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ink/ink1.xml" ContentType="application/inkml+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header31.xml" ContentType="application/vnd.openxmlformats-officedocument.wordprocessingml.header+xml"/>
  <Override PartName="/word/footer64.xml" ContentType="application/vnd.openxmlformats-officedocument.wordprocessingml.footer+xml"/>
  <Override PartName="/word/header32.xml" ContentType="application/vnd.openxmlformats-officedocument.wordprocessingml.header+xml"/>
  <Override PartName="/word/footer65.xml" ContentType="application/vnd.openxmlformats-officedocument.wordprocessingml.footer+xml"/>
  <Override PartName="/word/header33.xml" ContentType="application/vnd.openxmlformats-officedocument.wordprocessingml.header+xml"/>
  <Override PartName="/word/footer66.xml" ContentType="application/vnd.openxmlformats-officedocument.wordprocessingml.footer+xml"/>
  <Override PartName="/word/header34.xml" ContentType="application/vnd.openxmlformats-officedocument.wordprocessingml.header+xml"/>
  <Override PartName="/word/footer67.xml" ContentType="application/vnd.openxmlformats-officedocument.wordprocessingml.footer+xml"/>
  <Override PartName="/word/header35.xml" ContentType="application/vnd.openxmlformats-officedocument.wordprocessingml.header+xml"/>
  <Override PartName="/word/footer68.xml" ContentType="application/vnd.openxmlformats-officedocument.wordprocessingml.footer+xml"/>
  <Override PartName="/word/header36.xml" ContentType="application/vnd.openxmlformats-officedocument.wordprocessingml.header+xml"/>
  <Override PartName="/word/footer69.xml" ContentType="application/vnd.openxmlformats-officedocument.wordprocessingml.footer+xml"/>
  <Override PartName="/word/header37.xml" ContentType="application/vnd.openxmlformats-officedocument.wordprocessingml.header+xml"/>
  <Override PartName="/word/footer7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29F050" w14:textId="77777777" w:rsidR="004C7180" w:rsidRPr="00150EDC" w:rsidRDefault="00CF0754">
      <w:pPr>
        <w:pStyle w:val="BodyText"/>
        <w:ind w:left="381"/>
        <w:rPr>
          <w:rFonts w:ascii="Times New Roman"/>
          <w:sz w:val="20"/>
        </w:rPr>
      </w:pPr>
      <w:r w:rsidRPr="00150EDC">
        <w:rPr>
          <w:rFonts w:ascii="Times New Roman"/>
          <w:noProof/>
          <w:sz w:val="20"/>
          <w:lang w:val="en-GB" w:eastAsia="en-GB"/>
        </w:rPr>
        <w:drawing>
          <wp:inline distT="0" distB="0" distL="0" distR="0" wp14:anchorId="6F33B3E6" wp14:editId="2D897D7C">
            <wp:extent cx="1661531" cy="1383029"/>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1661531" cy="1383029"/>
                    </a:xfrm>
                    <a:prstGeom prst="rect">
                      <a:avLst/>
                    </a:prstGeom>
                  </pic:spPr>
                </pic:pic>
              </a:graphicData>
            </a:graphic>
          </wp:inline>
        </w:drawing>
      </w:r>
    </w:p>
    <w:p w14:paraId="2FF4FA9D" w14:textId="77777777" w:rsidR="004C7180" w:rsidRPr="00150EDC" w:rsidRDefault="004C7180">
      <w:pPr>
        <w:pStyle w:val="BodyText"/>
        <w:rPr>
          <w:rFonts w:ascii="Times New Roman"/>
          <w:sz w:val="20"/>
        </w:rPr>
      </w:pPr>
    </w:p>
    <w:p w14:paraId="643F32CC" w14:textId="77777777" w:rsidR="004C7180" w:rsidRPr="00150EDC" w:rsidRDefault="004C7180">
      <w:pPr>
        <w:pStyle w:val="BodyText"/>
        <w:rPr>
          <w:rFonts w:ascii="Times New Roman"/>
          <w:sz w:val="20"/>
        </w:rPr>
      </w:pPr>
    </w:p>
    <w:p w14:paraId="678CAD2D" w14:textId="77777777" w:rsidR="004C7180" w:rsidRPr="00150EDC" w:rsidRDefault="004C7180">
      <w:pPr>
        <w:pStyle w:val="BodyText"/>
        <w:rPr>
          <w:rFonts w:ascii="Times New Roman"/>
          <w:sz w:val="20"/>
        </w:rPr>
      </w:pPr>
    </w:p>
    <w:p w14:paraId="1ADC74DC" w14:textId="77777777" w:rsidR="004C7180" w:rsidRPr="00150EDC" w:rsidRDefault="004C7180">
      <w:pPr>
        <w:pStyle w:val="BodyText"/>
        <w:rPr>
          <w:rFonts w:ascii="Times New Roman"/>
          <w:sz w:val="20"/>
        </w:rPr>
      </w:pPr>
    </w:p>
    <w:p w14:paraId="167BE9C6" w14:textId="77777777" w:rsidR="004C7180" w:rsidRPr="00150EDC" w:rsidRDefault="004C7180">
      <w:pPr>
        <w:pStyle w:val="BodyText"/>
        <w:rPr>
          <w:rFonts w:ascii="Times New Roman"/>
          <w:sz w:val="20"/>
        </w:rPr>
      </w:pPr>
    </w:p>
    <w:p w14:paraId="2AC42035" w14:textId="77777777" w:rsidR="004C7180" w:rsidRPr="00150EDC" w:rsidRDefault="004C7180">
      <w:pPr>
        <w:pStyle w:val="BodyText"/>
        <w:rPr>
          <w:rFonts w:ascii="Times New Roman"/>
          <w:sz w:val="20"/>
        </w:rPr>
      </w:pPr>
    </w:p>
    <w:p w14:paraId="41144B79" w14:textId="77777777" w:rsidR="004C7180" w:rsidRPr="00150EDC" w:rsidRDefault="004C7180">
      <w:pPr>
        <w:pStyle w:val="BodyText"/>
        <w:rPr>
          <w:rFonts w:ascii="Times New Roman"/>
          <w:sz w:val="20"/>
        </w:rPr>
      </w:pPr>
    </w:p>
    <w:p w14:paraId="42A03FF7" w14:textId="1B800B63" w:rsidR="004C7180" w:rsidRPr="00150EDC" w:rsidRDefault="00D3220E">
      <w:pPr>
        <w:pStyle w:val="BodyText"/>
        <w:rPr>
          <w:rFonts w:ascii="Times New Roman"/>
          <w:sz w:val="20"/>
        </w:rPr>
      </w:pPr>
      <w:r>
        <w:rPr>
          <w:rFonts w:ascii="Times New Roman"/>
          <w:sz w:val="20"/>
        </w:rPr>
        <w:t>f</w:t>
      </w:r>
    </w:p>
    <w:p w14:paraId="18C2CCDC" w14:textId="77777777" w:rsidR="004C7180" w:rsidRPr="00150EDC" w:rsidRDefault="004C7180">
      <w:pPr>
        <w:pStyle w:val="BodyText"/>
        <w:rPr>
          <w:rFonts w:ascii="Times New Roman"/>
          <w:sz w:val="20"/>
        </w:rPr>
      </w:pPr>
    </w:p>
    <w:p w14:paraId="0439DD81" w14:textId="77777777" w:rsidR="004C7180" w:rsidRPr="00150EDC" w:rsidRDefault="004C7180">
      <w:pPr>
        <w:pStyle w:val="BodyText"/>
        <w:rPr>
          <w:rFonts w:ascii="Times New Roman"/>
          <w:sz w:val="20"/>
        </w:rPr>
      </w:pPr>
    </w:p>
    <w:p w14:paraId="3AF35F93" w14:textId="77777777" w:rsidR="004C7180" w:rsidRPr="00150EDC" w:rsidRDefault="004C7180">
      <w:pPr>
        <w:pStyle w:val="BodyText"/>
        <w:rPr>
          <w:rFonts w:ascii="Times New Roman"/>
          <w:sz w:val="20"/>
        </w:rPr>
      </w:pPr>
    </w:p>
    <w:p w14:paraId="25A66FB5" w14:textId="77777777" w:rsidR="004C7180" w:rsidRPr="00150EDC" w:rsidRDefault="004C7180">
      <w:pPr>
        <w:pStyle w:val="BodyText"/>
        <w:rPr>
          <w:rFonts w:ascii="Times New Roman"/>
          <w:sz w:val="20"/>
        </w:rPr>
      </w:pPr>
    </w:p>
    <w:p w14:paraId="7D183C68" w14:textId="77777777" w:rsidR="004C7180" w:rsidRPr="00150EDC" w:rsidRDefault="004C7180">
      <w:pPr>
        <w:pStyle w:val="BodyText"/>
        <w:rPr>
          <w:rFonts w:ascii="Times New Roman"/>
          <w:sz w:val="20"/>
        </w:rPr>
      </w:pPr>
    </w:p>
    <w:p w14:paraId="25D250D4" w14:textId="01C9F23A" w:rsidR="004C7180" w:rsidRDefault="00CF0754">
      <w:pPr>
        <w:pStyle w:val="Title"/>
        <w:rPr>
          <w:spacing w:val="-5"/>
        </w:rPr>
      </w:pPr>
      <w:bookmarkStart w:id="0" w:name="Binder3.pdf"/>
      <w:bookmarkStart w:id="1" w:name="DPS_Core_Terms_v1.0_"/>
      <w:bookmarkEnd w:id="0"/>
      <w:bookmarkEnd w:id="1"/>
      <w:r w:rsidRPr="00150EDC">
        <w:t>Core</w:t>
      </w:r>
      <w:r w:rsidRPr="00150EDC">
        <w:rPr>
          <w:spacing w:val="-3"/>
        </w:rPr>
        <w:t xml:space="preserve"> </w:t>
      </w:r>
      <w:r w:rsidRPr="00150EDC">
        <w:t>Terms</w:t>
      </w:r>
      <w:r w:rsidRPr="00150EDC">
        <w:rPr>
          <w:spacing w:val="1"/>
        </w:rPr>
        <w:t xml:space="preserve"> </w:t>
      </w:r>
      <w:r w:rsidR="00C11C63">
        <w:t>–</w:t>
      </w:r>
      <w:r w:rsidRPr="00150EDC">
        <w:rPr>
          <w:spacing w:val="-4"/>
        </w:rPr>
        <w:t xml:space="preserve"> </w:t>
      </w:r>
      <w:r w:rsidRPr="00150EDC">
        <w:rPr>
          <w:spacing w:val="-5"/>
        </w:rPr>
        <w:t>DPS</w:t>
      </w:r>
    </w:p>
    <w:p w14:paraId="16364D66" w14:textId="665DFD16" w:rsidR="00B85F92" w:rsidRPr="00B85F92" w:rsidRDefault="00B85F92">
      <w:pPr>
        <w:pStyle w:val="Title"/>
        <w:rPr>
          <w:spacing w:val="-5"/>
          <w:sz w:val="52"/>
          <w:szCs w:val="52"/>
        </w:rPr>
      </w:pPr>
      <w:r w:rsidRPr="00B85F92">
        <w:rPr>
          <w:spacing w:val="-5"/>
          <w:sz w:val="52"/>
          <w:szCs w:val="52"/>
        </w:rPr>
        <w:t>Multiply Random Control Trial</w:t>
      </w:r>
    </w:p>
    <w:p w14:paraId="20C99F9A" w14:textId="645B4080" w:rsidR="00C11C63" w:rsidRPr="00C11C63" w:rsidRDefault="00C11C63">
      <w:pPr>
        <w:pStyle w:val="Title"/>
        <w:rPr>
          <w:sz w:val="48"/>
          <w:szCs w:val="48"/>
        </w:rPr>
      </w:pPr>
      <w:r w:rsidRPr="00C11C63">
        <w:rPr>
          <w:spacing w:val="-5"/>
          <w:sz w:val="48"/>
          <w:szCs w:val="48"/>
        </w:rPr>
        <w:t>Con_22596</w:t>
      </w:r>
    </w:p>
    <w:p w14:paraId="10738FFD" w14:textId="77777777" w:rsidR="004C7180" w:rsidRPr="00150EDC" w:rsidRDefault="004C7180">
      <w:pPr>
        <w:pStyle w:val="BodyText"/>
        <w:rPr>
          <w:rFonts w:ascii="Calibri"/>
          <w:b/>
          <w:sz w:val="20"/>
        </w:rPr>
      </w:pPr>
    </w:p>
    <w:p w14:paraId="3C678E83" w14:textId="77777777" w:rsidR="004C7180" w:rsidRPr="00150EDC" w:rsidRDefault="004C7180">
      <w:pPr>
        <w:pStyle w:val="BodyText"/>
        <w:rPr>
          <w:rFonts w:ascii="Calibri"/>
          <w:b/>
          <w:sz w:val="20"/>
        </w:rPr>
      </w:pPr>
    </w:p>
    <w:p w14:paraId="6BD31ADE" w14:textId="77777777" w:rsidR="004C7180" w:rsidRPr="00150EDC" w:rsidRDefault="004C7180">
      <w:pPr>
        <w:pStyle w:val="BodyText"/>
        <w:rPr>
          <w:rFonts w:ascii="Calibri"/>
          <w:b/>
          <w:sz w:val="20"/>
        </w:rPr>
      </w:pPr>
    </w:p>
    <w:p w14:paraId="1CBAAA57" w14:textId="77777777" w:rsidR="004C7180" w:rsidRPr="00150EDC" w:rsidRDefault="004C7180">
      <w:pPr>
        <w:pStyle w:val="BodyText"/>
        <w:rPr>
          <w:rFonts w:ascii="Calibri"/>
          <w:b/>
          <w:sz w:val="20"/>
        </w:rPr>
      </w:pPr>
    </w:p>
    <w:p w14:paraId="40259077" w14:textId="77777777" w:rsidR="004C7180" w:rsidRPr="00150EDC" w:rsidRDefault="004C7180">
      <w:pPr>
        <w:pStyle w:val="BodyText"/>
        <w:rPr>
          <w:rFonts w:ascii="Calibri"/>
          <w:b/>
          <w:sz w:val="20"/>
        </w:rPr>
      </w:pPr>
    </w:p>
    <w:p w14:paraId="7C23FC4B" w14:textId="77777777" w:rsidR="004C7180" w:rsidRPr="00150EDC" w:rsidRDefault="004C7180">
      <w:pPr>
        <w:pStyle w:val="BodyText"/>
        <w:rPr>
          <w:rFonts w:ascii="Calibri"/>
          <w:b/>
          <w:sz w:val="20"/>
        </w:rPr>
      </w:pPr>
    </w:p>
    <w:p w14:paraId="0B92CC00" w14:textId="77777777" w:rsidR="004C7180" w:rsidRPr="00150EDC" w:rsidRDefault="004C7180">
      <w:pPr>
        <w:pStyle w:val="BodyText"/>
        <w:rPr>
          <w:rFonts w:ascii="Calibri"/>
          <w:b/>
          <w:sz w:val="20"/>
        </w:rPr>
      </w:pPr>
    </w:p>
    <w:p w14:paraId="19A8CE21" w14:textId="77777777" w:rsidR="004C7180" w:rsidRPr="00150EDC" w:rsidRDefault="004C7180">
      <w:pPr>
        <w:pStyle w:val="BodyText"/>
        <w:rPr>
          <w:rFonts w:ascii="Calibri"/>
          <w:b/>
          <w:sz w:val="20"/>
        </w:rPr>
      </w:pPr>
    </w:p>
    <w:p w14:paraId="7BF88F51" w14:textId="77777777" w:rsidR="004C7180" w:rsidRPr="00150EDC" w:rsidRDefault="004C7180">
      <w:pPr>
        <w:pStyle w:val="BodyText"/>
        <w:rPr>
          <w:rFonts w:ascii="Calibri"/>
          <w:b/>
          <w:sz w:val="20"/>
        </w:rPr>
      </w:pPr>
    </w:p>
    <w:p w14:paraId="099F13A2" w14:textId="77777777" w:rsidR="004C7180" w:rsidRPr="00150EDC" w:rsidRDefault="004C7180">
      <w:pPr>
        <w:pStyle w:val="BodyText"/>
        <w:rPr>
          <w:rFonts w:ascii="Calibri"/>
          <w:b/>
          <w:sz w:val="20"/>
        </w:rPr>
      </w:pPr>
    </w:p>
    <w:p w14:paraId="36C0F569" w14:textId="77777777" w:rsidR="004C7180" w:rsidRPr="00150EDC" w:rsidRDefault="004C7180">
      <w:pPr>
        <w:pStyle w:val="BodyText"/>
        <w:rPr>
          <w:rFonts w:ascii="Calibri"/>
          <w:b/>
          <w:sz w:val="20"/>
        </w:rPr>
      </w:pPr>
    </w:p>
    <w:p w14:paraId="23938288" w14:textId="77777777" w:rsidR="004C7180" w:rsidRPr="00150EDC" w:rsidRDefault="004C7180">
      <w:pPr>
        <w:pStyle w:val="BodyText"/>
        <w:rPr>
          <w:rFonts w:ascii="Calibri"/>
          <w:b/>
          <w:sz w:val="20"/>
        </w:rPr>
      </w:pPr>
    </w:p>
    <w:p w14:paraId="6D035686" w14:textId="77777777" w:rsidR="004C7180" w:rsidRPr="00150EDC" w:rsidRDefault="004C7180">
      <w:pPr>
        <w:pStyle w:val="BodyText"/>
        <w:rPr>
          <w:rFonts w:ascii="Calibri"/>
          <w:b/>
          <w:sz w:val="20"/>
        </w:rPr>
      </w:pPr>
    </w:p>
    <w:p w14:paraId="341B3895" w14:textId="77777777" w:rsidR="004C7180" w:rsidRPr="00150EDC" w:rsidRDefault="004C7180">
      <w:pPr>
        <w:pStyle w:val="BodyText"/>
        <w:rPr>
          <w:rFonts w:ascii="Calibri"/>
          <w:b/>
          <w:sz w:val="20"/>
        </w:rPr>
      </w:pPr>
    </w:p>
    <w:p w14:paraId="1356872B" w14:textId="77777777" w:rsidR="004C7180" w:rsidRPr="00150EDC" w:rsidRDefault="004C7180">
      <w:pPr>
        <w:pStyle w:val="BodyText"/>
        <w:rPr>
          <w:rFonts w:ascii="Calibri"/>
          <w:b/>
          <w:sz w:val="20"/>
        </w:rPr>
      </w:pPr>
    </w:p>
    <w:p w14:paraId="798C4AB1" w14:textId="77777777" w:rsidR="004C7180" w:rsidRPr="00150EDC" w:rsidRDefault="004C7180">
      <w:pPr>
        <w:pStyle w:val="BodyText"/>
        <w:rPr>
          <w:rFonts w:ascii="Calibri"/>
          <w:b/>
          <w:sz w:val="20"/>
        </w:rPr>
      </w:pPr>
    </w:p>
    <w:p w14:paraId="161A72D9" w14:textId="77777777" w:rsidR="004C7180" w:rsidRPr="00150EDC" w:rsidRDefault="004C7180">
      <w:pPr>
        <w:pStyle w:val="BodyText"/>
        <w:rPr>
          <w:rFonts w:ascii="Calibri"/>
          <w:b/>
          <w:sz w:val="20"/>
        </w:rPr>
      </w:pPr>
    </w:p>
    <w:p w14:paraId="0FB49CC4" w14:textId="77777777" w:rsidR="004C7180" w:rsidRPr="00150EDC" w:rsidRDefault="004C7180">
      <w:pPr>
        <w:pStyle w:val="BodyText"/>
        <w:rPr>
          <w:rFonts w:ascii="Calibri"/>
          <w:b/>
          <w:sz w:val="20"/>
        </w:rPr>
      </w:pPr>
    </w:p>
    <w:p w14:paraId="1EEECBF2" w14:textId="77777777" w:rsidR="004C7180" w:rsidRPr="00150EDC" w:rsidRDefault="004C7180">
      <w:pPr>
        <w:pStyle w:val="BodyText"/>
        <w:rPr>
          <w:rFonts w:ascii="Calibri"/>
          <w:b/>
          <w:sz w:val="20"/>
        </w:rPr>
      </w:pPr>
    </w:p>
    <w:p w14:paraId="4A12B3FE" w14:textId="77777777" w:rsidR="004C7180" w:rsidRPr="00150EDC" w:rsidRDefault="004C7180">
      <w:pPr>
        <w:pStyle w:val="BodyText"/>
        <w:rPr>
          <w:rFonts w:ascii="Calibri"/>
          <w:b/>
          <w:sz w:val="20"/>
        </w:rPr>
      </w:pPr>
    </w:p>
    <w:p w14:paraId="4A8FF023" w14:textId="77777777" w:rsidR="004C7180" w:rsidRPr="00150EDC" w:rsidRDefault="004C7180">
      <w:pPr>
        <w:pStyle w:val="BodyText"/>
        <w:rPr>
          <w:rFonts w:ascii="Calibri"/>
          <w:b/>
          <w:sz w:val="20"/>
        </w:rPr>
      </w:pPr>
    </w:p>
    <w:p w14:paraId="0EFC58E4" w14:textId="77777777" w:rsidR="004C7180" w:rsidRPr="00150EDC" w:rsidRDefault="004C7180">
      <w:pPr>
        <w:pStyle w:val="BodyText"/>
        <w:rPr>
          <w:rFonts w:ascii="Calibri"/>
          <w:b/>
          <w:sz w:val="20"/>
        </w:rPr>
      </w:pPr>
    </w:p>
    <w:p w14:paraId="01EAE512" w14:textId="77777777" w:rsidR="004C7180" w:rsidRPr="00150EDC" w:rsidRDefault="004C7180">
      <w:pPr>
        <w:pStyle w:val="BodyText"/>
        <w:rPr>
          <w:rFonts w:ascii="Calibri"/>
          <w:b/>
          <w:sz w:val="20"/>
        </w:rPr>
      </w:pPr>
    </w:p>
    <w:p w14:paraId="2B628688" w14:textId="77777777" w:rsidR="004C7180" w:rsidRPr="00150EDC" w:rsidRDefault="004C7180">
      <w:pPr>
        <w:pStyle w:val="BodyText"/>
        <w:rPr>
          <w:rFonts w:ascii="Calibri"/>
          <w:b/>
          <w:sz w:val="20"/>
        </w:rPr>
      </w:pPr>
    </w:p>
    <w:p w14:paraId="7DCFE293" w14:textId="77777777" w:rsidR="004C7180" w:rsidRPr="00150EDC" w:rsidRDefault="004C7180">
      <w:pPr>
        <w:pStyle w:val="BodyText"/>
        <w:rPr>
          <w:rFonts w:ascii="Calibri"/>
          <w:b/>
          <w:sz w:val="20"/>
        </w:rPr>
      </w:pPr>
    </w:p>
    <w:p w14:paraId="2B342A13" w14:textId="77777777" w:rsidR="004C7180" w:rsidRPr="00150EDC" w:rsidRDefault="004C7180">
      <w:pPr>
        <w:pStyle w:val="BodyText"/>
        <w:rPr>
          <w:rFonts w:ascii="Calibri"/>
          <w:b/>
          <w:sz w:val="20"/>
        </w:rPr>
      </w:pPr>
    </w:p>
    <w:p w14:paraId="0B3EDA5F" w14:textId="77777777" w:rsidR="004C7180" w:rsidRPr="00150EDC" w:rsidRDefault="004C7180">
      <w:pPr>
        <w:pStyle w:val="BodyText"/>
        <w:rPr>
          <w:rFonts w:ascii="Calibri"/>
          <w:b/>
          <w:sz w:val="20"/>
        </w:rPr>
      </w:pPr>
    </w:p>
    <w:p w14:paraId="054C1C39" w14:textId="77777777" w:rsidR="004C7180" w:rsidRPr="00150EDC" w:rsidRDefault="004C7180">
      <w:pPr>
        <w:pStyle w:val="BodyText"/>
        <w:rPr>
          <w:rFonts w:ascii="Calibri"/>
          <w:b/>
          <w:sz w:val="20"/>
        </w:rPr>
      </w:pPr>
    </w:p>
    <w:p w14:paraId="53E3628A" w14:textId="77777777" w:rsidR="004C7180" w:rsidRPr="00150EDC" w:rsidRDefault="004C7180">
      <w:pPr>
        <w:pStyle w:val="BodyText"/>
        <w:rPr>
          <w:rFonts w:ascii="Calibri"/>
          <w:b/>
          <w:sz w:val="20"/>
        </w:rPr>
      </w:pPr>
    </w:p>
    <w:p w14:paraId="55482BF0" w14:textId="77777777" w:rsidR="004C7180" w:rsidRPr="00150EDC" w:rsidRDefault="004C7180">
      <w:pPr>
        <w:pStyle w:val="BodyText"/>
        <w:spacing w:before="4"/>
        <w:rPr>
          <w:rFonts w:ascii="Calibri"/>
          <w:b/>
          <w:sz w:val="29"/>
        </w:rPr>
      </w:pPr>
    </w:p>
    <w:p w14:paraId="4CCA6DEE" w14:textId="77777777" w:rsidR="004C7180" w:rsidRPr="00150EDC" w:rsidRDefault="00CF0754">
      <w:pPr>
        <w:spacing w:before="56"/>
        <w:ind w:left="500"/>
        <w:rPr>
          <w:rFonts w:ascii="Calibri"/>
        </w:rPr>
      </w:pPr>
      <w:r w:rsidRPr="00150EDC">
        <w:rPr>
          <w:rFonts w:ascii="Calibri"/>
        </w:rPr>
        <w:lastRenderedPageBreak/>
        <w:t>1</w:t>
      </w:r>
      <w:r w:rsidRPr="00150EDC">
        <w:rPr>
          <w:rFonts w:ascii="Calibri"/>
          <w:spacing w:val="-3"/>
        </w:rPr>
        <w:t xml:space="preserve"> </w:t>
      </w:r>
      <w:r w:rsidRPr="00150EDC">
        <w:rPr>
          <w:rFonts w:ascii="Calibri"/>
        </w:rPr>
        <w:t>Crown</w:t>
      </w:r>
      <w:r w:rsidRPr="00150EDC">
        <w:rPr>
          <w:rFonts w:ascii="Calibri"/>
          <w:spacing w:val="-3"/>
        </w:rPr>
        <w:t xml:space="preserve"> </w:t>
      </w:r>
      <w:r w:rsidRPr="00150EDC">
        <w:rPr>
          <w:rFonts w:ascii="Calibri"/>
        </w:rPr>
        <w:t>Copyright</w:t>
      </w:r>
      <w:r w:rsidRPr="00150EDC">
        <w:rPr>
          <w:rFonts w:ascii="Calibri"/>
          <w:spacing w:val="-4"/>
        </w:rPr>
        <w:t xml:space="preserve"> 2022</w:t>
      </w:r>
    </w:p>
    <w:p w14:paraId="0CE811D7" w14:textId="77777777" w:rsidR="004C7180" w:rsidRPr="00150EDC" w:rsidRDefault="00CF0754">
      <w:pPr>
        <w:ind w:left="500"/>
        <w:rPr>
          <w:rFonts w:ascii="Calibri"/>
        </w:rPr>
      </w:pPr>
      <w:r w:rsidRPr="00150EDC">
        <w:rPr>
          <w:rFonts w:ascii="Calibri"/>
        </w:rPr>
        <w:t>Project</w:t>
      </w:r>
      <w:r w:rsidRPr="00150EDC">
        <w:rPr>
          <w:rFonts w:ascii="Calibri"/>
          <w:spacing w:val="-9"/>
        </w:rPr>
        <w:t xml:space="preserve"> </w:t>
      </w:r>
      <w:r w:rsidRPr="00150EDC">
        <w:rPr>
          <w:rFonts w:ascii="Calibri"/>
        </w:rPr>
        <w:t>version:</w:t>
      </w:r>
      <w:r w:rsidRPr="00150EDC">
        <w:rPr>
          <w:rFonts w:ascii="Calibri"/>
          <w:spacing w:val="-6"/>
        </w:rPr>
        <w:t xml:space="preserve"> </w:t>
      </w:r>
      <w:r w:rsidRPr="00150EDC">
        <w:rPr>
          <w:rFonts w:ascii="Calibri"/>
          <w:spacing w:val="-5"/>
        </w:rPr>
        <w:t>1.0</w:t>
      </w:r>
    </w:p>
    <w:p w14:paraId="3E01186F" w14:textId="77777777" w:rsidR="004C7180" w:rsidRPr="00150EDC" w:rsidRDefault="00CF0754">
      <w:pPr>
        <w:spacing w:before="1"/>
        <w:ind w:left="500"/>
        <w:rPr>
          <w:rFonts w:ascii="Calibri"/>
        </w:rPr>
      </w:pPr>
      <w:r w:rsidRPr="00150EDC">
        <w:rPr>
          <w:rFonts w:ascii="Calibri"/>
        </w:rPr>
        <w:t>Model</w:t>
      </w:r>
      <w:r w:rsidRPr="00150EDC">
        <w:rPr>
          <w:rFonts w:ascii="Calibri"/>
          <w:spacing w:val="-5"/>
        </w:rPr>
        <w:t xml:space="preserve"> </w:t>
      </w:r>
      <w:r w:rsidRPr="00150EDC">
        <w:rPr>
          <w:rFonts w:ascii="Calibri"/>
        </w:rPr>
        <w:t>version:</w:t>
      </w:r>
      <w:r w:rsidRPr="00150EDC">
        <w:rPr>
          <w:rFonts w:ascii="Calibri"/>
          <w:spacing w:val="-4"/>
        </w:rPr>
        <w:t xml:space="preserve"> </w:t>
      </w:r>
      <w:r w:rsidRPr="00150EDC">
        <w:rPr>
          <w:rFonts w:ascii="Calibri"/>
          <w:spacing w:val="-2"/>
        </w:rPr>
        <w:t>1.0.3</w:t>
      </w:r>
    </w:p>
    <w:p w14:paraId="4B131E0F" w14:textId="77777777" w:rsidR="004C7180" w:rsidRPr="00150EDC" w:rsidRDefault="004C7180">
      <w:pPr>
        <w:rPr>
          <w:rFonts w:ascii="Calibri"/>
        </w:rPr>
        <w:sectPr w:rsidR="004C7180" w:rsidRPr="00150EDC">
          <w:type w:val="continuous"/>
          <w:pgSz w:w="11910" w:h="16840"/>
          <w:pgMar w:top="1140" w:right="0" w:bottom="280" w:left="40" w:header="720" w:footer="720" w:gutter="0"/>
          <w:cols w:space="720"/>
        </w:sectPr>
      </w:pPr>
    </w:p>
    <w:p w14:paraId="37750715" w14:textId="77777777" w:rsidR="004C7180" w:rsidRPr="00150EDC" w:rsidRDefault="004C7180">
      <w:pPr>
        <w:pStyle w:val="BodyText"/>
        <w:spacing w:before="2"/>
        <w:rPr>
          <w:rFonts w:ascii="Calibri"/>
          <w:sz w:val="20"/>
        </w:rPr>
      </w:pPr>
    </w:p>
    <w:p w14:paraId="1F9D7E1B" w14:textId="77777777" w:rsidR="004C7180" w:rsidRPr="00150EDC" w:rsidRDefault="00CF0754" w:rsidP="00B320C7">
      <w:pPr>
        <w:pStyle w:val="Heading1"/>
        <w:numPr>
          <w:ilvl w:val="0"/>
          <w:numId w:val="182"/>
        </w:numPr>
        <w:tabs>
          <w:tab w:val="left" w:pos="925"/>
        </w:tabs>
        <w:spacing w:before="28"/>
        <w:ind w:left="925" w:hanging="425"/>
        <w:jc w:val="left"/>
        <w:rPr>
          <w:rFonts w:ascii="Calibri"/>
        </w:rPr>
      </w:pPr>
      <w:r w:rsidRPr="00150EDC">
        <w:rPr>
          <w:rFonts w:ascii="Calibri"/>
        </w:rPr>
        <w:t>Definitions</w:t>
      </w:r>
      <w:r w:rsidRPr="00150EDC">
        <w:rPr>
          <w:rFonts w:ascii="Calibri"/>
          <w:spacing w:val="-4"/>
        </w:rPr>
        <w:t xml:space="preserve"> </w:t>
      </w:r>
      <w:r w:rsidRPr="00150EDC">
        <w:rPr>
          <w:rFonts w:ascii="Calibri"/>
        </w:rPr>
        <w:t>used</w:t>
      </w:r>
      <w:r w:rsidRPr="00150EDC">
        <w:rPr>
          <w:rFonts w:ascii="Calibri"/>
          <w:spacing w:val="-3"/>
        </w:rPr>
        <w:t xml:space="preserve"> </w:t>
      </w:r>
      <w:r w:rsidRPr="00150EDC">
        <w:rPr>
          <w:rFonts w:ascii="Calibri"/>
        </w:rPr>
        <w:t>in the</w:t>
      </w:r>
      <w:r w:rsidRPr="00150EDC">
        <w:rPr>
          <w:rFonts w:ascii="Calibri"/>
          <w:spacing w:val="-1"/>
        </w:rPr>
        <w:t xml:space="preserve"> </w:t>
      </w:r>
      <w:r w:rsidRPr="00150EDC">
        <w:rPr>
          <w:rFonts w:ascii="Calibri"/>
          <w:spacing w:val="-2"/>
        </w:rPr>
        <w:t>contract</w:t>
      </w:r>
    </w:p>
    <w:p w14:paraId="77FBA49A" w14:textId="77777777" w:rsidR="004C7180" w:rsidRPr="00150EDC" w:rsidRDefault="00CF0754">
      <w:pPr>
        <w:pStyle w:val="BodyText"/>
        <w:spacing w:before="18"/>
        <w:ind w:left="1717"/>
        <w:rPr>
          <w:rFonts w:ascii="Calibri"/>
        </w:rPr>
      </w:pPr>
      <w:r w:rsidRPr="00150EDC">
        <w:rPr>
          <w:rFonts w:ascii="Calibri"/>
        </w:rPr>
        <w:t>Interpret</w:t>
      </w:r>
      <w:r w:rsidRPr="00150EDC">
        <w:rPr>
          <w:rFonts w:ascii="Calibri"/>
          <w:spacing w:val="-4"/>
        </w:rPr>
        <w:t xml:space="preserve"> </w:t>
      </w:r>
      <w:r w:rsidRPr="00150EDC">
        <w:rPr>
          <w:rFonts w:ascii="Calibri"/>
        </w:rPr>
        <w:t>this</w:t>
      </w:r>
      <w:r w:rsidRPr="00150EDC">
        <w:rPr>
          <w:rFonts w:ascii="Calibri"/>
          <w:spacing w:val="-3"/>
        </w:rPr>
        <w:t xml:space="preserve"> </w:t>
      </w:r>
      <w:r w:rsidRPr="00150EDC">
        <w:rPr>
          <w:rFonts w:ascii="Calibri"/>
        </w:rPr>
        <w:t>Contract</w:t>
      </w:r>
      <w:r w:rsidRPr="00150EDC">
        <w:rPr>
          <w:rFonts w:ascii="Calibri"/>
          <w:spacing w:val="-4"/>
        </w:rPr>
        <w:t xml:space="preserve"> </w:t>
      </w:r>
      <w:r w:rsidRPr="00150EDC">
        <w:rPr>
          <w:rFonts w:ascii="Calibri"/>
        </w:rPr>
        <w:t>using</w:t>
      </w:r>
      <w:r w:rsidRPr="00150EDC">
        <w:rPr>
          <w:rFonts w:ascii="Calibri"/>
          <w:spacing w:val="-4"/>
        </w:rPr>
        <w:t xml:space="preserve"> </w:t>
      </w:r>
      <w:r w:rsidRPr="00150EDC">
        <w:rPr>
          <w:rFonts w:ascii="Calibri"/>
        </w:rPr>
        <w:t>Joint</w:t>
      </w:r>
      <w:r w:rsidRPr="00150EDC">
        <w:rPr>
          <w:rFonts w:ascii="Calibri"/>
          <w:spacing w:val="-3"/>
        </w:rPr>
        <w:t xml:space="preserve"> </w:t>
      </w:r>
      <w:r w:rsidRPr="00150EDC">
        <w:rPr>
          <w:rFonts w:ascii="Calibri"/>
        </w:rPr>
        <w:t>Schedule</w:t>
      </w:r>
      <w:r w:rsidRPr="00150EDC">
        <w:rPr>
          <w:rFonts w:ascii="Calibri"/>
          <w:spacing w:val="-5"/>
        </w:rPr>
        <w:t xml:space="preserve"> </w:t>
      </w:r>
      <w:r w:rsidRPr="00150EDC">
        <w:rPr>
          <w:rFonts w:ascii="Calibri"/>
        </w:rPr>
        <w:t>1</w:t>
      </w:r>
      <w:r w:rsidRPr="00150EDC">
        <w:rPr>
          <w:rFonts w:ascii="Calibri"/>
          <w:spacing w:val="-2"/>
        </w:rPr>
        <w:t xml:space="preserve"> (Definitions).</w:t>
      </w:r>
    </w:p>
    <w:p w14:paraId="0BE69D23" w14:textId="77777777" w:rsidR="004C7180" w:rsidRPr="00150EDC" w:rsidRDefault="004C7180">
      <w:pPr>
        <w:pStyle w:val="BodyText"/>
        <w:spacing w:before="10"/>
        <w:rPr>
          <w:rFonts w:ascii="Calibri"/>
          <w:sz w:val="25"/>
        </w:rPr>
      </w:pPr>
    </w:p>
    <w:p w14:paraId="2926FE7D" w14:textId="77777777" w:rsidR="004C7180" w:rsidRPr="00150EDC" w:rsidRDefault="00CF0754" w:rsidP="00B320C7">
      <w:pPr>
        <w:pStyle w:val="Heading1"/>
        <w:numPr>
          <w:ilvl w:val="0"/>
          <w:numId w:val="182"/>
        </w:numPr>
        <w:tabs>
          <w:tab w:val="left" w:pos="925"/>
        </w:tabs>
        <w:ind w:left="925" w:hanging="425"/>
        <w:jc w:val="left"/>
        <w:rPr>
          <w:rFonts w:ascii="Calibri"/>
        </w:rPr>
      </w:pPr>
      <w:r w:rsidRPr="00150EDC">
        <w:rPr>
          <w:rFonts w:ascii="Calibri"/>
        </w:rPr>
        <w:t>How</w:t>
      </w:r>
      <w:r w:rsidRPr="00150EDC">
        <w:rPr>
          <w:rFonts w:ascii="Calibri"/>
          <w:spacing w:val="-3"/>
        </w:rPr>
        <w:t xml:space="preserve"> </w:t>
      </w:r>
      <w:r w:rsidRPr="00150EDC">
        <w:rPr>
          <w:rFonts w:ascii="Calibri"/>
        </w:rPr>
        <w:t>the</w:t>
      </w:r>
      <w:r w:rsidRPr="00150EDC">
        <w:rPr>
          <w:rFonts w:ascii="Calibri"/>
          <w:spacing w:val="-2"/>
        </w:rPr>
        <w:t xml:space="preserve"> </w:t>
      </w:r>
      <w:r w:rsidRPr="00150EDC">
        <w:rPr>
          <w:rFonts w:ascii="Calibri"/>
        </w:rPr>
        <w:t>contract</w:t>
      </w:r>
      <w:r w:rsidRPr="00150EDC">
        <w:rPr>
          <w:rFonts w:ascii="Calibri"/>
          <w:spacing w:val="-2"/>
        </w:rPr>
        <w:t xml:space="preserve"> works</w:t>
      </w:r>
    </w:p>
    <w:p w14:paraId="57FDD2C8" w14:textId="77777777" w:rsidR="004C7180" w:rsidRPr="00150EDC" w:rsidRDefault="00CF0754" w:rsidP="00B320C7">
      <w:pPr>
        <w:pStyle w:val="ListParagraph"/>
        <w:numPr>
          <w:ilvl w:val="1"/>
          <w:numId w:val="182"/>
        </w:numPr>
        <w:tabs>
          <w:tab w:val="left" w:pos="1066"/>
        </w:tabs>
        <w:spacing w:before="18"/>
        <w:ind w:hanging="566"/>
        <w:rPr>
          <w:rFonts w:ascii="Calibri"/>
          <w:sz w:val="24"/>
        </w:rPr>
      </w:pPr>
      <w:r w:rsidRPr="00150EDC">
        <w:rPr>
          <w:rFonts w:ascii="Calibri"/>
          <w:sz w:val="24"/>
        </w:rPr>
        <w:t>The</w:t>
      </w:r>
      <w:r w:rsidRPr="00150EDC">
        <w:rPr>
          <w:rFonts w:ascii="Calibri"/>
          <w:spacing w:val="-3"/>
          <w:sz w:val="24"/>
        </w:rPr>
        <w:t xml:space="preserve"> </w:t>
      </w:r>
      <w:r w:rsidRPr="00150EDC">
        <w:rPr>
          <w:rFonts w:ascii="Calibri"/>
          <w:sz w:val="24"/>
        </w:rPr>
        <w:t>Supplier</w:t>
      </w:r>
      <w:r w:rsidRPr="00150EDC">
        <w:rPr>
          <w:rFonts w:ascii="Calibri"/>
          <w:spacing w:val="-3"/>
          <w:sz w:val="24"/>
        </w:rPr>
        <w:t xml:space="preserve"> </w:t>
      </w:r>
      <w:r w:rsidRPr="00150EDC">
        <w:rPr>
          <w:rFonts w:ascii="Calibri"/>
          <w:sz w:val="24"/>
        </w:rPr>
        <w:t>is</w:t>
      </w:r>
      <w:r w:rsidRPr="00150EDC">
        <w:rPr>
          <w:rFonts w:ascii="Calibri"/>
          <w:spacing w:val="-1"/>
          <w:sz w:val="24"/>
        </w:rPr>
        <w:t xml:space="preserve"> </w:t>
      </w:r>
      <w:r w:rsidRPr="00150EDC">
        <w:rPr>
          <w:rFonts w:ascii="Calibri"/>
          <w:sz w:val="24"/>
        </w:rPr>
        <w:t>eligible</w:t>
      </w:r>
      <w:r w:rsidRPr="00150EDC">
        <w:rPr>
          <w:rFonts w:ascii="Calibri"/>
          <w:spacing w:val="-3"/>
          <w:sz w:val="24"/>
        </w:rPr>
        <w:t xml:space="preserve"> </w:t>
      </w:r>
      <w:r w:rsidRPr="00150EDC">
        <w:rPr>
          <w:rFonts w:ascii="Calibri"/>
          <w:sz w:val="24"/>
        </w:rPr>
        <w:t>for</w:t>
      </w:r>
      <w:r w:rsidRPr="00150EDC">
        <w:rPr>
          <w:rFonts w:ascii="Calibri"/>
          <w:spacing w:val="-1"/>
          <w:sz w:val="24"/>
        </w:rPr>
        <w:t xml:space="preserve"> </w:t>
      </w:r>
      <w:r w:rsidRPr="00150EDC">
        <w:rPr>
          <w:rFonts w:ascii="Calibri"/>
          <w:sz w:val="24"/>
        </w:rPr>
        <w:t>the award</w:t>
      </w:r>
      <w:r w:rsidRPr="00150EDC">
        <w:rPr>
          <w:rFonts w:ascii="Calibri"/>
          <w:spacing w:val="-3"/>
          <w:sz w:val="24"/>
        </w:rPr>
        <w:t xml:space="preserve"> </w:t>
      </w:r>
      <w:r w:rsidRPr="00150EDC">
        <w:rPr>
          <w:rFonts w:ascii="Calibri"/>
          <w:sz w:val="24"/>
        </w:rPr>
        <w:t>of</w:t>
      </w:r>
      <w:r w:rsidRPr="00150EDC">
        <w:rPr>
          <w:rFonts w:ascii="Calibri"/>
          <w:spacing w:val="-1"/>
          <w:sz w:val="24"/>
        </w:rPr>
        <w:t xml:space="preserve"> </w:t>
      </w:r>
      <w:r w:rsidRPr="00150EDC">
        <w:rPr>
          <w:rFonts w:ascii="Calibri"/>
          <w:sz w:val="24"/>
        </w:rPr>
        <w:t>Order Contracts</w:t>
      </w:r>
      <w:r w:rsidRPr="00150EDC">
        <w:rPr>
          <w:rFonts w:ascii="Calibri"/>
          <w:spacing w:val="-4"/>
          <w:sz w:val="24"/>
        </w:rPr>
        <w:t xml:space="preserve"> </w:t>
      </w:r>
      <w:r w:rsidRPr="00150EDC">
        <w:rPr>
          <w:rFonts w:ascii="Calibri"/>
          <w:sz w:val="24"/>
        </w:rPr>
        <w:t>during</w:t>
      </w:r>
      <w:r w:rsidRPr="00150EDC">
        <w:rPr>
          <w:rFonts w:ascii="Calibri"/>
          <w:spacing w:val="-4"/>
          <w:sz w:val="24"/>
        </w:rPr>
        <w:t xml:space="preserve"> </w:t>
      </w:r>
      <w:r w:rsidRPr="00150EDC">
        <w:rPr>
          <w:rFonts w:ascii="Calibri"/>
          <w:sz w:val="24"/>
        </w:rPr>
        <w:t>the</w:t>
      </w:r>
      <w:r w:rsidRPr="00150EDC">
        <w:rPr>
          <w:rFonts w:ascii="Calibri"/>
          <w:spacing w:val="-3"/>
          <w:sz w:val="24"/>
        </w:rPr>
        <w:t xml:space="preserve"> </w:t>
      </w:r>
      <w:r w:rsidRPr="00150EDC">
        <w:rPr>
          <w:rFonts w:ascii="Calibri"/>
          <w:sz w:val="24"/>
        </w:rPr>
        <w:t>DPS</w:t>
      </w:r>
      <w:r w:rsidRPr="00150EDC">
        <w:rPr>
          <w:rFonts w:ascii="Calibri"/>
          <w:spacing w:val="-2"/>
          <w:sz w:val="24"/>
        </w:rPr>
        <w:t xml:space="preserve"> </w:t>
      </w:r>
      <w:r w:rsidRPr="00150EDC">
        <w:rPr>
          <w:rFonts w:ascii="Calibri"/>
          <w:sz w:val="24"/>
        </w:rPr>
        <w:t>Contract</w:t>
      </w:r>
      <w:r w:rsidRPr="00150EDC">
        <w:rPr>
          <w:rFonts w:ascii="Calibri"/>
          <w:spacing w:val="-2"/>
          <w:sz w:val="24"/>
        </w:rPr>
        <w:t xml:space="preserve"> Period.</w:t>
      </w:r>
    </w:p>
    <w:p w14:paraId="3F8C2689" w14:textId="77777777" w:rsidR="004C7180" w:rsidRPr="00150EDC" w:rsidRDefault="004C7180">
      <w:pPr>
        <w:pStyle w:val="BodyText"/>
        <w:spacing w:before="12"/>
        <w:rPr>
          <w:rFonts w:ascii="Calibri"/>
          <w:sz w:val="23"/>
        </w:rPr>
      </w:pPr>
    </w:p>
    <w:p w14:paraId="7EAF347A" w14:textId="77777777" w:rsidR="004C7180" w:rsidRPr="00150EDC" w:rsidRDefault="00CF0754" w:rsidP="00B320C7">
      <w:pPr>
        <w:pStyle w:val="ListParagraph"/>
        <w:numPr>
          <w:ilvl w:val="1"/>
          <w:numId w:val="182"/>
        </w:numPr>
        <w:tabs>
          <w:tab w:val="left" w:pos="1066"/>
        </w:tabs>
        <w:ind w:hanging="566"/>
        <w:rPr>
          <w:rFonts w:ascii="Calibri"/>
          <w:sz w:val="24"/>
        </w:rPr>
      </w:pPr>
      <w:r w:rsidRPr="00150EDC">
        <w:rPr>
          <w:rFonts w:ascii="Calibri"/>
          <w:sz w:val="24"/>
        </w:rPr>
        <w:t>CCS</w:t>
      </w:r>
      <w:r w:rsidRPr="00150EDC">
        <w:rPr>
          <w:rFonts w:ascii="Calibri"/>
          <w:spacing w:val="-4"/>
          <w:sz w:val="24"/>
        </w:rPr>
        <w:t xml:space="preserve"> </w:t>
      </w:r>
      <w:r w:rsidRPr="00150EDC">
        <w:rPr>
          <w:rFonts w:ascii="Calibri"/>
          <w:sz w:val="24"/>
        </w:rPr>
        <w:t>does</w:t>
      </w:r>
      <w:r w:rsidRPr="00150EDC">
        <w:rPr>
          <w:rFonts w:ascii="Calibri"/>
          <w:spacing w:val="-2"/>
          <w:sz w:val="24"/>
        </w:rPr>
        <w:t xml:space="preserve"> </w:t>
      </w:r>
      <w:r w:rsidRPr="00150EDC">
        <w:rPr>
          <w:rFonts w:ascii="Calibri"/>
          <w:sz w:val="24"/>
        </w:rPr>
        <w:t>not</w:t>
      </w:r>
      <w:r w:rsidRPr="00150EDC">
        <w:rPr>
          <w:rFonts w:ascii="Calibri"/>
          <w:spacing w:val="-2"/>
          <w:sz w:val="24"/>
        </w:rPr>
        <w:t xml:space="preserve"> </w:t>
      </w:r>
      <w:r w:rsidRPr="00150EDC">
        <w:rPr>
          <w:rFonts w:ascii="Calibri"/>
          <w:sz w:val="24"/>
        </w:rPr>
        <w:t>guarantee</w:t>
      </w:r>
      <w:r w:rsidRPr="00150EDC">
        <w:rPr>
          <w:rFonts w:ascii="Calibri"/>
          <w:spacing w:val="-3"/>
          <w:sz w:val="24"/>
        </w:rPr>
        <w:t xml:space="preserve"> </w:t>
      </w:r>
      <w:r w:rsidRPr="00150EDC">
        <w:rPr>
          <w:rFonts w:ascii="Calibri"/>
          <w:sz w:val="24"/>
        </w:rPr>
        <w:t>the</w:t>
      </w:r>
      <w:r w:rsidRPr="00150EDC">
        <w:rPr>
          <w:rFonts w:ascii="Calibri"/>
          <w:spacing w:val="-4"/>
          <w:sz w:val="24"/>
        </w:rPr>
        <w:t xml:space="preserve"> </w:t>
      </w:r>
      <w:r w:rsidRPr="00150EDC">
        <w:rPr>
          <w:rFonts w:ascii="Calibri"/>
          <w:sz w:val="24"/>
        </w:rPr>
        <w:t>Supplier</w:t>
      </w:r>
      <w:r w:rsidRPr="00150EDC">
        <w:rPr>
          <w:rFonts w:ascii="Calibri"/>
          <w:spacing w:val="-2"/>
          <w:sz w:val="24"/>
        </w:rPr>
        <w:t xml:space="preserve"> </w:t>
      </w:r>
      <w:r w:rsidRPr="00150EDC">
        <w:rPr>
          <w:rFonts w:ascii="Calibri"/>
          <w:sz w:val="24"/>
        </w:rPr>
        <w:t>any</w:t>
      </w:r>
      <w:r w:rsidRPr="00150EDC">
        <w:rPr>
          <w:rFonts w:ascii="Calibri"/>
          <w:spacing w:val="-5"/>
          <w:sz w:val="24"/>
        </w:rPr>
        <w:t xml:space="preserve"> </w:t>
      </w:r>
      <w:r w:rsidRPr="00150EDC">
        <w:rPr>
          <w:rFonts w:ascii="Calibri"/>
          <w:sz w:val="24"/>
        </w:rPr>
        <w:t>exclusivity,</w:t>
      </w:r>
      <w:r w:rsidRPr="00150EDC">
        <w:rPr>
          <w:rFonts w:ascii="Calibri"/>
          <w:spacing w:val="-2"/>
          <w:sz w:val="24"/>
        </w:rPr>
        <w:t xml:space="preserve"> </w:t>
      </w:r>
      <w:r w:rsidRPr="00150EDC">
        <w:rPr>
          <w:rFonts w:ascii="Calibri"/>
          <w:sz w:val="24"/>
        </w:rPr>
        <w:t>quantity</w:t>
      </w:r>
      <w:r w:rsidRPr="00150EDC">
        <w:rPr>
          <w:rFonts w:ascii="Calibri"/>
          <w:spacing w:val="-5"/>
          <w:sz w:val="24"/>
        </w:rPr>
        <w:t xml:space="preserve"> </w:t>
      </w:r>
      <w:r w:rsidRPr="00150EDC">
        <w:rPr>
          <w:rFonts w:ascii="Calibri"/>
          <w:sz w:val="24"/>
        </w:rPr>
        <w:t>or</w:t>
      </w:r>
      <w:r w:rsidRPr="00150EDC">
        <w:rPr>
          <w:rFonts w:ascii="Calibri"/>
          <w:spacing w:val="-1"/>
          <w:sz w:val="24"/>
        </w:rPr>
        <w:t xml:space="preserve"> </w:t>
      </w:r>
      <w:r w:rsidRPr="00150EDC">
        <w:rPr>
          <w:rFonts w:ascii="Calibri"/>
          <w:sz w:val="24"/>
        </w:rPr>
        <w:t>value of</w:t>
      </w:r>
      <w:r w:rsidRPr="00150EDC">
        <w:rPr>
          <w:rFonts w:ascii="Calibri"/>
          <w:spacing w:val="-3"/>
          <w:sz w:val="24"/>
        </w:rPr>
        <w:t xml:space="preserve"> </w:t>
      </w:r>
      <w:r w:rsidRPr="00150EDC">
        <w:rPr>
          <w:rFonts w:ascii="Calibri"/>
          <w:sz w:val="24"/>
        </w:rPr>
        <w:t>work</w:t>
      </w:r>
      <w:r w:rsidRPr="00150EDC">
        <w:rPr>
          <w:rFonts w:ascii="Calibri"/>
          <w:spacing w:val="-3"/>
          <w:sz w:val="24"/>
        </w:rPr>
        <w:t xml:space="preserve"> </w:t>
      </w:r>
      <w:r w:rsidRPr="00150EDC">
        <w:rPr>
          <w:rFonts w:ascii="Calibri"/>
          <w:sz w:val="24"/>
        </w:rPr>
        <w:t>under</w:t>
      </w:r>
      <w:r w:rsidRPr="00150EDC">
        <w:rPr>
          <w:rFonts w:ascii="Calibri"/>
          <w:spacing w:val="-1"/>
          <w:sz w:val="24"/>
        </w:rPr>
        <w:t xml:space="preserve"> </w:t>
      </w:r>
      <w:r w:rsidRPr="00150EDC">
        <w:rPr>
          <w:rFonts w:ascii="Calibri"/>
          <w:sz w:val="24"/>
        </w:rPr>
        <w:t>the</w:t>
      </w:r>
      <w:r w:rsidRPr="00150EDC">
        <w:rPr>
          <w:rFonts w:ascii="Calibri"/>
          <w:spacing w:val="-4"/>
          <w:sz w:val="24"/>
        </w:rPr>
        <w:t xml:space="preserve"> </w:t>
      </w:r>
      <w:r w:rsidRPr="00150EDC">
        <w:rPr>
          <w:rFonts w:ascii="Calibri"/>
          <w:sz w:val="24"/>
        </w:rPr>
        <w:t>DPS</w:t>
      </w:r>
      <w:r w:rsidRPr="00150EDC">
        <w:rPr>
          <w:rFonts w:ascii="Calibri"/>
          <w:spacing w:val="-2"/>
          <w:sz w:val="24"/>
        </w:rPr>
        <w:t xml:space="preserve"> Contract.</w:t>
      </w:r>
    </w:p>
    <w:p w14:paraId="227D1CF1" w14:textId="77777777" w:rsidR="004C7180" w:rsidRPr="00150EDC" w:rsidRDefault="004C7180">
      <w:pPr>
        <w:pStyle w:val="BodyText"/>
        <w:spacing w:before="12"/>
        <w:rPr>
          <w:rFonts w:ascii="Calibri"/>
          <w:sz w:val="23"/>
        </w:rPr>
      </w:pPr>
    </w:p>
    <w:p w14:paraId="34CBFD54" w14:textId="77777777" w:rsidR="004C7180" w:rsidRPr="00150EDC" w:rsidRDefault="00CF0754" w:rsidP="00B320C7">
      <w:pPr>
        <w:pStyle w:val="ListParagraph"/>
        <w:numPr>
          <w:ilvl w:val="1"/>
          <w:numId w:val="182"/>
        </w:numPr>
        <w:tabs>
          <w:tab w:val="left" w:pos="1066"/>
        </w:tabs>
        <w:ind w:right="634"/>
        <w:rPr>
          <w:rFonts w:ascii="Calibri"/>
          <w:sz w:val="24"/>
        </w:rPr>
      </w:pPr>
      <w:r w:rsidRPr="00150EDC">
        <w:rPr>
          <w:rFonts w:ascii="Calibri"/>
          <w:sz w:val="24"/>
        </w:rPr>
        <w:t>CCS</w:t>
      </w:r>
      <w:r w:rsidRPr="00150EDC">
        <w:rPr>
          <w:rFonts w:ascii="Calibri"/>
          <w:spacing w:val="-2"/>
          <w:sz w:val="24"/>
        </w:rPr>
        <w:t xml:space="preserve"> </w:t>
      </w:r>
      <w:r w:rsidRPr="00150EDC">
        <w:rPr>
          <w:rFonts w:ascii="Calibri"/>
          <w:sz w:val="24"/>
        </w:rPr>
        <w:t>has</w:t>
      </w:r>
      <w:r w:rsidRPr="00150EDC">
        <w:rPr>
          <w:rFonts w:ascii="Calibri"/>
          <w:spacing w:val="-2"/>
          <w:sz w:val="24"/>
        </w:rPr>
        <w:t xml:space="preserve"> </w:t>
      </w:r>
      <w:r w:rsidRPr="00150EDC">
        <w:rPr>
          <w:rFonts w:ascii="Calibri"/>
          <w:sz w:val="24"/>
        </w:rPr>
        <w:t>paid</w:t>
      </w:r>
      <w:r w:rsidRPr="00150EDC">
        <w:rPr>
          <w:rFonts w:ascii="Calibri"/>
          <w:spacing w:val="-1"/>
          <w:sz w:val="24"/>
        </w:rPr>
        <w:t xml:space="preserve"> </w:t>
      </w:r>
      <w:r w:rsidRPr="00150EDC">
        <w:rPr>
          <w:rFonts w:ascii="Calibri"/>
          <w:sz w:val="24"/>
        </w:rPr>
        <w:t>one</w:t>
      </w:r>
      <w:r w:rsidRPr="00150EDC">
        <w:rPr>
          <w:rFonts w:ascii="Calibri"/>
          <w:spacing w:val="-3"/>
          <w:sz w:val="24"/>
        </w:rPr>
        <w:t xml:space="preserve"> </w:t>
      </w:r>
      <w:r w:rsidRPr="00150EDC">
        <w:rPr>
          <w:rFonts w:ascii="Calibri"/>
          <w:sz w:val="24"/>
        </w:rPr>
        <w:t>penny</w:t>
      </w:r>
      <w:r w:rsidRPr="00150EDC">
        <w:rPr>
          <w:rFonts w:ascii="Calibri"/>
          <w:spacing w:val="-5"/>
          <w:sz w:val="24"/>
        </w:rPr>
        <w:t xml:space="preserve"> </w:t>
      </w:r>
      <w:r w:rsidRPr="00150EDC">
        <w:rPr>
          <w:rFonts w:ascii="Calibri"/>
          <w:sz w:val="24"/>
        </w:rPr>
        <w:t>to</w:t>
      </w:r>
      <w:r w:rsidRPr="00150EDC">
        <w:rPr>
          <w:rFonts w:ascii="Calibri"/>
          <w:spacing w:val="-1"/>
          <w:sz w:val="24"/>
        </w:rPr>
        <w:t xml:space="preserve"> </w:t>
      </w:r>
      <w:r w:rsidRPr="00150EDC">
        <w:rPr>
          <w:rFonts w:ascii="Calibri"/>
          <w:sz w:val="24"/>
        </w:rPr>
        <w:t>the</w:t>
      </w:r>
      <w:r w:rsidRPr="00150EDC">
        <w:rPr>
          <w:rFonts w:ascii="Calibri"/>
          <w:spacing w:val="-1"/>
          <w:sz w:val="24"/>
        </w:rPr>
        <w:t xml:space="preserve"> </w:t>
      </w:r>
      <w:r w:rsidRPr="00150EDC">
        <w:rPr>
          <w:rFonts w:ascii="Calibri"/>
          <w:sz w:val="24"/>
        </w:rPr>
        <w:t>Supplier</w:t>
      </w:r>
      <w:r w:rsidRPr="00150EDC">
        <w:rPr>
          <w:rFonts w:ascii="Calibri"/>
          <w:spacing w:val="-3"/>
          <w:sz w:val="24"/>
        </w:rPr>
        <w:t xml:space="preserve"> </w:t>
      </w:r>
      <w:r w:rsidRPr="00150EDC">
        <w:rPr>
          <w:rFonts w:ascii="Calibri"/>
          <w:sz w:val="24"/>
        </w:rPr>
        <w:t>legally</w:t>
      </w:r>
      <w:r w:rsidRPr="00150EDC">
        <w:rPr>
          <w:rFonts w:ascii="Calibri"/>
          <w:spacing w:val="-4"/>
          <w:sz w:val="24"/>
        </w:rPr>
        <w:t xml:space="preserve"> </w:t>
      </w:r>
      <w:r w:rsidRPr="00150EDC">
        <w:rPr>
          <w:rFonts w:ascii="Calibri"/>
          <w:sz w:val="24"/>
        </w:rPr>
        <w:t>to</w:t>
      </w:r>
      <w:r w:rsidRPr="00150EDC">
        <w:rPr>
          <w:rFonts w:ascii="Calibri"/>
          <w:spacing w:val="-3"/>
          <w:sz w:val="24"/>
        </w:rPr>
        <w:t xml:space="preserve"> </w:t>
      </w:r>
      <w:r w:rsidRPr="00150EDC">
        <w:rPr>
          <w:rFonts w:ascii="Calibri"/>
          <w:sz w:val="24"/>
        </w:rPr>
        <w:t>form</w:t>
      </w:r>
      <w:r w:rsidRPr="00150EDC">
        <w:rPr>
          <w:rFonts w:ascii="Calibri"/>
          <w:spacing w:val="-2"/>
          <w:sz w:val="24"/>
        </w:rPr>
        <w:t xml:space="preserve"> </w:t>
      </w:r>
      <w:r w:rsidRPr="00150EDC">
        <w:rPr>
          <w:rFonts w:ascii="Calibri"/>
          <w:sz w:val="24"/>
        </w:rPr>
        <w:t>the</w:t>
      </w:r>
      <w:r w:rsidRPr="00150EDC">
        <w:rPr>
          <w:rFonts w:ascii="Calibri"/>
          <w:spacing w:val="-3"/>
          <w:sz w:val="24"/>
        </w:rPr>
        <w:t xml:space="preserve"> </w:t>
      </w:r>
      <w:r w:rsidRPr="00150EDC">
        <w:rPr>
          <w:rFonts w:ascii="Calibri"/>
          <w:sz w:val="24"/>
        </w:rPr>
        <w:t>DPS</w:t>
      </w:r>
      <w:r w:rsidRPr="00150EDC">
        <w:rPr>
          <w:rFonts w:ascii="Calibri"/>
          <w:spacing w:val="-3"/>
          <w:sz w:val="24"/>
        </w:rPr>
        <w:t xml:space="preserve"> </w:t>
      </w:r>
      <w:r w:rsidRPr="00150EDC">
        <w:rPr>
          <w:rFonts w:ascii="Calibri"/>
          <w:sz w:val="24"/>
        </w:rPr>
        <w:t>Contract.</w:t>
      </w:r>
      <w:r w:rsidRPr="00150EDC">
        <w:rPr>
          <w:rFonts w:ascii="Calibri"/>
          <w:spacing w:val="-3"/>
          <w:sz w:val="24"/>
        </w:rPr>
        <w:t xml:space="preserve"> </w:t>
      </w:r>
      <w:r w:rsidRPr="00150EDC">
        <w:rPr>
          <w:rFonts w:ascii="Calibri"/>
          <w:sz w:val="24"/>
        </w:rPr>
        <w:t>The</w:t>
      </w:r>
      <w:r w:rsidRPr="00150EDC">
        <w:rPr>
          <w:rFonts w:ascii="Calibri"/>
          <w:spacing w:val="-1"/>
          <w:sz w:val="24"/>
        </w:rPr>
        <w:t xml:space="preserve"> </w:t>
      </w:r>
      <w:r w:rsidRPr="00150EDC">
        <w:rPr>
          <w:rFonts w:ascii="Calibri"/>
          <w:sz w:val="24"/>
        </w:rPr>
        <w:t>Supplier</w:t>
      </w:r>
      <w:r w:rsidRPr="00150EDC">
        <w:rPr>
          <w:rFonts w:ascii="Calibri"/>
          <w:spacing w:val="-1"/>
          <w:sz w:val="24"/>
        </w:rPr>
        <w:t xml:space="preserve"> </w:t>
      </w:r>
      <w:r w:rsidRPr="00150EDC">
        <w:rPr>
          <w:rFonts w:ascii="Calibri"/>
          <w:sz w:val="24"/>
        </w:rPr>
        <w:t>acknowledges</w:t>
      </w:r>
      <w:r w:rsidRPr="00150EDC">
        <w:rPr>
          <w:rFonts w:ascii="Calibri"/>
          <w:spacing w:val="-2"/>
          <w:sz w:val="24"/>
        </w:rPr>
        <w:t xml:space="preserve"> </w:t>
      </w:r>
      <w:r w:rsidRPr="00150EDC">
        <w:rPr>
          <w:rFonts w:ascii="Calibri"/>
          <w:sz w:val="24"/>
        </w:rPr>
        <w:t xml:space="preserve">this </w:t>
      </w:r>
      <w:r w:rsidRPr="00150EDC">
        <w:rPr>
          <w:rFonts w:ascii="Calibri"/>
          <w:spacing w:val="-2"/>
          <w:sz w:val="24"/>
        </w:rPr>
        <w:t>payment.</w:t>
      </w:r>
    </w:p>
    <w:p w14:paraId="10C246B3" w14:textId="77777777" w:rsidR="004C7180" w:rsidRPr="00150EDC" w:rsidRDefault="004C7180">
      <w:pPr>
        <w:pStyle w:val="BodyText"/>
        <w:spacing w:before="1"/>
        <w:rPr>
          <w:rFonts w:ascii="Calibri"/>
        </w:rPr>
      </w:pPr>
    </w:p>
    <w:p w14:paraId="081F09F0" w14:textId="77777777" w:rsidR="004C7180" w:rsidRPr="00150EDC" w:rsidRDefault="00CF0754" w:rsidP="00B320C7">
      <w:pPr>
        <w:pStyle w:val="ListParagraph"/>
        <w:numPr>
          <w:ilvl w:val="1"/>
          <w:numId w:val="182"/>
        </w:numPr>
        <w:tabs>
          <w:tab w:val="left" w:pos="1066"/>
        </w:tabs>
        <w:spacing w:before="1"/>
        <w:ind w:right="1136"/>
        <w:rPr>
          <w:rFonts w:ascii="Calibri"/>
          <w:sz w:val="24"/>
        </w:rPr>
      </w:pPr>
      <w:r w:rsidRPr="00150EDC">
        <w:rPr>
          <w:rFonts w:ascii="Calibri"/>
          <w:sz w:val="24"/>
        </w:rPr>
        <w:t>If the Buyer decides to buy Deliverables under the DPS Contract it must use DPS Schedule 7 (Order Procedure)</w:t>
      </w:r>
      <w:r w:rsidRPr="00150EDC">
        <w:rPr>
          <w:rFonts w:ascii="Calibri"/>
          <w:spacing w:val="-4"/>
          <w:sz w:val="24"/>
        </w:rPr>
        <w:t xml:space="preserve"> </w:t>
      </w:r>
      <w:r w:rsidRPr="00150EDC">
        <w:rPr>
          <w:rFonts w:ascii="Calibri"/>
          <w:sz w:val="24"/>
        </w:rPr>
        <w:t>and</w:t>
      </w:r>
      <w:r w:rsidRPr="00150EDC">
        <w:rPr>
          <w:rFonts w:ascii="Calibri"/>
          <w:spacing w:val="-4"/>
          <w:sz w:val="24"/>
        </w:rPr>
        <w:t xml:space="preserve"> </w:t>
      </w:r>
      <w:r w:rsidRPr="00150EDC">
        <w:rPr>
          <w:rFonts w:ascii="Calibri"/>
          <w:sz w:val="24"/>
        </w:rPr>
        <w:t>must</w:t>
      </w:r>
      <w:r w:rsidRPr="00150EDC">
        <w:rPr>
          <w:rFonts w:ascii="Calibri"/>
          <w:spacing w:val="-4"/>
          <w:sz w:val="24"/>
        </w:rPr>
        <w:t xml:space="preserve"> </w:t>
      </w:r>
      <w:r w:rsidRPr="00150EDC">
        <w:rPr>
          <w:rFonts w:ascii="Calibri"/>
          <w:sz w:val="24"/>
        </w:rPr>
        <w:t>state</w:t>
      </w:r>
      <w:r w:rsidRPr="00150EDC">
        <w:rPr>
          <w:rFonts w:ascii="Calibri"/>
          <w:spacing w:val="-2"/>
          <w:sz w:val="24"/>
        </w:rPr>
        <w:t xml:space="preserve"> </w:t>
      </w:r>
      <w:r w:rsidRPr="00150EDC">
        <w:rPr>
          <w:rFonts w:ascii="Calibri"/>
          <w:sz w:val="24"/>
        </w:rPr>
        <w:t>its</w:t>
      </w:r>
      <w:r w:rsidRPr="00150EDC">
        <w:rPr>
          <w:rFonts w:ascii="Calibri"/>
          <w:spacing w:val="-3"/>
          <w:sz w:val="24"/>
        </w:rPr>
        <w:t xml:space="preserve"> </w:t>
      </w:r>
      <w:r w:rsidRPr="00150EDC">
        <w:rPr>
          <w:rFonts w:ascii="Calibri"/>
          <w:sz w:val="24"/>
        </w:rPr>
        <w:t>requirements</w:t>
      </w:r>
      <w:r w:rsidRPr="00150EDC">
        <w:rPr>
          <w:rFonts w:ascii="Calibri"/>
          <w:spacing w:val="-5"/>
          <w:sz w:val="24"/>
        </w:rPr>
        <w:t xml:space="preserve"> </w:t>
      </w:r>
      <w:r w:rsidRPr="00150EDC">
        <w:rPr>
          <w:rFonts w:ascii="Calibri"/>
          <w:sz w:val="24"/>
        </w:rPr>
        <w:t>using</w:t>
      </w:r>
      <w:r w:rsidRPr="00150EDC">
        <w:rPr>
          <w:rFonts w:ascii="Calibri"/>
          <w:spacing w:val="-5"/>
          <w:sz w:val="24"/>
        </w:rPr>
        <w:t xml:space="preserve"> </w:t>
      </w:r>
      <w:r w:rsidRPr="00150EDC">
        <w:rPr>
          <w:rFonts w:ascii="Calibri"/>
          <w:sz w:val="24"/>
        </w:rPr>
        <w:t>DPS</w:t>
      </w:r>
      <w:r w:rsidRPr="00150EDC">
        <w:rPr>
          <w:rFonts w:ascii="Calibri"/>
          <w:spacing w:val="-4"/>
          <w:sz w:val="24"/>
        </w:rPr>
        <w:t xml:space="preserve"> </w:t>
      </w:r>
      <w:r w:rsidRPr="00150EDC">
        <w:rPr>
          <w:rFonts w:ascii="Calibri"/>
          <w:sz w:val="24"/>
        </w:rPr>
        <w:t>Schedule</w:t>
      </w:r>
      <w:r w:rsidRPr="00150EDC">
        <w:rPr>
          <w:rFonts w:ascii="Calibri"/>
          <w:spacing w:val="-5"/>
          <w:sz w:val="24"/>
        </w:rPr>
        <w:t xml:space="preserve"> </w:t>
      </w:r>
      <w:r w:rsidRPr="00150EDC">
        <w:rPr>
          <w:rFonts w:ascii="Calibri"/>
          <w:sz w:val="24"/>
        </w:rPr>
        <w:t>6</w:t>
      </w:r>
      <w:r w:rsidRPr="00150EDC">
        <w:rPr>
          <w:rFonts w:ascii="Calibri"/>
          <w:spacing w:val="-2"/>
          <w:sz w:val="24"/>
        </w:rPr>
        <w:t xml:space="preserve"> </w:t>
      </w:r>
      <w:r w:rsidRPr="00150EDC">
        <w:rPr>
          <w:rFonts w:ascii="Calibri"/>
          <w:sz w:val="24"/>
        </w:rPr>
        <w:t>(Order</w:t>
      </w:r>
      <w:r w:rsidRPr="00150EDC">
        <w:rPr>
          <w:rFonts w:ascii="Calibri"/>
          <w:spacing w:val="-2"/>
          <w:sz w:val="24"/>
        </w:rPr>
        <w:t xml:space="preserve"> </w:t>
      </w:r>
      <w:r w:rsidRPr="00150EDC">
        <w:rPr>
          <w:rFonts w:ascii="Calibri"/>
          <w:sz w:val="24"/>
        </w:rPr>
        <w:t>Form</w:t>
      </w:r>
      <w:r w:rsidRPr="00150EDC">
        <w:rPr>
          <w:rFonts w:ascii="Calibri"/>
          <w:spacing w:val="-3"/>
          <w:sz w:val="24"/>
        </w:rPr>
        <w:t xml:space="preserve"> </w:t>
      </w:r>
      <w:r w:rsidRPr="00150EDC">
        <w:rPr>
          <w:rFonts w:ascii="Calibri"/>
          <w:sz w:val="24"/>
        </w:rPr>
        <w:t>Template</w:t>
      </w:r>
      <w:r w:rsidRPr="00150EDC">
        <w:rPr>
          <w:rFonts w:ascii="Calibri"/>
          <w:spacing w:val="-2"/>
          <w:sz w:val="24"/>
        </w:rPr>
        <w:t xml:space="preserve"> </w:t>
      </w:r>
      <w:r w:rsidRPr="00150EDC">
        <w:rPr>
          <w:rFonts w:ascii="Calibri"/>
          <w:sz w:val="24"/>
        </w:rPr>
        <w:t>and</w:t>
      </w:r>
      <w:r w:rsidRPr="00150EDC">
        <w:rPr>
          <w:rFonts w:ascii="Calibri"/>
          <w:spacing w:val="-4"/>
          <w:sz w:val="24"/>
        </w:rPr>
        <w:t xml:space="preserve"> </w:t>
      </w:r>
      <w:r w:rsidRPr="00150EDC">
        <w:rPr>
          <w:rFonts w:ascii="Calibri"/>
          <w:sz w:val="24"/>
        </w:rPr>
        <w:t>Order Schedules). If allowed by the Regulations, the Buyer can:</w:t>
      </w:r>
    </w:p>
    <w:p w14:paraId="29CCE58D" w14:textId="77777777" w:rsidR="004C7180" w:rsidRPr="00150EDC" w:rsidRDefault="004C7180">
      <w:pPr>
        <w:pStyle w:val="BodyText"/>
        <w:spacing w:before="4"/>
        <w:rPr>
          <w:rFonts w:ascii="Calibri"/>
          <w:sz w:val="27"/>
        </w:rPr>
      </w:pPr>
    </w:p>
    <w:p w14:paraId="348F0FE4" w14:textId="77777777" w:rsidR="004C7180" w:rsidRPr="00150EDC" w:rsidRDefault="00CF0754" w:rsidP="00B320C7">
      <w:pPr>
        <w:pStyle w:val="ListParagraph"/>
        <w:numPr>
          <w:ilvl w:val="0"/>
          <w:numId w:val="181"/>
        </w:numPr>
        <w:tabs>
          <w:tab w:val="left" w:pos="1491"/>
        </w:tabs>
        <w:ind w:left="1491" w:hanging="425"/>
        <w:rPr>
          <w:rFonts w:ascii="Calibri"/>
          <w:sz w:val="24"/>
        </w:rPr>
      </w:pPr>
      <w:r w:rsidRPr="00150EDC">
        <w:rPr>
          <w:rFonts w:ascii="Calibri"/>
          <w:sz w:val="24"/>
        </w:rPr>
        <w:t>make</w:t>
      </w:r>
      <w:r w:rsidRPr="00150EDC">
        <w:rPr>
          <w:rFonts w:ascii="Calibri"/>
          <w:spacing w:val="-4"/>
          <w:sz w:val="24"/>
        </w:rPr>
        <w:t xml:space="preserve"> </w:t>
      </w:r>
      <w:r w:rsidRPr="00150EDC">
        <w:rPr>
          <w:rFonts w:ascii="Calibri"/>
          <w:sz w:val="24"/>
        </w:rPr>
        <w:t>changes</w:t>
      </w:r>
      <w:r w:rsidRPr="00150EDC">
        <w:rPr>
          <w:rFonts w:ascii="Calibri"/>
          <w:spacing w:val="-4"/>
          <w:sz w:val="24"/>
        </w:rPr>
        <w:t xml:space="preserve"> </w:t>
      </w:r>
      <w:r w:rsidRPr="00150EDC">
        <w:rPr>
          <w:rFonts w:ascii="Calibri"/>
          <w:sz w:val="24"/>
        </w:rPr>
        <w:t>to</w:t>
      </w:r>
      <w:r w:rsidRPr="00150EDC">
        <w:rPr>
          <w:rFonts w:ascii="Calibri"/>
          <w:spacing w:val="-4"/>
          <w:sz w:val="24"/>
        </w:rPr>
        <w:t xml:space="preserve"> </w:t>
      </w:r>
      <w:r w:rsidRPr="00150EDC">
        <w:rPr>
          <w:rFonts w:ascii="Calibri"/>
          <w:sz w:val="24"/>
        </w:rPr>
        <w:t>DPS</w:t>
      </w:r>
      <w:r w:rsidRPr="00150EDC">
        <w:rPr>
          <w:rFonts w:ascii="Calibri"/>
          <w:spacing w:val="-1"/>
          <w:sz w:val="24"/>
        </w:rPr>
        <w:t xml:space="preserve"> </w:t>
      </w:r>
      <w:r w:rsidRPr="00150EDC">
        <w:rPr>
          <w:rFonts w:ascii="Calibri"/>
          <w:sz w:val="24"/>
        </w:rPr>
        <w:t>Schedule 6</w:t>
      </w:r>
      <w:r w:rsidRPr="00150EDC">
        <w:rPr>
          <w:rFonts w:ascii="Calibri"/>
          <w:spacing w:val="-1"/>
          <w:sz w:val="24"/>
        </w:rPr>
        <w:t xml:space="preserve"> </w:t>
      </w:r>
      <w:r w:rsidRPr="00150EDC">
        <w:rPr>
          <w:rFonts w:ascii="Calibri"/>
          <w:sz w:val="24"/>
        </w:rPr>
        <w:t>(Order</w:t>
      </w:r>
      <w:r w:rsidRPr="00150EDC">
        <w:rPr>
          <w:rFonts w:ascii="Calibri"/>
          <w:spacing w:val="-3"/>
          <w:sz w:val="24"/>
        </w:rPr>
        <w:t xml:space="preserve"> </w:t>
      </w:r>
      <w:r w:rsidRPr="00150EDC">
        <w:rPr>
          <w:rFonts w:ascii="Calibri"/>
          <w:sz w:val="24"/>
        </w:rPr>
        <w:t>Form</w:t>
      </w:r>
      <w:r w:rsidRPr="00150EDC">
        <w:rPr>
          <w:rFonts w:ascii="Calibri"/>
          <w:spacing w:val="-4"/>
          <w:sz w:val="24"/>
        </w:rPr>
        <w:t xml:space="preserve"> </w:t>
      </w:r>
      <w:r w:rsidRPr="00150EDC">
        <w:rPr>
          <w:rFonts w:ascii="Calibri"/>
          <w:sz w:val="24"/>
        </w:rPr>
        <w:t>Template</w:t>
      </w:r>
      <w:r w:rsidRPr="00150EDC">
        <w:rPr>
          <w:rFonts w:ascii="Calibri"/>
          <w:spacing w:val="-4"/>
          <w:sz w:val="24"/>
        </w:rPr>
        <w:t xml:space="preserve"> </w:t>
      </w:r>
      <w:r w:rsidRPr="00150EDC">
        <w:rPr>
          <w:rFonts w:ascii="Calibri"/>
          <w:sz w:val="24"/>
        </w:rPr>
        <w:t>and</w:t>
      </w:r>
      <w:r w:rsidRPr="00150EDC">
        <w:rPr>
          <w:rFonts w:ascii="Calibri"/>
          <w:spacing w:val="-1"/>
          <w:sz w:val="24"/>
        </w:rPr>
        <w:t xml:space="preserve"> </w:t>
      </w:r>
      <w:r w:rsidRPr="00150EDC">
        <w:rPr>
          <w:rFonts w:ascii="Calibri"/>
          <w:sz w:val="24"/>
        </w:rPr>
        <w:t>Order</w:t>
      </w:r>
      <w:r w:rsidRPr="00150EDC">
        <w:rPr>
          <w:rFonts w:ascii="Calibri"/>
          <w:spacing w:val="-1"/>
          <w:sz w:val="24"/>
        </w:rPr>
        <w:t xml:space="preserve"> </w:t>
      </w:r>
      <w:r w:rsidRPr="00150EDC">
        <w:rPr>
          <w:rFonts w:ascii="Calibri"/>
          <w:spacing w:val="-2"/>
          <w:sz w:val="24"/>
        </w:rPr>
        <w:t>Schedules);</w:t>
      </w:r>
    </w:p>
    <w:p w14:paraId="6F61641C" w14:textId="77777777" w:rsidR="004C7180" w:rsidRPr="00150EDC" w:rsidRDefault="00CF0754" w:rsidP="00B320C7">
      <w:pPr>
        <w:pStyle w:val="ListParagraph"/>
        <w:numPr>
          <w:ilvl w:val="0"/>
          <w:numId w:val="181"/>
        </w:numPr>
        <w:tabs>
          <w:tab w:val="left" w:pos="1491"/>
        </w:tabs>
        <w:spacing w:before="19"/>
        <w:ind w:left="1491" w:hanging="425"/>
        <w:rPr>
          <w:rFonts w:ascii="Calibri"/>
          <w:sz w:val="24"/>
        </w:rPr>
      </w:pPr>
      <w:r w:rsidRPr="00150EDC">
        <w:rPr>
          <w:rFonts w:ascii="Calibri"/>
          <w:sz w:val="24"/>
        </w:rPr>
        <w:t>create</w:t>
      </w:r>
      <w:r w:rsidRPr="00150EDC">
        <w:rPr>
          <w:rFonts w:ascii="Calibri"/>
          <w:spacing w:val="-3"/>
          <w:sz w:val="24"/>
        </w:rPr>
        <w:t xml:space="preserve"> </w:t>
      </w:r>
      <w:r w:rsidRPr="00150EDC">
        <w:rPr>
          <w:rFonts w:ascii="Calibri"/>
          <w:sz w:val="24"/>
        </w:rPr>
        <w:t>new</w:t>
      </w:r>
      <w:r w:rsidRPr="00150EDC">
        <w:rPr>
          <w:rFonts w:ascii="Calibri"/>
          <w:spacing w:val="-1"/>
          <w:sz w:val="24"/>
        </w:rPr>
        <w:t xml:space="preserve"> </w:t>
      </w:r>
      <w:r w:rsidRPr="00150EDC">
        <w:rPr>
          <w:rFonts w:ascii="Calibri"/>
          <w:sz w:val="24"/>
        </w:rPr>
        <w:t xml:space="preserve">Order </w:t>
      </w:r>
      <w:r w:rsidRPr="00150EDC">
        <w:rPr>
          <w:rFonts w:ascii="Calibri"/>
          <w:spacing w:val="-2"/>
          <w:sz w:val="24"/>
        </w:rPr>
        <w:t>Schedules;</w:t>
      </w:r>
    </w:p>
    <w:p w14:paraId="064A6E8D" w14:textId="77777777" w:rsidR="004C7180" w:rsidRPr="00150EDC" w:rsidRDefault="00CF0754" w:rsidP="00B320C7">
      <w:pPr>
        <w:pStyle w:val="ListParagraph"/>
        <w:numPr>
          <w:ilvl w:val="0"/>
          <w:numId w:val="181"/>
        </w:numPr>
        <w:tabs>
          <w:tab w:val="left" w:pos="1492"/>
        </w:tabs>
        <w:spacing w:before="19"/>
        <w:ind w:left="1492" w:hanging="426"/>
        <w:rPr>
          <w:rFonts w:ascii="Calibri"/>
          <w:sz w:val="24"/>
        </w:rPr>
      </w:pPr>
      <w:r w:rsidRPr="00150EDC">
        <w:rPr>
          <w:rFonts w:ascii="Calibri"/>
          <w:sz w:val="24"/>
        </w:rPr>
        <w:t>exclude</w:t>
      </w:r>
      <w:r w:rsidRPr="00150EDC">
        <w:rPr>
          <w:rFonts w:ascii="Calibri"/>
          <w:spacing w:val="-5"/>
          <w:sz w:val="24"/>
        </w:rPr>
        <w:t xml:space="preserve"> </w:t>
      </w:r>
      <w:r w:rsidRPr="00150EDC">
        <w:rPr>
          <w:rFonts w:ascii="Calibri"/>
          <w:sz w:val="24"/>
        </w:rPr>
        <w:t>optional</w:t>
      </w:r>
      <w:r w:rsidRPr="00150EDC">
        <w:rPr>
          <w:rFonts w:ascii="Calibri"/>
          <w:spacing w:val="-6"/>
          <w:sz w:val="24"/>
        </w:rPr>
        <w:t xml:space="preserve"> </w:t>
      </w:r>
      <w:r w:rsidRPr="00150EDC">
        <w:rPr>
          <w:rFonts w:ascii="Calibri"/>
          <w:sz w:val="24"/>
        </w:rPr>
        <w:t>template</w:t>
      </w:r>
      <w:r w:rsidRPr="00150EDC">
        <w:rPr>
          <w:rFonts w:ascii="Calibri"/>
          <w:spacing w:val="-4"/>
          <w:sz w:val="24"/>
        </w:rPr>
        <w:t xml:space="preserve"> </w:t>
      </w:r>
      <w:r w:rsidRPr="00150EDC">
        <w:rPr>
          <w:rFonts w:ascii="Calibri"/>
          <w:sz w:val="24"/>
        </w:rPr>
        <w:t>Order</w:t>
      </w:r>
      <w:r w:rsidRPr="00150EDC">
        <w:rPr>
          <w:rFonts w:ascii="Calibri"/>
          <w:spacing w:val="-6"/>
          <w:sz w:val="24"/>
        </w:rPr>
        <w:t xml:space="preserve"> </w:t>
      </w:r>
      <w:r w:rsidRPr="00150EDC">
        <w:rPr>
          <w:rFonts w:ascii="Calibri"/>
          <w:sz w:val="24"/>
        </w:rPr>
        <w:t>Schedules;</w:t>
      </w:r>
      <w:r w:rsidRPr="00150EDC">
        <w:rPr>
          <w:rFonts w:ascii="Calibri"/>
          <w:spacing w:val="-4"/>
          <w:sz w:val="24"/>
        </w:rPr>
        <w:t xml:space="preserve"> </w:t>
      </w:r>
      <w:r w:rsidRPr="00150EDC">
        <w:rPr>
          <w:rFonts w:ascii="Calibri"/>
          <w:spacing w:val="-2"/>
          <w:sz w:val="24"/>
        </w:rPr>
        <w:t>and/or</w:t>
      </w:r>
    </w:p>
    <w:p w14:paraId="707FCBBF" w14:textId="77777777" w:rsidR="004C7180" w:rsidRPr="00150EDC" w:rsidRDefault="00CF0754" w:rsidP="00B320C7">
      <w:pPr>
        <w:pStyle w:val="ListParagraph"/>
        <w:numPr>
          <w:ilvl w:val="0"/>
          <w:numId w:val="181"/>
        </w:numPr>
        <w:tabs>
          <w:tab w:val="left" w:pos="1491"/>
        </w:tabs>
        <w:spacing w:before="19"/>
        <w:ind w:left="1491" w:hanging="425"/>
        <w:rPr>
          <w:rFonts w:ascii="Calibri"/>
          <w:sz w:val="24"/>
        </w:rPr>
      </w:pPr>
      <w:r w:rsidRPr="00150EDC">
        <w:rPr>
          <w:rFonts w:ascii="Calibri"/>
          <w:sz w:val="24"/>
        </w:rPr>
        <w:t>use</w:t>
      </w:r>
      <w:r w:rsidRPr="00150EDC">
        <w:rPr>
          <w:rFonts w:ascii="Calibri"/>
          <w:spacing w:val="-2"/>
          <w:sz w:val="24"/>
        </w:rPr>
        <w:t xml:space="preserve"> </w:t>
      </w:r>
      <w:r w:rsidRPr="00150EDC">
        <w:rPr>
          <w:rFonts w:ascii="Calibri"/>
          <w:sz w:val="24"/>
        </w:rPr>
        <w:t>Special</w:t>
      </w:r>
      <w:r w:rsidRPr="00150EDC">
        <w:rPr>
          <w:rFonts w:ascii="Calibri"/>
          <w:spacing w:val="-2"/>
          <w:sz w:val="24"/>
        </w:rPr>
        <w:t xml:space="preserve"> </w:t>
      </w:r>
      <w:r w:rsidRPr="00150EDC">
        <w:rPr>
          <w:rFonts w:ascii="Calibri"/>
          <w:sz w:val="24"/>
        </w:rPr>
        <w:t>Terms</w:t>
      </w:r>
      <w:r w:rsidRPr="00150EDC">
        <w:rPr>
          <w:rFonts w:ascii="Calibri"/>
          <w:spacing w:val="-2"/>
          <w:sz w:val="24"/>
        </w:rPr>
        <w:t xml:space="preserve"> </w:t>
      </w:r>
      <w:r w:rsidRPr="00150EDC">
        <w:rPr>
          <w:rFonts w:ascii="Calibri"/>
          <w:sz w:val="24"/>
        </w:rPr>
        <w:t>in</w:t>
      </w:r>
      <w:r w:rsidRPr="00150EDC">
        <w:rPr>
          <w:rFonts w:ascii="Calibri"/>
          <w:spacing w:val="-2"/>
          <w:sz w:val="24"/>
        </w:rPr>
        <w:t xml:space="preserve"> </w:t>
      </w:r>
      <w:r w:rsidRPr="00150EDC">
        <w:rPr>
          <w:rFonts w:ascii="Calibri"/>
          <w:sz w:val="24"/>
        </w:rPr>
        <w:t>the</w:t>
      </w:r>
      <w:r w:rsidRPr="00150EDC">
        <w:rPr>
          <w:rFonts w:ascii="Calibri"/>
          <w:spacing w:val="-6"/>
          <w:sz w:val="24"/>
        </w:rPr>
        <w:t xml:space="preserve"> </w:t>
      </w:r>
      <w:r w:rsidRPr="00150EDC">
        <w:rPr>
          <w:rFonts w:ascii="Calibri"/>
          <w:sz w:val="24"/>
        </w:rPr>
        <w:t>Order</w:t>
      </w:r>
      <w:r w:rsidRPr="00150EDC">
        <w:rPr>
          <w:rFonts w:ascii="Calibri"/>
          <w:spacing w:val="-1"/>
          <w:sz w:val="24"/>
        </w:rPr>
        <w:t xml:space="preserve"> </w:t>
      </w:r>
      <w:r w:rsidRPr="00150EDC">
        <w:rPr>
          <w:rFonts w:ascii="Calibri"/>
          <w:sz w:val="24"/>
        </w:rPr>
        <w:t>Form</w:t>
      </w:r>
      <w:r w:rsidRPr="00150EDC">
        <w:rPr>
          <w:rFonts w:ascii="Calibri"/>
          <w:spacing w:val="-3"/>
          <w:sz w:val="24"/>
        </w:rPr>
        <w:t xml:space="preserve"> </w:t>
      </w:r>
      <w:r w:rsidRPr="00150EDC">
        <w:rPr>
          <w:rFonts w:ascii="Calibri"/>
          <w:sz w:val="24"/>
        </w:rPr>
        <w:t>to</w:t>
      </w:r>
      <w:r w:rsidRPr="00150EDC">
        <w:rPr>
          <w:rFonts w:ascii="Calibri"/>
          <w:spacing w:val="-2"/>
          <w:sz w:val="24"/>
        </w:rPr>
        <w:t xml:space="preserve"> </w:t>
      </w:r>
      <w:r w:rsidRPr="00150EDC">
        <w:rPr>
          <w:rFonts w:ascii="Calibri"/>
          <w:sz w:val="24"/>
        </w:rPr>
        <w:t>add</w:t>
      </w:r>
      <w:r w:rsidRPr="00150EDC">
        <w:rPr>
          <w:rFonts w:ascii="Calibri"/>
          <w:spacing w:val="-3"/>
          <w:sz w:val="24"/>
        </w:rPr>
        <w:t xml:space="preserve"> </w:t>
      </w:r>
      <w:r w:rsidRPr="00150EDC">
        <w:rPr>
          <w:rFonts w:ascii="Calibri"/>
          <w:sz w:val="24"/>
        </w:rPr>
        <w:t>or</w:t>
      </w:r>
      <w:r w:rsidRPr="00150EDC">
        <w:rPr>
          <w:rFonts w:ascii="Calibri"/>
          <w:spacing w:val="-1"/>
          <w:sz w:val="24"/>
        </w:rPr>
        <w:t xml:space="preserve"> </w:t>
      </w:r>
      <w:r w:rsidRPr="00150EDC">
        <w:rPr>
          <w:rFonts w:ascii="Calibri"/>
          <w:sz w:val="24"/>
        </w:rPr>
        <w:t>change</w:t>
      </w:r>
      <w:r w:rsidRPr="00150EDC">
        <w:rPr>
          <w:rFonts w:ascii="Calibri"/>
          <w:spacing w:val="-4"/>
          <w:sz w:val="24"/>
        </w:rPr>
        <w:t xml:space="preserve"> </w:t>
      </w:r>
      <w:r w:rsidRPr="00150EDC">
        <w:rPr>
          <w:rFonts w:ascii="Calibri"/>
          <w:spacing w:val="-2"/>
          <w:sz w:val="24"/>
        </w:rPr>
        <w:t>terms.</w:t>
      </w:r>
    </w:p>
    <w:p w14:paraId="71B844E3" w14:textId="77777777" w:rsidR="004C7180" w:rsidRPr="00150EDC" w:rsidRDefault="004C7180">
      <w:pPr>
        <w:pStyle w:val="BodyText"/>
        <w:spacing w:before="9"/>
        <w:rPr>
          <w:rFonts w:ascii="Calibri"/>
          <w:sz w:val="25"/>
        </w:rPr>
      </w:pPr>
    </w:p>
    <w:p w14:paraId="4537A4E3" w14:textId="77777777" w:rsidR="004C7180" w:rsidRPr="00150EDC" w:rsidRDefault="00CF0754" w:rsidP="00B320C7">
      <w:pPr>
        <w:pStyle w:val="ListParagraph"/>
        <w:numPr>
          <w:ilvl w:val="1"/>
          <w:numId w:val="182"/>
        </w:numPr>
        <w:tabs>
          <w:tab w:val="left" w:pos="1066"/>
        </w:tabs>
        <w:ind w:hanging="566"/>
        <w:rPr>
          <w:rFonts w:ascii="Calibri"/>
          <w:sz w:val="24"/>
        </w:rPr>
      </w:pPr>
      <w:r w:rsidRPr="00150EDC">
        <w:rPr>
          <w:rFonts w:ascii="Calibri"/>
          <w:sz w:val="24"/>
        </w:rPr>
        <w:t>Each</w:t>
      </w:r>
      <w:r w:rsidRPr="00150EDC">
        <w:rPr>
          <w:rFonts w:ascii="Calibri"/>
          <w:spacing w:val="-3"/>
          <w:sz w:val="24"/>
        </w:rPr>
        <w:t xml:space="preserve"> </w:t>
      </w:r>
      <w:r w:rsidRPr="00150EDC">
        <w:rPr>
          <w:rFonts w:ascii="Calibri"/>
          <w:sz w:val="24"/>
        </w:rPr>
        <w:t>Order</w:t>
      </w:r>
      <w:r w:rsidRPr="00150EDC">
        <w:rPr>
          <w:rFonts w:ascii="Calibri"/>
          <w:spacing w:val="-2"/>
          <w:sz w:val="24"/>
        </w:rPr>
        <w:t xml:space="preserve"> Contract:</w:t>
      </w:r>
    </w:p>
    <w:p w14:paraId="02BD6C04" w14:textId="77777777" w:rsidR="004C7180" w:rsidRPr="00150EDC" w:rsidRDefault="004C7180">
      <w:pPr>
        <w:pStyle w:val="BodyText"/>
        <w:spacing w:before="9"/>
        <w:rPr>
          <w:rFonts w:ascii="Calibri"/>
          <w:sz w:val="25"/>
        </w:rPr>
      </w:pPr>
    </w:p>
    <w:p w14:paraId="37E576DF" w14:textId="77777777" w:rsidR="004C7180" w:rsidRPr="00150EDC" w:rsidRDefault="00CF0754" w:rsidP="00B320C7">
      <w:pPr>
        <w:pStyle w:val="ListParagraph"/>
        <w:numPr>
          <w:ilvl w:val="0"/>
          <w:numId w:val="180"/>
        </w:numPr>
        <w:tabs>
          <w:tab w:val="left" w:pos="1491"/>
        </w:tabs>
        <w:ind w:left="1491" w:hanging="425"/>
        <w:rPr>
          <w:rFonts w:ascii="Calibri"/>
          <w:sz w:val="24"/>
        </w:rPr>
      </w:pPr>
      <w:r w:rsidRPr="00150EDC">
        <w:rPr>
          <w:rFonts w:ascii="Calibri"/>
          <w:sz w:val="24"/>
        </w:rPr>
        <w:t>is</w:t>
      </w:r>
      <w:r w:rsidRPr="00150EDC">
        <w:rPr>
          <w:rFonts w:ascii="Calibri"/>
          <w:spacing w:val="-2"/>
          <w:sz w:val="24"/>
        </w:rPr>
        <w:t xml:space="preserve"> </w:t>
      </w:r>
      <w:r w:rsidRPr="00150EDC">
        <w:rPr>
          <w:rFonts w:ascii="Calibri"/>
          <w:sz w:val="24"/>
        </w:rPr>
        <w:t>a</w:t>
      </w:r>
      <w:r w:rsidRPr="00150EDC">
        <w:rPr>
          <w:rFonts w:ascii="Calibri"/>
          <w:spacing w:val="-2"/>
          <w:sz w:val="24"/>
        </w:rPr>
        <w:t xml:space="preserve"> </w:t>
      </w:r>
      <w:r w:rsidRPr="00150EDC">
        <w:rPr>
          <w:rFonts w:ascii="Calibri"/>
          <w:sz w:val="24"/>
        </w:rPr>
        <w:t>separate</w:t>
      </w:r>
      <w:r w:rsidRPr="00150EDC">
        <w:rPr>
          <w:rFonts w:ascii="Calibri"/>
          <w:spacing w:val="-3"/>
          <w:sz w:val="24"/>
        </w:rPr>
        <w:t xml:space="preserve"> </w:t>
      </w:r>
      <w:r w:rsidRPr="00150EDC">
        <w:rPr>
          <w:rFonts w:ascii="Calibri"/>
          <w:sz w:val="24"/>
        </w:rPr>
        <w:t>Contract</w:t>
      </w:r>
      <w:r w:rsidRPr="00150EDC">
        <w:rPr>
          <w:rFonts w:ascii="Calibri"/>
          <w:spacing w:val="-3"/>
          <w:sz w:val="24"/>
        </w:rPr>
        <w:t xml:space="preserve"> </w:t>
      </w:r>
      <w:r w:rsidRPr="00150EDC">
        <w:rPr>
          <w:rFonts w:ascii="Calibri"/>
          <w:sz w:val="24"/>
        </w:rPr>
        <w:t>from the</w:t>
      </w:r>
      <w:r w:rsidRPr="00150EDC">
        <w:rPr>
          <w:rFonts w:ascii="Calibri"/>
          <w:spacing w:val="-3"/>
          <w:sz w:val="24"/>
        </w:rPr>
        <w:t xml:space="preserve"> </w:t>
      </w:r>
      <w:r w:rsidRPr="00150EDC">
        <w:rPr>
          <w:rFonts w:ascii="Calibri"/>
          <w:sz w:val="24"/>
        </w:rPr>
        <w:t>DPS</w:t>
      </w:r>
      <w:r w:rsidRPr="00150EDC">
        <w:rPr>
          <w:rFonts w:ascii="Calibri"/>
          <w:spacing w:val="-2"/>
          <w:sz w:val="24"/>
        </w:rPr>
        <w:t xml:space="preserve"> Contract;</w:t>
      </w:r>
    </w:p>
    <w:p w14:paraId="790E234D" w14:textId="77777777" w:rsidR="004C7180" w:rsidRPr="00150EDC" w:rsidRDefault="00CF0754" w:rsidP="00B320C7">
      <w:pPr>
        <w:pStyle w:val="ListParagraph"/>
        <w:numPr>
          <w:ilvl w:val="0"/>
          <w:numId w:val="180"/>
        </w:numPr>
        <w:tabs>
          <w:tab w:val="left" w:pos="1491"/>
        </w:tabs>
        <w:spacing w:before="19"/>
        <w:ind w:left="1491" w:hanging="425"/>
        <w:rPr>
          <w:rFonts w:ascii="Calibri"/>
          <w:sz w:val="24"/>
        </w:rPr>
      </w:pPr>
      <w:r w:rsidRPr="00150EDC">
        <w:rPr>
          <w:rFonts w:ascii="Calibri"/>
          <w:sz w:val="24"/>
        </w:rPr>
        <w:t>is</w:t>
      </w:r>
      <w:r w:rsidRPr="00150EDC">
        <w:rPr>
          <w:rFonts w:ascii="Calibri"/>
          <w:spacing w:val="-3"/>
          <w:sz w:val="24"/>
        </w:rPr>
        <w:t xml:space="preserve"> </w:t>
      </w:r>
      <w:r w:rsidRPr="00150EDC">
        <w:rPr>
          <w:rFonts w:ascii="Calibri"/>
          <w:sz w:val="24"/>
        </w:rPr>
        <w:t>between</w:t>
      </w:r>
      <w:r w:rsidRPr="00150EDC">
        <w:rPr>
          <w:rFonts w:ascii="Calibri"/>
          <w:spacing w:val="-2"/>
          <w:sz w:val="24"/>
        </w:rPr>
        <w:t xml:space="preserve"> </w:t>
      </w:r>
      <w:r w:rsidRPr="00150EDC">
        <w:rPr>
          <w:rFonts w:ascii="Calibri"/>
          <w:sz w:val="24"/>
        </w:rPr>
        <w:t>a</w:t>
      </w:r>
      <w:r w:rsidRPr="00150EDC">
        <w:rPr>
          <w:rFonts w:ascii="Calibri"/>
          <w:spacing w:val="-4"/>
          <w:sz w:val="24"/>
        </w:rPr>
        <w:t xml:space="preserve"> </w:t>
      </w:r>
      <w:r w:rsidRPr="00150EDC">
        <w:rPr>
          <w:rFonts w:ascii="Calibri"/>
          <w:sz w:val="24"/>
        </w:rPr>
        <w:t>Supplier</w:t>
      </w:r>
      <w:r w:rsidRPr="00150EDC">
        <w:rPr>
          <w:rFonts w:ascii="Calibri"/>
          <w:spacing w:val="-2"/>
          <w:sz w:val="24"/>
        </w:rPr>
        <w:t xml:space="preserve"> </w:t>
      </w:r>
      <w:r w:rsidRPr="00150EDC">
        <w:rPr>
          <w:rFonts w:ascii="Calibri"/>
          <w:sz w:val="24"/>
        </w:rPr>
        <w:t>and</w:t>
      </w:r>
      <w:r w:rsidRPr="00150EDC">
        <w:rPr>
          <w:rFonts w:ascii="Calibri"/>
          <w:spacing w:val="-2"/>
          <w:sz w:val="24"/>
        </w:rPr>
        <w:t xml:space="preserve"> </w:t>
      </w:r>
      <w:r w:rsidRPr="00150EDC">
        <w:rPr>
          <w:rFonts w:ascii="Calibri"/>
          <w:sz w:val="24"/>
        </w:rPr>
        <w:t>a</w:t>
      </w:r>
      <w:r w:rsidRPr="00150EDC">
        <w:rPr>
          <w:rFonts w:ascii="Calibri"/>
          <w:spacing w:val="-2"/>
          <w:sz w:val="24"/>
        </w:rPr>
        <w:t xml:space="preserve"> Buyer;</w:t>
      </w:r>
    </w:p>
    <w:p w14:paraId="2E6D2D18" w14:textId="77777777" w:rsidR="004C7180" w:rsidRPr="00150EDC" w:rsidRDefault="00CF0754" w:rsidP="00B320C7">
      <w:pPr>
        <w:pStyle w:val="ListParagraph"/>
        <w:numPr>
          <w:ilvl w:val="0"/>
          <w:numId w:val="180"/>
        </w:numPr>
        <w:tabs>
          <w:tab w:val="left" w:pos="1492"/>
        </w:tabs>
        <w:spacing w:before="19"/>
        <w:ind w:left="1492" w:hanging="426"/>
        <w:rPr>
          <w:rFonts w:ascii="Calibri"/>
          <w:sz w:val="24"/>
        </w:rPr>
      </w:pPr>
      <w:r w:rsidRPr="00150EDC">
        <w:rPr>
          <w:rFonts w:ascii="Calibri"/>
          <w:sz w:val="24"/>
        </w:rPr>
        <w:t>includes</w:t>
      </w:r>
      <w:r w:rsidRPr="00150EDC">
        <w:rPr>
          <w:rFonts w:ascii="Calibri"/>
          <w:spacing w:val="-7"/>
          <w:sz w:val="24"/>
        </w:rPr>
        <w:t xml:space="preserve"> </w:t>
      </w:r>
      <w:r w:rsidRPr="00150EDC">
        <w:rPr>
          <w:rFonts w:ascii="Calibri"/>
          <w:sz w:val="24"/>
        </w:rPr>
        <w:t>Core</w:t>
      </w:r>
      <w:r w:rsidRPr="00150EDC">
        <w:rPr>
          <w:rFonts w:ascii="Calibri"/>
          <w:spacing w:val="-3"/>
          <w:sz w:val="24"/>
        </w:rPr>
        <w:t xml:space="preserve"> </w:t>
      </w:r>
      <w:r w:rsidRPr="00150EDC">
        <w:rPr>
          <w:rFonts w:ascii="Calibri"/>
          <w:sz w:val="24"/>
        </w:rPr>
        <w:t>Terms,</w:t>
      </w:r>
      <w:r w:rsidRPr="00150EDC">
        <w:rPr>
          <w:rFonts w:ascii="Calibri"/>
          <w:spacing w:val="-5"/>
          <w:sz w:val="24"/>
        </w:rPr>
        <w:t xml:space="preserve"> </w:t>
      </w:r>
      <w:r w:rsidRPr="00150EDC">
        <w:rPr>
          <w:rFonts w:ascii="Calibri"/>
          <w:sz w:val="24"/>
        </w:rPr>
        <w:t>Schedules</w:t>
      </w:r>
      <w:r w:rsidRPr="00150EDC">
        <w:rPr>
          <w:rFonts w:ascii="Calibri"/>
          <w:spacing w:val="-4"/>
          <w:sz w:val="24"/>
        </w:rPr>
        <w:t xml:space="preserve"> </w:t>
      </w:r>
      <w:r w:rsidRPr="00150EDC">
        <w:rPr>
          <w:rFonts w:ascii="Calibri"/>
          <w:sz w:val="24"/>
        </w:rPr>
        <w:t>and</w:t>
      </w:r>
      <w:r w:rsidRPr="00150EDC">
        <w:rPr>
          <w:rFonts w:ascii="Calibri"/>
          <w:spacing w:val="-2"/>
          <w:sz w:val="24"/>
        </w:rPr>
        <w:t xml:space="preserve"> </w:t>
      </w:r>
      <w:r w:rsidRPr="00150EDC">
        <w:rPr>
          <w:rFonts w:ascii="Calibri"/>
          <w:sz w:val="24"/>
        </w:rPr>
        <w:t>any</w:t>
      </w:r>
      <w:r w:rsidRPr="00150EDC">
        <w:rPr>
          <w:rFonts w:ascii="Calibri"/>
          <w:spacing w:val="-3"/>
          <w:sz w:val="24"/>
        </w:rPr>
        <w:t xml:space="preserve"> </w:t>
      </w:r>
      <w:r w:rsidRPr="00150EDC">
        <w:rPr>
          <w:rFonts w:ascii="Calibri"/>
          <w:sz w:val="24"/>
        </w:rPr>
        <w:t>other</w:t>
      </w:r>
      <w:r w:rsidRPr="00150EDC">
        <w:rPr>
          <w:rFonts w:ascii="Calibri"/>
          <w:spacing w:val="-3"/>
          <w:sz w:val="24"/>
        </w:rPr>
        <w:t xml:space="preserve"> </w:t>
      </w:r>
      <w:r w:rsidRPr="00150EDC">
        <w:rPr>
          <w:rFonts w:ascii="Calibri"/>
          <w:sz w:val="24"/>
        </w:rPr>
        <w:t>changes</w:t>
      </w:r>
      <w:r w:rsidRPr="00150EDC">
        <w:rPr>
          <w:rFonts w:ascii="Calibri"/>
          <w:spacing w:val="-3"/>
          <w:sz w:val="24"/>
        </w:rPr>
        <w:t xml:space="preserve"> </w:t>
      </w:r>
      <w:r w:rsidRPr="00150EDC">
        <w:rPr>
          <w:rFonts w:ascii="Calibri"/>
          <w:sz w:val="24"/>
        </w:rPr>
        <w:t>or</w:t>
      </w:r>
      <w:r w:rsidRPr="00150EDC">
        <w:rPr>
          <w:rFonts w:ascii="Calibri"/>
          <w:spacing w:val="-3"/>
          <w:sz w:val="24"/>
        </w:rPr>
        <w:t xml:space="preserve"> </w:t>
      </w:r>
      <w:r w:rsidRPr="00150EDC">
        <w:rPr>
          <w:rFonts w:ascii="Calibri"/>
          <w:sz w:val="24"/>
        </w:rPr>
        <w:t>items</w:t>
      </w:r>
      <w:r w:rsidRPr="00150EDC">
        <w:rPr>
          <w:rFonts w:ascii="Calibri"/>
          <w:spacing w:val="-3"/>
          <w:sz w:val="24"/>
        </w:rPr>
        <w:t xml:space="preserve"> </w:t>
      </w:r>
      <w:r w:rsidRPr="00150EDC">
        <w:rPr>
          <w:rFonts w:ascii="Calibri"/>
          <w:sz w:val="24"/>
        </w:rPr>
        <w:t>in</w:t>
      </w:r>
      <w:r w:rsidRPr="00150EDC">
        <w:rPr>
          <w:rFonts w:ascii="Calibri"/>
          <w:spacing w:val="-3"/>
          <w:sz w:val="24"/>
        </w:rPr>
        <w:t xml:space="preserve"> </w:t>
      </w:r>
      <w:r w:rsidRPr="00150EDC">
        <w:rPr>
          <w:rFonts w:ascii="Calibri"/>
          <w:sz w:val="24"/>
        </w:rPr>
        <w:t>the</w:t>
      </w:r>
      <w:r w:rsidRPr="00150EDC">
        <w:rPr>
          <w:rFonts w:ascii="Calibri"/>
          <w:spacing w:val="-2"/>
          <w:sz w:val="24"/>
        </w:rPr>
        <w:t xml:space="preserve"> </w:t>
      </w:r>
      <w:r w:rsidRPr="00150EDC">
        <w:rPr>
          <w:rFonts w:ascii="Calibri"/>
          <w:sz w:val="24"/>
        </w:rPr>
        <w:t>completed</w:t>
      </w:r>
      <w:r w:rsidRPr="00150EDC">
        <w:rPr>
          <w:rFonts w:ascii="Calibri"/>
          <w:spacing w:val="-1"/>
          <w:sz w:val="24"/>
        </w:rPr>
        <w:t xml:space="preserve"> </w:t>
      </w:r>
      <w:r w:rsidRPr="00150EDC">
        <w:rPr>
          <w:rFonts w:ascii="Calibri"/>
          <w:sz w:val="24"/>
        </w:rPr>
        <w:t>Order</w:t>
      </w:r>
      <w:r w:rsidRPr="00150EDC">
        <w:rPr>
          <w:rFonts w:ascii="Calibri"/>
          <w:spacing w:val="-4"/>
          <w:sz w:val="24"/>
        </w:rPr>
        <w:t xml:space="preserve"> </w:t>
      </w:r>
      <w:r w:rsidRPr="00150EDC">
        <w:rPr>
          <w:rFonts w:ascii="Calibri"/>
          <w:sz w:val="24"/>
        </w:rPr>
        <w:t>Form;</w:t>
      </w:r>
      <w:r w:rsidRPr="00150EDC">
        <w:rPr>
          <w:rFonts w:ascii="Calibri"/>
          <w:spacing w:val="-3"/>
          <w:sz w:val="24"/>
        </w:rPr>
        <w:t xml:space="preserve"> </w:t>
      </w:r>
      <w:r w:rsidRPr="00150EDC">
        <w:rPr>
          <w:rFonts w:ascii="Calibri"/>
          <w:spacing w:val="-5"/>
          <w:sz w:val="24"/>
        </w:rPr>
        <w:t>and</w:t>
      </w:r>
    </w:p>
    <w:p w14:paraId="2D67CFC1" w14:textId="77777777" w:rsidR="004C7180" w:rsidRPr="00150EDC" w:rsidRDefault="00CF0754" w:rsidP="00B320C7">
      <w:pPr>
        <w:pStyle w:val="ListParagraph"/>
        <w:numPr>
          <w:ilvl w:val="0"/>
          <w:numId w:val="180"/>
        </w:numPr>
        <w:tabs>
          <w:tab w:val="left" w:pos="1491"/>
        </w:tabs>
        <w:spacing w:before="21"/>
        <w:ind w:left="1491" w:hanging="425"/>
        <w:rPr>
          <w:rFonts w:ascii="Calibri"/>
          <w:sz w:val="24"/>
        </w:rPr>
      </w:pPr>
      <w:r w:rsidRPr="00150EDC">
        <w:rPr>
          <w:rFonts w:ascii="Calibri"/>
          <w:sz w:val="24"/>
        </w:rPr>
        <w:t>survives</w:t>
      </w:r>
      <w:r w:rsidRPr="00150EDC">
        <w:rPr>
          <w:rFonts w:ascii="Calibri"/>
          <w:spacing w:val="-3"/>
          <w:sz w:val="24"/>
        </w:rPr>
        <w:t xml:space="preserve"> </w:t>
      </w:r>
      <w:r w:rsidRPr="00150EDC">
        <w:rPr>
          <w:rFonts w:ascii="Calibri"/>
          <w:sz w:val="24"/>
        </w:rPr>
        <w:t>the</w:t>
      </w:r>
      <w:r w:rsidRPr="00150EDC">
        <w:rPr>
          <w:rFonts w:ascii="Calibri"/>
          <w:spacing w:val="-4"/>
          <w:sz w:val="24"/>
        </w:rPr>
        <w:t xml:space="preserve"> </w:t>
      </w:r>
      <w:r w:rsidRPr="00150EDC">
        <w:rPr>
          <w:rFonts w:ascii="Calibri"/>
          <w:sz w:val="24"/>
        </w:rPr>
        <w:t>termination</w:t>
      </w:r>
      <w:r w:rsidRPr="00150EDC">
        <w:rPr>
          <w:rFonts w:ascii="Calibri"/>
          <w:spacing w:val="-5"/>
          <w:sz w:val="24"/>
        </w:rPr>
        <w:t xml:space="preserve"> </w:t>
      </w:r>
      <w:r w:rsidRPr="00150EDC">
        <w:rPr>
          <w:rFonts w:ascii="Calibri"/>
          <w:sz w:val="24"/>
        </w:rPr>
        <w:t>of</w:t>
      </w:r>
      <w:r w:rsidRPr="00150EDC">
        <w:rPr>
          <w:rFonts w:ascii="Calibri"/>
          <w:spacing w:val="-2"/>
          <w:sz w:val="24"/>
        </w:rPr>
        <w:t xml:space="preserve"> </w:t>
      </w:r>
      <w:r w:rsidRPr="00150EDC">
        <w:rPr>
          <w:rFonts w:ascii="Calibri"/>
          <w:sz w:val="24"/>
        </w:rPr>
        <w:t>the</w:t>
      </w:r>
      <w:r w:rsidRPr="00150EDC">
        <w:rPr>
          <w:rFonts w:ascii="Calibri"/>
          <w:spacing w:val="-5"/>
          <w:sz w:val="24"/>
        </w:rPr>
        <w:t xml:space="preserve"> </w:t>
      </w:r>
      <w:r w:rsidRPr="00150EDC">
        <w:rPr>
          <w:rFonts w:ascii="Calibri"/>
          <w:sz w:val="24"/>
        </w:rPr>
        <w:t>DPS</w:t>
      </w:r>
      <w:r w:rsidRPr="00150EDC">
        <w:rPr>
          <w:rFonts w:ascii="Calibri"/>
          <w:spacing w:val="-1"/>
          <w:sz w:val="24"/>
        </w:rPr>
        <w:t xml:space="preserve"> </w:t>
      </w:r>
      <w:r w:rsidRPr="00150EDC">
        <w:rPr>
          <w:rFonts w:ascii="Calibri"/>
          <w:spacing w:val="-2"/>
          <w:sz w:val="24"/>
        </w:rPr>
        <w:t>Contract.</w:t>
      </w:r>
    </w:p>
    <w:p w14:paraId="0299F762" w14:textId="77777777" w:rsidR="004C7180" w:rsidRPr="00150EDC" w:rsidRDefault="004C7180">
      <w:pPr>
        <w:pStyle w:val="BodyText"/>
        <w:spacing w:before="7"/>
        <w:rPr>
          <w:rFonts w:ascii="Calibri"/>
          <w:sz w:val="25"/>
        </w:rPr>
      </w:pPr>
    </w:p>
    <w:p w14:paraId="67B41D07" w14:textId="77777777" w:rsidR="004C7180" w:rsidRPr="00150EDC" w:rsidRDefault="00CF0754" w:rsidP="00B320C7">
      <w:pPr>
        <w:pStyle w:val="ListParagraph"/>
        <w:numPr>
          <w:ilvl w:val="1"/>
          <w:numId w:val="182"/>
        </w:numPr>
        <w:tabs>
          <w:tab w:val="left" w:pos="1066"/>
        </w:tabs>
        <w:ind w:right="1284"/>
        <w:rPr>
          <w:rFonts w:ascii="Calibri"/>
          <w:sz w:val="24"/>
        </w:rPr>
      </w:pPr>
      <w:r w:rsidRPr="00150EDC">
        <w:rPr>
          <w:rFonts w:ascii="Calibri"/>
          <w:sz w:val="24"/>
        </w:rPr>
        <w:t>Where the Supplier is approached by any Other Contracting Authority requesting Deliverables or substantially</w:t>
      </w:r>
      <w:r w:rsidRPr="00150EDC">
        <w:rPr>
          <w:rFonts w:ascii="Calibri"/>
          <w:spacing w:val="-6"/>
          <w:sz w:val="24"/>
        </w:rPr>
        <w:t xml:space="preserve"> </w:t>
      </w:r>
      <w:r w:rsidRPr="00150EDC">
        <w:rPr>
          <w:rFonts w:ascii="Calibri"/>
          <w:sz w:val="24"/>
        </w:rPr>
        <w:t>similar</w:t>
      </w:r>
      <w:r w:rsidRPr="00150EDC">
        <w:rPr>
          <w:rFonts w:ascii="Calibri"/>
          <w:spacing w:val="-2"/>
          <w:sz w:val="24"/>
        </w:rPr>
        <w:t xml:space="preserve"> </w:t>
      </w:r>
      <w:r w:rsidRPr="00150EDC">
        <w:rPr>
          <w:rFonts w:ascii="Calibri"/>
          <w:sz w:val="24"/>
        </w:rPr>
        <w:t>goods</w:t>
      </w:r>
      <w:r w:rsidRPr="00150EDC">
        <w:rPr>
          <w:rFonts w:ascii="Calibri"/>
          <w:spacing w:val="-3"/>
          <w:sz w:val="24"/>
        </w:rPr>
        <w:t xml:space="preserve"> </w:t>
      </w:r>
      <w:r w:rsidRPr="00150EDC">
        <w:rPr>
          <w:rFonts w:ascii="Calibri"/>
          <w:sz w:val="24"/>
        </w:rPr>
        <w:t>or</w:t>
      </w:r>
      <w:r w:rsidRPr="00150EDC">
        <w:rPr>
          <w:rFonts w:ascii="Calibri"/>
          <w:spacing w:val="-4"/>
          <w:sz w:val="24"/>
        </w:rPr>
        <w:t xml:space="preserve"> </w:t>
      </w:r>
      <w:r w:rsidRPr="00150EDC">
        <w:rPr>
          <w:rFonts w:ascii="Calibri"/>
          <w:sz w:val="24"/>
        </w:rPr>
        <w:t>services,</w:t>
      </w:r>
      <w:r w:rsidRPr="00150EDC">
        <w:rPr>
          <w:rFonts w:ascii="Calibri"/>
          <w:spacing w:val="-2"/>
          <w:sz w:val="24"/>
        </w:rPr>
        <w:t xml:space="preserve"> </w:t>
      </w:r>
      <w:r w:rsidRPr="00150EDC">
        <w:rPr>
          <w:rFonts w:ascii="Calibri"/>
          <w:sz w:val="24"/>
        </w:rPr>
        <w:t>the</w:t>
      </w:r>
      <w:r w:rsidRPr="00150EDC">
        <w:rPr>
          <w:rFonts w:ascii="Calibri"/>
          <w:spacing w:val="-5"/>
          <w:sz w:val="24"/>
        </w:rPr>
        <w:t xml:space="preserve"> </w:t>
      </w:r>
      <w:r w:rsidRPr="00150EDC">
        <w:rPr>
          <w:rFonts w:ascii="Calibri"/>
          <w:sz w:val="24"/>
        </w:rPr>
        <w:t>Supplier</w:t>
      </w:r>
      <w:r w:rsidRPr="00150EDC">
        <w:rPr>
          <w:rFonts w:ascii="Calibri"/>
          <w:spacing w:val="-2"/>
          <w:sz w:val="24"/>
        </w:rPr>
        <w:t xml:space="preserve"> </w:t>
      </w:r>
      <w:r w:rsidRPr="00150EDC">
        <w:rPr>
          <w:rFonts w:ascii="Calibri"/>
          <w:sz w:val="24"/>
        </w:rPr>
        <w:t>must</w:t>
      </w:r>
      <w:r w:rsidRPr="00150EDC">
        <w:rPr>
          <w:rFonts w:ascii="Calibri"/>
          <w:spacing w:val="-4"/>
          <w:sz w:val="24"/>
        </w:rPr>
        <w:t xml:space="preserve"> </w:t>
      </w:r>
      <w:r w:rsidRPr="00150EDC">
        <w:rPr>
          <w:rFonts w:ascii="Calibri"/>
          <w:sz w:val="24"/>
        </w:rPr>
        <w:t>tell</w:t>
      </w:r>
      <w:r w:rsidRPr="00150EDC">
        <w:rPr>
          <w:rFonts w:ascii="Calibri"/>
          <w:spacing w:val="-4"/>
          <w:sz w:val="24"/>
        </w:rPr>
        <w:t xml:space="preserve"> </w:t>
      </w:r>
      <w:r w:rsidRPr="00150EDC">
        <w:rPr>
          <w:rFonts w:ascii="Calibri"/>
          <w:sz w:val="24"/>
        </w:rPr>
        <w:t>them</w:t>
      </w:r>
      <w:r w:rsidRPr="00150EDC">
        <w:rPr>
          <w:rFonts w:ascii="Calibri"/>
          <w:spacing w:val="-2"/>
          <w:sz w:val="24"/>
        </w:rPr>
        <w:t xml:space="preserve"> </w:t>
      </w:r>
      <w:r w:rsidRPr="00150EDC">
        <w:rPr>
          <w:rFonts w:ascii="Calibri"/>
          <w:sz w:val="24"/>
        </w:rPr>
        <w:t>about</w:t>
      </w:r>
      <w:r w:rsidRPr="00150EDC">
        <w:rPr>
          <w:rFonts w:ascii="Calibri"/>
          <w:spacing w:val="-4"/>
          <w:sz w:val="24"/>
        </w:rPr>
        <w:t xml:space="preserve"> </w:t>
      </w:r>
      <w:r w:rsidRPr="00150EDC">
        <w:rPr>
          <w:rFonts w:ascii="Calibri"/>
          <w:sz w:val="24"/>
        </w:rPr>
        <w:t>this</w:t>
      </w:r>
      <w:r w:rsidRPr="00150EDC">
        <w:rPr>
          <w:rFonts w:ascii="Calibri"/>
          <w:spacing w:val="-3"/>
          <w:sz w:val="24"/>
        </w:rPr>
        <w:t xml:space="preserve"> </w:t>
      </w:r>
      <w:r w:rsidRPr="00150EDC">
        <w:rPr>
          <w:rFonts w:ascii="Calibri"/>
          <w:sz w:val="24"/>
        </w:rPr>
        <w:t>DPS</w:t>
      </w:r>
      <w:r w:rsidRPr="00150EDC">
        <w:rPr>
          <w:rFonts w:ascii="Calibri"/>
          <w:spacing w:val="-2"/>
          <w:sz w:val="24"/>
        </w:rPr>
        <w:t xml:space="preserve"> </w:t>
      </w:r>
      <w:r w:rsidRPr="00150EDC">
        <w:rPr>
          <w:rFonts w:ascii="Calibri"/>
          <w:sz w:val="24"/>
        </w:rPr>
        <w:t>Contract</w:t>
      </w:r>
      <w:r w:rsidRPr="00150EDC">
        <w:rPr>
          <w:rFonts w:ascii="Calibri"/>
          <w:spacing w:val="-4"/>
          <w:sz w:val="24"/>
        </w:rPr>
        <w:t xml:space="preserve"> </w:t>
      </w:r>
      <w:r w:rsidRPr="00150EDC">
        <w:rPr>
          <w:rFonts w:ascii="Calibri"/>
          <w:sz w:val="24"/>
        </w:rPr>
        <w:t>before accepting their order.</w:t>
      </w:r>
    </w:p>
    <w:p w14:paraId="03CA78C1" w14:textId="77777777" w:rsidR="004C7180" w:rsidRPr="00150EDC" w:rsidRDefault="004C7180">
      <w:pPr>
        <w:pStyle w:val="BodyText"/>
        <w:spacing w:before="2"/>
        <w:rPr>
          <w:rFonts w:ascii="Calibri"/>
        </w:rPr>
      </w:pPr>
    </w:p>
    <w:p w14:paraId="09873B1D" w14:textId="77777777" w:rsidR="004C7180" w:rsidRPr="00150EDC" w:rsidRDefault="00CF0754" w:rsidP="00B320C7">
      <w:pPr>
        <w:pStyle w:val="ListParagraph"/>
        <w:numPr>
          <w:ilvl w:val="1"/>
          <w:numId w:val="182"/>
        </w:numPr>
        <w:tabs>
          <w:tab w:val="left" w:pos="1066"/>
        </w:tabs>
        <w:ind w:right="1130"/>
        <w:jc w:val="both"/>
        <w:rPr>
          <w:rFonts w:ascii="Calibri"/>
          <w:sz w:val="24"/>
        </w:rPr>
      </w:pPr>
      <w:r w:rsidRPr="00150EDC">
        <w:rPr>
          <w:rFonts w:ascii="Calibri"/>
          <w:sz w:val="24"/>
        </w:rPr>
        <w:t>The</w:t>
      </w:r>
      <w:r w:rsidRPr="00150EDC">
        <w:rPr>
          <w:rFonts w:ascii="Calibri"/>
          <w:spacing w:val="-2"/>
          <w:sz w:val="24"/>
        </w:rPr>
        <w:t xml:space="preserve"> </w:t>
      </w:r>
      <w:r w:rsidRPr="00150EDC">
        <w:rPr>
          <w:rFonts w:ascii="Calibri"/>
          <w:sz w:val="24"/>
        </w:rPr>
        <w:t>Supplier</w:t>
      </w:r>
      <w:r w:rsidRPr="00150EDC">
        <w:rPr>
          <w:rFonts w:ascii="Calibri"/>
          <w:spacing w:val="-4"/>
          <w:sz w:val="24"/>
        </w:rPr>
        <w:t xml:space="preserve"> </w:t>
      </w:r>
      <w:r w:rsidRPr="00150EDC">
        <w:rPr>
          <w:rFonts w:ascii="Calibri"/>
          <w:sz w:val="24"/>
        </w:rPr>
        <w:t>acknowledges</w:t>
      </w:r>
      <w:r w:rsidRPr="00150EDC">
        <w:rPr>
          <w:rFonts w:ascii="Calibri"/>
          <w:spacing w:val="-3"/>
          <w:sz w:val="24"/>
        </w:rPr>
        <w:t xml:space="preserve"> </w:t>
      </w:r>
      <w:r w:rsidRPr="00150EDC">
        <w:rPr>
          <w:rFonts w:ascii="Calibri"/>
          <w:sz w:val="24"/>
        </w:rPr>
        <w:t>it</w:t>
      </w:r>
      <w:r w:rsidRPr="00150EDC">
        <w:rPr>
          <w:rFonts w:ascii="Calibri"/>
          <w:spacing w:val="-4"/>
          <w:sz w:val="24"/>
        </w:rPr>
        <w:t xml:space="preserve"> </w:t>
      </w:r>
      <w:r w:rsidRPr="00150EDC">
        <w:rPr>
          <w:rFonts w:ascii="Calibri"/>
          <w:sz w:val="24"/>
        </w:rPr>
        <w:t>has</w:t>
      </w:r>
      <w:r w:rsidRPr="00150EDC">
        <w:rPr>
          <w:rFonts w:ascii="Calibri"/>
          <w:spacing w:val="-3"/>
          <w:sz w:val="24"/>
        </w:rPr>
        <w:t xml:space="preserve"> </w:t>
      </w:r>
      <w:r w:rsidRPr="00150EDC">
        <w:rPr>
          <w:rFonts w:ascii="Calibri"/>
          <w:sz w:val="24"/>
        </w:rPr>
        <w:t>all</w:t>
      </w:r>
      <w:r w:rsidRPr="00150EDC">
        <w:rPr>
          <w:rFonts w:ascii="Calibri"/>
          <w:spacing w:val="-5"/>
          <w:sz w:val="24"/>
        </w:rPr>
        <w:t xml:space="preserve"> </w:t>
      </w:r>
      <w:r w:rsidRPr="00150EDC">
        <w:rPr>
          <w:rFonts w:ascii="Calibri"/>
          <w:sz w:val="24"/>
        </w:rPr>
        <w:t>the</w:t>
      </w:r>
      <w:r w:rsidRPr="00150EDC">
        <w:rPr>
          <w:rFonts w:ascii="Calibri"/>
          <w:spacing w:val="-4"/>
          <w:sz w:val="24"/>
        </w:rPr>
        <w:t xml:space="preserve"> </w:t>
      </w:r>
      <w:r w:rsidRPr="00150EDC">
        <w:rPr>
          <w:rFonts w:ascii="Calibri"/>
          <w:sz w:val="24"/>
        </w:rPr>
        <w:t>information</w:t>
      </w:r>
      <w:r w:rsidRPr="00150EDC">
        <w:rPr>
          <w:rFonts w:ascii="Calibri"/>
          <w:spacing w:val="-1"/>
          <w:sz w:val="24"/>
        </w:rPr>
        <w:t xml:space="preserve"> </w:t>
      </w:r>
      <w:r w:rsidRPr="00150EDC">
        <w:rPr>
          <w:rFonts w:ascii="Calibri"/>
          <w:sz w:val="24"/>
        </w:rPr>
        <w:t>required</w:t>
      </w:r>
      <w:r w:rsidRPr="00150EDC">
        <w:rPr>
          <w:rFonts w:ascii="Calibri"/>
          <w:spacing w:val="-4"/>
          <w:sz w:val="24"/>
        </w:rPr>
        <w:t xml:space="preserve"> </w:t>
      </w:r>
      <w:r w:rsidRPr="00150EDC">
        <w:rPr>
          <w:rFonts w:ascii="Calibri"/>
          <w:sz w:val="24"/>
        </w:rPr>
        <w:t>to</w:t>
      </w:r>
      <w:r w:rsidRPr="00150EDC">
        <w:rPr>
          <w:rFonts w:ascii="Calibri"/>
          <w:spacing w:val="-5"/>
          <w:sz w:val="24"/>
        </w:rPr>
        <w:t xml:space="preserve"> </w:t>
      </w:r>
      <w:r w:rsidRPr="00150EDC">
        <w:rPr>
          <w:rFonts w:ascii="Calibri"/>
          <w:sz w:val="24"/>
        </w:rPr>
        <w:t>perform</w:t>
      </w:r>
      <w:r w:rsidRPr="00150EDC">
        <w:rPr>
          <w:rFonts w:ascii="Calibri"/>
          <w:spacing w:val="-2"/>
          <w:sz w:val="24"/>
        </w:rPr>
        <w:t xml:space="preserve"> </w:t>
      </w:r>
      <w:r w:rsidRPr="00150EDC">
        <w:rPr>
          <w:rFonts w:ascii="Calibri"/>
          <w:sz w:val="24"/>
        </w:rPr>
        <w:t>its</w:t>
      </w:r>
      <w:r w:rsidRPr="00150EDC">
        <w:rPr>
          <w:rFonts w:ascii="Calibri"/>
          <w:spacing w:val="-3"/>
          <w:sz w:val="24"/>
        </w:rPr>
        <w:t xml:space="preserve"> </w:t>
      </w:r>
      <w:r w:rsidRPr="00150EDC">
        <w:rPr>
          <w:rFonts w:ascii="Calibri"/>
          <w:sz w:val="24"/>
        </w:rPr>
        <w:t>obligations</w:t>
      </w:r>
      <w:r w:rsidRPr="00150EDC">
        <w:rPr>
          <w:rFonts w:ascii="Calibri"/>
          <w:spacing w:val="-5"/>
          <w:sz w:val="24"/>
        </w:rPr>
        <w:t xml:space="preserve"> </w:t>
      </w:r>
      <w:r w:rsidRPr="00150EDC">
        <w:rPr>
          <w:rFonts w:ascii="Calibri"/>
          <w:sz w:val="24"/>
        </w:rPr>
        <w:t>under</w:t>
      </w:r>
      <w:r w:rsidRPr="00150EDC">
        <w:rPr>
          <w:rFonts w:ascii="Calibri"/>
          <w:spacing w:val="-4"/>
          <w:sz w:val="24"/>
        </w:rPr>
        <w:t xml:space="preserve"> </w:t>
      </w:r>
      <w:r w:rsidRPr="00150EDC">
        <w:rPr>
          <w:rFonts w:ascii="Calibri"/>
          <w:sz w:val="24"/>
        </w:rPr>
        <w:t>each Contract before entering</w:t>
      </w:r>
      <w:r w:rsidRPr="00150EDC">
        <w:rPr>
          <w:rFonts w:ascii="Calibri"/>
          <w:spacing w:val="-1"/>
          <w:sz w:val="24"/>
        </w:rPr>
        <w:t xml:space="preserve"> </w:t>
      </w:r>
      <w:r w:rsidRPr="00150EDC">
        <w:rPr>
          <w:rFonts w:ascii="Calibri"/>
          <w:sz w:val="24"/>
        </w:rPr>
        <w:t>into a</w:t>
      </w:r>
      <w:r w:rsidRPr="00150EDC">
        <w:rPr>
          <w:rFonts w:ascii="Calibri"/>
          <w:spacing w:val="-1"/>
          <w:sz w:val="24"/>
        </w:rPr>
        <w:t xml:space="preserve"> </w:t>
      </w:r>
      <w:r w:rsidRPr="00150EDC">
        <w:rPr>
          <w:rFonts w:ascii="Calibri"/>
          <w:sz w:val="24"/>
        </w:rPr>
        <w:t>Contract. When information is</w:t>
      </w:r>
      <w:r w:rsidRPr="00150EDC">
        <w:rPr>
          <w:rFonts w:ascii="Calibri"/>
          <w:spacing w:val="-1"/>
          <w:sz w:val="24"/>
        </w:rPr>
        <w:t xml:space="preserve"> </w:t>
      </w:r>
      <w:r w:rsidRPr="00150EDC">
        <w:rPr>
          <w:rFonts w:ascii="Calibri"/>
          <w:sz w:val="24"/>
        </w:rPr>
        <w:t>provided by</w:t>
      </w:r>
      <w:r w:rsidRPr="00150EDC">
        <w:rPr>
          <w:rFonts w:ascii="Calibri"/>
          <w:spacing w:val="-2"/>
          <w:sz w:val="24"/>
        </w:rPr>
        <w:t xml:space="preserve"> </w:t>
      </w:r>
      <w:r w:rsidRPr="00150EDC">
        <w:rPr>
          <w:rFonts w:ascii="Calibri"/>
          <w:sz w:val="24"/>
        </w:rPr>
        <w:t>a Relevant Authority</w:t>
      </w:r>
      <w:r w:rsidRPr="00150EDC">
        <w:rPr>
          <w:rFonts w:ascii="Calibri"/>
          <w:spacing w:val="-2"/>
          <w:sz w:val="24"/>
        </w:rPr>
        <w:t xml:space="preserve"> </w:t>
      </w:r>
      <w:r w:rsidRPr="00150EDC">
        <w:rPr>
          <w:rFonts w:ascii="Calibri"/>
          <w:sz w:val="24"/>
        </w:rPr>
        <w:t>no warranty of its accuracy is given to the Supplier.</w:t>
      </w:r>
    </w:p>
    <w:p w14:paraId="23F38773" w14:textId="77777777" w:rsidR="004C7180" w:rsidRPr="00150EDC" w:rsidRDefault="004C7180">
      <w:pPr>
        <w:pStyle w:val="BodyText"/>
        <w:spacing w:before="12"/>
        <w:rPr>
          <w:rFonts w:ascii="Calibri"/>
          <w:sz w:val="23"/>
        </w:rPr>
      </w:pPr>
    </w:p>
    <w:p w14:paraId="50A01E4B" w14:textId="77777777" w:rsidR="004C7180" w:rsidRPr="00150EDC" w:rsidRDefault="00CF0754" w:rsidP="00B320C7">
      <w:pPr>
        <w:pStyle w:val="ListParagraph"/>
        <w:numPr>
          <w:ilvl w:val="1"/>
          <w:numId w:val="182"/>
        </w:numPr>
        <w:tabs>
          <w:tab w:val="left" w:pos="1066"/>
        </w:tabs>
        <w:ind w:right="1284"/>
        <w:rPr>
          <w:rFonts w:ascii="Calibri"/>
          <w:sz w:val="24"/>
        </w:rPr>
      </w:pPr>
      <w:r w:rsidRPr="00150EDC">
        <w:rPr>
          <w:rFonts w:ascii="Calibri"/>
          <w:sz w:val="24"/>
        </w:rPr>
        <w:t>The</w:t>
      </w:r>
      <w:r w:rsidRPr="00150EDC">
        <w:rPr>
          <w:rFonts w:ascii="Calibri"/>
          <w:spacing w:val="-2"/>
          <w:sz w:val="24"/>
        </w:rPr>
        <w:t xml:space="preserve"> </w:t>
      </w:r>
      <w:r w:rsidRPr="00150EDC">
        <w:rPr>
          <w:rFonts w:ascii="Calibri"/>
          <w:sz w:val="24"/>
        </w:rPr>
        <w:t>Supplier</w:t>
      </w:r>
      <w:r w:rsidRPr="00150EDC">
        <w:rPr>
          <w:rFonts w:ascii="Calibri"/>
          <w:spacing w:val="-4"/>
          <w:sz w:val="24"/>
        </w:rPr>
        <w:t xml:space="preserve"> </w:t>
      </w:r>
      <w:r w:rsidRPr="00150EDC">
        <w:rPr>
          <w:rFonts w:ascii="Calibri"/>
          <w:sz w:val="24"/>
        </w:rPr>
        <w:t>will</w:t>
      </w:r>
      <w:r w:rsidRPr="00150EDC">
        <w:rPr>
          <w:rFonts w:ascii="Calibri"/>
          <w:spacing w:val="-3"/>
          <w:sz w:val="24"/>
        </w:rPr>
        <w:t xml:space="preserve"> </w:t>
      </w:r>
      <w:r w:rsidRPr="00150EDC">
        <w:rPr>
          <w:rFonts w:ascii="Calibri"/>
          <w:sz w:val="24"/>
        </w:rPr>
        <w:t>not</w:t>
      </w:r>
      <w:r w:rsidRPr="00150EDC">
        <w:rPr>
          <w:rFonts w:ascii="Calibri"/>
          <w:spacing w:val="-4"/>
          <w:sz w:val="24"/>
        </w:rPr>
        <w:t xml:space="preserve"> </w:t>
      </w:r>
      <w:r w:rsidRPr="00150EDC">
        <w:rPr>
          <w:rFonts w:ascii="Calibri"/>
          <w:sz w:val="24"/>
        </w:rPr>
        <w:t>be</w:t>
      </w:r>
      <w:r w:rsidRPr="00150EDC">
        <w:rPr>
          <w:rFonts w:ascii="Calibri"/>
          <w:spacing w:val="-4"/>
          <w:sz w:val="24"/>
        </w:rPr>
        <w:t xml:space="preserve"> </w:t>
      </w:r>
      <w:r w:rsidRPr="00150EDC">
        <w:rPr>
          <w:rFonts w:ascii="Calibri"/>
          <w:sz w:val="24"/>
        </w:rPr>
        <w:t>excused</w:t>
      </w:r>
      <w:r w:rsidRPr="00150EDC">
        <w:rPr>
          <w:rFonts w:ascii="Calibri"/>
          <w:spacing w:val="-4"/>
          <w:sz w:val="24"/>
        </w:rPr>
        <w:t xml:space="preserve"> </w:t>
      </w:r>
      <w:r w:rsidRPr="00150EDC">
        <w:rPr>
          <w:rFonts w:ascii="Calibri"/>
          <w:sz w:val="24"/>
        </w:rPr>
        <w:t>from</w:t>
      </w:r>
      <w:r w:rsidRPr="00150EDC">
        <w:rPr>
          <w:rFonts w:ascii="Calibri"/>
          <w:spacing w:val="-5"/>
          <w:sz w:val="24"/>
        </w:rPr>
        <w:t xml:space="preserve"> </w:t>
      </w:r>
      <w:r w:rsidRPr="00150EDC">
        <w:rPr>
          <w:rFonts w:ascii="Calibri"/>
          <w:sz w:val="24"/>
        </w:rPr>
        <w:t>any</w:t>
      </w:r>
      <w:r w:rsidRPr="00150EDC">
        <w:rPr>
          <w:rFonts w:ascii="Calibri"/>
          <w:spacing w:val="-3"/>
          <w:sz w:val="24"/>
        </w:rPr>
        <w:t xml:space="preserve"> </w:t>
      </w:r>
      <w:r w:rsidRPr="00150EDC">
        <w:rPr>
          <w:rFonts w:ascii="Calibri"/>
          <w:sz w:val="24"/>
        </w:rPr>
        <w:t>obligation,</w:t>
      </w:r>
      <w:r w:rsidRPr="00150EDC">
        <w:rPr>
          <w:rFonts w:ascii="Calibri"/>
          <w:spacing w:val="-3"/>
          <w:sz w:val="24"/>
        </w:rPr>
        <w:t xml:space="preserve"> </w:t>
      </w:r>
      <w:r w:rsidRPr="00150EDC">
        <w:rPr>
          <w:rFonts w:ascii="Calibri"/>
          <w:sz w:val="24"/>
        </w:rPr>
        <w:t>or</w:t>
      </w:r>
      <w:r w:rsidRPr="00150EDC">
        <w:rPr>
          <w:rFonts w:ascii="Calibri"/>
          <w:spacing w:val="-2"/>
          <w:sz w:val="24"/>
        </w:rPr>
        <w:t xml:space="preserve"> </w:t>
      </w:r>
      <w:r w:rsidRPr="00150EDC">
        <w:rPr>
          <w:rFonts w:ascii="Calibri"/>
          <w:sz w:val="24"/>
        </w:rPr>
        <w:t>be</w:t>
      </w:r>
      <w:r w:rsidRPr="00150EDC">
        <w:rPr>
          <w:rFonts w:ascii="Calibri"/>
          <w:spacing w:val="-2"/>
          <w:sz w:val="24"/>
        </w:rPr>
        <w:t xml:space="preserve"> </w:t>
      </w:r>
      <w:r w:rsidRPr="00150EDC">
        <w:rPr>
          <w:rFonts w:ascii="Calibri"/>
          <w:sz w:val="24"/>
        </w:rPr>
        <w:t>entitled</w:t>
      </w:r>
      <w:r w:rsidRPr="00150EDC">
        <w:rPr>
          <w:rFonts w:ascii="Calibri"/>
          <w:spacing w:val="-2"/>
          <w:sz w:val="24"/>
        </w:rPr>
        <w:t xml:space="preserve"> </w:t>
      </w:r>
      <w:r w:rsidRPr="00150EDC">
        <w:rPr>
          <w:rFonts w:ascii="Calibri"/>
          <w:sz w:val="24"/>
        </w:rPr>
        <w:t>to</w:t>
      </w:r>
      <w:r w:rsidRPr="00150EDC">
        <w:rPr>
          <w:rFonts w:ascii="Calibri"/>
          <w:spacing w:val="-2"/>
          <w:sz w:val="24"/>
        </w:rPr>
        <w:t xml:space="preserve"> </w:t>
      </w:r>
      <w:r w:rsidRPr="00150EDC">
        <w:rPr>
          <w:rFonts w:ascii="Calibri"/>
          <w:sz w:val="24"/>
        </w:rPr>
        <w:t>additional</w:t>
      </w:r>
      <w:r w:rsidRPr="00150EDC">
        <w:rPr>
          <w:rFonts w:ascii="Calibri"/>
          <w:spacing w:val="-5"/>
          <w:sz w:val="24"/>
        </w:rPr>
        <w:t xml:space="preserve"> </w:t>
      </w:r>
      <w:r w:rsidRPr="00150EDC">
        <w:rPr>
          <w:rFonts w:ascii="Calibri"/>
          <w:sz w:val="24"/>
        </w:rPr>
        <w:t>Costs</w:t>
      </w:r>
      <w:r w:rsidRPr="00150EDC">
        <w:rPr>
          <w:rFonts w:ascii="Calibri"/>
          <w:spacing w:val="-5"/>
          <w:sz w:val="24"/>
        </w:rPr>
        <w:t xml:space="preserve"> </w:t>
      </w:r>
      <w:r w:rsidRPr="00150EDC">
        <w:rPr>
          <w:rFonts w:ascii="Calibri"/>
          <w:sz w:val="24"/>
        </w:rPr>
        <w:t>or</w:t>
      </w:r>
      <w:r w:rsidRPr="00150EDC">
        <w:rPr>
          <w:rFonts w:ascii="Calibri"/>
          <w:spacing w:val="-2"/>
          <w:sz w:val="24"/>
        </w:rPr>
        <w:t xml:space="preserve"> </w:t>
      </w:r>
      <w:r w:rsidRPr="00150EDC">
        <w:rPr>
          <w:rFonts w:ascii="Calibri"/>
          <w:sz w:val="24"/>
        </w:rPr>
        <w:t>Charges because it failed to either:</w:t>
      </w:r>
    </w:p>
    <w:p w14:paraId="29B70315" w14:textId="77777777" w:rsidR="004C7180" w:rsidRPr="00150EDC" w:rsidRDefault="004C7180">
      <w:pPr>
        <w:pStyle w:val="BodyText"/>
        <w:spacing w:before="8"/>
        <w:rPr>
          <w:rFonts w:ascii="Calibri"/>
          <w:sz w:val="25"/>
        </w:rPr>
      </w:pPr>
    </w:p>
    <w:p w14:paraId="6CFDFC51" w14:textId="77777777" w:rsidR="004C7180" w:rsidRPr="00150EDC" w:rsidRDefault="00CF0754" w:rsidP="00B320C7">
      <w:pPr>
        <w:pStyle w:val="ListParagraph"/>
        <w:numPr>
          <w:ilvl w:val="0"/>
          <w:numId w:val="179"/>
        </w:numPr>
        <w:tabs>
          <w:tab w:val="left" w:pos="1491"/>
        </w:tabs>
        <w:spacing w:before="1"/>
        <w:ind w:left="1491" w:hanging="425"/>
        <w:rPr>
          <w:rFonts w:ascii="Calibri"/>
          <w:sz w:val="24"/>
        </w:rPr>
      </w:pPr>
      <w:r w:rsidRPr="00150EDC">
        <w:rPr>
          <w:rFonts w:ascii="Calibri"/>
          <w:sz w:val="24"/>
        </w:rPr>
        <w:t>verify</w:t>
      </w:r>
      <w:r w:rsidRPr="00150EDC">
        <w:rPr>
          <w:rFonts w:ascii="Calibri"/>
          <w:spacing w:val="-4"/>
          <w:sz w:val="24"/>
        </w:rPr>
        <w:t xml:space="preserve"> </w:t>
      </w:r>
      <w:r w:rsidRPr="00150EDC">
        <w:rPr>
          <w:rFonts w:ascii="Calibri"/>
          <w:sz w:val="24"/>
        </w:rPr>
        <w:t>the</w:t>
      </w:r>
      <w:r w:rsidRPr="00150EDC">
        <w:rPr>
          <w:rFonts w:ascii="Calibri"/>
          <w:spacing w:val="-4"/>
          <w:sz w:val="24"/>
        </w:rPr>
        <w:t xml:space="preserve"> </w:t>
      </w:r>
      <w:r w:rsidRPr="00150EDC">
        <w:rPr>
          <w:rFonts w:ascii="Calibri"/>
          <w:sz w:val="24"/>
        </w:rPr>
        <w:t>accuracy</w:t>
      </w:r>
      <w:r w:rsidRPr="00150EDC">
        <w:rPr>
          <w:rFonts w:ascii="Calibri"/>
          <w:spacing w:val="-4"/>
          <w:sz w:val="24"/>
        </w:rPr>
        <w:t xml:space="preserve"> </w:t>
      </w:r>
      <w:r w:rsidRPr="00150EDC">
        <w:rPr>
          <w:rFonts w:ascii="Calibri"/>
          <w:sz w:val="24"/>
        </w:rPr>
        <w:t>of</w:t>
      </w:r>
      <w:r w:rsidRPr="00150EDC">
        <w:rPr>
          <w:rFonts w:ascii="Calibri"/>
          <w:spacing w:val="-4"/>
          <w:sz w:val="24"/>
        </w:rPr>
        <w:t xml:space="preserve"> </w:t>
      </w:r>
      <w:r w:rsidRPr="00150EDC">
        <w:rPr>
          <w:rFonts w:ascii="Calibri"/>
          <w:sz w:val="24"/>
        </w:rPr>
        <w:t>the</w:t>
      </w:r>
      <w:r w:rsidRPr="00150EDC">
        <w:rPr>
          <w:rFonts w:ascii="Calibri"/>
          <w:spacing w:val="-2"/>
          <w:sz w:val="24"/>
        </w:rPr>
        <w:t xml:space="preserve"> </w:t>
      </w:r>
      <w:r w:rsidRPr="00150EDC">
        <w:rPr>
          <w:rFonts w:ascii="Calibri"/>
          <w:sz w:val="24"/>
        </w:rPr>
        <w:t>Due</w:t>
      </w:r>
      <w:r w:rsidRPr="00150EDC">
        <w:rPr>
          <w:rFonts w:ascii="Calibri"/>
          <w:spacing w:val="-4"/>
          <w:sz w:val="24"/>
        </w:rPr>
        <w:t xml:space="preserve"> </w:t>
      </w:r>
      <w:r w:rsidRPr="00150EDC">
        <w:rPr>
          <w:rFonts w:ascii="Calibri"/>
          <w:sz w:val="24"/>
        </w:rPr>
        <w:t>Diligence</w:t>
      </w:r>
      <w:r w:rsidRPr="00150EDC">
        <w:rPr>
          <w:rFonts w:ascii="Calibri"/>
          <w:spacing w:val="-5"/>
          <w:sz w:val="24"/>
        </w:rPr>
        <w:t xml:space="preserve"> </w:t>
      </w:r>
      <w:r w:rsidRPr="00150EDC">
        <w:rPr>
          <w:rFonts w:ascii="Calibri"/>
          <w:sz w:val="24"/>
        </w:rPr>
        <w:t>Information;</w:t>
      </w:r>
      <w:r w:rsidRPr="00150EDC">
        <w:rPr>
          <w:rFonts w:ascii="Calibri"/>
          <w:spacing w:val="-4"/>
          <w:sz w:val="24"/>
        </w:rPr>
        <w:t xml:space="preserve"> </w:t>
      </w:r>
      <w:r w:rsidRPr="00150EDC">
        <w:rPr>
          <w:rFonts w:ascii="Calibri"/>
          <w:spacing w:val="-5"/>
          <w:sz w:val="24"/>
        </w:rPr>
        <w:t>or</w:t>
      </w:r>
    </w:p>
    <w:p w14:paraId="66C59866" w14:textId="77777777" w:rsidR="004C7180" w:rsidRPr="00150EDC" w:rsidRDefault="00CF0754" w:rsidP="00B320C7">
      <w:pPr>
        <w:pStyle w:val="ListParagraph"/>
        <w:numPr>
          <w:ilvl w:val="0"/>
          <w:numId w:val="179"/>
        </w:numPr>
        <w:tabs>
          <w:tab w:val="left" w:pos="1491"/>
        </w:tabs>
        <w:spacing w:before="19"/>
        <w:ind w:left="1491" w:hanging="425"/>
        <w:rPr>
          <w:rFonts w:ascii="Calibri"/>
          <w:sz w:val="24"/>
        </w:rPr>
      </w:pPr>
      <w:r w:rsidRPr="00150EDC">
        <w:rPr>
          <w:rFonts w:ascii="Calibri"/>
          <w:sz w:val="24"/>
        </w:rPr>
        <w:t>properly</w:t>
      </w:r>
      <w:r w:rsidRPr="00150EDC">
        <w:rPr>
          <w:rFonts w:ascii="Calibri"/>
          <w:spacing w:val="-4"/>
          <w:sz w:val="24"/>
        </w:rPr>
        <w:t xml:space="preserve"> </w:t>
      </w:r>
      <w:r w:rsidRPr="00150EDC">
        <w:rPr>
          <w:rFonts w:ascii="Calibri"/>
          <w:sz w:val="24"/>
        </w:rPr>
        <w:t>perform</w:t>
      </w:r>
      <w:r w:rsidRPr="00150EDC">
        <w:rPr>
          <w:rFonts w:ascii="Calibri"/>
          <w:spacing w:val="-2"/>
          <w:sz w:val="24"/>
        </w:rPr>
        <w:t xml:space="preserve"> </w:t>
      </w:r>
      <w:r w:rsidRPr="00150EDC">
        <w:rPr>
          <w:rFonts w:ascii="Calibri"/>
          <w:sz w:val="24"/>
        </w:rPr>
        <w:t>its</w:t>
      </w:r>
      <w:r w:rsidRPr="00150EDC">
        <w:rPr>
          <w:rFonts w:ascii="Calibri"/>
          <w:spacing w:val="-4"/>
          <w:sz w:val="24"/>
        </w:rPr>
        <w:t xml:space="preserve"> </w:t>
      </w:r>
      <w:r w:rsidRPr="00150EDC">
        <w:rPr>
          <w:rFonts w:ascii="Calibri"/>
          <w:sz w:val="24"/>
        </w:rPr>
        <w:t>own</w:t>
      </w:r>
      <w:r w:rsidRPr="00150EDC">
        <w:rPr>
          <w:rFonts w:ascii="Calibri"/>
          <w:spacing w:val="-5"/>
          <w:sz w:val="24"/>
        </w:rPr>
        <w:t xml:space="preserve"> </w:t>
      </w:r>
      <w:r w:rsidRPr="00150EDC">
        <w:rPr>
          <w:rFonts w:ascii="Calibri"/>
          <w:sz w:val="24"/>
        </w:rPr>
        <w:t>adequate</w:t>
      </w:r>
      <w:r w:rsidRPr="00150EDC">
        <w:rPr>
          <w:rFonts w:ascii="Calibri"/>
          <w:spacing w:val="-2"/>
          <w:sz w:val="24"/>
        </w:rPr>
        <w:t xml:space="preserve"> checks.</w:t>
      </w:r>
    </w:p>
    <w:p w14:paraId="45746D53" w14:textId="77777777" w:rsidR="004C7180" w:rsidRPr="00150EDC" w:rsidRDefault="004C7180">
      <w:pPr>
        <w:pStyle w:val="BodyText"/>
        <w:spacing w:before="4"/>
        <w:rPr>
          <w:rFonts w:ascii="Calibri"/>
          <w:sz w:val="27"/>
        </w:rPr>
      </w:pPr>
    </w:p>
    <w:p w14:paraId="1E92F50D" w14:textId="77777777" w:rsidR="004C7180" w:rsidRPr="00150EDC" w:rsidRDefault="00CF0754" w:rsidP="00B320C7">
      <w:pPr>
        <w:pStyle w:val="ListParagraph"/>
        <w:numPr>
          <w:ilvl w:val="1"/>
          <w:numId w:val="182"/>
        </w:numPr>
        <w:tabs>
          <w:tab w:val="left" w:pos="1066"/>
        </w:tabs>
        <w:ind w:hanging="566"/>
        <w:rPr>
          <w:rFonts w:ascii="Calibri"/>
          <w:sz w:val="24"/>
        </w:rPr>
      </w:pPr>
      <w:r w:rsidRPr="00150EDC">
        <w:rPr>
          <w:rFonts w:ascii="Calibri"/>
          <w:sz w:val="24"/>
        </w:rPr>
        <w:t>CCS</w:t>
      </w:r>
      <w:r w:rsidRPr="00150EDC">
        <w:rPr>
          <w:rFonts w:ascii="Calibri"/>
          <w:spacing w:val="-4"/>
          <w:sz w:val="24"/>
        </w:rPr>
        <w:t xml:space="preserve"> </w:t>
      </w:r>
      <w:r w:rsidRPr="00150EDC">
        <w:rPr>
          <w:rFonts w:ascii="Calibri"/>
          <w:sz w:val="24"/>
        </w:rPr>
        <w:t>and</w:t>
      </w:r>
      <w:r w:rsidRPr="00150EDC">
        <w:rPr>
          <w:rFonts w:ascii="Calibri"/>
          <w:spacing w:val="-3"/>
          <w:sz w:val="24"/>
        </w:rPr>
        <w:t xml:space="preserve"> </w:t>
      </w:r>
      <w:r w:rsidRPr="00150EDC">
        <w:rPr>
          <w:rFonts w:ascii="Calibri"/>
          <w:sz w:val="24"/>
        </w:rPr>
        <w:t>the</w:t>
      </w:r>
      <w:r w:rsidRPr="00150EDC">
        <w:rPr>
          <w:rFonts w:ascii="Calibri"/>
          <w:spacing w:val="-4"/>
          <w:sz w:val="24"/>
        </w:rPr>
        <w:t xml:space="preserve"> </w:t>
      </w:r>
      <w:r w:rsidRPr="00150EDC">
        <w:rPr>
          <w:rFonts w:ascii="Calibri"/>
          <w:sz w:val="24"/>
        </w:rPr>
        <w:t>Buyer</w:t>
      </w:r>
      <w:r w:rsidRPr="00150EDC">
        <w:rPr>
          <w:rFonts w:ascii="Calibri"/>
          <w:spacing w:val="-2"/>
          <w:sz w:val="24"/>
        </w:rPr>
        <w:t xml:space="preserve"> </w:t>
      </w:r>
      <w:r w:rsidRPr="00150EDC">
        <w:rPr>
          <w:rFonts w:ascii="Calibri"/>
          <w:sz w:val="24"/>
        </w:rPr>
        <w:t>will</w:t>
      </w:r>
      <w:r w:rsidRPr="00150EDC">
        <w:rPr>
          <w:rFonts w:ascii="Calibri"/>
          <w:spacing w:val="-4"/>
          <w:sz w:val="24"/>
        </w:rPr>
        <w:t xml:space="preserve"> </w:t>
      </w:r>
      <w:r w:rsidRPr="00150EDC">
        <w:rPr>
          <w:rFonts w:ascii="Calibri"/>
          <w:sz w:val="24"/>
        </w:rPr>
        <w:t>not</w:t>
      </w:r>
      <w:r w:rsidRPr="00150EDC">
        <w:rPr>
          <w:rFonts w:ascii="Calibri"/>
          <w:spacing w:val="-2"/>
          <w:sz w:val="24"/>
        </w:rPr>
        <w:t xml:space="preserve"> </w:t>
      </w:r>
      <w:r w:rsidRPr="00150EDC">
        <w:rPr>
          <w:rFonts w:ascii="Calibri"/>
          <w:sz w:val="24"/>
        </w:rPr>
        <w:t>be</w:t>
      </w:r>
      <w:r w:rsidRPr="00150EDC">
        <w:rPr>
          <w:rFonts w:ascii="Calibri"/>
          <w:spacing w:val="-1"/>
          <w:sz w:val="24"/>
        </w:rPr>
        <w:t xml:space="preserve"> </w:t>
      </w:r>
      <w:r w:rsidRPr="00150EDC">
        <w:rPr>
          <w:rFonts w:ascii="Calibri"/>
          <w:sz w:val="24"/>
        </w:rPr>
        <w:t>liable</w:t>
      </w:r>
      <w:r w:rsidRPr="00150EDC">
        <w:rPr>
          <w:rFonts w:ascii="Calibri"/>
          <w:spacing w:val="-3"/>
          <w:sz w:val="24"/>
        </w:rPr>
        <w:t xml:space="preserve"> </w:t>
      </w:r>
      <w:r w:rsidRPr="00150EDC">
        <w:rPr>
          <w:rFonts w:ascii="Calibri"/>
          <w:sz w:val="24"/>
        </w:rPr>
        <w:t>for</w:t>
      </w:r>
      <w:r w:rsidRPr="00150EDC">
        <w:rPr>
          <w:rFonts w:ascii="Calibri"/>
          <w:spacing w:val="-3"/>
          <w:sz w:val="24"/>
        </w:rPr>
        <w:t xml:space="preserve"> </w:t>
      </w:r>
      <w:r w:rsidRPr="00150EDC">
        <w:rPr>
          <w:rFonts w:ascii="Calibri"/>
          <w:sz w:val="24"/>
        </w:rPr>
        <w:t>errors,</w:t>
      </w:r>
      <w:r w:rsidRPr="00150EDC">
        <w:rPr>
          <w:rFonts w:ascii="Calibri"/>
          <w:spacing w:val="-2"/>
          <w:sz w:val="24"/>
        </w:rPr>
        <w:t xml:space="preserve"> </w:t>
      </w:r>
      <w:r w:rsidRPr="00150EDC">
        <w:rPr>
          <w:rFonts w:ascii="Calibri"/>
          <w:sz w:val="24"/>
        </w:rPr>
        <w:t>omissions</w:t>
      </w:r>
      <w:r w:rsidRPr="00150EDC">
        <w:rPr>
          <w:rFonts w:ascii="Calibri"/>
          <w:spacing w:val="-2"/>
          <w:sz w:val="24"/>
        </w:rPr>
        <w:t xml:space="preserve"> </w:t>
      </w:r>
      <w:r w:rsidRPr="00150EDC">
        <w:rPr>
          <w:rFonts w:ascii="Calibri"/>
          <w:sz w:val="24"/>
        </w:rPr>
        <w:t>or</w:t>
      </w:r>
      <w:r w:rsidRPr="00150EDC">
        <w:rPr>
          <w:rFonts w:ascii="Calibri"/>
          <w:spacing w:val="-3"/>
          <w:sz w:val="24"/>
        </w:rPr>
        <w:t xml:space="preserve"> </w:t>
      </w:r>
      <w:r w:rsidRPr="00150EDC">
        <w:rPr>
          <w:rFonts w:ascii="Calibri"/>
          <w:sz w:val="24"/>
        </w:rPr>
        <w:t>misrepresentation</w:t>
      </w:r>
      <w:r w:rsidRPr="00150EDC">
        <w:rPr>
          <w:rFonts w:ascii="Calibri"/>
          <w:spacing w:val="-3"/>
          <w:sz w:val="24"/>
        </w:rPr>
        <w:t xml:space="preserve"> </w:t>
      </w:r>
      <w:r w:rsidRPr="00150EDC">
        <w:rPr>
          <w:rFonts w:ascii="Calibri"/>
          <w:sz w:val="24"/>
        </w:rPr>
        <w:t>of</w:t>
      </w:r>
      <w:r w:rsidRPr="00150EDC">
        <w:rPr>
          <w:rFonts w:ascii="Calibri"/>
          <w:spacing w:val="-3"/>
          <w:sz w:val="24"/>
        </w:rPr>
        <w:t xml:space="preserve"> </w:t>
      </w:r>
      <w:r w:rsidRPr="00150EDC">
        <w:rPr>
          <w:rFonts w:ascii="Calibri"/>
          <w:sz w:val="24"/>
        </w:rPr>
        <w:t>any</w:t>
      </w:r>
      <w:r w:rsidRPr="00150EDC">
        <w:rPr>
          <w:rFonts w:ascii="Calibri"/>
          <w:spacing w:val="-4"/>
          <w:sz w:val="24"/>
        </w:rPr>
        <w:t xml:space="preserve"> </w:t>
      </w:r>
      <w:r w:rsidRPr="00150EDC">
        <w:rPr>
          <w:rFonts w:ascii="Calibri"/>
          <w:spacing w:val="-2"/>
          <w:sz w:val="24"/>
        </w:rPr>
        <w:t>information.</w:t>
      </w:r>
    </w:p>
    <w:p w14:paraId="06CFBCC8" w14:textId="77777777" w:rsidR="004C7180" w:rsidRPr="00150EDC" w:rsidRDefault="004C7180">
      <w:pPr>
        <w:rPr>
          <w:rFonts w:ascii="Calibri"/>
          <w:sz w:val="24"/>
        </w:rPr>
        <w:sectPr w:rsidR="004C7180" w:rsidRPr="00150EDC">
          <w:headerReference w:type="default" r:id="rId8"/>
          <w:footerReference w:type="default" r:id="rId9"/>
          <w:pgSz w:w="11910" w:h="16840"/>
          <w:pgMar w:top="620" w:right="0" w:bottom="2440" w:left="40" w:header="403" w:footer="2245" w:gutter="0"/>
          <w:pgNumType w:start="2"/>
          <w:cols w:space="720"/>
        </w:sectPr>
      </w:pPr>
    </w:p>
    <w:p w14:paraId="6A89FBF3" w14:textId="77777777" w:rsidR="004C7180" w:rsidRPr="00150EDC" w:rsidRDefault="004C7180">
      <w:pPr>
        <w:pStyle w:val="BodyText"/>
        <w:spacing w:before="1"/>
        <w:rPr>
          <w:rFonts w:ascii="Calibri"/>
          <w:sz w:val="18"/>
        </w:rPr>
      </w:pPr>
    </w:p>
    <w:p w14:paraId="4A939B6D" w14:textId="77777777" w:rsidR="004C7180" w:rsidRPr="00150EDC" w:rsidRDefault="00CF0754" w:rsidP="00B320C7">
      <w:pPr>
        <w:pStyle w:val="ListParagraph"/>
        <w:numPr>
          <w:ilvl w:val="1"/>
          <w:numId w:val="182"/>
        </w:numPr>
        <w:tabs>
          <w:tab w:val="left" w:pos="1064"/>
          <w:tab w:val="left" w:pos="1066"/>
        </w:tabs>
        <w:spacing w:before="52"/>
        <w:ind w:right="660"/>
        <w:rPr>
          <w:rFonts w:ascii="Calibri"/>
          <w:sz w:val="24"/>
        </w:rPr>
      </w:pPr>
      <w:r w:rsidRPr="00150EDC">
        <w:rPr>
          <w:rFonts w:ascii="Calibri"/>
          <w:sz w:val="24"/>
        </w:rPr>
        <w:t>The</w:t>
      </w:r>
      <w:r w:rsidRPr="00150EDC">
        <w:rPr>
          <w:rFonts w:ascii="Calibri"/>
          <w:spacing w:val="-2"/>
          <w:sz w:val="24"/>
        </w:rPr>
        <w:t xml:space="preserve"> </w:t>
      </w:r>
      <w:r w:rsidRPr="00150EDC">
        <w:rPr>
          <w:rFonts w:ascii="Calibri"/>
          <w:sz w:val="24"/>
        </w:rPr>
        <w:t>Supplier</w:t>
      </w:r>
      <w:r w:rsidRPr="00150EDC">
        <w:rPr>
          <w:rFonts w:ascii="Calibri"/>
          <w:spacing w:val="-4"/>
          <w:sz w:val="24"/>
        </w:rPr>
        <w:t xml:space="preserve"> </w:t>
      </w:r>
      <w:r w:rsidRPr="00150EDC">
        <w:rPr>
          <w:rFonts w:ascii="Calibri"/>
          <w:sz w:val="24"/>
        </w:rPr>
        <w:t>warrants</w:t>
      </w:r>
      <w:r w:rsidRPr="00150EDC">
        <w:rPr>
          <w:rFonts w:ascii="Calibri"/>
          <w:spacing w:val="-3"/>
          <w:sz w:val="24"/>
        </w:rPr>
        <w:t xml:space="preserve"> </w:t>
      </w:r>
      <w:r w:rsidRPr="00150EDC">
        <w:rPr>
          <w:rFonts w:ascii="Calibri"/>
          <w:sz w:val="24"/>
        </w:rPr>
        <w:t>and</w:t>
      </w:r>
      <w:r w:rsidRPr="00150EDC">
        <w:rPr>
          <w:rFonts w:ascii="Calibri"/>
          <w:spacing w:val="-2"/>
          <w:sz w:val="24"/>
        </w:rPr>
        <w:t xml:space="preserve"> </w:t>
      </w:r>
      <w:r w:rsidRPr="00150EDC">
        <w:rPr>
          <w:rFonts w:ascii="Calibri"/>
          <w:sz w:val="24"/>
        </w:rPr>
        <w:t>represents</w:t>
      </w:r>
      <w:r w:rsidRPr="00150EDC">
        <w:rPr>
          <w:rFonts w:ascii="Calibri"/>
          <w:spacing w:val="-5"/>
          <w:sz w:val="24"/>
        </w:rPr>
        <w:t xml:space="preserve"> </w:t>
      </w:r>
      <w:r w:rsidRPr="00150EDC">
        <w:rPr>
          <w:rFonts w:ascii="Calibri"/>
          <w:sz w:val="24"/>
        </w:rPr>
        <w:t>that</w:t>
      </w:r>
      <w:r w:rsidRPr="00150EDC">
        <w:rPr>
          <w:rFonts w:ascii="Calibri"/>
          <w:spacing w:val="-2"/>
          <w:sz w:val="24"/>
        </w:rPr>
        <w:t xml:space="preserve"> </w:t>
      </w:r>
      <w:r w:rsidRPr="00150EDC">
        <w:rPr>
          <w:rFonts w:ascii="Calibri"/>
          <w:sz w:val="24"/>
        </w:rPr>
        <w:t>all statements</w:t>
      </w:r>
      <w:r w:rsidRPr="00150EDC">
        <w:rPr>
          <w:rFonts w:ascii="Calibri"/>
          <w:spacing w:val="-3"/>
          <w:sz w:val="24"/>
        </w:rPr>
        <w:t xml:space="preserve"> </w:t>
      </w:r>
      <w:r w:rsidRPr="00150EDC">
        <w:rPr>
          <w:rFonts w:ascii="Calibri"/>
          <w:sz w:val="24"/>
        </w:rPr>
        <w:t>made</w:t>
      </w:r>
      <w:r w:rsidRPr="00150EDC">
        <w:rPr>
          <w:rFonts w:ascii="Calibri"/>
          <w:spacing w:val="-2"/>
          <w:sz w:val="24"/>
        </w:rPr>
        <w:t xml:space="preserve"> </w:t>
      </w:r>
      <w:r w:rsidRPr="00150EDC">
        <w:rPr>
          <w:rFonts w:ascii="Calibri"/>
          <w:sz w:val="24"/>
        </w:rPr>
        <w:t>and</w:t>
      </w:r>
      <w:r w:rsidRPr="00150EDC">
        <w:rPr>
          <w:rFonts w:ascii="Calibri"/>
          <w:spacing w:val="-4"/>
          <w:sz w:val="24"/>
        </w:rPr>
        <w:t xml:space="preserve"> </w:t>
      </w:r>
      <w:r w:rsidRPr="00150EDC">
        <w:rPr>
          <w:rFonts w:ascii="Calibri"/>
          <w:sz w:val="24"/>
        </w:rPr>
        <w:t>documents</w:t>
      </w:r>
      <w:r w:rsidRPr="00150EDC">
        <w:rPr>
          <w:rFonts w:ascii="Calibri"/>
          <w:spacing w:val="-5"/>
          <w:sz w:val="24"/>
        </w:rPr>
        <w:t xml:space="preserve"> </w:t>
      </w:r>
      <w:r w:rsidRPr="00150EDC">
        <w:rPr>
          <w:rFonts w:ascii="Calibri"/>
          <w:sz w:val="24"/>
        </w:rPr>
        <w:t>submitted</w:t>
      </w:r>
      <w:r w:rsidRPr="00150EDC">
        <w:rPr>
          <w:rFonts w:ascii="Calibri"/>
          <w:spacing w:val="-4"/>
          <w:sz w:val="24"/>
        </w:rPr>
        <w:t xml:space="preserve"> </w:t>
      </w:r>
      <w:r w:rsidRPr="00150EDC">
        <w:rPr>
          <w:rFonts w:ascii="Calibri"/>
          <w:sz w:val="24"/>
        </w:rPr>
        <w:t>as</w:t>
      </w:r>
      <w:r w:rsidRPr="00150EDC">
        <w:rPr>
          <w:rFonts w:ascii="Calibri"/>
          <w:spacing w:val="-3"/>
          <w:sz w:val="24"/>
        </w:rPr>
        <w:t xml:space="preserve"> </w:t>
      </w:r>
      <w:r w:rsidRPr="00150EDC">
        <w:rPr>
          <w:rFonts w:ascii="Calibri"/>
          <w:sz w:val="24"/>
        </w:rPr>
        <w:t>part</w:t>
      </w:r>
      <w:r w:rsidRPr="00150EDC">
        <w:rPr>
          <w:rFonts w:ascii="Calibri"/>
          <w:spacing w:val="-5"/>
          <w:sz w:val="24"/>
        </w:rPr>
        <w:t xml:space="preserve"> </w:t>
      </w:r>
      <w:r w:rsidRPr="00150EDC">
        <w:rPr>
          <w:rFonts w:ascii="Calibri"/>
          <w:sz w:val="24"/>
        </w:rPr>
        <w:t>of</w:t>
      </w:r>
      <w:r w:rsidRPr="00150EDC">
        <w:rPr>
          <w:rFonts w:ascii="Calibri"/>
          <w:spacing w:val="-3"/>
          <w:sz w:val="24"/>
        </w:rPr>
        <w:t xml:space="preserve"> </w:t>
      </w:r>
      <w:r w:rsidRPr="00150EDC">
        <w:rPr>
          <w:rFonts w:ascii="Calibri"/>
          <w:sz w:val="24"/>
        </w:rPr>
        <w:t>the procurement of Deliverables are and remain true and accurate.</w:t>
      </w:r>
    </w:p>
    <w:p w14:paraId="1BBE91FF" w14:textId="77777777" w:rsidR="004C7180" w:rsidRPr="00150EDC" w:rsidRDefault="004C7180">
      <w:pPr>
        <w:pStyle w:val="BodyText"/>
        <w:rPr>
          <w:rFonts w:ascii="Calibri"/>
        </w:rPr>
      </w:pPr>
    </w:p>
    <w:p w14:paraId="78F39E9A" w14:textId="77777777" w:rsidR="004C7180" w:rsidRPr="00150EDC" w:rsidRDefault="00CF0754" w:rsidP="00B320C7">
      <w:pPr>
        <w:pStyle w:val="ListParagraph"/>
        <w:numPr>
          <w:ilvl w:val="1"/>
          <w:numId w:val="182"/>
        </w:numPr>
        <w:tabs>
          <w:tab w:val="left" w:pos="1064"/>
          <w:tab w:val="left" w:pos="1066"/>
        </w:tabs>
        <w:ind w:right="783"/>
        <w:rPr>
          <w:rFonts w:ascii="Calibri"/>
          <w:sz w:val="24"/>
        </w:rPr>
      </w:pPr>
      <w:r w:rsidRPr="00150EDC">
        <w:rPr>
          <w:rFonts w:ascii="Calibri"/>
          <w:sz w:val="24"/>
        </w:rPr>
        <w:t>An</w:t>
      </w:r>
      <w:r w:rsidRPr="00150EDC">
        <w:rPr>
          <w:rFonts w:ascii="Calibri"/>
          <w:spacing w:val="-1"/>
          <w:sz w:val="24"/>
        </w:rPr>
        <w:t xml:space="preserve"> </w:t>
      </w:r>
      <w:r w:rsidRPr="00150EDC">
        <w:rPr>
          <w:rFonts w:ascii="Calibri"/>
          <w:sz w:val="24"/>
        </w:rPr>
        <w:t>Order</w:t>
      </w:r>
      <w:r w:rsidRPr="00150EDC">
        <w:rPr>
          <w:rFonts w:ascii="Calibri"/>
          <w:spacing w:val="-1"/>
          <w:sz w:val="24"/>
        </w:rPr>
        <w:t xml:space="preserve"> </w:t>
      </w:r>
      <w:r w:rsidRPr="00150EDC">
        <w:rPr>
          <w:rFonts w:ascii="Calibri"/>
          <w:sz w:val="24"/>
        </w:rPr>
        <w:t>Contract</w:t>
      </w:r>
      <w:r w:rsidRPr="00150EDC">
        <w:rPr>
          <w:rFonts w:ascii="Calibri"/>
          <w:spacing w:val="-3"/>
          <w:sz w:val="24"/>
        </w:rPr>
        <w:t xml:space="preserve"> </w:t>
      </w:r>
      <w:r w:rsidRPr="00150EDC">
        <w:rPr>
          <w:rFonts w:ascii="Calibri"/>
          <w:sz w:val="24"/>
        </w:rPr>
        <w:t>can</w:t>
      </w:r>
      <w:r w:rsidRPr="00150EDC">
        <w:rPr>
          <w:rFonts w:ascii="Calibri"/>
          <w:spacing w:val="-3"/>
          <w:sz w:val="24"/>
        </w:rPr>
        <w:t xml:space="preserve"> </w:t>
      </w:r>
      <w:r w:rsidRPr="00150EDC">
        <w:rPr>
          <w:rFonts w:ascii="Calibri"/>
          <w:sz w:val="24"/>
        </w:rPr>
        <w:t>only</w:t>
      </w:r>
      <w:r w:rsidRPr="00150EDC">
        <w:rPr>
          <w:rFonts w:ascii="Calibri"/>
          <w:spacing w:val="-2"/>
          <w:sz w:val="24"/>
        </w:rPr>
        <w:t xml:space="preserve"> </w:t>
      </w:r>
      <w:r w:rsidRPr="00150EDC">
        <w:rPr>
          <w:rFonts w:ascii="Calibri"/>
          <w:sz w:val="24"/>
        </w:rPr>
        <w:t>be</w:t>
      </w:r>
      <w:r w:rsidRPr="00150EDC">
        <w:rPr>
          <w:rFonts w:ascii="Calibri"/>
          <w:spacing w:val="-4"/>
          <w:sz w:val="24"/>
        </w:rPr>
        <w:t xml:space="preserve"> </w:t>
      </w:r>
      <w:r w:rsidRPr="00150EDC">
        <w:rPr>
          <w:rFonts w:ascii="Calibri"/>
          <w:sz w:val="24"/>
        </w:rPr>
        <w:t>created</w:t>
      </w:r>
      <w:r w:rsidRPr="00150EDC">
        <w:rPr>
          <w:rFonts w:ascii="Calibri"/>
          <w:spacing w:val="-3"/>
          <w:sz w:val="24"/>
        </w:rPr>
        <w:t xml:space="preserve"> </w:t>
      </w:r>
      <w:r w:rsidRPr="00150EDC">
        <w:rPr>
          <w:rFonts w:ascii="Calibri"/>
          <w:sz w:val="24"/>
        </w:rPr>
        <w:t>using</w:t>
      </w:r>
      <w:r w:rsidRPr="00150EDC">
        <w:rPr>
          <w:rFonts w:ascii="Calibri"/>
          <w:spacing w:val="-4"/>
          <w:sz w:val="24"/>
        </w:rPr>
        <w:t xml:space="preserve"> </w:t>
      </w:r>
      <w:r w:rsidRPr="00150EDC">
        <w:rPr>
          <w:rFonts w:ascii="Calibri"/>
          <w:sz w:val="24"/>
        </w:rPr>
        <w:t>the</w:t>
      </w:r>
      <w:r w:rsidRPr="00150EDC">
        <w:rPr>
          <w:rFonts w:ascii="Calibri"/>
          <w:spacing w:val="-3"/>
          <w:sz w:val="24"/>
        </w:rPr>
        <w:t xml:space="preserve"> </w:t>
      </w:r>
      <w:r w:rsidRPr="00150EDC">
        <w:rPr>
          <w:rFonts w:ascii="Calibri"/>
          <w:sz w:val="24"/>
        </w:rPr>
        <w:t>electronic</w:t>
      </w:r>
      <w:r w:rsidRPr="00150EDC">
        <w:rPr>
          <w:rFonts w:ascii="Calibri"/>
          <w:spacing w:val="-2"/>
          <w:sz w:val="24"/>
        </w:rPr>
        <w:t xml:space="preserve"> </w:t>
      </w:r>
      <w:r w:rsidRPr="00150EDC">
        <w:rPr>
          <w:rFonts w:ascii="Calibri"/>
          <w:sz w:val="24"/>
        </w:rPr>
        <w:t>procedures</w:t>
      </w:r>
      <w:r w:rsidRPr="00150EDC">
        <w:rPr>
          <w:rFonts w:ascii="Calibri"/>
          <w:spacing w:val="-4"/>
          <w:sz w:val="24"/>
        </w:rPr>
        <w:t xml:space="preserve"> </w:t>
      </w:r>
      <w:r w:rsidRPr="00150EDC">
        <w:rPr>
          <w:rFonts w:ascii="Calibri"/>
          <w:sz w:val="24"/>
        </w:rPr>
        <w:t>described in</w:t>
      </w:r>
      <w:r w:rsidRPr="00150EDC">
        <w:rPr>
          <w:rFonts w:ascii="Calibri"/>
          <w:spacing w:val="-3"/>
          <w:sz w:val="24"/>
        </w:rPr>
        <w:t xml:space="preserve"> </w:t>
      </w:r>
      <w:r w:rsidRPr="00150EDC">
        <w:rPr>
          <w:rFonts w:ascii="Calibri"/>
          <w:sz w:val="24"/>
        </w:rPr>
        <w:t>the</w:t>
      </w:r>
      <w:r w:rsidRPr="00150EDC">
        <w:rPr>
          <w:rFonts w:ascii="Calibri"/>
          <w:spacing w:val="-4"/>
          <w:sz w:val="24"/>
        </w:rPr>
        <w:t xml:space="preserve"> </w:t>
      </w:r>
      <w:r w:rsidRPr="00150EDC">
        <w:rPr>
          <w:rFonts w:ascii="Calibri"/>
          <w:sz w:val="24"/>
        </w:rPr>
        <w:t>OJEU</w:t>
      </w:r>
      <w:r w:rsidRPr="00150EDC">
        <w:rPr>
          <w:rFonts w:ascii="Calibri"/>
          <w:spacing w:val="-4"/>
          <w:sz w:val="24"/>
        </w:rPr>
        <w:t xml:space="preserve"> </w:t>
      </w:r>
      <w:r w:rsidRPr="00150EDC">
        <w:rPr>
          <w:rFonts w:ascii="Calibri"/>
          <w:sz w:val="24"/>
        </w:rPr>
        <w:t>Notice</w:t>
      </w:r>
      <w:r w:rsidRPr="00150EDC">
        <w:rPr>
          <w:rFonts w:ascii="Calibri"/>
          <w:spacing w:val="-1"/>
          <w:sz w:val="24"/>
        </w:rPr>
        <w:t xml:space="preserve"> </w:t>
      </w:r>
      <w:r w:rsidRPr="00150EDC">
        <w:rPr>
          <w:rFonts w:ascii="Calibri"/>
          <w:sz w:val="24"/>
        </w:rPr>
        <w:t>as required by the Regulations.</w:t>
      </w:r>
    </w:p>
    <w:p w14:paraId="35187847" w14:textId="77777777" w:rsidR="004C7180" w:rsidRPr="00150EDC" w:rsidRDefault="004C7180">
      <w:pPr>
        <w:pStyle w:val="BodyText"/>
        <w:spacing w:before="11"/>
        <w:rPr>
          <w:rFonts w:ascii="Calibri"/>
          <w:sz w:val="23"/>
        </w:rPr>
      </w:pPr>
    </w:p>
    <w:p w14:paraId="06CAF8DD" w14:textId="77777777" w:rsidR="004C7180" w:rsidRPr="00150EDC" w:rsidRDefault="00CF0754" w:rsidP="00B320C7">
      <w:pPr>
        <w:pStyle w:val="ListParagraph"/>
        <w:numPr>
          <w:ilvl w:val="1"/>
          <w:numId w:val="182"/>
        </w:numPr>
        <w:tabs>
          <w:tab w:val="left" w:pos="1064"/>
          <w:tab w:val="left" w:pos="1066"/>
        </w:tabs>
        <w:spacing w:before="1"/>
        <w:ind w:right="695"/>
        <w:rPr>
          <w:rFonts w:ascii="Calibri"/>
          <w:sz w:val="24"/>
        </w:rPr>
      </w:pPr>
      <w:r w:rsidRPr="00150EDC">
        <w:rPr>
          <w:rFonts w:ascii="Calibri"/>
          <w:sz w:val="24"/>
        </w:rPr>
        <w:t>A</w:t>
      </w:r>
      <w:r w:rsidRPr="00150EDC">
        <w:rPr>
          <w:rFonts w:ascii="Calibri"/>
          <w:spacing w:val="-1"/>
          <w:sz w:val="24"/>
        </w:rPr>
        <w:t xml:space="preserve"> </w:t>
      </w:r>
      <w:r w:rsidRPr="00150EDC">
        <w:rPr>
          <w:rFonts w:ascii="Calibri"/>
          <w:sz w:val="24"/>
        </w:rPr>
        <w:t>Supplier</w:t>
      </w:r>
      <w:r w:rsidRPr="00150EDC">
        <w:rPr>
          <w:rFonts w:ascii="Calibri"/>
          <w:spacing w:val="-3"/>
          <w:sz w:val="24"/>
        </w:rPr>
        <w:t xml:space="preserve"> </w:t>
      </w:r>
      <w:r w:rsidRPr="00150EDC">
        <w:rPr>
          <w:rFonts w:ascii="Calibri"/>
          <w:sz w:val="24"/>
        </w:rPr>
        <w:t>can</w:t>
      </w:r>
      <w:r w:rsidRPr="00150EDC">
        <w:rPr>
          <w:rFonts w:ascii="Calibri"/>
          <w:spacing w:val="-3"/>
          <w:sz w:val="24"/>
        </w:rPr>
        <w:t xml:space="preserve"> </w:t>
      </w:r>
      <w:r w:rsidRPr="00150EDC">
        <w:rPr>
          <w:rFonts w:ascii="Calibri"/>
          <w:sz w:val="24"/>
        </w:rPr>
        <w:t>only</w:t>
      </w:r>
      <w:r w:rsidRPr="00150EDC">
        <w:rPr>
          <w:rFonts w:ascii="Calibri"/>
          <w:spacing w:val="-2"/>
          <w:sz w:val="24"/>
        </w:rPr>
        <w:t xml:space="preserve"> </w:t>
      </w:r>
      <w:r w:rsidRPr="00150EDC">
        <w:rPr>
          <w:rFonts w:ascii="Calibri"/>
          <w:sz w:val="24"/>
        </w:rPr>
        <w:t>receive</w:t>
      </w:r>
      <w:r w:rsidRPr="00150EDC">
        <w:rPr>
          <w:rFonts w:ascii="Calibri"/>
          <w:spacing w:val="-2"/>
          <w:sz w:val="24"/>
        </w:rPr>
        <w:t xml:space="preserve"> </w:t>
      </w:r>
      <w:r w:rsidRPr="00150EDC">
        <w:rPr>
          <w:rFonts w:ascii="Calibri"/>
          <w:sz w:val="24"/>
        </w:rPr>
        <w:t>Orders</w:t>
      </w:r>
      <w:r w:rsidRPr="00150EDC">
        <w:rPr>
          <w:rFonts w:ascii="Calibri"/>
          <w:spacing w:val="-4"/>
          <w:sz w:val="24"/>
        </w:rPr>
        <w:t xml:space="preserve"> </w:t>
      </w:r>
      <w:r w:rsidRPr="00150EDC">
        <w:rPr>
          <w:rFonts w:ascii="Calibri"/>
          <w:sz w:val="24"/>
        </w:rPr>
        <w:t>under</w:t>
      </w:r>
      <w:r w:rsidRPr="00150EDC">
        <w:rPr>
          <w:rFonts w:ascii="Calibri"/>
          <w:spacing w:val="-3"/>
          <w:sz w:val="24"/>
        </w:rPr>
        <w:t xml:space="preserve"> </w:t>
      </w:r>
      <w:r w:rsidRPr="00150EDC">
        <w:rPr>
          <w:rFonts w:ascii="Calibri"/>
          <w:sz w:val="24"/>
        </w:rPr>
        <w:t>the</w:t>
      </w:r>
      <w:r w:rsidRPr="00150EDC">
        <w:rPr>
          <w:rFonts w:ascii="Calibri"/>
          <w:spacing w:val="-3"/>
          <w:sz w:val="24"/>
        </w:rPr>
        <w:t xml:space="preserve"> </w:t>
      </w:r>
      <w:r w:rsidRPr="00150EDC">
        <w:rPr>
          <w:rFonts w:ascii="Calibri"/>
          <w:sz w:val="24"/>
        </w:rPr>
        <w:t>DPS</w:t>
      </w:r>
      <w:r w:rsidRPr="00150EDC">
        <w:rPr>
          <w:rFonts w:ascii="Calibri"/>
          <w:spacing w:val="-3"/>
          <w:sz w:val="24"/>
        </w:rPr>
        <w:t xml:space="preserve"> </w:t>
      </w:r>
      <w:r w:rsidRPr="00150EDC">
        <w:rPr>
          <w:rFonts w:ascii="Calibri"/>
          <w:sz w:val="24"/>
        </w:rPr>
        <w:t>Contract</w:t>
      </w:r>
      <w:r w:rsidRPr="00150EDC">
        <w:rPr>
          <w:rFonts w:ascii="Calibri"/>
          <w:spacing w:val="-3"/>
          <w:sz w:val="24"/>
        </w:rPr>
        <w:t xml:space="preserve"> </w:t>
      </w:r>
      <w:r w:rsidRPr="00150EDC">
        <w:rPr>
          <w:rFonts w:ascii="Calibri"/>
          <w:sz w:val="24"/>
        </w:rPr>
        <w:t>while</w:t>
      </w:r>
      <w:r w:rsidRPr="00150EDC">
        <w:rPr>
          <w:rFonts w:ascii="Calibri"/>
          <w:spacing w:val="-1"/>
          <w:sz w:val="24"/>
        </w:rPr>
        <w:t xml:space="preserve"> </w:t>
      </w:r>
      <w:r w:rsidRPr="00150EDC">
        <w:rPr>
          <w:rFonts w:ascii="Calibri"/>
          <w:sz w:val="24"/>
        </w:rPr>
        <w:t>it</w:t>
      </w:r>
      <w:r w:rsidRPr="00150EDC">
        <w:rPr>
          <w:rFonts w:ascii="Calibri"/>
          <w:spacing w:val="-1"/>
          <w:sz w:val="24"/>
        </w:rPr>
        <w:t xml:space="preserve"> </w:t>
      </w:r>
      <w:r w:rsidRPr="00150EDC">
        <w:rPr>
          <w:rFonts w:ascii="Calibri"/>
          <w:sz w:val="24"/>
        </w:rPr>
        <w:t>meets</w:t>
      </w:r>
      <w:r w:rsidRPr="00150EDC">
        <w:rPr>
          <w:rFonts w:ascii="Calibri"/>
          <w:spacing w:val="-4"/>
          <w:sz w:val="24"/>
        </w:rPr>
        <w:t xml:space="preserve"> </w:t>
      </w:r>
      <w:r w:rsidRPr="00150EDC">
        <w:rPr>
          <w:rFonts w:ascii="Calibri"/>
          <w:sz w:val="24"/>
        </w:rPr>
        <w:t>the</w:t>
      </w:r>
      <w:r w:rsidRPr="00150EDC">
        <w:rPr>
          <w:rFonts w:ascii="Calibri"/>
          <w:spacing w:val="-3"/>
          <w:sz w:val="24"/>
        </w:rPr>
        <w:t xml:space="preserve"> </w:t>
      </w:r>
      <w:r w:rsidRPr="00150EDC">
        <w:rPr>
          <w:rFonts w:ascii="Calibri"/>
          <w:sz w:val="24"/>
        </w:rPr>
        <w:t>basic</w:t>
      </w:r>
      <w:r w:rsidRPr="00150EDC">
        <w:rPr>
          <w:rFonts w:ascii="Calibri"/>
          <w:spacing w:val="-2"/>
          <w:sz w:val="24"/>
        </w:rPr>
        <w:t xml:space="preserve"> </w:t>
      </w:r>
      <w:r w:rsidRPr="00150EDC">
        <w:rPr>
          <w:rFonts w:ascii="Calibri"/>
          <w:sz w:val="24"/>
        </w:rPr>
        <w:t>access</w:t>
      </w:r>
      <w:r w:rsidRPr="00150EDC">
        <w:rPr>
          <w:rFonts w:ascii="Calibri"/>
          <w:spacing w:val="-2"/>
          <w:sz w:val="24"/>
        </w:rPr>
        <w:t xml:space="preserve"> </w:t>
      </w:r>
      <w:r w:rsidRPr="00150EDC">
        <w:rPr>
          <w:rFonts w:ascii="Calibri"/>
          <w:sz w:val="24"/>
        </w:rPr>
        <w:t>requirements for the DPS stated in the OJEU Notice. CCS can audit whether a Supplier meets the basic access requirements at any point during the DPS Contract Period.</w:t>
      </w:r>
    </w:p>
    <w:p w14:paraId="33B9EB30" w14:textId="77777777" w:rsidR="004C7180" w:rsidRPr="00150EDC" w:rsidRDefault="004C7180">
      <w:pPr>
        <w:pStyle w:val="BodyText"/>
        <w:spacing w:before="4"/>
        <w:rPr>
          <w:rFonts w:ascii="Calibri"/>
          <w:sz w:val="27"/>
        </w:rPr>
      </w:pPr>
    </w:p>
    <w:p w14:paraId="7E804D0D" w14:textId="77777777" w:rsidR="004C7180" w:rsidRPr="00150EDC" w:rsidRDefault="00CF0754" w:rsidP="00B320C7">
      <w:pPr>
        <w:pStyle w:val="Heading1"/>
        <w:numPr>
          <w:ilvl w:val="0"/>
          <w:numId w:val="182"/>
        </w:numPr>
        <w:tabs>
          <w:tab w:val="left" w:pos="926"/>
        </w:tabs>
        <w:ind w:left="926" w:hanging="359"/>
        <w:jc w:val="left"/>
        <w:rPr>
          <w:rFonts w:ascii="Calibri"/>
        </w:rPr>
      </w:pPr>
      <w:r w:rsidRPr="00150EDC">
        <w:rPr>
          <w:rFonts w:ascii="Calibri"/>
        </w:rPr>
        <w:t>What</w:t>
      </w:r>
      <w:r w:rsidRPr="00150EDC">
        <w:rPr>
          <w:rFonts w:ascii="Calibri"/>
          <w:spacing w:val="-2"/>
        </w:rPr>
        <w:t xml:space="preserve"> </w:t>
      </w:r>
      <w:r w:rsidRPr="00150EDC">
        <w:rPr>
          <w:rFonts w:ascii="Calibri"/>
        </w:rPr>
        <w:t>needs</w:t>
      </w:r>
      <w:r w:rsidRPr="00150EDC">
        <w:rPr>
          <w:rFonts w:ascii="Calibri"/>
          <w:spacing w:val="-1"/>
        </w:rPr>
        <w:t xml:space="preserve"> </w:t>
      </w:r>
      <w:r w:rsidRPr="00150EDC">
        <w:rPr>
          <w:rFonts w:ascii="Calibri"/>
        </w:rPr>
        <w:t>to</w:t>
      </w:r>
      <w:r w:rsidRPr="00150EDC">
        <w:rPr>
          <w:rFonts w:ascii="Calibri"/>
          <w:spacing w:val="-3"/>
        </w:rPr>
        <w:t xml:space="preserve"> </w:t>
      </w:r>
      <w:r w:rsidRPr="00150EDC">
        <w:rPr>
          <w:rFonts w:ascii="Calibri"/>
        </w:rPr>
        <w:t>be</w:t>
      </w:r>
      <w:r w:rsidRPr="00150EDC">
        <w:rPr>
          <w:rFonts w:ascii="Calibri"/>
          <w:spacing w:val="-2"/>
        </w:rPr>
        <w:t xml:space="preserve"> delivered</w:t>
      </w:r>
    </w:p>
    <w:p w14:paraId="1B18E9E8" w14:textId="77777777" w:rsidR="004C7180" w:rsidRPr="00150EDC" w:rsidRDefault="00CF0754" w:rsidP="00B320C7">
      <w:pPr>
        <w:pStyle w:val="ListParagraph"/>
        <w:numPr>
          <w:ilvl w:val="1"/>
          <w:numId w:val="182"/>
        </w:numPr>
        <w:tabs>
          <w:tab w:val="left" w:pos="1066"/>
        </w:tabs>
        <w:spacing w:before="21" w:line="341" w:lineRule="exact"/>
        <w:ind w:hanging="566"/>
        <w:rPr>
          <w:rFonts w:ascii="Calibri"/>
          <w:b/>
          <w:sz w:val="28"/>
        </w:rPr>
      </w:pPr>
      <w:r w:rsidRPr="00150EDC">
        <w:rPr>
          <w:rFonts w:ascii="Calibri"/>
          <w:b/>
          <w:sz w:val="28"/>
        </w:rPr>
        <w:t xml:space="preserve">All </w:t>
      </w:r>
      <w:r w:rsidRPr="00150EDC">
        <w:rPr>
          <w:rFonts w:ascii="Calibri"/>
          <w:b/>
          <w:spacing w:val="-2"/>
          <w:sz w:val="28"/>
        </w:rPr>
        <w:t>deliverables</w:t>
      </w:r>
    </w:p>
    <w:p w14:paraId="25D21843" w14:textId="77777777" w:rsidR="004C7180" w:rsidRPr="00150EDC" w:rsidRDefault="00CF0754" w:rsidP="00B320C7">
      <w:pPr>
        <w:pStyle w:val="ListParagraph"/>
        <w:numPr>
          <w:ilvl w:val="2"/>
          <w:numId w:val="182"/>
        </w:numPr>
        <w:tabs>
          <w:tab w:val="left" w:pos="1207"/>
        </w:tabs>
        <w:spacing w:line="292" w:lineRule="exact"/>
        <w:ind w:left="1207" w:hanging="719"/>
        <w:rPr>
          <w:rFonts w:ascii="Calibri"/>
          <w:sz w:val="24"/>
        </w:rPr>
      </w:pPr>
      <w:r w:rsidRPr="00150EDC">
        <w:rPr>
          <w:rFonts w:ascii="Calibri"/>
          <w:sz w:val="24"/>
        </w:rPr>
        <w:t>The</w:t>
      </w:r>
      <w:r w:rsidRPr="00150EDC">
        <w:rPr>
          <w:rFonts w:ascii="Calibri"/>
          <w:spacing w:val="-3"/>
          <w:sz w:val="24"/>
        </w:rPr>
        <w:t xml:space="preserve"> </w:t>
      </w:r>
      <w:r w:rsidRPr="00150EDC">
        <w:rPr>
          <w:rFonts w:ascii="Calibri"/>
          <w:sz w:val="24"/>
        </w:rPr>
        <w:t>Supplier</w:t>
      </w:r>
      <w:r w:rsidRPr="00150EDC">
        <w:rPr>
          <w:rFonts w:ascii="Calibri"/>
          <w:spacing w:val="-5"/>
          <w:sz w:val="24"/>
        </w:rPr>
        <w:t xml:space="preserve"> </w:t>
      </w:r>
      <w:r w:rsidRPr="00150EDC">
        <w:rPr>
          <w:rFonts w:ascii="Calibri"/>
          <w:sz w:val="24"/>
        </w:rPr>
        <w:t>must</w:t>
      </w:r>
      <w:r w:rsidRPr="00150EDC">
        <w:rPr>
          <w:rFonts w:ascii="Calibri"/>
          <w:spacing w:val="-3"/>
          <w:sz w:val="24"/>
        </w:rPr>
        <w:t xml:space="preserve"> </w:t>
      </w:r>
      <w:r w:rsidRPr="00150EDC">
        <w:rPr>
          <w:rFonts w:ascii="Calibri"/>
          <w:sz w:val="24"/>
        </w:rPr>
        <w:t>provide</w:t>
      </w:r>
      <w:r w:rsidRPr="00150EDC">
        <w:rPr>
          <w:rFonts w:ascii="Calibri"/>
          <w:spacing w:val="-2"/>
          <w:sz w:val="24"/>
        </w:rPr>
        <w:t xml:space="preserve"> Deliverables:</w:t>
      </w:r>
    </w:p>
    <w:p w14:paraId="07F997E9" w14:textId="77777777" w:rsidR="004C7180" w:rsidRPr="00150EDC" w:rsidRDefault="004C7180">
      <w:pPr>
        <w:pStyle w:val="BodyText"/>
        <w:spacing w:before="6"/>
        <w:rPr>
          <w:rFonts w:ascii="Calibri"/>
          <w:sz w:val="25"/>
        </w:rPr>
      </w:pPr>
    </w:p>
    <w:p w14:paraId="0D4589C2" w14:textId="77777777" w:rsidR="004C7180" w:rsidRPr="00150EDC" w:rsidRDefault="00CF0754" w:rsidP="00B320C7">
      <w:pPr>
        <w:pStyle w:val="ListParagraph"/>
        <w:numPr>
          <w:ilvl w:val="3"/>
          <w:numId w:val="182"/>
        </w:numPr>
        <w:tabs>
          <w:tab w:val="left" w:pos="1491"/>
          <w:tab w:val="left" w:pos="1494"/>
        </w:tabs>
        <w:spacing w:line="242" w:lineRule="auto"/>
        <w:ind w:right="956" w:hanging="428"/>
        <w:rPr>
          <w:rFonts w:ascii="Calibri"/>
          <w:sz w:val="24"/>
        </w:rPr>
      </w:pPr>
      <w:r w:rsidRPr="00150EDC">
        <w:rPr>
          <w:rFonts w:ascii="Calibri"/>
          <w:sz w:val="24"/>
        </w:rPr>
        <w:t>that</w:t>
      </w:r>
      <w:r w:rsidRPr="00150EDC">
        <w:rPr>
          <w:rFonts w:ascii="Calibri"/>
          <w:spacing w:val="-2"/>
          <w:sz w:val="24"/>
        </w:rPr>
        <w:t xml:space="preserve"> </w:t>
      </w:r>
      <w:r w:rsidRPr="00150EDC">
        <w:rPr>
          <w:rFonts w:ascii="Calibri"/>
          <w:sz w:val="24"/>
        </w:rPr>
        <w:t>comply</w:t>
      </w:r>
      <w:r w:rsidRPr="00150EDC">
        <w:rPr>
          <w:rFonts w:ascii="Calibri"/>
          <w:spacing w:val="-3"/>
          <w:sz w:val="24"/>
        </w:rPr>
        <w:t xml:space="preserve"> </w:t>
      </w:r>
      <w:r w:rsidRPr="00150EDC">
        <w:rPr>
          <w:rFonts w:ascii="Calibri"/>
          <w:sz w:val="24"/>
        </w:rPr>
        <w:t>with</w:t>
      </w:r>
      <w:r w:rsidRPr="00150EDC">
        <w:rPr>
          <w:rFonts w:ascii="Calibri"/>
          <w:spacing w:val="-4"/>
          <w:sz w:val="24"/>
        </w:rPr>
        <w:t xml:space="preserve"> </w:t>
      </w:r>
      <w:r w:rsidRPr="00150EDC">
        <w:rPr>
          <w:rFonts w:ascii="Calibri"/>
          <w:sz w:val="24"/>
        </w:rPr>
        <w:t>the</w:t>
      </w:r>
      <w:r w:rsidRPr="00150EDC">
        <w:rPr>
          <w:rFonts w:ascii="Calibri"/>
          <w:spacing w:val="-2"/>
          <w:sz w:val="24"/>
        </w:rPr>
        <w:t xml:space="preserve"> </w:t>
      </w:r>
      <w:r w:rsidRPr="00150EDC">
        <w:rPr>
          <w:rFonts w:ascii="Calibri"/>
          <w:sz w:val="24"/>
        </w:rPr>
        <w:t>Specification,</w:t>
      </w:r>
      <w:r w:rsidRPr="00150EDC">
        <w:rPr>
          <w:rFonts w:ascii="Calibri"/>
          <w:spacing w:val="-5"/>
          <w:sz w:val="24"/>
        </w:rPr>
        <w:t xml:space="preserve"> </w:t>
      </w:r>
      <w:r w:rsidRPr="00150EDC">
        <w:rPr>
          <w:rFonts w:ascii="Calibri"/>
          <w:sz w:val="24"/>
        </w:rPr>
        <w:t>the</w:t>
      </w:r>
      <w:r w:rsidRPr="00150EDC">
        <w:rPr>
          <w:rFonts w:ascii="Calibri"/>
          <w:spacing w:val="-4"/>
          <w:sz w:val="24"/>
        </w:rPr>
        <w:t xml:space="preserve"> </w:t>
      </w:r>
      <w:r w:rsidRPr="00150EDC">
        <w:rPr>
          <w:rFonts w:ascii="Calibri"/>
          <w:sz w:val="24"/>
        </w:rPr>
        <w:t>DPS</w:t>
      </w:r>
      <w:r w:rsidRPr="00150EDC">
        <w:rPr>
          <w:rFonts w:ascii="Calibri"/>
          <w:spacing w:val="-4"/>
          <w:sz w:val="24"/>
        </w:rPr>
        <w:t xml:space="preserve"> </w:t>
      </w:r>
      <w:r w:rsidRPr="00150EDC">
        <w:rPr>
          <w:rFonts w:ascii="Calibri"/>
          <w:sz w:val="24"/>
        </w:rPr>
        <w:t>Application</w:t>
      </w:r>
      <w:r w:rsidRPr="00150EDC">
        <w:rPr>
          <w:rFonts w:ascii="Calibri"/>
          <w:spacing w:val="-4"/>
          <w:sz w:val="24"/>
        </w:rPr>
        <w:t xml:space="preserve"> </w:t>
      </w:r>
      <w:r w:rsidRPr="00150EDC">
        <w:rPr>
          <w:rFonts w:ascii="Calibri"/>
          <w:sz w:val="24"/>
        </w:rPr>
        <w:t>and,</w:t>
      </w:r>
      <w:r w:rsidRPr="00150EDC">
        <w:rPr>
          <w:rFonts w:ascii="Calibri"/>
          <w:spacing w:val="-3"/>
          <w:sz w:val="24"/>
        </w:rPr>
        <w:t xml:space="preserve"> </w:t>
      </w:r>
      <w:r w:rsidRPr="00150EDC">
        <w:rPr>
          <w:rFonts w:ascii="Calibri"/>
          <w:sz w:val="24"/>
        </w:rPr>
        <w:t>in</w:t>
      </w:r>
      <w:r w:rsidRPr="00150EDC">
        <w:rPr>
          <w:rFonts w:ascii="Calibri"/>
          <w:spacing w:val="-2"/>
          <w:sz w:val="24"/>
        </w:rPr>
        <w:t xml:space="preserve"> </w:t>
      </w:r>
      <w:r w:rsidRPr="00150EDC">
        <w:rPr>
          <w:rFonts w:ascii="Calibri"/>
          <w:sz w:val="24"/>
        </w:rPr>
        <w:t>relation</w:t>
      </w:r>
      <w:r w:rsidRPr="00150EDC">
        <w:rPr>
          <w:rFonts w:ascii="Calibri"/>
          <w:spacing w:val="-4"/>
          <w:sz w:val="24"/>
        </w:rPr>
        <w:t xml:space="preserve"> </w:t>
      </w:r>
      <w:r w:rsidRPr="00150EDC">
        <w:rPr>
          <w:rFonts w:ascii="Calibri"/>
          <w:sz w:val="24"/>
        </w:rPr>
        <w:t>to</w:t>
      </w:r>
      <w:r w:rsidRPr="00150EDC">
        <w:rPr>
          <w:rFonts w:ascii="Calibri"/>
          <w:spacing w:val="-4"/>
          <w:sz w:val="24"/>
        </w:rPr>
        <w:t xml:space="preserve"> </w:t>
      </w:r>
      <w:r w:rsidRPr="00150EDC">
        <w:rPr>
          <w:rFonts w:ascii="Calibri"/>
          <w:sz w:val="24"/>
        </w:rPr>
        <w:t>an</w:t>
      </w:r>
      <w:r w:rsidRPr="00150EDC">
        <w:rPr>
          <w:rFonts w:ascii="Calibri"/>
          <w:spacing w:val="-2"/>
          <w:sz w:val="24"/>
        </w:rPr>
        <w:t xml:space="preserve"> </w:t>
      </w:r>
      <w:r w:rsidRPr="00150EDC">
        <w:rPr>
          <w:rFonts w:ascii="Calibri"/>
          <w:sz w:val="24"/>
        </w:rPr>
        <w:t>Order</w:t>
      </w:r>
      <w:r w:rsidRPr="00150EDC">
        <w:rPr>
          <w:rFonts w:ascii="Calibri"/>
          <w:spacing w:val="-2"/>
          <w:sz w:val="24"/>
        </w:rPr>
        <w:t xml:space="preserve"> </w:t>
      </w:r>
      <w:r w:rsidRPr="00150EDC">
        <w:rPr>
          <w:rFonts w:ascii="Calibri"/>
          <w:sz w:val="24"/>
        </w:rPr>
        <w:t>Contract,</w:t>
      </w:r>
      <w:r w:rsidRPr="00150EDC">
        <w:rPr>
          <w:rFonts w:ascii="Calibri"/>
          <w:spacing w:val="-5"/>
          <w:sz w:val="24"/>
        </w:rPr>
        <w:t xml:space="preserve"> </w:t>
      </w:r>
      <w:r w:rsidRPr="00150EDC">
        <w:rPr>
          <w:rFonts w:ascii="Calibri"/>
          <w:sz w:val="24"/>
        </w:rPr>
        <w:t>the Order Tender (if there is one);</w:t>
      </w:r>
    </w:p>
    <w:p w14:paraId="3FC28F39" w14:textId="77777777" w:rsidR="004C7180" w:rsidRPr="00150EDC" w:rsidRDefault="00CF0754" w:rsidP="00B320C7">
      <w:pPr>
        <w:pStyle w:val="ListParagraph"/>
        <w:numPr>
          <w:ilvl w:val="3"/>
          <w:numId w:val="182"/>
        </w:numPr>
        <w:tabs>
          <w:tab w:val="left" w:pos="1491"/>
        </w:tabs>
        <w:spacing w:before="16"/>
        <w:ind w:left="1491" w:hanging="425"/>
        <w:rPr>
          <w:rFonts w:ascii="Calibri"/>
          <w:sz w:val="24"/>
        </w:rPr>
      </w:pPr>
      <w:r w:rsidRPr="00150EDC">
        <w:rPr>
          <w:rFonts w:ascii="Calibri"/>
          <w:sz w:val="24"/>
        </w:rPr>
        <w:t>to</w:t>
      </w:r>
      <w:r w:rsidRPr="00150EDC">
        <w:rPr>
          <w:rFonts w:ascii="Calibri"/>
          <w:spacing w:val="-3"/>
          <w:sz w:val="24"/>
        </w:rPr>
        <w:t xml:space="preserve"> </w:t>
      </w:r>
      <w:r w:rsidRPr="00150EDC">
        <w:rPr>
          <w:rFonts w:ascii="Calibri"/>
          <w:sz w:val="24"/>
        </w:rPr>
        <w:t>a</w:t>
      </w:r>
      <w:r w:rsidRPr="00150EDC">
        <w:rPr>
          <w:rFonts w:ascii="Calibri"/>
          <w:spacing w:val="-4"/>
          <w:sz w:val="24"/>
        </w:rPr>
        <w:t xml:space="preserve"> </w:t>
      </w:r>
      <w:r w:rsidRPr="00150EDC">
        <w:rPr>
          <w:rFonts w:ascii="Calibri"/>
          <w:sz w:val="24"/>
        </w:rPr>
        <w:t>professional</w:t>
      </w:r>
      <w:r w:rsidRPr="00150EDC">
        <w:rPr>
          <w:rFonts w:ascii="Calibri"/>
          <w:spacing w:val="-2"/>
          <w:sz w:val="24"/>
        </w:rPr>
        <w:t xml:space="preserve"> standard;</w:t>
      </w:r>
    </w:p>
    <w:p w14:paraId="25FD5CF1" w14:textId="77777777" w:rsidR="004C7180" w:rsidRPr="00150EDC" w:rsidRDefault="00CF0754" w:rsidP="00B320C7">
      <w:pPr>
        <w:pStyle w:val="ListParagraph"/>
        <w:numPr>
          <w:ilvl w:val="3"/>
          <w:numId w:val="182"/>
        </w:numPr>
        <w:tabs>
          <w:tab w:val="left" w:pos="1492"/>
        </w:tabs>
        <w:spacing w:before="20"/>
        <w:ind w:left="1492" w:hanging="426"/>
        <w:rPr>
          <w:rFonts w:ascii="Calibri"/>
          <w:sz w:val="24"/>
        </w:rPr>
      </w:pPr>
      <w:r w:rsidRPr="00150EDC">
        <w:rPr>
          <w:rFonts w:ascii="Calibri"/>
          <w:sz w:val="24"/>
        </w:rPr>
        <w:t>using</w:t>
      </w:r>
      <w:r w:rsidRPr="00150EDC">
        <w:rPr>
          <w:rFonts w:ascii="Calibri"/>
          <w:spacing w:val="-3"/>
          <w:sz w:val="24"/>
        </w:rPr>
        <w:t xml:space="preserve"> </w:t>
      </w:r>
      <w:r w:rsidRPr="00150EDC">
        <w:rPr>
          <w:rFonts w:ascii="Calibri"/>
          <w:sz w:val="24"/>
        </w:rPr>
        <w:t>reasonable</w:t>
      </w:r>
      <w:r w:rsidRPr="00150EDC">
        <w:rPr>
          <w:rFonts w:ascii="Calibri"/>
          <w:spacing w:val="-3"/>
          <w:sz w:val="24"/>
        </w:rPr>
        <w:t xml:space="preserve"> </w:t>
      </w:r>
      <w:r w:rsidRPr="00150EDC">
        <w:rPr>
          <w:rFonts w:ascii="Calibri"/>
          <w:sz w:val="24"/>
        </w:rPr>
        <w:t>skill</w:t>
      </w:r>
      <w:r w:rsidRPr="00150EDC">
        <w:rPr>
          <w:rFonts w:ascii="Calibri"/>
          <w:spacing w:val="-5"/>
          <w:sz w:val="24"/>
        </w:rPr>
        <w:t xml:space="preserve"> </w:t>
      </w:r>
      <w:r w:rsidRPr="00150EDC">
        <w:rPr>
          <w:rFonts w:ascii="Calibri"/>
          <w:sz w:val="24"/>
        </w:rPr>
        <w:t>and</w:t>
      </w:r>
      <w:r w:rsidRPr="00150EDC">
        <w:rPr>
          <w:rFonts w:ascii="Calibri"/>
          <w:spacing w:val="-2"/>
          <w:sz w:val="24"/>
        </w:rPr>
        <w:t xml:space="preserve"> care;</w:t>
      </w:r>
    </w:p>
    <w:p w14:paraId="03E35E39" w14:textId="77777777" w:rsidR="004C7180" w:rsidRPr="00150EDC" w:rsidRDefault="00CF0754" w:rsidP="00B320C7">
      <w:pPr>
        <w:pStyle w:val="ListParagraph"/>
        <w:numPr>
          <w:ilvl w:val="3"/>
          <w:numId w:val="182"/>
        </w:numPr>
        <w:tabs>
          <w:tab w:val="left" w:pos="1491"/>
        </w:tabs>
        <w:spacing w:before="19"/>
        <w:ind w:left="1491" w:hanging="425"/>
        <w:rPr>
          <w:rFonts w:ascii="Calibri"/>
          <w:sz w:val="24"/>
        </w:rPr>
      </w:pPr>
      <w:r w:rsidRPr="00150EDC">
        <w:rPr>
          <w:rFonts w:ascii="Calibri"/>
          <w:sz w:val="24"/>
        </w:rPr>
        <w:t>using</w:t>
      </w:r>
      <w:r w:rsidRPr="00150EDC">
        <w:rPr>
          <w:rFonts w:ascii="Calibri"/>
          <w:spacing w:val="-4"/>
          <w:sz w:val="24"/>
        </w:rPr>
        <w:t xml:space="preserve"> </w:t>
      </w:r>
      <w:r w:rsidRPr="00150EDC">
        <w:rPr>
          <w:rFonts w:ascii="Calibri"/>
          <w:sz w:val="24"/>
        </w:rPr>
        <w:t>Good</w:t>
      </w:r>
      <w:r w:rsidRPr="00150EDC">
        <w:rPr>
          <w:rFonts w:ascii="Calibri"/>
          <w:spacing w:val="-2"/>
          <w:sz w:val="24"/>
        </w:rPr>
        <w:t xml:space="preserve"> </w:t>
      </w:r>
      <w:r w:rsidRPr="00150EDC">
        <w:rPr>
          <w:rFonts w:ascii="Calibri"/>
          <w:sz w:val="24"/>
        </w:rPr>
        <w:t>Industry</w:t>
      </w:r>
      <w:r w:rsidRPr="00150EDC">
        <w:rPr>
          <w:rFonts w:ascii="Calibri"/>
          <w:spacing w:val="-5"/>
          <w:sz w:val="24"/>
        </w:rPr>
        <w:t xml:space="preserve"> </w:t>
      </w:r>
      <w:r w:rsidRPr="00150EDC">
        <w:rPr>
          <w:rFonts w:ascii="Calibri"/>
          <w:spacing w:val="-2"/>
          <w:sz w:val="24"/>
        </w:rPr>
        <w:t>Practice;</w:t>
      </w:r>
    </w:p>
    <w:p w14:paraId="44A26DEC" w14:textId="77777777" w:rsidR="004C7180" w:rsidRPr="00150EDC" w:rsidRDefault="00CF0754" w:rsidP="00B320C7">
      <w:pPr>
        <w:pStyle w:val="ListParagraph"/>
        <w:numPr>
          <w:ilvl w:val="3"/>
          <w:numId w:val="182"/>
        </w:numPr>
        <w:tabs>
          <w:tab w:val="left" w:pos="1491"/>
          <w:tab w:val="left" w:pos="1494"/>
        </w:tabs>
        <w:spacing w:before="21"/>
        <w:ind w:right="574" w:hanging="428"/>
        <w:rPr>
          <w:rFonts w:ascii="Calibri"/>
          <w:sz w:val="24"/>
        </w:rPr>
      </w:pPr>
      <w:r w:rsidRPr="00150EDC">
        <w:rPr>
          <w:rFonts w:ascii="Calibri"/>
          <w:sz w:val="24"/>
        </w:rPr>
        <w:t>using</w:t>
      </w:r>
      <w:r w:rsidRPr="00150EDC">
        <w:rPr>
          <w:rFonts w:ascii="Calibri"/>
          <w:spacing w:val="-2"/>
          <w:sz w:val="24"/>
        </w:rPr>
        <w:t xml:space="preserve"> </w:t>
      </w:r>
      <w:r w:rsidRPr="00150EDC">
        <w:rPr>
          <w:rFonts w:ascii="Calibri"/>
          <w:sz w:val="24"/>
        </w:rPr>
        <w:t>its</w:t>
      </w:r>
      <w:r w:rsidRPr="00150EDC">
        <w:rPr>
          <w:rFonts w:ascii="Calibri"/>
          <w:spacing w:val="-2"/>
          <w:sz w:val="24"/>
        </w:rPr>
        <w:t xml:space="preserve"> </w:t>
      </w:r>
      <w:r w:rsidRPr="00150EDC">
        <w:rPr>
          <w:rFonts w:ascii="Calibri"/>
          <w:sz w:val="24"/>
        </w:rPr>
        <w:t>own</w:t>
      </w:r>
      <w:r w:rsidRPr="00150EDC">
        <w:rPr>
          <w:rFonts w:ascii="Calibri"/>
          <w:spacing w:val="-4"/>
          <w:sz w:val="24"/>
        </w:rPr>
        <w:t xml:space="preserve"> </w:t>
      </w:r>
      <w:r w:rsidRPr="00150EDC">
        <w:rPr>
          <w:rFonts w:ascii="Calibri"/>
          <w:sz w:val="24"/>
        </w:rPr>
        <w:t>policies,</w:t>
      </w:r>
      <w:r w:rsidRPr="00150EDC">
        <w:rPr>
          <w:rFonts w:ascii="Calibri"/>
          <w:spacing w:val="-4"/>
          <w:sz w:val="24"/>
        </w:rPr>
        <w:t xml:space="preserve"> </w:t>
      </w:r>
      <w:r w:rsidRPr="00150EDC">
        <w:rPr>
          <w:rFonts w:ascii="Calibri"/>
          <w:sz w:val="24"/>
        </w:rPr>
        <w:t>processes</w:t>
      </w:r>
      <w:r w:rsidRPr="00150EDC">
        <w:rPr>
          <w:rFonts w:ascii="Calibri"/>
          <w:spacing w:val="-2"/>
          <w:sz w:val="24"/>
        </w:rPr>
        <w:t xml:space="preserve"> </w:t>
      </w:r>
      <w:r w:rsidRPr="00150EDC">
        <w:rPr>
          <w:rFonts w:ascii="Calibri"/>
          <w:sz w:val="24"/>
        </w:rPr>
        <w:t>and</w:t>
      </w:r>
      <w:r w:rsidRPr="00150EDC">
        <w:rPr>
          <w:rFonts w:ascii="Calibri"/>
          <w:spacing w:val="-1"/>
          <w:sz w:val="24"/>
        </w:rPr>
        <w:t xml:space="preserve"> </w:t>
      </w:r>
      <w:r w:rsidRPr="00150EDC">
        <w:rPr>
          <w:rFonts w:ascii="Calibri"/>
          <w:sz w:val="24"/>
        </w:rPr>
        <w:t>internal</w:t>
      </w:r>
      <w:r w:rsidRPr="00150EDC">
        <w:rPr>
          <w:rFonts w:ascii="Calibri"/>
          <w:spacing w:val="-4"/>
          <w:sz w:val="24"/>
        </w:rPr>
        <w:t xml:space="preserve"> </w:t>
      </w:r>
      <w:r w:rsidRPr="00150EDC">
        <w:rPr>
          <w:rFonts w:ascii="Calibri"/>
          <w:sz w:val="24"/>
        </w:rPr>
        <w:t>quality</w:t>
      </w:r>
      <w:r w:rsidRPr="00150EDC">
        <w:rPr>
          <w:rFonts w:ascii="Calibri"/>
          <w:spacing w:val="-2"/>
          <w:sz w:val="24"/>
        </w:rPr>
        <w:t xml:space="preserve"> </w:t>
      </w:r>
      <w:r w:rsidRPr="00150EDC">
        <w:rPr>
          <w:rFonts w:ascii="Calibri"/>
          <w:sz w:val="24"/>
        </w:rPr>
        <w:t>control</w:t>
      </w:r>
      <w:r w:rsidRPr="00150EDC">
        <w:rPr>
          <w:rFonts w:ascii="Calibri"/>
          <w:spacing w:val="-4"/>
          <w:sz w:val="24"/>
        </w:rPr>
        <w:t xml:space="preserve"> </w:t>
      </w:r>
      <w:r w:rsidRPr="00150EDC">
        <w:rPr>
          <w:rFonts w:ascii="Calibri"/>
          <w:sz w:val="24"/>
        </w:rPr>
        <w:t>measures</w:t>
      </w:r>
      <w:r w:rsidRPr="00150EDC">
        <w:rPr>
          <w:rFonts w:ascii="Calibri"/>
          <w:spacing w:val="-2"/>
          <w:sz w:val="24"/>
        </w:rPr>
        <w:t xml:space="preserve"> </w:t>
      </w:r>
      <w:r w:rsidRPr="00150EDC">
        <w:rPr>
          <w:rFonts w:ascii="Calibri"/>
          <w:sz w:val="24"/>
        </w:rPr>
        <w:t>as</w:t>
      </w:r>
      <w:r w:rsidRPr="00150EDC">
        <w:rPr>
          <w:rFonts w:ascii="Calibri"/>
          <w:spacing w:val="-2"/>
          <w:sz w:val="24"/>
        </w:rPr>
        <w:t xml:space="preserve"> </w:t>
      </w:r>
      <w:r w:rsidRPr="00150EDC">
        <w:rPr>
          <w:rFonts w:ascii="Calibri"/>
          <w:sz w:val="24"/>
        </w:rPr>
        <w:t>long</w:t>
      </w:r>
      <w:r w:rsidRPr="00150EDC">
        <w:rPr>
          <w:rFonts w:ascii="Calibri"/>
          <w:spacing w:val="-2"/>
          <w:sz w:val="24"/>
        </w:rPr>
        <w:t xml:space="preserve"> </w:t>
      </w:r>
      <w:r w:rsidRPr="00150EDC">
        <w:rPr>
          <w:rFonts w:ascii="Calibri"/>
          <w:sz w:val="24"/>
        </w:rPr>
        <w:t>as</w:t>
      </w:r>
      <w:r w:rsidRPr="00150EDC">
        <w:rPr>
          <w:rFonts w:ascii="Calibri"/>
          <w:spacing w:val="-4"/>
          <w:sz w:val="24"/>
        </w:rPr>
        <w:t xml:space="preserve"> </w:t>
      </w:r>
      <w:r w:rsidRPr="00150EDC">
        <w:rPr>
          <w:rFonts w:ascii="Calibri"/>
          <w:sz w:val="24"/>
        </w:rPr>
        <w:t>they</w:t>
      </w:r>
      <w:r w:rsidRPr="00150EDC">
        <w:rPr>
          <w:rFonts w:ascii="Calibri"/>
          <w:spacing w:val="-2"/>
          <w:sz w:val="24"/>
        </w:rPr>
        <w:t xml:space="preserve"> </w:t>
      </w:r>
      <w:r w:rsidRPr="00150EDC">
        <w:rPr>
          <w:rFonts w:ascii="Calibri"/>
          <w:sz w:val="24"/>
        </w:rPr>
        <w:t>do</w:t>
      </w:r>
      <w:r w:rsidRPr="00150EDC">
        <w:rPr>
          <w:rFonts w:ascii="Calibri"/>
          <w:spacing w:val="-4"/>
          <w:sz w:val="24"/>
        </w:rPr>
        <w:t xml:space="preserve"> </w:t>
      </w:r>
      <w:r w:rsidRPr="00150EDC">
        <w:rPr>
          <w:rFonts w:ascii="Calibri"/>
          <w:sz w:val="24"/>
        </w:rPr>
        <w:t>not conflict with the Contract;</w:t>
      </w:r>
    </w:p>
    <w:p w14:paraId="265FDFF0" w14:textId="77777777" w:rsidR="004C7180" w:rsidRPr="00150EDC" w:rsidRDefault="00CF0754" w:rsidP="00B320C7">
      <w:pPr>
        <w:pStyle w:val="ListParagraph"/>
        <w:numPr>
          <w:ilvl w:val="3"/>
          <w:numId w:val="182"/>
        </w:numPr>
        <w:tabs>
          <w:tab w:val="left" w:pos="1493"/>
        </w:tabs>
        <w:spacing w:before="19"/>
        <w:ind w:left="1493" w:hanging="427"/>
        <w:rPr>
          <w:rFonts w:ascii="Calibri"/>
          <w:sz w:val="24"/>
        </w:rPr>
      </w:pPr>
      <w:r w:rsidRPr="00150EDC">
        <w:rPr>
          <w:rFonts w:ascii="Calibri"/>
          <w:sz w:val="24"/>
        </w:rPr>
        <w:t>on</w:t>
      </w:r>
      <w:r w:rsidRPr="00150EDC">
        <w:rPr>
          <w:rFonts w:ascii="Calibri"/>
          <w:spacing w:val="-3"/>
          <w:sz w:val="24"/>
        </w:rPr>
        <w:t xml:space="preserve"> </w:t>
      </w:r>
      <w:r w:rsidRPr="00150EDC">
        <w:rPr>
          <w:rFonts w:ascii="Calibri"/>
          <w:sz w:val="24"/>
        </w:rPr>
        <w:t>the</w:t>
      </w:r>
      <w:r w:rsidRPr="00150EDC">
        <w:rPr>
          <w:rFonts w:ascii="Calibri"/>
          <w:spacing w:val="-4"/>
          <w:sz w:val="24"/>
        </w:rPr>
        <w:t xml:space="preserve"> </w:t>
      </w:r>
      <w:r w:rsidRPr="00150EDC">
        <w:rPr>
          <w:rFonts w:ascii="Calibri"/>
          <w:sz w:val="24"/>
        </w:rPr>
        <w:t>dates</w:t>
      </w:r>
      <w:r w:rsidRPr="00150EDC">
        <w:rPr>
          <w:rFonts w:ascii="Calibri"/>
          <w:spacing w:val="-3"/>
          <w:sz w:val="24"/>
        </w:rPr>
        <w:t xml:space="preserve"> </w:t>
      </w:r>
      <w:r w:rsidRPr="00150EDC">
        <w:rPr>
          <w:rFonts w:ascii="Calibri"/>
          <w:sz w:val="24"/>
        </w:rPr>
        <w:t>agreed;</w:t>
      </w:r>
      <w:r w:rsidRPr="00150EDC">
        <w:rPr>
          <w:rFonts w:ascii="Calibri"/>
          <w:spacing w:val="-1"/>
          <w:sz w:val="24"/>
        </w:rPr>
        <w:t xml:space="preserve"> </w:t>
      </w:r>
      <w:r w:rsidRPr="00150EDC">
        <w:rPr>
          <w:rFonts w:ascii="Calibri"/>
          <w:spacing w:val="-5"/>
          <w:sz w:val="24"/>
        </w:rPr>
        <w:t>and</w:t>
      </w:r>
    </w:p>
    <w:p w14:paraId="471EAE90" w14:textId="77777777" w:rsidR="004C7180" w:rsidRPr="00150EDC" w:rsidRDefault="00CF0754" w:rsidP="00B320C7">
      <w:pPr>
        <w:pStyle w:val="ListParagraph"/>
        <w:numPr>
          <w:ilvl w:val="3"/>
          <w:numId w:val="182"/>
        </w:numPr>
        <w:tabs>
          <w:tab w:val="left" w:pos="1493"/>
        </w:tabs>
        <w:spacing w:before="21"/>
        <w:ind w:left="1493" w:hanging="427"/>
        <w:rPr>
          <w:rFonts w:ascii="Calibri"/>
          <w:sz w:val="24"/>
        </w:rPr>
      </w:pPr>
      <w:r w:rsidRPr="00150EDC">
        <w:rPr>
          <w:rFonts w:ascii="Calibri"/>
          <w:sz w:val="24"/>
        </w:rPr>
        <w:t>that</w:t>
      </w:r>
      <w:r w:rsidRPr="00150EDC">
        <w:rPr>
          <w:rFonts w:ascii="Calibri"/>
          <w:spacing w:val="-2"/>
          <w:sz w:val="24"/>
        </w:rPr>
        <w:t xml:space="preserve"> </w:t>
      </w:r>
      <w:r w:rsidRPr="00150EDC">
        <w:rPr>
          <w:rFonts w:ascii="Calibri"/>
          <w:sz w:val="24"/>
        </w:rPr>
        <w:t>comply</w:t>
      </w:r>
      <w:r w:rsidRPr="00150EDC">
        <w:rPr>
          <w:rFonts w:ascii="Calibri"/>
          <w:spacing w:val="-3"/>
          <w:sz w:val="24"/>
        </w:rPr>
        <w:t xml:space="preserve"> </w:t>
      </w:r>
      <w:r w:rsidRPr="00150EDC">
        <w:rPr>
          <w:rFonts w:ascii="Calibri"/>
          <w:sz w:val="24"/>
        </w:rPr>
        <w:t>with</w:t>
      </w:r>
      <w:r w:rsidRPr="00150EDC">
        <w:rPr>
          <w:rFonts w:ascii="Calibri"/>
          <w:spacing w:val="-3"/>
          <w:sz w:val="24"/>
        </w:rPr>
        <w:t xml:space="preserve"> </w:t>
      </w:r>
      <w:r w:rsidRPr="00150EDC">
        <w:rPr>
          <w:rFonts w:ascii="Calibri"/>
          <w:spacing w:val="-4"/>
          <w:sz w:val="24"/>
        </w:rPr>
        <w:t>Law.</w:t>
      </w:r>
    </w:p>
    <w:p w14:paraId="7F1BA2E0" w14:textId="77777777" w:rsidR="004C7180" w:rsidRPr="00150EDC" w:rsidRDefault="004C7180">
      <w:pPr>
        <w:pStyle w:val="BodyText"/>
        <w:spacing w:before="4"/>
        <w:rPr>
          <w:rFonts w:ascii="Calibri"/>
          <w:sz w:val="27"/>
        </w:rPr>
      </w:pPr>
    </w:p>
    <w:p w14:paraId="62446009" w14:textId="77777777" w:rsidR="004C7180" w:rsidRPr="00150EDC" w:rsidRDefault="00CF0754" w:rsidP="00B320C7">
      <w:pPr>
        <w:pStyle w:val="ListParagraph"/>
        <w:numPr>
          <w:ilvl w:val="2"/>
          <w:numId w:val="182"/>
        </w:numPr>
        <w:tabs>
          <w:tab w:val="left" w:pos="1208"/>
        </w:tabs>
        <w:ind w:right="1018" w:hanging="720"/>
        <w:rPr>
          <w:rFonts w:ascii="Calibri"/>
          <w:sz w:val="24"/>
        </w:rPr>
      </w:pPr>
      <w:r w:rsidRPr="00150EDC">
        <w:rPr>
          <w:rFonts w:ascii="Calibri"/>
          <w:sz w:val="24"/>
        </w:rPr>
        <w:t>The</w:t>
      </w:r>
      <w:r w:rsidRPr="00150EDC">
        <w:rPr>
          <w:rFonts w:ascii="Calibri"/>
          <w:spacing w:val="-1"/>
          <w:sz w:val="24"/>
        </w:rPr>
        <w:t xml:space="preserve"> </w:t>
      </w:r>
      <w:r w:rsidRPr="00150EDC">
        <w:rPr>
          <w:rFonts w:ascii="Calibri"/>
          <w:sz w:val="24"/>
        </w:rPr>
        <w:t>Supplier</w:t>
      </w:r>
      <w:r w:rsidRPr="00150EDC">
        <w:rPr>
          <w:rFonts w:ascii="Calibri"/>
          <w:spacing w:val="-3"/>
          <w:sz w:val="24"/>
        </w:rPr>
        <w:t xml:space="preserve"> </w:t>
      </w:r>
      <w:r w:rsidRPr="00150EDC">
        <w:rPr>
          <w:rFonts w:ascii="Calibri"/>
          <w:sz w:val="24"/>
        </w:rPr>
        <w:t>must</w:t>
      </w:r>
      <w:r w:rsidRPr="00150EDC">
        <w:rPr>
          <w:rFonts w:ascii="Calibri"/>
          <w:spacing w:val="-1"/>
          <w:sz w:val="24"/>
        </w:rPr>
        <w:t xml:space="preserve"> </w:t>
      </w:r>
      <w:r w:rsidRPr="00150EDC">
        <w:rPr>
          <w:rFonts w:ascii="Calibri"/>
          <w:sz w:val="24"/>
        </w:rPr>
        <w:t>provide Deliverables</w:t>
      </w:r>
      <w:r w:rsidRPr="00150EDC">
        <w:rPr>
          <w:rFonts w:ascii="Calibri"/>
          <w:spacing w:val="-4"/>
          <w:sz w:val="24"/>
        </w:rPr>
        <w:t xml:space="preserve"> </w:t>
      </w:r>
      <w:r w:rsidRPr="00150EDC">
        <w:rPr>
          <w:rFonts w:ascii="Calibri"/>
          <w:sz w:val="24"/>
        </w:rPr>
        <w:t>with</w:t>
      </w:r>
      <w:r w:rsidRPr="00150EDC">
        <w:rPr>
          <w:rFonts w:ascii="Calibri"/>
          <w:spacing w:val="-3"/>
          <w:sz w:val="24"/>
        </w:rPr>
        <w:t xml:space="preserve"> </w:t>
      </w:r>
      <w:r w:rsidRPr="00150EDC">
        <w:rPr>
          <w:rFonts w:ascii="Calibri"/>
          <w:sz w:val="24"/>
        </w:rPr>
        <w:t>a</w:t>
      </w:r>
      <w:r w:rsidRPr="00150EDC">
        <w:rPr>
          <w:rFonts w:ascii="Calibri"/>
          <w:spacing w:val="-2"/>
          <w:sz w:val="24"/>
        </w:rPr>
        <w:t xml:space="preserve"> </w:t>
      </w:r>
      <w:r w:rsidRPr="00150EDC">
        <w:rPr>
          <w:rFonts w:ascii="Calibri"/>
          <w:sz w:val="24"/>
        </w:rPr>
        <w:t>warranty</w:t>
      </w:r>
      <w:r w:rsidRPr="00150EDC">
        <w:rPr>
          <w:rFonts w:ascii="Calibri"/>
          <w:spacing w:val="-5"/>
          <w:sz w:val="24"/>
        </w:rPr>
        <w:t xml:space="preserve"> </w:t>
      </w:r>
      <w:r w:rsidRPr="00150EDC">
        <w:rPr>
          <w:rFonts w:ascii="Calibri"/>
          <w:sz w:val="24"/>
        </w:rPr>
        <w:t>of</w:t>
      </w:r>
      <w:r w:rsidRPr="00150EDC">
        <w:rPr>
          <w:rFonts w:ascii="Calibri"/>
          <w:spacing w:val="-2"/>
          <w:sz w:val="24"/>
        </w:rPr>
        <w:t xml:space="preserve"> </w:t>
      </w:r>
      <w:r w:rsidRPr="00150EDC">
        <w:rPr>
          <w:rFonts w:ascii="Calibri"/>
          <w:sz w:val="24"/>
        </w:rPr>
        <w:t>at</w:t>
      </w:r>
      <w:r w:rsidRPr="00150EDC">
        <w:rPr>
          <w:rFonts w:ascii="Calibri"/>
          <w:spacing w:val="-1"/>
          <w:sz w:val="24"/>
        </w:rPr>
        <w:t xml:space="preserve"> </w:t>
      </w:r>
      <w:r w:rsidRPr="00150EDC">
        <w:rPr>
          <w:rFonts w:ascii="Calibri"/>
          <w:sz w:val="24"/>
        </w:rPr>
        <w:t>least</w:t>
      </w:r>
      <w:r w:rsidRPr="00150EDC">
        <w:rPr>
          <w:rFonts w:ascii="Calibri"/>
          <w:spacing w:val="-3"/>
          <w:sz w:val="24"/>
        </w:rPr>
        <w:t xml:space="preserve"> </w:t>
      </w:r>
      <w:r w:rsidRPr="00150EDC">
        <w:rPr>
          <w:rFonts w:ascii="Calibri"/>
          <w:sz w:val="24"/>
        </w:rPr>
        <w:t>90</w:t>
      </w:r>
      <w:r w:rsidRPr="00150EDC">
        <w:rPr>
          <w:rFonts w:ascii="Calibri"/>
          <w:spacing w:val="-3"/>
          <w:sz w:val="24"/>
        </w:rPr>
        <w:t xml:space="preserve"> </w:t>
      </w:r>
      <w:r w:rsidRPr="00150EDC">
        <w:rPr>
          <w:rFonts w:ascii="Calibri"/>
          <w:sz w:val="24"/>
        </w:rPr>
        <w:t>days</w:t>
      </w:r>
      <w:r w:rsidRPr="00150EDC">
        <w:rPr>
          <w:rFonts w:ascii="Calibri"/>
          <w:spacing w:val="-5"/>
          <w:sz w:val="24"/>
        </w:rPr>
        <w:t xml:space="preserve"> </w:t>
      </w:r>
      <w:r w:rsidRPr="00150EDC">
        <w:rPr>
          <w:rFonts w:ascii="Calibri"/>
          <w:sz w:val="24"/>
        </w:rPr>
        <w:t>from</w:t>
      </w:r>
      <w:r w:rsidRPr="00150EDC">
        <w:rPr>
          <w:rFonts w:ascii="Calibri"/>
          <w:spacing w:val="-4"/>
          <w:sz w:val="24"/>
        </w:rPr>
        <w:t xml:space="preserve"> </w:t>
      </w:r>
      <w:r w:rsidRPr="00150EDC">
        <w:rPr>
          <w:rFonts w:ascii="Calibri"/>
          <w:sz w:val="24"/>
        </w:rPr>
        <w:t>Delivery</w:t>
      </w:r>
      <w:r w:rsidRPr="00150EDC">
        <w:rPr>
          <w:rFonts w:ascii="Calibri"/>
          <w:spacing w:val="-5"/>
          <w:sz w:val="24"/>
        </w:rPr>
        <w:t xml:space="preserve"> </w:t>
      </w:r>
      <w:r w:rsidRPr="00150EDC">
        <w:rPr>
          <w:rFonts w:ascii="Calibri"/>
          <w:sz w:val="24"/>
        </w:rPr>
        <w:t>against</w:t>
      </w:r>
      <w:r w:rsidRPr="00150EDC">
        <w:rPr>
          <w:rFonts w:ascii="Calibri"/>
          <w:spacing w:val="-1"/>
          <w:sz w:val="24"/>
        </w:rPr>
        <w:t xml:space="preserve"> </w:t>
      </w:r>
      <w:r w:rsidRPr="00150EDC">
        <w:rPr>
          <w:rFonts w:ascii="Calibri"/>
          <w:sz w:val="24"/>
        </w:rPr>
        <w:t>all obvious defects.</w:t>
      </w:r>
    </w:p>
    <w:p w14:paraId="7425326D" w14:textId="77777777" w:rsidR="004C7180" w:rsidRPr="00150EDC" w:rsidRDefault="004C7180">
      <w:pPr>
        <w:pStyle w:val="BodyText"/>
        <w:rPr>
          <w:rFonts w:ascii="Calibri"/>
        </w:rPr>
      </w:pPr>
    </w:p>
    <w:p w14:paraId="520C74C9" w14:textId="77777777" w:rsidR="004C7180" w:rsidRPr="00150EDC" w:rsidRDefault="00CF0754" w:rsidP="00B320C7">
      <w:pPr>
        <w:pStyle w:val="ListParagraph"/>
        <w:numPr>
          <w:ilvl w:val="1"/>
          <w:numId w:val="182"/>
        </w:numPr>
        <w:tabs>
          <w:tab w:val="left" w:pos="1066"/>
        </w:tabs>
        <w:spacing w:line="341" w:lineRule="exact"/>
        <w:ind w:hanging="566"/>
        <w:rPr>
          <w:rFonts w:ascii="Calibri"/>
          <w:b/>
          <w:sz w:val="28"/>
        </w:rPr>
      </w:pPr>
      <w:r w:rsidRPr="00150EDC">
        <w:rPr>
          <w:rFonts w:ascii="Calibri"/>
          <w:b/>
          <w:sz w:val="28"/>
        </w:rPr>
        <w:t>Goods</w:t>
      </w:r>
      <w:r w:rsidRPr="00150EDC">
        <w:rPr>
          <w:rFonts w:ascii="Calibri"/>
          <w:b/>
          <w:spacing w:val="-4"/>
          <w:sz w:val="28"/>
        </w:rPr>
        <w:t xml:space="preserve"> </w:t>
      </w:r>
      <w:r w:rsidRPr="00150EDC">
        <w:rPr>
          <w:rFonts w:ascii="Calibri"/>
          <w:b/>
          <w:spacing w:val="-2"/>
          <w:sz w:val="28"/>
        </w:rPr>
        <w:t>clauses</w:t>
      </w:r>
    </w:p>
    <w:p w14:paraId="42E92028" w14:textId="77777777" w:rsidR="004C7180" w:rsidRPr="00150EDC" w:rsidRDefault="00CF0754" w:rsidP="00B320C7">
      <w:pPr>
        <w:pStyle w:val="ListParagraph"/>
        <w:numPr>
          <w:ilvl w:val="2"/>
          <w:numId w:val="182"/>
        </w:numPr>
        <w:tabs>
          <w:tab w:val="left" w:pos="1207"/>
        </w:tabs>
        <w:spacing w:line="292" w:lineRule="exact"/>
        <w:ind w:left="1207" w:hanging="719"/>
        <w:rPr>
          <w:rFonts w:ascii="Calibri"/>
          <w:sz w:val="24"/>
        </w:rPr>
      </w:pPr>
      <w:r w:rsidRPr="00150EDC">
        <w:rPr>
          <w:rFonts w:ascii="Calibri"/>
          <w:sz w:val="24"/>
        </w:rPr>
        <w:t>All</w:t>
      </w:r>
      <w:r w:rsidRPr="00150EDC">
        <w:rPr>
          <w:rFonts w:ascii="Calibri"/>
          <w:spacing w:val="-2"/>
          <w:sz w:val="24"/>
        </w:rPr>
        <w:t xml:space="preserve"> </w:t>
      </w:r>
      <w:r w:rsidRPr="00150EDC">
        <w:rPr>
          <w:rFonts w:ascii="Calibri"/>
          <w:sz w:val="24"/>
        </w:rPr>
        <w:t>Goods</w:t>
      </w:r>
      <w:r w:rsidRPr="00150EDC">
        <w:rPr>
          <w:rFonts w:ascii="Calibri"/>
          <w:spacing w:val="-2"/>
          <w:sz w:val="24"/>
        </w:rPr>
        <w:t xml:space="preserve"> </w:t>
      </w:r>
      <w:r w:rsidRPr="00150EDC">
        <w:rPr>
          <w:rFonts w:ascii="Calibri"/>
          <w:sz w:val="24"/>
        </w:rPr>
        <w:t>delivered</w:t>
      </w:r>
      <w:r w:rsidRPr="00150EDC">
        <w:rPr>
          <w:rFonts w:ascii="Calibri"/>
          <w:spacing w:val="-3"/>
          <w:sz w:val="24"/>
        </w:rPr>
        <w:t xml:space="preserve"> </w:t>
      </w:r>
      <w:r w:rsidRPr="00150EDC">
        <w:rPr>
          <w:rFonts w:ascii="Calibri"/>
          <w:sz w:val="24"/>
        </w:rPr>
        <w:t>must</w:t>
      </w:r>
      <w:r w:rsidRPr="00150EDC">
        <w:rPr>
          <w:rFonts w:ascii="Calibri"/>
          <w:spacing w:val="-3"/>
          <w:sz w:val="24"/>
        </w:rPr>
        <w:t xml:space="preserve"> </w:t>
      </w:r>
      <w:r w:rsidRPr="00150EDC">
        <w:rPr>
          <w:rFonts w:ascii="Calibri"/>
          <w:sz w:val="24"/>
        </w:rPr>
        <w:t>be</w:t>
      </w:r>
      <w:r w:rsidRPr="00150EDC">
        <w:rPr>
          <w:rFonts w:ascii="Calibri"/>
          <w:spacing w:val="-3"/>
          <w:sz w:val="24"/>
        </w:rPr>
        <w:t xml:space="preserve"> </w:t>
      </w:r>
      <w:r w:rsidRPr="00150EDC">
        <w:rPr>
          <w:rFonts w:ascii="Calibri"/>
          <w:sz w:val="24"/>
        </w:rPr>
        <w:t>new,</w:t>
      </w:r>
      <w:r w:rsidRPr="00150EDC">
        <w:rPr>
          <w:rFonts w:ascii="Calibri"/>
          <w:spacing w:val="-2"/>
          <w:sz w:val="24"/>
        </w:rPr>
        <w:t xml:space="preserve"> </w:t>
      </w:r>
      <w:r w:rsidRPr="00150EDC">
        <w:rPr>
          <w:rFonts w:ascii="Calibri"/>
          <w:sz w:val="24"/>
        </w:rPr>
        <w:t>or</w:t>
      </w:r>
      <w:r w:rsidRPr="00150EDC">
        <w:rPr>
          <w:rFonts w:ascii="Calibri"/>
          <w:spacing w:val="-1"/>
          <w:sz w:val="24"/>
        </w:rPr>
        <w:t xml:space="preserve"> </w:t>
      </w:r>
      <w:r w:rsidRPr="00150EDC">
        <w:rPr>
          <w:rFonts w:ascii="Calibri"/>
          <w:sz w:val="24"/>
        </w:rPr>
        <w:t>as</w:t>
      </w:r>
      <w:r w:rsidRPr="00150EDC">
        <w:rPr>
          <w:rFonts w:ascii="Calibri"/>
          <w:spacing w:val="-5"/>
          <w:sz w:val="24"/>
        </w:rPr>
        <w:t xml:space="preserve"> </w:t>
      </w:r>
      <w:r w:rsidRPr="00150EDC">
        <w:rPr>
          <w:rFonts w:ascii="Calibri"/>
          <w:sz w:val="24"/>
        </w:rPr>
        <w:t>new</w:t>
      </w:r>
      <w:r w:rsidRPr="00150EDC">
        <w:rPr>
          <w:rFonts w:ascii="Calibri"/>
          <w:spacing w:val="-2"/>
          <w:sz w:val="24"/>
        </w:rPr>
        <w:t xml:space="preserve"> </w:t>
      </w:r>
      <w:r w:rsidRPr="00150EDC">
        <w:rPr>
          <w:rFonts w:ascii="Calibri"/>
          <w:sz w:val="24"/>
        </w:rPr>
        <w:t>if</w:t>
      </w:r>
      <w:r w:rsidRPr="00150EDC">
        <w:rPr>
          <w:rFonts w:ascii="Calibri"/>
          <w:spacing w:val="-3"/>
          <w:sz w:val="24"/>
        </w:rPr>
        <w:t xml:space="preserve"> </w:t>
      </w:r>
      <w:r w:rsidRPr="00150EDC">
        <w:rPr>
          <w:rFonts w:ascii="Calibri"/>
          <w:sz w:val="24"/>
        </w:rPr>
        <w:t>recycled,</w:t>
      </w:r>
      <w:r w:rsidRPr="00150EDC">
        <w:rPr>
          <w:rFonts w:ascii="Calibri"/>
          <w:spacing w:val="-2"/>
          <w:sz w:val="24"/>
        </w:rPr>
        <w:t xml:space="preserve"> </w:t>
      </w:r>
      <w:r w:rsidRPr="00150EDC">
        <w:rPr>
          <w:rFonts w:ascii="Calibri"/>
          <w:sz w:val="24"/>
        </w:rPr>
        <w:t>unused</w:t>
      </w:r>
      <w:r w:rsidRPr="00150EDC">
        <w:rPr>
          <w:rFonts w:ascii="Calibri"/>
          <w:spacing w:val="-1"/>
          <w:sz w:val="24"/>
        </w:rPr>
        <w:t xml:space="preserve"> </w:t>
      </w:r>
      <w:r w:rsidRPr="00150EDC">
        <w:rPr>
          <w:rFonts w:ascii="Calibri"/>
          <w:sz w:val="24"/>
        </w:rPr>
        <w:t>and</w:t>
      </w:r>
      <w:r w:rsidRPr="00150EDC">
        <w:rPr>
          <w:rFonts w:ascii="Calibri"/>
          <w:spacing w:val="-3"/>
          <w:sz w:val="24"/>
        </w:rPr>
        <w:t xml:space="preserve"> </w:t>
      </w:r>
      <w:r w:rsidRPr="00150EDC">
        <w:rPr>
          <w:rFonts w:ascii="Calibri"/>
          <w:sz w:val="24"/>
        </w:rPr>
        <w:t>of</w:t>
      </w:r>
      <w:r w:rsidRPr="00150EDC">
        <w:rPr>
          <w:rFonts w:ascii="Calibri"/>
          <w:spacing w:val="-3"/>
          <w:sz w:val="24"/>
        </w:rPr>
        <w:t xml:space="preserve"> </w:t>
      </w:r>
      <w:r w:rsidRPr="00150EDC">
        <w:rPr>
          <w:rFonts w:ascii="Calibri"/>
          <w:sz w:val="24"/>
        </w:rPr>
        <w:t>recent</w:t>
      </w:r>
      <w:r w:rsidRPr="00150EDC">
        <w:rPr>
          <w:rFonts w:ascii="Calibri"/>
          <w:spacing w:val="-3"/>
          <w:sz w:val="24"/>
        </w:rPr>
        <w:t xml:space="preserve"> </w:t>
      </w:r>
      <w:r w:rsidRPr="00150EDC">
        <w:rPr>
          <w:rFonts w:ascii="Calibri"/>
          <w:spacing w:val="-2"/>
          <w:sz w:val="24"/>
        </w:rPr>
        <w:t>origin.</w:t>
      </w:r>
    </w:p>
    <w:p w14:paraId="04836FE8" w14:textId="77777777" w:rsidR="004C7180" w:rsidRPr="00150EDC" w:rsidRDefault="004C7180">
      <w:pPr>
        <w:pStyle w:val="BodyText"/>
        <w:spacing w:before="2"/>
        <w:rPr>
          <w:rFonts w:ascii="Calibri"/>
        </w:rPr>
      </w:pPr>
    </w:p>
    <w:p w14:paraId="4168D4CC" w14:textId="77777777" w:rsidR="004C7180" w:rsidRPr="00150EDC" w:rsidRDefault="00CF0754" w:rsidP="00B320C7">
      <w:pPr>
        <w:pStyle w:val="ListParagraph"/>
        <w:numPr>
          <w:ilvl w:val="2"/>
          <w:numId w:val="182"/>
        </w:numPr>
        <w:tabs>
          <w:tab w:val="left" w:pos="1208"/>
        </w:tabs>
        <w:ind w:right="920" w:hanging="720"/>
        <w:rPr>
          <w:rFonts w:ascii="Calibri"/>
          <w:sz w:val="24"/>
        </w:rPr>
      </w:pPr>
      <w:r w:rsidRPr="00150EDC">
        <w:rPr>
          <w:rFonts w:ascii="Calibri"/>
          <w:sz w:val="24"/>
        </w:rPr>
        <w:t>All</w:t>
      </w:r>
      <w:r w:rsidRPr="00150EDC">
        <w:rPr>
          <w:rFonts w:ascii="Calibri"/>
          <w:spacing w:val="-2"/>
          <w:sz w:val="24"/>
        </w:rPr>
        <w:t xml:space="preserve"> </w:t>
      </w:r>
      <w:r w:rsidRPr="00150EDC">
        <w:rPr>
          <w:rFonts w:ascii="Calibri"/>
          <w:sz w:val="24"/>
        </w:rPr>
        <w:t>manufacturer</w:t>
      </w:r>
      <w:r w:rsidRPr="00150EDC">
        <w:rPr>
          <w:rFonts w:ascii="Calibri"/>
          <w:spacing w:val="-5"/>
          <w:sz w:val="24"/>
        </w:rPr>
        <w:t xml:space="preserve"> </w:t>
      </w:r>
      <w:r w:rsidRPr="00150EDC">
        <w:rPr>
          <w:rFonts w:ascii="Calibri"/>
          <w:sz w:val="24"/>
        </w:rPr>
        <w:t>warranties</w:t>
      </w:r>
      <w:r w:rsidRPr="00150EDC">
        <w:rPr>
          <w:rFonts w:ascii="Calibri"/>
          <w:spacing w:val="-3"/>
          <w:sz w:val="24"/>
        </w:rPr>
        <w:t xml:space="preserve"> </w:t>
      </w:r>
      <w:r w:rsidRPr="00150EDC">
        <w:rPr>
          <w:rFonts w:ascii="Calibri"/>
          <w:sz w:val="24"/>
        </w:rPr>
        <w:t>covering</w:t>
      </w:r>
      <w:r w:rsidRPr="00150EDC">
        <w:rPr>
          <w:rFonts w:ascii="Calibri"/>
          <w:spacing w:val="-5"/>
          <w:sz w:val="24"/>
        </w:rPr>
        <w:t xml:space="preserve"> </w:t>
      </w:r>
      <w:r w:rsidRPr="00150EDC">
        <w:rPr>
          <w:rFonts w:ascii="Calibri"/>
          <w:sz w:val="24"/>
        </w:rPr>
        <w:t>the</w:t>
      </w:r>
      <w:r w:rsidRPr="00150EDC">
        <w:rPr>
          <w:rFonts w:ascii="Calibri"/>
          <w:spacing w:val="-5"/>
          <w:sz w:val="24"/>
        </w:rPr>
        <w:t xml:space="preserve"> </w:t>
      </w:r>
      <w:r w:rsidRPr="00150EDC">
        <w:rPr>
          <w:rFonts w:ascii="Calibri"/>
          <w:sz w:val="24"/>
        </w:rPr>
        <w:t>Goods</w:t>
      </w:r>
      <w:r w:rsidRPr="00150EDC">
        <w:rPr>
          <w:rFonts w:ascii="Calibri"/>
          <w:spacing w:val="-5"/>
          <w:sz w:val="24"/>
        </w:rPr>
        <w:t xml:space="preserve"> </w:t>
      </w:r>
      <w:r w:rsidRPr="00150EDC">
        <w:rPr>
          <w:rFonts w:ascii="Calibri"/>
          <w:sz w:val="24"/>
        </w:rPr>
        <w:t>must</w:t>
      </w:r>
      <w:r w:rsidRPr="00150EDC">
        <w:rPr>
          <w:rFonts w:ascii="Calibri"/>
          <w:spacing w:val="-4"/>
          <w:sz w:val="24"/>
        </w:rPr>
        <w:t xml:space="preserve"> </w:t>
      </w:r>
      <w:r w:rsidRPr="00150EDC">
        <w:rPr>
          <w:rFonts w:ascii="Calibri"/>
          <w:sz w:val="24"/>
        </w:rPr>
        <w:t>be assignable</w:t>
      </w:r>
      <w:r w:rsidRPr="00150EDC">
        <w:rPr>
          <w:rFonts w:ascii="Calibri"/>
          <w:spacing w:val="-2"/>
          <w:sz w:val="24"/>
        </w:rPr>
        <w:t xml:space="preserve"> </w:t>
      </w:r>
      <w:r w:rsidRPr="00150EDC">
        <w:rPr>
          <w:rFonts w:ascii="Calibri"/>
          <w:sz w:val="24"/>
        </w:rPr>
        <w:t>to</w:t>
      </w:r>
      <w:r w:rsidRPr="00150EDC">
        <w:rPr>
          <w:rFonts w:ascii="Calibri"/>
          <w:spacing w:val="-4"/>
          <w:sz w:val="24"/>
        </w:rPr>
        <w:t xml:space="preserve"> </w:t>
      </w:r>
      <w:r w:rsidRPr="00150EDC">
        <w:rPr>
          <w:rFonts w:ascii="Calibri"/>
          <w:sz w:val="24"/>
        </w:rPr>
        <w:t>the</w:t>
      </w:r>
      <w:r w:rsidRPr="00150EDC">
        <w:rPr>
          <w:rFonts w:ascii="Calibri"/>
          <w:spacing w:val="-2"/>
          <w:sz w:val="24"/>
        </w:rPr>
        <w:t xml:space="preserve"> </w:t>
      </w:r>
      <w:r w:rsidRPr="00150EDC">
        <w:rPr>
          <w:rFonts w:ascii="Calibri"/>
          <w:sz w:val="24"/>
        </w:rPr>
        <w:t>Buyer</w:t>
      </w:r>
      <w:r w:rsidRPr="00150EDC">
        <w:rPr>
          <w:rFonts w:ascii="Calibri"/>
          <w:spacing w:val="-3"/>
          <w:sz w:val="24"/>
        </w:rPr>
        <w:t xml:space="preserve"> </w:t>
      </w:r>
      <w:r w:rsidRPr="00150EDC">
        <w:rPr>
          <w:rFonts w:ascii="Calibri"/>
          <w:sz w:val="24"/>
        </w:rPr>
        <w:t>on</w:t>
      </w:r>
      <w:r w:rsidRPr="00150EDC">
        <w:rPr>
          <w:rFonts w:ascii="Calibri"/>
          <w:spacing w:val="-2"/>
          <w:sz w:val="24"/>
        </w:rPr>
        <w:t xml:space="preserve"> </w:t>
      </w:r>
      <w:r w:rsidRPr="00150EDC">
        <w:rPr>
          <w:rFonts w:ascii="Calibri"/>
          <w:sz w:val="24"/>
        </w:rPr>
        <w:t>request</w:t>
      </w:r>
      <w:r w:rsidRPr="00150EDC">
        <w:rPr>
          <w:rFonts w:ascii="Calibri"/>
          <w:spacing w:val="-4"/>
          <w:sz w:val="24"/>
        </w:rPr>
        <w:t xml:space="preserve"> </w:t>
      </w:r>
      <w:r w:rsidRPr="00150EDC">
        <w:rPr>
          <w:rFonts w:ascii="Calibri"/>
          <w:sz w:val="24"/>
        </w:rPr>
        <w:t>and</w:t>
      </w:r>
      <w:r w:rsidRPr="00150EDC">
        <w:rPr>
          <w:rFonts w:ascii="Calibri"/>
          <w:spacing w:val="-2"/>
          <w:sz w:val="24"/>
        </w:rPr>
        <w:t xml:space="preserve"> </w:t>
      </w:r>
      <w:r w:rsidRPr="00150EDC">
        <w:rPr>
          <w:rFonts w:ascii="Calibri"/>
          <w:sz w:val="24"/>
        </w:rPr>
        <w:t xml:space="preserve">for </w:t>
      </w:r>
      <w:r w:rsidRPr="00150EDC">
        <w:rPr>
          <w:rFonts w:ascii="Calibri"/>
          <w:spacing w:val="-2"/>
          <w:sz w:val="24"/>
        </w:rPr>
        <w:t>free.</w:t>
      </w:r>
    </w:p>
    <w:p w14:paraId="6DB874D1" w14:textId="77777777" w:rsidR="004C7180" w:rsidRPr="00150EDC" w:rsidRDefault="004C7180">
      <w:pPr>
        <w:pStyle w:val="BodyText"/>
        <w:rPr>
          <w:rFonts w:ascii="Calibri"/>
        </w:rPr>
      </w:pPr>
    </w:p>
    <w:p w14:paraId="5866668B" w14:textId="77777777" w:rsidR="004C7180" w:rsidRPr="00150EDC" w:rsidRDefault="00CF0754" w:rsidP="00B320C7">
      <w:pPr>
        <w:pStyle w:val="ListParagraph"/>
        <w:numPr>
          <w:ilvl w:val="2"/>
          <w:numId w:val="182"/>
        </w:numPr>
        <w:tabs>
          <w:tab w:val="left" w:pos="1208"/>
        </w:tabs>
        <w:ind w:right="834" w:hanging="720"/>
        <w:rPr>
          <w:rFonts w:ascii="Calibri"/>
          <w:sz w:val="24"/>
        </w:rPr>
      </w:pPr>
      <w:r w:rsidRPr="00150EDC">
        <w:rPr>
          <w:rFonts w:ascii="Calibri"/>
          <w:sz w:val="24"/>
        </w:rPr>
        <w:t>The</w:t>
      </w:r>
      <w:r w:rsidRPr="00150EDC">
        <w:rPr>
          <w:rFonts w:ascii="Calibri"/>
          <w:spacing w:val="-2"/>
          <w:sz w:val="24"/>
        </w:rPr>
        <w:t xml:space="preserve"> </w:t>
      </w:r>
      <w:r w:rsidRPr="00150EDC">
        <w:rPr>
          <w:rFonts w:ascii="Calibri"/>
          <w:sz w:val="24"/>
        </w:rPr>
        <w:t>Supplier</w:t>
      </w:r>
      <w:r w:rsidRPr="00150EDC">
        <w:rPr>
          <w:rFonts w:ascii="Calibri"/>
          <w:spacing w:val="-4"/>
          <w:sz w:val="24"/>
        </w:rPr>
        <w:t xml:space="preserve"> </w:t>
      </w:r>
      <w:r w:rsidRPr="00150EDC">
        <w:rPr>
          <w:rFonts w:ascii="Calibri"/>
          <w:sz w:val="24"/>
        </w:rPr>
        <w:t>transfers</w:t>
      </w:r>
      <w:r w:rsidRPr="00150EDC">
        <w:rPr>
          <w:rFonts w:ascii="Calibri"/>
          <w:spacing w:val="-3"/>
          <w:sz w:val="24"/>
        </w:rPr>
        <w:t xml:space="preserve"> </w:t>
      </w:r>
      <w:r w:rsidRPr="00150EDC">
        <w:rPr>
          <w:rFonts w:ascii="Calibri"/>
          <w:sz w:val="24"/>
        </w:rPr>
        <w:t>ownership</w:t>
      </w:r>
      <w:r w:rsidRPr="00150EDC">
        <w:rPr>
          <w:rFonts w:ascii="Calibri"/>
          <w:spacing w:val="-4"/>
          <w:sz w:val="24"/>
        </w:rPr>
        <w:t xml:space="preserve"> </w:t>
      </w:r>
      <w:r w:rsidRPr="00150EDC">
        <w:rPr>
          <w:rFonts w:ascii="Calibri"/>
          <w:sz w:val="24"/>
        </w:rPr>
        <w:t>of</w:t>
      </w:r>
      <w:r w:rsidRPr="00150EDC">
        <w:rPr>
          <w:rFonts w:ascii="Calibri"/>
          <w:spacing w:val="-4"/>
          <w:sz w:val="24"/>
        </w:rPr>
        <w:t xml:space="preserve"> </w:t>
      </w:r>
      <w:r w:rsidRPr="00150EDC">
        <w:rPr>
          <w:rFonts w:ascii="Calibri"/>
          <w:sz w:val="24"/>
        </w:rPr>
        <w:t>the</w:t>
      </w:r>
      <w:r w:rsidRPr="00150EDC">
        <w:rPr>
          <w:rFonts w:ascii="Calibri"/>
          <w:spacing w:val="-2"/>
          <w:sz w:val="24"/>
        </w:rPr>
        <w:t xml:space="preserve"> </w:t>
      </w:r>
      <w:r w:rsidRPr="00150EDC">
        <w:rPr>
          <w:rFonts w:ascii="Calibri"/>
          <w:sz w:val="24"/>
        </w:rPr>
        <w:t>Goods</w:t>
      </w:r>
      <w:r w:rsidRPr="00150EDC">
        <w:rPr>
          <w:rFonts w:ascii="Calibri"/>
          <w:spacing w:val="-5"/>
          <w:sz w:val="24"/>
        </w:rPr>
        <w:t xml:space="preserve"> </w:t>
      </w:r>
      <w:r w:rsidRPr="00150EDC">
        <w:rPr>
          <w:rFonts w:ascii="Calibri"/>
          <w:sz w:val="24"/>
        </w:rPr>
        <w:t>on</w:t>
      </w:r>
      <w:r w:rsidRPr="00150EDC">
        <w:rPr>
          <w:rFonts w:ascii="Calibri"/>
          <w:spacing w:val="-2"/>
          <w:sz w:val="24"/>
        </w:rPr>
        <w:t xml:space="preserve"> </w:t>
      </w:r>
      <w:r w:rsidRPr="00150EDC">
        <w:rPr>
          <w:rFonts w:ascii="Calibri"/>
          <w:sz w:val="24"/>
        </w:rPr>
        <w:t>Delivery</w:t>
      </w:r>
      <w:r w:rsidRPr="00150EDC">
        <w:rPr>
          <w:rFonts w:ascii="Calibri"/>
          <w:spacing w:val="-3"/>
          <w:sz w:val="24"/>
        </w:rPr>
        <w:t xml:space="preserve"> </w:t>
      </w:r>
      <w:r w:rsidRPr="00150EDC">
        <w:rPr>
          <w:rFonts w:ascii="Calibri"/>
          <w:sz w:val="24"/>
        </w:rPr>
        <w:t>or</w:t>
      </w:r>
      <w:r w:rsidRPr="00150EDC">
        <w:rPr>
          <w:rFonts w:ascii="Calibri"/>
          <w:spacing w:val="-5"/>
          <w:sz w:val="24"/>
        </w:rPr>
        <w:t xml:space="preserve"> </w:t>
      </w:r>
      <w:r w:rsidRPr="00150EDC">
        <w:rPr>
          <w:rFonts w:ascii="Calibri"/>
          <w:sz w:val="24"/>
        </w:rPr>
        <w:t>payment</w:t>
      </w:r>
      <w:r w:rsidRPr="00150EDC">
        <w:rPr>
          <w:rFonts w:ascii="Calibri"/>
          <w:spacing w:val="-4"/>
          <w:sz w:val="24"/>
        </w:rPr>
        <w:t xml:space="preserve"> </w:t>
      </w:r>
      <w:r w:rsidRPr="00150EDC">
        <w:rPr>
          <w:rFonts w:ascii="Calibri"/>
          <w:sz w:val="24"/>
        </w:rPr>
        <w:t>for</w:t>
      </w:r>
      <w:r w:rsidRPr="00150EDC">
        <w:rPr>
          <w:rFonts w:ascii="Calibri"/>
          <w:spacing w:val="-2"/>
          <w:sz w:val="24"/>
        </w:rPr>
        <w:t xml:space="preserve"> </w:t>
      </w:r>
      <w:r w:rsidRPr="00150EDC">
        <w:rPr>
          <w:rFonts w:ascii="Calibri"/>
          <w:sz w:val="24"/>
        </w:rPr>
        <w:t>those</w:t>
      </w:r>
      <w:r w:rsidRPr="00150EDC">
        <w:rPr>
          <w:rFonts w:ascii="Calibri"/>
          <w:spacing w:val="-2"/>
          <w:sz w:val="24"/>
        </w:rPr>
        <w:t xml:space="preserve"> </w:t>
      </w:r>
      <w:r w:rsidRPr="00150EDC">
        <w:rPr>
          <w:rFonts w:ascii="Calibri"/>
          <w:sz w:val="24"/>
        </w:rPr>
        <w:t>Goods,</w:t>
      </w:r>
      <w:r w:rsidRPr="00150EDC">
        <w:rPr>
          <w:rFonts w:ascii="Calibri"/>
          <w:spacing w:val="-3"/>
          <w:sz w:val="24"/>
        </w:rPr>
        <w:t xml:space="preserve"> </w:t>
      </w:r>
      <w:r w:rsidRPr="00150EDC">
        <w:rPr>
          <w:rFonts w:ascii="Calibri"/>
          <w:sz w:val="24"/>
        </w:rPr>
        <w:t>whichever</w:t>
      </w:r>
      <w:r w:rsidRPr="00150EDC">
        <w:rPr>
          <w:rFonts w:ascii="Calibri"/>
          <w:spacing w:val="-2"/>
          <w:sz w:val="24"/>
        </w:rPr>
        <w:t xml:space="preserve"> </w:t>
      </w:r>
      <w:r w:rsidRPr="00150EDC">
        <w:rPr>
          <w:rFonts w:ascii="Calibri"/>
          <w:sz w:val="24"/>
        </w:rPr>
        <w:t xml:space="preserve">is </w:t>
      </w:r>
      <w:r w:rsidRPr="00150EDC">
        <w:rPr>
          <w:rFonts w:ascii="Calibri"/>
          <w:spacing w:val="-2"/>
          <w:sz w:val="24"/>
        </w:rPr>
        <w:t>earlier.</w:t>
      </w:r>
    </w:p>
    <w:p w14:paraId="6B78BCA2" w14:textId="77777777" w:rsidR="004C7180" w:rsidRPr="00150EDC" w:rsidRDefault="004C7180">
      <w:pPr>
        <w:pStyle w:val="BodyText"/>
        <w:spacing w:before="11"/>
        <w:rPr>
          <w:rFonts w:ascii="Calibri"/>
          <w:sz w:val="23"/>
        </w:rPr>
      </w:pPr>
    </w:p>
    <w:p w14:paraId="11E98066" w14:textId="77777777" w:rsidR="004C7180" w:rsidRPr="00150EDC" w:rsidRDefault="00CF0754" w:rsidP="00B320C7">
      <w:pPr>
        <w:pStyle w:val="ListParagraph"/>
        <w:numPr>
          <w:ilvl w:val="2"/>
          <w:numId w:val="182"/>
        </w:numPr>
        <w:tabs>
          <w:tab w:val="left" w:pos="1208"/>
        </w:tabs>
        <w:spacing w:before="1"/>
        <w:ind w:right="634" w:hanging="720"/>
        <w:rPr>
          <w:rFonts w:ascii="Calibri"/>
          <w:sz w:val="24"/>
        </w:rPr>
      </w:pPr>
      <w:r w:rsidRPr="00150EDC">
        <w:rPr>
          <w:rFonts w:ascii="Calibri"/>
          <w:sz w:val="24"/>
        </w:rPr>
        <w:t>Risk in the Goods transfers to the Buyer on Delivery of the Goods, but remains with the Supplier if the Buyer</w:t>
      </w:r>
      <w:r w:rsidRPr="00150EDC">
        <w:rPr>
          <w:rFonts w:ascii="Calibri"/>
          <w:spacing w:val="-2"/>
          <w:sz w:val="24"/>
        </w:rPr>
        <w:t xml:space="preserve"> </w:t>
      </w:r>
      <w:r w:rsidRPr="00150EDC">
        <w:rPr>
          <w:rFonts w:ascii="Calibri"/>
          <w:sz w:val="24"/>
        </w:rPr>
        <w:t>notices</w:t>
      </w:r>
      <w:r w:rsidRPr="00150EDC">
        <w:rPr>
          <w:rFonts w:ascii="Calibri"/>
          <w:spacing w:val="-4"/>
          <w:sz w:val="24"/>
        </w:rPr>
        <w:t xml:space="preserve"> </w:t>
      </w:r>
      <w:r w:rsidRPr="00150EDC">
        <w:rPr>
          <w:rFonts w:ascii="Calibri"/>
          <w:sz w:val="24"/>
        </w:rPr>
        <w:t>damage</w:t>
      </w:r>
      <w:r w:rsidRPr="00150EDC">
        <w:rPr>
          <w:rFonts w:ascii="Calibri"/>
          <w:spacing w:val="-4"/>
          <w:sz w:val="24"/>
        </w:rPr>
        <w:t xml:space="preserve"> </w:t>
      </w:r>
      <w:r w:rsidRPr="00150EDC">
        <w:rPr>
          <w:rFonts w:ascii="Calibri"/>
          <w:sz w:val="24"/>
        </w:rPr>
        <w:t>following</w:t>
      </w:r>
      <w:r w:rsidRPr="00150EDC">
        <w:rPr>
          <w:rFonts w:ascii="Calibri"/>
          <w:spacing w:val="-2"/>
          <w:sz w:val="24"/>
        </w:rPr>
        <w:t xml:space="preserve"> </w:t>
      </w:r>
      <w:r w:rsidRPr="00150EDC">
        <w:rPr>
          <w:rFonts w:ascii="Calibri"/>
          <w:sz w:val="24"/>
        </w:rPr>
        <w:t>Delivery</w:t>
      </w:r>
      <w:r w:rsidRPr="00150EDC">
        <w:rPr>
          <w:rFonts w:ascii="Calibri"/>
          <w:spacing w:val="-2"/>
          <w:sz w:val="24"/>
        </w:rPr>
        <w:t xml:space="preserve"> </w:t>
      </w:r>
      <w:r w:rsidRPr="00150EDC">
        <w:rPr>
          <w:rFonts w:ascii="Calibri"/>
          <w:sz w:val="24"/>
        </w:rPr>
        <w:t>and</w:t>
      </w:r>
      <w:r w:rsidRPr="00150EDC">
        <w:rPr>
          <w:rFonts w:ascii="Calibri"/>
          <w:spacing w:val="-1"/>
          <w:sz w:val="24"/>
        </w:rPr>
        <w:t xml:space="preserve"> </w:t>
      </w:r>
      <w:r w:rsidRPr="00150EDC">
        <w:rPr>
          <w:rFonts w:ascii="Calibri"/>
          <w:sz w:val="24"/>
        </w:rPr>
        <w:t>lets</w:t>
      </w:r>
      <w:r w:rsidRPr="00150EDC">
        <w:rPr>
          <w:rFonts w:ascii="Calibri"/>
          <w:spacing w:val="-4"/>
          <w:sz w:val="24"/>
        </w:rPr>
        <w:t xml:space="preserve"> </w:t>
      </w:r>
      <w:r w:rsidRPr="00150EDC">
        <w:rPr>
          <w:rFonts w:ascii="Calibri"/>
          <w:sz w:val="24"/>
        </w:rPr>
        <w:t>the</w:t>
      </w:r>
      <w:r w:rsidRPr="00150EDC">
        <w:rPr>
          <w:rFonts w:ascii="Calibri"/>
          <w:spacing w:val="-4"/>
          <w:sz w:val="24"/>
        </w:rPr>
        <w:t xml:space="preserve"> </w:t>
      </w:r>
      <w:r w:rsidRPr="00150EDC">
        <w:rPr>
          <w:rFonts w:ascii="Calibri"/>
          <w:sz w:val="24"/>
        </w:rPr>
        <w:t>Supplier</w:t>
      </w:r>
      <w:r w:rsidRPr="00150EDC">
        <w:rPr>
          <w:rFonts w:ascii="Calibri"/>
          <w:spacing w:val="-3"/>
          <w:sz w:val="24"/>
        </w:rPr>
        <w:t xml:space="preserve"> </w:t>
      </w:r>
      <w:r w:rsidRPr="00150EDC">
        <w:rPr>
          <w:rFonts w:ascii="Calibri"/>
          <w:sz w:val="24"/>
        </w:rPr>
        <w:t>know</w:t>
      </w:r>
      <w:r w:rsidRPr="00150EDC">
        <w:rPr>
          <w:rFonts w:ascii="Calibri"/>
          <w:spacing w:val="-2"/>
          <w:sz w:val="24"/>
        </w:rPr>
        <w:t xml:space="preserve"> </w:t>
      </w:r>
      <w:r w:rsidRPr="00150EDC">
        <w:rPr>
          <w:rFonts w:ascii="Calibri"/>
          <w:sz w:val="24"/>
        </w:rPr>
        <w:t>within</w:t>
      </w:r>
      <w:r w:rsidRPr="00150EDC">
        <w:rPr>
          <w:rFonts w:ascii="Calibri"/>
          <w:spacing w:val="-3"/>
          <w:sz w:val="24"/>
        </w:rPr>
        <w:t xml:space="preserve"> </w:t>
      </w:r>
      <w:r w:rsidRPr="00150EDC">
        <w:rPr>
          <w:rFonts w:ascii="Calibri"/>
          <w:sz w:val="24"/>
        </w:rPr>
        <w:t>3</w:t>
      </w:r>
      <w:r w:rsidRPr="00150EDC">
        <w:rPr>
          <w:rFonts w:ascii="Calibri"/>
          <w:spacing w:val="-1"/>
          <w:sz w:val="24"/>
        </w:rPr>
        <w:t xml:space="preserve"> </w:t>
      </w:r>
      <w:r w:rsidRPr="00150EDC">
        <w:rPr>
          <w:rFonts w:ascii="Calibri"/>
          <w:sz w:val="24"/>
        </w:rPr>
        <w:t>Working</w:t>
      </w:r>
      <w:r w:rsidRPr="00150EDC">
        <w:rPr>
          <w:rFonts w:ascii="Calibri"/>
          <w:spacing w:val="-2"/>
          <w:sz w:val="24"/>
        </w:rPr>
        <w:t xml:space="preserve"> </w:t>
      </w:r>
      <w:r w:rsidRPr="00150EDC">
        <w:rPr>
          <w:rFonts w:ascii="Calibri"/>
          <w:sz w:val="24"/>
        </w:rPr>
        <w:t>Days</w:t>
      </w:r>
      <w:r w:rsidRPr="00150EDC">
        <w:rPr>
          <w:rFonts w:ascii="Calibri"/>
          <w:spacing w:val="-5"/>
          <w:sz w:val="24"/>
        </w:rPr>
        <w:t xml:space="preserve"> </w:t>
      </w:r>
      <w:r w:rsidRPr="00150EDC">
        <w:rPr>
          <w:rFonts w:ascii="Calibri"/>
          <w:sz w:val="24"/>
        </w:rPr>
        <w:t>of</w:t>
      </w:r>
      <w:r w:rsidRPr="00150EDC">
        <w:rPr>
          <w:rFonts w:ascii="Calibri"/>
          <w:spacing w:val="-3"/>
          <w:sz w:val="24"/>
        </w:rPr>
        <w:t xml:space="preserve"> </w:t>
      </w:r>
      <w:r w:rsidRPr="00150EDC">
        <w:rPr>
          <w:rFonts w:ascii="Calibri"/>
          <w:sz w:val="24"/>
        </w:rPr>
        <w:t>Delivery.</w:t>
      </w:r>
    </w:p>
    <w:p w14:paraId="45EF921C" w14:textId="77777777" w:rsidR="004C7180" w:rsidRPr="00150EDC" w:rsidRDefault="004C7180">
      <w:pPr>
        <w:pStyle w:val="BodyText"/>
        <w:spacing w:before="11"/>
        <w:rPr>
          <w:rFonts w:ascii="Calibri"/>
          <w:sz w:val="23"/>
        </w:rPr>
      </w:pPr>
    </w:p>
    <w:p w14:paraId="12C519D6" w14:textId="77777777" w:rsidR="004C7180" w:rsidRPr="00150EDC" w:rsidRDefault="00CF0754" w:rsidP="00B320C7">
      <w:pPr>
        <w:pStyle w:val="ListParagraph"/>
        <w:numPr>
          <w:ilvl w:val="2"/>
          <w:numId w:val="182"/>
        </w:numPr>
        <w:tabs>
          <w:tab w:val="left" w:pos="1208"/>
        </w:tabs>
        <w:ind w:right="590" w:hanging="720"/>
        <w:rPr>
          <w:rFonts w:ascii="Calibri"/>
          <w:sz w:val="24"/>
        </w:rPr>
      </w:pPr>
      <w:r w:rsidRPr="00150EDC">
        <w:rPr>
          <w:rFonts w:ascii="Calibri"/>
          <w:sz w:val="24"/>
        </w:rPr>
        <w:t>The</w:t>
      </w:r>
      <w:r w:rsidRPr="00150EDC">
        <w:rPr>
          <w:rFonts w:ascii="Calibri"/>
          <w:spacing w:val="-2"/>
          <w:sz w:val="24"/>
        </w:rPr>
        <w:t xml:space="preserve"> </w:t>
      </w:r>
      <w:r w:rsidRPr="00150EDC">
        <w:rPr>
          <w:rFonts w:ascii="Calibri"/>
          <w:sz w:val="24"/>
        </w:rPr>
        <w:t>Supplier</w:t>
      </w:r>
      <w:r w:rsidRPr="00150EDC">
        <w:rPr>
          <w:rFonts w:ascii="Calibri"/>
          <w:spacing w:val="-3"/>
          <w:sz w:val="24"/>
        </w:rPr>
        <w:t xml:space="preserve"> </w:t>
      </w:r>
      <w:r w:rsidRPr="00150EDC">
        <w:rPr>
          <w:rFonts w:ascii="Calibri"/>
          <w:sz w:val="24"/>
        </w:rPr>
        <w:t>warrants</w:t>
      </w:r>
      <w:r w:rsidRPr="00150EDC">
        <w:rPr>
          <w:rFonts w:ascii="Calibri"/>
          <w:spacing w:val="-3"/>
          <w:sz w:val="24"/>
        </w:rPr>
        <w:t xml:space="preserve"> </w:t>
      </w:r>
      <w:r w:rsidRPr="00150EDC">
        <w:rPr>
          <w:rFonts w:ascii="Calibri"/>
          <w:sz w:val="24"/>
        </w:rPr>
        <w:t>that</w:t>
      </w:r>
      <w:r w:rsidRPr="00150EDC">
        <w:rPr>
          <w:rFonts w:ascii="Calibri"/>
          <w:spacing w:val="-2"/>
          <w:sz w:val="24"/>
        </w:rPr>
        <w:t xml:space="preserve"> </w:t>
      </w:r>
      <w:r w:rsidRPr="00150EDC">
        <w:rPr>
          <w:rFonts w:ascii="Calibri"/>
          <w:sz w:val="24"/>
        </w:rPr>
        <w:t>it</w:t>
      </w:r>
      <w:r w:rsidRPr="00150EDC">
        <w:rPr>
          <w:rFonts w:ascii="Calibri"/>
          <w:spacing w:val="-2"/>
          <w:sz w:val="24"/>
        </w:rPr>
        <w:t xml:space="preserve"> </w:t>
      </w:r>
      <w:r w:rsidRPr="00150EDC">
        <w:rPr>
          <w:rFonts w:ascii="Calibri"/>
          <w:sz w:val="24"/>
        </w:rPr>
        <w:t>has</w:t>
      </w:r>
      <w:r w:rsidRPr="00150EDC">
        <w:rPr>
          <w:rFonts w:ascii="Calibri"/>
          <w:spacing w:val="-4"/>
          <w:sz w:val="24"/>
        </w:rPr>
        <w:t xml:space="preserve"> </w:t>
      </w:r>
      <w:r w:rsidRPr="00150EDC">
        <w:rPr>
          <w:rFonts w:ascii="Calibri"/>
          <w:sz w:val="24"/>
        </w:rPr>
        <w:t>full</w:t>
      </w:r>
      <w:r w:rsidRPr="00150EDC">
        <w:rPr>
          <w:rFonts w:ascii="Calibri"/>
          <w:spacing w:val="-3"/>
          <w:sz w:val="24"/>
        </w:rPr>
        <w:t xml:space="preserve"> </w:t>
      </w:r>
      <w:r w:rsidRPr="00150EDC">
        <w:rPr>
          <w:rFonts w:ascii="Calibri"/>
          <w:sz w:val="24"/>
        </w:rPr>
        <w:t>and</w:t>
      </w:r>
      <w:r w:rsidRPr="00150EDC">
        <w:rPr>
          <w:rFonts w:ascii="Calibri"/>
          <w:spacing w:val="-3"/>
          <w:sz w:val="24"/>
        </w:rPr>
        <w:t xml:space="preserve"> </w:t>
      </w:r>
      <w:r w:rsidRPr="00150EDC">
        <w:rPr>
          <w:rFonts w:ascii="Calibri"/>
          <w:sz w:val="24"/>
        </w:rPr>
        <w:t>unrestricted</w:t>
      </w:r>
      <w:r w:rsidRPr="00150EDC">
        <w:rPr>
          <w:rFonts w:ascii="Calibri"/>
          <w:spacing w:val="-3"/>
          <w:sz w:val="24"/>
        </w:rPr>
        <w:t xml:space="preserve"> </w:t>
      </w:r>
      <w:r w:rsidRPr="00150EDC">
        <w:rPr>
          <w:rFonts w:ascii="Calibri"/>
          <w:sz w:val="24"/>
        </w:rPr>
        <w:t>ownership</w:t>
      </w:r>
      <w:r w:rsidRPr="00150EDC">
        <w:rPr>
          <w:rFonts w:ascii="Calibri"/>
          <w:spacing w:val="-2"/>
          <w:sz w:val="24"/>
        </w:rPr>
        <w:t xml:space="preserve"> </w:t>
      </w:r>
      <w:r w:rsidRPr="00150EDC">
        <w:rPr>
          <w:rFonts w:ascii="Calibri"/>
          <w:sz w:val="24"/>
        </w:rPr>
        <w:t>of</w:t>
      </w:r>
      <w:r w:rsidRPr="00150EDC">
        <w:rPr>
          <w:rFonts w:ascii="Calibri"/>
          <w:spacing w:val="-3"/>
          <w:sz w:val="24"/>
        </w:rPr>
        <w:t xml:space="preserve"> </w:t>
      </w:r>
      <w:r w:rsidRPr="00150EDC">
        <w:rPr>
          <w:rFonts w:ascii="Calibri"/>
          <w:sz w:val="24"/>
        </w:rPr>
        <w:t>the</w:t>
      </w:r>
      <w:r w:rsidRPr="00150EDC">
        <w:rPr>
          <w:rFonts w:ascii="Calibri"/>
          <w:spacing w:val="-4"/>
          <w:sz w:val="24"/>
        </w:rPr>
        <w:t xml:space="preserve"> </w:t>
      </w:r>
      <w:r w:rsidRPr="00150EDC">
        <w:rPr>
          <w:rFonts w:ascii="Calibri"/>
          <w:sz w:val="24"/>
        </w:rPr>
        <w:t>Goods</w:t>
      </w:r>
      <w:r w:rsidRPr="00150EDC">
        <w:rPr>
          <w:rFonts w:ascii="Calibri"/>
          <w:spacing w:val="-3"/>
          <w:sz w:val="24"/>
        </w:rPr>
        <w:t xml:space="preserve"> </w:t>
      </w:r>
      <w:r w:rsidRPr="00150EDC">
        <w:rPr>
          <w:rFonts w:ascii="Calibri"/>
          <w:sz w:val="24"/>
        </w:rPr>
        <w:t>at</w:t>
      </w:r>
      <w:r w:rsidRPr="00150EDC">
        <w:rPr>
          <w:rFonts w:ascii="Calibri"/>
          <w:spacing w:val="-3"/>
          <w:sz w:val="24"/>
        </w:rPr>
        <w:t xml:space="preserve"> </w:t>
      </w:r>
      <w:r w:rsidRPr="00150EDC">
        <w:rPr>
          <w:rFonts w:ascii="Calibri"/>
          <w:sz w:val="24"/>
        </w:rPr>
        <w:t>the</w:t>
      </w:r>
      <w:r w:rsidRPr="00150EDC">
        <w:rPr>
          <w:rFonts w:ascii="Calibri"/>
          <w:spacing w:val="-4"/>
          <w:sz w:val="24"/>
        </w:rPr>
        <w:t xml:space="preserve"> </w:t>
      </w:r>
      <w:r w:rsidRPr="00150EDC">
        <w:rPr>
          <w:rFonts w:ascii="Calibri"/>
          <w:sz w:val="24"/>
        </w:rPr>
        <w:t>time</w:t>
      </w:r>
      <w:r w:rsidRPr="00150EDC">
        <w:rPr>
          <w:rFonts w:ascii="Calibri"/>
          <w:spacing w:val="-2"/>
          <w:sz w:val="24"/>
        </w:rPr>
        <w:t xml:space="preserve"> </w:t>
      </w:r>
      <w:r w:rsidRPr="00150EDC">
        <w:rPr>
          <w:rFonts w:ascii="Calibri"/>
          <w:sz w:val="24"/>
        </w:rPr>
        <w:t>of</w:t>
      </w:r>
      <w:r w:rsidRPr="00150EDC">
        <w:rPr>
          <w:rFonts w:ascii="Calibri"/>
          <w:spacing w:val="-3"/>
          <w:sz w:val="24"/>
        </w:rPr>
        <w:t xml:space="preserve"> </w:t>
      </w:r>
      <w:r w:rsidRPr="00150EDC">
        <w:rPr>
          <w:rFonts w:ascii="Calibri"/>
          <w:sz w:val="24"/>
        </w:rPr>
        <w:t>transfer</w:t>
      </w:r>
      <w:r w:rsidRPr="00150EDC">
        <w:rPr>
          <w:rFonts w:ascii="Calibri"/>
          <w:spacing w:val="-3"/>
          <w:sz w:val="24"/>
        </w:rPr>
        <w:t xml:space="preserve"> </w:t>
      </w:r>
      <w:r w:rsidRPr="00150EDC">
        <w:rPr>
          <w:rFonts w:ascii="Calibri"/>
          <w:sz w:val="24"/>
        </w:rPr>
        <w:t xml:space="preserve">of </w:t>
      </w:r>
      <w:r w:rsidRPr="00150EDC">
        <w:rPr>
          <w:rFonts w:ascii="Calibri"/>
          <w:spacing w:val="-2"/>
          <w:sz w:val="24"/>
        </w:rPr>
        <w:t>ownership.</w:t>
      </w:r>
    </w:p>
    <w:p w14:paraId="2E7CDC2B" w14:textId="77777777" w:rsidR="004C7180" w:rsidRPr="00150EDC" w:rsidRDefault="004C7180">
      <w:pPr>
        <w:pStyle w:val="BodyText"/>
        <w:rPr>
          <w:rFonts w:ascii="Calibri"/>
        </w:rPr>
      </w:pPr>
    </w:p>
    <w:p w14:paraId="071724A8" w14:textId="77777777" w:rsidR="004C7180" w:rsidRPr="00150EDC" w:rsidRDefault="00CF0754" w:rsidP="00B320C7">
      <w:pPr>
        <w:pStyle w:val="ListParagraph"/>
        <w:numPr>
          <w:ilvl w:val="2"/>
          <w:numId w:val="182"/>
        </w:numPr>
        <w:tabs>
          <w:tab w:val="left" w:pos="1208"/>
        </w:tabs>
        <w:spacing w:line="242" w:lineRule="auto"/>
        <w:ind w:right="1263" w:hanging="720"/>
        <w:rPr>
          <w:rFonts w:ascii="Calibri" w:hAnsi="Calibri"/>
          <w:sz w:val="24"/>
        </w:rPr>
      </w:pPr>
      <w:r w:rsidRPr="00150EDC">
        <w:rPr>
          <w:rFonts w:ascii="Calibri" w:hAnsi="Calibri"/>
          <w:sz w:val="24"/>
        </w:rPr>
        <w:t>The</w:t>
      </w:r>
      <w:r w:rsidRPr="00150EDC">
        <w:rPr>
          <w:rFonts w:ascii="Calibri" w:hAnsi="Calibri"/>
          <w:spacing w:val="-2"/>
          <w:sz w:val="24"/>
        </w:rPr>
        <w:t xml:space="preserve"> </w:t>
      </w:r>
      <w:r w:rsidRPr="00150EDC">
        <w:rPr>
          <w:rFonts w:ascii="Calibri" w:hAnsi="Calibri"/>
          <w:sz w:val="24"/>
        </w:rPr>
        <w:t>Supplier</w:t>
      </w:r>
      <w:r w:rsidRPr="00150EDC">
        <w:rPr>
          <w:rFonts w:ascii="Calibri" w:hAnsi="Calibri"/>
          <w:spacing w:val="-3"/>
          <w:sz w:val="24"/>
        </w:rPr>
        <w:t xml:space="preserve"> </w:t>
      </w:r>
      <w:r w:rsidRPr="00150EDC">
        <w:rPr>
          <w:rFonts w:ascii="Calibri" w:hAnsi="Calibri"/>
          <w:sz w:val="24"/>
        </w:rPr>
        <w:t>must</w:t>
      </w:r>
      <w:r w:rsidRPr="00150EDC">
        <w:rPr>
          <w:rFonts w:ascii="Calibri" w:hAnsi="Calibri"/>
          <w:spacing w:val="-2"/>
          <w:sz w:val="24"/>
        </w:rPr>
        <w:t xml:space="preserve"> </w:t>
      </w:r>
      <w:r w:rsidRPr="00150EDC">
        <w:rPr>
          <w:rFonts w:ascii="Calibri" w:hAnsi="Calibri"/>
          <w:sz w:val="24"/>
        </w:rPr>
        <w:t>deliver</w:t>
      </w:r>
      <w:r w:rsidRPr="00150EDC">
        <w:rPr>
          <w:rFonts w:ascii="Calibri" w:hAnsi="Calibri"/>
          <w:spacing w:val="-2"/>
          <w:sz w:val="24"/>
        </w:rPr>
        <w:t xml:space="preserve"> </w:t>
      </w:r>
      <w:r w:rsidRPr="00150EDC">
        <w:rPr>
          <w:rFonts w:ascii="Calibri" w:hAnsi="Calibri"/>
          <w:sz w:val="24"/>
        </w:rPr>
        <w:t>the</w:t>
      </w:r>
      <w:r w:rsidRPr="00150EDC">
        <w:rPr>
          <w:rFonts w:ascii="Calibri" w:hAnsi="Calibri"/>
          <w:spacing w:val="-2"/>
          <w:sz w:val="24"/>
        </w:rPr>
        <w:t xml:space="preserve"> </w:t>
      </w:r>
      <w:r w:rsidRPr="00150EDC">
        <w:rPr>
          <w:rFonts w:ascii="Calibri" w:hAnsi="Calibri"/>
          <w:sz w:val="24"/>
        </w:rPr>
        <w:t>Goods</w:t>
      </w:r>
      <w:r w:rsidRPr="00150EDC">
        <w:rPr>
          <w:rFonts w:ascii="Calibri" w:hAnsi="Calibri"/>
          <w:spacing w:val="-4"/>
          <w:sz w:val="24"/>
        </w:rPr>
        <w:t xml:space="preserve"> </w:t>
      </w:r>
      <w:r w:rsidRPr="00150EDC">
        <w:rPr>
          <w:rFonts w:ascii="Calibri" w:hAnsi="Calibri"/>
          <w:sz w:val="24"/>
        </w:rPr>
        <w:t>on</w:t>
      </w:r>
      <w:r w:rsidRPr="00150EDC">
        <w:rPr>
          <w:rFonts w:ascii="Calibri" w:hAnsi="Calibri"/>
          <w:spacing w:val="-2"/>
          <w:sz w:val="24"/>
        </w:rPr>
        <w:t xml:space="preserve"> </w:t>
      </w:r>
      <w:r w:rsidRPr="00150EDC">
        <w:rPr>
          <w:rFonts w:ascii="Calibri" w:hAnsi="Calibri"/>
          <w:sz w:val="24"/>
        </w:rPr>
        <w:t>the</w:t>
      </w:r>
      <w:r w:rsidRPr="00150EDC">
        <w:rPr>
          <w:rFonts w:ascii="Calibri" w:hAnsi="Calibri"/>
          <w:spacing w:val="-2"/>
          <w:sz w:val="24"/>
        </w:rPr>
        <w:t xml:space="preserve"> </w:t>
      </w:r>
      <w:r w:rsidRPr="00150EDC">
        <w:rPr>
          <w:rFonts w:ascii="Calibri" w:hAnsi="Calibri"/>
          <w:sz w:val="24"/>
        </w:rPr>
        <w:t>date</w:t>
      </w:r>
      <w:r w:rsidRPr="00150EDC">
        <w:rPr>
          <w:rFonts w:ascii="Calibri" w:hAnsi="Calibri"/>
          <w:spacing w:val="-6"/>
          <w:sz w:val="24"/>
        </w:rPr>
        <w:t xml:space="preserve"> </w:t>
      </w:r>
      <w:r w:rsidRPr="00150EDC">
        <w:rPr>
          <w:rFonts w:ascii="Calibri" w:hAnsi="Calibri"/>
          <w:sz w:val="24"/>
        </w:rPr>
        <w:t>and</w:t>
      </w:r>
      <w:r w:rsidRPr="00150EDC">
        <w:rPr>
          <w:rFonts w:ascii="Calibri" w:hAnsi="Calibri"/>
          <w:spacing w:val="-3"/>
          <w:sz w:val="24"/>
        </w:rPr>
        <w:t xml:space="preserve"> </w:t>
      </w:r>
      <w:r w:rsidRPr="00150EDC">
        <w:rPr>
          <w:rFonts w:ascii="Calibri" w:hAnsi="Calibri"/>
          <w:sz w:val="24"/>
        </w:rPr>
        <w:t>to</w:t>
      </w:r>
      <w:r w:rsidRPr="00150EDC">
        <w:rPr>
          <w:rFonts w:ascii="Calibri" w:hAnsi="Calibri"/>
          <w:spacing w:val="-4"/>
          <w:sz w:val="24"/>
        </w:rPr>
        <w:t xml:space="preserve"> </w:t>
      </w:r>
      <w:r w:rsidRPr="00150EDC">
        <w:rPr>
          <w:rFonts w:ascii="Calibri" w:hAnsi="Calibri"/>
          <w:sz w:val="24"/>
        </w:rPr>
        <w:t>the</w:t>
      </w:r>
      <w:r w:rsidRPr="00150EDC">
        <w:rPr>
          <w:rFonts w:ascii="Calibri" w:hAnsi="Calibri"/>
          <w:spacing w:val="-2"/>
          <w:sz w:val="24"/>
        </w:rPr>
        <w:t xml:space="preserve"> </w:t>
      </w:r>
      <w:r w:rsidRPr="00150EDC">
        <w:rPr>
          <w:rFonts w:ascii="Calibri" w:hAnsi="Calibri"/>
          <w:sz w:val="24"/>
        </w:rPr>
        <w:t>specified</w:t>
      </w:r>
      <w:r w:rsidRPr="00150EDC">
        <w:rPr>
          <w:rFonts w:ascii="Calibri" w:hAnsi="Calibri"/>
          <w:spacing w:val="-2"/>
          <w:sz w:val="24"/>
        </w:rPr>
        <w:t xml:space="preserve"> </w:t>
      </w:r>
      <w:r w:rsidRPr="00150EDC">
        <w:rPr>
          <w:rFonts w:ascii="Calibri" w:hAnsi="Calibri"/>
          <w:sz w:val="24"/>
        </w:rPr>
        <w:t>location</w:t>
      </w:r>
      <w:r w:rsidRPr="00150EDC">
        <w:rPr>
          <w:rFonts w:ascii="Calibri" w:hAnsi="Calibri"/>
          <w:spacing w:val="-3"/>
          <w:sz w:val="24"/>
        </w:rPr>
        <w:t xml:space="preserve"> </w:t>
      </w:r>
      <w:r w:rsidRPr="00150EDC">
        <w:rPr>
          <w:rFonts w:ascii="Calibri" w:hAnsi="Calibri"/>
          <w:sz w:val="24"/>
        </w:rPr>
        <w:t>during</w:t>
      </w:r>
      <w:r w:rsidRPr="00150EDC">
        <w:rPr>
          <w:rFonts w:ascii="Calibri" w:hAnsi="Calibri"/>
          <w:spacing w:val="-4"/>
          <w:sz w:val="24"/>
        </w:rPr>
        <w:t xml:space="preserve"> </w:t>
      </w:r>
      <w:r w:rsidRPr="00150EDC">
        <w:rPr>
          <w:rFonts w:ascii="Calibri" w:hAnsi="Calibri"/>
          <w:sz w:val="24"/>
        </w:rPr>
        <w:t>the</w:t>
      </w:r>
      <w:r w:rsidRPr="00150EDC">
        <w:rPr>
          <w:rFonts w:ascii="Calibri" w:hAnsi="Calibri"/>
          <w:spacing w:val="-2"/>
          <w:sz w:val="24"/>
        </w:rPr>
        <w:t xml:space="preserve"> </w:t>
      </w:r>
      <w:r w:rsidRPr="00150EDC">
        <w:rPr>
          <w:rFonts w:ascii="Calibri" w:hAnsi="Calibri"/>
          <w:sz w:val="24"/>
        </w:rPr>
        <w:t>Buyer’s working hours.</w:t>
      </w:r>
    </w:p>
    <w:p w14:paraId="1DE5FC01" w14:textId="77777777" w:rsidR="004C7180" w:rsidRPr="00150EDC" w:rsidRDefault="004C7180">
      <w:pPr>
        <w:spacing w:line="242" w:lineRule="auto"/>
        <w:rPr>
          <w:rFonts w:ascii="Calibri" w:hAnsi="Calibri"/>
          <w:sz w:val="24"/>
        </w:rPr>
        <w:sectPr w:rsidR="004C7180" w:rsidRPr="00150EDC">
          <w:pgSz w:w="11910" w:h="16840"/>
          <w:pgMar w:top="620" w:right="0" w:bottom="2460" w:left="40" w:header="403" w:footer="2245" w:gutter="0"/>
          <w:cols w:space="720"/>
        </w:sectPr>
      </w:pPr>
    </w:p>
    <w:p w14:paraId="1B0163F8" w14:textId="77777777" w:rsidR="004C7180" w:rsidRPr="00150EDC" w:rsidRDefault="004C7180">
      <w:pPr>
        <w:pStyle w:val="BodyText"/>
        <w:rPr>
          <w:rFonts w:ascii="Calibri"/>
          <w:sz w:val="20"/>
        </w:rPr>
      </w:pPr>
    </w:p>
    <w:p w14:paraId="1F64DE03" w14:textId="77777777" w:rsidR="004C7180" w:rsidRPr="00150EDC" w:rsidRDefault="004C7180">
      <w:pPr>
        <w:pStyle w:val="BodyText"/>
        <w:spacing w:before="1"/>
        <w:rPr>
          <w:rFonts w:ascii="Calibri"/>
          <w:sz w:val="22"/>
        </w:rPr>
      </w:pPr>
    </w:p>
    <w:p w14:paraId="7BA5E66A" w14:textId="77777777" w:rsidR="004C7180" w:rsidRPr="00150EDC" w:rsidRDefault="00CF0754" w:rsidP="00B320C7">
      <w:pPr>
        <w:pStyle w:val="ListParagraph"/>
        <w:numPr>
          <w:ilvl w:val="2"/>
          <w:numId w:val="182"/>
        </w:numPr>
        <w:tabs>
          <w:tab w:val="left" w:pos="1208"/>
        </w:tabs>
        <w:spacing w:before="52"/>
        <w:ind w:right="760" w:hanging="720"/>
        <w:rPr>
          <w:rFonts w:ascii="Calibri"/>
          <w:sz w:val="24"/>
        </w:rPr>
      </w:pPr>
      <w:r w:rsidRPr="00150EDC">
        <w:rPr>
          <w:rFonts w:ascii="Calibri"/>
          <w:sz w:val="24"/>
        </w:rPr>
        <w:t>The</w:t>
      </w:r>
      <w:r w:rsidRPr="00150EDC">
        <w:rPr>
          <w:rFonts w:ascii="Calibri"/>
          <w:spacing w:val="-2"/>
          <w:sz w:val="24"/>
        </w:rPr>
        <w:t xml:space="preserve"> </w:t>
      </w:r>
      <w:r w:rsidRPr="00150EDC">
        <w:rPr>
          <w:rFonts w:ascii="Calibri"/>
          <w:sz w:val="24"/>
        </w:rPr>
        <w:t>Supplier</w:t>
      </w:r>
      <w:r w:rsidRPr="00150EDC">
        <w:rPr>
          <w:rFonts w:ascii="Calibri"/>
          <w:spacing w:val="-4"/>
          <w:sz w:val="24"/>
        </w:rPr>
        <w:t xml:space="preserve"> </w:t>
      </w:r>
      <w:r w:rsidRPr="00150EDC">
        <w:rPr>
          <w:rFonts w:ascii="Calibri"/>
          <w:sz w:val="24"/>
        </w:rPr>
        <w:t>must</w:t>
      </w:r>
      <w:r w:rsidRPr="00150EDC">
        <w:rPr>
          <w:rFonts w:ascii="Calibri"/>
          <w:spacing w:val="-2"/>
          <w:sz w:val="24"/>
        </w:rPr>
        <w:t xml:space="preserve"> </w:t>
      </w:r>
      <w:r w:rsidRPr="00150EDC">
        <w:rPr>
          <w:rFonts w:ascii="Calibri"/>
          <w:sz w:val="24"/>
        </w:rPr>
        <w:t>provide</w:t>
      </w:r>
      <w:r w:rsidRPr="00150EDC">
        <w:rPr>
          <w:rFonts w:ascii="Calibri"/>
          <w:spacing w:val="-2"/>
          <w:sz w:val="24"/>
        </w:rPr>
        <w:t xml:space="preserve"> </w:t>
      </w:r>
      <w:r w:rsidRPr="00150EDC">
        <w:rPr>
          <w:rFonts w:ascii="Calibri"/>
          <w:sz w:val="24"/>
        </w:rPr>
        <w:t>sufficient</w:t>
      </w:r>
      <w:r w:rsidRPr="00150EDC">
        <w:rPr>
          <w:rFonts w:ascii="Calibri"/>
          <w:spacing w:val="-4"/>
          <w:sz w:val="24"/>
        </w:rPr>
        <w:t xml:space="preserve"> </w:t>
      </w:r>
      <w:r w:rsidRPr="00150EDC">
        <w:rPr>
          <w:rFonts w:ascii="Calibri"/>
          <w:sz w:val="24"/>
        </w:rPr>
        <w:t>packaging</w:t>
      </w:r>
      <w:r w:rsidRPr="00150EDC">
        <w:rPr>
          <w:rFonts w:ascii="Calibri"/>
          <w:spacing w:val="-3"/>
          <w:sz w:val="24"/>
        </w:rPr>
        <w:t xml:space="preserve"> </w:t>
      </w:r>
      <w:r w:rsidRPr="00150EDC">
        <w:rPr>
          <w:rFonts w:ascii="Calibri"/>
          <w:sz w:val="24"/>
        </w:rPr>
        <w:t>for</w:t>
      </w:r>
      <w:r w:rsidRPr="00150EDC">
        <w:rPr>
          <w:rFonts w:ascii="Calibri"/>
          <w:spacing w:val="-4"/>
          <w:sz w:val="24"/>
        </w:rPr>
        <w:t xml:space="preserve"> </w:t>
      </w:r>
      <w:r w:rsidRPr="00150EDC">
        <w:rPr>
          <w:rFonts w:ascii="Calibri"/>
          <w:sz w:val="24"/>
        </w:rPr>
        <w:t>the</w:t>
      </w:r>
      <w:r w:rsidRPr="00150EDC">
        <w:rPr>
          <w:rFonts w:ascii="Calibri"/>
          <w:spacing w:val="-2"/>
          <w:sz w:val="24"/>
        </w:rPr>
        <w:t xml:space="preserve"> </w:t>
      </w:r>
      <w:r w:rsidRPr="00150EDC">
        <w:rPr>
          <w:rFonts w:ascii="Calibri"/>
          <w:sz w:val="24"/>
        </w:rPr>
        <w:t>Goods</w:t>
      </w:r>
      <w:r w:rsidRPr="00150EDC">
        <w:rPr>
          <w:rFonts w:ascii="Calibri"/>
          <w:spacing w:val="-5"/>
          <w:sz w:val="24"/>
        </w:rPr>
        <w:t xml:space="preserve"> </w:t>
      </w:r>
      <w:r w:rsidRPr="00150EDC">
        <w:rPr>
          <w:rFonts w:ascii="Calibri"/>
          <w:sz w:val="24"/>
        </w:rPr>
        <w:t>to</w:t>
      </w:r>
      <w:r w:rsidRPr="00150EDC">
        <w:rPr>
          <w:rFonts w:ascii="Calibri"/>
          <w:spacing w:val="-2"/>
          <w:sz w:val="24"/>
        </w:rPr>
        <w:t xml:space="preserve"> </w:t>
      </w:r>
      <w:r w:rsidRPr="00150EDC">
        <w:rPr>
          <w:rFonts w:ascii="Calibri"/>
          <w:sz w:val="24"/>
        </w:rPr>
        <w:t>reach</w:t>
      </w:r>
      <w:r w:rsidRPr="00150EDC">
        <w:rPr>
          <w:rFonts w:ascii="Calibri"/>
          <w:spacing w:val="-4"/>
          <w:sz w:val="24"/>
        </w:rPr>
        <w:t xml:space="preserve"> </w:t>
      </w:r>
      <w:r w:rsidRPr="00150EDC">
        <w:rPr>
          <w:rFonts w:ascii="Calibri"/>
          <w:sz w:val="24"/>
        </w:rPr>
        <w:t>the</w:t>
      </w:r>
      <w:r w:rsidRPr="00150EDC">
        <w:rPr>
          <w:rFonts w:ascii="Calibri"/>
          <w:spacing w:val="-4"/>
          <w:sz w:val="24"/>
        </w:rPr>
        <w:t xml:space="preserve"> </w:t>
      </w:r>
      <w:r w:rsidRPr="00150EDC">
        <w:rPr>
          <w:rFonts w:ascii="Calibri"/>
          <w:sz w:val="24"/>
        </w:rPr>
        <w:t>point</w:t>
      </w:r>
      <w:r w:rsidRPr="00150EDC">
        <w:rPr>
          <w:rFonts w:ascii="Calibri"/>
          <w:spacing w:val="-2"/>
          <w:sz w:val="24"/>
        </w:rPr>
        <w:t xml:space="preserve"> </w:t>
      </w:r>
      <w:r w:rsidRPr="00150EDC">
        <w:rPr>
          <w:rFonts w:ascii="Calibri"/>
          <w:sz w:val="24"/>
        </w:rPr>
        <w:t>of</w:t>
      </w:r>
      <w:r w:rsidRPr="00150EDC">
        <w:rPr>
          <w:rFonts w:ascii="Calibri"/>
          <w:spacing w:val="-4"/>
          <w:sz w:val="24"/>
        </w:rPr>
        <w:t xml:space="preserve"> </w:t>
      </w:r>
      <w:r w:rsidRPr="00150EDC">
        <w:rPr>
          <w:rFonts w:ascii="Calibri"/>
          <w:sz w:val="24"/>
        </w:rPr>
        <w:t>Delivery</w:t>
      </w:r>
      <w:r w:rsidRPr="00150EDC">
        <w:rPr>
          <w:rFonts w:ascii="Calibri"/>
          <w:spacing w:val="-3"/>
          <w:sz w:val="24"/>
        </w:rPr>
        <w:t xml:space="preserve"> </w:t>
      </w:r>
      <w:r w:rsidRPr="00150EDC">
        <w:rPr>
          <w:rFonts w:ascii="Calibri"/>
          <w:sz w:val="24"/>
        </w:rPr>
        <w:t>safely</w:t>
      </w:r>
      <w:r w:rsidRPr="00150EDC">
        <w:rPr>
          <w:rFonts w:ascii="Calibri"/>
          <w:spacing w:val="-3"/>
          <w:sz w:val="24"/>
        </w:rPr>
        <w:t xml:space="preserve"> </w:t>
      </w:r>
      <w:r w:rsidRPr="00150EDC">
        <w:rPr>
          <w:rFonts w:ascii="Calibri"/>
          <w:sz w:val="24"/>
        </w:rPr>
        <w:t xml:space="preserve">and </w:t>
      </w:r>
      <w:r w:rsidRPr="00150EDC">
        <w:rPr>
          <w:rFonts w:ascii="Calibri"/>
          <w:spacing w:val="-2"/>
          <w:sz w:val="24"/>
        </w:rPr>
        <w:t>undamaged.</w:t>
      </w:r>
    </w:p>
    <w:p w14:paraId="26855BBB" w14:textId="77777777" w:rsidR="004C7180" w:rsidRPr="00150EDC" w:rsidRDefault="004C7180">
      <w:pPr>
        <w:pStyle w:val="BodyText"/>
        <w:rPr>
          <w:rFonts w:ascii="Calibri"/>
        </w:rPr>
      </w:pPr>
    </w:p>
    <w:p w14:paraId="651CEC13" w14:textId="77777777" w:rsidR="004C7180" w:rsidRPr="00150EDC" w:rsidRDefault="00CF0754" w:rsidP="00B320C7">
      <w:pPr>
        <w:pStyle w:val="ListParagraph"/>
        <w:numPr>
          <w:ilvl w:val="2"/>
          <w:numId w:val="182"/>
        </w:numPr>
        <w:tabs>
          <w:tab w:val="left" w:pos="1208"/>
        </w:tabs>
        <w:ind w:right="682" w:hanging="720"/>
        <w:rPr>
          <w:rFonts w:ascii="Calibri"/>
          <w:sz w:val="24"/>
        </w:rPr>
      </w:pPr>
      <w:r w:rsidRPr="00150EDC">
        <w:rPr>
          <w:rFonts w:ascii="Calibri"/>
          <w:sz w:val="24"/>
        </w:rPr>
        <w:t>All</w:t>
      </w:r>
      <w:r w:rsidRPr="00150EDC">
        <w:rPr>
          <w:rFonts w:ascii="Calibri"/>
          <w:spacing w:val="-1"/>
          <w:sz w:val="24"/>
        </w:rPr>
        <w:t xml:space="preserve"> </w:t>
      </w:r>
      <w:r w:rsidRPr="00150EDC">
        <w:rPr>
          <w:rFonts w:ascii="Calibri"/>
          <w:sz w:val="24"/>
        </w:rPr>
        <w:t>deliveries</w:t>
      </w:r>
      <w:r w:rsidRPr="00150EDC">
        <w:rPr>
          <w:rFonts w:ascii="Calibri"/>
          <w:spacing w:val="-1"/>
          <w:sz w:val="24"/>
        </w:rPr>
        <w:t xml:space="preserve"> </w:t>
      </w:r>
      <w:r w:rsidRPr="00150EDC">
        <w:rPr>
          <w:rFonts w:ascii="Calibri"/>
          <w:sz w:val="24"/>
        </w:rPr>
        <w:t>must</w:t>
      </w:r>
      <w:r w:rsidRPr="00150EDC">
        <w:rPr>
          <w:rFonts w:ascii="Calibri"/>
          <w:spacing w:val="-3"/>
          <w:sz w:val="24"/>
        </w:rPr>
        <w:t xml:space="preserve"> </w:t>
      </w:r>
      <w:r w:rsidRPr="00150EDC">
        <w:rPr>
          <w:rFonts w:ascii="Calibri"/>
          <w:sz w:val="24"/>
        </w:rPr>
        <w:t>have</w:t>
      </w:r>
      <w:r w:rsidRPr="00150EDC">
        <w:rPr>
          <w:rFonts w:ascii="Calibri"/>
          <w:spacing w:val="-6"/>
          <w:sz w:val="24"/>
        </w:rPr>
        <w:t xml:space="preserve"> </w:t>
      </w:r>
      <w:r w:rsidRPr="00150EDC">
        <w:rPr>
          <w:rFonts w:ascii="Calibri"/>
          <w:sz w:val="24"/>
        </w:rPr>
        <w:t>a</w:t>
      </w:r>
      <w:r w:rsidRPr="00150EDC">
        <w:rPr>
          <w:rFonts w:ascii="Calibri"/>
          <w:spacing w:val="-2"/>
          <w:sz w:val="24"/>
        </w:rPr>
        <w:t xml:space="preserve"> </w:t>
      </w:r>
      <w:r w:rsidRPr="00150EDC">
        <w:rPr>
          <w:rFonts w:ascii="Calibri"/>
          <w:sz w:val="24"/>
        </w:rPr>
        <w:t>delivery</w:t>
      </w:r>
      <w:r w:rsidRPr="00150EDC">
        <w:rPr>
          <w:rFonts w:ascii="Calibri"/>
          <w:spacing w:val="-5"/>
          <w:sz w:val="24"/>
        </w:rPr>
        <w:t xml:space="preserve"> </w:t>
      </w:r>
      <w:r w:rsidRPr="00150EDC">
        <w:rPr>
          <w:rFonts w:ascii="Calibri"/>
          <w:sz w:val="24"/>
        </w:rPr>
        <w:t>note</w:t>
      </w:r>
      <w:r w:rsidRPr="00150EDC">
        <w:rPr>
          <w:rFonts w:ascii="Calibri"/>
          <w:spacing w:val="-3"/>
          <w:sz w:val="24"/>
        </w:rPr>
        <w:t xml:space="preserve"> </w:t>
      </w:r>
      <w:r w:rsidRPr="00150EDC">
        <w:rPr>
          <w:rFonts w:ascii="Calibri"/>
          <w:sz w:val="24"/>
        </w:rPr>
        <w:t>attached</w:t>
      </w:r>
      <w:r w:rsidRPr="00150EDC">
        <w:rPr>
          <w:rFonts w:ascii="Calibri"/>
          <w:spacing w:val="-3"/>
          <w:sz w:val="24"/>
        </w:rPr>
        <w:t xml:space="preserve"> </w:t>
      </w:r>
      <w:r w:rsidRPr="00150EDC">
        <w:rPr>
          <w:rFonts w:ascii="Calibri"/>
          <w:sz w:val="24"/>
        </w:rPr>
        <w:t>that</w:t>
      </w:r>
      <w:r w:rsidRPr="00150EDC">
        <w:rPr>
          <w:rFonts w:ascii="Calibri"/>
          <w:spacing w:val="-1"/>
          <w:sz w:val="24"/>
        </w:rPr>
        <w:t xml:space="preserve"> </w:t>
      </w:r>
      <w:r w:rsidRPr="00150EDC">
        <w:rPr>
          <w:rFonts w:ascii="Calibri"/>
          <w:sz w:val="24"/>
        </w:rPr>
        <w:t>specifies</w:t>
      </w:r>
      <w:r w:rsidRPr="00150EDC">
        <w:rPr>
          <w:rFonts w:ascii="Calibri"/>
          <w:spacing w:val="-4"/>
          <w:sz w:val="24"/>
        </w:rPr>
        <w:t xml:space="preserve"> </w:t>
      </w:r>
      <w:r w:rsidRPr="00150EDC">
        <w:rPr>
          <w:rFonts w:ascii="Calibri"/>
          <w:sz w:val="24"/>
        </w:rPr>
        <w:t>the</w:t>
      </w:r>
      <w:r w:rsidRPr="00150EDC">
        <w:rPr>
          <w:rFonts w:ascii="Calibri"/>
          <w:spacing w:val="-1"/>
          <w:sz w:val="24"/>
        </w:rPr>
        <w:t xml:space="preserve"> </w:t>
      </w:r>
      <w:r w:rsidRPr="00150EDC">
        <w:rPr>
          <w:rFonts w:ascii="Calibri"/>
          <w:sz w:val="24"/>
        </w:rPr>
        <w:t>order</w:t>
      </w:r>
      <w:r w:rsidRPr="00150EDC">
        <w:rPr>
          <w:rFonts w:ascii="Calibri"/>
          <w:spacing w:val="-3"/>
          <w:sz w:val="24"/>
        </w:rPr>
        <w:t xml:space="preserve"> </w:t>
      </w:r>
      <w:r w:rsidRPr="00150EDC">
        <w:rPr>
          <w:rFonts w:ascii="Calibri"/>
          <w:sz w:val="24"/>
        </w:rPr>
        <w:t>number,</w:t>
      </w:r>
      <w:r w:rsidRPr="00150EDC">
        <w:rPr>
          <w:rFonts w:ascii="Calibri"/>
          <w:spacing w:val="-4"/>
          <w:sz w:val="24"/>
        </w:rPr>
        <w:t xml:space="preserve"> </w:t>
      </w:r>
      <w:r w:rsidRPr="00150EDC">
        <w:rPr>
          <w:rFonts w:ascii="Calibri"/>
          <w:sz w:val="24"/>
        </w:rPr>
        <w:t>type</w:t>
      </w:r>
      <w:r w:rsidRPr="00150EDC">
        <w:rPr>
          <w:rFonts w:ascii="Calibri"/>
          <w:spacing w:val="-1"/>
          <w:sz w:val="24"/>
        </w:rPr>
        <w:t xml:space="preserve"> </w:t>
      </w:r>
      <w:r w:rsidRPr="00150EDC">
        <w:rPr>
          <w:rFonts w:ascii="Calibri"/>
          <w:sz w:val="24"/>
        </w:rPr>
        <w:t>and</w:t>
      </w:r>
      <w:r w:rsidRPr="00150EDC">
        <w:rPr>
          <w:rFonts w:ascii="Calibri"/>
          <w:spacing w:val="-3"/>
          <w:sz w:val="24"/>
        </w:rPr>
        <w:t xml:space="preserve"> </w:t>
      </w:r>
      <w:r w:rsidRPr="00150EDC">
        <w:rPr>
          <w:rFonts w:ascii="Calibri"/>
          <w:sz w:val="24"/>
        </w:rPr>
        <w:t>quantity</w:t>
      </w:r>
      <w:r w:rsidRPr="00150EDC">
        <w:rPr>
          <w:rFonts w:ascii="Calibri"/>
          <w:spacing w:val="-2"/>
          <w:sz w:val="24"/>
        </w:rPr>
        <w:t xml:space="preserve"> </w:t>
      </w:r>
      <w:r w:rsidRPr="00150EDC">
        <w:rPr>
          <w:rFonts w:ascii="Calibri"/>
          <w:sz w:val="24"/>
        </w:rPr>
        <w:t xml:space="preserve">of </w:t>
      </w:r>
      <w:r w:rsidRPr="00150EDC">
        <w:rPr>
          <w:rFonts w:ascii="Calibri"/>
          <w:spacing w:val="-2"/>
          <w:sz w:val="24"/>
        </w:rPr>
        <w:t>Goods.</w:t>
      </w:r>
    </w:p>
    <w:p w14:paraId="21997842" w14:textId="77777777" w:rsidR="004C7180" w:rsidRPr="00150EDC" w:rsidRDefault="004C7180">
      <w:pPr>
        <w:pStyle w:val="BodyText"/>
        <w:spacing w:before="11"/>
        <w:rPr>
          <w:rFonts w:ascii="Calibri"/>
          <w:sz w:val="23"/>
        </w:rPr>
      </w:pPr>
    </w:p>
    <w:p w14:paraId="17A75046" w14:textId="77777777" w:rsidR="004C7180" w:rsidRPr="00150EDC" w:rsidRDefault="00CF0754" w:rsidP="00B320C7">
      <w:pPr>
        <w:pStyle w:val="ListParagraph"/>
        <w:numPr>
          <w:ilvl w:val="2"/>
          <w:numId w:val="182"/>
        </w:numPr>
        <w:tabs>
          <w:tab w:val="left" w:pos="1208"/>
        </w:tabs>
        <w:ind w:right="866" w:hanging="720"/>
        <w:rPr>
          <w:rFonts w:ascii="Calibri"/>
          <w:sz w:val="24"/>
        </w:rPr>
      </w:pPr>
      <w:r w:rsidRPr="00150EDC">
        <w:rPr>
          <w:rFonts w:ascii="Calibri"/>
          <w:sz w:val="24"/>
        </w:rPr>
        <w:t>The</w:t>
      </w:r>
      <w:r w:rsidRPr="00150EDC">
        <w:rPr>
          <w:rFonts w:ascii="Calibri"/>
          <w:spacing w:val="-2"/>
          <w:sz w:val="24"/>
        </w:rPr>
        <w:t xml:space="preserve"> </w:t>
      </w:r>
      <w:r w:rsidRPr="00150EDC">
        <w:rPr>
          <w:rFonts w:ascii="Calibri"/>
          <w:sz w:val="24"/>
        </w:rPr>
        <w:t>Supplier</w:t>
      </w:r>
      <w:r w:rsidRPr="00150EDC">
        <w:rPr>
          <w:rFonts w:ascii="Calibri"/>
          <w:spacing w:val="-4"/>
          <w:sz w:val="24"/>
        </w:rPr>
        <w:t xml:space="preserve"> </w:t>
      </w:r>
      <w:r w:rsidRPr="00150EDC">
        <w:rPr>
          <w:rFonts w:ascii="Calibri"/>
          <w:sz w:val="24"/>
        </w:rPr>
        <w:t>must</w:t>
      </w:r>
      <w:r w:rsidRPr="00150EDC">
        <w:rPr>
          <w:rFonts w:ascii="Calibri"/>
          <w:spacing w:val="-2"/>
          <w:sz w:val="24"/>
        </w:rPr>
        <w:t xml:space="preserve"> </w:t>
      </w:r>
      <w:r w:rsidRPr="00150EDC">
        <w:rPr>
          <w:rFonts w:ascii="Calibri"/>
          <w:sz w:val="24"/>
        </w:rPr>
        <w:t>provide</w:t>
      </w:r>
      <w:r w:rsidRPr="00150EDC">
        <w:rPr>
          <w:rFonts w:ascii="Calibri"/>
          <w:spacing w:val="-2"/>
          <w:sz w:val="24"/>
        </w:rPr>
        <w:t xml:space="preserve"> </w:t>
      </w:r>
      <w:r w:rsidRPr="00150EDC">
        <w:rPr>
          <w:rFonts w:ascii="Calibri"/>
          <w:sz w:val="24"/>
        </w:rPr>
        <w:t>all</w:t>
      </w:r>
      <w:r w:rsidRPr="00150EDC">
        <w:rPr>
          <w:rFonts w:ascii="Calibri"/>
          <w:spacing w:val="-5"/>
          <w:sz w:val="24"/>
        </w:rPr>
        <w:t xml:space="preserve"> </w:t>
      </w:r>
      <w:r w:rsidRPr="00150EDC">
        <w:rPr>
          <w:rFonts w:ascii="Calibri"/>
          <w:sz w:val="24"/>
        </w:rPr>
        <w:t>tools,</w:t>
      </w:r>
      <w:r w:rsidRPr="00150EDC">
        <w:rPr>
          <w:rFonts w:ascii="Calibri"/>
          <w:spacing w:val="-5"/>
          <w:sz w:val="24"/>
        </w:rPr>
        <w:t xml:space="preserve"> </w:t>
      </w:r>
      <w:r w:rsidRPr="00150EDC">
        <w:rPr>
          <w:rFonts w:ascii="Calibri"/>
          <w:sz w:val="24"/>
        </w:rPr>
        <w:t>information</w:t>
      </w:r>
      <w:r w:rsidRPr="00150EDC">
        <w:rPr>
          <w:rFonts w:ascii="Calibri"/>
          <w:spacing w:val="-4"/>
          <w:sz w:val="24"/>
        </w:rPr>
        <w:t xml:space="preserve"> </w:t>
      </w:r>
      <w:r w:rsidRPr="00150EDC">
        <w:rPr>
          <w:rFonts w:ascii="Calibri"/>
          <w:sz w:val="24"/>
        </w:rPr>
        <w:t>and</w:t>
      </w:r>
      <w:r w:rsidRPr="00150EDC">
        <w:rPr>
          <w:rFonts w:ascii="Calibri"/>
          <w:spacing w:val="-2"/>
          <w:sz w:val="24"/>
        </w:rPr>
        <w:t xml:space="preserve"> </w:t>
      </w:r>
      <w:r w:rsidRPr="00150EDC">
        <w:rPr>
          <w:rFonts w:ascii="Calibri"/>
          <w:sz w:val="24"/>
        </w:rPr>
        <w:t>instructions</w:t>
      </w:r>
      <w:r w:rsidRPr="00150EDC">
        <w:rPr>
          <w:rFonts w:ascii="Calibri"/>
          <w:spacing w:val="-5"/>
          <w:sz w:val="24"/>
        </w:rPr>
        <w:t xml:space="preserve"> </w:t>
      </w:r>
      <w:r w:rsidRPr="00150EDC">
        <w:rPr>
          <w:rFonts w:ascii="Calibri"/>
          <w:sz w:val="24"/>
        </w:rPr>
        <w:t>the</w:t>
      </w:r>
      <w:r w:rsidRPr="00150EDC">
        <w:rPr>
          <w:rFonts w:ascii="Calibri"/>
          <w:spacing w:val="-5"/>
          <w:sz w:val="24"/>
        </w:rPr>
        <w:t xml:space="preserve"> </w:t>
      </w:r>
      <w:r w:rsidRPr="00150EDC">
        <w:rPr>
          <w:rFonts w:ascii="Calibri"/>
          <w:sz w:val="24"/>
        </w:rPr>
        <w:t>Buyer</w:t>
      </w:r>
      <w:r w:rsidRPr="00150EDC">
        <w:rPr>
          <w:rFonts w:ascii="Calibri"/>
          <w:spacing w:val="-2"/>
          <w:sz w:val="24"/>
        </w:rPr>
        <w:t xml:space="preserve"> </w:t>
      </w:r>
      <w:r w:rsidRPr="00150EDC">
        <w:rPr>
          <w:rFonts w:ascii="Calibri"/>
          <w:sz w:val="24"/>
        </w:rPr>
        <w:t>needs</w:t>
      </w:r>
      <w:r w:rsidRPr="00150EDC">
        <w:rPr>
          <w:rFonts w:ascii="Calibri"/>
          <w:spacing w:val="-5"/>
          <w:sz w:val="24"/>
        </w:rPr>
        <w:t xml:space="preserve"> </w:t>
      </w:r>
      <w:r w:rsidRPr="00150EDC">
        <w:rPr>
          <w:rFonts w:ascii="Calibri"/>
          <w:sz w:val="24"/>
        </w:rPr>
        <w:t>to</w:t>
      </w:r>
      <w:r w:rsidRPr="00150EDC">
        <w:rPr>
          <w:rFonts w:ascii="Calibri"/>
          <w:spacing w:val="-2"/>
          <w:sz w:val="24"/>
        </w:rPr>
        <w:t xml:space="preserve"> </w:t>
      </w:r>
      <w:r w:rsidRPr="00150EDC">
        <w:rPr>
          <w:rFonts w:ascii="Calibri"/>
          <w:sz w:val="24"/>
        </w:rPr>
        <w:t>make</w:t>
      </w:r>
      <w:r w:rsidRPr="00150EDC">
        <w:rPr>
          <w:rFonts w:ascii="Calibri"/>
          <w:spacing w:val="-2"/>
          <w:sz w:val="24"/>
        </w:rPr>
        <w:t xml:space="preserve"> </w:t>
      </w:r>
      <w:r w:rsidRPr="00150EDC">
        <w:rPr>
          <w:rFonts w:ascii="Calibri"/>
          <w:sz w:val="24"/>
        </w:rPr>
        <w:t>use</w:t>
      </w:r>
      <w:r w:rsidRPr="00150EDC">
        <w:rPr>
          <w:rFonts w:ascii="Calibri"/>
          <w:spacing w:val="-5"/>
          <w:sz w:val="24"/>
        </w:rPr>
        <w:t xml:space="preserve"> </w:t>
      </w:r>
      <w:r w:rsidRPr="00150EDC">
        <w:rPr>
          <w:rFonts w:ascii="Calibri"/>
          <w:sz w:val="24"/>
        </w:rPr>
        <w:t>of</w:t>
      </w:r>
      <w:r w:rsidRPr="00150EDC">
        <w:rPr>
          <w:rFonts w:ascii="Calibri"/>
          <w:spacing w:val="-4"/>
          <w:sz w:val="24"/>
        </w:rPr>
        <w:t xml:space="preserve"> </w:t>
      </w:r>
      <w:r w:rsidRPr="00150EDC">
        <w:rPr>
          <w:rFonts w:ascii="Calibri"/>
          <w:sz w:val="24"/>
        </w:rPr>
        <w:t xml:space="preserve">the </w:t>
      </w:r>
      <w:r w:rsidRPr="00150EDC">
        <w:rPr>
          <w:rFonts w:ascii="Calibri"/>
          <w:spacing w:val="-2"/>
          <w:sz w:val="24"/>
        </w:rPr>
        <w:t>Goods.</w:t>
      </w:r>
    </w:p>
    <w:p w14:paraId="08BF4E2C" w14:textId="77777777" w:rsidR="004C7180" w:rsidRPr="00150EDC" w:rsidRDefault="004C7180">
      <w:pPr>
        <w:pStyle w:val="BodyText"/>
        <w:rPr>
          <w:rFonts w:ascii="Calibri"/>
        </w:rPr>
      </w:pPr>
    </w:p>
    <w:p w14:paraId="2E269F10" w14:textId="77777777" w:rsidR="004C7180" w:rsidRPr="00150EDC" w:rsidRDefault="00CF0754" w:rsidP="00B320C7">
      <w:pPr>
        <w:pStyle w:val="ListParagraph"/>
        <w:numPr>
          <w:ilvl w:val="2"/>
          <w:numId w:val="182"/>
        </w:numPr>
        <w:tabs>
          <w:tab w:val="left" w:pos="1206"/>
          <w:tab w:val="left" w:pos="1208"/>
        </w:tabs>
        <w:spacing w:line="242" w:lineRule="auto"/>
        <w:ind w:right="785" w:hanging="720"/>
        <w:rPr>
          <w:rFonts w:ascii="Calibri"/>
          <w:sz w:val="24"/>
        </w:rPr>
      </w:pPr>
      <w:r w:rsidRPr="00150EDC">
        <w:rPr>
          <w:rFonts w:ascii="Calibri"/>
          <w:sz w:val="24"/>
        </w:rPr>
        <w:t>The</w:t>
      </w:r>
      <w:r w:rsidRPr="00150EDC">
        <w:rPr>
          <w:rFonts w:ascii="Calibri"/>
          <w:spacing w:val="-1"/>
          <w:sz w:val="24"/>
        </w:rPr>
        <w:t xml:space="preserve"> </w:t>
      </w:r>
      <w:r w:rsidRPr="00150EDC">
        <w:rPr>
          <w:rFonts w:ascii="Calibri"/>
          <w:sz w:val="24"/>
        </w:rPr>
        <w:t>Supplier</w:t>
      </w:r>
      <w:r w:rsidRPr="00150EDC">
        <w:rPr>
          <w:rFonts w:ascii="Calibri"/>
          <w:spacing w:val="-3"/>
          <w:sz w:val="24"/>
        </w:rPr>
        <w:t xml:space="preserve"> </w:t>
      </w:r>
      <w:r w:rsidRPr="00150EDC">
        <w:rPr>
          <w:rFonts w:ascii="Calibri"/>
          <w:sz w:val="24"/>
        </w:rPr>
        <w:t>must</w:t>
      </w:r>
      <w:r w:rsidRPr="00150EDC">
        <w:rPr>
          <w:rFonts w:ascii="Calibri"/>
          <w:spacing w:val="-1"/>
          <w:sz w:val="24"/>
        </w:rPr>
        <w:t xml:space="preserve"> </w:t>
      </w:r>
      <w:r w:rsidRPr="00150EDC">
        <w:rPr>
          <w:rFonts w:ascii="Calibri"/>
          <w:sz w:val="24"/>
        </w:rPr>
        <w:t>indemnify</w:t>
      </w:r>
      <w:r w:rsidRPr="00150EDC">
        <w:rPr>
          <w:rFonts w:ascii="Calibri"/>
          <w:spacing w:val="-5"/>
          <w:sz w:val="24"/>
        </w:rPr>
        <w:t xml:space="preserve"> </w:t>
      </w:r>
      <w:r w:rsidRPr="00150EDC">
        <w:rPr>
          <w:rFonts w:ascii="Calibri"/>
          <w:sz w:val="24"/>
        </w:rPr>
        <w:t>the</w:t>
      </w:r>
      <w:r w:rsidRPr="00150EDC">
        <w:rPr>
          <w:rFonts w:ascii="Calibri"/>
          <w:spacing w:val="-4"/>
          <w:sz w:val="24"/>
        </w:rPr>
        <w:t xml:space="preserve"> </w:t>
      </w:r>
      <w:r w:rsidRPr="00150EDC">
        <w:rPr>
          <w:rFonts w:ascii="Calibri"/>
          <w:sz w:val="24"/>
        </w:rPr>
        <w:t>Buyer</w:t>
      </w:r>
      <w:r w:rsidRPr="00150EDC">
        <w:rPr>
          <w:rFonts w:ascii="Calibri"/>
          <w:spacing w:val="-2"/>
          <w:sz w:val="24"/>
        </w:rPr>
        <w:t xml:space="preserve"> </w:t>
      </w:r>
      <w:r w:rsidRPr="00150EDC">
        <w:rPr>
          <w:rFonts w:ascii="Calibri"/>
          <w:sz w:val="24"/>
        </w:rPr>
        <w:t>against</w:t>
      </w:r>
      <w:r w:rsidRPr="00150EDC">
        <w:rPr>
          <w:rFonts w:ascii="Calibri"/>
          <w:spacing w:val="-3"/>
          <w:sz w:val="24"/>
        </w:rPr>
        <w:t xml:space="preserve"> </w:t>
      </w:r>
      <w:r w:rsidRPr="00150EDC">
        <w:rPr>
          <w:rFonts w:ascii="Calibri"/>
          <w:sz w:val="24"/>
        </w:rPr>
        <w:t>the</w:t>
      </w:r>
      <w:r w:rsidRPr="00150EDC">
        <w:rPr>
          <w:rFonts w:ascii="Calibri"/>
          <w:spacing w:val="-1"/>
          <w:sz w:val="24"/>
        </w:rPr>
        <w:t xml:space="preserve"> </w:t>
      </w:r>
      <w:r w:rsidRPr="00150EDC">
        <w:rPr>
          <w:rFonts w:ascii="Calibri"/>
          <w:sz w:val="24"/>
        </w:rPr>
        <w:t>costs</w:t>
      </w:r>
      <w:r w:rsidRPr="00150EDC">
        <w:rPr>
          <w:rFonts w:ascii="Calibri"/>
          <w:spacing w:val="-4"/>
          <w:sz w:val="24"/>
        </w:rPr>
        <w:t xml:space="preserve"> </w:t>
      </w:r>
      <w:r w:rsidRPr="00150EDC">
        <w:rPr>
          <w:rFonts w:ascii="Calibri"/>
          <w:sz w:val="24"/>
        </w:rPr>
        <w:t>of any</w:t>
      </w:r>
      <w:r w:rsidRPr="00150EDC">
        <w:rPr>
          <w:rFonts w:ascii="Calibri"/>
          <w:spacing w:val="-2"/>
          <w:sz w:val="24"/>
        </w:rPr>
        <w:t xml:space="preserve"> </w:t>
      </w:r>
      <w:r w:rsidRPr="00150EDC">
        <w:rPr>
          <w:rFonts w:ascii="Calibri"/>
          <w:sz w:val="24"/>
        </w:rPr>
        <w:t>Recall</w:t>
      </w:r>
      <w:r w:rsidRPr="00150EDC">
        <w:rPr>
          <w:rFonts w:ascii="Calibri"/>
          <w:spacing w:val="-4"/>
          <w:sz w:val="24"/>
        </w:rPr>
        <w:t xml:space="preserve"> </w:t>
      </w:r>
      <w:r w:rsidRPr="00150EDC">
        <w:rPr>
          <w:rFonts w:ascii="Calibri"/>
          <w:sz w:val="24"/>
        </w:rPr>
        <w:t>of</w:t>
      </w:r>
      <w:r w:rsidRPr="00150EDC">
        <w:rPr>
          <w:rFonts w:ascii="Calibri"/>
          <w:spacing w:val="-2"/>
          <w:sz w:val="24"/>
        </w:rPr>
        <w:t xml:space="preserve"> </w:t>
      </w:r>
      <w:r w:rsidRPr="00150EDC">
        <w:rPr>
          <w:rFonts w:ascii="Calibri"/>
          <w:sz w:val="24"/>
        </w:rPr>
        <w:t>the</w:t>
      </w:r>
      <w:r w:rsidRPr="00150EDC">
        <w:rPr>
          <w:rFonts w:ascii="Calibri"/>
          <w:spacing w:val="-1"/>
          <w:sz w:val="24"/>
        </w:rPr>
        <w:t xml:space="preserve"> </w:t>
      </w:r>
      <w:r w:rsidRPr="00150EDC">
        <w:rPr>
          <w:rFonts w:ascii="Calibri"/>
          <w:sz w:val="24"/>
        </w:rPr>
        <w:t>Goods</w:t>
      </w:r>
      <w:r w:rsidRPr="00150EDC">
        <w:rPr>
          <w:rFonts w:ascii="Calibri"/>
          <w:spacing w:val="-2"/>
          <w:sz w:val="24"/>
        </w:rPr>
        <w:t xml:space="preserve"> </w:t>
      </w:r>
      <w:r w:rsidRPr="00150EDC">
        <w:rPr>
          <w:rFonts w:ascii="Calibri"/>
          <w:sz w:val="24"/>
        </w:rPr>
        <w:t>and</w:t>
      </w:r>
      <w:r w:rsidRPr="00150EDC">
        <w:rPr>
          <w:rFonts w:ascii="Calibri"/>
          <w:spacing w:val="-3"/>
          <w:sz w:val="24"/>
        </w:rPr>
        <w:t xml:space="preserve"> </w:t>
      </w:r>
      <w:r w:rsidRPr="00150EDC">
        <w:rPr>
          <w:rFonts w:ascii="Calibri"/>
          <w:sz w:val="24"/>
        </w:rPr>
        <w:t>give</w:t>
      </w:r>
      <w:r w:rsidRPr="00150EDC">
        <w:rPr>
          <w:rFonts w:ascii="Calibri"/>
          <w:spacing w:val="-3"/>
          <w:sz w:val="24"/>
        </w:rPr>
        <w:t xml:space="preserve"> </w:t>
      </w:r>
      <w:r w:rsidRPr="00150EDC">
        <w:rPr>
          <w:rFonts w:ascii="Calibri"/>
          <w:sz w:val="24"/>
        </w:rPr>
        <w:t>notice</w:t>
      </w:r>
      <w:r w:rsidRPr="00150EDC">
        <w:rPr>
          <w:rFonts w:ascii="Calibri"/>
          <w:spacing w:val="-1"/>
          <w:sz w:val="24"/>
        </w:rPr>
        <w:t xml:space="preserve"> </w:t>
      </w:r>
      <w:r w:rsidRPr="00150EDC">
        <w:rPr>
          <w:rFonts w:ascii="Calibri"/>
          <w:sz w:val="24"/>
        </w:rPr>
        <w:t>of actual or anticipated action about the Recall of the Goods.</w:t>
      </w:r>
    </w:p>
    <w:p w14:paraId="1AB101AE" w14:textId="77777777" w:rsidR="004C7180" w:rsidRPr="00150EDC" w:rsidRDefault="004C7180">
      <w:pPr>
        <w:pStyle w:val="BodyText"/>
        <w:spacing w:before="8"/>
        <w:rPr>
          <w:rFonts w:ascii="Calibri"/>
          <w:sz w:val="23"/>
        </w:rPr>
      </w:pPr>
    </w:p>
    <w:p w14:paraId="139A3406" w14:textId="77777777" w:rsidR="004C7180" w:rsidRPr="00150EDC" w:rsidRDefault="00CF0754" w:rsidP="00B320C7">
      <w:pPr>
        <w:pStyle w:val="ListParagraph"/>
        <w:numPr>
          <w:ilvl w:val="2"/>
          <w:numId w:val="182"/>
        </w:numPr>
        <w:tabs>
          <w:tab w:val="left" w:pos="1206"/>
          <w:tab w:val="left" w:pos="1208"/>
        </w:tabs>
        <w:ind w:right="613" w:hanging="720"/>
        <w:jc w:val="both"/>
        <w:rPr>
          <w:rFonts w:ascii="Calibri" w:hAnsi="Calibri"/>
          <w:sz w:val="24"/>
        </w:rPr>
      </w:pPr>
      <w:r w:rsidRPr="00150EDC">
        <w:rPr>
          <w:rFonts w:ascii="Calibri" w:hAnsi="Calibri"/>
          <w:sz w:val="24"/>
        </w:rPr>
        <w:t>The</w:t>
      </w:r>
      <w:r w:rsidRPr="00150EDC">
        <w:rPr>
          <w:rFonts w:ascii="Calibri" w:hAnsi="Calibri"/>
          <w:spacing w:val="-1"/>
          <w:sz w:val="24"/>
        </w:rPr>
        <w:t xml:space="preserve"> </w:t>
      </w:r>
      <w:r w:rsidRPr="00150EDC">
        <w:rPr>
          <w:rFonts w:ascii="Calibri" w:hAnsi="Calibri"/>
          <w:sz w:val="24"/>
        </w:rPr>
        <w:t>Buyer</w:t>
      </w:r>
      <w:r w:rsidRPr="00150EDC">
        <w:rPr>
          <w:rFonts w:ascii="Calibri" w:hAnsi="Calibri"/>
          <w:spacing w:val="-1"/>
          <w:sz w:val="24"/>
        </w:rPr>
        <w:t xml:space="preserve"> </w:t>
      </w:r>
      <w:r w:rsidRPr="00150EDC">
        <w:rPr>
          <w:rFonts w:ascii="Calibri" w:hAnsi="Calibri"/>
          <w:sz w:val="24"/>
        </w:rPr>
        <w:t>can</w:t>
      </w:r>
      <w:r w:rsidRPr="00150EDC">
        <w:rPr>
          <w:rFonts w:ascii="Calibri" w:hAnsi="Calibri"/>
          <w:spacing w:val="-3"/>
          <w:sz w:val="24"/>
        </w:rPr>
        <w:t xml:space="preserve"> </w:t>
      </w:r>
      <w:r w:rsidRPr="00150EDC">
        <w:rPr>
          <w:rFonts w:ascii="Calibri" w:hAnsi="Calibri"/>
          <w:sz w:val="24"/>
        </w:rPr>
        <w:t>cancel</w:t>
      </w:r>
      <w:r w:rsidRPr="00150EDC">
        <w:rPr>
          <w:rFonts w:ascii="Calibri" w:hAnsi="Calibri"/>
          <w:spacing w:val="-1"/>
          <w:sz w:val="24"/>
        </w:rPr>
        <w:t xml:space="preserve"> </w:t>
      </w:r>
      <w:r w:rsidRPr="00150EDC">
        <w:rPr>
          <w:rFonts w:ascii="Calibri" w:hAnsi="Calibri"/>
          <w:sz w:val="24"/>
        </w:rPr>
        <w:t>any</w:t>
      </w:r>
      <w:r w:rsidRPr="00150EDC">
        <w:rPr>
          <w:rFonts w:ascii="Calibri" w:hAnsi="Calibri"/>
          <w:spacing w:val="-2"/>
          <w:sz w:val="24"/>
        </w:rPr>
        <w:t xml:space="preserve"> </w:t>
      </w:r>
      <w:r w:rsidRPr="00150EDC">
        <w:rPr>
          <w:rFonts w:ascii="Calibri" w:hAnsi="Calibri"/>
          <w:sz w:val="24"/>
        </w:rPr>
        <w:t>order</w:t>
      </w:r>
      <w:r w:rsidRPr="00150EDC">
        <w:rPr>
          <w:rFonts w:ascii="Calibri" w:hAnsi="Calibri"/>
          <w:spacing w:val="-3"/>
          <w:sz w:val="24"/>
        </w:rPr>
        <w:t xml:space="preserve"> </w:t>
      </w:r>
      <w:r w:rsidRPr="00150EDC">
        <w:rPr>
          <w:rFonts w:ascii="Calibri" w:hAnsi="Calibri"/>
          <w:sz w:val="24"/>
        </w:rPr>
        <w:t>or</w:t>
      </w:r>
      <w:r w:rsidRPr="00150EDC">
        <w:rPr>
          <w:rFonts w:ascii="Calibri" w:hAnsi="Calibri"/>
          <w:spacing w:val="-3"/>
          <w:sz w:val="24"/>
        </w:rPr>
        <w:t xml:space="preserve"> </w:t>
      </w:r>
      <w:r w:rsidRPr="00150EDC">
        <w:rPr>
          <w:rFonts w:ascii="Calibri" w:hAnsi="Calibri"/>
          <w:sz w:val="24"/>
        </w:rPr>
        <w:t>part</w:t>
      </w:r>
      <w:r w:rsidRPr="00150EDC">
        <w:rPr>
          <w:rFonts w:ascii="Calibri" w:hAnsi="Calibri"/>
          <w:spacing w:val="-1"/>
          <w:sz w:val="24"/>
        </w:rPr>
        <w:t xml:space="preserve"> </w:t>
      </w:r>
      <w:r w:rsidRPr="00150EDC">
        <w:rPr>
          <w:rFonts w:ascii="Calibri" w:hAnsi="Calibri"/>
          <w:sz w:val="24"/>
        </w:rPr>
        <w:t>order</w:t>
      </w:r>
      <w:r w:rsidRPr="00150EDC">
        <w:rPr>
          <w:rFonts w:ascii="Calibri" w:hAnsi="Calibri"/>
          <w:spacing w:val="-3"/>
          <w:sz w:val="24"/>
        </w:rPr>
        <w:t xml:space="preserve"> </w:t>
      </w:r>
      <w:r w:rsidRPr="00150EDC">
        <w:rPr>
          <w:rFonts w:ascii="Calibri" w:hAnsi="Calibri"/>
          <w:sz w:val="24"/>
        </w:rPr>
        <w:t>of</w:t>
      </w:r>
      <w:r w:rsidRPr="00150EDC">
        <w:rPr>
          <w:rFonts w:ascii="Calibri" w:hAnsi="Calibri"/>
          <w:spacing w:val="-4"/>
          <w:sz w:val="24"/>
        </w:rPr>
        <w:t xml:space="preserve"> </w:t>
      </w:r>
      <w:r w:rsidRPr="00150EDC">
        <w:rPr>
          <w:rFonts w:ascii="Calibri" w:hAnsi="Calibri"/>
          <w:sz w:val="24"/>
        </w:rPr>
        <w:t>Goods</w:t>
      </w:r>
      <w:r w:rsidRPr="00150EDC">
        <w:rPr>
          <w:rFonts w:ascii="Calibri" w:hAnsi="Calibri"/>
          <w:spacing w:val="-2"/>
          <w:sz w:val="24"/>
        </w:rPr>
        <w:t xml:space="preserve"> </w:t>
      </w:r>
      <w:r w:rsidRPr="00150EDC">
        <w:rPr>
          <w:rFonts w:ascii="Calibri" w:hAnsi="Calibri"/>
          <w:sz w:val="24"/>
        </w:rPr>
        <w:t>which</w:t>
      </w:r>
      <w:r w:rsidRPr="00150EDC">
        <w:rPr>
          <w:rFonts w:ascii="Calibri" w:hAnsi="Calibri"/>
          <w:spacing w:val="-3"/>
          <w:sz w:val="24"/>
        </w:rPr>
        <w:t xml:space="preserve"> </w:t>
      </w:r>
      <w:r w:rsidRPr="00150EDC">
        <w:rPr>
          <w:rFonts w:ascii="Calibri" w:hAnsi="Calibri"/>
          <w:sz w:val="24"/>
        </w:rPr>
        <w:t>has</w:t>
      </w:r>
      <w:r w:rsidRPr="00150EDC">
        <w:rPr>
          <w:rFonts w:ascii="Calibri" w:hAnsi="Calibri"/>
          <w:spacing w:val="-4"/>
          <w:sz w:val="24"/>
        </w:rPr>
        <w:t xml:space="preserve"> </w:t>
      </w:r>
      <w:r w:rsidRPr="00150EDC">
        <w:rPr>
          <w:rFonts w:ascii="Calibri" w:hAnsi="Calibri"/>
          <w:sz w:val="24"/>
        </w:rPr>
        <w:t>not</w:t>
      </w:r>
      <w:r w:rsidRPr="00150EDC">
        <w:rPr>
          <w:rFonts w:ascii="Calibri" w:hAnsi="Calibri"/>
          <w:spacing w:val="-3"/>
          <w:sz w:val="24"/>
        </w:rPr>
        <w:t xml:space="preserve"> </w:t>
      </w:r>
      <w:r w:rsidRPr="00150EDC">
        <w:rPr>
          <w:rFonts w:ascii="Calibri" w:hAnsi="Calibri"/>
          <w:sz w:val="24"/>
        </w:rPr>
        <w:t>been</w:t>
      </w:r>
      <w:r w:rsidRPr="00150EDC">
        <w:rPr>
          <w:rFonts w:ascii="Calibri" w:hAnsi="Calibri"/>
          <w:spacing w:val="-1"/>
          <w:sz w:val="24"/>
        </w:rPr>
        <w:t xml:space="preserve"> </w:t>
      </w:r>
      <w:r w:rsidRPr="00150EDC">
        <w:rPr>
          <w:rFonts w:ascii="Calibri" w:hAnsi="Calibri"/>
          <w:sz w:val="24"/>
        </w:rPr>
        <w:t>Delivered.</w:t>
      </w:r>
      <w:r w:rsidRPr="00150EDC">
        <w:rPr>
          <w:rFonts w:ascii="Calibri" w:hAnsi="Calibri"/>
          <w:spacing w:val="-3"/>
          <w:sz w:val="24"/>
        </w:rPr>
        <w:t xml:space="preserve"> </w:t>
      </w:r>
      <w:r w:rsidRPr="00150EDC">
        <w:rPr>
          <w:rFonts w:ascii="Calibri" w:hAnsi="Calibri"/>
          <w:sz w:val="24"/>
        </w:rPr>
        <w:t>If</w:t>
      </w:r>
      <w:r w:rsidRPr="00150EDC">
        <w:rPr>
          <w:rFonts w:ascii="Calibri" w:hAnsi="Calibri"/>
          <w:spacing w:val="-3"/>
          <w:sz w:val="24"/>
        </w:rPr>
        <w:t xml:space="preserve"> </w:t>
      </w:r>
      <w:r w:rsidRPr="00150EDC">
        <w:rPr>
          <w:rFonts w:ascii="Calibri" w:hAnsi="Calibri"/>
          <w:sz w:val="24"/>
        </w:rPr>
        <w:t>the</w:t>
      </w:r>
      <w:r w:rsidRPr="00150EDC">
        <w:rPr>
          <w:rFonts w:ascii="Calibri" w:hAnsi="Calibri"/>
          <w:spacing w:val="-1"/>
          <w:sz w:val="24"/>
        </w:rPr>
        <w:t xml:space="preserve"> </w:t>
      </w:r>
      <w:r w:rsidRPr="00150EDC">
        <w:rPr>
          <w:rFonts w:ascii="Calibri" w:hAnsi="Calibri"/>
          <w:sz w:val="24"/>
        </w:rPr>
        <w:t>Buyer</w:t>
      </w:r>
      <w:r w:rsidRPr="00150EDC">
        <w:rPr>
          <w:rFonts w:ascii="Calibri" w:hAnsi="Calibri"/>
          <w:spacing w:val="-6"/>
          <w:sz w:val="24"/>
        </w:rPr>
        <w:t xml:space="preserve"> </w:t>
      </w:r>
      <w:r w:rsidRPr="00150EDC">
        <w:rPr>
          <w:rFonts w:ascii="Calibri" w:hAnsi="Calibri"/>
          <w:sz w:val="24"/>
        </w:rPr>
        <w:t>gives less</w:t>
      </w:r>
      <w:r w:rsidRPr="00150EDC">
        <w:rPr>
          <w:rFonts w:ascii="Calibri" w:hAnsi="Calibri"/>
          <w:spacing w:val="-1"/>
          <w:sz w:val="24"/>
        </w:rPr>
        <w:t xml:space="preserve"> </w:t>
      </w:r>
      <w:r w:rsidRPr="00150EDC">
        <w:rPr>
          <w:rFonts w:ascii="Calibri" w:hAnsi="Calibri"/>
          <w:sz w:val="24"/>
        </w:rPr>
        <w:t>than</w:t>
      </w:r>
      <w:r w:rsidRPr="00150EDC">
        <w:rPr>
          <w:rFonts w:ascii="Calibri" w:hAnsi="Calibri"/>
          <w:spacing w:val="-2"/>
          <w:sz w:val="24"/>
        </w:rPr>
        <w:t xml:space="preserve"> </w:t>
      </w:r>
      <w:r w:rsidRPr="00150EDC">
        <w:rPr>
          <w:rFonts w:ascii="Calibri" w:hAnsi="Calibri"/>
          <w:sz w:val="24"/>
        </w:rPr>
        <w:t>14</w:t>
      </w:r>
      <w:r w:rsidRPr="00150EDC">
        <w:rPr>
          <w:rFonts w:ascii="Calibri" w:hAnsi="Calibri"/>
          <w:spacing w:val="-2"/>
          <w:sz w:val="24"/>
        </w:rPr>
        <w:t xml:space="preserve"> </w:t>
      </w:r>
      <w:r w:rsidRPr="00150EDC">
        <w:rPr>
          <w:rFonts w:ascii="Calibri" w:hAnsi="Calibri"/>
          <w:sz w:val="24"/>
        </w:rPr>
        <w:t>days</w:t>
      </w:r>
      <w:r w:rsidRPr="00150EDC">
        <w:rPr>
          <w:rFonts w:ascii="Calibri" w:hAnsi="Calibri"/>
          <w:spacing w:val="-2"/>
          <w:sz w:val="24"/>
        </w:rPr>
        <w:t xml:space="preserve"> </w:t>
      </w:r>
      <w:r w:rsidRPr="00150EDC">
        <w:rPr>
          <w:rFonts w:ascii="Calibri" w:hAnsi="Calibri"/>
          <w:sz w:val="24"/>
        </w:rPr>
        <w:t>notice</w:t>
      </w:r>
      <w:r w:rsidRPr="00150EDC">
        <w:rPr>
          <w:rFonts w:ascii="Calibri" w:hAnsi="Calibri"/>
          <w:spacing w:val="-5"/>
          <w:sz w:val="24"/>
        </w:rPr>
        <w:t xml:space="preserve"> </w:t>
      </w:r>
      <w:r w:rsidRPr="00150EDC">
        <w:rPr>
          <w:rFonts w:ascii="Calibri" w:hAnsi="Calibri"/>
          <w:sz w:val="24"/>
        </w:rPr>
        <w:t>then it will</w:t>
      </w:r>
      <w:r w:rsidRPr="00150EDC">
        <w:rPr>
          <w:rFonts w:ascii="Calibri" w:hAnsi="Calibri"/>
          <w:spacing w:val="-1"/>
          <w:sz w:val="24"/>
        </w:rPr>
        <w:t xml:space="preserve"> </w:t>
      </w:r>
      <w:r w:rsidRPr="00150EDC">
        <w:rPr>
          <w:rFonts w:ascii="Calibri" w:hAnsi="Calibri"/>
          <w:sz w:val="24"/>
        </w:rPr>
        <w:t>pay</w:t>
      </w:r>
      <w:r w:rsidRPr="00150EDC">
        <w:rPr>
          <w:rFonts w:ascii="Calibri" w:hAnsi="Calibri"/>
          <w:spacing w:val="-1"/>
          <w:sz w:val="24"/>
        </w:rPr>
        <w:t xml:space="preserve"> </w:t>
      </w:r>
      <w:r w:rsidRPr="00150EDC">
        <w:rPr>
          <w:rFonts w:ascii="Calibri" w:hAnsi="Calibri"/>
          <w:sz w:val="24"/>
        </w:rPr>
        <w:t>the Supplier’s</w:t>
      </w:r>
      <w:r w:rsidRPr="00150EDC">
        <w:rPr>
          <w:rFonts w:ascii="Calibri" w:hAnsi="Calibri"/>
          <w:spacing w:val="-2"/>
          <w:sz w:val="24"/>
        </w:rPr>
        <w:t xml:space="preserve"> </w:t>
      </w:r>
      <w:r w:rsidRPr="00150EDC">
        <w:rPr>
          <w:rFonts w:ascii="Calibri" w:hAnsi="Calibri"/>
          <w:sz w:val="24"/>
        </w:rPr>
        <w:t>reasonable and</w:t>
      </w:r>
      <w:r w:rsidRPr="00150EDC">
        <w:rPr>
          <w:rFonts w:ascii="Calibri" w:hAnsi="Calibri"/>
          <w:spacing w:val="-2"/>
          <w:sz w:val="24"/>
        </w:rPr>
        <w:t xml:space="preserve"> </w:t>
      </w:r>
      <w:r w:rsidRPr="00150EDC">
        <w:rPr>
          <w:rFonts w:ascii="Calibri" w:hAnsi="Calibri"/>
          <w:sz w:val="24"/>
        </w:rPr>
        <w:t>proven costs</w:t>
      </w:r>
      <w:r w:rsidRPr="00150EDC">
        <w:rPr>
          <w:rFonts w:ascii="Calibri" w:hAnsi="Calibri"/>
          <w:spacing w:val="-3"/>
          <w:sz w:val="24"/>
        </w:rPr>
        <w:t xml:space="preserve"> </w:t>
      </w:r>
      <w:r w:rsidRPr="00150EDC">
        <w:rPr>
          <w:rFonts w:ascii="Calibri" w:hAnsi="Calibri"/>
          <w:sz w:val="24"/>
        </w:rPr>
        <w:t>already</w:t>
      </w:r>
      <w:r w:rsidRPr="00150EDC">
        <w:rPr>
          <w:rFonts w:ascii="Calibri" w:hAnsi="Calibri"/>
          <w:spacing w:val="-1"/>
          <w:sz w:val="24"/>
        </w:rPr>
        <w:t xml:space="preserve"> </w:t>
      </w:r>
      <w:r w:rsidRPr="00150EDC">
        <w:rPr>
          <w:rFonts w:ascii="Calibri" w:hAnsi="Calibri"/>
          <w:sz w:val="24"/>
        </w:rPr>
        <w:t>incurred on the cancelled order as long as the Supplier takes all reasonable steps to minimise these costs.</w:t>
      </w:r>
    </w:p>
    <w:p w14:paraId="1DCA8C6B" w14:textId="77777777" w:rsidR="004C7180" w:rsidRPr="00150EDC" w:rsidRDefault="004C7180">
      <w:pPr>
        <w:pStyle w:val="BodyText"/>
        <w:rPr>
          <w:rFonts w:ascii="Calibri"/>
        </w:rPr>
      </w:pPr>
    </w:p>
    <w:p w14:paraId="7E79AE39" w14:textId="77777777" w:rsidR="004C7180" w:rsidRPr="00150EDC" w:rsidRDefault="00CF0754" w:rsidP="00B320C7">
      <w:pPr>
        <w:pStyle w:val="ListParagraph"/>
        <w:numPr>
          <w:ilvl w:val="2"/>
          <w:numId w:val="182"/>
        </w:numPr>
        <w:tabs>
          <w:tab w:val="left" w:pos="1206"/>
          <w:tab w:val="left" w:pos="1208"/>
        </w:tabs>
        <w:ind w:right="828" w:hanging="720"/>
        <w:rPr>
          <w:rFonts w:ascii="Calibri" w:hAnsi="Calibri"/>
          <w:sz w:val="24"/>
        </w:rPr>
      </w:pPr>
      <w:r w:rsidRPr="00150EDC">
        <w:rPr>
          <w:rFonts w:ascii="Calibri" w:hAnsi="Calibri"/>
          <w:sz w:val="24"/>
        </w:rPr>
        <w:t>The Supplier must at its own cost repair, replace, refund or substitute (at the Buyer’s option and request)</w:t>
      </w:r>
      <w:r w:rsidRPr="00150EDC">
        <w:rPr>
          <w:rFonts w:ascii="Calibri" w:hAnsi="Calibri"/>
          <w:spacing w:val="-3"/>
          <w:sz w:val="24"/>
        </w:rPr>
        <w:t xml:space="preserve"> </w:t>
      </w:r>
      <w:r w:rsidRPr="00150EDC">
        <w:rPr>
          <w:rFonts w:ascii="Calibri" w:hAnsi="Calibri"/>
          <w:sz w:val="24"/>
        </w:rPr>
        <w:t>any</w:t>
      </w:r>
      <w:r w:rsidRPr="00150EDC">
        <w:rPr>
          <w:rFonts w:ascii="Calibri" w:hAnsi="Calibri"/>
          <w:spacing w:val="-2"/>
          <w:sz w:val="24"/>
        </w:rPr>
        <w:t xml:space="preserve"> </w:t>
      </w:r>
      <w:r w:rsidRPr="00150EDC">
        <w:rPr>
          <w:rFonts w:ascii="Calibri" w:hAnsi="Calibri"/>
          <w:sz w:val="24"/>
        </w:rPr>
        <w:t>Goods</w:t>
      </w:r>
      <w:r w:rsidRPr="00150EDC">
        <w:rPr>
          <w:rFonts w:ascii="Calibri" w:hAnsi="Calibri"/>
          <w:spacing w:val="-2"/>
          <w:sz w:val="24"/>
        </w:rPr>
        <w:t xml:space="preserve"> </w:t>
      </w:r>
      <w:r w:rsidRPr="00150EDC">
        <w:rPr>
          <w:rFonts w:ascii="Calibri" w:hAnsi="Calibri"/>
          <w:sz w:val="24"/>
        </w:rPr>
        <w:t>that</w:t>
      </w:r>
      <w:r w:rsidRPr="00150EDC">
        <w:rPr>
          <w:rFonts w:ascii="Calibri" w:hAnsi="Calibri"/>
          <w:spacing w:val="-5"/>
          <w:sz w:val="24"/>
        </w:rPr>
        <w:t xml:space="preserve"> </w:t>
      </w:r>
      <w:r w:rsidRPr="00150EDC">
        <w:rPr>
          <w:rFonts w:ascii="Calibri" w:hAnsi="Calibri"/>
          <w:sz w:val="24"/>
        </w:rPr>
        <w:t>the</w:t>
      </w:r>
      <w:r w:rsidRPr="00150EDC">
        <w:rPr>
          <w:rFonts w:ascii="Calibri" w:hAnsi="Calibri"/>
          <w:spacing w:val="-4"/>
          <w:sz w:val="24"/>
        </w:rPr>
        <w:t xml:space="preserve"> </w:t>
      </w:r>
      <w:r w:rsidRPr="00150EDC">
        <w:rPr>
          <w:rFonts w:ascii="Calibri" w:hAnsi="Calibri"/>
          <w:sz w:val="24"/>
        </w:rPr>
        <w:t>Buyer</w:t>
      </w:r>
      <w:r w:rsidRPr="00150EDC">
        <w:rPr>
          <w:rFonts w:ascii="Calibri" w:hAnsi="Calibri"/>
          <w:spacing w:val="-2"/>
          <w:sz w:val="24"/>
        </w:rPr>
        <w:t xml:space="preserve"> </w:t>
      </w:r>
      <w:r w:rsidRPr="00150EDC">
        <w:rPr>
          <w:rFonts w:ascii="Calibri" w:hAnsi="Calibri"/>
          <w:sz w:val="24"/>
        </w:rPr>
        <w:t>rejects</w:t>
      </w:r>
      <w:r w:rsidRPr="00150EDC">
        <w:rPr>
          <w:rFonts w:ascii="Calibri" w:hAnsi="Calibri"/>
          <w:spacing w:val="-4"/>
          <w:sz w:val="24"/>
        </w:rPr>
        <w:t xml:space="preserve"> </w:t>
      </w:r>
      <w:r w:rsidRPr="00150EDC">
        <w:rPr>
          <w:rFonts w:ascii="Calibri" w:hAnsi="Calibri"/>
          <w:sz w:val="24"/>
        </w:rPr>
        <w:t>because</w:t>
      </w:r>
      <w:r w:rsidRPr="00150EDC">
        <w:rPr>
          <w:rFonts w:ascii="Calibri" w:hAnsi="Calibri"/>
          <w:spacing w:val="-2"/>
          <w:sz w:val="24"/>
        </w:rPr>
        <w:t xml:space="preserve"> </w:t>
      </w:r>
      <w:r w:rsidRPr="00150EDC">
        <w:rPr>
          <w:rFonts w:ascii="Calibri" w:hAnsi="Calibri"/>
          <w:sz w:val="24"/>
        </w:rPr>
        <w:t>they</w:t>
      </w:r>
      <w:r w:rsidRPr="00150EDC">
        <w:rPr>
          <w:rFonts w:ascii="Calibri" w:hAnsi="Calibri"/>
          <w:spacing w:val="-2"/>
          <w:sz w:val="24"/>
        </w:rPr>
        <w:t xml:space="preserve"> </w:t>
      </w:r>
      <w:r w:rsidRPr="00150EDC">
        <w:rPr>
          <w:rFonts w:ascii="Calibri" w:hAnsi="Calibri"/>
          <w:sz w:val="24"/>
        </w:rPr>
        <w:t>do</w:t>
      </w:r>
      <w:r w:rsidRPr="00150EDC">
        <w:rPr>
          <w:rFonts w:ascii="Calibri" w:hAnsi="Calibri"/>
          <w:spacing w:val="-3"/>
          <w:sz w:val="24"/>
        </w:rPr>
        <w:t xml:space="preserve"> </w:t>
      </w:r>
      <w:r w:rsidRPr="00150EDC">
        <w:rPr>
          <w:rFonts w:ascii="Calibri" w:hAnsi="Calibri"/>
          <w:sz w:val="24"/>
        </w:rPr>
        <w:t>not</w:t>
      </w:r>
      <w:r w:rsidRPr="00150EDC">
        <w:rPr>
          <w:rFonts w:ascii="Calibri" w:hAnsi="Calibri"/>
          <w:spacing w:val="-2"/>
          <w:sz w:val="24"/>
        </w:rPr>
        <w:t xml:space="preserve"> </w:t>
      </w:r>
      <w:r w:rsidRPr="00150EDC">
        <w:rPr>
          <w:rFonts w:ascii="Calibri" w:hAnsi="Calibri"/>
          <w:sz w:val="24"/>
        </w:rPr>
        <w:t>conform</w:t>
      </w:r>
      <w:r w:rsidRPr="00150EDC">
        <w:rPr>
          <w:rFonts w:ascii="Calibri" w:hAnsi="Calibri"/>
          <w:spacing w:val="-2"/>
          <w:sz w:val="24"/>
        </w:rPr>
        <w:t xml:space="preserve"> </w:t>
      </w:r>
      <w:r w:rsidRPr="00150EDC">
        <w:rPr>
          <w:rFonts w:ascii="Calibri" w:hAnsi="Calibri"/>
          <w:sz w:val="24"/>
        </w:rPr>
        <w:t>with</w:t>
      </w:r>
      <w:r w:rsidRPr="00150EDC">
        <w:rPr>
          <w:rFonts w:ascii="Calibri" w:hAnsi="Calibri"/>
          <w:spacing w:val="-2"/>
          <w:sz w:val="24"/>
        </w:rPr>
        <w:t xml:space="preserve"> </w:t>
      </w:r>
      <w:r w:rsidRPr="00150EDC">
        <w:rPr>
          <w:rFonts w:ascii="Calibri" w:hAnsi="Calibri"/>
          <w:sz w:val="24"/>
        </w:rPr>
        <w:t>Clause</w:t>
      </w:r>
      <w:r w:rsidRPr="00150EDC">
        <w:rPr>
          <w:rFonts w:ascii="Calibri" w:hAnsi="Calibri"/>
          <w:spacing w:val="-4"/>
          <w:sz w:val="24"/>
        </w:rPr>
        <w:t xml:space="preserve"> </w:t>
      </w:r>
      <w:r w:rsidRPr="00150EDC">
        <w:rPr>
          <w:rFonts w:ascii="Calibri" w:hAnsi="Calibri"/>
          <w:sz w:val="24"/>
        </w:rPr>
        <w:t>3.</w:t>
      </w:r>
      <w:r w:rsidRPr="00150EDC">
        <w:rPr>
          <w:rFonts w:ascii="Calibri" w:hAnsi="Calibri"/>
          <w:spacing w:val="-2"/>
          <w:sz w:val="24"/>
        </w:rPr>
        <w:t xml:space="preserve"> </w:t>
      </w:r>
      <w:r w:rsidRPr="00150EDC">
        <w:rPr>
          <w:rFonts w:ascii="Calibri" w:hAnsi="Calibri"/>
          <w:sz w:val="24"/>
        </w:rPr>
        <w:t>If</w:t>
      </w:r>
      <w:r w:rsidRPr="00150EDC">
        <w:rPr>
          <w:rFonts w:ascii="Calibri" w:hAnsi="Calibri"/>
          <w:spacing w:val="-3"/>
          <w:sz w:val="24"/>
        </w:rPr>
        <w:t xml:space="preserve"> </w:t>
      </w:r>
      <w:r w:rsidRPr="00150EDC">
        <w:rPr>
          <w:rFonts w:ascii="Calibri" w:hAnsi="Calibri"/>
          <w:sz w:val="24"/>
        </w:rPr>
        <w:t>the</w:t>
      </w:r>
      <w:r w:rsidRPr="00150EDC">
        <w:rPr>
          <w:rFonts w:ascii="Calibri" w:hAnsi="Calibri"/>
          <w:spacing w:val="-2"/>
          <w:sz w:val="24"/>
        </w:rPr>
        <w:t xml:space="preserve"> </w:t>
      </w:r>
      <w:r w:rsidRPr="00150EDC">
        <w:rPr>
          <w:rFonts w:ascii="Calibri" w:hAnsi="Calibri"/>
          <w:sz w:val="24"/>
        </w:rPr>
        <w:t>Supplier does not do this it will pay the Buyer’s costs including repair or re-supply by a third party.</w:t>
      </w:r>
    </w:p>
    <w:p w14:paraId="1D1DBA3E" w14:textId="77777777" w:rsidR="004C7180" w:rsidRPr="00150EDC" w:rsidRDefault="004C7180">
      <w:pPr>
        <w:pStyle w:val="BodyText"/>
        <w:rPr>
          <w:rFonts w:ascii="Calibri"/>
        </w:rPr>
      </w:pPr>
    </w:p>
    <w:p w14:paraId="187EA7FB" w14:textId="77777777" w:rsidR="004C7180" w:rsidRPr="00150EDC" w:rsidRDefault="00CF0754" w:rsidP="00B320C7">
      <w:pPr>
        <w:pStyle w:val="ListParagraph"/>
        <w:numPr>
          <w:ilvl w:val="1"/>
          <w:numId w:val="182"/>
        </w:numPr>
        <w:tabs>
          <w:tab w:val="left" w:pos="1066"/>
        </w:tabs>
        <w:ind w:hanging="566"/>
        <w:rPr>
          <w:rFonts w:ascii="Calibri"/>
          <w:b/>
          <w:sz w:val="28"/>
        </w:rPr>
      </w:pPr>
      <w:r w:rsidRPr="00150EDC">
        <w:rPr>
          <w:rFonts w:ascii="Calibri"/>
          <w:b/>
          <w:sz w:val="28"/>
        </w:rPr>
        <w:t>Services</w:t>
      </w:r>
      <w:r w:rsidRPr="00150EDC">
        <w:rPr>
          <w:rFonts w:ascii="Calibri"/>
          <w:b/>
          <w:spacing w:val="-8"/>
          <w:sz w:val="28"/>
        </w:rPr>
        <w:t xml:space="preserve"> </w:t>
      </w:r>
      <w:r w:rsidRPr="00150EDC">
        <w:rPr>
          <w:rFonts w:ascii="Calibri"/>
          <w:b/>
          <w:spacing w:val="-2"/>
          <w:sz w:val="28"/>
        </w:rPr>
        <w:t>clauses</w:t>
      </w:r>
    </w:p>
    <w:p w14:paraId="4DFEF849" w14:textId="77777777" w:rsidR="004C7180" w:rsidRPr="00150EDC" w:rsidRDefault="00CF0754" w:rsidP="00B320C7">
      <w:pPr>
        <w:pStyle w:val="ListParagraph"/>
        <w:numPr>
          <w:ilvl w:val="2"/>
          <w:numId w:val="182"/>
        </w:numPr>
        <w:tabs>
          <w:tab w:val="left" w:pos="1207"/>
        </w:tabs>
        <w:spacing w:before="1"/>
        <w:ind w:left="1207" w:hanging="719"/>
        <w:rPr>
          <w:rFonts w:ascii="Calibri"/>
          <w:sz w:val="24"/>
        </w:rPr>
      </w:pPr>
      <w:r w:rsidRPr="00150EDC">
        <w:rPr>
          <w:rFonts w:ascii="Calibri"/>
          <w:sz w:val="24"/>
        </w:rPr>
        <w:t>Late</w:t>
      </w:r>
      <w:r w:rsidRPr="00150EDC">
        <w:rPr>
          <w:rFonts w:ascii="Calibri"/>
          <w:spacing w:val="-5"/>
          <w:sz w:val="24"/>
        </w:rPr>
        <w:t xml:space="preserve"> </w:t>
      </w:r>
      <w:r w:rsidRPr="00150EDC">
        <w:rPr>
          <w:rFonts w:ascii="Calibri"/>
          <w:sz w:val="24"/>
        </w:rPr>
        <w:t>Delivery</w:t>
      </w:r>
      <w:r w:rsidRPr="00150EDC">
        <w:rPr>
          <w:rFonts w:ascii="Calibri"/>
          <w:spacing w:val="-5"/>
          <w:sz w:val="24"/>
        </w:rPr>
        <w:t xml:space="preserve"> </w:t>
      </w:r>
      <w:r w:rsidRPr="00150EDC">
        <w:rPr>
          <w:rFonts w:ascii="Calibri"/>
          <w:sz w:val="24"/>
        </w:rPr>
        <w:t>of</w:t>
      </w:r>
      <w:r w:rsidRPr="00150EDC">
        <w:rPr>
          <w:rFonts w:ascii="Calibri"/>
          <w:spacing w:val="-2"/>
          <w:sz w:val="24"/>
        </w:rPr>
        <w:t xml:space="preserve"> </w:t>
      </w:r>
      <w:r w:rsidRPr="00150EDC">
        <w:rPr>
          <w:rFonts w:ascii="Calibri"/>
          <w:sz w:val="24"/>
        </w:rPr>
        <w:t>the Services</w:t>
      </w:r>
      <w:r w:rsidRPr="00150EDC">
        <w:rPr>
          <w:rFonts w:ascii="Calibri"/>
          <w:spacing w:val="-2"/>
          <w:sz w:val="24"/>
        </w:rPr>
        <w:t xml:space="preserve"> </w:t>
      </w:r>
      <w:r w:rsidRPr="00150EDC">
        <w:rPr>
          <w:rFonts w:ascii="Calibri"/>
          <w:sz w:val="24"/>
        </w:rPr>
        <w:t>will</w:t>
      </w:r>
      <w:r w:rsidRPr="00150EDC">
        <w:rPr>
          <w:rFonts w:ascii="Calibri"/>
          <w:spacing w:val="-2"/>
          <w:sz w:val="24"/>
        </w:rPr>
        <w:t xml:space="preserve"> </w:t>
      </w:r>
      <w:r w:rsidRPr="00150EDC">
        <w:rPr>
          <w:rFonts w:ascii="Calibri"/>
          <w:sz w:val="24"/>
        </w:rPr>
        <w:t>be</w:t>
      </w:r>
      <w:r w:rsidRPr="00150EDC">
        <w:rPr>
          <w:rFonts w:ascii="Calibri"/>
          <w:spacing w:val="-1"/>
          <w:sz w:val="24"/>
        </w:rPr>
        <w:t xml:space="preserve"> </w:t>
      </w:r>
      <w:r w:rsidRPr="00150EDC">
        <w:rPr>
          <w:rFonts w:ascii="Calibri"/>
          <w:sz w:val="24"/>
        </w:rPr>
        <w:t>a</w:t>
      </w:r>
      <w:r w:rsidRPr="00150EDC">
        <w:rPr>
          <w:rFonts w:ascii="Calibri"/>
          <w:spacing w:val="-3"/>
          <w:sz w:val="24"/>
        </w:rPr>
        <w:t xml:space="preserve"> </w:t>
      </w:r>
      <w:r w:rsidRPr="00150EDC">
        <w:rPr>
          <w:rFonts w:ascii="Calibri"/>
          <w:sz w:val="24"/>
        </w:rPr>
        <w:t>Default</w:t>
      </w:r>
      <w:r w:rsidRPr="00150EDC">
        <w:rPr>
          <w:rFonts w:ascii="Calibri"/>
          <w:spacing w:val="-3"/>
          <w:sz w:val="24"/>
        </w:rPr>
        <w:t xml:space="preserve"> </w:t>
      </w:r>
      <w:r w:rsidRPr="00150EDC">
        <w:rPr>
          <w:rFonts w:ascii="Calibri"/>
          <w:sz w:val="24"/>
        </w:rPr>
        <w:t>of</w:t>
      </w:r>
      <w:r w:rsidRPr="00150EDC">
        <w:rPr>
          <w:rFonts w:ascii="Calibri"/>
          <w:spacing w:val="-3"/>
          <w:sz w:val="24"/>
        </w:rPr>
        <w:t xml:space="preserve"> </w:t>
      </w:r>
      <w:r w:rsidRPr="00150EDC">
        <w:rPr>
          <w:rFonts w:ascii="Calibri"/>
          <w:sz w:val="24"/>
        </w:rPr>
        <w:t>an</w:t>
      </w:r>
      <w:r w:rsidRPr="00150EDC">
        <w:rPr>
          <w:rFonts w:ascii="Calibri"/>
          <w:spacing w:val="-1"/>
          <w:sz w:val="24"/>
        </w:rPr>
        <w:t xml:space="preserve"> </w:t>
      </w:r>
      <w:r w:rsidRPr="00150EDC">
        <w:rPr>
          <w:rFonts w:ascii="Calibri"/>
          <w:sz w:val="24"/>
        </w:rPr>
        <w:t xml:space="preserve">Order </w:t>
      </w:r>
      <w:r w:rsidRPr="00150EDC">
        <w:rPr>
          <w:rFonts w:ascii="Calibri"/>
          <w:spacing w:val="-2"/>
          <w:sz w:val="24"/>
        </w:rPr>
        <w:t>Contract.</w:t>
      </w:r>
    </w:p>
    <w:p w14:paraId="4987F9E3" w14:textId="77777777" w:rsidR="004C7180" w:rsidRPr="00150EDC" w:rsidRDefault="004C7180">
      <w:pPr>
        <w:pStyle w:val="BodyText"/>
        <w:spacing w:before="12"/>
        <w:rPr>
          <w:rFonts w:ascii="Calibri"/>
          <w:sz w:val="23"/>
        </w:rPr>
      </w:pPr>
    </w:p>
    <w:p w14:paraId="008A4C7D" w14:textId="77777777" w:rsidR="004C7180" w:rsidRPr="00150EDC" w:rsidRDefault="00CF0754" w:rsidP="00B320C7">
      <w:pPr>
        <w:pStyle w:val="ListParagraph"/>
        <w:numPr>
          <w:ilvl w:val="2"/>
          <w:numId w:val="182"/>
        </w:numPr>
        <w:tabs>
          <w:tab w:val="left" w:pos="1208"/>
        </w:tabs>
        <w:ind w:right="893" w:hanging="720"/>
        <w:rPr>
          <w:rFonts w:ascii="Calibri"/>
          <w:sz w:val="24"/>
        </w:rPr>
      </w:pPr>
      <w:r w:rsidRPr="00150EDC">
        <w:rPr>
          <w:rFonts w:ascii="Calibri"/>
          <w:sz w:val="24"/>
        </w:rPr>
        <w:t>The</w:t>
      </w:r>
      <w:r w:rsidRPr="00150EDC">
        <w:rPr>
          <w:rFonts w:ascii="Calibri"/>
          <w:spacing w:val="-2"/>
          <w:sz w:val="24"/>
        </w:rPr>
        <w:t xml:space="preserve"> </w:t>
      </w:r>
      <w:r w:rsidRPr="00150EDC">
        <w:rPr>
          <w:rFonts w:ascii="Calibri"/>
          <w:sz w:val="24"/>
        </w:rPr>
        <w:t>Supplier</w:t>
      </w:r>
      <w:r w:rsidRPr="00150EDC">
        <w:rPr>
          <w:rFonts w:ascii="Calibri"/>
          <w:spacing w:val="-3"/>
          <w:sz w:val="24"/>
        </w:rPr>
        <w:t xml:space="preserve"> </w:t>
      </w:r>
      <w:r w:rsidRPr="00150EDC">
        <w:rPr>
          <w:rFonts w:ascii="Calibri"/>
          <w:sz w:val="24"/>
        </w:rPr>
        <w:t>must</w:t>
      </w:r>
      <w:r w:rsidRPr="00150EDC">
        <w:rPr>
          <w:rFonts w:ascii="Calibri"/>
          <w:spacing w:val="-2"/>
          <w:sz w:val="24"/>
        </w:rPr>
        <w:t xml:space="preserve"> </w:t>
      </w:r>
      <w:r w:rsidRPr="00150EDC">
        <w:rPr>
          <w:rFonts w:ascii="Calibri"/>
          <w:sz w:val="24"/>
        </w:rPr>
        <w:t>co-operate</w:t>
      </w:r>
      <w:r w:rsidRPr="00150EDC">
        <w:rPr>
          <w:rFonts w:ascii="Calibri"/>
          <w:spacing w:val="-4"/>
          <w:sz w:val="24"/>
        </w:rPr>
        <w:t xml:space="preserve"> </w:t>
      </w:r>
      <w:r w:rsidRPr="00150EDC">
        <w:rPr>
          <w:rFonts w:ascii="Calibri"/>
          <w:sz w:val="24"/>
        </w:rPr>
        <w:t>with</w:t>
      </w:r>
      <w:r w:rsidRPr="00150EDC">
        <w:rPr>
          <w:rFonts w:ascii="Calibri"/>
          <w:spacing w:val="-3"/>
          <w:sz w:val="24"/>
        </w:rPr>
        <w:t xml:space="preserve"> </w:t>
      </w:r>
      <w:r w:rsidRPr="00150EDC">
        <w:rPr>
          <w:rFonts w:ascii="Calibri"/>
          <w:sz w:val="24"/>
        </w:rPr>
        <w:t>the</w:t>
      </w:r>
      <w:r w:rsidRPr="00150EDC">
        <w:rPr>
          <w:rFonts w:ascii="Calibri"/>
          <w:spacing w:val="-2"/>
          <w:sz w:val="24"/>
        </w:rPr>
        <w:t xml:space="preserve"> </w:t>
      </w:r>
      <w:r w:rsidRPr="00150EDC">
        <w:rPr>
          <w:rFonts w:ascii="Calibri"/>
          <w:sz w:val="24"/>
        </w:rPr>
        <w:t>Buyer</w:t>
      </w:r>
      <w:r w:rsidRPr="00150EDC">
        <w:rPr>
          <w:rFonts w:ascii="Calibri"/>
          <w:spacing w:val="-4"/>
          <w:sz w:val="24"/>
        </w:rPr>
        <w:t xml:space="preserve"> </w:t>
      </w:r>
      <w:r w:rsidRPr="00150EDC">
        <w:rPr>
          <w:rFonts w:ascii="Calibri"/>
          <w:sz w:val="24"/>
        </w:rPr>
        <w:t>and</w:t>
      </w:r>
      <w:r w:rsidRPr="00150EDC">
        <w:rPr>
          <w:rFonts w:ascii="Calibri"/>
          <w:spacing w:val="-3"/>
          <w:sz w:val="24"/>
        </w:rPr>
        <w:t xml:space="preserve"> </w:t>
      </w:r>
      <w:r w:rsidRPr="00150EDC">
        <w:rPr>
          <w:rFonts w:ascii="Calibri"/>
          <w:sz w:val="24"/>
        </w:rPr>
        <w:t>third</w:t>
      </w:r>
      <w:r w:rsidRPr="00150EDC">
        <w:rPr>
          <w:rFonts w:ascii="Calibri"/>
          <w:spacing w:val="-4"/>
          <w:sz w:val="24"/>
        </w:rPr>
        <w:t xml:space="preserve"> </w:t>
      </w:r>
      <w:r w:rsidRPr="00150EDC">
        <w:rPr>
          <w:rFonts w:ascii="Calibri"/>
          <w:sz w:val="24"/>
        </w:rPr>
        <w:t>party</w:t>
      </w:r>
      <w:r w:rsidRPr="00150EDC">
        <w:rPr>
          <w:rFonts w:ascii="Calibri"/>
          <w:spacing w:val="-3"/>
          <w:sz w:val="24"/>
        </w:rPr>
        <w:t xml:space="preserve"> </w:t>
      </w:r>
      <w:r w:rsidRPr="00150EDC">
        <w:rPr>
          <w:rFonts w:ascii="Calibri"/>
          <w:sz w:val="24"/>
        </w:rPr>
        <w:t>suppliers</w:t>
      </w:r>
      <w:r w:rsidRPr="00150EDC">
        <w:rPr>
          <w:rFonts w:ascii="Calibri"/>
          <w:spacing w:val="-4"/>
          <w:sz w:val="24"/>
        </w:rPr>
        <w:t xml:space="preserve"> </w:t>
      </w:r>
      <w:r w:rsidRPr="00150EDC">
        <w:rPr>
          <w:rFonts w:ascii="Calibri"/>
          <w:sz w:val="24"/>
        </w:rPr>
        <w:t>on</w:t>
      </w:r>
      <w:r w:rsidRPr="00150EDC">
        <w:rPr>
          <w:rFonts w:ascii="Calibri"/>
          <w:spacing w:val="-5"/>
          <w:sz w:val="24"/>
        </w:rPr>
        <w:t xml:space="preserve"> </w:t>
      </w:r>
      <w:r w:rsidRPr="00150EDC">
        <w:rPr>
          <w:rFonts w:ascii="Calibri"/>
          <w:sz w:val="24"/>
        </w:rPr>
        <w:t>all</w:t>
      </w:r>
      <w:r w:rsidRPr="00150EDC">
        <w:rPr>
          <w:rFonts w:ascii="Calibri"/>
          <w:spacing w:val="-2"/>
          <w:sz w:val="24"/>
        </w:rPr>
        <w:t xml:space="preserve"> </w:t>
      </w:r>
      <w:r w:rsidRPr="00150EDC">
        <w:rPr>
          <w:rFonts w:ascii="Calibri"/>
          <w:sz w:val="24"/>
        </w:rPr>
        <w:t>aspects</w:t>
      </w:r>
      <w:r w:rsidRPr="00150EDC">
        <w:rPr>
          <w:rFonts w:ascii="Calibri"/>
          <w:spacing w:val="-4"/>
          <w:sz w:val="24"/>
        </w:rPr>
        <w:t xml:space="preserve"> </w:t>
      </w:r>
      <w:r w:rsidRPr="00150EDC">
        <w:rPr>
          <w:rFonts w:ascii="Calibri"/>
          <w:sz w:val="24"/>
        </w:rPr>
        <w:t>connected</w:t>
      </w:r>
      <w:r w:rsidRPr="00150EDC">
        <w:rPr>
          <w:rFonts w:ascii="Calibri"/>
          <w:spacing w:val="-2"/>
          <w:sz w:val="24"/>
        </w:rPr>
        <w:t xml:space="preserve"> </w:t>
      </w:r>
      <w:r w:rsidRPr="00150EDC">
        <w:rPr>
          <w:rFonts w:ascii="Calibri"/>
          <w:sz w:val="24"/>
        </w:rPr>
        <w:t>with the Delivery of the Services and ensure that Supplier Staff comply with any reasonable instructions.</w:t>
      </w:r>
    </w:p>
    <w:p w14:paraId="54A514C7" w14:textId="77777777" w:rsidR="004C7180" w:rsidRPr="00150EDC" w:rsidRDefault="004C7180">
      <w:pPr>
        <w:pStyle w:val="BodyText"/>
        <w:spacing w:before="11"/>
        <w:rPr>
          <w:rFonts w:ascii="Calibri"/>
          <w:sz w:val="23"/>
        </w:rPr>
      </w:pPr>
    </w:p>
    <w:p w14:paraId="5C1AE711" w14:textId="77777777" w:rsidR="004C7180" w:rsidRPr="00150EDC" w:rsidRDefault="00CF0754" w:rsidP="00B320C7">
      <w:pPr>
        <w:pStyle w:val="ListParagraph"/>
        <w:numPr>
          <w:ilvl w:val="2"/>
          <w:numId w:val="182"/>
        </w:numPr>
        <w:tabs>
          <w:tab w:val="left" w:pos="1208"/>
        </w:tabs>
        <w:ind w:right="872" w:hanging="720"/>
        <w:rPr>
          <w:rFonts w:ascii="Calibri"/>
          <w:sz w:val="24"/>
        </w:rPr>
      </w:pPr>
      <w:r w:rsidRPr="00150EDC">
        <w:rPr>
          <w:rFonts w:ascii="Calibri"/>
          <w:sz w:val="24"/>
        </w:rPr>
        <w:t>The</w:t>
      </w:r>
      <w:r w:rsidRPr="00150EDC">
        <w:rPr>
          <w:rFonts w:ascii="Calibri"/>
          <w:spacing w:val="-2"/>
          <w:sz w:val="24"/>
        </w:rPr>
        <w:t xml:space="preserve"> </w:t>
      </w:r>
      <w:r w:rsidRPr="00150EDC">
        <w:rPr>
          <w:rFonts w:ascii="Calibri"/>
          <w:sz w:val="24"/>
        </w:rPr>
        <w:t>Supplier</w:t>
      </w:r>
      <w:r w:rsidRPr="00150EDC">
        <w:rPr>
          <w:rFonts w:ascii="Calibri"/>
          <w:spacing w:val="-4"/>
          <w:sz w:val="24"/>
        </w:rPr>
        <w:t xml:space="preserve"> </w:t>
      </w:r>
      <w:r w:rsidRPr="00150EDC">
        <w:rPr>
          <w:rFonts w:ascii="Calibri"/>
          <w:sz w:val="24"/>
        </w:rPr>
        <w:t>must</w:t>
      </w:r>
      <w:r w:rsidRPr="00150EDC">
        <w:rPr>
          <w:rFonts w:ascii="Calibri"/>
          <w:spacing w:val="-2"/>
          <w:sz w:val="24"/>
        </w:rPr>
        <w:t xml:space="preserve"> </w:t>
      </w:r>
      <w:r w:rsidRPr="00150EDC">
        <w:rPr>
          <w:rFonts w:ascii="Calibri"/>
          <w:sz w:val="24"/>
        </w:rPr>
        <w:t>at</w:t>
      </w:r>
      <w:r w:rsidRPr="00150EDC">
        <w:rPr>
          <w:rFonts w:ascii="Calibri"/>
          <w:spacing w:val="-2"/>
          <w:sz w:val="24"/>
        </w:rPr>
        <w:t xml:space="preserve"> </w:t>
      </w:r>
      <w:r w:rsidRPr="00150EDC">
        <w:rPr>
          <w:rFonts w:ascii="Calibri"/>
          <w:sz w:val="24"/>
        </w:rPr>
        <w:t>its</w:t>
      </w:r>
      <w:r w:rsidRPr="00150EDC">
        <w:rPr>
          <w:rFonts w:ascii="Calibri"/>
          <w:spacing w:val="-5"/>
          <w:sz w:val="24"/>
        </w:rPr>
        <w:t xml:space="preserve"> </w:t>
      </w:r>
      <w:r w:rsidRPr="00150EDC">
        <w:rPr>
          <w:rFonts w:ascii="Calibri"/>
          <w:sz w:val="24"/>
        </w:rPr>
        <w:t>own</w:t>
      </w:r>
      <w:r w:rsidRPr="00150EDC">
        <w:rPr>
          <w:rFonts w:ascii="Calibri"/>
          <w:spacing w:val="-2"/>
          <w:sz w:val="24"/>
        </w:rPr>
        <w:t xml:space="preserve"> </w:t>
      </w:r>
      <w:r w:rsidRPr="00150EDC">
        <w:rPr>
          <w:rFonts w:ascii="Calibri"/>
          <w:sz w:val="24"/>
        </w:rPr>
        <w:t>risk</w:t>
      </w:r>
      <w:r w:rsidRPr="00150EDC">
        <w:rPr>
          <w:rFonts w:ascii="Calibri"/>
          <w:spacing w:val="-4"/>
          <w:sz w:val="24"/>
        </w:rPr>
        <w:t xml:space="preserve"> </w:t>
      </w:r>
      <w:r w:rsidRPr="00150EDC">
        <w:rPr>
          <w:rFonts w:ascii="Calibri"/>
          <w:sz w:val="24"/>
        </w:rPr>
        <w:t>and</w:t>
      </w:r>
      <w:r w:rsidRPr="00150EDC">
        <w:rPr>
          <w:rFonts w:ascii="Calibri"/>
          <w:spacing w:val="-2"/>
          <w:sz w:val="24"/>
        </w:rPr>
        <w:t xml:space="preserve"> </w:t>
      </w:r>
      <w:r w:rsidRPr="00150EDC">
        <w:rPr>
          <w:rFonts w:ascii="Calibri"/>
          <w:sz w:val="24"/>
        </w:rPr>
        <w:t>expense</w:t>
      </w:r>
      <w:r w:rsidRPr="00150EDC">
        <w:rPr>
          <w:rFonts w:ascii="Calibri"/>
          <w:spacing w:val="-5"/>
          <w:sz w:val="24"/>
        </w:rPr>
        <w:t xml:space="preserve"> </w:t>
      </w:r>
      <w:r w:rsidRPr="00150EDC">
        <w:rPr>
          <w:rFonts w:ascii="Calibri"/>
          <w:sz w:val="24"/>
        </w:rPr>
        <w:t>provide</w:t>
      </w:r>
      <w:r w:rsidRPr="00150EDC">
        <w:rPr>
          <w:rFonts w:ascii="Calibri"/>
          <w:spacing w:val="-2"/>
          <w:sz w:val="24"/>
        </w:rPr>
        <w:t xml:space="preserve"> </w:t>
      </w:r>
      <w:r w:rsidRPr="00150EDC">
        <w:rPr>
          <w:rFonts w:ascii="Calibri"/>
          <w:sz w:val="24"/>
        </w:rPr>
        <w:t>all</w:t>
      </w:r>
      <w:r w:rsidRPr="00150EDC">
        <w:rPr>
          <w:rFonts w:ascii="Calibri"/>
          <w:spacing w:val="-5"/>
          <w:sz w:val="24"/>
        </w:rPr>
        <w:t xml:space="preserve"> </w:t>
      </w:r>
      <w:r w:rsidRPr="00150EDC">
        <w:rPr>
          <w:rFonts w:ascii="Calibri"/>
          <w:sz w:val="24"/>
        </w:rPr>
        <w:t>Supplier</w:t>
      </w:r>
      <w:r w:rsidRPr="00150EDC">
        <w:rPr>
          <w:rFonts w:ascii="Calibri"/>
          <w:spacing w:val="-2"/>
          <w:sz w:val="24"/>
        </w:rPr>
        <w:t xml:space="preserve"> </w:t>
      </w:r>
      <w:r w:rsidRPr="00150EDC">
        <w:rPr>
          <w:rFonts w:ascii="Calibri"/>
          <w:sz w:val="24"/>
        </w:rPr>
        <w:t>Equipment</w:t>
      </w:r>
      <w:r w:rsidRPr="00150EDC">
        <w:rPr>
          <w:rFonts w:ascii="Calibri"/>
          <w:spacing w:val="-4"/>
          <w:sz w:val="24"/>
        </w:rPr>
        <w:t xml:space="preserve"> </w:t>
      </w:r>
      <w:r w:rsidRPr="00150EDC">
        <w:rPr>
          <w:rFonts w:ascii="Calibri"/>
          <w:sz w:val="24"/>
        </w:rPr>
        <w:t>required</w:t>
      </w:r>
      <w:r w:rsidRPr="00150EDC">
        <w:rPr>
          <w:rFonts w:ascii="Calibri"/>
          <w:spacing w:val="-4"/>
          <w:sz w:val="24"/>
        </w:rPr>
        <w:t xml:space="preserve"> </w:t>
      </w:r>
      <w:r w:rsidRPr="00150EDC">
        <w:rPr>
          <w:rFonts w:ascii="Calibri"/>
          <w:sz w:val="24"/>
        </w:rPr>
        <w:t>to</w:t>
      </w:r>
      <w:r w:rsidRPr="00150EDC">
        <w:rPr>
          <w:rFonts w:ascii="Calibri"/>
          <w:spacing w:val="-4"/>
          <w:sz w:val="24"/>
        </w:rPr>
        <w:t xml:space="preserve"> </w:t>
      </w:r>
      <w:r w:rsidRPr="00150EDC">
        <w:rPr>
          <w:rFonts w:ascii="Calibri"/>
          <w:sz w:val="24"/>
        </w:rPr>
        <w:t>Deliver</w:t>
      </w:r>
      <w:r w:rsidRPr="00150EDC">
        <w:rPr>
          <w:rFonts w:ascii="Calibri"/>
          <w:spacing w:val="-4"/>
          <w:sz w:val="24"/>
        </w:rPr>
        <w:t xml:space="preserve"> </w:t>
      </w:r>
      <w:r w:rsidRPr="00150EDC">
        <w:rPr>
          <w:rFonts w:ascii="Calibri"/>
          <w:sz w:val="24"/>
        </w:rPr>
        <w:t xml:space="preserve">the </w:t>
      </w:r>
      <w:r w:rsidRPr="00150EDC">
        <w:rPr>
          <w:rFonts w:ascii="Calibri"/>
          <w:spacing w:val="-2"/>
          <w:sz w:val="24"/>
        </w:rPr>
        <w:t>Services.</w:t>
      </w:r>
    </w:p>
    <w:p w14:paraId="0F1F5524" w14:textId="77777777" w:rsidR="004C7180" w:rsidRPr="00150EDC" w:rsidRDefault="004C7180">
      <w:pPr>
        <w:pStyle w:val="BodyText"/>
        <w:rPr>
          <w:rFonts w:ascii="Calibri"/>
        </w:rPr>
      </w:pPr>
    </w:p>
    <w:p w14:paraId="4011F103" w14:textId="77777777" w:rsidR="004C7180" w:rsidRPr="00150EDC" w:rsidRDefault="00CF0754" w:rsidP="00B320C7">
      <w:pPr>
        <w:pStyle w:val="ListParagraph"/>
        <w:numPr>
          <w:ilvl w:val="2"/>
          <w:numId w:val="182"/>
        </w:numPr>
        <w:tabs>
          <w:tab w:val="left" w:pos="1207"/>
        </w:tabs>
        <w:ind w:left="1207" w:hanging="719"/>
        <w:rPr>
          <w:rFonts w:ascii="Calibri"/>
          <w:sz w:val="24"/>
        </w:rPr>
      </w:pPr>
      <w:r w:rsidRPr="00150EDC">
        <w:rPr>
          <w:rFonts w:ascii="Calibri"/>
          <w:sz w:val="24"/>
        </w:rPr>
        <w:t>The</w:t>
      </w:r>
      <w:r w:rsidRPr="00150EDC">
        <w:rPr>
          <w:rFonts w:ascii="Calibri"/>
          <w:spacing w:val="-6"/>
          <w:sz w:val="24"/>
        </w:rPr>
        <w:t xml:space="preserve"> </w:t>
      </w:r>
      <w:r w:rsidRPr="00150EDC">
        <w:rPr>
          <w:rFonts w:ascii="Calibri"/>
          <w:sz w:val="24"/>
        </w:rPr>
        <w:t>Supplier</w:t>
      </w:r>
      <w:r w:rsidRPr="00150EDC">
        <w:rPr>
          <w:rFonts w:ascii="Calibri"/>
          <w:spacing w:val="-6"/>
          <w:sz w:val="24"/>
        </w:rPr>
        <w:t xml:space="preserve"> </w:t>
      </w:r>
      <w:r w:rsidRPr="00150EDC">
        <w:rPr>
          <w:rFonts w:ascii="Calibri"/>
          <w:sz w:val="24"/>
        </w:rPr>
        <w:t>must</w:t>
      </w:r>
      <w:r w:rsidRPr="00150EDC">
        <w:rPr>
          <w:rFonts w:ascii="Calibri"/>
          <w:spacing w:val="-3"/>
          <w:sz w:val="24"/>
        </w:rPr>
        <w:t xml:space="preserve"> </w:t>
      </w:r>
      <w:r w:rsidRPr="00150EDC">
        <w:rPr>
          <w:rFonts w:ascii="Calibri"/>
          <w:sz w:val="24"/>
        </w:rPr>
        <w:t>allocate</w:t>
      </w:r>
      <w:r w:rsidRPr="00150EDC">
        <w:rPr>
          <w:rFonts w:ascii="Calibri"/>
          <w:spacing w:val="-4"/>
          <w:sz w:val="24"/>
        </w:rPr>
        <w:t xml:space="preserve"> </w:t>
      </w:r>
      <w:r w:rsidRPr="00150EDC">
        <w:rPr>
          <w:rFonts w:ascii="Calibri"/>
          <w:sz w:val="24"/>
        </w:rPr>
        <w:t>sufficient</w:t>
      </w:r>
      <w:r w:rsidRPr="00150EDC">
        <w:rPr>
          <w:rFonts w:ascii="Calibri"/>
          <w:spacing w:val="-5"/>
          <w:sz w:val="24"/>
        </w:rPr>
        <w:t xml:space="preserve"> </w:t>
      </w:r>
      <w:r w:rsidRPr="00150EDC">
        <w:rPr>
          <w:rFonts w:ascii="Calibri"/>
          <w:sz w:val="24"/>
        </w:rPr>
        <w:t>resources</w:t>
      </w:r>
      <w:r w:rsidRPr="00150EDC">
        <w:rPr>
          <w:rFonts w:ascii="Calibri"/>
          <w:spacing w:val="-5"/>
          <w:sz w:val="24"/>
        </w:rPr>
        <w:t xml:space="preserve"> </w:t>
      </w:r>
      <w:r w:rsidRPr="00150EDC">
        <w:rPr>
          <w:rFonts w:ascii="Calibri"/>
          <w:sz w:val="24"/>
        </w:rPr>
        <w:t>and</w:t>
      </w:r>
      <w:r w:rsidRPr="00150EDC">
        <w:rPr>
          <w:rFonts w:ascii="Calibri"/>
          <w:spacing w:val="-3"/>
          <w:sz w:val="24"/>
        </w:rPr>
        <w:t xml:space="preserve"> </w:t>
      </w:r>
      <w:r w:rsidRPr="00150EDC">
        <w:rPr>
          <w:rFonts w:ascii="Calibri"/>
          <w:sz w:val="24"/>
        </w:rPr>
        <w:t>appropriate</w:t>
      </w:r>
      <w:r w:rsidRPr="00150EDC">
        <w:rPr>
          <w:rFonts w:ascii="Calibri"/>
          <w:spacing w:val="-4"/>
          <w:sz w:val="24"/>
        </w:rPr>
        <w:t xml:space="preserve"> </w:t>
      </w:r>
      <w:r w:rsidRPr="00150EDC">
        <w:rPr>
          <w:rFonts w:ascii="Calibri"/>
          <w:sz w:val="24"/>
        </w:rPr>
        <w:t>expertise</w:t>
      </w:r>
      <w:r w:rsidRPr="00150EDC">
        <w:rPr>
          <w:rFonts w:ascii="Calibri"/>
          <w:spacing w:val="-3"/>
          <w:sz w:val="24"/>
        </w:rPr>
        <w:t xml:space="preserve"> </w:t>
      </w:r>
      <w:r w:rsidRPr="00150EDC">
        <w:rPr>
          <w:rFonts w:ascii="Calibri"/>
          <w:sz w:val="24"/>
        </w:rPr>
        <w:t>to</w:t>
      </w:r>
      <w:r w:rsidRPr="00150EDC">
        <w:rPr>
          <w:rFonts w:ascii="Calibri"/>
          <w:spacing w:val="-4"/>
          <w:sz w:val="24"/>
        </w:rPr>
        <w:t xml:space="preserve"> </w:t>
      </w:r>
      <w:r w:rsidRPr="00150EDC">
        <w:rPr>
          <w:rFonts w:ascii="Calibri"/>
          <w:sz w:val="24"/>
        </w:rPr>
        <w:t>each</w:t>
      </w:r>
      <w:r w:rsidRPr="00150EDC">
        <w:rPr>
          <w:rFonts w:ascii="Calibri"/>
          <w:spacing w:val="-5"/>
          <w:sz w:val="24"/>
        </w:rPr>
        <w:t xml:space="preserve"> </w:t>
      </w:r>
      <w:r w:rsidRPr="00150EDC">
        <w:rPr>
          <w:rFonts w:ascii="Calibri"/>
          <w:spacing w:val="-2"/>
          <w:sz w:val="24"/>
        </w:rPr>
        <w:t>Contract.</w:t>
      </w:r>
    </w:p>
    <w:p w14:paraId="0B57DD01" w14:textId="77777777" w:rsidR="004C7180" w:rsidRPr="00150EDC" w:rsidRDefault="004C7180">
      <w:pPr>
        <w:pStyle w:val="BodyText"/>
        <w:rPr>
          <w:rFonts w:ascii="Calibri"/>
        </w:rPr>
      </w:pPr>
    </w:p>
    <w:p w14:paraId="44C62BD5" w14:textId="77777777" w:rsidR="004C7180" w:rsidRPr="00150EDC" w:rsidRDefault="00CF0754" w:rsidP="00B320C7">
      <w:pPr>
        <w:pStyle w:val="ListParagraph"/>
        <w:numPr>
          <w:ilvl w:val="2"/>
          <w:numId w:val="182"/>
        </w:numPr>
        <w:tabs>
          <w:tab w:val="left" w:pos="1208"/>
        </w:tabs>
        <w:ind w:right="1415" w:hanging="720"/>
        <w:rPr>
          <w:rFonts w:ascii="Calibri" w:hAnsi="Calibri"/>
          <w:sz w:val="24"/>
        </w:rPr>
      </w:pPr>
      <w:r w:rsidRPr="00150EDC">
        <w:rPr>
          <w:rFonts w:ascii="Calibri" w:hAnsi="Calibri"/>
          <w:sz w:val="24"/>
        </w:rPr>
        <w:t>The</w:t>
      </w:r>
      <w:r w:rsidRPr="00150EDC">
        <w:rPr>
          <w:rFonts w:ascii="Calibri" w:hAnsi="Calibri"/>
          <w:spacing w:val="-2"/>
          <w:sz w:val="24"/>
        </w:rPr>
        <w:t xml:space="preserve"> </w:t>
      </w:r>
      <w:r w:rsidRPr="00150EDC">
        <w:rPr>
          <w:rFonts w:ascii="Calibri" w:hAnsi="Calibri"/>
          <w:sz w:val="24"/>
        </w:rPr>
        <w:t>Supplier</w:t>
      </w:r>
      <w:r w:rsidRPr="00150EDC">
        <w:rPr>
          <w:rFonts w:ascii="Calibri" w:hAnsi="Calibri"/>
          <w:spacing w:val="-4"/>
          <w:sz w:val="24"/>
        </w:rPr>
        <w:t xml:space="preserve"> </w:t>
      </w:r>
      <w:r w:rsidRPr="00150EDC">
        <w:rPr>
          <w:rFonts w:ascii="Calibri" w:hAnsi="Calibri"/>
          <w:sz w:val="24"/>
        </w:rPr>
        <w:t>must</w:t>
      </w:r>
      <w:r w:rsidRPr="00150EDC">
        <w:rPr>
          <w:rFonts w:ascii="Calibri" w:hAnsi="Calibri"/>
          <w:spacing w:val="-2"/>
          <w:sz w:val="24"/>
        </w:rPr>
        <w:t xml:space="preserve"> </w:t>
      </w:r>
      <w:r w:rsidRPr="00150EDC">
        <w:rPr>
          <w:rFonts w:ascii="Calibri" w:hAnsi="Calibri"/>
          <w:sz w:val="24"/>
        </w:rPr>
        <w:t>take</w:t>
      </w:r>
      <w:r w:rsidRPr="00150EDC">
        <w:rPr>
          <w:rFonts w:ascii="Calibri" w:hAnsi="Calibri"/>
          <w:spacing w:val="-2"/>
          <w:sz w:val="24"/>
        </w:rPr>
        <w:t xml:space="preserve"> </w:t>
      </w:r>
      <w:r w:rsidRPr="00150EDC">
        <w:rPr>
          <w:rFonts w:ascii="Calibri" w:hAnsi="Calibri"/>
          <w:sz w:val="24"/>
        </w:rPr>
        <w:t>all</w:t>
      </w:r>
      <w:r w:rsidRPr="00150EDC">
        <w:rPr>
          <w:rFonts w:ascii="Calibri" w:hAnsi="Calibri"/>
          <w:spacing w:val="-3"/>
          <w:sz w:val="24"/>
        </w:rPr>
        <w:t xml:space="preserve"> </w:t>
      </w:r>
      <w:r w:rsidRPr="00150EDC">
        <w:rPr>
          <w:rFonts w:ascii="Calibri" w:hAnsi="Calibri"/>
          <w:sz w:val="24"/>
        </w:rPr>
        <w:t>reasonable</w:t>
      </w:r>
      <w:r w:rsidRPr="00150EDC">
        <w:rPr>
          <w:rFonts w:ascii="Calibri" w:hAnsi="Calibri"/>
          <w:spacing w:val="-5"/>
          <w:sz w:val="24"/>
        </w:rPr>
        <w:t xml:space="preserve"> </w:t>
      </w:r>
      <w:r w:rsidRPr="00150EDC">
        <w:rPr>
          <w:rFonts w:ascii="Calibri" w:hAnsi="Calibri"/>
          <w:sz w:val="24"/>
        </w:rPr>
        <w:t>care</w:t>
      </w:r>
      <w:r w:rsidRPr="00150EDC">
        <w:rPr>
          <w:rFonts w:ascii="Calibri" w:hAnsi="Calibri"/>
          <w:spacing w:val="-4"/>
          <w:sz w:val="24"/>
        </w:rPr>
        <w:t xml:space="preserve"> </w:t>
      </w:r>
      <w:r w:rsidRPr="00150EDC">
        <w:rPr>
          <w:rFonts w:ascii="Calibri" w:hAnsi="Calibri"/>
          <w:sz w:val="24"/>
        </w:rPr>
        <w:t>to</w:t>
      </w:r>
      <w:r w:rsidRPr="00150EDC">
        <w:rPr>
          <w:rFonts w:ascii="Calibri" w:hAnsi="Calibri"/>
          <w:spacing w:val="-5"/>
          <w:sz w:val="24"/>
        </w:rPr>
        <w:t xml:space="preserve"> </w:t>
      </w:r>
      <w:r w:rsidRPr="00150EDC">
        <w:rPr>
          <w:rFonts w:ascii="Calibri" w:hAnsi="Calibri"/>
          <w:sz w:val="24"/>
        </w:rPr>
        <w:t>ensure</w:t>
      </w:r>
      <w:r w:rsidRPr="00150EDC">
        <w:rPr>
          <w:rFonts w:ascii="Calibri" w:hAnsi="Calibri"/>
          <w:spacing w:val="-4"/>
          <w:sz w:val="24"/>
        </w:rPr>
        <w:t xml:space="preserve"> </w:t>
      </w:r>
      <w:r w:rsidRPr="00150EDC">
        <w:rPr>
          <w:rFonts w:ascii="Calibri" w:hAnsi="Calibri"/>
          <w:sz w:val="24"/>
        </w:rPr>
        <w:t>performance</w:t>
      </w:r>
      <w:r w:rsidRPr="00150EDC">
        <w:rPr>
          <w:rFonts w:ascii="Calibri" w:hAnsi="Calibri"/>
          <w:spacing w:val="-2"/>
          <w:sz w:val="24"/>
        </w:rPr>
        <w:t xml:space="preserve"> </w:t>
      </w:r>
      <w:r w:rsidRPr="00150EDC">
        <w:rPr>
          <w:rFonts w:ascii="Calibri" w:hAnsi="Calibri"/>
          <w:sz w:val="24"/>
        </w:rPr>
        <w:t>does</w:t>
      </w:r>
      <w:r w:rsidRPr="00150EDC">
        <w:rPr>
          <w:rFonts w:ascii="Calibri" w:hAnsi="Calibri"/>
          <w:spacing w:val="-5"/>
          <w:sz w:val="24"/>
        </w:rPr>
        <w:t xml:space="preserve"> </w:t>
      </w:r>
      <w:r w:rsidRPr="00150EDC">
        <w:rPr>
          <w:rFonts w:ascii="Calibri" w:hAnsi="Calibri"/>
          <w:sz w:val="24"/>
        </w:rPr>
        <w:t>not</w:t>
      </w:r>
      <w:r w:rsidRPr="00150EDC">
        <w:rPr>
          <w:rFonts w:ascii="Calibri" w:hAnsi="Calibri"/>
          <w:spacing w:val="-3"/>
          <w:sz w:val="24"/>
        </w:rPr>
        <w:t xml:space="preserve"> </w:t>
      </w:r>
      <w:r w:rsidRPr="00150EDC">
        <w:rPr>
          <w:rFonts w:ascii="Calibri" w:hAnsi="Calibri"/>
          <w:sz w:val="24"/>
        </w:rPr>
        <w:t>disrupt</w:t>
      </w:r>
      <w:r w:rsidRPr="00150EDC">
        <w:rPr>
          <w:rFonts w:ascii="Calibri" w:hAnsi="Calibri"/>
          <w:spacing w:val="-4"/>
          <w:sz w:val="24"/>
        </w:rPr>
        <w:t xml:space="preserve"> </w:t>
      </w:r>
      <w:r w:rsidRPr="00150EDC">
        <w:rPr>
          <w:rFonts w:ascii="Calibri" w:hAnsi="Calibri"/>
          <w:sz w:val="24"/>
        </w:rPr>
        <w:t>the</w:t>
      </w:r>
      <w:r w:rsidRPr="00150EDC">
        <w:rPr>
          <w:rFonts w:ascii="Calibri" w:hAnsi="Calibri"/>
          <w:spacing w:val="-2"/>
          <w:sz w:val="24"/>
        </w:rPr>
        <w:t xml:space="preserve"> </w:t>
      </w:r>
      <w:r w:rsidRPr="00150EDC">
        <w:rPr>
          <w:rFonts w:ascii="Calibri" w:hAnsi="Calibri"/>
          <w:sz w:val="24"/>
        </w:rPr>
        <w:t>Buyer’s operations, employees or other contractors.</w:t>
      </w:r>
    </w:p>
    <w:p w14:paraId="018C5443" w14:textId="77777777" w:rsidR="004C7180" w:rsidRPr="00150EDC" w:rsidRDefault="004C7180">
      <w:pPr>
        <w:pStyle w:val="BodyText"/>
        <w:spacing w:before="2"/>
        <w:rPr>
          <w:rFonts w:ascii="Calibri"/>
        </w:rPr>
      </w:pPr>
    </w:p>
    <w:p w14:paraId="7F89458F" w14:textId="77777777" w:rsidR="004C7180" w:rsidRPr="00150EDC" w:rsidRDefault="00CF0754" w:rsidP="00B320C7">
      <w:pPr>
        <w:pStyle w:val="ListParagraph"/>
        <w:numPr>
          <w:ilvl w:val="2"/>
          <w:numId w:val="182"/>
        </w:numPr>
        <w:tabs>
          <w:tab w:val="left" w:pos="1208"/>
        </w:tabs>
        <w:ind w:right="961" w:hanging="720"/>
        <w:rPr>
          <w:rFonts w:ascii="Calibri"/>
          <w:sz w:val="24"/>
        </w:rPr>
      </w:pPr>
      <w:r w:rsidRPr="00150EDC">
        <w:rPr>
          <w:rFonts w:ascii="Calibri"/>
          <w:sz w:val="24"/>
        </w:rPr>
        <w:t>The</w:t>
      </w:r>
      <w:r w:rsidRPr="00150EDC">
        <w:rPr>
          <w:rFonts w:ascii="Calibri"/>
          <w:spacing w:val="-2"/>
          <w:sz w:val="24"/>
        </w:rPr>
        <w:t xml:space="preserve"> </w:t>
      </w:r>
      <w:r w:rsidRPr="00150EDC">
        <w:rPr>
          <w:rFonts w:ascii="Calibri"/>
          <w:sz w:val="24"/>
        </w:rPr>
        <w:t>Supplier</w:t>
      </w:r>
      <w:r w:rsidRPr="00150EDC">
        <w:rPr>
          <w:rFonts w:ascii="Calibri"/>
          <w:spacing w:val="-4"/>
          <w:sz w:val="24"/>
        </w:rPr>
        <w:t xml:space="preserve"> </w:t>
      </w:r>
      <w:r w:rsidRPr="00150EDC">
        <w:rPr>
          <w:rFonts w:ascii="Calibri"/>
          <w:sz w:val="24"/>
        </w:rPr>
        <w:t>must</w:t>
      </w:r>
      <w:r w:rsidRPr="00150EDC">
        <w:rPr>
          <w:rFonts w:ascii="Calibri"/>
          <w:spacing w:val="-2"/>
          <w:sz w:val="24"/>
        </w:rPr>
        <w:t xml:space="preserve"> </w:t>
      </w:r>
      <w:r w:rsidRPr="00150EDC">
        <w:rPr>
          <w:rFonts w:ascii="Calibri"/>
          <w:sz w:val="24"/>
        </w:rPr>
        <w:t>ensure</w:t>
      </w:r>
      <w:r w:rsidRPr="00150EDC">
        <w:rPr>
          <w:rFonts w:ascii="Calibri"/>
          <w:spacing w:val="-2"/>
          <w:sz w:val="24"/>
        </w:rPr>
        <w:t xml:space="preserve"> </w:t>
      </w:r>
      <w:r w:rsidRPr="00150EDC">
        <w:rPr>
          <w:rFonts w:ascii="Calibri"/>
          <w:sz w:val="24"/>
        </w:rPr>
        <w:t>all</w:t>
      </w:r>
      <w:r w:rsidRPr="00150EDC">
        <w:rPr>
          <w:rFonts w:ascii="Calibri"/>
          <w:spacing w:val="-2"/>
          <w:sz w:val="24"/>
        </w:rPr>
        <w:t xml:space="preserve"> </w:t>
      </w:r>
      <w:r w:rsidRPr="00150EDC">
        <w:rPr>
          <w:rFonts w:ascii="Calibri"/>
          <w:sz w:val="24"/>
        </w:rPr>
        <w:t>Services,</w:t>
      </w:r>
      <w:r w:rsidRPr="00150EDC">
        <w:rPr>
          <w:rFonts w:ascii="Calibri"/>
          <w:spacing w:val="-2"/>
          <w:sz w:val="24"/>
        </w:rPr>
        <w:t xml:space="preserve"> </w:t>
      </w:r>
      <w:r w:rsidRPr="00150EDC">
        <w:rPr>
          <w:rFonts w:ascii="Calibri"/>
          <w:sz w:val="24"/>
        </w:rPr>
        <w:t>and</w:t>
      </w:r>
      <w:r w:rsidRPr="00150EDC">
        <w:rPr>
          <w:rFonts w:ascii="Calibri"/>
          <w:spacing w:val="-2"/>
          <w:sz w:val="24"/>
        </w:rPr>
        <w:t xml:space="preserve"> </w:t>
      </w:r>
      <w:r w:rsidRPr="00150EDC">
        <w:rPr>
          <w:rFonts w:ascii="Calibri"/>
          <w:sz w:val="24"/>
        </w:rPr>
        <w:t>anything</w:t>
      </w:r>
      <w:r w:rsidRPr="00150EDC">
        <w:rPr>
          <w:rFonts w:ascii="Calibri"/>
          <w:spacing w:val="-3"/>
          <w:sz w:val="24"/>
        </w:rPr>
        <w:t xml:space="preserve"> </w:t>
      </w:r>
      <w:r w:rsidRPr="00150EDC">
        <w:rPr>
          <w:rFonts w:ascii="Calibri"/>
          <w:sz w:val="24"/>
        </w:rPr>
        <w:t>used</w:t>
      </w:r>
      <w:r w:rsidRPr="00150EDC">
        <w:rPr>
          <w:rFonts w:ascii="Calibri"/>
          <w:spacing w:val="-4"/>
          <w:sz w:val="24"/>
        </w:rPr>
        <w:t xml:space="preserve"> </w:t>
      </w:r>
      <w:r w:rsidRPr="00150EDC">
        <w:rPr>
          <w:rFonts w:ascii="Calibri"/>
          <w:sz w:val="24"/>
        </w:rPr>
        <w:t>to</w:t>
      </w:r>
      <w:r w:rsidRPr="00150EDC">
        <w:rPr>
          <w:rFonts w:ascii="Calibri"/>
          <w:spacing w:val="-4"/>
          <w:sz w:val="24"/>
        </w:rPr>
        <w:t xml:space="preserve"> </w:t>
      </w:r>
      <w:r w:rsidRPr="00150EDC">
        <w:rPr>
          <w:rFonts w:ascii="Calibri"/>
          <w:sz w:val="24"/>
        </w:rPr>
        <w:t>Deliver</w:t>
      </w:r>
      <w:r w:rsidRPr="00150EDC">
        <w:rPr>
          <w:rFonts w:ascii="Calibri"/>
          <w:spacing w:val="-4"/>
          <w:sz w:val="24"/>
        </w:rPr>
        <w:t xml:space="preserve"> </w:t>
      </w:r>
      <w:r w:rsidRPr="00150EDC">
        <w:rPr>
          <w:rFonts w:ascii="Calibri"/>
          <w:sz w:val="24"/>
        </w:rPr>
        <w:t>the</w:t>
      </w:r>
      <w:r w:rsidRPr="00150EDC">
        <w:rPr>
          <w:rFonts w:ascii="Calibri"/>
          <w:spacing w:val="-2"/>
          <w:sz w:val="24"/>
        </w:rPr>
        <w:t xml:space="preserve"> </w:t>
      </w:r>
      <w:r w:rsidRPr="00150EDC">
        <w:rPr>
          <w:rFonts w:ascii="Calibri"/>
          <w:sz w:val="24"/>
        </w:rPr>
        <w:t>Services,</w:t>
      </w:r>
      <w:r w:rsidRPr="00150EDC">
        <w:rPr>
          <w:rFonts w:ascii="Calibri"/>
          <w:spacing w:val="-2"/>
          <w:sz w:val="24"/>
        </w:rPr>
        <w:t xml:space="preserve"> </w:t>
      </w:r>
      <w:r w:rsidRPr="00150EDC">
        <w:rPr>
          <w:rFonts w:ascii="Calibri"/>
          <w:sz w:val="24"/>
        </w:rPr>
        <w:t>are</w:t>
      </w:r>
      <w:r w:rsidRPr="00150EDC">
        <w:rPr>
          <w:rFonts w:ascii="Calibri"/>
          <w:spacing w:val="-2"/>
          <w:sz w:val="24"/>
        </w:rPr>
        <w:t xml:space="preserve"> </w:t>
      </w:r>
      <w:r w:rsidRPr="00150EDC">
        <w:rPr>
          <w:rFonts w:ascii="Calibri"/>
          <w:sz w:val="24"/>
        </w:rPr>
        <w:t>of</w:t>
      </w:r>
      <w:r w:rsidRPr="00150EDC">
        <w:rPr>
          <w:rFonts w:ascii="Calibri"/>
          <w:spacing w:val="-2"/>
          <w:sz w:val="24"/>
        </w:rPr>
        <w:t xml:space="preserve"> </w:t>
      </w:r>
      <w:r w:rsidRPr="00150EDC">
        <w:rPr>
          <w:rFonts w:ascii="Calibri"/>
          <w:sz w:val="24"/>
        </w:rPr>
        <w:t>good</w:t>
      </w:r>
      <w:r w:rsidRPr="00150EDC">
        <w:rPr>
          <w:rFonts w:ascii="Calibri"/>
          <w:spacing w:val="-4"/>
          <w:sz w:val="24"/>
        </w:rPr>
        <w:t xml:space="preserve"> </w:t>
      </w:r>
      <w:r w:rsidRPr="00150EDC">
        <w:rPr>
          <w:rFonts w:ascii="Calibri"/>
          <w:sz w:val="24"/>
        </w:rPr>
        <w:t>quality and free from defects.</w:t>
      </w:r>
    </w:p>
    <w:p w14:paraId="503E7A22" w14:textId="77777777" w:rsidR="004C7180" w:rsidRPr="00150EDC" w:rsidRDefault="004C7180">
      <w:pPr>
        <w:pStyle w:val="BodyText"/>
        <w:spacing w:before="11"/>
        <w:rPr>
          <w:rFonts w:ascii="Calibri"/>
          <w:sz w:val="23"/>
        </w:rPr>
      </w:pPr>
    </w:p>
    <w:p w14:paraId="07E0410C" w14:textId="77777777" w:rsidR="004C7180" w:rsidRPr="00150EDC" w:rsidRDefault="00CF0754" w:rsidP="00B320C7">
      <w:pPr>
        <w:pStyle w:val="ListParagraph"/>
        <w:numPr>
          <w:ilvl w:val="2"/>
          <w:numId w:val="182"/>
        </w:numPr>
        <w:tabs>
          <w:tab w:val="left" w:pos="1208"/>
        </w:tabs>
        <w:spacing w:before="1"/>
        <w:ind w:right="807" w:hanging="720"/>
        <w:rPr>
          <w:rFonts w:ascii="Calibri"/>
          <w:sz w:val="24"/>
        </w:rPr>
      </w:pPr>
      <w:r w:rsidRPr="00150EDC">
        <w:rPr>
          <w:rFonts w:ascii="Calibri"/>
          <w:sz w:val="24"/>
        </w:rPr>
        <w:t>The</w:t>
      </w:r>
      <w:r w:rsidRPr="00150EDC">
        <w:rPr>
          <w:rFonts w:ascii="Calibri"/>
          <w:spacing w:val="-2"/>
          <w:sz w:val="24"/>
        </w:rPr>
        <w:t xml:space="preserve"> </w:t>
      </w:r>
      <w:r w:rsidRPr="00150EDC">
        <w:rPr>
          <w:rFonts w:ascii="Calibri"/>
          <w:sz w:val="24"/>
        </w:rPr>
        <w:t>Buyer</w:t>
      </w:r>
      <w:r w:rsidRPr="00150EDC">
        <w:rPr>
          <w:rFonts w:ascii="Calibri"/>
          <w:spacing w:val="-2"/>
          <w:sz w:val="24"/>
        </w:rPr>
        <w:t xml:space="preserve"> </w:t>
      </w:r>
      <w:r w:rsidRPr="00150EDC">
        <w:rPr>
          <w:rFonts w:ascii="Calibri"/>
          <w:sz w:val="24"/>
        </w:rPr>
        <w:t>is</w:t>
      </w:r>
      <w:r w:rsidRPr="00150EDC">
        <w:rPr>
          <w:rFonts w:ascii="Calibri"/>
          <w:spacing w:val="-3"/>
          <w:sz w:val="24"/>
        </w:rPr>
        <w:t xml:space="preserve"> </w:t>
      </w:r>
      <w:r w:rsidRPr="00150EDC">
        <w:rPr>
          <w:rFonts w:ascii="Calibri"/>
          <w:sz w:val="24"/>
        </w:rPr>
        <w:t>entitled</w:t>
      </w:r>
      <w:r w:rsidRPr="00150EDC">
        <w:rPr>
          <w:rFonts w:ascii="Calibri"/>
          <w:spacing w:val="-3"/>
          <w:sz w:val="24"/>
        </w:rPr>
        <w:t xml:space="preserve"> </w:t>
      </w:r>
      <w:r w:rsidRPr="00150EDC">
        <w:rPr>
          <w:rFonts w:ascii="Calibri"/>
          <w:sz w:val="24"/>
        </w:rPr>
        <w:t>to</w:t>
      </w:r>
      <w:r w:rsidRPr="00150EDC">
        <w:rPr>
          <w:rFonts w:ascii="Calibri"/>
          <w:spacing w:val="-3"/>
          <w:sz w:val="24"/>
        </w:rPr>
        <w:t xml:space="preserve"> </w:t>
      </w:r>
      <w:r w:rsidRPr="00150EDC">
        <w:rPr>
          <w:rFonts w:ascii="Calibri"/>
          <w:sz w:val="24"/>
        </w:rPr>
        <w:t>withhold</w:t>
      </w:r>
      <w:r w:rsidRPr="00150EDC">
        <w:rPr>
          <w:rFonts w:ascii="Calibri"/>
          <w:spacing w:val="-3"/>
          <w:sz w:val="24"/>
        </w:rPr>
        <w:t xml:space="preserve"> </w:t>
      </w:r>
      <w:r w:rsidRPr="00150EDC">
        <w:rPr>
          <w:rFonts w:ascii="Calibri"/>
          <w:sz w:val="24"/>
        </w:rPr>
        <w:t>payment</w:t>
      </w:r>
      <w:r w:rsidRPr="00150EDC">
        <w:rPr>
          <w:rFonts w:ascii="Calibri"/>
          <w:spacing w:val="-3"/>
          <w:sz w:val="24"/>
        </w:rPr>
        <w:t xml:space="preserve"> </w:t>
      </w:r>
      <w:r w:rsidRPr="00150EDC">
        <w:rPr>
          <w:rFonts w:ascii="Calibri"/>
          <w:sz w:val="24"/>
        </w:rPr>
        <w:t>for</w:t>
      </w:r>
      <w:r w:rsidRPr="00150EDC">
        <w:rPr>
          <w:rFonts w:ascii="Calibri"/>
          <w:spacing w:val="-3"/>
          <w:sz w:val="24"/>
        </w:rPr>
        <w:t xml:space="preserve"> </w:t>
      </w:r>
      <w:r w:rsidRPr="00150EDC">
        <w:rPr>
          <w:rFonts w:ascii="Calibri"/>
          <w:sz w:val="24"/>
        </w:rPr>
        <w:t>partially</w:t>
      </w:r>
      <w:r w:rsidRPr="00150EDC">
        <w:rPr>
          <w:rFonts w:ascii="Calibri"/>
          <w:spacing w:val="-3"/>
          <w:sz w:val="24"/>
        </w:rPr>
        <w:t xml:space="preserve"> </w:t>
      </w:r>
      <w:r w:rsidRPr="00150EDC">
        <w:rPr>
          <w:rFonts w:ascii="Calibri"/>
          <w:sz w:val="24"/>
        </w:rPr>
        <w:t>or</w:t>
      </w:r>
      <w:r w:rsidRPr="00150EDC">
        <w:rPr>
          <w:rFonts w:ascii="Calibri"/>
          <w:spacing w:val="-4"/>
          <w:sz w:val="24"/>
        </w:rPr>
        <w:t xml:space="preserve"> </w:t>
      </w:r>
      <w:r w:rsidRPr="00150EDC">
        <w:rPr>
          <w:rFonts w:ascii="Calibri"/>
          <w:sz w:val="24"/>
        </w:rPr>
        <w:t>undelivered</w:t>
      </w:r>
      <w:r w:rsidRPr="00150EDC">
        <w:rPr>
          <w:rFonts w:ascii="Calibri"/>
          <w:spacing w:val="-3"/>
          <w:sz w:val="24"/>
        </w:rPr>
        <w:t xml:space="preserve"> </w:t>
      </w:r>
      <w:r w:rsidRPr="00150EDC">
        <w:rPr>
          <w:rFonts w:ascii="Calibri"/>
          <w:sz w:val="24"/>
        </w:rPr>
        <w:t>Services,</w:t>
      </w:r>
      <w:r w:rsidRPr="00150EDC">
        <w:rPr>
          <w:rFonts w:ascii="Calibri"/>
          <w:spacing w:val="-2"/>
          <w:sz w:val="24"/>
        </w:rPr>
        <w:t xml:space="preserve"> </w:t>
      </w:r>
      <w:r w:rsidRPr="00150EDC">
        <w:rPr>
          <w:rFonts w:ascii="Calibri"/>
          <w:sz w:val="24"/>
        </w:rPr>
        <w:t>but</w:t>
      </w:r>
      <w:r w:rsidRPr="00150EDC">
        <w:rPr>
          <w:rFonts w:ascii="Calibri"/>
          <w:spacing w:val="-2"/>
          <w:sz w:val="24"/>
        </w:rPr>
        <w:t xml:space="preserve"> </w:t>
      </w:r>
      <w:r w:rsidRPr="00150EDC">
        <w:rPr>
          <w:rFonts w:ascii="Calibri"/>
          <w:sz w:val="24"/>
        </w:rPr>
        <w:t>doing</w:t>
      </w:r>
      <w:r w:rsidRPr="00150EDC">
        <w:rPr>
          <w:rFonts w:ascii="Calibri"/>
          <w:spacing w:val="-4"/>
          <w:sz w:val="24"/>
        </w:rPr>
        <w:t xml:space="preserve"> </w:t>
      </w:r>
      <w:r w:rsidRPr="00150EDC">
        <w:rPr>
          <w:rFonts w:ascii="Calibri"/>
          <w:sz w:val="24"/>
        </w:rPr>
        <w:t>so</w:t>
      </w:r>
      <w:r w:rsidRPr="00150EDC">
        <w:rPr>
          <w:rFonts w:ascii="Calibri"/>
          <w:spacing w:val="-2"/>
          <w:sz w:val="24"/>
        </w:rPr>
        <w:t xml:space="preserve"> </w:t>
      </w:r>
      <w:r w:rsidRPr="00150EDC">
        <w:rPr>
          <w:rFonts w:ascii="Calibri"/>
          <w:sz w:val="24"/>
        </w:rPr>
        <w:t>does</w:t>
      </w:r>
      <w:r w:rsidRPr="00150EDC">
        <w:rPr>
          <w:rFonts w:ascii="Calibri"/>
          <w:spacing w:val="-4"/>
          <w:sz w:val="24"/>
        </w:rPr>
        <w:t xml:space="preserve"> </w:t>
      </w:r>
      <w:r w:rsidRPr="00150EDC">
        <w:rPr>
          <w:rFonts w:ascii="Calibri"/>
          <w:sz w:val="24"/>
        </w:rPr>
        <w:t>not stop it from using its other rights under the Contract.</w:t>
      </w:r>
    </w:p>
    <w:p w14:paraId="412C22E8" w14:textId="77777777" w:rsidR="004C7180" w:rsidRPr="00150EDC" w:rsidRDefault="004C7180">
      <w:pPr>
        <w:pStyle w:val="BodyText"/>
        <w:spacing w:before="7"/>
        <w:rPr>
          <w:rFonts w:ascii="Calibri"/>
          <w:sz w:val="25"/>
        </w:rPr>
      </w:pPr>
    </w:p>
    <w:p w14:paraId="5543E4F0" w14:textId="77777777" w:rsidR="004C7180" w:rsidRPr="00150EDC" w:rsidRDefault="00CF0754" w:rsidP="00B320C7">
      <w:pPr>
        <w:pStyle w:val="Heading1"/>
        <w:numPr>
          <w:ilvl w:val="0"/>
          <w:numId w:val="182"/>
        </w:numPr>
        <w:tabs>
          <w:tab w:val="left" w:pos="926"/>
        </w:tabs>
        <w:spacing w:before="1"/>
        <w:ind w:left="926" w:hanging="359"/>
        <w:jc w:val="left"/>
        <w:rPr>
          <w:rFonts w:ascii="Calibri"/>
        </w:rPr>
      </w:pPr>
      <w:r w:rsidRPr="00150EDC">
        <w:rPr>
          <w:rFonts w:ascii="Calibri"/>
        </w:rPr>
        <w:t>Pricing</w:t>
      </w:r>
      <w:r w:rsidRPr="00150EDC">
        <w:rPr>
          <w:rFonts w:ascii="Calibri"/>
          <w:spacing w:val="-2"/>
        </w:rPr>
        <w:t xml:space="preserve"> </w:t>
      </w:r>
      <w:r w:rsidRPr="00150EDC">
        <w:rPr>
          <w:rFonts w:ascii="Calibri"/>
        </w:rPr>
        <w:t xml:space="preserve">and </w:t>
      </w:r>
      <w:r w:rsidRPr="00150EDC">
        <w:rPr>
          <w:rFonts w:ascii="Calibri"/>
          <w:spacing w:val="-2"/>
        </w:rPr>
        <w:t>payments</w:t>
      </w:r>
    </w:p>
    <w:p w14:paraId="28B2B00B" w14:textId="77777777" w:rsidR="004C7180" w:rsidRPr="00150EDC" w:rsidRDefault="00CF0754" w:rsidP="00B320C7">
      <w:pPr>
        <w:pStyle w:val="ListParagraph"/>
        <w:numPr>
          <w:ilvl w:val="1"/>
          <w:numId w:val="182"/>
        </w:numPr>
        <w:tabs>
          <w:tab w:val="left" w:pos="1066"/>
        </w:tabs>
        <w:spacing w:before="20"/>
        <w:ind w:hanging="566"/>
        <w:rPr>
          <w:rFonts w:ascii="Calibri"/>
          <w:sz w:val="24"/>
        </w:rPr>
      </w:pPr>
      <w:r w:rsidRPr="00150EDC">
        <w:rPr>
          <w:rFonts w:ascii="Calibri"/>
          <w:sz w:val="24"/>
        </w:rPr>
        <w:t>In</w:t>
      </w:r>
      <w:r w:rsidRPr="00150EDC">
        <w:rPr>
          <w:rFonts w:ascii="Calibri"/>
          <w:spacing w:val="-4"/>
          <w:sz w:val="24"/>
        </w:rPr>
        <w:t xml:space="preserve"> </w:t>
      </w:r>
      <w:r w:rsidRPr="00150EDC">
        <w:rPr>
          <w:rFonts w:ascii="Calibri"/>
          <w:sz w:val="24"/>
        </w:rPr>
        <w:t>exchange</w:t>
      </w:r>
      <w:r w:rsidRPr="00150EDC">
        <w:rPr>
          <w:rFonts w:ascii="Calibri"/>
          <w:spacing w:val="-4"/>
          <w:sz w:val="24"/>
        </w:rPr>
        <w:t xml:space="preserve"> </w:t>
      </w:r>
      <w:r w:rsidRPr="00150EDC">
        <w:rPr>
          <w:rFonts w:ascii="Calibri"/>
          <w:sz w:val="24"/>
        </w:rPr>
        <w:t>for</w:t>
      </w:r>
      <w:r w:rsidRPr="00150EDC">
        <w:rPr>
          <w:rFonts w:ascii="Calibri"/>
          <w:spacing w:val="-4"/>
          <w:sz w:val="24"/>
        </w:rPr>
        <w:t xml:space="preserve"> </w:t>
      </w:r>
      <w:r w:rsidRPr="00150EDC">
        <w:rPr>
          <w:rFonts w:ascii="Calibri"/>
          <w:sz w:val="24"/>
        </w:rPr>
        <w:t>the</w:t>
      </w:r>
      <w:r w:rsidRPr="00150EDC">
        <w:rPr>
          <w:rFonts w:ascii="Calibri"/>
          <w:spacing w:val="-4"/>
          <w:sz w:val="24"/>
        </w:rPr>
        <w:t xml:space="preserve"> </w:t>
      </w:r>
      <w:r w:rsidRPr="00150EDC">
        <w:rPr>
          <w:rFonts w:ascii="Calibri"/>
          <w:sz w:val="24"/>
        </w:rPr>
        <w:t>Deliverables,</w:t>
      </w:r>
      <w:r w:rsidRPr="00150EDC">
        <w:rPr>
          <w:rFonts w:ascii="Calibri"/>
          <w:spacing w:val="-5"/>
          <w:sz w:val="24"/>
        </w:rPr>
        <w:t xml:space="preserve"> </w:t>
      </w:r>
      <w:r w:rsidRPr="00150EDC">
        <w:rPr>
          <w:rFonts w:ascii="Calibri"/>
          <w:sz w:val="24"/>
        </w:rPr>
        <w:t>the</w:t>
      </w:r>
      <w:r w:rsidRPr="00150EDC">
        <w:rPr>
          <w:rFonts w:ascii="Calibri"/>
          <w:spacing w:val="-1"/>
          <w:sz w:val="24"/>
        </w:rPr>
        <w:t xml:space="preserve"> </w:t>
      </w:r>
      <w:r w:rsidRPr="00150EDC">
        <w:rPr>
          <w:rFonts w:ascii="Calibri"/>
          <w:sz w:val="24"/>
        </w:rPr>
        <w:t>Supplier</w:t>
      </w:r>
      <w:r w:rsidRPr="00150EDC">
        <w:rPr>
          <w:rFonts w:ascii="Calibri"/>
          <w:spacing w:val="-4"/>
          <w:sz w:val="24"/>
        </w:rPr>
        <w:t xml:space="preserve"> </w:t>
      </w:r>
      <w:r w:rsidRPr="00150EDC">
        <w:rPr>
          <w:rFonts w:ascii="Calibri"/>
          <w:sz w:val="24"/>
        </w:rPr>
        <w:t>must</w:t>
      </w:r>
      <w:r w:rsidRPr="00150EDC">
        <w:rPr>
          <w:rFonts w:ascii="Calibri"/>
          <w:spacing w:val="-1"/>
          <w:sz w:val="24"/>
        </w:rPr>
        <w:t xml:space="preserve"> </w:t>
      </w:r>
      <w:r w:rsidRPr="00150EDC">
        <w:rPr>
          <w:rFonts w:ascii="Calibri"/>
          <w:sz w:val="24"/>
        </w:rPr>
        <w:t>invoice</w:t>
      </w:r>
      <w:r w:rsidRPr="00150EDC">
        <w:rPr>
          <w:rFonts w:ascii="Calibri"/>
          <w:spacing w:val="-4"/>
          <w:sz w:val="24"/>
        </w:rPr>
        <w:t xml:space="preserve"> </w:t>
      </w:r>
      <w:r w:rsidRPr="00150EDC">
        <w:rPr>
          <w:rFonts w:ascii="Calibri"/>
          <w:sz w:val="24"/>
        </w:rPr>
        <w:t>the</w:t>
      </w:r>
      <w:r w:rsidRPr="00150EDC">
        <w:rPr>
          <w:rFonts w:ascii="Calibri"/>
          <w:spacing w:val="-2"/>
          <w:sz w:val="24"/>
        </w:rPr>
        <w:t xml:space="preserve"> </w:t>
      </w:r>
      <w:r w:rsidRPr="00150EDC">
        <w:rPr>
          <w:rFonts w:ascii="Calibri"/>
          <w:sz w:val="24"/>
        </w:rPr>
        <w:t>Buyer</w:t>
      </w:r>
      <w:r w:rsidRPr="00150EDC">
        <w:rPr>
          <w:rFonts w:ascii="Calibri"/>
          <w:spacing w:val="-1"/>
          <w:sz w:val="24"/>
        </w:rPr>
        <w:t xml:space="preserve"> </w:t>
      </w:r>
      <w:r w:rsidRPr="00150EDC">
        <w:rPr>
          <w:rFonts w:ascii="Calibri"/>
          <w:sz w:val="24"/>
        </w:rPr>
        <w:t>for</w:t>
      </w:r>
      <w:r w:rsidRPr="00150EDC">
        <w:rPr>
          <w:rFonts w:ascii="Calibri"/>
          <w:spacing w:val="-4"/>
          <w:sz w:val="24"/>
        </w:rPr>
        <w:t xml:space="preserve"> </w:t>
      </w:r>
      <w:r w:rsidRPr="00150EDC">
        <w:rPr>
          <w:rFonts w:ascii="Calibri"/>
          <w:sz w:val="24"/>
        </w:rPr>
        <w:t>the</w:t>
      </w:r>
      <w:r w:rsidRPr="00150EDC">
        <w:rPr>
          <w:rFonts w:ascii="Calibri"/>
          <w:spacing w:val="7"/>
          <w:sz w:val="24"/>
        </w:rPr>
        <w:t xml:space="preserve"> </w:t>
      </w:r>
      <w:r w:rsidRPr="00150EDC">
        <w:rPr>
          <w:rFonts w:ascii="Calibri"/>
          <w:sz w:val="24"/>
        </w:rPr>
        <w:t>Charges</w:t>
      </w:r>
      <w:r w:rsidRPr="00150EDC">
        <w:rPr>
          <w:rFonts w:ascii="Calibri"/>
          <w:spacing w:val="-2"/>
          <w:sz w:val="24"/>
        </w:rPr>
        <w:t xml:space="preserve"> </w:t>
      </w:r>
      <w:r w:rsidRPr="00150EDC">
        <w:rPr>
          <w:rFonts w:ascii="Calibri"/>
          <w:sz w:val="24"/>
        </w:rPr>
        <w:t>in</w:t>
      </w:r>
      <w:r w:rsidRPr="00150EDC">
        <w:rPr>
          <w:rFonts w:ascii="Calibri"/>
          <w:spacing w:val="-4"/>
          <w:sz w:val="24"/>
        </w:rPr>
        <w:t xml:space="preserve"> </w:t>
      </w:r>
      <w:r w:rsidRPr="00150EDC">
        <w:rPr>
          <w:rFonts w:ascii="Calibri"/>
          <w:sz w:val="24"/>
        </w:rPr>
        <w:t>the</w:t>
      </w:r>
      <w:r w:rsidRPr="00150EDC">
        <w:rPr>
          <w:rFonts w:ascii="Calibri"/>
          <w:spacing w:val="-1"/>
          <w:sz w:val="24"/>
        </w:rPr>
        <w:t xml:space="preserve"> </w:t>
      </w:r>
      <w:r w:rsidRPr="00150EDC">
        <w:rPr>
          <w:rFonts w:ascii="Calibri"/>
          <w:sz w:val="24"/>
        </w:rPr>
        <w:t>Order</w:t>
      </w:r>
      <w:r w:rsidRPr="00150EDC">
        <w:rPr>
          <w:rFonts w:ascii="Calibri"/>
          <w:spacing w:val="-6"/>
          <w:sz w:val="24"/>
        </w:rPr>
        <w:t xml:space="preserve"> </w:t>
      </w:r>
      <w:r w:rsidRPr="00150EDC">
        <w:rPr>
          <w:rFonts w:ascii="Calibri"/>
          <w:spacing w:val="-2"/>
          <w:sz w:val="24"/>
        </w:rPr>
        <w:t>Form.</w:t>
      </w:r>
    </w:p>
    <w:p w14:paraId="6A185C34" w14:textId="77777777" w:rsidR="004C7180" w:rsidRPr="00150EDC" w:rsidRDefault="004C7180">
      <w:pPr>
        <w:pStyle w:val="BodyText"/>
        <w:spacing w:before="12"/>
        <w:rPr>
          <w:rFonts w:ascii="Calibri"/>
          <w:sz w:val="23"/>
        </w:rPr>
      </w:pPr>
    </w:p>
    <w:p w14:paraId="4396184C" w14:textId="77777777" w:rsidR="004C7180" w:rsidRPr="00150EDC" w:rsidRDefault="00CF0754" w:rsidP="00B320C7">
      <w:pPr>
        <w:pStyle w:val="ListParagraph"/>
        <w:numPr>
          <w:ilvl w:val="1"/>
          <w:numId w:val="182"/>
        </w:numPr>
        <w:tabs>
          <w:tab w:val="left" w:pos="1066"/>
        </w:tabs>
        <w:ind w:hanging="566"/>
        <w:rPr>
          <w:rFonts w:ascii="Calibri"/>
          <w:sz w:val="24"/>
        </w:rPr>
      </w:pPr>
      <w:r w:rsidRPr="00150EDC">
        <w:rPr>
          <w:rFonts w:ascii="Calibri"/>
          <w:sz w:val="24"/>
        </w:rPr>
        <w:t>CCS</w:t>
      </w:r>
      <w:r w:rsidRPr="00150EDC">
        <w:rPr>
          <w:rFonts w:ascii="Calibri"/>
          <w:spacing w:val="-4"/>
          <w:sz w:val="24"/>
        </w:rPr>
        <w:t xml:space="preserve"> </w:t>
      </w:r>
      <w:r w:rsidRPr="00150EDC">
        <w:rPr>
          <w:rFonts w:ascii="Calibri"/>
          <w:sz w:val="24"/>
        </w:rPr>
        <w:t>must</w:t>
      </w:r>
      <w:r w:rsidRPr="00150EDC">
        <w:rPr>
          <w:rFonts w:ascii="Calibri"/>
          <w:spacing w:val="-1"/>
          <w:sz w:val="24"/>
        </w:rPr>
        <w:t xml:space="preserve"> </w:t>
      </w:r>
      <w:r w:rsidRPr="00150EDC">
        <w:rPr>
          <w:rFonts w:ascii="Calibri"/>
          <w:sz w:val="24"/>
        </w:rPr>
        <w:t>invoice</w:t>
      </w:r>
      <w:r w:rsidRPr="00150EDC">
        <w:rPr>
          <w:rFonts w:ascii="Calibri"/>
          <w:spacing w:val="-3"/>
          <w:sz w:val="24"/>
        </w:rPr>
        <w:t xml:space="preserve"> </w:t>
      </w:r>
      <w:r w:rsidRPr="00150EDC">
        <w:rPr>
          <w:rFonts w:ascii="Calibri"/>
          <w:sz w:val="24"/>
        </w:rPr>
        <w:t>the</w:t>
      </w:r>
      <w:r w:rsidRPr="00150EDC">
        <w:rPr>
          <w:rFonts w:ascii="Calibri"/>
          <w:spacing w:val="-4"/>
          <w:sz w:val="24"/>
        </w:rPr>
        <w:t xml:space="preserve"> </w:t>
      </w:r>
      <w:r w:rsidRPr="00150EDC">
        <w:rPr>
          <w:rFonts w:ascii="Calibri"/>
          <w:sz w:val="24"/>
        </w:rPr>
        <w:t>Supplier</w:t>
      </w:r>
      <w:r w:rsidRPr="00150EDC">
        <w:rPr>
          <w:rFonts w:ascii="Calibri"/>
          <w:spacing w:val="-3"/>
          <w:sz w:val="24"/>
        </w:rPr>
        <w:t xml:space="preserve"> </w:t>
      </w:r>
      <w:r w:rsidRPr="00150EDC">
        <w:rPr>
          <w:rFonts w:ascii="Calibri"/>
          <w:sz w:val="24"/>
        </w:rPr>
        <w:t>for</w:t>
      </w:r>
      <w:r w:rsidRPr="00150EDC">
        <w:rPr>
          <w:rFonts w:ascii="Calibri"/>
          <w:spacing w:val="-2"/>
          <w:sz w:val="24"/>
        </w:rPr>
        <w:t xml:space="preserve"> </w:t>
      </w:r>
      <w:r w:rsidRPr="00150EDC">
        <w:rPr>
          <w:rFonts w:ascii="Calibri"/>
          <w:sz w:val="24"/>
        </w:rPr>
        <w:t>the</w:t>
      </w:r>
      <w:r w:rsidRPr="00150EDC">
        <w:rPr>
          <w:rFonts w:ascii="Calibri"/>
          <w:spacing w:val="-3"/>
          <w:sz w:val="24"/>
        </w:rPr>
        <w:t xml:space="preserve"> </w:t>
      </w:r>
      <w:r w:rsidRPr="00150EDC">
        <w:rPr>
          <w:rFonts w:ascii="Calibri"/>
          <w:sz w:val="24"/>
        </w:rPr>
        <w:t>Management</w:t>
      </w:r>
      <w:r w:rsidRPr="00150EDC">
        <w:rPr>
          <w:rFonts w:ascii="Calibri"/>
          <w:spacing w:val="-1"/>
          <w:sz w:val="24"/>
        </w:rPr>
        <w:t xml:space="preserve"> </w:t>
      </w:r>
      <w:r w:rsidRPr="00150EDC">
        <w:rPr>
          <w:rFonts w:ascii="Calibri"/>
          <w:sz w:val="24"/>
        </w:rPr>
        <w:t>Levy</w:t>
      </w:r>
      <w:r w:rsidRPr="00150EDC">
        <w:rPr>
          <w:rFonts w:ascii="Calibri"/>
          <w:spacing w:val="-1"/>
          <w:sz w:val="24"/>
        </w:rPr>
        <w:t xml:space="preserve"> </w:t>
      </w:r>
      <w:r w:rsidRPr="00150EDC">
        <w:rPr>
          <w:rFonts w:ascii="Calibri"/>
          <w:sz w:val="24"/>
        </w:rPr>
        <w:t>and</w:t>
      </w:r>
      <w:r w:rsidRPr="00150EDC">
        <w:rPr>
          <w:rFonts w:ascii="Calibri"/>
          <w:spacing w:val="-3"/>
          <w:sz w:val="24"/>
        </w:rPr>
        <w:t xml:space="preserve"> </w:t>
      </w:r>
      <w:r w:rsidRPr="00150EDC">
        <w:rPr>
          <w:rFonts w:ascii="Calibri"/>
          <w:sz w:val="24"/>
        </w:rPr>
        <w:t>the</w:t>
      </w:r>
      <w:r w:rsidRPr="00150EDC">
        <w:rPr>
          <w:rFonts w:ascii="Calibri"/>
          <w:spacing w:val="-1"/>
          <w:sz w:val="24"/>
        </w:rPr>
        <w:t xml:space="preserve"> </w:t>
      </w:r>
      <w:r w:rsidRPr="00150EDC">
        <w:rPr>
          <w:rFonts w:ascii="Calibri"/>
          <w:sz w:val="24"/>
        </w:rPr>
        <w:t>Supplier</w:t>
      </w:r>
      <w:r w:rsidRPr="00150EDC">
        <w:rPr>
          <w:rFonts w:ascii="Calibri"/>
          <w:spacing w:val="-2"/>
          <w:sz w:val="24"/>
        </w:rPr>
        <w:t xml:space="preserve"> </w:t>
      </w:r>
      <w:r w:rsidRPr="00150EDC">
        <w:rPr>
          <w:rFonts w:ascii="Calibri"/>
          <w:sz w:val="24"/>
        </w:rPr>
        <w:t>must</w:t>
      </w:r>
      <w:r w:rsidRPr="00150EDC">
        <w:rPr>
          <w:rFonts w:ascii="Calibri"/>
          <w:spacing w:val="-3"/>
          <w:sz w:val="24"/>
        </w:rPr>
        <w:t xml:space="preserve"> </w:t>
      </w:r>
      <w:r w:rsidRPr="00150EDC">
        <w:rPr>
          <w:rFonts w:ascii="Calibri"/>
          <w:sz w:val="24"/>
        </w:rPr>
        <w:t>pay</w:t>
      </w:r>
      <w:r w:rsidRPr="00150EDC">
        <w:rPr>
          <w:rFonts w:ascii="Calibri"/>
          <w:spacing w:val="-2"/>
          <w:sz w:val="24"/>
        </w:rPr>
        <w:t xml:space="preserve"> </w:t>
      </w:r>
      <w:r w:rsidRPr="00150EDC">
        <w:rPr>
          <w:rFonts w:ascii="Calibri"/>
          <w:sz w:val="24"/>
        </w:rPr>
        <w:t>it using</w:t>
      </w:r>
      <w:r w:rsidRPr="00150EDC">
        <w:rPr>
          <w:rFonts w:ascii="Calibri"/>
          <w:spacing w:val="-4"/>
          <w:sz w:val="24"/>
        </w:rPr>
        <w:t xml:space="preserve"> </w:t>
      </w:r>
      <w:r w:rsidRPr="00150EDC">
        <w:rPr>
          <w:rFonts w:ascii="Calibri"/>
          <w:sz w:val="24"/>
        </w:rPr>
        <w:t>the</w:t>
      </w:r>
      <w:r w:rsidRPr="00150EDC">
        <w:rPr>
          <w:rFonts w:ascii="Calibri"/>
          <w:spacing w:val="-3"/>
          <w:sz w:val="24"/>
        </w:rPr>
        <w:t xml:space="preserve"> </w:t>
      </w:r>
      <w:r w:rsidRPr="00150EDC">
        <w:rPr>
          <w:rFonts w:ascii="Calibri"/>
          <w:spacing w:val="-2"/>
          <w:sz w:val="24"/>
        </w:rPr>
        <w:t>process</w:t>
      </w:r>
    </w:p>
    <w:p w14:paraId="702EFA8A" w14:textId="77777777" w:rsidR="004C7180" w:rsidRPr="00150EDC" w:rsidRDefault="004C7180">
      <w:pPr>
        <w:rPr>
          <w:rFonts w:ascii="Calibri"/>
          <w:sz w:val="24"/>
        </w:rPr>
        <w:sectPr w:rsidR="004C7180" w:rsidRPr="00150EDC">
          <w:pgSz w:w="11910" w:h="16840"/>
          <w:pgMar w:top="620" w:right="0" w:bottom="2440" w:left="40" w:header="403" w:footer="2245" w:gutter="0"/>
          <w:cols w:space="720"/>
        </w:sectPr>
      </w:pPr>
    </w:p>
    <w:p w14:paraId="554E85A7" w14:textId="77777777" w:rsidR="004C7180" w:rsidRPr="00150EDC" w:rsidRDefault="004C7180">
      <w:pPr>
        <w:pStyle w:val="BodyText"/>
        <w:spacing w:before="1"/>
        <w:rPr>
          <w:rFonts w:ascii="Calibri"/>
          <w:sz w:val="18"/>
        </w:rPr>
      </w:pPr>
    </w:p>
    <w:p w14:paraId="406A4BE2" w14:textId="77777777" w:rsidR="004C7180" w:rsidRPr="00150EDC" w:rsidRDefault="00CF0754">
      <w:pPr>
        <w:pStyle w:val="BodyText"/>
        <w:spacing w:before="52"/>
        <w:ind w:left="1066"/>
        <w:rPr>
          <w:rFonts w:ascii="Calibri"/>
        </w:rPr>
      </w:pPr>
      <w:r w:rsidRPr="00150EDC">
        <w:rPr>
          <w:rFonts w:ascii="Calibri"/>
        </w:rPr>
        <w:t>in</w:t>
      </w:r>
      <w:r w:rsidRPr="00150EDC">
        <w:rPr>
          <w:rFonts w:ascii="Calibri"/>
          <w:spacing w:val="-2"/>
        </w:rPr>
        <w:t xml:space="preserve"> </w:t>
      </w:r>
      <w:r w:rsidRPr="00150EDC">
        <w:rPr>
          <w:rFonts w:ascii="Calibri"/>
        </w:rPr>
        <w:t>DPS</w:t>
      </w:r>
      <w:r w:rsidRPr="00150EDC">
        <w:rPr>
          <w:rFonts w:ascii="Calibri"/>
          <w:spacing w:val="-1"/>
        </w:rPr>
        <w:t xml:space="preserve"> </w:t>
      </w:r>
      <w:r w:rsidRPr="00150EDC">
        <w:rPr>
          <w:rFonts w:ascii="Calibri"/>
        </w:rPr>
        <w:t>Schedule</w:t>
      </w:r>
      <w:r w:rsidRPr="00150EDC">
        <w:rPr>
          <w:rFonts w:ascii="Calibri"/>
          <w:spacing w:val="-4"/>
        </w:rPr>
        <w:t xml:space="preserve"> </w:t>
      </w:r>
      <w:r w:rsidRPr="00150EDC">
        <w:rPr>
          <w:rFonts w:ascii="Calibri"/>
        </w:rPr>
        <w:t>5</w:t>
      </w:r>
      <w:r w:rsidRPr="00150EDC">
        <w:rPr>
          <w:rFonts w:ascii="Calibri"/>
          <w:spacing w:val="-1"/>
        </w:rPr>
        <w:t xml:space="preserve"> </w:t>
      </w:r>
      <w:r w:rsidRPr="00150EDC">
        <w:rPr>
          <w:rFonts w:ascii="Calibri"/>
        </w:rPr>
        <w:t>(Management</w:t>
      </w:r>
      <w:r w:rsidRPr="00150EDC">
        <w:rPr>
          <w:rFonts w:ascii="Calibri"/>
          <w:spacing w:val="-4"/>
        </w:rPr>
        <w:t xml:space="preserve"> </w:t>
      </w:r>
      <w:r w:rsidRPr="00150EDC">
        <w:rPr>
          <w:rFonts w:ascii="Calibri"/>
        </w:rPr>
        <w:t>Levy</w:t>
      </w:r>
      <w:r w:rsidRPr="00150EDC">
        <w:rPr>
          <w:rFonts w:ascii="Calibri"/>
          <w:spacing w:val="-2"/>
        </w:rPr>
        <w:t xml:space="preserve"> </w:t>
      </w:r>
      <w:r w:rsidRPr="00150EDC">
        <w:rPr>
          <w:rFonts w:ascii="Calibri"/>
        </w:rPr>
        <w:t>and</w:t>
      </w:r>
      <w:r w:rsidRPr="00150EDC">
        <w:rPr>
          <w:rFonts w:ascii="Calibri"/>
          <w:spacing w:val="-1"/>
        </w:rPr>
        <w:t xml:space="preserve"> </w:t>
      </w:r>
      <w:r w:rsidRPr="00150EDC">
        <w:rPr>
          <w:rFonts w:ascii="Calibri"/>
          <w:spacing w:val="-2"/>
        </w:rPr>
        <w:t>Information).</w:t>
      </w:r>
    </w:p>
    <w:p w14:paraId="48EDEC60" w14:textId="77777777" w:rsidR="004C7180" w:rsidRPr="00150EDC" w:rsidRDefault="004C7180">
      <w:pPr>
        <w:pStyle w:val="BodyText"/>
        <w:rPr>
          <w:rFonts w:ascii="Calibri"/>
        </w:rPr>
      </w:pPr>
    </w:p>
    <w:p w14:paraId="6A91FF75" w14:textId="77777777" w:rsidR="004C7180" w:rsidRPr="00150EDC" w:rsidRDefault="00CF0754" w:rsidP="00B320C7">
      <w:pPr>
        <w:pStyle w:val="ListParagraph"/>
        <w:numPr>
          <w:ilvl w:val="1"/>
          <w:numId w:val="182"/>
        </w:numPr>
        <w:tabs>
          <w:tab w:val="left" w:pos="1066"/>
        </w:tabs>
        <w:ind w:hanging="566"/>
        <w:rPr>
          <w:rFonts w:ascii="Calibri"/>
          <w:sz w:val="24"/>
        </w:rPr>
      </w:pPr>
      <w:r w:rsidRPr="00150EDC">
        <w:rPr>
          <w:rFonts w:ascii="Calibri"/>
          <w:sz w:val="24"/>
        </w:rPr>
        <w:t>All</w:t>
      </w:r>
      <w:r w:rsidRPr="00150EDC">
        <w:rPr>
          <w:rFonts w:ascii="Calibri"/>
          <w:spacing w:val="-2"/>
          <w:sz w:val="24"/>
        </w:rPr>
        <w:t xml:space="preserve"> </w:t>
      </w:r>
      <w:r w:rsidRPr="00150EDC">
        <w:rPr>
          <w:rFonts w:ascii="Calibri"/>
          <w:sz w:val="24"/>
        </w:rPr>
        <w:t>Charges</w:t>
      </w:r>
      <w:r w:rsidRPr="00150EDC">
        <w:rPr>
          <w:rFonts w:ascii="Calibri"/>
          <w:spacing w:val="-3"/>
          <w:sz w:val="24"/>
        </w:rPr>
        <w:t xml:space="preserve"> </w:t>
      </w:r>
      <w:r w:rsidRPr="00150EDC">
        <w:rPr>
          <w:rFonts w:ascii="Calibri"/>
          <w:sz w:val="24"/>
        </w:rPr>
        <w:t>and</w:t>
      </w:r>
      <w:r w:rsidRPr="00150EDC">
        <w:rPr>
          <w:rFonts w:ascii="Calibri"/>
          <w:spacing w:val="-4"/>
          <w:sz w:val="24"/>
        </w:rPr>
        <w:t xml:space="preserve"> </w:t>
      </w:r>
      <w:r w:rsidRPr="00150EDC">
        <w:rPr>
          <w:rFonts w:ascii="Calibri"/>
          <w:sz w:val="24"/>
        </w:rPr>
        <w:t>the</w:t>
      </w:r>
      <w:r w:rsidRPr="00150EDC">
        <w:rPr>
          <w:rFonts w:ascii="Calibri"/>
          <w:spacing w:val="-3"/>
          <w:sz w:val="24"/>
        </w:rPr>
        <w:t xml:space="preserve"> </w:t>
      </w:r>
      <w:r w:rsidRPr="00150EDC">
        <w:rPr>
          <w:rFonts w:ascii="Calibri"/>
          <w:sz w:val="24"/>
        </w:rPr>
        <w:t>Management</w:t>
      </w:r>
      <w:r w:rsidRPr="00150EDC">
        <w:rPr>
          <w:rFonts w:ascii="Calibri"/>
          <w:spacing w:val="-1"/>
          <w:sz w:val="24"/>
        </w:rPr>
        <w:t xml:space="preserve"> </w:t>
      </w:r>
      <w:r w:rsidRPr="00150EDC">
        <w:rPr>
          <w:rFonts w:ascii="Calibri"/>
          <w:spacing w:val="-2"/>
          <w:sz w:val="24"/>
        </w:rPr>
        <w:t>Levy:</w:t>
      </w:r>
    </w:p>
    <w:p w14:paraId="7E020A82" w14:textId="77777777" w:rsidR="004C7180" w:rsidRPr="00150EDC" w:rsidRDefault="004C7180">
      <w:pPr>
        <w:pStyle w:val="BodyText"/>
        <w:spacing w:before="7"/>
        <w:rPr>
          <w:rFonts w:ascii="Calibri"/>
          <w:sz w:val="25"/>
        </w:rPr>
      </w:pPr>
    </w:p>
    <w:p w14:paraId="2F5A29B8" w14:textId="77777777" w:rsidR="004C7180" w:rsidRPr="00150EDC" w:rsidRDefault="00CF0754" w:rsidP="00B320C7">
      <w:pPr>
        <w:pStyle w:val="ListParagraph"/>
        <w:numPr>
          <w:ilvl w:val="0"/>
          <w:numId w:val="178"/>
        </w:numPr>
        <w:tabs>
          <w:tab w:val="left" w:pos="1491"/>
        </w:tabs>
        <w:ind w:left="1491" w:hanging="425"/>
        <w:rPr>
          <w:rFonts w:ascii="Calibri"/>
          <w:sz w:val="24"/>
        </w:rPr>
      </w:pPr>
      <w:r w:rsidRPr="00150EDC">
        <w:rPr>
          <w:rFonts w:ascii="Calibri"/>
          <w:sz w:val="24"/>
        </w:rPr>
        <w:t>exclude</w:t>
      </w:r>
      <w:r w:rsidRPr="00150EDC">
        <w:rPr>
          <w:rFonts w:ascii="Calibri"/>
          <w:spacing w:val="-2"/>
          <w:sz w:val="24"/>
        </w:rPr>
        <w:t xml:space="preserve"> </w:t>
      </w:r>
      <w:r w:rsidRPr="00150EDC">
        <w:rPr>
          <w:rFonts w:ascii="Calibri"/>
          <w:sz w:val="24"/>
        </w:rPr>
        <w:t>VAT,</w:t>
      </w:r>
      <w:r w:rsidRPr="00150EDC">
        <w:rPr>
          <w:rFonts w:ascii="Calibri"/>
          <w:spacing w:val="-3"/>
          <w:sz w:val="24"/>
        </w:rPr>
        <w:t xml:space="preserve"> </w:t>
      </w:r>
      <w:r w:rsidRPr="00150EDC">
        <w:rPr>
          <w:rFonts w:ascii="Calibri"/>
          <w:sz w:val="24"/>
        </w:rPr>
        <w:t>which</w:t>
      </w:r>
      <w:r w:rsidRPr="00150EDC">
        <w:rPr>
          <w:rFonts w:ascii="Calibri"/>
          <w:spacing w:val="-2"/>
          <w:sz w:val="24"/>
        </w:rPr>
        <w:t xml:space="preserve"> </w:t>
      </w:r>
      <w:r w:rsidRPr="00150EDC">
        <w:rPr>
          <w:rFonts w:ascii="Calibri"/>
          <w:sz w:val="24"/>
        </w:rPr>
        <w:t>is</w:t>
      </w:r>
      <w:r w:rsidRPr="00150EDC">
        <w:rPr>
          <w:rFonts w:ascii="Calibri"/>
          <w:spacing w:val="-5"/>
          <w:sz w:val="24"/>
        </w:rPr>
        <w:t xml:space="preserve"> </w:t>
      </w:r>
      <w:r w:rsidRPr="00150EDC">
        <w:rPr>
          <w:rFonts w:ascii="Calibri"/>
          <w:sz w:val="24"/>
        </w:rPr>
        <w:t>payable</w:t>
      </w:r>
      <w:r w:rsidRPr="00150EDC">
        <w:rPr>
          <w:rFonts w:ascii="Calibri"/>
          <w:spacing w:val="-2"/>
          <w:sz w:val="24"/>
        </w:rPr>
        <w:t xml:space="preserve"> </w:t>
      </w:r>
      <w:r w:rsidRPr="00150EDC">
        <w:rPr>
          <w:rFonts w:ascii="Calibri"/>
          <w:sz w:val="24"/>
        </w:rPr>
        <w:t>on</w:t>
      </w:r>
      <w:r w:rsidRPr="00150EDC">
        <w:rPr>
          <w:rFonts w:ascii="Calibri"/>
          <w:spacing w:val="-3"/>
          <w:sz w:val="24"/>
        </w:rPr>
        <w:t xml:space="preserve"> </w:t>
      </w:r>
      <w:r w:rsidRPr="00150EDC">
        <w:rPr>
          <w:rFonts w:ascii="Calibri"/>
          <w:sz w:val="24"/>
        </w:rPr>
        <w:t>provision</w:t>
      </w:r>
      <w:r w:rsidRPr="00150EDC">
        <w:rPr>
          <w:rFonts w:ascii="Calibri"/>
          <w:spacing w:val="-4"/>
          <w:sz w:val="24"/>
        </w:rPr>
        <w:t xml:space="preserve"> </w:t>
      </w:r>
      <w:r w:rsidRPr="00150EDC">
        <w:rPr>
          <w:rFonts w:ascii="Calibri"/>
          <w:sz w:val="24"/>
        </w:rPr>
        <w:t>of</w:t>
      </w:r>
      <w:r w:rsidRPr="00150EDC">
        <w:rPr>
          <w:rFonts w:ascii="Calibri"/>
          <w:spacing w:val="-2"/>
          <w:sz w:val="24"/>
        </w:rPr>
        <w:t xml:space="preserve"> </w:t>
      </w:r>
      <w:r w:rsidRPr="00150EDC">
        <w:rPr>
          <w:rFonts w:ascii="Calibri"/>
          <w:sz w:val="24"/>
        </w:rPr>
        <w:t>a</w:t>
      </w:r>
      <w:r w:rsidRPr="00150EDC">
        <w:rPr>
          <w:rFonts w:ascii="Calibri"/>
          <w:spacing w:val="-3"/>
          <w:sz w:val="24"/>
        </w:rPr>
        <w:t xml:space="preserve"> </w:t>
      </w:r>
      <w:r w:rsidRPr="00150EDC">
        <w:rPr>
          <w:rFonts w:ascii="Calibri"/>
          <w:sz w:val="24"/>
        </w:rPr>
        <w:t>valid</w:t>
      </w:r>
      <w:r w:rsidRPr="00150EDC">
        <w:rPr>
          <w:rFonts w:ascii="Calibri"/>
          <w:spacing w:val="-2"/>
          <w:sz w:val="24"/>
        </w:rPr>
        <w:t xml:space="preserve"> </w:t>
      </w:r>
      <w:r w:rsidRPr="00150EDC">
        <w:rPr>
          <w:rFonts w:ascii="Calibri"/>
          <w:sz w:val="24"/>
        </w:rPr>
        <w:t>VAT</w:t>
      </w:r>
      <w:r w:rsidRPr="00150EDC">
        <w:rPr>
          <w:rFonts w:ascii="Calibri"/>
          <w:spacing w:val="-2"/>
          <w:sz w:val="24"/>
        </w:rPr>
        <w:t xml:space="preserve"> </w:t>
      </w:r>
      <w:r w:rsidRPr="00150EDC">
        <w:rPr>
          <w:rFonts w:ascii="Calibri"/>
          <w:sz w:val="24"/>
        </w:rPr>
        <w:t>invoice;</w:t>
      </w:r>
      <w:r w:rsidRPr="00150EDC">
        <w:rPr>
          <w:rFonts w:ascii="Calibri"/>
          <w:spacing w:val="-1"/>
          <w:sz w:val="24"/>
        </w:rPr>
        <w:t xml:space="preserve"> </w:t>
      </w:r>
      <w:r w:rsidRPr="00150EDC">
        <w:rPr>
          <w:rFonts w:ascii="Calibri"/>
          <w:spacing w:val="-5"/>
          <w:sz w:val="24"/>
        </w:rPr>
        <w:t>and</w:t>
      </w:r>
    </w:p>
    <w:p w14:paraId="30FF4180" w14:textId="77777777" w:rsidR="004C7180" w:rsidRPr="00150EDC" w:rsidRDefault="00CF0754" w:rsidP="00B320C7">
      <w:pPr>
        <w:pStyle w:val="ListParagraph"/>
        <w:numPr>
          <w:ilvl w:val="0"/>
          <w:numId w:val="178"/>
        </w:numPr>
        <w:tabs>
          <w:tab w:val="left" w:pos="1491"/>
        </w:tabs>
        <w:spacing w:before="19"/>
        <w:ind w:left="1491" w:hanging="425"/>
        <w:rPr>
          <w:rFonts w:ascii="Calibri"/>
          <w:sz w:val="24"/>
        </w:rPr>
      </w:pPr>
      <w:r w:rsidRPr="00150EDC">
        <w:rPr>
          <w:rFonts w:ascii="Calibri"/>
          <w:sz w:val="24"/>
        </w:rPr>
        <w:t>include</w:t>
      </w:r>
      <w:r w:rsidRPr="00150EDC">
        <w:rPr>
          <w:rFonts w:ascii="Calibri"/>
          <w:spacing w:val="-5"/>
          <w:sz w:val="24"/>
        </w:rPr>
        <w:t xml:space="preserve"> </w:t>
      </w:r>
      <w:r w:rsidRPr="00150EDC">
        <w:rPr>
          <w:rFonts w:ascii="Calibri"/>
          <w:sz w:val="24"/>
        </w:rPr>
        <w:t>all</w:t>
      </w:r>
      <w:r w:rsidRPr="00150EDC">
        <w:rPr>
          <w:rFonts w:ascii="Calibri"/>
          <w:spacing w:val="-2"/>
          <w:sz w:val="24"/>
        </w:rPr>
        <w:t xml:space="preserve"> </w:t>
      </w:r>
      <w:r w:rsidRPr="00150EDC">
        <w:rPr>
          <w:rFonts w:ascii="Calibri"/>
          <w:sz w:val="24"/>
        </w:rPr>
        <w:t>costs</w:t>
      </w:r>
      <w:r w:rsidRPr="00150EDC">
        <w:rPr>
          <w:rFonts w:ascii="Calibri"/>
          <w:spacing w:val="-3"/>
          <w:sz w:val="24"/>
        </w:rPr>
        <w:t xml:space="preserve"> </w:t>
      </w:r>
      <w:r w:rsidRPr="00150EDC">
        <w:rPr>
          <w:rFonts w:ascii="Calibri"/>
          <w:sz w:val="24"/>
        </w:rPr>
        <w:t>connected</w:t>
      </w:r>
      <w:r w:rsidRPr="00150EDC">
        <w:rPr>
          <w:rFonts w:ascii="Calibri"/>
          <w:spacing w:val="-1"/>
          <w:sz w:val="24"/>
        </w:rPr>
        <w:t xml:space="preserve"> </w:t>
      </w:r>
      <w:r w:rsidRPr="00150EDC">
        <w:rPr>
          <w:rFonts w:ascii="Calibri"/>
          <w:sz w:val="24"/>
        </w:rPr>
        <w:t>with</w:t>
      </w:r>
      <w:r w:rsidRPr="00150EDC">
        <w:rPr>
          <w:rFonts w:ascii="Calibri"/>
          <w:spacing w:val="-1"/>
          <w:sz w:val="24"/>
        </w:rPr>
        <w:t xml:space="preserve"> </w:t>
      </w:r>
      <w:r w:rsidRPr="00150EDC">
        <w:rPr>
          <w:rFonts w:ascii="Calibri"/>
          <w:sz w:val="24"/>
        </w:rPr>
        <w:t>the</w:t>
      </w:r>
      <w:r w:rsidRPr="00150EDC">
        <w:rPr>
          <w:rFonts w:ascii="Calibri"/>
          <w:spacing w:val="-5"/>
          <w:sz w:val="24"/>
        </w:rPr>
        <w:t xml:space="preserve"> </w:t>
      </w:r>
      <w:r w:rsidRPr="00150EDC">
        <w:rPr>
          <w:rFonts w:ascii="Calibri"/>
          <w:sz w:val="24"/>
        </w:rPr>
        <w:t>Supply</w:t>
      </w:r>
      <w:r w:rsidRPr="00150EDC">
        <w:rPr>
          <w:rFonts w:ascii="Calibri"/>
          <w:spacing w:val="-3"/>
          <w:sz w:val="24"/>
        </w:rPr>
        <w:t xml:space="preserve"> </w:t>
      </w:r>
      <w:r w:rsidRPr="00150EDC">
        <w:rPr>
          <w:rFonts w:ascii="Calibri"/>
          <w:sz w:val="24"/>
        </w:rPr>
        <w:t>of</w:t>
      </w:r>
      <w:r w:rsidRPr="00150EDC">
        <w:rPr>
          <w:rFonts w:ascii="Calibri"/>
          <w:spacing w:val="-3"/>
          <w:sz w:val="24"/>
        </w:rPr>
        <w:t xml:space="preserve"> </w:t>
      </w:r>
      <w:r w:rsidRPr="00150EDC">
        <w:rPr>
          <w:rFonts w:ascii="Calibri"/>
          <w:spacing w:val="-2"/>
          <w:sz w:val="24"/>
        </w:rPr>
        <w:t>Deliverables.</w:t>
      </w:r>
    </w:p>
    <w:p w14:paraId="4B80942E" w14:textId="77777777" w:rsidR="004C7180" w:rsidRPr="00150EDC" w:rsidRDefault="004C7180">
      <w:pPr>
        <w:pStyle w:val="BodyText"/>
        <w:spacing w:before="6"/>
        <w:rPr>
          <w:rFonts w:ascii="Calibri"/>
          <w:sz w:val="27"/>
        </w:rPr>
      </w:pPr>
    </w:p>
    <w:p w14:paraId="1EC189E5" w14:textId="77777777" w:rsidR="004C7180" w:rsidRPr="00150EDC" w:rsidRDefault="00CF0754" w:rsidP="00B320C7">
      <w:pPr>
        <w:pStyle w:val="ListParagraph"/>
        <w:numPr>
          <w:ilvl w:val="1"/>
          <w:numId w:val="182"/>
        </w:numPr>
        <w:tabs>
          <w:tab w:val="left" w:pos="1066"/>
        </w:tabs>
        <w:ind w:right="935"/>
        <w:rPr>
          <w:rFonts w:ascii="Calibri"/>
          <w:sz w:val="24"/>
        </w:rPr>
      </w:pPr>
      <w:r w:rsidRPr="00150EDC">
        <w:rPr>
          <w:rFonts w:ascii="Calibri"/>
          <w:sz w:val="24"/>
        </w:rPr>
        <w:t>The Buyer must pay the Supplier the Charges within 30 days of receipt by the Buyer of a valid, undisputed</w:t>
      </w:r>
      <w:r w:rsidRPr="00150EDC">
        <w:rPr>
          <w:rFonts w:ascii="Calibri"/>
          <w:spacing w:val="-4"/>
          <w:sz w:val="24"/>
        </w:rPr>
        <w:t xml:space="preserve"> </w:t>
      </w:r>
      <w:r w:rsidRPr="00150EDC">
        <w:rPr>
          <w:rFonts w:ascii="Calibri"/>
          <w:sz w:val="24"/>
        </w:rPr>
        <w:t>invoice,</w:t>
      </w:r>
      <w:r w:rsidRPr="00150EDC">
        <w:rPr>
          <w:rFonts w:ascii="Calibri"/>
          <w:spacing w:val="-5"/>
          <w:sz w:val="24"/>
        </w:rPr>
        <w:t xml:space="preserve"> </w:t>
      </w:r>
      <w:r w:rsidRPr="00150EDC">
        <w:rPr>
          <w:rFonts w:ascii="Calibri"/>
          <w:sz w:val="24"/>
        </w:rPr>
        <w:t>in</w:t>
      </w:r>
      <w:r w:rsidRPr="00150EDC">
        <w:rPr>
          <w:rFonts w:ascii="Calibri"/>
          <w:spacing w:val="-4"/>
          <w:sz w:val="24"/>
        </w:rPr>
        <w:t xml:space="preserve"> </w:t>
      </w:r>
      <w:r w:rsidRPr="00150EDC">
        <w:rPr>
          <w:rFonts w:ascii="Calibri"/>
          <w:sz w:val="24"/>
        </w:rPr>
        <w:t>cleared</w:t>
      </w:r>
      <w:r w:rsidRPr="00150EDC">
        <w:rPr>
          <w:rFonts w:ascii="Calibri"/>
          <w:spacing w:val="-4"/>
          <w:sz w:val="24"/>
        </w:rPr>
        <w:t xml:space="preserve"> </w:t>
      </w:r>
      <w:r w:rsidRPr="00150EDC">
        <w:rPr>
          <w:rFonts w:ascii="Calibri"/>
          <w:sz w:val="24"/>
        </w:rPr>
        <w:t>funds</w:t>
      </w:r>
      <w:r w:rsidRPr="00150EDC">
        <w:rPr>
          <w:rFonts w:ascii="Calibri"/>
          <w:spacing w:val="-5"/>
          <w:sz w:val="24"/>
        </w:rPr>
        <w:t xml:space="preserve"> </w:t>
      </w:r>
      <w:r w:rsidRPr="00150EDC">
        <w:rPr>
          <w:rFonts w:ascii="Calibri"/>
          <w:sz w:val="24"/>
        </w:rPr>
        <w:t>using</w:t>
      </w:r>
      <w:r w:rsidRPr="00150EDC">
        <w:rPr>
          <w:rFonts w:ascii="Calibri"/>
          <w:spacing w:val="-3"/>
          <w:sz w:val="24"/>
        </w:rPr>
        <w:t xml:space="preserve"> </w:t>
      </w:r>
      <w:r w:rsidRPr="00150EDC">
        <w:rPr>
          <w:rFonts w:ascii="Calibri"/>
          <w:sz w:val="24"/>
        </w:rPr>
        <w:t>the</w:t>
      </w:r>
      <w:r w:rsidRPr="00150EDC">
        <w:rPr>
          <w:rFonts w:ascii="Calibri"/>
          <w:spacing w:val="-4"/>
          <w:sz w:val="24"/>
        </w:rPr>
        <w:t xml:space="preserve"> </w:t>
      </w:r>
      <w:r w:rsidRPr="00150EDC">
        <w:rPr>
          <w:rFonts w:ascii="Calibri"/>
          <w:sz w:val="24"/>
        </w:rPr>
        <w:t>payment</w:t>
      </w:r>
      <w:r w:rsidRPr="00150EDC">
        <w:rPr>
          <w:rFonts w:ascii="Calibri"/>
          <w:spacing w:val="-4"/>
          <w:sz w:val="24"/>
        </w:rPr>
        <w:t xml:space="preserve"> </w:t>
      </w:r>
      <w:r w:rsidRPr="00150EDC">
        <w:rPr>
          <w:rFonts w:ascii="Calibri"/>
          <w:sz w:val="24"/>
        </w:rPr>
        <w:t>method</w:t>
      </w:r>
      <w:r w:rsidRPr="00150EDC">
        <w:rPr>
          <w:rFonts w:ascii="Calibri"/>
          <w:spacing w:val="-4"/>
          <w:sz w:val="24"/>
        </w:rPr>
        <w:t xml:space="preserve"> </w:t>
      </w:r>
      <w:r w:rsidRPr="00150EDC">
        <w:rPr>
          <w:rFonts w:ascii="Calibri"/>
          <w:sz w:val="24"/>
        </w:rPr>
        <w:t>and</w:t>
      </w:r>
      <w:r w:rsidRPr="00150EDC">
        <w:rPr>
          <w:rFonts w:ascii="Calibri"/>
          <w:spacing w:val="-4"/>
          <w:sz w:val="24"/>
        </w:rPr>
        <w:t xml:space="preserve"> </w:t>
      </w:r>
      <w:r w:rsidRPr="00150EDC">
        <w:rPr>
          <w:rFonts w:ascii="Calibri"/>
          <w:sz w:val="24"/>
        </w:rPr>
        <w:t>details</w:t>
      </w:r>
      <w:r w:rsidRPr="00150EDC">
        <w:rPr>
          <w:rFonts w:ascii="Calibri"/>
          <w:spacing w:val="-3"/>
          <w:sz w:val="24"/>
        </w:rPr>
        <w:t xml:space="preserve"> </w:t>
      </w:r>
      <w:r w:rsidRPr="00150EDC">
        <w:rPr>
          <w:rFonts w:ascii="Calibri"/>
          <w:sz w:val="24"/>
        </w:rPr>
        <w:t>stated</w:t>
      </w:r>
      <w:r w:rsidRPr="00150EDC">
        <w:rPr>
          <w:rFonts w:ascii="Calibri"/>
          <w:spacing w:val="-1"/>
          <w:sz w:val="24"/>
        </w:rPr>
        <w:t xml:space="preserve"> </w:t>
      </w:r>
      <w:r w:rsidRPr="00150EDC">
        <w:rPr>
          <w:rFonts w:ascii="Calibri"/>
          <w:sz w:val="24"/>
        </w:rPr>
        <w:t>in</w:t>
      </w:r>
      <w:r w:rsidRPr="00150EDC">
        <w:rPr>
          <w:rFonts w:ascii="Calibri"/>
          <w:spacing w:val="-4"/>
          <w:sz w:val="24"/>
        </w:rPr>
        <w:t xml:space="preserve"> </w:t>
      </w:r>
      <w:r w:rsidRPr="00150EDC">
        <w:rPr>
          <w:rFonts w:ascii="Calibri"/>
          <w:sz w:val="24"/>
        </w:rPr>
        <w:t>the</w:t>
      </w:r>
      <w:r w:rsidRPr="00150EDC">
        <w:rPr>
          <w:rFonts w:ascii="Calibri"/>
          <w:spacing w:val="-5"/>
          <w:sz w:val="24"/>
        </w:rPr>
        <w:t xml:space="preserve"> </w:t>
      </w:r>
      <w:r w:rsidRPr="00150EDC">
        <w:rPr>
          <w:rFonts w:ascii="Calibri"/>
          <w:sz w:val="24"/>
        </w:rPr>
        <w:t>Order</w:t>
      </w:r>
      <w:r w:rsidRPr="00150EDC">
        <w:rPr>
          <w:rFonts w:ascii="Calibri"/>
          <w:spacing w:val="-2"/>
          <w:sz w:val="24"/>
        </w:rPr>
        <w:t xml:space="preserve"> </w:t>
      </w:r>
      <w:r w:rsidRPr="00150EDC">
        <w:rPr>
          <w:rFonts w:ascii="Calibri"/>
          <w:sz w:val="24"/>
        </w:rPr>
        <w:t>Form.</w:t>
      </w:r>
    </w:p>
    <w:p w14:paraId="01D3E03A" w14:textId="77777777" w:rsidR="004C7180" w:rsidRPr="00150EDC" w:rsidRDefault="004C7180">
      <w:pPr>
        <w:pStyle w:val="BodyText"/>
        <w:spacing w:before="12"/>
        <w:rPr>
          <w:rFonts w:ascii="Calibri"/>
          <w:sz w:val="23"/>
        </w:rPr>
      </w:pPr>
    </w:p>
    <w:p w14:paraId="384DAFDE" w14:textId="77777777" w:rsidR="004C7180" w:rsidRPr="00150EDC" w:rsidRDefault="00CF0754" w:rsidP="00B320C7">
      <w:pPr>
        <w:pStyle w:val="ListParagraph"/>
        <w:numPr>
          <w:ilvl w:val="1"/>
          <w:numId w:val="182"/>
        </w:numPr>
        <w:tabs>
          <w:tab w:val="left" w:pos="1066"/>
        </w:tabs>
        <w:ind w:hanging="566"/>
        <w:rPr>
          <w:rFonts w:ascii="Calibri"/>
          <w:sz w:val="24"/>
        </w:rPr>
      </w:pPr>
      <w:r w:rsidRPr="00150EDC">
        <w:rPr>
          <w:rFonts w:ascii="Calibri"/>
          <w:sz w:val="24"/>
        </w:rPr>
        <w:t>A</w:t>
      </w:r>
      <w:r w:rsidRPr="00150EDC">
        <w:rPr>
          <w:rFonts w:ascii="Calibri"/>
          <w:spacing w:val="-1"/>
          <w:sz w:val="24"/>
        </w:rPr>
        <w:t xml:space="preserve"> </w:t>
      </w:r>
      <w:r w:rsidRPr="00150EDC">
        <w:rPr>
          <w:rFonts w:ascii="Calibri"/>
          <w:sz w:val="24"/>
        </w:rPr>
        <w:t>Supplier</w:t>
      </w:r>
      <w:r w:rsidRPr="00150EDC">
        <w:rPr>
          <w:rFonts w:ascii="Calibri"/>
          <w:spacing w:val="-3"/>
          <w:sz w:val="24"/>
        </w:rPr>
        <w:t xml:space="preserve"> </w:t>
      </w:r>
      <w:r w:rsidRPr="00150EDC">
        <w:rPr>
          <w:rFonts w:ascii="Calibri"/>
          <w:sz w:val="24"/>
        </w:rPr>
        <w:t>invoice</w:t>
      </w:r>
      <w:r w:rsidRPr="00150EDC">
        <w:rPr>
          <w:rFonts w:ascii="Calibri"/>
          <w:spacing w:val="-4"/>
          <w:sz w:val="24"/>
        </w:rPr>
        <w:t xml:space="preserve"> </w:t>
      </w:r>
      <w:r w:rsidRPr="00150EDC">
        <w:rPr>
          <w:rFonts w:ascii="Calibri"/>
          <w:sz w:val="24"/>
        </w:rPr>
        <w:t>is</w:t>
      </w:r>
      <w:r w:rsidRPr="00150EDC">
        <w:rPr>
          <w:rFonts w:ascii="Calibri"/>
          <w:spacing w:val="-2"/>
          <w:sz w:val="24"/>
        </w:rPr>
        <w:t xml:space="preserve"> </w:t>
      </w:r>
      <w:r w:rsidRPr="00150EDC">
        <w:rPr>
          <w:rFonts w:ascii="Calibri"/>
          <w:sz w:val="24"/>
        </w:rPr>
        <w:t>only</w:t>
      </w:r>
      <w:r w:rsidRPr="00150EDC">
        <w:rPr>
          <w:rFonts w:ascii="Calibri"/>
          <w:spacing w:val="-5"/>
          <w:sz w:val="24"/>
        </w:rPr>
        <w:t xml:space="preserve"> </w:t>
      </w:r>
      <w:r w:rsidRPr="00150EDC">
        <w:rPr>
          <w:rFonts w:ascii="Calibri"/>
          <w:sz w:val="24"/>
        </w:rPr>
        <w:t>valid</w:t>
      </w:r>
      <w:r w:rsidRPr="00150EDC">
        <w:rPr>
          <w:rFonts w:ascii="Calibri"/>
          <w:spacing w:val="-1"/>
          <w:sz w:val="24"/>
        </w:rPr>
        <w:t xml:space="preserve"> </w:t>
      </w:r>
      <w:r w:rsidRPr="00150EDC">
        <w:rPr>
          <w:rFonts w:ascii="Calibri"/>
          <w:sz w:val="24"/>
        </w:rPr>
        <w:t xml:space="preserve">if </w:t>
      </w:r>
      <w:r w:rsidRPr="00150EDC">
        <w:rPr>
          <w:rFonts w:ascii="Calibri"/>
          <w:spacing w:val="-5"/>
          <w:sz w:val="24"/>
        </w:rPr>
        <w:t>it:</w:t>
      </w:r>
    </w:p>
    <w:p w14:paraId="1760A43B" w14:textId="77777777" w:rsidR="004C7180" w:rsidRPr="00150EDC" w:rsidRDefault="004C7180">
      <w:pPr>
        <w:pStyle w:val="BodyText"/>
        <w:spacing w:before="6"/>
        <w:rPr>
          <w:rFonts w:ascii="Calibri"/>
          <w:sz w:val="25"/>
        </w:rPr>
      </w:pPr>
    </w:p>
    <w:p w14:paraId="718927F9" w14:textId="77777777" w:rsidR="004C7180" w:rsidRPr="00150EDC" w:rsidRDefault="00CF0754" w:rsidP="00B320C7">
      <w:pPr>
        <w:pStyle w:val="ListParagraph"/>
        <w:numPr>
          <w:ilvl w:val="0"/>
          <w:numId w:val="177"/>
        </w:numPr>
        <w:tabs>
          <w:tab w:val="left" w:pos="1491"/>
          <w:tab w:val="left" w:pos="1494"/>
        </w:tabs>
        <w:ind w:right="1237"/>
        <w:rPr>
          <w:rFonts w:ascii="Calibri"/>
          <w:sz w:val="24"/>
        </w:rPr>
      </w:pPr>
      <w:r w:rsidRPr="00150EDC">
        <w:rPr>
          <w:rFonts w:ascii="Calibri"/>
          <w:sz w:val="24"/>
        </w:rPr>
        <w:t>includes</w:t>
      </w:r>
      <w:r w:rsidRPr="00150EDC">
        <w:rPr>
          <w:rFonts w:ascii="Calibri"/>
          <w:spacing w:val="-5"/>
          <w:sz w:val="24"/>
        </w:rPr>
        <w:t xml:space="preserve"> </w:t>
      </w:r>
      <w:r w:rsidRPr="00150EDC">
        <w:rPr>
          <w:rFonts w:ascii="Calibri"/>
          <w:sz w:val="24"/>
        </w:rPr>
        <w:t>all</w:t>
      </w:r>
      <w:r w:rsidRPr="00150EDC">
        <w:rPr>
          <w:rFonts w:ascii="Calibri"/>
          <w:spacing w:val="-2"/>
          <w:sz w:val="24"/>
        </w:rPr>
        <w:t xml:space="preserve"> </w:t>
      </w:r>
      <w:r w:rsidRPr="00150EDC">
        <w:rPr>
          <w:rFonts w:ascii="Calibri"/>
          <w:sz w:val="24"/>
        </w:rPr>
        <w:t>appropriate</w:t>
      </w:r>
      <w:r w:rsidRPr="00150EDC">
        <w:rPr>
          <w:rFonts w:ascii="Calibri"/>
          <w:spacing w:val="-5"/>
          <w:sz w:val="24"/>
        </w:rPr>
        <w:t xml:space="preserve"> </w:t>
      </w:r>
      <w:r w:rsidRPr="00150EDC">
        <w:rPr>
          <w:rFonts w:ascii="Calibri"/>
          <w:sz w:val="24"/>
        </w:rPr>
        <w:t>references</w:t>
      </w:r>
      <w:r w:rsidRPr="00150EDC">
        <w:rPr>
          <w:rFonts w:ascii="Calibri"/>
          <w:spacing w:val="-3"/>
          <w:sz w:val="24"/>
        </w:rPr>
        <w:t xml:space="preserve"> </w:t>
      </w:r>
      <w:r w:rsidRPr="00150EDC">
        <w:rPr>
          <w:rFonts w:ascii="Calibri"/>
          <w:sz w:val="24"/>
        </w:rPr>
        <w:t>including</w:t>
      </w:r>
      <w:r w:rsidRPr="00150EDC">
        <w:rPr>
          <w:rFonts w:ascii="Calibri"/>
          <w:spacing w:val="-5"/>
          <w:sz w:val="24"/>
        </w:rPr>
        <w:t xml:space="preserve"> </w:t>
      </w:r>
      <w:r w:rsidRPr="00150EDC">
        <w:rPr>
          <w:rFonts w:ascii="Calibri"/>
          <w:sz w:val="24"/>
        </w:rPr>
        <w:t>the</w:t>
      </w:r>
      <w:r w:rsidRPr="00150EDC">
        <w:rPr>
          <w:rFonts w:ascii="Calibri"/>
          <w:spacing w:val="-7"/>
          <w:sz w:val="24"/>
        </w:rPr>
        <w:t xml:space="preserve"> </w:t>
      </w:r>
      <w:r w:rsidRPr="00150EDC">
        <w:rPr>
          <w:rFonts w:ascii="Calibri"/>
          <w:sz w:val="24"/>
        </w:rPr>
        <w:t>Contract</w:t>
      </w:r>
      <w:r w:rsidRPr="00150EDC">
        <w:rPr>
          <w:rFonts w:ascii="Calibri"/>
          <w:spacing w:val="-4"/>
          <w:sz w:val="24"/>
        </w:rPr>
        <w:t xml:space="preserve"> </w:t>
      </w:r>
      <w:r w:rsidRPr="00150EDC">
        <w:rPr>
          <w:rFonts w:ascii="Calibri"/>
          <w:sz w:val="24"/>
        </w:rPr>
        <w:t>reference</w:t>
      </w:r>
      <w:r w:rsidRPr="00150EDC">
        <w:rPr>
          <w:rFonts w:ascii="Calibri"/>
          <w:spacing w:val="-2"/>
          <w:sz w:val="24"/>
        </w:rPr>
        <w:t xml:space="preserve"> </w:t>
      </w:r>
      <w:r w:rsidRPr="00150EDC">
        <w:rPr>
          <w:rFonts w:ascii="Calibri"/>
          <w:sz w:val="24"/>
        </w:rPr>
        <w:t>number</w:t>
      </w:r>
      <w:r w:rsidRPr="00150EDC">
        <w:rPr>
          <w:rFonts w:ascii="Calibri"/>
          <w:spacing w:val="-2"/>
          <w:sz w:val="24"/>
        </w:rPr>
        <w:t xml:space="preserve"> </w:t>
      </w:r>
      <w:r w:rsidRPr="00150EDC">
        <w:rPr>
          <w:rFonts w:ascii="Calibri"/>
          <w:sz w:val="24"/>
        </w:rPr>
        <w:t>and</w:t>
      </w:r>
      <w:r w:rsidRPr="00150EDC">
        <w:rPr>
          <w:rFonts w:ascii="Calibri"/>
          <w:spacing w:val="-4"/>
          <w:sz w:val="24"/>
        </w:rPr>
        <w:t xml:space="preserve"> </w:t>
      </w:r>
      <w:r w:rsidRPr="00150EDC">
        <w:rPr>
          <w:rFonts w:ascii="Calibri"/>
          <w:sz w:val="24"/>
        </w:rPr>
        <w:t>other</w:t>
      </w:r>
      <w:r w:rsidRPr="00150EDC">
        <w:rPr>
          <w:rFonts w:ascii="Calibri"/>
          <w:spacing w:val="-4"/>
          <w:sz w:val="24"/>
        </w:rPr>
        <w:t xml:space="preserve"> </w:t>
      </w:r>
      <w:r w:rsidRPr="00150EDC">
        <w:rPr>
          <w:rFonts w:ascii="Calibri"/>
          <w:sz w:val="24"/>
        </w:rPr>
        <w:t>details reasonably requested by the Buyer;</w:t>
      </w:r>
    </w:p>
    <w:p w14:paraId="35CF72AB" w14:textId="77777777" w:rsidR="004C7180" w:rsidRPr="00150EDC" w:rsidRDefault="00CF0754" w:rsidP="00B320C7">
      <w:pPr>
        <w:pStyle w:val="ListParagraph"/>
        <w:numPr>
          <w:ilvl w:val="0"/>
          <w:numId w:val="177"/>
        </w:numPr>
        <w:tabs>
          <w:tab w:val="left" w:pos="1491"/>
        </w:tabs>
        <w:spacing w:before="19"/>
        <w:ind w:left="1491" w:hanging="425"/>
        <w:rPr>
          <w:rFonts w:ascii="Calibri"/>
          <w:sz w:val="24"/>
        </w:rPr>
      </w:pPr>
      <w:r w:rsidRPr="00150EDC">
        <w:rPr>
          <w:rFonts w:ascii="Calibri"/>
          <w:sz w:val="24"/>
        </w:rPr>
        <w:t>includes</w:t>
      </w:r>
      <w:r w:rsidRPr="00150EDC">
        <w:rPr>
          <w:rFonts w:ascii="Calibri"/>
          <w:spacing w:val="-8"/>
          <w:sz w:val="24"/>
        </w:rPr>
        <w:t xml:space="preserve"> </w:t>
      </w:r>
      <w:r w:rsidRPr="00150EDC">
        <w:rPr>
          <w:rFonts w:ascii="Calibri"/>
          <w:sz w:val="24"/>
        </w:rPr>
        <w:t>a</w:t>
      </w:r>
      <w:r w:rsidRPr="00150EDC">
        <w:rPr>
          <w:rFonts w:ascii="Calibri"/>
          <w:spacing w:val="-6"/>
          <w:sz w:val="24"/>
        </w:rPr>
        <w:t xml:space="preserve"> </w:t>
      </w:r>
      <w:r w:rsidRPr="00150EDC">
        <w:rPr>
          <w:rFonts w:ascii="Calibri"/>
          <w:sz w:val="24"/>
        </w:rPr>
        <w:t>detailed</w:t>
      </w:r>
      <w:r w:rsidRPr="00150EDC">
        <w:rPr>
          <w:rFonts w:ascii="Calibri"/>
          <w:spacing w:val="-5"/>
          <w:sz w:val="24"/>
        </w:rPr>
        <w:t xml:space="preserve"> </w:t>
      </w:r>
      <w:r w:rsidRPr="00150EDC">
        <w:rPr>
          <w:rFonts w:ascii="Calibri"/>
          <w:sz w:val="24"/>
        </w:rPr>
        <w:t>breakdown</w:t>
      </w:r>
      <w:r w:rsidRPr="00150EDC">
        <w:rPr>
          <w:rFonts w:ascii="Calibri"/>
          <w:spacing w:val="-3"/>
          <w:sz w:val="24"/>
        </w:rPr>
        <w:t xml:space="preserve"> </w:t>
      </w:r>
      <w:r w:rsidRPr="00150EDC">
        <w:rPr>
          <w:rFonts w:ascii="Calibri"/>
          <w:sz w:val="24"/>
        </w:rPr>
        <w:t>of</w:t>
      </w:r>
      <w:r w:rsidRPr="00150EDC">
        <w:rPr>
          <w:rFonts w:ascii="Calibri"/>
          <w:spacing w:val="-5"/>
          <w:sz w:val="24"/>
        </w:rPr>
        <w:t xml:space="preserve"> </w:t>
      </w:r>
      <w:r w:rsidRPr="00150EDC">
        <w:rPr>
          <w:rFonts w:ascii="Calibri"/>
          <w:sz w:val="24"/>
        </w:rPr>
        <w:t>Delivered</w:t>
      </w:r>
      <w:r w:rsidRPr="00150EDC">
        <w:rPr>
          <w:rFonts w:ascii="Calibri"/>
          <w:spacing w:val="-4"/>
          <w:sz w:val="24"/>
        </w:rPr>
        <w:t xml:space="preserve"> </w:t>
      </w:r>
      <w:r w:rsidRPr="00150EDC">
        <w:rPr>
          <w:rFonts w:ascii="Calibri"/>
          <w:sz w:val="24"/>
        </w:rPr>
        <w:t>Deliverables</w:t>
      </w:r>
      <w:r w:rsidRPr="00150EDC">
        <w:rPr>
          <w:rFonts w:ascii="Calibri"/>
          <w:spacing w:val="-4"/>
          <w:sz w:val="24"/>
        </w:rPr>
        <w:t xml:space="preserve"> </w:t>
      </w:r>
      <w:r w:rsidRPr="00150EDC">
        <w:rPr>
          <w:rFonts w:ascii="Calibri"/>
          <w:sz w:val="24"/>
        </w:rPr>
        <w:t>and</w:t>
      </w:r>
      <w:r w:rsidRPr="00150EDC">
        <w:rPr>
          <w:rFonts w:ascii="Calibri"/>
          <w:spacing w:val="-5"/>
          <w:sz w:val="24"/>
        </w:rPr>
        <w:t xml:space="preserve"> </w:t>
      </w:r>
      <w:r w:rsidRPr="00150EDC">
        <w:rPr>
          <w:rFonts w:ascii="Calibri"/>
          <w:sz w:val="24"/>
        </w:rPr>
        <w:t>Milestone(s)</w:t>
      </w:r>
      <w:r w:rsidRPr="00150EDC">
        <w:rPr>
          <w:rFonts w:ascii="Calibri"/>
          <w:spacing w:val="-5"/>
          <w:sz w:val="24"/>
        </w:rPr>
        <w:t xml:space="preserve"> </w:t>
      </w:r>
      <w:r w:rsidRPr="00150EDC">
        <w:rPr>
          <w:rFonts w:ascii="Calibri"/>
          <w:sz w:val="24"/>
        </w:rPr>
        <w:t>(if</w:t>
      </w:r>
      <w:r w:rsidRPr="00150EDC">
        <w:rPr>
          <w:rFonts w:ascii="Calibri"/>
          <w:spacing w:val="-3"/>
          <w:sz w:val="24"/>
        </w:rPr>
        <w:t xml:space="preserve"> </w:t>
      </w:r>
      <w:r w:rsidRPr="00150EDC">
        <w:rPr>
          <w:rFonts w:ascii="Calibri"/>
          <w:sz w:val="24"/>
        </w:rPr>
        <w:t>any);</w:t>
      </w:r>
      <w:r w:rsidRPr="00150EDC">
        <w:rPr>
          <w:rFonts w:ascii="Calibri"/>
          <w:spacing w:val="-5"/>
          <w:sz w:val="24"/>
        </w:rPr>
        <w:t xml:space="preserve"> and</w:t>
      </w:r>
    </w:p>
    <w:p w14:paraId="726EE3A8" w14:textId="77777777" w:rsidR="004C7180" w:rsidRPr="00150EDC" w:rsidRDefault="00CF0754" w:rsidP="00B320C7">
      <w:pPr>
        <w:pStyle w:val="ListParagraph"/>
        <w:numPr>
          <w:ilvl w:val="0"/>
          <w:numId w:val="177"/>
        </w:numPr>
        <w:tabs>
          <w:tab w:val="left" w:pos="1492"/>
          <w:tab w:val="left" w:pos="1494"/>
        </w:tabs>
        <w:spacing w:before="22"/>
        <w:ind w:right="729"/>
        <w:rPr>
          <w:rFonts w:ascii="Calibri"/>
          <w:sz w:val="24"/>
        </w:rPr>
      </w:pPr>
      <w:r w:rsidRPr="00150EDC">
        <w:rPr>
          <w:rFonts w:ascii="Calibri"/>
          <w:sz w:val="24"/>
        </w:rPr>
        <w:t>does</w:t>
      </w:r>
      <w:r w:rsidRPr="00150EDC">
        <w:rPr>
          <w:rFonts w:ascii="Calibri"/>
          <w:spacing w:val="-4"/>
          <w:sz w:val="24"/>
        </w:rPr>
        <w:t xml:space="preserve"> </w:t>
      </w:r>
      <w:r w:rsidRPr="00150EDC">
        <w:rPr>
          <w:rFonts w:ascii="Calibri"/>
          <w:sz w:val="24"/>
        </w:rPr>
        <w:t>not</w:t>
      </w:r>
      <w:r w:rsidRPr="00150EDC">
        <w:rPr>
          <w:rFonts w:ascii="Calibri"/>
          <w:spacing w:val="-2"/>
          <w:sz w:val="24"/>
        </w:rPr>
        <w:t xml:space="preserve"> </w:t>
      </w:r>
      <w:r w:rsidRPr="00150EDC">
        <w:rPr>
          <w:rFonts w:ascii="Calibri"/>
          <w:sz w:val="24"/>
        </w:rPr>
        <w:t>include</w:t>
      </w:r>
      <w:r w:rsidRPr="00150EDC">
        <w:rPr>
          <w:rFonts w:ascii="Calibri"/>
          <w:spacing w:val="-4"/>
          <w:sz w:val="24"/>
        </w:rPr>
        <w:t xml:space="preserve"> </w:t>
      </w:r>
      <w:r w:rsidRPr="00150EDC">
        <w:rPr>
          <w:rFonts w:ascii="Calibri"/>
          <w:sz w:val="24"/>
        </w:rPr>
        <w:t>any</w:t>
      </w:r>
      <w:r w:rsidRPr="00150EDC">
        <w:rPr>
          <w:rFonts w:ascii="Calibri"/>
          <w:spacing w:val="-5"/>
          <w:sz w:val="24"/>
        </w:rPr>
        <w:t xml:space="preserve"> </w:t>
      </w:r>
      <w:r w:rsidRPr="00150EDC">
        <w:rPr>
          <w:rFonts w:ascii="Calibri"/>
          <w:sz w:val="24"/>
        </w:rPr>
        <w:t>Management</w:t>
      </w:r>
      <w:r w:rsidRPr="00150EDC">
        <w:rPr>
          <w:rFonts w:ascii="Calibri"/>
          <w:spacing w:val="-1"/>
          <w:sz w:val="24"/>
        </w:rPr>
        <w:t xml:space="preserve"> </w:t>
      </w:r>
      <w:r w:rsidRPr="00150EDC">
        <w:rPr>
          <w:rFonts w:ascii="Calibri"/>
          <w:sz w:val="24"/>
        </w:rPr>
        <w:t>Levy</w:t>
      </w:r>
      <w:r w:rsidRPr="00150EDC">
        <w:rPr>
          <w:rFonts w:ascii="Calibri"/>
          <w:spacing w:val="-2"/>
          <w:sz w:val="24"/>
        </w:rPr>
        <w:t xml:space="preserve"> </w:t>
      </w:r>
      <w:r w:rsidRPr="00150EDC">
        <w:rPr>
          <w:rFonts w:ascii="Calibri"/>
          <w:sz w:val="24"/>
        </w:rPr>
        <w:t>(the</w:t>
      </w:r>
      <w:r w:rsidRPr="00150EDC">
        <w:rPr>
          <w:rFonts w:ascii="Calibri"/>
          <w:spacing w:val="-4"/>
          <w:sz w:val="24"/>
        </w:rPr>
        <w:t xml:space="preserve"> </w:t>
      </w:r>
      <w:r w:rsidRPr="00150EDC">
        <w:rPr>
          <w:rFonts w:ascii="Calibri"/>
          <w:sz w:val="24"/>
        </w:rPr>
        <w:t>Supplier</w:t>
      </w:r>
      <w:r w:rsidRPr="00150EDC">
        <w:rPr>
          <w:rFonts w:ascii="Calibri"/>
          <w:spacing w:val="-1"/>
          <w:sz w:val="24"/>
        </w:rPr>
        <w:t xml:space="preserve"> </w:t>
      </w:r>
      <w:r w:rsidRPr="00150EDC">
        <w:rPr>
          <w:rFonts w:ascii="Calibri"/>
          <w:sz w:val="24"/>
        </w:rPr>
        <w:t>must</w:t>
      </w:r>
      <w:r w:rsidRPr="00150EDC">
        <w:rPr>
          <w:rFonts w:ascii="Calibri"/>
          <w:spacing w:val="-3"/>
          <w:sz w:val="24"/>
        </w:rPr>
        <w:t xml:space="preserve"> </w:t>
      </w:r>
      <w:r w:rsidRPr="00150EDC">
        <w:rPr>
          <w:rFonts w:ascii="Calibri"/>
          <w:sz w:val="24"/>
        </w:rPr>
        <w:t>not</w:t>
      </w:r>
      <w:r w:rsidRPr="00150EDC">
        <w:rPr>
          <w:rFonts w:ascii="Calibri"/>
          <w:spacing w:val="-1"/>
          <w:sz w:val="24"/>
        </w:rPr>
        <w:t xml:space="preserve"> </w:t>
      </w:r>
      <w:r w:rsidRPr="00150EDC">
        <w:rPr>
          <w:rFonts w:ascii="Calibri"/>
          <w:sz w:val="24"/>
        </w:rPr>
        <w:t>charge</w:t>
      </w:r>
      <w:r w:rsidRPr="00150EDC">
        <w:rPr>
          <w:rFonts w:ascii="Calibri"/>
          <w:spacing w:val="-3"/>
          <w:sz w:val="24"/>
        </w:rPr>
        <w:t xml:space="preserve"> </w:t>
      </w:r>
      <w:r w:rsidRPr="00150EDC">
        <w:rPr>
          <w:rFonts w:ascii="Calibri"/>
          <w:sz w:val="24"/>
        </w:rPr>
        <w:t>the</w:t>
      </w:r>
      <w:r w:rsidRPr="00150EDC">
        <w:rPr>
          <w:rFonts w:ascii="Calibri"/>
          <w:spacing w:val="-1"/>
          <w:sz w:val="24"/>
        </w:rPr>
        <w:t xml:space="preserve"> </w:t>
      </w:r>
      <w:r w:rsidRPr="00150EDC">
        <w:rPr>
          <w:rFonts w:ascii="Calibri"/>
          <w:sz w:val="24"/>
        </w:rPr>
        <w:t>Buyer</w:t>
      </w:r>
      <w:r w:rsidRPr="00150EDC">
        <w:rPr>
          <w:rFonts w:ascii="Calibri"/>
          <w:spacing w:val="-2"/>
          <w:sz w:val="24"/>
        </w:rPr>
        <w:t xml:space="preserve"> </w:t>
      </w:r>
      <w:r w:rsidRPr="00150EDC">
        <w:rPr>
          <w:rFonts w:ascii="Calibri"/>
          <w:sz w:val="24"/>
        </w:rPr>
        <w:t>in</w:t>
      </w:r>
      <w:r w:rsidRPr="00150EDC">
        <w:rPr>
          <w:rFonts w:ascii="Calibri"/>
          <w:spacing w:val="-1"/>
          <w:sz w:val="24"/>
        </w:rPr>
        <w:t xml:space="preserve"> </w:t>
      </w:r>
      <w:r w:rsidRPr="00150EDC">
        <w:rPr>
          <w:rFonts w:ascii="Calibri"/>
          <w:sz w:val="24"/>
        </w:rPr>
        <w:t>any</w:t>
      </w:r>
      <w:r w:rsidRPr="00150EDC">
        <w:rPr>
          <w:rFonts w:ascii="Calibri"/>
          <w:spacing w:val="-2"/>
          <w:sz w:val="24"/>
        </w:rPr>
        <w:t xml:space="preserve"> </w:t>
      </w:r>
      <w:r w:rsidRPr="00150EDC">
        <w:rPr>
          <w:rFonts w:ascii="Calibri"/>
          <w:sz w:val="24"/>
        </w:rPr>
        <w:t>way</w:t>
      </w:r>
      <w:r w:rsidRPr="00150EDC">
        <w:rPr>
          <w:rFonts w:ascii="Calibri"/>
          <w:spacing w:val="-2"/>
          <w:sz w:val="24"/>
        </w:rPr>
        <w:t xml:space="preserve"> </w:t>
      </w:r>
      <w:r w:rsidRPr="00150EDC">
        <w:rPr>
          <w:rFonts w:ascii="Calibri"/>
          <w:sz w:val="24"/>
        </w:rPr>
        <w:t>for</w:t>
      </w:r>
      <w:r w:rsidRPr="00150EDC">
        <w:rPr>
          <w:rFonts w:ascii="Calibri"/>
          <w:spacing w:val="-3"/>
          <w:sz w:val="24"/>
        </w:rPr>
        <w:t xml:space="preserve"> </w:t>
      </w:r>
      <w:r w:rsidRPr="00150EDC">
        <w:rPr>
          <w:rFonts w:ascii="Calibri"/>
          <w:sz w:val="24"/>
        </w:rPr>
        <w:t>the Management Levy).</w:t>
      </w:r>
    </w:p>
    <w:p w14:paraId="2320A68F" w14:textId="77777777" w:rsidR="004C7180" w:rsidRPr="00150EDC" w:rsidRDefault="004C7180">
      <w:pPr>
        <w:pStyle w:val="BodyText"/>
        <w:spacing w:before="4"/>
        <w:rPr>
          <w:rFonts w:ascii="Calibri"/>
          <w:sz w:val="27"/>
        </w:rPr>
      </w:pPr>
    </w:p>
    <w:p w14:paraId="36A27F9C" w14:textId="77777777" w:rsidR="004C7180" w:rsidRPr="00150EDC" w:rsidRDefault="00CF0754" w:rsidP="00B320C7">
      <w:pPr>
        <w:pStyle w:val="ListParagraph"/>
        <w:numPr>
          <w:ilvl w:val="1"/>
          <w:numId w:val="182"/>
        </w:numPr>
        <w:tabs>
          <w:tab w:val="left" w:pos="1066"/>
        </w:tabs>
        <w:ind w:right="1074"/>
        <w:rPr>
          <w:rFonts w:ascii="Calibri"/>
          <w:sz w:val="24"/>
        </w:rPr>
      </w:pPr>
      <w:r w:rsidRPr="00150EDC">
        <w:rPr>
          <w:rFonts w:ascii="Calibri"/>
          <w:sz w:val="24"/>
        </w:rPr>
        <w:t>The</w:t>
      </w:r>
      <w:r w:rsidRPr="00150EDC">
        <w:rPr>
          <w:rFonts w:ascii="Calibri"/>
          <w:spacing w:val="-2"/>
          <w:sz w:val="24"/>
        </w:rPr>
        <w:t xml:space="preserve"> </w:t>
      </w:r>
      <w:r w:rsidRPr="00150EDC">
        <w:rPr>
          <w:rFonts w:ascii="Calibri"/>
          <w:sz w:val="24"/>
        </w:rPr>
        <w:t>Buyer</w:t>
      </w:r>
      <w:r w:rsidRPr="00150EDC">
        <w:rPr>
          <w:rFonts w:ascii="Calibri"/>
          <w:spacing w:val="-2"/>
          <w:sz w:val="24"/>
        </w:rPr>
        <w:t xml:space="preserve"> </w:t>
      </w:r>
      <w:r w:rsidRPr="00150EDC">
        <w:rPr>
          <w:rFonts w:ascii="Calibri"/>
          <w:sz w:val="24"/>
        </w:rPr>
        <w:t>must</w:t>
      </w:r>
      <w:r w:rsidRPr="00150EDC">
        <w:rPr>
          <w:rFonts w:ascii="Calibri"/>
          <w:spacing w:val="-2"/>
          <w:sz w:val="24"/>
        </w:rPr>
        <w:t xml:space="preserve"> </w:t>
      </w:r>
      <w:r w:rsidRPr="00150EDC">
        <w:rPr>
          <w:rFonts w:ascii="Calibri"/>
          <w:sz w:val="24"/>
        </w:rPr>
        <w:t>accept</w:t>
      </w:r>
      <w:r w:rsidRPr="00150EDC">
        <w:rPr>
          <w:rFonts w:ascii="Calibri"/>
          <w:spacing w:val="-2"/>
          <w:sz w:val="24"/>
        </w:rPr>
        <w:t xml:space="preserve"> </w:t>
      </w:r>
      <w:r w:rsidRPr="00150EDC">
        <w:rPr>
          <w:rFonts w:ascii="Calibri"/>
          <w:sz w:val="24"/>
        </w:rPr>
        <w:t>and</w:t>
      </w:r>
      <w:r w:rsidRPr="00150EDC">
        <w:rPr>
          <w:rFonts w:ascii="Calibri"/>
          <w:spacing w:val="-4"/>
          <w:sz w:val="24"/>
        </w:rPr>
        <w:t xml:space="preserve"> </w:t>
      </w:r>
      <w:r w:rsidRPr="00150EDC">
        <w:rPr>
          <w:rFonts w:ascii="Calibri"/>
          <w:sz w:val="24"/>
        </w:rPr>
        <w:t>process</w:t>
      </w:r>
      <w:r w:rsidRPr="00150EDC">
        <w:rPr>
          <w:rFonts w:ascii="Calibri"/>
          <w:spacing w:val="-5"/>
          <w:sz w:val="24"/>
        </w:rPr>
        <w:t xml:space="preserve"> </w:t>
      </w:r>
      <w:r w:rsidRPr="00150EDC">
        <w:rPr>
          <w:rFonts w:ascii="Calibri"/>
          <w:sz w:val="24"/>
        </w:rPr>
        <w:t>for</w:t>
      </w:r>
      <w:r w:rsidRPr="00150EDC">
        <w:rPr>
          <w:rFonts w:ascii="Calibri"/>
          <w:spacing w:val="-4"/>
          <w:sz w:val="24"/>
        </w:rPr>
        <w:t xml:space="preserve"> </w:t>
      </w:r>
      <w:r w:rsidRPr="00150EDC">
        <w:rPr>
          <w:rFonts w:ascii="Calibri"/>
          <w:sz w:val="24"/>
        </w:rPr>
        <w:t>payment</w:t>
      </w:r>
      <w:r w:rsidRPr="00150EDC">
        <w:rPr>
          <w:rFonts w:ascii="Calibri"/>
          <w:spacing w:val="-6"/>
          <w:sz w:val="24"/>
        </w:rPr>
        <w:t xml:space="preserve"> </w:t>
      </w:r>
      <w:r w:rsidRPr="00150EDC">
        <w:rPr>
          <w:rFonts w:ascii="Calibri"/>
          <w:sz w:val="24"/>
        </w:rPr>
        <w:t>an</w:t>
      </w:r>
      <w:r w:rsidRPr="00150EDC">
        <w:rPr>
          <w:rFonts w:ascii="Calibri"/>
          <w:spacing w:val="-2"/>
          <w:sz w:val="24"/>
        </w:rPr>
        <w:t xml:space="preserve"> </w:t>
      </w:r>
      <w:r w:rsidRPr="00150EDC">
        <w:rPr>
          <w:rFonts w:ascii="Calibri"/>
          <w:sz w:val="24"/>
        </w:rPr>
        <w:t>undisputed</w:t>
      </w:r>
      <w:r w:rsidRPr="00150EDC">
        <w:rPr>
          <w:rFonts w:ascii="Calibri"/>
          <w:spacing w:val="-4"/>
          <w:sz w:val="24"/>
        </w:rPr>
        <w:t xml:space="preserve"> </w:t>
      </w:r>
      <w:r w:rsidRPr="00150EDC">
        <w:rPr>
          <w:rFonts w:ascii="Calibri"/>
          <w:sz w:val="24"/>
        </w:rPr>
        <w:t>Electronic</w:t>
      </w:r>
      <w:r w:rsidRPr="00150EDC">
        <w:rPr>
          <w:rFonts w:ascii="Calibri"/>
          <w:spacing w:val="-6"/>
          <w:sz w:val="24"/>
        </w:rPr>
        <w:t xml:space="preserve"> </w:t>
      </w:r>
      <w:r w:rsidRPr="00150EDC">
        <w:rPr>
          <w:rFonts w:ascii="Calibri"/>
          <w:sz w:val="24"/>
        </w:rPr>
        <w:t>Invoice</w:t>
      </w:r>
      <w:r w:rsidRPr="00150EDC">
        <w:rPr>
          <w:rFonts w:ascii="Calibri"/>
          <w:spacing w:val="-3"/>
          <w:sz w:val="24"/>
        </w:rPr>
        <w:t xml:space="preserve"> </w:t>
      </w:r>
      <w:r w:rsidRPr="00150EDC">
        <w:rPr>
          <w:rFonts w:ascii="Calibri"/>
          <w:sz w:val="24"/>
        </w:rPr>
        <w:t>received</w:t>
      </w:r>
      <w:r w:rsidRPr="00150EDC">
        <w:rPr>
          <w:rFonts w:ascii="Calibri"/>
          <w:spacing w:val="-4"/>
          <w:sz w:val="24"/>
        </w:rPr>
        <w:t xml:space="preserve"> </w:t>
      </w:r>
      <w:r w:rsidRPr="00150EDC">
        <w:rPr>
          <w:rFonts w:ascii="Calibri"/>
          <w:sz w:val="24"/>
        </w:rPr>
        <w:t>from</w:t>
      </w:r>
      <w:r w:rsidRPr="00150EDC">
        <w:rPr>
          <w:rFonts w:ascii="Calibri"/>
          <w:spacing w:val="-5"/>
          <w:sz w:val="24"/>
        </w:rPr>
        <w:t xml:space="preserve"> </w:t>
      </w:r>
      <w:r w:rsidRPr="00150EDC">
        <w:rPr>
          <w:rFonts w:ascii="Calibri"/>
          <w:sz w:val="24"/>
        </w:rPr>
        <w:t xml:space="preserve">the </w:t>
      </w:r>
      <w:r w:rsidRPr="00150EDC">
        <w:rPr>
          <w:rFonts w:ascii="Calibri"/>
          <w:spacing w:val="-2"/>
          <w:sz w:val="24"/>
        </w:rPr>
        <w:t>Supplier.</w:t>
      </w:r>
    </w:p>
    <w:p w14:paraId="13065E57" w14:textId="77777777" w:rsidR="004C7180" w:rsidRPr="00150EDC" w:rsidRDefault="004C7180">
      <w:pPr>
        <w:pStyle w:val="BodyText"/>
        <w:spacing w:before="11"/>
        <w:rPr>
          <w:rFonts w:ascii="Calibri"/>
          <w:sz w:val="23"/>
        </w:rPr>
      </w:pPr>
    </w:p>
    <w:p w14:paraId="765DDAD6" w14:textId="77777777" w:rsidR="004C7180" w:rsidRPr="00150EDC" w:rsidRDefault="00CF0754" w:rsidP="00B320C7">
      <w:pPr>
        <w:pStyle w:val="ListParagraph"/>
        <w:numPr>
          <w:ilvl w:val="1"/>
          <w:numId w:val="182"/>
        </w:numPr>
        <w:tabs>
          <w:tab w:val="left" w:pos="1066"/>
        </w:tabs>
        <w:spacing w:before="1"/>
        <w:ind w:right="695"/>
        <w:rPr>
          <w:rFonts w:ascii="Calibri"/>
          <w:sz w:val="24"/>
        </w:rPr>
      </w:pPr>
      <w:r w:rsidRPr="00150EDC">
        <w:rPr>
          <w:rFonts w:ascii="Calibri"/>
          <w:sz w:val="24"/>
        </w:rPr>
        <w:t>The</w:t>
      </w:r>
      <w:r w:rsidRPr="00150EDC">
        <w:rPr>
          <w:rFonts w:ascii="Calibri"/>
          <w:spacing w:val="-1"/>
          <w:sz w:val="24"/>
        </w:rPr>
        <w:t xml:space="preserve"> </w:t>
      </w:r>
      <w:r w:rsidRPr="00150EDC">
        <w:rPr>
          <w:rFonts w:ascii="Calibri"/>
          <w:sz w:val="24"/>
        </w:rPr>
        <w:t>Buyer</w:t>
      </w:r>
      <w:r w:rsidRPr="00150EDC">
        <w:rPr>
          <w:rFonts w:ascii="Calibri"/>
          <w:spacing w:val="-1"/>
          <w:sz w:val="24"/>
        </w:rPr>
        <w:t xml:space="preserve"> </w:t>
      </w:r>
      <w:r w:rsidRPr="00150EDC">
        <w:rPr>
          <w:rFonts w:ascii="Calibri"/>
          <w:sz w:val="24"/>
        </w:rPr>
        <w:t>may</w:t>
      </w:r>
      <w:r w:rsidRPr="00150EDC">
        <w:rPr>
          <w:rFonts w:ascii="Calibri"/>
          <w:spacing w:val="-2"/>
          <w:sz w:val="24"/>
        </w:rPr>
        <w:t xml:space="preserve"> </w:t>
      </w:r>
      <w:r w:rsidRPr="00150EDC">
        <w:rPr>
          <w:rFonts w:ascii="Calibri"/>
          <w:sz w:val="24"/>
        </w:rPr>
        <w:t>retain</w:t>
      </w:r>
      <w:r w:rsidRPr="00150EDC">
        <w:rPr>
          <w:rFonts w:ascii="Calibri"/>
          <w:spacing w:val="-1"/>
          <w:sz w:val="24"/>
        </w:rPr>
        <w:t xml:space="preserve"> </w:t>
      </w:r>
      <w:r w:rsidRPr="00150EDC">
        <w:rPr>
          <w:rFonts w:ascii="Calibri"/>
          <w:sz w:val="24"/>
        </w:rPr>
        <w:t>or</w:t>
      </w:r>
      <w:r w:rsidRPr="00150EDC">
        <w:rPr>
          <w:rFonts w:ascii="Calibri"/>
          <w:spacing w:val="-4"/>
          <w:sz w:val="24"/>
        </w:rPr>
        <w:t xml:space="preserve"> </w:t>
      </w:r>
      <w:r w:rsidRPr="00150EDC">
        <w:rPr>
          <w:rFonts w:ascii="Calibri"/>
          <w:sz w:val="24"/>
        </w:rPr>
        <w:t>set-off</w:t>
      </w:r>
      <w:r w:rsidRPr="00150EDC">
        <w:rPr>
          <w:rFonts w:ascii="Calibri"/>
          <w:spacing w:val="-3"/>
          <w:sz w:val="24"/>
        </w:rPr>
        <w:t xml:space="preserve"> </w:t>
      </w:r>
      <w:r w:rsidRPr="00150EDC">
        <w:rPr>
          <w:rFonts w:ascii="Calibri"/>
          <w:sz w:val="24"/>
        </w:rPr>
        <w:t>payment</w:t>
      </w:r>
      <w:r w:rsidRPr="00150EDC">
        <w:rPr>
          <w:rFonts w:ascii="Calibri"/>
          <w:spacing w:val="-3"/>
          <w:sz w:val="24"/>
        </w:rPr>
        <w:t xml:space="preserve"> </w:t>
      </w:r>
      <w:r w:rsidRPr="00150EDC">
        <w:rPr>
          <w:rFonts w:ascii="Calibri"/>
          <w:sz w:val="24"/>
        </w:rPr>
        <w:t>of</w:t>
      </w:r>
      <w:r w:rsidRPr="00150EDC">
        <w:rPr>
          <w:rFonts w:ascii="Calibri"/>
          <w:spacing w:val="-3"/>
          <w:sz w:val="24"/>
        </w:rPr>
        <w:t xml:space="preserve"> </w:t>
      </w:r>
      <w:r w:rsidRPr="00150EDC">
        <w:rPr>
          <w:rFonts w:ascii="Calibri"/>
          <w:sz w:val="24"/>
        </w:rPr>
        <w:t>any</w:t>
      </w:r>
      <w:r w:rsidRPr="00150EDC">
        <w:rPr>
          <w:rFonts w:ascii="Calibri"/>
          <w:spacing w:val="-5"/>
          <w:sz w:val="24"/>
        </w:rPr>
        <w:t xml:space="preserve"> </w:t>
      </w:r>
      <w:r w:rsidRPr="00150EDC">
        <w:rPr>
          <w:rFonts w:ascii="Calibri"/>
          <w:sz w:val="24"/>
        </w:rPr>
        <w:t>amount</w:t>
      </w:r>
      <w:r w:rsidRPr="00150EDC">
        <w:rPr>
          <w:rFonts w:ascii="Calibri"/>
          <w:spacing w:val="-1"/>
          <w:sz w:val="24"/>
        </w:rPr>
        <w:t xml:space="preserve"> </w:t>
      </w:r>
      <w:r w:rsidRPr="00150EDC">
        <w:rPr>
          <w:rFonts w:ascii="Calibri"/>
          <w:sz w:val="24"/>
        </w:rPr>
        <w:t>owed</w:t>
      </w:r>
      <w:r w:rsidRPr="00150EDC">
        <w:rPr>
          <w:rFonts w:ascii="Calibri"/>
          <w:spacing w:val="-3"/>
          <w:sz w:val="24"/>
        </w:rPr>
        <w:t xml:space="preserve"> </w:t>
      </w:r>
      <w:r w:rsidRPr="00150EDC">
        <w:rPr>
          <w:rFonts w:ascii="Calibri"/>
          <w:sz w:val="24"/>
        </w:rPr>
        <w:t>to</w:t>
      </w:r>
      <w:r w:rsidRPr="00150EDC">
        <w:rPr>
          <w:rFonts w:ascii="Calibri"/>
          <w:spacing w:val="-1"/>
          <w:sz w:val="24"/>
        </w:rPr>
        <w:t xml:space="preserve"> </w:t>
      </w:r>
      <w:r w:rsidRPr="00150EDC">
        <w:rPr>
          <w:rFonts w:ascii="Calibri"/>
          <w:sz w:val="24"/>
        </w:rPr>
        <w:t>it</w:t>
      </w:r>
      <w:r w:rsidRPr="00150EDC">
        <w:rPr>
          <w:rFonts w:ascii="Calibri"/>
          <w:spacing w:val="-3"/>
          <w:sz w:val="24"/>
        </w:rPr>
        <w:t xml:space="preserve"> </w:t>
      </w:r>
      <w:r w:rsidRPr="00150EDC">
        <w:rPr>
          <w:rFonts w:ascii="Calibri"/>
          <w:sz w:val="24"/>
        </w:rPr>
        <w:t>by</w:t>
      </w:r>
      <w:r w:rsidRPr="00150EDC">
        <w:rPr>
          <w:rFonts w:ascii="Calibri"/>
          <w:spacing w:val="-2"/>
          <w:sz w:val="24"/>
        </w:rPr>
        <w:t xml:space="preserve"> </w:t>
      </w:r>
      <w:r w:rsidRPr="00150EDC">
        <w:rPr>
          <w:rFonts w:ascii="Calibri"/>
          <w:sz w:val="24"/>
        </w:rPr>
        <w:t>the</w:t>
      </w:r>
      <w:r w:rsidRPr="00150EDC">
        <w:rPr>
          <w:rFonts w:ascii="Calibri"/>
          <w:spacing w:val="-3"/>
          <w:sz w:val="24"/>
        </w:rPr>
        <w:t xml:space="preserve"> </w:t>
      </w:r>
      <w:r w:rsidRPr="00150EDC">
        <w:rPr>
          <w:rFonts w:ascii="Calibri"/>
          <w:sz w:val="24"/>
        </w:rPr>
        <w:t>Supplier</w:t>
      </w:r>
      <w:r w:rsidRPr="00150EDC">
        <w:rPr>
          <w:rFonts w:ascii="Calibri"/>
          <w:spacing w:val="-1"/>
          <w:sz w:val="24"/>
        </w:rPr>
        <w:t xml:space="preserve"> </w:t>
      </w:r>
      <w:r w:rsidRPr="00150EDC">
        <w:rPr>
          <w:rFonts w:ascii="Calibri"/>
          <w:sz w:val="24"/>
        </w:rPr>
        <w:t>if</w:t>
      </w:r>
      <w:r w:rsidRPr="00150EDC">
        <w:rPr>
          <w:rFonts w:ascii="Calibri"/>
          <w:spacing w:val="-3"/>
          <w:sz w:val="24"/>
        </w:rPr>
        <w:t xml:space="preserve"> </w:t>
      </w:r>
      <w:r w:rsidRPr="00150EDC">
        <w:rPr>
          <w:rFonts w:ascii="Calibri"/>
          <w:sz w:val="24"/>
        </w:rPr>
        <w:t>notice and</w:t>
      </w:r>
      <w:r w:rsidRPr="00150EDC">
        <w:rPr>
          <w:rFonts w:ascii="Calibri"/>
          <w:spacing w:val="-1"/>
          <w:sz w:val="24"/>
        </w:rPr>
        <w:t xml:space="preserve"> </w:t>
      </w:r>
      <w:r w:rsidRPr="00150EDC">
        <w:rPr>
          <w:rFonts w:ascii="Calibri"/>
          <w:sz w:val="24"/>
        </w:rPr>
        <w:t>reasons are provided.</w:t>
      </w:r>
    </w:p>
    <w:p w14:paraId="09A13C88" w14:textId="77777777" w:rsidR="004C7180" w:rsidRPr="00150EDC" w:rsidRDefault="004C7180">
      <w:pPr>
        <w:pStyle w:val="BodyText"/>
        <w:spacing w:before="11"/>
        <w:rPr>
          <w:rFonts w:ascii="Calibri"/>
          <w:sz w:val="23"/>
        </w:rPr>
      </w:pPr>
    </w:p>
    <w:p w14:paraId="099BD965" w14:textId="77777777" w:rsidR="004C7180" w:rsidRPr="00150EDC" w:rsidRDefault="00CF0754" w:rsidP="00B320C7">
      <w:pPr>
        <w:pStyle w:val="ListParagraph"/>
        <w:numPr>
          <w:ilvl w:val="1"/>
          <w:numId w:val="182"/>
        </w:numPr>
        <w:tabs>
          <w:tab w:val="left" w:pos="1066"/>
        </w:tabs>
        <w:ind w:right="630"/>
        <w:rPr>
          <w:rFonts w:ascii="Calibri"/>
          <w:sz w:val="24"/>
        </w:rPr>
      </w:pPr>
      <w:r w:rsidRPr="00150EDC">
        <w:rPr>
          <w:rFonts w:ascii="Calibri"/>
          <w:sz w:val="24"/>
        </w:rPr>
        <w:t>The Supplier must ensure that all Subcontractors are paid, in full, within 30 days of receipt of a valid, undisputed</w:t>
      </w:r>
      <w:r w:rsidRPr="00150EDC">
        <w:rPr>
          <w:rFonts w:ascii="Calibri"/>
          <w:spacing w:val="-3"/>
          <w:sz w:val="24"/>
        </w:rPr>
        <w:t xml:space="preserve"> </w:t>
      </w:r>
      <w:r w:rsidRPr="00150EDC">
        <w:rPr>
          <w:rFonts w:ascii="Calibri"/>
          <w:sz w:val="24"/>
        </w:rPr>
        <w:t>invoice.</w:t>
      </w:r>
      <w:r w:rsidRPr="00150EDC">
        <w:rPr>
          <w:rFonts w:ascii="Calibri"/>
          <w:spacing w:val="-5"/>
          <w:sz w:val="24"/>
        </w:rPr>
        <w:t xml:space="preserve"> </w:t>
      </w:r>
      <w:r w:rsidRPr="00150EDC">
        <w:rPr>
          <w:rFonts w:ascii="Calibri"/>
          <w:sz w:val="24"/>
        </w:rPr>
        <w:t>If</w:t>
      </w:r>
      <w:r w:rsidRPr="00150EDC">
        <w:rPr>
          <w:rFonts w:ascii="Calibri"/>
          <w:spacing w:val="-3"/>
          <w:sz w:val="24"/>
        </w:rPr>
        <w:t xml:space="preserve"> </w:t>
      </w:r>
      <w:r w:rsidRPr="00150EDC">
        <w:rPr>
          <w:rFonts w:ascii="Calibri"/>
          <w:sz w:val="24"/>
        </w:rPr>
        <w:t>this</w:t>
      </w:r>
      <w:r w:rsidRPr="00150EDC">
        <w:rPr>
          <w:rFonts w:ascii="Calibri"/>
          <w:spacing w:val="-2"/>
          <w:sz w:val="24"/>
        </w:rPr>
        <w:t xml:space="preserve"> </w:t>
      </w:r>
      <w:r w:rsidRPr="00150EDC">
        <w:rPr>
          <w:rFonts w:ascii="Calibri"/>
          <w:sz w:val="24"/>
        </w:rPr>
        <w:t>does</w:t>
      </w:r>
      <w:r w:rsidRPr="00150EDC">
        <w:rPr>
          <w:rFonts w:ascii="Calibri"/>
          <w:spacing w:val="-4"/>
          <w:sz w:val="24"/>
        </w:rPr>
        <w:t xml:space="preserve"> </w:t>
      </w:r>
      <w:r w:rsidRPr="00150EDC">
        <w:rPr>
          <w:rFonts w:ascii="Calibri"/>
          <w:sz w:val="24"/>
        </w:rPr>
        <w:t>not</w:t>
      </w:r>
      <w:r w:rsidRPr="00150EDC">
        <w:rPr>
          <w:rFonts w:ascii="Calibri"/>
          <w:spacing w:val="-3"/>
          <w:sz w:val="24"/>
        </w:rPr>
        <w:t xml:space="preserve"> </w:t>
      </w:r>
      <w:r w:rsidRPr="00150EDC">
        <w:rPr>
          <w:rFonts w:ascii="Calibri"/>
          <w:sz w:val="24"/>
        </w:rPr>
        <w:t>happen,</w:t>
      </w:r>
      <w:r w:rsidRPr="00150EDC">
        <w:rPr>
          <w:rFonts w:ascii="Calibri"/>
          <w:spacing w:val="-4"/>
          <w:sz w:val="24"/>
        </w:rPr>
        <w:t xml:space="preserve"> </w:t>
      </w:r>
      <w:r w:rsidRPr="00150EDC">
        <w:rPr>
          <w:rFonts w:ascii="Calibri"/>
          <w:sz w:val="24"/>
        </w:rPr>
        <w:t>CCS</w:t>
      </w:r>
      <w:r w:rsidRPr="00150EDC">
        <w:rPr>
          <w:rFonts w:ascii="Calibri"/>
          <w:spacing w:val="-2"/>
          <w:sz w:val="24"/>
        </w:rPr>
        <w:t xml:space="preserve"> </w:t>
      </w:r>
      <w:r w:rsidRPr="00150EDC">
        <w:rPr>
          <w:rFonts w:ascii="Calibri"/>
          <w:sz w:val="24"/>
        </w:rPr>
        <w:t>or</w:t>
      </w:r>
      <w:r w:rsidRPr="00150EDC">
        <w:rPr>
          <w:rFonts w:ascii="Calibri"/>
          <w:spacing w:val="-1"/>
          <w:sz w:val="24"/>
        </w:rPr>
        <w:t xml:space="preserve"> </w:t>
      </w:r>
      <w:r w:rsidRPr="00150EDC">
        <w:rPr>
          <w:rFonts w:ascii="Calibri"/>
          <w:sz w:val="24"/>
        </w:rPr>
        <w:t>the</w:t>
      </w:r>
      <w:r w:rsidRPr="00150EDC">
        <w:rPr>
          <w:rFonts w:ascii="Calibri"/>
          <w:spacing w:val="-1"/>
          <w:sz w:val="24"/>
        </w:rPr>
        <w:t xml:space="preserve"> </w:t>
      </w:r>
      <w:r w:rsidRPr="00150EDC">
        <w:rPr>
          <w:rFonts w:ascii="Calibri"/>
          <w:sz w:val="24"/>
        </w:rPr>
        <w:t>Buyer</w:t>
      </w:r>
      <w:r w:rsidRPr="00150EDC">
        <w:rPr>
          <w:rFonts w:ascii="Calibri"/>
          <w:spacing w:val="-4"/>
          <w:sz w:val="24"/>
        </w:rPr>
        <w:t xml:space="preserve"> </w:t>
      </w:r>
      <w:r w:rsidRPr="00150EDC">
        <w:rPr>
          <w:rFonts w:ascii="Calibri"/>
          <w:sz w:val="24"/>
        </w:rPr>
        <w:t>can</w:t>
      </w:r>
      <w:r w:rsidRPr="00150EDC">
        <w:rPr>
          <w:rFonts w:ascii="Calibri"/>
          <w:spacing w:val="-3"/>
          <w:sz w:val="24"/>
        </w:rPr>
        <w:t xml:space="preserve"> </w:t>
      </w:r>
      <w:r w:rsidRPr="00150EDC">
        <w:rPr>
          <w:rFonts w:ascii="Calibri"/>
          <w:sz w:val="24"/>
        </w:rPr>
        <w:t>publish</w:t>
      </w:r>
      <w:r w:rsidRPr="00150EDC">
        <w:rPr>
          <w:rFonts w:ascii="Calibri"/>
          <w:spacing w:val="-3"/>
          <w:sz w:val="24"/>
        </w:rPr>
        <w:t xml:space="preserve"> </w:t>
      </w:r>
      <w:r w:rsidRPr="00150EDC">
        <w:rPr>
          <w:rFonts w:ascii="Calibri"/>
          <w:sz w:val="24"/>
        </w:rPr>
        <w:t>the</w:t>
      </w:r>
      <w:r w:rsidRPr="00150EDC">
        <w:rPr>
          <w:rFonts w:ascii="Calibri"/>
          <w:spacing w:val="-3"/>
          <w:sz w:val="24"/>
        </w:rPr>
        <w:t xml:space="preserve"> </w:t>
      </w:r>
      <w:r w:rsidRPr="00150EDC">
        <w:rPr>
          <w:rFonts w:ascii="Calibri"/>
          <w:sz w:val="24"/>
        </w:rPr>
        <w:t>details</w:t>
      </w:r>
      <w:r w:rsidRPr="00150EDC">
        <w:rPr>
          <w:rFonts w:ascii="Calibri"/>
          <w:spacing w:val="-4"/>
          <w:sz w:val="24"/>
        </w:rPr>
        <w:t xml:space="preserve"> </w:t>
      </w:r>
      <w:r w:rsidRPr="00150EDC">
        <w:rPr>
          <w:rFonts w:ascii="Calibri"/>
          <w:sz w:val="24"/>
        </w:rPr>
        <w:t>of</w:t>
      </w:r>
      <w:r w:rsidRPr="00150EDC">
        <w:rPr>
          <w:rFonts w:ascii="Calibri"/>
          <w:spacing w:val="-3"/>
          <w:sz w:val="24"/>
        </w:rPr>
        <w:t xml:space="preserve"> </w:t>
      </w:r>
      <w:r w:rsidRPr="00150EDC">
        <w:rPr>
          <w:rFonts w:ascii="Calibri"/>
          <w:sz w:val="24"/>
        </w:rPr>
        <w:t>the</w:t>
      </w:r>
      <w:r w:rsidRPr="00150EDC">
        <w:rPr>
          <w:rFonts w:ascii="Calibri"/>
          <w:spacing w:val="-3"/>
          <w:sz w:val="24"/>
        </w:rPr>
        <w:t xml:space="preserve"> </w:t>
      </w:r>
      <w:r w:rsidRPr="00150EDC">
        <w:rPr>
          <w:rFonts w:ascii="Calibri"/>
          <w:sz w:val="24"/>
        </w:rPr>
        <w:t>late</w:t>
      </w:r>
      <w:r w:rsidRPr="00150EDC">
        <w:rPr>
          <w:rFonts w:ascii="Calibri"/>
          <w:spacing w:val="-4"/>
          <w:sz w:val="24"/>
        </w:rPr>
        <w:t xml:space="preserve"> </w:t>
      </w:r>
      <w:r w:rsidRPr="00150EDC">
        <w:rPr>
          <w:rFonts w:ascii="Calibri"/>
          <w:sz w:val="24"/>
        </w:rPr>
        <w:t>payment or non-payment.</w:t>
      </w:r>
    </w:p>
    <w:p w14:paraId="3AEF9CB5" w14:textId="77777777" w:rsidR="004C7180" w:rsidRPr="00150EDC" w:rsidRDefault="004C7180">
      <w:pPr>
        <w:pStyle w:val="BodyText"/>
        <w:spacing w:before="2"/>
        <w:rPr>
          <w:rFonts w:ascii="Calibri"/>
        </w:rPr>
      </w:pPr>
    </w:p>
    <w:p w14:paraId="155B9B41" w14:textId="77777777" w:rsidR="004C7180" w:rsidRPr="00150EDC" w:rsidRDefault="00CF0754" w:rsidP="00B320C7">
      <w:pPr>
        <w:pStyle w:val="ListParagraph"/>
        <w:numPr>
          <w:ilvl w:val="1"/>
          <w:numId w:val="182"/>
        </w:numPr>
        <w:tabs>
          <w:tab w:val="left" w:pos="1066"/>
        </w:tabs>
        <w:ind w:right="895"/>
        <w:rPr>
          <w:rFonts w:ascii="Calibri"/>
          <w:sz w:val="24"/>
        </w:rPr>
      </w:pPr>
      <w:r w:rsidRPr="00150EDC">
        <w:rPr>
          <w:rFonts w:ascii="Calibri"/>
          <w:sz w:val="24"/>
        </w:rPr>
        <w:t>If CCS</w:t>
      </w:r>
      <w:r w:rsidRPr="00150EDC">
        <w:rPr>
          <w:rFonts w:ascii="Calibri"/>
          <w:spacing w:val="-1"/>
          <w:sz w:val="24"/>
        </w:rPr>
        <w:t xml:space="preserve"> </w:t>
      </w:r>
      <w:r w:rsidRPr="00150EDC">
        <w:rPr>
          <w:rFonts w:ascii="Calibri"/>
          <w:sz w:val="24"/>
        </w:rPr>
        <w:t>or</w:t>
      </w:r>
      <w:r w:rsidRPr="00150EDC">
        <w:rPr>
          <w:rFonts w:ascii="Calibri"/>
          <w:spacing w:val="-2"/>
          <w:sz w:val="24"/>
        </w:rPr>
        <w:t xml:space="preserve"> </w:t>
      </w:r>
      <w:r w:rsidRPr="00150EDC">
        <w:rPr>
          <w:rFonts w:ascii="Calibri"/>
          <w:sz w:val="24"/>
        </w:rPr>
        <w:t>the</w:t>
      </w:r>
      <w:r w:rsidRPr="00150EDC">
        <w:rPr>
          <w:rFonts w:ascii="Calibri"/>
          <w:spacing w:val="-3"/>
          <w:sz w:val="24"/>
        </w:rPr>
        <w:t xml:space="preserve"> </w:t>
      </w:r>
      <w:r w:rsidRPr="00150EDC">
        <w:rPr>
          <w:rFonts w:ascii="Calibri"/>
          <w:sz w:val="24"/>
        </w:rPr>
        <w:t>Buyer</w:t>
      </w:r>
      <w:r w:rsidRPr="00150EDC">
        <w:rPr>
          <w:rFonts w:ascii="Calibri"/>
          <w:spacing w:val="-1"/>
          <w:sz w:val="24"/>
        </w:rPr>
        <w:t xml:space="preserve"> </w:t>
      </w:r>
      <w:r w:rsidRPr="00150EDC">
        <w:rPr>
          <w:rFonts w:ascii="Calibri"/>
          <w:sz w:val="24"/>
        </w:rPr>
        <w:t>can get more</w:t>
      </w:r>
      <w:r w:rsidRPr="00150EDC">
        <w:rPr>
          <w:rFonts w:ascii="Calibri"/>
          <w:spacing w:val="-2"/>
          <w:sz w:val="24"/>
        </w:rPr>
        <w:t xml:space="preserve"> </w:t>
      </w:r>
      <w:r w:rsidRPr="00150EDC">
        <w:rPr>
          <w:rFonts w:ascii="Calibri"/>
          <w:sz w:val="24"/>
        </w:rPr>
        <w:t>favourable</w:t>
      </w:r>
      <w:r w:rsidRPr="00150EDC">
        <w:rPr>
          <w:rFonts w:ascii="Calibri"/>
          <w:spacing w:val="-3"/>
          <w:sz w:val="24"/>
        </w:rPr>
        <w:t xml:space="preserve"> </w:t>
      </w:r>
      <w:r w:rsidRPr="00150EDC">
        <w:rPr>
          <w:rFonts w:ascii="Calibri"/>
          <w:sz w:val="24"/>
        </w:rPr>
        <w:t>commercial terms</w:t>
      </w:r>
      <w:r w:rsidRPr="00150EDC">
        <w:rPr>
          <w:rFonts w:ascii="Calibri"/>
          <w:spacing w:val="-3"/>
          <w:sz w:val="24"/>
        </w:rPr>
        <w:t xml:space="preserve"> </w:t>
      </w:r>
      <w:r w:rsidRPr="00150EDC">
        <w:rPr>
          <w:rFonts w:ascii="Calibri"/>
          <w:sz w:val="24"/>
        </w:rPr>
        <w:t>for</w:t>
      </w:r>
      <w:r w:rsidRPr="00150EDC">
        <w:rPr>
          <w:rFonts w:ascii="Calibri"/>
          <w:spacing w:val="-2"/>
          <w:sz w:val="24"/>
        </w:rPr>
        <w:t xml:space="preserve"> </w:t>
      </w:r>
      <w:r w:rsidRPr="00150EDC">
        <w:rPr>
          <w:rFonts w:ascii="Calibri"/>
          <w:sz w:val="24"/>
        </w:rPr>
        <w:t>the supply</w:t>
      </w:r>
      <w:r w:rsidRPr="00150EDC">
        <w:rPr>
          <w:rFonts w:ascii="Calibri"/>
          <w:spacing w:val="-1"/>
          <w:sz w:val="24"/>
        </w:rPr>
        <w:t xml:space="preserve"> </w:t>
      </w:r>
      <w:r w:rsidRPr="00150EDC">
        <w:rPr>
          <w:rFonts w:ascii="Calibri"/>
          <w:sz w:val="24"/>
        </w:rPr>
        <w:t>at cost</w:t>
      </w:r>
      <w:r w:rsidRPr="00150EDC">
        <w:rPr>
          <w:rFonts w:ascii="Calibri"/>
          <w:spacing w:val="-1"/>
          <w:sz w:val="24"/>
        </w:rPr>
        <w:t xml:space="preserve"> </w:t>
      </w:r>
      <w:r w:rsidRPr="00150EDC">
        <w:rPr>
          <w:rFonts w:ascii="Calibri"/>
          <w:sz w:val="24"/>
        </w:rPr>
        <w:t>of any</w:t>
      </w:r>
      <w:r w:rsidRPr="00150EDC">
        <w:rPr>
          <w:rFonts w:ascii="Calibri"/>
          <w:spacing w:val="-1"/>
          <w:sz w:val="24"/>
        </w:rPr>
        <w:t xml:space="preserve"> </w:t>
      </w:r>
      <w:r w:rsidRPr="00150EDC">
        <w:rPr>
          <w:rFonts w:ascii="Calibri"/>
          <w:sz w:val="24"/>
        </w:rPr>
        <w:t>materials, goods</w:t>
      </w:r>
      <w:r w:rsidRPr="00150EDC">
        <w:rPr>
          <w:rFonts w:ascii="Calibri"/>
          <w:spacing w:val="-3"/>
          <w:sz w:val="24"/>
        </w:rPr>
        <w:t xml:space="preserve"> </w:t>
      </w:r>
      <w:r w:rsidRPr="00150EDC">
        <w:rPr>
          <w:rFonts w:ascii="Calibri"/>
          <w:sz w:val="24"/>
        </w:rPr>
        <w:t>or</w:t>
      </w:r>
      <w:r w:rsidRPr="00150EDC">
        <w:rPr>
          <w:rFonts w:ascii="Calibri"/>
          <w:spacing w:val="-2"/>
          <w:sz w:val="24"/>
        </w:rPr>
        <w:t xml:space="preserve"> </w:t>
      </w:r>
      <w:r w:rsidRPr="00150EDC">
        <w:rPr>
          <w:rFonts w:ascii="Calibri"/>
          <w:sz w:val="24"/>
        </w:rPr>
        <w:t>services</w:t>
      </w:r>
      <w:r w:rsidRPr="00150EDC">
        <w:rPr>
          <w:rFonts w:ascii="Calibri"/>
          <w:spacing w:val="-4"/>
          <w:sz w:val="24"/>
        </w:rPr>
        <w:t xml:space="preserve"> </w:t>
      </w:r>
      <w:r w:rsidRPr="00150EDC">
        <w:rPr>
          <w:rFonts w:ascii="Calibri"/>
          <w:sz w:val="24"/>
        </w:rPr>
        <w:t>used</w:t>
      </w:r>
      <w:r w:rsidRPr="00150EDC">
        <w:rPr>
          <w:rFonts w:ascii="Calibri"/>
          <w:spacing w:val="-3"/>
          <w:sz w:val="24"/>
        </w:rPr>
        <w:t xml:space="preserve"> </w:t>
      </w:r>
      <w:r w:rsidRPr="00150EDC">
        <w:rPr>
          <w:rFonts w:ascii="Calibri"/>
          <w:sz w:val="24"/>
        </w:rPr>
        <w:t>by</w:t>
      </w:r>
      <w:r w:rsidRPr="00150EDC">
        <w:rPr>
          <w:rFonts w:ascii="Calibri"/>
          <w:spacing w:val="-3"/>
          <w:sz w:val="24"/>
        </w:rPr>
        <w:t xml:space="preserve"> </w:t>
      </w:r>
      <w:r w:rsidRPr="00150EDC">
        <w:rPr>
          <w:rFonts w:ascii="Calibri"/>
          <w:sz w:val="24"/>
        </w:rPr>
        <w:t>the</w:t>
      </w:r>
      <w:r w:rsidRPr="00150EDC">
        <w:rPr>
          <w:rFonts w:ascii="Calibri"/>
          <w:spacing w:val="-4"/>
          <w:sz w:val="24"/>
        </w:rPr>
        <w:t xml:space="preserve"> </w:t>
      </w:r>
      <w:r w:rsidRPr="00150EDC">
        <w:rPr>
          <w:rFonts w:ascii="Calibri"/>
          <w:sz w:val="24"/>
        </w:rPr>
        <w:t>Supplier</w:t>
      </w:r>
      <w:r w:rsidRPr="00150EDC">
        <w:rPr>
          <w:rFonts w:ascii="Calibri"/>
          <w:spacing w:val="-2"/>
          <w:sz w:val="24"/>
        </w:rPr>
        <w:t xml:space="preserve"> </w:t>
      </w:r>
      <w:r w:rsidRPr="00150EDC">
        <w:rPr>
          <w:rFonts w:ascii="Calibri"/>
          <w:sz w:val="24"/>
        </w:rPr>
        <w:t>to</w:t>
      </w:r>
      <w:r w:rsidRPr="00150EDC">
        <w:rPr>
          <w:rFonts w:ascii="Calibri"/>
          <w:spacing w:val="-3"/>
          <w:sz w:val="24"/>
        </w:rPr>
        <w:t xml:space="preserve"> </w:t>
      </w:r>
      <w:r w:rsidRPr="00150EDC">
        <w:rPr>
          <w:rFonts w:ascii="Calibri"/>
          <w:sz w:val="24"/>
        </w:rPr>
        <w:t>provide</w:t>
      </w:r>
      <w:r w:rsidRPr="00150EDC">
        <w:rPr>
          <w:rFonts w:ascii="Calibri"/>
          <w:spacing w:val="-4"/>
          <w:sz w:val="24"/>
        </w:rPr>
        <w:t xml:space="preserve"> </w:t>
      </w:r>
      <w:r w:rsidRPr="00150EDC">
        <w:rPr>
          <w:rFonts w:ascii="Calibri"/>
          <w:sz w:val="24"/>
        </w:rPr>
        <w:t>the</w:t>
      </w:r>
      <w:r w:rsidRPr="00150EDC">
        <w:rPr>
          <w:rFonts w:ascii="Calibri"/>
          <w:spacing w:val="-2"/>
          <w:sz w:val="24"/>
        </w:rPr>
        <w:t xml:space="preserve"> </w:t>
      </w:r>
      <w:r w:rsidRPr="00150EDC">
        <w:rPr>
          <w:rFonts w:ascii="Calibri"/>
          <w:sz w:val="24"/>
        </w:rPr>
        <w:t>Deliverables,</w:t>
      </w:r>
      <w:r w:rsidRPr="00150EDC">
        <w:rPr>
          <w:rFonts w:ascii="Calibri"/>
          <w:spacing w:val="-4"/>
          <w:sz w:val="24"/>
        </w:rPr>
        <w:t xml:space="preserve"> </w:t>
      </w:r>
      <w:r w:rsidRPr="00150EDC">
        <w:rPr>
          <w:rFonts w:ascii="Calibri"/>
          <w:sz w:val="24"/>
        </w:rPr>
        <w:t>then</w:t>
      </w:r>
      <w:r w:rsidRPr="00150EDC">
        <w:rPr>
          <w:rFonts w:ascii="Calibri"/>
          <w:spacing w:val="-2"/>
          <w:sz w:val="24"/>
        </w:rPr>
        <w:t xml:space="preserve"> </w:t>
      </w:r>
      <w:r w:rsidRPr="00150EDC">
        <w:rPr>
          <w:rFonts w:ascii="Calibri"/>
          <w:sz w:val="24"/>
        </w:rPr>
        <w:t>CCS</w:t>
      </w:r>
      <w:r w:rsidRPr="00150EDC">
        <w:rPr>
          <w:rFonts w:ascii="Calibri"/>
          <w:spacing w:val="-3"/>
          <w:sz w:val="24"/>
        </w:rPr>
        <w:t xml:space="preserve"> </w:t>
      </w:r>
      <w:r w:rsidRPr="00150EDC">
        <w:rPr>
          <w:rFonts w:ascii="Calibri"/>
          <w:sz w:val="24"/>
        </w:rPr>
        <w:t>or</w:t>
      </w:r>
      <w:r w:rsidRPr="00150EDC">
        <w:rPr>
          <w:rFonts w:ascii="Calibri"/>
          <w:spacing w:val="-2"/>
          <w:sz w:val="24"/>
        </w:rPr>
        <w:t xml:space="preserve"> </w:t>
      </w:r>
      <w:r w:rsidRPr="00150EDC">
        <w:rPr>
          <w:rFonts w:ascii="Calibri"/>
          <w:sz w:val="24"/>
        </w:rPr>
        <w:t>the</w:t>
      </w:r>
      <w:r w:rsidRPr="00150EDC">
        <w:rPr>
          <w:rFonts w:ascii="Calibri"/>
          <w:spacing w:val="-2"/>
          <w:sz w:val="24"/>
        </w:rPr>
        <w:t xml:space="preserve"> </w:t>
      </w:r>
      <w:r w:rsidRPr="00150EDC">
        <w:rPr>
          <w:rFonts w:ascii="Calibri"/>
          <w:sz w:val="24"/>
        </w:rPr>
        <w:t>Buyer</w:t>
      </w:r>
      <w:r w:rsidRPr="00150EDC">
        <w:rPr>
          <w:rFonts w:ascii="Calibri"/>
          <w:spacing w:val="-3"/>
          <w:sz w:val="24"/>
        </w:rPr>
        <w:t xml:space="preserve"> </w:t>
      </w:r>
      <w:r w:rsidRPr="00150EDC">
        <w:rPr>
          <w:rFonts w:ascii="Calibri"/>
          <w:sz w:val="24"/>
        </w:rPr>
        <w:t>may</w:t>
      </w:r>
      <w:r w:rsidRPr="00150EDC">
        <w:rPr>
          <w:rFonts w:ascii="Calibri"/>
          <w:spacing w:val="-4"/>
          <w:sz w:val="24"/>
        </w:rPr>
        <w:t xml:space="preserve"> </w:t>
      </w:r>
      <w:r w:rsidRPr="00150EDC">
        <w:rPr>
          <w:rFonts w:ascii="Calibri"/>
          <w:sz w:val="24"/>
        </w:rPr>
        <w:t>require the Supplier to replace its existing commercial terms with the more favourable terms offered for the relevant items.</w:t>
      </w:r>
    </w:p>
    <w:p w14:paraId="765FDBBC" w14:textId="77777777" w:rsidR="004C7180" w:rsidRPr="00150EDC" w:rsidRDefault="004C7180">
      <w:pPr>
        <w:pStyle w:val="BodyText"/>
        <w:spacing w:before="12"/>
        <w:rPr>
          <w:rFonts w:ascii="Calibri"/>
          <w:sz w:val="23"/>
        </w:rPr>
      </w:pPr>
    </w:p>
    <w:p w14:paraId="567DB44E" w14:textId="77777777" w:rsidR="004C7180" w:rsidRPr="00150EDC" w:rsidRDefault="00CF0754" w:rsidP="00B320C7">
      <w:pPr>
        <w:pStyle w:val="ListParagraph"/>
        <w:numPr>
          <w:ilvl w:val="1"/>
          <w:numId w:val="182"/>
        </w:numPr>
        <w:tabs>
          <w:tab w:val="left" w:pos="1064"/>
          <w:tab w:val="left" w:pos="1066"/>
        </w:tabs>
        <w:ind w:right="999"/>
        <w:rPr>
          <w:rFonts w:ascii="Calibri"/>
          <w:sz w:val="24"/>
        </w:rPr>
      </w:pPr>
      <w:r w:rsidRPr="00150EDC">
        <w:rPr>
          <w:rFonts w:ascii="Calibri"/>
          <w:sz w:val="24"/>
        </w:rPr>
        <w:t>If</w:t>
      </w:r>
      <w:r w:rsidRPr="00150EDC">
        <w:rPr>
          <w:rFonts w:ascii="Calibri"/>
          <w:spacing w:val="-1"/>
          <w:sz w:val="24"/>
        </w:rPr>
        <w:t xml:space="preserve"> </w:t>
      </w:r>
      <w:r w:rsidRPr="00150EDC">
        <w:rPr>
          <w:rFonts w:ascii="Calibri"/>
          <w:sz w:val="24"/>
        </w:rPr>
        <w:t>CCS</w:t>
      </w:r>
      <w:r w:rsidRPr="00150EDC">
        <w:rPr>
          <w:rFonts w:ascii="Calibri"/>
          <w:spacing w:val="-2"/>
          <w:sz w:val="24"/>
        </w:rPr>
        <w:t xml:space="preserve"> </w:t>
      </w:r>
      <w:r w:rsidRPr="00150EDC">
        <w:rPr>
          <w:rFonts w:ascii="Calibri"/>
          <w:sz w:val="24"/>
        </w:rPr>
        <w:t>or</w:t>
      </w:r>
      <w:r w:rsidRPr="00150EDC">
        <w:rPr>
          <w:rFonts w:ascii="Calibri"/>
          <w:spacing w:val="-3"/>
          <w:sz w:val="24"/>
        </w:rPr>
        <w:t xml:space="preserve"> </w:t>
      </w:r>
      <w:r w:rsidRPr="00150EDC">
        <w:rPr>
          <w:rFonts w:ascii="Calibri"/>
          <w:sz w:val="24"/>
        </w:rPr>
        <w:t>the</w:t>
      </w:r>
      <w:r w:rsidRPr="00150EDC">
        <w:rPr>
          <w:rFonts w:ascii="Calibri"/>
          <w:spacing w:val="-4"/>
          <w:sz w:val="24"/>
        </w:rPr>
        <w:t xml:space="preserve"> </w:t>
      </w:r>
      <w:r w:rsidRPr="00150EDC">
        <w:rPr>
          <w:rFonts w:ascii="Calibri"/>
          <w:sz w:val="24"/>
        </w:rPr>
        <w:t>Buyer</w:t>
      </w:r>
      <w:r w:rsidRPr="00150EDC">
        <w:rPr>
          <w:rFonts w:ascii="Calibri"/>
          <w:spacing w:val="-4"/>
          <w:sz w:val="24"/>
        </w:rPr>
        <w:t xml:space="preserve"> </w:t>
      </w:r>
      <w:r w:rsidRPr="00150EDC">
        <w:rPr>
          <w:rFonts w:ascii="Calibri"/>
          <w:sz w:val="24"/>
        </w:rPr>
        <w:t>uses</w:t>
      </w:r>
      <w:r w:rsidRPr="00150EDC">
        <w:rPr>
          <w:rFonts w:ascii="Calibri"/>
          <w:spacing w:val="-4"/>
          <w:sz w:val="24"/>
        </w:rPr>
        <w:t xml:space="preserve"> </w:t>
      </w:r>
      <w:r w:rsidRPr="00150EDC">
        <w:rPr>
          <w:rFonts w:ascii="Calibri"/>
          <w:sz w:val="24"/>
        </w:rPr>
        <w:t>Clause</w:t>
      </w:r>
      <w:r w:rsidRPr="00150EDC">
        <w:rPr>
          <w:rFonts w:ascii="Calibri"/>
          <w:spacing w:val="-1"/>
          <w:sz w:val="24"/>
        </w:rPr>
        <w:t xml:space="preserve"> </w:t>
      </w:r>
      <w:r w:rsidRPr="00150EDC">
        <w:rPr>
          <w:rFonts w:ascii="Calibri"/>
          <w:sz w:val="24"/>
        </w:rPr>
        <w:t>4.9</w:t>
      </w:r>
      <w:r w:rsidRPr="00150EDC">
        <w:rPr>
          <w:rFonts w:ascii="Calibri"/>
          <w:spacing w:val="-3"/>
          <w:sz w:val="24"/>
        </w:rPr>
        <w:t xml:space="preserve"> </w:t>
      </w:r>
      <w:r w:rsidRPr="00150EDC">
        <w:rPr>
          <w:rFonts w:ascii="Calibri"/>
          <w:sz w:val="24"/>
        </w:rPr>
        <w:t>then</w:t>
      </w:r>
      <w:r w:rsidRPr="00150EDC">
        <w:rPr>
          <w:rFonts w:ascii="Calibri"/>
          <w:spacing w:val="-3"/>
          <w:sz w:val="24"/>
        </w:rPr>
        <w:t xml:space="preserve"> </w:t>
      </w:r>
      <w:r w:rsidRPr="00150EDC">
        <w:rPr>
          <w:rFonts w:ascii="Calibri"/>
          <w:sz w:val="24"/>
        </w:rPr>
        <w:t>the</w:t>
      </w:r>
      <w:r w:rsidRPr="00150EDC">
        <w:rPr>
          <w:rFonts w:ascii="Calibri"/>
          <w:spacing w:val="-3"/>
          <w:sz w:val="24"/>
        </w:rPr>
        <w:t xml:space="preserve"> </w:t>
      </w:r>
      <w:r w:rsidRPr="00150EDC">
        <w:rPr>
          <w:rFonts w:ascii="Calibri"/>
          <w:sz w:val="24"/>
        </w:rPr>
        <w:t>DPS</w:t>
      </w:r>
      <w:r w:rsidRPr="00150EDC">
        <w:rPr>
          <w:rFonts w:ascii="Calibri"/>
          <w:spacing w:val="-3"/>
          <w:sz w:val="24"/>
        </w:rPr>
        <w:t xml:space="preserve"> </w:t>
      </w:r>
      <w:r w:rsidRPr="00150EDC">
        <w:rPr>
          <w:rFonts w:ascii="Calibri"/>
          <w:sz w:val="24"/>
        </w:rPr>
        <w:t>Pricing</w:t>
      </w:r>
      <w:r w:rsidRPr="00150EDC">
        <w:rPr>
          <w:rFonts w:ascii="Calibri"/>
          <w:spacing w:val="-2"/>
          <w:sz w:val="24"/>
        </w:rPr>
        <w:t xml:space="preserve"> </w:t>
      </w:r>
      <w:r w:rsidRPr="00150EDC">
        <w:rPr>
          <w:rFonts w:ascii="Calibri"/>
          <w:sz w:val="24"/>
        </w:rPr>
        <w:t>(and</w:t>
      </w:r>
      <w:r w:rsidRPr="00150EDC">
        <w:rPr>
          <w:rFonts w:ascii="Calibri"/>
          <w:spacing w:val="-1"/>
          <w:sz w:val="24"/>
        </w:rPr>
        <w:t xml:space="preserve"> </w:t>
      </w:r>
      <w:r w:rsidRPr="00150EDC">
        <w:rPr>
          <w:rFonts w:ascii="Calibri"/>
          <w:sz w:val="24"/>
        </w:rPr>
        <w:t>where</w:t>
      </w:r>
      <w:r w:rsidRPr="00150EDC">
        <w:rPr>
          <w:rFonts w:ascii="Calibri"/>
          <w:spacing w:val="-1"/>
          <w:sz w:val="24"/>
        </w:rPr>
        <w:t xml:space="preserve"> </w:t>
      </w:r>
      <w:r w:rsidRPr="00150EDC">
        <w:rPr>
          <w:rFonts w:ascii="Calibri"/>
          <w:sz w:val="24"/>
        </w:rPr>
        <w:t>applicable,</w:t>
      </w:r>
      <w:r w:rsidRPr="00150EDC">
        <w:rPr>
          <w:rFonts w:ascii="Calibri"/>
          <w:spacing w:val="-1"/>
          <w:sz w:val="24"/>
        </w:rPr>
        <w:t xml:space="preserve"> </w:t>
      </w:r>
      <w:r w:rsidRPr="00150EDC">
        <w:rPr>
          <w:rFonts w:ascii="Calibri"/>
          <w:sz w:val="24"/>
        </w:rPr>
        <w:t>the</w:t>
      </w:r>
      <w:r w:rsidRPr="00150EDC">
        <w:rPr>
          <w:rFonts w:ascii="Calibri"/>
          <w:spacing w:val="-4"/>
          <w:sz w:val="24"/>
        </w:rPr>
        <w:t xml:space="preserve"> </w:t>
      </w:r>
      <w:r w:rsidRPr="00150EDC">
        <w:rPr>
          <w:rFonts w:ascii="Calibri"/>
          <w:sz w:val="24"/>
        </w:rPr>
        <w:t>Charges)</w:t>
      </w:r>
      <w:r w:rsidRPr="00150EDC">
        <w:rPr>
          <w:rFonts w:ascii="Calibri"/>
          <w:spacing w:val="-2"/>
          <w:sz w:val="24"/>
        </w:rPr>
        <w:t xml:space="preserve"> </w:t>
      </w:r>
      <w:r w:rsidRPr="00150EDC">
        <w:rPr>
          <w:rFonts w:ascii="Calibri"/>
          <w:sz w:val="24"/>
        </w:rPr>
        <w:t>must</w:t>
      </w:r>
      <w:r w:rsidRPr="00150EDC">
        <w:rPr>
          <w:rFonts w:ascii="Calibri"/>
          <w:spacing w:val="-3"/>
          <w:sz w:val="24"/>
        </w:rPr>
        <w:t xml:space="preserve"> </w:t>
      </w:r>
      <w:r w:rsidRPr="00150EDC">
        <w:rPr>
          <w:rFonts w:ascii="Calibri"/>
          <w:sz w:val="24"/>
        </w:rPr>
        <w:t>be reduced by an agreed amount by using the Variation Procedure.</w:t>
      </w:r>
    </w:p>
    <w:p w14:paraId="2F7AFBAA" w14:textId="77777777" w:rsidR="004C7180" w:rsidRPr="00150EDC" w:rsidRDefault="004C7180">
      <w:pPr>
        <w:pStyle w:val="BodyText"/>
        <w:spacing w:before="11"/>
        <w:rPr>
          <w:rFonts w:ascii="Calibri"/>
          <w:sz w:val="23"/>
        </w:rPr>
      </w:pPr>
    </w:p>
    <w:p w14:paraId="1C156EBE" w14:textId="77777777" w:rsidR="004C7180" w:rsidRPr="00150EDC" w:rsidRDefault="00CF0754" w:rsidP="00B320C7">
      <w:pPr>
        <w:pStyle w:val="ListParagraph"/>
        <w:numPr>
          <w:ilvl w:val="1"/>
          <w:numId w:val="182"/>
        </w:numPr>
        <w:tabs>
          <w:tab w:val="left" w:pos="1064"/>
          <w:tab w:val="left" w:pos="1066"/>
        </w:tabs>
        <w:spacing w:before="1"/>
        <w:ind w:right="745"/>
        <w:rPr>
          <w:rFonts w:ascii="Calibri"/>
          <w:sz w:val="24"/>
        </w:rPr>
      </w:pPr>
      <w:r w:rsidRPr="00150EDC">
        <w:rPr>
          <w:rFonts w:ascii="Calibri"/>
          <w:sz w:val="24"/>
        </w:rPr>
        <w:t>The</w:t>
      </w:r>
      <w:r w:rsidRPr="00150EDC">
        <w:rPr>
          <w:rFonts w:ascii="Calibri"/>
          <w:spacing w:val="-1"/>
          <w:sz w:val="24"/>
        </w:rPr>
        <w:t xml:space="preserve"> </w:t>
      </w:r>
      <w:r w:rsidRPr="00150EDC">
        <w:rPr>
          <w:rFonts w:ascii="Calibri"/>
          <w:sz w:val="24"/>
        </w:rPr>
        <w:t>Supplier</w:t>
      </w:r>
      <w:r w:rsidRPr="00150EDC">
        <w:rPr>
          <w:rFonts w:ascii="Calibri"/>
          <w:spacing w:val="-3"/>
          <w:sz w:val="24"/>
        </w:rPr>
        <w:t xml:space="preserve"> </w:t>
      </w:r>
      <w:r w:rsidRPr="00150EDC">
        <w:rPr>
          <w:rFonts w:ascii="Calibri"/>
          <w:sz w:val="24"/>
        </w:rPr>
        <w:t>has</w:t>
      </w:r>
      <w:r w:rsidRPr="00150EDC">
        <w:rPr>
          <w:rFonts w:ascii="Calibri"/>
          <w:spacing w:val="-4"/>
          <w:sz w:val="24"/>
        </w:rPr>
        <w:t xml:space="preserve"> </w:t>
      </w:r>
      <w:r w:rsidRPr="00150EDC">
        <w:rPr>
          <w:rFonts w:ascii="Calibri"/>
          <w:sz w:val="24"/>
        </w:rPr>
        <w:t>no</w:t>
      </w:r>
      <w:r w:rsidRPr="00150EDC">
        <w:rPr>
          <w:rFonts w:ascii="Calibri"/>
          <w:spacing w:val="-4"/>
          <w:sz w:val="24"/>
        </w:rPr>
        <w:t xml:space="preserve"> </w:t>
      </w:r>
      <w:r w:rsidRPr="00150EDC">
        <w:rPr>
          <w:rFonts w:ascii="Calibri"/>
          <w:sz w:val="24"/>
        </w:rPr>
        <w:t>right of</w:t>
      </w:r>
      <w:r w:rsidRPr="00150EDC">
        <w:rPr>
          <w:rFonts w:ascii="Calibri"/>
          <w:spacing w:val="-3"/>
          <w:sz w:val="24"/>
        </w:rPr>
        <w:t xml:space="preserve"> </w:t>
      </w:r>
      <w:r w:rsidRPr="00150EDC">
        <w:rPr>
          <w:rFonts w:ascii="Calibri"/>
          <w:sz w:val="24"/>
        </w:rPr>
        <w:t>set-off,</w:t>
      </w:r>
      <w:r w:rsidRPr="00150EDC">
        <w:rPr>
          <w:rFonts w:ascii="Calibri"/>
          <w:spacing w:val="-1"/>
          <w:sz w:val="24"/>
        </w:rPr>
        <w:t xml:space="preserve"> </w:t>
      </w:r>
      <w:r w:rsidRPr="00150EDC">
        <w:rPr>
          <w:rFonts w:ascii="Calibri"/>
          <w:sz w:val="24"/>
        </w:rPr>
        <w:t>counterclaim,</w:t>
      </w:r>
      <w:r w:rsidRPr="00150EDC">
        <w:rPr>
          <w:rFonts w:ascii="Calibri"/>
          <w:spacing w:val="-4"/>
          <w:sz w:val="24"/>
        </w:rPr>
        <w:t xml:space="preserve"> </w:t>
      </w:r>
      <w:r w:rsidRPr="00150EDC">
        <w:rPr>
          <w:rFonts w:ascii="Calibri"/>
          <w:sz w:val="24"/>
        </w:rPr>
        <w:t>discount</w:t>
      </w:r>
      <w:r w:rsidRPr="00150EDC">
        <w:rPr>
          <w:rFonts w:ascii="Calibri"/>
          <w:spacing w:val="-2"/>
          <w:sz w:val="24"/>
        </w:rPr>
        <w:t xml:space="preserve"> </w:t>
      </w:r>
      <w:r w:rsidRPr="00150EDC">
        <w:rPr>
          <w:rFonts w:ascii="Calibri"/>
          <w:sz w:val="24"/>
        </w:rPr>
        <w:t>or</w:t>
      </w:r>
      <w:r w:rsidRPr="00150EDC">
        <w:rPr>
          <w:rFonts w:ascii="Calibri"/>
          <w:spacing w:val="-1"/>
          <w:sz w:val="24"/>
        </w:rPr>
        <w:t xml:space="preserve"> </w:t>
      </w:r>
      <w:r w:rsidRPr="00150EDC">
        <w:rPr>
          <w:rFonts w:ascii="Calibri"/>
          <w:sz w:val="24"/>
        </w:rPr>
        <w:t>abatement</w:t>
      </w:r>
      <w:r w:rsidRPr="00150EDC">
        <w:rPr>
          <w:rFonts w:ascii="Calibri"/>
          <w:spacing w:val="-3"/>
          <w:sz w:val="24"/>
        </w:rPr>
        <w:t xml:space="preserve"> </w:t>
      </w:r>
      <w:r w:rsidRPr="00150EDC">
        <w:rPr>
          <w:rFonts w:ascii="Calibri"/>
          <w:sz w:val="24"/>
        </w:rPr>
        <w:t>unless</w:t>
      </w:r>
      <w:r w:rsidRPr="00150EDC">
        <w:rPr>
          <w:rFonts w:ascii="Calibri"/>
          <w:spacing w:val="-4"/>
          <w:sz w:val="24"/>
        </w:rPr>
        <w:t xml:space="preserve"> </w:t>
      </w:r>
      <w:r w:rsidRPr="00150EDC">
        <w:rPr>
          <w:rFonts w:ascii="Calibri"/>
          <w:sz w:val="24"/>
        </w:rPr>
        <w:t>they</w:t>
      </w:r>
      <w:r w:rsidRPr="00150EDC">
        <w:rPr>
          <w:rFonts w:ascii="Calibri"/>
          <w:spacing w:val="-2"/>
          <w:sz w:val="24"/>
        </w:rPr>
        <w:t xml:space="preserve"> </w:t>
      </w:r>
      <w:r w:rsidRPr="00150EDC">
        <w:rPr>
          <w:rFonts w:ascii="Calibri"/>
          <w:sz w:val="24"/>
        </w:rPr>
        <w:t>are</w:t>
      </w:r>
      <w:r w:rsidRPr="00150EDC">
        <w:rPr>
          <w:rFonts w:ascii="Calibri"/>
          <w:spacing w:val="-3"/>
          <w:sz w:val="24"/>
        </w:rPr>
        <w:t xml:space="preserve"> </w:t>
      </w:r>
      <w:r w:rsidRPr="00150EDC">
        <w:rPr>
          <w:rFonts w:ascii="Calibri"/>
          <w:sz w:val="24"/>
        </w:rPr>
        <w:t>ordered</w:t>
      </w:r>
      <w:r w:rsidRPr="00150EDC">
        <w:rPr>
          <w:rFonts w:ascii="Calibri"/>
          <w:spacing w:val="-3"/>
          <w:sz w:val="24"/>
        </w:rPr>
        <w:t xml:space="preserve"> </w:t>
      </w:r>
      <w:r w:rsidRPr="00150EDC">
        <w:rPr>
          <w:rFonts w:ascii="Calibri"/>
          <w:sz w:val="24"/>
        </w:rPr>
        <w:t>to</w:t>
      </w:r>
      <w:r w:rsidRPr="00150EDC">
        <w:rPr>
          <w:rFonts w:ascii="Calibri"/>
          <w:spacing w:val="-1"/>
          <w:sz w:val="24"/>
        </w:rPr>
        <w:t xml:space="preserve"> </w:t>
      </w:r>
      <w:r w:rsidRPr="00150EDC">
        <w:rPr>
          <w:rFonts w:ascii="Calibri"/>
          <w:sz w:val="24"/>
        </w:rPr>
        <w:t>do so by a court.</w:t>
      </w:r>
    </w:p>
    <w:p w14:paraId="7D463B86" w14:textId="77777777" w:rsidR="004C7180" w:rsidRPr="00150EDC" w:rsidRDefault="004C7180">
      <w:pPr>
        <w:pStyle w:val="BodyText"/>
        <w:spacing w:before="9"/>
        <w:rPr>
          <w:rFonts w:ascii="Calibri"/>
          <w:sz w:val="25"/>
        </w:rPr>
      </w:pPr>
    </w:p>
    <w:p w14:paraId="0A666EFB" w14:textId="77777777" w:rsidR="004C7180" w:rsidRPr="00150EDC" w:rsidRDefault="00CF0754" w:rsidP="00B320C7">
      <w:pPr>
        <w:pStyle w:val="Heading1"/>
        <w:numPr>
          <w:ilvl w:val="0"/>
          <w:numId w:val="182"/>
        </w:numPr>
        <w:tabs>
          <w:tab w:val="left" w:pos="926"/>
        </w:tabs>
        <w:ind w:left="926" w:hanging="359"/>
        <w:jc w:val="left"/>
        <w:rPr>
          <w:rFonts w:ascii="Calibri" w:hAnsi="Calibri"/>
        </w:rPr>
      </w:pPr>
      <w:r w:rsidRPr="00150EDC">
        <w:rPr>
          <w:rFonts w:ascii="Calibri" w:hAnsi="Calibri"/>
        </w:rPr>
        <w:t>The</w:t>
      </w:r>
      <w:r w:rsidRPr="00150EDC">
        <w:rPr>
          <w:rFonts w:ascii="Calibri" w:hAnsi="Calibri"/>
          <w:spacing w:val="-3"/>
        </w:rPr>
        <w:t xml:space="preserve"> </w:t>
      </w:r>
      <w:r w:rsidRPr="00150EDC">
        <w:rPr>
          <w:rFonts w:ascii="Calibri" w:hAnsi="Calibri"/>
        </w:rPr>
        <w:t>buyer’s</w:t>
      </w:r>
      <w:r w:rsidRPr="00150EDC">
        <w:rPr>
          <w:rFonts w:ascii="Calibri" w:hAnsi="Calibri"/>
          <w:spacing w:val="-3"/>
        </w:rPr>
        <w:t xml:space="preserve"> </w:t>
      </w:r>
      <w:r w:rsidRPr="00150EDC">
        <w:rPr>
          <w:rFonts w:ascii="Calibri" w:hAnsi="Calibri"/>
        </w:rPr>
        <w:t>obligations</w:t>
      </w:r>
      <w:r w:rsidRPr="00150EDC">
        <w:rPr>
          <w:rFonts w:ascii="Calibri" w:hAnsi="Calibri"/>
          <w:spacing w:val="-2"/>
        </w:rPr>
        <w:t xml:space="preserve"> </w:t>
      </w:r>
      <w:r w:rsidRPr="00150EDC">
        <w:rPr>
          <w:rFonts w:ascii="Calibri" w:hAnsi="Calibri"/>
        </w:rPr>
        <w:t>to</w:t>
      </w:r>
      <w:r w:rsidRPr="00150EDC">
        <w:rPr>
          <w:rFonts w:ascii="Calibri" w:hAnsi="Calibri"/>
          <w:spacing w:val="-2"/>
        </w:rPr>
        <w:t xml:space="preserve"> </w:t>
      </w:r>
      <w:r w:rsidRPr="00150EDC">
        <w:rPr>
          <w:rFonts w:ascii="Calibri" w:hAnsi="Calibri"/>
        </w:rPr>
        <w:t>the</w:t>
      </w:r>
      <w:r w:rsidRPr="00150EDC">
        <w:rPr>
          <w:rFonts w:ascii="Calibri" w:hAnsi="Calibri"/>
          <w:spacing w:val="-3"/>
        </w:rPr>
        <w:t xml:space="preserve"> </w:t>
      </w:r>
      <w:r w:rsidRPr="00150EDC">
        <w:rPr>
          <w:rFonts w:ascii="Calibri" w:hAnsi="Calibri"/>
          <w:spacing w:val="-2"/>
        </w:rPr>
        <w:t>supplier</w:t>
      </w:r>
    </w:p>
    <w:p w14:paraId="16BC4ADC" w14:textId="77777777" w:rsidR="004C7180" w:rsidRPr="00150EDC" w:rsidRDefault="00CF0754" w:rsidP="00B320C7">
      <w:pPr>
        <w:pStyle w:val="ListParagraph"/>
        <w:numPr>
          <w:ilvl w:val="1"/>
          <w:numId w:val="182"/>
        </w:numPr>
        <w:tabs>
          <w:tab w:val="left" w:pos="1066"/>
        </w:tabs>
        <w:spacing w:before="19"/>
        <w:ind w:hanging="566"/>
        <w:rPr>
          <w:rFonts w:ascii="Calibri"/>
          <w:sz w:val="24"/>
        </w:rPr>
      </w:pPr>
      <w:r w:rsidRPr="00150EDC">
        <w:rPr>
          <w:rFonts w:ascii="Calibri"/>
          <w:sz w:val="24"/>
        </w:rPr>
        <w:t>If</w:t>
      </w:r>
      <w:r w:rsidRPr="00150EDC">
        <w:rPr>
          <w:rFonts w:ascii="Calibri"/>
          <w:spacing w:val="-3"/>
          <w:sz w:val="24"/>
        </w:rPr>
        <w:t xml:space="preserve"> </w:t>
      </w:r>
      <w:r w:rsidRPr="00150EDC">
        <w:rPr>
          <w:rFonts w:ascii="Calibri"/>
          <w:sz w:val="24"/>
        </w:rPr>
        <w:t>Supplier</w:t>
      </w:r>
      <w:r w:rsidRPr="00150EDC">
        <w:rPr>
          <w:rFonts w:ascii="Calibri"/>
          <w:spacing w:val="-3"/>
          <w:sz w:val="24"/>
        </w:rPr>
        <w:t xml:space="preserve"> </w:t>
      </w:r>
      <w:r w:rsidRPr="00150EDC">
        <w:rPr>
          <w:rFonts w:ascii="Calibri"/>
          <w:sz w:val="24"/>
        </w:rPr>
        <w:t>Non-Performance</w:t>
      </w:r>
      <w:r w:rsidRPr="00150EDC">
        <w:rPr>
          <w:rFonts w:ascii="Calibri"/>
          <w:spacing w:val="-3"/>
          <w:sz w:val="24"/>
        </w:rPr>
        <w:t xml:space="preserve"> </w:t>
      </w:r>
      <w:r w:rsidRPr="00150EDC">
        <w:rPr>
          <w:rFonts w:ascii="Calibri"/>
          <w:sz w:val="24"/>
        </w:rPr>
        <w:t>arises</w:t>
      </w:r>
      <w:r w:rsidRPr="00150EDC">
        <w:rPr>
          <w:rFonts w:ascii="Calibri"/>
          <w:spacing w:val="-5"/>
          <w:sz w:val="24"/>
        </w:rPr>
        <w:t xml:space="preserve"> </w:t>
      </w:r>
      <w:r w:rsidRPr="00150EDC">
        <w:rPr>
          <w:rFonts w:ascii="Calibri"/>
          <w:sz w:val="24"/>
        </w:rPr>
        <w:t>from</w:t>
      </w:r>
      <w:r w:rsidRPr="00150EDC">
        <w:rPr>
          <w:rFonts w:ascii="Calibri"/>
          <w:spacing w:val="-6"/>
          <w:sz w:val="24"/>
        </w:rPr>
        <w:t xml:space="preserve"> </w:t>
      </w:r>
      <w:r w:rsidRPr="00150EDC">
        <w:rPr>
          <w:rFonts w:ascii="Calibri"/>
          <w:sz w:val="24"/>
        </w:rPr>
        <w:t>an</w:t>
      </w:r>
      <w:r w:rsidRPr="00150EDC">
        <w:rPr>
          <w:rFonts w:ascii="Calibri"/>
          <w:spacing w:val="-5"/>
          <w:sz w:val="24"/>
        </w:rPr>
        <w:t xml:space="preserve"> </w:t>
      </w:r>
      <w:r w:rsidRPr="00150EDC">
        <w:rPr>
          <w:rFonts w:ascii="Calibri"/>
          <w:sz w:val="24"/>
        </w:rPr>
        <w:t>Authority</w:t>
      </w:r>
      <w:r w:rsidRPr="00150EDC">
        <w:rPr>
          <w:rFonts w:ascii="Calibri"/>
          <w:spacing w:val="-3"/>
          <w:sz w:val="24"/>
        </w:rPr>
        <w:t xml:space="preserve"> </w:t>
      </w:r>
      <w:r w:rsidRPr="00150EDC">
        <w:rPr>
          <w:rFonts w:ascii="Calibri"/>
          <w:spacing w:val="-2"/>
          <w:sz w:val="24"/>
        </w:rPr>
        <w:t>Cause:</w:t>
      </w:r>
    </w:p>
    <w:p w14:paraId="50908BD3" w14:textId="77777777" w:rsidR="004C7180" w:rsidRPr="00150EDC" w:rsidRDefault="004C7180">
      <w:pPr>
        <w:pStyle w:val="BodyText"/>
        <w:spacing w:before="9"/>
        <w:rPr>
          <w:rFonts w:ascii="Calibri"/>
          <w:sz w:val="25"/>
        </w:rPr>
      </w:pPr>
    </w:p>
    <w:p w14:paraId="5450F671" w14:textId="77777777" w:rsidR="004C7180" w:rsidRPr="00150EDC" w:rsidRDefault="00CF0754" w:rsidP="00B320C7">
      <w:pPr>
        <w:pStyle w:val="ListParagraph"/>
        <w:numPr>
          <w:ilvl w:val="0"/>
          <w:numId w:val="176"/>
        </w:numPr>
        <w:tabs>
          <w:tab w:val="left" w:pos="1491"/>
        </w:tabs>
        <w:ind w:left="1491" w:hanging="425"/>
        <w:rPr>
          <w:rFonts w:ascii="Calibri"/>
          <w:sz w:val="24"/>
        </w:rPr>
      </w:pPr>
      <w:r w:rsidRPr="00150EDC">
        <w:rPr>
          <w:rFonts w:ascii="Calibri"/>
          <w:sz w:val="24"/>
        </w:rPr>
        <w:t>neither</w:t>
      </w:r>
      <w:r w:rsidRPr="00150EDC">
        <w:rPr>
          <w:rFonts w:ascii="Calibri"/>
          <w:spacing w:val="-3"/>
          <w:sz w:val="24"/>
        </w:rPr>
        <w:t xml:space="preserve"> </w:t>
      </w:r>
      <w:r w:rsidRPr="00150EDC">
        <w:rPr>
          <w:rFonts w:ascii="Calibri"/>
          <w:sz w:val="24"/>
        </w:rPr>
        <w:t>CCS</w:t>
      </w:r>
      <w:r w:rsidRPr="00150EDC">
        <w:rPr>
          <w:rFonts w:ascii="Calibri"/>
          <w:spacing w:val="-4"/>
          <w:sz w:val="24"/>
        </w:rPr>
        <w:t xml:space="preserve"> </w:t>
      </w:r>
      <w:r w:rsidRPr="00150EDC">
        <w:rPr>
          <w:rFonts w:ascii="Calibri"/>
          <w:sz w:val="24"/>
        </w:rPr>
        <w:t>or</w:t>
      </w:r>
      <w:r w:rsidRPr="00150EDC">
        <w:rPr>
          <w:rFonts w:ascii="Calibri"/>
          <w:spacing w:val="-2"/>
          <w:sz w:val="24"/>
        </w:rPr>
        <w:t xml:space="preserve"> </w:t>
      </w:r>
      <w:r w:rsidRPr="00150EDC">
        <w:rPr>
          <w:rFonts w:ascii="Calibri"/>
          <w:sz w:val="24"/>
        </w:rPr>
        <w:t>the</w:t>
      </w:r>
      <w:r w:rsidRPr="00150EDC">
        <w:rPr>
          <w:rFonts w:ascii="Calibri"/>
          <w:spacing w:val="-4"/>
          <w:sz w:val="24"/>
        </w:rPr>
        <w:t xml:space="preserve"> </w:t>
      </w:r>
      <w:r w:rsidRPr="00150EDC">
        <w:rPr>
          <w:rFonts w:ascii="Calibri"/>
          <w:sz w:val="24"/>
        </w:rPr>
        <w:t>Buyer</w:t>
      </w:r>
      <w:r w:rsidRPr="00150EDC">
        <w:rPr>
          <w:rFonts w:ascii="Calibri"/>
          <w:spacing w:val="-3"/>
          <w:sz w:val="24"/>
        </w:rPr>
        <w:t xml:space="preserve"> </w:t>
      </w:r>
      <w:r w:rsidRPr="00150EDC">
        <w:rPr>
          <w:rFonts w:ascii="Calibri"/>
          <w:sz w:val="24"/>
        </w:rPr>
        <w:t>can</w:t>
      </w:r>
      <w:r w:rsidRPr="00150EDC">
        <w:rPr>
          <w:rFonts w:ascii="Calibri"/>
          <w:spacing w:val="-1"/>
          <w:sz w:val="24"/>
        </w:rPr>
        <w:t xml:space="preserve"> </w:t>
      </w:r>
      <w:r w:rsidRPr="00150EDC">
        <w:rPr>
          <w:rFonts w:ascii="Calibri"/>
          <w:sz w:val="24"/>
        </w:rPr>
        <w:t>terminate a</w:t>
      </w:r>
      <w:r w:rsidRPr="00150EDC">
        <w:rPr>
          <w:rFonts w:ascii="Calibri"/>
          <w:spacing w:val="-4"/>
          <w:sz w:val="24"/>
        </w:rPr>
        <w:t xml:space="preserve"> </w:t>
      </w:r>
      <w:r w:rsidRPr="00150EDC">
        <w:rPr>
          <w:rFonts w:ascii="Calibri"/>
          <w:sz w:val="24"/>
        </w:rPr>
        <w:t>Contract</w:t>
      </w:r>
      <w:r w:rsidRPr="00150EDC">
        <w:rPr>
          <w:rFonts w:ascii="Calibri"/>
          <w:spacing w:val="-2"/>
          <w:sz w:val="24"/>
        </w:rPr>
        <w:t xml:space="preserve"> </w:t>
      </w:r>
      <w:r w:rsidRPr="00150EDC">
        <w:rPr>
          <w:rFonts w:ascii="Calibri"/>
          <w:sz w:val="24"/>
        </w:rPr>
        <w:t>under</w:t>
      </w:r>
      <w:r w:rsidRPr="00150EDC">
        <w:rPr>
          <w:rFonts w:ascii="Calibri"/>
          <w:spacing w:val="2"/>
          <w:sz w:val="24"/>
        </w:rPr>
        <w:t xml:space="preserve"> </w:t>
      </w:r>
      <w:r w:rsidRPr="00150EDC">
        <w:rPr>
          <w:rFonts w:ascii="Calibri"/>
          <w:sz w:val="24"/>
        </w:rPr>
        <w:t>Clause</w:t>
      </w:r>
      <w:r w:rsidRPr="00150EDC">
        <w:rPr>
          <w:rFonts w:ascii="Calibri"/>
          <w:spacing w:val="-3"/>
          <w:sz w:val="24"/>
        </w:rPr>
        <w:t xml:space="preserve"> </w:t>
      </w:r>
      <w:r w:rsidRPr="00150EDC">
        <w:rPr>
          <w:rFonts w:ascii="Calibri"/>
          <w:spacing w:val="-2"/>
          <w:sz w:val="24"/>
        </w:rPr>
        <w:t>10.4.1;</w:t>
      </w:r>
    </w:p>
    <w:p w14:paraId="410B3042" w14:textId="77777777" w:rsidR="004C7180" w:rsidRPr="00150EDC" w:rsidRDefault="00CF0754" w:rsidP="00B320C7">
      <w:pPr>
        <w:pStyle w:val="ListParagraph"/>
        <w:numPr>
          <w:ilvl w:val="0"/>
          <w:numId w:val="176"/>
        </w:numPr>
        <w:tabs>
          <w:tab w:val="left" w:pos="1491"/>
        </w:tabs>
        <w:spacing w:before="19"/>
        <w:ind w:left="1491" w:hanging="425"/>
        <w:rPr>
          <w:rFonts w:ascii="Calibri"/>
          <w:sz w:val="24"/>
        </w:rPr>
      </w:pPr>
      <w:r w:rsidRPr="00150EDC">
        <w:rPr>
          <w:rFonts w:ascii="Calibri"/>
          <w:sz w:val="24"/>
        </w:rPr>
        <w:t>the</w:t>
      </w:r>
      <w:r w:rsidRPr="00150EDC">
        <w:rPr>
          <w:rFonts w:ascii="Calibri"/>
          <w:spacing w:val="-8"/>
          <w:sz w:val="24"/>
        </w:rPr>
        <w:t xml:space="preserve"> </w:t>
      </w:r>
      <w:r w:rsidRPr="00150EDC">
        <w:rPr>
          <w:rFonts w:ascii="Calibri"/>
          <w:sz w:val="24"/>
        </w:rPr>
        <w:t>Supplier</w:t>
      </w:r>
      <w:r w:rsidRPr="00150EDC">
        <w:rPr>
          <w:rFonts w:ascii="Calibri"/>
          <w:spacing w:val="-4"/>
          <w:sz w:val="24"/>
        </w:rPr>
        <w:t xml:space="preserve"> </w:t>
      </w:r>
      <w:r w:rsidRPr="00150EDC">
        <w:rPr>
          <w:rFonts w:ascii="Calibri"/>
          <w:sz w:val="24"/>
        </w:rPr>
        <w:t>is</w:t>
      </w:r>
      <w:r w:rsidRPr="00150EDC">
        <w:rPr>
          <w:rFonts w:ascii="Calibri"/>
          <w:spacing w:val="-3"/>
          <w:sz w:val="24"/>
        </w:rPr>
        <w:t xml:space="preserve"> </w:t>
      </w:r>
      <w:r w:rsidRPr="00150EDC">
        <w:rPr>
          <w:rFonts w:ascii="Calibri"/>
          <w:sz w:val="24"/>
        </w:rPr>
        <w:t>entitled</w:t>
      </w:r>
      <w:r w:rsidRPr="00150EDC">
        <w:rPr>
          <w:rFonts w:ascii="Calibri"/>
          <w:spacing w:val="-5"/>
          <w:sz w:val="24"/>
        </w:rPr>
        <w:t xml:space="preserve"> </w:t>
      </w:r>
      <w:r w:rsidRPr="00150EDC">
        <w:rPr>
          <w:rFonts w:ascii="Calibri"/>
          <w:sz w:val="24"/>
        </w:rPr>
        <w:t>to</w:t>
      </w:r>
      <w:r w:rsidRPr="00150EDC">
        <w:rPr>
          <w:rFonts w:ascii="Calibri"/>
          <w:spacing w:val="-2"/>
          <w:sz w:val="24"/>
        </w:rPr>
        <w:t xml:space="preserve"> </w:t>
      </w:r>
      <w:r w:rsidRPr="00150EDC">
        <w:rPr>
          <w:rFonts w:ascii="Calibri"/>
          <w:sz w:val="24"/>
        </w:rPr>
        <w:t>reasonable</w:t>
      </w:r>
      <w:r w:rsidRPr="00150EDC">
        <w:rPr>
          <w:rFonts w:ascii="Calibri"/>
          <w:spacing w:val="-3"/>
          <w:sz w:val="24"/>
        </w:rPr>
        <w:t xml:space="preserve"> </w:t>
      </w:r>
      <w:r w:rsidRPr="00150EDC">
        <w:rPr>
          <w:rFonts w:ascii="Calibri"/>
          <w:sz w:val="24"/>
        </w:rPr>
        <w:t>and</w:t>
      </w:r>
      <w:r w:rsidRPr="00150EDC">
        <w:rPr>
          <w:rFonts w:ascii="Calibri"/>
          <w:spacing w:val="-4"/>
          <w:sz w:val="24"/>
        </w:rPr>
        <w:t xml:space="preserve"> </w:t>
      </w:r>
      <w:r w:rsidRPr="00150EDC">
        <w:rPr>
          <w:rFonts w:ascii="Calibri"/>
          <w:sz w:val="24"/>
        </w:rPr>
        <w:t>proven</w:t>
      </w:r>
      <w:r w:rsidRPr="00150EDC">
        <w:rPr>
          <w:rFonts w:ascii="Calibri"/>
          <w:spacing w:val="-4"/>
          <w:sz w:val="24"/>
        </w:rPr>
        <w:t xml:space="preserve"> </w:t>
      </w:r>
      <w:r w:rsidRPr="00150EDC">
        <w:rPr>
          <w:rFonts w:ascii="Calibri"/>
          <w:sz w:val="24"/>
        </w:rPr>
        <w:t>additional</w:t>
      </w:r>
      <w:r w:rsidRPr="00150EDC">
        <w:rPr>
          <w:rFonts w:ascii="Calibri"/>
          <w:spacing w:val="-3"/>
          <w:sz w:val="24"/>
        </w:rPr>
        <w:t xml:space="preserve"> </w:t>
      </w:r>
      <w:r w:rsidRPr="00150EDC">
        <w:rPr>
          <w:rFonts w:ascii="Calibri"/>
          <w:sz w:val="24"/>
        </w:rPr>
        <w:t>expenses</w:t>
      </w:r>
      <w:r w:rsidRPr="00150EDC">
        <w:rPr>
          <w:rFonts w:ascii="Calibri"/>
          <w:spacing w:val="-5"/>
          <w:sz w:val="24"/>
        </w:rPr>
        <w:t xml:space="preserve"> </w:t>
      </w:r>
      <w:r w:rsidRPr="00150EDC">
        <w:rPr>
          <w:rFonts w:ascii="Calibri"/>
          <w:sz w:val="24"/>
        </w:rPr>
        <w:t>and</w:t>
      </w:r>
      <w:r w:rsidRPr="00150EDC">
        <w:rPr>
          <w:rFonts w:ascii="Calibri"/>
          <w:spacing w:val="-4"/>
          <w:sz w:val="24"/>
        </w:rPr>
        <w:t xml:space="preserve"> </w:t>
      </w:r>
      <w:r w:rsidRPr="00150EDC">
        <w:rPr>
          <w:rFonts w:ascii="Calibri"/>
          <w:sz w:val="24"/>
        </w:rPr>
        <w:t>to</w:t>
      </w:r>
      <w:r w:rsidRPr="00150EDC">
        <w:rPr>
          <w:rFonts w:ascii="Calibri"/>
          <w:spacing w:val="-6"/>
          <w:sz w:val="24"/>
        </w:rPr>
        <w:t xml:space="preserve"> </w:t>
      </w:r>
      <w:r w:rsidRPr="00150EDC">
        <w:rPr>
          <w:rFonts w:ascii="Calibri"/>
          <w:sz w:val="24"/>
        </w:rPr>
        <w:t>relief</w:t>
      </w:r>
      <w:r w:rsidRPr="00150EDC">
        <w:rPr>
          <w:rFonts w:ascii="Calibri"/>
          <w:spacing w:val="-4"/>
          <w:sz w:val="24"/>
        </w:rPr>
        <w:t xml:space="preserve"> </w:t>
      </w:r>
      <w:r w:rsidRPr="00150EDC">
        <w:rPr>
          <w:rFonts w:ascii="Calibri"/>
          <w:sz w:val="24"/>
        </w:rPr>
        <w:t>from</w:t>
      </w:r>
      <w:r w:rsidRPr="00150EDC">
        <w:rPr>
          <w:rFonts w:ascii="Calibri"/>
          <w:spacing w:val="-5"/>
          <w:sz w:val="24"/>
        </w:rPr>
        <w:t xml:space="preserve"> </w:t>
      </w:r>
      <w:r w:rsidRPr="00150EDC">
        <w:rPr>
          <w:rFonts w:ascii="Calibri"/>
          <w:sz w:val="24"/>
        </w:rPr>
        <w:t>liability</w:t>
      </w:r>
      <w:r w:rsidRPr="00150EDC">
        <w:rPr>
          <w:rFonts w:ascii="Calibri"/>
          <w:spacing w:val="-3"/>
          <w:sz w:val="24"/>
        </w:rPr>
        <w:t xml:space="preserve"> </w:t>
      </w:r>
      <w:r w:rsidRPr="00150EDC">
        <w:rPr>
          <w:rFonts w:ascii="Calibri"/>
          <w:spacing w:val="-5"/>
          <w:sz w:val="24"/>
        </w:rPr>
        <w:t>and</w:t>
      </w:r>
    </w:p>
    <w:p w14:paraId="65471A55" w14:textId="77777777" w:rsidR="004C7180" w:rsidRPr="00150EDC" w:rsidRDefault="004C7180">
      <w:pPr>
        <w:rPr>
          <w:rFonts w:ascii="Calibri"/>
          <w:sz w:val="24"/>
        </w:rPr>
        <w:sectPr w:rsidR="004C7180" w:rsidRPr="00150EDC">
          <w:pgSz w:w="11910" w:h="16840"/>
          <w:pgMar w:top="620" w:right="0" w:bottom="2460" w:left="40" w:header="403" w:footer="2245" w:gutter="0"/>
          <w:cols w:space="720"/>
        </w:sectPr>
      </w:pPr>
    </w:p>
    <w:p w14:paraId="73CA1E38" w14:textId="77777777" w:rsidR="004C7180" w:rsidRPr="00150EDC" w:rsidRDefault="004C7180">
      <w:pPr>
        <w:pStyle w:val="BodyText"/>
        <w:spacing w:before="1"/>
        <w:rPr>
          <w:rFonts w:ascii="Calibri"/>
          <w:sz w:val="18"/>
        </w:rPr>
      </w:pPr>
    </w:p>
    <w:p w14:paraId="2BF64767" w14:textId="77777777" w:rsidR="004C7180" w:rsidRPr="00150EDC" w:rsidRDefault="00CF0754">
      <w:pPr>
        <w:pStyle w:val="BodyText"/>
        <w:spacing w:before="52"/>
        <w:ind w:left="1494"/>
        <w:rPr>
          <w:rFonts w:ascii="Calibri"/>
        </w:rPr>
      </w:pPr>
      <w:r w:rsidRPr="00150EDC">
        <w:rPr>
          <w:rFonts w:ascii="Calibri"/>
        </w:rPr>
        <w:t>Deduction</w:t>
      </w:r>
      <w:r w:rsidRPr="00150EDC">
        <w:rPr>
          <w:rFonts w:ascii="Calibri"/>
          <w:spacing w:val="-3"/>
        </w:rPr>
        <w:t xml:space="preserve"> </w:t>
      </w:r>
      <w:r w:rsidRPr="00150EDC">
        <w:rPr>
          <w:rFonts w:ascii="Calibri"/>
        </w:rPr>
        <w:t>under</w:t>
      </w:r>
      <w:r w:rsidRPr="00150EDC">
        <w:rPr>
          <w:rFonts w:ascii="Calibri"/>
          <w:spacing w:val="-5"/>
        </w:rPr>
        <w:t xml:space="preserve"> </w:t>
      </w:r>
      <w:r w:rsidRPr="00150EDC">
        <w:rPr>
          <w:rFonts w:ascii="Calibri"/>
        </w:rPr>
        <w:t>this</w:t>
      </w:r>
      <w:r w:rsidRPr="00150EDC">
        <w:rPr>
          <w:rFonts w:ascii="Calibri"/>
          <w:spacing w:val="-3"/>
        </w:rPr>
        <w:t xml:space="preserve"> </w:t>
      </w:r>
      <w:r w:rsidRPr="00150EDC">
        <w:rPr>
          <w:rFonts w:ascii="Calibri"/>
          <w:spacing w:val="-2"/>
        </w:rPr>
        <w:t>Contract;</w:t>
      </w:r>
    </w:p>
    <w:p w14:paraId="221DF40A" w14:textId="77777777" w:rsidR="004C7180" w:rsidRPr="00150EDC" w:rsidRDefault="00CF0754" w:rsidP="00B320C7">
      <w:pPr>
        <w:pStyle w:val="ListParagraph"/>
        <w:numPr>
          <w:ilvl w:val="0"/>
          <w:numId w:val="176"/>
        </w:numPr>
        <w:tabs>
          <w:tab w:val="left" w:pos="1492"/>
        </w:tabs>
        <w:spacing w:before="19"/>
        <w:ind w:left="1492" w:hanging="426"/>
        <w:rPr>
          <w:rFonts w:ascii="Calibri"/>
          <w:sz w:val="24"/>
        </w:rPr>
      </w:pPr>
      <w:r w:rsidRPr="00150EDC">
        <w:rPr>
          <w:rFonts w:ascii="Calibri"/>
          <w:sz w:val="24"/>
        </w:rPr>
        <w:t>the</w:t>
      </w:r>
      <w:r w:rsidRPr="00150EDC">
        <w:rPr>
          <w:rFonts w:ascii="Calibri"/>
          <w:spacing w:val="-7"/>
          <w:sz w:val="24"/>
        </w:rPr>
        <w:t xml:space="preserve"> </w:t>
      </w:r>
      <w:r w:rsidRPr="00150EDC">
        <w:rPr>
          <w:rFonts w:ascii="Calibri"/>
          <w:sz w:val="24"/>
        </w:rPr>
        <w:t>Supplier</w:t>
      </w:r>
      <w:r w:rsidRPr="00150EDC">
        <w:rPr>
          <w:rFonts w:ascii="Calibri"/>
          <w:spacing w:val="-3"/>
          <w:sz w:val="24"/>
        </w:rPr>
        <w:t xml:space="preserve"> </w:t>
      </w:r>
      <w:r w:rsidRPr="00150EDC">
        <w:rPr>
          <w:rFonts w:ascii="Calibri"/>
          <w:sz w:val="24"/>
        </w:rPr>
        <w:t>is</w:t>
      </w:r>
      <w:r w:rsidRPr="00150EDC">
        <w:rPr>
          <w:rFonts w:ascii="Calibri"/>
          <w:spacing w:val="-2"/>
          <w:sz w:val="24"/>
        </w:rPr>
        <w:t xml:space="preserve"> </w:t>
      </w:r>
      <w:r w:rsidRPr="00150EDC">
        <w:rPr>
          <w:rFonts w:ascii="Calibri"/>
          <w:sz w:val="24"/>
        </w:rPr>
        <w:t>entitled</w:t>
      </w:r>
      <w:r w:rsidRPr="00150EDC">
        <w:rPr>
          <w:rFonts w:ascii="Calibri"/>
          <w:spacing w:val="-4"/>
          <w:sz w:val="24"/>
        </w:rPr>
        <w:t xml:space="preserve"> </w:t>
      </w:r>
      <w:r w:rsidRPr="00150EDC">
        <w:rPr>
          <w:rFonts w:ascii="Calibri"/>
          <w:sz w:val="24"/>
        </w:rPr>
        <w:t>to</w:t>
      </w:r>
      <w:r w:rsidRPr="00150EDC">
        <w:rPr>
          <w:rFonts w:ascii="Calibri"/>
          <w:spacing w:val="-1"/>
          <w:sz w:val="24"/>
        </w:rPr>
        <w:t xml:space="preserve"> </w:t>
      </w:r>
      <w:r w:rsidRPr="00150EDC">
        <w:rPr>
          <w:rFonts w:ascii="Calibri"/>
          <w:sz w:val="24"/>
        </w:rPr>
        <w:t>additional</w:t>
      </w:r>
      <w:r w:rsidRPr="00150EDC">
        <w:rPr>
          <w:rFonts w:ascii="Calibri"/>
          <w:spacing w:val="-4"/>
          <w:sz w:val="24"/>
        </w:rPr>
        <w:t xml:space="preserve"> </w:t>
      </w:r>
      <w:r w:rsidRPr="00150EDC">
        <w:rPr>
          <w:rFonts w:ascii="Calibri"/>
          <w:sz w:val="24"/>
        </w:rPr>
        <w:t>time</w:t>
      </w:r>
      <w:r w:rsidRPr="00150EDC">
        <w:rPr>
          <w:rFonts w:ascii="Calibri"/>
          <w:spacing w:val="-4"/>
          <w:sz w:val="24"/>
        </w:rPr>
        <w:t xml:space="preserve"> </w:t>
      </w:r>
      <w:r w:rsidRPr="00150EDC">
        <w:rPr>
          <w:rFonts w:ascii="Calibri"/>
          <w:sz w:val="24"/>
        </w:rPr>
        <w:t>needed</w:t>
      </w:r>
      <w:r w:rsidRPr="00150EDC">
        <w:rPr>
          <w:rFonts w:ascii="Calibri"/>
          <w:spacing w:val="-3"/>
          <w:sz w:val="24"/>
        </w:rPr>
        <w:t xml:space="preserve"> </w:t>
      </w:r>
      <w:r w:rsidRPr="00150EDC">
        <w:rPr>
          <w:rFonts w:ascii="Calibri"/>
          <w:sz w:val="24"/>
        </w:rPr>
        <w:t>to</w:t>
      </w:r>
      <w:r w:rsidRPr="00150EDC">
        <w:rPr>
          <w:rFonts w:ascii="Calibri"/>
          <w:spacing w:val="-4"/>
          <w:sz w:val="24"/>
        </w:rPr>
        <w:t xml:space="preserve"> </w:t>
      </w:r>
      <w:r w:rsidRPr="00150EDC">
        <w:rPr>
          <w:rFonts w:ascii="Calibri"/>
          <w:sz w:val="24"/>
        </w:rPr>
        <w:t>make</w:t>
      </w:r>
      <w:r w:rsidRPr="00150EDC">
        <w:rPr>
          <w:rFonts w:ascii="Calibri"/>
          <w:spacing w:val="-2"/>
          <w:sz w:val="24"/>
        </w:rPr>
        <w:t xml:space="preserve"> </w:t>
      </w:r>
      <w:r w:rsidRPr="00150EDC">
        <w:rPr>
          <w:rFonts w:ascii="Calibri"/>
          <w:sz w:val="24"/>
        </w:rPr>
        <w:t>the</w:t>
      </w:r>
      <w:r w:rsidRPr="00150EDC">
        <w:rPr>
          <w:rFonts w:ascii="Calibri"/>
          <w:spacing w:val="-4"/>
          <w:sz w:val="24"/>
        </w:rPr>
        <w:t xml:space="preserve"> </w:t>
      </w:r>
      <w:r w:rsidRPr="00150EDC">
        <w:rPr>
          <w:rFonts w:ascii="Calibri"/>
          <w:sz w:val="24"/>
        </w:rPr>
        <w:t>Delivery;</w:t>
      </w:r>
      <w:r w:rsidRPr="00150EDC">
        <w:rPr>
          <w:rFonts w:ascii="Calibri"/>
          <w:spacing w:val="-2"/>
          <w:sz w:val="24"/>
        </w:rPr>
        <w:t xml:space="preserve"> </w:t>
      </w:r>
      <w:r w:rsidRPr="00150EDC">
        <w:rPr>
          <w:rFonts w:ascii="Calibri"/>
          <w:spacing w:val="-5"/>
          <w:sz w:val="24"/>
        </w:rPr>
        <w:t>and</w:t>
      </w:r>
    </w:p>
    <w:p w14:paraId="7227F141" w14:textId="77777777" w:rsidR="004C7180" w:rsidRPr="00150EDC" w:rsidRDefault="00CF0754" w:rsidP="00B320C7">
      <w:pPr>
        <w:pStyle w:val="ListParagraph"/>
        <w:numPr>
          <w:ilvl w:val="0"/>
          <w:numId w:val="176"/>
        </w:numPr>
        <w:tabs>
          <w:tab w:val="left" w:pos="1491"/>
        </w:tabs>
        <w:spacing w:before="19"/>
        <w:ind w:left="1491" w:hanging="425"/>
        <w:rPr>
          <w:rFonts w:ascii="Calibri"/>
          <w:sz w:val="24"/>
        </w:rPr>
      </w:pPr>
      <w:r w:rsidRPr="00150EDC">
        <w:rPr>
          <w:rFonts w:ascii="Calibri"/>
          <w:sz w:val="24"/>
        </w:rPr>
        <w:t>the</w:t>
      </w:r>
      <w:r w:rsidRPr="00150EDC">
        <w:rPr>
          <w:rFonts w:ascii="Calibri"/>
          <w:spacing w:val="-4"/>
          <w:sz w:val="24"/>
        </w:rPr>
        <w:t xml:space="preserve"> </w:t>
      </w:r>
      <w:r w:rsidRPr="00150EDC">
        <w:rPr>
          <w:rFonts w:ascii="Calibri"/>
          <w:sz w:val="24"/>
        </w:rPr>
        <w:t>Supplier</w:t>
      </w:r>
      <w:r w:rsidRPr="00150EDC">
        <w:rPr>
          <w:rFonts w:ascii="Calibri"/>
          <w:spacing w:val="-3"/>
          <w:sz w:val="24"/>
        </w:rPr>
        <w:t xml:space="preserve"> </w:t>
      </w:r>
      <w:r w:rsidRPr="00150EDC">
        <w:rPr>
          <w:rFonts w:ascii="Calibri"/>
          <w:sz w:val="24"/>
        </w:rPr>
        <w:t>cannot</w:t>
      </w:r>
      <w:r w:rsidRPr="00150EDC">
        <w:rPr>
          <w:rFonts w:ascii="Calibri"/>
          <w:spacing w:val="-2"/>
          <w:sz w:val="24"/>
        </w:rPr>
        <w:t xml:space="preserve"> </w:t>
      </w:r>
      <w:r w:rsidRPr="00150EDC">
        <w:rPr>
          <w:rFonts w:ascii="Calibri"/>
          <w:sz w:val="24"/>
        </w:rPr>
        <w:t>suspend</w:t>
      </w:r>
      <w:r w:rsidRPr="00150EDC">
        <w:rPr>
          <w:rFonts w:ascii="Calibri"/>
          <w:spacing w:val="-3"/>
          <w:sz w:val="24"/>
        </w:rPr>
        <w:t xml:space="preserve"> </w:t>
      </w:r>
      <w:r w:rsidRPr="00150EDC">
        <w:rPr>
          <w:rFonts w:ascii="Calibri"/>
          <w:sz w:val="24"/>
        </w:rPr>
        <w:t>the</w:t>
      </w:r>
      <w:r w:rsidRPr="00150EDC">
        <w:rPr>
          <w:rFonts w:ascii="Calibri"/>
          <w:spacing w:val="-2"/>
          <w:sz w:val="24"/>
        </w:rPr>
        <w:t xml:space="preserve"> </w:t>
      </w:r>
      <w:r w:rsidRPr="00150EDC">
        <w:rPr>
          <w:rFonts w:ascii="Calibri"/>
          <w:sz w:val="24"/>
        </w:rPr>
        <w:t>ongoing</w:t>
      </w:r>
      <w:r w:rsidRPr="00150EDC">
        <w:rPr>
          <w:rFonts w:ascii="Calibri"/>
          <w:spacing w:val="-2"/>
          <w:sz w:val="24"/>
        </w:rPr>
        <w:t xml:space="preserve"> </w:t>
      </w:r>
      <w:r w:rsidRPr="00150EDC">
        <w:rPr>
          <w:rFonts w:ascii="Calibri"/>
          <w:sz w:val="24"/>
        </w:rPr>
        <w:t>supply</w:t>
      </w:r>
      <w:r w:rsidRPr="00150EDC">
        <w:rPr>
          <w:rFonts w:ascii="Calibri"/>
          <w:spacing w:val="-4"/>
          <w:sz w:val="24"/>
        </w:rPr>
        <w:t xml:space="preserve"> </w:t>
      </w:r>
      <w:r w:rsidRPr="00150EDC">
        <w:rPr>
          <w:rFonts w:ascii="Calibri"/>
          <w:sz w:val="24"/>
        </w:rPr>
        <w:t>of</w:t>
      </w:r>
      <w:r w:rsidRPr="00150EDC">
        <w:rPr>
          <w:rFonts w:ascii="Calibri"/>
          <w:spacing w:val="-2"/>
          <w:sz w:val="24"/>
        </w:rPr>
        <w:t xml:space="preserve"> Deliverables.</w:t>
      </w:r>
    </w:p>
    <w:p w14:paraId="015F51B7" w14:textId="77777777" w:rsidR="004C7180" w:rsidRPr="00150EDC" w:rsidRDefault="004C7180">
      <w:pPr>
        <w:pStyle w:val="BodyText"/>
        <w:spacing w:before="9"/>
        <w:rPr>
          <w:rFonts w:ascii="Calibri"/>
          <w:sz w:val="25"/>
        </w:rPr>
      </w:pPr>
    </w:p>
    <w:p w14:paraId="40CE79C6" w14:textId="77777777" w:rsidR="004C7180" w:rsidRPr="00150EDC" w:rsidRDefault="00CF0754" w:rsidP="00B320C7">
      <w:pPr>
        <w:pStyle w:val="ListParagraph"/>
        <w:numPr>
          <w:ilvl w:val="1"/>
          <w:numId w:val="182"/>
        </w:numPr>
        <w:tabs>
          <w:tab w:val="left" w:pos="1066"/>
        </w:tabs>
        <w:spacing w:before="1"/>
        <w:ind w:hanging="566"/>
        <w:rPr>
          <w:rFonts w:ascii="Calibri"/>
          <w:sz w:val="24"/>
        </w:rPr>
      </w:pPr>
      <w:r w:rsidRPr="00150EDC">
        <w:rPr>
          <w:rFonts w:ascii="Calibri"/>
          <w:sz w:val="24"/>
        </w:rPr>
        <w:t>Clause</w:t>
      </w:r>
      <w:r w:rsidRPr="00150EDC">
        <w:rPr>
          <w:rFonts w:ascii="Calibri"/>
          <w:spacing w:val="-1"/>
          <w:sz w:val="24"/>
        </w:rPr>
        <w:t xml:space="preserve"> </w:t>
      </w:r>
      <w:r w:rsidRPr="00150EDC">
        <w:rPr>
          <w:rFonts w:ascii="Calibri"/>
          <w:sz w:val="24"/>
        </w:rPr>
        <w:t>5.1</w:t>
      </w:r>
      <w:r w:rsidRPr="00150EDC">
        <w:rPr>
          <w:rFonts w:ascii="Calibri"/>
          <w:spacing w:val="-3"/>
          <w:sz w:val="24"/>
        </w:rPr>
        <w:t xml:space="preserve"> </w:t>
      </w:r>
      <w:r w:rsidRPr="00150EDC">
        <w:rPr>
          <w:rFonts w:ascii="Calibri"/>
          <w:sz w:val="24"/>
        </w:rPr>
        <w:t>only</w:t>
      </w:r>
      <w:r w:rsidRPr="00150EDC">
        <w:rPr>
          <w:rFonts w:ascii="Calibri"/>
          <w:spacing w:val="-4"/>
          <w:sz w:val="24"/>
        </w:rPr>
        <w:t xml:space="preserve"> </w:t>
      </w:r>
      <w:r w:rsidRPr="00150EDC">
        <w:rPr>
          <w:rFonts w:ascii="Calibri"/>
          <w:sz w:val="24"/>
        </w:rPr>
        <w:t>applies</w:t>
      </w:r>
      <w:r w:rsidRPr="00150EDC">
        <w:rPr>
          <w:rFonts w:ascii="Calibri"/>
          <w:spacing w:val="-2"/>
          <w:sz w:val="24"/>
        </w:rPr>
        <w:t xml:space="preserve"> </w:t>
      </w:r>
      <w:r w:rsidRPr="00150EDC">
        <w:rPr>
          <w:rFonts w:ascii="Calibri"/>
          <w:sz w:val="24"/>
        </w:rPr>
        <w:t>if</w:t>
      </w:r>
      <w:r w:rsidRPr="00150EDC">
        <w:rPr>
          <w:rFonts w:ascii="Calibri"/>
          <w:spacing w:val="-3"/>
          <w:sz w:val="24"/>
        </w:rPr>
        <w:t xml:space="preserve"> </w:t>
      </w:r>
      <w:r w:rsidRPr="00150EDC">
        <w:rPr>
          <w:rFonts w:ascii="Calibri"/>
          <w:sz w:val="24"/>
        </w:rPr>
        <w:t>the</w:t>
      </w:r>
      <w:r w:rsidRPr="00150EDC">
        <w:rPr>
          <w:rFonts w:ascii="Calibri"/>
          <w:spacing w:val="-3"/>
          <w:sz w:val="24"/>
        </w:rPr>
        <w:t xml:space="preserve"> </w:t>
      </w:r>
      <w:r w:rsidRPr="00150EDC">
        <w:rPr>
          <w:rFonts w:ascii="Calibri"/>
          <w:spacing w:val="-2"/>
          <w:sz w:val="24"/>
        </w:rPr>
        <w:t>Supplier:</w:t>
      </w:r>
    </w:p>
    <w:p w14:paraId="4C2285C9" w14:textId="77777777" w:rsidR="004C7180" w:rsidRPr="00150EDC" w:rsidRDefault="004C7180">
      <w:pPr>
        <w:pStyle w:val="BodyText"/>
        <w:spacing w:before="8"/>
        <w:rPr>
          <w:rFonts w:ascii="Calibri"/>
          <w:sz w:val="25"/>
        </w:rPr>
      </w:pPr>
    </w:p>
    <w:p w14:paraId="637341B1" w14:textId="77777777" w:rsidR="004C7180" w:rsidRPr="00150EDC" w:rsidRDefault="00CF0754" w:rsidP="00B320C7">
      <w:pPr>
        <w:pStyle w:val="ListParagraph"/>
        <w:numPr>
          <w:ilvl w:val="0"/>
          <w:numId w:val="175"/>
        </w:numPr>
        <w:tabs>
          <w:tab w:val="left" w:pos="1491"/>
          <w:tab w:val="left" w:pos="1494"/>
        </w:tabs>
        <w:spacing w:before="1"/>
        <w:ind w:right="868"/>
        <w:rPr>
          <w:rFonts w:ascii="Calibri"/>
          <w:sz w:val="24"/>
        </w:rPr>
      </w:pPr>
      <w:r w:rsidRPr="00150EDC">
        <w:rPr>
          <w:rFonts w:ascii="Calibri"/>
          <w:sz w:val="24"/>
        </w:rPr>
        <w:t>gives</w:t>
      </w:r>
      <w:r w:rsidRPr="00150EDC">
        <w:rPr>
          <w:rFonts w:ascii="Calibri"/>
          <w:spacing w:val="-2"/>
          <w:sz w:val="24"/>
        </w:rPr>
        <w:t xml:space="preserve"> </w:t>
      </w:r>
      <w:r w:rsidRPr="00150EDC">
        <w:rPr>
          <w:rFonts w:ascii="Calibri"/>
          <w:sz w:val="24"/>
        </w:rPr>
        <w:t>notice</w:t>
      </w:r>
      <w:r w:rsidRPr="00150EDC">
        <w:rPr>
          <w:rFonts w:ascii="Calibri"/>
          <w:spacing w:val="-1"/>
          <w:sz w:val="24"/>
        </w:rPr>
        <w:t xml:space="preserve"> </w:t>
      </w:r>
      <w:r w:rsidRPr="00150EDC">
        <w:rPr>
          <w:rFonts w:ascii="Calibri"/>
          <w:sz w:val="24"/>
        </w:rPr>
        <w:t>to</w:t>
      </w:r>
      <w:r w:rsidRPr="00150EDC">
        <w:rPr>
          <w:rFonts w:ascii="Calibri"/>
          <w:spacing w:val="-3"/>
          <w:sz w:val="24"/>
        </w:rPr>
        <w:t xml:space="preserve"> </w:t>
      </w:r>
      <w:r w:rsidRPr="00150EDC">
        <w:rPr>
          <w:rFonts w:ascii="Calibri"/>
          <w:sz w:val="24"/>
        </w:rPr>
        <w:t>the</w:t>
      </w:r>
      <w:r w:rsidRPr="00150EDC">
        <w:rPr>
          <w:rFonts w:ascii="Calibri"/>
          <w:spacing w:val="-4"/>
          <w:sz w:val="24"/>
        </w:rPr>
        <w:t xml:space="preserve"> </w:t>
      </w:r>
      <w:r w:rsidRPr="00150EDC">
        <w:rPr>
          <w:rFonts w:ascii="Calibri"/>
          <w:sz w:val="24"/>
        </w:rPr>
        <w:t>Party</w:t>
      </w:r>
      <w:r w:rsidRPr="00150EDC">
        <w:rPr>
          <w:rFonts w:ascii="Calibri"/>
          <w:spacing w:val="-5"/>
          <w:sz w:val="24"/>
        </w:rPr>
        <w:t xml:space="preserve"> </w:t>
      </w:r>
      <w:r w:rsidRPr="00150EDC">
        <w:rPr>
          <w:rFonts w:ascii="Calibri"/>
          <w:sz w:val="24"/>
        </w:rPr>
        <w:t>responsible</w:t>
      </w:r>
      <w:r w:rsidRPr="00150EDC">
        <w:rPr>
          <w:rFonts w:ascii="Calibri"/>
          <w:spacing w:val="-4"/>
          <w:sz w:val="24"/>
        </w:rPr>
        <w:t xml:space="preserve"> </w:t>
      </w:r>
      <w:r w:rsidRPr="00150EDC">
        <w:rPr>
          <w:rFonts w:ascii="Calibri"/>
          <w:sz w:val="24"/>
        </w:rPr>
        <w:t>for</w:t>
      </w:r>
      <w:r w:rsidRPr="00150EDC">
        <w:rPr>
          <w:rFonts w:ascii="Calibri"/>
          <w:spacing w:val="-3"/>
          <w:sz w:val="24"/>
        </w:rPr>
        <w:t xml:space="preserve"> </w:t>
      </w:r>
      <w:r w:rsidRPr="00150EDC">
        <w:rPr>
          <w:rFonts w:ascii="Calibri"/>
          <w:sz w:val="24"/>
        </w:rPr>
        <w:t>the</w:t>
      </w:r>
      <w:r w:rsidRPr="00150EDC">
        <w:rPr>
          <w:rFonts w:ascii="Calibri"/>
          <w:spacing w:val="-1"/>
          <w:sz w:val="24"/>
        </w:rPr>
        <w:t xml:space="preserve"> </w:t>
      </w:r>
      <w:r w:rsidRPr="00150EDC">
        <w:rPr>
          <w:rFonts w:ascii="Calibri"/>
          <w:sz w:val="24"/>
        </w:rPr>
        <w:t>Authority</w:t>
      </w:r>
      <w:r w:rsidRPr="00150EDC">
        <w:rPr>
          <w:rFonts w:ascii="Calibri"/>
          <w:spacing w:val="-2"/>
          <w:sz w:val="24"/>
        </w:rPr>
        <w:t xml:space="preserve"> </w:t>
      </w:r>
      <w:r w:rsidRPr="00150EDC">
        <w:rPr>
          <w:rFonts w:ascii="Calibri"/>
          <w:sz w:val="24"/>
        </w:rPr>
        <w:t>Cause</w:t>
      </w:r>
      <w:r w:rsidRPr="00150EDC">
        <w:rPr>
          <w:rFonts w:ascii="Calibri"/>
          <w:spacing w:val="-4"/>
          <w:sz w:val="24"/>
        </w:rPr>
        <w:t xml:space="preserve"> </w:t>
      </w:r>
      <w:r w:rsidRPr="00150EDC">
        <w:rPr>
          <w:rFonts w:ascii="Calibri"/>
          <w:sz w:val="24"/>
        </w:rPr>
        <w:t>within</w:t>
      </w:r>
      <w:r w:rsidRPr="00150EDC">
        <w:rPr>
          <w:rFonts w:ascii="Calibri"/>
          <w:spacing w:val="-3"/>
          <w:sz w:val="24"/>
        </w:rPr>
        <w:t xml:space="preserve"> </w:t>
      </w:r>
      <w:r w:rsidRPr="00150EDC">
        <w:rPr>
          <w:rFonts w:ascii="Calibri"/>
          <w:sz w:val="24"/>
        </w:rPr>
        <w:t>10</w:t>
      </w:r>
      <w:r w:rsidRPr="00150EDC">
        <w:rPr>
          <w:rFonts w:ascii="Calibri"/>
          <w:spacing w:val="-1"/>
          <w:sz w:val="24"/>
        </w:rPr>
        <w:t xml:space="preserve"> </w:t>
      </w:r>
      <w:r w:rsidRPr="00150EDC">
        <w:rPr>
          <w:rFonts w:ascii="Calibri"/>
          <w:sz w:val="24"/>
        </w:rPr>
        <w:t>Working</w:t>
      </w:r>
      <w:r w:rsidRPr="00150EDC">
        <w:rPr>
          <w:rFonts w:ascii="Calibri"/>
          <w:spacing w:val="-2"/>
          <w:sz w:val="24"/>
        </w:rPr>
        <w:t xml:space="preserve"> </w:t>
      </w:r>
      <w:r w:rsidRPr="00150EDC">
        <w:rPr>
          <w:rFonts w:ascii="Calibri"/>
          <w:sz w:val="24"/>
        </w:rPr>
        <w:t>Days</w:t>
      </w:r>
      <w:r w:rsidRPr="00150EDC">
        <w:rPr>
          <w:rFonts w:ascii="Calibri"/>
          <w:spacing w:val="-3"/>
          <w:sz w:val="24"/>
        </w:rPr>
        <w:t xml:space="preserve"> </w:t>
      </w:r>
      <w:r w:rsidRPr="00150EDC">
        <w:rPr>
          <w:rFonts w:ascii="Calibri"/>
          <w:sz w:val="24"/>
        </w:rPr>
        <w:t>of</w:t>
      </w:r>
      <w:r w:rsidRPr="00150EDC">
        <w:rPr>
          <w:rFonts w:ascii="Calibri"/>
          <w:spacing w:val="-3"/>
          <w:sz w:val="24"/>
        </w:rPr>
        <w:t xml:space="preserve"> </w:t>
      </w:r>
      <w:r w:rsidRPr="00150EDC">
        <w:rPr>
          <w:rFonts w:ascii="Calibri"/>
          <w:sz w:val="24"/>
        </w:rPr>
        <w:t xml:space="preserve">becoming </w:t>
      </w:r>
      <w:r w:rsidRPr="00150EDC">
        <w:rPr>
          <w:rFonts w:ascii="Calibri"/>
          <w:spacing w:val="-2"/>
          <w:sz w:val="24"/>
        </w:rPr>
        <w:t>aware;</w:t>
      </w:r>
    </w:p>
    <w:p w14:paraId="57ABFCB0" w14:textId="77777777" w:rsidR="004C7180" w:rsidRPr="00150EDC" w:rsidRDefault="00CF0754" w:rsidP="00B320C7">
      <w:pPr>
        <w:pStyle w:val="ListParagraph"/>
        <w:numPr>
          <w:ilvl w:val="0"/>
          <w:numId w:val="175"/>
        </w:numPr>
        <w:tabs>
          <w:tab w:val="left" w:pos="1491"/>
          <w:tab w:val="left" w:pos="1494"/>
        </w:tabs>
        <w:spacing w:before="18"/>
        <w:ind w:right="942"/>
        <w:rPr>
          <w:rFonts w:ascii="Calibri"/>
          <w:sz w:val="24"/>
        </w:rPr>
      </w:pPr>
      <w:r w:rsidRPr="00150EDC">
        <w:rPr>
          <w:rFonts w:ascii="Calibri"/>
          <w:sz w:val="24"/>
        </w:rPr>
        <w:t>demonstrates</w:t>
      </w:r>
      <w:r w:rsidRPr="00150EDC">
        <w:rPr>
          <w:rFonts w:ascii="Calibri"/>
          <w:spacing w:val="-4"/>
          <w:sz w:val="24"/>
        </w:rPr>
        <w:t xml:space="preserve"> </w:t>
      </w:r>
      <w:r w:rsidRPr="00150EDC">
        <w:rPr>
          <w:rFonts w:ascii="Calibri"/>
          <w:sz w:val="24"/>
        </w:rPr>
        <w:t>that</w:t>
      </w:r>
      <w:r w:rsidRPr="00150EDC">
        <w:rPr>
          <w:rFonts w:ascii="Calibri"/>
          <w:spacing w:val="-3"/>
          <w:sz w:val="24"/>
        </w:rPr>
        <w:t xml:space="preserve"> </w:t>
      </w:r>
      <w:r w:rsidRPr="00150EDC">
        <w:rPr>
          <w:rFonts w:ascii="Calibri"/>
          <w:sz w:val="24"/>
        </w:rPr>
        <w:t>the</w:t>
      </w:r>
      <w:r w:rsidRPr="00150EDC">
        <w:rPr>
          <w:rFonts w:ascii="Calibri"/>
          <w:spacing w:val="-4"/>
          <w:sz w:val="24"/>
        </w:rPr>
        <w:t xml:space="preserve"> </w:t>
      </w:r>
      <w:r w:rsidRPr="00150EDC">
        <w:rPr>
          <w:rFonts w:ascii="Calibri"/>
          <w:sz w:val="24"/>
        </w:rPr>
        <w:t>Supplier</w:t>
      </w:r>
      <w:r w:rsidRPr="00150EDC">
        <w:rPr>
          <w:rFonts w:ascii="Calibri"/>
          <w:spacing w:val="-3"/>
          <w:sz w:val="24"/>
        </w:rPr>
        <w:t xml:space="preserve"> </w:t>
      </w:r>
      <w:r w:rsidRPr="00150EDC">
        <w:rPr>
          <w:rFonts w:ascii="Calibri"/>
          <w:sz w:val="24"/>
        </w:rPr>
        <w:t>Non-Performance</w:t>
      </w:r>
      <w:r w:rsidRPr="00150EDC">
        <w:rPr>
          <w:rFonts w:ascii="Calibri"/>
          <w:spacing w:val="-1"/>
          <w:sz w:val="24"/>
        </w:rPr>
        <w:t xml:space="preserve"> </w:t>
      </w:r>
      <w:r w:rsidRPr="00150EDC">
        <w:rPr>
          <w:rFonts w:ascii="Calibri"/>
          <w:sz w:val="24"/>
        </w:rPr>
        <w:t>would</w:t>
      </w:r>
      <w:r w:rsidRPr="00150EDC">
        <w:rPr>
          <w:rFonts w:ascii="Calibri"/>
          <w:spacing w:val="-3"/>
          <w:sz w:val="24"/>
        </w:rPr>
        <w:t xml:space="preserve"> </w:t>
      </w:r>
      <w:r w:rsidRPr="00150EDC">
        <w:rPr>
          <w:rFonts w:ascii="Calibri"/>
          <w:sz w:val="24"/>
        </w:rPr>
        <w:t>not</w:t>
      </w:r>
      <w:r w:rsidRPr="00150EDC">
        <w:rPr>
          <w:rFonts w:ascii="Calibri"/>
          <w:spacing w:val="-3"/>
          <w:sz w:val="24"/>
        </w:rPr>
        <w:t xml:space="preserve"> </w:t>
      </w:r>
      <w:r w:rsidRPr="00150EDC">
        <w:rPr>
          <w:rFonts w:ascii="Calibri"/>
          <w:sz w:val="24"/>
        </w:rPr>
        <w:t>have</w:t>
      </w:r>
      <w:r w:rsidRPr="00150EDC">
        <w:rPr>
          <w:rFonts w:ascii="Calibri"/>
          <w:spacing w:val="-4"/>
          <w:sz w:val="24"/>
        </w:rPr>
        <w:t xml:space="preserve"> </w:t>
      </w:r>
      <w:r w:rsidRPr="00150EDC">
        <w:rPr>
          <w:rFonts w:ascii="Calibri"/>
          <w:sz w:val="24"/>
        </w:rPr>
        <w:t>occurred</w:t>
      </w:r>
      <w:r w:rsidRPr="00150EDC">
        <w:rPr>
          <w:rFonts w:ascii="Calibri"/>
          <w:spacing w:val="-3"/>
          <w:sz w:val="24"/>
        </w:rPr>
        <w:t xml:space="preserve"> </w:t>
      </w:r>
      <w:r w:rsidRPr="00150EDC">
        <w:rPr>
          <w:rFonts w:ascii="Calibri"/>
          <w:sz w:val="24"/>
        </w:rPr>
        <w:t>but for</w:t>
      </w:r>
      <w:r w:rsidRPr="00150EDC">
        <w:rPr>
          <w:rFonts w:ascii="Calibri"/>
          <w:spacing w:val="-3"/>
          <w:sz w:val="24"/>
        </w:rPr>
        <w:t xml:space="preserve"> </w:t>
      </w:r>
      <w:r w:rsidRPr="00150EDC">
        <w:rPr>
          <w:rFonts w:ascii="Calibri"/>
          <w:sz w:val="24"/>
        </w:rPr>
        <w:t>the</w:t>
      </w:r>
      <w:r w:rsidRPr="00150EDC">
        <w:rPr>
          <w:rFonts w:ascii="Calibri"/>
          <w:spacing w:val="-4"/>
          <w:sz w:val="24"/>
        </w:rPr>
        <w:t xml:space="preserve"> </w:t>
      </w:r>
      <w:r w:rsidRPr="00150EDC">
        <w:rPr>
          <w:rFonts w:ascii="Calibri"/>
          <w:sz w:val="24"/>
        </w:rPr>
        <w:t>Authority Cause; and</w:t>
      </w:r>
    </w:p>
    <w:p w14:paraId="7C09E086" w14:textId="77777777" w:rsidR="004C7180" w:rsidRPr="00150EDC" w:rsidRDefault="00CF0754" w:rsidP="00B320C7">
      <w:pPr>
        <w:pStyle w:val="ListParagraph"/>
        <w:numPr>
          <w:ilvl w:val="0"/>
          <w:numId w:val="175"/>
        </w:numPr>
        <w:tabs>
          <w:tab w:val="left" w:pos="1492"/>
        </w:tabs>
        <w:spacing w:before="19"/>
        <w:ind w:left="1492" w:hanging="426"/>
        <w:rPr>
          <w:rFonts w:ascii="Calibri"/>
          <w:sz w:val="24"/>
        </w:rPr>
      </w:pPr>
      <w:r w:rsidRPr="00150EDC">
        <w:rPr>
          <w:rFonts w:ascii="Calibri"/>
          <w:sz w:val="24"/>
        </w:rPr>
        <w:t>mitigated</w:t>
      </w:r>
      <w:r w:rsidRPr="00150EDC">
        <w:rPr>
          <w:rFonts w:ascii="Calibri"/>
          <w:spacing w:val="-4"/>
          <w:sz w:val="24"/>
        </w:rPr>
        <w:t xml:space="preserve"> </w:t>
      </w:r>
      <w:r w:rsidRPr="00150EDC">
        <w:rPr>
          <w:rFonts w:ascii="Calibri"/>
          <w:sz w:val="24"/>
        </w:rPr>
        <w:t>the</w:t>
      </w:r>
      <w:r w:rsidRPr="00150EDC">
        <w:rPr>
          <w:rFonts w:ascii="Calibri"/>
          <w:spacing w:val="-2"/>
          <w:sz w:val="24"/>
        </w:rPr>
        <w:t xml:space="preserve"> </w:t>
      </w:r>
      <w:r w:rsidRPr="00150EDC">
        <w:rPr>
          <w:rFonts w:ascii="Calibri"/>
          <w:sz w:val="24"/>
        </w:rPr>
        <w:t>impact</w:t>
      </w:r>
      <w:r w:rsidRPr="00150EDC">
        <w:rPr>
          <w:rFonts w:ascii="Calibri"/>
          <w:spacing w:val="-3"/>
          <w:sz w:val="24"/>
        </w:rPr>
        <w:t xml:space="preserve"> </w:t>
      </w:r>
      <w:r w:rsidRPr="00150EDC">
        <w:rPr>
          <w:rFonts w:ascii="Calibri"/>
          <w:sz w:val="24"/>
        </w:rPr>
        <w:t>of</w:t>
      </w:r>
      <w:r w:rsidRPr="00150EDC">
        <w:rPr>
          <w:rFonts w:ascii="Calibri"/>
          <w:spacing w:val="-3"/>
          <w:sz w:val="24"/>
        </w:rPr>
        <w:t xml:space="preserve"> </w:t>
      </w:r>
      <w:r w:rsidRPr="00150EDC">
        <w:rPr>
          <w:rFonts w:ascii="Calibri"/>
          <w:sz w:val="24"/>
        </w:rPr>
        <w:t>the</w:t>
      </w:r>
      <w:r w:rsidRPr="00150EDC">
        <w:rPr>
          <w:rFonts w:ascii="Calibri"/>
          <w:spacing w:val="-2"/>
          <w:sz w:val="24"/>
        </w:rPr>
        <w:t xml:space="preserve"> </w:t>
      </w:r>
      <w:r w:rsidRPr="00150EDC">
        <w:rPr>
          <w:rFonts w:ascii="Calibri"/>
          <w:sz w:val="24"/>
        </w:rPr>
        <w:t>Authority</w:t>
      </w:r>
      <w:r w:rsidRPr="00150EDC">
        <w:rPr>
          <w:rFonts w:ascii="Calibri"/>
          <w:spacing w:val="-3"/>
          <w:sz w:val="24"/>
        </w:rPr>
        <w:t xml:space="preserve"> </w:t>
      </w:r>
      <w:r w:rsidRPr="00150EDC">
        <w:rPr>
          <w:rFonts w:ascii="Calibri"/>
          <w:spacing w:val="-2"/>
          <w:sz w:val="24"/>
        </w:rPr>
        <w:t>Cause.</w:t>
      </w:r>
    </w:p>
    <w:p w14:paraId="21F766CC" w14:textId="77777777" w:rsidR="004C7180" w:rsidRPr="00150EDC" w:rsidRDefault="004C7180">
      <w:pPr>
        <w:pStyle w:val="BodyText"/>
        <w:spacing w:before="5"/>
        <w:rPr>
          <w:rFonts w:ascii="Calibri"/>
          <w:sz w:val="27"/>
        </w:rPr>
      </w:pPr>
    </w:p>
    <w:p w14:paraId="2B2F6C2A" w14:textId="77777777" w:rsidR="004C7180" w:rsidRPr="00150EDC" w:rsidRDefault="00CF0754" w:rsidP="00B320C7">
      <w:pPr>
        <w:pStyle w:val="Heading1"/>
        <w:numPr>
          <w:ilvl w:val="0"/>
          <w:numId w:val="182"/>
        </w:numPr>
        <w:tabs>
          <w:tab w:val="left" w:pos="926"/>
        </w:tabs>
        <w:ind w:left="926" w:hanging="359"/>
        <w:jc w:val="left"/>
        <w:rPr>
          <w:rFonts w:ascii="Calibri"/>
        </w:rPr>
      </w:pPr>
      <w:r w:rsidRPr="00150EDC">
        <w:rPr>
          <w:rFonts w:ascii="Calibri"/>
        </w:rPr>
        <w:t>Record</w:t>
      </w:r>
      <w:r w:rsidRPr="00150EDC">
        <w:rPr>
          <w:rFonts w:ascii="Calibri"/>
          <w:spacing w:val="-1"/>
        </w:rPr>
        <w:t xml:space="preserve"> </w:t>
      </w:r>
      <w:r w:rsidRPr="00150EDC">
        <w:rPr>
          <w:rFonts w:ascii="Calibri"/>
        </w:rPr>
        <w:t>keeping</w:t>
      </w:r>
      <w:r w:rsidRPr="00150EDC">
        <w:rPr>
          <w:rFonts w:ascii="Calibri"/>
          <w:spacing w:val="-4"/>
        </w:rPr>
        <w:t xml:space="preserve"> </w:t>
      </w:r>
      <w:r w:rsidRPr="00150EDC">
        <w:rPr>
          <w:rFonts w:ascii="Calibri"/>
        </w:rPr>
        <w:t xml:space="preserve">and </w:t>
      </w:r>
      <w:r w:rsidRPr="00150EDC">
        <w:rPr>
          <w:rFonts w:ascii="Calibri"/>
          <w:spacing w:val="-2"/>
        </w:rPr>
        <w:t>reporting</w:t>
      </w:r>
    </w:p>
    <w:p w14:paraId="555548BF" w14:textId="77777777" w:rsidR="004C7180" w:rsidRPr="00150EDC" w:rsidRDefault="00CF0754" w:rsidP="00B320C7">
      <w:pPr>
        <w:pStyle w:val="ListParagraph"/>
        <w:numPr>
          <w:ilvl w:val="1"/>
          <w:numId w:val="182"/>
        </w:numPr>
        <w:tabs>
          <w:tab w:val="left" w:pos="1066"/>
        </w:tabs>
        <w:spacing w:before="21"/>
        <w:ind w:right="1463"/>
        <w:rPr>
          <w:rFonts w:ascii="Calibri"/>
          <w:sz w:val="24"/>
        </w:rPr>
      </w:pPr>
      <w:r w:rsidRPr="00150EDC">
        <w:rPr>
          <w:rFonts w:ascii="Calibri"/>
          <w:sz w:val="24"/>
        </w:rPr>
        <w:t>The</w:t>
      </w:r>
      <w:r w:rsidRPr="00150EDC">
        <w:rPr>
          <w:rFonts w:ascii="Calibri"/>
          <w:spacing w:val="-2"/>
          <w:sz w:val="24"/>
        </w:rPr>
        <w:t xml:space="preserve"> </w:t>
      </w:r>
      <w:r w:rsidRPr="00150EDC">
        <w:rPr>
          <w:rFonts w:ascii="Calibri"/>
          <w:sz w:val="24"/>
        </w:rPr>
        <w:t>Supplier</w:t>
      </w:r>
      <w:r w:rsidRPr="00150EDC">
        <w:rPr>
          <w:rFonts w:ascii="Calibri"/>
          <w:spacing w:val="-4"/>
          <w:sz w:val="24"/>
        </w:rPr>
        <w:t xml:space="preserve"> </w:t>
      </w:r>
      <w:r w:rsidRPr="00150EDC">
        <w:rPr>
          <w:rFonts w:ascii="Calibri"/>
          <w:sz w:val="24"/>
        </w:rPr>
        <w:t>must</w:t>
      </w:r>
      <w:r w:rsidRPr="00150EDC">
        <w:rPr>
          <w:rFonts w:ascii="Calibri"/>
          <w:spacing w:val="-2"/>
          <w:sz w:val="24"/>
        </w:rPr>
        <w:t xml:space="preserve"> </w:t>
      </w:r>
      <w:r w:rsidRPr="00150EDC">
        <w:rPr>
          <w:rFonts w:ascii="Calibri"/>
          <w:sz w:val="24"/>
        </w:rPr>
        <w:t>attend</w:t>
      </w:r>
      <w:r w:rsidRPr="00150EDC">
        <w:rPr>
          <w:rFonts w:ascii="Calibri"/>
          <w:spacing w:val="-2"/>
          <w:sz w:val="24"/>
        </w:rPr>
        <w:t xml:space="preserve"> </w:t>
      </w:r>
      <w:r w:rsidRPr="00150EDC">
        <w:rPr>
          <w:rFonts w:ascii="Calibri"/>
          <w:sz w:val="24"/>
        </w:rPr>
        <w:t>Progress</w:t>
      </w:r>
      <w:r w:rsidRPr="00150EDC">
        <w:rPr>
          <w:rFonts w:ascii="Calibri"/>
          <w:spacing w:val="-5"/>
          <w:sz w:val="24"/>
        </w:rPr>
        <w:t xml:space="preserve"> </w:t>
      </w:r>
      <w:r w:rsidRPr="00150EDC">
        <w:rPr>
          <w:rFonts w:ascii="Calibri"/>
          <w:sz w:val="24"/>
        </w:rPr>
        <w:t>Meetings</w:t>
      </w:r>
      <w:r w:rsidRPr="00150EDC">
        <w:rPr>
          <w:rFonts w:ascii="Calibri"/>
          <w:spacing w:val="-4"/>
          <w:sz w:val="24"/>
        </w:rPr>
        <w:t xml:space="preserve"> </w:t>
      </w:r>
      <w:r w:rsidRPr="00150EDC">
        <w:rPr>
          <w:rFonts w:ascii="Calibri"/>
          <w:sz w:val="24"/>
        </w:rPr>
        <w:t>with</w:t>
      </w:r>
      <w:r w:rsidRPr="00150EDC">
        <w:rPr>
          <w:rFonts w:ascii="Calibri"/>
          <w:spacing w:val="-2"/>
          <w:sz w:val="24"/>
        </w:rPr>
        <w:t xml:space="preserve"> </w:t>
      </w:r>
      <w:r w:rsidRPr="00150EDC">
        <w:rPr>
          <w:rFonts w:ascii="Calibri"/>
          <w:sz w:val="24"/>
        </w:rPr>
        <w:t>the</w:t>
      </w:r>
      <w:r w:rsidRPr="00150EDC">
        <w:rPr>
          <w:rFonts w:ascii="Calibri"/>
          <w:spacing w:val="-2"/>
          <w:sz w:val="24"/>
        </w:rPr>
        <w:t xml:space="preserve"> </w:t>
      </w:r>
      <w:r w:rsidRPr="00150EDC">
        <w:rPr>
          <w:rFonts w:ascii="Calibri"/>
          <w:sz w:val="24"/>
        </w:rPr>
        <w:t>Buyer</w:t>
      </w:r>
      <w:r w:rsidRPr="00150EDC">
        <w:rPr>
          <w:rFonts w:ascii="Calibri"/>
          <w:spacing w:val="-2"/>
          <w:sz w:val="24"/>
        </w:rPr>
        <w:t xml:space="preserve"> </w:t>
      </w:r>
      <w:r w:rsidRPr="00150EDC">
        <w:rPr>
          <w:rFonts w:ascii="Calibri"/>
          <w:sz w:val="24"/>
        </w:rPr>
        <w:t>and</w:t>
      </w:r>
      <w:r w:rsidRPr="00150EDC">
        <w:rPr>
          <w:rFonts w:ascii="Calibri"/>
          <w:spacing w:val="-4"/>
          <w:sz w:val="24"/>
        </w:rPr>
        <w:t xml:space="preserve"> </w:t>
      </w:r>
      <w:r w:rsidRPr="00150EDC">
        <w:rPr>
          <w:rFonts w:ascii="Calibri"/>
          <w:sz w:val="24"/>
        </w:rPr>
        <w:t>provide</w:t>
      </w:r>
      <w:r w:rsidRPr="00150EDC">
        <w:rPr>
          <w:rFonts w:ascii="Calibri"/>
          <w:spacing w:val="-4"/>
          <w:sz w:val="24"/>
        </w:rPr>
        <w:t xml:space="preserve"> </w:t>
      </w:r>
      <w:r w:rsidRPr="00150EDC">
        <w:rPr>
          <w:rFonts w:ascii="Calibri"/>
          <w:sz w:val="24"/>
        </w:rPr>
        <w:t>Progress</w:t>
      </w:r>
      <w:r w:rsidRPr="00150EDC">
        <w:rPr>
          <w:rFonts w:ascii="Calibri"/>
          <w:spacing w:val="-3"/>
          <w:sz w:val="24"/>
        </w:rPr>
        <w:t xml:space="preserve"> </w:t>
      </w:r>
      <w:r w:rsidRPr="00150EDC">
        <w:rPr>
          <w:rFonts w:ascii="Calibri"/>
          <w:sz w:val="24"/>
        </w:rPr>
        <w:t>Reports</w:t>
      </w:r>
      <w:r w:rsidRPr="00150EDC">
        <w:rPr>
          <w:rFonts w:ascii="Calibri"/>
          <w:spacing w:val="-5"/>
          <w:sz w:val="24"/>
        </w:rPr>
        <w:t xml:space="preserve"> </w:t>
      </w:r>
      <w:r w:rsidRPr="00150EDC">
        <w:rPr>
          <w:rFonts w:ascii="Calibri"/>
          <w:sz w:val="24"/>
        </w:rPr>
        <w:t>when specified in the Order Form.</w:t>
      </w:r>
    </w:p>
    <w:p w14:paraId="43D497C9" w14:textId="77777777" w:rsidR="004C7180" w:rsidRPr="00150EDC" w:rsidRDefault="004C7180">
      <w:pPr>
        <w:pStyle w:val="BodyText"/>
        <w:spacing w:before="12"/>
        <w:rPr>
          <w:rFonts w:ascii="Calibri"/>
          <w:sz w:val="23"/>
        </w:rPr>
      </w:pPr>
    </w:p>
    <w:p w14:paraId="4DCFD009" w14:textId="77777777" w:rsidR="004C7180" w:rsidRPr="00150EDC" w:rsidRDefault="00CF0754" w:rsidP="00B320C7">
      <w:pPr>
        <w:pStyle w:val="ListParagraph"/>
        <w:numPr>
          <w:ilvl w:val="1"/>
          <w:numId w:val="182"/>
        </w:numPr>
        <w:tabs>
          <w:tab w:val="left" w:pos="1066"/>
        </w:tabs>
        <w:ind w:right="897"/>
        <w:rPr>
          <w:rFonts w:ascii="Calibri"/>
          <w:sz w:val="24"/>
        </w:rPr>
      </w:pPr>
      <w:r w:rsidRPr="00150EDC">
        <w:rPr>
          <w:rFonts w:ascii="Calibri"/>
          <w:sz w:val="24"/>
        </w:rPr>
        <w:t>The</w:t>
      </w:r>
      <w:r w:rsidRPr="00150EDC">
        <w:rPr>
          <w:rFonts w:ascii="Calibri"/>
          <w:spacing w:val="-1"/>
          <w:sz w:val="24"/>
        </w:rPr>
        <w:t xml:space="preserve"> </w:t>
      </w:r>
      <w:r w:rsidRPr="00150EDC">
        <w:rPr>
          <w:rFonts w:ascii="Calibri"/>
          <w:sz w:val="24"/>
        </w:rPr>
        <w:t>Supplier</w:t>
      </w:r>
      <w:r w:rsidRPr="00150EDC">
        <w:rPr>
          <w:rFonts w:ascii="Calibri"/>
          <w:spacing w:val="-3"/>
          <w:sz w:val="24"/>
        </w:rPr>
        <w:t xml:space="preserve"> </w:t>
      </w:r>
      <w:r w:rsidRPr="00150EDC">
        <w:rPr>
          <w:rFonts w:ascii="Calibri"/>
          <w:sz w:val="24"/>
        </w:rPr>
        <w:t>must</w:t>
      </w:r>
      <w:r w:rsidRPr="00150EDC">
        <w:rPr>
          <w:rFonts w:ascii="Calibri"/>
          <w:spacing w:val="-1"/>
          <w:sz w:val="24"/>
        </w:rPr>
        <w:t xml:space="preserve"> </w:t>
      </w:r>
      <w:r w:rsidRPr="00150EDC">
        <w:rPr>
          <w:rFonts w:ascii="Calibri"/>
          <w:sz w:val="24"/>
        </w:rPr>
        <w:t>keep</w:t>
      </w:r>
      <w:r w:rsidRPr="00150EDC">
        <w:rPr>
          <w:rFonts w:ascii="Calibri"/>
          <w:spacing w:val="-5"/>
          <w:sz w:val="24"/>
        </w:rPr>
        <w:t xml:space="preserve"> </w:t>
      </w:r>
      <w:r w:rsidRPr="00150EDC">
        <w:rPr>
          <w:rFonts w:ascii="Calibri"/>
          <w:sz w:val="24"/>
        </w:rPr>
        <w:t>and maintain</w:t>
      </w:r>
      <w:r w:rsidRPr="00150EDC">
        <w:rPr>
          <w:rFonts w:ascii="Calibri"/>
          <w:spacing w:val="-3"/>
          <w:sz w:val="24"/>
        </w:rPr>
        <w:t xml:space="preserve"> </w:t>
      </w:r>
      <w:r w:rsidRPr="00150EDC">
        <w:rPr>
          <w:rFonts w:ascii="Calibri"/>
          <w:sz w:val="24"/>
        </w:rPr>
        <w:t>full</w:t>
      </w:r>
      <w:r w:rsidRPr="00150EDC">
        <w:rPr>
          <w:rFonts w:ascii="Calibri"/>
          <w:spacing w:val="-2"/>
          <w:sz w:val="24"/>
        </w:rPr>
        <w:t xml:space="preserve"> </w:t>
      </w:r>
      <w:r w:rsidRPr="00150EDC">
        <w:rPr>
          <w:rFonts w:ascii="Calibri"/>
          <w:sz w:val="24"/>
        </w:rPr>
        <w:t>and</w:t>
      </w:r>
      <w:r w:rsidRPr="00150EDC">
        <w:rPr>
          <w:rFonts w:ascii="Calibri"/>
          <w:spacing w:val="-3"/>
          <w:sz w:val="24"/>
        </w:rPr>
        <w:t xml:space="preserve"> </w:t>
      </w:r>
      <w:r w:rsidRPr="00150EDC">
        <w:rPr>
          <w:rFonts w:ascii="Calibri"/>
          <w:sz w:val="24"/>
        </w:rPr>
        <w:t>accurate</w:t>
      </w:r>
      <w:r w:rsidRPr="00150EDC">
        <w:rPr>
          <w:rFonts w:ascii="Calibri"/>
          <w:spacing w:val="-4"/>
          <w:sz w:val="24"/>
        </w:rPr>
        <w:t xml:space="preserve"> </w:t>
      </w:r>
      <w:r w:rsidRPr="00150EDC">
        <w:rPr>
          <w:rFonts w:ascii="Calibri"/>
          <w:sz w:val="24"/>
        </w:rPr>
        <w:t>records</w:t>
      </w:r>
      <w:r w:rsidRPr="00150EDC">
        <w:rPr>
          <w:rFonts w:ascii="Calibri"/>
          <w:spacing w:val="-2"/>
          <w:sz w:val="24"/>
        </w:rPr>
        <w:t xml:space="preserve"> </w:t>
      </w:r>
      <w:r w:rsidRPr="00150EDC">
        <w:rPr>
          <w:rFonts w:ascii="Calibri"/>
          <w:sz w:val="24"/>
        </w:rPr>
        <w:t>and</w:t>
      </w:r>
      <w:r w:rsidRPr="00150EDC">
        <w:rPr>
          <w:rFonts w:ascii="Calibri"/>
          <w:spacing w:val="-3"/>
          <w:sz w:val="24"/>
        </w:rPr>
        <w:t xml:space="preserve"> </w:t>
      </w:r>
      <w:r w:rsidRPr="00150EDC">
        <w:rPr>
          <w:rFonts w:ascii="Calibri"/>
          <w:sz w:val="24"/>
        </w:rPr>
        <w:t>accounts</w:t>
      </w:r>
      <w:r w:rsidRPr="00150EDC">
        <w:rPr>
          <w:rFonts w:ascii="Calibri"/>
          <w:spacing w:val="-2"/>
          <w:sz w:val="24"/>
        </w:rPr>
        <w:t xml:space="preserve"> </w:t>
      </w:r>
      <w:r w:rsidRPr="00150EDC">
        <w:rPr>
          <w:rFonts w:ascii="Calibri"/>
          <w:sz w:val="24"/>
        </w:rPr>
        <w:t>on</w:t>
      </w:r>
      <w:r w:rsidRPr="00150EDC">
        <w:rPr>
          <w:rFonts w:ascii="Calibri"/>
          <w:spacing w:val="-3"/>
          <w:sz w:val="24"/>
        </w:rPr>
        <w:t xml:space="preserve"> </w:t>
      </w:r>
      <w:r w:rsidRPr="00150EDC">
        <w:rPr>
          <w:rFonts w:ascii="Calibri"/>
          <w:sz w:val="24"/>
        </w:rPr>
        <w:t>everything</w:t>
      </w:r>
      <w:r w:rsidRPr="00150EDC">
        <w:rPr>
          <w:rFonts w:ascii="Calibri"/>
          <w:spacing w:val="-4"/>
          <w:sz w:val="24"/>
        </w:rPr>
        <w:t xml:space="preserve"> </w:t>
      </w:r>
      <w:r w:rsidRPr="00150EDC">
        <w:rPr>
          <w:rFonts w:ascii="Calibri"/>
          <w:sz w:val="24"/>
        </w:rPr>
        <w:t>to</w:t>
      </w:r>
      <w:r w:rsidRPr="00150EDC">
        <w:rPr>
          <w:rFonts w:ascii="Calibri"/>
          <w:spacing w:val="-3"/>
          <w:sz w:val="24"/>
        </w:rPr>
        <w:t xml:space="preserve"> </w:t>
      </w:r>
      <w:r w:rsidRPr="00150EDC">
        <w:rPr>
          <w:rFonts w:ascii="Calibri"/>
          <w:sz w:val="24"/>
        </w:rPr>
        <w:t>do</w:t>
      </w:r>
      <w:r w:rsidRPr="00150EDC">
        <w:rPr>
          <w:rFonts w:ascii="Calibri"/>
          <w:spacing w:val="-6"/>
          <w:sz w:val="24"/>
        </w:rPr>
        <w:t xml:space="preserve"> </w:t>
      </w:r>
      <w:r w:rsidRPr="00150EDC">
        <w:rPr>
          <w:rFonts w:ascii="Calibri"/>
          <w:sz w:val="24"/>
        </w:rPr>
        <w:t>with the Contract:</w:t>
      </w:r>
    </w:p>
    <w:p w14:paraId="386CD731" w14:textId="77777777" w:rsidR="004C7180" w:rsidRPr="00150EDC" w:rsidRDefault="004C7180">
      <w:pPr>
        <w:pStyle w:val="BodyText"/>
        <w:spacing w:before="9"/>
        <w:rPr>
          <w:rFonts w:ascii="Calibri"/>
          <w:sz w:val="25"/>
        </w:rPr>
      </w:pPr>
    </w:p>
    <w:p w14:paraId="4288382F" w14:textId="77777777" w:rsidR="004C7180" w:rsidRPr="00150EDC" w:rsidRDefault="00CF0754" w:rsidP="00B320C7">
      <w:pPr>
        <w:pStyle w:val="ListParagraph"/>
        <w:numPr>
          <w:ilvl w:val="0"/>
          <w:numId w:val="174"/>
        </w:numPr>
        <w:tabs>
          <w:tab w:val="left" w:pos="1491"/>
        </w:tabs>
        <w:ind w:left="1491" w:hanging="425"/>
        <w:rPr>
          <w:rFonts w:ascii="Calibri"/>
          <w:sz w:val="24"/>
        </w:rPr>
      </w:pPr>
      <w:r w:rsidRPr="00150EDC">
        <w:rPr>
          <w:rFonts w:ascii="Calibri"/>
          <w:sz w:val="24"/>
        </w:rPr>
        <w:t>during</w:t>
      </w:r>
      <w:r w:rsidRPr="00150EDC">
        <w:rPr>
          <w:rFonts w:ascii="Calibri"/>
          <w:spacing w:val="-4"/>
          <w:sz w:val="24"/>
        </w:rPr>
        <w:t xml:space="preserve"> </w:t>
      </w:r>
      <w:r w:rsidRPr="00150EDC">
        <w:rPr>
          <w:rFonts w:ascii="Calibri"/>
          <w:sz w:val="24"/>
        </w:rPr>
        <w:t>the</w:t>
      </w:r>
      <w:r w:rsidRPr="00150EDC">
        <w:rPr>
          <w:rFonts w:ascii="Calibri"/>
          <w:spacing w:val="-3"/>
          <w:sz w:val="24"/>
        </w:rPr>
        <w:t xml:space="preserve"> </w:t>
      </w:r>
      <w:r w:rsidRPr="00150EDC">
        <w:rPr>
          <w:rFonts w:ascii="Calibri"/>
          <w:sz w:val="24"/>
        </w:rPr>
        <w:t>Contract</w:t>
      </w:r>
      <w:r w:rsidRPr="00150EDC">
        <w:rPr>
          <w:rFonts w:ascii="Calibri"/>
          <w:spacing w:val="-4"/>
          <w:sz w:val="24"/>
        </w:rPr>
        <w:t xml:space="preserve"> </w:t>
      </w:r>
      <w:r w:rsidRPr="00150EDC">
        <w:rPr>
          <w:rFonts w:ascii="Calibri"/>
          <w:spacing w:val="-2"/>
          <w:sz w:val="24"/>
        </w:rPr>
        <w:t>Period;</w:t>
      </w:r>
    </w:p>
    <w:p w14:paraId="7EE0448D" w14:textId="77777777" w:rsidR="004C7180" w:rsidRPr="00150EDC" w:rsidRDefault="00CF0754" w:rsidP="00B320C7">
      <w:pPr>
        <w:pStyle w:val="ListParagraph"/>
        <w:numPr>
          <w:ilvl w:val="0"/>
          <w:numId w:val="174"/>
        </w:numPr>
        <w:tabs>
          <w:tab w:val="left" w:pos="1491"/>
        </w:tabs>
        <w:spacing w:before="19"/>
        <w:ind w:left="1491" w:hanging="425"/>
        <w:rPr>
          <w:rFonts w:ascii="Calibri"/>
          <w:sz w:val="24"/>
        </w:rPr>
      </w:pPr>
      <w:r w:rsidRPr="00150EDC">
        <w:rPr>
          <w:rFonts w:ascii="Calibri"/>
          <w:sz w:val="24"/>
        </w:rPr>
        <w:t>for</w:t>
      </w:r>
      <w:r w:rsidRPr="00150EDC">
        <w:rPr>
          <w:rFonts w:ascii="Calibri"/>
          <w:spacing w:val="-3"/>
          <w:sz w:val="24"/>
        </w:rPr>
        <w:t xml:space="preserve"> </w:t>
      </w:r>
      <w:r w:rsidRPr="00150EDC">
        <w:rPr>
          <w:rFonts w:ascii="Calibri"/>
          <w:sz w:val="24"/>
        </w:rPr>
        <w:t>7 years</w:t>
      </w:r>
      <w:r w:rsidRPr="00150EDC">
        <w:rPr>
          <w:rFonts w:ascii="Calibri"/>
          <w:spacing w:val="-3"/>
          <w:sz w:val="24"/>
        </w:rPr>
        <w:t xml:space="preserve"> </w:t>
      </w:r>
      <w:r w:rsidRPr="00150EDC">
        <w:rPr>
          <w:rFonts w:ascii="Calibri"/>
          <w:sz w:val="24"/>
        </w:rPr>
        <w:t>after</w:t>
      </w:r>
      <w:r w:rsidRPr="00150EDC">
        <w:rPr>
          <w:rFonts w:ascii="Calibri"/>
          <w:spacing w:val="-3"/>
          <w:sz w:val="24"/>
        </w:rPr>
        <w:t xml:space="preserve"> </w:t>
      </w:r>
      <w:r w:rsidRPr="00150EDC">
        <w:rPr>
          <w:rFonts w:ascii="Calibri"/>
          <w:sz w:val="24"/>
        </w:rPr>
        <w:t>the</w:t>
      </w:r>
      <w:r w:rsidRPr="00150EDC">
        <w:rPr>
          <w:rFonts w:ascii="Calibri"/>
          <w:spacing w:val="-3"/>
          <w:sz w:val="24"/>
        </w:rPr>
        <w:t xml:space="preserve"> </w:t>
      </w:r>
      <w:r w:rsidRPr="00150EDC">
        <w:rPr>
          <w:rFonts w:ascii="Calibri"/>
          <w:sz w:val="24"/>
        </w:rPr>
        <w:t>End</w:t>
      </w:r>
      <w:r w:rsidRPr="00150EDC">
        <w:rPr>
          <w:rFonts w:ascii="Calibri"/>
          <w:spacing w:val="-2"/>
          <w:sz w:val="24"/>
        </w:rPr>
        <w:t xml:space="preserve"> </w:t>
      </w:r>
      <w:r w:rsidRPr="00150EDC">
        <w:rPr>
          <w:rFonts w:ascii="Calibri"/>
          <w:sz w:val="24"/>
        </w:rPr>
        <w:t xml:space="preserve">Date; </w:t>
      </w:r>
      <w:r w:rsidRPr="00150EDC">
        <w:rPr>
          <w:rFonts w:ascii="Calibri"/>
          <w:spacing w:val="-5"/>
          <w:sz w:val="24"/>
        </w:rPr>
        <w:t>and</w:t>
      </w:r>
    </w:p>
    <w:p w14:paraId="7CB2E17C" w14:textId="77777777" w:rsidR="004C7180" w:rsidRPr="00150EDC" w:rsidRDefault="00CF0754" w:rsidP="00B320C7">
      <w:pPr>
        <w:pStyle w:val="ListParagraph"/>
        <w:numPr>
          <w:ilvl w:val="0"/>
          <w:numId w:val="174"/>
        </w:numPr>
        <w:tabs>
          <w:tab w:val="left" w:pos="1492"/>
        </w:tabs>
        <w:spacing w:before="19"/>
        <w:ind w:left="1492" w:hanging="426"/>
        <w:rPr>
          <w:rFonts w:ascii="Calibri"/>
          <w:sz w:val="24"/>
        </w:rPr>
      </w:pPr>
      <w:r w:rsidRPr="00150EDC">
        <w:rPr>
          <w:rFonts w:ascii="Calibri"/>
          <w:sz w:val="24"/>
        </w:rPr>
        <w:t>in</w:t>
      </w:r>
      <w:r w:rsidRPr="00150EDC">
        <w:rPr>
          <w:rFonts w:ascii="Calibri"/>
          <w:spacing w:val="-2"/>
          <w:sz w:val="24"/>
        </w:rPr>
        <w:t xml:space="preserve"> </w:t>
      </w:r>
      <w:r w:rsidRPr="00150EDC">
        <w:rPr>
          <w:rFonts w:ascii="Calibri"/>
          <w:sz w:val="24"/>
        </w:rPr>
        <w:t>accordance</w:t>
      </w:r>
      <w:r w:rsidRPr="00150EDC">
        <w:rPr>
          <w:rFonts w:ascii="Calibri"/>
          <w:spacing w:val="-2"/>
          <w:sz w:val="24"/>
        </w:rPr>
        <w:t xml:space="preserve"> </w:t>
      </w:r>
      <w:r w:rsidRPr="00150EDC">
        <w:rPr>
          <w:rFonts w:ascii="Calibri"/>
          <w:sz w:val="24"/>
        </w:rPr>
        <w:t>with</w:t>
      </w:r>
      <w:r w:rsidRPr="00150EDC">
        <w:rPr>
          <w:rFonts w:ascii="Calibri"/>
          <w:spacing w:val="-2"/>
          <w:sz w:val="24"/>
        </w:rPr>
        <w:t xml:space="preserve"> </w:t>
      </w:r>
      <w:r w:rsidRPr="00150EDC">
        <w:rPr>
          <w:rFonts w:ascii="Calibri"/>
          <w:sz w:val="24"/>
        </w:rPr>
        <w:t>UK</w:t>
      </w:r>
      <w:r w:rsidRPr="00150EDC">
        <w:rPr>
          <w:rFonts w:ascii="Calibri"/>
          <w:spacing w:val="-2"/>
          <w:sz w:val="24"/>
        </w:rPr>
        <w:t xml:space="preserve"> GDPR,</w:t>
      </w:r>
    </w:p>
    <w:p w14:paraId="75815372" w14:textId="77777777" w:rsidR="004C7180" w:rsidRPr="00150EDC" w:rsidRDefault="00CF0754">
      <w:pPr>
        <w:pStyle w:val="BodyText"/>
        <w:spacing w:before="19"/>
        <w:ind w:left="1066"/>
        <w:rPr>
          <w:rFonts w:ascii="Calibri"/>
        </w:rPr>
      </w:pPr>
      <w:r w:rsidRPr="00150EDC">
        <w:rPr>
          <w:rFonts w:ascii="Calibri"/>
        </w:rPr>
        <w:t>including</w:t>
      </w:r>
      <w:r w:rsidRPr="00150EDC">
        <w:rPr>
          <w:rFonts w:ascii="Calibri"/>
          <w:spacing w:val="-4"/>
        </w:rPr>
        <w:t xml:space="preserve"> </w:t>
      </w:r>
      <w:r w:rsidRPr="00150EDC">
        <w:rPr>
          <w:rFonts w:ascii="Calibri"/>
        </w:rPr>
        <w:t>but</w:t>
      </w:r>
      <w:r w:rsidRPr="00150EDC">
        <w:rPr>
          <w:rFonts w:ascii="Calibri"/>
          <w:spacing w:val="-4"/>
        </w:rPr>
        <w:t xml:space="preserve"> </w:t>
      </w:r>
      <w:r w:rsidRPr="00150EDC">
        <w:rPr>
          <w:rFonts w:ascii="Calibri"/>
        </w:rPr>
        <w:t>not</w:t>
      </w:r>
      <w:r w:rsidRPr="00150EDC">
        <w:rPr>
          <w:rFonts w:ascii="Calibri"/>
          <w:spacing w:val="-1"/>
        </w:rPr>
        <w:t xml:space="preserve"> </w:t>
      </w:r>
      <w:r w:rsidRPr="00150EDC">
        <w:rPr>
          <w:rFonts w:ascii="Calibri"/>
        </w:rPr>
        <w:t>limited</w:t>
      </w:r>
      <w:r w:rsidRPr="00150EDC">
        <w:rPr>
          <w:rFonts w:ascii="Calibri"/>
          <w:spacing w:val="-5"/>
        </w:rPr>
        <w:t xml:space="preserve"> </w:t>
      </w:r>
      <w:r w:rsidRPr="00150EDC">
        <w:rPr>
          <w:rFonts w:ascii="Calibri"/>
        </w:rPr>
        <w:t>to</w:t>
      </w:r>
      <w:r w:rsidRPr="00150EDC">
        <w:rPr>
          <w:rFonts w:ascii="Calibri"/>
          <w:spacing w:val="-4"/>
        </w:rPr>
        <w:t xml:space="preserve"> </w:t>
      </w:r>
      <w:r w:rsidRPr="00150EDC">
        <w:rPr>
          <w:rFonts w:ascii="Calibri"/>
        </w:rPr>
        <w:t>the</w:t>
      </w:r>
      <w:r w:rsidRPr="00150EDC">
        <w:rPr>
          <w:rFonts w:ascii="Calibri"/>
          <w:spacing w:val="-5"/>
        </w:rPr>
        <w:t xml:space="preserve"> </w:t>
      </w:r>
      <w:r w:rsidRPr="00150EDC">
        <w:rPr>
          <w:rFonts w:ascii="Calibri"/>
        </w:rPr>
        <w:t>records</w:t>
      </w:r>
      <w:r w:rsidRPr="00150EDC">
        <w:rPr>
          <w:rFonts w:ascii="Calibri"/>
          <w:spacing w:val="-3"/>
        </w:rPr>
        <w:t xml:space="preserve"> </w:t>
      </w:r>
      <w:r w:rsidRPr="00150EDC">
        <w:rPr>
          <w:rFonts w:ascii="Calibri"/>
        </w:rPr>
        <w:t>and</w:t>
      </w:r>
      <w:r w:rsidRPr="00150EDC">
        <w:rPr>
          <w:rFonts w:ascii="Calibri"/>
          <w:spacing w:val="-3"/>
        </w:rPr>
        <w:t xml:space="preserve"> </w:t>
      </w:r>
      <w:r w:rsidRPr="00150EDC">
        <w:rPr>
          <w:rFonts w:ascii="Calibri"/>
        </w:rPr>
        <w:t>accounts</w:t>
      </w:r>
      <w:r w:rsidRPr="00150EDC">
        <w:rPr>
          <w:rFonts w:ascii="Calibri"/>
          <w:spacing w:val="-3"/>
        </w:rPr>
        <w:t xml:space="preserve"> </w:t>
      </w:r>
      <w:r w:rsidRPr="00150EDC">
        <w:rPr>
          <w:rFonts w:ascii="Calibri"/>
        </w:rPr>
        <w:t>stated</w:t>
      </w:r>
      <w:r w:rsidRPr="00150EDC">
        <w:rPr>
          <w:rFonts w:ascii="Calibri"/>
          <w:spacing w:val="-2"/>
        </w:rPr>
        <w:t xml:space="preserve"> </w:t>
      </w:r>
      <w:r w:rsidRPr="00150EDC">
        <w:rPr>
          <w:rFonts w:ascii="Calibri"/>
        </w:rPr>
        <w:t>in</w:t>
      </w:r>
      <w:r w:rsidRPr="00150EDC">
        <w:rPr>
          <w:rFonts w:ascii="Calibri"/>
          <w:spacing w:val="-5"/>
        </w:rPr>
        <w:t xml:space="preserve"> </w:t>
      </w:r>
      <w:r w:rsidRPr="00150EDC">
        <w:rPr>
          <w:rFonts w:ascii="Calibri"/>
        </w:rPr>
        <w:t>the</w:t>
      </w:r>
      <w:r w:rsidRPr="00150EDC">
        <w:rPr>
          <w:rFonts w:ascii="Calibri"/>
          <w:spacing w:val="5"/>
        </w:rPr>
        <w:t xml:space="preserve"> </w:t>
      </w:r>
      <w:r w:rsidRPr="00150EDC">
        <w:rPr>
          <w:rFonts w:ascii="Calibri"/>
        </w:rPr>
        <w:t>definition</w:t>
      </w:r>
      <w:r w:rsidRPr="00150EDC">
        <w:rPr>
          <w:rFonts w:ascii="Calibri"/>
          <w:spacing w:val="-2"/>
        </w:rPr>
        <w:t xml:space="preserve"> </w:t>
      </w:r>
      <w:r w:rsidRPr="00150EDC">
        <w:rPr>
          <w:rFonts w:ascii="Calibri"/>
        </w:rPr>
        <w:t>of</w:t>
      </w:r>
      <w:r w:rsidRPr="00150EDC">
        <w:rPr>
          <w:rFonts w:ascii="Calibri"/>
          <w:spacing w:val="-2"/>
        </w:rPr>
        <w:t xml:space="preserve"> </w:t>
      </w:r>
      <w:r w:rsidRPr="00150EDC">
        <w:rPr>
          <w:rFonts w:ascii="Calibri"/>
        </w:rPr>
        <w:t>Audit</w:t>
      </w:r>
      <w:r w:rsidRPr="00150EDC">
        <w:rPr>
          <w:rFonts w:ascii="Calibri"/>
          <w:spacing w:val="-3"/>
        </w:rPr>
        <w:t xml:space="preserve"> </w:t>
      </w:r>
      <w:r w:rsidRPr="00150EDC">
        <w:rPr>
          <w:rFonts w:ascii="Calibri"/>
        </w:rPr>
        <w:t>in</w:t>
      </w:r>
      <w:r w:rsidRPr="00150EDC">
        <w:rPr>
          <w:rFonts w:ascii="Calibri"/>
          <w:spacing w:val="-2"/>
        </w:rPr>
        <w:t xml:space="preserve"> </w:t>
      </w:r>
      <w:r w:rsidRPr="00150EDC">
        <w:rPr>
          <w:rFonts w:ascii="Calibri"/>
        </w:rPr>
        <w:t>Joint</w:t>
      </w:r>
      <w:r w:rsidRPr="00150EDC">
        <w:rPr>
          <w:rFonts w:ascii="Calibri"/>
          <w:spacing w:val="-2"/>
        </w:rPr>
        <w:t xml:space="preserve"> </w:t>
      </w:r>
      <w:r w:rsidRPr="00150EDC">
        <w:rPr>
          <w:rFonts w:ascii="Calibri"/>
        </w:rPr>
        <w:t>Schedule</w:t>
      </w:r>
      <w:r w:rsidRPr="00150EDC">
        <w:rPr>
          <w:rFonts w:ascii="Calibri"/>
          <w:spacing w:val="-5"/>
        </w:rPr>
        <w:t xml:space="preserve"> 1.</w:t>
      </w:r>
    </w:p>
    <w:p w14:paraId="7D6B30ED" w14:textId="77777777" w:rsidR="004C7180" w:rsidRPr="00150EDC" w:rsidRDefault="004C7180">
      <w:pPr>
        <w:pStyle w:val="BodyText"/>
        <w:spacing w:before="2"/>
        <w:rPr>
          <w:rFonts w:ascii="Calibri"/>
        </w:rPr>
      </w:pPr>
    </w:p>
    <w:p w14:paraId="1440DF53" w14:textId="77777777" w:rsidR="004C7180" w:rsidRPr="00150EDC" w:rsidRDefault="00CF0754" w:rsidP="00B320C7">
      <w:pPr>
        <w:pStyle w:val="ListParagraph"/>
        <w:numPr>
          <w:ilvl w:val="1"/>
          <w:numId w:val="182"/>
        </w:numPr>
        <w:tabs>
          <w:tab w:val="left" w:pos="1066"/>
        </w:tabs>
        <w:ind w:hanging="566"/>
        <w:rPr>
          <w:rFonts w:ascii="Calibri"/>
          <w:sz w:val="24"/>
        </w:rPr>
      </w:pPr>
      <w:r w:rsidRPr="00150EDC">
        <w:rPr>
          <w:rFonts w:ascii="Calibri"/>
          <w:sz w:val="24"/>
        </w:rPr>
        <w:t>The</w:t>
      </w:r>
      <w:r w:rsidRPr="00150EDC">
        <w:rPr>
          <w:rFonts w:ascii="Calibri"/>
          <w:spacing w:val="-4"/>
          <w:sz w:val="24"/>
        </w:rPr>
        <w:t xml:space="preserve"> </w:t>
      </w:r>
      <w:r w:rsidRPr="00150EDC">
        <w:rPr>
          <w:rFonts w:ascii="Calibri"/>
          <w:sz w:val="24"/>
        </w:rPr>
        <w:t>Relevant</w:t>
      </w:r>
      <w:r w:rsidRPr="00150EDC">
        <w:rPr>
          <w:rFonts w:ascii="Calibri"/>
          <w:spacing w:val="-4"/>
          <w:sz w:val="24"/>
        </w:rPr>
        <w:t xml:space="preserve"> </w:t>
      </w:r>
      <w:r w:rsidRPr="00150EDC">
        <w:rPr>
          <w:rFonts w:ascii="Calibri"/>
          <w:sz w:val="24"/>
        </w:rPr>
        <w:t>Authority</w:t>
      </w:r>
      <w:r w:rsidRPr="00150EDC">
        <w:rPr>
          <w:rFonts w:ascii="Calibri"/>
          <w:spacing w:val="-5"/>
          <w:sz w:val="24"/>
        </w:rPr>
        <w:t xml:space="preserve"> </w:t>
      </w:r>
      <w:r w:rsidRPr="00150EDC">
        <w:rPr>
          <w:rFonts w:ascii="Calibri"/>
          <w:sz w:val="24"/>
        </w:rPr>
        <w:t>or</w:t>
      </w:r>
      <w:r w:rsidRPr="00150EDC">
        <w:rPr>
          <w:rFonts w:ascii="Calibri"/>
          <w:spacing w:val="-2"/>
          <w:sz w:val="24"/>
        </w:rPr>
        <w:t xml:space="preserve"> </w:t>
      </w:r>
      <w:r w:rsidRPr="00150EDC">
        <w:rPr>
          <w:rFonts w:ascii="Calibri"/>
          <w:sz w:val="24"/>
        </w:rPr>
        <w:t>an</w:t>
      </w:r>
      <w:r w:rsidRPr="00150EDC">
        <w:rPr>
          <w:rFonts w:ascii="Calibri"/>
          <w:spacing w:val="-3"/>
          <w:sz w:val="24"/>
        </w:rPr>
        <w:t xml:space="preserve"> </w:t>
      </w:r>
      <w:r w:rsidRPr="00150EDC">
        <w:rPr>
          <w:rFonts w:ascii="Calibri"/>
          <w:sz w:val="24"/>
        </w:rPr>
        <w:t>Auditor</w:t>
      </w:r>
      <w:r w:rsidRPr="00150EDC">
        <w:rPr>
          <w:rFonts w:ascii="Calibri"/>
          <w:spacing w:val="-4"/>
          <w:sz w:val="24"/>
        </w:rPr>
        <w:t xml:space="preserve"> </w:t>
      </w:r>
      <w:r w:rsidRPr="00150EDC">
        <w:rPr>
          <w:rFonts w:ascii="Calibri"/>
          <w:sz w:val="24"/>
        </w:rPr>
        <w:t>can</w:t>
      </w:r>
      <w:r w:rsidRPr="00150EDC">
        <w:rPr>
          <w:rFonts w:ascii="Calibri"/>
          <w:spacing w:val="-3"/>
          <w:sz w:val="24"/>
        </w:rPr>
        <w:t xml:space="preserve"> </w:t>
      </w:r>
      <w:r w:rsidRPr="00150EDC">
        <w:rPr>
          <w:rFonts w:ascii="Calibri"/>
          <w:sz w:val="24"/>
        </w:rPr>
        <w:t>Audit</w:t>
      </w:r>
      <w:r w:rsidRPr="00150EDC">
        <w:rPr>
          <w:rFonts w:ascii="Calibri"/>
          <w:spacing w:val="-4"/>
          <w:sz w:val="24"/>
        </w:rPr>
        <w:t xml:space="preserve"> </w:t>
      </w:r>
      <w:r w:rsidRPr="00150EDC">
        <w:rPr>
          <w:rFonts w:ascii="Calibri"/>
          <w:sz w:val="24"/>
        </w:rPr>
        <w:t>the</w:t>
      </w:r>
      <w:r w:rsidRPr="00150EDC">
        <w:rPr>
          <w:rFonts w:ascii="Calibri"/>
          <w:spacing w:val="-1"/>
          <w:sz w:val="24"/>
        </w:rPr>
        <w:t xml:space="preserve"> </w:t>
      </w:r>
      <w:r w:rsidRPr="00150EDC">
        <w:rPr>
          <w:rFonts w:ascii="Calibri"/>
          <w:spacing w:val="-2"/>
          <w:sz w:val="24"/>
        </w:rPr>
        <w:t>Supplier.</w:t>
      </w:r>
    </w:p>
    <w:p w14:paraId="17C423EF" w14:textId="77777777" w:rsidR="004C7180" w:rsidRPr="00150EDC" w:rsidRDefault="004C7180">
      <w:pPr>
        <w:pStyle w:val="BodyText"/>
        <w:spacing w:before="12"/>
        <w:rPr>
          <w:rFonts w:ascii="Calibri"/>
          <w:sz w:val="23"/>
        </w:rPr>
      </w:pPr>
    </w:p>
    <w:p w14:paraId="5AA344D1" w14:textId="77777777" w:rsidR="004C7180" w:rsidRPr="00150EDC" w:rsidRDefault="00CF0754" w:rsidP="00B320C7">
      <w:pPr>
        <w:pStyle w:val="ListParagraph"/>
        <w:numPr>
          <w:ilvl w:val="1"/>
          <w:numId w:val="182"/>
        </w:numPr>
        <w:tabs>
          <w:tab w:val="left" w:pos="1066"/>
        </w:tabs>
        <w:ind w:hanging="566"/>
        <w:rPr>
          <w:rFonts w:ascii="Calibri"/>
          <w:sz w:val="24"/>
        </w:rPr>
      </w:pPr>
      <w:r w:rsidRPr="00150EDC">
        <w:rPr>
          <w:rFonts w:ascii="Calibri"/>
          <w:sz w:val="24"/>
        </w:rPr>
        <w:t>During</w:t>
      </w:r>
      <w:r w:rsidRPr="00150EDC">
        <w:rPr>
          <w:rFonts w:ascii="Calibri"/>
          <w:spacing w:val="-3"/>
          <w:sz w:val="24"/>
        </w:rPr>
        <w:t xml:space="preserve"> </w:t>
      </w:r>
      <w:r w:rsidRPr="00150EDC">
        <w:rPr>
          <w:rFonts w:ascii="Calibri"/>
          <w:sz w:val="24"/>
        </w:rPr>
        <w:t>an</w:t>
      </w:r>
      <w:r w:rsidRPr="00150EDC">
        <w:rPr>
          <w:rFonts w:ascii="Calibri"/>
          <w:spacing w:val="-3"/>
          <w:sz w:val="24"/>
        </w:rPr>
        <w:t xml:space="preserve"> </w:t>
      </w:r>
      <w:r w:rsidRPr="00150EDC">
        <w:rPr>
          <w:rFonts w:ascii="Calibri"/>
          <w:sz w:val="24"/>
        </w:rPr>
        <w:t>Audit,</w:t>
      </w:r>
      <w:r w:rsidRPr="00150EDC">
        <w:rPr>
          <w:rFonts w:ascii="Calibri"/>
          <w:spacing w:val="-4"/>
          <w:sz w:val="24"/>
        </w:rPr>
        <w:t xml:space="preserve"> </w:t>
      </w:r>
      <w:r w:rsidRPr="00150EDC">
        <w:rPr>
          <w:rFonts w:ascii="Calibri"/>
          <w:sz w:val="24"/>
        </w:rPr>
        <w:t>the</w:t>
      </w:r>
      <w:r w:rsidRPr="00150EDC">
        <w:rPr>
          <w:rFonts w:ascii="Calibri"/>
          <w:spacing w:val="-3"/>
          <w:sz w:val="24"/>
        </w:rPr>
        <w:t xml:space="preserve"> </w:t>
      </w:r>
      <w:r w:rsidRPr="00150EDC">
        <w:rPr>
          <w:rFonts w:ascii="Calibri"/>
          <w:sz w:val="24"/>
        </w:rPr>
        <w:t>Supplier</w:t>
      </w:r>
      <w:r w:rsidRPr="00150EDC">
        <w:rPr>
          <w:rFonts w:ascii="Calibri"/>
          <w:spacing w:val="-1"/>
          <w:sz w:val="24"/>
        </w:rPr>
        <w:t xml:space="preserve"> </w:t>
      </w:r>
      <w:r w:rsidRPr="00150EDC">
        <w:rPr>
          <w:rFonts w:ascii="Calibri"/>
          <w:spacing w:val="-4"/>
          <w:sz w:val="24"/>
        </w:rPr>
        <w:t>must:</w:t>
      </w:r>
    </w:p>
    <w:p w14:paraId="4493DA38" w14:textId="77777777" w:rsidR="004C7180" w:rsidRPr="00150EDC" w:rsidRDefault="004C7180">
      <w:pPr>
        <w:pStyle w:val="BodyText"/>
        <w:spacing w:before="7"/>
        <w:rPr>
          <w:rFonts w:ascii="Calibri"/>
          <w:sz w:val="25"/>
        </w:rPr>
      </w:pPr>
    </w:p>
    <w:p w14:paraId="77277D71" w14:textId="77777777" w:rsidR="004C7180" w:rsidRPr="00150EDC" w:rsidRDefault="00CF0754" w:rsidP="00B320C7">
      <w:pPr>
        <w:pStyle w:val="ListParagraph"/>
        <w:numPr>
          <w:ilvl w:val="0"/>
          <w:numId w:val="173"/>
        </w:numPr>
        <w:tabs>
          <w:tab w:val="left" w:pos="1491"/>
          <w:tab w:val="left" w:pos="1494"/>
        </w:tabs>
        <w:spacing w:line="242" w:lineRule="auto"/>
        <w:ind w:right="790"/>
        <w:rPr>
          <w:rFonts w:ascii="Calibri"/>
          <w:sz w:val="24"/>
        </w:rPr>
      </w:pPr>
      <w:r w:rsidRPr="00150EDC">
        <w:rPr>
          <w:rFonts w:ascii="Calibri"/>
          <w:sz w:val="24"/>
        </w:rPr>
        <w:t>allow</w:t>
      </w:r>
      <w:r w:rsidRPr="00150EDC">
        <w:rPr>
          <w:rFonts w:ascii="Calibri"/>
          <w:spacing w:val="-3"/>
          <w:sz w:val="24"/>
        </w:rPr>
        <w:t xml:space="preserve"> </w:t>
      </w:r>
      <w:r w:rsidRPr="00150EDC">
        <w:rPr>
          <w:rFonts w:ascii="Calibri"/>
          <w:sz w:val="24"/>
        </w:rPr>
        <w:t>the</w:t>
      </w:r>
      <w:r w:rsidRPr="00150EDC">
        <w:rPr>
          <w:rFonts w:ascii="Calibri"/>
          <w:spacing w:val="-1"/>
          <w:sz w:val="24"/>
        </w:rPr>
        <w:t xml:space="preserve"> </w:t>
      </w:r>
      <w:r w:rsidRPr="00150EDC">
        <w:rPr>
          <w:rFonts w:ascii="Calibri"/>
          <w:sz w:val="24"/>
        </w:rPr>
        <w:t>Relevant</w:t>
      </w:r>
      <w:r w:rsidRPr="00150EDC">
        <w:rPr>
          <w:rFonts w:ascii="Calibri"/>
          <w:spacing w:val="-3"/>
          <w:sz w:val="24"/>
        </w:rPr>
        <w:t xml:space="preserve"> </w:t>
      </w:r>
      <w:r w:rsidRPr="00150EDC">
        <w:rPr>
          <w:rFonts w:ascii="Calibri"/>
          <w:sz w:val="24"/>
        </w:rPr>
        <w:t>Authority</w:t>
      </w:r>
      <w:r w:rsidRPr="00150EDC">
        <w:rPr>
          <w:rFonts w:ascii="Calibri"/>
          <w:spacing w:val="-2"/>
          <w:sz w:val="24"/>
        </w:rPr>
        <w:t xml:space="preserve"> </w:t>
      </w:r>
      <w:r w:rsidRPr="00150EDC">
        <w:rPr>
          <w:rFonts w:ascii="Calibri"/>
          <w:sz w:val="24"/>
        </w:rPr>
        <w:t>or</w:t>
      </w:r>
      <w:r w:rsidRPr="00150EDC">
        <w:rPr>
          <w:rFonts w:ascii="Calibri"/>
          <w:spacing w:val="-4"/>
          <w:sz w:val="24"/>
        </w:rPr>
        <w:t xml:space="preserve"> </w:t>
      </w:r>
      <w:r w:rsidRPr="00150EDC">
        <w:rPr>
          <w:rFonts w:ascii="Calibri"/>
          <w:sz w:val="24"/>
        </w:rPr>
        <w:t>any</w:t>
      </w:r>
      <w:r w:rsidRPr="00150EDC">
        <w:rPr>
          <w:rFonts w:ascii="Calibri"/>
          <w:spacing w:val="-5"/>
          <w:sz w:val="24"/>
        </w:rPr>
        <w:t xml:space="preserve"> </w:t>
      </w:r>
      <w:r w:rsidRPr="00150EDC">
        <w:rPr>
          <w:rFonts w:ascii="Calibri"/>
          <w:sz w:val="24"/>
        </w:rPr>
        <w:t>Auditor</w:t>
      </w:r>
      <w:r w:rsidRPr="00150EDC">
        <w:rPr>
          <w:rFonts w:ascii="Calibri"/>
          <w:spacing w:val="-1"/>
          <w:sz w:val="24"/>
        </w:rPr>
        <w:t xml:space="preserve"> </w:t>
      </w:r>
      <w:r w:rsidRPr="00150EDC">
        <w:rPr>
          <w:rFonts w:ascii="Calibri"/>
          <w:sz w:val="24"/>
        </w:rPr>
        <w:t>access</w:t>
      </w:r>
      <w:r w:rsidRPr="00150EDC">
        <w:rPr>
          <w:rFonts w:ascii="Calibri"/>
          <w:spacing w:val="-3"/>
          <w:sz w:val="24"/>
        </w:rPr>
        <w:t xml:space="preserve"> </w:t>
      </w:r>
      <w:r w:rsidRPr="00150EDC">
        <w:rPr>
          <w:rFonts w:ascii="Calibri"/>
          <w:sz w:val="24"/>
        </w:rPr>
        <w:t>to</w:t>
      </w:r>
      <w:r w:rsidRPr="00150EDC">
        <w:rPr>
          <w:rFonts w:ascii="Calibri"/>
          <w:spacing w:val="-3"/>
          <w:sz w:val="24"/>
        </w:rPr>
        <w:t xml:space="preserve"> </w:t>
      </w:r>
      <w:r w:rsidRPr="00150EDC">
        <w:rPr>
          <w:rFonts w:ascii="Calibri"/>
          <w:sz w:val="24"/>
        </w:rPr>
        <w:t>their</w:t>
      </w:r>
      <w:r w:rsidRPr="00150EDC">
        <w:rPr>
          <w:rFonts w:ascii="Calibri"/>
          <w:spacing w:val="-3"/>
          <w:sz w:val="24"/>
        </w:rPr>
        <w:t xml:space="preserve"> </w:t>
      </w:r>
      <w:r w:rsidRPr="00150EDC">
        <w:rPr>
          <w:rFonts w:ascii="Calibri"/>
          <w:sz w:val="24"/>
        </w:rPr>
        <w:t>premises</w:t>
      </w:r>
      <w:r w:rsidRPr="00150EDC">
        <w:rPr>
          <w:rFonts w:ascii="Calibri"/>
          <w:spacing w:val="-4"/>
          <w:sz w:val="24"/>
        </w:rPr>
        <w:t xml:space="preserve"> </w:t>
      </w:r>
      <w:r w:rsidRPr="00150EDC">
        <w:rPr>
          <w:rFonts w:ascii="Calibri"/>
          <w:sz w:val="24"/>
        </w:rPr>
        <w:t>to</w:t>
      </w:r>
      <w:r w:rsidRPr="00150EDC">
        <w:rPr>
          <w:rFonts w:ascii="Calibri"/>
          <w:spacing w:val="-4"/>
          <w:sz w:val="24"/>
        </w:rPr>
        <w:t xml:space="preserve"> </w:t>
      </w:r>
      <w:r w:rsidRPr="00150EDC">
        <w:rPr>
          <w:rFonts w:ascii="Calibri"/>
          <w:sz w:val="24"/>
        </w:rPr>
        <w:t>verify</w:t>
      </w:r>
      <w:r w:rsidRPr="00150EDC">
        <w:rPr>
          <w:rFonts w:ascii="Calibri"/>
          <w:spacing w:val="-2"/>
          <w:sz w:val="24"/>
        </w:rPr>
        <w:t xml:space="preserve"> </w:t>
      </w:r>
      <w:r w:rsidRPr="00150EDC">
        <w:rPr>
          <w:rFonts w:ascii="Calibri"/>
          <w:sz w:val="24"/>
        </w:rPr>
        <w:t>all</w:t>
      </w:r>
      <w:r w:rsidRPr="00150EDC">
        <w:rPr>
          <w:rFonts w:ascii="Calibri"/>
          <w:spacing w:val="-1"/>
          <w:sz w:val="24"/>
        </w:rPr>
        <w:t xml:space="preserve"> </w:t>
      </w:r>
      <w:r w:rsidRPr="00150EDC">
        <w:rPr>
          <w:rFonts w:ascii="Calibri"/>
          <w:sz w:val="24"/>
        </w:rPr>
        <w:t>contract</w:t>
      </w:r>
      <w:r w:rsidRPr="00150EDC">
        <w:rPr>
          <w:rFonts w:ascii="Calibri"/>
          <w:spacing w:val="-1"/>
          <w:sz w:val="24"/>
        </w:rPr>
        <w:t xml:space="preserve"> </w:t>
      </w:r>
      <w:r w:rsidRPr="00150EDC">
        <w:rPr>
          <w:rFonts w:ascii="Calibri"/>
          <w:sz w:val="24"/>
        </w:rPr>
        <w:t>accounts and records of everything to do with the Contract and provide copies for an Audit; and</w:t>
      </w:r>
    </w:p>
    <w:p w14:paraId="410455DB" w14:textId="77777777" w:rsidR="004C7180" w:rsidRPr="00150EDC" w:rsidRDefault="00CF0754" w:rsidP="00B320C7">
      <w:pPr>
        <w:pStyle w:val="ListParagraph"/>
        <w:numPr>
          <w:ilvl w:val="0"/>
          <w:numId w:val="173"/>
        </w:numPr>
        <w:tabs>
          <w:tab w:val="left" w:pos="1491"/>
          <w:tab w:val="left" w:pos="1494"/>
        </w:tabs>
        <w:spacing w:before="15"/>
        <w:ind w:right="1062"/>
        <w:rPr>
          <w:rFonts w:ascii="Calibri"/>
          <w:sz w:val="24"/>
        </w:rPr>
      </w:pPr>
      <w:r w:rsidRPr="00150EDC">
        <w:rPr>
          <w:rFonts w:ascii="Calibri"/>
          <w:sz w:val="24"/>
        </w:rPr>
        <w:t>provide</w:t>
      </w:r>
      <w:r w:rsidRPr="00150EDC">
        <w:rPr>
          <w:rFonts w:ascii="Calibri"/>
          <w:spacing w:val="-4"/>
          <w:sz w:val="24"/>
        </w:rPr>
        <w:t xml:space="preserve"> </w:t>
      </w:r>
      <w:r w:rsidRPr="00150EDC">
        <w:rPr>
          <w:rFonts w:ascii="Calibri"/>
          <w:sz w:val="24"/>
        </w:rPr>
        <w:t>information</w:t>
      </w:r>
      <w:r w:rsidRPr="00150EDC">
        <w:rPr>
          <w:rFonts w:ascii="Calibri"/>
          <w:spacing w:val="-3"/>
          <w:sz w:val="24"/>
        </w:rPr>
        <w:t xml:space="preserve"> </w:t>
      </w:r>
      <w:r w:rsidRPr="00150EDC">
        <w:rPr>
          <w:rFonts w:ascii="Calibri"/>
          <w:sz w:val="24"/>
        </w:rPr>
        <w:t>to</w:t>
      </w:r>
      <w:r w:rsidRPr="00150EDC">
        <w:rPr>
          <w:rFonts w:ascii="Calibri"/>
          <w:spacing w:val="-3"/>
          <w:sz w:val="24"/>
        </w:rPr>
        <w:t xml:space="preserve"> </w:t>
      </w:r>
      <w:r w:rsidRPr="00150EDC">
        <w:rPr>
          <w:rFonts w:ascii="Calibri"/>
          <w:sz w:val="24"/>
        </w:rPr>
        <w:t>the</w:t>
      </w:r>
      <w:r w:rsidRPr="00150EDC">
        <w:rPr>
          <w:rFonts w:ascii="Calibri"/>
          <w:spacing w:val="-1"/>
          <w:sz w:val="24"/>
        </w:rPr>
        <w:t xml:space="preserve"> </w:t>
      </w:r>
      <w:r w:rsidRPr="00150EDC">
        <w:rPr>
          <w:rFonts w:ascii="Calibri"/>
          <w:sz w:val="24"/>
        </w:rPr>
        <w:t>Relevant</w:t>
      </w:r>
      <w:r w:rsidRPr="00150EDC">
        <w:rPr>
          <w:rFonts w:ascii="Calibri"/>
          <w:spacing w:val="-3"/>
          <w:sz w:val="24"/>
        </w:rPr>
        <w:t xml:space="preserve"> </w:t>
      </w:r>
      <w:r w:rsidRPr="00150EDC">
        <w:rPr>
          <w:rFonts w:ascii="Calibri"/>
          <w:sz w:val="24"/>
        </w:rPr>
        <w:t>Authority</w:t>
      </w:r>
      <w:r w:rsidRPr="00150EDC">
        <w:rPr>
          <w:rFonts w:ascii="Calibri"/>
          <w:spacing w:val="-2"/>
          <w:sz w:val="24"/>
        </w:rPr>
        <w:t xml:space="preserve"> </w:t>
      </w:r>
      <w:r w:rsidRPr="00150EDC">
        <w:rPr>
          <w:rFonts w:ascii="Calibri"/>
          <w:sz w:val="24"/>
        </w:rPr>
        <w:t>or</w:t>
      </w:r>
      <w:r w:rsidRPr="00150EDC">
        <w:rPr>
          <w:rFonts w:ascii="Calibri"/>
          <w:spacing w:val="-4"/>
          <w:sz w:val="24"/>
        </w:rPr>
        <w:t xml:space="preserve"> </w:t>
      </w:r>
      <w:r w:rsidRPr="00150EDC">
        <w:rPr>
          <w:rFonts w:ascii="Calibri"/>
          <w:sz w:val="24"/>
        </w:rPr>
        <w:t>to</w:t>
      </w:r>
      <w:r w:rsidRPr="00150EDC">
        <w:rPr>
          <w:rFonts w:ascii="Calibri"/>
          <w:spacing w:val="-3"/>
          <w:sz w:val="24"/>
        </w:rPr>
        <w:t xml:space="preserve"> </w:t>
      </w:r>
      <w:r w:rsidRPr="00150EDC">
        <w:rPr>
          <w:rFonts w:ascii="Calibri"/>
          <w:sz w:val="24"/>
        </w:rPr>
        <w:t>the</w:t>
      </w:r>
      <w:r w:rsidRPr="00150EDC">
        <w:rPr>
          <w:rFonts w:ascii="Calibri"/>
          <w:spacing w:val="-4"/>
          <w:sz w:val="24"/>
        </w:rPr>
        <w:t xml:space="preserve"> </w:t>
      </w:r>
      <w:r w:rsidRPr="00150EDC">
        <w:rPr>
          <w:rFonts w:ascii="Calibri"/>
          <w:sz w:val="24"/>
        </w:rPr>
        <w:t>Auditor</w:t>
      </w:r>
      <w:r w:rsidRPr="00150EDC">
        <w:rPr>
          <w:rFonts w:ascii="Calibri"/>
          <w:spacing w:val="-1"/>
          <w:sz w:val="24"/>
        </w:rPr>
        <w:t xml:space="preserve"> </w:t>
      </w:r>
      <w:r w:rsidRPr="00150EDC">
        <w:rPr>
          <w:rFonts w:ascii="Calibri"/>
          <w:sz w:val="24"/>
        </w:rPr>
        <w:t>and</w:t>
      </w:r>
      <w:r w:rsidRPr="00150EDC">
        <w:rPr>
          <w:rFonts w:ascii="Calibri"/>
          <w:spacing w:val="-3"/>
          <w:sz w:val="24"/>
        </w:rPr>
        <w:t xml:space="preserve"> </w:t>
      </w:r>
      <w:r w:rsidRPr="00150EDC">
        <w:rPr>
          <w:rFonts w:ascii="Calibri"/>
          <w:sz w:val="24"/>
        </w:rPr>
        <w:t>reasonable</w:t>
      </w:r>
      <w:r w:rsidRPr="00150EDC">
        <w:rPr>
          <w:rFonts w:ascii="Calibri"/>
          <w:spacing w:val="-4"/>
          <w:sz w:val="24"/>
        </w:rPr>
        <w:t xml:space="preserve"> </w:t>
      </w:r>
      <w:r w:rsidRPr="00150EDC">
        <w:rPr>
          <w:rFonts w:ascii="Calibri"/>
          <w:sz w:val="24"/>
        </w:rPr>
        <w:t>co-operation</w:t>
      </w:r>
      <w:r w:rsidRPr="00150EDC">
        <w:rPr>
          <w:rFonts w:ascii="Calibri"/>
          <w:spacing w:val="-1"/>
          <w:sz w:val="24"/>
        </w:rPr>
        <w:t xml:space="preserve"> </w:t>
      </w:r>
      <w:r w:rsidRPr="00150EDC">
        <w:rPr>
          <w:rFonts w:ascii="Calibri"/>
          <w:sz w:val="24"/>
        </w:rPr>
        <w:t>at their request.</w:t>
      </w:r>
    </w:p>
    <w:p w14:paraId="5E5E8B7F" w14:textId="77777777" w:rsidR="004C7180" w:rsidRPr="00150EDC" w:rsidRDefault="004C7180">
      <w:pPr>
        <w:pStyle w:val="BodyText"/>
        <w:spacing w:before="1"/>
        <w:rPr>
          <w:rFonts w:ascii="Calibri"/>
          <w:sz w:val="27"/>
        </w:rPr>
      </w:pPr>
    </w:p>
    <w:p w14:paraId="6C1A7847" w14:textId="77777777" w:rsidR="004C7180" w:rsidRPr="00150EDC" w:rsidRDefault="00CF0754" w:rsidP="00B320C7">
      <w:pPr>
        <w:pStyle w:val="ListParagraph"/>
        <w:numPr>
          <w:ilvl w:val="1"/>
          <w:numId w:val="182"/>
        </w:numPr>
        <w:tabs>
          <w:tab w:val="left" w:pos="1066"/>
        </w:tabs>
        <w:spacing w:line="242" w:lineRule="auto"/>
        <w:ind w:right="875"/>
        <w:rPr>
          <w:rFonts w:ascii="Calibri"/>
          <w:sz w:val="24"/>
        </w:rPr>
      </w:pPr>
      <w:r w:rsidRPr="00150EDC">
        <w:rPr>
          <w:rFonts w:ascii="Calibri"/>
          <w:sz w:val="24"/>
        </w:rPr>
        <w:t>Where</w:t>
      </w:r>
      <w:r w:rsidRPr="00150EDC">
        <w:rPr>
          <w:rFonts w:ascii="Calibri"/>
          <w:spacing w:val="-3"/>
          <w:sz w:val="24"/>
        </w:rPr>
        <w:t xml:space="preserve"> </w:t>
      </w:r>
      <w:r w:rsidRPr="00150EDC">
        <w:rPr>
          <w:rFonts w:ascii="Calibri"/>
          <w:sz w:val="24"/>
        </w:rPr>
        <w:t>the</w:t>
      </w:r>
      <w:r w:rsidRPr="00150EDC">
        <w:rPr>
          <w:rFonts w:ascii="Calibri"/>
          <w:spacing w:val="-1"/>
          <w:sz w:val="24"/>
        </w:rPr>
        <w:t xml:space="preserve"> </w:t>
      </w:r>
      <w:r w:rsidRPr="00150EDC">
        <w:rPr>
          <w:rFonts w:ascii="Calibri"/>
          <w:sz w:val="24"/>
        </w:rPr>
        <w:t>Audit</w:t>
      </w:r>
      <w:r w:rsidRPr="00150EDC">
        <w:rPr>
          <w:rFonts w:ascii="Calibri"/>
          <w:spacing w:val="-1"/>
          <w:sz w:val="24"/>
        </w:rPr>
        <w:t xml:space="preserve"> </w:t>
      </w:r>
      <w:r w:rsidRPr="00150EDC">
        <w:rPr>
          <w:rFonts w:ascii="Calibri"/>
          <w:sz w:val="24"/>
        </w:rPr>
        <w:t>of</w:t>
      </w:r>
      <w:r w:rsidRPr="00150EDC">
        <w:rPr>
          <w:rFonts w:ascii="Calibri"/>
          <w:spacing w:val="-3"/>
          <w:sz w:val="24"/>
        </w:rPr>
        <w:t xml:space="preserve"> </w:t>
      </w:r>
      <w:r w:rsidRPr="00150EDC">
        <w:rPr>
          <w:rFonts w:ascii="Calibri"/>
          <w:sz w:val="24"/>
        </w:rPr>
        <w:t>the</w:t>
      </w:r>
      <w:r w:rsidRPr="00150EDC">
        <w:rPr>
          <w:rFonts w:ascii="Calibri"/>
          <w:spacing w:val="-4"/>
          <w:sz w:val="24"/>
        </w:rPr>
        <w:t xml:space="preserve"> </w:t>
      </w:r>
      <w:r w:rsidRPr="00150EDC">
        <w:rPr>
          <w:rFonts w:ascii="Calibri"/>
          <w:sz w:val="24"/>
        </w:rPr>
        <w:t>Supplier</w:t>
      </w:r>
      <w:r w:rsidRPr="00150EDC">
        <w:rPr>
          <w:rFonts w:ascii="Calibri"/>
          <w:spacing w:val="-1"/>
          <w:sz w:val="24"/>
        </w:rPr>
        <w:t xml:space="preserve"> </w:t>
      </w:r>
      <w:r w:rsidRPr="00150EDC">
        <w:rPr>
          <w:rFonts w:ascii="Calibri"/>
          <w:sz w:val="24"/>
        </w:rPr>
        <w:t>is</w:t>
      </w:r>
      <w:r w:rsidRPr="00150EDC">
        <w:rPr>
          <w:rFonts w:ascii="Calibri"/>
          <w:spacing w:val="-4"/>
          <w:sz w:val="24"/>
        </w:rPr>
        <w:t xml:space="preserve"> </w:t>
      </w:r>
      <w:r w:rsidRPr="00150EDC">
        <w:rPr>
          <w:rFonts w:ascii="Calibri"/>
          <w:sz w:val="24"/>
        </w:rPr>
        <w:t>carried</w:t>
      </w:r>
      <w:r w:rsidRPr="00150EDC">
        <w:rPr>
          <w:rFonts w:ascii="Calibri"/>
          <w:spacing w:val="-3"/>
          <w:sz w:val="24"/>
        </w:rPr>
        <w:t xml:space="preserve"> </w:t>
      </w:r>
      <w:r w:rsidRPr="00150EDC">
        <w:rPr>
          <w:rFonts w:ascii="Calibri"/>
          <w:sz w:val="24"/>
        </w:rPr>
        <w:t>out</w:t>
      </w:r>
      <w:r w:rsidRPr="00150EDC">
        <w:rPr>
          <w:rFonts w:ascii="Calibri"/>
          <w:spacing w:val="-3"/>
          <w:sz w:val="24"/>
        </w:rPr>
        <w:t xml:space="preserve"> </w:t>
      </w:r>
      <w:r w:rsidRPr="00150EDC">
        <w:rPr>
          <w:rFonts w:ascii="Calibri"/>
          <w:sz w:val="24"/>
        </w:rPr>
        <w:t>by</w:t>
      </w:r>
      <w:r w:rsidRPr="00150EDC">
        <w:rPr>
          <w:rFonts w:ascii="Calibri"/>
          <w:spacing w:val="-5"/>
          <w:sz w:val="24"/>
        </w:rPr>
        <w:t xml:space="preserve"> </w:t>
      </w:r>
      <w:r w:rsidRPr="00150EDC">
        <w:rPr>
          <w:rFonts w:ascii="Calibri"/>
          <w:sz w:val="24"/>
        </w:rPr>
        <w:t>an</w:t>
      </w:r>
      <w:r w:rsidRPr="00150EDC">
        <w:rPr>
          <w:rFonts w:ascii="Calibri"/>
          <w:spacing w:val="-1"/>
          <w:sz w:val="24"/>
        </w:rPr>
        <w:t xml:space="preserve"> </w:t>
      </w:r>
      <w:r w:rsidRPr="00150EDC">
        <w:rPr>
          <w:rFonts w:ascii="Calibri"/>
          <w:sz w:val="24"/>
        </w:rPr>
        <w:t>Auditor,</w:t>
      </w:r>
      <w:r w:rsidRPr="00150EDC">
        <w:rPr>
          <w:rFonts w:ascii="Calibri"/>
          <w:spacing w:val="-4"/>
          <w:sz w:val="24"/>
        </w:rPr>
        <w:t xml:space="preserve"> </w:t>
      </w:r>
      <w:r w:rsidRPr="00150EDC">
        <w:rPr>
          <w:rFonts w:ascii="Calibri"/>
          <w:sz w:val="24"/>
        </w:rPr>
        <w:t>the Auditor</w:t>
      </w:r>
      <w:r w:rsidRPr="00150EDC">
        <w:rPr>
          <w:rFonts w:ascii="Calibri"/>
          <w:spacing w:val="-1"/>
          <w:sz w:val="24"/>
        </w:rPr>
        <w:t xml:space="preserve"> </w:t>
      </w:r>
      <w:r w:rsidRPr="00150EDC">
        <w:rPr>
          <w:rFonts w:ascii="Calibri"/>
          <w:sz w:val="24"/>
        </w:rPr>
        <w:t>shall</w:t>
      </w:r>
      <w:r w:rsidRPr="00150EDC">
        <w:rPr>
          <w:rFonts w:ascii="Calibri"/>
          <w:spacing w:val="-1"/>
          <w:sz w:val="24"/>
        </w:rPr>
        <w:t xml:space="preserve"> </w:t>
      </w:r>
      <w:r w:rsidRPr="00150EDC">
        <w:rPr>
          <w:rFonts w:ascii="Calibri"/>
          <w:sz w:val="24"/>
        </w:rPr>
        <w:t>be</w:t>
      </w:r>
      <w:r w:rsidRPr="00150EDC">
        <w:rPr>
          <w:rFonts w:ascii="Calibri"/>
          <w:spacing w:val="-1"/>
          <w:sz w:val="24"/>
        </w:rPr>
        <w:t xml:space="preserve"> </w:t>
      </w:r>
      <w:r w:rsidRPr="00150EDC">
        <w:rPr>
          <w:rFonts w:ascii="Calibri"/>
          <w:sz w:val="24"/>
        </w:rPr>
        <w:t>entitled</w:t>
      </w:r>
      <w:r w:rsidRPr="00150EDC">
        <w:rPr>
          <w:rFonts w:ascii="Calibri"/>
          <w:spacing w:val="-3"/>
          <w:sz w:val="24"/>
        </w:rPr>
        <w:t xml:space="preserve"> </w:t>
      </w:r>
      <w:r w:rsidRPr="00150EDC">
        <w:rPr>
          <w:rFonts w:ascii="Calibri"/>
          <w:sz w:val="24"/>
        </w:rPr>
        <w:t>to</w:t>
      </w:r>
      <w:r w:rsidRPr="00150EDC">
        <w:rPr>
          <w:rFonts w:ascii="Calibri"/>
          <w:spacing w:val="-1"/>
          <w:sz w:val="24"/>
        </w:rPr>
        <w:t xml:space="preserve"> </w:t>
      </w:r>
      <w:r w:rsidRPr="00150EDC">
        <w:rPr>
          <w:rFonts w:ascii="Calibri"/>
          <w:sz w:val="24"/>
        </w:rPr>
        <w:t>share</w:t>
      </w:r>
      <w:r w:rsidRPr="00150EDC">
        <w:rPr>
          <w:rFonts w:ascii="Calibri"/>
          <w:spacing w:val="-3"/>
          <w:sz w:val="24"/>
        </w:rPr>
        <w:t xml:space="preserve"> </w:t>
      </w:r>
      <w:r w:rsidRPr="00150EDC">
        <w:rPr>
          <w:rFonts w:ascii="Calibri"/>
          <w:sz w:val="24"/>
        </w:rPr>
        <w:t>any information obtained during the Audit with the Relevant Authority.</w:t>
      </w:r>
    </w:p>
    <w:p w14:paraId="4E852045" w14:textId="77777777" w:rsidR="004C7180" w:rsidRPr="00150EDC" w:rsidRDefault="004C7180">
      <w:pPr>
        <w:pStyle w:val="BodyText"/>
        <w:spacing w:before="1"/>
        <w:rPr>
          <w:rFonts w:ascii="Calibri"/>
          <w:sz w:val="27"/>
        </w:rPr>
      </w:pPr>
    </w:p>
    <w:p w14:paraId="6433E73B" w14:textId="77777777" w:rsidR="004C7180" w:rsidRPr="00150EDC" w:rsidRDefault="00CF0754" w:rsidP="00B320C7">
      <w:pPr>
        <w:pStyle w:val="ListParagraph"/>
        <w:numPr>
          <w:ilvl w:val="1"/>
          <w:numId w:val="182"/>
        </w:numPr>
        <w:tabs>
          <w:tab w:val="left" w:pos="1066"/>
        </w:tabs>
        <w:ind w:right="1902"/>
        <w:rPr>
          <w:rFonts w:ascii="Calibri"/>
          <w:sz w:val="24"/>
        </w:rPr>
      </w:pPr>
      <w:r w:rsidRPr="00150EDC">
        <w:rPr>
          <w:rFonts w:ascii="Calibri"/>
          <w:sz w:val="24"/>
        </w:rPr>
        <w:t>If</w:t>
      </w:r>
      <w:r w:rsidRPr="00150EDC">
        <w:rPr>
          <w:rFonts w:ascii="Calibri"/>
          <w:spacing w:val="-2"/>
          <w:sz w:val="24"/>
        </w:rPr>
        <w:t xml:space="preserve"> </w:t>
      </w:r>
      <w:r w:rsidRPr="00150EDC">
        <w:rPr>
          <w:rFonts w:ascii="Calibri"/>
          <w:sz w:val="24"/>
        </w:rPr>
        <w:t>the</w:t>
      </w:r>
      <w:r w:rsidRPr="00150EDC">
        <w:rPr>
          <w:rFonts w:ascii="Calibri"/>
          <w:spacing w:val="-2"/>
          <w:sz w:val="24"/>
        </w:rPr>
        <w:t xml:space="preserve"> </w:t>
      </w:r>
      <w:r w:rsidRPr="00150EDC">
        <w:rPr>
          <w:rFonts w:ascii="Calibri"/>
          <w:sz w:val="24"/>
        </w:rPr>
        <w:t>Supplier</w:t>
      </w:r>
      <w:r w:rsidRPr="00150EDC">
        <w:rPr>
          <w:rFonts w:ascii="Calibri"/>
          <w:spacing w:val="-4"/>
          <w:sz w:val="24"/>
        </w:rPr>
        <w:t xml:space="preserve"> </w:t>
      </w:r>
      <w:r w:rsidRPr="00150EDC">
        <w:rPr>
          <w:rFonts w:ascii="Calibri"/>
          <w:sz w:val="24"/>
        </w:rPr>
        <w:t>is</w:t>
      </w:r>
      <w:r w:rsidRPr="00150EDC">
        <w:rPr>
          <w:rFonts w:ascii="Calibri"/>
          <w:spacing w:val="-3"/>
          <w:sz w:val="24"/>
        </w:rPr>
        <w:t xml:space="preserve"> </w:t>
      </w:r>
      <w:r w:rsidRPr="00150EDC">
        <w:rPr>
          <w:rFonts w:ascii="Calibri"/>
          <w:sz w:val="24"/>
        </w:rPr>
        <w:t>not</w:t>
      </w:r>
      <w:r w:rsidRPr="00150EDC">
        <w:rPr>
          <w:rFonts w:ascii="Calibri"/>
          <w:spacing w:val="-3"/>
          <w:sz w:val="24"/>
        </w:rPr>
        <w:t xml:space="preserve"> </w:t>
      </w:r>
      <w:r w:rsidRPr="00150EDC">
        <w:rPr>
          <w:rFonts w:ascii="Calibri"/>
          <w:sz w:val="24"/>
        </w:rPr>
        <w:t>providing</w:t>
      </w:r>
      <w:r w:rsidRPr="00150EDC">
        <w:rPr>
          <w:rFonts w:ascii="Calibri"/>
          <w:spacing w:val="-3"/>
          <w:sz w:val="24"/>
        </w:rPr>
        <w:t xml:space="preserve"> </w:t>
      </w:r>
      <w:r w:rsidRPr="00150EDC">
        <w:rPr>
          <w:rFonts w:ascii="Calibri"/>
          <w:sz w:val="24"/>
        </w:rPr>
        <w:t>any</w:t>
      </w:r>
      <w:r w:rsidRPr="00150EDC">
        <w:rPr>
          <w:rFonts w:ascii="Calibri"/>
          <w:spacing w:val="-3"/>
          <w:sz w:val="24"/>
        </w:rPr>
        <w:t xml:space="preserve"> </w:t>
      </w:r>
      <w:r w:rsidRPr="00150EDC">
        <w:rPr>
          <w:rFonts w:ascii="Calibri"/>
          <w:sz w:val="24"/>
        </w:rPr>
        <w:t>of</w:t>
      </w:r>
      <w:r w:rsidRPr="00150EDC">
        <w:rPr>
          <w:rFonts w:ascii="Calibri"/>
          <w:spacing w:val="-2"/>
          <w:sz w:val="24"/>
        </w:rPr>
        <w:t xml:space="preserve"> </w:t>
      </w:r>
      <w:r w:rsidRPr="00150EDC">
        <w:rPr>
          <w:rFonts w:ascii="Calibri"/>
          <w:sz w:val="24"/>
        </w:rPr>
        <w:t>the</w:t>
      </w:r>
      <w:r w:rsidRPr="00150EDC">
        <w:rPr>
          <w:rFonts w:ascii="Calibri"/>
          <w:spacing w:val="-5"/>
          <w:sz w:val="24"/>
        </w:rPr>
        <w:t xml:space="preserve"> </w:t>
      </w:r>
      <w:r w:rsidRPr="00150EDC">
        <w:rPr>
          <w:rFonts w:ascii="Calibri"/>
          <w:sz w:val="24"/>
        </w:rPr>
        <w:t>Deliverables,</w:t>
      </w:r>
      <w:r w:rsidRPr="00150EDC">
        <w:rPr>
          <w:rFonts w:ascii="Calibri"/>
          <w:spacing w:val="-2"/>
          <w:sz w:val="24"/>
        </w:rPr>
        <w:t xml:space="preserve"> </w:t>
      </w:r>
      <w:r w:rsidRPr="00150EDC">
        <w:rPr>
          <w:rFonts w:ascii="Calibri"/>
          <w:sz w:val="24"/>
        </w:rPr>
        <w:t>or</w:t>
      </w:r>
      <w:r w:rsidRPr="00150EDC">
        <w:rPr>
          <w:rFonts w:ascii="Calibri"/>
          <w:spacing w:val="-2"/>
          <w:sz w:val="24"/>
        </w:rPr>
        <w:t xml:space="preserve"> </w:t>
      </w:r>
      <w:r w:rsidRPr="00150EDC">
        <w:rPr>
          <w:rFonts w:ascii="Calibri"/>
          <w:sz w:val="24"/>
        </w:rPr>
        <w:t>is</w:t>
      </w:r>
      <w:r w:rsidRPr="00150EDC">
        <w:rPr>
          <w:rFonts w:ascii="Calibri"/>
          <w:spacing w:val="-5"/>
          <w:sz w:val="24"/>
        </w:rPr>
        <w:t xml:space="preserve"> </w:t>
      </w:r>
      <w:r w:rsidRPr="00150EDC">
        <w:rPr>
          <w:rFonts w:ascii="Calibri"/>
          <w:sz w:val="24"/>
        </w:rPr>
        <w:t>unable</w:t>
      </w:r>
      <w:r w:rsidRPr="00150EDC">
        <w:rPr>
          <w:rFonts w:ascii="Calibri"/>
          <w:spacing w:val="-4"/>
          <w:sz w:val="24"/>
        </w:rPr>
        <w:t xml:space="preserve"> </w:t>
      </w:r>
      <w:r w:rsidRPr="00150EDC">
        <w:rPr>
          <w:rFonts w:ascii="Calibri"/>
          <w:sz w:val="24"/>
        </w:rPr>
        <w:t>to</w:t>
      </w:r>
      <w:r w:rsidRPr="00150EDC">
        <w:rPr>
          <w:rFonts w:ascii="Calibri"/>
          <w:spacing w:val="-5"/>
          <w:sz w:val="24"/>
        </w:rPr>
        <w:t xml:space="preserve"> </w:t>
      </w:r>
      <w:r w:rsidRPr="00150EDC">
        <w:rPr>
          <w:rFonts w:ascii="Calibri"/>
          <w:sz w:val="24"/>
        </w:rPr>
        <w:t>provide</w:t>
      </w:r>
      <w:r w:rsidRPr="00150EDC">
        <w:rPr>
          <w:rFonts w:ascii="Calibri"/>
          <w:spacing w:val="-2"/>
          <w:sz w:val="24"/>
        </w:rPr>
        <w:t xml:space="preserve"> </w:t>
      </w:r>
      <w:r w:rsidRPr="00150EDC">
        <w:rPr>
          <w:rFonts w:ascii="Calibri"/>
          <w:sz w:val="24"/>
        </w:rPr>
        <w:t>them,</w:t>
      </w:r>
      <w:r w:rsidRPr="00150EDC">
        <w:rPr>
          <w:rFonts w:ascii="Calibri"/>
          <w:spacing w:val="-4"/>
          <w:sz w:val="24"/>
        </w:rPr>
        <w:t xml:space="preserve"> </w:t>
      </w:r>
      <w:r w:rsidRPr="00150EDC">
        <w:rPr>
          <w:rFonts w:ascii="Calibri"/>
          <w:sz w:val="24"/>
        </w:rPr>
        <w:t>it</w:t>
      </w:r>
      <w:r w:rsidRPr="00150EDC">
        <w:rPr>
          <w:rFonts w:ascii="Calibri"/>
          <w:spacing w:val="-4"/>
          <w:sz w:val="24"/>
        </w:rPr>
        <w:t xml:space="preserve"> </w:t>
      </w:r>
      <w:r w:rsidRPr="00150EDC">
        <w:rPr>
          <w:rFonts w:ascii="Calibri"/>
          <w:sz w:val="24"/>
        </w:rPr>
        <w:t xml:space="preserve">must </w:t>
      </w:r>
      <w:r w:rsidRPr="00150EDC">
        <w:rPr>
          <w:rFonts w:ascii="Calibri"/>
          <w:spacing w:val="-2"/>
          <w:sz w:val="24"/>
        </w:rPr>
        <w:t>immediately:</w:t>
      </w:r>
    </w:p>
    <w:p w14:paraId="363ABF6A" w14:textId="77777777" w:rsidR="004C7180" w:rsidRPr="00150EDC" w:rsidRDefault="004C7180">
      <w:pPr>
        <w:pStyle w:val="BodyText"/>
        <w:spacing w:before="3"/>
        <w:rPr>
          <w:rFonts w:ascii="Calibri"/>
          <w:sz w:val="27"/>
        </w:rPr>
      </w:pPr>
    </w:p>
    <w:p w14:paraId="06CE1E74" w14:textId="77777777" w:rsidR="004C7180" w:rsidRPr="00150EDC" w:rsidRDefault="00CF0754" w:rsidP="00B320C7">
      <w:pPr>
        <w:pStyle w:val="ListParagraph"/>
        <w:numPr>
          <w:ilvl w:val="0"/>
          <w:numId w:val="172"/>
        </w:numPr>
        <w:tabs>
          <w:tab w:val="left" w:pos="1491"/>
        </w:tabs>
        <w:ind w:left="1491" w:hanging="425"/>
        <w:rPr>
          <w:rFonts w:ascii="Calibri"/>
          <w:sz w:val="24"/>
        </w:rPr>
      </w:pPr>
      <w:r w:rsidRPr="00150EDC">
        <w:rPr>
          <w:rFonts w:ascii="Calibri"/>
          <w:sz w:val="24"/>
        </w:rPr>
        <w:t>tell</w:t>
      </w:r>
      <w:r w:rsidRPr="00150EDC">
        <w:rPr>
          <w:rFonts w:ascii="Calibri"/>
          <w:spacing w:val="-5"/>
          <w:sz w:val="24"/>
        </w:rPr>
        <w:t xml:space="preserve"> </w:t>
      </w:r>
      <w:r w:rsidRPr="00150EDC">
        <w:rPr>
          <w:rFonts w:ascii="Calibri"/>
          <w:sz w:val="24"/>
        </w:rPr>
        <w:t>the</w:t>
      </w:r>
      <w:r w:rsidRPr="00150EDC">
        <w:rPr>
          <w:rFonts w:ascii="Calibri"/>
          <w:spacing w:val="-5"/>
          <w:sz w:val="24"/>
        </w:rPr>
        <w:t xml:space="preserve"> </w:t>
      </w:r>
      <w:r w:rsidRPr="00150EDC">
        <w:rPr>
          <w:rFonts w:ascii="Calibri"/>
          <w:sz w:val="24"/>
        </w:rPr>
        <w:t>Relevant</w:t>
      </w:r>
      <w:r w:rsidRPr="00150EDC">
        <w:rPr>
          <w:rFonts w:ascii="Calibri"/>
          <w:spacing w:val="-2"/>
          <w:sz w:val="24"/>
        </w:rPr>
        <w:t xml:space="preserve"> </w:t>
      </w:r>
      <w:r w:rsidRPr="00150EDC">
        <w:rPr>
          <w:rFonts w:ascii="Calibri"/>
          <w:sz w:val="24"/>
        </w:rPr>
        <w:t>Authority</w:t>
      </w:r>
      <w:r w:rsidRPr="00150EDC">
        <w:rPr>
          <w:rFonts w:ascii="Calibri"/>
          <w:spacing w:val="-3"/>
          <w:sz w:val="24"/>
        </w:rPr>
        <w:t xml:space="preserve"> </w:t>
      </w:r>
      <w:r w:rsidRPr="00150EDC">
        <w:rPr>
          <w:rFonts w:ascii="Calibri"/>
          <w:sz w:val="24"/>
        </w:rPr>
        <w:t>and</w:t>
      </w:r>
      <w:r w:rsidRPr="00150EDC">
        <w:rPr>
          <w:rFonts w:ascii="Calibri"/>
          <w:spacing w:val="-2"/>
          <w:sz w:val="24"/>
        </w:rPr>
        <w:t xml:space="preserve"> </w:t>
      </w:r>
      <w:r w:rsidRPr="00150EDC">
        <w:rPr>
          <w:rFonts w:ascii="Calibri"/>
          <w:sz w:val="24"/>
        </w:rPr>
        <w:t>give</w:t>
      </w:r>
      <w:r w:rsidRPr="00150EDC">
        <w:rPr>
          <w:rFonts w:ascii="Calibri"/>
          <w:spacing w:val="-4"/>
          <w:sz w:val="24"/>
        </w:rPr>
        <w:t xml:space="preserve"> </w:t>
      </w:r>
      <w:r w:rsidRPr="00150EDC">
        <w:rPr>
          <w:rFonts w:ascii="Calibri"/>
          <w:spacing w:val="-2"/>
          <w:sz w:val="24"/>
        </w:rPr>
        <w:t>reasons;</w:t>
      </w:r>
    </w:p>
    <w:p w14:paraId="2C72EC8F" w14:textId="77777777" w:rsidR="004C7180" w:rsidRPr="00150EDC" w:rsidRDefault="00CF0754" w:rsidP="00B320C7">
      <w:pPr>
        <w:pStyle w:val="ListParagraph"/>
        <w:numPr>
          <w:ilvl w:val="0"/>
          <w:numId w:val="172"/>
        </w:numPr>
        <w:tabs>
          <w:tab w:val="left" w:pos="1491"/>
        </w:tabs>
        <w:spacing w:before="20"/>
        <w:ind w:left="1491" w:hanging="425"/>
        <w:rPr>
          <w:rFonts w:ascii="Calibri"/>
          <w:sz w:val="24"/>
        </w:rPr>
      </w:pPr>
      <w:r w:rsidRPr="00150EDC">
        <w:rPr>
          <w:rFonts w:ascii="Calibri"/>
          <w:sz w:val="24"/>
        </w:rPr>
        <w:t>propose</w:t>
      </w:r>
      <w:r w:rsidRPr="00150EDC">
        <w:rPr>
          <w:rFonts w:ascii="Calibri"/>
          <w:spacing w:val="-4"/>
          <w:sz w:val="24"/>
        </w:rPr>
        <w:t xml:space="preserve"> </w:t>
      </w:r>
      <w:r w:rsidRPr="00150EDC">
        <w:rPr>
          <w:rFonts w:ascii="Calibri"/>
          <w:sz w:val="24"/>
        </w:rPr>
        <w:t>corrective</w:t>
      </w:r>
      <w:r w:rsidRPr="00150EDC">
        <w:rPr>
          <w:rFonts w:ascii="Calibri"/>
          <w:spacing w:val="-4"/>
          <w:sz w:val="24"/>
        </w:rPr>
        <w:t xml:space="preserve"> </w:t>
      </w:r>
      <w:r w:rsidRPr="00150EDC">
        <w:rPr>
          <w:rFonts w:ascii="Calibri"/>
          <w:sz w:val="24"/>
        </w:rPr>
        <w:t>action;</w:t>
      </w:r>
      <w:r w:rsidRPr="00150EDC">
        <w:rPr>
          <w:rFonts w:ascii="Calibri"/>
          <w:spacing w:val="-3"/>
          <w:sz w:val="24"/>
        </w:rPr>
        <w:t xml:space="preserve"> </w:t>
      </w:r>
      <w:r w:rsidRPr="00150EDC">
        <w:rPr>
          <w:rFonts w:ascii="Calibri"/>
          <w:spacing w:val="-5"/>
          <w:sz w:val="24"/>
        </w:rPr>
        <w:t>and</w:t>
      </w:r>
    </w:p>
    <w:p w14:paraId="4FE9E810" w14:textId="77777777" w:rsidR="004C7180" w:rsidRPr="00150EDC" w:rsidRDefault="00CF0754" w:rsidP="00B320C7">
      <w:pPr>
        <w:pStyle w:val="ListParagraph"/>
        <w:numPr>
          <w:ilvl w:val="0"/>
          <w:numId w:val="172"/>
        </w:numPr>
        <w:tabs>
          <w:tab w:val="left" w:pos="1492"/>
        </w:tabs>
        <w:spacing w:before="19"/>
        <w:ind w:left="1492" w:hanging="426"/>
        <w:rPr>
          <w:rFonts w:ascii="Calibri"/>
          <w:sz w:val="24"/>
        </w:rPr>
      </w:pPr>
      <w:r w:rsidRPr="00150EDC">
        <w:rPr>
          <w:rFonts w:ascii="Calibri"/>
          <w:sz w:val="24"/>
        </w:rPr>
        <w:t>provide</w:t>
      </w:r>
      <w:r w:rsidRPr="00150EDC">
        <w:rPr>
          <w:rFonts w:ascii="Calibri"/>
          <w:spacing w:val="-7"/>
          <w:sz w:val="24"/>
        </w:rPr>
        <w:t xml:space="preserve"> </w:t>
      </w:r>
      <w:r w:rsidRPr="00150EDC">
        <w:rPr>
          <w:rFonts w:ascii="Calibri"/>
          <w:sz w:val="24"/>
        </w:rPr>
        <w:t>a</w:t>
      </w:r>
      <w:r w:rsidRPr="00150EDC">
        <w:rPr>
          <w:rFonts w:ascii="Calibri"/>
          <w:spacing w:val="48"/>
          <w:sz w:val="24"/>
        </w:rPr>
        <w:t xml:space="preserve"> </w:t>
      </w:r>
      <w:r w:rsidRPr="00150EDC">
        <w:rPr>
          <w:rFonts w:ascii="Calibri"/>
          <w:sz w:val="24"/>
        </w:rPr>
        <w:t>deadline</w:t>
      </w:r>
      <w:r w:rsidRPr="00150EDC">
        <w:rPr>
          <w:rFonts w:ascii="Calibri"/>
          <w:spacing w:val="-4"/>
          <w:sz w:val="24"/>
        </w:rPr>
        <w:t xml:space="preserve"> </w:t>
      </w:r>
      <w:r w:rsidRPr="00150EDC">
        <w:rPr>
          <w:rFonts w:ascii="Calibri"/>
          <w:sz w:val="24"/>
        </w:rPr>
        <w:t>for</w:t>
      </w:r>
      <w:r w:rsidRPr="00150EDC">
        <w:rPr>
          <w:rFonts w:ascii="Calibri"/>
          <w:spacing w:val="-2"/>
          <w:sz w:val="24"/>
        </w:rPr>
        <w:t xml:space="preserve"> </w:t>
      </w:r>
      <w:r w:rsidRPr="00150EDC">
        <w:rPr>
          <w:rFonts w:ascii="Calibri"/>
          <w:sz w:val="24"/>
        </w:rPr>
        <w:t>completing</w:t>
      </w:r>
      <w:r w:rsidRPr="00150EDC">
        <w:rPr>
          <w:rFonts w:ascii="Calibri"/>
          <w:spacing w:val="-4"/>
          <w:sz w:val="24"/>
        </w:rPr>
        <w:t xml:space="preserve"> </w:t>
      </w:r>
      <w:r w:rsidRPr="00150EDC">
        <w:rPr>
          <w:rFonts w:ascii="Calibri"/>
          <w:sz w:val="24"/>
        </w:rPr>
        <w:t>the</w:t>
      </w:r>
      <w:r w:rsidRPr="00150EDC">
        <w:rPr>
          <w:rFonts w:ascii="Calibri"/>
          <w:spacing w:val="-2"/>
          <w:sz w:val="24"/>
        </w:rPr>
        <w:t xml:space="preserve"> </w:t>
      </w:r>
      <w:r w:rsidRPr="00150EDC">
        <w:rPr>
          <w:rFonts w:ascii="Calibri"/>
          <w:sz w:val="24"/>
        </w:rPr>
        <w:t>corrective</w:t>
      </w:r>
      <w:r w:rsidRPr="00150EDC">
        <w:rPr>
          <w:rFonts w:ascii="Calibri"/>
          <w:spacing w:val="-4"/>
          <w:sz w:val="24"/>
        </w:rPr>
        <w:t xml:space="preserve"> </w:t>
      </w:r>
      <w:r w:rsidRPr="00150EDC">
        <w:rPr>
          <w:rFonts w:ascii="Calibri"/>
          <w:spacing w:val="-2"/>
          <w:sz w:val="24"/>
        </w:rPr>
        <w:t>action.</w:t>
      </w:r>
    </w:p>
    <w:p w14:paraId="5B789DE7" w14:textId="77777777" w:rsidR="004C7180" w:rsidRPr="00150EDC" w:rsidRDefault="004C7180">
      <w:pPr>
        <w:rPr>
          <w:rFonts w:ascii="Calibri"/>
          <w:sz w:val="24"/>
        </w:rPr>
        <w:sectPr w:rsidR="004C7180" w:rsidRPr="00150EDC">
          <w:pgSz w:w="11910" w:h="16840"/>
          <w:pgMar w:top="620" w:right="0" w:bottom="2460" w:left="40" w:header="403" w:footer="2245" w:gutter="0"/>
          <w:cols w:space="720"/>
        </w:sectPr>
      </w:pPr>
    </w:p>
    <w:p w14:paraId="3D4E9CEE" w14:textId="77777777" w:rsidR="004C7180" w:rsidRPr="00150EDC" w:rsidRDefault="004C7180">
      <w:pPr>
        <w:pStyle w:val="BodyText"/>
        <w:spacing w:before="11"/>
        <w:rPr>
          <w:rFonts w:ascii="Calibri"/>
          <w:sz w:val="17"/>
        </w:rPr>
      </w:pPr>
    </w:p>
    <w:p w14:paraId="0BE73386" w14:textId="77777777" w:rsidR="004C7180" w:rsidRPr="00150EDC" w:rsidRDefault="00CF0754" w:rsidP="00B320C7">
      <w:pPr>
        <w:pStyle w:val="ListParagraph"/>
        <w:numPr>
          <w:ilvl w:val="1"/>
          <w:numId w:val="182"/>
        </w:numPr>
        <w:tabs>
          <w:tab w:val="left" w:pos="1066"/>
        </w:tabs>
        <w:spacing w:before="52" w:line="242" w:lineRule="auto"/>
        <w:ind w:right="921"/>
        <w:rPr>
          <w:rFonts w:ascii="Calibri"/>
          <w:sz w:val="24"/>
        </w:rPr>
      </w:pPr>
      <w:r w:rsidRPr="00150EDC">
        <w:rPr>
          <w:rFonts w:ascii="Calibri"/>
          <w:sz w:val="24"/>
        </w:rPr>
        <w:t>The</w:t>
      </w:r>
      <w:r w:rsidRPr="00150EDC">
        <w:rPr>
          <w:rFonts w:ascii="Calibri"/>
          <w:spacing w:val="-2"/>
          <w:sz w:val="24"/>
        </w:rPr>
        <w:t xml:space="preserve"> </w:t>
      </w:r>
      <w:r w:rsidRPr="00150EDC">
        <w:rPr>
          <w:rFonts w:ascii="Calibri"/>
          <w:sz w:val="24"/>
        </w:rPr>
        <w:t>Supplier</w:t>
      </w:r>
      <w:r w:rsidRPr="00150EDC">
        <w:rPr>
          <w:rFonts w:ascii="Calibri"/>
          <w:spacing w:val="-4"/>
          <w:sz w:val="24"/>
        </w:rPr>
        <w:t xml:space="preserve"> </w:t>
      </w:r>
      <w:r w:rsidRPr="00150EDC">
        <w:rPr>
          <w:rFonts w:ascii="Calibri"/>
          <w:sz w:val="24"/>
        </w:rPr>
        <w:t>must</w:t>
      </w:r>
      <w:r w:rsidRPr="00150EDC">
        <w:rPr>
          <w:rFonts w:ascii="Calibri"/>
          <w:spacing w:val="-2"/>
          <w:sz w:val="24"/>
        </w:rPr>
        <w:t xml:space="preserve"> </w:t>
      </w:r>
      <w:r w:rsidRPr="00150EDC">
        <w:rPr>
          <w:rFonts w:ascii="Calibri"/>
          <w:sz w:val="24"/>
        </w:rPr>
        <w:t>provide</w:t>
      </w:r>
      <w:r w:rsidRPr="00150EDC">
        <w:rPr>
          <w:rFonts w:ascii="Calibri"/>
          <w:spacing w:val="-2"/>
          <w:sz w:val="24"/>
        </w:rPr>
        <w:t xml:space="preserve"> </w:t>
      </w:r>
      <w:r w:rsidRPr="00150EDC">
        <w:rPr>
          <w:rFonts w:ascii="Calibri"/>
          <w:sz w:val="24"/>
        </w:rPr>
        <w:t>CCS</w:t>
      </w:r>
      <w:r w:rsidRPr="00150EDC">
        <w:rPr>
          <w:rFonts w:ascii="Calibri"/>
          <w:spacing w:val="-3"/>
          <w:sz w:val="24"/>
        </w:rPr>
        <w:t xml:space="preserve"> </w:t>
      </w:r>
      <w:r w:rsidRPr="00150EDC">
        <w:rPr>
          <w:rFonts w:ascii="Calibri"/>
          <w:sz w:val="24"/>
        </w:rPr>
        <w:t>with</w:t>
      </w:r>
      <w:r w:rsidRPr="00150EDC">
        <w:rPr>
          <w:rFonts w:ascii="Calibri"/>
          <w:spacing w:val="-2"/>
          <w:sz w:val="24"/>
        </w:rPr>
        <w:t xml:space="preserve"> </w:t>
      </w:r>
      <w:r w:rsidRPr="00150EDC">
        <w:rPr>
          <w:rFonts w:ascii="Calibri"/>
          <w:sz w:val="24"/>
        </w:rPr>
        <w:t>a</w:t>
      </w:r>
      <w:r w:rsidRPr="00150EDC">
        <w:rPr>
          <w:rFonts w:ascii="Calibri"/>
          <w:spacing w:val="-5"/>
          <w:sz w:val="24"/>
        </w:rPr>
        <w:t xml:space="preserve"> </w:t>
      </w:r>
      <w:r w:rsidRPr="00150EDC">
        <w:rPr>
          <w:rFonts w:ascii="Calibri"/>
          <w:sz w:val="24"/>
        </w:rPr>
        <w:t>Self</w:t>
      </w:r>
      <w:r w:rsidRPr="00150EDC">
        <w:rPr>
          <w:rFonts w:ascii="Calibri"/>
          <w:spacing w:val="-2"/>
          <w:sz w:val="24"/>
        </w:rPr>
        <w:t xml:space="preserve"> </w:t>
      </w:r>
      <w:r w:rsidRPr="00150EDC">
        <w:rPr>
          <w:rFonts w:ascii="Calibri"/>
          <w:sz w:val="24"/>
        </w:rPr>
        <w:t>Audit</w:t>
      </w:r>
      <w:r w:rsidRPr="00150EDC">
        <w:rPr>
          <w:rFonts w:ascii="Calibri"/>
          <w:spacing w:val="-2"/>
          <w:sz w:val="24"/>
        </w:rPr>
        <w:t xml:space="preserve"> </w:t>
      </w:r>
      <w:r w:rsidRPr="00150EDC">
        <w:rPr>
          <w:rFonts w:ascii="Calibri"/>
          <w:sz w:val="24"/>
        </w:rPr>
        <w:t>Certificate</w:t>
      </w:r>
      <w:r w:rsidRPr="00150EDC">
        <w:rPr>
          <w:rFonts w:ascii="Calibri"/>
          <w:spacing w:val="-2"/>
          <w:sz w:val="24"/>
        </w:rPr>
        <w:t xml:space="preserve"> </w:t>
      </w:r>
      <w:r w:rsidRPr="00150EDC">
        <w:rPr>
          <w:rFonts w:ascii="Calibri"/>
          <w:sz w:val="24"/>
        </w:rPr>
        <w:t>supported</w:t>
      </w:r>
      <w:r w:rsidRPr="00150EDC">
        <w:rPr>
          <w:rFonts w:ascii="Calibri"/>
          <w:spacing w:val="-4"/>
          <w:sz w:val="24"/>
        </w:rPr>
        <w:t xml:space="preserve"> </w:t>
      </w:r>
      <w:r w:rsidRPr="00150EDC">
        <w:rPr>
          <w:rFonts w:ascii="Calibri"/>
          <w:sz w:val="24"/>
        </w:rPr>
        <w:t>by</w:t>
      </w:r>
      <w:r w:rsidRPr="00150EDC">
        <w:rPr>
          <w:rFonts w:ascii="Calibri"/>
          <w:spacing w:val="-3"/>
          <w:sz w:val="24"/>
        </w:rPr>
        <w:t xml:space="preserve"> </w:t>
      </w:r>
      <w:r w:rsidRPr="00150EDC">
        <w:rPr>
          <w:rFonts w:ascii="Calibri"/>
          <w:sz w:val="24"/>
        </w:rPr>
        <w:t>an</w:t>
      </w:r>
      <w:r w:rsidRPr="00150EDC">
        <w:rPr>
          <w:rFonts w:ascii="Calibri"/>
          <w:spacing w:val="-2"/>
          <w:sz w:val="24"/>
        </w:rPr>
        <w:t xml:space="preserve"> </w:t>
      </w:r>
      <w:r w:rsidRPr="00150EDC">
        <w:rPr>
          <w:rFonts w:ascii="Calibri"/>
          <w:sz w:val="24"/>
        </w:rPr>
        <w:t>audit</w:t>
      </w:r>
      <w:r w:rsidRPr="00150EDC">
        <w:rPr>
          <w:rFonts w:ascii="Calibri"/>
          <w:spacing w:val="-4"/>
          <w:sz w:val="24"/>
        </w:rPr>
        <w:t xml:space="preserve"> </w:t>
      </w:r>
      <w:r w:rsidRPr="00150EDC">
        <w:rPr>
          <w:rFonts w:ascii="Calibri"/>
          <w:sz w:val="24"/>
        </w:rPr>
        <w:t>report</w:t>
      </w:r>
      <w:r w:rsidRPr="00150EDC">
        <w:rPr>
          <w:rFonts w:ascii="Calibri"/>
          <w:spacing w:val="-2"/>
          <w:sz w:val="24"/>
        </w:rPr>
        <w:t xml:space="preserve"> </w:t>
      </w:r>
      <w:r w:rsidRPr="00150EDC">
        <w:rPr>
          <w:rFonts w:ascii="Calibri"/>
          <w:sz w:val="24"/>
        </w:rPr>
        <w:t>at</w:t>
      </w:r>
      <w:r w:rsidRPr="00150EDC">
        <w:rPr>
          <w:rFonts w:ascii="Calibri"/>
          <w:spacing w:val="-2"/>
          <w:sz w:val="24"/>
        </w:rPr>
        <w:t xml:space="preserve"> </w:t>
      </w:r>
      <w:r w:rsidRPr="00150EDC">
        <w:rPr>
          <w:rFonts w:ascii="Calibri"/>
          <w:sz w:val="24"/>
        </w:rPr>
        <w:t>the</w:t>
      </w:r>
      <w:r w:rsidRPr="00150EDC">
        <w:rPr>
          <w:rFonts w:ascii="Calibri"/>
          <w:spacing w:val="-4"/>
          <w:sz w:val="24"/>
        </w:rPr>
        <w:t xml:space="preserve"> </w:t>
      </w:r>
      <w:r w:rsidRPr="00150EDC">
        <w:rPr>
          <w:rFonts w:ascii="Calibri"/>
          <w:sz w:val="24"/>
        </w:rPr>
        <w:t>end</w:t>
      </w:r>
      <w:r w:rsidRPr="00150EDC">
        <w:rPr>
          <w:rFonts w:ascii="Calibri"/>
          <w:spacing w:val="-4"/>
          <w:sz w:val="24"/>
        </w:rPr>
        <w:t xml:space="preserve"> </w:t>
      </w:r>
      <w:r w:rsidRPr="00150EDC">
        <w:rPr>
          <w:rFonts w:ascii="Calibri"/>
          <w:sz w:val="24"/>
        </w:rPr>
        <w:t>of each Contract Year. The report must contain:</w:t>
      </w:r>
    </w:p>
    <w:p w14:paraId="3FB06615" w14:textId="77777777" w:rsidR="004C7180" w:rsidRPr="00150EDC" w:rsidRDefault="004C7180">
      <w:pPr>
        <w:pStyle w:val="BodyText"/>
        <w:rPr>
          <w:rFonts w:ascii="Calibri"/>
          <w:sz w:val="27"/>
        </w:rPr>
      </w:pPr>
    </w:p>
    <w:p w14:paraId="6D491BA0" w14:textId="77777777" w:rsidR="004C7180" w:rsidRPr="00150EDC" w:rsidRDefault="00CF0754" w:rsidP="00B320C7">
      <w:pPr>
        <w:pStyle w:val="ListParagraph"/>
        <w:numPr>
          <w:ilvl w:val="0"/>
          <w:numId w:val="171"/>
        </w:numPr>
        <w:tabs>
          <w:tab w:val="left" w:pos="1491"/>
        </w:tabs>
        <w:ind w:left="1491" w:hanging="425"/>
        <w:rPr>
          <w:rFonts w:ascii="Calibri"/>
          <w:sz w:val="24"/>
        </w:rPr>
      </w:pPr>
      <w:r w:rsidRPr="00150EDC">
        <w:rPr>
          <w:rFonts w:ascii="Calibri"/>
          <w:sz w:val="24"/>
        </w:rPr>
        <w:t>the</w:t>
      </w:r>
      <w:r w:rsidRPr="00150EDC">
        <w:rPr>
          <w:rFonts w:ascii="Calibri"/>
          <w:spacing w:val="-5"/>
          <w:sz w:val="24"/>
        </w:rPr>
        <w:t xml:space="preserve"> </w:t>
      </w:r>
      <w:r w:rsidRPr="00150EDC">
        <w:rPr>
          <w:rFonts w:ascii="Calibri"/>
          <w:sz w:val="24"/>
        </w:rPr>
        <w:t>methodology</w:t>
      </w:r>
      <w:r w:rsidRPr="00150EDC">
        <w:rPr>
          <w:rFonts w:ascii="Calibri"/>
          <w:spacing w:val="-3"/>
          <w:sz w:val="24"/>
        </w:rPr>
        <w:t xml:space="preserve"> </w:t>
      </w:r>
      <w:r w:rsidRPr="00150EDC">
        <w:rPr>
          <w:rFonts w:ascii="Calibri"/>
          <w:sz w:val="24"/>
        </w:rPr>
        <w:t>of</w:t>
      </w:r>
      <w:r w:rsidRPr="00150EDC">
        <w:rPr>
          <w:rFonts w:ascii="Calibri"/>
          <w:spacing w:val="-3"/>
          <w:sz w:val="24"/>
        </w:rPr>
        <w:t xml:space="preserve"> </w:t>
      </w:r>
      <w:r w:rsidRPr="00150EDC">
        <w:rPr>
          <w:rFonts w:ascii="Calibri"/>
          <w:sz w:val="24"/>
        </w:rPr>
        <w:t>the</w:t>
      </w:r>
      <w:r w:rsidRPr="00150EDC">
        <w:rPr>
          <w:rFonts w:ascii="Calibri"/>
          <w:spacing w:val="-1"/>
          <w:sz w:val="24"/>
        </w:rPr>
        <w:t xml:space="preserve"> </w:t>
      </w:r>
      <w:r w:rsidRPr="00150EDC">
        <w:rPr>
          <w:rFonts w:ascii="Calibri"/>
          <w:spacing w:val="-2"/>
          <w:sz w:val="24"/>
        </w:rPr>
        <w:t>review;</w:t>
      </w:r>
    </w:p>
    <w:p w14:paraId="28B5CDD3" w14:textId="77777777" w:rsidR="004C7180" w:rsidRPr="00150EDC" w:rsidRDefault="00CF0754" w:rsidP="00B320C7">
      <w:pPr>
        <w:pStyle w:val="ListParagraph"/>
        <w:numPr>
          <w:ilvl w:val="0"/>
          <w:numId w:val="171"/>
        </w:numPr>
        <w:tabs>
          <w:tab w:val="left" w:pos="1491"/>
        </w:tabs>
        <w:spacing w:before="20"/>
        <w:ind w:left="1491" w:hanging="425"/>
        <w:rPr>
          <w:rFonts w:ascii="Calibri"/>
          <w:sz w:val="24"/>
        </w:rPr>
      </w:pPr>
      <w:r w:rsidRPr="00150EDC">
        <w:rPr>
          <w:rFonts w:ascii="Calibri"/>
          <w:sz w:val="24"/>
        </w:rPr>
        <w:t>the</w:t>
      </w:r>
      <w:r w:rsidRPr="00150EDC">
        <w:rPr>
          <w:rFonts w:ascii="Calibri"/>
          <w:spacing w:val="-7"/>
          <w:sz w:val="24"/>
        </w:rPr>
        <w:t xml:space="preserve"> </w:t>
      </w:r>
      <w:r w:rsidRPr="00150EDC">
        <w:rPr>
          <w:rFonts w:ascii="Calibri"/>
          <w:sz w:val="24"/>
        </w:rPr>
        <w:t>sampling</w:t>
      </w:r>
      <w:r w:rsidRPr="00150EDC">
        <w:rPr>
          <w:rFonts w:ascii="Calibri"/>
          <w:spacing w:val="-6"/>
          <w:sz w:val="24"/>
        </w:rPr>
        <w:t xml:space="preserve"> </w:t>
      </w:r>
      <w:r w:rsidRPr="00150EDC">
        <w:rPr>
          <w:rFonts w:ascii="Calibri"/>
          <w:sz w:val="24"/>
        </w:rPr>
        <w:t>techniques</w:t>
      </w:r>
      <w:r w:rsidRPr="00150EDC">
        <w:rPr>
          <w:rFonts w:ascii="Calibri"/>
          <w:spacing w:val="-6"/>
          <w:sz w:val="24"/>
        </w:rPr>
        <w:t xml:space="preserve"> </w:t>
      </w:r>
      <w:r w:rsidRPr="00150EDC">
        <w:rPr>
          <w:rFonts w:ascii="Calibri"/>
          <w:spacing w:val="-2"/>
          <w:sz w:val="24"/>
        </w:rPr>
        <w:t>applied;</w:t>
      </w:r>
    </w:p>
    <w:p w14:paraId="61A5E580" w14:textId="77777777" w:rsidR="004C7180" w:rsidRPr="00150EDC" w:rsidRDefault="00CF0754" w:rsidP="00B320C7">
      <w:pPr>
        <w:pStyle w:val="ListParagraph"/>
        <w:numPr>
          <w:ilvl w:val="0"/>
          <w:numId w:val="171"/>
        </w:numPr>
        <w:tabs>
          <w:tab w:val="left" w:pos="1492"/>
        </w:tabs>
        <w:spacing w:before="19"/>
        <w:ind w:left="1492" w:hanging="426"/>
        <w:rPr>
          <w:rFonts w:ascii="Calibri"/>
          <w:sz w:val="24"/>
        </w:rPr>
      </w:pPr>
      <w:r w:rsidRPr="00150EDC">
        <w:rPr>
          <w:rFonts w:ascii="Calibri"/>
          <w:sz w:val="24"/>
        </w:rPr>
        <w:t>details</w:t>
      </w:r>
      <w:r w:rsidRPr="00150EDC">
        <w:rPr>
          <w:rFonts w:ascii="Calibri"/>
          <w:spacing w:val="-4"/>
          <w:sz w:val="24"/>
        </w:rPr>
        <w:t xml:space="preserve"> </w:t>
      </w:r>
      <w:r w:rsidRPr="00150EDC">
        <w:rPr>
          <w:rFonts w:ascii="Calibri"/>
          <w:sz w:val="24"/>
        </w:rPr>
        <w:t>of</w:t>
      </w:r>
      <w:r w:rsidRPr="00150EDC">
        <w:rPr>
          <w:rFonts w:ascii="Calibri"/>
          <w:spacing w:val="-3"/>
          <w:sz w:val="24"/>
        </w:rPr>
        <w:t xml:space="preserve"> </w:t>
      </w:r>
      <w:r w:rsidRPr="00150EDC">
        <w:rPr>
          <w:rFonts w:ascii="Calibri"/>
          <w:sz w:val="24"/>
        </w:rPr>
        <w:t>any</w:t>
      </w:r>
      <w:r w:rsidRPr="00150EDC">
        <w:rPr>
          <w:rFonts w:ascii="Calibri"/>
          <w:spacing w:val="-4"/>
          <w:sz w:val="24"/>
        </w:rPr>
        <w:t xml:space="preserve"> </w:t>
      </w:r>
      <w:r w:rsidRPr="00150EDC">
        <w:rPr>
          <w:rFonts w:ascii="Calibri"/>
          <w:sz w:val="24"/>
        </w:rPr>
        <w:t>issues;</w:t>
      </w:r>
      <w:r w:rsidRPr="00150EDC">
        <w:rPr>
          <w:rFonts w:ascii="Calibri"/>
          <w:spacing w:val="-2"/>
          <w:sz w:val="24"/>
        </w:rPr>
        <w:t xml:space="preserve"> </w:t>
      </w:r>
      <w:r w:rsidRPr="00150EDC">
        <w:rPr>
          <w:rFonts w:ascii="Calibri"/>
          <w:spacing w:val="-5"/>
          <w:sz w:val="24"/>
        </w:rPr>
        <w:t>and</w:t>
      </w:r>
    </w:p>
    <w:p w14:paraId="34625523" w14:textId="77777777" w:rsidR="004C7180" w:rsidRPr="00150EDC" w:rsidRDefault="00CF0754" w:rsidP="00B320C7">
      <w:pPr>
        <w:pStyle w:val="ListParagraph"/>
        <w:numPr>
          <w:ilvl w:val="0"/>
          <w:numId w:val="171"/>
        </w:numPr>
        <w:tabs>
          <w:tab w:val="left" w:pos="1491"/>
        </w:tabs>
        <w:spacing w:before="21"/>
        <w:ind w:left="1491" w:hanging="425"/>
        <w:rPr>
          <w:rFonts w:ascii="Calibri"/>
          <w:sz w:val="24"/>
        </w:rPr>
      </w:pPr>
      <w:r w:rsidRPr="00150EDC">
        <w:rPr>
          <w:rFonts w:ascii="Calibri"/>
          <w:sz w:val="24"/>
        </w:rPr>
        <w:t>any</w:t>
      </w:r>
      <w:r w:rsidRPr="00150EDC">
        <w:rPr>
          <w:rFonts w:ascii="Calibri"/>
          <w:spacing w:val="-2"/>
          <w:sz w:val="24"/>
        </w:rPr>
        <w:t xml:space="preserve"> </w:t>
      </w:r>
      <w:r w:rsidRPr="00150EDC">
        <w:rPr>
          <w:rFonts w:ascii="Calibri"/>
          <w:sz w:val="24"/>
        </w:rPr>
        <w:t>remedial</w:t>
      </w:r>
      <w:r w:rsidRPr="00150EDC">
        <w:rPr>
          <w:rFonts w:ascii="Calibri"/>
          <w:spacing w:val="-4"/>
          <w:sz w:val="24"/>
        </w:rPr>
        <w:t xml:space="preserve"> </w:t>
      </w:r>
      <w:r w:rsidRPr="00150EDC">
        <w:rPr>
          <w:rFonts w:ascii="Calibri"/>
          <w:sz w:val="24"/>
        </w:rPr>
        <w:t xml:space="preserve">action </w:t>
      </w:r>
      <w:r w:rsidRPr="00150EDC">
        <w:rPr>
          <w:rFonts w:ascii="Calibri"/>
          <w:spacing w:val="-2"/>
          <w:sz w:val="24"/>
        </w:rPr>
        <w:t>taken.</w:t>
      </w:r>
    </w:p>
    <w:p w14:paraId="3B69004C" w14:textId="77777777" w:rsidR="004C7180" w:rsidRPr="00150EDC" w:rsidRDefault="004C7180">
      <w:pPr>
        <w:pStyle w:val="BodyText"/>
        <w:spacing w:before="1"/>
        <w:rPr>
          <w:rFonts w:ascii="Calibri"/>
          <w:sz w:val="27"/>
        </w:rPr>
      </w:pPr>
    </w:p>
    <w:p w14:paraId="463D429E" w14:textId="77777777" w:rsidR="004C7180" w:rsidRPr="00150EDC" w:rsidRDefault="00CF0754" w:rsidP="00B320C7">
      <w:pPr>
        <w:pStyle w:val="ListParagraph"/>
        <w:numPr>
          <w:ilvl w:val="1"/>
          <w:numId w:val="182"/>
        </w:numPr>
        <w:tabs>
          <w:tab w:val="left" w:pos="1066"/>
        </w:tabs>
        <w:spacing w:line="242" w:lineRule="auto"/>
        <w:ind w:right="1535"/>
        <w:rPr>
          <w:rFonts w:ascii="Calibri" w:hAnsi="Calibri"/>
          <w:sz w:val="24"/>
        </w:rPr>
      </w:pPr>
      <w:r w:rsidRPr="00150EDC">
        <w:rPr>
          <w:rFonts w:ascii="Calibri" w:hAnsi="Calibri"/>
          <w:sz w:val="24"/>
        </w:rPr>
        <w:t>The</w:t>
      </w:r>
      <w:r w:rsidRPr="00150EDC">
        <w:rPr>
          <w:rFonts w:ascii="Calibri" w:hAnsi="Calibri"/>
          <w:spacing w:val="-2"/>
          <w:sz w:val="24"/>
        </w:rPr>
        <w:t xml:space="preserve"> </w:t>
      </w:r>
      <w:r w:rsidRPr="00150EDC">
        <w:rPr>
          <w:rFonts w:ascii="Calibri" w:hAnsi="Calibri"/>
          <w:sz w:val="24"/>
        </w:rPr>
        <w:t>Self</w:t>
      </w:r>
      <w:r w:rsidRPr="00150EDC">
        <w:rPr>
          <w:rFonts w:ascii="Calibri" w:hAnsi="Calibri"/>
          <w:spacing w:val="-4"/>
          <w:sz w:val="24"/>
        </w:rPr>
        <w:t xml:space="preserve"> </w:t>
      </w:r>
      <w:r w:rsidRPr="00150EDC">
        <w:rPr>
          <w:rFonts w:ascii="Calibri" w:hAnsi="Calibri"/>
          <w:sz w:val="24"/>
        </w:rPr>
        <w:t>Audit</w:t>
      </w:r>
      <w:r w:rsidRPr="00150EDC">
        <w:rPr>
          <w:rFonts w:ascii="Calibri" w:hAnsi="Calibri"/>
          <w:spacing w:val="-4"/>
          <w:sz w:val="24"/>
        </w:rPr>
        <w:t xml:space="preserve"> </w:t>
      </w:r>
      <w:r w:rsidRPr="00150EDC">
        <w:rPr>
          <w:rFonts w:ascii="Calibri" w:hAnsi="Calibri"/>
          <w:sz w:val="24"/>
        </w:rPr>
        <w:t>Certificate</w:t>
      </w:r>
      <w:r w:rsidRPr="00150EDC">
        <w:rPr>
          <w:rFonts w:ascii="Calibri" w:hAnsi="Calibri"/>
          <w:spacing w:val="-5"/>
          <w:sz w:val="24"/>
        </w:rPr>
        <w:t xml:space="preserve"> </w:t>
      </w:r>
      <w:r w:rsidRPr="00150EDC">
        <w:rPr>
          <w:rFonts w:ascii="Calibri" w:hAnsi="Calibri"/>
          <w:sz w:val="24"/>
        </w:rPr>
        <w:t>must</w:t>
      </w:r>
      <w:r w:rsidRPr="00150EDC">
        <w:rPr>
          <w:rFonts w:ascii="Calibri" w:hAnsi="Calibri"/>
          <w:spacing w:val="-4"/>
          <w:sz w:val="24"/>
        </w:rPr>
        <w:t xml:space="preserve"> </w:t>
      </w:r>
      <w:r w:rsidRPr="00150EDC">
        <w:rPr>
          <w:rFonts w:ascii="Calibri" w:hAnsi="Calibri"/>
          <w:sz w:val="24"/>
        </w:rPr>
        <w:t>be</w:t>
      </w:r>
      <w:r w:rsidRPr="00150EDC">
        <w:rPr>
          <w:rFonts w:ascii="Calibri" w:hAnsi="Calibri"/>
          <w:spacing w:val="-5"/>
          <w:sz w:val="24"/>
        </w:rPr>
        <w:t xml:space="preserve"> </w:t>
      </w:r>
      <w:r w:rsidRPr="00150EDC">
        <w:rPr>
          <w:rFonts w:ascii="Calibri" w:hAnsi="Calibri"/>
          <w:sz w:val="24"/>
        </w:rPr>
        <w:t>completed</w:t>
      </w:r>
      <w:r w:rsidRPr="00150EDC">
        <w:rPr>
          <w:rFonts w:ascii="Calibri" w:hAnsi="Calibri"/>
          <w:spacing w:val="-2"/>
          <w:sz w:val="24"/>
        </w:rPr>
        <w:t xml:space="preserve"> </w:t>
      </w:r>
      <w:r w:rsidRPr="00150EDC">
        <w:rPr>
          <w:rFonts w:ascii="Calibri" w:hAnsi="Calibri"/>
          <w:sz w:val="24"/>
        </w:rPr>
        <w:t>and</w:t>
      </w:r>
      <w:r w:rsidRPr="00150EDC">
        <w:rPr>
          <w:rFonts w:ascii="Calibri" w:hAnsi="Calibri"/>
          <w:spacing w:val="-6"/>
          <w:sz w:val="24"/>
        </w:rPr>
        <w:t xml:space="preserve"> </w:t>
      </w:r>
      <w:r w:rsidRPr="00150EDC">
        <w:rPr>
          <w:rFonts w:ascii="Calibri" w:hAnsi="Calibri"/>
          <w:sz w:val="24"/>
        </w:rPr>
        <w:t>signed</w:t>
      </w:r>
      <w:r w:rsidRPr="00150EDC">
        <w:rPr>
          <w:rFonts w:ascii="Calibri" w:hAnsi="Calibri"/>
          <w:spacing w:val="-4"/>
          <w:sz w:val="24"/>
        </w:rPr>
        <w:t xml:space="preserve"> </w:t>
      </w:r>
      <w:r w:rsidRPr="00150EDC">
        <w:rPr>
          <w:rFonts w:ascii="Calibri" w:hAnsi="Calibri"/>
          <w:sz w:val="24"/>
        </w:rPr>
        <w:t>by</w:t>
      </w:r>
      <w:r w:rsidRPr="00150EDC">
        <w:rPr>
          <w:rFonts w:ascii="Calibri" w:hAnsi="Calibri"/>
          <w:spacing w:val="-3"/>
          <w:sz w:val="24"/>
        </w:rPr>
        <w:t xml:space="preserve"> </w:t>
      </w:r>
      <w:r w:rsidRPr="00150EDC">
        <w:rPr>
          <w:rFonts w:ascii="Calibri" w:hAnsi="Calibri"/>
          <w:sz w:val="24"/>
        </w:rPr>
        <w:t>an</w:t>
      </w:r>
      <w:r w:rsidRPr="00150EDC">
        <w:rPr>
          <w:rFonts w:ascii="Calibri" w:hAnsi="Calibri"/>
          <w:spacing w:val="-2"/>
          <w:sz w:val="24"/>
        </w:rPr>
        <w:t xml:space="preserve"> </w:t>
      </w:r>
      <w:r w:rsidRPr="00150EDC">
        <w:rPr>
          <w:rFonts w:ascii="Calibri" w:hAnsi="Calibri"/>
          <w:sz w:val="24"/>
        </w:rPr>
        <w:t>auditor</w:t>
      </w:r>
      <w:r w:rsidRPr="00150EDC">
        <w:rPr>
          <w:rFonts w:ascii="Calibri" w:hAnsi="Calibri"/>
          <w:spacing w:val="-4"/>
          <w:sz w:val="24"/>
        </w:rPr>
        <w:t xml:space="preserve"> </w:t>
      </w:r>
      <w:r w:rsidRPr="00150EDC">
        <w:rPr>
          <w:rFonts w:ascii="Calibri" w:hAnsi="Calibri"/>
          <w:sz w:val="24"/>
        </w:rPr>
        <w:t>or</w:t>
      </w:r>
      <w:r w:rsidRPr="00150EDC">
        <w:rPr>
          <w:rFonts w:ascii="Calibri" w:hAnsi="Calibri"/>
          <w:spacing w:val="-2"/>
          <w:sz w:val="24"/>
        </w:rPr>
        <w:t xml:space="preserve"> </w:t>
      </w:r>
      <w:r w:rsidRPr="00150EDC">
        <w:rPr>
          <w:rFonts w:ascii="Calibri" w:hAnsi="Calibri"/>
          <w:sz w:val="24"/>
        </w:rPr>
        <w:t>senior</w:t>
      </w:r>
      <w:r w:rsidRPr="00150EDC">
        <w:rPr>
          <w:rFonts w:ascii="Calibri" w:hAnsi="Calibri"/>
          <w:spacing w:val="-4"/>
          <w:sz w:val="24"/>
        </w:rPr>
        <w:t xml:space="preserve"> </w:t>
      </w:r>
      <w:r w:rsidRPr="00150EDC">
        <w:rPr>
          <w:rFonts w:ascii="Calibri" w:hAnsi="Calibri"/>
          <w:sz w:val="24"/>
        </w:rPr>
        <w:t>member</w:t>
      </w:r>
      <w:r w:rsidRPr="00150EDC">
        <w:rPr>
          <w:rFonts w:ascii="Calibri" w:hAnsi="Calibri"/>
          <w:spacing w:val="-2"/>
          <w:sz w:val="24"/>
        </w:rPr>
        <w:t xml:space="preserve"> </w:t>
      </w:r>
      <w:r w:rsidRPr="00150EDC">
        <w:rPr>
          <w:rFonts w:ascii="Calibri" w:hAnsi="Calibri"/>
          <w:sz w:val="24"/>
        </w:rPr>
        <w:t>of</w:t>
      </w:r>
      <w:r w:rsidRPr="00150EDC">
        <w:rPr>
          <w:rFonts w:ascii="Calibri" w:hAnsi="Calibri"/>
          <w:spacing w:val="-4"/>
          <w:sz w:val="24"/>
        </w:rPr>
        <w:t xml:space="preserve"> </w:t>
      </w:r>
      <w:r w:rsidRPr="00150EDC">
        <w:rPr>
          <w:rFonts w:ascii="Calibri" w:hAnsi="Calibri"/>
          <w:sz w:val="24"/>
        </w:rPr>
        <w:t>the Supplier’s management team that is qualified in either a relevant audit or financial discipline.</w:t>
      </w:r>
    </w:p>
    <w:p w14:paraId="37318D87" w14:textId="77777777" w:rsidR="004C7180" w:rsidRPr="00150EDC" w:rsidRDefault="004C7180">
      <w:pPr>
        <w:pStyle w:val="BodyText"/>
        <w:spacing w:before="4"/>
        <w:rPr>
          <w:rFonts w:ascii="Calibri"/>
          <w:sz w:val="25"/>
        </w:rPr>
      </w:pPr>
    </w:p>
    <w:p w14:paraId="030F3DA0" w14:textId="77777777" w:rsidR="004C7180" w:rsidRPr="00150EDC" w:rsidRDefault="00CF0754" w:rsidP="00B320C7">
      <w:pPr>
        <w:pStyle w:val="Heading1"/>
        <w:numPr>
          <w:ilvl w:val="0"/>
          <w:numId w:val="182"/>
        </w:numPr>
        <w:tabs>
          <w:tab w:val="left" w:pos="926"/>
        </w:tabs>
        <w:ind w:left="926" w:hanging="359"/>
        <w:jc w:val="left"/>
        <w:rPr>
          <w:rFonts w:ascii="Calibri"/>
        </w:rPr>
      </w:pPr>
      <w:r w:rsidRPr="00150EDC">
        <w:rPr>
          <w:rFonts w:ascii="Calibri"/>
        </w:rPr>
        <w:t>Supplier</w:t>
      </w:r>
      <w:r w:rsidRPr="00150EDC">
        <w:rPr>
          <w:rFonts w:ascii="Calibri"/>
          <w:spacing w:val="-4"/>
        </w:rPr>
        <w:t xml:space="preserve"> staff</w:t>
      </w:r>
    </w:p>
    <w:p w14:paraId="7ABBE4D5" w14:textId="77777777" w:rsidR="004C7180" w:rsidRPr="00150EDC" w:rsidRDefault="00CF0754" w:rsidP="00B320C7">
      <w:pPr>
        <w:pStyle w:val="ListParagraph"/>
        <w:numPr>
          <w:ilvl w:val="1"/>
          <w:numId w:val="182"/>
        </w:numPr>
        <w:tabs>
          <w:tab w:val="left" w:pos="1066"/>
        </w:tabs>
        <w:spacing w:before="21"/>
        <w:ind w:hanging="566"/>
        <w:rPr>
          <w:rFonts w:ascii="Calibri"/>
          <w:sz w:val="24"/>
        </w:rPr>
      </w:pPr>
      <w:r w:rsidRPr="00150EDC">
        <w:rPr>
          <w:rFonts w:ascii="Calibri"/>
          <w:sz w:val="24"/>
        </w:rPr>
        <w:t>The</w:t>
      </w:r>
      <w:r w:rsidRPr="00150EDC">
        <w:rPr>
          <w:rFonts w:ascii="Calibri"/>
          <w:spacing w:val="-3"/>
          <w:sz w:val="24"/>
        </w:rPr>
        <w:t xml:space="preserve"> </w:t>
      </w:r>
      <w:r w:rsidRPr="00150EDC">
        <w:rPr>
          <w:rFonts w:ascii="Calibri"/>
          <w:sz w:val="24"/>
        </w:rPr>
        <w:t>Supplier</w:t>
      </w:r>
      <w:r w:rsidRPr="00150EDC">
        <w:rPr>
          <w:rFonts w:ascii="Calibri"/>
          <w:spacing w:val="-4"/>
          <w:sz w:val="24"/>
        </w:rPr>
        <w:t xml:space="preserve"> </w:t>
      </w:r>
      <w:r w:rsidRPr="00150EDC">
        <w:rPr>
          <w:rFonts w:ascii="Calibri"/>
          <w:sz w:val="24"/>
        </w:rPr>
        <w:t>Staff</w:t>
      </w:r>
      <w:r w:rsidRPr="00150EDC">
        <w:rPr>
          <w:rFonts w:ascii="Calibri"/>
          <w:spacing w:val="-4"/>
          <w:sz w:val="24"/>
        </w:rPr>
        <w:t xml:space="preserve"> </w:t>
      </w:r>
      <w:r w:rsidRPr="00150EDC">
        <w:rPr>
          <w:rFonts w:ascii="Calibri"/>
          <w:sz w:val="24"/>
        </w:rPr>
        <w:t>involved</w:t>
      </w:r>
      <w:r w:rsidRPr="00150EDC">
        <w:rPr>
          <w:rFonts w:ascii="Calibri"/>
          <w:spacing w:val="-1"/>
          <w:sz w:val="24"/>
        </w:rPr>
        <w:t xml:space="preserve"> </w:t>
      </w:r>
      <w:r w:rsidRPr="00150EDC">
        <w:rPr>
          <w:rFonts w:ascii="Calibri"/>
          <w:sz w:val="24"/>
        </w:rPr>
        <w:t>in</w:t>
      </w:r>
      <w:r w:rsidRPr="00150EDC">
        <w:rPr>
          <w:rFonts w:ascii="Calibri"/>
          <w:spacing w:val="-2"/>
          <w:sz w:val="24"/>
        </w:rPr>
        <w:t xml:space="preserve"> </w:t>
      </w:r>
      <w:r w:rsidRPr="00150EDC">
        <w:rPr>
          <w:rFonts w:ascii="Calibri"/>
          <w:sz w:val="24"/>
        </w:rPr>
        <w:t>the</w:t>
      </w:r>
      <w:r w:rsidRPr="00150EDC">
        <w:rPr>
          <w:rFonts w:ascii="Calibri"/>
          <w:spacing w:val="-5"/>
          <w:sz w:val="24"/>
        </w:rPr>
        <w:t xml:space="preserve"> </w:t>
      </w:r>
      <w:r w:rsidRPr="00150EDC">
        <w:rPr>
          <w:rFonts w:ascii="Calibri"/>
          <w:sz w:val="24"/>
        </w:rPr>
        <w:t>performance</w:t>
      </w:r>
      <w:r w:rsidRPr="00150EDC">
        <w:rPr>
          <w:rFonts w:ascii="Calibri"/>
          <w:spacing w:val="1"/>
          <w:sz w:val="24"/>
        </w:rPr>
        <w:t xml:space="preserve"> </w:t>
      </w:r>
      <w:r w:rsidRPr="00150EDC">
        <w:rPr>
          <w:rFonts w:ascii="Calibri"/>
          <w:sz w:val="24"/>
        </w:rPr>
        <w:t>of</w:t>
      </w:r>
      <w:r w:rsidRPr="00150EDC">
        <w:rPr>
          <w:rFonts w:ascii="Calibri"/>
          <w:spacing w:val="-4"/>
          <w:sz w:val="24"/>
        </w:rPr>
        <w:t xml:space="preserve"> </w:t>
      </w:r>
      <w:r w:rsidRPr="00150EDC">
        <w:rPr>
          <w:rFonts w:ascii="Calibri"/>
          <w:sz w:val="24"/>
        </w:rPr>
        <w:t>each</w:t>
      </w:r>
      <w:r w:rsidRPr="00150EDC">
        <w:rPr>
          <w:rFonts w:ascii="Calibri"/>
          <w:spacing w:val="-2"/>
          <w:sz w:val="24"/>
        </w:rPr>
        <w:t xml:space="preserve"> </w:t>
      </w:r>
      <w:r w:rsidRPr="00150EDC">
        <w:rPr>
          <w:rFonts w:ascii="Calibri"/>
          <w:sz w:val="24"/>
        </w:rPr>
        <w:t>Contract</w:t>
      </w:r>
      <w:r w:rsidRPr="00150EDC">
        <w:rPr>
          <w:rFonts w:ascii="Calibri"/>
          <w:spacing w:val="-2"/>
          <w:sz w:val="24"/>
        </w:rPr>
        <w:t xml:space="preserve"> must:</w:t>
      </w:r>
    </w:p>
    <w:p w14:paraId="1546CB0D" w14:textId="77777777" w:rsidR="004C7180" w:rsidRPr="00150EDC" w:rsidRDefault="004C7180">
      <w:pPr>
        <w:pStyle w:val="BodyText"/>
        <w:spacing w:before="6"/>
        <w:rPr>
          <w:rFonts w:ascii="Calibri"/>
          <w:sz w:val="25"/>
        </w:rPr>
      </w:pPr>
    </w:p>
    <w:p w14:paraId="57E86C17" w14:textId="77777777" w:rsidR="004C7180" w:rsidRPr="00150EDC" w:rsidRDefault="00CF0754" w:rsidP="00B320C7">
      <w:pPr>
        <w:pStyle w:val="ListParagraph"/>
        <w:numPr>
          <w:ilvl w:val="0"/>
          <w:numId w:val="170"/>
        </w:numPr>
        <w:tabs>
          <w:tab w:val="left" w:pos="1491"/>
        </w:tabs>
        <w:ind w:left="1491" w:hanging="425"/>
        <w:rPr>
          <w:rFonts w:ascii="Calibri"/>
          <w:sz w:val="24"/>
        </w:rPr>
      </w:pPr>
      <w:r w:rsidRPr="00150EDC">
        <w:rPr>
          <w:rFonts w:ascii="Calibri"/>
          <w:sz w:val="24"/>
        </w:rPr>
        <w:t>be</w:t>
      </w:r>
      <w:r w:rsidRPr="00150EDC">
        <w:rPr>
          <w:rFonts w:ascii="Calibri"/>
          <w:spacing w:val="-3"/>
          <w:sz w:val="24"/>
        </w:rPr>
        <w:t xml:space="preserve"> </w:t>
      </w:r>
      <w:r w:rsidRPr="00150EDC">
        <w:rPr>
          <w:rFonts w:ascii="Calibri"/>
          <w:sz w:val="24"/>
        </w:rPr>
        <w:t>appropriately</w:t>
      </w:r>
      <w:r w:rsidRPr="00150EDC">
        <w:rPr>
          <w:rFonts w:ascii="Calibri"/>
          <w:spacing w:val="-5"/>
          <w:sz w:val="24"/>
        </w:rPr>
        <w:t xml:space="preserve"> </w:t>
      </w:r>
      <w:r w:rsidRPr="00150EDC">
        <w:rPr>
          <w:rFonts w:ascii="Calibri"/>
          <w:sz w:val="24"/>
        </w:rPr>
        <w:t>trained</w:t>
      </w:r>
      <w:r w:rsidRPr="00150EDC">
        <w:rPr>
          <w:rFonts w:ascii="Calibri"/>
          <w:spacing w:val="-4"/>
          <w:sz w:val="24"/>
        </w:rPr>
        <w:t xml:space="preserve"> </w:t>
      </w:r>
      <w:r w:rsidRPr="00150EDC">
        <w:rPr>
          <w:rFonts w:ascii="Calibri"/>
          <w:sz w:val="24"/>
        </w:rPr>
        <w:t>and</w:t>
      </w:r>
      <w:r w:rsidRPr="00150EDC">
        <w:rPr>
          <w:rFonts w:ascii="Calibri"/>
          <w:spacing w:val="-4"/>
          <w:sz w:val="24"/>
        </w:rPr>
        <w:t xml:space="preserve"> </w:t>
      </w:r>
      <w:r w:rsidRPr="00150EDC">
        <w:rPr>
          <w:rFonts w:ascii="Calibri"/>
          <w:spacing w:val="-2"/>
          <w:sz w:val="24"/>
        </w:rPr>
        <w:t>qualified;</w:t>
      </w:r>
    </w:p>
    <w:p w14:paraId="0A879B4E" w14:textId="77777777" w:rsidR="004C7180" w:rsidRPr="00150EDC" w:rsidRDefault="00CF0754" w:rsidP="00B320C7">
      <w:pPr>
        <w:pStyle w:val="ListParagraph"/>
        <w:numPr>
          <w:ilvl w:val="0"/>
          <w:numId w:val="170"/>
        </w:numPr>
        <w:tabs>
          <w:tab w:val="left" w:pos="1491"/>
        </w:tabs>
        <w:spacing w:before="20"/>
        <w:ind w:left="1491" w:hanging="425"/>
        <w:rPr>
          <w:rFonts w:ascii="Calibri"/>
          <w:sz w:val="24"/>
        </w:rPr>
      </w:pPr>
      <w:r w:rsidRPr="00150EDC">
        <w:rPr>
          <w:rFonts w:ascii="Calibri"/>
          <w:sz w:val="24"/>
        </w:rPr>
        <w:t>be</w:t>
      </w:r>
      <w:r w:rsidRPr="00150EDC">
        <w:rPr>
          <w:rFonts w:ascii="Calibri"/>
          <w:spacing w:val="-2"/>
          <w:sz w:val="24"/>
        </w:rPr>
        <w:t xml:space="preserve"> </w:t>
      </w:r>
      <w:r w:rsidRPr="00150EDC">
        <w:rPr>
          <w:rFonts w:ascii="Calibri"/>
          <w:sz w:val="24"/>
        </w:rPr>
        <w:t>vetted</w:t>
      </w:r>
      <w:r w:rsidRPr="00150EDC">
        <w:rPr>
          <w:rFonts w:ascii="Calibri"/>
          <w:spacing w:val="-4"/>
          <w:sz w:val="24"/>
        </w:rPr>
        <w:t xml:space="preserve"> </w:t>
      </w:r>
      <w:r w:rsidRPr="00150EDC">
        <w:rPr>
          <w:rFonts w:ascii="Calibri"/>
          <w:sz w:val="24"/>
        </w:rPr>
        <w:t>using</w:t>
      </w:r>
      <w:r w:rsidRPr="00150EDC">
        <w:rPr>
          <w:rFonts w:ascii="Calibri"/>
          <w:spacing w:val="-3"/>
          <w:sz w:val="24"/>
        </w:rPr>
        <w:t xml:space="preserve"> </w:t>
      </w:r>
      <w:r w:rsidRPr="00150EDC">
        <w:rPr>
          <w:rFonts w:ascii="Calibri"/>
          <w:sz w:val="24"/>
        </w:rPr>
        <w:t>Good</w:t>
      </w:r>
      <w:r w:rsidRPr="00150EDC">
        <w:rPr>
          <w:rFonts w:ascii="Calibri"/>
          <w:spacing w:val="-4"/>
          <w:sz w:val="24"/>
        </w:rPr>
        <w:t xml:space="preserve"> </w:t>
      </w:r>
      <w:r w:rsidRPr="00150EDC">
        <w:rPr>
          <w:rFonts w:ascii="Calibri"/>
          <w:sz w:val="24"/>
        </w:rPr>
        <w:t>Industry</w:t>
      </w:r>
      <w:r w:rsidRPr="00150EDC">
        <w:rPr>
          <w:rFonts w:ascii="Calibri"/>
          <w:spacing w:val="-3"/>
          <w:sz w:val="24"/>
        </w:rPr>
        <w:t xml:space="preserve"> </w:t>
      </w:r>
      <w:r w:rsidRPr="00150EDC">
        <w:rPr>
          <w:rFonts w:ascii="Calibri"/>
          <w:sz w:val="24"/>
        </w:rPr>
        <w:t>Practice</w:t>
      </w:r>
      <w:r w:rsidRPr="00150EDC">
        <w:rPr>
          <w:rFonts w:ascii="Calibri"/>
          <w:spacing w:val="-2"/>
          <w:sz w:val="24"/>
        </w:rPr>
        <w:t xml:space="preserve"> </w:t>
      </w:r>
      <w:r w:rsidRPr="00150EDC">
        <w:rPr>
          <w:rFonts w:ascii="Calibri"/>
          <w:sz w:val="24"/>
        </w:rPr>
        <w:t>and</w:t>
      </w:r>
      <w:r w:rsidRPr="00150EDC">
        <w:rPr>
          <w:rFonts w:ascii="Calibri"/>
          <w:spacing w:val="-4"/>
          <w:sz w:val="24"/>
        </w:rPr>
        <w:t xml:space="preserve"> </w:t>
      </w:r>
      <w:r w:rsidRPr="00150EDC">
        <w:rPr>
          <w:rFonts w:ascii="Calibri"/>
          <w:sz w:val="24"/>
        </w:rPr>
        <w:t>the</w:t>
      </w:r>
      <w:r w:rsidRPr="00150EDC">
        <w:rPr>
          <w:rFonts w:ascii="Calibri"/>
          <w:spacing w:val="-2"/>
          <w:sz w:val="24"/>
        </w:rPr>
        <w:t xml:space="preserve"> </w:t>
      </w:r>
      <w:r w:rsidRPr="00150EDC">
        <w:rPr>
          <w:rFonts w:ascii="Calibri"/>
          <w:sz w:val="24"/>
        </w:rPr>
        <w:t>Security</w:t>
      </w:r>
      <w:r w:rsidRPr="00150EDC">
        <w:rPr>
          <w:rFonts w:ascii="Calibri"/>
          <w:spacing w:val="-3"/>
          <w:sz w:val="24"/>
        </w:rPr>
        <w:t xml:space="preserve"> </w:t>
      </w:r>
      <w:r w:rsidRPr="00150EDC">
        <w:rPr>
          <w:rFonts w:ascii="Calibri"/>
          <w:sz w:val="24"/>
        </w:rPr>
        <w:t>Policy;</w:t>
      </w:r>
      <w:r w:rsidRPr="00150EDC">
        <w:rPr>
          <w:rFonts w:ascii="Calibri"/>
          <w:spacing w:val="-1"/>
          <w:sz w:val="24"/>
        </w:rPr>
        <w:t xml:space="preserve"> </w:t>
      </w:r>
      <w:r w:rsidRPr="00150EDC">
        <w:rPr>
          <w:rFonts w:ascii="Calibri"/>
          <w:spacing w:val="-5"/>
          <w:sz w:val="24"/>
        </w:rPr>
        <w:t>and</w:t>
      </w:r>
    </w:p>
    <w:p w14:paraId="0F5DB6DC" w14:textId="77777777" w:rsidR="004C7180" w:rsidRPr="00150EDC" w:rsidRDefault="00CF0754" w:rsidP="00B320C7">
      <w:pPr>
        <w:pStyle w:val="ListParagraph"/>
        <w:numPr>
          <w:ilvl w:val="0"/>
          <w:numId w:val="170"/>
        </w:numPr>
        <w:tabs>
          <w:tab w:val="left" w:pos="1492"/>
        </w:tabs>
        <w:spacing w:before="22"/>
        <w:ind w:left="1492" w:hanging="426"/>
        <w:rPr>
          <w:rFonts w:ascii="Calibri" w:hAnsi="Calibri"/>
          <w:sz w:val="24"/>
        </w:rPr>
      </w:pPr>
      <w:r w:rsidRPr="00150EDC">
        <w:rPr>
          <w:rFonts w:ascii="Calibri" w:hAnsi="Calibri"/>
          <w:sz w:val="24"/>
        </w:rPr>
        <w:t>comply</w:t>
      </w:r>
      <w:r w:rsidRPr="00150EDC">
        <w:rPr>
          <w:rFonts w:ascii="Calibri" w:hAnsi="Calibri"/>
          <w:spacing w:val="-6"/>
          <w:sz w:val="24"/>
        </w:rPr>
        <w:t xml:space="preserve"> </w:t>
      </w:r>
      <w:r w:rsidRPr="00150EDC">
        <w:rPr>
          <w:rFonts w:ascii="Calibri" w:hAnsi="Calibri"/>
          <w:sz w:val="24"/>
        </w:rPr>
        <w:t>with</w:t>
      </w:r>
      <w:r w:rsidRPr="00150EDC">
        <w:rPr>
          <w:rFonts w:ascii="Calibri" w:hAnsi="Calibri"/>
          <w:spacing w:val="-3"/>
          <w:sz w:val="24"/>
        </w:rPr>
        <w:t xml:space="preserve"> </w:t>
      </w:r>
      <w:r w:rsidRPr="00150EDC">
        <w:rPr>
          <w:rFonts w:ascii="Calibri" w:hAnsi="Calibri"/>
          <w:sz w:val="24"/>
        </w:rPr>
        <w:t>all</w:t>
      </w:r>
      <w:r w:rsidRPr="00150EDC">
        <w:rPr>
          <w:rFonts w:ascii="Calibri" w:hAnsi="Calibri"/>
          <w:spacing w:val="-3"/>
          <w:sz w:val="24"/>
        </w:rPr>
        <w:t xml:space="preserve"> </w:t>
      </w:r>
      <w:r w:rsidRPr="00150EDC">
        <w:rPr>
          <w:rFonts w:ascii="Calibri" w:hAnsi="Calibri"/>
          <w:sz w:val="24"/>
        </w:rPr>
        <w:t>conduct</w:t>
      </w:r>
      <w:r w:rsidRPr="00150EDC">
        <w:rPr>
          <w:rFonts w:ascii="Calibri" w:hAnsi="Calibri"/>
          <w:spacing w:val="-4"/>
          <w:sz w:val="24"/>
        </w:rPr>
        <w:t xml:space="preserve"> </w:t>
      </w:r>
      <w:r w:rsidRPr="00150EDC">
        <w:rPr>
          <w:rFonts w:ascii="Calibri" w:hAnsi="Calibri"/>
          <w:sz w:val="24"/>
        </w:rPr>
        <w:t>requirements</w:t>
      </w:r>
      <w:r w:rsidRPr="00150EDC">
        <w:rPr>
          <w:rFonts w:ascii="Calibri" w:hAnsi="Calibri"/>
          <w:spacing w:val="-3"/>
          <w:sz w:val="24"/>
        </w:rPr>
        <w:t xml:space="preserve"> </w:t>
      </w:r>
      <w:r w:rsidRPr="00150EDC">
        <w:rPr>
          <w:rFonts w:ascii="Calibri" w:hAnsi="Calibri"/>
          <w:sz w:val="24"/>
        </w:rPr>
        <w:t>when</w:t>
      </w:r>
      <w:r w:rsidRPr="00150EDC">
        <w:rPr>
          <w:rFonts w:ascii="Calibri" w:hAnsi="Calibri"/>
          <w:spacing w:val="-3"/>
          <w:sz w:val="24"/>
        </w:rPr>
        <w:t xml:space="preserve"> </w:t>
      </w:r>
      <w:r w:rsidRPr="00150EDC">
        <w:rPr>
          <w:rFonts w:ascii="Calibri" w:hAnsi="Calibri"/>
          <w:sz w:val="24"/>
        </w:rPr>
        <w:t>on</w:t>
      </w:r>
      <w:r w:rsidRPr="00150EDC">
        <w:rPr>
          <w:rFonts w:ascii="Calibri" w:hAnsi="Calibri"/>
          <w:spacing w:val="-4"/>
          <w:sz w:val="24"/>
        </w:rPr>
        <w:t xml:space="preserve"> </w:t>
      </w:r>
      <w:r w:rsidRPr="00150EDC">
        <w:rPr>
          <w:rFonts w:ascii="Calibri" w:hAnsi="Calibri"/>
          <w:sz w:val="24"/>
        </w:rPr>
        <w:t>the</w:t>
      </w:r>
      <w:r w:rsidRPr="00150EDC">
        <w:rPr>
          <w:rFonts w:ascii="Calibri" w:hAnsi="Calibri"/>
          <w:spacing w:val="-2"/>
          <w:sz w:val="24"/>
        </w:rPr>
        <w:t xml:space="preserve"> </w:t>
      </w:r>
      <w:r w:rsidRPr="00150EDC">
        <w:rPr>
          <w:rFonts w:ascii="Calibri" w:hAnsi="Calibri"/>
          <w:sz w:val="24"/>
        </w:rPr>
        <w:t>Buyer’s</w:t>
      </w:r>
      <w:r w:rsidRPr="00150EDC">
        <w:rPr>
          <w:rFonts w:ascii="Calibri" w:hAnsi="Calibri"/>
          <w:spacing w:val="-4"/>
          <w:sz w:val="24"/>
        </w:rPr>
        <w:t xml:space="preserve"> </w:t>
      </w:r>
      <w:r w:rsidRPr="00150EDC">
        <w:rPr>
          <w:rFonts w:ascii="Calibri" w:hAnsi="Calibri"/>
          <w:spacing w:val="-2"/>
          <w:sz w:val="24"/>
        </w:rPr>
        <w:t>Premises.</w:t>
      </w:r>
    </w:p>
    <w:p w14:paraId="193CE041" w14:textId="77777777" w:rsidR="004C7180" w:rsidRPr="00150EDC" w:rsidRDefault="004C7180">
      <w:pPr>
        <w:pStyle w:val="BodyText"/>
        <w:spacing w:before="3"/>
        <w:rPr>
          <w:rFonts w:ascii="Calibri"/>
          <w:sz w:val="27"/>
        </w:rPr>
      </w:pPr>
    </w:p>
    <w:p w14:paraId="4F73D848" w14:textId="77777777" w:rsidR="004C7180" w:rsidRPr="00150EDC" w:rsidRDefault="00CF0754" w:rsidP="00B320C7">
      <w:pPr>
        <w:pStyle w:val="ListParagraph"/>
        <w:numPr>
          <w:ilvl w:val="1"/>
          <w:numId w:val="182"/>
        </w:numPr>
        <w:tabs>
          <w:tab w:val="left" w:pos="1066"/>
        </w:tabs>
        <w:ind w:right="1108"/>
        <w:rPr>
          <w:rFonts w:ascii="Calibri" w:hAnsi="Calibri"/>
          <w:sz w:val="24"/>
        </w:rPr>
      </w:pPr>
      <w:r w:rsidRPr="00150EDC">
        <w:rPr>
          <w:rFonts w:ascii="Calibri" w:hAnsi="Calibri"/>
          <w:sz w:val="24"/>
        </w:rPr>
        <w:t>Where</w:t>
      </w:r>
      <w:r w:rsidRPr="00150EDC">
        <w:rPr>
          <w:rFonts w:ascii="Calibri" w:hAnsi="Calibri"/>
          <w:spacing w:val="-3"/>
          <w:sz w:val="24"/>
        </w:rPr>
        <w:t xml:space="preserve"> </w:t>
      </w:r>
      <w:r w:rsidRPr="00150EDC">
        <w:rPr>
          <w:rFonts w:ascii="Calibri" w:hAnsi="Calibri"/>
          <w:sz w:val="24"/>
        </w:rPr>
        <w:t>a</w:t>
      </w:r>
      <w:r w:rsidRPr="00150EDC">
        <w:rPr>
          <w:rFonts w:ascii="Calibri" w:hAnsi="Calibri"/>
          <w:spacing w:val="-2"/>
          <w:sz w:val="24"/>
        </w:rPr>
        <w:t xml:space="preserve"> </w:t>
      </w:r>
      <w:r w:rsidRPr="00150EDC">
        <w:rPr>
          <w:rFonts w:ascii="Calibri" w:hAnsi="Calibri"/>
          <w:sz w:val="24"/>
        </w:rPr>
        <w:t>Buyer</w:t>
      </w:r>
      <w:r w:rsidRPr="00150EDC">
        <w:rPr>
          <w:rFonts w:ascii="Calibri" w:hAnsi="Calibri"/>
          <w:spacing w:val="-4"/>
          <w:sz w:val="24"/>
        </w:rPr>
        <w:t xml:space="preserve"> </w:t>
      </w:r>
      <w:r w:rsidRPr="00150EDC">
        <w:rPr>
          <w:rFonts w:ascii="Calibri" w:hAnsi="Calibri"/>
          <w:sz w:val="24"/>
        </w:rPr>
        <w:t>decides</w:t>
      </w:r>
      <w:r w:rsidRPr="00150EDC">
        <w:rPr>
          <w:rFonts w:ascii="Calibri" w:hAnsi="Calibri"/>
          <w:spacing w:val="-2"/>
          <w:sz w:val="24"/>
        </w:rPr>
        <w:t xml:space="preserve"> </w:t>
      </w:r>
      <w:r w:rsidRPr="00150EDC">
        <w:rPr>
          <w:rFonts w:ascii="Calibri" w:hAnsi="Calibri"/>
          <w:sz w:val="24"/>
        </w:rPr>
        <w:t>one</w:t>
      </w:r>
      <w:r w:rsidRPr="00150EDC">
        <w:rPr>
          <w:rFonts w:ascii="Calibri" w:hAnsi="Calibri"/>
          <w:spacing w:val="-1"/>
          <w:sz w:val="24"/>
        </w:rPr>
        <w:t xml:space="preserve"> </w:t>
      </w:r>
      <w:r w:rsidRPr="00150EDC">
        <w:rPr>
          <w:rFonts w:ascii="Calibri" w:hAnsi="Calibri"/>
          <w:sz w:val="24"/>
        </w:rPr>
        <w:t>of</w:t>
      </w:r>
      <w:r w:rsidRPr="00150EDC">
        <w:rPr>
          <w:rFonts w:ascii="Calibri" w:hAnsi="Calibri"/>
          <w:spacing w:val="-3"/>
          <w:sz w:val="24"/>
        </w:rPr>
        <w:t xml:space="preserve"> </w:t>
      </w:r>
      <w:r w:rsidRPr="00150EDC">
        <w:rPr>
          <w:rFonts w:ascii="Calibri" w:hAnsi="Calibri"/>
          <w:sz w:val="24"/>
        </w:rPr>
        <w:t>the</w:t>
      </w:r>
      <w:r w:rsidRPr="00150EDC">
        <w:rPr>
          <w:rFonts w:ascii="Calibri" w:hAnsi="Calibri"/>
          <w:spacing w:val="-4"/>
          <w:sz w:val="24"/>
        </w:rPr>
        <w:t xml:space="preserve"> </w:t>
      </w:r>
      <w:r w:rsidRPr="00150EDC">
        <w:rPr>
          <w:rFonts w:ascii="Calibri" w:hAnsi="Calibri"/>
          <w:sz w:val="24"/>
        </w:rPr>
        <w:t>Supplier’s</w:t>
      </w:r>
      <w:r w:rsidRPr="00150EDC">
        <w:rPr>
          <w:rFonts w:ascii="Calibri" w:hAnsi="Calibri"/>
          <w:spacing w:val="-3"/>
          <w:sz w:val="24"/>
        </w:rPr>
        <w:t xml:space="preserve"> </w:t>
      </w:r>
      <w:r w:rsidRPr="00150EDC">
        <w:rPr>
          <w:rFonts w:ascii="Calibri" w:hAnsi="Calibri"/>
          <w:sz w:val="24"/>
        </w:rPr>
        <w:t>Staff</w:t>
      </w:r>
      <w:r w:rsidRPr="00150EDC">
        <w:rPr>
          <w:rFonts w:ascii="Calibri" w:hAnsi="Calibri"/>
          <w:spacing w:val="-3"/>
          <w:sz w:val="24"/>
        </w:rPr>
        <w:t xml:space="preserve"> </w:t>
      </w:r>
      <w:r w:rsidRPr="00150EDC">
        <w:rPr>
          <w:rFonts w:ascii="Calibri" w:hAnsi="Calibri"/>
          <w:sz w:val="24"/>
        </w:rPr>
        <w:t>is</w:t>
      </w:r>
      <w:r w:rsidRPr="00150EDC">
        <w:rPr>
          <w:rFonts w:ascii="Calibri" w:hAnsi="Calibri"/>
          <w:spacing w:val="-2"/>
          <w:sz w:val="24"/>
        </w:rPr>
        <w:t xml:space="preserve"> </w:t>
      </w:r>
      <w:r w:rsidRPr="00150EDC">
        <w:rPr>
          <w:rFonts w:ascii="Calibri" w:hAnsi="Calibri"/>
          <w:sz w:val="24"/>
        </w:rPr>
        <w:t>not suitable</w:t>
      </w:r>
      <w:r w:rsidRPr="00150EDC">
        <w:rPr>
          <w:rFonts w:ascii="Calibri" w:hAnsi="Calibri"/>
          <w:spacing w:val="-3"/>
          <w:sz w:val="24"/>
        </w:rPr>
        <w:t xml:space="preserve"> </w:t>
      </w:r>
      <w:r w:rsidRPr="00150EDC">
        <w:rPr>
          <w:rFonts w:ascii="Calibri" w:hAnsi="Calibri"/>
          <w:sz w:val="24"/>
        </w:rPr>
        <w:t>to</w:t>
      </w:r>
      <w:r w:rsidRPr="00150EDC">
        <w:rPr>
          <w:rFonts w:ascii="Calibri" w:hAnsi="Calibri"/>
          <w:spacing w:val="-1"/>
          <w:sz w:val="24"/>
        </w:rPr>
        <w:t xml:space="preserve"> </w:t>
      </w:r>
      <w:r w:rsidRPr="00150EDC">
        <w:rPr>
          <w:rFonts w:ascii="Calibri" w:hAnsi="Calibri"/>
          <w:sz w:val="24"/>
        </w:rPr>
        <w:t>work</w:t>
      </w:r>
      <w:r w:rsidRPr="00150EDC">
        <w:rPr>
          <w:rFonts w:ascii="Calibri" w:hAnsi="Calibri"/>
          <w:spacing w:val="-3"/>
          <w:sz w:val="24"/>
        </w:rPr>
        <w:t xml:space="preserve"> </w:t>
      </w:r>
      <w:r w:rsidRPr="00150EDC">
        <w:rPr>
          <w:rFonts w:ascii="Calibri" w:hAnsi="Calibri"/>
          <w:sz w:val="24"/>
        </w:rPr>
        <w:t>on</w:t>
      </w:r>
      <w:r w:rsidRPr="00150EDC">
        <w:rPr>
          <w:rFonts w:ascii="Calibri" w:hAnsi="Calibri"/>
          <w:spacing w:val="-1"/>
          <w:sz w:val="24"/>
        </w:rPr>
        <w:t xml:space="preserve"> </w:t>
      </w:r>
      <w:r w:rsidRPr="00150EDC">
        <w:rPr>
          <w:rFonts w:ascii="Calibri" w:hAnsi="Calibri"/>
          <w:sz w:val="24"/>
        </w:rPr>
        <w:t>a</w:t>
      </w:r>
      <w:r w:rsidRPr="00150EDC">
        <w:rPr>
          <w:rFonts w:ascii="Calibri" w:hAnsi="Calibri"/>
          <w:spacing w:val="-2"/>
          <w:sz w:val="24"/>
        </w:rPr>
        <w:t xml:space="preserve"> </w:t>
      </w:r>
      <w:r w:rsidRPr="00150EDC">
        <w:rPr>
          <w:rFonts w:ascii="Calibri" w:hAnsi="Calibri"/>
          <w:sz w:val="24"/>
        </w:rPr>
        <w:t>contract,</w:t>
      </w:r>
      <w:r w:rsidRPr="00150EDC">
        <w:rPr>
          <w:rFonts w:ascii="Calibri" w:hAnsi="Calibri"/>
          <w:spacing w:val="-4"/>
          <w:sz w:val="24"/>
        </w:rPr>
        <w:t xml:space="preserve"> </w:t>
      </w:r>
      <w:r w:rsidRPr="00150EDC">
        <w:rPr>
          <w:rFonts w:ascii="Calibri" w:hAnsi="Calibri"/>
          <w:sz w:val="24"/>
        </w:rPr>
        <w:t>the</w:t>
      </w:r>
      <w:r w:rsidRPr="00150EDC">
        <w:rPr>
          <w:rFonts w:ascii="Calibri" w:hAnsi="Calibri"/>
          <w:spacing w:val="-4"/>
          <w:sz w:val="24"/>
        </w:rPr>
        <w:t xml:space="preserve"> </w:t>
      </w:r>
      <w:r w:rsidRPr="00150EDC">
        <w:rPr>
          <w:rFonts w:ascii="Calibri" w:hAnsi="Calibri"/>
          <w:sz w:val="24"/>
        </w:rPr>
        <w:t>Supplier must replace them with a suitably qualified alternative.</w:t>
      </w:r>
    </w:p>
    <w:p w14:paraId="2A3D249D" w14:textId="77777777" w:rsidR="004C7180" w:rsidRPr="00150EDC" w:rsidRDefault="004C7180">
      <w:pPr>
        <w:pStyle w:val="BodyText"/>
        <w:rPr>
          <w:rFonts w:ascii="Calibri"/>
        </w:rPr>
      </w:pPr>
    </w:p>
    <w:p w14:paraId="06B26871" w14:textId="77777777" w:rsidR="004C7180" w:rsidRPr="00150EDC" w:rsidRDefault="00CF0754" w:rsidP="00B320C7">
      <w:pPr>
        <w:pStyle w:val="ListParagraph"/>
        <w:numPr>
          <w:ilvl w:val="1"/>
          <w:numId w:val="182"/>
        </w:numPr>
        <w:tabs>
          <w:tab w:val="left" w:pos="1066"/>
        </w:tabs>
        <w:ind w:right="699"/>
        <w:rPr>
          <w:rFonts w:ascii="Calibri"/>
          <w:sz w:val="24"/>
        </w:rPr>
      </w:pPr>
      <w:r w:rsidRPr="00150EDC">
        <w:rPr>
          <w:rFonts w:ascii="Calibri"/>
          <w:sz w:val="24"/>
        </w:rPr>
        <w:t>If</w:t>
      </w:r>
      <w:r w:rsidRPr="00150EDC">
        <w:rPr>
          <w:rFonts w:ascii="Calibri"/>
          <w:spacing w:val="-2"/>
          <w:sz w:val="24"/>
        </w:rPr>
        <w:t xml:space="preserve"> </w:t>
      </w:r>
      <w:r w:rsidRPr="00150EDC">
        <w:rPr>
          <w:rFonts w:ascii="Calibri"/>
          <w:sz w:val="24"/>
        </w:rPr>
        <w:t>requested,</w:t>
      </w:r>
      <w:r w:rsidRPr="00150EDC">
        <w:rPr>
          <w:rFonts w:ascii="Calibri"/>
          <w:spacing w:val="-5"/>
          <w:sz w:val="24"/>
        </w:rPr>
        <w:t xml:space="preserve"> </w:t>
      </w:r>
      <w:r w:rsidRPr="00150EDC">
        <w:rPr>
          <w:rFonts w:ascii="Calibri"/>
          <w:sz w:val="24"/>
        </w:rPr>
        <w:t>the</w:t>
      </w:r>
      <w:r w:rsidRPr="00150EDC">
        <w:rPr>
          <w:rFonts w:ascii="Calibri"/>
          <w:spacing w:val="-2"/>
          <w:sz w:val="24"/>
        </w:rPr>
        <w:t xml:space="preserve"> </w:t>
      </w:r>
      <w:r w:rsidRPr="00150EDC">
        <w:rPr>
          <w:rFonts w:ascii="Calibri"/>
          <w:sz w:val="24"/>
        </w:rPr>
        <w:t>Supplier</w:t>
      </w:r>
      <w:r w:rsidRPr="00150EDC">
        <w:rPr>
          <w:rFonts w:ascii="Calibri"/>
          <w:spacing w:val="-2"/>
          <w:sz w:val="24"/>
        </w:rPr>
        <w:t xml:space="preserve"> </w:t>
      </w:r>
      <w:r w:rsidRPr="00150EDC">
        <w:rPr>
          <w:rFonts w:ascii="Calibri"/>
          <w:sz w:val="24"/>
        </w:rPr>
        <w:t>must</w:t>
      </w:r>
      <w:r w:rsidRPr="00150EDC">
        <w:rPr>
          <w:rFonts w:ascii="Calibri"/>
          <w:spacing w:val="-4"/>
          <w:sz w:val="24"/>
        </w:rPr>
        <w:t xml:space="preserve"> </w:t>
      </w:r>
      <w:r w:rsidRPr="00150EDC">
        <w:rPr>
          <w:rFonts w:ascii="Calibri"/>
          <w:sz w:val="24"/>
        </w:rPr>
        <w:t>replace</w:t>
      </w:r>
      <w:r w:rsidRPr="00150EDC">
        <w:rPr>
          <w:rFonts w:ascii="Calibri"/>
          <w:spacing w:val="-3"/>
          <w:sz w:val="24"/>
        </w:rPr>
        <w:t xml:space="preserve"> </w:t>
      </w:r>
      <w:r w:rsidRPr="00150EDC">
        <w:rPr>
          <w:rFonts w:ascii="Calibri"/>
          <w:sz w:val="24"/>
        </w:rPr>
        <w:t>any</w:t>
      </w:r>
      <w:r w:rsidRPr="00150EDC">
        <w:rPr>
          <w:rFonts w:ascii="Calibri"/>
          <w:spacing w:val="-3"/>
          <w:sz w:val="24"/>
        </w:rPr>
        <w:t xml:space="preserve"> </w:t>
      </w:r>
      <w:r w:rsidRPr="00150EDC">
        <w:rPr>
          <w:rFonts w:ascii="Calibri"/>
          <w:sz w:val="24"/>
        </w:rPr>
        <w:t>person</w:t>
      </w:r>
      <w:r w:rsidRPr="00150EDC">
        <w:rPr>
          <w:rFonts w:ascii="Calibri"/>
          <w:spacing w:val="-2"/>
          <w:sz w:val="24"/>
        </w:rPr>
        <w:t xml:space="preserve"> </w:t>
      </w:r>
      <w:r w:rsidRPr="00150EDC">
        <w:rPr>
          <w:rFonts w:ascii="Calibri"/>
          <w:sz w:val="24"/>
        </w:rPr>
        <w:t>whose</w:t>
      </w:r>
      <w:r w:rsidRPr="00150EDC">
        <w:rPr>
          <w:rFonts w:ascii="Calibri"/>
          <w:spacing w:val="-4"/>
          <w:sz w:val="24"/>
        </w:rPr>
        <w:t xml:space="preserve"> </w:t>
      </w:r>
      <w:r w:rsidRPr="00150EDC">
        <w:rPr>
          <w:rFonts w:ascii="Calibri"/>
          <w:sz w:val="24"/>
        </w:rPr>
        <w:t>acts</w:t>
      </w:r>
      <w:r w:rsidRPr="00150EDC">
        <w:rPr>
          <w:rFonts w:ascii="Calibri"/>
          <w:spacing w:val="-3"/>
          <w:sz w:val="24"/>
        </w:rPr>
        <w:t xml:space="preserve"> </w:t>
      </w:r>
      <w:r w:rsidRPr="00150EDC">
        <w:rPr>
          <w:rFonts w:ascii="Calibri"/>
          <w:sz w:val="24"/>
        </w:rPr>
        <w:t>or</w:t>
      </w:r>
      <w:r w:rsidRPr="00150EDC">
        <w:rPr>
          <w:rFonts w:ascii="Calibri"/>
          <w:spacing w:val="-2"/>
          <w:sz w:val="24"/>
        </w:rPr>
        <w:t xml:space="preserve"> </w:t>
      </w:r>
      <w:r w:rsidRPr="00150EDC">
        <w:rPr>
          <w:rFonts w:ascii="Calibri"/>
          <w:sz w:val="24"/>
        </w:rPr>
        <w:t>omissions</w:t>
      </w:r>
      <w:r w:rsidRPr="00150EDC">
        <w:rPr>
          <w:rFonts w:ascii="Calibri"/>
          <w:spacing w:val="-3"/>
          <w:sz w:val="24"/>
        </w:rPr>
        <w:t xml:space="preserve"> </w:t>
      </w:r>
      <w:r w:rsidRPr="00150EDC">
        <w:rPr>
          <w:rFonts w:ascii="Calibri"/>
          <w:sz w:val="24"/>
        </w:rPr>
        <w:t>have</w:t>
      </w:r>
      <w:r w:rsidRPr="00150EDC">
        <w:rPr>
          <w:rFonts w:ascii="Calibri"/>
          <w:spacing w:val="-2"/>
          <w:sz w:val="24"/>
        </w:rPr>
        <w:t xml:space="preserve"> </w:t>
      </w:r>
      <w:r w:rsidRPr="00150EDC">
        <w:rPr>
          <w:rFonts w:ascii="Calibri"/>
          <w:sz w:val="24"/>
        </w:rPr>
        <w:t>caused</w:t>
      </w:r>
      <w:r w:rsidRPr="00150EDC">
        <w:rPr>
          <w:rFonts w:ascii="Calibri"/>
          <w:spacing w:val="-4"/>
          <w:sz w:val="24"/>
        </w:rPr>
        <w:t xml:space="preserve"> </w:t>
      </w:r>
      <w:r w:rsidRPr="00150EDC">
        <w:rPr>
          <w:rFonts w:ascii="Calibri"/>
          <w:sz w:val="24"/>
        </w:rPr>
        <w:t>the</w:t>
      </w:r>
      <w:r w:rsidRPr="00150EDC">
        <w:rPr>
          <w:rFonts w:ascii="Calibri"/>
          <w:spacing w:val="-2"/>
          <w:sz w:val="24"/>
        </w:rPr>
        <w:t xml:space="preserve"> </w:t>
      </w:r>
      <w:r w:rsidRPr="00150EDC">
        <w:rPr>
          <w:rFonts w:ascii="Calibri"/>
          <w:sz w:val="24"/>
        </w:rPr>
        <w:t>Supplier</w:t>
      </w:r>
      <w:r w:rsidRPr="00150EDC">
        <w:rPr>
          <w:rFonts w:ascii="Calibri"/>
          <w:spacing w:val="-2"/>
          <w:sz w:val="24"/>
        </w:rPr>
        <w:t xml:space="preserve"> </w:t>
      </w:r>
      <w:r w:rsidRPr="00150EDC">
        <w:rPr>
          <w:rFonts w:ascii="Calibri"/>
          <w:sz w:val="24"/>
        </w:rPr>
        <w:t>to breach Clause 27.</w:t>
      </w:r>
    </w:p>
    <w:p w14:paraId="055D5C85" w14:textId="77777777" w:rsidR="004C7180" w:rsidRPr="00150EDC" w:rsidRDefault="004C7180">
      <w:pPr>
        <w:pStyle w:val="BodyText"/>
        <w:spacing w:before="11"/>
        <w:rPr>
          <w:rFonts w:ascii="Calibri"/>
          <w:sz w:val="23"/>
        </w:rPr>
      </w:pPr>
    </w:p>
    <w:p w14:paraId="69B306E6" w14:textId="77777777" w:rsidR="004C7180" w:rsidRPr="00150EDC" w:rsidRDefault="00CF0754" w:rsidP="00B320C7">
      <w:pPr>
        <w:pStyle w:val="ListParagraph"/>
        <w:numPr>
          <w:ilvl w:val="1"/>
          <w:numId w:val="182"/>
        </w:numPr>
        <w:tabs>
          <w:tab w:val="left" w:pos="1066"/>
        </w:tabs>
        <w:spacing w:before="1"/>
        <w:ind w:right="992"/>
        <w:rPr>
          <w:rFonts w:ascii="Calibri" w:hAnsi="Calibri"/>
          <w:sz w:val="24"/>
        </w:rPr>
      </w:pPr>
      <w:r w:rsidRPr="00150EDC">
        <w:rPr>
          <w:rFonts w:ascii="Calibri" w:hAnsi="Calibri"/>
          <w:sz w:val="24"/>
        </w:rPr>
        <w:t>The</w:t>
      </w:r>
      <w:r w:rsidRPr="00150EDC">
        <w:rPr>
          <w:rFonts w:ascii="Calibri" w:hAnsi="Calibri"/>
          <w:spacing w:val="-2"/>
          <w:sz w:val="24"/>
        </w:rPr>
        <w:t xml:space="preserve"> </w:t>
      </w:r>
      <w:r w:rsidRPr="00150EDC">
        <w:rPr>
          <w:rFonts w:ascii="Calibri" w:hAnsi="Calibri"/>
          <w:sz w:val="24"/>
        </w:rPr>
        <w:t>Supplier</w:t>
      </w:r>
      <w:r w:rsidRPr="00150EDC">
        <w:rPr>
          <w:rFonts w:ascii="Calibri" w:hAnsi="Calibri"/>
          <w:spacing w:val="-4"/>
          <w:sz w:val="24"/>
        </w:rPr>
        <w:t xml:space="preserve"> </w:t>
      </w:r>
      <w:r w:rsidRPr="00150EDC">
        <w:rPr>
          <w:rFonts w:ascii="Calibri" w:hAnsi="Calibri"/>
          <w:sz w:val="24"/>
        </w:rPr>
        <w:t>must</w:t>
      </w:r>
      <w:r w:rsidRPr="00150EDC">
        <w:rPr>
          <w:rFonts w:ascii="Calibri" w:hAnsi="Calibri"/>
          <w:spacing w:val="-2"/>
          <w:sz w:val="24"/>
        </w:rPr>
        <w:t xml:space="preserve"> </w:t>
      </w:r>
      <w:r w:rsidRPr="00150EDC">
        <w:rPr>
          <w:rFonts w:ascii="Calibri" w:hAnsi="Calibri"/>
          <w:sz w:val="24"/>
        </w:rPr>
        <w:t>provide</w:t>
      </w:r>
      <w:r w:rsidRPr="00150EDC">
        <w:rPr>
          <w:rFonts w:ascii="Calibri" w:hAnsi="Calibri"/>
          <w:spacing w:val="-2"/>
          <w:sz w:val="24"/>
        </w:rPr>
        <w:t xml:space="preserve"> </w:t>
      </w:r>
      <w:r w:rsidRPr="00150EDC">
        <w:rPr>
          <w:rFonts w:ascii="Calibri" w:hAnsi="Calibri"/>
          <w:sz w:val="24"/>
        </w:rPr>
        <w:t>a</w:t>
      </w:r>
      <w:r w:rsidRPr="00150EDC">
        <w:rPr>
          <w:rFonts w:ascii="Calibri" w:hAnsi="Calibri"/>
          <w:spacing w:val="-3"/>
          <w:sz w:val="24"/>
        </w:rPr>
        <w:t xml:space="preserve"> </w:t>
      </w:r>
      <w:r w:rsidRPr="00150EDC">
        <w:rPr>
          <w:rFonts w:ascii="Calibri" w:hAnsi="Calibri"/>
          <w:sz w:val="24"/>
        </w:rPr>
        <w:t>list</w:t>
      </w:r>
      <w:r w:rsidRPr="00150EDC">
        <w:rPr>
          <w:rFonts w:ascii="Calibri" w:hAnsi="Calibri"/>
          <w:spacing w:val="-2"/>
          <w:sz w:val="24"/>
        </w:rPr>
        <w:t xml:space="preserve"> </w:t>
      </w:r>
      <w:r w:rsidRPr="00150EDC">
        <w:rPr>
          <w:rFonts w:ascii="Calibri" w:hAnsi="Calibri"/>
          <w:sz w:val="24"/>
        </w:rPr>
        <w:t>of</w:t>
      </w:r>
      <w:r w:rsidRPr="00150EDC">
        <w:rPr>
          <w:rFonts w:ascii="Calibri" w:hAnsi="Calibri"/>
          <w:spacing w:val="-2"/>
          <w:sz w:val="24"/>
        </w:rPr>
        <w:t xml:space="preserve"> </w:t>
      </w:r>
      <w:r w:rsidRPr="00150EDC">
        <w:rPr>
          <w:rFonts w:ascii="Calibri" w:hAnsi="Calibri"/>
          <w:sz w:val="24"/>
        </w:rPr>
        <w:t>Supplier</w:t>
      </w:r>
      <w:r w:rsidRPr="00150EDC">
        <w:rPr>
          <w:rFonts w:ascii="Calibri" w:hAnsi="Calibri"/>
          <w:spacing w:val="-2"/>
          <w:sz w:val="24"/>
        </w:rPr>
        <w:t xml:space="preserve"> </w:t>
      </w:r>
      <w:r w:rsidRPr="00150EDC">
        <w:rPr>
          <w:rFonts w:ascii="Calibri" w:hAnsi="Calibri"/>
          <w:sz w:val="24"/>
        </w:rPr>
        <w:t>Staff</w:t>
      </w:r>
      <w:r w:rsidRPr="00150EDC">
        <w:rPr>
          <w:rFonts w:ascii="Calibri" w:hAnsi="Calibri"/>
          <w:spacing w:val="-4"/>
          <w:sz w:val="24"/>
        </w:rPr>
        <w:t xml:space="preserve"> </w:t>
      </w:r>
      <w:r w:rsidRPr="00150EDC">
        <w:rPr>
          <w:rFonts w:ascii="Calibri" w:hAnsi="Calibri"/>
          <w:sz w:val="24"/>
        </w:rPr>
        <w:t>needing</w:t>
      </w:r>
      <w:r w:rsidRPr="00150EDC">
        <w:rPr>
          <w:rFonts w:ascii="Calibri" w:hAnsi="Calibri"/>
          <w:spacing w:val="-5"/>
          <w:sz w:val="24"/>
        </w:rPr>
        <w:t xml:space="preserve"> </w:t>
      </w:r>
      <w:r w:rsidRPr="00150EDC">
        <w:rPr>
          <w:rFonts w:ascii="Calibri" w:hAnsi="Calibri"/>
          <w:sz w:val="24"/>
        </w:rPr>
        <w:t>to</w:t>
      </w:r>
      <w:r w:rsidRPr="00150EDC">
        <w:rPr>
          <w:rFonts w:ascii="Calibri" w:hAnsi="Calibri"/>
          <w:spacing w:val="-2"/>
          <w:sz w:val="24"/>
        </w:rPr>
        <w:t xml:space="preserve"> </w:t>
      </w:r>
      <w:r w:rsidRPr="00150EDC">
        <w:rPr>
          <w:rFonts w:ascii="Calibri" w:hAnsi="Calibri"/>
          <w:sz w:val="24"/>
        </w:rPr>
        <w:t>access</w:t>
      </w:r>
      <w:r w:rsidRPr="00150EDC">
        <w:rPr>
          <w:rFonts w:ascii="Calibri" w:hAnsi="Calibri"/>
          <w:spacing w:val="-3"/>
          <w:sz w:val="24"/>
        </w:rPr>
        <w:t xml:space="preserve"> </w:t>
      </w:r>
      <w:r w:rsidRPr="00150EDC">
        <w:rPr>
          <w:rFonts w:ascii="Calibri" w:hAnsi="Calibri"/>
          <w:sz w:val="24"/>
        </w:rPr>
        <w:t>the</w:t>
      </w:r>
      <w:r w:rsidRPr="00150EDC">
        <w:rPr>
          <w:rFonts w:ascii="Calibri" w:hAnsi="Calibri"/>
          <w:spacing w:val="-2"/>
          <w:sz w:val="24"/>
        </w:rPr>
        <w:t xml:space="preserve"> </w:t>
      </w:r>
      <w:r w:rsidRPr="00150EDC">
        <w:rPr>
          <w:rFonts w:ascii="Calibri" w:hAnsi="Calibri"/>
          <w:sz w:val="24"/>
        </w:rPr>
        <w:t>Buyer’s</w:t>
      </w:r>
      <w:r w:rsidRPr="00150EDC">
        <w:rPr>
          <w:rFonts w:ascii="Calibri" w:hAnsi="Calibri"/>
          <w:spacing w:val="-4"/>
          <w:sz w:val="24"/>
        </w:rPr>
        <w:t xml:space="preserve"> </w:t>
      </w:r>
      <w:r w:rsidRPr="00150EDC">
        <w:rPr>
          <w:rFonts w:ascii="Calibri" w:hAnsi="Calibri"/>
          <w:sz w:val="24"/>
        </w:rPr>
        <w:t>Premises</w:t>
      </w:r>
      <w:r w:rsidRPr="00150EDC">
        <w:rPr>
          <w:rFonts w:ascii="Calibri" w:hAnsi="Calibri"/>
          <w:spacing w:val="-3"/>
          <w:sz w:val="24"/>
        </w:rPr>
        <w:t xml:space="preserve"> </w:t>
      </w:r>
      <w:r w:rsidRPr="00150EDC">
        <w:rPr>
          <w:rFonts w:ascii="Calibri" w:hAnsi="Calibri"/>
          <w:sz w:val="24"/>
        </w:rPr>
        <w:t>and</w:t>
      </w:r>
      <w:r w:rsidRPr="00150EDC">
        <w:rPr>
          <w:rFonts w:ascii="Calibri" w:hAnsi="Calibri"/>
          <w:spacing w:val="-2"/>
          <w:sz w:val="24"/>
        </w:rPr>
        <w:t xml:space="preserve"> </w:t>
      </w:r>
      <w:r w:rsidRPr="00150EDC">
        <w:rPr>
          <w:rFonts w:ascii="Calibri" w:hAnsi="Calibri"/>
          <w:sz w:val="24"/>
        </w:rPr>
        <w:t>say</w:t>
      </w:r>
      <w:r w:rsidRPr="00150EDC">
        <w:rPr>
          <w:rFonts w:ascii="Calibri" w:hAnsi="Calibri"/>
          <w:spacing w:val="-3"/>
          <w:sz w:val="24"/>
        </w:rPr>
        <w:t xml:space="preserve"> </w:t>
      </w:r>
      <w:r w:rsidRPr="00150EDC">
        <w:rPr>
          <w:rFonts w:ascii="Calibri" w:hAnsi="Calibri"/>
          <w:sz w:val="24"/>
        </w:rPr>
        <w:t>why access is required.</w:t>
      </w:r>
    </w:p>
    <w:p w14:paraId="141C8252" w14:textId="77777777" w:rsidR="004C7180" w:rsidRPr="00150EDC" w:rsidRDefault="004C7180">
      <w:pPr>
        <w:pStyle w:val="BodyText"/>
        <w:spacing w:before="11"/>
        <w:rPr>
          <w:rFonts w:ascii="Calibri"/>
          <w:sz w:val="23"/>
        </w:rPr>
      </w:pPr>
    </w:p>
    <w:p w14:paraId="24C03252" w14:textId="77777777" w:rsidR="004C7180" w:rsidRPr="00150EDC" w:rsidRDefault="00CF0754" w:rsidP="00B320C7">
      <w:pPr>
        <w:pStyle w:val="ListParagraph"/>
        <w:numPr>
          <w:ilvl w:val="1"/>
          <w:numId w:val="182"/>
        </w:numPr>
        <w:tabs>
          <w:tab w:val="left" w:pos="1066"/>
        </w:tabs>
        <w:spacing w:before="1"/>
        <w:ind w:right="892"/>
        <w:rPr>
          <w:rFonts w:ascii="Calibri"/>
          <w:sz w:val="24"/>
        </w:rPr>
      </w:pPr>
      <w:r w:rsidRPr="00150EDC">
        <w:rPr>
          <w:rFonts w:ascii="Calibri"/>
          <w:sz w:val="24"/>
        </w:rPr>
        <w:t>The</w:t>
      </w:r>
      <w:r w:rsidRPr="00150EDC">
        <w:rPr>
          <w:rFonts w:ascii="Calibri"/>
          <w:spacing w:val="-2"/>
          <w:sz w:val="24"/>
        </w:rPr>
        <w:t xml:space="preserve"> </w:t>
      </w:r>
      <w:r w:rsidRPr="00150EDC">
        <w:rPr>
          <w:rFonts w:ascii="Calibri"/>
          <w:sz w:val="24"/>
        </w:rPr>
        <w:t>Supplier</w:t>
      </w:r>
      <w:r w:rsidRPr="00150EDC">
        <w:rPr>
          <w:rFonts w:ascii="Calibri"/>
          <w:spacing w:val="-4"/>
          <w:sz w:val="24"/>
        </w:rPr>
        <w:t xml:space="preserve"> </w:t>
      </w:r>
      <w:r w:rsidRPr="00150EDC">
        <w:rPr>
          <w:rFonts w:ascii="Calibri"/>
          <w:sz w:val="24"/>
        </w:rPr>
        <w:t>indemnifies</w:t>
      </w:r>
      <w:r w:rsidRPr="00150EDC">
        <w:rPr>
          <w:rFonts w:ascii="Calibri"/>
          <w:spacing w:val="-5"/>
          <w:sz w:val="24"/>
        </w:rPr>
        <w:t xml:space="preserve"> </w:t>
      </w:r>
      <w:r w:rsidRPr="00150EDC">
        <w:rPr>
          <w:rFonts w:ascii="Calibri"/>
          <w:sz w:val="24"/>
        </w:rPr>
        <w:t>CCS</w:t>
      </w:r>
      <w:r w:rsidRPr="00150EDC">
        <w:rPr>
          <w:rFonts w:ascii="Calibri"/>
          <w:spacing w:val="-3"/>
          <w:sz w:val="24"/>
        </w:rPr>
        <w:t xml:space="preserve"> </w:t>
      </w:r>
      <w:r w:rsidRPr="00150EDC">
        <w:rPr>
          <w:rFonts w:ascii="Calibri"/>
          <w:sz w:val="24"/>
        </w:rPr>
        <w:t>and</w:t>
      </w:r>
      <w:r w:rsidRPr="00150EDC">
        <w:rPr>
          <w:rFonts w:ascii="Calibri"/>
          <w:spacing w:val="-4"/>
          <w:sz w:val="24"/>
        </w:rPr>
        <w:t xml:space="preserve"> </w:t>
      </w:r>
      <w:r w:rsidRPr="00150EDC">
        <w:rPr>
          <w:rFonts w:ascii="Calibri"/>
          <w:sz w:val="24"/>
        </w:rPr>
        <w:t>the</w:t>
      </w:r>
      <w:r w:rsidRPr="00150EDC">
        <w:rPr>
          <w:rFonts w:ascii="Calibri"/>
          <w:spacing w:val="-2"/>
          <w:sz w:val="24"/>
        </w:rPr>
        <w:t xml:space="preserve"> </w:t>
      </w:r>
      <w:r w:rsidRPr="00150EDC">
        <w:rPr>
          <w:rFonts w:ascii="Calibri"/>
          <w:sz w:val="24"/>
        </w:rPr>
        <w:t>Buyer</w:t>
      </w:r>
      <w:r w:rsidRPr="00150EDC">
        <w:rPr>
          <w:rFonts w:ascii="Calibri"/>
          <w:spacing w:val="-5"/>
          <w:sz w:val="24"/>
        </w:rPr>
        <w:t xml:space="preserve"> </w:t>
      </w:r>
      <w:r w:rsidRPr="00150EDC">
        <w:rPr>
          <w:rFonts w:ascii="Calibri"/>
          <w:sz w:val="24"/>
        </w:rPr>
        <w:t>against</w:t>
      </w:r>
      <w:r w:rsidRPr="00150EDC">
        <w:rPr>
          <w:rFonts w:ascii="Calibri"/>
          <w:spacing w:val="-2"/>
          <w:sz w:val="24"/>
        </w:rPr>
        <w:t xml:space="preserve"> </w:t>
      </w:r>
      <w:r w:rsidRPr="00150EDC">
        <w:rPr>
          <w:rFonts w:ascii="Calibri"/>
          <w:sz w:val="24"/>
        </w:rPr>
        <w:t>all</w:t>
      </w:r>
      <w:r w:rsidRPr="00150EDC">
        <w:rPr>
          <w:rFonts w:ascii="Calibri"/>
          <w:spacing w:val="-2"/>
          <w:sz w:val="24"/>
        </w:rPr>
        <w:t xml:space="preserve"> </w:t>
      </w:r>
      <w:r w:rsidRPr="00150EDC">
        <w:rPr>
          <w:rFonts w:ascii="Calibri"/>
          <w:sz w:val="24"/>
        </w:rPr>
        <w:t>claims</w:t>
      </w:r>
      <w:r w:rsidRPr="00150EDC">
        <w:rPr>
          <w:rFonts w:ascii="Calibri"/>
          <w:spacing w:val="-5"/>
          <w:sz w:val="24"/>
        </w:rPr>
        <w:t xml:space="preserve"> </w:t>
      </w:r>
      <w:r w:rsidRPr="00150EDC">
        <w:rPr>
          <w:rFonts w:ascii="Calibri"/>
          <w:sz w:val="24"/>
        </w:rPr>
        <w:t>brought</w:t>
      </w:r>
      <w:r w:rsidRPr="00150EDC">
        <w:rPr>
          <w:rFonts w:ascii="Calibri"/>
          <w:spacing w:val="-4"/>
          <w:sz w:val="24"/>
        </w:rPr>
        <w:t xml:space="preserve"> </w:t>
      </w:r>
      <w:r w:rsidRPr="00150EDC">
        <w:rPr>
          <w:rFonts w:ascii="Calibri"/>
          <w:sz w:val="24"/>
        </w:rPr>
        <w:t>by</w:t>
      </w:r>
      <w:r w:rsidRPr="00150EDC">
        <w:rPr>
          <w:rFonts w:ascii="Calibri"/>
          <w:spacing w:val="-3"/>
          <w:sz w:val="24"/>
        </w:rPr>
        <w:t xml:space="preserve"> </w:t>
      </w:r>
      <w:r w:rsidRPr="00150EDC">
        <w:rPr>
          <w:rFonts w:ascii="Calibri"/>
          <w:sz w:val="24"/>
        </w:rPr>
        <w:t>any</w:t>
      </w:r>
      <w:r w:rsidRPr="00150EDC">
        <w:rPr>
          <w:rFonts w:ascii="Calibri"/>
          <w:spacing w:val="-3"/>
          <w:sz w:val="24"/>
        </w:rPr>
        <w:t xml:space="preserve"> </w:t>
      </w:r>
      <w:r w:rsidRPr="00150EDC">
        <w:rPr>
          <w:rFonts w:ascii="Calibri"/>
          <w:sz w:val="24"/>
        </w:rPr>
        <w:t>person</w:t>
      </w:r>
      <w:r w:rsidRPr="00150EDC">
        <w:rPr>
          <w:rFonts w:ascii="Calibri"/>
          <w:spacing w:val="-3"/>
          <w:sz w:val="24"/>
        </w:rPr>
        <w:t xml:space="preserve"> </w:t>
      </w:r>
      <w:r w:rsidRPr="00150EDC">
        <w:rPr>
          <w:rFonts w:ascii="Calibri"/>
          <w:sz w:val="24"/>
        </w:rPr>
        <w:t>employed</w:t>
      </w:r>
      <w:r w:rsidRPr="00150EDC">
        <w:rPr>
          <w:rFonts w:ascii="Calibri"/>
          <w:spacing w:val="-4"/>
          <w:sz w:val="24"/>
        </w:rPr>
        <w:t xml:space="preserve"> </w:t>
      </w:r>
      <w:r w:rsidRPr="00150EDC">
        <w:rPr>
          <w:rFonts w:ascii="Calibri"/>
          <w:sz w:val="24"/>
        </w:rPr>
        <w:t>by</w:t>
      </w:r>
      <w:r w:rsidRPr="00150EDC">
        <w:rPr>
          <w:rFonts w:ascii="Calibri"/>
          <w:spacing w:val="-3"/>
          <w:sz w:val="24"/>
        </w:rPr>
        <w:t xml:space="preserve"> </w:t>
      </w:r>
      <w:r w:rsidRPr="00150EDC">
        <w:rPr>
          <w:rFonts w:ascii="Calibri"/>
          <w:sz w:val="24"/>
        </w:rPr>
        <w:t>the Supplier caused by an act or omission of the Supplier or any Supplier Staff.</w:t>
      </w:r>
    </w:p>
    <w:p w14:paraId="7C5745E8" w14:textId="77777777" w:rsidR="004C7180" w:rsidRPr="00150EDC" w:rsidRDefault="004C7180">
      <w:pPr>
        <w:pStyle w:val="BodyText"/>
        <w:spacing w:before="9"/>
        <w:rPr>
          <w:rFonts w:ascii="Calibri"/>
          <w:sz w:val="25"/>
        </w:rPr>
      </w:pPr>
    </w:p>
    <w:p w14:paraId="3B21D87B" w14:textId="77777777" w:rsidR="004C7180" w:rsidRPr="00150EDC" w:rsidRDefault="00CF0754" w:rsidP="00B320C7">
      <w:pPr>
        <w:pStyle w:val="Heading1"/>
        <w:numPr>
          <w:ilvl w:val="0"/>
          <w:numId w:val="182"/>
        </w:numPr>
        <w:tabs>
          <w:tab w:val="left" w:pos="926"/>
        </w:tabs>
        <w:ind w:left="926" w:hanging="359"/>
        <w:jc w:val="left"/>
        <w:rPr>
          <w:rFonts w:ascii="Calibri"/>
        </w:rPr>
      </w:pPr>
      <w:r w:rsidRPr="00150EDC">
        <w:rPr>
          <w:rFonts w:ascii="Calibri"/>
        </w:rPr>
        <w:t>Rights</w:t>
      </w:r>
      <w:r w:rsidRPr="00150EDC">
        <w:rPr>
          <w:rFonts w:ascii="Calibri"/>
          <w:spacing w:val="-1"/>
        </w:rPr>
        <w:t xml:space="preserve"> </w:t>
      </w:r>
      <w:r w:rsidRPr="00150EDC">
        <w:rPr>
          <w:rFonts w:ascii="Calibri"/>
        </w:rPr>
        <w:t>and</w:t>
      </w:r>
      <w:r w:rsidRPr="00150EDC">
        <w:rPr>
          <w:rFonts w:ascii="Calibri"/>
          <w:spacing w:val="-2"/>
        </w:rPr>
        <w:t xml:space="preserve"> protection</w:t>
      </w:r>
    </w:p>
    <w:p w14:paraId="1C7AC2A0" w14:textId="77777777" w:rsidR="004C7180" w:rsidRPr="00150EDC" w:rsidRDefault="00CF0754" w:rsidP="00B320C7">
      <w:pPr>
        <w:pStyle w:val="ListParagraph"/>
        <w:numPr>
          <w:ilvl w:val="1"/>
          <w:numId w:val="182"/>
        </w:numPr>
        <w:tabs>
          <w:tab w:val="left" w:pos="1066"/>
        </w:tabs>
        <w:spacing w:before="18"/>
        <w:ind w:hanging="566"/>
        <w:rPr>
          <w:rFonts w:ascii="Calibri"/>
          <w:sz w:val="24"/>
        </w:rPr>
      </w:pPr>
      <w:r w:rsidRPr="00150EDC">
        <w:rPr>
          <w:rFonts w:ascii="Calibri"/>
          <w:sz w:val="24"/>
        </w:rPr>
        <w:t>The</w:t>
      </w:r>
      <w:r w:rsidRPr="00150EDC">
        <w:rPr>
          <w:rFonts w:ascii="Calibri"/>
          <w:spacing w:val="-3"/>
          <w:sz w:val="24"/>
        </w:rPr>
        <w:t xml:space="preserve"> </w:t>
      </w:r>
      <w:r w:rsidRPr="00150EDC">
        <w:rPr>
          <w:rFonts w:ascii="Calibri"/>
          <w:sz w:val="24"/>
        </w:rPr>
        <w:t>Supplier</w:t>
      </w:r>
      <w:r w:rsidRPr="00150EDC">
        <w:rPr>
          <w:rFonts w:ascii="Calibri"/>
          <w:spacing w:val="-4"/>
          <w:sz w:val="24"/>
        </w:rPr>
        <w:t xml:space="preserve"> </w:t>
      </w:r>
      <w:r w:rsidRPr="00150EDC">
        <w:rPr>
          <w:rFonts w:ascii="Calibri"/>
          <w:sz w:val="24"/>
        </w:rPr>
        <w:t>warrants</w:t>
      </w:r>
      <w:r w:rsidRPr="00150EDC">
        <w:rPr>
          <w:rFonts w:ascii="Calibri"/>
          <w:spacing w:val="-4"/>
          <w:sz w:val="24"/>
        </w:rPr>
        <w:t xml:space="preserve"> </w:t>
      </w:r>
      <w:r w:rsidRPr="00150EDC">
        <w:rPr>
          <w:rFonts w:ascii="Calibri"/>
          <w:sz w:val="24"/>
        </w:rPr>
        <w:t>and</w:t>
      </w:r>
      <w:r w:rsidRPr="00150EDC">
        <w:rPr>
          <w:rFonts w:ascii="Calibri"/>
          <w:spacing w:val="-2"/>
          <w:sz w:val="24"/>
        </w:rPr>
        <w:t xml:space="preserve"> </w:t>
      </w:r>
      <w:r w:rsidRPr="00150EDC">
        <w:rPr>
          <w:rFonts w:ascii="Calibri"/>
          <w:sz w:val="24"/>
        </w:rPr>
        <w:t>represents</w:t>
      </w:r>
      <w:r w:rsidRPr="00150EDC">
        <w:rPr>
          <w:rFonts w:ascii="Calibri"/>
          <w:spacing w:val="-5"/>
          <w:sz w:val="24"/>
        </w:rPr>
        <w:t xml:space="preserve"> </w:t>
      </w:r>
      <w:r w:rsidRPr="00150EDC">
        <w:rPr>
          <w:rFonts w:ascii="Calibri"/>
          <w:spacing w:val="-4"/>
          <w:sz w:val="24"/>
        </w:rPr>
        <w:t>that:</w:t>
      </w:r>
    </w:p>
    <w:p w14:paraId="2C8922BB" w14:textId="77777777" w:rsidR="004C7180" w:rsidRPr="00150EDC" w:rsidRDefault="004C7180">
      <w:pPr>
        <w:pStyle w:val="BodyText"/>
        <w:spacing w:before="9"/>
        <w:rPr>
          <w:rFonts w:ascii="Calibri"/>
          <w:sz w:val="25"/>
        </w:rPr>
      </w:pPr>
    </w:p>
    <w:p w14:paraId="24063906" w14:textId="77777777" w:rsidR="004C7180" w:rsidRPr="00150EDC" w:rsidRDefault="00CF0754" w:rsidP="00B320C7">
      <w:pPr>
        <w:pStyle w:val="ListParagraph"/>
        <w:numPr>
          <w:ilvl w:val="0"/>
          <w:numId w:val="169"/>
        </w:numPr>
        <w:tabs>
          <w:tab w:val="left" w:pos="1491"/>
        </w:tabs>
        <w:spacing w:before="1"/>
        <w:ind w:left="1491" w:hanging="425"/>
        <w:rPr>
          <w:rFonts w:ascii="Calibri"/>
          <w:sz w:val="24"/>
        </w:rPr>
      </w:pPr>
      <w:r w:rsidRPr="00150EDC">
        <w:rPr>
          <w:rFonts w:ascii="Calibri"/>
          <w:sz w:val="24"/>
        </w:rPr>
        <w:t>it</w:t>
      </w:r>
      <w:r w:rsidRPr="00150EDC">
        <w:rPr>
          <w:rFonts w:ascii="Calibri"/>
          <w:spacing w:val="-4"/>
          <w:sz w:val="24"/>
        </w:rPr>
        <w:t xml:space="preserve"> </w:t>
      </w:r>
      <w:r w:rsidRPr="00150EDC">
        <w:rPr>
          <w:rFonts w:ascii="Calibri"/>
          <w:sz w:val="24"/>
        </w:rPr>
        <w:t>has</w:t>
      </w:r>
      <w:r w:rsidRPr="00150EDC">
        <w:rPr>
          <w:rFonts w:ascii="Calibri"/>
          <w:spacing w:val="-5"/>
          <w:sz w:val="24"/>
        </w:rPr>
        <w:t xml:space="preserve"> </w:t>
      </w:r>
      <w:r w:rsidRPr="00150EDC">
        <w:rPr>
          <w:rFonts w:ascii="Calibri"/>
          <w:sz w:val="24"/>
        </w:rPr>
        <w:t>full</w:t>
      </w:r>
      <w:r w:rsidRPr="00150EDC">
        <w:rPr>
          <w:rFonts w:ascii="Calibri"/>
          <w:spacing w:val="-2"/>
          <w:sz w:val="24"/>
        </w:rPr>
        <w:t xml:space="preserve"> </w:t>
      </w:r>
      <w:r w:rsidRPr="00150EDC">
        <w:rPr>
          <w:rFonts w:ascii="Calibri"/>
          <w:sz w:val="24"/>
        </w:rPr>
        <w:t>capacity</w:t>
      </w:r>
      <w:r w:rsidRPr="00150EDC">
        <w:rPr>
          <w:rFonts w:ascii="Calibri"/>
          <w:spacing w:val="-3"/>
          <w:sz w:val="24"/>
        </w:rPr>
        <w:t xml:space="preserve"> </w:t>
      </w:r>
      <w:r w:rsidRPr="00150EDC">
        <w:rPr>
          <w:rFonts w:ascii="Calibri"/>
          <w:sz w:val="24"/>
        </w:rPr>
        <w:t>and</w:t>
      </w:r>
      <w:r w:rsidRPr="00150EDC">
        <w:rPr>
          <w:rFonts w:ascii="Calibri"/>
          <w:spacing w:val="-2"/>
          <w:sz w:val="24"/>
        </w:rPr>
        <w:t xml:space="preserve"> </w:t>
      </w:r>
      <w:r w:rsidRPr="00150EDC">
        <w:rPr>
          <w:rFonts w:ascii="Calibri"/>
          <w:sz w:val="24"/>
        </w:rPr>
        <w:t>authority</w:t>
      </w:r>
      <w:r w:rsidRPr="00150EDC">
        <w:rPr>
          <w:rFonts w:ascii="Calibri"/>
          <w:spacing w:val="-5"/>
          <w:sz w:val="24"/>
        </w:rPr>
        <w:t xml:space="preserve"> </w:t>
      </w:r>
      <w:r w:rsidRPr="00150EDC">
        <w:rPr>
          <w:rFonts w:ascii="Calibri"/>
          <w:sz w:val="24"/>
        </w:rPr>
        <w:t>to</w:t>
      </w:r>
      <w:r w:rsidRPr="00150EDC">
        <w:rPr>
          <w:rFonts w:ascii="Calibri"/>
          <w:spacing w:val="-5"/>
          <w:sz w:val="24"/>
        </w:rPr>
        <w:t xml:space="preserve"> </w:t>
      </w:r>
      <w:r w:rsidRPr="00150EDC">
        <w:rPr>
          <w:rFonts w:ascii="Calibri"/>
          <w:sz w:val="24"/>
        </w:rPr>
        <w:t>enter</w:t>
      </w:r>
      <w:r w:rsidRPr="00150EDC">
        <w:rPr>
          <w:rFonts w:ascii="Calibri"/>
          <w:spacing w:val="-3"/>
          <w:sz w:val="24"/>
        </w:rPr>
        <w:t xml:space="preserve"> </w:t>
      </w:r>
      <w:r w:rsidRPr="00150EDC">
        <w:rPr>
          <w:rFonts w:ascii="Calibri"/>
          <w:sz w:val="24"/>
        </w:rPr>
        <w:t>into</w:t>
      </w:r>
      <w:r w:rsidRPr="00150EDC">
        <w:rPr>
          <w:rFonts w:ascii="Calibri"/>
          <w:spacing w:val="-2"/>
          <w:sz w:val="24"/>
        </w:rPr>
        <w:t xml:space="preserve"> </w:t>
      </w:r>
      <w:r w:rsidRPr="00150EDC">
        <w:rPr>
          <w:rFonts w:ascii="Calibri"/>
          <w:sz w:val="24"/>
        </w:rPr>
        <w:t>and</w:t>
      </w:r>
      <w:r w:rsidRPr="00150EDC">
        <w:rPr>
          <w:rFonts w:ascii="Calibri"/>
          <w:spacing w:val="-2"/>
          <w:sz w:val="24"/>
        </w:rPr>
        <w:t xml:space="preserve"> </w:t>
      </w:r>
      <w:r w:rsidRPr="00150EDC">
        <w:rPr>
          <w:rFonts w:ascii="Calibri"/>
          <w:sz w:val="24"/>
        </w:rPr>
        <w:t>to</w:t>
      </w:r>
      <w:r w:rsidRPr="00150EDC">
        <w:rPr>
          <w:rFonts w:ascii="Calibri"/>
          <w:spacing w:val="-1"/>
          <w:sz w:val="24"/>
        </w:rPr>
        <w:t xml:space="preserve"> </w:t>
      </w:r>
      <w:r w:rsidRPr="00150EDC">
        <w:rPr>
          <w:rFonts w:ascii="Calibri"/>
          <w:sz w:val="24"/>
        </w:rPr>
        <w:t>perform</w:t>
      </w:r>
      <w:r w:rsidRPr="00150EDC">
        <w:rPr>
          <w:rFonts w:ascii="Calibri"/>
          <w:spacing w:val="-3"/>
          <w:sz w:val="24"/>
        </w:rPr>
        <w:t xml:space="preserve"> </w:t>
      </w:r>
      <w:r w:rsidRPr="00150EDC">
        <w:rPr>
          <w:rFonts w:ascii="Calibri"/>
          <w:sz w:val="24"/>
        </w:rPr>
        <w:t>each</w:t>
      </w:r>
      <w:r w:rsidRPr="00150EDC">
        <w:rPr>
          <w:rFonts w:ascii="Calibri"/>
          <w:spacing w:val="-1"/>
          <w:sz w:val="24"/>
        </w:rPr>
        <w:t xml:space="preserve"> </w:t>
      </w:r>
      <w:r w:rsidRPr="00150EDC">
        <w:rPr>
          <w:rFonts w:ascii="Calibri"/>
          <w:spacing w:val="-2"/>
          <w:sz w:val="24"/>
        </w:rPr>
        <w:t>Contract;</w:t>
      </w:r>
    </w:p>
    <w:p w14:paraId="1DC673E6" w14:textId="77777777" w:rsidR="004C7180" w:rsidRPr="00150EDC" w:rsidRDefault="00CF0754" w:rsidP="00B320C7">
      <w:pPr>
        <w:pStyle w:val="ListParagraph"/>
        <w:numPr>
          <w:ilvl w:val="0"/>
          <w:numId w:val="169"/>
        </w:numPr>
        <w:tabs>
          <w:tab w:val="left" w:pos="1491"/>
        </w:tabs>
        <w:spacing w:before="19"/>
        <w:ind w:left="1491" w:hanging="425"/>
        <w:rPr>
          <w:rFonts w:ascii="Calibri"/>
          <w:sz w:val="24"/>
        </w:rPr>
      </w:pPr>
      <w:r w:rsidRPr="00150EDC">
        <w:rPr>
          <w:rFonts w:ascii="Calibri"/>
          <w:sz w:val="24"/>
        </w:rPr>
        <w:t>each</w:t>
      </w:r>
      <w:r w:rsidRPr="00150EDC">
        <w:rPr>
          <w:rFonts w:ascii="Calibri"/>
          <w:spacing w:val="-3"/>
          <w:sz w:val="24"/>
        </w:rPr>
        <w:t xml:space="preserve"> </w:t>
      </w:r>
      <w:r w:rsidRPr="00150EDC">
        <w:rPr>
          <w:rFonts w:ascii="Calibri"/>
          <w:sz w:val="24"/>
        </w:rPr>
        <w:t>Contract</w:t>
      </w:r>
      <w:r w:rsidRPr="00150EDC">
        <w:rPr>
          <w:rFonts w:ascii="Calibri"/>
          <w:spacing w:val="-4"/>
          <w:sz w:val="24"/>
        </w:rPr>
        <w:t xml:space="preserve"> </w:t>
      </w:r>
      <w:r w:rsidRPr="00150EDC">
        <w:rPr>
          <w:rFonts w:ascii="Calibri"/>
          <w:sz w:val="24"/>
        </w:rPr>
        <w:t>is</w:t>
      </w:r>
      <w:r w:rsidRPr="00150EDC">
        <w:rPr>
          <w:rFonts w:ascii="Calibri"/>
          <w:spacing w:val="-3"/>
          <w:sz w:val="24"/>
        </w:rPr>
        <w:t xml:space="preserve"> </w:t>
      </w:r>
      <w:r w:rsidRPr="00150EDC">
        <w:rPr>
          <w:rFonts w:ascii="Calibri"/>
          <w:sz w:val="24"/>
        </w:rPr>
        <w:t>executed</w:t>
      </w:r>
      <w:r w:rsidRPr="00150EDC">
        <w:rPr>
          <w:rFonts w:ascii="Calibri"/>
          <w:spacing w:val="-2"/>
          <w:sz w:val="24"/>
        </w:rPr>
        <w:t xml:space="preserve"> </w:t>
      </w:r>
      <w:r w:rsidRPr="00150EDC">
        <w:rPr>
          <w:rFonts w:ascii="Calibri"/>
          <w:sz w:val="24"/>
        </w:rPr>
        <w:t>by</w:t>
      </w:r>
      <w:r w:rsidRPr="00150EDC">
        <w:rPr>
          <w:rFonts w:ascii="Calibri"/>
          <w:spacing w:val="-3"/>
          <w:sz w:val="24"/>
        </w:rPr>
        <w:t xml:space="preserve"> </w:t>
      </w:r>
      <w:r w:rsidRPr="00150EDC">
        <w:rPr>
          <w:rFonts w:ascii="Calibri"/>
          <w:sz w:val="24"/>
        </w:rPr>
        <w:t>its</w:t>
      </w:r>
      <w:r w:rsidRPr="00150EDC">
        <w:rPr>
          <w:rFonts w:ascii="Calibri"/>
          <w:spacing w:val="-3"/>
          <w:sz w:val="24"/>
        </w:rPr>
        <w:t xml:space="preserve"> </w:t>
      </w:r>
      <w:r w:rsidRPr="00150EDC">
        <w:rPr>
          <w:rFonts w:ascii="Calibri"/>
          <w:sz w:val="24"/>
        </w:rPr>
        <w:t>authorised</w:t>
      </w:r>
      <w:r w:rsidRPr="00150EDC">
        <w:rPr>
          <w:rFonts w:ascii="Calibri"/>
          <w:spacing w:val="-2"/>
          <w:sz w:val="24"/>
        </w:rPr>
        <w:t xml:space="preserve"> representative;</w:t>
      </w:r>
    </w:p>
    <w:p w14:paraId="6158F46D" w14:textId="77777777" w:rsidR="004C7180" w:rsidRPr="00150EDC" w:rsidRDefault="00CF0754" w:rsidP="00B320C7">
      <w:pPr>
        <w:pStyle w:val="ListParagraph"/>
        <w:numPr>
          <w:ilvl w:val="0"/>
          <w:numId w:val="169"/>
        </w:numPr>
        <w:tabs>
          <w:tab w:val="left" w:pos="1492"/>
        </w:tabs>
        <w:spacing w:before="19"/>
        <w:ind w:left="1492" w:hanging="426"/>
        <w:rPr>
          <w:rFonts w:ascii="Calibri"/>
          <w:sz w:val="24"/>
        </w:rPr>
      </w:pPr>
      <w:r w:rsidRPr="00150EDC">
        <w:rPr>
          <w:rFonts w:ascii="Calibri"/>
          <w:sz w:val="24"/>
        </w:rPr>
        <w:t>it</w:t>
      </w:r>
      <w:r w:rsidRPr="00150EDC">
        <w:rPr>
          <w:rFonts w:ascii="Calibri"/>
          <w:spacing w:val="-3"/>
          <w:sz w:val="24"/>
        </w:rPr>
        <w:t xml:space="preserve"> </w:t>
      </w:r>
      <w:r w:rsidRPr="00150EDC">
        <w:rPr>
          <w:rFonts w:ascii="Calibri"/>
          <w:sz w:val="24"/>
        </w:rPr>
        <w:t>is</w:t>
      </w:r>
      <w:r w:rsidRPr="00150EDC">
        <w:rPr>
          <w:rFonts w:ascii="Calibri"/>
          <w:spacing w:val="-3"/>
          <w:sz w:val="24"/>
        </w:rPr>
        <w:t xml:space="preserve"> </w:t>
      </w:r>
      <w:r w:rsidRPr="00150EDC">
        <w:rPr>
          <w:rFonts w:ascii="Calibri"/>
          <w:sz w:val="24"/>
        </w:rPr>
        <w:t>a</w:t>
      </w:r>
      <w:r w:rsidRPr="00150EDC">
        <w:rPr>
          <w:rFonts w:ascii="Calibri"/>
          <w:spacing w:val="-4"/>
          <w:sz w:val="24"/>
        </w:rPr>
        <w:t xml:space="preserve"> </w:t>
      </w:r>
      <w:r w:rsidRPr="00150EDC">
        <w:rPr>
          <w:rFonts w:ascii="Calibri"/>
          <w:sz w:val="24"/>
        </w:rPr>
        <w:t>legally</w:t>
      </w:r>
      <w:r w:rsidRPr="00150EDC">
        <w:rPr>
          <w:rFonts w:ascii="Calibri"/>
          <w:spacing w:val="-3"/>
          <w:sz w:val="24"/>
        </w:rPr>
        <w:t xml:space="preserve"> </w:t>
      </w:r>
      <w:r w:rsidRPr="00150EDC">
        <w:rPr>
          <w:rFonts w:ascii="Calibri"/>
          <w:sz w:val="24"/>
        </w:rPr>
        <w:t>valid</w:t>
      </w:r>
      <w:r w:rsidRPr="00150EDC">
        <w:rPr>
          <w:rFonts w:ascii="Calibri"/>
          <w:spacing w:val="-1"/>
          <w:sz w:val="24"/>
        </w:rPr>
        <w:t xml:space="preserve"> </w:t>
      </w:r>
      <w:r w:rsidRPr="00150EDC">
        <w:rPr>
          <w:rFonts w:ascii="Calibri"/>
          <w:sz w:val="24"/>
        </w:rPr>
        <w:t>and</w:t>
      </w:r>
      <w:r w:rsidRPr="00150EDC">
        <w:rPr>
          <w:rFonts w:ascii="Calibri"/>
          <w:spacing w:val="-4"/>
          <w:sz w:val="24"/>
        </w:rPr>
        <w:t xml:space="preserve"> </w:t>
      </w:r>
      <w:r w:rsidRPr="00150EDC">
        <w:rPr>
          <w:rFonts w:ascii="Calibri"/>
          <w:sz w:val="24"/>
        </w:rPr>
        <w:t>existing</w:t>
      </w:r>
      <w:r w:rsidRPr="00150EDC">
        <w:rPr>
          <w:rFonts w:ascii="Calibri"/>
          <w:spacing w:val="-3"/>
          <w:sz w:val="24"/>
        </w:rPr>
        <w:t xml:space="preserve"> </w:t>
      </w:r>
      <w:r w:rsidRPr="00150EDC">
        <w:rPr>
          <w:rFonts w:ascii="Calibri"/>
          <w:sz w:val="24"/>
        </w:rPr>
        <w:t>organisation</w:t>
      </w:r>
      <w:r w:rsidRPr="00150EDC">
        <w:rPr>
          <w:rFonts w:ascii="Calibri"/>
          <w:spacing w:val="-3"/>
          <w:sz w:val="24"/>
        </w:rPr>
        <w:t xml:space="preserve"> </w:t>
      </w:r>
      <w:r w:rsidRPr="00150EDC">
        <w:rPr>
          <w:rFonts w:ascii="Calibri"/>
          <w:sz w:val="24"/>
        </w:rPr>
        <w:t>incorporated</w:t>
      </w:r>
      <w:r w:rsidRPr="00150EDC">
        <w:rPr>
          <w:rFonts w:ascii="Calibri"/>
          <w:spacing w:val="-2"/>
          <w:sz w:val="24"/>
        </w:rPr>
        <w:t xml:space="preserve"> </w:t>
      </w:r>
      <w:r w:rsidRPr="00150EDC">
        <w:rPr>
          <w:rFonts w:ascii="Calibri"/>
          <w:sz w:val="24"/>
        </w:rPr>
        <w:t>in</w:t>
      </w:r>
      <w:r w:rsidRPr="00150EDC">
        <w:rPr>
          <w:rFonts w:ascii="Calibri"/>
          <w:spacing w:val="-1"/>
          <w:sz w:val="24"/>
        </w:rPr>
        <w:t xml:space="preserve"> </w:t>
      </w:r>
      <w:r w:rsidRPr="00150EDC">
        <w:rPr>
          <w:rFonts w:ascii="Calibri"/>
          <w:sz w:val="24"/>
        </w:rPr>
        <w:t>the</w:t>
      </w:r>
      <w:r w:rsidRPr="00150EDC">
        <w:rPr>
          <w:rFonts w:ascii="Calibri"/>
          <w:spacing w:val="-5"/>
          <w:sz w:val="24"/>
        </w:rPr>
        <w:t xml:space="preserve"> </w:t>
      </w:r>
      <w:r w:rsidRPr="00150EDC">
        <w:rPr>
          <w:rFonts w:ascii="Calibri"/>
          <w:sz w:val="24"/>
        </w:rPr>
        <w:t>place</w:t>
      </w:r>
      <w:r w:rsidRPr="00150EDC">
        <w:rPr>
          <w:rFonts w:ascii="Calibri"/>
          <w:spacing w:val="-4"/>
          <w:sz w:val="24"/>
        </w:rPr>
        <w:t xml:space="preserve"> </w:t>
      </w:r>
      <w:r w:rsidRPr="00150EDC">
        <w:rPr>
          <w:rFonts w:ascii="Calibri"/>
          <w:sz w:val="24"/>
        </w:rPr>
        <w:t>it</w:t>
      </w:r>
      <w:r w:rsidRPr="00150EDC">
        <w:rPr>
          <w:rFonts w:ascii="Calibri"/>
          <w:spacing w:val="-2"/>
          <w:sz w:val="24"/>
        </w:rPr>
        <w:t xml:space="preserve"> </w:t>
      </w:r>
      <w:r w:rsidRPr="00150EDC">
        <w:rPr>
          <w:rFonts w:ascii="Calibri"/>
          <w:sz w:val="24"/>
        </w:rPr>
        <w:t>was</w:t>
      </w:r>
      <w:r w:rsidRPr="00150EDC">
        <w:rPr>
          <w:rFonts w:ascii="Calibri"/>
          <w:spacing w:val="-2"/>
          <w:sz w:val="24"/>
        </w:rPr>
        <w:t xml:space="preserve"> formed;</w:t>
      </w:r>
    </w:p>
    <w:p w14:paraId="2CA5EA71" w14:textId="77777777" w:rsidR="004C7180" w:rsidRPr="00150EDC" w:rsidRDefault="00CF0754" w:rsidP="00B320C7">
      <w:pPr>
        <w:pStyle w:val="ListParagraph"/>
        <w:numPr>
          <w:ilvl w:val="0"/>
          <w:numId w:val="169"/>
        </w:numPr>
        <w:tabs>
          <w:tab w:val="left" w:pos="1491"/>
          <w:tab w:val="left" w:pos="1494"/>
        </w:tabs>
        <w:spacing w:before="21"/>
        <w:ind w:right="992"/>
        <w:jc w:val="both"/>
        <w:rPr>
          <w:rFonts w:ascii="Calibri"/>
          <w:sz w:val="24"/>
        </w:rPr>
      </w:pPr>
      <w:r w:rsidRPr="00150EDC">
        <w:rPr>
          <w:rFonts w:ascii="Calibri"/>
          <w:sz w:val="24"/>
        </w:rPr>
        <w:t>there</w:t>
      </w:r>
      <w:r w:rsidRPr="00150EDC">
        <w:rPr>
          <w:rFonts w:ascii="Calibri"/>
          <w:spacing w:val="-1"/>
          <w:sz w:val="24"/>
        </w:rPr>
        <w:t xml:space="preserve"> </w:t>
      </w:r>
      <w:r w:rsidRPr="00150EDC">
        <w:rPr>
          <w:rFonts w:ascii="Calibri"/>
          <w:sz w:val="24"/>
        </w:rPr>
        <w:t>are</w:t>
      </w:r>
      <w:r w:rsidRPr="00150EDC">
        <w:rPr>
          <w:rFonts w:ascii="Calibri"/>
          <w:spacing w:val="-3"/>
          <w:sz w:val="24"/>
        </w:rPr>
        <w:t xml:space="preserve"> </w:t>
      </w:r>
      <w:r w:rsidRPr="00150EDC">
        <w:rPr>
          <w:rFonts w:ascii="Calibri"/>
          <w:sz w:val="24"/>
        </w:rPr>
        <w:t>no</w:t>
      </w:r>
      <w:r w:rsidRPr="00150EDC">
        <w:rPr>
          <w:rFonts w:ascii="Calibri"/>
          <w:spacing w:val="-1"/>
          <w:sz w:val="24"/>
        </w:rPr>
        <w:t xml:space="preserve"> </w:t>
      </w:r>
      <w:r w:rsidRPr="00150EDC">
        <w:rPr>
          <w:rFonts w:ascii="Calibri"/>
          <w:sz w:val="24"/>
        </w:rPr>
        <w:t>known</w:t>
      </w:r>
      <w:r w:rsidRPr="00150EDC">
        <w:rPr>
          <w:rFonts w:ascii="Calibri"/>
          <w:spacing w:val="-4"/>
          <w:sz w:val="24"/>
        </w:rPr>
        <w:t xml:space="preserve"> </w:t>
      </w:r>
      <w:r w:rsidRPr="00150EDC">
        <w:rPr>
          <w:rFonts w:ascii="Calibri"/>
          <w:sz w:val="24"/>
        </w:rPr>
        <w:t>legal</w:t>
      </w:r>
      <w:r w:rsidRPr="00150EDC">
        <w:rPr>
          <w:rFonts w:ascii="Calibri"/>
          <w:spacing w:val="-4"/>
          <w:sz w:val="24"/>
        </w:rPr>
        <w:t xml:space="preserve"> </w:t>
      </w:r>
      <w:r w:rsidRPr="00150EDC">
        <w:rPr>
          <w:rFonts w:ascii="Calibri"/>
          <w:sz w:val="24"/>
        </w:rPr>
        <w:t>or</w:t>
      </w:r>
      <w:r w:rsidRPr="00150EDC">
        <w:rPr>
          <w:rFonts w:ascii="Calibri"/>
          <w:spacing w:val="-1"/>
          <w:sz w:val="24"/>
        </w:rPr>
        <w:t xml:space="preserve"> </w:t>
      </w:r>
      <w:r w:rsidRPr="00150EDC">
        <w:rPr>
          <w:rFonts w:ascii="Calibri"/>
          <w:sz w:val="24"/>
        </w:rPr>
        <w:t>regulatory</w:t>
      </w:r>
      <w:r w:rsidRPr="00150EDC">
        <w:rPr>
          <w:rFonts w:ascii="Calibri"/>
          <w:spacing w:val="-2"/>
          <w:sz w:val="24"/>
        </w:rPr>
        <w:t xml:space="preserve"> </w:t>
      </w:r>
      <w:r w:rsidRPr="00150EDC">
        <w:rPr>
          <w:rFonts w:ascii="Calibri"/>
          <w:sz w:val="24"/>
        </w:rPr>
        <w:t>actions</w:t>
      </w:r>
      <w:r w:rsidRPr="00150EDC">
        <w:rPr>
          <w:rFonts w:ascii="Calibri"/>
          <w:spacing w:val="-4"/>
          <w:sz w:val="24"/>
        </w:rPr>
        <w:t xml:space="preserve"> </w:t>
      </w:r>
      <w:r w:rsidRPr="00150EDC">
        <w:rPr>
          <w:rFonts w:ascii="Calibri"/>
          <w:sz w:val="24"/>
        </w:rPr>
        <w:t>or</w:t>
      </w:r>
      <w:r w:rsidRPr="00150EDC">
        <w:rPr>
          <w:rFonts w:ascii="Calibri"/>
          <w:spacing w:val="-3"/>
          <w:sz w:val="24"/>
        </w:rPr>
        <w:t xml:space="preserve"> </w:t>
      </w:r>
      <w:r w:rsidRPr="00150EDC">
        <w:rPr>
          <w:rFonts w:ascii="Calibri"/>
          <w:sz w:val="24"/>
        </w:rPr>
        <w:t>investigations</w:t>
      </w:r>
      <w:r w:rsidRPr="00150EDC">
        <w:rPr>
          <w:rFonts w:ascii="Calibri"/>
          <w:spacing w:val="-4"/>
          <w:sz w:val="24"/>
        </w:rPr>
        <w:t xml:space="preserve"> </w:t>
      </w:r>
      <w:r w:rsidRPr="00150EDC">
        <w:rPr>
          <w:rFonts w:ascii="Calibri"/>
          <w:sz w:val="24"/>
        </w:rPr>
        <w:t>before</w:t>
      </w:r>
      <w:r w:rsidRPr="00150EDC">
        <w:rPr>
          <w:rFonts w:ascii="Calibri"/>
          <w:spacing w:val="-4"/>
          <w:sz w:val="24"/>
        </w:rPr>
        <w:t xml:space="preserve"> </w:t>
      </w:r>
      <w:r w:rsidRPr="00150EDC">
        <w:rPr>
          <w:rFonts w:ascii="Calibri"/>
          <w:sz w:val="24"/>
        </w:rPr>
        <w:t>any</w:t>
      </w:r>
      <w:r w:rsidRPr="00150EDC">
        <w:rPr>
          <w:rFonts w:ascii="Calibri"/>
          <w:spacing w:val="-5"/>
          <w:sz w:val="24"/>
        </w:rPr>
        <w:t xml:space="preserve"> </w:t>
      </w:r>
      <w:r w:rsidRPr="00150EDC">
        <w:rPr>
          <w:rFonts w:ascii="Calibri"/>
          <w:sz w:val="24"/>
        </w:rPr>
        <w:t>court,</w:t>
      </w:r>
      <w:r w:rsidRPr="00150EDC">
        <w:rPr>
          <w:rFonts w:ascii="Calibri"/>
          <w:spacing w:val="-2"/>
          <w:sz w:val="24"/>
        </w:rPr>
        <w:t xml:space="preserve"> </w:t>
      </w:r>
      <w:r w:rsidRPr="00150EDC">
        <w:rPr>
          <w:rFonts w:ascii="Calibri"/>
          <w:sz w:val="24"/>
        </w:rPr>
        <w:t>administrative body</w:t>
      </w:r>
      <w:r w:rsidRPr="00150EDC">
        <w:rPr>
          <w:rFonts w:ascii="Calibri"/>
          <w:spacing w:val="-2"/>
          <w:sz w:val="24"/>
        </w:rPr>
        <w:t xml:space="preserve"> </w:t>
      </w:r>
      <w:r w:rsidRPr="00150EDC">
        <w:rPr>
          <w:rFonts w:ascii="Calibri"/>
          <w:sz w:val="24"/>
        </w:rPr>
        <w:t>or arbitration tribunal pending</w:t>
      </w:r>
      <w:r w:rsidRPr="00150EDC">
        <w:rPr>
          <w:rFonts w:ascii="Calibri"/>
          <w:spacing w:val="-1"/>
          <w:sz w:val="24"/>
        </w:rPr>
        <w:t xml:space="preserve"> </w:t>
      </w:r>
      <w:r w:rsidRPr="00150EDC">
        <w:rPr>
          <w:rFonts w:ascii="Calibri"/>
          <w:sz w:val="24"/>
        </w:rPr>
        <w:t>or threatened against it or its Affiliates that might affect its ability to perform each Contract;</w:t>
      </w:r>
    </w:p>
    <w:p w14:paraId="741FB9A7" w14:textId="77777777" w:rsidR="004C7180" w:rsidRPr="00150EDC" w:rsidRDefault="00CF0754" w:rsidP="00B320C7">
      <w:pPr>
        <w:pStyle w:val="ListParagraph"/>
        <w:numPr>
          <w:ilvl w:val="0"/>
          <w:numId w:val="169"/>
        </w:numPr>
        <w:tabs>
          <w:tab w:val="left" w:pos="1491"/>
          <w:tab w:val="left" w:pos="1494"/>
        </w:tabs>
        <w:spacing w:before="19" w:line="242" w:lineRule="auto"/>
        <w:ind w:right="1050"/>
        <w:rPr>
          <w:rFonts w:ascii="Calibri"/>
          <w:sz w:val="24"/>
        </w:rPr>
      </w:pPr>
      <w:r w:rsidRPr="00150EDC">
        <w:rPr>
          <w:rFonts w:ascii="Calibri"/>
          <w:sz w:val="24"/>
        </w:rPr>
        <w:t>it</w:t>
      </w:r>
      <w:r w:rsidRPr="00150EDC">
        <w:rPr>
          <w:rFonts w:ascii="Calibri"/>
          <w:spacing w:val="-2"/>
          <w:sz w:val="24"/>
        </w:rPr>
        <w:t xml:space="preserve"> </w:t>
      </w:r>
      <w:r w:rsidRPr="00150EDC">
        <w:rPr>
          <w:rFonts w:ascii="Calibri"/>
          <w:sz w:val="24"/>
        </w:rPr>
        <w:t>maintains</w:t>
      </w:r>
      <w:r w:rsidRPr="00150EDC">
        <w:rPr>
          <w:rFonts w:ascii="Calibri"/>
          <w:spacing w:val="-3"/>
          <w:sz w:val="24"/>
        </w:rPr>
        <w:t xml:space="preserve"> </w:t>
      </w:r>
      <w:r w:rsidRPr="00150EDC">
        <w:rPr>
          <w:rFonts w:ascii="Calibri"/>
          <w:sz w:val="24"/>
        </w:rPr>
        <w:t>all</w:t>
      </w:r>
      <w:r w:rsidRPr="00150EDC">
        <w:rPr>
          <w:rFonts w:ascii="Calibri"/>
          <w:spacing w:val="-5"/>
          <w:sz w:val="24"/>
        </w:rPr>
        <w:t xml:space="preserve"> </w:t>
      </w:r>
      <w:r w:rsidRPr="00150EDC">
        <w:rPr>
          <w:rFonts w:ascii="Calibri"/>
          <w:sz w:val="24"/>
        </w:rPr>
        <w:t>necessary</w:t>
      </w:r>
      <w:r w:rsidRPr="00150EDC">
        <w:rPr>
          <w:rFonts w:ascii="Calibri"/>
          <w:spacing w:val="-6"/>
          <w:sz w:val="24"/>
        </w:rPr>
        <w:t xml:space="preserve"> </w:t>
      </w:r>
      <w:r w:rsidRPr="00150EDC">
        <w:rPr>
          <w:rFonts w:ascii="Calibri"/>
          <w:sz w:val="24"/>
        </w:rPr>
        <w:t>rights,</w:t>
      </w:r>
      <w:r w:rsidRPr="00150EDC">
        <w:rPr>
          <w:rFonts w:ascii="Calibri"/>
          <w:spacing w:val="-5"/>
          <w:sz w:val="24"/>
        </w:rPr>
        <w:t xml:space="preserve"> </w:t>
      </w:r>
      <w:r w:rsidRPr="00150EDC">
        <w:rPr>
          <w:rFonts w:ascii="Calibri"/>
          <w:sz w:val="24"/>
        </w:rPr>
        <w:t>authorisations,</w:t>
      </w:r>
      <w:r w:rsidRPr="00150EDC">
        <w:rPr>
          <w:rFonts w:ascii="Calibri"/>
          <w:spacing w:val="-3"/>
          <w:sz w:val="24"/>
        </w:rPr>
        <w:t xml:space="preserve"> </w:t>
      </w:r>
      <w:r w:rsidRPr="00150EDC">
        <w:rPr>
          <w:rFonts w:ascii="Calibri"/>
          <w:sz w:val="24"/>
        </w:rPr>
        <w:t>licences</w:t>
      </w:r>
      <w:r w:rsidRPr="00150EDC">
        <w:rPr>
          <w:rFonts w:ascii="Calibri"/>
          <w:spacing w:val="-3"/>
          <w:sz w:val="24"/>
        </w:rPr>
        <w:t xml:space="preserve"> </w:t>
      </w:r>
      <w:r w:rsidRPr="00150EDC">
        <w:rPr>
          <w:rFonts w:ascii="Calibri"/>
          <w:sz w:val="24"/>
        </w:rPr>
        <w:t>and</w:t>
      </w:r>
      <w:r w:rsidRPr="00150EDC">
        <w:rPr>
          <w:rFonts w:ascii="Calibri"/>
          <w:spacing w:val="-2"/>
          <w:sz w:val="24"/>
        </w:rPr>
        <w:t xml:space="preserve"> </w:t>
      </w:r>
      <w:r w:rsidRPr="00150EDC">
        <w:rPr>
          <w:rFonts w:ascii="Calibri"/>
          <w:sz w:val="24"/>
        </w:rPr>
        <w:t>consents</w:t>
      </w:r>
      <w:r w:rsidRPr="00150EDC">
        <w:rPr>
          <w:rFonts w:ascii="Calibri"/>
          <w:spacing w:val="-5"/>
          <w:sz w:val="24"/>
        </w:rPr>
        <w:t xml:space="preserve"> </w:t>
      </w:r>
      <w:r w:rsidRPr="00150EDC">
        <w:rPr>
          <w:rFonts w:ascii="Calibri"/>
          <w:sz w:val="24"/>
        </w:rPr>
        <w:t>to</w:t>
      </w:r>
      <w:r w:rsidRPr="00150EDC">
        <w:rPr>
          <w:rFonts w:ascii="Calibri"/>
          <w:spacing w:val="-4"/>
          <w:sz w:val="24"/>
        </w:rPr>
        <w:t xml:space="preserve"> </w:t>
      </w:r>
      <w:r w:rsidRPr="00150EDC">
        <w:rPr>
          <w:rFonts w:ascii="Calibri"/>
          <w:sz w:val="24"/>
        </w:rPr>
        <w:t>perform</w:t>
      </w:r>
      <w:r w:rsidRPr="00150EDC">
        <w:rPr>
          <w:rFonts w:ascii="Calibri"/>
          <w:spacing w:val="-5"/>
          <w:sz w:val="24"/>
        </w:rPr>
        <w:t xml:space="preserve"> </w:t>
      </w:r>
      <w:r w:rsidRPr="00150EDC">
        <w:rPr>
          <w:rFonts w:ascii="Calibri"/>
          <w:sz w:val="24"/>
        </w:rPr>
        <w:t>its</w:t>
      </w:r>
      <w:r w:rsidRPr="00150EDC">
        <w:rPr>
          <w:rFonts w:ascii="Calibri"/>
          <w:spacing w:val="-5"/>
          <w:sz w:val="24"/>
        </w:rPr>
        <w:t xml:space="preserve"> </w:t>
      </w:r>
      <w:r w:rsidRPr="00150EDC">
        <w:rPr>
          <w:rFonts w:ascii="Calibri"/>
          <w:sz w:val="24"/>
        </w:rPr>
        <w:t>obligations under each Contract;</w:t>
      </w:r>
    </w:p>
    <w:p w14:paraId="00223C40" w14:textId="77777777" w:rsidR="004C7180" w:rsidRPr="00150EDC" w:rsidRDefault="00CF0754" w:rsidP="00B320C7">
      <w:pPr>
        <w:pStyle w:val="ListParagraph"/>
        <w:numPr>
          <w:ilvl w:val="0"/>
          <w:numId w:val="169"/>
        </w:numPr>
        <w:tabs>
          <w:tab w:val="left" w:pos="1494"/>
        </w:tabs>
        <w:spacing w:before="16"/>
        <w:ind w:right="689"/>
        <w:rPr>
          <w:rFonts w:ascii="Calibri"/>
          <w:sz w:val="24"/>
        </w:rPr>
      </w:pPr>
      <w:r w:rsidRPr="00150EDC">
        <w:rPr>
          <w:rFonts w:ascii="Calibri"/>
          <w:sz w:val="24"/>
        </w:rPr>
        <w:t>it</w:t>
      </w:r>
      <w:r w:rsidRPr="00150EDC">
        <w:rPr>
          <w:rFonts w:ascii="Calibri"/>
          <w:spacing w:val="-2"/>
          <w:sz w:val="24"/>
        </w:rPr>
        <w:t xml:space="preserve"> </w:t>
      </w:r>
      <w:r w:rsidRPr="00150EDC">
        <w:rPr>
          <w:rFonts w:ascii="Calibri"/>
          <w:sz w:val="24"/>
        </w:rPr>
        <w:t>does</w:t>
      </w:r>
      <w:r w:rsidRPr="00150EDC">
        <w:rPr>
          <w:rFonts w:ascii="Calibri"/>
          <w:spacing w:val="-5"/>
          <w:sz w:val="24"/>
        </w:rPr>
        <w:t xml:space="preserve"> </w:t>
      </w:r>
      <w:r w:rsidRPr="00150EDC">
        <w:rPr>
          <w:rFonts w:ascii="Calibri"/>
          <w:sz w:val="24"/>
        </w:rPr>
        <w:t>not</w:t>
      </w:r>
      <w:r w:rsidRPr="00150EDC">
        <w:rPr>
          <w:rFonts w:ascii="Calibri"/>
          <w:spacing w:val="-3"/>
          <w:sz w:val="24"/>
        </w:rPr>
        <w:t xml:space="preserve"> </w:t>
      </w:r>
      <w:r w:rsidRPr="00150EDC">
        <w:rPr>
          <w:rFonts w:ascii="Calibri"/>
          <w:sz w:val="24"/>
        </w:rPr>
        <w:t>have</w:t>
      </w:r>
      <w:r w:rsidRPr="00150EDC">
        <w:rPr>
          <w:rFonts w:ascii="Calibri"/>
          <w:spacing w:val="-5"/>
          <w:sz w:val="24"/>
        </w:rPr>
        <w:t xml:space="preserve"> </w:t>
      </w:r>
      <w:r w:rsidRPr="00150EDC">
        <w:rPr>
          <w:rFonts w:ascii="Calibri"/>
          <w:sz w:val="24"/>
        </w:rPr>
        <w:t>any</w:t>
      </w:r>
      <w:r w:rsidRPr="00150EDC">
        <w:rPr>
          <w:rFonts w:ascii="Calibri"/>
          <w:spacing w:val="-3"/>
          <w:sz w:val="24"/>
        </w:rPr>
        <w:t xml:space="preserve"> </w:t>
      </w:r>
      <w:r w:rsidRPr="00150EDC">
        <w:rPr>
          <w:rFonts w:ascii="Calibri"/>
          <w:sz w:val="24"/>
        </w:rPr>
        <w:t>contractual</w:t>
      </w:r>
      <w:r w:rsidRPr="00150EDC">
        <w:rPr>
          <w:rFonts w:ascii="Calibri"/>
          <w:spacing w:val="-3"/>
          <w:sz w:val="24"/>
        </w:rPr>
        <w:t xml:space="preserve"> </w:t>
      </w:r>
      <w:r w:rsidRPr="00150EDC">
        <w:rPr>
          <w:rFonts w:ascii="Calibri"/>
          <w:sz w:val="24"/>
        </w:rPr>
        <w:t>obligations</w:t>
      </w:r>
      <w:r w:rsidRPr="00150EDC">
        <w:rPr>
          <w:rFonts w:ascii="Calibri"/>
          <w:spacing w:val="-3"/>
          <w:sz w:val="24"/>
        </w:rPr>
        <w:t xml:space="preserve"> </w:t>
      </w:r>
      <w:r w:rsidRPr="00150EDC">
        <w:rPr>
          <w:rFonts w:ascii="Calibri"/>
          <w:sz w:val="24"/>
        </w:rPr>
        <w:t>which</w:t>
      </w:r>
      <w:r w:rsidRPr="00150EDC">
        <w:rPr>
          <w:rFonts w:ascii="Calibri"/>
          <w:spacing w:val="-2"/>
          <w:sz w:val="24"/>
        </w:rPr>
        <w:t xml:space="preserve"> </w:t>
      </w:r>
      <w:r w:rsidRPr="00150EDC">
        <w:rPr>
          <w:rFonts w:ascii="Calibri"/>
          <w:sz w:val="24"/>
        </w:rPr>
        <w:t>are</w:t>
      </w:r>
      <w:r w:rsidRPr="00150EDC">
        <w:rPr>
          <w:rFonts w:ascii="Calibri"/>
          <w:spacing w:val="-4"/>
          <w:sz w:val="24"/>
        </w:rPr>
        <w:t xml:space="preserve"> </w:t>
      </w:r>
      <w:r w:rsidRPr="00150EDC">
        <w:rPr>
          <w:rFonts w:ascii="Calibri"/>
          <w:sz w:val="24"/>
        </w:rPr>
        <w:t>likely</w:t>
      </w:r>
      <w:r w:rsidRPr="00150EDC">
        <w:rPr>
          <w:rFonts w:ascii="Calibri"/>
          <w:spacing w:val="-3"/>
          <w:sz w:val="24"/>
        </w:rPr>
        <w:t xml:space="preserve"> </w:t>
      </w:r>
      <w:r w:rsidRPr="00150EDC">
        <w:rPr>
          <w:rFonts w:ascii="Calibri"/>
          <w:sz w:val="24"/>
        </w:rPr>
        <w:t>to</w:t>
      </w:r>
      <w:r w:rsidRPr="00150EDC">
        <w:rPr>
          <w:rFonts w:ascii="Calibri"/>
          <w:spacing w:val="-2"/>
          <w:sz w:val="24"/>
        </w:rPr>
        <w:t xml:space="preserve"> </w:t>
      </w:r>
      <w:r w:rsidRPr="00150EDC">
        <w:rPr>
          <w:rFonts w:ascii="Calibri"/>
          <w:sz w:val="24"/>
        </w:rPr>
        <w:t>have</w:t>
      </w:r>
      <w:r w:rsidRPr="00150EDC">
        <w:rPr>
          <w:rFonts w:ascii="Calibri"/>
          <w:spacing w:val="-2"/>
          <w:sz w:val="24"/>
        </w:rPr>
        <w:t xml:space="preserve"> </w:t>
      </w:r>
      <w:r w:rsidRPr="00150EDC">
        <w:rPr>
          <w:rFonts w:ascii="Calibri"/>
          <w:sz w:val="24"/>
        </w:rPr>
        <w:t>a material</w:t>
      </w:r>
      <w:r w:rsidRPr="00150EDC">
        <w:rPr>
          <w:rFonts w:ascii="Calibri"/>
          <w:spacing w:val="-2"/>
          <w:sz w:val="24"/>
        </w:rPr>
        <w:t xml:space="preserve"> </w:t>
      </w:r>
      <w:r w:rsidRPr="00150EDC">
        <w:rPr>
          <w:rFonts w:ascii="Calibri"/>
          <w:sz w:val="24"/>
        </w:rPr>
        <w:t>adverse</w:t>
      </w:r>
      <w:r w:rsidRPr="00150EDC">
        <w:rPr>
          <w:rFonts w:ascii="Calibri"/>
          <w:spacing w:val="-2"/>
          <w:sz w:val="24"/>
        </w:rPr>
        <w:t xml:space="preserve"> </w:t>
      </w:r>
      <w:r w:rsidRPr="00150EDC">
        <w:rPr>
          <w:rFonts w:ascii="Calibri"/>
          <w:sz w:val="24"/>
        </w:rPr>
        <w:t>effect</w:t>
      </w:r>
      <w:r w:rsidRPr="00150EDC">
        <w:rPr>
          <w:rFonts w:ascii="Calibri"/>
          <w:spacing w:val="-4"/>
          <w:sz w:val="24"/>
        </w:rPr>
        <w:t xml:space="preserve"> </w:t>
      </w:r>
      <w:r w:rsidRPr="00150EDC">
        <w:rPr>
          <w:rFonts w:ascii="Calibri"/>
          <w:sz w:val="24"/>
        </w:rPr>
        <w:t>on</w:t>
      </w:r>
      <w:r w:rsidRPr="00150EDC">
        <w:rPr>
          <w:rFonts w:ascii="Calibri"/>
          <w:spacing w:val="-1"/>
          <w:sz w:val="24"/>
        </w:rPr>
        <w:t xml:space="preserve"> </w:t>
      </w:r>
      <w:r w:rsidRPr="00150EDC">
        <w:rPr>
          <w:rFonts w:ascii="Calibri"/>
          <w:sz w:val="24"/>
        </w:rPr>
        <w:t>its ability to perform each Contract;</w:t>
      </w:r>
    </w:p>
    <w:p w14:paraId="3C6E0B0A" w14:textId="77777777" w:rsidR="004C7180" w:rsidRPr="00150EDC" w:rsidRDefault="004C7180">
      <w:pPr>
        <w:rPr>
          <w:rFonts w:ascii="Calibri"/>
          <w:sz w:val="24"/>
        </w:rPr>
        <w:sectPr w:rsidR="004C7180" w:rsidRPr="00150EDC">
          <w:pgSz w:w="11910" w:h="16840"/>
          <w:pgMar w:top="620" w:right="0" w:bottom="2460" w:left="40" w:header="403" w:footer="2245" w:gutter="0"/>
          <w:cols w:space="720"/>
        </w:sectPr>
      </w:pPr>
    </w:p>
    <w:p w14:paraId="64AA436B" w14:textId="77777777" w:rsidR="004C7180" w:rsidRPr="00150EDC" w:rsidRDefault="004C7180">
      <w:pPr>
        <w:pStyle w:val="BodyText"/>
        <w:spacing w:before="11"/>
        <w:rPr>
          <w:rFonts w:ascii="Calibri"/>
          <w:sz w:val="17"/>
        </w:rPr>
      </w:pPr>
    </w:p>
    <w:p w14:paraId="72E93E5A" w14:textId="77777777" w:rsidR="004C7180" w:rsidRPr="00150EDC" w:rsidRDefault="00CF0754" w:rsidP="00B320C7">
      <w:pPr>
        <w:pStyle w:val="ListParagraph"/>
        <w:numPr>
          <w:ilvl w:val="0"/>
          <w:numId w:val="169"/>
        </w:numPr>
        <w:tabs>
          <w:tab w:val="left" w:pos="1493"/>
        </w:tabs>
        <w:spacing w:before="52"/>
        <w:ind w:left="1493" w:hanging="427"/>
        <w:rPr>
          <w:rFonts w:ascii="Calibri"/>
          <w:sz w:val="24"/>
        </w:rPr>
      </w:pPr>
      <w:r w:rsidRPr="00150EDC">
        <w:rPr>
          <w:rFonts w:ascii="Calibri"/>
          <w:sz w:val="24"/>
        </w:rPr>
        <w:t>it</w:t>
      </w:r>
      <w:r w:rsidRPr="00150EDC">
        <w:rPr>
          <w:rFonts w:ascii="Calibri"/>
          <w:spacing w:val="-1"/>
          <w:sz w:val="24"/>
        </w:rPr>
        <w:t xml:space="preserve"> </w:t>
      </w:r>
      <w:r w:rsidRPr="00150EDC">
        <w:rPr>
          <w:rFonts w:ascii="Calibri"/>
          <w:sz w:val="24"/>
        </w:rPr>
        <w:t>is</w:t>
      </w:r>
      <w:r w:rsidRPr="00150EDC">
        <w:rPr>
          <w:rFonts w:ascii="Calibri"/>
          <w:spacing w:val="-4"/>
          <w:sz w:val="24"/>
        </w:rPr>
        <w:t xml:space="preserve"> </w:t>
      </w:r>
      <w:r w:rsidRPr="00150EDC">
        <w:rPr>
          <w:rFonts w:ascii="Calibri"/>
          <w:sz w:val="24"/>
        </w:rPr>
        <w:t>not</w:t>
      </w:r>
      <w:r w:rsidRPr="00150EDC">
        <w:rPr>
          <w:rFonts w:ascii="Calibri"/>
          <w:spacing w:val="-2"/>
          <w:sz w:val="24"/>
        </w:rPr>
        <w:t xml:space="preserve"> </w:t>
      </w:r>
      <w:r w:rsidRPr="00150EDC">
        <w:rPr>
          <w:rFonts w:ascii="Calibri"/>
          <w:sz w:val="24"/>
        </w:rPr>
        <w:t>impacted</w:t>
      </w:r>
      <w:r w:rsidRPr="00150EDC">
        <w:rPr>
          <w:rFonts w:ascii="Calibri"/>
          <w:spacing w:val="-3"/>
          <w:sz w:val="24"/>
        </w:rPr>
        <w:t xml:space="preserve"> </w:t>
      </w:r>
      <w:r w:rsidRPr="00150EDC">
        <w:rPr>
          <w:rFonts w:ascii="Calibri"/>
          <w:sz w:val="24"/>
        </w:rPr>
        <w:t>by</w:t>
      </w:r>
      <w:r w:rsidRPr="00150EDC">
        <w:rPr>
          <w:rFonts w:ascii="Calibri"/>
          <w:spacing w:val="-5"/>
          <w:sz w:val="24"/>
        </w:rPr>
        <w:t xml:space="preserve"> </w:t>
      </w:r>
      <w:r w:rsidRPr="00150EDC">
        <w:rPr>
          <w:rFonts w:ascii="Calibri"/>
          <w:sz w:val="24"/>
        </w:rPr>
        <w:t>an</w:t>
      </w:r>
      <w:r w:rsidRPr="00150EDC">
        <w:rPr>
          <w:rFonts w:ascii="Calibri"/>
          <w:spacing w:val="-1"/>
          <w:sz w:val="24"/>
        </w:rPr>
        <w:t xml:space="preserve"> </w:t>
      </w:r>
      <w:r w:rsidRPr="00150EDC">
        <w:rPr>
          <w:rFonts w:ascii="Calibri"/>
          <w:sz w:val="24"/>
        </w:rPr>
        <w:t>Insolvency</w:t>
      </w:r>
      <w:r w:rsidRPr="00150EDC">
        <w:rPr>
          <w:rFonts w:ascii="Calibri"/>
          <w:spacing w:val="-2"/>
          <w:sz w:val="24"/>
        </w:rPr>
        <w:t xml:space="preserve"> </w:t>
      </w:r>
      <w:r w:rsidRPr="00150EDC">
        <w:rPr>
          <w:rFonts w:ascii="Calibri"/>
          <w:sz w:val="24"/>
        </w:rPr>
        <w:t>Event;</w:t>
      </w:r>
      <w:r w:rsidRPr="00150EDC">
        <w:rPr>
          <w:rFonts w:ascii="Calibri"/>
          <w:spacing w:val="-3"/>
          <w:sz w:val="24"/>
        </w:rPr>
        <w:t xml:space="preserve"> </w:t>
      </w:r>
      <w:r w:rsidRPr="00150EDC">
        <w:rPr>
          <w:rFonts w:ascii="Calibri"/>
          <w:spacing w:val="-5"/>
          <w:sz w:val="24"/>
        </w:rPr>
        <w:t>and</w:t>
      </w:r>
    </w:p>
    <w:p w14:paraId="790A04C5" w14:textId="77777777" w:rsidR="004C7180" w:rsidRPr="00150EDC" w:rsidRDefault="00CF0754" w:rsidP="00B320C7">
      <w:pPr>
        <w:pStyle w:val="ListParagraph"/>
        <w:numPr>
          <w:ilvl w:val="0"/>
          <w:numId w:val="169"/>
        </w:numPr>
        <w:tabs>
          <w:tab w:val="left" w:pos="1491"/>
        </w:tabs>
        <w:spacing w:before="21"/>
        <w:ind w:left="1491" w:hanging="425"/>
        <w:rPr>
          <w:rFonts w:ascii="Calibri"/>
          <w:sz w:val="24"/>
        </w:rPr>
      </w:pPr>
      <w:r w:rsidRPr="00150EDC">
        <w:rPr>
          <w:rFonts w:ascii="Calibri"/>
          <w:sz w:val="24"/>
        </w:rPr>
        <w:t>it</w:t>
      </w:r>
      <w:r w:rsidRPr="00150EDC">
        <w:rPr>
          <w:rFonts w:ascii="Calibri"/>
          <w:spacing w:val="-1"/>
          <w:sz w:val="24"/>
        </w:rPr>
        <w:t xml:space="preserve"> </w:t>
      </w:r>
      <w:r w:rsidRPr="00150EDC">
        <w:rPr>
          <w:rFonts w:ascii="Calibri"/>
          <w:sz w:val="24"/>
        </w:rPr>
        <w:t>will</w:t>
      </w:r>
      <w:r w:rsidRPr="00150EDC">
        <w:rPr>
          <w:rFonts w:ascii="Calibri"/>
          <w:spacing w:val="-2"/>
          <w:sz w:val="24"/>
        </w:rPr>
        <w:t xml:space="preserve"> </w:t>
      </w:r>
      <w:r w:rsidRPr="00150EDC">
        <w:rPr>
          <w:rFonts w:ascii="Calibri"/>
          <w:sz w:val="24"/>
        </w:rPr>
        <w:t>comply</w:t>
      </w:r>
      <w:r w:rsidRPr="00150EDC">
        <w:rPr>
          <w:rFonts w:ascii="Calibri"/>
          <w:spacing w:val="-2"/>
          <w:sz w:val="24"/>
        </w:rPr>
        <w:t xml:space="preserve"> </w:t>
      </w:r>
      <w:r w:rsidRPr="00150EDC">
        <w:rPr>
          <w:rFonts w:ascii="Calibri"/>
          <w:sz w:val="24"/>
        </w:rPr>
        <w:t>with</w:t>
      </w:r>
      <w:r w:rsidRPr="00150EDC">
        <w:rPr>
          <w:rFonts w:ascii="Calibri"/>
          <w:spacing w:val="-2"/>
          <w:sz w:val="24"/>
        </w:rPr>
        <w:t xml:space="preserve"> </w:t>
      </w:r>
      <w:r w:rsidRPr="00150EDC">
        <w:rPr>
          <w:rFonts w:ascii="Calibri"/>
          <w:sz w:val="24"/>
        </w:rPr>
        <w:t>each</w:t>
      </w:r>
      <w:r w:rsidRPr="00150EDC">
        <w:rPr>
          <w:rFonts w:ascii="Calibri"/>
          <w:spacing w:val="-5"/>
          <w:sz w:val="24"/>
        </w:rPr>
        <w:t xml:space="preserve"> </w:t>
      </w:r>
      <w:r w:rsidRPr="00150EDC">
        <w:rPr>
          <w:rFonts w:ascii="Calibri"/>
          <w:sz w:val="24"/>
        </w:rPr>
        <w:t xml:space="preserve">Order </w:t>
      </w:r>
      <w:r w:rsidRPr="00150EDC">
        <w:rPr>
          <w:rFonts w:ascii="Calibri"/>
          <w:spacing w:val="-2"/>
          <w:sz w:val="24"/>
        </w:rPr>
        <w:t>Contract.</w:t>
      </w:r>
    </w:p>
    <w:p w14:paraId="1065DFFF" w14:textId="77777777" w:rsidR="004C7180" w:rsidRPr="00150EDC" w:rsidRDefault="004C7180">
      <w:pPr>
        <w:pStyle w:val="BodyText"/>
        <w:spacing w:before="4"/>
        <w:rPr>
          <w:rFonts w:ascii="Calibri"/>
          <w:sz w:val="27"/>
        </w:rPr>
      </w:pPr>
    </w:p>
    <w:p w14:paraId="2F4EF8CD" w14:textId="77777777" w:rsidR="004C7180" w:rsidRPr="00150EDC" w:rsidRDefault="00CF0754" w:rsidP="00B320C7">
      <w:pPr>
        <w:pStyle w:val="ListParagraph"/>
        <w:numPr>
          <w:ilvl w:val="1"/>
          <w:numId w:val="182"/>
        </w:numPr>
        <w:tabs>
          <w:tab w:val="left" w:pos="1066"/>
        </w:tabs>
        <w:spacing w:before="1"/>
        <w:ind w:right="567"/>
        <w:rPr>
          <w:rFonts w:ascii="Calibri"/>
          <w:sz w:val="24"/>
        </w:rPr>
      </w:pPr>
      <w:r w:rsidRPr="00150EDC">
        <w:rPr>
          <w:rFonts w:ascii="Calibri"/>
          <w:sz w:val="24"/>
        </w:rPr>
        <w:t>The</w:t>
      </w:r>
      <w:r w:rsidRPr="00150EDC">
        <w:rPr>
          <w:rFonts w:ascii="Calibri"/>
          <w:spacing w:val="-1"/>
          <w:sz w:val="24"/>
        </w:rPr>
        <w:t xml:space="preserve"> </w:t>
      </w:r>
      <w:r w:rsidRPr="00150EDC">
        <w:rPr>
          <w:rFonts w:ascii="Calibri"/>
          <w:sz w:val="24"/>
        </w:rPr>
        <w:t>warranties</w:t>
      </w:r>
      <w:r w:rsidRPr="00150EDC">
        <w:rPr>
          <w:rFonts w:ascii="Calibri"/>
          <w:spacing w:val="-2"/>
          <w:sz w:val="24"/>
        </w:rPr>
        <w:t xml:space="preserve"> </w:t>
      </w:r>
      <w:r w:rsidRPr="00150EDC">
        <w:rPr>
          <w:rFonts w:ascii="Calibri"/>
          <w:sz w:val="24"/>
        </w:rPr>
        <w:t>and</w:t>
      </w:r>
      <w:r w:rsidRPr="00150EDC">
        <w:rPr>
          <w:rFonts w:ascii="Calibri"/>
          <w:spacing w:val="-1"/>
          <w:sz w:val="24"/>
        </w:rPr>
        <w:t xml:space="preserve"> </w:t>
      </w:r>
      <w:r w:rsidRPr="00150EDC">
        <w:rPr>
          <w:rFonts w:ascii="Calibri"/>
          <w:sz w:val="24"/>
        </w:rPr>
        <w:t>representations</w:t>
      </w:r>
      <w:r w:rsidRPr="00150EDC">
        <w:rPr>
          <w:rFonts w:ascii="Calibri"/>
          <w:spacing w:val="-2"/>
          <w:sz w:val="24"/>
        </w:rPr>
        <w:t xml:space="preserve"> </w:t>
      </w:r>
      <w:r w:rsidRPr="00150EDC">
        <w:rPr>
          <w:rFonts w:ascii="Calibri"/>
          <w:sz w:val="24"/>
        </w:rPr>
        <w:t>in</w:t>
      </w:r>
      <w:r w:rsidRPr="00150EDC">
        <w:rPr>
          <w:rFonts w:ascii="Calibri"/>
          <w:spacing w:val="-3"/>
          <w:sz w:val="24"/>
        </w:rPr>
        <w:t xml:space="preserve"> </w:t>
      </w:r>
      <w:r w:rsidRPr="00150EDC">
        <w:rPr>
          <w:rFonts w:ascii="Calibri"/>
          <w:sz w:val="24"/>
        </w:rPr>
        <w:t>Clauses</w:t>
      </w:r>
      <w:r w:rsidRPr="00150EDC">
        <w:rPr>
          <w:rFonts w:ascii="Calibri"/>
          <w:spacing w:val="-4"/>
          <w:sz w:val="24"/>
        </w:rPr>
        <w:t xml:space="preserve"> </w:t>
      </w:r>
      <w:r w:rsidRPr="00150EDC">
        <w:rPr>
          <w:rFonts w:ascii="Calibri"/>
          <w:sz w:val="24"/>
        </w:rPr>
        <w:t>2.10</w:t>
      </w:r>
      <w:r w:rsidRPr="00150EDC">
        <w:rPr>
          <w:rFonts w:ascii="Calibri"/>
          <w:spacing w:val="-1"/>
          <w:sz w:val="24"/>
        </w:rPr>
        <w:t xml:space="preserve"> </w:t>
      </w:r>
      <w:r w:rsidRPr="00150EDC">
        <w:rPr>
          <w:rFonts w:ascii="Calibri"/>
          <w:sz w:val="24"/>
        </w:rPr>
        <w:t>and</w:t>
      </w:r>
      <w:r w:rsidRPr="00150EDC">
        <w:rPr>
          <w:rFonts w:ascii="Calibri"/>
          <w:spacing w:val="-3"/>
          <w:sz w:val="24"/>
        </w:rPr>
        <w:t xml:space="preserve"> </w:t>
      </w:r>
      <w:r w:rsidRPr="00150EDC">
        <w:rPr>
          <w:rFonts w:ascii="Calibri"/>
          <w:sz w:val="24"/>
        </w:rPr>
        <w:t>8.1</w:t>
      </w:r>
      <w:r w:rsidRPr="00150EDC">
        <w:rPr>
          <w:rFonts w:ascii="Calibri"/>
          <w:spacing w:val="-1"/>
          <w:sz w:val="24"/>
        </w:rPr>
        <w:t xml:space="preserve"> </w:t>
      </w:r>
      <w:r w:rsidRPr="00150EDC">
        <w:rPr>
          <w:rFonts w:ascii="Calibri"/>
          <w:sz w:val="24"/>
        </w:rPr>
        <w:t>are</w:t>
      </w:r>
      <w:r w:rsidRPr="00150EDC">
        <w:rPr>
          <w:rFonts w:ascii="Calibri"/>
          <w:spacing w:val="-1"/>
          <w:sz w:val="24"/>
        </w:rPr>
        <w:t xml:space="preserve"> </w:t>
      </w:r>
      <w:r w:rsidRPr="00150EDC">
        <w:rPr>
          <w:rFonts w:ascii="Calibri"/>
          <w:sz w:val="24"/>
        </w:rPr>
        <w:t>repeated</w:t>
      </w:r>
      <w:r w:rsidRPr="00150EDC">
        <w:rPr>
          <w:rFonts w:ascii="Calibri"/>
          <w:spacing w:val="-5"/>
          <w:sz w:val="24"/>
        </w:rPr>
        <w:t xml:space="preserve"> </w:t>
      </w:r>
      <w:r w:rsidRPr="00150EDC">
        <w:rPr>
          <w:rFonts w:ascii="Calibri"/>
          <w:sz w:val="24"/>
        </w:rPr>
        <w:t>each</w:t>
      </w:r>
      <w:r w:rsidRPr="00150EDC">
        <w:rPr>
          <w:rFonts w:ascii="Calibri"/>
          <w:spacing w:val="-1"/>
          <w:sz w:val="24"/>
        </w:rPr>
        <w:t xml:space="preserve"> </w:t>
      </w:r>
      <w:r w:rsidRPr="00150EDC">
        <w:rPr>
          <w:rFonts w:ascii="Calibri"/>
          <w:sz w:val="24"/>
        </w:rPr>
        <w:t>time</w:t>
      </w:r>
      <w:r w:rsidRPr="00150EDC">
        <w:rPr>
          <w:rFonts w:ascii="Calibri"/>
          <w:spacing w:val="-3"/>
          <w:sz w:val="24"/>
        </w:rPr>
        <w:t xml:space="preserve"> </w:t>
      </w:r>
      <w:r w:rsidRPr="00150EDC">
        <w:rPr>
          <w:rFonts w:ascii="Calibri"/>
          <w:sz w:val="24"/>
        </w:rPr>
        <w:t>the</w:t>
      </w:r>
      <w:r w:rsidRPr="00150EDC">
        <w:rPr>
          <w:rFonts w:ascii="Calibri"/>
          <w:spacing w:val="-4"/>
          <w:sz w:val="24"/>
        </w:rPr>
        <w:t xml:space="preserve"> </w:t>
      </w:r>
      <w:r w:rsidRPr="00150EDC">
        <w:rPr>
          <w:rFonts w:ascii="Calibri"/>
          <w:sz w:val="24"/>
        </w:rPr>
        <w:t>Supplier</w:t>
      </w:r>
      <w:r w:rsidRPr="00150EDC">
        <w:rPr>
          <w:rFonts w:ascii="Calibri"/>
          <w:spacing w:val="-3"/>
          <w:sz w:val="24"/>
        </w:rPr>
        <w:t xml:space="preserve"> </w:t>
      </w:r>
      <w:r w:rsidRPr="00150EDC">
        <w:rPr>
          <w:rFonts w:ascii="Calibri"/>
          <w:sz w:val="24"/>
        </w:rPr>
        <w:t>provides Deliverables under the Contract.</w:t>
      </w:r>
    </w:p>
    <w:p w14:paraId="03ABAF09" w14:textId="77777777" w:rsidR="004C7180" w:rsidRPr="00150EDC" w:rsidRDefault="004C7180">
      <w:pPr>
        <w:pStyle w:val="BodyText"/>
        <w:spacing w:before="11"/>
        <w:rPr>
          <w:rFonts w:ascii="Calibri"/>
          <w:sz w:val="23"/>
        </w:rPr>
      </w:pPr>
    </w:p>
    <w:p w14:paraId="6C66A896" w14:textId="77777777" w:rsidR="004C7180" w:rsidRPr="00150EDC" w:rsidRDefault="00CF0754" w:rsidP="00B320C7">
      <w:pPr>
        <w:pStyle w:val="ListParagraph"/>
        <w:numPr>
          <w:ilvl w:val="1"/>
          <w:numId w:val="182"/>
        </w:numPr>
        <w:tabs>
          <w:tab w:val="left" w:pos="1066"/>
        </w:tabs>
        <w:ind w:hanging="566"/>
        <w:rPr>
          <w:rFonts w:ascii="Calibri"/>
          <w:sz w:val="24"/>
        </w:rPr>
      </w:pPr>
      <w:r w:rsidRPr="00150EDC">
        <w:rPr>
          <w:rFonts w:ascii="Calibri"/>
          <w:sz w:val="24"/>
        </w:rPr>
        <w:t>The</w:t>
      </w:r>
      <w:r w:rsidRPr="00150EDC">
        <w:rPr>
          <w:rFonts w:ascii="Calibri"/>
          <w:spacing w:val="-5"/>
          <w:sz w:val="24"/>
        </w:rPr>
        <w:t xml:space="preserve"> </w:t>
      </w:r>
      <w:r w:rsidRPr="00150EDC">
        <w:rPr>
          <w:rFonts w:ascii="Calibri"/>
          <w:sz w:val="24"/>
        </w:rPr>
        <w:t>Supplier</w:t>
      </w:r>
      <w:r w:rsidRPr="00150EDC">
        <w:rPr>
          <w:rFonts w:ascii="Calibri"/>
          <w:spacing w:val="-4"/>
          <w:sz w:val="24"/>
        </w:rPr>
        <w:t xml:space="preserve"> </w:t>
      </w:r>
      <w:r w:rsidRPr="00150EDC">
        <w:rPr>
          <w:rFonts w:ascii="Calibri"/>
          <w:sz w:val="24"/>
        </w:rPr>
        <w:t>indemnifies</w:t>
      </w:r>
      <w:r w:rsidRPr="00150EDC">
        <w:rPr>
          <w:rFonts w:ascii="Calibri"/>
          <w:spacing w:val="-5"/>
          <w:sz w:val="24"/>
        </w:rPr>
        <w:t xml:space="preserve"> </w:t>
      </w:r>
      <w:r w:rsidRPr="00150EDC">
        <w:rPr>
          <w:rFonts w:ascii="Calibri"/>
          <w:sz w:val="24"/>
        </w:rPr>
        <w:t>both</w:t>
      </w:r>
      <w:r w:rsidRPr="00150EDC">
        <w:rPr>
          <w:rFonts w:ascii="Calibri"/>
          <w:spacing w:val="-2"/>
          <w:sz w:val="24"/>
        </w:rPr>
        <w:t xml:space="preserve"> </w:t>
      </w:r>
      <w:r w:rsidRPr="00150EDC">
        <w:rPr>
          <w:rFonts w:ascii="Calibri"/>
          <w:sz w:val="24"/>
        </w:rPr>
        <w:t>CCS</w:t>
      </w:r>
      <w:r w:rsidRPr="00150EDC">
        <w:rPr>
          <w:rFonts w:ascii="Calibri"/>
          <w:spacing w:val="-3"/>
          <w:sz w:val="24"/>
        </w:rPr>
        <w:t xml:space="preserve"> </w:t>
      </w:r>
      <w:r w:rsidRPr="00150EDC">
        <w:rPr>
          <w:rFonts w:ascii="Calibri"/>
          <w:sz w:val="24"/>
        </w:rPr>
        <w:t>and</w:t>
      </w:r>
      <w:r w:rsidRPr="00150EDC">
        <w:rPr>
          <w:rFonts w:ascii="Calibri"/>
          <w:spacing w:val="-4"/>
          <w:sz w:val="24"/>
        </w:rPr>
        <w:t xml:space="preserve"> </w:t>
      </w:r>
      <w:r w:rsidRPr="00150EDC">
        <w:rPr>
          <w:rFonts w:ascii="Calibri"/>
          <w:sz w:val="24"/>
        </w:rPr>
        <w:t>every</w:t>
      </w:r>
      <w:r w:rsidRPr="00150EDC">
        <w:rPr>
          <w:rFonts w:ascii="Calibri"/>
          <w:spacing w:val="-4"/>
          <w:sz w:val="24"/>
        </w:rPr>
        <w:t xml:space="preserve"> </w:t>
      </w:r>
      <w:r w:rsidRPr="00150EDC">
        <w:rPr>
          <w:rFonts w:ascii="Calibri"/>
          <w:sz w:val="24"/>
        </w:rPr>
        <w:t>Buyer</w:t>
      </w:r>
      <w:r w:rsidRPr="00150EDC">
        <w:rPr>
          <w:rFonts w:ascii="Calibri"/>
          <w:spacing w:val="-2"/>
          <w:sz w:val="24"/>
        </w:rPr>
        <w:t xml:space="preserve"> </w:t>
      </w:r>
      <w:r w:rsidRPr="00150EDC">
        <w:rPr>
          <w:rFonts w:ascii="Calibri"/>
          <w:sz w:val="24"/>
        </w:rPr>
        <w:t>against</w:t>
      </w:r>
      <w:r w:rsidRPr="00150EDC">
        <w:rPr>
          <w:rFonts w:ascii="Calibri"/>
          <w:spacing w:val="-2"/>
          <w:sz w:val="24"/>
        </w:rPr>
        <w:t xml:space="preserve"> </w:t>
      </w:r>
      <w:r w:rsidRPr="00150EDC">
        <w:rPr>
          <w:rFonts w:ascii="Calibri"/>
          <w:sz w:val="24"/>
        </w:rPr>
        <w:t>each</w:t>
      </w:r>
      <w:r w:rsidRPr="00150EDC">
        <w:rPr>
          <w:rFonts w:ascii="Calibri"/>
          <w:spacing w:val="-2"/>
          <w:sz w:val="24"/>
        </w:rPr>
        <w:t xml:space="preserve"> </w:t>
      </w:r>
      <w:r w:rsidRPr="00150EDC">
        <w:rPr>
          <w:rFonts w:ascii="Calibri"/>
          <w:sz w:val="24"/>
        </w:rPr>
        <w:t>of</w:t>
      </w:r>
      <w:r w:rsidRPr="00150EDC">
        <w:rPr>
          <w:rFonts w:ascii="Calibri"/>
          <w:spacing w:val="-4"/>
          <w:sz w:val="24"/>
        </w:rPr>
        <w:t xml:space="preserve"> </w:t>
      </w:r>
      <w:r w:rsidRPr="00150EDC">
        <w:rPr>
          <w:rFonts w:ascii="Calibri"/>
          <w:sz w:val="24"/>
        </w:rPr>
        <w:t>the</w:t>
      </w:r>
      <w:r w:rsidRPr="00150EDC">
        <w:rPr>
          <w:rFonts w:ascii="Calibri"/>
          <w:spacing w:val="-5"/>
          <w:sz w:val="24"/>
        </w:rPr>
        <w:t xml:space="preserve"> </w:t>
      </w:r>
      <w:r w:rsidRPr="00150EDC">
        <w:rPr>
          <w:rFonts w:ascii="Calibri"/>
          <w:spacing w:val="-2"/>
          <w:sz w:val="24"/>
        </w:rPr>
        <w:t>following:</w:t>
      </w:r>
    </w:p>
    <w:p w14:paraId="395E64CD" w14:textId="77777777" w:rsidR="004C7180" w:rsidRPr="00150EDC" w:rsidRDefault="004C7180">
      <w:pPr>
        <w:pStyle w:val="BodyText"/>
        <w:spacing w:before="4"/>
        <w:rPr>
          <w:rFonts w:ascii="Calibri"/>
          <w:sz w:val="27"/>
        </w:rPr>
      </w:pPr>
    </w:p>
    <w:p w14:paraId="754DCBEF" w14:textId="77777777" w:rsidR="004C7180" w:rsidRPr="00150EDC" w:rsidRDefault="00CF0754" w:rsidP="00B320C7">
      <w:pPr>
        <w:pStyle w:val="ListParagraph"/>
        <w:numPr>
          <w:ilvl w:val="0"/>
          <w:numId w:val="168"/>
        </w:numPr>
        <w:tabs>
          <w:tab w:val="left" w:pos="1491"/>
        </w:tabs>
        <w:ind w:left="1491" w:hanging="425"/>
        <w:rPr>
          <w:rFonts w:ascii="Calibri"/>
          <w:sz w:val="24"/>
        </w:rPr>
      </w:pPr>
      <w:r w:rsidRPr="00150EDC">
        <w:rPr>
          <w:rFonts w:ascii="Calibri"/>
          <w:sz w:val="24"/>
        </w:rPr>
        <w:t>wilful</w:t>
      </w:r>
      <w:r w:rsidRPr="00150EDC">
        <w:rPr>
          <w:rFonts w:ascii="Calibri"/>
          <w:spacing w:val="-5"/>
          <w:sz w:val="24"/>
        </w:rPr>
        <w:t xml:space="preserve"> </w:t>
      </w:r>
      <w:r w:rsidRPr="00150EDC">
        <w:rPr>
          <w:rFonts w:ascii="Calibri"/>
          <w:sz w:val="24"/>
        </w:rPr>
        <w:t>misconduct</w:t>
      </w:r>
      <w:r w:rsidRPr="00150EDC">
        <w:rPr>
          <w:rFonts w:ascii="Calibri"/>
          <w:spacing w:val="-3"/>
          <w:sz w:val="24"/>
        </w:rPr>
        <w:t xml:space="preserve"> </w:t>
      </w:r>
      <w:r w:rsidRPr="00150EDC">
        <w:rPr>
          <w:rFonts w:ascii="Calibri"/>
          <w:sz w:val="24"/>
        </w:rPr>
        <w:t>of</w:t>
      </w:r>
      <w:r w:rsidRPr="00150EDC">
        <w:rPr>
          <w:rFonts w:ascii="Calibri"/>
          <w:spacing w:val="-3"/>
          <w:sz w:val="24"/>
        </w:rPr>
        <w:t xml:space="preserve"> </w:t>
      </w:r>
      <w:r w:rsidRPr="00150EDC">
        <w:rPr>
          <w:rFonts w:ascii="Calibri"/>
          <w:sz w:val="24"/>
        </w:rPr>
        <w:t>the</w:t>
      </w:r>
      <w:r w:rsidRPr="00150EDC">
        <w:rPr>
          <w:rFonts w:ascii="Calibri"/>
          <w:spacing w:val="-7"/>
          <w:sz w:val="24"/>
        </w:rPr>
        <w:t xml:space="preserve"> </w:t>
      </w:r>
      <w:r w:rsidRPr="00150EDC">
        <w:rPr>
          <w:rFonts w:ascii="Calibri"/>
          <w:sz w:val="24"/>
        </w:rPr>
        <w:t>Supplier,</w:t>
      </w:r>
      <w:r w:rsidRPr="00150EDC">
        <w:rPr>
          <w:rFonts w:ascii="Calibri"/>
          <w:spacing w:val="-3"/>
          <w:sz w:val="24"/>
        </w:rPr>
        <w:t xml:space="preserve"> </w:t>
      </w:r>
      <w:r w:rsidRPr="00150EDC">
        <w:rPr>
          <w:rFonts w:ascii="Calibri"/>
          <w:sz w:val="24"/>
        </w:rPr>
        <w:t>Subcontractor</w:t>
      </w:r>
      <w:r w:rsidRPr="00150EDC">
        <w:rPr>
          <w:rFonts w:ascii="Calibri"/>
          <w:spacing w:val="-4"/>
          <w:sz w:val="24"/>
        </w:rPr>
        <w:t xml:space="preserve"> </w:t>
      </w:r>
      <w:r w:rsidRPr="00150EDC">
        <w:rPr>
          <w:rFonts w:ascii="Calibri"/>
          <w:sz w:val="24"/>
        </w:rPr>
        <w:t>and</w:t>
      </w:r>
      <w:r w:rsidRPr="00150EDC">
        <w:rPr>
          <w:rFonts w:ascii="Calibri"/>
          <w:spacing w:val="-2"/>
          <w:sz w:val="24"/>
        </w:rPr>
        <w:t xml:space="preserve"> </w:t>
      </w:r>
      <w:r w:rsidRPr="00150EDC">
        <w:rPr>
          <w:rFonts w:ascii="Calibri"/>
          <w:sz w:val="24"/>
        </w:rPr>
        <w:t>Supplier</w:t>
      </w:r>
      <w:r w:rsidRPr="00150EDC">
        <w:rPr>
          <w:rFonts w:ascii="Calibri"/>
          <w:spacing w:val="-4"/>
          <w:sz w:val="24"/>
        </w:rPr>
        <w:t xml:space="preserve"> </w:t>
      </w:r>
      <w:r w:rsidRPr="00150EDC">
        <w:rPr>
          <w:rFonts w:ascii="Calibri"/>
          <w:sz w:val="24"/>
        </w:rPr>
        <w:t>Staff</w:t>
      </w:r>
      <w:r w:rsidRPr="00150EDC">
        <w:rPr>
          <w:rFonts w:ascii="Calibri"/>
          <w:spacing w:val="-4"/>
          <w:sz w:val="24"/>
        </w:rPr>
        <w:t xml:space="preserve"> </w:t>
      </w:r>
      <w:r w:rsidRPr="00150EDC">
        <w:rPr>
          <w:rFonts w:ascii="Calibri"/>
          <w:sz w:val="24"/>
        </w:rPr>
        <w:t>that</w:t>
      </w:r>
      <w:r w:rsidRPr="00150EDC">
        <w:rPr>
          <w:rFonts w:ascii="Calibri"/>
          <w:spacing w:val="-4"/>
          <w:sz w:val="24"/>
        </w:rPr>
        <w:t xml:space="preserve"> </w:t>
      </w:r>
      <w:r w:rsidRPr="00150EDC">
        <w:rPr>
          <w:rFonts w:ascii="Calibri"/>
          <w:sz w:val="24"/>
        </w:rPr>
        <w:t>impacts</w:t>
      </w:r>
      <w:r w:rsidRPr="00150EDC">
        <w:rPr>
          <w:rFonts w:ascii="Calibri"/>
          <w:spacing w:val="-5"/>
          <w:sz w:val="24"/>
        </w:rPr>
        <w:t xml:space="preserve"> </w:t>
      </w:r>
      <w:r w:rsidRPr="00150EDC">
        <w:rPr>
          <w:rFonts w:ascii="Calibri"/>
          <w:sz w:val="24"/>
        </w:rPr>
        <w:t>the</w:t>
      </w:r>
      <w:r w:rsidRPr="00150EDC">
        <w:rPr>
          <w:rFonts w:ascii="Calibri"/>
          <w:spacing w:val="-5"/>
          <w:sz w:val="24"/>
        </w:rPr>
        <w:t xml:space="preserve"> </w:t>
      </w:r>
      <w:r w:rsidRPr="00150EDC">
        <w:rPr>
          <w:rFonts w:ascii="Calibri"/>
          <w:sz w:val="24"/>
        </w:rPr>
        <w:t>Contract;</w:t>
      </w:r>
      <w:r w:rsidRPr="00150EDC">
        <w:rPr>
          <w:rFonts w:ascii="Calibri"/>
          <w:spacing w:val="-4"/>
          <w:sz w:val="24"/>
        </w:rPr>
        <w:t xml:space="preserve"> </w:t>
      </w:r>
      <w:r w:rsidRPr="00150EDC">
        <w:rPr>
          <w:rFonts w:ascii="Calibri"/>
          <w:spacing w:val="-5"/>
          <w:sz w:val="24"/>
        </w:rPr>
        <w:t>and</w:t>
      </w:r>
    </w:p>
    <w:p w14:paraId="44958A42" w14:textId="77777777" w:rsidR="004C7180" w:rsidRPr="00150EDC" w:rsidRDefault="00CF0754" w:rsidP="00B320C7">
      <w:pPr>
        <w:pStyle w:val="ListParagraph"/>
        <w:numPr>
          <w:ilvl w:val="0"/>
          <w:numId w:val="168"/>
        </w:numPr>
        <w:tabs>
          <w:tab w:val="left" w:pos="1491"/>
        </w:tabs>
        <w:spacing w:before="19"/>
        <w:ind w:left="1491" w:hanging="425"/>
        <w:rPr>
          <w:rFonts w:ascii="Calibri"/>
          <w:sz w:val="24"/>
        </w:rPr>
      </w:pPr>
      <w:r w:rsidRPr="00150EDC">
        <w:rPr>
          <w:rFonts w:ascii="Calibri"/>
          <w:sz w:val="24"/>
        </w:rPr>
        <w:t>non-payment</w:t>
      </w:r>
      <w:r w:rsidRPr="00150EDC">
        <w:rPr>
          <w:rFonts w:ascii="Calibri"/>
          <w:spacing w:val="-5"/>
          <w:sz w:val="24"/>
        </w:rPr>
        <w:t xml:space="preserve"> </w:t>
      </w:r>
      <w:r w:rsidRPr="00150EDC">
        <w:rPr>
          <w:rFonts w:ascii="Calibri"/>
          <w:sz w:val="24"/>
        </w:rPr>
        <w:t>by</w:t>
      </w:r>
      <w:r w:rsidRPr="00150EDC">
        <w:rPr>
          <w:rFonts w:ascii="Calibri"/>
          <w:spacing w:val="-5"/>
          <w:sz w:val="24"/>
        </w:rPr>
        <w:t xml:space="preserve"> </w:t>
      </w:r>
      <w:r w:rsidRPr="00150EDC">
        <w:rPr>
          <w:rFonts w:ascii="Calibri"/>
          <w:sz w:val="24"/>
        </w:rPr>
        <w:t>the</w:t>
      </w:r>
      <w:r w:rsidRPr="00150EDC">
        <w:rPr>
          <w:rFonts w:ascii="Calibri"/>
          <w:spacing w:val="-4"/>
          <w:sz w:val="24"/>
        </w:rPr>
        <w:t xml:space="preserve"> </w:t>
      </w:r>
      <w:r w:rsidRPr="00150EDC">
        <w:rPr>
          <w:rFonts w:ascii="Calibri"/>
          <w:sz w:val="24"/>
        </w:rPr>
        <w:t>Supplier</w:t>
      </w:r>
      <w:r w:rsidRPr="00150EDC">
        <w:rPr>
          <w:rFonts w:ascii="Calibri"/>
          <w:spacing w:val="-2"/>
          <w:sz w:val="24"/>
        </w:rPr>
        <w:t xml:space="preserve"> </w:t>
      </w:r>
      <w:r w:rsidRPr="00150EDC">
        <w:rPr>
          <w:rFonts w:ascii="Calibri"/>
          <w:sz w:val="24"/>
        </w:rPr>
        <w:t>of</w:t>
      </w:r>
      <w:r w:rsidRPr="00150EDC">
        <w:rPr>
          <w:rFonts w:ascii="Calibri"/>
          <w:spacing w:val="-2"/>
          <w:sz w:val="24"/>
        </w:rPr>
        <w:t xml:space="preserve"> </w:t>
      </w:r>
      <w:r w:rsidRPr="00150EDC">
        <w:rPr>
          <w:rFonts w:ascii="Calibri"/>
          <w:sz w:val="24"/>
        </w:rPr>
        <w:t>any</w:t>
      </w:r>
      <w:r w:rsidRPr="00150EDC">
        <w:rPr>
          <w:rFonts w:ascii="Calibri"/>
          <w:spacing w:val="-2"/>
          <w:sz w:val="24"/>
        </w:rPr>
        <w:t xml:space="preserve"> </w:t>
      </w:r>
      <w:r w:rsidRPr="00150EDC">
        <w:rPr>
          <w:rFonts w:ascii="Calibri"/>
          <w:sz w:val="24"/>
        </w:rPr>
        <w:t>Tax</w:t>
      </w:r>
      <w:r w:rsidRPr="00150EDC">
        <w:rPr>
          <w:rFonts w:ascii="Calibri"/>
          <w:spacing w:val="-1"/>
          <w:sz w:val="24"/>
        </w:rPr>
        <w:t xml:space="preserve"> </w:t>
      </w:r>
      <w:r w:rsidRPr="00150EDC">
        <w:rPr>
          <w:rFonts w:ascii="Calibri"/>
          <w:sz w:val="24"/>
        </w:rPr>
        <w:t>or</w:t>
      </w:r>
      <w:r w:rsidRPr="00150EDC">
        <w:rPr>
          <w:rFonts w:ascii="Calibri"/>
          <w:spacing w:val="-3"/>
          <w:sz w:val="24"/>
        </w:rPr>
        <w:t xml:space="preserve"> </w:t>
      </w:r>
      <w:r w:rsidRPr="00150EDC">
        <w:rPr>
          <w:rFonts w:ascii="Calibri"/>
          <w:sz w:val="24"/>
        </w:rPr>
        <w:t xml:space="preserve">National </w:t>
      </w:r>
      <w:r w:rsidRPr="00150EDC">
        <w:rPr>
          <w:rFonts w:ascii="Calibri"/>
          <w:spacing w:val="-2"/>
          <w:sz w:val="24"/>
        </w:rPr>
        <w:t>Insurance.</w:t>
      </w:r>
    </w:p>
    <w:p w14:paraId="37E5D853" w14:textId="77777777" w:rsidR="004C7180" w:rsidRPr="00150EDC" w:rsidRDefault="004C7180">
      <w:pPr>
        <w:pStyle w:val="BodyText"/>
        <w:spacing w:before="4"/>
        <w:rPr>
          <w:rFonts w:ascii="Calibri"/>
          <w:sz w:val="27"/>
        </w:rPr>
      </w:pPr>
    </w:p>
    <w:p w14:paraId="07A8B389" w14:textId="77777777" w:rsidR="004C7180" w:rsidRPr="00150EDC" w:rsidRDefault="00CF0754" w:rsidP="00B320C7">
      <w:pPr>
        <w:pStyle w:val="ListParagraph"/>
        <w:numPr>
          <w:ilvl w:val="1"/>
          <w:numId w:val="182"/>
        </w:numPr>
        <w:tabs>
          <w:tab w:val="left" w:pos="1066"/>
        </w:tabs>
        <w:ind w:hanging="566"/>
        <w:rPr>
          <w:rFonts w:ascii="Calibri"/>
          <w:sz w:val="24"/>
        </w:rPr>
      </w:pPr>
      <w:r w:rsidRPr="00150EDC">
        <w:rPr>
          <w:rFonts w:ascii="Calibri"/>
          <w:sz w:val="24"/>
        </w:rPr>
        <w:t>All</w:t>
      </w:r>
      <w:r w:rsidRPr="00150EDC">
        <w:rPr>
          <w:rFonts w:ascii="Calibri"/>
          <w:spacing w:val="-3"/>
          <w:sz w:val="24"/>
        </w:rPr>
        <w:t xml:space="preserve"> </w:t>
      </w:r>
      <w:r w:rsidRPr="00150EDC">
        <w:rPr>
          <w:rFonts w:ascii="Calibri"/>
          <w:sz w:val="24"/>
        </w:rPr>
        <w:t>claims</w:t>
      </w:r>
      <w:r w:rsidRPr="00150EDC">
        <w:rPr>
          <w:rFonts w:ascii="Calibri"/>
          <w:spacing w:val="-3"/>
          <w:sz w:val="24"/>
        </w:rPr>
        <w:t xml:space="preserve"> </w:t>
      </w:r>
      <w:r w:rsidRPr="00150EDC">
        <w:rPr>
          <w:rFonts w:ascii="Calibri"/>
          <w:sz w:val="24"/>
        </w:rPr>
        <w:t>indemnified</w:t>
      </w:r>
      <w:r w:rsidRPr="00150EDC">
        <w:rPr>
          <w:rFonts w:ascii="Calibri"/>
          <w:spacing w:val="-4"/>
          <w:sz w:val="24"/>
        </w:rPr>
        <w:t xml:space="preserve"> </w:t>
      </w:r>
      <w:r w:rsidRPr="00150EDC">
        <w:rPr>
          <w:rFonts w:ascii="Calibri"/>
          <w:sz w:val="24"/>
        </w:rPr>
        <w:t>under</w:t>
      </w:r>
      <w:r w:rsidRPr="00150EDC">
        <w:rPr>
          <w:rFonts w:ascii="Calibri"/>
          <w:spacing w:val="-4"/>
          <w:sz w:val="24"/>
        </w:rPr>
        <w:t xml:space="preserve"> </w:t>
      </w:r>
      <w:r w:rsidRPr="00150EDC">
        <w:rPr>
          <w:rFonts w:ascii="Calibri"/>
          <w:sz w:val="24"/>
        </w:rPr>
        <w:t>this</w:t>
      </w:r>
      <w:r w:rsidRPr="00150EDC">
        <w:rPr>
          <w:rFonts w:ascii="Calibri"/>
          <w:spacing w:val="-6"/>
          <w:sz w:val="24"/>
        </w:rPr>
        <w:t xml:space="preserve"> </w:t>
      </w:r>
      <w:r w:rsidRPr="00150EDC">
        <w:rPr>
          <w:rFonts w:ascii="Calibri"/>
          <w:sz w:val="24"/>
        </w:rPr>
        <w:t>Contract</w:t>
      </w:r>
      <w:r w:rsidRPr="00150EDC">
        <w:rPr>
          <w:rFonts w:ascii="Calibri"/>
          <w:spacing w:val="-2"/>
          <w:sz w:val="24"/>
        </w:rPr>
        <w:t xml:space="preserve"> </w:t>
      </w:r>
      <w:r w:rsidRPr="00150EDC">
        <w:rPr>
          <w:rFonts w:ascii="Calibri"/>
          <w:sz w:val="24"/>
        </w:rPr>
        <w:t>must</w:t>
      </w:r>
      <w:r w:rsidRPr="00150EDC">
        <w:rPr>
          <w:rFonts w:ascii="Calibri"/>
          <w:spacing w:val="-4"/>
          <w:sz w:val="24"/>
        </w:rPr>
        <w:t xml:space="preserve"> </w:t>
      </w:r>
      <w:r w:rsidRPr="00150EDC">
        <w:rPr>
          <w:rFonts w:ascii="Calibri"/>
          <w:sz w:val="24"/>
        </w:rPr>
        <w:t>use</w:t>
      </w:r>
      <w:r w:rsidRPr="00150EDC">
        <w:rPr>
          <w:rFonts w:ascii="Calibri"/>
          <w:spacing w:val="-2"/>
          <w:sz w:val="24"/>
        </w:rPr>
        <w:t xml:space="preserve"> </w:t>
      </w:r>
      <w:r w:rsidRPr="00150EDC">
        <w:rPr>
          <w:rFonts w:ascii="Calibri"/>
          <w:sz w:val="24"/>
        </w:rPr>
        <w:t>Clause</w:t>
      </w:r>
      <w:r w:rsidRPr="00150EDC">
        <w:rPr>
          <w:rFonts w:ascii="Calibri"/>
          <w:spacing w:val="-5"/>
          <w:sz w:val="24"/>
        </w:rPr>
        <w:t xml:space="preserve"> 26.</w:t>
      </w:r>
    </w:p>
    <w:p w14:paraId="6DFC37E7" w14:textId="77777777" w:rsidR="004C7180" w:rsidRPr="00150EDC" w:rsidRDefault="004C7180">
      <w:pPr>
        <w:pStyle w:val="BodyText"/>
        <w:spacing w:before="12"/>
        <w:rPr>
          <w:rFonts w:ascii="Calibri"/>
          <w:sz w:val="23"/>
        </w:rPr>
      </w:pPr>
    </w:p>
    <w:p w14:paraId="7FF98E67" w14:textId="77777777" w:rsidR="004C7180" w:rsidRPr="00150EDC" w:rsidRDefault="00CF0754" w:rsidP="00B320C7">
      <w:pPr>
        <w:pStyle w:val="ListParagraph"/>
        <w:numPr>
          <w:ilvl w:val="1"/>
          <w:numId w:val="182"/>
        </w:numPr>
        <w:tabs>
          <w:tab w:val="left" w:pos="1066"/>
        </w:tabs>
        <w:ind w:right="1019"/>
        <w:rPr>
          <w:rFonts w:ascii="Calibri"/>
          <w:sz w:val="24"/>
        </w:rPr>
      </w:pPr>
      <w:r w:rsidRPr="00150EDC">
        <w:rPr>
          <w:rFonts w:ascii="Calibri"/>
          <w:sz w:val="24"/>
        </w:rPr>
        <w:t>The</w:t>
      </w:r>
      <w:r w:rsidRPr="00150EDC">
        <w:rPr>
          <w:rFonts w:ascii="Calibri"/>
          <w:spacing w:val="-3"/>
          <w:sz w:val="24"/>
        </w:rPr>
        <w:t xml:space="preserve"> </w:t>
      </w:r>
      <w:r w:rsidRPr="00150EDC">
        <w:rPr>
          <w:rFonts w:ascii="Calibri"/>
          <w:sz w:val="24"/>
        </w:rPr>
        <w:t>description</w:t>
      </w:r>
      <w:r w:rsidRPr="00150EDC">
        <w:rPr>
          <w:rFonts w:ascii="Calibri"/>
          <w:spacing w:val="-1"/>
          <w:sz w:val="24"/>
        </w:rPr>
        <w:t xml:space="preserve"> </w:t>
      </w:r>
      <w:r w:rsidRPr="00150EDC">
        <w:rPr>
          <w:rFonts w:ascii="Calibri"/>
          <w:sz w:val="24"/>
        </w:rPr>
        <w:t>of</w:t>
      </w:r>
      <w:r w:rsidRPr="00150EDC">
        <w:rPr>
          <w:rFonts w:ascii="Calibri"/>
          <w:spacing w:val="-1"/>
          <w:sz w:val="24"/>
        </w:rPr>
        <w:t xml:space="preserve"> </w:t>
      </w:r>
      <w:r w:rsidRPr="00150EDC">
        <w:rPr>
          <w:rFonts w:ascii="Calibri"/>
          <w:sz w:val="24"/>
        </w:rPr>
        <w:t>any</w:t>
      </w:r>
      <w:r w:rsidRPr="00150EDC">
        <w:rPr>
          <w:rFonts w:ascii="Calibri"/>
          <w:spacing w:val="-2"/>
          <w:sz w:val="24"/>
        </w:rPr>
        <w:t xml:space="preserve"> </w:t>
      </w:r>
      <w:r w:rsidRPr="00150EDC">
        <w:rPr>
          <w:rFonts w:ascii="Calibri"/>
          <w:sz w:val="24"/>
        </w:rPr>
        <w:t>provision</w:t>
      </w:r>
      <w:r w:rsidRPr="00150EDC">
        <w:rPr>
          <w:rFonts w:ascii="Calibri"/>
          <w:spacing w:val="-1"/>
          <w:sz w:val="24"/>
        </w:rPr>
        <w:t xml:space="preserve"> </w:t>
      </w:r>
      <w:r w:rsidRPr="00150EDC">
        <w:rPr>
          <w:rFonts w:ascii="Calibri"/>
          <w:sz w:val="24"/>
        </w:rPr>
        <w:t>of</w:t>
      </w:r>
      <w:r w:rsidRPr="00150EDC">
        <w:rPr>
          <w:rFonts w:ascii="Calibri"/>
          <w:spacing w:val="-3"/>
          <w:sz w:val="24"/>
        </w:rPr>
        <w:t xml:space="preserve"> </w:t>
      </w:r>
      <w:r w:rsidRPr="00150EDC">
        <w:rPr>
          <w:rFonts w:ascii="Calibri"/>
          <w:sz w:val="24"/>
        </w:rPr>
        <w:t>this</w:t>
      </w:r>
      <w:r w:rsidRPr="00150EDC">
        <w:rPr>
          <w:rFonts w:ascii="Calibri"/>
          <w:spacing w:val="-4"/>
          <w:sz w:val="24"/>
        </w:rPr>
        <w:t xml:space="preserve"> </w:t>
      </w:r>
      <w:r w:rsidRPr="00150EDC">
        <w:rPr>
          <w:rFonts w:ascii="Calibri"/>
          <w:sz w:val="24"/>
        </w:rPr>
        <w:t>Contract</w:t>
      </w:r>
      <w:r w:rsidRPr="00150EDC">
        <w:rPr>
          <w:rFonts w:ascii="Calibri"/>
          <w:spacing w:val="-1"/>
          <w:sz w:val="24"/>
        </w:rPr>
        <w:t xml:space="preserve"> </w:t>
      </w:r>
      <w:r w:rsidRPr="00150EDC">
        <w:rPr>
          <w:rFonts w:ascii="Calibri"/>
          <w:sz w:val="24"/>
        </w:rPr>
        <w:t>as</w:t>
      </w:r>
      <w:r w:rsidRPr="00150EDC">
        <w:rPr>
          <w:rFonts w:ascii="Calibri"/>
          <w:spacing w:val="-2"/>
          <w:sz w:val="24"/>
        </w:rPr>
        <w:t xml:space="preserve"> </w:t>
      </w:r>
      <w:r w:rsidRPr="00150EDC">
        <w:rPr>
          <w:rFonts w:ascii="Calibri"/>
          <w:sz w:val="24"/>
        </w:rPr>
        <w:t>a</w:t>
      </w:r>
      <w:r w:rsidRPr="00150EDC">
        <w:rPr>
          <w:rFonts w:ascii="Calibri"/>
          <w:spacing w:val="-2"/>
          <w:sz w:val="24"/>
        </w:rPr>
        <w:t xml:space="preserve"> </w:t>
      </w:r>
      <w:r w:rsidRPr="00150EDC">
        <w:rPr>
          <w:rFonts w:ascii="Calibri"/>
          <w:sz w:val="24"/>
        </w:rPr>
        <w:t>warranty</w:t>
      </w:r>
      <w:r w:rsidRPr="00150EDC">
        <w:rPr>
          <w:rFonts w:ascii="Calibri"/>
          <w:spacing w:val="-2"/>
          <w:sz w:val="24"/>
        </w:rPr>
        <w:t xml:space="preserve"> </w:t>
      </w:r>
      <w:r w:rsidRPr="00150EDC">
        <w:rPr>
          <w:rFonts w:ascii="Calibri"/>
          <w:sz w:val="24"/>
        </w:rPr>
        <w:t>does</w:t>
      </w:r>
      <w:r w:rsidRPr="00150EDC">
        <w:rPr>
          <w:rFonts w:ascii="Calibri"/>
          <w:spacing w:val="-4"/>
          <w:sz w:val="24"/>
        </w:rPr>
        <w:t xml:space="preserve"> </w:t>
      </w:r>
      <w:r w:rsidRPr="00150EDC">
        <w:rPr>
          <w:rFonts w:ascii="Calibri"/>
          <w:sz w:val="24"/>
        </w:rPr>
        <w:t>not</w:t>
      </w:r>
      <w:r w:rsidRPr="00150EDC">
        <w:rPr>
          <w:rFonts w:ascii="Calibri"/>
          <w:spacing w:val="-2"/>
          <w:sz w:val="24"/>
        </w:rPr>
        <w:t xml:space="preserve"> </w:t>
      </w:r>
      <w:r w:rsidRPr="00150EDC">
        <w:rPr>
          <w:rFonts w:ascii="Calibri"/>
          <w:sz w:val="24"/>
        </w:rPr>
        <w:t>prevent</w:t>
      </w:r>
      <w:r w:rsidRPr="00150EDC">
        <w:rPr>
          <w:rFonts w:ascii="Calibri"/>
          <w:spacing w:val="-3"/>
          <w:sz w:val="24"/>
        </w:rPr>
        <w:t xml:space="preserve"> </w:t>
      </w:r>
      <w:r w:rsidRPr="00150EDC">
        <w:rPr>
          <w:rFonts w:ascii="Calibri"/>
          <w:sz w:val="24"/>
        </w:rPr>
        <w:t>CCS</w:t>
      </w:r>
      <w:r w:rsidRPr="00150EDC">
        <w:rPr>
          <w:rFonts w:ascii="Calibri"/>
          <w:spacing w:val="-2"/>
          <w:sz w:val="24"/>
        </w:rPr>
        <w:t xml:space="preserve"> </w:t>
      </w:r>
      <w:r w:rsidRPr="00150EDC">
        <w:rPr>
          <w:rFonts w:ascii="Calibri"/>
          <w:sz w:val="24"/>
        </w:rPr>
        <w:t>or</w:t>
      </w:r>
      <w:r w:rsidRPr="00150EDC">
        <w:rPr>
          <w:rFonts w:ascii="Calibri"/>
          <w:spacing w:val="-1"/>
          <w:sz w:val="24"/>
        </w:rPr>
        <w:t xml:space="preserve"> </w:t>
      </w:r>
      <w:r w:rsidRPr="00150EDC">
        <w:rPr>
          <w:rFonts w:ascii="Calibri"/>
          <w:sz w:val="24"/>
        </w:rPr>
        <w:t>a</w:t>
      </w:r>
      <w:r w:rsidRPr="00150EDC">
        <w:rPr>
          <w:rFonts w:ascii="Calibri"/>
          <w:spacing w:val="-4"/>
          <w:sz w:val="24"/>
        </w:rPr>
        <w:t xml:space="preserve"> </w:t>
      </w:r>
      <w:r w:rsidRPr="00150EDC">
        <w:rPr>
          <w:rFonts w:ascii="Calibri"/>
          <w:sz w:val="24"/>
        </w:rPr>
        <w:t>Buyer</w:t>
      </w:r>
      <w:r w:rsidRPr="00150EDC">
        <w:rPr>
          <w:rFonts w:ascii="Calibri"/>
          <w:spacing w:val="-4"/>
          <w:sz w:val="24"/>
        </w:rPr>
        <w:t xml:space="preserve"> </w:t>
      </w:r>
      <w:r w:rsidRPr="00150EDC">
        <w:rPr>
          <w:rFonts w:ascii="Calibri"/>
          <w:sz w:val="24"/>
        </w:rPr>
        <w:t>from exercising any termination right that it may have for breach of that clause by the Supplier.</w:t>
      </w:r>
    </w:p>
    <w:p w14:paraId="23D8FE6E" w14:textId="77777777" w:rsidR="004C7180" w:rsidRPr="00150EDC" w:rsidRDefault="004C7180">
      <w:pPr>
        <w:pStyle w:val="BodyText"/>
        <w:spacing w:before="2"/>
        <w:rPr>
          <w:rFonts w:ascii="Calibri"/>
        </w:rPr>
      </w:pPr>
    </w:p>
    <w:p w14:paraId="56A582EC" w14:textId="77777777" w:rsidR="004C7180" w:rsidRPr="00150EDC" w:rsidRDefault="00CF0754" w:rsidP="00B320C7">
      <w:pPr>
        <w:pStyle w:val="ListParagraph"/>
        <w:numPr>
          <w:ilvl w:val="1"/>
          <w:numId w:val="182"/>
        </w:numPr>
        <w:tabs>
          <w:tab w:val="left" w:pos="1066"/>
        </w:tabs>
        <w:ind w:right="982"/>
        <w:rPr>
          <w:rFonts w:ascii="Calibri"/>
          <w:sz w:val="24"/>
        </w:rPr>
      </w:pPr>
      <w:r w:rsidRPr="00150EDC">
        <w:rPr>
          <w:rFonts w:ascii="Calibri"/>
          <w:sz w:val="24"/>
        </w:rPr>
        <w:t>If</w:t>
      </w:r>
      <w:r w:rsidRPr="00150EDC">
        <w:rPr>
          <w:rFonts w:ascii="Calibri"/>
          <w:spacing w:val="-2"/>
          <w:sz w:val="24"/>
        </w:rPr>
        <w:t xml:space="preserve"> </w:t>
      </w:r>
      <w:r w:rsidRPr="00150EDC">
        <w:rPr>
          <w:rFonts w:ascii="Calibri"/>
          <w:sz w:val="24"/>
        </w:rPr>
        <w:t>the</w:t>
      </w:r>
      <w:r w:rsidRPr="00150EDC">
        <w:rPr>
          <w:rFonts w:ascii="Calibri"/>
          <w:spacing w:val="-2"/>
          <w:sz w:val="24"/>
        </w:rPr>
        <w:t xml:space="preserve"> </w:t>
      </w:r>
      <w:r w:rsidRPr="00150EDC">
        <w:rPr>
          <w:rFonts w:ascii="Calibri"/>
          <w:sz w:val="24"/>
        </w:rPr>
        <w:t>Supplier</w:t>
      </w:r>
      <w:r w:rsidRPr="00150EDC">
        <w:rPr>
          <w:rFonts w:ascii="Calibri"/>
          <w:spacing w:val="-4"/>
          <w:sz w:val="24"/>
        </w:rPr>
        <w:t xml:space="preserve"> </w:t>
      </w:r>
      <w:r w:rsidRPr="00150EDC">
        <w:rPr>
          <w:rFonts w:ascii="Calibri"/>
          <w:sz w:val="24"/>
        </w:rPr>
        <w:t>becomes</w:t>
      </w:r>
      <w:r w:rsidRPr="00150EDC">
        <w:rPr>
          <w:rFonts w:ascii="Calibri"/>
          <w:spacing w:val="-5"/>
          <w:sz w:val="24"/>
        </w:rPr>
        <w:t xml:space="preserve"> </w:t>
      </w:r>
      <w:r w:rsidRPr="00150EDC">
        <w:rPr>
          <w:rFonts w:ascii="Calibri"/>
          <w:sz w:val="24"/>
        </w:rPr>
        <w:t>aware</w:t>
      </w:r>
      <w:r w:rsidRPr="00150EDC">
        <w:rPr>
          <w:rFonts w:ascii="Calibri"/>
          <w:spacing w:val="-2"/>
          <w:sz w:val="24"/>
        </w:rPr>
        <w:t xml:space="preserve"> </w:t>
      </w:r>
      <w:r w:rsidRPr="00150EDC">
        <w:rPr>
          <w:rFonts w:ascii="Calibri"/>
          <w:sz w:val="24"/>
        </w:rPr>
        <w:t>of</w:t>
      </w:r>
      <w:r w:rsidRPr="00150EDC">
        <w:rPr>
          <w:rFonts w:ascii="Calibri"/>
          <w:spacing w:val="-4"/>
          <w:sz w:val="24"/>
        </w:rPr>
        <w:t xml:space="preserve"> </w:t>
      </w:r>
      <w:r w:rsidRPr="00150EDC">
        <w:rPr>
          <w:rFonts w:ascii="Calibri"/>
          <w:sz w:val="24"/>
        </w:rPr>
        <w:t>a</w:t>
      </w:r>
      <w:r w:rsidRPr="00150EDC">
        <w:rPr>
          <w:rFonts w:ascii="Calibri"/>
          <w:spacing w:val="-2"/>
          <w:sz w:val="24"/>
        </w:rPr>
        <w:t xml:space="preserve"> </w:t>
      </w:r>
      <w:r w:rsidRPr="00150EDC">
        <w:rPr>
          <w:rFonts w:ascii="Calibri"/>
          <w:sz w:val="24"/>
        </w:rPr>
        <w:t>representation</w:t>
      </w:r>
      <w:r w:rsidRPr="00150EDC">
        <w:rPr>
          <w:rFonts w:ascii="Calibri"/>
          <w:spacing w:val="-2"/>
          <w:sz w:val="24"/>
        </w:rPr>
        <w:t xml:space="preserve"> </w:t>
      </w:r>
      <w:r w:rsidRPr="00150EDC">
        <w:rPr>
          <w:rFonts w:ascii="Calibri"/>
          <w:sz w:val="24"/>
        </w:rPr>
        <w:t>or</w:t>
      </w:r>
      <w:r w:rsidRPr="00150EDC">
        <w:rPr>
          <w:rFonts w:ascii="Calibri"/>
          <w:spacing w:val="-4"/>
          <w:sz w:val="24"/>
        </w:rPr>
        <w:t xml:space="preserve"> </w:t>
      </w:r>
      <w:r w:rsidRPr="00150EDC">
        <w:rPr>
          <w:rFonts w:ascii="Calibri"/>
          <w:sz w:val="24"/>
        </w:rPr>
        <w:t>warranty</w:t>
      </w:r>
      <w:r w:rsidRPr="00150EDC">
        <w:rPr>
          <w:rFonts w:ascii="Calibri"/>
          <w:spacing w:val="-3"/>
          <w:sz w:val="24"/>
        </w:rPr>
        <w:t xml:space="preserve"> </w:t>
      </w:r>
      <w:r w:rsidRPr="00150EDC">
        <w:rPr>
          <w:rFonts w:ascii="Calibri"/>
          <w:sz w:val="24"/>
        </w:rPr>
        <w:t>that</w:t>
      </w:r>
      <w:r w:rsidRPr="00150EDC">
        <w:rPr>
          <w:rFonts w:ascii="Calibri"/>
          <w:spacing w:val="-4"/>
          <w:sz w:val="24"/>
        </w:rPr>
        <w:t xml:space="preserve"> </w:t>
      </w:r>
      <w:r w:rsidRPr="00150EDC">
        <w:rPr>
          <w:rFonts w:ascii="Calibri"/>
          <w:sz w:val="24"/>
        </w:rPr>
        <w:t>becomes</w:t>
      </w:r>
      <w:r w:rsidRPr="00150EDC">
        <w:rPr>
          <w:rFonts w:ascii="Calibri"/>
          <w:spacing w:val="-2"/>
          <w:sz w:val="24"/>
        </w:rPr>
        <w:t xml:space="preserve"> </w:t>
      </w:r>
      <w:r w:rsidRPr="00150EDC">
        <w:rPr>
          <w:rFonts w:ascii="Calibri"/>
          <w:sz w:val="24"/>
        </w:rPr>
        <w:t>untrue</w:t>
      </w:r>
      <w:r w:rsidRPr="00150EDC">
        <w:rPr>
          <w:rFonts w:ascii="Calibri"/>
          <w:spacing w:val="-4"/>
          <w:sz w:val="24"/>
        </w:rPr>
        <w:t xml:space="preserve"> </w:t>
      </w:r>
      <w:r w:rsidRPr="00150EDC">
        <w:rPr>
          <w:rFonts w:ascii="Calibri"/>
          <w:sz w:val="24"/>
        </w:rPr>
        <w:t>or</w:t>
      </w:r>
      <w:r w:rsidRPr="00150EDC">
        <w:rPr>
          <w:rFonts w:ascii="Calibri"/>
          <w:spacing w:val="-2"/>
          <w:sz w:val="24"/>
        </w:rPr>
        <w:t xml:space="preserve"> </w:t>
      </w:r>
      <w:r w:rsidRPr="00150EDC">
        <w:rPr>
          <w:rFonts w:ascii="Calibri"/>
          <w:sz w:val="24"/>
        </w:rPr>
        <w:t>misleading,</w:t>
      </w:r>
      <w:r w:rsidRPr="00150EDC">
        <w:rPr>
          <w:rFonts w:ascii="Calibri"/>
          <w:spacing w:val="-3"/>
          <w:sz w:val="24"/>
        </w:rPr>
        <w:t xml:space="preserve"> </w:t>
      </w:r>
      <w:r w:rsidRPr="00150EDC">
        <w:rPr>
          <w:rFonts w:ascii="Calibri"/>
          <w:sz w:val="24"/>
        </w:rPr>
        <w:t>it must immediately notify CCS and every Buyer.</w:t>
      </w:r>
    </w:p>
    <w:p w14:paraId="269C8415" w14:textId="77777777" w:rsidR="004C7180" w:rsidRPr="00150EDC" w:rsidRDefault="004C7180">
      <w:pPr>
        <w:pStyle w:val="BodyText"/>
        <w:rPr>
          <w:rFonts w:ascii="Calibri"/>
        </w:rPr>
      </w:pPr>
    </w:p>
    <w:p w14:paraId="5D83E621" w14:textId="77777777" w:rsidR="004C7180" w:rsidRPr="00150EDC" w:rsidRDefault="00CF0754" w:rsidP="00B320C7">
      <w:pPr>
        <w:pStyle w:val="ListParagraph"/>
        <w:numPr>
          <w:ilvl w:val="1"/>
          <w:numId w:val="182"/>
        </w:numPr>
        <w:tabs>
          <w:tab w:val="left" w:pos="1066"/>
        </w:tabs>
        <w:ind w:right="982"/>
        <w:rPr>
          <w:rFonts w:ascii="Calibri" w:hAnsi="Calibri"/>
          <w:sz w:val="24"/>
        </w:rPr>
      </w:pPr>
      <w:r w:rsidRPr="00150EDC">
        <w:rPr>
          <w:rFonts w:ascii="Calibri" w:hAnsi="Calibri"/>
          <w:sz w:val="24"/>
        </w:rPr>
        <w:t>All</w:t>
      </w:r>
      <w:r w:rsidRPr="00150EDC">
        <w:rPr>
          <w:rFonts w:ascii="Calibri" w:hAnsi="Calibri"/>
          <w:spacing w:val="-2"/>
          <w:sz w:val="24"/>
        </w:rPr>
        <w:t xml:space="preserve"> </w:t>
      </w:r>
      <w:r w:rsidRPr="00150EDC">
        <w:rPr>
          <w:rFonts w:ascii="Calibri" w:hAnsi="Calibri"/>
          <w:sz w:val="24"/>
        </w:rPr>
        <w:t>third</w:t>
      </w:r>
      <w:r w:rsidRPr="00150EDC">
        <w:rPr>
          <w:rFonts w:ascii="Calibri" w:hAnsi="Calibri"/>
          <w:spacing w:val="-4"/>
          <w:sz w:val="24"/>
        </w:rPr>
        <w:t xml:space="preserve"> </w:t>
      </w:r>
      <w:r w:rsidRPr="00150EDC">
        <w:rPr>
          <w:rFonts w:ascii="Calibri" w:hAnsi="Calibri"/>
          <w:sz w:val="24"/>
        </w:rPr>
        <w:t>party</w:t>
      </w:r>
      <w:r w:rsidRPr="00150EDC">
        <w:rPr>
          <w:rFonts w:ascii="Calibri" w:hAnsi="Calibri"/>
          <w:spacing w:val="-3"/>
          <w:sz w:val="24"/>
        </w:rPr>
        <w:t xml:space="preserve"> </w:t>
      </w:r>
      <w:r w:rsidRPr="00150EDC">
        <w:rPr>
          <w:rFonts w:ascii="Calibri" w:hAnsi="Calibri"/>
          <w:sz w:val="24"/>
        </w:rPr>
        <w:t>warranties</w:t>
      </w:r>
      <w:r w:rsidRPr="00150EDC">
        <w:rPr>
          <w:rFonts w:ascii="Calibri" w:hAnsi="Calibri"/>
          <w:spacing w:val="-5"/>
          <w:sz w:val="24"/>
        </w:rPr>
        <w:t xml:space="preserve"> </w:t>
      </w:r>
      <w:r w:rsidRPr="00150EDC">
        <w:rPr>
          <w:rFonts w:ascii="Calibri" w:hAnsi="Calibri"/>
          <w:sz w:val="24"/>
        </w:rPr>
        <w:t>and</w:t>
      </w:r>
      <w:r w:rsidRPr="00150EDC">
        <w:rPr>
          <w:rFonts w:ascii="Calibri" w:hAnsi="Calibri"/>
          <w:spacing w:val="-4"/>
          <w:sz w:val="24"/>
        </w:rPr>
        <w:t xml:space="preserve"> </w:t>
      </w:r>
      <w:r w:rsidRPr="00150EDC">
        <w:rPr>
          <w:rFonts w:ascii="Calibri" w:hAnsi="Calibri"/>
          <w:sz w:val="24"/>
        </w:rPr>
        <w:t>indemnities</w:t>
      </w:r>
      <w:r w:rsidRPr="00150EDC">
        <w:rPr>
          <w:rFonts w:ascii="Calibri" w:hAnsi="Calibri"/>
          <w:spacing w:val="-5"/>
          <w:sz w:val="24"/>
        </w:rPr>
        <w:t xml:space="preserve"> </w:t>
      </w:r>
      <w:r w:rsidRPr="00150EDC">
        <w:rPr>
          <w:rFonts w:ascii="Calibri" w:hAnsi="Calibri"/>
          <w:sz w:val="24"/>
        </w:rPr>
        <w:t>covering</w:t>
      </w:r>
      <w:r w:rsidRPr="00150EDC">
        <w:rPr>
          <w:rFonts w:ascii="Calibri" w:hAnsi="Calibri"/>
          <w:spacing w:val="-3"/>
          <w:sz w:val="24"/>
        </w:rPr>
        <w:t xml:space="preserve"> </w:t>
      </w:r>
      <w:r w:rsidRPr="00150EDC">
        <w:rPr>
          <w:rFonts w:ascii="Calibri" w:hAnsi="Calibri"/>
          <w:sz w:val="24"/>
        </w:rPr>
        <w:t>the</w:t>
      </w:r>
      <w:r w:rsidRPr="00150EDC">
        <w:rPr>
          <w:rFonts w:ascii="Calibri" w:hAnsi="Calibri"/>
          <w:spacing w:val="-2"/>
          <w:sz w:val="24"/>
        </w:rPr>
        <w:t xml:space="preserve"> </w:t>
      </w:r>
      <w:r w:rsidRPr="00150EDC">
        <w:rPr>
          <w:rFonts w:ascii="Calibri" w:hAnsi="Calibri"/>
          <w:sz w:val="24"/>
        </w:rPr>
        <w:t>Deliverables</w:t>
      </w:r>
      <w:r w:rsidRPr="00150EDC">
        <w:rPr>
          <w:rFonts w:ascii="Calibri" w:hAnsi="Calibri"/>
          <w:spacing w:val="-3"/>
          <w:sz w:val="24"/>
        </w:rPr>
        <w:t xml:space="preserve"> </w:t>
      </w:r>
      <w:r w:rsidRPr="00150EDC">
        <w:rPr>
          <w:rFonts w:ascii="Calibri" w:hAnsi="Calibri"/>
          <w:sz w:val="24"/>
        </w:rPr>
        <w:t>must</w:t>
      </w:r>
      <w:r w:rsidRPr="00150EDC">
        <w:rPr>
          <w:rFonts w:ascii="Calibri" w:hAnsi="Calibri"/>
          <w:spacing w:val="-4"/>
          <w:sz w:val="24"/>
        </w:rPr>
        <w:t xml:space="preserve"> </w:t>
      </w:r>
      <w:r w:rsidRPr="00150EDC">
        <w:rPr>
          <w:rFonts w:ascii="Calibri" w:hAnsi="Calibri"/>
          <w:sz w:val="24"/>
        </w:rPr>
        <w:t>be</w:t>
      </w:r>
      <w:r w:rsidRPr="00150EDC">
        <w:rPr>
          <w:rFonts w:ascii="Calibri" w:hAnsi="Calibri"/>
          <w:spacing w:val="-2"/>
          <w:sz w:val="24"/>
        </w:rPr>
        <w:t xml:space="preserve"> </w:t>
      </w:r>
      <w:r w:rsidRPr="00150EDC">
        <w:rPr>
          <w:rFonts w:ascii="Calibri" w:hAnsi="Calibri"/>
          <w:sz w:val="24"/>
        </w:rPr>
        <w:t>assigned</w:t>
      </w:r>
      <w:r w:rsidRPr="00150EDC">
        <w:rPr>
          <w:rFonts w:ascii="Calibri" w:hAnsi="Calibri"/>
          <w:spacing w:val="-4"/>
          <w:sz w:val="24"/>
        </w:rPr>
        <w:t xml:space="preserve"> </w:t>
      </w:r>
      <w:r w:rsidRPr="00150EDC">
        <w:rPr>
          <w:rFonts w:ascii="Calibri" w:hAnsi="Calibri"/>
          <w:sz w:val="24"/>
        </w:rPr>
        <w:t>for</w:t>
      </w:r>
      <w:r w:rsidRPr="00150EDC">
        <w:rPr>
          <w:rFonts w:ascii="Calibri" w:hAnsi="Calibri"/>
          <w:spacing w:val="-4"/>
          <w:sz w:val="24"/>
        </w:rPr>
        <w:t xml:space="preserve"> </w:t>
      </w:r>
      <w:r w:rsidRPr="00150EDC">
        <w:rPr>
          <w:rFonts w:ascii="Calibri" w:hAnsi="Calibri"/>
          <w:sz w:val="24"/>
        </w:rPr>
        <w:t>the</w:t>
      </w:r>
      <w:r w:rsidRPr="00150EDC">
        <w:rPr>
          <w:rFonts w:ascii="Calibri" w:hAnsi="Calibri"/>
          <w:spacing w:val="-2"/>
          <w:sz w:val="24"/>
        </w:rPr>
        <w:t xml:space="preserve"> </w:t>
      </w:r>
      <w:r w:rsidRPr="00150EDC">
        <w:rPr>
          <w:rFonts w:ascii="Calibri" w:hAnsi="Calibri"/>
          <w:sz w:val="24"/>
        </w:rPr>
        <w:t>Buyer’s benefit by the Supplier.</w:t>
      </w:r>
    </w:p>
    <w:p w14:paraId="28206B4A" w14:textId="77777777" w:rsidR="004C7180" w:rsidRPr="00150EDC" w:rsidRDefault="004C7180">
      <w:pPr>
        <w:pStyle w:val="BodyText"/>
        <w:spacing w:before="7"/>
        <w:rPr>
          <w:rFonts w:ascii="Calibri"/>
          <w:sz w:val="25"/>
        </w:rPr>
      </w:pPr>
    </w:p>
    <w:p w14:paraId="7EC0AD8D" w14:textId="77777777" w:rsidR="004C7180" w:rsidRPr="00150EDC" w:rsidRDefault="00CF0754" w:rsidP="00B320C7">
      <w:pPr>
        <w:pStyle w:val="Heading1"/>
        <w:numPr>
          <w:ilvl w:val="0"/>
          <w:numId w:val="182"/>
        </w:numPr>
        <w:tabs>
          <w:tab w:val="left" w:pos="926"/>
        </w:tabs>
        <w:ind w:left="926" w:hanging="359"/>
        <w:jc w:val="left"/>
        <w:rPr>
          <w:rFonts w:ascii="Calibri"/>
        </w:rPr>
      </w:pPr>
      <w:r w:rsidRPr="00150EDC">
        <w:rPr>
          <w:rFonts w:ascii="Calibri"/>
        </w:rPr>
        <w:t>Intellectual</w:t>
      </w:r>
      <w:r w:rsidRPr="00150EDC">
        <w:rPr>
          <w:rFonts w:ascii="Calibri"/>
          <w:spacing w:val="-4"/>
        </w:rPr>
        <w:t xml:space="preserve"> </w:t>
      </w:r>
      <w:r w:rsidRPr="00150EDC">
        <w:rPr>
          <w:rFonts w:ascii="Calibri"/>
        </w:rPr>
        <w:t>Property</w:t>
      </w:r>
      <w:r w:rsidRPr="00150EDC">
        <w:rPr>
          <w:rFonts w:ascii="Calibri"/>
          <w:spacing w:val="-3"/>
        </w:rPr>
        <w:t xml:space="preserve"> </w:t>
      </w:r>
      <w:r w:rsidRPr="00150EDC">
        <w:rPr>
          <w:rFonts w:ascii="Calibri"/>
        </w:rPr>
        <w:t>Rights</w:t>
      </w:r>
      <w:r w:rsidRPr="00150EDC">
        <w:rPr>
          <w:rFonts w:ascii="Calibri"/>
          <w:spacing w:val="-3"/>
        </w:rPr>
        <w:t xml:space="preserve"> </w:t>
      </w:r>
      <w:r w:rsidRPr="00150EDC">
        <w:rPr>
          <w:rFonts w:ascii="Calibri"/>
          <w:spacing w:val="-2"/>
        </w:rPr>
        <w:t>(IPRs)</w:t>
      </w:r>
    </w:p>
    <w:p w14:paraId="40CEF8DA" w14:textId="77777777" w:rsidR="004C7180" w:rsidRPr="00150EDC" w:rsidRDefault="00CF0754" w:rsidP="00B320C7">
      <w:pPr>
        <w:pStyle w:val="ListParagraph"/>
        <w:numPr>
          <w:ilvl w:val="1"/>
          <w:numId w:val="182"/>
        </w:numPr>
        <w:tabs>
          <w:tab w:val="left" w:pos="1066"/>
        </w:tabs>
        <w:spacing w:before="21"/>
        <w:ind w:right="832"/>
        <w:rPr>
          <w:rFonts w:ascii="Calibri" w:hAnsi="Calibri"/>
          <w:sz w:val="24"/>
        </w:rPr>
      </w:pPr>
      <w:r w:rsidRPr="00150EDC">
        <w:rPr>
          <w:rFonts w:ascii="Calibri" w:hAnsi="Calibri"/>
          <w:sz w:val="24"/>
        </w:rPr>
        <w:t>Each Party keeps ownership of its own Existing IPRs. The Supplier gives the Buyer a non-exclusive, perpetual,</w:t>
      </w:r>
      <w:r w:rsidRPr="00150EDC">
        <w:rPr>
          <w:rFonts w:ascii="Calibri" w:hAnsi="Calibri"/>
          <w:spacing w:val="-2"/>
          <w:sz w:val="24"/>
        </w:rPr>
        <w:t xml:space="preserve"> </w:t>
      </w:r>
      <w:r w:rsidRPr="00150EDC">
        <w:rPr>
          <w:rFonts w:ascii="Calibri" w:hAnsi="Calibri"/>
          <w:sz w:val="24"/>
        </w:rPr>
        <w:t>royalty-free,</w:t>
      </w:r>
      <w:r w:rsidRPr="00150EDC">
        <w:rPr>
          <w:rFonts w:ascii="Calibri" w:hAnsi="Calibri"/>
          <w:spacing w:val="-4"/>
          <w:sz w:val="24"/>
        </w:rPr>
        <w:t xml:space="preserve"> </w:t>
      </w:r>
      <w:r w:rsidRPr="00150EDC">
        <w:rPr>
          <w:rFonts w:ascii="Calibri" w:hAnsi="Calibri"/>
          <w:sz w:val="24"/>
        </w:rPr>
        <w:t>irrevocable,</w:t>
      </w:r>
      <w:r w:rsidRPr="00150EDC">
        <w:rPr>
          <w:rFonts w:ascii="Calibri" w:hAnsi="Calibri"/>
          <w:spacing w:val="-5"/>
          <w:sz w:val="24"/>
        </w:rPr>
        <w:t xml:space="preserve"> </w:t>
      </w:r>
      <w:r w:rsidRPr="00150EDC">
        <w:rPr>
          <w:rFonts w:ascii="Calibri" w:hAnsi="Calibri"/>
          <w:sz w:val="24"/>
        </w:rPr>
        <w:t>transferable</w:t>
      </w:r>
      <w:r w:rsidRPr="00150EDC">
        <w:rPr>
          <w:rFonts w:ascii="Calibri" w:hAnsi="Calibri"/>
          <w:spacing w:val="-6"/>
          <w:sz w:val="24"/>
        </w:rPr>
        <w:t xml:space="preserve"> </w:t>
      </w:r>
      <w:r w:rsidRPr="00150EDC">
        <w:rPr>
          <w:rFonts w:ascii="Calibri" w:hAnsi="Calibri"/>
          <w:sz w:val="24"/>
        </w:rPr>
        <w:t>worldwide</w:t>
      </w:r>
      <w:r w:rsidRPr="00150EDC">
        <w:rPr>
          <w:rFonts w:ascii="Calibri" w:hAnsi="Calibri"/>
          <w:spacing w:val="-2"/>
          <w:sz w:val="24"/>
        </w:rPr>
        <w:t xml:space="preserve"> </w:t>
      </w:r>
      <w:r w:rsidRPr="00150EDC">
        <w:rPr>
          <w:rFonts w:ascii="Calibri" w:hAnsi="Calibri"/>
          <w:sz w:val="24"/>
        </w:rPr>
        <w:t>licence</w:t>
      </w:r>
      <w:r w:rsidRPr="00150EDC">
        <w:rPr>
          <w:rFonts w:ascii="Calibri" w:hAnsi="Calibri"/>
          <w:spacing w:val="-2"/>
          <w:sz w:val="24"/>
        </w:rPr>
        <w:t xml:space="preserve"> </w:t>
      </w:r>
      <w:r w:rsidRPr="00150EDC">
        <w:rPr>
          <w:rFonts w:ascii="Calibri" w:hAnsi="Calibri"/>
          <w:sz w:val="24"/>
        </w:rPr>
        <w:t>to</w:t>
      </w:r>
      <w:r w:rsidRPr="00150EDC">
        <w:rPr>
          <w:rFonts w:ascii="Calibri" w:hAnsi="Calibri"/>
          <w:spacing w:val="-4"/>
          <w:sz w:val="24"/>
        </w:rPr>
        <w:t xml:space="preserve"> </w:t>
      </w:r>
      <w:r w:rsidRPr="00150EDC">
        <w:rPr>
          <w:rFonts w:ascii="Calibri" w:hAnsi="Calibri"/>
          <w:sz w:val="24"/>
        </w:rPr>
        <w:t>use,</w:t>
      </w:r>
      <w:r w:rsidRPr="00150EDC">
        <w:rPr>
          <w:rFonts w:ascii="Calibri" w:hAnsi="Calibri"/>
          <w:spacing w:val="-3"/>
          <w:sz w:val="24"/>
        </w:rPr>
        <w:t xml:space="preserve"> </w:t>
      </w:r>
      <w:r w:rsidRPr="00150EDC">
        <w:rPr>
          <w:rFonts w:ascii="Calibri" w:hAnsi="Calibri"/>
          <w:sz w:val="24"/>
        </w:rPr>
        <w:t>change</w:t>
      </w:r>
      <w:r w:rsidRPr="00150EDC">
        <w:rPr>
          <w:rFonts w:ascii="Calibri" w:hAnsi="Calibri"/>
          <w:spacing w:val="-5"/>
          <w:sz w:val="24"/>
        </w:rPr>
        <w:t xml:space="preserve"> </w:t>
      </w:r>
      <w:r w:rsidRPr="00150EDC">
        <w:rPr>
          <w:rFonts w:ascii="Calibri" w:hAnsi="Calibri"/>
          <w:sz w:val="24"/>
        </w:rPr>
        <w:t>and</w:t>
      </w:r>
      <w:r w:rsidRPr="00150EDC">
        <w:rPr>
          <w:rFonts w:ascii="Calibri" w:hAnsi="Calibri"/>
          <w:spacing w:val="-2"/>
          <w:sz w:val="24"/>
        </w:rPr>
        <w:t xml:space="preserve"> </w:t>
      </w:r>
      <w:r w:rsidRPr="00150EDC">
        <w:rPr>
          <w:rFonts w:ascii="Calibri" w:hAnsi="Calibri"/>
          <w:sz w:val="24"/>
        </w:rPr>
        <w:t>sub-license</w:t>
      </w:r>
      <w:r w:rsidRPr="00150EDC">
        <w:rPr>
          <w:rFonts w:ascii="Calibri" w:hAnsi="Calibri"/>
          <w:spacing w:val="-5"/>
          <w:sz w:val="24"/>
        </w:rPr>
        <w:t xml:space="preserve"> </w:t>
      </w:r>
      <w:r w:rsidRPr="00150EDC">
        <w:rPr>
          <w:rFonts w:ascii="Calibri" w:hAnsi="Calibri"/>
          <w:sz w:val="24"/>
        </w:rPr>
        <w:t>the Supplier’s Existing IPR to enable it to both:</w:t>
      </w:r>
    </w:p>
    <w:p w14:paraId="5F2D9C22" w14:textId="77777777" w:rsidR="004C7180" w:rsidRPr="00150EDC" w:rsidRDefault="004C7180">
      <w:pPr>
        <w:pStyle w:val="BodyText"/>
        <w:spacing w:before="3"/>
        <w:rPr>
          <w:rFonts w:ascii="Calibri"/>
          <w:sz w:val="27"/>
        </w:rPr>
      </w:pPr>
    </w:p>
    <w:p w14:paraId="73CBB57E" w14:textId="77777777" w:rsidR="004C7180" w:rsidRPr="00150EDC" w:rsidRDefault="00CF0754" w:rsidP="00B320C7">
      <w:pPr>
        <w:pStyle w:val="ListParagraph"/>
        <w:numPr>
          <w:ilvl w:val="0"/>
          <w:numId w:val="167"/>
        </w:numPr>
        <w:tabs>
          <w:tab w:val="left" w:pos="1491"/>
        </w:tabs>
        <w:ind w:left="1491" w:hanging="425"/>
        <w:rPr>
          <w:rFonts w:ascii="Calibri"/>
          <w:sz w:val="24"/>
        </w:rPr>
      </w:pPr>
      <w:r w:rsidRPr="00150EDC">
        <w:rPr>
          <w:rFonts w:ascii="Calibri"/>
          <w:sz w:val="24"/>
        </w:rPr>
        <w:t>receive</w:t>
      </w:r>
      <w:r w:rsidRPr="00150EDC">
        <w:rPr>
          <w:rFonts w:ascii="Calibri"/>
          <w:spacing w:val="-1"/>
          <w:sz w:val="24"/>
        </w:rPr>
        <w:t xml:space="preserve"> </w:t>
      </w:r>
      <w:r w:rsidRPr="00150EDC">
        <w:rPr>
          <w:rFonts w:ascii="Calibri"/>
          <w:sz w:val="24"/>
        </w:rPr>
        <w:t>and</w:t>
      </w:r>
      <w:r w:rsidRPr="00150EDC">
        <w:rPr>
          <w:rFonts w:ascii="Calibri"/>
          <w:spacing w:val="-2"/>
          <w:sz w:val="24"/>
        </w:rPr>
        <w:t xml:space="preserve"> </w:t>
      </w:r>
      <w:r w:rsidRPr="00150EDC">
        <w:rPr>
          <w:rFonts w:ascii="Calibri"/>
          <w:sz w:val="24"/>
        </w:rPr>
        <w:t>use</w:t>
      </w:r>
      <w:r w:rsidRPr="00150EDC">
        <w:rPr>
          <w:rFonts w:ascii="Calibri"/>
          <w:spacing w:val="-3"/>
          <w:sz w:val="24"/>
        </w:rPr>
        <w:t xml:space="preserve"> </w:t>
      </w:r>
      <w:r w:rsidRPr="00150EDC">
        <w:rPr>
          <w:rFonts w:ascii="Calibri"/>
          <w:sz w:val="24"/>
        </w:rPr>
        <w:t>the</w:t>
      </w:r>
      <w:r w:rsidRPr="00150EDC">
        <w:rPr>
          <w:rFonts w:ascii="Calibri"/>
          <w:spacing w:val="-3"/>
          <w:sz w:val="24"/>
        </w:rPr>
        <w:t xml:space="preserve"> </w:t>
      </w:r>
      <w:r w:rsidRPr="00150EDC">
        <w:rPr>
          <w:rFonts w:ascii="Calibri"/>
          <w:sz w:val="24"/>
        </w:rPr>
        <w:t>Deliverables;</w:t>
      </w:r>
      <w:r w:rsidRPr="00150EDC">
        <w:rPr>
          <w:rFonts w:ascii="Calibri"/>
          <w:spacing w:val="-2"/>
          <w:sz w:val="24"/>
        </w:rPr>
        <w:t xml:space="preserve"> </w:t>
      </w:r>
      <w:r w:rsidRPr="00150EDC">
        <w:rPr>
          <w:rFonts w:ascii="Calibri"/>
          <w:spacing w:val="-5"/>
          <w:sz w:val="24"/>
        </w:rPr>
        <w:t>and</w:t>
      </w:r>
    </w:p>
    <w:p w14:paraId="68FE8740" w14:textId="77777777" w:rsidR="004C7180" w:rsidRPr="00150EDC" w:rsidRDefault="00CF0754" w:rsidP="00B320C7">
      <w:pPr>
        <w:pStyle w:val="ListParagraph"/>
        <w:numPr>
          <w:ilvl w:val="0"/>
          <w:numId w:val="167"/>
        </w:numPr>
        <w:tabs>
          <w:tab w:val="left" w:pos="1491"/>
        </w:tabs>
        <w:spacing w:before="20"/>
        <w:ind w:left="1491" w:hanging="425"/>
        <w:rPr>
          <w:rFonts w:ascii="Calibri"/>
          <w:sz w:val="24"/>
        </w:rPr>
      </w:pPr>
      <w:r w:rsidRPr="00150EDC">
        <w:rPr>
          <w:rFonts w:ascii="Calibri"/>
          <w:sz w:val="24"/>
        </w:rPr>
        <w:t>make</w:t>
      </w:r>
      <w:r w:rsidRPr="00150EDC">
        <w:rPr>
          <w:rFonts w:ascii="Calibri"/>
          <w:spacing w:val="-4"/>
          <w:sz w:val="24"/>
        </w:rPr>
        <w:t xml:space="preserve"> </w:t>
      </w:r>
      <w:r w:rsidRPr="00150EDC">
        <w:rPr>
          <w:rFonts w:ascii="Calibri"/>
          <w:sz w:val="24"/>
        </w:rPr>
        <w:t>use</w:t>
      </w:r>
      <w:r w:rsidRPr="00150EDC">
        <w:rPr>
          <w:rFonts w:ascii="Calibri"/>
          <w:spacing w:val="-4"/>
          <w:sz w:val="24"/>
        </w:rPr>
        <w:t xml:space="preserve"> </w:t>
      </w:r>
      <w:r w:rsidRPr="00150EDC">
        <w:rPr>
          <w:rFonts w:ascii="Calibri"/>
          <w:sz w:val="24"/>
        </w:rPr>
        <w:t>of</w:t>
      </w:r>
      <w:r w:rsidRPr="00150EDC">
        <w:rPr>
          <w:rFonts w:ascii="Calibri"/>
          <w:spacing w:val="-3"/>
          <w:sz w:val="24"/>
        </w:rPr>
        <w:t xml:space="preserve"> </w:t>
      </w:r>
      <w:r w:rsidRPr="00150EDC">
        <w:rPr>
          <w:rFonts w:ascii="Calibri"/>
          <w:sz w:val="24"/>
        </w:rPr>
        <w:t>the</w:t>
      </w:r>
      <w:r w:rsidRPr="00150EDC">
        <w:rPr>
          <w:rFonts w:ascii="Calibri"/>
          <w:spacing w:val="-3"/>
          <w:sz w:val="24"/>
        </w:rPr>
        <w:t xml:space="preserve"> </w:t>
      </w:r>
      <w:r w:rsidRPr="00150EDC">
        <w:rPr>
          <w:rFonts w:ascii="Calibri"/>
          <w:sz w:val="24"/>
        </w:rPr>
        <w:t>deliverables</w:t>
      </w:r>
      <w:r w:rsidRPr="00150EDC">
        <w:rPr>
          <w:rFonts w:ascii="Calibri"/>
          <w:spacing w:val="-3"/>
          <w:sz w:val="24"/>
        </w:rPr>
        <w:t xml:space="preserve"> </w:t>
      </w:r>
      <w:r w:rsidRPr="00150EDC">
        <w:rPr>
          <w:rFonts w:ascii="Calibri"/>
          <w:sz w:val="24"/>
        </w:rPr>
        <w:t>provided</w:t>
      </w:r>
      <w:r w:rsidRPr="00150EDC">
        <w:rPr>
          <w:rFonts w:ascii="Calibri"/>
          <w:spacing w:val="-3"/>
          <w:sz w:val="24"/>
        </w:rPr>
        <w:t xml:space="preserve"> </w:t>
      </w:r>
      <w:r w:rsidRPr="00150EDC">
        <w:rPr>
          <w:rFonts w:ascii="Calibri"/>
          <w:sz w:val="24"/>
        </w:rPr>
        <w:t>by</w:t>
      </w:r>
      <w:r w:rsidRPr="00150EDC">
        <w:rPr>
          <w:rFonts w:ascii="Calibri"/>
          <w:spacing w:val="-3"/>
          <w:sz w:val="24"/>
        </w:rPr>
        <w:t xml:space="preserve"> </w:t>
      </w:r>
      <w:r w:rsidRPr="00150EDC">
        <w:rPr>
          <w:rFonts w:ascii="Calibri"/>
          <w:sz w:val="24"/>
        </w:rPr>
        <w:t>a</w:t>
      </w:r>
      <w:r w:rsidRPr="00150EDC">
        <w:rPr>
          <w:rFonts w:ascii="Calibri"/>
          <w:spacing w:val="-1"/>
          <w:sz w:val="24"/>
        </w:rPr>
        <w:t xml:space="preserve"> </w:t>
      </w:r>
      <w:r w:rsidRPr="00150EDC">
        <w:rPr>
          <w:rFonts w:ascii="Calibri"/>
          <w:sz w:val="24"/>
        </w:rPr>
        <w:t>Replacement</w:t>
      </w:r>
      <w:r w:rsidRPr="00150EDC">
        <w:rPr>
          <w:rFonts w:ascii="Calibri"/>
          <w:spacing w:val="-3"/>
          <w:sz w:val="24"/>
        </w:rPr>
        <w:t xml:space="preserve"> </w:t>
      </w:r>
      <w:r w:rsidRPr="00150EDC">
        <w:rPr>
          <w:rFonts w:ascii="Calibri"/>
          <w:spacing w:val="-2"/>
          <w:sz w:val="24"/>
        </w:rPr>
        <w:t>Supplier.</w:t>
      </w:r>
    </w:p>
    <w:p w14:paraId="0797926C" w14:textId="77777777" w:rsidR="004C7180" w:rsidRPr="00150EDC" w:rsidRDefault="004C7180">
      <w:pPr>
        <w:pStyle w:val="BodyText"/>
        <w:spacing w:before="3"/>
        <w:rPr>
          <w:rFonts w:ascii="Calibri"/>
          <w:sz w:val="27"/>
        </w:rPr>
      </w:pPr>
    </w:p>
    <w:p w14:paraId="5CD8E97D" w14:textId="77777777" w:rsidR="004C7180" w:rsidRPr="00150EDC" w:rsidRDefault="00CF0754" w:rsidP="00B320C7">
      <w:pPr>
        <w:pStyle w:val="ListParagraph"/>
        <w:numPr>
          <w:ilvl w:val="1"/>
          <w:numId w:val="182"/>
        </w:numPr>
        <w:tabs>
          <w:tab w:val="left" w:pos="1066"/>
        </w:tabs>
        <w:ind w:right="626"/>
        <w:rPr>
          <w:rFonts w:ascii="Calibri"/>
          <w:sz w:val="24"/>
        </w:rPr>
      </w:pPr>
      <w:r w:rsidRPr="00150EDC">
        <w:rPr>
          <w:rFonts w:ascii="Calibri"/>
          <w:sz w:val="24"/>
        </w:rPr>
        <w:t>Any New IPR created under a Contract is owned by the Buyer. The Buyer gives the Supplier a licence to use</w:t>
      </w:r>
      <w:r w:rsidRPr="00150EDC">
        <w:rPr>
          <w:rFonts w:ascii="Calibri"/>
          <w:spacing w:val="-2"/>
          <w:sz w:val="24"/>
        </w:rPr>
        <w:t xml:space="preserve"> </w:t>
      </w:r>
      <w:r w:rsidRPr="00150EDC">
        <w:rPr>
          <w:rFonts w:ascii="Calibri"/>
          <w:sz w:val="24"/>
        </w:rPr>
        <w:t>any</w:t>
      </w:r>
      <w:r w:rsidRPr="00150EDC">
        <w:rPr>
          <w:rFonts w:ascii="Calibri"/>
          <w:spacing w:val="-3"/>
          <w:sz w:val="24"/>
        </w:rPr>
        <w:t xml:space="preserve"> </w:t>
      </w:r>
      <w:r w:rsidRPr="00150EDC">
        <w:rPr>
          <w:rFonts w:ascii="Calibri"/>
          <w:sz w:val="24"/>
        </w:rPr>
        <w:t>Existing</w:t>
      </w:r>
      <w:r w:rsidRPr="00150EDC">
        <w:rPr>
          <w:rFonts w:ascii="Calibri"/>
          <w:spacing w:val="-5"/>
          <w:sz w:val="24"/>
        </w:rPr>
        <w:t xml:space="preserve"> </w:t>
      </w:r>
      <w:r w:rsidRPr="00150EDC">
        <w:rPr>
          <w:rFonts w:ascii="Calibri"/>
          <w:sz w:val="24"/>
        </w:rPr>
        <w:t>IPRs</w:t>
      </w:r>
      <w:r w:rsidRPr="00150EDC">
        <w:rPr>
          <w:rFonts w:ascii="Calibri"/>
          <w:spacing w:val="-4"/>
          <w:sz w:val="24"/>
        </w:rPr>
        <w:t xml:space="preserve"> </w:t>
      </w:r>
      <w:r w:rsidRPr="00150EDC">
        <w:rPr>
          <w:rFonts w:ascii="Calibri"/>
          <w:sz w:val="24"/>
        </w:rPr>
        <w:t>and</w:t>
      </w:r>
      <w:r w:rsidRPr="00150EDC">
        <w:rPr>
          <w:rFonts w:ascii="Calibri"/>
          <w:spacing w:val="-4"/>
          <w:sz w:val="24"/>
        </w:rPr>
        <w:t xml:space="preserve"> </w:t>
      </w:r>
      <w:r w:rsidRPr="00150EDC">
        <w:rPr>
          <w:rFonts w:ascii="Calibri"/>
          <w:sz w:val="24"/>
        </w:rPr>
        <w:t>New</w:t>
      </w:r>
      <w:r w:rsidRPr="00150EDC">
        <w:rPr>
          <w:rFonts w:ascii="Calibri"/>
          <w:spacing w:val="-3"/>
          <w:sz w:val="24"/>
        </w:rPr>
        <w:t xml:space="preserve"> </w:t>
      </w:r>
      <w:r w:rsidRPr="00150EDC">
        <w:rPr>
          <w:rFonts w:ascii="Calibri"/>
          <w:sz w:val="24"/>
        </w:rPr>
        <w:t>IPRs</w:t>
      </w:r>
      <w:r w:rsidRPr="00150EDC">
        <w:rPr>
          <w:rFonts w:ascii="Calibri"/>
          <w:spacing w:val="-5"/>
          <w:sz w:val="24"/>
        </w:rPr>
        <w:t xml:space="preserve"> </w:t>
      </w:r>
      <w:r w:rsidRPr="00150EDC">
        <w:rPr>
          <w:rFonts w:ascii="Calibri"/>
          <w:sz w:val="24"/>
        </w:rPr>
        <w:t>for</w:t>
      </w:r>
      <w:r w:rsidRPr="00150EDC">
        <w:rPr>
          <w:rFonts w:ascii="Calibri"/>
          <w:spacing w:val="-4"/>
          <w:sz w:val="24"/>
        </w:rPr>
        <w:t xml:space="preserve"> </w:t>
      </w:r>
      <w:r w:rsidRPr="00150EDC">
        <w:rPr>
          <w:rFonts w:ascii="Calibri"/>
          <w:sz w:val="24"/>
        </w:rPr>
        <w:t>the</w:t>
      </w:r>
      <w:r w:rsidRPr="00150EDC">
        <w:rPr>
          <w:rFonts w:ascii="Calibri"/>
          <w:spacing w:val="-2"/>
          <w:sz w:val="24"/>
        </w:rPr>
        <w:t xml:space="preserve"> </w:t>
      </w:r>
      <w:r w:rsidRPr="00150EDC">
        <w:rPr>
          <w:rFonts w:ascii="Calibri"/>
          <w:sz w:val="24"/>
        </w:rPr>
        <w:t>purpose</w:t>
      </w:r>
      <w:r w:rsidRPr="00150EDC">
        <w:rPr>
          <w:rFonts w:ascii="Calibri"/>
          <w:spacing w:val="-2"/>
          <w:sz w:val="24"/>
        </w:rPr>
        <w:t xml:space="preserve"> </w:t>
      </w:r>
      <w:r w:rsidRPr="00150EDC">
        <w:rPr>
          <w:rFonts w:ascii="Calibri"/>
          <w:sz w:val="24"/>
        </w:rPr>
        <w:t>of</w:t>
      </w:r>
      <w:r w:rsidRPr="00150EDC">
        <w:rPr>
          <w:rFonts w:ascii="Calibri"/>
          <w:spacing w:val="-4"/>
          <w:sz w:val="24"/>
        </w:rPr>
        <w:t xml:space="preserve"> </w:t>
      </w:r>
      <w:r w:rsidRPr="00150EDC">
        <w:rPr>
          <w:rFonts w:ascii="Calibri"/>
          <w:sz w:val="24"/>
        </w:rPr>
        <w:t>fulfilling</w:t>
      </w:r>
      <w:r w:rsidRPr="00150EDC">
        <w:rPr>
          <w:rFonts w:ascii="Calibri"/>
          <w:spacing w:val="-3"/>
          <w:sz w:val="24"/>
        </w:rPr>
        <w:t xml:space="preserve"> </w:t>
      </w:r>
      <w:r w:rsidRPr="00150EDC">
        <w:rPr>
          <w:rFonts w:ascii="Calibri"/>
          <w:sz w:val="24"/>
        </w:rPr>
        <w:t>its</w:t>
      </w:r>
      <w:r w:rsidRPr="00150EDC">
        <w:rPr>
          <w:rFonts w:ascii="Calibri"/>
          <w:spacing w:val="-3"/>
          <w:sz w:val="24"/>
        </w:rPr>
        <w:t xml:space="preserve"> </w:t>
      </w:r>
      <w:r w:rsidRPr="00150EDC">
        <w:rPr>
          <w:rFonts w:ascii="Calibri"/>
          <w:sz w:val="24"/>
        </w:rPr>
        <w:t>obligations</w:t>
      </w:r>
      <w:r w:rsidRPr="00150EDC">
        <w:rPr>
          <w:rFonts w:ascii="Calibri"/>
          <w:spacing w:val="-3"/>
          <w:sz w:val="24"/>
        </w:rPr>
        <w:t xml:space="preserve"> </w:t>
      </w:r>
      <w:r w:rsidRPr="00150EDC">
        <w:rPr>
          <w:rFonts w:ascii="Calibri"/>
          <w:sz w:val="24"/>
        </w:rPr>
        <w:t>during</w:t>
      </w:r>
      <w:r w:rsidRPr="00150EDC">
        <w:rPr>
          <w:rFonts w:ascii="Calibri"/>
          <w:spacing w:val="-5"/>
          <w:sz w:val="24"/>
        </w:rPr>
        <w:t xml:space="preserve"> </w:t>
      </w:r>
      <w:r w:rsidRPr="00150EDC">
        <w:rPr>
          <w:rFonts w:ascii="Calibri"/>
          <w:sz w:val="24"/>
        </w:rPr>
        <w:t>the</w:t>
      </w:r>
      <w:r w:rsidRPr="00150EDC">
        <w:rPr>
          <w:rFonts w:ascii="Calibri"/>
          <w:spacing w:val="-2"/>
          <w:sz w:val="24"/>
        </w:rPr>
        <w:t xml:space="preserve"> </w:t>
      </w:r>
      <w:r w:rsidRPr="00150EDC">
        <w:rPr>
          <w:rFonts w:ascii="Calibri"/>
          <w:sz w:val="24"/>
        </w:rPr>
        <w:t>Contract</w:t>
      </w:r>
      <w:r w:rsidRPr="00150EDC">
        <w:rPr>
          <w:rFonts w:ascii="Calibri"/>
          <w:spacing w:val="-2"/>
          <w:sz w:val="24"/>
        </w:rPr>
        <w:t xml:space="preserve"> </w:t>
      </w:r>
      <w:r w:rsidRPr="00150EDC">
        <w:rPr>
          <w:rFonts w:ascii="Calibri"/>
          <w:sz w:val="24"/>
        </w:rPr>
        <w:t>Period.</w:t>
      </w:r>
    </w:p>
    <w:p w14:paraId="0882395B" w14:textId="77777777" w:rsidR="004C7180" w:rsidRPr="00150EDC" w:rsidRDefault="004C7180">
      <w:pPr>
        <w:pStyle w:val="BodyText"/>
        <w:rPr>
          <w:rFonts w:ascii="Calibri"/>
        </w:rPr>
      </w:pPr>
    </w:p>
    <w:p w14:paraId="06DEFC7A" w14:textId="77777777" w:rsidR="004C7180" w:rsidRPr="00150EDC" w:rsidRDefault="00CF0754" w:rsidP="00B320C7">
      <w:pPr>
        <w:pStyle w:val="ListParagraph"/>
        <w:numPr>
          <w:ilvl w:val="1"/>
          <w:numId w:val="182"/>
        </w:numPr>
        <w:tabs>
          <w:tab w:val="left" w:pos="1066"/>
        </w:tabs>
        <w:ind w:right="667"/>
        <w:rPr>
          <w:rFonts w:ascii="Calibri"/>
          <w:sz w:val="24"/>
        </w:rPr>
      </w:pPr>
      <w:r w:rsidRPr="00150EDC">
        <w:rPr>
          <w:rFonts w:ascii="Calibri"/>
          <w:sz w:val="24"/>
        </w:rPr>
        <w:t>Where a Party acquires ownership of IPRs incorrectly under this Contract it must do everything reasonably</w:t>
      </w:r>
      <w:r w:rsidRPr="00150EDC">
        <w:rPr>
          <w:rFonts w:ascii="Calibri"/>
          <w:spacing w:val="-2"/>
          <w:sz w:val="24"/>
        </w:rPr>
        <w:t xml:space="preserve"> </w:t>
      </w:r>
      <w:r w:rsidRPr="00150EDC">
        <w:rPr>
          <w:rFonts w:ascii="Calibri"/>
          <w:sz w:val="24"/>
        </w:rPr>
        <w:t>necessary</w:t>
      </w:r>
      <w:r w:rsidRPr="00150EDC">
        <w:rPr>
          <w:rFonts w:ascii="Calibri"/>
          <w:spacing w:val="-5"/>
          <w:sz w:val="24"/>
        </w:rPr>
        <w:t xml:space="preserve"> </w:t>
      </w:r>
      <w:r w:rsidRPr="00150EDC">
        <w:rPr>
          <w:rFonts w:ascii="Calibri"/>
          <w:sz w:val="24"/>
        </w:rPr>
        <w:t>to</w:t>
      </w:r>
      <w:r w:rsidRPr="00150EDC">
        <w:rPr>
          <w:rFonts w:ascii="Calibri"/>
          <w:spacing w:val="-6"/>
          <w:sz w:val="24"/>
        </w:rPr>
        <w:t xml:space="preserve"> </w:t>
      </w:r>
      <w:r w:rsidRPr="00150EDC">
        <w:rPr>
          <w:rFonts w:ascii="Calibri"/>
          <w:sz w:val="24"/>
        </w:rPr>
        <w:t>complete</w:t>
      </w:r>
      <w:r w:rsidRPr="00150EDC">
        <w:rPr>
          <w:rFonts w:ascii="Calibri"/>
          <w:spacing w:val="-2"/>
          <w:sz w:val="24"/>
        </w:rPr>
        <w:t xml:space="preserve"> </w:t>
      </w:r>
      <w:r w:rsidRPr="00150EDC">
        <w:rPr>
          <w:rFonts w:ascii="Calibri"/>
          <w:sz w:val="24"/>
        </w:rPr>
        <w:t>a</w:t>
      </w:r>
      <w:r w:rsidRPr="00150EDC">
        <w:rPr>
          <w:rFonts w:ascii="Calibri"/>
          <w:spacing w:val="-4"/>
          <w:sz w:val="24"/>
        </w:rPr>
        <w:t xml:space="preserve"> </w:t>
      </w:r>
      <w:r w:rsidRPr="00150EDC">
        <w:rPr>
          <w:rFonts w:ascii="Calibri"/>
          <w:sz w:val="24"/>
        </w:rPr>
        <w:t>transfer</w:t>
      </w:r>
      <w:r w:rsidRPr="00150EDC">
        <w:rPr>
          <w:rFonts w:ascii="Calibri"/>
          <w:spacing w:val="-3"/>
          <w:sz w:val="24"/>
        </w:rPr>
        <w:t xml:space="preserve"> </w:t>
      </w:r>
      <w:r w:rsidRPr="00150EDC">
        <w:rPr>
          <w:rFonts w:ascii="Calibri"/>
          <w:sz w:val="24"/>
        </w:rPr>
        <w:t>assigning</w:t>
      </w:r>
      <w:r w:rsidRPr="00150EDC">
        <w:rPr>
          <w:rFonts w:ascii="Calibri"/>
          <w:spacing w:val="-4"/>
          <w:sz w:val="24"/>
        </w:rPr>
        <w:t xml:space="preserve"> </w:t>
      </w:r>
      <w:r w:rsidRPr="00150EDC">
        <w:rPr>
          <w:rFonts w:ascii="Calibri"/>
          <w:sz w:val="24"/>
        </w:rPr>
        <w:t>them</w:t>
      </w:r>
      <w:r w:rsidRPr="00150EDC">
        <w:rPr>
          <w:rFonts w:ascii="Calibri"/>
          <w:spacing w:val="-2"/>
          <w:sz w:val="24"/>
        </w:rPr>
        <w:t xml:space="preserve"> </w:t>
      </w:r>
      <w:r w:rsidRPr="00150EDC">
        <w:rPr>
          <w:rFonts w:ascii="Calibri"/>
          <w:sz w:val="24"/>
        </w:rPr>
        <w:t>in</w:t>
      </w:r>
      <w:r w:rsidRPr="00150EDC">
        <w:rPr>
          <w:rFonts w:ascii="Calibri"/>
          <w:spacing w:val="-3"/>
          <w:sz w:val="24"/>
        </w:rPr>
        <w:t xml:space="preserve"> </w:t>
      </w:r>
      <w:r w:rsidRPr="00150EDC">
        <w:rPr>
          <w:rFonts w:ascii="Calibri"/>
          <w:sz w:val="24"/>
        </w:rPr>
        <w:t>writing</w:t>
      </w:r>
      <w:r w:rsidRPr="00150EDC">
        <w:rPr>
          <w:rFonts w:ascii="Calibri"/>
          <w:spacing w:val="-2"/>
          <w:sz w:val="24"/>
        </w:rPr>
        <w:t xml:space="preserve"> </w:t>
      </w:r>
      <w:r w:rsidRPr="00150EDC">
        <w:rPr>
          <w:rFonts w:ascii="Calibri"/>
          <w:sz w:val="24"/>
        </w:rPr>
        <w:t>to</w:t>
      </w:r>
      <w:r w:rsidRPr="00150EDC">
        <w:rPr>
          <w:rFonts w:ascii="Calibri"/>
          <w:spacing w:val="-3"/>
          <w:sz w:val="24"/>
        </w:rPr>
        <w:t xml:space="preserve"> </w:t>
      </w:r>
      <w:r w:rsidRPr="00150EDC">
        <w:rPr>
          <w:rFonts w:ascii="Calibri"/>
          <w:sz w:val="24"/>
        </w:rPr>
        <w:t>the</w:t>
      </w:r>
      <w:r w:rsidRPr="00150EDC">
        <w:rPr>
          <w:rFonts w:ascii="Calibri"/>
          <w:spacing w:val="-1"/>
          <w:sz w:val="24"/>
        </w:rPr>
        <w:t xml:space="preserve"> </w:t>
      </w:r>
      <w:r w:rsidRPr="00150EDC">
        <w:rPr>
          <w:rFonts w:ascii="Calibri"/>
          <w:sz w:val="24"/>
        </w:rPr>
        <w:t>other</w:t>
      </w:r>
      <w:r w:rsidRPr="00150EDC">
        <w:rPr>
          <w:rFonts w:ascii="Calibri"/>
          <w:spacing w:val="-1"/>
          <w:sz w:val="24"/>
        </w:rPr>
        <w:t xml:space="preserve"> </w:t>
      </w:r>
      <w:r w:rsidRPr="00150EDC">
        <w:rPr>
          <w:rFonts w:ascii="Calibri"/>
          <w:sz w:val="24"/>
        </w:rPr>
        <w:t>Party</w:t>
      </w:r>
      <w:r w:rsidRPr="00150EDC">
        <w:rPr>
          <w:rFonts w:ascii="Calibri"/>
          <w:spacing w:val="-5"/>
          <w:sz w:val="24"/>
        </w:rPr>
        <w:t xml:space="preserve"> </w:t>
      </w:r>
      <w:r w:rsidRPr="00150EDC">
        <w:rPr>
          <w:rFonts w:ascii="Calibri"/>
          <w:sz w:val="24"/>
        </w:rPr>
        <w:t>on</w:t>
      </w:r>
      <w:r w:rsidRPr="00150EDC">
        <w:rPr>
          <w:rFonts w:ascii="Calibri"/>
          <w:spacing w:val="-2"/>
          <w:sz w:val="24"/>
        </w:rPr>
        <w:t xml:space="preserve"> </w:t>
      </w:r>
      <w:r w:rsidRPr="00150EDC">
        <w:rPr>
          <w:rFonts w:ascii="Calibri"/>
          <w:sz w:val="24"/>
        </w:rPr>
        <w:t>request</w:t>
      </w:r>
      <w:r w:rsidRPr="00150EDC">
        <w:rPr>
          <w:rFonts w:ascii="Calibri"/>
          <w:spacing w:val="-1"/>
          <w:sz w:val="24"/>
        </w:rPr>
        <w:t xml:space="preserve"> </w:t>
      </w:r>
      <w:r w:rsidRPr="00150EDC">
        <w:rPr>
          <w:rFonts w:ascii="Calibri"/>
          <w:sz w:val="24"/>
        </w:rPr>
        <w:t>and at its own cost.</w:t>
      </w:r>
    </w:p>
    <w:p w14:paraId="33889270" w14:textId="77777777" w:rsidR="004C7180" w:rsidRPr="00150EDC" w:rsidRDefault="004C7180">
      <w:pPr>
        <w:pStyle w:val="BodyText"/>
        <w:spacing w:before="11"/>
        <w:rPr>
          <w:rFonts w:ascii="Calibri"/>
          <w:sz w:val="23"/>
        </w:rPr>
      </w:pPr>
    </w:p>
    <w:p w14:paraId="19669C6B" w14:textId="77777777" w:rsidR="004C7180" w:rsidRPr="00150EDC" w:rsidRDefault="00CF0754" w:rsidP="00B320C7">
      <w:pPr>
        <w:pStyle w:val="ListParagraph"/>
        <w:numPr>
          <w:ilvl w:val="1"/>
          <w:numId w:val="182"/>
        </w:numPr>
        <w:tabs>
          <w:tab w:val="left" w:pos="1066"/>
        </w:tabs>
        <w:spacing w:line="242" w:lineRule="auto"/>
        <w:ind w:right="903"/>
        <w:rPr>
          <w:rFonts w:ascii="Calibri" w:hAnsi="Calibri"/>
          <w:sz w:val="24"/>
        </w:rPr>
      </w:pPr>
      <w:r w:rsidRPr="00150EDC">
        <w:rPr>
          <w:rFonts w:ascii="Calibri" w:hAnsi="Calibri"/>
          <w:sz w:val="24"/>
        </w:rPr>
        <w:t>Neither</w:t>
      </w:r>
      <w:r w:rsidRPr="00150EDC">
        <w:rPr>
          <w:rFonts w:ascii="Calibri" w:hAnsi="Calibri"/>
          <w:spacing w:val="-3"/>
          <w:sz w:val="24"/>
        </w:rPr>
        <w:t xml:space="preserve"> </w:t>
      </w:r>
      <w:r w:rsidRPr="00150EDC">
        <w:rPr>
          <w:rFonts w:ascii="Calibri" w:hAnsi="Calibri"/>
          <w:sz w:val="24"/>
        </w:rPr>
        <w:t>Party</w:t>
      </w:r>
      <w:r w:rsidRPr="00150EDC">
        <w:rPr>
          <w:rFonts w:ascii="Calibri" w:hAnsi="Calibri"/>
          <w:spacing w:val="-2"/>
          <w:sz w:val="24"/>
        </w:rPr>
        <w:t xml:space="preserve"> </w:t>
      </w:r>
      <w:r w:rsidRPr="00150EDC">
        <w:rPr>
          <w:rFonts w:ascii="Calibri" w:hAnsi="Calibri"/>
          <w:sz w:val="24"/>
        </w:rPr>
        <w:t>has</w:t>
      </w:r>
      <w:r w:rsidRPr="00150EDC">
        <w:rPr>
          <w:rFonts w:ascii="Calibri" w:hAnsi="Calibri"/>
          <w:spacing w:val="-3"/>
          <w:sz w:val="24"/>
        </w:rPr>
        <w:t xml:space="preserve"> </w:t>
      </w:r>
      <w:r w:rsidRPr="00150EDC">
        <w:rPr>
          <w:rFonts w:ascii="Calibri" w:hAnsi="Calibri"/>
          <w:sz w:val="24"/>
        </w:rPr>
        <w:t>the</w:t>
      </w:r>
      <w:r w:rsidRPr="00150EDC">
        <w:rPr>
          <w:rFonts w:ascii="Calibri" w:hAnsi="Calibri"/>
          <w:spacing w:val="-1"/>
          <w:sz w:val="24"/>
        </w:rPr>
        <w:t xml:space="preserve"> </w:t>
      </w:r>
      <w:r w:rsidRPr="00150EDC">
        <w:rPr>
          <w:rFonts w:ascii="Calibri" w:hAnsi="Calibri"/>
          <w:sz w:val="24"/>
        </w:rPr>
        <w:t>right</w:t>
      </w:r>
      <w:r w:rsidRPr="00150EDC">
        <w:rPr>
          <w:rFonts w:ascii="Calibri" w:hAnsi="Calibri"/>
          <w:spacing w:val="-2"/>
          <w:sz w:val="24"/>
        </w:rPr>
        <w:t xml:space="preserve"> </w:t>
      </w:r>
      <w:r w:rsidRPr="00150EDC">
        <w:rPr>
          <w:rFonts w:ascii="Calibri" w:hAnsi="Calibri"/>
          <w:sz w:val="24"/>
        </w:rPr>
        <w:t>to</w:t>
      </w:r>
      <w:r w:rsidRPr="00150EDC">
        <w:rPr>
          <w:rFonts w:ascii="Calibri" w:hAnsi="Calibri"/>
          <w:spacing w:val="-3"/>
          <w:sz w:val="24"/>
        </w:rPr>
        <w:t xml:space="preserve"> </w:t>
      </w:r>
      <w:r w:rsidRPr="00150EDC">
        <w:rPr>
          <w:rFonts w:ascii="Calibri" w:hAnsi="Calibri"/>
          <w:sz w:val="24"/>
        </w:rPr>
        <w:t>use</w:t>
      </w:r>
      <w:r w:rsidRPr="00150EDC">
        <w:rPr>
          <w:rFonts w:ascii="Calibri" w:hAnsi="Calibri"/>
          <w:spacing w:val="-3"/>
          <w:sz w:val="24"/>
        </w:rPr>
        <w:t xml:space="preserve"> </w:t>
      </w:r>
      <w:r w:rsidRPr="00150EDC">
        <w:rPr>
          <w:rFonts w:ascii="Calibri" w:hAnsi="Calibri"/>
          <w:sz w:val="24"/>
        </w:rPr>
        <w:t>the</w:t>
      </w:r>
      <w:r w:rsidRPr="00150EDC">
        <w:rPr>
          <w:rFonts w:ascii="Calibri" w:hAnsi="Calibri"/>
          <w:spacing w:val="-1"/>
          <w:sz w:val="24"/>
        </w:rPr>
        <w:t xml:space="preserve"> </w:t>
      </w:r>
      <w:r w:rsidRPr="00150EDC">
        <w:rPr>
          <w:rFonts w:ascii="Calibri" w:hAnsi="Calibri"/>
          <w:sz w:val="24"/>
        </w:rPr>
        <w:t>other</w:t>
      </w:r>
      <w:r w:rsidRPr="00150EDC">
        <w:rPr>
          <w:rFonts w:ascii="Calibri" w:hAnsi="Calibri"/>
          <w:spacing w:val="-1"/>
          <w:sz w:val="24"/>
        </w:rPr>
        <w:t xml:space="preserve"> </w:t>
      </w:r>
      <w:r w:rsidRPr="00150EDC">
        <w:rPr>
          <w:rFonts w:ascii="Calibri" w:hAnsi="Calibri"/>
          <w:sz w:val="24"/>
        </w:rPr>
        <w:t>Party’s</w:t>
      </w:r>
      <w:r w:rsidRPr="00150EDC">
        <w:rPr>
          <w:rFonts w:ascii="Calibri" w:hAnsi="Calibri"/>
          <w:spacing w:val="-2"/>
          <w:sz w:val="24"/>
        </w:rPr>
        <w:t xml:space="preserve"> </w:t>
      </w:r>
      <w:r w:rsidRPr="00150EDC">
        <w:rPr>
          <w:rFonts w:ascii="Calibri" w:hAnsi="Calibri"/>
          <w:sz w:val="24"/>
        </w:rPr>
        <w:t>IPRs,</w:t>
      </w:r>
      <w:r w:rsidRPr="00150EDC">
        <w:rPr>
          <w:rFonts w:ascii="Calibri" w:hAnsi="Calibri"/>
          <w:spacing w:val="-2"/>
          <w:sz w:val="24"/>
        </w:rPr>
        <w:t xml:space="preserve"> </w:t>
      </w:r>
      <w:r w:rsidRPr="00150EDC">
        <w:rPr>
          <w:rFonts w:ascii="Calibri" w:hAnsi="Calibri"/>
          <w:sz w:val="24"/>
        </w:rPr>
        <w:t>including</w:t>
      </w:r>
      <w:r w:rsidRPr="00150EDC">
        <w:rPr>
          <w:rFonts w:ascii="Calibri" w:hAnsi="Calibri"/>
          <w:spacing w:val="-3"/>
          <w:sz w:val="24"/>
        </w:rPr>
        <w:t xml:space="preserve"> </w:t>
      </w:r>
      <w:r w:rsidRPr="00150EDC">
        <w:rPr>
          <w:rFonts w:ascii="Calibri" w:hAnsi="Calibri"/>
          <w:sz w:val="24"/>
        </w:rPr>
        <w:t>any</w:t>
      </w:r>
      <w:r w:rsidRPr="00150EDC">
        <w:rPr>
          <w:rFonts w:ascii="Calibri" w:hAnsi="Calibri"/>
          <w:spacing w:val="-4"/>
          <w:sz w:val="24"/>
        </w:rPr>
        <w:t xml:space="preserve"> </w:t>
      </w:r>
      <w:r w:rsidRPr="00150EDC">
        <w:rPr>
          <w:rFonts w:ascii="Calibri" w:hAnsi="Calibri"/>
          <w:sz w:val="24"/>
        </w:rPr>
        <w:t>use</w:t>
      </w:r>
      <w:r w:rsidRPr="00150EDC">
        <w:rPr>
          <w:rFonts w:ascii="Calibri" w:hAnsi="Calibri"/>
          <w:spacing w:val="-3"/>
          <w:sz w:val="24"/>
        </w:rPr>
        <w:t xml:space="preserve"> </w:t>
      </w:r>
      <w:r w:rsidRPr="00150EDC">
        <w:rPr>
          <w:rFonts w:ascii="Calibri" w:hAnsi="Calibri"/>
          <w:sz w:val="24"/>
        </w:rPr>
        <w:t>of</w:t>
      </w:r>
      <w:r w:rsidRPr="00150EDC">
        <w:rPr>
          <w:rFonts w:ascii="Calibri" w:hAnsi="Calibri"/>
          <w:spacing w:val="-2"/>
          <w:sz w:val="24"/>
        </w:rPr>
        <w:t xml:space="preserve"> </w:t>
      </w:r>
      <w:r w:rsidRPr="00150EDC">
        <w:rPr>
          <w:rFonts w:ascii="Calibri" w:hAnsi="Calibri"/>
          <w:sz w:val="24"/>
        </w:rPr>
        <w:t>the</w:t>
      </w:r>
      <w:r w:rsidRPr="00150EDC">
        <w:rPr>
          <w:rFonts w:ascii="Calibri" w:hAnsi="Calibri"/>
          <w:spacing w:val="-1"/>
          <w:sz w:val="24"/>
        </w:rPr>
        <w:t xml:space="preserve"> </w:t>
      </w:r>
      <w:r w:rsidRPr="00150EDC">
        <w:rPr>
          <w:rFonts w:ascii="Calibri" w:hAnsi="Calibri"/>
          <w:sz w:val="24"/>
        </w:rPr>
        <w:t>other</w:t>
      </w:r>
      <w:r w:rsidRPr="00150EDC">
        <w:rPr>
          <w:rFonts w:ascii="Calibri" w:hAnsi="Calibri"/>
          <w:spacing w:val="-1"/>
          <w:sz w:val="24"/>
        </w:rPr>
        <w:t xml:space="preserve"> </w:t>
      </w:r>
      <w:r w:rsidRPr="00150EDC">
        <w:rPr>
          <w:rFonts w:ascii="Calibri" w:hAnsi="Calibri"/>
          <w:sz w:val="24"/>
        </w:rPr>
        <w:t>Party’s</w:t>
      </w:r>
      <w:r w:rsidRPr="00150EDC">
        <w:rPr>
          <w:rFonts w:ascii="Calibri" w:hAnsi="Calibri"/>
          <w:spacing w:val="-4"/>
          <w:sz w:val="24"/>
        </w:rPr>
        <w:t xml:space="preserve"> </w:t>
      </w:r>
      <w:r w:rsidRPr="00150EDC">
        <w:rPr>
          <w:rFonts w:ascii="Calibri" w:hAnsi="Calibri"/>
          <w:sz w:val="24"/>
        </w:rPr>
        <w:t>names, logos or trademarks, except as provided in Clause 9 or otherwise agreed in writing.</w:t>
      </w:r>
    </w:p>
    <w:p w14:paraId="108B8486" w14:textId="77777777" w:rsidR="004C7180" w:rsidRPr="00150EDC" w:rsidRDefault="004C7180">
      <w:pPr>
        <w:pStyle w:val="BodyText"/>
        <w:spacing w:before="9"/>
        <w:rPr>
          <w:rFonts w:ascii="Calibri"/>
          <w:sz w:val="23"/>
        </w:rPr>
      </w:pPr>
    </w:p>
    <w:p w14:paraId="5367BF60" w14:textId="77777777" w:rsidR="004C7180" w:rsidRPr="00150EDC" w:rsidRDefault="00CF0754" w:rsidP="00B320C7">
      <w:pPr>
        <w:pStyle w:val="ListParagraph"/>
        <w:numPr>
          <w:ilvl w:val="1"/>
          <w:numId w:val="182"/>
        </w:numPr>
        <w:tabs>
          <w:tab w:val="left" w:pos="1066"/>
        </w:tabs>
        <w:ind w:right="613"/>
        <w:rPr>
          <w:rFonts w:ascii="Calibri"/>
          <w:sz w:val="24"/>
        </w:rPr>
      </w:pPr>
      <w:r w:rsidRPr="00150EDC">
        <w:rPr>
          <w:rFonts w:ascii="Calibri"/>
          <w:sz w:val="24"/>
        </w:rPr>
        <w:t>If</w:t>
      </w:r>
      <w:r w:rsidRPr="00150EDC">
        <w:rPr>
          <w:rFonts w:ascii="Calibri"/>
          <w:spacing w:val="-1"/>
          <w:sz w:val="24"/>
        </w:rPr>
        <w:t xml:space="preserve"> </w:t>
      </w:r>
      <w:r w:rsidRPr="00150EDC">
        <w:rPr>
          <w:rFonts w:ascii="Calibri"/>
          <w:sz w:val="24"/>
        </w:rPr>
        <w:t>there</w:t>
      </w:r>
      <w:r w:rsidRPr="00150EDC">
        <w:rPr>
          <w:rFonts w:ascii="Calibri"/>
          <w:spacing w:val="-4"/>
          <w:sz w:val="24"/>
        </w:rPr>
        <w:t xml:space="preserve"> </w:t>
      </w:r>
      <w:r w:rsidRPr="00150EDC">
        <w:rPr>
          <w:rFonts w:ascii="Calibri"/>
          <w:sz w:val="24"/>
        </w:rPr>
        <w:t>is</w:t>
      </w:r>
      <w:r w:rsidRPr="00150EDC">
        <w:rPr>
          <w:rFonts w:ascii="Calibri"/>
          <w:spacing w:val="-2"/>
          <w:sz w:val="24"/>
        </w:rPr>
        <w:t xml:space="preserve"> </w:t>
      </w:r>
      <w:r w:rsidRPr="00150EDC">
        <w:rPr>
          <w:rFonts w:ascii="Calibri"/>
          <w:sz w:val="24"/>
        </w:rPr>
        <w:t>an</w:t>
      </w:r>
      <w:r w:rsidRPr="00150EDC">
        <w:rPr>
          <w:rFonts w:ascii="Calibri"/>
          <w:spacing w:val="-1"/>
          <w:sz w:val="24"/>
        </w:rPr>
        <w:t xml:space="preserve"> </w:t>
      </w:r>
      <w:r w:rsidRPr="00150EDC">
        <w:rPr>
          <w:rFonts w:ascii="Calibri"/>
          <w:sz w:val="24"/>
        </w:rPr>
        <w:t>IPR</w:t>
      </w:r>
      <w:r w:rsidRPr="00150EDC">
        <w:rPr>
          <w:rFonts w:ascii="Calibri"/>
          <w:spacing w:val="-3"/>
          <w:sz w:val="24"/>
        </w:rPr>
        <w:t xml:space="preserve"> </w:t>
      </w:r>
      <w:r w:rsidRPr="00150EDC">
        <w:rPr>
          <w:rFonts w:ascii="Calibri"/>
          <w:sz w:val="24"/>
        </w:rPr>
        <w:t>Claim,</w:t>
      </w:r>
      <w:r w:rsidRPr="00150EDC">
        <w:rPr>
          <w:rFonts w:ascii="Calibri"/>
          <w:spacing w:val="-4"/>
          <w:sz w:val="24"/>
        </w:rPr>
        <w:t xml:space="preserve"> </w:t>
      </w:r>
      <w:r w:rsidRPr="00150EDC">
        <w:rPr>
          <w:rFonts w:ascii="Calibri"/>
          <w:sz w:val="24"/>
        </w:rPr>
        <w:t>the</w:t>
      </w:r>
      <w:r w:rsidRPr="00150EDC">
        <w:rPr>
          <w:rFonts w:ascii="Calibri"/>
          <w:spacing w:val="-1"/>
          <w:sz w:val="24"/>
        </w:rPr>
        <w:t xml:space="preserve"> </w:t>
      </w:r>
      <w:r w:rsidRPr="00150EDC">
        <w:rPr>
          <w:rFonts w:ascii="Calibri"/>
          <w:sz w:val="24"/>
        </w:rPr>
        <w:t>Supplier</w:t>
      </w:r>
      <w:r w:rsidRPr="00150EDC">
        <w:rPr>
          <w:rFonts w:ascii="Calibri"/>
          <w:spacing w:val="-1"/>
          <w:sz w:val="24"/>
        </w:rPr>
        <w:t xml:space="preserve"> </w:t>
      </w:r>
      <w:r w:rsidRPr="00150EDC">
        <w:rPr>
          <w:rFonts w:ascii="Calibri"/>
          <w:sz w:val="24"/>
        </w:rPr>
        <w:t>indemnifies</w:t>
      </w:r>
      <w:r w:rsidRPr="00150EDC">
        <w:rPr>
          <w:rFonts w:ascii="Calibri"/>
          <w:spacing w:val="-4"/>
          <w:sz w:val="24"/>
        </w:rPr>
        <w:t xml:space="preserve"> </w:t>
      </w:r>
      <w:r w:rsidRPr="00150EDC">
        <w:rPr>
          <w:rFonts w:ascii="Calibri"/>
          <w:sz w:val="24"/>
        </w:rPr>
        <w:t>CCS</w:t>
      </w:r>
      <w:r w:rsidRPr="00150EDC">
        <w:rPr>
          <w:rFonts w:ascii="Calibri"/>
          <w:spacing w:val="-2"/>
          <w:sz w:val="24"/>
        </w:rPr>
        <w:t xml:space="preserve"> </w:t>
      </w:r>
      <w:r w:rsidRPr="00150EDC">
        <w:rPr>
          <w:rFonts w:ascii="Calibri"/>
          <w:sz w:val="24"/>
        </w:rPr>
        <w:t>and</w:t>
      </w:r>
      <w:r w:rsidRPr="00150EDC">
        <w:rPr>
          <w:rFonts w:ascii="Calibri"/>
          <w:spacing w:val="-1"/>
          <w:sz w:val="24"/>
        </w:rPr>
        <w:t xml:space="preserve"> </w:t>
      </w:r>
      <w:r w:rsidRPr="00150EDC">
        <w:rPr>
          <w:rFonts w:ascii="Calibri"/>
          <w:sz w:val="24"/>
        </w:rPr>
        <w:t>each</w:t>
      </w:r>
      <w:r w:rsidRPr="00150EDC">
        <w:rPr>
          <w:rFonts w:ascii="Calibri"/>
          <w:spacing w:val="-1"/>
          <w:sz w:val="24"/>
        </w:rPr>
        <w:t xml:space="preserve"> </w:t>
      </w:r>
      <w:r w:rsidRPr="00150EDC">
        <w:rPr>
          <w:rFonts w:ascii="Calibri"/>
          <w:sz w:val="24"/>
        </w:rPr>
        <w:t>Buyer</w:t>
      </w:r>
      <w:r w:rsidRPr="00150EDC">
        <w:rPr>
          <w:rFonts w:ascii="Calibri"/>
          <w:spacing w:val="-4"/>
          <w:sz w:val="24"/>
        </w:rPr>
        <w:t xml:space="preserve"> </w:t>
      </w:r>
      <w:r w:rsidRPr="00150EDC">
        <w:rPr>
          <w:rFonts w:ascii="Calibri"/>
          <w:sz w:val="24"/>
        </w:rPr>
        <w:t>against</w:t>
      </w:r>
      <w:r w:rsidRPr="00150EDC">
        <w:rPr>
          <w:rFonts w:ascii="Calibri"/>
          <w:spacing w:val="-1"/>
          <w:sz w:val="24"/>
        </w:rPr>
        <w:t xml:space="preserve"> </w:t>
      </w:r>
      <w:r w:rsidRPr="00150EDC">
        <w:rPr>
          <w:rFonts w:ascii="Calibri"/>
          <w:sz w:val="24"/>
        </w:rPr>
        <w:t>all</w:t>
      </w:r>
      <w:r w:rsidRPr="00150EDC">
        <w:rPr>
          <w:rFonts w:ascii="Calibri"/>
          <w:spacing w:val="-4"/>
          <w:sz w:val="24"/>
        </w:rPr>
        <w:t xml:space="preserve"> </w:t>
      </w:r>
      <w:r w:rsidRPr="00150EDC">
        <w:rPr>
          <w:rFonts w:ascii="Calibri"/>
          <w:sz w:val="24"/>
        </w:rPr>
        <w:t>losses,</w:t>
      </w:r>
      <w:r w:rsidRPr="00150EDC">
        <w:rPr>
          <w:rFonts w:ascii="Calibri"/>
          <w:spacing w:val="-4"/>
          <w:sz w:val="24"/>
        </w:rPr>
        <w:t xml:space="preserve"> </w:t>
      </w:r>
      <w:r w:rsidRPr="00150EDC">
        <w:rPr>
          <w:rFonts w:ascii="Calibri"/>
          <w:sz w:val="24"/>
        </w:rPr>
        <w:t>damages,</w:t>
      </w:r>
      <w:r w:rsidRPr="00150EDC">
        <w:rPr>
          <w:rFonts w:ascii="Calibri"/>
          <w:spacing w:val="-4"/>
          <w:sz w:val="24"/>
        </w:rPr>
        <w:t xml:space="preserve"> </w:t>
      </w:r>
      <w:r w:rsidRPr="00150EDC">
        <w:rPr>
          <w:rFonts w:ascii="Calibri"/>
          <w:sz w:val="24"/>
        </w:rPr>
        <w:t>costs</w:t>
      </w:r>
      <w:r w:rsidRPr="00150EDC">
        <w:rPr>
          <w:rFonts w:ascii="Calibri"/>
          <w:spacing w:val="-2"/>
          <w:sz w:val="24"/>
        </w:rPr>
        <w:t xml:space="preserve"> </w:t>
      </w:r>
      <w:r w:rsidRPr="00150EDC">
        <w:rPr>
          <w:rFonts w:ascii="Calibri"/>
          <w:sz w:val="24"/>
        </w:rPr>
        <w:t>or expenses (including professional fees and fines) incurred as a result.</w:t>
      </w:r>
    </w:p>
    <w:p w14:paraId="4E25B6A4" w14:textId="77777777" w:rsidR="004C7180" w:rsidRPr="00150EDC" w:rsidRDefault="004C7180">
      <w:pPr>
        <w:pStyle w:val="BodyText"/>
        <w:rPr>
          <w:rFonts w:ascii="Calibri"/>
        </w:rPr>
      </w:pPr>
    </w:p>
    <w:p w14:paraId="17DC9995" w14:textId="77777777" w:rsidR="004C7180" w:rsidRPr="00150EDC" w:rsidRDefault="00CF0754" w:rsidP="00B320C7">
      <w:pPr>
        <w:pStyle w:val="ListParagraph"/>
        <w:numPr>
          <w:ilvl w:val="1"/>
          <w:numId w:val="182"/>
        </w:numPr>
        <w:tabs>
          <w:tab w:val="left" w:pos="1066"/>
        </w:tabs>
        <w:ind w:hanging="566"/>
        <w:rPr>
          <w:rFonts w:ascii="Calibri" w:hAnsi="Calibri"/>
          <w:sz w:val="24"/>
        </w:rPr>
      </w:pPr>
      <w:r w:rsidRPr="00150EDC">
        <w:rPr>
          <w:rFonts w:ascii="Calibri" w:hAnsi="Calibri"/>
          <w:sz w:val="24"/>
        </w:rPr>
        <w:t>If</w:t>
      </w:r>
      <w:r w:rsidRPr="00150EDC">
        <w:rPr>
          <w:rFonts w:ascii="Calibri" w:hAnsi="Calibri"/>
          <w:spacing w:val="-4"/>
          <w:sz w:val="24"/>
        </w:rPr>
        <w:t xml:space="preserve"> </w:t>
      </w:r>
      <w:r w:rsidRPr="00150EDC">
        <w:rPr>
          <w:rFonts w:ascii="Calibri" w:hAnsi="Calibri"/>
          <w:sz w:val="24"/>
        </w:rPr>
        <w:t>an</w:t>
      </w:r>
      <w:r w:rsidRPr="00150EDC">
        <w:rPr>
          <w:rFonts w:ascii="Calibri" w:hAnsi="Calibri"/>
          <w:spacing w:val="-3"/>
          <w:sz w:val="24"/>
        </w:rPr>
        <w:t xml:space="preserve"> </w:t>
      </w:r>
      <w:r w:rsidRPr="00150EDC">
        <w:rPr>
          <w:rFonts w:ascii="Calibri" w:hAnsi="Calibri"/>
          <w:sz w:val="24"/>
        </w:rPr>
        <w:t>IPR</w:t>
      </w:r>
      <w:r w:rsidRPr="00150EDC">
        <w:rPr>
          <w:rFonts w:ascii="Calibri" w:hAnsi="Calibri"/>
          <w:spacing w:val="-3"/>
          <w:sz w:val="24"/>
        </w:rPr>
        <w:t xml:space="preserve"> </w:t>
      </w:r>
      <w:r w:rsidRPr="00150EDC">
        <w:rPr>
          <w:rFonts w:ascii="Calibri" w:hAnsi="Calibri"/>
          <w:sz w:val="24"/>
        </w:rPr>
        <w:t>Claim</w:t>
      </w:r>
      <w:r w:rsidRPr="00150EDC">
        <w:rPr>
          <w:rFonts w:ascii="Calibri" w:hAnsi="Calibri"/>
          <w:spacing w:val="-2"/>
          <w:sz w:val="24"/>
        </w:rPr>
        <w:t xml:space="preserve"> </w:t>
      </w:r>
      <w:r w:rsidRPr="00150EDC">
        <w:rPr>
          <w:rFonts w:ascii="Calibri" w:hAnsi="Calibri"/>
          <w:sz w:val="24"/>
        </w:rPr>
        <w:t>is</w:t>
      </w:r>
      <w:r w:rsidRPr="00150EDC">
        <w:rPr>
          <w:rFonts w:ascii="Calibri" w:hAnsi="Calibri"/>
          <w:spacing w:val="-4"/>
          <w:sz w:val="24"/>
        </w:rPr>
        <w:t xml:space="preserve"> </w:t>
      </w:r>
      <w:r w:rsidRPr="00150EDC">
        <w:rPr>
          <w:rFonts w:ascii="Calibri" w:hAnsi="Calibri"/>
          <w:sz w:val="24"/>
        </w:rPr>
        <w:t>made</w:t>
      </w:r>
      <w:r w:rsidRPr="00150EDC">
        <w:rPr>
          <w:rFonts w:ascii="Calibri" w:hAnsi="Calibri"/>
          <w:spacing w:val="-4"/>
          <w:sz w:val="24"/>
        </w:rPr>
        <w:t xml:space="preserve"> </w:t>
      </w:r>
      <w:r w:rsidRPr="00150EDC">
        <w:rPr>
          <w:rFonts w:ascii="Calibri" w:hAnsi="Calibri"/>
          <w:sz w:val="24"/>
        </w:rPr>
        <w:t>or</w:t>
      </w:r>
      <w:r w:rsidRPr="00150EDC">
        <w:rPr>
          <w:rFonts w:ascii="Calibri" w:hAnsi="Calibri"/>
          <w:spacing w:val="-1"/>
          <w:sz w:val="24"/>
        </w:rPr>
        <w:t xml:space="preserve"> </w:t>
      </w:r>
      <w:r w:rsidRPr="00150EDC">
        <w:rPr>
          <w:rFonts w:ascii="Calibri" w:hAnsi="Calibri"/>
          <w:sz w:val="24"/>
        </w:rPr>
        <w:t>anticipated</w:t>
      </w:r>
      <w:r w:rsidRPr="00150EDC">
        <w:rPr>
          <w:rFonts w:ascii="Calibri" w:hAnsi="Calibri"/>
          <w:spacing w:val="-3"/>
          <w:sz w:val="24"/>
        </w:rPr>
        <w:t xml:space="preserve"> </w:t>
      </w:r>
      <w:r w:rsidRPr="00150EDC">
        <w:rPr>
          <w:rFonts w:ascii="Calibri" w:hAnsi="Calibri"/>
          <w:sz w:val="24"/>
        </w:rPr>
        <w:t>the</w:t>
      </w:r>
      <w:r w:rsidRPr="00150EDC">
        <w:rPr>
          <w:rFonts w:ascii="Calibri" w:hAnsi="Calibri"/>
          <w:spacing w:val="-1"/>
          <w:sz w:val="24"/>
        </w:rPr>
        <w:t xml:space="preserve"> </w:t>
      </w:r>
      <w:r w:rsidRPr="00150EDC">
        <w:rPr>
          <w:rFonts w:ascii="Calibri" w:hAnsi="Calibri"/>
          <w:sz w:val="24"/>
        </w:rPr>
        <w:t>Supplier</w:t>
      </w:r>
      <w:r w:rsidRPr="00150EDC">
        <w:rPr>
          <w:rFonts w:ascii="Calibri" w:hAnsi="Calibri"/>
          <w:spacing w:val="-1"/>
          <w:sz w:val="24"/>
        </w:rPr>
        <w:t xml:space="preserve"> </w:t>
      </w:r>
      <w:r w:rsidRPr="00150EDC">
        <w:rPr>
          <w:rFonts w:ascii="Calibri" w:hAnsi="Calibri"/>
          <w:sz w:val="24"/>
        </w:rPr>
        <w:t>must</w:t>
      </w:r>
      <w:r w:rsidRPr="00150EDC">
        <w:rPr>
          <w:rFonts w:ascii="Calibri" w:hAnsi="Calibri"/>
          <w:spacing w:val="-3"/>
          <w:sz w:val="24"/>
        </w:rPr>
        <w:t xml:space="preserve"> </w:t>
      </w:r>
      <w:r w:rsidRPr="00150EDC">
        <w:rPr>
          <w:rFonts w:ascii="Calibri" w:hAnsi="Calibri"/>
          <w:sz w:val="24"/>
        </w:rPr>
        <w:t>at</w:t>
      </w:r>
      <w:r w:rsidRPr="00150EDC">
        <w:rPr>
          <w:rFonts w:ascii="Calibri" w:hAnsi="Calibri"/>
          <w:spacing w:val="-3"/>
          <w:sz w:val="24"/>
        </w:rPr>
        <w:t xml:space="preserve"> </w:t>
      </w:r>
      <w:r w:rsidRPr="00150EDC">
        <w:rPr>
          <w:rFonts w:ascii="Calibri" w:hAnsi="Calibri"/>
          <w:sz w:val="24"/>
        </w:rPr>
        <w:t>its</w:t>
      </w:r>
      <w:r w:rsidRPr="00150EDC">
        <w:rPr>
          <w:rFonts w:ascii="Calibri" w:hAnsi="Calibri"/>
          <w:spacing w:val="-4"/>
          <w:sz w:val="24"/>
        </w:rPr>
        <w:t xml:space="preserve"> </w:t>
      </w:r>
      <w:r w:rsidRPr="00150EDC">
        <w:rPr>
          <w:rFonts w:ascii="Calibri" w:hAnsi="Calibri"/>
          <w:sz w:val="24"/>
        </w:rPr>
        <w:t>own</w:t>
      </w:r>
      <w:r w:rsidRPr="00150EDC">
        <w:rPr>
          <w:rFonts w:ascii="Calibri" w:hAnsi="Calibri"/>
          <w:spacing w:val="-4"/>
          <w:sz w:val="24"/>
        </w:rPr>
        <w:t xml:space="preserve"> </w:t>
      </w:r>
      <w:r w:rsidRPr="00150EDC">
        <w:rPr>
          <w:rFonts w:ascii="Calibri" w:hAnsi="Calibri"/>
          <w:sz w:val="24"/>
        </w:rPr>
        <w:t>expense</w:t>
      </w:r>
      <w:r w:rsidRPr="00150EDC">
        <w:rPr>
          <w:rFonts w:ascii="Calibri" w:hAnsi="Calibri"/>
          <w:spacing w:val="-1"/>
          <w:sz w:val="24"/>
        </w:rPr>
        <w:t xml:space="preserve"> </w:t>
      </w:r>
      <w:r w:rsidRPr="00150EDC">
        <w:rPr>
          <w:rFonts w:ascii="Calibri" w:hAnsi="Calibri"/>
          <w:sz w:val="24"/>
        </w:rPr>
        <w:t>and</w:t>
      </w:r>
      <w:r w:rsidRPr="00150EDC">
        <w:rPr>
          <w:rFonts w:ascii="Calibri" w:hAnsi="Calibri"/>
          <w:spacing w:val="-3"/>
          <w:sz w:val="24"/>
        </w:rPr>
        <w:t xml:space="preserve"> </w:t>
      </w:r>
      <w:r w:rsidRPr="00150EDC">
        <w:rPr>
          <w:rFonts w:ascii="Calibri" w:hAnsi="Calibri"/>
          <w:sz w:val="24"/>
        </w:rPr>
        <w:t>the</w:t>
      </w:r>
      <w:r w:rsidRPr="00150EDC">
        <w:rPr>
          <w:rFonts w:ascii="Calibri" w:hAnsi="Calibri"/>
          <w:spacing w:val="-4"/>
          <w:sz w:val="24"/>
        </w:rPr>
        <w:t xml:space="preserve"> </w:t>
      </w:r>
      <w:r w:rsidRPr="00150EDC">
        <w:rPr>
          <w:rFonts w:ascii="Calibri" w:hAnsi="Calibri"/>
          <w:sz w:val="24"/>
        </w:rPr>
        <w:t>Buyer’s</w:t>
      </w:r>
      <w:r w:rsidRPr="00150EDC">
        <w:rPr>
          <w:rFonts w:ascii="Calibri" w:hAnsi="Calibri"/>
          <w:spacing w:val="-2"/>
          <w:sz w:val="24"/>
        </w:rPr>
        <w:t xml:space="preserve"> </w:t>
      </w:r>
      <w:r w:rsidRPr="00150EDC">
        <w:rPr>
          <w:rFonts w:ascii="Calibri" w:hAnsi="Calibri"/>
          <w:sz w:val="24"/>
        </w:rPr>
        <w:t>sole</w:t>
      </w:r>
      <w:r w:rsidRPr="00150EDC">
        <w:rPr>
          <w:rFonts w:ascii="Calibri" w:hAnsi="Calibri"/>
          <w:spacing w:val="-1"/>
          <w:sz w:val="24"/>
        </w:rPr>
        <w:t xml:space="preserve"> </w:t>
      </w:r>
      <w:r w:rsidRPr="00150EDC">
        <w:rPr>
          <w:rFonts w:ascii="Calibri" w:hAnsi="Calibri"/>
          <w:spacing w:val="-2"/>
          <w:sz w:val="24"/>
        </w:rPr>
        <w:t>option,</w:t>
      </w:r>
    </w:p>
    <w:p w14:paraId="04FCA11B" w14:textId="77777777" w:rsidR="004C7180" w:rsidRPr="00150EDC" w:rsidRDefault="004C7180">
      <w:pPr>
        <w:rPr>
          <w:rFonts w:ascii="Calibri" w:hAnsi="Calibri"/>
          <w:sz w:val="24"/>
        </w:rPr>
        <w:sectPr w:rsidR="004C7180" w:rsidRPr="00150EDC">
          <w:pgSz w:w="11910" w:h="16840"/>
          <w:pgMar w:top="620" w:right="0" w:bottom="2460" w:left="40" w:header="403" w:footer="2245" w:gutter="0"/>
          <w:cols w:space="720"/>
        </w:sectPr>
      </w:pPr>
    </w:p>
    <w:p w14:paraId="6ABD3038" w14:textId="77777777" w:rsidR="004C7180" w:rsidRPr="00150EDC" w:rsidRDefault="004C7180">
      <w:pPr>
        <w:pStyle w:val="BodyText"/>
        <w:spacing w:before="1"/>
        <w:rPr>
          <w:rFonts w:ascii="Calibri"/>
          <w:sz w:val="18"/>
        </w:rPr>
      </w:pPr>
    </w:p>
    <w:p w14:paraId="76EFC303" w14:textId="77777777" w:rsidR="004C7180" w:rsidRPr="00150EDC" w:rsidRDefault="00CF0754">
      <w:pPr>
        <w:pStyle w:val="BodyText"/>
        <w:spacing w:before="52"/>
        <w:ind w:left="1066"/>
        <w:rPr>
          <w:rFonts w:ascii="Calibri"/>
        </w:rPr>
      </w:pPr>
      <w:r w:rsidRPr="00150EDC">
        <w:rPr>
          <w:rFonts w:ascii="Calibri"/>
          <w:spacing w:val="-2"/>
        </w:rPr>
        <w:t>either:</w:t>
      </w:r>
    </w:p>
    <w:p w14:paraId="67192ECB" w14:textId="77777777" w:rsidR="004C7180" w:rsidRPr="00150EDC" w:rsidRDefault="004C7180">
      <w:pPr>
        <w:pStyle w:val="BodyText"/>
        <w:spacing w:before="4"/>
        <w:rPr>
          <w:rFonts w:ascii="Calibri"/>
          <w:sz w:val="27"/>
        </w:rPr>
      </w:pPr>
    </w:p>
    <w:p w14:paraId="4C250061" w14:textId="77777777" w:rsidR="004C7180" w:rsidRPr="00150EDC" w:rsidRDefault="00CF0754" w:rsidP="00B320C7">
      <w:pPr>
        <w:pStyle w:val="ListParagraph"/>
        <w:numPr>
          <w:ilvl w:val="0"/>
          <w:numId w:val="166"/>
        </w:numPr>
        <w:tabs>
          <w:tab w:val="left" w:pos="1491"/>
          <w:tab w:val="left" w:pos="1494"/>
        </w:tabs>
        <w:ind w:right="785"/>
        <w:rPr>
          <w:rFonts w:ascii="Calibri"/>
          <w:sz w:val="24"/>
        </w:rPr>
      </w:pPr>
      <w:r w:rsidRPr="00150EDC">
        <w:rPr>
          <w:rFonts w:ascii="Calibri"/>
          <w:sz w:val="24"/>
        </w:rPr>
        <w:t>obtain</w:t>
      </w:r>
      <w:r w:rsidRPr="00150EDC">
        <w:rPr>
          <w:rFonts w:ascii="Calibri"/>
          <w:spacing w:val="-4"/>
          <w:sz w:val="24"/>
        </w:rPr>
        <w:t xml:space="preserve"> </w:t>
      </w:r>
      <w:r w:rsidRPr="00150EDC">
        <w:rPr>
          <w:rFonts w:ascii="Calibri"/>
          <w:sz w:val="24"/>
        </w:rPr>
        <w:t>for</w:t>
      </w:r>
      <w:r w:rsidRPr="00150EDC">
        <w:rPr>
          <w:rFonts w:ascii="Calibri"/>
          <w:spacing w:val="-2"/>
          <w:sz w:val="24"/>
        </w:rPr>
        <w:t xml:space="preserve"> </w:t>
      </w:r>
      <w:r w:rsidRPr="00150EDC">
        <w:rPr>
          <w:rFonts w:ascii="Calibri"/>
          <w:sz w:val="24"/>
        </w:rPr>
        <w:t>CCS</w:t>
      </w:r>
      <w:r w:rsidRPr="00150EDC">
        <w:rPr>
          <w:rFonts w:ascii="Calibri"/>
          <w:spacing w:val="-3"/>
          <w:sz w:val="24"/>
        </w:rPr>
        <w:t xml:space="preserve"> </w:t>
      </w:r>
      <w:r w:rsidRPr="00150EDC">
        <w:rPr>
          <w:rFonts w:ascii="Calibri"/>
          <w:sz w:val="24"/>
        </w:rPr>
        <w:t>and</w:t>
      </w:r>
      <w:r w:rsidRPr="00150EDC">
        <w:rPr>
          <w:rFonts w:ascii="Calibri"/>
          <w:spacing w:val="-4"/>
          <w:sz w:val="24"/>
        </w:rPr>
        <w:t xml:space="preserve"> </w:t>
      </w:r>
      <w:r w:rsidRPr="00150EDC">
        <w:rPr>
          <w:rFonts w:ascii="Calibri"/>
          <w:sz w:val="24"/>
        </w:rPr>
        <w:t>the</w:t>
      </w:r>
      <w:r w:rsidRPr="00150EDC">
        <w:rPr>
          <w:rFonts w:ascii="Calibri"/>
          <w:spacing w:val="-2"/>
          <w:sz w:val="24"/>
        </w:rPr>
        <w:t xml:space="preserve"> </w:t>
      </w:r>
      <w:r w:rsidRPr="00150EDC">
        <w:rPr>
          <w:rFonts w:ascii="Calibri"/>
          <w:sz w:val="24"/>
        </w:rPr>
        <w:t>Buyer</w:t>
      </w:r>
      <w:r w:rsidRPr="00150EDC">
        <w:rPr>
          <w:rFonts w:ascii="Calibri"/>
          <w:spacing w:val="-3"/>
          <w:sz w:val="24"/>
        </w:rPr>
        <w:t xml:space="preserve"> </w:t>
      </w:r>
      <w:r w:rsidRPr="00150EDC">
        <w:rPr>
          <w:rFonts w:ascii="Calibri"/>
          <w:sz w:val="24"/>
        </w:rPr>
        <w:t>the</w:t>
      </w:r>
      <w:r w:rsidRPr="00150EDC">
        <w:rPr>
          <w:rFonts w:ascii="Calibri"/>
          <w:spacing w:val="-4"/>
          <w:sz w:val="24"/>
        </w:rPr>
        <w:t xml:space="preserve"> </w:t>
      </w:r>
      <w:r w:rsidRPr="00150EDC">
        <w:rPr>
          <w:rFonts w:ascii="Calibri"/>
          <w:sz w:val="24"/>
        </w:rPr>
        <w:t>rights</w:t>
      </w:r>
      <w:r w:rsidRPr="00150EDC">
        <w:rPr>
          <w:rFonts w:ascii="Calibri"/>
          <w:spacing w:val="-3"/>
          <w:sz w:val="24"/>
        </w:rPr>
        <w:t xml:space="preserve"> </w:t>
      </w:r>
      <w:r w:rsidRPr="00150EDC">
        <w:rPr>
          <w:rFonts w:ascii="Calibri"/>
          <w:sz w:val="24"/>
        </w:rPr>
        <w:t>in</w:t>
      </w:r>
      <w:r w:rsidRPr="00150EDC">
        <w:rPr>
          <w:rFonts w:ascii="Calibri"/>
          <w:spacing w:val="-4"/>
          <w:sz w:val="24"/>
        </w:rPr>
        <w:t xml:space="preserve"> </w:t>
      </w:r>
      <w:r w:rsidRPr="00150EDC">
        <w:rPr>
          <w:rFonts w:ascii="Calibri"/>
          <w:sz w:val="24"/>
        </w:rPr>
        <w:t>Clause</w:t>
      </w:r>
      <w:r w:rsidRPr="00150EDC">
        <w:rPr>
          <w:rFonts w:ascii="Calibri"/>
          <w:spacing w:val="-6"/>
          <w:sz w:val="24"/>
        </w:rPr>
        <w:t xml:space="preserve"> </w:t>
      </w:r>
      <w:r w:rsidRPr="00150EDC">
        <w:rPr>
          <w:rFonts w:ascii="Calibri"/>
          <w:sz w:val="24"/>
        </w:rPr>
        <w:t>9.1</w:t>
      </w:r>
      <w:r w:rsidRPr="00150EDC">
        <w:rPr>
          <w:rFonts w:ascii="Calibri"/>
          <w:spacing w:val="-2"/>
          <w:sz w:val="24"/>
        </w:rPr>
        <w:t xml:space="preserve"> </w:t>
      </w:r>
      <w:r w:rsidRPr="00150EDC">
        <w:rPr>
          <w:rFonts w:ascii="Calibri"/>
          <w:sz w:val="24"/>
        </w:rPr>
        <w:t>and</w:t>
      </w:r>
      <w:r w:rsidRPr="00150EDC">
        <w:rPr>
          <w:rFonts w:ascii="Calibri"/>
          <w:spacing w:val="-2"/>
          <w:sz w:val="24"/>
        </w:rPr>
        <w:t xml:space="preserve"> </w:t>
      </w:r>
      <w:r w:rsidRPr="00150EDC">
        <w:rPr>
          <w:rFonts w:ascii="Calibri"/>
          <w:sz w:val="24"/>
        </w:rPr>
        <w:t>9.2</w:t>
      </w:r>
      <w:r w:rsidRPr="00150EDC">
        <w:rPr>
          <w:rFonts w:ascii="Calibri"/>
          <w:spacing w:val="-2"/>
          <w:sz w:val="24"/>
        </w:rPr>
        <w:t xml:space="preserve"> </w:t>
      </w:r>
      <w:r w:rsidRPr="00150EDC">
        <w:rPr>
          <w:rFonts w:ascii="Calibri"/>
          <w:sz w:val="24"/>
        </w:rPr>
        <w:t>without</w:t>
      </w:r>
      <w:r w:rsidRPr="00150EDC">
        <w:rPr>
          <w:rFonts w:ascii="Calibri"/>
          <w:spacing w:val="-2"/>
          <w:sz w:val="24"/>
        </w:rPr>
        <w:t xml:space="preserve"> </w:t>
      </w:r>
      <w:r w:rsidRPr="00150EDC">
        <w:rPr>
          <w:rFonts w:ascii="Calibri"/>
          <w:sz w:val="24"/>
        </w:rPr>
        <w:t>infringing</w:t>
      </w:r>
      <w:r w:rsidRPr="00150EDC">
        <w:rPr>
          <w:rFonts w:ascii="Calibri"/>
          <w:spacing w:val="-3"/>
          <w:sz w:val="24"/>
        </w:rPr>
        <w:t xml:space="preserve"> </w:t>
      </w:r>
      <w:r w:rsidRPr="00150EDC">
        <w:rPr>
          <w:rFonts w:ascii="Calibri"/>
          <w:sz w:val="24"/>
        </w:rPr>
        <w:t>any</w:t>
      </w:r>
      <w:r w:rsidRPr="00150EDC">
        <w:rPr>
          <w:rFonts w:ascii="Calibri"/>
          <w:spacing w:val="-3"/>
          <w:sz w:val="24"/>
        </w:rPr>
        <w:t xml:space="preserve"> </w:t>
      </w:r>
      <w:r w:rsidRPr="00150EDC">
        <w:rPr>
          <w:rFonts w:ascii="Calibri"/>
          <w:sz w:val="24"/>
        </w:rPr>
        <w:t>third</w:t>
      </w:r>
      <w:r w:rsidRPr="00150EDC">
        <w:rPr>
          <w:rFonts w:ascii="Calibri"/>
          <w:spacing w:val="-4"/>
          <w:sz w:val="24"/>
        </w:rPr>
        <w:t xml:space="preserve"> </w:t>
      </w:r>
      <w:r w:rsidRPr="00150EDC">
        <w:rPr>
          <w:rFonts w:ascii="Calibri"/>
          <w:sz w:val="24"/>
        </w:rPr>
        <w:t>party</w:t>
      </w:r>
      <w:r w:rsidRPr="00150EDC">
        <w:rPr>
          <w:rFonts w:ascii="Calibri"/>
          <w:spacing w:val="-3"/>
          <w:sz w:val="24"/>
        </w:rPr>
        <w:t xml:space="preserve"> </w:t>
      </w:r>
      <w:r w:rsidRPr="00150EDC">
        <w:rPr>
          <w:rFonts w:ascii="Calibri"/>
          <w:sz w:val="24"/>
        </w:rPr>
        <w:t xml:space="preserve">IPR; </w:t>
      </w:r>
      <w:r w:rsidRPr="00150EDC">
        <w:rPr>
          <w:rFonts w:ascii="Calibri"/>
          <w:spacing w:val="-6"/>
          <w:sz w:val="24"/>
        </w:rPr>
        <w:t>or</w:t>
      </w:r>
    </w:p>
    <w:p w14:paraId="428C72E3" w14:textId="77777777" w:rsidR="004C7180" w:rsidRPr="00150EDC" w:rsidRDefault="00CF0754" w:rsidP="00B320C7">
      <w:pPr>
        <w:pStyle w:val="ListParagraph"/>
        <w:numPr>
          <w:ilvl w:val="0"/>
          <w:numId w:val="166"/>
        </w:numPr>
        <w:tabs>
          <w:tab w:val="left" w:pos="1491"/>
          <w:tab w:val="left" w:pos="1494"/>
        </w:tabs>
        <w:spacing w:before="19"/>
        <w:ind w:right="1167"/>
        <w:rPr>
          <w:rFonts w:ascii="Calibri"/>
          <w:sz w:val="24"/>
        </w:rPr>
      </w:pPr>
      <w:r w:rsidRPr="00150EDC">
        <w:rPr>
          <w:rFonts w:ascii="Calibri"/>
          <w:sz w:val="24"/>
        </w:rPr>
        <w:t>replace</w:t>
      </w:r>
      <w:r w:rsidRPr="00150EDC">
        <w:rPr>
          <w:rFonts w:ascii="Calibri"/>
          <w:spacing w:val="-5"/>
          <w:sz w:val="24"/>
        </w:rPr>
        <w:t xml:space="preserve"> </w:t>
      </w:r>
      <w:r w:rsidRPr="00150EDC">
        <w:rPr>
          <w:rFonts w:ascii="Calibri"/>
          <w:sz w:val="24"/>
        </w:rPr>
        <w:t>or</w:t>
      </w:r>
      <w:r w:rsidRPr="00150EDC">
        <w:rPr>
          <w:rFonts w:ascii="Calibri"/>
          <w:spacing w:val="-2"/>
          <w:sz w:val="24"/>
        </w:rPr>
        <w:t xml:space="preserve"> </w:t>
      </w:r>
      <w:r w:rsidRPr="00150EDC">
        <w:rPr>
          <w:rFonts w:ascii="Calibri"/>
          <w:sz w:val="24"/>
        </w:rPr>
        <w:t>modify</w:t>
      </w:r>
      <w:r w:rsidRPr="00150EDC">
        <w:rPr>
          <w:rFonts w:ascii="Calibri"/>
          <w:spacing w:val="-6"/>
          <w:sz w:val="24"/>
        </w:rPr>
        <w:t xml:space="preserve"> </w:t>
      </w:r>
      <w:r w:rsidRPr="00150EDC">
        <w:rPr>
          <w:rFonts w:ascii="Calibri"/>
          <w:sz w:val="24"/>
        </w:rPr>
        <w:t>the</w:t>
      </w:r>
      <w:r w:rsidRPr="00150EDC">
        <w:rPr>
          <w:rFonts w:ascii="Calibri"/>
          <w:spacing w:val="-2"/>
          <w:sz w:val="24"/>
        </w:rPr>
        <w:t xml:space="preserve"> </w:t>
      </w:r>
      <w:r w:rsidRPr="00150EDC">
        <w:rPr>
          <w:rFonts w:ascii="Calibri"/>
          <w:sz w:val="24"/>
        </w:rPr>
        <w:t>relevant</w:t>
      </w:r>
      <w:r w:rsidRPr="00150EDC">
        <w:rPr>
          <w:rFonts w:ascii="Calibri"/>
          <w:spacing w:val="-4"/>
          <w:sz w:val="24"/>
        </w:rPr>
        <w:t xml:space="preserve"> </w:t>
      </w:r>
      <w:r w:rsidRPr="00150EDC">
        <w:rPr>
          <w:rFonts w:ascii="Calibri"/>
          <w:sz w:val="24"/>
        </w:rPr>
        <w:t>item</w:t>
      </w:r>
      <w:r w:rsidRPr="00150EDC">
        <w:rPr>
          <w:rFonts w:ascii="Calibri"/>
          <w:spacing w:val="-4"/>
          <w:sz w:val="24"/>
        </w:rPr>
        <w:t xml:space="preserve"> </w:t>
      </w:r>
      <w:r w:rsidRPr="00150EDC">
        <w:rPr>
          <w:rFonts w:ascii="Calibri"/>
          <w:sz w:val="24"/>
        </w:rPr>
        <w:t>with</w:t>
      </w:r>
      <w:r w:rsidRPr="00150EDC">
        <w:rPr>
          <w:rFonts w:ascii="Calibri"/>
          <w:spacing w:val="-4"/>
          <w:sz w:val="24"/>
        </w:rPr>
        <w:t xml:space="preserve"> </w:t>
      </w:r>
      <w:r w:rsidRPr="00150EDC">
        <w:rPr>
          <w:rFonts w:ascii="Calibri"/>
          <w:sz w:val="24"/>
        </w:rPr>
        <w:t>substitutes</w:t>
      </w:r>
      <w:r w:rsidRPr="00150EDC">
        <w:rPr>
          <w:rFonts w:ascii="Calibri"/>
          <w:spacing w:val="-3"/>
          <w:sz w:val="24"/>
        </w:rPr>
        <w:t xml:space="preserve"> </w:t>
      </w:r>
      <w:r w:rsidRPr="00150EDC">
        <w:rPr>
          <w:rFonts w:ascii="Calibri"/>
          <w:sz w:val="24"/>
        </w:rPr>
        <w:t>that</w:t>
      </w:r>
      <w:r w:rsidRPr="00150EDC">
        <w:rPr>
          <w:rFonts w:ascii="Calibri"/>
          <w:spacing w:val="-4"/>
          <w:sz w:val="24"/>
        </w:rPr>
        <w:t xml:space="preserve"> </w:t>
      </w:r>
      <w:r w:rsidRPr="00150EDC">
        <w:rPr>
          <w:rFonts w:ascii="Calibri"/>
          <w:sz w:val="24"/>
        </w:rPr>
        <w:t>do</w:t>
      </w:r>
      <w:r w:rsidRPr="00150EDC">
        <w:rPr>
          <w:rFonts w:ascii="Calibri"/>
          <w:spacing w:val="-5"/>
          <w:sz w:val="24"/>
        </w:rPr>
        <w:t xml:space="preserve"> </w:t>
      </w:r>
      <w:r w:rsidRPr="00150EDC">
        <w:rPr>
          <w:rFonts w:ascii="Calibri"/>
          <w:sz w:val="24"/>
        </w:rPr>
        <w:t>not</w:t>
      </w:r>
      <w:r w:rsidRPr="00150EDC">
        <w:rPr>
          <w:rFonts w:ascii="Calibri"/>
          <w:spacing w:val="-2"/>
          <w:sz w:val="24"/>
        </w:rPr>
        <w:t xml:space="preserve"> </w:t>
      </w:r>
      <w:r w:rsidRPr="00150EDC">
        <w:rPr>
          <w:rFonts w:ascii="Calibri"/>
          <w:sz w:val="24"/>
        </w:rPr>
        <w:t>infringe</w:t>
      </w:r>
      <w:r w:rsidRPr="00150EDC">
        <w:rPr>
          <w:rFonts w:ascii="Calibri"/>
          <w:spacing w:val="-2"/>
          <w:sz w:val="24"/>
        </w:rPr>
        <w:t xml:space="preserve"> </w:t>
      </w:r>
      <w:r w:rsidRPr="00150EDC">
        <w:rPr>
          <w:rFonts w:ascii="Calibri"/>
          <w:sz w:val="24"/>
        </w:rPr>
        <w:t>IPR</w:t>
      </w:r>
      <w:r w:rsidRPr="00150EDC">
        <w:rPr>
          <w:rFonts w:ascii="Calibri"/>
          <w:spacing w:val="-4"/>
          <w:sz w:val="24"/>
        </w:rPr>
        <w:t xml:space="preserve"> </w:t>
      </w:r>
      <w:r w:rsidRPr="00150EDC">
        <w:rPr>
          <w:rFonts w:ascii="Calibri"/>
          <w:sz w:val="24"/>
        </w:rPr>
        <w:t>without</w:t>
      </w:r>
      <w:r w:rsidRPr="00150EDC">
        <w:rPr>
          <w:rFonts w:ascii="Calibri"/>
          <w:spacing w:val="-2"/>
          <w:sz w:val="24"/>
        </w:rPr>
        <w:t xml:space="preserve"> </w:t>
      </w:r>
      <w:r w:rsidRPr="00150EDC">
        <w:rPr>
          <w:rFonts w:ascii="Calibri"/>
          <w:sz w:val="24"/>
        </w:rPr>
        <w:t>adversely affecting the functionality or performance of the Deliverables.</w:t>
      </w:r>
    </w:p>
    <w:p w14:paraId="21204CA7" w14:textId="77777777" w:rsidR="004C7180" w:rsidRPr="00150EDC" w:rsidRDefault="004C7180">
      <w:pPr>
        <w:pStyle w:val="BodyText"/>
        <w:spacing w:before="9"/>
        <w:rPr>
          <w:rFonts w:ascii="Calibri"/>
          <w:sz w:val="25"/>
        </w:rPr>
      </w:pPr>
    </w:p>
    <w:p w14:paraId="6F296281" w14:textId="77777777" w:rsidR="004C7180" w:rsidRPr="00150EDC" w:rsidRDefault="00CF0754" w:rsidP="00B320C7">
      <w:pPr>
        <w:pStyle w:val="ListParagraph"/>
        <w:numPr>
          <w:ilvl w:val="1"/>
          <w:numId w:val="182"/>
        </w:numPr>
        <w:tabs>
          <w:tab w:val="left" w:pos="1066"/>
        </w:tabs>
        <w:ind w:right="609"/>
        <w:rPr>
          <w:rFonts w:ascii="Calibri"/>
          <w:sz w:val="24"/>
        </w:rPr>
      </w:pPr>
      <w:r w:rsidRPr="00150EDC">
        <w:rPr>
          <w:rFonts w:ascii="Calibri"/>
          <w:sz w:val="24"/>
        </w:rPr>
        <w:t>In spite of any other provisions of a Contract and</w:t>
      </w:r>
      <w:r w:rsidRPr="00150EDC">
        <w:rPr>
          <w:rFonts w:ascii="Calibri"/>
          <w:spacing w:val="-2"/>
          <w:sz w:val="24"/>
        </w:rPr>
        <w:t xml:space="preserve"> </w:t>
      </w:r>
      <w:r w:rsidRPr="00150EDC">
        <w:rPr>
          <w:rFonts w:ascii="Calibri"/>
          <w:sz w:val="24"/>
        </w:rPr>
        <w:t>for the</w:t>
      </w:r>
      <w:r w:rsidRPr="00150EDC">
        <w:rPr>
          <w:rFonts w:ascii="Calibri"/>
          <w:spacing w:val="-1"/>
          <w:sz w:val="24"/>
        </w:rPr>
        <w:t xml:space="preserve"> </w:t>
      </w:r>
      <w:r w:rsidRPr="00150EDC">
        <w:rPr>
          <w:rFonts w:ascii="Calibri"/>
          <w:sz w:val="24"/>
        </w:rPr>
        <w:t>avoidance of doubt, award of a</w:t>
      </w:r>
      <w:r w:rsidRPr="00150EDC">
        <w:rPr>
          <w:rFonts w:ascii="Calibri"/>
          <w:spacing w:val="-1"/>
          <w:sz w:val="24"/>
        </w:rPr>
        <w:t xml:space="preserve"> </w:t>
      </w:r>
      <w:r w:rsidRPr="00150EDC">
        <w:rPr>
          <w:rFonts w:ascii="Calibri"/>
          <w:sz w:val="24"/>
        </w:rPr>
        <w:t>Contract by the Buyer and placement of any contract task under it does not constitute an authorisation by the Crown under Sections 55 and 56 of the Patents Act 1977 or Section 12 of the Registered Designs Act 1949. The Supplier</w:t>
      </w:r>
      <w:r w:rsidRPr="00150EDC">
        <w:rPr>
          <w:rFonts w:ascii="Calibri"/>
          <w:spacing w:val="-2"/>
          <w:sz w:val="24"/>
        </w:rPr>
        <w:t xml:space="preserve"> </w:t>
      </w:r>
      <w:r w:rsidRPr="00150EDC">
        <w:rPr>
          <w:rFonts w:ascii="Calibri"/>
          <w:sz w:val="24"/>
        </w:rPr>
        <w:t>acknowledges</w:t>
      </w:r>
      <w:r w:rsidRPr="00150EDC">
        <w:rPr>
          <w:rFonts w:ascii="Calibri"/>
          <w:spacing w:val="-5"/>
          <w:sz w:val="24"/>
        </w:rPr>
        <w:t xml:space="preserve"> </w:t>
      </w:r>
      <w:r w:rsidRPr="00150EDC">
        <w:rPr>
          <w:rFonts w:ascii="Calibri"/>
          <w:sz w:val="24"/>
        </w:rPr>
        <w:t>that</w:t>
      </w:r>
      <w:r w:rsidRPr="00150EDC">
        <w:rPr>
          <w:rFonts w:ascii="Calibri"/>
          <w:spacing w:val="-4"/>
          <w:sz w:val="24"/>
        </w:rPr>
        <w:t xml:space="preserve"> </w:t>
      </w:r>
      <w:r w:rsidRPr="00150EDC">
        <w:rPr>
          <w:rFonts w:ascii="Calibri"/>
          <w:sz w:val="24"/>
        </w:rPr>
        <w:t>any</w:t>
      </w:r>
      <w:r w:rsidRPr="00150EDC">
        <w:rPr>
          <w:rFonts w:ascii="Calibri"/>
          <w:spacing w:val="-3"/>
          <w:sz w:val="24"/>
        </w:rPr>
        <w:t xml:space="preserve"> </w:t>
      </w:r>
      <w:r w:rsidRPr="00150EDC">
        <w:rPr>
          <w:rFonts w:ascii="Calibri"/>
          <w:sz w:val="24"/>
        </w:rPr>
        <w:t>authorisation</w:t>
      </w:r>
      <w:r w:rsidRPr="00150EDC">
        <w:rPr>
          <w:rFonts w:ascii="Calibri"/>
          <w:spacing w:val="-4"/>
          <w:sz w:val="24"/>
        </w:rPr>
        <w:t xml:space="preserve"> </w:t>
      </w:r>
      <w:r w:rsidRPr="00150EDC">
        <w:rPr>
          <w:rFonts w:ascii="Calibri"/>
          <w:sz w:val="24"/>
        </w:rPr>
        <w:t>by</w:t>
      </w:r>
      <w:r w:rsidRPr="00150EDC">
        <w:rPr>
          <w:rFonts w:ascii="Calibri"/>
          <w:spacing w:val="-6"/>
          <w:sz w:val="24"/>
        </w:rPr>
        <w:t xml:space="preserve"> </w:t>
      </w:r>
      <w:r w:rsidRPr="00150EDC">
        <w:rPr>
          <w:rFonts w:ascii="Calibri"/>
          <w:sz w:val="24"/>
        </w:rPr>
        <w:t>the</w:t>
      </w:r>
      <w:r w:rsidRPr="00150EDC">
        <w:rPr>
          <w:rFonts w:ascii="Calibri"/>
          <w:spacing w:val="-5"/>
          <w:sz w:val="24"/>
        </w:rPr>
        <w:t xml:space="preserve"> </w:t>
      </w:r>
      <w:r w:rsidRPr="00150EDC">
        <w:rPr>
          <w:rFonts w:ascii="Calibri"/>
          <w:sz w:val="24"/>
        </w:rPr>
        <w:t>Buyer</w:t>
      </w:r>
      <w:r w:rsidRPr="00150EDC">
        <w:rPr>
          <w:rFonts w:ascii="Calibri"/>
          <w:spacing w:val="-5"/>
          <w:sz w:val="24"/>
        </w:rPr>
        <w:t xml:space="preserve"> </w:t>
      </w:r>
      <w:r w:rsidRPr="00150EDC">
        <w:rPr>
          <w:rFonts w:ascii="Calibri"/>
          <w:sz w:val="24"/>
        </w:rPr>
        <w:t>under</w:t>
      </w:r>
      <w:r w:rsidRPr="00150EDC">
        <w:rPr>
          <w:rFonts w:ascii="Calibri"/>
          <w:spacing w:val="-2"/>
          <w:sz w:val="24"/>
        </w:rPr>
        <w:t xml:space="preserve"> </w:t>
      </w:r>
      <w:r w:rsidRPr="00150EDC">
        <w:rPr>
          <w:rFonts w:ascii="Calibri"/>
          <w:sz w:val="24"/>
        </w:rPr>
        <w:t>its</w:t>
      </w:r>
      <w:r w:rsidRPr="00150EDC">
        <w:rPr>
          <w:rFonts w:ascii="Calibri"/>
          <w:spacing w:val="-3"/>
          <w:sz w:val="24"/>
        </w:rPr>
        <w:t xml:space="preserve"> </w:t>
      </w:r>
      <w:r w:rsidRPr="00150EDC">
        <w:rPr>
          <w:rFonts w:ascii="Calibri"/>
          <w:sz w:val="24"/>
        </w:rPr>
        <w:t>statutory</w:t>
      </w:r>
      <w:r w:rsidRPr="00150EDC">
        <w:rPr>
          <w:rFonts w:ascii="Calibri"/>
          <w:spacing w:val="-3"/>
          <w:sz w:val="24"/>
        </w:rPr>
        <w:t xml:space="preserve"> </w:t>
      </w:r>
      <w:r w:rsidRPr="00150EDC">
        <w:rPr>
          <w:rFonts w:ascii="Calibri"/>
          <w:sz w:val="24"/>
        </w:rPr>
        <w:t>powers</w:t>
      </w:r>
      <w:r w:rsidRPr="00150EDC">
        <w:rPr>
          <w:rFonts w:ascii="Calibri"/>
          <w:spacing w:val="-3"/>
          <w:sz w:val="24"/>
        </w:rPr>
        <w:t xml:space="preserve"> </w:t>
      </w:r>
      <w:r w:rsidRPr="00150EDC">
        <w:rPr>
          <w:rFonts w:ascii="Calibri"/>
          <w:sz w:val="24"/>
        </w:rPr>
        <w:t>must</w:t>
      </w:r>
      <w:r w:rsidRPr="00150EDC">
        <w:rPr>
          <w:rFonts w:ascii="Calibri"/>
          <w:spacing w:val="-4"/>
          <w:sz w:val="24"/>
        </w:rPr>
        <w:t xml:space="preserve"> </w:t>
      </w:r>
      <w:r w:rsidRPr="00150EDC">
        <w:rPr>
          <w:rFonts w:ascii="Calibri"/>
          <w:sz w:val="24"/>
        </w:rPr>
        <w:t>be</w:t>
      </w:r>
      <w:r w:rsidRPr="00150EDC">
        <w:rPr>
          <w:rFonts w:ascii="Calibri"/>
          <w:spacing w:val="-4"/>
          <w:sz w:val="24"/>
        </w:rPr>
        <w:t xml:space="preserve"> </w:t>
      </w:r>
      <w:r w:rsidRPr="00150EDC">
        <w:rPr>
          <w:rFonts w:ascii="Calibri"/>
          <w:sz w:val="24"/>
        </w:rPr>
        <w:t>expressly provided in writing, with reference to the acts authorised and the specific IPR involved.</w:t>
      </w:r>
    </w:p>
    <w:p w14:paraId="21B4E5C7" w14:textId="77777777" w:rsidR="004C7180" w:rsidRPr="00150EDC" w:rsidRDefault="004C7180">
      <w:pPr>
        <w:pStyle w:val="BodyText"/>
        <w:spacing w:before="4"/>
        <w:rPr>
          <w:rFonts w:ascii="Calibri"/>
          <w:sz w:val="27"/>
        </w:rPr>
      </w:pPr>
    </w:p>
    <w:p w14:paraId="33DFC0F6" w14:textId="77777777" w:rsidR="004C7180" w:rsidRPr="00150EDC" w:rsidRDefault="00CF0754" w:rsidP="00B320C7">
      <w:pPr>
        <w:pStyle w:val="Heading1"/>
        <w:numPr>
          <w:ilvl w:val="0"/>
          <w:numId w:val="182"/>
        </w:numPr>
        <w:tabs>
          <w:tab w:val="left" w:pos="1217"/>
        </w:tabs>
        <w:ind w:left="1217" w:hanging="650"/>
        <w:jc w:val="left"/>
        <w:rPr>
          <w:rFonts w:ascii="Calibri"/>
        </w:rPr>
      </w:pPr>
      <w:r w:rsidRPr="00150EDC">
        <w:rPr>
          <w:rFonts w:ascii="Calibri"/>
        </w:rPr>
        <w:t>Ending</w:t>
      </w:r>
      <w:r w:rsidRPr="00150EDC">
        <w:rPr>
          <w:rFonts w:ascii="Calibri"/>
          <w:spacing w:val="-4"/>
        </w:rPr>
        <w:t xml:space="preserve"> </w:t>
      </w:r>
      <w:r w:rsidRPr="00150EDC">
        <w:rPr>
          <w:rFonts w:ascii="Calibri"/>
        </w:rPr>
        <w:t>the</w:t>
      </w:r>
      <w:r w:rsidRPr="00150EDC">
        <w:rPr>
          <w:rFonts w:ascii="Calibri"/>
          <w:spacing w:val="-3"/>
        </w:rPr>
        <w:t xml:space="preserve"> </w:t>
      </w:r>
      <w:r w:rsidRPr="00150EDC">
        <w:rPr>
          <w:rFonts w:ascii="Calibri"/>
        </w:rPr>
        <w:t>contract</w:t>
      </w:r>
      <w:r w:rsidRPr="00150EDC">
        <w:rPr>
          <w:rFonts w:ascii="Calibri"/>
          <w:spacing w:val="-1"/>
        </w:rPr>
        <w:t xml:space="preserve"> </w:t>
      </w:r>
      <w:r w:rsidRPr="00150EDC">
        <w:rPr>
          <w:rFonts w:ascii="Calibri"/>
        </w:rPr>
        <w:t>or</w:t>
      </w:r>
      <w:r w:rsidRPr="00150EDC">
        <w:rPr>
          <w:rFonts w:ascii="Calibri"/>
          <w:spacing w:val="-2"/>
        </w:rPr>
        <w:t xml:space="preserve"> </w:t>
      </w:r>
      <w:r w:rsidRPr="00150EDC">
        <w:rPr>
          <w:rFonts w:ascii="Calibri"/>
        </w:rPr>
        <w:t>any</w:t>
      </w:r>
      <w:r w:rsidRPr="00150EDC">
        <w:rPr>
          <w:rFonts w:ascii="Calibri"/>
          <w:spacing w:val="-1"/>
        </w:rPr>
        <w:t xml:space="preserve"> </w:t>
      </w:r>
      <w:r w:rsidRPr="00150EDC">
        <w:rPr>
          <w:rFonts w:ascii="Calibri"/>
          <w:spacing w:val="-2"/>
        </w:rPr>
        <w:t>subcontract</w:t>
      </w:r>
    </w:p>
    <w:p w14:paraId="29FA63A7" w14:textId="77777777" w:rsidR="004C7180" w:rsidRPr="00150EDC" w:rsidRDefault="00CF0754" w:rsidP="00B320C7">
      <w:pPr>
        <w:pStyle w:val="ListParagraph"/>
        <w:numPr>
          <w:ilvl w:val="1"/>
          <w:numId w:val="182"/>
        </w:numPr>
        <w:tabs>
          <w:tab w:val="left" w:pos="1065"/>
        </w:tabs>
        <w:spacing w:before="18"/>
        <w:ind w:left="1065" w:hanging="565"/>
        <w:rPr>
          <w:rFonts w:ascii="Calibri"/>
          <w:b/>
          <w:sz w:val="28"/>
        </w:rPr>
      </w:pPr>
      <w:r w:rsidRPr="00150EDC">
        <w:rPr>
          <w:rFonts w:ascii="Calibri"/>
          <w:b/>
          <w:sz w:val="28"/>
        </w:rPr>
        <w:t>Contract</w:t>
      </w:r>
      <w:r w:rsidRPr="00150EDC">
        <w:rPr>
          <w:rFonts w:ascii="Calibri"/>
          <w:b/>
          <w:spacing w:val="-3"/>
          <w:sz w:val="28"/>
        </w:rPr>
        <w:t xml:space="preserve"> </w:t>
      </w:r>
      <w:r w:rsidRPr="00150EDC">
        <w:rPr>
          <w:rFonts w:ascii="Calibri"/>
          <w:b/>
          <w:spacing w:val="-2"/>
          <w:sz w:val="28"/>
        </w:rPr>
        <w:t>Period</w:t>
      </w:r>
    </w:p>
    <w:p w14:paraId="05CDBFAF" w14:textId="77777777" w:rsidR="004C7180" w:rsidRPr="00150EDC" w:rsidRDefault="00CF0754" w:rsidP="00B320C7">
      <w:pPr>
        <w:pStyle w:val="ListParagraph"/>
        <w:numPr>
          <w:ilvl w:val="2"/>
          <w:numId w:val="182"/>
        </w:numPr>
        <w:tabs>
          <w:tab w:val="left" w:pos="1207"/>
        </w:tabs>
        <w:spacing w:before="2"/>
        <w:ind w:left="1207" w:hanging="719"/>
        <w:rPr>
          <w:rFonts w:ascii="Calibri"/>
          <w:sz w:val="24"/>
        </w:rPr>
      </w:pPr>
      <w:r w:rsidRPr="00150EDC">
        <w:rPr>
          <w:rFonts w:ascii="Calibri"/>
          <w:sz w:val="24"/>
        </w:rPr>
        <w:t>The</w:t>
      </w:r>
      <w:r w:rsidRPr="00150EDC">
        <w:rPr>
          <w:rFonts w:ascii="Calibri"/>
          <w:spacing w:val="-4"/>
          <w:sz w:val="24"/>
        </w:rPr>
        <w:t xml:space="preserve"> </w:t>
      </w:r>
      <w:r w:rsidRPr="00150EDC">
        <w:rPr>
          <w:rFonts w:ascii="Calibri"/>
          <w:sz w:val="24"/>
        </w:rPr>
        <w:t>Contract</w:t>
      </w:r>
      <w:r w:rsidRPr="00150EDC">
        <w:rPr>
          <w:rFonts w:ascii="Calibri"/>
          <w:spacing w:val="-3"/>
          <w:sz w:val="24"/>
        </w:rPr>
        <w:t xml:space="preserve"> </w:t>
      </w:r>
      <w:r w:rsidRPr="00150EDC">
        <w:rPr>
          <w:rFonts w:ascii="Calibri"/>
          <w:sz w:val="24"/>
        </w:rPr>
        <w:t>takes</w:t>
      </w:r>
      <w:r w:rsidRPr="00150EDC">
        <w:rPr>
          <w:rFonts w:ascii="Calibri"/>
          <w:spacing w:val="-2"/>
          <w:sz w:val="24"/>
        </w:rPr>
        <w:t xml:space="preserve"> </w:t>
      </w:r>
      <w:r w:rsidRPr="00150EDC">
        <w:rPr>
          <w:rFonts w:ascii="Calibri"/>
          <w:sz w:val="24"/>
        </w:rPr>
        <w:t>effect</w:t>
      </w:r>
      <w:r w:rsidRPr="00150EDC">
        <w:rPr>
          <w:rFonts w:ascii="Calibri"/>
          <w:spacing w:val="-3"/>
          <w:sz w:val="24"/>
        </w:rPr>
        <w:t xml:space="preserve"> </w:t>
      </w:r>
      <w:r w:rsidRPr="00150EDC">
        <w:rPr>
          <w:rFonts w:ascii="Calibri"/>
          <w:sz w:val="24"/>
        </w:rPr>
        <w:t>on</w:t>
      </w:r>
      <w:r w:rsidRPr="00150EDC">
        <w:rPr>
          <w:rFonts w:ascii="Calibri"/>
          <w:spacing w:val="-2"/>
          <w:sz w:val="24"/>
        </w:rPr>
        <w:t xml:space="preserve"> </w:t>
      </w:r>
      <w:r w:rsidRPr="00150EDC">
        <w:rPr>
          <w:rFonts w:ascii="Calibri"/>
          <w:sz w:val="24"/>
        </w:rPr>
        <w:t>the</w:t>
      </w:r>
      <w:r w:rsidRPr="00150EDC">
        <w:rPr>
          <w:rFonts w:ascii="Calibri"/>
          <w:spacing w:val="-1"/>
          <w:sz w:val="24"/>
        </w:rPr>
        <w:t xml:space="preserve"> </w:t>
      </w:r>
      <w:r w:rsidRPr="00150EDC">
        <w:rPr>
          <w:rFonts w:ascii="Calibri"/>
          <w:sz w:val="24"/>
        </w:rPr>
        <w:t>Start</w:t>
      </w:r>
      <w:r w:rsidRPr="00150EDC">
        <w:rPr>
          <w:rFonts w:ascii="Calibri"/>
          <w:spacing w:val="-2"/>
          <w:sz w:val="24"/>
        </w:rPr>
        <w:t xml:space="preserve"> </w:t>
      </w:r>
      <w:r w:rsidRPr="00150EDC">
        <w:rPr>
          <w:rFonts w:ascii="Calibri"/>
          <w:sz w:val="24"/>
        </w:rPr>
        <w:t>Date</w:t>
      </w:r>
      <w:r w:rsidRPr="00150EDC">
        <w:rPr>
          <w:rFonts w:ascii="Calibri"/>
          <w:spacing w:val="-3"/>
          <w:sz w:val="24"/>
        </w:rPr>
        <w:t xml:space="preserve"> </w:t>
      </w:r>
      <w:r w:rsidRPr="00150EDC">
        <w:rPr>
          <w:rFonts w:ascii="Calibri"/>
          <w:sz w:val="24"/>
        </w:rPr>
        <w:t>and</w:t>
      </w:r>
      <w:r w:rsidRPr="00150EDC">
        <w:rPr>
          <w:rFonts w:ascii="Calibri"/>
          <w:spacing w:val="-3"/>
          <w:sz w:val="24"/>
        </w:rPr>
        <w:t xml:space="preserve"> </w:t>
      </w:r>
      <w:r w:rsidRPr="00150EDC">
        <w:rPr>
          <w:rFonts w:ascii="Calibri"/>
          <w:sz w:val="24"/>
        </w:rPr>
        <w:t>ends</w:t>
      </w:r>
      <w:r w:rsidRPr="00150EDC">
        <w:rPr>
          <w:rFonts w:ascii="Calibri"/>
          <w:spacing w:val="-3"/>
          <w:sz w:val="24"/>
        </w:rPr>
        <w:t xml:space="preserve"> </w:t>
      </w:r>
      <w:r w:rsidRPr="00150EDC">
        <w:rPr>
          <w:rFonts w:ascii="Calibri"/>
          <w:sz w:val="24"/>
        </w:rPr>
        <w:t>on</w:t>
      </w:r>
      <w:r w:rsidRPr="00150EDC">
        <w:rPr>
          <w:rFonts w:ascii="Calibri"/>
          <w:spacing w:val="-3"/>
          <w:sz w:val="24"/>
        </w:rPr>
        <w:t xml:space="preserve"> </w:t>
      </w:r>
      <w:r w:rsidRPr="00150EDC">
        <w:rPr>
          <w:rFonts w:ascii="Calibri"/>
          <w:sz w:val="24"/>
        </w:rPr>
        <w:t>the</w:t>
      </w:r>
      <w:r w:rsidRPr="00150EDC">
        <w:rPr>
          <w:rFonts w:ascii="Calibri"/>
          <w:spacing w:val="-3"/>
          <w:sz w:val="24"/>
        </w:rPr>
        <w:t xml:space="preserve"> </w:t>
      </w:r>
      <w:r w:rsidRPr="00150EDC">
        <w:rPr>
          <w:rFonts w:ascii="Calibri"/>
          <w:sz w:val="24"/>
        </w:rPr>
        <w:t>End</w:t>
      </w:r>
      <w:r w:rsidRPr="00150EDC">
        <w:rPr>
          <w:rFonts w:ascii="Calibri"/>
          <w:spacing w:val="-1"/>
          <w:sz w:val="24"/>
        </w:rPr>
        <w:t xml:space="preserve"> </w:t>
      </w:r>
      <w:r w:rsidRPr="00150EDC">
        <w:rPr>
          <w:rFonts w:ascii="Calibri"/>
          <w:sz w:val="24"/>
        </w:rPr>
        <w:t>Date</w:t>
      </w:r>
      <w:r w:rsidRPr="00150EDC">
        <w:rPr>
          <w:rFonts w:ascii="Calibri"/>
          <w:spacing w:val="-4"/>
          <w:sz w:val="24"/>
        </w:rPr>
        <w:t xml:space="preserve"> </w:t>
      </w:r>
      <w:r w:rsidRPr="00150EDC">
        <w:rPr>
          <w:rFonts w:ascii="Calibri"/>
          <w:sz w:val="24"/>
        </w:rPr>
        <w:t>or</w:t>
      </w:r>
      <w:r w:rsidRPr="00150EDC">
        <w:rPr>
          <w:rFonts w:ascii="Calibri"/>
          <w:spacing w:val="-3"/>
          <w:sz w:val="24"/>
        </w:rPr>
        <w:t xml:space="preserve"> </w:t>
      </w:r>
      <w:r w:rsidRPr="00150EDC">
        <w:rPr>
          <w:rFonts w:ascii="Calibri"/>
          <w:sz w:val="24"/>
        </w:rPr>
        <w:t>earlier</w:t>
      </w:r>
      <w:r w:rsidRPr="00150EDC">
        <w:rPr>
          <w:rFonts w:ascii="Calibri"/>
          <w:spacing w:val="-1"/>
          <w:sz w:val="24"/>
        </w:rPr>
        <w:t xml:space="preserve"> </w:t>
      </w:r>
      <w:r w:rsidRPr="00150EDC">
        <w:rPr>
          <w:rFonts w:ascii="Calibri"/>
          <w:sz w:val="24"/>
        </w:rPr>
        <w:t>if</w:t>
      </w:r>
      <w:r w:rsidRPr="00150EDC">
        <w:rPr>
          <w:rFonts w:ascii="Calibri"/>
          <w:spacing w:val="-1"/>
          <w:sz w:val="24"/>
        </w:rPr>
        <w:t xml:space="preserve"> </w:t>
      </w:r>
      <w:r w:rsidRPr="00150EDC">
        <w:rPr>
          <w:rFonts w:ascii="Calibri"/>
          <w:sz w:val="24"/>
        </w:rPr>
        <w:t>required</w:t>
      </w:r>
      <w:r w:rsidRPr="00150EDC">
        <w:rPr>
          <w:rFonts w:ascii="Calibri"/>
          <w:spacing w:val="-3"/>
          <w:sz w:val="24"/>
        </w:rPr>
        <w:t xml:space="preserve"> </w:t>
      </w:r>
      <w:r w:rsidRPr="00150EDC">
        <w:rPr>
          <w:rFonts w:ascii="Calibri"/>
          <w:sz w:val="24"/>
        </w:rPr>
        <w:t>by</w:t>
      </w:r>
      <w:r w:rsidRPr="00150EDC">
        <w:rPr>
          <w:rFonts w:ascii="Calibri"/>
          <w:spacing w:val="-2"/>
          <w:sz w:val="24"/>
        </w:rPr>
        <w:t xml:space="preserve"> </w:t>
      </w:r>
      <w:r w:rsidRPr="00150EDC">
        <w:rPr>
          <w:rFonts w:ascii="Calibri"/>
          <w:spacing w:val="-4"/>
          <w:sz w:val="24"/>
        </w:rPr>
        <w:t>Law.</w:t>
      </w:r>
    </w:p>
    <w:p w14:paraId="413F5106" w14:textId="77777777" w:rsidR="004C7180" w:rsidRPr="00150EDC" w:rsidRDefault="004C7180">
      <w:pPr>
        <w:pStyle w:val="BodyText"/>
        <w:rPr>
          <w:rFonts w:ascii="Calibri"/>
        </w:rPr>
      </w:pPr>
    </w:p>
    <w:p w14:paraId="351432B7" w14:textId="77777777" w:rsidR="004C7180" w:rsidRPr="00150EDC" w:rsidRDefault="00CF0754" w:rsidP="00B320C7">
      <w:pPr>
        <w:pStyle w:val="ListParagraph"/>
        <w:numPr>
          <w:ilvl w:val="2"/>
          <w:numId w:val="182"/>
        </w:numPr>
        <w:tabs>
          <w:tab w:val="left" w:pos="1208"/>
        </w:tabs>
        <w:ind w:right="716" w:hanging="720"/>
        <w:rPr>
          <w:rFonts w:ascii="Calibri"/>
          <w:sz w:val="24"/>
        </w:rPr>
      </w:pPr>
      <w:r w:rsidRPr="00150EDC">
        <w:rPr>
          <w:rFonts w:ascii="Calibri"/>
          <w:sz w:val="24"/>
        </w:rPr>
        <w:t>The</w:t>
      </w:r>
      <w:r w:rsidRPr="00150EDC">
        <w:rPr>
          <w:rFonts w:ascii="Calibri"/>
          <w:spacing w:val="-2"/>
          <w:sz w:val="24"/>
        </w:rPr>
        <w:t xml:space="preserve"> </w:t>
      </w:r>
      <w:r w:rsidRPr="00150EDC">
        <w:rPr>
          <w:rFonts w:ascii="Calibri"/>
          <w:sz w:val="24"/>
        </w:rPr>
        <w:t>Relevant</w:t>
      </w:r>
      <w:r w:rsidRPr="00150EDC">
        <w:rPr>
          <w:rFonts w:ascii="Calibri"/>
          <w:spacing w:val="-4"/>
          <w:sz w:val="24"/>
        </w:rPr>
        <w:t xml:space="preserve"> </w:t>
      </w:r>
      <w:r w:rsidRPr="00150EDC">
        <w:rPr>
          <w:rFonts w:ascii="Calibri"/>
          <w:sz w:val="24"/>
        </w:rPr>
        <w:t>Authority</w:t>
      </w:r>
      <w:r w:rsidRPr="00150EDC">
        <w:rPr>
          <w:rFonts w:ascii="Calibri"/>
          <w:spacing w:val="-3"/>
          <w:sz w:val="24"/>
        </w:rPr>
        <w:t xml:space="preserve"> </w:t>
      </w:r>
      <w:r w:rsidRPr="00150EDC">
        <w:rPr>
          <w:rFonts w:ascii="Calibri"/>
          <w:sz w:val="24"/>
        </w:rPr>
        <w:t>can</w:t>
      </w:r>
      <w:r w:rsidRPr="00150EDC">
        <w:rPr>
          <w:rFonts w:ascii="Calibri"/>
          <w:spacing w:val="-2"/>
          <w:sz w:val="24"/>
        </w:rPr>
        <w:t xml:space="preserve"> </w:t>
      </w:r>
      <w:r w:rsidRPr="00150EDC">
        <w:rPr>
          <w:rFonts w:ascii="Calibri"/>
          <w:sz w:val="24"/>
        </w:rPr>
        <w:t>extend</w:t>
      </w:r>
      <w:r w:rsidRPr="00150EDC">
        <w:rPr>
          <w:rFonts w:ascii="Calibri"/>
          <w:spacing w:val="-2"/>
          <w:sz w:val="24"/>
        </w:rPr>
        <w:t xml:space="preserve"> </w:t>
      </w:r>
      <w:r w:rsidRPr="00150EDC">
        <w:rPr>
          <w:rFonts w:ascii="Calibri"/>
          <w:sz w:val="24"/>
        </w:rPr>
        <w:t>the</w:t>
      </w:r>
      <w:r w:rsidRPr="00150EDC">
        <w:rPr>
          <w:rFonts w:ascii="Calibri"/>
          <w:spacing w:val="-5"/>
          <w:sz w:val="24"/>
        </w:rPr>
        <w:t xml:space="preserve"> </w:t>
      </w:r>
      <w:r w:rsidRPr="00150EDC">
        <w:rPr>
          <w:rFonts w:ascii="Calibri"/>
          <w:sz w:val="24"/>
        </w:rPr>
        <w:t>Contract</w:t>
      </w:r>
      <w:r w:rsidRPr="00150EDC">
        <w:rPr>
          <w:rFonts w:ascii="Calibri"/>
          <w:spacing w:val="-4"/>
          <w:sz w:val="24"/>
        </w:rPr>
        <w:t xml:space="preserve"> </w:t>
      </w:r>
      <w:r w:rsidRPr="00150EDC">
        <w:rPr>
          <w:rFonts w:ascii="Calibri"/>
          <w:sz w:val="24"/>
        </w:rPr>
        <w:t>for</w:t>
      </w:r>
      <w:r w:rsidRPr="00150EDC">
        <w:rPr>
          <w:rFonts w:ascii="Calibri"/>
          <w:spacing w:val="-2"/>
          <w:sz w:val="24"/>
        </w:rPr>
        <w:t xml:space="preserve"> </w:t>
      </w:r>
      <w:r w:rsidRPr="00150EDC">
        <w:rPr>
          <w:rFonts w:ascii="Calibri"/>
          <w:sz w:val="24"/>
        </w:rPr>
        <w:t>the</w:t>
      </w:r>
      <w:r w:rsidRPr="00150EDC">
        <w:rPr>
          <w:rFonts w:ascii="Calibri"/>
          <w:spacing w:val="-4"/>
          <w:sz w:val="24"/>
        </w:rPr>
        <w:t xml:space="preserve"> </w:t>
      </w:r>
      <w:r w:rsidRPr="00150EDC">
        <w:rPr>
          <w:rFonts w:ascii="Calibri"/>
          <w:sz w:val="24"/>
        </w:rPr>
        <w:t>Extension</w:t>
      </w:r>
      <w:r w:rsidRPr="00150EDC">
        <w:rPr>
          <w:rFonts w:ascii="Calibri"/>
          <w:spacing w:val="-3"/>
          <w:sz w:val="24"/>
        </w:rPr>
        <w:t xml:space="preserve"> </w:t>
      </w:r>
      <w:r w:rsidRPr="00150EDC">
        <w:rPr>
          <w:rFonts w:ascii="Calibri"/>
          <w:sz w:val="24"/>
        </w:rPr>
        <w:t>Period</w:t>
      </w:r>
      <w:r w:rsidRPr="00150EDC">
        <w:rPr>
          <w:rFonts w:ascii="Calibri"/>
          <w:spacing w:val="-4"/>
          <w:sz w:val="24"/>
        </w:rPr>
        <w:t xml:space="preserve"> </w:t>
      </w:r>
      <w:r w:rsidRPr="00150EDC">
        <w:rPr>
          <w:rFonts w:ascii="Calibri"/>
          <w:sz w:val="24"/>
        </w:rPr>
        <w:t>by</w:t>
      </w:r>
      <w:r w:rsidRPr="00150EDC">
        <w:rPr>
          <w:rFonts w:ascii="Calibri"/>
          <w:spacing w:val="-3"/>
          <w:sz w:val="24"/>
        </w:rPr>
        <w:t xml:space="preserve"> </w:t>
      </w:r>
      <w:r w:rsidRPr="00150EDC">
        <w:rPr>
          <w:rFonts w:ascii="Calibri"/>
          <w:sz w:val="24"/>
        </w:rPr>
        <w:t>giving</w:t>
      </w:r>
      <w:r w:rsidRPr="00150EDC">
        <w:rPr>
          <w:rFonts w:ascii="Calibri"/>
          <w:spacing w:val="-5"/>
          <w:sz w:val="24"/>
        </w:rPr>
        <w:t xml:space="preserve"> </w:t>
      </w:r>
      <w:r w:rsidRPr="00150EDC">
        <w:rPr>
          <w:rFonts w:ascii="Calibri"/>
          <w:sz w:val="24"/>
        </w:rPr>
        <w:t>the</w:t>
      </w:r>
      <w:r w:rsidRPr="00150EDC">
        <w:rPr>
          <w:rFonts w:ascii="Calibri"/>
          <w:spacing w:val="-5"/>
          <w:sz w:val="24"/>
        </w:rPr>
        <w:t xml:space="preserve"> </w:t>
      </w:r>
      <w:r w:rsidRPr="00150EDC">
        <w:rPr>
          <w:rFonts w:ascii="Calibri"/>
          <w:sz w:val="24"/>
        </w:rPr>
        <w:t>Supplier</w:t>
      </w:r>
      <w:r w:rsidRPr="00150EDC">
        <w:rPr>
          <w:rFonts w:ascii="Calibri"/>
          <w:spacing w:val="-4"/>
          <w:sz w:val="24"/>
        </w:rPr>
        <w:t xml:space="preserve"> </w:t>
      </w:r>
      <w:r w:rsidRPr="00150EDC">
        <w:rPr>
          <w:rFonts w:ascii="Calibri"/>
          <w:sz w:val="24"/>
        </w:rPr>
        <w:t>no less than 3 Months' written notice before the Contract expires.</w:t>
      </w:r>
    </w:p>
    <w:p w14:paraId="62EA60A8" w14:textId="77777777" w:rsidR="004C7180" w:rsidRPr="00150EDC" w:rsidRDefault="004C7180">
      <w:pPr>
        <w:pStyle w:val="BodyText"/>
        <w:spacing w:before="12"/>
        <w:rPr>
          <w:rFonts w:ascii="Calibri"/>
          <w:sz w:val="23"/>
        </w:rPr>
      </w:pPr>
    </w:p>
    <w:p w14:paraId="548B067D" w14:textId="77777777" w:rsidR="004C7180" w:rsidRPr="00150EDC" w:rsidRDefault="00CF0754" w:rsidP="00B320C7">
      <w:pPr>
        <w:pStyle w:val="ListParagraph"/>
        <w:numPr>
          <w:ilvl w:val="1"/>
          <w:numId w:val="182"/>
        </w:numPr>
        <w:tabs>
          <w:tab w:val="left" w:pos="1065"/>
        </w:tabs>
        <w:spacing w:line="341" w:lineRule="exact"/>
        <w:ind w:left="1065" w:hanging="565"/>
        <w:rPr>
          <w:rFonts w:ascii="Calibri"/>
          <w:b/>
          <w:sz w:val="28"/>
        </w:rPr>
      </w:pPr>
      <w:r w:rsidRPr="00150EDC">
        <w:rPr>
          <w:rFonts w:ascii="Calibri"/>
          <w:b/>
          <w:sz w:val="28"/>
        </w:rPr>
        <w:t>Ending</w:t>
      </w:r>
      <w:r w:rsidRPr="00150EDC">
        <w:rPr>
          <w:rFonts w:ascii="Calibri"/>
          <w:b/>
          <w:spacing w:val="-6"/>
          <w:sz w:val="28"/>
        </w:rPr>
        <w:t xml:space="preserve"> </w:t>
      </w:r>
      <w:r w:rsidRPr="00150EDC">
        <w:rPr>
          <w:rFonts w:ascii="Calibri"/>
          <w:b/>
          <w:sz w:val="28"/>
        </w:rPr>
        <w:t>the</w:t>
      </w:r>
      <w:r w:rsidRPr="00150EDC">
        <w:rPr>
          <w:rFonts w:ascii="Calibri"/>
          <w:b/>
          <w:spacing w:val="-3"/>
          <w:sz w:val="28"/>
        </w:rPr>
        <w:t xml:space="preserve"> </w:t>
      </w:r>
      <w:r w:rsidRPr="00150EDC">
        <w:rPr>
          <w:rFonts w:ascii="Calibri"/>
          <w:b/>
          <w:sz w:val="28"/>
        </w:rPr>
        <w:t>contract</w:t>
      </w:r>
      <w:r w:rsidRPr="00150EDC">
        <w:rPr>
          <w:rFonts w:ascii="Calibri"/>
          <w:b/>
          <w:spacing w:val="-4"/>
          <w:sz w:val="28"/>
        </w:rPr>
        <w:t xml:space="preserve"> </w:t>
      </w:r>
      <w:r w:rsidRPr="00150EDC">
        <w:rPr>
          <w:rFonts w:ascii="Calibri"/>
          <w:b/>
          <w:sz w:val="28"/>
        </w:rPr>
        <w:t>without</w:t>
      </w:r>
      <w:r w:rsidRPr="00150EDC">
        <w:rPr>
          <w:rFonts w:ascii="Calibri"/>
          <w:b/>
          <w:spacing w:val="-4"/>
          <w:sz w:val="28"/>
        </w:rPr>
        <w:t xml:space="preserve"> </w:t>
      </w:r>
      <w:r w:rsidRPr="00150EDC">
        <w:rPr>
          <w:rFonts w:ascii="Calibri"/>
          <w:b/>
          <w:sz w:val="28"/>
        </w:rPr>
        <w:t>a</w:t>
      </w:r>
      <w:r w:rsidRPr="00150EDC">
        <w:rPr>
          <w:rFonts w:ascii="Calibri"/>
          <w:b/>
          <w:spacing w:val="-3"/>
          <w:sz w:val="28"/>
        </w:rPr>
        <w:t xml:space="preserve"> </w:t>
      </w:r>
      <w:r w:rsidRPr="00150EDC">
        <w:rPr>
          <w:rFonts w:ascii="Calibri"/>
          <w:b/>
          <w:spacing w:val="-2"/>
          <w:sz w:val="28"/>
        </w:rPr>
        <w:t>reason</w:t>
      </w:r>
    </w:p>
    <w:p w14:paraId="7484D41B" w14:textId="77777777" w:rsidR="004C7180" w:rsidRPr="00150EDC" w:rsidRDefault="00CF0754" w:rsidP="00B320C7">
      <w:pPr>
        <w:pStyle w:val="ListParagraph"/>
        <w:numPr>
          <w:ilvl w:val="2"/>
          <w:numId w:val="182"/>
        </w:numPr>
        <w:tabs>
          <w:tab w:val="left" w:pos="1208"/>
        </w:tabs>
        <w:ind w:right="925" w:hanging="720"/>
        <w:rPr>
          <w:rFonts w:ascii="Calibri"/>
          <w:sz w:val="24"/>
        </w:rPr>
      </w:pPr>
      <w:r w:rsidRPr="00150EDC">
        <w:rPr>
          <w:rFonts w:ascii="Calibri"/>
          <w:sz w:val="24"/>
        </w:rPr>
        <w:t>CCS</w:t>
      </w:r>
      <w:r w:rsidRPr="00150EDC">
        <w:rPr>
          <w:rFonts w:ascii="Calibri"/>
          <w:spacing w:val="-2"/>
          <w:sz w:val="24"/>
        </w:rPr>
        <w:t xml:space="preserve"> </w:t>
      </w:r>
      <w:r w:rsidRPr="00150EDC">
        <w:rPr>
          <w:rFonts w:ascii="Calibri"/>
          <w:sz w:val="24"/>
        </w:rPr>
        <w:t>has</w:t>
      </w:r>
      <w:r w:rsidRPr="00150EDC">
        <w:rPr>
          <w:rFonts w:ascii="Calibri"/>
          <w:spacing w:val="-2"/>
          <w:sz w:val="24"/>
        </w:rPr>
        <w:t xml:space="preserve"> </w:t>
      </w:r>
      <w:r w:rsidRPr="00150EDC">
        <w:rPr>
          <w:rFonts w:ascii="Calibri"/>
          <w:sz w:val="24"/>
        </w:rPr>
        <w:t>the</w:t>
      </w:r>
      <w:r w:rsidRPr="00150EDC">
        <w:rPr>
          <w:rFonts w:ascii="Calibri"/>
          <w:spacing w:val="-1"/>
          <w:sz w:val="24"/>
        </w:rPr>
        <w:t xml:space="preserve"> </w:t>
      </w:r>
      <w:r w:rsidRPr="00150EDC">
        <w:rPr>
          <w:rFonts w:ascii="Calibri"/>
          <w:sz w:val="24"/>
        </w:rPr>
        <w:t>right</w:t>
      </w:r>
      <w:r w:rsidRPr="00150EDC">
        <w:rPr>
          <w:rFonts w:ascii="Calibri"/>
          <w:spacing w:val="-3"/>
          <w:sz w:val="24"/>
        </w:rPr>
        <w:t xml:space="preserve"> </w:t>
      </w:r>
      <w:r w:rsidRPr="00150EDC">
        <w:rPr>
          <w:rFonts w:ascii="Calibri"/>
          <w:sz w:val="24"/>
        </w:rPr>
        <w:t>to</w:t>
      </w:r>
      <w:r w:rsidRPr="00150EDC">
        <w:rPr>
          <w:rFonts w:ascii="Calibri"/>
          <w:spacing w:val="-4"/>
          <w:sz w:val="24"/>
        </w:rPr>
        <w:t xml:space="preserve"> </w:t>
      </w:r>
      <w:r w:rsidRPr="00150EDC">
        <w:rPr>
          <w:rFonts w:ascii="Calibri"/>
          <w:sz w:val="24"/>
        </w:rPr>
        <w:t>terminate</w:t>
      </w:r>
      <w:r w:rsidRPr="00150EDC">
        <w:rPr>
          <w:rFonts w:ascii="Calibri"/>
          <w:spacing w:val="-4"/>
          <w:sz w:val="24"/>
        </w:rPr>
        <w:t xml:space="preserve"> </w:t>
      </w:r>
      <w:r w:rsidRPr="00150EDC">
        <w:rPr>
          <w:rFonts w:ascii="Calibri"/>
          <w:sz w:val="24"/>
        </w:rPr>
        <w:t>the</w:t>
      </w:r>
      <w:r w:rsidRPr="00150EDC">
        <w:rPr>
          <w:rFonts w:ascii="Calibri"/>
          <w:spacing w:val="-3"/>
          <w:sz w:val="24"/>
        </w:rPr>
        <w:t xml:space="preserve"> </w:t>
      </w:r>
      <w:r w:rsidRPr="00150EDC">
        <w:rPr>
          <w:rFonts w:ascii="Calibri"/>
          <w:sz w:val="24"/>
        </w:rPr>
        <w:t>DPS</w:t>
      </w:r>
      <w:r w:rsidRPr="00150EDC">
        <w:rPr>
          <w:rFonts w:ascii="Calibri"/>
          <w:spacing w:val="-3"/>
          <w:sz w:val="24"/>
        </w:rPr>
        <w:t xml:space="preserve"> </w:t>
      </w:r>
      <w:r w:rsidRPr="00150EDC">
        <w:rPr>
          <w:rFonts w:ascii="Calibri"/>
          <w:sz w:val="24"/>
        </w:rPr>
        <w:t>Contract</w:t>
      </w:r>
      <w:r w:rsidRPr="00150EDC">
        <w:rPr>
          <w:rFonts w:ascii="Calibri"/>
          <w:spacing w:val="-1"/>
          <w:sz w:val="24"/>
        </w:rPr>
        <w:t xml:space="preserve"> </w:t>
      </w:r>
      <w:r w:rsidRPr="00150EDC">
        <w:rPr>
          <w:rFonts w:ascii="Calibri"/>
          <w:sz w:val="24"/>
        </w:rPr>
        <w:t>at</w:t>
      </w:r>
      <w:r w:rsidRPr="00150EDC">
        <w:rPr>
          <w:rFonts w:ascii="Calibri"/>
          <w:spacing w:val="-1"/>
          <w:sz w:val="24"/>
        </w:rPr>
        <w:t xml:space="preserve"> </w:t>
      </w:r>
      <w:r w:rsidRPr="00150EDC">
        <w:rPr>
          <w:rFonts w:ascii="Calibri"/>
          <w:sz w:val="24"/>
        </w:rPr>
        <w:t>any</w:t>
      </w:r>
      <w:r w:rsidRPr="00150EDC">
        <w:rPr>
          <w:rFonts w:ascii="Calibri"/>
          <w:spacing w:val="-5"/>
          <w:sz w:val="24"/>
        </w:rPr>
        <w:t xml:space="preserve"> </w:t>
      </w:r>
      <w:r w:rsidRPr="00150EDC">
        <w:rPr>
          <w:rFonts w:ascii="Calibri"/>
          <w:sz w:val="24"/>
        </w:rPr>
        <w:t>time</w:t>
      </w:r>
      <w:r w:rsidRPr="00150EDC">
        <w:rPr>
          <w:rFonts w:ascii="Calibri"/>
          <w:spacing w:val="-3"/>
          <w:sz w:val="24"/>
        </w:rPr>
        <w:t xml:space="preserve"> </w:t>
      </w:r>
      <w:r w:rsidRPr="00150EDC">
        <w:rPr>
          <w:rFonts w:ascii="Calibri"/>
          <w:sz w:val="24"/>
        </w:rPr>
        <w:t>without</w:t>
      </w:r>
      <w:r w:rsidRPr="00150EDC">
        <w:rPr>
          <w:rFonts w:ascii="Calibri"/>
          <w:spacing w:val="-1"/>
          <w:sz w:val="24"/>
        </w:rPr>
        <w:t xml:space="preserve"> </w:t>
      </w:r>
      <w:r w:rsidRPr="00150EDC">
        <w:rPr>
          <w:rFonts w:ascii="Calibri"/>
          <w:sz w:val="24"/>
        </w:rPr>
        <w:t>reason</w:t>
      </w:r>
      <w:r w:rsidRPr="00150EDC">
        <w:rPr>
          <w:rFonts w:ascii="Calibri"/>
          <w:spacing w:val="-1"/>
          <w:sz w:val="24"/>
        </w:rPr>
        <w:t xml:space="preserve"> </w:t>
      </w:r>
      <w:r w:rsidRPr="00150EDC">
        <w:rPr>
          <w:rFonts w:ascii="Calibri"/>
          <w:sz w:val="24"/>
        </w:rPr>
        <w:t>by</w:t>
      </w:r>
      <w:r w:rsidRPr="00150EDC">
        <w:rPr>
          <w:rFonts w:ascii="Calibri"/>
          <w:spacing w:val="-2"/>
          <w:sz w:val="24"/>
        </w:rPr>
        <w:t xml:space="preserve"> </w:t>
      </w:r>
      <w:r w:rsidRPr="00150EDC">
        <w:rPr>
          <w:rFonts w:ascii="Calibri"/>
          <w:sz w:val="24"/>
        </w:rPr>
        <w:t>giving</w:t>
      </w:r>
      <w:r w:rsidRPr="00150EDC">
        <w:rPr>
          <w:rFonts w:ascii="Calibri"/>
          <w:spacing w:val="-4"/>
          <w:sz w:val="24"/>
        </w:rPr>
        <w:t xml:space="preserve"> </w:t>
      </w:r>
      <w:r w:rsidRPr="00150EDC">
        <w:rPr>
          <w:rFonts w:ascii="Calibri"/>
          <w:sz w:val="24"/>
        </w:rPr>
        <w:t>the</w:t>
      </w:r>
      <w:r w:rsidRPr="00150EDC">
        <w:rPr>
          <w:rFonts w:ascii="Calibri"/>
          <w:spacing w:val="-4"/>
          <w:sz w:val="24"/>
        </w:rPr>
        <w:t xml:space="preserve"> </w:t>
      </w:r>
      <w:r w:rsidRPr="00150EDC">
        <w:rPr>
          <w:rFonts w:ascii="Calibri"/>
          <w:sz w:val="24"/>
        </w:rPr>
        <w:t>Supplier</w:t>
      </w:r>
      <w:r w:rsidRPr="00150EDC">
        <w:rPr>
          <w:rFonts w:ascii="Calibri"/>
          <w:spacing w:val="-1"/>
          <w:sz w:val="24"/>
        </w:rPr>
        <w:t xml:space="preserve"> </w:t>
      </w:r>
      <w:r w:rsidRPr="00150EDC">
        <w:rPr>
          <w:rFonts w:ascii="Calibri"/>
          <w:sz w:val="24"/>
        </w:rPr>
        <w:t>at least 30 days' notice.</w:t>
      </w:r>
    </w:p>
    <w:p w14:paraId="26CA02D3" w14:textId="77777777" w:rsidR="004C7180" w:rsidRPr="00150EDC" w:rsidRDefault="004C7180">
      <w:pPr>
        <w:pStyle w:val="BodyText"/>
        <w:spacing w:before="1"/>
        <w:rPr>
          <w:rFonts w:ascii="Calibri"/>
        </w:rPr>
      </w:pPr>
    </w:p>
    <w:p w14:paraId="2EDB2B99" w14:textId="77777777" w:rsidR="004C7180" w:rsidRPr="00150EDC" w:rsidRDefault="00CF0754" w:rsidP="00B320C7">
      <w:pPr>
        <w:pStyle w:val="ListParagraph"/>
        <w:numPr>
          <w:ilvl w:val="2"/>
          <w:numId w:val="182"/>
        </w:numPr>
        <w:tabs>
          <w:tab w:val="left" w:pos="1208"/>
        </w:tabs>
        <w:ind w:right="983" w:hanging="720"/>
        <w:rPr>
          <w:rFonts w:ascii="Calibri"/>
          <w:sz w:val="24"/>
        </w:rPr>
      </w:pPr>
      <w:r w:rsidRPr="00150EDC">
        <w:rPr>
          <w:rFonts w:ascii="Calibri"/>
          <w:sz w:val="24"/>
        </w:rPr>
        <w:t>Each</w:t>
      </w:r>
      <w:r w:rsidRPr="00150EDC">
        <w:rPr>
          <w:rFonts w:ascii="Calibri"/>
          <w:spacing w:val="-1"/>
          <w:sz w:val="24"/>
        </w:rPr>
        <w:t xml:space="preserve"> </w:t>
      </w:r>
      <w:r w:rsidRPr="00150EDC">
        <w:rPr>
          <w:rFonts w:ascii="Calibri"/>
          <w:sz w:val="24"/>
        </w:rPr>
        <w:t>Buyer</w:t>
      </w:r>
      <w:r w:rsidRPr="00150EDC">
        <w:rPr>
          <w:rFonts w:ascii="Calibri"/>
          <w:spacing w:val="-4"/>
          <w:sz w:val="24"/>
        </w:rPr>
        <w:t xml:space="preserve"> </w:t>
      </w:r>
      <w:r w:rsidRPr="00150EDC">
        <w:rPr>
          <w:rFonts w:ascii="Calibri"/>
          <w:sz w:val="24"/>
        </w:rPr>
        <w:t>has</w:t>
      </w:r>
      <w:r w:rsidRPr="00150EDC">
        <w:rPr>
          <w:rFonts w:ascii="Calibri"/>
          <w:spacing w:val="-4"/>
          <w:sz w:val="24"/>
        </w:rPr>
        <w:t xml:space="preserve"> </w:t>
      </w:r>
      <w:r w:rsidRPr="00150EDC">
        <w:rPr>
          <w:rFonts w:ascii="Calibri"/>
          <w:sz w:val="24"/>
        </w:rPr>
        <w:t>the</w:t>
      </w:r>
      <w:r w:rsidRPr="00150EDC">
        <w:rPr>
          <w:rFonts w:ascii="Calibri"/>
          <w:spacing w:val="-4"/>
          <w:sz w:val="24"/>
        </w:rPr>
        <w:t xml:space="preserve"> </w:t>
      </w:r>
      <w:r w:rsidRPr="00150EDC">
        <w:rPr>
          <w:rFonts w:ascii="Calibri"/>
          <w:sz w:val="24"/>
        </w:rPr>
        <w:t>right</w:t>
      </w:r>
      <w:r w:rsidRPr="00150EDC">
        <w:rPr>
          <w:rFonts w:ascii="Calibri"/>
          <w:spacing w:val="-3"/>
          <w:sz w:val="24"/>
        </w:rPr>
        <w:t xml:space="preserve"> </w:t>
      </w:r>
      <w:r w:rsidRPr="00150EDC">
        <w:rPr>
          <w:rFonts w:ascii="Calibri"/>
          <w:sz w:val="24"/>
        </w:rPr>
        <w:t>to terminate</w:t>
      </w:r>
      <w:r w:rsidRPr="00150EDC">
        <w:rPr>
          <w:rFonts w:ascii="Calibri"/>
          <w:spacing w:val="-4"/>
          <w:sz w:val="24"/>
        </w:rPr>
        <w:t xml:space="preserve"> </w:t>
      </w:r>
      <w:r w:rsidRPr="00150EDC">
        <w:rPr>
          <w:rFonts w:ascii="Calibri"/>
          <w:sz w:val="24"/>
        </w:rPr>
        <w:t>their</w:t>
      </w:r>
      <w:r w:rsidRPr="00150EDC">
        <w:rPr>
          <w:rFonts w:ascii="Calibri"/>
          <w:spacing w:val="-3"/>
          <w:sz w:val="24"/>
        </w:rPr>
        <w:t xml:space="preserve"> </w:t>
      </w:r>
      <w:r w:rsidRPr="00150EDC">
        <w:rPr>
          <w:rFonts w:ascii="Calibri"/>
          <w:sz w:val="24"/>
        </w:rPr>
        <w:t>Order</w:t>
      </w:r>
      <w:r w:rsidRPr="00150EDC">
        <w:rPr>
          <w:rFonts w:ascii="Calibri"/>
          <w:spacing w:val="-6"/>
          <w:sz w:val="24"/>
        </w:rPr>
        <w:t xml:space="preserve"> </w:t>
      </w:r>
      <w:r w:rsidRPr="00150EDC">
        <w:rPr>
          <w:rFonts w:ascii="Calibri"/>
          <w:sz w:val="24"/>
        </w:rPr>
        <w:t>Contract</w:t>
      </w:r>
      <w:r w:rsidRPr="00150EDC">
        <w:rPr>
          <w:rFonts w:ascii="Calibri"/>
          <w:spacing w:val="-3"/>
          <w:sz w:val="24"/>
        </w:rPr>
        <w:t xml:space="preserve"> </w:t>
      </w:r>
      <w:r w:rsidRPr="00150EDC">
        <w:rPr>
          <w:rFonts w:ascii="Calibri"/>
          <w:sz w:val="24"/>
        </w:rPr>
        <w:t>at</w:t>
      </w:r>
      <w:r w:rsidRPr="00150EDC">
        <w:rPr>
          <w:rFonts w:ascii="Calibri"/>
          <w:spacing w:val="-3"/>
          <w:sz w:val="24"/>
        </w:rPr>
        <w:t xml:space="preserve"> </w:t>
      </w:r>
      <w:r w:rsidRPr="00150EDC">
        <w:rPr>
          <w:rFonts w:ascii="Calibri"/>
          <w:sz w:val="24"/>
        </w:rPr>
        <w:t>any</w:t>
      </w:r>
      <w:r w:rsidRPr="00150EDC">
        <w:rPr>
          <w:rFonts w:ascii="Calibri"/>
          <w:spacing w:val="-5"/>
          <w:sz w:val="24"/>
        </w:rPr>
        <w:t xml:space="preserve"> </w:t>
      </w:r>
      <w:r w:rsidRPr="00150EDC">
        <w:rPr>
          <w:rFonts w:ascii="Calibri"/>
          <w:sz w:val="24"/>
        </w:rPr>
        <w:t>time</w:t>
      </w:r>
      <w:r w:rsidRPr="00150EDC">
        <w:rPr>
          <w:rFonts w:ascii="Calibri"/>
          <w:spacing w:val="-3"/>
          <w:sz w:val="24"/>
        </w:rPr>
        <w:t xml:space="preserve"> </w:t>
      </w:r>
      <w:r w:rsidRPr="00150EDC">
        <w:rPr>
          <w:rFonts w:ascii="Calibri"/>
          <w:sz w:val="24"/>
        </w:rPr>
        <w:t>without</w:t>
      </w:r>
      <w:r w:rsidRPr="00150EDC">
        <w:rPr>
          <w:rFonts w:ascii="Calibri"/>
          <w:spacing w:val="-1"/>
          <w:sz w:val="24"/>
        </w:rPr>
        <w:t xml:space="preserve"> </w:t>
      </w:r>
      <w:r w:rsidRPr="00150EDC">
        <w:rPr>
          <w:rFonts w:ascii="Calibri"/>
          <w:sz w:val="24"/>
        </w:rPr>
        <w:t>reason</w:t>
      </w:r>
      <w:r w:rsidRPr="00150EDC">
        <w:rPr>
          <w:rFonts w:ascii="Calibri"/>
          <w:spacing w:val="-3"/>
          <w:sz w:val="24"/>
        </w:rPr>
        <w:t xml:space="preserve"> </w:t>
      </w:r>
      <w:r w:rsidRPr="00150EDC">
        <w:rPr>
          <w:rFonts w:ascii="Calibri"/>
          <w:sz w:val="24"/>
        </w:rPr>
        <w:t>by</w:t>
      </w:r>
      <w:r w:rsidRPr="00150EDC">
        <w:rPr>
          <w:rFonts w:ascii="Calibri"/>
          <w:spacing w:val="-2"/>
          <w:sz w:val="24"/>
        </w:rPr>
        <w:t xml:space="preserve"> </w:t>
      </w:r>
      <w:r w:rsidRPr="00150EDC">
        <w:rPr>
          <w:rFonts w:ascii="Calibri"/>
          <w:sz w:val="24"/>
        </w:rPr>
        <w:t>giving</w:t>
      </w:r>
      <w:r w:rsidRPr="00150EDC">
        <w:rPr>
          <w:rFonts w:ascii="Calibri"/>
          <w:spacing w:val="-4"/>
          <w:sz w:val="24"/>
        </w:rPr>
        <w:t xml:space="preserve"> </w:t>
      </w:r>
      <w:r w:rsidRPr="00150EDC">
        <w:rPr>
          <w:rFonts w:ascii="Calibri"/>
          <w:sz w:val="24"/>
        </w:rPr>
        <w:t>the Supplier not less than 90 days' written notice.</w:t>
      </w:r>
    </w:p>
    <w:p w14:paraId="29246958" w14:textId="77777777" w:rsidR="004C7180" w:rsidRPr="00150EDC" w:rsidRDefault="004C7180">
      <w:pPr>
        <w:pStyle w:val="BodyText"/>
        <w:rPr>
          <w:rFonts w:ascii="Calibri"/>
        </w:rPr>
      </w:pPr>
    </w:p>
    <w:p w14:paraId="74EA29DC" w14:textId="77777777" w:rsidR="004C7180" w:rsidRPr="00150EDC" w:rsidRDefault="00CF0754" w:rsidP="00B320C7">
      <w:pPr>
        <w:pStyle w:val="ListParagraph"/>
        <w:numPr>
          <w:ilvl w:val="1"/>
          <w:numId w:val="182"/>
        </w:numPr>
        <w:tabs>
          <w:tab w:val="left" w:pos="1065"/>
        </w:tabs>
        <w:spacing w:line="341" w:lineRule="exact"/>
        <w:ind w:left="1065" w:hanging="565"/>
        <w:rPr>
          <w:rFonts w:ascii="Calibri"/>
          <w:b/>
          <w:sz w:val="28"/>
        </w:rPr>
      </w:pPr>
      <w:r w:rsidRPr="00150EDC">
        <w:rPr>
          <w:rFonts w:ascii="Calibri"/>
          <w:b/>
          <w:sz w:val="28"/>
        </w:rPr>
        <w:t>Rectification</w:t>
      </w:r>
      <w:r w:rsidRPr="00150EDC">
        <w:rPr>
          <w:rFonts w:ascii="Calibri"/>
          <w:b/>
          <w:spacing w:val="-6"/>
          <w:sz w:val="28"/>
        </w:rPr>
        <w:t xml:space="preserve"> </w:t>
      </w:r>
      <w:r w:rsidRPr="00150EDC">
        <w:rPr>
          <w:rFonts w:ascii="Calibri"/>
          <w:b/>
          <w:sz w:val="28"/>
        </w:rPr>
        <w:t>plan</w:t>
      </w:r>
      <w:r w:rsidRPr="00150EDC">
        <w:rPr>
          <w:rFonts w:ascii="Calibri"/>
          <w:b/>
          <w:spacing w:val="-5"/>
          <w:sz w:val="28"/>
        </w:rPr>
        <w:t xml:space="preserve"> </w:t>
      </w:r>
      <w:r w:rsidRPr="00150EDC">
        <w:rPr>
          <w:rFonts w:ascii="Calibri"/>
          <w:b/>
          <w:spacing w:val="-2"/>
          <w:sz w:val="28"/>
        </w:rPr>
        <w:t>process</w:t>
      </w:r>
    </w:p>
    <w:p w14:paraId="5654D568" w14:textId="77777777" w:rsidR="004C7180" w:rsidRPr="00150EDC" w:rsidRDefault="00CF0754" w:rsidP="00B320C7">
      <w:pPr>
        <w:pStyle w:val="ListParagraph"/>
        <w:numPr>
          <w:ilvl w:val="2"/>
          <w:numId w:val="182"/>
        </w:numPr>
        <w:tabs>
          <w:tab w:val="left" w:pos="1208"/>
        </w:tabs>
        <w:ind w:right="1159" w:hanging="720"/>
        <w:rPr>
          <w:rFonts w:ascii="Calibri"/>
          <w:sz w:val="24"/>
        </w:rPr>
      </w:pPr>
      <w:r w:rsidRPr="00150EDC">
        <w:rPr>
          <w:rFonts w:ascii="Calibri"/>
          <w:sz w:val="24"/>
        </w:rPr>
        <w:t>If</w:t>
      </w:r>
      <w:r w:rsidRPr="00150EDC">
        <w:rPr>
          <w:rFonts w:ascii="Calibri"/>
          <w:spacing w:val="-1"/>
          <w:sz w:val="24"/>
        </w:rPr>
        <w:t xml:space="preserve"> </w:t>
      </w:r>
      <w:r w:rsidRPr="00150EDC">
        <w:rPr>
          <w:rFonts w:ascii="Calibri"/>
          <w:sz w:val="24"/>
        </w:rPr>
        <w:t>there</w:t>
      </w:r>
      <w:r w:rsidRPr="00150EDC">
        <w:rPr>
          <w:rFonts w:ascii="Calibri"/>
          <w:spacing w:val="-4"/>
          <w:sz w:val="24"/>
        </w:rPr>
        <w:t xml:space="preserve"> </w:t>
      </w:r>
      <w:r w:rsidRPr="00150EDC">
        <w:rPr>
          <w:rFonts w:ascii="Calibri"/>
          <w:sz w:val="24"/>
        </w:rPr>
        <w:t>is</w:t>
      </w:r>
      <w:r w:rsidRPr="00150EDC">
        <w:rPr>
          <w:rFonts w:ascii="Calibri"/>
          <w:spacing w:val="-2"/>
          <w:sz w:val="24"/>
        </w:rPr>
        <w:t xml:space="preserve"> </w:t>
      </w:r>
      <w:r w:rsidRPr="00150EDC">
        <w:rPr>
          <w:rFonts w:ascii="Calibri"/>
          <w:sz w:val="24"/>
        </w:rPr>
        <w:t>a</w:t>
      </w:r>
      <w:r w:rsidRPr="00150EDC">
        <w:rPr>
          <w:rFonts w:ascii="Calibri"/>
          <w:spacing w:val="-4"/>
          <w:sz w:val="24"/>
        </w:rPr>
        <w:t xml:space="preserve"> </w:t>
      </w:r>
      <w:r w:rsidRPr="00150EDC">
        <w:rPr>
          <w:rFonts w:ascii="Calibri"/>
          <w:sz w:val="24"/>
        </w:rPr>
        <w:t>Default,</w:t>
      </w:r>
      <w:r w:rsidRPr="00150EDC">
        <w:rPr>
          <w:rFonts w:ascii="Calibri"/>
          <w:spacing w:val="-4"/>
          <w:sz w:val="24"/>
        </w:rPr>
        <w:t xml:space="preserve"> </w:t>
      </w:r>
      <w:r w:rsidRPr="00150EDC">
        <w:rPr>
          <w:rFonts w:ascii="Calibri"/>
          <w:sz w:val="24"/>
        </w:rPr>
        <w:t>the</w:t>
      </w:r>
      <w:r w:rsidRPr="00150EDC">
        <w:rPr>
          <w:rFonts w:ascii="Calibri"/>
          <w:spacing w:val="-6"/>
          <w:sz w:val="24"/>
        </w:rPr>
        <w:t xml:space="preserve"> </w:t>
      </w:r>
      <w:r w:rsidRPr="00150EDC">
        <w:rPr>
          <w:rFonts w:ascii="Calibri"/>
          <w:sz w:val="24"/>
        </w:rPr>
        <w:t>Relevant</w:t>
      </w:r>
      <w:r w:rsidRPr="00150EDC">
        <w:rPr>
          <w:rFonts w:ascii="Calibri"/>
          <w:spacing w:val="-3"/>
          <w:sz w:val="24"/>
        </w:rPr>
        <w:t xml:space="preserve"> </w:t>
      </w:r>
      <w:r w:rsidRPr="00150EDC">
        <w:rPr>
          <w:rFonts w:ascii="Calibri"/>
          <w:sz w:val="24"/>
        </w:rPr>
        <w:t>Authority</w:t>
      </w:r>
      <w:r w:rsidRPr="00150EDC">
        <w:rPr>
          <w:rFonts w:ascii="Calibri"/>
          <w:spacing w:val="-2"/>
          <w:sz w:val="24"/>
        </w:rPr>
        <w:t xml:space="preserve"> </w:t>
      </w:r>
      <w:r w:rsidRPr="00150EDC">
        <w:rPr>
          <w:rFonts w:ascii="Calibri"/>
          <w:sz w:val="24"/>
        </w:rPr>
        <w:t>may,</w:t>
      </w:r>
      <w:r w:rsidRPr="00150EDC">
        <w:rPr>
          <w:rFonts w:ascii="Calibri"/>
          <w:spacing w:val="-5"/>
          <w:sz w:val="24"/>
        </w:rPr>
        <w:t xml:space="preserve"> </w:t>
      </w:r>
      <w:r w:rsidRPr="00150EDC">
        <w:rPr>
          <w:rFonts w:ascii="Calibri"/>
          <w:sz w:val="24"/>
        </w:rPr>
        <w:t>without</w:t>
      </w:r>
      <w:r w:rsidRPr="00150EDC">
        <w:rPr>
          <w:rFonts w:ascii="Calibri"/>
          <w:spacing w:val="-1"/>
          <w:sz w:val="24"/>
        </w:rPr>
        <w:t xml:space="preserve"> </w:t>
      </w:r>
      <w:r w:rsidRPr="00150EDC">
        <w:rPr>
          <w:rFonts w:ascii="Calibri"/>
          <w:sz w:val="24"/>
        </w:rPr>
        <w:t>limiting</w:t>
      </w:r>
      <w:r w:rsidRPr="00150EDC">
        <w:rPr>
          <w:rFonts w:ascii="Calibri"/>
          <w:spacing w:val="-4"/>
          <w:sz w:val="24"/>
        </w:rPr>
        <w:t xml:space="preserve"> </w:t>
      </w:r>
      <w:r w:rsidRPr="00150EDC">
        <w:rPr>
          <w:rFonts w:ascii="Calibri"/>
          <w:sz w:val="24"/>
        </w:rPr>
        <w:t>its</w:t>
      </w:r>
      <w:r w:rsidRPr="00150EDC">
        <w:rPr>
          <w:rFonts w:ascii="Calibri"/>
          <w:spacing w:val="-4"/>
          <w:sz w:val="24"/>
        </w:rPr>
        <w:t xml:space="preserve"> </w:t>
      </w:r>
      <w:r w:rsidRPr="00150EDC">
        <w:rPr>
          <w:rFonts w:ascii="Calibri"/>
          <w:sz w:val="24"/>
        </w:rPr>
        <w:t>other</w:t>
      </w:r>
      <w:r w:rsidRPr="00150EDC">
        <w:rPr>
          <w:rFonts w:ascii="Calibri"/>
          <w:spacing w:val="-3"/>
          <w:sz w:val="24"/>
        </w:rPr>
        <w:t xml:space="preserve"> </w:t>
      </w:r>
      <w:r w:rsidRPr="00150EDC">
        <w:rPr>
          <w:rFonts w:ascii="Calibri"/>
          <w:sz w:val="24"/>
        </w:rPr>
        <w:t>rights,</w:t>
      </w:r>
      <w:r w:rsidRPr="00150EDC">
        <w:rPr>
          <w:rFonts w:ascii="Calibri"/>
          <w:spacing w:val="-4"/>
          <w:sz w:val="24"/>
        </w:rPr>
        <w:t xml:space="preserve"> </w:t>
      </w:r>
      <w:r w:rsidRPr="00150EDC">
        <w:rPr>
          <w:rFonts w:ascii="Calibri"/>
          <w:sz w:val="24"/>
        </w:rPr>
        <w:t>request</w:t>
      </w:r>
      <w:r w:rsidRPr="00150EDC">
        <w:rPr>
          <w:rFonts w:ascii="Calibri"/>
          <w:spacing w:val="-3"/>
          <w:sz w:val="24"/>
        </w:rPr>
        <w:t xml:space="preserve"> </w:t>
      </w:r>
      <w:r w:rsidRPr="00150EDC">
        <w:rPr>
          <w:rFonts w:ascii="Calibri"/>
          <w:sz w:val="24"/>
        </w:rPr>
        <w:t>that</w:t>
      </w:r>
      <w:r w:rsidRPr="00150EDC">
        <w:rPr>
          <w:rFonts w:ascii="Calibri"/>
          <w:spacing w:val="-3"/>
          <w:sz w:val="24"/>
        </w:rPr>
        <w:t xml:space="preserve"> </w:t>
      </w:r>
      <w:r w:rsidRPr="00150EDC">
        <w:rPr>
          <w:rFonts w:ascii="Calibri"/>
          <w:sz w:val="24"/>
        </w:rPr>
        <w:t>the Supplier provide a Rectification Plan.</w:t>
      </w:r>
    </w:p>
    <w:p w14:paraId="0F8BD39F" w14:textId="77777777" w:rsidR="004C7180" w:rsidRPr="00150EDC" w:rsidRDefault="004C7180">
      <w:pPr>
        <w:pStyle w:val="BodyText"/>
        <w:spacing w:before="11"/>
        <w:rPr>
          <w:rFonts w:ascii="Calibri"/>
          <w:sz w:val="23"/>
        </w:rPr>
      </w:pPr>
    </w:p>
    <w:p w14:paraId="02423044" w14:textId="77777777" w:rsidR="004C7180" w:rsidRPr="00150EDC" w:rsidRDefault="00CF0754" w:rsidP="00B320C7">
      <w:pPr>
        <w:pStyle w:val="ListParagraph"/>
        <w:numPr>
          <w:ilvl w:val="2"/>
          <w:numId w:val="182"/>
        </w:numPr>
        <w:tabs>
          <w:tab w:val="left" w:pos="1207"/>
        </w:tabs>
        <w:ind w:left="1207" w:hanging="719"/>
        <w:rPr>
          <w:rFonts w:ascii="Calibri"/>
          <w:sz w:val="24"/>
        </w:rPr>
      </w:pPr>
      <w:r w:rsidRPr="00150EDC">
        <w:rPr>
          <w:rFonts w:ascii="Calibri"/>
          <w:sz w:val="24"/>
        </w:rPr>
        <w:t>When</w:t>
      </w:r>
      <w:r w:rsidRPr="00150EDC">
        <w:rPr>
          <w:rFonts w:ascii="Calibri"/>
          <w:spacing w:val="-7"/>
          <w:sz w:val="24"/>
        </w:rPr>
        <w:t xml:space="preserve"> </w:t>
      </w:r>
      <w:r w:rsidRPr="00150EDC">
        <w:rPr>
          <w:rFonts w:ascii="Calibri"/>
          <w:sz w:val="24"/>
        </w:rPr>
        <w:t>the</w:t>
      </w:r>
      <w:r w:rsidRPr="00150EDC">
        <w:rPr>
          <w:rFonts w:ascii="Calibri"/>
          <w:spacing w:val="-3"/>
          <w:sz w:val="24"/>
        </w:rPr>
        <w:t xml:space="preserve"> </w:t>
      </w:r>
      <w:r w:rsidRPr="00150EDC">
        <w:rPr>
          <w:rFonts w:ascii="Calibri"/>
          <w:sz w:val="24"/>
        </w:rPr>
        <w:t>Relevant</w:t>
      </w:r>
      <w:r w:rsidRPr="00150EDC">
        <w:rPr>
          <w:rFonts w:ascii="Calibri"/>
          <w:spacing w:val="-4"/>
          <w:sz w:val="24"/>
        </w:rPr>
        <w:t xml:space="preserve"> </w:t>
      </w:r>
      <w:r w:rsidRPr="00150EDC">
        <w:rPr>
          <w:rFonts w:ascii="Calibri"/>
          <w:sz w:val="24"/>
        </w:rPr>
        <w:t>Authority</w:t>
      </w:r>
      <w:r w:rsidRPr="00150EDC">
        <w:rPr>
          <w:rFonts w:ascii="Calibri"/>
          <w:spacing w:val="-4"/>
          <w:sz w:val="24"/>
        </w:rPr>
        <w:t xml:space="preserve"> </w:t>
      </w:r>
      <w:r w:rsidRPr="00150EDC">
        <w:rPr>
          <w:rFonts w:ascii="Calibri"/>
          <w:sz w:val="24"/>
        </w:rPr>
        <w:t>receives</w:t>
      </w:r>
      <w:r w:rsidRPr="00150EDC">
        <w:rPr>
          <w:rFonts w:ascii="Calibri"/>
          <w:spacing w:val="-3"/>
          <w:sz w:val="24"/>
        </w:rPr>
        <w:t xml:space="preserve"> </w:t>
      </w:r>
      <w:r w:rsidRPr="00150EDC">
        <w:rPr>
          <w:rFonts w:ascii="Calibri"/>
          <w:sz w:val="24"/>
        </w:rPr>
        <w:t>a</w:t>
      </w:r>
      <w:r w:rsidRPr="00150EDC">
        <w:rPr>
          <w:rFonts w:ascii="Calibri"/>
          <w:spacing w:val="-4"/>
          <w:sz w:val="24"/>
        </w:rPr>
        <w:t xml:space="preserve"> </w:t>
      </w:r>
      <w:r w:rsidRPr="00150EDC">
        <w:rPr>
          <w:rFonts w:ascii="Calibri"/>
          <w:sz w:val="24"/>
        </w:rPr>
        <w:t>requested</w:t>
      </w:r>
      <w:r w:rsidRPr="00150EDC">
        <w:rPr>
          <w:rFonts w:ascii="Calibri"/>
          <w:spacing w:val="-3"/>
          <w:sz w:val="24"/>
        </w:rPr>
        <w:t xml:space="preserve"> </w:t>
      </w:r>
      <w:r w:rsidRPr="00150EDC">
        <w:rPr>
          <w:rFonts w:ascii="Calibri"/>
          <w:sz w:val="24"/>
        </w:rPr>
        <w:t>Rectification</w:t>
      </w:r>
      <w:r w:rsidRPr="00150EDC">
        <w:rPr>
          <w:rFonts w:ascii="Calibri"/>
          <w:spacing w:val="-2"/>
          <w:sz w:val="24"/>
        </w:rPr>
        <w:t xml:space="preserve"> </w:t>
      </w:r>
      <w:r w:rsidRPr="00150EDC">
        <w:rPr>
          <w:rFonts w:ascii="Calibri"/>
          <w:sz w:val="24"/>
        </w:rPr>
        <w:t>Plan</w:t>
      </w:r>
      <w:r w:rsidRPr="00150EDC">
        <w:rPr>
          <w:rFonts w:ascii="Calibri"/>
          <w:spacing w:val="-3"/>
          <w:sz w:val="24"/>
        </w:rPr>
        <w:t xml:space="preserve"> </w:t>
      </w:r>
      <w:r w:rsidRPr="00150EDC">
        <w:rPr>
          <w:rFonts w:ascii="Calibri"/>
          <w:sz w:val="24"/>
        </w:rPr>
        <w:t>it</w:t>
      </w:r>
      <w:r w:rsidRPr="00150EDC">
        <w:rPr>
          <w:rFonts w:ascii="Calibri"/>
          <w:spacing w:val="-3"/>
          <w:sz w:val="24"/>
        </w:rPr>
        <w:t xml:space="preserve"> </w:t>
      </w:r>
      <w:r w:rsidRPr="00150EDC">
        <w:rPr>
          <w:rFonts w:ascii="Calibri"/>
          <w:sz w:val="24"/>
        </w:rPr>
        <w:t>can</w:t>
      </w:r>
      <w:r w:rsidRPr="00150EDC">
        <w:rPr>
          <w:rFonts w:ascii="Calibri"/>
          <w:spacing w:val="-2"/>
          <w:sz w:val="24"/>
        </w:rPr>
        <w:t xml:space="preserve"> either:</w:t>
      </w:r>
    </w:p>
    <w:p w14:paraId="40424857" w14:textId="77777777" w:rsidR="004C7180" w:rsidRPr="00150EDC" w:rsidRDefault="004C7180">
      <w:pPr>
        <w:pStyle w:val="BodyText"/>
        <w:spacing w:before="4"/>
        <w:rPr>
          <w:rFonts w:ascii="Calibri"/>
          <w:sz w:val="27"/>
        </w:rPr>
      </w:pPr>
    </w:p>
    <w:p w14:paraId="49DE0ED1" w14:textId="77777777" w:rsidR="004C7180" w:rsidRPr="00150EDC" w:rsidRDefault="00CF0754" w:rsidP="00B320C7">
      <w:pPr>
        <w:pStyle w:val="ListParagraph"/>
        <w:numPr>
          <w:ilvl w:val="3"/>
          <w:numId w:val="182"/>
        </w:numPr>
        <w:tabs>
          <w:tab w:val="left" w:pos="1491"/>
        </w:tabs>
        <w:ind w:left="1491" w:hanging="425"/>
        <w:rPr>
          <w:rFonts w:ascii="Calibri"/>
          <w:sz w:val="24"/>
        </w:rPr>
      </w:pPr>
      <w:r w:rsidRPr="00150EDC">
        <w:rPr>
          <w:rFonts w:ascii="Calibri"/>
          <w:sz w:val="24"/>
        </w:rPr>
        <w:t>reject</w:t>
      </w:r>
      <w:r w:rsidRPr="00150EDC">
        <w:rPr>
          <w:rFonts w:ascii="Calibri"/>
          <w:spacing w:val="-7"/>
          <w:sz w:val="24"/>
        </w:rPr>
        <w:t xml:space="preserve"> </w:t>
      </w:r>
      <w:r w:rsidRPr="00150EDC">
        <w:rPr>
          <w:rFonts w:ascii="Calibri"/>
          <w:sz w:val="24"/>
        </w:rPr>
        <w:t>the</w:t>
      </w:r>
      <w:r w:rsidRPr="00150EDC">
        <w:rPr>
          <w:rFonts w:ascii="Calibri"/>
          <w:spacing w:val="-5"/>
          <w:sz w:val="24"/>
        </w:rPr>
        <w:t xml:space="preserve"> </w:t>
      </w:r>
      <w:r w:rsidRPr="00150EDC">
        <w:rPr>
          <w:rFonts w:ascii="Calibri"/>
          <w:sz w:val="24"/>
        </w:rPr>
        <w:t>Rectification</w:t>
      </w:r>
      <w:r w:rsidRPr="00150EDC">
        <w:rPr>
          <w:rFonts w:ascii="Calibri"/>
          <w:spacing w:val="-2"/>
          <w:sz w:val="24"/>
        </w:rPr>
        <w:t xml:space="preserve"> </w:t>
      </w:r>
      <w:r w:rsidRPr="00150EDC">
        <w:rPr>
          <w:rFonts w:ascii="Calibri"/>
          <w:sz w:val="24"/>
        </w:rPr>
        <w:t>Plan</w:t>
      </w:r>
      <w:r w:rsidRPr="00150EDC">
        <w:rPr>
          <w:rFonts w:ascii="Calibri"/>
          <w:spacing w:val="-3"/>
          <w:sz w:val="24"/>
        </w:rPr>
        <w:t xml:space="preserve"> </w:t>
      </w:r>
      <w:r w:rsidRPr="00150EDC">
        <w:rPr>
          <w:rFonts w:ascii="Calibri"/>
          <w:sz w:val="24"/>
        </w:rPr>
        <w:t>or</w:t>
      </w:r>
      <w:r w:rsidRPr="00150EDC">
        <w:rPr>
          <w:rFonts w:ascii="Calibri"/>
          <w:spacing w:val="-4"/>
          <w:sz w:val="24"/>
        </w:rPr>
        <w:t xml:space="preserve"> </w:t>
      </w:r>
      <w:r w:rsidRPr="00150EDC">
        <w:rPr>
          <w:rFonts w:ascii="Calibri"/>
          <w:sz w:val="24"/>
        </w:rPr>
        <w:t>revised</w:t>
      </w:r>
      <w:r w:rsidRPr="00150EDC">
        <w:rPr>
          <w:rFonts w:ascii="Calibri"/>
          <w:spacing w:val="-2"/>
          <w:sz w:val="24"/>
        </w:rPr>
        <w:t xml:space="preserve"> </w:t>
      </w:r>
      <w:r w:rsidRPr="00150EDC">
        <w:rPr>
          <w:rFonts w:ascii="Calibri"/>
          <w:sz w:val="24"/>
        </w:rPr>
        <w:t>Rectification</w:t>
      </w:r>
      <w:r w:rsidRPr="00150EDC">
        <w:rPr>
          <w:rFonts w:ascii="Calibri"/>
          <w:spacing w:val="-3"/>
          <w:sz w:val="24"/>
        </w:rPr>
        <w:t xml:space="preserve"> </w:t>
      </w:r>
      <w:r w:rsidRPr="00150EDC">
        <w:rPr>
          <w:rFonts w:ascii="Calibri"/>
          <w:sz w:val="24"/>
        </w:rPr>
        <w:t>Plan,</w:t>
      </w:r>
      <w:r w:rsidRPr="00150EDC">
        <w:rPr>
          <w:rFonts w:ascii="Calibri"/>
          <w:spacing w:val="-3"/>
          <w:sz w:val="24"/>
        </w:rPr>
        <w:t xml:space="preserve"> </w:t>
      </w:r>
      <w:r w:rsidRPr="00150EDC">
        <w:rPr>
          <w:rFonts w:ascii="Calibri"/>
          <w:sz w:val="24"/>
        </w:rPr>
        <w:t>giving</w:t>
      </w:r>
      <w:r w:rsidRPr="00150EDC">
        <w:rPr>
          <w:rFonts w:ascii="Calibri"/>
          <w:spacing w:val="-3"/>
          <w:sz w:val="24"/>
        </w:rPr>
        <w:t xml:space="preserve"> </w:t>
      </w:r>
      <w:r w:rsidRPr="00150EDC">
        <w:rPr>
          <w:rFonts w:ascii="Calibri"/>
          <w:sz w:val="24"/>
        </w:rPr>
        <w:t>reasons;</w:t>
      </w:r>
      <w:r w:rsidRPr="00150EDC">
        <w:rPr>
          <w:rFonts w:ascii="Calibri"/>
          <w:spacing w:val="-5"/>
          <w:sz w:val="24"/>
        </w:rPr>
        <w:t xml:space="preserve"> or</w:t>
      </w:r>
    </w:p>
    <w:p w14:paraId="66EB5744" w14:textId="77777777" w:rsidR="004C7180" w:rsidRPr="00150EDC" w:rsidRDefault="00CF0754" w:rsidP="00B320C7">
      <w:pPr>
        <w:pStyle w:val="ListParagraph"/>
        <w:numPr>
          <w:ilvl w:val="3"/>
          <w:numId w:val="182"/>
        </w:numPr>
        <w:tabs>
          <w:tab w:val="left" w:pos="1491"/>
          <w:tab w:val="left" w:pos="1494"/>
        </w:tabs>
        <w:spacing w:before="19"/>
        <w:ind w:right="705" w:hanging="428"/>
        <w:rPr>
          <w:rFonts w:ascii="Calibri"/>
          <w:sz w:val="24"/>
        </w:rPr>
      </w:pPr>
      <w:r w:rsidRPr="00150EDC">
        <w:rPr>
          <w:rFonts w:ascii="Calibri"/>
          <w:sz w:val="24"/>
        </w:rPr>
        <w:t>accept the Rectification Plan or revised Rectification Plan (without limiting its rights) and the Supplier</w:t>
      </w:r>
      <w:r w:rsidRPr="00150EDC">
        <w:rPr>
          <w:rFonts w:ascii="Calibri"/>
          <w:spacing w:val="-2"/>
          <w:sz w:val="24"/>
        </w:rPr>
        <w:t xml:space="preserve"> </w:t>
      </w:r>
      <w:r w:rsidRPr="00150EDC">
        <w:rPr>
          <w:rFonts w:ascii="Calibri"/>
          <w:sz w:val="24"/>
        </w:rPr>
        <w:t>must</w:t>
      </w:r>
      <w:r w:rsidRPr="00150EDC">
        <w:rPr>
          <w:rFonts w:ascii="Calibri"/>
          <w:spacing w:val="-4"/>
          <w:sz w:val="24"/>
        </w:rPr>
        <w:t xml:space="preserve"> </w:t>
      </w:r>
      <w:r w:rsidRPr="00150EDC">
        <w:rPr>
          <w:rFonts w:ascii="Calibri"/>
          <w:sz w:val="24"/>
        </w:rPr>
        <w:t>immediately</w:t>
      </w:r>
      <w:r w:rsidRPr="00150EDC">
        <w:rPr>
          <w:rFonts w:ascii="Calibri"/>
          <w:spacing w:val="-3"/>
          <w:sz w:val="24"/>
        </w:rPr>
        <w:t xml:space="preserve"> </w:t>
      </w:r>
      <w:r w:rsidRPr="00150EDC">
        <w:rPr>
          <w:rFonts w:ascii="Calibri"/>
          <w:sz w:val="24"/>
        </w:rPr>
        <w:t>start</w:t>
      </w:r>
      <w:r w:rsidRPr="00150EDC">
        <w:rPr>
          <w:rFonts w:ascii="Calibri"/>
          <w:spacing w:val="-2"/>
          <w:sz w:val="24"/>
        </w:rPr>
        <w:t xml:space="preserve"> </w:t>
      </w:r>
      <w:r w:rsidRPr="00150EDC">
        <w:rPr>
          <w:rFonts w:ascii="Calibri"/>
          <w:sz w:val="24"/>
        </w:rPr>
        <w:t>work</w:t>
      </w:r>
      <w:r w:rsidRPr="00150EDC">
        <w:rPr>
          <w:rFonts w:ascii="Calibri"/>
          <w:spacing w:val="-4"/>
          <w:sz w:val="24"/>
        </w:rPr>
        <w:t xml:space="preserve"> </w:t>
      </w:r>
      <w:r w:rsidRPr="00150EDC">
        <w:rPr>
          <w:rFonts w:ascii="Calibri"/>
          <w:sz w:val="24"/>
        </w:rPr>
        <w:t>on</w:t>
      </w:r>
      <w:r w:rsidRPr="00150EDC">
        <w:rPr>
          <w:rFonts w:ascii="Calibri"/>
          <w:spacing w:val="-4"/>
          <w:sz w:val="24"/>
        </w:rPr>
        <w:t xml:space="preserve"> </w:t>
      </w:r>
      <w:r w:rsidRPr="00150EDC">
        <w:rPr>
          <w:rFonts w:ascii="Calibri"/>
          <w:sz w:val="24"/>
        </w:rPr>
        <w:t>the</w:t>
      </w:r>
      <w:r w:rsidRPr="00150EDC">
        <w:rPr>
          <w:rFonts w:ascii="Calibri"/>
          <w:spacing w:val="-4"/>
          <w:sz w:val="24"/>
        </w:rPr>
        <w:t xml:space="preserve"> </w:t>
      </w:r>
      <w:r w:rsidRPr="00150EDC">
        <w:rPr>
          <w:rFonts w:ascii="Calibri"/>
          <w:sz w:val="24"/>
        </w:rPr>
        <w:t>actions</w:t>
      </w:r>
      <w:r w:rsidRPr="00150EDC">
        <w:rPr>
          <w:rFonts w:ascii="Calibri"/>
          <w:spacing w:val="-3"/>
          <w:sz w:val="24"/>
        </w:rPr>
        <w:t xml:space="preserve"> </w:t>
      </w:r>
      <w:r w:rsidRPr="00150EDC">
        <w:rPr>
          <w:rFonts w:ascii="Calibri"/>
          <w:sz w:val="24"/>
        </w:rPr>
        <w:t>in</w:t>
      </w:r>
      <w:r w:rsidRPr="00150EDC">
        <w:rPr>
          <w:rFonts w:ascii="Calibri"/>
          <w:spacing w:val="-2"/>
          <w:sz w:val="24"/>
        </w:rPr>
        <w:t xml:space="preserve"> </w:t>
      </w:r>
      <w:r w:rsidRPr="00150EDC">
        <w:rPr>
          <w:rFonts w:ascii="Calibri"/>
          <w:sz w:val="24"/>
        </w:rPr>
        <w:t>the</w:t>
      </w:r>
      <w:r w:rsidRPr="00150EDC">
        <w:rPr>
          <w:rFonts w:ascii="Calibri"/>
          <w:spacing w:val="-2"/>
          <w:sz w:val="24"/>
        </w:rPr>
        <w:t xml:space="preserve"> </w:t>
      </w:r>
      <w:r w:rsidRPr="00150EDC">
        <w:rPr>
          <w:rFonts w:ascii="Calibri"/>
          <w:sz w:val="24"/>
        </w:rPr>
        <w:t>Rectification</w:t>
      </w:r>
      <w:r w:rsidRPr="00150EDC">
        <w:rPr>
          <w:rFonts w:ascii="Calibri"/>
          <w:spacing w:val="-4"/>
          <w:sz w:val="24"/>
        </w:rPr>
        <w:t xml:space="preserve"> </w:t>
      </w:r>
      <w:r w:rsidRPr="00150EDC">
        <w:rPr>
          <w:rFonts w:ascii="Calibri"/>
          <w:sz w:val="24"/>
        </w:rPr>
        <w:t>Plan</w:t>
      </w:r>
      <w:r w:rsidRPr="00150EDC">
        <w:rPr>
          <w:rFonts w:ascii="Calibri"/>
          <w:spacing w:val="-2"/>
          <w:sz w:val="24"/>
        </w:rPr>
        <w:t xml:space="preserve"> </w:t>
      </w:r>
      <w:r w:rsidRPr="00150EDC">
        <w:rPr>
          <w:rFonts w:ascii="Calibri"/>
          <w:sz w:val="24"/>
        </w:rPr>
        <w:t>at</w:t>
      </w:r>
      <w:r w:rsidRPr="00150EDC">
        <w:rPr>
          <w:rFonts w:ascii="Calibri"/>
          <w:spacing w:val="-2"/>
          <w:sz w:val="24"/>
        </w:rPr>
        <w:t xml:space="preserve"> </w:t>
      </w:r>
      <w:r w:rsidRPr="00150EDC">
        <w:rPr>
          <w:rFonts w:ascii="Calibri"/>
          <w:sz w:val="24"/>
        </w:rPr>
        <w:t>its</w:t>
      </w:r>
      <w:r w:rsidRPr="00150EDC">
        <w:rPr>
          <w:rFonts w:ascii="Calibri"/>
          <w:spacing w:val="-3"/>
          <w:sz w:val="24"/>
        </w:rPr>
        <w:t xml:space="preserve"> </w:t>
      </w:r>
      <w:r w:rsidRPr="00150EDC">
        <w:rPr>
          <w:rFonts w:ascii="Calibri"/>
          <w:sz w:val="24"/>
        </w:rPr>
        <w:t>own</w:t>
      </w:r>
      <w:r w:rsidRPr="00150EDC">
        <w:rPr>
          <w:rFonts w:ascii="Calibri"/>
          <w:spacing w:val="-2"/>
          <w:sz w:val="24"/>
        </w:rPr>
        <w:t xml:space="preserve"> </w:t>
      </w:r>
      <w:r w:rsidRPr="00150EDC">
        <w:rPr>
          <w:rFonts w:ascii="Calibri"/>
          <w:sz w:val="24"/>
        </w:rPr>
        <w:t>cost,</w:t>
      </w:r>
      <w:r w:rsidRPr="00150EDC">
        <w:rPr>
          <w:rFonts w:ascii="Calibri"/>
          <w:spacing w:val="-5"/>
          <w:sz w:val="24"/>
        </w:rPr>
        <w:t xml:space="preserve"> </w:t>
      </w:r>
      <w:r w:rsidRPr="00150EDC">
        <w:rPr>
          <w:rFonts w:ascii="Calibri"/>
          <w:sz w:val="24"/>
        </w:rPr>
        <w:t>unless agreed otherwise by the Parties.</w:t>
      </w:r>
    </w:p>
    <w:p w14:paraId="6D7FC8C2" w14:textId="77777777" w:rsidR="004C7180" w:rsidRPr="00150EDC" w:rsidRDefault="004C7180">
      <w:pPr>
        <w:pStyle w:val="BodyText"/>
        <w:spacing w:before="6"/>
        <w:rPr>
          <w:rFonts w:ascii="Calibri"/>
          <w:sz w:val="27"/>
        </w:rPr>
      </w:pPr>
    </w:p>
    <w:p w14:paraId="5A459A62" w14:textId="77777777" w:rsidR="004C7180" w:rsidRPr="00150EDC" w:rsidRDefault="00CF0754" w:rsidP="00B320C7">
      <w:pPr>
        <w:pStyle w:val="ListParagraph"/>
        <w:numPr>
          <w:ilvl w:val="2"/>
          <w:numId w:val="182"/>
        </w:numPr>
        <w:tabs>
          <w:tab w:val="left" w:pos="1207"/>
        </w:tabs>
        <w:ind w:left="1207" w:hanging="719"/>
        <w:rPr>
          <w:rFonts w:ascii="Calibri"/>
          <w:sz w:val="24"/>
        </w:rPr>
      </w:pPr>
      <w:r w:rsidRPr="00150EDC">
        <w:rPr>
          <w:rFonts w:ascii="Calibri"/>
          <w:sz w:val="24"/>
        </w:rPr>
        <w:t>Where</w:t>
      </w:r>
      <w:r w:rsidRPr="00150EDC">
        <w:rPr>
          <w:rFonts w:ascii="Calibri"/>
          <w:spacing w:val="-7"/>
          <w:sz w:val="24"/>
        </w:rPr>
        <w:t xml:space="preserve"> </w:t>
      </w:r>
      <w:r w:rsidRPr="00150EDC">
        <w:rPr>
          <w:rFonts w:ascii="Calibri"/>
          <w:sz w:val="24"/>
        </w:rPr>
        <w:t>the</w:t>
      </w:r>
      <w:r w:rsidRPr="00150EDC">
        <w:rPr>
          <w:rFonts w:ascii="Calibri"/>
          <w:spacing w:val="-2"/>
          <w:sz w:val="24"/>
        </w:rPr>
        <w:t xml:space="preserve"> </w:t>
      </w:r>
      <w:r w:rsidRPr="00150EDC">
        <w:rPr>
          <w:rFonts w:ascii="Calibri"/>
          <w:sz w:val="24"/>
        </w:rPr>
        <w:t>Rectification</w:t>
      </w:r>
      <w:r w:rsidRPr="00150EDC">
        <w:rPr>
          <w:rFonts w:ascii="Calibri"/>
          <w:spacing w:val="-4"/>
          <w:sz w:val="24"/>
        </w:rPr>
        <w:t xml:space="preserve"> </w:t>
      </w:r>
      <w:r w:rsidRPr="00150EDC">
        <w:rPr>
          <w:rFonts w:ascii="Calibri"/>
          <w:sz w:val="24"/>
        </w:rPr>
        <w:t>Plan</w:t>
      </w:r>
      <w:r w:rsidRPr="00150EDC">
        <w:rPr>
          <w:rFonts w:ascii="Calibri"/>
          <w:spacing w:val="-4"/>
          <w:sz w:val="24"/>
        </w:rPr>
        <w:t xml:space="preserve"> </w:t>
      </w:r>
      <w:r w:rsidRPr="00150EDC">
        <w:rPr>
          <w:rFonts w:ascii="Calibri"/>
          <w:sz w:val="24"/>
        </w:rPr>
        <w:t>or</w:t>
      </w:r>
      <w:r w:rsidRPr="00150EDC">
        <w:rPr>
          <w:rFonts w:ascii="Calibri"/>
          <w:spacing w:val="-2"/>
          <w:sz w:val="24"/>
        </w:rPr>
        <w:t xml:space="preserve"> </w:t>
      </w:r>
      <w:r w:rsidRPr="00150EDC">
        <w:rPr>
          <w:rFonts w:ascii="Calibri"/>
          <w:sz w:val="24"/>
        </w:rPr>
        <w:t>revised</w:t>
      </w:r>
      <w:r w:rsidRPr="00150EDC">
        <w:rPr>
          <w:rFonts w:ascii="Calibri"/>
          <w:spacing w:val="-3"/>
          <w:sz w:val="24"/>
        </w:rPr>
        <w:t xml:space="preserve"> </w:t>
      </w:r>
      <w:r w:rsidRPr="00150EDC">
        <w:rPr>
          <w:rFonts w:ascii="Calibri"/>
          <w:sz w:val="24"/>
        </w:rPr>
        <w:t>Rectification</w:t>
      </w:r>
      <w:r w:rsidRPr="00150EDC">
        <w:rPr>
          <w:rFonts w:ascii="Calibri"/>
          <w:spacing w:val="-1"/>
          <w:sz w:val="24"/>
        </w:rPr>
        <w:t xml:space="preserve"> </w:t>
      </w:r>
      <w:r w:rsidRPr="00150EDC">
        <w:rPr>
          <w:rFonts w:ascii="Calibri"/>
          <w:sz w:val="24"/>
        </w:rPr>
        <w:t>Plan</w:t>
      </w:r>
      <w:r w:rsidRPr="00150EDC">
        <w:rPr>
          <w:rFonts w:ascii="Calibri"/>
          <w:spacing w:val="-4"/>
          <w:sz w:val="24"/>
        </w:rPr>
        <w:t xml:space="preserve"> </w:t>
      </w:r>
      <w:r w:rsidRPr="00150EDC">
        <w:rPr>
          <w:rFonts w:ascii="Calibri"/>
          <w:sz w:val="24"/>
        </w:rPr>
        <w:t>is</w:t>
      </w:r>
      <w:r w:rsidRPr="00150EDC">
        <w:rPr>
          <w:rFonts w:ascii="Calibri"/>
          <w:spacing w:val="-3"/>
          <w:sz w:val="24"/>
        </w:rPr>
        <w:t xml:space="preserve"> </w:t>
      </w:r>
      <w:r w:rsidRPr="00150EDC">
        <w:rPr>
          <w:rFonts w:ascii="Calibri"/>
          <w:sz w:val="24"/>
        </w:rPr>
        <w:t>rejected,</w:t>
      </w:r>
      <w:r w:rsidRPr="00150EDC">
        <w:rPr>
          <w:rFonts w:ascii="Calibri"/>
          <w:spacing w:val="-5"/>
          <w:sz w:val="24"/>
        </w:rPr>
        <w:t xml:space="preserve"> </w:t>
      </w:r>
      <w:r w:rsidRPr="00150EDC">
        <w:rPr>
          <w:rFonts w:ascii="Calibri"/>
          <w:sz w:val="24"/>
        </w:rPr>
        <w:t>the</w:t>
      </w:r>
      <w:r w:rsidRPr="00150EDC">
        <w:rPr>
          <w:rFonts w:ascii="Calibri"/>
          <w:spacing w:val="-4"/>
          <w:sz w:val="24"/>
        </w:rPr>
        <w:t xml:space="preserve"> </w:t>
      </w:r>
      <w:r w:rsidRPr="00150EDC">
        <w:rPr>
          <w:rFonts w:ascii="Calibri"/>
          <w:sz w:val="24"/>
        </w:rPr>
        <w:t>Relevant</w:t>
      </w:r>
      <w:r w:rsidRPr="00150EDC">
        <w:rPr>
          <w:rFonts w:ascii="Calibri"/>
          <w:spacing w:val="-4"/>
          <w:sz w:val="24"/>
        </w:rPr>
        <w:t xml:space="preserve"> </w:t>
      </w:r>
      <w:r w:rsidRPr="00150EDC">
        <w:rPr>
          <w:rFonts w:ascii="Calibri"/>
          <w:spacing w:val="-2"/>
          <w:sz w:val="24"/>
        </w:rPr>
        <w:t>Authority:</w:t>
      </w:r>
    </w:p>
    <w:p w14:paraId="3B408E9F" w14:textId="77777777" w:rsidR="004C7180" w:rsidRPr="00150EDC" w:rsidRDefault="004C7180">
      <w:pPr>
        <w:pStyle w:val="BodyText"/>
        <w:spacing w:before="2"/>
        <w:rPr>
          <w:rFonts w:ascii="Calibri"/>
          <w:sz w:val="27"/>
        </w:rPr>
      </w:pPr>
    </w:p>
    <w:p w14:paraId="36AC4E9E" w14:textId="77777777" w:rsidR="004C7180" w:rsidRPr="00150EDC" w:rsidRDefault="00CF0754" w:rsidP="00B320C7">
      <w:pPr>
        <w:pStyle w:val="ListParagraph"/>
        <w:numPr>
          <w:ilvl w:val="3"/>
          <w:numId w:val="182"/>
        </w:numPr>
        <w:tabs>
          <w:tab w:val="left" w:pos="1491"/>
        </w:tabs>
        <w:ind w:left="1491" w:hanging="425"/>
        <w:rPr>
          <w:rFonts w:ascii="Calibri"/>
          <w:sz w:val="24"/>
        </w:rPr>
      </w:pPr>
      <w:r w:rsidRPr="00150EDC">
        <w:rPr>
          <w:rFonts w:ascii="Calibri"/>
          <w:sz w:val="24"/>
        </w:rPr>
        <w:t>must</w:t>
      </w:r>
      <w:r w:rsidRPr="00150EDC">
        <w:rPr>
          <w:rFonts w:ascii="Calibri"/>
          <w:spacing w:val="-3"/>
          <w:sz w:val="24"/>
        </w:rPr>
        <w:t xml:space="preserve"> </w:t>
      </w:r>
      <w:r w:rsidRPr="00150EDC">
        <w:rPr>
          <w:rFonts w:ascii="Calibri"/>
          <w:sz w:val="24"/>
        </w:rPr>
        <w:t>give</w:t>
      </w:r>
      <w:r w:rsidRPr="00150EDC">
        <w:rPr>
          <w:rFonts w:ascii="Calibri"/>
          <w:spacing w:val="-5"/>
          <w:sz w:val="24"/>
        </w:rPr>
        <w:t xml:space="preserve"> </w:t>
      </w:r>
      <w:r w:rsidRPr="00150EDC">
        <w:rPr>
          <w:rFonts w:ascii="Calibri"/>
          <w:sz w:val="24"/>
        </w:rPr>
        <w:t>reasonable</w:t>
      </w:r>
      <w:r w:rsidRPr="00150EDC">
        <w:rPr>
          <w:rFonts w:ascii="Calibri"/>
          <w:spacing w:val="-2"/>
          <w:sz w:val="24"/>
        </w:rPr>
        <w:t xml:space="preserve"> </w:t>
      </w:r>
      <w:r w:rsidRPr="00150EDC">
        <w:rPr>
          <w:rFonts w:ascii="Calibri"/>
          <w:sz w:val="24"/>
        </w:rPr>
        <w:t>grounds</w:t>
      </w:r>
      <w:r w:rsidRPr="00150EDC">
        <w:rPr>
          <w:rFonts w:ascii="Calibri"/>
          <w:spacing w:val="-5"/>
          <w:sz w:val="24"/>
        </w:rPr>
        <w:t xml:space="preserve"> </w:t>
      </w:r>
      <w:r w:rsidRPr="00150EDC">
        <w:rPr>
          <w:rFonts w:ascii="Calibri"/>
          <w:sz w:val="24"/>
        </w:rPr>
        <w:t>for</w:t>
      </w:r>
      <w:r w:rsidRPr="00150EDC">
        <w:rPr>
          <w:rFonts w:ascii="Calibri"/>
          <w:spacing w:val="-2"/>
          <w:sz w:val="24"/>
        </w:rPr>
        <w:t xml:space="preserve"> </w:t>
      </w:r>
      <w:r w:rsidRPr="00150EDC">
        <w:rPr>
          <w:rFonts w:ascii="Calibri"/>
          <w:sz w:val="24"/>
        </w:rPr>
        <w:t>its</w:t>
      </w:r>
      <w:r w:rsidRPr="00150EDC">
        <w:rPr>
          <w:rFonts w:ascii="Calibri"/>
          <w:spacing w:val="-5"/>
          <w:sz w:val="24"/>
        </w:rPr>
        <w:t xml:space="preserve"> </w:t>
      </w:r>
      <w:r w:rsidRPr="00150EDC">
        <w:rPr>
          <w:rFonts w:ascii="Calibri"/>
          <w:sz w:val="24"/>
        </w:rPr>
        <w:t>decision;</w:t>
      </w:r>
      <w:r w:rsidRPr="00150EDC">
        <w:rPr>
          <w:rFonts w:ascii="Calibri"/>
          <w:spacing w:val="-4"/>
          <w:sz w:val="24"/>
        </w:rPr>
        <w:t xml:space="preserve"> </w:t>
      </w:r>
      <w:r w:rsidRPr="00150EDC">
        <w:rPr>
          <w:rFonts w:ascii="Calibri"/>
          <w:spacing w:val="-5"/>
          <w:sz w:val="24"/>
        </w:rPr>
        <w:t>and</w:t>
      </w:r>
    </w:p>
    <w:p w14:paraId="0B50C99C" w14:textId="77777777" w:rsidR="004C7180" w:rsidRPr="00150EDC" w:rsidRDefault="00CF0754" w:rsidP="00B320C7">
      <w:pPr>
        <w:pStyle w:val="ListParagraph"/>
        <w:numPr>
          <w:ilvl w:val="3"/>
          <w:numId w:val="182"/>
        </w:numPr>
        <w:tabs>
          <w:tab w:val="left" w:pos="1491"/>
        </w:tabs>
        <w:spacing w:before="19"/>
        <w:ind w:left="1491" w:hanging="425"/>
        <w:rPr>
          <w:rFonts w:ascii="Calibri"/>
          <w:sz w:val="24"/>
        </w:rPr>
      </w:pPr>
      <w:r w:rsidRPr="00150EDC">
        <w:rPr>
          <w:rFonts w:ascii="Calibri"/>
          <w:sz w:val="24"/>
        </w:rPr>
        <w:t>may</w:t>
      </w:r>
      <w:r w:rsidRPr="00150EDC">
        <w:rPr>
          <w:rFonts w:ascii="Calibri"/>
          <w:spacing w:val="-5"/>
          <w:sz w:val="24"/>
        </w:rPr>
        <w:t xml:space="preserve"> </w:t>
      </w:r>
      <w:r w:rsidRPr="00150EDC">
        <w:rPr>
          <w:rFonts w:ascii="Calibri"/>
          <w:sz w:val="24"/>
        </w:rPr>
        <w:t>request</w:t>
      </w:r>
      <w:r w:rsidRPr="00150EDC">
        <w:rPr>
          <w:rFonts w:ascii="Calibri"/>
          <w:spacing w:val="-4"/>
          <w:sz w:val="24"/>
        </w:rPr>
        <w:t xml:space="preserve"> </w:t>
      </w:r>
      <w:r w:rsidRPr="00150EDC">
        <w:rPr>
          <w:rFonts w:ascii="Calibri"/>
          <w:sz w:val="24"/>
        </w:rPr>
        <w:t>that</w:t>
      </w:r>
      <w:r w:rsidRPr="00150EDC">
        <w:rPr>
          <w:rFonts w:ascii="Calibri"/>
          <w:spacing w:val="-4"/>
          <w:sz w:val="24"/>
        </w:rPr>
        <w:t xml:space="preserve"> </w:t>
      </w:r>
      <w:r w:rsidRPr="00150EDC">
        <w:rPr>
          <w:rFonts w:ascii="Calibri"/>
          <w:sz w:val="24"/>
        </w:rPr>
        <w:t>the</w:t>
      </w:r>
      <w:r w:rsidRPr="00150EDC">
        <w:rPr>
          <w:rFonts w:ascii="Calibri"/>
          <w:spacing w:val="-1"/>
          <w:sz w:val="24"/>
        </w:rPr>
        <w:t xml:space="preserve"> </w:t>
      </w:r>
      <w:r w:rsidRPr="00150EDC">
        <w:rPr>
          <w:rFonts w:ascii="Calibri"/>
          <w:sz w:val="24"/>
        </w:rPr>
        <w:t>Supplier</w:t>
      </w:r>
      <w:r w:rsidRPr="00150EDC">
        <w:rPr>
          <w:rFonts w:ascii="Calibri"/>
          <w:spacing w:val="-4"/>
          <w:sz w:val="24"/>
        </w:rPr>
        <w:t xml:space="preserve"> </w:t>
      </w:r>
      <w:r w:rsidRPr="00150EDC">
        <w:rPr>
          <w:rFonts w:ascii="Calibri"/>
          <w:sz w:val="24"/>
        </w:rPr>
        <w:t>provides</w:t>
      </w:r>
      <w:r w:rsidRPr="00150EDC">
        <w:rPr>
          <w:rFonts w:ascii="Calibri"/>
          <w:spacing w:val="-5"/>
          <w:sz w:val="24"/>
        </w:rPr>
        <w:t xml:space="preserve"> </w:t>
      </w:r>
      <w:r w:rsidRPr="00150EDC">
        <w:rPr>
          <w:rFonts w:ascii="Calibri"/>
          <w:sz w:val="24"/>
        </w:rPr>
        <w:t>a</w:t>
      </w:r>
      <w:r w:rsidRPr="00150EDC">
        <w:rPr>
          <w:rFonts w:ascii="Calibri"/>
          <w:spacing w:val="-2"/>
          <w:sz w:val="24"/>
        </w:rPr>
        <w:t xml:space="preserve"> </w:t>
      </w:r>
      <w:r w:rsidRPr="00150EDC">
        <w:rPr>
          <w:rFonts w:ascii="Calibri"/>
          <w:sz w:val="24"/>
        </w:rPr>
        <w:t>revised</w:t>
      </w:r>
      <w:r w:rsidRPr="00150EDC">
        <w:rPr>
          <w:rFonts w:ascii="Calibri"/>
          <w:spacing w:val="-4"/>
          <w:sz w:val="24"/>
        </w:rPr>
        <w:t xml:space="preserve"> </w:t>
      </w:r>
      <w:r w:rsidRPr="00150EDC">
        <w:rPr>
          <w:rFonts w:ascii="Calibri"/>
          <w:sz w:val="24"/>
        </w:rPr>
        <w:t>Rectification</w:t>
      </w:r>
      <w:r w:rsidRPr="00150EDC">
        <w:rPr>
          <w:rFonts w:ascii="Calibri"/>
          <w:spacing w:val="-4"/>
          <w:sz w:val="24"/>
        </w:rPr>
        <w:t xml:space="preserve"> </w:t>
      </w:r>
      <w:r w:rsidRPr="00150EDC">
        <w:rPr>
          <w:rFonts w:ascii="Calibri"/>
          <w:sz w:val="24"/>
        </w:rPr>
        <w:t>Plan</w:t>
      </w:r>
      <w:r w:rsidRPr="00150EDC">
        <w:rPr>
          <w:rFonts w:ascii="Calibri"/>
          <w:spacing w:val="-3"/>
          <w:sz w:val="24"/>
        </w:rPr>
        <w:t xml:space="preserve"> </w:t>
      </w:r>
      <w:r w:rsidRPr="00150EDC">
        <w:rPr>
          <w:rFonts w:ascii="Calibri"/>
          <w:sz w:val="24"/>
        </w:rPr>
        <w:t>within</w:t>
      </w:r>
      <w:r w:rsidRPr="00150EDC">
        <w:rPr>
          <w:rFonts w:ascii="Calibri"/>
          <w:spacing w:val="-4"/>
          <w:sz w:val="24"/>
        </w:rPr>
        <w:t xml:space="preserve"> </w:t>
      </w:r>
      <w:r w:rsidRPr="00150EDC">
        <w:rPr>
          <w:rFonts w:ascii="Calibri"/>
          <w:sz w:val="24"/>
        </w:rPr>
        <w:t>5</w:t>
      </w:r>
      <w:r w:rsidRPr="00150EDC">
        <w:rPr>
          <w:rFonts w:ascii="Calibri"/>
          <w:spacing w:val="-2"/>
          <w:sz w:val="24"/>
        </w:rPr>
        <w:t xml:space="preserve"> </w:t>
      </w:r>
      <w:r w:rsidRPr="00150EDC">
        <w:rPr>
          <w:rFonts w:ascii="Calibri"/>
          <w:sz w:val="24"/>
        </w:rPr>
        <w:t>Working</w:t>
      </w:r>
      <w:r w:rsidRPr="00150EDC">
        <w:rPr>
          <w:rFonts w:ascii="Calibri"/>
          <w:spacing w:val="-4"/>
          <w:sz w:val="24"/>
        </w:rPr>
        <w:t xml:space="preserve"> </w:t>
      </w:r>
      <w:r w:rsidRPr="00150EDC">
        <w:rPr>
          <w:rFonts w:ascii="Calibri"/>
          <w:spacing w:val="-2"/>
          <w:sz w:val="24"/>
        </w:rPr>
        <w:t>Days.</w:t>
      </w:r>
    </w:p>
    <w:p w14:paraId="355320B7" w14:textId="77777777" w:rsidR="004C7180" w:rsidRPr="00150EDC" w:rsidRDefault="004C7180">
      <w:pPr>
        <w:rPr>
          <w:rFonts w:ascii="Calibri"/>
          <w:sz w:val="24"/>
        </w:rPr>
        <w:sectPr w:rsidR="004C7180" w:rsidRPr="00150EDC">
          <w:pgSz w:w="11910" w:h="16840"/>
          <w:pgMar w:top="620" w:right="0" w:bottom="2460" w:left="40" w:header="403" w:footer="2245" w:gutter="0"/>
          <w:cols w:space="720"/>
        </w:sectPr>
      </w:pPr>
    </w:p>
    <w:p w14:paraId="511AEB6A" w14:textId="77777777" w:rsidR="004C7180" w:rsidRPr="00150EDC" w:rsidRDefault="004C7180">
      <w:pPr>
        <w:pStyle w:val="BodyText"/>
        <w:spacing w:before="11"/>
        <w:rPr>
          <w:rFonts w:ascii="Calibri"/>
          <w:sz w:val="17"/>
        </w:rPr>
      </w:pPr>
    </w:p>
    <w:p w14:paraId="10C620AC" w14:textId="77777777" w:rsidR="004C7180" w:rsidRPr="00150EDC" w:rsidRDefault="00CF0754" w:rsidP="00B320C7">
      <w:pPr>
        <w:pStyle w:val="ListParagraph"/>
        <w:numPr>
          <w:ilvl w:val="2"/>
          <w:numId w:val="182"/>
        </w:numPr>
        <w:tabs>
          <w:tab w:val="left" w:pos="1208"/>
          <w:tab w:val="left" w:pos="1262"/>
        </w:tabs>
        <w:spacing w:before="52"/>
        <w:ind w:right="874" w:hanging="720"/>
        <w:rPr>
          <w:rFonts w:ascii="Calibri"/>
          <w:sz w:val="24"/>
        </w:rPr>
      </w:pPr>
      <w:r w:rsidRPr="00150EDC">
        <w:rPr>
          <w:rFonts w:ascii="Times New Roman"/>
          <w:sz w:val="24"/>
        </w:rPr>
        <w:tab/>
      </w:r>
      <w:r w:rsidRPr="00150EDC">
        <w:rPr>
          <w:rFonts w:ascii="Calibri"/>
          <w:sz w:val="24"/>
        </w:rPr>
        <w:t>If the Relevant Authority rejects any Rectification Plan, including any revised Rectification Plan, the Relevant</w:t>
      </w:r>
      <w:r w:rsidRPr="00150EDC">
        <w:rPr>
          <w:rFonts w:ascii="Calibri"/>
          <w:spacing w:val="-3"/>
          <w:sz w:val="24"/>
        </w:rPr>
        <w:t xml:space="preserve"> </w:t>
      </w:r>
      <w:r w:rsidRPr="00150EDC">
        <w:rPr>
          <w:rFonts w:ascii="Calibri"/>
          <w:sz w:val="24"/>
        </w:rPr>
        <w:t>Authority</w:t>
      </w:r>
      <w:r w:rsidRPr="00150EDC">
        <w:rPr>
          <w:rFonts w:ascii="Calibri"/>
          <w:spacing w:val="-5"/>
          <w:sz w:val="24"/>
        </w:rPr>
        <w:t xml:space="preserve"> </w:t>
      </w:r>
      <w:r w:rsidRPr="00150EDC">
        <w:rPr>
          <w:rFonts w:ascii="Calibri"/>
          <w:sz w:val="24"/>
        </w:rPr>
        <w:t>does</w:t>
      </w:r>
      <w:r w:rsidRPr="00150EDC">
        <w:rPr>
          <w:rFonts w:ascii="Calibri"/>
          <w:spacing w:val="-4"/>
          <w:sz w:val="24"/>
        </w:rPr>
        <w:t xml:space="preserve"> </w:t>
      </w:r>
      <w:r w:rsidRPr="00150EDC">
        <w:rPr>
          <w:rFonts w:ascii="Calibri"/>
          <w:sz w:val="24"/>
        </w:rPr>
        <w:t>not</w:t>
      </w:r>
      <w:r w:rsidRPr="00150EDC">
        <w:rPr>
          <w:rFonts w:ascii="Calibri"/>
          <w:spacing w:val="-2"/>
          <w:sz w:val="24"/>
        </w:rPr>
        <w:t xml:space="preserve"> </w:t>
      </w:r>
      <w:r w:rsidRPr="00150EDC">
        <w:rPr>
          <w:rFonts w:ascii="Calibri"/>
          <w:sz w:val="24"/>
        </w:rPr>
        <w:t>have</w:t>
      </w:r>
      <w:r w:rsidRPr="00150EDC">
        <w:rPr>
          <w:rFonts w:ascii="Calibri"/>
          <w:spacing w:val="-4"/>
          <w:sz w:val="24"/>
        </w:rPr>
        <w:t xml:space="preserve"> </w:t>
      </w:r>
      <w:r w:rsidRPr="00150EDC">
        <w:rPr>
          <w:rFonts w:ascii="Calibri"/>
          <w:sz w:val="24"/>
        </w:rPr>
        <w:t>to</w:t>
      </w:r>
      <w:r w:rsidRPr="00150EDC">
        <w:rPr>
          <w:rFonts w:ascii="Calibri"/>
          <w:spacing w:val="-4"/>
          <w:sz w:val="24"/>
        </w:rPr>
        <w:t xml:space="preserve"> </w:t>
      </w:r>
      <w:r w:rsidRPr="00150EDC">
        <w:rPr>
          <w:rFonts w:ascii="Calibri"/>
          <w:sz w:val="24"/>
        </w:rPr>
        <w:t>request</w:t>
      </w:r>
      <w:r w:rsidRPr="00150EDC">
        <w:rPr>
          <w:rFonts w:ascii="Calibri"/>
          <w:spacing w:val="-2"/>
          <w:sz w:val="24"/>
        </w:rPr>
        <w:t xml:space="preserve"> </w:t>
      </w:r>
      <w:r w:rsidRPr="00150EDC">
        <w:rPr>
          <w:rFonts w:ascii="Calibri"/>
          <w:sz w:val="24"/>
        </w:rPr>
        <w:t>a</w:t>
      </w:r>
      <w:r w:rsidRPr="00150EDC">
        <w:rPr>
          <w:rFonts w:ascii="Calibri"/>
          <w:spacing w:val="-4"/>
          <w:sz w:val="24"/>
        </w:rPr>
        <w:t xml:space="preserve"> </w:t>
      </w:r>
      <w:r w:rsidRPr="00150EDC">
        <w:rPr>
          <w:rFonts w:ascii="Calibri"/>
          <w:sz w:val="24"/>
        </w:rPr>
        <w:t>revised</w:t>
      </w:r>
      <w:r w:rsidRPr="00150EDC">
        <w:rPr>
          <w:rFonts w:ascii="Calibri"/>
          <w:spacing w:val="-2"/>
          <w:sz w:val="24"/>
        </w:rPr>
        <w:t xml:space="preserve"> </w:t>
      </w:r>
      <w:r w:rsidRPr="00150EDC">
        <w:rPr>
          <w:rFonts w:ascii="Calibri"/>
          <w:sz w:val="24"/>
        </w:rPr>
        <w:t>Rectification</w:t>
      </w:r>
      <w:r w:rsidRPr="00150EDC">
        <w:rPr>
          <w:rFonts w:ascii="Calibri"/>
          <w:spacing w:val="-3"/>
          <w:sz w:val="24"/>
        </w:rPr>
        <w:t xml:space="preserve"> </w:t>
      </w:r>
      <w:r w:rsidRPr="00150EDC">
        <w:rPr>
          <w:rFonts w:ascii="Calibri"/>
          <w:sz w:val="24"/>
        </w:rPr>
        <w:t>Plan</w:t>
      </w:r>
      <w:r w:rsidRPr="00150EDC">
        <w:rPr>
          <w:rFonts w:ascii="Calibri"/>
          <w:spacing w:val="-3"/>
          <w:sz w:val="24"/>
        </w:rPr>
        <w:t xml:space="preserve"> </w:t>
      </w:r>
      <w:r w:rsidRPr="00150EDC">
        <w:rPr>
          <w:rFonts w:ascii="Calibri"/>
          <w:sz w:val="24"/>
        </w:rPr>
        <w:t>before</w:t>
      </w:r>
      <w:r w:rsidRPr="00150EDC">
        <w:rPr>
          <w:rFonts w:ascii="Calibri"/>
          <w:spacing w:val="-4"/>
          <w:sz w:val="24"/>
        </w:rPr>
        <w:t xml:space="preserve"> </w:t>
      </w:r>
      <w:r w:rsidRPr="00150EDC">
        <w:rPr>
          <w:rFonts w:ascii="Calibri"/>
          <w:sz w:val="24"/>
        </w:rPr>
        <w:t>exercising</w:t>
      </w:r>
      <w:r w:rsidRPr="00150EDC">
        <w:rPr>
          <w:rFonts w:ascii="Calibri"/>
          <w:spacing w:val="-2"/>
          <w:sz w:val="24"/>
        </w:rPr>
        <w:t xml:space="preserve"> </w:t>
      </w:r>
      <w:r w:rsidRPr="00150EDC">
        <w:rPr>
          <w:rFonts w:ascii="Calibri"/>
          <w:sz w:val="24"/>
        </w:rPr>
        <w:t>its</w:t>
      </w:r>
      <w:r w:rsidRPr="00150EDC">
        <w:rPr>
          <w:rFonts w:ascii="Calibri"/>
          <w:spacing w:val="-2"/>
          <w:sz w:val="24"/>
        </w:rPr>
        <w:t xml:space="preserve"> </w:t>
      </w:r>
      <w:r w:rsidRPr="00150EDC">
        <w:rPr>
          <w:rFonts w:ascii="Calibri"/>
          <w:sz w:val="24"/>
        </w:rPr>
        <w:t>right</w:t>
      </w:r>
      <w:r w:rsidRPr="00150EDC">
        <w:rPr>
          <w:rFonts w:ascii="Calibri"/>
          <w:spacing w:val="-3"/>
          <w:sz w:val="24"/>
        </w:rPr>
        <w:t xml:space="preserve"> </w:t>
      </w:r>
      <w:r w:rsidRPr="00150EDC">
        <w:rPr>
          <w:rFonts w:ascii="Calibri"/>
          <w:sz w:val="24"/>
        </w:rPr>
        <w:t>to terminate its Contract under Clause 10.4.3(a).</w:t>
      </w:r>
    </w:p>
    <w:p w14:paraId="1BE00DD3" w14:textId="77777777" w:rsidR="004C7180" w:rsidRPr="00150EDC" w:rsidRDefault="004C7180">
      <w:pPr>
        <w:pStyle w:val="BodyText"/>
        <w:spacing w:before="8"/>
        <w:rPr>
          <w:rFonts w:ascii="Calibri"/>
          <w:sz w:val="31"/>
        </w:rPr>
      </w:pPr>
    </w:p>
    <w:p w14:paraId="7D7F18FD" w14:textId="77777777" w:rsidR="004C7180" w:rsidRPr="00150EDC" w:rsidRDefault="00CF0754" w:rsidP="00B320C7">
      <w:pPr>
        <w:pStyle w:val="ListParagraph"/>
        <w:numPr>
          <w:ilvl w:val="1"/>
          <w:numId w:val="182"/>
        </w:numPr>
        <w:tabs>
          <w:tab w:val="left" w:pos="1065"/>
        </w:tabs>
        <w:spacing w:line="341" w:lineRule="exact"/>
        <w:ind w:left="1065" w:hanging="565"/>
        <w:rPr>
          <w:rFonts w:ascii="Calibri"/>
          <w:b/>
          <w:sz w:val="28"/>
        </w:rPr>
      </w:pPr>
      <w:r w:rsidRPr="00150EDC">
        <w:rPr>
          <w:rFonts w:ascii="Calibri"/>
          <w:b/>
          <w:sz w:val="28"/>
        </w:rPr>
        <w:t>When</w:t>
      </w:r>
      <w:r w:rsidRPr="00150EDC">
        <w:rPr>
          <w:rFonts w:ascii="Calibri"/>
          <w:b/>
          <w:spacing w:val="-3"/>
          <w:sz w:val="28"/>
        </w:rPr>
        <w:t xml:space="preserve"> </w:t>
      </w:r>
      <w:r w:rsidRPr="00150EDC">
        <w:rPr>
          <w:rFonts w:ascii="Calibri"/>
          <w:b/>
          <w:sz w:val="28"/>
        </w:rPr>
        <w:t>CCS</w:t>
      </w:r>
      <w:r w:rsidRPr="00150EDC">
        <w:rPr>
          <w:rFonts w:ascii="Calibri"/>
          <w:b/>
          <w:spacing w:val="-4"/>
          <w:sz w:val="28"/>
        </w:rPr>
        <w:t xml:space="preserve"> </w:t>
      </w:r>
      <w:r w:rsidRPr="00150EDC">
        <w:rPr>
          <w:rFonts w:ascii="Calibri"/>
          <w:b/>
          <w:sz w:val="28"/>
        </w:rPr>
        <w:t>or</w:t>
      </w:r>
      <w:r w:rsidRPr="00150EDC">
        <w:rPr>
          <w:rFonts w:ascii="Calibri"/>
          <w:b/>
          <w:spacing w:val="-2"/>
          <w:sz w:val="28"/>
        </w:rPr>
        <w:t xml:space="preserve"> </w:t>
      </w:r>
      <w:r w:rsidRPr="00150EDC">
        <w:rPr>
          <w:rFonts w:ascii="Calibri"/>
          <w:b/>
          <w:sz w:val="28"/>
        </w:rPr>
        <w:t>the</w:t>
      </w:r>
      <w:r w:rsidRPr="00150EDC">
        <w:rPr>
          <w:rFonts w:ascii="Calibri"/>
          <w:b/>
          <w:spacing w:val="-2"/>
          <w:sz w:val="28"/>
        </w:rPr>
        <w:t xml:space="preserve"> </w:t>
      </w:r>
      <w:r w:rsidRPr="00150EDC">
        <w:rPr>
          <w:rFonts w:ascii="Calibri"/>
          <w:b/>
          <w:sz w:val="28"/>
        </w:rPr>
        <w:t>buyer</w:t>
      </w:r>
      <w:r w:rsidRPr="00150EDC">
        <w:rPr>
          <w:rFonts w:ascii="Calibri"/>
          <w:b/>
          <w:spacing w:val="-2"/>
          <w:sz w:val="28"/>
        </w:rPr>
        <w:t xml:space="preserve"> </w:t>
      </w:r>
      <w:r w:rsidRPr="00150EDC">
        <w:rPr>
          <w:rFonts w:ascii="Calibri"/>
          <w:b/>
          <w:sz w:val="28"/>
        </w:rPr>
        <w:t>can</w:t>
      </w:r>
      <w:r w:rsidRPr="00150EDC">
        <w:rPr>
          <w:rFonts w:ascii="Calibri"/>
          <w:b/>
          <w:spacing w:val="-2"/>
          <w:sz w:val="28"/>
        </w:rPr>
        <w:t xml:space="preserve"> </w:t>
      </w:r>
      <w:r w:rsidRPr="00150EDC">
        <w:rPr>
          <w:rFonts w:ascii="Calibri"/>
          <w:b/>
          <w:sz w:val="28"/>
        </w:rPr>
        <w:t>end</w:t>
      </w:r>
      <w:r w:rsidRPr="00150EDC">
        <w:rPr>
          <w:rFonts w:ascii="Calibri"/>
          <w:b/>
          <w:spacing w:val="-2"/>
          <w:sz w:val="28"/>
        </w:rPr>
        <w:t xml:space="preserve"> </w:t>
      </w:r>
      <w:r w:rsidRPr="00150EDC">
        <w:rPr>
          <w:rFonts w:ascii="Calibri"/>
          <w:b/>
          <w:sz w:val="28"/>
        </w:rPr>
        <w:t>a</w:t>
      </w:r>
      <w:r w:rsidRPr="00150EDC">
        <w:rPr>
          <w:rFonts w:ascii="Calibri"/>
          <w:b/>
          <w:spacing w:val="-1"/>
          <w:sz w:val="28"/>
        </w:rPr>
        <w:t xml:space="preserve"> </w:t>
      </w:r>
      <w:r w:rsidRPr="00150EDC">
        <w:rPr>
          <w:rFonts w:ascii="Calibri"/>
          <w:b/>
          <w:spacing w:val="-2"/>
          <w:sz w:val="28"/>
        </w:rPr>
        <w:t>contract</w:t>
      </w:r>
    </w:p>
    <w:p w14:paraId="0FEE8ABD" w14:textId="77777777" w:rsidR="004C7180" w:rsidRPr="00150EDC" w:rsidRDefault="00CF0754" w:rsidP="00B320C7">
      <w:pPr>
        <w:pStyle w:val="ListParagraph"/>
        <w:numPr>
          <w:ilvl w:val="2"/>
          <w:numId w:val="182"/>
        </w:numPr>
        <w:tabs>
          <w:tab w:val="left" w:pos="1208"/>
        </w:tabs>
        <w:ind w:right="591" w:hanging="720"/>
        <w:rPr>
          <w:rFonts w:ascii="Calibri"/>
          <w:sz w:val="24"/>
        </w:rPr>
      </w:pPr>
      <w:r w:rsidRPr="00150EDC">
        <w:rPr>
          <w:rFonts w:ascii="Calibri"/>
          <w:sz w:val="24"/>
        </w:rPr>
        <w:t>If</w:t>
      </w:r>
      <w:r w:rsidRPr="00150EDC">
        <w:rPr>
          <w:rFonts w:ascii="Calibri"/>
          <w:spacing w:val="-2"/>
          <w:sz w:val="24"/>
        </w:rPr>
        <w:t xml:space="preserve"> </w:t>
      </w:r>
      <w:r w:rsidRPr="00150EDC">
        <w:rPr>
          <w:rFonts w:ascii="Calibri"/>
          <w:sz w:val="24"/>
        </w:rPr>
        <w:t>any</w:t>
      </w:r>
      <w:r w:rsidRPr="00150EDC">
        <w:rPr>
          <w:rFonts w:ascii="Calibri"/>
          <w:spacing w:val="-6"/>
          <w:sz w:val="24"/>
        </w:rPr>
        <w:t xml:space="preserve"> </w:t>
      </w:r>
      <w:r w:rsidRPr="00150EDC">
        <w:rPr>
          <w:rFonts w:ascii="Calibri"/>
          <w:sz w:val="24"/>
        </w:rPr>
        <w:t>of</w:t>
      </w:r>
      <w:r w:rsidRPr="00150EDC">
        <w:rPr>
          <w:rFonts w:ascii="Calibri"/>
          <w:spacing w:val="-3"/>
          <w:sz w:val="24"/>
        </w:rPr>
        <w:t xml:space="preserve"> </w:t>
      </w:r>
      <w:r w:rsidRPr="00150EDC">
        <w:rPr>
          <w:rFonts w:ascii="Calibri"/>
          <w:sz w:val="24"/>
        </w:rPr>
        <w:t>the</w:t>
      </w:r>
      <w:r w:rsidRPr="00150EDC">
        <w:rPr>
          <w:rFonts w:ascii="Calibri"/>
          <w:spacing w:val="-4"/>
          <w:sz w:val="24"/>
        </w:rPr>
        <w:t xml:space="preserve"> </w:t>
      </w:r>
      <w:r w:rsidRPr="00150EDC">
        <w:rPr>
          <w:rFonts w:ascii="Calibri"/>
          <w:sz w:val="24"/>
        </w:rPr>
        <w:t>following</w:t>
      </w:r>
      <w:r w:rsidRPr="00150EDC">
        <w:rPr>
          <w:rFonts w:ascii="Calibri"/>
          <w:spacing w:val="-5"/>
          <w:sz w:val="24"/>
        </w:rPr>
        <w:t xml:space="preserve"> </w:t>
      </w:r>
      <w:r w:rsidRPr="00150EDC">
        <w:rPr>
          <w:rFonts w:ascii="Calibri"/>
          <w:sz w:val="24"/>
        </w:rPr>
        <w:t>events</w:t>
      </w:r>
      <w:r w:rsidRPr="00150EDC">
        <w:rPr>
          <w:rFonts w:ascii="Calibri"/>
          <w:spacing w:val="-5"/>
          <w:sz w:val="24"/>
        </w:rPr>
        <w:t xml:space="preserve"> </w:t>
      </w:r>
      <w:r w:rsidRPr="00150EDC">
        <w:rPr>
          <w:rFonts w:ascii="Calibri"/>
          <w:sz w:val="24"/>
        </w:rPr>
        <w:t>happen,</w:t>
      </w:r>
      <w:r w:rsidRPr="00150EDC">
        <w:rPr>
          <w:rFonts w:ascii="Calibri"/>
          <w:spacing w:val="-5"/>
          <w:sz w:val="24"/>
        </w:rPr>
        <w:t xml:space="preserve"> </w:t>
      </w:r>
      <w:r w:rsidRPr="00150EDC">
        <w:rPr>
          <w:rFonts w:ascii="Calibri"/>
          <w:sz w:val="24"/>
        </w:rPr>
        <w:t>the</w:t>
      </w:r>
      <w:r w:rsidRPr="00150EDC">
        <w:rPr>
          <w:rFonts w:ascii="Calibri"/>
          <w:spacing w:val="-5"/>
          <w:sz w:val="24"/>
        </w:rPr>
        <w:t xml:space="preserve"> </w:t>
      </w:r>
      <w:r w:rsidRPr="00150EDC">
        <w:rPr>
          <w:rFonts w:ascii="Calibri"/>
          <w:sz w:val="24"/>
        </w:rPr>
        <w:t>Relevant</w:t>
      </w:r>
      <w:r w:rsidRPr="00150EDC">
        <w:rPr>
          <w:rFonts w:ascii="Calibri"/>
          <w:spacing w:val="-2"/>
          <w:sz w:val="24"/>
        </w:rPr>
        <w:t xml:space="preserve"> </w:t>
      </w:r>
      <w:r w:rsidRPr="00150EDC">
        <w:rPr>
          <w:rFonts w:ascii="Calibri"/>
          <w:sz w:val="24"/>
        </w:rPr>
        <w:t>Authority</w:t>
      </w:r>
      <w:r w:rsidRPr="00150EDC">
        <w:rPr>
          <w:rFonts w:ascii="Calibri"/>
          <w:spacing w:val="-3"/>
          <w:sz w:val="24"/>
        </w:rPr>
        <w:t xml:space="preserve"> </w:t>
      </w:r>
      <w:r w:rsidRPr="00150EDC">
        <w:rPr>
          <w:rFonts w:ascii="Calibri"/>
          <w:sz w:val="24"/>
        </w:rPr>
        <w:t>has</w:t>
      </w:r>
      <w:r w:rsidRPr="00150EDC">
        <w:rPr>
          <w:rFonts w:ascii="Calibri"/>
          <w:spacing w:val="-3"/>
          <w:sz w:val="24"/>
        </w:rPr>
        <w:t xml:space="preserve"> </w:t>
      </w:r>
      <w:r w:rsidRPr="00150EDC">
        <w:rPr>
          <w:rFonts w:ascii="Calibri"/>
          <w:sz w:val="24"/>
        </w:rPr>
        <w:t>the</w:t>
      </w:r>
      <w:r w:rsidRPr="00150EDC">
        <w:rPr>
          <w:rFonts w:ascii="Calibri"/>
          <w:spacing w:val="-4"/>
          <w:sz w:val="24"/>
        </w:rPr>
        <w:t xml:space="preserve"> </w:t>
      </w:r>
      <w:r w:rsidRPr="00150EDC">
        <w:rPr>
          <w:rFonts w:ascii="Calibri"/>
          <w:sz w:val="24"/>
        </w:rPr>
        <w:t>right</w:t>
      </w:r>
      <w:r w:rsidRPr="00150EDC">
        <w:rPr>
          <w:rFonts w:ascii="Calibri"/>
          <w:spacing w:val="-2"/>
          <w:sz w:val="24"/>
        </w:rPr>
        <w:t xml:space="preserve"> </w:t>
      </w:r>
      <w:r w:rsidRPr="00150EDC">
        <w:rPr>
          <w:rFonts w:ascii="Calibri"/>
          <w:sz w:val="24"/>
        </w:rPr>
        <w:t>to</w:t>
      </w:r>
      <w:r w:rsidRPr="00150EDC">
        <w:rPr>
          <w:rFonts w:ascii="Calibri"/>
          <w:spacing w:val="-2"/>
          <w:sz w:val="24"/>
        </w:rPr>
        <w:t xml:space="preserve"> </w:t>
      </w:r>
      <w:r w:rsidRPr="00150EDC">
        <w:rPr>
          <w:rFonts w:ascii="Calibri"/>
          <w:sz w:val="24"/>
        </w:rPr>
        <w:t>immediately</w:t>
      </w:r>
      <w:r w:rsidRPr="00150EDC">
        <w:rPr>
          <w:rFonts w:ascii="Calibri"/>
          <w:spacing w:val="-5"/>
          <w:sz w:val="24"/>
        </w:rPr>
        <w:t xml:space="preserve"> </w:t>
      </w:r>
      <w:r w:rsidRPr="00150EDC">
        <w:rPr>
          <w:rFonts w:ascii="Calibri"/>
          <w:sz w:val="24"/>
        </w:rPr>
        <w:t>terminate</w:t>
      </w:r>
      <w:r w:rsidRPr="00150EDC">
        <w:rPr>
          <w:rFonts w:ascii="Calibri"/>
          <w:spacing w:val="-2"/>
          <w:sz w:val="24"/>
        </w:rPr>
        <w:t xml:space="preserve"> </w:t>
      </w:r>
      <w:r w:rsidRPr="00150EDC">
        <w:rPr>
          <w:rFonts w:ascii="Calibri"/>
          <w:sz w:val="24"/>
        </w:rPr>
        <w:t>its Contract by issuing a Termination Notice to the Supplier:</w:t>
      </w:r>
    </w:p>
    <w:p w14:paraId="4D4D2CA2" w14:textId="77777777" w:rsidR="004C7180" w:rsidRPr="00150EDC" w:rsidRDefault="004C7180">
      <w:pPr>
        <w:pStyle w:val="BodyText"/>
        <w:rPr>
          <w:rFonts w:ascii="Calibri"/>
          <w:sz w:val="27"/>
        </w:rPr>
      </w:pPr>
    </w:p>
    <w:p w14:paraId="24B610A1" w14:textId="77777777" w:rsidR="004C7180" w:rsidRPr="00150EDC" w:rsidRDefault="00CF0754" w:rsidP="00B320C7">
      <w:pPr>
        <w:pStyle w:val="ListParagraph"/>
        <w:numPr>
          <w:ilvl w:val="3"/>
          <w:numId w:val="182"/>
        </w:numPr>
        <w:tabs>
          <w:tab w:val="left" w:pos="1491"/>
        </w:tabs>
        <w:spacing w:before="1"/>
        <w:ind w:left="1491" w:hanging="425"/>
        <w:rPr>
          <w:rFonts w:ascii="Calibri"/>
          <w:sz w:val="24"/>
        </w:rPr>
      </w:pPr>
      <w:r w:rsidRPr="00150EDC">
        <w:rPr>
          <w:rFonts w:ascii="Calibri"/>
          <w:sz w:val="24"/>
        </w:rPr>
        <w:t>there</w:t>
      </w:r>
      <w:r w:rsidRPr="00150EDC">
        <w:rPr>
          <w:rFonts w:ascii="Calibri"/>
          <w:spacing w:val="-3"/>
          <w:sz w:val="24"/>
        </w:rPr>
        <w:t xml:space="preserve"> </w:t>
      </w:r>
      <w:r w:rsidRPr="00150EDC">
        <w:rPr>
          <w:rFonts w:ascii="Calibri"/>
          <w:sz w:val="24"/>
        </w:rPr>
        <w:t>is</w:t>
      </w:r>
      <w:r w:rsidRPr="00150EDC">
        <w:rPr>
          <w:rFonts w:ascii="Calibri"/>
          <w:spacing w:val="-3"/>
          <w:sz w:val="24"/>
        </w:rPr>
        <w:t xml:space="preserve"> </w:t>
      </w:r>
      <w:r w:rsidRPr="00150EDC">
        <w:rPr>
          <w:rFonts w:ascii="Calibri"/>
          <w:sz w:val="24"/>
        </w:rPr>
        <w:t>a</w:t>
      </w:r>
      <w:r w:rsidRPr="00150EDC">
        <w:rPr>
          <w:rFonts w:ascii="Calibri"/>
          <w:spacing w:val="-6"/>
          <w:sz w:val="24"/>
        </w:rPr>
        <w:t xml:space="preserve"> </w:t>
      </w:r>
      <w:r w:rsidRPr="00150EDC">
        <w:rPr>
          <w:rFonts w:ascii="Calibri"/>
          <w:sz w:val="24"/>
        </w:rPr>
        <w:t>Supplier</w:t>
      </w:r>
      <w:r w:rsidRPr="00150EDC">
        <w:rPr>
          <w:rFonts w:ascii="Calibri"/>
          <w:spacing w:val="-2"/>
          <w:sz w:val="24"/>
        </w:rPr>
        <w:t xml:space="preserve"> </w:t>
      </w:r>
      <w:r w:rsidRPr="00150EDC">
        <w:rPr>
          <w:rFonts w:ascii="Calibri"/>
          <w:sz w:val="24"/>
        </w:rPr>
        <w:t>Insolvency</w:t>
      </w:r>
      <w:r w:rsidRPr="00150EDC">
        <w:rPr>
          <w:rFonts w:ascii="Calibri"/>
          <w:spacing w:val="-3"/>
          <w:sz w:val="24"/>
        </w:rPr>
        <w:t xml:space="preserve"> </w:t>
      </w:r>
      <w:r w:rsidRPr="00150EDC">
        <w:rPr>
          <w:rFonts w:ascii="Calibri"/>
          <w:spacing w:val="-2"/>
          <w:sz w:val="24"/>
        </w:rPr>
        <w:t>Event;</w:t>
      </w:r>
    </w:p>
    <w:p w14:paraId="77A8B8CA" w14:textId="77777777" w:rsidR="004C7180" w:rsidRPr="00150EDC" w:rsidRDefault="00CF0754" w:rsidP="00B320C7">
      <w:pPr>
        <w:pStyle w:val="ListParagraph"/>
        <w:numPr>
          <w:ilvl w:val="3"/>
          <w:numId w:val="182"/>
        </w:numPr>
        <w:tabs>
          <w:tab w:val="left" w:pos="1491"/>
        </w:tabs>
        <w:spacing w:before="19"/>
        <w:ind w:left="1491" w:hanging="425"/>
        <w:rPr>
          <w:rFonts w:ascii="Calibri"/>
          <w:sz w:val="24"/>
        </w:rPr>
      </w:pPr>
      <w:r w:rsidRPr="00150EDC">
        <w:rPr>
          <w:rFonts w:ascii="Calibri"/>
          <w:sz w:val="24"/>
        </w:rPr>
        <w:t>there</w:t>
      </w:r>
      <w:r w:rsidRPr="00150EDC">
        <w:rPr>
          <w:rFonts w:ascii="Calibri"/>
          <w:spacing w:val="-5"/>
          <w:sz w:val="24"/>
        </w:rPr>
        <w:t xml:space="preserve"> </w:t>
      </w:r>
      <w:r w:rsidRPr="00150EDC">
        <w:rPr>
          <w:rFonts w:ascii="Calibri"/>
          <w:sz w:val="24"/>
        </w:rPr>
        <w:t>is</w:t>
      </w:r>
      <w:r w:rsidRPr="00150EDC">
        <w:rPr>
          <w:rFonts w:ascii="Calibri"/>
          <w:spacing w:val="-3"/>
          <w:sz w:val="24"/>
        </w:rPr>
        <w:t xml:space="preserve"> </w:t>
      </w:r>
      <w:r w:rsidRPr="00150EDC">
        <w:rPr>
          <w:rFonts w:ascii="Calibri"/>
          <w:sz w:val="24"/>
        </w:rPr>
        <w:t>a</w:t>
      </w:r>
      <w:r w:rsidRPr="00150EDC">
        <w:rPr>
          <w:rFonts w:ascii="Calibri"/>
          <w:spacing w:val="-5"/>
          <w:sz w:val="24"/>
        </w:rPr>
        <w:t xml:space="preserve"> </w:t>
      </w:r>
      <w:r w:rsidRPr="00150EDC">
        <w:rPr>
          <w:rFonts w:ascii="Calibri"/>
          <w:sz w:val="24"/>
        </w:rPr>
        <w:t>Default</w:t>
      </w:r>
      <w:r w:rsidRPr="00150EDC">
        <w:rPr>
          <w:rFonts w:ascii="Calibri"/>
          <w:spacing w:val="-4"/>
          <w:sz w:val="24"/>
        </w:rPr>
        <w:t xml:space="preserve"> </w:t>
      </w:r>
      <w:r w:rsidRPr="00150EDC">
        <w:rPr>
          <w:rFonts w:ascii="Calibri"/>
          <w:sz w:val="24"/>
        </w:rPr>
        <w:t>that</w:t>
      </w:r>
      <w:r w:rsidRPr="00150EDC">
        <w:rPr>
          <w:rFonts w:ascii="Calibri"/>
          <w:spacing w:val="-2"/>
          <w:sz w:val="24"/>
        </w:rPr>
        <w:t xml:space="preserve"> </w:t>
      </w:r>
      <w:r w:rsidRPr="00150EDC">
        <w:rPr>
          <w:rFonts w:ascii="Calibri"/>
          <w:sz w:val="24"/>
        </w:rPr>
        <w:t>is</w:t>
      </w:r>
      <w:r w:rsidRPr="00150EDC">
        <w:rPr>
          <w:rFonts w:ascii="Calibri"/>
          <w:spacing w:val="-8"/>
          <w:sz w:val="24"/>
        </w:rPr>
        <w:t xml:space="preserve"> </w:t>
      </w:r>
      <w:r w:rsidRPr="00150EDC">
        <w:rPr>
          <w:rFonts w:ascii="Calibri"/>
          <w:sz w:val="24"/>
        </w:rPr>
        <w:t>not</w:t>
      </w:r>
      <w:r w:rsidRPr="00150EDC">
        <w:rPr>
          <w:rFonts w:ascii="Calibri"/>
          <w:spacing w:val="-3"/>
          <w:sz w:val="24"/>
        </w:rPr>
        <w:t xml:space="preserve"> </w:t>
      </w:r>
      <w:r w:rsidRPr="00150EDC">
        <w:rPr>
          <w:rFonts w:ascii="Calibri"/>
          <w:sz w:val="24"/>
        </w:rPr>
        <w:t>corrected</w:t>
      </w:r>
      <w:r w:rsidRPr="00150EDC">
        <w:rPr>
          <w:rFonts w:ascii="Calibri"/>
          <w:spacing w:val="-1"/>
          <w:sz w:val="24"/>
        </w:rPr>
        <w:t xml:space="preserve"> </w:t>
      </w:r>
      <w:r w:rsidRPr="00150EDC">
        <w:rPr>
          <w:rFonts w:ascii="Calibri"/>
          <w:sz w:val="24"/>
        </w:rPr>
        <w:t>in</w:t>
      </w:r>
      <w:r w:rsidRPr="00150EDC">
        <w:rPr>
          <w:rFonts w:ascii="Calibri"/>
          <w:spacing w:val="-3"/>
          <w:sz w:val="24"/>
        </w:rPr>
        <w:t xml:space="preserve"> </w:t>
      </w:r>
      <w:r w:rsidRPr="00150EDC">
        <w:rPr>
          <w:rFonts w:ascii="Calibri"/>
          <w:sz w:val="24"/>
        </w:rPr>
        <w:t>line</w:t>
      </w:r>
      <w:r w:rsidRPr="00150EDC">
        <w:rPr>
          <w:rFonts w:ascii="Calibri"/>
          <w:spacing w:val="-2"/>
          <w:sz w:val="24"/>
        </w:rPr>
        <w:t xml:space="preserve"> </w:t>
      </w:r>
      <w:r w:rsidRPr="00150EDC">
        <w:rPr>
          <w:rFonts w:ascii="Calibri"/>
          <w:sz w:val="24"/>
        </w:rPr>
        <w:t>with</w:t>
      </w:r>
      <w:r w:rsidRPr="00150EDC">
        <w:rPr>
          <w:rFonts w:ascii="Calibri"/>
          <w:spacing w:val="-2"/>
          <w:sz w:val="24"/>
        </w:rPr>
        <w:t xml:space="preserve"> </w:t>
      </w:r>
      <w:r w:rsidRPr="00150EDC">
        <w:rPr>
          <w:rFonts w:ascii="Calibri"/>
          <w:sz w:val="24"/>
        </w:rPr>
        <w:t>an</w:t>
      </w:r>
      <w:r w:rsidRPr="00150EDC">
        <w:rPr>
          <w:rFonts w:ascii="Calibri"/>
          <w:spacing w:val="-4"/>
          <w:sz w:val="24"/>
        </w:rPr>
        <w:t xml:space="preserve"> </w:t>
      </w:r>
      <w:r w:rsidRPr="00150EDC">
        <w:rPr>
          <w:rFonts w:ascii="Calibri"/>
          <w:sz w:val="24"/>
        </w:rPr>
        <w:t>accepted</w:t>
      </w:r>
      <w:r w:rsidRPr="00150EDC">
        <w:rPr>
          <w:rFonts w:ascii="Calibri"/>
          <w:spacing w:val="-4"/>
          <w:sz w:val="24"/>
        </w:rPr>
        <w:t xml:space="preserve"> </w:t>
      </w:r>
      <w:r w:rsidRPr="00150EDC">
        <w:rPr>
          <w:rFonts w:ascii="Calibri"/>
          <w:sz w:val="24"/>
        </w:rPr>
        <w:t>Rectification</w:t>
      </w:r>
      <w:r w:rsidRPr="00150EDC">
        <w:rPr>
          <w:rFonts w:ascii="Calibri"/>
          <w:spacing w:val="-1"/>
          <w:sz w:val="24"/>
        </w:rPr>
        <w:t xml:space="preserve"> </w:t>
      </w:r>
      <w:r w:rsidRPr="00150EDC">
        <w:rPr>
          <w:rFonts w:ascii="Calibri"/>
          <w:spacing w:val="-2"/>
          <w:sz w:val="24"/>
        </w:rPr>
        <w:t>Plan;</w:t>
      </w:r>
    </w:p>
    <w:p w14:paraId="1EC62874" w14:textId="77777777" w:rsidR="004C7180" w:rsidRPr="00150EDC" w:rsidRDefault="00CF0754" w:rsidP="00B320C7">
      <w:pPr>
        <w:pStyle w:val="ListParagraph"/>
        <w:numPr>
          <w:ilvl w:val="3"/>
          <w:numId w:val="182"/>
        </w:numPr>
        <w:tabs>
          <w:tab w:val="left" w:pos="1492"/>
        </w:tabs>
        <w:spacing w:before="21"/>
        <w:ind w:left="1492" w:hanging="426"/>
        <w:rPr>
          <w:rFonts w:ascii="Calibri"/>
          <w:sz w:val="24"/>
        </w:rPr>
      </w:pPr>
      <w:r w:rsidRPr="00150EDC">
        <w:rPr>
          <w:rFonts w:ascii="Calibri"/>
          <w:sz w:val="24"/>
        </w:rPr>
        <w:t>the</w:t>
      </w:r>
      <w:r w:rsidRPr="00150EDC">
        <w:rPr>
          <w:rFonts w:ascii="Calibri"/>
          <w:spacing w:val="-6"/>
          <w:sz w:val="24"/>
        </w:rPr>
        <w:t xml:space="preserve"> </w:t>
      </w:r>
      <w:r w:rsidRPr="00150EDC">
        <w:rPr>
          <w:rFonts w:ascii="Calibri"/>
          <w:sz w:val="24"/>
        </w:rPr>
        <w:t>Supplier</w:t>
      </w:r>
      <w:r w:rsidRPr="00150EDC">
        <w:rPr>
          <w:rFonts w:ascii="Calibri"/>
          <w:spacing w:val="-3"/>
          <w:sz w:val="24"/>
        </w:rPr>
        <w:t xml:space="preserve"> </w:t>
      </w:r>
      <w:r w:rsidRPr="00150EDC">
        <w:rPr>
          <w:rFonts w:ascii="Calibri"/>
          <w:sz w:val="24"/>
        </w:rPr>
        <w:t>does</w:t>
      </w:r>
      <w:r w:rsidRPr="00150EDC">
        <w:rPr>
          <w:rFonts w:ascii="Calibri"/>
          <w:spacing w:val="-4"/>
          <w:sz w:val="24"/>
        </w:rPr>
        <w:t xml:space="preserve"> </w:t>
      </w:r>
      <w:r w:rsidRPr="00150EDC">
        <w:rPr>
          <w:rFonts w:ascii="Calibri"/>
          <w:sz w:val="24"/>
        </w:rPr>
        <w:t>not</w:t>
      </w:r>
      <w:r w:rsidRPr="00150EDC">
        <w:rPr>
          <w:rFonts w:ascii="Calibri"/>
          <w:spacing w:val="-2"/>
          <w:sz w:val="24"/>
        </w:rPr>
        <w:t xml:space="preserve"> </w:t>
      </w:r>
      <w:r w:rsidRPr="00150EDC">
        <w:rPr>
          <w:rFonts w:ascii="Calibri"/>
          <w:sz w:val="24"/>
        </w:rPr>
        <w:t>provide</w:t>
      </w:r>
      <w:r w:rsidRPr="00150EDC">
        <w:rPr>
          <w:rFonts w:ascii="Calibri"/>
          <w:spacing w:val="-1"/>
          <w:sz w:val="24"/>
        </w:rPr>
        <w:t xml:space="preserve"> </w:t>
      </w:r>
      <w:r w:rsidRPr="00150EDC">
        <w:rPr>
          <w:rFonts w:ascii="Calibri"/>
          <w:sz w:val="24"/>
        </w:rPr>
        <w:t>a</w:t>
      </w:r>
      <w:r w:rsidRPr="00150EDC">
        <w:rPr>
          <w:rFonts w:ascii="Calibri"/>
          <w:spacing w:val="-4"/>
          <w:sz w:val="24"/>
        </w:rPr>
        <w:t xml:space="preserve"> </w:t>
      </w:r>
      <w:r w:rsidRPr="00150EDC">
        <w:rPr>
          <w:rFonts w:ascii="Calibri"/>
          <w:sz w:val="24"/>
        </w:rPr>
        <w:t>Rectification</w:t>
      </w:r>
      <w:r w:rsidRPr="00150EDC">
        <w:rPr>
          <w:rFonts w:ascii="Calibri"/>
          <w:spacing w:val="-2"/>
          <w:sz w:val="24"/>
        </w:rPr>
        <w:t xml:space="preserve"> </w:t>
      </w:r>
      <w:r w:rsidRPr="00150EDC">
        <w:rPr>
          <w:rFonts w:ascii="Calibri"/>
          <w:sz w:val="24"/>
        </w:rPr>
        <w:t>Plan</w:t>
      </w:r>
      <w:r w:rsidRPr="00150EDC">
        <w:rPr>
          <w:rFonts w:ascii="Calibri"/>
          <w:spacing w:val="-3"/>
          <w:sz w:val="24"/>
        </w:rPr>
        <w:t xml:space="preserve"> </w:t>
      </w:r>
      <w:r w:rsidRPr="00150EDC">
        <w:rPr>
          <w:rFonts w:ascii="Calibri"/>
          <w:sz w:val="24"/>
        </w:rPr>
        <w:t>within</w:t>
      </w:r>
      <w:r w:rsidRPr="00150EDC">
        <w:rPr>
          <w:rFonts w:ascii="Calibri"/>
          <w:spacing w:val="-3"/>
          <w:sz w:val="24"/>
        </w:rPr>
        <w:t xml:space="preserve"> </w:t>
      </w:r>
      <w:r w:rsidRPr="00150EDC">
        <w:rPr>
          <w:rFonts w:ascii="Calibri"/>
          <w:sz w:val="24"/>
        </w:rPr>
        <w:t>10</w:t>
      </w:r>
      <w:r w:rsidRPr="00150EDC">
        <w:rPr>
          <w:rFonts w:ascii="Calibri"/>
          <w:spacing w:val="-3"/>
          <w:sz w:val="24"/>
        </w:rPr>
        <w:t xml:space="preserve"> </w:t>
      </w:r>
      <w:r w:rsidRPr="00150EDC">
        <w:rPr>
          <w:rFonts w:ascii="Calibri"/>
          <w:sz w:val="24"/>
        </w:rPr>
        <w:t>days</w:t>
      </w:r>
      <w:r w:rsidRPr="00150EDC">
        <w:rPr>
          <w:rFonts w:ascii="Calibri"/>
          <w:spacing w:val="-4"/>
          <w:sz w:val="24"/>
        </w:rPr>
        <w:t xml:space="preserve"> </w:t>
      </w:r>
      <w:r w:rsidRPr="00150EDC">
        <w:rPr>
          <w:rFonts w:ascii="Calibri"/>
          <w:sz w:val="24"/>
        </w:rPr>
        <w:t>of</w:t>
      </w:r>
      <w:r w:rsidRPr="00150EDC">
        <w:rPr>
          <w:rFonts w:ascii="Calibri"/>
          <w:spacing w:val="-3"/>
          <w:sz w:val="24"/>
        </w:rPr>
        <w:t xml:space="preserve"> </w:t>
      </w:r>
      <w:r w:rsidRPr="00150EDC">
        <w:rPr>
          <w:rFonts w:ascii="Calibri"/>
          <w:sz w:val="24"/>
        </w:rPr>
        <w:t>the</w:t>
      </w:r>
      <w:r w:rsidRPr="00150EDC">
        <w:rPr>
          <w:rFonts w:ascii="Calibri"/>
          <w:spacing w:val="-1"/>
          <w:sz w:val="24"/>
        </w:rPr>
        <w:t xml:space="preserve"> </w:t>
      </w:r>
      <w:r w:rsidRPr="00150EDC">
        <w:rPr>
          <w:rFonts w:ascii="Calibri"/>
          <w:spacing w:val="-2"/>
          <w:sz w:val="24"/>
        </w:rPr>
        <w:t>request;</w:t>
      </w:r>
    </w:p>
    <w:p w14:paraId="330AA26A" w14:textId="77777777" w:rsidR="004C7180" w:rsidRPr="00150EDC" w:rsidRDefault="00CF0754" w:rsidP="00B320C7">
      <w:pPr>
        <w:pStyle w:val="ListParagraph"/>
        <w:numPr>
          <w:ilvl w:val="3"/>
          <w:numId w:val="182"/>
        </w:numPr>
        <w:tabs>
          <w:tab w:val="left" w:pos="1491"/>
        </w:tabs>
        <w:spacing w:before="19"/>
        <w:ind w:left="1491" w:hanging="425"/>
        <w:rPr>
          <w:rFonts w:ascii="Calibri"/>
          <w:sz w:val="24"/>
        </w:rPr>
      </w:pPr>
      <w:r w:rsidRPr="00150EDC">
        <w:rPr>
          <w:rFonts w:ascii="Calibri"/>
          <w:sz w:val="24"/>
        </w:rPr>
        <w:t>there</w:t>
      </w:r>
      <w:r w:rsidRPr="00150EDC">
        <w:rPr>
          <w:rFonts w:ascii="Calibri"/>
          <w:spacing w:val="-2"/>
          <w:sz w:val="24"/>
        </w:rPr>
        <w:t xml:space="preserve"> </w:t>
      </w:r>
      <w:r w:rsidRPr="00150EDC">
        <w:rPr>
          <w:rFonts w:ascii="Calibri"/>
          <w:sz w:val="24"/>
        </w:rPr>
        <w:t>is</w:t>
      </w:r>
      <w:r w:rsidRPr="00150EDC">
        <w:rPr>
          <w:rFonts w:ascii="Calibri"/>
          <w:spacing w:val="-2"/>
          <w:sz w:val="24"/>
        </w:rPr>
        <w:t xml:space="preserve"> </w:t>
      </w:r>
      <w:r w:rsidRPr="00150EDC">
        <w:rPr>
          <w:rFonts w:ascii="Calibri"/>
          <w:sz w:val="24"/>
        </w:rPr>
        <w:t>any</w:t>
      </w:r>
      <w:r w:rsidRPr="00150EDC">
        <w:rPr>
          <w:rFonts w:ascii="Calibri"/>
          <w:spacing w:val="-2"/>
          <w:sz w:val="24"/>
        </w:rPr>
        <w:t xml:space="preserve"> </w:t>
      </w:r>
      <w:r w:rsidRPr="00150EDC">
        <w:rPr>
          <w:rFonts w:ascii="Calibri"/>
          <w:sz w:val="24"/>
        </w:rPr>
        <w:t>material</w:t>
      </w:r>
      <w:r w:rsidRPr="00150EDC">
        <w:rPr>
          <w:rFonts w:ascii="Calibri"/>
          <w:spacing w:val="-3"/>
          <w:sz w:val="24"/>
        </w:rPr>
        <w:t xml:space="preserve"> </w:t>
      </w:r>
      <w:r w:rsidRPr="00150EDC">
        <w:rPr>
          <w:rFonts w:ascii="Calibri"/>
          <w:sz w:val="24"/>
        </w:rPr>
        <w:t>Default</w:t>
      </w:r>
      <w:r w:rsidRPr="00150EDC">
        <w:rPr>
          <w:rFonts w:ascii="Calibri"/>
          <w:spacing w:val="-3"/>
          <w:sz w:val="24"/>
        </w:rPr>
        <w:t xml:space="preserve"> </w:t>
      </w:r>
      <w:r w:rsidRPr="00150EDC">
        <w:rPr>
          <w:rFonts w:ascii="Calibri"/>
          <w:sz w:val="24"/>
        </w:rPr>
        <w:t>of</w:t>
      </w:r>
      <w:r w:rsidRPr="00150EDC">
        <w:rPr>
          <w:rFonts w:ascii="Calibri"/>
          <w:spacing w:val="-3"/>
          <w:sz w:val="24"/>
        </w:rPr>
        <w:t xml:space="preserve"> </w:t>
      </w:r>
      <w:r w:rsidRPr="00150EDC">
        <w:rPr>
          <w:rFonts w:ascii="Calibri"/>
          <w:sz w:val="24"/>
        </w:rPr>
        <w:t>the</w:t>
      </w:r>
      <w:r w:rsidRPr="00150EDC">
        <w:rPr>
          <w:rFonts w:ascii="Calibri"/>
          <w:spacing w:val="-1"/>
          <w:sz w:val="24"/>
        </w:rPr>
        <w:t xml:space="preserve"> </w:t>
      </w:r>
      <w:r w:rsidRPr="00150EDC">
        <w:rPr>
          <w:rFonts w:ascii="Calibri"/>
          <w:spacing w:val="-2"/>
          <w:sz w:val="24"/>
        </w:rPr>
        <w:t>Contract;</w:t>
      </w:r>
    </w:p>
    <w:p w14:paraId="3A057FCB" w14:textId="77777777" w:rsidR="004C7180" w:rsidRPr="00150EDC" w:rsidRDefault="00CF0754" w:rsidP="00B320C7">
      <w:pPr>
        <w:pStyle w:val="ListParagraph"/>
        <w:numPr>
          <w:ilvl w:val="3"/>
          <w:numId w:val="182"/>
        </w:numPr>
        <w:tabs>
          <w:tab w:val="left" w:pos="1491"/>
        </w:tabs>
        <w:spacing w:before="22"/>
        <w:ind w:left="1491" w:hanging="425"/>
        <w:rPr>
          <w:rFonts w:ascii="Calibri"/>
          <w:sz w:val="24"/>
        </w:rPr>
      </w:pPr>
      <w:r w:rsidRPr="00150EDC">
        <w:rPr>
          <w:rFonts w:ascii="Calibri"/>
          <w:sz w:val="24"/>
        </w:rPr>
        <w:t>there</w:t>
      </w:r>
      <w:r w:rsidRPr="00150EDC">
        <w:rPr>
          <w:rFonts w:ascii="Calibri"/>
          <w:spacing w:val="-4"/>
          <w:sz w:val="24"/>
        </w:rPr>
        <w:t xml:space="preserve"> </w:t>
      </w:r>
      <w:r w:rsidRPr="00150EDC">
        <w:rPr>
          <w:rFonts w:ascii="Calibri"/>
          <w:sz w:val="24"/>
        </w:rPr>
        <w:t>is</w:t>
      </w:r>
      <w:r w:rsidRPr="00150EDC">
        <w:rPr>
          <w:rFonts w:ascii="Calibri"/>
          <w:spacing w:val="-2"/>
          <w:sz w:val="24"/>
        </w:rPr>
        <w:t xml:space="preserve"> </w:t>
      </w:r>
      <w:r w:rsidRPr="00150EDC">
        <w:rPr>
          <w:rFonts w:ascii="Calibri"/>
          <w:sz w:val="24"/>
        </w:rPr>
        <w:t>any</w:t>
      </w:r>
      <w:r w:rsidRPr="00150EDC">
        <w:rPr>
          <w:rFonts w:ascii="Calibri"/>
          <w:spacing w:val="-2"/>
          <w:sz w:val="24"/>
        </w:rPr>
        <w:t xml:space="preserve"> </w:t>
      </w:r>
      <w:r w:rsidRPr="00150EDC">
        <w:rPr>
          <w:rFonts w:ascii="Calibri"/>
          <w:sz w:val="24"/>
        </w:rPr>
        <w:t>material</w:t>
      </w:r>
      <w:r w:rsidRPr="00150EDC">
        <w:rPr>
          <w:rFonts w:ascii="Calibri"/>
          <w:spacing w:val="-4"/>
          <w:sz w:val="24"/>
        </w:rPr>
        <w:t xml:space="preserve"> </w:t>
      </w:r>
      <w:r w:rsidRPr="00150EDC">
        <w:rPr>
          <w:rFonts w:ascii="Calibri"/>
          <w:sz w:val="24"/>
        </w:rPr>
        <w:t>Default</w:t>
      </w:r>
      <w:r w:rsidRPr="00150EDC">
        <w:rPr>
          <w:rFonts w:ascii="Calibri"/>
          <w:spacing w:val="-4"/>
          <w:sz w:val="24"/>
        </w:rPr>
        <w:t xml:space="preserve"> </w:t>
      </w:r>
      <w:r w:rsidRPr="00150EDC">
        <w:rPr>
          <w:rFonts w:ascii="Calibri"/>
          <w:sz w:val="24"/>
        </w:rPr>
        <w:t>of</w:t>
      </w:r>
      <w:r w:rsidRPr="00150EDC">
        <w:rPr>
          <w:rFonts w:ascii="Calibri"/>
          <w:spacing w:val="-3"/>
          <w:sz w:val="24"/>
        </w:rPr>
        <w:t xml:space="preserve"> </w:t>
      </w:r>
      <w:r w:rsidRPr="00150EDC">
        <w:rPr>
          <w:rFonts w:ascii="Calibri"/>
          <w:sz w:val="24"/>
        </w:rPr>
        <w:t>any</w:t>
      </w:r>
      <w:r w:rsidRPr="00150EDC">
        <w:rPr>
          <w:rFonts w:ascii="Calibri"/>
          <w:spacing w:val="2"/>
          <w:sz w:val="24"/>
        </w:rPr>
        <w:t xml:space="preserve"> </w:t>
      </w:r>
      <w:r w:rsidRPr="00150EDC">
        <w:rPr>
          <w:rFonts w:ascii="Calibri"/>
          <w:sz w:val="24"/>
        </w:rPr>
        <w:t>Joint</w:t>
      </w:r>
      <w:r w:rsidRPr="00150EDC">
        <w:rPr>
          <w:rFonts w:ascii="Calibri"/>
          <w:spacing w:val="-1"/>
          <w:sz w:val="24"/>
        </w:rPr>
        <w:t xml:space="preserve"> </w:t>
      </w:r>
      <w:r w:rsidRPr="00150EDC">
        <w:rPr>
          <w:rFonts w:ascii="Calibri"/>
          <w:sz w:val="24"/>
        </w:rPr>
        <w:t>Controller</w:t>
      </w:r>
      <w:r w:rsidRPr="00150EDC">
        <w:rPr>
          <w:rFonts w:ascii="Calibri"/>
          <w:spacing w:val="-2"/>
          <w:sz w:val="24"/>
        </w:rPr>
        <w:t xml:space="preserve"> </w:t>
      </w:r>
      <w:r w:rsidRPr="00150EDC">
        <w:rPr>
          <w:rFonts w:ascii="Calibri"/>
          <w:sz w:val="24"/>
        </w:rPr>
        <w:t>Agreement</w:t>
      </w:r>
      <w:r w:rsidRPr="00150EDC">
        <w:rPr>
          <w:rFonts w:ascii="Calibri"/>
          <w:spacing w:val="-1"/>
          <w:sz w:val="24"/>
        </w:rPr>
        <w:t xml:space="preserve"> </w:t>
      </w:r>
      <w:r w:rsidRPr="00150EDC">
        <w:rPr>
          <w:rFonts w:ascii="Calibri"/>
          <w:sz w:val="24"/>
        </w:rPr>
        <w:t>relating</w:t>
      </w:r>
      <w:r w:rsidRPr="00150EDC">
        <w:rPr>
          <w:rFonts w:ascii="Calibri"/>
          <w:spacing w:val="-2"/>
          <w:sz w:val="24"/>
        </w:rPr>
        <w:t xml:space="preserve"> </w:t>
      </w:r>
      <w:r w:rsidRPr="00150EDC">
        <w:rPr>
          <w:rFonts w:ascii="Calibri"/>
          <w:sz w:val="24"/>
        </w:rPr>
        <w:t>to</w:t>
      </w:r>
      <w:r w:rsidRPr="00150EDC">
        <w:rPr>
          <w:rFonts w:ascii="Calibri"/>
          <w:spacing w:val="-4"/>
          <w:sz w:val="24"/>
        </w:rPr>
        <w:t xml:space="preserve"> </w:t>
      </w:r>
      <w:r w:rsidRPr="00150EDC">
        <w:rPr>
          <w:rFonts w:ascii="Calibri"/>
          <w:sz w:val="24"/>
        </w:rPr>
        <w:t>any</w:t>
      </w:r>
      <w:r w:rsidRPr="00150EDC">
        <w:rPr>
          <w:rFonts w:ascii="Calibri"/>
          <w:spacing w:val="-2"/>
          <w:sz w:val="24"/>
        </w:rPr>
        <w:t xml:space="preserve"> Contract;</w:t>
      </w:r>
    </w:p>
    <w:p w14:paraId="00046CEF" w14:textId="77777777" w:rsidR="004C7180" w:rsidRPr="00150EDC" w:rsidRDefault="00CF0754" w:rsidP="00B320C7">
      <w:pPr>
        <w:pStyle w:val="ListParagraph"/>
        <w:numPr>
          <w:ilvl w:val="3"/>
          <w:numId w:val="182"/>
        </w:numPr>
        <w:tabs>
          <w:tab w:val="left" w:pos="1494"/>
        </w:tabs>
        <w:spacing w:before="19"/>
        <w:ind w:right="1186" w:hanging="428"/>
        <w:rPr>
          <w:rFonts w:ascii="Calibri"/>
          <w:sz w:val="24"/>
        </w:rPr>
      </w:pPr>
      <w:r w:rsidRPr="00150EDC">
        <w:rPr>
          <w:rFonts w:ascii="Calibri"/>
          <w:sz w:val="24"/>
        </w:rPr>
        <w:t>there</w:t>
      </w:r>
      <w:r w:rsidRPr="00150EDC">
        <w:rPr>
          <w:rFonts w:ascii="Calibri"/>
          <w:spacing w:val="-1"/>
          <w:sz w:val="24"/>
        </w:rPr>
        <w:t xml:space="preserve"> </w:t>
      </w:r>
      <w:r w:rsidRPr="00150EDC">
        <w:rPr>
          <w:rFonts w:ascii="Calibri"/>
          <w:sz w:val="24"/>
        </w:rPr>
        <w:t>is</w:t>
      </w:r>
      <w:r w:rsidRPr="00150EDC">
        <w:rPr>
          <w:rFonts w:ascii="Calibri"/>
          <w:spacing w:val="-2"/>
          <w:sz w:val="24"/>
        </w:rPr>
        <w:t xml:space="preserve"> </w:t>
      </w:r>
      <w:r w:rsidRPr="00150EDC">
        <w:rPr>
          <w:rFonts w:ascii="Calibri"/>
          <w:sz w:val="24"/>
        </w:rPr>
        <w:t>a</w:t>
      </w:r>
      <w:r w:rsidRPr="00150EDC">
        <w:rPr>
          <w:rFonts w:ascii="Calibri"/>
          <w:spacing w:val="-4"/>
          <w:sz w:val="24"/>
        </w:rPr>
        <w:t xml:space="preserve"> </w:t>
      </w:r>
      <w:r w:rsidRPr="00150EDC">
        <w:rPr>
          <w:rFonts w:ascii="Calibri"/>
          <w:sz w:val="24"/>
        </w:rPr>
        <w:t>Default</w:t>
      </w:r>
      <w:r w:rsidRPr="00150EDC">
        <w:rPr>
          <w:rFonts w:ascii="Calibri"/>
          <w:spacing w:val="-3"/>
          <w:sz w:val="24"/>
        </w:rPr>
        <w:t xml:space="preserve"> </w:t>
      </w:r>
      <w:r w:rsidRPr="00150EDC">
        <w:rPr>
          <w:rFonts w:ascii="Calibri"/>
          <w:sz w:val="24"/>
        </w:rPr>
        <w:t>of</w:t>
      </w:r>
      <w:r w:rsidRPr="00150EDC">
        <w:rPr>
          <w:rFonts w:ascii="Calibri"/>
          <w:spacing w:val="-3"/>
          <w:sz w:val="24"/>
        </w:rPr>
        <w:t xml:space="preserve"> </w:t>
      </w:r>
      <w:r w:rsidRPr="00150EDC">
        <w:rPr>
          <w:rFonts w:ascii="Calibri"/>
          <w:sz w:val="24"/>
        </w:rPr>
        <w:t>Clauses</w:t>
      </w:r>
      <w:r w:rsidRPr="00150EDC">
        <w:rPr>
          <w:rFonts w:ascii="Calibri"/>
          <w:spacing w:val="-2"/>
          <w:sz w:val="24"/>
        </w:rPr>
        <w:t xml:space="preserve"> </w:t>
      </w:r>
      <w:r w:rsidRPr="00150EDC">
        <w:rPr>
          <w:rFonts w:ascii="Calibri"/>
          <w:sz w:val="24"/>
        </w:rPr>
        <w:t>2.10,</w:t>
      </w:r>
      <w:r w:rsidRPr="00150EDC">
        <w:rPr>
          <w:rFonts w:ascii="Calibri"/>
          <w:spacing w:val="-3"/>
          <w:sz w:val="24"/>
        </w:rPr>
        <w:t xml:space="preserve"> </w:t>
      </w:r>
      <w:r w:rsidRPr="00150EDC">
        <w:rPr>
          <w:rFonts w:ascii="Calibri"/>
          <w:sz w:val="24"/>
        </w:rPr>
        <w:t>9,</w:t>
      </w:r>
      <w:r w:rsidRPr="00150EDC">
        <w:rPr>
          <w:rFonts w:ascii="Calibri"/>
          <w:spacing w:val="-3"/>
          <w:sz w:val="24"/>
        </w:rPr>
        <w:t xml:space="preserve"> </w:t>
      </w:r>
      <w:r w:rsidRPr="00150EDC">
        <w:rPr>
          <w:rFonts w:ascii="Calibri"/>
          <w:sz w:val="24"/>
        </w:rPr>
        <w:t>14,</w:t>
      </w:r>
      <w:r w:rsidRPr="00150EDC">
        <w:rPr>
          <w:rFonts w:ascii="Calibri"/>
          <w:spacing w:val="-4"/>
          <w:sz w:val="24"/>
        </w:rPr>
        <w:t xml:space="preserve"> </w:t>
      </w:r>
      <w:r w:rsidRPr="00150EDC">
        <w:rPr>
          <w:rFonts w:ascii="Calibri"/>
          <w:sz w:val="24"/>
        </w:rPr>
        <w:t>15,</w:t>
      </w:r>
      <w:r w:rsidRPr="00150EDC">
        <w:rPr>
          <w:rFonts w:ascii="Calibri"/>
          <w:spacing w:val="-4"/>
          <w:sz w:val="24"/>
        </w:rPr>
        <w:t xml:space="preserve"> </w:t>
      </w:r>
      <w:r w:rsidRPr="00150EDC">
        <w:rPr>
          <w:rFonts w:ascii="Calibri"/>
          <w:sz w:val="24"/>
        </w:rPr>
        <w:t>27,</w:t>
      </w:r>
      <w:r w:rsidRPr="00150EDC">
        <w:rPr>
          <w:rFonts w:ascii="Calibri"/>
          <w:spacing w:val="-4"/>
          <w:sz w:val="24"/>
        </w:rPr>
        <w:t xml:space="preserve"> </w:t>
      </w:r>
      <w:r w:rsidRPr="00150EDC">
        <w:rPr>
          <w:rFonts w:ascii="Calibri"/>
          <w:sz w:val="24"/>
        </w:rPr>
        <w:t>32</w:t>
      </w:r>
      <w:r w:rsidRPr="00150EDC">
        <w:rPr>
          <w:rFonts w:ascii="Calibri"/>
          <w:spacing w:val="-3"/>
          <w:sz w:val="24"/>
        </w:rPr>
        <w:t xml:space="preserve"> </w:t>
      </w:r>
      <w:r w:rsidRPr="00150EDC">
        <w:rPr>
          <w:rFonts w:ascii="Calibri"/>
          <w:sz w:val="24"/>
        </w:rPr>
        <w:t>or</w:t>
      </w:r>
      <w:r w:rsidRPr="00150EDC">
        <w:rPr>
          <w:rFonts w:ascii="Calibri"/>
          <w:spacing w:val="-3"/>
          <w:sz w:val="24"/>
        </w:rPr>
        <w:t xml:space="preserve"> </w:t>
      </w:r>
      <w:r w:rsidRPr="00150EDC">
        <w:rPr>
          <w:rFonts w:ascii="Calibri"/>
          <w:sz w:val="24"/>
        </w:rPr>
        <w:t>DPS</w:t>
      </w:r>
      <w:r w:rsidRPr="00150EDC">
        <w:rPr>
          <w:rFonts w:ascii="Calibri"/>
          <w:spacing w:val="-1"/>
          <w:sz w:val="24"/>
        </w:rPr>
        <w:t xml:space="preserve"> </w:t>
      </w:r>
      <w:r w:rsidRPr="00150EDC">
        <w:rPr>
          <w:rFonts w:ascii="Calibri"/>
          <w:sz w:val="24"/>
        </w:rPr>
        <w:t>Schedule</w:t>
      </w:r>
      <w:r w:rsidRPr="00150EDC">
        <w:rPr>
          <w:rFonts w:ascii="Calibri"/>
          <w:spacing w:val="-3"/>
          <w:sz w:val="24"/>
        </w:rPr>
        <w:t xml:space="preserve"> </w:t>
      </w:r>
      <w:r w:rsidRPr="00150EDC">
        <w:rPr>
          <w:rFonts w:ascii="Calibri"/>
          <w:sz w:val="24"/>
        </w:rPr>
        <w:t>9</w:t>
      </w:r>
      <w:r w:rsidRPr="00150EDC">
        <w:rPr>
          <w:rFonts w:ascii="Calibri"/>
          <w:spacing w:val="-1"/>
          <w:sz w:val="24"/>
        </w:rPr>
        <w:t xml:space="preserve"> </w:t>
      </w:r>
      <w:r w:rsidRPr="00150EDC">
        <w:rPr>
          <w:rFonts w:ascii="Calibri"/>
          <w:sz w:val="24"/>
        </w:rPr>
        <w:t>(Cyber</w:t>
      </w:r>
      <w:r w:rsidRPr="00150EDC">
        <w:rPr>
          <w:rFonts w:ascii="Calibri"/>
          <w:spacing w:val="-1"/>
          <w:sz w:val="24"/>
        </w:rPr>
        <w:t xml:space="preserve"> </w:t>
      </w:r>
      <w:r w:rsidRPr="00150EDC">
        <w:rPr>
          <w:rFonts w:ascii="Calibri"/>
          <w:sz w:val="24"/>
        </w:rPr>
        <w:t>Essentials)</w:t>
      </w:r>
      <w:r w:rsidRPr="00150EDC">
        <w:rPr>
          <w:rFonts w:ascii="Calibri"/>
          <w:spacing w:val="-3"/>
          <w:sz w:val="24"/>
        </w:rPr>
        <w:t xml:space="preserve"> </w:t>
      </w:r>
      <w:r w:rsidRPr="00150EDC">
        <w:rPr>
          <w:rFonts w:ascii="Calibri"/>
          <w:sz w:val="24"/>
        </w:rPr>
        <w:t>(where applicable) relating to any Contract;</w:t>
      </w:r>
    </w:p>
    <w:p w14:paraId="44D3CCAA" w14:textId="77777777" w:rsidR="004C7180" w:rsidRPr="00150EDC" w:rsidRDefault="00CF0754" w:rsidP="00B320C7">
      <w:pPr>
        <w:pStyle w:val="ListParagraph"/>
        <w:numPr>
          <w:ilvl w:val="3"/>
          <w:numId w:val="182"/>
        </w:numPr>
        <w:tabs>
          <w:tab w:val="left" w:pos="1494"/>
        </w:tabs>
        <w:spacing w:before="21"/>
        <w:ind w:right="942" w:hanging="428"/>
        <w:rPr>
          <w:rFonts w:ascii="Calibri"/>
          <w:sz w:val="24"/>
        </w:rPr>
      </w:pPr>
      <w:r w:rsidRPr="00150EDC">
        <w:rPr>
          <w:rFonts w:ascii="Calibri"/>
          <w:sz w:val="24"/>
        </w:rPr>
        <w:t>there</w:t>
      </w:r>
      <w:r w:rsidRPr="00150EDC">
        <w:rPr>
          <w:rFonts w:ascii="Calibri"/>
          <w:spacing w:val="-2"/>
          <w:sz w:val="24"/>
        </w:rPr>
        <w:t xml:space="preserve"> </w:t>
      </w:r>
      <w:r w:rsidRPr="00150EDC">
        <w:rPr>
          <w:rFonts w:ascii="Calibri"/>
          <w:sz w:val="24"/>
        </w:rPr>
        <w:t>is</w:t>
      </w:r>
      <w:r w:rsidRPr="00150EDC">
        <w:rPr>
          <w:rFonts w:ascii="Calibri"/>
          <w:spacing w:val="-3"/>
          <w:sz w:val="24"/>
        </w:rPr>
        <w:t xml:space="preserve"> </w:t>
      </w:r>
      <w:r w:rsidRPr="00150EDC">
        <w:rPr>
          <w:rFonts w:ascii="Calibri"/>
          <w:sz w:val="24"/>
        </w:rPr>
        <w:t>a</w:t>
      </w:r>
      <w:r w:rsidRPr="00150EDC">
        <w:rPr>
          <w:rFonts w:ascii="Calibri"/>
          <w:spacing w:val="-5"/>
          <w:sz w:val="24"/>
        </w:rPr>
        <w:t xml:space="preserve"> </w:t>
      </w:r>
      <w:r w:rsidRPr="00150EDC">
        <w:rPr>
          <w:rFonts w:ascii="Calibri"/>
          <w:sz w:val="24"/>
        </w:rPr>
        <w:t>consistent</w:t>
      </w:r>
      <w:r w:rsidRPr="00150EDC">
        <w:rPr>
          <w:rFonts w:ascii="Calibri"/>
          <w:spacing w:val="-2"/>
          <w:sz w:val="24"/>
        </w:rPr>
        <w:t xml:space="preserve"> </w:t>
      </w:r>
      <w:r w:rsidRPr="00150EDC">
        <w:rPr>
          <w:rFonts w:ascii="Calibri"/>
          <w:sz w:val="24"/>
        </w:rPr>
        <w:t>repeated</w:t>
      </w:r>
      <w:r w:rsidRPr="00150EDC">
        <w:rPr>
          <w:rFonts w:ascii="Calibri"/>
          <w:spacing w:val="-2"/>
          <w:sz w:val="24"/>
        </w:rPr>
        <w:t xml:space="preserve"> </w:t>
      </w:r>
      <w:r w:rsidRPr="00150EDC">
        <w:rPr>
          <w:rFonts w:ascii="Calibri"/>
          <w:sz w:val="24"/>
        </w:rPr>
        <w:t>failure</w:t>
      </w:r>
      <w:r w:rsidRPr="00150EDC">
        <w:rPr>
          <w:rFonts w:ascii="Calibri"/>
          <w:spacing w:val="-4"/>
          <w:sz w:val="24"/>
        </w:rPr>
        <w:t xml:space="preserve"> </w:t>
      </w:r>
      <w:r w:rsidRPr="00150EDC">
        <w:rPr>
          <w:rFonts w:ascii="Calibri"/>
          <w:sz w:val="24"/>
        </w:rPr>
        <w:t>to</w:t>
      </w:r>
      <w:r w:rsidRPr="00150EDC">
        <w:rPr>
          <w:rFonts w:ascii="Calibri"/>
          <w:spacing w:val="-2"/>
          <w:sz w:val="24"/>
        </w:rPr>
        <w:t xml:space="preserve"> </w:t>
      </w:r>
      <w:r w:rsidRPr="00150EDC">
        <w:rPr>
          <w:rFonts w:ascii="Calibri"/>
          <w:sz w:val="24"/>
        </w:rPr>
        <w:t>meet</w:t>
      </w:r>
      <w:r w:rsidRPr="00150EDC">
        <w:rPr>
          <w:rFonts w:ascii="Calibri"/>
          <w:spacing w:val="-3"/>
          <w:sz w:val="24"/>
        </w:rPr>
        <w:t xml:space="preserve"> </w:t>
      </w:r>
      <w:r w:rsidRPr="00150EDC">
        <w:rPr>
          <w:rFonts w:ascii="Calibri"/>
          <w:sz w:val="24"/>
        </w:rPr>
        <w:t>the</w:t>
      </w:r>
      <w:r w:rsidRPr="00150EDC">
        <w:rPr>
          <w:rFonts w:ascii="Calibri"/>
          <w:spacing w:val="-5"/>
          <w:sz w:val="24"/>
        </w:rPr>
        <w:t xml:space="preserve"> </w:t>
      </w:r>
      <w:r w:rsidRPr="00150EDC">
        <w:rPr>
          <w:rFonts w:ascii="Calibri"/>
          <w:sz w:val="24"/>
        </w:rPr>
        <w:t>Performance</w:t>
      </w:r>
      <w:r w:rsidRPr="00150EDC">
        <w:rPr>
          <w:rFonts w:ascii="Calibri"/>
          <w:spacing w:val="-2"/>
          <w:sz w:val="24"/>
        </w:rPr>
        <w:t xml:space="preserve"> </w:t>
      </w:r>
      <w:r w:rsidRPr="00150EDC">
        <w:rPr>
          <w:rFonts w:ascii="Calibri"/>
          <w:sz w:val="24"/>
        </w:rPr>
        <w:t>Indicators</w:t>
      </w:r>
      <w:r w:rsidRPr="00150EDC">
        <w:rPr>
          <w:rFonts w:ascii="Calibri"/>
          <w:spacing w:val="-5"/>
          <w:sz w:val="24"/>
        </w:rPr>
        <w:t xml:space="preserve"> </w:t>
      </w:r>
      <w:r w:rsidRPr="00150EDC">
        <w:rPr>
          <w:rFonts w:ascii="Calibri"/>
          <w:sz w:val="24"/>
        </w:rPr>
        <w:t>in</w:t>
      </w:r>
      <w:r w:rsidRPr="00150EDC">
        <w:rPr>
          <w:rFonts w:ascii="Calibri"/>
          <w:spacing w:val="-2"/>
          <w:sz w:val="24"/>
        </w:rPr>
        <w:t xml:space="preserve"> </w:t>
      </w:r>
      <w:r w:rsidRPr="00150EDC">
        <w:rPr>
          <w:rFonts w:ascii="Calibri"/>
          <w:sz w:val="24"/>
        </w:rPr>
        <w:t>DPS</w:t>
      </w:r>
      <w:r w:rsidRPr="00150EDC">
        <w:rPr>
          <w:rFonts w:ascii="Calibri"/>
          <w:spacing w:val="-2"/>
          <w:sz w:val="24"/>
        </w:rPr>
        <w:t xml:space="preserve"> </w:t>
      </w:r>
      <w:r w:rsidRPr="00150EDC">
        <w:rPr>
          <w:rFonts w:ascii="Calibri"/>
          <w:sz w:val="24"/>
        </w:rPr>
        <w:t>Schedule</w:t>
      </w:r>
      <w:r w:rsidRPr="00150EDC">
        <w:rPr>
          <w:rFonts w:ascii="Calibri"/>
          <w:spacing w:val="-2"/>
          <w:sz w:val="24"/>
        </w:rPr>
        <w:t xml:space="preserve"> </w:t>
      </w:r>
      <w:r w:rsidRPr="00150EDC">
        <w:rPr>
          <w:rFonts w:ascii="Calibri"/>
          <w:sz w:val="24"/>
        </w:rPr>
        <w:t>4</w:t>
      </w:r>
      <w:r w:rsidRPr="00150EDC">
        <w:rPr>
          <w:rFonts w:ascii="Calibri"/>
          <w:spacing w:val="-4"/>
          <w:sz w:val="24"/>
        </w:rPr>
        <w:t xml:space="preserve"> </w:t>
      </w:r>
      <w:r w:rsidRPr="00150EDC">
        <w:rPr>
          <w:rFonts w:ascii="Calibri"/>
          <w:sz w:val="24"/>
        </w:rPr>
        <w:t xml:space="preserve">(DPS </w:t>
      </w:r>
      <w:r w:rsidRPr="00150EDC">
        <w:rPr>
          <w:rFonts w:ascii="Calibri"/>
          <w:spacing w:val="-2"/>
          <w:sz w:val="24"/>
        </w:rPr>
        <w:t>Management);</w:t>
      </w:r>
    </w:p>
    <w:p w14:paraId="0C5F6650" w14:textId="77777777" w:rsidR="004C7180" w:rsidRPr="00150EDC" w:rsidRDefault="00CF0754" w:rsidP="00B320C7">
      <w:pPr>
        <w:pStyle w:val="ListParagraph"/>
        <w:numPr>
          <w:ilvl w:val="3"/>
          <w:numId w:val="182"/>
        </w:numPr>
        <w:tabs>
          <w:tab w:val="left" w:pos="1491"/>
          <w:tab w:val="left" w:pos="1494"/>
        </w:tabs>
        <w:spacing w:before="19"/>
        <w:ind w:right="757" w:hanging="428"/>
        <w:rPr>
          <w:rFonts w:ascii="Calibri"/>
          <w:sz w:val="24"/>
        </w:rPr>
      </w:pPr>
      <w:r w:rsidRPr="00150EDC">
        <w:rPr>
          <w:rFonts w:ascii="Calibri"/>
          <w:sz w:val="24"/>
        </w:rPr>
        <w:t>there</w:t>
      </w:r>
      <w:r w:rsidRPr="00150EDC">
        <w:rPr>
          <w:rFonts w:ascii="Calibri"/>
          <w:spacing w:val="-1"/>
          <w:sz w:val="24"/>
        </w:rPr>
        <w:t xml:space="preserve"> </w:t>
      </w:r>
      <w:r w:rsidRPr="00150EDC">
        <w:rPr>
          <w:rFonts w:ascii="Calibri"/>
          <w:sz w:val="24"/>
        </w:rPr>
        <w:t>is</w:t>
      </w:r>
      <w:r w:rsidRPr="00150EDC">
        <w:rPr>
          <w:rFonts w:ascii="Calibri"/>
          <w:spacing w:val="-2"/>
          <w:sz w:val="24"/>
        </w:rPr>
        <w:t xml:space="preserve"> </w:t>
      </w:r>
      <w:r w:rsidRPr="00150EDC">
        <w:rPr>
          <w:rFonts w:ascii="Calibri"/>
          <w:sz w:val="24"/>
        </w:rPr>
        <w:t>a</w:t>
      </w:r>
      <w:r w:rsidRPr="00150EDC">
        <w:rPr>
          <w:rFonts w:ascii="Calibri"/>
          <w:spacing w:val="-4"/>
          <w:sz w:val="24"/>
        </w:rPr>
        <w:t xml:space="preserve"> </w:t>
      </w:r>
      <w:r w:rsidRPr="00150EDC">
        <w:rPr>
          <w:rFonts w:ascii="Calibri"/>
          <w:sz w:val="24"/>
        </w:rPr>
        <w:t>Change</w:t>
      </w:r>
      <w:r w:rsidRPr="00150EDC">
        <w:rPr>
          <w:rFonts w:ascii="Calibri"/>
          <w:spacing w:val="-1"/>
          <w:sz w:val="24"/>
        </w:rPr>
        <w:t xml:space="preserve"> </w:t>
      </w:r>
      <w:r w:rsidRPr="00150EDC">
        <w:rPr>
          <w:rFonts w:ascii="Calibri"/>
          <w:sz w:val="24"/>
        </w:rPr>
        <w:t>of</w:t>
      </w:r>
      <w:r w:rsidRPr="00150EDC">
        <w:rPr>
          <w:rFonts w:ascii="Calibri"/>
          <w:spacing w:val="-1"/>
          <w:sz w:val="24"/>
        </w:rPr>
        <w:t xml:space="preserve"> </w:t>
      </w:r>
      <w:r w:rsidRPr="00150EDC">
        <w:rPr>
          <w:rFonts w:ascii="Calibri"/>
          <w:sz w:val="24"/>
        </w:rPr>
        <w:t>Control</w:t>
      </w:r>
      <w:r w:rsidRPr="00150EDC">
        <w:rPr>
          <w:rFonts w:ascii="Calibri"/>
          <w:spacing w:val="-2"/>
          <w:sz w:val="24"/>
        </w:rPr>
        <w:t xml:space="preserve"> </w:t>
      </w:r>
      <w:r w:rsidRPr="00150EDC">
        <w:rPr>
          <w:rFonts w:ascii="Calibri"/>
          <w:sz w:val="24"/>
        </w:rPr>
        <w:t>of</w:t>
      </w:r>
      <w:r w:rsidRPr="00150EDC">
        <w:rPr>
          <w:rFonts w:ascii="Calibri"/>
          <w:spacing w:val="-1"/>
          <w:sz w:val="24"/>
        </w:rPr>
        <w:t xml:space="preserve"> </w:t>
      </w:r>
      <w:r w:rsidRPr="00150EDC">
        <w:rPr>
          <w:rFonts w:ascii="Calibri"/>
          <w:sz w:val="24"/>
        </w:rPr>
        <w:t>the</w:t>
      </w:r>
      <w:r w:rsidRPr="00150EDC">
        <w:rPr>
          <w:rFonts w:ascii="Calibri"/>
          <w:spacing w:val="-4"/>
          <w:sz w:val="24"/>
        </w:rPr>
        <w:t xml:space="preserve"> </w:t>
      </w:r>
      <w:r w:rsidRPr="00150EDC">
        <w:rPr>
          <w:rFonts w:ascii="Calibri"/>
          <w:sz w:val="24"/>
        </w:rPr>
        <w:t>Supplier</w:t>
      </w:r>
      <w:r w:rsidRPr="00150EDC">
        <w:rPr>
          <w:rFonts w:ascii="Calibri"/>
          <w:spacing w:val="-3"/>
          <w:sz w:val="24"/>
        </w:rPr>
        <w:t xml:space="preserve"> </w:t>
      </w:r>
      <w:r w:rsidRPr="00150EDC">
        <w:rPr>
          <w:rFonts w:ascii="Calibri"/>
          <w:sz w:val="24"/>
        </w:rPr>
        <w:t>which</w:t>
      </w:r>
      <w:r w:rsidRPr="00150EDC">
        <w:rPr>
          <w:rFonts w:ascii="Calibri"/>
          <w:spacing w:val="-3"/>
          <w:sz w:val="24"/>
        </w:rPr>
        <w:t xml:space="preserve"> </w:t>
      </w:r>
      <w:r w:rsidRPr="00150EDC">
        <w:rPr>
          <w:rFonts w:ascii="Calibri"/>
          <w:sz w:val="24"/>
        </w:rPr>
        <w:t>is</w:t>
      </w:r>
      <w:r w:rsidRPr="00150EDC">
        <w:rPr>
          <w:rFonts w:ascii="Calibri"/>
          <w:spacing w:val="-2"/>
          <w:sz w:val="24"/>
        </w:rPr>
        <w:t xml:space="preserve"> </w:t>
      </w:r>
      <w:r w:rsidRPr="00150EDC">
        <w:rPr>
          <w:rFonts w:ascii="Calibri"/>
          <w:sz w:val="24"/>
        </w:rPr>
        <w:t>not</w:t>
      </w:r>
      <w:r w:rsidRPr="00150EDC">
        <w:rPr>
          <w:rFonts w:ascii="Calibri"/>
          <w:spacing w:val="-1"/>
          <w:sz w:val="24"/>
        </w:rPr>
        <w:t xml:space="preserve"> </w:t>
      </w:r>
      <w:r w:rsidRPr="00150EDC">
        <w:rPr>
          <w:rFonts w:ascii="Calibri"/>
          <w:sz w:val="24"/>
        </w:rPr>
        <w:t>pre-approved</w:t>
      </w:r>
      <w:r w:rsidRPr="00150EDC">
        <w:rPr>
          <w:rFonts w:ascii="Calibri"/>
          <w:spacing w:val="-3"/>
          <w:sz w:val="24"/>
        </w:rPr>
        <w:t xml:space="preserve"> </w:t>
      </w:r>
      <w:r w:rsidRPr="00150EDC">
        <w:rPr>
          <w:rFonts w:ascii="Calibri"/>
          <w:sz w:val="24"/>
        </w:rPr>
        <w:t>by</w:t>
      </w:r>
      <w:r w:rsidRPr="00150EDC">
        <w:rPr>
          <w:rFonts w:ascii="Calibri"/>
          <w:spacing w:val="-5"/>
          <w:sz w:val="24"/>
        </w:rPr>
        <w:t xml:space="preserve"> </w:t>
      </w:r>
      <w:r w:rsidRPr="00150EDC">
        <w:rPr>
          <w:rFonts w:ascii="Calibri"/>
          <w:sz w:val="24"/>
        </w:rPr>
        <w:t>the</w:t>
      </w:r>
      <w:r w:rsidRPr="00150EDC">
        <w:rPr>
          <w:rFonts w:ascii="Calibri"/>
          <w:spacing w:val="-1"/>
          <w:sz w:val="24"/>
        </w:rPr>
        <w:t xml:space="preserve"> </w:t>
      </w:r>
      <w:r w:rsidRPr="00150EDC">
        <w:rPr>
          <w:rFonts w:ascii="Calibri"/>
          <w:sz w:val="24"/>
        </w:rPr>
        <w:t>Relevant</w:t>
      </w:r>
      <w:r w:rsidRPr="00150EDC">
        <w:rPr>
          <w:rFonts w:ascii="Calibri"/>
          <w:spacing w:val="-3"/>
          <w:sz w:val="24"/>
        </w:rPr>
        <w:t xml:space="preserve"> </w:t>
      </w:r>
      <w:r w:rsidRPr="00150EDC">
        <w:rPr>
          <w:rFonts w:ascii="Calibri"/>
          <w:sz w:val="24"/>
        </w:rPr>
        <w:t>Authority</w:t>
      </w:r>
      <w:r w:rsidRPr="00150EDC">
        <w:rPr>
          <w:rFonts w:ascii="Calibri"/>
          <w:spacing w:val="-2"/>
          <w:sz w:val="24"/>
        </w:rPr>
        <w:t xml:space="preserve"> </w:t>
      </w:r>
      <w:r w:rsidRPr="00150EDC">
        <w:rPr>
          <w:rFonts w:ascii="Calibri"/>
          <w:sz w:val="24"/>
        </w:rPr>
        <w:t xml:space="preserve">in </w:t>
      </w:r>
      <w:r w:rsidRPr="00150EDC">
        <w:rPr>
          <w:rFonts w:ascii="Calibri"/>
          <w:spacing w:val="-2"/>
          <w:sz w:val="24"/>
        </w:rPr>
        <w:t>writing;</w:t>
      </w:r>
    </w:p>
    <w:p w14:paraId="42E4B027" w14:textId="77777777" w:rsidR="004C7180" w:rsidRPr="00150EDC" w:rsidRDefault="00CF0754" w:rsidP="00B320C7">
      <w:pPr>
        <w:pStyle w:val="ListParagraph"/>
        <w:numPr>
          <w:ilvl w:val="3"/>
          <w:numId w:val="182"/>
        </w:numPr>
        <w:tabs>
          <w:tab w:val="left" w:pos="1494"/>
        </w:tabs>
        <w:spacing w:before="19" w:line="242" w:lineRule="auto"/>
        <w:ind w:right="654" w:hanging="428"/>
        <w:rPr>
          <w:rFonts w:ascii="Calibri"/>
          <w:sz w:val="24"/>
        </w:rPr>
      </w:pPr>
      <w:r w:rsidRPr="00150EDC">
        <w:rPr>
          <w:rFonts w:ascii="Calibri"/>
          <w:sz w:val="24"/>
        </w:rPr>
        <w:t>if</w:t>
      </w:r>
      <w:r w:rsidRPr="00150EDC">
        <w:rPr>
          <w:rFonts w:ascii="Calibri"/>
          <w:spacing w:val="-1"/>
          <w:sz w:val="24"/>
        </w:rPr>
        <w:t xml:space="preserve"> </w:t>
      </w:r>
      <w:r w:rsidRPr="00150EDC">
        <w:rPr>
          <w:rFonts w:ascii="Calibri"/>
          <w:sz w:val="24"/>
        </w:rPr>
        <w:t>the</w:t>
      </w:r>
      <w:r w:rsidRPr="00150EDC">
        <w:rPr>
          <w:rFonts w:ascii="Calibri"/>
          <w:spacing w:val="-4"/>
          <w:sz w:val="24"/>
        </w:rPr>
        <w:t xml:space="preserve"> </w:t>
      </w:r>
      <w:r w:rsidRPr="00150EDC">
        <w:rPr>
          <w:rFonts w:ascii="Calibri"/>
          <w:sz w:val="24"/>
        </w:rPr>
        <w:t>Relevant</w:t>
      </w:r>
      <w:r w:rsidRPr="00150EDC">
        <w:rPr>
          <w:rFonts w:ascii="Calibri"/>
          <w:spacing w:val="-1"/>
          <w:sz w:val="24"/>
        </w:rPr>
        <w:t xml:space="preserve"> </w:t>
      </w:r>
      <w:r w:rsidRPr="00150EDC">
        <w:rPr>
          <w:rFonts w:ascii="Calibri"/>
          <w:sz w:val="24"/>
        </w:rPr>
        <w:t>Authority</w:t>
      </w:r>
      <w:r w:rsidRPr="00150EDC">
        <w:rPr>
          <w:rFonts w:ascii="Calibri"/>
          <w:spacing w:val="-5"/>
          <w:sz w:val="24"/>
        </w:rPr>
        <w:t xml:space="preserve"> </w:t>
      </w:r>
      <w:r w:rsidRPr="00150EDC">
        <w:rPr>
          <w:rFonts w:ascii="Calibri"/>
          <w:sz w:val="24"/>
        </w:rPr>
        <w:t>discovers</w:t>
      </w:r>
      <w:r w:rsidRPr="00150EDC">
        <w:rPr>
          <w:rFonts w:ascii="Calibri"/>
          <w:spacing w:val="-2"/>
          <w:sz w:val="24"/>
        </w:rPr>
        <w:t xml:space="preserve"> </w:t>
      </w:r>
      <w:r w:rsidRPr="00150EDC">
        <w:rPr>
          <w:rFonts w:ascii="Calibri"/>
          <w:sz w:val="24"/>
        </w:rPr>
        <w:t>that</w:t>
      </w:r>
      <w:r w:rsidRPr="00150EDC">
        <w:rPr>
          <w:rFonts w:ascii="Calibri"/>
          <w:spacing w:val="-3"/>
          <w:sz w:val="24"/>
        </w:rPr>
        <w:t xml:space="preserve"> </w:t>
      </w:r>
      <w:r w:rsidRPr="00150EDC">
        <w:rPr>
          <w:rFonts w:ascii="Calibri"/>
          <w:sz w:val="24"/>
        </w:rPr>
        <w:t>the</w:t>
      </w:r>
      <w:r w:rsidRPr="00150EDC">
        <w:rPr>
          <w:rFonts w:ascii="Calibri"/>
          <w:spacing w:val="-1"/>
          <w:sz w:val="24"/>
        </w:rPr>
        <w:t xml:space="preserve"> </w:t>
      </w:r>
      <w:r w:rsidRPr="00150EDC">
        <w:rPr>
          <w:rFonts w:ascii="Calibri"/>
          <w:sz w:val="24"/>
        </w:rPr>
        <w:t>Supplier</w:t>
      </w:r>
      <w:r w:rsidRPr="00150EDC">
        <w:rPr>
          <w:rFonts w:ascii="Calibri"/>
          <w:spacing w:val="-1"/>
          <w:sz w:val="24"/>
        </w:rPr>
        <w:t xml:space="preserve"> </w:t>
      </w:r>
      <w:r w:rsidRPr="00150EDC">
        <w:rPr>
          <w:rFonts w:ascii="Calibri"/>
          <w:sz w:val="24"/>
        </w:rPr>
        <w:t>was</w:t>
      </w:r>
      <w:r w:rsidRPr="00150EDC">
        <w:rPr>
          <w:rFonts w:ascii="Calibri"/>
          <w:spacing w:val="-2"/>
          <w:sz w:val="24"/>
        </w:rPr>
        <w:t xml:space="preserve"> </w:t>
      </w:r>
      <w:r w:rsidRPr="00150EDC">
        <w:rPr>
          <w:rFonts w:ascii="Calibri"/>
          <w:sz w:val="24"/>
        </w:rPr>
        <w:t>in</w:t>
      </w:r>
      <w:r w:rsidRPr="00150EDC">
        <w:rPr>
          <w:rFonts w:ascii="Calibri"/>
          <w:spacing w:val="-3"/>
          <w:sz w:val="24"/>
        </w:rPr>
        <w:t xml:space="preserve"> </w:t>
      </w:r>
      <w:r w:rsidRPr="00150EDC">
        <w:rPr>
          <w:rFonts w:ascii="Calibri"/>
          <w:sz w:val="24"/>
        </w:rPr>
        <w:t>one</w:t>
      </w:r>
      <w:r w:rsidRPr="00150EDC">
        <w:rPr>
          <w:rFonts w:ascii="Calibri"/>
          <w:spacing w:val="-2"/>
          <w:sz w:val="24"/>
        </w:rPr>
        <w:t xml:space="preserve"> </w:t>
      </w:r>
      <w:r w:rsidRPr="00150EDC">
        <w:rPr>
          <w:rFonts w:ascii="Calibri"/>
          <w:sz w:val="24"/>
        </w:rPr>
        <w:t>of</w:t>
      </w:r>
      <w:r w:rsidRPr="00150EDC">
        <w:rPr>
          <w:rFonts w:ascii="Calibri"/>
          <w:spacing w:val="-3"/>
          <w:sz w:val="24"/>
        </w:rPr>
        <w:t xml:space="preserve"> </w:t>
      </w:r>
      <w:r w:rsidRPr="00150EDC">
        <w:rPr>
          <w:rFonts w:ascii="Calibri"/>
          <w:sz w:val="24"/>
        </w:rPr>
        <w:t>the</w:t>
      </w:r>
      <w:r w:rsidRPr="00150EDC">
        <w:rPr>
          <w:rFonts w:ascii="Calibri"/>
          <w:spacing w:val="-4"/>
          <w:sz w:val="24"/>
        </w:rPr>
        <w:t xml:space="preserve"> </w:t>
      </w:r>
      <w:r w:rsidRPr="00150EDC">
        <w:rPr>
          <w:rFonts w:ascii="Calibri"/>
          <w:sz w:val="24"/>
        </w:rPr>
        <w:t>situations</w:t>
      </w:r>
      <w:r w:rsidRPr="00150EDC">
        <w:rPr>
          <w:rFonts w:ascii="Calibri"/>
          <w:spacing w:val="-4"/>
          <w:sz w:val="24"/>
        </w:rPr>
        <w:t xml:space="preserve"> </w:t>
      </w:r>
      <w:r w:rsidRPr="00150EDC">
        <w:rPr>
          <w:rFonts w:ascii="Calibri"/>
          <w:sz w:val="24"/>
        </w:rPr>
        <w:t>in</w:t>
      </w:r>
      <w:r w:rsidRPr="00150EDC">
        <w:rPr>
          <w:rFonts w:ascii="Calibri"/>
          <w:spacing w:val="-3"/>
          <w:sz w:val="24"/>
        </w:rPr>
        <w:t xml:space="preserve"> </w:t>
      </w:r>
      <w:r w:rsidRPr="00150EDC">
        <w:rPr>
          <w:rFonts w:ascii="Calibri"/>
          <w:sz w:val="24"/>
        </w:rPr>
        <w:t>57</w:t>
      </w:r>
      <w:r w:rsidRPr="00150EDC">
        <w:rPr>
          <w:rFonts w:ascii="Calibri"/>
          <w:spacing w:val="-3"/>
          <w:sz w:val="24"/>
        </w:rPr>
        <w:t xml:space="preserve"> </w:t>
      </w:r>
      <w:r w:rsidRPr="00150EDC">
        <w:rPr>
          <w:rFonts w:ascii="Calibri"/>
          <w:sz w:val="24"/>
        </w:rPr>
        <w:t>(1)</w:t>
      </w:r>
      <w:r w:rsidRPr="00150EDC">
        <w:rPr>
          <w:rFonts w:ascii="Calibri"/>
          <w:spacing w:val="-3"/>
          <w:sz w:val="24"/>
        </w:rPr>
        <w:t xml:space="preserve"> </w:t>
      </w:r>
      <w:r w:rsidRPr="00150EDC">
        <w:rPr>
          <w:rFonts w:ascii="Calibri"/>
          <w:sz w:val="24"/>
        </w:rPr>
        <w:t>or</w:t>
      </w:r>
      <w:r w:rsidRPr="00150EDC">
        <w:rPr>
          <w:rFonts w:ascii="Calibri"/>
          <w:spacing w:val="-3"/>
          <w:sz w:val="24"/>
        </w:rPr>
        <w:t xml:space="preserve"> </w:t>
      </w:r>
      <w:r w:rsidRPr="00150EDC">
        <w:rPr>
          <w:rFonts w:ascii="Calibri"/>
          <w:sz w:val="24"/>
        </w:rPr>
        <w:t>57(2)</w:t>
      </w:r>
      <w:r w:rsidRPr="00150EDC">
        <w:rPr>
          <w:rFonts w:ascii="Calibri"/>
          <w:spacing w:val="-5"/>
          <w:sz w:val="24"/>
        </w:rPr>
        <w:t xml:space="preserve"> </w:t>
      </w:r>
      <w:r w:rsidRPr="00150EDC">
        <w:rPr>
          <w:rFonts w:ascii="Calibri"/>
          <w:sz w:val="24"/>
        </w:rPr>
        <w:t>of the Regulations at the time the Contract was awarded; or</w:t>
      </w:r>
    </w:p>
    <w:p w14:paraId="5A469EA2" w14:textId="77777777" w:rsidR="004C7180" w:rsidRPr="00150EDC" w:rsidRDefault="00CF0754" w:rsidP="00B320C7">
      <w:pPr>
        <w:pStyle w:val="ListParagraph"/>
        <w:numPr>
          <w:ilvl w:val="3"/>
          <w:numId w:val="182"/>
        </w:numPr>
        <w:tabs>
          <w:tab w:val="left" w:pos="1494"/>
        </w:tabs>
        <w:spacing w:before="16"/>
        <w:ind w:right="1189" w:hanging="428"/>
        <w:rPr>
          <w:rFonts w:ascii="Calibri"/>
          <w:sz w:val="24"/>
        </w:rPr>
      </w:pPr>
      <w:r w:rsidRPr="00150EDC">
        <w:rPr>
          <w:rFonts w:ascii="Calibri"/>
          <w:sz w:val="24"/>
        </w:rPr>
        <w:t>the</w:t>
      </w:r>
      <w:r w:rsidRPr="00150EDC">
        <w:rPr>
          <w:rFonts w:ascii="Calibri"/>
          <w:spacing w:val="-4"/>
          <w:sz w:val="24"/>
        </w:rPr>
        <w:t xml:space="preserve"> </w:t>
      </w:r>
      <w:r w:rsidRPr="00150EDC">
        <w:rPr>
          <w:rFonts w:ascii="Calibri"/>
          <w:sz w:val="24"/>
        </w:rPr>
        <w:t>Supplier</w:t>
      </w:r>
      <w:r w:rsidRPr="00150EDC">
        <w:rPr>
          <w:rFonts w:ascii="Calibri"/>
          <w:spacing w:val="-3"/>
          <w:sz w:val="24"/>
        </w:rPr>
        <w:t xml:space="preserve"> </w:t>
      </w:r>
      <w:r w:rsidRPr="00150EDC">
        <w:rPr>
          <w:rFonts w:ascii="Calibri"/>
          <w:sz w:val="24"/>
        </w:rPr>
        <w:t>or</w:t>
      </w:r>
      <w:r w:rsidRPr="00150EDC">
        <w:rPr>
          <w:rFonts w:ascii="Calibri"/>
          <w:spacing w:val="-3"/>
          <w:sz w:val="24"/>
        </w:rPr>
        <w:t xml:space="preserve"> </w:t>
      </w:r>
      <w:r w:rsidRPr="00150EDC">
        <w:rPr>
          <w:rFonts w:ascii="Calibri"/>
          <w:sz w:val="24"/>
        </w:rPr>
        <w:t>its</w:t>
      </w:r>
      <w:r w:rsidRPr="00150EDC">
        <w:rPr>
          <w:rFonts w:ascii="Calibri"/>
          <w:spacing w:val="-4"/>
          <w:sz w:val="24"/>
        </w:rPr>
        <w:t xml:space="preserve"> </w:t>
      </w:r>
      <w:r w:rsidRPr="00150EDC">
        <w:rPr>
          <w:rFonts w:ascii="Calibri"/>
          <w:sz w:val="24"/>
        </w:rPr>
        <w:t>Affiliates</w:t>
      </w:r>
      <w:r w:rsidRPr="00150EDC">
        <w:rPr>
          <w:rFonts w:ascii="Calibri"/>
          <w:spacing w:val="-2"/>
          <w:sz w:val="24"/>
        </w:rPr>
        <w:t xml:space="preserve"> </w:t>
      </w:r>
      <w:r w:rsidRPr="00150EDC">
        <w:rPr>
          <w:rFonts w:ascii="Calibri"/>
          <w:sz w:val="24"/>
        </w:rPr>
        <w:t>embarrass</w:t>
      </w:r>
      <w:r w:rsidRPr="00150EDC">
        <w:rPr>
          <w:rFonts w:ascii="Calibri"/>
          <w:spacing w:val="-2"/>
          <w:sz w:val="24"/>
        </w:rPr>
        <w:t xml:space="preserve"> </w:t>
      </w:r>
      <w:r w:rsidRPr="00150EDC">
        <w:rPr>
          <w:rFonts w:ascii="Calibri"/>
          <w:sz w:val="24"/>
        </w:rPr>
        <w:t>or</w:t>
      </w:r>
      <w:r w:rsidRPr="00150EDC">
        <w:rPr>
          <w:rFonts w:ascii="Calibri"/>
          <w:spacing w:val="-3"/>
          <w:sz w:val="24"/>
        </w:rPr>
        <w:t xml:space="preserve"> </w:t>
      </w:r>
      <w:r w:rsidRPr="00150EDC">
        <w:rPr>
          <w:rFonts w:ascii="Calibri"/>
          <w:sz w:val="24"/>
        </w:rPr>
        <w:t>bring</w:t>
      </w:r>
      <w:r w:rsidRPr="00150EDC">
        <w:rPr>
          <w:rFonts w:ascii="Calibri"/>
          <w:spacing w:val="-2"/>
          <w:sz w:val="24"/>
        </w:rPr>
        <w:t xml:space="preserve"> </w:t>
      </w:r>
      <w:r w:rsidRPr="00150EDC">
        <w:rPr>
          <w:rFonts w:ascii="Calibri"/>
          <w:sz w:val="24"/>
        </w:rPr>
        <w:t>CCS</w:t>
      </w:r>
      <w:r w:rsidRPr="00150EDC">
        <w:rPr>
          <w:rFonts w:ascii="Calibri"/>
          <w:spacing w:val="-2"/>
          <w:sz w:val="24"/>
        </w:rPr>
        <w:t xml:space="preserve"> </w:t>
      </w:r>
      <w:r w:rsidRPr="00150EDC">
        <w:rPr>
          <w:rFonts w:ascii="Calibri"/>
          <w:sz w:val="24"/>
        </w:rPr>
        <w:t>or</w:t>
      </w:r>
      <w:r w:rsidRPr="00150EDC">
        <w:rPr>
          <w:rFonts w:ascii="Calibri"/>
          <w:spacing w:val="-3"/>
          <w:sz w:val="24"/>
        </w:rPr>
        <w:t xml:space="preserve"> </w:t>
      </w:r>
      <w:r w:rsidRPr="00150EDC">
        <w:rPr>
          <w:rFonts w:ascii="Calibri"/>
          <w:sz w:val="24"/>
        </w:rPr>
        <w:t>the</w:t>
      </w:r>
      <w:r w:rsidRPr="00150EDC">
        <w:rPr>
          <w:rFonts w:ascii="Calibri"/>
          <w:spacing w:val="-4"/>
          <w:sz w:val="24"/>
        </w:rPr>
        <w:t xml:space="preserve"> </w:t>
      </w:r>
      <w:r w:rsidRPr="00150EDC">
        <w:rPr>
          <w:rFonts w:ascii="Calibri"/>
          <w:sz w:val="24"/>
        </w:rPr>
        <w:t>Buyer</w:t>
      </w:r>
      <w:r w:rsidRPr="00150EDC">
        <w:rPr>
          <w:rFonts w:ascii="Calibri"/>
          <w:spacing w:val="-2"/>
          <w:sz w:val="24"/>
        </w:rPr>
        <w:t xml:space="preserve"> </w:t>
      </w:r>
      <w:r w:rsidRPr="00150EDC">
        <w:rPr>
          <w:rFonts w:ascii="Calibri"/>
          <w:sz w:val="24"/>
        </w:rPr>
        <w:t>into</w:t>
      </w:r>
      <w:r w:rsidRPr="00150EDC">
        <w:rPr>
          <w:rFonts w:ascii="Calibri"/>
          <w:spacing w:val="-1"/>
          <w:sz w:val="24"/>
        </w:rPr>
        <w:t xml:space="preserve"> </w:t>
      </w:r>
      <w:r w:rsidRPr="00150EDC">
        <w:rPr>
          <w:rFonts w:ascii="Calibri"/>
          <w:sz w:val="24"/>
        </w:rPr>
        <w:t>disrepute</w:t>
      </w:r>
      <w:r w:rsidRPr="00150EDC">
        <w:rPr>
          <w:rFonts w:ascii="Calibri"/>
          <w:spacing w:val="-1"/>
          <w:sz w:val="24"/>
        </w:rPr>
        <w:t xml:space="preserve"> </w:t>
      </w:r>
      <w:r w:rsidRPr="00150EDC">
        <w:rPr>
          <w:rFonts w:ascii="Calibri"/>
          <w:sz w:val="24"/>
        </w:rPr>
        <w:t>or</w:t>
      </w:r>
      <w:r w:rsidRPr="00150EDC">
        <w:rPr>
          <w:rFonts w:ascii="Calibri"/>
          <w:spacing w:val="-3"/>
          <w:sz w:val="24"/>
        </w:rPr>
        <w:t xml:space="preserve"> </w:t>
      </w:r>
      <w:r w:rsidRPr="00150EDC">
        <w:rPr>
          <w:rFonts w:ascii="Calibri"/>
          <w:sz w:val="24"/>
        </w:rPr>
        <w:t>diminish</w:t>
      </w:r>
      <w:r w:rsidRPr="00150EDC">
        <w:rPr>
          <w:rFonts w:ascii="Calibri"/>
          <w:spacing w:val="-3"/>
          <w:sz w:val="24"/>
        </w:rPr>
        <w:t xml:space="preserve"> </w:t>
      </w:r>
      <w:r w:rsidRPr="00150EDC">
        <w:rPr>
          <w:rFonts w:ascii="Calibri"/>
          <w:sz w:val="24"/>
        </w:rPr>
        <w:t>the public trust in them.</w:t>
      </w:r>
    </w:p>
    <w:p w14:paraId="62409E37" w14:textId="77777777" w:rsidR="004C7180" w:rsidRPr="00150EDC" w:rsidRDefault="004C7180">
      <w:pPr>
        <w:pStyle w:val="BodyText"/>
        <w:spacing w:before="3"/>
        <w:rPr>
          <w:rFonts w:ascii="Calibri"/>
          <w:sz w:val="27"/>
        </w:rPr>
      </w:pPr>
    </w:p>
    <w:p w14:paraId="64029D5D" w14:textId="77777777" w:rsidR="004C7180" w:rsidRPr="00150EDC" w:rsidRDefault="00CF0754" w:rsidP="00B320C7">
      <w:pPr>
        <w:pStyle w:val="ListParagraph"/>
        <w:numPr>
          <w:ilvl w:val="2"/>
          <w:numId w:val="182"/>
        </w:numPr>
        <w:tabs>
          <w:tab w:val="left" w:pos="1208"/>
        </w:tabs>
        <w:ind w:right="979" w:hanging="720"/>
        <w:rPr>
          <w:rFonts w:ascii="Calibri"/>
          <w:sz w:val="24"/>
        </w:rPr>
      </w:pPr>
      <w:r w:rsidRPr="00150EDC">
        <w:rPr>
          <w:rFonts w:ascii="Calibri"/>
          <w:sz w:val="24"/>
        </w:rPr>
        <w:t>CCS</w:t>
      </w:r>
      <w:r w:rsidRPr="00150EDC">
        <w:rPr>
          <w:rFonts w:ascii="Calibri"/>
          <w:spacing w:val="-1"/>
          <w:sz w:val="24"/>
        </w:rPr>
        <w:t xml:space="preserve"> </w:t>
      </w:r>
      <w:r w:rsidRPr="00150EDC">
        <w:rPr>
          <w:rFonts w:ascii="Calibri"/>
          <w:sz w:val="24"/>
        </w:rPr>
        <w:t>may</w:t>
      </w:r>
      <w:r w:rsidRPr="00150EDC">
        <w:rPr>
          <w:rFonts w:ascii="Calibri"/>
          <w:spacing w:val="-1"/>
          <w:sz w:val="24"/>
        </w:rPr>
        <w:t xml:space="preserve"> </w:t>
      </w:r>
      <w:r w:rsidRPr="00150EDC">
        <w:rPr>
          <w:rFonts w:ascii="Calibri"/>
          <w:sz w:val="24"/>
        </w:rPr>
        <w:t>terminate</w:t>
      </w:r>
      <w:r w:rsidRPr="00150EDC">
        <w:rPr>
          <w:rFonts w:ascii="Calibri"/>
          <w:spacing w:val="-3"/>
          <w:sz w:val="24"/>
        </w:rPr>
        <w:t xml:space="preserve"> </w:t>
      </w:r>
      <w:r w:rsidRPr="00150EDC">
        <w:rPr>
          <w:rFonts w:ascii="Calibri"/>
          <w:sz w:val="24"/>
        </w:rPr>
        <w:t>the</w:t>
      </w:r>
      <w:r w:rsidRPr="00150EDC">
        <w:rPr>
          <w:rFonts w:ascii="Calibri"/>
          <w:spacing w:val="-2"/>
          <w:sz w:val="24"/>
        </w:rPr>
        <w:t xml:space="preserve"> </w:t>
      </w:r>
      <w:r w:rsidRPr="00150EDC">
        <w:rPr>
          <w:rFonts w:ascii="Calibri"/>
          <w:sz w:val="24"/>
        </w:rPr>
        <w:t>DPS Contract</w:t>
      </w:r>
      <w:r w:rsidRPr="00150EDC">
        <w:rPr>
          <w:rFonts w:ascii="Calibri"/>
          <w:spacing w:val="-2"/>
          <w:sz w:val="24"/>
        </w:rPr>
        <w:t xml:space="preserve"> </w:t>
      </w:r>
      <w:r w:rsidRPr="00150EDC">
        <w:rPr>
          <w:rFonts w:ascii="Calibri"/>
          <w:sz w:val="24"/>
        </w:rPr>
        <w:t>if</w:t>
      </w:r>
      <w:r w:rsidRPr="00150EDC">
        <w:rPr>
          <w:rFonts w:ascii="Calibri"/>
          <w:spacing w:val="-2"/>
          <w:sz w:val="24"/>
        </w:rPr>
        <w:t xml:space="preserve"> </w:t>
      </w:r>
      <w:r w:rsidRPr="00150EDC">
        <w:rPr>
          <w:rFonts w:ascii="Calibri"/>
          <w:sz w:val="24"/>
        </w:rPr>
        <w:t>a</w:t>
      </w:r>
      <w:r w:rsidRPr="00150EDC">
        <w:rPr>
          <w:rFonts w:ascii="Calibri"/>
          <w:spacing w:val="-1"/>
          <w:sz w:val="24"/>
        </w:rPr>
        <w:t xml:space="preserve"> </w:t>
      </w:r>
      <w:r w:rsidRPr="00150EDC">
        <w:rPr>
          <w:rFonts w:ascii="Calibri"/>
          <w:sz w:val="24"/>
        </w:rPr>
        <w:t>Buyer</w:t>
      </w:r>
      <w:r w:rsidRPr="00150EDC">
        <w:rPr>
          <w:rFonts w:ascii="Calibri"/>
          <w:spacing w:val="-3"/>
          <w:sz w:val="24"/>
        </w:rPr>
        <w:t xml:space="preserve"> </w:t>
      </w:r>
      <w:r w:rsidRPr="00150EDC">
        <w:rPr>
          <w:rFonts w:ascii="Calibri"/>
          <w:sz w:val="24"/>
        </w:rPr>
        <w:t>terminates</w:t>
      </w:r>
      <w:r w:rsidRPr="00150EDC">
        <w:rPr>
          <w:rFonts w:ascii="Calibri"/>
          <w:spacing w:val="-3"/>
          <w:sz w:val="24"/>
        </w:rPr>
        <w:t xml:space="preserve"> </w:t>
      </w:r>
      <w:r w:rsidRPr="00150EDC">
        <w:rPr>
          <w:rFonts w:ascii="Calibri"/>
          <w:sz w:val="24"/>
        </w:rPr>
        <w:t>an</w:t>
      </w:r>
      <w:r w:rsidRPr="00150EDC">
        <w:rPr>
          <w:rFonts w:ascii="Calibri"/>
          <w:spacing w:val="-2"/>
          <w:sz w:val="24"/>
        </w:rPr>
        <w:t xml:space="preserve"> </w:t>
      </w:r>
      <w:r w:rsidRPr="00150EDC">
        <w:rPr>
          <w:rFonts w:ascii="Calibri"/>
          <w:sz w:val="24"/>
        </w:rPr>
        <w:t>Order</w:t>
      </w:r>
      <w:r w:rsidRPr="00150EDC">
        <w:rPr>
          <w:rFonts w:ascii="Calibri"/>
          <w:spacing w:val="-2"/>
          <w:sz w:val="24"/>
        </w:rPr>
        <w:t xml:space="preserve"> </w:t>
      </w:r>
      <w:r w:rsidRPr="00150EDC">
        <w:rPr>
          <w:rFonts w:ascii="Calibri"/>
          <w:sz w:val="24"/>
        </w:rPr>
        <w:t>Contract for</w:t>
      </w:r>
      <w:r w:rsidRPr="00150EDC">
        <w:rPr>
          <w:rFonts w:ascii="Calibri"/>
          <w:spacing w:val="-3"/>
          <w:sz w:val="24"/>
        </w:rPr>
        <w:t xml:space="preserve"> </w:t>
      </w:r>
      <w:r w:rsidRPr="00150EDC">
        <w:rPr>
          <w:rFonts w:ascii="Calibri"/>
          <w:sz w:val="24"/>
        </w:rPr>
        <w:t>any</w:t>
      </w:r>
      <w:r w:rsidRPr="00150EDC">
        <w:rPr>
          <w:rFonts w:ascii="Calibri"/>
          <w:spacing w:val="-4"/>
          <w:sz w:val="24"/>
        </w:rPr>
        <w:t xml:space="preserve"> </w:t>
      </w:r>
      <w:r w:rsidRPr="00150EDC">
        <w:rPr>
          <w:rFonts w:ascii="Calibri"/>
          <w:sz w:val="24"/>
        </w:rPr>
        <w:t>of</w:t>
      </w:r>
      <w:r w:rsidRPr="00150EDC">
        <w:rPr>
          <w:rFonts w:ascii="Calibri"/>
          <w:spacing w:val="-2"/>
          <w:sz w:val="24"/>
        </w:rPr>
        <w:t xml:space="preserve"> </w:t>
      </w:r>
      <w:r w:rsidRPr="00150EDC">
        <w:rPr>
          <w:rFonts w:ascii="Calibri"/>
          <w:sz w:val="24"/>
        </w:rPr>
        <w:t>the reasons listed in Clause 10.4.1.</w:t>
      </w:r>
    </w:p>
    <w:p w14:paraId="535BDC84" w14:textId="77777777" w:rsidR="004C7180" w:rsidRPr="00150EDC" w:rsidRDefault="004C7180">
      <w:pPr>
        <w:pStyle w:val="BodyText"/>
        <w:rPr>
          <w:rFonts w:ascii="Calibri"/>
        </w:rPr>
      </w:pPr>
    </w:p>
    <w:p w14:paraId="062784BB" w14:textId="77777777" w:rsidR="004C7180" w:rsidRPr="00150EDC" w:rsidRDefault="00CF0754" w:rsidP="00B320C7">
      <w:pPr>
        <w:pStyle w:val="ListParagraph"/>
        <w:numPr>
          <w:ilvl w:val="2"/>
          <w:numId w:val="182"/>
        </w:numPr>
        <w:tabs>
          <w:tab w:val="left" w:pos="1208"/>
        </w:tabs>
        <w:ind w:right="1574" w:hanging="720"/>
        <w:rPr>
          <w:rFonts w:ascii="Calibri"/>
          <w:sz w:val="24"/>
        </w:rPr>
      </w:pPr>
      <w:r w:rsidRPr="00150EDC">
        <w:rPr>
          <w:rFonts w:ascii="Calibri"/>
          <w:sz w:val="24"/>
        </w:rPr>
        <w:t>If</w:t>
      </w:r>
      <w:r w:rsidRPr="00150EDC">
        <w:rPr>
          <w:rFonts w:ascii="Calibri"/>
          <w:spacing w:val="-1"/>
          <w:sz w:val="24"/>
        </w:rPr>
        <w:t xml:space="preserve"> </w:t>
      </w:r>
      <w:r w:rsidRPr="00150EDC">
        <w:rPr>
          <w:rFonts w:ascii="Calibri"/>
          <w:sz w:val="24"/>
        </w:rPr>
        <w:t>any</w:t>
      </w:r>
      <w:r w:rsidRPr="00150EDC">
        <w:rPr>
          <w:rFonts w:ascii="Calibri"/>
          <w:spacing w:val="-5"/>
          <w:sz w:val="24"/>
        </w:rPr>
        <w:t xml:space="preserve"> </w:t>
      </w:r>
      <w:r w:rsidRPr="00150EDC">
        <w:rPr>
          <w:rFonts w:ascii="Calibri"/>
          <w:sz w:val="24"/>
        </w:rPr>
        <w:t>of</w:t>
      </w:r>
      <w:r w:rsidRPr="00150EDC">
        <w:rPr>
          <w:rFonts w:ascii="Calibri"/>
          <w:spacing w:val="-2"/>
          <w:sz w:val="24"/>
        </w:rPr>
        <w:t xml:space="preserve"> </w:t>
      </w:r>
      <w:r w:rsidRPr="00150EDC">
        <w:rPr>
          <w:rFonts w:ascii="Calibri"/>
          <w:sz w:val="24"/>
        </w:rPr>
        <w:t>the</w:t>
      </w:r>
      <w:r w:rsidRPr="00150EDC">
        <w:rPr>
          <w:rFonts w:ascii="Calibri"/>
          <w:spacing w:val="-3"/>
          <w:sz w:val="24"/>
        </w:rPr>
        <w:t xml:space="preserve"> </w:t>
      </w:r>
      <w:r w:rsidRPr="00150EDC">
        <w:rPr>
          <w:rFonts w:ascii="Calibri"/>
          <w:sz w:val="24"/>
        </w:rPr>
        <w:t>following</w:t>
      </w:r>
      <w:r w:rsidRPr="00150EDC">
        <w:rPr>
          <w:rFonts w:ascii="Calibri"/>
          <w:spacing w:val="-4"/>
          <w:sz w:val="24"/>
        </w:rPr>
        <w:t xml:space="preserve"> </w:t>
      </w:r>
      <w:r w:rsidRPr="00150EDC">
        <w:rPr>
          <w:rFonts w:ascii="Calibri"/>
          <w:sz w:val="24"/>
        </w:rPr>
        <w:t>non-fault</w:t>
      </w:r>
      <w:r w:rsidRPr="00150EDC">
        <w:rPr>
          <w:rFonts w:ascii="Calibri"/>
          <w:spacing w:val="-3"/>
          <w:sz w:val="24"/>
        </w:rPr>
        <w:t xml:space="preserve"> </w:t>
      </w:r>
      <w:r w:rsidRPr="00150EDC">
        <w:rPr>
          <w:rFonts w:ascii="Calibri"/>
          <w:sz w:val="24"/>
        </w:rPr>
        <w:t>based</w:t>
      </w:r>
      <w:r w:rsidRPr="00150EDC">
        <w:rPr>
          <w:rFonts w:ascii="Calibri"/>
          <w:spacing w:val="-3"/>
          <w:sz w:val="24"/>
        </w:rPr>
        <w:t xml:space="preserve"> </w:t>
      </w:r>
      <w:r w:rsidRPr="00150EDC">
        <w:rPr>
          <w:rFonts w:ascii="Calibri"/>
          <w:sz w:val="24"/>
        </w:rPr>
        <w:t>events</w:t>
      </w:r>
      <w:r w:rsidRPr="00150EDC">
        <w:rPr>
          <w:rFonts w:ascii="Calibri"/>
          <w:spacing w:val="-2"/>
          <w:sz w:val="24"/>
        </w:rPr>
        <w:t xml:space="preserve"> </w:t>
      </w:r>
      <w:r w:rsidRPr="00150EDC">
        <w:rPr>
          <w:rFonts w:ascii="Calibri"/>
          <w:sz w:val="24"/>
        </w:rPr>
        <w:t>happen,</w:t>
      </w:r>
      <w:r w:rsidRPr="00150EDC">
        <w:rPr>
          <w:rFonts w:ascii="Calibri"/>
          <w:spacing w:val="-4"/>
          <w:sz w:val="24"/>
        </w:rPr>
        <w:t xml:space="preserve"> </w:t>
      </w:r>
      <w:r w:rsidRPr="00150EDC">
        <w:rPr>
          <w:rFonts w:ascii="Calibri"/>
          <w:sz w:val="24"/>
        </w:rPr>
        <w:t>the</w:t>
      </w:r>
      <w:r w:rsidRPr="00150EDC">
        <w:rPr>
          <w:rFonts w:ascii="Calibri"/>
          <w:spacing w:val="-1"/>
          <w:sz w:val="24"/>
        </w:rPr>
        <w:t xml:space="preserve"> </w:t>
      </w:r>
      <w:r w:rsidRPr="00150EDC">
        <w:rPr>
          <w:rFonts w:ascii="Calibri"/>
          <w:sz w:val="24"/>
        </w:rPr>
        <w:t>Relevant</w:t>
      </w:r>
      <w:r w:rsidRPr="00150EDC">
        <w:rPr>
          <w:rFonts w:ascii="Calibri"/>
          <w:spacing w:val="-3"/>
          <w:sz w:val="24"/>
        </w:rPr>
        <w:t xml:space="preserve"> </w:t>
      </w:r>
      <w:r w:rsidRPr="00150EDC">
        <w:rPr>
          <w:rFonts w:ascii="Calibri"/>
          <w:sz w:val="24"/>
        </w:rPr>
        <w:t>Authority</w:t>
      </w:r>
      <w:r w:rsidRPr="00150EDC">
        <w:rPr>
          <w:rFonts w:ascii="Calibri"/>
          <w:spacing w:val="-2"/>
          <w:sz w:val="24"/>
        </w:rPr>
        <w:t xml:space="preserve"> </w:t>
      </w:r>
      <w:r w:rsidRPr="00150EDC">
        <w:rPr>
          <w:rFonts w:ascii="Calibri"/>
          <w:sz w:val="24"/>
        </w:rPr>
        <w:t>has</w:t>
      </w:r>
      <w:r w:rsidRPr="00150EDC">
        <w:rPr>
          <w:rFonts w:ascii="Calibri"/>
          <w:spacing w:val="-4"/>
          <w:sz w:val="24"/>
        </w:rPr>
        <w:t xml:space="preserve"> </w:t>
      </w:r>
      <w:r w:rsidRPr="00150EDC">
        <w:rPr>
          <w:rFonts w:ascii="Calibri"/>
          <w:sz w:val="24"/>
        </w:rPr>
        <w:t>the</w:t>
      </w:r>
      <w:r w:rsidRPr="00150EDC">
        <w:rPr>
          <w:rFonts w:ascii="Calibri"/>
          <w:spacing w:val="-1"/>
          <w:sz w:val="24"/>
        </w:rPr>
        <w:t xml:space="preserve"> </w:t>
      </w:r>
      <w:r w:rsidRPr="00150EDC">
        <w:rPr>
          <w:rFonts w:ascii="Calibri"/>
          <w:sz w:val="24"/>
        </w:rPr>
        <w:t>right</w:t>
      </w:r>
      <w:r w:rsidRPr="00150EDC">
        <w:rPr>
          <w:rFonts w:ascii="Calibri"/>
          <w:spacing w:val="-3"/>
          <w:sz w:val="24"/>
        </w:rPr>
        <w:t xml:space="preserve"> </w:t>
      </w:r>
      <w:r w:rsidRPr="00150EDC">
        <w:rPr>
          <w:rFonts w:ascii="Calibri"/>
          <w:sz w:val="24"/>
        </w:rPr>
        <w:t>to immediately terminate its Contract by issuing a Termination Notice to the Supplier:</w:t>
      </w:r>
    </w:p>
    <w:p w14:paraId="351BA611" w14:textId="77777777" w:rsidR="004C7180" w:rsidRPr="00150EDC" w:rsidRDefault="004C7180">
      <w:pPr>
        <w:pStyle w:val="BodyText"/>
        <w:spacing w:before="4"/>
        <w:rPr>
          <w:rFonts w:ascii="Calibri"/>
          <w:sz w:val="27"/>
        </w:rPr>
      </w:pPr>
    </w:p>
    <w:p w14:paraId="00BEB37F" w14:textId="77777777" w:rsidR="004C7180" w:rsidRPr="00150EDC" w:rsidRDefault="00CF0754" w:rsidP="00B320C7">
      <w:pPr>
        <w:pStyle w:val="ListParagraph"/>
        <w:numPr>
          <w:ilvl w:val="3"/>
          <w:numId w:val="182"/>
        </w:numPr>
        <w:tabs>
          <w:tab w:val="left" w:pos="1491"/>
        </w:tabs>
        <w:ind w:left="1491" w:hanging="425"/>
        <w:rPr>
          <w:rFonts w:ascii="Calibri"/>
          <w:sz w:val="24"/>
        </w:rPr>
      </w:pPr>
      <w:r w:rsidRPr="00150EDC">
        <w:rPr>
          <w:rFonts w:ascii="Calibri"/>
          <w:sz w:val="24"/>
        </w:rPr>
        <w:t>the</w:t>
      </w:r>
      <w:r w:rsidRPr="00150EDC">
        <w:rPr>
          <w:rFonts w:ascii="Calibri"/>
          <w:spacing w:val="-9"/>
          <w:sz w:val="24"/>
        </w:rPr>
        <w:t xml:space="preserve"> </w:t>
      </w:r>
      <w:r w:rsidRPr="00150EDC">
        <w:rPr>
          <w:rFonts w:ascii="Calibri"/>
          <w:sz w:val="24"/>
        </w:rPr>
        <w:t>Relevant</w:t>
      </w:r>
      <w:r w:rsidRPr="00150EDC">
        <w:rPr>
          <w:rFonts w:ascii="Calibri"/>
          <w:spacing w:val="-4"/>
          <w:sz w:val="24"/>
        </w:rPr>
        <w:t xml:space="preserve"> </w:t>
      </w:r>
      <w:r w:rsidRPr="00150EDC">
        <w:rPr>
          <w:rFonts w:ascii="Calibri"/>
          <w:sz w:val="24"/>
        </w:rPr>
        <w:t>Authority</w:t>
      </w:r>
      <w:r w:rsidRPr="00150EDC">
        <w:rPr>
          <w:rFonts w:ascii="Calibri"/>
          <w:spacing w:val="-2"/>
          <w:sz w:val="24"/>
        </w:rPr>
        <w:t xml:space="preserve"> </w:t>
      </w:r>
      <w:r w:rsidRPr="00150EDC">
        <w:rPr>
          <w:rFonts w:ascii="Calibri"/>
          <w:sz w:val="24"/>
        </w:rPr>
        <w:t>rejects</w:t>
      </w:r>
      <w:r w:rsidRPr="00150EDC">
        <w:rPr>
          <w:rFonts w:ascii="Calibri"/>
          <w:spacing w:val="-4"/>
          <w:sz w:val="24"/>
        </w:rPr>
        <w:t xml:space="preserve"> </w:t>
      </w:r>
      <w:r w:rsidRPr="00150EDC">
        <w:rPr>
          <w:rFonts w:ascii="Calibri"/>
          <w:sz w:val="24"/>
        </w:rPr>
        <w:t>a</w:t>
      </w:r>
      <w:r w:rsidRPr="00150EDC">
        <w:rPr>
          <w:rFonts w:ascii="Calibri"/>
          <w:spacing w:val="-7"/>
          <w:sz w:val="24"/>
        </w:rPr>
        <w:t xml:space="preserve"> </w:t>
      </w:r>
      <w:r w:rsidRPr="00150EDC">
        <w:rPr>
          <w:rFonts w:ascii="Calibri"/>
          <w:sz w:val="24"/>
        </w:rPr>
        <w:t>Rectification</w:t>
      </w:r>
      <w:r w:rsidRPr="00150EDC">
        <w:rPr>
          <w:rFonts w:ascii="Calibri"/>
          <w:spacing w:val="-5"/>
          <w:sz w:val="24"/>
        </w:rPr>
        <w:t xml:space="preserve"> </w:t>
      </w:r>
      <w:r w:rsidRPr="00150EDC">
        <w:rPr>
          <w:rFonts w:ascii="Calibri"/>
          <w:spacing w:val="-4"/>
          <w:sz w:val="24"/>
        </w:rPr>
        <w:t>Plan;</w:t>
      </w:r>
    </w:p>
    <w:p w14:paraId="2EF8B008" w14:textId="77777777" w:rsidR="004C7180" w:rsidRPr="00150EDC" w:rsidRDefault="00CF0754" w:rsidP="00B320C7">
      <w:pPr>
        <w:pStyle w:val="ListParagraph"/>
        <w:numPr>
          <w:ilvl w:val="3"/>
          <w:numId w:val="182"/>
        </w:numPr>
        <w:tabs>
          <w:tab w:val="left" w:pos="1491"/>
          <w:tab w:val="left" w:pos="1494"/>
        </w:tabs>
        <w:spacing w:before="19" w:line="242" w:lineRule="auto"/>
        <w:ind w:right="1074" w:hanging="428"/>
        <w:rPr>
          <w:rFonts w:ascii="Calibri"/>
          <w:sz w:val="24"/>
        </w:rPr>
      </w:pPr>
      <w:r w:rsidRPr="00150EDC">
        <w:rPr>
          <w:rFonts w:ascii="Calibri"/>
          <w:sz w:val="24"/>
        </w:rPr>
        <w:t>there</w:t>
      </w:r>
      <w:r w:rsidRPr="00150EDC">
        <w:rPr>
          <w:rFonts w:ascii="Calibri"/>
          <w:spacing w:val="-2"/>
          <w:sz w:val="24"/>
        </w:rPr>
        <w:t xml:space="preserve"> </w:t>
      </w:r>
      <w:r w:rsidRPr="00150EDC">
        <w:rPr>
          <w:rFonts w:ascii="Calibri"/>
          <w:sz w:val="24"/>
        </w:rPr>
        <w:t>is</w:t>
      </w:r>
      <w:r w:rsidRPr="00150EDC">
        <w:rPr>
          <w:rFonts w:ascii="Calibri"/>
          <w:spacing w:val="-3"/>
          <w:sz w:val="24"/>
        </w:rPr>
        <w:t xml:space="preserve"> </w:t>
      </w:r>
      <w:r w:rsidRPr="00150EDC">
        <w:rPr>
          <w:rFonts w:ascii="Calibri"/>
          <w:sz w:val="24"/>
        </w:rPr>
        <w:t>a</w:t>
      </w:r>
      <w:r w:rsidRPr="00150EDC">
        <w:rPr>
          <w:rFonts w:ascii="Calibri"/>
          <w:spacing w:val="-5"/>
          <w:sz w:val="24"/>
        </w:rPr>
        <w:t xml:space="preserve"> </w:t>
      </w:r>
      <w:r w:rsidRPr="00150EDC">
        <w:rPr>
          <w:rFonts w:ascii="Calibri"/>
          <w:sz w:val="24"/>
        </w:rPr>
        <w:t>Variation</w:t>
      </w:r>
      <w:r w:rsidRPr="00150EDC">
        <w:rPr>
          <w:rFonts w:ascii="Calibri"/>
          <w:spacing w:val="-2"/>
          <w:sz w:val="24"/>
        </w:rPr>
        <w:t xml:space="preserve"> </w:t>
      </w:r>
      <w:r w:rsidRPr="00150EDC">
        <w:rPr>
          <w:rFonts w:ascii="Calibri"/>
          <w:sz w:val="24"/>
        </w:rPr>
        <w:t>which</w:t>
      </w:r>
      <w:r w:rsidRPr="00150EDC">
        <w:rPr>
          <w:rFonts w:ascii="Calibri"/>
          <w:spacing w:val="-2"/>
          <w:sz w:val="24"/>
        </w:rPr>
        <w:t xml:space="preserve"> </w:t>
      </w:r>
      <w:r w:rsidRPr="00150EDC">
        <w:rPr>
          <w:rFonts w:ascii="Calibri"/>
          <w:sz w:val="24"/>
        </w:rPr>
        <w:t>cannot</w:t>
      </w:r>
      <w:r w:rsidRPr="00150EDC">
        <w:rPr>
          <w:rFonts w:ascii="Calibri"/>
          <w:spacing w:val="-3"/>
          <w:sz w:val="24"/>
        </w:rPr>
        <w:t xml:space="preserve"> </w:t>
      </w:r>
      <w:r w:rsidRPr="00150EDC">
        <w:rPr>
          <w:rFonts w:ascii="Calibri"/>
          <w:sz w:val="24"/>
        </w:rPr>
        <w:t>be</w:t>
      </w:r>
      <w:r w:rsidRPr="00150EDC">
        <w:rPr>
          <w:rFonts w:ascii="Calibri"/>
          <w:spacing w:val="-5"/>
          <w:sz w:val="24"/>
        </w:rPr>
        <w:t xml:space="preserve"> </w:t>
      </w:r>
      <w:r w:rsidRPr="00150EDC">
        <w:rPr>
          <w:rFonts w:ascii="Calibri"/>
          <w:sz w:val="24"/>
        </w:rPr>
        <w:t>agreed</w:t>
      </w:r>
      <w:r w:rsidRPr="00150EDC">
        <w:rPr>
          <w:rFonts w:ascii="Calibri"/>
          <w:spacing w:val="-4"/>
          <w:sz w:val="24"/>
        </w:rPr>
        <w:t xml:space="preserve"> </w:t>
      </w:r>
      <w:r w:rsidRPr="00150EDC">
        <w:rPr>
          <w:rFonts w:ascii="Calibri"/>
          <w:sz w:val="24"/>
        </w:rPr>
        <w:t>using</w:t>
      </w:r>
      <w:r w:rsidRPr="00150EDC">
        <w:rPr>
          <w:rFonts w:ascii="Calibri"/>
          <w:spacing w:val="-5"/>
          <w:sz w:val="24"/>
        </w:rPr>
        <w:t xml:space="preserve"> </w:t>
      </w:r>
      <w:r w:rsidRPr="00150EDC">
        <w:rPr>
          <w:rFonts w:ascii="Calibri"/>
          <w:sz w:val="24"/>
        </w:rPr>
        <w:t>Clause</w:t>
      </w:r>
      <w:r w:rsidRPr="00150EDC">
        <w:rPr>
          <w:rFonts w:ascii="Calibri"/>
          <w:spacing w:val="-2"/>
          <w:sz w:val="24"/>
        </w:rPr>
        <w:t xml:space="preserve"> </w:t>
      </w:r>
      <w:r w:rsidRPr="00150EDC">
        <w:rPr>
          <w:rFonts w:ascii="Calibri"/>
          <w:sz w:val="24"/>
        </w:rPr>
        <w:t>24</w:t>
      </w:r>
      <w:r w:rsidRPr="00150EDC">
        <w:rPr>
          <w:rFonts w:ascii="Calibri"/>
          <w:spacing w:val="-2"/>
          <w:sz w:val="24"/>
        </w:rPr>
        <w:t xml:space="preserve"> </w:t>
      </w:r>
      <w:r w:rsidRPr="00150EDC">
        <w:rPr>
          <w:rFonts w:ascii="Calibri"/>
          <w:sz w:val="24"/>
        </w:rPr>
        <w:t>(Changing</w:t>
      </w:r>
      <w:r w:rsidRPr="00150EDC">
        <w:rPr>
          <w:rFonts w:ascii="Calibri"/>
          <w:spacing w:val="-5"/>
          <w:sz w:val="24"/>
        </w:rPr>
        <w:t xml:space="preserve"> </w:t>
      </w:r>
      <w:r w:rsidRPr="00150EDC">
        <w:rPr>
          <w:rFonts w:ascii="Calibri"/>
          <w:sz w:val="24"/>
        </w:rPr>
        <w:t>the</w:t>
      </w:r>
      <w:r w:rsidRPr="00150EDC">
        <w:rPr>
          <w:rFonts w:ascii="Calibri"/>
          <w:spacing w:val="-4"/>
          <w:sz w:val="24"/>
        </w:rPr>
        <w:t xml:space="preserve"> </w:t>
      </w:r>
      <w:r w:rsidRPr="00150EDC">
        <w:rPr>
          <w:rFonts w:ascii="Calibri"/>
          <w:sz w:val="24"/>
        </w:rPr>
        <w:t>contract)</w:t>
      </w:r>
      <w:r w:rsidRPr="00150EDC">
        <w:rPr>
          <w:rFonts w:ascii="Calibri"/>
          <w:spacing w:val="-6"/>
          <w:sz w:val="24"/>
        </w:rPr>
        <w:t xml:space="preserve"> </w:t>
      </w:r>
      <w:r w:rsidRPr="00150EDC">
        <w:rPr>
          <w:rFonts w:ascii="Calibri"/>
          <w:sz w:val="24"/>
        </w:rPr>
        <w:t>or</w:t>
      </w:r>
      <w:r w:rsidRPr="00150EDC">
        <w:rPr>
          <w:rFonts w:ascii="Calibri"/>
          <w:spacing w:val="-2"/>
          <w:sz w:val="24"/>
        </w:rPr>
        <w:t xml:space="preserve"> </w:t>
      </w:r>
      <w:r w:rsidRPr="00150EDC">
        <w:rPr>
          <w:rFonts w:ascii="Calibri"/>
          <w:sz w:val="24"/>
        </w:rPr>
        <w:t>resolved using Clause 34 (Resolving disputes);</w:t>
      </w:r>
    </w:p>
    <w:p w14:paraId="1585F2C9" w14:textId="77777777" w:rsidR="004C7180" w:rsidRPr="00150EDC" w:rsidRDefault="00CF0754" w:rsidP="00B320C7">
      <w:pPr>
        <w:pStyle w:val="ListParagraph"/>
        <w:numPr>
          <w:ilvl w:val="3"/>
          <w:numId w:val="182"/>
        </w:numPr>
        <w:tabs>
          <w:tab w:val="left" w:pos="1492"/>
        </w:tabs>
        <w:spacing w:before="15"/>
        <w:ind w:left="1492" w:hanging="426"/>
        <w:rPr>
          <w:rFonts w:ascii="Calibri"/>
          <w:sz w:val="24"/>
        </w:rPr>
      </w:pPr>
      <w:r w:rsidRPr="00150EDC">
        <w:rPr>
          <w:rFonts w:ascii="Calibri"/>
          <w:sz w:val="24"/>
        </w:rPr>
        <w:t>if</w:t>
      </w:r>
      <w:r w:rsidRPr="00150EDC">
        <w:rPr>
          <w:rFonts w:ascii="Calibri"/>
          <w:spacing w:val="-4"/>
          <w:sz w:val="24"/>
        </w:rPr>
        <w:t xml:space="preserve"> </w:t>
      </w:r>
      <w:r w:rsidRPr="00150EDC">
        <w:rPr>
          <w:rFonts w:ascii="Calibri"/>
          <w:sz w:val="24"/>
        </w:rPr>
        <w:t>there</w:t>
      </w:r>
      <w:r w:rsidRPr="00150EDC">
        <w:rPr>
          <w:rFonts w:ascii="Calibri"/>
          <w:spacing w:val="-5"/>
          <w:sz w:val="24"/>
        </w:rPr>
        <w:t xml:space="preserve"> </w:t>
      </w:r>
      <w:r w:rsidRPr="00150EDC">
        <w:rPr>
          <w:rFonts w:ascii="Calibri"/>
          <w:sz w:val="24"/>
        </w:rPr>
        <w:t>is</w:t>
      </w:r>
      <w:r w:rsidRPr="00150EDC">
        <w:rPr>
          <w:rFonts w:ascii="Calibri"/>
          <w:spacing w:val="-2"/>
          <w:sz w:val="24"/>
        </w:rPr>
        <w:t xml:space="preserve"> </w:t>
      </w:r>
      <w:r w:rsidRPr="00150EDC">
        <w:rPr>
          <w:rFonts w:ascii="Calibri"/>
          <w:sz w:val="24"/>
        </w:rPr>
        <w:t>a</w:t>
      </w:r>
      <w:r w:rsidRPr="00150EDC">
        <w:rPr>
          <w:rFonts w:ascii="Calibri"/>
          <w:spacing w:val="-5"/>
          <w:sz w:val="24"/>
        </w:rPr>
        <w:t xml:space="preserve"> </w:t>
      </w:r>
      <w:r w:rsidRPr="00150EDC">
        <w:rPr>
          <w:rFonts w:ascii="Calibri"/>
          <w:sz w:val="24"/>
        </w:rPr>
        <w:t>declaration</w:t>
      </w:r>
      <w:r w:rsidRPr="00150EDC">
        <w:rPr>
          <w:rFonts w:ascii="Calibri"/>
          <w:spacing w:val="-2"/>
          <w:sz w:val="24"/>
        </w:rPr>
        <w:t xml:space="preserve"> </w:t>
      </w:r>
      <w:r w:rsidRPr="00150EDC">
        <w:rPr>
          <w:rFonts w:ascii="Calibri"/>
          <w:sz w:val="24"/>
        </w:rPr>
        <w:t>of</w:t>
      </w:r>
      <w:r w:rsidRPr="00150EDC">
        <w:rPr>
          <w:rFonts w:ascii="Calibri"/>
          <w:spacing w:val="-2"/>
          <w:sz w:val="24"/>
        </w:rPr>
        <w:t xml:space="preserve"> </w:t>
      </w:r>
      <w:r w:rsidRPr="00150EDC">
        <w:rPr>
          <w:rFonts w:ascii="Calibri"/>
          <w:sz w:val="24"/>
        </w:rPr>
        <w:t>ineffectiveness</w:t>
      </w:r>
      <w:r w:rsidRPr="00150EDC">
        <w:rPr>
          <w:rFonts w:ascii="Calibri"/>
          <w:spacing w:val="-2"/>
          <w:sz w:val="24"/>
        </w:rPr>
        <w:t xml:space="preserve"> </w:t>
      </w:r>
      <w:r w:rsidRPr="00150EDC">
        <w:rPr>
          <w:rFonts w:ascii="Calibri"/>
          <w:sz w:val="24"/>
        </w:rPr>
        <w:t>in</w:t>
      </w:r>
      <w:r w:rsidRPr="00150EDC">
        <w:rPr>
          <w:rFonts w:ascii="Calibri"/>
          <w:spacing w:val="-2"/>
          <w:sz w:val="24"/>
        </w:rPr>
        <w:t xml:space="preserve"> </w:t>
      </w:r>
      <w:r w:rsidRPr="00150EDC">
        <w:rPr>
          <w:rFonts w:ascii="Calibri"/>
          <w:sz w:val="24"/>
        </w:rPr>
        <w:t>respect</w:t>
      </w:r>
      <w:r w:rsidRPr="00150EDC">
        <w:rPr>
          <w:rFonts w:ascii="Calibri"/>
          <w:spacing w:val="-2"/>
          <w:sz w:val="24"/>
        </w:rPr>
        <w:t xml:space="preserve"> </w:t>
      </w:r>
      <w:r w:rsidRPr="00150EDC">
        <w:rPr>
          <w:rFonts w:ascii="Calibri"/>
          <w:sz w:val="24"/>
        </w:rPr>
        <w:t>of</w:t>
      </w:r>
      <w:r w:rsidRPr="00150EDC">
        <w:rPr>
          <w:rFonts w:ascii="Calibri"/>
          <w:spacing w:val="-3"/>
          <w:sz w:val="24"/>
        </w:rPr>
        <w:t xml:space="preserve"> </w:t>
      </w:r>
      <w:r w:rsidRPr="00150EDC">
        <w:rPr>
          <w:rFonts w:ascii="Calibri"/>
          <w:sz w:val="24"/>
        </w:rPr>
        <w:t>any</w:t>
      </w:r>
      <w:r w:rsidRPr="00150EDC">
        <w:rPr>
          <w:rFonts w:ascii="Calibri"/>
          <w:spacing w:val="-6"/>
          <w:sz w:val="24"/>
        </w:rPr>
        <w:t xml:space="preserve"> </w:t>
      </w:r>
      <w:r w:rsidRPr="00150EDC">
        <w:rPr>
          <w:rFonts w:ascii="Calibri"/>
          <w:sz w:val="24"/>
        </w:rPr>
        <w:t>Variation;</w:t>
      </w:r>
      <w:r w:rsidRPr="00150EDC">
        <w:rPr>
          <w:rFonts w:ascii="Calibri"/>
          <w:spacing w:val="-2"/>
          <w:sz w:val="24"/>
        </w:rPr>
        <w:t xml:space="preserve"> </w:t>
      </w:r>
      <w:r w:rsidRPr="00150EDC">
        <w:rPr>
          <w:rFonts w:ascii="Calibri"/>
          <w:spacing w:val="-5"/>
          <w:sz w:val="24"/>
        </w:rPr>
        <w:t>or</w:t>
      </w:r>
    </w:p>
    <w:p w14:paraId="4EBFB9C3" w14:textId="77777777" w:rsidR="004C7180" w:rsidRPr="00150EDC" w:rsidRDefault="00CF0754" w:rsidP="00B320C7">
      <w:pPr>
        <w:pStyle w:val="ListParagraph"/>
        <w:numPr>
          <w:ilvl w:val="3"/>
          <w:numId w:val="182"/>
        </w:numPr>
        <w:tabs>
          <w:tab w:val="left" w:pos="1491"/>
        </w:tabs>
        <w:spacing w:before="19"/>
        <w:ind w:left="1491" w:hanging="425"/>
        <w:rPr>
          <w:rFonts w:ascii="Calibri"/>
          <w:sz w:val="24"/>
        </w:rPr>
      </w:pPr>
      <w:r w:rsidRPr="00150EDC">
        <w:rPr>
          <w:rFonts w:ascii="Calibri"/>
          <w:sz w:val="24"/>
        </w:rPr>
        <w:t>any</w:t>
      </w:r>
      <w:r w:rsidRPr="00150EDC">
        <w:rPr>
          <w:rFonts w:ascii="Calibri"/>
          <w:spacing w:val="-2"/>
          <w:sz w:val="24"/>
        </w:rPr>
        <w:t xml:space="preserve"> </w:t>
      </w:r>
      <w:r w:rsidRPr="00150EDC">
        <w:rPr>
          <w:rFonts w:ascii="Calibri"/>
          <w:sz w:val="24"/>
        </w:rPr>
        <w:t>of</w:t>
      </w:r>
      <w:r w:rsidRPr="00150EDC">
        <w:rPr>
          <w:rFonts w:ascii="Calibri"/>
          <w:spacing w:val="-3"/>
          <w:sz w:val="24"/>
        </w:rPr>
        <w:t xml:space="preserve"> </w:t>
      </w:r>
      <w:r w:rsidRPr="00150EDC">
        <w:rPr>
          <w:rFonts w:ascii="Calibri"/>
          <w:sz w:val="24"/>
        </w:rPr>
        <w:t>the</w:t>
      </w:r>
      <w:r w:rsidRPr="00150EDC">
        <w:rPr>
          <w:rFonts w:ascii="Calibri"/>
          <w:spacing w:val="-3"/>
          <w:sz w:val="24"/>
        </w:rPr>
        <w:t xml:space="preserve"> </w:t>
      </w:r>
      <w:r w:rsidRPr="00150EDC">
        <w:rPr>
          <w:rFonts w:ascii="Calibri"/>
          <w:sz w:val="24"/>
        </w:rPr>
        <w:t>events</w:t>
      </w:r>
      <w:r w:rsidRPr="00150EDC">
        <w:rPr>
          <w:rFonts w:ascii="Calibri"/>
          <w:spacing w:val="-2"/>
          <w:sz w:val="24"/>
        </w:rPr>
        <w:t xml:space="preserve"> </w:t>
      </w:r>
      <w:r w:rsidRPr="00150EDC">
        <w:rPr>
          <w:rFonts w:ascii="Calibri"/>
          <w:sz w:val="24"/>
        </w:rPr>
        <w:t>in</w:t>
      </w:r>
      <w:r w:rsidRPr="00150EDC">
        <w:rPr>
          <w:rFonts w:ascii="Calibri"/>
          <w:spacing w:val="-3"/>
          <w:sz w:val="24"/>
        </w:rPr>
        <w:t xml:space="preserve"> </w:t>
      </w:r>
      <w:r w:rsidRPr="00150EDC">
        <w:rPr>
          <w:rFonts w:ascii="Calibri"/>
          <w:sz w:val="24"/>
        </w:rPr>
        <w:t>73</w:t>
      </w:r>
      <w:r w:rsidRPr="00150EDC">
        <w:rPr>
          <w:rFonts w:ascii="Calibri"/>
          <w:spacing w:val="-3"/>
          <w:sz w:val="24"/>
        </w:rPr>
        <w:t xml:space="preserve"> </w:t>
      </w:r>
      <w:r w:rsidRPr="00150EDC">
        <w:rPr>
          <w:rFonts w:ascii="Calibri"/>
          <w:sz w:val="24"/>
        </w:rPr>
        <w:t>(1)</w:t>
      </w:r>
      <w:r w:rsidRPr="00150EDC">
        <w:rPr>
          <w:rFonts w:ascii="Calibri"/>
          <w:spacing w:val="-1"/>
          <w:sz w:val="24"/>
        </w:rPr>
        <w:t xml:space="preserve"> </w:t>
      </w:r>
      <w:r w:rsidRPr="00150EDC">
        <w:rPr>
          <w:rFonts w:ascii="Calibri"/>
          <w:sz w:val="24"/>
        </w:rPr>
        <w:t>(a)</w:t>
      </w:r>
      <w:r w:rsidRPr="00150EDC">
        <w:rPr>
          <w:rFonts w:ascii="Calibri"/>
          <w:spacing w:val="-3"/>
          <w:sz w:val="24"/>
        </w:rPr>
        <w:t xml:space="preserve"> </w:t>
      </w:r>
      <w:r w:rsidRPr="00150EDC">
        <w:rPr>
          <w:rFonts w:ascii="Calibri"/>
          <w:sz w:val="24"/>
        </w:rPr>
        <w:t>or</w:t>
      </w:r>
      <w:r w:rsidRPr="00150EDC">
        <w:rPr>
          <w:rFonts w:ascii="Calibri"/>
          <w:spacing w:val="-1"/>
          <w:sz w:val="24"/>
        </w:rPr>
        <w:t xml:space="preserve"> </w:t>
      </w:r>
      <w:r w:rsidRPr="00150EDC">
        <w:rPr>
          <w:rFonts w:ascii="Calibri"/>
          <w:sz w:val="24"/>
        </w:rPr>
        <w:t>(c)</w:t>
      </w:r>
      <w:r w:rsidRPr="00150EDC">
        <w:rPr>
          <w:rFonts w:ascii="Calibri"/>
          <w:spacing w:val="-3"/>
          <w:sz w:val="24"/>
        </w:rPr>
        <w:t xml:space="preserve"> </w:t>
      </w:r>
      <w:r w:rsidRPr="00150EDC">
        <w:rPr>
          <w:rFonts w:ascii="Calibri"/>
          <w:sz w:val="24"/>
        </w:rPr>
        <w:t>of</w:t>
      </w:r>
      <w:r w:rsidRPr="00150EDC">
        <w:rPr>
          <w:rFonts w:ascii="Calibri"/>
          <w:spacing w:val="-3"/>
          <w:sz w:val="24"/>
        </w:rPr>
        <w:t xml:space="preserve"> </w:t>
      </w:r>
      <w:r w:rsidRPr="00150EDC">
        <w:rPr>
          <w:rFonts w:ascii="Calibri"/>
          <w:sz w:val="24"/>
        </w:rPr>
        <w:t>the</w:t>
      </w:r>
      <w:r w:rsidRPr="00150EDC">
        <w:rPr>
          <w:rFonts w:ascii="Calibri"/>
          <w:spacing w:val="-1"/>
          <w:sz w:val="24"/>
        </w:rPr>
        <w:t xml:space="preserve"> </w:t>
      </w:r>
      <w:r w:rsidRPr="00150EDC">
        <w:rPr>
          <w:rFonts w:ascii="Calibri"/>
          <w:sz w:val="24"/>
        </w:rPr>
        <w:t>Regulations</w:t>
      </w:r>
      <w:r w:rsidRPr="00150EDC">
        <w:rPr>
          <w:rFonts w:ascii="Calibri"/>
          <w:spacing w:val="-3"/>
          <w:sz w:val="24"/>
        </w:rPr>
        <w:t xml:space="preserve"> </w:t>
      </w:r>
      <w:r w:rsidRPr="00150EDC">
        <w:rPr>
          <w:rFonts w:ascii="Calibri"/>
          <w:spacing w:val="-2"/>
          <w:sz w:val="24"/>
        </w:rPr>
        <w:t>happen.</w:t>
      </w:r>
    </w:p>
    <w:p w14:paraId="2C463A88" w14:textId="77777777" w:rsidR="004C7180" w:rsidRPr="00150EDC" w:rsidRDefault="004C7180">
      <w:pPr>
        <w:pStyle w:val="BodyText"/>
        <w:spacing w:before="7"/>
        <w:rPr>
          <w:rFonts w:ascii="Calibri"/>
          <w:sz w:val="27"/>
        </w:rPr>
      </w:pPr>
    </w:p>
    <w:p w14:paraId="1D40368B" w14:textId="77777777" w:rsidR="004C7180" w:rsidRPr="00150EDC" w:rsidRDefault="00CF0754" w:rsidP="00B320C7">
      <w:pPr>
        <w:pStyle w:val="ListParagraph"/>
        <w:numPr>
          <w:ilvl w:val="1"/>
          <w:numId w:val="182"/>
        </w:numPr>
        <w:tabs>
          <w:tab w:val="left" w:pos="1065"/>
        </w:tabs>
        <w:ind w:left="1065" w:hanging="565"/>
        <w:jc w:val="both"/>
        <w:rPr>
          <w:rFonts w:ascii="Calibri"/>
          <w:b/>
          <w:sz w:val="28"/>
        </w:rPr>
      </w:pPr>
      <w:r w:rsidRPr="00150EDC">
        <w:rPr>
          <w:rFonts w:ascii="Calibri"/>
          <w:b/>
          <w:sz w:val="28"/>
        </w:rPr>
        <w:t>When</w:t>
      </w:r>
      <w:r w:rsidRPr="00150EDC">
        <w:rPr>
          <w:rFonts w:ascii="Calibri"/>
          <w:b/>
          <w:spacing w:val="-4"/>
          <w:sz w:val="28"/>
        </w:rPr>
        <w:t xml:space="preserve"> </w:t>
      </w:r>
      <w:r w:rsidRPr="00150EDC">
        <w:rPr>
          <w:rFonts w:ascii="Calibri"/>
          <w:b/>
          <w:sz w:val="28"/>
        </w:rPr>
        <w:t>the</w:t>
      </w:r>
      <w:r w:rsidRPr="00150EDC">
        <w:rPr>
          <w:rFonts w:ascii="Calibri"/>
          <w:b/>
          <w:spacing w:val="-2"/>
          <w:sz w:val="28"/>
        </w:rPr>
        <w:t xml:space="preserve"> </w:t>
      </w:r>
      <w:r w:rsidRPr="00150EDC">
        <w:rPr>
          <w:rFonts w:ascii="Calibri"/>
          <w:b/>
          <w:sz w:val="28"/>
        </w:rPr>
        <w:t>supplier</w:t>
      </w:r>
      <w:r w:rsidRPr="00150EDC">
        <w:rPr>
          <w:rFonts w:ascii="Calibri"/>
          <w:b/>
          <w:spacing w:val="-4"/>
          <w:sz w:val="28"/>
        </w:rPr>
        <w:t xml:space="preserve"> </w:t>
      </w:r>
      <w:r w:rsidRPr="00150EDC">
        <w:rPr>
          <w:rFonts w:ascii="Calibri"/>
          <w:b/>
          <w:sz w:val="28"/>
        </w:rPr>
        <w:t>can</w:t>
      </w:r>
      <w:r w:rsidRPr="00150EDC">
        <w:rPr>
          <w:rFonts w:ascii="Calibri"/>
          <w:b/>
          <w:spacing w:val="-3"/>
          <w:sz w:val="28"/>
        </w:rPr>
        <w:t xml:space="preserve"> </w:t>
      </w:r>
      <w:r w:rsidRPr="00150EDC">
        <w:rPr>
          <w:rFonts w:ascii="Calibri"/>
          <w:b/>
          <w:sz w:val="28"/>
        </w:rPr>
        <w:t>end</w:t>
      </w:r>
      <w:r w:rsidRPr="00150EDC">
        <w:rPr>
          <w:rFonts w:ascii="Calibri"/>
          <w:b/>
          <w:spacing w:val="-5"/>
          <w:sz w:val="28"/>
        </w:rPr>
        <w:t xml:space="preserve"> </w:t>
      </w:r>
      <w:r w:rsidRPr="00150EDC">
        <w:rPr>
          <w:rFonts w:ascii="Calibri"/>
          <w:b/>
          <w:sz w:val="28"/>
        </w:rPr>
        <w:t>the</w:t>
      </w:r>
      <w:r w:rsidRPr="00150EDC">
        <w:rPr>
          <w:rFonts w:ascii="Calibri"/>
          <w:b/>
          <w:spacing w:val="-2"/>
          <w:sz w:val="28"/>
        </w:rPr>
        <w:t xml:space="preserve"> contract</w:t>
      </w:r>
    </w:p>
    <w:p w14:paraId="437942BF" w14:textId="77777777" w:rsidR="004C7180" w:rsidRPr="00150EDC" w:rsidRDefault="00CF0754">
      <w:pPr>
        <w:pStyle w:val="BodyText"/>
        <w:spacing w:before="18"/>
        <w:ind w:left="927" w:right="935"/>
        <w:jc w:val="both"/>
        <w:rPr>
          <w:rFonts w:ascii="Calibri"/>
        </w:rPr>
      </w:pPr>
      <w:r w:rsidRPr="00150EDC">
        <w:rPr>
          <w:rFonts w:ascii="Calibri"/>
        </w:rPr>
        <w:t>The</w:t>
      </w:r>
      <w:r w:rsidRPr="00150EDC">
        <w:rPr>
          <w:rFonts w:ascii="Calibri"/>
          <w:spacing w:val="-1"/>
        </w:rPr>
        <w:t xml:space="preserve"> </w:t>
      </w:r>
      <w:r w:rsidRPr="00150EDC">
        <w:rPr>
          <w:rFonts w:ascii="Calibri"/>
        </w:rPr>
        <w:t>Supplier</w:t>
      </w:r>
      <w:r w:rsidRPr="00150EDC">
        <w:rPr>
          <w:rFonts w:ascii="Calibri"/>
          <w:spacing w:val="-3"/>
        </w:rPr>
        <w:t xml:space="preserve"> </w:t>
      </w:r>
      <w:r w:rsidRPr="00150EDC">
        <w:rPr>
          <w:rFonts w:ascii="Calibri"/>
        </w:rPr>
        <w:t>can</w:t>
      </w:r>
      <w:r w:rsidRPr="00150EDC">
        <w:rPr>
          <w:rFonts w:ascii="Calibri"/>
          <w:spacing w:val="-1"/>
        </w:rPr>
        <w:t xml:space="preserve"> </w:t>
      </w:r>
      <w:r w:rsidRPr="00150EDC">
        <w:rPr>
          <w:rFonts w:ascii="Calibri"/>
        </w:rPr>
        <w:t>issue</w:t>
      </w:r>
      <w:r w:rsidRPr="00150EDC">
        <w:rPr>
          <w:rFonts w:ascii="Calibri"/>
          <w:spacing w:val="-1"/>
        </w:rPr>
        <w:t xml:space="preserve"> </w:t>
      </w:r>
      <w:r w:rsidRPr="00150EDC">
        <w:rPr>
          <w:rFonts w:ascii="Calibri"/>
        </w:rPr>
        <w:t>a</w:t>
      </w:r>
      <w:r w:rsidRPr="00150EDC">
        <w:rPr>
          <w:rFonts w:ascii="Calibri"/>
          <w:spacing w:val="-6"/>
        </w:rPr>
        <w:t xml:space="preserve"> </w:t>
      </w:r>
      <w:r w:rsidRPr="00150EDC">
        <w:rPr>
          <w:rFonts w:ascii="Calibri"/>
        </w:rPr>
        <w:t>Reminder</w:t>
      </w:r>
      <w:r w:rsidRPr="00150EDC">
        <w:rPr>
          <w:rFonts w:ascii="Calibri"/>
          <w:spacing w:val="-3"/>
        </w:rPr>
        <w:t xml:space="preserve"> </w:t>
      </w:r>
      <w:r w:rsidRPr="00150EDC">
        <w:rPr>
          <w:rFonts w:ascii="Calibri"/>
        </w:rPr>
        <w:t>Notice</w:t>
      </w:r>
      <w:r w:rsidRPr="00150EDC">
        <w:rPr>
          <w:rFonts w:ascii="Calibri"/>
          <w:spacing w:val="-1"/>
        </w:rPr>
        <w:t xml:space="preserve"> </w:t>
      </w:r>
      <w:r w:rsidRPr="00150EDC">
        <w:rPr>
          <w:rFonts w:ascii="Calibri"/>
        </w:rPr>
        <w:t>if</w:t>
      </w:r>
      <w:r w:rsidRPr="00150EDC">
        <w:rPr>
          <w:rFonts w:ascii="Calibri"/>
          <w:spacing w:val="-3"/>
        </w:rPr>
        <w:t xml:space="preserve"> </w:t>
      </w:r>
      <w:r w:rsidRPr="00150EDC">
        <w:rPr>
          <w:rFonts w:ascii="Calibri"/>
        </w:rPr>
        <w:t>the</w:t>
      </w:r>
      <w:r w:rsidRPr="00150EDC">
        <w:rPr>
          <w:rFonts w:ascii="Calibri"/>
          <w:spacing w:val="-4"/>
        </w:rPr>
        <w:t xml:space="preserve"> </w:t>
      </w:r>
      <w:r w:rsidRPr="00150EDC">
        <w:rPr>
          <w:rFonts w:ascii="Calibri"/>
        </w:rPr>
        <w:t>Buyer</w:t>
      </w:r>
      <w:r w:rsidRPr="00150EDC">
        <w:rPr>
          <w:rFonts w:ascii="Calibri"/>
          <w:spacing w:val="-2"/>
        </w:rPr>
        <w:t xml:space="preserve"> </w:t>
      </w:r>
      <w:r w:rsidRPr="00150EDC">
        <w:rPr>
          <w:rFonts w:ascii="Calibri"/>
        </w:rPr>
        <w:t>does</w:t>
      </w:r>
      <w:r w:rsidRPr="00150EDC">
        <w:rPr>
          <w:rFonts w:ascii="Calibri"/>
          <w:spacing w:val="-4"/>
        </w:rPr>
        <w:t xml:space="preserve"> </w:t>
      </w:r>
      <w:r w:rsidRPr="00150EDC">
        <w:rPr>
          <w:rFonts w:ascii="Calibri"/>
        </w:rPr>
        <w:t>not</w:t>
      </w:r>
      <w:r w:rsidRPr="00150EDC">
        <w:rPr>
          <w:rFonts w:ascii="Calibri"/>
          <w:spacing w:val="-2"/>
        </w:rPr>
        <w:t xml:space="preserve"> </w:t>
      </w:r>
      <w:r w:rsidRPr="00150EDC">
        <w:rPr>
          <w:rFonts w:ascii="Calibri"/>
        </w:rPr>
        <w:t>pay</w:t>
      </w:r>
      <w:r w:rsidRPr="00150EDC">
        <w:rPr>
          <w:rFonts w:ascii="Calibri"/>
          <w:spacing w:val="-4"/>
        </w:rPr>
        <w:t xml:space="preserve"> </w:t>
      </w:r>
      <w:r w:rsidRPr="00150EDC">
        <w:rPr>
          <w:rFonts w:ascii="Calibri"/>
        </w:rPr>
        <w:t>an</w:t>
      </w:r>
      <w:r w:rsidRPr="00150EDC">
        <w:rPr>
          <w:rFonts w:ascii="Calibri"/>
          <w:spacing w:val="-3"/>
        </w:rPr>
        <w:t xml:space="preserve"> </w:t>
      </w:r>
      <w:r w:rsidRPr="00150EDC">
        <w:rPr>
          <w:rFonts w:ascii="Calibri"/>
        </w:rPr>
        <w:t>undisputed</w:t>
      </w:r>
      <w:r w:rsidRPr="00150EDC">
        <w:rPr>
          <w:rFonts w:ascii="Calibri"/>
          <w:spacing w:val="-1"/>
        </w:rPr>
        <w:t xml:space="preserve"> </w:t>
      </w:r>
      <w:r w:rsidRPr="00150EDC">
        <w:rPr>
          <w:rFonts w:ascii="Calibri"/>
        </w:rPr>
        <w:t>invoice</w:t>
      </w:r>
      <w:r w:rsidRPr="00150EDC">
        <w:rPr>
          <w:rFonts w:ascii="Calibri"/>
          <w:spacing w:val="-1"/>
        </w:rPr>
        <w:t xml:space="preserve"> </w:t>
      </w:r>
      <w:r w:rsidRPr="00150EDC">
        <w:rPr>
          <w:rFonts w:ascii="Calibri"/>
        </w:rPr>
        <w:t>on</w:t>
      </w:r>
      <w:r w:rsidRPr="00150EDC">
        <w:rPr>
          <w:rFonts w:ascii="Calibri"/>
          <w:spacing w:val="-1"/>
        </w:rPr>
        <w:t xml:space="preserve"> </w:t>
      </w:r>
      <w:r w:rsidRPr="00150EDC">
        <w:rPr>
          <w:rFonts w:ascii="Calibri"/>
        </w:rPr>
        <w:t>time.</w:t>
      </w:r>
      <w:r w:rsidRPr="00150EDC">
        <w:rPr>
          <w:rFonts w:ascii="Calibri"/>
          <w:spacing w:val="-3"/>
        </w:rPr>
        <w:t xml:space="preserve"> </w:t>
      </w:r>
      <w:r w:rsidRPr="00150EDC">
        <w:rPr>
          <w:rFonts w:ascii="Calibri"/>
        </w:rPr>
        <w:t>The Supplier can terminate</w:t>
      </w:r>
      <w:r w:rsidRPr="00150EDC">
        <w:rPr>
          <w:rFonts w:ascii="Calibri"/>
          <w:spacing w:val="-3"/>
        </w:rPr>
        <w:t xml:space="preserve"> </w:t>
      </w:r>
      <w:r w:rsidRPr="00150EDC">
        <w:rPr>
          <w:rFonts w:ascii="Calibri"/>
        </w:rPr>
        <w:t>an Order Contract</w:t>
      </w:r>
      <w:r w:rsidRPr="00150EDC">
        <w:rPr>
          <w:rFonts w:ascii="Calibri"/>
          <w:spacing w:val="-2"/>
        </w:rPr>
        <w:t xml:space="preserve"> </w:t>
      </w:r>
      <w:r w:rsidRPr="00150EDC">
        <w:rPr>
          <w:rFonts w:ascii="Calibri"/>
        </w:rPr>
        <w:t>if</w:t>
      </w:r>
      <w:r w:rsidRPr="00150EDC">
        <w:rPr>
          <w:rFonts w:ascii="Calibri"/>
          <w:spacing w:val="-2"/>
        </w:rPr>
        <w:t xml:space="preserve"> </w:t>
      </w:r>
      <w:r w:rsidRPr="00150EDC">
        <w:rPr>
          <w:rFonts w:ascii="Calibri"/>
        </w:rPr>
        <w:t>the Buyer</w:t>
      </w:r>
      <w:r w:rsidRPr="00150EDC">
        <w:rPr>
          <w:rFonts w:ascii="Calibri"/>
          <w:spacing w:val="-1"/>
        </w:rPr>
        <w:t xml:space="preserve"> </w:t>
      </w:r>
      <w:r w:rsidRPr="00150EDC">
        <w:rPr>
          <w:rFonts w:ascii="Calibri"/>
        </w:rPr>
        <w:t>fails to</w:t>
      </w:r>
      <w:r w:rsidRPr="00150EDC">
        <w:rPr>
          <w:rFonts w:ascii="Calibri"/>
          <w:spacing w:val="-2"/>
        </w:rPr>
        <w:t xml:space="preserve"> </w:t>
      </w:r>
      <w:r w:rsidRPr="00150EDC">
        <w:rPr>
          <w:rFonts w:ascii="Calibri"/>
        </w:rPr>
        <w:t>pay</w:t>
      </w:r>
      <w:r w:rsidRPr="00150EDC">
        <w:rPr>
          <w:rFonts w:ascii="Calibri"/>
          <w:spacing w:val="-1"/>
        </w:rPr>
        <w:t xml:space="preserve"> </w:t>
      </w:r>
      <w:r w:rsidRPr="00150EDC">
        <w:rPr>
          <w:rFonts w:ascii="Calibri"/>
        </w:rPr>
        <w:t>an</w:t>
      </w:r>
      <w:r w:rsidRPr="00150EDC">
        <w:rPr>
          <w:rFonts w:ascii="Calibri"/>
          <w:spacing w:val="-2"/>
        </w:rPr>
        <w:t xml:space="preserve"> </w:t>
      </w:r>
      <w:r w:rsidRPr="00150EDC">
        <w:rPr>
          <w:rFonts w:ascii="Calibri"/>
        </w:rPr>
        <w:t>undisputed</w:t>
      </w:r>
      <w:r w:rsidRPr="00150EDC">
        <w:rPr>
          <w:rFonts w:ascii="Calibri"/>
          <w:spacing w:val="-2"/>
        </w:rPr>
        <w:t xml:space="preserve"> </w:t>
      </w:r>
      <w:r w:rsidRPr="00150EDC">
        <w:rPr>
          <w:rFonts w:ascii="Calibri"/>
        </w:rPr>
        <w:t>invoiced sum</w:t>
      </w:r>
      <w:r w:rsidRPr="00150EDC">
        <w:rPr>
          <w:rFonts w:ascii="Calibri"/>
          <w:spacing w:val="-3"/>
        </w:rPr>
        <w:t xml:space="preserve"> </w:t>
      </w:r>
      <w:r w:rsidRPr="00150EDC">
        <w:rPr>
          <w:rFonts w:ascii="Calibri"/>
        </w:rPr>
        <w:t>due</w:t>
      </w:r>
      <w:r w:rsidRPr="00150EDC">
        <w:rPr>
          <w:rFonts w:ascii="Calibri"/>
          <w:spacing w:val="-2"/>
        </w:rPr>
        <w:t xml:space="preserve"> </w:t>
      </w:r>
      <w:r w:rsidRPr="00150EDC">
        <w:rPr>
          <w:rFonts w:ascii="Calibri"/>
        </w:rPr>
        <w:t>and worth over 10% of the annual Contract Value within 30 days of the date of the Reminder Notice.</w:t>
      </w:r>
    </w:p>
    <w:p w14:paraId="1E026178" w14:textId="77777777" w:rsidR="004C7180" w:rsidRPr="00150EDC" w:rsidRDefault="004C7180">
      <w:pPr>
        <w:pStyle w:val="BodyText"/>
        <w:spacing w:before="4"/>
        <w:rPr>
          <w:rFonts w:ascii="Calibri"/>
          <w:sz w:val="27"/>
        </w:rPr>
      </w:pPr>
    </w:p>
    <w:p w14:paraId="5C620864" w14:textId="77777777" w:rsidR="004C7180" w:rsidRPr="00150EDC" w:rsidRDefault="00CF0754" w:rsidP="00B320C7">
      <w:pPr>
        <w:pStyle w:val="ListParagraph"/>
        <w:numPr>
          <w:ilvl w:val="1"/>
          <w:numId w:val="182"/>
        </w:numPr>
        <w:tabs>
          <w:tab w:val="left" w:pos="1065"/>
        </w:tabs>
        <w:spacing w:line="341" w:lineRule="exact"/>
        <w:ind w:left="1065" w:hanging="565"/>
        <w:rPr>
          <w:rFonts w:ascii="Calibri"/>
          <w:b/>
          <w:sz w:val="28"/>
        </w:rPr>
      </w:pPr>
      <w:r w:rsidRPr="00150EDC">
        <w:rPr>
          <w:rFonts w:ascii="Calibri"/>
          <w:b/>
          <w:sz w:val="28"/>
        </w:rPr>
        <w:t>What</w:t>
      </w:r>
      <w:r w:rsidRPr="00150EDC">
        <w:rPr>
          <w:rFonts w:ascii="Calibri"/>
          <w:b/>
          <w:spacing w:val="-4"/>
          <w:sz w:val="28"/>
        </w:rPr>
        <w:t xml:space="preserve"> </w:t>
      </w:r>
      <w:r w:rsidRPr="00150EDC">
        <w:rPr>
          <w:rFonts w:ascii="Calibri"/>
          <w:b/>
          <w:sz w:val="28"/>
        </w:rPr>
        <w:t>happens</w:t>
      </w:r>
      <w:r w:rsidRPr="00150EDC">
        <w:rPr>
          <w:rFonts w:ascii="Calibri"/>
          <w:b/>
          <w:spacing w:val="-3"/>
          <w:sz w:val="28"/>
        </w:rPr>
        <w:t xml:space="preserve"> </w:t>
      </w:r>
      <w:r w:rsidRPr="00150EDC">
        <w:rPr>
          <w:rFonts w:ascii="Calibri"/>
          <w:b/>
          <w:sz w:val="28"/>
        </w:rPr>
        <w:t>if</w:t>
      </w:r>
      <w:r w:rsidRPr="00150EDC">
        <w:rPr>
          <w:rFonts w:ascii="Calibri"/>
          <w:b/>
          <w:spacing w:val="-3"/>
          <w:sz w:val="28"/>
        </w:rPr>
        <w:t xml:space="preserve"> </w:t>
      </w:r>
      <w:r w:rsidRPr="00150EDC">
        <w:rPr>
          <w:rFonts w:ascii="Calibri"/>
          <w:b/>
          <w:sz w:val="28"/>
        </w:rPr>
        <w:t>the</w:t>
      </w:r>
      <w:r w:rsidRPr="00150EDC">
        <w:rPr>
          <w:rFonts w:ascii="Calibri"/>
          <w:b/>
          <w:spacing w:val="-4"/>
          <w:sz w:val="28"/>
        </w:rPr>
        <w:t xml:space="preserve"> </w:t>
      </w:r>
      <w:r w:rsidRPr="00150EDC">
        <w:rPr>
          <w:rFonts w:ascii="Calibri"/>
          <w:b/>
          <w:sz w:val="28"/>
        </w:rPr>
        <w:t>contract</w:t>
      </w:r>
      <w:r w:rsidRPr="00150EDC">
        <w:rPr>
          <w:rFonts w:ascii="Calibri"/>
          <w:b/>
          <w:spacing w:val="-3"/>
          <w:sz w:val="28"/>
        </w:rPr>
        <w:t xml:space="preserve"> </w:t>
      </w:r>
      <w:r w:rsidRPr="00150EDC">
        <w:rPr>
          <w:rFonts w:ascii="Calibri"/>
          <w:b/>
          <w:spacing w:val="-4"/>
          <w:sz w:val="28"/>
        </w:rPr>
        <w:t>ends</w:t>
      </w:r>
    </w:p>
    <w:p w14:paraId="37E8CF54" w14:textId="77777777" w:rsidR="004C7180" w:rsidRPr="00150EDC" w:rsidRDefault="00CF0754" w:rsidP="00B320C7">
      <w:pPr>
        <w:pStyle w:val="ListParagraph"/>
        <w:numPr>
          <w:ilvl w:val="2"/>
          <w:numId w:val="182"/>
        </w:numPr>
        <w:tabs>
          <w:tab w:val="left" w:pos="1207"/>
        </w:tabs>
        <w:spacing w:line="292" w:lineRule="exact"/>
        <w:ind w:left="1207" w:hanging="719"/>
        <w:rPr>
          <w:rFonts w:ascii="Calibri"/>
          <w:sz w:val="24"/>
        </w:rPr>
      </w:pPr>
      <w:r w:rsidRPr="00150EDC">
        <w:rPr>
          <w:rFonts w:ascii="Calibri"/>
          <w:sz w:val="24"/>
        </w:rPr>
        <w:t>Where</w:t>
      </w:r>
      <w:r w:rsidRPr="00150EDC">
        <w:rPr>
          <w:rFonts w:ascii="Calibri"/>
          <w:spacing w:val="-5"/>
          <w:sz w:val="24"/>
        </w:rPr>
        <w:t xml:space="preserve"> </w:t>
      </w:r>
      <w:r w:rsidRPr="00150EDC">
        <w:rPr>
          <w:rFonts w:ascii="Calibri"/>
          <w:sz w:val="24"/>
        </w:rPr>
        <w:t>a</w:t>
      </w:r>
      <w:r w:rsidRPr="00150EDC">
        <w:rPr>
          <w:rFonts w:ascii="Calibri"/>
          <w:spacing w:val="-1"/>
          <w:sz w:val="24"/>
        </w:rPr>
        <w:t xml:space="preserve"> </w:t>
      </w:r>
      <w:r w:rsidRPr="00150EDC">
        <w:rPr>
          <w:rFonts w:ascii="Calibri"/>
          <w:sz w:val="24"/>
        </w:rPr>
        <w:t>Party</w:t>
      </w:r>
      <w:r w:rsidRPr="00150EDC">
        <w:rPr>
          <w:rFonts w:ascii="Calibri"/>
          <w:spacing w:val="-4"/>
          <w:sz w:val="24"/>
        </w:rPr>
        <w:t xml:space="preserve"> </w:t>
      </w:r>
      <w:r w:rsidRPr="00150EDC">
        <w:rPr>
          <w:rFonts w:ascii="Calibri"/>
          <w:sz w:val="24"/>
        </w:rPr>
        <w:t>terminates</w:t>
      </w:r>
      <w:r w:rsidRPr="00150EDC">
        <w:rPr>
          <w:rFonts w:ascii="Calibri"/>
          <w:spacing w:val="-1"/>
          <w:sz w:val="24"/>
        </w:rPr>
        <w:t xml:space="preserve"> </w:t>
      </w:r>
      <w:r w:rsidRPr="00150EDC">
        <w:rPr>
          <w:rFonts w:ascii="Calibri"/>
          <w:sz w:val="24"/>
        </w:rPr>
        <w:t>a</w:t>
      </w:r>
      <w:r w:rsidRPr="00150EDC">
        <w:rPr>
          <w:rFonts w:ascii="Calibri"/>
          <w:spacing w:val="-1"/>
          <w:sz w:val="24"/>
        </w:rPr>
        <w:t xml:space="preserve"> </w:t>
      </w:r>
      <w:r w:rsidRPr="00150EDC">
        <w:rPr>
          <w:rFonts w:ascii="Calibri"/>
          <w:sz w:val="24"/>
        </w:rPr>
        <w:t>Contract</w:t>
      </w:r>
      <w:r w:rsidRPr="00150EDC">
        <w:rPr>
          <w:rFonts w:ascii="Calibri"/>
          <w:spacing w:val="-2"/>
          <w:sz w:val="24"/>
        </w:rPr>
        <w:t xml:space="preserve"> </w:t>
      </w:r>
      <w:r w:rsidRPr="00150EDC">
        <w:rPr>
          <w:rFonts w:ascii="Calibri"/>
          <w:sz w:val="24"/>
        </w:rPr>
        <w:t>under</w:t>
      </w:r>
      <w:r w:rsidRPr="00150EDC">
        <w:rPr>
          <w:rFonts w:ascii="Calibri"/>
          <w:spacing w:val="-2"/>
          <w:sz w:val="24"/>
        </w:rPr>
        <w:t xml:space="preserve"> </w:t>
      </w:r>
      <w:r w:rsidRPr="00150EDC">
        <w:rPr>
          <w:rFonts w:ascii="Calibri"/>
          <w:sz w:val="24"/>
        </w:rPr>
        <w:t>any</w:t>
      </w:r>
      <w:r w:rsidRPr="00150EDC">
        <w:rPr>
          <w:rFonts w:ascii="Calibri"/>
          <w:spacing w:val="-4"/>
          <w:sz w:val="24"/>
        </w:rPr>
        <w:t xml:space="preserve"> </w:t>
      </w:r>
      <w:r w:rsidRPr="00150EDC">
        <w:rPr>
          <w:rFonts w:ascii="Calibri"/>
          <w:sz w:val="24"/>
        </w:rPr>
        <w:t>of</w:t>
      </w:r>
      <w:r w:rsidRPr="00150EDC">
        <w:rPr>
          <w:rFonts w:ascii="Calibri"/>
          <w:spacing w:val="-3"/>
          <w:sz w:val="24"/>
        </w:rPr>
        <w:t xml:space="preserve"> </w:t>
      </w:r>
      <w:r w:rsidRPr="00150EDC">
        <w:rPr>
          <w:rFonts w:ascii="Calibri"/>
          <w:sz w:val="24"/>
        </w:rPr>
        <w:t>Clauses</w:t>
      </w:r>
      <w:r w:rsidRPr="00150EDC">
        <w:rPr>
          <w:rFonts w:ascii="Calibri"/>
          <w:spacing w:val="-1"/>
          <w:sz w:val="24"/>
        </w:rPr>
        <w:t xml:space="preserve"> </w:t>
      </w:r>
      <w:r w:rsidRPr="00150EDC">
        <w:rPr>
          <w:rFonts w:ascii="Calibri"/>
          <w:sz w:val="24"/>
        </w:rPr>
        <w:t>10.2.1,</w:t>
      </w:r>
      <w:r w:rsidRPr="00150EDC">
        <w:rPr>
          <w:rFonts w:ascii="Calibri"/>
          <w:spacing w:val="-3"/>
          <w:sz w:val="24"/>
        </w:rPr>
        <w:t xml:space="preserve"> </w:t>
      </w:r>
      <w:r w:rsidRPr="00150EDC">
        <w:rPr>
          <w:rFonts w:ascii="Calibri"/>
          <w:sz w:val="24"/>
        </w:rPr>
        <w:t>10.2.2,</w:t>
      </w:r>
      <w:r w:rsidRPr="00150EDC">
        <w:rPr>
          <w:rFonts w:ascii="Calibri"/>
          <w:spacing w:val="-2"/>
          <w:sz w:val="24"/>
        </w:rPr>
        <w:t xml:space="preserve"> </w:t>
      </w:r>
      <w:r w:rsidRPr="00150EDC">
        <w:rPr>
          <w:rFonts w:ascii="Calibri"/>
          <w:sz w:val="24"/>
        </w:rPr>
        <w:t>10.4.1, 10.4.2, 10.4.3,</w:t>
      </w:r>
      <w:r w:rsidRPr="00150EDC">
        <w:rPr>
          <w:rFonts w:ascii="Calibri"/>
          <w:spacing w:val="-3"/>
          <w:sz w:val="24"/>
        </w:rPr>
        <w:t xml:space="preserve"> </w:t>
      </w:r>
      <w:r w:rsidRPr="00150EDC">
        <w:rPr>
          <w:rFonts w:ascii="Calibri"/>
          <w:sz w:val="24"/>
        </w:rPr>
        <w:t xml:space="preserve">10.5 </w:t>
      </w:r>
      <w:r w:rsidRPr="00150EDC">
        <w:rPr>
          <w:rFonts w:ascii="Calibri"/>
          <w:spacing w:val="-5"/>
          <w:sz w:val="24"/>
        </w:rPr>
        <w:t>or</w:t>
      </w:r>
    </w:p>
    <w:p w14:paraId="79668BAD" w14:textId="77777777" w:rsidR="004C7180" w:rsidRPr="00150EDC" w:rsidRDefault="004C7180">
      <w:pPr>
        <w:spacing w:line="292" w:lineRule="exact"/>
        <w:rPr>
          <w:rFonts w:ascii="Calibri"/>
          <w:sz w:val="24"/>
        </w:rPr>
        <w:sectPr w:rsidR="004C7180" w:rsidRPr="00150EDC">
          <w:pgSz w:w="11910" w:h="16840"/>
          <w:pgMar w:top="620" w:right="0" w:bottom="2460" w:left="40" w:header="403" w:footer="2245" w:gutter="0"/>
          <w:cols w:space="720"/>
        </w:sectPr>
      </w:pPr>
    </w:p>
    <w:p w14:paraId="6E095498" w14:textId="77777777" w:rsidR="004C7180" w:rsidRPr="00150EDC" w:rsidRDefault="004C7180">
      <w:pPr>
        <w:pStyle w:val="BodyText"/>
        <w:spacing w:before="1"/>
        <w:rPr>
          <w:rFonts w:ascii="Calibri"/>
          <w:sz w:val="18"/>
        </w:rPr>
      </w:pPr>
    </w:p>
    <w:p w14:paraId="76FF4905" w14:textId="77777777" w:rsidR="004C7180" w:rsidRPr="00150EDC" w:rsidRDefault="00CF0754">
      <w:pPr>
        <w:pStyle w:val="BodyText"/>
        <w:spacing w:before="52"/>
        <w:ind w:left="1208"/>
        <w:rPr>
          <w:rFonts w:ascii="Calibri"/>
        </w:rPr>
      </w:pPr>
      <w:r w:rsidRPr="00150EDC">
        <w:rPr>
          <w:rFonts w:ascii="Calibri"/>
        </w:rPr>
        <w:t>20.2</w:t>
      </w:r>
      <w:r w:rsidRPr="00150EDC">
        <w:rPr>
          <w:rFonts w:ascii="Calibri"/>
          <w:spacing w:val="-3"/>
        </w:rPr>
        <w:t xml:space="preserve"> </w:t>
      </w:r>
      <w:r w:rsidRPr="00150EDC">
        <w:rPr>
          <w:rFonts w:ascii="Calibri"/>
        </w:rPr>
        <w:t>or</w:t>
      </w:r>
      <w:r w:rsidRPr="00150EDC">
        <w:rPr>
          <w:rFonts w:ascii="Calibri"/>
          <w:spacing w:val="-3"/>
        </w:rPr>
        <w:t xml:space="preserve"> </w:t>
      </w:r>
      <w:r w:rsidRPr="00150EDC">
        <w:rPr>
          <w:rFonts w:ascii="Calibri"/>
        </w:rPr>
        <w:t>a</w:t>
      </w:r>
      <w:r w:rsidRPr="00150EDC">
        <w:rPr>
          <w:rFonts w:ascii="Calibri"/>
          <w:spacing w:val="-2"/>
        </w:rPr>
        <w:t xml:space="preserve"> </w:t>
      </w:r>
      <w:r w:rsidRPr="00150EDC">
        <w:rPr>
          <w:rFonts w:ascii="Calibri"/>
        </w:rPr>
        <w:t>Contract</w:t>
      </w:r>
      <w:r w:rsidRPr="00150EDC">
        <w:rPr>
          <w:rFonts w:ascii="Calibri"/>
          <w:spacing w:val="-1"/>
        </w:rPr>
        <w:t xml:space="preserve"> </w:t>
      </w:r>
      <w:r w:rsidRPr="00150EDC">
        <w:rPr>
          <w:rFonts w:ascii="Calibri"/>
        </w:rPr>
        <w:t>expires</w:t>
      </w:r>
      <w:r w:rsidRPr="00150EDC">
        <w:rPr>
          <w:rFonts w:ascii="Calibri"/>
          <w:spacing w:val="-3"/>
        </w:rPr>
        <w:t xml:space="preserve"> </w:t>
      </w:r>
      <w:r w:rsidRPr="00150EDC">
        <w:rPr>
          <w:rFonts w:ascii="Calibri"/>
        </w:rPr>
        <w:t>all</w:t>
      </w:r>
      <w:r w:rsidRPr="00150EDC">
        <w:rPr>
          <w:rFonts w:ascii="Calibri"/>
          <w:spacing w:val="-1"/>
        </w:rPr>
        <w:t xml:space="preserve"> </w:t>
      </w:r>
      <w:r w:rsidRPr="00150EDC">
        <w:rPr>
          <w:rFonts w:ascii="Calibri"/>
        </w:rPr>
        <w:t>of</w:t>
      </w:r>
      <w:r w:rsidRPr="00150EDC">
        <w:rPr>
          <w:rFonts w:ascii="Calibri"/>
          <w:spacing w:val="-1"/>
        </w:rPr>
        <w:t xml:space="preserve"> </w:t>
      </w:r>
      <w:r w:rsidRPr="00150EDC">
        <w:rPr>
          <w:rFonts w:ascii="Calibri"/>
        </w:rPr>
        <w:t>the</w:t>
      </w:r>
      <w:r w:rsidRPr="00150EDC">
        <w:rPr>
          <w:rFonts w:ascii="Calibri"/>
          <w:spacing w:val="-4"/>
        </w:rPr>
        <w:t xml:space="preserve"> </w:t>
      </w:r>
      <w:r w:rsidRPr="00150EDC">
        <w:rPr>
          <w:rFonts w:ascii="Calibri"/>
        </w:rPr>
        <w:t>following</w:t>
      </w:r>
      <w:r w:rsidRPr="00150EDC">
        <w:rPr>
          <w:rFonts w:ascii="Calibri"/>
          <w:spacing w:val="-2"/>
        </w:rPr>
        <w:t xml:space="preserve"> apply:</w:t>
      </w:r>
    </w:p>
    <w:p w14:paraId="3AA1441F" w14:textId="77777777" w:rsidR="004C7180" w:rsidRPr="00150EDC" w:rsidRDefault="004C7180">
      <w:pPr>
        <w:pStyle w:val="BodyText"/>
        <w:spacing w:before="7"/>
        <w:rPr>
          <w:rFonts w:ascii="Calibri"/>
          <w:sz w:val="25"/>
        </w:rPr>
      </w:pPr>
    </w:p>
    <w:p w14:paraId="57BF241D" w14:textId="77777777" w:rsidR="004C7180" w:rsidRPr="00150EDC" w:rsidRDefault="00CF0754" w:rsidP="00B320C7">
      <w:pPr>
        <w:pStyle w:val="ListParagraph"/>
        <w:numPr>
          <w:ilvl w:val="3"/>
          <w:numId w:val="182"/>
        </w:numPr>
        <w:tabs>
          <w:tab w:val="left" w:pos="1491"/>
        </w:tabs>
        <w:ind w:left="1491" w:hanging="425"/>
        <w:rPr>
          <w:rFonts w:ascii="Calibri" w:hAnsi="Calibri"/>
          <w:sz w:val="24"/>
        </w:rPr>
      </w:pPr>
      <w:r w:rsidRPr="00150EDC">
        <w:rPr>
          <w:rFonts w:ascii="Calibri" w:hAnsi="Calibri"/>
          <w:sz w:val="24"/>
        </w:rPr>
        <w:t>The</w:t>
      </w:r>
      <w:r w:rsidRPr="00150EDC">
        <w:rPr>
          <w:rFonts w:ascii="Calibri" w:hAnsi="Calibri"/>
          <w:spacing w:val="-5"/>
          <w:sz w:val="24"/>
        </w:rPr>
        <w:t xml:space="preserve"> </w:t>
      </w:r>
      <w:r w:rsidRPr="00150EDC">
        <w:rPr>
          <w:rFonts w:ascii="Calibri" w:hAnsi="Calibri"/>
          <w:sz w:val="24"/>
        </w:rPr>
        <w:t>Buyer’s</w:t>
      </w:r>
      <w:r w:rsidRPr="00150EDC">
        <w:rPr>
          <w:rFonts w:ascii="Calibri" w:hAnsi="Calibri"/>
          <w:spacing w:val="-3"/>
          <w:sz w:val="24"/>
        </w:rPr>
        <w:t xml:space="preserve"> </w:t>
      </w:r>
      <w:r w:rsidRPr="00150EDC">
        <w:rPr>
          <w:rFonts w:ascii="Calibri" w:hAnsi="Calibri"/>
          <w:sz w:val="24"/>
        </w:rPr>
        <w:t>payment</w:t>
      </w:r>
      <w:r w:rsidRPr="00150EDC">
        <w:rPr>
          <w:rFonts w:ascii="Calibri" w:hAnsi="Calibri"/>
          <w:spacing w:val="-4"/>
          <w:sz w:val="24"/>
        </w:rPr>
        <w:t xml:space="preserve"> </w:t>
      </w:r>
      <w:r w:rsidRPr="00150EDC">
        <w:rPr>
          <w:rFonts w:ascii="Calibri" w:hAnsi="Calibri"/>
          <w:sz w:val="24"/>
        </w:rPr>
        <w:t>obligations</w:t>
      </w:r>
      <w:r w:rsidRPr="00150EDC">
        <w:rPr>
          <w:rFonts w:ascii="Calibri" w:hAnsi="Calibri"/>
          <w:spacing w:val="-5"/>
          <w:sz w:val="24"/>
        </w:rPr>
        <w:t xml:space="preserve"> </w:t>
      </w:r>
      <w:r w:rsidRPr="00150EDC">
        <w:rPr>
          <w:rFonts w:ascii="Calibri" w:hAnsi="Calibri"/>
          <w:sz w:val="24"/>
        </w:rPr>
        <w:t>under</w:t>
      </w:r>
      <w:r w:rsidRPr="00150EDC">
        <w:rPr>
          <w:rFonts w:ascii="Calibri" w:hAnsi="Calibri"/>
          <w:spacing w:val="-4"/>
          <w:sz w:val="24"/>
        </w:rPr>
        <w:t xml:space="preserve"> </w:t>
      </w:r>
      <w:r w:rsidRPr="00150EDC">
        <w:rPr>
          <w:rFonts w:ascii="Calibri" w:hAnsi="Calibri"/>
          <w:sz w:val="24"/>
        </w:rPr>
        <w:t>the</w:t>
      </w:r>
      <w:r w:rsidRPr="00150EDC">
        <w:rPr>
          <w:rFonts w:ascii="Calibri" w:hAnsi="Calibri"/>
          <w:spacing w:val="-5"/>
          <w:sz w:val="24"/>
        </w:rPr>
        <w:t xml:space="preserve"> </w:t>
      </w:r>
      <w:r w:rsidRPr="00150EDC">
        <w:rPr>
          <w:rFonts w:ascii="Calibri" w:hAnsi="Calibri"/>
          <w:sz w:val="24"/>
        </w:rPr>
        <w:t>terminated</w:t>
      </w:r>
      <w:r w:rsidRPr="00150EDC">
        <w:rPr>
          <w:rFonts w:ascii="Calibri" w:hAnsi="Calibri"/>
          <w:spacing w:val="-2"/>
          <w:sz w:val="24"/>
        </w:rPr>
        <w:t xml:space="preserve"> </w:t>
      </w:r>
      <w:r w:rsidRPr="00150EDC">
        <w:rPr>
          <w:rFonts w:ascii="Calibri" w:hAnsi="Calibri"/>
          <w:sz w:val="24"/>
        </w:rPr>
        <w:t>Contract</w:t>
      </w:r>
      <w:r w:rsidRPr="00150EDC">
        <w:rPr>
          <w:rFonts w:ascii="Calibri" w:hAnsi="Calibri"/>
          <w:spacing w:val="-4"/>
          <w:sz w:val="24"/>
        </w:rPr>
        <w:t xml:space="preserve"> </w:t>
      </w:r>
      <w:r w:rsidRPr="00150EDC">
        <w:rPr>
          <w:rFonts w:ascii="Calibri" w:hAnsi="Calibri"/>
          <w:sz w:val="24"/>
        </w:rPr>
        <w:t>stop</w:t>
      </w:r>
      <w:r w:rsidRPr="00150EDC">
        <w:rPr>
          <w:rFonts w:ascii="Calibri" w:hAnsi="Calibri"/>
          <w:spacing w:val="-1"/>
          <w:sz w:val="24"/>
        </w:rPr>
        <w:t xml:space="preserve"> </w:t>
      </w:r>
      <w:r w:rsidRPr="00150EDC">
        <w:rPr>
          <w:rFonts w:ascii="Calibri" w:hAnsi="Calibri"/>
          <w:spacing w:val="-2"/>
          <w:sz w:val="24"/>
        </w:rPr>
        <w:t>immediately.</w:t>
      </w:r>
    </w:p>
    <w:p w14:paraId="5AD957FB" w14:textId="77777777" w:rsidR="004C7180" w:rsidRPr="00150EDC" w:rsidRDefault="00CF0754" w:rsidP="00B320C7">
      <w:pPr>
        <w:pStyle w:val="ListParagraph"/>
        <w:numPr>
          <w:ilvl w:val="3"/>
          <w:numId w:val="182"/>
        </w:numPr>
        <w:tabs>
          <w:tab w:val="left" w:pos="1491"/>
        </w:tabs>
        <w:spacing w:before="19"/>
        <w:ind w:left="1491" w:hanging="425"/>
        <w:rPr>
          <w:rFonts w:ascii="Calibri"/>
          <w:sz w:val="24"/>
        </w:rPr>
      </w:pPr>
      <w:r w:rsidRPr="00150EDC">
        <w:rPr>
          <w:rFonts w:ascii="Calibri"/>
          <w:sz w:val="24"/>
        </w:rPr>
        <w:t>Accumulated</w:t>
      </w:r>
      <w:r w:rsidRPr="00150EDC">
        <w:rPr>
          <w:rFonts w:ascii="Calibri"/>
          <w:spacing w:val="-2"/>
          <w:sz w:val="24"/>
        </w:rPr>
        <w:t xml:space="preserve"> </w:t>
      </w:r>
      <w:r w:rsidRPr="00150EDC">
        <w:rPr>
          <w:rFonts w:ascii="Calibri"/>
          <w:sz w:val="24"/>
        </w:rPr>
        <w:t>rights</w:t>
      </w:r>
      <w:r w:rsidRPr="00150EDC">
        <w:rPr>
          <w:rFonts w:ascii="Calibri"/>
          <w:spacing w:val="-4"/>
          <w:sz w:val="24"/>
        </w:rPr>
        <w:t xml:space="preserve"> </w:t>
      </w:r>
      <w:r w:rsidRPr="00150EDC">
        <w:rPr>
          <w:rFonts w:ascii="Calibri"/>
          <w:sz w:val="24"/>
        </w:rPr>
        <w:t>of</w:t>
      </w:r>
      <w:r w:rsidRPr="00150EDC">
        <w:rPr>
          <w:rFonts w:ascii="Calibri"/>
          <w:spacing w:val="-4"/>
          <w:sz w:val="24"/>
        </w:rPr>
        <w:t xml:space="preserve"> </w:t>
      </w:r>
      <w:r w:rsidRPr="00150EDC">
        <w:rPr>
          <w:rFonts w:ascii="Calibri"/>
          <w:sz w:val="24"/>
        </w:rPr>
        <w:t>the</w:t>
      </w:r>
      <w:r w:rsidRPr="00150EDC">
        <w:rPr>
          <w:rFonts w:ascii="Calibri"/>
          <w:spacing w:val="-1"/>
          <w:sz w:val="24"/>
        </w:rPr>
        <w:t xml:space="preserve"> </w:t>
      </w:r>
      <w:r w:rsidRPr="00150EDC">
        <w:rPr>
          <w:rFonts w:ascii="Calibri"/>
          <w:sz w:val="24"/>
        </w:rPr>
        <w:t>Parties</w:t>
      </w:r>
      <w:r w:rsidRPr="00150EDC">
        <w:rPr>
          <w:rFonts w:ascii="Calibri"/>
          <w:spacing w:val="-3"/>
          <w:sz w:val="24"/>
        </w:rPr>
        <w:t xml:space="preserve"> </w:t>
      </w:r>
      <w:r w:rsidRPr="00150EDC">
        <w:rPr>
          <w:rFonts w:ascii="Calibri"/>
          <w:sz w:val="24"/>
        </w:rPr>
        <w:t>are</w:t>
      </w:r>
      <w:r w:rsidRPr="00150EDC">
        <w:rPr>
          <w:rFonts w:ascii="Calibri"/>
          <w:spacing w:val="-3"/>
          <w:sz w:val="24"/>
        </w:rPr>
        <w:t xml:space="preserve"> </w:t>
      </w:r>
      <w:r w:rsidRPr="00150EDC">
        <w:rPr>
          <w:rFonts w:ascii="Calibri"/>
          <w:sz w:val="24"/>
        </w:rPr>
        <w:t>not</w:t>
      </w:r>
      <w:r w:rsidRPr="00150EDC">
        <w:rPr>
          <w:rFonts w:ascii="Calibri"/>
          <w:spacing w:val="-2"/>
          <w:sz w:val="24"/>
        </w:rPr>
        <w:t xml:space="preserve"> affected.</w:t>
      </w:r>
    </w:p>
    <w:p w14:paraId="5F112427" w14:textId="77777777" w:rsidR="004C7180" w:rsidRPr="00150EDC" w:rsidRDefault="00CF0754" w:rsidP="00B320C7">
      <w:pPr>
        <w:pStyle w:val="ListParagraph"/>
        <w:numPr>
          <w:ilvl w:val="3"/>
          <w:numId w:val="182"/>
        </w:numPr>
        <w:tabs>
          <w:tab w:val="left" w:pos="1492"/>
          <w:tab w:val="left" w:pos="1494"/>
        </w:tabs>
        <w:spacing w:before="22"/>
        <w:ind w:right="644" w:hanging="428"/>
        <w:rPr>
          <w:rFonts w:ascii="Calibri"/>
          <w:sz w:val="24"/>
        </w:rPr>
      </w:pPr>
      <w:r w:rsidRPr="00150EDC">
        <w:rPr>
          <w:rFonts w:ascii="Calibri"/>
          <w:sz w:val="24"/>
        </w:rPr>
        <w:t>The</w:t>
      </w:r>
      <w:r w:rsidRPr="00150EDC">
        <w:rPr>
          <w:rFonts w:ascii="Calibri"/>
          <w:spacing w:val="-2"/>
          <w:sz w:val="24"/>
        </w:rPr>
        <w:t xml:space="preserve"> </w:t>
      </w:r>
      <w:r w:rsidRPr="00150EDC">
        <w:rPr>
          <w:rFonts w:ascii="Calibri"/>
          <w:sz w:val="24"/>
        </w:rPr>
        <w:t>Supplier</w:t>
      </w:r>
      <w:r w:rsidRPr="00150EDC">
        <w:rPr>
          <w:rFonts w:ascii="Calibri"/>
          <w:spacing w:val="-4"/>
          <w:sz w:val="24"/>
        </w:rPr>
        <w:t xml:space="preserve"> </w:t>
      </w:r>
      <w:r w:rsidRPr="00150EDC">
        <w:rPr>
          <w:rFonts w:ascii="Calibri"/>
          <w:sz w:val="24"/>
        </w:rPr>
        <w:t>must</w:t>
      </w:r>
      <w:r w:rsidRPr="00150EDC">
        <w:rPr>
          <w:rFonts w:ascii="Calibri"/>
          <w:spacing w:val="-2"/>
          <w:sz w:val="24"/>
        </w:rPr>
        <w:t xml:space="preserve"> </w:t>
      </w:r>
      <w:r w:rsidRPr="00150EDC">
        <w:rPr>
          <w:rFonts w:ascii="Calibri"/>
          <w:sz w:val="24"/>
        </w:rPr>
        <w:t>promptly</w:t>
      </w:r>
      <w:r w:rsidRPr="00150EDC">
        <w:rPr>
          <w:rFonts w:ascii="Calibri"/>
          <w:spacing w:val="-3"/>
          <w:sz w:val="24"/>
        </w:rPr>
        <w:t xml:space="preserve"> </w:t>
      </w:r>
      <w:r w:rsidRPr="00150EDC">
        <w:rPr>
          <w:rFonts w:ascii="Calibri"/>
          <w:sz w:val="24"/>
        </w:rPr>
        <w:t>repay</w:t>
      </w:r>
      <w:r w:rsidRPr="00150EDC">
        <w:rPr>
          <w:rFonts w:ascii="Calibri"/>
          <w:spacing w:val="-5"/>
          <w:sz w:val="24"/>
        </w:rPr>
        <w:t xml:space="preserve"> </w:t>
      </w:r>
      <w:r w:rsidRPr="00150EDC">
        <w:rPr>
          <w:rFonts w:ascii="Calibri"/>
          <w:sz w:val="24"/>
        </w:rPr>
        <w:t>to</w:t>
      </w:r>
      <w:r w:rsidRPr="00150EDC">
        <w:rPr>
          <w:rFonts w:ascii="Calibri"/>
          <w:spacing w:val="-4"/>
          <w:sz w:val="24"/>
        </w:rPr>
        <w:t xml:space="preserve"> </w:t>
      </w:r>
      <w:r w:rsidRPr="00150EDC">
        <w:rPr>
          <w:rFonts w:ascii="Calibri"/>
          <w:sz w:val="24"/>
        </w:rPr>
        <w:t>the</w:t>
      </w:r>
      <w:r w:rsidRPr="00150EDC">
        <w:rPr>
          <w:rFonts w:ascii="Calibri"/>
          <w:spacing w:val="-2"/>
          <w:sz w:val="24"/>
        </w:rPr>
        <w:t xml:space="preserve"> </w:t>
      </w:r>
      <w:r w:rsidRPr="00150EDC">
        <w:rPr>
          <w:rFonts w:ascii="Calibri"/>
          <w:sz w:val="24"/>
        </w:rPr>
        <w:t>Buyer any</w:t>
      </w:r>
      <w:r w:rsidRPr="00150EDC">
        <w:rPr>
          <w:rFonts w:ascii="Calibri"/>
          <w:spacing w:val="-3"/>
          <w:sz w:val="24"/>
        </w:rPr>
        <w:t xml:space="preserve"> </w:t>
      </w:r>
      <w:r w:rsidRPr="00150EDC">
        <w:rPr>
          <w:rFonts w:ascii="Calibri"/>
          <w:sz w:val="24"/>
        </w:rPr>
        <w:t>and</w:t>
      </w:r>
      <w:r w:rsidRPr="00150EDC">
        <w:rPr>
          <w:rFonts w:ascii="Calibri"/>
          <w:spacing w:val="-2"/>
          <w:sz w:val="24"/>
        </w:rPr>
        <w:t xml:space="preserve"> </w:t>
      </w:r>
      <w:r w:rsidRPr="00150EDC">
        <w:rPr>
          <w:rFonts w:ascii="Calibri"/>
          <w:sz w:val="24"/>
        </w:rPr>
        <w:t>all</w:t>
      </w:r>
      <w:r w:rsidRPr="00150EDC">
        <w:rPr>
          <w:rFonts w:ascii="Calibri"/>
          <w:spacing w:val="-5"/>
          <w:sz w:val="24"/>
        </w:rPr>
        <w:t xml:space="preserve"> </w:t>
      </w:r>
      <w:r w:rsidRPr="00150EDC">
        <w:rPr>
          <w:rFonts w:ascii="Calibri"/>
          <w:sz w:val="24"/>
        </w:rPr>
        <w:t>Charges</w:t>
      </w:r>
      <w:r w:rsidRPr="00150EDC">
        <w:rPr>
          <w:rFonts w:ascii="Calibri"/>
          <w:spacing w:val="-4"/>
          <w:sz w:val="24"/>
        </w:rPr>
        <w:t xml:space="preserve"> </w:t>
      </w:r>
      <w:r w:rsidRPr="00150EDC">
        <w:rPr>
          <w:rFonts w:ascii="Calibri"/>
          <w:sz w:val="24"/>
        </w:rPr>
        <w:t>the</w:t>
      </w:r>
      <w:r w:rsidRPr="00150EDC">
        <w:rPr>
          <w:rFonts w:ascii="Calibri"/>
          <w:spacing w:val="-2"/>
          <w:sz w:val="24"/>
        </w:rPr>
        <w:t xml:space="preserve"> </w:t>
      </w:r>
      <w:r w:rsidRPr="00150EDC">
        <w:rPr>
          <w:rFonts w:ascii="Calibri"/>
          <w:sz w:val="24"/>
        </w:rPr>
        <w:t>Buyer</w:t>
      </w:r>
      <w:r w:rsidRPr="00150EDC">
        <w:rPr>
          <w:rFonts w:ascii="Calibri"/>
          <w:spacing w:val="-3"/>
          <w:sz w:val="24"/>
        </w:rPr>
        <w:t xml:space="preserve"> </w:t>
      </w:r>
      <w:r w:rsidRPr="00150EDC">
        <w:rPr>
          <w:rFonts w:ascii="Calibri"/>
          <w:sz w:val="24"/>
        </w:rPr>
        <w:t>has</w:t>
      </w:r>
      <w:r w:rsidRPr="00150EDC">
        <w:rPr>
          <w:rFonts w:ascii="Calibri"/>
          <w:spacing w:val="-3"/>
          <w:sz w:val="24"/>
        </w:rPr>
        <w:t xml:space="preserve"> </w:t>
      </w:r>
      <w:r w:rsidRPr="00150EDC">
        <w:rPr>
          <w:rFonts w:ascii="Calibri"/>
          <w:sz w:val="24"/>
        </w:rPr>
        <w:t>paid</w:t>
      </w:r>
      <w:r w:rsidRPr="00150EDC">
        <w:rPr>
          <w:rFonts w:ascii="Calibri"/>
          <w:spacing w:val="-2"/>
          <w:sz w:val="24"/>
        </w:rPr>
        <w:t xml:space="preserve"> </w:t>
      </w:r>
      <w:r w:rsidRPr="00150EDC">
        <w:rPr>
          <w:rFonts w:ascii="Calibri"/>
          <w:sz w:val="24"/>
        </w:rPr>
        <w:t>in</w:t>
      </w:r>
      <w:r w:rsidRPr="00150EDC">
        <w:rPr>
          <w:rFonts w:ascii="Calibri"/>
          <w:spacing w:val="-2"/>
          <w:sz w:val="24"/>
        </w:rPr>
        <w:t xml:space="preserve"> </w:t>
      </w:r>
      <w:r w:rsidRPr="00150EDC">
        <w:rPr>
          <w:rFonts w:ascii="Calibri"/>
          <w:sz w:val="24"/>
        </w:rPr>
        <w:t>advance</w:t>
      </w:r>
      <w:r w:rsidRPr="00150EDC">
        <w:rPr>
          <w:rFonts w:ascii="Calibri"/>
          <w:spacing w:val="-5"/>
          <w:sz w:val="24"/>
        </w:rPr>
        <w:t xml:space="preserve"> </w:t>
      </w:r>
      <w:r w:rsidRPr="00150EDC">
        <w:rPr>
          <w:rFonts w:ascii="Calibri"/>
          <w:sz w:val="24"/>
        </w:rPr>
        <w:t>in respect of Deliverables not provided by the Supplier as at the End Date.</w:t>
      </w:r>
    </w:p>
    <w:p w14:paraId="2FA4E28E" w14:textId="77777777" w:rsidR="004C7180" w:rsidRPr="00150EDC" w:rsidRDefault="00CF0754" w:rsidP="00B320C7">
      <w:pPr>
        <w:pStyle w:val="ListParagraph"/>
        <w:numPr>
          <w:ilvl w:val="3"/>
          <w:numId w:val="182"/>
        </w:numPr>
        <w:tabs>
          <w:tab w:val="left" w:pos="1491"/>
          <w:tab w:val="left" w:pos="1494"/>
        </w:tabs>
        <w:spacing w:before="18" w:line="242" w:lineRule="auto"/>
        <w:ind w:right="700" w:hanging="428"/>
        <w:rPr>
          <w:rFonts w:ascii="Calibri"/>
          <w:sz w:val="24"/>
        </w:rPr>
      </w:pPr>
      <w:r w:rsidRPr="00150EDC">
        <w:rPr>
          <w:rFonts w:ascii="Calibri"/>
          <w:sz w:val="24"/>
        </w:rPr>
        <w:t>The</w:t>
      </w:r>
      <w:r w:rsidRPr="00150EDC">
        <w:rPr>
          <w:rFonts w:ascii="Calibri"/>
          <w:spacing w:val="-2"/>
          <w:sz w:val="24"/>
        </w:rPr>
        <w:t xml:space="preserve"> </w:t>
      </w:r>
      <w:r w:rsidRPr="00150EDC">
        <w:rPr>
          <w:rFonts w:ascii="Calibri"/>
          <w:sz w:val="24"/>
        </w:rPr>
        <w:t>Supplier</w:t>
      </w:r>
      <w:r w:rsidRPr="00150EDC">
        <w:rPr>
          <w:rFonts w:ascii="Calibri"/>
          <w:spacing w:val="-4"/>
          <w:sz w:val="24"/>
        </w:rPr>
        <w:t xml:space="preserve"> </w:t>
      </w:r>
      <w:r w:rsidRPr="00150EDC">
        <w:rPr>
          <w:rFonts w:ascii="Calibri"/>
          <w:sz w:val="24"/>
        </w:rPr>
        <w:t>must</w:t>
      </w:r>
      <w:r w:rsidRPr="00150EDC">
        <w:rPr>
          <w:rFonts w:ascii="Calibri"/>
          <w:spacing w:val="-2"/>
          <w:sz w:val="24"/>
        </w:rPr>
        <w:t xml:space="preserve"> </w:t>
      </w:r>
      <w:r w:rsidRPr="00150EDC">
        <w:rPr>
          <w:rFonts w:ascii="Calibri"/>
          <w:sz w:val="24"/>
        </w:rPr>
        <w:t>promptly</w:t>
      </w:r>
      <w:r w:rsidRPr="00150EDC">
        <w:rPr>
          <w:rFonts w:ascii="Calibri"/>
          <w:spacing w:val="-6"/>
          <w:sz w:val="24"/>
        </w:rPr>
        <w:t xml:space="preserve"> </w:t>
      </w:r>
      <w:r w:rsidRPr="00150EDC">
        <w:rPr>
          <w:rFonts w:ascii="Calibri"/>
          <w:sz w:val="24"/>
        </w:rPr>
        <w:t>delete</w:t>
      </w:r>
      <w:r w:rsidRPr="00150EDC">
        <w:rPr>
          <w:rFonts w:ascii="Calibri"/>
          <w:spacing w:val="-4"/>
          <w:sz w:val="24"/>
        </w:rPr>
        <w:t xml:space="preserve"> </w:t>
      </w:r>
      <w:r w:rsidRPr="00150EDC">
        <w:rPr>
          <w:rFonts w:ascii="Calibri"/>
          <w:sz w:val="24"/>
        </w:rPr>
        <w:t>or</w:t>
      </w:r>
      <w:r w:rsidRPr="00150EDC">
        <w:rPr>
          <w:rFonts w:ascii="Calibri"/>
          <w:spacing w:val="-2"/>
          <w:sz w:val="24"/>
        </w:rPr>
        <w:t xml:space="preserve"> </w:t>
      </w:r>
      <w:r w:rsidRPr="00150EDC">
        <w:rPr>
          <w:rFonts w:ascii="Calibri"/>
          <w:sz w:val="24"/>
        </w:rPr>
        <w:t>return</w:t>
      </w:r>
      <w:r w:rsidRPr="00150EDC">
        <w:rPr>
          <w:rFonts w:ascii="Calibri"/>
          <w:spacing w:val="-4"/>
          <w:sz w:val="24"/>
        </w:rPr>
        <w:t xml:space="preserve"> </w:t>
      </w:r>
      <w:r w:rsidRPr="00150EDC">
        <w:rPr>
          <w:rFonts w:ascii="Calibri"/>
          <w:sz w:val="24"/>
        </w:rPr>
        <w:t>the</w:t>
      </w:r>
      <w:r w:rsidRPr="00150EDC">
        <w:rPr>
          <w:rFonts w:ascii="Calibri"/>
          <w:spacing w:val="-4"/>
          <w:sz w:val="24"/>
        </w:rPr>
        <w:t xml:space="preserve"> </w:t>
      </w:r>
      <w:r w:rsidRPr="00150EDC">
        <w:rPr>
          <w:rFonts w:ascii="Calibri"/>
          <w:sz w:val="24"/>
        </w:rPr>
        <w:t>Government</w:t>
      </w:r>
      <w:r w:rsidRPr="00150EDC">
        <w:rPr>
          <w:rFonts w:ascii="Calibri"/>
          <w:spacing w:val="-4"/>
          <w:sz w:val="24"/>
        </w:rPr>
        <w:t xml:space="preserve"> </w:t>
      </w:r>
      <w:r w:rsidRPr="00150EDC">
        <w:rPr>
          <w:rFonts w:ascii="Calibri"/>
          <w:sz w:val="24"/>
        </w:rPr>
        <w:t>Data</w:t>
      </w:r>
      <w:r w:rsidRPr="00150EDC">
        <w:rPr>
          <w:rFonts w:ascii="Calibri"/>
          <w:spacing w:val="-3"/>
          <w:sz w:val="24"/>
        </w:rPr>
        <w:t xml:space="preserve"> </w:t>
      </w:r>
      <w:r w:rsidRPr="00150EDC">
        <w:rPr>
          <w:rFonts w:ascii="Calibri"/>
          <w:sz w:val="24"/>
        </w:rPr>
        <w:t>except</w:t>
      </w:r>
      <w:r w:rsidRPr="00150EDC">
        <w:rPr>
          <w:rFonts w:ascii="Calibri"/>
          <w:spacing w:val="-4"/>
          <w:sz w:val="24"/>
        </w:rPr>
        <w:t xml:space="preserve"> </w:t>
      </w:r>
      <w:r w:rsidRPr="00150EDC">
        <w:rPr>
          <w:rFonts w:ascii="Calibri"/>
          <w:sz w:val="24"/>
        </w:rPr>
        <w:t>where</w:t>
      </w:r>
      <w:r w:rsidRPr="00150EDC">
        <w:rPr>
          <w:rFonts w:ascii="Calibri"/>
          <w:spacing w:val="-2"/>
          <w:sz w:val="24"/>
        </w:rPr>
        <w:t xml:space="preserve"> </w:t>
      </w:r>
      <w:r w:rsidRPr="00150EDC">
        <w:rPr>
          <w:rFonts w:ascii="Calibri"/>
          <w:sz w:val="24"/>
        </w:rPr>
        <w:t>required</w:t>
      </w:r>
      <w:r w:rsidRPr="00150EDC">
        <w:rPr>
          <w:rFonts w:ascii="Calibri"/>
          <w:spacing w:val="-2"/>
          <w:sz w:val="24"/>
        </w:rPr>
        <w:t xml:space="preserve"> </w:t>
      </w:r>
      <w:r w:rsidRPr="00150EDC">
        <w:rPr>
          <w:rFonts w:ascii="Calibri"/>
          <w:sz w:val="24"/>
        </w:rPr>
        <w:t>to</w:t>
      </w:r>
      <w:r w:rsidRPr="00150EDC">
        <w:rPr>
          <w:rFonts w:ascii="Calibri"/>
          <w:spacing w:val="-2"/>
          <w:sz w:val="24"/>
        </w:rPr>
        <w:t xml:space="preserve"> </w:t>
      </w:r>
      <w:r w:rsidRPr="00150EDC">
        <w:rPr>
          <w:rFonts w:ascii="Calibri"/>
          <w:sz w:val="24"/>
        </w:rPr>
        <w:t>retain copies by Law.</w:t>
      </w:r>
    </w:p>
    <w:p w14:paraId="63943B20" w14:textId="77777777" w:rsidR="004C7180" w:rsidRPr="00150EDC" w:rsidRDefault="00CF0754" w:rsidP="00B320C7">
      <w:pPr>
        <w:pStyle w:val="ListParagraph"/>
        <w:numPr>
          <w:ilvl w:val="3"/>
          <w:numId w:val="182"/>
        </w:numPr>
        <w:tabs>
          <w:tab w:val="left" w:pos="1491"/>
          <w:tab w:val="left" w:pos="1494"/>
        </w:tabs>
        <w:spacing w:before="16"/>
        <w:ind w:right="1635" w:hanging="428"/>
        <w:rPr>
          <w:rFonts w:ascii="Calibri" w:hAnsi="Calibri"/>
          <w:sz w:val="24"/>
        </w:rPr>
      </w:pPr>
      <w:r w:rsidRPr="00150EDC">
        <w:rPr>
          <w:rFonts w:ascii="Calibri" w:hAnsi="Calibri"/>
          <w:sz w:val="24"/>
        </w:rPr>
        <w:t>The</w:t>
      </w:r>
      <w:r w:rsidRPr="00150EDC">
        <w:rPr>
          <w:rFonts w:ascii="Calibri" w:hAnsi="Calibri"/>
          <w:spacing w:val="-1"/>
          <w:sz w:val="24"/>
        </w:rPr>
        <w:t xml:space="preserve"> </w:t>
      </w:r>
      <w:r w:rsidRPr="00150EDC">
        <w:rPr>
          <w:rFonts w:ascii="Calibri" w:hAnsi="Calibri"/>
          <w:sz w:val="24"/>
        </w:rPr>
        <w:t>Supplier</w:t>
      </w:r>
      <w:r w:rsidRPr="00150EDC">
        <w:rPr>
          <w:rFonts w:ascii="Calibri" w:hAnsi="Calibri"/>
          <w:spacing w:val="-3"/>
          <w:sz w:val="24"/>
        </w:rPr>
        <w:t xml:space="preserve"> </w:t>
      </w:r>
      <w:r w:rsidRPr="00150EDC">
        <w:rPr>
          <w:rFonts w:ascii="Calibri" w:hAnsi="Calibri"/>
          <w:sz w:val="24"/>
        </w:rPr>
        <w:t>must</w:t>
      </w:r>
      <w:r w:rsidRPr="00150EDC">
        <w:rPr>
          <w:rFonts w:ascii="Calibri" w:hAnsi="Calibri"/>
          <w:spacing w:val="-1"/>
          <w:sz w:val="24"/>
        </w:rPr>
        <w:t xml:space="preserve"> </w:t>
      </w:r>
      <w:r w:rsidRPr="00150EDC">
        <w:rPr>
          <w:rFonts w:ascii="Calibri" w:hAnsi="Calibri"/>
          <w:sz w:val="24"/>
        </w:rPr>
        <w:t>promptly</w:t>
      </w:r>
      <w:r w:rsidRPr="00150EDC">
        <w:rPr>
          <w:rFonts w:ascii="Calibri" w:hAnsi="Calibri"/>
          <w:spacing w:val="-2"/>
          <w:sz w:val="24"/>
        </w:rPr>
        <w:t xml:space="preserve"> </w:t>
      </w:r>
      <w:r w:rsidRPr="00150EDC">
        <w:rPr>
          <w:rFonts w:ascii="Calibri" w:hAnsi="Calibri"/>
          <w:sz w:val="24"/>
        </w:rPr>
        <w:t>return</w:t>
      </w:r>
      <w:r w:rsidRPr="00150EDC">
        <w:rPr>
          <w:rFonts w:ascii="Calibri" w:hAnsi="Calibri"/>
          <w:spacing w:val="-3"/>
          <w:sz w:val="24"/>
        </w:rPr>
        <w:t xml:space="preserve"> </w:t>
      </w:r>
      <w:r w:rsidRPr="00150EDC">
        <w:rPr>
          <w:rFonts w:ascii="Calibri" w:hAnsi="Calibri"/>
          <w:sz w:val="24"/>
        </w:rPr>
        <w:t>any</w:t>
      </w:r>
      <w:r w:rsidRPr="00150EDC">
        <w:rPr>
          <w:rFonts w:ascii="Calibri" w:hAnsi="Calibri"/>
          <w:spacing w:val="-2"/>
          <w:sz w:val="24"/>
        </w:rPr>
        <w:t xml:space="preserve"> </w:t>
      </w:r>
      <w:r w:rsidRPr="00150EDC">
        <w:rPr>
          <w:rFonts w:ascii="Calibri" w:hAnsi="Calibri"/>
          <w:sz w:val="24"/>
        </w:rPr>
        <w:t>of</w:t>
      </w:r>
      <w:r w:rsidRPr="00150EDC">
        <w:rPr>
          <w:rFonts w:ascii="Calibri" w:hAnsi="Calibri"/>
          <w:spacing w:val="-1"/>
          <w:sz w:val="24"/>
        </w:rPr>
        <w:t xml:space="preserve"> </w:t>
      </w:r>
      <w:r w:rsidRPr="00150EDC">
        <w:rPr>
          <w:rFonts w:ascii="Calibri" w:hAnsi="Calibri"/>
          <w:sz w:val="24"/>
        </w:rPr>
        <w:t>CCS</w:t>
      </w:r>
      <w:r w:rsidRPr="00150EDC">
        <w:rPr>
          <w:rFonts w:ascii="Calibri" w:hAnsi="Calibri"/>
          <w:spacing w:val="-2"/>
          <w:sz w:val="24"/>
        </w:rPr>
        <w:t xml:space="preserve"> </w:t>
      </w:r>
      <w:r w:rsidRPr="00150EDC">
        <w:rPr>
          <w:rFonts w:ascii="Calibri" w:hAnsi="Calibri"/>
          <w:sz w:val="24"/>
        </w:rPr>
        <w:t>or</w:t>
      </w:r>
      <w:r w:rsidRPr="00150EDC">
        <w:rPr>
          <w:rFonts w:ascii="Calibri" w:hAnsi="Calibri"/>
          <w:spacing w:val="-5"/>
          <w:sz w:val="24"/>
        </w:rPr>
        <w:t xml:space="preserve"> </w:t>
      </w:r>
      <w:r w:rsidRPr="00150EDC">
        <w:rPr>
          <w:rFonts w:ascii="Calibri" w:hAnsi="Calibri"/>
          <w:sz w:val="24"/>
        </w:rPr>
        <w:t>the</w:t>
      </w:r>
      <w:r w:rsidRPr="00150EDC">
        <w:rPr>
          <w:rFonts w:ascii="Calibri" w:hAnsi="Calibri"/>
          <w:spacing w:val="-4"/>
          <w:sz w:val="24"/>
        </w:rPr>
        <w:t xml:space="preserve"> </w:t>
      </w:r>
      <w:r w:rsidRPr="00150EDC">
        <w:rPr>
          <w:rFonts w:ascii="Calibri" w:hAnsi="Calibri"/>
          <w:sz w:val="24"/>
        </w:rPr>
        <w:t>Buyer’s</w:t>
      </w:r>
      <w:r w:rsidRPr="00150EDC">
        <w:rPr>
          <w:rFonts w:ascii="Calibri" w:hAnsi="Calibri"/>
          <w:spacing w:val="-4"/>
          <w:sz w:val="24"/>
        </w:rPr>
        <w:t xml:space="preserve"> </w:t>
      </w:r>
      <w:r w:rsidRPr="00150EDC">
        <w:rPr>
          <w:rFonts w:ascii="Calibri" w:hAnsi="Calibri"/>
          <w:sz w:val="24"/>
        </w:rPr>
        <w:t>property</w:t>
      </w:r>
      <w:r w:rsidRPr="00150EDC">
        <w:rPr>
          <w:rFonts w:ascii="Calibri" w:hAnsi="Calibri"/>
          <w:spacing w:val="-5"/>
          <w:sz w:val="24"/>
        </w:rPr>
        <w:t xml:space="preserve"> </w:t>
      </w:r>
      <w:r w:rsidRPr="00150EDC">
        <w:rPr>
          <w:rFonts w:ascii="Calibri" w:hAnsi="Calibri"/>
          <w:sz w:val="24"/>
        </w:rPr>
        <w:t>provided</w:t>
      </w:r>
      <w:r w:rsidRPr="00150EDC">
        <w:rPr>
          <w:rFonts w:ascii="Calibri" w:hAnsi="Calibri"/>
          <w:spacing w:val="-3"/>
          <w:sz w:val="24"/>
        </w:rPr>
        <w:t xml:space="preserve"> </w:t>
      </w:r>
      <w:r w:rsidRPr="00150EDC">
        <w:rPr>
          <w:rFonts w:ascii="Calibri" w:hAnsi="Calibri"/>
          <w:sz w:val="24"/>
        </w:rPr>
        <w:t>under</w:t>
      </w:r>
      <w:r w:rsidRPr="00150EDC">
        <w:rPr>
          <w:rFonts w:ascii="Calibri" w:hAnsi="Calibri"/>
          <w:spacing w:val="-3"/>
          <w:sz w:val="24"/>
        </w:rPr>
        <w:t xml:space="preserve"> </w:t>
      </w:r>
      <w:r w:rsidRPr="00150EDC">
        <w:rPr>
          <w:rFonts w:ascii="Calibri" w:hAnsi="Calibri"/>
          <w:sz w:val="24"/>
        </w:rPr>
        <w:t>the terminated Contract.</w:t>
      </w:r>
    </w:p>
    <w:p w14:paraId="48AD16C9" w14:textId="77777777" w:rsidR="004C7180" w:rsidRPr="00150EDC" w:rsidRDefault="00CF0754" w:rsidP="00B320C7">
      <w:pPr>
        <w:pStyle w:val="ListParagraph"/>
        <w:numPr>
          <w:ilvl w:val="3"/>
          <w:numId w:val="182"/>
        </w:numPr>
        <w:tabs>
          <w:tab w:val="left" w:pos="1494"/>
        </w:tabs>
        <w:spacing w:before="19" w:line="242" w:lineRule="auto"/>
        <w:ind w:right="1566" w:hanging="428"/>
        <w:rPr>
          <w:rFonts w:ascii="Calibri"/>
          <w:sz w:val="24"/>
        </w:rPr>
      </w:pPr>
      <w:r w:rsidRPr="00150EDC">
        <w:rPr>
          <w:rFonts w:ascii="Calibri"/>
          <w:sz w:val="24"/>
        </w:rPr>
        <w:t>The</w:t>
      </w:r>
      <w:r w:rsidRPr="00150EDC">
        <w:rPr>
          <w:rFonts w:ascii="Calibri"/>
          <w:spacing w:val="-1"/>
          <w:sz w:val="24"/>
        </w:rPr>
        <w:t xml:space="preserve"> </w:t>
      </w:r>
      <w:r w:rsidRPr="00150EDC">
        <w:rPr>
          <w:rFonts w:ascii="Calibri"/>
          <w:sz w:val="24"/>
        </w:rPr>
        <w:t>Supplier</w:t>
      </w:r>
      <w:r w:rsidRPr="00150EDC">
        <w:rPr>
          <w:rFonts w:ascii="Calibri"/>
          <w:spacing w:val="-3"/>
          <w:sz w:val="24"/>
        </w:rPr>
        <w:t xml:space="preserve"> </w:t>
      </w:r>
      <w:r w:rsidRPr="00150EDC">
        <w:rPr>
          <w:rFonts w:ascii="Calibri"/>
          <w:sz w:val="24"/>
        </w:rPr>
        <w:t>must,</w:t>
      </w:r>
      <w:r w:rsidRPr="00150EDC">
        <w:rPr>
          <w:rFonts w:ascii="Calibri"/>
          <w:spacing w:val="-2"/>
          <w:sz w:val="24"/>
        </w:rPr>
        <w:t xml:space="preserve"> </w:t>
      </w:r>
      <w:r w:rsidRPr="00150EDC">
        <w:rPr>
          <w:rFonts w:ascii="Calibri"/>
          <w:sz w:val="24"/>
        </w:rPr>
        <w:t>at</w:t>
      </w:r>
      <w:r w:rsidRPr="00150EDC">
        <w:rPr>
          <w:rFonts w:ascii="Calibri"/>
          <w:spacing w:val="-1"/>
          <w:sz w:val="24"/>
        </w:rPr>
        <w:t xml:space="preserve"> </w:t>
      </w:r>
      <w:r w:rsidRPr="00150EDC">
        <w:rPr>
          <w:rFonts w:ascii="Calibri"/>
          <w:sz w:val="24"/>
        </w:rPr>
        <w:t>no</w:t>
      </w:r>
      <w:r w:rsidRPr="00150EDC">
        <w:rPr>
          <w:rFonts w:ascii="Calibri"/>
          <w:spacing w:val="-3"/>
          <w:sz w:val="24"/>
        </w:rPr>
        <w:t xml:space="preserve"> </w:t>
      </w:r>
      <w:r w:rsidRPr="00150EDC">
        <w:rPr>
          <w:rFonts w:ascii="Calibri"/>
          <w:sz w:val="24"/>
        </w:rPr>
        <w:t>cost to</w:t>
      </w:r>
      <w:r w:rsidRPr="00150EDC">
        <w:rPr>
          <w:rFonts w:ascii="Calibri"/>
          <w:spacing w:val="-1"/>
          <w:sz w:val="24"/>
        </w:rPr>
        <w:t xml:space="preserve"> </w:t>
      </w:r>
      <w:r w:rsidRPr="00150EDC">
        <w:rPr>
          <w:rFonts w:ascii="Calibri"/>
          <w:sz w:val="24"/>
        </w:rPr>
        <w:t>CCS</w:t>
      </w:r>
      <w:r w:rsidRPr="00150EDC">
        <w:rPr>
          <w:rFonts w:ascii="Calibri"/>
          <w:spacing w:val="-2"/>
          <w:sz w:val="24"/>
        </w:rPr>
        <w:t xml:space="preserve"> </w:t>
      </w:r>
      <w:r w:rsidRPr="00150EDC">
        <w:rPr>
          <w:rFonts w:ascii="Calibri"/>
          <w:sz w:val="24"/>
        </w:rPr>
        <w:t>or</w:t>
      </w:r>
      <w:r w:rsidRPr="00150EDC">
        <w:rPr>
          <w:rFonts w:ascii="Calibri"/>
          <w:spacing w:val="-3"/>
          <w:sz w:val="24"/>
        </w:rPr>
        <w:t xml:space="preserve"> </w:t>
      </w:r>
      <w:r w:rsidRPr="00150EDC">
        <w:rPr>
          <w:rFonts w:ascii="Calibri"/>
          <w:sz w:val="24"/>
        </w:rPr>
        <w:t>the</w:t>
      </w:r>
      <w:r w:rsidRPr="00150EDC">
        <w:rPr>
          <w:rFonts w:ascii="Calibri"/>
          <w:spacing w:val="-1"/>
          <w:sz w:val="24"/>
        </w:rPr>
        <w:t xml:space="preserve"> </w:t>
      </w:r>
      <w:r w:rsidRPr="00150EDC">
        <w:rPr>
          <w:rFonts w:ascii="Calibri"/>
          <w:sz w:val="24"/>
        </w:rPr>
        <w:t>Buyer,</w:t>
      </w:r>
      <w:r w:rsidRPr="00150EDC">
        <w:rPr>
          <w:rFonts w:ascii="Calibri"/>
          <w:spacing w:val="-4"/>
          <w:sz w:val="24"/>
        </w:rPr>
        <w:t xml:space="preserve"> </w:t>
      </w:r>
      <w:r w:rsidRPr="00150EDC">
        <w:rPr>
          <w:rFonts w:ascii="Calibri"/>
          <w:sz w:val="24"/>
        </w:rPr>
        <w:t>co-operate</w:t>
      </w:r>
      <w:r w:rsidRPr="00150EDC">
        <w:rPr>
          <w:rFonts w:ascii="Calibri"/>
          <w:spacing w:val="-3"/>
          <w:sz w:val="24"/>
        </w:rPr>
        <w:t xml:space="preserve"> </w:t>
      </w:r>
      <w:r w:rsidRPr="00150EDC">
        <w:rPr>
          <w:rFonts w:ascii="Calibri"/>
          <w:sz w:val="24"/>
        </w:rPr>
        <w:t>fully</w:t>
      </w:r>
      <w:r w:rsidRPr="00150EDC">
        <w:rPr>
          <w:rFonts w:ascii="Calibri"/>
          <w:spacing w:val="-2"/>
          <w:sz w:val="24"/>
        </w:rPr>
        <w:t xml:space="preserve"> </w:t>
      </w:r>
      <w:r w:rsidRPr="00150EDC">
        <w:rPr>
          <w:rFonts w:ascii="Calibri"/>
          <w:sz w:val="24"/>
        </w:rPr>
        <w:t>in</w:t>
      </w:r>
      <w:r w:rsidRPr="00150EDC">
        <w:rPr>
          <w:rFonts w:ascii="Calibri"/>
          <w:spacing w:val="-3"/>
          <w:sz w:val="24"/>
        </w:rPr>
        <w:t xml:space="preserve"> </w:t>
      </w:r>
      <w:r w:rsidRPr="00150EDC">
        <w:rPr>
          <w:rFonts w:ascii="Calibri"/>
          <w:sz w:val="24"/>
        </w:rPr>
        <w:t>the</w:t>
      </w:r>
      <w:r w:rsidRPr="00150EDC">
        <w:rPr>
          <w:rFonts w:ascii="Calibri"/>
          <w:spacing w:val="-4"/>
          <w:sz w:val="24"/>
        </w:rPr>
        <w:t xml:space="preserve"> </w:t>
      </w:r>
      <w:r w:rsidRPr="00150EDC">
        <w:rPr>
          <w:rFonts w:ascii="Calibri"/>
          <w:sz w:val="24"/>
        </w:rPr>
        <w:t>handover</w:t>
      </w:r>
      <w:r w:rsidRPr="00150EDC">
        <w:rPr>
          <w:rFonts w:ascii="Calibri"/>
          <w:spacing w:val="-4"/>
          <w:sz w:val="24"/>
        </w:rPr>
        <w:t xml:space="preserve"> </w:t>
      </w:r>
      <w:r w:rsidRPr="00150EDC">
        <w:rPr>
          <w:rFonts w:ascii="Calibri"/>
          <w:sz w:val="24"/>
        </w:rPr>
        <w:t>and</w:t>
      </w:r>
      <w:r w:rsidRPr="00150EDC">
        <w:rPr>
          <w:rFonts w:ascii="Calibri"/>
          <w:spacing w:val="-1"/>
          <w:sz w:val="24"/>
        </w:rPr>
        <w:t xml:space="preserve"> </w:t>
      </w:r>
      <w:r w:rsidRPr="00150EDC">
        <w:rPr>
          <w:rFonts w:ascii="Calibri"/>
          <w:sz w:val="24"/>
        </w:rPr>
        <w:t>re- procurement (including to a Replacement Supplier).</w:t>
      </w:r>
    </w:p>
    <w:p w14:paraId="335006E5" w14:textId="77777777" w:rsidR="004C7180" w:rsidRPr="00150EDC" w:rsidRDefault="004C7180">
      <w:pPr>
        <w:pStyle w:val="BodyText"/>
        <w:spacing w:before="3"/>
        <w:rPr>
          <w:rFonts w:ascii="Calibri"/>
          <w:sz w:val="25"/>
        </w:rPr>
      </w:pPr>
    </w:p>
    <w:p w14:paraId="20254BEC" w14:textId="77777777" w:rsidR="004C7180" w:rsidRPr="00150EDC" w:rsidRDefault="00CF0754" w:rsidP="00B320C7">
      <w:pPr>
        <w:pStyle w:val="ListParagraph"/>
        <w:numPr>
          <w:ilvl w:val="2"/>
          <w:numId w:val="182"/>
        </w:numPr>
        <w:tabs>
          <w:tab w:val="left" w:pos="1208"/>
        </w:tabs>
        <w:ind w:right="722" w:hanging="720"/>
        <w:rPr>
          <w:rFonts w:ascii="Calibri" w:hAnsi="Calibri"/>
          <w:sz w:val="24"/>
        </w:rPr>
      </w:pPr>
      <w:r w:rsidRPr="00150EDC">
        <w:rPr>
          <w:rFonts w:ascii="Calibri" w:hAnsi="Calibri"/>
          <w:sz w:val="24"/>
        </w:rPr>
        <w:t>In addition to the consequences of termination listed in Clause 10.6.1, where the Relevant Authority terminates</w:t>
      </w:r>
      <w:r w:rsidRPr="00150EDC">
        <w:rPr>
          <w:rFonts w:ascii="Calibri" w:hAnsi="Calibri"/>
          <w:spacing w:val="-5"/>
          <w:sz w:val="24"/>
        </w:rPr>
        <w:t xml:space="preserve"> </w:t>
      </w:r>
      <w:r w:rsidRPr="00150EDC">
        <w:rPr>
          <w:rFonts w:ascii="Calibri" w:hAnsi="Calibri"/>
          <w:sz w:val="24"/>
        </w:rPr>
        <w:t>a</w:t>
      </w:r>
      <w:r w:rsidRPr="00150EDC">
        <w:rPr>
          <w:rFonts w:ascii="Calibri" w:hAnsi="Calibri"/>
          <w:spacing w:val="-3"/>
          <w:sz w:val="24"/>
        </w:rPr>
        <w:t xml:space="preserve"> </w:t>
      </w:r>
      <w:r w:rsidRPr="00150EDC">
        <w:rPr>
          <w:rFonts w:ascii="Calibri" w:hAnsi="Calibri"/>
          <w:sz w:val="24"/>
        </w:rPr>
        <w:t>Contract</w:t>
      </w:r>
      <w:r w:rsidRPr="00150EDC">
        <w:rPr>
          <w:rFonts w:ascii="Calibri" w:hAnsi="Calibri"/>
          <w:spacing w:val="-4"/>
          <w:sz w:val="24"/>
        </w:rPr>
        <w:t xml:space="preserve"> </w:t>
      </w:r>
      <w:r w:rsidRPr="00150EDC">
        <w:rPr>
          <w:rFonts w:ascii="Calibri" w:hAnsi="Calibri"/>
          <w:sz w:val="24"/>
        </w:rPr>
        <w:t>under</w:t>
      </w:r>
      <w:r w:rsidRPr="00150EDC">
        <w:rPr>
          <w:rFonts w:ascii="Calibri" w:hAnsi="Calibri"/>
          <w:spacing w:val="-2"/>
          <w:sz w:val="24"/>
        </w:rPr>
        <w:t xml:space="preserve"> </w:t>
      </w:r>
      <w:r w:rsidRPr="00150EDC">
        <w:rPr>
          <w:rFonts w:ascii="Calibri" w:hAnsi="Calibri"/>
          <w:sz w:val="24"/>
        </w:rPr>
        <w:t>Clause</w:t>
      </w:r>
      <w:r w:rsidRPr="00150EDC">
        <w:rPr>
          <w:rFonts w:ascii="Calibri" w:hAnsi="Calibri"/>
          <w:spacing w:val="-2"/>
          <w:sz w:val="24"/>
        </w:rPr>
        <w:t xml:space="preserve"> </w:t>
      </w:r>
      <w:r w:rsidRPr="00150EDC">
        <w:rPr>
          <w:rFonts w:ascii="Calibri" w:hAnsi="Calibri"/>
          <w:sz w:val="24"/>
        </w:rPr>
        <w:t>10.4.1</w:t>
      </w:r>
      <w:r w:rsidRPr="00150EDC">
        <w:rPr>
          <w:rFonts w:ascii="Calibri" w:hAnsi="Calibri"/>
          <w:spacing w:val="-5"/>
          <w:sz w:val="24"/>
        </w:rPr>
        <w:t xml:space="preserve"> </w:t>
      </w:r>
      <w:r w:rsidRPr="00150EDC">
        <w:rPr>
          <w:rFonts w:ascii="Calibri" w:hAnsi="Calibri"/>
          <w:sz w:val="24"/>
        </w:rPr>
        <w:t>the</w:t>
      </w:r>
      <w:r w:rsidRPr="00150EDC">
        <w:rPr>
          <w:rFonts w:ascii="Calibri" w:hAnsi="Calibri"/>
          <w:spacing w:val="-5"/>
          <w:sz w:val="24"/>
        </w:rPr>
        <w:t xml:space="preserve"> </w:t>
      </w:r>
      <w:r w:rsidRPr="00150EDC">
        <w:rPr>
          <w:rFonts w:ascii="Calibri" w:hAnsi="Calibri"/>
          <w:sz w:val="24"/>
        </w:rPr>
        <w:t>Supplier</w:t>
      </w:r>
      <w:r w:rsidRPr="00150EDC">
        <w:rPr>
          <w:rFonts w:ascii="Calibri" w:hAnsi="Calibri"/>
          <w:spacing w:val="-4"/>
          <w:sz w:val="24"/>
        </w:rPr>
        <w:t xml:space="preserve"> </w:t>
      </w:r>
      <w:r w:rsidRPr="00150EDC">
        <w:rPr>
          <w:rFonts w:ascii="Calibri" w:hAnsi="Calibri"/>
          <w:sz w:val="24"/>
        </w:rPr>
        <w:t>is</w:t>
      </w:r>
      <w:r w:rsidRPr="00150EDC">
        <w:rPr>
          <w:rFonts w:ascii="Calibri" w:hAnsi="Calibri"/>
          <w:spacing w:val="-3"/>
          <w:sz w:val="24"/>
        </w:rPr>
        <w:t xml:space="preserve"> </w:t>
      </w:r>
      <w:r w:rsidRPr="00150EDC">
        <w:rPr>
          <w:rFonts w:ascii="Calibri" w:hAnsi="Calibri"/>
          <w:sz w:val="24"/>
        </w:rPr>
        <w:t>also</w:t>
      </w:r>
      <w:r w:rsidRPr="00150EDC">
        <w:rPr>
          <w:rFonts w:ascii="Calibri" w:hAnsi="Calibri"/>
          <w:spacing w:val="-5"/>
          <w:sz w:val="24"/>
        </w:rPr>
        <w:t xml:space="preserve"> </w:t>
      </w:r>
      <w:r w:rsidRPr="00150EDC">
        <w:rPr>
          <w:rFonts w:ascii="Calibri" w:hAnsi="Calibri"/>
          <w:sz w:val="24"/>
        </w:rPr>
        <w:t>responsible</w:t>
      </w:r>
      <w:r w:rsidRPr="00150EDC">
        <w:rPr>
          <w:rFonts w:ascii="Calibri" w:hAnsi="Calibri"/>
          <w:spacing w:val="-4"/>
          <w:sz w:val="24"/>
        </w:rPr>
        <w:t xml:space="preserve"> </w:t>
      </w:r>
      <w:r w:rsidRPr="00150EDC">
        <w:rPr>
          <w:rFonts w:ascii="Calibri" w:hAnsi="Calibri"/>
          <w:sz w:val="24"/>
        </w:rPr>
        <w:t>for</w:t>
      </w:r>
      <w:r w:rsidRPr="00150EDC">
        <w:rPr>
          <w:rFonts w:ascii="Calibri" w:hAnsi="Calibri"/>
          <w:spacing w:val="-4"/>
          <w:sz w:val="24"/>
        </w:rPr>
        <w:t xml:space="preserve"> </w:t>
      </w:r>
      <w:r w:rsidRPr="00150EDC">
        <w:rPr>
          <w:rFonts w:ascii="Calibri" w:hAnsi="Calibri"/>
          <w:sz w:val="24"/>
        </w:rPr>
        <w:t>the</w:t>
      </w:r>
      <w:r w:rsidRPr="00150EDC">
        <w:rPr>
          <w:rFonts w:ascii="Calibri" w:hAnsi="Calibri"/>
          <w:spacing w:val="-5"/>
          <w:sz w:val="24"/>
        </w:rPr>
        <w:t xml:space="preserve"> </w:t>
      </w:r>
      <w:r w:rsidRPr="00150EDC">
        <w:rPr>
          <w:rFonts w:ascii="Calibri" w:hAnsi="Calibri"/>
          <w:sz w:val="24"/>
        </w:rPr>
        <w:t>Relevant</w:t>
      </w:r>
      <w:r w:rsidRPr="00150EDC">
        <w:rPr>
          <w:rFonts w:ascii="Calibri" w:hAnsi="Calibri"/>
          <w:spacing w:val="-2"/>
          <w:sz w:val="24"/>
        </w:rPr>
        <w:t xml:space="preserve"> </w:t>
      </w:r>
      <w:r w:rsidRPr="00150EDC">
        <w:rPr>
          <w:rFonts w:ascii="Calibri" w:hAnsi="Calibri"/>
          <w:sz w:val="24"/>
        </w:rPr>
        <w:t>Authority’s reasonable costs of procuring Replacement Deliverables for the rest of the Contract Period.</w:t>
      </w:r>
    </w:p>
    <w:p w14:paraId="51DE5036" w14:textId="77777777" w:rsidR="004C7180" w:rsidRPr="00150EDC" w:rsidRDefault="004C7180">
      <w:pPr>
        <w:pStyle w:val="BodyText"/>
        <w:spacing w:before="4"/>
        <w:rPr>
          <w:rFonts w:ascii="Calibri"/>
          <w:sz w:val="27"/>
        </w:rPr>
      </w:pPr>
    </w:p>
    <w:p w14:paraId="58B7F94A" w14:textId="77777777" w:rsidR="004C7180" w:rsidRPr="00150EDC" w:rsidRDefault="00CF0754" w:rsidP="00B320C7">
      <w:pPr>
        <w:pStyle w:val="ListParagraph"/>
        <w:numPr>
          <w:ilvl w:val="2"/>
          <w:numId w:val="182"/>
        </w:numPr>
        <w:tabs>
          <w:tab w:val="left" w:pos="1208"/>
        </w:tabs>
        <w:ind w:right="748" w:hanging="720"/>
        <w:jc w:val="both"/>
        <w:rPr>
          <w:rFonts w:ascii="Calibri"/>
          <w:sz w:val="24"/>
        </w:rPr>
      </w:pPr>
      <w:r w:rsidRPr="00150EDC">
        <w:rPr>
          <w:rFonts w:ascii="Calibri"/>
          <w:sz w:val="24"/>
        </w:rPr>
        <w:t>In</w:t>
      </w:r>
      <w:r w:rsidRPr="00150EDC">
        <w:rPr>
          <w:rFonts w:ascii="Calibri"/>
          <w:spacing w:val="-2"/>
          <w:sz w:val="24"/>
        </w:rPr>
        <w:t xml:space="preserve"> </w:t>
      </w:r>
      <w:r w:rsidRPr="00150EDC">
        <w:rPr>
          <w:rFonts w:ascii="Calibri"/>
          <w:sz w:val="24"/>
        </w:rPr>
        <w:t>addition</w:t>
      </w:r>
      <w:r w:rsidRPr="00150EDC">
        <w:rPr>
          <w:rFonts w:ascii="Calibri"/>
          <w:spacing w:val="-3"/>
          <w:sz w:val="24"/>
        </w:rPr>
        <w:t xml:space="preserve"> </w:t>
      </w:r>
      <w:r w:rsidRPr="00150EDC">
        <w:rPr>
          <w:rFonts w:ascii="Calibri"/>
          <w:sz w:val="24"/>
        </w:rPr>
        <w:t>to</w:t>
      </w:r>
      <w:r w:rsidRPr="00150EDC">
        <w:rPr>
          <w:rFonts w:ascii="Calibri"/>
          <w:spacing w:val="-5"/>
          <w:sz w:val="24"/>
        </w:rPr>
        <w:t xml:space="preserve"> </w:t>
      </w:r>
      <w:r w:rsidRPr="00150EDC">
        <w:rPr>
          <w:rFonts w:ascii="Calibri"/>
          <w:sz w:val="24"/>
        </w:rPr>
        <w:t>the</w:t>
      </w:r>
      <w:r w:rsidRPr="00150EDC">
        <w:rPr>
          <w:rFonts w:ascii="Calibri"/>
          <w:spacing w:val="-2"/>
          <w:sz w:val="24"/>
        </w:rPr>
        <w:t xml:space="preserve"> </w:t>
      </w:r>
      <w:r w:rsidRPr="00150EDC">
        <w:rPr>
          <w:rFonts w:ascii="Calibri"/>
          <w:sz w:val="24"/>
        </w:rPr>
        <w:t>consequences</w:t>
      </w:r>
      <w:r w:rsidRPr="00150EDC">
        <w:rPr>
          <w:rFonts w:ascii="Calibri"/>
          <w:spacing w:val="-5"/>
          <w:sz w:val="24"/>
        </w:rPr>
        <w:t xml:space="preserve"> </w:t>
      </w:r>
      <w:r w:rsidRPr="00150EDC">
        <w:rPr>
          <w:rFonts w:ascii="Calibri"/>
          <w:sz w:val="24"/>
        </w:rPr>
        <w:t>of</w:t>
      </w:r>
      <w:r w:rsidRPr="00150EDC">
        <w:rPr>
          <w:rFonts w:ascii="Calibri"/>
          <w:spacing w:val="-4"/>
          <w:sz w:val="24"/>
        </w:rPr>
        <w:t xml:space="preserve"> </w:t>
      </w:r>
      <w:r w:rsidRPr="00150EDC">
        <w:rPr>
          <w:rFonts w:ascii="Calibri"/>
          <w:sz w:val="24"/>
        </w:rPr>
        <w:t>termination</w:t>
      </w:r>
      <w:r w:rsidRPr="00150EDC">
        <w:rPr>
          <w:rFonts w:ascii="Calibri"/>
          <w:spacing w:val="-4"/>
          <w:sz w:val="24"/>
        </w:rPr>
        <w:t xml:space="preserve"> </w:t>
      </w:r>
      <w:r w:rsidRPr="00150EDC">
        <w:rPr>
          <w:rFonts w:ascii="Calibri"/>
          <w:sz w:val="24"/>
        </w:rPr>
        <w:t>listed</w:t>
      </w:r>
      <w:r w:rsidRPr="00150EDC">
        <w:rPr>
          <w:rFonts w:ascii="Calibri"/>
          <w:spacing w:val="-4"/>
          <w:sz w:val="24"/>
        </w:rPr>
        <w:t xml:space="preserve"> </w:t>
      </w:r>
      <w:r w:rsidRPr="00150EDC">
        <w:rPr>
          <w:rFonts w:ascii="Calibri"/>
          <w:sz w:val="24"/>
        </w:rPr>
        <w:t>in</w:t>
      </w:r>
      <w:r w:rsidRPr="00150EDC">
        <w:rPr>
          <w:rFonts w:ascii="Calibri"/>
          <w:spacing w:val="-2"/>
          <w:sz w:val="24"/>
        </w:rPr>
        <w:t xml:space="preserve"> </w:t>
      </w:r>
      <w:r w:rsidRPr="00150EDC">
        <w:rPr>
          <w:rFonts w:ascii="Calibri"/>
          <w:sz w:val="24"/>
        </w:rPr>
        <w:t>Clause</w:t>
      </w:r>
      <w:r w:rsidRPr="00150EDC">
        <w:rPr>
          <w:rFonts w:ascii="Calibri"/>
          <w:spacing w:val="-5"/>
          <w:sz w:val="24"/>
        </w:rPr>
        <w:t xml:space="preserve"> </w:t>
      </w:r>
      <w:r w:rsidRPr="00150EDC">
        <w:rPr>
          <w:rFonts w:ascii="Calibri"/>
          <w:sz w:val="24"/>
        </w:rPr>
        <w:t>10.6.1,</w:t>
      </w:r>
      <w:r w:rsidRPr="00150EDC">
        <w:rPr>
          <w:rFonts w:ascii="Calibri"/>
          <w:spacing w:val="-4"/>
          <w:sz w:val="24"/>
        </w:rPr>
        <w:t xml:space="preserve"> </w:t>
      </w:r>
      <w:r w:rsidRPr="00150EDC">
        <w:rPr>
          <w:rFonts w:ascii="Calibri"/>
          <w:sz w:val="24"/>
        </w:rPr>
        <w:t>if</w:t>
      </w:r>
      <w:r w:rsidRPr="00150EDC">
        <w:rPr>
          <w:rFonts w:ascii="Calibri"/>
          <w:spacing w:val="-4"/>
          <w:sz w:val="24"/>
        </w:rPr>
        <w:t xml:space="preserve"> </w:t>
      </w:r>
      <w:r w:rsidRPr="00150EDC">
        <w:rPr>
          <w:rFonts w:ascii="Calibri"/>
          <w:sz w:val="24"/>
        </w:rPr>
        <w:t>either</w:t>
      </w:r>
      <w:r w:rsidRPr="00150EDC">
        <w:rPr>
          <w:rFonts w:ascii="Calibri"/>
          <w:spacing w:val="-4"/>
          <w:sz w:val="24"/>
        </w:rPr>
        <w:t xml:space="preserve"> </w:t>
      </w:r>
      <w:r w:rsidRPr="00150EDC">
        <w:rPr>
          <w:rFonts w:ascii="Calibri"/>
          <w:sz w:val="24"/>
        </w:rPr>
        <w:t>the</w:t>
      </w:r>
      <w:r w:rsidRPr="00150EDC">
        <w:rPr>
          <w:rFonts w:ascii="Calibri"/>
          <w:spacing w:val="-2"/>
          <w:sz w:val="24"/>
        </w:rPr>
        <w:t xml:space="preserve"> </w:t>
      </w:r>
      <w:r w:rsidRPr="00150EDC">
        <w:rPr>
          <w:rFonts w:ascii="Calibri"/>
          <w:sz w:val="24"/>
        </w:rPr>
        <w:t>Relevant</w:t>
      </w:r>
      <w:r w:rsidRPr="00150EDC">
        <w:rPr>
          <w:rFonts w:ascii="Calibri"/>
          <w:spacing w:val="-4"/>
          <w:sz w:val="24"/>
        </w:rPr>
        <w:t xml:space="preserve"> </w:t>
      </w:r>
      <w:r w:rsidRPr="00150EDC">
        <w:rPr>
          <w:rFonts w:ascii="Calibri"/>
          <w:sz w:val="24"/>
        </w:rPr>
        <w:t>Authority terminates</w:t>
      </w:r>
      <w:r w:rsidRPr="00150EDC">
        <w:rPr>
          <w:rFonts w:ascii="Calibri"/>
          <w:spacing w:val="-4"/>
          <w:sz w:val="24"/>
        </w:rPr>
        <w:t xml:space="preserve"> </w:t>
      </w:r>
      <w:r w:rsidRPr="00150EDC">
        <w:rPr>
          <w:rFonts w:ascii="Calibri"/>
          <w:sz w:val="24"/>
        </w:rPr>
        <w:t>a</w:t>
      </w:r>
      <w:r w:rsidRPr="00150EDC">
        <w:rPr>
          <w:rFonts w:ascii="Calibri"/>
          <w:spacing w:val="-2"/>
          <w:sz w:val="24"/>
        </w:rPr>
        <w:t xml:space="preserve"> </w:t>
      </w:r>
      <w:r w:rsidRPr="00150EDC">
        <w:rPr>
          <w:rFonts w:ascii="Calibri"/>
          <w:sz w:val="24"/>
        </w:rPr>
        <w:t>Contract</w:t>
      </w:r>
      <w:r w:rsidRPr="00150EDC">
        <w:rPr>
          <w:rFonts w:ascii="Calibri"/>
          <w:spacing w:val="-3"/>
          <w:sz w:val="24"/>
        </w:rPr>
        <w:t xml:space="preserve"> </w:t>
      </w:r>
      <w:r w:rsidRPr="00150EDC">
        <w:rPr>
          <w:rFonts w:ascii="Calibri"/>
          <w:sz w:val="24"/>
        </w:rPr>
        <w:t>under</w:t>
      </w:r>
      <w:r w:rsidRPr="00150EDC">
        <w:rPr>
          <w:rFonts w:ascii="Calibri"/>
          <w:spacing w:val="-2"/>
          <w:sz w:val="24"/>
        </w:rPr>
        <w:t xml:space="preserve"> </w:t>
      </w:r>
      <w:r w:rsidRPr="00150EDC">
        <w:rPr>
          <w:rFonts w:ascii="Calibri"/>
          <w:sz w:val="24"/>
        </w:rPr>
        <w:t>Clause</w:t>
      </w:r>
      <w:r w:rsidRPr="00150EDC">
        <w:rPr>
          <w:rFonts w:ascii="Calibri"/>
          <w:spacing w:val="-2"/>
          <w:sz w:val="24"/>
        </w:rPr>
        <w:t xml:space="preserve"> </w:t>
      </w:r>
      <w:r w:rsidRPr="00150EDC">
        <w:rPr>
          <w:rFonts w:ascii="Calibri"/>
          <w:sz w:val="24"/>
        </w:rPr>
        <w:t>10.2.1</w:t>
      </w:r>
      <w:r w:rsidRPr="00150EDC">
        <w:rPr>
          <w:rFonts w:ascii="Calibri"/>
          <w:spacing w:val="-2"/>
          <w:sz w:val="24"/>
        </w:rPr>
        <w:t xml:space="preserve"> </w:t>
      </w:r>
      <w:r w:rsidRPr="00150EDC">
        <w:rPr>
          <w:rFonts w:ascii="Calibri"/>
          <w:sz w:val="24"/>
        </w:rPr>
        <w:t>or</w:t>
      </w:r>
      <w:r w:rsidRPr="00150EDC">
        <w:rPr>
          <w:rFonts w:ascii="Calibri"/>
          <w:spacing w:val="-2"/>
          <w:sz w:val="24"/>
        </w:rPr>
        <w:t xml:space="preserve"> </w:t>
      </w:r>
      <w:r w:rsidRPr="00150EDC">
        <w:rPr>
          <w:rFonts w:ascii="Calibri"/>
          <w:sz w:val="24"/>
        </w:rPr>
        <w:t>10.2.2</w:t>
      </w:r>
      <w:r w:rsidRPr="00150EDC">
        <w:rPr>
          <w:rFonts w:ascii="Calibri"/>
          <w:spacing w:val="-2"/>
          <w:sz w:val="24"/>
        </w:rPr>
        <w:t xml:space="preserve"> </w:t>
      </w:r>
      <w:r w:rsidRPr="00150EDC">
        <w:rPr>
          <w:rFonts w:ascii="Calibri"/>
          <w:sz w:val="24"/>
        </w:rPr>
        <w:t>or</w:t>
      </w:r>
      <w:r w:rsidRPr="00150EDC">
        <w:rPr>
          <w:rFonts w:ascii="Calibri"/>
          <w:spacing w:val="-2"/>
          <w:sz w:val="24"/>
        </w:rPr>
        <w:t xml:space="preserve"> </w:t>
      </w:r>
      <w:r w:rsidRPr="00150EDC">
        <w:rPr>
          <w:rFonts w:ascii="Calibri"/>
          <w:sz w:val="24"/>
        </w:rPr>
        <w:t>a</w:t>
      </w:r>
      <w:r w:rsidRPr="00150EDC">
        <w:rPr>
          <w:rFonts w:ascii="Calibri"/>
          <w:spacing w:val="-4"/>
          <w:sz w:val="24"/>
        </w:rPr>
        <w:t xml:space="preserve"> </w:t>
      </w:r>
      <w:r w:rsidRPr="00150EDC">
        <w:rPr>
          <w:rFonts w:ascii="Calibri"/>
          <w:sz w:val="24"/>
        </w:rPr>
        <w:t>Supplier</w:t>
      </w:r>
      <w:r w:rsidRPr="00150EDC">
        <w:rPr>
          <w:rFonts w:ascii="Calibri"/>
          <w:spacing w:val="-4"/>
          <w:sz w:val="24"/>
        </w:rPr>
        <w:t xml:space="preserve"> </w:t>
      </w:r>
      <w:r w:rsidRPr="00150EDC">
        <w:rPr>
          <w:rFonts w:ascii="Calibri"/>
          <w:sz w:val="24"/>
        </w:rPr>
        <w:t>terminates</w:t>
      </w:r>
      <w:r w:rsidRPr="00150EDC">
        <w:rPr>
          <w:rFonts w:ascii="Calibri"/>
          <w:spacing w:val="-2"/>
          <w:sz w:val="24"/>
        </w:rPr>
        <w:t xml:space="preserve"> </w:t>
      </w:r>
      <w:r w:rsidRPr="00150EDC">
        <w:rPr>
          <w:rFonts w:ascii="Calibri"/>
          <w:sz w:val="24"/>
        </w:rPr>
        <w:t>an</w:t>
      </w:r>
      <w:r w:rsidRPr="00150EDC">
        <w:rPr>
          <w:rFonts w:ascii="Calibri"/>
          <w:spacing w:val="-2"/>
          <w:sz w:val="24"/>
        </w:rPr>
        <w:t xml:space="preserve"> </w:t>
      </w:r>
      <w:r w:rsidRPr="00150EDC">
        <w:rPr>
          <w:rFonts w:ascii="Calibri"/>
          <w:sz w:val="24"/>
        </w:rPr>
        <w:t>Order</w:t>
      </w:r>
      <w:r w:rsidRPr="00150EDC">
        <w:rPr>
          <w:rFonts w:ascii="Calibri"/>
          <w:spacing w:val="-3"/>
          <w:sz w:val="24"/>
        </w:rPr>
        <w:t xml:space="preserve"> </w:t>
      </w:r>
      <w:r w:rsidRPr="00150EDC">
        <w:rPr>
          <w:rFonts w:ascii="Calibri"/>
          <w:sz w:val="24"/>
        </w:rPr>
        <w:t>Contract</w:t>
      </w:r>
      <w:r w:rsidRPr="00150EDC">
        <w:rPr>
          <w:rFonts w:ascii="Calibri"/>
          <w:spacing w:val="-3"/>
          <w:sz w:val="24"/>
        </w:rPr>
        <w:t xml:space="preserve"> </w:t>
      </w:r>
      <w:r w:rsidRPr="00150EDC">
        <w:rPr>
          <w:rFonts w:ascii="Calibri"/>
          <w:sz w:val="24"/>
        </w:rPr>
        <w:t>under Clause 10.5:</w:t>
      </w:r>
    </w:p>
    <w:p w14:paraId="24E36546" w14:textId="77777777" w:rsidR="004C7180" w:rsidRPr="00150EDC" w:rsidRDefault="004C7180">
      <w:pPr>
        <w:pStyle w:val="BodyText"/>
        <w:spacing w:before="3"/>
        <w:rPr>
          <w:rFonts w:ascii="Calibri"/>
          <w:sz w:val="27"/>
        </w:rPr>
      </w:pPr>
    </w:p>
    <w:p w14:paraId="42B0FCA8" w14:textId="77777777" w:rsidR="004C7180" w:rsidRPr="00150EDC" w:rsidRDefault="00CF0754" w:rsidP="00B320C7">
      <w:pPr>
        <w:pStyle w:val="ListParagraph"/>
        <w:numPr>
          <w:ilvl w:val="3"/>
          <w:numId w:val="182"/>
        </w:numPr>
        <w:tabs>
          <w:tab w:val="left" w:pos="1491"/>
        </w:tabs>
        <w:ind w:left="1491" w:hanging="425"/>
        <w:rPr>
          <w:rFonts w:ascii="Calibri"/>
          <w:sz w:val="24"/>
        </w:rPr>
      </w:pPr>
      <w:r w:rsidRPr="00150EDC">
        <w:rPr>
          <w:rFonts w:ascii="Calibri"/>
          <w:sz w:val="24"/>
        </w:rPr>
        <w:t>the</w:t>
      </w:r>
      <w:r w:rsidRPr="00150EDC">
        <w:rPr>
          <w:rFonts w:ascii="Calibri"/>
          <w:spacing w:val="-5"/>
          <w:sz w:val="24"/>
        </w:rPr>
        <w:t xml:space="preserve"> </w:t>
      </w:r>
      <w:r w:rsidRPr="00150EDC">
        <w:rPr>
          <w:rFonts w:ascii="Calibri"/>
          <w:sz w:val="24"/>
        </w:rPr>
        <w:t>Buyer</w:t>
      </w:r>
      <w:r w:rsidRPr="00150EDC">
        <w:rPr>
          <w:rFonts w:ascii="Calibri"/>
          <w:spacing w:val="-3"/>
          <w:sz w:val="24"/>
        </w:rPr>
        <w:t xml:space="preserve"> </w:t>
      </w:r>
      <w:r w:rsidRPr="00150EDC">
        <w:rPr>
          <w:rFonts w:ascii="Calibri"/>
          <w:sz w:val="24"/>
        </w:rPr>
        <w:t>must</w:t>
      </w:r>
      <w:r w:rsidRPr="00150EDC">
        <w:rPr>
          <w:rFonts w:ascii="Calibri"/>
          <w:spacing w:val="-3"/>
          <w:sz w:val="24"/>
        </w:rPr>
        <w:t xml:space="preserve"> </w:t>
      </w:r>
      <w:r w:rsidRPr="00150EDC">
        <w:rPr>
          <w:rFonts w:ascii="Calibri"/>
          <w:sz w:val="24"/>
        </w:rPr>
        <w:t>promptly</w:t>
      </w:r>
      <w:r w:rsidRPr="00150EDC">
        <w:rPr>
          <w:rFonts w:ascii="Calibri"/>
          <w:spacing w:val="-5"/>
          <w:sz w:val="24"/>
        </w:rPr>
        <w:t xml:space="preserve"> </w:t>
      </w:r>
      <w:r w:rsidRPr="00150EDC">
        <w:rPr>
          <w:rFonts w:ascii="Calibri"/>
          <w:sz w:val="24"/>
        </w:rPr>
        <w:t>pay</w:t>
      </w:r>
      <w:r w:rsidRPr="00150EDC">
        <w:rPr>
          <w:rFonts w:ascii="Calibri"/>
          <w:spacing w:val="-3"/>
          <w:sz w:val="24"/>
        </w:rPr>
        <w:t xml:space="preserve"> </w:t>
      </w:r>
      <w:r w:rsidRPr="00150EDC">
        <w:rPr>
          <w:rFonts w:ascii="Calibri"/>
          <w:sz w:val="24"/>
        </w:rPr>
        <w:t>all</w:t>
      </w:r>
      <w:r w:rsidRPr="00150EDC">
        <w:rPr>
          <w:rFonts w:ascii="Calibri"/>
          <w:spacing w:val="-5"/>
          <w:sz w:val="24"/>
        </w:rPr>
        <w:t xml:space="preserve"> </w:t>
      </w:r>
      <w:r w:rsidRPr="00150EDC">
        <w:rPr>
          <w:rFonts w:ascii="Calibri"/>
          <w:sz w:val="24"/>
        </w:rPr>
        <w:t>outstanding</w:t>
      </w:r>
      <w:r w:rsidRPr="00150EDC">
        <w:rPr>
          <w:rFonts w:ascii="Calibri"/>
          <w:spacing w:val="-3"/>
          <w:sz w:val="24"/>
        </w:rPr>
        <w:t xml:space="preserve"> </w:t>
      </w:r>
      <w:r w:rsidRPr="00150EDC">
        <w:rPr>
          <w:rFonts w:ascii="Calibri"/>
          <w:sz w:val="24"/>
        </w:rPr>
        <w:t>Charges</w:t>
      </w:r>
      <w:r w:rsidRPr="00150EDC">
        <w:rPr>
          <w:rFonts w:ascii="Calibri"/>
          <w:spacing w:val="-2"/>
          <w:sz w:val="24"/>
        </w:rPr>
        <w:t xml:space="preserve"> </w:t>
      </w:r>
      <w:r w:rsidRPr="00150EDC">
        <w:rPr>
          <w:rFonts w:ascii="Calibri"/>
          <w:sz w:val="24"/>
        </w:rPr>
        <w:t>incurred</w:t>
      </w:r>
      <w:r w:rsidRPr="00150EDC">
        <w:rPr>
          <w:rFonts w:ascii="Calibri"/>
          <w:spacing w:val="-4"/>
          <w:sz w:val="24"/>
        </w:rPr>
        <w:t xml:space="preserve"> </w:t>
      </w:r>
      <w:r w:rsidRPr="00150EDC">
        <w:rPr>
          <w:rFonts w:ascii="Calibri"/>
          <w:sz w:val="24"/>
        </w:rPr>
        <w:t>to</w:t>
      </w:r>
      <w:r w:rsidRPr="00150EDC">
        <w:rPr>
          <w:rFonts w:ascii="Calibri"/>
          <w:spacing w:val="-5"/>
          <w:sz w:val="24"/>
        </w:rPr>
        <w:t xml:space="preserve"> </w:t>
      </w:r>
      <w:r w:rsidRPr="00150EDC">
        <w:rPr>
          <w:rFonts w:ascii="Calibri"/>
          <w:sz w:val="24"/>
        </w:rPr>
        <w:t>the</w:t>
      </w:r>
      <w:r w:rsidRPr="00150EDC">
        <w:rPr>
          <w:rFonts w:ascii="Calibri"/>
          <w:spacing w:val="-2"/>
          <w:sz w:val="24"/>
        </w:rPr>
        <w:t xml:space="preserve"> </w:t>
      </w:r>
      <w:r w:rsidRPr="00150EDC">
        <w:rPr>
          <w:rFonts w:ascii="Calibri"/>
          <w:sz w:val="24"/>
        </w:rPr>
        <w:t>Supplier;</w:t>
      </w:r>
      <w:r w:rsidRPr="00150EDC">
        <w:rPr>
          <w:rFonts w:ascii="Calibri"/>
          <w:spacing w:val="-1"/>
          <w:sz w:val="24"/>
        </w:rPr>
        <w:t xml:space="preserve"> </w:t>
      </w:r>
      <w:r w:rsidRPr="00150EDC">
        <w:rPr>
          <w:rFonts w:ascii="Calibri"/>
          <w:spacing w:val="-5"/>
          <w:sz w:val="24"/>
        </w:rPr>
        <w:t>and</w:t>
      </w:r>
    </w:p>
    <w:p w14:paraId="1AD984C9" w14:textId="77777777" w:rsidR="004C7180" w:rsidRPr="00150EDC" w:rsidRDefault="00CF0754" w:rsidP="00B320C7">
      <w:pPr>
        <w:pStyle w:val="ListParagraph"/>
        <w:numPr>
          <w:ilvl w:val="3"/>
          <w:numId w:val="182"/>
        </w:numPr>
        <w:tabs>
          <w:tab w:val="left" w:pos="1491"/>
          <w:tab w:val="left" w:pos="1494"/>
        </w:tabs>
        <w:spacing w:before="19"/>
        <w:ind w:right="615" w:hanging="428"/>
        <w:rPr>
          <w:rFonts w:ascii="Calibri"/>
          <w:sz w:val="24"/>
        </w:rPr>
      </w:pPr>
      <w:r w:rsidRPr="00150EDC">
        <w:rPr>
          <w:rFonts w:ascii="Calibri"/>
          <w:sz w:val="24"/>
        </w:rPr>
        <w:t>the Buyer must pay the Supplier reasonable committed and unavoidable Losses as long as the Supplier provides a fully itemised and costed schedule with evidence - the maximum value of this payment</w:t>
      </w:r>
      <w:r w:rsidRPr="00150EDC">
        <w:rPr>
          <w:rFonts w:ascii="Calibri"/>
          <w:spacing w:val="-2"/>
          <w:sz w:val="24"/>
        </w:rPr>
        <w:t xml:space="preserve"> </w:t>
      </w:r>
      <w:r w:rsidRPr="00150EDC">
        <w:rPr>
          <w:rFonts w:ascii="Calibri"/>
          <w:sz w:val="24"/>
        </w:rPr>
        <w:t>is</w:t>
      </w:r>
      <w:r w:rsidRPr="00150EDC">
        <w:rPr>
          <w:rFonts w:ascii="Calibri"/>
          <w:spacing w:val="-3"/>
          <w:sz w:val="24"/>
        </w:rPr>
        <w:t xml:space="preserve"> </w:t>
      </w:r>
      <w:r w:rsidRPr="00150EDC">
        <w:rPr>
          <w:rFonts w:ascii="Calibri"/>
          <w:sz w:val="24"/>
        </w:rPr>
        <w:t>limited</w:t>
      </w:r>
      <w:r w:rsidRPr="00150EDC">
        <w:rPr>
          <w:rFonts w:ascii="Calibri"/>
          <w:spacing w:val="-4"/>
          <w:sz w:val="24"/>
        </w:rPr>
        <w:t xml:space="preserve"> </w:t>
      </w:r>
      <w:r w:rsidRPr="00150EDC">
        <w:rPr>
          <w:rFonts w:ascii="Calibri"/>
          <w:sz w:val="24"/>
        </w:rPr>
        <w:t>to</w:t>
      </w:r>
      <w:r w:rsidRPr="00150EDC">
        <w:rPr>
          <w:rFonts w:ascii="Calibri"/>
          <w:spacing w:val="-4"/>
          <w:sz w:val="24"/>
        </w:rPr>
        <w:t xml:space="preserve"> </w:t>
      </w:r>
      <w:r w:rsidRPr="00150EDC">
        <w:rPr>
          <w:rFonts w:ascii="Calibri"/>
          <w:sz w:val="24"/>
        </w:rPr>
        <w:t>the</w:t>
      </w:r>
      <w:r w:rsidRPr="00150EDC">
        <w:rPr>
          <w:rFonts w:ascii="Calibri"/>
          <w:spacing w:val="-5"/>
          <w:sz w:val="24"/>
        </w:rPr>
        <w:t xml:space="preserve"> </w:t>
      </w:r>
      <w:r w:rsidRPr="00150EDC">
        <w:rPr>
          <w:rFonts w:ascii="Calibri"/>
          <w:sz w:val="24"/>
        </w:rPr>
        <w:t>total</w:t>
      </w:r>
      <w:r w:rsidRPr="00150EDC">
        <w:rPr>
          <w:rFonts w:ascii="Calibri"/>
          <w:spacing w:val="-2"/>
          <w:sz w:val="24"/>
        </w:rPr>
        <w:t xml:space="preserve"> </w:t>
      </w:r>
      <w:r w:rsidRPr="00150EDC">
        <w:rPr>
          <w:rFonts w:ascii="Calibri"/>
          <w:sz w:val="24"/>
        </w:rPr>
        <w:t>sum</w:t>
      </w:r>
      <w:r w:rsidRPr="00150EDC">
        <w:rPr>
          <w:rFonts w:ascii="Calibri"/>
          <w:spacing w:val="-3"/>
          <w:sz w:val="24"/>
        </w:rPr>
        <w:t xml:space="preserve"> </w:t>
      </w:r>
      <w:r w:rsidRPr="00150EDC">
        <w:rPr>
          <w:rFonts w:ascii="Calibri"/>
          <w:sz w:val="24"/>
        </w:rPr>
        <w:t>payable</w:t>
      </w:r>
      <w:r w:rsidRPr="00150EDC">
        <w:rPr>
          <w:rFonts w:ascii="Calibri"/>
          <w:spacing w:val="-5"/>
          <w:sz w:val="24"/>
        </w:rPr>
        <w:t xml:space="preserve"> </w:t>
      </w:r>
      <w:r w:rsidRPr="00150EDC">
        <w:rPr>
          <w:rFonts w:ascii="Calibri"/>
          <w:sz w:val="24"/>
        </w:rPr>
        <w:t>to</w:t>
      </w:r>
      <w:r w:rsidRPr="00150EDC">
        <w:rPr>
          <w:rFonts w:ascii="Calibri"/>
          <w:spacing w:val="-5"/>
          <w:sz w:val="24"/>
        </w:rPr>
        <w:t xml:space="preserve"> </w:t>
      </w:r>
      <w:r w:rsidRPr="00150EDC">
        <w:rPr>
          <w:rFonts w:ascii="Calibri"/>
          <w:sz w:val="24"/>
        </w:rPr>
        <w:t>the</w:t>
      </w:r>
      <w:r w:rsidRPr="00150EDC">
        <w:rPr>
          <w:rFonts w:ascii="Calibri"/>
          <w:spacing w:val="-5"/>
          <w:sz w:val="24"/>
        </w:rPr>
        <w:t xml:space="preserve"> </w:t>
      </w:r>
      <w:r w:rsidRPr="00150EDC">
        <w:rPr>
          <w:rFonts w:ascii="Calibri"/>
          <w:sz w:val="24"/>
        </w:rPr>
        <w:t>Supplier</w:t>
      </w:r>
      <w:r w:rsidRPr="00150EDC">
        <w:rPr>
          <w:rFonts w:ascii="Calibri"/>
          <w:spacing w:val="-4"/>
          <w:sz w:val="24"/>
        </w:rPr>
        <w:t xml:space="preserve"> </w:t>
      </w:r>
      <w:r w:rsidRPr="00150EDC">
        <w:rPr>
          <w:rFonts w:ascii="Calibri"/>
          <w:sz w:val="24"/>
        </w:rPr>
        <w:t>if</w:t>
      </w:r>
      <w:r w:rsidRPr="00150EDC">
        <w:rPr>
          <w:rFonts w:ascii="Calibri"/>
          <w:spacing w:val="-4"/>
          <w:sz w:val="24"/>
        </w:rPr>
        <w:t xml:space="preserve"> </w:t>
      </w:r>
      <w:r w:rsidRPr="00150EDC">
        <w:rPr>
          <w:rFonts w:ascii="Calibri"/>
          <w:sz w:val="24"/>
        </w:rPr>
        <w:t>the</w:t>
      </w:r>
      <w:r w:rsidRPr="00150EDC">
        <w:rPr>
          <w:rFonts w:ascii="Calibri"/>
          <w:spacing w:val="-2"/>
          <w:sz w:val="24"/>
        </w:rPr>
        <w:t xml:space="preserve"> </w:t>
      </w:r>
      <w:r w:rsidRPr="00150EDC">
        <w:rPr>
          <w:rFonts w:ascii="Calibri"/>
          <w:sz w:val="24"/>
        </w:rPr>
        <w:t>Contract</w:t>
      </w:r>
      <w:r w:rsidRPr="00150EDC">
        <w:rPr>
          <w:rFonts w:ascii="Calibri"/>
          <w:spacing w:val="-4"/>
          <w:sz w:val="24"/>
        </w:rPr>
        <w:t xml:space="preserve"> </w:t>
      </w:r>
      <w:r w:rsidRPr="00150EDC">
        <w:rPr>
          <w:rFonts w:ascii="Calibri"/>
          <w:sz w:val="24"/>
        </w:rPr>
        <w:t>had</w:t>
      </w:r>
      <w:r w:rsidRPr="00150EDC">
        <w:rPr>
          <w:rFonts w:ascii="Calibri"/>
          <w:spacing w:val="-4"/>
          <w:sz w:val="24"/>
        </w:rPr>
        <w:t xml:space="preserve"> </w:t>
      </w:r>
      <w:r w:rsidRPr="00150EDC">
        <w:rPr>
          <w:rFonts w:ascii="Calibri"/>
          <w:sz w:val="24"/>
        </w:rPr>
        <w:t>not</w:t>
      </w:r>
      <w:r w:rsidRPr="00150EDC">
        <w:rPr>
          <w:rFonts w:ascii="Calibri"/>
          <w:spacing w:val="-2"/>
          <w:sz w:val="24"/>
        </w:rPr>
        <w:t xml:space="preserve"> </w:t>
      </w:r>
      <w:r w:rsidRPr="00150EDC">
        <w:rPr>
          <w:rFonts w:ascii="Calibri"/>
          <w:sz w:val="24"/>
        </w:rPr>
        <w:t>been</w:t>
      </w:r>
      <w:r w:rsidRPr="00150EDC">
        <w:rPr>
          <w:rFonts w:ascii="Calibri"/>
          <w:spacing w:val="-4"/>
          <w:sz w:val="24"/>
        </w:rPr>
        <w:t xml:space="preserve"> </w:t>
      </w:r>
      <w:r w:rsidRPr="00150EDC">
        <w:rPr>
          <w:rFonts w:ascii="Calibri"/>
          <w:sz w:val="24"/>
        </w:rPr>
        <w:t>terminated.</w:t>
      </w:r>
    </w:p>
    <w:p w14:paraId="25C7DF00" w14:textId="77777777" w:rsidR="004C7180" w:rsidRPr="00150EDC" w:rsidRDefault="004C7180">
      <w:pPr>
        <w:pStyle w:val="BodyText"/>
        <w:spacing w:before="4"/>
        <w:rPr>
          <w:rFonts w:ascii="Calibri"/>
          <w:sz w:val="27"/>
        </w:rPr>
      </w:pPr>
    </w:p>
    <w:p w14:paraId="7FC2BD84" w14:textId="77777777" w:rsidR="004C7180" w:rsidRPr="00150EDC" w:rsidRDefault="00CF0754" w:rsidP="00B320C7">
      <w:pPr>
        <w:pStyle w:val="ListParagraph"/>
        <w:numPr>
          <w:ilvl w:val="2"/>
          <w:numId w:val="182"/>
        </w:numPr>
        <w:tabs>
          <w:tab w:val="left" w:pos="1208"/>
        </w:tabs>
        <w:ind w:right="673" w:hanging="720"/>
        <w:jc w:val="both"/>
        <w:rPr>
          <w:rFonts w:ascii="Calibri"/>
          <w:sz w:val="24"/>
        </w:rPr>
      </w:pPr>
      <w:r w:rsidRPr="00150EDC">
        <w:rPr>
          <w:rFonts w:ascii="Calibri"/>
          <w:sz w:val="24"/>
        </w:rPr>
        <w:t>In</w:t>
      </w:r>
      <w:r w:rsidRPr="00150EDC">
        <w:rPr>
          <w:rFonts w:ascii="Calibri"/>
          <w:spacing w:val="-2"/>
          <w:sz w:val="24"/>
        </w:rPr>
        <w:t xml:space="preserve"> </w:t>
      </w:r>
      <w:r w:rsidRPr="00150EDC">
        <w:rPr>
          <w:rFonts w:ascii="Calibri"/>
          <w:sz w:val="24"/>
        </w:rPr>
        <w:t>addition</w:t>
      </w:r>
      <w:r w:rsidRPr="00150EDC">
        <w:rPr>
          <w:rFonts w:ascii="Calibri"/>
          <w:spacing w:val="-3"/>
          <w:sz w:val="24"/>
        </w:rPr>
        <w:t xml:space="preserve"> </w:t>
      </w:r>
      <w:r w:rsidRPr="00150EDC">
        <w:rPr>
          <w:rFonts w:ascii="Calibri"/>
          <w:sz w:val="24"/>
        </w:rPr>
        <w:t>to</w:t>
      </w:r>
      <w:r w:rsidRPr="00150EDC">
        <w:rPr>
          <w:rFonts w:ascii="Calibri"/>
          <w:spacing w:val="-5"/>
          <w:sz w:val="24"/>
        </w:rPr>
        <w:t xml:space="preserve"> </w:t>
      </w:r>
      <w:r w:rsidRPr="00150EDC">
        <w:rPr>
          <w:rFonts w:ascii="Calibri"/>
          <w:sz w:val="24"/>
        </w:rPr>
        <w:t>the</w:t>
      </w:r>
      <w:r w:rsidRPr="00150EDC">
        <w:rPr>
          <w:rFonts w:ascii="Calibri"/>
          <w:spacing w:val="-2"/>
          <w:sz w:val="24"/>
        </w:rPr>
        <w:t xml:space="preserve"> </w:t>
      </w:r>
      <w:r w:rsidRPr="00150EDC">
        <w:rPr>
          <w:rFonts w:ascii="Calibri"/>
          <w:sz w:val="24"/>
        </w:rPr>
        <w:t>consequences</w:t>
      </w:r>
      <w:r w:rsidRPr="00150EDC">
        <w:rPr>
          <w:rFonts w:ascii="Calibri"/>
          <w:spacing w:val="-5"/>
          <w:sz w:val="24"/>
        </w:rPr>
        <w:t xml:space="preserve"> </w:t>
      </w:r>
      <w:r w:rsidRPr="00150EDC">
        <w:rPr>
          <w:rFonts w:ascii="Calibri"/>
          <w:sz w:val="24"/>
        </w:rPr>
        <w:t>of</w:t>
      </w:r>
      <w:r w:rsidRPr="00150EDC">
        <w:rPr>
          <w:rFonts w:ascii="Calibri"/>
          <w:spacing w:val="-4"/>
          <w:sz w:val="24"/>
        </w:rPr>
        <w:t xml:space="preserve"> </w:t>
      </w:r>
      <w:r w:rsidRPr="00150EDC">
        <w:rPr>
          <w:rFonts w:ascii="Calibri"/>
          <w:sz w:val="24"/>
        </w:rPr>
        <w:t>termination</w:t>
      </w:r>
      <w:r w:rsidRPr="00150EDC">
        <w:rPr>
          <w:rFonts w:ascii="Calibri"/>
          <w:spacing w:val="-4"/>
          <w:sz w:val="24"/>
        </w:rPr>
        <w:t xml:space="preserve"> </w:t>
      </w:r>
      <w:r w:rsidRPr="00150EDC">
        <w:rPr>
          <w:rFonts w:ascii="Calibri"/>
          <w:sz w:val="24"/>
        </w:rPr>
        <w:t>listed</w:t>
      </w:r>
      <w:r w:rsidRPr="00150EDC">
        <w:rPr>
          <w:rFonts w:ascii="Calibri"/>
          <w:spacing w:val="-4"/>
          <w:sz w:val="24"/>
        </w:rPr>
        <w:t xml:space="preserve"> </w:t>
      </w:r>
      <w:r w:rsidRPr="00150EDC">
        <w:rPr>
          <w:rFonts w:ascii="Calibri"/>
          <w:sz w:val="24"/>
        </w:rPr>
        <w:t>in</w:t>
      </w:r>
      <w:r w:rsidRPr="00150EDC">
        <w:rPr>
          <w:rFonts w:ascii="Calibri"/>
          <w:spacing w:val="-2"/>
          <w:sz w:val="24"/>
        </w:rPr>
        <w:t xml:space="preserve"> </w:t>
      </w:r>
      <w:r w:rsidRPr="00150EDC">
        <w:rPr>
          <w:rFonts w:ascii="Calibri"/>
          <w:sz w:val="24"/>
        </w:rPr>
        <w:t>Clause</w:t>
      </w:r>
      <w:r w:rsidRPr="00150EDC">
        <w:rPr>
          <w:rFonts w:ascii="Calibri"/>
          <w:spacing w:val="-5"/>
          <w:sz w:val="24"/>
        </w:rPr>
        <w:t xml:space="preserve"> </w:t>
      </w:r>
      <w:r w:rsidRPr="00150EDC">
        <w:rPr>
          <w:rFonts w:ascii="Calibri"/>
          <w:sz w:val="24"/>
        </w:rPr>
        <w:t>10.6.1,</w:t>
      </w:r>
      <w:r w:rsidRPr="00150EDC">
        <w:rPr>
          <w:rFonts w:ascii="Calibri"/>
          <w:spacing w:val="-2"/>
          <w:sz w:val="24"/>
        </w:rPr>
        <w:t xml:space="preserve"> </w:t>
      </w:r>
      <w:r w:rsidRPr="00150EDC">
        <w:rPr>
          <w:rFonts w:ascii="Calibri"/>
          <w:sz w:val="24"/>
        </w:rPr>
        <w:t>where</w:t>
      </w:r>
      <w:r w:rsidRPr="00150EDC">
        <w:rPr>
          <w:rFonts w:ascii="Calibri"/>
          <w:spacing w:val="-2"/>
          <w:sz w:val="24"/>
        </w:rPr>
        <w:t xml:space="preserve"> </w:t>
      </w:r>
      <w:r w:rsidRPr="00150EDC">
        <w:rPr>
          <w:rFonts w:ascii="Calibri"/>
          <w:sz w:val="24"/>
        </w:rPr>
        <w:t>a</w:t>
      </w:r>
      <w:r w:rsidRPr="00150EDC">
        <w:rPr>
          <w:rFonts w:ascii="Calibri"/>
          <w:spacing w:val="-5"/>
          <w:sz w:val="24"/>
        </w:rPr>
        <w:t xml:space="preserve"> </w:t>
      </w:r>
      <w:r w:rsidRPr="00150EDC">
        <w:rPr>
          <w:rFonts w:ascii="Calibri"/>
          <w:sz w:val="24"/>
        </w:rPr>
        <w:t>Party</w:t>
      </w:r>
      <w:r w:rsidRPr="00150EDC">
        <w:rPr>
          <w:rFonts w:ascii="Calibri"/>
          <w:spacing w:val="-6"/>
          <w:sz w:val="24"/>
        </w:rPr>
        <w:t xml:space="preserve"> </w:t>
      </w:r>
      <w:r w:rsidRPr="00150EDC">
        <w:rPr>
          <w:rFonts w:ascii="Calibri"/>
          <w:sz w:val="24"/>
        </w:rPr>
        <w:t>terminates</w:t>
      </w:r>
      <w:r w:rsidRPr="00150EDC">
        <w:rPr>
          <w:rFonts w:ascii="Calibri"/>
          <w:spacing w:val="-5"/>
          <w:sz w:val="24"/>
        </w:rPr>
        <w:t xml:space="preserve"> </w:t>
      </w:r>
      <w:r w:rsidRPr="00150EDC">
        <w:rPr>
          <w:rFonts w:ascii="Calibri"/>
          <w:sz w:val="24"/>
        </w:rPr>
        <w:t>under Clause 20.2 each Party must cover its own Losses.</w:t>
      </w:r>
    </w:p>
    <w:p w14:paraId="6CED6BD5" w14:textId="77777777" w:rsidR="004C7180" w:rsidRPr="00150EDC" w:rsidRDefault="004C7180">
      <w:pPr>
        <w:pStyle w:val="BodyText"/>
        <w:spacing w:before="4"/>
        <w:rPr>
          <w:rFonts w:ascii="Calibri"/>
          <w:sz w:val="27"/>
        </w:rPr>
      </w:pPr>
    </w:p>
    <w:p w14:paraId="6B4EC662" w14:textId="77777777" w:rsidR="004C7180" w:rsidRPr="00150EDC" w:rsidRDefault="00CF0754" w:rsidP="00B320C7">
      <w:pPr>
        <w:pStyle w:val="ListParagraph"/>
        <w:numPr>
          <w:ilvl w:val="2"/>
          <w:numId w:val="182"/>
        </w:numPr>
        <w:tabs>
          <w:tab w:val="left" w:pos="1207"/>
        </w:tabs>
        <w:ind w:left="1207" w:hanging="719"/>
        <w:rPr>
          <w:rFonts w:ascii="Calibri"/>
          <w:sz w:val="24"/>
        </w:rPr>
      </w:pPr>
      <w:r w:rsidRPr="00150EDC">
        <w:rPr>
          <w:rFonts w:ascii="Calibri"/>
          <w:sz w:val="24"/>
        </w:rPr>
        <w:t>The</w:t>
      </w:r>
      <w:r w:rsidRPr="00150EDC">
        <w:rPr>
          <w:rFonts w:ascii="Calibri"/>
          <w:spacing w:val="-5"/>
          <w:sz w:val="24"/>
        </w:rPr>
        <w:t xml:space="preserve"> </w:t>
      </w:r>
      <w:r w:rsidRPr="00150EDC">
        <w:rPr>
          <w:rFonts w:ascii="Calibri"/>
          <w:sz w:val="24"/>
        </w:rPr>
        <w:t>following</w:t>
      </w:r>
      <w:r w:rsidRPr="00150EDC">
        <w:rPr>
          <w:rFonts w:ascii="Calibri"/>
          <w:spacing w:val="-3"/>
          <w:sz w:val="24"/>
        </w:rPr>
        <w:t xml:space="preserve"> </w:t>
      </w:r>
      <w:r w:rsidRPr="00150EDC">
        <w:rPr>
          <w:rFonts w:ascii="Calibri"/>
          <w:sz w:val="24"/>
        </w:rPr>
        <w:t>Clauses</w:t>
      </w:r>
      <w:r w:rsidRPr="00150EDC">
        <w:rPr>
          <w:rFonts w:ascii="Calibri"/>
          <w:spacing w:val="-2"/>
          <w:sz w:val="24"/>
        </w:rPr>
        <w:t xml:space="preserve"> </w:t>
      </w:r>
      <w:r w:rsidRPr="00150EDC">
        <w:rPr>
          <w:rFonts w:ascii="Calibri"/>
          <w:sz w:val="24"/>
        </w:rPr>
        <w:t>survive the</w:t>
      </w:r>
      <w:r w:rsidRPr="00150EDC">
        <w:rPr>
          <w:rFonts w:ascii="Calibri"/>
          <w:spacing w:val="-3"/>
          <w:sz w:val="24"/>
        </w:rPr>
        <w:t xml:space="preserve"> </w:t>
      </w:r>
      <w:r w:rsidRPr="00150EDC">
        <w:rPr>
          <w:rFonts w:ascii="Calibri"/>
          <w:sz w:val="24"/>
        </w:rPr>
        <w:t>termination</w:t>
      </w:r>
      <w:r w:rsidRPr="00150EDC">
        <w:rPr>
          <w:rFonts w:ascii="Calibri"/>
          <w:spacing w:val="-2"/>
          <w:sz w:val="24"/>
        </w:rPr>
        <w:t xml:space="preserve"> </w:t>
      </w:r>
      <w:r w:rsidRPr="00150EDC">
        <w:rPr>
          <w:rFonts w:ascii="Calibri"/>
          <w:sz w:val="24"/>
        </w:rPr>
        <w:t>or</w:t>
      </w:r>
      <w:r w:rsidRPr="00150EDC">
        <w:rPr>
          <w:rFonts w:ascii="Calibri"/>
          <w:spacing w:val="-3"/>
          <w:sz w:val="24"/>
        </w:rPr>
        <w:t xml:space="preserve"> </w:t>
      </w:r>
      <w:r w:rsidRPr="00150EDC">
        <w:rPr>
          <w:rFonts w:ascii="Calibri"/>
          <w:sz w:val="24"/>
        </w:rPr>
        <w:t>expiry</w:t>
      </w:r>
      <w:r w:rsidRPr="00150EDC">
        <w:rPr>
          <w:rFonts w:ascii="Calibri"/>
          <w:spacing w:val="-1"/>
          <w:sz w:val="24"/>
        </w:rPr>
        <w:t xml:space="preserve"> </w:t>
      </w:r>
      <w:r w:rsidRPr="00150EDC">
        <w:rPr>
          <w:rFonts w:ascii="Calibri"/>
          <w:sz w:val="24"/>
        </w:rPr>
        <w:t>of</w:t>
      </w:r>
      <w:r w:rsidRPr="00150EDC">
        <w:rPr>
          <w:rFonts w:ascii="Calibri"/>
          <w:spacing w:val="-3"/>
          <w:sz w:val="24"/>
        </w:rPr>
        <w:t xml:space="preserve"> </w:t>
      </w:r>
      <w:r w:rsidRPr="00150EDC">
        <w:rPr>
          <w:rFonts w:ascii="Calibri"/>
          <w:sz w:val="24"/>
        </w:rPr>
        <w:t>each</w:t>
      </w:r>
      <w:r w:rsidRPr="00150EDC">
        <w:rPr>
          <w:rFonts w:ascii="Calibri"/>
          <w:spacing w:val="-2"/>
          <w:sz w:val="24"/>
        </w:rPr>
        <w:t xml:space="preserve"> </w:t>
      </w:r>
      <w:r w:rsidRPr="00150EDC">
        <w:rPr>
          <w:rFonts w:ascii="Calibri"/>
          <w:sz w:val="24"/>
        </w:rPr>
        <w:t>Contract:</w:t>
      </w:r>
      <w:r w:rsidRPr="00150EDC">
        <w:rPr>
          <w:rFonts w:ascii="Calibri"/>
          <w:spacing w:val="-6"/>
          <w:sz w:val="24"/>
        </w:rPr>
        <w:t xml:space="preserve"> </w:t>
      </w:r>
      <w:r w:rsidRPr="00150EDC">
        <w:rPr>
          <w:rFonts w:ascii="Calibri"/>
          <w:sz w:val="24"/>
        </w:rPr>
        <w:t>3.2.10,</w:t>
      </w:r>
      <w:r w:rsidRPr="00150EDC">
        <w:rPr>
          <w:rFonts w:ascii="Calibri"/>
          <w:spacing w:val="-3"/>
          <w:sz w:val="24"/>
        </w:rPr>
        <w:t xml:space="preserve"> </w:t>
      </w:r>
      <w:r w:rsidRPr="00150EDC">
        <w:rPr>
          <w:rFonts w:ascii="Calibri"/>
          <w:sz w:val="24"/>
        </w:rPr>
        <w:t>4.2,</w:t>
      </w:r>
      <w:r w:rsidRPr="00150EDC">
        <w:rPr>
          <w:rFonts w:ascii="Calibri"/>
          <w:spacing w:val="-2"/>
          <w:sz w:val="24"/>
        </w:rPr>
        <w:t xml:space="preserve"> </w:t>
      </w:r>
      <w:r w:rsidRPr="00150EDC">
        <w:rPr>
          <w:rFonts w:ascii="Calibri"/>
          <w:sz w:val="24"/>
        </w:rPr>
        <w:t>6,</w:t>
      </w:r>
      <w:r w:rsidRPr="00150EDC">
        <w:rPr>
          <w:rFonts w:ascii="Calibri"/>
          <w:spacing w:val="-2"/>
          <w:sz w:val="24"/>
        </w:rPr>
        <w:t xml:space="preserve"> </w:t>
      </w:r>
      <w:r w:rsidRPr="00150EDC">
        <w:rPr>
          <w:rFonts w:ascii="Calibri"/>
          <w:sz w:val="24"/>
        </w:rPr>
        <w:t>7.5,</w:t>
      </w:r>
      <w:r w:rsidRPr="00150EDC">
        <w:rPr>
          <w:rFonts w:ascii="Calibri"/>
          <w:spacing w:val="-4"/>
          <w:sz w:val="24"/>
        </w:rPr>
        <w:t xml:space="preserve"> </w:t>
      </w:r>
      <w:r w:rsidRPr="00150EDC">
        <w:rPr>
          <w:rFonts w:ascii="Calibri"/>
          <w:sz w:val="24"/>
        </w:rPr>
        <w:t>9,</w:t>
      </w:r>
      <w:r w:rsidRPr="00150EDC">
        <w:rPr>
          <w:rFonts w:ascii="Calibri"/>
          <w:spacing w:val="-2"/>
          <w:sz w:val="24"/>
        </w:rPr>
        <w:t xml:space="preserve"> </w:t>
      </w:r>
      <w:r w:rsidRPr="00150EDC">
        <w:rPr>
          <w:rFonts w:ascii="Calibri"/>
          <w:sz w:val="24"/>
        </w:rPr>
        <w:t>11,</w:t>
      </w:r>
      <w:r w:rsidRPr="00150EDC">
        <w:rPr>
          <w:rFonts w:ascii="Calibri"/>
          <w:spacing w:val="-3"/>
          <w:sz w:val="24"/>
        </w:rPr>
        <w:t xml:space="preserve"> </w:t>
      </w:r>
      <w:r w:rsidRPr="00150EDC">
        <w:rPr>
          <w:rFonts w:ascii="Calibri"/>
          <w:spacing w:val="-2"/>
          <w:sz w:val="24"/>
        </w:rPr>
        <w:t>12.2,</w:t>
      </w:r>
    </w:p>
    <w:p w14:paraId="481D8F1E" w14:textId="77777777" w:rsidR="004C7180" w:rsidRPr="00150EDC" w:rsidRDefault="00CF0754">
      <w:pPr>
        <w:pStyle w:val="BodyText"/>
        <w:ind w:left="1208" w:right="673"/>
        <w:rPr>
          <w:rFonts w:ascii="Calibri"/>
        </w:rPr>
      </w:pPr>
      <w:r w:rsidRPr="00150EDC">
        <w:rPr>
          <w:rFonts w:ascii="Calibri"/>
        </w:rPr>
        <w:t>14,</w:t>
      </w:r>
      <w:r w:rsidRPr="00150EDC">
        <w:rPr>
          <w:rFonts w:ascii="Calibri"/>
          <w:spacing w:val="-2"/>
        </w:rPr>
        <w:t xml:space="preserve"> </w:t>
      </w:r>
      <w:r w:rsidRPr="00150EDC">
        <w:rPr>
          <w:rFonts w:ascii="Calibri"/>
        </w:rPr>
        <w:t>15,</w:t>
      </w:r>
      <w:r w:rsidRPr="00150EDC">
        <w:rPr>
          <w:rFonts w:ascii="Calibri"/>
          <w:spacing w:val="-1"/>
        </w:rPr>
        <w:t xml:space="preserve"> </w:t>
      </w:r>
      <w:r w:rsidRPr="00150EDC">
        <w:rPr>
          <w:rFonts w:ascii="Calibri"/>
        </w:rPr>
        <w:t>16,</w:t>
      </w:r>
      <w:r w:rsidRPr="00150EDC">
        <w:rPr>
          <w:rFonts w:ascii="Calibri"/>
          <w:spacing w:val="-3"/>
        </w:rPr>
        <w:t xml:space="preserve"> </w:t>
      </w:r>
      <w:r w:rsidRPr="00150EDC">
        <w:rPr>
          <w:rFonts w:ascii="Calibri"/>
        </w:rPr>
        <w:t>17,</w:t>
      </w:r>
      <w:r w:rsidRPr="00150EDC">
        <w:rPr>
          <w:rFonts w:ascii="Calibri"/>
          <w:spacing w:val="-4"/>
        </w:rPr>
        <w:t xml:space="preserve"> </w:t>
      </w:r>
      <w:r w:rsidRPr="00150EDC">
        <w:rPr>
          <w:rFonts w:ascii="Calibri"/>
        </w:rPr>
        <w:t>18,</w:t>
      </w:r>
      <w:r w:rsidRPr="00150EDC">
        <w:rPr>
          <w:rFonts w:ascii="Calibri"/>
          <w:spacing w:val="-4"/>
        </w:rPr>
        <w:t xml:space="preserve"> </w:t>
      </w:r>
      <w:r w:rsidRPr="00150EDC">
        <w:rPr>
          <w:rFonts w:ascii="Calibri"/>
        </w:rPr>
        <w:t>31.3,</w:t>
      </w:r>
      <w:r w:rsidRPr="00150EDC">
        <w:rPr>
          <w:rFonts w:ascii="Calibri"/>
          <w:spacing w:val="-4"/>
        </w:rPr>
        <w:t xml:space="preserve"> </w:t>
      </w:r>
      <w:r w:rsidRPr="00150EDC">
        <w:rPr>
          <w:rFonts w:ascii="Calibri"/>
        </w:rPr>
        <w:t>34,</w:t>
      </w:r>
      <w:r w:rsidRPr="00150EDC">
        <w:rPr>
          <w:rFonts w:ascii="Calibri"/>
          <w:spacing w:val="-1"/>
        </w:rPr>
        <w:t xml:space="preserve"> </w:t>
      </w:r>
      <w:r w:rsidRPr="00150EDC">
        <w:rPr>
          <w:rFonts w:ascii="Calibri"/>
        </w:rPr>
        <w:t>35</w:t>
      </w:r>
      <w:r w:rsidRPr="00150EDC">
        <w:rPr>
          <w:rFonts w:ascii="Calibri"/>
          <w:spacing w:val="-3"/>
        </w:rPr>
        <w:t xml:space="preserve"> </w:t>
      </w:r>
      <w:r w:rsidRPr="00150EDC">
        <w:rPr>
          <w:rFonts w:ascii="Calibri"/>
        </w:rPr>
        <w:t>and</w:t>
      </w:r>
      <w:r w:rsidRPr="00150EDC">
        <w:rPr>
          <w:rFonts w:ascii="Calibri"/>
          <w:spacing w:val="-1"/>
        </w:rPr>
        <w:t xml:space="preserve"> </w:t>
      </w:r>
      <w:r w:rsidRPr="00150EDC">
        <w:rPr>
          <w:rFonts w:ascii="Calibri"/>
        </w:rPr>
        <w:t>any</w:t>
      </w:r>
      <w:r w:rsidRPr="00150EDC">
        <w:rPr>
          <w:rFonts w:ascii="Calibri"/>
          <w:spacing w:val="-2"/>
        </w:rPr>
        <w:t xml:space="preserve"> </w:t>
      </w:r>
      <w:r w:rsidRPr="00150EDC">
        <w:rPr>
          <w:rFonts w:ascii="Calibri"/>
        </w:rPr>
        <w:t>Clauses</w:t>
      </w:r>
      <w:r w:rsidRPr="00150EDC">
        <w:rPr>
          <w:rFonts w:ascii="Calibri"/>
          <w:spacing w:val="-4"/>
        </w:rPr>
        <w:t xml:space="preserve"> </w:t>
      </w:r>
      <w:r w:rsidRPr="00150EDC">
        <w:rPr>
          <w:rFonts w:ascii="Calibri"/>
        </w:rPr>
        <w:t>and</w:t>
      </w:r>
      <w:r w:rsidRPr="00150EDC">
        <w:rPr>
          <w:rFonts w:ascii="Calibri"/>
          <w:spacing w:val="-1"/>
        </w:rPr>
        <w:t xml:space="preserve"> </w:t>
      </w:r>
      <w:r w:rsidRPr="00150EDC">
        <w:rPr>
          <w:rFonts w:ascii="Calibri"/>
        </w:rPr>
        <w:t>Schedules</w:t>
      </w:r>
      <w:r w:rsidRPr="00150EDC">
        <w:rPr>
          <w:rFonts w:ascii="Calibri"/>
          <w:spacing w:val="-2"/>
        </w:rPr>
        <w:t xml:space="preserve"> </w:t>
      </w:r>
      <w:r w:rsidRPr="00150EDC">
        <w:rPr>
          <w:rFonts w:ascii="Calibri"/>
        </w:rPr>
        <w:t>which</w:t>
      </w:r>
      <w:r w:rsidRPr="00150EDC">
        <w:rPr>
          <w:rFonts w:ascii="Calibri"/>
          <w:spacing w:val="-1"/>
        </w:rPr>
        <w:t xml:space="preserve"> </w:t>
      </w:r>
      <w:r w:rsidRPr="00150EDC">
        <w:rPr>
          <w:rFonts w:ascii="Calibri"/>
        </w:rPr>
        <w:t>are</w:t>
      </w:r>
      <w:r w:rsidRPr="00150EDC">
        <w:rPr>
          <w:rFonts w:ascii="Calibri"/>
          <w:spacing w:val="-1"/>
        </w:rPr>
        <w:t xml:space="preserve"> </w:t>
      </w:r>
      <w:r w:rsidRPr="00150EDC">
        <w:rPr>
          <w:rFonts w:ascii="Calibri"/>
        </w:rPr>
        <w:t>expressly</w:t>
      </w:r>
      <w:r w:rsidRPr="00150EDC">
        <w:rPr>
          <w:rFonts w:ascii="Calibri"/>
          <w:spacing w:val="-3"/>
        </w:rPr>
        <w:t xml:space="preserve"> </w:t>
      </w:r>
      <w:r w:rsidRPr="00150EDC">
        <w:rPr>
          <w:rFonts w:ascii="Calibri"/>
        </w:rPr>
        <w:t>or</w:t>
      </w:r>
      <w:r w:rsidRPr="00150EDC">
        <w:rPr>
          <w:rFonts w:ascii="Calibri"/>
          <w:spacing w:val="-3"/>
        </w:rPr>
        <w:t xml:space="preserve"> </w:t>
      </w:r>
      <w:r w:rsidRPr="00150EDC">
        <w:rPr>
          <w:rFonts w:ascii="Calibri"/>
        </w:rPr>
        <w:t>by</w:t>
      </w:r>
      <w:r w:rsidRPr="00150EDC">
        <w:rPr>
          <w:rFonts w:ascii="Calibri"/>
          <w:spacing w:val="-2"/>
        </w:rPr>
        <w:t xml:space="preserve"> </w:t>
      </w:r>
      <w:r w:rsidRPr="00150EDC">
        <w:rPr>
          <w:rFonts w:ascii="Calibri"/>
        </w:rPr>
        <w:t>implication intended to continue.</w:t>
      </w:r>
    </w:p>
    <w:p w14:paraId="310852EF" w14:textId="77777777" w:rsidR="004C7180" w:rsidRPr="00150EDC" w:rsidRDefault="004C7180">
      <w:pPr>
        <w:pStyle w:val="BodyText"/>
        <w:spacing w:before="4"/>
        <w:rPr>
          <w:rFonts w:ascii="Calibri"/>
          <w:sz w:val="27"/>
        </w:rPr>
      </w:pPr>
    </w:p>
    <w:p w14:paraId="276256EB" w14:textId="77777777" w:rsidR="004C7180" w:rsidRPr="00150EDC" w:rsidRDefault="00CF0754" w:rsidP="00B320C7">
      <w:pPr>
        <w:pStyle w:val="ListParagraph"/>
        <w:numPr>
          <w:ilvl w:val="1"/>
          <w:numId w:val="182"/>
        </w:numPr>
        <w:tabs>
          <w:tab w:val="left" w:pos="1065"/>
        </w:tabs>
        <w:ind w:left="1065" w:hanging="565"/>
        <w:rPr>
          <w:rFonts w:ascii="Calibri"/>
          <w:b/>
          <w:sz w:val="28"/>
        </w:rPr>
      </w:pPr>
      <w:r w:rsidRPr="00150EDC">
        <w:rPr>
          <w:rFonts w:ascii="Calibri"/>
          <w:b/>
          <w:sz w:val="28"/>
        </w:rPr>
        <w:t>Partially</w:t>
      </w:r>
      <w:r w:rsidRPr="00150EDC">
        <w:rPr>
          <w:rFonts w:ascii="Calibri"/>
          <w:b/>
          <w:spacing w:val="-5"/>
          <w:sz w:val="28"/>
        </w:rPr>
        <w:t xml:space="preserve"> </w:t>
      </w:r>
      <w:r w:rsidRPr="00150EDC">
        <w:rPr>
          <w:rFonts w:ascii="Calibri"/>
          <w:b/>
          <w:sz w:val="28"/>
        </w:rPr>
        <w:t>ending</w:t>
      </w:r>
      <w:r w:rsidRPr="00150EDC">
        <w:rPr>
          <w:rFonts w:ascii="Calibri"/>
          <w:b/>
          <w:spacing w:val="-6"/>
          <w:sz w:val="28"/>
        </w:rPr>
        <w:t xml:space="preserve"> </w:t>
      </w:r>
      <w:r w:rsidRPr="00150EDC">
        <w:rPr>
          <w:rFonts w:ascii="Calibri"/>
          <w:b/>
          <w:sz w:val="28"/>
        </w:rPr>
        <w:t>and</w:t>
      </w:r>
      <w:r w:rsidRPr="00150EDC">
        <w:rPr>
          <w:rFonts w:ascii="Calibri"/>
          <w:b/>
          <w:spacing w:val="-6"/>
          <w:sz w:val="28"/>
        </w:rPr>
        <w:t xml:space="preserve"> </w:t>
      </w:r>
      <w:r w:rsidRPr="00150EDC">
        <w:rPr>
          <w:rFonts w:ascii="Calibri"/>
          <w:b/>
          <w:sz w:val="28"/>
        </w:rPr>
        <w:t>suspending</w:t>
      </w:r>
      <w:r w:rsidRPr="00150EDC">
        <w:rPr>
          <w:rFonts w:ascii="Calibri"/>
          <w:b/>
          <w:spacing w:val="-5"/>
          <w:sz w:val="28"/>
        </w:rPr>
        <w:t xml:space="preserve"> </w:t>
      </w:r>
      <w:r w:rsidRPr="00150EDC">
        <w:rPr>
          <w:rFonts w:ascii="Calibri"/>
          <w:b/>
          <w:sz w:val="28"/>
        </w:rPr>
        <w:t>the</w:t>
      </w:r>
      <w:r w:rsidRPr="00150EDC">
        <w:rPr>
          <w:rFonts w:ascii="Calibri"/>
          <w:b/>
          <w:spacing w:val="-2"/>
          <w:sz w:val="28"/>
        </w:rPr>
        <w:t xml:space="preserve"> contract</w:t>
      </w:r>
    </w:p>
    <w:p w14:paraId="02AD42C7" w14:textId="77777777" w:rsidR="004C7180" w:rsidRPr="00150EDC" w:rsidRDefault="00CF0754" w:rsidP="00B320C7">
      <w:pPr>
        <w:pStyle w:val="ListParagraph"/>
        <w:numPr>
          <w:ilvl w:val="2"/>
          <w:numId w:val="182"/>
        </w:numPr>
        <w:tabs>
          <w:tab w:val="left" w:pos="1208"/>
        </w:tabs>
        <w:spacing w:before="1"/>
        <w:ind w:right="578" w:hanging="720"/>
        <w:rPr>
          <w:rFonts w:ascii="Calibri"/>
          <w:sz w:val="24"/>
        </w:rPr>
      </w:pPr>
      <w:r w:rsidRPr="00150EDC">
        <w:rPr>
          <w:rFonts w:ascii="Calibri"/>
          <w:sz w:val="24"/>
        </w:rPr>
        <w:t>Where CCS has the right to terminate the DPS Contract it can suspend the Supplier's ability to accept Orders (for any period) and the Supplier cannot enter into any new Order</w:t>
      </w:r>
      <w:r w:rsidRPr="00150EDC">
        <w:rPr>
          <w:rFonts w:ascii="Calibri"/>
          <w:spacing w:val="-1"/>
          <w:sz w:val="24"/>
        </w:rPr>
        <w:t xml:space="preserve"> </w:t>
      </w:r>
      <w:r w:rsidRPr="00150EDC">
        <w:rPr>
          <w:rFonts w:ascii="Calibri"/>
          <w:sz w:val="24"/>
        </w:rPr>
        <w:t>Contracts during this period. If</w:t>
      </w:r>
      <w:r w:rsidRPr="00150EDC">
        <w:rPr>
          <w:rFonts w:ascii="Calibri"/>
          <w:spacing w:val="-1"/>
          <w:sz w:val="24"/>
        </w:rPr>
        <w:t xml:space="preserve"> </w:t>
      </w:r>
      <w:r w:rsidRPr="00150EDC">
        <w:rPr>
          <w:rFonts w:ascii="Calibri"/>
          <w:sz w:val="24"/>
        </w:rPr>
        <w:t>this</w:t>
      </w:r>
      <w:r w:rsidRPr="00150EDC">
        <w:rPr>
          <w:rFonts w:ascii="Calibri"/>
          <w:spacing w:val="-2"/>
          <w:sz w:val="24"/>
        </w:rPr>
        <w:t xml:space="preserve"> </w:t>
      </w:r>
      <w:r w:rsidRPr="00150EDC">
        <w:rPr>
          <w:rFonts w:ascii="Calibri"/>
          <w:sz w:val="24"/>
        </w:rPr>
        <w:t>happens,</w:t>
      </w:r>
      <w:r w:rsidRPr="00150EDC">
        <w:rPr>
          <w:rFonts w:ascii="Calibri"/>
          <w:spacing w:val="-4"/>
          <w:sz w:val="24"/>
        </w:rPr>
        <w:t xml:space="preserve"> </w:t>
      </w:r>
      <w:r w:rsidRPr="00150EDC">
        <w:rPr>
          <w:rFonts w:ascii="Calibri"/>
          <w:sz w:val="24"/>
        </w:rPr>
        <w:t>the</w:t>
      </w:r>
      <w:r w:rsidRPr="00150EDC">
        <w:rPr>
          <w:rFonts w:ascii="Calibri"/>
          <w:spacing w:val="-1"/>
          <w:sz w:val="24"/>
        </w:rPr>
        <w:t xml:space="preserve"> </w:t>
      </w:r>
      <w:r w:rsidRPr="00150EDC">
        <w:rPr>
          <w:rFonts w:ascii="Calibri"/>
          <w:sz w:val="24"/>
        </w:rPr>
        <w:t>Supplier must</w:t>
      </w:r>
      <w:r w:rsidRPr="00150EDC">
        <w:rPr>
          <w:rFonts w:ascii="Calibri"/>
          <w:spacing w:val="-1"/>
          <w:sz w:val="24"/>
        </w:rPr>
        <w:t xml:space="preserve"> </w:t>
      </w:r>
      <w:r w:rsidRPr="00150EDC">
        <w:rPr>
          <w:rFonts w:ascii="Calibri"/>
          <w:sz w:val="24"/>
        </w:rPr>
        <w:t>still</w:t>
      </w:r>
      <w:r w:rsidRPr="00150EDC">
        <w:rPr>
          <w:rFonts w:ascii="Calibri"/>
          <w:spacing w:val="-2"/>
          <w:sz w:val="24"/>
        </w:rPr>
        <w:t xml:space="preserve"> </w:t>
      </w:r>
      <w:r w:rsidRPr="00150EDC">
        <w:rPr>
          <w:rFonts w:ascii="Calibri"/>
          <w:sz w:val="24"/>
        </w:rPr>
        <w:t>meet</w:t>
      </w:r>
      <w:r w:rsidRPr="00150EDC">
        <w:rPr>
          <w:rFonts w:ascii="Calibri"/>
          <w:spacing w:val="-2"/>
          <w:sz w:val="24"/>
        </w:rPr>
        <w:t xml:space="preserve"> </w:t>
      </w:r>
      <w:r w:rsidRPr="00150EDC">
        <w:rPr>
          <w:rFonts w:ascii="Calibri"/>
          <w:sz w:val="24"/>
        </w:rPr>
        <w:t>its</w:t>
      </w:r>
      <w:r w:rsidRPr="00150EDC">
        <w:rPr>
          <w:rFonts w:ascii="Calibri"/>
          <w:spacing w:val="-4"/>
          <w:sz w:val="24"/>
        </w:rPr>
        <w:t xml:space="preserve"> </w:t>
      </w:r>
      <w:r w:rsidRPr="00150EDC">
        <w:rPr>
          <w:rFonts w:ascii="Calibri"/>
          <w:sz w:val="24"/>
        </w:rPr>
        <w:t>obligations</w:t>
      </w:r>
      <w:r w:rsidRPr="00150EDC">
        <w:rPr>
          <w:rFonts w:ascii="Calibri"/>
          <w:spacing w:val="-4"/>
          <w:sz w:val="24"/>
        </w:rPr>
        <w:t xml:space="preserve"> </w:t>
      </w:r>
      <w:r w:rsidRPr="00150EDC">
        <w:rPr>
          <w:rFonts w:ascii="Calibri"/>
          <w:sz w:val="24"/>
        </w:rPr>
        <w:t>under</w:t>
      </w:r>
      <w:r w:rsidRPr="00150EDC">
        <w:rPr>
          <w:rFonts w:ascii="Calibri"/>
          <w:spacing w:val="-3"/>
          <w:sz w:val="24"/>
        </w:rPr>
        <w:t xml:space="preserve"> </w:t>
      </w:r>
      <w:r w:rsidRPr="00150EDC">
        <w:rPr>
          <w:rFonts w:ascii="Calibri"/>
          <w:sz w:val="24"/>
        </w:rPr>
        <w:t>any</w:t>
      </w:r>
      <w:r w:rsidRPr="00150EDC">
        <w:rPr>
          <w:rFonts w:ascii="Calibri"/>
          <w:spacing w:val="-5"/>
          <w:sz w:val="24"/>
        </w:rPr>
        <w:t xml:space="preserve"> </w:t>
      </w:r>
      <w:r w:rsidRPr="00150EDC">
        <w:rPr>
          <w:rFonts w:ascii="Calibri"/>
          <w:sz w:val="24"/>
        </w:rPr>
        <w:t>existing</w:t>
      </w:r>
      <w:r w:rsidRPr="00150EDC">
        <w:rPr>
          <w:rFonts w:ascii="Calibri"/>
          <w:spacing w:val="-2"/>
          <w:sz w:val="24"/>
        </w:rPr>
        <w:t xml:space="preserve"> </w:t>
      </w:r>
      <w:r w:rsidRPr="00150EDC">
        <w:rPr>
          <w:rFonts w:ascii="Calibri"/>
          <w:sz w:val="24"/>
        </w:rPr>
        <w:t>Order</w:t>
      </w:r>
      <w:r w:rsidRPr="00150EDC">
        <w:rPr>
          <w:rFonts w:ascii="Calibri"/>
          <w:spacing w:val="-1"/>
          <w:sz w:val="24"/>
        </w:rPr>
        <w:t xml:space="preserve"> </w:t>
      </w:r>
      <w:r w:rsidRPr="00150EDC">
        <w:rPr>
          <w:rFonts w:ascii="Calibri"/>
          <w:sz w:val="24"/>
        </w:rPr>
        <w:t>Contracts</w:t>
      </w:r>
      <w:r w:rsidRPr="00150EDC">
        <w:rPr>
          <w:rFonts w:ascii="Calibri"/>
          <w:spacing w:val="-4"/>
          <w:sz w:val="24"/>
        </w:rPr>
        <w:t xml:space="preserve"> </w:t>
      </w:r>
      <w:r w:rsidRPr="00150EDC">
        <w:rPr>
          <w:rFonts w:ascii="Calibri"/>
          <w:sz w:val="24"/>
        </w:rPr>
        <w:t>that</w:t>
      </w:r>
      <w:r w:rsidRPr="00150EDC">
        <w:rPr>
          <w:rFonts w:ascii="Calibri"/>
          <w:spacing w:val="-3"/>
          <w:sz w:val="24"/>
        </w:rPr>
        <w:t xml:space="preserve"> </w:t>
      </w:r>
      <w:r w:rsidRPr="00150EDC">
        <w:rPr>
          <w:rFonts w:ascii="Calibri"/>
          <w:sz w:val="24"/>
        </w:rPr>
        <w:t>have already been signed.</w:t>
      </w:r>
    </w:p>
    <w:p w14:paraId="4BE771C2" w14:textId="77777777" w:rsidR="004C7180" w:rsidRPr="00150EDC" w:rsidRDefault="004C7180">
      <w:pPr>
        <w:pStyle w:val="BodyText"/>
        <w:spacing w:before="11"/>
        <w:rPr>
          <w:rFonts w:ascii="Calibri"/>
          <w:sz w:val="23"/>
        </w:rPr>
      </w:pPr>
    </w:p>
    <w:p w14:paraId="0903F26E" w14:textId="77777777" w:rsidR="004C7180" w:rsidRPr="00150EDC" w:rsidRDefault="00CF0754" w:rsidP="00B320C7">
      <w:pPr>
        <w:pStyle w:val="ListParagraph"/>
        <w:numPr>
          <w:ilvl w:val="2"/>
          <w:numId w:val="182"/>
        </w:numPr>
        <w:tabs>
          <w:tab w:val="left" w:pos="1207"/>
        </w:tabs>
        <w:ind w:left="1207" w:hanging="719"/>
        <w:rPr>
          <w:rFonts w:ascii="Calibri"/>
          <w:sz w:val="24"/>
        </w:rPr>
      </w:pPr>
      <w:r w:rsidRPr="00150EDC">
        <w:rPr>
          <w:rFonts w:ascii="Calibri"/>
          <w:sz w:val="24"/>
        </w:rPr>
        <w:t>Where</w:t>
      </w:r>
      <w:r w:rsidRPr="00150EDC">
        <w:rPr>
          <w:rFonts w:ascii="Calibri"/>
          <w:spacing w:val="-3"/>
          <w:sz w:val="24"/>
        </w:rPr>
        <w:t xml:space="preserve"> </w:t>
      </w:r>
      <w:r w:rsidRPr="00150EDC">
        <w:rPr>
          <w:rFonts w:ascii="Calibri"/>
          <w:sz w:val="24"/>
        </w:rPr>
        <w:t>CCS</w:t>
      </w:r>
      <w:r w:rsidRPr="00150EDC">
        <w:rPr>
          <w:rFonts w:ascii="Calibri"/>
          <w:spacing w:val="-3"/>
          <w:sz w:val="24"/>
        </w:rPr>
        <w:t xml:space="preserve"> </w:t>
      </w:r>
      <w:r w:rsidRPr="00150EDC">
        <w:rPr>
          <w:rFonts w:ascii="Calibri"/>
          <w:sz w:val="24"/>
        </w:rPr>
        <w:t>has</w:t>
      </w:r>
      <w:r w:rsidRPr="00150EDC">
        <w:rPr>
          <w:rFonts w:ascii="Calibri"/>
          <w:spacing w:val="-4"/>
          <w:sz w:val="24"/>
        </w:rPr>
        <w:t xml:space="preserve"> </w:t>
      </w:r>
      <w:r w:rsidRPr="00150EDC">
        <w:rPr>
          <w:rFonts w:ascii="Calibri"/>
          <w:sz w:val="24"/>
        </w:rPr>
        <w:t>the</w:t>
      </w:r>
      <w:r w:rsidRPr="00150EDC">
        <w:rPr>
          <w:rFonts w:ascii="Calibri"/>
          <w:spacing w:val="-3"/>
          <w:sz w:val="24"/>
        </w:rPr>
        <w:t xml:space="preserve"> </w:t>
      </w:r>
      <w:r w:rsidRPr="00150EDC">
        <w:rPr>
          <w:rFonts w:ascii="Calibri"/>
          <w:sz w:val="24"/>
        </w:rPr>
        <w:t>right</w:t>
      </w:r>
      <w:r w:rsidRPr="00150EDC">
        <w:rPr>
          <w:rFonts w:ascii="Calibri"/>
          <w:spacing w:val="-3"/>
          <w:sz w:val="24"/>
        </w:rPr>
        <w:t xml:space="preserve"> </w:t>
      </w:r>
      <w:r w:rsidRPr="00150EDC">
        <w:rPr>
          <w:rFonts w:ascii="Calibri"/>
          <w:sz w:val="24"/>
        </w:rPr>
        <w:t>to</w:t>
      </w:r>
      <w:r w:rsidRPr="00150EDC">
        <w:rPr>
          <w:rFonts w:ascii="Calibri"/>
          <w:spacing w:val="-2"/>
          <w:sz w:val="24"/>
        </w:rPr>
        <w:t xml:space="preserve"> </w:t>
      </w:r>
      <w:r w:rsidRPr="00150EDC">
        <w:rPr>
          <w:rFonts w:ascii="Calibri"/>
          <w:sz w:val="24"/>
        </w:rPr>
        <w:t>terminate</w:t>
      </w:r>
      <w:r w:rsidRPr="00150EDC">
        <w:rPr>
          <w:rFonts w:ascii="Calibri"/>
          <w:spacing w:val="-4"/>
          <w:sz w:val="24"/>
        </w:rPr>
        <w:t xml:space="preserve"> </w:t>
      </w:r>
      <w:r w:rsidRPr="00150EDC">
        <w:rPr>
          <w:rFonts w:ascii="Calibri"/>
          <w:sz w:val="24"/>
        </w:rPr>
        <w:t>a</w:t>
      </w:r>
      <w:r w:rsidRPr="00150EDC">
        <w:rPr>
          <w:rFonts w:ascii="Calibri"/>
          <w:spacing w:val="-3"/>
          <w:sz w:val="24"/>
        </w:rPr>
        <w:t xml:space="preserve"> </w:t>
      </w:r>
      <w:r w:rsidRPr="00150EDC">
        <w:rPr>
          <w:rFonts w:ascii="Calibri"/>
          <w:sz w:val="24"/>
        </w:rPr>
        <w:t>DPS</w:t>
      </w:r>
      <w:r w:rsidRPr="00150EDC">
        <w:rPr>
          <w:rFonts w:ascii="Calibri"/>
          <w:spacing w:val="-3"/>
          <w:sz w:val="24"/>
        </w:rPr>
        <w:t xml:space="preserve"> </w:t>
      </w:r>
      <w:r w:rsidRPr="00150EDC">
        <w:rPr>
          <w:rFonts w:ascii="Calibri"/>
          <w:sz w:val="24"/>
        </w:rPr>
        <w:t>Contract it</w:t>
      </w:r>
      <w:r w:rsidRPr="00150EDC">
        <w:rPr>
          <w:rFonts w:ascii="Calibri"/>
          <w:spacing w:val="-3"/>
          <w:sz w:val="24"/>
        </w:rPr>
        <w:t xml:space="preserve"> </w:t>
      </w:r>
      <w:r w:rsidRPr="00150EDC">
        <w:rPr>
          <w:rFonts w:ascii="Calibri"/>
          <w:sz w:val="24"/>
        </w:rPr>
        <w:t>is</w:t>
      </w:r>
      <w:r w:rsidRPr="00150EDC">
        <w:rPr>
          <w:rFonts w:ascii="Calibri"/>
          <w:spacing w:val="-1"/>
          <w:sz w:val="24"/>
        </w:rPr>
        <w:t xml:space="preserve"> </w:t>
      </w:r>
      <w:r w:rsidRPr="00150EDC">
        <w:rPr>
          <w:rFonts w:ascii="Calibri"/>
          <w:sz w:val="24"/>
        </w:rPr>
        <w:t>entitled</w:t>
      </w:r>
      <w:r w:rsidRPr="00150EDC">
        <w:rPr>
          <w:rFonts w:ascii="Calibri"/>
          <w:spacing w:val="-3"/>
          <w:sz w:val="24"/>
        </w:rPr>
        <w:t xml:space="preserve"> </w:t>
      </w:r>
      <w:r w:rsidRPr="00150EDC">
        <w:rPr>
          <w:rFonts w:ascii="Calibri"/>
          <w:sz w:val="24"/>
        </w:rPr>
        <w:t>to</w:t>
      </w:r>
      <w:r w:rsidRPr="00150EDC">
        <w:rPr>
          <w:rFonts w:ascii="Calibri"/>
          <w:spacing w:val="-2"/>
          <w:sz w:val="24"/>
        </w:rPr>
        <w:t xml:space="preserve"> </w:t>
      </w:r>
      <w:r w:rsidRPr="00150EDC">
        <w:rPr>
          <w:rFonts w:ascii="Calibri"/>
          <w:sz w:val="24"/>
        </w:rPr>
        <w:t>terminate</w:t>
      </w:r>
      <w:r w:rsidRPr="00150EDC">
        <w:rPr>
          <w:rFonts w:ascii="Calibri"/>
          <w:spacing w:val="-4"/>
          <w:sz w:val="24"/>
        </w:rPr>
        <w:t xml:space="preserve"> </w:t>
      </w:r>
      <w:r w:rsidRPr="00150EDC">
        <w:rPr>
          <w:rFonts w:ascii="Calibri"/>
          <w:sz w:val="24"/>
        </w:rPr>
        <w:t>all</w:t>
      </w:r>
      <w:r w:rsidRPr="00150EDC">
        <w:rPr>
          <w:rFonts w:ascii="Calibri"/>
          <w:spacing w:val="-3"/>
          <w:sz w:val="24"/>
        </w:rPr>
        <w:t xml:space="preserve"> </w:t>
      </w:r>
      <w:r w:rsidRPr="00150EDC">
        <w:rPr>
          <w:rFonts w:ascii="Calibri"/>
          <w:sz w:val="24"/>
        </w:rPr>
        <w:t>or</w:t>
      </w:r>
      <w:r w:rsidRPr="00150EDC">
        <w:rPr>
          <w:rFonts w:ascii="Calibri"/>
          <w:spacing w:val="-3"/>
          <w:sz w:val="24"/>
        </w:rPr>
        <w:t xml:space="preserve"> </w:t>
      </w:r>
      <w:r w:rsidRPr="00150EDC">
        <w:rPr>
          <w:rFonts w:ascii="Calibri"/>
          <w:sz w:val="24"/>
        </w:rPr>
        <w:t>part</w:t>
      </w:r>
      <w:r w:rsidRPr="00150EDC">
        <w:rPr>
          <w:rFonts w:ascii="Calibri"/>
          <w:spacing w:val="-1"/>
          <w:sz w:val="24"/>
        </w:rPr>
        <w:t xml:space="preserve"> </w:t>
      </w:r>
      <w:r w:rsidRPr="00150EDC">
        <w:rPr>
          <w:rFonts w:ascii="Calibri"/>
          <w:sz w:val="24"/>
        </w:rPr>
        <w:t>of</w:t>
      </w:r>
      <w:r w:rsidRPr="00150EDC">
        <w:rPr>
          <w:rFonts w:ascii="Calibri"/>
          <w:spacing w:val="-2"/>
          <w:sz w:val="24"/>
        </w:rPr>
        <w:t xml:space="preserve"> </w:t>
      </w:r>
      <w:r w:rsidRPr="00150EDC">
        <w:rPr>
          <w:rFonts w:ascii="Calibri"/>
          <w:spacing w:val="-5"/>
          <w:sz w:val="24"/>
        </w:rPr>
        <w:t>it.</w:t>
      </w:r>
    </w:p>
    <w:p w14:paraId="77780CFF" w14:textId="77777777" w:rsidR="004C7180" w:rsidRPr="00150EDC" w:rsidRDefault="004C7180">
      <w:pPr>
        <w:pStyle w:val="BodyText"/>
        <w:rPr>
          <w:rFonts w:ascii="Calibri"/>
        </w:rPr>
      </w:pPr>
    </w:p>
    <w:p w14:paraId="539784D4" w14:textId="77777777" w:rsidR="004C7180" w:rsidRPr="00150EDC" w:rsidRDefault="00CF0754" w:rsidP="00B320C7">
      <w:pPr>
        <w:pStyle w:val="ListParagraph"/>
        <w:numPr>
          <w:ilvl w:val="2"/>
          <w:numId w:val="182"/>
        </w:numPr>
        <w:tabs>
          <w:tab w:val="left" w:pos="1208"/>
        </w:tabs>
        <w:ind w:right="940" w:hanging="720"/>
        <w:rPr>
          <w:rFonts w:ascii="Calibri"/>
          <w:sz w:val="24"/>
        </w:rPr>
      </w:pPr>
      <w:r w:rsidRPr="00150EDC">
        <w:rPr>
          <w:rFonts w:ascii="Calibri"/>
          <w:sz w:val="24"/>
        </w:rPr>
        <w:t>Where the Buyer has the right to terminate an Order Contract it can terminate or suspend (for any period),</w:t>
      </w:r>
      <w:r w:rsidRPr="00150EDC">
        <w:rPr>
          <w:rFonts w:ascii="Calibri"/>
          <w:spacing w:val="-2"/>
          <w:sz w:val="24"/>
        </w:rPr>
        <w:t xml:space="preserve"> </w:t>
      </w:r>
      <w:r w:rsidRPr="00150EDC">
        <w:rPr>
          <w:rFonts w:ascii="Calibri"/>
          <w:sz w:val="24"/>
        </w:rPr>
        <w:t>all</w:t>
      </w:r>
      <w:r w:rsidRPr="00150EDC">
        <w:rPr>
          <w:rFonts w:ascii="Calibri"/>
          <w:spacing w:val="-3"/>
          <w:sz w:val="24"/>
        </w:rPr>
        <w:t xml:space="preserve"> </w:t>
      </w:r>
      <w:r w:rsidRPr="00150EDC">
        <w:rPr>
          <w:rFonts w:ascii="Calibri"/>
          <w:sz w:val="24"/>
        </w:rPr>
        <w:t>or</w:t>
      </w:r>
      <w:r w:rsidRPr="00150EDC">
        <w:rPr>
          <w:rFonts w:ascii="Calibri"/>
          <w:spacing w:val="-3"/>
          <w:sz w:val="24"/>
        </w:rPr>
        <w:t xml:space="preserve"> </w:t>
      </w:r>
      <w:r w:rsidRPr="00150EDC">
        <w:rPr>
          <w:rFonts w:ascii="Calibri"/>
          <w:sz w:val="24"/>
        </w:rPr>
        <w:t>part</w:t>
      </w:r>
      <w:r w:rsidRPr="00150EDC">
        <w:rPr>
          <w:rFonts w:ascii="Calibri"/>
          <w:spacing w:val="-2"/>
          <w:sz w:val="24"/>
        </w:rPr>
        <w:t xml:space="preserve"> </w:t>
      </w:r>
      <w:r w:rsidRPr="00150EDC">
        <w:rPr>
          <w:rFonts w:ascii="Calibri"/>
          <w:sz w:val="24"/>
        </w:rPr>
        <w:t>of</w:t>
      </w:r>
      <w:r w:rsidRPr="00150EDC">
        <w:rPr>
          <w:rFonts w:ascii="Calibri"/>
          <w:spacing w:val="-3"/>
          <w:sz w:val="24"/>
        </w:rPr>
        <w:t xml:space="preserve"> </w:t>
      </w:r>
      <w:r w:rsidRPr="00150EDC">
        <w:rPr>
          <w:rFonts w:ascii="Calibri"/>
          <w:sz w:val="24"/>
        </w:rPr>
        <w:t>it.</w:t>
      </w:r>
      <w:r w:rsidRPr="00150EDC">
        <w:rPr>
          <w:rFonts w:ascii="Calibri"/>
          <w:spacing w:val="-3"/>
          <w:sz w:val="24"/>
        </w:rPr>
        <w:t xml:space="preserve"> </w:t>
      </w:r>
      <w:r w:rsidRPr="00150EDC">
        <w:rPr>
          <w:rFonts w:ascii="Calibri"/>
          <w:sz w:val="24"/>
        </w:rPr>
        <w:t>If</w:t>
      </w:r>
      <w:r w:rsidRPr="00150EDC">
        <w:rPr>
          <w:rFonts w:ascii="Calibri"/>
          <w:spacing w:val="-1"/>
          <w:sz w:val="24"/>
        </w:rPr>
        <w:t xml:space="preserve"> </w:t>
      </w:r>
      <w:r w:rsidRPr="00150EDC">
        <w:rPr>
          <w:rFonts w:ascii="Calibri"/>
          <w:sz w:val="24"/>
        </w:rPr>
        <w:t>the</w:t>
      </w:r>
      <w:r w:rsidRPr="00150EDC">
        <w:rPr>
          <w:rFonts w:ascii="Calibri"/>
          <w:spacing w:val="-1"/>
          <w:sz w:val="24"/>
        </w:rPr>
        <w:t xml:space="preserve"> </w:t>
      </w:r>
      <w:r w:rsidRPr="00150EDC">
        <w:rPr>
          <w:rFonts w:ascii="Calibri"/>
          <w:sz w:val="24"/>
        </w:rPr>
        <w:t>Buyer</w:t>
      </w:r>
      <w:r w:rsidRPr="00150EDC">
        <w:rPr>
          <w:rFonts w:ascii="Calibri"/>
          <w:spacing w:val="-2"/>
          <w:sz w:val="24"/>
        </w:rPr>
        <w:t xml:space="preserve"> </w:t>
      </w:r>
      <w:r w:rsidRPr="00150EDC">
        <w:rPr>
          <w:rFonts w:ascii="Calibri"/>
          <w:sz w:val="24"/>
        </w:rPr>
        <w:t>suspends</w:t>
      </w:r>
      <w:r w:rsidRPr="00150EDC">
        <w:rPr>
          <w:rFonts w:ascii="Calibri"/>
          <w:spacing w:val="-2"/>
          <w:sz w:val="24"/>
        </w:rPr>
        <w:t xml:space="preserve"> </w:t>
      </w:r>
      <w:r w:rsidRPr="00150EDC">
        <w:rPr>
          <w:rFonts w:ascii="Calibri"/>
          <w:sz w:val="24"/>
        </w:rPr>
        <w:t>a</w:t>
      </w:r>
      <w:r w:rsidRPr="00150EDC">
        <w:rPr>
          <w:rFonts w:ascii="Calibri"/>
          <w:spacing w:val="-4"/>
          <w:sz w:val="24"/>
        </w:rPr>
        <w:t xml:space="preserve"> </w:t>
      </w:r>
      <w:r w:rsidRPr="00150EDC">
        <w:rPr>
          <w:rFonts w:ascii="Calibri"/>
          <w:sz w:val="24"/>
        </w:rPr>
        <w:t>Contract</w:t>
      </w:r>
      <w:r w:rsidRPr="00150EDC">
        <w:rPr>
          <w:rFonts w:ascii="Calibri"/>
          <w:spacing w:val="-1"/>
          <w:sz w:val="24"/>
        </w:rPr>
        <w:t xml:space="preserve"> </w:t>
      </w:r>
      <w:r w:rsidRPr="00150EDC">
        <w:rPr>
          <w:rFonts w:ascii="Calibri"/>
          <w:sz w:val="24"/>
        </w:rPr>
        <w:t>it</w:t>
      </w:r>
      <w:r w:rsidRPr="00150EDC">
        <w:rPr>
          <w:rFonts w:ascii="Calibri"/>
          <w:spacing w:val="-1"/>
          <w:sz w:val="24"/>
        </w:rPr>
        <w:t xml:space="preserve"> </w:t>
      </w:r>
      <w:r w:rsidRPr="00150EDC">
        <w:rPr>
          <w:rFonts w:ascii="Calibri"/>
          <w:sz w:val="24"/>
        </w:rPr>
        <w:t>can</w:t>
      </w:r>
      <w:r w:rsidRPr="00150EDC">
        <w:rPr>
          <w:rFonts w:ascii="Calibri"/>
          <w:spacing w:val="-3"/>
          <w:sz w:val="24"/>
        </w:rPr>
        <w:t xml:space="preserve"> </w:t>
      </w:r>
      <w:r w:rsidRPr="00150EDC">
        <w:rPr>
          <w:rFonts w:ascii="Calibri"/>
          <w:sz w:val="24"/>
        </w:rPr>
        <w:t>provide</w:t>
      </w:r>
      <w:r w:rsidRPr="00150EDC">
        <w:rPr>
          <w:rFonts w:ascii="Calibri"/>
          <w:spacing w:val="-3"/>
          <w:sz w:val="24"/>
        </w:rPr>
        <w:t xml:space="preserve"> </w:t>
      </w:r>
      <w:r w:rsidRPr="00150EDC">
        <w:rPr>
          <w:rFonts w:ascii="Calibri"/>
          <w:sz w:val="24"/>
        </w:rPr>
        <w:t>the</w:t>
      </w:r>
      <w:r w:rsidRPr="00150EDC">
        <w:rPr>
          <w:rFonts w:ascii="Calibri"/>
          <w:spacing w:val="-1"/>
          <w:sz w:val="24"/>
        </w:rPr>
        <w:t xml:space="preserve"> </w:t>
      </w:r>
      <w:r w:rsidRPr="00150EDC">
        <w:rPr>
          <w:rFonts w:ascii="Calibri"/>
          <w:sz w:val="24"/>
        </w:rPr>
        <w:t>Deliverables</w:t>
      </w:r>
      <w:r w:rsidRPr="00150EDC">
        <w:rPr>
          <w:rFonts w:ascii="Calibri"/>
          <w:spacing w:val="-4"/>
          <w:sz w:val="24"/>
        </w:rPr>
        <w:t xml:space="preserve"> </w:t>
      </w:r>
      <w:r w:rsidRPr="00150EDC">
        <w:rPr>
          <w:rFonts w:ascii="Calibri"/>
          <w:sz w:val="24"/>
        </w:rPr>
        <w:t>itself</w:t>
      </w:r>
      <w:r w:rsidRPr="00150EDC">
        <w:rPr>
          <w:rFonts w:ascii="Calibri"/>
          <w:spacing w:val="-3"/>
          <w:sz w:val="24"/>
        </w:rPr>
        <w:t xml:space="preserve"> </w:t>
      </w:r>
      <w:r w:rsidRPr="00150EDC">
        <w:rPr>
          <w:rFonts w:ascii="Calibri"/>
          <w:sz w:val="24"/>
        </w:rPr>
        <w:t>or</w:t>
      </w:r>
      <w:r w:rsidRPr="00150EDC">
        <w:rPr>
          <w:rFonts w:ascii="Calibri"/>
          <w:spacing w:val="-3"/>
          <w:sz w:val="24"/>
        </w:rPr>
        <w:t xml:space="preserve"> </w:t>
      </w:r>
      <w:r w:rsidRPr="00150EDC">
        <w:rPr>
          <w:rFonts w:ascii="Calibri"/>
          <w:sz w:val="24"/>
        </w:rPr>
        <w:t>buy them from a third party.</w:t>
      </w:r>
    </w:p>
    <w:p w14:paraId="76CF8BF5" w14:textId="77777777" w:rsidR="004C7180" w:rsidRPr="00150EDC" w:rsidRDefault="004C7180">
      <w:pPr>
        <w:rPr>
          <w:rFonts w:ascii="Calibri"/>
          <w:sz w:val="24"/>
        </w:rPr>
        <w:sectPr w:rsidR="004C7180" w:rsidRPr="00150EDC">
          <w:pgSz w:w="11910" w:h="16840"/>
          <w:pgMar w:top="620" w:right="0" w:bottom="2460" w:left="40" w:header="403" w:footer="2245" w:gutter="0"/>
          <w:cols w:space="720"/>
        </w:sectPr>
      </w:pPr>
    </w:p>
    <w:p w14:paraId="13393922" w14:textId="77777777" w:rsidR="004C7180" w:rsidRPr="00150EDC" w:rsidRDefault="004C7180">
      <w:pPr>
        <w:pStyle w:val="BodyText"/>
        <w:rPr>
          <w:rFonts w:ascii="Calibri"/>
          <w:sz w:val="20"/>
        </w:rPr>
      </w:pPr>
    </w:p>
    <w:p w14:paraId="15517C09" w14:textId="77777777" w:rsidR="004C7180" w:rsidRPr="00150EDC" w:rsidRDefault="004C7180">
      <w:pPr>
        <w:pStyle w:val="BodyText"/>
        <w:spacing w:before="1"/>
        <w:rPr>
          <w:rFonts w:ascii="Calibri"/>
          <w:sz w:val="22"/>
        </w:rPr>
      </w:pPr>
    </w:p>
    <w:p w14:paraId="72101EF6" w14:textId="77777777" w:rsidR="004C7180" w:rsidRPr="00150EDC" w:rsidRDefault="00CF0754" w:rsidP="00B320C7">
      <w:pPr>
        <w:pStyle w:val="ListParagraph"/>
        <w:numPr>
          <w:ilvl w:val="2"/>
          <w:numId w:val="182"/>
        </w:numPr>
        <w:tabs>
          <w:tab w:val="left" w:pos="1208"/>
          <w:tab w:val="left" w:pos="1219"/>
        </w:tabs>
        <w:spacing w:before="52"/>
        <w:ind w:right="590" w:hanging="720"/>
        <w:rPr>
          <w:rFonts w:ascii="Calibri"/>
          <w:sz w:val="24"/>
        </w:rPr>
      </w:pPr>
      <w:r w:rsidRPr="00150EDC">
        <w:rPr>
          <w:rFonts w:ascii="Times New Roman"/>
          <w:sz w:val="24"/>
        </w:rPr>
        <w:tab/>
      </w:r>
      <w:r w:rsidRPr="00150EDC">
        <w:rPr>
          <w:rFonts w:ascii="Calibri"/>
          <w:sz w:val="24"/>
        </w:rPr>
        <w:t>The</w:t>
      </w:r>
      <w:r w:rsidRPr="00150EDC">
        <w:rPr>
          <w:rFonts w:ascii="Calibri"/>
          <w:spacing w:val="-2"/>
          <w:sz w:val="24"/>
        </w:rPr>
        <w:t xml:space="preserve"> </w:t>
      </w:r>
      <w:r w:rsidRPr="00150EDC">
        <w:rPr>
          <w:rFonts w:ascii="Calibri"/>
          <w:sz w:val="24"/>
        </w:rPr>
        <w:t>Relevant</w:t>
      </w:r>
      <w:r w:rsidRPr="00150EDC">
        <w:rPr>
          <w:rFonts w:ascii="Calibri"/>
          <w:spacing w:val="-4"/>
          <w:sz w:val="24"/>
        </w:rPr>
        <w:t xml:space="preserve"> </w:t>
      </w:r>
      <w:r w:rsidRPr="00150EDC">
        <w:rPr>
          <w:rFonts w:ascii="Calibri"/>
          <w:sz w:val="24"/>
        </w:rPr>
        <w:t>Authority</w:t>
      </w:r>
      <w:r w:rsidRPr="00150EDC">
        <w:rPr>
          <w:rFonts w:ascii="Calibri"/>
          <w:spacing w:val="-3"/>
          <w:sz w:val="24"/>
        </w:rPr>
        <w:t xml:space="preserve"> </w:t>
      </w:r>
      <w:r w:rsidRPr="00150EDC">
        <w:rPr>
          <w:rFonts w:ascii="Calibri"/>
          <w:sz w:val="24"/>
        </w:rPr>
        <w:t>can</w:t>
      </w:r>
      <w:r w:rsidRPr="00150EDC">
        <w:rPr>
          <w:rFonts w:ascii="Calibri"/>
          <w:spacing w:val="-2"/>
          <w:sz w:val="24"/>
        </w:rPr>
        <w:t xml:space="preserve"> </w:t>
      </w:r>
      <w:r w:rsidRPr="00150EDC">
        <w:rPr>
          <w:rFonts w:ascii="Calibri"/>
          <w:sz w:val="24"/>
        </w:rPr>
        <w:t>only</w:t>
      </w:r>
      <w:r w:rsidRPr="00150EDC">
        <w:rPr>
          <w:rFonts w:ascii="Calibri"/>
          <w:spacing w:val="-3"/>
          <w:sz w:val="24"/>
        </w:rPr>
        <w:t xml:space="preserve"> </w:t>
      </w:r>
      <w:r w:rsidRPr="00150EDC">
        <w:rPr>
          <w:rFonts w:ascii="Calibri"/>
          <w:sz w:val="24"/>
        </w:rPr>
        <w:t>partially</w:t>
      </w:r>
      <w:r w:rsidRPr="00150EDC">
        <w:rPr>
          <w:rFonts w:ascii="Calibri"/>
          <w:spacing w:val="-5"/>
          <w:sz w:val="24"/>
        </w:rPr>
        <w:t xml:space="preserve"> </w:t>
      </w:r>
      <w:r w:rsidRPr="00150EDC">
        <w:rPr>
          <w:rFonts w:ascii="Calibri"/>
          <w:sz w:val="24"/>
        </w:rPr>
        <w:t>terminate</w:t>
      </w:r>
      <w:r w:rsidRPr="00150EDC">
        <w:rPr>
          <w:rFonts w:ascii="Calibri"/>
          <w:spacing w:val="-2"/>
          <w:sz w:val="24"/>
        </w:rPr>
        <w:t xml:space="preserve"> </w:t>
      </w:r>
      <w:r w:rsidRPr="00150EDC">
        <w:rPr>
          <w:rFonts w:ascii="Calibri"/>
          <w:sz w:val="24"/>
        </w:rPr>
        <w:t>or</w:t>
      </w:r>
      <w:r w:rsidRPr="00150EDC">
        <w:rPr>
          <w:rFonts w:ascii="Calibri"/>
          <w:spacing w:val="-2"/>
          <w:sz w:val="24"/>
        </w:rPr>
        <w:t xml:space="preserve"> </w:t>
      </w:r>
      <w:r w:rsidRPr="00150EDC">
        <w:rPr>
          <w:rFonts w:ascii="Calibri"/>
          <w:sz w:val="24"/>
        </w:rPr>
        <w:t>suspend</w:t>
      </w:r>
      <w:r w:rsidRPr="00150EDC">
        <w:rPr>
          <w:rFonts w:ascii="Calibri"/>
          <w:spacing w:val="-2"/>
          <w:sz w:val="24"/>
        </w:rPr>
        <w:t xml:space="preserve"> </w:t>
      </w:r>
      <w:r w:rsidRPr="00150EDC">
        <w:rPr>
          <w:rFonts w:ascii="Calibri"/>
          <w:sz w:val="24"/>
        </w:rPr>
        <w:t>a</w:t>
      </w:r>
      <w:r w:rsidRPr="00150EDC">
        <w:rPr>
          <w:rFonts w:ascii="Calibri"/>
          <w:spacing w:val="-5"/>
          <w:sz w:val="24"/>
        </w:rPr>
        <w:t xml:space="preserve"> </w:t>
      </w:r>
      <w:r w:rsidRPr="00150EDC">
        <w:rPr>
          <w:rFonts w:ascii="Calibri"/>
          <w:sz w:val="24"/>
        </w:rPr>
        <w:t>Contract</w:t>
      </w:r>
      <w:r w:rsidRPr="00150EDC">
        <w:rPr>
          <w:rFonts w:ascii="Calibri"/>
          <w:spacing w:val="-4"/>
          <w:sz w:val="24"/>
        </w:rPr>
        <w:t xml:space="preserve"> </w:t>
      </w:r>
      <w:r w:rsidRPr="00150EDC">
        <w:rPr>
          <w:rFonts w:ascii="Calibri"/>
          <w:sz w:val="24"/>
        </w:rPr>
        <w:t>if the</w:t>
      </w:r>
      <w:r w:rsidRPr="00150EDC">
        <w:rPr>
          <w:rFonts w:ascii="Calibri"/>
          <w:spacing w:val="-5"/>
          <w:sz w:val="24"/>
        </w:rPr>
        <w:t xml:space="preserve"> </w:t>
      </w:r>
      <w:r w:rsidRPr="00150EDC">
        <w:rPr>
          <w:rFonts w:ascii="Calibri"/>
          <w:sz w:val="24"/>
        </w:rPr>
        <w:t>remaining</w:t>
      </w:r>
      <w:r w:rsidRPr="00150EDC">
        <w:rPr>
          <w:rFonts w:ascii="Calibri"/>
          <w:spacing w:val="-5"/>
          <w:sz w:val="24"/>
        </w:rPr>
        <w:t xml:space="preserve"> </w:t>
      </w:r>
      <w:r w:rsidRPr="00150EDC">
        <w:rPr>
          <w:rFonts w:ascii="Calibri"/>
          <w:sz w:val="24"/>
        </w:rPr>
        <w:t>parts</w:t>
      </w:r>
      <w:r w:rsidRPr="00150EDC">
        <w:rPr>
          <w:rFonts w:ascii="Calibri"/>
          <w:spacing w:val="-3"/>
          <w:sz w:val="24"/>
        </w:rPr>
        <w:t xml:space="preserve"> </w:t>
      </w:r>
      <w:r w:rsidRPr="00150EDC">
        <w:rPr>
          <w:rFonts w:ascii="Calibri"/>
          <w:sz w:val="24"/>
        </w:rPr>
        <w:t>of</w:t>
      </w:r>
      <w:r w:rsidRPr="00150EDC">
        <w:rPr>
          <w:rFonts w:ascii="Calibri"/>
          <w:spacing w:val="-4"/>
          <w:sz w:val="24"/>
        </w:rPr>
        <w:t xml:space="preserve"> </w:t>
      </w:r>
      <w:r w:rsidRPr="00150EDC">
        <w:rPr>
          <w:rFonts w:ascii="Calibri"/>
          <w:sz w:val="24"/>
        </w:rPr>
        <w:t>that Contract can still be used to effectively deliver the intended purpose.</w:t>
      </w:r>
    </w:p>
    <w:p w14:paraId="6F80BE52" w14:textId="77777777" w:rsidR="004C7180" w:rsidRPr="00150EDC" w:rsidRDefault="004C7180">
      <w:pPr>
        <w:pStyle w:val="BodyText"/>
        <w:rPr>
          <w:rFonts w:ascii="Calibri"/>
        </w:rPr>
      </w:pPr>
    </w:p>
    <w:p w14:paraId="391252D7" w14:textId="77777777" w:rsidR="004C7180" w:rsidRPr="00150EDC" w:rsidRDefault="00CF0754" w:rsidP="00B320C7">
      <w:pPr>
        <w:pStyle w:val="ListParagraph"/>
        <w:numPr>
          <w:ilvl w:val="2"/>
          <w:numId w:val="182"/>
        </w:numPr>
        <w:tabs>
          <w:tab w:val="left" w:pos="1208"/>
        </w:tabs>
        <w:ind w:right="681" w:hanging="720"/>
        <w:rPr>
          <w:rFonts w:ascii="Calibri"/>
          <w:sz w:val="24"/>
        </w:rPr>
      </w:pPr>
      <w:r w:rsidRPr="00150EDC">
        <w:rPr>
          <w:rFonts w:ascii="Calibri"/>
          <w:sz w:val="24"/>
        </w:rPr>
        <w:t>The</w:t>
      </w:r>
      <w:r w:rsidRPr="00150EDC">
        <w:rPr>
          <w:rFonts w:ascii="Calibri"/>
          <w:spacing w:val="-4"/>
          <w:sz w:val="24"/>
        </w:rPr>
        <w:t xml:space="preserve"> </w:t>
      </w:r>
      <w:r w:rsidRPr="00150EDC">
        <w:rPr>
          <w:rFonts w:ascii="Calibri"/>
          <w:sz w:val="24"/>
        </w:rPr>
        <w:t>Parties</w:t>
      </w:r>
      <w:r w:rsidRPr="00150EDC">
        <w:rPr>
          <w:rFonts w:ascii="Calibri"/>
          <w:spacing w:val="-3"/>
          <w:sz w:val="24"/>
        </w:rPr>
        <w:t xml:space="preserve"> </w:t>
      </w:r>
      <w:r w:rsidRPr="00150EDC">
        <w:rPr>
          <w:rFonts w:ascii="Calibri"/>
          <w:sz w:val="24"/>
        </w:rPr>
        <w:t>must</w:t>
      </w:r>
      <w:r w:rsidRPr="00150EDC">
        <w:rPr>
          <w:rFonts w:ascii="Calibri"/>
          <w:spacing w:val="-2"/>
          <w:sz w:val="24"/>
        </w:rPr>
        <w:t xml:space="preserve"> </w:t>
      </w:r>
      <w:r w:rsidRPr="00150EDC">
        <w:rPr>
          <w:rFonts w:ascii="Calibri"/>
          <w:sz w:val="24"/>
        </w:rPr>
        <w:t>agree</w:t>
      </w:r>
      <w:r w:rsidRPr="00150EDC">
        <w:rPr>
          <w:rFonts w:ascii="Calibri"/>
          <w:spacing w:val="-2"/>
          <w:sz w:val="24"/>
        </w:rPr>
        <w:t xml:space="preserve"> </w:t>
      </w:r>
      <w:r w:rsidRPr="00150EDC">
        <w:rPr>
          <w:rFonts w:ascii="Calibri"/>
          <w:sz w:val="24"/>
        </w:rPr>
        <w:t>any</w:t>
      </w:r>
      <w:r w:rsidRPr="00150EDC">
        <w:rPr>
          <w:rFonts w:ascii="Calibri"/>
          <w:spacing w:val="-3"/>
          <w:sz w:val="24"/>
        </w:rPr>
        <w:t xml:space="preserve"> </w:t>
      </w:r>
      <w:r w:rsidRPr="00150EDC">
        <w:rPr>
          <w:rFonts w:ascii="Calibri"/>
          <w:sz w:val="24"/>
        </w:rPr>
        <w:t>necessary</w:t>
      </w:r>
      <w:r w:rsidRPr="00150EDC">
        <w:rPr>
          <w:rFonts w:ascii="Calibri"/>
          <w:spacing w:val="-5"/>
          <w:sz w:val="24"/>
        </w:rPr>
        <w:t xml:space="preserve"> </w:t>
      </w:r>
      <w:r w:rsidRPr="00150EDC">
        <w:rPr>
          <w:rFonts w:ascii="Calibri"/>
          <w:sz w:val="24"/>
        </w:rPr>
        <w:t>Variation</w:t>
      </w:r>
      <w:r w:rsidRPr="00150EDC">
        <w:rPr>
          <w:rFonts w:ascii="Calibri"/>
          <w:spacing w:val="-4"/>
          <w:sz w:val="24"/>
        </w:rPr>
        <w:t xml:space="preserve"> </w:t>
      </w:r>
      <w:r w:rsidRPr="00150EDC">
        <w:rPr>
          <w:rFonts w:ascii="Calibri"/>
          <w:sz w:val="24"/>
        </w:rPr>
        <w:t>required</w:t>
      </w:r>
      <w:r w:rsidRPr="00150EDC">
        <w:rPr>
          <w:rFonts w:ascii="Calibri"/>
          <w:spacing w:val="-4"/>
          <w:sz w:val="24"/>
        </w:rPr>
        <w:t xml:space="preserve"> </w:t>
      </w:r>
      <w:r w:rsidRPr="00150EDC">
        <w:rPr>
          <w:rFonts w:ascii="Calibri"/>
          <w:sz w:val="24"/>
        </w:rPr>
        <w:t>by</w:t>
      </w:r>
      <w:r w:rsidRPr="00150EDC">
        <w:rPr>
          <w:rFonts w:ascii="Calibri"/>
          <w:spacing w:val="-3"/>
          <w:sz w:val="24"/>
        </w:rPr>
        <w:t xml:space="preserve"> </w:t>
      </w:r>
      <w:r w:rsidRPr="00150EDC">
        <w:rPr>
          <w:rFonts w:ascii="Calibri"/>
          <w:sz w:val="24"/>
        </w:rPr>
        <w:t>Clause</w:t>
      </w:r>
      <w:r w:rsidRPr="00150EDC">
        <w:rPr>
          <w:rFonts w:ascii="Calibri"/>
          <w:spacing w:val="-5"/>
          <w:sz w:val="24"/>
        </w:rPr>
        <w:t xml:space="preserve"> </w:t>
      </w:r>
      <w:r w:rsidRPr="00150EDC">
        <w:rPr>
          <w:rFonts w:ascii="Calibri"/>
          <w:sz w:val="24"/>
        </w:rPr>
        <w:t>10.7</w:t>
      </w:r>
      <w:r w:rsidRPr="00150EDC">
        <w:rPr>
          <w:rFonts w:ascii="Calibri"/>
          <w:spacing w:val="-5"/>
          <w:sz w:val="24"/>
        </w:rPr>
        <w:t xml:space="preserve"> </w:t>
      </w:r>
      <w:r w:rsidRPr="00150EDC">
        <w:rPr>
          <w:rFonts w:ascii="Calibri"/>
          <w:sz w:val="24"/>
        </w:rPr>
        <w:t>using</w:t>
      </w:r>
      <w:r w:rsidRPr="00150EDC">
        <w:rPr>
          <w:rFonts w:ascii="Calibri"/>
          <w:spacing w:val="-3"/>
          <w:sz w:val="24"/>
        </w:rPr>
        <w:t xml:space="preserve"> </w:t>
      </w:r>
      <w:r w:rsidRPr="00150EDC">
        <w:rPr>
          <w:rFonts w:ascii="Calibri"/>
          <w:sz w:val="24"/>
        </w:rPr>
        <w:t>the</w:t>
      </w:r>
      <w:r w:rsidRPr="00150EDC">
        <w:rPr>
          <w:rFonts w:ascii="Calibri"/>
          <w:spacing w:val="-4"/>
          <w:sz w:val="24"/>
        </w:rPr>
        <w:t xml:space="preserve"> </w:t>
      </w:r>
      <w:r w:rsidRPr="00150EDC">
        <w:rPr>
          <w:rFonts w:ascii="Calibri"/>
          <w:sz w:val="24"/>
        </w:rPr>
        <w:t>Variation</w:t>
      </w:r>
      <w:r w:rsidRPr="00150EDC">
        <w:rPr>
          <w:rFonts w:ascii="Calibri"/>
          <w:spacing w:val="-4"/>
          <w:sz w:val="24"/>
        </w:rPr>
        <w:t xml:space="preserve"> </w:t>
      </w:r>
      <w:r w:rsidRPr="00150EDC">
        <w:rPr>
          <w:rFonts w:ascii="Calibri"/>
          <w:sz w:val="24"/>
        </w:rPr>
        <w:t>Procedure, but the Supplier may not either:</w:t>
      </w:r>
    </w:p>
    <w:p w14:paraId="0F00D01C" w14:textId="77777777" w:rsidR="004C7180" w:rsidRPr="00150EDC" w:rsidRDefault="004C7180">
      <w:pPr>
        <w:pStyle w:val="BodyText"/>
        <w:spacing w:before="3"/>
        <w:rPr>
          <w:rFonts w:ascii="Calibri"/>
          <w:sz w:val="27"/>
        </w:rPr>
      </w:pPr>
    </w:p>
    <w:p w14:paraId="2D3C7905" w14:textId="77777777" w:rsidR="004C7180" w:rsidRPr="00150EDC" w:rsidRDefault="00CF0754" w:rsidP="00B320C7">
      <w:pPr>
        <w:pStyle w:val="ListParagraph"/>
        <w:numPr>
          <w:ilvl w:val="3"/>
          <w:numId w:val="182"/>
        </w:numPr>
        <w:tabs>
          <w:tab w:val="left" w:pos="1491"/>
        </w:tabs>
        <w:ind w:left="1491" w:hanging="425"/>
        <w:rPr>
          <w:rFonts w:ascii="Calibri"/>
          <w:sz w:val="24"/>
        </w:rPr>
      </w:pPr>
      <w:r w:rsidRPr="00150EDC">
        <w:rPr>
          <w:rFonts w:ascii="Calibri"/>
          <w:sz w:val="24"/>
        </w:rPr>
        <w:t>reject</w:t>
      </w:r>
      <w:r w:rsidRPr="00150EDC">
        <w:rPr>
          <w:rFonts w:ascii="Calibri"/>
          <w:spacing w:val="-3"/>
          <w:sz w:val="24"/>
        </w:rPr>
        <w:t xml:space="preserve"> </w:t>
      </w:r>
      <w:r w:rsidRPr="00150EDC">
        <w:rPr>
          <w:rFonts w:ascii="Calibri"/>
          <w:sz w:val="24"/>
        </w:rPr>
        <w:t>the</w:t>
      </w:r>
      <w:r w:rsidRPr="00150EDC">
        <w:rPr>
          <w:rFonts w:ascii="Calibri"/>
          <w:spacing w:val="-2"/>
          <w:sz w:val="24"/>
        </w:rPr>
        <w:t xml:space="preserve"> </w:t>
      </w:r>
      <w:r w:rsidRPr="00150EDC">
        <w:rPr>
          <w:rFonts w:ascii="Calibri"/>
          <w:sz w:val="24"/>
        </w:rPr>
        <w:t>Variation;</w:t>
      </w:r>
      <w:r w:rsidRPr="00150EDC">
        <w:rPr>
          <w:rFonts w:ascii="Calibri"/>
          <w:spacing w:val="-2"/>
          <w:sz w:val="24"/>
        </w:rPr>
        <w:t xml:space="preserve"> </w:t>
      </w:r>
      <w:r w:rsidRPr="00150EDC">
        <w:rPr>
          <w:rFonts w:ascii="Calibri"/>
          <w:spacing w:val="-5"/>
          <w:sz w:val="24"/>
        </w:rPr>
        <w:t>or</w:t>
      </w:r>
    </w:p>
    <w:p w14:paraId="03FB8D29" w14:textId="77777777" w:rsidR="004C7180" w:rsidRPr="00150EDC" w:rsidRDefault="00CF0754" w:rsidP="00B320C7">
      <w:pPr>
        <w:pStyle w:val="ListParagraph"/>
        <w:numPr>
          <w:ilvl w:val="3"/>
          <w:numId w:val="182"/>
        </w:numPr>
        <w:tabs>
          <w:tab w:val="left" w:pos="1491"/>
        </w:tabs>
        <w:spacing w:before="19"/>
        <w:ind w:left="1491" w:hanging="425"/>
        <w:rPr>
          <w:rFonts w:ascii="Calibri"/>
          <w:sz w:val="24"/>
        </w:rPr>
      </w:pPr>
      <w:r w:rsidRPr="00150EDC">
        <w:rPr>
          <w:rFonts w:ascii="Calibri"/>
          <w:sz w:val="24"/>
        </w:rPr>
        <w:t>increase</w:t>
      </w:r>
      <w:r w:rsidRPr="00150EDC">
        <w:rPr>
          <w:rFonts w:ascii="Calibri"/>
          <w:spacing w:val="-6"/>
          <w:sz w:val="24"/>
        </w:rPr>
        <w:t xml:space="preserve"> </w:t>
      </w:r>
      <w:r w:rsidRPr="00150EDC">
        <w:rPr>
          <w:rFonts w:ascii="Calibri"/>
          <w:sz w:val="24"/>
        </w:rPr>
        <w:t>the</w:t>
      </w:r>
      <w:r w:rsidRPr="00150EDC">
        <w:rPr>
          <w:rFonts w:ascii="Calibri"/>
          <w:spacing w:val="-4"/>
          <w:sz w:val="24"/>
        </w:rPr>
        <w:t xml:space="preserve"> </w:t>
      </w:r>
      <w:r w:rsidRPr="00150EDC">
        <w:rPr>
          <w:rFonts w:ascii="Calibri"/>
          <w:sz w:val="24"/>
        </w:rPr>
        <w:t>Charges,</w:t>
      </w:r>
      <w:r w:rsidRPr="00150EDC">
        <w:rPr>
          <w:rFonts w:ascii="Calibri"/>
          <w:spacing w:val="-5"/>
          <w:sz w:val="24"/>
        </w:rPr>
        <w:t xml:space="preserve"> </w:t>
      </w:r>
      <w:r w:rsidRPr="00150EDC">
        <w:rPr>
          <w:rFonts w:ascii="Calibri"/>
          <w:sz w:val="24"/>
        </w:rPr>
        <w:t>except</w:t>
      </w:r>
      <w:r w:rsidRPr="00150EDC">
        <w:rPr>
          <w:rFonts w:ascii="Calibri"/>
          <w:spacing w:val="-1"/>
          <w:sz w:val="24"/>
        </w:rPr>
        <w:t xml:space="preserve"> </w:t>
      </w:r>
      <w:r w:rsidRPr="00150EDC">
        <w:rPr>
          <w:rFonts w:ascii="Calibri"/>
          <w:sz w:val="24"/>
        </w:rPr>
        <w:t>where</w:t>
      </w:r>
      <w:r w:rsidRPr="00150EDC">
        <w:rPr>
          <w:rFonts w:ascii="Calibri"/>
          <w:spacing w:val="-3"/>
          <w:sz w:val="24"/>
        </w:rPr>
        <w:t xml:space="preserve"> </w:t>
      </w:r>
      <w:r w:rsidRPr="00150EDC">
        <w:rPr>
          <w:rFonts w:ascii="Calibri"/>
          <w:sz w:val="24"/>
        </w:rPr>
        <w:t>the</w:t>
      </w:r>
      <w:r w:rsidRPr="00150EDC">
        <w:rPr>
          <w:rFonts w:ascii="Calibri"/>
          <w:spacing w:val="-5"/>
          <w:sz w:val="24"/>
        </w:rPr>
        <w:t xml:space="preserve"> </w:t>
      </w:r>
      <w:r w:rsidRPr="00150EDC">
        <w:rPr>
          <w:rFonts w:ascii="Calibri"/>
          <w:sz w:val="24"/>
        </w:rPr>
        <w:t>right</w:t>
      </w:r>
      <w:r w:rsidRPr="00150EDC">
        <w:rPr>
          <w:rFonts w:ascii="Calibri"/>
          <w:spacing w:val="-3"/>
          <w:sz w:val="24"/>
        </w:rPr>
        <w:t xml:space="preserve"> </w:t>
      </w:r>
      <w:r w:rsidRPr="00150EDC">
        <w:rPr>
          <w:rFonts w:ascii="Calibri"/>
          <w:sz w:val="24"/>
        </w:rPr>
        <w:t>to</w:t>
      </w:r>
      <w:r w:rsidRPr="00150EDC">
        <w:rPr>
          <w:rFonts w:ascii="Calibri"/>
          <w:spacing w:val="-4"/>
          <w:sz w:val="24"/>
        </w:rPr>
        <w:t xml:space="preserve"> </w:t>
      </w:r>
      <w:r w:rsidRPr="00150EDC">
        <w:rPr>
          <w:rFonts w:ascii="Calibri"/>
          <w:sz w:val="24"/>
        </w:rPr>
        <w:t>partial</w:t>
      </w:r>
      <w:r w:rsidRPr="00150EDC">
        <w:rPr>
          <w:rFonts w:ascii="Calibri"/>
          <w:spacing w:val="-4"/>
          <w:sz w:val="24"/>
        </w:rPr>
        <w:t xml:space="preserve"> </w:t>
      </w:r>
      <w:r w:rsidRPr="00150EDC">
        <w:rPr>
          <w:rFonts w:ascii="Calibri"/>
          <w:sz w:val="24"/>
        </w:rPr>
        <w:t>termination</w:t>
      </w:r>
      <w:r w:rsidRPr="00150EDC">
        <w:rPr>
          <w:rFonts w:ascii="Calibri"/>
          <w:spacing w:val="-3"/>
          <w:sz w:val="24"/>
        </w:rPr>
        <w:t xml:space="preserve"> </w:t>
      </w:r>
      <w:r w:rsidRPr="00150EDC">
        <w:rPr>
          <w:rFonts w:ascii="Calibri"/>
          <w:sz w:val="24"/>
        </w:rPr>
        <w:t>is</w:t>
      </w:r>
      <w:r w:rsidRPr="00150EDC">
        <w:rPr>
          <w:rFonts w:ascii="Calibri"/>
          <w:spacing w:val="-3"/>
          <w:sz w:val="24"/>
        </w:rPr>
        <w:t xml:space="preserve"> </w:t>
      </w:r>
      <w:r w:rsidRPr="00150EDC">
        <w:rPr>
          <w:rFonts w:ascii="Calibri"/>
          <w:sz w:val="24"/>
        </w:rPr>
        <w:t>under</w:t>
      </w:r>
      <w:r w:rsidRPr="00150EDC">
        <w:rPr>
          <w:rFonts w:ascii="Calibri"/>
          <w:spacing w:val="-1"/>
          <w:sz w:val="24"/>
        </w:rPr>
        <w:t xml:space="preserve"> </w:t>
      </w:r>
      <w:r w:rsidRPr="00150EDC">
        <w:rPr>
          <w:rFonts w:ascii="Calibri"/>
          <w:sz w:val="24"/>
        </w:rPr>
        <w:t>Clause</w:t>
      </w:r>
      <w:r w:rsidRPr="00150EDC">
        <w:rPr>
          <w:rFonts w:ascii="Calibri"/>
          <w:spacing w:val="-4"/>
          <w:sz w:val="24"/>
        </w:rPr>
        <w:t xml:space="preserve"> </w:t>
      </w:r>
      <w:r w:rsidRPr="00150EDC">
        <w:rPr>
          <w:rFonts w:ascii="Calibri"/>
          <w:spacing w:val="-2"/>
          <w:sz w:val="24"/>
        </w:rPr>
        <w:t>10.2.</w:t>
      </w:r>
    </w:p>
    <w:p w14:paraId="6463174A" w14:textId="77777777" w:rsidR="004C7180" w:rsidRPr="00150EDC" w:rsidRDefault="004C7180">
      <w:pPr>
        <w:pStyle w:val="BodyText"/>
        <w:spacing w:before="4"/>
        <w:rPr>
          <w:rFonts w:ascii="Calibri"/>
          <w:sz w:val="27"/>
        </w:rPr>
      </w:pPr>
    </w:p>
    <w:p w14:paraId="488150F7" w14:textId="77777777" w:rsidR="004C7180" w:rsidRPr="00150EDC" w:rsidRDefault="00CF0754" w:rsidP="00B320C7">
      <w:pPr>
        <w:pStyle w:val="ListParagraph"/>
        <w:numPr>
          <w:ilvl w:val="2"/>
          <w:numId w:val="182"/>
        </w:numPr>
        <w:tabs>
          <w:tab w:val="left" w:pos="1208"/>
        </w:tabs>
        <w:ind w:right="682" w:hanging="720"/>
        <w:rPr>
          <w:rFonts w:ascii="Calibri"/>
          <w:sz w:val="24"/>
        </w:rPr>
      </w:pPr>
      <w:r w:rsidRPr="00150EDC">
        <w:rPr>
          <w:rFonts w:ascii="Calibri"/>
          <w:sz w:val="24"/>
        </w:rPr>
        <w:t>The</w:t>
      </w:r>
      <w:r w:rsidRPr="00150EDC">
        <w:rPr>
          <w:rFonts w:ascii="Calibri"/>
          <w:spacing w:val="-1"/>
          <w:sz w:val="24"/>
        </w:rPr>
        <w:t xml:space="preserve"> </w:t>
      </w:r>
      <w:r w:rsidRPr="00150EDC">
        <w:rPr>
          <w:rFonts w:ascii="Calibri"/>
          <w:sz w:val="24"/>
        </w:rPr>
        <w:t>Buyer</w:t>
      </w:r>
      <w:r w:rsidRPr="00150EDC">
        <w:rPr>
          <w:rFonts w:ascii="Calibri"/>
          <w:spacing w:val="-1"/>
          <w:sz w:val="24"/>
        </w:rPr>
        <w:t xml:space="preserve"> </w:t>
      </w:r>
      <w:r w:rsidRPr="00150EDC">
        <w:rPr>
          <w:rFonts w:ascii="Calibri"/>
          <w:sz w:val="24"/>
        </w:rPr>
        <w:t>can</w:t>
      </w:r>
      <w:r w:rsidRPr="00150EDC">
        <w:rPr>
          <w:rFonts w:ascii="Calibri"/>
          <w:spacing w:val="-3"/>
          <w:sz w:val="24"/>
        </w:rPr>
        <w:t xml:space="preserve"> </w:t>
      </w:r>
      <w:r w:rsidRPr="00150EDC">
        <w:rPr>
          <w:rFonts w:ascii="Calibri"/>
          <w:sz w:val="24"/>
        </w:rPr>
        <w:t>still</w:t>
      </w:r>
      <w:r w:rsidRPr="00150EDC">
        <w:rPr>
          <w:rFonts w:ascii="Calibri"/>
          <w:spacing w:val="-4"/>
          <w:sz w:val="24"/>
        </w:rPr>
        <w:t xml:space="preserve"> </w:t>
      </w:r>
      <w:r w:rsidRPr="00150EDC">
        <w:rPr>
          <w:rFonts w:ascii="Calibri"/>
          <w:sz w:val="24"/>
        </w:rPr>
        <w:t>use</w:t>
      </w:r>
      <w:r w:rsidRPr="00150EDC">
        <w:rPr>
          <w:rFonts w:ascii="Calibri"/>
          <w:spacing w:val="-4"/>
          <w:sz w:val="24"/>
        </w:rPr>
        <w:t xml:space="preserve"> </w:t>
      </w:r>
      <w:r w:rsidRPr="00150EDC">
        <w:rPr>
          <w:rFonts w:ascii="Calibri"/>
          <w:sz w:val="24"/>
        </w:rPr>
        <w:t>other</w:t>
      </w:r>
      <w:r w:rsidRPr="00150EDC">
        <w:rPr>
          <w:rFonts w:ascii="Calibri"/>
          <w:spacing w:val="-1"/>
          <w:sz w:val="24"/>
        </w:rPr>
        <w:t xml:space="preserve"> </w:t>
      </w:r>
      <w:r w:rsidRPr="00150EDC">
        <w:rPr>
          <w:rFonts w:ascii="Calibri"/>
          <w:sz w:val="24"/>
        </w:rPr>
        <w:t>rights</w:t>
      </w:r>
      <w:r w:rsidRPr="00150EDC">
        <w:rPr>
          <w:rFonts w:ascii="Calibri"/>
          <w:spacing w:val="-4"/>
          <w:sz w:val="24"/>
        </w:rPr>
        <w:t xml:space="preserve"> </w:t>
      </w:r>
      <w:r w:rsidRPr="00150EDC">
        <w:rPr>
          <w:rFonts w:ascii="Calibri"/>
          <w:sz w:val="24"/>
        </w:rPr>
        <w:t>available,</w:t>
      </w:r>
      <w:r w:rsidRPr="00150EDC">
        <w:rPr>
          <w:rFonts w:ascii="Calibri"/>
          <w:spacing w:val="-1"/>
          <w:sz w:val="24"/>
        </w:rPr>
        <w:t xml:space="preserve"> </w:t>
      </w:r>
      <w:r w:rsidRPr="00150EDC">
        <w:rPr>
          <w:rFonts w:ascii="Calibri"/>
          <w:sz w:val="24"/>
        </w:rPr>
        <w:t>or</w:t>
      </w:r>
      <w:r w:rsidRPr="00150EDC">
        <w:rPr>
          <w:rFonts w:ascii="Calibri"/>
          <w:spacing w:val="-3"/>
          <w:sz w:val="24"/>
        </w:rPr>
        <w:t xml:space="preserve"> </w:t>
      </w:r>
      <w:r w:rsidRPr="00150EDC">
        <w:rPr>
          <w:rFonts w:ascii="Calibri"/>
          <w:sz w:val="24"/>
        </w:rPr>
        <w:t>subsequently</w:t>
      </w:r>
      <w:r w:rsidRPr="00150EDC">
        <w:rPr>
          <w:rFonts w:ascii="Calibri"/>
          <w:spacing w:val="-2"/>
          <w:sz w:val="24"/>
        </w:rPr>
        <w:t xml:space="preserve"> </w:t>
      </w:r>
      <w:r w:rsidRPr="00150EDC">
        <w:rPr>
          <w:rFonts w:ascii="Calibri"/>
          <w:sz w:val="24"/>
        </w:rPr>
        <w:t>available</w:t>
      </w:r>
      <w:r w:rsidRPr="00150EDC">
        <w:rPr>
          <w:rFonts w:ascii="Calibri"/>
          <w:spacing w:val="-3"/>
          <w:sz w:val="24"/>
        </w:rPr>
        <w:t xml:space="preserve"> </w:t>
      </w:r>
      <w:r w:rsidRPr="00150EDC">
        <w:rPr>
          <w:rFonts w:ascii="Calibri"/>
          <w:sz w:val="24"/>
        </w:rPr>
        <w:t>to</w:t>
      </w:r>
      <w:r w:rsidRPr="00150EDC">
        <w:rPr>
          <w:rFonts w:ascii="Calibri"/>
          <w:spacing w:val="-1"/>
          <w:sz w:val="24"/>
        </w:rPr>
        <w:t xml:space="preserve"> </w:t>
      </w:r>
      <w:r w:rsidRPr="00150EDC">
        <w:rPr>
          <w:rFonts w:ascii="Calibri"/>
          <w:sz w:val="24"/>
        </w:rPr>
        <w:t>it</w:t>
      </w:r>
      <w:r w:rsidRPr="00150EDC">
        <w:rPr>
          <w:rFonts w:ascii="Calibri"/>
          <w:spacing w:val="-3"/>
          <w:sz w:val="24"/>
        </w:rPr>
        <w:t xml:space="preserve"> </w:t>
      </w:r>
      <w:r w:rsidRPr="00150EDC">
        <w:rPr>
          <w:rFonts w:ascii="Calibri"/>
          <w:sz w:val="24"/>
        </w:rPr>
        <w:t>if</w:t>
      </w:r>
      <w:r w:rsidRPr="00150EDC">
        <w:rPr>
          <w:rFonts w:ascii="Calibri"/>
          <w:spacing w:val="-1"/>
          <w:sz w:val="24"/>
        </w:rPr>
        <w:t xml:space="preserve"> </w:t>
      </w:r>
      <w:r w:rsidRPr="00150EDC">
        <w:rPr>
          <w:rFonts w:ascii="Calibri"/>
          <w:sz w:val="24"/>
        </w:rPr>
        <w:t>it</w:t>
      </w:r>
      <w:r w:rsidRPr="00150EDC">
        <w:rPr>
          <w:rFonts w:ascii="Calibri"/>
          <w:spacing w:val="-1"/>
          <w:sz w:val="24"/>
        </w:rPr>
        <w:t xml:space="preserve"> </w:t>
      </w:r>
      <w:r w:rsidRPr="00150EDC">
        <w:rPr>
          <w:rFonts w:ascii="Calibri"/>
          <w:sz w:val="24"/>
        </w:rPr>
        <w:t>acts</w:t>
      </w:r>
      <w:r w:rsidRPr="00150EDC">
        <w:rPr>
          <w:rFonts w:ascii="Calibri"/>
          <w:spacing w:val="-2"/>
          <w:sz w:val="24"/>
        </w:rPr>
        <w:t xml:space="preserve"> </w:t>
      </w:r>
      <w:r w:rsidRPr="00150EDC">
        <w:rPr>
          <w:rFonts w:ascii="Calibri"/>
          <w:sz w:val="24"/>
        </w:rPr>
        <w:t>on</w:t>
      </w:r>
      <w:r w:rsidRPr="00150EDC">
        <w:rPr>
          <w:rFonts w:ascii="Calibri"/>
          <w:spacing w:val="-1"/>
          <w:sz w:val="24"/>
        </w:rPr>
        <w:t xml:space="preserve"> </w:t>
      </w:r>
      <w:r w:rsidRPr="00150EDC">
        <w:rPr>
          <w:rFonts w:ascii="Calibri"/>
          <w:sz w:val="24"/>
        </w:rPr>
        <w:t>its</w:t>
      </w:r>
      <w:r w:rsidRPr="00150EDC">
        <w:rPr>
          <w:rFonts w:ascii="Calibri"/>
          <w:spacing w:val="-4"/>
          <w:sz w:val="24"/>
        </w:rPr>
        <w:t xml:space="preserve"> </w:t>
      </w:r>
      <w:r w:rsidRPr="00150EDC">
        <w:rPr>
          <w:rFonts w:ascii="Calibri"/>
          <w:sz w:val="24"/>
        </w:rPr>
        <w:t>rights</w:t>
      </w:r>
      <w:r w:rsidRPr="00150EDC">
        <w:rPr>
          <w:rFonts w:ascii="Calibri"/>
          <w:spacing w:val="-4"/>
          <w:sz w:val="24"/>
        </w:rPr>
        <w:t xml:space="preserve"> </w:t>
      </w:r>
      <w:r w:rsidRPr="00150EDC">
        <w:rPr>
          <w:rFonts w:ascii="Calibri"/>
          <w:sz w:val="24"/>
        </w:rPr>
        <w:t>under Clause 10.7.</w:t>
      </w:r>
    </w:p>
    <w:p w14:paraId="240C00D4" w14:textId="77777777" w:rsidR="004C7180" w:rsidRPr="00150EDC" w:rsidRDefault="004C7180">
      <w:pPr>
        <w:pStyle w:val="BodyText"/>
        <w:spacing w:before="2"/>
        <w:rPr>
          <w:rFonts w:ascii="Calibri"/>
        </w:rPr>
      </w:pPr>
    </w:p>
    <w:p w14:paraId="7B888A79" w14:textId="77777777" w:rsidR="004C7180" w:rsidRPr="00150EDC" w:rsidRDefault="00CF0754" w:rsidP="00B320C7">
      <w:pPr>
        <w:pStyle w:val="ListParagraph"/>
        <w:numPr>
          <w:ilvl w:val="1"/>
          <w:numId w:val="182"/>
        </w:numPr>
        <w:tabs>
          <w:tab w:val="left" w:pos="1065"/>
        </w:tabs>
        <w:spacing w:before="1"/>
        <w:ind w:left="1065" w:hanging="565"/>
        <w:rPr>
          <w:rFonts w:ascii="Calibri"/>
          <w:b/>
          <w:sz w:val="28"/>
        </w:rPr>
      </w:pPr>
      <w:r w:rsidRPr="00150EDC">
        <w:rPr>
          <w:rFonts w:ascii="Calibri"/>
          <w:b/>
          <w:sz w:val="28"/>
        </w:rPr>
        <w:t>When</w:t>
      </w:r>
      <w:r w:rsidRPr="00150EDC">
        <w:rPr>
          <w:rFonts w:ascii="Calibri"/>
          <w:b/>
          <w:spacing w:val="-5"/>
          <w:sz w:val="28"/>
        </w:rPr>
        <w:t xml:space="preserve"> </w:t>
      </w:r>
      <w:r w:rsidRPr="00150EDC">
        <w:rPr>
          <w:rFonts w:ascii="Calibri"/>
          <w:b/>
          <w:sz w:val="28"/>
        </w:rPr>
        <w:t>subcontracts</w:t>
      </w:r>
      <w:r w:rsidRPr="00150EDC">
        <w:rPr>
          <w:rFonts w:ascii="Calibri"/>
          <w:b/>
          <w:spacing w:val="-3"/>
          <w:sz w:val="28"/>
        </w:rPr>
        <w:t xml:space="preserve"> </w:t>
      </w:r>
      <w:r w:rsidRPr="00150EDC">
        <w:rPr>
          <w:rFonts w:ascii="Calibri"/>
          <w:b/>
          <w:sz w:val="28"/>
        </w:rPr>
        <w:t>can</w:t>
      </w:r>
      <w:r w:rsidRPr="00150EDC">
        <w:rPr>
          <w:rFonts w:ascii="Calibri"/>
          <w:b/>
          <w:spacing w:val="-3"/>
          <w:sz w:val="28"/>
        </w:rPr>
        <w:t xml:space="preserve"> </w:t>
      </w:r>
      <w:r w:rsidRPr="00150EDC">
        <w:rPr>
          <w:rFonts w:ascii="Calibri"/>
          <w:b/>
          <w:sz w:val="28"/>
        </w:rPr>
        <w:t>be</w:t>
      </w:r>
      <w:r w:rsidRPr="00150EDC">
        <w:rPr>
          <w:rFonts w:ascii="Calibri"/>
          <w:b/>
          <w:spacing w:val="-3"/>
          <w:sz w:val="28"/>
        </w:rPr>
        <w:t xml:space="preserve"> </w:t>
      </w:r>
      <w:r w:rsidRPr="00150EDC">
        <w:rPr>
          <w:rFonts w:ascii="Calibri"/>
          <w:b/>
          <w:spacing w:val="-2"/>
          <w:sz w:val="28"/>
        </w:rPr>
        <w:t>ended</w:t>
      </w:r>
    </w:p>
    <w:p w14:paraId="40352C68" w14:textId="77777777" w:rsidR="004C7180" w:rsidRPr="00150EDC" w:rsidRDefault="00CF0754">
      <w:pPr>
        <w:pStyle w:val="BodyText"/>
        <w:spacing w:before="17"/>
        <w:ind w:left="1284"/>
        <w:rPr>
          <w:rFonts w:ascii="Calibri" w:hAnsi="Calibri"/>
        </w:rPr>
      </w:pPr>
      <w:r w:rsidRPr="00150EDC">
        <w:rPr>
          <w:rFonts w:ascii="Calibri" w:hAnsi="Calibri"/>
        </w:rPr>
        <w:t>At</w:t>
      </w:r>
      <w:r w:rsidRPr="00150EDC">
        <w:rPr>
          <w:rFonts w:ascii="Calibri" w:hAnsi="Calibri"/>
          <w:spacing w:val="-6"/>
        </w:rPr>
        <w:t xml:space="preserve"> </w:t>
      </w:r>
      <w:r w:rsidRPr="00150EDC">
        <w:rPr>
          <w:rFonts w:ascii="Calibri" w:hAnsi="Calibri"/>
        </w:rPr>
        <w:t>the</w:t>
      </w:r>
      <w:r w:rsidRPr="00150EDC">
        <w:rPr>
          <w:rFonts w:ascii="Calibri" w:hAnsi="Calibri"/>
          <w:spacing w:val="-5"/>
        </w:rPr>
        <w:t xml:space="preserve"> </w:t>
      </w:r>
      <w:r w:rsidRPr="00150EDC">
        <w:rPr>
          <w:rFonts w:ascii="Calibri" w:hAnsi="Calibri"/>
        </w:rPr>
        <w:t>Buyer’s</w:t>
      </w:r>
      <w:r w:rsidRPr="00150EDC">
        <w:rPr>
          <w:rFonts w:ascii="Calibri" w:hAnsi="Calibri"/>
          <w:spacing w:val="-2"/>
        </w:rPr>
        <w:t xml:space="preserve"> </w:t>
      </w:r>
      <w:r w:rsidRPr="00150EDC">
        <w:rPr>
          <w:rFonts w:ascii="Calibri" w:hAnsi="Calibri"/>
        </w:rPr>
        <w:t>request,</w:t>
      </w:r>
      <w:r w:rsidRPr="00150EDC">
        <w:rPr>
          <w:rFonts w:ascii="Calibri" w:hAnsi="Calibri"/>
          <w:spacing w:val="-5"/>
        </w:rPr>
        <w:t xml:space="preserve"> </w:t>
      </w:r>
      <w:r w:rsidRPr="00150EDC">
        <w:rPr>
          <w:rFonts w:ascii="Calibri" w:hAnsi="Calibri"/>
        </w:rPr>
        <w:t>the</w:t>
      </w:r>
      <w:r w:rsidRPr="00150EDC">
        <w:rPr>
          <w:rFonts w:ascii="Calibri" w:hAnsi="Calibri"/>
          <w:spacing w:val="-2"/>
        </w:rPr>
        <w:t xml:space="preserve"> </w:t>
      </w:r>
      <w:r w:rsidRPr="00150EDC">
        <w:rPr>
          <w:rFonts w:ascii="Calibri" w:hAnsi="Calibri"/>
        </w:rPr>
        <w:t>Supplier</w:t>
      </w:r>
      <w:r w:rsidRPr="00150EDC">
        <w:rPr>
          <w:rFonts w:ascii="Calibri" w:hAnsi="Calibri"/>
          <w:spacing w:val="-2"/>
        </w:rPr>
        <w:t xml:space="preserve"> </w:t>
      </w:r>
      <w:r w:rsidRPr="00150EDC">
        <w:rPr>
          <w:rFonts w:ascii="Calibri" w:hAnsi="Calibri"/>
        </w:rPr>
        <w:t>must</w:t>
      </w:r>
      <w:r w:rsidRPr="00150EDC">
        <w:rPr>
          <w:rFonts w:ascii="Calibri" w:hAnsi="Calibri"/>
          <w:spacing w:val="-3"/>
        </w:rPr>
        <w:t xml:space="preserve"> </w:t>
      </w:r>
      <w:r w:rsidRPr="00150EDC">
        <w:rPr>
          <w:rFonts w:ascii="Calibri" w:hAnsi="Calibri"/>
        </w:rPr>
        <w:t>terminate</w:t>
      </w:r>
      <w:r w:rsidRPr="00150EDC">
        <w:rPr>
          <w:rFonts w:ascii="Calibri" w:hAnsi="Calibri"/>
          <w:spacing w:val="-2"/>
        </w:rPr>
        <w:t xml:space="preserve"> </w:t>
      </w:r>
      <w:r w:rsidRPr="00150EDC">
        <w:rPr>
          <w:rFonts w:ascii="Calibri" w:hAnsi="Calibri"/>
        </w:rPr>
        <w:t>any</w:t>
      </w:r>
      <w:r w:rsidRPr="00150EDC">
        <w:rPr>
          <w:rFonts w:ascii="Calibri" w:hAnsi="Calibri"/>
          <w:spacing w:val="-3"/>
        </w:rPr>
        <w:t xml:space="preserve"> </w:t>
      </w:r>
      <w:r w:rsidRPr="00150EDC">
        <w:rPr>
          <w:rFonts w:ascii="Calibri" w:hAnsi="Calibri"/>
        </w:rPr>
        <w:t>Subcontracts</w:t>
      </w:r>
      <w:r w:rsidRPr="00150EDC">
        <w:rPr>
          <w:rFonts w:ascii="Calibri" w:hAnsi="Calibri"/>
          <w:spacing w:val="-4"/>
        </w:rPr>
        <w:t xml:space="preserve"> </w:t>
      </w:r>
      <w:r w:rsidRPr="00150EDC">
        <w:rPr>
          <w:rFonts w:ascii="Calibri" w:hAnsi="Calibri"/>
        </w:rPr>
        <w:t>in</w:t>
      </w:r>
      <w:r w:rsidRPr="00150EDC">
        <w:rPr>
          <w:rFonts w:ascii="Calibri" w:hAnsi="Calibri"/>
          <w:spacing w:val="-4"/>
        </w:rPr>
        <w:t xml:space="preserve"> </w:t>
      </w:r>
      <w:r w:rsidRPr="00150EDC">
        <w:rPr>
          <w:rFonts w:ascii="Calibri" w:hAnsi="Calibri"/>
        </w:rPr>
        <w:t>any</w:t>
      </w:r>
      <w:r w:rsidRPr="00150EDC">
        <w:rPr>
          <w:rFonts w:ascii="Calibri" w:hAnsi="Calibri"/>
          <w:spacing w:val="-3"/>
        </w:rPr>
        <w:t xml:space="preserve"> </w:t>
      </w:r>
      <w:r w:rsidRPr="00150EDC">
        <w:rPr>
          <w:rFonts w:ascii="Calibri" w:hAnsi="Calibri"/>
        </w:rPr>
        <w:t>of</w:t>
      </w:r>
      <w:r w:rsidRPr="00150EDC">
        <w:rPr>
          <w:rFonts w:ascii="Calibri" w:hAnsi="Calibri"/>
          <w:spacing w:val="-3"/>
        </w:rPr>
        <w:t xml:space="preserve"> </w:t>
      </w:r>
      <w:r w:rsidRPr="00150EDC">
        <w:rPr>
          <w:rFonts w:ascii="Calibri" w:hAnsi="Calibri"/>
        </w:rPr>
        <w:t>the</w:t>
      </w:r>
      <w:r w:rsidRPr="00150EDC">
        <w:rPr>
          <w:rFonts w:ascii="Calibri" w:hAnsi="Calibri"/>
          <w:spacing w:val="-4"/>
        </w:rPr>
        <w:t xml:space="preserve"> </w:t>
      </w:r>
      <w:r w:rsidRPr="00150EDC">
        <w:rPr>
          <w:rFonts w:ascii="Calibri" w:hAnsi="Calibri"/>
        </w:rPr>
        <w:t>following</w:t>
      </w:r>
      <w:r w:rsidRPr="00150EDC">
        <w:rPr>
          <w:rFonts w:ascii="Calibri" w:hAnsi="Calibri"/>
          <w:spacing w:val="-4"/>
        </w:rPr>
        <w:t xml:space="preserve"> </w:t>
      </w:r>
      <w:r w:rsidRPr="00150EDC">
        <w:rPr>
          <w:rFonts w:ascii="Calibri" w:hAnsi="Calibri"/>
          <w:spacing w:val="-2"/>
        </w:rPr>
        <w:t>events:</w:t>
      </w:r>
    </w:p>
    <w:p w14:paraId="52F573B6" w14:textId="77777777" w:rsidR="004C7180" w:rsidRPr="00150EDC" w:rsidRDefault="004C7180">
      <w:pPr>
        <w:pStyle w:val="BodyText"/>
        <w:spacing w:before="5"/>
        <w:rPr>
          <w:rFonts w:ascii="Calibri"/>
          <w:sz w:val="27"/>
        </w:rPr>
      </w:pPr>
    </w:p>
    <w:p w14:paraId="2D64F678" w14:textId="77777777" w:rsidR="004C7180" w:rsidRPr="00150EDC" w:rsidRDefault="00CF0754" w:rsidP="00B320C7">
      <w:pPr>
        <w:pStyle w:val="ListParagraph"/>
        <w:numPr>
          <w:ilvl w:val="0"/>
          <w:numId w:val="165"/>
        </w:numPr>
        <w:tabs>
          <w:tab w:val="left" w:pos="1491"/>
          <w:tab w:val="left" w:pos="1494"/>
        </w:tabs>
        <w:ind w:right="618"/>
        <w:rPr>
          <w:rFonts w:ascii="Calibri"/>
          <w:sz w:val="24"/>
        </w:rPr>
      </w:pPr>
      <w:r w:rsidRPr="00150EDC">
        <w:rPr>
          <w:rFonts w:ascii="Calibri"/>
          <w:sz w:val="24"/>
        </w:rPr>
        <w:t>there</w:t>
      </w:r>
      <w:r w:rsidRPr="00150EDC">
        <w:rPr>
          <w:rFonts w:ascii="Calibri"/>
          <w:spacing w:val="-1"/>
          <w:sz w:val="24"/>
        </w:rPr>
        <w:t xml:space="preserve"> </w:t>
      </w:r>
      <w:r w:rsidRPr="00150EDC">
        <w:rPr>
          <w:rFonts w:ascii="Calibri"/>
          <w:sz w:val="24"/>
        </w:rPr>
        <w:t>is</w:t>
      </w:r>
      <w:r w:rsidRPr="00150EDC">
        <w:rPr>
          <w:rFonts w:ascii="Calibri"/>
          <w:spacing w:val="-2"/>
          <w:sz w:val="24"/>
        </w:rPr>
        <w:t xml:space="preserve"> </w:t>
      </w:r>
      <w:r w:rsidRPr="00150EDC">
        <w:rPr>
          <w:rFonts w:ascii="Calibri"/>
          <w:sz w:val="24"/>
        </w:rPr>
        <w:t>a</w:t>
      </w:r>
      <w:r w:rsidRPr="00150EDC">
        <w:rPr>
          <w:rFonts w:ascii="Calibri"/>
          <w:spacing w:val="-4"/>
          <w:sz w:val="24"/>
        </w:rPr>
        <w:t xml:space="preserve"> </w:t>
      </w:r>
      <w:r w:rsidRPr="00150EDC">
        <w:rPr>
          <w:rFonts w:ascii="Calibri"/>
          <w:sz w:val="24"/>
        </w:rPr>
        <w:t>Change</w:t>
      </w:r>
      <w:r w:rsidRPr="00150EDC">
        <w:rPr>
          <w:rFonts w:ascii="Calibri"/>
          <w:spacing w:val="-1"/>
          <w:sz w:val="24"/>
        </w:rPr>
        <w:t xml:space="preserve"> </w:t>
      </w:r>
      <w:r w:rsidRPr="00150EDC">
        <w:rPr>
          <w:rFonts w:ascii="Calibri"/>
          <w:sz w:val="24"/>
        </w:rPr>
        <w:t>of</w:t>
      </w:r>
      <w:r w:rsidRPr="00150EDC">
        <w:rPr>
          <w:rFonts w:ascii="Calibri"/>
          <w:spacing w:val="-1"/>
          <w:sz w:val="24"/>
        </w:rPr>
        <w:t xml:space="preserve"> </w:t>
      </w:r>
      <w:r w:rsidRPr="00150EDC">
        <w:rPr>
          <w:rFonts w:ascii="Calibri"/>
          <w:sz w:val="24"/>
        </w:rPr>
        <w:t>Control</w:t>
      </w:r>
      <w:r w:rsidRPr="00150EDC">
        <w:rPr>
          <w:rFonts w:ascii="Calibri"/>
          <w:spacing w:val="-2"/>
          <w:sz w:val="24"/>
        </w:rPr>
        <w:t xml:space="preserve"> </w:t>
      </w:r>
      <w:r w:rsidRPr="00150EDC">
        <w:rPr>
          <w:rFonts w:ascii="Calibri"/>
          <w:sz w:val="24"/>
        </w:rPr>
        <w:t>of</w:t>
      </w:r>
      <w:r w:rsidRPr="00150EDC">
        <w:rPr>
          <w:rFonts w:ascii="Calibri"/>
          <w:spacing w:val="-1"/>
          <w:sz w:val="24"/>
        </w:rPr>
        <w:t xml:space="preserve"> </w:t>
      </w:r>
      <w:r w:rsidRPr="00150EDC">
        <w:rPr>
          <w:rFonts w:ascii="Calibri"/>
          <w:sz w:val="24"/>
        </w:rPr>
        <w:t>a</w:t>
      </w:r>
      <w:r w:rsidRPr="00150EDC">
        <w:rPr>
          <w:rFonts w:ascii="Calibri"/>
          <w:spacing w:val="-4"/>
          <w:sz w:val="24"/>
        </w:rPr>
        <w:t xml:space="preserve"> </w:t>
      </w:r>
      <w:r w:rsidRPr="00150EDC">
        <w:rPr>
          <w:rFonts w:ascii="Calibri"/>
          <w:sz w:val="24"/>
        </w:rPr>
        <w:t>Subcontractor</w:t>
      </w:r>
      <w:r w:rsidRPr="00150EDC">
        <w:rPr>
          <w:rFonts w:ascii="Calibri"/>
          <w:spacing w:val="-3"/>
          <w:sz w:val="24"/>
        </w:rPr>
        <w:t xml:space="preserve"> </w:t>
      </w:r>
      <w:r w:rsidRPr="00150EDC">
        <w:rPr>
          <w:rFonts w:ascii="Calibri"/>
          <w:sz w:val="24"/>
        </w:rPr>
        <w:t>which</w:t>
      </w:r>
      <w:r w:rsidRPr="00150EDC">
        <w:rPr>
          <w:rFonts w:ascii="Calibri"/>
          <w:spacing w:val="-1"/>
          <w:sz w:val="24"/>
        </w:rPr>
        <w:t xml:space="preserve"> </w:t>
      </w:r>
      <w:r w:rsidRPr="00150EDC">
        <w:rPr>
          <w:rFonts w:ascii="Calibri"/>
          <w:sz w:val="24"/>
        </w:rPr>
        <w:t>is</w:t>
      </w:r>
      <w:r w:rsidRPr="00150EDC">
        <w:rPr>
          <w:rFonts w:ascii="Calibri"/>
          <w:spacing w:val="-4"/>
          <w:sz w:val="24"/>
        </w:rPr>
        <w:t xml:space="preserve"> </w:t>
      </w:r>
      <w:r w:rsidRPr="00150EDC">
        <w:rPr>
          <w:rFonts w:ascii="Calibri"/>
          <w:sz w:val="24"/>
        </w:rPr>
        <w:t>not</w:t>
      </w:r>
      <w:r w:rsidRPr="00150EDC">
        <w:rPr>
          <w:rFonts w:ascii="Calibri"/>
          <w:spacing w:val="-1"/>
          <w:sz w:val="24"/>
        </w:rPr>
        <w:t xml:space="preserve"> </w:t>
      </w:r>
      <w:r w:rsidRPr="00150EDC">
        <w:rPr>
          <w:rFonts w:ascii="Calibri"/>
          <w:sz w:val="24"/>
        </w:rPr>
        <w:t>pre-approved</w:t>
      </w:r>
      <w:r w:rsidRPr="00150EDC">
        <w:rPr>
          <w:rFonts w:ascii="Calibri"/>
          <w:spacing w:val="-5"/>
          <w:sz w:val="24"/>
        </w:rPr>
        <w:t xml:space="preserve"> </w:t>
      </w:r>
      <w:r w:rsidRPr="00150EDC">
        <w:rPr>
          <w:rFonts w:ascii="Calibri"/>
          <w:sz w:val="24"/>
        </w:rPr>
        <w:t>by</w:t>
      </w:r>
      <w:r w:rsidRPr="00150EDC">
        <w:rPr>
          <w:rFonts w:ascii="Calibri"/>
          <w:spacing w:val="-2"/>
          <w:sz w:val="24"/>
        </w:rPr>
        <w:t xml:space="preserve"> </w:t>
      </w:r>
      <w:r w:rsidRPr="00150EDC">
        <w:rPr>
          <w:rFonts w:ascii="Calibri"/>
          <w:sz w:val="24"/>
        </w:rPr>
        <w:t>the</w:t>
      </w:r>
      <w:r w:rsidRPr="00150EDC">
        <w:rPr>
          <w:rFonts w:ascii="Calibri"/>
          <w:spacing w:val="-1"/>
          <w:sz w:val="24"/>
        </w:rPr>
        <w:t xml:space="preserve"> </w:t>
      </w:r>
      <w:r w:rsidRPr="00150EDC">
        <w:rPr>
          <w:rFonts w:ascii="Calibri"/>
          <w:sz w:val="24"/>
        </w:rPr>
        <w:t>Relevant</w:t>
      </w:r>
      <w:r w:rsidRPr="00150EDC">
        <w:rPr>
          <w:rFonts w:ascii="Calibri"/>
          <w:spacing w:val="-3"/>
          <w:sz w:val="24"/>
        </w:rPr>
        <w:t xml:space="preserve"> </w:t>
      </w:r>
      <w:r w:rsidRPr="00150EDC">
        <w:rPr>
          <w:rFonts w:ascii="Calibri"/>
          <w:sz w:val="24"/>
        </w:rPr>
        <w:t>Authority in writing;</w:t>
      </w:r>
    </w:p>
    <w:p w14:paraId="15501BE9" w14:textId="77777777" w:rsidR="004C7180" w:rsidRPr="00150EDC" w:rsidRDefault="00CF0754" w:rsidP="00B320C7">
      <w:pPr>
        <w:pStyle w:val="ListParagraph"/>
        <w:numPr>
          <w:ilvl w:val="0"/>
          <w:numId w:val="165"/>
        </w:numPr>
        <w:tabs>
          <w:tab w:val="left" w:pos="1491"/>
          <w:tab w:val="left" w:pos="1494"/>
        </w:tabs>
        <w:spacing w:before="19"/>
        <w:ind w:right="1285"/>
        <w:rPr>
          <w:rFonts w:ascii="Calibri"/>
          <w:sz w:val="24"/>
        </w:rPr>
      </w:pPr>
      <w:r w:rsidRPr="00150EDC">
        <w:rPr>
          <w:rFonts w:ascii="Calibri"/>
          <w:sz w:val="24"/>
        </w:rPr>
        <w:t>the</w:t>
      </w:r>
      <w:r w:rsidRPr="00150EDC">
        <w:rPr>
          <w:rFonts w:ascii="Calibri"/>
          <w:spacing w:val="-5"/>
          <w:sz w:val="24"/>
        </w:rPr>
        <w:t xml:space="preserve"> </w:t>
      </w:r>
      <w:r w:rsidRPr="00150EDC">
        <w:rPr>
          <w:rFonts w:ascii="Calibri"/>
          <w:sz w:val="24"/>
        </w:rPr>
        <w:t>acts</w:t>
      </w:r>
      <w:r w:rsidRPr="00150EDC">
        <w:rPr>
          <w:rFonts w:ascii="Calibri"/>
          <w:spacing w:val="-3"/>
          <w:sz w:val="24"/>
        </w:rPr>
        <w:t xml:space="preserve"> </w:t>
      </w:r>
      <w:r w:rsidRPr="00150EDC">
        <w:rPr>
          <w:rFonts w:ascii="Calibri"/>
          <w:sz w:val="24"/>
        </w:rPr>
        <w:t>or</w:t>
      </w:r>
      <w:r w:rsidRPr="00150EDC">
        <w:rPr>
          <w:rFonts w:ascii="Calibri"/>
          <w:spacing w:val="-2"/>
          <w:sz w:val="24"/>
        </w:rPr>
        <w:t xml:space="preserve"> </w:t>
      </w:r>
      <w:r w:rsidRPr="00150EDC">
        <w:rPr>
          <w:rFonts w:ascii="Calibri"/>
          <w:sz w:val="24"/>
        </w:rPr>
        <w:t>omissions</w:t>
      </w:r>
      <w:r w:rsidRPr="00150EDC">
        <w:rPr>
          <w:rFonts w:ascii="Calibri"/>
          <w:spacing w:val="-3"/>
          <w:sz w:val="24"/>
        </w:rPr>
        <w:t xml:space="preserve"> </w:t>
      </w:r>
      <w:r w:rsidRPr="00150EDC">
        <w:rPr>
          <w:rFonts w:ascii="Calibri"/>
          <w:sz w:val="24"/>
        </w:rPr>
        <w:t>of</w:t>
      </w:r>
      <w:r w:rsidRPr="00150EDC">
        <w:rPr>
          <w:rFonts w:ascii="Calibri"/>
          <w:spacing w:val="-4"/>
          <w:sz w:val="24"/>
        </w:rPr>
        <w:t xml:space="preserve"> </w:t>
      </w:r>
      <w:r w:rsidRPr="00150EDC">
        <w:rPr>
          <w:rFonts w:ascii="Calibri"/>
          <w:sz w:val="24"/>
        </w:rPr>
        <w:t>the Subcontractor</w:t>
      </w:r>
      <w:r w:rsidRPr="00150EDC">
        <w:rPr>
          <w:rFonts w:ascii="Calibri"/>
          <w:spacing w:val="-4"/>
          <w:sz w:val="24"/>
        </w:rPr>
        <w:t xml:space="preserve"> </w:t>
      </w:r>
      <w:r w:rsidRPr="00150EDC">
        <w:rPr>
          <w:rFonts w:ascii="Calibri"/>
          <w:sz w:val="24"/>
        </w:rPr>
        <w:t>have</w:t>
      </w:r>
      <w:r w:rsidRPr="00150EDC">
        <w:rPr>
          <w:rFonts w:ascii="Calibri"/>
          <w:spacing w:val="-2"/>
          <w:sz w:val="24"/>
        </w:rPr>
        <w:t xml:space="preserve"> </w:t>
      </w:r>
      <w:r w:rsidRPr="00150EDC">
        <w:rPr>
          <w:rFonts w:ascii="Calibri"/>
          <w:sz w:val="24"/>
        </w:rPr>
        <w:t>caused</w:t>
      </w:r>
      <w:r w:rsidRPr="00150EDC">
        <w:rPr>
          <w:rFonts w:ascii="Calibri"/>
          <w:spacing w:val="-4"/>
          <w:sz w:val="24"/>
        </w:rPr>
        <w:t xml:space="preserve"> </w:t>
      </w:r>
      <w:r w:rsidRPr="00150EDC">
        <w:rPr>
          <w:rFonts w:ascii="Calibri"/>
          <w:sz w:val="24"/>
        </w:rPr>
        <w:t>or</w:t>
      </w:r>
      <w:r w:rsidRPr="00150EDC">
        <w:rPr>
          <w:rFonts w:ascii="Calibri"/>
          <w:spacing w:val="-2"/>
          <w:sz w:val="24"/>
        </w:rPr>
        <w:t xml:space="preserve"> </w:t>
      </w:r>
      <w:r w:rsidRPr="00150EDC">
        <w:rPr>
          <w:rFonts w:ascii="Calibri"/>
          <w:sz w:val="24"/>
        </w:rPr>
        <w:t>materially</w:t>
      </w:r>
      <w:r w:rsidRPr="00150EDC">
        <w:rPr>
          <w:rFonts w:ascii="Calibri"/>
          <w:spacing w:val="-3"/>
          <w:sz w:val="24"/>
        </w:rPr>
        <w:t xml:space="preserve"> </w:t>
      </w:r>
      <w:r w:rsidRPr="00150EDC">
        <w:rPr>
          <w:rFonts w:ascii="Calibri"/>
          <w:sz w:val="24"/>
        </w:rPr>
        <w:t>contributed</w:t>
      </w:r>
      <w:r w:rsidRPr="00150EDC">
        <w:rPr>
          <w:rFonts w:ascii="Calibri"/>
          <w:spacing w:val="-4"/>
          <w:sz w:val="24"/>
        </w:rPr>
        <w:t xml:space="preserve"> </w:t>
      </w:r>
      <w:r w:rsidRPr="00150EDC">
        <w:rPr>
          <w:rFonts w:ascii="Calibri"/>
          <w:sz w:val="24"/>
        </w:rPr>
        <w:t>to</w:t>
      </w:r>
      <w:r w:rsidRPr="00150EDC">
        <w:rPr>
          <w:rFonts w:ascii="Calibri"/>
          <w:spacing w:val="-5"/>
          <w:sz w:val="24"/>
        </w:rPr>
        <w:t xml:space="preserve"> </w:t>
      </w:r>
      <w:r w:rsidRPr="00150EDC">
        <w:rPr>
          <w:rFonts w:ascii="Calibri"/>
          <w:sz w:val="24"/>
        </w:rPr>
        <w:t>a</w:t>
      </w:r>
      <w:r w:rsidRPr="00150EDC">
        <w:rPr>
          <w:rFonts w:ascii="Calibri"/>
          <w:spacing w:val="-3"/>
          <w:sz w:val="24"/>
        </w:rPr>
        <w:t xml:space="preserve"> </w:t>
      </w:r>
      <w:r w:rsidRPr="00150EDC">
        <w:rPr>
          <w:rFonts w:ascii="Calibri"/>
          <w:sz w:val="24"/>
        </w:rPr>
        <w:t>right</w:t>
      </w:r>
      <w:r w:rsidRPr="00150EDC">
        <w:rPr>
          <w:rFonts w:ascii="Calibri"/>
          <w:spacing w:val="-4"/>
          <w:sz w:val="24"/>
        </w:rPr>
        <w:t xml:space="preserve"> </w:t>
      </w:r>
      <w:r w:rsidRPr="00150EDC">
        <w:rPr>
          <w:rFonts w:ascii="Calibri"/>
          <w:sz w:val="24"/>
        </w:rPr>
        <w:t>of termination under Clause 10.4; or</w:t>
      </w:r>
    </w:p>
    <w:p w14:paraId="3D4B639B" w14:textId="77777777" w:rsidR="004C7180" w:rsidRPr="00150EDC" w:rsidRDefault="00CF0754" w:rsidP="00B320C7">
      <w:pPr>
        <w:pStyle w:val="ListParagraph"/>
        <w:numPr>
          <w:ilvl w:val="0"/>
          <w:numId w:val="165"/>
        </w:numPr>
        <w:tabs>
          <w:tab w:val="left" w:pos="1492"/>
          <w:tab w:val="left" w:pos="1494"/>
        </w:tabs>
        <w:spacing w:before="21"/>
        <w:ind w:right="586"/>
        <w:rPr>
          <w:rFonts w:ascii="Calibri"/>
          <w:sz w:val="24"/>
        </w:rPr>
      </w:pPr>
      <w:r w:rsidRPr="00150EDC">
        <w:rPr>
          <w:rFonts w:ascii="Calibri"/>
          <w:sz w:val="24"/>
        </w:rPr>
        <w:t>a</w:t>
      </w:r>
      <w:r w:rsidRPr="00150EDC">
        <w:rPr>
          <w:rFonts w:ascii="Calibri"/>
          <w:spacing w:val="-3"/>
          <w:sz w:val="24"/>
        </w:rPr>
        <w:t xml:space="preserve"> </w:t>
      </w:r>
      <w:r w:rsidRPr="00150EDC">
        <w:rPr>
          <w:rFonts w:ascii="Calibri"/>
          <w:sz w:val="24"/>
        </w:rPr>
        <w:t>Subcontractor</w:t>
      </w:r>
      <w:r w:rsidRPr="00150EDC">
        <w:rPr>
          <w:rFonts w:ascii="Calibri"/>
          <w:spacing w:val="-4"/>
          <w:sz w:val="24"/>
        </w:rPr>
        <w:t xml:space="preserve"> </w:t>
      </w:r>
      <w:r w:rsidRPr="00150EDC">
        <w:rPr>
          <w:rFonts w:ascii="Calibri"/>
          <w:sz w:val="24"/>
        </w:rPr>
        <w:t>or</w:t>
      </w:r>
      <w:r w:rsidRPr="00150EDC">
        <w:rPr>
          <w:rFonts w:ascii="Calibri"/>
          <w:spacing w:val="-2"/>
          <w:sz w:val="24"/>
        </w:rPr>
        <w:t xml:space="preserve"> </w:t>
      </w:r>
      <w:r w:rsidRPr="00150EDC">
        <w:rPr>
          <w:rFonts w:ascii="Calibri"/>
          <w:sz w:val="24"/>
        </w:rPr>
        <w:t>its</w:t>
      </w:r>
      <w:r w:rsidRPr="00150EDC">
        <w:rPr>
          <w:rFonts w:ascii="Calibri"/>
          <w:spacing w:val="-3"/>
          <w:sz w:val="24"/>
        </w:rPr>
        <w:t xml:space="preserve"> </w:t>
      </w:r>
      <w:r w:rsidRPr="00150EDC">
        <w:rPr>
          <w:rFonts w:ascii="Calibri"/>
          <w:sz w:val="24"/>
        </w:rPr>
        <w:t>Affiliates</w:t>
      </w:r>
      <w:r w:rsidRPr="00150EDC">
        <w:rPr>
          <w:rFonts w:ascii="Calibri"/>
          <w:spacing w:val="-5"/>
          <w:sz w:val="24"/>
        </w:rPr>
        <w:t xml:space="preserve"> </w:t>
      </w:r>
      <w:r w:rsidRPr="00150EDC">
        <w:rPr>
          <w:rFonts w:ascii="Calibri"/>
          <w:sz w:val="24"/>
        </w:rPr>
        <w:t>embarrasses</w:t>
      </w:r>
      <w:r w:rsidRPr="00150EDC">
        <w:rPr>
          <w:rFonts w:ascii="Calibri"/>
          <w:spacing w:val="-3"/>
          <w:sz w:val="24"/>
        </w:rPr>
        <w:t xml:space="preserve"> </w:t>
      </w:r>
      <w:r w:rsidRPr="00150EDC">
        <w:rPr>
          <w:rFonts w:ascii="Calibri"/>
          <w:sz w:val="24"/>
        </w:rPr>
        <w:t>or</w:t>
      </w:r>
      <w:r w:rsidRPr="00150EDC">
        <w:rPr>
          <w:rFonts w:ascii="Calibri"/>
          <w:spacing w:val="-4"/>
          <w:sz w:val="24"/>
        </w:rPr>
        <w:t xml:space="preserve"> </w:t>
      </w:r>
      <w:r w:rsidRPr="00150EDC">
        <w:rPr>
          <w:rFonts w:ascii="Calibri"/>
          <w:sz w:val="24"/>
        </w:rPr>
        <w:t>brings</w:t>
      </w:r>
      <w:r w:rsidRPr="00150EDC">
        <w:rPr>
          <w:rFonts w:ascii="Calibri"/>
          <w:spacing w:val="-4"/>
          <w:sz w:val="24"/>
        </w:rPr>
        <w:t xml:space="preserve"> </w:t>
      </w:r>
      <w:r w:rsidRPr="00150EDC">
        <w:rPr>
          <w:rFonts w:ascii="Calibri"/>
          <w:sz w:val="24"/>
        </w:rPr>
        <w:t>into</w:t>
      </w:r>
      <w:r w:rsidRPr="00150EDC">
        <w:rPr>
          <w:rFonts w:ascii="Calibri"/>
          <w:spacing w:val="-4"/>
          <w:sz w:val="24"/>
        </w:rPr>
        <w:t xml:space="preserve"> </w:t>
      </w:r>
      <w:r w:rsidRPr="00150EDC">
        <w:rPr>
          <w:rFonts w:ascii="Calibri"/>
          <w:sz w:val="24"/>
        </w:rPr>
        <w:t>disrepute</w:t>
      </w:r>
      <w:r w:rsidRPr="00150EDC">
        <w:rPr>
          <w:rFonts w:ascii="Calibri"/>
          <w:spacing w:val="-2"/>
          <w:sz w:val="24"/>
        </w:rPr>
        <w:t xml:space="preserve"> </w:t>
      </w:r>
      <w:r w:rsidRPr="00150EDC">
        <w:rPr>
          <w:rFonts w:ascii="Calibri"/>
          <w:sz w:val="24"/>
        </w:rPr>
        <w:t>or</w:t>
      </w:r>
      <w:r w:rsidRPr="00150EDC">
        <w:rPr>
          <w:rFonts w:ascii="Calibri"/>
          <w:spacing w:val="-2"/>
          <w:sz w:val="24"/>
        </w:rPr>
        <w:t xml:space="preserve"> </w:t>
      </w:r>
      <w:r w:rsidRPr="00150EDC">
        <w:rPr>
          <w:rFonts w:ascii="Calibri"/>
          <w:sz w:val="24"/>
        </w:rPr>
        <w:t>diminishes</w:t>
      </w:r>
      <w:r w:rsidRPr="00150EDC">
        <w:rPr>
          <w:rFonts w:ascii="Calibri"/>
          <w:spacing w:val="-5"/>
          <w:sz w:val="24"/>
        </w:rPr>
        <w:t xml:space="preserve"> </w:t>
      </w:r>
      <w:r w:rsidRPr="00150EDC">
        <w:rPr>
          <w:rFonts w:ascii="Calibri"/>
          <w:sz w:val="24"/>
        </w:rPr>
        <w:t>the</w:t>
      </w:r>
      <w:r w:rsidRPr="00150EDC">
        <w:rPr>
          <w:rFonts w:ascii="Calibri"/>
          <w:spacing w:val="-2"/>
          <w:sz w:val="24"/>
        </w:rPr>
        <w:t xml:space="preserve"> </w:t>
      </w:r>
      <w:r w:rsidRPr="00150EDC">
        <w:rPr>
          <w:rFonts w:ascii="Calibri"/>
          <w:sz w:val="24"/>
        </w:rPr>
        <w:t>public</w:t>
      </w:r>
      <w:r w:rsidRPr="00150EDC">
        <w:rPr>
          <w:rFonts w:ascii="Calibri"/>
          <w:spacing w:val="-6"/>
          <w:sz w:val="24"/>
        </w:rPr>
        <w:t xml:space="preserve"> </w:t>
      </w:r>
      <w:r w:rsidRPr="00150EDC">
        <w:rPr>
          <w:rFonts w:ascii="Calibri"/>
          <w:sz w:val="24"/>
        </w:rPr>
        <w:t>trust</w:t>
      </w:r>
      <w:r w:rsidRPr="00150EDC">
        <w:rPr>
          <w:rFonts w:ascii="Calibri"/>
          <w:spacing w:val="-2"/>
          <w:sz w:val="24"/>
        </w:rPr>
        <w:t xml:space="preserve"> </w:t>
      </w:r>
      <w:r w:rsidRPr="00150EDC">
        <w:rPr>
          <w:rFonts w:ascii="Calibri"/>
          <w:sz w:val="24"/>
        </w:rPr>
        <w:t>in the Relevant Authority.</w:t>
      </w:r>
    </w:p>
    <w:p w14:paraId="1039005C" w14:textId="77777777" w:rsidR="004C7180" w:rsidRPr="00150EDC" w:rsidRDefault="004C7180">
      <w:pPr>
        <w:pStyle w:val="BodyText"/>
        <w:spacing w:before="4"/>
        <w:rPr>
          <w:rFonts w:ascii="Calibri"/>
          <w:sz w:val="27"/>
        </w:rPr>
      </w:pPr>
    </w:p>
    <w:p w14:paraId="75CF9519" w14:textId="77777777" w:rsidR="004C7180" w:rsidRPr="00150EDC" w:rsidRDefault="00CF0754" w:rsidP="00B320C7">
      <w:pPr>
        <w:pStyle w:val="Heading1"/>
        <w:numPr>
          <w:ilvl w:val="0"/>
          <w:numId w:val="182"/>
        </w:numPr>
        <w:tabs>
          <w:tab w:val="left" w:pos="1217"/>
        </w:tabs>
        <w:spacing w:before="1"/>
        <w:ind w:left="1217" w:hanging="650"/>
        <w:jc w:val="left"/>
        <w:rPr>
          <w:rFonts w:ascii="Calibri"/>
        </w:rPr>
      </w:pPr>
      <w:r w:rsidRPr="00150EDC">
        <w:rPr>
          <w:rFonts w:ascii="Calibri"/>
        </w:rPr>
        <w:t>How</w:t>
      </w:r>
      <w:r w:rsidRPr="00150EDC">
        <w:rPr>
          <w:rFonts w:ascii="Calibri"/>
          <w:spacing w:val="-3"/>
        </w:rPr>
        <w:t xml:space="preserve"> </w:t>
      </w:r>
      <w:r w:rsidRPr="00150EDC">
        <w:rPr>
          <w:rFonts w:ascii="Calibri"/>
        </w:rPr>
        <w:t>much you</w:t>
      </w:r>
      <w:r w:rsidRPr="00150EDC">
        <w:rPr>
          <w:rFonts w:ascii="Calibri"/>
          <w:spacing w:val="-2"/>
        </w:rPr>
        <w:t xml:space="preserve"> </w:t>
      </w:r>
      <w:r w:rsidRPr="00150EDC">
        <w:rPr>
          <w:rFonts w:ascii="Calibri"/>
        </w:rPr>
        <w:t>can be</w:t>
      </w:r>
      <w:r w:rsidRPr="00150EDC">
        <w:rPr>
          <w:rFonts w:ascii="Calibri"/>
          <w:spacing w:val="-1"/>
        </w:rPr>
        <w:t xml:space="preserve"> </w:t>
      </w:r>
      <w:r w:rsidRPr="00150EDC">
        <w:rPr>
          <w:rFonts w:ascii="Calibri"/>
        </w:rPr>
        <w:t>held</w:t>
      </w:r>
      <w:r w:rsidRPr="00150EDC">
        <w:rPr>
          <w:rFonts w:ascii="Calibri"/>
          <w:spacing w:val="-1"/>
        </w:rPr>
        <w:t xml:space="preserve"> </w:t>
      </w:r>
      <w:r w:rsidRPr="00150EDC">
        <w:rPr>
          <w:rFonts w:ascii="Calibri"/>
        </w:rPr>
        <w:t>responsible</w:t>
      </w:r>
      <w:r w:rsidRPr="00150EDC">
        <w:rPr>
          <w:rFonts w:ascii="Calibri"/>
          <w:spacing w:val="-1"/>
        </w:rPr>
        <w:t xml:space="preserve"> </w:t>
      </w:r>
      <w:r w:rsidRPr="00150EDC">
        <w:rPr>
          <w:rFonts w:ascii="Calibri"/>
          <w:spacing w:val="-5"/>
        </w:rPr>
        <w:t>for</w:t>
      </w:r>
    </w:p>
    <w:p w14:paraId="3797CB75" w14:textId="77777777" w:rsidR="004C7180" w:rsidRPr="00150EDC" w:rsidRDefault="00CF0754" w:rsidP="00B320C7">
      <w:pPr>
        <w:pStyle w:val="ListParagraph"/>
        <w:numPr>
          <w:ilvl w:val="1"/>
          <w:numId w:val="182"/>
        </w:numPr>
        <w:tabs>
          <w:tab w:val="left" w:pos="1064"/>
          <w:tab w:val="left" w:pos="1066"/>
        </w:tabs>
        <w:spacing w:before="18"/>
        <w:ind w:right="1145"/>
        <w:rPr>
          <w:rFonts w:ascii="Calibri" w:hAnsi="Calibri"/>
          <w:sz w:val="24"/>
        </w:rPr>
      </w:pPr>
      <w:r w:rsidRPr="00150EDC">
        <w:rPr>
          <w:rFonts w:ascii="Calibri" w:hAnsi="Calibri"/>
          <w:sz w:val="24"/>
        </w:rPr>
        <w:t>Each</w:t>
      </w:r>
      <w:r w:rsidRPr="00150EDC">
        <w:rPr>
          <w:rFonts w:ascii="Calibri" w:hAnsi="Calibri"/>
          <w:spacing w:val="-2"/>
          <w:sz w:val="24"/>
        </w:rPr>
        <w:t xml:space="preserve"> </w:t>
      </w:r>
      <w:r w:rsidRPr="00150EDC">
        <w:rPr>
          <w:rFonts w:ascii="Calibri" w:hAnsi="Calibri"/>
          <w:sz w:val="24"/>
        </w:rPr>
        <w:t>Party's</w:t>
      </w:r>
      <w:r w:rsidRPr="00150EDC">
        <w:rPr>
          <w:rFonts w:ascii="Calibri" w:hAnsi="Calibri"/>
          <w:spacing w:val="-3"/>
          <w:sz w:val="24"/>
        </w:rPr>
        <w:t xml:space="preserve"> </w:t>
      </w:r>
      <w:r w:rsidRPr="00150EDC">
        <w:rPr>
          <w:rFonts w:ascii="Calibri" w:hAnsi="Calibri"/>
          <w:sz w:val="24"/>
        </w:rPr>
        <w:t>total</w:t>
      </w:r>
      <w:r w:rsidRPr="00150EDC">
        <w:rPr>
          <w:rFonts w:ascii="Calibri" w:hAnsi="Calibri"/>
          <w:spacing w:val="-5"/>
          <w:sz w:val="24"/>
        </w:rPr>
        <w:t xml:space="preserve"> </w:t>
      </w:r>
      <w:r w:rsidRPr="00150EDC">
        <w:rPr>
          <w:rFonts w:ascii="Calibri" w:hAnsi="Calibri"/>
          <w:sz w:val="24"/>
        </w:rPr>
        <w:t>aggregate</w:t>
      </w:r>
      <w:r w:rsidRPr="00150EDC">
        <w:rPr>
          <w:rFonts w:ascii="Calibri" w:hAnsi="Calibri"/>
          <w:spacing w:val="-2"/>
          <w:sz w:val="24"/>
        </w:rPr>
        <w:t xml:space="preserve"> </w:t>
      </w:r>
      <w:r w:rsidRPr="00150EDC">
        <w:rPr>
          <w:rFonts w:ascii="Calibri" w:hAnsi="Calibri"/>
          <w:sz w:val="24"/>
        </w:rPr>
        <w:t>liability</w:t>
      </w:r>
      <w:r w:rsidRPr="00150EDC">
        <w:rPr>
          <w:rFonts w:ascii="Calibri" w:hAnsi="Calibri"/>
          <w:spacing w:val="-3"/>
          <w:sz w:val="24"/>
        </w:rPr>
        <w:t xml:space="preserve"> </w:t>
      </w:r>
      <w:r w:rsidRPr="00150EDC">
        <w:rPr>
          <w:rFonts w:ascii="Calibri" w:hAnsi="Calibri"/>
          <w:sz w:val="24"/>
        </w:rPr>
        <w:t>in</w:t>
      </w:r>
      <w:r w:rsidRPr="00150EDC">
        <w:rPr>
          <w:rFonts w:ascii="Calibri" w:hAnsi="Calibri"/>
          <w:spacing w:val="-4"/>
          <w:sz w:val="24"/>
        </w:rPr>
        <w:t xml:space="preserve"> </w:t>
      </w:r>
      <w:r w:rsidRPr="00150EDC">
        <w:rPr>
          <w:rFonts w:ascii="Calibri" w:hAnsi="Calibri"/>
          <w:sz w:val="24"/>
        </w:rPr>
        <w:t>each</w:t>
      </w:r>
      <w:r w:rsidRPr="00150EDC">
        <w:rPr>
          <w:rFonts w:ascii="Calibri" w:hAnsi="Calibri"/>
          <w:spacing w:val="-2"/>
          <w:sz w:val="24"/>
        </w:rPr>
        <w:t xml:space="preserve"> </w:t>
      </w:r>
      <w:r w:rsidRPr="00150EDC">
        <w:rPr>
          <w:rFonts w:ascii="Calibri" w:hAnsi="Calibri"/>
          <w:sz w:val="24"/>
        </w:rPr>
        <w:t>Contract</w:t>
      </w:r>
      <w:r w:rsidRPr="00150EDC">
        <w:rPr>
          <w:rFonts w:ascii="Calibri" w:hAnsi="Calibri"/>
          <w:spacing w:val="-2"/>
          <w:sz w:val="24"/>
        </w:rPr>
        <w:t xml:space="preserve"> </w:t>
      </w:r>
      <w:r w:rsidRPr="00150EDC">
        <w:rPr>
          <w:rFonts w:ascii="Calibri" w:hAnsi="Calibri"/>
          <w:sz w:val="24"/>
        </w:rPr>
        <w:t>Year</w:t>
      </w:r>
      <w:r w:rsidRPr="00150EDC">
        <w:rPr>
          <w:rFonts w:ascii="Calibri" w:hAnsi="Calibri"/>
          <w:spacing w:val="-5"/>
          <w:sz w:val="24"/>
        </w:rPr>
        <w:t xml:space="preserve"> </w:t>
      </w:r>
      <w:r w:rsidRPr="00150EDC">
        <w:rPr>
          <w:rFonts w:ascii="Calibri" w:hAnsi="Calibri"/>
          <w:sz w:val="24"/>
        </w:rPr>
        <w:t>under</w:t>
      </w:r>
      <w:r w:rsidRPr="00150EDC">
        <w:rPr>
          <w:rFonts w:ascii="Calibri" w:hAnsi="Calibri"/>
          <w:spacing w:val="-2"/>
          <w:sz w:val="24"/>
        </w:rPr>
        <w:t xml:space="preserve"> </w:t>
      </w:r>
      <w:r w:rsidRPr="00150EDC">
        <w:rPr>
          <w:rFonts w:ascii="Calibri" w:hAnsi="Calibri"/>
          <w:sz w:val="24"/>
        </w:rPr>
        <w:t>this</w:t>
      </w:r>
      <w:r w:rsidRPr="00150EDC">
        <w:rPr>
          <w:rFonts w:ascii="Calibri" w:hAnsi="Calibri"/>
          <w:spacing w:val="-5"/>
          <w:sz w:val="24"/>
        </w:rPr>
        <w:t xml:space="preserve"> </w:t>
      </w:r>
      <w:r w:rsidRPr="00150EDC">
        <w:rPr>
          <w:rFonts w:ascii="Calibri" w:hAnsi="Calibri"/>
          <w:sz w:val="24"/>
        </w:rPr>
        <w:t>DPS</w:t>
      </w:r>
      <w:r w:rsidRPr="00150EDC">
        <w:rPr>
          <w:rFonts w:ascii="Calibri" w:hAnsi="Calibri"/>
          <w:spacing w:val="-2"/>
          <w:sz w:val="24"/>
        </w:rPr>
        <w:t xml:space="preserve"> </w:t>
      </w:r>
      <w:r w:rsidRPr="00150EDC">
        <w:rPr>
          <w:rFonts w:ascii="Calibri" w:hAnsi="Calibri"/>
          <w:sz w:val="24"/>
        </w:rPr>
        <w:t>Contract</w:t>
      </w:r>
      <w:r w:rsidRPr="00150EDC">
        <w:rPr>
          <w:rFonts w:ascii="Calibri" w:hAnsi="Calibri"/>
          <w:spacing w:val="-2"/>
          <w:sz w:val="24"/>
        </w:rPr>
        <w:t xml:space="preserve"> </w:t>
      </w:r>
      <w:r w:rsidRPr="00150EDC">
        <w:rPr>
          <w:rFonts w:ascii="Calibri" w:hAnsi="Calibri"/>
          <w:sz w:val="24"/>
        </w:rPr>
        <w:t>(whether</w:t>
      </w:r>
      <w:r w:rsidRPr="00150EDC">
        <w:rPr>
          <w:rFonts w:ascii="Calibri" w:hAnsi="Calibri"/>
          <w:spacing w:val="-5"/>
          <w:sz w:val="24"/>
        </w:rPr>
        <w:t xml:space="preserve"> </w:t>
      </w:r>
      <w:r w:rsidRPr="00150EDC">
        <w:rPr>
          <w:rFonts w:ascii="Calibri" w:hAnsi="Calibri"/>
          <w:sz w:val="24"/>
        </w:rPr>
        <w:t>in</w:t>
      </w:r>
      <w:r w:rsidRPr="00150EDC">
        <w:rPr>
          <w:rFonts w:ascii="Calibri" w:hAnsi="Calibri"/>
          <w:spacing w:val="-4"/>
          <w:sz w:val="24"/>
        </w:rPr>
        <w:t xml:space="preserve"> </w:t>
      </w:r>
      <w:r w:rsidRPr="00150EDC">
        <w:rPr>
          <w:rFonts w:ascii="Calibri" w:hAnsi="Calibri"/>
          <w:sz w:val="24"/>
        </w:rPr>
        <w:t>tort, contract or otherwise) is no more than £1,000,000.</w:t>
      </w:r>
    </w:p>
    <w:p w14:paraId="55650638" w14:textId="77777777" w:rsidR="004C7180" w:rsidRPr="00150EDC" w:rsidRDefault="004C7180">
      <w:pPr>
        <w:pStyle w:val="BodyText"/>
        <w:spacing w:before="12"/>
        <w:rPr>
          <w:rFonts w:ascii="Calibri"/>
          <w:sz w:val="23"/>
        </w:rPr>
      </w:pPr>
    </w:p>
    <w:p w14:paraId="1FAC6D75" w14:textId="77777777" w:rsidR="004C7180" w:rsidRPr="00150EDC" w:rsidRDefault="00CF0754" w:rsidP="00B320C7">
      <w:pPr>
        <w:pStyle w:val="ListParagraph"/>
        <w:numPr>
          <w:ilvl w:val="1"/>
          <w:numId w:val="182"/>
        </w:numPr>
        <w:tabs>
          <w:tab w:val="left" w:pos="1064"/>
          <w:tab w:val="left" w:pos="1066"/>
        </w:tabs>
        <w:ind w:right="608"/>
        <w:rPr>
          <w:rFonts w:ascii="Calibri" w:hAnsi="Calibri"/>
          <w:sz w:val="24"/>
        </w:rPr>
      </w:pPr>
      <w:r w:rsidRPr="00150EDC">
        <w:rPr>
          <w:rFonts w:ascii="Calibri" w:hAnsi="Calibri"/>
          <w:sz w:val="24"/>
        </w:rPr>
        <w:t>Each Party's total aggregate liability in each Contract Year under each Order Contract (whether in tort, contract</w:t>
      </w:r>
      <w:r w:rsidRPr="00150EDC">
        <w:rPr>
          <w:rFonts w:ascii="Calibri" w:hAnsi="Calibri"/>
          <w:spacing w:val="-3"/>
          <w:sz w:val="24"/>
        </w:rPr>
        <w:t xml:space="preserve"> </w:t>
      </w:r>
      <w:r w:rsidRPr="00150EDC">
        <w:rPr>
          <w:rFonts w:ascii="Calibri" w:hAnsi="Calibri"/>
          <w:sz w:val="24"/>
        </w:rPr>
        <w:t>or</w:t>
      </w:r>
      <w:r w:rsidRPr="00150EDC">
        <w:rPr>
          <w:rFonts w:ascii="Calibri" w:hAnsi="Calibri"/>
          <w:spacing w:val="-3"/>
          <w:sz w:val="24"/>
        </w:rPr>
        <w:t xml:space="preserve"> </w:t>
      </w:r>
      <w:r w:rsidRPr="00150EDC">
        <w:rPr>
          <w:rFonts w:ascii="Calibri" w:hAnsi="Calibri"/>
          <w:sz w:val="24"/>
        </w:rPr>
        <w:t>otherwise)</w:t>
      </w:r>
      <w:r w:rsidRPr="00150EDC">
        <w:rPr>
          <w:rFonts w:ascii="Calibri" w:hAnsi="Calibri"/>
          <w:spacing w:val="-3"/>
          <w:sz w:val="24"/>
        </w:rPr>
        <w:t xml:space="preserve"> </w:t>
      </w:r>
      <w:r w:rsidRPr="00150EDC">
        <w:rPr>
          <w:rFonts w:ascii="Calibri" w:hAnsi="Calibri"/>
          <w:sz w:val="24"/>
        </w:rPr>
        <w:t>is</w:t>
      </w:r>
      <w:r w:rsidRPr="00150EDC">
        <w:rPr>
          <w:rFonts w:ascii="Calibri" w:hAnsi="Calibri"/>
          <w:spacing w:val="-4"/>
          <w:sz w:val="24"/>
        </w:rPr>
        <w:t xml:space="preserve"> </w:t>
      </w:r>
      <w:r w:rsidRPr="00150EDC">
        <w:rPr>
          <w:rFonts w:ascii="Calibri" w:hAnsi="Calibri"/>
          <w:sz w:val="24"/>
        </w:rPr>
        <w:t>no</w:t>
      </w:r>
      <w:r w:rsidRPr="00150EDC">
        <w:rPr>
          <w:rFonts w:ascii="Calibri" w:hAnsi="Calibri"/>
          <w:spacing w:val="-1"/>
          <w:sz w:val="24"/>
        </w:rPr>
        <w:t xml:space="preserve"> </w:t>
      </w:r>
      <w:r w:rsidRPr="00150EDC">
        <w:rPr>
          <w:rFonts w:ascii="Calibri" w:hAnsi="Calibri"/>
          <w:sz w:val="24"/>
        </w:rPr>
        <w:t>more</w:t>
      </w:r>
      <w:r w:rsidRPr="00150EDC">
        <w:rPr>
          <w:rFonts w:ascii="Calibri" w:hAnsi="Calibri"/>
          <w:spacing w:val="-3"/>
          <w:sz w:val="24"/>
        </w:rPr>
        <w:t xml:space="preserve"> </w:t>
      </w:r>
      <w:r w:rsidRPr="00150EDC">
        <w:rPr>
          <w:rFonts w:ascii="Calibri" w:hAnsi="Calibri"/>
          <w:sz w:val="24"/>
        </w:rPr>
        <w:t>than</w:t>
      </w:r>
      <w:r w:rsidRPr="00150EDC">
        <w:rPr>
          <w:rFonts w:ascii="Calibri" w:hAnsi="Calibri"/>
          <w:spacing w:val="-3"/>
          <w:sz w:val="24"/>
        </w:rPr>
        <w:t xml:space="preserve"> </w:t>
      </w:r>
      <w:r w:rsidRPr="00150EDC">
        <w:rPr>
          <w:rFonts w:ascii="Calibri" w:hAnsi="Calibri"/>
          <w:sz w:val="24"/>
        </w:rPr>
        <w:t>the</w:t>
      </w:r>
      <w:r w:rsidRPr="00150EDC">
        <w:rPr>
          <w:rFonts w:ascii="Calibri" w:hAnsi="Calibri"/>
          <w:spacing w:val="-4"/>
          <w:sz w:val="24"/>
        </w:rPr>
        <w:t xml:space="preserve"> </w:t>
      </w:r>
      <w:r w:rsidRPr="00150EDC">
        <w:rPr>
          <w:rFonts w:ascii="Calibri" w:hAnsi="Calibri"/>
          <w:sz w:val="24"/>
        </w:rPr>
        <w:t>greater</w:t>
      </w:r>
      <w:r w:rsidRPr="00150EDC">
        <w:rPr>
          <w:rFonts w:ascii="Calibri" w:hAnsi="Calibri"/>
          <w:spacing w:val="-1"/>
          <w:sz w:val="24"/>
        </w:rPr>
        <w:t xml:space="preserve"> </w:t>
      </w:r>
      <w:r w:rsidRPr="00150EDC">
        <w:rPr>
          <w:rFonts w:ascii="Calibri" w:hAnsi="Calibri"/>
          <w:sz w:val="24"/>
        </w:rPr>
        <w:t>of</w:t>
      </w:r>
      <w:r w:rsidRPr="00150EDC">
        <w:rPr>
          <w:rFonts w:ascii="Calibri" w:hAnsi="Calibri"/>
          <w:spacing w:val="-3"/>
          <w:sz w:val="24"/>
        </w:rPr>
        <w:t xml:space="preserve"> </w:t>
      </w:r>
      <w:r w:rsidRPr="00150EDC">
        <w:rPr>
          <w:rFonts w:ascii="Calibri" w:hAnsi="Calibri"/>
          <w:sz w:val="24"/>
        </w:rPr>
        <w:t>£5</w:t>
      </w:r>
      <w:r w:rsidRPr="00150EDC">
        <w:rPr>
          <w:rFonts w:ascii="Calibri" w:hAnsi="Calibri"/>
          <w:spacing w:val="-3"/>
          <w:sz w:val="24"/>
        </w:rPr>
        <w:t xml:space="preserve"> </w:t>
      </w:r>
      <w:r w:rsidRPr="00150EDC">
        <w:rPr>
          <w:rFonts w:ascii="Calibri" w:hAnsi="Calibri"/>
          <w:sz w:val="24"/>
        </w:rPr>
        <w:t>million</w:t>
      </w:r>
      <w:r w:rsidRPr="00150EDC">
        <w:rPr>
          <w:rFonts w:ascii="Calibri" w:hAnsi="Calibri"/>
          <w:spacing w:val="-1"/>
          <w:sz w:val="24"/>
        </w:rPr>
        <w:t xml:space="preserve"> </w:t>
      </w:r>
      <w:r w:rsidRPr="00150EDC">
        <w:rPr>
          <w:rFonts w:ascii="Calibri" w:hAnsi="Calibri"/>
          <w:sz w:val="24"/>
        </w:rPr>
        <w:t>or</w:t>
      </w:r>
      <w:r w:rsidRPr="00150EDC">
        <w:rPr>
          <w:rFonts w:ascii="Calibri" w:hAnsi="Calibri"/>
          <w:spacing w:val="-3"/>
          <w:sz w:val="24"/>
        </w:rPr>
        <w:t xml:space="preserve"> </w:t>
      </w:r>
      <w:r w:rsidRPr="00150EDC">
        <w:rPr>
          <w:rFonts w:ascii="Calibri" w:hAnsi="Calibri"/>
          <w:sz w:val="24"/>
        </w:rPr>
        <w:t>150%</w:t>
      </w:r>
      <w:r w:rsidRPr="00150EDC">
        <w:rPr>
          <w:rFonts w:ascii="Calibri" w:hAnsi="Calibri"/>
          <w:spacing w:val="-3"/>
          <w:sz w:val="24"/>
        </w:rPr>
        <w:t xml:space="preserve"> </w:t>
      </w:r>
      <w:r w:rsidRPr="00150EDC">
        <w:rPr>
          <w:rFonts w:ascii="Calibri" w:hAnsi="Calibri"/>
          <w:sz w:val="24"/>
        </w:rPr>
        <w:t>of</w:t>
      </w:r>
      <w:r w:rsidRPr="00150EDC">
        <w:rPr>
          <w:rFonts w:ascii="Calibri" w:hAnsi="Calibri"/>
          <w:spacing w:val="-1"/>
          <w:sz w:val="24"/>
        </w:rPr>
        <w:t xml:space="preserve"> </w:t>
      </w:r>
      <w:r w:rsidRPr="00150EDC">
        <w:rPr>
          <w:rFonts w:ascii="Calibri" w:hAnsi="Calibri"/>
          <w:sz w:val="24"/>
        </w:rPr>
        <w:t>the</w:t>
      </w:r>
      <w:r w:rsidRPr="00150EDC">
        <w:rPr>
          <w:rFonts w:ascii="Calibri" w:hAnsi="Calibri"/>
          <w:spacing w:val="-3"/>
          <w:sz w:val="24"/>
        </w:rPr>
        <w:t xml:space="preserve"> </w:t>
      </w:r>
      <w:r w:rsidRPr="00150EDC">
        <w:rPr>
          <w:rFonts w:ascii="Calibri" w:hAnsi="Calibri"/>
          <w:sz w:val="24"/>
        </w:rPr>
        <w:t>Estimated</w:t>
      </w:r>
      <w:r w:rsidRPr="00150EDC">
        <w:rPr>
          <w:rFonts w:ascii="Calibri" w:hAnsi="Calibri"/>
          <w:spacing w:val="-3"/>
          <w:sz w:val="24"/>
        </w:rPr>
        <w:t xml:space="preserve"> </w:t>
      </w:r>
      <w:r w:rsidRPr="00150EDC">
        <w:rPr>
          <w:rFonts w:ascii="Calibri" w:hAnsi="Calibri"/>
          <w:sz w:val="24"/>
        </w:rPr>
        <w:t>Yearly</w:t>
      </w:r>
      <w:r w:rsidRPr="00150EDC">
        <w:rPr>
          <w:rFonts w:ascii="Calibri" w:hAnsi="Calibri"/>
          <w:spacing w:val="-2"/>
          <w:sz w:val="24"/>
        </w:rPr>
        <w:t xml:space="preserve"> </w:t>
      </w:r>
      <w:r w:rsidRPr="00150EDC">
        <w:rPr>
          <w:rFonts w:ascii="Calibri" w:hAnsi="Calibri"/>
          <w:sz w:val="24"/>
        </w:rPr>
        <w:t>Charges unless specified in the Order Form.</w:t>
      </w:r>
    </w:p>
    <w:p w14:paraId="34EFF68C" w14:textId="77777777" w:rsidR="004C7180" w:rsidRPr="00150EDC" w:rsidRDefault="004C7180">
      <w:pPr>
        <w:pStyle w:val="BodyText"/>
        <w:spacing w:before="1"/>
        <w:rPr>
          <w:rFonts w:ascii="Calibri"/>
        </w:rPr>
      </w:pPr>
    </w:p>
    <w:p w14:paraId="74D238EA" w14:textId="77777777" w:rsidR="004C7180" w:rsidRPr="00150EDC" w:rsidRDefault="00CF0754" w:rsidP="00B320C7">
      <w:pPr>
        <w:pStyle w:val="ListParagraph"/>
        <w:numPr>
          <w:ilvl w:val="1"/>
          <w:numId w:val="182"/>
        </w:numPr>
        <w:tabs>
          <w:tab w:val="left" w:pos="1065"/>
        </w:tabs>
        <w:ind w:left="1065" w:hanging="565"/>
        <w:rPr>
          <w:rFonts w:ascii="Calibri"/>
          <w:sz w:val="24"/>
        </w:rPr>
      </w:pPr>
      <w:r w:rsidRPr="00150EDC">
        <w:rPr>
          <w:rFonts w:ascii="Calibri"/>
          <w:sz w:val="24"/>
        </w:rPr>
        <w:t>No</w:t>
      </w:r>
      <w:r w:rsidRPr="00150EDC">
        <w:rPr>
          <w:rFonts w:ascii="Calibri"/>
          <w:spacing w:val="-1"/>
          <w:sz w:val="24"/>
        </w:rPr>
        <w:t xml:space="preserve"> </w:t>
      </w:r>
      <w:r w:rsidRPr="00150EDC">
        <w:rPr>
          <w:rFonts w:ascii="Calibri"/>
          <w:sz w:val="24"/>
        </w:rPr>
        <w:t>Party</w:t>
      </w:r>
      <w:r w:rsidRPr="00150EDC">
        <w:rPr>
          <w:rFonts w:ascii="Calibri"/>
          <w:spacing w:val="-2"/>
          <w:sz w:val="24"/>
        </w:rPr>
        <w:t xml:space="preserve"> </w:t>
      </w:r>
      <w:r w:rsidRPr="00150EDC">
        <w:rPr>
          <w:rFonts w:ascii="Calibri"/>
          <w:sz w:val="24"/>
        </w:rPr>
        <w:t>is</w:t>
      </w:r>
      <w:r w:rsidRPr="00150EDC">
        <w:rPr>
          <w:rFonts w:ascii="Calibri"/>
          <w:spacing w:val="-3"/>
          <w:sz w:val="24"/>
        </w:rPr>
        <w:t xml:space="preserve"> </w:t>
      </w:r>
      <w:r w:rsidRPr="00150EDC">
        <w:rPr>
          <w:rFonts w:ascii="Calibri"/>
          <w:sz w:val="24"/>
        </w:rPr>
        <w:t>liable</w:t>
      </w:r>
      <w:r w:rsidRPr="00150EDC">
        <w:rPr>
          <w:rFonts w:ascii="Calibri"/>
          <w:spacing w:val="-1"/>
          <w:sz w:val="24"/>
        </w:rPr>
        <w:t xml:space="preserve"> </w:t>
      </w:r>
      <w:r w:rsidRPr="00150EDC">
        <w:rPr>
          <w:rFonts w:ascii="Calibri"/>
          <w:sz w:val="24"/>
        </w:rPr>
        <w:t>to</w:t>
      </w:r>
      <w:r w:rsidRPr="00150EDC">
        <w:rPr>
          <w:rFonts w:ascii="Calibri"/>
          <w:spacing w:val="-2"/>
          <w:sz w:val="24"/>
        </w:rPr>
        <w:t xml:space="preserve"> </w:t>
      </w:r>
      <w:r w:rsidRPr="00150EDC">
        <w:rPr>
          <w:rFonts w:ascii="Calibri"/>
          <w:sz w:val="24"/>
        </w:rPr>
        <w:t>the</w:t>
      </w:r>
      <w:r w:rsidRPr="00150EDC">
        <w:rPr>
          <w:rFonts w:ascii="Calibri"/>
          <w:spacing w:val="-4"/>
          <w:sz w:val="24"/>
        </w:rPr>
        <w:t xml:space="preserve"> </w:t>
      </w:r>
      <w:r w:rsidRPr="00150EDC">
        <w:rPr>
          <w:rFonts w:ascii="Calibri"/>
          <w:sz w:val="24"/>
        </w:rPr>
        <w:t>other</w:t>
      </w:r>
      <w:r w:rsidRPr="00150EDC">
        <w:rPr>
          <w:rFonts w:ascii="Calibri"/>
          <w:spacing w:val="-2"/>
          <w:sz w:val="24"/>
        </w:rPr>
        <w:t xml:space="preserve"> </w:t>
      </w:r>
      <w:r w:rsidRPr="00150EDC">
        <w:rPr>
          <w:rFonts w:ascii="Calibri"/>
          <w:spacing w:val="-4"/>
          <w:sz w:val="24"/>
        </w:rPr>
        <w:t>for:</w:t>
      </w:r>
    </w:p>
    <w:p w14:paraId="3FDE63F7" w14:textId="77777777" w:rsidR="004C7180" w:rsidRPr="00150EDC" w:rsidRDefault="004C7180">
      <w:pPr>
        <w:pStyle w:val="BodyText"/>
        <w:spacing w:before="2"/>
        <w:rPr>
          <w:rFonts w:ascii="Calibri"/>
          <w:sz w:val="27"/>
        </w:rPr>
      </w:pPr>
    </w:p>
    <w:p w14:paraId="51ADD76A" w14:textId="77777777" w:rsidR="004C7180" w:rsidRPr="00150EDC" w:rsidRDefault="00CF0754" w:rsidP="00B320C7">
      <w:pPr>
        <w:pStyle w:val="ListParagraph"/>
        <w:numPr>
          <w:ilvl w:val="0"/>
          <w:numId w:val="164"/>
        </w:numPr>
        <w:tabs>
          <w:tab w:val="left" w:pos="1491"/>
        </w:tabs>
        <w:ind w:left="1491" w:hanging="425"/>
        <w:rPr>
          <w:rFonts w:ascii="Calibri"/>
          <w:sz w:val="24"/>
        </w:rPr>
      </w:pPr>
      <w:r w:rsidRPr="00150EDC">
        <w:rPr>
          <w:rFonts w:ascii="Calibri"/>
          <w:sz w:val="24"/>
        </w:rPr>
        <w:t>any</w:t>
      </w:r>
      <w:r w:rsidRPr="00150EDC">
        <w:rPr>
          <w:rFonts w:ascii="Calibri"/>
          <w:spacing w:val="-2"/>
          <w:sz w:val="24"/>
        </w:rPr>
        <w:t xml:space="preserve"> </w:t>
      </w:r>
      <w:r w:rsidRPr="00150EDC">
        <w:rPr>
          <w:rFonts w:ascii="Calibri"/>
          <w:sz w:val="24"/>
        </w:rPr>
        <w:t>indirect</w:t>
      </w:r>
      <w:r w:rsidRPr="00150EDC">
        <w:rPr>
          <w:rFonts w:ascii="Calibri"/>
          <w:spacing w:val="-2"/>
          <w:sz w:val="24"/>
        </w:rPr>
        <w:t xml:space="preserve"> </w:t>
      </w:r>
      <w:r w:rsidRPr="00150EDC">
        <w:rPr>
          <w:rFonts w:ascii="Calibri"/>
          <w:sz w:val="24"/>
        </w:rPr>
        <w:t>Losses;</w:t>
      </w:r>
      <w:r w:rsidRPr="00150EDC">
        <w:rPr>
          <w:rFonts w:ascii="Calibri"/>
          <w:spacing w:val="-2"/>
          <w:sz w:val="24"/>
        </w:rPr>
        <w:t xml:space="preserve"> </w:t>
      </w:r>
      <w:r w:rsidRPr="00150EDC">
        <w:rPr>
          <w:rFonts w:ascii="Calibri"/>
          <w:spacing w:val="-5"/>
          <w:sz w:val="24"/>
        </w:rPr>
        <w:t>or</w:t>
      </w:r>
    </w:p>
    <w:p w14:paraId="152DF1CD" w14:textId="77777777" w:rsidR="004C7180" w:rsidRPr="00150EDC" w:rsidRDefault="00CF0754" w:rsidP="00B320C7">
      <w:pPr>
        <w:pStyle w:val="ListParagraph"/>
        <w:numPr>
          <w:ilvl w:val="0"/>
          <w:numId w:val="164"/>
        </w:numPr>
        <w:tabs>
          <w:tab w:val="left" w:pos="1491"/>
          <w:tab w:val="left" w:pos="1494"/>
        </w:tabs>
        <w:spacing w:before="21"/>
        <w:ind w:right="1340"/>
        <w:rPr>
          <w:rFonts w:ascii="Calibri"/>
          <w:sz w:val="24"/>
        </w:rPr>
      </w:pPr>
      <w:r w:rsidRPr="00150EDC">
        <w:rPr>
          <w:rFonts w:ascii="Calibri"/>
          <w:sz w:val="24"/>
        </w:rPr>
        <w:t>Loss</w:t>
      </w:r>
      <w:r w:rsidRPr="00150EDC">
        <w:rPr>
          <w:rFonts w:ascii="Calibri"/>
          <w:spacing w:val="-3"/>
          <w:sz w:val="24"/>
        </w:rPr>
        <w:t xml:space="preserve"> </w:t>
      </w:r>
      <w:r w:rsidRPr="00150EDC">
        <w:rPr>
          <w:rFonts w:ascii="Calibri"/>
          <w:sz w:val="24"/>
        </w:rPr>
        <w:t>of</w:t>
      </w:r>
      <w:r w:rsidRPr="00150EDC">
        <w:rPr>
          <w:rFonts w:ascii="Calibri"/>
          <w:spacing w:val="-4"/>
          <w:sz w:val="24"/>
        </w:rPr>
        <w:t xml:space="preserve"> </w:t>
      </w:r>
      <w:r w:rsidRPr="00150EDC">
        <w:rPr>
          <w:rFonts w:ascii="Calibri"/>
          <w:sz w:val="24"/>
        </w:rPr>
        <w:t>profits,</w:t>
      </w:r>
      <w:r w:rsidRPr="00150EDC">
        <w:rPr>
          <w:rFonts w:ascii="Calibri"/>
          <w:spacing w:val="-5"/>
          <w:sz w:val="24"/>
        </w:rPr>
        <w:t xml:space="preserve"> </w:t>
      </w:r>
      <w:r w:rsidRPr="00150EDC">
        <w:rPr>
          <w:rFonts w:ascii="Calibri"/>
          <w:sz w:val="24"/>
        </w:rPr>
        <w:t>turnover,</w:t>
      </w:r>
      <w:r w:rsidRPr="00150EDC">
        <w:rPr>
          <w:rFonts w:ascii="Calibri"/>
          <w:spacing w:val="-2"/>
          <w:sz w:val="24"/>
        </w:rPr>
        <w:t xml:space="preserve"> </w:t>
      </w:r>
      <w:r w:rsidRPr="00150EDC">
        <w:rPr>
          <w:rFonts w:ascii="Calibri"/>
          <w:sz w:val="24"/>
        </w:rPr>
        <w:t>savings,</w:t>
      </w:r>
      <w:r w:rsidRPr="00150EDC">
        <w:rPr>
          <w:rFonts w:ascii="Calibri"/>
          <w:spacing w:val="-2"/>
          <w:sz w:val="24"/>
        </w:rPr>
        <w:t xml:space="preserve"> </w:t>
      </w:r>
      <w:r w:rsidRPr="00150EDC">
        <w:rPr>
          <w:rFonts w:ascii="Calibri"/>
          <w:sz w:val="24"/>
        </w:rPr>
        <w:t>business</w:t>
      </w:r>
      <w:r w:rsidRPr="00150EDC">
        <w:rPr>
          <w:rFonts w:ascii="Calibri"/>
          <w:spacing w:val="-5"/>
          <w:sz w:val="24"/>
        </w:rPr>
        <w:t xml:space="preserve"> </w:t>
      </w:r>
      <w:r w:rsidRPr="00150EDC">
        <w:rPr>
          <w:rFonts w:ascii="Calibri"/>
          <w:sz w:val="24"/>
        </w:rPr>
        <w:t>opportunities</w:t>
      </w:r>
      <w:r w:rsidRPr="00150EDC">
        <w:rPr>
          <w:rFonts w:ascii="Calibri"/>
          <w:spacing w:val="-3"/>
          <w:sz w:val="24"/>
        </w:rPr>
        <w:t xml:space="preserve"> </w:t>
      </w:r>
      <w:r w:rsidRPr="00150EDC">
        <w:rPr>
          <w:rFonts w:ascii="Calibri"/>
          <w:sz w:val="24"/>
        </w:rPr>
        <w:t>or</w:t>
      </w:r>
      <w:r w:rsidRPr="00150EDC">
        <w:rPr>
          <w:rFonts w:ascii="Calibri"/>
          <w:spacing w:val="-4"/>
          <w:sz w:val="24"/>
        </w:rPr>
        <w:t xml:space="preserve"> </w:t>
      </w:r>
      <w:r w:rsidRPr="00150EDC">
        <w:rPr>
          <w:rFonts w:ascii="Calibri"/>
          <w:sz w:val="24"/>
        </w:rPr>
        <w:t>damage</w:t>
      </w:r>
      <w:r w:rsidRPr="00150EDC">
        <w:rPr>
          <w:rFonts w:ascii="Calibri"/>
          <w:spacing w:val="-4"/>
          <w:sz w:val="24"/>
        </w:rPr>
        <w:t xml:space="preserve"> </w:t>
      </w:r>
      <w:r w:rsidRPr="00150EDC">
        <w:rPr>
          <w:rFonts w:ascii="Calibri"/>
          <w:sz w:val="24"/>
        </w:rPr>
        <w:t>to</w:t>
      </w:r>
      <w:r w:rsidRPr="00150EDC">
        <w:rPr>
          <w:rFonts w:ascii="Calibri"/>
          <w:spacing w:val="-2"/>
          <w:sz w:val="24"/>
        </w:rPr>
        <w:t xml:space="preserve"> </w:t>
      </w:r>
      <w:r w:rsidRPr="00150EDC">
        <w:rPr>
          <w:rFonts w:ascii="Calibri"/>
          <w:sz w:val="24"/>
        </w:rPr>
        <w:t>goodwill</w:t>
      </w:r>
      <w:r w:rsidRPr="00150EDC">
        <w:rPr>
          <w:rFonts w:ascii="Calibri"/>
          <w:spacing w:val="-3"/>
          <w:sz w:val="24"/>
        </w:rPr>
        <w:t xml:space="preserve"> </w:t>
      </w:r>
      <w:r w:rsidRPr="00150EDC">
        <w:rPr>
          <w:rFonts w:ascii="Calibri"/>
          <w:sz w:val="24"/>
        </w:rPr>
        <w:t>(in</w:t>
      </w:r>
      <w:r w:rsidRPr="00150EDC">
        <w:rPr>
          <w:rFonts w:ascii="Calibri"/>
          <w:spacing w:val="-2"/>
          <w:sz w:val="24"/>
        </w:rPr>
        <w:t xml:space="preserve"> </w:t>
      </w:r>
      <w:r w:rsidRPr="00150EDC">
        <w:rPr>
          <w:rFonts w:ascii="Calibri"/>
          <w:sz w:val="24"/>
        </w:rPr>
        <w:t>each</w:t>
      </w:r>
      <w:r w:rsidRPr="00150EDC">
        <w:rPr>
          <w:rFonts w:ascii="Calibri"/>
          <w:spacing w:val="-2"/>
          <w:sz w:val="24"/>
        </w:rPr>
        <w:t xml:space="preserve"> </w:t>
      </w:r>
      <w:r w:rsidRPr="00150EDC">
        <w:rPr>
          <w:rFonts w:ascii="Calibri"/>
          <w:sz w:val="24"/>
        </w:rPr>
        <w:t>case whether direct or indirect).</w:t>
      </w:r>
    </w:p>
    <w:p w14:paraId="1EA1F55B" w14:textId="77777777" w:rsidR="004C7180" w:rsidRPr="00150EDC" w:rsidRDefault="004C7180">
      <w:pPr>
        <w:pStyle w:val="BodyText"/>
        <w:spacing w:before="9"/>
        <w:rPr>
          <w:rFonts w:ascii="Calibri"/>
          <w:sz w:val="25"/>
        </w:rPr>
      </w:pPr>
    </w:p>
    <w:p w14:paraId="464E5A28" w14:textId="77777777" w:rsidR="004C7180" w:rsidRPr="00150EDC" w:rsidRDefault="00CF0754" w:rsidP="00B320C7">
      <w:pPr>
        <w:pStyle w:val="ListParagraph"/>
        <w:numPr>
          <w:ilvl w:val="1"/>
          <w:numId w:val="182"/>
        </w:numPr>
        <w:tabs>
          <w:tab w:val="left" w:pos="1065"/>
        </w:tabs>
        <w:ind w:left="1065" w:hanging="565"/>
        <w:rPr>
          <w:rFonts w:ascii="Calibri"/>
          <w:sz w:val="24"/>
        </w:rPr>
      </w:pPr>
      <w:r w:rsidRPr="00150EDC">
        <w:rPr>
          <w:rFonts w:ascii="Calibri"/>
          <w:sz w:val="24"/>
        </w:rPr>
        <w:t>In</w:t>
      </w:r>
      <w:r w:rsidRPr="00150EDC">
        <w:rPr>
          <w:rFonts w:ascii="Calibri"/>
          <w:spacing w:val="-4"/>
          <w:sz w:val="24"/>
        </w:rPr>
        <w:t xml:space="preserve"> </w:t>
      </w:r>
      <w:r w:rsidRPr="00150EDC">
        <w:rPr>
          <w:rFonts w:ascii="Calibri"/>
          <w:sz w:val="24"/>
        </w:rPr>
        <w:t>spite</w:t>
      </w:r>
      <w:r w:rsidRPr="00150EDC">
        <w:rPr>
          <w:rFonts w:ascii="Calibri"/>
          <w:spacing w:val="-1"/>
          <w:sz w:val="24"/>
        </w:rPr>
        <w:t xml:space="preserve"> </w:t>
      </w:r>
      <w:r w:rsidRPr="00150EDC">
        <w:rPr>
          <w:rFonts w:ascii="Calibri"/>
          <w:sz w:val="24"/>
        </w:rPr>
        <w:t>of</w:t>
      </w:r>
      <w:r w:rsidRPr="00150EDC">
        <w:rPr>
          <w:rFonts w:ascii="Calibri"/>
          <w:spacing w:val="-1"/>
          <w:sz w:val="24"/>
        </w:rPr>
        <w:t xml:space="preserve"> </w:t>
      </w:r>
      <w:r w:rsidRPr="00150EDC">
        <w:rPr>
          <w:rFonts w:ascii="Calibri"/>
          <w:sz w:val="24"/>
        </w:rPr>
        <w:t>Clause</w:t>
      </w:r>
      <w:r w:rsidRPr="00150EDC">
        <w:rPr>
          <w:rFonts w:ascii="Calibri"/>
          <w:spacing w:val="-1"/>
          <w:sz w:val="24"/>
        </w:rPr>
        <w:t xml:space="preserve"> </w:t>
      </w:r>
      <w:r w:rsidRPr="00150EDC">
        <w:rPr>
          <w:rFonts w:ascii="Calibri"/>
          <w:sz w:val="24"/>
        </w:rPr>
        <w:t>11.1</w:t>
      </w:r>
      <w:r w:rsidRPr="00150EDC">
        <w:rPr>
          <w:rFonts w:ascii="Calibri"/>
          <w:spacing w:val="-2"/>
          <w:sz w:val="24"/>
        </w:rPr>
        <w:t xml:space="preserve"> </w:t>
      </w:r>
      <w:r w:rsidRPr="00150EDC">
        <w:rPr>
          <w:rFonts w:ascii="Calibri"/>
          <w:sz w:val="24"/>
        </w:rPr>
        <w:t>and</w:t>
      </w:r>
      <w:r w:rsidRPr="00150EDC">
        <w:rPr>
          <w:rFonts w:ascii="Calibri"/>
          <w:spacing w:val="-1"/>
          <w:sz w:val="24"/>
        </w:rPr>
        <w:t xml:space="preserve"> </w:t>
      </w:r>
      <w:r w:rsidRPr="00150EDC">
        <w:rPr>
          <w:rFonts w:ascii="Calibri"/>
          <w:sz w:val="24"/>
        </w:rPr>
        <w:t>11.2,</w:t>
      </w:r>
      <w:r w:rsidRPr="00150EDC">
        <w:rPr>
          <w:rFonts w:ascii="Calibri"/>
          <w:spacing w:val="-1"/>
          <w:sz w:val="24"/>
        </w:rPr>
        <w:t xml:space="preserve"> </w:t>
      </w:r>
      <w:r w:rsidRPr="00150EDC">
        <w:rPr>
          <w:rFonts w:ascii="Calibri"/>
          <w:sz w:val="24"/>
        </w:rPr>
        <w:t>neither</w:t>
      </w:r>
      <w:r w:rsidRPr="00150EDC">
        <w:rPr>
          <w:rFonts w:ascii="Calibri"/>
          <w:spacing w:val="-4"/>
          <w:sz w:val="24"/>
        </w:rPr>
        <w:t xml:space="preserve"> </w:t>
      </w:r>
      <w:r w:rsidRPr="00150EDC">
        <w:rPr>
          <w:rFonts w:ascii="Calibri"/>
          <w:sz w:val="24"/>
        </w:rPr>
        <w:t>Party</w:t>
      </w:r>
      <w:r w:rsidRPr="00150EDC">
        <w:rPr>
          <w:rFonts w:ascii="Calibri"/>
          <w:spacing w:val="-3"/>
          <w:sz w:val="24"/>
        </w:rPr>
        <w:t xml:space="preserve"> </w:t>
      </w:r>
      <w:r w:rsidRPr="00150EDC">
        <w:rPr>
          <w:rFonts w:ascii="Calibri"/>
          <w:sz w:val="24"/>
        </w:rPr>
        <w:t>limits</w:t>
      </w:r>
      <w:r w:rsidRPr="00150EDC">
        <w:rPr>
          <w:rFonts w:ascii="Calibri"/>
          <w:spacing w:val="-2"/>
          <w:sz w:val="24"/>
        </w:rPr>
        <w:t xml:space="preserve"> </w:t>
      </w:r>
      <w:r w:rsidRPr="00150EDC">
        <w:rPr>
          <w:rFonts w:ascii="Calibri"/>
          <w:sz w:val="24"/>
        </w:rPr>
        <w:t>or</w:t>
      </w:r>
      <w:r w:rsidRPr="00150EDC">
        <w:rPr>
          <w:rFonts w:ascii="Calibri"/>
          <w:spacing w:val="-3"/>
          <w:sz w:val="24"/>
        </w:rPr>
        <w:t xml:space="preserve"> </w:t>
      </w:r>
      <w:r w:rsidRPr="00150EDC">
        <w:rPr>
          <w:rFonts w:ascii="Calibri"/>
          <w:sz w:val="24"/>
        </w:rPr>
        <w:t>excludes</w:t>
      </w:r>
      <w:r w:rsidRPr="00150EDC">
        <w:rPr>
          <w:rFonts w:ascii="Calibri"/>
          <w:spacing w:val="-4"/>
          <w:sz w:val="24"/>
        </w:rPr>
        <w:t xml:space="preserve"> </w:t>
      </w:r>
      <w:r w:rsidRPr="00150EDC">
        <w:rPr>
          <w:rFonts w:ascii="Calibri"/>
          <w:sz w:val="24"/>
        </w:rPr>
        <w:t>any</w:t>
      </w:r>
      <w:r w:rsidRPr="00150EDC">
        <w:rPr>
          <w:rFonts w:ascii="Calibri"/>
          <w:spacing w:val="-5"/>
          <w:sz w:val="24"/>
        </w:rPr>
        <w:t xml:space="preserve"> </w:t>
      </w:r>
      <w:r w:rsidRPr="00150EDC">
        <w:rPr>
          <w:rFonts w:ascii="Calibri"/>
          <w:sz w:val="24"/>
        </w:rPr>
        <w:t>of</w:t>
      </w:r>
      <w:r w:rsidRPr="00150EDC">
        <w:rPr>
          <w:rFonts w:ascii="Calibri"/>
          <w:spacing w:val="-2"/>
          <w:sz w:val="24"/>
        </w:rPr>
        <w:t xml:space="preserve"> </w:t>
      </w:r>
      <w:r w:rsidRPr="00150EDC">
        <w:rPr>
          <w:rFonts w:ascii="Calibri"/>
          <w:sz w:val="24"/>
        </w:rPr>
        <w:t>the</w:t>
      </w:r>
      <w:r w:rsidRPr="00150EDC">
        <w:rPr>
          <w:rFonts w:ascii="Calibri"/>
          <w:spacing w:val="-3"/>
          <w:sz w:val="24"/>
        </w:rPr>
        <w:t xml:space="preserve"> </w:t>
      </w:r>
      <w:r w:rsidRPr="00150EDC">
        <w:rPr>
          <w:rFonts w:ascii="Calibri"/>
          <w:spacing w:val="-2"/>
          <w:sz w:val="24"/>
        </w:rPr>
        <w:t>following:</w:t>
      </w:r>
    </w:p>
    <w:p w14:paraId="46E58FEA" w14:textId="77777777" w:rsidR="004C7180" w:rsidRPr="00150EDC" w:rsidRDefault="004C7180">
      <w:pPr>
        <w:pStyle w:val="BodyText"/>
        <w:spacing w:before="1"/>
        <w:rPr>
          <w:rFonts w:ascii="Calibri"/>
          <w:sz w:val="27"/>
        </w:rPr>
      </w:pPr>
    </w:p>
    <w:p w14:paraId="6FCEE69C" w14:textId="77777777" w:rsidR="004C7180" w:rsidRPr="00150EDC" w:rsidRDefault="00CF0754" w:rsidP="00B320C7">
      <w:pPr>
        <w:pStyle w:val="ListParagraph"/>
        <w:numPr>
          <w:ilvl w:val="0"/>
          <w:numId w:val="163"/>
        </w:numPr>
        <w:tabs>
          <w:tab w:val="left" w:pos="1491"/>
          <w:tab w:val="left" w:pos="1494"/>
        </w:tabs>
        <w:spacing w:before="1"/>
        <w:ind w:right="774"/>
        <w:rPr>
          <w:rFonts w:ascii="Calibri"/>
          <w:sz w:val="24"/>
        </w:rPr>
      </w:pPr>
      <w:r w:rsidRPr="00150EDC">
        <w:rPr>
          <w:rFonts w:ascii="Calibri"/>
          <w:sz w:val="24"/>
        </w:rPr>
        <w:t>its</w:t>
      </w:r>
      <w:r w:rsidRPr="00150EDC">
        <w:rPr>
          <w:rFonts w:ascii="Calibri"/>
          <w:spacing w:val="-2"/>
          <w:sz w:val="24"/>
        </w:rPr>
        <w:t xml:space="preserve"> </w:t>
      </w:r>
      <w:r w:rsidRPr="00150EDC">
        <w:rPr>
          <w:rFonts w:ascii="Calibri"/>
          <w:sz w:val="24"/>
        </w:rPr>
        <w:t>liability</w:t>
      </w:r>
      <w:r w:rsidRPr="00150EDC">
        <w:rPr>
          <w:rFonts w:ascii="Calibri"/>
          <w:spacing w:val="-5"/>
          <w:sz w:val="24"/>
        </w:rPr>
        <w:t xml:space="preserve"> </w:t>
      </w:r>
      <w:r w:rsidRPr="00150EDC">
        <w:rPr>
          <w:rFonts w:ascii="Calibri"/>
          <w:sz w:val="24"/>
        </w:rPr>
        <w:t>for</w:t>
      </w:r>
      <w:r w:rsidRPr="00150EDC">
        <w:rPr>
          <w:rFonts w:ascii="Calibri"/>
          <w:spacing w:val="-3"/>
          <w:sz w:val="24"/>
        </w:rPr>
        <w:t xml:space="preserve"> </w:t>
      </w:r>
      <w:r w:rsidRPr="00150EDC">
        <w:rPr>
          <w:rFonts w:ascii="Calibri"/>
          <w:sz w:val="24"/>
        </w:rPr>
        <w:t>death</w:t>
      </w:r>
      <w:r w:rsidRPr="00150EDC">
        <w:rPr>
          <w:rFonts w:ascii="Calibri"/>
          <w:spacing w:val="-3"/>
          <w:sz w:val="24"/>
        </w:rPr>
        <w:t xml:space="preserve"> </w:t>
      </w:r>
      <w:r w:rsidRPr="00150EDC">
        <w:rPr>
          <w:rFonts w:ascii="Calibri"/>
          <w:sz w:val="24"/>
        </w:rPr>
        <w:t>or</w:t>
      </w:r>
      <w:r w:rsidRPr="00150EDC">
        <w:rPr>
          <w:rFonts w:ascii="Calibri"/>
          <w:spacing w:val="-3"/>
          <w:sz w:val="24"/>
        </w:rPr>
        <w:t xml:space="preserve"> </w:t>
      </w:r>
      <w:r w:rsidRPr="00150EDC">
        <w:rPr>
          <w:rFonts w:ascii="Calibri"/>
          <w:sz w:val="24"/>
        </w:rPr>
        <w:t>personal</w:t>
      </w:r>
      <w:r w:rsidRPr="00150EDC">
        <w:rPr>
          <w:rFonts w:ascii="Calibri"/>
          <w:spacing w:val="-4"/>
          <w:sz w:val="24"/>
        </w:rPr>
        <w:t xml:space="preserve"> </w:t>
      </w:r>
      <w:r w:rsidRPr="00150EDC">
        <w:rPr>
          <w:rFonts w:ascii="Calibri"/>
          <w:sz w:val="24"/>
        </w:rPr>
        <w:t>injury</w:t>
      </w:r>
      <w:r w:rsidRPr="00150EDC">
        <w:rPr>
          <w:rFonts w:ascii="Calibri"/>
          <w:spacing w:val="-2"/>
          <w:sz w:val="24"/>
        </w:rPr>
        <w:t xml:space="preserve"> </w:t>
      </w:r>
      <w:r w:rsidRPr="00150EDC">
        <w:rPr>
          <w:rFonts w:ascii="Calibri"/>
          <w:sz w:val="24"/>
        </w:rPr>
        <w:t>caused</w:t>
      </w:r>
      <w:r w:rsidRPr="00150EDC">
        <w:rPr>
          <w:rFonts w:ascii="Calibri"/>
          <w:spacing w:val="-3"/>
          <w:sz w:val="24"/>
        </w:rPr>
        <w:t xml:space="preserve"> </w:t>
      </w:r>
      <w:r w:rsidRPr="00150EDC">
        <w:rPr>
          <w:rFonts w:ascii="Calibri"/>
          <w:sz w:val="24"/>
        </w:rPr>
        <w:t>by</w:t>
      </w:r>
      <w:r w:rsidRPr="00150EDC">
        <w:rPr>
          <w:rFonts w:ascii="Calibri"/>
          <w:spacing w:val="-5"/>
          <w:sz w:val="24"/>
        </w:rPr>
        <w:t xml:space="preserve"> </w:t>
      </w:r>
      <w:r w:rsidRPr="00150EDC">
        <w:rPr>
          <w:rFonts w:ascii="Calibri"/>
          <w:sz w:val="24"/>
        </w:rPr>
        <w:t>its</w:t>
      </w:r>
      <w:r w:rsidRPr="00150EDC">
        <w:rPr>
          <w:rFonts w:ascii="Calibri"/>
          <w:spacing w:val="-2"/>
          <w:sz w:val="24"/>
        </w:rPr>
        <w:t xml:space="preserve"> </w:t>
      </w:r>
      <w:r w:rsidRPr="00150EDC">
        <w:rPr>
          <w:rFonts w:ascii="Calibri"/>
          <w:sz w:val="24"/>
        </w:rPr>
        <w:t>negligence, or</w:t>
      </w:r>
      <w:r w:rsidRPr="00150EDC">
        <w:rPr>
          <w:rFonts w:ascii="Calibri"/>
          <w:spacing w:val="-3"/>
          <w:sz w:val="24"/>
        </w:rPr>
        <w:t xml:space="preserve"> </w:t>
      </w:r>
      <w:r w:rsidRPr="00150EDC">
        <w:rPr>
          <w:rFonts w:ascii="Calibri"/>
          <w:sz w:val="24"/>
        </w:rPr>
        <w:t>that</w:t>
      </w:r>
      <w:r w:rsidRPr="00150EDC">
        <w:rPr>
          <w:rFonts w:ascii="Calibri"/>
          <w:spacing w:val="-3"/>
          <w:sz w:val="24"/>
        </w:rPr>
        <w:t xml:space="preserve"> </w:t>
      </w:r>
      <w:r w:rsidRPr="00150EDC">
        <w:rPr>
          <w:rFonts w:ascii="Calibri"/>
          <w:sz w:val="24"/>
        </w:rPr>
        <w:t>of</w:t>
      </w:r>
      <w:r w:rsidRPr="00150EDC">
        <w:rPr>
          <w:rFonts w:ascii="Calibri"/>
          <w:spacing w:val="-2"/>
          <w:sz w:val="24"/>
        </w:rPr>
        <w:t xml:space="preserve"> </w:t>
      </w:r>
      <w:r w:rsidRPr="00150EDC">
        <w:rPr>
          <w:rFonts w:ascii="Calibri"/>
          <w:sz w:val="24"/>
        </w:rPr>
        <w:t>its</w:t>
      </w:r>
      <w:r w:rsidRPr="00150EDC">
        <w:rPr>
          <w:rFonts w:ascii="Calibri"/>
          <w:spacing w:val="-2"/>
          <w:sz w:val="24"/>
        </w:rPr>
        <w:t xml:space="preserve"> </w:t>
      </w:r>
      <w:r w:rsidRPr="00150EDC">
        <w:rPr>
          <w:rFonts w:ascii="Calibri"/>
          <w:sz w:val="24"/>
        </w:rPr>
        <w:t>employees,</w:t>
      </w:r>
      <w:r w:rsidRPr="00150EDC">
        <w:rPr>
          <w:rFonts w:ascii="Calibri"/>
          <w:spacing w:val="-4"/>
          <w:sz w:val="24"/>
        </w:rPr>
        <w:t xml:space="preserve"> </w:t>
      </w:r>
      <w:r w:rsidRPr="00150EDC">
        <w:rPr>
          <w:rFonts w:ascii="Calibri"/>
          <w:sz w:val="24"/>
        </w:rPr>
        <w:t>agents</w:t>
      </w:r>
      <w:r w:rsidRPr="00150EDC">
        <w:rPr>
          <w:rFonts w:ascii="Calibri"/>
          <w:spacing w:val="-2"/>
          <w:sz w:val="24"/>
        </w:rPr>
        <w:t xml:space="preserve"> </w:t>
      </w:r>
      <w:r w:rsidRPr="00150EDC">
        <w:rPr>
          <w:rFonts w:ascii="Calibri"/>
          <w:sz w:val="24"/>
        </w:rPr>
        <w:t xml:space="preserve">or </w:t>
      </w:r>
      <w:r w:rsidRPr="00150EDC">
        <w:rPr>
          <w:rFonts w:ascii="Calibri"/>
          <w:spacing w:val="-2"/>
          <w:sz w:val="24"/>
        </w:rPr>
        <w:t>Subcontractors;</w:t>
      </w:r>
    </w:p>
    <w:p w14:paraId="6F71F05F" w14:textId="77777777" w:rsidR="004C7180" w:rsidRPr="00150EDC" w:rsidRDefault="00CF0754" w:rsidP="00B320C7">
      <w:pPr>
        <w:pStyle w:val="ListParagraph"/>
        <w:numPr>
          <w:ilvl w:val="0"/>
          <w:numId w:val="163"/>
        </w:numPr>
        <w:tabs>
          <w:tab w:val="left" w:pos="1491"/>
        </w:tabs>
        <w:spacing w:before="19"/>
        <w:ind w:left="1491" w:hanging="425"/>
        <w:rPr>
          <w:rFonts w:ascii="Calibri"/>
          <w:sz w:val="24"/>
        </w:rPr>
      </w:pPr>
      <w:r w:rsidRPr="00150EDC">
        <w:rPr>
          <w:rFonts w:ascii="Calibri"/>
          <w:sz w:val="24"/>
        </w:rPr>
        <w:t>its</w:t>
      </w:r>
      <w:r w:rsidRPr="00150EDC">
        <w:rPr>
          <w:rFonts w:ascii="Calibri"/>
          <w:spacing w:val="-3"/>
          <w:sz w:val="24"/>
        </w:rPr>
        <w:t xml:space="preserve"> </w:t>
      </w:r>
      <w:r w:rsidRPr="00150EDC">
        <w:rPr>
          <w:rFonts w:ascii="Calibri"/>
          <w:sz w:val="24"/>
        </w:rPr>
        <w:t>liability</w:t>
      </w:r>
      <w:r w:rsidRPr="00150EDC">
        <w:rPr>
          <w:rFonts w:ascii="Calibri"/>
          <w:spacing w:val="-6"/>
          <w:sz w:val="24"/>
        </w:rPr>
        <w:t xml:space="preserve"> </w:t>
      </w:r>
      <w:r w:rsidRPr="00150EDC">
        <w:rPr>
          <w:rFonts w:ascii="Calibri"/>
          <w:sz w:val="24"/>
        </w:rPr>
        <w:t>for</w:t>
      </w:r>
      <w:r w:rsidRPr="00150EDC">
        <w:rPr>
          <w:rFonts w:ascii="Calibri"/>
          <w:spacing w:val="-3"/>
          <w:sz w:val="24"/>
        </w:rPr>
        <w:t xml:space="preserve"> </w:t>
      </w:r>
      <w:r w:rsidRPr="00150EDC">
        <w:rPr>
          <w:rFonts w:ascii="Calibri"/>
          <w:sz w:val="24"/>
        </w:rPr>
        <w:t>bribery</w:t>
      </w:r>
      <w:r w:rsidRPr="00150EDC">
        <w:rPr>
          <w:rFonts w:ascii="Calibri"/>
          <w:spacing w:val="-3"/>
          <w:sz w:val="24"/>
        </w:rPr>
        <w:t xml:space="preserve"> </w:t>
      </w:r>
      <w:r w:rsidRPr="00150EDC">
        <w:rPr>
          <w:rFonts w:ascii="Calibri"/>
          <w:sz w:val="24"/>
        </w:rPr>
        <w:t>or</w:t>
      </w:r>
      <w:r w:rsidRPr="00150EDC">
        <w:rPr>
          <w:rFonts w:ascii="Calibri"/>
          <w:spacing w:val="-5"/>
          <w:sz w:val="24"/>
        </w:rPr>
        <w:t xml:space="preserve"> </w:t>
      </w:r>
      <w:r w:rsidRPr="00150EDC">
        <w:rPr>
          <w:rFonts w:ascii="Calibri"/>
          <w:sz w:val="24"/>
        </w:rPr>
        <w:t>fraud</w:t>
      </w:r>
      <w:r w:rsidRPr="00150EDC">
        <w:rPr>
          <w:rFonts w:ascii="Calibri"/>
          <w:spacing w:val="-2"/>
          <w:sz w:val="24"/>
        </w:rPr>
        <w:t xml:space="preserve"> </w:t>
      </w:r>
      <w:r w:rsidRPr="00150EDC">
        <w:rPr>
          <w:rFonts w:ascii="Calibri"/>
          <w:sz w:val="24"/>
        </w:rPr>
        <w:t>or</w:t>
      </w:r>
      <w:r w:rsidRPr="00150EDC">
        <w:rPr>
          <w:rFonts w:ascii="Calibri"/>
          <w:spacing w:val="-3"/>
          <w:sz w:val="24"/>
        </w:rPr>
        <w:t xml:space="preserve"> </w:t>
      </w:r>
      <w:r w:rsidRPr="00150EDC">
        <w:rPr>
          <w:rFonts w:ascii="Calibri"/>
          <w:sz w:val="24"/>
        </w:rPr>
        <w:t>fraudulent</w:t>
      </w:r>
      <w:r w:rsidRPr="00150EDC">
        <w:rPr>
          <w:rFonts w:ascii="Calibri"/>
          <w:spacing w:val="-4"/>
          <w:sz w:val="24"/>
        </w:rPr>
        <w:t xml:space="preserve"> </w:t>
      </w:r>
      <w:r w:rsidRPr="00150EDC">
        <w:rPr>
          <w:rFonts w:ascii="Calibri"/>
          <w:sz w:val="24"/>
        </w:rPr>
        <w:t>misrepresentation</w:t>
      </w:r>
      <w:r w:rsidRPr="00150EDC">
        <w:rPr>
          <w:rFonts w:ascii="Calibri"/>
          <w:spacing w:val="-2"/>
          <w:sz w:val="24"/>
        </w:rPr>
        <w:t xml:space="preserve"> </w:t>
      </w:r>
      <w:r w:rsidRPr="00150EDC">
        <w:rPr>
          <w:rFonts w:ascii="Calibri"/>
          <w:sz w:val="24"/>
        </w:rPr>
        <w:t>by</w:t>
      </w:r>
      <w:r w:rsidRPr="00150EDC">
        <w:rPr>
          <w:rFonts w:ascii="Calibri"/>
          <w:spacing w:val="-5"/>
          <w:sz w:val="24"/>
        </w:rPr>
        <w:t xml:space="preserve"> </w:t>
      </w:r>
      <w:r w:rsidRPr="00150EDC">
        <w:rPr>
          <w:rFonts w:ascii="Calibri"/>
          <w:sz w:val="24"/>
        </w:rPr>
        <w:t>it</w:t>
      </w:r>
      <w:r w:rsidRPr="00150EDC">
        <w:rPr>
          <w:rFonts w:ascii="Calibri"/>
          <w:spacing w:val="-4"/>
          <w:sz w:val="24"/>
        </w:rPr>
        <w:t xml:space="preserve"> </w:t>
      </w:r>
      <w:r w:rsidRPr="00150EDC">
        <w:rPr>
          <w:rFonts w:ascii="Calibri"/>
          <w:sz w:val="24"/>
        </w:rPr>
        <w:t>or</w:t>
      </w:r>
      <w:r w:rsidRPr="00150EDC">
        <w:rPr>
          <w:rFonts w:ascii="Calibri"/>
          <w:spacing w:val="-2"/>
          <w:sz w:val="24"/>
        </w:rPr>
        <w:t xml:space="preserve"> </w:t>
      </w:r>
      <w:r w:rsidRPr="00150EDC">
        <w:rPr>
          <w:rFonts w:ascii="Calibri"/>
          <w:sz w:val="24"/>
        </w:rPr>
        <w:t>its</w:t>
      </w:r>
      <w:r w:rsidRPr="00150EDC">
        <w:rPr>
          <w:rFonts w:ascii="Calibri"/>
          <w:spacing w:val="-4"/>
          <w:sz w:val="24"/>
        </w:rPr>
        <w:t xml:space="preserve"> </w:t>
      </w:r>
      <w:r w:rsidRPr="00150EDC">
        <w:rPr>
          <w:rFonts w:ascii="Calibri"/>
          <w:spacing w:val="-2"/>
          <w:sz w:val="24"/>
        </w:rPr>
        <w:t>employees;</w:t>
      </w:r>
    </w:p>
    <w:p w14:paraId="011F568A" w14:textId="77777777" w:rsidR="004C7180" w:rsidRPr="00150EDC" w:rsidRDefault="00CF0754" w:rsidP="00B320C7">
      <w:pPr>
        <w:pStyle w:val="ListParagraph"/>
        <w:numPr>
          <w:ilvl w:val="0"/>
          <w:numId w:val="163"/>
        </w:numPr>
        <w:tabs>
          <w:tab w:val="left" w:pos="1492"/>
        </w:tabs>
        <w:spacing w:before="22"/>
        <w:ind w:left="1492" w:hanging="426"/>
        <w:rPr>
          <w:rFonts w:ascii="Calibri"/>
          <w:sz w:val="24"/>
        </w:rPr>
      </w:pPr>
      <w:r w:rsidRPr="00150EDC">
        <w:rPr>
          <w:rFonts w:ascii="Calibri"/>
          <w:sz w:val="24"/>
        </w:rPr>
        <w:t>any</w:t>
      </w:r>
      <w:r w:rsidRPr="00150EDC">
        <w:rPr>
          <w:rFonts w:ascii="Calibri"/>
          <w:spacing w:val="-5"/>
          <w:sz w:val="24"/>
        </w:rPr>
        <w:t xml:space="preserve"> </w:t>
      </w:r>
      <w:r w:rsidRPr="00150EDC">
        <w:rPr>
          <w:rFonts w:ascii="Calibri"/>
          <w:sz w:val="24"/>
        </w:rPr>
        <w:t>liability</w:t>
      </w:r>
      <w:r w:rsidRPr="00150EDC">
        <w:rPr>
          <w:rFonts w:ascii="Calibri"/>
          <w:spacing w:val="-6"/>
          <w:sz w:val="24"/>
        </w:rPr>
        <w:t xml:space="preserve"> </w:t>
      </w:r>
      <w:r w:rsidRPr="00150EDC">
        <w:rPr>
          <w:rFonts w:ascii="Calibri"/>
          <w:sz w:val="24"/>
        </w:rPr>
        <w:t>that</w:t>
      </w:r>
      <w:r w:rsidRPr="00150EDC">
        <w:rPr>
          <w:rFonts w:ascii="Calibri"/>
          <w:spacing w:val="-1"/>
          <w:sz w:val="24"/>
        </w:rPr>
        <w:t xml:space="preserve"> </w:t>
      </w:r>
      <w:r w:rsidRPr="00150EDC">
        <w:rPr>
          <w:rFonts w:ascii="Calibri"/>
          <w:sz w:val="24"/>
        </w:rPr>
        <w:t>cannot</w:t>
      </w:r>
      <w:r w:rsidRPr="00150EDC">
        <w:rPr>
          <w:rFonts w:ascii="Calibri"/>
          <w:spacing w:val="-4"/>
          <w:sz w:val="24"/>
        </w:rPr>
        <w:t xml:space="preserve"> </w:t>
      </w:r>
      <w:r w:rsidRPr="00150EDC">
        <w:rPr>
          <w:rFonts w:ascii="Calibri"/>
          <w:sz w:val="24"/>
        </w:rPr>
        <w:t>be</w:t>
      </w:r>
      <w:r w:rsidRPr="00150EDC">
        <w:rPr>
          <w:rFonts w:ascii="Calibri"/>
          <w:spacing w:val="-1"/>
          <w:sz w:val="24"/>
        </w:rPr>
        <w:t xml:space="preserve"> </w:t>
      </w:r>
      <w:r w:rsidRPr="00150EDC">
        <w:rPr>
          <w:rFonts w:ascii="Calibri"/>
          <w:sz w:val="24"/>
        </w:rPr>
        <w:t>excluded</w:t>
      </w:r>
      <w:r w:rsidRPr="00150EDC">
        <w:rPr>
          <w:rFonts w:ascii="Calibri"/>
          <w:spacing w:val="-4"/>
          <w:sz w:val="24"/>
        </w:rPr>
        <w:t xml:space="preserve"> </w:t>
      </w:r>
      <w:r w:rsidRPr="00150EDC">
        <w:rPr>
          <w:rFonts w:ascii="Calibri"/>
          <w:sz w:val="24"/>
        </w:rPr>
        <w:t>or</w:t>
      </w:r>
      <w:r w:rsidRPr="00150EDC">
        <w:rPr>
          <w:rFonts w:ascii="Calibri"/>
          <w:spacing w:val="-3"/>
          <w:sz w:val="24"/>
        </w:rPr>
        <w:t xml:space="preserve"> </w:t>
      </w:r>
      <w:r w:rsidRPr="00150EDC">
        <w:rPr>
          <w:rFonts w:ascii="Calibri"/>
          <w:sz w:val="24"/>
        </w:rPr>
        <w:t>limited</w:t>
      </w:r>
      <w:r w:rsidRPr="00150EDC">
        <w:rPr>
          <w:rFonts w:ascii="Calibri"/>
          <w:spacing w:val="-4"/>
          <w:sz w:val="24"/>
        </w:rPr>
        <w:t xml:space="preserve"> </w:t>
      </w:r>
      <w:r w:rsidRPr="00150EDC">
        <w:rPr>
          <w:rFonts w:ascii="Calibri"/>
          <w:sz w:val="24"/>
        </w:rPr>
        <w:t>by</w:t>
      </w:r>
      <w:r w:rsidRPr="00150EDC">
        <w:rPr>
          <w:rFonts w:ascii="Calibri"/>
          <w:spacing w:val="-2"/>
          <w:sz w:val="24"/>
        </w:rPr>
        <w:t xml:space="preserve"> </w:t>
      </w:r>
      <w:r w:rsidRPr="00150EDC">
        <w:rPr>
          <w:rFonts w:ascii="Calibri"/>
          <w:spacing w:val="-4"/>
          <w:sz w:val="24"/>
        </w:rPr>
        <w:t>Law;</w:t>
      </w:r>
    </w:p>
    <w:p w14:paraId="2A47A082" w14:textId="77777777" w:rsidR="004C7180" w:rsidRPr="00150EDC" w:rsidRDefault="004C7180">
      <w:pPr>
        <w:rPr>
          <w:rFonts w:ascii="Calibri"/>
          <w:sz w:val="24"/>
        </w:rPr>
        <w:sectPr w:rsidR="004C7180" w:rsidRPr="00150EDC">
          <w:pgSz w:w="11910" w:h="16840"/>
          <w:pgMar w:top="620" w:right="0" w:bottom="2460" w:left="40" w:header="403" w:footer="2245" w:gutter="0"/>
          <w:cols w:space="720"/>
        </w:sectPr>
      </w:pPr>
    </w:p>
    <w:p w14:paraId="18E573CC" w14:textId="77777777" w:rsidR="004C7180" w:rsidRPr="00150EDC" w:rsidRDefault="004C7180">
      <w:pPr>
        <w:pStyle w:val="BodyText"/>
        <w:spacing w:before="11"/>
        <w:rPr>
          <w:rFonts w:ascii="Calibri"/>
          <w:sz w:val="17"/>
        </w:rPr>
      </w:pPr>
    </w:p>
    <w:p w14:paraId="35980C8C" w14:textId="77777777" w:rsidR="004C7180" w:rsidRPr="00150EDC" w:rsidRDefault="00CF0754" w:rsidP="00B320C7">
      <w:pPr>
        <w:pStyle w:val="ListParagraph"/>
        <w:numPr>
          <w:ilvl w:val="0"/>
          <w:numId w:val="163"/>
        </w:numPr>
        <w:tabs>
          <w:tab w:val="left" w:pos="1491"/>
        </w:tabs>
        <w:spacing w:before="52"/>
        <w:ind w:left="1491" w:hanging="425"/>
        <w:rPr>
          <w:rFonts w:ascii="Calibri"/>
          <w:sz w:val="24"/>
        </w:rPr>
      </w:pPr>
      <w:r w:rsidRPr="00150EDC">
        <w:rPr>
          <w:rFonts w:ascii="Calibri"/>
          <w:sz w:val="24"/>
        </w:rPr>
        <w:t>its</w:t>
      </w:r>
      <w:r w:rsidRPr="00150EDC">
        <w:rPr>
          <w:rFonts w:ascii="Calibri"/>
          <w:spacing w:val="-5"/>
          <w:sz w:val="24"/>
        </w:rPr>
        <w:t xml:space="preserve"> </w:t>
      </w:r>
      <w:r w:rsidRPr="00150EDC">
        <w:rPr>
          <w:rFonts w:ascii="Calibri"/>
          <w:sz w:val="24"/>
        </w:rPr>
        <w:t>obligation</w:t>
      </w:r>
      <w:r w:rsidRPr="00150EDC">
        <w:rPr>
          <w:rFonts w:ascii="Calibri"/>
          <w:spacing w:val="-4"/>
          <w:sz w:val="24"/>
        </w:rPr>
        <w:t xml:space="preserve"> </w:t>
      </w:r>
      <w:r w:rsidRPr="00150EDC">
        <w:rPr>
          <w:rFonts w:ascii="Calibri"/>
          <w:sz w:val="24"/>
        </w:rPr>
        <w:t>to</w:t>
      </w:r>
      <w:r w:rsidRPr="00150EDC">
        <w:rPr>
          <w:rFonts w:ascii="Calibri"/>
          <w:spacing w:val="-4"/>
          <w:sz w:val="24"/>
        </w:rPr>
        <w:t xml:space="preserve"> </w:t>
      </w:r>
      <w:r w:rsidRPr="00150EDC">
        <w:rPr>
          <w:rFonts w:ascii="Calibri"/>
          <w:sz w:val="24"/>
        </w:rPr>
        <w:t>pay</w:t>
      </w:r>
      <w:r w:rsidRPr="00150EDC">
        <w:rPr>
          <w:rFonts w:ascii="Calibri"/>
          <w:spacing w:val="-5"/>
          <w:sz w:val="24"/>
        </w:rPr>
        <w:t xml:space="preserve"> </w:t>
      </w:r>
      <w:r w:rsidRPr="00150EDC">
        <w:rPr>
          <w:rFonts w:ascii="Calibri"/>
          <w:sz w:val="24"/>
        </w:rPr>
        <w:t>the</w:t>
      </w:r>
      <w:r w:rsidRPr="00150EDC">
        <w:rPr>
          <w:rFonts w:ascii="Calibri"/>
          <w:spacing w:val="-5"/>
          <w:sz w:val="24"/>
        </w:rPr>
        <w:t xml:space="preserve"> </w:t>
      </w:r>
      <w:r w:rsidRPr="00150EDC">
        <w:rPr>
          <w:rFonts w:ascii="Calibri"/>
          <w:sz w:val="24"/>
        </w:rPr>
        <w:t>required</w:t>
      </w:r>
      <w:r w:rsidRPr="00150EDC">
        <w:rPr>
          <w:rFonts w:ascii="Calibri"/>
          <w:spacing w:val="-4"/>
          <w:sz w:val="24"/>
        </w:rPr>
        <w:t xml:space="preserve"> </w:t>
      </w:r>
      <w:r w:rsidRPr="00150EDC">
        <w:rPr>
          <w:rFonts w:ascii="Calibri"/>
          <w:sz w:val="24"/>
        </w:rPr>
        <w:t>Management</w:t>
      </w:r>
      <w:r w:rsidRPr="00150EDC">
        <w:rPr>
          <w:rFonts w:ascii="Calibri"/>
          <w:spacing w:val="-1"/>
          <w:sz w:val="24"/>
        </w:rPr>
        <w:t xml:space="preserve"> </w:t>
      </w:r>
      <w:r w:rsidRPr="00150EDC">
        <w:rPr>
          <w:rFonts w:ascii="Calibri"/>
          <w:sz w:val="24"/>
        </w:rPr>
        <w:t>Levy</w:t>
      </w:r>
      <w:r w:rsidRPr="00150EDC">
        <w:rPr>
          <w:rFonts w:ascii="Calibri"/>
          <w:spacing w:val="-4"/>
          <w:sz w:val="24"/>
        </w:rPr>
        <w:t xml:space="preserve"> </w:t>
      </w:r>
      <w:r w:rsidRPr="00150EDC">
        <w:rPr>
          <w:rFonts w:ascii="Calibri"/>
          <w:sz w:val="24"/>
        </w:rPr>
        <w:t>or</w:t>
      </w:r>
      <w:r w:rsidRPr="00150EDC">
        <w:rPr>
          <w:rFonts w:ascii="Calibri"/>
          <w:spacing w:val="4"/>
          <w:sz w:val="24"/>
        </w:rPr>
        <w:t xml:space="preserve"> </w:t>
      </w:r>
      <w:r w:rsidRPr="00150EDC">
        <w:rPr>
          <w:rFonts w:ascii="Calibri"/>
          <w:sz w:val="24"/>
        </w:rPr>
        <w:t>Default</w:t>
      </w:r>
      <w:r w:rsidRPr="00150EDC">
        <w:rPr>
          <w:rFonts w:ascii="Calibri"/>
          <w:spacing w:val="-4"/>
          <w:sz w:val="24"/>
        </w:rPr>
        <w:t xml:space="preserve"> </w:t>
      </w:r>
      <w:r w:rsidRPr="00150EDC">
        <w:rPr>
          <w:rFonts w:ascii="Calibri"/>
          <w:sz w:val="24"/>
        </w:rPr>
        <w:t>Management</w:t>
      </w:r>
      <w:r w:rsidRPr="00150EDC">
        <w:rPr>
          <w:rFonts w:ascii="Calibri"/>
          <w:spacing w:val="-1"/>
          <w:sz w:val="24"/>
        </w:rPr>
        <w:t xml:space="preserve"> </w:t>
      </w:r>
      <w:r w:rsidRPr="00150EDC">
        <w:rPr>
          <w:rFonts w:ascii="Calibri"/>
          <w:spacing w:val="-2"/>
          <w:sz w:val="24"/>
        </w:rPr>
        <w:t>Levy.</w:t>
      </w:r>
    </w:p>
    <w:p w14:paraId="2526383B" w14:textId="77777777" w:rsidR="004C7180" w:rsidRPr="00150EDC" w:rsidRDefault="004C7180">
      <w:pPr>
        <w:pStyle w:val="BodyText"/>
        <w:spacing w:before="6"/>
        <w:rPr>
          <w:rFonts w:ascii="Calibri"/>
          <w:sz w:val="27"/>
        </w:rPr>
      </w:pPr>
    </w:p>
    <w:p w14:paraId="4647F7AA" w14:textId="77777777" w:rsidR="004C7180" w:rsidRPr="00150EDC" w:rsidRDefault="00CF0754" w:rsidP="00B320C7">
      <w:pPr>
        <w:pStyle w:val="ListParagraph"/>
        <w:numPr>
          <w:ilvl w:val="1"/>
          <w:numId w:val="182"/>
        </w:numPr>
        <w:tabs>
          <w:tab w:val="left" w:pos="1064"/>
          <w:tab w:val="left" w:pos="1066"/>
        </w:tabs>
        <w:ind w:right="1075"/>
        <w:jc w:val="both"/>
        <w:rPr>
          <w:rFonts w:ascii="Calibri"/>
          <w:sz w:val="24"/>
        </w:rPr>
      </w:pPr>
      <w:r w:rsidRPr="00150EDC">
        <w:rPr>
          <w:rFonts w:ascii="Calibri"/>
          <w:sz w:val="24"/>
        </w:rPr>
        <w:t>In</w:t>
      </w:r>
      <w:r w:rsidRPr="00150EDC">
        <w:rPr>
          <w:rFonts w:ascii="Calibri"/>
          <w:spacing w:val="-2"/>
          <w:sz w:val="24"/>
        </w:rPr>
        <w:t xml:space="preserve"> </w:t>
      </w:r>
      <w:r w:rsidRPr="00150EDC">
        <w:rPr>
          <w:rFonts w:ascii="Calibri"/>
          <w:sz w:val="24"/>
        </w:rPr>
        <w:t>spite</w:t>
      </w:r>
      <w:r w:rsidRPr="00150EDC">
        <w:rPr>
          <w:rFonts w:ascii="Calibri"/>
          <w:spacing w:val="-2"/>
          <w:sz w:val="24"/>
        </w:rPr>
        <w:t xml:space="preserve"> </w:t>
      </w:r>
      <w:r w:rsidRPr="00150EDC">
        <w:rPr>
          <w:rFonts w:ascii="Calibri"/>
          <w:sz w:val="24"/>
        </w:rPr>
        <w:t>of</w:t>
      </w:r>
      <w:r w:rsidRPr="00150EDC">
        <w:rPr>
          <w:rFonts w:ascii="Calibri"/>
          <w:spacing w:val="-2"/>
          <w:sz w:val="24"/>
        </w:rPr>
        <w:t xml:space="preserve"> </w:t>
      </w:r>
      <w:r w:rsidRPr="00150EDC">
        <w:rPr>
          <w:rFonts w:ascii="Calibri"/>
          <w:sz w:val="24"/>
        </w:rPr>
        <w:t>Clauses</w:t>
      </w:r>
      <w:r w:rsidRPr="00150EDC">
        <w:rPr>
          <w:rFonts w:ascii="Calibri"/>
          <w:spacing w:val="-3"/>
          <w:sz w:val="24"/>
        </w:rPr>
        <w:t xml:space="preserve"> </w:t>
      </w:r>
      <w:r w:rsidRPr="00150EDC">
        <w:rPr>
          <w:rFonts w:ascii="Calibri"/>
          <w:sz w:val="24"/>
        </w:rPr>
        <w:t>11.1</w:t>
      </w:r>
      <w:r w:rsidRPr="00150EDC">
        <w:rPr>
          <w:rFonts w:ascii="Calibri"/>
          <w:spacing w:val="-2"/>
          <w:sz w:val="24"/>
        </w:rPr>
        <w:t xml:space="preserve"> </w:t>
      </w:r>
      <w:r w:rsidRPr="00150EDC">
        <w:rPr>
          <w:rFonts w:ascii="Calibri"/>
          <w:sz w:val="24"/>
        </w:rPr>
        <w:t>and</w:t>
      </w:r>
      <w:r w:rsidRPr="00150EDC">
        <w:rPr>
          <w:rFonts w:ascii="Calibri"/>
          <w:spacing w:val="-3"/>
          <w:sz w:val="24"/>
        </w:rPr>
        <w:t xml:space="preserve"> </w:t>
      </w:r>
      <w:r w:rsidRPr="00150EDC">
        <w:rPr>
          <w:rFonts w:ascii="Calibri"/>
          <w:sz w:val="24"/>
        </w:rPr>
        <w:t>11.2,</w:t>
      </w:r>
      <w:r w:rsidRPr="00150EDC">
        <w:rPr>
          <w:rFonts w:ascii="Calibri"/>
          <w:spacing w:val="-4"/>
          <w:sz w:val="24"/>
        </w:rPr>
        <w:t xml:space="preserve"> </w:t>
      </w:r>
      <w:r w:rsidRPr="00150EDC">
        <w:rPr>
          <w:rFonts w:ascii="Calibri"/>
          <w:sz w:val="24"/>
        </w:rPr>
        <w:t>the</w:t>
      </w:r>
      <w:r w:rsidRPr="00150EDC">
        <w:rPr>
          <w:rFonts w:ascii="Calibri"/>
          <w:spacing w:val="-2"/>
          <w:sz w:val="24"/>
        </w:rPr>
        <w:t xml:space="preserve"> </w:t>
      </w:r>
      <w:r w:rsidRPr="00150EDC">
        <w:rPr>
          <w:rFonts w:ascii="Calibri"/>
          <w:sz w:val="24"/>
        </w:rPr>
        <w:t>Supplier</w:t>
      </w:r>
      <w:r w:rsidRPr="00150EDC">
        <w:rPr>
          <w:rFonts w:ascii="Calibri"/>
          <w:spacing w:val="-3"/>
          <w:sz w:val="24"/>
        </w:rPr>
        <w:t xml:space="preserve"> </w:t>
      </w:r>
      <w:r w:rsidRPr="00150EDC">
        <w:rPr>
          <w:rFonts w:ascii="Calibri"/>
          <w:sz w:val="24"/>
        </w:rPr>
        <w:t>does</w:t>
      </w:r>
      <w:r w:rsidRPr="00150EDC">
        <w:rPr>
          <w:rFonts w:ascii="Calibri"/>
          <w:spacing w:val="-3"/>
          <w:sz w:val="24"/>
        </w:rPr>
        <w:t xml:space="preserve"> </w:t>
      </w:r>
      <w:r w:rsidRPr="00150EDC">
        <w:rPr>
          <w:rFonts w:ascii="Calibri"/>
          <w:sz w:val="24"/>
        </w:rPr>
        <w:t>not</w:t>
      </w:r>
      <w:r w:rsidRPr="00150EDC">
        <w:rPr>
          <w:rFonts w:ascii="Calibri"/>
          <w:spacing w:val="-3"/>
          <w:sz w:val="24"/>
        </w:rPr>
        <w:t xml:space="preserve"> </w:t>
      </w:r>
      <w:r w:rsidRPr="00150EDC">
        <w:rPr>
          <w:rFonts w:ascii="Calibri"/>
          <w:sz w:val="24"/>
        </w:rPr>
        <w:t>limit</w:t>
      </w:r>
      <w:r w:rsidRPr="00150EDC">
        <w:rPr>
          <w:rFonts w:ascii="Calibri"/>
          <w:spacing w:val="-2"/>
          <w:sz w:val="24"/>
        </w:rPr>
        <w:t xml:space="preserve"> </w:t>
      </w:r>
      <w:r w:rsidRPr="00150EDC">
        <w:rPr>
          <w:rFonts w:ascii="Calibri"/>
          <w:sz w:val="24"/>
        </w:rPr>
        <w:t>or</w:t>
      </w:r>
      <w:r w:rsidRPr="00150EDC">
        <w:rPr>
          <w:rFonts w:ascii="Calibri"/>
          <w:spacing w:val="-3"/>
          <w:sz w:val="24"/>
        </w:rPr>
        <w:t xml:space="preserve"> </w:t>
      </w:r>
      <w:r w:rsidRPr="00150EDC">
        <w:rPr>
          <w:rFonts w:ascii="Calibri"/>
          <w:sz w:val="24"/>
        </w:rPr>
        <w:t>exclude</w:t>
      </w:r>
      <w:r w:rsidRPr="00150EDC">
        <w:rPr>
          <w:rFonts w:ascii="Calibri"/>
          <w:spacing w:val="-2"/>
          <w:sz w:val="24"/>
        </w:rPr>
        <w:t xml:space="preserve"> </w:t>
      </w:r>
      <w:r w:rsidRPr="00150EDC">
        <w:rPr>
          <w:rFonts w:ascii="Calibri"/>
          <w:sz w:val="24"/>
        </w:rPr>
        <w:t>its</w:t>
      </w:r>
      <w:r w:rsidRPr="00150EDC">
        <w:rPr>
          <w:rFonts w:ascii="Calibri"/>
          <w:spacing w:val="-3"/>
          <w:sz w:val="24"/>
        </w:rPr>
        <w:t xml:space="preserve"> </w:t>
      </w:r>
      <w:r w:rsidRPr="00150EDC">
        <w:rPr>
          <w:rFonts w:ascii="Calibri"/>
          <w:sz w:val="24"/>
        </w:rPr>
        <w:t>liability</w:t>
      </w:r>
      <w:r w:rsidRPr="00150EDC">
        <w:rPr>
          <w:rFonts w:ascii="Calibri"/>
          <w:spacing w:val="-5"/>
          <w:sz w:val="24"/>
        </w:rPr>
        <w:t xml:space="preserve"> </w:t>
      </w:r>
      <w:r w:rsidRPr="00150EDC">
        <w:rPr>
          <w:rFonts w:ascii="Calibri"/>
          <w:sz w:val="24"/>
        </w:rPr>
        <w:t>for</w:t>
      </w:r>
      <w:r w:rsidRPr="00150EDC">
        <w:rPr>
          <w:rFonts w:ascii="Calibri"/>
          <w:spacing w:val="-3"/>
          <w:sz w:val="24"/>
        </w:rPr>
        <w:t xml:space="preserve"> </w:t>
      </w:r>
      <w:r w:rsidRPr="00150EDC">
        <w:rPr>
          <w:rFonts w:ascii="Calibri"/>
          <w:sz w:val="24"/>
        </w:rPr>
        <w:t>any</w:t>
      </w:r>
      <w:r w:rsidRPr="00150EDC">
        <w:rPr>
          <w:rFonts w:ascii="Calibri"/>
          <w:spacing w:val="-3"/>
          <w:sz w:val="24"/>
        </w:rPr>
        <w:t xml:space="preserve"> </w:t>
      </w:r>
      <w:r w:rsidRPr="00150EDC">
        <w:rPr>
          <w:rFonts w:ascii="Calibri"/>
          <w:sz w:val="24"/>
        </w:rPr>
        <w:t>indemnity given under Clauses 7.5, 8.3(b), 9.5, 31.3 or Order Schedule 2 (Staff Transfer) of a Contract.</w:t>
      </w:r>
    </w:p>
    <w:p w14:paraId="51F5127E" w14:textId="77777777" w:rsidR="004C7180" w:rsidRPr="00150EDC" w:rsidRDefault="004C7180">
      <w:pPr>
        <w:pStyle w:val="BodyText"/>
        <w:rPr>
          <w:rFonts w:ascii="Calibri"/>
        </w:rPr>
      </w:pPr>
    </w:p>
    <w:p w14:paraId="41D34E87" w14:textId="77777777" w:rsidR="004C7180" w:rsidRPr="00150EDC" w:rsidRDefault="00CF0754" w:rsidP="00B320C7">
      <w:pPr>
        <w:pStyle w:val="ListParagraph"/>
        <w:numPr>
          <w:ilvl w:val="1"/>
          <w:numId w:val="182"/>
        </w:numPr>
        <w:tabs>
          <w:tab w:val="left" w:pos="1064"/>
          <w:tab w:val="left" w:pos="1066"/>
        </w:tabs>
        <w:spacing w:before="187"/>
        <w:ind w:right="992"/>
        <w:jc w:val="both"/>
        <w:rPr>
          <w:rFonts w:ascii="Calibri"/>
          <w:sz w:val="24"/>
        </w:rPr>
      </w:pPr>
      <w:r w:rsidRPr="00150EDC">
        <w:rPr>
          <w:rFonts w:ascii="Calibri"/>
          <w:sz w:val="24"/>
        </w:rPr>
        <w:t>In</w:t>
      </w:r>
      <w:r w:rsidRPr="00150EDC">
        <w:rPr>
          <w:rFonts w:ascii="Calibri"/>
          <w:spacing w:val="-1"/>
          <w:sz w:val="24"/>
        </w:rPr>
        <w:t xml:space="preserve"> </w:t>
      </w:r>
      <w:r w:rsidRPr="00150EDC">
        <w:rPr>
          <w:rFonts w:ascii="Calibri"/>
          <w:sz w:val="24"/>
        </w:rPr>
        <w:t>spite</w:t>
      </w:r>
      <w:r w:rsidRPr="00150EDC">
        <w:rPr>
          <w:rFonts w:ascii="Calibri"/>
          <w:spacing w:val="-1"/>
          <w:sz w:val="24"/>
        </w:rPr>
        <w:t xml:space="preserve"> </w:t>
      </w:r>
      <w:r w:rsidRPr="00150EDC">
        <w:rPr>
          <w:rFonts w:ascii="Calibri"/>
          <w:sz w:val="24"/>
        </w:rPr>
        <w:t>of</w:t>
      </w:r>
      <w:r w:rsidRPr="00150EDC">
        <w:rPr>
          <w:rFonts w:ascii="Calibri"/>
          <w:spacing w:val="-1"/>
          <w:sz w:val="24"/>
        </w:rPr>
        <w:t xml:space="preserve"> </w:t>
      </w:r>
      <w:r w:rsidRPr="00150EDC">
        <w:rPr>
          <w:rFonts w:ascii="Calibri"/>
          <w:sz w:val="24"/>
        </w:rPr>
        <w:t>Clauses</w:t>
      </w:r>
      <w:r w:rsidRPr="00150EDC">
        <w:rPr>
          <w:rFonts w:ascii="Calibri"/>
          <w:spacing w:val="-2"/>
          <w:sz w:val="24"/>
        </w:rPr>
        <w:t xml:space="preserve"> </w:t>
      </w:r>
      <w:r w:rsidRPr="00150EDC">
        <w:rPr>
          <w:rFonts w:ascii="Calibri"/>
          <w:sz w:val="24"/>
        </w:rPr>
        <w:t>11.1,</w:t>
      </w:r>
      <w:r w:rsidRPr="00150EDC">
        <w:rPr>
          <w:rFonts w:ascii="Calibri"/>
          <w:spacing w:val="-1"/>
          <w:sz w:val="24"/>
        </w:rPr>
        <w:t xml:space="preserve"> </w:t>
      </w:r>
      <w:r w:rsidRPr="00150EDC">
        <w:rPr>
          <w:rFonts w:ascii="Calibri"/>
          <w:sz w:val="24"/>
        </w:rPr>
        <w:t>11.2</w:t>
      </w:r>
      <w:r w:rsidRPr="00150EDC">
        <w:rPr>
          <w:rFonts w:ascii="Calibri"/>
          <w:spacing w:val="-4"/>
          <w:sz w:val="24"/>
        </w:rPr>
        <w:t xml:space="preserve"> </w:t>
      </w:r>
      <w:r w:rsidRPr="00150EDC">
        <w:rPr>
          <w:rFonts w:ascii="Calibri"/>
          <w:sz w:val="24"/>
        </w:rPr>
        <w:t>but</w:t>
      </w:r>
      <w:r w:rsidRPr="00150EDC">
        <w:rPr>
          <w:rFonts w:ascii="Calibri"/>
          <w:spacing w:val="-3"/>
          <w:sz w:val="24"/>
        </w:rPr>
        <w:t xml:space="preserve"> </w:t>
      </w:r>
      <w:r w:rsidRPr="00150EDC">
        <w:rPr>
          <w:rFonts w:ascii="Calibri"/>
          <w:sz w:val="24"/>
        </w:rPr>
        <w:t>subject</w:t>
      </w:r>
      <w:r w:rsidRPr="00150EDC">
        <w:rPr>
          <w:rFonts w:ascii="Calibri"/>
          <w:spacing w:val="-3"/>
          <w:sz w:val="24"/>
        </w:rPr>
        <w:t xml:space="preserve"> </w:t>
      </w:r>
      <w:r w:rsidRPr="00150EDC">
        <w:rPr>
          <w:rFonts w:ascii="Calibri"/>
          <w:sz w:val="24"/>
        </w:rPr>
        <w:t>to</w:t>
      </w:r>
      <w:r w:rsidRPr="00150EDC">
        <w:rPr>
          <w:rFonts w:ascii="Calibri"/>
          <w:spacing w:val="-4"/>
          <w:sz w:val="24"/>
        </w:rPr>
        <w:t xml:space="preserve"> </w:t>
      </w:r>
      <w:r w:rsidRPr="00150EDC">
        <w:rPr>
          <w:rFonts w:ascii="Calibri"/>
          <w:sz w:val="24"/>
        </w:rPr>
        <w:t>Clauses</w:t>
      </w:r>
      <w:r w:rsidRPr="00150EDC">
        <w:rPr>
          <w:rFonts w:ascii="Calibri"/>
          <w:spacing w:val="-2"/>
          <w:sz w:val="24"/>
        </w:rPr>
        <w:t xml:space="preserve"> </w:t>
      </w:r>
      <w:r w:rsidRPr="00150EDC">
        <w:rPr>
          <w:rFonts w:ascii="Calibri"/>
          <w:sz w:val="24"/>
        </w:rPr>
        <w:t>11.3</w:t>
      </w:r>
      <w:r w:rsidRPr="00150EDC">
        <w:rPr>
          <w:rFonts w:ascii="Calibri"/>
          <w:spacing w:val="-4"/>
          <w:sz w:val="24"/>
        </w:rPr>
        <w:t xml:space="preserve"> </w:t>
      </w:r>
      <w:r w:rsidRPr="00150EDC">
        <w:rPr>
          <w:rFonts w:ascii="Calibri"/>
          <w:sz w:val="24"/>
        </w:rPr>
        <w:t>and</w:t>
      </w:r>
      <w:r w:rsidRPr="00150EDC">
        <w:rPr>
          <w:rFonts w:ascii="Calibri"/>
          <w:spacing w:val="-1"/>
          <w:sz w:val="24"/>
        </w:rPr>
        <w:t xml:space="preserve"> </w:t>
      </w:r>
      <w:r w:rsidRPr="00150EDC">
        <w:rPr>
          <w:rFonts w:ascii="Calibri"/>
          <w:sz w:val="24"/>
        </w:rPr>
        <w:t>11.4,</w:t>
      </w:r>
      <w:r w:rsidRPr="00150EDC">
        <w:rPr>
          <w:rFonts w:ascii="Calibri"/>
          <w:spacing w:val="-4"/>
          <w:sz w:val="24"/>
        </w:rPr>
        <w:t xml:space="preserve"> </w:t>
      </w:r>
      <w:r w:rsidRPr="00150EDC">
        <w:rPr>
          <w:rFonts w:ascii="Calibri"/>
          <w:sz w:val="24"/>
        </w:rPr>
        <w:t>the</w:t>
      </w:r>
      <w:r w:rsidRPr="00150EDC">
        <w:rPr>
          <w:rFonts w:ascii="Calibri"/>
          <w:spacing w:val="-4"/>
          <w:sz w:val="24"/>
        </w:rPr>
        <w:t xml:space="preserve"> </w:t>
      </w:r>
      <w:r w:rsidRPr="00150EDC">
        <w:rPr>
          <w:rFonts w:ascii="Calibri"/>
          <w:sz w:val="24"/>
        </w:rPr>
        <w:t>Supplier's</w:t>
      </w:r>
      <w:r w:rsidRPr="00150EDC">
        <w:rPr>
          <w:rFonts w:ascii="Calibri"/>
          <w:spacing w:val="-3"/>
          <w:sz w:val="24"/>
        </w:rPr>
        <w:t xml:space="preserve"> </w:t>
      </w:r>
      <w:r w:rsidRPr="00150EDC">
        <w:rPr>
          <w:rFonts w:ascii="Calibri"/>
          <w:sz w:val="24"/>
        </w:rPr>
        <w:t>aggregate</w:t>
      </w:r>
      <w:r w:rsidRPr="00150EDC">
        <w:rPr>
          <w:rFonts w:ascii="Calibri"/>
          <w:spacing w:val="-4"/>
          <w:sz w:val="24"/>
        </w:rPr>
        <w:t xml:space="preserve"> </w:t>
      </w:r>
      <w:r w:rsidRPr="00150EDC">
        <w:rPr>
          <w:rFonts w:ascii="Calibri"/>
          <w:sz w:val="24"/>
        </w:rPr>
        <w:t>liability</w:t>
      </w:r>
      <w:r w:rsidRPr="00150EDC">
        <w:rPr>
          <w:rFonts w:ascii="Calibri"/>
          <w:spacing w:val="-5"/>
          <w:sz w:val="24"/>
        </w:rPr>
        <w:t xml:space="preserve"> </w:t>
      </w:r>
      <w:r w:rsidRPr="00150EDC">
        <w:rPr>
          <w:rFonts w:ascii="Calibri"/>
          <w:sz w:val="24"/>
        </w:rPr>
        <w:t>in each</w:t>
      </w:r>
      <w:r w:rsidRPr="00150EDC">
        <w:rPr>
          <w:rFonts w:ascii="Calibri"/>
          <w:spacing w:val="-2"/>
          <w:sz w:val="24"/>
        </w:rPr>
        <w:t xml:space="preserve"> </w:t>
      </w:r>
      <w:r w:rsidRPr="00150EDC">
        <w:rPr>
          <w:rFonts w:ascii="Calibri"/>
          <w:sz w:val="24"/>
        </w:rPr>
        <w:t>and</w:t>
      </w:r>
      <w:r w:rsidRPr="00150EDC">
        <w:rPr>
          <w:rFonts w:ascii="Calibri"/>
          <w:spacing w:val="-2"/>
          <w:sz w:val="24"/>
        </w:rPr>
        <w:t xml:space="preserve"> </w:t>
      </w:r>
      <w:r w:rsidRPr="00150EDC">
        <w:rPr>
          <w:rFonts w:ascii="Calibri"/>
          <w:sz w:val="24"/>
        </w:rPr>
        <w:t>any</w:t>
      </w:r>
      <w:r w:rsidRPr="00150EDC">
        <w:rPr>
          <w:rFonts w:ascii="Calibri"/>
          <w:spacing w:val="-3"/>
          <w:sz w:val="24"/>
        </w:rPr>
        <w:t xml:space="preserve"> </w:t>
      </w:r>
      <w:r w:rsidRPr="00150EDC">
        <w:rPr>
          <w:rFonts w:ascii="Calibri"/>
          <w:sz w:val="24"/>
        </w:rPr>
        <w:t>Contract</w:t>
      </w:r>
      <w:r w:rsidRPr="00150EDC">
        <w:rPr>
          <w:rFonts w:ascii="Calibri"/>
          <w:spacing w:val="-4"/>
          <w:sz w:val="24"/>
        </w:rPr>
        <w:t xml:space="preserve"> </w:t>
      </w:r>
      <w:r w:rsidRPr="00150EDC">
        <w:rPr>
          <w:rFonts w:ascii="Calibri"/>
          <w:sz w:val="24"/>
        </w:rPr>
        <w:t>Year</w:t>
      </w:r>
      <w:r w:rsidRPr="00150EDC">
        <w:rPr>
          <w:rFonts w:ascii="Calibri"/>
          <w:spacing w:val="-2"/>
          <w:sz w:val="24"/>
        </w:rPr>
        <w:t xml:space="preserve"> </w:t>
      </w:r>
      <w:r w:rsidRPr="00150EDC">
        <w:rPr>
          <w:rFonts w:ascii="Calibri"/>
          <w:sz w:val="24"/>
        </w:rPr>
        <w:t>under</w:t>
      </w:r>
      <w:r w:rsidRPr="00150EDC">
        <w:rPr>
          <w:rFonts w:ascii="Calibri"/>
          <w:spacing w:val="-2"/>
          <w:sz w:val="24"/>
        </w:rPr>
        <w:t xml:space="preserve"> </w:t>
      </w:r>
      <w:r w:rsidRPr="00150EDC">
        <w:rPr>
          <w:rFonts w:ascii="Calibri"/>
          <w:sz w:val="24"/>
        </w:rPr>
        <w:t>each</w:t>
      </w:r>
      <w:r w:rsidRPr="00150EDC">
        <w:rPr>
          <w:rFonts w:ascii="Calibri"/>
          <w:spacing w:val="-2"/>
          <w:sz w:val="24"/>
        </w:rPr>
        <w:t xml:space="preserve"> </w:t>
      </w:r>
      <w:r w:rsidRPr="00150EDC">
        <w:rPr>
          <w:rFonts w:ascii="Calibri"/>
          <w:sz w:val="24"/>
        </w:rPr>
        <w:t>Contract</w:t>
      </w:r>
      <w:r w:rsidRPr="00150EDC">
        <w:rPr>
          <w:rFonts w:ascii="Calibri"/>
          <w:spacing w:val="-7"/>
          <w:sz w:val="24"/>
        </w:rPr>
        <w:t xml:space="preserve"> </w:t>
      </w:r>
      <w:r w:rsidRPr="00150EDC">
        <w:rPr>
          <w:rFonts w:ascii="Calibri"/>
          <w:sz w:val="24"/>
        </w:rPr>
        <w:t>under</w:t>
      </w:r>
      <w:r w:rsidRPr="00150EDC">
        <w:rPr>
          <w:rFonts w:ascii="Calibri"/>
          <w:spacing w:val="-2"/>
          <w:sz w:val="24"/>
        </w:rPr>
        <w:t xml:space="preserve"> </w:t>
      </w:r>
      <w:r w:rsidRPr="00150EDC">
        <w:rPr>
          <w:rFonts w:ascii="Calibri"/>
          <w:sz w:val="24"/>
        </w:rPr>
        <w:t>Clause</w:t>
      </w:r>
      <w:r w:rsidRPr="00150EDC">
        <w:rPr>
          <w:rFonts w:ascii="Calibri"/>
          <w:spacing w:val="-2"/>
          <w:sz w:val="24"/>
        </w:rPr>
        <w:t xml:space="preserve"> </w:t>
      </w:r>
      <w:r w:rsidRPr="00150EDC">
        <w:rPr>
          <w:rFonts w:ascii="Calibri"/>
          <w:sz w:val="24"/>
        </w:rPr>
        <w:t>14.8</w:t>
      </w:r>
      <w:r w:rsidRPr="00150EDC">
        <w:rPr>
          <w:rFonts w:ascii="Calibri"/>
          <w:spacing w:val="-2"/>
          <w:sz w:val="24"/>
        </w:rPr>
        <w:t xml:space="preserve"> </w:t>
      </w:r>
      <w:r w:rsidRPr="00150EDC">
        <w:rPr>
          <w:rFonts w:ascii="Calibri"/>
          <w:sz w:val="24"/>
        </w:rPr>
        <w:t>shall</w:t>
      </w:r>
      <w:r w:rsidRPr="00150EDC">
        <w:rPr>
          <w:rFonts w:ascii="Calibri"/>
          <w:spacing w:val="-3"/>
          <w:sz w:val="24"/>
        </w:rPr>
        <w:t xml:space="preserve"> </w:t>
      </w:r>
      <w:r w:rsidRPr="00150EDC">
        <w:rPr>
          <w:rFonts w:ascii="Calibri"/>
          <w:sz w:val="24"/>
        </w:rPr>
        <w:t>in</w:t>
      </w:r>
      <w:r w:rsidRPr="00150EDC">
        <w:rPr>
          <w:rFonts w:ascii="Calibri"/>
          <w:spacing w:val="-2"/>
          <w:sz w:val="24"/>
        </w:rPr>
        <w:t xml:space="preserve"> </w:t>
      </w:r>
      <w:r w:rsidRPr="00150EDC">
        <w:rPr>
          <w:rFonts w:ascii="Calibri"/>
          <w:sz w:val="24"/>
        </w:rPr>
        <w:t>no</w:t>
      </w:r>
      <w:r w:rsidRPr="00150EDC">
        <w:rPr>
          <w:rFonts w:ascii="Calibri"/>
          <w:spacing w:val="-2"/>
          <w:sz w:val="24"/>
        </w:rPr>
        <w:t xml:space="preserve"> </w:t>
      </w:r>
      <w:r w:rsidRPr="00150EDC">
        <w:rPr>
          <w:rFonts w:ascii="Calibri"/>
          <w:sz w:val="24"/>
        </w:rPr>
        <w:t>event</w:t>
      </w:r>
      <w:r w:rsidRPr="00150EDC">
        <w:rPr>
          <w:rFonts w:ascii="Calibri"/>
          <w:spacing w:val="-4"/>
          <w:sz w:val="24"/>
        </w:rPr>
        <w:t xml:space="preserve"> </w:t>
      </w:r>
      <w:r w:rsidRPr="00150EDC">
        <w:rPr>
          <w:rFonts w:ascii="Calibri"/>
          <w:sz w:val="24"/>
        </w:rPr>
        <w:t>exceed</w:t>
      </w:r>
      <w:r w:rsidRPr="00150EDC">
        <w:rPr>
          <w:rFonts w:ascii="Calibri"/>
          <w:spacing w:val="-4"/>
          <w:sz w:val="24"/>
        </w:rPr>
        <w:t xml:space="preserve"> </w:t>
      </w:r>
      <w:r w:rsidRPr="00150EDC">
        <w:rPr>
          <w:rFonts w:ascii="Calibri"/>
          <w:sz w:val="24"/>
        </w:rPr>
        <w:t>the</w:t>
      </w:r>
      <w:r w:rsidRPr="00150EDC">
        <w:rPr>
          <w:rFonts w:ascii="Calibri"/>
          <w:spacing w:val="-4"/>
          <w:sz w:val="24"/>
        </w:rPr>
        <w:t xml:space="preserve"> </w:t>
      </w:r>
      <w:r w:rsidRPr="00150EDC">
        <w:rPr>
          <w:rFonts w:ascii="Calibri"/>
          <w:sz w:val="24"/>
        </w:rPr>
        <w:t>Data Protection Liability Cap.</w:t>
      </w:r>
    </w:p>
    <w:p w14:paraId="62787A51" w14:textId="77777777" w:rsidR="004C7180" w:rsidRPr="00150EDC" w:rsidRDefault="004C7180">
      <w:pPr>
        <w:pStyle w:val="BodyText"/>
        <w:spacing w:before="12"/>
        <w:rPr>
          <w:rFonts w:ascii="Calibri"/>
          <w:sz w:val="23"/>
        </w:rPr>
      </w:pPr>
    </w:p>
    <w:p w14:paraId="42F95722" w14:textId="77777777" w:rsidR="004C7180" w:rsidRPr="00150EDC" w:rsidRDefault="00CF0754" w:rsidP="00B320C7">
      <w:pPr>
        <w:pStyle w:val="ListParagraph"/>
        <w:numPr>
          <w:ilvl w:val="1"/>
          <w:numId w:val="182"/>
        </w:numPr>
        <w:tabs>
          <w:tab w:val="left" w:pos="1064"/>
          <w:tab w:val="left" w:pos="1066"/>
        </w:tabs>
        <w:ind w:right="681"/>
        <w:rPr>
          <w:rFonts w:ascii="Calibri"/>
          <w:sz w:val="24"/>
        </w:rPr>
      </w:pPr>
      <w:r w:rsidRPr="00150EDC">
        <w:rPr>
          <w:rFonts w:ascii="Calibri"/>
          <w:sz w:val="24"/>
        </w:rPr>
        <w:t>Each</w:t>
      </w:r>
      <w:r w:rsidRPr="00150EDC">
        <w:rPr>
          <w:rFonts w:ascii="Calibri"/>
          <w:spacing w:val="-2"/>
          <w:sz w:val="24"/>
        </w:rPr>
        <w:t xml:space="preserve"> </w:t>
      </w:r>
      <w:r w:rsidRPr="00150EDC">
        <w:rPr>
          <w:rFonts w:ascii="Calibri"/>
          <w:sz w:val="24"/>
        </w:rPr>
        <w:t>Party</w:t>
      </w:r>
      <w:r w:rsidRPr="00150EDC">
        <w:rPr>
          <w:rFonts w:ascii="Calibri"/>
          <w:spacing w:val="-3"/>
          <w:sz w:val="24"/>
        </w:rPr>
        <w:t xml:space="preserve"> </w:t>
      </w:r>
      <w:r w:rsidRPr="00150EDC">
        <w:rPr>
          <w:rFonts w:ascii="Calibri"/>
          <w:sz w:val="24"/>
        </w:rPr>
        <w:t>must</w:t>
      </w:r>
      <w:r w:rsidRPr="00150EDC">
        <w:rPr>
          <w:rFonts w:ascii="Calibri"/>
          <w:spacing w:val="-4"/>
          <w:sz w:val="24"/>
        </w:rPr>
        <w:t xml:space="preserve"> </w:t>
      </w:r>
      <w:r w:rsidRPr="00150EDC">
        <w:rPr>
          <w:rFonts w:ascii="Calibri"/>
          <w:sz w:val="24"/>
        </w:rPr>
        <w:t>use</w:t>
      </w:r>
      <w:r w:rsidRPr="00150EDC">
        <w:rPr>
          <w:rFonts w:ascii="Calibri"/>
          <w:spacing w:val="-2"/>
          <w:sz w:val="24"/>
        </w:rPr>
        <w:t xml:space="preserve"> </w:t>
      </w:r>
      <w:r w:rsidRPr="00150EDC">
        <w:rPr>
          <w:rFonts w:ascii="Calibri"/>
          <w:sz w:val="24"/>
        </w:rPr>
        <w:t>all</w:t>
      </w:r>
      <w:r w:rsidRPr="00150EDC">
        <w:rPr>
          <w:rFonts w:ascii="Calibri"/>
          <w:spacing w:val="-3"/>
          <w:sz w:val="24"/>
        </w:rPr>
        <w:t xml:space="preserve"> </w:t>
      </w:r>
      <w:r w:rsidRPr="00150EDC">
        <w:rPr>
          <w:rFonts w:ascii="Calibri"/>
          <w:sz w:val="24"/>
        </w:rPr>
        <w:t>reasonable</w:t>
      </w:r>
      <w:r w:rsidRPr="00150EDC">
        <w:rPr>
          <w:rFonts w:ascii="Calibri"/>
          <w:spacing w:val="-2"/>
          <w:sz w:val="24"/>
        </w:rPr>
        <w:t xml:space="preserve"> </w:t>
      </w:r>
      <w:r w:rsidRPr="00150EDC">
        <w:rPr>
          <w:rFonts w:ascii="Calibri"/>
          <w:sz w:val="24"/>
        </w:rPr>
        <w:t>endeavours</w:t>
      </w:r>
      <w:r w:rsidRPr="00150EDC">
        <w:rPr>
          <w:rFonts w:ascii="Calibri"/>
          <w:spacing w:val="-5"/>
          <w:sz w:val="24"/>
        </w:rPr>
        <w:t xml:space="preserve"> </w:t>
      </w:r>
      <w:r w:rsidRPr="00150EDC">
        <w:rPr>
          <w:rFonts w:ascii="Calibri"/>
          <w:sz w:val="24"/>
        </w:rPr>
        <w:t>to mitigate</w:t>
      </w:r>
      <w:r w:rsidRPr="00150EDC">
        <w:rPr>
          <w:rFonts w:ascii="Calibri"/>
          <w:spacing w:val="-5"/>
          <w:sz w:val="24"/>
        </w:rPr>
        <w:t xml:space="preserve"> </w:t>
      </w:r>
      <w:r w:rsidRPr="00150EDC">
        <w:rPr>
          <w:rFonts w:ascii="Calibri"/>
          <w:sz w:val="24"/>
        </w:rPr>
        <w:t>any</w:t>
      </w:r>
      <w:r w:rsidRPr="00150EDC">
        <w:rPr>
          <w:rFonts w:ascii="Calibri"/>
          <w:spacing w:val="-3"/>
          <w:sz w:val="24"/>
        </w:rPr>
        <w:t xml:space="preserve"> </w:t>
      </w:r>
      <w:r w:rsidRPr="00150EDC">
        <w:rPr>
          <w:rFonts w:ascii="Calibri"/>
          <w:sz w:val="24"/>
        </w:rPr>
        <w:t>Loss</w:t>
      </w:r>
      <w:r w:rsidRPr="00150EDC">
        <w:rPr>
          <w:rFonts w:ascii="Calibri"/>
          <w:spacing w:val="-5"/>
          <w:sz w:val="24"/>
        </w:rPr>
        <w:t xml:space="preserve"> </w:t>
      </w:r>
      <w:r w:rsidRPr="00150EDC">
        <w:rPr>
          <w:rFonts w:ascii="Calibri"/>
          <w:sz w:val="24"/>
        </w:rPr>
        <w:t>or</w:t>
      </w:r>
      <w:r w:rsidRPr="00150EDC">
        <w:rPr>
          <w:rFonts w:ascii="Calibri"/>
          <w:spacing w:val="-4"/>
          <w:sz w:val="24"/>
        </w:rPr>
        <w:t xml:space="preserve"> </w:t>
      </w:r>
      <w:r w:rsidRPr="00150EDC">
        <w:rPr>
          <w:rFonts w:ascii="Calibri"/>
          <w:sz w:val="24"/>
        </w:rPr>
        <w:t>damage</w:t>
      </w:r>
      <w:r w:rsidRPr="00150EDC">
        <w:rPr>
          <w:rFonts w:ascii="Calibri"/>
          <w:spacing w:val="-2"/>
          <w:sz w:val="24"/>
        </w:rPr>
        <w:t xml:space="preserve"> </w:t>
      </w:r>
      <w:r w:rsidRPr="00150EDC">
        <w:rPr>
          <w:rFonts w:ascii="Calibri"/>
          <w:sz w:val="24"/>
        </w:rPr>
        <w:t>which</w:t>
      </w:r>
      <w:r w:rsidRPr="00150EDC">
        <w:rPr>
          <w:rFonts w:ascii="Calibri"/>
          <w:spacing w:val="-2"/>
          <w:sz w:val="24"/>
        </w:rPr>
        <w:t xml:space="preserve"> </w:t>
      </w:r>
      <w:r w:rsidRPr="00150EDC">
        <w:rPr>
          <w:rFonts w:ascii="Calibri"/>
          <w:sz w:val="24"/>
        </w:rPr>
        <w:t>it</w:t>
      </w:r>
      <w:r w:rsidRPr="00150EDC">
        <w:rPr>
          <w:rFonts w:ascii="Calibri"/>
          <w:spacing w:val="-2"/>
          <w:sz w:val="24"/>
        </w:rPr>
        <w:t xml:space="preserve"> </w:t>
      </w:r>
      <w:r w:rsidRPr="00150EDC">
        <w:rPr>
          <w:rFonts w:ascii="Calibri"/>
          <w:sz w:val="24"/>
        </w:rPr>
        <w:t>suffers</w:t>
      </w:r>
      <w:r w:rsidRPr="00150EDC">
        <w:rPr>
          <w:rFonts w:ascii="Calibri"/>
          <w:spacing w:val="-5"/>
          <w:sz w:val="24"/>
        </w:rPr>
        <w:t xml:space="preserve"> </w:t>
      </w:r>
      <w:r w:rsidRPr="00150EDC">
        <w:rPr>
          <w:rFonts w:ascii="Calibri"/>
          <w:sz w:val="24"/>
        </w:rPr>
        <w:t>under</w:t>
      </w:r>
      <w:r w:rsidRPr="00150EDC">
        <w:rPr>
          <w:rFonts w:ascii="Calibri"/>
          <w:spacing w:val="-2"/>
          <w:sz w:val="24"/>
        </w:rPr>
        <w:t xml:space="preserve"> </w:t>
      </w:r>
      <w:r w:rsidRPr="00150EDC">
        <w:rPr>
          <w:rFonts w:ascii="Calibri"/>
          <w:sz w:val="24"/>
        </w:rPr>
        <w:t>or in connection with each Contract, including any indemnities.</w:t>
      </w:r>
    </w:p>
    <w:p w14:paraId="729087CB" w14:textId="77777777" w:rsidR="004C7180" w:rsidRPr="00150EDC" w:rsidRDefault="004C7180">
      <w:pPr>
        <w:pStyle w:val="BodyText"/>
        <w:spacing w:before="3"/>
        <w:rPr>
          <w:rFonts w:ascii="Calibri"/>
          <w:sz w:val="27"/>
        </w:rPr>
      </w:pPr>
    </w:p>
    <w:p w14:paraId="2DB66BC9" w14:textId="77777777" w:rsidR="004C7180" w:rsidRPr="00150EDC" w:rsidRDefault="00CF0754" w:rsidP="00B320C7">
      <w:pPr>
        <w:pStyle w:val="ListParagraph"/>
        <w:numPr>
          <w:ilvl w:val="1"/>
          <w:numId w:val="182"/>
        </w:numPr>
        <w:tabs>
          <w:tab w:val="left" w:pos="1064"/>
          <w:tab w:val="left" w:pos="1066"/>
        </w:tabs>
        <w:ind w:right="809"/>
        <w:rPr>
          <w:rFonts w:ascii="Calibri" w:hAnsi="Calibri"/>
          <w:sz w:val="24"/>
        </w:rPr>
      </w:pPr>
      <w:r w:rsidRPr="00150EDC">
        <w:rPr>
          <w:rFonts w:ascii="Calibri" w:hAnsi="Calibri"/>
          <w:sz w:val="24"/>
        </w:rPr>
        <w:t>When</w:t>
      </w:r>
      <w:r w:rsidRPr="00150EDC">
        <w:rPr>
          <w:rFonts w:ascii="Calibri" w:hAnsi="Calibri"/>
          <w:spacing w:val="-3"/>
          <w:sz w:val="24"/>
        </w:rPr>
        <w:t xml:space="preserve"> </w:t>
      </w:r>
      <w:r w:rsidRPr="00150EDC">
        <w:rPr>
          <w:rFonts w:ascii="Calibri" w:hAnsi="Calibri"/>
          <w:sz w:val="24"/>
        </w:rPr>
        <w:t>calculating</w:t>
      </w:r>
      <w:r w:rsidRPr="00150EDC">
        <w:rPr>
          <w:rFonts w:ascii="Calibri" w:hAnsi="Calibri"/>
          <w:spacing w:val="-4"/>
          <w:sz w:val="24"/>
        </w:rPr>
        <w:t xml:space="preserve"> </w:t>
      </w:r>
      <w:r w:rsidRPr="00150EDC">
        <w:rPr>
          <w:rFonts w:ascii="Calibri" w:hAnsi="Calibri"/>
          <w:sz w:val="24"/>
        </w:rPr>
        <w:t>the</w:t>
      </w:r>
      <w:r w:rsidRPr="00150EDC">
        <w:rPr>
          <w:rFonts w:ascii="Calibri" w:hAnsi="Calibri"/>
          <w:spacing w:val="-4"/>
          <w:sz w:val="24"/>
        </w:rPr>
        <w:t xml:space="preserve"> </w:t>
      </w:r>
      <w:r w:rsidRPr="00150EDC">
        <w:rPr>
          <w:rFonts w:ascii="Calibri" w:hAnsi="Calibri"/>
          <w:sz w:val="24"/>
        </w:rPr>
        <w:t>Supplier’s</w:t>
      </w:r>
      <w:r w:rsidRPr="00150EDC">
        <w:rPr>
          <w:rFonts w:ascii="Calibri" w:hAnsi="Calibri"/>
          <w:spacing w:val="-4"/>
          <w:sz w:val="24"/>
        </w:rPr>
        <w:t xml:space="preserve"> </w:t>
      </w:r>
      <w:r w:rsidRPr="00150EDC">
        <w:rPr>
          <w:rFonts w:ascii="Calibri" w:hAnsi="Calibri"/>
          <w:sz w:val="24"/>
        </w:rPr>
        <w:t>liability</w:t>
      </w:r>
      <w:r w:rsidRPr="00150EDC">
        <w:rPr>
          <w:rFonts w:ascii="Calibri" w:hAnsi="Calibri"/>
          <w:spacing w:val="-5"/>
          <w:sz w:val="24"/>
        </w:rPr>
        <w:t xml:space="preserve"> </w:t>
      </w:r>
      <w:r w:rsidRPr="00150EDC">
        <w:rPr>
          <w:rFonts w:ascii="Calibri" w:hAnsi="Calibri"/>
          <w:sz w:val="24"/>
        </w:rPr>
        <w:t>under</w:t>
      </w:r>
      <w:r w:rsidRPr="00150EDC">
        <w:rPr>
          <w:rFonts w:ascii="Calibri" w:hAnsi="Calibri"/>
          <w:spacing w:val="-1"/>
          <w:sz w:val="24"/>
        </w:rPr>
        <w:t xml:space="preserve"> </w:t>
      </w:r>
      <w:r w:rsidRPr="00150EDC">
        <w:rPr>
          <w:rFonts w:ascii="Calibri" w:hAnsi="Calibri"/>
          <w:sz w:val="24"/>
        </w:rPr>
        <w:t>Clause</w:t>
      </w:r>
      <w:r w:rsidRPr="00150EDC">
        <w:rPr>
          <w:rFonts w:ascii="Calibri" w:hAnsi="Calibri"/>
          <w:spacing w:val="-1"/>
          <w:sz w:val="24"/>
        </w:rPr>
        <w:t xml:space="preserve"> </w:t>
      </w:r>
      <w:r w:rsidRPr="00150EDC">
        <w:rPr>
          <w:rFonts w:ascii="Calibri" w:hAnsi="Calibri"/>
          <w:sz w:val="24"/>
        </w:rPr>
        <w:t>11.1</w:t>
      </w:r>
      <w:r w:rsidRPr="00150EDC">
        <w:rPr>
          <w:rFonts w:ascii="Calibri" w:hAnsi="Calibri"/>
          <w:spacing w:val="-1"/>
          <w:sz w:val="24"/>
        </w:rPr>
        <w:t xml:space="preserve"> </w:t>
      </w:r>
      <w:r w:rsidRPr="00150EDC">
        <w:rPr>
          <w:rFonts w:ascii="Calibri" w:hAnsi="Calibri"/>
          <w:sz w:val="24"/>
        </w:rPr>
        <w:t>or</w:t>
      </w:r>
      <w:r w:rsidRPr="00150EDC">
        <w:rPr>
          <w:rFonts w:ascii="Calibri" w:hAnsi="Calibri"/>
          <w:spacing w:val="-1"/>
          <w:sz w:val="24"/>
        </w:rPr>
        <w:t xml:space="preserve"> </w:t>
      </w:r>
      <w:r w:rsidRPr="00150EDC">
        <w:rPr>
          <w:rFonts w:ascii="Calibri" w:hAnsi="Calibri"/>
          <w:sz w:val="24"/>
        </w:rPr>
        <w:t>11.2</w:t>
      </w:r>
      <w:r w:rsidRPr="00150EDC">
        <w:rPr>
          <w:rFonts w:ascii="Calibri" w:hAnsi="Calibri"/>
          <w:spacing w:val="-3"/>
          <w:sz w:val="24"/>
        </w:rPr>
        <w:t xml:space="preserve"> </w:t>
      </w:r>
      <w:r w:rsidRPr="00150EDC">
        <w:rPr>
          <w:rFonts w:ascii="Calibri" w:hAnsi="Calibri"/>
          <w:sz w:val="24"/>
        </w:rPr>
        <w:t>the</w:t>
      </w:r>
      <w:r w:rsidRPr="00150EDC">
        <w:rPr>
          <w:rFonts w:ascii="Calibri" w:hAnsi="Calibri"/>
          <w:spacing w:val="-4"/>
          <w:sz w:val="24"/>
        </w:rPr>
        <w:t xml:space="preserve"> </w:t>
      </w:r>
      <w:r w:rsidRPr="00150EDC">
        <w:rPr>
          <w:rFonts w:ascii="Calibri" w:hAnsi="Calibri"/>
          <w:sz w:val="24"/>
        </w:rPr>
        <w:t>following</w:t>
      </w:r>
      <w:r w:rsidRPr="00150EDC">
        <w:rPr>
          <w:rFonts w:ascii="Calibri" w:hAnsi="Calibri"/>
          <w:spacing w:val="-2"/>
          <w:sz w:val="24"/>
        </w:rPr>
        <w:t xml:space="preserve"> </w:t>
      </w:r>
      <w:r w:rsidRPr="00150EDC">
        <w:rPr>
          <w:rFonts w:ascii="Calibri" w:hAnsi="Calibri"/>
          <w:sz w:val="24"/>
        </w:rPr>
        <w:t>items</w:t>
      </w:r>
      <w:r w:rsidRPr="00150EDC">
        <w:rPr>
          <w:rFonts w:ascii="Calibri" w:hAnsi="Calibri"/>
          <w:spacing w:val="-4"/>
          <w:sz w:val="24"/>
        </w:rPr>
        <w:t xml:space="preserve"> </w:t>
      </w:r>
      <w:r w:rsidRPr="00150EDC">
        <w:rPr>
          <w:rFonts w:ascii="Calibri" w:hAnsi="Calibri"/>
          <w:sz w:val="24"/>
        </w:rPr>
        <w:t>will</w:t>
      </w:r>
      <w:r w:rsidRPr="00150EDC">
        <w:rPr>
          <w:rFonts w:ascii="Calibri" w:hAnsi="Calibri"/>
          <w:spacing w:val="-2"/>
          <w:sz w:val="24"/>
        </w:rPr>
        <w:t xml:space="preserve"> </w:t>
      </w:r>
      <w:r w:rsidRPr="00150EDC">
        <w:rPr>
          <w:rFonts w:ascii="Calibri" w:hAnsi="Calibri"/>
          <w:sz w:val="24"/>
        </w:rPr>
        <w:t>not</w:t>
      </w:r>
      <w:r w:rsidRPr="00150EDC">
        <w:rPr>
          <w:rFonts w:ascii="Calibri" w:hAnsi="Calibri"/>
          <w:spacing w:val="-2"/>
          <w:sz w:val="24"/>
        </w:rPr>
        <w:t xml:space="preserve"> </w:t>
      </w:r>
      <w:r w:rsidRPr="00150EDC">
        <w:rPr>
          <w:rFonts w:ascii="Calibri" w:hAnsi="Calibri"/>
          <w:sz w:val="24"/>
        </w:rPr>
        <w:t>be</w:t>
      </w:r>
      <w:r w:rsidRPr="00150EDC">
        <w:rPr>
          <w:rFonts w:ascii="Calibri" w:hAnsi="Calibri"/>
          <w:spacing w:val="-4"/>
          <w:sz w:val="24"/>
        </w:rPr>
        <w:t xml:space="preserve"> </w:t>
      </w:r>
      <w:r w:rsidRPr="00150EDC">
        <w:rPr>
          <w:rFonts w:ascii="Calibri" w:hAnsi="Calibri"/>
          <w:sz w:val="24"/>
        </w:rPr>
        <w:t>taken into consideration:</w:t>
      </w:r>
    </w:p>
    <w:p w14:paraId="4A51CD5E" w14:textId="77777777" w:rsidR="004C7180" w:rsidRPr="00150EDC" w:rsidRDefault="004C7180">
      <w:pPr>
        <w:pStyle w:val="BodyText"/>
        <w:spacing w:before="4"/>
        <w:rPr>
          <w:rFonts w:ascii="Calibri"/>
          <w:sz w:val="27"/>
        </w:rPr>
      </w:pPr>
    </w:p>
    <w:p w14:paraId="3F4076B3" w14:textId="77777777" w:rsidR="004C7180" w:rsidRPr="00150EDC" w:rsidRDefault="00CF0754" w:rsidP="00B320C7">
      <w:pPr>
        <w:pStyle w:val="ListParagraph"/>
        <w:numPr>
          <w:ilvl w:val="0"/>
          <w:numId w:val="162"/>
        </w:numPr>
        <w:tabs>
          <w:tab w:val="left" w:pos="1491"/>
        </w:tabs>
        <w:spacing w:before="1"/>
        <w:ind w:left="1491" w:hanging="425"/>
        <w:rPr>
          <w:rFonts w:ascii="Calibri"/>
          <w:sz w:val="24"/>
        </w:rPr>
      </w:pPr>
      <w:r w:rsidRPr="00150EDC">
        <w:rPr>
          <w:rFonts w:ascii="Calibri"/>
          <w:sz w:val="24"/>
        </w:rPr>
        <w:t>Deductions;</w:t>
      </w:r>
      <w:r w:rsidRPr="00150EDC">
        <w:rPr>
          <w:rFonts w:ascii="Calibri"/>
          <w:spacing w:val="-4"/>
          <w:sz w:val="24"/>
        </w:rPr>
        <w:t xml:space="preserve"> </w:t>
      </w:r>
      <w:r w:rsidRPr="00150EDC">
        <w:rPr>
          <w:rFonts w:ascii="Calibri"/>
          <w:spacing w:val="-5"/>
          <w:sz w:val="24"/>
        </w:rPr>
        <w:t>and</w:t>
      </w:r>
    </w:p>
    <w:p w14:paraId="27168BEB" w14:textId="77777777" w:rsidR="004C7180" w:rsidRPr="00150EDC" w:rsidRDefault="00CF0754" w:rsidP="00B320C7">
      <w:pPr>
        <w:pStyle w:val="ListParagraph"/>
        <w:numPr>
          <w:ilvl w:val="0"/>
          <w:numId w:val="162"/>
        </w:numPr>
        <w:tabs>
          <w:tab w:val="left" w:pos="1491"/>
        </w:tabs>
        <w:spacing w:before="19"/>
        <w:ind w:left="1491" w:hanging="425"/>
        <w:rPr>
          <w:rFonts w:ascii="Calibri"/>
          <w:sz w:val="24"/>
        </w:rPr>
      </w:pPr>
      <w:r w:rsidRPr="00150EDC">
        <w:rPr>
          <w:rFonts w:ascii="Calibri"/>
          <w:sz w:val="24"/>
        </w:rPr>
        <w:t>any</w:t>
      </w:r>
      <w:r w:rsidRPr="00150EDC">
        <w:rPr>
          <w:rFonts w:ascii="Calibri"/>
          <w:spacing w:val="-3"/>
          <w:sz w:val="24"/>
        </w:rPr>
        <w:t xml:space="preserve"> </w:t>
      </w:r>
      <w:r w:rsidRPr="00150EDC">
        <w:rPr>
          <w:rFonts w:ascii="Calibri"/>
          <w:sz w:val="24"/>
        </w:rPr>
        <w:t>items</w:t>
      </w:r>
      <w:r w:rsidRPr="00150EDC">
        <w:rPr>
          <w:rFonts w:ascii="Calibri"/>
          <w:spacing w:val="-2"/>
          <w:sz w:val="24"/>
        </w:rPr>
        <w:t xml:space="preserve"> </w:t>
      </w:r>
      <w:r w:rsidRPr="00150EDC">
        <w:rPr>
          <w:rFonts w:ascii="Calibri"/>
          <w:sz w:val="24"/>
        </w:rPr>
        <w:t>specified</w:t>
      </w:r>
      <w:r w:rsidRPr="00150EDC">
        <w:rPr>
          <w:rFonts w:ascii="Calibri"/>
          <w:spacing w:val="-4"/>
          <w:sz w:val="24"/>
        </w:rPr>
        <w:t xml:space="preserve"> </w:t>
      </w:r>
      <w:r w:rsidRPr="00150EDC">
        <w:rPr>
          <w:rFonts w:ascii="Calibri"/>
          <w:sz w:val="24"/>
        </w:rPr>
        <w:t>in</w:t>
      </w:r>
      <w:r w:rsidRPr="00150EDC">
        <w:rPr>
          <w:rFonts w:ascii="Calibri"/>
          <w:spacing w:val="-3"/>
          <w:sz w:val="24"/>
        </w:rPr>
        <w:t xml:space="preserve"> </w:t>
      </w:r>
      <w:r w:rsidRPr="00150EDC">
        <w:rPr>
          <w:rFonts w:ascii="Calibri"/>
          <w:sz w:val="24"/>
        </w:rPr>
        <w:t>Clauses</w:t>
      </w:r>
      <w:r w:rsidRPr="00150EDC">
        <w:rPr>
          <w:rFonts w:ascii="Calibri"/>
          <w:spacing w:val="-3"/>
          <w:sz w:val="24"/>
        </w:rPr>
        <w:t xml:space="preserve"> </w:t>
      </w:r>
      <w:r w:rsidRPr="00150EDC">
        <w:rPr>
          <w:rFonts w:ascii="Calibri"/>
          <w:sz w:val="24"/>
        </w:rPr>
        <w:t>11.5</w:t>
      </w:r>
      <w:r w:rsidRPr="00150EDC">
        <w:rPr>
          <w:rFonts w:ascii="Calibri"/>
          <w:spacing w:val="-1"/>
          <w:sz w:val="24"/>
        </w:rPr>
        <w:t xml:space="preserve"> </w:t>
      </w:r>
      <w:r w:rsidRPr="00150EDC">
        <w:rPr>
          <w:rFonts w:ascii="Calibri"/>
          <w:sz w:val="24"/>
        </w:rPr>
        <w:t>or</w:t>
      </w:r>
      <w:r w:rsidRPr="00150EDC">
        <w:rPr>
          <w:rFonts w:ascii="Calibri"/>
          <w:spacing w:val="-3"/>
          <w:sz w:val="24"/>
        </w:rPr>
        <w:t xml:space="preserve"> </w:t>
      </w:r>
      <w:r w:rsidRPr="00150EDC">
        <w:rPr>
          <w:rFonts w:ascii="Calibri"/>
          <w:spacing w:val="-2"/>
          <w:sz w:val="24"/>
        </w:rPr>
        <w:t>11.6.</w:t>
      </w:r>
    </w:p>
    <w:p w14:paraId="27027683" w14:textId="77777777" w:rsidR="004C7180" w:rsidRPr="00150EDC" w:rsidRDefault="004C7180">
      <w:pPr>
        <w:pStyle w:val="BodyText"/>
        <w:spacing w:before="6"/>
        <w:rPr>
          <w:rFonts w:ascii="Calibri"/>
          <w:sz w:val="25"/>
        </w:rPr>
      </w:pPr>
    </w:p>
    <w:p w14:paraId="248945A6" w14:textId="77777777" w:rsidR="004C7180" w:rsidRPr="00150EDC" w:rsidRDefault="00CF0754" w:rsidP="00B320C7">
      <w:pPr>
        <w:pStyle w:val="ListParagraph"/>
        <w:numPr>
          <w:ilvl w:val="1"/>
          <w:numId w:val="182"/>
        </w:numPr>
        <w:tabs>
          <w:tab w:val="left" w:pos="1064"/>
          <w:tab w:val="left" w:pos="1066"/>
        </w:tabs>
        <w:spacing w:line="242" w:lineRule="auto"/>
        <w:ind w:right="578"/>
        <w:rPr>
          <w:rFonts w:ascii="Calibri"/>
          <w:sz w:val="24"/>
        </w:rPr>
      </w:pPr>
      <w:r w:rsidRPr="00150EDC">
        <w:rPr>
          <w:rFonts w:ascii="Calibri"/>
          <w:sz w:val="24"/>
        </w:rPr>
        <w:t>If</w:t>
      </w:r>
      <w:r w:rsidRPr="00150EDC">
        <w:rPr>
          <w:rFonts w:ascii="Calibri"/>
          <w:spacing w:val="-1"/>
          <w:sz w:val="24"/>
        </w:rPr>
        <w:t xml:space="preserve"> </w:t>
      </w:r>
      <w:r w:rsidRPr="00150EDC">
        <w:rPr>
          <w:rFonts w:ascii="Calibri"/>
          <w:sz w:val="24"/>
        </w:rPr>
        <w:t>more</w:t>
      </w:r>
      <w:r w:rsidRPr="00150EDC">
        <w:rPr>
          <w:rFonts w:ascii="Calibri"/>
          <w:spacing w:val="-3"/>
          <w:sz w:val="24"/>
        </w:rPr>
        <w:t xml:space="preserve"> </w:t>
      </w:r>
      <w:r w:rsidRPr="00150EDC">
        <w:rPr>
          <w:rFonts w:ascii="Calibri"/>
          <w:sz w:val="24"/>
        </w:rPr>
        <w:t>than</w:t>
      </w:r>
      <w:r w:rsidRPr="00150EDC">
        <w:rPr>
          <w:rFonts w:ascii="Calibri"/>
          <w:spacing w:val="-3"/>
          <w:sz w:val="24"/>
        </w:rPr>
        <w:t xml:space="preserve"> </w:t>
      </w:r>
      <w:r w:rsidRPr="00150EDC">
        <w:rPr>
          <w:rFonts w:ascii="Calibri"/>
          <w:sz w:val="24"/>
        </w:rPr>
        <w:t>one</w:t>
      </w:r>
      <w:r w:rsidRPr="00150EDC">
        <w:rPr>
          <w:rFonts w:ascii="Calibri"/>
          <w:spacing w:val="-2"/>
          <w:sz w:val="24"/>
        </w:rPr>
        <w:t xml:space="preserve"> </w:t>
      </w:r>
      <w:r w:rsidRPr="00150EDC">
        <w:rPr>
          <w:rFonts w:ascii="Calibri"/>
          <w:sz w:val="24"/>
        </w:rPr>
        <w:t>Supplier</w:t>
      </w:r>
      <w:r w:rsidRPr="00150EDC">
        <w:rPr>
          <w:rFonts w:ascii="Calibri"/>
          <w:spacing w:val="-1"/>
          <w:sz w:val="24"/>
        </w:rPr>
        <w:t xml:space="preserve"> </w:t>
      </w:r>
      <w:r w:rsidRPr="00150EDC">
        <w:rPr>
          <w:rFonts w:ascii="Calibri"/>
          <w:sz w:val="24"/>
        </w:rPr>
        <w:t>is</w:t>
      </w:r>
      <w:r w:rsidRPr="00150EDC">
        <w:rPr>
          <w:rFonts w:ascii="Calibri"/>
          <w:spacing w:val="-2"/>
          <w:sz w:val="24"/>
        </w:rPr>
        <w:t xml:space="preserve"> </w:t>
      </w:r>
      <w:r w:rsidRPr="00150EDC">
        <w:rPr>
          <w:rFonts w:ascii="Calibri"/>
          <w:sz w:val="24"/>
        </w:rPr>
        <w:t>party</w:t>
      </w:r>
      <w:r w:rsidRPr="00150EDC">
        <w:rPr>
          <w:rFonts w:ascii="Calibri"/>
          <w:spacing w:val="-5"/>
          <w:sz w:val="24"/>
        </w:rPr>
        <w:t xml:space="preserve"> </w:t>
      </w:r>
      <w:r w:rsidRPr="00150EDC">
        <w:rPr>
          <w:rFonts w:ascii="Calibri"/>
          <w:sz w:val="24"/>
        </w:rPr>
        <w:t>to</w:t>
      </w:r>
      <w:r w:rsidRPr="00150EDC">
        <w:rPr>
          <w:rFonts w:ascii="Calibri"/>
          <w:spacing w:val="-1"/>
          <w:sz w:val="24"/>
        </w:rPr>
        <w:t xml:space="preserve"> </w:t>
      </w:r>
      <w:r w:rsidRPr="00150EDC">
        <w:rPr>
          <w:rFonts w:ascii="Calibri"/>
          <w:sz w:val="24"/>
        </w:rPr>
        <w:t>a</w:t>
      </w:r>
      <w:r w:rsidRPr="00150EDC">
        <w:rPr>
          <w:rFonts w:ascii="Calibri"/>
          <w:spacing w:val="-4"/>
          <w:sz w:val="24"/>
        </w:rPr>
        <w:t xml:space="preserve"> </w:t>
      </w:r>
      <w:r w:rsidRPr="00150EDC">
        <w:rPr>
          <w:rFonts w:ascii="Calibri"/>
          <w:sz w:val="24"/>
        </w:rPr>
        <w:t>Contract,</w:t>
      </w:r>
      <w:r w:rsidRPr="00150EDC">
        <w:rPr>
          <w:rFonts w:ascii="Calibri"/>
          <w:spacing w:val="-4"/>
          <w:sz w:val="24"/>
        </w:rPr>
        <w:t xml:space="preserve"> </w:t>
      </w:r>
      <w:r w:rsidRPr="00150EDC">
        <w:rPr>
          <w:rFonts w:ascii="Calibri"/>
          <w:sz w:val="24"/>
        </w:rPr>
        <w:t>each</w:t>
      </w:r>
      <w:r w:rsidRPr="00150EDC">
        <w:rPr>
          <w:rFonts w:ascii="Calibri"/>
          <w:spacing w:val="-1"/>
          <w:sz w:val="24"/>
        </w:rPr>
        <w:t xml:space="preserve"> </w:t>
      </w:r>
      <w:r w:rsidRPr="00150EDC">
        <w:rPr>
          <w:rFonts w:ascii="Calibri"/>
          <w:sz w:val="24"/>
        </w:rPr>
        <w:t>Supplier</w:t>
      </w:r>
      <w:r w:rsidRPr="00150EDC">
        <w:rPr>
          <w:rFonts w:ascii="Calibri"/>
          <w:spacing w:val="-1"/>
          <w:sz w:val="24"/>
        </w:rPr>
        <w:t xml:space="preserve"> </w:t>
      </w:r>
      <w:r w:rsidRPr="00150EDC">
        <w:rPr>
          <w:rFonts w:ascii="Calibri"/>
          <w:sz w:val="24"/>
        </w:rPr>
        <w:t>Party</w:t>
      </w:r>
      <w:r w:rsidRPr="00150EDC">
        <w:rPr>
          <w:rFonts w:ascii="Calibri"/>
          <w:spacing w:val="-2"/>
          <w:sz w:val="24"/>
        </w:rPr>
        <w:t xml:space="preserve"> </w:t>
      </w:r>
      <w:r w:rsidRPr="00150EDC">
        <w:rPr>
          <w:rFonts w:ascii="Calibri"/>
          <w:sz w:val="24"/>
        </w:rPr>
        <w:t>is</w:t>
      </w:r>
      <w:r w:rsidRPr="00150EDC">
        <w:rPr>
          <w:rFonts w:ascii="Calibri"/>
          <w:spacing w:val="-4"/>
          <w:sz w:val="24"/>
        </w:rPr>
        <w:t xml:space="preserve"> </w:t>
      </w:r>
      <w:r w:rsidRPr="00150EDC">
        <w:rPr>
          <w:rFonts w:ascii="Calibri"/>
          <w:sz w:val="24"/>
        </w:rPr>
        <w:t>jointly</w:t>
      </w:r>
      <w:r w:rsidRPr="00150EDC">
        <w:rPr>
          <w:rFonts w:ascii="Calibri"/>
          <w:spacing w:val="-2"/>
          <w:sz w:val="24"/>
        </w:rPr>
        <w:t xml:space="preserve"> </w:t>
      </w:r>
      <w:r w:rsidRPr="00150EDC">
        <w:rPr>
          <w:rFonts w:ascii="Calibri"/>
          <w:sz w:val="24"/>
        </w:rPr>
        <w:t>and</w:t>
      </w:r>
      <w:r w:rsidRPr="00150EDC">
        <w:rPr>
          <w:rFonts w:ascii="Calibri"/>
          <w:spacing w:val="-1"/>
          <w:sz w:val="24"/>
        </w:rPr>
        <w:t xml:space="preserve"> </w:t>
      </w:r>
      <w:r w:rsidRPr="00150EDC">
        <w:rPr>
          <w:rFonts w:ascii="Calibri"/>
          <w:sz w:val="24"/>
        </w:rPr>
        <w:t>severally</w:t>
      </w:r>
      <w:r w:rsidRPr="00150EDC">
        <w:rPr>
          <w:rFonts w:ascii="Calibri"/>
          <w:spacing w:val="-2"/>
          <w:sz w:val="24"/>
        </w:rPr>
        <w:t xml:space="preserve"> </w:t>
      </w:r>
      <w:r w:rsidRPr="00150EDC">
        <w:rPr>
          <w:rFonts w:ascii="Calibri"/>
          <w:sz w:val="24"/>
        </w:rPr>
        <w:t>liable</w:t>
      </w:r>
      <w:r w:rsidRPr="00150EDC">
        <w:rPr>
          <w:rFonts w:ascii="Calibri"/>
          <w:spacing w:val="-3"/>
          <w:sz w:val="24"/>
        </w:rPr>
        <w:t xml:space="preserve"> </w:t>
      </w:r>
      <w:r w:rsidRPr="00150EDC">
        <w:rPr>
          <w:rFonts w:ascii="Calibri"/>
          <w:sz w:val="24"/>
        </w:rPr>
        <w:t>for</w:t>
      </w:r>
      <w:r w:rsidRPr="00150EDC">
        <w:rPr>
          <w:rFonts w:ascii="Calibri"/>
          <w:spacing w:val="-1"/>
          <w:sz w:val="24"/>
        </w:rPr>
        <w:t xml:space="preserve"> </w:t>
      </w:r>
      <w:r w:rsidRPr="00150EDC">
        <w:rPr>
          <w:rFonts w:ascii="Calibri"/>
          <w:sz w:val="24"/>
        </w:rPr>
        <w:t>their obligations under that Contract.</w:t>
      </w:r>
    </w:p>
    <w:p w14:paraId="4141C4C6" w14:textId="77777777" w:rsidR="004C7180" w:rsidRPr="00150EDC" w:rsidRDefault="004C7180">
      <w:pPr>
        <w:pStyle w:val="BodyText"/>
        <w:spacing w:before="11"/>
        <w:rPr>
          <w:rFonts w:ascii="Calibri"/>
          <w:sz w:val="26"/>
        </w:rPr>
      </w:pPr>
    </w:p>
    <w:p w14:paraId="1326C71C" w14:textId="77777777" w:rsidR="004C7180" w:rsidRPr="00150EDC" w:rsidRDefault="00CF0754" w:rsidP="00B320C7">
      <w:pPr>
        <w:pStyle w:val="Heading1"/>
        <w:numPr>
          <w:ilvl w:val="0"/>
          <w:numId w:val="182"/>
        </w:numPr>
        <w:tabs>
          <w:tab w:val="left" w:pos="1217"/>
        </w:tabs>
        <w:ind w:left="1217" w:hanging="650"/>
        <w:jc w:val="left"/>
        <w:rPr>
          <w:rFonts w:ascii="Calibri"/>
        </w:rPr>
      </w:pPr>
      <w:r w:rsidRPr="00150EDC">
        <w:rPr>
          <w:rFonts w:ascii="Calibri"/>
        </w:rPr>
        <w:t>Obeying</w:t>
      </w:r>
      <w:r w:rsidRPr="00150EDC">
        <w:rPr>
          <w:rFonts w:ascii="Calibri"/>
          <w:spacing w:val="-6"/>
        </w:rPr>
        <w:t xml:space="preserve"> </w:t>
      </w:r>
      <w:r w:rsidRPr="00150EDC">
        <w:rPr>
          <w:rFonts w:ascii="Calibri"/>
        </w:rPr>
        <w:t>the</w:t>
      </w:r>
      <w:r w:rsidRPr="00150EDC">
        <w:rPr>
          <w:rFonts w:ascii="Calibri"/>
          <w:spacing w:val="-2"/>
        </w:rPr>
        <w:t xml:space="preserve"> </w:t>
      </w:r>
      <w:r w:rsidRPr="00150EDC">
        <w:rPr>
          <w:rFonts w:ascii="Calibri"/>
          <w:spacing w:val="-5"/>
        </w:rPr>
        <w:t>law</w:t>
      </w:r>
    </w:p>
    <w:p w14:paraId="51B13538" w14:textId="77777777" w:rsidR="004C7180" w:rsidRPr="00150EDC" w:rsidRDefault="00CF0754" w:rsidP="00B320C7">
      <w:pPr>
        <w:pStyle w:val="ListParagraph"/>
        <w:numPr>
          <w:ilvl w:val="1"/>
          <w:numId w:val="182"/>
        </w:numPr>
        <w:tabs>
          <w:tab w:val="left" w:pos="1064"/>
          <w:tab w:val="left" w:pos="1066"/>
        </w:tabs>
        <w:spacing w:before="21"/>
        <w:ind w:right="1478"/>
        <w:rPr>
          <w:rFonts w:ascii="Calibri"/>
          <w:sz w:val="24"/>
        </w:rPr>
      </w:pPr>
      <w:r w:rsidRPr="00150EDC">
        <w:rPr>
          <w:rFonts w:ascii="Calibri"/>
          <w:sz w:val="24"/>
        </w:rPr>
        <w:t>The</w:t>
      </w:r>
      <w:r w:rsidRPr="00150EDC">
        <w:rPr>
          <w:rFonts w:ascii="Calibri"/>
          <w:spacing w:val="-2"/>
          <w:sz w:val="24"/>
        </w:rPr>
        <w:t xml:space="preserve"> </w:t>
      </w:r>
      <w:r w:rsidRPr="00150EDC">
        <w:rPr>
          <w:rFonts w:ascii="Calibri"/>
          <w:sz w:val="24"/>
        </w:rPr>
        <w:t>Supplier</w:t>
      </w:r>
      <w:r w:rsidRPr="00150EDC">
        <w:rPr>
          <w:rFonts w:ascii="Calibri"/>
          <w:spacing w:val="-4"/>
          <w:sz w:val="24"/>
        </w:rPr>
        <w:t xml:space="preserve"> </w:t>
      </w:r>
      <w:r w:rsidRPr="00150EDC">
        <w:rPr>
          <w:rFonts w:ascii="Calibri"/>
          <w:sz w:val="24"/>
        </w:rPr>
        <w:t>must</w:t>
      </w:r>
      <w:r w:rsidRPr="00150EDC">
        <w:rPr>
          <w:rFonts w:ascii="Calibri"/>
          <w:spacing w:val="-2"/>
          <w:sz w:val="24"/>
        </w:rPr>
        <w:t xml:space="preserve"> </w:t>
      </w:r>
      <w:r w:rsidRPr="00150EDC">
        <w:rPr>
          <w:rFonts w:ascii="Calibri"/>
          <w:sz w:val="24"/>
        </w:rPr>
        <w:t>use</w:t>
      </w:r>
      <w:r w:rsidRPr="00150EDC">
        <w:rPr>
          <w:rFonts w:ascii="Calibri"/>
          <w:spacing w:val="-2"/>
          <w:sz w:val="24"/>
        </w:rPr>
        <w:t xml:space="preserve"> </w:t>
      </w:r>
      <w:r w:rsidRPr="00150EDC">
        <w:rPr>
          <w:rFonts w:ascii="Calibri"/>
          <w:sz w:val="24"/>
        </w:rPr>
        <w:t>reasonable</w:t>
      </w:r>
      <w:r w:rsidRPr="00150EDC">
        <w:rPr>
          <w:rFonts w:ascii="Calibri"/>
          <w:spacing w:val="-2"/>
          <w:sz w:val="24"/>
        </w:rPr>
        <w:t xml:space="preserve"> </w:t>
      </w:r>
      <w:r w:rsidRPr="00150EDC">
        <w:rPr>
          <w:rFonts w:ascii="Calibri"/>
          <w:sz w:val="24"/>
        </w:rPr>
        <w:t>endeavours to</w:t>
      </w:r>
      <w:r w:rsidRPr="00150EDC">
        <w:rPr>
          <w:rFonts w:ascii="Calibri"/>
          <w:spacing w:val="-6"/>
          <w:sz w:val="24"/>
        </w:rPr>
        <w:t xml:space="preserve"> </w:t>
      </w:r>
      <w:r w:rsidRPr="00150EDC">
        <w:rPr>
          <w:rFonts w:ascii="Calibri"/>
          <w:sz w:val="24"/>
        </w:rPr>
        <w:t>comply</w:t>
      </w:r>
      <w:r w:rsidRPr="00150EDC">
        <w:rPr>
          <w:rFonts w:ascii="Calibri"/>
          <w:spacing w:val="-3"/>
          <w:sz w:val="24"/>
        </w:rPr>
        <w:t xml:space="preserve"> </w:t>
      </w:r>
      <w:r w:rsidRPr="00150EDC">
        <w:rPr>
          <w:rFonts w:ascii="Calibri"/>
          <w:sz w:val="24"/>
        </w:rPr>
        <w:t>with</w:t>
      </w:r>
      <w:r w:rsidRPr="00150EDC">
        <w:rPr>
          <w:rFonts w:ascii="Calibri"/>
          <w:spacing w:val="-4"/>
          <w:sz w:val="24"/>
        </w:rPr>
        <w:t xml:space="preserve"> </w:t>
      </w:r>
      <w:r w:rsidRPr="00150EDC">
        <w:rPr>
          <w:rFonts w:ascii="Calibri"/>
          <w:sz w:val="24"/>
        </w:rPr>
        <w:t>the</w:t>
      </w:r>
      <w:r w:rsidRPr="00150EDC">
        <w:rPr>
          <w:rFonts w:ascii="Calibri"/>
          <w:spacing w:val="-4"/>
          <w:sz w:val="24"/>
        </w:rPr>
        <w:t xml:space="preserve"> </w:t>
      </w:r>
      <w:r w:rsidRPr="00150EDC">
        <w:rPr>
          <w:rFonts w:ascii="Calibri"/>
          <w:sz w:val="24"/>
        </w:rPr>
        <w:t>provisions</w:t>
      </w:r>
      <w:r w:rsidRPr="00150EDC">
        <w:rPr>
          <w:rFonts w:ascii="Calibri"/>
          <w:spacing w:val="-3"/>
          <w:sz w:val="24"/>
        </w:rPr>
        <w:t xml:space="preserve"> </w:t>
      </w:r>
      <w:r w:rsidRPr="00150EDC">
        <w:rPr>
          <w:rFonts w:ascii="Calibri"/>
          <w:sz w:val="24"/>
        </w:rPr>
        <w:t>of</w:t>
      </w:r>
      <w:r w:rsidRPr="00150EDC">
        <w:rPr>
          <w:rFonts w:ascii="Calibri"/>
          <w:spacing w:val="-4"/>
          <w:sz w:val="24"/>
        </w:rPr>
        <w:t xml:space="preserve"> </w:t>
      </w:r>
      <w:r w:rsidRPr="00150EDC">
        <w:rPr>
          <w:rFonts w:ascii="Calibri"/>
          <w:sz w:val="24"/>
        </w:rPr>
        <w:t>Joint</w:t>
      </w:r>
      <w:r w:rsidRPr="00150EDC">
        <w:rPr>
          <w:rFonts w:ascii="Calibri"/>
          <w:spacing w:val="-4"/>
          <w:sz w:val="24"/>
        </w:rPr>
        <w:t xml:space="preserve"> </w:t>
      </w:r>
      <w:r w:rsidRPr="00150EDC">
        <w:rPr>
          <w:rFonts w:ascii="Calibri"/>
          <w:sz w:val="24"/>
        </w:rPr>
        <w:t>Schedule</w:t>
      </w:r>
      <w:r w:rsidRPr="00150EDC">
        <w:rPr>
          <w:rFonts w:ascii="Calibri"/>
          <w:spacing w:val="-5"/>
          <w:sz w:val="24"/>
        </w:rPr>
        <w:t xml:space="preserve"> </w:t>
      </w:r>
      <w:r w:rsidRPr="00150EDC">
        <w:rPr>
          <w:rFonts w:ascii="Calibri"/>
          <w:sz w:val="24"/>
        </w:rPr>
        <w:t>5 (Corporate Social Responsibility).</w:t>
      </w:r>
    </w:p>
    <w:p w14:paraId="16537A17" w14:textId="77777777" w:rsidR="004C7180" w:rsidRPr="00150EDC" w:rsidRDefault="004C7180">
      <w:pPr>
        <w:pStyle w:val="BodyText"/>
        <w:spacing w:before="11"/>
        <w:rPr>
          <w:rFonts w:ascii="Calibri"/>
          <w:sz w:val="23"/>
        </w:rPr>
      </w:pPr>
    </w:p>
    <w:p w14:paraId="1B7F888B" w14:textId="77777777" w:rsidR="004C7180" w:rsidRPr="00150EDC" w:rsidRDefault="00CF0754" w:rsidP="00B320C7">
      <w:pPr>
        <w:pStyle w:val="ListParagraph"/>
        <w:numPr>
          <w:ilvl w:val="1"/>
          <w:numId w:val="182"/>
        </w:numPr>
        <w:tabs>
          <w:tab w:val="left" w:pos="1064"/>
          <w:tab w:val="left" w:pos="1066"/>
        </w:tabs>
        <w:ind w:right="695"/>
        <w:rPr>
          <w:rFonts w:ascii="Calibri"/>
          <w:sz w:val="24"/>
        </w:rPr>
      </w:pPr>
      <w:r w:rsidRPr="00150EDC">
        <w:rPr>
          <w:rFonts w:ascii="Calibri"/>
          <w:sz w:val="24"/>
        </w:rPr>
        <w:t>To</w:t>
      </w:r>
      <w:r w:rsidRPr="00150EDC">
        <w:rPr>
          <w:rFonts w:ascii="Calibri"/>
          <w:spacing w:val="-1"/>
          <w:sz w:val="24"/>
        </w:rPr>
        <w:t xml:space="preserve"> </w:t>
      </w:r>
      <w:r w:rsidRPr="00150EDC">
        <w:rPr>
          <w:rFonts w:ascii="Calibri"/>
          <w:sz w:val="24"/>
        </w:rPr>
        <w:t>the</w:t>
      </w:r>
      <w:r w:rsidRPr="00150EDC">
        <w:rPr>
          <w:rFonts w:ascii="Calibri"/>
          <w:spacing w:val="-4"/>
          <w:sz w:val="24"/>
        </w:rPr>
        <w:t xml:space="preserve"> </w:t>
      </w:r>
      <w:r w:rsidRPr="00150EDC">
        <w:rPr>
          <w:rFonts w:ascii="Calibri"/>
          <w:sz w:val="24"/>
        </w:rPr>
        <w:t>extent</w:t>
      </w:r>
      <w:r w:rsidRPr="00150EDC">
        <w:rPr>
          <w:rFonts w:ascii="Calibri"/>
          <w:spacing w:val="-3"/>
          <w:sz w:val="24"/>
        </w:rPr>
        <w:t xml:space="preserve"> </w:t>
      </w:r>
      <w:r w:rsidRPr="00150EDC">
        <w:rPr>
          <w:rFonts w:ascii="Calibri"/>
          <w:sz w:val="24"/>
        </w:rPr>
        <w:t>that</w:t>
      </w:r>
      <w:r w:rsidRPr="00150EDC">
        <w:rPr>
          <w:rFonts w:ascii="Calibri"/>
          <w:spacing w:val="-3"/>
          <w:sz w:val="24"/>
        </w:rPr>
        <w:t xml:space="preserve"> </w:t>
      </w:r>
      <w:r w:rsidRPr="00150EDC">
        <w:rPr>
          <w:rFonts w:ascii="Calibri"/>
          <w:sz w:val="24"/>
        </w:rPr>
        <w:t>it</w:t>
      </w:r>
      <w:r w:rsidRPr="00150EDC">
        <w:rPr>
          <w:rFonts w:ascii="Calibri"/>
          <w:spacing w:val="-3"/>
          <w:sz w:val="24"/>
        </w:rPr>
        <w:t xml:space="preserve"> </w:t>
      </w:r>
      <w:r w:rsidRPr="00150EDC">
        <w:rPr>
          <w:rFonts w:ascii="Calibri"/>
          <w:sz w:val="24"/>
        </w:rPr>
        <w:t>arises</w:t>
      </w:r>
      <w:r w:rsidRPr="00150EDC">
        <w:rPr>
          <w:rFonts w:ascii="Calibri"/>
          <w:spacing w:val="-2"/>
          <w:sz w:val="24"/>
        </w:rPr>
        <w:t xml:space="preserve"> </w:t>
      </w:r>
      <w:r w:rsidRPr="00150EDC">
        <w:rPr>
          <w:rFonts w:ascii="Calibri"/>
          <w:sz w:val="24"/>
        </w:rPr>
        <w:t>as</w:t>
      </w:r>
      <w:r w:rsidRPr="00150EDC">
        <w:rPr>
          <w:rFonts w:ascii="Calibri"/>
          <w:spacing w:val="-2"/>
          <w:sz w:val="24"/>
        </w:rPr>
        <w:t xml:space="preserve"> </w:t>
      </w:r>
      <w:r w:rsidRPr="00150EDC">
        <w:rPr>
          <w:rFonts w:ascii="Calibri"/>
          <w:sz w:val="24"/>
        </w:rPr>
        <w:t>a</w:t>
      </w:r>
      <w:r w:rsidRPr="00150EDC">
        <w:rPr>
          <w:rFonts w:ascii="Calibri"/>
          <w:spacing w:val="-4"/>
          <w:sz w:val="24"/>
        </w:rPr>
        <w:t xml:space="preserve"> </w:t>
      </w:r>
      <w:r w:rsidRPr="00150EDC">
        <w:rPr>
          <w:rFonts w:ascii="Calibri"/>
          <w:sz w:val="24"/>
        </w:rPr>
        <w:t>result</w:t>
      </w:r>
      <w:r w:rsidRPr="00150EDC">
        <w:rPr>
          <w:rFonts w:ascii="Calibri"/>
          <w:spacing w:val="-1"/>
          <w:sz w:val="24"/>
        </w:rPr>
        <w:t xml:space="preserve"> </w:t>
      </w:r>
      <w:r w:rsidRPr="00150EDC">
        <w:rPr>
          <w:rFonts w:ascii="Calibri"/>
          <w:sz w:val="24"/>
        </w:rPr>
        <w:t>of</w:t>
      </w:r>
      <w:r w:rsidRPr="00150EDC">
        <w:rPr>
          <w:rFonts w:ascii="Calibri"/>
          <w:spacing w:val="-1"/>
          <w:sz w:val="24"/>
        </w:rPr>
        <w:t xml:space="preserve"> </w:t>
      </w:r>
      <w:r w:rsidRPr="00150EDC">
        <w:rPr>
          <w:rFonts w:ascii="Calibri"/>
          <w:sz w:val="24"/>
        </w:rPr>
        <w:t>a</w:t>
      </w:r>
      <w:r w:rsidRPr="00150EDC">
        <w:rPr>
          <w:rFonts w:ascii="Calibri"/>
          <w:spacing w:val="-4"/>
          <w:sz w:val="24"/>
        </w:rPr>
        <w:t xml:space="preserve"> </w:t>
      </w:r>
      <w:r w:rsidRPr="00150EDC">
        <w:rPr>
          <w:rFonts w:ascii="Calibri"/>
          <w:sz w:val="24"/>
        </w:rPr>
        <w:t>Default</w:t>
      </w:r>
      <w:r w:rsidRPr="00150EDC">
        <w:rPr>
          <w:rFonts w:ascii="Calibri"/>
          <w:spacing w:val="-3"/>
          <w:sz w:val="24"/>
        </w:rPr>
        <w:t xml:space="preserve"> </w:t>
      </w:r>
      <w:r w:rsidRPr="00150EDC">
        <w:rPr>
          <w:rFonts w:ascii="Calibri"/>
          <w:sz w:val="24"/>
        </w:rPr>
        <w:t>by</w:t>
      </w:r>
      <w:r w:rsidRPr="00150EDC">
        <w:rPr>
          <w:rFonts w:ascii="Calibri"/>
          <w:spacing w:val="-2"/>
          <w:sz w:val="24"/>
        </w:rPr>
        <w:t xml:space="preserve"> </w:t>
      </w:r>
      <w:r w:rsidRPr="00150EDC">
        <w:rPr>
          <w:rFonts w:ascii="Calibri"/>
          <w:sz w:val="24"/>
        </w:rPr>
        <w:t>the</w:t>
      </w:r>
      <w:r w:rsidRPr="00150EDC">
        <w:rPr>
          <w:rFonts w:ascii="Calibri"/>
          <w:spacing w:val="-4"/>
          <w:sz w:val="24"/>
        </w:rPr>
        <w:t xml:space="preserve"> </w:t>
      </w:r>
      <w:r w:rsidRPr="00150EDC">
        <w:rPr>
          <w:rFonts w:ascii="Calibri"/>
          <w:sz w:val="24"/>
        </w:rPr>
        <w:t>Supplier,</w:t>
      </w:r>
      <w:r w:rsidRPr="00150EDC">
        <w:rPr>
          <w:rFonts w:ascii="Calibri"/>
          <w:spacing w:val="-4"/>
          <w:sz w:val="24"/>
        </w:rPr>
        <w:t xml:space="preserve"> </w:t>
      </w:r>
      <w:r w:rsidRPr="00150EDC">
        <w:rPr>
          <w:rFonts w:ascii="Calibri"/>
          <w:sz w:val="24"/>
        </w:rPr>
        <w:t>the</w:t>
      </w:r>
      <w:r w:rsidRPr="00150EDC">
        <w:rPr>
          <w:rFonts w:ascii="Calibri"/>
          <w:spacing w:val="-3"/>
          <w:sz w:val="24"/>
        </w:rPr>
        <w:t xml:space="preserve"> </w:t>
      </w:r>
      <w:r w:rsidRPr="00150EDC">
        <w:rPr>
          <w:rFonts w:ascii="Calibri"/>
          <w:sz w:val="24"/>
        </w:rPr>
        <w:t>Supplier</w:t>
      </w:r>
      <w:r w:rsidRPr="00150EDC">
        <w:rPr>
          <w:rFonts w:ascii="Calibri"/>
          <w:spacing w:val="-1"/>
          <w:sz w:val="24"/>
        </w:rPr>
        <w:t xml:space="preserve"> </w:t>
      </w:r>
      <w:r w:rsidRPr="00150EDC">
        <w:rPr>
          <w:rFonts w:ascii="Calibri"/>
          <w:sz w:val="24"/>
        </w:rPr>
        <w:t>indemnifies</w:t>
      </w:r>
      <w:r w:rsidRPr="00150EDC">
        <w:rPr>
          <w:rFonts w:ascii="Calibri"/>
          <w:spacing w:val="-4"/>
          <w:sz w:val="24"/>
        </w:rPr>
        <w:t xml:space="preserve"> </w:t>
      </w:r>
      <w:r w:rsidRPr="00150EDC">
        <w:rPr>
          <w:rFonts w:ascii="Calibri"/>
          <w:sz w:val="24"/>
        </w:rPr>
        <w:t>the</w:t>
      </w:r>
      <w:r w:rsidRPr="00150EDC">
        <w:rPr>
          <w:rFonts w:ascii="Calibri"/>
          <w:spacing w:val="-4"/>
          <w:sz w:val="24"/>
        </w:rPr>
        <w:t xml:space="preserve"> </w:t>
      </w:r>
      <w:r w:rsidRPr="00150EDC">
        <w:rPr>
          <w:rFonts w:ascii="Calibri"/>
          <w:sz w:val="24"/>
        </w:rPr>
        <w:t>Relevant Authority against any fine or penalty incurred by the Relevant Authority pursuant to Law and any costs incurred by the Relevant Authority in defending any proceedings which result in such fine or penalty.</w:t>
      </w:r>
    </w:p>
    <w:p w14:paraId="06A5FB37" w14:textId="77777777" w:rsidR="004C7180" w:rsidRPr="00150EDC" w:rsidRDefault="004C7180">
      <w:pPr>
        <w:pStyle w:val="BodyText"/>
        <w:rPr>
          <w:rFonts w:ascii="Calibri"/>
        </w:rPr>
      </w:pPr>
    </w:p>
    <w:p w14:paraId="28A321BB" w14:textId="77777777" w:rsidR="004C7180" w:rsidRPr="00150EDC" w:rsidRDefault="00CF0754" w:rsidP="00B320C7">
      <w:pPr>
        <w:pStyle w:val="ListParagraph"/>
        <w:numPr>
          <w:ilvl w:val="1"/>
          <w:numId w:val="182"/>
        </w:numPr>
        <w:tabs>
          <w:tab w:val="left" w:pos="1064"/>
          <w:tab w:val="left" w:pos="1066"/>
        </w:tabs>
        <w:ind w:right="712"/>
        <w:rPr>
          <w:rFonts w:ascii="Calibri"/>
          <w:sz w:val="24"/>
        </w:rPr>
      </w:pPr>
      <w:r w:rsidRPr="00150EDC">
        <w:rPr>
          <w:rFonts w:ascii="Calibri"/>
          <w:sz w:val="24"/>
        </w:rPr>
        <w:t>The</w:t>
      </w:r>
      <w:r w:rsidRPr="00150EDC">
        <w:rPr>
          <w:rFonts w:ascii="Calibri"/>
          <w:spacing w:val="-2"/>
          <w:sz w:val="24"/>
        </w:rPr>
        <w:t xml:space="preserve"> </w:t>
      </w:r>
      <w:r w:rsidRPr="00150EDC">
        <w:rPr>
          <w:rFonts w:ascii="Calibri"/>
          <w:sz w:val="24"/>
        </w:rPr>
        <w:t>Supplier</w:t>
      </w:r>
      <w:r w:rsidRPr="00150EDC">
        <w:rPr>
          <w:rFonts w:ascii="Calibri"/>
          <w:spacing w:val="-4"/>
          <w:sz w:val="24"/>
        </w:rPr>
        <w:t xml:space="preserve"> </w:t>
      </w:r>
      <w:r w:rsidRPr="00150EDC">
        <w:rPr>
          <w:rFonts w:ascii="Calibri"/>
          <w:sz w:val="24"/>
        </w:rPr>
        <w:t>must</w:t>
      </w:r>
      <w:r w:rsidRPr="00150EDC">
        <w:rPr>
          <w:rFonts w:ascii="Calibri"/>
          <w:spacing w:val="-2"/>
          <w:sz w:val="24"/>
        </w:rPr>
        <w:t xml:space="preserve"> </w:t>
      </w:r>
      <w:r w:rsidRPr="00150EDC">
        <w:rPr>
          <w:rFonts w:ascii="Calibri"/>
          <w:sz w:val="24"/>
        </w:rPr>
        <w:t>appoint</w:t>
      </w:r>
      <w:r w:rsidRPr="00150EDC">
        <w:rPr>
          <w:rFonts w:ascii="Calibri"/>
          <w:spacing w:val="-2"/>
          <w:sz w:val="24"/>
        </w:rPr>
        <w:t xml:space="preserve"> </w:t>
      </w:r>
      <w:r w:rsidRPr="00150EDC">
        <w:rPr>
          <w:rFonts w:ascii="Calibri"/>
          <w:sz w:val="24"/>
        </w:rPr>
        <w:t>a</w:t>
      </w:r>
      <w:r w:rsidRPr="00150EDC">
        <w:rPr>
          <w:rFonts w:ascii="Calibri"/>
          <w:spacing w:val="-5"/>
          <w:sz w:val="24"/>
        </w:rPr>
        <w:t xml:space="preserve"> </w:t>
      </w:r>
      <w:r w:rsidRPr="00150EDC">
        <w:rPr>
          <w:rFonts w:ascii="Calibri"/>
          <w:sz w:val="24"/>
        </w:rPr>
        <w:t>Compliance</w:t>
      </w:r>
      <w:r w:rsidRPr="00150EDC">
        <w:rPr>
          <w:rFonts w:ascii="Calibri"/>
          <w:spacing w:val="-2"/>
          <w:sz w:val="24"/>
        </w:rPr>
        <w:t xml:space="preserve"> </w:t>
      </w:r>
      <w:r w:rsidRPr="00150EDC">
        <w:rPr>
          <w:rFonts w:ascii="Calibri"/>
          <w:sz w:val="24"/>
        </w:rPr>
        <w:t>Officer</w:t>
      </w:r>
      <w:r w:rsidRPr="00150EDC">
        <w:rPr>
          <w:rFonts w:ascii="Calibri"/>
          <w:spacing w:val="-7"/>
          <w:sz w:val="24"/>
        </w:rPr>
        <w:t xml:space="preserve"> </w:t>
      </w:r>
      <w:r w:rsidRPr="00150EDC">
        <w:rPr>
          <w:rFonts w:ascii="Calibri"/>
          <w:sz w:val="24"/>
        </w:rPr>
        <w:t>who</w:t>
      </w:r>
      <w:r w:rsidRPr="00150EDC">
        <w:rPr>
          <w:rFonts w:ascii="Calibri"/>
          <w:spacing w:val="-2"/>
          <w:sz w:val="24"/>
        </w:rPr>
        <w:t xml:space="preserve"> </w:t>
      </w:r>
      <w:r w:rsidRPr="00150EDC">
        <w:rPr>
          <w:rFonts w:ascii="Calibri"/>
          <w:sz w:val="24"/>
        </w:rPr>
        <w:t>must</w:t>
      </w:r>
      <w:r w:rsidRPr="00150EDC">
        <w:rPr>
          <w:rFonts w:ascii="Calibri"/>
          <w:spacing w:val="-2"/>
          <w:sz w:val="24"/>
        </w:rPr>
        <w:t xml:space="preserve"> </w:t>
      </w:r>
      <w:r w:rsidRPr="00150EDC">
        <w:rPr>
          <w:rFonts w:ascii="Calibri"/>
          <w:sz w:val="24"/>
        </w:rPr>
        <w:t>be</w:t>
      </w:r>
      <w:r w:rsidRPr="00150EDC">
        <w:rPr>
          <w:rFonts w:ascii="Calibri"/>
          <w:spacing w:val="-2"/>
          <w:sz w:val="24"/>
        </w:rPr>
        <w:t xml:space="preserve"> </w:t>
      </w:r>
      <w:r w:rsidRPr="00150EDC">
        <w:rPr>
          <w:rFonts w:ascii="Calibri"/>
          <w:sz w:val="24"/>
        </w:rPr>
        <w:t>responsible</w:t>
      </w:r>
      <w:r w:rsidRPr="00150EDC">
        <w:rPr>
          <w:rFonts w:ascii="Calibri"/>
          <w:spacing w:val="-5"/>
          <w:sz w:val="24"/>
        </w:rPr>
        <w:t xml:space="preserve"> </w:t>
      </w:r>
      <w:r w:rsidRPr="00150EDC">
        <w:rPr>
          <w:rFonts w:ascii="Calibri"/>
          <w:sz w:val="24"/>
        </w:rPr>
        <w:t>for</w:t>
      </w:r>
      <w:r w:rsidRPr="00150EDC">
        <w:rPr>
          <w:rFonts w:ascii="Calibri"/>
          <w:spacing w:val="-4"/>
          <w:sz w:val="24"/>
        </w:rPr>
        <w:t xml:space="preserve"> </w:t>
      </w:r>
      <w:r w:rsidRPr="00150EDC">
        <w:rPr>
          <w:rFonts w:ascii="Calibri"/>
          <w:sz w:val="24"/>
        </w:rPr>
        <w:t>ensuring</w:t>
      </w:r>
      <w:r w:rsidRPr="00150EDC">
        <w:rPr>
          <w:rFonts w:ascii="Calibri"/>
          <w:spacing w:val="-5"/>
          <w:sz w:val="24"/>
        </w:rPr>
        <w:t xml:space="preserve"> </w:t>
      </w:r>
      <w:r w:rsidRPr="00150EDC">
        <w:rPr>
          <w:rFonts w:ascii="Calibri"/>
          <w:sz w:val="24"/>
        </w:rPr>
        <w:t>that</w:t>
      </w:r>
      <w:r w:rsidRPr="00150EDC">
        <w:rPr>
          <w:rFonts w:ascii="Calibri"/>
          <w:spacing w:val="-4"/>
          <w:sz w:val="24"/>
        </w:rPr>
        <w:t xml:space="preserve"> </w:t>
      </w:r>
      <w:r w:rsidRPr="00150EDC">
        <w:rPr>
          <w:rFonts w:ascii="Calibri"/>
          <w:sz w:val="24"/>
        </w:rPr>
        <w:t>the</w:t>
      </w:r>
      <w:r w:rsidRPr="00150EDC">
        <w:rPr>
          <w:rFonts w:ascii="Calibri"/>
          <w:spacing w:val="-2"/>
          <w:sz w:val="24"/>
        </w:rPr>
        <w:t xml:space="preserve"> </w:t>
      </w:r>
      <w:r w:rsidRPr="00150EDC">
        <w:rPr>
          <w:rFonts w:ascii="Calibri"/>
          <w:sz w:val="24"/>
        </w:rPr>
        <w:t>Supplier complies with Law, Clause 12.1 and Clauses 27 to 32.</w:t>
      </w:r>
    </w:p>
    <w:p w14:paraId="1551D7FB" w14:textId="77777777" w:rsidR="004C7180" w:rsidRPr="00150EDC" w:rsidRDefault="004C7180">
      <w:pPr>
        <w:pStyle w:val="BodyText"/>
        <w:spacing w:before="10"/>
        <w:rPr>
          <w:rFonts w:ascii="Calibri"/>
          <w:sz w:val="25"/>
        </w:rPr>
      </w:pPr>
    </w:p>
    <w:p w14:paraId="7FD771E0" w14:textId="77777777" w:rsidR="004C7180" w:rsidRPr="00150EDC" w:rsidRDefault="00CF0754" w:rsidP="00B320C7">
      <w:pPr>
        <w:pStyle w:val="Heading1"/>
        <w:numPr>
          <w:ilvl w:val="0"/>
          <w:numId w:val="182"/>
        </w:numPr>
        <w:tabs>
          <w:tab w:val="left" w:pos="1217"/>
        </w:tabs>
        <w:ind w:left="1217" w:hanging="650"/>
        <w:jc w:val="left"/>
        <w:rPr>
          <w:rFonts w:ascii="Calibri"/>
        </w:rPr>
      </w:pPr>
      <w:r w:rsidRPr="00150EDC">
        <w:rPr>
          <w:rFonts w:ascii="Calibri"/>
          <w:spacing w:val="-2"/>
        </w:rPr>
        <w:t>Insurance</w:t>
      </w:r>
    </w:p>
    <w:p w14:paraId="07389956" w14:textId="77777777" w:rsidR="004C7180" w:rsidRPr="00150EDC" w:rsidRDefault="00CF0754">
      <w:pPr>
        <w:pStyle w:val="BodyText"/>
        <w:spacing w:before="18"/>
        <w:ind w:left="641" w:right="673" w:hanging="5"/>
        <w:rPr>
          <w:rFonts w:ascii="Calibri"/>
        </w:rPr>
      </w:pPr>
      <w:r w:rsidRPr="00150EDC">
        <w:rPr>
          <w:rFonts w:ascii="Calibri"/>
        </w:rPr>
        <w:t>The</w:t>
      </w:r>
      <w:r w:rsidRPr="00150EDC">
        <w:rPr>
          <w:rFonts w:ascii="Calibri"/>
          <w:spacing w:val="-2"/>
        </w:rPr>
        <w:t xml:space="preserve"> </w:t>
      </w:r>
      <w:r w:rsidRPr="00150EDC">
        <w:rPr>
          <w:rFonts w:ascii="Calibri"/>
        </w:rPr>
        <w:t>Supplier</w:t>
      </w:r>
      <w:r w:rsidRPr="00150EDC">
        <w:rPr>
          <w:rFonts w:ascii="Calibri"/>
          <w:spacing w:val="-4"/>
        </w:rPr>
        <w:t xml:space="preserve"> </w:t>
      </w:r>
      <w:r w:rsidRPr="00150EDC">
        <w:rPr>
          <w:rFonts w:ascii="Calibri"/>
        </w:rPr>
        <w:t>must,</w:t>
      </w:r>
      <w:r w:rsidRPr="00150EDC">
        <w:rPr>
          <w:rFonts w:ascii="Calibri"/>
          <w:spacing w:val="-3"/>
        </w:rPr>
        <w:t xml:space="preserve"> </w:t>
      </w:r>
      <w:r w:rsidRPr="00150EDC">
        <w:rPr>
          <w:rFonts w:ascii="Calibri"/>
        </w:rPr>
        <w:t>at</w:t>
      </w:r>
      <w:r w:rsidRPr="00150EDC">
        <w:rPr>
          <w:rFonts w:ascii="Calibri"/>
          <w:spacing w:val="-2"/>
        </w:rPr>
        <w:t xml:space="preserve"> </w:t>
      </w:r>
      <w:r w:rsidRPr="00150EDC">
        <w:rPr>
          <w:rFonts w:ascii="Calibri"/>
        </w:rPr>
        <w:t>its</w:t>
      </w:r>
      <w:r w:rsidRPr="00150EDC">
        <w:rPr>
          <w:rFonts w:ascii="Calibri"/>
          <w:spacing w:val="-4"/>
        </w:rPr>
        <w:t xml:space="preserve"> </w:t>
      </w:r>
      <w:r w:rsidRPr="00150EDC">
        <w:rPr>
          <w:rFonts w:ascii="Calibri"/>
        </w:rPr>
        <w:t>own</w:t>
      </w:r>
      <w:r w:rsidRPr="00150EDC">
        <w:rPr>
          <w:rFonts w:ascii="Calibri"/>
          <w:spacing w:val="-2"/>
        </w:rPr>
        <w:t xml:space="preserve"> </w:t>
      </w:r>
      <w:r w:rsidRPr="00150EDC">
        <w:rPr>
          <w:rFonts w:ascii="Calibri"/>
        </w:rPr>
        <w:t>cost,</w:t>
      </w:r>
      <w:r w:rsidRPr="00150EDC">
        <w:rPr>
          <w:rFonts w:ascii="Calibri"/>
          <w:spacing w:val="-4"/>
        </w:rPr>
        <w:t xml:space="preserve"> </w:t>
      </w:r>
      <w:r w:rsidRPr="00150EDC">
        <w:rPr>
          <w:rFonts w:ascii="Calibri"/>
        </w:rPr>
        <w:t>obtain</w:t>
      </w:r>
      <w:r w:rsidRPr="00150EDC">
        <w:rPr>
          <w:rFonts w:ascii="Calibri"/>
          <w:spacing w:val="-4"/>
        </w:rPr>
        <w:t xml:space="preserve"> </w:t>
      </w:r>
      <w:r w:rsidRPr="00150EDC">
        <w:rPr>
          <w:rFonts w:ascii="Calibri"/>
        </w:rPr>
        <w:t>and</w:t>
      </w:r>
      <w:r w:rsidRPr="00150EDC">
        <w:rPr>
          <w:rFonts w:ascii="Calibri"/>
          <w:spacing w:val="-2"/>
        </w:rPr>
        <w:t xml:space="preserve"> </w:t>
      </w:r>
      <w:r w:rsidRPr="00150EDC">
        <w:rPr>
          <w:rFonts w:ascii="Calibri"/>
        </w:rPr>
        <w:t>maintain</w:t>
      </w:r>
      <w:r w:rsidRPr="00150EDC">
        <w:rPr>
          <w:rFonts w:ascii="Calibri"/>
          <w:spacing w:val="-4"/>
        </w:rPr>
        <w:t xml:space="preserve"> </w:t>
      </w:r>
      <w:r w:rsidRPr="00150EDC">
        <w:rPr>
          <w:rFonts w:ascii="Calibri"/>
        </w:rPr>
        <w:t>the</w:t>
      </w:r>
      <w:r w:rsidRPr="00150EDC">
        <w:rPr>
          <w:rFonts w:ascii="Calibri"/>
          <w:spacing w:val="-4"/>
        </w:rPr>
        <w:t xml:space="preserve"> </w:t>
      </w:r>
      <w:r w:rsidRPr="00150EDC">
        <w:rPr>
          <w:rFonts w:ascii="Calibri"/>
        </w:rPr>
        <w:t>Required</w:t>
      </w:r>
      <w:r w:rsidRPr="00150EDC">
        <w:rPr>
          <w:rFonts w:ascii="Calibri"/>
          <w:spacing w:val="-4"/>
        </w:rPr>
        <w:t xml:space="preserve"> </w:t>
      </w:r>
      <w:r w:rsidRPr="00150EDC">
        <w:rPr>
          <w:rFonts w:ascii="Calibri"/>
        </w:rPr>
        <w:t>Insurances</w:t>
      </w:r>
      <w:r w:rsidRPr="00150EDC">
        <w:rPr>
          <w:rFonts w:ascii="Calibri"/>
          <w:spacing w:val="-3"/>
        </w:rPr>
        <w:t xml:space="preserve"> </w:t>
      </w:r>
      <w:r w:rsidRPr="00150EDC">
        <w:rPr>
          <w:rFonts w:ascii="Calibri"/>
        </w:rPr>
        <w:t>in</w:t>
      </w:r>
      <w:r w:rsidRPr="00150EDC">
        <w:rPr>
          <w:rFonts w:ascii="Calibri"/>
          <w:spacing w:val="-4"/>
        </w:rPr>
        <w:t xml:space="preserve"> </w:t>
      </w:r>
      <w:r w:rsidRPr="00150EDC">
        <w:rPr>
          <w:rFonts w:ascii="Calibri"/>
        </w:rPr>
        <w:t>Joint</w:t>
      </w:r>
      <w:r w:rsidRPr="00150EDC">
        <w:rPr>
          <w:rFonts w:ascii="Calibri"/>
          <w:spacing w:val="-2"/>
        </w:rPr>
        <w:t xml:space="preserve"> </w:t>
      </w:r>
      <w:r w:rsidRPr="00150EDC">
        <w:rPr>
          <w:rFonts w:ascii="Calibri"/>
        </w:rPr>
        <w:t>Schedule</w:t>
      </w:r>
      <w:r w:rsidRPr="00150EDC">
        <w:rPr>
          <w:rFonts w:ascii="Calibri"/>
          <w:spacing w:val="-4"/>
        </w:rPr>
        <w:t xml:space="preserve"> </w:t>
      </w:r>
      <w:r w:rsidRPr="00150EDC">
        <w:rPr>
          <w:rFonts w:ascii="Calibri"/>
        </w:rPr>
        <w:t>3 (Insurance Requirements) and any Additional Insurances in the Order Form.</w:t>
      </w:r>
    </w:p>
    <w:p w14:paraId="215F2E91" w14:textId="77777777" w:rsidR="004C7180" w:rsidRPr="00150EDC" w:rsidRDefault="004C7180">
      <w:pPr>
        <w:pStyle w:val="BodyText"/>
        <w:spacing w:before="10"/>
        <w:rPr>
          <w:rFonts w:ascii="Calibri"/>
          <w:sz w:val="25"/>
        </w:rPr>
      </w:pPr>
    </w:p>
    <w:p w14:paraId="5B8A3E9A" w14:textId="77777777" w:rsidR="004C7180" w:rsidRPr="00150EDC" w:rsidRDefault="00CF0754" w:rsidP="00B320C7">
      <w:pPr>
        <w:pStyle w:val="Heading1"/>
        <w:numPr>
          <w:ilvl w:val="0"/>
          <w:numId w:val="182"/>
        </w:numPr>
        <w:tabs>
          <w:tab w:val="left" w:pos="1217"/>
        </w:tabs>
        <w:ind w:left="1217" w:hanging="650"/>
        <w:jc w:val="left"/>
        <w:rPr>
          <w:rFonts w:ascii="Calibri"/>
        </w:rPr>
      </w:pPr>
      <w:r w:rsidRPr="00150EDC">
        <w:rPr>
          <w:rFonts w:ascii="Calibri"/>
        </w:rPr>
        <w:t xml:space="preserve">Data </w:t>
      </w:r>
      <w:r w:rsidRPr="00150EDC">
        <w:rPr>
          <w:rFonts w:ascii="Calibri"/>
          <w:spacing w:val="-2"/>
        </w:rPr>
        <w:t>protection</w:t>
      </w:r>
    </w:p>
    <w:p w14:paraId="61907030" w14:textId="77777777" w:rsidR="004C7180" w:rsidRPr="00150EDC" w:rsidRDefault="00CF0754" w:rsidP="00B320C7">
      <w:pPr>
        <w:pStyle w:val="ListParagraph"/>
        <w:numPr>
          <w:ilvl w:val="1"/>
          <w:numId w:val="182"/>
        </w:numPr>
        <w:tabs>
          <w:tab w:val="left" w:pos="1064"/>
          <w:tab w:val="left" w:pos="1066"/>
        </w:tabs>
        <w:spacing w:before="18"/>
        <w:ind w:right="953"/>
        <w:rPr>
          <w:rFonts w:ascii="Calibri"/>
          <w:sz w:val="24"/>
        </w:rPr>
      </w:pPr>
      <w:r w:rsidRPr="00150EDC">
        <w:rPr>
          <w:rFonts w:ascii="Calibri"/>
          <w:sz w:val="24"/>
        </w:rPr>
        <w:t>The</w:t>
      </w:r>
      <w:r w:rsidRPr="00150EDC">
        <w:rPr>
          <w:rFonts w:ascii="Calibri"/>
          <w:spacing w:val="-1"/>
          <w:sz w:val="24"/>
        </w:rPr>
        <w:t xml:space="preserve"> </w:t>
      </w:r>
      <w:r w:rsidRPr="00150EDC">
        <w:rPr>
          <w:rFonts w:ascii="Calibri"/>
          <w:sz w:val="24"/>
        </w:rPr>
        <w:t>Supplier</w:t>
      </w:r>
      <w:r w:rsidRPr="00150EDC">
        <w:rPr>
          <w:rFonts w:ascii="Calibri"/>
          <w:spacing w:val="-4"/>
          <w:sz w:val="24"/>
        </w:rPr>
        <w:t xml:space="preserve"> </w:t>
      </w:r>
      <w:r w:rsidRPr="00150EDC">
        <w:rPr>
          <w:rFonts w:ascii="Calibri"/>
          <w:sz w:val="24"/>
        </w:rPr>
        <w:t>must</w:t>
      </w:r>
      <w:r w:rsidRPr="00150EDC">
        <w:rPr>
          <w:rFonts w:ascii="Calibri"/>
          <w:spacing w:val="-2"/>
          <w:sz w:val="24"/>
        </w:rPr>
        <w:t xml:space="preserve"> </w:t>
      </w:r>
      <w:r w:rsidRPr="00150EDC">
        <w:rPr>
          <w:rFonts w:ascii="Calibri"/>
          <w:sz w:val="24"/>
        </w:rPr>
        <w:t>process</w:t>
      </w:r>
      <w:r w:rsidRPr="00150EDC">
        <w:rPr>
          <w:rFonts w:ascii="Calibri"/>
          <w:spacing w:val="-4"/>
          <w:sz w:val="24"/>
        </w:rPr>
        <w:t xml:space="preserve"> </w:t>
      </w:r>
      <w:r w:rsidRPr="00150EDC">
        <w:rPr>
          <w:rFonts w:ascii="Calibri"/>
          <w:sz w:val="24"/>
        </w:rPr>
        <w:t>Personal</w:t>
      </w:r>
      <w:r w:rsidRPr="00150EDC">
        <w:rPr>
          <w:rFonts w:ascii="Calibri"/>
          <w:spacing w:val="-2"/>
          <w:sz w:val="24"/>
        </w:rPr>
        <w:t xml:space="preserve"> </w:t>
      </w:r>
      <w:r w:rsidRPr="00150EDC">
        <w:rPr>
          <w:rFonts w:ascii="Calibri"/>
          <w:sz w:val="24"/>
        </w:rPr>
        <w:t>Data</w:t>
      </w:r>
      <w:r w:rsidRPr="00150EDC">
        <w:rPr>
          <w:rFonts w:ascii="Calibri"/>
          <w:spacing w:val="-5"/>
          <w:sz w:val="24"/>
        </w:rPr>
        <w:t xml:space="preserve"> </w:t>
      </w:r>
      <w:r w:rsidRPr="00150EDC">
        <w:rPr>
          <w:rFonts w:ascii="Calibri"/>
          <w:sz w:val="24"/>
        </w:rPr>
        <w:t>and</w:t>
      </w:r>
      <w:r w:rsidRPr="00150EDC">
        <w:rPr>
          <w:rFonts w:ascii="Calibri"/>
          <w:spacing w:val="-2"/>
          <w:sz w:val="24"/>
        </w:rPr>
        <w:t xml:space="preserve"> </w:t>
      </w:r>
      <w:r w:rsidRPr="00150EDC">
        <w:rPr>
          <w:rFonts w:ascii="Calibri"/>
          <w:sz w:val="24"/>
        </w:rPr>
        <w:t>ensure</w:t>
      </w:r>
      <w:r w:rsidRPr="00150EDC">
        <w:rPr>
          <w:rFonts w:ascii="Calibri"/>
          <w:spacing w:val="-4"/>
          <w:sz w:val="24"/>
        </w:rPr>
        <w:t xml:space="preserve"> </w:t>
      </w:r>
      <w:r w:rsidRPr="00150EDC">
        <w:rPr>
          <w:rFonts w:ascii="Calibri"/>
          <w:sz w:val="24"/>
        </w:rPr>
        <w:t>that</w:t>
      </w:r>
      <w:r w:rsidRPr="00150EDC">
        <w:rPr>
          <w:rFonts w:ascii="Calibri"/>
          <w:spacing w:val="-2"/>
          <w:sz w:val="24"/>
        </w:rPr>
        <w:t xml:space="preserve"> </w:t>
      </w:r>
      <w:r w:rsidRPr="00150EDC">
        <w:rPr>
          <w:rFonts w:ascii="Calibri"/>
          <w:sz w:val="24"/>
        </w:rPr>
        <w:t>Supplier</w:t>
      </w:r>
      <w:r w:rsidRPr="00150EDC">
        <w:rPr>
          <w:rFonts w:ascii="Calibri"/>
          <w:spacing w:val="-2"/>
          <w:sz w:val="24"/>
        </w:rPr>
        <w:t xml:space="preserve"> </w:t>
      </w:r>
      <w:r w:rsidRPr="00150EDC">
        <w:rPr>
          <w:rFonts w:ascii="Calibri"/>
          <w:sz w:val="24"/>
        </w:rPr>
        <w:t>Staff</w:t>
      </w:r>
      <w:r w:rsidRPr="00150EDC">
        <w:rPr>
          <w:rFonts w:ascii="Calibri"/>
          <w:spacing w:val="-4"/>
          <w:sz w:val="24"/>
        </w:rPr>
        <w:t xml:space="preserve"> </w:t>
      </w:r>
      <w:r w:rsidRPr="00150EDC">
        <w:rPr>
          <w:rFonts w:ascii="Calibri"/>
          <w:sz w:val="24"/>
        </w:rPr>
        <w:t>process</w:t>
      </w:r>
      <w:r w:rsidRPr="00150EDC">
        <w:rPr>
          <w:rFonts w:ascii="Calibri"/>
          <w:spacing w:val="-3"/>
          <w:sz w:val="24"/>
        </w:rPr>
        <w:t xml:space="preserve"> </w:t>
      </w:r>
      <w:r w:rsidRPr="00150EDC">
        <w:rPr>
          <w:rFonts w:ascii="Calibri"/>
          <w:sz w:val="24"/>
        </w:rPr>
        <w:t>Personal</w:t>
      </w:r>
      <w:r w:rsidRPr="00150EDC">
        <w:rPr>
          <w:rFonts w:ascii="Calibri"/>
          <w:spacing w:val="-5"/>
          <w:sz w:val="24"/>
        </w:rPr>
        <w:t xml:space="preserve"> </w:t>
      </w:r>
      <w:r w:rsidRPr="00150EDC">
        <w:rPr>
          <w:rFonts w:ascii="Calibri"/>
          <w:sz w:val="24"/>
        </w:rPr>
        <w:t>Data</w:t>
      </w:r>
      <w:r w:rsidRPr="00150EDC">
        <w:rPr>
          <w:rFonts w:ascii="Calibri"/>
          <w:spacing w:val="-5"/>
          <w:sz w:val="24"/>
        </w:rPr>
        <w:t xml:space="preserve"> </w:t>
      </w:r>
      <w:r w:rsidRPr="00150EDC">
        <w:rPr>
          <w:rFonts w:ascii="Calibri"/>
          <w:sz w:val="24"/>
        </w:rPr>
        <w:t>only</w:t>
      </w:r>
      <w:r w:rsidRPr="00150EDC">
        <w:rPr>
          <w:rFonts w:ascii="Calibri"/>
          <w:spacing w:val="-4"/>
          <w:sz w:val="24"/>
        </w:rPr>
        <w:t xml:space="preserve"> </w:t>
      </w:r>
      <w:r w:rsidRPr="00150EDC">
        <w:rPr>
          <w:rFonts w:ascii="Calibri"/>
          <w:sz w:val="24"/>
        </w:rPr>
        <w:t>in accordance with Joint Schedule 11 (Processing Data).</w:t>
      </w:r>
    </w:p>
    <w:p w14:paraId="7D2CBDE5" w14:textId="77777777" w:rsidR="004C7180" w:rsidRPr="00150EDC" w:rsidRDefault="004C7180">
      <w:pPr>
        <w:pStyle w:val="BodyText"/>
        <w:rPr>
          <w:rFonts w:ascii="Calibri"/>
        </w:rPr>
      </w:pPr>
    </w:p>
    <w:p w14:paraId="387DFFF0" w14:textId="77777777" w:rsidR="004C7180" w:rsidRPr="00150EDC" w:rsidRDefault="00CF0754" w:rsidP="00B320C7">
      <w:pPr>
        <w:pStyle w:val="ListParagraph"/>
        <w:numPr>
          <w:ilvl w:val="1"/>
          <w:numId w:val="182"/>
        </w:numPr>
        <w:tabs>
          <w:tab w:val="left" w:pos="1065"/>
        </w:tabs>
        <w:ind w:left="1065" w:hanging="565"/>
        <w:rPr>
          <w:rFonts w:ascii="Calibri"/>
          <w:sz w:val="24"/>
        </w:rPr>
      </w:pPr>
      <w:r w:rsidRPr="00150EDC">
        <w:rPr>
          <w:rFonts w:ascii="Calibri"/>
          <w:sz w:val="24"/>
        </w:rPr>
        <w:t>The</w:t>
      </w:r>
      <w:r w:rsidRPr="00150EDC">
        <w:rPr>
          <w:rFonts w:ascii="Calibri"/>
          <w:spacing w:val="-4"/>
          <w:sz w:val="24"/>
        </w:rPr>
        <w:t xml:space="preserve"> </w:t>
      </w:r>
      <w:r w:rsidRPr="00150EDC">
        <w:rPr>
          <w:rFonts w:ascii="Calibri"/>
          <w:sz w:val="24"/>
        </w:rPr>
        <w:t>Supplier</w:t>
      </w:r>
      <w:r w:rsidRPr="00150EDC">
        <w:rPr>
          <w:rFonts w:ascii="Calibri"/>
          <w:spacing w:val="-3"/>
          <w:sz w:val="24"/>
        </w:rPr>
        <w:t xml:space="preserve"> </w:t>
      </w:r>
      <w:r w:rsidRPr="00150EDC">
        <w:rPr>
          <w:rFonts w:ascii="Calibri"/>
          <w:sz w:val="24"/>
        </w:rPr>
        <w:t>must</w:t>
      </w:r>
      <w:r w:rsidRPr="00150EDC">
        <w:rPr>
          <w:rFonts w:ascii="Calibri"/>
          <w:spacing w:val="-1"/>
          <w:sz w:val="24"/>
        </w:rPr>
        <w:t xml:space="preserve"> </w:t>
      </w:r>
      <w:r w:rsidRPr="00150EDC">
        <w:rPr>
          <w:rFonts w:ascii="Calibri"/>
          <w:sz w:val="24"/>
        </w:rPr>
        <w:t>not</w:t>
      </w:r>
      <w:r w:rsidRPr="00150EDC">
        <w:rPr>
          <w:rFonts w:ascii="Calibri"/>
          <w:spacing w:val="-2"/>
          <w:sz w:val="24"/>
        </w:rPr>
        <w:t xml:space="preserve"> </w:t>
      </w:r>
      <w:r w:rsidRPr="00150EDC">
        <w:rPr>
          <w:rFonts w:ascii="Calibri"/>
          <w:sz w:val="24"/>
        </w:rPr>
        <w:t>remove</w:t>
      </w:r>
      <w:r w:rsidRPr="00150EDC">
        <w:rPr>
          <w:rFonts w:ascii="Calibri"/>
          <w:spacing w:val="-2"/>
          <w:sz w:val="24"/>
        </w:rPr>
        <w:t xml:space="preserve"> </w:t>
      </w:r>
      <w:r w:rsidRPr="00150EDC">
        <w:rPr>
          <w:rFonts w:ascii="Calibri"/>
          <w:sz w:val="24"/>
        </w:rPr>
        <w:t>any</w:t>
      </w:r>
      <w:r w:rsidRPr="00150EDC">
        <w:rPr>
          <w:rFonts w:ascii="Calibri"/>
          <w:spacing w:val="-5"/>
          <w:sz w:val="24"/>
        </w:rPr>
        <w:t xml:space="preserve"> </w:t>
      </w:r>
      <w:r w:rsidRPr="00150EDC">
        <w:rPr>
          <w:rFonts w:ascii="Calibri"/>
          <w:sz w:val="24"/>
        </w:rPr>
        <w:t>ownership</w:t>
      </w:r>
      <w:r w:rsidRPr="00150EDC">
        <w:rPr>
          <w:rFonts w:ascii="Calibri"/>
          <w:spacing w:val="-3"/>
          <w:sz w:val="24"/>
        </w:rPr>
        <w:t xml:space="preserve"> </w:t>
      </w:r>
      <w:r w:rsidRPr="00150EDC">
        <w:rPr>
          <w:rFonts w:ascii="Calibri"/>
          <w:sz w:val="24"/>
        </w:rPr>
        <w:t>or</w:t>
      </w:r>
      <w:r w:rsidRPr="00150EDC">
        <w:rPr>
          <w:rFonts w:ascii="Calibri"/>
          <w:spacing w:val="-1"/>
          <w:sz w:val="24"/>
        </w:rPr>
        <w:t xml:space="preserve"> </w:t>
      </w:r>
      <w:r w:rsidRPr="00150EDC">
        <w:rPr>
          <w:rFonts w:ascii="Calibri"/>
          <w:sz w:val="24"/>
        </w:rPr>
        <w:t>security</w:t>
      </w:r>
      <w:r w:rsidRPr="00150EDC">
        <w:rPr>
          <w:rFonts w:ascii="Calibri"/>
          <w:spacing w:val="-5"/>
          <w:sz w:val="24"/>
        </w:rPr>
        <w:t xml:space="preserve"> </w:t>
      </w:r>
      <w:r w:rsidRPr="00150EDC">
        <w:rPr>
          <w:rFonts w:ascii="Calibri"/>
          <w:sz w:val="24"/>
        </w:rPr>
        <w:t>notices</w:t>
      </w:r>
      <w:r w:rsidRPr="00150EDC">
        <w:rPr>
          <w:rFonts w:ascii="Calibri"/>
          <w:spacing w:val="-4"/>
          <w:sz w:val="24"/>
        </w:rPr>
        <w:t xml:space="preserve"> </w:t>
      </w:r>
      <w:r w:rsidRPr="00150EDC">
        <w:rPr>
          <w:rFonts w:ascii="Calibri"/>
          <w:sz w:val="24"/>
        </w:rPr>
        <w:t>in</w:t>
      </w:r>
      <w:r w:rsidRPr="00150EDC">
        <w:rPr>
          <w:rFonts w:ascii="Calibri"/>
          <w:spacing w:val="-3"/>
          <w:sz w:val="24"/>
        </w:rPr>
        <w:t xml:space="preserve"> </w:t>
      </w:r>
      <w:r w:rsidRPr="00150EDC">
        <w:rPr>
          <w:rFonts w:ascii="Calibri"/>
          <w:sz w:val="24"/>
        </w:rPr>
        <w:t>or</w:t>
      </w:r>
      <w:r w:rsidRPr="00150EDC">
        <w:rPr>
          <w:rFonts w:ascii="Calibri"/>
          <w:spacing w:val="-3"/>
          <w:sz w:val="24"/>
        </w:rPr>
        <w:t xml:space="preserve"> </w:t>
      </w:r>
      <w:r w:rsidRPr="00150EDC">
        <w:rPr>
          <w:rFonts w:ascii="Calibri"/>
          <w:sz w:val="24"/>
        </w:rPr>
        <w:t>relating</w:t>
      </w:r>
      <w:r w:rsidRPr="00150EDC">
        <w:rPr>
          <w:rFonts w:ascii="Calibri"/>
          <w:spacing w:val="-2"/>
          <w:sz w:val="24"/>
        </w:rPr>
        <w:t xml:space="preserve"> </w:t>
      </w:r>
      <w:r w:rsidRPr="00150EDC">
        <w:rPr>
          <w:rFonts w:ascii="Calibri"/>
          <w:sz w:val="24"/>
        </w:rPr>
        <w:t>to</w:t>
      </w:r>
      <w:r w:rsidRPr="00150EDC">
        <w:rPr>
          <w:rFonts w:ascii="Calibri"/>
          <w:spacing w:val="-1"/>
          <w:sz w:val="24"/>
        </w:rPr>
        <w:t xml:space="preserve"> </w:t>
      </w:r>
      <w:r w:rsidRPr="00150EDC">
        <w:rPr>
          <w:rFonts w:ascii="Calibri"/>
          <w:sz w:val="24"/>
        </w:rPr>
        <w:t>the</w:t>
      </w:r>
      <w:r w:rsidRPr="00150EDC">
        <w:rPr>
          <w:rFonts w:ascii="Calibri"/>
          <w:spacing w:val="-4"/>
          <w:sz w:val="24"/>
        </w:rPr>
        <w:t xml:space="preserve"> </w:t>
      </w:r>
      <w:r w:rsidRPr="00150EDC">
        <w:rPr>
          <w:rFonts w:ascii="Calibri"/>
          <w:sz w:val="24"/>
        </w:rPr>
        <w:t>Government</w:t>
      </w:r>
      <w:r w:rsidRPr="00150EDC">
        <w:rPr>
          <w:rFonts w:ascii="Calibri"/>
          <w:spacing w:val="-3"/>
          <w:sz w:val="24"/>
        </w:rPr>
        <w:t xml:space="preserve"> </w:t>
      </w:r>
      <w:r w:rsidRPr="00150EDC">
        <w:rPr>
          <w:rFonts w:ascii="Calibri"/>
          <w:spacing w:val="-2"/>
          <w:sz w:val="24"/>
        </w:rPr>
        <w:t>Data.</w:t>
      </w:r>
    </w:p>
    <w:p w14:paraId="54D07CDE" w14:textId="77777777" w:rsidR="004C7180" w:rsidRPr="00150EDC" w:rsidRDefault="004C7180">
      <w:pPr>
        <w:rPr>
          <w:rFonts w:ascii="Calibri"/>
          <w:sz w:val="24"/>
        </w:rPr>
        <w:sectPr w:rsidR="004C7180" w:rsidRPr="00150EDC">
          <w:pgSz w:w="11910" w:h="16840"/>
          <w:pgMar w:top="620" w:right="0" w:bottom="2460" w:left="40" w:header="403" w:footer="2245" w:gutter="0"/>
          <w:cols w:space="720"/>
        </w:sectPr>
      </w:pPr>
    </w:p>
    <w:p w14:paraId="5D5332F4" w14:textId="77777777" w:rsidR="004C7180" w:rsidRPr="00150EDC" w:rsidRDefault="004C7180">
      <w:pPr>
        <w:pStyle w:val="BodyText"/>
        <w:spacing w:before="1"/>
        <w:rPr>
          <w:rFonts w:ascii="Calibri"/>
          <w:sz w:val="18"/>
        </w:rPr>
      </w:pPr>
    </w:p>
    <w:p w14:paraId="5BD6A078" w14:textId="77777777" w:rsidR="004C7180" w:rsidRPr="00150EDC" w:rsidRDefault="00CF0754" w:rsidP="00B320C7">
      <w:pPr>
        <w:pStyle w:val="ListParagraph"/>
        <w:numPr>
          <w:ilvl w:val="1"/>
          <w:numId w:val="182"/>
        </w:numPr>
        <w:tabs>
          <w:tab w:val="left" w:pos="1064"/>
          <w:tab w:val="left" w:pos="1066"/>
        </w:tabs>
        <w:spacing w:before="52"/>
        <w:ind w:right="1388"/>
        <w:rPr>
          <w:rFonts w:ascii="Calibri"/>
          <w:sz w:val="24"/>
        </w:rPr>
      </w:pPr>
      <w:r w:rsidRPr="00150EDC">
        <w:rPr>
          <w:rFonts w:ascii="Calibri"/>
          <w:sz w:val="24"/>
        </w:rPr>
        <w:t>The</w:t>
      </w:r>
      <w:r w:rsidRPr="00150EDC">
        <w:rPr>
          <w:rFonts w:ascii="Calibri"/>
          <w:spacing w:val="-1"/>
          <w:sz w:val="24"/>
        </w:rPr>
        <w:t xml:space="preserve"> </w:t>
      </w:r>
      <w:r w:rsidRPr="00150EDC">
        <w:rPr>
          <w:rFonts w:ascii="Calibri"/>
          <w:sz w:val="24"/>
        </w:rPr>
        <w:t>Supplier</w:t>
      </w:r>
      <w:r w:rsidRPr="00150EDC">
        <w:rPr>
          <w:rFonts w:ascii="Calibri"/>
          <w:spacing w:val="-3"/>
          <w:sz w:val="24"/>
        </w:rPr>
        <w:t xml:space="preserve"> </w:t>
      </w:r>
      <w:r w:rsidRPr="00150EDC">
        <w:rPr>
          <w:rFonts w:ascii="Calibri"/>
          <w:sz w:val="24"/>
        </w:rPr>
        <w:t>must</w:t>
      </w:r>
      <w:r w:rsidRPr="00150EDC">
        <w:rPr>
          <w:rFonts w:ascii="Calibri"/>
          <w:spacing w:val="-1"/>
          <w:sz w:val="24"/>
        </w:rPr>
        <w:t xml:space="preserve"> </w:t>
      </w:r>
      <w:r w:rsidRPr="00150EDC">
        <w:rPr>
          <w:rFonts w:ascii="Calibri"/>
          <w:sz w:val="24"/>
        </w:rPr>
        <w:t>make</w:t>
      </w:r>
      <w:r w:rsidRPr="00150EDC">
        <w:rPr>
          <w:rFonts w:ascii="Calibri"/>
          <w:spacing w:val="-3"/>
          <w:sz w:val="24"/>
        </w:rPr>
        <w:t xml:space="preserve"> </w:t>
      </w:r>
      <w:r w:rsidRPr="00150EDC">
        <w:rPr>
          <w:rFonts w:ascii="Calibri"/>
          <w:sz w:val="24"/>
        </w:rPr>
        <w:t>accessible</w:t>
      </w:r>
      <w:r w:rsidRPr="00150EDC">
        <w:rPr>
          <w:rFonts w:ascii="Calibri"/>
          <w:spacing w:val="-1"/>
          <w:sz w:val="24"/>
        </w:rPr>
        <w:t xml:space="preserve"> </w:t>
      </w:r>
      <w:r w:rsidRPr="00150EDC">
        <w:rPr>
          <w:rFonts w:ascii="Calibri"/>
          <w:sz w:val="24"/>
        </w:rPr>
        <w:t>back-ups</w:t>
      </w:r>
      <w:r w:rsidRPr="00150EDC">
        <w:rPr>
          <w:rFonts w:ascii="Calibri"/>
          <w:spacing w:val="-2"/>
          <w:sz w:val="24"/>
        </w:rPr>
        <w:t xml:space="preserve"> </w:t>
      </w:r>
      <w:r w:rsidRPr="00150EDC">
        <w:rPr>
          <w:rFonts w:ascii="Calibri"/>
          <w:sz w:val="24"/>
        </w:rPr>
        <w:t>of</w:t>
      </w:r>
      <w:r w:rsidRPr="00150EDC">
        <w:rPr>
          <w:rFonts w:ascii="Calibri"/>
          <w:spacing w:val="-1"/>
          <w:sz w:val="24"/>
        </w:rPr>
        <w:t xml:space="preserve"> </w:t>
      </w:r>
      <w:r w:rsidRPr="00150EDC">
        <w:rPr>
          <w:rFonts w:ascii="Calibri"/>
          <w:sz w:val="24"/>
        </w:rPr>
        <w:t>all</w:t>
      </w:r>
      <w:r w:rsidRPr="00150EDC">
        <w:rPr>
          <w:rFonts w:ascii="Calibri"/>
          <w:spacing w:val="-4"/>
          <w:sz w:val="24"/>
        </w:rPr>
        <w:t xml:space="preserve"> </w:t>
      </w:r>
      <w:r w:rsidRPr="00150EDC">
        <w:rPr>
          <w:rFonts w:ascii="Calibri"/>
          <w:sz w:val="24"/>
        </w:rPr>
        <w:t>Government</w:t>
      </w:r>
      <w:r w:rsidRPr="00150EDC">
        <w:rPr>
          <w:rFonts w:ascii="Calibri"/>
          <w:spacing w:val="-1"/>
          <w:sz w:val="24"/>
        </w:rPr>
        <w:t xml:space="preserve"> </w:t>
      </w:r>
      <w:r w:rsidRPr="00150EDC">
        <w:rPr>
          <w:rFonts w:ascii="Calibri"/>
          <w:sz w:val="24"/>
        </w:rPr>
        <w:t>Data,</w:t>
      </w:r>
      <w:r w:rsidRPr="00150EDC">
        <w:rPr>
          <w:rFonts w:ascii="Calibri"/>
          <w:spacing w:val="-4"/>
          <w:sz w:val="24"/>
        </w:rPr>
        <w:t xml:space="preserve"> </w:t>
      </w:r>
      <w:r w:rsidRPr="00150EDC">
        <w:rPr>
          <w:rFonts w:ascii="Calibri"/>
          <w:sz w:val="24"/>
        </w:rPr>
        <w:t>stored</w:t>
      </w:r>
      <w:r w:rsidRPr="00150EDC">
        <w:rPr>
          <w:rFonts w:ascii="Calibri"/>
          <w:spacing w:val="-1"/>
          <w:sz w:val="24"/>
        </w:rPr>
        <w:t xml:space="preserve"> </w:t>
      </w:r>
      <w:r w:rsidRPr="00150EDC">
        <w:rPr>
          <w:rFonts w:ascii="Calibri"/>
          <w:sz w:val="24"/>
        </w:rPr>
        <w:t>in</w:t>
      </w:r>
      <w:r w:rsidRPr="00150EDC">
        <w:rPr>
          <w:rFonts w:ascii="Calibri"/>
          <w:spacing w:val="-3"/>
          <w:sz w:val="24"/>
        </w:rPr>
        <w:t xml:space="preserve"> </w:t>
      </w:r>
      <w:r w:rsidRPr="00150EDC">
        <w:rPr>
          <w:rFonts w:ascii="Calibri"/>
          <w:sz w:val="24"/>
        </w:rPr>
        <w:t>an</w:t>
      </w:r>
      <w:r w:rsidRPr="00150EDC">
        <w:rPr>
          <w:rFonts w:ascii="Calibri"/>
          <w:spacing w:val="-3"/>
          <w:sz w:val="24"/>
        </w:rPr>
        <w:t xml:space="preserve"> </w:t>
      </w:r>
      <w:r w:rsidRPr="00150EDC">
        <w:rPr>
          <w:rFonts w:ascii="Calibri"/>
          <w:sz w:val="24"/>
        </w:rPr>
        <w:t>agreed</w:t>
      </w:r>
      <w:r w:rsidRPr="00150EDC">
        <w:rPr>
          <w:rFonts w:ascii="Calibri"/>
          <w:spacing w:val="-1"/>
          <w:sz w:val="24"/>
        </w:rPr>
        <w:t xml:space="preserve"> </w:t>
      </w:r>
      <w:r w:rsidRPr="00150EDC">
        <w:rPr>
          <w:rFonts w:ascii="Calibri"/>
          <w:sz w:val="24"/>
        </w:rPr>
        <w:t>off-site location and send the Buyer copies every 6 Months.</w:t>
      </w:r>
    </w:p>
    <w:p w14:paraId="53D6EFAA" w14:textId="77777777" w:rsidR="004C7180" w:rsidRPr="00150EDC" w:rsidRDefault="004C7180">
      <w:pPr>
        <w:pStyle w:val="BodyText"/>
        <w:rPr>
          <w:rFonts w:ascii="Calibri"/>
        </w:rPr>
      </w:pPr>
    </w:p>
    <w:p w14:paraId="77B51EF3" w14:textId="77777777" w:rsidR="004C7180" w:rsidRPr="00150EDC" w:rsidRDefault="00CF0754" w:rsidP="00B320C7">
      <w:pPr>
        <w:pStyle w:val="ListParagraph"/>
        <w:numPr>
          <w:ilvl w:val="1"/>
          <w:numId w:val="182"/>
        </w:numPr>
        <w:tabs>
          <w:tab w:val="left" w:pos="1064"/>
          <w:tab w:val="left" w:pos="1066"/>
        </w:tabs>
        <w:ind w:right="705"/>
        <w:rPr>
          <w:rFonts w:ascii="Calibri"/>
          <w:sz w:val="24"/>
        </w:rPr>
      </w:pPr>
      <w:r w:rsidRPr="00150EDC">
        <w:rPr>
          <w:rFonts w:ascii="Calibri"/>
          <w:sz w:val="24"/>
        </w:rPr>
        <w:t>The Supplier must ensure that any Supplier system holding any Government Data, including back-up data,</w:t>
      </w:r>
      <w:r w:rsidRPr="00150EDC">
        <w:rPr>
          <w:rFonts w:ascii="Calibri"/>
          <w:spacing w:val="-5"/>
          <w:sz w:val="24"/>
        </w:rPr>
        <w:t xml:space="preserve"> </w:t>
      </w:r>
      <w:r w:rsidRPr="00150EDC">
        <w:rPr>
          <w:rFonts w:ascii="Calibri"/>
          <w:sz w:val="24"/>
        </w:rPr>
        <w:t>is</w:t>
      </w:r>
      <w:r w:rsidRPr="00150EDC">
        <w:rPr>
          <w:rFonts w:ascii="Calibri"/>
          <w:spacing w:val="-2"/>
          <w:sz w:val="24"/>
        </w:rPr>
        <w:t xml:space="preserve"> </w:t>
      </w:r>
      <w:r w:rsidRPr="00150EDC">
        <w:rPr>
          <w:rFonts w:ascii="Calibri"/>
          <w:sz w:val="24"/>
        </w:rPr>
        <w:t>a</w:t>
      </w:r>
      <w:r w:rsidRPr="00150EDC">
        <w:rPr>
          <w:rFonts w:ascii="Calibri"/>
          <w:spacing w:val="-3"/>
          <w:sz w:val="24"/>
        </w:rPr>
        <w:t xml:space="preserve"> </w:t>
      </w:r>
      <w:r w:rsidRPr="00150EDC">
        <w:rPr>
          <w:rFonts w:ascii="Calibri"/>
          <w:sz w:val="24"/>
        </w:rPr>
        <w:t>secure</w:t>
      </w:r>
      <w:r w:rsidRPr="00150EDC">
        <w:rPr>
          <w:rFonts w:ascii="Calibri"/>
          <w:spacing w:val="-2"/>
          <w:sz w:val="24"/>
        </w:rPr>
        <w:t xml:space="preserve"> </w:t>
      </w:r>
      <w:r w:rsidRPr="00150EDC">
        <w:rPr>
          <w:rFonts w:ascii="Calibri"/>
          <w:sz w:val="24"/>
        </w:rPr>
        <w:t>system</w:t>
      </w:r>
      <w:r w:rsidRPr="00150EDC">
        <w:rPr>
          <w:rFonts w:ascii="Calibri"/>
          <w:spacing w:val="-4"/>
          <w:sz w:val="24"/>
        </w:rPr>
        <w:t xml:space="preserve"> </w:t>
      </w:r>
      <w:r w:rsidRPr="00150EDC">
        <w:rPr>
          <w:rFonts w:ascii="Calibri"/>
          <w:sz w:val="24"/>
        </w:rPr>
        <w:t>that</w:t>
      </w:r>
      <w:r w:rsidRPr="00150EDC">
        <w:rPr>
          <w:rFonts w:ascii="Calibri"/>
          <w:spacing w:val="-2"/>
          <w:sz w:val="24"/>
        </w:rPr>
        <w:t xml:space="preserve"> </w:t>
      </w:r>
      <w:r w:rsidRPr="00150EDC">
        <w:rPr>
          <w:rFonts w:ascii="Calibri"/>
          <w:sz w:val="24"/>
        </w:rPr>
        <w:t>complies</w:t>
      </w:r>
      <w:r w:rsidRPr="00150EDC">
        <w:rPr>
          <w:rFonts w:ascii="Calibri"/>
          <w:spacing w:val="-5"/>
          <w:sz w:val="24"/>
        </w:rPr>
        <w:t xml:space="preserve"> </w:t>
      </w:r>
      <w:r w:rsidRPr="00150EDC">
        <w:rPr>
          <w:rFonts w:ascii="Calibri"/>
          <w:sz w:val="24"/>
        </w:rPr>
        <w:t>with</w:t>
      </w:r>
      <w:r w:rsidRPr="00150EDC">
        <w:rPr>
          <w:rFonts w:ascii="Calibri"/>
          <w:spacing w:val="-4"/>
          <w:sz w:val="24"/>
        </w:rPr>
        <w:t xml:space="preserve"> </w:t>
      </w:r>
      <w:r w:rsidRPr="00150EDC">
        <w:rPr>
          <w:rFonts w:ascii="Calibri"/>
          <w:sz w:val="24"/>
        </w:rPr>
        <w:t>the</w:t>
      </w:r>
      <w:r w:rsidRPr="00150EDC">
        <w:rPr>
          <w:rFonts w:ascii="Calibri"/>
          <w:spacing w:val="-2"/>
          <w:sz w:val="24"/>
        </w:rPr>
        <w:t xml:space="preserve"> </w:t>
      </w:r>
      <w:r w:rsidRPr="00150EDC">
        <w:rPr>
          <w:rFonts w:ascii="Calibri"/>
          <w:sz w:val="24"/>
        </w:rPr>
        <w:t>Security</w:t>
      </w:r>
      <w:r w:rsidRPr="00150EDC">
        <w:rPr>
          <w:rFonts w:ascii="Calibri"/>
          <w:spacing w:val="-3"/>
          <w:sz w:val="24"/>
        </w:rPr>
        <w:t xml:space="preserve"> </w:t>
      </w:r>
      <w:r w:rsidRPr="00150EDC">
        <w:rPr>
          <w:rFonts w:ascii="Calibri"/>
          <w:sz w:val="24"/>
        </w:rPr>
        <w:t>Policy</w:t>
      </w:r>
      <w:r w:rsidRPr="00150EDC">
        <w:rPr>
          <w:rFonts w:ascii="Calibri"/>
          <w:spacing w:val="-3"/>
          <w:sz w:val="24"/>
        </w:rPr>
        <w:t xml:space="preserve"> </w:t>
      </w:r>
      <w:r w:rsidRPr="00150EDC">
        <w:rPr>
          <w:rFonts w:ascii="Calibri"/>
          <w:sz w:val="24"/>
        </w:rPr>
        <w:t>and</w:t>
      </w:r>
      <w:r w:rsidRPr="00150EDC">
        <w:rPr>
          <w:rFonts w:ascii="Calibri"/>
          <w:spacing w:val="-2"/>
          <w:sz w:val="24"/>
        </w:rPr>
        <w:t xml:space="preserve"> </w:t>
      </w:r>
      <w:r w:rsidRPr="00150EDC">
        <w:rPr>
          <w:rFonts w:ascii="Calibri"/>
          <w:sz w:val="24"/>
        </w:rPr>
        <w:t>any</w:t>
      </w:r>
      <w:r w:rsidRPr="00150EDC">
        <w:rPr>
          <w:rFonts w:ascii="Calibri"/>
          <w:spacing w:val="-6"/>
          <w:sz w:val="24"/>
        </w:rPr>
        <w:t xml:space="preserve"> </w:t>
      </w:r>
      <w:r w:rsidRPr="00150EDC">
        <w:rPr>
          <w:rFonts w:ascii="Calibri"/>
          <w:sz w:val="24"/>
        </w:rPr>
        <w:t>applicable</w:t>
      </w:r>
      <w:r w:rsidRPr="00150EDC">
        <w:rPr>
          <w:rFonts w:ascii="Calibri"/>
          <w:spacing w:val="-2"/>
          <w:sz w:val="24"/>
        </w:rPr>
        <w:t xml:space="preserve"> </w:t>
      </w:r>
      <w:r w:rsidRPr="00150EDC">
        <w:rPr>
          <w:rFonts w:ascii="Calibri"/>
          <w:sz w:val="24"/>
        </w:rPr>
        <w:t>Security</w:t>
      </w:r>
      <w:r w:rsidRPr="00150EDC">
        <w:rPr>
          <w:rFonts w:ascii="Calibri"/>
          <w:spacing w:val="-6"/>
          <w:sz w:val="24"/>
        </w:rPr>
        <w:t xml:space="preserve"> </w:t>
      </w:r>
      <w:r w:rsidRPr="00150EDC">
        <w:rPr>
          <w:rFonts w:ascii="Calibri"/>
          <w:sz w:val="24"/>
        </w:rPr>
        <w:t xml:space="preserve">Management </w:t>
      </w:r>
      <w:r w:rsidRPr="00150EDC">
        <w:rPr>
          <w:rFonts w:ascii="Calibri"/>
          <w:spacing w:val="-2"/>
          <w:sz w:val="24"/>
        </w:rPr>
        <w:t>Plan.</w:t>
      </w:r>
    </w:p>
    <w:p w14:paraId="7A715A71" w14:textId="77777777" w:rsidR="004C7180" w:rsidRPr="00150EDC" w:rsidRDefault="004C7180">
      <w:pPr>
        <w:pStyle w:val="BodyText"/>
        <w:spacing w:before="11"/>
        <w:rPr>
          <w:rFonts w:ascii="Calibri"/>
          <w:sz w:val="23"/>
        </w:rPr>
      </w:pPr>
    </w:p>
    <w:p w14:paraId="69A79F27" w14:textId="77777777" w:rsidR="004C7180" w:rsidRPr="00150EDC" w:rsidRDefault="00CF0754" w:rsidP="00B320C7">
      <w:pPr>
        <w:pStyle w:val="ListParagraph"/>
        <w:numPr>
          <w:ilvl w:val="1"/>
          <w:numId w:val="182"/>
        </w:numPr>
        <w:tabs>
          <w:tab w:val="left" w:pos="1064"/>
          <w:tab w:val="left" w:pos="1066"/>
        </w:tabs>
        <w:ind w:right="634"/>
        <w:jc w:val="both"/>
        <w:rPr>
          <w:rFonts w:ascii="Calibri"/>
          <w:sz w:val="24"/>
        </w:rPr>
      </w:pPr>
      <w:r w:rsidRPr="00150EDC">
        <w:rPr>
          <w:rFonts w:ascii="Calibri"/>
          <w:sz w:val="24"/>
        </w:rPr>
        <w:t>If</w:t>
      </w:r>
      <w:r w:rsidRPr="00150EDC">
        <w:rPr>
          <w:rFonts w:ascii="Calibri"/>
          <w:spacing w:val="-1"/>
          <w:sz w:val="24"/>
        </w:rPr>
        <w:t xml:space="preserve"> </w:t>
      </w:r>
      <w:r w:rsidRPr="00150EDC">
        <w:rPr>
          <w:rFonts w:ascii="Calibri"/>
          <w:sz w:val="24"/>
        </w:rPr>
        <w:t>at</w:t>
      </w:r>
      <w:r w:rsidRPr="00150EDC">
        <w:rPr>
          <w:rFonts w:ascii="Calibri"/>
          <w:spacing w:val="-3"/>
          <w:sz w:val="24"/>
        </w:rPr>
        <w:t xml:space="preserve"> </w:t>
      </w:r>
      <w:r w:rsidRPr="00150EDC">
        <w:rPr>
          <w:rFonts w:ascii="Calibri"/>
          <w:sz w:val="24"/>
        </w:rPr>
        <w:t>any</w:t>
      </w:r>
      <w:r w:rsidRPr="00150EDC">
        <w:rPr>
          <w:rFonts w:ascii="Calibri"/>
          <w:spacing w:val="-5"/>
          <w:sz w:val="24"/>
        </w:rPr>
        <w:t xml:space="preserve"> </w:t>
      </w:r>
      <w:r w:rsidRPr="00150EDC">
        <w:rPr>
          <w:rFonts w:ascii="Calibri"/>
          <w:sz w:val="24"/>
        </w:rPr>
        <w:t>time</w:t>
      </w:r>
      <w:r w:rsidRPr="00150EDC">
        <w:rPr>
          <w:rFonts w:ascii="Calibri"/>
          <w:spacing w:val="-3"/>
          <w:sz w:val="24"/>
        </w:rPr>
        <w:t xml:space="preserve"> </w:t>
      </w:r>
      <w:r w:rsidRPr="00150EDC">
        <w:rPr>
          <w:rFonts w:ascii="Calibri"/>
          <w:sz w:val="24"/>
        </w:rPr>
        <w:t>the</w:t>
      </w:r>
      <w:r w:rsidRPr="00150EDC">
        <w:rPr>
          <w:rFonts w:ascii="Calibri"/>
          <w:spacing w:val="-1"/>
          <w:sz w:val="24"/>
        </w:rPr>
        <w:t xml:space="preserve"> </w:t>
      </w:r>
      <w:r w:rsidRPr="00150EDC">
        <w:rPr>
          <w:rFonts w:ascii="Calibri"/>
          <w:sz w:val="24"/>
        </w:rPr>
        <w:t>Supplier</w:t>
      </w:r>
      <w:r w:rsidRPr="00150EDC">
        <w:rPr>
          <w:rFonts w:ascii="Calibri"/>
          <w:spacing w:val="-1"/>
          <w:sz w:val="24"/>
        </w:rPr>
        <w:t xml:space="preserve"> </w:t>
      </w:r>
      <w:r w:rsidRPr="00150EDC">
        <w:rPr>
          <w:rFonts w:ascii="Calibri"/>
          <w:sz w:val="24"/>
        </w:rPr>
        <w:t>suspects</w:t>
      </w:r>
      <w:r w:rsidRPr="00150EDC">
        <w:rPr>
          <w:rFonts w:ascii="Calibri"/>
          <w:spacing w:val="-2"/>
          <w:sz w:val="24"/>
        </w:rPr>
        <w:t xml:space="preserve"> </w:t>
      </w:r>
      <w:r w:rsidRPr="00150EDC">
        <w:rPr>
          <w:rFonts w:ascii="Calibri"/>
          <w:sz w:val="24"/>
        </w:rPr>
        <w:t>or</w:t>
      </w:r>
      <w:r w:rsidRPr="00150EDC">
        <w:rPr>
          <w:rFonts w:ascii="Calibri"/>
          <w:spacing w:val="-3"/>
          <w:sz w:val="24"/>
        </w:rPr>
        <w:t xml:space="preserve"> </w:t>
      </w:r>
      <w:r w:rsidRPr="00150EDC">
        <w:rPr>
          <w:rFonts w:ascii="Calibri"/>
          <w:sz w:val="24"/>
        </w:rPr>
        <w:t>has</w:t>
      </w:r>
      <w:r w:rsidRPr="00150EDC">
        <w:rPr>
          <w:rFonts w:ascii="Calibri"/>
          <w:spacing w:val="-4"/>
          <w:sz w:val="24"/>
        </w:rPr>
        <w:t xml:space="preserve"> </w:t>
      </w:r>
      <w:r w:rsidRPr="00150EDC">
        <w:rPr>
          <w:rFonts w:ascii="Calibri"/>
          <w:sz w:val="24"/>
        </w:rPr>
        <w:t>reason</w:t>
      </w:r>
      <w:r w:rsidRPr="00150EDC">
        <w:rPr>
          <w:rFonts w:ascii="Calibri"/>
          <w:spacing w:val="-3"/>
          <w:sz w:val="24"/>
        </w:rPr>
        <w:t xml:space="preserve"> </w:t>
      </w:r>
      <w:r w:rsidRPr="00150EDC">
        <w:rPr>
          <w:rFonts w:ascii="Calibri"/>
          <w:sz w:val="24"/>
        </w:rPr>
        <w:t>to</w:t>
      </w:r>
      <w:r w:rsidRPr="00150EDC">
        <w:rPr>
          <w:rFonts w:ascii="Calibri"/>
          <w:spacing w:val="-3"/>
          <w:sz w:val="24"/>
        </w:rPr>
        <w:t xml:space="preserve"> </w:t>
      </w:r>
      <w:r w:rsidRPr="00150EDC">
        <w:rPr>
          <w:rFonts w:ascii="Calibri"/>
          <w:sz w:val="24"/>
        </w:rPr>
        <w:t>believe</w:t>
      </w:r>
      <w:r w:rsidRPr="00150EDC">
        <w:rPr>
          <w:rFonts w:ascii="Calibri"/>
          <w:spacing w:val="-4"/>
          <w:sz w:val="24"/>
        </w:rPr>
        <w:t xml:space="preserve"> </w:t>
      </w:r>
      <w:r w:rsidRPr="00150EDC">
        <w:rPr>
          <w:rFonts w:ascii="Calibri"/>
          <w:sz w:val="24"/>
        </w:rPr>
        <w:t>that</w:t>
      </w:r>
      <w:r w:rsidRPr="00150EDC">
        <w:rPr>
          <w:rFonts w:ascii="Calibri"/>
          <w:spacing w:val="-3"/>
          <w:sz w:val="24"/>
        </w:rPr>
        <w:t xml:space="preserve"> </w:t>
      </w:r>
      <w:r w:rsidRPr="00150EDC">
        <w:rPr>
          <w:rFonts w:ascii="Calibri"/>
          <w:sz w:val="24"/>
        </w:rPr>
        <w:t>the</w:t>
      </w:r>
      <w:r w:rsidRPr="00150EDC">
        <w:rPr>
          <w:rFonts w:ascii="Calibri"/>
          <w:spacing w:val="-1"/>
          <w:sz w:val="24"/>
        </w:rPr>
        <w:t xml:space="preserve"> </w:t>
      </w:r>
      <w:r w:rsidRPr="00150EDC">
        <w:rPr>
          <w:rFonts w:ascii="Calibri"/>
          <w:sz w:val="24"/>
        </w:rPr>
        <w:t>Government</w:t>
      </w:r>
      <w:r w:rsidRPr="00150EDC">
        <w:rPr>
          <w:rFonts w:ascii="Calibri"/>
          <w:spacing w:val="-3"/>
          <w:sz w:val="24"/>
        </w:rPr>
        <w:t xml:space="preserve"> </w:t>
      </w:r>
      <w:r w:rsidRPr="00150EDC">
        <w:rPr>
          <w:rFonts w:ascii="Calibri"/>
          <w:sz w:val="24"/>
        </w:rPr>
        <w:t>Data</w:t>
      </w:r>
      <w:r w:rsidRPr="00150EDC">
        <w:rPr>
          <w:rFonts w:ascii="Calibri"/>
          <w:spacing w:val="-4"/>
          <w:sz w:val="24"/>
        </w:rPr>
        <w:t xml:space="preserve"> </w:t>
      </w:r>
      <w:r w:rsidRPr="00150EDC">
        <w:rPr>
          <w:rFonts w:ascii="Calibri"/>
          <w:sz w:val="24"/>
        </w:rPr>
        <w:t>provided</w:t>
      </w:r>
      <w:r w:rsidRPr="00150EDC">
        <w:rPr>
          <w:rFonts w:ascii="Calibri"/>
          <w:spacing w:val="-1"/>
          <w:sz w:val="24"/>
        </w:rPr>
        <w:t xml:space="preserve"> </w:t>
      </w:r>
      <w:r w:rsidRPr="00150EDC">
        <w:rPr>
          <w:rFonts w:ascii="Calibri"/>
          <w:sz w:val="24"/>
        </w:rPr>
        <w:t>under</w:t>
      </w:r>
      <w:r w:rsidRPr="00150EDC">
        <w:rPr>
          <w:rFonts w:ascii="Calibri"/>
          <w:spacing w:val="-1"/>
          <w:sz w:val="24"/>
        </w:rPr>
        <w:t xml:space="preserve"> </w:t>
      </w:r>
      <w:r w:rsidRPr="00150EDC">
        <w:rPr>
          <w:rFonts w:ascii="Calibri"/>
          <w:sz w:val="24"/>
        </w:rPr>
        <w:t>a Contract</w:t>
      </w:r>
      <w:r w:rsidRPr="00150EDC">
        <w:rPr>
          <w:rFonts w:ascii="Calibri"/>
          <w:spacing w:val="-3"/>
          <w:sz w:val="24"/>
        </w:rPr>
        <w:t xml:space="preserve"> </w:t>
      </w:r>
      <w:r w:rsidRPr="00150EDC">
        <w:rPr>
          <w:rFonts w:ascii="Calibri"/>
          <w:sz w:val="24"/>
        </w:rPr>
        <w:t>is</w:t>
      </w:r>
      <w:r w:rsidRPr="00150EDC">
        <w:rPr>
          <w:rFonts w:ascii="Calibri"/>
          <w:spacing w:val="-2"/>
          <w:sz w:val="24"/>
        </w:rPr>
        <w:t xml:space="preserve"> </w:t>
      </w:r>
      <w:r w:rsidRPr="00150EDC">
        <w:rPr>
          <w:rFonts w:ascii="Calibri"/>
          <w:sz w:val="24"/>
        </w:rPr>
        <w:t>corrupted,</w:t>
      </w:r>
      <w:r w:rsidRPr="00150EDC">
        <w:rPr>
          <w:rFonts w:ascii="Calibri"/>
          <w:spacing w:val="-4"/>
          <w:sz w:val="24"/>
        </w:rPr>
        <w:t xml:space="preserve"> </w:t>
      </w:r>
      <w:r w:rsidRPr="00150EDC">
        <w:rPr>
          <w:rFonts w:ascii="Calibri"/>
          <w:sz w:val="24"/>
        </w:rPr>
        <w:t>lost</w:t>
      </w:r>
      <w:r w:rsidRPr="00150EDC">
        <w:rPr>
          <w:rFonts w:ascii="Calibri"/>
          <w:spacing w:val="-1"/>
          <w:sz w:val="24"/>
        </w:rPr>
        <w:t xml:space="preserve"> </w:t>
      </w:r>
      <w:r w:rsidRPr="00150EDC">
        <w:rPr>
          <w:rFonts w:ascii="Calibri"/>
          <w:sz w:val="24"/>
        </w:rPr>
        <w:t>or</w:t>
      </w:r>
      <w:r w:rsidRPr="00150EDC">
        <w:rPr>
          <w:rFonts w:ascii="Calibri"/>
          <w:spacing w:val="-3"/>
          <w:sz w:val="24"/>
        </w:rPr>
        <w:t xml:space="preserve"> </w:t>
      </w:r>
      <w:r w:rsidRPr="00150EDC">
        <w:rPr>
          <w:rFonts w:ascii="Calibri"/>
          <w:sz w:val="24"/>
        </w:rPr>
        <w:t>sufficiently</w:t>
      </w:r>
      <w:r w:rsidRPr="00150EDC">
        <w:rPr>
          <w:rFonts w:ascii="Calibri"/>
          <w:spacing w:val="-5"/>
          <w:sz w:val="24"/>
        </w:rPr>
        <w:t xml:space="preserve"> </w:t>
      </w:r>
      <w:r w:rsidRPr="00150EDC">
        <w:rPr>
          <w:rFonts w:ascii="Calibri"/>
          <w:sz w:val="24"/>
        </w:rPr>
        <w:t>degraded,</w:t>
      </w:r>
      <w:r w:rsidRPr="00150EDC">
        <w:rPr>
          <w:rFonts w:ascii="Calibri"/>
          <w:spacing w:val="-2"/>
          <w:sz w:val="24"/>
        </w:rPr>
        <w:t xml:space="preserve"> </w:t>
      </w:r>
      <w:r w:rsidRPr="00150EDC">
        <w:rPr>
          <w:rFonts w:ascii="Calibri"/>
          <w:sz w:val="24"/>
        </w:rPr>
        <w:t>then</w:t>
      </w:r>
      <w:r w:rsidRPr="00150EDC">
        <w:rPr>
          <w:rFonts w:ascii="Calibri"/>
          <w:spacing w:val="-1"/>
          <w:sz w:val="24"/>
        </w:rPr>
        <w:t xml:space="preserve"> </w:t>
      </w:r>
      <w:r w:rsidRPr="00150EDC">
        <w:rPr>
          <w:rFonts w:ascii="Calibri"/>
          <w:sz w:val="24"/>
        </w:rPr>
        <w:t>the</w:t>
      </w:r>
      <w:r w:rsidRPr="00150EDC">
        <w:rPr>
          <w:rFonts w:ascii="Calibri"/>
          <w:spacing w:val="-4"/>
          <w:sz w:val="24"/>
        </w:rPr>
        <w:t xml:space="preserve"> </w:t>
      </w:r>
      <w:r w:rsidRPr="00150EDC">
        <w:rPr>
          <w:rFonts w:ascii="Calibri"/>
          <w:sz w:val="24"/>
        </w:rPr>
        <w:t>Supplier</w:t>
      </w:r>
      <w:r w:rsidRPr="00150EDC">
        <w:rPr>
          <w:rFonts w:ascii="Calibri"/>
          <w:spacing w:val="-3"/>
          <w:sz w:val="24"/>
        </w:rPr>
        <w:t xml:space="preserve"> </w:t>
      </w:r>
      <w:r w:rsidRPr="00150EDC">
        <w:rPr>
          <w:rFonts w:ascii="Calibri"/>
          <w:sz w:val="24"/>
        </w:rPr>
        <w:t>must</w:t>
      </w:r>
      <w:r w:rsidRPr="00150EDC">
        <w:rPr>
          <w:rFonts w:ascii="Calibri"/>
          <w:spacing w:val="-1"/>
          <w:sz w:val="24"/>
        </w:rPr>
        <w:t xml:space="preserve"> </w:t>
      </w:r>
      <w:r w:rsidRPr="00150EDC">
        <w:rPr>
          <w:rFonts w:ascii="Calibri"/>
          <w:sz w:val="24"/>
        </w:rPr>
        <w:t>notify</w:t>
      </w:r>
      <w:r w:rsidRPr="00150EDC">
        <w:rPr>
          <w:rFonts w:ascii="Calibri"/>
          <w:spacing w:val="-2"/>
          <w:sz w:val="24"/>
        </w:rPr>
        <w:t xml:space="preserve"> </w:t>
      </w:r>
      <w:r w:rsidRPr="00150EDC">
        <w:rPr>
          <w:rFonts w:ascii="Calibri"/>
          <w:sz w:val="24"/>
        </w:rPr>
        <w:t>the</w:t>
      </w:r>
      <w:r w:rsidRPr="00150EDC">
        <w:rPr>
          <w:rFonts w:ascii="Calibri"/>
          <w:spacing w:val="-1"/>
          <w:sz w:val="24"/>
        </w:rPr>
        <w:t xml:space="preserve"> </w:t>
      </w:r>
      <w:r w:rsidRPr="00150EDC">
        <w:rPr>
          <w:rFonts w:ascii="Calibri"/>
          <w:sz w:val="24"/>
        </w:rPr>
        <w:t>Relevant</w:t>
      </w:r>
      <w:r w:rsidRPr="00150EDC">
        <w:rPr>
          <w:rFonts w:ascii="Calibri"/>
          <w:spacing w:val="-3"/>
          <w:sz w:val="24"/>
        </w:rPr>
        <w:t xml:space="preserve"> </w:t>
      </w:r>
      <w:r w:rsidRPr="00150EDC">
        <w:rPr>
          <w:rFonts w:ascii="Calibri"/>
          <w:sz w:val="24"/>
        </w:rPr>
        <w:t>Authority and immediately suggest remedial action.</w:t>
      </w:r>
    </w:p>
    <w:p w14:paraId="5E918FFB" w14:textId="77777777" w:rsidR="004C7180" w:rsidRPr="00150EDC" w:rsidRDefault="004C7180">
      <w:pPr>
        <w:pStyle w:val="BodyText"/>
        <w:spacing w:before="2"/>
        <w:rPr>
          <w:rFonts w:ascii="Calibri"/>
        </w:rPr>
      </w:pPr>
    </w:p>
    <w:p w14:paraId="114D70D8" w14:textId="77777777" w:rsidR="004C7180" w:rsidRPr="00150EDC" w:rsidRDefault="00CF0754" w:rsidP="00B320C7">
      <w:pPr>
        <w:pStyle w:val="ListParagraph"/>
        <w:numPr>
          <w:ilvl w:val="1"/>
          <w:numId w:val="182"/>
        </w:numPr>
        <w:tabs>
          <w:tab w:val="left" w:pos="1064"/>
          <w:tab w:val="left" w:pos="1066"/>
        </w:tabs>
        <w:ind w:right="1094"/>
        <w:rPr>
          <w:rFonts w:ascii="Calibri"/>
          <w:sz w:val="24"/>
        </w:rPr>
      </w:pPr>
      <w:r w:rsidRPr="00150EDC">
        <w:rPr>
          <w:rFonts w:ascii="Calibri"/>
          <w:sz w:val="24"/>
        </w:rPr>
        <w:t>If</w:t>
      </w:r>
      <w:r w:rsidRPr="00150EDC">
        <w:rPr>
          <w:rFonts w:ascii="Calibri"/>
          <w:spacing w:val="-2"/>
          <w:sz w:val="24"/>
        </w:rPr>
        <w:t xml:space="preserve"> </w:t>
      </w:r>
      <w:r w:rsidRPr="00150EDC">
        <w:rPr>
          <w:rFonts w:ascii="Calibri"/>
          <w:sz w:val="24"/>
        </w:rPr>
        <w:t>the</w:t>
      </w:r>
      <w:r w:rsidRPr="00150EDC">
        <w:rPr>
          <w:rFonts w:ascii="Calibri"/>
          <w:spacing w:val="-2"/>
          <w:sz w:val="24"/>
        </w:rPr>
        <w:t xml:space="preserve"> </w:t>
      </w:r>
      <w:r w:rsidRPr="00150EDC">
        <w:rPr>
          <w:rFonts w:ascii="Calibri"/>
          <w:sz w:val="24"/>
        </w:rPr>
        <w:t>Government</w:t>
      </w:r>
      <w:r w:rsidRPr="00150EDC">
        <w:rPr>
          <w:rFonts w:ascii="Calibri"/>
          <w:spacing w:val="-4"/>
          <w:sz w:val="24"/>
        </w:rPr>
        <w:t xml:space="preserve"> </w:t>
      </w:r>
      <w:r w:rsidRPr="00150EDC">
        <w:rPr>
          <w:rFonts w:ascii="Calibri"/>
          <w:sz w:val="24"/>
        </w:rPr>
        <w:t>Data</w:t>
      </w:r>
      <w:r w:rsidRPr="00150EDC">
        <w:rPr>
          <w:rFonts w:ascii="Calibri"/>
          <w:spacing w:val="-3"/>
          <w:sz w:val="24"/>
        </w:rPr>
        <w:t xml:space="preserve"> </w:t>
      </w:r>
      <w:r w:rsidRPr="00150EDC">
        <w:rPr>
          <w:rFonts w:ascii="Calibri"/>
          <w:sz w:val="24"/>
        </w:rPr>
        <w:t>is</w:t>
      </w:r>
      <w:r w:rsidRPr="00150EDC">
        <w:rPr>
          <w:rFonts w:ascii="Calibri"/>
          <w:spacing w:val="-3"/>
          <w:sz w:val="24"/>
        </w:rPr>
        <w:t xml:space="preserve"> </w:t>
      </w:r>
      <w:r w:rsidRPr="00150EDC">
        <w:rPr>
          <w:rFonts w:ascii="Calibri"/>
          <w:sz w:val="24"/>
        </w:rPr>
        <w:t>corrupted,</w:t>
      </w:r>
      <w:r w:rsidRPr="00150EDC">
        <w:rPr>
          <w:rFonts w:ascii="Calibri"/>
          <w:spacing w:val="-3"/>
          <w:sz w:val="24"/>
        </w:rPr>
        <w:t xml:space="preserve"> </w:t>
      </w:r>
      <w:r w:rsidRPr="00150EDC">
        <w:rPr>
          <w:rFonts w:ascii="Calibri"/>
          <w:sz w:val="24"/>
        </w:rPr>
        <w:t>lost</w:t>
      </w:r>
      <w:r w:rsidRPr="00150EDC">
        <w:rPr>
          <w:rFonts w:ascii="Calibri"/>
          <w:spacing w:val="-2"/>
          <w:sz w:val="24"/>
        </w:rPr>
        <w:t xml:space="preserve"> </w:t>
      </w:r>
      <w:r w:rsidRPr="00150EDC">
        <w:rPr>
          <w:rFonts w:ascii="Calibri"/>
          <w:sz w:val="24"/>
        </w:rPr>
        <w:t>or</w:t>
      </w:r>
      <w:r w:rsidRPr="00150EDC">
        <w:rPr>
          <w:rFonts w:ascii="Calibri"/>
          <w:spacing w:val="-2"/>
          <w:sz w:val="24"/>
        </w:rPr>
        <w:t xml:space="preserve"> </w:t>
      </w:r>
      <w:r w:rsidRPr="00150EDC">
        <w:rPr>
          <w:rFonts w:ascii="Calibri"/>
          <w:sz w:val="24"/>
        </w:rPr>
        <w:t>sufficiently</w:t>
      </w:r>
      <w:r w:rsidRPr="00150EDC">
        <w:rPr>
          <w:rFonts w:ascii="Calibri"/>
          <w:spacing w:val="-5"/>
          <w:sz w:val="24"/>
        </w:rPr>
        <w:t xml:space="preserve"> </w:t>
      </w:r>
      <w:r w:rsidRPr="00150EDC">
        <w:rPr>
          <w:rFonts w:ascii="Calibri"/>
          <w:sz w:val="24"/>
        </w:rPr>
        <w:t>degraded</w:t>
      </w:r>
      <w:r w:rsidRPr="00150EDC">
        <w:rPr>
          <w:rFonts w:ascii="Calibri"/>
          <w:spacing w:val="-4"/>
          <w:sz w:val="24"/>
        </w:rPr>
        <w:t xml:space="preserve"> </w:t>
      </w:r>
      <w:r w:rsidRPr="00150EDC">
        <w:rPr>
          <w:rFonts w:ascii="Calibri"/>
          <w:sz w:val="24"/>
        </w:rPr>
        <w:t>so</w:t>
      </w:r>
      <w:r w:rsidRPr="00150EDC">
        <w:rPr>
          <w:rFonts w:ascii="Calibri"/>
          <w:spacing w:val="-2"/>
          <w:sz w:val="24"/>
        </w:rPr>
        <w:t xml:space="preserve"> </w:t>
      </w:r>
      <w:r w:rsidRPr="00150EDC">
        <w:rPr>
          <w:rFonts w:ascii="Calibri"/>
          <w:sz w:val="24"/>
        </w:rPr>
        <w:t>as</w:t>
      </w:r>
      <w:r w:rsidRPr="00150EDC">
        <w:rPr>
          <w:rFonts w:ascii="Calibri"/>
          <w:spacing w:val="-5"/>
          <w:sz w:val="24"/>
        </w:rPr>
        <w:t xml:space="preserve"> </w:t>
      </w:r>
      <w:r w:rsidRPr="00150EDC">
        <w:rPr>
          <w:rFonts w:ascii="Calibri"/>
          <w:sz w:val="24"/>
        </w:rPr>
        <w:t>to</w:t>
      </w:r>
      <w:r w:rsidRPr="00150EDC">
        <w:rPr>
          <w:rFonts w:ascii="Calibri"/>
          <w:spacing w:val="-6"/>
          <w:sz w:val="24"/>
        </w:rPr>
        <w:t xml:space="preserve"> </w:t>
      </w:r>
      <w:r w:rsidRPr="00150EDC">
        <w:rPr>
          <w:rFonts w:ascii="Calibri"/>
          <w:sz w:val="24"/>
        </w:rPr>
        <w:t>be</w:t>
      </w:r>
      <w:r w:rsidRPr="00150EDC">
        <w:rPr>
          <w:rFonts w:ascii="Calibri"/>
          <w:spacing w:val="-4"/>
          <w:sz w:val="24"/>
        </w:rPr>
        <w:t xml:space="preserve"> </w:t>
      </w:r>
      <w:r w:rsidRPr="00150EDC">
        <w:rPr>
          <w:rFonts w:ascii="Calibri"/>
          <w:sz w:val="24"/>
        </w:rPr>
        <w:t>unusable</w:t>
      </w:r>
      <w:r w:rsidRPr="00150EDC">
        <w:rPr>
          <w:rFonts w:ascii="Calibri"/>
          <w:spacing w:val="-5"/>
          <w:sz w:val="24"/>
        </w:rPr>
        <w:t xml:space="preserve"> </w:t>
      </w:r>
      <w:r w:rsidRPr="00150EDC">
        <w:rPr>
          <w:rFonts w:ascii="Calibri"/>
          <w:sz w:val="24"/>
        </w:rPr>
        <w:t>the</w:t>
      </w:r>
      <w:r w:rsidRPr="00150EDC">
        <w:rPr>
          <w:rFonts w:ascii="Calibri"/>
          <w:spacing w:val="-2"/>
          <w:sz w:val="24"/>
        </w:rPr>
        <w:t xml:space="preserve"> </w:t>
      </w:r>
      <w:r w:rsidRPr="00150EDC">
        <w:rPr>
          <w:rFonts w:ascii="Calibri"/>
          <w:sz w:val="24"/>
        </w:rPr>
        <w:t>Relevant Authority may either or both:</w:t>
      </w:r>
    </w:p>
    <w:p w14:paraId="62EECE15" w14:textId="77777777" w:rsidR="004C7180" w:rsidRPr="00150EDC" w:rsidRDefault="004C7180">
      <w:pPr>
        <w:pStyle w:val="BodyText"/>
        <w:spacing w:before="7"/>
        <w:rPr>
          <w:rFonts w:ascii="Calibri"/>
          <w:sz w:val="25"/>
        </w:rPr>
      </w:pPr>
    </w:p>
    <w:p w14:paraId="7E64DDA2" w14:textId="77777777" w:rsidR="004C7180" w:rsidRPr="00150EDC" w:rsidRDefault="00CF0754" w:rsidP="00B320C7">
      <w:pPr>
        <w:pStyle w:val="ListParagraph"/>
        <w:numPr>
          <w:ilvl w:val="0"/>
          <w:numId w:val="161"/>
        </w:numPr>
        <w:tabs>
          <w:tab w:val="left" w:pos="1491"/>
          <w:tab w:val="left" w:pos="1494"/>
        </w:tabs>
        <w:ind w:right="669"/>
        <w:rPr>
          <w:rFonts w:ascii="Calibri"/>
          <w:sz w:val="24"/>
        </w:rPr>
      </w:pPr>
      <w:r w:rsidRPr="00150EDC">
        <w:rPr>
          <w:rFonts w:ascii="Calibri"/>
          <w:sz w:val="24"/>
        </w:rPr>
        <w:t>tell</w:t>
      </w:r>
      <w:r w:rsidRPr="00150EDC">
        <w:rPr>
          <w:rFonts w:ascii="Calibri"/>
          <w:spacing w:val="-3"/>
          <w:sz w:val="24"/>
        </w:rPr>
        <w:t xml:space="preserve"> </w:t>
      </w:r>
      <w:r w:rsidRPr="00150EDC">
        <w:rPr>
          <w:rFonts w:ascii="Calibri"/>
          <w:sz w:val="24"/>
        </w:rPr>
        <w:t>the</w:t>
      </w:r>
      <w:r w:rsidRPr="00150EDC">
        <w:rPr>
          <w:rFonts w:ascii="Calibri"/>
          <w:spacing w:val="-4"/>
          <w:sz w:val="24"/>
        </w:rPr>
        <w:t xml:space="preserve"> </w:t>
      </w:r>
      <w:r w:rsidRPr="00150EDC">
        <w:rPr>
          <w:rFonts w:ascii="Calibri"/>
          <w:sz w:val="24"/>
        </w:rPr>
        <w:t>Supplier</w:t>
      </w:r>
      <w:r w:rsidRPr="00150EDC">
        <w:rPr>
          <w:rFonts w:ascii="Calibri"/>
          <w:spacing w:val="-3"/>
          <w:sz w:val="24"/>
        </w:rPr>
        <w:t xml:space="preserve"> </w:t>
      </w:r>
      <w:r w:rsidRPr="00150EDC">
        <w:rPr>
          <w:rFonts w:ascii="Calibri"/>
          <w:sz w:val="24"/>
        </w:rPr>
        <w:t>to restore</w:t>
      </w:r>
      <w:r w:rsidRPr="00150EDC">
        <w:rPr>
          <w:rFonts w:ascii="Calibri"/>
          <w:spacing w:val="-1"/>
          <w:sz w:val="24"/>
        </w:rPr>
        <w:t xml:space="preserve"> </w:t>
      </w:r>
      <w:r w:rsidRPr="00150EDC">
        <w:rPr>
          <w:rFonts w:ascii="Calibri"/>
          <w:sz w:val="24"/>
        </w:rPr>
        <w:t>or</w:t>
      </w:r>
      <w:r w:rsidRPr="00150EDC">
        <w:rPr>
          <w:rFonts w:ascii="Calibri"/>
          <w:spacing w:val="-1"/>
          <w:sz w:val="24"/>
        </w:rPr>
        <w:t xml:space="preserve"> </w:t>
      </w:r>
      <w:r w:rsidRPr="00150EDC">
        <w:rPr>
          <w:rFonts w:ascii="Calibri"/>
          <w:sz w:val="24"/>
        </w:rPr>
        <w:t>get</w:t>
      </w:r>
      <w:r w:rsidRPr="00150EDC">
        <w:rPr>
          <w:rFonts w:ascii="Calibri"/>
          <w:spacing w:val="-2"/>
          <w:sz w:val="24"/>
        </w:rPr>
        <w:t xml:space="preserve"> </w:t>
      </w:r>
      <w:r w:rsidRPr="00150EDC">
        <w:rPr>
          <w:rFonts w:ascii="Calibri"/>
          <w:sz w:val="24"/>
        </w:rPr>
        <w:t>restored</w:t>
      </w:r>
      <w:r w:rsidRPr="00150EDC">
        <w:rPr>
          <w:rFonts w:ascii="Calibri"/>
          <w:spacing w:val="-3"/>
          <w:sz w:val="24"/>
        </w:rPr>
        <w:t xml:space="preserve"> </w:t>
      </w:r>
      <w:r w:rsidRPr="00150EDC">
        <w:rPr>
          <w:rFonts w:ascii="Calibri"/>
          <w:sz w:val="24"/>
        </w:rPr>
        <w:t>Government</w:t>
      </w:r>
      <w:r w:rsidRPr="00150EDC">
        <w:rPr>
          <w:rFonts w:ascii="Calibri"/>
          <w:spacing w:val="-3"/>
          <w:sz w:val="24"/>
        </w:rPr>
        <w:t xml:space="preserve"> </w:t>
      </w:r>
      <w:r w:rsidRPr="00150EDC">
        <w:rPr>
          <w:rFonts w:ascii="Calibri"/>
          <w:sz w:val="24"/>
        </w:rPr>
        <w:t>Data</w:t>
      </w:r>
      <w:r w:rsidRPr="00150EDC">
        <w:rPr>
          <w:rFonts w:ascii="Calibri"/>
          <w:spacing w:val="-2"/>
          <w:sz w:val="24"/>
        </w:rPr>
        <w:t xml:space="preserve"> </w:t>
      </w:r>
      <w:r w:rsidRPr="00150EDC">
        <w:rPr>
          <w:rFonts w:ascii="Calibri"/>
          <w:sz w:val="24"/>
        </w:rPr>
        <w:t>as</w:t>
      </w:r>
      <w:r w:rsidRPr="00150EDC">
        <w:rPr>
          <w:rFonts w:ascii="Calibri"/>
          <w:spacing w:val="-4"/>
          <w:sz w:val="24"/>
        </w:rPr>
        <w:t xml:space="preserve"> </w:t>
      </w:r>
      <w:r w:rsidRPr="00150EDC">
        <w:rPr>
          <w:rFonts w:ascii="Calibri"/>
          <w:sz w:val="24"/>
        </w:rPr>
        <w:t>soon</w:t>
      </w:r>
      <w:r w:rsidRPr="00150EDC">
        <w:rPr>
          <w:rFonts w:ascii="Calibri"/>
          <w:spacing w:val="-3"/>
          <w:sz w:val="24"/>
        </w:rPr>
        <w:t xml:space="preserve"> </w:t>
      </w:r>
      <w:r w:rsidRPr="00150EDC">
        <w:rPr>
          <w:rFonts w:ascii="Calibri"/>
          <w:sz w:val="24"/>
        </w:rPr>
        <w:t>as</w:t>
      </w:r>
      <w:r w:rsidRPr="00150EDC">
        <w:rPr>
          <w:rFonts w:ascii="Calibri"/>
          <w:spacing w:val="-4"/>
          <w:sz w:val="24"/>
        </w:rPr>
        <w:t xml:space="preserve"> </w:t>
      </w:r>
      <w:r w:rsidRPr="00150EDC">
        <w:rPr>
          <w:rFonts w:ascii="Calibri"/>
          <w:sz w:val="24"/>
        </w:rPr>
        <w:t>practical</w:t>
      </w:r>
      <w:r w:rsidRPr="00150EDC">
        <w:rPr>
          <w:rFonts w:ascii="Calibri"/>
          <w:spacing w:val="-1"/>
          <w:sz w:val="24"/>
        </w:rPr>
        <w:t xml:space="preserve"> </w:t>
      </w:r>
      <w:r w:rsidRPr="00150EDC">
        <w:rPr>
          <w:rFonts w:ascii="Calibri"/>
          <w:sz w:val="24"/>
        </w:rPr>
        <w:t>but</w:t>
      </w:r>
      <w:r w:rsidRPr="00150EDC">
        <w:rPr>
          <w:rFonts w:ascii="Calibri"/>
          <w:spacing w:val="-3"/>
          <w:sz w:val="24"/>
        </w:rPr>
        <w:t xml:space="preserve"> </w:t>
      </w:r>
      <w:r w:rsidRPr="00150EDC">
        <w:rPr>
          <w:rFonts w:ascii="Calibri"/>
          <w:sz w:val="24"/>
        </w:rPr>
        <w:t>no</w:t>
      </w:r>
      <w:r w:rsidRPr="00150EDC">
        <w:rPr>
          <w:rFonts w:ascii="Calibri"/>
          <w:spacing w:val="-4"/>
          <w:sz w:val="24"/>
        </w:rPr>
        <w:t xml:space="preserve"> </w:t>
      </w:r>
      <w:r w:rsidRPr="00150EDC">
        <w:rPr>
          <w:rFonts w:ascii="Calibri"/>
          <w:sz w:val="24"/>
        </w:rPr>
        <w:t>later</w:t>
      </w:r>
      <w:r w:rsidRPr="00150EDC">
        <w:rPr>
          <w:rFonts w:ascii="Calibri"/>
          <w:spacing w:val="-1"/>
          <w:sz w:val="24"/>
        </w:rPr>
        <w:t xml:space="preserve"> </w:t>
      </w:r>
      <w:r w:rsidRPr="00150EDC">
        <w:rPr>
          <w:rFonts w:ascii="Calibri"/>
          <w:sz w:val="24"/>
        </w:rPr>
        <w:t>than</w:t>
      </w:r>
      <w:r w:rsidRPr="00150EDC">
        <w:rPr>
          <w:rFonts w:ascii="Calibri"/>
          <w:spacing w:val="-5"/>
          <w:sz w:val="24"/>
        </w:rPr>
        <w:t xml:space="preserve"> </w:t>
      </w:r>
      <w:r w:rsidRPr="00150EDC">
        <w:rPr>
          <w:rFonts w:ascii="Calibri"/>
          <w:sz w:val="24"/>
        </w:rPr>
        <w:t>5 Working Days from the date that the Relevant Authority receives notice, or the Supplier finds out about the issue, whichever is earlier; and/or</w:t>
      </w:r>
    </w:p>
    <w:p w14:paraId="7E97802A" w14:textId="77777777" w:rsidR="004C7180" w:rsidRPr="00150EDC" w:rsidRDefault="00CF0754" w:rsidP="00B320C7">
      <w:pPr>
        <w:pStyle w:val="ListParagraph"/>
        <w:numPr>
          <w:ilvl w:val="0"/>
          <w:numId w:val="161"/>
        </w:numPr>
        <w:tabs>
          <w:tab w:val="left" w:pos="1491"/>
        </w:tabs>
        <w:spacing w:before="19"/>
        <w:ind w:left="1491" w:hanging="425"/>
        <w:rPr>
          <w:rFonts w:ascii="Calibri"/>
          <w:sz w:val="24"/>
        </w:rPr>
      </w:pPr>
      <w:r w:rsidRPr="00150EDC">
        <w:rPr>
          <w:rFonts w:ascii="Calibri"/>
          <w:sz w:val="24"/>
        </w:rPr>
        <w:t>restore</w:t>
      </w:r>
      <w:r w:rsidRPr="00150EDC">
        <w:rPr>
          <w:rFonts w:ascii="Calibri"/>
          <w:spacing w:val="-4"/>
          <w:sz w:val="24"/>
        </w:rPr>
        <w:t xml:space="preserve"> </w:t>
      </w:r>
      <w:r w:rsidRPr="00150EDC">
        <w:rPr>
          <w:rFonts w:ascii="Calibri"/>
          <w:sz w:val="24"/>
        </w:rPr>
        <w:t>the</w:t>
      </w:r>
      <w:r w:rsidRPr="00150EDC">
        <w:rPr>
          <w:rFonts w:ascii="Calibri"/>
          <w:spacing w:val="-1"/>
          <w:sz w:val="24"/>
        </w:rPr>
        <w:t xml:space="preserve"> </w:t>
      </w:r>
      <w:r w:rsidRPr="00150EDC">
        <w:rPr>
          <w:rFonts w:ascii="Calibri"/>
          <w:sz w:val="24"/>
        </w:rPr>
        <w:t>Government</w:t>
      </w:r>
      <w:r w:rsidRPr="00150EDC">
        <w:rPr>
          <w:rFonts w:ascii="Calibri"/>
          <w:spacing w:val="-3"/>
          <w:sz w:val="24"/>
        </w:rPr>
        <w:t xml:space="preserve"> </w:t>
      </w:r>
      <w:r w:rsidRPr="00150EDC">
        <w:rPr>
          <w:rFonts w:ascii="Calibri"/>
          <w:sz w:val="24"/>
        </w:rPr>
        <w:t>Data</w:t>
      </w:r>
      <w:r w:rsidRPr="00150EDC">
        <w:rPr>
          <w:rFonts w:ascii="Calibri"/>
          <w:spacing w:val="-4"/>
          <w:sz w:val="24"/>
        </w:rPr>
        <w:t xml:space="preserve"> </w:t>
      </w:r>
      <w:r w:rsidRPr="00150EDC">
        <w:rPr>
          <w:rFonts w:ascii="Calibri"/>
          <w:sz w:val="24"/>
        </w:rPr>
        <w:t>itself</w:t>
      </w:r>
      <w:r w:rsidRPr="00150EDC">
        <w:rPr>
          <w:rFonts w:ascii="Calibri"/>
          <w:spacing w:val="-1"/>
          <w:sz w:val="24"/>
        </w:rPr>
        <w:t xml:space="preserve"> </w:t>
      </w:r>
      <w:r w:rsidRPr="00150EDC">
        <w:rPr>
          <w:rFonts w:ascii="Calibri"/>
          <w:sz w:val="24"/>
        </w:rPr>
        <w:t>or</w:t>
      </w:r>
      <w:r w:rsidRPr="00150EDC">
        <w:rPr>
          <w:rFonts w:ascii="Calibri"/>
          <w:spacing w:val="-1"/>
          <w:sz w:val="24"/>
        </w:rPr>
        <w:t xml:space="preserve"> </w:t>
      </w:r>
      <w:r w:rsidRPr="00150EDC">
        <w:rPr>
          <w:rFonts w:ascii="Calibri"/>
          <w:sz w:val="24"/>
        </w:rPr>
        <w:t>using</w:t>
      </w:r>
      <w:r w:rsidRPr="00150EDC">
        <w:rPr>
          <w:rFonts w:ascii="Calibri"/>
          <w:spacing w:val="-3"/>
          <w:sz w:val="24"/>
        </w:rPr>
        <w:t xml:space="preserve"> </w:t>
      </w:r>
      <w:r w:rsidRPr="00150EDC">
        <w:rPr>
          <w:rFonts w:ascii="Calibri"/>
          <w:sz w:val="24"/>
        </w:rPr>
        <w:t>a</w:t>
      </w:r>
      <w:r w:rsidRPr="00150EDC">
        <w:rPr>
          <w:rFonts w:ascii="Calibri"/>
          <w:spacing w:val="-3"/>
          <w:sz w:val="24"/>
        </w:rPr>
        <w:t xml:space="preserve"> </w:t>
      </w:r>
      <w:r w:rsidRPr="00150EDC">
        <w:rPr>
          <w:rFonts w:ascii="Calibri"/>
          <w:sz w:val="24"/>
        </w:rPr>
        <w:t>third</w:t>
      </w:r>
      <w:r w:rsidRPr="00150EDC">
        <w:rPr>
          <w:rFonts w:ascii="Calibri"/>
          <w:spacing w:val="-1"/>
          <w:sz w:val="24"/>
        </w:rPr>
        <w:t xml:space="preserve"> </w:t>
      </w:r>
      <w:r w:rsidRPr="00150EDC">
        <w:rPr>
          <w:rFonts w:ascii="Calibri"/>
          <w:spacing w:val="-2"/>
          <w:sz w:val="24"/>
        </w:rPr>
        <w:t>party.</w:t>
      </w:r>
    </w:p>
    <w:p w14:paraId="151CD641" w14:textId="77777777" w:rsidR="004C7180" w:rsidRPr="00150EDC" w:rsidRDefault="004C7180">
      <w:pPr>
        <w:pStyle w:val="BodyText"/>
        <w:spacing w:before="9"/>
        <w:rPr>
          <w:rFonts w:ascii="Calibri"/>
          <w:sz w:val="25"/>
        </w:rPr>
      </w:pPr>
    </w:p>
    <w:p w14:paraId="0E542CFF" w14:textId="77777777" w:rsidR="004C7180" w:rsidRPr="00150EDC" w:rsidRDefault="00CF0754" w:rsidP="00B320C7">
      <w:pPr>
        <w:pStyle w:val="ListParagraph"/>
        <w:numPr>
          <w:ilvl w:val="1"/>
          <w:numId w:val="182"/>
        </w:numPr>
        <w:tabs>
          <w:tab w:val="left" w:pos="1064"/>
          <w:tab w:val="left" w:pos="1066"/>
        </w:tabs>
        <w:ind w:right="1013"/>
        <w:rPr>
          <w:rFonts w:ascii="Calibri" w:hAnsi="Calibri"/>
          <w:sz w:val="24"/>
        </w:rPr>
      </w:pPr>
      <w:r w:rsidRPr="00150EDC">
        <w:rPr>
          <w:rFonts w:ascii="Calibri" w:hAnsi="Calibri"/>
          <w:sz w:val="24"/>
        </w:rPr>
        <w:t>The</w:t>
      </w:r>
      <w:r w:rsidRPr="00150EDC">
        <w:rPr>
          <w:rFonts w:ascii="Calibri" w:hAnsi="Calibri"/>
          <w:spacing w:val="-2"/>
          <w:sz w:val="24"/>
        </w:rPr>
        <w:t xml:space="preserve"> </w:t>
      </w:r>
      <w:r w:rsidRPr="00150EDC">
        <w:rPr>
          <w:rFonts w:ascii="Calibri" w:hAnsi="Calibri"/>
          <w:sz w:val="24"/>
        </w:rPr>
        <w:t>Supplier</w:t>
      </w:r>
      <w:r w:rsidRPr="00150EDC">
        <w:rPr>
          <w:rFonts w:ascii="Calibri" w:hAnsi="Calibri"/>
          <w:spacing w:val="-4"/>
          <w:sz w:val="24"/>
        </w:rPr>
        <w:t xml:space="preserve"> </w:t>
      </w:r>
      <w:r w:rsidRPr="00150EDC">
        <w:rPr>
          <w:rFonts w:ascii="Calibri" w:hAnsi="Calibri"/>
          <w:sz w:val="24"/>
        </w:rPr>
        <w:t>must</w:t>
      </w:r>
      <w:r w:rsidRPr="00150EDC">
        <w:rPr>
          <w:rFonts w:ascii="Calibri" w:hAnsi="Calibri"/>
          <w:spacing w:val="-2"/>
          <w:sz w:val="24"/>
        </w:rPr>
        <w:t xml:space="preserve"> </w:t>
      </w:r>
      <w:r w:rsidRPr="00150EDC">
        <w:rPr>
          <w:rFonts w:ascii="Calibri" w:hAnsi="Calibri"/>
          <w:sz w:val="24"/>
        </w:rPr>
        <w:t>pay</w:t>
      </w:r>
      <w:r w:rsidRPr="00150EDC">
        <w:rPr>
          <w:rFonts w:ascii="Calibri" w:hAnsi="Calibri"/>
          <w:spacing w:val="-3"/>
          <w:sz w:val="24"/>
        </w:rPr>
        <w:t xml:space="preserve"> </w:t>
      </w:r>
      <w:r w:rsidRPr="00150EDC">
        <w:rPr>
          <w:rFonts w:ascii="Calibri" w:hAnsi="Calibri"/>
          <w:sz w:val="24"/>
        </w:rPr>
        <w:t>each</w:t>
      </w:r>
      <w:r w:rsidRPr="00150EDC">
        <w:rPr>
          <w:rFonts w:ascii="Calibri" w:hAnsi="Calibri"/>
          <w:spacing w:val="-2"/>
          <w:sz w:val="24"/>
        </w:rPr>
        <w:t xml:space="preserve"> </w:t>
      </w:r>
      <w:r w:rsidRPr="00150EDC">
        <w:rPr>
          <w:rFonts w:ascii="Calibri" w:hAnsi="Calibri"/>
          <w:sz w:val="24"/>
        </w:rPr>
        <w:t>Party’s</w:t>
      </w:r>
      <w:r w:rsidRPr="00150EDC">
        <w:rPr>
          <w:rFonts w:ascii="Calibri" w:hAnsi="Calibri"/>
          <w:spacing w:val="-4"/>
          <w:sz w:val="24"/>
        </w:rPr>
        <w:t xml:space="preserve"> </w:t>
      </w:r>
      <w:r w:rsidRPr="00150EDC">
        <w:rPr>
          <w:rFonts w:ascii="Calibri" w:hAnsi="Calibri"/>
          <w:sz w:val="24"/>
        </w:rPr>
        <w:t>reasonable</w:t>
      </w:r>
      <w:r w:rsidRPr="00150EDC">
        <w:rPr>
          <w:rFonts w:ascii="Calibri" w:hAnsi="Calibri"/>
          <w:spacing w:val="-2"/>
          <w:sz w:val="24"/>
        </w:rPr>
        <w:t xml:space="preserve"> </w:t>
      </w:r>
      <w:r w:rsidRPr="00150EDC">
        <w:rPr>
          <w:rFonts w:ascii="Calibri" w:hAnsi="Calibri"/>
          <w:sz w:val="24"/>
        </w:rPr>
        <w:t>costs</w:t>
      </w:r>
      <w:r w:rsidRPr="00150EDC">
        <w:rPr>
          <w:rFonts w:ascii="Calibri" w:hAnsi="Calibri"/>
          <w:spacing w:val="-3"/>
          <w:sz w:val="24"/>
        </w:rPr>
        <w:t xml:space="preserve"> </w:t>
      </w:r>
      <w:r w:rsidRPr="00150EDC">
        <w:rPr>
          <w:rFonts w:ascii="Calibri" w:hAnsi="Calibri"/>
          <w:sz w:val="24"/>
        </w:rPr>
        <w:t>of</w:t>
      </w:r>
      <w:r w:rsidRPr="00150EDC">
        <w:rPr>
          <w:rFonts w:ascii="Calibri" w:hAnsi="Calibri"/>
          <w:spacing w:val="-2"/>
          <w:sz w:val="24"/>
        </w:rPr>
        <w:t xml:space="preserve"> </w:t>
      </w:r>
      <w:r w:rsidRPr="00150EDC">
        <w:rPr>
          <w:rFonts w:ascii="Calibri" w:hAnsi="Calibri"/>
          <w:sz w:val="24"/>
        </w:rPr>
        <w:t>complying</w:t>
      </w:r>
      <w:r w:rsidRPr="00150EDC">
        <w:rPr>
          <w:rFonts w:ascii="Calibri" w:hAnsi="Calibri"/>
          <w:spacing w:val="-3"/>
          <w:sz w:val="24"/>
        </w:rPr>
        <w:t xml:space="preserve"> </w:t>
      </w:r>
      <w:r w:rsidRPr="00150EDC">
        <w:rPr>
          <w:rFonts w:ascii="Calibri" w:hAnsi="Calibri"/>
          <w:sz w:val="24"/>
        </w:rPr>
        <w:t>with</w:t>
      </w:r>
      <w:r w:rsidRPr="00150EDC">
        <w:rPr>
          <w:rFonts w:ascii="Calibri" w:hAnsi="Calibri"/>
          <w:spacing w:val="-2"/>
          <w:sz w:val="24"/>
        </w:rPr>
        <w:t xml:space="preserve"> </w:t>
      </w:r>
      <w:r w:rsidRPr="00150EDC">
        <w:rPr>
          <w:rFonts w:ascii="Calibri" w:hAnsi="Calibri"/>
          <w:sz w:val="24"/>
        </w:rPr>
        <w:t>Clause</w:t>
      </w:r>
      <w:r w:rsidRPr="00150EDC">
        <w:rPr>
          <w:rFonts w:ascii="Calibri" w:hAnsi="Calibri"/>
          <w:spacing w:val="-2"/>
          <w:sz w:val="24"/>
        </w:rPr>
        <w:t xml:space="preserve"> </w:t>
      </w:r>
      <w:r w:rsidRPr="00150EDC">
        <w:rPr>
          <w:rFonts w:ascii="Calibri" w:hAnsi="Calibri"/>
          <w:sz w:val="24"/>
        </w:rPr>
        <w:t>14.6</w:t>
      </w:r>
      <w:r w:rsidRPr="00150EDC">
        <w:rPr>
          <w:rFonts w:ascii="Calibri" w:hAnsi="Calibri"/>
          <w:spacing w:val="-4"/>
          <w:sz w:val="24"/>
        </w:rPr>
        <w:t xml:space="preserve"> </w:t>
      </w:r>
      <w:r w:rsidRPr="00150EDC">
        <w:rPr>
          <w:rFonts w:ascii="Calibri" w:hAnsi="Calibri"/>
          <w:sz w:val="24"/>
        </w:rPr>
        <w:t>unless</w:t>
      </w:r>
      <w:r w:rsidRPr="00150EDC">
        <w:rPr>
          <w:rFonts w:ascii="Calibri" w:hAnsi="Calibri"/>
          <w:spacing w:val="-5"/>
          <w:sz w:val="24"/>
        </w:rPr>
        <w:t xml:space="preserve"> </w:t>
      </w:r>
      <w:r w:rsidRPr="00150EDC">
        <w:rPr>
          <w:rFonts w:ascii="Calibri" w:hAnsi="Calibri"/>
          <w:sz w:val="24"/>
        </w:rPr>
        <w:t>CCS</w:t>
      </w:r>
      <w:r w:rsidRPr="00150EDC">
        <w:rPr>
          <w:rFonts w:ascii="Calibri" w:hAnsi="Calibri"/>
          <w:spacing w:val="-3"/>
          <w:sz w:val="24"/>
        </w:rPr>
        <w:t xml:space="preserve"> </w:t>
      </w:r>
      <w:r w:rsidRPr="00150EDC">
        <w:rPr>
          <w:rFonts w:ascii="Calibri" w:hAnsi="Calibri"/>
          <w:sz w:val="24"/>
        </w:rPr>
        <w:t>or</w:t>
      </w:r>
      <w:r w:rsidRPr="00150EDC">
        <w:rPr>
          <w:rFonts w:ascii="Calibri" w:hAnsi="Calibri"/>
          <w:spacing w:val="-4"/>
          <w:sz w:val="24"/>
        </w:rPr>
        <w:t xml:space="preserve"> </w:t>
      </w:r>
      <w:r w:rsidRPr="00150EDC">
        <w:rPr>
          <w:rFonts w:ascii="Calibri" w:hAnsi="Calibri"/>
          <w:sz w:val="24"/>
        </w:rPr>
        <w:t>the Buyer is at fault.</w:t>
      </w:r>
    </w:p>
    <w:p w14:paraId="4E4EDAA6" w14:textId="77777777" w:rsidR="004C7180" w:rsidRPr="00150EDC" w:rsidRDefault="004C7180">
      <w:pPr>
        <w:pStyle w:val="BodyText"/>
        <w:spacing w:before="12"/>
        <w:rPr>
          <w:rFonts w:ascii="Calibri"/>
          <w:sz w:val="23"/>
        </w:rPr>
      </w:pPr>
    </w:p>
    <w:p w14:paraId="4226EBFE" w14:textId="77777777" w:rsidR="004C7180" w:rsidRPr="00150EDC" w:rsidRDefault="00CF0754" w:rsidP="00B320C7">
      <w:pPr>
        <w:pStyle w:val="ListParagraph"/>
        <w:numPr>
          <w:ilvl w:val="1"/>
          <w:numId w:val="182"/>
        </w:numPr>
        <w:tabs>
          <w:tab w:val="left" w:pos="1065"/>
        </w:tabs>
        <w:ind w:left="1065" w:hanging="565"/>
        <w:rPr>
          <w:rFonts w:ascii="Calibri"/>
          <w:sz w:val="24"/>
        </w:rPr>
      </w:pPr>
      <w:r w:rsidRPr="00150EDC">
        <w:rPr>
          <w:rFonts w:ascii="Calibri"/>
          <w:sz w:val="24"/>
        </w:rPr>
        <w:t>The</w:t>
      </w:r>
      <w:r w:rsidRPr="00150EDC">
        <w:rPr>
          <w:rFonts w:ascii="Calibri"/>
          <w:spacing w:val="-1"/>
          <w:sz w:val="24"/>
        </w:rPr>
        <w:t xml:space="preserve"> </w:t>
      </w:r>
      <w:r w:rsidRPr="00150EDC">
        <w:rPr>
          <w:rFonts w:ascii="Calibri"/>
          <w:spacing w:val="-2"/>
          <w:sz w:val="24"/>
        </w:rPr>
        <w:t>Supplier:</w:t>
      </w:r>
    </w:p>
    <w:p w14:paraId="6A38595F" w14:textId="77777777" w:rsidR="004C7180" w:rsidRPr="00150EDC" w:rsidRDefault="004C7180">
      <w:pPr>
        <w:pStyle w:val="BodyText"/>
        <w:spacing w:before="9"/>
        <w:rPr>
          <w:rFonts w:ascii="Calibri"/>
          <w:sz w:val="25"/>
        </w:rPr>
      </w:pPr>
    </w:p>
    <w:p w14:paraId="0EC97326" w14:textId="77777777" w:rsidR="004C7180" w:rsidRPr="00150EDC" w:rsidRDefault="00CF0754" w:rsidP="00B320C7">
      <w:pPr>
        <w:pStyle w:val="ListParagraph"/>
        <w:numPr>
          <w:ilvl w:val="0"/>
          <w:numId w:val="160"/>
        </w:numPr>
        <w:tabs>
          <w:tab w:val="left" w:pos="1491"/>
          <w:tab w:val="left" w:pos="1494"/>
        </w:tabs>
        <w:ind w:right="736"/>
        <w:rPr>
          <w:rFonts w:ascii="Calibri"/>
          <w:sz w:val="24"/>
        </w:rPr>
      </w:pPr>
      <w:r w:rsidRPr="00150EDC">
        <w:rPr>
          <w:rFonts w:ascii="Calibri"/>
          <w:sz w:val="24"/>
        </w:rPr>
        <w:t>must</w:t>
      </w:r>
      <w:r w:rsidRPr="00150EDC">
        <w:rPr>
          <w:rFonts w:ascii="Calibri"/>
          <w:spacing w:val="-4"/>
          <w:sz w:val="24"/>
        </w:rPr>
        <w:t xml:space="preserve"> </w:t>
      </w:r>
      <w:r w:rsidRPr="00150EDC">
        <w:rPr>
          <w:rFonts w:ascii="Calibri"/>
          <w:sz w:val="24"/>
        </w:rPr>
        <w:t>provide</w:t>
      </w:r>
      <w:r w:rsidRPr="00150EDC">
        <w:rPr>
          <w:rFonts w:ascii="Calibri"/>
          <w:spacing w:val="-4"/>
          <w:sz w:val="24"/>
        </w:rPr>
        <w:t xml:space="preserve"> </w:t>
      </w:r>
      <w:r w:rsidRPr="00150EDC">
        <w:rPr>
          <w:rFonts w:ascii="Calibri"/>
          <w:sz w:val="24"/>
        </w:rPr>
        <w:t>the</w:t>
      </w:r>
      <w:r w:rsidRPr="00150EDC">
        <w:rPr>
          <w:rFonts w:ascii="Calibri"/>
          <w:spacing w:val="-5"/>
          <w:sz w:val="24"/>
        </w:rPr>
        <w:t xml:space="preserve"> </w:t>
      </w:r>
      <w:r w:rsidRPr="00150EDC">
        <w:rPr>
          <w:rFonts w:ascii="Calibri"/>
          <w:sz w:val="24"/>
        </w:rPr>
        <w:t>Relevant</w:t>
      </w:r>
      <w:r w:rsidRPr="00150EDC">
        <w:rPr>
          <w:rFonts w:ascii="Calibri"/>
          <w:spacing w:val="-2"/>
          <w:sz w:val="24"/>
        </w:rPr>
        <w:t xml:space="preserve"> </w:t>
      </w:r>
      <w:r w:rsidRPr="00150EDC">
        <w:rPr>
          <w:rFonts w:ascii="Calibri"/>
          <w:sz w:val="24"/>
        </w:rPr>
        <w:t>Authority</w:t>
      </w:r>
      <w:r w:rsidRPr="00150EDC">
        <w:rPr>
          <w:rFonts w:ascii="Calibri"/>
          <w:spacing w:val="-3"/>
          <w:sz w:val="24"/>
        </w:rPr>
        <w:t xml:space="preserve"> </w:t>
      </w:r>
      <w:r w:rsidRPr="00150EDC">
        <w:rPr>
          <w:rFonts w:ascii="Calibri"/>
          <w:sz w:val="24"/>
        </w:rPr>
        <w:t>with</w:t>
      </w:r>
      <w:r w:rsidRPr="00150EDC">
        <w:rPr>
          <w:rFonts w:ascii="Calibri"/>
          <w:spacing w:val="-4"/>
          <w:sz w:val="24"/>
        </w:rPr>
        <w:t xml:space="preserve"> </w:t>
      </w:r>
      <w:r w:rsidRPr="00150EDC">
        <w:rPr>
          <w:rFonts w:ascii="Calibri"/>
          <w:sz w:val="24"/>
        </w:rPr>
        <w:t>all</w:t>
      </w:r>
      <w:r w:rsidRPr="00150EDC">
        <w:rPr>
          <w:rFonts w:ascii="Calibri"/>
          <w:spacing w:val="-2"/>
          <w:sz w:val="24"/>
        </w:rPr>
        <w:t xml:space="preserve"> </w:t>
      </w:r>
      <w:r w:rsidRPr="00150EDC">
        <w:rPr>
          <w:rFonts w:ascii="Calibri"/>
          <w:sz w:val="24"/>
        </w:rPr>
        <w:t>Government</w:t>
      </w:r>
      <w:r w:rsidRPr="00150EDC">
        <w:rPr>
          <w:rFonts w:ascii="Calibri"/>
          <w:spacing w:val="-4"/>
          <w:sz w:val="24"/>
        </w:rPr>
        <w:t xml:space="preserve"> </w:t>
      </w:r>
      <w:r w:rsidRPr="00150EDC">
        <w:rPr>
          <w:rFonts w:ascii="Calibri"/>
          <w:sz w:val="24"/>
        </w:rPr>
        <w:t>Data</w:t>
      </w:r>
      <w:r w:rsidRPr="00150EDC">
        <w:rPr>
          <w:rFonts w:ascii="Calibri"/>
          <w:spacing w:val="-3"/>
          <w:sz w:val="24"/>
        </w:rPr>
        <w:t xml:space="preserve"> </w:t>
      </w:r>
      <w:r w:rsidRPr="00150EDC">
        <w:rPr>
          <w:rFonts w:ascii="Calibri"/>
          <w:sz w:val="24"/>
        </w:rPr>
        <w:t>in</w:t>
      </w:r>
      <w:r w:rsidRPr="00150EDC">
        <w:rPr>
          <w:rFonts w:ascii="Calibri"/>
          <w:spacing w:val="-2"/>
          <w:sz w:val="24"/>
        </w:rPr>
        <w:t xml:space="preserve"> </w:t>
      </w:r>
      <w:r w:rsidRPr="00150EDC">
        <w:rPr>
          <w:rFonts w:ascii="Calibri"/>
          <w:sz w:val="24"/>
        </w:rPr>
        <w:t>an</w:t>
      </w:r>
      <w:r w:rsidRPr="00150EDC">
        <w:rPr>
          <w:rFonts w:ascii="Calibri"/>
          <w:spacing w:val="-2"/>
          <w:sz w:val="24"/>
        </w:rPr>
        <w:t xml:space="preserve"> </w:t>
      </w:r>
      <w:r w:rsidRPr="00150EDC">
        <w:rPr>
          <w:rFonts w:ascii="Calibri"/>
          <w:sz w:val="24"/>
        </w:rPr>
        <w:t>agreed</w:t>
      </w:r>
      <w:r w:rsidRPr="00150EDC">
        <w:rPr>
          <w:rFonts w:ascii="Calibri"/>
          <w:spacing w:val="-1"/>
          <w:sz w:val="24"/>
        </w:rPr>
        <w:t xml:space="preserve"> </w:t>
      </w:r>
      <w:r w:rsidRPr="00150EDC">
        <w:rPr>
          <w:rFonts w:ascii="Calibri"/>
          <w:sz w:val="24"/>
        </w:rPr>
        <w:t>open</w:t>
      </w:r>
      <w:r w:rsidRPr="00150EDC">
        <w:rPr>
          <w:rFonts w:ascii="Calibri"/>
          <w:spacing w:val="-2"/>
          <w:sz w:val="24"/>
        </w:rPr>
        <w:t xml:space="preserve"> </w:t>
      </w:r>
      <w:r w:rsidRPr="00150EDC">
        <w:rPr>
          <w:rFonts w:ascii="Calibri"/>
          <w:sz w:val="24"/>
        </w:rPr>
        <w:t>format within</w:t>
      </w:r>
      <w:r w:rsidRPr="00150EDC">
        <w:rPr>
          <w:rFonts w:ascii="Calibri"/>
          <w:spacing w:val="-4"/>
          <w:sz w:val="24"/>
        </w:rPr>
        <w:t xml:space="preserve"> </w:t>
      </w:r>
      <w:r w:rsidRPr="00150EDC">
        <w:rPr>
          <w:rFonts w:ascii="Calibri"/>
          <w:sz w:val="24"/>
        </w:rPr>
        <w:t>10 Working Days of a written request;</w:t>
      </w:r>
    </w:p>
    <w:p w14:paraId="61531FEA" w14:textId="77777777" w:rsidR="004C7180" w:rsidRPr="00150EDC" w:rsidRDefault="00CF0754" w:rsidP="00B320C7">
      <w:pPr>
        <w:pStyle w:val="ListParagraph"/>
        <w:numPr>
          <w:ilvl w:val="0"/>
          <w:numId w:val="160"/>
        </w:numPr>
        <w:tabs>
          <w:tab w:val="left" w:pos="1491"/>
          <w:tab w:val="left" w:pos="1494"/>
        </w:tabs>
        <w:spacing w:before="19"/>
        <w:ind w:right="1232"/>
        <w:rPr>
          <w:rFonts w:ascii="Calibri"/>
          <w:sz w:val="24"/>
        </w:rPr>
      </w:pPr>
      <w:r w:rsidRPr="00150EDC">
        <w:rPr>
          <w:rFonts w:ascii="Calibri"/>
          <w:sz w:val="24"/>
        </w:rPr>
        <w:t>must</w:t>
      </w:r>
      <w:r w:rsidRPr="00150EDC">
        <w:rPr>
          <w:rFonts w:ascii="Calibri"/>
          <w:spacing w:val="-3"/>
          <w:sz w:val="24"/>
        </w:rPr>
        <w:t xml:space="preserve"> </w:t>
      </w:r>
      <w:r w:rsidRPr="00150EDC">
        <w:rPr>
          <w:rFonts w:ascii="Calibri"/>
          <w:sz w:val="24"/>
        </w:rPr>
        <w:t>have</w:t>
      </w:r>
      <w:r w:rsidRPr="00150EDC">
        <w:rPr>
          <w:rFonts w:ascii="Calibri"/>
          <w:spacing w:val="-4"/>
          <w:sz w:val="24"/>
        </w:rPr>
        <w:t xml:space="preserve"> </w:t>
      </w:r>
      <w:r w:rsidRPr="00150EDC">
        <w:rPr>
          <w:rFonts w:ascii="Calibri"/>
          <w:sz w:val="24"/>
        </w:rPr>
        <w:t>documented</w:t>
      </w:r>
      <w:r w:rsidRPr="00150EDC">
        <w:rPr>
          <w:rFonts w:ascii="Calibri"/>
          <w:spacing w:val="-5"/>
          <w:sz w:val="24"/>
        </w:rPr>
        <w:t xml:space="preserve"> </w:t>
      </w:r>
      <w:r w:rsidRPr="00150EDC">
        <w:rPr>
          <w:rFonts w:ascii="Calibri"/>
          <w:sz w:val="24"/>
        </w:rPr>
        <w:t>processes</w:t>
      </w:r>
      <w:r w:rsidRPr="00150EDC">
        <w:rPr>
          <w:rFonts w:ascii="Calibri"/>
          <w:spacing w:val="-4"/>
          <w:sz w:val="24"/>
        </w:rPr>
        <w:t xml:space="preserve"> </w:t>
      </w:r>
      <w:r w:rsidRPr="00150EDC">
        <w:rPr>
          <w:rFonts w:ascii="Calibri"/>
          <w:sz w:val="24"/>
        </w:rPr>
        <w:t>to</w:t>
      </w:r>
      <w:r w:rsidRPr="00150EDC">
        <w:rPr>
          <w:rFonts w:ascii="Calibri"/>
          <w:spacing w:val="-1"/>
          <w:sz w:val="24"/>
        </w:rPr>
        <w:t xml:space="preserve"> </w:t>
      </w:r>
      <w:r w:rsidRPr="00150EDC">
        <w:rPr>
          <w:rFonts w:ascii="Calibri"/>
          <w:sz w:val="24"/>
        </w:rPr>
        <w:t>guarantee</w:t>
      </w:r>
      <w:r w:rsidRPr="00150EDC">
        <w:rPr>
          <w:rFonts w:ascii="Calibri"/>
          <w:spacing w:val="-4"/>
          <w:sz w:val="24"/>
        </w:rPr>
        <w:t xml:space="preserve"> </w:t>
      </w:r>
      <w:r w:rsidRPr="00150EDC">
        <w:rPr>
          <w:rFonts w:ascii="Calibri"/>
          <w:sz w:val="24"/>
        </w:rPr>
        <w:t>prompt</w:t>
      </w:r>
      <w:r w:rsidRPr="00150EDC">
        <w:rPr>
          <w:rFonts w:ascii="Calibri"/>
          <w:spacing w:val="-3"/>
          <w:sz w:val="24"/>
        </w:rPr>
        <w:t xml:space="preserve"> </w:t>
      </w:r>
      <w:r w:rsidRPr="00150EDC">
        <w:rPr>
          <w:rFonts w:ascii="Calibri"/>
          <w:sz w:val="24"/>
        </w:rPr>
        <w:t>availability</w:t>
      </w:r>
      <w:r w:rsidRPr="00150EDC">
        <w:rPr>
          <w:rFonts w:ascii="Calibri"/>
          <w:spacing w:val="-5"/>
          <w:sz w:val="24"/>
        </w:rPr>
        <w:t xml:space="preserve"> </w:t>
      </w:r>
      <w:r w:rsidRPr="00150EDC">
        <w:rPr>
          <w:rFonts w:ascii="Calibri"/>
          <w:sz w:val="24"/>
        </w:rPr>
        <w:t>of Government</w:t>
      </w:r>
      <w:r w:rsidRPr="00150EDC">
        <w:rPr>
          <w:rFonts w:ascii="Calibri"/>
          <w:spacing w:val="-3"/>
          <w:sz w:val="24"/>
        </w:rPr>
        <w:t xml:space="preserve"> </w:t>
      </w:r>
      <w:r w:rsidRPr="00150EDC">
        <w:rPr>
          <w:rFonts w:ascii="Calibri"/>
          <w:sz w:val="24"/>
        </w:rPr>
        <w:t>Data</w:t>
      </w:r>
      <w:r w:rsidRPr="00150EDC">
        <w:rPr>
          <w:rFonts w:ascii="Calibri"/>
          <w:spacing w:val="-2"/>
          <w:sz w:val="24"/>
        </w:rPr>
        <w:t xml:space="preserve"> </w:t>
      </w:r>
      <w:r w:rsidRPr="00150EDC">
        <w:rPr>
          <w:rFonts w:ascii="Calibri"/>
          <w:sz w:val="24"/>
        </w:rPr>
        <w:t>if</w:t>
      </w:r>
      <w:r w:rsidRPr="00150EDC">
        <w:rPr>
          <w:rFonts w:ascii="Calibri"/>
          <w:spacing w:val="-3"/>
          <w:sz w:val="24"/>
        </w:rPr>
        <w:t xml:space="preserve"> </w:t>
      </w:r>
      <w:r w:rsidRPr="00150EDC">
        <w:rPr>
          <w:rFonts w:ascii="Calibri"/>
          <w:sz w:val="24"/>
        </w:rPr>
        <w:t>the Supplier stops trading;</w:t>
      </w:r>
    </w:p>
    <w:p w14:paraId="4CFC4D2B" w14:textId="77777777" w:rsidR="004C7180" w:rsidRPr="00150EDC" w:rsidRDefault="00CF0754" w:rsidP="00B320C7">
      <w:pPr>
        <w:pStyle w:val="ListParagraph"/>
        <w:numPr>
          <w:ilvl w:val="0"/>
          <w:numId w:val="160"/>
        </w:numPr>
        <w:tabs>
          <w:tab w:val="left" w:pos="1492"/>
          <w:tab w:val="left" w:pos="1494"/>
        </w:tabs>
        <w:spacing w:before="19" w:line="242" w:lineRule="auto"/>
        <w:ind w:right="969"/>
        <w:rPr>
          <w:rFonts w:ascii="Calibri"/>
          <w:sz w:val="24"/>
        </w:rPr>
      </w:pPr>
      <w:r w:rsidRPr="00150EDC">
        <w:rPr>
          <w:rFonts w:ascii="Calibri"/>
          <w:sz w:val="24"/>
        </w:rPr>
        <w:t>must</w:t>
      </w:r>
      <w:r w:rsidRPr="00150EDC">
        <w:rPr>
          <w:rFonts w:ascii="Calibri"/>
          <w:spacing w:val="-1"/>
          <w:sz w:val="24"/>
        </w:rPr>
        <w:t xml:space="preserve"> </w:t>
      </w:r>
      <w:r w:rsidRPr="00150EDC">
        <w:rPr>
          <w:rFonts w:ascii="Calibri"/>
          <w:sz w:val="24"/>
        </w:rPr>
        <w:t>securely</w:t>
      </w:r>
      <w:r w:rsidRPr="00150EDC">
        <w:rPr>
          <w:rFonts w:ascii="Calibri"/>
          <w:spacing w:val="-5"/>
          <w:sz w:val="24"/>
        </w:rPr>
        <w:t xml:space="preserve"> </w:t>
      </w:r>
      <w:r w:rsidRPr="00150EDC">
        <w:rPr>
          <w:rFonts w:ascii="Calibri"/>
          <w:sz w:val="24"/>
        </w:rPr>
        <w:t>destroy</w:t>
      </w:r>
      <w:r w:rsidRPr="00150EDC">
        <w:rPr>
          <w:rFonts w:ascii="Calibri"/>
          <w:spacing w:val="-2"/>
          <w:sz w:val="24"/>
        </w:rPr>
        <w:t xml:space="preserve"> </w:t>
      </w:r>
      <w:r w:rsidRPr="00150EDC">
        <w:rPr>
          <w:rFonts w:ascii="Calibri"/>
          <w:sz w:val="24"/>
        </w:rPr>
        <w:t>all</w:t>
      </w:r>
      <w:r w:rsidRPr="00150EDC">
        <w:rPr>
          <w:rFonts w:ascii="Calibri"/>
          <w:spacing w:val="-4"/>
          <w:sz w:val="24"/>
        </w:rPr>
        <w:t xml:space="preserve"> </w:t>
      </w:r>
      <w:r w:rsidRPr="00150EDC">
        <w:rPr>
          <w:rFonts w:ascii="Calibri"/>
          <w:sz w:val="24"/>
        </w:rPr>
        <w:t>Storage</w:t>
      </w:r>
      <w:r w:rsidRPr="00150EDC">
        <w:rPr>
          <w:rFonts w:ascii="Calibri"/>
          <w:spacing w:val="-1"/>
          <w:sz w:val="24"/>
        </w:rPr>
        <w:t xml:space="preserve"> </w:t>
      </w:r>
      <w:r w:rsidRPr="00150EDC">
        <w:rPr>
          <w:rFonts w:ascii="Calibri"/>
          <w:sz w:val="24"/>
        </w:rPr>
        <w:t>Media</w:t>
      </w:r>
      <w:r w:rsidRPr="00150EDC">
        <w:rPr>
          <w:rFonts w:ascii="Calibri"/>
          <w:spacing w:val="-4"/>
          <w:sz w:val="24"/>
        </w:rPr>
        <w:t xml:space="preserve"> </w:t>
      </w:r>
      <w:r w:rsidRPr="00150EDC">
        <w:rPr>
          <w:rFonts w:ascii="Calibri"/>
          <w:sz w:val="24"/>
        </w:rPr>
        <w:t>that</w:t>
      </w:r>
      <w:r w:rsidRPr="00150EDC">
        <w:rPr>
          <w:rFonts w:ascii="Calibri"/>
          <w:spacing w:val="-3"/>
          <w:sz w:val="24"/>
        </w:rPr>
        <w:t xml:space="preserve"> </w:t>
      </w:r>
      <w:r w:rsidRPr="00150EDC">
        <w:rPr>
          <w:rFonts w:ascii="Calibri"/>
          <w:sz w:val="24"/>
        </w:rPr>
        <w:t>has</w:t>
      </w:r>
      <w:r w:rsidRPr="00150EDC">
        <w:rPr>
          <w:rFonts w:ascii="Calibri"/>
          <w:spacing w:val="-4"/>
          <w:sz w:val="24"/>
        </w:rPr>
        <w:t xml:space="preserve"> </w:t>
      </w:r>
      <w:r w:rsidRPr="00150EDC">
        <w:rPr>
          <w:rFonts w:ascii="Calibri"/>
          <w:sz w:val="24"/>
        </w:rPr>
        <w:t>held</w:t>
      </w:r>
      <w:r w:rsidRPr="00150EDC">
        <w:rPr>
          <w:rFonts w:ascii="Calibri"/>
          <w:spacing w:val="-3"/>
          <w:sz w:val="24"/>
        </w:rPr>
        <w:t xml:space="preserve"> </w:t>
      </w:r>
      <w:r w:rsidRPr="00150EDC">
        <w:rPr>
          <w:rFonts w:ascii="Calibri"/>
          <w:sz w:val="24"/>
        </w:rPr>
        <w:t>Government</w:t>
      </w:r>
      <w:r w:rsidRPr="00150EDC">
        <w:rPr>
          <w:rFonts w:ascii="Calibri"/>
          <w:spacing w:val="-3"/>
          <w:sz w:val="24"/>
        </w:rPr>
        <w:t xml:space="preserve"> </w:t>
      </w:r>
      <w:r w:rsidRPr="00150EDC">
        <w:rPr>
          <w:rFonts w:ascii="Calibri"/>
          <w:sz w:val="24"/>
        </w:rPr>
        <w:t>Data</w:t>
      </w:r>
      <w:r w:rsidRPr="00150EDC">
        <w:rPr>
          <w:rFonts w:ascii="Calibri"/>
          <w:spacing w:val="-4"/>
          <w:sz w:val="24"/>
        </w:rPr>
        <w:t xml:space="preserve"> </w:t>
      </w:r>
      <w:r w:rsidRPr="00150EDC">
        <w:rPr>
          <w:rFonts w:ascii="Calibri"/>
          <w:sz w:val="24"/>
        </w:rPr>
        <w:t>at</w:t>
      </w:r>
      <w:r w:rsidRPr="00150EDC">
        <w:rPr>
          <w:rFonts w:ascii="Calibri"/>
          <w:spacing w:val="-1"/>
          <w:sz w:val="24"/>
        </w:rPr>
        <w:t xml:space="preserve"> </w:t>
      </w:r>
      <w:r w:rsidRPr="00150EDC">
        <w:rPr>
          <w:rFonts w:ascii="Calibri"/>
          <w:sz w:val="24"/>
        </w:rPr>
        <w:t>the</w:t>
      </w:r>
      <w:r w:rsidRPr="00150EDC">
        <w:rPr>
          <w:rFonts w:ascii="Calibri"/>
          <w:spacing w:val="-3"/>
          <w:sz w:val="24"/>
        </w:rPr>
        <w:t xml:space="preserve"> </w:t>
      </w:r>
      <w:r w:rsidRPr="00150EDC">
        <w:rPr>
          <w:rFonts w:ascii="Calibri"/>
          <w:sz w:val="24"/>
        </w:rPr>
        <w:t>end</w:t>
      </w:r>
      <w:r w:rsidRPr="00150EDC">
        <w:rPr>
          <w:rFonts w:ascii="Calibri"/>
          <w:spacing w:val="-1"/>
          <w:sz w:val="24"/>
        </w:rPr>
        <w:t xml:space="preserve"> </w:t>
      </w:r>
      <w:r w:rsidRPr="00150EDC">
        <w:rPr>
          <w:rFonts w:ascii="Calibri"/>
          <w:sz w:val="24"/>
        </w:rPr>
        <w:t>of</w:t>
      </w:r>
      <w:r w:rsidRPr="00150EDC">
        <w:rPr>
          <w:rFonts w:ascii="Calibri"/>
          <w:spacing w:val="-1"/>
          <w:sz w:val="24"/>
        </w:rPr>
        <w:t xml:space="preserve"> </w:t>
      </w:r>
      <w:r w:rsidRPr="00150EDC">
        <w:rPr>
          <w:rFonts w:ascii="Calibri"/>
          <w:sz w:val="24"/>
        </w:rPr>
        <w:t>life</w:t>
      </w:r>
      <w:r w:rsidRPr="00150EDC">
        <w:rPr>
          <w:rFonts w:ascii="Calibri"/>
          <w:spacing w:val="-3"/>
          <w:sz w:val="24"/>
        </w:rPr>
        <w:t xml:space="preserve"> </w:t>
      </w:r>
      <w:r w:rsidRPr="00150EDC">
        <w:rPr>
          <w:rFonts w:ascii="Calibri"/>
          <w:sz w:val="24"/>
        </w:rPr>
        <w:t>of</w:t>
      </w:r>
      <w:r w:rsidRPr="00150EDC">
        <w:rPr>
          <w:rFonts w:ascii="Calibri"/>
          <w:spacing w:val="-2"/>
          <w:sz w:val="24"/>
        </w:rPr>
        <w:t xml:space="preserve"> </w:t>
      </w:r>
      <w:r w:rsidRPr="00150EDC">
        <w:rPr>
          <w:rFonts w:ascii="Calibri"/>
          <w:sz w:val="24"/>
        </w:rPr>
        <w:t>that media using Good Industry Practice;</w:t>
      </w:r>
    </w:p>
    <w:p w14:paraId="06293973" w14:textId="77777777" w:rsidR="004C7180" w:rsidRPr="00150EDC" w:rsidRDefault="00CF0754" w:rsidP="00B320C7">
      <w:pPr>
        <w:pStyle w:val="ListParagraph"/>
        <w:numPr>
          <w:ilvl w:val="0"/>
          <w:numId w:val="160"/>
        </w:numPr>
        <w:tabs>
          <w:tab w:val="left" w:pos="1491"/>
          <w:tab w:val="left" w:pos="1494"/>
        </w:tabs>
        <w:spacing w:before="15"/>
        <w:ind w:right="596"/>
        <w:rPr>
          <w:rFonts w:ascii="Calibri"/>
          <w:sz w:val="24"/>
        </w:rPr>
      </w:pPr>
      <w:r w:rsidRPr="00150EDC">
        <w:rPr>
          <w:rFonts w:ascii="Calibri"/>
          <w:sz w:val="24"/>
        </w:rPr>
        <w:t>securely</w:t>
      </w:r>
      <w:r w:rsidRPr="00150EDC">
        <w:rPr>
          <w:rFonts w:ascii="Calibri"/>
          <w:spacing w:val="-2"/>
          <w:sz w:val="24"/>
        </w:rPr>
        <w:t xml:space="preserve"> </w:t>
      </w:r>
      <w:r w:rsidRPr="00150EDC">
        <w:rPr>
          <w:rFonts w:ascii="Calibri"/>
          <w:sz w:val="24"/>
        </w:rPr>
        <w:t>erase</w:t>
      </w:r>
      <w:r w:rsidRPr="00150EDC">
        <w:rPr>
          <w:rFonts w:ascii="Calibri"/>
          <w:spacing w:val="-4"/>
          <w:sz w:val="24"/>
        </w:rPr>
        <w:t xml:space="preserve"> </w:t>
      </w:r>
      <w:r w:rsidRPr="00150EDC">
        <w:rPr>
          <w:rFonts w:ascii="Calibri"/>
          <w:sz w:val="24"/>
        </w:rPr>
        <w:t>all</w:t>
      </w:r>
      <w:r w:rsidRPr="00150EDC">
        <w:rPr>
          <w:rFonts w:ascii="Calibri"/>
          <w:spacing w:val="-1"/>
          <w:sz w:val="24"/>
        </w:rPr>
        <w:t xml:space="preserve"> </w:t>
      </w:r>
      <w:r w:rsidRPr="00150EDC">
        <w:rPr>
          <w:rFonts w:ascii="Calibri"/>
          <w:sz w:val="24"/>
        </w:rPr>
        <w:t>Government</w:t>
      </w:r>
      <w:r w:rsidRPr="00150EDC">
        <w:rPr>
          <w:rFonts w:ascii="Calibri"/>
          <w:spacing w:val="-3"/>
          <w:sz w:val="24"/>
        </w:rPr>
        <w:t xml:space="preserve"> </w:t>
      </w:r>
      <w:r w:rsidRPr="00150EDC">
        <w:rPr>
          <w:rFonts w:ascii="Calibri"/>
          <w:sz w:val="24"/>
        </w:rPr>
        <w:t>Data</w:t>
      </w:r>
      <w:r w:rsidRPr="00150EDC">
        <w:rPr>
          <w:rFonts w:ascii="Calibri"/>
          <w:spacing w:val="-2"/>
          <w:sz w:val="24"/>
        </w:rPr>
        <w:t xml:space="preserve"> </w:t>
      </w:r>
      <w:r w:rsidRPr="00150EDC">
        <w:rPr>
          <w:rFonts w:ascii="Calibri"/>
          <w:sz w:val="24"/>
        </w:rPr>
        <w:t>and</w:t>
      </w:r>
      <w:r w:rsidRPr="00150EDC">
        <w:rPr>
          <w:rFonts w:ascii="Calibri"/>
          <w:spacing w:val="-3"/>
          <w:sz w:val="24"/>
        </w:rPr>
        <w:t xml:space="preserve"> </w:t>
      </w:r>
      <w:r w:rsidRPr="00150EDC">
        <w:rPr>
          <w:rFonts w:ascii="Calibri"/>
          <w:sz w:val="24"/>
        </w:rPr>
        <w:t>any</w:t>
      </w:r>
      <w:r w:rsidRPr="00150EDC">
        <w:rPr>
          <w:rFonts w:ascii="Calibri"/>
          <w:spacing w:val="-2"/>
          <w:sz w:val="24"/>
        </w:rPr>
        <w:t xml:space="preserve"> </w:t>
      </w:r>
      <w:r w:rsidRPr="00150EDC">
        <w:rPr>
          <w:rFonts w:ascii="Calibri"/>
          <w:sz w:val="24"/>
        </w:rPr>
        <w:t>copies</w:t>
      </w:r>
      <w:r w:rsidRPr="00150EDC">
        <w:rPr>
          <w:rFonts w:ascii="Calibri"/>
          <w:spacing w:val="-2"/>
          <w:sz w:val="24"/>
        </w:rPr>
        <w:t xml:space="preserve"> </w:t>
      </w:r>
      <w:r w:rsidRPr="00150EDC">
        <w:rPr>
          <w:rFonts w:ascii="Calibri"/>
          <w:sz w:val="24"/>
        </w:rPr>
        <w:t>it</w:t>
      </w:r>
      <w:r w:rsidRPr="00150EDC">
        <w:rPr>
          <w:rFonts w:ascii="Calibri"/>
          <w:spacing w:val="-3"/>
          <w:sz w:val="24"/>
        </w:rPr>
        <w:t xml:space="preserve"> </w:t>
      </w:r>
      <w:r w:rsidRPr="00150EDC">
        <w:rPr>
          <w:rFonts w:ascii="Calibri"/>
          <w:sz w:val="24"/>
        </w:rPr>
        <w:t>holds</w:t>
      </w:r>
      <w:r w:rsidRPr="00150EDC">
        <w:rPr>
          <w:rFonts w:ascii="Calibri"/>
          <w:spacing w:val="-4"/>
          <w:sz w:val="24"/>
        </w:rPr>
        <w:t xml:space="preserve"> </w:t>
      </w:r>
      <w:r w:rsidRPr="00150EDC">
        <w:rPr>
          <w:rFonts w:ascii="Calibri"/>
          <w:sz w:val="24"/>
        </w:rPr>
        <w:t>when</w:t>
      </w:r>
      <w:r w:rsidRPr="00150EDC">
        <w:rPr>
          <w:rFonts w:ascii="Calibri"/>
          <w:spacing w:val="-3"/>
          <w:sz w:val="24"/>
        </w:rPr>
        <w:t xml:space="preserve"> </w:t>
      </w:r>
      <w:r w:rsidRPr="00150EDC">
        <w:rPr>
          <w:rFonts w:ascii="Calibri"/>
          <w:sz w:val="24"/>
        </w:rPr>
        <w:t>asked</w:t>
      </w:r>
      <w:r w:rsidRPr="00150EDC">
        <w:rPr>
          <w:rFonts w:ascii="Calibri"/>
          <w:spacing w:val="-3"/>
          <w:sz w:val="24"/>
        </w:rPr>
        <w:t xml:space="preserve"> </w:t>
      </w:r>
      <w:r w:rsidRPr="00150EDC">
        <w:rPr>
          <w:rFonts w:ascii="Calibri"/>
          <w:sz w:val="24"/>
        </w:rPr>
        <w:t>to</w:t>
      </w:r>
      <w:r w:rsidRPr="00150EDC">
        <w:rPr>
          <w:rFonts w:ascii="Calibri"/>
          <w:spacing w:val="-6"/>
          <w:sz w:val="24"/>
        </w:rPr>
        <w:t xml:space="preserve"> </w:t>
      </w:r>
      <w:r w:rsidRPr="00150EDC">
        <w:rPr>
          <w:rFonts w:ascii="Calibri"/>
          <w:sz w:val="24"/>
        </w:rPr>
        <w:t>do</w:t>
      </w:r>
      <w:r w:rsidRPr="00150EDC">
        <w:rPr>
          <w:rFonts w:ascii="Calibri"/>
          <w:spacing w:val="-1"/>
          <w:sz w:val="24"/>
        </w:rPr>
        <w:t xml:space="preserve"> </w:t>
      </w:r>
      <w:r w:rsidRPr="00150EDC">
        <w:rPr>
          <w:rFonts w:ascii="Calibri"/>
          <w:sz w:val="24"/>
        </w:rPr>
        <w:t>so</w:t>
      </w:r>
      <w:r w:rsidRPr="00150EDC">
        <w:rPr>
          <w:rFonts w:ascii="Calibri"/>
          <w:spacing w:val="-4"/>
          <w:sz w:val="24"/>
        </w:rPr>
        <w:t xml:space="preserve"> </w:t>
      </w:r>
      <w:r w:rsidRPr="00150EDC">
        <w:rPr>
          <w:rFonts w:ascii="Calibri"/>
          <w:sz w:val="24"/>
        </w:rPr>
        <w:t>by</w:t>
      </w:r>
      <w:r w:rsidRPr="00150EDC">
        <w:rPr>
          <w:rFonts w:ascii="Calibri"/>
          <w:spacing w:val="-2"/>
          <w:sz w:val="24"/>
        </w:rPr>
        <w:t xml:space="preserve"> </w:t>
      </w:r>
      <w:r w:rsidRPr="00150EDC">
        <w:rPr>
          <w:rFonts w:ascii="Calibri"/>
          <w:sz w:val="24"/>
        </w:rPr>
        <w:t>CCS</w:t>
      </w:r>
      <w:r w:rsidRPr="00150EDC">
        <w:rPr>
          <w:rFonts w:ascii="Calibri"/>
          <w:spacing w:val="-2"/>
          <w:sz w:val="24"/>
        </w:rPr>
        <w:t xml:space="preserve"> </w:t>
      </w:r>
      <w:r w:rsidRPr="00150EDC">
        <w:rPr>
          <w:rFonts w:ascii="Calibri"/>
          <w:sz w:val="24"/>
        </w:rPr>
        <w:t>or</w:t>
      </w:r>
      <w:r w:rsidRPr="00150EDC">
        <w:rPr>
          <w:rFonts w:ascii="Calibri"/>
          <w:spacing w:val="-3"/>
          <w:sz w:val="24"/>
        </w:rPr>
        <w:t xml:space="preserve"> </w:t>
      </w:r>
      <w:r w:rsidRPr="00150EDC">
        <w:rPr>
          <w:rFonts w:ascii="Calibri"/>
          <w:sz w:val="24"/>
        </w:rPr>
        <w:t>the</w:t>
      </w:r>
      <w:r w:rsidRPr="00150EDC">
        <w:rPr>
          <w:rFonts w:ascii="Calibri"/>
          <w:spacing w:val="-1"/>
          <w:sz w:val="24"/>
        </w:rPr>
        <w:t xml:space="preserve"> </w:t>
      </w:r>
      <w:r w:rsidRPr="00150EDC">
        <w:rPr>
          <w:rFonts w:ascii="Calibri"/>
          <w:sz w:val="24"/>
        </w:rPr>
        <w:t>Buyer unless required by Law to retain it; and</w:t>
      </w:r>
    </w:p>
    <w:p w14:paraId="768DA78C" w14:textId="77777777" w:rsidR="004C7180" w:rsidRPr="00150EDC" w:rsidRDefault="00CF0754" w:rsidP="00B320C7">
      <w:pPr>
        <w:pStyle w:val="ListParagraph"/>
        <w:numPr>
          <w:ilvl w:val="0"/>
          <w:numId w:val="160"/>
        </w:numPr>
        <w:tabs>
          <w:tab w:val="left" w:pos="1491"/>
          <w:tab w:val="left" w:pos="1494"/>
        </w:tabs>
        <w:spacing w:before="19" w:line="242" w:lineRule="auto"/>
        <w:ind w:right="780"/>
        <w:rPr>
          <w:rFonts w:ascii="Calibri"/>
          <w:sz w:val="24"/>
        </w:rPr>
      </w:pPr>
      <w:r w:rsidRPr="00150EDC">
        <w:rPr>
          <w:rFonts w:ascii="Calibri"/>
          <w:sz w:val="24"/>
        </w:rPr>
        <w:t>indemnifies</w:t>
      </w:r>
      <w:r w:rsidRPr="00150EDC">
        <w:rPr>
          <w:rFonts w:ascii="Calibri"/>
          <w:spacing w:val="-2"/>
          <w:sz w:val="24"/>
        </w:rPr>
        <w:t xml:space="preserve"> </w:t>
      </w:r>
      <w:r w:rsidRPr="00150EDC">
        <w:rPr>
          <w:rFonts w:ascii="Calibri"/>
          <w:sz w:val="24"/>
        </w:rPr>
        <w:t>CCS</w:t>
      </w:r>
      <w:r w:rsidRPr="00150EDC">
        <w:rPr>
          <w:rFonts w:ascii="Calibri"/>
          <w:spacing w:val="-2"/>
          <w:sz w:val="24"/>
        </w:rPr>
        <w:t xml:space="preserve"> </w:t>
      </w:r>
      <w:r w:rsidRPr="00150EDC">
        <w:rPr>
          <w:rFonts w:ascii="Calibri"/>
          <w:sz w:val="24"/>
        </w:rPr>
        <w:t>and</w:t>
      </w:r>
      <w:r w:rsidRPr="00150EDC">
        <w:rPr>
          <w:rFonts w:ascii="Calibri"/>
          <w:spacing w:val="-1"/>
          <w:sz w:val="24"/>
        </w:rPr>
        <w:t xml:space="preserve"> </w:t>
      </w:r>
      <w:r w:rsidRPr="00150EDC">
        <w:rPr>
          <w:rFonts w:ascii="Calibri"/>
          <w:sz w:val="24"/>
        </w:rPr>
        <w:t>each</w:t>
      </w:r>
      <w:r w:rsidRPr="00150EDC">
        <w:rPr>
          <w:rFonts w:ascii="Calibri"/>
          <w:spacing w:val="-1"/>
          <w:sz w:val="24"/>
        </w:rPr>
        <w:t xml:space="preserve"> </w:t>
      </w:r>
      <w:r w:rsidRPr="00150EDC">
        <w:rPr>
          <w:rFonts w:ascii="Calibri"/>
          <w:sz w:val="24"/>
        </w:rPr>
        <w:t>Buyer</w:t>
      </w:r>
      <w:r w:rsidRPr="00150EDC">
        <w:rPr>
          <w:rFonts w:ascii="Calibri"/>
          <w:spacing w:val="-2"/>
          <w:sz w:val="24"/>
        </w:rPr>
        <w:t xml:space="preserve"> </w:t>
      </w:r>
      <w:r w:rsidRPr="00150EDC">
        <w:rPr>
          <w:rFonts w:ascii="Calibri"/>
          <w:sz w:val="24"/>
        </w:rPr>
        <w:t>against</w:t>
      </w:r>
      <w:r w:rsidRPr="00150EDC">
        <w:rPr>
          <w:rFonts w:ascii="Calibri"/>
          <w:spacing w:val="-3"/>
          <w:sz w:val="24"/>
        </w:rPr>
        <w:t xml:space="preserve"> </w:t>
      </w:r>
      <w:r w:rsidRPr="00150EDC">
        <w:rPr>
          <w:rFonts w:ascii="Calibri"/>
          <w:sz w:val="24"/>
        </w:rPr>
        <w:t>any</w:t>
      </w:r>
      <w:r w:rsidRPr="00150EDC">
        <w:rPr>
          <w:rFonts w:ascii="Calibri"/>
          <w:spacing w:val="-5"/>
          <w:sz w:val="24"/>
        </w:rPr>
        <w:t xml:space="preserve"> </w:t>
      </w:r>
      <w:r w:rsidRPr="00150EDC">
        <w:rPr>
          <w:rFonts w:ascii="Calibri"/>
          <w:sz w:val="24"/>
        </w:rPr>
        <w:t>and</w:t>
      </w:r>
      <w:r w:rsidRPr="00150EDC">
        <w:rPr>
          <w:rFonts w:ascii="Calibri"/>
          <w:spacing w:val="-5"/>
          <w:sz w:val="24"/>
        </w:rPr>
        <w:t xml:space="preserve"> </w:t>
      </w:r>
      <w:r w:rsidRPr="00150EDC">
        <w:rPr>
          <w:rFonts w:ascii="Calibri"/>
          <w:sz w:val="24"/>
        </w:rPr>
        <w:t>all</w:t>
      </w:r>
      <w:r w:rsidRPr="00150EDC">
        <w:rPr>
          <w:rFonts w:ascii="Calibri"/>
          <w:spacing w:val="-1"/>
          <w:sz w:val="24"/>
        </w:rPr>
        <w:t xml:space="preserve"> </w:t>
      </w:r>
      <w:r w:rsidRPr="00150EDC">
        <w:rPr>
          <w:rFonts w:ascii="Calibri"/>
          <w:sz w:val="24"/>
        </w:rPr>
        <w:t>Losses</w:t>
      </w:r>
      <w:r w:rsidRPr="00150EDC">
        <w:rPr>
          <w:rFonts w:ascii="Calibri"/>
          <w:spacing w:val="-2"/>
          <w:sz w:val="24"/>
        </w:rPr>
        <w:t xml:space="preserve"> </w:t>
      </w:r>
      <w:r w:rsidRPr="00150EDC">
        <w:rPr>
          <w:rFonts w:ascii="Calibri"/>
          <w:sz w:val="24"/>
        </w:rPr>
        <w:t>incurred</w:t>
      </w:r>
      <w:r w:rsidRPr="00150EDC">
        <w:rPr>
          <w:rFonts w:ascii="Calibri"/>
          <w:spacing w:val="-1"/>
          <w:sz w:val="24"/>
        </w:rPr>
        <w:t xml:space="preserve"> </w:t>
      </w:r>
      <w:r w:rsidRPr="00150EDC">
        <w:rPr>
          <w:rFonts w:ascii="Calibri"/>
          <w:sz w:val="24"/>
        </w:rPr>
        <w:t>if</w:t>
      </w:r>
      <w:r w:rsidRPr="00150EDC">
        <w:rPr>
          <w:rFonts w:ascii="Calibri"/>
          <w:spacing w:val="-3"/>
          <w:sz w:val="24"/>
        </w:rPr>
        <w:t xml:space="preserve"> </w:t>
      </w:r>
      <w:r w:rsidRPr="00150EDC">
        <w:rPr>
          <w:rFonts w:ascii="Calibri"/>
          <w:sz w:val="24"/>
        </w:rPr>
        <w:t>the</w:t>
      </w:r>
      <w:r w:rsidRPr="00150EDC">
        <w:rPr>
          <w:rFonts w:ascii="Calibri"/>
          <w:spacing w:val="-6"/>
          <w:sz w:val="24"/>
        </w:rPr>
        <w:t xml:space="preserve"> </w:t>
      </w:r>
      <w:r w:rsidRPr="00150EDC">
        <w:rPr>
          <w:rFonts w:ascii="Calibri"/>
          <w:sz w:val="24"/>
        </w:rPr>
        <w:t>Supplier</w:t>
      </w:r>
      <w:r w:rsidRPr="00150EDC">
        <w:rPr>
          <w:rFonts w:ascii="Calibri"/>
          <w:spacing w:val="-3"/>
          <w:sz w:val="24"/>
        </w:rPr>
        <w:t xml:space="preserve"> </w:t>
      </w:r>
      <w:r w:rsidRPr="00150EDC">
        <w:rPr>
          <w:rFonts w:ascii="Calibri"/>
          <w:sz w:val="24"/>
        </w:rPr>
        <w:t>breaches</w:t>
      </w:r>
      <w:r w:rsidRPr="00150EDC">
        <w:rPr>
          <w:rFonts w:ascii="Calibri"/>
          <w:spacing w:val="-2"/>
          <w:sz w:val="24"/>
        </w:rPr>
        <w:t xml:space="preserve"> </w:t>
      </w:r>
      <w:r w:rsidRPr="00150EDC">
        <w:rPr>
          <w:rFonts w:ascii="Calibri"/>
          <w:sz w:val="24"/>
        </w:rPr>
        <w:t>Clause 14 and any Data Protection Legislation.</w:t>
      </w:r>
    </w:p>
    <w:p w14:paraId="33619D99" w14:textId="77777777" w:rsidR="004C7180" w:rsidRPr="00150EDC" w:rsidRDefault="004C7180">
      <w:pPr>
        <w:pStyle w:val="BodyText"/>
        <w:spacing w:before="4"/>
        <w:rPr>
          <w:rFonts w:ascii="Calibri"/>
          <w:sz w:val="25"/>
        </w:rPr>
      </w:pPr>
    </w:p>
    <w:p w14:paraId="42E7B440" w14:textId="77777777" w:rsidR="004C7180" w:rsidRPr="00150EDC" w:rsidRDefault="00CF0754" w:rsidP="00B320C7">
      <w:pPr>
        <w:pStyle w:val="Heading1"/>
        <w:numPr>
          <w:ilvl w:val="0"/>
          <w:numId w:val="182"/>
        </w:numPr>
        <w:tabs>
          <w:tab w:val="left" w:pos="1217"/>
        </w:tabs>
        <w:ind w:left="1217" w:hanging="650"/>
        <w:jc w:val="left"/>
        <w:rPr>
          <w:rFonts w:ascii="Calibri"/>
        </w:rPr>
      </w:pPr>
      <w:r w:rsidRPr="00150EDC">
        <w:rPr>
          <w:rFonts w:ascii="Calibri"/>
        </w:rPr>
        <w:t>What</w:t>
      </w:r>
      <w:r w:rsidRPr="00150EDC">
        <w:rPr>
          <w:rFonts w:ascii="Calibri"/>
          <w:spacing w:val="-1"/>
        </w:rPr>
        <w:t xml:space="preserve"> </w:t>
      </w:r>
      <w:r w:rsidRPr="00150EDC">
        <w:rPr>
          <w:rFonts w:ascii="Calibri"/>
        </w:rPr>
        <w:t>you must</w:t>
      </w:r>
      <w:r w:rsidRPr="00150EDC">
        <w:rPr>
          <w:rFonts w:ascii="Calibri"/>
          <w:spacing w:val="-3"/>
        </w:rPr>
        <w:t xml:space="preserve"> </w:t>
      </w:r>
      <w:r w:rsidRPr="00150EDC">
        <w:rPr>
          <w:rFonts w:ascii="Calibri"/>
        </w:rPr>
        <w:t>keep</w:t>
      </w:r>
      <w:r w:rsidRPr="00150EDC">
        <w:rPr>
          <w:rFonts w:ascii="Calibri"/>
          <w:spacing w:val="-2"/>
        </w:rPr>
        <w:t xml:space="preserve"> confidential</w:t>
      </w:r>
    </w:p>
    <w:p w14:paraId="4DFAC188" w14:textId="77777777" w:rsidR="004C7180" w:rsidRPr="00150EDC" w:rsidRDefault="00CF0754" w:rsidP="00B320C7">
      <w:pPr>
        <w:pStyle w:val="ListParagraph"/>
        <w:numPr>
          <w:ilvl w:val="1"/>
          <w:numId w:val="182"/>
        </w:numPr>
        <w:tabs>
          <w:tab w:val="left" w:pos="1065"/>
        </w:tabs>
        <w:spacing w:before="21"/>
        <w:ind w:left="1065" w:hanging="565"/>
        <w:rPr>
          <w:rFonts w:ascii="Calibri"/>
          <w:sz w:val="24"/>
        </w:rPr>
      </w:pPr>
      <w:r w:rsidRPr="00150EDC">
        <w:rPr>
          <w:rFonts w:ascii="Calibri"/>
          <w:sz w:val="24"/>
        </w:rPr>
        <w:t>Each</w:t>
      </w:r>
      <w:r w:rsidRPr="00150EDC">
        <w:rPr>
          <w:rFonts w:ascii="Calibri"/>
          <w:spacing w:val="-3"/>
          <w:sz w:val="24"/>
        </w:rPr>
        <w:t xml:space="preserve"> </w:t>
      </w:r>
      <w:r w:rsidRPr="00150EDC">
        <w:rPr>
          <w:rFonts w:ascii="Calibri"/>
          <w:sz w:val="24"/>
        </w:rPr>
        <w:t>Party</w:t>
      </w:r>
      <w:r w:rsidRPr="00150EDC">
        <w:rPr>
          <w:rFonts w:ascii="Calibri"/>
          <w:spacing w:val="-2"/>
          <w:sz w:val="24"/>
        </w:rPr>
        <w:t xml:space="preserve"> must:</w:t>
      </w:r>
    </w:p>
    <w:p w14:paraId="27DF66C8" w14:textId="77777777" w:rsidR="004C7180" w:rsidRPr="00150EDC" w:rsidRDefault="004C7180">
      <w:pPr>
        <w:pStyle w:val="BodyText"/>
        <w:spacing w:before="6"/>
        <w:rPr>
          <w:rFonts w:ascii="Calibri"/>
          <w:sz w:val="25"/>
        </w:rPr>
      </w:pPr>
    </w:p>
    <w:p w14:paraId="4076E178" w14:textId="77777777" w:rsidR="004C7180" w:rsidRPr="00150EDC" w:rsidRDefault="00CF0754" w:rsidP="00B320C7">
      <w:pPr>
        <w:pStyle w:val="ListParagraph"/>
        <w:numPr>
          <w:ilvl w:val="0"/>
          <w:numId w:val="159"/>
        </w:numPr>
        <w:tabs>
          <w:tab w:val="left" w:pos="1491"/>
        </w:tabs>
        <w:ind w:left="1491" w:hanging="425"/>
        <w:jc w:val="both"/>
        <w:rPr>
          <w:rFonts w:ascii="Calibri"/>
          <w:sz w:val="24"/>
        </w:rPr>
      </w:pPr>
      <w:r w:rsidRPr="00150EDC">
        <w:rPr>
          <w:rFonts w:ascii="Calibri"/>
          <w:sz w:val="24"/>
        </w:rPr>
        <w:t>keep</w:t>
      </w:r>
      <w:r w:rsidRPr="00150EDC">
        <w:rPr>
          <w:rFonts w:ascii="Calibri"/>
          <w:spacing w:val="-6"/>
          <w:sz w:val="24"/>
        </w:rPr>
        <w:t xml:space="preserve"> </w:t>
      </w:r>
      <w:r w:rsidRPr="00150EDC">
        <w:rPr>
          <w:rFonts w:ascii="Calibri"/>
          <w:sz w:val="24"/>
        </w:rPr>
        <w:t>all</w:t>
      </w:r>
      <w:r w:rsidRPr="00150EDC">
        <w:rPr>
          <w:rFonts w:ascii="Calibri"/>
          <w:spacing w:val="-3"/>
          <w:sz w:val="24"/>
        </w:rPr>
        <w:t xml:space="preserve"> </w:t>
      </w:r>
      <w:r w:rsidRPr="00150EDC">
        <w:rPr>
          <w:rFonts w:ascii="Calibri"/>
          <w:sz w:val="24"/>
        </w:rPr>
        <w:t>Confidential</w:t>
      </w:r>
      <w:r w:rsidRPr="00150EDC">
        <w:rPr>
          <w:rFonts w:ascii="Calibri"/>
          <w:spacing w:val="-6"/>
          <w:sz w:val="24"/>
        </w:rPr>
        <w:t xml:space="preserve"> </w:t>
      </w:r>
      <w:r w:rsidRPr="00150EDC">
        <w:rPr>
          <w:rFonts w:ascii="Calibri"/>
          <w:sz w:val="24"/>
        </w:rPr>
        <w:t>Information</w:t>
      </w:r>
      <w:r w:rsidRPr="00150EDC">
        <w:rPr>
          <w:rFonts w:ascii="Calibri"/>
          <w:spacing w:val="-4"/>
          <w:sz w:val="24"/>
        </w:rPr>
        <w:t xml:space="preserve"> </w:t>
      </w:r>
      <w:r w:rsidRPr="00150EDC">
        <w:rPr>
          <w:rFonts w:ascii="Calibri"/>
          <w:sz w:val="24"/>
        </w:rPr>
        <w:t>it</w:t>
      </w:r>
      <w:r w:rsidRPr="00150EDC">
        <w:rPr>
          <w:rFonts w:ascii="Calibri"/>
          <w:spacing w:val="-3"/>
          <w:sz w:val="24"/>
        </w:rPr>
        <w:t xml:space="preserve"> </w:t>
      </w:r>
      <w:r w:rsidRPr="00150EDC">
        <w:rPr>
          <w:rFonts w:ascii="Calibri"/>
          <w:sz w:val="24"/>
        </w:rPr>
        <w:t>receives</w:t>
      </w:r>
      <w:r w:rsidRPr="00150EDC">
        <w:rPr>
          <w:rFonts w:ascii="Calibri"/>
          <w:spacing w:val="-6"/>
          <w:sz w:val="24"/>
        </w:rPr>
        <w:t xml:space="preserve"> </w:t>
      </w:r>
      <w:r w:rsidRPr="00150EDC">
        <w:rPr>
          <w:rFonts w:ascii="Calibri"/>
          <w:sz w:val="24"/>
        </w:rPr>
        <w:t>confidential</w:t>
      </w:r>
      <w:r w:rsidRPr="00150EDC">
        <w:rPr>
          <w:rFonts w:ascii="Calibri"/>
          <w:spacing w:val="-3"/>
          <w:sz w:val="24"/>
        </w:rPr>
        <w:t xml:space="preserve"> </w:t>
      </w:r>
      <w:r w:rsidRPr="00150EDC">
        <w:rPr>
          <w:rFonts w:ascii="Calibri"/>
          <w:sz w:val="24"/>
        </w:rPr>
        <w:t>and</w:t>
      </w:r>
      <w:r w:rsidRPr="00150EDC">
        <w:rPr>
          <w:rFonts w:ascii="Calibri"/>
          <w:spacing w:val="-5"/>
          <w:sz w:val="24"/>
        </w:rPr>
        <w:t xml:space="preserve"> </w:t>
      </w:r>
      <w:r w:rsidRPr="00150EDC">
        <w:rPr>
          <w:rFonts w:ascii="Calibri"/>
          <w:spacing w:val="-2"/>
          <w:sz w:val="24"/>
        </w:rPr>
        <w:t>secure;</w:t>
      </w:r>
    </w:p>
    <w:p w14:paraId="2BB49821" w14:textId="77777777" w:rsidR="004C7180" w:rsidRPr="00150EDC" w:rsidRDefault="00CF0754" w:rsidP="00B320C7">
      <w:pPr>
        <w:pStyle w:val="ListParagraph"/>
        <w:numPr>
          <w:ilvl w:val="0"/>
          <w:numId w:val="159"/>
        </w:numPr>
        <w:tabs>
          <w:tab w:val="left" w:pos="1491"/>
          <w:tab w:val="left" w:pos="1494"/>
        </w:tabs>
        <w:spacing w:before="19"/>
        <w:ind w:right="655"/>
        <w:jc w:val="both"/>
        <w:rPr>
          <w:rFonts w:ascii="Calibri" w:hAnsi="Calibri"/>
          <w:sz w:val="24"/>
        </w:rPr>
      </w:pPr>
      <w:r w:rsidRPr="00150EDC">
        <w:rPr>
          <w:rFonts w:ascii="Calibri" w:hAnsi="Calibri"/>
          <w:sz w:val="24"/>
        </w:rPr>
        <w:t>except as expressly set out in the Contract at Clauses 15.2 to 15.4 or elsewhere in the Contract, not disclose,</w:t>
      </w:r>
      <w:r w:rsidRPr="00150EDC">
        <w:rPr>
          <w:rFonts w:ascii="Calibri" w:hAnsi="Calibri"/>
          <w:spacing w:val="-3"/>
          <w:sz w:val="24"/>
        </w:rPr>
        <w:t xml:space="preserve"> </w:t>
      </w:r>
      <w:r w:rsidRPr="00150EDC">
        <w:rPr>
          <w:rFonts w:ascii="Calibri" w:hAnsi="Calibri"/>
          <w:sz w:val="24"/>
        </w:rPr>
        <w:t>use</w:t>
      </w:r>
      <w:r w:rsidRPr="00150EDC">
        <w:rPr>
          <w:rFonts w:ascii="Calibri" w:hAnsi="Calibri"/>
          <w:spacing w:val="-2"/>
          <w:sz w:val="24"/>
        </w:rPr>
        <w:t xml:space="preserve"> </w:t>
      </w:r>
      <w:r w:rsidRPr="00150EDC">
        <w:rPr>
          <w:rFonts w:ascii="Calibri" w:hAnsi="Calibri"/>
          <w:sz w:val="24"/>
        </w:rPr>
        <w:t>or</w:t>
      </w:r>
      <w:r w:rsidRPr="00150EDC">
        <w:rPr>
          <w:rFonts w:ascii="Calibri" w:hAnsi="Calibri"/>
          <w:spacing w:val="-4"/>
          <w:sz w:val="24"/>
        </w:rPr>
        <w:t xml:space="preserve"> </w:t>
      </w:r>
      <w:r w:rsidRPr="00150EDC">
        <w:rPr>
          <w:rFonts w:ascii="Calibri" w:hAnsi="Calibri"/>
          <w:sz w:val="24"/>
        </w:rPr>
        <w:t>exploit</w:t>
      </w:r>
      <w:r w:rsidRPr="00150EDC">
        <w:rPr>
          <w:rFonts w:ascii="Calibri" w:hAnsi="Calibri"/>
          <w:spacing w:val="-4"/>
          <w:sz w:val="24"/>
        </w:rPr>
        <w:t xml:space="preserve"> </w:t>
      </w:r>
      <w:r w:rsidRPr="00150EDC">
        <w:rPr>
          <w:rFonts w:ascii="Calibri" w:hAnsi="Calibri"/>
          <w:sz w:val="24"/>
        </w:rPr>
        <w:t>the</w:t>
      </w:r>
      <w:r w:rsidRPr="00150EDC">
        <w:rPr>
          <w:rFonts w:ascii="Calibri" w:hAnsi="Calibri"/>
          <w:spacing w:val="-4"/>
          <w:sz w:val="24"/>
        </w:rPr>
        <w:t xml:space="preserve"> </w:t>
      </w:r>
      <w:r w:rsidRPr="00150EDC">
        <w:rPr>
          <w:rFonts w:ascii="Calibri" w:hAnsi="Calibri"/>
          <w:sz w:val="24"/>
        </w:rPr>
        <w:t>Disclosing</w:t>
      </w:r>
      <w:r w:rsidRPr="00150EDC">
        <w:rPr>
          <w:rFonts w:ascii="Calibri" w:hAnsi="Calibri"/>
          <w:spacing w:val="-5"/>
          <w:sz w:val="24"/>
        </w:rPr>
        <w:t xml:space="preserve"> </w:t>
      </w:r>
      <w:r w:rsidRPr="00150EDC">
        <w:rPr>
          <w:rFonts w:ascii="Calibri" w:hAnsi="Calibri"/>
          <w:sz w:val="24"/>
        </w:rPr>
        <w:t>Party’s</w:t>
      </w:r>
      <w:r w:rsidRPr="00150EDC">
        <w:rPr>
          <w:rFonts w:ascii="Calibri" w:hAnsi="Calibri"/>
          <w:spacing w:val="-4"/>
          <w:sz w:val="24"/>
        </w:rPr>
        <w:t xml:space="preserve"> </w:t>
      </w:r>
      <w:r w:rsidRPr="00150EDC">
        <w:rPr>
          <w:rFonts w:ascii="Calibri" w:hAnsi="Calibri"/>
          <w:sz w:val="24"/>
        </w:rPr>
        <w:t>Confidential</w:t>
      </w:r>
      <w:r w:rsidRPr="00150EDC">
        <w:rPr>
          <w:rFonts w:ascii="Calibri" w:hAnsi="Calibri"/>
          <w:spacing w:val="-5"/>
          <w:sz w:val="24"/>
        </w:rPr>
        <w:t xml:space="preserve"> </w:t>
      </w:r>
      <w:r w:rsidRPr="00150EDC">
        <w:rPr>
          <w:rFonts w:ascii="Calibri" w:hAnsi="Calibri"/>
          <w:sz w:val="24"/>
        </w:rPr>
        <w:t>Information</w:t>
      </w:r>
      <w:r w:rsidRPr="00150EDC">
        <w:rPr>
          <w:rFonts w:ascii="Calibri" w:hAnsi="Calibri"/>
          <w:spacing w:val="-4"/>
          <w:sz w:val="24"/>
        </w:rPr>
        <w:t xml:space="preserve"> </w:t>
      </w:r>
      <w:r w:rsidRPr="00150EDC">
        <w:rPr>
          <w:rFonts w:ascii="Calibri" w:hAnsi="Calibri"/>
          <w:sz w:val="24"/>
        </w:rPr>
        <w:t>without</w:t>
      </w:r>
      <w:r w:rsidRPr="00150EDC">
        <w:rPr>
          <w:rFonts w:ascii="Calibri" w:hAnsi="Calibri"/>
          <w:spacing w:val="-4"/>
          <w:sz w:val="24"/>
        </w:rPr>
        <w:t xml:space="preserve"> </w:t>
      </w:r>
      <w:r w:rsidRPr="00150EDC">
        <w:rPr>
          <w:rFonts w:ascii="Calibri" w:hAnsi="Calibri"/>
          <w:sz w:val="24"/>
        </w:rPr>
        <w:t>the</w:t>
      </w:r>
      <w:r w:rsidRPr="00150EDC">
        <w:rPr>
          <w:rFonts w:ascii="Calibri" w:hAnsi="Calibri"/>
          <w:spacing w:val="-5"/>
          <w:sz w:val="24"/>
        </w:rPr>
        <w:t xml:space="preserve"> </w:t>
      </w:r>
      <w:r w:rsidRPr="00150EDC">
        <w:rPr>
          <w:rFonts w:ascii="Calibri" w:hAnsi="Calibri"/>
          <w:sz w:val="24"/>
        </w:rPr>
        <w:t>Disclosing</w:t>
      </w:r>
      <w:r w:rsidRPr="00150EDC">
        <w:rPr>
          <w:rFonts w:ascii="Calibri" w:hAnsi="Calibri"/>
          <w:spacing w:val="-5"/>
          <w:sz w:val="24"/>
        </w:rPr>
        <w:t xml:space="preserve"> </w:t>
      </w:r>
      <w:r w:rsidRPr="00150EDC">
        <w:rPr>
          <w:rFonts w:ascii="Calibri" w:hAnsi="Calibri"/>
          <w:sz w:val="24"/>
        </w:rPr>
        <w:t>Party's prior written consent; and</w:t>
      </w:r>
    </w:p>
    <w:p w14:paraId="4A3CF42B" w14:textId="77777777" w:rsidR="004C7180" w:rsidRPr="00150EDC" w:rsidRDefault="00CF0754" w:rsidP="00B320C7">
      <w:pPr>
        <w:pStyle w:val="ListParagraph"/>
        <w:numPr>
          <w:ilvl w:val="0"/>
          <w:numId w:val="159"/>
        </w:numPr>
        <w:tabs>
          <w:tab w:val="left" w:pos="1492"/>
          <w:tab w:val="left" w:pos="1494"/>
        </w:tabs>
        <w:spacing w:before="22"/>
        <w:ind w:right="635"/>
        <w:jc w:val="both"/>
        <w:rPr>
          <w:rFonts w:ascii="Calibri"/>
          <w:sz w:val="24"/>
        </w:rPr>
      </w:pPr>
      <w:r w:rsidRPr="00150EDC">
        <w:rPr>
          <w:rFonts w:ascii="Calibri"/>
          <w:sz w:val="24"/>
        </w:rPr>
        <w:t>immediately</w:t>
      </w:r>
      <w:r w:rsidRPr="00150EDC">
        <w:rPr>
          <w:rFonts w:ascii="Calibri"/>
          <w:spacing w:val="-3"/>
          <w:sz w:val="24"/>
        </w:rPr>
        <w:t xml:space="preserve"> </w:t>
      </w:r>
      <w:r w:rsidRPr="00150EDC">
        <w:rPr>
          <w:rFonts w:ascii="Calibri"/>
          <w:sz w:val="24"/>
        </w:rPr>
        <w:t>notify</w:t>
      </w:r>
      <w:r w:rsidRPr="00150EDC">
        <w:rPr>
          <w:rFonts w:ascii="Calibri"/>
          <w:spacing w:val="-3"/>
          <w:sz w:val="24"/>
        </w:rPr>
        <w:t xml:space="preserve"> </w:t>
      </w:r>
      <w:r w:rsidRPr="00150EDC">
        <w:rPr>
          <w:rFonts w:ascii="Calibri"/>
          <w:sz w:val="24"/>
        </w:rPr>
        <w:t>the</w:t>
      </w:r>
      <w:r w:rsidRPr="00150EDC">
        <w:rPr>
          <w:rFonts w:ascii="Calibri"/>
          <w:spacing w:val="-4"/>
          <w:sz w:val="24"/>
        </w:rPr>
        <w:t xml:space="preserve"> </w:t>
      </w:r>
      <w:r w:rsidRPr="00150EDC">
        <w:rPr>
          <w:rFonts w:ascii="Calibri"/>
          <w:sz w:val="24"/>
        </w:rPr>
        <w:t>Disclosing</w:t>
      </w:r>
      <w:r w:rsidRPr="00150EDC">
        <w:rPr>
          <w:rFonts w:ascii="Calibri"/>
          <w:spacing w:val="-3"/>
          <w:sz w:val="24"/>
        </w:rPr>
        <w:t xml:space="preserve"> </w:t>
      </w:r>
      <w:r w:rsidRPr="00150EDC">
        <w:rPr>
          <w:rFonts w:ascii="Calibri"/>
          <w:sz w:val="24"/>
        </w:rPr>
        <w:t>Party</w:t>
      </w:r>
      <w:r w:rsidRPr="00150EDC">
        <w:rPr>
          <w:rFonts w:ascii="Calibri"/>
          <w:spacing w:val="-3"/>
          <w:sz w:val="24"/>
        </w:rPr>
        <w:t xml:space="preserve"> </w:t>
      </w:r>
      <w:r w:rsidRPr="00150EDC">
        <w:rPr>
          <w:rFonts w:ascii="Calibri"/>
          <w:sz w:val="24"/>
        </w:rPr>
        <w:t>if</w:t>
      </w:r>
      <w:r w:rsidRPr="00150EDC">
        <w:rPr>
          <w:rFonts w:ascii="Calibri"/>
          <w:spacing w:val="-4"/>
          <w:sz w:val="24"/>
        </w:rPr>
        <w:t xml:space="preserve"> </w:t>
      </w:r>
      <w:r w:rsidRPr="00150EDC">
        <w:rPr>
          <w:rFonts w:ascii="Calibri"/>
          <w:sz w:val="24"/>
        </w:rPr>
        <w:t>it</w:t>
      </w:r>
      <w:r w:rsidRPr="00150EDC">
        <w:rPr>
          <w:rFonts w:ascii="Calibri"/>
          <w:spacing w:val="-4"/>
          <w:sz w:val="24"/>
        </w:rPr>
        <w:t xml:space="preserve"> </w:t>
      </w:r>
      <w:r w:rsidRPr="00150EDC">
        <w:rPr>
          <w:rFonts w:ascii="Calibri"/>
          <w:sz w:val="24"/>
        </w:rPr>
        <w:t>suspects</w:t>
      </w:r>
      <w:r w:rsidRPr="00150EDC">
        <w:rPr>
          <w:rFonts w:ascii="Calibri"/>
          <w:spacing w:val="-3"/>
          <w:sz w:val="24"/>
        </w:rPr>
        <w:t xml:space="preserve"> </w:t>
      </w:r>
      <w:r w:rsidRPr="00150EDC">
        <w:rPr>
          <w:rFonts w:ascii="Calibri"/>
          <w:sz w:val="24"/>
        </w:rPr>
        <w:t>unauthorised</w:t>
      </w:r>
      <w:r w:rsidRPr="00150EDC">
        <w:rPr>
          <w:rFonts w:ascii="Calibri"/>
          <w:spacing w:val="-2"/>
          <w:sz w:val="24"/>
        </w:rPr>
        <w:t xml:space="preserve"> </w:t>
      </w:r>
      <w:r w:rsidRPr="00150EDC">
        <w:rPr>
          <w:rFonts w:ascii="Calibri"/>
          <w:sz w:val="24"/>
        </w:rPr>
        <w:t>access,</w:t>
      </w:r>
      <w:r w:rsidRPr="00150EDC">
        <w:rPr>
          <w:rFonts w:ascii="Calibri"/>
          <w:spacing w:val="-5"/>
          <w:sz w:val="24"/>
        </w:rPr>
        <w:t xml:space="preserve"> </w:t>
      </w:r>
      <w:r w:rsidRPr="00150EDC">
        <w:rPr>
          <w:rFonts w:ascii="Calibri"/>
          <w:sz w:val="24"/>
        </w:rPr>
        <w:t>copying,</w:t>
      </w:r>
      <w:r w:rsidRPr="00150EDC">
        <w:rPr>
          <w:rFonts w:ascii="Calibri"/>
          <w:spacing w:val="-3"/>
          <w:sz w:val="24"/>
        </w:rPr>
        <w:t xml:space="preserve"> </w:t>
      </w:r>
      <w:r w:rsidRPr="00150EDC">
        <w:rPr>
          <w:rFonts w:ascii="Calibri"/>
          <w:sz w:val="24"/>
        </w:rPr>
        <w:t>use</w:t>
      </w:r>
      <w:r w:rsidRPr="00150EDC">
        <w:rPr>
          <w:rFonts w:ascii="Calibri"/>
          <w:spacing w:val="-2"/>
          <w:sz w:val="24"/>
        </w:rPr>
        <w:t xml:space="preserve"> </w:t>
      </w:r>
      <w:r w:rsidRPr="00150EDC">
        <w:rPr>
          <w:rFonts w:ascii="Calibri"/>
          <w:sz w:val="24"/>
        </w:rPr>
        <w:t>or</w:t>
      </w:r>
      <w:r w:rsidRPr="00150EDC">
        <w:rPr>
          <w:rFonts w:ascii="Calibri"/>
          <w:spacing w:val="-4"/>
          <w:sz w:val="24"/>
        </w:rPr>
        <w:t xml:space="preserve"> </w:t>
      </w:r>
      <w:r w:rsidRPr="00150EDC">
        <w:rPr>
          <w:rFonts w:ascii="Calibri"/>
          <w:sz w:val="24"/>
        </w:rPr>
        <w:t>disclosure of the Confidential Information.</w:t>
      </w:r>
    </w:p>
    <w:p w14:paraId="1F6FE8B8" w14:textId="77777777" w:rsidR="004C7180" w:rsidRPr="00150EDC" w:rsidRDefault="004C7180">
      <w:pPr>
        <w:jc w:val="both"/>
        <w:rPr>
          <w:rFonts w:ascii="Calibri"/>
          <w:sz w:val="24"/>
        </w:rPr>
        <w:sectPr w:rsidR="004C7180" w:rsidRPr="00150EDC">
          <w:pgSz w:w="11910" w:h="16840"/>
          <w:pgMar w:top="620" w:right="0" w:bottom="2460" w:left="40" w:header="403" w:footer="2245" w:gutter="0"/>
          <w:cols w:space="720"/>
        </w:sectPr>
      </w:pPr>
    </w:p>
    <w:p w14:paraId="233F9F2E" w14:textId="77777777" w:rsidR="004C7180" w:rsidRPr="00150EDC" w:rsidRDefault="004C7180">
      <w:pPr>
        <w:pStyle w:val="BodyText"/>
        <w:rPr>
          <w:rFonts w:ascii="Calibri"/>
          <w:sz w:val="20"/>
        </w:rPr>
      </w:pPr>
    </w:p>
    <w:p w14:paraId="5ACA745C" w14:textId="77777777" w:rsidR="004C7180" w:rsidRPr="00150EDC" w:rsidRDefault="004C7180">
      <w:pPr>
        <w:pStyle w:val="BodyText"/>
        <w:spacing w:before="8"/>
        <w:rPr>
          <w:rFonts w:ascii="Calibri"/>
          <w:sz w:val="23"/>
        </w:rPr>
      </w:pPr>
    </w:p>
    <w:p w14:paraId="23DEE6A8" w14:textId="77777777" w:rsidR="004C7180" w:rsidRPr="00150EDC" w:rsidRDefault="00CF0754" w:rsidP="00B320C7">
      <w:pPr>
        <w:pStyle w:val="ListParagraph"/>
        <w:numPr>
          <w:ilvl w:val="1"/>
          <w:numId w:val="182"/>
        </w:numPr>
        <w:tabs>
          <w:tab w:val="left" w:pos="1064"/>
          <w:tab w:val="left" w:pos="1066"/>
        </w:tabs>
        <w:spacing w:before="52"/>
        <w:ind w:right="1525"/>
        <w:rPr>
          <w:rFonts w:ascii="Calibri"/>
          <w:sz w:val="24"/>
        </w:rPr>
      </w:pPr>
      <w:r w:rsidRPr="00150EDC">
        <w:rPr>
          <w:rFonts w:ascii="Calibri"/>
          <w:sz w:val="24"/>
        </w:rPr>
        <w:t>In</w:t>
      </w:r>
      <w:r w:rsidRPr="00150EDC">
        <w:rPr>
          <w:rFonts w:ascii="Calibri"/>
          <w:spacing w:val="-2"/>
          <w:sz w:val="24"/>
        </w:rPr>
        <w:t xml:space="preserve"> </w:t>
      </w:r>
      <w:r w:rsidRPr="00150EDC">
        <w:rPr>
          <w:rFonts w:ascii="Calibri"/>
          <w:sz w:val="24"/>
        </w:rPr>
        <w:t>spite</w:t>
      </w:r>
      <w:r w:rsidRPr="00150EDC">
        <w:rPr>
          <w:rFonts w:ascii="Calibri"/>
          <w:spacing w:val="-2"/>
          <w:sz w:val="24"/>
        </w:rPr>
        <w:t xml:space="preserve"> </w:t>
      </w:r>
      <w:r w:rsidRPr="00150EDC">
        <w:rPr>
          <w:rFonts w:ascii="Calibri"/>
          <w:sz w:val="24"/>
        </w:rPr>
        <w:t>of</w:t>
      </w:r>
      <w:r w:rsidRPr="00150EDC">
        <w:rPr>
          <w:rFonts w:ascii="Calibri"/>
          <w:spacing w:val="-2"/>
          <w:sz w:val="24"/>
        </w:rPr>
        <w:t xml:space="preserve"> </w:t>
      </w:r>
      <w:r w:rsidRPr="00150EDC">
        <w:rPr>
          <w:rFonts w:ascii="Calibri"/>
          <w:sz w:val="24"/>
        </w:rPr>
        <w:t>Clause</w:t>
      </w:r>
      <w:r w:rsidRPr="00150EDC">
        <w:rPr>
          <w:rFonts w:ascii="Calibri"/>
          <w:spacing w:val="-2"/>
          <w:sz w:val="24"/>
        </w:rPr>
        <w:t xml:space="preserve"> </w:t>
      </w:r>
      <w:r w:rsidRPr="00150EDC">
        <w:rPr>
          <w:rFonts w:ascii="Calibri"/>
          <w:sz w:val="24"/>
        </w:rPr>
        <w:t>15.1,</w:t>
      </w:r>
      <w:r w:rsidRPr="00150EDC">
        <w:rPr>
          <w:rFonts w:ascii="Calibri"/>
          <w:spacing w:val="-3"/>
          <w:sz w:val="24"/>
        </w:rPr>
        <w:t xml:space="preserve"> </w:t>
      </w:r>
      <w:r w:rsidRPr="00150EDC">
        <w:rPr>
          <w:rFonts w:ascii="Calibri"/>
          <w:sz w:val="24"/>
        </w:rPr>
        <w:t>a</w:t>
      </w:r>
      <w:r w:rsidRPr="00150EDC">
        <w:rPr>
          <w:rFonts w:ascii="Calibri"/>
          <w:spacing w:val="-7"/>
          <w:sz w:val="24"/>
        </w:rPr>
        <w:t xml:space="preserve"> </w:t>
      </w:r>
      <w:r w:rsidRPr="00150EDC">
        <w:rPr>
          <w:rFonts w:ascii="Calibri"/>
          <w:sz w:val="24"/>
        </w:rPr>
        <w:t>Party</w:t>
      </w:r>
      <w:r w:rsidRPr="00150EDC">
        <w:rPr>
          <w:rFonts w:ascii="Calibri"/>
          <w:spacing w:val="-3"/>
          <w:sz w:val="24"/>
        </w:rPr>
        <w:t xml:space="preserve"> </w:t>
      </w:r>
      <w:r w:rsidRPr="00150EDC">
        <w:rPr>
          <w:rFonts w:ascii="Calibri"/>
          <w:sz w:val="24"/>
        </w:rPr>
        <w:t>may</w:t>
      </w:r>
      <w:r w:rsidRPr="00150EDC">
        <w:rPr>
          <w:rFonts w:ascii="Calibri"/>
          <w:spacing w:val="-6"/>
          <w:sz w:val="24"/>
        </w:rPr>
        <w:t xml:space="preserve"> </w:t>
      </w:r>
      <w:r w:rsidRPr="00150EDC">
        <w:rPr>
          <w:rFonts w:ascii="Calibri"/>
          <w:sz w:val="24"/>
        </w:rPr>
        <w:t>disclose</w:t>
      </w:r>
      <w:r w:rsidRPr="00150EDC">
        <w:rPr>
          <w:rFonts w:ascii="Calibri"/>
          <w:spacing w:val="-2"/>
          <w:sz w:val="24"/>
        </w:rPr>
        <w:t xml:space="preserve"> </w:t>
      </w:r>
      <w:r w:rsidRPr="00150EDC">
        <w:rPr>
          <w:rFonts w:ascii="Calibri"/>
          <w:sz w:val="24"/>
        </w:rPr>
        <w:t>Confidential</w:t>
      </w:r>
      <w:r w:rsidRPr="00150EDC">
        <w:rPr>
          <w:rFonts w:ascii="Calibri"/>
          <w:spacing w:val="-2"/>
          <w:sz w:val="24"/>
        </w:rPr>
        <w:t xml:space="preserve"> </w:t>
      </w:r>
      <w:r w:rsidRPr="00150EDC">
        <w:rPr>
          <w:rFonts w:ascii="Calibri"/>
          <w:sz w:val="24"/>
        </w:rPr>
        <w:t>Information</w:t>
      </w:r>
      <w:r w:rsidRPr="00150EDC">
        <w:rPr>
          <w:rFonts w:ascii="Calibri"/>
          <w:spacing w:val="-2"/>
          <w:sz w:val="24"/>
        </w:rPr>
        <w:t xml:space="preserve"> </w:t>
      </w:r>
      <w:r w:rsidRPr="00150EDC">
        <w:rPr>
          <w:rFonts w:ascii="Calibri"/>
          <w:sz w:val="24"/>
        </w:rPr>
        <w:t>which</w:t>
      </w:r>
      <w:r w:rsidRPr="00150EDC">
        <w:rPr>
          <w:rFonts w:ascii="Calibri"/>
          <w:spacing w:val="-2"/>
          <w:sz w:val="24"/>
        </w:rPr>
        <w:t xml:space="preserve"> </w:t>
      </w:r>
      <w:r w:rsidRPr="00150EDC">
        <w:rPr>
          <w:rFonts w:ascii="Calibri"/>
          <w:sz w:val="24"/>
        </w:rPr>
        <w:t>it</w:t>
      </w:r>
      <w:r w:rsidRPr="00150EDC">
        <w:rPr>
          <w:rFonts w:ascii="Calibri"/>
          <w:spacing w:val="-4"/>
          <w:sz w:val="24"/>
        </w:rPr>
        <w:t xml:space="preserve"> </w:t>
      </w:r>
      <w:r w:rsidRPr="00150EDC">
        <w:rPr>
          <w:rFonts w:ascii="Calibri"/>
          <w:sz w:val="24"/>
        </w:rPr>
        <w:t>receives</w:t>
      </w:r>
      <w:r w:rsidRPr="00150EDC">
        <w:rPr>
          <w:rFonts w:ascii="Calibri"/>
          <w:spacing w:val="-5"/>
          <w:sz w:val="24"/>
        </w:rPr>
        <w:t xml:space="preserve"> </w:t>
      </w:r>
      <w:r w:rsidRPr="00150EDC">
        <w:rPr>
          <w:rFonts w:ascii="Calibri"/>
          <w:sz w:val="24"/>
        </w:rPr>
        <w:t>from</w:t>
      </w:r>
      <w:r w:rsidRPr="00150EDC">
        <w:rPr>
          <w:rFonts w:ascii="Calibri"/>
          <w:spacing w:val="-5"/>
          <w:sz w:val="24"/>
        </w:rPr>
        <w:t xml:space="preserve"> </w:t>
      </w:r>
      <w:r w:rsidRPr="00150EDC">
        <w:rPr>
          <w:rFonts w:ascii="Calibri"/>
          <w:sz w:val="24"/>
        </w:rPr>
        <w:t>the Disclosing Party in any of the following instances:</w:t>
      </w:r>
    </w:p>
    <w:p w14:paraId="394390D3" w14:textId="77777777" w:rsidR="004C7180" w:rsidRPr="00150EDC" w:rsidRDefault="004C7180">
      <w:pPr>
        <w:pStyle w:val="BodyText"/>
        <w:spacing w:before="9"/>
        <w:rPr>
          <w:rFonts w:ascii="Calibri"/>
          <w:sz w:val="25"/>
        </w:rPr>
      </w:pPr>
    </w:p>
    <w:p w14:paraId="7017C7AA" w14:textId="77777777" w:rsidR="004C7180" w:rsidRPr="00150EDC" w:rsidRDefault="00CF0754" w:rsidP="00B320C7">
      <w:pPr>
        <w:pStyle w:val="ListParagraph"/>
        <w:numPr>
          <w:ilvl w:val="0"/>
          <w:numId w:val="158"/>
        </w:numPr>
        <w:tabs>
          <w:tab w:val="left" w:pos="1491"/>
          <w:tab w:val="left" w:pos="1494"/>
        </w:tabs>
        <w:ind w:right="790"/>
        <w:rPr>
          <w:rFonts w:ascii="Calibri"/>
          <w:sz w:val="24"/>
        </w:rPr>
      </w:pPr>
      <w:r w:rsidRPr="00150EDC">
        <w:rPr>
          <w:rFonts w:ascii="Calibri"/>
          <w:sz w:val="24"/>
        </w:rPr>
        <w:t>where</w:t>
      </w:r>
      <w:r w:rsidRPr="00150EDC">
        <w:rPr>
          <w:rFonts w:ascii="Calibri"/>
          <w:spacing w:val="-1"/>
          <w:sz w:val="24"/>
        </w:rPr>
        <w:t xml:space="preserve"> </w:t>
      </w:r>
      <w:r w:rsidRPr="00150EDC">
        <w:rPr>
          <w:rFonts w:ascii="Calibri"/>
          <w:sz w:val="24"/>
        </w:rPr>
        <w:t>disclosure</w:t>
      </w:r>
      <w:r w:rsidRPr="00150EDC">
        <w:rPr>
          <w:rFonts w:ascii="Calibri"/>
          <w:spacing w:val="-3"/>
          <w:sz w:val="24"/>
        </w:rPr>
        <w:t xml:space="preserve"> </w:t>
      </w:r>
      <w:r w:rsidRPr="00150EDC">
        <w:rPr>
          <w:rFonts w:ascii="Calibri"/>
          <w:sz w:val="24"/>
        </w:rPr>
        <w:t>is</w:t>
      </w:r>
      <w:r w:rsidRPr="00150EDC">
        <w:rPr>
          <w:rFonts w:ascii="Calibri"/>
          <w:spacing w:val="-2"/>
          <w:sz w:val="24"/>
        </w:rPr>
        <w:t xml:space="preserve"> </w:t>
      </w:r>
      <w:r w:rsidRPr="00150EDC">
        <w:rPr>
          <w:rFonts w:ascii="Calibri"/>
          <w:sz w:val="24"/>
        </w:rPr>
        <w:t>required</w:t>
      </w:r>
      <w:r w:rsidRPr="00150EDC">
        <w:rPr>
          <w:rFonts w:ascii="Calibri"/>
          <w:spacing w:val="-3"/>
          <w:sz w:val="24"/>
        </w:rPr>
        <w:t xml:space="preserve"> </w:t>
      </w:r>
      <w:r w:rsidRPr="00150EDC">
        <w:rPr>
          <w:rFonts w:ascii="Calibri"/>
          <w:sz w:val="24"/>
        </w:rPr>
        <w:t>by</w:t>
      </w:r>
      <w:r w:rsidRPr="00150EDC">
        <w:rPr>
          <w:rFonts w:ascii="Calibri"/>
          <w:spacing w:val="-2"/>
          <w:sz w:val="24"/>
        </w:rPr>
        <w:t xml:space="preserve"> </w:t>
      </w:r>
      <w:r w:rsidRPr="00150EDC">
        <w:rPr>
          <w:rFonts w:ascii="Calibri"/>
          <w:sz w:val="24"/>
        </w:rPr>
        <w:t>applicable</w:t>
      </w:r>
      <w:r w:rsidRPr="00150EDC">
        <w:rPr>
          <w:rFonts w:ascii="Calibri"/>
          <w:spacing w:val="-4"/>
          <w:sz w:val="24"/>
        </w:rPr>
        <w:t xml:space="preserve"> </w:t>
      </w:r>
      <w:r w:rsidRPr="00150EDC">
        <w:rPr>
          <w:rFonts w:ascii="Calibri"/>
          <w:sz w:val="24"/>
        </w:rPr>
        <w:t>Law</w:t>
      </w:r>
      <w:r w:rsidRPr="00150EDC">
        <w:rPr>
          <w:rFonts w:ascii="Calibri"/>
          <w:spacing w:val="-3"/>
          <w:sz w:val="24"/>
        </w:rPr>
        <w:t xml:space="preserve"> </w:t>
      </w:r>
      <w:r w:rsidRPr="00150EDC">
        <w:rPr>
          <w:rFonts w:ascii="Calibri"/>
          <w:sz w:val="24"/>
        </w:rPr>
        <w:t>or</w:t>
      </w:r>
      <w:r w:rsidRPr="00150EDC">
        <w:rPr>
          <w:rFonts w:ascii="Calibri"/>
          <w:spacing w:val="-5"/>
          <w:sz w:val="24"/>
        </w:rPr>
        <w:t xml:space="preserve"> </w:t>
      </w:r>
      <w:r w:rsidRPr="00150EDC">
        <w:rPr>
          <w:rFonts w:ascii="Calibri"/>
          <w:sz w:val="24"/>
        </w:rPr>
        <w:t>by</w:t>
      </w:r>
      <w:r w:rsidRPr="00150EDC">
        <w:rPr>
          <w:rFonts w:ascii="Calibri"/>
          <w:spacing w:val="-2"/>
          <w:sz w:val="24"/>
        </w:rPr>
        <w:t xml:space="preserve"> </w:t>
      </w:r>
      <w:r w:rsidRPr="00150EDC">
        <w:rPr>
          <w:rFonts w:ascii="Calibri"/>
          <w:sz w:val="24"/>
        </w:rPr>
        <w:t>a</w:t>
      </w:r>
      <w:r w:rsidRPr="00150EDC">
        <w:rPr>
          <w:rFonts w:ascii="Calibri"/>
          <w:spacing w:val="-1"/>
          <w:sz w:val="24"/>
        </w:rPr>
        <w:t xml:space="preserve"> </w:t>
      </w:r>
      <w:r w:rsidRPr="00150EDC">
        <w:rPr>
          <w:rFonts w:ascii="Calibri"/>
          <w:sz w:val="24"/>
        </w:rPr>
        <w:t>court</w:t>
      </w:r>
      <w:r w:rsidRPr="00150EDC">
        <w:rPr>
          <w:rFonts w:ascii="Calibri"/>
          <w:spacing w:val="-3"/>
          <w:sz w:val="24"/>
        </w:rPr>
        <w:t xml:space="preserve"> </w:t>
      </w:r>
      <w:r w:rsidRPr="00150EDC">
        <w:rPr>
          <w:rFonts w:ascii="Calibri"/>
          <w:sz w:val="24"/>
        </w:rPr>
        <w:t>with the</w:t>
      </w:r>
      <w:r w:rsidRPr="00150EDC">
        <w:rPr>
          <w:rFonts w:ascii="Calibri"/>
          <w:spacing w:val="-1"/>
          <w:sz w:val="24"/>
        </w:rPr>
        <w:t xml:space="preserve"> </w:t>
      </w:r>
      <w:r w:rsidRPr="00150EDC">
        <w:rPr>
          <w:rFonts w:ascii="Calibri"/>
          <w:sz w:val="24"/>
        </w:rPr>
        <w:t>relevant</w:t>
      </w:r>
      <w:r w:rsidRPr="00150EDC">
        <w:rPr>
          <w:rFonts w:ascii="Calibri"/>
          <w:spacing w:val="-3"/>
          <w:sz w:val="24"/>
        </w:rPr>
        <w:t xml:space="preserve"> </w:t>
      </w:r>
      <w:r w:rsidRPr="00150EDC">
        <w:rPr>
          <w:rFonts w:ascii="Calibri"/>
          <w:sz w:val="24"/>
        </w:rPr>
        <w:t>jurisdiction</w:t>
      </w:r>
      <w:r w:rsidRPr="00150EDC">
        <w:rPr>
          <w:rFonts w:ascii="Calibri"/>
          <w:spacing w:val="-1"/>
          <w:sz w:val="24"/>
        </w:rPr>
        <w:t xml:space="preserve"> </w:t>
      </w:r>
      <w:r w:rsidRPr="00150EDC">
        <w:rPr>
          <w:rFonts w:ascii="Calibri"/>
          <w:sz w:val="24"/>
        </w:rPr>
        <w:t>if,</w:t>
      </w:r>
      <w:r w:rsidRPr="00150EDC">
        <w:rPr>
          <w:rFonts w:ascii="Calibri"/>
          <w:spacing w:val="-4"/>
          <w:sz w:val="24"/>
        </w:rPr>
        <w:t xml:space="preserve"> </w:t>
      </w:r>
      <w:r w:rsidRPr="00150EDC">
        <w:rPr>
          <w:rFonts w:ascii="Calibri"/>
          <w:sz w:val="24"/>
        </w:rPr>
        <w:t>to</w:t>
      </w:r>
      <w:r w:rsidRPr="00150EDC">
        <w:rPr>
          <w:rFonts w:ascii="Calibri"/>
          <w:spacing w:val="-3"/>
          <w:sz w:val="24"/>
        </w:rPr>
        <w:t xml:space="preserve"> </w:t>
      </w:r>
      <w:r w:rsidRPr="00150EDC">
        <w:rPr>
          <w:rFonts w:ascii="Calibri"/>
          <w:sz w:val="24"/>
        </w:rPr>
        <w:t>the extent not prohibited by Law, the Recipient Party notifies the Disclosing Party of the full circumstances, the affected Confidential Information and extent of the disclosure;</w:t>
      </w:r>
    </w:p>
    <w:p w14:paraId="5B53BCDE" w14:textId="77777777" w:rsidR="004C7180" w:rsidRPr="00150EDC" w:rsidRDefault="00CF0754" w:rsidP="00B320C7">
      <w:pPr>
        <w:pStyle w:val="ListParagraph"/>
        <w:numPr>
          <w:ilvl w:val="0"/>
          <w:numId w:val="158"/>
        </w:numPr>
        <w:tabs>
          <w:tab w:val="left" w:pos="1491"/>
          <w:tab w:val="left" w:pos="1494"/>
        </w:tabs>
        <w:spacing w:before="19"/>
        <w:ind w:right="645"/>
        <w:rPr>
          <w:rFonts w:ascii="Calibri"/>
          <w:sz w:val="24"/>
        </w:rPr>
      </w:pPr>
      <w:r w:rsidRPr="00150EDC">
        <w:rPr>
          <w:rFonts w:ascii="Calibri"/>
          <w:sz w:val="24"/>
        </w:rPr>
        <w:t>if</w:t>
      </w:r>
      <w:r w:rsidRPr="00150EDC">
        <w:rPr>
          <w:rFonts w:ascii="Calibri"/>
          <w:spacing w:val="-2"/>
          <w:sz w:val="24"/>
        </w:rPr>
        <w:t xml:space="preserve"> </w:t>
      </w:r>
      <w:r w:rsidRPr="00150EDC">
        <w:rPr>
          <w:rFonts w:ascii="Calibri"/>
          <w:sz w:val="24"/>
        </w:rPr>
        <w:t>the</w:t>
      </w:r>
      <w:r w:rsidRPr="00150EDC">
        <w:rPr>
          <w:rFonts w:ascii="Calibri"/>
          <w:spacing w:val="-5"/>
          <w:sz w:val="24"/>
        </w:rPr>
        <w:t xml:space="preserve"> </w:t>
      </w:r>
      <w:r w:rsidRPr="00150EDC">
        <w:rPr>
          <w:rFonts w:ascii="Calibri"/>
          <w:sz w:val="24"/>
        </w:rPr>
        <w:t>Recipient</w:t>
      </w:r>
      <w:r w:rsidRPr="00150EDC">
        <w:rPr>
          <w:rFonts w:ascii="Calibri"/>
          <w:spacing w:val="-4"/>
          <w:sz w:val="24"/>
        </w:rPr>
        <w:t xml:space="preserve"> </w:t>
      </w:r>
      <w:r w:rsidRPr="00150EDC">
        <w:rPr>
          <w:rFonts w:ascii="Calibri"/>
          <w:sz w:val="24"/>
        </w:rPr>
        <w:t>Party</w:t>
      </w:r>
      <w:r w:rsidRPr="00150EDC">
        <w:rPr>
          <w:rFonts w:ascii="Calibri"/>
          <w:spacing w:val="-6"/>
          <w:sz w:val="24"/>
        </w:rPr>
        <w:t xml:space="preserve"> </w:t>
      </w:r>
      <w:r w:rsidRPr="00150EDC">
        <w:rPr>
          <w:rFonts w:ascii="Calibri"/>
          <w:sz w:val="24"/>
        </w:rPr>
        <w:t>already</w:t>
      </w:r>
      <w:r w:rsidRPr="00150EDC">
        <w:rPr>
          <w:rFonts w:ascii="Calibri"/>
          <w:spacing w:val="-3"/>
          <w:sz w:val="24"/>
        </w:rPr>
        <w:t xml:space="preserve"> </w:t>
      </w:r>
      <w:r w:rsidRPr="00150EDC">
        <w:rPr>
          <w:rFonts w:ascii="Calibri"/>
          <w:sz w:val="24"/>
        </w:rPr>
        <w:t>had</w:t>
      </w:r>
      <w:r w:rsidRPr="00150EDC">
        <w:rPr>
          <w:rFonts w:ascii="Calibri"/>
          <w:spacing w:val="-4"/>
          <w:sz w:val="24"/>
        </w:rPr>
        <w:t xml:space="preserve"> </w:t>
      </w:r>
      <w:r w:rsidRPr="00150EDC">
        <w:rPr>
          <w:rFonts w:ascii="Calibri"/>
          <w:sz w:val="24"/>
        </w:rPr>
        <w:t>the</w:t>
      </w:r>
      <w:r w:rsidRPr="00150EDC">
        <w:rPr>
          <w:rFonts w:ascii="Calibri"/>
          <w:spacing w:val="-2"/>
          <w:sz w:val="24"/>
        </w:rPr>
        <w:t xml:space="preserve"> </w:t>
      </w:r>
      <w:r w:rsidRPr="00150EDC">
        <w:rPr>
          <w:rFonts w:ascii="Calibri"/>
          <w:sz w:val="24"/>
        </w:rPr>
        <w:t>information</w:t>
      </w:r>
      <w:r w:rsidRPr="00150EDC">
        <w:rPr>
          <w:rFonts w:ascii="Calibri"/>
          <w:spacing w:val="-2"/>
          <w:sz w:val="24"/>
        </w:rPr>
        <w:t xml:space="preserve"> </w:t>
      </w:r>
      <w:r w:rsidRPr="00150EDC">
        <w:rPr>
          <w:rFonts w:ascii="Calibri"/>
          <w:sz w:val="24"/>
        </w:rPr>
        <w:t>without</w:t>
      </w:r>
      <w:r w:rsidRPr="00150EDC">
        <w:rPr>
          <w:rFonts w:ascii="Calibri"/>
          <w:spacing w:val="-2"/>
          <w:sz w:val="24"/>
        </w:rPr>
        <w:t xml:space="preserve"> </w:t>
      </w:r>
      <w:r w:rsidRPr="00150EDC">
        <w:rPr>
          <w:rFonts w:ascii="Calibri"/>
          <w:sz w:val="24"/>
        </w:rPr>
        <w:t>obligation</w:t>
      </w:r>
      <w:r w:rsidRPr="00150EDC">
        <w:rPr>
          <w:rFonts w:ascii="Calibri"/>
          <w:spacing w:val="-3"/>
          <w:sz w:val="24"/>
        </w:rPr>
        <w:t xml:space="preserve"> </w:t>
      </w:r>
      <w:r w:rsidRPr="00150EDC">
        <w:rPr>
          <w:rFonts w:ascii="Calibri"/>
          <w:sz w:val="24"/>
        </w:rPr>
        <w:t>of</w:t>
      </w:r>
      <w:r w:rsidRPr="00150EDC">
        <w:rPr>
          <w:rFonts w:ascii="Calibri"/>
          <w:spacing w:val="-4"/>
          <w:sz w:val="24"/>
        </w:rPr>
        <w:t xml:space="preserve"> </w:t>
      </w:r>
      <w:r w:rsidRPr="00150EDC">
        <w:rPr>
          <w:rFonts w:ascii="Calibri"/>
          <w:sz w:val="24"/>
        </w:rPr>
        <w:t>confidentiality</w:t>
      </w:r>
      <w:r w:rsidRPr="00150EDC">
        <w:rPr>
          <w:rFonts w:ascii="Calibri"/>
          <w:spacing w:val="-3"/>
          <w:sz w:val="24"/>
        </w:rPr>
        <w:t xml:space="preserve"> </w:t>
      </w:r>
      <w:r w:rsidRPr="00150EDC">
        <w:rPr>
          <w:rFonts w:ascii="Calibri"/>
          <w:sz w:val="24"/>
        </w:rPr>
        <w:t>before</w:t>
      </w:r>
      <w:r w:rsidRPr="00150EDC">
        <w:rPr>
          <w:rFonts w:ascii="Calibri"/>
          <w:spacing w:val="-2"/>
          <w:sz w:val="24"/>
        </w:rPr>
        <w:t xml:space="preserve"> </w:t>
      </w:r>
      <w:r w:rsidRPr="00150EDC">
        <w:rPr>
          <w:rFonts w:ascii="Calibri"/>
          <w:sz w:val="24"/>
        </w:rPr>
        <w:t>it</w:t>
      </w:r>
      <w:r w:rsidRPr="00150EDC">
        <w:rPr>
          <w:rFonts w:ascii="Calibri"/>
          <w:spacing w:val="-2"/>
          <w:sz w:val="24"/>
        </w:rPr>
        <w:t xml:space="preserve"> </w:t>
      </w:r>
      <w:r w:rsidRPr="00150EDC">
        <w:rPr>
          <w:rFonts w:ascii="Calibri"/>
          <w:sz w:val="24"/>
        </w:rPr>
        <w:t>was disclosed by the Disclosing Party;</w:t>
      </w:r>
    </w:p>
    <w:p w14:paraId="36817115" w14:textId="77777777" w:rsidR="004C7180" w:rsidRPr="00150EDC" w:rsidRDefault="00CF0754" w:rsidP="00B320C7">
      <w:pPr>
        <w:pStyle w:val="ListParagraph"/>
        <w:numPr>
          <w:ilvl w:val="0"/>
          <w:numId w:val="158"/>
        </w:numPr>
        <w:tabs>
          <w:tab w:val="left" w:pos="1492"/>
        </w:tabs>
        <w:spacing w:before="19"/>
        <w:ind w:left="1492" w:hanging="426"/>
        <w:rPr>
          <w:rFonts w:ascii="Calibri"/>
          <w:sz w:val="24"/>
        </w:rPr>
      </w:pPr>
      <w:r w:rsidRPr="00150EDC">
        <w:rPr>
          <w:rFonts w:ascii="Calibri"/>
          <w:sz w:val="24"/>
        </w:rPr>
        <w:t>if</w:t>
      </w:r>
      <w:r w:rsidRPr="00150EDC">
        <w:rPr>
          <w:rFonts w:ascii="Calibri"/>
          <w:spacing w:val="-4"/>
          <w:sz w:val="24"/>
        </w:rPr>
        <w:t xml:space="preserve"> </w:t>
      </w:r>
      <w:r w:rsidRPr="00150EDC">
        <w:rPr>
          <w:rFonts w:ascii="Calibri"/>
          <w:sz w:val="24"/>
        </w:rPr>
        <w:t>the</w:t>
      </w:r>
      <w:r w:rsidRPr="00150EDC">
        <w:rPr>
          <w:rFonts w:ascii="Calibri"/>
          <w:spacing w:val="-4"/>
          <w:sz w:val="24"/>
        </w:rPr>
        <w:t xml:space="preserve"> </w:t>
      </w:r>
      <w:r w:rsidRPr="00150EDC">
        <w:rPr>
          <w:rFonts w:ascii="Calibri"/>
          <w:sz w:val="24"/>
        </w:rPr>
        <w:t>information</w:t>
      </w:r>
      <w:r w:rsidRPr="00150EDC">
        <w:rPr>
          <w:rFonts w:ascii="Calibri"/>
          <w:spacing w:val="-3"/>
          <w:sz w:val="24"/>
        </w:rPr>
        <w:t xml:space="preserve"> </w:t>
      </w:r>
      <w:r w:rsidRPr="00150EDC">
        <w:rPr>
          <w:rFonts w:ascii="Calibri"/>
          <w:sz w:val="24"/>
        </w:rPr>
        <w:t>was</w:t>
      </w:r>
      <w:r w:rsidRPr="00150EDC">
        <w:rPr>
          <w:rFonts w:ascii="Calibri"/>
          <w:spacing w:val="-3"/>
          <w:sz w:val="24"/>
        </w:rPr>
        <w:t xml:space="preserve"> </w:t>
      </w:r>
      <w:r w:rsidRPr="00150EDC">
        <w:rPr>
          <w:rFonts w:ascii="Calibri"/>
          <w:sz w:val="24"/>
        </w:rPr>
        <w:t>given</w:t>
      </w:r>
      <w:r w:rsidRPr="00150EDC">
        <w:rPr>
          <w:rFonts w:ascii="Calibri"/>
          <w:spacing w:val="-1"/>
          <w:sz w:val="24"/>
        </w:rPr>
        <w:t xml:space="preserve"> </w:t>
      </w:r>
      <w:r w:rsidRPr="00150EDC">
        <w:rPr>
          <w:rFonts w:ascii="Calibri"/>
          <w:sz w:val="24"/>
        </w:rPr>
        <w:t>to</w:t>
      </w:r>
      <w:r w:rsidRPr="00150EDC">
        <w:rPr>
          <w:rFonts w:ascii="Calibri"/>
          <w:spacing w:val="-1"/>
          <w:sz w:val="24"/>
        </w:rPr>
        <w:t xml:space="preserve"> </w:t>
      </w:r>
      <w:r w:rsidRPr="00150EDC">
        <w:rPr>
          <w:rFonts w:ascii="Calibri"/>
          <w:sz w:val="24"/>
        </w:rPr>
        <w:t>it</w:t>
      </w:r>
      <w:r w:rsidRPr="00150EDC">
        <w:rPr>
          <w:rFonts w:ascii="Calibri"/>
          <w:spacing w:val="-2"/>
          <w:sz w:val="24"/>
        </w:rPr>
        <w:t xml:space="preserve"> </w:t>
      </w:r>
      <w:r w:rsidRPr="00150EDC">
        <w:rPr>
          <w:rFonts w:ascii="Calibri"/>
          <w:sz w:val="24"/>
        </w:rPr>
        <w:t>by</w:t>
      </w:r>
      <w:r w:rsidRPr="00150EDC">
        <w:rPr>
          <w:rFonts w:ascii="Calibri"/>
          <w:spacing w:val="-5"/>
          <w:sz w:val="24"/>
        </w:rPr>
        <w:t xml:space="preserve"> </w:t>
      </w:r>
      <w:r w:rsidRPr="00150EDC">
        <w:rPr>
          <w:rFonts w:ascii="Calibri"/>
          <w:sz w:val="24"/>
        </w:rPr>
        <w:t>a</w:t>
      </w:r>
      <w:r w:rsidRPr="00150EDC">
        <w:rPr>
          <w:rFonts w:ascii="Calibri"/>
          <w:spacing w:val="-4"/>
          <w:sz w:val="24"/>
        </w:rPr>
        <w:t xml:space="preserve"> </w:t>
      </w:r>
      <w:r w:rsidRPr="00150EDC">
        <w:rPr>
          <w:rFonts w:ascii="Calibri"/>
          <w:sz w:val="24"/>
        </w:rPr>
        <w:t>third</w:t>
      </w:r>
      <w:r w:rsidRPr="00150EDC">
        <w:rPr>
          <w:rFonts w:ascii="Calibri"/>
          <w:spacing w:val="-3"/>
          <w:sz w:val="24"/>
        </w:rPr>
        <w:t xml:space="preserve"> </w:t>
      </w:r>
      <w:r w:rsidRPr="00150EDC">
        <w:rPr>
          <w:rFonts w:ascii="Calibri"/>
          <w:sz w:val="24"/>
        </w:rPr>
        <w:t>party</w:t>
      </w:r>
      <w:r w:rsidRPr="00150EDC">
        <w:rPr>
          <w:rFonts w:ascii="Calibri"/>
          <w:spacing w:val="-6"/>
          <w:sz w:val="24"/>
        </w:rPr>
        <w:t xml:space="preserve"> </w:t>
      </w:r>
      <w:r w:rsidRPr="00150EDC">
        <w:rPr>
          <w:rFonts w:ascii="Calibri"/>
          <w:sz w:val="24"/>
        </w:rPr>
        <w:t>without</w:t>
      </w:r>
      <w:r w:rsidRPr="00150EDC">
        <w:rPr>
          <w:rFonts w:ascii="Calibri"/>
          <w:spacing w:val="-1"/>
          <w:sz w:val="24"/>
        </w:rPr>
        <w:t xml:space="preserve"> </w:t>
      </w:r>
      <w:r w:rsidRPr="00150EDC">
        <w:rPr>
          <w:rFonts w:ascii="Calibri"/>
          <w:sz w:val="24"/>
        </w:rPr>
        <w:t>obligation</w:t>
      </w:r>
      <w:r w:rsidRPr="00150EDC">
        <w:rPr>
          <w:rFonts w:ascii="Calibri"/>
          <w:spacing w:val="-3"/>
          <w:sz w:val="24"/>
        </w:rPr>
        <w:t xml:space="preserve"> </w:t>
      </w:r>
      <w:r w:rsidRPr="00150EDC">
        <w:rPr>
          <w:rFonts w:ascii="Calibri"/>
          <w:sz w:val="24"/>
        </w:rPr>
        <w:t>of</w:t>
      </w:r>
      <w:r w:rsidRPr="00150EDC">
        <w:rPr>
          <w:rFonts w:ascii="Calibri"/>
          <w:spacing w:val="-3"/>
          <w:sz w:val="24"/>
        </w:rPr>
        <w:t xml:space="preserve"> </w:t>
      </w:r>
      <w:r w:rsidRPr="00150EDC">
        <w:rPr>
          <w:rFonts w:ascii="Calibri"/>
          <w:spacing w:val="-2"/>
          <w:sz w:val="24"/>
        </w:rPr>
        <w:t>confidentiality;</w:t>
      </w:r>
    </w:p>
    <w:p w14:paraId="1EDC03B4" w14:textId="77777777" w:rsidR="004C7180" w:rsidRPr="00150EDC" w:rsidRDefault="00CF0754" w:rsidP="00B320C7">
      <w:pPr>
        <w:pStyle w:val="ListParagraph"/>
        <w:numPr>
          <w:ilvl w:val="0"/>
          <w:numId w:val="158"/>
        </w:numPr>
        <w:tabs>
          <w:tab w:val="left" w:pos="1491"/>
        </w:tabs>
        <w:spacing w:before="21"/>
        <w:ind w:left="1491" w:hanging="425"/>
        <w:rPr>
          <w:rFonts w:ascii="Calibri"/>
          <w:sz w:val="24"/>
        </w:rPr>
      </w:pPr>
      <w:r w:rsidRPr="00150EDC">
        <w:rPr>
          <w:rFonts w:ascii="Calibri"/>
          <w:sz w:val="24"/>
        </w:rPr>
        <w:t>if</w:t>
      </w:r>
      <w:r w:rsidRPr="00150EDC">
        <w:rPr>
          <w:rFonts w:ascii="Calibri"/>
          <w:spacing w:val="-4"/>
          <w:sz w:val="24"/>
        </w:rPr>
        <w:t xml:space="preserve"> </w:t>
      </w:r>
      <w:r w:rsidRPr="00150EDC">
        <w:rPr>
          <w:rFonts w:ascii="Calibri"/>
          <w:sz w:val="24"/>
        </w:rPr>
        <w:t>the</w:t>
      </w:r>
      <w:r w:rsidRPr="00150EDC">
        <w:rPr>
          <w:rFonts w:ascii="Calibri"/>
          <w:spacing w:val="-3"/>
          <w:sz w:val="24"/>
        </w:rPr>
        <w:t xml:space="preserve"> </w:t>
      </w:r>
      <w:r w:rsidRPr="00150EDC">
        <w:rPr>
          <w:rFonts w:ascii="Calibri"/>
          <w:sz w:val="24"/>
        </w:rPr>
        <w:t>information</w:t>
      </w:r>
      <w:r w:rsidRPr="00150EDC">
        <w:rPr>
          <w:rFonts w:ascii="Calibri"/>
          <w:spacing w:val="-3"/>
          <w:sz w:val="24"/>
        </w:rPr>
        <w:t xml:space="preserve"> </w:t>
      </w:r>
      <w:r w:rsidRPr="00150EDC">
        <w:rPr>
          <w:rFonts w:ascii="Calibri"/>
          <w:sz w:val="24"/>
        </w:rPr>
        <w:t>was</w:t>
      </w:r>
      <w:r w:rsidRPr="00150EDC">
        <w:rPr>
          <w:rFonts w:ascii="Calibri"/>
          <w:spacing w:val="-2"/>
          <w:sz w:val="24"/>
        </w:rPr>
        <w:t xml:space="preserve"> </w:t>
      </w:r>
      <w:r w:rsidRPr="00150EDC">
        <w:rPr>
          <w:rFonts w:ascii="Calibri"/>
          <w:sz w:val="24"/>
        </w:rPr>
        <w:t>in</w:t>
      </w:r>
      <w:r w:rsidRPr="00150EDC">
        <w:rPr>
          <w:rFonts w:ascii="Calibri"/>
          <w:spacing w:val="-5"/>
          <w:sz w:val="24"/>
        </w:rPr>
        <w:t xml:space="preserve"> </w:t>
      </w:r>
      <w:r w:rsidRPr="00150EDC">
        <w:rPr>
          <w:rFonts w:ascii="Calibri"/>
          <w:sz w:val="24"/>
        </w:rPr>
        <w:t>the</w:t>
      </w:r>
      <w:r w:rsidRPr="00150EDC">
        <w:rPr>
          <w:rFonts w:ascii="Calibri"/>
          <w:spacing w:val="-4"/>
          <w:sz w:val="24"/>
        </w:rPr>
        <w:t xml:space="preserve"> </w:t>
      </w:r>
      <w:r w:rsidRPr="00150EDC">
        <w:rPr>
          <w:rFonts w:ascii="Calibri"/>
          <w:sz w:val="24"/>
        </w:rPr>
        <w:t>public</w:t>
      </w:r>
      <w:r w:rsidRPr="00150EDC">
        <w:rPr>
          <w:rFonts w:ascii="Calibri"/>
          <w:spacing w:val="-5"/>
          <w:sz w:val="24"/>
        </w:rPr>
        <w:t xml:space="preserve"> </w:t>
      </w:r>
      <w:r w:rsidRPr="00150EDC">
        <w:rPr>
          <w:rFonts w:ascii="Calibri"/>
          <w:sz w:val="24"/>
        </w:rPr>
        <w:t>domain</w:t>
      </w:r>
      <w:r w:rsidRPr="00150EDC">
        <w:rPr>
          <w:rFonts w:ascii="Calibri"/>
          <w:spacing w:val="-1"/>
          <w:sz w:val="24"/>
        </w:rPr>
        <w:t xml:space="preserve"> </w:t>
      </w:r>
      <w:r w:rsidRPr="00150EDC">
        <w:rPr>
          <w:rFonts w:ascii="Calibri"/>
          <w:sz w:val="24"/>
        </w:rPr>
        <w:t>at</w:t>
      </w:r>
      <w:r w:rsidRPr="00150EDC">
        <w:rPr>
          <w:rFonts w:ascii="Calibri"/>
          <w:spacing w:val="-1"/>
          <w:sz w:val="24"/>
        </w:rPr>
        <w:t xml:space="preserve"> </w:t>
      </w:r>
      <w:r w:rsidRPr="00150EDC">
        <w:rPr>
          <w:rFonts w:ascii="Calibri"/>
          <w:sz w:val="24"/>
        </w:rPr>
        <w:t>the</w:t>
      </w:r>
      <w:r w:rsidRPr="00150EDC">
        <w:rPr>
          <w:rFonts w:ascii="Calibri"/>
          <w:spacing w:val="-6"/>
          <w:sz w:val="24"/>
        </w:rPr>
        <w:t xml:space="preserve"> </w:t>
      </w:r>
      <w:r w:rsidRPr="00150EDC">
        <w:rPr>
          <w:rFonts w:ascii="Calibri"/>
          <w:sz w:val="24"/>
        </w:rPr>
        <w:t>time</w:t>
      </w:r>
      <w:r w:rsidRPr="00150EDC">
        <w:rPr>
          <w:rFonts w:ascii="Calibri"/>
          <w:spacing w:val="-3"/>
          <w:sz w:val="24"/>
        </w:rPr>
        <w:t xml:space="preserve"> </w:t>
      </w:r>
      <w:r w:rsidRPr="00150EDC">
        <w:rPr>
          <w:rFonts w:ascii="Calibri"/>
          <w:sz w:val="24"/>
        </w:rPr>
        <w:t>of</w:t>
      </w:r>
      <w:r w:rsidRPr="00150EDC">
        <w:rPr>
          <w:rFonts w:ascii="Calibri"/>
          <w:spacing w:val="-2"/>
          <w:sz w:val="24"/>
        </w:rPr>
        <w:t xml:space="preserve"> </w:t>
      </w:r>
      <w:r w:rsidRPr="00150EDC">
        <w:rPr>
          <w:rFonts w:ascii="Calibri"/>
          <w:sz w:val="24"/>
        </w:rPr>
        <w:t>the</w:t>
      </w:r>
      <w:r w:rsidRPr="00150EDC">
        <w:rPr>
          <w:rFonts w:ascii="Calibri"/>
          <w:spacing w:val="6"/>
          <w:sz w:val="24"/>
        </w:rPr>
        <w:t xml:space="preserve"> </w:t>
      </w:r>
      <w:r w:rsidRPr="00150EDC">
        <w:rPr>
          <w:rFonts w:ascii="Calibri"/>
          <w:spacing w:val="-2"/>
          <w:sz w:val="24"/>
        </w:rPr>
        <w:t>disclosure;</w:t>
      </w:r>
    </w:p>
    <w:p w14:paraId="7986D865" w14:textId="77777777" w:rsidR="004C7180" w:rsidRPr="00150EDC" w:rsidRDefault="00CF0754" w:rsidP="00B320C7">
      <w:pPr>
        <w:pStyle w:val="ListParagraph"/>
        <w:numPr>
          <w:ilvl w:val="0"/>
          <w:numId w:val="158"/>
        </w:numPr>
        <w:tabs>
          <w:tab w:val="left" w:pos="1491"/>
          <w:tab w:val="left" w:pos="1494"/>
        </w:tabs>
        <w:spacing w:before="19" w:line="242" w:lineRule="auto"/>
        <w:ind w:right="1786"/>
        <w:rPr>
          <w:rFonts w:ascii="Calibri" w:hAnsi="Calibri"/>
          <w:sz w:val="24"/>
        </w:rPr>
      </w:pPr>
      <w:r w:rsidRPr="00150EDC">
        <w:rPr>
          <w:rFonts w:ascii="Calibri" w:hAnsi="Calibri"/>
          <w:sz w:val="24"/>
        </w:rPr>
        <w:t>if</w:t>
      </w:r>
      <w:r w:rsidRPr="00150EDC">
        <w:rPr>
          <w:rFonts w:ascii="Calibri" w:hAnsi="Calibri"/>
          <w:spacing w:val="-2"/>
          <w:sz w:val="24"/>
        </w:rPr>
        <w:t xml:space="preserve"> </w:t>
      </w:r>
      <w:r w:rsidRPr="00150EDC">
        <w:rPr>
          <w:rFonts w:ascii="Calibri" w:hAnsi="Calibri"/>
          <w:sz w:val="24"/>
        </w:rPr>
        <w:t>the</w:t>
      </w:r>
      <w:r w:rsidRPr="00150EDC">
        <w:rPr>
          <w:rFonts w:ascii="Calibri" w:hAnsi="Calibri"/>
          <w:spacing w:val="-5"/>
          <w:sz w:val="24"/>
        </w:rPr>
        <w:t xml:space="preserve"> </w:t>
      </w:r>
      <w:r w:rsidRPr="00150EDC">
        <w:rPr>
          <w:rFonts w:ascii="Calibri" w:hAnsi="Calibri"/>
          <w:sz w:val="24"/>
        </w:rPr>
        <w:t>information</w:t>
      </w:r>
      <w:r w:rsidRPr="00150EDC">
        <w:rPr>
          <w:rFonts w:ascii="Calibri" w:hAnsi="Calibri"/>
          <w:spacing w:val="-4"/>
          <w:sz w:val="24"/>
        </w:rPr>
        <w:t xml:space="preserve"> </w:t>
      </w:r>
      <w:r w:rsidRPr="00150EDC">
        <w:rPr>
          <w:rFonts w:ascii="Calibri" w:hAnsi="Calibri"/>
          <w:sz w:val="24"/>
        </w:rPr>
        <w:t>was</w:t>
      </w:r>
      <w:r w:rsidRPr="00150EDC">
        <w:rPr>
          <w:rFonts w:ascii="Calibri" w:hAnsi="Calibri"/>
          <w:spacing w:val="-3"/>
          <w:sz w:val="24"/>
        </w:rPr>
        <w:t xml:space="preserve"> </w:t>
      </w:r>
      <w:r w:rsidRPr="00150EDC">
        <w:rPr>
          <w:rFonts w:ascii="Calibri" w:hAnsi="Calibri"/>
          <w:sz w:val="24"/>
        </w:rPr>
        <w:t>independently</w:t>
      </w:r>
      <w:r w:rsidRPr="00150EDC">
        <w:rPr>
          <w:rFonts w:ascii="Calibri" w:hAnsi="Calibri"/>
          <w:spacing w:val="-3"/>
          <w:sz w:val="24"/>
        </w:rPr>
        <w:t xml:space="preserve"> </w:t>
      </w:r>
      <w:r w:rsidRPr="00150EDC">
        <w:rPr>
          <w:rFonts w:ascii="Calibri" w:hAnsi="Calibri"/>
          <w:sz w:val="24"/>
        </w:rPr>
        <w:t>developed</w:t>
      </w:r>
      <w:r w:rsidRPr="00150EDC">
        <w:rPr>
          <w:rFonts w:ascii="Calibri" w:hAnsi="Calibri"/>
          <w:spacing w:val="-4"/>
          <w:sz w:val="24"/>
        </w:rPr>
        <w:t xml:space="preserve"> </w:t>
      </w:r>
      <w:r w:rsidRPr="00150EDC">
        <w:rPr>
          <w:rFonts w:ascii="Calibri" w:hAnsi="Calibri"/>
          <w:sz w:val="24"/>
        </w:rPr>
        <w:t>without</w:t>
      </w:r>
      <w:r w:rsidRPr="00150EDC">
        <w:rPr>
          <w:rFonts w:ascii="Calibri" w:hAnsi="Calibri"/>
          <w:spacing w:val="-2"/>
          <w:sz w:val="24"/>
        </w:rPr>
        <w:t xml:space="preserve"> </w:t>
      </w:r>
      <w:r w:rsidRPr="00150EDC">
        <w:rPr>
          <w:rFonts w:ascii="Calibri" w:hAnsi="Calibri"/>
          <w:sz w:val="24"/>
        </w:rPr>
        <w:t>access</w:t>
      </w:r>
      <w:r w:rsidRPr="00150EDC">
        <w:rPr>
          <w:rFonts w:ascii="Calibri" w:hAnsi="Calibri"/>
          <w:spacing w:val="-5"/>
          <w:sz w:val="24"/>
        </w:rPr>
        <w:t xml:space="preserve"> </w:t>
      </w:r>
      <w:r w:rsidRPr="00150EDC">
        <w:rPr>
          <w:rFonts w:ascii="Calibri" w:hAnsi="Calibri"/>
          <w:sz w:val="24"/>
        </w:rPr>
        <w:t>to</w:t>
      </w:r>
      <w:r w:rsidRPr="00150EDC">
        <w:rPr>
          <w:rFonts w:ascii="Calibri" w:hAnsi="Calibri"/>
          <w:spacing w:val="-4"/>
          <w:sz w:val="24"/>
        </w:rPr>
        <w:t xml:space="preserve"> </w:t>
      </w:r>
      <w:r w:rsidRPr="00150EDC">
        <w:rPr>
          <w:rFonts w:ascii="Calibri" w:hAnsi="Calibri"/>
          <w:sz w:val="24"/>
        </w:rPr>
        <w:t>the</w:t>
      </w:r>
      <w:r w:rsidRPr="00150EDC">
        <w:rPr>
          <w:rFonts w:ascii="Calibri" w:hAnsi="Calibri"/>
          <w:spacing w:val="-5"/>
          <w:sz w:val="24"/>
        </w:rPr>
        <w:t xml:space="preserve"> </w:t>
      </w:r>
      <w:r w:rsidRPr="00150EDC">
        <w:rPr>
          <w:rFonts w:ascii="Calibri" w:hAnsi="Calibri"/>
          <w:sz w:val="24"/>
        </w:rPr>
        <w:t>Disclosing</w:t>
      </w:r>
      <w:r w:rsidRPr="00150EDC">
        <w:rPr>
          <w:rFonts w:ascii="Calibri" w:hAnsi="Calibri"/>
          <w:spacing w:val="-3"/>
          <w:sz w:val="24"/>
        </w:rPr>
        <w:t xml:space="preserve"> </w:t>
      </w:r>
      <w:r w:rsidRPr="00150EDC">
        <w:rPr>
          <w:rFonts w:ascii="Calibri" w:hAnsi="Calibri"/>
          <w:sz w:val="24"/>
        </w:rPr>
        <w:t>Party’s Confidential Information;</w:t>
      </w:r>
    </w:p>
    <w:p w14:paraId="452889E3" w14:textId="77777777" w:rsidR="004C7180" w:rsidRPr="00150EDC" w:rsidRDefault="00CF0754" w:rsidP="00B320C7">
      <w:pPr>
        <w:pStyle w:val="ListParagraph"/>
        <w:numPr>
          <w:ilvl w:val="0"/>
          <w:numId w:val="158"/>
        </w:numPr>
        <w:tabs>
          <w:tab w:val="left" w:pos="1493"/>
        </w:tabs>
        <w:spacing w:before="16"/>
        <w:ind w:left="1493" w:hanging="427"/>
        <w:rPr>
          <w:rFonts w:ascii="Calibri"/>
          <w:sz w:val="24"/>
        </w:rPr>
      </w:pPr>
      <w:r w:rsidRPr="00150EDC">
        <w:rPr>
          <w:rFonts w:ascii="Calibri"/>
          <w:sz w:val="24"/>
        </w:rPr>
        <w:t>on a</w:t>
      </w:r>
      <w:r w:rsidRPr="00150EDC">
        <w:rPr>
          <w:rFonts w:ascii="Calibri"/>
          <w:spacing w:val="-4"/>
          <w:sz w:val="24"/>
        </w:rPr>
        <w:t xml:space="preserve"> </w:t>
      </w:r>
      <w:r w:rsidRPr="00150EDC">
        <w:rPr>
          <w:rFonts w:ascii="Calibri"/>
          <w:sz w:val="24"/>
        </w:rPr>
        <w:t>confidential</w:t>
      </w:r>
      <w:r w:rsidRPr="00150EDC">
        <w:rPr>
          <w:rFonts w:ascii="Calibri"/>
          <w:spacing w:val="-3"/>
          <w:sz w:val="24"/>
        </w:rPr>
        <w:t xml:space="preserve"> </w:t>
      </w:r>
      <w:r w:rsidRPr="00150EDC">
        <w:rPr>
          <w:rFonts w:ascii="Calibri"/>
          <w:sz w:val="24"/>
        </w:rPr>
        <w:t>basis,</w:t>
      </w:r>
      <w:r w:rsidRPr="00150EDC">
        <w:rPr>
          <w:rFonts w:ascii="Calibri"/>
          <w:spacing w:val="-3"/>
          <w:sz w:val="24"/>
        </w:rPr>
        <w:t xml:space="preserve"> </w:t>
      </w:r>
      <w:r w:rsidRPr="00150EDC">
        <w:rPr>
          <w:rFonts w:ascii="Calibri"/>
          <w:sz w:val="24"/>
        </w:rPr>
        <w:t>to</w:t>
      </w:r>
      <w:r w:rsidRPr="00150EDC">
        <w:rPr>
          <w:rFonts w:ascii="Calibri"/>
          <w:spacing w:val="-1"/>
          <w:sz w:val="24"/>
        </w:rPr>
        <w:t xml:space="preserve"> </w:t>
      </w:r>
      <w:r w:rsidRPr="00150EDC">
        <w:rPr>
          <w:rFonts w:ascii="Calibri"/>
          <w:sz w:val="24"/>
        </w:rPr>
        <w:t>its</w:t>
      </w:r>
      <w:r w:rsidRPr="00150EDC">
        <w:rPr>
          <w:rFonts w:ascii="Calibri"/>
          <w:spacing w:val="-3"/>
          <w:sz w:val="24"/>
        </w:rPr>
        <w:t xml:space="preserve"> </w:t>
      </w:r>
      <w:r w:rsidRPr="00150EDC">
        <w:rPr>
          <w:rFonts w:ascii="Calibri"/>
          <w:spacing w:val="-2"/>
          <w:sz w:val="24"/>
        </w:rPr>
        <w:t>auditors;</w:t>
      </w:r>
    </w:p>
    <w:p w14:paraId="3F3E9238" w14:textId="77777777" w:rsidR="004C7180" w:rsidRPr="00150EDC" w:rsidRDefault="00CF0754" w:rsidP="00B320C7">
      <w:pPr>
        <w:pStyle w:val="ListParagraph"/>
        <w:numPr>
          <w:ilvl w:val="0"/>
          <w:numId w:val="158"/>
        </w:numPr>
        <w:tabs>
          <w:tab w:val="left" w:pos="1493"/>
        </w:tabs>
        <w:spacing w:before="19"/>
        <w:ind w:left="1493" w:hanging="427"/>
        <w:rPr>
          <w:rFonts w:ascii="Calibri"/>
          <w:sz w:val="24"/>
        </w:rPr>
      </w:pPr>
      <w:r w:rsidRPr="00150EDC">
        <w:rPr>
          <w:rFonts w:ascii="Calibri"/>
          <w:sz w:val="24"/>
        </w:rPr>
        <w:t>on</w:t>
      </w:r>
      <w:r w:rsidRPr="00150EDC">
        <w:rPr>
          <w:rFonts w:ascii="Calibri"/>
          <w:spacing w:val="-3"/>
          <w:sz w:val="24"/>
        </w:rPr>
        <w:t xml:space="preserve"> </w:t>
      </w:r>
      <w:r w:rsidRPr="00150EDC">
        <w:rPr>
          <w:rFonts w:ascii="Calibri"/>
          <w:sz w:val="24"/>
        </w:rPr>
        <w:t>a</w:t>
      </w:r>
      <w:r w:rsidRPr="00150EDC">
        <w:rPr>
          <w:rFonts w:ascii="Calibri"/>
          <w:spacing w:val="-5"/>
          <w:sz w:val="24"/>
        </w:rPr>
        <w:t xml:space="preserve"> </w:t>
      </w:r>
      <w:r w:rsidRPr="00150EDC">
        <w:rPr>
          <w:rFonts w:ascii="Calibri"/>
          <w:sz w:val="24"/>
        </w:rPr>
        <w:t>confidential</w:t>
      </w:r>
      <w:r w:rsidRPr="00150EDC">
        <w:rPr>
          <w:rFonts w:ascii="Calibri"/>
          <w:spacing w:val="-4"/>
          <w:sz w:val="24"/>
        </w:rPr>
        <w:t xml:space="preserve"> </w:t>
      </w:r>
      <w:r w:rsidRPr="00150EDC">
        <w:rPr>
          <w:rFonts w:ascii="Calibri"/>
          <w:sz w:val="24"/>
        </w:rPr>
        <w:t>basis,</w:t>
      </w:r>
      <w:r w:rsidRPr="00150EDC">
        <w:rPr>
          <w:rFonts w:ascii="Calibri"/>
          <w:spacing w:val="-5"/>
          <w:sz w:val="24"/>
        </w:rPr>
        <w:t xml:space="preserve"> </w:t>
      </w:r>
      <w:r w:rsidRPr="00150EDC">
        <w:rPr>
          <w:rFonts w:ascii="Calibri"/>
          <w:sz w:val="24"/>
        </w:rPr>
        <w:t>to</w:t>
      </w:r>
      <w:r w:rsidRPr="00150EDC">
        <w:rPr>
          <w:rFonts w:ascii="Calibri"/>
          <w:spacing w:val="-2"/>
          <w:sz w:val="24"/>
        </w:rPr>
        <w:t xml:space="preserve"> </w:t>
      </w:r>
      <w:r w:rsidRPr="00150EDC">
        <w:rPr>
          <w:rFonts w:ascii="Calibri"/>
          <w:sz w:val="24"/>
        </w:rPr>
        <w:t>its</w:t>
      </w:r>
      <w:r w:rsidRPr="00150EDC">
        <w:rPr>
          <w:rFonts w:ascii="Calibri"/>
          <w:spacing w:val="-4"/>
          <w:sz w:val="24"/>
        </w:rPr>
        <w:t xml:space="preserve"> </w:t>
      </w:r>
      <w:r w:rsidRPr="00150EDC">
        <w:rPr>
          <w:rFonts w:ascii="Calibri"/>
          <w:sz w:val="24"/>
        </w:rPr>
        <w:t>professional</w:t>
      </w:r>
      <w:r w:rsidRPr="00150EDC">
        <w:rPr>
          <w:rFonts w:ascii="Calibri"/>
          <w:spacing w:val="-2"/>
          <w:sz w:val="24"/>
        </w:rPr>
        <w:t xml:space="preserve"> </w:t>
      </w:r>
      <w:r w:rsidRPr="00150EDC">
        <w:rPr>
          <w:rFonts w:ascii="Calibri"/>
          <w:sz w:val="24"/>
        </w:rPr>
        <w:t>advisers</w:t>
      </w:r>
      <w:r w:rsidRPr="00150EDC">
        <w:rPr>
          <w:rFonts w:ascii="Calibri"/>
          <w:spacing w:val="-3"/>
          <w:sz w:val="24"/>
        </w:rPr>
        <w:t xml:space="preserve"> </w:t>
      </w:r>
      <w:r w:rsidRPr="00150EDC">
        <w:rPr>
          <w:rFonts w:ascii="Calibri"/>
          <w:sz w:val="24"/>
        </w:rPr>
        <w:t>on</w:t>
      </w:r>
      <w:r w:rsidRPr="00150EDC">
        <w:rPr>
          <w:rFonts w:ascii="Calibri"/>
          <w:spacing w:val="-1"/>
          <w:sz w:val="24"/>
        </w:rPr>
        <w:t xml:space="preserve"> </w:t>
      </w:r>
      <w:r w:rsidRPr="00150EDC">
        <w:rPr>
          <w:rFonts w:ascii="Calibri"/>
          <w:sz w:val="24"/>
        </w:rPr>
        <w:t>a</w:t>
      </w:r>
      <w:r w:rsidRPr="00150EDC">
        <w:rPr>
          <w:rFonts w:ascii="Calibri"/>
          <w:spacing w:val="-4"/>
          <w:sz w:val="24"/>
        </w:rPr>
        <w:t xml:space="preserve"> </w:t>
      </w:r>
      <w:r w:rsidRPr="00150EDC">
        <w:rPr>
          <w:rFonts w:ascii="Calibri"/>
          <w:sz w:val="24"/>
        </w:rPr>
        <w:t>need-to-know</w:t>
      </w:r>
      <w:r w:rsidRPr="00150EDC">
        <w:rPr>
          <w:rFonts w:ascii="Calibri"/>
          <w:spacing w:val="-3"/>
          <w:sz w:val="24"/>
        </w:rPr>
        <w:t xml:space="preserve"> </w:t>
      </w:r>
      <w:r w:rsidRPr="00150EDC">
        <w:rPr>
          <w:rFonts w:ascii="Calibri"/>
          <w:sz w:val="24"/>
        </w:rPr>
        <w:t>basis;</w:t>
      </w:r>
      <w:r w:rsidRPr="00150EDC">
        <w:rPr>
          <w:rFonts w:ascii="Calibri"/>
          <w:spacing w:val="-1"/>
          <w:sz w:val="24"/>
        </w:rPr>
        <w:t xml:space="preserve"> </w:t>
      </w:r>
      <w:r w:rsidRPr="00150EDC">
        <w:rPr>
          <w:rFonts w:ascii="Calibri"/>
          <w:spacing w:val="-5"/>
          <w:sz w:val="24"/>
        </w:rPr>
        <w:t>or</w:t>
      </w:r>
    </w:p>
    <w:p w14:paraId="5E7C567E" w14:textId="77777777" w:rsidR="004C7180" w:rsidRPr="00150EDC" w:rsidRDefault="00CF0754" w:rsidP="00B320C7">
      <w:pPr>
        <w:pStyle w:val="ListParagraph"/>
        <w:numPr>
          <w:ilvl w:val="0"/>
          <w:numId w:val="158"/>
        </w:numPr>
        <w:tabs>
          <w:tab w:val="left" w:pos="1491"/>
          <w:tab w:val="left" w:pos="1494"/>
        </w:tabs>
        <w:spacing w:before="22"/>
        <w:ind w:right="954"/>
        <w:rPr>
          <w:rFonts w:ascii="Calibri"/>
          <w:sz w:val="24"/>
        </w:rPr>
      </w:pPr>
      <w:r w:rsidRPr="00150EDC">
        <w:rPr>
          <w:rFonts w:ascii="Calibri"/>
          <w:sz w:val="24"/>
        </w:rPr>
        <w:t>to</w:t>
      </w:r>
      <w:r w:rsidRPr="00150EDC">
        <w:rPr>
          <w:rFonts w:ascii="Calibri"/>
          <w:spacing w:val="-3"/>
          <w:sz w:val="24"/>
        </w:rPr>
        <w:t xml:space="preserve"> </w:t>
      </w:r>
      <w:r w:rsidRPr="00150EDC">
        <w:rPr>
          <w:rFonts w:ascii="Calibri"/>
          <w:sz w:val="24"/>
        </w:rPr>
        <w:t>the</w:t>
      </w:r>
      <w:r w:rsidRPr="00150EDC">
        <w:rPr>
          <w:rFonts w:ascii="Calibri"/>
          <w:spacing w:val="-3"/>
          <w:sz w:val="24"/>
        </w:rPr>
        <w:t xml:space="preserve"> </w:t>
      </w:r>
      <w:r w:rsidRPr="00150EDC">
        <w:rPr>
          <w:rFonts w:ascii="Calibri"/>
          <w:sz w:val="24"/>
        </w:rPr>
        <w:t>Serious</w:t>
      </w:r>
      <w:r w:rsidRPr="00150EDC">
        <w:rPr>
          <w:rFonts w:ascii="Calibri"/>
          <w:spacing w:val="-2"/>
          <w:sz w:val="24"/>
        </w:rPr>
        <w:t xml:space="preserve"> </w:t>
      </w:r>
      <w:r w:rsidRPr="00150EDC">
        <w:rPr>
          <w:rFonts w:ascii="Calibri"/>
          <w:sz w:val="24"/>
        </w:rPr>
        <w:t>Fraud</w:t>
      </w:r>
      <w:r w:rsidRPr="00150EDC">
        <w:rPr>
          <w:rFonts w:ascii="Calibri"/>
          <w:spacing w:val="-3"/>
          <w:sz w:val="24"/>
        </w:rPr>
        <w:t xml:space="preserve"> </w:t>
      </w:r>
      <w:r w:rsidRPr="00150EDC">
        <w:rPr>
          <w:rFonts w:ascii="Calibri"/>
          <w:sz w:val="24"/>
        </w:rPr>
        <w:t>Office</w:t>
      </w:r>
      <w:r w:rsidRPr="00150EDC">
        <w:rPr>
          <w:rFonts w:ascii="Calibri"/>
          <w:spacing w:val="-1"/>
          <w:sz w:val="24"/>
        </w:rPr>
        <w:t xml:space="preserve"> </w:t>
      </w:r>
      <w:r w:rsidRPr="00150EDC">
        <w:rPr>
          <w:rFonts w:ascii="Calibri"/>
          <w:sz w:val="24"/>
        </w:rPr>
        <w:t>where</w:t>
      </w:r>
      <w:r w:rsidRPr="00150EDC">
        <w:rPr>
          <w:rFonts w:ascii="Calibri"/>
          <w:spacing w:val="-3"/>
          <w:sz w:val="24"/>
        </w:rPr>
        <w:t xml:space="preserve"> </w:t>
      </w:r>
      <w:r w:rsidRPr="00150EDC">
        <w:rPr>
          <w:rFonts w:ascii="Calibri"/>
          <w:sz w:val="24"/>
        </w:rPr>
        <w:t>the</w:t>
      </w:r>
      <w:r w:rsidRPr="00150EDC">
        <w:rPr>
          <w:rFonts w:ascii="Calibri"/>
          <w:spacing w:val="-1"/>
          <w:sz w:val="24"/>
        </w:rPr>
        <w:t xml:space="preserve"> </w:t>
      </w:r>
      <w:r w:rsidRPr="00150EDC">
        <w:rPr>
          <w:rFonts w:ascii="Calibri"/>
          <w:sz w:val="24"/>
        </w:rPr>
        <w:t>Recipient</w:t>
      </w:r>
      <w:r w:rsidRPr="00150EDC">
        <w:rPr>
          <w:rFonts w:ascii="Calibri"/>
          <w:spacing w:val="-3"/>
          <w:sz w:val="24"/>
        </w:rPr>
        <w:t xml:space="preserve"> </w:t>
      </w:r>
      <w:r w:rsidRPr="00150EDC">
        <w:rPr>
          <w:rFonts w:ascii="Calibri"/>
          <w:sz w:val="24"/>
        </w:rPr>
        <w:t>Party</w:t>
      </w:r>
      <w:r w:rsidRPr="00150EDC">
        <w:rPr>
          <w:rFonts w:ascii="Calibri"/>
          <w:spacing w:val="-2"/>
          <w:sz w:val="24"/>
        </w:rPr>
        <w:t xml:space="preserve"> </w:t>
      </w:r>
      <w:r w:rsidRPr="00150EDC">
        <w:rPr>
          <w:rFonts w:ascii="Calibri"/>
          <w:sz w:val="24"/>
        </w:rPr>
        <w:t>has</w:t>
      </w:r>
      <w:r w:rsidRPr="00150EDC">
        <w:rPr>
          <w:rFonts w:ascii="Calibri"/>
          <w:spacing w:val="-4"/>
          <w:sz w:val="24"/>
        </w:rPr>
        <w:t xml:space="preserve"> </w:t>
      </w:r>
      <w:r w:rsidRPr="00150EDC">
        <w:rPr>
          <w:rFonts w:ascii="Calibri"/>
          <w:sz w:val="24"/>
        </w:rPr>
        <w:t>reasonable</w:t>
      </w:r>
      <w:r w:rsidRPr="00150EDC">
        <w:rPr>
          <w:rFonts w:ascii="Calibri"/>
          <w:spacing w:val="-1"/>
          <w:sz w:val="24"/>
        </w:rPr>
        <w:t xml:space="preserve"> </w:t>
      </w:r>
      <w:r w:rsidRPr="00150EDC">
        <w:rPr>
          <w:rFonts w:ascii="Calibri"/>
          <w:sz w:val="24"/>
        </w:rPr>
        <w:t>grounds</w:t>
      </w:r>
      <w:r w:rsidRPr="00150EDC">
        <w:rPr>
          <w:rFonts w:ascii="Calibri"/>
          <w:spacing w:val="-4"/>
          <w:sz w:val="24"/>
        </w:rPr>
        <w:t xml:space="preserve"> </w:t>
      </w:r>
      <w:r w:rsidRPr="00150EDC">
        <w:rPr>
          <w:rFonts w:ascii="Calibri"/>
          <w:sz w:val="24"/>
        </w:rPr>
        <w:t>to</w:t>
      </w:r>
      <w:r w:rsidRPr="00150EDC">
        <w:rPr>
          <w:rFonts w:ascii="Calibri"/>
          <w:spacing w:val="-3"/>
          <w:sz w:val="24"/>
        </w:rPr>
        <w:t xml:space="preserve"> </w:t>
      </w:r>
      <w:r w:rsidRPr="00150EDC">
        <w:rPr>
          <w:rFonts w:ascii="Calibri"/>
          <w:sz w:val="24"/>
        </w:rPr>
        <w:t>believe</w:t>
      </w:r>
      <w:r w:rsidRPr="00150EDC">
        <w:rPr>
          <w:rFonts w:ascii="Calibri"/>
          <w:spacing w:val="-4"/>
          <w:sz w:val="24"/>
        </w:rPr>
        <w:t xml:space="preserve"> </w:t>
      </w:r>
      <w:r w:rsidRPr="00150EDC">
        <w:rPr>
          <w:rFonts w:ascii="Calibri"/>
          <w:sz w:val="24"/>
        </w:rPr>
        <w:t>that</w:t>
      </w:r>
      <w:r w:rsidRPr="00150EDC">
        <w:rPr>
          <w:rFonts w:ascii="Calibri"/>
          <w:spacing w:val="-3"/>
          <w:sz w:val="24"/>
        </w:rPr>
        <w:t xml:space="preserve"> </w:t>
      </w:r>
      <w:r w:rsidRPr="00150EDC">
        <w:rPr>
          <w:rFonts w:ascii="Calibri"/>
          <w:sz w:val="24"/>
        </w:rPr>
        <w:t>the Disclosing</w:t>
      </w:r>
      <w:r w:rsidRPr="00150EDC">
        <w:rPr>
          <w:rFonts w:ascii="Calibri"/>
          <w:spacing w:val="-1"/>
          <w:sz w:val="24"/>
        </w:rPr>
        <w:t xml:space="preserve"> </w:t>
      </w:r>
      <w:r w:rsidRPr="00150EDC">
        <w:rPr>
          <w:rFonts w:ascii="Calibri"/>
          <w:sz w:val="24"/>
        </w:rPr>
        <w:t>Party</w:t>
      </w:r>
      <w:r w:rsidRPr="00150EDC">
        <w:rPr>
          <w:rFonts w:ascii="Calibri"/>
          <w:spacing w:val="-1"/>
          <w:sz w:val="24"/>
        </w:rPr>
        <w:t xml:space="preserve"> </w:t>
      </w:r>
      <w:r w:rsidRPr="00150EDC">
        <w:rPr>
          <w:rFonts w:ascii="Calibri"/>
          <w:sz w:val="24"/>
        </w:rPr>
        <w:t>is</w:t>
      </w:r>
      <w:r w:rsidRPr="00150EDC">
        <w:rPr>
          <w:rFonts w:ascii="Calibri"/>
          <w:spacing w:val="-3"/>
          <w:sz w:val="24"/>
        </w:rPr>
        <w:t xml:space="preserve"> </w:t>
      </w:r>
      <w:r w:rsidRPr="00150EDC">
        <w:rPr>
          <w:rFonts w:ascii="Calibri"/>
          <w:sz w:val="24"/>
        </w:rPr>
        <w:t>involved in activity</w:t>
      </w:r>
      <w:r w:rsidRPr="00150EDC">
        <w:rPr>
          <w:rFonts w:ascii="Calibri"/>
          <w:spacing w:val="-1"/>
          <w:sz w:val="24"/>
        </w:rPr>
        <w:t xml:space="preserve"> </w:t>
      </w:r>
      <w:r w:rsidRPr="00150EDC">
        <w:rPr>
          <w:rFonts w:ascii="Calibri"/>
          <w:sz w:val="24"/>
        </w:rPr>
        <w:t>that</w:t>
      </w:r>
      <w:r w:rsidRPr="00150EDC">
        <w:rPr>
          <w:rFonts w:ascii="Calibri"/>
          <w:spacing w:val="-2"/>
          <w:sz w:val="24"/>
        </w:rPr>
        <w:t xml:space="preserve"> </w:t>
      </w:r>
      <w:r w:rsidRPr="00150EDC">
        <w:rPr>
          <w:rFonts w:ascii="Calibri"/>
          <w:sz w:val="24"/>
        </w:rPr>
        <w:t>may</w:t>
      </w:r>
      <w:r w:rsidRPr="00150EDC">
        <w:rPr>
          <w:rFonts w:ascii="Calibri"/>
          <w:spacing w:val="-3"/>
          <w:sz w:val="24"/>
        </w:rPr>
        <w:t xml:space="preserve"> </w:t>
      </w:r>
      <w:r w:rsidRPr="00150EDC">
        <w:rPr>
          <w:rFonts w:ascii="Calibri"/>
          <w:sz w:val="24"/>
        </w:rPr>
        <w:t>be a</w:t>
      </w:r>
      <w:r w:rsidRPr="00150EDC">
        <w:rPr>
          <w:rFonts w:ascii="Calibri"/>
          <w:spacing w:val="-1"/>
          <w:sz w:val="24"/>
        </w:rPr>
        <w:t xml:space="preserve"> </w:t>
      </w:r>
      <w:r w:rsidRPr="00150EDC">
        <w:rPr>
          <w:rFonts w:ascii="Calibri"/>
          <w:sz w:val="24"/>
        </w:rPr>
        <w:t>criminal offence</w:t>
      </w:r>
      <w:r w:rsidRPr="00150EDC">
        <w:rPr>
          <w:rFonts w:ascii="Calibri"/>
          <w:spacing w:val="-2"/>
          <w:sz w:val="24"/>
        </w:rPr>
        <w:t xml:space="preserve"> </w:t>
      </w:r>
      <w:r w:rsidRPr="00150EDC">
        <w:rPr>
          <w:rFonts w:ascii="Calibri"/>
          <w:sz w:val="24"/>
        </w:rPr>
        <w:t>under the Bribery</w:t>
      </w:r>
      <w:r w:rsidRPr="00150EDC">
        <w:rPr>
          <w:rFonts w:ascii="Calibri"/>
          <w:spacing w:val="-1"/>
          <w:sz w:val="24"/>
        </w:rPr>
        <w:t xml:space="preserve"> </w:t>
      </w:r>
      <w:r w:rsidRPr="00150EDC">
        <w:rPr>
          <w:rFonts w:ascii="Calibri"/>
          <w:sz w:val="24"/>
        </w:rPr>
        <w:t>Act</w:t>
      </w:r>
      <w:r w:rsidRPr="00150EDC">
        <w:rPr>
          <w:rFonts w:ascii="Calibri"/>
          <w:spacing w:val="-2"/>
          <w:sz w:val="24"/>
        </w:rPr>
        <w:t xml:space="preserve"> </w:t>
      </w:r>
      <w:r w:rsidRPr="00150EDC">
        <w:rPr>
          <w:rFonts w:ascii="Calibri"/>
          <w:sz w:val="24"/>
        </w:rPr>
        <w:t>2010.</w:t>
      </w:r>
    </w:p>
    <w:p w14:paraId="630F0C0B" w14:textId="77777777" w:rsidR="004C7180" w:rsidRPr="00150EDC" w:rsidRDefault="004C7180">
      <w:pPr>
        <w:pStyle w:val="BodyText"/>
        <w:spacing w:before="3"/>
        <w:rPr>
          <w:rFonts w:ascii="Calibri"/>
          <w:sz w:val="27"/>
        </w:rPr>
      </w:pPr>
    </w:p>
    <w:p w14:paraId="534DEDE4" w14:textId="77777777" w:rsidR="004C7180" w:rsidRPr="00150EDC" w:rsidRDefault="00CF0754" w:rsidP="00B320C7">
      <w:pPr>
        <w:pStyle w:val="ListParagraph"/>
        <w:numPr>
          <w:ilvl w:val="1"/>
          <w:numId w:val="182"/>
        </w:numPr>
        <w:tabs>
          <w:tab w:val="left" w:pos="1064"/>
          <w:tab w:val="left" w:pos="1066"/>
        </w:tabs>
        <w:ind w:right="763"/>
        <w:rPr>
          <w:rFonts w:ascii="Calibri"/>
          <w:sz w:val="24"/>
        </w:rPr>
      </w:pPr>
      <w:r w:rsidRPr="00150EDC">
        <w:rPr>
          <w:rFonts w:ascii="Calibri"/>
          <w:sz w:val="24"/>
        </w:rPr>
        <w:t>In spite of Clause 15.1, the Supplier may disclose Confidential Information on a confidential basis to Supplier</w:t>
      </w:r>
      <w:r w:rsidRPr="00150EDC">
        <w:rPr>
          <w:rFonts w:ascii="Calibri"/>
          <w:spacing w:val="-2"/>
          <w:sz w:val="24"/>
        </w:rPr>
        <w:t xml:space="preserve"> </w:t>
      </w:r>
      <w:r w:rsidRPr="00150EDC">
        <w:rPr>
          <w:rFonts w:ascii="Calibri"/>
          <w:sz w:val="24"/>
        </w:rPr>
        <w:t>Staff</w:t>
      </w:r>
      <w:r w:rsidRPr="00150EDC">
        <w:rPr>
          <w:rFonts w:ascii="Calibri"/>
          <w:spacing w:val="-4"/>
          <w:sz w:val="24"/>
        </w:rPr>
        <w:t xml:space="preserve"> </w:t>
      </w:r>
      <w:r w:rsidRPr="00150EDC">
        <w:rPr>
          <w:rFonts w:ascii="Calibri"/>
          <w:sz w:val="24"/>
        </w:rPr>
        <w:t>on</w:t>
      </w:r>
      <w:r w:rsidRPr="00150EDC">
        <w:rPr>
          <w:rFonts w:ascii="Calibri"/>
          <w:spacing w:val="-1"/>
          <w:sz w:val="24"/>
        </w:rPr>
        <w:t xml:space="preserve"> </w:t>
      </w:r>
      <w:r w:rsidRPr="00150EDC">
        <w:rPr>
          <w:rFonts w:ascii="Calibri"/>
          <w:sz w:val="24"/>
        </w:rPr>
        <w:t>a</w:t>
      </w:r>
      <w:r w:rsidRPr="00150EDC">
        <w:rPr>
          <w:rFonts w:ascii="Calibri"/>
          <w:spacing w:val="-5"/>
          <w:sz w:val="24"/>
        </w:rPr>
        <w:t xml:space="preserve"> </w:t>
      </w:r>
      <w:r w:rsidRPr="00150EDC">
        <w:rPr>
          <w:rFonts w:ascii="Calibri"/>
          <w:sz w:val="24"/>
        </w:rPr>
        <w:t>need-to-know</w:t>
      </w:r>
      <w:r w:rsidRPr="00150EDC">
        <w:rPr>
          <w:rFonts w:ascii="Calibri"/>
          <w:spacing w:val="-5"/>
          <w:sz w:val="24"/>
        </w:rPr>
        <w:t xml:space="preserve"> </w:t>
      </w:r>
      <w:r w:rsidRPr="00150EDC">
        <w:rPr>
          <w:rFonts w:ascii="Calibri"/>
          <w:sz w:val="24"/>
        </w:rPr>
        <w:t>basis</w:t>
      </w:r>
      <w:r w:rsidRPr="00150EDC">
        <w:rPr>
          <w:rFonts w:ascii="Calibri"/>
          <w:spacing w:val="-5"/>
          <w:sz w:val="24"/>
        </w:rPr>
        <w:t xml:space="preserve"> </w:t>
      </w:r>
      <w:r w:rsidRPr="00150EDC">
        <w:rPr>
          <w:rFonts w:ascii="Calibri"/>
          <w:sz w:val="24"/>
        </w:rPr>
        <w:t>to</w:t>
      </w:r>
      <w:r w:rsidRPr="00150EDC">
        <w:rPr>
          <w:rFonts w:ascii="Calibri"/>
          <w:spacing w:val="-2"/>
          <w:sz w:val="24"/>
        </w:rPr>
        <w:t xml:space="preserve"> </w:t>
      </w:r>
      <w:r w:rsidRPr="00150EDC">
        <w:rPr>
          <w:rFonts w:ascii="Calibri"/>
          <w:sz w:val="24"/>
        </w:rPr>
        <w:t>allow</w:t>
      </w:r>
      <w:r w:rsidRPr="00150EDC">
        <w:rPr>
          <w:rFonts w:ascii="Calibri"/>
          <w:spacing w:val="-3"/>
          <w:sz w:val="24"/>
        </w:rPr>
        <w:t xml:space="preserve"> </w:t>
      </w:r>
      <w:r w:rsidRPr="00150EDC">
        <w:rPr>
          <w:rFonts w:ascii="Calibri"/>
          <w:sz w:val="24"/>
        </w:rPr>
        <w:t>the</w:t>
      </w:r>
      <w:r w:rsidRPr="00150EDC">
        <w:rPr>
          <w:rFonts w:ascii="Calibri"/>
          <w:spacing w:val="-2"/>
          <w:sz w:val="24"/>
        </w:rPr>
        <w:t xml:space="preserve"> </w:t>
      </w:r>
      <w:r w:rsidRPr="00150EDC">
        <w:rPr>
          <w:rFonts w:ascii="Calibri"/>
          <w:sz w:val="24"/>
        </w:rPr>
        <w:t>Supplier</w:t>
      </w:r>
      <w:r w:rsidRPr="00150EDC">
        <w:rPr>
          <w:rFonts w:ascii="Calibri"/>
          <w:spacing w:val="-2"/>
          <w:sz w:val="24"/>
        </w:rPr>
        <w:t xml:space="preserve"> </w:t>
      </w:r>
      <w:r w:rsidRPr="00150EDC">
        <w:rPr>
          <w:rFonts w:ascii="Calibri"/>
          <w:sz w:val="24"/>
        </w:rPr>
        <w:t>to</w:t>
      </w:r>
      <w:r w:rsidRPr="00150EDC">
        <w:rPr>
          <w:rFonts w:ascii="Calibri"/>
          <w:spacing w:val="-2"/>
          <w:sz w:val="24"/>
        </w:rPr>
        <w:t xml:space="preserve"> </w:t>
      </w:r>
      <w:r w:rsidRPr="00150EDC">
        <w:rPr>
          <w:rFonts w:ascii="Calibri"/>
          <w:sz w:val="24"/>
        </w:rPr>
        <w:t>meet</w:t>
      </w:r>
      <w:r w:rsidRPr="00150EDC">
        <w:rPr>
          <w:rFonts w:ascii="Calibri"/>
          <w:spacing w:val="-3"/>
          <w:sz w:val="24"/>
        </w:rPr>
        <w:t xml:space="preserve"> </w:t>
      </w:r>
      <w:r w:rsidRPr="00150EDC">
        <w:rPr>
          <w:rFonts w:ascii="Calibri"/>
          <w:sz w:val="24"/>
        </w:rPr>
        <w:t>its</w:t>
      </w:r>
      <w:r w:rsidRPr="00150EDC">
        <w:rPr>
          <w:rFonts w:ascii="Calibri"/>
          <w:spacing w:val="-5"/>
          <w:sz w:val="24"/>
        </w:rPr>
        <w:t xml:space="preserve"> </w:t>
      </w:r>
      <w:r w:rsidRPr="00150EDC">
        <w:rPr>
          <w:rFonts w:ascii="Calibri"/>
          <w:sz w:val="24"/>
        </w:rPr>
        <w:t>obligations</w:t>
      </w:r>
      <w:r w:rsidRPr="00150EDC">
        <w:rPr>
          <w:rFonts w:ascii="Calibri"/>
          <w:spacing w:val="-5"/>
          <w:sz w:val="24"/>
        </w:rPr>
        <w:t xml:space="preserve"> </w:t>
      </w:r>
      <w:r w:rsidRPr="00150EDC">
        <w:rPr>
          <w:rFonts w:ascii="Calibri"/>
          <w:sz w:val="24"/>
        </w:rPr>
        <w:t>under</w:t>
      </w:r>
      <w:r w:rsidRPr="00150EDC">
        <w:rPr>
          <w:rFonts w:ascii="Calibri"/>
          <w:spacing w:val="-4"/>
          <w:sz w:val="24"/>
        </w:rPr>
        <w:t xml:space="preserve"> </w:t>
      </w:r>
      <w:r w:rsidRPr="00150EDC">
        <w:rPr>
          <w:rFonts w:ascii="Calibri"/>
          <w:sz w:val="24"/>
        </w:rPr>
        <w:t>the</w:t>
      </w:r>
      <w:r w:rsidRPr="00150EDC">
        <w:rPr>
          <w:rFonts w:ascii="Calibri"/>
          <w:spacing w:val="-2"/>
          <w:sz w:val="24"/>
        </w:rPr>
        <w:t xml:space="preserve"> </w:t>
      </w:r>
      <w:r w:rsidRPr="00150EDC">
        <w:rPr>
          <w:rFonts w:ascii="Calibri"/>
          <w:sz w:val="24"/>
        </w:rPr>
        <w:t xml:space="preserve">Contract. The Supplier Staff must enter into a direct confidentiality agreement with the Relevant Authority at its </w:t>
      </w:r>
      <w:r w:rsidRPr="00150EDC">
        <w:rPr>
          <w:rFonts w:ascii="Calibri"/>
          <w:spacing w:val="-2"/>
          <w:sz w:val="24"/>
        </w:rPr>
        <w:t>request.</w:t>
      </w:r>
    </w:p>
    <w:p w14:paraId="6FAC333E" w14:textId="77777777" w:rsidR="004C7180" w:rsidRPr="00150EDC" w:rsidRDefault="004C7180">
      <w:pPr>
        <w:pStyle w:val="BodyText"/>
        <w:spacing w:before="11"/>
        <w:rPr>
          <w:rFonts w:ascii="Calibri"/>
          <w:sz w:val="23"/>
        </w:rPr>
      </w:pPr>
    </w:p>
    <w:p w14:paraId="3C36D58C" w14:textId="77777777" w:rsidR="004C7180" w:rsidRPr="00150EDC" w:rsidRDefault="00CF0754" w:rsidP="00B320C7">
      <w:pPr>
        <w:pStyle w:val="ListParagraph"/>
        <w:numPr>
          <w:ilvl w:val="1"/>
          <w:numId w:val="182"/>
        </w:numPr>
        <w:tabs>
          <w:tab w:val="left" w:pos="1064"/>
          <w:tab w:val="left" w:pos="1066"/>
        </w:tabs>
        <w:spacing w:before="1"/>
        <w:ind w:right="930"/>
        <w:rPr>
          <w:rFonts w:ascii="Calibri"/>
          <w:sz w:val="24"/>
        </w:rPr>
      </w:pPr>
      <w:r w:rsidRPr="00150EDC">
        <w:rPr>
          <w:rFonts w:ascii="Calibri"/>
          <w:sz w:val="24"/>
        </w:rPr>
        <w:t>In</w:t>
      </w:r>
      <w:r w:rsidRPr="00150EDC">
        <w:rPr>
          <w:rFonts w:ascii="Calibri"/>
          <w:spacing w:val="-2"/>
          <w:sz w:val="24"/>
        </w:rPr>
        <w:t xml:space="preserve"> </w:t>
      </w:r>
      <w:r w:rsidRPr="00150EDC">
        <w:rPr>
          <w:rFonts w:ascii="Calibri"/>
          <w:sz w:val="24"/>
        </w:rPr>
        <w:t>spite</w:t>
      </w:r>
      <w:r w:rsidRPr="00150EDC">
        <w:rPr>
          <w:rFonts w:ascii="Calibri"/>
          <w:spacing w:val="-2"/>
          <w:sz w:val="24"/>
        </w:rPr>
        <w:t xml:space="preserve"> </w:t>
      </w:r>
      <w:r w:rsidRPr="00150EDC">
        <w:rPr>
          <w:rFonts w:ascii="Calibri"/>
          <w:sz w:val="24"/>
        </w:rPr>
        <w:t>of</w:t>
      </w:r>
      <w:r w:rsidRPr="00150EDC">
        <w:rPr>
          <w:rFonts w:ascii="Calibri"/>
          <w:spacing w:val="-2"/>
          <w:sz w:val="24"/>
        </w:rPr>
        <w:t xml:space="preserve"> </w:t>
      </w:r>
      <w:r w:rsidRPr="00150EDC">
        <w:rPr>
          <w:rFonts w:ascii="Calibri"/>
          <w:sz w:val="24"/>
        </w:rPr>
        <w:t>Clause</w:t>
      </w:r>
      <w:r w:rsidRPr="00150EDC">
        <w:rPr>
          <w:rFonts w:ascii="Calibri"/>
          <w:spacing w:val="-2"/>
          <w:sz w:val="24"/>
        </w:rPr>
        <w:t xml:space="preserve"> </w:t>
      </w:r>
      <w:r w:rsidRPr="00150EDC">
        <w:rPr>
          <w:rFonts w:ascii="Calibri"/>
          <w:sz w:val="24"/>
        </w:rPr>
        <w:t>15.1,</w:t>
      </w:r>
      <w:r w:rsidRPr="00150EDC">
        <w:rPr>
          <w:rFonts w:ascii="Calibri"/>
          <w:spacing w:val="-3"/>
          <w:sz w:val="24"/>
        </w:rPr>
        <w:t xml:space="preserve"> </w:t>
      </w:r>
      <w:r w:rsidRPr="00150EDC">
        <w:rPr>
          <w:rFonts w:ascii="Calibri"/>
          <w:sz w:val="24"/>
        </w:rPr>
        <w:t>CCS</w:t>
      </w:r>
      <w:r w:rsidRPr="00150EDC">
        <w:rPr>
          <w:rFonts w:ascii="Calibri"/>
          <w:spacing w:val="-3"/>
          <w:sz w:val="24"/>
        </w:rPr>
        <w:t xml:space="preserve"> </w:t>
      </w:r>
      <w:r w:rsidRPr="00150EDC">
        <w:rPr>
          <w:rFonts w:ascii="Calibri"/>
          <w:sz w:val="24"/>
        </w:rPr>
        <w:t>or</w:t>
      </w:r>
      <w:r w:rsidRPr="00150EDC">
        <w:rPr>
          <w:rFonts w:ascii="Calibri"/>
          <w:spacing w:val="-2"/>
          <w:sz w:val="24"/>
        </w:rPr>
        <w:t xml:space="preserve"> </w:t>
      </w:r>
      <w:r w:rsidRPr="00150EDC">
        <w:rPr>
          <w:rFonts w:ascii="Calibri"/>
          <w:sz w:val="24"/>
        </w:rPr>
        <w:t>the</w:t>
      </w:r>
      <w:r w:rsidRPr="00150EDC">
        <w:rPr>
          <w:rFonts w:ascii="Calibri"/>
          <w:spacing w:val="-2"/>
          <w:sz w:val="24"/>
        </w:rPr>
        <w:t xml:space="preserve"> </w:t>
      </w:r>
      <w:r w:rsidRPr="00150EDC">
        <w:rPr>
          <w:rFonts w:ascii="Calibri"/>
          <w:sz w:val="24"/>
        </w:rPr>
        <w:t>Buyer</w:t>
      </w:r>
      <w:r w:rsidRPr="00150EDC">
        <w:rPr>
          <w:rFonts w:ascii="Calibri"/>
          <w:spacing w:val="-3"/>
          <w:sz w:val="24"/>
        </w:rPr>
        <w:t xml:space="preserve"> </w:t>
      </w:r>
      <w:r w:rsidRPr="00150EDC">
        <w:rPr>
          <w:rFonts w:ascii="Calibri"/>
          <w:sz w:val="24"/>
        </w:rPr>
        <w:t>may</w:t>
      </w:r>
      <w:r w:rsidRPr="00150EDC">
        <w:rPr>
          <w:rFonts w:ascii="Calibri"/>
          <w:spacing w:val="-5"/>
          <w:sz w:val="24"/>
        </w:rPr>
        <w:t xml:space="preserve"> </w:t>
      </w:r>
      <w:r w:rsidRPr="00150EDC">
        <w:rPr>
          <w:rFonts w:ascii="Calibri"/>
          <w:sz w:val="24"/>
        </w:rPr>
        <w:t>disclose</w:t>
      </w:r>
      <w:r w:rsidRPr="00150EDC">
        <w:rPr>
          <w:rFonts w:ascii="Calibri"/>
          <w:spacing w:val="-2"/>
          <w:sz w:val="24"/>
        </w:rPr>
        <w:t xml:space="preserve"> </w:t>
      </w:r>
      <w:r w:rsidRPr="00150EDC">
        <w:rPr>
          <w:rFonts w:ascii="Calibri"/>
          <w:sz w:val="24"/>
        </w:rPr>
        <w:t>Confidential</w:t>
      </w:r>
      <w:r w:rsidRPr="00150EDC">
        <w:rPr>
          <w:rFonts w:ascii="Calibri"/>
          <w:spacing w:val="-2"/>
          <w:sz w:val="24"/>
        </w:rPr>
        <w:t xml:space="preserve"> </w:t>
      </w:r>
      <w:r w:rsidRPr="00150EDC">
        <w:rPr>
          <w:rFonts w:ascii="Calibri"/>
          <w:sz w:val="24"/>
        </w:rPr>
        <w:t>Information</w:t>
      </w:r>
      <w:r w:rsidRPr="00150EDC">
        <w:rPr>
          <w:rFonts w:ascii="Calibri"/>
          <w:spacing w:val="-4"/>
          <w:sz w:val="24"/>
        </w:rPr>
        <w:t xml:space="preserve"> </w:t>
      </w:r>
      <w:r w:rsidRPr="00150EDC">
        <w:rPr>
          <w:rFonts w:ascii="Calibri"/>
          <w:sz w:val="24"/>
        </w:rPr>
        <w:t>in</w:t>
      </w:r>
      <w:r w:rsidRPr="00150EDC">
        <w:rPr>
          <w:rFonts w:ascii="Calibri"/>
          <w:spacing w:val="-4"/>
          <w:sz w:val="24"/>
        </w:rPr>
        <w:t xml:space="preserve"> </w:t>
      </w:r>
      <w:r w:rsidRPr="00150EDC">
        <w:rPr>
          <w:rFonts w:ascii="Calibri"/>
          <w:sz w:val="24"/>
        </w:rPr>
        <w:t>any</w:t>
      </w:r>
      <w:r w:rsidRPr="00150EDC">
        <w:rPr>
          <w:rFonts w:ascii="Calibri"/>
          <w:spacing w:val="-6"/>
          <w:sz w:val="24"/>
        </w:rPr>
        <w:t xml:space="preserve"> </w:t>
      </w:r>
      <w:r w:rsidRPr="00150EDC">
        <w:rPr>
          <w:rFonts w:ascii="Calibri"/>
          <w:sz w:val="24"/>
        </w:rPr>
        <w:t>of</w:t>
      </w:r>
      <w:r w:rsidRPr="00150EDC">
        <w:rPr>
          <w:rFonts w:ascii="Calibri"/>
          <w:spacing w:val="-3"/>
          <w:sz w:val="24"/>
        </w:rPr>
        <w:t xml:space="preserve"> </w:t>
      </w:r>
      <w:r w:rsidRPr="00150EDC">
        <w:rPr>
          <w:rFonts w:ascii="Calibri"/>
          <w:sz w:val="24"/>
        </w:rPr>
        <w:t>the</w:t>
      </w:r>
      <w:r w:rsidRPr="00150EDC">
        <w:rPr>
          <w:rFonts w:ascii="Calibri"/>
          <w:spacing w:val="-4"/>
          <w:sz w:val="24"/>
        </w:rPr>
        <w:t xml:space="preserve"> </w:t>
      </w:r>
      <w:r w:rsidRPr="00150EDC">
        <w:rPr>
          <w:rFonts w:ascii="Calibri"/>
          <w:sz w:val="24"/>
        </w:rPr>
        <w:t xml:space="preserve">following </w:t>
      </w:r>
      <w:r w:rsidRPr="00150EDC">
        <w:rPr>
          <w:rFonts w:ascii="Calibri"/>
          <w:spacing w:val="-2"/>
          <w:sz w:val="24"/>
        </w:rPr>
        <w:t>cases:</w:t>
      </w:r>
    </w:p>
    <w:p w14:paraId="1EAB37CC" w14:textId="77777777" w:rsidR="004C7180" w:rsidRPr="00150EDC" w:rsidRDefault="004C7180">
      <w:pPr>
        <w:pStyle w:val="BodyText"/>
        <w:spacing w:before="8"/>
        <w:rPr>
          <w:rFonts w:ascii="Calibri"/>
          <w:sz w:val="25"/>
        </w:rPr>
      </w:pPr>
    </w:p>
    <w:p w14:paraId="29886214" w14:textId="77777777" w:rsidR="004C7180" w:rsidRPr="00150EDC" w:rsidRDefault="00CF0754" w:rsidP="00B320C7">
      <w:pPr>
        <w:pStyle w:val="ListParagraph"/>
        <w:numPr>
          <w:ilvl w:val="0"/>
          <w:numId w:val="157"/>
        </w:numPr>
        <w:tabs>
          <w:tab w:val="left" w:pos="1491"/>
        </w:tabs>
        <w:spacing w:before="1"/>
        <w:ind w:left="1491" w:hanging="425"/>
        <w:rPr>
          <w:rFonts w:ascii="Calibri"/>
          <w:sz w:val="24"/>
        </w:rPr>
      </w:pPr>
      <w:r w:rsidRPr="00150EDC">
        <w:rPr>
          <w:rFonts w:ascii="Calibri"/>
          <w:sz w:val="24"/>
        </w:rPr>
        <w:t>on</w:t>
      </w:r>
      <w:r w:rsidRPr="00150EDC">
        <w:rPr>
          <w:rFonts w:ascii="Calibri"/>
          <w:spacing w:val="-3"/>
          <w:sz w:val="24"/>
        </w:rPr>
        <w:t xml:space="preserve"> </w:t>
      </w:r>
      <w:r w:rsidRPr="00150EDC">
        <w:rPr>
          <w:rFonts w:ascii="Calibri"/>
          <w:sz w:val="24"/>
        </w:rPr>
        <w:t>a</w:t>
      </w:r>
      <w:r w:rsidRPr="00150EDC">
        <w:rPr>
          <w:rFonts w:ascii="Calibri"/>
          <w:spacing w:val="-4"/>
          <w:sz w:val="24"/>
        </w:rPr>
        <w:t xml:space="preserve"> </w:t>
      </w:r>
      <w:r w:rsidRPr="00150EDC">
        <w:rPr>
          <w:rFonts w:ascii="Calibri"/>
          <w:sz w:val="24"/>
        </w:rPr>
        <w:t>confidential</w:t>
      </w:r>
      <w:r w:rsidRPr="00150EDC">
        <w:rPr>
          <w:rFonts w:ascii="Calibri"/>
          <w:spacing w:val="-3"/>
          <w:sz w:val="24"/>
        </w:rPr>
        <w:t xml:space="preserve"> </w:t>
      </w:r>
      <w:r w:rsidRPr="00150EDC">
        <w:rPr>
          <w:rFonts w:ascii="Calibri"/>
          <w:sz w:val="24"/>
        </w:rPr>
        <w:t>basis</w:t>
      </w:r>
      <w:r w:rsidRPr="00150EDC">
        <w:rPr>
          <w:rFonts w:ascii="Calibri"/>
          <w:spacing w:val="-4"/>
          <w:sz w:val="24"/>
        </w:rPr>
        <w:t xml:space="preserve"> </w:t>
      </w:r>
      <w:r w:rsidRPr="00150EDC">
        <w:rPr>
          <w:rFonts w:ascii="Calibri"/>
          <w:sz w:val="24"/>
        </w:rPr>
        <w:t>to</w:t>
      </w:r>
      <w:r w:rsidRPr="00150EDC">
        <w:rPr>
          <w:rFonts w:ascii="Calibri"/>
          <w:spacing w:val="-4"/>
          <w:sz w:val="24"/>
        </w:rPr>
        <w:t xml:space="preserve"> </w:t>
      </w:r>
      <w:r w:rsidRPr="00150EDC">
        <w:rPr>
          <w:rFonts w:ascii="Calibri"/>
          <w:sz w:val="24"/>
        </w:rPr>
        <w:t>the</w:t>
      </w:r>
      <w:r w:rsidRPr="00150EDC">
        <w:rPr>
          <w:rFonts w:ascii="Calibri"/>
          <w:spacing w:val="-1"/>
          <w:sz w:val="24"/>
        </w:rPr>
        <w:t xml:space="preserve"> </w:t>
      </w:r>
      <w:r w:rsidRPr="00150EDC">
        <w:rPr>
          <w:rFonts w:ascii="Calibri"/>
          <w:sz w:val="24"/>
        </w:rPr>
        <w:t>employees,</w:t>
      </w:r>
      <w:r w:rsidRPr="00150EDC">
        <w:rPr>
          <w:rFonts w:ascii="Calibri"/>
          <w:spacing w:val="-4"/>
          <w:sz w:val="24"/>
        </w:rPr>
        <w:t xml:space="preserve"> </w:t>
      </w:r>
      <w:r w:rsidRPr="00150EDC">
        <w:rPr>
          <w:rFonts w:ascii="Calibri"/>
          <w:sz w:val="24"/>
        </w:rPr>
        <w:t>agents,</w:t>
      </w:r>
      <w:r w:rsidRPr="00150EDC">
        <w:rPr>
          <w:rFonts w:ascii="Calibri"/>
          <w:spacing w:val="-4"/>
          <w:sz w:val="24"/>
        </w:rPr>
        <w:t xml:space="preserve"> </w:t>
      </w:r>
      <w:r w:rsidRPr="00150EDC">
        <w:rPr>
          <w:rFonts w:ascii="Calibri"/>
          <w:sz w:val="24"/>
        </w:rPr>
        <w:t>consultants</w:t>
      </w:r>
      <w:r w:rsidRPr="00150EDC">
        <w:rPr>
          <w:rFonts w:ascii="Calibri"/>
          <w:spacing w:val="-4"/>
          <w:sz w:val="24"/>
        </w:rPr>
        <w:t xml:space="preserve"> </w:t>
      </w:r>
      <w:r w:rsidRPr="00150EDC">
        <w:rPr>
          <w:rFonts w:ascii="Calibri"/>
          <w:sz w:val="24"/>
        </w:rPr>
        <w:t>and</w:t>
      </w:r>
      <w:r w:rsidRPr="00150EDC">
        <w:rPr>
          <w:rFonts w:ascii="Calibri"/>
          <w:spacing w:val="-1"/>
          <w:sz w:val="24"/>
        </w:rPr>
        <w:t xml:space="preserve"> </w:t>
      </w:r>
      <w:r w:rsidRPr="00150EDC">
        <w:rPr>
          <w:rFonts w:ascii="Calibri"/>
          <w:sz w:val="24"/>
        </w:rPr>
        <w:t>contractors</w:t>
      </w:r>
      <w:r w:rsidRPr="00150EDC">
        <w:rPr>
          <w:rFonts w:ascii="Calibri"/>
          <w:spacing w:val="-2"/>
          <w:sz w:val="24"/>
        </w:rPr>
        <w:t xml:space="preserve"> </w:t>
      </w:r>
      <w:r w:rsidRPr="00150EDC">
        <w:rPr>
          <w:rFonts w:ascii="Calibri"/>
          <w:sz w:val="24"/>
        </w:rPr>
        <w:t>of</w:t>
      </w:r>
      <w:r w:rsidRPr="00150EDC">
        <w:rPr>
          <w:rFonts w:ascii="Calibri"/>
          <w:spacing w:val="-3"/>
          <w:sz w:val="24"/>
        </w:rPr>
        <w:t xml:space="preserve"> </w:t>
      </w:r>
      <w:r w:rsidRPr="00150EDC">
        <w:rPr>
          <w:rFonts w:ascii="Calibri"/>
          <w:sz w:val="24"/>
        </w:rPr>
        <w:t>CCS</w:t>
      </w:r>
      <w:r w:rsidRPr="00150EDC">
        <w:rPr>
          <w:rFonts w:ascii="Calibri"/>
          <w:spacing w:val="-2"/>
          <w:sz w:val="24"/>
        </w:rPr>
        <w:t xml:space="preserve"> </w:t>
      </w:r>
      <w:r w:rsidRPr="00150EDC">
        <w:rPr>
          <w:rFonts w:ascii="Calibri"/>
          <w:sz w:val="24"/>
        </w:rPr>
        <w:t>or</w:t>
      </w:r>
      <w:r w:rsidRPr="00150EDC">
        <w:rPr>
          <w:rFonts w:ascii="Calibri"/>
          <w:spacing w:val="-3"/>
          <w:sz w:val="24"/>
        </w:rPr>
        <w:t xml:space="preserve"> </w:t>
      </w:r>
      <w:r w:rsidRPr="00150EDC">
        <w:rPr>
          <w:rFonts w:ascii="Calibri"/>
          <w:sz w:val="24"/>
        </w:rPr>
        <w:t>the</w:t>
      </w:r>
      <w:r w:rsidRPr="00150EDC">
        <w:rPr>
          <w:rFonts w:ascii="Calibri"/>
          <w:spacing w:val="-1"/>
          <w:sz w:val="24"/>
        </w:rPr>
        <w:t xml:space="preserve"> </w:t>
      </w:r>
      <w:r w:rsidRPr="00150EDC">
        <w:rPr>
          <w:rFonts w:ascii="Calibri"/>
          <w:spacing w:val="-2"/>
          <w:sz w:val="24"/>
        </w:rPr>
        <w:t>Buyer;</w:t>
      </w:r>
    </w:p>
    <w:p w14:paraId="7027725A" w14:textId="77777777" w:rsidR="004C7180" w:rsidRPr="00150EDC" w:rsidRDefault="00CF0754" w:rsidP="00B320C7">
      <w:pPr>
        <w:pStyle w:val="ListParagraph"/>
        <w:numPr>
          <w:ilvl w:val="0"/>
          <w:numId w:val="157"/>
        </w:numPr>
        <w:tabs>
          <w:tab w:val="left" w:pos="1491"/>
          <w:tab w:val="left" w:pos="1494"/>
        </w:tabs>
        <w:spacing w:before="19"/>
        <w:ind w:right="658"/>
        <w:rPr>
          <w:rFonts w:ascii="Calibri"/>
          <w:sz w:val="24"/>
        </w:rPr>
      </w:pPr>
      <w:r w:rsidRPr="00150EDC">
        <w:rPr>
          <w:rFonts w:ascii="Calibri"/>
          <w:sz w:val="24"/>
        </w:rPr>
        <w:t>on a confidential basis to any other Central Government Body, any successor body to a Central Government</w:t>
      </w:r>
      <w:r w:rsidRPr="00150EDC">
        <w:rPr>
          <w:rFonts w:ascii="Calibri"/>
          <w:spacing w:val="-3"/>
          <w:sz w:val="24"/>
        </w:rPr>
        <w:t xml:space="preserve"> </w:t>
      </w:r>
      <w:r w:rsidRPr="00150EDC">
        <w:rPr>
          <w:rFonts w:ascii="Calibri"/>
          <w:sz w:val="24"/>
        </w:rPr>
        <w:t>Body</w:t>
      </w:r>
      <w:r w:rsidRPr="00150EDC">
        <w:rPr>
          <w:rFonts w:ascii="Calibri"/>
          <w:spacing w:val="-2"/>
          <w:sz w:val="24"/>
        </w:rPr>
        <w:t xml:space="preserve"> </w:t>
      </w:r>
      <w:r w:rsidRPr="00150EDC">
        <w:rPr>
          <w:rFonts w:ascii="Calibri"/>
          <w:sz w:val="24"/>
        </w:rPr>
        <w:t>or</w:t>
      </w:r>
      <w:r w:rsidRPr="00150EDC">
        <w:rPr>
          <w:rFonts w:ascii="Calibri"/>
          <w:spacing w:val="-4"/>
          <w:sz w:val="24"/>
        </w:rPr>
        <w:t xml:space="preserve"> </w:t>
      </w:r>
      <w:r w:rsidRPr="00150EDC">
        <w:rPr>
          <w:rFonts w:ascii="Calibri"/>
          <w:sz w:val="24"/>
        </w:rPr>
        <w:t>any</w:t>
      </w:r>
      <w:r w:rsidRPr="00150EDC">
        <w:rPr>
          <w:rFonts w:ascii="Calibri"/>
          <w:spacing w:val="-5"/>
          <w:sz w:val="24"/>
        </w:rPr>
        <w:t xml:space="preserve"> </w:t>
      </w:r>
      <w:r w:rsidRPr="00150EDC">
        <w:rPr>
          <w:rFonts w:ascii="Calibri"/>
          <w:sz w:val="24"/>
        </w:rPr>
        <w:t>company</w:t>
      </w:r>
      <w:r w:rsidRPr="00150EDC">
        <w:rPr>
          <w:rFonts w:ascii="Calibri"/>
          <w:spacing w:val="-5"/>
          <w:sz w:val="24"/>
        </w:rPr>
        <w:t xml:space="preserve"> </w:t>
      </w:r>
      <w:r w:rsidRPr="00150EDC">
        <w:rPr>
          <w:rFonts w:ascii="Calibri"/>
          <w:sz w:val="24"/>
        </w:rPr>
        <w:t>that</w:t>
      </w:r>
      <w:r w:rsidRPr="00150EDC">
        <w:rPr>
          <w:rFonts w:ascii="Calibri"/>
          <w:spacing w:val="-3"/>
          <w:sz w:val="24"/>
        </w:rPr>
        <w:t xml:space="preserve"> </w:t>
      </w:r>
      <w:r w:rsidRPr="00150EDC">
        <w:rPr>
          <w:rFonts w:ascii="Calibri"/>
          <w:sz w:val="24"/>
        </w:rPr>
        <w:t>CCS</w:t>
      </w:r>
      <w:r w:rsidRPr="00150EDC">
        <w:rPr>
          <w:rFonts w:ascii="Calibri"/>
          <w:spacing w:val="-2"/>
          <w:sz w:val="24"/>
        </w:rPr>
        <w:t xml:space="preserve"> </w:t>
      </w:r>
      <w:r w:rsidRPr="00150EDC">
        <w:rPr>
          <w:rFonts w:ascii="Calibri"/>
          <w:sz w:val="24"/>
        </w:rPr>
        <w:t>or</w:t>
      </w:r>
      <w:r w:rsidRPr="00150EDC">
        <w:rPr>
          <w:rFonts w:ascii="Calibri"/>
          <w:spacing w:val="-3"/>
          <w:sz w:val="24"/>
        </w:rPr>
        <w:t xml:space="preserve"> </w:t>
      </w:r>
      <w:r w:rsidRPr="00150EDC">
        <w:rPr>
          <w:rFonts w:ascii="Calibri"/>
          <w:sz w:val="24"/>
        </w:rPr>
        <w:t>the</w:t>
      </w:r>
      <w:r w:rsidRPr="00150EDC">
        <w:rPr>
          <w:rFonts w:ascii="Calibri"/>
          <w:spacing w:val="-1"/>
          <w:sz w:val="24"/>
        </w:rPr>
        <w:t xml:space="preserve"> </w:t>
      </w:r>
      <w:r w:rsidRPr="00150EDC">
        <w:rPr>
          <w:rFonts w:ascii="Calibri"/>
          <w:sz w:val="24"/>
        </w:rPr>
        <w:t>Buyer</w:t>
      </w:r>
      <w:r w:rsidRPr="00150EDC">
        <w:rPr>
          <w:rFonts w:ascii="Calibri"/>
          <w:spacing w:val="-4"/>
          <w:sz w:val="24"/>
        </w:rPr>
        <w:t xml:space="preserve"> </w:t>
      </w:r>
      <w:r w:rsidRPr="00150EDC">
        <w:rPr>
          <w:rFonts w:ascii="Calibri"/>
          <w:sz w:val="24"/>
        </w:rPr>
        <w:t>transfers</w:t>
      </w:r>
      <w:r w:rsidRPr="00150EDC">
        <w:rPr>
          <w:rFonts w:ascii="Calibri"/>
          <w:spacing w:val="-4"/>
          <w:sz w:val="24"/>
        </w:rPr>
        <w:t xml:space="preserve"> </w:t>
      </w:r>
      <w:r w:rsidRPr="00150EDC">
        <w:rPr>
          <w:rFonts w:ascii="Calibri"/>
          <w:sz w:val="24"/>
        </w:rPr>
        <w:t>or</w:t>
      </w:r>
      <w:r w:rsidRPr="00150EDC">
        <w:rPr>
          <w:rFonts w:ascii="Calibri"/>
          <w:spacing w:val="-3"/>
          <w:sz w:val="24"/>
        </w:rPr>
        <w:t xml:space="preserve"> </w:t>
      </w:r>
      <w:r w:rsidRPr="00150EDC">
        <w:rPr>
          <w:rFonts w:ascii="Calibri"/>
          <w:sz w:val="24"/>
        </w:rPr>
        <w:t>proposes</w:t>
      </w:r>
      <w:r w:rsidRPr="00150EDC">
        <w:rPr>
          <w:rFonts w:ascii="Calibri"/>
          <w:spacing w:val="-2"/>
          <w:sz w:val="24"/>
        </w:rPr>
        <w:t xml:space="preserve"> </w:t>
      </w:r>
      <w:r w:rsidRPr="00150EDC">
        <w:rPr>
          <w:rFonts w:ascii="Calibri"/>
          <w:sz w:val="24"/>
        </w:rPr>
        <w:t>to</w:t>
      </w:r>
      <w:r w:rsidRPr="00150EDC">
        <w:rPr>
          <w:rFonts w:ascii="Calibri"/>
          <w:spacing w:val="-4"/>
          <w:sz w:val="24"/>
        </w:rPr>
        <w:t xml:space="preserve"> </w:t>
      </w:r>
      <w:r w:rsidRPr="00150EDC">
        <w:rPr>
          <w:rFonts w:ascii="Calibri"/>
          <w:sz w:val="24"/>
        </w:rPr>
        <w:t>transfer</w:t>
      </w:r>
      <w:r w:rsidRPr="00150EDC">
        <w:rPr>
          <w:rFonts w:ascii="Calibri"/>
          <w:spacing w:val="-1"/>
          <w:sz w:val="24"/>
        </w:rPr>
        <w:t xml:space="preserve"> </w:t>
      </w:r>
      <w:r w:rsidRPr="00150EDC">
        <w:rPr>
          <w:rFonts w:ascii="Calibri"/>
          <w:sz w:val="24"/>
        </w:rPr>
        <w:t>all</w:t>
      </w:r>
      <w:r w:rsidRPr="00150EDC">
        <w:rPr>
          <w:rFonts w:ascii="Calibri"/>
          <w:spacing w:val="-4"/>
          <w:sz w:val="24"/>
        </w:rPr>
        <w:t xml:space="preserve"> </w:t>
      </w:r>
      <w:r w:rsidRPr="00150EDC">
        <w:rPr>
          <w:rFonts w:ascii="Calibri"/>
          <w:sz w:val="24"/>
        </w:rPr>
        <w:t>or</w:t>
      </w:r>
      <w:r w:rsidRPr="00150EDC">
        <w:rPr>
          <w:rFonts w:ascii="Calibri"/>
          <w:spacing w:val="-3"/>
          <w:sz w:val="24"/>
        </w:rPr>
        <w:t xml:space="preserve"> </w:t>
      </w:r>
      <w:r w:rsidRPr="00150EDC">
        <w:rPr>
          <w:rFonts w:ascii="Calibri"/>
          <w:sz w:val="24"/>
        </w:rPr>
        <w:t>any part of its business to;</w:t>
      </w:r>
    </w:p>
    <w:p w14:paraId="345AE5C6" w14:textId="77777777" w:rsidR="004C7180" w:rsidRPr="00150EDC" w:rsidRDefault="00CF0754" w:rsidP="00B320C7">
      <w:pPr>
        <w:pStyle w:val="ListParagraph"/>
        <w:numPr>
          <w:ilvl w:val="0"/>
          <w:numId w:val="157"/>
        </w:numPr>
        <w:tabs>
          <w:tab w:val="left" w:pos="1492"/>
          <w:tab w:val="left" w:pos="1494"/>
        </w:tabs>
        <w:spacing w:before="19" w:line="242" w:lineRule="auto"/>
        <w:ind w:right="653"/>
        <w:rPr>
          <w:rFonts w:ascii="Calibri"/>
          <w:sz w:val="24"/>
        </w:rPr>
      </w:pPr>
      <w:r w:rsidRPr="00150EDC">
        <w:rPr>
          <w:rFonts w:ascii="Calibri"/>
          <w:sz w:val="24"/>
        </w:rPr>
        <w:t>if</w:t>
      </w:r>
      <w:r w:rsidRPr="00150EDC">
        <w:rPr>
          <w:rFonts w:ascii="Calibri"/>
          <w:spacing w:val="-2"/>
          <w:sz w:val="24"/>
        </w:rPr>
        <w:t xml:space="preserve"> </w:t>
      </w:r>
      <w:r w:rsidRPr="00150EDC">
        <w:rPr>
          <w:rFonts w:ascii="Calibri"/>
          <w:sz w:val="24"/>
        </w:rPr>
        <w:t>CCS</w:t>
      </w:r>
      <w:r w:rsidRPr="00150EDC">
        <w:rPr>
          <w:rFonts w:ascii="Calibri"/>
          <w:spacing w:val="-3"/>
          <w:sz w:val="24"/>
        </w:rPr>
        <w:t xml:space="preserve"> </w:t>
      </w:r>
      <w:r w:rsidRPr="00150EDC">
        <w:rPr>
          <w:rFonts w:ascii="Calibri"/>
          <w:sz w:val="24"/>
        </w:rPr>
        <w:t>or</w:t>
      </w:r>
      <w:r w:rsidRPr="00150EDC">
        <w:rPr>
          <w:rFonts w:ascii="Calibri"/>
          <w:spacing w:val="-4"/>
          <w:sz w:val="24"/>
        </w:rPr>
        <w:t xml:space="preserve"> </w:t>
      </w:r>
      <w:r w:rsidRPr="00150EDC">
        <w:rPr>
          <w:rFonts w:ascii="Calibri"/>
          <w:sz w:val="24"/>
        </w:rPr>
        <w:t>the</w:t>
      </w:r>
      <w:r w:rsidRPr="00150EDC">
        <w:rPr>
          <w:rFonts w:ascii="Calibri"/>
          <w:spacing w:val="-2"/>
          <w:sz w:val="24"/>
        </w:rPr>
        <w:t xml:space="preserve"> </w:t>
      </w:r>
      <w:r w:rsidRPr="00150EDC">
        <w:rPr>
          <w:rFonts w:ascii="Calibri"/>
          <w:sz w:val="24"/>
        </w:rPr>
        <w:t>Buyer</w:t>
      </w:r>
      <w:r w:rsidRPr="00150EDC">
        <w:rPr>
          <w:rFonts w:ascii="Calibri"/>
          <w:spacing w:val="-4"/>
          <w:sz w:val="24"/>
        </w:rPr>
        <w:t xml:space="preserve"> </w:t>
      </w:r>
      <w:r w:rsidRPr="00150EDC">
        <w:rPr>
          <w:rFonts w:ascii="Calibri"/>
          <w:sz w:val="24"/>
        </w:rPr>
        <w:t>(acting</w:t>
      </w:r>
      <w:r w:rsidRPr="00150EDC">
        <w:rPr>
          <w:rFonts w:ascii="Calibri"/>
          <w:spacing w:val="-3"/>
          <w:sz w:val="24"/>
        </w:rPr>
        <w:t xml:space="preserve"> </w:t>
      </w:r>
      <w:r w:rsidRPr="00150EDC">
        <w:rPr>
          <w:rFonts w:ascii="Calibri"/>
          <w:sz w:val="24"/>
        </w:rPr>
        <w:t>reasonably)</w:t>
      </w:r>
      <w:r w:rsidRPr="00150EDC">
        <w:rPr>
          <w:rFonts w:ascii="Calibri"/>
          <w:spacing w:val="-4"/>
          <w:sz w:val="24"/>
        </w:rPr>
        <w:t xml:space="preserve"> </w:t>
      </w:r>
      <w:r w:rsidRPr="00150EDC">
        <w:rPr>
          <w:rFonts w:ascii="Calibri"/>
          <w:sz w:val="24"/>
        </w:rPr>
        <w:t>considers</w:t>
      </w:r>
      <w:r w:rsidRPr="00150EDC">
        <w:rPr>
          <w:rFonts w:ascii="Calibri"/>
          <w:spacing w:val="-4"/>
          <w:sz w:val="24"/>
        </w:rPr>
        <w:t xml:space="preserve"> </w:t>
      </w:r>
      <w:r w:rsidRPr="00150EDC">
        <w:rPr>
          <w:rFonts w:ascii="Calibri"/>
          <w:sz w:val="24"/>
        </w:rPr>
        <w:t>disclosure</w:t>
      </w:r>
      <w:r w:rsidRPr="00150EDC">
        <w:rPr>
          <w:rFonts w:ascii="Calibri"/>
          <w:spacing w:val="-4"/>
          <w:sz w:val="24"/>
        </w:rPr>
        <w:t xml:space="preserve"> </w:t>
      </w:r>
      <w:r w:rsidRPr="00150EDC">
        <w:rPr>
          <w:rFonts w:ascii="Calibri"/>
          <w:sz w:val="24"/>
        </w:rPr>
        <w:t>necessary</w:t>
      </w:r>
      <w:r w:rsidRPr="00150EDC">
        <w:rPr>
          <w:rFonts w:ascii="Calibri"/>
          <w:spacing w:val="-4"/>
          <w:sz w:val="24"/>
        </w:rPr>
        <w:t xml:space="preserve"> </w:t>
      </w:r>
      <w:r w:rsidRPr="00150EDC">
        <w:rPr>
          <w:rFonts w:ascii="Calibri"/>
          <w:sz w:val="24"/>
        </w:rPr>
        <w:t>or appropriate</w:t>
      </w:r>
      <w:r w:rsidRPr="00150EDC">
        <w:rPr>
          <w:rFonts w:ascii="Calibri"/>
          <w:spacing w:val="-4"/>
          <w:sz w:val="24"/>
        </w:rPr>
        <w:t xml:space="preserve"> </w:t>
      </w:r>
      <w:r w:rsidRPr="00150EDC">
        <w:rPr>
          <w:rFonts w:ascii="Calibri"/>
          <w:sz w:val="24"/>
        </w:rPr>
        <w:t>to</w:t>
      </w:r>
      <w:r w:rsidRPr="00150EDC">
        <w:rPr>
          <w:rFonts w:ascii="Calibri"/>
          <w:spacing w:val="-2"/>
          <w:sz w:val="24"/>
        </w:rPr>
        <w:t xml:space="preserve"> </w:t>
      </w:r>
      <w:r w:rsidRPr="00150EDC">
        <w:rPr>
          <w:rFonts w:ascii="Calibri"/>
          <w:sz w:val="24"/>
        </w:rPr>
        <w:t>carry</w:t>
      </w:r>
      <w:r w:rsidRPr="00150EDC">
        <w:rPr>
          <w:rFonts w:ascii="Calibri"/>
          <w:spacing w:val="-4"/>
          <w:sz w:val="24"/>
        </w:rPr>
        <w:t xml:space="preserve"> </w:t>
      </w:r>
      <w:r w:rsidRPr="00150EDC">
        <w:rPr>
          <w:rFonts w:ascii="Calibri"/>
          <w:sz w:val="24"/>
        </w:rPr>
        <w:t>out</w:t>
      </w:r>
      <w:r w:rsidRPr="00150EDC">
        <w:rPr>
          <w:rFonts w:ascii="Calibri"/>
          <w:spacing w:val="-2"/>
          <w:sz w:val="24"/>
        </w:rPr>
        <w:t xml:space="preserve"> </w:t>
      </w:r>
      <w:r w:rsidRPr="00150EDC">
        <w:rPr>
          <w:rFonts w:ascii="Calibri"/>
          <w:sz w:val="24"/>
        </w:rPr>
        <w:t>its public functions;</w:t>
      </w:r>
    </w:p>
    <w:p w14:paraId="1E2DB92B" w14:textId="77777777" w:rsidR="004C7180" w:rsidRPr="00150EDC" w:rsidRDefault="00CF0754" w:rsidP="00B320C7">
      <w:pPr>
        <w:pStyle w:val="ListParagraph"/>
        <w:numPr>
          <w:ilvl w:val="0"/>
          <w:numId w:val="157"/>
        </w:numPr>
        <w:tabs>
          <w:tab w:val="left" w:pos="1491"/>
        </w:tabs>
        <w:spacing w:before="15"/>
        <w:ind w:left="1491" w:hanging="425"/>
        <w:rPr>
          <w:rFonts w:ascii="Calibri"/>
          <w:sz w:val="24"/>
        </w:rPr>
      </w:pPr>
      <w:r w:rsidRPr="00150EDC">
        <w:rPr>
          <w:rFonts w:ascii="Calibri"/>
          <w:sz w:val="24"/>
        </w:rPr>
        <w:t>where</w:t>
      </w:r>
      <w:r w:rsidRPr="00150EDC">
        <w:rPr>
          <w:rFonts w:ascii="Calibri"/>
          <w:spacing w:val="-3"/>
          <w:sz w:val="24"/>
        </w:rPr>
        <w:t xml:space="preserve"> </w:t>
      </w:r>
      <w:r w:rsidRPr="00150EDC">
        <w:rPr>
          <w:rFonts w:ascii="Calibri"/>
          <w:sz w:val="24"/>
        </w:rPr>
        <w:t>requested</w:t>
      </w:r>
      <w:r w:rsidRPr="00150EDC">
        <w:rPr>
          <w:rFonts w:ascii="Calibri"/>
          <w:spacing w:val="-2"/>
          <w:sz w:val="24"/>
        </w:rPr>
        <w:t xml:space="preserve"> </w:t>
      </w:r>
      <w:r w:rsidRPr="00150EDC">
        <w:rPr>
          <w:rFonts w:ascii="Calibri"/>
          <w:sz w:val="24"/>
        </w:rPr>
        <w:t>by</w:t>
      </w:r>
      <w:r w:rsidRPr="00150EDC">
        <w:rPr>
          <w:rFonts w:ascii="Calibri"/>
          <w:spacing w:val="-5"/>
          <w:sz w:val="24"/>
        </w:rPr>
        <w:t xml:space="preserve"> </w:t>
      </w:r>
      <w:r w:rsidRPr="00150EDC">
        <w:rPr>
          <w:rFonts w:ascii="Calibri"/>
          <w:sz w:val="24"/>
        </w:rPr>
        <w:t>Parliament;</w:t>
      </w:r>
      <w:r w:rsidRPr="00150EDC">
        <w:rPr>
          <w:rFonts w:ascii="Calibri"/>
          <w:spacing w:val="-2"/>
          <w:sz w:val="24"/>
        </w:rPr>
        <w:t xml:space="preserve"> </w:t>
      </w:r>
      <w:r w:rsidRPr="00150EDC">
        <w:rPr>
          <w:rFonts w:ascii="Calibri"/>
          <w:spacing w:val="-5"/>
          <w:sz w:val="24"/>
        </w:rPr>
        <w:t>or</w:t>
      </w:r>
    </w:p>
    <w:p w14:paraId="5B257119" w14:textId="77777777" w:rsidR="004C7180" w:rsidRPr="00150EDC" w:rsidRDefault="00CF0754" w:rsidP="00B320C7">
      <w:pPr>
        <w:pStyle w:val="ListParagraph"/>
        <w:numPr>
          <w:ilvl w:val="0"/>
          <w:numId w:val="157"/>
        </w:numPr>
        <w:tabs>
          <w:tab w:val="left" w:pos="1491"/>
        </w:tabs>
        <w:spacing w:before="19"/>
        <w:ind w:left="1491" w:hanging="425"/>
        <w:rPr>
          <w:rFonts w:ascii="Calibri"/>
          <w:sz w:val="24"/>
        </w:rPr>
      </w:pPr>
      <w:r w:rsidRPr="00150EDC">
        <w:rPr>
          <w:rFonts w:ascii="Calibri"/>
          <w:sz w:val="24"/>
        </w:rPr>
        <w:t>under</w:t>
      </w:r>
      <w:r w:rsidRPr="00150EDC">
        <w:rPr>
          <w:rFonts w:ascii="Calibri"/>
          <w:spacing w:val="-2"/>
          <w:sz w:val="24"/>
        </w:rPr>
        <w:t xml:space="preserve"> </w:t>
      </w:r>
      <w:r w:rsidRPr="00150EDC">
        <w:rPr>
          <w:rFonts w:ascii="Calibri"/>
          <w:sz w:val="24"/>
        </w:rPr>
        <w:t>Clauses</w:t>
      </w:r>
      <w:r w:rsidRPr="00150EDC">
        <w:rPr>
          <w:rFonts w:ascii="Calibri"/>
          <w:spacing w:val="-3"/>
          <w:sz w:val="24"/>
        </w:rPr>
        <w:t xml:space="preserve"> </w:t>
      </w:r>
      <w:r w:rsidRPr="00150EDC">
        <w:rPr>
          <w:rFonts w:ascii="Calibri"/>
          <w:sz w:val="24"/>
        </w:rPr>
        <w:t>4.7</w:t>
      </w:r>
      <w:r w:rsidRPr="00150EDC">
        <w:rPr>
          <w:rFonts w:ascii="Calibri"/>
          <w:spacing w:val="-4"/>
          <w:sz w:val="24"/>
        </w:rPr>
        <w:t xml:space="preserve"> </w:t>
      </w:r>
      <w:r w:rsidRPr="00150EDC">
        <w:rPr>
          <w:rFonts w:ascii="Calibri"/>
          <w:sz w:val="24"/>
        </w:rPr>
        <w:t>and</w:t>
      </w:r>
      <w:r w:rsidRPr="00150EDC">
        <w:rPr>
          <w:rFonts w:ascii="Calibri"/>
          <w:spacing w:val="-1"/>
          <w:sz w:val="24"/>
        </w:rPr>
        <w:t xml:space="preserve"> </w:t>
      </w:r>
      <w:r w:rsidRPr="00150EDC">
        <w:rPr>
          <w:rFonts w:ascii="Calibri"/>
          <w:spacing w:val="-5"/>
          <w:sz w:val="24"/>
        </w:rPr>
        <w:t>16.</w:t>
      </w:r>
    </w:p>
    <w:p w14:paraId="4670BB0D" w14:textId="77777777" w:rsidR="004C7180" w:rsidRPr="00150EDC" w:rsidRDefault="004C7180">
      <w:pPr>
        <w:pStyle w:val="BodyText"/>
        <w:spacing w:before="4"/>
        <w:rPr>
          <w:rFonts w:ascii="Calibri"/>
          <w:sz w:val="27"/>
        </w:rPr>
      </w:pPr>
    </w:p>
    <w:p w14:paraId="6DC4BBEF" w14:textId="77777777" w:rsidR="004C7180" w:rsidRPr="00150EDC" w:rsidRDefault="00CF0754" w:rsidP="00B320C7">
      <w:pPr>
        <w:pStyle w:val="ListParagraph"/>
        <w:numPr>
          <w:ilvl w:val="1"/>
          <w:numId w:val="182"/>
        </w:numPr>
        <w:tabs>
          <w:tab w:val="left" w:pos="1064"/>
          <w:tab w:val="left" w:pos="1066"/>
        </w:tabs>
        <w:ind w:right="709"/>
        <w:rPr>
          <w:rFonts w:ascii="Calibri"/>
          <w:sz w:val="24"/>
        </w:rPr>
      </w:pPr>
      <w:r w:rsidRPr="00150EDC">
        <w:rPr>
          <w:rFonts w:ascii="Calibri"/>
          <w:sz w:val="24"/>
        </w:rPr>
        <w:t>For the purposes of Clauses 15.2 to 15.4 references to disclosure on a confidential basis means disclosure</w:t>
      </w:r>
      <w:r w:rsidRPr="00150EDC">
        <w:rPr>
          <w:rFonts w:ascii="Calibri"/>
          <w:spacing w:val="-4"/>
          <w:sz w:val="24"/>
        </w:rPr>
        <w:t xml:space="preserve"> </w:t>
      </w:r>
      <w:r w:rsidRPr="00150EDC">
        <w:rPr>
          <w:rFonts w:ascii="Calibri"/>
          <w:sz w:val="24"/>
        </w:rPr>
        <w:t>under</w:t>
      </w:r>
      <w:r w:rsidRPr="00150EDC">
        <w:rPr>
          <w:rFonts w:ascii="Calibri"/>
          <w:spacing w:val="-4"/>
          <w:sz w:val="24"/>
        </w:rPr>
        <w:t xml:space="preserve"> </w:t>
      </w:r>
      <w:r w:rsidRPr="00150EDC">
        <w:rPr>
          <w:rFonts w:ascii="Calibri"/>
          <w:sz w:val="24"/>
        </w:rPr>
        <w:t>a</w:t>
      </w:r>
      <w:r w:rsidRPr="00150EDC">
        <w:rPr>
          <w:rFonts w:ascii="Calibri"/>
          <w:spacing w:val="-3"/>
          <w:sz w:val="24"/>
        </w:rPr>
        <w:t xml:space="preserve"> </w:t>
      </w:r>
      <w:r w:rsidRPr="00150EDC">
        <w:rPr>
          <w:rFonts w:ascii="Calibri"/>
          <w:sz w:val="24"/>
        </w:rPr>
        <w:t>confidentiality</w:t>
      </w:r>
      <w:r w:rsidRPr="00150EDC">
        <w:rPr>
          <w:rFonts w:ascii="Calibri"/>
          <w:spacing w:val="-3"/>
          <w:sz w:val="24"/>
        </w:rPr>
        <w:t xml:space="preserve"> </w:t>
      </w:r>
      <w:r w:rsidRPr="00150EDC">
        <w:rPr>
          <w:rFonts w:ascii="Calibri"/>
          <w:sz w:val="24"/>
        </w:rPr>
        <w:t>agreement</w:t>
      </w:r>
      <w:r w:rsidRPr="00150EDC">
        <w:rPr>
          <w:rFonts w:ascii="Calibri"/>
          <w:spacing w:val="-4"/>
          <w:sz w:val="24"/>
        </w:rPr>
        <w:t xml:space="preserve"> </w:t>
      </w:r>
      <w:r w:rsidRPr="00150EDC">
        <w:rPr>
          <w:rFonts w:ascii="Calibri"/>
          <w:sz w:val="24"/>
        </w:rPr>
        <w:t>or</w:t>
      </w:r>
      <w:r w:rsidRPr="00150EDC">
        <w:rPr>
          <w:rFonts w:ascii="Calibri"/>
          <w:spacing w:val="-2"/>
          <w:sz w:val="24"/>
        </w:rPr>
        <w:t xml:space="preserve"> </w:t>
      </w:r>
      <w:r w:rsidRPr="00150EDC">
        <w:rPr>
          <w:rFonts w:ascii="Calibri"/>
          <w:sz w:val="24"/>
        </w:rPr>
        <w:t>arrangement</w:t>
      </w:r>
      <w:r w:rsidRPr="00150EDC">
        <w:rPr>
          <w:rFonts w:ascii="Calibri"/>
          <w:spacing w:val="-4"/>
          <w:sz w:val="24"/>
        </w:rPr>
        <w:t xml:space="preserve"> </w:t>
      </w:r>
      <w:r w:rsidRPr="00150EDC">
        <w:rPr>
          <w:rFonts w:ascii="Calibri"/>
          <w:sz w:val="24"/>
        </w:rPr>
        <w:t>including</w:t>
      </w:r>
      <w:r w:rsidRPr="00150EDC">
        <w:rPr>
          <w:rFonts w:ascii="Calibri"/>
          <w:spacing w:val="-5"/>
          <w:sz w:val="24"/>
        </w:rPr>
        <w:t xml:space="preserve"> </w:t>
      </w:r>
      <w:r w:rsidRPr="00150EDC">
        <w:rPr>
          <w:rFonts w:ascii="Calibri"/>
          <w:sz w:val="24"/>
        </w:rPr>
        <w:t>terms</w:t>
      </w:r>
      <w:r w:rsidRPr="00150EDC">
        <w:rPr>
          <w:rFonts w:ascii="Calibri"/>
          <w:spacing w:val="-3"/>
          <w:sz w:val="24"/>
        </w:rPr>
        <w:t xml:space="preserve"> </w:t>
      </w:r>
      <w:r w:rsidRPr="00150EDC">
        <w:rPr>
          <w:rFonts w:ascii="Calibri"/>
          <w:sz w:val="24"/>
        </w:rPr>
        <w:t>as</w:t>
      </w:r>
      <w:r w:rsidRPr="00150EDC">
        <w:rPr>
          <w:rFonts w:ascii="Calibri"/>
          <w:spacing w:val="-3"/>
          <w:sz w:val="24"/>
        </w:rPr>
        <w:t xml:space="preserve"> </w:t>
      </w:r>
      <w:r w:rsidRPr="00150EDC">
        <w:rPr>
          <w:rFonts w:ascii="Calibri"/>
          <w:sz w:val="24"/>
        </w:rPr>
        <w:t>strict</w:t>
      </w:r>
      <w:r w:rsidRPr="00150EDC">
        <w:rPr>
          <w:rFonts w:ascii="Calibri"/>
          <w:spacing w:val="-2"/>
          <w:sz w:val="24"/>
        </w:rPr>
        <w:t xml:space="preserve"> </w:t>
      </w:r>
      <w:r w:rsidRPr="00150EDC">
        <w:rPr>
          <w:rFonts w:ascii="Calibri"/>
          <w:sz w:val="24"/>
        </w:rPr>
        <w:t>as</w:t>
      </w:r>
      <w:r w:rsidRPr="00150EDC">
        <w:rPr>
          <w:rFonts w:ascii="Calibri"/>
          <w:spacing w:val="-5"/>
          <w:sz w:val="24"/>
        </w:rPr>
        <w:t xml:space="preserve"> </w:t>
      </w:r>
      <w:r w:rsidRPr="00150EDC">
        <w:rPr>
          <w:rFonts w:ascii="Calibri"/>
          <w:sz w:val="24"/>
        </w:rPr>
        <w:t>those</w:t>
      </w:r>
      <w:r w:rsidRPr="00150EDC">
        <w:rPr>
          <w:rFonts w:ascii="Calibri"/>
          <w:spacing w:val="-2"/>
          <w:sz w:val="24"/>
        </w:rPr>
        <w:t xml:space="preserve"> </w:t>
      </w:r>
      <w:r w:rsidRPr="00150EDC">
        <w:rPr>
          <w:rFonts w:ascii="Calibri"/>
          <w:sz w:val="24"/>
        </w:rPr>
        <w:t>required in Clause 15.</w:t>
      </w:r>
    </w:p>
    <w:p w14:paraId="2F6AB457" w14:textId="77777777" w:rsidR="004C7180" w:rsidRPr="00150EDC" w:rsidRDefault="004C7180">
      <w:pPr>
        <w:pStyle w:val="BodyText"/>
        <w:spacing w:before="2"/>
        <w:rPr>
          <w:rFonts w:ascii="Calibri"/>
        </w:rPr>
      </w:pPr>
    </w:p>
    <w:p w14:paraId="2B953277" w14:textId="77777777" w:rsidR="004C7180" w:rsidRPr="00150EDC" w:rsidRDefault="00CF0754" w:rsidP="00B320C7">
      <w:pPr>
        <w:pStyle w:val="ListParagraph"/>
        <w:numPr>
          <w:ilvl w:val="1"/>
          <w:numId w:val="182"/>
        </w:numPr>
        <w:tabs>
          <w:tab w:val="left" w:pos="1065"/>
        </w:tabs>
        <w:ind w:left="1065" w:hanging="565"/>
        <w:rPr>
          <w:rFonts w:ascii="Calibri"/>
          <w:sz w:val="24"/>
        </w:rPr>
      </w:pPr>
      <w:r w:rsidRPr="00150EDC">
        <w:rPr>
          <w:rFonts w:ascii="Calibri"/>
          <w:sz w:val="24"/>
        </w:rPr>
        <w:t>Transparency</w:t>
      </w:r>
      <w:r w:rsidRPr="00150EDC">
        <w:rPr>
          <w:rFonts w:ascii="Calibri"/>
          <w:spacing w:val="-5"/>
          <w:sz w:val="24"/>
        </w:rPr>
        <w:t xml:space="preserve"> </w:t>
      </w:r>
      <w:r w:rsidRPr="00150EDC">
        <w:rPr>
          <w:rFonts w:ascii="Calibri"/>
          <w:sz w:val="24"/>
        </w:rPr>
        <w:t>Information</w:t>
      </w:r>
      <w:r w:rsidRPr="00150EDC">
        <w:rPr>
          <w:rFonts w:ascii="Calibri"/>
          <w:spacing w:val="-4"/>
          <w:sz w:val="24"/>
        </w:rPr>
        <w:t xml:space="preserve"> </w:t>
      </w:r>
      <w:r w:rsidRPr="00150EDC">
        <w:rPr>
          <w:rFonts w:ascii="Calibri"/>
          <w:sz w:val="24"/>
        </w:rPr>
        <w:t>is</w:t>
      </w:r>
      <w:r w:rsidRPr="00150EDC">
        <w:rPr>
          <w:rFonts w:ascii="Calibri"/>
          <w:spacing w:val="-6"/>
          <w:sz w:val="24"/>
        </w:rPr>
        <w:t xml:space="preserve"> </w:t>
      </w:r>
      <w:r w:rsidRPr="00150EDC">
        <w:rPr>
          <w:rFonts w:ascii="Calibri"/>
          <w:sz w:val="24"/>
        </w:rPr>
        <w:t>not</w:t>
      </w:r>
      <w:r w:rsidRPr="00150EDC">
        <w:rPr>
          <w:rFonts w:ascii="Calibri"/>
          <w:spacing w:val="-5"/>
          <w:sz w:val="24"/>
        </w:rPr>
        <w:t xml:space="preserve"> </w:t>
      </w:r>
      <w:r w:rsidRPr="00150EDC">
        <w:rPr>
          <w:rFonts w:ascii="Calibri"/>
          <w:sz w:val="24"/>
        </w:rPr>
        <w:t>Confidential</w:t>
      </w:r>
      <w:r w:rsidRPr="00150EDC">
        <w:rPr>
          <w:rFonts w:ascii="Calibri"/>
          <w:spacing w:val="-3"/>
          <w:sz w:val="24"/>
        </w:rPr>
        <w:t xml:space="preserve"> </w:t>
      </w:r>
      <w:r w:rsidRPr="00150EDC">
        <w:rPr>
          <w:rFonts w:ascii="Calibri"/>
          <w:spacing w:val="-2"/>
          <w:sz w:val="24"/>
        </w:rPr>
        <w:t>Information.</w:t>
      </w:r>
    </w:p>
    <w:p w14:paraId="15BDD64D" w14:textId="77777777" w:rsidR="004C7180" w:rsidRPr="00150EDC" w:rsidRDefault="004C7180">
      <w:pPr>
        <w:pStyle w:val="BodyText"/>
        <w:rPr>
          <w:rFonts w:ascii="Calibri"/>
        </w:rPr>
      </w:pPr>
    </w:p>
    <w:p w14:paraId="2ED2FDFF" w14:textId="77777777" w:rsidR="004C7180" w:rsidRPr="00150EDC" w:rsidRDefault="00CF0754" w:rsidP="00B320C7">
      <w:pPr>
        <w:pStyle w:val="ListParagraph"/>
        <w:numPr>
          <w:ilvl w:val="1"/>
          <w:numId w:val="182"/>
        </w:numPr>
        <w:tabs>
          <w:tab w:val="left" w:pos="1064"/>
          <w:tab w:val="left" w:pos="1066"/>
        </w:tabs>
        <w:ind w:right="667"/>
        <w:rPr>
          <w:rFonts w:ascii="Calibri"/>
          <w:sz w:val="24"/>
        </w:rPr>
      </w:pPr>
      <w:r w:rsidRPr="00150EDC">
        <w:rPr>
          <w:rFonts w:ascii="Calibri"/>
          <w:sz w:val="24"/>
        </w:rPr>
        <w:t>The Supplier must not make any press announcement or publicise the Contracts or any part of them in any</w:t>
      </w:r>
      <w:r w:rsidRPr="00150EDC">
        <w:rPr>
          <w:rFonts w:ascii="Calibri"/>
          <w:spacing w:val="-2"/>
          <w:sz w:val="24"/>
        </w:rPr>
        <w:t xml:space="preserve"> </w:t>
      </w:r>
      <w:r w:rsidRPr="00150EDC">
        <w:rPr>
          <w:rFonts w:ascii="Calibri"/>
          <w:sz w:val="24"/>
        </w:rPr>
        <w:t>way,</w:t>
      </w:r>
      <w:r w:rsidRPr="00150EDC">
        <w:rPr>
          <w:rFonts w:ascii="Calibri"/>
          <w:spacing w:val="-2"/>
          <w:sz w:val="24"/>
        </w:rPr>
        <w:t xml:space="preserve"> </w:t>
      </w:r>
      <w:r w:rsidRPr="00150EDC">
        <w:rPr>
          <w:rFonts w:ascii="Calibri"/>
          <w:sz w:val="24"/>
        </w:rPr>
        <w:t>without</w:t>
      </w:r>
      <w:r w:rsidRPr="00150EDC">
        <w:rPr>
          <w:rFonts w:ascii="Calibri"/>
          <w:spacing w:val="-3"/>
          <w:sz w:val="24"/>
        </w:rPr>
        <w:t xml:space="preserve"> </w:t>
      </w:r>
      <w:r w:rsidRPr="00150EDC">
        <w:rPr>
          <w:rFonts w:ascii="Calibri"/>
          <w:sz w:val="24"/>
        </w:rPr>
        <w:t>the</w:t>
      </w:r>
      <w:r w:rsidRPr="00150EDC">
        <w:rPr>
          <w:rFonts w:ascii="Calibri"/>
          <w:spacing w:val="-3"/>
          <w:sz w:val="24"/>
        </w:rPr>
        <w:t xml:space="preserve"> </w:t>
      </w:r>
      <w:r w:rsidRPr="00150EDC">
        <w:rPr>
          <w:rFonts w:ascii="Calibri"/>
          <w:sz w:val="24"/>
        </w:rPr>
        <w:t>prior</w:t>
      </w:r>
      <w:r w:rsidRPr="00150EDC">
        <w:rPr>
          <w:rFonts w:ascii="Calibri"/>
          <w:spacing w:val="-1"/>
          <w:sz w:val="24"/>
        </w:rPr>
        <w:t xml:space="preserve"> </w:t>
      </w:r>
      <w:r w:rsidRPr="00150EDC">
        <w:rPr>
          <w:rFonts w:ascii="Calibri"/>
          <w:sz w:val="24"/>
        </w:rPr>
        <w:t>written</w:t>
      </w:r>
      <w:r w:rsidRPr="00150EDC">
        <w:rPr>
          <w:rFonts w:ascii="Calibri"/>
          <w:spacing w:val="-3"/>
          <w:sz w:val="24"/>
        </w:rPr>
        <w:t xml:space="preserve"> </w:t>
      </w:r>
      <w:r w:rsidRPr="00150EDC">
        <w:rPr>
          <w:rFonts w:ascii="Calibri"/>
          <w:sz w:val="24"/>
        </w:rPr>
        <w:t>consent</w:t>
      </w:r>
      <w:r w:rsidRPr="00150EDC">
        <w:rPr>
          <w:rFonts w:ascii="Calibri"/>
          <w:spacing w:val="-3"/>
          <w:sz w:val="24"/>
        </w:rPr>
        <w:t xml:space="preserve"> </w:t>
      </w:r>
      <w:r w:rsidRPr="00150EDC">
        <w:rPr>
          <w:rFonts w:ascii="Calibri"/>
          <w:sz w:val="24"/>
        </w:rPr>
        <w:t>of</w:t>
      </w:r>
      <w:r w:rsidRPr="00150EDC">
        <w:rPr>
          <w:rFonts w:ascii="Calibri"/>
          <w:spacing w:val="-3"/>
          <w:sz w:val="24"/>
        </w:rPr>
        <w:t xml:space="preserve"> </w:t>
      </w:r>
      <w:r w:rsidRPr="00150EDC">
        <w:rPr>
          <w:rFonts w:ascii="Calibri"/>
          <w:sz w:val="24"/>
        </w:rPr>
        <w:t>the</w:t>
      </w:r>
      <w:r w:rsidRPr="00150EDC">
        <w:rPr>
          <w:rFonts w:ascii="Calibri"/>
          <w:spacing w:val="-4"/>
          <w:sz w:val="24"/>
        </w:rPr>
        <w:t xml:space="preserve"> </w:t>
      </w:r>
      <w:r w:rsidRPr="00150EDC">
        <w:rPr>
          <w:rFonts w:ascii="Calibri"/>
          <w:sz w:val="24"/>
        </w:rPr>
        <w:t>Relevant</w:t>
      </w:r>
      <w:r w:rsidRPr="00150EDC">
        <w:rPr>
          <w:rFonts w:ascii="Calibri"/>
          <w:spacing w:val="-1"/>
          <w:sz w:val="24"/>
        </w:rPr>
        <w:t xml:space="preserve"> </w:t>
      </w:r>
      <w:r w:rsidRPr="00150EDC">
        <w:rPr>
          <w:rFonts w:ascii="Calibri"/>
          <w:sz w:val="24"/>
        </w:rPr>
        <w:t>Authority</w:t>
      </w:r>
      <w:r w:rsidRPr="00150EDC">
        <w:rPr>
          <w:rFonts w:ascii="Calibri"/>
          <w:spacing w:val="-5"/>
          <w:sz w:val="24"/>
        </w:rPr>
        <w:t xml:space="preserve"> </w:t>
      </w:r>
      <w:r w:rsidRPr="00150EDC">
        <w:rPr>
          <w:rFonts w:ascii="Calibri"/>
          <w:sz w:val="24"/>
        </w:rPr>
        <w:t>and</w:t>
      </w:r>
      <w:r w:rsidRPr="00150EDC">
        <w:rPr>
          <w:rFonts w:ascii="Calibri"/>
          <w:spacing w:val="-3"/>
          <w:sz w:val="24"/>
        </w:rPr>
        <w:t xml:space="preserve"> </w:t>
      </w:r>
      <w:r w:rsidRPr="00150EDC">
        <w:rPr>
          <w:rFonts w:ascii="Calibri"/>
          <w:sz w:val="24"/>
        </w:rPr>
        <w:t>must</w:t>
      </w:r>
      <w:r w:rsidRPr="00150EDC">
        <w:rPr>
          <w:rFonts w:ascii="Calibri"/>
          <w:spacing w:val="-3"/>
          <w:sz w:val="24"/>
        </w:rPr>
        <w:t xml:space="preserve"> </w:t>
      </w:r>
      <w:r w:rsidRPr="00150EDC">
        <w:rPr>
          <w:rFonts w:ascii="Calibri"/>
          <w:sz w:val="24"/>
        </w:rPr>
        <w:t>take</w:t>
      </w:r>
      <w:r w:rsidRPr="00150EDC">
        <w:rPr>
          <w:rFonts w:ascii="Calibri"/>
          <w:spacing w:val="-1"/>
          <w:sz w:val="24"/>
        </w:rPr>
        <w:t xml:space="preserve"> </w:t>
      </w:r>
      <w:r w:rsidRPr="00150EDC">
        <w:rPr>
          <w:rFonts w:ascii="Calibri"/>
          <w:sz w:val="24"/>
        </w:rPr>
        <w:t>all</w:t>
      </w:r>
      <w:r w:rsidRPr="00150EDC">
        <w:rPr>
          <w:rFonts w:ascii="Calibri"/>
          <w:spacing w:val="-4"/>
          <w:sz w:val="24"/>
        </w:rPr>
        <w:t xml:space="preserve"> </w:t>
      </w:r>
      <w:r w:rsidRPr="00150EDC">
        <w:rPr>
          <w:rFonts w:ascii="Calibri"/>
          <w:sz w:val="24"/>
        </w:rPr>
        <w:t>reasonable</w:t>
      </w:r>
      <w:r w:rsidRPr="00150EDC">
        <w:rPr>
          <w:rFonts w:ascii="Calibri"/>
          <w:spacing w:val="-3"/>
          <w:sz w:val="24"/>
        </w:rPr>
        <w:t xml:space="preserve"> </w:t>
      </w:r>
      <w:r w:rsidRPr="00150EDC">
        <w:rPr>
          <w:rFonts w:ascii="Calibri"/>
          <w:sz w:val="24"/>
        </w:rPr>
        <w:t>steps to ensure that Supplier Staff do not either.</w:t>
      </w:r>
    </w:p>
    <w:p w14:paraId="6F66F80D" w14:textId="77777777" w:rsidR="004C7180" w:rsidRPr="00150EDC" w:rsidRDefault="004C7180">
      <w:pPr>
        <w:rPr>
          <w:rFonts w:ascii="Calibri"/>
          <w:sz w:val="24"/>
        </w:rPr>
        <w:sectPr w:rsidR="004C7180" w:rsidRPr="00150EDC">
          <w:pgSz w:w="11910" w:h="16840"/>
          <w:pgMar w:top="620" w:right="0" w:bottom="2460" w:left="40" w:header="403" w:footer="2245" w:gutter="0"/>
          <w:cols w:space="720"/>
        </w:sectPr>
      </w:pPr>
    </w:p>
    <w:p w14:paraId="5C46F173" w14:textId="77777777" w:rsidR="004C7180" w:rsidRPr="00150EDC" w:rsidRDefault="004C7180">
      <w:pPr>
        <w:pStyle w:val="BodyText"/>
        <w:rPr>
          <w:rFonts w:ascii="Calibri"/>
          <w:sz w:val="20"/>
        </w:rPr>
      </w:pPr>
    </w:p>
    <w:p w14:paraId="28A9A3D1" w14:textId="77777777" w:rsidR="004C7180" w:rsidRPr="00150EDC" w:rsidRDefault="004C7180">
      <w:pPr>
        <w:pStyle w:val="BodyText"/>
        <w:spacing w:before="9"/>
        <w:rPr>
          <w:rFonts w:ascii="Calibri"/>
          <w:sz w:val="25"/>
        </w:rPr>
      </w:pPr>
    </w:p>
    <w:p w14:paraId="0EFE5701" w14:textId="77777777" w:rsidR="004C7180" w:rsidRPr="00150EDC" w:rsidRDefault="00CF0754" w:rsidP="00B320C7">
      <w:pPr>
        <w:pStyle w:val="Heading1"/>
        <w:numPr>
          <w:ilvl w:val="0"/>
          <w:numId w:val="182"/>
        </w:numPr>
        <w:tabs>
          <w:tab w:val="left" w:pos="1217"/>
        </w:tabs>
        <w:spacing w:before="27"/>
        <w:ind w:left="1217" w:hanging="650"/>
        <w:jc w:val="left"/>
        <w:rPr>
          <w:rFonts w:ascii="Calibri"/>
        </w:rPr>
      </w:pPr>
      <w:r w:rsidRPr="00150EDC">
        <w:rPr>
          <w:rFonts w:ascii="Calibri"/>
        </w:rPr>
        <w:t>When</w:t>
      </w:r>
      <w:r w:rsidRPr="00150EDC">
        <w:rPr>
          <w:rFonts w:ascii="Calibri"/>
          <w:spacing w:val="-1"/>
        </w:rPr>
        <w:t xml:space="preserve"> </w:t>
      </w:r>
      <w:r w:rsidRPr="00150EDC">
        <w:rPr>
          <w:rFonts w:ascii="Calibri"/>
        </w:rPr>
        <w:t>you</w:t>
      </w:r>
      <w:r w:rsidRPr="00150EDC">
        <w:rPr>
          <w:rFonts w:ascii="Calibri"/>
          <w:spacing w:val="-2"/>
        </w:rPr>
        <w:t xml:space="preserve"> </w:t>
      </w:r>
      <w:r w:rsidRPr="00150EDC">
        <w:rPr>
          <w:rFonts w:ascii="Calibri"/>
        </w:rPr>
        <w:t>can</w:t>
      </w:r>
      <w:r w:rsidRPr="00150EDC">
        <w:rPr>
          <w:rFonts w:ascii="Calibri"/>
          <w:spacing w:val="-1"/>
        </w:rPr>
        <w:t xml:space="preserve"> </w:t>
      </w:r>
      <w:r w:rsidRPr="00150EDC">
        <w:rPr>
          <w:rFonts w:ascii="Calibri"/>
        </w:rPr>
        <w:t>share</w:t>
      </w:r>
      <w:r w:rsidRPr="00150EDC">
        <w:rPr>
          <w:rFonts w:ascii="Calibri"/>
          <w:spacing w:val="-2"/>
        </w:rPr>
        <w:t xml:space="preserve"> information</w:t>
      </w:r>
    </w:p>
    <w:p w14:paraId="4E5C7F2E" w14:textId="77777777" w:rsidR="004C7180" w:rsidRPr="00150EDC" w:rsidRDefault="00CF0754" w:rsidP="00B320C7">
      <w:pPr>
        <w:pStyle w:val="ListParagraph"/>
        <w:numPr>
          <w:ilvl w:val="1"/>
          <w:numId w:val="182"/>
        </w:numPr>
        <w:tabs>
          <w:tab w:val="left" w:pos="1065"/>
        </w:tabs>
        <w:spacing w:before="21"/>
        <w:ind w:left="1065" w:hanging="565"/>
        <w:rPr>
          <w:rFonts w:ascii="Calibri"/>
          <w:sz w:val="24"/>
        </w:rPr>
      </w:pPr>
      <w:r w:rsidRPr="00150EDC">
        <w:rPr>
          <w:rFonts w:ascii="Calibri"/>
          <w:sz w:val="24"/>
        </w:rPr>
        <w:t>The</w:t>
      </w:r>
      <w:r w:rsidRPr="00150EDC">
        <w:rPr>
          <w:rFonts w:ascii="Calibri"/>
          <w:spacing w:val="-4"/>
          <w:sz w:val="24"/>
        </w:rPr>
        <w:t xml:space="preserve"> </w:t>
      </w:r>
      <w:r w:rsidRPr="00150EDC">
        <w:rPr>
          <w:rFonts w:ascii="Calibri"/>
          <w:sz w:val="24"/>
        </w:rPr>
        <w:t>Supplier</w:t>
      </w:r>
      <w:r w:rsidRPr="00150EDC">
        <w:rPr>
          <w:rFonts w:ascii="Calibri"/>
          <w:spacing w:val="-4"/>
          <w:sz w:val="24"/>
        </w:rPr>
        <w:t xml:space="preserve"> </w:t>
      </w:r>
      <w:r w:rsidRPr="00150EDC">
        <w:rPr>
          <w:rFonts w:ascii="Calibri"/>
          <w:sz w:val="24"/>
        </w:rPr>
        <w:t>must</w:t>
      </w:r>
      <w:r w:rsidRPr="00150EDC">
        <w:rPr>
          <w:rFonts w:ascii="Calibri"/>
          <w:spacing w:val="-2"/>
          <w:sz w:val="24"/>
        </w:rPr>
        <w:t xml:space="preserve"> </w:t>
      </w:r>
      <w:r w:rsidRPr="00150EDC">
        <w:rPr>
          <w:rFonts w:ascii="Calibri"/>
          <w:sz w:val="24"/>
        </w:rPr>
        <w:t>tell</w:t>
      </w:r>
      <w:r w:rsidRPr="00150EDC">
        <w:rPr>
          <w:rFonts w:ascii="Calibri"/>
          <w:spacing w:val="-4"/>
          <w:sz w:val="24"/>
        </w:rPr>
        <w:t xml:space="preserve"> </w:t>
      </w:r>
      <w:r w:rsidRPr="00150EDC">
        <w:rPr>
          <w:rFonts w:ascii="Calibri"/>
          <w:sz w:val="24"/>
        </w:rPr>
        <w:t>the</w:t>
      </w:r>
      <w:r w:rsidRPr="00150EDC">
        <w:rPr>
          <w:rFonts w:ascii="Calibri"/>
          <w:spacing w:val="-2"/>
          <w:sz w:val="24"/>
        </w:rPr>
        <w:t xml:space="preserve"> </w:t>
      </w:r>
      <w:r w:rsidRPr="00150EDC">
        <w:rPr>
          <w:rFonts w:ascii="Calibri"/>
          <w:sz w:val="24"/>
        </w:rPr>
        <w:t>Relevant</w:t>
      </w:r>
      <w:r w:rsidRPr="00150EDC">
        <w:rPr>
          <w:rFonts w:ascii="Calibri"/>
          <w:spacing w:val="-2"/>
          <w:sz w:val="24"/>
        </w:rPr>
        <w:t xml:space="preserve"> </w:t>
      </w:r>
      <w:r w:rsidRPr="00150EDC">
        <w:rPr>
          <w:rFonts w:ascii="Calibri"/>
          <w:sz w:val="24"/>
        </w:rPr>
        <w:t>Authority</w:t>
      </w:r>
      <w:r w:rsidRPr="00150EDC">
        <w:rPr>
          <w:rFonts w:ascii="Calibri"/>
          <w:spacing w:val="-3"/>
          <w:sz w:val="24"/>
        </w:rPr>
        <w:t xml:space="preserve"> </w:t>
      </w:r>
      <w:r w:rsidRPr="00150EDC">
        <w:rPr>
          <w:rFonts w:ascii="Calibri"/>
          <w:sz w:val="24"/>
        </w:rPr>
        <w:t>within</w:t>
      </w:r>
      <w:r w:rsidRPr="00150EDC">
        <w:rPr>
          <w:rFonts w:ascii="Calibri"/>
          <w:spacing w:val="-4"/>
          <w:sz w:val="24"/>
        </w:rPr>
        <w:t xml:space="preserve"> </w:t>
      </w:r>
      <w:r w:rsidRPr="00150EDC">
        <w:rPr>
          <w:rFonts w:ascii="Calibri"/>
          <w:sz w:val="24"/>
        </w:rPr>
        <w:t>48</w:t>
      </w:r>
      <w:r w:rsidRPr="00150EDC">
        <w:rPr>
          <w:rFonts w:ascii="Calibri"/>
          <w:spacing w:val="-4"/>
          <w:sz w:val="24"/>
        </w:rPr>
        <w:t xml:space="preserve"> </w:t>
      </w:r>
      <w:r w:rsidRPr="00150EDC">
        <w:rPr>
          <w:rFonts w:ascii="Calibri"/>
          <w:sz w:val="24"/>
        </w:rPr>
        <w:t>hours</w:t>
      </w:r>
      <w:r w:rsidRPr="00150EDC">
        <w:rPr>
          <w:rFonts w:ascii="Calibri"/>
          <w:spacing w:val="-2"/>
          <w:sz w:val="24"/>
        </w:rPr>
        <w:t xml:space="preserve"> </w:t>
      </w:r>
      <w:r w:rsidRPr="00150EDC">
        <w:rPr>
          <w:rFonts w:ascii="Calibri"/>
          <w:sz w:val="24"/>
        </w:rPr>
        <w:t>if</w:t>
      </w:r>
      <w:r w:rsidRPr="00150EDC">
        <w:rPr>
          <w:rFonts w:ascii="Calibri"/>
          <w:spacing w:val="-4"/>
          <w:sz w:val="24"/>
        </w:rPr>
        <w:t xml:space="preserve"> </w:t>
      </w:r>
      <w:r w:rsidRPr="00150EDC">
        <w:rPr>
          <w:rFonts w:ascii="Calibri"/>
          <w:sz w:val="24"/>
        </w:rPr>
        <w:t>it</w:t>
      </w:r>
      <w:r w:rsidRPr="00150EDC">
        <w:rPr>
          <w:rFonts w:ascii="Calibri"/>
          <w:spacing w:val="-4"/>
          <w:sz w:val="24"/>
        </w:rPr>
        <w:t xml:space="preserve"> </w:t>
      </w:r>
      <w:r w:rsidRPr="00150EDC">
        <w:rPr>
          <w:rFonts w:ascii="Calibri"/>
          <w:sz w:val="24"/>
        </w:rPr>
        <w:t>receives</w:t>
      </w:r>
      <w:r w:rsidRPr="00150EDC">
        <w:rPr>
          <w:rFonts w:ascii="Calibri"/>
          <w:spacing w:val="-5"/>
          <w:sz w:val="24"/>
        </w:rPr>
        <w:t xml:space="preserve"> </w:t>
      </w:r>
      <w:r w:rsidRPr="00150EDC">
        <w:rPr>
          <w:rFonts w:ascii="Calibri"/>
          <w:sz w:val="24"/>
        </w:rPr>
        <w:t>a</w:t>
      </w:r>
      <w:r w:rsidRPr="00150EDC">
        <w:rPr>
          <w:rFonts w:ascii="Calibri"/>
          <w:spacing w:val="-3"/>
          <w:sz w:val="24"/>
        </w:rPr>
        <w:t xml:space="preserve"> </w:t>
      </w:r>
      <w:r w:rsidRPr="00150EDC">
        <w:rPr>
          <w:rFonts w:ascii="Calibri"/>
          <w:sz w:val="24"/>
        </w:rPr>
        <w:t>Request</w:t>
      </w:r>
      <w:r w:rsidRPr="00150EDC">
        <w:rPr>
          <w:rFonts w:ascii="Calibri"/>
          <w:spacing w:val="-4"/>
          <w:sz w:val="24"/>
        </w:rPr>
        <w:t xml:space="preserve"> </w:t>
      </w:r>
      <w:r w:rsidRPr="00150EDC">
        <w:rPr>
          <w:rFonts w:ascii="Calibri"/>
          <w:sz w:val="24"/>
        </w:rPr>
        <w:t>For</w:t>
      </w:r>
      <w:r w:rsidRPr="00150EDC">
        <w:rPr>
          <w:rFonts w:ascii="Calibri"/>
          <w:spacing w:val="-4"/>
          <w:sz w:val="24"/>
        </w:rPr>
        <w:t xml:space="preserve"> </w:t>
      </w:r>
      <w:r w:rsidRPr="00150EDC">
        <w:rPr>
          <w:rFonts w:ascii="Calibri"/>
          <w:spacing w:val="-2"/>
          <w:sz w:val="24"/>
        </w:rPr>
        <w:t>Information.</w:t>
      </w:r>
    </w:p>
    <w:p w14:paraId="4D87DBEE" w14:textId="77777777" w:rsidR="004C7180" w:rsidRPr="00150EDC" w:rsidRDefault="004C7180">
      <w:pPr>
        <w:pStyle w:val="BodyText"/>
        <w:rPr>
          <w:rFonts w:ascii="Calibri"/>
        </w:rPr>
      </w:pPr>
    </w:p>
    <w:p w14:paraId="700D1997" w14:textId="77777777" w:rsidR="004C7180" w:rsidRPr="00150EDC" w:rsidRDefault="00CF0754" w:rsidP="00B320C7">
      <w:pPr>
        <w:pStyle w:val="ListParagraph"/>
        <w:numPr>
          <w:ilvl w:val="1"/>
          <w:numId w:val="182"/>
        </w:numPr>
        <w:tabs>
          <w:tab w:val="left" w:pos="1064"/>
          <w:tab w:val="left" w:pos="1066"/>
        </w:tabs>
        <w:ind w:right="858"/>
        <w:rPr>
          <w:rFonts w:ascii="Calibri" w:hAnsi="Calibri"/>
          <w:sz w:val="24"/>
        </w:rPr>
      </w:pPr>
      <w:r w:rsidRPr="00150EDC">
        <w:rPr>
          <w:rFonts w:ascii="Calibri" w:hAnsi="Calibri"/>
          <w:sz w:val="24"/>
        </w:rPr>
        <w:t>Within five (5)</w:t>
      </w:r>
      <w:r w:rsidRPr="00150EDC">
        <w:rPr>
          <w:rFonts w:ascii="Calibri" w:hAnsi="Calibri"/>
          <w:spacing w:val="-2"/>
          <w:sz w:val="24"/>
        </w:rPr>
        <w:t xml:space="preserve"> </w:t>
      </w:r>
      <w:r w:rsidRPr="00150EDC">
        <w:rPr>
          <w:rFonts w:ascii="Calibri" w:hAnsi="Calibri"/>
          <w:sz w:val="24"/>
        </w:rPr>
        <w:t>Working</w:t>
      </w:r>
      <w:r w:rsidRPr="00150EDC">
        <w:rPr>
          <w:rFonts w:ascii="Calibri" w:hAnsi="Calibri"/>
          <w:spacing w:val="-6"/>
          <w:sz w:val="24"/>
        </w:rPr>
        <w:t xml:space="preserve"> </w:t>
      </w:r>
      <w:r w:rsidRPr="00150EDC">
        <w:rPr>
          <w:rFonts w:ascii="Calibri" w:hAnsi="Calibri"/>
          <w:sz w:val="24"/>
        </w:rPr>
        <w:t>Days</w:t>
      </w:r>
      <w:r w:rsidRPr="00150EDC">
        <w:rPr>
          <w:rFonts w:ascii="Calibri" w:hAnsi="Calibri"/>
          <w:spacing w:val="-2"/>
          <w:sz w:val="24"/>
        </w:rPr>
        <w:t xml:space="preserve"> </w:t>
      </w:r>
      <w:r w:rsidRPr="00150EDC">
        <w:rPr>
          <w:rFonts w:ascii="Calibri" w:hAnsi="Calibri"/>
          <w:sz w:val="24"/>
        </w:rPr>
        <w:t>of</w:t>
      </w:r>
      <w:r w:rsidRPr="00150EDC">
        <w:rPr>
          <w:rFonts w:ascii="Calibri" w:hAnsi="Calibri"/>
          <w:spacing w:val="-2"/>
          <w:sz w:val="24"/>
        </w:rPr>
        <w:t xml:space="preserve"> </w:t>
      </w:r>
      <w:r w:rsidRPr="00150EDC">
        <w:rPr>
          <w:rFonts w:ascii="Calibri" w:hAnsi="Calibri"/>
          <w:sz w:val="24"/>
        </w:rPr>
        <w:t>the Buyer’s</w:t>
      </w:r>
      <w:r w:rsidRPr="00150EDC">
        <w:rPr>
          <w:rFonts w:ascii="Calibri" w:hAnsi="Calibri"/>
          <w:spacing w:val="-2"/>
          <w:sz w:val="24"/>
        </w:rPr>
        <w:t xml:space="preserve"> </w:t>
      </w:r>
      <w:r w:rsidRPr="00150EDC">
        <w:rPr>
          <w:rFonts w:ascii="Calibri" w:hAnsi="Calibri"/>
          <w:sz w:val="24"/>
        </w:rPr>
        <w:t>request</w:t>
      </w:r>
      <w:r w:rsidRPr="00150EDC">
        <w:rPr>
          <w:rFonts w:ascii="Calibri" w:hAnsi="Calibri"/>
          <w:spacing w:val="-2"/>
          <w:sz w:val="24"/>
        </w:rPr>
        <w:t xml:space="preserve"> </w:t>
      </w:r>
      <w:r w:rsidRPr="00150EDC">
        <w:rPr>
          <w:rFonts w:ascii="Calibri" w:hAnsi="Calibri"/>
          <w:sz w:val="24"/>
        </w:rPr>
        <w:t>the</w:t>
      </w:r>
      <w:r w:rsidRPr="00150EDC">
        <w:rPr>
          <w:rFonts w:ascii="Calibri" w:hAnsi="Calibri"/>
          <w:spacing w:val="-3"/>
          <w:sz w:val="24"/>
        </w:rPr>
        <w:t xml:space="preserve"> </w:t>
      </w:r>
      <w:r w:rsidRPr="00150EDC">
        <w:rPr>
          <w:rFonts w:ascii="Calibri" w:hAnsi="Calibri"/>
          <w:sz w:val="24"/>
        </w:rPr>
        <w:t>Supplier</w:t>
      </w:r>
      <w:r w:rsidRPr="00150EDC">
        <w:rPr>
          <w:rFonts w:ascii="Calibri" w:hAnsi="Calibri"/>
          <w:spacing w:val="-2"/>
          <w:sz w:val="24"/>
        </w:rPr>
        <w:t xml:space="preserve"> </w:t>
      </w:r>
      <w:r w:rsidRPr="00150EDC">
        <w:rPr>
          <w:rFonts w:ascii="Calibri" w:hAnsi="Calibri"/>
          <w:sz w:val="24"/>
        </w:rPr>
        <w:t>must give CCS</w:t>
      </w:r>
      <w:r w:rsidRPr="00150EDC">
        <w:rPr>
          <w:rFonts w:ascii="Calibri" w:hAnsi="Calibri"/>
          <w:spacing w:val="-1"/>
          <w:sz w:val="24"/>
        </w:rPr>
        <w:t xml:space="preserve"> </w:t>
      </w:r>
      <w:r w:rsidRPr="00150EDC">
        <w:rPr>
          <w:rFonts w:ascii="Calibri" w:hAnsi="Calibri"/>
          <w:sz w:val="24"/>
        </w:rPr>
        <w:t>and</w:t>
      </w:r>
      <w:r w:rsidRPr="00150EDC">
        <w:rPr>
          <w:rFonts w:ascii="Calibri" w:hAnsi="Calibri"/>
          <w:spacing w:val="-2"/>
          <w:sz w:val="24"/>
        </w:rPr>
        <w:t xml:space="preserve"> </w:t>
      </w:r>
      <w:r w:rsidRPr="00150EDC">
        <w:rPr>
          <w:rFonts w:ascii="Calibri" w:hAnsi="Calibri"/>
          <w:sz w:val="24"/>
        </w:rPr>
        <w:t>each</w:t>
      </w:r>
      <w:r w:rsidRPr="00150EDC">
        <w:rPr>
          <w:rFonts w:ascii="Calibri" w:hAnsi="Calibri"/>
          <w:spacing w:val="-2"/>
          <w:sz w:val="24"/>
        </w:rPr>
        <w:t xml:space="preserve"> </w:t>
      </w:r>
      <w:r w:rsidRPr="00150EDC">
        <w:rPr>
          <w:rFonts w:ascii="Calibri" w:hAnsi="Calibri"/>
          <w:sz w:val="24"/>
        </w:rPr>
        <w:t>Buyer</w:t>
      </w:r>
      <w:r w:rsidRPr="00150EDC">
        <w:rPr>
          <w:rFonts w:ascii="Calibri" w:hAnsi="Calibri"/>
          <w:spacing w:val="-3"/>
          <w:sz w:val="24"/>
        </w:rPr>
        <w:t xml:space="preserve"> </w:t>
      </w:r>
      <w:r w:rsidRPr="00150EDC">
        <w:rPr>
          <w:rFonts w:ascii="Calibri" w:hAnsi="Calibri"/>
          <w:sz w:val="24"/>
        </w:rPr>
        <w:t>full</w:t>
      </w:r>
      <w:r w:rsidRPr="00150EDC">
        <w:rPr>
          <w:rFonts w:ascii="Calibri" w:hAnsi="Calibri"/>
          <w:spacing w:val="-1"/>
          <w:sz w:val="24"/>
        </w:rPr>
        <w:t xml:space="preserve"> </w:t>
      </w:r>
      <w:r w:rsidRPr="00150EDC">
        <w:rPr>
          <w:rFonts w:ascii="Calibri" w:hAnsi="Calibri"/>
          <w:sz w:val="24"/>
        </w:rPr>
        <w:t>co- operation and information needed so the Buyer can:</w:t>
      </w:r>
    </w:p>
    <w:p w14:paraId="419BB7C8" w14:textId="77777777" w:rsidR="004C7180" w:rsidRPr="00150EDC" w:rsidRDefault="004C7180">
      <w:pPr>
        <w:pStyle w:val="BodyText"/>
        <w:spacing w:before="6"/>
        <w:rPr>
          <w:rFonts w:ascii="Calibri"/>
          <w:sz w:val="25"/>
        </w:rPr>
      </w:pPr>
    </w:p>
    <w:p w14:paraId="0DE64C4D" w14:textId="77777777" w:rsidR="004C7180" w:rsidRPr="00150EDC" w:rsidRDefault="00CF0754" w:rsidP="00B320C7">
      <w:pPr>
        <w:pStyle w:val="ListParagraph"/>
        <w:numPr>
          <w:ilvl w:val="0"/>
          <w:numId w:val="156"/>
        </w:numPr>
        <w:tabs>
          <w:tab w:val="left" w:pos="1491"/>
        </w:tabs>
        <w:ind w:left="1491" w:hanging="425"/>
        <w:rPr>
          <w:rFonts w:ascii="Calibri"/>
          <w:sz w:val="24"/>
        </w:rPr>
      </w:pPr>
      <w:r w:rsidRPr="00150EDC">
        <w:rPr>
          <w:rFonts w:ascii="Calibri"/>
          <w:sz w:val="24"/>
        </w:rPr>
        <w:t>publish</w:t>
      </w:r>
      <w:r w:rsidRPr="00150EDC">
        <w:rPr>
          <w:rFonts w:ascii="Calibri"/>
          <w:spacing w:val="-6"/>
          <w:sz w:val="24"/>
        </w:rPr>
        <w:t xml:space="preserve"> </w:t>
      </w:r>
      <w:r w:rsidRPr="00150EDC">
        <w:rPr>
          <w:rFonts w:ascii="Calibri"/>
          <w:sz w:val="24"/>
        </w:rPr>
        <w:t>the</w:t>
      </w:r>
      <w:r w:rsidRPr="00150EDC">
        <w:rPr>
          <w:rFonts w:ascii="Calibri"/>
          <w:spacing w:val="-7"/>
          <w:sz w:val="24"/>
        </w:rPr>
        <w:t xml:space="preserve"> </w:t>
      </w:r>
      <w:r w:rsidRPr="00150EDC">
        <w:rPr>
          <w:rFonts w:ascii="Calibri"/>
          <w:sz w:val="24"/>
        </w:rPr>
        <w:t>Transparency</w:t>
      </w:r>
      <w:r w:rsidRPr="00150EDC">
        <w:rPr>
          <w:rFonts w:ascii="Calibri"/>
          <w:spacing w:val="-5"/>
          <w:sz w:val="24"/>
        </w:rPr>
        <w:t xml:space="preserve"> </w:t>
      </w:r>
      <w:r w:rsidRPr="00150EDC">
        <w:rPr>
          <w:rFonts w:ascii="Calibri"/>
          <w:spacing w:val="-2"/>
          <w:sz w:val="24"/>
        </w:rPr>
        <w:t>Information;</w:t>
      </w:r>
    </w:p>
    <w:p w14:paraId="5709D4E0" w14:textId="77777777" w:rsidR="004C7180" w:rsidRPr="00150EDC" w:rsidRDefault="00CF0754" w:rsidP="00B320C7">
      <w:pPr>
        <w:pStyle w:val="ListParagraph"/>
        <w:numPr>
          <w:ilvl w:val="0"/>
          <w:numId w:val="156"/>
        </w:numPr>
        <w:tabs>
          <w:tab w:val="left" w:pos="1491"/>
        </w:tabs>
        <w:spacing w:before="19"/>
        <w:ind w:left="1491" w:hanging="425"/>
        <w:rPr>
          <w:rFonts w:ascii="Calibri"/>
          <w:sz w:val="24"/>
        </w:rPr>
      </w:pPr>
      <w:r w:rsidRPr="00150EDC">
        <w:rPr>
          <w:rFonts w:ascii="Calibri"/>
          <w:sz w:val="24"/>
        </w:rPr>
        <w:t>comply</w:t>
      </w:r>
      <w:r w:rsidRPr="00150EDC">
        <w:rPr>
          <w:rFonts w:ascii="Calibri"/>
          <w:spacing w:val="-5"/>
          <w:sz w:val="24"/>
        </w:rPr>
        <w:t xml:space="preserve"> </w:t>
      </w:r>
      <w:r w:rsidRPr="00150EDC">
        <w:rPr>
          <w:rFonts w:ascii="Calibri"/>
          <w:sz w:val="24"/>
        </w:rPr>
        <w:t>with</w:t>
      </w:r>
      <w:r w:rsidRPr="00150EDC">
        <w:rPr>
          <w:rFonts w:ascii="Calibri"/>
          <w:spacing w:val="-4"/>
          <w:sz w:val="24"/>
        </w:rPr>
        <w:t xml:space="preserve"> </w:t>
      </w:r>
      <w:r w:rsidRPr="00150EDC">
        <w:rPr>
          <w:rFonts w:ascii="Calibri"/>
          <w:sz w:val="24"/>
        </w:rPr>
        <w:t>any</w:t>
      </w:r>
      <w:r w:rsidRPr="00150EDC">
        <w:rPr>
          <w:rFonts w:ascii="Calibri"/>
          <w:spacing w:val="-3"/>
          <w:sz w:val="24"/>
        </w:rPr>
        <w:t xml:space="preserve"> </w:t>
      </w:r>
      <w:r w:rsidRPr="00150EDC">
        <w:rPr>
          <w:rFonts w:ascii="Calibri"/>
          <w:sz w:val="24"/>
        </w:rPr>
        <w:t>Freedom</w:t>
      </w:r>
      <w:r w:rsidRPr="00150EDC">
        <w:rPr>
          <w:rFonts w:ascii="Calibri"/>
          <w:spacing w:val="-3"/>
          <w:sz w:val="24"/>
        </w:rPr>
        <w:t xml:space="preserve"> </w:t>
      </w:r>
      <w:r w:rsidRPr="00150EDC">
        <w:rPr>
          <w:rFonts w:ascii="Calibri"/>
          <w:sz w:val="24"/>
        </w:rPr>
        <w:t>of</w:t>
      </w:r>
      <w:r w:rsidRPr="00150EDC">
        <w:rPr>
          <w:rFonts w:ascii="Calibri"/>
          <w:spacing w:val="-4"/>
          <w:sz w:val="24"/>
        </w:rPr>
        <w:t xml:space="preserve"> </w:t>
      </w:r>
      <w:r w:rsidRPr="00150EDC">
        <w:rPr>
          <w:rFonts w:ascii="Calibri"/>
          <w:sz w:val="24"/>
        </w:rPr>
        <w:t>Information</w:t>
      </w:r>
      <w:r w:rsidRPr="00150EDC">
        <w:rPr>
          <w:rFonts w:ascii="Calibri"/>
          <w:spacing w:val="-4"/>
          <w:sz w:val="24"/>
        </w:rPr>
        <w:t xml:space="preserve"> </w:t>
      </w:r>
      <w:r w:rsidRPr="00150EDC">
        <w:rPr>
          <w:rFonts w:ascii="Calibri"/>
          <w:sz w:val="24"/>
        </w:rPr>
        <w:t>Act</w:t>
      </w:r>
      <w:r w:rsidRPr="00150EDC">
        <w:rPr>
          <w:rFonts w:ascii="Calibri"/>
          <w:spacing w:val="-2"/>
          <w:sz w:val="24"/>
        </w:rPr>
        <w:t xml:space="preserve"> </w:t>
      </w:r>
      <w:r w:rsidRPr="00150EDC">
        <w:rPr>
          <w:rFonts w:ascii="Calibri"/>
          <w:sz w:val="24"/>
        </w:rPr>
        <w:t>(FOIA)</w:t>
      </w:r>
      <w:r w:rsidRPr="00150EDC">
        <w:rPr>
          <w:rFonts w:ascii="Calibri"/>
          <w:spacing w:val="-4"/>
          <w:sz w:val="24"/>
        </w:rPr>
        <w:t xml:space="preserve"> </w:t>
      </w:r>
      <w:r w:rsidRPr="00150EDC">
        <w:rPr>
          <w:rFonts w:ascii="Calibri"/>
          <w:sz w:val="24"/>
        </w:rPr>
        <w:t>request;</w:t>
      </w:r>
      <w:r w:rsidRPr="00150EDC">
        <w:rPr>
          <w:rFonts w:ascii="Calibri"/>
          <w:spacing w:val="-4"/>
          <w:sz w:val="24"/>
        </w:rPr>
        <w:t xml:space="preserve"> </w:t>
      </w:r>
      <w:r w:rsidRPr="00150EDC">
        <w:rPr>
          <w:rFonts w:ascii="Calibri"/>
          <w:spacing w:val="-2"/>
          <w:sz w:val="24"/>
        </w:rPr>
        <w:t>and/or</w:t>
      </w:r>
    </w:p>
    <w:p w14:paraId="2F388A57" w14:textId="77777777" w:rsidR="004C7180" w:rsidRPr="00150EDC" w:rsidRDefault="00CF0754" w:rsidP="00B320C7">
      <w:pPr>
        <w:pStyle w:val="ListParagraph"/>
        <w:numPr>
          <w:ilvl w:val="0"/>
          <w:numId w:val="156"/>
        </w:numPr>
        <w:tabs>
          <w:tab w:val="left" w:pos="1492"/>
        </w:tabs>
        <w:spacing w:before="22"/>
        <w:ind w:left="1492" w:hanging="426"/>
        <w:rPr>
          <w:rFonts w:ascii="Calibri"/>
          <w:sz w:val="24"/>
        </w:rPr>
      </w:pPr>
      <w:r w:rsidRPr="00150EDC">
        <w:rPr>
          <w:rFonts w:ascii="Calibri"/>
          <w:sz w:val="24"/>
        </w:rPr>
        <w:t>comply</w:t>
      </w:r>
      <w:r w:rsidRPr="00150EDC">
        <w:rPr>
          <w:rFonts w:ascii="Calibri"/>
          <w:spacing w:val="-6"/>
          <w:sz w:val="24"/>
        </w:rPr>
        <w:t xml:space="preserve"> </w:t>
      </w:r>
      <w:r w:rsidRPr="00150EDC">
        <w:rPr>
          <w:rFonts w:ascii="Calibri"/>
          <w:sz w:val="24"/>
        </w:rPr>
        <w:t>with</w:t>
      </w:r>
      <w:r w:rsidRPr="00150EDC">
        <w:rPr>
          <w:rFonts w:ascii="Calibri"/>
          <w:spacing w:val="-5"/>
          <w:sz w:val="24"/>
        </w:rPr>
        <w:t xml:space="preserve"> </w:t>
      </w:r>
      <w:r w:rsidRPr="00150EDC">
        <w:rPr>
          <w:rFonts w:ascii="Calibri"/>
          <w:sz w:val="24"/>
        </w:rPr>
        <w:t>any</w:t>
      </w:r>
      <w:r w:rsidRPr="00150EDC">
        <w:rPr>
          <w:rFonts w:ascii="Calibri"/>
          <w:spacing w:val="-4"/>
          <w:sz w:val="24"/>
        </w:rPr>
        <w:t xml:space="preserve"> </w:t>
      </w:r>
      <w:r w:rsidRPr="00150EDC">
        <w:rPr>
          <w:rFonts w:ascii="Calibri"/>
          <w:sz w:val="24"/>
        </w:rPr>
        <w:t>Environmental</w:t>
      </w:r>
      <w:r w:rsidRPr="00150EDC">
        <w:rPr>
          <w:rFonts w:ascii="Calibri"/>
          <w:spacing w:val="-6"/>
          <w:sz w:val="24"/>
        </w:rPr>
        <w:t xml:space="preserve"> </w:t>
      </w:r>
      <w:r w:rsidRPr="00150EDC">
        <w:rPr>
          <w:rFonts w:ascii="Calibri"/>
          <w:sz w:val="24"/>
        </w:rPr>
        <w:t>Information</w:t>
      </w:r>
      <w:r w:rsidRPr="00150EDC">
        <w:rPr>
          <w:rFonts w:ascii="Calibri"/>
          <w:spacing w:val="-5"/>
          <w:sz w:val="24"/>
        </w:rPr>
        <w:t xml:space="preserve"> </w:t>
      </w:r>
      <w:r w:rsidRPr="00150EDC">
        <w:rPr>
          <w:rFonts w:ascii="Calibri"/>
          <w:sz w:val="24"/>
        </w:rPr>
        <w:t>Regulations</w:t>
      </w:r>
      <w:r w:rsidRPr="00150EDC">
        <w:rPr>
          <w:rFonts w:ascii="Calibri"/>
          <w:spacing w:val="-6"/>
          <w:sz w:val="24"/>
        </w:rPr>
        <w:t xml:space="preserve"> </w:t>
      </w:r>
      <w:r w:rsidRPr="00150EDC">
        <w:rPr>
          <w:rFonts w:ascii="Calibri"/>
          <w:sz w:val="24"/>
        </w:rPr>
        <w:t>(EIR)</w:t>
      </w:r>
      <w:r w:rsidRPr="00150EDC">
        <w:rPr>
          <w:rFonts w:ascii="Calibri"/>
          <w:spacing w:val="-4"/>
          <w:sz w:val="24"/>
        </w:rPr>
        <w:t xml:space="preserve"> </w:t>
      </w:r>
      <w:r w:rsidRPr="00150EDC">
        <w:rPr>
          <w:rFonts w:ascii="Calibri"/>
          <w:spacing w:val="-2"/>
          <w:sz w:val="24"/>
        </w:rPr>
        <w:t>request.</w:t>
      </w:r>
    </w:p>
    <w:p w14:paraId="271FF3D7" w14:textId="77777777" w:rsidR="004C7180" w:rsidRPr="00150EDC" w:rsidRDefault="004C7180">
      <w:pPr>
        <w:pStyle w:val="BodyText"/>
        <w:spacing w:before="6"/>
        <w:rPr>
          <w:rFonts w:ascii="Calibri"/>
          <w:sz w:val="25"/>
        </w:rPr>
      </w:pPr>
    </w:p>
    <w:p w14:paraId="0FDA367B" w14:textId="77777777" w:rsidR="004C7180" w:rsidRPr="00150EDC" w:rsidRDefault="00CF0754" w:rsidP="00B320C7">
      <w:pPr>
        <w:pStyle w:val="ListParagraph"/>
        <w:numPr>
          <w:ilvl w:val="1"/>
          <w:numId w:val="182"/>
        </w:numPr>
        <w:tabs>
          <w:tab w:val="left" w:pos="1064"/>
          <w:tab w:val="left" w:pos="1066"/>
        </w:tabs>
        <w:ind w:right="580"/>
        <w:rPr>
          <w:rFonts w:ascii="Calibri" w:hAnsi="Calibri"/>
          <w:sz w:val="24"/>
        </w:rPr>
      </w:pPr>
      <w:r w:rsidRPr="00150EDC">
        <w:rPr>
          <w:rFonts w:ascii="Calibri" w:hAnsi="Calibri"/>
          <w:sz w:val="24"/>
        </w:rPr>
        <w:t>The Relevant Authority may talk to the Supplier to help it decide whether to publish information under Clause</w:t>
      </w:r>
      <w:r w:rsidRPr="00150EDC">
        <w:rPr>
          <w:rFonts w:ascii="Calibri" w:hAnsi="Calibri"/>
          <w:spacing w:val="-2"/>
          <w:sz w:val="24"/>
        </w:rPr>
        <w:t xml:space="preserve"> </w:t>
      </w:r>
      <w:r w:rsidRPr="00150EDC">
        <w:rPr>
          <w:rFonts w:ascii="Calibri" w:hAnsi="Calibri"/>
          <w:sz w:val="24"/>
        </w:rPr>
        <w:t>16.</w:t>
      </w:r>
      <w:r w:rsidRPr="00150EDC">
        <w:rPr>
          <w:rFonts w:ascii="Calibri" w:hAnsi="Calibri"/>
          <w:spacing w:val="-6"/>
          <w:sz w:val="24"/>
        </w:rPr>
        <w:t xml:space="preserve"> </w:t>
      </w:r>
      <w:r w:rsidRPr="00150EDC">
        <w:rPr>
          <w:rFonts w:ascii="Calibri" w:hAnsi="Calibri"/>
          <w:sz w:val="24"/>
        </w:rPr>
        <w:t>However,</w:t>
      </w:r>
      <w:r w:rsidRPr="00150EDC">
        <w:rPr>
          <w:rFonts w:ascii="Calibri" w:hAnsi="Calibri"/>
          <w:spacing w:val="-2"/>
          <w:sz w:val="24"/>
        </w:rPr>
        <w:t xml:space="preserve"> </w:t>
      </w:r>
      <w:r w:rsidRPr="00150EDC">
        <w:rPr>
          <w:rFonts w:ascii="Calibri" w:hAnsi="Calibri"/>
          <w:sz w:val="24"/>
        </w:rPr>
        <w:t>the</w:t>
      </w:r>
      <w:r w:rsidRPr="00150EDC">
        <w:rPr>
          <w:rFonts w:ascii="Calibri" w:hAnsi="Calibri"/>
          <w:spacing w:val="-4"/>
          <w:sz w:val="24"/>
        </w:rPr>
        <w:t xml:space="preserve"> </w:t>
      </w:r>
      <w:r w:rsidRPr="00150EDC">
        <w:rPr>
          <w:rFonts w:ascii="Calibri" w:hAnsi="Calibri"/>
          <w:sz w:val="24"/>
        </w:rPr>
        <w:t>extent,</w:t>
      </w:r>
      <w:r w:rsidRPr="00150EDC">
        <w:rPr>
          <w:rFonts w:ascii="Calibri" w:hAnsi="Calibri"/>
          <w:spacing w:val="-3"/>
          <w:sz w:val="24"/>
        </w:rPr>
        <w:t xml:space="preserve"> </w:t>
      </w:r>
      <w:r w:rsidRPr="00150EDC">
        <w:rPr>
          <w:rFonts w:ascii="Calibri" w:hAnsi="Calibri"/>
          <w:sz w:val="24"/>
        </w:rPr>
        <w:t>content</w:t>
      </w:r>
      <w:r w:rsidRPr="00150EDC">
        <w:rPr>
          <w:rFonts w:ascii="Calibri" w:hAnsi="Calibri"/>
          <w:spacing w:val="-4"/>
          <w:sz w:val="24"/>
        </w:rPr>
        <w:t xml:space="preserve"> </w:t>
      </w:r>
      <w:r w:rsidRPr="00150EDC">
        <w:rPr>
          <w:rFonts w:ascii="Calibri" w:hAnsi="Calibri"/>
          <w:sz w:val="24"/>
        </w:rPr>
        <w:t>and</w:t>
      </w:r>
      <w:r w:rsidRPr="00150EDC">
        <w:rPr>
          <w:rFonts w:ascii="Calibri" w:hAnsi="Calibri"/>
          <w:spacing w:val="-2"/>
          <w:sz w:val="24"/>
        </w:rPr>
        <w:t xml:space="preserve"> </w:t>
      </w:r>
      <w:r w:rsidRPr="00150EDC">
        <w:rPr>
          <w:rFonts w:ascii="Calibri" w:hAnsi="Calibri"/>
          <w:sz w:val="24"/>
        </w:rPr>
        <w:t>format</w:t>
      </w:r>
      <w:r w:rsidRPr="00150EDC">
        <w:rPr>
          <w:rFonts w:ascii="Calibri" w:hAnsi="Calibri"/>
          <w:spacing w:val="-2"/>
          <w:sz w:val="24"/>
        </w:rPr>
        <w:t xml:space="preserve"> </w:t>
      </w:r>
      <w:r w:rsidRPr="00150EDC">
        <w:rPr>
          <w:rFonts w:ascii="Calibri" w:hAnsi="Calibri"/>
          <w:sz w:val="24"/>
        </w:rPr>
        <w:t>of</w:t>
      </w:r>
      <w:r w:rsidRPr="00150EDC">
        <w:rPr>
          <w:rFonts w:ascii="Calibri" w:hAnsi="Calibri"/>
          <w:spacing w:val="-4"/>
          <w:sz w:val="24"/>
        </w:rPr>
        <w:t xml:space="preserve"> </w:t>
      </w:r>
      <w:r w:rsidRPr="00150EDC">
        <w:rPr>
          <w:rFonts w:ascii="Calibri" w:hAnsi="Calibri"/>
          <w:sz w:val="24"/>
        </w:rPr>
        <w:t>the</w:t>
      </w:r>
      <w:r w:rsidRPr="00150EDC">
        <w:rPr>
          <w:rFonts w:ascii="Calibri" w:hAnsi="Calibri"/>
          <w:spacing w:val="-5"/>
          <w:sz w:val="24"/>
        </w:rPr>
        <w:t xml:space="preserve"> </w:t>
      </w:r>
      <w:r w:rsidRPr="00150EDC">
        <w:rPr>
          <w:rFonts w:ascii="Calibri" w:hAnsi="Calibri"/>
          <w:sz w:val="24"/>
        </w:rPr>
        <w:t>disclosure</w:t>
      </w:r>
      <w:r w:rsidRPr="00150EDC">
        <w:rPr>
          <w:rFonts w:ascii="Calibri" w:hAnsi="Calibri"/>
          <w:spacing w:val="-2"/>
          <w:sz w:val="24"/>
        </w:rPr>
        <w:t xml:space="preserve"> </w:t>
      </w:r>
      <w:r w:rsidRPr="00150EDC">
        <w:rPr>
          <w:rFonts w:ascii="Calibri" w:hAnsi="Calibri"/>
          <w:sz w:val="24"/>
        </w:rPr>
        <w:t>is</w:t>
      </w:r>
      <w:r w:rsidRPr="00150EDC">
        <w:rPr>
          <w:rFonts w:ascii="Calibri" w:hAnsi="Calibri"/>
          <w:spacing w:val="-5"/>
          <w:sz w:val="24"/>
        </w:rPr>
        <w:t xml:space="preserve"> </w:t>
      </w:r>
      <w:r w:rsidRPr="00150EDC">
        <w:rPr>
          <w:rFonts w:ascii="Calibri" w:hAnsi="Calibri"/>
          <w:sz w:val="24"/>
        </w:rPr>
        <w:t>the</w:t>
      </w:r>
      <w:r w:rsidRPr="00150EDC">
        <w:rPr>
          <w:rFonts w:ascii="Calibri" w:hAnsi="Calibri"/>
          <w:spacing w:val="-5"/>
          <w:sz w:val="24"/>
        </w:rPr>
        <w:t xml:space="preserve"> </w:t>
      </w:r>
      <w:r w:rsidRPr="00150EDC">
        <w:rPr>
          <w:rFonts w:ascii="Calibri" w:hAnsi="Calibri"/>
          <w:sz w:val="24"/>
        </w:rPr>
        <w:t>Relevant</w:t>
      </w:r>
      <w:r w:rsidRPr="00150EDC">
        <w:rPr>
          <w:rFonts w:ascii="Calibri" w:hAnsi="Calibri"/>
          <w:spacing w:val="-2"/>
          <w:sz w:val="24"/>
        </w:rPr>
        <w:t xml:space="preserve"> </w:t>
      </w:r>
      <w:r w:rsidRPr="00150EDC">
        <w:rPr>
          <w:rFonts w:ascii="Calibri" w:hAnsi="Calibri"/>
          <w:sz w:val="24"/>
        </w:rPr>
        <w:t>Authority’s</w:t>
      </w:r>
      <w:r w:rsidRPr="00150EDC">
        <w:rPr>
          <w:rFonts w:ascii="Calibri" w:hAnsi="Calibri"/>
          <w:spacing w:val="-6"/>
          <w:sz w:val="24"/>
        </w:rPr>
        <w:t xml:space="preserve"> </w:t>
      </w:r>
      <w:r w:rsidRPr="00150EDC">
        <w:rPr>
          <w:rFonts w:ascii="Calibri" w:hAnsi="Calibri"/>
          <w:sz w:val="24"/>
        </w:rPr>
        <w:t>decision in its absolute discretion.</w:t>
      </w:r>
    </w:p>
    <w:p w14:paraId="4168C913" w14:textId="77777777" w:rsidR="004C7180" w:rsidRPr="00150EDC" w:rsidRDefault="004C7180">
      <w:pPr>
        <w:pStyle w:val="BodyText"/>
        <w:spacing w:before="8"/>
        <w:rPr>
          <w:rFonts w:ascii="Calibri"/>
          <w:sz w:val="27"/>
        </w:rPr>
      </w:pPr>
    </w:p>
    <w:p w14:paraId="6BF6C72D" w14:textId="77777777" w:rsidR="004C7180" w:rsidRPr="00150EDC" w:rsidRDefault="00CF0754" w:rsidP="00B320C7">
      <w:pPr>
        <w:pStyle w:val="Heading1"/>
        <w:numPr>
          <w:ilvl w:val="0"/>
          <w:numId w:val="182"/>
        </w:numPr>
        <w:tabs>
          <w:tab w:val="left" w:pos="1217"/>
        </w:tabs>
        <w:ind w:left="1217" w:hanging="650"/>
        <w:jc w:val="left"/>
        <w:rPr>
          <w:rFonts w:ascii="Calibri"/>
        </w:rPr>
      </w:pPr>
      <w:r w:rsidRPr="00150EDC">
        <w:rPr>
          <w:rFonts w:ascii="Calibri"/>
        </w:rPr>
        <w:t>Invalid</w:t>
      </w:r>
      <w:r w:rsidRPr="00150EDC">
        <w:rPr>
          <w:rFonts w:ascii="Calibri"/>
          <w:spacing w:val="-3"/>
        </w:rPr>
        <w:t xml:space="preserve"> </w:t>
      </w:r>
      <w:r w:rsidRPr="00150EDC">
        <w:rPr>
          <w:rFonts w:ascii="Calibri"/>
        </w:rPr>
        <w:t>parts</w:t>
      </w:r>
      <w:r w:rsidRPr="00150EDC">
        <w:rPr>
          <w:rFonts w:ascii="Calibri"/>
          <w:spacing w:val="-1"/>
        </w:rPr>
        <w:t xml:space="preserve"> </w:t>
      </w:r>
      <w:r w:rsidRPr="00150EDC">
        <w:rPr>
          <w:rFonts w:ascii="Calibri"/>
        </w:rPr>
        <w:t>of</w:t>
      </w:r>
      <w:r w:rsidRPr="00150EDC">
        <w:rPr>
          <w:rFonts w:ascii="Calibri"/>
          <w:spacing w:val="-1"/>
        </w:rPr>
        <w:t xml:space="preserve"> </w:t>
      </w:r>
      <w:r w:rsidRPr="00150EDC">
        <w:rPr>
          <w:rFonts w:ascii="Calibri"/>
        </w:rPr>
        <w:t>the</w:t>
      </w:r>
      <w:r w:rsidRPr="00150EDC">
        <w:rPr>
          <w:rFonts w:ascii="Calibri"/>
          <w:spacing w:val="-1"/>
        </w:rPr>
        <w:t xml:space="preserve"> </w:t>
      </w:r>
      <w:r w:rsidRPr="00150EDC">
        <w:rPr>
          <w:rFonts w:ascii="Calibri"/>
          <w:spacing w:val="-2"/>
        </w:rPr>
        <w:t>contract</w:t>
      </w:r>
    </w:p>
    <w:p w14:paraId="7543EB0D" w14:textId="77777777" w:rsidR="004C7180" w:rsidRPr="00150EDC" w:rsidRDefault="00CF0754">
      <w:pPr>
        <w:pStyle w:val="BodyText"/>
        <w:spacing w:before="18"/>
        <w:ind w:left="641" w:right="673" w:hanging="5"/>
        <w:rPr>
          <w:rFonts w:ascii="Calibri"/>
        </w:rPr>
      </w:pPr>
      <w:r w:rsidRPr="00150EDC">
        <w:rPr>
          <w:rFonts w:ascii="Calibri"/>
        </w:rPr>
        <w:t>If any part of a Contract is prohibited by Law or judged by a court to be unlawful, void or unenforceable, it must</w:t>
      </w:r>
      <w:r w:rsidRPr="00150EDC">
        <w:rPr>
          <w:rFonts w:ascii="Calibri"/>
          <w:spacing w:val="-3"/>
        </w:rPr>
        <w:t xml:space="preserve"> </w:t>
      </w:r>
      <w:r w:rsidRPr="00150EDC">
        <w:rPr>
          <w:rFonts w:ascii="Calibri"/>
        </w:rPr>
        <w:t>be</w:t>
      </w:r>
      <w:r w:rsidRPr="00150EDC">
        <w:rPr>
          <w:rFonts w:ascii="Calibri"/>
          <w:spacing w:val="-3"/>
        </w:rPr>
        <w:t xml:space="preserve"> </w:t>
      </w:r>
      <w:r w:rsidRPr="00150EDC">
        <w:rPr>
          <w:rFonts w:ascii="Calibri"/>
        </w:rPr>
        <w:t>read</w:t>
      </w:r>
      <w:r w:rsidRPr="00150EDC">
        <w:rPr>
          <w:rFonts w:ascii="Calibri"/>
          <w:spacing w:val="-3"/>
        </w:rPr>
        <w:t xml:space="preserve"> </w:t>
      </w:r>
      <w:r w:rsidRPr="00150EDC">
        <w:rPr>
          <w:rFonts w:ascii="Calibri"/>
        </w:rPr>
        <w:t>as</w:t>
      </w:r>
      <w:r w:rsidRPr="00150EDC">
        <w:rPr>
          <w:rFonts w:ascii="Calibri"/>
          <w:spacing w:val="-2"/>
        </w:rPr>
        <w:t xml:space="preserve"> </w:t>
      </w:r>
      <w:r w:rsidRPr="00150EDC">
        <w:rPr>
          <w:rFonts w:ascii="Calibri"/>
        </w:rPr>
        <w:t>if</w:t>
      </w:r>
      <w:r w:rsidRPr="00150EDC">
        <w:rPr>
          <w:rFonts w:ascii="Calibri"/>
          <w:spacing w:val="-1"/>
        </w:rPr>
        <w:t xml:space="preserve"> </w:t>
      </w:r>
      <w:r w:rsidRPr="00150EDC">
        <w:rPr>
          <w:rFonts w:ascii="Calibri"/>
        </w:rPr>
        <w:t>it</w:t>
      </w:r>
      <w:r w:rsidRPr="00150EDC">
        <w:rPr>
          <w:rFonts w:ascii="Calibri"/>
          <w:spacing w:val="-1"/>
        </w:rPr>
        <w:t xml:space="preserve"> </w:t>
      </w:r>
      <w:r w:rsidRPr="00150EDC">
        <w:rPr>
          <w:rFonts w:ascii="Calibri"/>
        </w:rPr>
        <w:t>was</w:t>
      </w:r>
      <w:r w:rsidRPr="00150EDC">
        <w:rPr>
          <w:rFonts w:ascii="Calibri"/>
          <w:spacing w:val="-4"/>
        </w:rPr>
        <w:t xml:space="preserve"> </w:t>
      </w:r>
      <w:r w:rsidRPr="00150EDC">
        <w:rPr>
          <w:rFonts w:ascii="Calibri"/>
        </w:rPr>
        <w:t>removed</w:t>
      </w:r>
      <w:r w:rsidRPr="00150EDC">
        <w:rPr>
          <w:rFonts w:ascii="Calibri"/>
          <w:spacing w:val="-3"/>
        </w:rPr>
        <w:t xml:space="preserve"> </w:t>
      </w:r>
      <w:r w:rsidRPr="00150EDC">
        <w:rPr>
          <w:rFonts w:ascii="Calibri"/>
        </w:rPr>
        <w:t>from</w:t>
      </w:r>
      <w:r w:rsidRPr="00150EDC">
        <w:rPr>
          <w:rFonts w:ascii="Calibri"/>
          <w:spacing w:val="-3"/>
        </w:rPr>
        <w:t xml:space="preserve"> </w:t>
      </w:r>
      <w:r w:rsidRPr="00150EDC">
        <w:rPr>
          <w:rFonts w:ascii="Calibri"/>
        </w:rPr>
        <w:t>that</w:t>
      </w:r>
      <w:r w:rsidRPr="00150EDC">
        <w:rPr>
          <w:rFonts w:ascii="Calibri"/>
          <w:spacing w:val="-1"/>
        </w:rPr>
        <w:t xml:space="preserve"> </w:t>
      </w:r>
      <w:r w:rsidRPr="00150EDC">
        <w:rPr>
          <w:rFonts w:ascii="Calibri"/>
        </w:rPr>
        <w:t>Contract</w:t>
      </w:r>
      <w:r w:rsidRPr="00150EDC">
        <w:rPr>
          <w:rFonts w:ascii="Calibri"/>
          <w:spacing w:val="-1"/>
        </w:rPr>
        <w:t xml:space="preserve"> </w:t>
      </w:r>
      <w:r w:rsidRPr="00150EDC">
        <w:rPr>
          <w:rFonts w:ascii="Calibri"/>
        </w:rPr>
        <w:t>as</w:t>
      </w:r>
      <w:r w:rsidRPr="00150EDC">
        <w:rPr>
          <w:rFonts w:ascii="Calibri"/>
          <w:spacing w:val="-2"/>
        </w:rPr>
        <w:t xml:space="preserve"> </w:t>
      </w:r>
      <w:r w:rsidRPr="00150EDC">
        <w:rPr>
          <w:rFonts w:ascii="Calibri"/>
        </w:rPr>
        <w:t>much</w:t>
      </w:r>
      <w:r w:rsidRPr="00150EDC">
        <w:rPr>
          <w:rFonts w:ascii="Calibri"/>
          <w:spacing w:val="-1"/>
        </w:rPr>
        <w:t xml:space="preserve"> </w:t>
      </w:r>
      <w:r w:rsidRPr="00150EDC">
        <w:rPr>
          <w:rFonts w:ascii="Calibri"/>
        </w:rPr>
        <w:t>as</w:t>
      </w:r>
      <w:r w:rsidRPr="00150EDC">
        <w:rPr>
          <w:rFonts w:ascii="Calibri"/>
          <w:spacing w:val="-4"/>
        </w:rPr>
        <w:t xml:space="preserve"> </w:t>
      </w:r>
      <w:r w:rsidRPr="00150EDC">
        <w:rPr>
          <w:rFonts w:ascii="Calibri"/>
        </w:rPr>
        <w:t>required</w:t>
      </w:r>
      <w:r w:rsidRPr="00150EDC">
        <w:rPr>
          <w:rFonts w:ascii="Calibri"/>
          <w:spacing w:val="-3"/>
        </w:rPr>
        <w:t xml:space="preserve"> </w:t>
      </w:r>
      <w:r w:rsidRPr="00150EDC">
        <w:rPr>
          <w:rFonts w:ascii="Calibri"/>
        </w:rPr>
        <w:t>and</w:t>
      </w:r>
      <w:r w:rsidRPr="00150EDC">
        <w:rPr>
          <w:rFonts w:ascii="Calibri"/>
          <w:spacing w:val="-3"/>
        </w:rPr>
        <w:t xml:space="preserve"> </w:t>
      </w:r>
      <w:r w:rsidRPr="00150EDC">
        <w:rPr>
          <w:rFonts w:ascii="Calibri"/>
        </w:rPr>
        <w:t>rendered</w:t>
      </w:r>
      <w:r w:rsidRPr="00150EDC">
        <w:rPr>
          <w:rFonts w:ascii="Calibri"/>
          <w:spacing w:val="-1"/>
        </w:rPr>
        <w:t xml:space="preserve"> </w:t>
      </w:r>
      <w:r w:rsidRPr="00150EDC">
        <w:rPr>
          <w:rFonts w:ascii="Calibri"/>
        </w:rPr>
        <w:t>ineffective</w:t>
      </w:r>
      <w:r w:rsidRPr="00150EDC">
        <w:rPr>
          <w:rFonts w:ascii="Calibri"/>
          <w:spacing w:val="-4"/>
        </w:rPr>
        <w:t xml:space="preserve"> </w:t>
      </w:r>
      <w:r w:rsidRPr="00150EDC">
        <w:rPr>
          <w:rFonts w:ascii="Calibri"/>
        </w:rPr>
        <w:t>as</w:t>
      </w:r>
      <w:r w:rsidRPr="00150EDC">
        <w:rPr>
          <w:rFonts w:ascii="Calibri"/>
          <w:spacing w:val="-2"/>
        </w:rPr>
        <w:t xml:space="preserve"> </w:t>
      </w:r>
      <w:r w:rsidRPr="00150EDC">
        <w:rPr>
          <w:rFonts w:ascii="Calibri"/>
        </w:rPr>
        <w:t>far</w:t>
      </w:r>
      <w:r w:rsidRPr="00150EDC">
        <w:rPr>
          <w:rFonts w:ascii="Calibri"/>
          <w:spacing w:val="-4"/>
        </w:rPr>
        <w:t xml:space="preserve"> </w:t>
      </w:r>
      <w:r w:rsidRPr="00150EDC">
        <w:rPr>
          <w:rFonts w:ascii="Calibri"/>
        </w:rPr>
        <w:t>as possible without affecting the rest of the Contract, whether it is valid or enforceable.</w:t>
      </w:r>
    </w:p>
    <w:p w14:paraId="499D4C88" w14:textId="77777777" w:rsidR="004C7180" w:rsidRPr="00150EDC" w:rsidRDefault="004C7180">
      <w:pPr>
        <w:pStyle w:val="BodyText"/>
        <w:spacing w:before="9"/>
        <w:rPr>
          <w:rFonts w:ascii="Calibri"/>
          <w:sz w:val="25"/>
        </w:rPr>
      </w:pPr>
    </w:p>
    <w:p w14:paraId="328DCC28" w14:textId="77777777" w:rsidR="004C7180" w:rsidRPr="00150EDC" w:rsidRDefault="00CF0754" w:rsidP="00B320C7">
      <w:pPr>
        <w:pStyle w:val="Heading1"/>
        <w:numPr>
          <w:ilvl w:val="0"/>
          <w:numId w:val="182"/>
        </w:numPr>
        <w:tabs>
          <w:tab w:val="left" w:pos="1217"/>
        </w:tabs>
        <w:spacing w:before="1"/>
        <w:ind w:left="1217" w:hanging="650"/>
        <w:jc w:val="left"/>
        <w:rPr>
          <w:rFonts w:ascii="Calibri"/>
        </w:rPr>
      </w:pPr>
      <w:r w:rsidRPr="00150EDC">
        <w:rPr>
          <w:rFonts w:ascii="Calibri"/>
        </w:rPr>
        <w:t>No</w:t>
      </w:r>
      <w:r w:rsidRPr="00150EDC">
        <w:rPr>
          <w:rFonts w:ascii="Calibri"/>
          <w:spacing w:val="-4"/>
        </w:rPr>
        <w:t xml:space="preserve"> </w:t>
      </w:r>
      <w:r w:rsidRPr="00150EDC">
        <w:rPr>
          <w:rFonts w:ascii="Calibri"/>
        </w:rPr>
        <w:t>other</w:t>
      </w:r>
      <w:r w:rsidRPr="00150EDC">
        <w:rPr>
          <w:rFonts w:ascii="Calibri"/>
          <w:spacing w:val="-2"/>
        </w:rPr>
        <w:t xml:space="preserve"> </w:t>
      </w:r>
      <w:r w:rsidRPr="00150EDC">
        <w:rPr>
          <w:rFonts w:ascii="Calibri"/>
        </w:rPr>
        <w:t>terms</w:t>
      </w:r>
      <w:r w:rsidRPr="00150EDC">
        <w:rPr>
          <w:rFonts w:ascii="Calibri"/>
          <w:spacing w:val="-4"/>
        </w:rPr>
        <w:t xml:space="preserve"> apply</w:t>
      </w:r>
    </w:p>
    <w:p w14:paraId="04DDF0B4" w14:textId="77777777" w:rsidR="004C7180" w:rsidRPr="00150EDC" w:rsidRDefault="00CF0754">
      <w:pPr>
        <w:pStyle w:val="BodyText"/>
        <w:spacing w:before="18"/>
        <w:ind w:left="641" w:hanging="5"/>
        <w:rPr>
          <w:rFonts w:ascii="Calibri"/>
        </w:rPr>
      </w:pPr>
      <w:r w:rsidRPr="00150EDC">
        <w:rPr>
          <w:rFonts w:ascii="Calibri"/>
        </w:rPr>
        <w:t>The provisions incorporated into each Contract are the entire agreement between the Parties. The Contract replaces</w:t>
      </w:r>
      <w:r w:rsidRPr="00150EDC">
        <w:rPr>
          <w:rFonts w:ascii="Calibri"/>
          <w:spacing w:val="-2"/>
        </w:rPr>
        <w:t xml:space="preserve"> </w:t>
      </w:r>
      <w:r w:rsidRPr="00150EDC">
        <w:rPr>
          <w:rFonts w:ascii="Calibri"/>
        </w:rPr>
        <w:t>all</w:t>
      </w:r>
      <w:r w:rsidRPr="00150EDC">
        <w:rPr>
          <w:rFonts w:ascii="Calibri"/>
          <w:spacing w:val="-4"/>
        </w:rPr>
        <w:t xml:space="preserve"> </w:t>
      </w:r>
      <w:r w:rsidRPr="00150EDC">
        <w:rPr>
          <w:rFonts w:ascii="Calibri"/>
        </w:rPr>
        <w:t>previous</w:t>
      </w:r>
      <w:r w:rsidRPr="00150EDC">
        <w:rPr>
          <w:rFonts w:ascii="Calibri"/>
          <w:spacing w:val="-2"/>
        </w:rPr>
        <w:t xml:space="preserve"> </w:t>
      </w:r>
      <w:r w:rsidRPr="00150EDC">
        <w:rPr>
          <w:rFonts w:ascii="Calibri"/>
        </w:rPr>
        <w:t>statements,</w:t>
      </w:r>
      <w:r w:rsidRPr="00150EDC">
        <w:rPr>
          <w:rFonts w:ascii="Calibri"/>
          <w:spacing w:val="-2"/>
        </w:rPr>
        <w:t xml:space="preserve"> </w:t>
      </w:r>
      <w:r w:rsidRPr="00150EDC">
        <w:rPr>
          <w:rFonts w:ascii="Calibri"/>
        </w:rPr>
        <w:t>agreements</w:t>
      </w:r>
      <w:r w:rsidRPr="00150EDC">
        <w:rPr>
          <w:rFonts w:ascii="Calibri"/>
          <w:spacing w:val="-2"/>
        </w:rPr>
        <w:t xml:space="preserve"> </w:t>
      </w:r>
      <w:r w:rsidRPr="00150EDC">
        <w:rPr>
          <w:rFonts w:ascii="Calibri"/>
        </w:rPr>
        <w:t>and</w:t>
      </w:r>
      <w:r w:rsidRPr="00150EDC">
        <w:rPr>
          <w:rFonts w:ascii="Calibri"/>
          <w:spacing w:val="-3"/>
        </w:rPr>
        <w:t xml:space="preserve"> </w:t>
      </w:r>
      <w:r w:rsidRPr="00150EDC">
        <w:rPr>
          <w:rFonts w:ascii="Calibri"/>
        </w:rPr>
        <w:t>any</w:t>
      </w:r>
      <w:r w:rsidRPr="00150EDC">
        <w:rPr>
          <w:rFonts w:ascii="Calibri"/>
          <w:spacing w:val="-2"/>
        </w:rPr>
        <w:t xml:space="preserve"> </w:t>
      </w:r>
      <w:r w:rsidRPr="00150EDC">
        <w:rPr>
          <w:rFonts w:ascii="Calibri"/>
        </w:rPr>
        <w:t>course</w:t>
      </w:r>
      <w:r w:rsidRPr="00150EDC">
        <w:rPr>
          <w:rFonts w:ascii="Calibri"/>
          <w:spacing w:val="-1"/>
        </w:rPr>
        <w:t xml:space="preserve"> </w:t>
      </w:r>
      <w:r w:rsidRPr="00150EDC">
        <w:rPr>
          <w:rFonts w:ascii="Calibri"/>
        </w:rPr>
        <w:t>of</w:t>
      </w:r>
      <w:r w:rsidRPr="00150EDC">
        <w:rPr>
          <w:rFonts w:ascii="Calibri"/>
          <w:spacing w:val="-3"/>
        </w:rPr>
        <w:t xml:space="preserve"> </w:t>
      </w:r>
      <w:r w:rsidRPr="00150EDC">
        <w:rPr>
          <w:rFonts w:ascii="Calibri"/>
        </w:rPr>
        <w:t>dealings</w:t>
      </w:r>
      <w:r w:rsidRPr="00150EDC">
        <w:rPr>
          <w:rFonts w:ascii="Calibri"/>
          <w:spacing w:val="-4"/>
        </w:rPr>
        <w:t xml:space="preserve"> </w:t>
      </w:r>
      <w:r w:rsidRPr="00150EDC">
        <w:rPr>
          <w:rFonts w:ascii="Calibri"/>
        </w:rPr>
        <w:t>made</w:t>
      </w:r>
      <w:r w:rsidRPr="00150EDC">
        <w:rPr>
          <w:rFonts w:ascii="Calibri"/>
          <w:spacing w:val="-3"/>
        </w:rPr>
        <w:t xml:space="preserve"> </w:t>
      </w:r>
      <w:r w:rsidRPr="00150EDC">
        <w:rPr>
          <w:rFonts w:ascii="Calibri"/>
        </w:rPr>
        <w:t>between</w:t>
      </w:r>
      <w:r w:rsidRPr="00150EDC">
        <w:rPr>
          <w:rFonts w:ascii="Calibri"/>
          <w:spacing w:val="-3"/>
        </w:rPr>
        <w:t xml:space="preserve"> </w:t>
      </w:r>
      <w:r w:rsidRPr="00150EDC">
        <w:rPr>
          <w:rFonts w:ascii="Calibri"/>
        </w:rPr>
        <w:t>the</w:t>
      </w:r>
      <w:r w:rsidRPr="00150EDC">
        <w:rPr>
          <w:rFonts w:ascii="Calibri"/>
          <w:spacing w:val="-1"/>
        </w:rPr>
        <w:t xml:space="preserve"> </w:t>
      </w:r>
      <w:r w:rsidRPr="00150EDC">
        <w:rPr>
          <w:rFonts w:ascii="Calibri"/>
        </w:rPr>
        <w:t>Parties,</w:t>
      </w:r>
      <w:r w:rsidRPr="00150EDC">
        <w:rPr>
          <w:rFonts w:ascii="Calibri"/>
          <w:spacing w:val="-1"/>
        </w:rPr>
        <w:t xml:space="preserve"> </w:t>
      </w:r>
      <w:r w:rsidRPr="00150EDC">
        <w:rPr>
          <w:rFonts w:ascii="Calibri"/>
        </w:rPr>
        <w:t>whether written or oral, in relation to its subject matter. No other provisions apply.</w:t>
      </w:r>
    </w:p>
    <w:p w14:paraId="5167D885" w14:textId="77777777" w:rsidR="004C7180" w:rsidRPr="00150EDC" w:rsidRDefault="004C7180">
      <w:pPr>
        <w:pStyle w:val="BodyText"/>
        <w:spacing w:before="9"/>
        <w:rPr>
          <w:rFonts w:ascii="Calibri"/>
          <w:sz w:val="25"/>
        </w:rPr>
      </w:pPr>
    </w:p>
    <w:p w14:paraId="17EA49D3" w14:textId="77777777" w:rsidR="004C7180" w:rsidRPr="00150EDC" w:rsidRDefault="00CF0754" w:rsidP="00B320C7">
      <w:pPr>
        <w:pStyle w:val="Heading1"/>
        <w:numPr>
          <w:ilvl w:val="0"/>
          <w:numId w:val="182"/>
        </w:numPr>
        <w:tabs>
          <w:tab w:val="left" w:pos="1217"/>
        </w:tabs>
        <w:ind w:left="1217" w:hanging="650"/>
        <w:jc w:val="left"/>
        <w:rPr>
          <w:rFonts w:ascii="Calibri" w:hAnsi="Calibri"/>
        </w:rPr>
      </w:pPr>
      <w:r w:rsidRPr="00150EDC">
        <w:rPr>
          <w:rFonts w:ascii="Calibri" w:hAnsi="Calibri"/>
        </w:rPr>
        <w:t>Other</w:t>
      </w:r>
      <w:r w:rsidRPr="00150EDC">
        <w:rPr>
          <w:rFonts w:ascii="Calibri" w:hAnsi="Calibri"/>
          <w:spacing w:val="-3"/>
        </w:rPr>
        <w:t xml:space="preserve"> </w:t>
      </w:r>
      <w:r w:rsidRPr="00150EDC">
        <w:rPr>
          <w:rFonts w:ascii="Calibri" w:hAnsi="Calibri"/>
        </w:rPr>
        <w:t>people’s</w:t>
      </w:r>
      <w:r w:rsidRPr="00150EDC">
        <w:rPr>
          <w:rFonts w:ascii="Calibri" w:hAnsi="Calibri"/>
          <w:spacing w:val="-1"/>
        </w:rPr>
        <w:t xml:space="preserve"> </w:t>
      </w:r>
      <w:r w:rsidRPr="00150EDC">
        <w:rPr>
          <w:rFonts w:ascii="Calibri" w:hAnsi="Calibri"/>
        </w:rPr>
        <w:t>rights</w:t>
      </w:r>
      <w:r w:rsidRPr="00150EDC">
        <w:rPr>
          <w:rFonts w:ascii="Calibri" w:hAnsi="Calibri"/>
          <w:spacing w:val="-2"/>
        </w:rPr>
        <w:t xml:space="preserve"> </w:t>
      </w:r>
      <w:r w:rsidRPr="00150EDC">
        <w:rPr>
          <w:rFonts w:ascii="Calibri" w:hAnsi="Calibri"/>
        </w:rPr>
        <w:t>in</w:t>
      </w:r>
      <w:r w:rsidRPr="00150EDC">
        <w:rPr>
          <w:rFonts w:ascii="Calibri" w:hAnsi="Calibri"/>
          <w:spacing w:val="-1"/>
        </w:rPr>
        <w:t xml:space="preserve"> </w:t>
      </w:r>
      <w:r w:rsidRPr="00150EDC">
        <w:rPr>
          <w:rFonts w:ascii="Calibri" w:hAnsi="Calibri"/>
        </w:rPr>
        <w:t>a</w:t>
      </w:r>
      <w:r w:rsidRPr="00150EDC">
        <w:rPr>
          <w:rFonts w:ascii="Calibri" w:hAnsi="Calibri"/>
          <w:spacing w:val="-1"/>
        </w:rPr>
        <w:t xml:space="preserve"> </w:t>
      </w:r>
      <w:r w:rsidRPr="00150EDC">
        <w:rPr>
          <w:rFonts w:ascii="Calibri" w:hAnsi="Calibri"/>
          <w:spacing w:val="-2"/>
        </w:rPr>
        <w:t>contract</w:t>
      </w:r>
    </w:p>
    <w:p w14:paraId="121EDF86" w14:textId="77777777" w:rsidR="004C7180" w:rsidRPr="00150EDC" w:rsidRDefault="00CF0754">
      <w:pPr>
        <w:pStyle w:val="BodyText"/>
        <w:spacing w:before="19"/>
        <w:ind w:left="641" w:right="673" w:hanging="5"/>
        <w:rPr>
          <w:rFonts w:ascii="Calibri"/>
        </w:rPr>
      </w:pPr>
      <w:r w:rsidRPr="00150EDC">
        <w:rPr>
          <w:rFonts w:ascii="Calibri"/>
        </w:rPr>
        <w:t>No</w:t>
      </w:r>
      <w:r w:rsidRPr="00150EDC">
        <w:rPr>
          <w:rFonts w:ascii="Calibri"/>
          <w:spacing w:val="-3"/>
        </w:rPr>
        <w:t xml:space="preserve"> </w:t>
      </w:r>
      <w:r w:rsidRPr="00150EDC">
        <w:rPr>
          <w:rFonts w:ascii="Calibri"/>
        </w:rPr>
        <w:t>third</w:t>
      </w:r>
      <w:r w:rsidRPr="00150EDC">
        <w:rPr>
          <w:rFonts w:ascii="Calibri"/>
          <w:spacing w:val="-3"/>
        </w:rPr>
        <w:t xml:space="preserve"> </w:t>
      </w:r>
      <w:r w:rsidRPr="00150EDC">
        <w:rPr>
          <w:rFonts w:ascii="Calibri"/>
        </w:rPr>
        <w:t>parties</w:t>
      </w:r>
      <w:r w:rsidRPr="00150EDC">
        <w:rPr>
          <w:rFonts w:ascii="Calibri"/>
          <w:spacing w:val="-2"/>
        </w:rPr>
        <w:t xml:space="preserve"> </w:t>
      </w:r>
      <w:r w:rsidRPr="00150EDC">
        <w:rPr>
          <w:rFonts w:ascii="Calibri"/>
        </w:rPr>
        <w:t>may</w:t>
      </w:r>
      <w:r w:rsidRPr="00150EDC">
        <w:rPr>
          <w:rFonts w:ascii="Calibri"/>
          <w:spacing w:val="-4"/>
        </w:rPr>
        <w:t xml:space="preserve"> </w:t>
      </w:r>
      <w:r w:rsidRPr="00150EDC">
        <w:rPr>
          <w:rFonts w:ascii="Calibri"/>
        </w:rPr>
        <w:t>use</w:t>
      </w:r>
      <w:r w:rsidRPr="00150EDC">
        <w:rPr>
          <w:rFonts w:ascii="Calibri"/>
          <w:spacing w:val="-4"/>
        </w:rPr>
        <w:t xml:space="preserve"> </w:t>
      </w:r>
      <w:r w:rsidRPr="00150EDC">
        <w:rPr>
          <w:rFonts w:ascii="Calibri"/>
        </w:rPr>
        <w:t>the</w:t>
      </w:r>
      <w:r w:rsidRPr="00150EDC">
        <w:rPr>
          <w:rFonts w:ascii="Calibri"/>
          <w:spacing w:val="-4"/>
        </w:rPr>
        <w:t xml:space="preserve"> </w:t>
      </w:r>
      <w:r w:rsidRPr="00150EDC">
        <w:rPr>
          <w:rFonts w:ascii="Calibri"/>
        </w:rPr>
        <w:t>Contracts</w:t>
      </w:r>
      <w:r w:rsidRPr="00150EDC">
        <w:rPr>
          <w:rFonts w:ascii="Calibri"/>
          <w:spacing w:val="-2"/>
        </w:rPr>
        <w:t xml:space="preserve"> </w:t>
      </w:r>
      <w:r w:rsidRPr="00150EDC">
        <w:rPr>
          <w:rFonts w:ascii="Calibri"/>
        </w:rPr>
        <w:t>(Rights</w:t>
      </w:r>
      <w:r w:rsidRPr="00150EDC">
        <w:rPr>
          <w:rFonts w:ascii="Calibri"/>
          <w:spacing w:val="-2"/>
        </w:rPr>
        <w:t xml:space="preserve"> </w:t>
      </w:r>
      <w:r w:rsidRPr="00150EDC">
        <w:rPr>
          <w:rFonts w:ascii="Calibri"/>
        </w:rPr>
        <w:t>of</w:t>
      </w:r>
      <w:r w:rsidRPr="00150EDC">
        <w:rPr>
          <w:rFonts w:ascii="Calibri"/>
          <w:spacing w:val="-3"/>
        </w:rPr>
        <w:t xml:space="preserve"> </w:t>
      </w:r>
      <w:r w:rsidRPr="00150EDC">
        <w:rPr>
          <w:rFonts w:ascii="Calibri"/>
        </w:rPr>
        <w:t>Third</w:t>
      </w:r>
      <w:r w:rsidRPr="00150EDC">
        <w:rPr>
          <w:rFonts w:ascii="Calibri"/>
          <w:spacing w:val="-3"/>
        </w:rPr>
        <w:t xml:space="preserve"> </w:t>
      </w:r>
      <w:r w:rsidRPr="00150EDC">
        <w:rPr>
          <w:rFonts w:ascii="Calibri"/>
        </w:rPr>
        <w:t>Parties)</w:t>
      </w:r>
      <w:r w:rsidRPr="00150EDC">
        <w:rPr>
          <w:rFonts w:ascii="Calibri"/>
          <w:spacing w:val="-3"/>
        </w:rPr>
        <w:t xml:space="preserve"> </w:t>
      </w:r>
      <w:r w:rsidRPr="00150EDC">
        <w:rPr>
          <w:rFonts w:ascii="Calibri"/>
        </w:rPr>
        <w:t>Act</w:t>
      </w:r>
      <w:r w:rsidRPr="00150EDC">
        <w:rPr>
          <w:rFonts w:ascii="Calibri"/>
          <w:spacing w:val="-3"/>
        </w:rPr>
        <w:t xml:space="preserve"> </w:t>
      </w:r>
      <w:r w:rsidRPr="00150EDC">
        <w:rPr>
          <w:rFonts w:ascii="Calibri"/>
        </w:rPr>
        <w:t>1999</w:t>
      </w:r>
      <w:r w:rsidRPr="00150EDC">
        <w:rPr>
          <w:rFonts w:ascii="Calibri"/>
          <w:spacing w:val="-1"/>
        </w:rPr>
        <w:t xml:space="preserve"> </w:t>
      </w:r>
      <w:r w:rsidRPr="00150EDC">
        <w:rPr>
          <w:rFonts w:ascii="Calibri"/>
        </w:rPr>
        <w:t>(CRTPA)</w:t>
      </w:r>
      <w:r w:rsidRPr="00150EDC">
        <w:rPr>
          <w:rFonts w:ascii="Calibri"/>
          <w:spacing w:val="-3"/>
        </w:rPr>
        <w:t xml:space="preserve"> </w:t>
      </w:r>
      <w:r w:rsidRPr="00150EDC">
        <w:rPr>
          <w:rFonts w:ascii="Calibri"/>
        </w:rPr>
        <w:t>to</w:t>
      </w:r>
      <w:r w:rsidRPr="00150EDC">
        <w:rPr>
          <w:rFonts w:ascii="Calibri"/>
          <w:spacing w:val="-3"/>
        </w:rPr>
        <w:t xml:space="preserve"> </w:t>
      </w:r>
      <w:r w:rsidRPr="00150EDC">
        <w:rPr>
          <w:rFonts w:ascii="Calibri"/>
        </w:rPr>
        <w:t>enforce any</w:t>
      </w:r>
      <w:r w:rsidRPr="00150EDC">
        <w:rPr>
          <w:rFonts w:ascii="Calibri"/>
          <w:spacing w:val="-2"/>
        </w:rPr>
        <w:t xml:space="preserve"> </w:t>
      </w:r>
      <w:r w:rsidRPr="00150EDC">
        <w:rPr>
          <w:rFonts w:ascii="Calibri"/>
        </w:rPr>
        <w:t>term</w:t>
      </w:r>
      <w:r w:rsidRPr="00150EDC">
        <w:rPr>
          <w:rFonts w:ascii="Calibri"/>
          <w:spacing w:val="-1"/>
        </w:rPr>
        <w:t xml:space="preserve"> </w:t>
      </w:r>
      <w:r w:rsidRPr="00150EDC">
        <w:rPr>
          <w:rFonts w:ascii="Calibri"/>
        </w:rPr>
        <w:t>of</w:t>
      </w:r>
      <w:r w:rsidRPr="00150EDC">
        <w:rPr>
          <w:rFonts w:ascii="Calibri"/>
          <w:spacing w:val="-3"/>
        </w:rPr>
        <w:t xml:space="preserve"> </w:t>
      </w:r>
      <w:r w:rsidRPr="00150EDC">
        <w:rPr>
          <w:rFonts w:ascii="Calibri"/>
        </w:rPr>
        <w:t>the Contract unless stated (referring to CRTPA) in the Contract. This does not affect third party rights and remedies that exist independently from CRTPA.</w:t>
      </w:r>
    </w:p>
    <w:p w14:paraId="4571D02D" w14:textId="77777777" w:rsidR="004C7180" w:rsidRPr="00150EDC" w:rsidRDefault="004C7180">
      <w:pPr>
        <w:pStyle w:val="BodyText"/>
        <w:spacing w:before="9"/>
        <w:rPr>
          <w:rFonts w:ascii="Calibri"/>
          <w:sz w:val="25"/>
        </w:rPr>
      </w:pPr>
    </w:p>
    <w:p w14:paraId="3A4C268A" w14:textId="77777777" w:rsidR="004C7180" w:rsidRPr="00150EDC" w:rsidRDefault="00CF0754" w:rsidP="00B320C7">
      <w:pPr>
        <w:pStyle w:val="Heading1"/>
        <w:numPr>
          <w:ilvl w:val="0"/>
          <w:numId w:val="182"/>
        </w:numPr>
        <w:tabs>
          <w:tab w:val="left" w:pos="1217"/>
        </w:tabs>
        <w:ind w:left="1217" w:hanging="650"/>
        <w:jc w:val="left"/>
        <w:rPr>
          <w:rFonts w:ascii="Calibri"/>
        </w:rPr>
      </w:pPr>
      <w:r w:rsidRPr="00150EDC">
        <w:rPr>
          <w:rFonts w:ascii="Calibri"/>
        </w:rPr>
        <w:t>Circumstances</w:t>
      </w:r>
      <w:r w:rsidRPr="00150EDC">
        <w:rPr>
          <w:rFonts w:ascii="Calibri"/>
          <w:spacing w:val="-2"/>
        </w:rPr>
        <w:t xml:space="preserve"> </w:t>
      </w:r>
      <w:r w:rsidRPr="00150EDC">
        <w:rPr>
          <w:rFonts w:ascii="Calibri"/>
        </w:rPr>
        <w:t>beyond</w:t>
      </w:r>
      <w:r w:rsidRPr="00150EDC">
        <w:rPr>
          <w:rFonts w:ascii="Calibri"/>
          <w:spacing w:val="-3"/>
        </w:rPr>
        <w:t xml:space="preserve"> </w:t>
      </w:r>
      <w:r w:rsidRPr="00150EDC">
        <w:rPr>
          <w:rFonts w:ascii="Calibri"/>
        </w:rPr>
        <w:t>your</w:t>
      </w:r>
      <w:r w:rsidRPr="00150EDC">
        <w:rPr>
          <w:rFonts w:ascii="Calibri"/>
          <w:spacing w:val="-2"/>
        </w:rPr>
        <w:t xml:space="preserve"> control</w:t>
      </w:r>
    </w:p>
    <w:p w14:paraId="166F4DF5" w14:textId="77777777" w:rsidR="004C7180" w:rsidRPr="00150EDC" w:rsidRDefault="00CF0754" w:rsidP="00B320C7">
      <w:pPr>
        <w:pStyle w:val="ListParagraph"/>
        <w:numPr>
          <w:ilvl w:val="1"/>
          <w:numId w:val="182"/>
        </w:numPr>
        <w:tabs>
          <w:tab w:val="left" w:pos="1064"/>
          <w:tab w:val="left" w:pos="1066"/>
        </w:tabs>
        <w:spacing w:before="18"/>
        <w:ind w:right="617"/>
        <w:rPr>
          <w:rFonts w:ascii="Calibri"/>
          <w:sz w:val="24"/>
        </w:rPr>
      </w:pPr>
      <w:r w:rsidRPr="00150EDC">
        <w:rPr>
          <w:rFonts w:ascii="Calibri"/>
          <w:sz w:val="24"/>
        </w:rPr>
        <w:t>Any</w:t>
      </w:r>
      <w:r w:rsidRPr="00150EDC">
        <w:rPr>
          <w:rFonts w:ascii="Calibri"/>
          <w:spacing w:val="-2"/>
          <w:sz w:val="24"/>
        </w:rPr>
        <w:t xml:space="preserve"> </w:t>
      </w:r>
      <w:r w:rsidRPr="00150EDC">
        <w:rPr>
          <w:rFonts w:ascii="Calibri"/>
          <w:sz w:val="24"/>
        </w:rPr>
        <w:t>Party</w:t>
      </w:r>
      <w:r w:rsidRPr="00150EDC">
        <w:rPr>
          <w:rFonts w:ascii="Calibri"/>
          <w:spacing w:val="-2"/>
          <w:sz w:val="24"/>
        </w:rPr>
        <w:t xml:space="preserve"> </w:t>
      </w:r>
      <w:r w:rsidRPr="00150EDC">
        <w:rPr>
          <w:rFonts w:ascii="Calibri"/>
          <w:sz w:val="24"/>
        </w:rPr>
        <w:t>affected</w:t>
      </w:r>
      <w:r w:rsidRPr="00150EDC">
        <w:rPr>
          <w:rFonts w:ascii="Calibri"/>
          <w:spacing w:val="-3"/>
          <w:sz w:val="24"/>
        </w:rPr>
        <w:t xml:space="preserve"> </w:t>
      </w:r>
      <w:r w:rsidRPr="00150EDC">
        <w:rPr>
          <w:rFonts w:ascii="Calibri"/>
          <w:sz w:val="24"/>
        </w:rPr>
        <w:t>by</w:t>
      </w:r>
      <w:r w:rsidRPr="00150EDC">
        <w:rPr>
          <w:rFonts w:ascii="Calibri"/>
          <w:spacing w:val="-2"/>
          <w:sz w:val="24"/>
        </w:rPr>
        <w:t xml:space="preserve"> </w:t>
      </w:r>
      <w:r w:rsidRPr="00150EDC">
        <w:rPr>
          <w:rFonts w:ascii="Calibri"/>
          <w:sz w:val="24"/>
        </w:rPr>
        <w:t>a</w:t>
      </w:r>
      <w:r w:rsidRPr="00150EDC">
        <w:rPr>
          <w:rFonts w:ascii="Calibri"/>
          <w:spacing w:val="-4"/>
          <w:sz w:val="24"/>
        </w:rPr>
        <w:t xml:space="preserve"> </w:t>
      </w:r>
      <w:r w:rsidRPr="00150EDC">
        <w:rPr>
          <w:rFonts w:ascii="Calibri"/>
          <w:sz w:val="24"/>
        </w:rPr>
        <w:t>Force</w:t>
      </w:r>
      <w:r w:rsidRPr="00150EDC">
        <w:rPr>
          <w:rFonts w:ascii="Calibri"/>
          <w:spacing w:val="-1"/>
          <w:sz w:val="24"/>
        </w:rPr>
        <w:t xml:space="preserve"> </w:t>
      </w:r>
      <w:r w:rsidRPr="00150EDC">
        <w:rPr>
          <w:rFonts w:ascii="Calibri"/>
          <w:sz w:val="24"/>
        </w:rPr>
        <w:t>Majeure</w:t>
      </w:r>
      <w:r w:rsidRPr="00150EDC">
        <w:rPr>
          <w:rFonts w:ascii="Calibri"/>
          <w:spacing w:val="-3"/>
          <w:sz w:val="24"/>
        </w:rPr>
        <w:t xml:space="preserve"> </w:t>
      </w:r>
      <w:r w:rsidRPr="00150EDC">
        <w:rPr>
          <w:rFonts w:ascii="Calibri"/>
          <w:sz w:val="24"/>
        </w:rPr>
        <w:t>Event</w:t>
      </w:r>
      <w:r w:rsidRPr="00150EDC">
        <w:rPr>
          <w:rFonts w:ascii="Calibri"/>
          <w:spacing w:val="-3"/>
          <w:sz w:val="24"/>
        </w:rPr>
        <w:t xml:space="preserve"> </w:t>
      </w:r>
      <w:r w:rsidRPr="00150EDC">
        <w:rPr>
          <w:rFonts w:ascii="Calibri"/>
          <w:sz w:val="24"/>
        </w:rPr>
        <w:t>is</w:t>
      </w:r>
      <w:r w:rsidRPr="00150EDC">
        <w:rPr>
          <w:rFonts w:ascii="Calibri"/>
          <w:spacing w:val="-2"/>
          <w:sz w:val="24"/>
        </w:rPr>
        <w:t xml:space="preserve"> </w:t>
      </w:r>
      <w:r w:rsidRPr="00150EDC">
        <w:rPr>
          <w:rFonts w:ascii="Calibri"/>
          <w:sz w:val="24"/>
        </w:rPr>
        <w:t>excused</w:t>
      </w:r>
      <w:r w:rsidRPr="00150EDC">
        <w:rPr>
          <w:rFonts w:ascii="Calibri"/>
          <w:spacing w:val="-3"/>
          <w:sz w:val="24"/>
        </w:rPr>
        <w:t xml:space="preserve"> </w:t>
      </w:r>
      <w:r w:rsidRPr="00150EDC">
        <w:rPr>
          <w:rFonts w:ascii="Calibri"/>
          <w:sz w:val="24"/>
        </w:rPr>
        <w:t>from</w:t>
      </w:r>
      <w:r w:rsidRPr="00150EDC">
        <w:rPr>
          <w:rFonts w:ascii="Calibri"/>
          <w:spacing w:val="-4"/>
          <w:sz w:val="24"/>
        </w:rPr>
        <w:t xml:space="preserve"> </w:t>
      </w:r>
      <w:r w:rsidRPr="00150EDC">
        <w:rPr>
          <w:rFonts w:ascii="Calibri"/>
          <w:sz w:val="24"/>
        </w:rPr>
        <w:t>performing</w:t>
      </w:r>
      <w:r w:rsidRPr="00150EDC">
        <w:rPr>
          <w:rFonts w:ascii="Calibri"/>
          <w:spacing w:val="-2"/>
          <w:sz w:val="24"/>
        </w:rPr>
        <w:t xml:space="preserve"> </w:t>
      </w:r>
      <w:r w:rsidRPr="00150EDC">
        <w:rPr>
          <w:rFonts w:ascii="Calibri"/>
          <w:sz w:val="24"/>
        </w:rPr>
        <w:t>its</w:t>
      </w:r>
      <w:r w:rsidRPr="00150EDC">
        <w:rPr>
          <w:rFonts w:ascii="Calibri"/>
          <w:spacing w:val="-2"/>
          <w:sz w:val="24"/>
        </w:rPr>
        <w:t xml:space="preserve"> </w:t>
      </w:r>
      <w:r w:rsidRPr="00150EDC">
        <w:rPr>
          <w:rFonts w:ascii="Calibri"/>
          <w:sz w:val="24"/>
        </w:rPr>
        <w:t>obligations</w:t>
      </w:r>
      <w:r w:rsidRPr="00150EDC">
        <w:rPr>
          <w:rFonts w:ascii="Calibri"/>
          <w:spacing w:val="-4"/>
          <w:sz w:val="24"/>
        </w:rPr>
        <w:t xml:space="preserve"> </w:t>
      </w:r>
      <w:r w:rsidRPr="00150EDC">
        <w:rPr>
          <w:rFonts w:ascii="Calibri"/>
          <w:sz w:val="24"/>
        </w:rPr>
        <w:t>under</w:t>
      </w:r>
      <w:r w:rsidRPr="00150EDC">
        <w:rPr>
          <w:rFonts w:ascii="Calibri"/>
          <w:spacing w:val="-3"/>
          <w:sz w:val="24"/>
        </w:rPr>
        <w:t xml:space="preserve"> </w:t>
      </w:r>
      <w:r w:rsidRPr="00150EDC">
        <w:rPr>
          <w:rFonts w:ascii="Calibri"/>
          <w:sz w:val="24"/>
        </w:rPr>
        <w:t>a</w:t>
      </w:r>
      <w:r w:rsidRPr="00150EDC">
        <w:rPr>
          <w:rFonts w:ascii="Calibri"/>
          <w:spacing w:val="-2"/>
          <w:sz w:val="24"/>
        </w:rPr>
        <w:t xml:space="preserve"> </w:t>
      </w:r>
      <w:r w:rsidRPr="00150EDC">
        <w:rPr>
          <w:rFonts w:ascii="Calibri"/>
          <w:sz w:val="24"/>
        </w:rPr>
        <w:t>Contract while the inability to perform continues, if it both:</w:t>
      </w:r>
    </w:p>
    <w:p w14:paraId="470E70F7" w14:textId="77777777" w:rsidR="004C7180" w:rsidRPr="00150EDC" w:rsidRDefault="004C7180">
      <w:pPr>
        <w:pStyle w:val="BodyText"/>
        <w:spacing w:before="4"/>
        <w:rPr>
          <w:rFonts w:ascii="Calibri"/>
          <w:sz w:val="27"/>
        </w:rPr>
      </w:pPr>
    </w:p>
    <w:p w14:paraId="1010A014" w14:textId="77777777" w:rsidR="004C7180" w:rsidRPr="00150EDC" w:rsidRDefault="00CF0754" w:rsidP="00B320C7">
      <w:pPr>
        <w:pStyle w:val="ListParagraph"/>
        <w:numPr>
          <w:ilvl w:val="0"/>
          <w:numId w:val="155"/>
        </w:numPr>
        <w:tabs>
          <w:tab w:val="left" w:pos="1491"/>
        </w:tabs>
        <w:ind w:left="1491" w:hanging="425"/>
        <w:rPr>
          <w:rFonts w:ascii="Calibri"/>
          <w:sz w:val="24"/>
        </w:rPr>
      </w:pPr>
      <w:r w:rsidRPr="00150EDC">
        <w:rPr>
          <w:rFonts w:ascii="Calibri"/>
          <w:sz w:val="24"/>
        </w:rPr>
        <w:t>provides</w:t>
      </w:r>
      <w:r w:rsidRPr="00150EDC">
        <w:rPr>
          <w:rFonts w:ascii="Calibri"/>
          <w:spacing w:val="-5"/>
          <w:sz w:val="24"/>
        </w:rPr>
        <w:t xml:space="preserve"> </w:t>
      </w:r>
      <w:r w:rsidRPr="00150EDC">
        <w:rPr>
          <w:rFonts w:ascii="Calibri"/>
          <w:sz w:val="24"/>
        </w:rPr>
        <w:t>a</w:t>
      </w:r>
      <w:r w:rsidRPr="00150EDC">
        <w:rPr>
          <w:rFonts w:ascii="Calibri"/>
          <w:spacing w:val="-3"/>
          <w:sz w:val="24"/>
        </w:rPr>
        <w:t xml:space="preserve"> </w:t>
      </w:r>
      <w:r w:rsidRPr="00150EDC">
        <w:rPr>
          <w:rFonts w:ascii="Calibri"/>
          <w:sz w:val="24"/>
        </w:rPr>
        <w:t>Force</w:t>
      </w:r>
      <w:r w:rsidRPr="00150EDC">
        <w:rPr>
          <w:rFonts w:ascii="Calibri"/>
          <w:spacing w:val="-2"/>
          <w:sz w:val="24"/>
        </w:rPr>
        <w:t xml:space="preserve"> </w:t>
      </w:r>
      <w:r w:rsidRPr="00150EDC">
        <w:rPr>
          <w:rFonts w:ascii="Calibri"/>
          <w:sz w:val="24"/>
        </w:rPr>
        <w:t>Majeure</w:t>
      </w:r>
      <w:r w:rsidRPr="00150EDC">
        <w:rPr>
          <w:rFonts w:ascii="Calibri"/>
          <w:spacing w:val="-2"/>
          <w:sz w:val="24"/>
        </w:rPr>
        <w:t xml:space="preserve"> </w:t>
      </w:r>
      <w:r w:rsidRPr="00150EDC">
        <w:rPr>
          <w:rFonts w:ascii="Calibri"/>
          <w:sz w:val="24"/>
        </w:rPr>
        <w:t>Notice</w:t>
      </w:r>
      <w:r w:rsidRPr="00150EDC">
        <w:rPr>
          <w:rFonts w:ascii="Calibri"/>
          <w:spacing w:val="-4"/>
          <w:sz w:val="24"/>
        </w:rPr>
        <w:t xml:space="preserve"> </w:t>
      </w:r>
      <w:r w:rsidRPr="00150EDC">
        <w:rPr>
          <w:rFonts w:ascii="Calibri"/>
          <w:sz w:val="24"/>
        </w:rPr>
        <w:t>to</w:t>
      </w:r>
      <w:r w:rsidRPr="00150EDC">
        <w:rPr>
          <w:rFonts w:ascii="Calibri"/>
          <w:spacing w:val="-4"/>
          <w:sz w:val="24"/>
        </w:rPr>
        <w:t xml:space="preserve"> </w:t>
      </w:r>
      <w:r w:rsidRPr="00150EDC">
        <w:rPr>
          <w:rFonts w:ascii="Calibri"/>
          <w:sz w:val="24"/>
        </w:rPr>
        <w:t>the</w:t>
      </w:r>
      <w:r w:rsidRPr="00150EDC">
        <w:rPr>
          <w:rFonts w:ascii="Calibri"/>
          <w:spacing w:val="-2"/>
          <w:sz w:val="24"/>
        </w:rPr>
        <w:t xml:space="preserve"> </w:t>
      </w:r>
      <w:r w:rsidRPr="00150EDC">
        <w:rPr>
          <w:rFonts w:ascii="Calibri"/>
          <w:sz w:val="24"/>
        </w:rPr>
        <w:t>other</w:t>
      </w:r>
      <w:r w:rsidRPr="00150EDC">
        <w:rPr>
          <w:rFonts w:ascii="Calibri"/>
          <w:spacing w:val="-2"/>
          <w:sz w:val="24"/>
        </w:rPr>
        <w:t xml:space="preserve"> </w:t>
      </w:r>
      <w:r w:rsidRPr="00150EDC">
        <w:rPr>
          <w:rFonts w:ascii="Calibri"/>
          <w:sz w:val="24"/>
        </w:rPr>
        <w:t>Party;</w:t>
      </w:r>
      <w:r w:rsidRPr="00150EDC">
        <w:rPr>
          <w:rFonts w:ascii="Calibri"/>
          <w:spacing w:val="-3"/>
          <w:sz w:val="24"/>
        </w:rPr>
        <w:t xml:space="preserve"> </w:t>
      </w:r>
      <w:r w:rsidRPr="00150EDC">
        <w:rPr>
          <w:rFonts w:ascii="Calibri"/>
          <w:spacing w:val="-5"/>
          <w:sz w:val="24"/>
        </w:rPr>
        <w:t>and</w:t>
      </w:r>
    </w:p>
    <w:p w14:paraId="68D9EBC4" w14:textId="77777777" w:rsidR="004C7180" w:rsidRPr="00150EDC" w:rsidRDefault="00CF0754" w:rsidP="00B320C7">
      <w:pPr>
        <w:pStyle w:val="ListParagraph"/>
        <w:numPr>
          <w:ilvl w:val="0"/>
          <w:numId w:val="155"/>
        </w:numPr>
        <w:tabs>
          <w:tab w:val="left" w:pos="1491"/>
        </w:tabs>
        <w:spacing w:before="19"/>
        <w:ind w:left="1491" w:hanging="425"/>
        <w:rPr>
          <w:rFonts w:ascii="Calibri"/>
          <w:sz w:val="24"/>
        </w:rPr>
      </w:pPr>
      <w:r w:rsidRPr="00150EDC">
        <w:rPr>
          <w:rFonts w:ascii="Calibri"/>
          <w:sz w:val="24"/>
        </w:rPr>
        <w:t>uses</w:t>
      </w:r>
      <w:r w:rsidRPr="00150EDC">
        <w:rPr>
          <w:rFonts w:ascii="Calibri"/>
          <w:spacing w:val="-5"/>
          <w:sz w:val="24"/>
        </w:rPr>
        <w:t xml:space="preserve"> </w:t>
      </w:r>
      <w:r w:rsidRPr="00150EDC">
        <w:rPr>
          <w:rFonts w:ascii="Calibri"/>
          <w:sz w:val="24"/>
        </w:rPr>
        <w:t>all</w:t>
      </w:r>
      <w:r w:rsidRPr="00150EDC">
        <w:rPr>
          <w:rFonts w:ascii="Calibri"/>
          <w:spacing w:val="-3"/>
          <w:sz w:val="24"/>
        </w:rPr>
        <w:t xml:space="preserve"> </w:t>
      </w:r>
      <w:r w:rsidRPr="00150EDC">
        <w:rPr>
          <w:rFonts w:ascii="Calibri"/>
          <w:sz w:val="24"/>
        </w:rPr>
        <w:t>reasonable</w:t>
      </w:r>
      <w:r w:rsidRPr="00150EDC">
        <w:rPr>
          <w:rFonts w:ascii="Calibri"/>
          <w:spacing w:val="-4"/>
          <w:sz w:val="24"/>
        </w:rPr>
        <w:t xml:space="preserve"> </w:t>
      </w:r>
      <w:r w:rsidRPr="00150EDC">
        <w:rPr>
          <w:rFonts w:ascii="Calibri"/>
          <w:sz w:val="24"/>
        </w:rPr>
        <w:t>measures</w:t>
      </w:r>
      <w:r w:rsidRPr="00150EDC">
        <w:rPr>
          <w:rFonts w:ascii="Calibri"/>
          <w:spacing w:val="-4"/>
          <w:sz w:val="24"/>
        </w:rPr>
        <w:t xml:space="preserve"> </w:t>
      </w:r>
      <w:r w:rsidRPr="00150EDC">
        <w:rPr>
          <w:rFonts w:ascii="Calibri"/>
          <w:sz w:val="24"/>
        </w:rPr>
        <w:t>practical</w:t>
      </w:r>
      <w:r w:rsidRPr="00150EDC">
        <w:rPr>
          <w:rFonts w:ascii="Calibri"/>
          <w:spacing w:val="-4"/>
          <w:sz w:val="24"/>
        </w:rPr>
        <w:t xml:space="preserve"> </w:t>
      </w:r>
      <w:r w:rsidRPr="00150EDC">
        <w:rPr>
          <w:rFonts w:ascii="Calibri"/>
          <w:sz w:val="24"/>
        </w:rPr>
        <w:t>to</w:t>
      </w:r>
      <w:r w:rsidRPr="00150EDC">
        <w:rPr>
          <w:rFonts w:ascii="Calibri"/>
          <w:spacing w:val="-3"/>
          <w:sz w:val="24"/>
        </w:rPr>
        <w:t xml:space="preserve"> </w:t>
      </w:r>
      <w:r w:rsidRPr="00150EDC">
        <w:rPr>
          <w:rFonts w:ascii="Calibri"/>
          <w:sz w:val="24"/>
        </w:rPr>
        <w:t>reduce</w:t>
      </w:r>
      <w:r w:rsidRPr="00150EDC">
        <w:rPr>
          <w:rFonts w:ascii="Calibri"/>
          <w:spacing w:val="-3"/>
          <w:sz w:val="24"/>
        </w:rPr>
        <w:t xml:space="preserve"> </w:t>
      </w:r>
      <w:r w:rsidRPr="00150EDC">
        <w:rPr>
          <w:rFonts w:ascii="Calibri"/>
          <w:sz w:val="24"/>
        </w:rPr>
        <w:t>the</w:t>
      </w:r>
      <w:r w:rsidRPr="00150EDC">
        <w:rPr>
          <w:rFonts w:ascii="Calibri"/>
          <w:spacing w:val="-1"/>
          <w:sz w:val="24"/>
        </w:rPr>
        <w:t xml:space="preserve"> </w:t>
      </w:r>
      <w:r w:rsidRPr="00150EDC">
        <w:rPr>
          <w:rFonts w:ascii="Calibri"/>
          <w:sz w:val="24"/>
        </w:rPr>
        <w:t>impact</w:t>
      </w:r>
      <w:r w:rsidRPr="00150EDC">
        <w:rPr>
          <w:rFonts w:ascii="Calibri"/>
          <w:spacing w:val="-3"/>
          <w:sz w:val="24"/>
        </w:rPr>
        <w:t xml:space="preserve"> </w:t>
      </w:r>
      <w:r w:rsidRPr="00150EDC">
        <w:rPr>
          <w:rFonts w:ascii="Calibri"/>
          <w:sz w:val="24"/>
        </w:rPr>
        <w:t>of</w:t>
      </w:r>
      <w:r w:rsidRPr="00150EDC">
        <w:rPr>
          <w:rFonts w:ascii="Calibri"/>
          <w:spacing w:val="-3"/>
          <w:sz w:val="24"/>
        </w:rPr>
        <w:t xml:space="preserve"> </w:t>
      </w:r>
      <w:r w:rsidRPr="00150EDC">
        <w:rPr>
          <w:rFonts w:ascii="Calibri"/>
          <w:sz w:val="24"/>
        </w:rPr>
        <w:t>the</w:t>
      </w:r>
      <w:r w:rsidRPr="00150EDC">
        <w:rPr>
          <w:rFonts w:ascii="Calibri"/>
          <w:spacing w:val="-1"/>
          <w:sz w:val="24"/>
        </w:rPr>
        <w:t xml:space="preserve"> </w:t>
      </w:r>
      <w:r w:rsidRPr="00150EDC">
        <w:rPr>
          <w:rFonts w:ascii="Calibri"/>
          <w:sz w:val="24"/>
        </w:rPr>
        <w:t>Force</w:t>
      </w:r>
      <w:r w:rsidRPr="00150EDC">
        <w:rPr>
          <w:rFonts w:ascii="Calibri"/>
          <w:spacing w:val="-4"/>
          <w:sz w:val="24"/>
        </w:rPr>
        <w:t xml:space="preserve"> </w:t>
      </w:r>
      <w:r w:rsidRPr="00150EDC">
        <w:rPr>
          <w:rFonts w:ascii="Calibri"/>
          <w:sz w:val="24"/>
        </w:rPr>
        <w:t>Majeure</w:t>
      </w:r>
      <w:r w:rsidRPr="00150EDC">
        <w:rPr>
          <w:rFonts w:ascii="Calibri"/>
          <w:spacing w:val="-1"/>
          <w:sz w:val="24"/>
        </w:rPr>
        <w:t xml:space="preserve"> </w:t>
      </w:r>
      <w:r w:rsidRPr="00150EDC">
        <w:rPr>
          <w:rFonts w:ascii="Calibri"/>
          <w:spacing w:val="-2"/>
          <w:sz w:val="24"/>
        </w:rPr>
        <w:t>Event.</w:t>
      </w:r>
    </w:p>
    <w:p w14:paraId="0B36A981" w14:textId="77777777" w:rsidR="004C7180" w:rsidRPr="00150EDC" w:rsidRDefault="004C7180">
      <w:pPr>
        <w:pStyle w:val="BodyText"/>
        <w:spacing w:before="4"/>
        <w:rPr>
          <w:rFonts w:ascii="Calibri"/>
          <w:sz w:val="27"/>
        </w:rPr>
      </w:pPr>
    </w:p>
    <w:p w14:paraId="4B117189" w14:textId="77777777" w:rsidR="004C7180" w:rsidRPr="00150EDC" w:rsidRDefault="00CF0754" w:rsidP="00B320C7">
      <w:pPr>
        <w:pStyle w:val="ListParagraph"/>
        <w:numPr>
          <w:ilvl w:val="1"/>
          <w:numId w:val="182"/>
        </w:numPr>
        <w:tabs>
          <w:tab w:val="left" w:pos="1064"/>
          <w:tab w:val="left" w:pos="1066"/>
        </w:tabs>
        <w:ind w:right="902"/>
        <w:rPr>
          <w:rFonts w:ascii="Calibri"/>
          <w:sz w:val="24"/>
        </w:rPr>
      </w:pPr>
      <w:r w:rsidRPr="00150EDC">
        <w:rPr>
          <w:rFonts w:ascii="Calibri"/>
          <w:sz w:val="24"/>
        </w:rPr>
        <w:t>Either</w:t>
      </w:r>
      <w:r w:rsidRPr="00150EDC">
        <w:rPr>
          <w:rFonts w:ascii="Calibri"/>
          <w:spacing w:val="-2"/>
          <w:sz w:val="24"/>
        </w:rPr>
        <w:t xml:space="preserve"> </w:t>
      </w:r>
      <w:r w:rsidRPr="00150EDC">
        <w:rPr>
          <w:rFonts w:ascii="Calibri"/>
          <w:sz w:val="24"/>
        </w:rPr>
        <w:t>Party</w:t>
      </w:r>
      <w:r w:rsidRPr="00150EDC">
        <w:rPr>
          <w:rFonts w:ascii="Calibri"/>
          <w:spacing w:val="-2"/>
          <w:sz w:val="24"/>
        </w:rPr>
        <w:t xml:space="preserve"> </w:t>
      </w:r>
      <w:r w:rsidRPr="00150EDC">
        <w:rPr>
          <w:rFonts w:ascii="Calibri"/>
          <w:sz w:val="24"/>
        </w:rPr>
        <w:t>can</w:t>
      </w:r>
      <w:r w:rsidRPr="00150EDC">
        <w:rPr>
          <w:rFonts w:ascii="Calibri"/>
          <w:spacing w:val="-3"/>
          <w:sz w:val="24"/>
        </w:rPr>
        <w:t xml:space="preserve"> </w:t>
      </w:r>
      <w:r w:rsidRPr="00150EDC">
        <w:rPr>
          <w:rFonts w:ascii="Calibri"/>
          <w:sz w:val="24"/>
        </w:rPr>
        <w:t>partially</w:t>
      </w:r>
      <w:r w:rsidRPr="00150EDC">
        <w:rPr>
          <w:rFonts w:ascii="Calibri"/>
          <w:spacing w:val="-4"/>
          <w:sz w:val="24"/>
        </w:rPr>
        <w:t xml:space="preserve"> </w:t>
      </w:r>
      <w:r w:rsidRPr="00150EDC">
        <w:rPr>
          <w:rFonts w:ascii="Calibri"/>
          <w:sz w:val="24"/>
        </w:rPr>
        <w:t>or</w:t>
      </w:r>
      <w:r w:rsidRPr="00150EDC">
        <w:rPr>
          <w:rFonts w:ascii="Calibri"/>
          <w:spacing w:val="-2"/>
          <w:sz w:val="24"/>
        </w:rPr>
        <w:t xml:space="preserve"> </w:t>
      </w:r>
      <w:r w:rsidRPr="00150EDC">
        <w:rPr>
          <w:rFonts w:ascii="Calibri"/>
          <w:sz w:val="24"/>
        </w:rPr>
        <w:t>fully</w:t>
      </w:r>
      <w:r w:rsidRPr="00150EDC">
        <w:rPr>
          <w:rFonts w:ascii="Calibri"/>
          <w:spacing w:val="-2"/>
          <w:sz w:val="24"/>
        </w:rPr>
        <w:t xml:space="preserve"> </w:t>
      </w:r>
      <w:r w:rsidRPr="00150EDC">
        <w:rPr>
          <w:rFonts w:ascii="Calibri"/>
          <w:sz w:val="24"/>
        </w:rPr>
        <w:t>terminate</w:t>
      </w:r>
      <w:r w:rsidRPr="00150EDC">
        <w:rPr>
          <w:rFonts w:ascii="Calibri"/>
          <w:spacing w:val="-4"/>
          <w:sz w:val="24"/>
        </w:rPr>
        <w:t xml:space="preserve"> </w:t>
      </w:r>
      <w:r w:rsidRPr="00150EDC">
        <w:rPr>
          <w:rFonts w:ascii="Calibri"/>
          <w:sz w:val="24"/>
        </w:rPr>
        <w:t>the</w:t>
      </w:r>
      <w:r w:rsidRPr="00150EDC">
        <w:rPr>
          <w:rFonts w:ascii="Calibri"/>
          <w:spacing w:val="-2"/>
          <w:sz w:val="24"/>
        </w:rPr>
        <w:t xml:space="preserve"> </w:t>
      </w:r>
      <w:r w:rsidRPr="00150EDC">
        <w:rPr>
          <w:rFonts w:ascii="Calibri"/>
          <w:sz w:val="24"/>
        </w:rPr>
        <w:t>affected</w:t>
      </w:r>
      <w:r w:rsidRPr="00150EDC">
        <w:rPr>
          <w:rFonts w:ascii="Calibri"/>
          <w:spacing w:val="-3"/>
          <w:sz w:val="24"/>
        </w:rPr>
        <w:t xml:space="preserve"> </w:t>
      </w:r>
      <w:r w:rsidRPr="00150EDC">
        <w:rPr>
          <w:rFonts w:ascii="Calibri"/>
          <w:sz w:val="24"/>
        </w:rPr>
        <w:t>Contract</w:t>
      </w:r>
      <w:r w:rsidRPr="00150EDC">
        <w:rPr>
          <w:rFonts w:ascii="Calibri"/>
          <w:spacing w:val="-2"/>
          <w:sz w:val="24"/>
        </w:rPr>
        <w:t xml:space="preserve"> </w:t>
      </w:r>
      <w:r w:rsidRPr="00150EDC">
        <w:rPr>
          <w:rFonts w:ascii="Calibri"/>
          <w:sz w:val="24"/>
        </w:rPr>
        <w:t>if</w:t>
      </w:r>
      <w:r w:rsidRPr="00150EDC">
        <w:rPr>
          <w:rFonts w:ascii="Calibri"/>
          <w:spacing w:val="-3"/>
          <w:sz w:val="24"/>
        </w:rPr>
        <w:t xml:space="preserve"> </w:t>
      </w:r>
      <w:r w:rsidRPr="00150EDC">
        <w:rPr>
          <w:rFonts w:ascii="Calibri"/>
          <w:sz w:val="24"/>
        </w:rPr>
        <w:t>the</w:t>
      </w:r>
      <w:r w:rsidRPr="00150EDC">
        <w:rPr>
          <w:rFonts w:ascii="Calibri"/>
          <w:spacing w:val="-4"/>
          <w:sz w:val="24"/>
        </w:rPr>
        <w:t xml:space="preserve"> </w:t>
      </w:r>
      <w:r w:rsidRPr="00150EDC">
        <w:rPr>
          <w:rFonts w:ascii="Calibri"/>
          <w:sz w:val="24"/>
        </w:rPr>
        <w:t>provision</w:t>
      </w:r>
      <w:r w:rsidRPr="00150EDC">
        <w:rPr>
          <w:rFonts w:ascii="Calibri"/>
          <w:spacing w:val="-1"/>
          <w:sz w:val="24"/>
        </w:rPr>
        <w:t xml:space="preserve"> </w:t>
      </w:r>
      <w:r w:rsidRPr="00150EDC">
        <w:rPr>
          <w:rFonts w:ascii="Calibri"/>
          <w:sz w:val="24"/>
        </w:rPr>
        <w:t>of</w:t>
      </w:r>
      <w:r w:rsidRPr="00150EDC">
        <w:rPr>
          <w:rFonts w:ascii="Calibri"/>
          <w:spacing w:val="-3"/>
          <w:sz w:val="24"/>
        </w:rPr>
        <w:t xml:space="preserve"> </w:t>
      </w:r>
      <w:r w:rsidRPr="00150EDC">
        <w:rPr>
          <w:rFonts w:ascii="Calibri"/>
          <w:sz w:val="24"/>
        </w:rPr>
        <w:t>the</w:t>
      </w:r>
      <w:r w:rsidRPr="00150EDC">
        <w:rPr>
          <w:rFonts w:ascii="Calibri"/>
          <w:spacing w:val="-4"/>
          <w:sz w:val="24"/>
        </w:rPr>
        <w:t xml:space="preserve"> </w:t>
      </w:r>
      <w:r w:rsidRPr="00150EDC">
        <w:rPr>
          <w:rFonts w:ascii="Calibri"/>
          <w:sz w:val="24"/>
        </w:rPr>
        <w:t>Deliverables</w:t>
      </w:r>
      <w:r w:rsidRPr="00150EDC">
        <w:rPr>
          <w:rFonts w:ascii="Calibri"/>
          <w:spacing w:val="-2"/>
          <w:sz w:val="24"/>
        </w:rPr>
        <w:t xml:space="preserve"> </w:t>
      </w:r>
      <w:r w:rsidRPr="00150EDC">
        <w:rPr>
          <w:rFonts w:ascii="Calibri"/>
          <w:sz w:val="24"/>
        </w:rPr>
        <w:t>is materially affected by a Force Majeure Event which lasts for 90 days continuously.</w:t>
      </w:r>
    </w:p>
    <w:p w14:paraId="773D6D08" w14:textId="77777777" w:rsidR="004C7180" w:rsidRPr="00150EDC" w:rsidRDefault="004C7180">
      <w:pPr>
        <w:rPr>
          <w:rFonts w:ascii="Calibri"/>
          <w:sz w:val="24"/>
        </w:rPr>
        <w:sectPr w:rsidR="004C7180" w:rsidRPr="00150EDC">
          <w:pgSz w:w="11910" w:h="16840"/>
          <w:pgMar w:top="620" w:right="0" w:bottom="2460" w:left="40" w:header="403" w:footer="2245" w:gutter="0"/>
          <w:cols w:space="720"/>
        </w:sectPr>
      </w:pPr>
    </w:p>
    <w:p w14:paraId="0A8CCB10" w14:textId="77777777" w:rsidR="004C7180" w:rsidRPr="00150EDC" w:rsidRDefault="004C7180">
      <w:pPr>
        <w:pStyle w:val="BodyText"/>
        <w:spacing w:before="2"/>
        <w:rPr>
          <w:rFonts w:ascii="Calibri"/>
          <w:sz w:val="20"/>
        </w:rPr>
      </w:pPr>
    </w:p>
    <w:p w14:paraId="5656E1BA" w14:textId="77777777" w:rsidR="004C7180" w:rsidRPr="00150EDC" w:rsidRDefault="00CF0754" w:rsidP="00B320C7">
      <w:pPr>
        <w:pStyle w:val="Heading1"/>
        <w:numPr>
          <w:ilvl w:val="0"/>
          <w:numId w:val="182"/>
        </w:numPr>
        <w:tabs>
          <w:tab w:val="left" w:pos="1217"/>
        </w:tabs>
        <w:spacing w:before="28"/>
        <w:ind w:left="1217" w:hanging="650"/>
        <w:jc w:val="left"/>
        <w:rPr>
          <w:rFonts w:ascii="Calibri"/>
        </w:rPr>
      </w:pPr>
      <w:r w:rsidRPr="00150EDC">
        <w:rPr>
          <w:rFonts w:ascii="Calibri"/>
        </w:rPr>
        <w:t>Relationships</w:t>
      </w:r>
      <w:r w:rsidRPr="00150EDC">
        <w:rPr>
          <w:rFonts w:ascii="Calibri"/>
          <w:spacing w:val="-5"/>
        </w:rPr>
        <w:t xml:space="preserve"> </w:t>
      </w:r>
      <w:r w:rsidRPr="00150EDC">
        <w:rPr>
          <w:rFonts w:ascii="Calibri"/>
        </w:rPr>
        <w:t>created</w:t>
      </w:r>
      <w:r w:rsidRPr="00150EDC">
        <w:rPr>
          <w:rFonts w:ascii="Calibri"/>
          <w:spacing w:val="-4"/>
        </w:rPr>
        <w:t xml:space="preserve"> </w:t>
      </w:r>
      <w:r w:rsidRPr="00150EDC">
        <w:rPr>
          <w:rFonts w:ascii="Calibri"/>
        </w:rPr>
        <w:t>by</w:t>
      </w:r>
      <w:r w:rsidRPr="00150EDC">
        <w:rPr>
          <w:rFonts w:ascii="Calibri"/>
          <w:spacing w:val="-3"/>
        </w:rPr>
        <w:t xml:space="preserve"> </w:t>
      </w:r>
      <w:r w:rsidRPr="00150EDC">
        <w:rPr>
          <w:rFonts w:ascii="Calibri"/>
        </w:rPr>
        <w:t>the</w:t>
      </w:r>
      <w:r w:rsidRPr="00150EDC">
        <w:rPr>
          <w:rFonts w:ascii="Calibri"/>
          <w:spacing w:val="-3"/>
        </w:rPr>
        <w:t xml:space="preserve"> </w:t>
      </w:r>
      <w:r w:rsidRPr="00150EDC">
        <w:rPr>
          <w:rFonts w:ascii="Calibri"/>
          <w:spacing w:val="-2"/>
        </w:rPr>
        <w:t>contract</w:t>
      </w:r>
    </w:p>
    <w:p w14:paraId="5E1E9042" w14:textId="77777777" w:rsidR="004C7180" w:rsidRPr="00150EDC" w:rsidRDefault="00CF0754">
      <w:pPr>
        <w:pStyle w:val="BodyText"/>
        <w:spacing w:before="18"/>
        <w:ind w:left="641" w:hanging="5"/>
        <w:rPr>
          <w:rFonts w:ascii="Calibri"/>
        </w:rPr>
      </w:pPr>
      <w:r w:rsidRPr="00150EDC">
        <w:rPr>
          <w:rFonts w:ascii="Calibri"/>
        </w:rPr>
        <w:t>No</w:t>
      </w:r>
      <w:r w:rsidRPr="00150EDC">
        <w:rPr>
          <w:rFonts w:ascii="Calibri"/>
          <w:spacing w:val="-2"/>
        </w:rPr>
        <w:t xml:space="preserve"> </w:t>
      </w:r>
      <w:r w:rsidRPr="00150EDC">
        <w:rPr>
          <w:rFonts w:ascii="Calibri"/>
        </w:rPr>
        <w:t>Contract</w:t>
      </w:r>
      <w:r w:rsidRPr="00150EDC">
        <w:rPr>
          <w:rFonts w:ascii="Calibri"/>
          <w:spacing w:val="-4"/>
        </w:rPr>
        <w:t xml:space="preserve"> </w:t>
      </w:r>
      <w:r w:rsidRPr="00150EDC">
        <w:rPr>
          <w:rFonts w:ascii="Calibri"/>
        </w:rPr>
        <w:t>creates</w:t>
      </w:r>
      <w:r w:rsidRPr="00150EDC">
        <w:rPr>
          <w:rFonts w:ascii="Calibri"/>
          <w:spacing w:val="-3"/>
        </w:rPr>
        <w:t xml:space="preserve"> </w:t>
      </w:r>
      <w:r w:rsidRPr="00150EDC">
        <w:rPr>
          <w:rFonts w:ascii="Calibri"/>
        </w:rPr>
        <w:t>a</w:t>
      </w:r>
      <w:r w:rsidRPr="00150EDC">
        <w:rPr>
          <w:rFonts w:ascii="Calibri"/>
          <w:spacing w:val="-5"/>
        </w:rPr>
        <w:t xml:space="preserve"> </w:t>
      </w:r>
      <w:r w:rsidRPr="00150EDC">
        <w:rPr>
          <w:rFonts w:ascii="Calibri"/>
        </w:rPr>
        <w:t>partnership,</w:t>
      </w:r>
      <w:r w:rsidRPr="00150EDC">
        <w:rPr>
          <w:rFonts w:ascii="Calibri"/>
          <w:spacing w:val="-5"/>
        </w:rPr>
        <w:t xml:space="preserve"> </w:t>
      </w:r>
      <w:r w:rsidRPr="00150EDC">
        <w:rPr>
          <w:rFonts w:ascii="Calibri"/>
        </w:rPr>
        <w:t>joint</w:t>
      </w:r>
      <w:r w:rsidRPr="00150EDC">
        <w:rPr>
          <w:rFonts w:ascii="Calibri"/>
          <w:spacing w:val="-2"/>
        </w:rPr>
        <w:t xml:space="preserve"> </w:t>
      </w:r>
      <w:r w:rsidRPr="00150EDC">
        <w:rPr>
          <w:rFonts w:ascii="Calibri"/>
        </w:rPr>
        <w:t>venture</w:t>
      </w:r>
      <w:r w:rsidRPr="00150EDC">
        <w:rPr>
          <w:rFonts w:ascii="Calibri"/>
          <w:spacing w:val="-4"/>
        </w:rPr>
        <w:t xml:space="preserve"> </w:t>
      </w:r>
      <w:r w:rsidRPr="00150EDC">
        <w:rPr>
          <w:rFonts w:ascii="Calibri"/>
        </w:rPr>
        <w:t>or</w:t>
      </w:r>
      <w:r w:rsidRPr="00150EDC">
        <w:rPr>
          <w:rFonts w:ascii="Calibri"/>
          <w:spacing w:val="-2"/>
        </w:rPr>
        <w:t xml:space="preserve"> </w:t>
      </w:r>
      <w:r w:rsidRPr="00150EDC">
        <w:rPr>
          <w:rFonts w:ascii="Calibri"/>
        </w:rPr>
        <w:t>employment</w:t>
      </w:r>
      <w:r w:rsidRPr="00150EDC">
        <w:rPr>
          <w:rFonts w:ascii="Calibri"/>
          <w:spacing w:val="-2"/>
        </w:rPr>
        <w:t xml:space="preserve"> </w:t>
      </w:r>
      <w:r w:rsidRPr="00150EDC">
        <w:rPr>
          <w:rFonts w:ascii="Calibri"/>
        </w:rPr>
        <w:t>relationship.</w:t>
      </w:r>
      <w:r w:rsidRPr="00150EDC">
        <w:rPr>
          <w:rFonts w:ascii="Calibri"/>
          <w:spacing w:val="-4"/>
        </w:rPr>
        <w:t xml:space="preserve"> </w:t>
      </w:r>
      <w:r w:rsidRPr="00150EDC">
        <w:rPr>
          <w:rFonts w:ascii="Calibri"/>
        </w:rPr>
        <w:t>The</w:t>
      </w:r>
      <w:r w:rsidRPr="00150EDC">
        <w:rPr>
          <w:rFonts w:ascii="Calibri"/>
          <w:spacing w:val="-2"/>
        </w:rPr>
        <w:t xml:space="preserve"> </w:t>
      </w:r>
      <w:r w:rsidRPr="00150EDC">
        <w:rPr>
          <w:rFonts w:ascii="Calibri"/>
        </w:rPr>
        <w:t>Supplier</w:t>
      </w:r>
      <w:r w:rsidRPr="00150EDC">
        <w:rPr>
          <w:rFonts w:ascii="Calibri"/>
          <w:spacing w:val="-2"/>
        </w:rPr>
        <w:t xml:space="preserve"> </w:t>
      </w:r>
      <w:r w:rsidRPr="00150EDC">
        <w:rPr>
          <w:rFonts w:ascii="Calibri"/>
        </w:rPr>
        <w:t>must</w:t>
      </w:r>
      <w:r w:rsidRPr="00150EDC">
        <w:rPr>
          <w:rFonts w:ascii="Calibri"/>
          <w:spacing w:val="-4"/>
        </w:rPr>
        <w:t xml:space="preserve"> </w:t>
      </w:r>
      <w:r w:rsidRPr="00150EDC">
        <w:rPr>
          <w:rFonts w:ascii="Calibri"/>
        </w:rPr>
        <w:t>represent themselves accordingly and ensure others do so.</w:t>
      </w:r>
    </w:p>
    <w:p w14:paraId="55911F33" w14:textId="77777777" w:rsidR="004C7180" w:rsidRPr="00150EDC" w:rsidRDefault="004C7180">
      <w:pPr>
        <w:pStyle w:val="BodyText"/>
        <w:spacing w:before="10"/>
        <w:rPr>
          <w:rFonts w:ascii="Calibri"/>
          <w:sz w:val="25"/>
        </w:rPr>
      </w:pPr>
    </w:p>
    <w:p w14:paraId="3B66BE98" w14:textId="77777777" w:rsidR="004C7180" w:rsidRPr="00150EDC" w:rsidRDefault="00CF0754" w:rsidP="00B320C7">
      <w:pPr>
        <w:pStyle w:val="Heading1"/>
        <w:numPr>
          <w:ilvl w:val="0"/>
          <w:numId w:val="182"/>
        </w:numPr>
        <w:tabs>
          <w:tab w:val="left" w:pos="1217"/>
        </w:tabs>
        <w:ind w:left="1217" w:hanging="650"/>
        <w:jc w:val="left"/>
        <w:rPr>
          <w:rFonts w:ascii="Calibri"/>
        </w:rPr>
      </w:pPr>
      <w:r w:rsidRPr="00150EDC">
        <w:rPr>
          <w:rFonts w:ascii="Calibri"/>
        </w:rPr>
        <w:t>Giving</w:t>
      </w:r>
      <w:r w:rsidRPr="00150EDC">
        <w:rPr>
          <w:rFonts w:ascii="Calibri"/>
          <w:spacing w:val="-4"/>
        </w:rPr>
        <w:t xml:space="preserve"> </w:t>
      </w:r>
      <w:r w:rsidRPr="00150EDC">
        <w:rPr>
          <w:rFonts w:ascii="Calibri"/>
        </w:rPr>
        <w:t>up</w:t>
      </w:r>
      <w:r w:rsidRPr="00150EDC">
        <w:rPr>
          <w:rFonts w:ascii="Calibri"/>
          <w:spacing w:val="-3"/>
        </w:rPr>
        <w:t xml:space="preserve"> </w:t>
      </w:r>
      <w:r w:rsidRPr="00150EDC">
        <w:rPr>
          <w:rFonts w:ascii="Calibri"/>
        </w:rPr>
        <w:t xml:space="preserve">contract </w:t>
      </w:r>
      <w:r w:rsidRPr="00150EDC">
        <w:rPr>
          <w:rFonts w:ascii="Calibri"/>
          <w:spacing w:val="-2"/>
        </w:rPr>
        <w:t>rights</w:t>
      </w:r>
    </w:p>
    <w:p w14:paraId="6FAAA99A" w14:textId="77777777" w:rsidR="004C7180" w:rsidRPr="00150EDC" w:rsidRDefault="00CF0754">
      <w:pPr>
        <w:pStyle w:val="BodyText"/>
        <w:spacing w:before="18"/>
        <w:ind w:left="641" w:right="673" w:hanging="5"/>
        <w:rPr>
          <w:rFonts w:ascii="Calibri"/>
        </w:rPr>
      </w:pPr>
      <w:r w:rsidRPr="00150EDC">
        <w:rPr>
          <w:rFonts w:ascii="Calibri"/>
        </w:rPr>
        <w:t>A</w:t>
      </w:r>
      <w:r w:rsidRPr="00150EDC">
        <w:rPr>
          <w:rFonts w:ascii="Calibri"/>
          <w:spacing w:val="-1"/>
        </w:rPr>
        <w:t xml:space="preserve"> </w:t>
      </w:r>
      <w:r w:rsidRPr="00150EDC">
        <w:rPr>
          <w:rFonts w:ascii="Calibri"/>
        </w:rPr>
        <w:t>partial</w:t>
      </w:r>
      <w:r w:rsidRPr="00150EDC">
        <w:rPr>
          <w:rFonts w:ascii="Calibri"/>
          <w:spacing w:val="-3"/>
        </w:rPr>
        <w:t xml:space="preserve"> </w:t>
      </w:r>
      <w:r w:rsidRPr="00150EDC">
        <w:rPr>
          <w:rFonts w:ascii="Calibri"/>
        </w:rPr>
        <w:t>or</w:t>
      </w:r>
      <w:r w:rsidRPr="00150EDC">
        <w:rPr>
          <w:rFonts w:ascii="Calibri"/>
          <w:spacing w:val="-2"/>
        </w:rPr>
        <w:t xml:space="preserve"> </w:t>
      </w:r>
      <w:r w:rsidRPr="00150EDC">
        <w:rPr>
          <w:rFonts w:ascii="Calibri"/>
        </w:rPr>
        <w:t>full</w:t>
      </w:r>
      <w:r w:rsidRPr="00150EDC">
        <w:rPr>
          <w:rFonts w:ascii="Calibri"/>
          <w:spacing w:val="-3"/>
        </w:rPr>
        <w:t xml:space="preserve"> </w:t>
      </w:r>
      <w:r w:rsidRPr="00150EDC">
        <w:rPr>
          <w:rFonts w:ascii="Calibri"/>
        </w:rPr>
        <w:t>waiver</w:t>
      </w:r>
      <w:r w:rsidRPr="00150EDC">
        <w:rPr>
          <w:rFonts w:ascii="Calibri"/>
          <w:spacing w:val="-1"/>
        </w:rPr>
        <w:t xml:space="preserve"> </w:t>
      </w:r>
      <w:r w:rsidRPr="00150EDC">
        <w:rPr>
          <w:rFonts w:ascii="Calibri"/>
        </w:rPr>
        <w:t>or</w:t>
      </w:r>
      <w:r w:rsidRPr="00150EDC">
        <w:rPr>
          <w:rFonts w:ascii="Calibri"/>
          <w:spacing w:val="-2"/>
        </w:rPr>
        <w:t xml:space="preserve"> </w:t>
      </w:r>
      <w:r w:rsidRPr="00150EDC">
        <w:rPr>
          <w:rFonts w:ascii="Calibri"/>
        </w:rPr>
        <w:t>relaxation</w:t>
      </w:r>
      <w:r w:rsidRPr="00150EDC">
        <w:rPr>
          <w:rFonts w:ascii="Calibri"/>
          <w:spacing w:val="-2"/>
        </w:rPr>
        <w:t xml:space="preserve"> </w:t>
      </w:r>
      <w:r w:rsidRPr="00150EDC">
        <w:rPr>
          <w:rFonts w:ascii="Calibri"/>
        </w:rPr>
        <w:t>of</w:t>
      </w:r>
      <w:r w:rsidRPr="00150EDC">
        <w:rPr>
          <w:rFonts w:ascii="Calibri"/>
          <w:spacing w:val="-2"/>
        </w:rPr>
        <w:t xml:space="preserve"> </w:t>
      </w:r>
      <w:r w:rsidRPr="00150EDC">
        <w:rPr>
          <w:rFonts w:ascii="Calibri"/>
        </w:rPr>
        <w:t>the</w:t>
      </w:r>
      <w:r w:rsidRPr="00150EDC">
        <w:rPr>
          <w:rFonts w:ascii="Calibri"/>
          <w:spacing w:val="-2"/>
        </w:rPr>
        <w:t xml:space="preserve"> </w:t>
      </w:r>
      <w:r w:rsidRPr="00150EDC">
        <w:rPr>
          <w:rFonts w:ascii="Calibri"/>
        </w:rPr>
        <w:t>terms</w:t>
      </w:r>
      <w:r w:rsidRPr="00150EDC">
        <w:rPr>
          <w:rFonts w:ascii="Calibri"/>
          <w:spacing w:val="-3"/>
        </w:rPr>
        <w:t xml:space="preserve"> </w:t>
      </w:r>
      <w:r w:rsidRPr="00150EDC">
        <w:rPr>
          <w:rFonts w:ascii="Calibri"/>
        </w:rPr>
        <w:t>of a</w:t>
      </w:r>
      <w:r w:rsidRPr="00150EDC">
        <w:rPr>
          <w:rFonts w:ascii="Calibri"/>
          <w:spacing w:val="-3"/>
        </w:rPr>
        <w:t xml:space="preserve"> </w:t>
      </w:r>
      <w:r w:rsidRPr="00150EDC">
        <w:rPr>
          <w:rFonts w:ascii="Calibri"/>
        </w:rPr>
        <w:t>Contract</w:t>
      </w:r>
      <w:r w:rsidRPr="00150EDC">
        <w:rPr>
          <w:rFonts w:ascii="Calibri"/>
          <w:spacing w:val="-1"/>
        </w:rPr>
        <w:t xml:space="preserve"> </w:t>
      </w:r>
      <w:r w:rsidRPr="00150EDC">
        <w:rPr>
          <w:rFonts w:ascii="Calibri"/>
        </w:rPr>
        <w:t>is</w:t>
      </w:r>
      <w:r w:rsidRPr="00150EDC">
        <w:rPr>
          <w:rFonts w:ascii="Calibri"/>
          <w:spacing w:val="-3"/>
        </w:rPr>
        <w:t xml:space="preserve"> </w:t>
      </w:r>
      <w:r w:rsidRPr="00150EDC">
        <w:rPr>
          <w:rFonts w:ascii="Calibri"/>
        </w:rPr>
        <w:t>only</w:t>
      </w:r>
      <w:r w:rsidRPr="00150EDC">
        <w:rPr>
          <w:rFonts w:ascii="Calibri"/>
          <w:spacing w:val="-4"/>
        </w:rPr>
        <w:t xml:space="preserve"> </w:t>
      </w:r>
      <w:r w:rsidRPr="00150EDC">
        <w:rPr>
          <w:rFonts w:ascii="Calibri"/>
        </w:rPr>
        <w:t>valid</w:t>
      </w:r>
      <w:r w:rsidRPr="00150EDC">
        <w:rPr>
          <w:rFonts w:ascii="Calibri"/>
          <w:spacing w:val="-2"/>
        </w:rPr>
        <w:t xml:space="preserve"> </w:t>
      </w:r>
      <w:r w:rsidRPr="00150EDC">
        <w:rPr>
          <w:rFonts w:ascii="Calibri"/>
        </w:rPr>
        <w:t>if</w:t>
      </w:r>
      <w:r w:rsidRPr="00150EDC">
        <w:rPr>
          <w:rFonts w:ascii="Calibri"/>
          <w:spacing w:val="-1"/>
        </w:rPr>
        <w:t xml:space="preserve"> </w:t>
      </w:r>
      <w:r w:rsidRPr="00150EDC">
        <w:rPr>
          <w:rFonts w:ascii="Calibri"/>
        </w:rPr>
        <w:t>it</w:t>
      </w:r>
      <w:r w:rsidRPr="00150EDC">
        <w:rPr>
          <w:rFonts w:ascii="Calibri"/>
          <w:spacing w:val="-1"/>
        </w:rPr>
        <w:t xml:space="preserve"> </w:t>
      </w:r>
      <w:r w:rsidRPr="00150EDC">
        <w:rPr>
          <w:rFonts w:ascii="Calibri"/>
        </w:rPr>
        <w:t>is</w:t>
      </w:r>
      <w:r w:rsidRPr="00150EDC">
        <w:rPr>
          <w:rFonts w:ascii="Calibri"/>
          <w:spacing w:val="-3"/>
        </w:rPr>
        <w:t xml:space="preserve"> </w:t>
      </w:r>
      <w:r w:rsidRPr="00150EDC">
        <w:rPr>
          <w:rFonts w:ascii="Calibri"/>
        </w:rPr>
        <w:t>stated</w:t>
      </w:r>
      <w:r w:rsidRPr="00150EDC">
        <w:rPr>
          <w:rFonts w:ascii="Calibri"/>
          <w:spacing w:val="-2"/>
        </w:rPr>
        <w:t xml:space="preserve"> </w:t>
      </w:r>
      <w:r w:rsidRPr="00150EDC">
        <w:rPr>
          <w:rFonts w:ascii="Calibri"/>
        </w:rPr>
        <w:t>to</w:t>
      </w:r>
      <w:r w:rsidRPr="00150EDC">
        <w:rPr>
          <w:rFonts w:ascii="Calibri"/>
          <w:spacing w:val="-3"/>
        </w:rPr>
        <w:t xml:space="preserve"> </w:t>
      </w:r>
      <w:r w:rsidRPr="00150EDC">
        <w:rPr>
          <w:rFonts w:ascii="Calibri"/>
        </w:rPr>
        <w:t>be</w:t>
      </w:r>
      <w:r w:rsidRPr="00150EDC">
        <w:rPr>
          <w:rFonts w:ascii="Calibri"/>
          <w:spacing w:val="-3"/>
        </w:rPr>
        <w:t xml:space="preserve"> </w:t>
      </w:r>
      <w:r w:rsidRPr="00150EDC">
        <w:rPr>
          <w:rFonts w:ascii="Calibri"/>
        </w:rPr>
        <w:t>a waiver</w:t>
      </w:r>
      <w:r w:rsidRPr="00150EDC">
        <w:rPr>
          <w:rFonts w:ascii="Calibri"/>
          <w:spacing w:val="-1"/>
        </w:rPr>
        <w:t xml:space="preserve"> </w:t>
      </w:r>
      <w:r w:rsidRPr="00150EDC">
        <w:rPr>
          <w:rFonts w:ascii="Calibri"/>
        </w:rPr>
        <w:t>in writing to the other Party.</w:t>
      </w:r>
    </w:p>
    <w:p w14:paraId="013977BA" w14:textId="77777777" w:rsidR="004C7180" w:rsidRPr="00150EDC" w:rsidRDefault="004C7180">
      <w:pPr>
        <w:pStyle w:val="BodyText"/>
        <w:spacing w:before="9"/>
        <w:rPr>
          <w:rFonts w:ascii="Calibri"/>
          <w:sz w:val="25"/>
        </w:rPr>
      </w:pPr>
    </w:p>
    <w:p w14:paraId="14B2DAF0" w14:textId="77777777" w:rsidR="004C7180" w:rsidRPr="00150EDC" w:rsidRDefault="00CF0754" w:rsidP="00B320C7">
      <w:pPr>
        <w:pStyle w:val="Heading1"/>
        <w:numPr>
          <w:ilvl w:val="0"/>
          <w:numId w:val="182"/>
        </w:numPr>
        <w:tabs>
          <w:tab w:val="left" w:pos="1217"/>
        </w:tabs>
        <w:spacing w:before="1"/>
        <w:ind w:left="1217" w:hanging="650"/>
        <w:jc w:val="left"/>
        <w:rPr>
          <w:rFonts w:ascii="Calibri"/>
        </w:rPr>
      </w:pPr>
      <w:r w:rsidRPr="00150EDC">
        <w:rPr>
          <w:rFonts w:ascii="Calibri"/>
        </w:rPr>
        <w:t>Transferring</w:t>
      </w:r>
      <w:r w:rsidRPr="00150EDC">
        <w:rPr>
          <w:rFonts w:ascii="Calibri"/>
          <w:spacing w:val="-12"/>
        </w:rPr>
        <w:t xml:space="preserve"> </w:t>
      </w:r>
      <w:r w:rsidRPr="00150EDC">
        <w:rPr>
          <w:rFonts w:ascii="Calibri"/>
          <w:spacing w:val="-2"/>
        </w:rPr>
        <w:t>responsibilities</w:t>
      </w:r>
    </w:p>
    <w:p w14:paraId="2C85DDCA" w14:textId="77777777" w:rsidR="004C7180" w:rsidRPr="00150EDC" w:rsidRDefault="00CF0754" w:rsidP="00B320C7">
      <w:pPr>
        <w:pStyle w:val="ListParagraph"/>
        <w:numPr>
          <w:ilvl w:val="1"/>
          <w:numId w:val="182"/>
        </w:numPr>
        <w:tabs>
          <w:tab w:val="left" w:pos="1064"/>
          <w:tab w:val="left" w:pos="1066"/>
        </w:tabs>
        <w:spacing w:before="18"/>
        <w:ind w:right="696"/>
        <w:rPr>
          <w:rFonts w:ascii="Calibri" w:hAnsi="Calibri"/>
          <w:sz w:val="24"/>
        </w:rPr>
      </w:pPr>
      <w:r w:rsidRPr="00150EDC">
        <w:rPr>
          <w:rFonts w:ascii="Calibri" w:hAnsi="Calibri"/>
          <w:sz w:val="24"/>
        </w:rPr>
        <w:t>The</w:t>
      </w:r>
      <w:r w:rsidRPr="00150EDC">
        <w:rPr>
          <w:rFonts w:ascii="Calibri" w:hAnsi="Calibri"/>
          <w:spacing w:val="-1"/>
          <w:sz w:val="24"/>
        </w:rPr>
        <w:t xml:space="preserve"> </w:t>
      </w:r>
      <w:r w:rsidRPr="00150EDC">
        <w:rPr>
          <w:rFonts w:ascii="Calibri" w:hAnsi="Calibri"/>
          <w:sz w:val="24"/>
        </w:rPr>
        <w:t>Supplier</w:t>
      </w:r>
      <w:r w:rsidRPr="00150EDC">
        <w:rPr>
          <w:rFonts w:ascii="Calibri" w:hAnsi="Calibri"/>
          <w:spacing w:val="-3"/>
          <w:sz w:val="24"/>
        </w:rPr>
        <w:t xml:space="preserve"> </w:t>
      </w:r>
      <w:r w:rsidRPr="00150EDC">
        <w:rPr>
          <w:rFonts w:ascii="Calibri" w:hAnsi="Calibri"/>
          <w:sz w:val="24"/>
        </w:rPr>
        <w:t>cannot</w:t>
      </w:r>
      <w:r w:rsidRPr="00150EDC">
        <w:rPr>
          <w:rFonts w:ascii="Calibri" w:hAnsi="Calibri"/>
          <w:spacing w:val="-2"/>
          <w:sz w:val="24"/>
        </w:rPr>
        <w:t xml:space="preserve"> </w:t>
      </w:r>
      <w:r w:rsidRPr="00150EDC">
        <w:rPr>
          <w:rFonts w:ascii="Calibri" w:hAnsi="Calibri"/>
          <w:sz w:val="24"/>
        </w:rPr>
        <w:t>assign,</w:t>
      </w:r>
      <w:r w:rsidRPr="00150EDC">
        <w:rPr>
          <w:rFonts w:ascii="Calibri" w:hAnsi="Calibri"/>
          <w:spacing w:val="-1"/>
          <w:sz w:val="24"/>
        </w:rPr>
        <w:t xml:space="preserve"> </w:t>
      </w:r>
      <w:r w:rsidRPr="00150EDC">
        <w:rPr>
          <w:rFonts w:ascii="Calibri" w:hAnsi="Calibri"/>
          <w:sz w:val="24"/>
        </w:rPr>
        <w:t>novate</w:t>
      </w:r>
      <w:r w:rsidRPr="00150EDC">
        <w:rPr>
          <w:rFonts w:ascii="Calibri" w:hAnsi="Calibri"/>
          <w:spacing w:val="-4"/>
          <w:sz w:val="24"/>
        </w:rPr>
        <w:t xml:space="preserve"> </w:t>
      </w:r>
      <w:r w:rsidRPr="00150EDC">
        <w:rPr>
          <w:rFonts w:ascii="Calibri" w:hAnsi="Calibri"/>
          <w:sz w:val="24"/>
        </w:rPr>
        <w:t>or</w:t>
      </w:r>
      <w:r w:rsidRPr="00150EDC">
        <w:rPr>
          <w:rFonts w:ascii="Calibri" w:hAnsi="Calibri"/>
          <w:spacing w:val="-3"/>
          <w:sz w:val="24"/>
        </w:rPr>
        <w:t xml:space="preserve"> </w:t>
      </w:r>
      <w:r w:rsidRPr="00150EDC">
        <w:rPr>
          <w:rFonts w:ascii="Calibri" w:hAnsi="Calibri"/>
          <w:sz w:val="24"/>
        </w:rPr>
        <w:t>transfer</w:t>
      </w:r>
      <w:r w:rsidRPr="00150EDC">
        <w:rPr>
          <w:rFonts w:ascii="Calibri" w:hAnsi="Calibri"/>
          <w:spacing w:val="-3"/>
          <w:sz w:val="24"/>
        </w:rPr>
        <w:t xml:space="preserve"> </w:t>
      </w:r>
      <w:r w:rsidRPr="00150EDC">
        <w:rPr>
          <w:rFonts w:ascii="Calibri" w:hAnsi="Calibri"/>
          <w:sz w:val="24"/>
        </w:rPr>
        <w:t>a</w:t>
      </w:r>
      <w:r w:rsidRPr="00150EDC">
        <w:rPr>
          <w:rFonts w:ascii="Calibri" w:hAnsi="Calibri"/>
          <w:spacing w:val="-4"/>
          <w:sz w:val="24"/>
        </w:rPr>
        <w:t xml:space="preserve"> </w:t>
      </w:r>
      <w:r w:rsidRPr="00150EDC">
        <w:rPr>
          <w:rFonts w:ascii="Calibri" w:hAnsi="Calibri"/>
          <w:sz w:val="24"/>
        </w:rPr>
        <w:t>Contract</w:t>
      </w:r>
      <w:r w:rsidRPr="00150EDC">
        <w:rPr>
          <w:rFonts w:ascii="Calibri" w:hAnsi="Calibri"/>
          <w:spacing w:val="-3"/>
          <w:sz w:val="24"/>
        </w:rPr>
        <w:t xml:space="preserve"> </w:t>
      </w:r>
      <w:r w:rsidRPr="00150EDC">
        <w:rPr>
          <w:rFonts w:ascii="Calibri" w:hAnsi="Calibri"/>
          <w:sz w:val="24"/>
        </w:rPr>
        <w:t>or</w:t>
      </w:r>
      <w:r w:rsidRPr="00150EDC">
        <w:rPr>
          <w:rFonts w:ascii="Calibri" w:hAnsi="Calibri"/>
          <w:spacing w:val="-3"/>
          <w:sz w:val="24"/>
        </w:rPr>
        <w:t xml:space="preserve"> </w:t>
      </w:r>
      <w:r w:rsidRPr="00150EDC">
        <w:rPr>
          <w:rFonts w:ascii="Calibri" w:hAnsi="Calibri"/>
          <w:sz w:val="24"/>
        </w:rPr>
        <w:t>any</w:t>
      </w:r>
      <w:r w:rsidRPr="00150EDC">
        <w:rPr>
          <w:rFonts w:ascii="Calibri" w:hAnsi="Calibri"/>
          <w:spacing w:val="-5"/>
          <w:sz w:val="24"/>
        </w:rPr>
        <w:t xml:space="preserve"> </w:t>
      </w:r>
      <w:r w:rsidRPr="00150EDC">
        <w:rPr>
          <w:rFonts w:ascii="Calibri" w:hAnsi="Calibri"/>
          <w:sz w:val="24"/>
        </w:rPr>
        <w:t>part</w:t>
      </w:r>
      <w:r w:rsidRPr="00150EDC">
        <w:rPr>
          <w:rFonts w:ascii="Calibri" w:hAnsi="Calibri"/>
          <w:spacing w:val="-2"/>
          <w:sz w:val="24"/>
        </w:rPr>
        <w:t xml:space="preserve"> </w:t>
      </w:r>
      <w:r w:rsidRPr="00150EDC">
        <w:rPr>
          <w:rFonts w:ascii="Calibri" w:hAnsi="Calibri"/>
          <w:sz w:val="24"/>
        </w:rPr>
        <w:t>of</w:t>
      </w:r>
      <w:r w:rsidRPr="00150EDC">
        <w:rPr>
          <w:rFonts w:ascii="Calibri" w:hAnsi="Calibri"/>
          <w:spacing w:val="-1"/>
          <w:sz w:val="24"/>
        </w:rPr>
        <w:t xml:space="preserve"> </w:t>
      </w:r>
      <w:r w:rsidRPr="00150EDC">
        <w:rPr>
          <w:rFonts w:ascii="Calibri" w:hAnsi="Calibri"/>
          <w:sz w:val="24"/>
        </w:rPr>
        <w:t>a</w:t>
      </w:r>
      <w:r w:rsidRPr="00150EDC">
        <w:rPr>
          <w:rFonts w:ascii="Calibri" w:hAnsi="Calibri"/>
          <w:spacing w:val="-4"/>
          <w:sz w:val="24"/>
        </w:rPr>
        <w:t xml:space="preserve"> </w:t>
      </w:r>
      <w:r w:rsidRPr="00150EDC">
        <w:rPr>
          <w:rFonts w:ascii="Calibri" w:hAnsi="Calibri"/>
          <w:sz w:val="24"/>
        </w:rPr>
        <w:t>Contract</w:t>
      </w:r>
      <w:r w:rsidRPr="00150EDC">
        <w:rPr>
          <w:rFonts w:ascii="Calibri" w:hAnsi="Calibri"/>
          <w:spacing w:val="-3"/>
          <w:sz w:val="24"/>
        </w:rPr>
        <w:t xml:space="preserve"> </w:t>
      </w:r>
      <w:r w:rsidRPr="00150EDC">
        <w:rPr>
          <w:rFonts w:ascii="Calibri" w:hAnsi="Calibri"/>
          <w:sz w:val="24"/>
        </w:rPr>
        <w:t>without</w:t>
      </w:r>
      <w:r w:rsidRPr="00150EDC">
        <w:rPr>
          <w:rFonts w:ascii="Calibri" w:hAnsi="Calibri"/>
          <w:spacing w:val="-3"/>
          <w:sz w:val="24"/>
        </w:rPr>
        <w:t xml:space="preserve"> </w:t>
      </w:r>
      <w:r w:rsidRPr="00150EDC">
        <w:rPr>
          <w:rFonts w:ascii="Calibri" w:hAnsi="Calibri"/>
          <w:sz w:val="24"/>
        </w:rPr>
        <w:t>the</w:t>
      </w:r>
      <w:r w:rsidRPr="00150EDC">
        <w:rPr>
          <w:rFonts w:ascii="Calibri" w:hAnsi="Calibri"/>
          <w:spacing w:val="-1"/>
          <w:sz w:val="24"/>
        </w:rPr>
        <w:t xml:space="preserve"> </w:t>
      </w:r>
      <w:r w:rsidRPr="00150EDC">
        <w:rPr>
          <w:rFonts w:ascii="Calibri" w:hAnsi="Calibri"/>
          <w:sz w:val="24"/>
        </w:rPr>
        <w:t>Relevant Authority’s written consent.</w:t>
      </w:r>
    </w:p>
    <w:p w14:paraId="269A60FE" w14:textId="77777777" w:rsidR="004C7180" w:rsidRPr="00150EDC" w:rsidRDefault="004C7180">
      <w:pPr>
        <w:pStyle w:val="BodyText"/>
        <w:spacing w:before="11"/>
        <w:rPr>
          <w:rFonts w:ascii="Calibri"/>
          <w:sz w:val="23"/>
        </w:rPr>
      </w:pPr>
    </w:p>
    <w:p w14:paraId="0B87C0DD" w14:textId="77777777" w:rsidR="004C7180" w:rsidRPr="00150EDC" w:rsidRDefault="00CF0754" w:rsidP="00B320C7">
      <w:pPr>
        <w:pStyle w:val="ListParagraph"/>
        <w:numPr>
          <w:ilvl w:val="1"/>
          <w:numId w:val="182"/>
        </w:numPr>
        <w:tabs>
          <w:tab w:val="left" w:pos="1064"/>
          <w:tab w:val="left" w:pos="1066"/>
        </w:tabs>
        <w:ind w:right="597"/>
        <w:rPr>
          <w:rFonts w:ascii="Calibri"/>
          <w:sz w:val="24"/>
        </w:rPr>
      </w:pPr>
      <w:r w:rsidRPr="00150EDC">
        <w:rPr>
          <w:rFonts w:ascii="Calibri"/>
          <w:sz w:val="24"/>
        </w:rPr>
        <w:t>The Relevant Authority can assign, novate or transfer its Contract or any part of it to any Central Government</w:t>
      </w:r>
      <w:r w:rsidRPr="00150EDC">
        <w:rPr>
          <w:rFonts w:ascii="Calibri"/>
          <w:spacing w:val="-3"/>
          <w:sz w:val="24"/>
        </w:rPr>
        <w:t xml:space="preserve"> </w:t>
      </w:r>
      <w:r w:rsidRPr="00150EDC">
        <w:rPr>
          <w:rFonts w:ascii="Calibri"/>
          <w:sz w:val="24"/>
        </w:rPr>
        <w:t>Body,</w:t>
      </w:r>
      <w:r w:rsidRPr="00150EDC">
        <w:rPr>
          <w:rFonts w:ascii="Calibri"/>
          <w:spacing w:val="-2"/>
          <w:sz w:val="24"/>
        </w:rPr>
        <w:t xml:space="preserve"> </w:t>
      </w:r>
      <w:r w:rsidRPr="00150EDC">
        <w:rPr>
          <w:rFonts w:ascii="Calibri"/>
          <w:sz w:val="24"/>
        </w:rPr>
        <w:t>public</w:t>
      </w:r>
      <w:r w:rsidRPr="00150EDC">
        <w:rPr>
          <w:rFonts w:ascii="Calibri"/>
          <w:spacing w:val="-2"/>
          <w:sz w:val="24"/>
        </w:rPr>
        <w:t xml:space="preserve"> </w:t>
      </w:r>
      <w:r w:rsidRPr="00150EDC">
        <w:rPr>
          <w:rFonts w:ascii="Calibri"/>
          <w:sz w:val="24"/>
        </w:rPr>
        <w:t>or</w:t>
      </w:r>
      <w:r w:rsidRPr="00150EDC">
        <w:rPr>
          <w:rFonts w:ascii="Calibri"/>
          <w:spacing w:val="-1"/>
          <w:sz w:val="24"/>
        </w:rPr>
        <w:t xml:space="preserve"> </w:t>
      </w:r>
      <w:r w:rsidRPr="00150EDC">
        <w:rPr>
          <w:rFonts w:ascii="Calibri"/>
          <w:sz w:val="24"/>
        </w:rPr>
        <w:t>private</w:t>
      </w:r>
      <w:r w:rsidRPr="00150EDC">
        <w:rPr>
          <w:rFonts w:ascii="Calibri"/>
          <w:spacing w:val="-4"/>
          <w:sz w:val="24"/>
        </w:rPr>
        <w:t xml:space="preserve"> </w:t>
      </w:r>
      <w:r w:rsidRPr="00150EDC">
        <w:rPr>
          <w:rFonts w:ascii="Calibri"/>
          <w:sz w:val="24"/>
        </w:rPr>
        <w:t>sector</w:t>
      </w:r>
      <w:r w:rsidRPr="00150EDC">
        <w:rPr>
          <w:rFonts w:ascii="Calibri"/>
          <w:spacing w:val="-4"/>
          <w:sz w:val="24"/>
        </w:rPr>
        <w:t xml:space="preserve"> </w:t>
      </w:r>
      <w:r w:rsidRPr="00150EDC">
        <w:rPr>
          <w:rFonts w:ascii="Calibri"/>
          <w:sz w:val="24"/>
        </w:rPr>
        <w:t>body</w:t>
      </w:r>
      <w:r w:rsidRPr="00150EDC">
        <w:rPr>
          <w:rFonts w:ascii="Calibri"/>
          <w:spacing w:val="-5"/>
          <w:sz w:val="24"/>
        </w:rPr>
        <w:t xml:space="preserve"> </w:t>
      </w:r>
      <w:r w:rsidRPr="00150EDC">
        <w:rPr>
          <w:rFonts w:ascii="Calibri"/>
          <w:sz w:val="24"/>
        </w:rPr>
        <w:t>which</w:t>
      </w:r>
      <w:r w:rsidRPr="00150EDC">
        <w:rPr>
          <w:rFonts w:ascii="Calibri"/>
          <w:spacing w:val="-1"/>
          <w:sz w:val="24"/>
        </w:rPr>
        <w:t xml:space="preserve"> </w:t>
      </w:r>
      <w:r w:rsidRPr="00150EDC">
        <w:rPr>
          <w:rFonts w:ascii="Calibri"/>
          <w:sz w:val="24"/>
        </w:rPr>
        <w:t>performs</w:t>
      </w:r>
      <w:r w:rsidRPr="00150EDC">
        <w:rPr>
          <w:rFonts w:ascii="Calibri"/>
          <w:spacing w:val="-4"/>
          <w:sz w:val="24"/>
        </w:rPr>
        <w:t xml:space="preserve"> </w:t>
      </w:r>
      <w:r w:rsidRPr="00150EDC">
        <w:rPr>
          <w:rFonts w:ascii="Calibri"/>
          <w:sz w:val="24"/>
        </w:rPr>
        <w:t>the</w:t>
      </w:r>
      <w:r w:rsidRPr="00150EDC">
        <w:rPr>
          <w:rFonts w:ascii="Calibri"/>
          <w:spacing w:val="-3"/>
          <w:sz w:val="24"/>
        </w:rPr>
        <w:t xml:space="preserve"> </w:t>
      </w:r>
      <w:r w:rsidRPr="00150EDC">
        <w:rPr>
          <w:rFonts w:ascii="Calibri"/>
          <w:sz w:val="24"/>
        </w:rPr>
        <w:t>functions</w:t>
      </w:r>
      <w:r w:rsidRPr="00150EDC">
        <w:rPr>
          <w:rFonts w:ascii="Calibri"/>
          <w:spacing w:val="-4"/>
          <w:sz w:val="24"/>
        </w:rPr>
        <w:t xml:space="preserve"> </w:t>
      </w:r>
      <w:r w:rsidRPr="00150EDC">
        <w:rPr>
          <w:rFonts w:ascii="Calibri"/>
          <w:sz w:val="24"/>
        </w:rPr>
        <w:t>of</w:t>
      </w:r>
      <w:r w:rsidRPr="00150EDC">
        <w:rPr>
          <w:rFonts w:ascii="Calibri"/>
          <w:spacing w:val="-3"/>
          <w:sz w:val="24"/>
        </w:rPr>
        <w:t xml:space="preserve"> </w:t>
      </w:r>
      <w:r w:rsidRPr="00150EDC">
        <w:rPr>
          <w:rFonts w:ascii="Calibri"/>
          <w:sz w:val="24"/>
        </w:rPr>
        <w:t>the</w:t>
      </w:r>
      <w:r w:rsidRPr="00150EDC">
        <w:rPr>
          <w:rFonts w:ascii="Calibri"/>
          <w:spacing w:val="-1"/>
          <w:sz w:val="24"/>
        </w:rPr>
        <w:t xml:space="preserve"> </w:t>
      </w:r>
      <w:r w:rsidRPr="00150EDC">
        <w:rPr>
          <w:rFonts w:ascii="Calibri"/>
          <w:sz w:val="24"/>
        </w:rPr>
        <w:t>Relevant</w:t>
      </w:r>
      <w:r w:rsidRPr="00150EDC">
        <w:rPr>
          <w:rFonts w:ascii="Calibri"/>
          <w:spacing w:val="-3"/>
          <w:sz w:val="24"/>
        </w:rPr>
        <w:t xml:space="preserve"> </w:t>
      </w:r>
      <w:r w:rsidRPr="00150EDC">
        <w:rPr>
          <w:rFonts w:ascii="Calibri"/>
          <w:sz w:val="24"/>
        </w:rPr>
        <w:t>Authority.</w:t>
      </w:r>
    </w:p>
    <w:p w14:paraId="71FE8C2D" w14:textId="77777777" w:rsidR="004C7180" w:rsidRPr="00150EDC" w:rsidRDefault="004C7180">
      <w:pPr>
        <w:pStyle w:val="BodyText"/>
        <w:spacing w:before="3"/>
        <w:rPr>
          <w:rFonts w:ascii="Calibri"/>
        </w:rPr>
      </w:pPr>
    </w:p>
    <w:p w14:paraId="4D549125" w14:textId="77777777" w:rsidR="004C7180" w:rsidRPr="00150EDC" w:rsidRDefault="00CF0754" w:rsidP="00B320C7">
      <w:pPr>
        <w:pStyle w:val="ListParagraph"/>
        <w:numPr>
          <w:ilvl w:val="1"/>
          <w:numId w:val="182"/>
        </w:numPr>
        <w:tabs>
          <w:tab w:val="left" w:pos="1064"/>
          <w:tab w:val="left" w:pos="1066"/>
        </w:tabs>
        <w:ind w:right="1454"/>
        <w:rPr>
          <w:rFonts w:ascii="Calibri"/>
          <w:sz w:val="24"/>
        </w:rPr>
      </w:pPr>
      <w:r w:rsidRPr="00150EDC">
        <w:rPr>
          <w:rFonts w:ascii="Calibri"/>
          <w:sz w:val="24"/>
        </w:rPr>
        <w:t>When</w:t>
      </w:r>
      <w:r w:rsidRPr="00150EDC">
        <w:rPr>
          <w:rFonts w:ascii="Calibri"/>
          <w:spacing w:val="-3"/>
          <w:sz w:val="24"/>
        </w:rPr>
        <w:t xml:space="preserve"> </w:t>
      </w:r>
      <w:r w:rsidRPr="00150EDC">
        <w:rPr>
          <w:rFonts w:ascii="Calibri"/>
          <w:sz w:val="24"/>
        </w:rPr>
        <w:t>CCS</w:t>
      </w:r>
      <w:r w:rsidRPr="00150EDC">
        <w:rPr>
          <w:rFonts w:ascii="Calibri"/>
          <w:spacing w:val="-2"/>
          <w:sz w:val="24"/>
        </w:rPr>
        <w:t xml:space="preserve"> </w:t>
      </w:r>
      <w:r w:rsidRPr="00150EDC">
        <w:rPr>
          <w:rFonts w:ascii="Calibri"/>
          <w:sz w:val="24"/>
        </w:rPr>
        <w:t>or</w:t>
      </w:r>
      <w:r w:rsidRPr="00150EDC">
        <w:rPr>
          <w:rFonts w:ascii="Calibri"/>
          <w:spacing w:val="-3"/>
          <w:sz w:val="24"/>
        </w:rPr>
        <w:t xml:space="preserve"> </w:t>
      </w:r>
      <w:r w:rsidRPr="00150EDC">
        <w:rPr>
          <w:rFonts w:ascii="Calibri"/>
          <w:sz w:val="24"/>
        </w:rPr>
        <w:t>the</w:t>
      </w:r>
      <w:r w:rsidRPr="00150EDC">
        <w:rPr>
          <w:rFonts w:ascii="Calibri"/>
          <w:spacing w:val="-4"/>
          <w:sz w:val="24"/>
        </w:rPr>
        <w:t xml:space="preserve"> </w:t>
      </w:r>
      <w:r w:rsidRPr="00150EDC">
        <w:rPr>
          <w:rFonts w:ascii="Calibri"/>
          <w:sz w:val="24"/>
        </w:rPr>
        <w:t>Buyer</w:t>
      </w:r>
      <w:r w:rsidRPr="00150EDC">
        <w:rPr>
          <w:rFonts w:ascii="Calibri"/>
          <w:spacing w:val="-4"/>
          <w:sz w:val="24"/>
        </w:rPr>
        <w:t xml:space="preserve"> </w:t>
      </w:r>
      <w:r w:rsidRPr="00150EDC">
        <w:rPr>
          <w:rFonts w:ascii="Calibri"/>
          <w:sz w:val="24"/>
        </w:rPr>
        <w:t>uses</w:t>
      </w:r>
      <w:r w:rsidRPr="00150EDC">
        <w:rPr>
          <w:rFonts w:ascii="Calibri"/>
          <w:spacing w:val="-2"/>
          <w:sz w:val="24"/>
        </w:rPr>
        <w:t xml:space="preserve"> </w:t>
      </w:r>
      <w:r w:rsidRPr="00150EDC">
        <w:rPr>
          <w:rFonts w:ascii="Calibri"/>
          <w:sz w:val="24"/>
        </w:rPr>
        <w:t>its</w:t>
      </w:r>
      <w:r w:rsidRPr="00150EDC">
        <w:rPr>
          <w:rFonts w:ascii="Calibri"/>
          <w:spacing w:val="-2"/>
          <w:sz w:val="24"/>
        </w:rPr>
        <w:t xml:space="preserve"> </w:t>
      </w:r>
      <w:r w:rsidRPr="00150EDC">
        <w:rPr>
          <w:rFonts w:ascii="Calibri"/>
          <w:sz w:val="24"/>
        </w:rPr>
        <w:t>rights</w:t>
      </w:r>
      <w:r w:rsidRPr="00150EDC">
        <w:rPr>
          <w:rFonts w:ascii="Calibri"/>
          <w:spacing w:val="-4"/>
          <w:sz w:val="24"/>
        </w:rPr>
        <w:t xml:space="preserve"> </w:t>
      </w:r>
      <w:r w:rsidRPr="00150EDC">
        <w:rPr>
          <w:rFonts w:ascii="Calibri"/>
          <w:sz w:val="24"/>
        </w:rPr>
        <w:t>under</w:t>
      </w:r>
      <w:r w:rsidRPr="00150EDC">
        <w:rPr>
          <w:rFonts w:ascii="Calibri"/>
          <w:spacing w:val="-3"/>
          <w:sz w:val="24"/>
        </w:rPr>
        <w:t xml:space="preserve"> </w:t>
      </w:r>
      <w:r w:rsidRPr="00150EDC">
        <w:rPr>
          <w:rFonts w:ascii="Calibri"/>
          <w:sz w:val="24"/>
        </w:rPr>
        <w:t>Clause</w:t>
      </w:r>
      <w:r w:rsidRPr="00150EDC">
        <w:rPr>
          <w:rFonts w:ascii="Calibri"/>
          <w:spacing w:val="-1"/>
          <w:sz w:val="24"/>
        </w:rPr>
        <w:t xml:space="preserve"> </w:t>
      </w:r>
      <w:r w:rsidRPr="00150EDC">
        <w:rPr>
          <w:rFonts w:ascii="Calibri"/>
          <w:sz w:val="24"/>
        </w:rPr>
        <w:t>23.2</w:t>
      </w:r>
      <w:r w:rsidRPr="00150EDC">
        <w:rPr>
          <w:rFonts w:ascii="Calibri"/>
          <w:spacing w:val="-4"/>
          <w:sz w:val="24"/>
        </w:rPr>
        <w:t xml:space="preserve"> </w:t>
      </w:r>
      <w:r w:rsidRPr="00150EDC">
        <w:rPr>
          <w:rFonts w:ascii="Calibri"/>
          <w:sz w:val="24"/>
        </w:rPr>
        <w:t>the</w:t>
      </w:r>
      <w:r w:rsidRPr="00150EDC">
        <w:rPr>
          <w:rFonts w:ascii="Calibri"/>
          <w:spacing w:val="-1"/>
          <w:sz w:val="24"/>
        </w:rPr>
        <w:t xml:space="preserve"> </w:t>
      </w:r>
      <w:r w:rsidRPr="00150EDC">
        <w:rPr>
          <w:rFonts w:ascii="Calibri"/>
          <w:sz w:val="24"/>
        </w:rPr>
        <w:t>Supplier</w:t>
      </w:r>
      <w:r w:rsidRPr="00150EDC">
        <w:rPr>
          <w:rFonts w:ascii="Calibri"/>
          <w:spacing w:val="-3"/>
          <w:sz w:val="24"/>
        </w:rPr>
        <w:t xml:space="preserve"> </w:t>
      </w:r>
      <w:r w:rsidRPr="00150EDC">
        <w:rPr>
          <w:rFonts w:ascii="Calibri"/>
          <w:sz w:val="24"/>
        </w:rPr>
        <w:t>must</w:t>
      </w:r>
      <w:r w:rsidRPr="00150EDC">
        <w:rPr>
          <w:rFonts w:ascii="Calibri"/>
          <w:spacing w:val="-3"/>
          <w:sz w:val="24"/>
        </w:rPr>
        <w:t xml:space="preserve"> </w:t>
      </w:r>
      <w:r w:rsidRPr="00150EDC">
        <w:rPr>
          <w:rFonts w:ascii="Calibri"/>
          <w:sz w:val="24"/>
        </w:rPr>
        <w:t>enter</w:t>
      </w:r>
      <w:r w:rsidRPr="00150EDC">
        <w:rPr>
          <w:rFonts w:ascii="Calibri"/>
          <w:spacing w:val="-1"/>
          <w:sz w:val="24"/>
        </w:rPr>
        <w:t xml:space="preserve"> </w:t>
      </w:r>
      <w:r w:rsidRPr="00150EDC">
        <w:rPr>
          <w:rFonts w:ascii="Calibri"/>
          <w:sz w:val="24"/>
        </w:rPr>
        <w:t>into</w:t>
      </w:r>
      <w:r w:rsidRPr="00150EDC">
        <w:rPr>
          <w:rFonts w:ascii="Calibri"/>
          <w:spacing w:val="-4"/>
          <w:sz w:val="24"/>
        </w:rPr>
        <w:t xml:space="preserve"> </w:t>
      </w:r>
      <w:r w:rsidRPr="00150EDC">
        <w:rPr>
          <w:rFonts w:ascii="Calibri"/>
          <w:sz w:val="24"/>
        </w:rPr>
        <w:t>a</w:t>
      </w:r>
      <w:r w:rsidRPr="00150EDC">
        <w:rPr>
          <w:rFonts w:ascii="Calibri"/>
          <w:spacing w:val="-4"/>
          <w:sz w:val="24"/>
        </w:rPr>
        <w:t xml:space="preserve"> </w:t>
      </w:r>
      <w:r w:rsidRPr="00150EDC">
        <w:rPr>
          <w:rFonts w:ascii="Calibri"/>
          <w:sz w:val="24"/>
        </w:rPr>
        <w:t>novation agreement in the form that CCS or the Buyer specifies.</w:t>
      </w:r>
    </w:p>
    <w:p w14:paraId="4051252A" w14:textId="77777777" w:rsidR="004C7180" w:rsidRPr="00150EDC" w:rsidRDefault="004C7180">
      <w:pPr>
        <w:pStyle w:val="BodyText"/>
        <w:spacing w:before="11"/>
        <w:rPr>
          <w:rFonts w:ascii="Calibri"/>
          <w:sz w:val="23"/>
        </w:rPr>
      </w:pPr>
    </w:p>
    <w:p w14:paraId="040B853E" w14:textId="77777777" w:rsidR="004C7180" w:rsidRPr="00150EDC" w:rsidRDefault="00CF0754" w:rsidP="00B320C7">
      <w:pPr>
        <w:pStyle w:val="ListParagraph"/>
        <w:numPr>
          <w:ilvl w:val="1"/>
          <w:numId w:val="182"/>
        </w:numPr>
        <w:tabs>
          <w:tab w:val="left" w:pos="1064"/>
          <w:tab w:val="left" w:pos="1066"/>
        </w:tabs>
        <w:spacing w:before="1"/>
        <w:ind w:right="1401"/>
        <w:rPr>
          <w:rFonts w:ascii="Calibri"/>
          <w:sz w:val="24"/>
        </w:rPr>
      </w:pPr>
      <w:r w:rsidRPr="00150EDC">
        <w:rPr>
          <w:rFonts w:ascii="Calibri"/>
          <w:sz w:val="24"/>
        </w:rPr>
        <w:t>The</w:t>
      </w:r>
      <w:r w:rsidRPr="00150EDC">
        <w:rPr>
          <w:rFonts w:ascii="Calibri"/>
          <w:spacing w:val="-2"/>
          <w:sz w:val="24"/>
        </w:rPr>
        <w:t xml:space="preserve"> </w:t>
      </w:r>
      <w:r w:rsidRPr="00150EDC">
        <w:rPr>
          <w:rFonts w:ascii="Calibri"/>
          <w:sz w:val="24"/>
        </w:rPr>
        <w:t>Supplier</w:t>
      </w:r>
      <w:r w:rsidRPr="00150EDC">
        <w:rPr>
          <w:rFonts w:ascii="Calibri"/>
          <w:spacing w:val="-3"/>
          <w:sz w:val="24"/>
        </w:rPr>
        <w:t xml:space="preserve"> </w:t>
      </w:r>
      <w:r w:rsidRPr="00150EDC">
        <w:rPr>
          <w:rFonts w:ascii="Calibri"/>
          <w:sz w:val="24"/>
        </w:rPr>
        <w:t>can</w:t>
      </w:r>
      <w:r w:rsidRPr="00150EDC">
        <w:rPr>
          <w:rFonts w:ascii="Calibri"/>
          <w:spacing w:val="-3"/>
          <w:sz w:val="24"/>
        </w:rPr>
        <w:t xml:space="preserve"> </w:t>
      </w:r>
      <w:r w:rsidRPr="00150EDC">
        <w:rPr>
          <w:rFonts w:ascii="Calibri"/>
          <w:sz w:val="24"/>
        </w:rPr>
        <w:t>terminate</w:t>
      </w:r>
      <w:r w:rsidRPr="00150EDC">
        <w:rPr>
          <w:rFonts w:ascii="Calibri"/>
          <w:spacing w:val="-2"/>
          <w:sz w:val="24"/>
        </w:rPr>
        <w:t xml:space="preserve"> </w:t>
      </w:r>
      <w:r w:rsidRPr="00150EDC">
        <w:rPr>
          <w:rFonts w:ascii="Calibri"/>
          <w:sz w:val="24"/>
        </w:rPr>
        <w:t>a</w:t>
      </w:r>
      <w:r w:rsidRPr="00150EDC">
        <w:rPr>
          <w:rFonts w:ascii="Calibri"/>
          <w:spacing w:val="-4"/>
          <w:sz w:val="24"/>
        </w:rPr>
        <w:t xml:space="preserve"> </w:t>
      </w:r>
      <w:r w:rsidRPr="00150EDC">
        <w:rPr>
          <w:rFonts w:ascii="Calibri"/>
          <w:sz w:val="24"/>
        </w:rPr>
        <w:t>Contract</w:t>
      </w:r>
      <w:r w:rsidRPr="00150EDC">
        <w:rPr>
          <w:rFonts w:ascii="Calibri"/>
          <w:spacing w:val="-3"/>
          <w:sz w:val="24"/>
        </w:rPr>
        <w:t xml:space="preserve"> </w:t>
      </w:r>
      <w:r w:rsidRPr="00150EDC">
        <w:rPr>
          <w:rFonts w:ascii="Calibri"/>
          <w:sz w:val="24"/>
        </w:rPr>
        <w:t>novated</w:t>
      </w:r>
      <w:r w:rsidRPr="00150EDC">
        <w:rPr>
          <w:rFonts w:ascii="Calibri"/>
          <w:spacing w:val="-3"/>
          <w:sz w:val="24"/>
        </w:rPr>
        <w:t xml:space="preserve"> </w:t>
      </w:r>
      <w:r w:rsidRPr="00150EDC">
        <w:rPr>
          <w:rFonts w:ascii="Calibri"/>
          <w:sz w:val="24"/>
        </w:rPr>
        <w:t>under</w:t>
      </w:r>
      <w:r w:rsidRPr="00150EDC">
        <w:rPr>
          <w:rFonts w:ascii="Calibri"/>
          <w:spacing w:val="-2"/>
          <w:sz w:val="24"/>
        </w:rPr>
        <w:t xml:space="preserve"> </w:t>
      </w:r>
      <w:r w:rsidRPr="00150EDC">
        <w:rPr>
          <w:rFonts w:ascii="Calibri"/>
          <w:sz w:val="24"/>
        </w:rPr>
        <w:t>Clause</w:t>
      </w:r>
      <w:r w:rsidRPr="00150EDC">
        <w:rPr>
          <w:rFonts w:ascii="Calibri"/>
          <w:spacing w:val="-2"/>
          <w:sz w:val="24"/>
        </w:rPr>
        <w:t xml:space="preserve"> </w:t>
      </w:r>
      <w:r w:rsidRPr="00150EDC">
        <w:rPr>
          <w:rFonts w:ascii="Calibri"/>
          <w:sz w:val="24"/>
        </w:rPr>
        <w:t>23.2</w:t>
      </w:r>
      <w:r w:rsidRPr="00150EDC">
        <w:rPr>
          <w:rFonts w:ascii="Calibri"/>
          <w:spacing w:val="-3"/>
          <w:sz w:val="24"/>
        </w:rPr>
        <w:t xml:space="preserve"> </w:t>
      </w:r>
      <w:r w:rsidRPr="00150EDC">
        <w:rPr>
          <w:rFonts w:ascii="Calibri"/>
          <w:sz w:val="24"/>
        </w:rPr>
        <w:t>to</w:t>
      </w:r>
      <w:r w:rsidRPr="00150EDC">
        <w:rPr>
          <w:rFonts w:ascii="Calibri"/>
          <w:spacing w:val="-2"/>
          <w:sz w:val="24"/>
        </w:rPr>
        <w:t xml:space="preserve"> </w:t>
      </w:r>
      <w:r w:rsidRPr="00150EDC">
        <w:rPr>
          <w:rFonts w:ascii="Calibri"/>
          <w:sz w:val="24"/>
        </w:rPr>
        <w:t>a</w:t>
      </w:r>
      <w:r w:rsidRPr="00150EDC">
        <w:rPr>
          <w:rFonts w:ascii="Calibri"/>
          <w:spacing w:val="-4"/>
          <w:sz w:val="24"/>
        </w:rPr>
        <w:t xml:space="preserve"> </w:t>
      </w:r>
      <w:r w:rsidRPr="00150EDC">
        <w:rPr>
          <w:rFonts w:ascii="Calibri"/>
          <w:sz w:val="24"/>
        </w:rPr>
        <w:t>private</w:t>
      </w:r>
      <w:r w:rsidRPr="00150EDC">
        <w:rPr>
          <w:rFonts w:ascii="Calibri"/>
          <w:spacing w:val="-2"/>
          <w:sz w:val="24"/>
        </w:rPr>
        <w:t xml:space="preserve"> </w:t>
      </w:r>
      <w:r w:rsidRPr="00150EDC">
        <w:rPr>
          <w:rFonts w:ascii="Calibri"/>
          <w:sz w:val="24"/>
        </w:rPr>
        <w:t>sector</w:t>
      </w:r>
      <w:r w:rsidRPr="00150EDC">
        <w:rPr>
          <w:rFonts w:ascii="Calibri"/>
          <w:spacing w:val="-3"/>
          <w:sz w:val="24"/>
        </w:rPr>
        <w:t xml:space="preserve"> </w:t>
      </w:r>
      <w:r w:rsidRPr="00150EDC">
        <w:rPr>
          <w:rFonts w:ascii="Calibri"/>
          <w:sz w:val="24"/>
        </w:rPr>
        <w:t>body</w:t>
      </w:r>
      <w:r w:rsidRPr="00150EDC">
        <w:rPr>
          <w:rFonts w:ascii="Calibri"/>
          <w:spacing w:val="-3"/>
          <w:sz w:val="24"/>
        </w:rPr>
        <w:t xml:space="preserve"> </w:t>
      </w:r>
      <w:r w:rsidRPr="00150EDC">
        <w:rPr>
          <w:rFonts w:ascii="Calibri"/>
          <w:sz w:val="24"/>
        </w:rPr>
        <w:t>that</w:t>
      </w:r>
      <w:r w:rsidRPr="00150EDC">
        <w:rPr>
          <w:rFonts w:ascii="Calibri"/>
          <w:spacing w:val="-3"/>
          <w:sz w:val="24"/>
        </w:rPr>
        <w:t xml:space="preserve"> </w:t>
      </w:r>
      <w:r w:rsidRPr="00150EDC">
        <w:rPr>
          <w:rFonts w:ascii="Calibri"/>
          <w:sz w:val="24"/>
        </w:rPr>
        <w:t>is experiencing an Insolvency Event.</w:t>
      </w:r>
    </w:p>
    <w:p w14:paraId="49034BDA" w14:textId="77777777" w:rsidR="004C7180" w:rsidRPr="00150EDC" w:rsidRDefault="004C7180">
      <w:pPr>
        <w:pStyle w:val="BodyText"/>
        <w:spacing w:before="11"/>
        <w:rPr>
          <w:rFonts w:ascii="Calibri"/>
          <w:sz w:val="23"/>
        </w:rPr>
      </w:pPr>
    </w:p>
    <w:p w14:paraId="1E81CA1B" w14:textId="77777777" w:rsidR="004C7180" w:rsidRPr="00150EDC" w:rsidRDefault="00CF0754" w:rsidP="00B320C7">
      <w:pPr>
        <w:pStyle w:val="ListParagraph"/>
        <w:numPr>
          <w:ilvl w:val="1"/>
          <w:numId w:val="182"/>
        </w:numPr>
        <w:tabs>
          <w:tab w:val="left" w:pos="1065"/>
        </w:tabs>
        <w:ind w:left="1065" w:hanging="565"/>
        <w:rPr>
          <w:rFonts w:ascii="Calibri"/>
          <w:sz w:val="24"/>
        </w:rPr>
      </w:pPr>
      <w:r w:rsidRPr="00150EDC">
        <w:rPr>
          <w:rFonts w:ascii="Calibri"/>
          <w:sz w:val="24"/>
        </w:rPr>
        <w:t>The</w:t>
      </w:r>
      <w:r w:rsidRPr="00150EDC">
        <w:rPr>
          <w:rFonts w:ascii="Calibri"/>
          <w:spacing w:val="-3"/>
          <w:sz w:val="24"/>
        </w:rPr>
        <w:t xml:space="preserve"> </w:t>
      </w:r>
      <w:r w:rsidRPr="00150EDC">
        <w:rPr>
          <w:rFonts w:ascii="Calibri"/>
          <w:sz w:val="24"/>
        </w:rPr>
        <w:t>Supplier</w:t>
      </w:r>
      <w:r w:rsidRPr="00150EDC">
        <w:rPr>
          <w:rFonts w:ascii="Calibri"/>
          <w:spacing w:val="-3"/>
          <w:sz w:val="24"/>
        </w:rPr>
        <w:t xml:space="preserve"> </w:t>
      </w:r>
      <w:r w:rsidRPr="00150EDC">
        <w:rPr>
          <w:rFonts w:ascii="Calibri"/>
          <w:sz w:val="24"/>
        </w:rPr>
        <w:t>remains</w:t>
      </w:r>
      <w:r w:rsidRPr="00150EDC">
        <w:rPr>
          <w:rFonts w:ascii="Calibri"/>
          <w:spacing w:val="-2"/>
          <w:sz w:val="24"/>
        </w:rPr>
        <w:t xml:space="preserve"> </w:t>
      </w:r>
      <w:r w:rsidRPr="00150EDC">
        <w:rPr>
          <w:rFonts w:ascii="Calibri"/>
          <w:sz w:val="24"/>
        </w:rPr>
        <w:t>responsible</w:t>
      </w:r>
      <w:r w:rsidRPr="00150EDC">
        <w:rPr>
          <w:rFonts w:ascii="Calibri"/>
          <w:spacing w:val="-2"/>
          <w:sz w:val="24"/>
        </w:rPr>
        <w:t xml:space="preserve"> </w:t>
      </w:r>
      <w:r w:rsidRPr="00150EDC">
        <w:rPr>
          <w:rFonts w:ascii="Calibri"/>
          <w:sz w:val="24"/>
        </w:rPr>
        <w:t>for</w:t>
      </w:r>
      <w:r w:rsidRPr="00150EDC">
        <w:rPr>
          <w:rFonts w:ascii="Calibri"/>
          <w:spacing w:val="-3"/>
          <w:sz w:val="24"/>
        </w:rPr>
        <w:t xml:space="preserve"> </w:t>
      </w:r>
      <w:r w:rsidRPr="00150EDC">
        <w:rPr>
          <w:rFonts w:ascii="Calibri"/>
          <w:sz w:val="24"/>
        </w:rPr>
        <w:t>all</w:t>
      </w:r>
      <w:r w:rsidRPr="00150EDC">
        <w:rPr>
          <w:rFonts w:ascii="Calibri"/>
          <w:spacing w:val="-1"/>
          <w:sz w:val="24"/>
        </w:rPr>
        <w:t xml:space="preserve"> </w:t>
      </w:r>
      <w:r w:rsidRPr="00150EDC">
        <w:rPr>
          <w:rFonts w:ascii="Calibri"/>
          <w:sz w:val="24"/>
        </w:rPr>
        <w:t>acts</w:t>
      </w:r>
      <w:r w:rsidRPr="00150EDC">
        <w:rPr>
          <w:rFonts w:ascii="Calibri"/>
          <w:spacing w:val="-3"/>
          <w:sz w:val="24"/>
        </w:rPr>
        <w:t xml:space="preserve"> </w:t>
      </w:r>
      <w:r w:rsidRPr="00150EDC">
        <w:rPr>
          <w:rFonts w:ascii="Calibri"/>
          <w:sz w:val="24"/>
        </w:rPr>
        <w:t>and</w:t>
      </w:r>
      <w:r w:rsidRPr="00150EDC">
        <w:rPr>
          <w:rFonts w:ascii="Calibri"/>
          <w:spacing w:val="-3"/>
          <w:sz w:val="24"/>
        </w:rPr>
        <w:t xml:space="preserve"> </w:t>
      </w:r>
      <w:r w:rsidRPr="00150EDC">
        <w:rPr>
          <w:rFonts w:ascii="Calibri"/>
          <w:sz w:val="24"/>
        </w:rPr>
        <w:t>omissions</w:t>
      </w:r>
      <w:r w:rsidRPr="00150EDC">
        <w:rPr>
          <w:rFonts w:ascii="Calibri"/>
          <w:spacing w:val="-2"/>
          <w:sz w:val="24"/>
        </w:rPr>
        <w:t xml:space="preserve"> </w:t>
      </w:r>
      <w:r w:rsidRPr="00150EDC">
        <w:rPr>
          <w:rFonts w:ascii="Calibri"/>
          <w:sz w:val="24"/>
        </w:rPr>
        <w:t>of</w:t>
      </w:r>
      <w:r w:rsidRPr="00150EDC">
        <w:rPr>
          <w:rFonts w:ascii="Calibri"/>
          <w:spacing w:val="-2"/>
          <w:sz w:val="24"/>
        </w:rPr>
        <w:t xml:space="preserve"> </w:t>
      </w:r>
      <w:r w:rsidRPr="00150EDC">
        <w:rPr>
          <w:rFonts w:ascii="Calibri"/>
          <w:sz w:val="24"/>
        </w:rPr>
        <w:t>the</w:t>
      </w:r>
      <w:r w:rsidRPr="00150EDC">
        <w:rPr>
          <w:rFonts w:ascii="Calibri"/>
          <w:spacing w:val="-1"/>
          <w:sz w:val="24"/>
        </w:rPr>
        <w:t xml:space="preserve"> </w:t>
      </w:r>
      <w:r w:rsidRPr="00150EDC">
        <w:rPr>
          <w:rFonts w:ascii="Calibri"/>
          <w:sz w:val="24"/>
        </w:rPr>
        <w:t>Supplier</w:t>
      </w:r>
      <w:r w:rsidRPr="00150EDC">
        <w:rPr>
          <w:rFonts w:ascii="Calibri"/>
          <w:spacing w:val="-4"/>
          <w:sz w:val="24"/>
        </w:rPr>
        <w:t xml:space="preserve"> </w:t>
      </w:r>
      <w:r w:rsidRPr="00150EDC">
        <w:rPr>
          <w:rFonts w:ascii="Calibri"/>
          <w:sz w:val="24"/>
        </w:rPr>
        <w:t>Staff as</w:t>
      </w:r>
      <w:r w:rsidRPr="00150EDC">
        <w:rPr>
          <w:rFonts w:ascii="Calibri"/>
          <w:spacing w:val="-4"/>
          <w:sz w:val="24"/>
        </w:rPr>
        <w:t xml:space="preserve"> </w:t>
      </w:r>
      <w:r w:rsidRPr="00150EDC">
        <w:rPr>
          <w:rFonts w:ascii="Calibri"/>
          <w:sz w:val="24"/>
        </w:rPr>
        <w:t>if</w:t>
      </w:r>
      <w:r w:rsidRPr="00150EDC">
        <w:rPr>
          <w:rFonts w:ascii="Calibri"/>
          <w:spacing w:val="-3"/>
          <w:sz w:val="24"/>
        </w:rPr>
        <w:t xml:space="preserve"> </w:t>
      </w:r>
      <w:r w:rsidRPr="00150EDC">
        <w:rPr>
          <w:rFonts w:ascii="Calibri"/>
          <w:sz w:val="24"/>
        </w:rPr>
        <w:t>they</w:t>
      </w:r>
      <w:r w:rsidRPr="00150EDC">
        <w:rPr>
          <w:rFonts w:ascii="Calibri"/>
          <w:spacing w:val="-1"/>
          <w:sz w:val="24"/>
        </w:rPr>
        <w:t xml:space="preserve"> </w:t>
      </w:r>
      <w:r w:rsidRPr="00150EDC">
        <w:rPr>
          <w:rFonts w:ascii="Calibri"/>
          <w:sz w:val="24"/>
        </w:rPr>
        <w:t>were</w:t>
      </w:r>
      <w:r w:rsidRPr="00150EDC">
        <w:rPr>
          <w:rFonts w:ascii="Calibri"/>
          <w:spacing w:val="-4"/>
          <w:sz w:val="24"/>
        </w:rPr>
        <w:t xml:space="preserve"> </w:t>
      </w:r>
      <w:r w:rsidRPr="00150EDC">
        <w:rPr>
          <w:rFonts w:ascii="Calibri"/>
          <w:sz w:val="24"/>
        </w:rPr>
        <w:t>its</w:t>
      </w:r>
      <w:r w:rsidRPr="00150EDC">
        <w:rPr>
          <w:rFonts w:ascii="Calibri"/>
          <w:spacing w:val="-3"/>
          <w:sz w:val="24"/>
        </w:rPr>
        <w:t xml:space="preserve"> </w:t>
      </w:r>
      <w:r w:rsidRPr="00150EDC">
        <w:rPr>
          <w:rFonts w:ascii="Calibri"/>
          <w:spacing w:val="-4"/>
          <w:sz w:val="24"/>
        </w:rPr>
        <w:t>own.</w:t>
      </w:r>
    </w:p>
    <w:p w14:paraId="74333477" w14:textId="77777777" w:rsidR="004C7180" w:rsidRPr="00150EDC" w:rsidRDefault="004C7180">
      <w:pPr>
        <w:pStyle w:val="BodyText"/>
        <w:rPr>
          <w:rFonts w:ascii="Calibri"/>
        </w:rPr>
      </w:pPr>
    </w:p>
    <w:p w14:paraId="6B709E15" w14:textId="77777777" w:rsidR="004C7180" w:rsidRPr="00150EDC" w:rsidRDefault="00CF0754" w:rsidP="00B320C7">
      <w:pPr>
        <w:pStyle w:val="ListParagraph"/>
        <w:numPr>
          <w:ilvl w:val="1"/>
          <w:numId w:val="182"/>
        </w:numPr>
        <w:tabs>
          <w:tab w:val="left" w:pos="1064"/>
          <w:tab w:val="left" w:pos="1066"/>
        </w:tabs>
        <w:ind w:right="738"/>
        <w:rPr>
          <w:rFonts w:ascii="Calibri"/>
          <w:sz w:val="24"/>
        </w:rPr>
      </w:pPr>
      <w:r w:rsidRPr="00150EDC">
        <w:rPr>
          <w:rFonts w:ascii="Calibri"/>
          <w:sz w:val="24"/>
        </w:rPr>
        <w:t>If</w:t>
      </w:r>
      <w:r w:rsidRPr="00150EDC">
        <w:rPr>
          <w:rFonts w:ascii="Calibri"/>
          <w:spacing w:val="-1"/>
          <w:sz w:val="24"/>
        </w:rPr>
        <w:t xml:space="preserve"> </w:t>
      </w:r>
      <w:r w:rsidRPr="00150EDC">
        <w:rPr>
          <w:rFonts w:ascii="Calibri"/>
          <w:sz w:val="24"/>
        </w:rPr>
        <w:t>CCS</w:t>
      </w:r>
      <w:r w:rsidRPr="00150EDC">
        <w:rPr>
          <w:rFonts w:ascii="Calibri"/>
          <w:spacing w:val="-2"/>
          <w:sz w:val="24"/>
        </w:rPr>
        <w:t xml:space="preserve"> </w:t>
      </w:r>
      <w:r w:rsidRPr="00150EDC">
        <w:rPr>
          <w:rFonts w:ascii="Calibri"/>
          <w:sz w:val="24"/>
        </w:rPr>
        <w:t>or</w:t>
      </w:r>
      <w:r w:rsidRPr="00150EDC">
        <w:rPr>
          <w:rFonts w:ascii="Calibri"/>
          <w:spacing w:val="-3"/>
          <w:sz w:val="24"/>
        </w:rPr>
        <w:t xml:space="preserve"> </w:t>
      </w:r>
      <w:r w:rsidRPr="00150EDC">
        <w:rPr>
          <w:rFonts w:ascii="Calibri"/>
          <w:sz w:val="24"/>
        </w:rPr>
        <w:t>the</w:t>
      </w:r>
      <w:r w:rsidRPr="00150EDC">
        <w:rPr>
          <w:rFonts w:ascii="Calibri"/>
          <w:spacing w:val="-4"/>
          <w:sz w:val="24"/>
        </w:rPr>
        <w:t xml:space="preserve"> </w:t>
      </w:r>
      <w:r w:rsidRPr="00150EDC">
        <w:rPr>
          <w:rFonts w:ascii="Calibri"/>
          <w:sz w:val="24"/>
        </w:rPr>
        <w:t>Buyer</w:t>
      </w:r>
      <w:r w:rsidRPr="00150EDC">
        <w:rPr>
          <w:rFonts w:ascii="Calibri"/>
          <w:spacing w:val="-2"/>
          <w:sz w:val="24"/>
        </w:rPr>
        <w:t xml:space="preserve"> </w:t>
      </w:r>
      <w:r w:rsidRPr="00150EDC">
        <w:rPr>
          <w:rFonts w:ascii="Calibri"/>
          <w:sz w:val="24"/>
        </w:rPr>
        <w:t>asks</w:t>
      </w:r>
      <w:r w:rsidRPr="00150EDC">
        <w:rPr>
          <w:rFonts w:ascii="Calibri"/>
          <w:spacing w:val="-4"/>
          <w:sz w:val="24"/>
        </w:rPr>
        <w:t xml:space="preserve"> </w:t>
      </w:r>
      <w:r w:rsidRPr="00150EDC">
        <w:rPr>
          <w:rFonts w:ascii="Calibri"/>
          <w:sz w:val="24"/>
        </w:rPr>
        <w:t>the</w:t>
      </w:r>
      <w:r w:rsidRPr="00150EDC">
        <w:rPr>
          <w:rFonts w:ascii="Calibri"/>
          <w:spacing w:val="-1"/>
          <w:sz w:val="24"/>
        </w:rPr>
        <w:t xml:space="preserve"> </w:t>
      </w:r>
      <w:r w:rsidRPr="00150EDC">
        <w:rPr>
          <w:rFonts w:ascii="Calibri"/>
          <w:sz w:val="24"/>
        </w:rPr>
        <w:t>Supplier</w:t>
      </w:r>
      <w:r w:rsidRPr="00150EDC">
        <w:rPr>
          <w:rFonts w:ascii="Calibri"/>
          <w:spacing w:val="-3"/>
          <w:sz w:val="24"/>
        </w:rPr>
        <w:t xml:space="preserve"> </w:t>
      </w:r>
      <w:r w:rsidRPr="00150EDC">
        <w:rPr>
          <w:rFonts w:ascii="Calibri"/>
          <w:sz w:val="24"/>
        </w:rPr>
        <w:t>for</w:t>
      </w:r>
      <w:r w:rsidRPr="00150EDC">
        <w:rPr>
          <w:rFonts w:ascii="Calibri"/>
          <w:spacing w:val="-3"/>
          <w:sz w:val="24"/>
        </w:rPr>
        <w:t xml:space="preserve"> </w:t>
      </w:r>
      <w:r w:rsidRPr="00150EDC">
        <w:rPr>
          <w:rFonts w:ascii="Calibri"/>
          <w:sz w:val="24"/>
        </w:rPr>
        <w:t>details</w:t>
      </w:r>
      <w:r w:rsidRPr="00150EDC">
        <w:rPr>
          <w:rFonts w:ascii="Calibri"/>
          <w:spacing w:val="-2"/>
          <w:sz w:val="24"/>
        </w:rPr>
        <w:t xml:space="preserve"> </w:t>
      </w:r>
      <w:r w:rsidRPr="00150EDC">
        <w:rPr>
          <w:rFonts w:ascii="Calibri"/>
          <w:sz w:val="24"/>
        </w:rPr>
        <w:t>about</w:t>
      </w:r>
      <w:r w:rsidRPr="00150EDC">
        <w:rPr>
          <w:rFonts w:ascii="Calibri"/>
          <w:spacing w:val="-3"/>
          <w:sz w:val="24"/>
        </w:rPr>
        <w:t xml:space="preserve"> </w:t>
      </w:r>
      <w:r w:rsidRPr="00150EDC">
        <w:rPr>
          <w:rFonts w:ascii="Calibri"/>
          <w:sz w:val="24"/>
        </w:rPr>
        <w:t>Subcontractors,</w:t>
      </w:r>
      <w:r w:rsidRPr="00150EDC">
        <w:rPr>
          <w:rFonts w:ascii="Calibri"/>
          <w:spacing w:val="-4"/>
          <w:sz w:val="24"/>
        </w:rPr>
        <w:t xml:space="preserve"> </w:t>
      </w:r>
      <w:r w:rsidRPr="00150EDC">
        <w:rPr>
          <w:rFonts w:ascii="Calibri"/>
          <w:sz w:val="24"/>
        </w:rPr>
        <w:t>the</w:t>
      </w:r>
      <w:r w:rsidRPr="00150EDC">
        <w:rPr>
          <w:rFonts w:ascii="Calibri"/>
          <w:spacing w:val="-3"/>
          <w:sz w:val="24"/>
        </w:rPr>
        <w:t xml:space="preserve"> </w:t>
      </w:r>
      <w:r w:rsidRPr="00150EDC">
        <w:rPr>
          <w:rFonts w:ascii="Calibri"/>
          <w:sz w:val="24"/>
        </w:rPr>
        <w:t>Supplier</w:t>
      </w:r>
      <w:r w:rsidRPr="00150EDC">
        <w:rPr>
          <w:rFonts w:ascii="Calibri"/>
          <w:spacing w:val="-1"/>
          <w:sz w:val="24"/>
        </w:rPr>
        <w:t xml:space="preserve"> </w:t>
      </w:r>
      <w:r w:rsidRPr="00150EDC">
        <w:rPr>
          <w:rFonts w:ascii="Calibri"/>
          <w:sz w:val="24"/>
        </w:rPr>
        <w:t>must</w:t>
      </w:r>
      <w:r w:rsidRPr="00150EDC">
        <w:rPr>
          <w:rFonts w:ascii="Calibri"/>
          <w:spacing w:val="-3"/>
          <w:sz w:val="24"/>
        </w:rPr>
        <w:t xml:space="preserve"> </w:t>
      </w:r>
      <w:r w:rsidRPr="00150EDC">
        <w:rPr>
          <w:rFonts w:ascii="Calibri"/>
          <w:sz w:val="24"/>
        </w:rPr>
        <w:t>provide</w:t>
      </w:r>
      <w:r w:rsidRPr="00150EDC">
        <w:rPr>
          <w:rFonts w:ascii="Calibri"/>
          <w:spacing w:val="-3"/>
          <w:sz w:val="24"/>
        </w:rPr>
        <w:t xml:space="preserve"> </w:t>
      </w:r>
      <w:r w:rsidRPr="00150EDC">
        <w:rPr>
          <w:rFonts w:ascii="Calibri"/>
          <w:sz w:val="24"/>
        </w:rPr>
        <w:t>details of Subcontractors at all levels of the supply chain including:</w:t>
      </w:r>
    </w:p>
    <w:p w14:paraId="5A6D7859" w14:textId="77777777" w:rsidR="004C7180" w:rsidRPr="00150EDC" w:rsidRDefault="004C7180">
      <w:pPr>
        <w:pStyle w:val="BodyText"/>
        <w:spacing w:before="3"/>
        <w:rPr>
          <w:rFonts w:ascii="Calibri"/>
          <w:sz w:val="27"/>
        </w:rPr>
      </w:pPr>
    </w:p>
    <w:p w14:paraId="34AEDDC0" w14:textId="77777777" w:rsidR="004C7180" w:rsidRPr="00150EDC" w:rsidRDefault="00CF0754" w:rsidP="00B320C7">
      <w:pPr>
        <w:pStyle w:val="ListParagraph"/>
        <w:numPr>
          <w:ilvl w:val="0"/>
          <w:numId w:val="154"/>
        </w:numPr>
        <w:tabs>
          <w:tab w:val="left" w:pos="1491"/>
        </w:tabs>
        <w:spacing w:before="1"/>
        <w:ind w:left="1491" w:hanging="425"/>
        <w:rPr>
          <w:rFonts w:ascii="Calibri"/>
          <w:sz w:val="24"/>
        </w:rPr>
      </w:pPr>
      <w:r w:rsidRPr="00150EDC">
        <w:rPr>
          <w:rFonts w:ascii="Calibri"/>
          <w:sz w:val="24"/>
        </w:rPr>
        <w:t>their</w:t>
      </w:r>
      <w:r w:rsidRPr="00150EDC">
        <w:rPr>
          <w:rFonts w:ascii="Calibri"/>
          <w:spacing w:val="-1"/>
          <w:sz w:val="24"/>
        </w:rPr>
        <w:t xml:space="preserve"> </w:t>
      </w:r>
      <w:r w:rsidRPr="00150EDC">
        <w:rPr>
          <w:rFonts w:ascii="Calibri"/>
          <w:spacing w:val="-2"/>
          <w:sz w:val="24"/>
        </w:rPr>
        <w:t>name;</w:t>
      </w:r>
    </w:p>
    <w:p w14:paraId="337DEC69" w14:textId="77777777" w:rsidR="004C7180" w:rsidRPr="00150EDC" w:rsidRDefault="00CF0754" w:rsidP="00B320C7">
      <w:pPr>
        <w:pStyle w:val="ListParagraph"/>
        <w:numPr>
          <w:ilvl w:val="0"/>
          <w:numId w:val="154"/>
        </w:numPr>
        <w:tabs>
          <w:tab w:val="left" w:pos="1491"/>
        </w:tabs>
        <w:spacing w:before="19"/>
        <w:ind w:left="1491" w:hanging="425"/>
        <w:rPr>
          <w:rFonts w:ascii="Calibri"/>
          <w:sz w:val="24"/>
        </w:rPr>
      </w:pPr>
      <w:r w:rsidRPr="00150EDC">
        <w:rPr>
          <w:rFonts w:ascii="Calibri"/>
          <w:sz w:val="24"/>
        </w:rPr>
        <w:t>the</w:t>
      </w:r>
      <w:r w:rsidRPr="00150EDC">
        <w:rPr>
          <w:rFonts w:ascii="Calibri"/>
          <w:spacing w:val="-6"/>
          <w:sz w:val="24"/>
        </w:rPr>
        <w:t xml:space="preserve"> </w:t>
      </w:r>
      <w:r w:rsidRPr="00150EDC">
        <w:rPr>
          <w:rFonts w:ascii="Calibri"/>
          <w:sz w:val="24"/>
        </w:rPr>
        <w:t>scope</w:t>
      </w:r>
      <w:r w:rsidRPr="00150EDC">
        <w:rPr>
          <w:rFonts w:ascii="Calibri"/>
          <w:spacing w:val="-3"/>
          <w:sz w:val="24"/>
        </w:rPr>
        <w:t xml:space="preserve"> </w:t>
      </w:r>
      <w:r w:rsidRPr="00150EDC">
        <w:rPr>
          <w:rFonts w:ascii="Calibri"/>
          <w:sz w:val="24"/>
        </w:rPr>
        <w:t>of</w:t>
      </w:r>
      <w:r w:rsidRPr="00150EDC">
        <w:rPr>
          <w:rFonts w:ascii="Calibri"/>
          <w:spacing w:val="-3"/>
          <w:sz w:val="24"/>
        </w:rPr>
        <w:t xml:space="preserve"> </w:t>
      </w:r>
      <w:r w:rsidRPr="00150EDC">
        <w:rPr>
          <w:rFonts w:ascii="Calibri"/>
          <w:sz w:val="24"/>
        </w:rPr>
        <w:t>their</w:t>
      </w:r>
      <w:r w:rsidRPr="00150EDC">
        <w:rPr>
          <w:rFonts w:ascii="Calibri"/>
          <w:spacing w:val="-2"/>
          <w:sz w:val="24"/>
        </w:rPr>
        <w:t xml:space="preserve"> </w:t>
      </w:r>
      <w:r w:rsidRPr="00150EDC">
        <w:rPr>
          <w:rFonts w:ascii="Calibri"/>
          <w:sz w:val="24"/>
        </w:rPr>
        <w:t>appointment;</w:t>
      </w:r>
      <w:r w:rsidRPr="00150EDC">
        <w:rPr>
          <w:rFonts w:ascii="Calibri"/>
          <w:spacing w:val="-2"/>
          <w:sz w:val="24"/>
        </w:rPr>
        <w:t xml:space="preserve"> </w:t>
      </w:r>
      <w:r w:rsidRPr="00150EDC">
        <w:rPr>
          <w:rFonts w:ascii="Calibri"/>
          <w:spacing w:val="-5"/>
          <w:sz w:val="24"/>
        </w:rPr>
        <w:t>and</w:t>
      </w:r>
    </w:p>
    <w:p w14:paraId="00E353F0" w14:textId="77777777" w:rsidR="004C7180" w:rsidRPr="00150EDC" w:rsidRDefault="00CF0754" w:rsidP="00B320C7">
      <w:pPr>
        <w:pStyle w:val="ListParagraph"/>
        <w:numPr>
          <w:ilvl w:val="0"/>
          <w:numId w:val="154"/>
        </w:numPr>
        <w:tabs>
          <w:tab w:val="left" w:pos="1492"/>
        </w:tabs>
        <w:spacing w:before="21"/>
        <w:ind w:left="1492" w:hanging="426"/>
        <w:rPr>
          <w:rFonts w:ascii="Calibri"/>
          <w:sz w:val="24"/>
        </w:rPr>
      </w:pPr>
      <w:r w:rsidRPr="00150EDC">
        <w:rPr>
          <w:rFonts w:ascii="Calibri"/>
          <w:sz w:val="24"/>
        </w:rPr>
        <w:t>the</w:t>
      </w:r>
      <w:r w:rsidRPr="00150EDC">
        <w:rPr>
          <w:rFonts w:ascii="Calibri"/>
          <w:spacing w:val="-3"/>
          <w:sz w:val="24"/>
        </w:rPr>
        <w:t xml:space="preserve"> </w:t>
      </w:r>
      <w:r w:rsidRPr="00150EDC">
        <w:rPr>
          <w:rFonts w:ascii="Calibri"/>
          <w:sz w:val="24"/>
        </w:rPr>
        <w:t>duration</w:t>
      </w:r>
      <w:r w:rsidRPr="00150EDC">
        <w:rPr>
          <w:rFonts w:ascii="Calibri"/>
          <w:spacing w:val="-2"/>
          <w:sz w:val="24"/>
        </w:rPr>
        <w:t xml:space="preserve"> </w:t>
      </w:r>
      <w:r w:rsidRPr="00150EDC">
        <w:rPr>
          <w:rFonts w:ascii="Calibri"/>
          <w:sz w:val="24"/>
        </w:rPr>
        <w:t>of</w:t>
      </w:r>
      <w:r w:rsidRPr="00150EDC">
        <w:rPr>
          <w:rFonts w:ascii="Calibri"/>
          <w:spacing w:val="-3"/>
          <w:sz w:val="24"/>
        </w:rPr>
        <w:t xml:space="preserve"> </w:t>
      </w:r>
      <w:r w:rsidRPr="00150EDC">
        <w:rPr>
          <w:rFonts w:ascii="Calibri"/>
          <w:sz w:val="24"/>
        </w:rPr>
        <w:t xml:space="preserve">their </w:t>
      </w:r>
      <w:r w:rsidRPr="00150EDC">
        <w:rPr>
          <w:rFonts w:ascii="Calibri"/>
          <w:spacing w:val="-2"/>
          <w:sz w:val="24"/>
        </w:rPr>
        <w:t>appointment.</w:t>
      </w:r>
    </w:p>
    <w:p w14:paraId="2C17BEDC" w14:textId="77777777" w:rsidR="004C7180" w:rsidRPr="00150EDC" w:rsidRDefault="004C7180">
      <w:pPr>
        <w:pStyle w:val="BodyText"/>
        <w:spacing w:before="10"/>
        <w:rPr>
          <w:rFonts w:ascii="Calibri"/>
          <w:sz w:val="25"/>
        </w:rPr>
      </w:pPr>
    </w:p>
    <w:p w14:paraId="2601B8E5" w14:textId="77777777" w:rsidR="004C7180" w:rsidRPr="00150EDC" w:rsidRDefault="00CF0754" w:rsidP="00B320C7">
      <w:pPr>
        <w:pStyle w:val="Heading1"/>
        <w:numPr>
          <w:ilvl w:val="0"/>
          <w:numId w:val="182"/>
        </w:numPr>
        <w:tabs>
          <w:tab w:val="left" w:pos="1217"/>
        </w:tabs>
        <w:ind w:left="1217" w:hanging="650"/>
        <w:jc w:val="left"/>
        <w:rPr>
          <w:rFonts w:ascii="Calibri"/>
        </w:rPr>
      </w:pPr>
      <w:r w:rsidRPr="00150EDC">
        <w:rPr>
          <w:rFonts w:ascii="Calibri"/>
        </w:rPr>
        <w:t>Changing</w:t>
      </w:r>
      <w:r w:rsidRPr="00150EDC">
        <w:rPr>
          <w:rFonts w:ascii="Calibri"/>
          <w:spacing w:val="-3"/>
        </w:rPr>
        <w:t xml:space="preserve"> </w:t>
      </w:r>
      <w:r w:rsidRPr="00150EDC">
        <w:rPr>
          <w:rFonts w:ascii="Calibri"/>
        </w:rPr>
        <w:t>the</w:t>
      </w:r>
      <w:r w:rsidRPr="00150EDC">
        <w:rPr>
          <w:rFonts w:ascii="Calibri"/>
          <w:spacing w:val="-1"/>
        </w:rPr>
        <w:t xml:space="preserve"> </w:t>
      </w:r>
      <w:r w:rsidRPr="00150EDC">
        <w:rPr>
          <w:rFonts w:ascii="Calibri"/>
          <w:spacing w:val="-2"/>
        </w:rPr>
        <w:t>contract</w:t>
      </w:r>
    </w:p>
    <w:p w14:paraId="2B1EE64C" w14:textId="77777777" w:rsidR="004C7180" w:rsidRPr="00150EDC" w:rsidRDefault="00CF0754" w:rsidP="00B320C7">
      <w:pPr>
        <w:pStyle w:val="ListParagraph"/>
        <w:numPr>
          <w:ilvl w:val="1"/>
          <w:numId w:val="182"/>
        </w:numPr>
        <w:tabs>
          <w:tab w:val="left" w:pos="1064"/>
          <w:tab w:val="left" w:pos="1066"/>
        </w:tabs>
        <w:spacing w:before="18"/>
        <w:ind w:right="1331"/>
        <w:rPr>
          <w:rFonts w:ascii="Calibri"/>
          <w:sz w:val="24"/>
        </w:rPr>
      </w:pPr>
      <w:r w:rsidRPr="00150EDC">
        <w:rPr>
          <w:rFonts w:ascii="Calibri"/>
          <w:sz w:val="24"/>
        </w:rPr>
        <w:t>Either</w:t>
      </w:r>
      <w:r w:rsidRPr="00150EDC">
        <w:rPr>
          <w:rFonts w:ascii="Calibri"/>
          <w:spacing w:val="-1"/>
          <w:sz w:val="24"/>
        </w:rPr>
        <w:t xml:space="preserve"> </w:t>
      </w:r>
      <w:r w:rsidRPr="00150EDC">
        <w:rPr>
          <w:rFonts w:ascii="Calibri"/>
          <w:sz w:val="24"/>
        </w:rPr>
        <w:t>Party</w:t>
      </w:r>
      <w:r w:rsidRPr="00150EDC">
        <w:rPr>
          <w:rFonts w:ascii="Calibri"/>
          <w:spacing w:val="-2"/>
          <w:sz w:val="24"/>
        </w:rPr>
        <w:t xml:space="preserve"> </w:t>
      </w:r>
      <w:r w:rsidRPr="00150EDC">
        <w:rPr>
          <w:rFonts w:ascii="Calibri"/>
          <w:sz w:val="24"/>
        </w:rPr>
        <w:t>can</w:t>
      </w:r>
      <w:r w:rsidRPr="00150EDC">
        <w:rPr>
          <w:rFonts w:ascii="Calibri"/>
          <w:spacing w:val="-3"/>
          <w:sz w:val="24"/>
        </w:rPr>
        <w:t xml:space="preserve"> </w:t>
      </w:r>
      <w:r w:rsidRPr="00150EDC">
        <w:rPr>
          <w:rFonts w:ascii="Calibri"/>
          <w:sz w:val="24"/>
        </w:rPr>
        <w:t>request</w:t>
      </w:r>
      <w:r w:rsidRPr="00150EDC">
        <w:rPr>
          <w:rFonts w:ascii="Calibri"/>
          <w:spacing w:val="-3"/>
          <w:sz w:val="24"/>
        </w:rPr>
        <w:t xml:space="preserve"> </w:t>
      </w:r>
      <w:r w:rsidRPr="00150EDC">
        <w:rPr>
          <w:rFonts w:ascii="Calibri"/>
          <w:sz w:val="24"/>
        </w:rPr>
        <w:t>a</w:t>
      </w:r>
      <w:r w:rsidRPr="00150EDC">
        <w:rPr>
          <w:rFonts w:ascii="Calibri"/>
          <w:spacing w:val="-2"/>
          <w:sz w:val="24"/>
        </w:rPr>
        <w:t xml:space="preserve"> </w:t>
      </w:r>
      <w:r w:rsidRPr="00150EDC">
        <w:rPr>
          <w:rFonts w:ascii="Calibri"/>
          <w:sz w:val="24"/>
        </w:rPr>
        <w:t>Variation</w:t>
      </w:r>
      <w:r w:rsidRPr="00150EDC">
        <w:rPr>
          <w:rFonts w:ascii="Calibri"/>
          <w:spacing w:val="-3"/>
          <w:sz w:val="24"/>
        </w:rPr>
        <w:t xml:space="preserve"> </w:t>
      </w:r>
      <w:r w:rsidRPr="00150EDC">
        <w:rPr>
          <w:rFonts w:ascii="Calibri"/>
          <w:sz w:val="24"/>
        </w:rPr>
        <w:t>which</w:t>
      </w:r>
      <w:r w:rsidRPr="00150EDC">
        <w:rPr>
          <w:rFonts w:ascii="Calibri"/>
          <w:spacing w:val="-1"/>
          <w:sz w:val="24"/>
        </w:rPr>
        <w:t xml:space="preserve"> </w:t>
      </w:r>
      <w:r w:rsidRPr="00150EDC">
        <w:rPr>
          <w:rFonts w:ascii="Calibri"/>
          <w:sz w:val="24"/>
        </w:rPr>
        <w:t>is</w:t>
      </w:r>
      <w:r w:rsidRPr="00150EDC">
        <w:rPr>
          <w:rFonts w:ascii="Calibri"/>
          <w:spacing w:val="-4"/>
          <w:sz w:val="24"/>
        </w:rPr>
        <w:t xml:space="preserve"> </w:t>
      </w:r>
      <w:r w:rsidRPr="00150EDC">
        <w:rPr>
          <w:rFonts w:ascii="Calibri"/>
          <w:sz w:val="24"/>
        </w:rPr>
        <w:t>only</w:t>
      </w:r>
      <w:r w:rsidRPr="00150EDC">
        <w:rPr>
          <w:rFonts w:ascii="Calibri"/>
          <w:spacing w:val="-7"/>
          <w:sz w:val="24"/>
        </w:rPr>
        <w:t xml:space="preserve"> </w:t>
      </w:r>
      <w:r w:rsidRPr="00150EDC">
        <w:rPr>
          <w:rFonts w:ascii="Calibri"/>
          <w:sz w:val="24"/>
        </w:rPr>
        <w:t>effective</w:t>
      </w:r>
      <w:r w:rsidRPr="00150EDC">
        <w:rPr>
          <w:rFonts w:ascii="Calibri"/>
          <w:spacing w:val="-2"/>
          <w:sz w:val="24"/>
        </w:rPr>
        <w:t xml:space="preserve"> </w:t>
      </w:r>
      <w:r w:rsidRPr="00150EDC">
        <w:rPr>
          <w:rFonts w:ascii="Calibri"/>
          <w:sz w:val="24"/>
        </w:rPr>
        <w:t>if</w:t>
      </w:r>
      <w:r w:rsidRPr="00150EDC">
        <w:rPr>
          <w:rFonts w:ascii="Calibri"/>
          <w:spacing w:val="-1"/>
          <w:sz w:val="24"/>
        </w:rPr>
        <w:t xml:space="preserve"> </w:t>
      </w:r>
      <w:r w:rsidRPr="00150EDC">
        <w:rPr>
          <w:rFonts w:ascii="Calibri"/>
          <w:sz w:val="24"/>
        </w:rPr>
        <w:t>agreed</w:t>
      </w:r>
      <w:r w:rsidRPr="00150EDC">
        <w:rPr>
          <w:rFonts w:ascii="Calibri"/>
          <w:spacing w:val="-3"/>
          <w:sz w:val="24"/>
        </w:rPr>
        <w:t xml:space="preserve"> </w:t>
      </w:r>
      <w:r w:rsidRPr="00150EDC">
        <w:rPr>
          <w:rFonts w:ascii="Calibri"/>
          <w:sz w:val="24"/>
        </w:rPr>
        <w:t>in</w:t>
      </w:r>
      <w:r w:rsidRPr="00150EDC">
        <w:rPr>
          <w:rFonts w:ascii="Calibri"/>
          <w:spacing w:val="-1"/>
          <w:sz w:val="24"/>
        </w:rPr>
        <w:t xml:space="preserve"> </w:t>
      </w:r>
      <w:r w:rsidRPr="00150EDC">
        <w:rPr>
          <w:rFonts w:ascii="Calibri"/>
          <w:sz w:val="24"/>
        </w:rPr>
        <w:t>writing</w:t>
      </w:r>
      <w:r w:rsidRPr="00150EDC">
        <w:rPr>
          <w:rFonts w:ascii="Calibri"/>
          <w:spacing w:val="-2"/>
          <w:sz w:val="24"/>
        </w:rPr>
        <w:t xml:space="preserve"> </w:t>
      </w:r>
      <w:r w:rsidRPr="00150EDC">
        <w:rPr>
          <w:rFonts w:ascii="Calibri"/>
          <w:sz w:val="24"/>
        </w:rPr>
        <w:t>and</w:t>
      </w:r>
      <w:r w:rsidRPr="00150EDC">
        <w:rPr>
          <w:rFonts w:ascii="Calibri"/>
          <w:spacing w:val="-1"/>
          <w:sz w:val="24"/>
        </w:rPr>
        <w:t xml:space="preserve"> </w:t>
      </w:r>
      <w:r w:rsidRPr="00150EDC">
        <w:rPr>
          <w:rFonts w:ascii="Calibri"/>
          <w:sz w:val="24"/>
        </w:rPr>
        <w:t>signed</w:t>
      </w:r>
      <w:r w:rsidRPr="00150EDC">
        <w:rPr>
          <w:rFonts w:ascii="Calibri"/>
          <w:spacing w:val="-3"/>
          <w:sz w:val="24"/>
        </w:rPr>
        <w:t xml:space="preserve"> </w:t>
      </w:r>
      <w:r w:rsidRPr="00150EDC">
        <w:rPr>
          <w:rFonts w:ascii="Calibri"/>
          <w:sz w:val="24"/>
        </w:rPr>
        <w:t>by</w:t>
      </w:r>
      <w:r w:rsidRPr="00150EDC">
        <w:rPr>
          <w:rFonts w:ascii="Calibri"/>
          <w:spacing w:val="-5"/>
          <w:sz w:val="24"/>
        </w:rPr>
        <w:t xml:space="preserve"> </w:t>
      </w:r>
      <w:r w:rsidRPr="00150EDC">
        <w:rPr>
          <w:rFonts w:ascii="Calibri"/>
          <w:sz w:val="24"/>
        </w:rPr>
        <w:t xml:space="preserve">both </w:t>
      </w:r>
      <w:r w:rsidRPr="00150EDC">
        <w:rPr>
          <w:rFonts w:ascii="Calibri"/>
          <w:spacing w:val="-2"/>
          <w:sz w:val="24"/>
        </w:rPr>
        <w:t>Parties.</w:t>
      </w:r>
    </w:p>
    <w:p w14:paraId="5B75BD2C" w14:textId="77777777" w:rsidR="004C7180" w:rsidRPr="00150EDC" w:rsidRDefault="004C7180">
      <w:pPr>
        <w:pStyle w:val="BodyText"/>
        <w:rPr>
          <w:rFonts w:ascii="Calibri"/>
        </w:rPr>
      </w:pPr>
    </w:p>
    <w:p w14:paraId="4EE73516" w14:textId="77777777" w:rsidR="004C7180" w:rsidRPr="00150EDC" w:rsidRDefault="00CF0754" w:rsidP="00B320C7">
      <w:pPr>
        <w:pStyle w:val="ListParagraph"/>
        <w:numPr>
          <w:ilvl w:val="1"/>
          <w:numId w:val="182"/>
        </w:numPr>
        <w:tabs>
          <w:tab w:val="left" w:pos="1065"/>
        </w:tabs>
        <w:ind w:left="1065" w:hanging="565"/>
        <w:rPr>
          <w:rFonts w:ascii="Calibri"/>
          <w:sz w:val="24"/>
        </w:rPr>
      </w:pPr>
      <w:r w:rsidRPr="00150EDC">
        <w:rPr>
          <w:rFonts w:ascii="Calibri"/>
          <w:sz w:val="24"/>
        </w:rPr>
        <w:t>The</w:t>
      </w:r>
      <w:r w:rsidRPr="00150EDC">
        <w:rPr>
          <w:rFonts w:ascii="Calibri"/>
          <w:spacing w:val="-2"/>
          <w:sz w:val="24"/>
        </w:rPr>
        <w:t xml:space="preserve"> </w:t>
      </w:r>
      <w:r w:rsidRPr="00150EDC">
        <w:rPr>
          <w:rFonts w:ascii="Calibri"/>
          <w:sz w:val="24"/>
        </w:rPr>
        <w:t>Supplier</w:t>
      </w:r>
      <w:r w:rsidRPr="00150EDC">
        <w:rPr>
          <w:rFonts w:ascii="Calibri"/>
          <w:spacing w:val="-4"/>
          <w:sz w:val="24"/>
        </w:rPr>
        <w:t xml:space="preserve"> </w:t>
      </w:r>
      <w:r w:rsidRPr="00150EDC">
        <w:rPr>
          <w:rFonts w:ascii="Calibri"/>
          <w:sz w:val="24"/>
        </w:rPr>
        <w:t>must</w:t>
      </w:r>
      <w:r w:rsidRPr="00150EDC">
        <w:rPr>
          <w:rFonts w:ascii="Calibri"/>
          <w:spacing w:val="-1"/>
          <w:sz w:val="24"/>
        </w:rPr>
        <w:t xml:space="preserve"> </w:t>
      </w:r>
      <w:r w:rsidRPr="00150EDC">
        <w:rPr>
          <w:rFonts w:ascii="Calibri"/>
          <w:sz w:val="24"/>
        </w:rPr>
        <w:t>provide</w:t>
      </w:r>
      <w:r w:rsidRPr="00150EDC">
        <w:rPr>
          <w:rFonts w:ascii="Calibri"/>
          <w:spacing w:val="-2"/>
          <w:sz w:val="24"/>
        </w:rPr>
        <w:t xml:space="preserve"> </w:t>
      </w:r>
      <w:r w:rsidRPr="00150EDC">
        <w:rPr>
          <w:rFonts w:ascii="Calibri"/>
          <w:sz w:val="24"/>
        </w:rPr>
        <w:t>an</w:t>
      </w:r>
      <w:r w:rsidRPr="00150EDC">
        <w:rPr>
          <w:rFonts w:ascii="Calibri"/>
          <w:spacing w:val="-3"/>
          <w:sz w:val="24"/>
        </w:rPr>
        <w:t xml:space="preserve"> </w:t>
      </w:r>
      <w:r w:rsidRPr="00150EDC">
        <w:rPr>
          <w:rFonts w:ascii="Calibri"/>
          <w:sz w:val="24"/>
        </w:rPr>
        <w:t>Impact</w:t>
      </w:r>
      <w:r w:rsidRPr="00150EDC">
        <w:rPr>
          <w:rFonts w:ascii="Calibri"/>
          <w:spacing w:val="-4"/>
          <w:sz w:val="24"/>
        </w:rPr>
        <w:t xml:space="preserve"> </w:t>
      </w:r>
      <w:r w:rsidRPr="00150EDC">
        <w:rPr>
          <w:rFonts w:ascii="Calibri"/>
          <w:sz w:val="24"/>
        </w:rPr>
        <w:t>Assessment</w:t>
      </w:r>
      <w:r w:rsidRPr="00150EDC">
        <w:rPr>
          <w:rFonts w:ascii="Calibri"/>
          <w:spacing w:val="-3"/>
          <w:sz w:val="24"/>
        </w:rPr>
        <w:t xml:space="preserve"> </w:t>
      </w:r>
      <w:r w:rsidRPr="00150EDC">
        <w:rPr>
          <w:rFonts w:ascii="Calibri"/>
          <w:spacing w:val="-2"/>
          <w:sz w:val="24"/>
        </w:rPr>
        <w:t>either:</w:t>
      </w:r>
    </w:p>
    <w:p w14:paraId="16EC64F6" w14:textId="77777777" w:rsidR="004C7180" w:rsidRPr="00150EDC" w:rsidRDefault="004C7180">
      <w:pPr>
        <w:pStyle w:val="BodyText"/>
        <w:spacing w:before="4"/>
        <w:rPr>
          <w:rFonts w:ascii="Calibri"/>
          <w:sz w:val="27"/>
        </w:rPr>
      </w:pPr>
    </w:p>
    <w:p w14:paraId="05E9EE4A" w14:textId="77777777" w:rsidR="004C7180" w:rsidRPr="00150EDC" w:rsidRDefault="00CF0754" w:rsidP="00B320C7">
      <w:pPr>
        <w:pStyle w:val="ListParagraph"/>
        <w:numPr>
          <w:ilvl w:val="0"/>
          <w:numId w:val="153"/>
        </w:numPr>
        <w:tabs>
          <w:tab w:val="left" w:pos="1491"/>
        </w:tabs>
        <w:ind w:left="1491" w:hanging="425"/>
        <w:rPr>
          <w:rFonts w:ascii="Calibri"/>
          <w:sz w:val="24"/>
        </w:rPr>
      </w:pPr>
      <w:r w:rsidRPr="00150EDC">
        <w:rPr>
          <w:rFonts w:ascii="Calibri"/>
          <w:sz w:val="24"/>
        </w:rPr>
        <w:t>with</w:t>
      </w:r>
      <w:r w:rsidRPr="00150EDC">
        <w:rPr>
          <w:rFonts w:ascii="Calibri"/>
          <w:spacing w:val="-2"/>
          <w:sz w:val="24"/>
        </w:rPr>
        <w:t xml:space="preserve"> </w:t>
      </w:r>
      <w:r w:rsidRPr="00150EDC">
        <w:rPr>
          <w:rFonts w:ascii="Calibri"/>
          <w:sz w:val="24"/>
        </w:rPr>
        <w:t>the</w:t>
      </w:r>
      <w:r w:rsidRPr="00150EDC">
        <w:rPr>
          <w:rFonts w:ascii="Calibri"/>
          <w:spacing w:val="-3"/>
          <w:sz w:val="24"/>
        </w:rPr>
        <w:t xml:space="preserve"> </w:t>
      </w:r>
      <w:r w:rsidRPr="00150EDC">
        <w:rPr>
          <w:rFonts w:ascii="Calibri"/>
          <w:sz w:val="24"/>
        </w:rPr>
        <w:t>Variation</w:t>
      </w:r>
      <w:r w:rsidRPr="00150EDC">
        <w:rPr>
          <w:rFonts w:ascii="Calibri"/>
          <w:spacing w:val="-3"/>
          <w:sz w:val="24"/>
        </w:rPr>
        <w:t xml:space="preserve"> </w:t>
      </w:r>
      <w:r w:rsidRPr="00150EDC">
        <w:rPr>
          <w:rFonts w:ascii="Calibri"/>
          <w:sz w:val="24"/>
        </w:rPr>
        <w:t>Form,</w:t>
      </w:r>
      <w:r w:rsidRPr="00150EDC">
        <w:rPr>
          <w:rFonts w:ascii="Calibri"/>
          <w:spacing w:val="-6"/>
          <w:sz w:val="24"/>
        </w:rPr>
        <w:t xml:space="preserve"> </w:t>
      </w:r>
      <w:r w:rsidRPr="00150EDC">
        <w:rPr>
          <w:rFonts w:ascii="Calibri"/>
          <w:sz w:val="24"/>
        </w:rPr>
        <w:t>where</w:t>
      </w:r>
      <w:r w:rsidRPr="00150EDC">
        <w:rPr>
          <w:rFonts w:ascii="Calibri"/>
          <w:spacing w:val="-1"/>
          <w:sz w:val="24"/>
        </w:rPr>
        <w:t xml:space="preserve"> </w:t>
      </w:r>
      <w:r w:rsidRPr="00150EDC">
        <w:rPr>
          <w:rFonts w:ascii="Calibri"/>
          <w:sz w:val="24"/>
        </w:rPr>
        <w:t>the</w:t>
      </w:r>
      <w:r w:rsidRPr="00150EDC">
        <w:rPr>
          <w:rFonts w:ascii="Calibri"/>
          <w:spacing w:val="-1"/>
          <w:sz w:val="24"/>
        </w:rPr>
        <w:t xml:space="preserve"> </w:t>
      </w:r>
      <w:r w:rsidRPr="00150EDC">
        <w:rPr>
          <w:rFonts w:ascii="Calibri"/>
          <w:sz w:val="24"/>
        </w:rPr>
        <w:t>Supplier</w:t>
      </w:r>
      <w:r w:rsidRPr="00150EDC">
        <w:rPr>
          <w:rFonts w:ascii="Calibri"/>
          <w:spacing w:val="-3"/>
          <w:sz w:val="24"/>
        </w:rPr>
        <w:t xml:space="preserve"> </w:t>
      </w:r>
      <w:r w:rsidRPr="00150EDC">
        <w:rPr>
          <w:rFonts w:ascii="Calibri"/>
          <w:sz w:val="24"/>
        </w:rPr>
        <w:t>requests</w:t>
      </w:r>
      <w:r w:rsidRPr="00150EDC">
        <w:rPr>
          <w:rFonts w:ascii="Calibri"/>
          <w:spacing w:val="-2"/>
          <w:sz w:val="24"/>
        </w:rPr>
        <w:t xml:space="preserve"> </w:t>
      </w:r>
      <w:r w:rsidRPr="00150EDC">
        <w:rPr>
          <w:rFonts w:ascii="Calibri"/>
          <w:sz w:val="24"/>
        </w:rPr>
        <w:t>the</w:t>
      </w:r>
      <w:r w:rsidRPr="00150EDC">
        <w:rPr>
          <w:rFonts w:ascii="Calibri"/>
          <w:spacing w:val="-3"/>
          <w:sz w:val="24"/>
        </w:rPr>
        <w:t xml:space="preserve"> </w:t>
      </w:r>
      <w:r w:rsidRPr="00150EDC">
        <w:rPr>
          <w:rFonts w:ascii="Calibri"/>
          <w:sz w:val="24"/>
        </w:rPr>
        <w:t>Variation;</w:t>
      </w:r>
      <w:r w:rsidRPr="00150EDC">
        <w:rPr>
          <w:rFonts w:ascii="Calibri"/>
          <w:spacing w:val="-2"/>
          <w:sz w:val="24"/>
        </w:rPr>
        <w:t xml:space="preserve"> </w:t>
      </w:r>
      <w:r w:rsidRPr="00150EDC">
        <w:rPr>
          <w:rFonts w:ascii="Calibri"/>
          <w:spacing w:val="-5"/>
          <w:sz w:val="24"/>
        </w:rPr>
        <w:t>or</w:t>
      </w:r>
    </w:p>
    <w:p w14:paraId="7A6733D8" w14:textId="77777777" w:rsidR="004C7180" w:rsidRPr="00150EDC" w:rsidRDefault="00CF0754" w:rsidP="00B320C7">
      <w:pPr>
        <w:pStyle w:val="ListParagraph"/>
        <w:numPr>
          <w:ilvl w:val="0"/>
          <w:numId w:val="153"/>
        </w:numPr>
        <w:tabs>
          <w:tab w:val="left" w:pos="1491"/>
        </w:tabs>
        <w:spacing w:before="19"/>
        <w:ind w:left="1491" w:hanging="425"/>
        <w:rPr>
          <w:rFonts w:ascii="Calibri"/>
          <w:sz w:val="24"/>
        </w:rPr>
      </w:pPr>
      <w:r w:rsidRPr="00150EDC">
        <w:rPr>
          <w:rFonts w:ascii="Calibri"/>
          <w:sz w:val="24"/>
        </w:rPr>
        <w:t>within</w:t>
      </w:r>
      <w:r w:rsidRPr="00150EDC">
        <w:rPr>
          <w:rFonts w:ascii="Calibri"/>
          <w:spacing w:val="-6"/>
          <w:sz w:val="24"/>
        </w:rPr>
        <w:t xml:space="preserve"> </w:t>
      </w:r>
      <w:r w:rsidRPr="00150EDC">
        <w:rPr>
          <w:rFonts w:ascii="Calibri"/>
          <w:sz w:val="24"/>
        </w:rPr>
        <w:t>the</w:t>
      </w:r>
      <w:r w:rsidRPr="00150EDC">
        <w:rPr>
          <w:rFonts w:ascii="Calibri"/>
          <w:spacing w:val="-3"/>
          <w:sz w:val="24"/>
        </w:rPr>
        <w:t xml:space="preserve"> </w:t>
      </w:r>
      <w:r w:rsidRPr="00150EDC">
        <w:rPr>
          <w:rFonts w:ascii="Calibri"/>
          <w:sz w:val="24"/>
        </w:rPr>
        <w:t>time</w:t>
      </w:r>
      <w:r w:rsidRPr="00150EDC">
        <w:rPr>
          <w:rFonts w:ascii="Calibri"/>
          <w:spacing w:val="-2"/>
          <w:sz w:val="24"/>
        </w:rPr>
        <w:t xml:space="preserve"> </w:t>
      </w:r>
      <w:r w:rsidRPr="00150EDC">
        <w:rPr>
          <w:rFonts w:ascii="Calibri"/>
          <w:sz w:val="24"/>
        </w:rPr>
        <w:t>limits</w:t>
      </w:r>
      <w:r w:rsidRPr="00150EDC">
        <w:rPr>
          <w:rFonts w:ascii="Calibri"/>
          <w:spacing w:val="-2"/>
          <w:sz w:val="24"/>
        </w:rPr>
        <w:t xml:space="preserve"> </w:t>
      </w:r>
      <w:r w:rsidRPr="00150EDC">
        <w:rPr>
          <w:rFonts w:ascii="Calibri"/>
          <w:sz w:val="24"/>
        </w:rPr>
        <w:t>included</w:t>
      </w:r>
      <w:r w:rsidRPr="00150EDC">
        <w:rPr>
          <w:rFonts w:ascii="Calibri"/>
          <w:spacing w:val="-2"/>
          <w:sz w:val="24"/>
        </w:rPr>
        <w:t xml:space="preserve"> </w:t>
      </w:r>
      <w:r w:rsidRPr="00150EDC">
        <w:rPr>
          <w:rFonts w:ascii="Calibri"/>
          <w:sz w:val="24"/>
        </w:rPr>
        <w:t>in</w:t>
      </w:r>
      <w:r w:rsidRPr="00150EDC">
        <w:rPr>
          <w:rFonts w:ascii="Calibri"/>
          <w:spacing w:val="-2"/>
          <w:sz w:val="24"/>
        </w:rPr>
        <w:t xml:space="preserve"> </w:t>
      </w:r>
      <w:r w:rsidRPr="00150EDC">
        <w:rPr>
          <w:rFonts w:ascii="Calibri"/>
          <w:sz w:val="24"/>
        </w:rPr>
        <w:t>a</w:t>
      </w:r>
      <w:r w:rsidRPr="00150EDC">
        <w:rPr>
          <w:rFonts w:ascii="Calibri"/>
          <w:spacing w:val="-4"/>
          <w:sz w:val="24"/>
        </w:rPr>
        <w:t xml:space="preserve"> </w:t>
      </w:r>
      <w:r w:rsidRPr="00150EDC">
        <w:rPr>
          <w:rFonts w:ascii="Calibri"/>
          <w:sz w:val="24"/>
        </w:rPr>
        <w:t>Variation</w:t>
      </w:r>
      <w:r w:rsidRPr="00150EDC">
        <w:rPr>
          <w:rFonts w:ascii="Calibri"/>
          <w:spacing w:val="-3"/>
          <w:sz w:val="24"/>
        </w:rPr>
        <w:t xml:space="preserve"> </w:t>
      </w:r>
      <w:r w:rsidRPr="00150EDC">
        <w:rPr>
          <w:rFonts w:ascii="Calibri"/>
          <w:sz w:val="24"/>
        </w:rPr>
        <w:t>Form</w:t>
      </w:r>
      <w:r w:rsidRPr="00150EDC">
        <w:rPr>
          <w:rFonts w:ascii="Calibri"/>
          <w:spacing w:val="-3"/>
          <w:sz w:val="24"/>
        </w:rPr>
        <w:t xml:space="preserve"> </w:t>
      </w:r>
      <w:r w:rsidRPr="00150EDC">
        <w:rPr>
          <w:rFonts w:ascii="Calibri"/>
          <w:sz w:val="24"/>
        </w:rPr>
        <w:t>requested</w:t>
      </w:r>
      <w:r w:rsidRPr="00150EDC">
        <w:rPr>
          <w:rFonts w:ascii="Calibri"/>
          <w:spacing w:val="-3"/>
          <w:sz w:val="24"/>
        </w:rPr>
        <w:t xml:space="preserve"> </w:t>
      </w:r>
      <w:r w:rsidRPr="00150EDC">
        <w:rPr>
          <w:rFonts w:ascii="Calibri"/>
          <w:sz w:val="24"/>
        </w:rPr>
        <w:t>by</w:t>
      </w:r>
      <w:r w:rsidRPr="00150EDC">
        <w:rPr>
          <w:rFonts w:ascii="Calibri"/>
          <w:spacing w:val="-3"/>
          <w:sz w:val="24"/>
        </w:rPr>
        <w:t xml:space="preserve"> </w:t>
      </w:r>
      <w:r w:rsidRPr="00150EDC">
        <w:rPr>
          <w:rFonts w:ascii="Calibri"/>
          <w:sz w:val="24"/>
        </w:rPr>
        <w:t>CCS</w:t>
      </w:r>
      <w:r w:rsidRPr="00150EDC">
        <w:rPr>
          <w:rFonts w:ascii="Calibri"/>
          <w:spacing w:val="-2"/>
          <w:sz w:val="24"/>
        </w:rPr>
        <w:t xml:space="preserve"> </w:t>
      </w:r>
      <w:r w:rsidRPr="00150EDC">
        <w:rPr>
          <w:rFonts w:ascii="Calibri"/>
          <w:sz w:val="24"/>
        </w:rPr>
        <w:t>or</w:t>
      </w:r>
      <w:r w:rsidRPr="00150EDC">
        <w:rPr>
          <w:rFonts w:ascii="Calibri"/>
          <w:spacing w:val="-4"/>
          <w:sz w:val="24"/>
        </w:rPr>
        <w:t xml:space="preserve"> </w:t>
      </w:r>
      <w:r w:rsidRPr="00150EDC">
        <w:rPr>
          <w:rFonts w:ascii="Calibri"/>
          <w:sz w:val="24"/>
        </w:rPr>
        <w:t>the</w:t>
      </w:r>
      <w:r w:rsidRPr="00150EDC">
        <w:rPr>
          <w:rFonts w:ascii="Calibri"/>
          <w:spacing w:val="-1"/>
          <w:sz w:val="24"/>
        </w:rPr>
        <w:t xml:space="preserve"> </w:t>
      </w:r>
      <w:r w:rsidRPr="00150EDC">
        <w:rPr>
          <w:rFonts w:ascii="Calibri"/>
          <w:spacing w:val="-2"/>
          <w:sz w:val="24"/>
        </w:rPr>
        <w:t>Buyer.</w:t>
      </w:r>
    </w:p>
    <w:p w14:paraId="643CD0B0" w14:textId="77777777" w:rsidR="004C7180" w:rsidRPr="00150EDC" w:rsidRDefault="004C7180">
      <w:pPr>
        <w:pStyle w:val="BodyText"/>
        <w:spacing w:before="4"/>
        <w:rPr>
          <w:rFonts w:ascii="Calibri"/>
          <w:sz w:val="27"/>
        </w:rPr>
      </w:pPr>
    </w:p>
    <w:p w14:paraId="0C1EED72" w14:textId="77777777" w:rsidR="004C7180" w:rsidRPr="00150EDC" w:rsidRDefault="00CF0754" w:rsidP="00B320C7">
      <w:pPr>
        <w:pStyle w:val="ListParagraph"/>
        <w:numPr>
          <w:ilvl w:val="1"/>
          <w:numId w:val="182"/>
        </w:numPr>
        <w:tabs>
          <w:tab w:val="left" w:pos="1065"/>
        </w:tabs>
        <w:ind w:left="1065" w:hanging="565"/>
        <w:rPr>
          <w:rFonts w:ascii="Calibri"/>
          <w:sz w:val="24"/>
        </w:rPr>
      </w:pPr>
      <w:r w:rsidRPr="00150EDC">
        <w:rPr>
          <w:rFonts w:ascii="Calibri"/>
          <w:sz w:val="24"/>
        </w:rPr>
        <w:t>If</w:t>
      </w:r>
      <w:r w:rsidRPr="00150EDC">
        <w:rPr>
          <w:rFonts w:ascii="Calibri"/>
          <w:spacing w:val="-4"/>
          <w:sz w:val="24"/>
        </w:rPr>
        <w:t xml:space="preserve"> </w:t>
      </w:r>
      <w:r w:rsidRPr="00150EDC">
        <w:rPr>
          <w:rFonts w:ascii="Calibri"/>
          <w:sz w:val="24"/>
        </w:rPr>
        <w:t>the</w:t>
      </w:r>
      <w:r w:rsidRPr="00150EDC">
        <w:rPr>
          <w:rFonts w:ascii="Calibri"/>
          <w:spacing w:val="-2"/>
          <w:sz w:val="24"/>
        </w:rPr>
        <w:t xml:space="preserve"> </w:t>
      </w:r>
      <w:r w:rsidRPr="00150EDC">
        <w:rPr>
          <w:rFonts w:ascii="Calibri"/>
          <w:sz w:val="24"/>
        </w:rPr>
        <w:t>Variation</w:t>
      </w:r>
      <w:r w:rsidRPr="00150EDC">
        <w:rPr>
          <w:rFonts w:ascii="Calibri"/>
          <w:spacing w:val="-3"/>
          <w:sz w:val="24"/>
        </w:rPr>
        <w:t xml:space="preserve"> </w:t>
      </w:r>
      <w:r w:rsidRPr="00150EDC">
        <w:rPr>
          <w:rFonts w:ascii="Calibri"/>
          <w:sz w:val="24"/>
        </w:rPr>
        <w:t>cannot</w:t>
      </w:r>
      <w:r w:rsidRPr="00150EDC">
        <w:rPr>
          <w:rFonts w:ascii="Calibri"/>
          <w:spacing w:val="-2"/>
          <w:sz w:val="24"/>
        </w:rPr>
        <w:t xml:space="preserve"> </w:t>
      </w:r>
      <w:r w:rsidRPr="00150EDC">
        <w:rPr>
          <w:rFonts w:ascii="Calibri"/>
          <w:sz w:val="24"/>
        </w:rPr>
        <w:t>be</w:t>
      </w:r>
      <w:r w:rsidRPr="00150EDC">
        <w:rPr>
          <w:rFonts w:ascii="Calibri"/>
          <w:spacing w:val="-1"/>
          <w:sz w:val="24"/>
        </w:rPr>
        <w:t xml:space="preserve"> </w:t>
      </w:r>
      <w:r w:rsidRPr="00150EDC">
        <w:rPr>
          <w:rFonts w:ascii="Calibri"/>
          <w:sz w:val="24"/>
        </w:rPr>
        <w:t>agreed</w:t>
      </w:r>
      <w:r w:rsidRPr="00150EDC">
        <w:rPr>
          <w:rFonts w:ascii="Calibri"/>
          <w:spacing w:val="-2"/>
          <w:sz w:val="24"/>
        </w:rPr>
        <w:t xml:space="preserve"> </w:t>
      </w:r>
      <w:r w:rsidRPr="00150EDC">
        <w:rPr>
          <w:rFonts w:ascii="Calibri"/>
          <w:sz w:val="24"/>
        </w:rPr>
        <w:t>or</w:t>
      </w:r>
      <w:r w:rsidRPr="00150EDC">
        <w:rPr>
          <w:rFonts w:ascii="Calibri"/>
          <w:spacing w:val="-1"/>
          <w:sz w:val="24"/>
        </w:rPr>
        <w:t xml:space="preserve"> </w:t>
      </w:r>
      <w:r w:rsidRPr="00150EDC">
        <w:rPr>
          <w:rFonts w:ascii="Calibri"/>
          <w:sz w:val="24"/>
        </w:rPr>
        <w:t>resolved</w:t>
      </w:r>
      <w:r w:rsidRPr="00150EDC">
        <w:rPr>
          <w:rFonts w:ascii="Calibri"/>
          <w:spacing w:val="-3"/>
          <w:sz w:val="24"/>
        </w:rPr>
        <w:t xml:space="preserve"> </w:t>
      </w:r>
      <w:r w:rsidRPr="00150EDC">
        <w:rPr>
          <w:rFonts w:ascii="Calibri"/>
          <w:sz w:val="24"/>
        </w:rPr>
        <w:t>by</w:t>
      </w:r>
      <w:r w:rsidRPr="00150EDC">
        <w:rPr>
          <w:rFonts w:ascii="Calibri"/>
          <w:spacing w:val="-2"/>
          <w:sz w:val="24"/>
        </w:rPr>
        <w:t xml:space="preserve"> </w:t>
      </w:r>
      <w:r w:rsidRPr="00150EDC">
        <w:rPr>
          <w:rFonts w:ascii="Calibri"/>
          <w:sz w:val="24"/>
        </w:rPr>
        <w:t>the</w:t>
      </w:r>
      <w:r w:rsidRPr="00150EDC">
        <w:rPr>
          <w:rFonts w:ascii="Calibri"/>
          <w:spacing w:val="-1"/>
          <w:sz w:val="24"/>
        </w:rPr>
        <w:t xml:space="preserve"> </w:t>
      </w:r>
      <w:r w:rsidRPr="00150EDC">
        <w:rPr>
          <w:rFonts w:ascii="Calibri"/>
          <w:sz w:val="24"/>
        </w:rPr>
        <w:t>Parties,</w:t>
      </w:r>
      <w:r w:rsidRPr="00150EDC">
        <w:rPr>
          <w:rFonts w:ascii="Calibri"/>
          <w:spacing w:val="-3"/>
          <w:sz w:val="24"/>
        </w:rPr>
        <w:t xml:space="preserve"> </w:t>
      </w:r>
      <w:r w:rsidRPr="00150EDC">
        <w:rPr>
          <w:rFonts w:ascii="Calibri"/>
          <w:sz w:val="24"/>
        </w:rPr>
        <w:t>CCS</w:t>
      </w:r>
      <w:r w:rsidRPr="00150EDC">
        <w:rPr>
          <w:rFonts w:ascii="Calibri"/>
          <w:spacing w:val="-2"/>
          <w:sz w:val="24"/>
        </w:rPr>
        <w:t xml:space="preserve"> </w:t>
      </w:r>
      <w:r w:rsidRPr="00150EDC">
        <w:rPr>
          <w:rFonts w:ascii="Calibri"/>
          <w:sz w:val="24"/>
        </w:rPr>
        <w:t>or</w:t>
      </w:r>
      <w:r w:rsidRPr="00150EDC">
        <w:rPr>
          <w:rFonts w:ascii="Calibri"/>
          <w:spacing w:val="-3"/>
          <w:sz w:val="24"/>
        </w:rPr>
        <w:t xml:space="preserve"> </w:t>
      </w:r>
      <w:r w:rsidRPr="00150EDC">
        <w:rPr>
          <w:rFonts w:ascii="Calibri"/>
          <w:sz w:val="24"/>
        </w:rPr>
        <w:t>the</w:t>
      </w:r>
      <w:r w:rsidRPr="00150EDC">
        <w:rPr>
          <w:rFonts w:ascii="Calibri"/>
          <w:spacing w:val="-1"/>
          <w:sz w:val="24"/>
        </w:rPr>
        <w:t xml:space="preserve"> </w:t>
      </w:r>
      <w:r w:rsidRPr="00150EDC">
        <w:rPr>
          <w:rFonts w:ascii="Calibri"/>
          <w:sz w:val="24"/>
        </w:rPr>
        <w:t>Buyer</w:t>
      </w:r>
      <w:r w:rsidRPr="00150EDC">
        <w:rPr>
          <w:rFonts w:ascii="Calibri"/>
          <w:spacing w:val="-2"/>
          <w:sz w:val="24"/>
        </w:rPr>
        <w:t xml:space="preserve"> </w:t>
      </w:r>
      <w:r w:rsidRPr="00150EDC">
        <w:rPr>
          <w:rFonts w:ascii="Calibri"/>
          <w:sz w:val="24"/>
        </w:rPr>
        <w:t>can</w:t>
      </w:r>
      <w:r w:rsidRPr="00150EDC">
        <w:rPr>
          <w:rFonts w:ascii="Calibri"/>
          <w:spacing w:val="-1"/>
          <w:sz w:val="24"/>
        </w:rPr>
        <w:t xml:space="preserve"> </w:t>
      </w:r>
      <w:r w:rsidRPr="00150EDC">
        <w:rPr>
          <w:rFonts w:ascii="Calibri"/>
          <w:spacing w:val="-2"/>
          <w:sz w:val="24"/>
        </w:rPr>
        <w:t>either:</w:t>
      </w:r>
    </w:p>
    <w:p w14:paraId="1987EB69" w14:textId="77777777" w:rsidR="004C7180" w:rsidRPr="00150EDC" w:rsidRDefault="004C7180">
      <w:pPr>
        <w:pStyle w:val="BodyText"/>
        <w:spacing w:before="4"/>
        <w:rPr>
          <w:rFonts w:ascii="Calibri"/>
          <w:sz w:val="27"/>
        </w:rPr>
      </w:pPr>
    </w:p>
    <w:p w14:paraId="0E5EC914" w14:textId="77777777" w:rsidR="004C7180" w:rsidRPr="00150EDC" w:rsidRDefault="00CF0754" w:rsidP="00B320C7">
      <w:pPr>
        <w:pStyle w:val="ListParagraph"/>
        <w:numPr>
          <w:ilvl w:val="0"/>
          <w:numId w:val="152"/>
        </w:numPr>
        <w:tabs>
          <w:tab w:val="left" w:pos="1491"/>
        </w:tabs>
        <w:ind w:left="1491" w:hanging="425"/>
        <w:rPr>
          <w:rFonts w:ascii="Calibri"/>
          <w:sz w:val="24"/>
        </w:rPr>
      </w:pPr>
      <w:r w:rsidRPr="00150EDC">
        <w:rPr>
          <w:rFonts w:ascii="Calibri"/>
          <w:sz w:val="24"/>
        </w:rPr>
        <w:t>agree</w:t>
      </w:r>
      <w:r w:rsidRPr="00150EDC">
        <w:rPr>
          <w:rFonts w:ascii="Calibri"/>
          <w:spacing w:val="-4"/>
          <w:sz w:val="24"/>
        </w:rPr>
        <w:t xml:space="preserve"> </w:t>
      </w:r>
      <w:r w:rsidRPr="00150EDC">
        <w:rPr>
          <w:rFonts w:ascii="Calibri"/>
          <w:sz w:val="24"/>
        </w:rPr>
        <w:t>that</w:t>
      </w:r>
      <w:r w:rsidRPr="00150EDC">
        <w:rPr>
          <w:rFonts w:ascii="Calibri"/>
          <w:spacing w:val="-2"/>
          <w:sz w:val="24"/>
        </w:rPr>
        <w:t xml:space="preserve"> </w:t>
      </w:r>
      <w:r w:rsidRPr="00150EDC">
        <w:rPr>
          <w:rFonts w:ascii="Calibri"/>
          <w:sz w:val="24"/>
        </w:rPr>
        <w:t>the</w:t>
      </w:r>
      <w:r w:rsidRPr="00150EDC">
        <w:rPr>
          <w:rFonts w:ascii="Calibri"/>
          <w:spacing w:val="-5"/>
          <w:sz w:val="24"/>
        </w:rPr>
        <w:t xml:space="preserve"> </w:t>
      </w:r>
      <w:r w:rsidRPr="00150EDC">
        <w:rPr>
          <w:rFonts w:ascii="Calibri"/>
          <w:sz w:val="24"/>
        </w:rPr>
        <w:t>Contract</w:t>
      </w:r>
      <w:r w:rsidRPr="00150EDC">
        <w:rPr>
          <w:rFonts w:ascii="Calibri"/>
          <w:spacing w:val="-2"/>
          <w:sz w:val="24"/>
        </w:rPr>
        <w:t xml:space="preserve"> </w:t>
      </w:r>
      <w:r w:rsidRPr="00150EDC">
        <w:rPr>
          <w:rFonts w:ascii="Calibri"/>
          <w:sz w:val="24"/>
        </w:rPr>
        <w:t>continues</w:t>
      </w:r>
      <w:r w:rsidRPr="00150EDC">
        <w:rPr>
          <w:rFonts w:ascii="Calibri"/>
          <w:spacing w:val="-5"/>
          <w:sz w:val="24"/>
        </w:rPr>
        <w:t xml:space="preserve"> </w:t>
      </w:r>
      <w:r w:rsidRPr="00150EDC">
        <w:rPr>
          <w:rFonts w:ascii="Calibri"/>
          <w:sz w:val="24"/>
        </w:rPr>
        <w:t>without</w:t>
      </w:r>
      <w:r w:rsidRPr="00150EDC">
        <w:rPr>
          <w:rFonts w:ascii="Calibri"/>
          <w:spacing w:val="1"/>
          <w:sz w:val="24"/>
        </w:rPr>
        <w:t xml:space="preserve"> </w:t>
      </w:r>
      <w:r w:rsidRPr="00150EDC">
        <w:rPr>
          <w:rFonts w:ascii="Calibri"/>
          <w:sz w:val="24"/>
        </w:rPr>
        <w:t>the</w:t>
      </w:r>
      <w:r w:rsidRPr="00150EDC">
        <w:rPr>
          <w:rFonts w:ascii="Calibri"/>
          <w:spacing w:val="-4"/>
          <w:sz w:val="24"/>
        </w:rPr>
        <w:t xml:space="preserve"> </w:t>
      </w:r>
      <w:r w:rsidRPr="00150EDC">
        <w:rPr>
          <w:rFonts w:ascii="Calibri"/>
          <w:sz w:val="24"/>
        </w:rPr>
        <w:t>Variation;</w:t>
      </w:r>
      <w:r w:rsidRPr="00150EDC">
        <w:rPr>
          <w:rFonts w:ascii="Calibri"/>
          <w:spacing w:val="-2"/>
          <w:sz w:val="24"/>
        </w:rPr>
        <w:t xml:space="preserve"> </w:t>
      </w:r>
      <w:r w:rsidRPr="00150EDC">
        <w:rPr>
          <w:rFonts w:ascii="Calibri"/>
          <w:spacing w:val="-5"/>
          <w:sz w:val="24"/>
        </w:rPr>
        <w:t>or</w:t>
      </w:r>
    </w:p>
    <w:p w14:paraId="6554C500" w14:textId="77777777" w:rsidR="004C7180" w:rsidRPr="00150EDC" w:rsidRDefault="004C7180">
      <w:pPr>
        <w:rPr>
          <w:rFonts w:ascii="Calibri"/>
          <w:sz w:val="24"/>
        </w:rPr>
        <w:sectPr w:rsidR="004C7180" w:rsidRPr="00150EDC">
          <w:pgSz w:w="11910" w:h="16840"/>
          <w:pgMar w:top="620" w:right="0" w:bottom="2460" w:left="40" w:header="403" w:footer="2245" w:gutter="0"/>
          <w:cols w:space="720"/>
        </w:sectPr>
      </w:pPr>
    </w:p>
    <w:p w14:paraId="00168ECF" w14:textId="77777777" w:rsidR="004C7180" w:rsidRPr="00150EDC" w:rsidRDefault="004C7180">
      <w:pPr>
        <w:pStyle w:val="BodyText"/>
        <w:spacing w:before="11"/>
        <w:rPr>
          <w:rFonts w:ascii="Calibri"/>
          <w:sz w:val="17"/>
        </w:rPr>
      </w:pPr>
    </w:p>
    <w:p w14:paraId="7C714DB3" w14:textId="77777777" w:rsidR="004C7180" w:rsidRPr="00150EDC" w:rsidRDefault="00CF0754" w:rsidP="00B320C7">
      <w:pPr>
        <w:pStyle w:val="ListParagraph"/>
        <w:numPr>
          <w:ilvl w:val="0"/>
          <w:numId w:val="152"/>
        </w:numPr>
        <w:tabs>
          <w:tab w:val="left" w:pos="1491"/>
          <w:tab w:val="left" w:pos="1494"/>
        </w:tabs>
        <w:spacing w:before="52"/>
        <w:ind w:right="638"/>
        <w:rPr>
          <w:rFonts w:ascii="Calibri"/>
          <w:sz w:val="24"/>
        </w:rPr>
      </w:pPr>
      <w:r w:rsidRPr="00150EDC">
        <w:rPr>
          <w:rFonts w:ascii="Calibri"/>
          <w:sz w:val="24"/>
        </w:rPr>
        <w:t>terminate the affected Contract, unless in the case of an Order Contract, the Supplier has already provided</w:t>
      </w:r>
      <w:r w:rsidRPr="00150EDC">
        <w:rPr>
          <w:rFonts w:ascii="Calibri"/>
          <w:spacing w:val="-4"/>
          <w:sz w:val="24"/>
        </w:rPr>
        <w:t xml:space="preserve"> </w:t>
      </w:r>
      <w:r w:rsidRPr="00150EDC">
        <w:rPr>
          <w:rFonts w:ascii="Calibri"/>
          <w:sz w:val="24"/>
        </w:rPr>
        <w:t>part</w:t>
      </w:r>
      <w:r w:rsidRPr="00150EDC">
        <w:rPr>
          <w:rFonts w:ascii="Calibri"/>
          <w:spacing w:val="-3"/>
          <w:sz w:val="24"/>
        </w:rPr>
        <w:t xml:space="preserve"> </w:t>
      </w:r>
      <w:r w:rsidRPr="00150EDC">
        <w:rPr>
          <w:rFonts w:ascii="Calibri"/>
          <w:sz w:val="24"/>
        </w:rPr>
        <w:t>or</w:t>
      </w:r>
      <w:r w:rsidRPr="00150EDC">
        <w:rPr>
          <w:rFonts w:ascii="Calibri"/>
          <w:spacing w:val="-4"/>
          <w:sz w:val="24"/>
        </w:rPr>
        <w:t xml:space="preserve"> </w:t>
      </w:r>
      <w:r w:rsidRPr="00150EDC">
        <w:rPr>
          <w:rFonts w:ascii="Calibri"/>
          <w:sz w:val="24"/>
        </w:rPr>
        <w:t>all</w:t>
      </w:r>
      <w:r w:rsidRPr="00150EDC">
        <w:rPr>
          <w:rFonts w:ascii="Calibri"/>
          <w:spacing w:val="-2"/>
          <w:sz w:val="24"/>
        </w:rPr>
        <w:t xml:space="preserve"> </w:t>
      </w:r>
      <w:r w:rsidRPr="00150EDC">
        <w:rPr>
          <w:rFonts w:ascii="Calibri"/>
          <w:sz w:val="24"/>
        </w:rPr>
        <w:t>of</w:t>
      </w:r>
      <w:r w:rsidRPr="00150EDC">
        <w:rPr>
          <w:rFonts w:ascii="Calibri"/>
          <w:spacing w:val="-4"/>
          <w:sz w:val="24"/>
        </w:rPr>
        <w:t xml:space="preserve"> </w:t>
      </w:r>
      <w:r w:rsidRPr="00150EDC">
        <w:rPr>
          <w:rFonts w:ascii="Calibri"/>
          <w:sz w:val="24"/>
        </w:rPr>
        <w:t>the</w:t>
      </w:r>
      <w:r w:rsidRPr="00150EDC">
        <w:rPr>
          <w:rFonts w:ascii="Calibri"/>
          <w:spacing w:val="-2"/>
          <w:sz w:val="24"/>
        </w:rPr>
        <w:t xml:space="preserve"> </w:t>
      </w:r>
      <w:r w:rsidRPr="00150EDC">
        <w:rPr>
          <w:rFonts w:ascii="Calibri"/>
          <w:sz w:val="24"/>
        </w:rPr>
        <w:t>provision</w:t>
      </w:r>
      <w:r w:rsidRPr="00150EDC">
        <w:rPr>
          <w:rFonts w:ascii="Calibri"/>
          <w:spacing w:val="-3"/>
          <w:sz w:val="24"/>
        </w:rPr>
        <w:t xml:space="preserve"> </w:t>
      </w:r>
      <w:r w:rsidRPr="00150EDC">
        <w:rPr>
          <w:rFonts w:ascii="Calibri"/>
          <w:sz w:val="24"/>
        </w:rPr>
        <w:t>of</w:t>
      </w:r>
      <w:r w:rsidRPr="00150EDC">
        <w:rPr>
          <w:rFonts w:ascii="Calibri"/>
          <w:spacing w:val="-4"/>
          <w:sz w:val="24"/>
        </w:rPr>
        <w:t xml:space="preserve"> </w:t>
      </w:r>
      <w:r w:rsidRPr="00150EDC">
        <w:rPr>
          <w:rFonts w:ascii="Calibri"/>
          <w:sz w:val="24"/>
        </w:rPr>
        <w:t>the</w:t>
      </w:r>
      <w:r w:rsidRPr="00150EDC">
        <w:rPr>
          <w:rFonts w:ascii="Calibri"/>
          <w:spacing w:val="-4"/>
          <w:sz w:val="24"/>
        </w:rPr>
        <w:t xml:space="preserve"> </w:t>
      </w:r>
      <w:r w:rsidRPr="00150EDC">
        <w:rPr>
          <w:rFonts w:ascii="Calibri"/>
          <w:sz w:val="24"/>
        </w:rPr>
        <w:t>Deliverables,</w:t>
      </w:r>
      <w:r w:rsidRPr="00150EDC">
        <w:rPr>
          <w:rFonts w:ascii="Calibri"/>
          <w:spacing w:val="-2"/>
          <w:sz w:val="24"/>
        </w:rPr>
        <w:t xml:space="preserve"> </w:t>
      </w:r>
      <w:r w:rsidRPr="00150EDC">
        <w:rPr>
          <w:rFonts w:ascii="Calibri"/>
          <w:sz w:val="24"/>
        </w:rPr>
        <w:t>or</w:t>
      </w:r>
      <w:r w:rsidRPr="00150EDC">
        <w:rPr>
          <w:rFonts w:ascii="Calibri"/>
          <w:spacing w:val="-2"/>
          <w:sz w:val="24"/>
        </w:rPr>
        <w:t xml:space="preserve"> </w:t>
      </w:r>
      <w:r w:rsidRPr="00150EDC">
        <w:rPr>
          <w:rFonts w:ascii="Calibri"/>
          <w:sz w:val="24"/>
        </w:rPr>
        <w:t>where</w:t>
      </w:r>
      <w:r w:rsidRPr="00150EDC">
        <w:rPr>
          <w:rFonts w:ascii="Calibri"/>
          <w:spacing w:val="-2"/>
          <w:sz w:val="24"/>
        </w:rPr>
        <w:t xml:space="preserve"> </w:t>
      </w:r>
      <w:r w:rsidRPr="00150EDC">
        <w:rPr>
          <w:rFonts w:ascii="Calibri"/>
          <w:sz w:val="24"/>
        </w:rPr>
        <w:t>the</w:t>
      </w:r>
      <w:r w:rsidRPr="00150EDC">
        <w:rPr>
          <w:rFonts w:ascii="Calibri"/>
          <w:spacing w:val="-5"/>
          <w:sz w:val="24"/>
        </w:rPr>
        <w:t xml:space="preserve"> </w:t>
      </w:r>
      <w:r w:rsidRPr="00150EDC">
        <w:rPr>
          <w:rFonts w:ascii="Calibri"/>
          <w:sz w:val="24"/>
        </w:rPr>
        <w:t>Supplier</w:t>
      </w:r>
      <w:r w:rsidRPr="00150EDC">
        <w:rPr>
          <w:rFonts w:ascii="Calibri"/>
          <w:spacing w:val="-2"/>
          <w:sz w:val="24"/>
        </w:rPr>
        <w:t xml:space="preserve"> </w:t>
      </w:r>
      <w:r w:rsidRPr="00150EDC">
        <w:rPr>
          <w:rFonts w:ascii="Calibri"/>
          <w:sz w:val="24"/>
        </w:rPr>
        <w:t>can</w:t>
      </w:r>
      <w:r w:rsidRPr="00150EDC">
        <w:rPr>
          <w:rFonts w:ascii="Calibri"/>
          <w:spacing w:val="-4"/>
          <w:sz w:val="24"/>
        </w:rPr>
        <w:t xml:space="preserve"> </w:t>
      </w:r>
      <w:r w:rsidRPr="00150EDC">
        <w:rPr>
          <w:rFonts w:ascii="Calibri"/>
          <w:sz w:val="24"/>
        </w:rPr>
        <w:t>show</w:t>
      </w:r>
      <w:r w:rsidRPr="00150EDC">
        <w:rPr>
          <w:rFonts w:ascii="Calibri"/>
          <w:spacing w:val="-3"/>
          <w:sz w:val="24"/>
        </w:rPr>
        <w:t xml:space="preserve"> </w:t>
      </w:r>
      <w:r w:rsidRPr="00150EDC">
        <w:rPr>
          <w:rFonts w:ascii="Calibri"/>
          <w:sz w:val="24"/>
        </w:rPr>
        <w:t>evidence</w:t>
      </w:r>
      <w:r w:rsidRPr="00150EDC">
        <w:rPr>
          <w:rFonts w:ascii="Calibri"/>
          <w:spacing w:val="-5"/>
          <w:sz w:val="24"/>
        </w:rPr>
        <w:t xml:space="preserve"> </w:t>
      </w:r>
      <w:r w:rsidRPr="00150EDC">
        <w:rPr>
          <w:rFonts w:ascii="Calibri"/>
          <w:sz w:val="24"/>
        </w:rPr>
        <w:t>of substantial work being carried out to provide them; or</w:t>
      </w:r>
    </w:p>
    <w:p w14:paraId="21BEB634" w14:textId="77777777" w:rsidR="004C7180" w:rsidRPr="00150EDC" w:rsidRDefault="00CF0754" w:rsidP="00B320C7">
      <w:pPr>
        <w:pStyle w:val="ListParagraph"/>
        <w:numPr>
          <w:ilvl w:val="0"/>
          <w:numId w:val="152"/>
        </w:numPr>
        <w:tabs>
          <w:tab w:val="left" w:pos="1492"/>
        </w:tabs>
        <w:spacing w:before="21"/>
        <w:ind w:left="1492" w:hanging="426"/>
        <w:rPr>
          <w:rFonts w:ascii="Calibri"/>
          <w:sz w:val="24"/>
        </w:rPr>
      </w:pPr>
      <w:r w:rsidRPr="00150EDC">
        <w:rPr>
          <w:rFonts w:ascii="Calibri"/>
          <w:sz w:val="24"/>
        </w:rPr>
        <w:t>refer</w:t>
      </w:r>
      <w:r w:rsidRPr="00150EDC">
        <w:rPr>
          <w:rFonts w:ascii="Calibri"/>
          <w:spacing w:val="-7"/>
          <w:sz w:val="24"/>
        </w:rPr>
        <w:t xml:space="preserve"> </w:t>
      </w:r>
      <w:r w:rsidRPr="00150EDC">
        <w:rPr>
          <w:rFonts w:ascii="Calibri"/>
          <w:sz w:val="24"/>
        </w:rPr>
        <w:t>the</w:t>
      </w:r>
      <w:r w:rsidRPr="00150EDC">
        <w:rPr>
          <w:rFonts w:ascii="Calibri"/>
          <w:spacing w:val="-4"/>
          <w:sz w:val="24"/>
        </w:rPr>
        <w:t xml:space="preserve"> </w:t>
      </w:r>
      <w:r w:rsidRPr="00150EDC">
        <w:rPr>
          <w:rFonts w:ascii="Calibri"/>
          <w:sz w:val="24"/>
        </w:rPr>
        <w:t>Dispute</w:t>
      </w:r>
      <w:r w:rsidRPr="00150EDC">
        <w:rPr>
          <w:rFonts w:ascii="Calibri"/>
          <w:spacing w:val="-5"/>
          <w:sz w:val="24"/>
        </w:rPr>
        <w:t xml:space="preserve"> </w:t>
      </w:r>
      <w:r w:rsidRPr="00150EDC">
        <w:rPr>
          <w:rFonts w:ascii="Calibri"/>
          <w:sz w:val="24"/>
        </w:rPr>
        <w:t>to</w:t>
      </w:r>
      <w:r w:rsidRPr="00150EDC">
        <w:rPr>
          <w:rFonts w:ascii="Calibri"/>
          <w:spacing w:val="-5"/>
          <w:sz w:val="24"/>
        </w:rPr>
        <w:t xml:space="preserve"> </w:t>
      </w:r>
      <w:r w:rsidRPr="00150EDC">
        <w:rPr>
          <w:rFonts w:ascii="Calibri"/>
          <w:sz w:val="24"/>
        </w:rPr>
        <w:t>be</w:t>
      </w:r>
      <w:r w:rsidRPr="00150EDC">
        <w:rPr>
          <w:rFonts w:ascii="Calibri"/>
          <w:spacing w:val="-2"/>
          <w:sz w:val="24"/>
        </w:rPr>
        <w:t xml:space="preserve"> </w:t>
      </w:r>
      <w:r w:rsidRPr="00150EDC">
        <w:rPr>
          <w:rFonts w:ascii="Calibri"/>
          <w:sz w:val="24"/>
        </w:rPr>
        <w:t>resolved</w:t>
      </w:r>
      <w:r w:rsidRPr="00150EDC">
        <w:rPr>
          <w:rFonts w:ascii="Calibri"/>
          <w:spacing w:val="-4"/>
          <w:sz w:val="24"/>
        </w:rPr>
        <w:t xml:space="preserve"> </w:t>
      </w:r>
      <w:r w:rsidRPr="00150EDC">
        <w:rPr>
          <w:rFonts w:ascii="Calibri"/>
          <w:sz w:val="24"/>
        </w:rPr>
        <w:t>using</w:t>
      </w:r>
      <w:r w:rsidRPr="00150EDC">
        <w:rPr>
          <w:rFonts w:ascii="Calibri"/>
          <w:spacing w:val="-5"/>
          <w:sz w:val="24"/>
        </w:rPr>
        <w:t xml:space="preserve"> </w:t>
      </w:r>
      <w:r w:rsidRPr="00150EDC">
        <w:rPr>
          <w:rFonts w:ascii="Calibri"/>
          <w:sz w:val="24"/>
        </w:rPr>
        <w:t>Clause</w:t>
      </w:r>
      <w:r w:rsidRPr="00150EDC">
        <w:rPr>
          <w:rFonts w:ascii="Calibri"/>
          <w:spacing w:val="-5"/>
          <w:sz w:val="24"/>
        </w:rPr>
        <w:t xml:space="preserve"> </w:t>
      </w:r>
      <w:r w:rsidRPr="00150EDC">
        <w:rPr>
          <w:rFonts w:ascii="Calibri"/>
          <w:sz w:val="24"/>
        </w:rPr>
        <w:t>34</w:t>
      </w:r>
      <w:r w:rsidRPr="00150EDC">
        <w:rPr>
          <w:rFonts w:ascii="Calibri"/>
          <w:spacing w:val="-2"/>
          <w:sz w:val="24"/>
        </w:rPr>
        <w:t xml:space="preserve"> </w:t>
      </w:r>
      <w:r w:rsidRPr="00150EDC">
        <w:rPr>
          <w:rFonts w:ascii="Calibri"/>
          <w:sz w:val="24"/>
        </w:rPr>
        <w:t>(Resolving</w:t>
      </w:r>
      <w:r w:rsidRPr="00150EDC">
        <w:rPr>
          <w:rFonts w:ascii="Calibri"/>
          <w:spacing w:val="-3"/>
          <w:sz w:val="24"/>
        </w:rPr>
        <w:t xml:space="preserve"> </w:t>
      </w:r>
      <w:r w:rsidRPr="00150EDC">
        <w:rPr>
          <w:rFonts w:ascii="Calibri"/>
          <w:spacing w:val="-2"/>
          <w:sz w:val="24"/>
        </w:rPr>
        <w:t>Disputes).</w:t>
      </w:r>
    </w:p>
    <w:p w14:paraId="2C60B8D7" w14:textId="77777777" w:rsidR="004C7180" w:rsidRPr="00150EDC" w:rsidRDefault="004C7180">
      <w:pPr>
        <w:pStyle w:val="BodyText"/>
        <w:spacing w:before="4"/>
        <w:rPr>
          <w:rFonts w:ascii="Calibri"/>
          <w:sz w:val="27"/>
        </w:rPr>
      </w:pPr>
    </w:p>
    <w:p w14:paraId="159FE2AE" w14:textId="77777777" w:rsidR="004C7180" w:rsidRPr="00150EDC" w:rsidRDefault="00CF0754" w:rsidP="00B320C7">
      <w:pPr>
        <w:pStyle w:val="ListParagraph"/>
        <w:numPr>
          <w:ilvl w:val="1"/>
          <w:numId w:val="182"/>
        </w:numPr>
        <w:tabs>
          <w:tab w:val="left" w:pos="1065"/>
        </w:tabs>
        <w:ind w:left="1065" w:hanging="565"/>
        <w:rPr>
          <w:rFonts w:ascii="Calibri"/>
          <w:sz w:val="24"/>
        </w:rPr>
      </w:pPr>
      <w:r w:rsidRPr="00150EDC">
        <w:rPr>
          <w:rFonts w:ascii="Calibri"/>
          <w:sz w:val="24"/>
        </w:rPr>
        <w:t>CCS</w:t>
      </w:r>
      <w:r w:rsidRPr="00150EDC">
        <w:rPr>
          <w:rFonts w:ascii="Calibri"/>
          <w:spacing w:val="-5"/>
          <w:sz w:val="24"/>
        </w:rPr>
        <w:t xml:space="preserve"> </w:t>
      </w:r>
      <w:r w:rsidRPr="00150EDC">
        <w:rPr>
          <w:rFonts w:ascii="Calibri"/>
          <w:sz w:val="24"/>
        </w:rPr>
        <w:t>and</w:t>
      </w:r>
      <w:r w:rsidRPr="00150EDC">
        <w:rPr>
          <w:rFonts w:ascii="Calibri"/>
          <w:spacing w:val="-3"/>
          <w:sz w:val="24"/>
        </w:rPr>
        <w:t xml:space="preserve"> </w:t>
      </w:r>
      <w:r w:rsidRPr="00150EDC">
        <w:rPr>
          <w:rFonts w:ascii="Calibri"/>
          <w:sz w:val="24"/>
        </w:rPr>
        <w:t>the</w:t>
      </w:r>
      <w:r w:rsidRPr="00150EDC">
        <w:rPr>
          <w:rFonts w:ascii="Calibri"/>
          <w:spacing w:val="-4"/>
          <w:sz w:val="24"/>
        </w:rPr>
        <w:t xml:space="preserve"> </w:t>
      </w:r>
      <w:r w:rsidRPr="00150EDC">
        <w:rPr>
          <w:rFonts w:ascii="Calibri"/>
          <w:sz w:val="24"/>
        </w:rPr>
        <w:t>Buyer</w:t>
      </w:r>
      <w:r w:rsidRPr="00150EDC">
        <w:rPr>
          <w:rFonts w:ascii="Calibri"/>
          <w:spacing w:val="-2"/>
          <w:sz w:val="24"/>
        </w:rPr>
        <w:t xml:space="preserve"> </w:t>
      </w:r>
      <w:r w:rsidRPr="00150EDC">
        <w:rPr>
          <w:rFonts w:ascii="Calibri"/>
          <w:sz w:val="24"/>
        </w:rPr>
        <w:t>are</w:t>
      </w:r>
      <w:r w:rsidRPr="00150EDC">
        <w:rPr>
          <w:rFonts w:ascii="Calibri"/>
          <w:spacing w:val="-3"/>
          <w:sz w:val="24"/>
        </w:rPr>
        <w:t xml:space="preserve"> </w:t>
      </w:r>
      <w:r w:rsidRPr="00150EDC">
        <w:rPr>
          <w:rFonts w:ascii="Calibri"/>
          <w:sz w:val="24"/>
        </w:rPr>
        <w:t>not required</w:t>
      </w:r>
      <w:r w:rsidRPr="00150EDC">
        <w:rPr>
          <w:rFonts w:ascii="Calibri"/>
          <w:spacing w:val="-3"/>
          <w:sz w:val="24"/>
        </w:rPr>
        <w:t xml:space="preserve"> </w:t>
      </w:r>
      <w:r w:rsidRPr="00150EDC">
        <w:rPr>
          <w:rFonts w:ascii="Calibri"/>
          <w:sz w:val="24"/>
        </w:rPr>
        <w:t>to</w:t>
      </w:r>
      <w:r w:rsidRPr="00150EDC">
        <w:rPr>
          <w:rFonts w:ascii="Calibri"/>
          <w:spacing w:val="-5"/>
          <w:sz w:val="24"/>
        </w:rPr>
        <w:t xml:space="preserve"> </w:t>
      </w:r>
      <w:r w:rsidRPr="00150EDC">
        <w:rPr>
          <w:rFonts w:ascii="Calibri"/>
          <w:sz w:val="24"/>
        </w:rPr>
        <w:t>accept</w:t>
      </w:r>
      <w:r w:rsidRPr="00150EDC">
        <w:rPr>
          <w:rFonts w:ascii="Calibri"/>
          <w:spacing w:val="-1"/>
          <w:sz w:val="24"/>
        </w:rPr>
        <w:t xml:space="preserve"> </w:t>
      </w:r>
      <w:r w:rsidRPr="00150EDC">
        <w:rPr>
          <w:rFonts w:ascii="Calibri"/>
          <w:sz w:val="24"/>
        </w:rPr>
        <w:t>a</w:t>
      </w:r>
      <w:r w:rsidRPr="00150EDC">
        <w:rPr>
          <w:rFonts w:ascii="Calibri"/>
          <w:spacing w:val="-4"/>
          <w:sz w:val="24"/>
        </w:rPr>
        <w:t xml:space="preserve"> </w:t>
      </w:r>
      <w:r w:rsidRPr="00150EDC">
        <w:rPr>
          <w:rFonts w:ascii="Calibri"/>
          <w:sz w:val="24"/>
        </w:rPr>
        <w:t>Variation</w:t>
      </w:r>
      <w:r w:rsidRPr="00150EDC">
        <w:rPr>
          <w:rFonts w:ascii="Calibri"/>
          <w:spacing w:val="-1"/>
          <w:sz w:val="24"/>
        </w:rPr>
        <w:t xml:space="preserve"> </w:t>
      </w:r>
      <w:r w:rsidRPr="00150EDC">
        <w:rPr>
          <w:rFonts w:ascii="Calibri"/>
          <w:sz w:val="24"/>
        </w:rPr>
        <w:t>request</w:t>
      </w:r>
      <w:r w:rsidRPr="00150EDC">
        <w:rPr>
          <w:rFonts w:ascii="Calibri"/>
          <w:spacing w:val="-1"/>
          <w:sz w:val="24"/>
        </w:rPr>
        <w:t xml:space="preserve"> </w:t>
      </w:r>
      <w:r w:rsidRPr="00150EDC">
        <w:rPr>
          <w:rFonts w:ascii="Calibri"/>
          <w:sz w:val="24"/>
        </w:rPr>
        <w:t>made</w:t>
      </w:r>
      <w:r w:rsidRPr="00150EDC">
        <w:rPr>
          <w:rFonts w:ascii="Calibri"/>
          <w:spacing w:val="-4"/>
          <w:sz w:val="24"/>
        </w:rPr>
        <w:t xml:space="preserve"> </w:t>
      </w:r>
      <w:r w:rsidRPr="00150EDC">
        <w:rPr>
          <w:rFonts w:ascii="Calibri"/>
          <w:sz w:val="24"/>
        </w:rPr>
        <w:t>by</w:t>
      </w:r>
      <w:r w:rsidRPr="00150EDC">
        <w:rPr>
          <w:rFonts w:ascii="Calibri"/>
          <w:spacing w:val="-5"/>
          <w:sz w:val="24"/>
        </w:rPr>
        <w:t xml:space="preserve"> </w:t>
      </w:r>
      <w:r w:rsidRPr="00150EDC">
        <w:rPr>
          <w:rFonts w:ascii="Calibri"/>
          <w:sz w:val="24"/>
        </w:rPr>
        <w:t>the</w:t>
      </w:r>
      <w:r w:rsidRPr="00150EDC">
        <w:rPr>
          <w:rFonts w:ascii="Calibri"/>
          <w:spacing w:val="-1"/>
          <w:sz w:val="24"/>
        </w:rPr>
        <w:t xml:space="preserve"> </w:t>
      </w:r>
      <w:r w:rsidRPr="00150EDC">
        <w:rPr>
          <w:rFonts w:ascii="Calibri"/>
          <w:spacing w:val="-2"/>
          <w:sz w:val="24"/>
        </w:rPr>
        <w:t>Supplier.</w:t>
      </w:r>
    </w:p>
    <w:p w14:paraId="31C7E722" w14:textId="77777777" w:rsidR="004C7180" w:rsidRPr="00150EDC" w:rsidRDefault="004C7180">
      <w:pPr>
        <w:pStyle w:val="BodyText"/>
        <w:rPr>
          <w:rFonts w:ascii="Calibri"/>
        </w:rPr>
      </w:pPr>
    </w:p>
    <w:p w14:paraId="5CFAC67C" w14:textId="77777777" w:rsidR="004C7180" w:rsidRPr="00150EDC" w:rsidRDefault="00CF0754" w:rsidP="00B320C7">
      <w:pPr>
        <w:pStyle w:val="ListParagraph"/>
        <w:numPr>
          <w:ilvl w:val="1"/>
          <w:numId w:val="182"/>
        </w:numPr>
        <w:tabs>
          <w:tab w:val="left" w:pos="1064"/>
          <w:tab w:val="left" w:pos="1066"/>
        </w:tabs>
        <w:ind w:right="830"/>
        <w:rPr>
          <w:rFonts w:ascii="Calibri"/>
          <w:sz w:val="24"/>
        </w:rPr>
      </w:pPr>
      <w:r w:rsidRPr="00150EDC">
        <w:rPr>
          <w:rFonts w:ascii="Calibri"/>
          <w:sz w:val="24"/>
        </w:rPr>
        <w:t>If</w:t>
      </w:r>
      <w:r w:rsidRPr="00150EDC">
        <w:rPr>
          <w:rFonts w:ascii="Calibri"/>
          <w:spacing w:val="-1"/>
          <w:sz w:val="24"/>
        </w:rPr>
        <w:t xml:space="preserve"> </w:t>
      </w:r>
      <w:r w:rsidRPr="00150EDC">
        <w:rPr>
          <w:rFonts w:ascii="Calibri"/>
          <w:sz w:val="24"/>
        </w:rPr>
        <w:t>there</w:t>
      </w:r>
      <w:r w:rsidRPr="00150EDC">
        <w:rPr>
          <w:rFonts w:ascii="Calibri"/>
          <w:spacing w:val="-4"/>
          <w:sz w:val="24"/>
        </w:rPr>
        <w:t xml:space="preserve"> </w:t>
      </w:r>
      <w:r w:rsidRPr="00150EDC">
        <w:rPr>
          <w:rFonts w:ascii="Calibri"/>
          <w:sz w:val="24"/>
        </w:rPr>
        <w:t>is</w:t>
      </w:r>
      <w:r w:rsidRPr="00150EDC">
        <w:rPr>
          <w:rFonts w:ascii="Calibri"/>
          <w:spacing w:val="-2"/>
          <w:sz w:val="24"/>
        </w:rPr>
        <w:t xml:space="preserve"> </w:t>
      </w:r>
      <w:r w:rsidRPr="00150EDC">
        <w:rPr>
          <w:rFonts w:ascii="Calibri"/>
          <w:sz w:val="24"/>
        </w:rPr>
        <w:t>a</w:t>
      </w:r>
      <w:r w:rsidRPr="00150EDC">
        <w:rPr>
          <w:rFonts w:ascii="Calibri"/>
          <w:spacing w:val="-2"/>
          <w:sz w:val="24"/>
        </w:rPr>
        <w:t xml:space="preserve"> </w:t>
      </w:r>
      <w:r w:rsidRPr="00150EDC">
        <w:rPr>
          <w:rFonts w:ascii="Calibri"/>
          <w:sz w:val="24"/>
        </w:rPr>
        <w:t>General</w:t>
      </w:r>
      <w:r w:rsidRPr="00150EDC">
        <w:rPr>
          <w:rFonts w:ascii="Calibri"/>
          <w:spacing w:val="-1"/>
          <w:sz w:val="24"/>
        </w:rPr>
        <w:t xml:space="preserve"> </w:t>
      </w:r>
      <w:r w:rsidRPr="00150EDC">
        <w:rPr>
          <w:rFonts w:ascii="Calibri"/>
          <w:sz w:val="24"/>
        </w:rPr>
        <w:t>Change</w:t>
      </w:r>
      <w:r w:rsidRPr="00150EDC">
        <w:rPr>
          <w:rFonts w:ascii="Calibri"/>
          <w:spacing w:val="-1"/>
          <w:sz w:val="24"/>
        </w:rPr>
        <w:t xml:space="preserve"> </w:t>
      </w:r>
      <w:r w:rsidRPr="00150EDC">
        <w:rPr>
          <w:rFonts w:ascii="Calibri"/>
          <w:sz w:val="24"/>
        </w:rPr>
        <w:t>in</w:t>
      </w:r>
      <w:r w:rsidRPr="00150EDC">
        <w:rPr>
          <w:rFonts w:ascii="Calibri"/>
          <w:spacing w:val="-1"/>
          <w:sz w:val="24"/>
        </w:rPr>
        <w:t xml:space="preserve"> </w:t>
      </w:r>
      <w:r w:rsidRPr="00150EDC">
        <w:rPr>
          <w:rFonts w:ascii="Calibri"/>
          <w:sz w:val="24"/>
        </w:rPr>
        <w:t>Law,</w:t>
      </w:r>
      <w:r w:rsidRPr="00150EDC">
        <w:rPr>
          <w:rFonts w:ascii="Calibri"/>
          <w:spacing w:val="-2"/>
          <w:sz w:val="24"/>
        </w:rPr>
        <w:t xml:space="preserve"> </w:t>
      </w:r>
      <w:r w:rsidRPr="00150EDC">
        <w:rPr>
          <w:rFonts w:ascii="Calibri"/>
          <w:sz w:val="24"/>
        </w:rPr>
        <w:t>the</w:t>
      </w:r>
      <w:r w:rsidRPr="00150EDC">
        <w:rPr>
          <w:rFonts w:ascii="Calibri"/>
          <w:spacing w:val="-3"/>
          <w:sz w:val="24"/>
        </w:rPr>
        <w:t xml:space="preserve"> </w:t>
      </w:r>
      <w:r w:rsidRPr="00150EDC">
        <w:rPr>
          <w:rFonts w:ascii="Calibri"/>
          <w:sz w:val="24"/>
        </w:rPr>
        <w:t>Supplier</w:t>
      </w:r>
      <w:r w:rsidRPr="00150EDC">
        <w:rPr>
          <w:rFonts w:ascii="Calibri"/>
          <w:spacing w:val="-6"/>
          <w:sz w:val="24"/>
        </w:rPr>
        <w:t xml:space="preserve"> </w:t>
      </w:r>
      <w:r w:rsidRPr="00150EDC">
        <w:rPr>
          <w:rFonts w:ascii="Calibri"/>
          <w:sz w:val="24"/>
        </w:rPr>
        <w:t>must</w:t>
      </w:r>
      <w:r w:rsidRPr="00150EDC">
        <w:rPr>
          <w:rFonts w:ascii="Calibri"/>
          <w:spacing w:val="-3"/>
          <w:sz w:val="24"/>
        </w:rPr>
        <w:t xml:space="preserve"> </w:t>
      </w:r>
      <w:r w:rsidRPr="00150EDC">
        <w:rPr>
          <w:rFonts w:ascii="Calibri"/>
          <w:sz w:val="24"/>
        </w:rPr>
        <w:t>bear</w:t>
      </w:r>
      <w:r w:rsidRPr="00150EDC">
        <w:rPr>
          <w:rFonts w:ascii="Calibri"/>
          <w:spacing w:val="-4"/>
          <w:sz w:val="24"/>
        </w:rPr>
        <w:t xml:space="preserve"> </w:t>
      </w:r>
      <w:r w:rsidRPr="00150EDC">
        <w:rPr>
          <w:rFonts w:ascii="Calibri"/>
          <w:sz w:val="24"/>
        </w:rPr>
        <w:t>the</w:t>
      </w:r>
      <w:r w:rsidRPr="00150EDC">
        <w:rPr>
          <w:rFonts w:ascii="Calibri"/>
          <w:spacing w:val="-1"/>
          <w:sz w:val="24"/>
        </w:rPr>
        <w:t xml:space="preserve"> </w:t>
      </w:r>
      <w:r w:rsidRPr="00150EDC">
        <w:rPr>
          <w:rFonts w:ascii="Calibri"/>
          <w:sz w:val="24"/>
        </w:rPr>
        <w:t>risk</w:t>
      </w:r>
      <w:r w:rsidRPr="00150EDC">
        <w:rPr>
          <w:rFonts w:ascii="Calibri"/>
          <w:spacing w:val="-5"/>
          <w:sz w:val="24"/>
        </w:rPr>
        <w:t xml:space="preserve"> </w:t>
      </w:r>
      <w:r w:rsidRPr="00150EDC">
        <w:rPr>
          <w:rFonts w:ascii="Calibri"/>
          <w:sz w:val="24"/>
        </w:rPr>
        <w:t>of</w:t>
      </w:r>
      <w:r w:rsidRPr="00150EDC">
        <w:rPr>
          <w:rFonts w:ascii="Calibri"/>
          <w:spacing w:val="-2"/>
          <w:sz w:val="24"/>
        </w:rPr>
        <w:t xml:space="preserve"> </w:t>
      </w:r>
      <w:r w:rsidRPr="00150EDC">
        <w:rPr>
          <w:rFonts w:ascii="Calibri"/>
          <w:sz w:val="24"/>
        </w:rPr>
        <w:t>the change</w:t>
      </w:r>
      <w:r w:rsidRPr="00150EDC">
        <w:rPr>
          <w:rFonts w:ascii="Calibri"/>
          <w:spacing w:val="-1"/>
          <w:sz w:val="24"/>
        </w:rPr>
        <w:t xml:space="preserve"> </w:t>
      </w:r>
      <w:r w:rsidRPr="00150EDC">
        <w:rPr>
          <w:rFonts w:ascii="Calibri"/>
          <w:sz w:val="24"/>
        </w:rPr>
        <w:t>and</w:t>
      </w:r>
      <w:r w:rsidRPr="00150EDC">
        <w:rPr>
          <w:rFonts w:ascii="Calibri"/>
          <w:spacing w:val="-3"/>
          <w:sz w:val="24"/>
        </w:rPr>
        <w:t xml:space="preserve"> </w:t>
      </w:r>
      <w:r w:rsidRPr="00150EDC">
        <w:rPr>
          <w:rFonts w:ascii="Calibri"/>
          <w:sz w:val="24"/>
        </w:rPr>
        <w:t>is</w:t>
      </w:r>
      <w:r w:rsidRPr="00150EDC">
        <w:rPr>
          <w:rFonts w:ascii="Calibri"/>
          <w:spacing w:val="-2"/>
          <w:sz w:val="24"/>
        </w:rPr>
        <w:t xml:space="preserve"> </w:t>
      </w:r>
      <w:r w:rsidRPr="00150EDC">
        <w:rPr>
          <w:rFonts w:ascii="Calibri"/>
          <w:sz w:val="24"/>
        </w:rPr>
        <w:t>not</w:t>
      </w:r>
      <w:r w:rsidRPr="00150EDC">
        <w:rPr>
          <w:rFonts w:ascii="Calibri"/>
          <w:spacing w:val="-2"/>
          <w:sz w:val="24"/>
        </w:rPr>
        <w:t xml:space="preserve"> </w:t>
      </w:r>
      <w:r w:rsidRPr="00150EDC">
        <w:rPr>
          <w:rFonts w:ascii="Calibri"/>
          <w:sz w:val="24"/>
        </w:rPr>
        <w:t>entitled</w:t>
      </w:r>
      <w:r w:rsidRPr="00150EDC">
        <w:rPr>
          <w:rFonts w:ascii="Calibri"/>
          <w:spacing w:val="-1"/>
          <w:sz w:val="24"/>
        </w:rPr>
        <w:t xml:space="preserve"> </w:t>
      </w:r>
      <w:r w:rsidRPr="00150EDC">
        <w:rPr>
          <w:rFonts w:ascii="Calibri"/>
          <w:sz w:val="24"/>
        </w:rPr>
        <w:t>to ask for an increase to the DPS Pricing or the Charges.</w:t>
      </w:r>
    </w:p>
    <w:p w14:paraId="1B9D79A9" w14:textId="77777777" w:rsidR="004C7180" w:rsidRPr="00150EDC" w:rsidRDefault="004C7180">
      <w:pPr>
        <w:pStyle w:val="BodyText"/>
        <w:spacing w:before="11"/>
        <w:rPr>
          <w:rFonts w:ascii="Calibri"/>
          <w:sz w:val="23"/>
        </w:rPr>
      </w:pPr>
    </w:p>
    <w:p w14:paraId="0351107B" w14:textId="77777777" w:rsidR="004C7180" w:rsidRPr="00150EDC" w:rsidRDefault="00CF0754" w:rsidP="00B320C7">
      <w:pPr>
        <w:pStyle w:val="ListParagraph"/>
        <w:numPr>
          <w:ilvl w:val="1"/>
          <w:numId w:val="182"/>
        </w:numPr>
        <w:tabs>
          <w:tab w:val="left" w:pos="1064"/>
          <w:tab w:val="left" w:pos="1066"/>
        </w:tabs>
        <w:spacing w:before="1"/>
        <w:ind w:right="832"/>
        <w:rPr>
          <w:rFonts w:ascii="Calibri"/>
          <w:sz w:val="24"/>
        </w:rPr>
      </w:pPr>
      <w:r w:rsidRPr="00150EDC">
        <w:rPr>
          <w:rFonts w:ascii="Calibri"/>
          <w:sz w:val="24"/>
        </w:rPr>
        <w:t>If there is a Specific Change in Law or one is likely to happen during the Contract Period the Supplier must</w:t>
      </w:r>
      <w:r w:rsidRPr="00150EDC">
        <w:rPr>
          <w:rFonts w:ascii="Calibri"/>
          <w:spacing w:val="-1"/>
          <w:sz w:val="24"/>
        </w:rPr>
        <w:t xml:space="preserve"> </w:t>
      </w:r>
      <w:r w:rsidRPr="00150EDC">
        <w:rPr>
          <w:rFonts w:ascii="Calibri"/>
          <w:sz w:val="24"/>
        </w:rPr>
        <w:t>give</w:t>
      </w:r>
      <w:r w:rsidRPr="00150EDC">
        <w:rPr>
          <w:rFonts w:ascii="Calibri"/>
          <w:spacing w:val="-4"/>
          <w:sz w:val="24"/>
        </w:rPr>
        <w:t xml:space="preserve"> </w:t>
      </w:r>
      <w:r w:rsidRPr="00150EDC">
        <w:rPr>
          <w:rFonts w:ascii="Calibri"/>
          <w:sz w:val="24"/>
        </w:rPr>
        <w:t>CCS</w:t>
      </w:r>
      <w:r w:rsidRPr="00150EDC">
        <w:rPr>
          <w:rFonts w:ascii="Calibri"/>
          <w:spacing w:val="-2"/>
          <w:sz w:val="24"/>
        </w:rPr>
        <w:t xml:space="preserve"> </w:t>
      </w:r>
      <w:r w:rsidRPr="00150EDC">
        <w:rPr>
          <w:rFonts w:ascii="Calibri"/>
          <w:sz w:val="24"/>
        </w:rPr>
        <w:t>and</w:t>
      </w:r>
      <w:r w:rsidRPr="00150EDC">
        <w:rPr>
          <w:rFonts w:ascii="Calibri"/>
          <w:spacing w:val="-1"/>
          <w:sz w:val="24"/>
        </w:rPr>
        <w:t xml:space="preserve"> </w:t>
      </w:r>
      <w:r w:rsidRPr="00150EDC">
        <w:rPr>
          <w:rFonts w:ascii="Calibri"/>
          <w:sz w:val="24"/>
        </w:rPr>
        <w:t>the</w:t>
      </w:r>
      <w:r w:rsidRPr="00150EDC">
        <w:rPr>
          <w:rFonts w:ascii="Calibri"/>
          <w:spacing w:val="-4"/>
          <w:sz w:val="24"/>
        </w:rPr>
        <w:t xml:space="preserve"> </w:t>
      </w:r>
      <w:r w:rsidRPr="00150EDC">
        <w:rPr>
          <w:rFonts w:ascii="Calibri"/>
          <w:sz w:val="24"/>
        </w:rPr>
        <w:t>Buyer</w:t>
      </w:r>
      <w:r w:rsidRPr="00150EDC">
        <w:rPr>
          <w:rFonts w:ascii="Calibri"/>
          <w:spacing w:val="-2"/>
          <w:sz w:val="24"/>
        </w:rPr>
        <w:t xml:space="preserve"> </w:t>
      </w:r>
      <w:r w:rsidRPr="00150EDC">
        <w:rPr>
          <w:rFonts w:ascii="Calibri"/>
          <w:sz w:val="24"/>
        </w:rPr>
        <w:t>notice</w:t>
      </w:r>
      <w:r w:rsidRPr="00150EDC">
        <w:rPr>
          <w:rFonts w:ascii="Calibri"/>
          <w:spacing w:val="-4"/>
          <w:sz w:val="24"/>
        </w:rPr>
        <w:t xml:space="preserve"> </w:t>
      </w:r>
      <w:r w:rsidRPr="00150EDC">
        <w:rPr>
          <w:rFonts w:ascii="Calibri"/>
          <w:sz w:val="24"/>
        </w:rPr>
        <w:t>of</w:t>
      </w:r>
      <w:r w:rsidRPr="00150EDC">
        <w:rPr>
          <w:rFonts w:ascii="Calibri"/>
          <w:spacing w:val="-3"/>
          <w:sz w:val="24"/>
        </w:rPr>
        <w:t xml:space="preserve"> </w:t>
      </w:r>
      <w:r w:rsidRPr="00150EDC">
        <w:rPr>
          <w:rFonts w:ascii="Calibri"/>
          <w:sz w:val="24"/>
        </w:rPr>
        <w:t>the</w:t>
      </w:r>
      <w:r w:rsidRPr="00150EDC">
        <w:rPr>
          <w:rFonts w:ascii="Calibri"/>
          <w:spacing w:val="-1"/>
          <w:sz w:val="24"/>
        </w:rPr>
        <w:t xml:space="preserve"> </w:t>
      </w:r>
      <w:r w:rsidRPr="00150EDC">
        <w:rPr>
          <w:rFonts w:ascii="Calibri"/>
          <w:sz w:val="24"/>
        </w:rPr>
        <w:t>likely</w:t>
      </w:r>
      <w:r w:rsidRPr="00150EDC">
        <w:rPr>
          <w:rFonts w:ascii="Calibri"/>
          <w:spacing w:val="-4"/>
          <w:sz w:val="24"/>
        </w:rPr>
        <w:t xml:space="preserve"> </w:t>
      </w:r>
      <w:r w:rsidRPr="00150EDC">
        <w:rPr>
          <w:rFonts w:ascii="Calibri"/>
          <w:sz w:val="24"/>
        </w:rPr>
        <w:t>effects</w:t>
      </w:r>
      <w:r w:rsidRPr="00150EDC">
        <w:rPr>
          <w:rFonts w:ascii="Calibri"/>
          <w:spacing w:val="-2"/>
          <w:sz w:val="24"/>
        </w:rPr>
        <w:t xml:space="preserve"> </w:t>
      </w:r>
      <w:r w:rsidRPr="00150EDC">
        <w:rPr>
          <w:rFonts w:ascii="Calibri"/>
          <w:sz w:val="24"/>
        </w:rPr>
        <w:t>of</w:t>
      </w:r>
      <w:r w:rsidRPr="00150EDC">
        <w:rPr>
          <w:rFonts w:ascii="Calibri"/>
          <w:spacing w:val="-3"/>
          <w:sz w:val="24"/>
        </w:rPr>
        <w:t xml:space="preserve"> </w:t>
      </w:r>
      <w:r w:rsidRPr="00150EDC">
        <w:rPr>
          <w:rFonts w:ascii="Calibri"/>
          <w:sz w:val="24"/>
        </w:rPr>
        <w:t>the</w:t>
      </w:r>
      <w:r w:rsidRPr="00150EDC">
        <w:rPr>
          <w:rFonts w:ascii="Calibri"/>
          <w:spacing w:val="-4"/>
          <w:sz w:val="24"/>
        </w:rPr>
        <w:t xml:space="preserve"> </w:t>
      </w:r>
      <w:r w:rsidRPr="00150EDC">
        <w:rPr>
          <w:rFonts w:ascii="Calibri"/>
          <w:sz w:val="24"/>
        </w:rPr>
        <w:t>changes</w:t>
      </w:r>
      <w:r w:rsidRPr="00150EDC">
        <w:rPr>
          <w:rFonts w:ascii="Calibri"/>
          <w:spacing w:val="-2"/>
          <w:sz w:val="24"/>
        </w:rPr>
        <w:t xml:space="preserve"> </w:t>
      </w:r>
      <w:r w:rsidRPr="00150EDC">
        <w:rPr>
          <w:rFonts w:ascii="Calibri"/>
          <w:sz w:val="24"/>
        </w:rPr>
        <w:t>as</w:t>
      </w:r>
      <w:r w:rsidRPr="00150EDC">
        <w:rPr>
          <w:rFonts w:ascii="Calibri"/>
          <w:spacing w:val="-4"/>
          <w:sz w:val="24"/>
        </w:rPr>
        <w:t xml:space="preserve"> </w:t>
      </w:r>
      <w:r w:rsidRPr="00150EDC">
        <w:rPr>
          <w:rFonts w:ascii="Calibri"/>
          <w:sz w:val="24"/>
        </w:rPr>
        <w:t>soon</w:t>
      </w:r>
      <w:r w:rsidRPr="00150EDC">
        <w:rPr>
          <w:rFonts w:ascii="Calibri"/>
          <w:spacing w:val="-3"/>
          <w:sz w:val="24"/>
        </w:rPr>
        <w:t xml:space="preserve"> </w:t>
      </w:r>
      <w:r w:rsidRPr="00150EDC">
        <w:rPr>
          <w:rFonts w:ascii="Calibri"/>
          <w:sz w:val="24"/>
        </w:rPr>
        <w:t>as</w:t>
      </w:r>
      <w:r w:rsidRPr="00150EDC">
        <w:rPr>
          <w:rFonts w:ascii="Calibri"/>
          <w:spacing w:val="-2"/>
          <w:sz w:val="24"/>
        </w:rPr>
        <w:t xml:space="preserve"> </w:t>
      </w:r>
      <w:r w:rsidRPr="00150EDC">
        <w:rPr>
          <w:rFonts w:ascii="Calibri"/>
          <w:sz w:val="24"/>
        </w:rPr>
        <w:t>reasonably</w:t>
      </w:r>
      <w:r w:rsidRPr="00150EDC">
        <w:rPr>
          <w:rFonts w:ascii="Calibri"/>
          <w:spacing w:val="-2"/>
          <w:sz w:val="24"/>
        </w:rPr>
        <w:t xml:space="preserve"> </w:t>
      </w:r>
      <w:r w:rsidRPr="00150EDC">
        <w:rPr>
          <w:rFonts w:ascii="Calibri"/>
          <w:sz w:val="24"/>
        </w:rPr>
        <w:t>practical. They must also say if they think any Variation is needed either to the Deliverables, DPS Pricing or a Contract and provide evidence:</w:t>
      </w:r>
    </w:p>
    <w:p w14:paraId="57F1E81E" w14:textId="77777777" w:rsidR="004C7180" w:rsidRPr="00150EDC" w:rsidRDefault="004C7180">
      <w:pPr>
        <w:pStyle w:val="BodyText"/>
        <w:spacing w:before="5"/>
        <w:rPr>
          <w:rFonts w:ascii="Calibri"/>
          <w:sz w:val="27"/>
        </w:rPr>
      </w:pPr>
    </w:p>
    <w:p w14:paraId="7662B1E5" w14:textId="77777777" w:rsidR="004C7180" w:rsidRPr="00150EDC" w:rsidRDefault="00CF0754" w:rsidP="00B320C7">
      <w:pPr>
        <w:pStyle w:val="ListParagraph"/>
        <w:numPr>
          <w:ilvl w:val="0"/>
          <w:numId w:val="151"/>
        </w:numPr>
        <w:tabs>
          <w:tab w:val="left" w:pos="1491"/>
        </w:tabs>
        <w:ind w:left="1491" w:hanging="425"/>
        <w:rPr>
          <w:rFonts w:ascii="Calibri"/>
          <w:sz w:val="24"/>
        </w:rPr>
      </w:pPr>
      <w:r w:rsidRPr="00150EDC">
        <w:rPr>
          <w:rFonts w:ascii="Calibri"/>
          <w:sz w:val="24"/>
        </w:rPr>
        <w:t>that</w:t>
      </w:r>
      <w:r w:rsidRPr="00150EDC">
        <w:rPr>
          <w:rFonts w:ascii="Calibri"/>
          <w:spacing w:val="-2"/>
          <w:sz w:val="24"/>
        </w:rPr>
        <w:t xml:space="preserve"> </w:t>
      </w:r>
      <w:r w:rsidRPr="00150EDC">
        <w:rPr>
          <w:rFonts w:ascii="Calibri"/>
          <w:sz w:val="24"/>
        </w:rPr>
        <w:t>the</w:t>
      </w:r>
      <w:r w:rsidRPr="00150EDC">
        <w:rPr>
          <w:rFonts w:ascii="Calibri"/>
          <w:spacing w:val="-4"/>
          <w:sz w:val="24"/>
        </w:rPr>
        <w:t xml:space="preserve"> </w:t>
      </w:r>
      <w:r w:rsidRPr="00150EDC">
        <w:rPr>
          <w:rFonts w:ascii="Calibri"/>
          <w:sz w:val="24"/>
        </w:rPr>
        <w:t>Supplier</w:t>
      </w:r>
      <w:r w:rsidRPr="00150EDC">
        <w:rPr>
          <w:rFonts w:ascii="Calibri"/>
          <w:spacing w:val="-4"/>
          <w:sz w:val="24"/>
        </w:rPr>
        <w:t xml:space="preserve"> </w:t>
      </w:r>
      <w:r w:rsidRPr="00150EDC">
        <w:rPr>
          <w:rFonts w:ascii="Calibri"/>
          <w:sz w:val="24"/>
        </w:rPr>
        <w:t>has</w:t>
      </w:r>
      <w:r w:rsidRPr="00150EDC">
        <w:rPr>
          <w:rFonts w:ascii="Calibri"/>
          <w:spacing w:val="-4"/>
          <w:sz w:val="24"/>
        </w:rPr>
        <w:t xml:space="preserve"> </w:t>
      </w:r>
      <w:r w:rsidRPr="00150EDC">
        <w:rPr>
          <w:rFonts w:ascii="Calibri"/>
          <w:sz w:val="24"/>
        </w:rPr>
        <w:t>kept</w:t>
      </w:r>
      <w:r w:rsidRPr="00150EDC">
        <w:rPr>
          <w:rFonts w:ascii="Calibri"/>
          <w:spacing w:val="-1"/>
          <w:sz w:val="24"/>
        </w:rPr>
        <w:t xml:space="preserve"> </w:t>
      </w:r>
      <w:r w:rsidRPr="00150EDC">
        <w:rPr>
          <w:rFonts w:ascii="Calibri"/>
          <w:sz w:val="24"/>
        </w:rPr>
        <w:t>costs</w:t>
      </w:r>
      <w:r w:rsidRPr="00150EDC">
        <w:rPr>
          <w:rFonts w:ascii="Calibri"/>
          <w:spacing w:val="-4"/>
          <w:sz w:val="24"/>
        </w:rPr>
        <w:t xml:space="preserve"> </w:t>
      </w:r>
      <w:r w:rsidRPr="00150EDC">
        <w:rPr>
          <w:rFonts w:ascii="Calibri"/>
          <w:sz w:val="24"/>
        </w:rPr>
        <w:t>as</w:t>
      </w:r>
      <w:r w:rsidRPr="00150EDC">
        <w:rPr>
          <w:rFonts w:ascii="Calibri"/>
          <w:spacing w:val="-3"/>
          <w:sz w:val="24"/>
        </w:rPr>
        <w:t xml:space="preserve"> </w:t>
      </w:r>
      <w:r w:rsidRPr="00150EDC">
        <w:rPr>
          <w:rFonts w:ascii="Calibri"/>
          <w:sz w:val="24"/>
        </w:rPr>
        <w:t>low</w:t>
      </w:r>
      <w:r w:rsidRPr="00150EDC">
        <w:rPr>
          <w:rFonts w:ascii="Calibri"/>
          <w:spacing w:val="-2"/>
          <w:sz w:val="24"/>
        </w:rPr>
        <w:t xml:space="preserve"> </w:t>
      </w:r>
      <w:r w:rsidRPr="00150EDC">
        <w:rPr>
          <w:rFonts w:ascii="Calibri"/>
          <w:sz w:val="24"/>
        </w:rPr>
        <w:t>as</w:t>
      </w:r>
      <w:r w:rsidRPr="00150EDC">
        <w:rPr>
          <w:rFonts w:ascii="Calibri"/>
          <w:spacing w:val="-5"/>
          <w:sz w:val="24"/>
        </w:rPr>
        <w:t xml:space="preserve"> </w:t>
      </w:r>
      <w:r w:rsidRPr="00150EDC">
        <w:rPr>
          <w:rFonts w:ascii="Calibri"/>
          <w:sz w:val="24"/>
        </w:rPr>
        <w:t>possible,</w:t>
      </w:r>
      <w:r w:rsidRPr="00150EDC">
        <w:rPr>
          <w:rFonts w:ascii="Calibri"/>
          <w:spacing w:val="-2"/>
          <w:sz w:val="24"/>
        </w:rPr>
        <w:t xml:space="preserve"> </w:t>
      </w:r>
      <w:r w:rsidRPr="00150EDC">
        <w:rPr>
          <w:rFonts w:ascii="Calibri"/>
          <w:sz w:val="24"/>
        </w:rPr>
        <w:t>including</w:t>
      </w:r>
      <w:r w:rsidRPr="00150EDC">
        <w:rPr>
          <w:rFonts w:ascii="Calibri"/>
          <w:spacing w:val="-2"/>
          <w:sz w:val="24"/>
        </w:rPr>
        <w:t xml:space="preserve"> </w:t>
      </w:r>
      <w:r w:rsidRPr="00150EDC">
        <w:rPr>
          <w:rFonts w:ascii="Calibri"/>
          <w:sz w:val="24"/>
        </w:rPr>
        <w:t>in</w:t>
      </w:r>
      <w:r w:rsidRPr="00150EDC">
        <w:rPr>
          <w:rFonts w:ascii="Calibri"/>
          <w:spacing w:val="-2"/>
          <w:sz w:val="24"/>
        </w:rPr>
        <w:t xml:space="preserve"> </w:t>
      </w:r>
      <w:r w:rsidRPr="00150EDC">
        <w:rPr>
          <w:rFonts w:ascii="Calibri"/>
          <w:sz w:val="24"/>
        </w:rPr>
        <w:t>Subcontractor</w:t>
      </w:r>
      <w:r w:rsidRPr="00150EDC">
        <w:rPr>
          <w:rFonts w:ascii="Calibri"/>
          <w:spacing w:val="-1"/>
          <w:sz w:val="24"/>
        </w:rPr>
        <w:t xml:space="preserve"> </w:t>
      </w:r>
      <w:r w:rsidRPr="00150EDC">
        <w:rPr>
          <w:rFonts w:ascii="Calibri"/>
          <w:sz w:val="24"/>
        </w:rPr>
        <w:t>costs;</w:t>
      </w:r>
      <w:r w:rsidRPr="00150EDC">
        <w:rPr>
          <w:rFonts w:ascii="Calibri"/>
          <w:spacing w:val="-1"/>
          <w:sz w:val="24"/>
        </w:rPr>
        <w:t xml:space="preserve"> </w:t>
      </w:r>
      <w:r w:rsidRPr="00150EDC">
        <w:rPr>
          <w:rFonts w:ascii="Calibri"/>
          <w:spacing w:val="-5"/>
          <w:sz w:val="24"/>
        </w:rPr>
        <w:t>and</w:t>
      </w:r>
    </w:p>
    <w:p w14:paraId="434F9DB8" w14:textId="77777777" w:rsidR="004C7180" w:rsidRPr="00150EDC" w:rsidRDefault="00CF0754" w:rsidP="00B320C7">
      <w:pPr>
        <w:pStyle w:val="ListParagraph"/>
        <w:numPr>
          <w:ilvl w:val="0"/>
          <w:numId w:val="151"/>
        </w:numPr>
        <w:tabs>
          <w:tab w:val="left" w:pos="1491"/>
        </w:tabs>
        <w:spacing w:before="20"/>
        <w:ind w:left="1491" w:hanging="425"/>
        <w:rPr>
          <w:rFonts w:ascii="Calibri" w:hAnsi="Calibri"/>
          <w:sz w:val="24"/>
        </w:rPr>
      </w:pPr>
      <w:r w:rsidRPr="00150EDC">
        <w:rPr>
          <w:rFonts w:ascii="Calibri" w:hAnsi="Calibri"/>
          <w:sz w:val="24"/>
        </w:rPr>
        <w:t>of</w:t>
      </w:r>
      <w:r w:rsidRPr="00150EDC">
        <w:rPr>
          <w:rFonts w:ascii="Calibri" w:hAnsi="Calibri"/>
          <w:spacing w:val="-3"/>
          <w:sz w:val="24"/>
        </w:rPr>
        <w:t xml:space="preserve"> </w:t>
      </w:r>
      <w:r w:rsidRPr="00150EDC">
        <w:rPr>
          <w:rFonts w:ascii="Calibri" w:hAnsi="Calibri"/>
          <w:sz w:val="24"/>
        </w:rPr>
        <w:t>how</w:t>
      </w:r>
      <w:r w:rsidRPr="00150EDC">
        <w:rPr>
          <w:rFonts w:ascii="Calibri" w:hAnsi="Calibri"/>
          <w:spacing w:val="-2"/>
          <w:sz w:val="24"/>
        </w:rPr>
        <w:t xml:space="preserve"> </w:t>
      </w:r>
      <w:r w:rsidRPr="00150EDC">
        <w:rPr>
          <w:rFonts w:ascii="Calibri" w:hAnsi="Calibri"/>
          <w:sz w:val="24"/>
        </w:rPr>
        <w:t>it</w:t>
      </w:r>
      <w:r w:rsidRPr="00150EDC">
        <w:rPr>
          <w:rFonts w:ascii="Calibri" w:hAnsi="Calibri"/>
          <w:spacing w:val="-2"/>
          <w:sz w:val="24"/>
        </w:rPr>
        <w:t xml:space="preserve"> </w:t>
      </w:r>
      <w:r w:rsidRPr="00150EDC">
        <w:rPr>
          <w:rFonts w:ascii="Calibri" w:hAnsi="Calibri"/>
          <w:sz w:val="24"/>
        </w:rPr>
        <w:t>has</w:t>
      </w:r>
      <w:r w:rsidRPr="00150EDC">
        <w:rPr>
          <w:rFonts w:ascii="Calibri" w:hAnsi="Calibri"/>
          <w:spacing w:val="-4"/>
          <w:sz w:val="24"/>
        </w:rPr>
        <w:t xml:space="preserve"> </w:t>
      </w:r>
      <w:r w:rsidRPr="00150EDC">
        <w:rPr>
          <w:rFonts w:ascii="Calibri" w:hAnsi="Calibri"/>
          <w:sz w:val="24"/>
        </w:rPr>
        <w:t>affected</w:t>
      </w:r>
      <w:r w:rsidRPr="00150EDC">
        <w:rPr>
          <w:rFonts w:ascii="Calibri" w:hAnsi="Calibri"/>
          <w:spacing w:val="-3"/>
          <w:sz w:val="24"/>
        </w:rPr>
        <w:t xml:space="preserve"> </w:t>
      </w:r>
      <w:r w:rsidRPr="00150EDC">
        <w:rPr>
          <w:rFonts w:ascii="Calibri" w:hAnsi="Calibri"/>
          <w:sz w:val="24"/>
        </w:rPr>
        <w:t>the</w:t>
      </w:r>
      <w:r w:rsidRPr="00150EDC">
        <w:rPr>
          <w:rFonts w:ascii="Calibri" w:hAnsi="Calibri"/>
          <w:spacing w:val="-1"/>
          <w:sz w:val="24"/>
        </w:rPr>
        <w:t xml:space="preserve"> </w:t>
      </w:r>
      <w:r w:rsidRPr="00150EDC">
        <w:rPr>
          <w:rFonts w:ascii="Calibri" w:hAnsi="Calibri"/>
          <w:sz w:val="24"/>
        </w:rPr>
        <w:t>Supplier’s</w:t>
      </w:r>
      <w:r w:rsidRPr="00150EDC">
        <w:rPr>
          <w:rFonts w:ascii="Calibri" w:hAnsi="Calibri"/>
          <w:spacing w:val="-2"/>
          <w:sz w:val="24"/>
        </w:rPr>
        <w:t xml:space="preserve"> costs.</w:t>
      </w:r>
    </w:p>
    <w:p w14:paraId="60627BAD" w14:textId="77777777" w:rsidR="004C7180" w:rsidRPr="00150EDC" w:rsidRDefault="004C7180">
      <w:pPr>
        <w:pStyle w:val="BodyText"/>
        <w:spacing w:before="6"/>
        <w:rPr>
          <w:rFonts w:ascii="Calibri"/>
          <w:sz w:val="25"/>
        </w:rPr>
      </w:pPr>
    </w:p>
    <w:p w14:paraId="3D2F81E7" w14:textId="77777777" w:rsidR="004C7180" w:rsidRPr="00150EDC" w:rsidRDefault="00CF0754" w:rsidP="00B320C7">
      <w:pPr>
        <w:pStyle w:val="ListParagraph"/>
        <w:numPr>
          <w:ilvl w:val="1"/>
          <w:numId w:val="182"/>
        </w:numPr>
        <w:tabs>
          <w:tab w:val="left" w:pos="1064"/>
          <w:tab w:val="left" w:pos="1066"/>
        </w:tabs>
        <w:spacing w:before="1"/>
        <w:ind w:right="957"/>
        <w:rPr>
          <w:rFonts w:ascii="Calibri"/>
          <w:sz w:val="24"/>
        </w:rPr>
      </w:pPr>
      <w:r w:rsidRPr="00150EDC">
        <w:rPr>
          <w:rFonts w:ascii="Calibri"/>
          <w:sz w:val="24"/>
        </w:rPr>
        <w:t>Any</w:t>
      </w:r>
      <w:r w:rsidRPr="00150EDC">
        <w:rPr>
          <w:rFonts w:ascii="Calibri"/>
          <w:spacing w:val="-2"/>
          <w:sz w:val="24"/>
        </w:rPr>
        <w:t xml:space="preserve"> </w:t>
      </w:r>
      <w:r w:rsidRPr="00150EDC">
        <w:rPr>
          <w:rFonts w:ascii="Calibri"/>
          <w:sz w:val="24"/>
        </w:rPr>
        <w:t>change</w:t>
      </w:r>
      <w:r w:rsidRPr="00150EDC">
        <w:rPr>
          <w:rFonts w:ascii="Calibri"/>
          <w:spacing w:val="-1"/>
          <w:sz w:val="24"/>
        </w:rPr>
        <w:t xml:space="preserve"> </w:t>
      </w:r>
      <w:r w:rsidRPr="00150EDC">
        <w:rPr>
          <w:rFonts w:ascii="Calibri"/>
          <w:sz w:val="24"/>
        </w:rPr>
        <w:t>in</w:t>
      </w:r>
      <w:r w:rsidRPr="00150EDC">
        <w:rPr>
          <w:rFonts w:ascii="Calibri"/>
          <w:spacing w:val="-3"/>
          <w:sz w:val="24"/>
        </w:rPr>
        <w:t xml:space="preserve"> </w:t>
      </w:r>
      <w:r w:rsidRPr="00150EDC">
        <w:rPr>
          <w:rFonts w:ascii="Calibri"/>
          <w:sz w:val="24"/>
        </w:rPr>
        <w:t>the</w:t>
      </w:r>
      <w:r w:rsidRPr="00150EDC">
        <w:rPr>
          <w:rFonts w:ascii="Calibri"/>
          <w:spacing w:val="-3"/>
          <w:sz w:val="24"/>
        </w:rPr>
        <w:t xml:space="preserve"> </w:t>
      </w:r>
      <w:r w:rsidRPr="00150EDC">
        <w:rPr>
          <w:rFonts w:ascii="Calibri"/>
          <w:sz w:val="24"/>
        </w:rPr>
        <w:t>DPS</w:t>
      </w:r>
      <w:r w:rsidRPr="00150EDC">
        <w:rPr>
          <w:rFonts w:ascii="Calibri"/>
          <w:spacing w:val="-3"/>
          <w:sz w:val="24"/>
        </w:rPr>
        <w:t xml:space="preserve"> </w:t>
      </w:r>
      <w:r w:rsidRPr="00150EDC">
        <w:rPr>
          <w:rFonts w:ascii="Calibri"/>
          <w:sz w:val="24"/>
        </w:rPr>
        <w:t>Pricing</w:t>
      </w:r>
      <w:r w:rsidRPr="00150EDC">
        <w:rPr>
          <w:rFonts w:ascii="Calibri"/>
          <w:spacing w:val="-2"/>
          <w:sz w:val="24"/>
        </w:rPr>
        <w:t xml:space="preserve"> </w:t>
      </w:r>
      <w:r w:rsidRPr="00150EDC">
        <w:rPr>
          <w:rFonts w:ascii="Calibri"/>
          <w:sz w:val="24"/>
        </w:rPr>
        <w:t>or</w:t>
      </w:r>
      <w:r w:rsidRPr="00150EDC">
        <w:rPr>
          <w:rFonts w:ascii="Calibri"/>
          <w:spacing w:val="-3"/>
          <w:sz w:val="24"/>
        </w:rPr>
        <w:t xml:space="preserve"> </w:t>
      </w:r>
      <w:r w:rsidRPr="00150EDC">
        <w:rPr>
          <w:rFonts w:ascii="Calibri"/>
          <w:sz w:val="24"/>
        </w:rPr>
        <w:t>relief</w:t>
      </w:r>
      <w:r w:rsidRPr="00150EDC">
        <w:rPr>
          <w:rFonts w:ascii="Calibri"/>
          <w:spacing w:val="-1"/>
          <w:sz w:val="24"/>
        </w:rPr>
        <w:t xml:space="preserve"> </w:t>
      </w:r>
      <w:r w:rsidRPr="00150EDC">
        <w:rPr>
          <w:rFonts w:ascii="Calibri"/>
          <w:sz w:val="24"/>
        </w:rPr>
        <w:t>from</w:t>
      </w:r>
      <w:r w:rsidRPr="00150EDC">
        <w:rPr>
          <w:rFonts w:ascii="Calibri"/>
          <w:spacing w:val="-4"/>
          <w:sz w:val="24"/>
        </w:rPr>
        <w:t xml:space="preserve"> </w:t>
      </w:r>
      <w:r w:rsidRPr="00150EDC">
        <w:rPr>
          <w:rFonts w:ascii="Calibri"/>
          <w:sz w:val="24"/>
        </w:rPr>
        <w:t>the</w:t>
      </w:r>
      <w:r w:rsidRPr="00150EDC">
        <w:rPr>
          <w:rFonts w:ascii="Calibri"/>
          <w:spacing w:val="-1"/>
          <w:sz w:val="24"/>
        </w:rPr>
        <w:t xml:space="preserve"> </w:t>
      </w:r>
      <w:r w:rsidRPr="00150EDC">
        <w:rPr>
          <w:rFonts w:ascii="Calibri"/>
          <w:sz w:val="24"/>
        </w:rPr>
        <w:t>Supplier's</w:t>
      </w:r>
      <w:r w:rsidRPr="00150EDC">
        <w:rPr>
          <w:rFonts w:ascii="Calibri"/>
          <w:spacing w:val="-3"/>
          <w:sz w:val="24"/>
        </w:rPr>
        <w:t xml:space="preserve"> </w:t>
      </w:r>
      <w:r w:rsidRPr="00150EDC">
        <w:rPr>
          <w:rFonts w:ascii="Calibri"/>
          <w:sz w:val="24"/>
        </w:rPr>
        <w:t>obligations</w:t>
      </w:r>
      <w:r w:rsidRPr="00150EDC">
        <w:rPr>
          <w:rFonts w:ascii="Calibri"/>
          <w:spacing w:val="-4"/>
          <w:sz w:val="24"/>
        </w:rPr>
        <w:t xml:space="preserve"> </w:t>
      </w:r>
      <w:r w:rsidRPr="00150EDC">
        <w:rPr>
          <w:rFonts w:ascii="Calibri"/>
          <w:sz w:val="24"/>
        </w:rPr>
        <w:t>because</w:t>
      </w:r>
      <w:r w:rsidRPr="00150EDC">
        <w:rPr>
          <w:rFonts w:ascii="Calibri"/>
          <w:spacing w:val="-1"/>
          <w:sz w:val="24"/>
        </w:rPr>
        <w:t xml:space="preserve"> </w:t>
      </w:r>
      <w:r w:rsidRPr="00150EDC">
        <w:rPr>
          <w:rFonts w:ascii="Calibri"/>
          <w:sz w:val="24"/>
        </w:rPr>
        <w:t>of</w:t>
      </w:r>
      <w:r w:rsidRPr="00150EDC">
        <w:rPr>
          <w:rFonts w:ascii="Calibri"/>
          <w:spacing w:val="-1"/>
          <w:sz w:val="24"/>
        </w:rPr>
        <w:t xml:space="preserve"> </w:t>
      </w:r>
      <w:r w:rsidRPr="00150EDC">
        <w:rPr>
          <w:rFonts w:ascii="Calibri"/>
          <w:sz w:val="24"/>
        </w:rPr>
        <w:t>a</w:t>
      </w:r>
      <w:r w:rsidRPr="00150EDC">
        <w:rPr>
          <w:rFonts w:ascii="Calibri"/>
          <w:spacing w:val="-4"/>
          <w:sz w:val="24"/>
        </w:rPr>
        <w:t xml:space="preserve"> </w:t>
      </w:r>
      <w:r w:rsidRPr="00150EDC">
        <w:rPr>
          <w:rFonts w:ascii="Calibri"/>
          <w:sz w:val="24"/>
        </w:rPr>
        <w:t>Specific</w:t>
      </w:r>
      <w:r w:rsidRPr="00150EDC">
        <w:rPr>
          <w:rFonts w:ascii="Calibri"/>
          <w:spacing w:val="-2"/>
          <w:sz w:val="24"/>
        </w:rPr>
        <w:t xml:space="preserve"> </w:t>
      </w:r>
      <w:r w:rsidRPr="00150EDC">
        <w:rPr>
          <w:rFonts w:ascii="Calibri"/>
          <w:sz w:val="24"/>
        </w:rPr>
        <w:t>Change</w:t>
      </w:r>
      <w:r w:rsidRPr="00150EDC">
        <w:rPr>
          <w:rFonts w:ascii="Calibri"/>
          <w:spacing w:val="-4"/>
          <w:sz w:val="24"/>
        </w:rPr>
        <w:t xml:space="preserve"> </w:t>
      </w:r>
      <w:r w:rsidRPr="00150EDC">
        <w:rPr>
          <w:rFonts w:ascii="Calibri"/>
          <w:sz w:val="24"/>
        </w:rPr>
        <w:t>in Law must be implemented using Clauses 24.1 to 24.4.</w:t>
      </w:r>
    </w:p>
    <w:p w14:paraId="62973D87" w14:textId="77777777" w:rsidR="004C7180" w:rsidRPr="00150EDC" w:rsidRDefault="004C7180">
      <w:pPr>
        <w:pStyle w:val="BodyText"/>
        <w:spacing w:before="1"/>
        <w:rPr>
          <w:rFonts w:ascii="Calibri"/>
        </w:rPr>
      </w:pPr>
    </w:p>
    <w:p w14:paraId="5F20503D" w14:textId="77777777" w:rsidR="004C7180" w:rsidRPr="00150EDC" w:rsidRDefault="00CF0754" w:rsidP="00B320C7">
      <w:pPr>
        <w:pStyle w:val="ListParagraph"/>
        <w:numPr>
          <w:ilvl w:val="1"/>
          <w:numId w:val="182"/>
        </w:numPr>
        <w:tabs>
          <w:tab w:val="left" w:pos="1064"/>
          <w:tab w:val="left" w:pos="1066"/>
        </w:tabs>
        <w:ind w:right="672"/>
        <w:jc w:val="both"/>
        <w:rPr>
          <w:rFonts w:ascii="Calibri"/>
          <w:sz w:val="24"/>
        </w:rPr>
      </w:pPr>
      <w:r w:rsidRPr="00150EDC">
        <w:rPr>
          <w:rFonts w:ascii="Calibri"/>
          <w:sz w:val="24"/>
        </w:rPr>
        <w:t>For</w:t>
      </w:r>
      <w:r w:rsidRPr="00150EDC">
        <w:rPr>
          <w:rFonts w:ascii="Calibri"/>
          <w:spacing w:val="-1"/>
          <w:sz w:val="24"/>
        </w:rPr>
        <w:t xml:space="preserve"> </w:t>
      </w:r>
      <w:r w:rsidRPr="00150EDC">
        <w:rPr>
          <w:rFonts w:ascii="Calibri"/>
          <w:sz w:val="24"/>
        </w:rPr>
        <w:t>101(5)</w:t>
      </w:r>
      <w:r w:rsidRPr="00150EDC">
        <w:rPr>
          <w:rFonts w:ascii="Calibri"/>
          <w:spacing w:val="-2"/>
          <w:sz w:val="24"/>
        </w:rPr>
        <w:t xml:space="preserve"> </w:t>
      </w:r>
      <w:r w:rsidRPr="00150EDC">
        <w:rPr>
          <w:rFonts w:ascii="Calibri"/>
          <w:sz w:val="24"/>
        </w:rPr>
        <w:t>of</w:t>
      </w:r>
      <w:r w:rsidRPr="00150EDC">
        <w:rPr>
          <w:rFonts w:ascii="Calibri"/>
          <w:spacing w:val="-1"/>
          <w:sz w:val="24"/>
        </w:rPr>
        <w:t xml:space="preserve"> </w:t>
      </w:r>
      <w:r w:rsidRPr="00150EDC">
        <w:rPr>
          <w:rFonts w:ascii="Calibri"/>
          <w:sz w:val="24"/>
        </w:rPr>
        <w:t>the</w:t>
      </w:r>
      <w:r w:rsidRPr="00150EDC">
        <w:rPr>
          <w:rFonts w:ascii="Calibri"/>
          <w:spacing w:val="-4"/>
          <w:sz w:val="24"/>
        </w:rPr>
        <w:t xml:space="preserve"> </w:t>
      </w:r>
      <w:r w:rsidRPr="00150EDC">
        <w:rPr>
          <w:rFonts w:ascii="Calibri"/>
          <w:sz w:val="24"/>
        </w:rPr>
        <w:t>Regulations,</w:t>
      </w:r>
      <w:r w:rsidRPr="00150EDC">
        <w:rPr>
          <w:rFonts w:ascii="Calibri"/>
          <w:spacing w:val="-2"/>
          <w:sz w:val="24"/>
        </w:rPr>
        <w:t xml:space="preserve"> </w:t>
      </w:r>
      <w:r w:rsidRPr="00150EDC">
        <w:rPr>
          <w:rFonts w:ascii="Calibri"/>
          <w:sz w:val="24"/>
        </w:rPr>
        <w:t>if</w:t>
      </w:r>
      <w:r w:rsidRPr="00150EDC">
        <w:rPr>
          <w:rFonts w:ascii="Calibri"/>
          <w:spacing w:val="-3"/>
          <w:sz w:val="24"/>
        </w:rPr>
        <w:t xml:space="preserve"> </w:t>
      </w:r>
      <w:r w:rsidRPr="00150EDC">
        <w:rPr>
          <w:rFonts w:ascii="Calibri"/>
          <w:sz w:val="24"/>
        </w:rPr>
        <w:t>the</w:t>
      </w:r>
      <w:r w:rsidRPr="00150EDC">
        <w:rPr>
          <w:rFonts w:ascii="Calibri"/>
          <w:spacing w:val="-4"/>
          <w:sz w:val="24"/>
        </w:rPr>
        <w:t xml:space="preserve"> </w:t>
      </w:r>
      <w:r w:rsidRPr="00150EDC">
        <w:rPr>
          <w:rFonts w:ascii="Calibri"/>
          <w:sz w:val="24"/>
        </w:rPr>
        <w:t>Court declares</w:t>
      </w:r>
      <w:r w:rsidRPr="00150EDC">
        <w:rPr>
          <w:rFonts w:ascii="Calibri"/>
          <w:spacing w:val="-2"/>
          <w:sz w:val="24"/>
        </w:rPr>
        <w:t xml:space="preserve"> </w:t>
      </w:r>
      <w:r w:rsidRPr="00150EDC">
        <w:rPr>
          <w:rFonts w:ascii="Calibri"/>
          <w:sz w:val="24"/>
        </w:rPr>
        <w:t>any</w:t>
      </w:r>
      <w:r w:rsidRPr="00150EDC">
        <w:rPr>
          <w:rFonts w:ascii="Calibri"/>
          <w:spacing w:val="-2"/>
          <w:sz w:val="24"/>
        </w:rPr>
        <w:t xml:space="preserve"> </w:t>
      </w:r>
      <w:r w:rsidRPr="00150EDC">
        <w:rPr>
          <w:rFonts w:ascii="Calibri"/>
          <w:sz w:val="24"/>
        </w:rPr>
        <w:t>Variation</w:t>
      </w:r>
      <w:r w:rsidRPr="00150EDC">
        <w:rPr>
          <w:rFonts w:ascii="Calibri"/>
          <w:spacing w:val="-1"/>
          <w:sz w:val="24"/>
        </w:rPr>
        <w:t xml:space="preserve"> </w:t>
      </w:r>
      <w:r w:rsidRPr="00150EDC">
        <w:rPr>
          <w:rFonts w:ascii="Calibri"/>
          <w:sz w:val="24"/>
        </w:rPr>
        <w:t>ineffective,</w:t>
      </w:r>
      <w:r w:rsidRPr="00150EDC">
        <w:rPr>
          <w:rFonts w:ascii="Calibri"/>
          <w:spacing w:val="-1"/>
          <w:sz w:val="24"/>
        </w:rPr>
        <w:t xml:space="preserve"> </w:t>
      </w:r>
      <w:r w:rsidRPr="00150EDC">
        <w:rPr>
          <w:rFonts w:ascii="Calibri"/>
          <w:sz w:val="24"/>
        </w:rPr>
        <w:t>the</w:t>
      </w:r>
      <w:r w:rsidRPr="00150EDC">
        <w:rPr>
          <w:rFonts w:ascii="Calibri"/>
          <w:spacing w:val="-3"/>
          <w:sz w:val="24"/>
        </w:rPr>
        <w:t xml:space="preserve"> </w:t>
      </w:r>
      <w:r w:rsidRPr="00150EDC">
        <w:rPr>
          <w:rFonts w:ascii="Calibri"/>
          <w:sz w:val="24"/>
        </w:rPr>
        <w:t>Parties</w:t>
      </w:r>
      <w:r w:rsidRPr="00150EDC">
        <w:rPr>
          <w:rFonts w:ascii="Calibri"/>
          <w:spacing w:val="-2"/>
          <w:sz w:val="24"/>
        </w:rPr>
        <w:t xml:space="preserve"> </w:t>
      </w:r>
      <w:r w:rsidRPr="00150EDC">
        <w:rPr>
          <w:rFonts w:ascii="Calibri"/>
          <w:sz w:val="24"/>
        </w:rPr>
        <w:t>agree</w:t>
      </w:r>
      <w:r w:rsidRPr="00150EDC">
        <w:rPr>
          <w:rFonts w:ascii="Calibri"/>
          <w:spacing w:val="-1"/>
          <w:sz w:val="24"/>
        </w:rPr>
        <w:t xml:space="preserve"> </w:t>
      </w:r>
      <w:r w:rsidRPr="00150EDC">
        <w:rPr>
          <w:rFonts w:ascii="Calibri"/>
          <w:sz w:val="24"/>
        </w:rPr>
        <w:t>that</w:t>
      </w:r>
      <w:r w:rsidRPr="00150EDC">
        <w:rPr>
          <w:rFonts w:ascii="Calibri"/>
          <w:spacing w:val="-5"/>
          <w:sz w:val="24"/>
        </w:rPr>
        <w:t xml:space="preserve"> </w:t>
      </w:r>
      <w:r w:rsidRPr="00150EDC">
        <w:rPr>
          <w:rFonts w:ascii="Calibri"/>
          <w:sz w:val="24"/>
        </w:rPr>
        <w:t>their mutual</w:t>
      </w:r>
      <w:r w:rsidRPr="00150EDC">
        <w:rPr>
          <w:rFonts w:ascii="Calibri"/>
          <w:spacing w:val="-1"/>
          <w:sz w:val="24"/>
        </w:rPr>
        <w:t xml:space="preserve"> </w:t>
      </w:r>
      <w:r w:rsidRPr="00150EDC">
        <w:rPr>
          <w:rFonts w:ascii="Calibri"/>
          <w:sz w:val="24"/>
        </w:rPr>
        <w:t>rights</w:t>
      </w:r>
      <w:r w:rsidRPr="00150EDC">
        <w:rPr>
          <w:rFonts w:ascii="Calibri"/>
          <w:spacing w:val="-4"/>
          <w:sz w:val="24"/>
        </w:rPr>
        <w:t xml:space="preserve"> </w:t>
      </w:r>
      <w:r w:rsidRPr="00150EDC">
        <w:rPr>
          <w:rFonts w:ascii="Calibri"/>
          <w:sz w:val="24"/>
        </w:rPr>
        <w:t>and</w:t>
      </w:r>
      <w:r w:rsidRPr="00150EDC">
        <w:rPr>
          <w:rFonts w:ascii="Calibri"/>
          <w:spacing w:val="-3"/>
          <w:sz w:val="24"/>
        </w:rPr>
        <w:t xml:space="preserve"> </w:t>
      </w:r>
      <w:r w:rsidRPr="00150EDC">
        <w:rPr>
          <w:rFonts w:ascii="Calibri"/>
          <w:sz w:val="24"/>
        </w:rPr>
        <w:t>obligations</w:t>
      </w:r>
      <w:r w:rsidRPr="00150EDC">
        <w:rPr>
          <w:rFonts w:ascii="Calibri"/>
          <w:spacing w:val="-2"/>
          <w:sz w:val="24"/>
        </w:rPr>
        <w:t xml:space="preserve"> </w:t>
      </w:r>
      <w:r w:rsidRPr="00150EDC">
        <w:rPr>
          <w:rFonts w:ascii="Calibri"/>
          <w:sz w:val="24"/>
        </w:rPr>
        <w:t>will</w:t>
      </w:r>
      <w:r w:rsidRPr="00150EDC">
        <w:rPr>
          <w:rFonts w:ascii="Calibri"/>
          <w:spacing w:val="-4"/>
          <w:sz w:val="24"/>
        </w:rPr>
        <w:t xml:space="preserve"> </w:t>
      </w:r>
      <w:r w:rsidRPr="00150EDC">
        <w:rPr>
          <w:rFonts w:ascii="Calibri"/>
          <w:sz w:val="24"/>
        </w:rPr>
        <w:t>be</w:t>
      </w:r>
      <w:r w:rsidRPr="00150EDC">
        <w:rPr>
          <w:rFonts w:ascii="Calibri"/>
          <w:spacing w:val="-1"/>
          <w:sz w:val="24"/>
        </w:rPr>
        <w:t xml:space="preserve"> </w:t>
      </w:r>
      <w:r w:rsidRPr="00150EDC">
        <w:rPr>
          <w:rFonts w:ascii="Calibri"/>
          <w:sz w:val="24"/>
        </w:rPr>
        <w:t>regulated</w:t>
      </w:r>
      <w:r w:rsidRPr="00150EDC">
        <w:rPr>
          <w:rFonts w:ascii="Calibri"/>
          <w:spacing w:val="-3"/>
          <w:sz w:val="24"/>
        </w:rPr>
        <w:t xml:space="preserve"> </w:t>
      </w:r>
      <w:r w:rsidRPr="00150EDC">
        <w:rPr>
          <w:rFonts w:ascii="Calibri"/>
          <w:sz w:val="24"/>
        </w:rPr>
        <w:t>by</w:t>
      </w:r>
      <w:r w:rsidRPr="00150EDC">
        <w:rPr>
          <w:rFonts w:ascii="Calibri"/>
          <w:spacing w:val="-5"/>
          <w:sz w:val="24"/>
        </w:rPr>
        <w:t xml:space="preserve"> </w:t>
      </w:r>
      <w:r w:rsidRPr="00150EDC">
        <w:rPr>
          <w:rFonts w:ascii="Calibri"/>
          <w:sz w:val="24"/>
        </w:rPr>
        <w:t>the</w:t>
      </w:r>
      <w:r w:rsidRPr="00150EDC">
        <w:rPr>
          <w:rFonts w:ascii="Calibri"/>
          <w:spacing w:val="-4"/>
          <w:sz w:val="24"/>
        </w:rPr>
        <w:t xml:space="preserve"> </w:t>
      </w:r>
      <w:r w:rsidRPr="00150EDC">
        <w:rPr>
          <w:rFonts w:ascii="Calibri"/>
          <w:sz w:val="24"/>
        </w:rPr>
        <w:t>terms</w:t>
      </w:r>
      <w:r w:rsidRPr="00150EDC">
        <w:rPr>
          <w:rFonts w:ascii="Calibri"/>
          <w:spacing w:val="-2"/>
          <w:sz w:val="24"/>
        </w:rPr>
        <w:t xml:space="preserve"> </w:t>
      </w:r>
      <w:r w:rsidRPr="00150EDC">
        <w:rPr>
          <w:rFonts w:ascii="Calibri"/>
          <w:sz w:val="24"/>
        </w:rPr>
        <w:t>of</w:t>
      </w:r>
      <w:r w:rsidRPr="00150EDC">
        <w:rPr>
          <w:rFonts w:ascii="Calibri"/>
          <w:spacing w:val="-1"/>
          <w:sz w:val="24"/>
        </w:rPr>
        <w:t xml:space="preserve"> </w:t>
      </w:r>
      <w:r w:rsidRPr="00150EDC">
        <w:rPr>
          <w:rFonts w:ascii="Calibri"/>
          <w:sz w:val="24"/>
        </w:rPr>
        <w:t>the</w:t>
      </w:r>
      <w:r w:rsidRPr="00150EDC">
        <w:rPr>
          <w:rFonts w:ascii="Calibri"/>
          <w:spacing w:val="-4"/>
          <w:sz w:val="24"/>
        </w:rPr>
        <w:t xml:space="preserve"> </w:t>
      </w:r>
      <w:r w:rsidRPr="00150EDC">
        <w:rPr>
          <w:rFonts w:ascii="Calibri"/>
          <w:sz w:val="24"/>
        </w:rPr>
        <w:t>Contract</w:t>
      </w:r>
      <w:r w:rsidRPr="00150EDC">
        <w:rPr>
          <w:rFonts w:ascii="Calibri"/>
          <w:spacing w:val="-1"/>
          <w:sz w:val="24"/>
        </w:rPr>
        <w:t xml:space="preserve"> </w:t>
      </w:r>
      <w:r w:rsidRPr="00150EDC">
        <w:rPr>
          <w:rFonts w:ascii="Calibri"/>
          <w:sz w:val="24"/>
        </w:rPr>
        <w:t>as</w:t>
      </w:r>
      <w:r w:rsidRPr="00150EDC">
        <w:rPr>
          <w:rFonts w:ascii="Calibri"/>
          <w:spacing w:val="-4"/>
          <w:sz w:val="24"/>
        </w:rPr>
        <w:t xml:space="preserve"> </w:t>
      </w:r>
      <w:r w:rsidRPr="00150EDC">
        <w:rPr>
          <w:rFonts w:ascii="Calibri"/>
          <w:sz w:val="24"/>
        </w:rPr>
        <w:t>they</w:t>
      </w:r>
      <w:r w:rsidRPr="00150EDC">
        <w:rPr>
          <w:rFonts w:ascii="Calibri"/>
          <w:spacing w:val="-4"/>
          <w:sz w:val="24"/>
        </w:rPr>
        <w:t xml:space="preserve"> </w:t>
      </w:r>
      <w:r w:rsidRPr="00150EDC">
        <w:rPr>
          <w:rFonts w:ascii="Calibri"/>
          <w:sz w:val="24"/>
        </w:rPr>
        <w:t>existed</w:t>
      </w:r>
      <w:r w:rsidRPr="00150EDC">
        <w:rPr>
          <w:rFonts w:ascii="Calibri"/>
          <w:spacing w:val="-1"/>
          <w:sz w:val="24"/>
        </w:rPr>
        <w:t xml:space="preserve"> </w:t>
      </w:r>
      <w:r w:rsidRPr="00150EDC">
        <w:rPr>
          <w:rFonts w:ascii="Calibri"/>
          <w:sz w:val="24"/>
        </w:rPr>
        <w:t>immediately prior to that Variation and as if the Parties had never entered into that Variation.</w:t>
      </w:r>
    </w:p>
    <w:p w14:paraId="75B31916" w14:textId="77777777" w:rsidR="004C7180" w:rsidRPr="00150EDC" w:rsidRDefault="004C7180">
      <w:pPr>
        <w:pStyle w:val="BodyText"/>
        <w:spacing w:before="8"/>
        <w:rPr>
          <w:rFonts w:ascii="Calibri"/>
          <w:sz w:val="25"/>
        </w:rPr>
      </w:pPr>
    </w:p>
    <w:p w14:paraId="72D65487" w14:textId="77777777" w:rsidR="004C7180" w:rsidRPr="00150EDC" w:rsidRDefault="00CF0754" w:rsidP="00B320C7">
      <w:pPr>
        <w:pStyle w:val="Heading1"/>
        <w:numPr>
          <w:ilvl w:val="0"/>
          <w:numId w:val="182"/>
        </w:numPr>
        <w:tabs>
          <w:tab w:val="left" w:pos="1217"/>
        </w:tabs>
        <w:ind w:left="1217" w:hanging="650"/>
        <w:jc w:val="left"/>
        <w:rPr>
          <w:rFonts w:ascii="Calibri"/>
        </w:rPr>
      </w:pPr>
      <w:r w:rsidRPr="00150EDC">
        <w:rPr>
          <w:rFonts w:ascii="Calibri"/>
        </w:rPr>
        <w:t>How</w:t>
      </w:r>
      <w:r w:rsidRPr="00150EDC">
        <w:rPr>
          <w:rFonts w:ascii="Calibri"/>
          <w:spacing w:val="-3"/>
        </w:rPr>
        <w:t xml:space="preserve"> </w:t>
      </w:r>
      <w:r w:rsidRPr="00150EDC">
        <w:rPr>
          <w:rFonts w:ascii="Calibri"/>
        </w:rPr>
        <w:t>to</w:t>
      </w:r>
      <w:r w:rsidRPr="00150EDC">
        <w:rPr>
          <w:rFonts w:ascii="Calibri"/>
          <w:spacing w:val="-3"/>
        </w:rPr>
        <w:t xml:space="preserve"> </w:t>
      </w:r>
      <w:r w:rsidRPr="00150EDC">
        <w:rPr>
          <w:rFonts w:ascii="Calibri"/>
        </w:rPr>
        <w:t>communicate</w:t>
      </w:r>
      <w:r w:rsidRPr="00150EDC">
        <w:rPr>
          <w:rFonts w:ascii="Calibri"/>
          <w:spacing w:val="-1"/>
        </w:rPr>
        <w:t xml:space="preserve"> </w:t>
      </w:r>
      <w:r w:rsidRPr="00150EDC">
        <w:rPr>
          <w:rFonts w:ascii="Calibri"/>
        </w:rPr>
        <w:t>about</w:t>
      </w:r>
      <w:r w:rsidRPr="00150EDC">
        <w:rPr>
          <w:rFonts w:ascii="Calibri"/>
          <w:spacing w:val="-2"/>
        </w:rPr>
        <w:t xml:space="preserve"> </w:t>
      </w:r>
      <w:r w:rsidRPr="00150EDC">
        <w:rPr>
          <w:rFonts w:ascii="Calibri"/>
        </w:rPr>
        <w:t>the</w:t>
      </w:r>
      <w:r w:rsidRPr="00150EDC">
        <w:rPr>
          <w:rFonts w:ascii="Calibri"/>
          <w:spacing w:val="-2"/>
        </w:rPr>
        <w:t xml:space="preserve"> contract</w:t>
      </w:r>
    </w:p>
    <w:p w14:paraId="2375C2D8" w14:textId="77777777" w:rsidR="004C7180" w:rsidRPr="00150EDC" w:rsidRDefault="00CF0754" w:rsidP="00B320C7">
      <w:pPr>
        <w:pStyle w:val="ListParagraph"/>
        <w:numPr>
          <w:ilvl w:val="1"/>
          <w:numId w:val="182"/>
        </w:numPr>
        <w:tabs>
          <w:tab w:val="left" w:pos="1064"/>
          <w:tab w:val="left" w:pos="1066"/>
        </w:tabs>
        <w:spacing w:before="20"/>
        <w:ind w:right="637"/>
        <w:rPr>
          <w:rFonts w:ascii="Calibri"/>
          <w:sz w:val="24"/>
        </w:rPr>
      </w:pPr>
      <w:r w:rsidRPr="00150EDC">
        <w:rPr>
          <w:rFonts w:ascii="Calibri"/>
          <w:sz w:val="24"/>
        </w:rPr>
        <w:t>All notices under the Contract must be in writing and are considered effective on the Working Day of delivery</w:t>
      </w:r>
      <w:r w:rsidRPr="00150EDC">
        <w:rPr>
          <w:rFonts w:ascii="Calibri"/>
          <w:spacing w:val="-2"/>
          <w:sz w:val="24"/>
        </w:rPr>
        <w:t xml:space="preserve"> </w:t>
      </w:r>
      <w:r w:rsidRPr="00150EDC">
        <w:rPr>
          <w:rFonts w:ascii="Calibri"/>
          <w:sz w:val="24"/>
        </w:rPr>
        <w:t>as</w:t>
      </w:r>
      <w:r w:rsidRPr="00150EDC">
        <w:rPr>
          <w:rFonts w:ascii="Calibri"/>
          <w:spacing w:val="-4"/>
          <w:sz w:val="24"/>
        </w:rPr>
        <w:t xml:space="preserve"> </w:t>
      </w:r>
      <w:r w:rsidRPr="00150EDC">
        <w:rPr>
          <w:rFonts w:ascii="Calibri"/>
          <w:sz w:val="24"/>
        </w:rPr>
        <w:t>long</w:t>
      </w:r>
      <w:r w:rsidRPr="00150EDC">
        <w:rPr>
          <w:rFonts w:ascii="Calibri"/>
          <w:spacing w:val="-4"/>
          <w:sz w:val="24"/>
        </w:rPr>
        <w:t xml:space="preserve"> </w:t>
      </w:r>
      <w:r w:rsidRPr="00150EDC">
        <w:rPr>
          <w:rFonts w:ascii="Calibri"/>
          <w:sz w:val="24"/>
        </w:rPr>
        <w:t>as</w:t>
      </w:r>
      <w:r w:rsidRPr="00150EDC">
        <w:rPr>
          <w:rFonts w:ascii="Calibri"/>
          <w:spacing w:val="-2"/>
          <w:sz w:val="24"/>
        </w:rPr>
        <w:t xml:space="preserve"> </w:t>
      </w:r>
      <w:r w:rsidRPr="00150EDC">
        <w:rPr>
          <w:rFonts w:ascii="Calibri"/>
          <w:sz w:val="24"/>
        </w:rPr>
        <w:t>they</w:t>
      </w:r>
      <w:r w:rsidRPr="00150EDC">
        <w:rPr>
          <w:rFonts w:ascii="Calibri"/>
          <w:spacing w:val="-2"/>
          <w:sz w:val="24"/>
        </w:rPr>
        <w:t xml:space="preserve"> </w:t>
      </w:r>
      <w:r w:rsidRPr="00150EDC">
        <w:rPr>
          <w:rFonts w:ascii="Calibri"/>
          <w:sz w:val="24"/>
        </w:rPr>
        <w:t>are</w:t>
      </w:r>
      <w:r w:rsidRPr="00150EDC">
        <w:rPr>
          <w:rFonts w:ascii="Calibri"/>
          <w:spacing w:val="-1"/>
          <w:sz w:val="24"/>
        </w:rPr>
        <w:t xml:space="preserve"> </w:t>
      </w:r>
      <w:r w:rsidRPr="00150EDC">
        <w:rPr>
          <w:rFonts w:ascii="Calibri"/>
          <w:sz w:val="24"/>
        </w:rPr>
        <w:t>delivered</w:t>
      </w:r>
      <w:r w:rsidRPr="00150EDC">
        <w:rPr>
          <w:rFonts w:ascii="Calibri"/>
          <w:spacing w:val="-3"/>
          <w:sz w:val="24"/>
        </w:rPr>
        <w:t xml:space="preserve"> </w:t>
      </w:r>
      <w:r w:rsidRPr="00150EDC">
        <w:rPr>
          <w:rFonts w:ascii="Calibri"/>
          <w:sz w:val="24"/>
        </w:rPr>
        <w:t>before</w:t>
      </w:r>
      <w:r w:rsidRPr="00150EDC">
        <w:rPr>
          <w:rFonts w:ascii="Calibri"/>
          <w:spacing w:val="-1"/>
          <w:sz w:val="24"/>
        </w:rPr>
        <w:t xml:space="preserve"> </w:t>
      </w:r>
      <w:r w:rsidRPr="00150EDC">
        <w:rPr>
          <w:rFonts w:ascii="Calibri"/>
          <w:sz w:val="24"/>
        </w:rPr>
        <w:t>5:00pm</w:t>
      </w:r>
      <w:r w:rsidRPr="00150EDC">
        <w:rPr>
          <w:rFonts w:ascii="Calibri"/>
          <w:spacing w:val="-2"/>
          <w:sz w:val="24"/>
        </w:rPr>
        <w:t xml:space="preserve"> </w:t>
      </w:r>
      <w:r w:rsidRPr="00150EDC">
        <w:rPr>
          <w:rFonts w:ascii="Calibri"/>
          <w:sz w:val="24"/>
        </w:rPr>
        <w:t>on</w:t>
      </w:r>
      <w:r w:rsidRPr="00150EDC">
        <w:rPr>
          <w:rFonts w:ascii="Calibri"/>
          <w:spacing w:val="-1"/>
          <w:sz w:val="24"/>
        </w:rPr>
        <w:t xml:space="preserve"> </w:t>
      </w:r>
      <w:r w:rsidRPr="00150EDC">
        <w:rPr>
          <w:rFonts w:ascii="Calibri"/>
          <w:sz w:val="24"/>
        </w:rPr>
        <w:t>a</w:t>
      </w:r>
      <w:r w:rsidRPr="00150EDC">
        <w:rPr>
          <w:rFonts w:ascii="Calibri"/>
          <w:spacing w:val="-4"/>
          <w:sz w:val="24"/>
        </w:rPr>
        <w:t xml:space="preserve"> </w:t>
      </w:r>
      <w:r w:rsidRPr="00150EDC">
        <w:rPr>
          <w:rFonts w:ascii="Calibri"/>
          <w:sz w:val="24"/>
        </w:rPr>
        <w:t>Working</w:t>
      </w:r>
      <w:r w:rsidRPr="00150EDC">
        <w:rPr>
          <w:rFonts w:ascii="Calibri"/>
          <w:spacing w:val="-4"/>
          <w:sz w:val="24"/>
        </w:rPr>
        <w:t xml:space="preserve"> </w:t>
      </w:r>
      <w:r w:rsidRPr="00150EDC">
        <w:rPr>
          <w:rFonts w:ascii="Calibri"/>
          <w:sz w:val="24"/>
        </w:rPr>
        <w:t>Day.</w:t>
      </w:r>
      <w:r w:rsidRPr="00150EDC">
        <w:rPr>
          <w:rFonts w:ascii="Calibri"/>
          <w:spacing w:val="-3"/>
          <w:sz w:val="24"/>
        </w:rPr>
        <w:t xml:space="preserve"> </w:t>
      </w:r>
      <w:r w:rsidRPr="00150EDC">
        <w:rPr>
          <w:rFonts w:ascii="Calibri"/>
          <w:sz w:val="24"/>
        </w:rPr>
        <w:t>Otherwise</w:t>
      </w:r>
      <w:r w:rsidRPr="00150EDC">
        <w:rPr>
          <w:rFonts w:ascii="Calibri"/>
          <w:spacing w:val="-1"/>
          <w:sz w:val="24"/>
        </w:rPr>
        <w:t xml:space="preserve"> </w:t>
      </w:r>
      <w:r w:rsidRPr="00150EDC">
        <w:rPr>
          <w:rFonts w:ascii="Calibri"/>
          <w:sz w:val="24"/>
        </w:rPr>
        <w:t>the</w:t>
      </w:r>
      <w:r w:rsidRPr="00150EDC">
        <w:rPr>
          <w:rFonts w:ascii="Calibri"/>
          <w:spacing w:val="-3"/>
          <w:sz w:val="24"/>
        </w:rPr>
        <w:t xml:space="preserve"> </w:t>
      </w:r>
      <w:r w:rsidRPr="00150EDC">
        <w:rPr>
          <w:rFonts w:ascii="Calibri"/>
          <w:sz w:val="24"/>
        </w:rPr>
        <w:t>notice</w:t>
      </w:r>
      <w:r w:rsidRPr="00150EDC">
        <w:rPr>
          <w:rFonts w:ascii="Calibri"/>
          <w:spacing w:val="-1"/>
          <w:sz w:val="24"/>
        </w:rPr>
        <w:t xml:space="preserve"> </w:t>
      </w:r>
      <w:r w:rsidRPr="00150EDC">
        <w:rPr>
          <w:rFonts w:ascii="Calibri"/>
          <w:sz w:val="24"/>
        </w:rPr>
        <w:t>is</w:t>
      </w:r>
      <w:r w:rsidRPr="00150EDC">
        <w:rPr>
          <w:rFonts w:ascii="Calibri"/>
          <w:spacing w:val="-4"/>
          <w:sz w:val="24"/>
        </w:rPr>
        <w:t xml:space="preserve"> </w:t>
      </w:r>
      <w:r w:rsidRPr="00150EDC">
        <w:rPr>
          <w:rFonts w:ascii="Calibri"/>
          <w:sz w:val="24"/>
        </w:rPr>
        <w:t>effective on the next Working Day. An email is effective at 9:00am on the first Working Day after sending unless an error message is received.</w:t>
      </w:r>
    </w:p>
    <w:p w14:paraId="77C09F6C" w14:textId="77777777" w:rsidR="004C7180" w:rsidRPr="00150EDC" w:rsidRDefault="004C7180">
      <w:pPr>
        <w:pStyle w:val="BodyText"/>
        <w:spacing w:before="12"/>
        <w:rPr>
          <w:rFonts w:ascii="Calibri"/>
          <w:sz w:val="23"/>
        </w:rPr>
      </w:pPr>
    </w:p>
    <w:p w14:paraId="33B0F2F6" w14:textId="77777777" w:rsidR="004C7180" w:rsidRPr="00150EDC" w:rsidRDefault="00CF0754" w:rsidP="00B320C7">
      <w:pPr>
        <w:pStyle w:val="ListParagraph"/>
        <w:numPr>
          <w:ilvl w:val="1"/>
          <w:numId w:val="182"/>
        </w:numPr>
        <w:tabs>
          <w:tab w:val="left" w:pos="1064"/>
          <w:tab w:val="left" w:pos="1066"/>
        </w:tabs>
        <w:ind w:right="756"/>
        <w:jc w:val="both"/>
        <w:rPr>
          <w:rFonts w:ascii="Calibri" w:hAnsi="Calibri"/>
          <w:sz w:val="24"/>
        </w:rPr>
      </w:pPr>
      <w:r w:rsidRPr="00150EDC">
        <w:rPr>
          <w:rFonts w:ascii="Calibri" w:hAnsi="Calibri"/>
          <w:sz w:val="24"/>
        </w:rPr>
        <w:t>Notices</w:t>
      </w:r>
      <w:r w:rsidRPr="00150EDC">
        <w:rPr>
          <w:rFonts w:ascii="Calibri" w:hAnsi="Calibri"/>
          <w:spacing w:val="-4"/>
          <w:sz w:val="24"/>
        </w:rPr>
        <w:t xml:space="preserve"> </w:t>
      </w:r>
      <w:r w:rsidRPr="00150EDC">
        <w:rPr>
          <w:rFonts w:ascii="Calibri" w:hAnsi="Calibri"/>
          <w:sz w:val="24"/>
        </w:rPr>
        <w:t>to</w:t>
      </w:r>
      <w:r w:rsidRPr="00150EDC">
        <w:rPr>
          <w:rFonts w:ascii="Calibri" w:hAnsi="Calibri"/>
          <w:spacing w:val="-4"/>
          <w:sz w:val="24"/>
        </w:rPr>
        <w:t xml:space="preserve"> </w:t>
      </w:r>
      <w:r w:rsidRPr="00150EDC">
        <w:rPr>
          <w:rFonts w:ascii="Calibri" w:hAnsi="Calibri"/>
          <w:sz w:val="24"/>
        </w:rPr>
        <w:t>CCS</w:t>
      </w:r>
      <w:r w:rsidRPr="00150EDC">
        <w:rPr>
          <w:rFonts w:ascii="Calibri" w:hAnsi="Calibri"/>
          <w:spacing w:val="-2"/>
          <w:sz w:val="24"/>
        </w:rPr>
        <w:t xml:space="preserve"> </w:t>
      </w:r>
      <w:r w:rsidRPr="00150EDC">
        <w:rPr>
          <w:rFonts w:ascii="Calibri" w:hAnsi="Calibri"/>
          <w:sz w:val="24"/>
        </w:rPr>
        <w:t>must</w:t>
      </w:r>
      <w:r w:rsidRPr="00150EDC">
        <w:rPr>
          <w:rFonts w:ascii="Calibri" w:hAnsi="Calibri"/>
          <w:spacing w:val="-3"/>
          <w:sz w:val="24"/>
        </w:rPr>
        <w:t xml:space="preserve"> </w:t>
      </w:r>
      <w:r w:rsidRPr="00150EDC">
        <w:rPr>
          <w:rFonts w:ascii="Calibri" w:hAnsi="Calibri"/>
          <w:sz w:val="24"/>
        </w:rPr>
        <w:t>be</w:t>
      </w:r>
      <w:r w:rsidRPr="00150EDC">
        <w:rPr>
          <w:rFonts w:ascii="Calibri" w:hAnsi="Calibri"/>
          <w:spacing w:val="-4"/>
          <w:sz w:val="24"/>
        </w:rPr>
        <w:t xml:space="preserve"> </w:t>
      </w:r>
      <w:r w:rsidRPr="00150EDC">
        <w:rPr>
          <w:rFonts w:ascii="Calibri" w:hAnsi="Calibri"/>
          <w:sz w:val="24"/>
        </w:rPr>
        <w:t>sent</w:t>
      </w:r>
      <w:r w:rsidRPr="00150EDC">
        <w:rPr>
          <w:rFonts w:ascii="Calibri" w:hAnsi="Calibri"/>
          <w:spacing w:val="-3"/>
          <w:sz w:val="24"/>
        </w:rPr>
        <w:t xml:space="preserve"> </w:t>
      </w:r>
      <w:r w:rsidRPr="00150EDC">
        <w:rPr>
          <w:rFonts w:ascii="Calibri" w:hAnsi="Calibri"/>
          <w:sz w:val="24"/>
        </w:rPr>
        <w:t>to</w:t>
      </w:r>
      <w:r w:rsidRPr="00150EDC">
        <w:rPr>
          <w:rFonts w:ascii="Calibri" w:hAnsi="Calibri"/>
          <w:spacing w:val="-4"/>
          <w:sz w:val="24"/>
        </w:rPr>
        <w:t xml:space="preserve"> </w:t>
      </w:r>
      <w:r w:rsidRPr="00150EDC">
        <w:rPr>
          <w:rFonts w:ascii="Calibri" w:hAnsi="Calibri"/>
          <w:sz w:val="24"/>
        </w:rPr>
        <w:t>the</w:t>
      </w:r>
      <w:r w:rsidRPr="00150EDC">
        <w:rPr>
          <w:rFonts w:ascii="Calibri" w:hAnsi="Calibri"/>
          <w:spacing w:val="-1"/>
          <w:sz w:val="24"/>
        </w:rPr>
        <w:t xml:space="preserve"> </w:t>
      </w:r>
      <w:r w:rsidRPr="00150EDC">
        <w:rPr>
          <w:rFonts w:ascii="Calibri" w:hAnsi="Calibri"/>
          <w:sz w:val="24"/>
        </w:rPr>
        <w:t>CCS</w:t>
      </w:r>
      <w:r w:rsidRPr="00150EDC">
        <w:rPr>
          <w:rFonts w:ascii="Calibri" w:hAnsi="Calibri"/>
          <w:spacing w:val="-2"/>
          <w:sz w:val="24"/>
        </w:rPr>
        <w:t xml:space="preserve"> </w:t>
      </w:r>
      <w:r w:rsidRPr="00150EDC">
        <w:rPr>
          <w:rFonts w:ascii="Calibri" w:hAnsi="Calibri"/>
          <w:sz w:val="24"/>
        </w:rPr>
        <w:t>Authorised</w:t>
      </w:r>
      <w:r w:rsidRPr="00150EDC">
        <w:rPr>
          <w:rFonts w:ascii="Calibri" w:hAnsi="Calibri"/>
          <w:spacing w:val="-1"/>
          <w:sz w:val="24"/>
        </w:rPr>
        <w:t xml:space="preserve"> </w:t>
      </w:r>
      <w:r w:rsidRPr="00150EDC">
        <w:rPr>
          <w:rFonts w:ascii="Calibri" w:hAnsi="Calibri"/>
          <w:sz w:val="24"/>
        </w:rPr>
        <w:t>Representative’s</w:t>
      </w:r>
      <w:r w:rsidRPr="00150EDC">
        <w:rPr>
          <w:rFonts w:ascii="Calibri" w:hAnsi="Calibri"/>
          <w:spacing w:val="-4"/>
          <w:sz w:val="24"/>
        </w:rPr>
        <w:t xml:space="preserve"> </w:t>
      </w:r>
      <w:r w:rsidRPr="00150EDC">
        <w:rPr>
          <w:rFonts w:ascii="Calibri" w:hAnsi="Calibri"/>
          <w:sz w:val="24"/>
        </w:rPr>
        <w:t>address</w:t>
      </w:r>
      <w:r w:rsidRPr="00150EDC">
        <w:rPr>
          <w:rFonts w:ascii="Calibri" w:hAnsi="Calibri"/>
          <w:spacing w:val="-3"/>
          <w:sz w:val="24"/>
        </w:rPr>
        <w:t xml:space="preserve"> </w:t>
      </w:r>
      <w:r w:rsidRPr="00150EDC">
        <w:rPr>
          <w:rFonts w:ascii="Calibri" w:hAnsi="Calibri"/>
          <w:sz w:val="24"/>
        </w:rPr>
        <w:t>or</w:t>
      </w:r>
      <w:r w:rsidRPr="00150EDC">
        <w:rPr>
          <w:rFonts w:ascii="Calibri" w:hAnsi="Calibri"/>
          <w:spacing w:val="-1"/>
          <w:sz w:val="24"/>
        </w:rPr>
        <w:t xml:space="preserve"> </w:t>
      </w:r>
      <w:r w:rsidRPr="00150EDC">
        <w:rPr>
          <w:rFonts w:ascii="Calibri" w:hAnsi="Calibri"/>
          <w:sz w:val="24"/>
        </w:rPr>
        <w:t>email</w:t>
      </w:r>
      <w:r w:rsidRPr="00150EDC">
        <w:rPr>
          <w:rFonts w:ascii="Calibri" w:hAnsi="Calibri"/>
          <w:spacing w:val="-4"/>
          <w:sz w:val="24"/>
        </w:rPr>
        <w:t xml:space="preserve"> </w:t>
      </w:r>
      <w:r w:rsidRPr="00150EDC">
        <w:rPr>
          <w:rFonts w:ascii="Calibri" w:hAnsi="Calibri"/>
          <w:sz w:val="24"/>
        </w:rPr>
        <w:t>address</w:t>
      </w:r>
      <w:r w:rsidRPr="00150EDC">
        <w:rPr>
          <w:rFonts w:ascii="Calibri" w:hAnsi="Calibri"/>
          <w:spacing w:val="-3"/>
          <w:sz w:val="24"/>
        </w:rPr>
        <w:t xml:space="preserve"> </w:t>
      </w:r>
      <w:r w:rsidRPr="00150EDC">
        <w:rPr>
          <w:rFonts w:ascii="Calibri" w:hAnsi="Calibri"/>
          <w:sz w:val="24"/>
        </w:rPr>
        <w:t>indicated on the Platform.</w:t>
      </w:r>
    </w:p>
    <w:p w14:paraId="2665A39B" w14:textId="77777777" w:rsidR="004C7180" w:rsidRPr="00150EDC" w:rsidRDefault="004C7180">
      <w:pPr>
        <w:pStyle w:val="BodyText"/>
        <w:spacing w:before="11"/>
        <w:rPr>
          <w:rFonts w:ascii="Calibri"/>
          <w:sz w:val="23"/>
        </w:rPr>
      </w:pPr>
    </w:p>
    <w:p w14:paraId="24423BCA" w14:textId="77777777" w:rsidR="004C7180" w:rsidRPr="00150EDC" w:rsidRDefault="00CF0754" w:rsidP="00B320C7">
      <w:pPr>
        <w:pStyle w:val="ListParagraph"/>
        <w:numPr>
          <w:ilvl w:val="1"/>
          <w:numId w:val="182"/>
        </w:numPr>
        <w:tabs>
          <w:tab w:val="left" w:pos="1064"/>
          <w:tab w:val="left" w:pos="1066"/>
        </w:tabs>
        <w:spacing w:before="1"/>
        <w:ind w:right="695"/>
        <w:jc w:val="both"/>
        <w:rPr>
          <w:rFonts w:ascii="Calibri" w:hAnsi="Calibri"/>
          <w:sz w:val="24"/>
        </w:rPr>
      </w:pPr>
      <w:r w:rsidRPr="00150EDC">
        <w:rPr>
          <w:rFonts w:ascii="Calibri" w:hAnsi="Calibri"/>
          <w:sz w:val="24"/>
        </w:rPr>
        <w:t>Notices</w:t>
      </w:r>
      <w:r w:rsidRPr="00150EDC">
        <w:rPr>
          <w:rFonts w:ascii="Calibri" w:hAnsi="Calibri"/>
          <w:spacing w:val="-4"/>
          <w:sz w:val="24"/>
        </w:rPr>
        <w:t xml:space="preserve"> </w:t>
      </w:r>
      <w:r w:rsidRPr="00150EDC">
        <w:rPr>
          <w:rFonts w:ascii="Calibri" w:hAnsi="Calibri"/>
          <w:sz w:val="24"/>
        </w:rPr>
        <w:t>to</w:t>
      </w:r>
      <w:r w:rsidRPr="00150EDC">
        <w:rPr>
          <w:rFonts w:ascii="Calibri" w:hAnsi="Calibri"/>
          <w:spacing w:val="-4"/>
          <w:sz w:val="24"/>
        </w:rPr>
        <w:t xml:space="preserve"> </w:t>
      </w:r>
      <w:r w:rsidRPr="00150EDC">
        <w:rPr>
          <w:rFonts w:ascii="Calibri" w:hAnsi="Calibri"/>
          <w:sz w:val="24"/>
        </w:rPr>
        <w:t>the</w:t>
      </w:r>
      <w:r w:rsidRPr="00150EDC">
        <w:rPr>
          <w:rFonts w:ascii="Calibri" w:hAnsi="Calibri"/>
          <w:spacing w:val="-1"/>
          <w:sz w:val="24"/>
        </w:rPr>
        <w:t xml:space="preserve"> </w:t>
      </w:r>
      <w:r w:rsidRPr="00150EDC">
        <w:rPr>
          <w:rFonts w:ascii="Calibri" w:hAnsi="Calibri"/>
          <w:sz w:val="24"/>
        </w:rPr>
        <w:t>Buyer</w:t>
      </w:r>
      <w:r w:rsidRPr="00150EDC">
        <w:rPr>
          <w:rFonts w:ascii="Calibri" w:hAnsi="Calibri"/>
          <w:spacing w:val="-4"/>
          <w:sz w:val="24"/>
        </w:rPr>
        <w:t xml:space="preserve"> </w:t>
      </w:r>
      <w:r w:rsidRPr="00150EDC">
        <w:rPr>
          <w:rFonts w:ascii="Calibri" w:hAnsi="Calibri"/>
          <w:sz w:val="24"/>
        </w:rPr>
        <w:t>must</w:t>
      </w:r>
      <w:r w:rsidRPr="00150EDC">
        <w:rPr>
          <w:rFonts w:ascii="Calibri" w:hAnsi="Calibri"/>
          <w:spacing w:val="-1"/>
          <w:sz w:val="24"/>
        </w:rPr>
        <w:t xml:space="preserve"> </w:t>
      </w:r>
      <w:r w:rsidRPr="00150EDC">
        <w:rPr>
          <w:rFonts w:ascii="Calibri" w:hAnsi="Calibri"/>
          <w:sz w:val="24"/>
        </w:rPr>
        <w:t>be</w:t>
      </w:r>
      <w:r w:rsidRPr="00150EDC">
        <w:rPr>
          <w:rFonts w:ascii="Calibri" w:hAnsi="Calibri"/>
          <w:spacing w:val="-4"/>
          <w:sz w:val="24"/>
        </w:rPr>
        <w:t xml:space="preserve"> </w:t>
      </w:r>
      <w:r w:rsidRPr="00150EDC">
        <w:rPr>
          <w:rFonts w:ascii="Calibri" w:hAnsi="Calibri"/>
          <w:sz w:val="24"/>
        </w:rPr>
        <w:t>sent</w:t>
      </w:r>
      <w:r w:rsidRPr="00150EDC">
        <w:rPr>
          <w:rFonts w:ascii="Calibri" w:hAnsi="Calibri"/>
          <w:spacing w:val="-3"/>
          <w:sz w:val="24"/>
        </w:rPr>
        <w:t xml:space="preserve"> </w:t>
      </w:r>
      <w:r w:rsidRPr="00150EDC">
        <w:rPr>
          <w:rFonts w:ascii="Calibri" w:hAnsi="Calibri"/>
          <w:sz w:val="24"/>
        </w:rPr>
        <w:t>to</w:t>
      </w:r>
      <w:r w:rsidRPr="00150EDC">
        <w:rPr>
          <w:rFonts w:ascii="Calibri" w:hAnsi="Calibri"/>
          <w:spacing w:val="-3"/>
          <w:sz w:val="24"/>
        </w:rPr>
        <w:t xml:space="preserve"> </w:t>
      </w:r>
      <w:r w:rsidRPr="00150EDC">
        <w:rPr>
          <w:rFonts w:ascii="Calibri" w:hAnsi="Calibri"/>
          <w:sz w:val="24"/>
        </w:rPr>
        <w:t>the</w:t>
      </w:r>
      <w:r w:rsidRPr="00150EDC">
        <w:rPr>
          <w:rFonts w:ascii="Calibri" w:hAnsi="Calibri"/>
          <w:spacing w:val="-1"/>
          <w:sz w:val="24"/>
        </w:rPr>
        <w:t xml:space="preserve"> </w:t>
      </w:r>
      <w:r w:rsidRPr="00150EDC">
        <w:rPr>
          <w:rFonts w:ascii="Calibri" w:hAnsi="Calibri"/>
          <w:sz w:val="24"/>
        </w:rPr>
        <w:t>Buyer</w:t>
      </w:r>
      <w:r w:rsidRPr="00150EDC">
        <w:rPr>
          <w:rFonts w:ascii="Calibri" w:hAnsi="Calibri"/>
          <w:spacing w:val="-4"/>
          <w:sz w:val="24"/>
        </w:rPr>
        <w:t xml:space="preserve"> </w:t>
      </w:r>
      <w:r w:rsidRPr="00150EDC">
        <w:rPr>
          <w:rFonts w:ascii="Calibri" w:hAnsi="Calibri"/>
          <w:sz w:val="24"/>
        </w:rPr>
        <w:t>Authorised</w:t>
      </w:r>
      <w:r w:rsidRPr="00150EDC">
        <w:rPr>
          <w:rFonts w:ascii="Calibri" w:hAnsi="Calibri"/>
          <w:spacing w:val="-3"/>
          <w:sz w:val="24"/>
        </w:rPr>
        <w:t xml:space="preserve"> </w:t>
      </w:r>
      <w:r w:rsidRPr="00150EDC">
        <w:rPr>
          <w:rFonts w:ascii="Calibri" w:hAnsi="Calibri"/>
          <w:sz w:val="24"/>
        </w:rPr>
        <w:t>Representative’s</w:t>
      </w:r>
      <w:r w:rsidRPr="00150EDC">
        <w:rPr>
          <w:rFonts w:ascii="Calibri" w:hAnsi="Calibri"/>
          <w:spacing w:val="-2"/>
          <w:sz w:val="24"/>
        </w:rPr>
        <w:t xml:space="preserve"> </w:t>
      </w:r>
      <w:r w:rsidRPr="00150EDC">
        <w:rPr>
          <w:rFonts w:ascii="Calibri" w:hAnsi="Calibri"/>
          <w:sz w:val="24"/>
        </w:rPr>
        <w:t>address</w:t>
      </w:r>
      <w:r w:rsidRPr="00150EDC">
        <w:rPr>
          <w:rFonts w:ascii="Calibri" w:hAnsi="Calibri"/>
          <w:spacing w:val="-3"/>
          <w:sz w:val="24"/>
        </w:rPr>
        <w:t xml:space="preserve"> </w:t>
      </w:r>
      <w:r w:rsidRPr="00150EDC">
        <w:rPr>
          <w:rFonts w:ascii="Calibri" w:hAnsi="Calibri"/>
          <w:sz w:val="24"/>
        </w:rPr>
        <w:t>or</w:t>
      </w:r>
      <w:r w:rsidRPr="00150EDC">
        <w:rPr>
          <w:rFonts w:ascii="Calibri" w:hAnsi="Calibri"/>
          <w:spacing w:val="-1"/>
          <w:sz w:val="24"/>
        </w:rPr>
        <w:t xml:space="preserve"> </w:t>
      </w:r>
      <w:r w:rsidRPr="00150EDC">
        <w:rPr>
          <w:rFonts w:ascii="Calibri" w:hAnsi="Calibri"/>
          <w:sz w:val="24"/>
        </w:rPr>
        <w:t>email</w:t>
      </w:r>
      <w:r w:rsidRPr="00150EDC">
        <w:rPr>
          <w:rFonts w:ascii="Calibri" w:hAnsi="Calibri"/>
          <w:spacing w:val="-4"/>
          <w:sz w:val="24"/>
        </w:rPr>
        <w:t xml:space="preserve"> </w:t>
      </w:r>
      <w:r w:rsidRPr="00150EDC">
        <w:rPr>
          <w:rFonts w:ascii="Calibri" w:hAnsi="Calibri"/>
          <w:sz w:val="24"/>
        </w:rPr>
        <w:t>address</w:t>
      </w:r>
      <w:r w:rsidRPr="00150EDC">
        <w:rPr>
          <w:rFonts w:ascii="Calibri" w:hAnsi="Calibri"/>
          <w:spacing w:val="-2"/>
          <w:sz w:val="24"/>
        </w:rPr>
        <w:t xml:space="preserve"> </w:t>
      </w:r>
      <w:r w:rsidRPr="00150EDC">
        <w:rPr>
          <w:rFonts w:ascii="Calibri" w:hAnsi="Calibri"/>
          <w:sz w:val="24"/>
        </w:rPr>
        <w:t>in the Order Form.</w:t>
      </w:r>
    </w:p>
    <w:p w14:paraId="1BFC7CFE" w14:textId="77777777" w:rsidR="004C7180" w:rsidRPr="00150EDC" w:rsidRDefault="004C7180">
      <w:pPr>
        <w:pStyle w:val="BodyText"/>
        <w:spacing w:before="11"/>
        <w:rPr>
          <w:rFonts w:ascii="Calibri"/>
          <w:sz w:val="23"/>
        </w:rPr>
      </w:pPr>
    </w:p>
    <w:p w14:paraId="4053D020" w14:textId="77777777" w:rsidR="004C7180" w:rsidRPr="00150EDC" w:rsidRDefault="00CF0754" w:rsidP="00B320C7">
      <w:pPr>
        <w:pStyle w:val="ListParagraph"/>
        <w:numPr>
          <w:ilvl w:val="1"/>
          <w:numId w:val="182"/>
        </w:numPr>
        <w:tabs>
          <w:tab w:val="left" w:pos="1064"/>
          <w:tab w:val="left" w:pos="1066"/>
        </w:tabs>
        <w:spacing w:line="242" w:lineRule="auto"/>
        <w:ind w:right="1156"/>
        <w:rPr>
          <w:rFonts w:ascii="Calibri"/>
          <w:sz w:val="24"/>
        </w:rPr>
      </w:pPr>
      <w:r w:rsidRPr="00150EDC">
        <w:rPr>
          <w:rFonts w:ascii="Calibri"/>
          <w:sz w:val="24"/>
        </w:rPr>
        <w:t>This</w:t>
      </w:r>
      <w:r w:rsidRPr="00150EDC">
        <w:rPr>
          <w:rFonts w:ascii="Calibri"/>
          <w:spacing w:val="-2"/>
          <w:sz w:val="24"/>
        </w:rPr>
        <w:t xml:space="preserve"> </w:t>
      </w:r>
      <w:r w:rsidRPr="00150EDC">
        <w:rPr>
          <w:rFonts w:ascii="Calibri"/>
          <w:sz w:val="24"/>
        </w:rPr>
        <w:t>Clause</w:t>
      </w:r>
      <w:r w:rsidRPr="00150EDC">
        <w:rPr>
          <w:rFonts w:ascii="Calibri"/>
          <w:spacing w:val="-4"/>
          <w:sz w:val="24"/>
        </w:rPr>
        <w:t xml:space="preserve"> </w:t>
      </w:r>
      <w:r w:rsidRPr="00150EDC">
        <w:rPr>
          <w:rFonts w:ascii="Calibri"/>
          <w:sz w:val="24"/>
        </w:rPr>
        <w:t>does</w:t>
      </w:r>
      <w:r w:rsidRPr="00150EDC">
        <w:rPr>
          <w:rFonts w:ascii="Calibri"/>
          <w:spacing w:val="-4"/>
          <w:sz w:val="24"/>
        </w:rPr>
        <w:t xml:space="preserve"> </w:t>
      </w:r>
      <w:r w:rsidRPr="00150EDC">
        <w:rPr>
          <w:rFonts w:ascii="Calibri"/>
          <w:sz w:val="24"/>
        </w:rPr>
        <w:t>not</w:t>
      </w:r>
      <w:r w:rsidRPr="00150EDC">
        <w:rPr>
          <w:rFonts w:ascii="Calibri"/>
          <w:spacing w:val="-2"/>
          <w:sz w:val="24"/>
        </w:rPr>
        <w:t xml:space="preserve"> </w:t>
      </w:r>
      <w:r w:rsidRPr="00150EDC">
        <w:rPr>
          <w:rFonts w:ascii="Calibri"/>
          <w:sz w:val="24"/>
        </w:rPr>
        <w:t>apply</w:t>
      </w:r>
      <w:r w:rsidRPr="00150EDC">
        <w:rPr>
          <w:rFonts w:ascii="Calibri"/>
          <w:spacing w:val="-2"/>
          <w:sz w:val="24"/>
        </w:rPr>
        <w:t xml:space="preserve"> </w:t>
      </w:r>
      <w:r w:rsidRPr="00150EDC">
        <w:rPr>
          <w:rFonts w:ascii="Calibri"/>
          <w:sz w:val="24"/>
        </w:rPr>
        <w:t>to</w:t>
      </w:r>
      <w:r w:rsidRPr="00150EDC">
        <w:rPr>
          <w:rFonts w:ascii="Calibri"/>
          <w:spacing w:val="-3"/>
          <w:sz w:val="24"/>
        </w:rPr>
        <w:t xml:space="preserve"> </w:t>
      </w:r>
      <w:r w:rsidRPr="00150EDC">
        <w:rPr>
          <w:rFonts w:ascii="Calibri"/>
          <w:sz w:val="24"/>
        </w:rPr>
        <w:t>the</w:t>
      </w:r>
      <w:r w:rsidRPr="00150EDC">
        <w:rPr>
          <w:rFonts w:ascii="Calibri"/>
          <w:spacing w:val="-1"/>
          <w:sz w:val="24"/>
        </w:rPr>
        <w:t xml:space="preserve"> </w:t>
      </w:r>
      <w:r w:rsidRPr="00150EDC">
        <w:rPr>
          <w:rFonts w:ascii="Calibri"/>
          <w:sz w:val="24"/>
        </w:rPr>
        <w:t>service</w:t>
      </w:r>
      <w:r w:rsidRPr="00150EDC">
        <w:rPr>
          <w:rFonts w:ascii="Calibri"/>
          <w:spacing w:val="-3"/>
          <w:sz w:val="24"/>
        </w:rPr>
        <w:t xml:space="preserve"> </w:t>
      </w:r>
      <w:r w:rsidRPr="00150EDC">
        <w:rPr>
          <w:rFonts w:ascii="Calibri"/>
          <w:sz w:val="24"/>
        </w:rPr>
        <w:t>of</w:t>
      </w:r>
      <w:r w:rsidRPr="00150EDC">
        <w:rPr>
          <w:rFonts w:ascii="Calibri"/>
          <w:spacing w:val="-3"/>
          <w:sz w:val="24"/>
        </w:rPr>
        <w:t xml:space="preserve"> </w:t>
      </w:r>
      <w:r w:rsidRPr="00150EDC">
        <w:rPr>
          <w:rFonts w:ascii="Calibri"/>
          <w:sz w:val="24"/>
        </w:rPr>
        <w:t>legal</w:t>
      </w:r>
      <w:r w:rsidRPr="00150EDC">
        <w:rPr>
          <w:rFonts w:ascii="Calibri"/>
          <w:spacing w:val="-4"/>
          <w:sz w:val="24"/>
        </w:rPr>
        <w:t xml:space="preserve"> </w:t>
      </w:r>
      <w:r w:rsidRPr="00150EDC">
        <w:rPr>
          <w:rFonts w:ascii="Calibri"/>
          <w:sz w:val="24"/>
        </w:rPr>
        <w:t>proceedings</w:t>
      </w:r>
      <w:r w:rsidRPr="00150EDC">
        <w:rPr>
          <w:rFonts w:ascii="Calibri"/>
          <w:spacing w:val="-3"/>
          <w:sz w:val="24"/>
        </w:rPr>
        <w:t xml:space="preserve"> </w:t>
      </w:r>
      <w:r w:rsidRPr="00150EDC">
        <w:rPr>
          <w:rFonts w:ascii="Calibri"/>
          <w:sz w:val="24"/>
        </w:rPr>
        <w:t>or</w:t>
      </w:r>
      <w:r w:rsidRPr="00150EDC">
        <w:rPr>
          <w:rFonts w:ascii="Calibri"/>
          <w:spacing w:val="-1"/>
          <w:sz w:val="24"/>
        </w:rPr>
        <w:t xml:space="preserve"> </w:t>
      </w:r>
      <w:r w:rsidRPr="00150EDC">
        <w:rPr>
          <w:rFonts w:ascii="Calibri"/>
          <w:sz w:val="24"/>
        </w:rPr>
        <w:t>any</w:t>
      </w:r>
      <w:r w:rsidRPr="00150EDC">
        <w:rPr>
          <w:rFonts w:ascii="Calibri"/>
          <w:spacing w:val="-2"/>
          <w:sz w:val="24"/>
        </w:rPr>
        <w:t xml:space="preserve"> </w:t>
      </w:r>
      <w:r w:rsidRPr="00150EDC">
        <w:rPr>
          <w:rFonts w:ascii="Calibri"/>
          <w:sz w:val="24"/>
        </w:rPr>
        <w:t>documents</w:t>
      </w:r>
      <w:r w:rsidRPr="00150EDC">
        <w:rPr>
          <w:rFonts w:ascii="Calibri"/>
          <w:spacing w:val="-4"/>
          <w:sz w:val="24"/>
        </w:rPr>
        <w:t xml:space="preserve"> </w:t>
      </w:r>
      <w:r w:rsidRPr="00150EDC">
        <w:rPr>
          <w:rFonts w:ascii="Calibri"/>
          <w:sz w:val="24"/>
        </w:rPr>
        <w:t>in</w:t>
      </w:r>
      <w:r w:rsidRPr="00150EDC">
        <w:rPr>
          <w:rFonts w:ascii="Calibri"/>
          <w:spacing w:val="-3"/>
          <w:sz w:val="24"/>
        </w:rPr>
        <w:t xml:space="preserve"> </w:t>
      </w:r>
      <w:r w:rsidRPr="00150EDC">
        <w:rPr>
          <w:rFonts w:ascii="Calibri"/>
          <w:sz w:val="24"/>
        </w:rPr>
        <w:t>any</w:t>
      </w:r>
      <w:r w:rsidRPr="00150EDC">
        <w:rPr>
          <w:rFonts w:ascii="Calibri"/>
          <w:spacing w:val="-2"/>
          <w:sz w:val="24"/>
        </w:rPr>
        <w:t xml:space="preserve"> </w:t>
      </w:r>
      <w:r w:rsidRPr="00150EDC">
        <w:rPr>
          <w:rFonts w:ascii="Calibri"/>
          <w:sz w:val="24"/>
        </w:rPr>
        <w:t>legal</w:t>
      </w:r>
      <w:r w:rsidRPr="00150EDC">
        <w:rPr>
          <w:rFonts w:ascii="Calibri"/>
          <w:spacing w:val="-2"/>
          <w:sz w:val="24"/>
        </w:rPr>
        <w:t xml:space="preserve"> </w:t>
      </w:r>
      <w:r w:rsidRPr="00150EDC">
        <w:rPr>
          <w:rFonts w:ascii="Calibri"/>
          <w:sz w:val="24"/>
        </w:rPr>
        <w:t>action, arbitration or dispute resolution.</w:t>
      </w:r>
    </w:p>
    <w:p w14:paraId="6A6429C6" w14:textId="77777777" w:rsidR="004C7180" w:rsidRPr="00150EDC" w:rsidRDefault="004C7180">
      <w:pPr>
        <w:pStyle w:val="BodyText"/>
        <w:spacing w:before="5"/>
        <w:rPr>
          <w:rFonts w:ascii="Calibri"/>
          <w:sz w:val="25"/>
        </w:rPr>
      </w:pPr>
    </w:p>
    <w:p w14:paraId="1FA37C14" w14:textId="77777777" w:rsidR="004C7180" w:rsidRPr="00150EDC" w:rsidRDefault="00CF0754" w:rsidP="00B320C7">
      <w:pPr>
        <w:pStyle w:val="Heading1"/>
        <w:numPr>
          <w:ilvl w:val="0"/>
          <w:numId w:val="182"/>
        </w:numPr>
        <w:tabs>
          <w:tab w:val="left" w:pos="1217"/>
        </w:tabs>
        <w:ind w:left="1217" w:hanging="650"/>
        <w:jc w:val="left"/>
        <w:rPr>
          <w:rFonts w:ascii="Calibri"/>
        </w:rPr>
      </w:pPr>
      <w:r w:rsidRPr="00150EDC">
        <w:rPr>
          <w:rFonts w:ascii="Calibri"/>
        </w:rPr>
        <w:t>Dealing</w:t>
      </w:r>
      <w:r w:rsidRPr="00150EDC">
        <w:rPr>
          <w:rFonts w:ascii="Calibri"/>
          <w:spacing w:val="-4"/>
        </w:rPr>
        <w:t xml:space="preserve"> </w:t>
      </w:r>
      <w:r w:rsidRPr="00150EDC">
        <w:rPr>
          <w:rFonts w:ascii="Calibri"/>
        </w:rPr>
        <w:t>with</w:t>
      </w:r>
      <w:r w:rsidRPr="00150EDC">
        <w:rPr>
          <w:rFonts w:ascii="Calibri"/>
          <w:spacing w:val="-2"/>
        </w:rPr>
        <w:t xml:space="preserve"> claims</w:t>
      </w:r>
    </w:p>
    <w:p w14:paraId="5DDBDB5D" w14:textId="77777777" w:rsidR="004C7180" w:rsidRPr="00150EDC" w:rsidRDefault="00CF0754" w:rsidP="00B320C7">
      <w:pPr>
        <w:pStyle w:val="ListParagraph"/>
        <w:numPr>
          <w:ilvl w:val="1"/>
          <w:numId w:val="182"/>
        </w:numPr>
        <w:tabs>
          <w:tab w:val="left" w:pos="1064"/>
          <w:tab w:val="left" w:pos="1066"/>
        </w:tabs>
        <w:spacing w:before="18"/>
        <w:ind w:right="818"/>
        <w:rPr>
          <w:rFonts w:ascii="Calibri"/>
          <w:sz w:val="24"/>
        </w:rPr>
      </w:pPr>
      <w:r w:rsidRPr="00150EDC">
        <w:rPr>
          <w:rFonts w:ascii="Calibri"/>
          <w:sz w:val="24"/>
        </w:rPr>
        <w:t>If</w:t>
      </w:r>
      <w:r w:rsidRPr="00150EDC">
        <w:rPr>
          <w:rFonts w:ascii="Calibri"/>
          <w:spacing w:val="-2"/>
          <w:sz w:val="24"/>
        </w:rPr>
        <w:t xml:space="preserve"> </w:t>
      </w:r>
      <w:r w:rsidRPr="00150EDC">
        <w:rPr>
          <w:rFonts w:ascii="Calibri"/>
          <w:sz w:val="24"/>
        </w:rPr>
        <w:t>a</w:t>
      </w:r>
      <w:r w:rsidRPr="00150EDC">
        <w:rPr>
          <w:rFonts w:ascii="Calibri"/>
          <w:spacing w:val="-2"/>
          <w:sz w:val="24"/>
        </w:rPr>
        <w:t xml:space="preserve"> </w:t>
      </w:r>
      <w:r w:rsidRPr="00150EDC">
        <w:rPr>
          <w:rFonts w:ascii="Calibri"/>
          <w:sz w:val="24"/>
        </w:rPr>
        <w:t>Beneficiary</w:t>
      </w:r>
      <w:r w:rsidRPr="00150EDC">
        <w:rPr>
          <w:rFonts w:ascii="Calibri"/>
          <w:spacing w:val="-2"/>
          <w:sz w:val="24"/>
        </w:rPr>
        <w:t xml:space="preserve"> </w:t>
      </w:r>
      <w:r w:rsidRPr="00150EDC">
        <w:rPr>
          <w:rFonts w:ascii="Calibri"/>
          <w:sz w:val="24"/>
        </w:rPr>
        <w:t>is</w:t>
      </w:r>
      <w:r w:rsidRPr="00150EDC">
        <w:rPr>
          <w:rFonts w:ascii="Calibri"/>
          <w:spacing w:val="-4"/>
          <w:sz w:val="24"/>
        </w:rPr>
        <w:t xml:space="preserve"> </w:t>
      </w:r>
      <w:r w:rsidRPr="00150EDC">
        <w:rPr>
          <w:rFonts w:ascii="Calibri"/>
          <w:sz w:val="24"/>
        </w:rPr>
        <w:t>notified</w:t>
      </w:r>
      <w:r w:rsidRPr="00150EDC">
        <w:rPr>
          <w:rFonts w:ascii="Calibri"/>
          <w:spacing w:val="-2"/>
          <w:sz w:val="24"/>
        </w:rPr>
        <w:t xml:space="preserve"> </w:t>
      </w:r>
      <w:r w:rsidRPr="00150EDC">
        <w:rPr>
          <w:rFonts w:ascii="Calibri"/>
          <w:sz w:val="24"/>
        </w:rPr>
        <w:t>of</w:t>
      </w:r>
      <w:r w:rsidRPr="00150EDC">
        <w:rPr>
          <w:rFonts w:ascii="Calibri"/>
          <w:spacing w:val="-2"/>
          <w:sz w:val="24"/>
        </w:rPr>
        <w:t xml:space="preserve"> </w:t>
      </w:r>
      <w:r w:rsidRPr="00150EDC">
        <w:rPr>
          <w:rFonts w:ascii="Calibri"/>
          <w:sz w:val="24"/>
        </w:rPr>
        <w:t>a</w:t>
      </w:r>
      <w:r w:rsidRPr="00150EDC">
        <w:rPr>
          <w:rFonts w:ascii="Calibri"/>
          <w:spacing w:val="-2"/>
          <w:sz w:val="24"/>
        </w:rPr>
        <w:t xml:space="preserve"> </w:t>
      </w:r>
      <w:r w:rsidRPr="00150EDC">
        <w:rPr>
          <w:rFonts w:ascii="Calibri"/>
          <w:sz w:val="24"/>
        </w:rPr>
        <w:t>Claim</w:t>
      </w:r>
      <w:r w:rsidRPr="00150EDC">
        <w:rPr>
          <w:rFonts w:ascii="Calibri"/>
          <w:spacing w:val="-4"/>
          <w:sz w:val="24"/>
        </w:rPr>
        <w:t xml:space="preserve"> </w:t>
      </w:r>
      <w:r w:rsidRPr="00150EDC">
        <w:rPr>
          <w:rFonts w:ascii="Calibri"/>
          <w:sz w:val="24"/>
        </w:rPr>
        <w:t>then</w:t>
      </w:r>
      <w:r w:rsidRPr="00150EDC">
        <w:rPr>
          <w:rFonts w:ascii="Calibri"/>
          <w:spacing w:val="-3"/>
          <w:sz w:val="24"/>
        </w:rPr>
        <w:t xml:space="preserve"> </w:t>
      </w:r>
      <w:r w:rsidRPr="00150EDC">
        <w:rPr>
          <w:rFonts w:ascii="Calibri"/>
          <w:sz w:val="24"/>
        </w:rPr>
        <w:t>it</w:t>
      </w:r>
      <w:r w:rsidRPr="00150EDC">
        <w:rPr>
          <w:rFonts w:ascii="Calibri"/>
          <w:spacing w:val="-3"/>
          <w:sz w:val="24"/>
        </w:rPr>
        <w:t xml:space="preserve"> </w:t>
      </w:r>
      <w:r w:rsidRPr="00150EDC">
        <w:rPr>
          <w:rFonts w:ascii="Calibri"/>
          <w:sz w:val="24"/>
        </w:rPr>
        <w:t>must</w:t>
      </w:r>
      <w:r w:rsidRPr="00150EDC">
        <w:rPr>
          <w:rFonts w:ascii="Calibri"/>
          <w:spacing w:val="-3"/>
          <w:sz w:val="24"/>
        </w:rPr>
        <w:t xml:space="preserve"> </w:t>
      </w:r>
      <w:r w:rsidRPr="00150EDC">
        <w:rPr>
          <w:rFonts w:ascii="Calibri"/>
          <w:sz w:val="24"/>
        </w:rPr>
        <w:t>notify</w:t>
      </w:r>
      <w:r w:rsidRPr="00150EDC">
        <w:rPr>
          <w:rFonts w:ascii="Calibri"/>
          <w:spacing w:val="-2"/>
          <w:sz w:val="24"/>
        </w:rPr>
        <w:t xml:space="preserve"> </w:t>
      </w:r>
      <w:r w:rsidRPr="00150EDC">
        <w:rPr>
          <w:rFonts w:ascii="Calibri"/>
          <w:sz w:val="24"/>
        </w:rPr>
        <w:t>the</w:t>
      </w:r>
      <w:r w:rsidRPr="00150EDC">
        <w:rPr>
          <w:rFonts w:ascii="Calibri"/>
          <w:spacing w:val="-2"/>
          <w:sz w:val="24"/>
        </w:rPr>
        <w:t xml:space="preserve"> </w:t>
      </w:r>
      <w:r w:rsidRPr="00150EDC">
        <w:rPr>
          <w:rFonts w:ascii="Calibri"/>
          <w:sz w:val="24"/>
        </w:rPr>
        <w:t>Indemnifier</w:t>
      </w:r>
      <w:r w:rsidRPr="00150EDC">
        <w:rPr>
          <w:rFonts w:ascii="Calibri"/>
          <w:spacing w:val="-2"/>
          <w:sz w:val="24"/>
        </w:rPr>
        <w:t xml:space="preserve"> </w:t>
      </w:r>
      <w:r w:rsidRPr="00150EDC">
        <w:rPr>
          <w:rFonts w:ascii="Calibri"/>
          <w:sz w:val="24"/>
        </w:rPr>
        <w:t>as</w:t>
      </w:r>
      <w:r w:rsidRPr="00150EDC">
        <w:rPr>
          <w:rFonts w:ascii="Calibri"/>
          <w:spacing w:val="-4"/>
          <w:sz w:val="24"/>
        </w:rPr>
        <w:t xml:space="preserve"> </w:t>
      </w:r>
      <w:r w:rsidRPr="00150EDC">
        <w:rPr>
          <w:rFonts w:ascii="Calibri"/>
          <w:sz w:val="24"/>
        </w:rPr>
        <w:t>soon</w:t>
      </w:r>
      <w:r w:rsidRPr="00150EDC">
        <w:rPr>
          <w:rFonts w:ascii="Calibri"/>
          <w:spacing w:val="-3"/>
          <w:sz w:val="24"/>
        </w:rPr>
        <w:t xml:space="preserve"> </w:t>
      </w:r>
      <w:r w:rsidRPr="00150EDC">
        <w:rPr>
          <w:rFonts w:ascii="Calibri"/>
          <w:sz w:val="24"/>
        </w:rPr>
        <w:t>as</w:t>
      </w:r>
      <w:r w:rsidRPr="00150EDC">
        <w:rPr>
          <w:rFonts w:ascii="Calibri"/>
          <w:spacing w:val="-2"/>
          <w:sz w:val="24"/>
        </w:rPr>
        <w:t xml:space="preserve"> </w:t>
      </w:r>
      <w:r w:rsidRPr="00150EDC">
        <w:rPr>
          <w:rFonts w:ascii="Calibri"/>
          <w:sz w:val="24"/>
        </w:rPr>
        <w:t>reasonably</w:t>
      </w:r>
      <w:r w:rsidRPr="00150EDC">
        <w:rPr>
          <w:rFonts w:ascii="Calibri"/>
          <w:spacing w:val="-2"/>
          <w:sz w:val="24"/>
        </w:rPr>
        <w:t xml:space="preserve"> </w:t>
      </w:r>
      <w:r w:rsidRPr="00150EDC">
        <w:rPr>
          <w:rFonts w:ascii="Calibri"/>
          <w:sz w:val="24"/>
        </w:rPr>
        <w:t>practical and no later than 10 Working Days.</w:t>
      </w:r>
    </w:p>
    <w:p w14:paraId="567B5F4B" w14:textId="77777777" w:rsidR="004C7180" w:rsidRPr="00150EDC" w:rsidRDefault="004C7180">
      <w:pPr>
        <w:rPr>
          <w:rFonts w:ascii="Calibri"/>
          <w:sz w:val="24"/>
        </w:rPr>
        <w:sectPr w:rsidR="004C7180" w:rsidRPr="00150EDC">
          <w:pgSz w:w="11910" w:h="16840"/>
          <w:pgMar w:top="620" w:right="0" w:bottom="2460" w:left="40" w:header="403" w:footer="2245" w:gutter="0"/>
          <w:cols w:space="720"/>
        </w:sectPr>
      </w:pPr>
    </w:p>
    <w:p w14:paraId="56039849" w14:textId="77777777" w:rsidR="004C7180" w:rsidRPr="00150EDC" w:rsidRDefault="004C7180">
      <w:pPr>
        <w:pStyle w:val="BodyText"/>
        <w:spacing w:before="1"/>
        <w:rPr>
          <w:rFonts w:ascii="Calibri"/>
          <w:sz w:val="18"/>
        </w:rPr>
      </w:pPr>
    </w:p>
    <w:p w14:paraId="62F612C4" w14:textId="77777777" w:rsidR="004C7180" w:rsidRPr="00150EDC" w:rsidRDefault="00CF0754" w:rsidP="00B320C7">
      <w:pPr>
        <w:pStyle w:val="ListParagraph"/>
        <w:numPr>
          <w:ilvl w:val="1"/>
          <w:numId w:val="182"/>
        </w:numPr>
        <w:tabs>
          <w:tab w:val="left" w:pos="1065"/>
        </w:tabs>
        <w:spacing w:before="52"/>
        <w:ind w:left="1065" w:hanging="565"/>
        <w:rPr>
          <w:rFonts w:ascii="Calibri" w:hAnsi="Calibri"/>
          <w:sz w:val="24"/>
        </w:rPr>
      </w:pPr>
      <w:r w:rsidRPr="00150EDC">
        <w:rPr>
          <w:rFonts w:ascii="Calibri" w:hAnsi="Calibri"/>
          <w:sz w:val="24"/>
        </w:rPr>
        <w:t>At</w:t>
      </w:r>
      <w:r w:rsidRPr="00150EDC">
        <w:rPr>
          <w:rFonts w:ascii="Calibri" w:hAnsi="Calibri"/>
          <w:spacing w:val="-4"/>
          <w:sz w:val="24"/>
        </w:rPr>
        <w:t xml:space="preserve"> </w:t>
      </w:r>
      <w:r w:rsidRPr="00150EDC">
        <w:rPr>
          <w:rFonts w:ascii="Calibri" w:hAnsi="Calibri"/>
          <w:sz w:val="24"/>
        </w:rPr>
        <w:t>the</w:t>
      </w:r>
      <w:r w:rsidRPr="00150EDC">
        <w:rPr>
          <w:rFonts w:ascii="Calibri" w:hAnsi="Calibri"/>
          <w:spacing w:val="-5"/>
          <w:sz w:val="24"/>
        </w:rPr>
        <w:t xml:space="preserve"> </w:t>
      </w:r>
      <w:r w:rsidRPr="00150EDC">
        <w:rPr>
          <w:rFonts w:ascii="Calibri" w:hAnsi="Calibri"/>
          <w:sz w:val="24"/>
        </w:rPr>
        <w:t>Indemnifier’s</w:t>
      </w:r>
      <w:r w:rsidRPr="00150EDC">
        <w:rPr>
          <w:rFonts w:ascii="Calibri" w:hAnsi="Calibri"/>
          <w:spacing w:val="-4"/>
          <w:sz w:val="24"/>
        </w:rPr>
        <w:t xml:space="preserve"> </w:t>
      </w:r>
      <w:r w:rsidRPr="00150EDC">
        <w:rPr>
          <w:rFonts w:ascii="Calibri" w:hAnsi="Calibri"/>
          <w:sz w:val="24"/>
        </w:rPr>
        <w:t>cost</w:t>
      </w:r>
      <w:r w:rsidRPr="00150EDC">
        <w:rPr>
          <w:rFonts w:ascii="Calibri" w:hAnsi="Calibri"/>
          <w:spacing w:val="-3"/>
          <w:sz w:val="24"/>
        </w:rPr>
        <w:t xml:space="preserve"> </w:t>
      </w:r>
      <w:r w:rsidRPr="00150EDC">
        <w:rPr>
          <w:rFonts w:ascii="Calibri" w:hAnsi="Calibri"/>
          <w:sz w:val="24"/>
        </w:rPr>
        <w:t>the</w:t>
      </w:r>
      <w:r w:rsidRPr="00150EDC">
        <w:rPr>
          <w:rFonts w:ascii="Calibri" w:hAnsi="Calibri"/>
          <w:spacing w:val="-5"/>
          <w:sz w:val="24"/>
        </w:rPr>
        <w:t xml:space="preserve"> </w:t>
      </w:r>
      <w:r w:rsidRPr="00150EDC">
        <w:rPr>
          <w:rFonts w:ascii="Calibri" w:hAnsi="Calibri"/>
          <w:sz w:val="24"/>
        </w:rPr>
        <w:t>Beneficiary</w:t>
      </w:r>
      <w:r w:rsidRPr="00150EDC">
        <w:rPr>
          <w:rFonts w:ascii="Calibri" w:hAnsi="Calibri"/>
          <w:spacing w:val="-3"/>
          <w:sz w:val="24"/>
        </w:rPr>
        <w:t xml:space="preserve"> </w:t>
      </w:r>
      <w:r w:rsidRPr="00150EDC">
        <w:rPr>
          <w:rFonts w:ascii="Calibri" w:hAnsi="Calibri"/>
          <w:sz w:val="24"/>
        </w:rPr>
        <w:t>must</w:t>
      </w:r>
      <w:r w:rsidRPr="00150EDC">
        <w:rPr>
          <w:rFonts w:ascii="Calibri" w:hAnsi="Calibri"/>
          <w:spacing w:val="-3"/>
          <w:sz w:val="24"/>
        </w:rPr>
        <w:t xml:space="preserve"> </w:t>
      </w:r>
      <w:r w:rsidRPr="00150EDC">
        <w:rPr>
          <w:rFonts w:ascii="Calibri" w:hAnsi="Calibri"/>
          <w:spacing w:val="-2"/>
          <w:sz w:val="24"/>
        </w:rPr>
        <w:t>both:</w:t>
      </w:r>
    </w:p>
    <w:p w14:paraId="153AD8C6" w14:textId="77777777" w:rsidR="004C7180" w:rsidRPr="00150EDC" w:rsidRDefault="004C7180">
      <w:pPr>
        <w:pStyle w:val="BodyText"/>
        <w:spacing w:before="4"/>
        <w:rPr>
          <w:rFonts w:ascii="Calibri"/>
          <w:sz w:val="27"/>
        </w:rPr>
      </w:pPr>
    </w:p>
    <w:p w14:paraId="0D9AE92B" w14:textId="77777777" w:rsidR="004C7180" w:rsidRPr="00150EDC" w:rsidRDefault="00CF0754" w:rsidP="00B320C7">
      <w:pPr>
        <w:pStyle w:val="ListParagraph"/>
        <w:numPr>
          <w:ilvl w:val="0"/>
          <w:numId w:val="150"/>
        </w:numPr>
        <w:tabs>
          <w:tab w:val="left" w:pos="1491"/>
        </w:tabs>
        <w:ind w:left="1491" w:hanging="425"/>
        <w:rPr>
          <w:rFonts w:ascii="Calibri"/>
          <w:sz w:val="24"/>
        </w:rPr>
      </w:pPr>
      <w:r w:rsidRPr="00150EDC">
        <w:rPr>
          <w:rFonts w:ascii="Calibri"/>
          <w:sz w:val="24"/>
        </w:rPr>
        <w:t>allow</w:t>
      </w:r>
      <w:r w:rsidRPr="00150EDC">
        <w:rPr>
          <w:rFonts w:ascii="Calibri"/>
          <w:spacing w:val="-6"/>
          <w:sz w:val="24"/>
        </w:rPr>
        <w:t xml:space="preserve"> </w:t>
      </w:r>
      <w:r w:rsidRPr="00150EDC">
        <w:rPr>
          <w:rFonts w:ascii="Calibri"/>
          <w:sz w:val="24"/>
        </w:rPr>
        <w:t>the</w:t>
      </w:r>
      <w:r w:rsidRPr="00150EDC">
        <w:rPr>
          <w:rFonts w:ascii="Calibri"/>
          <w:spacing w:val="-1"/>
          <w:sz w:val="24"/>
        </w:rPr>
        <w:t xml:space="preserve"> </w:t>
      </w:r>
      <w:r w:rsidRPr="00150EDC">
        <w:rPr>
          <w:rFonts w:ascii="Calibri"/>
          <w:sz w:val="24"/>
        </w:rPr>
        <w:t>Indemnifier</w:t>
      </w:r>
      <w:r w:rsidRPr="00150EDC">
        <w:rPr>
          <w:rFonts w:ascii="Calibri"/>
          <w:spacing w:val="-4"/>
          <w:sz w:val="24"/>
        </w:rPr>
        <w:t xml:space="preserve"> </w:t>
      </w:r>
      <w:r w:rsidRPr="00150EDC">
        <w:rPr>
          <w:rFonts w:ascii="Calibri"/>
          <w:sz w:val="24"/>
        </w:rPr>
        <w:t>to</w:t>
      </w:r>
      <w:r w:rsidRPr="00150EDC">
        <w:rPr>
          <w:rFonts w:ascii="Calibri"/>
          <w:spacing w:val="-3"/>
          <w:sz w:val="24"/>
        </w:rPr>
        <w:t xml:space="preserve"> </w:t>
      </w:r>
      <w:r w:rsidRPr="00150EDC">
        <w:rPr>
          <w:rFonts w:ascii="Calibri"/>
          <w:sz w:val="24"/>
        </w:rPr>
        <w:t>conduct</w:t>
      </w:r>
      <w:r w:rsidRPr="00150EDC">
        <w:rPr>
          <w:rFonts w:ascii="Calibri"/>
          <w:spacing w:val="-2"/>
          <w:sz w:val="24"/>
        </w:rPr>
        <w:t xml:space="preserve"> </w:t>
      </w:r>
      <w:r w:rsidRPr="00150EDC">
        <w:rPr>
          <w:rFonts w:ascii="Calibri"/>
          <w:sz w:val="24"/>
        </w:rPr>
        <w:t>all</w:t>
      </w:r>
      <w:r w:rsidRPr="00150EDC">
        <w:rPr>
          <w:rFonts w:ascii="Calibri"/>
          <w:spacing w:val="-4"/>
          <w:sz w:val="24"/>
        </w:rPr>
        <w:t xml:space="preserve"> </w:t>
      </w:r>
      <w:r w:rsidRPr="00150EDC">
        <w:rPr>
          <w:rFonts w:ascii="Calibri"/>
          <w:sz w:val="24"/>
        </w:rPr>
        <w:t>negotiations</w:t>
      </w:r>
      <w:r w:rsidRPr="00150EDC">
        <w:rPr>
          <w:rFonts w:ascii="Calibri"/>
          <w:spacing w:val="-7"/>
          <w:sz w:val="24"/>
        </w:rPr>
        <w:t xml:space="preserve"> </w:t>
      </w:r>
      <w:r w:rsidRPr="00150EDC">
        <w:rPr>
          <w:rFonts w:ascii="Calibri"/>
          <w:sz w:val="24"/>
        </w:rPr>
        <w:t>and</w:t>
      </w:r>
      <w:r w:rsidRPr="00150EDC">
        <w:rPr>
          <w:rFonts w:ascii="Calibri"/>
          <w:spacing w:val="-3"/>
          <w:sz w:val="24"/>
        </w:rPr>
        <w:t xml:space="preserve"> </w:t>
      </w:r>
      <w:r w:rsidRPr="00150EDC">
        <w:rPr>
          <w:rFonts w:ascii="Calibri"/>
          <w:sz w:val="24"/>
        </w:rPr>
        <w:t>proceedings</w:t>
      </w:r>
      <w:r w:rsidRPr="00150EDC">
        <w:rPr>
          <w:rFonts w:ascii="Calibri"/>
          <w:spacing w:val="-5"/>
          <w:sz w:val="24"/>
        </w:rPr>
        <w:t xml:space="preserve"> </w:t>
      </w:r>
      <w:r w:rsidRPr="00150EDC">
        <w:rPr>
          <w:rFonts w:ascii="Calibri"/>
          <w:sz w:val="24"/>
        </w:rPr>
        <w:t>to</w:t>
      </w:r>
      <w:r w:rsidRPr="00150EDC">
        <w:rPr>
          <w:rFonts w:ascii="Calibri"/>
          <w:spacing w:val="-5"/>
          <w:sz w:val="24"/>
        </w:rPr>
        <w:t xml:space="preserve"> </w:t>
      </w:r>
      <w:r w:rsidRPr="00150EDC">
        <w:rPr>
          <w:rFonts w:ascii="Calibri"/>
          <w:sz w:val="24"/>
        </w:rPr>
        <w:t>do</w:t>
      </w:r>
      <w:r w:rsidRPr="00150EDC">
        <w:rPr>
          <w:rFonts w:ascii="Calibri"/>
          <w:spacing w:val="-4"/>
          <w:sz w:val="24"/>
        </w:rPr>
        <w:t xml:space="preserve"> </w:t>
      </w:r>
      <w:r w:rsidRPr="00150EDC">
        <w:rPr>
          <w:rFonts w:ascii="Calibri"/>
          <w:sz w:val="24"/>
        </w:rPr>
        <w:t>with</w:t>
      </w:r>
      <w:r w:rsidRPr="00150EDC">
        <w:rPr>
          <w:rFonts w:ascii="Calibri"/>
          <w:spacing w:val="-1"/>
          <w:sz w:val="24"/>
        </w:rPr>
        <w:t xml:space="preserve"> </w:t>
      </w:r>
      <w:r w:rsidRPr="00150EDC">
        <w:rPr>
          <w:rFonts w:ascii="Calibri"/>
          <w:sz w:val="24"/>
        </w:rPr>
        <w:t>a</w:t>
      </w:r>
      <w:r w:rsidRPr="00150EDC">
        <w:rPr>
          <w:rFonts w:ascii="Calibri"/>
          <w:spacing w:val="-4"/>
          <w:sz w:val="24"/>
        </w:rPr>
        <w:t xml:space="preserve"> </w:t>
      </w:r>
      <w:r w:rsidRPr="00150EDC">
        <w:rPr>
          <w:rFonts w:ascii="Calibri"/>
          <w:sz w:val="24"/>
        </w:rPr>
        <w:t>Claim;</w:t>
      </w:r>
      <w:r w:rsidRPr="00150EDC">
        <w:rPr>
          <w:rFonts w:ascii="Calibri"/>
          <w:spacing w:val="-3"/>
          <w:sz w:val="24"/>
        </w:rPr>
        <w:t xml:space="preserve"> </w:t>
      </w:r>
      <w:r w:rsidRPr="00150EDC">
        <w:rPr>
          <w:rFonts w:ascii="Calibri"/>
          <w:spacing w:val="-5"/>
          <w:sz w:val="24"/>
        </w:rPr>
        <w:t>and</w:t>
      </w:r>
    </w:p>
    <w:p w14:paraId="0AEFC3CE" w14:textId="77777777" w:rsidR="004C7180" w:rsidRPr="00150EDC" w:rsidRDefault="00CF0754" w:rsidP="00B320C7">
      <w:pPr>
        <w:pStyle w:val="ListParagraph"/>
        <w:numPr>
          <w:ilvl w:val="0"/>
          <w:numId w:val="150"/>
        </w:numPr>
        <w:tabs>
          <w:tab w:val="left" w:pos="1491"/>
        </w:tabs>
        <w:spacing w:before="19"/>
        <w:ind w:left="1491" w:hanging="425"/>
        <w:rPr>
          <w:rFonts w:ascii="Calibri"/>
          <w:sz w:val="24"/>
        </w:rPr>
      </w:pPr>
      <w:r w:rsidRPr="00150EDC">
        <w:rPr>
          <w:rFonts w:ascii="Calibri"/>
          <w:sz w:val="24"/>
        </w:rPr>
        <w:t>give</w:t>
      </w:r>
      <w:r w:rsidRPr="00150EDC">
        <w:rPr>
          <w:rFonts w:ascii="Calibri"/>
          <w:spacing w:val="-5"/>
          <w:sz w:val="24"/>
        </w:rPr>
        <w:t xml:space="preserve"> </w:t>
      </w:r>
      <w:r w:rsidRPr="00150EDC">
        <w:rPr>
          <w:rFonts w:ascii="Calibri"/>
          <w:sz w:val="24"/>
        </w:rPr>
        <w:t>the</w:t>
      </w:r>
      <w:r w:rsidRPr="00150EDC">
        <w:rPr>
          <w:rFonts w:ascii="Calibri"/>
          <w:spacing w:val="-2"/>
          <w:sz w:val="24"/>
        </w:rPr>
        <w:t xml:space="preserve"> </w:t>
      </w:r>
      <w:r w:rsidRPr="00150EDC">
        <w:rPr>
          <w:rFonts w:ascii="Calibri"/>
          <w:sz w:val="24"/>
        </w:rPr>
        <w:t>Indemnifier</w:t>
      </w:r>
      <w:r w:rsidRPr="00150EDC">
        <w:rPr>
          <w:rFonts w:ascii="Calibri"/>
          <w:spacing w:val="-3"/>
          <w:sz w:val="24"/>
        </w:rPr>
        <w:t xml:space="preserve"> </w:t>
      </w:r>
      <w:r w:rsidRPr="00150EDC">
        <w:rPr>
          <w:rFonts w:ascii="Calibri"/>
          <w:sz w:val="24"/>
        </w:rPr>
        <w:t>reasonable</w:t>
      </w:r>
      <w:r w:rsidRPr="00150EDC">
        <w:rPr>
          <w:rFonts w:ascii="Calibri"/>
          <w:spacing w:val="-2"/>
          <w:sz w:val="24"/>
        </w:rPr>
        <w:t xml:space="preserve"> </w:t>
      </w:r>
      <w:r w:rsidRPr="00150EDC">
        <w:rPr>
          <w:rFonts w:ascii="Calibri"/>
          <w:sz w:val="24"/>
        </w:rPr>
        <w:t>assistance</w:t>
      </w:r>
      <w:r w:rsidRPr="00150EDC">
        <w:rPr>
          <w:rFonts w:ascii="Calibri"/>
          <w:spacing w:val="-2"/>
          <w:sz w:val="24"/>
        </w:rPr>
        <w:t xml:space="preserve"> </w:t>
      </w:r>
      <w:r w:rsidRPr="00150EDC">
        <w:rPr>
          <w:rFonts w:ascii="Calibri"/>
          <w:sz w:val="24"/>
        </w:rPr>
        <w:t>with</w:t>
      </w:r>
      <w:r w:rsidRPr="00150EDC">
        <w:rPr>
          <w:rFonts w:ascii="Calibri"/>
          <w:spacing w:val="-5"/>
          <w:sz w:val="24"/>
        </w:rPr>
        <w:t xml:space="preserve"> </w:t>
      </w:r>
      <w:r w:rsidRPr="00150EDC">
        <w:rPr>
          <w:rFonts w:ascii="Calibri"/>
          <w:sz w:val="24"/>
        </w:rPr>
        <w:t>the</w:t>
      </w:r>
      <w:r w:rsidRPr="00150EDC">
        <w:rPr>
          <w:rFonts w:ascii="Calibri"/>
          <w:spacing w:val="-2"/>
          <w:sz w:val="24"/>
        </w:rPr>
        <w:t xml:space="preserve"> </w:t>
      </w:r>
      <w:r w:rsidRPr="00150EDC">
        <w:rPr>
          <w:rFonts w:ascii="Calibri"/>
          <w:sz w:val="24"/>
        </w:rPr>
        <w:t>claim</w:t>
      </w:r>
      <w:r w:rsidRPr="00150EDC">
        <w:rPr>
          <w:rFonts w:ascii="Calibri"/>
          <w:spacing w:val="-4"/>
          <w:sz w:val="24"/>
        </w:rPr>
        <w:t xml:space="preserve"> </w:t>
      </w:r>
      <w:r w:rsidRPr="00150EDC">
        <w:rPr>
          <w:rFonts w:ascii="Calibri"/>
          <w:sz w:val="24"/>
        </w:rPr>
        <w:t>if</w:t>
      </w:r>
      <w:r w:rsidRPr="00150EDC">
        <w:rPr>
          <w:rFonts w:ascii="Calibri"/>
          <w:spacing w:val="-4"/>
          <w:sz w:val="24"/>
        </w:rPr>
        <w:t xml:space="preserve"> </w:t>
      </w:r>
      <w:r w:rsidRPr="00150EDC">
        <w:rPr>
          <w:rFonts w:ascii="Calibri"/>
          <w:spacing w:val="-2"/>
          <w:sz w:val="24"/>
        </w:rPr>
        <w:t>requested.</w:t>
      </w:r>
    </w:p>
    <w:p w14:paraId="2B377D9E" w14:textId="77777777" w:rsidR="004C7180" w:rsidRPr="00150EDC" w:rsidRDefault="004C7180">
      <w:pPr>
        <w:pStyle w:val="BodyText"/>
        <w:spacing w:before="7"/>
        <w:rPr>
          <w:rFonts w:ascii="Calibri"/>
          <w:sz w:val="25"/>
        </w:rPr>
      </w:pPr>
    </w:p>
    <w:p w14:paraId="0ADAF0B1" w14:textId="77777777" w:rsidR="004C7180" w:rsidRPr="00150EDC" w:rsidRDefault="00CF0754" w:rsidP="00B320C7">
      <w:pPr>
        <w:pStyle w:val="ListParagraph"/>
        <w:numPr>
          <w:ilvl w:val="1"/>
          <w:numId w:val="182"/>
        </w:numPr>
        <w:tabs>
          <w:tab w:val="left" w:pos="1064"/>
          <w:tab w:val="left" w:pos="1066"/>
        </w:tabs>
        <w:spacing w:line="242" w:lineRule="auto"/>
        <w:ind w:right="1062"/>
        <w:rPr>
          <w:rFonts w:ascii="Calibri"/>
          <w:sz w:val="24"/>
        </w:rPr>
      </w:pPr>
      <w:r w:rsidRPr="00150EDC">
        <w:rPr>
          <w:rFonts w:ascii="Calibri"/>
          <w:sz w:val="24"/>
        </w:rPr>
        <w:t>The</w:t>
      </w:r>
      <w:r w:rsidRPr="00150EDC">
        <w:rPr>
          <w:rFonts w:ascii="Calibri"/>
          <w:spacing w:val="-1"/>
          <w:sz w:val="24"/>
        </w:rPr>
        <w:t xml:space="preserve"> </w:t>
      </w:r>
      <w:r w:rsidRPr="00150EDC">
        <w:rPr>
          <w:rFonts w:ascii="Calibri"/>
          <w:sz w:val="24"/>
        </w:rPr>
        <w:t>Beneficiary</w:t>
      </w:r>
      <w:r w:rsidRPr="00150EDC">
        <w:rPr>
          <w:rFonts w:ascii="Calibri"/>
          <w:spacing w:val="-4"/>
          <w:sz w:val="24"/>
        </w:rPr>
        <w:t xml:space="preserve"> </w:t>
      </w:r>
      <w:r w:rsidRPr="00150EDC">
        <w:rPr>
          <w:rFonts w:ascii="Calibri"/>
          <w:sz w:val="24"/>
        </w:rPr>
        <w:t>must</w:t>
      </w:r>
      <w:r w:rsidRPr="00150EDC">
        <w:rPr>
          <w:rFonts w:ascii="Calibri"/>
          <w:spacing w:val="-3"/>
          <w:sz w:val="24"/>
        </w:rPr>
        <w:t xml:space="preserve"> </w:t>
      </w:r>
      <w:r w:rsidRPr="00150EDC">
        <w:rPr>
          <w:rFonts w:ascii="Calibri"/>
          <w:sz w:val="24"/>
        </w:rPr>
        <w:t>not</w:t>
      </w:r>
      <w:r w:rsidRPr="00150EDC">
        <w:rPr>
          <w:rFonts w:ascii="Calibri"/>
          <w:spacing w:val="-2"/>
          <w:sz w:val="24"/>
        </w:rPr>
        <w:t xml:space="preserve"> </w:t>
      </w:r>
      <w:r w:rsidRPr="00150EDC">
        <w:rPr>
          <w:rFonts w:ascii="Calibri"/>
          <w:sz w:val="24"/>
        </w:rPr>
        <w:t>make</w:t>
      </w:r>
      <w:r w:rsidRPr="00150EDC">
        <w:rPr>
          <w:rFonts w:ascii="Calibri"/>
          <w:spacing w:val="-1"/>
          <w:sz w:val="24"/>
        </w:rPr>
        <w:t xml:space="preserve"> </w:t>
      </w:r>
      <w:r w:rsidRPr="00150EDC">
        <w:rPr>
          <w:rFonts w:ascii="Calibri"/>
          <w:sz w:val="24"/>
        </w:rPr>
        <w:t>admissions</w:t>
      </w:r>
      <w:r w:rsidRPr="00150EDC">
        <w:rPr>
          <w:rFonts w:ascii="Calibri"/>
          <w:spacing w:val="-2"/>
          <w:sz w:val="24"/>
        </w:rPr>
        <w:t xml:space="preserve"> </w:t>
      </w:r>
      <w:r w:rsidRPr="00150EDC">
        <w:rPr>
          <w:rFonts w:ascii="Calibri"/>
          <w:sz w:val="24"/>
        </w:rPr>
        <w:t>about</w:t>
      </w:r>
      <w:r w:rsidRPr="00150EDC">
        <w:rPr>
          <w:rFonts w:ascii="Calibri"/>
          <w:spacing w:val="-3"/>
          <w:sz w:val="24"/>
        </w:rPr>
        <w:t xml:space="preserve"> </w:t>
      </w:r>
      <w:r w:rsidRPr="00150EDC">
        <w:rPr>
          <w:rFonts w:ascii="Calibri"/>
          <w:sz w:val="24"/>
        </w:rPr>
        <w:t>the</w:t>
      </w:r>
      <w:r w:rsidRPr="00150EDC">
        <w:rPr>
          <w:rFonts w:ascii="Calibri"/>
          <w:spacing w:val="-4"/>
          <w:sz w:val="24"/>
        </w:rPr>
        <w:t xml:space="preserve"> </w:t>
      </w:r>
      <w:r w:rsidRPr="00150EDC">
        <w:rPr>
          <w:rFonts w:ascii="Calibri"/>
          <w:sz w:val="24"/>
        </w:rPr>
        <w:t>Claim</w:t>
      </w:r>
      <w:r w:rsidRPr="00150EDC">
        <w:rPr>
          <w:rFonts w:ascii="Calibri"/>
          <w:spacing w:val="-1"/>
          <w:sz w:val="24"/>
        </w:rPr>
        <w:t xml:space="preserve"> </w:t>
      </w:r>
      <w:r w:rsidRPr="00150EDC">
        <w:rPr>
          <w:rFonts w:ascii="Calibri"/>
          <w:sz w:val="24"/>
        </w:rPr>
        <w:t>without</w:t>
      </w:r>
      <w:r w:rsidRPr="00150EDC">
        <w:rPr>
          <w:rFonts w:ascii="Calibri"/>
          <w:spacing w:val="-3"/>
          <w:sz w:val="24"/>
        </w:rPr>
        <w:t xml:space="preserve"> </w:t>
      </w:r>
      <w:r w:rsidRPr="00150EDC">
        <w:rPr>
          <w:rFonts w:ascii="Calibri"/>
          <w:sz w:val="24"/>
        </w:rPr>
        <w:t>the</w:t>
      </w:r>
      <w:r w:rsidRPr="00150EDC">
        <w:rPr>
          <w:rFonts w:ascii="Calibri"/>
          <w:spacing w:val="-4"/>
          <w:sz w:val="24"/>
        </w:rPr>
        <w:t xml:space="preserve"> </w:t>
      </w:r>
      <w:r w:rsidRPr="00150EDC">
        <w:rPr>
          <w:rFonts w:ascii="Calibri"/>
          <w:sz w:val="24"/>
        </w:rPr>
        <w:t>prior</w:t>
      </w:r>
      <w:r w:rsidRPr="00150EDC">
        <w:rPr>
          <w:rFonts w:ascii="Calibri"/>
          <w:spacing w:val="-1"/>
          <w:sz w:val="24"/>
        </w:rPr>
        <w:t xml:space="preserve"> </w:t>
      </w:r>
      <w:r w:rsidRPr="00150EDC">
        <w:rPr>
          <w:rFonts w:ascii="Calibri"/>
          <w:sz w:val="24"/>
        </w:rPr>
        <w:t>written</w:t>
      </w:r>
      <w:r w:rsidRPr="00150EDC">
        <w:rPr>
          <w:rFonts w:ascii="Calibri"/>
          <w:spacing w:val="-3"/>
          <w:sz w:val="24"/>
        </w:rPr>
        <w:t xml:space="preserve"> </w:t>
      </w:r>
      <w:r w:rsidRPr="00150EDC">
        <w:rPr>
          <w:rFonts w:ascii="Calibri"/>
          <w:sz w:val="24"/>
        </w:rPr>
        <w:t>consent</w:t>
      </w:r>
      <w:r w:rsidRPr="00150EDC">
        <w:rPr>
          <w:rFonts w:ascii="Calibri"/>
          <w:spacing w:val="-3"/>
          <w:sz w:val="24"/>
        </w:rPr>
        <w:t xml:space="preserve"> </w:t>
      </w:r>
      <w:r w:rsidRPr="00150EDC">
        <w:rPr>
          <w:rFonts w:ascii="Calibri"/>
          <w:sz w:val="24"/>
        </w:rPr>
        <w:t>of</w:t>
      </w:r>
      <w:r w:rsidRPr="00150EDC">
        <w:rPr>
          <w:rFonts w:ascii="Calibri"/>
          <w:spacing w:val="-3"/>
          <w:sz w:val="24"/>
        </w:rPr>
        <w:t xml:space="preserve"> </w:t>
      </w:r>
      <w:r w:rsidRPr="00150EDC">
        <w:rPr>
          <w:rFonts w:ascii="Calibri"/>
          <w:sz w:val="24"/>
        </w:rPr>
        <w:t>the Indemnifier which can not be unreasonably withheld or delayed.</w:t>
      </w:r>
    </w:p>
    <w:p w14:paraId="0C50650F" w14:textId="77777777" w:rsidR="004C7180" w:rsidRPr="00150EDC" w:rsidRDefault="004C7180">
      <w:pPr>
        <w:pStyle w:val="BodyText"/>
        <w:spacing w:before="8"/>
        <w:rPr>
          <w:rFonts w:ascii="Calibri"/>
          <w:sz w:val="23"/>
        </w:rPr>
      </w:pPr>
    </w:p>
    <w:p w14:paraId="0341B11E" w14:textId="77777777" w:rsidR="004C7180" w:rsidRPr="00150EDC" w:rsidRDefault="00CF0754" w:rsidP="00B320C7">
      <w:pPr>
        <w:pStyle w:val="ListParagraph"/>
        <w:numPr>
          <w:ilvl w:val="1"/>
          <w:numId w:val="182"/>
        </w:numPr>
        <w:tabs>
          <w:tab w:val="left" w:pos="1064"/>
          <w:tab w:val="left" w:pos="1066"/>
        </w:tabs>
        <w:ind w:right="839"/>
        <w:rPr>
          <w:rFonts w:ascii="Calibri" w:hAnsi="Calibri"/>
          <w:sz w:val="24"/>
        </w:rPr>
      </w:pPr>
      <w:r w:rsidRPr="00150EDC">
        <w:rPr>
          <w:rFonts w:ascii="Calibri" w:hAnsi="Calibri"/>
          <w:sz w:val="24"/>
        </w:rPr>
        <w:t>The</w:t>
      </w:r>
      <w:r w:rsidRPr="00150EDC">
        <w:rPr>
          <w:rFonts w:ascii="Calibri" w:hAnsi="Calibri"/>
          <w:spacing w:val="-2"/>
          <w:sz w:val="24"/>
        </w:rPr>
        <w:t xml:space="preserve"> </w:t>
      </w:r>
      <w:r w:rsidRPr="00150EDC">
        <w:rPr>
          <w:rFonts w:ascii="Calibri" w:hAnsi="Calibri"/>
          <w:sz w:val="24"/>
        </w:rPr>
        <w:t>Indemnifier</w:t>
      </w:r>
      <w:r w:rsidRPr="00150EDC">
        <w:rPr>
          <w:rFonts w:ascii="Calibri" w:hAnsi="Calibri"/>
          <w:spacing w:val="-2"/>
          <w:sz w:val="24"/>
        </w:rPr>
        <w:t xml:space="preserve"> </w:t>
      </w:r>
      <w:r w:rsidRPr="00150EDC">
        <w:rPr>
          <w:rFonts w:ascii="Calibri" w:hAnsi="Calibri"/>
          <w:sz w:val="24"/>
        </w:rPr>
        <w:t>must</w:t>
      </w:r>
      <w:r w:rsidRPr="00150EDC">
        <w:rPr>
          <w:rFonts w:ascii="Calibri" w:hAnsi="Calibri"/>
          <w:spacing w:val="-4"/>
          <w:sz w:val="24"/>
        </w:rPr>
        <w:t xml:space="preserve"> </w:t>
      </w:r>
      <w:r w:rsidRPr="00150EDC">
        <w:rPr>
          <w:rFonts w:ascii="Calibri" w:hAnsi="Calibri"/>
          <w:sz w:val="24"/>
        </w:rPr>
        <w:t>consider</w:t>
      </w:r>
      <w:r w:rsidRPr="00150EDC">
        <w:rPr>
          <w:rFonts w:ascii="Calibri" w:hAnsi="Calibri"/>
          <w:spacing w:val="-4"/>
          <w:sz w:val="24"/>
        </w:rPr>
        <w:t xml:space="preserve"> </w:t>
      </w:r>
      <w:r w:rsidRPr="00150EDC">
        <w:rPr>
          <w:rFonts w:ascii="Calibri" w:hAnsi="Calibri"/>
          <w:sz w:val="24"/>
        </w:rPr>
        <w:t>and</w:t>
      </w:r>
      <w:r w:rsidRPr="00150EDC">
        <w:rPr>
          <w:rFonts w:ascii="Calibri" w:hAnsi="Calibri"/>
          <w:spacing w:val="-2"/>
          <w:sz w:val="24"/>
        </w:rPr>
        <w:t xml:space="preserve"> </w:t>
      </w:r>
      <w:r w:rsidRPr="00150EDC">
        <w:rPr>
          <w:rFonts w:ascii="Calibri" w:hAnsi="Calibri"/>
          <w:sz w:val="24"/>
        </w:rPr>
        <w:t>defend</w:t>
      </w:r>
      <w:r w:rsidRPr="00150EDC">
        <w:rPr>
          <w:rFonts w:ascii="Calibri" w:hAnsi="Calibri"/>
          <w:spacing w:val="-4"/>
          <w:sz w:val="24"/>
        </w:rPr>
        <w:t xml:space="preserve"> </w:t>
      </w:r>
      <w:r w:rsidRPr="00150EDC">
        <w:rPr>
          <w:rFonts w:ascii="Calibri" w:hAnsi="Calibri"/>
          <w:sz w:val="24"/>
        </w:rPr>
        <w:t>the</w:t>
      </w:r>
      <w:r w:rsidRPr="00150EDC">
        <w:rPr>
          <w:rFonts w:ascii="Calibri" w:hAnsi="Calibri"/>
          <w:spacing w:val="-2"/>
          <w:sz w:val="24"/>
        </w:rPr>
        <w:t xml:space="preserve"> </w:t>
      </w:r>
      <w:r w:rsidRPr="00150EDC">
        <w:rPr>
          <w:rFonts w:ascii="Calibri" w:hAnsi="Calibri"/>
          <w:sz w:val="24"/>
        </w:rPr>
        <w:t>Claim</w:t>
      </w:r>
      <w:r w:rsidRPr="00150EDC">
        <w:rPr>
          <w:rFonts w:ascii="Calibri" w:hAnsi="Calibri"/>
          <w:spacing w:val="-2"/>
          <w:sz w:val="24"/>
        </w:rPr>
        <w:t xml:space="preserve"> </w:t>
      </w:r>
      <w:r w:rsidRPr="00150EDC">
        <w:rPr>
          <w:rFonts w:ascii="Calibri" w:hAnsi="Calibri"/>
          <w:sz w:val="24"/>
        </w:rPr>
        <w:t>diligently</w:t>
      </w:r>
      <w:r w:rsidRPr="00150EDC">
        <w:rPr>
          <w:rFonts w:ascii="Calibri" w:hAnsi="Calibri"/>
          <w:spacing w:val="-6"/>
          <w:sz w:val="24"/>
        </w:rPr>
        <w:t xml:space="preserve"> </w:t>
      </w:r>
      <w:r w:rsidRPr="00150EDC">
        <w:rPr>
          <w:rFonts w:ascii="Calibri" w:hAnsi="Calibri"/>
          <w:sz w:val="24"/>
        </w:rPr>
        <w:t>using</w:t>
      </w:r>
      <w:r w:rsidRPr="00150EDC">
        <w:rPr>
          <w:rFonts w:ascii="Calibri" w:hAnsi="Calibri"/>
          <w:spacing w:val="-5"/>
          <w:sz w:val="24"/>
        </w:rPr>
        <w:t xml:space="preserve"> </w:t>
      </w:r>
      <w:r w:rsidRPr="00150EDC">
        <w:rPr>
          <w:rFonts w:ascii="Calibri" w:hAnsi="Calibri"/>
          <w:sz w:val="24"/>
        </w:rPr>
        <w:t>competent</w:t>
      </w:r>
      <w:r w:rsidRPr="00150EDC">
        <w:rPr>
          <w:rFonts w:ascii="Calibri" w:hAnsi="Calibri"/>
          <w:spacing w:val="-4"/>
          <w:sz w:val="24"/>
        </w:rPr>
        <w:t xml:space="preserve"> </w:t>
      </w:r>
      <w:r w:rsidRPr="00150EDC">
        <w:rPr>
          <w:rFonts w:ascii="Calibri" w:hAnsi="Calibri"/>
          <w:sz w:val="24"/>
        </w:rPr>
        <w:t>legal</w:t>
      </w:r>
      <w:r w:rsidRPr="00150EDC">
        <w:rPr>
          <w:rFonts w:ascii="Calibri" w:hAnsi="Calibri"/>
          <w:spacing w:val="-5"/>
          <w:sz w:val="24"/>
        </w:rPr>
        <w:t xml:space="preserve"> </w:t>
      </w:r>
      <w:r w:rsidRPr="00150EDC">
        <w:rPr>
          <w:rFonts w:ascii="Calibri" w:hAnsi="Calibri"/>
          <w:sz w:val="24"/>
        </w:rPr>
        <w:t>advisors</w:t>
      </w:r>
      <w:r w:rsidRPr="00150EDC">
        <w:rPr>
          <w:rFonts w:ascii="Calibri" w:hAnsi="Calibri"/>
          <w:spacing w:val="-5"/>
          <w:sz w:val="24"/>
        </w:rPr>
        <w:t xml:space="preserve"> </w:t>
      </w:r>
      <w:r w:rsidRPr="00150EDC">
        <w:rPr>
          <w:rFonts w:ascii="Calibri" w:hAnsi="Calibri"/>
          <w:sz w:val="24"/>
        </w:rPr>
        <w:t>and</w:t>
      </w:r>
      <w:r w:rsidRPr="00150EDC">
        <w:rPr>
          <w:rFonts w:ascii="Calibri" w:hAnsi="Calibri"/>
          <w:spacing w:val="-4"/>
          <w:sz w:val="24"/>
        </w:rPr>
        <w:t xml:space="preserve"> </w:t>
      </w:r>
      <w:r w:rsidRPr="00150EDC">
        <w:rPr>
          <w:rFonts w:ascii="Calibri" w:hAnsi="Calibri"/>
          <w:sz w:val="24"/>
        </w:rPr>
        <w:t>in</w:t>
      </w:r>
      <w:r w:rsidRPr="00150EDC">
        <w:rPr>
          <w:rFonts w:ascii="Calibri" w:hAnsi="Calibri"/>
          <w:spacing w:val="-2"/>
          <w:sz w:val="24"/>
        </w:rPr>
        <w:t xml:space="preserve"> </w:t>
      </w:r>
      <w:r w:rsidRPr="00150EDC">
        <w:rPr>
          <w:rFonts w:ascii="Calibri" w:hAnsi="Calibri"/>
          <w:sz w:val="24"/>
        </w:rPr>
        <w:t>a way that does not damage the Beneficiary’s reputation.</w:t>
      </w:r>
    </w:p>
    <w:p w14:paraId="0A347603" w14:textId="77777777" w:rsidR="004C7180" w:rsidRPr="00150EDC" w:rsidRDefault="004C7180">
      <w:pPr>
        <w:pStyle w:val="BodyText"/>
        <w:rPr>
          <w:rFonts w:ascii="Calibri"/>
        </w:rPr>
      </w:pPr>
    </w:p>
    <w:p w14:paraId="19A007B8" w14:textId="77777777" w:rsidR="004C7180" w:rsidRPr="00150EDC" w:rsidRDefault="00CF0754" w:rsidP="00B320C7">
      <w:pPr>
        <w:pStyle w:val="ListParagraph"/>
        <w:numPr>
          <w:ilvl w:val="1"/>
          <w:numId w:val="182"/>
        </w:numPr>
        <w:tabs>
          <w:tab w:val="left" w:pos="1064"/>
          <w:tab w:val="left" w:pos="1066"/>
        </w:tabs>
        <w:ind w:right="1385"/>
        <w:rPr>
          <w:rFonts w:ascii="Calibri"/>
          <w:sz w:val="24"/>
        </w:rPr>
      </w:pPr>
      <w:r w:rsidRPr="00150EDC">
        <w:rPr>
          <w:rFonts w:ascii="Calibri"/>
          <w:sz w:val="24"/>
        </w:rPr>
        <w:t>The</w:t>
      </w:r>
      <w:r w:rsidRPr="00150EDC">
        <w:rPr>
          <w:rFonts w:ascii="Calibri"/>
          <w:spacing w:val="-2"/>
          <w:sz w:val="24"/>
        </w:rPr>
        <w:t xml:space="preserve"> </w:t>
      </w:r>
      <w:r w:rsidRPr="00150EDC">
        <w:rPr>
          <w:rFonts w:ascii="Calibri"/>
          <w:sz w:val="24"/>
        </w:rPr>
        <w:t>Indemnifier</w:t>
      </w:r>
      <w:r w:rsidRPr="00150EDC">
        <w:rPr>
          <w:rFonts w:ascii="Calibri"/>
          <w:spacing w:val="-2"/>
          <w:sz w:val="24"/>
        </w:rPr>
        <w:t xml:space="preserve"> </w:t>
      </w:r>
      <w:r w:rsidRPr="00150EDC">
        <w:rPr>
          <w:rFonts w:ascii="Calibri"/>
          <w:sz w:val="24"/>
        </w:rPr>
        <w:t>must</w:t>
      </w:r>
      <w:r w:rsidRPr="00150EDC">
        <w:rPr>
          <w:rFonts w:ascii="Calibri"/>
          <w:spacing w:val="-4"/>
          <w:sz w:val="24"/>
        </w:rPr>
        <w:t xml:space="preserve"> </w:t>
      </w:r>
      <w:r w:rsidRPr="00150EDC">
        <w:rPr>
          <w:rFonts w:ascii="Calibri"/>
          <w:sz w:val="24"/>
        </w:rPr>
        <w:t>not</w:t>
      </w:r>
      <w:r w:rsidRPr="00150EDC">
        <w:rPr>
          <w:rFonts w:ascii="Calibri"/>
          <w:spacing w:val="-2"/>
          <w:sz w:val="24"/>
        </w:rPr>
        <w:t xml:space="preserve"> </w:t>
      </w:r>
      <w:r w:rsidRPr="00150EDC">
        <w:rPr>
          <w:rFonts w:ascii="Calibri"/>
          <w:sz w:val="24"/>
        </w:rPr>
        <w:t>settle</w:t>
      </w:r>
      <w:r w:rsidRPr="00150EDC">
        <w:rPr>
          <w:rFonts w:ascii="Calibri"/>
          <w:spacing w:val="-5"/>
          <w:sz w:val="24"/>
        </w:rPr>
        <w:t xml:space="preserve"> </w:t>
      </w:r>
      <w:r w:rsidRPr="00150EDC">
        <w:rPr>
          <w:rFonts w:ascii="Calibri"/>
          <w:sz w:val="24"/>
        </w:rPr>
        <w:t>or</w:t>
      </w:r>
      <w:r w:rsidRPr="00150EDC">
        <w:rPr>
          <w:rFonts w:ascii="Calibri"/>
          <w:spacing w:val="-2"/>
          <w:sz w:val="24"/>
        </w:rPr>
        <w:t xml:space="preserve"> </w:t>
      </w:r>
      <w:r w:rsidRPr="00150EDC">
        <w:rPr>
          <w:rFonts w:ascii="Calibri"/>
          <w:sz w:val="24"/>
        </w:rPr>
        <w:t>compromise</w:t>
      </w:r>
      <w:r w:rsidRPr="00150EDC">
        <w:rPr>
          <w:rFonts w:ascii="Calibri"/>
          <w:spacing w:val="-2"/>
          <w:sz w:val="24"/>
        </w:rPr>
        <w:t xml:space="preserve"> </w:t>
      </w:r>
      <w:r w:rsidRPr="00150EDC">
        <w:rPr>
          <w:rFonts w:ascii="Calibri"/>
          <w:sz w:val="24"/>
        </w:rPr>
        <w:t>any</w:t>
      </w:r>
      <w:r w:rsidRPr="00150EDC">
        <w:rPr>
          <w:rFonts w:ascii="Calibri"/>
          <w:spacing w:val="-3"/>
          <w:sz w:val="24"/>
        </w:rPr>
        <w:t xml:space="preserve"> </w:t>
      </w:r>
      <w:r w:rsidRPr="00150EDC">
        <w:rPr>
          <w:rFonts w:ascii="Calibri"/>
          <w:sz w:val="24"/>
        </w:rPr>
        <w:t>Claim</w:t>
      </w:r>
      <w:r w:rsidRPr="00150EDC">
        <w:rPr>
          <w:rFonts w:ascii="Calibri"/>
          <w:spacing w:val="-3"/>
          <w:sz w:val="24"/>
        </w:rPr>
        <w:t xml:space="preserve"> </w:t>
      </w:r>
      <w:r w:rsidRPr="00150EDC">
        <w:rPr>
          <w:rFonts w:ascii="Calibri"/>
          <w:sz w:val="24"/>
        </w:rPr>
        <w:t>without</w:t>
      </w:r>
      <w:r w:rsidRPr="00150EDC">
        <w:rPr>
          <w:rFonts w:ascii="Calibri"/>
          <w:spacing w:val="-4"/>
          <w:sz w:val="24"/>
        </w:rPr>
        <w:t xml:space="preserve"> </w:t>
      </w:r>
      <w:r w:rsidRPr="00150EDC">
        <w:rPr>
          <w:rFonts w:ascii="Calibri"/>
          <w:sz w:val="24"/>
        </w:rPr>
        <w:t>the</w:t>
      </w:r>
      <w:r w:rsidRPr="00150EDC">
        <w:rPr>
          <w:rFonts w:ascii="Calibri"/>
          <w:spacing w:val="-5"/>
          <w:sz w:val="24"/>
        </w:rPr>
        <w:t xml:space="preserve"> </w:t>
      </w:r>
      <w:r w:rsidRPr="00150EDC">
        <w:rPr>
          <w:rFonts w:ascii="Calibri"/>
          <w:sz w:val="24"/>
        </w:rPr>
        <w:t>Beneficiary's</w:t>
      </w:r>
      <w:r w:rsidRPr="00150EDC">
        <w:rPr>
          <w:rFonts w:ascii="Calibri"/>
          <w:spacing w:val="-6"/>
          <w:sz w:val="24"/>
        </w:rPr>
        <w:t xml:space="preserve"> </w:t>
      </w:r>
      <w:r w:rsidRPr="00150EDC">
        <w:rPr>
          <w:rFonts w:ascii="Calibri"/>
          <w:sz w:val="24"/>
        </w:rPr>
        <w:t>prior</w:t>
      </w:r>
      <w:r w:rsidRPr="00150EDC">
        <w:rPr>
          <w:rFonts w:ascii="Calibri"/>
          <w:spacing w:val="-5"/>
          <w:sz w:val="24"/>
        </w:rPr>
        <w:t xml:space="preserve"> </w:t>
      </w:r>
      <w:r w:rsidRPr="00150EDC">
        <w:rPr>
          <w:rFonts w:ascii="Calibri"/>
          <w:sz w:val="24"/>
        </w:rPr>
        <w:t>written consent which it must not unreasonably withhold or delay.</w:t>
      </w:r>
    </w:p>
    <w:p w14:paraId="2B54D1E9" w14:textId="77777777" w:rsidR="004C7180" w:rsidRPr="00150EDC" w:rsidRDefault="004C7180">
      <w:pPr>
        <w:pStyle w:val="BodyText"/>
        <w:spacing w:before="11"/>
        <w:rPr>
          <w:rFonts w:ascii="Calibri"/>
          <w:sz w:val="23"/>
        </w:rPr>
      </w:pPr>
    </w:p>
    <w:p w14:paraId="7005AB73" w14:textId="77777777" w:rsidR="004C7180" w:rsidRPr="00150EDC" w:rsidRDefault="00CF0754" w:rsidP="00B320C7">
      <w:pPr>
        <w:pStyle w:val="ListParagraph"/>
        <w:numPr>
          <w:ilvl w:val="1"/>
          <w:numId w:val="182"/>
        </w:numPr>
        <w:tabs>
          <w:tab w:val="left" w:pos="1064"/>
          <w:tab w:val="left" w:pos="1066"/>
        </w:tabs>
        <w:ind w:right="1303"/>
        <w:rPr>
          <w:rFonts w:ascii="Calibri"/>
          <w:sz w:val="24"/>
        </w:rPr>
      </w:pPr>
      <w:r w:rsidRPr="00150EDC">
        <w:rPr>
          <w:rFonts w:ascii="Calibri"/>
          <w:sz w:val="24"/>
        </w:rPr>
        <w:t>Each</w:t>
      </w:r>
      <w:r w:rsidRPr="00150EDC">
        <w:rPr>
          <w:rFonts w:ascii="Calibri"/>
          <w:spacing w:val="-2"/>
          <w:sz w:val="24"/>
        </w:rPr>
        <w:t xml:space="preserve"> </w:t>
      </w:r>
      <w:r w:rsidRPr="00150EDC">
        <w:rPr>
          <w:rFonts w:ascii="Calibri"/>
          <w:sz w:val="24"/>
        </w:rPr>
        <w:t>Beneficiary</w:t>
      </w:r>
      <w:r w:rsidRPr="00150EDC">
        <w:rPr>
          <w:rFonts w:ascii="Calibri"/>
          <w:spacing w:val="-3"/>
          <w:sz w:val="24"/>
        </w:rPr>
        <w:t xml:space="preserve"> </w:t>
      </w:r>
      <w:r w:rsidRPr="00150EDC">
        <w:rPr>
          <w:rFonts w:ascii="Calibri"/>
          <w:sz w:val="24"/>
        </w:rPr>
        <w:t>must</w:t>
      </w:r>
      <w:r w:rsidRPr="00150EDC">
        <w:rPr>
          <w:rFonts w:ascii="Calibri"/>
          <w:spacing w:val="-4"/>
          <w:sz w:val="24"/>
        </w:rPr>
        <w:t xml:space="preserve"> </w:t>
      </w:r>
      <w:r w:rsidRPr="00150EDC">
        <w:rPr>
          <w:rFonts w:ascii="Calibri"/>
          <w:sz w:val="24"/>
        </w:rPr>
        <w:t>take</w:t>
      </w:r>
      <w:r w:rsidRPr="00150EDC">
        <w:rPr>
          <w:rFonts w:ascii="Calibri"/>
          <w:spacing w:val="-2"/>
          <w:sz w:val="24"/>
        </w:rPr>
        <w:t xml:space="preserve"> </w:t>
      </w:r>
      <w:r w:rsidRPr="00150EDC">
        <w:rPr>
          <w:rFonts w:ascii="Calibri"/>
          <w:sz w:val="24"/>
        </w:rPr>
        <w:t>all</w:t>
      </w:r>
      <w:r w:rsidRPr="00150EDC">
        <w:rPr>
          <w:rFonts w:ascii="Calibri"/>
          <w:spacing w:val="-2"/>
          <w:sz w:val="24"/>
        </w:rPr>
        <w:t xml:space="preserve"> </w:t>
      </w:r>
      <w:r w:rsidRPr="00150EDC">
        <w:rPr>
          <w:rFonts w:ascii="Calibri"/>
          <w:sz w:val="24"/>
        </w:rPr>
        <w:t>reasonable</w:t>
      </w:r>
      <w:r w:rsidRPr="00150EDC">
        <w:rPr>
          <w:rFonts w:ascii="Calibri"/>
          <w:spacing w:val="-2"/>
          <w:sz w:val="24"/>
        </w:rPr>
        <w:t xml:space="preserve"> </w:t>
      </w:r>
      <w:r w:rsidRPr="00150EDC">
        <w:rPr>
          <w:rFonts w:ascii="Calibri"/>
          <w:sz w:val="24"/>
        </w:rPr>
        <w:t>steps</w:t>
      </w:r>
      <w:r w:rsidRPr="00150EDC">
        <w:rPr>
          <w:rFonts w:ascii="Calibri"/>
          <w:spacing w:val="-5"/>
          <w:sz w:val="24"/>
        </w:rPr>
        <w:t xml:space="preserve"> </w:t>
      </w:r>
      <w:r w:rsidRPr="00150EDC">
        <w:rPr>
          <w:rFonts w:ascii="Calibri"/>
          <w:sz w:val="24"/>
        </w:rPr>
        <w:t>to</w:t>
      </w:r>
      <w:r w:rsidRPr="00150EDC">
        <w:rPr>
          <w:rFonts w:ascii="Calibri"/>
          <w:spacing w:val="-2"/>
          <w:sz w:val="24"/>
        </w:rPr>
        <w:t xml:space="preserve"> </w:t>
      </w:r>
      <w:r w:rsidRPr="00150EDC">
        <w:rPr>
          <w:rFonts w:ascii="Calibri"/>
          <w:sz w:val="24"/>
        </w:rPr>
        <w:t>minimise</w:t>
      </w:r>
      <w:r w:rsidRPr="00150EDC">
        <w:rPr>
          <w:rFonts w:ascii="Calibri"/>
          <w:spacing w:val="-2"/>
          <w:sz w:val="24"/>
        </w:rPr>
        <w:t xml:space="preserve"> </w:t>
      </w:r>
      <w:r w:rsidRPr="00150EDC">
        <w:rPr>
          <w:rFonts w:ascii="Calibri"/>
          <w:sz w:val="24"/>
        </w:rPr>
        <w:t>and</w:t>
      </w:r>
      <w:r w:rsidRPr="00150EDC">
        <w:rPr>
          <w:rFonts w:ascii="Calibri"/>
          <w:spacing w:val="-4"/>
          <w:sz w:val="24"/>
        </w:rPr>
        <w:t xml:space="preserve"> </w:t>
      </w:r>
      <w:r w:rsidRPr="00150EDC">
        <w:rPr>
          <w:rFonts w:ascii="Calibri"/>
          <w:sz w:val="24"/>
        </w:rPr>
        <w:t>mitigate</w:t>
      </w:r>
      <w:r w:rsidRPr="00150EDC">
        <w:rPr>
          <w:rFonts w:ascii="Calibri"/>
          <w:spacing w:val="-4"/>
          <w:sz w:val="24"/>
        </w:rPr>
        <w:t xml:space="preserve"> </w:t>
      </w:r>
      <w:r w:rsidRPr="00150EDC">
        <w:rPr>
          <w:rFonts w:ascii="Calibri"/>
          <w:sz w:val="24"/>
        </w:rPr>
        <w:t>any</w:t>
      </w:r>
      <w:r w:rsidRPr="00150EDC">
        <w:rPr>
          <w:rFonts w:ascii="Calibri"/>
          <w:spacing w:val="-3"/>
          <w:sz w:val="24"/>
        </w:rPr>
        <w:t xml:space="preserve"> </w:t>
      </w:r>
      <w:r w:rsidRPr="00150EDC">
        <w:rPr>
          <w:rFonts w:ascii="Calibri"/>
          <w:sz w:val="24"/>
        </w:rPr>
        <w:t>losses</w:t>
      </w:r>
      <w:r w:rsidRPr="00150EDC">
        <w:rPr>
          <w:rFonts w:ascii="Calibri"/>
          <w:spacing w:val="-5"/>
          <w:sz w:val="24"/>
        </w:rPr>
        <w:t xml:space="preserve"> </w:t>
      </w:r>
      <w:r w:rsidRPr="00150EDC">
        <w:rPr>
          <w:rFonts w:ascii="Calibri"/>
          <w:sz w:val="24"/>
        </w:rPr>
        <w:t>that</w:t>
      </w:r>
      <w:r w:rsidRPr="00150EDC">
        <w:rPr>
          <w:rFonts w:ascii="Calibri"/>
          <w:spacing w:val="-2"/>
          <w:sz w:val="24"/>
        </w:rPr>
        <w:t xml:space="preserve"> </w:t>
      </w:r>
      <w:r w:rsidRPr="00150EDC">
        <w:rPr>
          <w:rFonts w:ascii="Calibri"/>
          <w:sz w:val="24"/>
        </w:rPr>
        <w:t>it</w:t>
      </w:r>
      <w:r w:rsidRPr="00150EDC">
        <w:rPr>
          <w:rFonts w:ascii="Calibri"/>
          <w:spacing w:val="-2"/>
          <w:sz w:val="24"/>
        </w:rPr>
        <w:t xml:space="preserve"> </w:t>
      </w:r>
      <w:r w:rsidRPr="00150EDC">
        <w:rPr>
          <w:rFonts w:ascii="Calibri"/>
          <w:sz w:val="24"/>
        </w:rPr>
        <w:t>suffers because of the Claim.</w:t>
      </w:r>
    </w:p>
    <w:p w14:paraId="248F4E22" w14:textId="77777777" w:rsidR="004C7180" w:rsidRPr="00150EDC" w:rsidRDefault="004C7180">
      <w:pPr>
        <w:pStyle w:val="BodyText"/>
        <w:rPr>
          <w:rFonts w:ascii="Calibri"/>
        </w:rPr>
      </w:pPr>
    </w:p>
    <w:p w14:paraId="28B52713" w14:textId="77777777" w:rsidR="004C7180" w:rsidRPr="00150EDC" w:rsidRDefault="00CF0754" w:rsidP="00B320C7">
      <w:pPr>
        <w:pStyle w:val="ListParagraph"/>
        <w:numPr>
          <w:ilvl w:val="1"/>
          <w:numId w:val="182"/>
        </w:numPr>
        <w:tabs>
          <w:tab w:val="left" w:pos="1064"/>
          <w:tab w:val="left" w:pos="1066"/>
        </w:tabs>
        <w:spacing w:before="1"/>
        <w:ind w:right="941"/>
        <w:rPr>
          <w:rFonts w:ascii="Calibri"/>
          <w:sz w:val="24"/>
        </w:rPr>
      </w:pPr>
      <w:r w:rsidRPr="00150EDC">
        <w:rPr>
          <w:rFonts w:ascii="Calibri"/>
          <w:sz w:val="24"/>
        </w:rPr>
        <w:t>If the Indemnifier pays the Beneficiary money under an indemnity and the Beneficiary later recovers money</w:t>
      </w:r>
      <w:r w:rsidRPr="00150EDC">
        <w:rPr>
          <w:rFonts w:ascii="Calibri"/>
          <w:spacing w:val="-3"/>
          <w:sz w:val="24"/>
        </w:rPr>
        <w:t xml:space="preserve"> </w:t>
      </w:r>
      <w:r w:rsidRPr="00150EDC">
        <w:rPr>
          <w:rFonts w:ascii="Calibri"/>
          <w:sz w:val="24"/>
        </w:rPr>
        <w:t>which</w:t>
      </w:r>
      <w:r w:rsidRPr="00150EDC">
        <w:rPr>
          <w:rFonts w:ascii="Calibri"/>
          <w:spacing w:val="-3"/>
          <w:sz w:val="24"/>
        </w:rPr>
        <w:t xml:space="preserve"> </w:t>
      </w:r>
      <w:r w:rsidRPr="00150EDC">
        <w:rPr>
          <w:rFonts w:ascii="Calibri"/>
          <w:sz w:val="24"/>
        </w:rPr>
        <w:t>is</w:t>
      </w:r>
      <w:r w:rsidRPr="00150EDC">
        <w:rPr>
          <w:rFonts w:ascii="Calibri"/>
          <w:spacing w:val="-4"/>
          <w:sz w:val="24"/>
        </w:rPr>
        <w:t xml:space="preserve"> </w:t>
      </w:r>
      <w:r w:rsidRPr="00150EDC">
        <w:rPr>
          <w:rFonts w:ascii="Calibri"/>
          <w:sz w:val="24"/>
        </w:rPr>
        <w:t>directly</w:t>
      </w:r>
      <w:r w:rsidRPr="00150EDC">
        <w:rPr>
          <w:rFonts w:ascii="Calibri"/>
          <w:spacing w:val="-3"/>
          <w:sz w:val="24"/>
        </w:rPr>
        <w:t xml:space="preserve"> </w:t>
      </w:r>
      <w:r w:rsidRPr="00150EDC">
        <w:rPr>
          <w:rFonts w:ascii="Calibri"/>
          <w:sz w:val="24"/>
        </w:rPr>
        <w:t>related</w:t>
      </w:r>
      <w:r w:rsidRPr="00150EDC">
        <w:rPr>
          <w:rFonts w:ascii="Calibri"/>
          <w:spacing w:val="-2"/>
          <w:sz w:val="24"/>
        </w:rPr>
        <w:t xml:space="preserve"> </w:t>
      </w:r>
      <w:r w:rsidRPr="00150EDC">
        <w:rPr>
          <w:rFonts w:ascii="Calibri"/>
          <w:sz w:val="24"/>
        </w:rPr>
        <w:t>to</w:t>
      </w:r>
      <w:r w:rsidRPr="00150EDC">
        <w:rPr>
          <w:rFonts w:ascii="Calibri"/>
          <w:spacing w:val="-3"/>
          <w:sz w:val="24"/>
        </w:rPr>
        <w:t xml:space="preserve"> </w:t>
      </w:r>
      <w:r w:rsidRPr="00150EDC">
        <w:rPr>
          <w:rFonts w:ascii="Calibri"/>
          <w:sz w:val="24"/>
        </w:rPr>
        <w:t>the</w:t>
      </w:r>
      <w:r w:rsidRPr="00150EDC">
        <w:rPr>
          <w:rFonts w:ascii="Calibri"/>
          <w:spacing w:val="-4"/>
          <w:sz w:val="24"/>
        </w:rPr>
        <w:t xml:space="preserve"> </w:t>
      </w:r>
      <w:r w:rsidRPr="00150EDC">
        <w:rPr>
          <w:rFonts w:ascii="Calibri"/>
          <w:sz w:val="24"/>
        </w:rPr>
        <w:t>Claim,</w:t>
      </w:r>
      <w:r w:rsidRPr="00150EDC">
        <w:rPr>
          <w:rFonts w:ascii="Calibri"/>
          <w:spacing w:val="-3"/>
          <w:sz w:val="24"/>
        </w:rPr>
        <w:t xml:space="preserve"> </w:t>
      </w:r>
      <w:r w:rsidRPr="00150EDC">
        <w:rPr>
          <w:rFonts w:ascii="Calibri"/>
          <w:sz w:val="24"/>
        </w:rPr>
        <w:t>the</w:t>
      </w:r>
      <w:r w:rsidRPr="00150EDC">
        <w:rPr>
          <w:rFonts w:ascii="Calibri"/>
          <w:spacing w:val="-6"/>
          <w:sz w:val="24"/>
        </w:rPr>
        <w:t xml:space="preserve"> </w:t>
      </w:r>
      <w:r w:rsidRPr="00150EDC">
        <w:rPr>
          <w:rFonts w:ascii="Calibri"/>
          <w:sz w:val="24"/>
        </w:rPr>
        <w:t>Beneficiary</w:t>
      </w:r>
      <w:r w:rsidRPr="00150EDC">
        <w:rPr>
          <w:rFonts w:ascii="Calibri"/>
          <w:spacing w:val="-3"/>
          <w:sz w:val="24"/>
        </w:rPr>
        <w:t xml:space="preserve"> </w:t>
      </w:r>
      <w:r w:rsidRPr="00150EDC">
        <w:rPr>
          <w:rFonts w:ascii="Calibri"/>
          <w:sz w:val="24"/>
        </w:rPr>
        <w:t>must</w:t>
      </w:r>
      <w:r w:rsidRPr="00150EDC">
        <w:rPr>
          <w:rFonts w:ascii="Calibri"/>
          <w:spacing w:val="-3"/>
          <w:sz w:val="24"/>
        </w:rPr>
        <w:t xml:space="preserve"> </w:t>
      </w:r>
      <w:r w:rsidRPr="00150EDC">
        <w:rPr>
          <w:rFonts w:ascii="Calibri"/>
          <w:sz w:val="24"/>
        </w:rPr>
        <w:t>immediately</w:t>
      </w:r>
      <w:r w:rsidRPr="00150EDC">
        <w:rPr>
          <w:rFonts w:ascii="Calibri"/>
          <w:spacing w:val="-3"/>
          <w:sz w:val="24"/>
        </w:rPr>
        <w:t xml:space="preserve"> </w:t>
      </w:r>
      <w:r w:rsidRPr="00150EDC">
        <w:rPr>
          <w:rFonts w:ascii="Calibri"/>
          <w:sz w:val="24"/>
        </w:rPr>
        <w:t>repay</w:t>
      </w:r>
      <w:r w:rsidRPr="00150EDC">
        <w:rPr>
          <w:rFonts w:ascii="Calibri"/>
          <w:spacing w:val="-4"/>
          <w:sz w:val="24"/>
        </w:rPr>
        <w:t xml:space="preserve"> </w:t>
      </w:r>
      <w:r w:rsidRPr="00150EDC">
        <w:rPr>
          <w:rFonts w:ascii="Calibri"/>
          <w:sz w:val="24"/>
        </w:rPr>
        <w:t>the</w:t>
      </w:r>
      <w:r w:rsidRPr="00150EDC">
        <w:rPr>
          <w:rFonts w:ascii="Calibri"/>
          <w:spacing w:val="-4"/>
          <w:sz w:val="24"/>
        </w:rPr>
        <w:t xml:space="preserve"> </w:t>
      </w:r>
      <w:r w:rsidRPr="00150EDC">
        <w:rPr>
          <w:rFonts w:ascii="Calibri"/>
          <w:sz w:val="24"/>
        </w:rPr>
        <w:t>Indemnifier the lesser of either:</w:t>
      </w:r>
    </w:p>
    <w:p w14:paraId="48A8CAA2" w14:textId="77777777" w:rsidR="004C7180" w:rsidRPr="00150EDC" w:rsidRDefault="004C7180">
      <w:pPr>
        <w:pStyle w:val="BodyText"/>
        <w:spacing w:before="3"/>
        <w:rPr>
          <w:rFonts w:ascii="Calibri"/>
          <w:sz w:val="27"/>
        </w:rPr>
      </w:pPr>
    </w:p>
    <w:p w14:paraId="0E7294AD" w14:textId="77777777" w:rsidR="004C7180" w:rsidRPr="00150EDC" w:rsidRDefault="00CF0754" w:rsidP="00B320C7">
      <w:pPr>
        <w:pStyle w:val="ListParagraph"/>
        <w:numPr>
          <w:ilvl w:val="0"/>
          <w:numId w:val="149"/>
        </w:numPr>
        <w:tabs>
          <w:tab w:val="left" w:pos="1491"/>
          <w:tab w:val="left" w:pos="1494"/>
        </w:tabs>
        <w:ind w:right="1115"/>
        <w:rPr>
          <w:rFonts w:ascii="Calibri"/>
          <w:sz w:val="24"/>
        </w:rPr>
      </w:pPr>
      <w:r w:rsidRPr="00150EDC">
        <w:rPr>
          <w:rFonts w:ascii="Calibri"/>
          <w:sz w:val="24"/>
        </w:rPr>
        <w:t>the</w:t>
      </w:r>
      <w:r w:rsidRPr="00150EDC">
        <w:rPr>
          <w:rFonts w:ascii="Calibri"/>
          <w:spacing w:val="-5"/>
          <w:sz w:val="24"/>
        </w:rPr>
        <w:t xml:space="preserve"> </w:t>
      </w:r>
      <w:r w:rsidRPr="00150EDC">
        <w:rPr>
          <w:rFonts w:ascii="Calibri"/>
          <w:sz w:val="24"/>
        </w:rPr>
        <w:t>sum</w:t>
      </w:r>
      <w:r w:rsidRPr="00150EDC">
        <w:rPr>
          <w:rFonts w:ascii="Calibri"/>
          <w:spacing w:val="-5"/>
          <w:sz w:val="24"/>
        </w:rPr>
        <w:t xml:space="preserve"> </w:t>
      </w:r>
      <w:r w:rsidRPr="00150EDC">
        <w:rPr>
          <w:rFonts w:ascii="Calibri"/>
          <w:sz w:val="24"/>
        </w:rPr>
        <w:t>recovered</w:t>
      </w:r>
      <w:r w:rsidRPr="00150EDC">
        <w:rPr>
          <w:rFonts w:ascii="Calibri"/>
          <w:spacing w:val="-2"/>
          <w:sz w:val="24"/>
        </w:rPr>
        <w:t xml:space="preserve"> </w:t>
      </w:r>
      <w:r w:rsidRPr="00150EDC">
        <w:rPr>
          <w:rFonts w:ascii="Calibri"/>
          <w:sz w:val="24"/>
        </w:rPr>
        <w:t>minus</w:t>
      </w:r>
      <w:r w:rsidRPr="00150EDC">
        <w:rPr>
          <w:rFonts w:ascii="Calibri"/>
          <w:spacing w:val="-3"/>
          <w:sz w:val="24"/>
        </w:rPr>
        <w:t xml:space="preserve"> </w:t>
      </w:r>
      <w:r w:rsidRPr="00150EDC">
        <w:rPr>
          <w:rFonts w:ascii="Calibri"/>
          <w:sz w:val="24"/>
        </w:rPr>
        <w:t>any</w:t>
      </w:r>
      <w:r w:rsidRPr="00150EDC">
        <w:rPr>
          <w:rFonts w:ascii="Calibri"/>
          <w:spacing w:val="-3"/>
          <w:sz w:val="24"/>
        </w:rPr>
        <w:t xml:space="preserve"> </w:t>
      </w:r>
      <w:r w:rsidRPr="00150EDC">
        <w:rPr>
          <w:rFonts w:ascii="Calibri"/>
          <w:sz w:val="24"/>
        </w:rPr>
        <w:t>legitimate amount</w:t>
      </w:r>
      <w:r w:rsidRPr="00150EDC">
        <w:rPr>
          <w:rFonts w:ascii="Calibri"/>
          <w:spacing w:val="-4"/>
          <w:sz w:val="24"/>
        </w:rPr>
        <w:t xml:space="preserve"> </w:t>
      </w:r>
      <w:r w:rsidRPr="00150EDC">
        <w:rPr>
          <w:rFonts w:ascii="Calibri"/>
          <w:sz w:val="24"/>
        </w:rPr>
        <w:t>spent</w:t>
      </w:r>
      <w:r w:rsidRPr="00150EDC">
        <w:rPr>
          <w:rFonts w:ascii="Calibri"/>
          <w:spacing w:val="-2"/>
          <w:sz w:val="24"/>
        </w:rPr>
        <w:t xml:space="preserve"> </w:t>
      </w:r>
      <w:r w:rsidRPr="00150EDC">
        <w:rPr>
          <w:rFonts w:ascii="Calibri"/>
          <w:sz w:val="24"/>
        </w:rPr>
        <w:t>by</w:t>
      </w:r>
      <w:r w:rsidRPr="00150EDC">
        <w:rPr>
          <w:rFonts w:ascii="Calibri"/>
          <w:spacing w:val="-5"/>
          <w:sz w:val="24"/>
        </w:rPr>
        <w:t xml:space="preserve"> </w:t>
      </w:r>
      <w:r w:rsidRPr="00150EDC">
        <w:rPr>
          <w:rFonts w:ascii="Calibri"/>
          <w:sz w:val="24"/>
        </w:rPr>
        <w:t>the</w:t>
      </w:r>
      <w:r w:rsidRPr="00150EDC">
        <w:rPr>
          <w:rFonts w:ascii="Calibri"/>
          <w:spacing w:val="-2"/>
          <w:sz w:val="24"/>
        </w:rPr>
        <w:t xml:space="preserve"> </w:t>
      </w:r>
      <w:r w:rsidRPr="00150EDC">
        <w:rPr>
          <w:rFonts w:ascii="Calibri"/>
          <w:sz w:val="24"/>
        </w:rPr>
        <w:t>Beneficiary</w:t>
      </w:r>
      <w:r w:rsidRPr="00150EDC">
        <w:rPr>
          <w:rFonts w:ascii="Calibri"/>
          <w:spacing w:val="-5"/>
          <w:sz w:val="24"/>
        </w:rPr>
        <w:t xml:space="preserve"> </w:t>
      </w:r>
      <w:r w:rsidRPr="00150EDC">
        <w:rPr>
          <w:rFonts w:ascii="Calibri"/>
          <w:sz w:val="24"/>
        </w:rPr>
        <w:t>when</w:t>
      </w:r>
      <w:r w:rsidRPr="00150EDC">
        <w:rPr>
          <w:rFonts w:ascii="Calibri"/>
          <w:spacing w:val="-1"/>
          <w:sz w:val="24"/>
        </w:rPr>
        <w:t xml:space="preserve"> </w:t>
      </w:r>
      <w:r w:rsidRPr="00150EDC">
        <w:rPr>
          <w:rFonts w:ascii="Calibri"/>
          <w:sz w:val="24"/>
        </w:rPr>
        <w:t>recovering</w:t>
      </w:r>
      <w:r w:rsidRPr="00150EDC">
        <w:rPr>
          <w:rFonts w:ascii="Calibri"/>
          <w:spacing w:val="-5"/>
          <w:sz w:val="24"/>
        </w:rPr>
        <w:t xml:space="preserve"> </w:t>
      </w:r>
      <w:r w:rsidRPr="00150EDC">
        <w:rPr>
          <w:rFonts w:ascii="Calibri"/>
          <w:sz w:val="24"/>
        </w:rPr>
        <w:t>this money; or</w:t>
      </w:r>
    </w:p>
    <w:p w14:paraId="5CBE72EF" w14:textId="77777777" w:rsidR="004C7180" w:rsidRPr="00150EDC" w:rsidRDefault="00CF0754" w:rsidP="00B320C7">
      <w:pPr>
        <w:pStyle w:val="ListParagraph"/>
        <w:numPr>
          <w:ilvl w:val="0"/>
          <w:numId w:val="149"/>
        </w:numPr>
        <w:tabs>
          <w:tab w:val="left" w:pos="1491"/>
        </w:tabs>
        <w:spacing w:before="19"/>
        <w:ind w:left="1491" w:hanging="425"/>
        <w:rPr>
          <w:rFonts w:ascii="Calibri"/>
          <w:sz w:val="24"/>
        </w:rPr>
      </w:pPr>
      <w:r w:rsidRPr="00150EDC">
        <w:rPr>
          <w:rFonts w:ascii="Calibri"/>
          <w:sz w:val="24"/>
        </w:rPr>
        <w:t>the</w:t>
      </w:r>
      <w:r w:rsidRPr="00150EDC">
        <w:rPr>
          <w:rFonts w:ascii="Calibri"/>
          <w:spacing w:val="-7"/>
          <w:sz w:val="24"/>
        </w:rPr>
        <w:t xml:space="preserve"> </w:t>
      </w:r>
      <w:r w:rsidRPr="00150EDC">
        <w:rPr>
          <w:rFonts w:ascii="Calibri"/>
          <w:sz w:val="24"/>
        </w:rPr>
        <w:t>amount</w:t>
      </w:r>
      <w:r w:rsidRPr="00150EDC">
        <w:rPr>
          <w:rFonts w:ascii="Calibri"/>
          <w:spacing w:val="-3"/>
          <w:sz w:val="24"/>
        </w:rPr>
        <w:t xml:space="preserve"> </w:t>
      </w:r>
      <w:r w:rsidRPr="00150EDC">
        <w:rPr>
          <w:rFonts w:ascii="Calibri"/>
          <w:sz w:val="24"/>
        </w:rPr>
        <w:t>the</w:t>
      </w:r>
      <w:r w:rsidRPr="00150EDC">
        <w:rPr>
          <w:rFonts w:ascii="Calibri"/>
          <w:spacing w:val="-2"/>
          <w:sz w:val="24"/>
        </w:rPr>
        <w:t xml:space="preserve"> </w:t>
      </w:r>
      <w:r w:rsidRPr="00150EDC">
        <w:rPr>
          <w:rFonts w:ascii="Calibri"/>
          <w:sz w:val="24"/>
        </w:rPr>
        <w:t>Indemnifier</w:t>
      </w:r>
      <w:r w:rsidRPr="00150EDC">
        <w:rPr>
          <w:rFonts w:ascii="Calibri"/>
          <w:spacing w:val="-3"/>
          <w:sz w:val="24"/>
        </w:rPr>
        <w:t xml:space="preserve"> </w:t>
      </w:r>
      <w:r w:rsidRPr="00150EDC">
        <w:rPr>
          <w:rFonts w:ascii="Calibri"/>
          <w:sz w:val="24"/>
        </w:rPr>
        <w:t>paid</w:t>
      </w:r>
      <w:r w:rsidRPr="00150EDC">
        <w:rPr>
          <w:rFonts w:ascii="Calibri"/>
          <w:spacing w:val="-4"/>
          <w:sz w:val="24"/>
        </w:rPr>
        <w:t xml:space="preserve"> </w:t>
      </w:r>
      <w:r w:rsidRPr="00150EDC">
        <w:rPr>
          <w:rFonts w:ascii="Calibri"/>
          <w:sz w:val="24"/>
        </w:rPr>
        <w:t>the</w:t>
      </w:r>
      <w:r w:rsidRPr="00150EDC">
        <w:rPr>
          <w:rFonts w:ascii="Calibri"/>
          <w:spacing w:val="-1"/>
          <w:sz w:val="24"/>
        </w:rPr>
        <w:t xml:space="preserve"> </w:t>
      </w:r>
      <w:r w:rsidRPr="00150EDC">
        <w:rPr>
          <w:rFonts w:ascii="Calibri"/>
          <w:sz w:val="24"/>
        </w:rPr>
        <w:t>Beneficiary</w:t>
      </w:r>
      <w:r w:rsidRPr="00150EDC">
        <w:rPr>
          <w:rFonts w:ascii="Calibri"/>
          <w:spacing w:val="-8"/>
          <w:sz w:val="24"/>
        </w:rPr>
        <w:t xml:space="preserve"> </w:t>
      </w:r>
      <w:r w:rsidRPr="00150EDC">
        <w:rPr>
          <w:rFonts w:ascii="Calibri"/>
          <w:sz w:val="24"/>
        </w:rPr>
        <w:t>for</w:t>
      </w:r>
      <w:r w:rsidRPr="00150EDC">
        <w:rPr>
          <w:rFonts w:ascii="Calibri"/>
          <w:spacing w:val="-3"/>
          <w:sz w:val="24"/>
        </w:rPr>
        <w:t xml:space="preserve"> </w:t>
      </w:r>
      <w:r w:rsidRPr="00150EDC">
        <w:rPr>
          <w:rFonts w:ascii="Calibri"/>
          <w:sz w:val="24"/>
        </w:rPr>
        <w:t>the</w:t>
      </w:r>
      <w:r w:rsidRPr="00150EDC">
        <w:rPr>
          <w:rFonts w:ascii="Calibri"/>
          <w:spacing w:val="-4"/>
          <w:sz w:val="24"/>
        </w:rPr>
        <w:t xml:space="preserve"> </w:t>
      </w:r>
      <w:r w:rsidRPr="00150EDC">
        <w:rPr>
          <w:rFonts w:ascii="Calibri"/>
          <w:spacing w:val="-2"/>
          <w:sz w:val="24"/>
        </w:rPr>
        <w:t>Claim.</w:t>
      </w:r>
    </w:p>
    <w:p w14:paraId="114C1C9C" w14:textId="77777777" w:rsidR="004C7180" w:rsidRPr="00150EDC" w:rsidRDefault="004C7180">
      <w:pPr>
        <w:pStyle w:val="BodyText"/>
        <w:rPr>
          <w:rFonts w:ascii="Calibri"/>
          <w:sz w:val="26"/>
        </w:rPr>
      </w:pPr>
    </w:p>
    <w:p w14:paraId="2FF241B9" w14:textId="77777777" w:rsidR="004C7180" w:rsidRPr="00150EDC" w:rsidRDefault="00CF0754" w:rsidP="00B320C7">
      <w:pPr>
        <w:pStyle w:val="Heading1"/>
        <w:numPr>
          <w:ilvl w:val="0"/>
          <w:numId w:val="182"/>
        </w:numPr>
        <w:tabs>
          <w:tab w:val="left" w:pos="1217"/>
        </w:tabs>
        <w:ind w:left="1217" w:hanging="650"/>
        <w:jc w:val="left"/>
        <w:rPr>
          <w:rFonts w:ascii="Calibri"/>
        </w:rPr>
      </w:pPr>
      <w:r w:rsidRPr="00150EDC">
        <w:rPr>
          <w:rFonts w:ascii="Calibri"/>
        </w:rPr>
        <w:t>Preventing</w:t>
      </w:r>
      <w:r w:rsidRPr="00150EDC">
        <w:rPr>
          <w:rFonts w:ascii="Calibri"/>
          <w:spacing w:val="-7"/>
        </w:rPr>
        <w:t xml:space="preserve"> </w:t>
      </w:r>
      <w:r w:rsidRPr="00150EDC">
        <w:rPr>
          <w:rFonts w:ascii="Calibri"/>
        </w:rPr>
        <w:t>fraud,</w:t>
      </w:r>
      <w:r w:rsidRPr="00150EDC">
        <w:rPr>
          <w:rFonts w:ascii="Calibri"/>
          <w:spacing w:val="-4"/>
        </w:rPr>
        <w:t xml:space="preserve"> </w:t>
      </w:r>
      <w:r w:rsidRPr="00150EDC">
        <w:rPr>
          <w:rFonts w:ascii="Calibri"/>
        </w:rPr>
        <w:t>bribery</w:t>
      </w:r>
      <w:r w:rsidRPr="00150EDC">
        <w:rPr>
          <w:rFonts w:ascii="Calibri"/>
          <w:spacing w:val="-4"/>
        </w:rPr>
        <w:t xml:space="preserve"> </w:t>
      </w:r>
      <w:r w:rsidRPr="00150EDC">
        <w:rPr>
          <w:rFonts w:ascii="Calibri"/>
        </w:rPr>
        <w:t>and</w:t>
      </w:r>
      <w:r w:rsidRPr="00150EDC">
        <w:rPr>
          <w:rFonts w:ascii="Calibri"/>
          <w:spacing w:val="-4"/>
        </w:rPr>
        <w:t xml:space="preserve"> </w:t>
      </w:r>
      <w:r w:rsidRPr="00150EDC">
        <w:rPr>
          <w:rFonts w:ascii="Calibri"/>
          <w:spacing w:val="-2"/>
        </w:rPr>
        <w:t>corruption</w:t>
      </w:r>
    </w:p>
    <w:p w14:paraId="7BD020C2" w14:textId="77777777" w:rsidR="004C7180" w:rsidRPr="00150EDC" w:rsidRDefault="00CF0754" w:rsidP="00B320C7">
      <w:pPr>
        <w:pStyle w:val="ListParagraph"/>
        <w:numPr>
          <w:ilvl w:val="1"/>
          <w:numId w:val="182"/>
        </w:numPr>
        <w:tabs>
          <w:tab w:val="left" w:pos="1065"/>
        </w:tabs>
        <w:spacing w:before="18"/>
        <w:ind w:left="1065" w:hanging="565"/>
        <w:rPr>
          <w:rFonts w:ascii="Calibri"/>
          <w:sz w:val="24"/>
        </w:rPr>
      </w:pPr>
      <w:r w:rsidRPr="00150EDC">
        <w:rPr>
          <w:rFonts w:ascii="Calibri"/>
          <w:sz w:val="24"/>
        </w:rPr>
        <w:t>The</w:t>
      </w:r>
      <w:r w:rsidRPr="00150EDC">
        <w:rPr>
          <w:rFonts w:ascii="Calibri"/>
          <w:spacing w:val="-2"/>
          <w:sz w:val="24"/>
        </w:rPr>
        <w:t xml:space="preserve"> </w:t>
      </w:r>
      <w:r w:rsidRPr="00150EDC">
        <w:rPr>
          <w:rFonts w:ascii="Calibri"/>
          <w:sz w:val="24"/>
        </w:rPr>
        <w:t>Supplier</w:t>
      </w:r>
      <w:r w:rsidRPr="00150EDC">
        <w:rPr>
          <w:rFonts w:ascii="Calibri"/>
          <w:spacing w:val="-3"/>
          <w:sz w:val="24"/>
        </w:rPr>
        <w:t xml:space="preserve"> </w:t>
      </w:r>
      <w:r w:rsidRPr="00150EDC">
        <w:rPr>
          <w:rFonts w:ascii="Calibri"/>
          <w:sz w:val="24"/>
        </w:rPr>
        <w:t>must</w:t>
      </w:r>
      <w:r w:rsidRPr="00150EDC">
        <w:rPr>
          <w:rFonts w:ascii="Calibri"/>
          <w:spacing w:val="-2"/>
          <w:sz w:val="24"/>
        </w:rPr>
        <w:t xml:space="preserve"> </w:t>
      </w:r>
      <w:r w:rsidRPr="00150EDC">
        <w:rPr>
          <w:rFonts w:ascii="Calibri"/>
          <w:sz w:val="24"/>
        </w:rPr>
        <w:t>not</w:t>
      </w:r>
      <w:r w:rsidRPr="00150EDC">
        <w:rPr>
          <w:rFonts w:ascii="Calibri"/>
          <w:spacing w:val="-2"/>
          <w:sz w:val="24"/>
        </w:rPr>
        <w:t xml:space="preserve"> </w:t>
      </w:r>
      <w:r w:rsidRPr="00150EDC">
        <w:rPr>
          <w:rFonts w:ascii="Calibri"/>
          <w:sz w:val="24"/>
        </w:rPr>
        <w:t>during</w:t>
      </w:r>
      <w:r w:rsidRPr="00150EDC">
        <w:rPr>
          <w:rFonts w:ascii="Calibri"/>
          <w:spacing w:val="-5"/>
          <w:sz w:val="24"/>
        </w:rPr>
        <w:t xml:space="preserve"> </w:t>
      </w:r>
      <w:r w:rsidRPr="00150EDC">
        <w:rPr>
          <w:rFonts w:ascii="Calibri"/>
          <w:sz w:val="24"/>
        </w:rPr>
        <w:t>any</w:t>
      </w:r>
      <w:r w:rsidRPr="00150EDC">
        <w:rPr>
          <w:rFonts w:ascii="Calibri"/>
          <w:spacing w:val="-2"/>
          <w:sz w:val="24"/>
        </w:rPr>
        <w:t xml:space="preserve"> </w:t>
      </w:r>
      <w:r w:rsidRPr="00150EDC">
        <w:rPr>
          <w:rFonts w:ascii="Calibri"/>
          <w:sz w:val="24"/>
        </w:rPr>
        <w:t>Contract</w:t>
      </w:r>
      <w:r w:rsidRPr="00150EDC">
        <w:rPr>
          <w:rFonts w:ascii="Calibri"/>
          <w:spacing w:val="-3"/>
          <w:sz w:val="24"/>
        </w:rPr>
        <w:t xml:space="preserve"> </w:t>
      </w:r>
      <w:r w:rsidRPr="00150EDC">
        <w:rPr>
          <w:rFonts w:ascii="Calibri"/>
          <w:spacing w:val="-2"/>
          <w:sz w:val="24"/>
        </w:rPr>
        <w:t>Period:</w:t>
      </w:r>
    </w:p>
    <w:p w14:paraId="7A85A869" w14:textId="77777777" w:rsidR="004C7180" w:rsidRPr="00150EDC" w:rsidRDefault="004C7180">
      <w:pPr>
        <w:pStyle w:val="BodyText"/>
        <w:spacing w:before="2"/>
        <w:rPr>
          <w:rFonts w:ascii="Calibri"/>
          <w:sz w:val="27"/>
        </w:rPr>
      </w:pPr>
    </w:p>
    <w:p w14:paraId="749AC0BF" w14:textId="77777777" w:rsidR="004C7180" w:rsidRPr="00150EDC" w:rsidRDefault="00CF0754" w:rsidP="00B320C7">
      <w:pPr>
        <w:pStyle w:val="ListParagraph"/>
        <w:numPr>
          <w:ilvl w:val="0"/>
          <w:numId w:val="148"/>
        </w:numPr>
        <w:tabs>
          <w:tab w:val="left" w:pos="1491"/>
        </w:tabs>
        <w:ind w:left="1491" w:hanging="425"/>
        <w:rPr>
          <w:rFonts w:ascii="Calibri"/>
          <w:sz w:val="24"/>
        </w:rPr>
      </w:pPr>
      <w:r w:rsidRPr="00150EDC">
        <w:rPr>
          <w:rFonts w:ascii="Calibri"/>
          <w:sz w:val="24"/>
        </w:rPr>
        <w:t>commit</w:t>
      </w:r>
      <w:r w:rsidRPr="00150EDC">
        <w:rPr>
          <w:rFonts w:ascii="Calibri"/>
          <w:spacing w:val="-2"/>
          <w:sz w:val="24"/>
        </w:rPr>
        <w:t xml:space="preserve"> </w:t>
      </w:r>
      <w:r w:rsidRPr="00150EDC">
        <w:rPr>
          <w:rFonts w:ascii="Calibri"/>
          <w:sz w:val="24"/>
        </w:rPr>
        <w:t>a</w:t>
      </w:r>
      <w:r w:rsidRPr="00150EDC">
        <w:rPr>
          <w:rFonts w:ascii="Calibri"/>
          <w:spacing w:val="-4"/>
          <w:sz w:val="24"/>
        </w:rPr>
        <w:t xml:space="preserve"> </w:t>
      </w:r>
      <w:r w:rsidRPr="00150EDC">
        <w:rPr>
          <w:rFonts w:ascii="Calibri"/>
          <w:sz w:val="24"/>
        </w:rPr>
        <w:t>Prohibited</w:t>
      </w:r>
      <w:r w:rsidRPr="00150EDC">
        <w:rPr>
          <w:rFonts w:ascii="Calibri"/>
          <w:spacing w:val="-1"/>
          <w:sz w:val="24"/>
        </w:rPr>
        <w:t xml:space="preserve"> </w:t>
      </w:r>
      <w:r w:rsidRPr="00150EDC">
        <w:rPr>
          <w:rFonts w:ascii="Calibri"/>
          <w:sz w:val="24"/>
        </w:rPr>
        <w:t>Act</w:t>
      </w:r>
      <w:r w:rsidRPr="00150EDC">
        <w:rPr>
          <w:rFonts w:ascii="Calibri"/>
          <w:spacing w:val="-6"/>
          <w:sz w:val="24"/>
        </w:rPr>
        <w:t xml:space="preserve"> </w:t>
      </w:r>
      <w:r w:rsidRPr="00150EDC">
        <w:rPr>
          <w:rFonts w:ascii="Calibri"/>
          <w:sz w:val="24"/>
        </w:rPr>
        <w:t>or</w:t>
      </w:r>
      <w:r w:rsidRPr="00150EDC">
        <w:rPr>
          <w:rFonts w:ascii="Calibri"/>
          <w:spacing w:val="-2"/>
          <w:sz w:val="24"/>
        </w:rPr>
        <w:t xml:space="preserve"> </w:t>
      </w:r>
      <w:r w:rsidRPr="00150EDC">
        <w:rPr>
          <w:rFonts w:ascii="Calibri"/>
          <w:sz w:val="24"/>
        </w:rPr>
        <w:t>any</w:t>
      </w:r>
      <w:r w:rsidRPr="00150EDC">
        <w:rPr>
          <w:rFonts w:ascii="Calibri"/>
          <w:spacing w:val="-5"/>
          <w:sz w:val="24"/>
        </w:rPr>
        <w:t xml:space="preserve"> </w:t>
      </w:r>
      <w:r w:rsidRPr="00150EDC">
        <w:rPr>
          <w:rFonts w:ascii="Calibri"/>
          <w:sz w:val="24"/>
        </w:rPr>
        <w:t>other</w:t>
      </w:r>
      <w:r w:rsidRPr="00150EDC">
        <w:rPr>
          <w:rFonts w:ascii="Calibri"/>
          <w:spacing w:val="-1"/>
          <w:sz w:val="24"/>
        </w:rPr>
        <w:t xml:space="preserve"> </w:t>
      </w:r>
      <w:r w:rsidRPr="00150EDC">
        <w:rPr>
          <w:rFonts w:ascii="Calibri"/>
          <w:sz w:val="24"/>
        </w:rPr>
        <w:t>criminal</w:t>
      </w:r>
      <w:r w:rsidRPr="00150EDC">
        <w:rPr>
          <w:rFonts w:ascii="Calibri"/>
          <w:spacing w:val="-4"/>
          <w:sz w:val="24"/>
        </w:rPr>
        <w:t xml:space="preserve"> </w:t>
      </w:r>
      <w:r w:rsidRPr="00150EDC">
        <w:rPr>
          <w:rFonts w:ascii="Calibri"/>
          <w:sz w:val="24"/>
        </w:rPr>
        <w:t>offence</w:t>
      </w:r>
      <w:r w:rsidRPr="00150EDC">
        <w:rPr>
          <w:rFonts w:ascii="Calibri"/>
          <w:spacing w:val="-1"/>
          <w:sz w:val="24"/>
        </w:rPr>
        <w:t xml:space="preserve"> </w:t>
      </w:r>
      <w:r w:rsidRPr="00150EDC">
        <w:rPr>
          <w:rFonts w:ascii="Calibri"/>
          <w:sz w:val="24"/>
        </w:rPr>
        <w:t>in</w:t>
      </w:r>
      <w:r w:rsidRPr="00150EDC">
        <w:rPr>
          <w:rFonts w:ascii="Calibri"/>
          <w:spacing w:val="-2"/>
          <w:sz w:val="24"/>
        </w:rPr>
        <w:t xml:space="preserve"> </w:t>
      </w:r>
      <w:r w:rsidRPr="00150EDC">
        <w:rPr>
          <w:rFonts w:ascii="Calibri"/>
          <w:sz w:val="24"/>
        </w:rPr>
        <w:t>the</w:t>
      </w:r>
      <w:r w:rsidRPr="00150EDC">
        <w:rPr>
          <w:rFonts w:ascii="Calibri"/>
          <w:spacing w:val="-4"/>
          <w:sz w:val="24"/>
        </w:rPr>
        <w:t xml:space="preserve"> </w:t>
      </w:r>
      <w:r w:rsidRPr="00150EDC">
        <w:rPr>
          <w:rFonts w:ascii="Calibri"/>
          <w:sz w:val="24"/>
        </w:rPr>
        <w:t>Regulations</w:t>
      </w:r>
      <w:r w:rsidRPr="00150EDC">
        <w:rPr>
          <w:rFonts w:ascii="Calibri"/>
          <w:spacing w:val="-4"/>
          <w:sz w:val="24"/>
        </w:rPr>
        <w:t xml:space="preserve"> </w:t>
      </w:r>
      <w:r w:rsidRPr="00150EDC">
        <w:rPr>
          <w:rFonts w:ascii="Calibri"/>
          <w:sz w:val="24"/>
        </w:rPr>
        <w:t>57(1)</w:t>
      </w:r>
      <w:r w:rsidRPr="00150EDC">
        <w:rPr>
          <w:rFonts w:ascii="Calibri"/>
          <w:spacing w:val="-2"/>
          <w:sz w:val="24"/>
        </w:rPr>
        <w:t xml:space="preserve"> </w:t>
      </w:r>
      <w:r w:rsidRPr="00150EDC">
        <w:rPr>
          <w:rFonts w:ascii="Calibri"/>
          <w:sz w:val="24"/>
        </w:rPr>
        <w:t>and</w:t>
      </w:r>
      <w:r w:rsidRPr="00150EDC">
        <w:rPr>
          <w:rFonts w:ascii="Calibri"/>
          <w:spacing w:val="-3"/>
          <w:sz w:val="24"/>
        </w:rPr>
        <w:t xml:space="preserve"> </w:t>
      </w:r>
      <w:r w:rsidRPr="00150EDC">
        <w:rPr>
          <w:rFonts w:ascii="Calibri"/>
          <w:sz w:val="24"/>
        </w:rPr>
        <w:t>57(2);</w:t>
      </w:r>
      <w:r w:rsidRPr="00150EDC">
        <w:rPr>
          <w:rFonts w:ascii="Calibri"/>
          <w:spacing w:val="-4"/>
          <w:sz w:val="24"/>
        </w:rPr>
        <w:t xml:space="preserve"> </w:t>
      </w:r>
      <w:r w:rsidRPr="00150EDC">
        <w:rPr>
          <w:rFonts w:ascii="Calibri"/>
          <w:spacing w:val="-5"/>
          <w:sz w:val="24"/>
        </w:rPr>
        <w:t>or</w:t>
      </w:r>
    </w:p>
    <w:p w14:paraId="6FE16249" w14:textId="77777777" w:rsidR="004C7180" w:rsidRPr="00150EDC" w:rsidRDefault="00CF0754" w:rsidP="00B320C7">
      <w:pPr>
        <w:pStyle w:val="ListParagraph"/>
        <w:numPr>
          <w:ilvl w:val="0"/>
          <w:numId w:val="148"/>
        </w:numPr>
        <w:tabs>
          <w:tab w:val="left" w:pos="1491"/>
          <w:tab w:val="left" w:pos="1494"/>
        </w:tabs>
        <w:spacing w:before="21"/>
        <w:ind w:right="829"/>
        <w:rPr>
          <w:rFonts w:ascii="Calibri"/>
          <w:sz w:val="24"/>
        </w:rPr>
      </w:pPr>
      <w:r w:rsidRPr="00150EDC">
        <w:rPr>
          <w:rFonts w:ascii="Calibri"/>
          <w:sz w:val="24"/>
        </w:rPr>
        <w:t>do or allow anything which would cause CCS or the Buyer, including any of their employees, consultants,</w:t>
      </w:r>
      <w:r w:rsidRPr="00150EDC">
        <w:rPr>
          <w:rFonts w:ascii="Calibri"/>
          <w:spacing w:val="-5"/>
          <w:sz w:val="24"/>
        </w:rPr>
        <w:t xml:space="preserve"> </w:t>
      </w:r>
      <w:r w:rsidRPr="00150EDC">
        <w:rPr>
          <w:rFonts w:ascii="Calibri"/>
          <w:sz w:val="24"/>
        </w:rPr>
        <w:t>contractors,</w:t>
      </w:r>
      <w:r w:rsidRPr="00150EDC">
        <w:rPr>
          <w:rFonts w:ascii="Calibri"/>
          <w:spacing w:val="-5"/>
          <w:sz w:val="24"/>
        </w:rPr>
        <w:t xml:space="preserve"> </w:t>
      </w:r>
      <w:r w:rsidRPr="00150EDC">
        <w:rPr>
          <w:rFonts w:ascii="Calibri"/>
          <w:sz w:val="24"/>
        </w:rPr>
        <w:t>Subcontractors</w:t>
      </w:r>
      <w:r w:rsidRPr="00150EDC">
        <w:rPr>
          <w:rFonts w:ascii="Calibri"/>
          <w:spacing w:val="-5"/>
          <w:sz w:val="24"/>
        </w:rPr>
        <w:t xml:space="preserve"> </w:t>
      </w:r>
      <w:r w:rsidRPr="00150EDC">
        <w:rPr>
          <w:rFonts w:ascii="Calibri"/>
          <w:sz w:val="24"/>
        </w:rPr>
        <w:t>or</w:t>
      </w:r>
      <w:r w:rsidRPr="00150EDC">
        <w:rPr>
          <w:rFonts w:ascii="Calibri"/>
          <w:spacing w:val="-2"/>
          <w:sz w:val="24"/>
        </w:rPr>
        <w:t xml:space="preserve"> </w:t>
      </w:r>
      <w:r w:rsidRPr="00150EDC">
        <w:rPr>
          <w:rFonts w:ascii="Calibri"/>
          <w:sz w:val="24"/>
        </w:rPr>
        <w:t>agents</w:t>
      </w:r>
      <w:r w:rsidRPr="00150EDC">
        <w:rPr>
          <w:rFonts w:ascii="Calibri"/>
          <w:spacing w:val="-3"/>
          <w:sz w:val="24"/>
        </w:rPr>
        <w:t xml:space="preserve"> </w:t>
      </w:r>
      <w:r w:rsidRPr="00150EDC">
        <w:rPr>
          <w:rFonts w:ascii="Calibri"/>
          <w:sz w:val="24"/>
        </w:rPr>
        <w:t>to</w:t>
      </w:r>
      <w:r w:rsidRPr="00150EDC">
        <w:rPr>
          <w:rFonts w:ascii="Calibri"/>
          <w:spacing w:val="-4"/>
          <w:sz w:val="24"/>
        </w:rPr>
        <w:t xml:space="preserve"> </w:t>
      </w:r>
      <w:r w:rsidRPr="00150EDC">
        <w:rPr>
          <w:rFonts w:ascii="Calibri"/>
          <w:sz w:val="24"/>
        </w:rPr>
        <w:t>breach</w:t>
      </w:r>
      <w:r w:rsidRPr="00150EDC">
        <w:rPr>
          <w:rFonts w:ascii="Calibri"/>
          <w:spacing w:val="-2"/>
          <w:sz w:val="24"/>
        </w:rPr>
        <w:t xml:space="preserve"> </w:t>
      </w:r>
      <w:r w:rsidRPr="00150EDC">
        <w:rPr>
          <w:rFonts w:ascii="Calibri"/>
          <w:sz w:val="24"/>
        </w:rPr>
        <w:t>any</w:t>
      </w:r>
      <w:r w:rsidRPr="00150EDC">
        <w:rPr>
          <w:rFonts w:ascii="Calibri"/>
          <w:spacing w:val="-6"/>
          <w:sz w:val="24"/>
        </w:rPr>
        <w:t xml:space="preserve"> </w:t>
      </w:r>
      <w:r w:rsidRPr="00150EDC">
        <w:rPr>
          <w:rFonts w:ascii="Calibri"/>
          <w:sz w:val="24"/>
        </w:rPr>
        <w:t>of</w:t>
      </w:r>
      <w:r w:rsidRPr="00150EDC">
        <w:rPr>
          <w:rFonts w:ascii="Calibri"/>
          <w:spacing w:val="-4"/>
          <w:sz w:val="24"/>
        </w:rPr>
        <w:t xml:space="preserve"> </w:t>
      </w:r>
      <w:r w:rsidRPr="00150EDC">
        <w:rPr>
          <w:rFonts w:ascii="Calibri"/>
          <w:sz w:val="24"/>
        </w:rPr>
        <w:t>the</w:t>
      </w:r>
      <w:r w:rsidRPr="00150EDC">
        <w:rPr>
          <w:rFonts w:ascii="Calibri"/>
          <w:spacing w:val="-2"/>
          <w:sz w:val="24"/>
        </w:rPr>
        <w:t xml:space="preserve"> </w:t>
      </w:r>
      <w:r w:rsidRPr="00150EDC">
        <w:rPr>
          <w:rFonts w:ascii="Calibri"/>
          <w:sz w:val="24"/>
        </w:rPr>
        <w:t>Relevant</w:t>
      </w:r>
      <w:r w:rsidRPr="00150EDC">
        <w:rPr>
          <w:rFonts w:ascii="Calibri"/>
          <w:spacing w:val="-4"/>
          <w:sz w:val="24"/>
        </w:rPr>
        <w:t xml:space="preserve"> </w:t>
      </w:r>
      <w:r w:rsidRPr="00150EDC">
        <w:rPr>
          <w:rFonts w:ascii="Calibri"/>
          <w:sz w:val="24"/>
        </w:rPr>
        <w:t>Requirements</w:t>
      </w:r>
      <w:r w:rsidRPr="00150EDC">
        <w:rPr>
          <w:rFonts w:ascii="Calibri"/>
          <w:spacing w:val="-5"/>
          <w:sz w:val="24"/>
        </w:rPr>
        <w:t xml:space="preserve"> </w:t>
      </w:r>
      <w:r w:rsidRPr="00150EDC">
        <w:rPr>
          <w:rFonts w:ascii="Calibri"/>
          <w:sz w:val="24"/>
        </w:rPr>
        <w:t>or incur any liability under them.</w:t>
      </w:r>
    </w:p>
    <w:p w14:paraId="348470F3" w14:textId="77777777" w:rsidR="004C7180" w:rsidRPr="00150EDC" w:rsidRDefault="004C7180">
      <w:pPr>
        <w:pStyle w:val="BodyText"/>
        <w:spacing w:before="6"/>
        <w:rPr>
          <w:rFonts w:ascii="Calibri"/>
          <w:sz w:val="25"/>
        </w:rPr>
      </w:pPr>
    </w:p>
    <w:p w14:paraId="57EDD971" w14:textId="77777777" w:rsidR="004C7180" w:rsidRPr="00150EDC" w:rsidRDefault="00CF0754" w:rsidP="00B320C7">
      <w:pPr>
        <w:pStyle w:val="ListParagraph"/>
        <w:numPr>
          <w:ilvl w:val="1"/>
          <w:numId w:val="182"/>
        </w:numPr>
        <w:tabs>
          <w:tab w:val="left" w:pos="1065"/>
        </w:tabs>
        <w:spacing w:before="1"/>
        <w:ind w:left="1065" w:hanging="565"/>
        <w:rPr>
          <w:rFonts w:ascii="Calibri"/>
          <w:sz w:val="24"/>
        </w:rPr>
      </w:pPr>
      <w:r w:rsidRPr="00150EDC">
        <w:rPr>
          <w:rFonts w:ascii="Calibri"/>
          <w:sz w:val="24"/>
        </w:rPr>
        <w:t>The</w:t>
      </w:r>
      <w:r w:rsidRPr="00150EDC">
        <w:rPr>
          <w:rFonts w:ascii="Calibri"/>
          <w:spacing w:val="-2"/>
          <w:sz w:val="24"/>
        </w:rPr>
        <w:t xml:space="preserve"> </w:t>
      </w:r>
      <w:r w:rsidRPr="00150EDC">
        <w:rPr>
          <w:rFonts w:ascii="Calibri"/>
          <w:sz w:val="24"/>
        </w:rPr>
        <w:t>Supplier</w:t>
      </w:r>
      <w:r w:rsidRPr="00150EDC">
        <w:rPr>
          <w:rFonts w:ascii="Calibri"/>
          <w:spacing w:val="-4"/>
          <w:sz w:val="24"/>
        </w:rPr>
        <w:t xml:space="preserve"> </w:t>
      </w:r>
      <w:r w:rsidRPr="00150EDC">
        <w:rPr>
          <w:rFonts w:ascii="Calibri"/>
          <w:sz w:val="24"/>
        </w:rPr>
        <w:t>must</w:t>
      </w:r>
      <w:r w:rsidRPr="00150EDC">
        <w:rPr>
          <w:rFonts w:ascii="Calibri"/>
          <w:spacing w:val="-2"/>
          <w:sz w:val="24"/>
        </w:rPr>
        <w:t xml:space="preserve"> </w:t>
      </w:r>
      <w:r w:rsidRPr="00150EDC">
        <w:rPr>
          <w:rFonts w:ascii="Calibri"/>
          <w:sz w:val="24"/>
        </w:rPr>
        <w:t>during</w:t>
      </w:r>
      <w:r w:rsidRPr="00150EDC">
        <w:rPr>
          <w:rFonts w:ascii="Calibri"/>
          <w:spacing w:val="-2"/>
          <w:sz w:val="24"/>
        </w:rPr>
        <w:t xml:space="preserve"> </w:t>
      </w:r>
      <w:r w:rsidRPr="00150EDC">
        <w:rPr>
          <w:rFonts w:ascii="Calibri"/>
          <w:sz w:val="24"/>
        </w:rPr>
        <w:t>the</w:t>
      </w:r>
      <w:r w:rsidRPr="00150EDC">
        <w:rPr>
          <w:rFonts w:ascii="Calibri"/>
          <w:spacing w:val="-2"/>
          <w:sz w:val="24"/>
        </w:rPr>
        <w:t xml:space="preserve"> </w:t>
      </w:r>
      <w:r w:rsidRPr="00150EDC">
        <w:rPr>
          <w:rFonts w:ascii="Calibri"/>
          <w:sz w:val="24"/>
        </w:rPr>
        <w:t>Contract</w:t>
      </w:r>
      <w:r w:rsidRPr="00150EDC">
        <w:rPr>
          <w:rFonts w:ascii="Calibri"/>
          <w:spacing w:val="-3"/>
          <w:sz w:val="24"/>
        </w:rPr>
        <w:t xml:space="preserve"> </w:t>
      </w:r>
      <w:r w:rsidRPr="00150EDC">
        <w:rPr>
          <w:rFonts w:ascii="Calibri"/>
          <w:spacing w:val="-2"/>
          <w:sz w:val="24"/>
        </w:rPr>
        <w:t>Period:</w:t>
      </w:r>
    </w:p>
    <w:p w14:paraId="5ABBA29C" w14:textId="77777777" w:rsidR="004C7180" w:rsidRPr="00150EDC" w:rsidRDefault="004C7180">
      <w:pPr>
        <w:pStyle w:val="BodyText"/>
        <w:spacing w:before="9"/>
        <w:rPr>
          <w:rFonts w:ascii="Calibri"/>
          <w:sz w:val="25"/>
        </w:rPr>
      </w:pPr>
    </w:p>
    <w:p w14:paraId="6B5A1D5A" w14:textId="77777777" w:rsidR="004C7180" w:rsidRPr="00150EDC" w:rsidRDefault="00CF0754" w:rsidP="00B320C7">
      <w:pPr>
        <w:pStyle w:val="ListParagraph"/>
        <w:numPr>
          <w:ilvl w:val="0"/>
          <w:numId w:val="147"/>
        </w:numPr>
        <w:tabs>
          <w:tab w:val="left" w:pos="1491"/>
          <w:tab w:val="left" w:pos="1494"/>
        </w:tabs>
        <w:ind w:right="791"/>
        <w:rPr>
          <w:rFonts w:ascii="Calibri"/>
          <w:sz w:val="24"/>
        </w:rPr>
      </w:pPr>
      <w:r w:rsidRPr="00150EDC">
        <w:rPr>
          <w:rFonts w:ascii="Calibri"/>
          <w:sz w:val="24"/>
        </w:rPr>
        <w:t>create, maintain and enforce adequate policies and procedures to ensure it complies with the Relevant</w:t>
      </w:r>
      <w:r w:rsidRPr="00150EDC">
        <w:rPr>
          <w:rFonts w:ascii="Calibri"/>
          <w:spacing w:val="-4"/>
          <w:sz w:val="24"/>
        </w:rPr>
        <w:t xml:space="preserve"> </w:t>
      </w:r>
      <w:r w:rsidRPr="00150EDC">
        <w:rPr>
          <w:rFonts w:ascii="Calibri"/>
          <w:sz w:val="24"/>
        </w:rPr>
        <w:t>Requirements</w:t>
      </w:r>
      <w:r w:rsidRPr="00150EDC">
        <w:rPr>
          <w:rFonts w:ascii="Calibri"/>
          <w:spacing w:val="-5"/>
          <w:sz w:val="24"/>
        </w:rPr>
        <w:t xml:space="preserve"> </w:t>
      </w:r>
      <w:r w:rsidRPr="00150EDC">
        <w:rPr>
          <w:rFonts w:ascii="Calibri"/>
          <w:sz w:val="24"/>
        </w:rPr>
        <w:t>to</w:t>
      </w:r>
      <w:r w:rsidRPr="00150EDC">
        <w:rPr>
          <w:rFonts w:ascii="Calibri"/>
          <w:spacing w:val="-2"/>
          <w:sz w:val="24"/>
        </w:rPr>
        <w:t xml:space="preserve"> </w:t>
      </w:r>
      <w:r w:rsidRPr="00150EDC">
        <w:rPr>
          <w:rFonts w:ascii="Calibri"/>
          <w:sz w:val="24"/>
        </w:rPr>
        <w:t>prevent</w:t>
      </w:r>
      <w:r w:rsidRPr="00150EDC">
        <w:rPr>
          <w:rFonts w:ascii="Calibri"/>
          <w:spacing w:val="-2"/>
          <w:sz w:val="24"/>
        </w:rPr>
        <w:t xml:space="preserve"> </w:t>
      </w:r>
      <w:r w:rsidRPr="00150EDC">
        <w:rPr>
          <w:rFonts w:ascii="Calibri"/>
          <w:sz w:val="24"/>
        </w:rPr>
        <w:t>a</w:t>
      </w:r>
      <w:r w:rsidRPr="00150EDC">
        <w:rPr>
          <w:rFonts w:ascii="Calibri"/>
          <w:spacing w:val="-5"/>
          <w:sz w:val="24"/>
        </w:rPr>
        <w:t xml:space="preserve"> </w:t>
      </w:r>
      <w:r w:rsidRPr="00150EDC">
        <w:rPr>
          <w:rFonts w:ascii="Calibri"/>
          <w:sz w:val="24"/>
        </w:rPr>
        <w:t>Prohibited</w:t>
      </w:r>
      <w:r w:rsidRPr="00150EDC">
        <w:rPr>
          <w:rFonts w:ascii="Calibri"/>
          <w:spacing w:val="-4"/>
          <w:sz w:val="24"/>
        </w:rPr>
        <w:t xml:space="preserve"> </w:t>
      </w:r>
      <w:r w:rsidRPr="00150EDC">
        <w:rPr>
          <w:rFonts w:ascii="Calibri"/>
          <w:sz w:val="24"/>
        </w:rPr>
        <w:t>Act</w:t>
      </w:r>
      <w:r w:rsidRPr="00150EDC">
        <w:rPr>
          <w:rFonts w:ascii="Calibri"/>
          <w:spacing w:val="-2"/>
          <w:sz w:val="24"/>
        </w:rPr>
        <w:t xml:space="preserve"> </w:t>
      </w:r>
      <w:r w:rsidRPr="00150EDC">
        <w:rPr>
          <w:rFonts w:ascii="Calibri"/>
          <w:sz w:val="24"/>
        </w:rPr>
        <w:t>and</w:t>
      </w:r>
      <w:r w:rsidRPr="00150EDC">
        <w:rPr>
          <w:rFonts w:ascii="Calibri"/>
          <w:spacing w:val="-2"/>
          <w:sz w:val="24"/>
        </w:rPr>
        <w:t xml:space="preserve"> </w:t>
      </w:r>
      <w:r w:rsidRPr="00150EDC">
        <w:rPr>
          <w:rFonts w:ascii="Calibri"/>
          <w:sz w:val="24"/>
        </w:rPr>
        <w:t>require</w:t>
      </w:r>
      <w:r w:rsidRPr="00150EDC">
        <w:rPr>
          <w:rFonts w:ascii="Calibri"/>
          <w:spacing w:val="-2"/>
          <w:sz w:val="24"/>
        </w:rPr>
        <w:t xml:space="preserve"> </w:t>
      </w:r>
      <w:r w:rsidRPr="00150EDC">
        <w:rPr>
          <w:rFonts w:ascii="Calibri"/>
          <w:sz w:val="24"/>
        </w:rPr>
        <w:t>its</w:t>
      </w:r>
      <w:r w:rsidRPr="00150EDC">
        <w:rPr>
          <w:rFonts w:ascii="Calibri"/>
          <w:spacing w:val="-3"/>
          <w:sz w:val="24"/>
        </w:rPr>
        <w:t xml:space="preserve"> </w:t>
      </w:r>
      <w:r w:rsidRPr="00150EDC">
        <w:rPr>
          <w:rFonts w:ascii="Calibri"/>
          <w:sz w:val="24"/>
        </w:rPr>
        <w:t>Subcontractors</w:t>
      </w:r>
      <w:r w:rsidRPr="00150EDC">
        <w:rPr>
          <w:rFonts w:ascii="Calibri"/>
          <w:spacing w:val="-5"/>
          <w:sz w:val="24"/>
        </w:rPr>
        <w:t xml:space="preserve"> </w:t>
      </w:r>
      <w:r w:rsidRPr="00150EDC">
        <w:rPr>
          <w:rFonts w:ascii="Calibri"/>
          <w:sz w:val="24"/>
        </w:rPr>
        <w:t>to</w:t>
      </w:r>
      <w:r w:rsidRPr="00150EDC">
        <w:rPr>
          <w:rFonts w:ascii="Calibri"/>
          <w:spacing w:val="-5"/>
          <w:sz w:val="24"/>
        </w:rPr>
        <w:t xml:space="preserve"> </w:t>
      </w:r>
      <w:r w:rsidRPr="00150EDC">
        <w:rPr>
          <w:rFonts w:ascii="Calibri"/>
          <w:sz w:val="24"/>
        </w:rPr>
        <w:t>do</w:t>
      </w:r>
      <w:r w:rsidRPr="00150EDC">
        <w:rPr>
          <w:rFonts w:ascii="Calibri"/>
          <w:spacing w:val="-5"/>
          <w:sz w:val="24"/>
        </w:rPr>
        <w:t xml:space="preserve"> </w:t>
      </w:r>
      <w:r w:rsidRPr="00150EDC">
        <w:rPr>
          <w:rFonts w:ascii="Calibri"/>
          <w:sz w:val="24"/>
        </w:rPr>
        <w:t>the same;</w:t>
      </w:r>
    </w:p>
    <w:p w14:paraId="7B24E7FF" w14:textId="77777777" w:rsidR="004C7180" w:rsidRPr="00150EDC" w:rsidRDefault="00CF0754" w:rsidP="00B320C7">
      <w:pPr>
        <w:pStyle w:val="ListParagraph"/>
        <w:numPr>
          <w:ilvl w:val="0"/>
          <w:numId w:val="147"/>
        </w:numPr>
        <w:tabs>
          <w:tab w:val="left" w:pos="1491"/>
          <w:tab w:val="left" w:pos="1494"/>
        </w:tabs>
        <w:spacing w:before="19" w:line="242" w:lineRule="auto"/>
        <w:ind w:right="632"/>
        <w:rPr>
          <w:rFonts w:ascii="Calibri"/>
          <w:sz w:val="24"/>
        </w:rPr>
      </w:pPr>
      <w:r w:rsidRPr="00150EDC">
        <w:rPr>
          <w:rFonts w:ascii="Calibri"/>
          <w:sz w:val="24"/>
        </w:rPr>
        <w:t>keep</w:t>
      </w:r>
      <w:r w:rsidRPr="00150EDC">
        <w:rPr>
          <w:rFonts w:ascii="Calibri"/>
          <w:spacing w:val="-1"/>
          <w:sz w:val="24"/>
        </w:rPr>
        <w:t xml:space="preserve"> </w:t>
      </w:r>
      <w:r w:rsidRPr="00150EDC">
        <w:rPr>
          <w:rFonts w:ascii="Calibri"/>
          <w:sz w:val="24"/>
        </w:rPr>
        <w:t>full</w:t>
      </w:r>
      <w:r w:rsidRPr="00150EDC">
        <w:rPr>
          <w:rFonts w:ascii="Calibri"/>
          <w:spacing w:val="-2"/>
          <w:sz w:val="24"/>
        </w:rPr>
        <w:t xml:space="preserve"> </w:t>
      </w:r>
      <w:r w:rsidRPr="00150EDC">
        <w:rPr>
          <w:rFonts w:ascii="Calibri"/>
          <w:sz w:val="24"/>
        </w:rPr>
        <w:t>records</w:t>
      </w:r>
      <w:r w:rsidRPr="00150EDC">
        <w:rPr>
          <w:rFonts w:ascii="Calibri"/>
          <w:spacing w:val="-4"/>
          <w:sz w:val="24"/>
        </w:rPr>
        <w:t xml:space="preserve"> </w:t>
      </w:r>
      <w:r w:rsidRPr="00150EDC">
        <w:rPr>
          <w:rFonts w:ascii="Calibri"/>
          <w:sz w:val="24"/>
        </w:rPr>
        <w:t>to</w:t>
      </w:r>
      <w:r w:rsidRPr="00150EDC">
        <w:rPr>
          <w:rFonts w:ascii="Calibri"/>
          <w:spacing w:val="-4"/>
          <w:sz w:val="24"/>
        </w:rPr>
        <w:t xml:space="preserve"> </w:t>
      </w:r>
      <w:r w:rsidRPr="00150EDC">
        <w:rPr>
          <w:rFonts w:ascii="Calibri"/>
          <w:sz w:val="24"/>
        </w:rPr>
        <w:t>show</w:t>
      </w:r>
      <w:r w:rsidRPr="00150EDC">
        <w:rPr>
          <w:rFonts w:ascii="Calibri"/>
          <w:spacing w:val="-3"/>
          <w:sz w:val="24"/>
        </w:rPr>
        <w:t xml:space="preserve"> </w:t>
      </w:r>
      <w:r w:rsidRPr="00150EDC">
        <w:rPr>
          <w:rFonts w:ascii="Calibri"/>
          <w:sz w:val="24"/>
        </w:rPr>
        <w:t>it</w:t>
      </w:r>
      <w:r w:rsidRPr="00150EDC">
        <w:rPr>
          <w:rFonts w:ascii="Calibri"/>
          <w:spacing w:val="-1"/>
          <w:sz w:val="24"/>
        </w:rPr>
        <w:t xml:space="preserve"> </w:t>
      </w:r>
      <w:r w:rsidRPr="00150EDC">
        <w:rPr>
          <w:rFonts w:ascii="Calibri"/>
          <w:sz w:val="24"/>
        </w:rPr>
        <w:t>has</w:t>
      </w:r>
      <w:r w:rsidRPr="00150EDC">
        <w:rPr>
          <w:rFonts w:ascii="Calibri"/>
          <w:spacing w:val="-4"/>
          <w:sz w:val="24"/>
        </w:rPr>
        <w:t xml:space="preserve"> </w:t>
      </w:r>
      <w:r w:rsidRPr="00150EDC">
        <w:rPr>
          <w:rFonts w:ascii="Calibri"/>
          <w:sz w:val="24"/>
        </w:rPr>
        <w:t>complied with</w:t>
      </w:r>
      <w:r w:rsidRPr="00150EDC">
        <w:rPr>
          <w:rFonts w:ascii="Calibri"/>
          <w:spacing w:val="-1"/>
          <w:sz w:val="24"/>
        </w:rPr>
        <w:t xml:space="preserve"> </w:t>
      </w:r>
      <w:r w:rsidRPr="00150EDC">
        <w:rPr>
          <w:rFonts w:ascii="Calibri"/>
          <w:sz w:val="24"/>
        </w:rPr>
        <w:t>its</w:t>
      </w:r>
      <w:r w:rsidRPr="00150EDC">
        <w:rPr>
          <w:rFonts w:ascii="Calibri"/>
          <w:spacing w:val="-2"/>
          <w:sz w:val="24"/>
        </w:rPr>
        <w:t xml:space="preserve"> </w:t>
      </w:r>
      <w:r w:rsidRPr="00150EDC">
        <w:rPr>
          <w:rFonts w:ascii="Calibri"/>
          <w:sz w:val="24"/>
        </w:rPr>
        <w:t>obligations</w:t>
      </w:r>
      <w:r w:rsidRPr="00150EDC">
        <w:rPr>
          <w:rFonts w:ascii="Calibri"/>
          <w:spacing w:val="-4"/>
          <w:sz w:val="24"/>
        </w:rPr>
        <w:t xml:space="preserve"> </w:t>
      </w:r>
      <w:r w:rsidRPr="00150EDC">
        <w:rPr>
          <w:rFonts w:ascii="Calibri"/>
          <w:sz w:val="24"/>
        </w:rPr>
        <w:t>under</w:t>
      </w:r>
      <w:r w:rsidRPr="00150EDC">
        <w:rPr>
          <w:rFonts w:ascii="Calibri"/>
          <w:spacing w:val="-3"/>
          <w:sz w:val="24"/>
        </w:rPr>
        <w:t xml:space="preserve"> </w:t>
      </w:r>
      <w:r w:rsidRPr="00150EDC">
        <w:rPr>
          <w:rFonts w:ascii="Calibri"/>
          <w:sz w:val="24"/>
        </w:rPr>
        <w:t>Clause</w:t>
      </w:r>
      <w:r w:rsidRPr="00150EDC">
        <w:rPr>
          <w:rFonts w:ascii="Calibri"/>
          <w:spacing w:val="-1"/>
          <w:sz w:val="24"/>
        </w:rPr>
        <w:t xml:space="preserve"> </w:t>
      </w:r>
      <w:r w:rsidRPr="00150EDC">
        <w:rPr>
          <w:rFonts w:ascii="Calibri"/>
          <w:sz w:val="24"/>
        </w:rPr>
        <w:t>27</w:t>
      </w:r>
      <w:r w:rsidRPr="00150EDC">
        <w:rPr>
          <w:rFonts w:ascii="Calibri"/>
          <w:spacing w:val="-3"/>
          <w:sz w:val="24"/>
        </w:rPr>
        <w:t xml:space="preserve"> </w:t>
      </w:r>
      <w:r w:rsidRPr="00150EDC">
        <w:rPr>
          <w:rFonts w:ascii="Calibri"/>
          <w:sz w:val="24"/>
        </w:rPr>
        <w:t>and</w:t>
      </w:r>
      <w:r w:rsidRPr="00150EDC">
        <w:rPr>
          <w:rFonts w:ascii="Calibri"/>
          <w:spacing w:val="-1"/>
          <w:sz w:val="24"/>
        </w:rPr>
        <w:t xml:space="preserve"> </w:t>
      </w:r>
      <w:r w:rsidRPr="00150EDC">
        <w:rPr>
          <w:rFonts w:ascii="Calibri"/>
          <w:sz w:val="24"/>
        </w:rPr>
        <w:t>give</w:t>
      </w:r>
      <w:r w:rsidRPr="00150EDC">
        <w:rPr>
          <w:rFonts w:ascii="Calibri"/>
          <w:spacing w:val="-1"/>
          <w:sz w:val="24"/>
        </w:rPr>
        <w:t xml:space="preserve"> </w:t>
      </w:r>
      <w:r w:rsidRPr="00150EDC">
        <w:rPr>
          <w:rFonts w:ascii="Calibri"/>
          <w:sz w:val="24"/>
        </w:rPr>
        <w:t>copies</w:t>
      </w:r>
      <w:r w:rsidRPr="00150EDC">
        <w:rPr>
          <w:rFonts w:ascii="Calibri"/>
          <w:spacing w:val="-4"/>
          <w:sz w:val="24"/>
        </w:rPr>
        <w:t xml:space="preserve"> </w:t>
      </w:r>
      <w:r w:rsidRPr="00150EDC">
        <w:rPr>
          <w:rFonts w:ascii="Calibri"/>
          <w:sz w:val="24"/>
        </w:rPr>
        <w:t>to</w:t>
      </w:r>
      <w:r w:rsidRPr="00150EDC">
        <w:rPr>
          <w:rFonts w:ascii="Calibri"/>
          <w:spacing w:val="-4"/>
          <w:sz w:val="24"/>
        </w:rPr>
        <w:t xml:space="preserve"> </w:t>
      </w:r>
      <w:r w:rsidRPr="00150EDC">
        <w:rPr>
          <w:rFonts w:ascii="Calibri"/>
          <w:sz w:val="24"/>
        </w:rPr>
        <w:t>CCS or the Buyer on request; and</w:t>
      </w:r>
    </w:p>
    <w:p w14:paraId="51E52DD4" w14:textId="77777777" w:rsidR="004C7180" w:rsidRPr="00150EDC" w:rsidRDefault="00CF0754" w:rsidP="00B320C7">
      <w:pPr>
        <w:pStyle w:val="ListParagraph"/>
        <w:numPr>
          <w:ilvl w:val="0"/>
          <w:numId w:val="147"/>
        </w:numPr>
        <w:tabs>
          <w:tab w:val="left" w:pos="1492"/>
          <w:tab w:val="left" w:pos="1494"/>
        </w:tabs>
        <w:spacing w:before="15"/>
        <w:ind w:right="712"/>
        <w:rPr>
          <w:rFonts w:ascii="Calibri"/>
          <w:sz w:val="24"/>
        </w:rPr>
      </w:pPr>
      <w:r w:rsidRPr="00150EDC">
        <w:rPr>
          <w:rFonts w:ascii="Calibri"/>
          <w:sz w:val="24"/>
        </w:rPr>
        <w:t>if required by the Relevant Authority, within 20 Working Days of the Start Date of the relevant Contract, and then annually, certify in writing to the Relevant Authority, that they have complied with</w:t>
      </w:r>
      <w:r w:rsidRPr="00150EDC">
        <w:rPr>
          <w:rFonts w:ascii="Calibri"/>
          <w:spacing w:val="-3"/>
          <w:sz w:val="24"/>
        </w:rPr>
        <w:t xml:space="preserve"> </w:t>
      </w:r>
      <w:r w:rsidRPr="00150EDC">
        <w:rPr>
          <w:rFonts w:ascii="Calibri"/>
          <w:sz w:val="24"/>
        </w:rPr>
        <w:t>Clause</w:t>
      </w:r>
      <w:r w:rsidRPr="00150EDC">
        <w:rPr>
          <w:rFonts w:ascii="Calibri"/>
          <w:spacing w:val="-6"/>
          <w:sz w:val="24"/>
        </w:rPr>
        <w:t xml:space="preserve"> </w:t>
      </w:r>
      <w:r w:rsidRPr="00150EDC">
        <w:rPr>
          <w:rFonts w:ascii="Calibri"/>
          <w:sz w:val="24"/>
        </w:rPr>
        <w:t>27,</w:t>
      </w:r>
      <w:r w:rsidRPr="00150EDC">
        <w:rPr>
          <w:rFonts w:ascii="Calibri"/>
          <w:spacing w:val="-6"/>
          <w:sz w:val="24"/>
        </w:rPr>
        <w:t xml:space="preserve"> </w:t>
      </w:r>
      <w:r w:rsidRPr="00150EDC">
        <w:rPr>
          <w:rFonts w:ascii="Calibri"/>
          <w:sz w:val="24"/>
        </w:rPr>
        <w:t>including</w:t>
      </w:r>
      <w:r w:rsidRPr="00150EDC">
        <w:rPr>
          <w:rFonts w:ascii="Calibri"/>
          <w:spacing w:val="-6"/>
          <w:sz w:val="24"/>
        </w:rPr>
        <w:t xml:space="preserve"> </w:t>
      </w:r>
      <w:r w:rsidRPr="00150EDC">
        <w:rPr>
          <w:rFonts w:ascii="Calibri"/>
          <w:sz w:val="24"/>
        </w:rPr>
        <w:t>compliance</w:t>
      </w:r>
      <w:r w:rsidRPr="00150EDC">
        <w:rPr>
          <w:rFonts w:ascii="Calibri"/>
          <w:spacing w:val="-3"/>
          <w:sz w:val="24"/>
        </w:rPr>
        <w:t xml:space="preserve"> </w:t>
      </w:r>
      <w:r w:rsidRPr="00150EDC">
        <w:rPr>
          <w:rFonts w:ascii="Calibri"/>
          <w:sz w:val="24"/>
        </w:rPr>
        <w:t>of</w:t>
      </w:r>
      <w:r w:rsidRPr="00150EDC">
        <w:rPr>
          <w:rFonts w:ascii="Calibri"/>
          <w:spacing w:val="-3"/>
          <w:sz w:val="24"/>
        </w:rPr>
        <w:t xml:space="preserve"> </w:t>
      </w:r>
      <w:r w:rsidRPr="00150EDC">
        <w:rPr>
          <w:rFonts w:ascii="Calibri"/>
          <w:sz w:val="24"/>
        </w:rPr>
        <w:t>Supplier</w:t>
      </w:r>
      <w:r w:rsidRPr="00150EDC">
        <w:rPr>
          <w:rFonts w:ascii="Calibri"/>
          <w:spacing w:val="-3"/>
          <w:sz w:val="24"/>
        </w:rPr>
        <w:t xml:space="preserve"> </w:t>
      </w:r>
      <w:r w:rsidRPr="00150EDC">
        <w:rPr>
          <w:rFonts w:ascii="Calibri"/>
          <w:sz w:val="24"/>
        </w:rPr>
        <w:t>Staff,</w:t>
      </w:r>
      <w:r w:rsidRPr="00150EDC">
        <w:rPr>
          <w:rFonts w:ascii="Calibri"/>
          <w:spacing w:val="-4"/>
          <w:sz w:val="24"/>
        </w:rPr>
        <w:t xml:space="preserve"> </w:t>
      </w:r>
      <w:r w:rsidRPr="00150EDC">
        <w:rPr>
          <w:rFonts w:ascii="Calibri"/>
          <w:sz w:val="24"/>
        </w:rPr>
        <w:t>and</w:t>
      </w:r>
      <w:r w:rsidRPr="00150EDC">
        <w:rPr>
          <w:rFonts w:ascii="Calibri"/>
          <w:spacing w:val="-5"/>
          <w:sz w:val="24"/>
        </w:rPr>
        <w:t xml:space="preserve"> </w:t>
      </w:r>
      <w:r w:rsidRPr="00150EDC">
        <w:rPr>
          <w:rFonts w:ascii="Calibri"/>
          <w:sz w:val="24"/>
        </w:rPr>
        <w:t>provide</w:t>
      </w:r>
      <w:r w:rsidRPr="00150EDC">
        <w:rPr>
          <w:rFonts w:ascii="Calibri"/>
          <w:spacing w:val="-3"/>
          <w:sz w:val="24"/>
        </w:rPr>
        <w:t xml:space="preserve"> </w:t>
      </w:r>
      <w:r w:rsidRPr="00150EDC">
        <w:rPr>
          <w:rFonts w:ascii="Calibri"/>
          <w:sz w:val="24"/>
        </w:rPr>
        <w:t>reasonable</w:t>
      </w:r>
      <w:r w:rsidRPr="00150EDC">
        <w:rPr>
          <w:rFonts w:ascii="Calibri"/>
          <w:spacing w:val="-3"/>
          <w:sz w:val="24"/>
        </w:rPr>
        <w:t xml:space="preserve"> </w:t>
      </w:r>
      <w:r w:rsidRPr="00150EDC">
        <w:rPr>
          <w:rFonts w:ascii="Calibri"/>
          <w:sz w:val="24"/>
        </w:rPr>
        <w:t>supporting</w:t>
      </w:r>
      <w:r w:rsidRPr="00150EDC">
        <w:rPr>
          <w:rFonts w:ascii="Calibri"/>
          <w:spacing w:val="-4"/>
          <w:sz w:val="24"/>
        </w:rPr>
        <w:t xml:space="preserve"> </w:t>
      </w:r>
      <w:r w:rsidRPr="00150EDC">
        <w:rPr>
          <w:rFonts w:ascii="Calibri"/>
          <w:sz w:val="24"/>
        </w:rPr>
        <w:t>evidence of this on request, including its policies and procedures.</w:t>
      </w:r>
    </w:p>
    <w:p w14:paraId="601BF229" w14:textId="77777777" w:rsidR="004C7180" w:rsidRPr="00150EDC" w:rsidRDefault="004C7180">
      <w:pPr>
        <w:rPr>
          <w:rFonts w:ascii="Calibri"/>
          <w:sz w:val="24"/>
        </w:rPr>
        <w:sectPr w:rsidR="004C7180" w:rsidRPr="00150EDC">
          <w:pgSz w:w="11910" w:h="16840"/>
          <w:pgMar w:top="620" w:right="0" w:bottom="2460" w:left="40" w:header="403" w:footer="2245" w:gutter="0"/>
          <w:cols w:space="720"/>
        </w:sectPr>
      </w:pPr>
    </w:p>
    <w:p w14:paraId="2B25E810" w14:textId="77777777" w:rsidR="004C7180" w:rsidRPr="00150EDC" w:rsidRDefault="004C7180">
      <w:pPr>
        <w:pStyle w:val="BodyText"/>
        <w:spacing w:before="1"/>
        <w:rPr>
          <w:rFonts w:ascii="Calibri"/>
          <w:sz w:val="18"/>
        </w:rPr>
      </w:pPr>
    </w:p>
    <w:p w14:paraId="68446721" w14:textId="77777777" w:rsidR="004C7180" w:rsidRPr="00150EDC" w:rsidRDefault="00CF0754" w:rsidP="00B320C7">
      <w:pPr>
        <w:pStyle w:val="ListParagraph"/>
        <w:numPr>
          <w:ilvl w:val="1"/>
          <w:numId w:val="182"/>
        </w:numPr>
        <w:tabs>
          <w:tab w:val="left" w:pos="1065"/>
        </w:tabs>
        <w:spacing w:before="52"/>
        <w:ind w:left="1065" w:hanging="565"/>
        <w:rPr>
          <w:rFonts w:ascii="Calibri"/>
          <w:sz w:val="24"/>
        </w:rPr>
      </w:pPr>
      <w:r w:rsidRPr="00150EDC">
        <w:rPr>
          <w:rFonts w:ascii="Calibri"/>
          <w:sz w:val="24"/>
        </w:rPr>
        <w:t>The</w:t>
      </w:r>
      <w:r w:rsidRPr="00150EDC">
        <w:rPr>
          <w:rFonts w:ascii="Calibri"/>
          <w:spacing w:val="-2"/>
          <w:sz w:val="24"/>
        </w:rPr>
        <w:t xml:space="preserve"> </w:t>
      </w:r>
      <w:r w:rsidRPr="00150EDC">
        <w:rPr>
          <w:rFonts w:ascii="Calibri"/>
          <w:sz w:val="24"/>
        </w:rPr>
        <w:t>Supplier</w:t>
      </w:r>
      <w:r w:rsidRPr="00150EDC">
        <w:rPr>
          <w:rFonts w:ascii="Calibri"/>
          <w:spacing w:val="-3"/>
          <w:sz w:val="24"/>
        </w:rPr>
        <w:t xml:space="preserve"> </w:t>
      </w:r>
      <w:r w:rsidRPr="00150EDC">
        <w:rPr>
          <w:rFonts w:ascii="Calibri"/>
          <w:sz w:val="24"/>
        </w:rPr>
        <w:t>must</w:t>
      </w:r>
      <w:r w:rsidRPr="00150EDC">
        <w:rPr>
          <w:rFonts w:ascii="Calibri"/>
          <w:spacing w:val="-2"/>
          <w:sz w:val="24"/>
        </w:rPr>
        <w:t xml:space="preserve"> </w:t>
      </w:r>
      <w:r w:rsidRPr="00150EDC">
        <w:rPr>
          <w:rFonts w:ascii="Calibri"/>
          <w:sz w:val="24"/>
        </w:rPr>
        <w:t>immediately</w:t>
      </w:r>
      <w:r w:rsidRPr="00150EDC">
        <w:rPr>
          <w:rFonts w:ascii="Calibri"/>
          <w:spacing w:val="-4"/>
          <w:sz w:val="24"/>
        </w:rPr>
        <w:t xml:space="preserve"> </w:t>
      </w:r>
      <w:r w:rsidRPr="00150EDC">
        <w:rPr>
          <w:rFonts w:ascii="Calibri"/>
          <w:sz w:val="24"/>
        </w:rPr>
        <w:t>notify</w:t>
      </w:r>
      <w:r w:rsidRPr="00150EDC">
        <w:rPr>
          <w:rFonts w:ascii="Calibri"/>
          <w:spacing w:val="-2"/>
          <w:sz w:val="24"/>
        </w:rPr>
        <w:t xml:space="preserve"> </w:t>
      </w:r>
      <w:r w:rsidRPr="00150EDC">
        <w:rPr>
          <w:rFonts w:ascii="Calibri"/>
          <w:sz w:val="24"/>
        </w:rPr>
        <w:t>CCS</w:t>
      </w:r>
      <w:r w:rsidRPr="00150EDC">
        <w:rPr>
          <w:rFonts w:ascii="Calibri"/>
          <w:spacing w:val="-3"/>
          <w:sz w:val="24"/>
        </w:rPr>
        <w:t xml:space="preserve"> </w:t>
      </w:r>
      <w:r w:rsidRPr="00150EDC">
        <w:rPr>
          <w:rFonts w:ascii="Calibri"/>
          <w:sz w:val="24"/>
        </w:rPr>
        <w:t>and</w:t>
      </w:r>
      <w:r w:rsidRPr="00150EDC">
        <w:rPr>
          <w:rFonts w:ascii="Calibri"/>
          <w:spacing w:val="-3"/>
          <w:sz w:val="24"/>
        </w:rPr>
        <w:t xml:space="preserve"> </w:t>
      </w:r>
      <w:r w:rsidRPr="00150EDC">
        <w:rPr>
          <w:rFonts w:ascii="Calibri"/>
          <w:sz w:val="24"/>
        </w:rPr>
        <w:t>the</w:t>
      </w:r>
      <w:r w:rsidRPr="00150EDC">
        <w:rPr>
          <w:rFonts w:ascii="Calibri"/>
          <w:spacing w:val="-2"/>
          <w:sz w:val="24"/>
        </w:rPr>
        <w:t xml:space="preserve"> </w:t>
      </w:r>
      <w:r w:rsidRPr="00150EDC">
        <w:rPr>
          <w:rFonts w:ascii="Calibri"/>
          <w:sz w:val="24"/>
        </w:rPr>
        <w:t>Buyer</w:t>
      </w:r>
      <w:r w:rsidRPr="00150EDC">
        <w:rPr>
          <w:rFonts w:ascii="Calibri"/>
          <w:spacing w:val="-2"/>
          <w:sz w:val="24"/>
        </w:rPr>
        <w:t xml:space="preserve"> </w:t>
      </w:r>
      <w:r w:rsidRPr="00150EDC">
        <w:rPr>
          <w:rFonts w:ascii="Calibri"/>
          <w:sz w:val="24"/>
        </w:rPr>
        <w:t>if</w:t>
      </w:r>
      <w:r w:rsidRPr="00150EDC">
        <w:rPr>
          <w:rFonts w:ascii="Calibri"/>
          <w:spacing w:val="-2"/>
          <w:sz w:val="24"/>
        </w:rPr>
        <w:t xml:space="preserve"> </w:t>
      </w:r>
      <w:r w:rsidRPr="00150EDC">
        <w:rPr>
          <w:rFonts w:ascii="Calibri"/>
          <w:sz w:val="24"/>
        </w:rPr>
        <w:t>it</w:t>
      </w:r>
      <w:r w:rsidRPr="00150EDC">
        <w:rPr>
          <w:rFonts w:ascii="Calibri"/>
          <w:spacing w:val="-3"/>
          <w:sz w:val="24"/>
        </w:rPr>
        <w:t xml:space="preserve"> </w:t>
      </w:r>
      <w:r w:rsidRPr="00150EDC">
        <w:rPr>
          <w:rFonts w:ascii="Calibri"/>
          <w:sz w:val="24"/>
        </w:rPr>
        <w:t>becomes</w:t>
      </w:r>
      <w:r w:rsidRPr="00150EDC">
        <w:rPr>
          <w:rFonts w:ascii="Calibri"/>
          <w:spacing w:val="-2"/>
          <w:sz w:val="24"/>
        </w:rPr>
        <w:t xml:space="preserve"> </w:t>
      </w:r>
      <w:r w:rsidRPr="00150EDC">
        <w:rPr>
          <w:rFonts w:ascii="Calibri"/>
          <w:sz w:val="24"/>
        </w:rPr>
        <w:t>aware</w:t>
      </w:r>
      <w:r w:rsidRPr="00150EDC">
        <w:rPr>
          <w:rFonts w:ascii="Calibri"/>
          <w:spacing w:val="-2"/>
          <w:sz w:val="24"/>
        </w:rPr>
        <w:t xml:space="preserve"> </w:t>
      </w:r>
      <w:r w:rsidRPr="00150EDC">
        <w:rPr>
          <w:rFonts w:ascii="Calibri"/>
          <w:sz w:val="24"/>
        </w:rPr>
        <w:t>of</w:t>
      </w:r>
      <w:r w:rsidRPr="00150EDC">
        <w:rPr>
          <w:rFonts w:ascii="Calibri"/>
          <w:spacing w:val="-1"/>
          <w:sz w:val="24"/>
        </w:rPr>
        <w:t xml:space="preserve"> </w:t>
      </w:r>
      <w:r w:rsidRPr="00150EDC">
        <w:rPr>
          <w:rFonts w:ascii="Calibri"/>
          <w:sz w:val="24"/>
        </w:rPr>
        <w:t>any</w:t>
      </w:r>
      <w:r w:rsidRPr="00150EDC">
        <w:rPr>
          <w:rFonts w:ascii="Calibri"/>
          <w:spacing w:val="-3"/>
          <w:sz w:val="24"/>
        </w:rPr>
        <w:t xml:space="preserve"> </w:t>
      </w:r>
      <w:r w:rsidRPr="00150EDC">
        <w:rPr>
          <w:rFonts w:ascii="Calibri"/>
          <w:sz w:val="24"/>
        </w:rPr>
        <w:t>breach</w:t>
      </w:r>
      <w:r w:rsidRPr="00150EDC">
        <w:rPr>
          <w:rFonts w:ascii="Calibri"/>
          <w:spacing w:val="-1"/>
          <w:sz w:val="24"/>
        </w:rPr>
        <w:t xml:space="preserve"> </w:t>
      </w:r>
      <w:r w:rsidRPr="00150EDC">
        <w:rPr>
          <w:rFonts w:ascii="Calibri"/>
          <w:sz w:val="24"/>
        </w:rPr>
        <w:t>of</w:t>
      </w:r>
      <w:r w:rsidRPr="00150EDC">
        <w:rPr>
          <w:rFonts w:ascii="Calibri"/>
          <w:spacing w:val="-1"/>
          <w:sz w:val="24"/>
        </w:rPr>
        <w:t xml:space="preserve"> </w:t>
      </w:r>
      <w:r w:rsidRPr="00150EDC">
        <w:rPr>
          <w:rFonts w:ascii="Calibri"/>
          <w:spacing w:val="-2"/>
          <w:sz w:val="24"/>
        </w:rPr>
        <w:t>Clauses</w:t>
      </w:r>
    </w:p>
    <w:p w14:paraId="23355B78" w14:textId="77777777" w:rsidR="004C7180" w:rsidRPr="00150EDC" w:rsidRDefault="00CF0754">
      <w:pPr>
        <w:pStyle w:val="BodyText"/>
        <w:ind w:left="1066"/>
        <w:rPr>
          <w:rFonts w:ascii="Calibri"/>
        </w:rPr>
      </w:pPr>
      <w:r w:rsidRPr="00150EDC">
        <w:rPr>
          <w:rFonts w:ascii="Calibri"/>
        </w:rPr>
        <w:t>27.1</w:t>
      </w:r>
      <w:r w:rsidRPr="00150EDC">
        <w:rPr>
          <w:rFonts w:ascii="Calibri"/>
          <w:spacing w:val="-4"/>
        </w:rPr>
        <w:t xml:space="preserve"> </w:t>
      </w:r>
      <w:r w:rsidRPr="00150EDC">
        <w:rPr>
          <w:rFonts w:ascii="Calibri"/>
        </w:rPr>
        <w:t>or</w:t>
      </w:r>
      <w:r w:rsidRPr="00150EDC">
        <w:rPr>
          <w:rFonts w:ascii="Calibri"/>
          <w:spacing w:val="-2"/>
        </w:rPr>
        <w:t xml:space="preserve"> </w:t>
      </w:r>
      <w:r w:rsidRPr="00150EDC">
        <w:rPr>
          <w:rFonts w:ascii="Calibri"/>
        </w:rPr>
        <w:t>27.2 or</w:t>
      </w:r>
      <w:r w:rsidRPr="00150EDC">
        <w:rPr>
          <w:rFonts w:ascii="Calibri"/>
          <w:spacing w:val="-2"/>
        </w:rPr>
        <w:t xml:space="preserve"> </w:t>
      </w:r>
      <w:r w:rsidRPr="00150EDC">
        <w:rPr>
          <w:rFonts w:ascii="Calibri"/>
        </w:rPr>
        <w:t>has</w:t>
      </w:r>
      <w:r w:rsidRPr="00150EDC">
        <w:rPr>
          <w:rFonts w:ascii="Calibri"/>
          <w:spacing w:val="-3"/>
        </w:rPr>
        <w:t xml:space="preserve"> </w:t>
      </w:r>
      <w:r w:rsidRPr="00150EDC">
        <w:rPr>
          <w:rFonts w:ascii="Calibri"/>
        </w:rPr>
        <w:t>any</w:t>
      </w:r>
      <w:r w:rsidRPr="00150EDC">
        <w:rPr>
          <w:rFonts w:ascii="Calibri"/>
          <w:spacing w:val="-2"/>
        </w:rPr>
        <w:t xml:space="preserve"> </w:t>
      </w:r>
      <w:r w:rsidRPr="00150EDC">
        <w:rPr>
          <w:rFonts w:ascii="Calibri"/>
        </w:rPr>
        <w:t>reason</w:t>
      </w:r>
      <w:r w:rsidRPr="00150EDC">
        <w:rPr>
          <w:rFonts w:ascii="Calibri"/>
          <w:spacing w:val="-2"/>
        </w:rPr>
        <w:t xml:space="preserve"> </w:t>
      </w:r>
      <w:r w:rsidRPr="00150EDC">
        <w:rPr>
          <w:rFonts w:ascii="Calibri"/>
        </w:rPr>
        <w:t>to</w:t>
      </w:r>
      <w:r w:rsidRPr="00150EDC">
        <w:rPr>
          <w:rFonts w:ascii="Calibri"/>
          <w:spacing w:val="-2"/>
        </w:rPr>
        <w:t xml:space="preserve"> </w:t>
      </w:r>
      <w:r w:rsidRPr="00150EDC">
        <w:rPr>
          <w:rFonts w:ascii="Calibri"/>
        </w:rPr>
        <w:t>think</w:t>
      </w:r>
      <w:r w:rsidRPr="00150EDC">
        <w:rPr>
          <w:rFonts w:ascii="Calibri"/>
          <w:spacing w:val="-2"/>
        </w:rPr>
        <w:t xml:space="preserve"> </w:t>
      </w:r>
      <w:r w:rsidRPr="00150EDC">
        <w:rPr>
          <w:rFonts w:ascii="Calibri"/>
        </w:rPr>
        <w:t>that</w:t>
      </w:r>
      <w:r w:rsidRPr="00150EDC">
        <w:rPr>
          <w:rFonts w:ascii="Calibri"/>
          <w:spacing w:val="-2"/>
        </w:rPr>
        <w:t xml:space="preserve"> </w:t>
      </w:r>
      <w:r w:rsidRPr="00150EDC">
        <w:rPr>
          <w:rFonts w:ascii="Calibri"/>
        </w:rPr>
        <w:t>it,</w:t>
      </w:r>
      <w:r w:rsidRPr="00150EDC">
        <w:rPr>
          <w:rFonts w:ascii="Calibri"/>
          <w:spacing w:val="-3"/>
        </w:rPr>
        <w:t xml:space="preserve"> </w:t>
      </w:r>
      <w:r w:rsidRPr="00150EDC">
        <w:rPr>
          <w:rFonts w:ascii="Calibri"/>
        </w:rPr>
        <w:t>or</w:t>
      </w:r>
      <w:r w:rsidRPr="00150EDC">
        <w:rPr>
          <w:rFonts w:ascii="Calibri"/>
          <w:spacing w:val="-4"/>
        </w:rPr>
        <w:t xml:space="preserve"> </w:t>
      </w:r>
      <w:r w:rsidRPr="00150EDC">
        <w:rPr>
          <w:rFonts w:ascii="Calibri"/>
        </w:rPr>
        <w:t>any</w:t>
      </w:r>
      <w:r w:rsidRPr="00150EDC">
        <w:rPr>
          <w:rFonts w:ascii="Calibri"/>
          <w:spacing w:val="-2"/>
        </w:rPr>
        <w:t xml:space="preserve"> </w:t>
      </w:r>
      <w:r w:rsidRPr="00150EDC">
        <w:rPr>
          <w:rFonts w:ascii="Calibri"/>
        </w:rPr>
        <w:t>of</w:t>
      </w:r>
      <w:r w:rsidRPr="00150EDC">
        <w:rPr>
          <w:rFonts w:ascii="Calibri"/>
          <w:spacing w:val="-2"/>
        </w:rPr>
        <w:t xml:space="preserve"> </w:t>
      </w:r>
      <w:r w:rsidRPr="00150EDC">
        <w:rPr>
          <w:rFonts w:ascii="Calibri"/>
        </w:rPr>
        <w:t>the Supplier</w:t>
      </w:r>
      <w:r w:rsidRPr="00150EDC">
        <w:rPr>
          <w:rFonts w:ascii="Calibri"/>
          <w:spacing w:val="-2"/>
        </w:rPr>
        <w:t xml:space="preserve"> </w:t>
      </w:r>
      <w:r w:rsidRPr="00150EDC">
        <w:rPr>
          <w:rFonts w:ascii="Calibri"/>
        </w:rPr>
        <w:t>Staff,</w:t>
      </w:r>
      <w:r w:rsidRPr="00150EDC">
        <w:rPr>
          <w:rFonts w:ascii="Calibri"/>
          <w:spacing w:val="-3"/>
        </w:rPr>
        <w:t xml:space="preserve"> </w:t>
      </w:r>
      <w:r w:rsidRPr="00150EDC">
        <w:rPr>
          <w:rFonts w:ascii="Calibri"/>
        </w:rPr>
        <w:t>has</w:t>
      </w:r>
      <w:r w:rsidRPr="00150EDC">
        <w:rPr>
          <w:rFonts w:ascii="Calibri"/>
          <w:spacing w:val="-1"/>
        </w:rPr>
        <w:t xml:space="preserve"> </w:t>
      </w:r>
      <w:r w:rsidRPr="00150EDC">
        <w:rPr>
          <w:rFonts w:ascii="Calibri"/>
          <w:spacing w:val="-2"/>
        </w:rPr>
        <w:t>either:</w:t>
      </w:r>
    </w:p>
    <w:p w14:paraId="5102D572" w14:textId="77777777" w:rsidR="004C7180" w:rsidRPr="00150EDC" w:rsidRDefault="004C7180">
      <w:pPr>
        <w:pStyle w:val="BodyText"/>
        <w:spacing w:before="4"/>
        <w:rPr>
          <w:rFonts w:ascii="Calibri"/>
          <w:sz w:val="27"/>
        </w:rPr>
      </w:pPr>
    </w:p>
    <w:p w14:paraId="74C361DC" w14:textId="77777777" w:rsidR="004C7180" w:rsidRPr="00150EDC" w:rsidRDefault="00CF0754" w:rsidP="00B320C7">
      <w:pPr>
        <w:pStyle w:val="ListParagraph"/>
        <w:numPr>
          <w:ilvl w:val="0"/>
          <w:numId w:val="146"/>
        </w:numPr>
        <w:tabs>
          <w:tab w:val="left" w:pos="1491"/>
        </w:tabs>
        <w:ind w:left="1491" w:hanging="425"/>
        <w:rPr>
          <w:rFonts w:ascii="Calibri"/>
          <w:sz w:val="24"/>
        </w:rPr>
      </w:pPr>
      <w:r w:rsidRPr="00150EDC">
        <w:rPr>
          <w:rFonts w:ascii="Calibri"/>
          <w:sz w:val="24"/>
        </w:rPr>
        <w:t>been</w:t>
      </w:r>
      <w:r w:rsidRPr="00150EDC">
        <w:rPr>
          <w:rFonts w:ascii="Calibri"/>
          <w:spacing w:val="-5"/>
          <w:sz w:val="24"/>
        </w:rPr>
        <w:t xml:space="preserve"> </w:t>
      </w:r>
      <w:r w:rsidRPr="00150EDC">
        <w:rPr>
          <w:rFonts w:ascii="Calibri"/>
          <w:sz w:val="24"/>
        </w:rPr>
        <w:t>investigated</w:t>
      </w:r>
      <w:r w:rsidRPr="00150EDC">
        <w:rPr>
          <w:rFonts w:ascii="Calibri"/>
          <w:spacing w:val="-4"/>
          <w:sz w:val="24"/>
        </w:rPr>
        <w:t xml:space="preserve"> </w:t>
      </w:r>
      <w:r w:rsidRPr="00150EDC">
        <w:rPr>
          <w:rFonts w:ascii="Calibri"/>
          <w:sz w:val="24"/>
        </w:rPr>
        <w:t>or</w:t>
      </w:r>
      <w:r w:rsidRPr="00150EDC">
        <w:rPr>
          <w:rFonts w:ascii="Calibri"/>
          <w:spacing w:val="-5"/>
          <w:sz w:val="24"/>
        </w:rPr>
        <w:t xml:space="preserve"> </w:t>
      </w:r>
      <w:r w:rsidRPr="00150EDC">
        <w:rPr>
          <w:rFonts w:ascii="Calibri"/>
          <w:sz w:val="24"/>
        </w:rPr>
        <w:t>prosecuted</w:t>
      </w:r>
      <w:r w:rsidRPr="00150EDC">
        <w:rPr>
          <w:rFonts w:ascii="Calibri"/>
          <w:spacing w:val="-4"/>
          <w:sz w:val="24"/>
        </w:rPr>
        <w:t xml:space="preserve"> </w:t>
      </w:r>
      <w:r w:rsidRPr="00150EDC">
        <w:rPr>
          <w:rFonts w:ascii="Calibri"/>
          <w:sz w:val="24"/>
        </w:rPr>
        <w:t>for</w:t>
      </w:r>
      <w:r w:rsidRPr="00150EDC">
        <w:rPr>
          <w:rFonts w:ascii="Calibri"/>
          <w:spacing w:val="-2"/>
          <w:sz w:val="24"/>
        </w:rPr>
        <w:t xml:space="preserve"> </w:t>
      </w:r>
      <w:r w:rsidRPr="00150EDC">
        <w:rPr>
          <w:rFonts w:ascii="Calibri"/>
          <w:sz w:val="24"/>
        </w:rPr>
        <w:t>an</w:t>
      </w:r>
      <w:r w:rsidRPr="00150EDC">
        <w:rPr>
          <w:rFonts w:ascii="Calibri"/>
          <w:spacing w:val="-3"/>
          <w:sz w:val="24"/>
        </w:rPr>
        <w:t xml:space="preserve"> </w:t>
      </w:r>
      <w:r w:rsidRPr="00150EDC">
        <w:rPr>
          <w:rFonts w:ascii="Calibri"/>
          <w:sz w:val="24"/>
        </w:rPr>
        <w:t>alleged</w:t>
      </w:r>
      <w:r w:rsidRPr="00150EDC">
        <w:rPr>
          <w:rFonts w:ascii="Calibri"/>
          <w:spacing w:val="-4"/>
          <w:sz w:val="24"/>
        </w:rPr>
        <w:t xml:space="preserve"> </w:t>
      </w:r>
      <w:r w:rsidRPr="00150EDC">
        <w:rPr>
          <w:rFonts w:ascii="Calibri"/>
          <w:sz w:val="24"/>
        </w:rPr>
        <w:t>Prohibited</w:t>
      </w:r>
      <w:r w:rsidRPr="00150EDC">
        <w:rPr>
          <w:rFonts w:ascii="Calibri"/>
          <w:spacing w:val="-4"/>
          <w:sz w:val="24"/>
        </w:rPr>
        <w:t xml:space="preserve"> Act;</w:t>
      </w:r>
    </w:p>
    <w:p w14:paraId="068E20E6" w14:textId="77777777" w:rsidR="004C7180" w:rsidRPr="00150EDC" w:rsidRDefault="00CF0754" w:rsidP="00B320C7">
      <w:pPr>
        <w:pStyle w:val="ListParagraph"/>
        <w:numPr>
          <w:ilvl w:val="0"/>
          <w:numId w:val="146"/>
        </w:numPr>
        <w:tabs>
          <w:tab w:val="left" w:pos="1491"/>
          <w:tab w:val="left" w:pos="1494"/>
        </w:tabs>
        <w:spacing w:before="19"/>
        <w:ind w:right="600"/>
        <w:rPr>
          <w:rFonts w:ascii="Calibri"/>
          <w:sz w:val="24"/>
        </w:rPr>
      </w:pPr>
      <w:r w:rsidRPr="00150EDC">
        <w:rPr>
          <w:rFonts w:ascii="Calibri"/>
          <w:sz w:val="24"/>
        </w:rPr>
        <w:t>been</w:t>
      </w:r>
      <w:r w:rsidRPr="00150EDC">
        <w:rPr>
          <w:rFonts w:ascii="Calibri"/>
          <w:spacing w:val="-4"/>
          <w:sz w:val="24"/>
        </w:rPr>
        <w:t xml:space="preserve"> </w:t>
      </w:r>
      <w:r w:rsidRPr="00150EDC">
        <w:rPr>
          <w:rFonts w:ascii="Calibri"/>
          <w:sz w:val="24"/>
        </w:rPr>
        <w:t>debarred,</w:t>
      </w:r>
      <w:r w:rsidRPr="00150EDC">
        <w:rPr>
          <w:rFonts w:ascii="Calibri"/>
          <w:spacing w:val="-3"/>
          <w:sz w:val="24"/>
        </w:rPr>
        <w:t xml:space="preserve"> </w:t>
      </w:r>
      <w:r w:rsidRPr="00150EDC">
        <w:rPr>
          <w:rFonts w:ascii="Calibri"/>
          <w:sz w:val="24"/>
        </w:rPr>
        <w:t>suspended,</w:t>
      </w:r>
      <w:r w:rsidRPr="00150EDC">
        <w:rPr>
          <w:rFonts w:ascii="Calibri"/>
          <w:spacing w:val="-5"/>
          <w:sz w:val="24"/>
        </w:rPr>
        <w:t xml:space="preserve"> </w:t>
      </w:r>
      <w:r w:rsidRPr="00150EDC">
        <w:rPr>
          <w:rFonts w:ascii="Calibri"/>
          <w:sz w:val="24"/>
        </w:rPr>
        <w:t>proposed</w:t>
      </w:r>
      <w:r w:rsidRPr="00150EDC">
        <w:rPr>
          <w:rFonts w:ascii="Calibri"/>
          <w:spacing w:val="-4"/>
          <w:sz w:val="24"/>
        </w:rPr>
        <w:t xml:space="preserve"> </w:t>
      </w:r>
      <w:r w:rsidRPr="00150EDC">
        <w:rPr>
          <w:rFonts w:ascii="Calibri"/>
          <w:sz w:val="24"/>
        </w:rPr>
        <w:t>for</w:t>
      </w:r>
      <w:r w:rsidRPr="00150EDC">
        <w:rPr>
          <w:rFonts w:ascii="Calibri"/>
          <w:spacing w:val="-2"/>
          <w:sz w:val="24"/>
        </w:rPr>
        <w:t xml:space="preserve"> </w:t>
      </w:r>
      <w:r w:rsidRPr="00150EDC">
        <w:rPr>
          <w:rFonts w:ascii="Calibri"/>
          <w:sz w:val="24"/>
        </w:rPr>
        <w:t>suspension</w:t>
      </w:r>
      <w:r w:rsidRPr="00150EDC">
        <w:rPr>
          <w:rFonts w:ascii="Calibri"/>
          <w:spacing w:val="-1"/>
          <w:sz w:val="24"/>
        </w:rPr>
        <w:t xml:space="preserve"> </w:t>
      </w:r>
      <w:r w:rsidRPr="00150EDC">
        <w:rPr>
          <w:rFonts w:ascii="Calibri"/>
          <w:sz w:val="24"/>
        </w:rPr>
        <w:t>or</w:t>
      </w:r>
      <w:r w:rsidRPr="00150EDC">
        <w:rPr>
          <w:rFonts w:ascii="Calibri"/>
          <w:spacing w:val="-4"/>
          <w:sz w:val="24"/>
        </w:rPr>
        <w:t xml:space="preserve"> </w:t>
      </w:r>
      <w:r w:rsidRPr="00150EDC">
        <w:rPr>
          <w:rFonts w:ascii="Calibri"/>
          <w:sz w:val="24"/>
        </w:rPr>
        <w:t>debarment,</w:t>
      </w:r>
      <w:r w:rsidRPr="00150EDC">
        <w:rPr>
          <w:rFonts w:ascii="Calibri"/>
          <w:spacing w:val="-3"/>
          <w:sz w:val="24"/>
        </w:rPr>
        <w:t xml:space="preserve"> </w:t>
      </w:r>
      <w:r w:rsidRPr="00150EDC">
        <w:rPr>
          <w:rFonts w:ascii="Calibri"/>
          <w:sz w:val="24"/>
        </w:rPr>
        <w:t>or</w:t>
      </w:r>
      <w:r w:rsidRPr="00150EDC">
        <w:rPr>
          <w:rFonts w:ascii="Calibri"/>
          <w:spacing w:val="-4"/>
          <w:sz w:val="24"/>
        </w:rPr>
        <w:t xml:space="preserve"> </w:t>
      </w:r>
      <w:r w:rsidRPr="00150EDC">
        <w:rPr>
          <w:rFonts w:ascii="Calibri"/>
          <w:sz w:val="24"/>
        </w:rPr>
        <w:t>is</w:t>
      </w:r>
      <w:r w:rsidRPr="00150EDC">
        <w:rPr>
          <w:rFonts w:ascii="Calibri"/>
          <w:spacing w:val="-5"/>
          <w:sz w:val="24"/>
        </w:rPr>
        <w:t xml:space="preserve"> </w:t>
      </w:r>
      <w:r w:rsidRPr="00150EDC">
        <w:rPr>
          <w:rFonts w:ascii="Calibri"/>
          <w:sz w:val="24"/>
        </w:rPr>
        <w:t>otherwise</w:t>
      </w:r>
      <w:r w:rsidRPr="00150EDC">
        <w:rPr>
          <w:rFonts w:ascii="Calibri"/>
          <w:spacing w:val="-2"/>
          <w:sz w:val="24"/>
        </w:rPr>
        <w:t xml:space="preserve"> </w:t>
      </w:r>
      <w:r w:rsidRPr="00150EDC">
        <w:rPr>
          <w:rFonts w:ascii="Calibri"/>
          <w:sz w:val="24"/>
        </w:rPr>
        <w:t>ineligible</w:t>
      </w:r>
      <w:r w:rsidRPr="00150EDC">
        <w:rPr>
          <w:rFonts w:ascii="Calibri"/>
          <w:spacing w:val="-5"/>
          <w:sz w:val="24"/>
        </w:rPr>
        <w:t xml:space="preserve"> </w:t>
      </w:r>
      <w:r w:rsidRPr="00150EDC">
        <w:rPr>
          <w:rFonts w:ascii="Calibri"/>
          <w:sz w:val="24"/>
        </w:rPr>
        <w:t>to</w:t>
      </w:r>
      <w:r w:rsidRPr="00150EDC">
        <w:rPr>
          <w:rFonts w:ascii="Calibri"/>
          <w:spacing w:val="-5"/>
          <w:sz w:val="24"/>
        </w:rPr>
        <w:t xml:space="preserve"> </w:t>
      </w:r>
      <w:r w:rsidRPr="00150EDC">
        <w:rPr>
          <w:rFonts w:ascii="Calibri"/>
          <w:sz w:val="24"/>
        </w:rPr>
        <w:t>take part in procurement programmes or contracts because of a Prohibited Act by any government department or agency;</w:t>
      </w:r>
    </w:p>
    <w:p w14:paraId="1590C14B" w14:textId="77777777" w:rsidR="004C7180" w:rsidRPr="00150EDC" w:rsidRDefault="00CF0754" w:rsidP="00B320C7">
      <w:pPr>
        <w:pStyle w:val="ListParagraph"/>
        <w:numPr>
          <w:ilvl w:val="0"/>
          <w:numId w:val="146"/>
        </w:numPr>
        <w:tabs>
          <w:tab w:val="left" w:pos="1492"/>
          <w:tab w:val="left" w:pos="1494"/>
        </w:tabs>
        <w:spacing w:before="19" w:line="242" w:lineRule="auto"/>
        <w:ind w:right="906"/>
        <w:rPr>
          <w:rFonts w:ascii="Calibri"/>
          <w:sz w:val="24"/>
        </w:rPr>
      </w:pPr>
      <w:r w:rsidRPr="00150EDC">
        <w:rPr>
          <w:rFonts w:ascii="Calibri"/>
          <w:sz w:val="24"/>
        </w:rPr>
        <w:t>received a</w:t>
      </w:r>
      <w:r w:rsidRPr="00150EDC">
        <w:rPr>
          <w:rFonts w:ascii="Calibri"/>
          <w:spacing w:val="-4"/>
          <w:sz w:val="24"/>
        </w:rPr>
        <w:t xml:space="preserve"> </w:t>
      </w:r>
      <w:r w:rsidRPr="00150EDC">
        <w:rPr>
          <w:rFonts w:ascii="Calibri"/>
          <w:sz w:val="24"/>
        </w:rPr>
        <w:t>request</w:t>
      </w:r>
      <w:r w:rsidRPr="00150EDC">
        <w:rPr>
          <w:rFonts w:ascii="Calibri"/>
          <w:spacing w:val="-1"/>
          <w:sz w:val="24"/>
        </w:rPr>
        <w:t xml:space="preserve"> </w:t>
      </w:r>
      <w:r w:rsidRPr="00150EDC">
        <w:rPr>
          <w:rFonts w:ascii="Calibri"/>
          <w:sz w:val="24"/>
        </w:rPr>
        <w:t>or</w:t>
      </w:r>
      <w:r w:rsidRPr="00150EDC">
        <w:rPr>
          <w:rFonts w:ascii="Calibri"/>
          <w:spacing w:val="-3"/>
          <w:sz w:val="24"/>
        </w:rPr>
        <w:t xml:space="preserve"> </w:t>
      </w:r>
      <w:r w:rsidRPr="00150EDC">
        <w:rPr>
          <w:rFonts w:ascii="Calibri"/>
          <w:sz w:val="24"/>
        </w:rPr>
        <w:t>demand</w:t>
      </w:r>
      <w:r w:rsidRPr="00150EDC">
        <w:rPr>
          <w:rFonts w:ascii="Calibri"/>
          <w:spacing w:val="-3"/>
          <w:sz w:val="24"/>
        </w:rPr>
        <w:t xml:space="preserve"> </w:t>
      </w:r>
      <w:r w:rsidRPr="00150EDC">
        <w:rPr>
          <w:rFonts w:ascii="Calibri"/>
          <w:sz w:val="24"/>
        </w:rPr>
        <w:t>for</w:t>
      </w:r>
      <w:r w:rsidRPr="00150EDC">
        <w:rPr>
          <w:rFonts w:ascii="Calibri"/>
          <w:spacing w:val="-3"/>
          <w:sz w:val="24"/>
        </w:rPr>
        <w:t xml:space="preserve"> </w:t>
      </w:r>
      <w:r w:rsidRPr="00150EDC">
        <w:rPr>
          <w:rFonts w:ascii="Calibri"/>
          <w:sz w:val="24"/>
        </w:rPr>
        <w:t>any</w:t>
      </w:r>
      <w:r w:rsidRPr="00150EDC">
        <w:rPr>
          <w:rFonts w:ascii="Calibri"/>
          <w:spacing w:val="-5"/>
          <w:sz w:val="24"/>
        </w:rPr>
        <w:t xml:space="preserve"> </w:t>
      </w:r>
      <w:r w:rsidRPr="00150EDC">
        <w:rPr>
          <w:rFonts w:ascii="Calibri"/>
          <w:sz w:val="24"/>
        </w:rPr>
        <w:t>undue</w:t>
      </w:r>
      <w:r w:rsidRPr="00150EDC">
        <w:rPr>
          <w:rFonts w:ascii="Calibri"/>
          <w:spacing w:val="-1"/>
          <w:sz w:val="24"/>
        </w:rPr>
        <w:t xml:space="preserve"> </w:t>
      </w:r>
      <w:r w:rsidRPr="00150EDC">
        <w:rPr>
          <w:rFonts w:ascii="Calibri"/>
          <w:sz w:val="24"/>
        </w:rPr>
        <w:t>financial</w:t>
      </w:r>
      <w:r w:rsidRPr="00150EDC">
        <w:rPr>
          <w:rFonts w:ascii="Calibri"/>
          <w:spacing w:val="-1"/>
          <w:sz w:val="24"/>
        </w:rPr>
        <w:t xml:space="preserve"> </w:t>
      </w:r>
      <w:r w:rsidRPr="00150EDC">
        <w:rPr>
          <w:rFonts w:ascii="Calibri"/>
          <w:sz w:val="24"/>
        </w:rPr>
        <w:t>or</w:t>
      </w:r>
      <w:r w:rsidRPr="00150EDC">
        <w:rPr>
          <w:rFonts w:ascii="Calibri"/>
          <w:spacing w:val="-3"/>
          <w:sz w:val="24"/>
        </w:rPr>
        <w:t xml:space="preserve"> </w:t>
      </w:r>
      <w:r w:rsidRPr="00150EDC">
        <w:rPr>
          <w:rFonts w:ascii="Calibri"/>
          <w:sz w:val="24"/>
        </w:rPr>
        <w:t>other</w:t>
      </w:r>
      <w:r w:rsidRPr="00150EDC">
        <w:rPr>
          <w:rFonts w:ascii="Calibri"/>
          <w:spacing w:val="-3"/>
          <w:sz w:val="24"/>
        </w:rPr>
        <w:t xml:space="preserve"> </w:t>
      </w:r>
      <w:r w:rsidRPr="00150EDC">
        <w:rPr>
          <w:rFonts w:ascii="Calibri"/>
          <w:sz w:val="24"/>
        </w:rPr>
        <w:t>advantage</w:t>
      </w:r>
      <w:r w:rsidRPr="00150EDC">
        <w:rPr>
          <w:rFonts w:ascii="Calibri"/>
          <w:spacing w:val="-6"/>
          <w:sz w:val="24"/>
        </w:rPr>
        <w:t xml:space="preserve"> </w:t>
      </w:r>
      <w:r w:rsidRPr="00150EDC">
        <w:rPr>
          <w:rFonts w:ascii="Calibri"/>
          <w:sz w:val="24"/>
        </w:rPr>
        <w:t>of any</w:t>
      </w:r>
      <w:r w:rsidRPr="00150EDC">
        <w:rPr>
          <w:rFonts w:ascii="Calibri"/>
          <w:spacing w:val="-2"/>
          <w:sz w:val="24"/>
        </w:rPr>
        <w:t xml:space="preserve"> </w:t>
      </w:r>
      <w:r w:rsidRPr="00150EDC">
        <w:rPr>
          <w:rFonts w:ascii="Calibri"/>
          <w:sz w:val="24"/>
        </w:rPr>
        <w:t>kind</w:t>
      </w:r>
      <w:r w:rsidRPr="00150EDC">
        <w:rPr>
          <w:rFonts w:ascii="Calibri"/>
          <w:spacing w:val="-3"/>
          <w:sz w:val="24"/>
        </w:rPr>
        <w:t xml:space="preserve"> </w:t>
      </w:r>
      <w:r w:rsidRPr="00150EDC">
        <w:rPr>
          <w:rFonts w:ascii="Calibri"/>
          <w:sz w:val="24"/>
        </w:rPr>
        <w:t>related</w:t>
      </w:r>
      <w:r w:rsidRPr="00150EDC">
        <w:rPr>
          <w:rFonts w:ascii="Calibri"/>
          <w:spacing w:val="-3"/>
          <w:sz w:val="24"/>
        </w:rPr>
        <w:t xml:space="preserve"> </w:t>
      </w:r>
      <w:r w:rsidRPr="00150EDC">
        <w:rPr>
          <w:rFonts w:ascii="Calibri"/>
          <w:sz w:val="24"/>
        </w:rPr>
        <w:t>to</w:t>
      </w:r>
      <w:r w:rsidRPr="00150EDC">
        <w:rPr>
          <w:rFonts w:ascii="Calibri"/>
          <w:spacing w:val="-1"/>
          <w:sz w:val="24"/>
        </w:rPr>
        <w:t xml:space="preserve"> </w:t>
      </w:r>
      <w:r w:rsidRPr="00150EDC">
        <w:rPr>
          <w:rFonts w:ascii="Calibri"/>
          <w:sz w:val="24"/>
        </w:rPr>
        <w:t>a Contract; or</w:t>
      </w:r>
    </w:p>
    <w:p w14:paraId="6D541463" w14:textId="77777777" w:rsidR="004C7180" w:rsidRPr="00150EDC" w:rsidRDefault="00CF0754" w:rsidP="00B320C7">
      <w:pPr>
        <w:pStyle w:val="ListParagraph"/>
        <w:numPr>
          <w:ilvl w:val="0"/>
          <w:numId w:val="146"/>
        </w:numPr>
        <w:tabs>
          <w:tab w:val="left" w:pos="1491"/>
          <w:tab w:val="left" w:pos="1494"/>
        </w:tabs>
        <w:spacing w:before="15"/>
        <w:ind w:right="1097"/>
        <w:rPr>
          <w:rFonts w:ascii="Calibri"/>
          <w:sz w:val="24"/>
        </w:rPr>
      </w:pPr>
      <w:r w:rsidRPr="00150EDC">
        <w:rPr>
          <w:rFonts w:ascii="Calibri"/>
          <w:sz w:val="24"/>
        </w:rPr>
        <w:t>suspected</w:t>
      </w:r>
      <w:r w:rsidRPr="00150EDC">
        <w:rPr>
          <w:rFonts w:ascii="Calibri"/>
          <w:spacing w:val="-4"/>
          <w:sz w:val="24"/>
        </w:rPr>
        <w:t xml:space="preserve"> </w:t>
      </w:r>
      <w:r w:rsidRPr="00150EDC">
        <w:rPr>
          <w:rFonts w:ascii="Calibri"/>
          <w:sz w:val="24"/>
        </w:rPr>
        <w:t>that</w:t>
      </w:r>
      <w:r w:rsidRPr="00150EDC">
        <w:rPr>
          <w:rFonts w:ascii="Calibri"/>
          <w:spacing w:val="-2"/>
          <w:sz w:val="24"/>
        </w:rPr>
        <w:t xml:space="preserve"> </w:t>
      </w:r>
      <w:r w:rsidRPr="00150EDC">
        <w:rPr>
          <w:rFonts w:ascii="Calibri"/>
          <w:sz w:val="24"/>
        </w:rPr>
        <w:t>any</w:t>
      </w:r>
      <w:r w:rsidRPr="00150EDC">
        <w:rPr>
          <w:rFonts w:ascii="Calibri"/>
          <w:spacing w:val="-3"/>
          <w:sz w:val="24"/>
        </w:rPr>
        <w:t xml:space="preserve"> </w:t>
      </w:r>
      <w:r w:rsidRPr="00150EDC">
        <w:rPr>
          <w:rFonts w:ascii="Calibri"/>
          <w:sz w:val="24"/>
        </w:rPr>
        <w:t>person</w:t>
      </w:r>
      <w:r w:rsidRPr="00150EDC">
        <w:rPr>
          <w:rFonts w:ascii="Calibri"/>
          <w:spacing w:val="-2"/>
          <w:sz w:val="24"/>
        </w:rPr>
        <w:t xml:space="preserve"> </w:t>
      </w:r>
      <w:r w:rsidRPr="00150EDC">
        <w:rPr>
          <w:rFonts w:ascii="Calibri"/>
          <w:sz w:val="24"/>
        </w:rPr>
        <w:t>or</w:t>
      </w:r>
      <w:r w:rsidRPr="00150EDC">
        <w:rPr>
          <w:rFonts w:ascii="Calibri"/>
          <w:spacing w:val="-4"/>
          <w:sz w:val="24"/>
        </w:rPr>
        <w:t xml:space="preserve"> </w:t>
      </w:r>
      <w:r w:rsidRPr="00150EDC">
        <w:rPr>
          <w:rFonts w:ascii="Calibri"/>
          <w:sz w:val="24"/>
        </w:rPr>
        <w:t>Party</w:t>
      </w:r>
      <w:r w:rsidRPr="00150EDC">
        <w:rPr>
          <w:rFonts w:ascii="Calibri"/>
          <w:spacing w:val="-3"/>
          <w:sz w:val="24"/>
        </w:rPr>
        <w:t xml:space="preserve"> </w:t>
      </w:r>
      <w:r w:rsidRPr="00150EDC">
        <w:rPr>
          <w:rFonts w:ascii="Calibri"/>
          <w:sz w:val="24"/>
        </w:rPr>
        <w:t>directly</w:t>
      </w:r>
      <w:r w:rsidRPr="00150EDC">
        <w:rPr>
          <w:rFonts w:ascii="Calibri"/>
          <w:spacing w:val="-3"/>
          <w:sz w:val="24"/>
        </w:rPr>
        <w:t xml:space="preserve"> </w:t>
      </w:r>
      <w:r w:rsidRPr="00150EDC">
        <w:rPr>
          <w:rFonts w:ascii="Calibri"/>
          <w:sz w:val="24"/>
        </w:rPr>
        <w:t>or</w:t>
      </w:r>
      <w:r w:rsidRPr="00150EDC">
        <w:rPr>
          <w:rFonts w:ascii="Calibri"/>
          <w:spacing w:val="-4"/>
          <w:sz w:val="24"/>
        </w:rPr>
        <w:t xml:space="preserve"> </w:t>
      </w:r>
      <w:r w:rsidRPr="00150EDC">
        <w:rPr>
          <w:rFonts w:ascii="Calibri"/>
          <w:sz w:val="24"/>
        </w:rPr>
        <w:t>indirectly</w:t>
      </w:r>
      <w:r w:rsidRPr="00150EDC">
        <w:rPr>
          <w:rFonts w:ascii="Calibri"/>
          <w:spacing w:val="-3"/>
          <w:sz w:val="24"/>
        </w:rPr>
        <w:t xml:space="preserve"> </w:t>
      </w:r>
      <w:r w:rsidRPr="00150EDC">
        <w:rPr>
          <w:rFonts w:ascii="Calibri"/>
          <w:sz w:val="24"/>
        </w:rPr>
        <w:t>related</w:t>
      </w:r>
      <w:r w:rsidRPr="00150EDC">
        <w:rPr>
          <w:rFonts w:ascii="Calibri"/>
          <w:spacing w:val="-4"/>
          <w:sz w:val="24"/>
        </w:rPr>
        <w:t xml:space="preserve"> </w:t>
      </w:r>
      <w:r w:rsidRPr="00150EDC">
        <w:rPr>
          <w:rFonts w:ascii="Calibri"/>
          <w:sz w:val="24"/>
        </w:rPr>
        <w:t>to</w:t>
      </w:r>
      <w:r w:rsidRPr="00150EDC">
        <w:rPr>
          <w:rFonts w:ascii="Calibri"/>
          <w:spacing w:val="-2"/>
          <w:sz w:val="24"/>
        </w:rPr>
        <w:t xml:space="preserve"> </w:t>
      </w:r>
      <w:r w:rsidRPr="00150EDC">
        <w:rPr>
          <w:rFonts w:ascii="Calibri"/>
          <w:sz w:val="24"/>
        </w:rPr>
        <w:t>a</w:t>
      </w:r>
      <w:r w:rsidRPr="00150EDC">
        <w:rPr>
          <w:rFonts w:ascii="Calibri"/>
          <w:spacing w:val="-5"/>
          <w:sz w:val="24"/>
        </w:rPr>
        <w:t xml:space="preserve"> </w:t>
      </w:r>
      <w:r w:rsidRPr="00150EDC">
        <w:rPr>
          <w:rFonts w:ascii="Calibri"/>
          <w:sz w:val="24"/>
        </w:rPr>
        <w:t>Contract</w:t>
      </w:r>
      <w:r w:rsidRPr="00150EDC">
        <w:rPr>
          <w:rFonts w:ascii="Calibri"/>
          <w:spacing w:val="-2"/>
          <w:sz w:val="24"/>
        </w:rPr>
        <w:t xml:space="preserve"> </w:t>
      </w:r>
      <w:r w:rsidRPr="00150EDC">
        <w:rPr>
          <w:rFonts w:ascii="Calibri"/>
          <w:sz w:val="24"/>
        </w:rPr>
        <w:t>has</w:t>
      </w:r>
      <w:r w:rsidRPr="00150EDC">
        <w:rPr>
          <w:rFonts w:ascii="Calibri"/>
          <w:spacing w:val="-3"/>
          <w:sz w:val="24"/>
        </w:rPr>
        <w:t xml:space="preserve"> </w:t>
      </w:r>
      <w:r w:rsidRPr="00150EDC">
        <w:rPr>
          <w:rFonts w:ascii="Calibri"/>
          <w:sz w:val="24"/>
        </w:rPr>
        <w:t>committed</w:t>
      </w:r>
      <w:r w:rsidRPr="00150EDC">
        <w:rPr>
          <w:rFonts w:ascii="Calibri"/>
          <w:spacing w:val="-4"/>
          <w:sz w:val="24"/>
        </w:rPr>
        <w:t xml:space="preserve"> </w:t>
      </w:r>
      <w:r w:rsidRPr="00150EDC">
        <w:rPr>
          <w:rFonts w:ascii="Calibri"/>
          <w:sz w:val="24"/>
        </w:rPr>
        <w:t>or attempted to commit a Prohibited Act.</w:t>
      </w:r>
    </w:p>
    <w:p w14:paraId="4D9F185E" w14:textId="77777777" w:rsidR="004C7180" w:rsidRPr="00150EDC" w:rsidRDefault="004C7180">
      <w:pPr>
        <w:pStyle w:val="BodyText"/>
        <w:spacing w:before="7"/>
        <w:rPr>
          <w:rFonts w:ascii="Calibri"/>
          <w:sz w:val="25"/>
        </w:rPr>
      </w:pPr>
    </w:p>
    <w:p w14:paraId="6B76B878" w14:textId="77777777" w:rsidR="004C7180" w:rsidRPr="00150EDC" w:rsidRDefault="00CF0754" w:rsidP="00B320C7">
      <w:pPr>
        <w:pStyle w:val="ListParagraph"/>
        <w:numPr>
          <w:ilvl w:val="1"/>
          <w:numId w:val="182"/>
        </w:numPr>
        <w:tabs>
          <w:tab w:val="left" w:pos="1064"/>
          <w:tab w:val="left" w:pos="1066"/>
        </w:tabs>
        <w:ind w:right="688"/>
        <w:rPr>
          <w:rFonts w:ascii="Calibri"/>
          <w:sz w:val="24"/>
        </w:rPr>
      </w:pPr>
      <w:r w:rsidRPr="00150EDC">
        <w:rPr>
          <w:rFonts w:ascii="Calibri"/>
          <w:sz w:val="24"/>
        </w:rPr>
        <w:t>If</w:t>
      </w:r>
      <w:r w:rsidRPr="00150EDC">
        <w:rPr>
          <w:rFonts w:ascii="Calibri"/>
          <w:spacing w:val="-1"/>
          <w:sz w:val="24"/>
        </w:rPr>
        <w:t xml:space="preserve"> </w:t>
      </w:r>
      <w:r w:rsidRPr="00150EDC">
        <w:rPr>
          <w:rFonts w:ascii="Calibri"/>
          <w:sz w:val="24"/>
        </w:rPr>
        <w:t>the</w:t>
      </w:r>
      <w:r w:rsidRPr="00150EDC">
        <w:rPr>
          <w:rFonts w:ascii="Calibri"/>
          <w:spacing w:val="-1"/>
          <w:sz w:val="24"/>
        </w:rPr>
        <w:t xml:space="preserve"> </w:t>
      </w:r>
      <w:r w:rsidRPr="00150EDC">
        <w:rPr>
          <w:rFonts w:ascii="Calibri"/>
          <w:sz w:val="24"/>
        </w:rPr>
        <w:t>Supplier</w:t>
      </w:r>
      <w:r w:rsidRPr="00150EDC">
        <w:rPr>
          <w:rFonts w:ascii="Calibri"/>
          <w:spacing w:val="-3"/>
          <w:sz w:val="24"/>
        </w:rPr>
        <w:t xml:space="preserve"> </w:t>
      </w:r>
      <w:r w:rsidRPr="00150EDC">
        <w:rPr>
          <w:rFonts w:ascii="Calibri"/>
          <w:sz w:val="24"/>
        </w:rPr>
        <w:t>notifies</w:t>
      </w:r>
      <w:r w:rsidRPr="00150EDC">
        <w:rPr>
          <w:rFonts w:ascii="Calibri"/>
          <w:spacing w:val="-2"/>
          <w:sz w:val="24"/>
        </w:rPr>
        <w:t xml:space="preserve"> </w:t>
      </w:r>
      <w:r w:rsidRPr="00150EDC">
        <w:rPr>
          <w:rFonts w:ascii="Calibri"/>
          <w:sz w:val="24"/>
        </w:rPr>
        <w:t>CCS</w:t>
      </w:r>
      <w:r w:rsidRPr="00150EDC">
        <w:rPr>
          <w:rFonts w:ascii="Calibri"/>
          <w:spacing w:val="-2"/>
          <w:sz w:val="24"/>
        </w:rPr>
        <w:t xml:space="preserve"> </w:t>
      </w:r>
      <w:r w:rsidRPr="00150EDC">
        <w:rPr>
          <w:rFonts w:ascii="Calibri"/>
          <w:sz w:val="24"/>
        </w:rPr>
        <w:t>or</w:t>
      </w:r>
      <w:r w:rsidRPr="00150EDC">
        <w:rPr>
          <w:rFonts w:ascii="Calibri"/>
          <w:spacing w:val="-1"/>
          <w:sz w:val="24"/>
        </w:rPr>
        <w:t xml:space="preserve"> </w:t>
      </w:r>
      <w:r w:rsidRPr="00150EDC">
        <w:rPr>
          <w:rFonts w:ascii="Calibri"/>
          <w:sz w:val="24"/>
        </w:rPr>
        <w:t>the</w:t>
      </w:r>
      <w:r w:rsidRPr="00150EDC">
        <w:rPr>
          <w:rFonts w:ascii="Calibri"/>
          <w:spacing w:val="-1"/>
          <w:sz w:val="24"/>
        </w:rPr>
        <w:t xml:space="preserve"> </w:t>
      </w:r>
      <w:r w:rsidRPr="00150EDC">
        <w:rPr>
          <w:rFonts w:ascii="Calibri"/>
          <w:sz w:val="24"/>
        </w:rPr>
        <w:t>Buyer</w:t>
      </w:r>
      <w:r w:rsidRPr="00150EDC">
        <w:rPr>
          <w:rFonts w:ascii="Calibri"/>
          <w:spacing w:val="-2"/>
          <w:sz w:val="24"/>
        </w:rPr>
        <w:t xml:space="preserve"> </w:t>
      </w:r>
      <w:r w:rsidRPr="00150EDC">
        <w:rPr>
          <w:rFonts w:ascii="Calibri"/>
          <w:sz w:val="24"/>
        </w:rPr>
        <w:t>as</w:t>
      </w:r>
      <w:r w:rsidRPr="00150EDC">
        <w:rPr>
          <w:rFonts w:ascii="Calibri"/>
          <w:spacing w:val="-4"/>
          <w:sz w:val="24"/>
        </w:rPr>
        <w:t xml:space="preserve"> </w:t>
      </w:r>
      <w:r w:rsidRPr="00150EDC">
        <w:rPr>
          <w:rFonts w:ascii="Calibri"/>
          <w:sz w:val="24"/>
        </w:rPr>
        <w:t>required</w:t>
      </w:r>
      <w:r w:rsidRPr="00150EDC">
        <w:rPr>
          <w:rFonts w:ascii="Calibri"/>
          <w:spacing w:val="-3"/>
          <w:sz w:val="24"/>
        </w:rPr>
        <w:t xml:space="preserve"> </w:t>
      </w:r>
      <w:r w:rsidRPr="00150EDC">
        <w:rPr>
          <w:rFonts w:ascii="Calibri"/>
          <w:sz w:val="24"/>
        </w:rPr>
        <w:t>by</w:t>
      </w:r>
      <w:r w:rsidRPr="00150EDC">
        <w:rPr>
          <w:rFonts w:ascii="Calibri"/>
          <w:spacing w:val="-2"/>
          <w:sz w:val="24"/>
        </w:rPr>
        <w:t xml:space="preserve"> </w:t>
      </w:r>
      <w:r w:rsidRPr="00150EDC">
        <w:rPr>
          <w:rFonts w:ascii="Calibri"/>
          <w:sz w:val="24"/>
        </w:rPr>
        <w:t>Clause</w:t>
      </w:r>
      <w:r w:rsidRPr="00150EDC">
        <w:rPr>
          <w:rFonts w:ascii="Calibri"/>
          <w:spacing w:val="-4"/>
          <w:sz w:val="24"/>
        </w:rPr>
        <w:t xml:space="preserve"> </w:t>
      </w:r>
      <w:r w:rsidRPr="00150EDC">
        <w:rPr>
          <w:rFonts w:ascii="Calibri"/>
          <w:sz w:val="24"/>
        </w:rPr>
        <w:t>27.3,</w:t>
      </w:r>
      <w:r w:rsidRPr="00150EDC">
        <w:rPr>
          <w:rFonts w:ascii="Calibri"/>
          <w:spacing w:val="-4"/>
          <w:sz w:val="24"/>
        </w:rPr>
        <w:t xml:space="preserve"> </w:t>
      </w:r>
      <w:r w:rsidRPr="00150EDC">
        <w:rPr>
          <w:rFonts w:ascii="Calibri"/>
          <w:sz w:val="24"/>
        </w:rPr>
        <w:t>the</w:t>
      </w:r>
      <w:r w:rsidRPr="00150EDC">
        <w:rPr>
          <w:rFonts w:ascii="Calibri"/>
          <w:spacing w:val="-1"/>
          <w:sz w:val="24"/>
        </w:rPr>
        <w:t xml:space="preserve"> </w:t>
      </w:r>
      <w:r w:rsidRPr="00150EDC">
        <w:rPr>
          <w:rFonts w:ascii="Calibri"/>
          <w:sz w:val="24"/>
        </w:rPr>
        <w:t>Supplier</w:t>
      </w:r>
      <w:r w:rsidRPr="00150EDC">
        <w:rPr>
          <w:rFonts w:ascii="Calibri"/>
          <w:spacing w:val="-3"/>
          <w:sz w:val="24"/>
        </w:rPr>
        <w:t xml:space="preserve"> </w:t>
      </w:r>
      <w:r w:rsidRPr="00150EDC">
        <w:rPr>
          <w:rFonts w:ascii="Calibri"/>
          <w:sz w:val="24"/>
        </w:rPr>
        <w:t>must</w:t>
      </w:r>
      <w:r w:rsidRPr="00150EDC">
        <w:rPr>
          <w:rFonts w:ascii="Calibri"/>
          <w:spacing w:val="-1"/>
          <w:sz w:val="24"/>
        </w:rPr>
        <w:t xml:space="preserve"> </w:t>
      </w:r>
      <w:r w:rsidRPr="00150EDC">
        <w:rPr>
          <w:rFonts w:ascii="Calibri"/>
          <w:sz w:val="24"/>
        </w:rPr>
        <w:t>respond</w:t>
      </w:r>
      <w:r w:rsidRPr="00150EDC">
        <w:rPr>
          <w:rFonts w:ascii="Calibri"/>
          <w:spacing w:val="-3"/>
          <w:sz w:val="24"/>
        </w:rPr>
        <w:t xml:space="preserve"> </w:t>
      </w:r>
      <w:r w:rsidRPr="00150EDC">
        <w:rPr>
          <w:rFonts w:ascii="Calibri"/>
          <w:sz w:val="24"/>
        </w:rPr>
        <w:t>promptly to their further enquiries, co-operate with any investigation and allow the Audit of any books, records and relevant documentation.</w:t>
      </w:r>
    </w:p>
    <w:p w14:paraId="448FCA21" w14:textId="77777777" w:rsidR="004C7180" w:rsidRPr="00150EDC" w:rsidRDefault="004C7180">
      <w:pPr>
        <w:pStyle w:val="BodyText"/>
        <w:spacing w:before="2"/>
        <w:rPr>
          <w:rFonts w:ascii="Calibri"/>
        </w:rPr>
      </w:pPr>
    </w:p>
    <w:p w14:paraId="5B4A3B9D" w14:textId="77777777" w:rsidR="004C7180" w:rsidRPr="00150EDC" w:rsidRDefault="00CF0754" w:rsidP="00B320C7">
      <w:pPr>
        <w:pStyle w:val="ListParagraph"/>
        <w:numPr>
          <w:ilvl w:val="1"/>
          <w:numId w:val="182"/>
        </w:numPr>
        <w:tabs>
          <w:tab w:val="left" w:pos="1065"/>
        </w:tabs>
        <w:ind w:left="1065" w:hanging="565"/>
        <w:rPr>
          <w:rFonts w:ascii="Calibri"/>
          <w:sz w:val="24"/>
        </w:rPr>
      </w:pPr>
      <w:r w:rsidRPr="00150EDC">
        <w:rPr>
          <w:rFonts w:ascii="Calibri"/>
          <w:sz w:val="24"/>
        </w:rPr>
        <w:t>In</w:t>
      </w:r>
      <w:r w:rsidRPr="00150EDC">
        <w:rPr>
          <w:rFonts w:ascii="Calibri"/>
          <w:spacing w:val="-2"/>
          <w:sz w:val="24"/>
        </w:rPr>
        <w:t xml:space="preserve"> </w:t>
      </w:r>
      <w:r w:rsidRPr="00150EDC">
        <w:rPr>
          <w:rFonts w:ascii="Calibri"/>
          <w:sz w:val="24"/>
        </w:rPr>
        <w:t>any</w:t>
      </w:r>
      <w:r w:rsidRPr="00150EDC">
        <w:rPr>
          <w:rFonts w:ascii="Calibri"/>
          <w:spacing w:val="-4"/>
          <w:sz w:val="24"/>
        </w:rPr>
        <w:t xml:space="preserve"> </w:t>
      </w:r>
      <w:r w:rsidRPr="00150EDC">
        <w:rPr>
          <w:rFonts w:ascii="Calibri"/>
          <w:sz w:val="24"/>
        </w:rPr>
        <w:t>notice</w:t>
      </w:r>
      <w:r w:rsidRPr="00150EDC">
        <w:rPr>
          <w:rFonts w:ascii="Calibri"/>
          <w:spacing w:val="-1"/>
          <w:sz w:val="24"/>
        </w:rPr>
        <w:t xml:space="preserve"> </w:t>
      </w:r>
      <w:r w:rsidRPr="00150EDC">
        <w:rPr>
          <w:rFonts w:ascii="Calibri"/>
          <w:sz w:val="24"/>
        </w:rPr>
        <w:t>the</w:t>
      </w:r>
      <w:r w:rsidRPr="00150EDC">
        <w:rPr>
          <w:rFonts w:ascii="Calibri"/>
          <w:spacing w:val="-4"/>
          <w:sz w:val="24"/>
        </w:rPr>
        <w:t xml:space="preserve"> </w:t>
      </w:r>
      <w:r w:rsidRPr="00150EDC">
        <w:rPr>
          <w:rFonts w:ascii="Calibri"/>
          <w:sz w:val="24"/>
        </w:rPr>
        <w:t>Supplier</w:t>
      </w:r>
      <w:r w:rsidRPr="00150EDC">
        <w:rPr>
          <w:rFonts w:ascii="Calibri"/>
          <w:spacing w:val="-1"/>
          <w:sz w:val="24"/>
        </w:rPr>
        <w:t xml:space="preserve"> </w:t>
      </w:r>
      <w:r w:rsidRPr="00150EDC">
        <w:rPr>
          <w:rFonts w:ascii="Calibri"/>
          <w:sz w:val="24"/>
        </w:rPr>
        <w:t>gives</w:t>
      </w:r>
      <w:r w:rsidRPr="00150EDC">
        <w:rPr>
          <w:rFonts w:ascii="Calibri"/>
          <w:spacing w:val="-3"/>
          <w:sz w:val="24"/>
        </w:rPr>
        <w:t xml:space="preserve"> </w:t>
      </w:r>
      <w:r w:rsidRPr="00150EDC">
        <w:rPr>
          <w:rFonts w:ascii="Calibri"/>
          <w:sz w:val="24"/>
        </w:rPr>
        <w:t>under</w:t>
      </w:r>
      <w:r w:rsidRPr="00150EDC">
        <w:rPr>
          <w:rFonts w:ascii="Calibri"/>
          <w:spacing w:val="-1"/>
          <w:sz w:val="24"/>
        </w:rPr>
        <w:t xml:space="preserve"> </w:t>
      </w:r>
      <w:r w:rsidRPr="00150EDC">
        <w:rPr>
          <w:rFonts w:ascii="Calibri"/>
          <w:sz w:val="24"/>
        </w:rPr>
        <w:t>Clause</w:t>
      </w:r>
      <w:r w:rsidRPr="00150EDC">
        <w:rPr>
          <w:rFonts w:ascii="Calibri"/>
          <w:spacing w:val="-4"/>
          <w:sz w:val="24"/>
        </w:rPr>
        <w:t xml:space="preserve"> </w:t>
      </w:r>
      <w:r w:rsidRPr="00150EDC">
        <w:rPr>
          <w:rFonts w:ascii="Calibri"/>
          <w:sz w:val="24"/>
        </w:rPr>
        <w:t>27.3</w:t>
      </w:r>
      <w:r w:rsidRPr="00150EDC">
        <w:rPr>
          <w:rFonts w:ascii="Calibri"/>
          <w:spacing w:val="-3"/>
          <w:sz w:val="24"/>
        </w:rPr>
        <w:t xml:space="preserve"> </w:t>
      </w:r>
      <w:r w:rsidRPr="00150EDC">
        <w:rPr>
          <w:rFonts w:ascii="Calibri"/>
          <w:sz w:val="24"/>
        </w:rPr>
        <w:t>it</w:t>
      </w:r>
      <w:r w:rsidRPr="00150EDC">
        <w:rPr>
          <w:rFonts w:ascii="Calibri"/>
          <w:spacing w:val="-1"/>
          <w:sz w:val="24"/>
        </w:rPr>
        <w:t xml:space="preserve"> </w:t>
      </w:r>
      <w:r w:rsidRPr="00150EDC">
        <w:rPr>
          <w:rFonts w:ascii="Calibri"/>
          <w:sz w:val="24"/>
        </w:rPr>
        <w:t>must</w:t>
      </w:r>
      <w:r w:rsidRPr="00150EDC">
        <w:rPr>
          <w:rFonts w:ascii="Calibri"/>
          <w:spacing w:val="-3"/>
          <w:sz w:val="24"/>
        </w:rPr>
        <w:t xml:space="preserve"> </w:t>
      </w:r>
      <w:r w:rsidRPr="00150EDC">
        <w:rPr>
          <w:rFonts w:ascii="Calibri"/>
          <w:sz w:val="24"/>
        </w:rPr>
        <w:t>specify</w:t>
      </w:r>
      <w:r w:rsidRPr="00150EDC">
        <w:rPr>
          <w:rFonts w:ascii="Calibri"/>
          <w:spacing w:val="-2"/>
          <w:sz w:val="24"/>
        </w:rPr>
        <w:t xml:space="preserve"> </w:t>
      </w:r>
      <w:r w:rsidRPr="00150EDC">
        <w:rPr>
          <w:rFonts w:ascii="Calibri"/>
          <w:spacing w:val="-4"/>
          <w:sz w:val="24"/>
        </w:rPr>
        <w:t>the:</w:t>
      </w:r>
    </w:p>
    <w:p w14:paraId="49DDD7E4" w14:textId="77777777" w:rsidR="004C7180" w:rsidRPr="00150EDC" w:rsidRDefault="004C7180">
      <w:pPr>
        <w:pStyle w:val="BodyText"/>
        <w:spacing w:before="7"/>
        <w:rPr>
          <w:rFonts w:ascii="Calibri"/>
          <w:sz w:val="25"/>
        </w:rPr>
      </w:pPr>
    </w:p>
    <w:p w14:paraId="5EB02835" w14:textId="77777777" w:rsidR="004C7180" w:rsidRPr="00150EDC" w:rsidRDefault="00CF0754" w:rsidP="00B320C7">
      <w:pPr>
        <w:pStyle w:val="ListParagraph"/>
        <w:numPr>
          <w:ilvl w:val="0"/>
          <w:numId w:val="145"/>
        </w:numPr>
        <w:tabs>
          <w:tab w:val="left" w:pos="1491"/>
        </w:tabs>
        <w:ind w:left="1491" w:hanging="425"/>
        <w:rPr>
          <w:rFonts w:ascii="Calibri"/>
          <w:sz w:val="24"/>
        </w:rPr>
      </w:pPr>
      <w:r w:rsidRPr="00150EDC">
        <w:rPr>
          <w:rFonts w:ascii="Calibri"/>
          <w:sz w:val="24"/>
        </w:rPr>
        <w:t>Prohibited</w:t>
      </w:r>
      <w:r w:rsidRPr="00150EDC">
        <w:rPr>
          <w:rFonts w:ascii="Calibri"/>
          <w:spacing w:val="-6"/>
          <w:sz w:val="24"/>
        </w:rPr>
        <w:t xml:space="preserve"> </w:t>
      </w:r>
      <w:r w:rsidRPr="00150EDC">
        <w:rPr>
          <w:rFonts w:ascii="Calibri"/>
          <w:spacing w:val="-4"/>
          <w:sz w:val="24"/>
        </w:rPr>
        <w:t>Act;</w:t>
      </w:r>
    </w:p>
    <w:p w14:paraId="2703660D" w14:textId="77777777" w:rsidR="004C7180" w:rsidRPr="00150EDC" w:rsidRDefault="00CF0754" w:rsidP="00B320C7">
      <w:pPr>
        <w:pStyle w:val="ListParagraph"/>
        <w:numPr>
          <w:ilvl w:val="0"/>
          <w:numId w:val="145"/>
        </w:numPr>
        <w:tabs>
          <w:tab w:val="left" w:pos="1491"/>
        </w:tabs>
        <w:spacing w:before="19"/>
        <w:ind w:left="1491" w:hanging="425"/>
        <w:rPr>
          <w:rFonts w:ascii="Calibri"/>
          <w:sz w:val="24"/>
        </w:rPr>
      </w:pPr>
      <w:r w:rsidRPr="00150EDC">
        <w:rPr>
          <w:rFonts w:ascii="Calibri"/>
          <w:sz w:val="24"/>
        </w:rPr>
        <w:t>identity</w:t>
      </w:r>
      <w:r w:rsidRPr="00150EDC">
        <w:rPr>
          <w:rFonts w:ascii="Calibri"/>
          <w:spacing w:val="-8"/>
          <w:sz w:val="24"/>
        </w:rPr>
        <w:t xml:space="preserve"> </w:t>
      </w:r>
      <w:r w:rsidRPr="00150EDC">
        <w:rPr>
          <w:rFonts w:ascii="Calibri"/>
          <w:sz w:val="24"/>
        </w:rPr>
        <w:t>of</w:t>
      </w:r>
      <w:r w:rsidRPr="00150EDC">
        <w:rPr>
          <w:rFonts w:ascii="Calibri"/>
          <w:spacing w:val="-3"/>
          <w:sz w:val="24"/>
        </w:rPr>
        <w:t xml:space="preserve"> </w:t>
      </w:r>
      <w:r w:rsidRPr="00150EDC">
        <w:rPr>
          <w:rFonts w:ascii="Calibri"/>
          <w:sz w:val="24"/>
        </w:rPr>
        <w:t>the</w:t>
      </w:r>
      <w:r w:rsidRPr="00150EDC">
        <w:rPr>
          <w:rFonts w:ascii="Calibri"/>
          <w:spacing w:val="-2"/>
          <w:sz w:val="24"/>
        </w:rPr>
        <w:t xml:space="preserve"> </w:t>
      </w:r>
      <w:r w:rsidRPr="00150EDC">
        <w:rPr>
          <w:rFonts w:ascii="Calibri"/>
          <w:sz w:val="24"/>
        </w:rPr>
        <w:t>Party</w:t>
      </w:r>
      <w:r w:rsidRPr="00150EDC">
        <w:rPr>
          <w:rFonts w:ascii="Calibri"/>
          <w:spacing w:val="-2"/>
          <w:sz w:val="24"/>
        </w:rPr>
        <w:t xml:space="preserve"> </w:t>
      </w:r>
      <w:r w:rsidRPr="00150EDC">
        <w:rPr>
          <w:rFonts w:ascii="Calibri"/>
          <w:sz w:val="24"/>
        </w:rPr>
        <w:t>who</w:t>
      </w:r>
      <w:r w:rsidRPr="00150EDC">
        <w:rPr>
          <w:rFonts w:ascii="Calibri"/>
          <w:spacing w:val="-5"/>
          <w:sz w:val="24"/>
        </w:rPr>
        <w:t xml:space="preserve"> </w:t>
      </w:r>
      <w:r w:rsidRPr="00150EDC">
        <w:rPr>
          <w:rFonts w:ascii="Calibri"/>
          <w:sz w:val="24"/>
        </w:rPr>
        <w:t>it</w:t>
      </w:r>
      <w:r w:rsidRPr="00150EDC">
        <w:rPr>
          <w:rFonts w:ascii="Calibri"/>
          <w:spacing w:val="-3"/>
          <w:sz w:val="24"/>
        </w:rPr>
        <w:t xml:space="preserve"> </w:t>
      </w:r>
      <w:r w:rsidRPr="00150EDC">
        <w:rPr>
          <w:rFonts w:ascii="Calibri"/>
          <w:sz w:val="24"/>
        </w:rPr>
        <w:t>thinks</w:t>
      </w:r>
      <w:r w:rsidRPr="00150EDC">
        <w:rPr>
          <w:rFonts w:ascii="Calibri"/>
          <w:spacing w:val="-3"/>
          <w:sz w:val="24"/>
        </w:rPr>
        <w:t xml:space="preserve"> </w:t>
      </w:r>
      <w:r w:rsidRPr="00150EDC">
        <w:rPr>
          <w:rFonts w:ascii="Calibri"/>
          <w:sz w:val="24"/>
        </w:rPr>
        <w:t>has</w:t>
      </w:r>
      <w:r w:rsidRPr="00150EDC">
        <w:rPr>
          <w:rFonts w:ascii="Calibri"/>
          <w:spacing w:val="-2"/>
          <w:sz w:val="24"/>
        </w:rPr>
        <w:t xml:space="preserve"> </w:t>
      </w:r>
      <w:r w:rsidRPr="00150EDC">
        <w:rPr>
          <w:rFonts w:ascii="Calibri"/>
          <w:sz w:val="24"/>
        </w:rPr>
        <w:t>committed</w:t>
      </w:r>
      <w:r w:rsidRPr="00150EDC">
        <w:rPr>
          <w:rFonts w:ascii="Calibri"/>
          <w:spacing w:val="-6"/>
          <w:sz w:val="24"/>
        </w:rPr>
        <w:t xml:space="preserve"> </w:t>
      </w:r>
      <w:r w:rsidRPr="00150EDC">
        <w:rPr>
          <w:rFonts w:ascii="Calibri"/>
          <w:sz w:val="24"/>
        </w:rPr>
        <w:t>the</w:t>
      </w:r>
      <w:r w:rsidRPr="00150EDC">
        <w:rPr>
          <w:rFonts w:ascii="Calibri"/>
          <w:spacing w:val="-4"/>
          <w:sz w:val="24"/>
        </w:rPr>
        <w:t xml:space="preserve"> </w:t>
      </w:r>
      <w:r w:rsidRPr="00150EDC">
        <w:rPr>
          <w:rFonts w:ascii="Calibri"/>
          <w:sz w:val="24"/>
        </w:rPr>
        <w:t>Prohibited</w:t>
      </w:r>
      <w:r w:rsidRPr="00150EDC">
        <w:rPr>
          <w:rFonts w:ascii="Calibri"/>
          <w:spacing w:val="-2"/>
          <w:sz w:val="24"/>
        </w:rPr>
        <w:t xml:space="preserve"> </w:t>
      </w:r>
      <w:r w:rsidRPr="00150EDC">
        <w:rPr>
          <w:rFonts w:ascii="Calibri"/>
          <w:sz w:val="24"/>
        </w:rPr>
        <w:t>Act;</w:t>
      </w:r>
      <w:r w:rsidRPr="00150EDC">
        <w:rPr>
          <w:rFonts w:ascii="Calibri"/>
          <w:spacing w:val="-1"/>
          <w:sz w:val="24"/>
        </w:rPr>
        <w:t xml:space="preserve"> </w:t>
      </w:r>
      <w:r w:rsidRPr="00150EDC">
        <w:rPr>
          <w:rFonts w:ascii="Calibri"/>
          <w:spacing w:val="-5"/>
          <w:sz w:val="24"/>
        </w:rPr>
        <w:t>and</w:t>
      </w:r>
    </w:p>
    <w:p w14:paraId="486ED0AC" w14:textId="77777777" w:rsidR="004C7180" w:rsidRPr="00150EDC" w:rsidRDefault="00CF0754" w:rsidP="00B320C7">
      <w:pPr>
        <w:pStyle w:val="ListParagraph"/>
        <w:numPr>
          <w:ilvl w:val="0"/>
          <w:numId w:val="145"/>
        </w:numPr>
        <w:tabs>
          <w:tab w:val="left" w:pos="1492"/>
        </w:tabs>
        <w:spacing w:before="21"/>
        <w:ind w:left="1492" w:hanging="426"/>
        <w:rPr>
          <w:rFonts w:ascii="Calibri"/>
          <w:sz w:val="24"/>
        </w:rPr>
      </w:pPr>
      <w:r w:rsidRPr="00150EDC">
        <w:rPr>
          <w:rFonts w:ascii="Calibri"/>
          <w:sz w:val="24"/>
        </w:rPr>
        <w:t>action</w:t>
      </w:r>
      <w:r w:rsidRPr="00150EDC">
        <w:rPr>
          <w:rFonts w:ascii="Calibri"/>
          <w:spacing w:val="-2"/>
          <w:sz w:val="24"/>
        </w:rPr>
        <w:t xml:space="preserve"> </w:t>
      </w:r>
      <w:r w:rsidRPr="00150EDC">
        <w:rPr>
          <w:rFonts w:ascii="Calibri"/>
          <w:sz w:val="24"/>
        </w:rPr>
        <w:t>it</w:t>
      </w:r>
      <w:r w:rsidRPr="00150EDC">
        <w:rPr>
          <w:rFonts w:ascii="Calibri"/>
          <w:spacing w:val="-3"/>
          <w:sz w:val="24"/>
        </w:rPr>
        <w:t xml:space="preserve"> </w:t>
      </w:r>
      <w:r w:rsidRPr="00150EDC">
        <w:rPr>
          <w:rFonts w:ascii="Calibri"/>
          <w:sz w:val="24"/>
        </w:rPr>
        <w:t>has</w:t>
      </w:r>
      <w:r w:rsidRPr="00150EDC">
        <w:rPr>
          <w:rFonts w:ascii="Calibri"/>
          <w:spacing w:val="-3"/>
          <w:sz w:val="24"/>
        </w:rPr>
        <w:t xml:space="preserve"> </w:t>
      </w:r>
      <w:r w:rsidRPr="00150EDC">
        <w:rPr>
          <w:rFonts w:ascii="Calibri"/>
          <w:sz w:val="24"/>
        </w:rPr>
        <w:t>decided</w:t>
      </w:r>
      <w:r w:rsidRPr="00150EDC">
        <w:rPr>
          <w:rFonts w:ascii="Calibri"/>
          <w:spacing w:val="-3"/>
          <w:sz w:val="24"/>
        </w:rPr>
        <w:t xml:space="preserve"> </w:t>
      </w:r>
      <w:r w:rsidRPr="00150EDC">
        <w:rPr>
          <w:rFonts w:ascii="Calibri"/>
          <w:sz w:val="24"/>
        </w:rPr>
        <w:t>to</w:t>
      </w:r>
      <w:r w:rsidRPr="00150EDC">
        <w:rPr>
          <w:rFonts w:ascii="Calibri"/>
          <w:spacing w:val="-2"/>
          <w:sz w:val="24"/>
        </w:rPr>
        <w:t xml:space="preserve"> take.</w:t>
      </w:r>
    </w:p>
    <w:p w14:paraId="5E48290E" w14:textId="77777777" w:rsidR="004C7180" w:rsidRPr="00150EDC" w:rsidRDefault="004C7180">
      <w:pPr>
        <w:pStyle w:val="BodyText"/>
        <w:spacing w:before="10"/>
        <w:rPr>
          <w:rFonts w:ascii="Calibri"/>
          <w:sz w:val="25"/>
        </w:rPr>
      </w:pPr>
    </w:p>
    <w:p w14:paraId="115BDE5F" w14:textId="77777777" w:rsidR="004C7180" w:rsidRPr="00150EDC" w:rsidRDefault="00CF0754" w:rsidP="00B320C7">
      <w:pPr>
        <w:pStyle w:val="Heading1"/>
        <w:numPr>
          <w:ilvl w:val="0"/>
          <w:numId w:val="182"/>
        </w:numPr>
        <w:tabs>
          <w:tab w:val="left" w:pos="1217"/>
        </w:tabs>
        <w:ind w:left="1217" w:hanging="650"/>
        <w:jc w:val="left"/>
        <w:rPr>
          <w:rFonts w:ascii="Calibri"/>
        </w:rPr>
      </w:pPr>
      <w:r w:rsidRPr="00150EDC">
        <w:rPr>
          <w:rFonts w:ascii="Calibri"/>
        </w:rPr>
        <w:t>Equality,</w:t>
      </w:r>
      <w:r w:rsidRPr="00150EDC">
        <w:rPr>
          <w:rFonts w:ascii="Calibri"/>
          <w:spacing w:val="-4"/>
        </w:rPr>
        <w:t xml:space="preserve"> </w:t>
      </w:r>
      <w:r w:rsidRPr="00150EDC">
        <w:rPr>
          <w:rFonts w:ascii="Calibri"/>
        </w:rPr>
        <w:t>diversity</w:t>
      </w:r>
      <w:r w:rsidRPr="00150EDC">
        <w:rPr>
          <w:rFonts w:ascii="Calibri"/>
          <w:spacing w:val="-1"/>
        </w:rPr>
        <w:t xml:space="preserve"> </w:t>
      </w:r>
      <w:r w:rsidRPr="00150EDC">
        <w:rPr>
          <w:rFonts w:ascii="Calibri"/>
        </w:rPr>
        <w:t>and</w:t>
      </w:r>
      <w:r w:rsidRPr="00150EDC">
        <w:rPr>
          <w:rFonts w:ascii="Calibri"/>
          <w:spacing w:val="-3"/>
        </w:rPr>
        <w:t xml:space="preserve"> </w:t>
      </w:r>
      <w:r w:rsidRPr="00150EDC">
        <w:rPr>
          <w:rFonts w:ascii="Calibri"/>
        </w:rPr>
        <w:t>human</w:t>
      </w:r>
      <w:r w:rsidRPr="00150EDC">
        <w:rPr>
          <w:rFonts w:ascii="Calibri"/>
          <w:spacing w:val="-3"/>
        </w:rPr>
        <w:t xml:space="preserve"> </w:t>
      </w:r>
      <w:r w:rsidRPr="00150EDC">
        <w:rPr>
          <w:rFonts w:ascii="Calibri"/>
          <w:spacing w:val="-2"/>
        </w:rPr>
        <w:t>rights</w:t>
      </w:r>
    </w:p>
    <w:p w14:paraId="0C6EA5A7" w14:textId="77777777" w:rsidR="004C7180" w:rsidRPr="00150EDC" w:rsidRDefault="00CF0754" w:rsidP="00B320C7">
      <w:pPr>
        <w:pStyle w:val="ListParagraph"/>
        <w:numPr>
          <w:ilvl w:val="1"/>
          <w:numId w:val="182"/>
        </w:numPr>
        <w:tabs>
          <w:tab w:val="left" w:pos="1064"/>
          <w:tab w:val="left" w:pos="1066"/>
        </w:tabs>
        <w:spacing w:before="18"/>
        <w:ind w:right="1162"/>
        <w:rPr>
          <w:rFonts w:ascii="Calibri"/>
          <w:sz w:val="24"/>
        </w:rPr>
      </w:pPr>
      <w:r w:rsidRPr="00150EDC">
        <w:rPr>
          <w:rFonts w:ascii="Calibri"/>
          <w:sz w:val="24"/>
        </w:rPr>
        <w:t>The</w:t>
      </w:r>
      <w:r w:rsidRPr="00150EDC">
        <w:rPr>
          <w:rFonts w:ascii="Calibri"/>
          <w:spacing w:val="-2"/>
          <w:sz w:val="24"/>
        </w:rPr>
        <w:t xml:space="preserve"> </w:t>
      </w:r>
      <w:r w:rsidRPr="00150EDC">
        <w:rPr>
          <w:rFonts w:ascii="Calibri"/>
          <w:sz w:val="24"/>
        </w:rPr>
        <w:t>Supplier</w:t>
      </w:r>
      <w:r w:rsidRPr="00150EDC">
        <w:rPr>
          <w:rFonts w:ascii="Calibri"/>
          <w:spacing w:val="-4"/>
          <w:sz w:val="24"/>
        </w:rPr>
        <w:t xml:space="preserve"> </w:t>
      </w:r>
      <w:r w:rsidRPr="00150EDC">
        <w:rPr>
          <w:rFonts w:ascii="Calibri"/>
          <w:sz w:val="24"/>
        </w:rPr>
        <w:t>must</w:t>
      </w:r>
      <w:r w:rsidRPr="00150EDC">
        <w:rPr>
          <w:rFonts w:ascii="Calibri"/>
          <w:spacing w:val="-2"/>
          <w:sz w:val="24"/>
        </w:rPr>
        <w:t xml:space="preserve"> </w:t>
      </w:r>
      <w:r w:rsidRPr="00150EDC">
        <w:rPr>
          <w:rFonts w:ascii="Calibri"/>
          <w:sz w:val="24"/>
        </w:rPr>
        <w:t>follow</w:t>
      </w:r>
      <w:r w:rsidRPr="00150EDC">
        <w:rPr>
          <w:rFonts w:ascii="Calibri"/>
          <w:spacing w:val="-6"/>
          <w:sz w:val="24"/>
        </w:rPr>
        <w:t xml:space="preserve"> </w:t>
      </w:r>
      <w:r w:rsidRPr="00150EDC">
        <w:rPr>
          <w:rFonts w:ascii="Calibri"/>
          <w:sz w:val="24"/>
        </w:rPr>
        <w:t>all</w:t>
      </w:r>
      <w:r w:rsidRPr="00150EDC">
        <w:rPr>
          <w:rFonts w:ascii="Calibri"/>
          <w:spacing w:val="-2"/>
          <w:sz w:val="24"/>
        </w:rPr>
        <w:t xml:space="preserve"> </w:t>
      </w:r>
      <w:r w:rsidRPr="00150EDC">
        <w:rPr>
          <w:rFonts w:ascii="Calibri"/>
          <w:sz w:val="24"/>
        </w:rPr>
        <w:t>applicable</w:t>
      </w:r>
      <w:r w:rsidRPr="00150EDC">
        <w:rPr>
          <w:rFonts w:ascii="Calibri"/>
          <w:spacing w:val="-2"/>
          <w:sz w:val="24"/>
        </w:rPr>
        <w:t xml:space="preserve"> </w:t>
      </w:r>
      <w:r w:rsidRPr="00150EDC">
        <w:rPr>
          <w:rFonts w:ascii="Calibri"/>
          <w:sz w:val="24"/>
        </w:rPr>
        <w:t>equality</w:t>
      </w:r>
      <w:r w:rsidRPr="00150EDC">
        <w:rPr>
          <w:rFonts w:ascii="Calibri"/>
          <w:spacing w:val="-3"/>
          <w:sz w:val="24"/>
        </w:rPr>
        <w:t xml:space="preserve"> </w:t>
      </w:r>
      <w:r w:rsidRPr="00150EDC">
        <w:rPr>
          <w:rFonts w:ascii="Calibri"/>
          <w:sz w:val="24"/>
        </w:rPr>
        <w:t>Law</w:t>
      </w:r>
      <w:r w:rsidRPr="00150EDC">
        <w:rPr>
          <w:rFonts w:ascii="Calibri"/>
          <w:spacing w:val="-4"/>
          <w:sz w:val="24"/>
        </w:rPr>
        <w:t xml:space="preserve"> </w:t>
      </w:r>
      <w:r w:rsidRPr="00150EDC">
        <w:rPr>
          <w:rFonts w:ascii="Calibri"/>
          <w:sz w:val="24"/>
        </w:rPr>
        <w:t>when</w:t>
      </w:r>
      <w:r w:rsidRPr="00150EDC">
        <w:rPr>
          <w:rFonts w:ascii="Calibri"/>
          <w:spacing w:val="-1"/>
          <w:sz w:val="24"/>
        </w:rPr>
        <w:t xml:space="preserve"> </w:t>
      </w:r>
      <w:r w:rsidRPr="00150EDC">
        <w:rPr>
          <w:rFonts w:ascii="Calibri"/>
          <w:sz w:val="24"/>
        </w:rPr>
        <w:t>they</w:t>
      </w:r>
      <w:r w:rsidRPr="00150EDC">
        <w:rPr>
          <w:rFonts w:ascii="Calibri"/>
          <w:spacing w:val="-5"/>
          <w:sz w:val="24"/>
        </w:rPr>
        <w:t xml:space="preserve"> </w:t>
      </w:r>
      <w:r w:rsidRPr="00150EDC">
        <w:rPr>
          <w:rFonts w:ascii="Calibri"/>
          <w:sz w:val="24"/>
        </w:rPr>
        <w:t>perform</w:t>
      </w:r>
      <w:r w:rsidRPr="00150EDC">
        <w:rPr>
          <w:rFonts w:ascii="Calibri"/>
          <w:spacing w:val="-5"/>
          <w:sz w:val="24"/>
        </w:rPr>
        <w:t xml:space="preserve"> </w:t>
      </w:r>
      <w:r w:rsidRPr="00150EDC">
        <w:rPr>
          <w:rFonts w:ascii="Calibri"/>
          <w:sz w:val="24"/>
        </w:rPr>
        <w:t>their</w:t>
      </w:r>
      <w:r w:rsidRPr="00150EDC">
        <w:rPr>
          <w:rFonts w:ascii="Calibri"/>
          <w:spacing w:val="-2"/>
          <w:sz w:val="24"/>
        </w:rPr>
        <w:t xml:space="preserve"> </w:t>
      </w:r>
      <w:r w:rsidRPr="00150EDC">
        <w:rPr>
          <w:rFonts w:ascii="Calibri"/>
          <w:sz w:val="24"/>
        </w:rPr>
        <w:t>obligations</w:t>
      </w:r>
      <w:r w:rsidRPr="00150EDC">
        <w:rPr>
          <w:rFonts w:ascii="Calibri"/>
          <w:spacing w:val="-5"/>
          <w:sz w:val="24"/>
        </w:rPr>
        <w:t xml:space="preserve"> </w:t>
      </w:r>
      <w:r w:rsidRPr="00150EDC">
        <w:rPr>
          <w:rFonts w:ascii="Calibri"/>
          <w:sz w:val="24"/>
        </w:rPr>
        <w:t>under</w:t>
      </w:r>
      <w:r w:rsidRPr="00150EDC">
        <w:rPr>
          <w:rFonts w:ascii="Calibri"/>
          <w:spacing w:val="-4"/>
          <w:sz w:val="24"/>
        </w:rPr>
        <w:t xml:space="preserve"> </w:t>
      </w:r>
      <w:r w:rsidRPr="00150EDC">
        <w:rPr>
          <w:rFonts w:ascii="Calibri"/>
          <w:sz w:val="24"/>
        </w:rPr>
        <w:t>the Contract, including:</w:t>
      </w:r>
    </w:p>
    <w:p w14:paraId="0BD5A18E" w14:textId="77777777" w:rsidR="004C7180" w:rsidRPr="00150EDC" w:rsidRDefault="004C7180">
      <w:pPr>
        <w:pStyle w:val="BodyText"/>
        <w:spacing w:before="4"/>
        <w:rPr>
          <w:rFonts w:ascii="Calibri"/>
          <w:sz w:val="27"/>
        </w:rPr>
      </w:pPr>
    </w:p>
    <w:p w14:paraId="1DA38CAB" w14:textId="77777777" w:rsidR="004C7180" w:rsidRPr="00150EDC" w:rsidRDefault="00CF0754" w:rsidP="00B320C7">
      <w:pPr>
        <w:pStyle w:val="ListParagraph"/>
        <w:numPr>
          <w:ilvl w:val="0"/>
          <w:numId w:val="144"/>
        </w:numPr>
        <w:tabs>
          <w:tab w:val="left" w:pos="1491"/>
          <w:tab w:val="left" w:pos="1494"/>
        </w:tabs>
        <w:ind w:right="1079"/>
        <w:rPr>
          <w:rFonts w:ascii="Calibri"/>
          <w:sz w:val="24"/>
        </w:rPr>
      </w:pPr>
      <w:r w:rsidRPr="00150EDC">
        <w:rPr>
          <w:rFonts w:ascii="Calibri"/>
          <w:sz w:val="24"/>
        </w:rPr>
        <w:t>protections</w:t>
      </w:r>
      <w:r w:rsidRPr="00150EDC">
        <w:rPr>
          <w:rFonts w:ascii="Calibri"/>
          <w:spacing w:val="-4"/>
          <w:sz w:val="24"/>
        </w:rPr>
        <w:t xml:space="preserve"> </w:t>
      </w:r>
      <w:r w:rsidRPr="00150EDC">
        <w:rPr>
          <w:rFonts w:ascii="Calibri"/>
          <w:sz w:val="24"/>
        </w:rPr>
        <w:t>against</w:t>
      </w:r>
      <w:r w:rsidRPr="00150EDC">
        <w:rPr>
          <w:rFonts w:ascii="Calibri"/>
          <w:spacing w:val="-5"/>
          <w:sz w:val="24"/>
        </w:rPr>
        <w:t xml:space="preserve"> </w:t>
      </w:r>
      <w:r w:rsidRPr="00150EDC">
        <w:rPr>
          <w:rFonts w:ascii="Calibri"/>
          <w:sz w:val="24"/>
        </w:rPr>
        <w:t>discrimination</w:t>
      </w:r>
      <w:r w:rsidRPr="00150EDC">
        <w:rPr>
          <w:rFonts w:ascii="Calibri"/>
          <w:spacing w:val="-4"/>
          <w:sz w:val="24"/>
        </w:rPr>
        <w:t xml:space="preserve"> </w:t>
      </w:r>
      <w:r w:rsidRPr="00150EDC">
        <w:rPr>
          <w:rFonts w:ascii="Calibri"/>
          <w:sz w:val="24"/>
        </w:rPr>
        <w:t>on</w:t>
      </w:r>
      <w:r w:rsidRPr="00150EDC">
        <w:rPr>
          <w:rFonts w:ascii="Calibri"/>
          <w:spacing w:val="-4"/>
          <w:sz w:val="24"/>
        </w:rPr>
        <w:t xml:space="preserve"> </w:t>
      </w:r>
      <w:r w:rsidRPr="00150EDC">
        <w:rPr>
          <w:rFonts w:ascii="Calibri"/>
          <w:sz w:val="24"/>
        </w:rPr>
        <w:t>the</w:t>
      </w:r>
      <w:r w:rsidRPr="00150EDC">
        <w:rPr>
          <w:rFonts w:ascii="Calibri"/>
          <w:spacing w:val="-3"/>
          <w:sz w:val="24"/>
        </w:rPr>
        <w:t xml:space="preserve"> </w:t>
      </w:r>
      <w:r w:rsidRPr="00150EDC">
        <w:rPr>
          <w:rFonts w:ascii="Calibri"/>
          <w:sz w:val="24"/>
        </w:rPr>
        <w:t>grounds</w:t>
      </w:r>
      <w:r w:rsidRPr="00150EDC">
        <w:rPr>
          <w:rFonts w:ascii="Calibri"/>
          <w:spacing w:val="-6"/>
          <w:sz w:val="24"/>
        </w:rPr>
        <w:t xml:space="preserve"> </w:t>
      </w:r>
      <w:r w:rsidRPr="00150EDC">
        <w:rPr>
          <w:rFonts w:ascii="Calibri"/>
          <w:sz w:val="24"/>
        </w:rPr>
        <w:t>of</w:t>
      </w:r>
      <w:r w:rsidRPr="00150EDC">
        <w:rPr>
          <w:rFonts w:ascii="Calibri"/>
          <w:spacing w:val="-5"/>
          <w:sz w:val="24"/>
        </w:rPr>
        <w:t xml:space="preserve"> </w:t>
      </w:r>
      <w:r w:rsidRPr="00150EDC">
        <w:rPr>
          <w:rFonts w:ascii="Calibri"/>
          <w:sz w:val="24"/>
        </w:rPr>
        <w:t>race,</w:t>
      </w:r>
      <w:r w:rsidRPr="00150EDC">
        <w:rPr>
          <w:rFonts w:ascii="Calibri"/>
          <w:spacing w:val="-4"/>
          <w:sz w:val="24"/>
        </w:rPr>
        <w:t xml:space="preserve"> </w:t>
      </w:r>
      <w:r w:rsidRPr="00150EDC">
        <w:rPr>
          <w:rFonts w:ascii="Calibri"/>
          <w:sz w:val="24"/>
        </w:rPr>
        <w:t>sex,</w:t>
      </w:r>
      <w:r w:rsidRPr="00150EDC">
        <w:rPr>
          <w:rFonts w:ascii="Calibri"/>
          <w:spacing w:val="-4"/>
          <w:sz w:val="24"/>
        </w:rPr>
        <w:t xml:space="preserve"> </w:t>
      </w:r>
      <w:r w:rsidRPr="00150EDC">
        <w:rPr>
          <w:rFonts w:ascii="Calibri"/>
          <w:sz w:val="24"/>
        </w:rPr>
        <w:t>gender</w:t>
      </w:r>
      <w:r w:rsidRPr="00150EDC">
        <w:rPr>
          <w:rFonts w:ascii="Calibri"/>
          <w:spacing w:val="-3"/>
          <w:sz w:val="24"/>
        </w:rPr>
        <w:t xml:space="preserve"> </w:t>
      </w:r>
      <w:r w:rsidRPr="00150EDC">
        <w:rPr>
          <w:rFonts w:ascii="Calibri"/>
          <w:sz w:val="24"/>
        </w:rPr>
        <w:t>reassignment,</w:t>
      </w:r>
      <w:r w:rsidRPr="00150EDC">
        <w:rPr>
          <w:rFonts w:ascii="Calibri"/>
          <w:spacing w:val="-3"/>
          <w:sz w:val="24"/>
        </w:rPr>
        <w:t xml:space="preserve"> </w:t>
      </w:r>
      <w:r w:rsidRPr="00150EDC">
        <w:rPr>
          <w:rFonts w:ascii="Calibri"/>
          <w:sz w:val="24"/>
        </w:rPr>
        <w:t>religion</w:t>
      </w:r>
      <w:r w:rsidRPr="00150EDC">
        <w:rPr>
          <w:rFonts w:ascii="Calibri"/>
          <w:spacing w:val="-5"/>
          <w:sz w:val="24"/>
        </w:rPr>
        <w:t xml:space="preserve"> </w:t>
      </w:r>
      <w:r w:rsidRPr="00150EDC">
        <w:rPr>
          <w:rFonts w:ascii="Calibri"/>
          <w:sz w:val="24"/>
        </w:rPr>
        <w:t>or belief, disability, sexual orientation, pregnancy, maternity, age or otherwise; and</w:t>
      </w:r>
    </w:p>
    <w:p w14:paraId="26584BEC" w14:textId="77777777" w:rsidR="004C7180" w:rsidRPr="00150EDC" w:rsidRDefault="00CF0754" w:rsidP="00B320C7">
      <w:pPr>
        <w:pStyle w:val="ListParagraph"/>
        <w:numPr>
          <w:ilvl w:val="0"/>
          <w:numId w:val="144"/>
        </w:numPr>
        <w:tabs>
          <w:tab w:val="left" w:pos="1491"/>
          <w:tab w:val="left" w:pos="1494"/>
        </w:tabs>
        <w:spacing w:before="19" w:line="242" w:lineRule="auto"/>
        <w:ind w:right="1103"/>
        <w:rPr>
          <w:rFonts w:ascii="Calibri"/>
          <w:sz w:val="24"/>
        </w:rPr>
      </w:pPr>
      <w:r w:rsidRPr="00150EDC">
        <w:rPr>
          <w:rFonts w:ascii="Calibri"/>
          <w:sz w:val="24"/>
        </w:rPr>
        <w:t>any</w:t>
      </w:r>
      <w:r w:rsidRPr="00150EDC">
        <w:rPr>
          <w:rFonts w:ascii="Calibri"/>
          <w:spacing w:val="-3"/>
          <w:sz w:val="24"/>
        </w:rPr>
        <w:t xml:space="preserve"> </w:t>
      </w:r>
      <w:r w:rsidRPr="00150EDC">
        <w:rPr>
          <w:rFonts w:ascii="Calibri"/>
          <w:sz w:val="24"/>
        </w:rPr>
        <w:t>other</w:t>
      </w:r>
      <w:r w:rsidRPr="00150EDC">
        <w:rPr>
          <w:rFonts w:ascii="Calibri"/>
          <w:spacing w:val="-4"/>
          <w:sz w:val="24"/>
        </w:rPr>
        <w:t xml:space="preserve"> </w:t>
      </w:r>
      <w:r w:rsidRPr="00150EDC">
        <w:rPr>
          <w:rFonts w:ascii="Calibri"/>
          <w:sz w:val="24"/>
        </w:rPr>
        <w:t>requirements</w:t>
      </w:r>
      <w:r w:rsidRPr="00150EDC">
        <w:rPr>
          <w:rFonts w:ascii="Calibri"/>
          <w:spacing w:val="-4"/>
          <w:sz w:val="24"/>
        </w:rPr>
        <w:t xml:space="preserve"> </w:t>
      </w:r>
      <w:r w:rsidRPr="00150EDC">
        <w:rPr>
          <w:rFonts w:ascii="Calibri"/>
          <w:sz w:val="24"/>
        </w:rPr>
        <w:t>and</w:t>
      </w:r>
      <w:r w:rsidRPr="00150EDC">
        <w:rPr>
          <w:rFonts w:ascii="Calibri"/>
          <w:spacing w:val="-2"/>
          <w:sz w:val="24"/>
        </w:rPr>
        <w:t xml:space="preserve"> </w:t>
      </w:r>
      <w:r w:rsidRPr="00150EDC">
        <w:rPr>
          <w:rFonts w:ascii="Calibri"/>
          <w:sz w:val="24"/>
        </w:rPr>
        <w:t>instructions</w:t>
      </w:r>
      <w:r w:rsidRPr="00150EDC">
        <w:rPr>
          <w:rFonts w:ascii="Calibri"/>
          <w:spacing w:val="-3"/>
          <w:sz w:val="24"/>
        </w:rPr>
        <w:t xml:space="preserve"> </w:t>
      </w:r>
      <w:r w:rsidRPr="00150EDC">
        <w:rPr>
          <w:rFonts w:ascii="Calibri"/>
          <w:sz w:val="24"/>
        </w:rPr>
        <w:t>which</w:t>
      </w:r>
      <w:r w:rsidRPr="00150EDC">
        <w:rPr>
          <w:rFonts w:ascii="Calibri"/>
          <w:spacing w:val="-4"/>
          <w:sz w:val="24"/>
        </w:rPr>
        <w:t xml:space="preserve"> </w:t>
      </w:r>
      <w:r w:rsidRPr="00150EDC">
        <w:rPr>
          <w:rFonts w:ascii="Calibri"/>
          <w:sz w:val="24"/>
        </w:rPr>
        <w:t>CCS</w:t>
      </w:r>
      <w:r w:rsidRPr="00150EDC">
        <w:rPr>
          <w:rFonts w:ascii="Calibri"/>
          <w:spacing w:val="-3"/>
          <w:sz w:val="24"/>
        </w:rPr>
        <w:t xml:space="preserve"> </w:t>
      </w:r>
      <w:r w:rsidRPr="00150EDC">
        <w:rPr>
          <w:rFonts w:ascii="Calibri"/>
          <w:sz w:val="24"/>
        </w:rPr>
        <w:t>or</w:t>
      </w:r>
      <w:r w:rsidRPr="00150EDC">
        <w:rPr>
          <w:rFonts w:ascii="Calibri"/>
          <w:spacing w:val="-2"/>
          <w:sz w:val="24"/>
        </w:rPr>
        <w:t xml:space="preserve"> </w:t>
      </w:r>
      <w:r w:rsidRPr="00150EDC">
        <w:rPr>
          <w:rFonts w:ascii="Calibri"/>
          <w:sz w:val="24"/>
        </w:rPr>
        <w:t>the</w:t>
      </w:r>
      <w:r w:rsidRPr="00150EDC">
        <w:rPr>
          <w:rFonts w:ascii="Calibri"/>
          <w:spacing w:val="-2"/>
          <w:sz w:val="24"/>
        </w:rPr>
        <w:t xml:space="preserve"> </w:t>
      </w:r>
      <w:r w:rsidRPr="00150EDC">
        <w:rPr>
          <w:rFonts w:ascii="Calibri"/>
          <w:sz w:val="24"/>
        </w:rPr>
        <w:t>Buyer</w:t>
      </w:r>
      <w:r w:rsidRPr="00150EDC">
        <w:rPr>
          <w:rFonts w:ascii="Calibri"/>
          <w:spacing w:val="-3"/>
          <w:sz w:val="24"/>
        </w:rPr>
        <w:t xml:space="preserve"> </w:t>
      </w:r>
      <w:r w:rsidRPr="00150EDC">
        <w:rPr>
          <w:rFonts w:ascii="Calibri"/>
          <w:sz w:val="24"/>
        </w:rPr>
        <w:t>reasonably</w:t>
      </w:r>
      <w:r w:rsidRPr="00150EDC">
        <w:rPr>
          <w:rFonts w:ascii="Calibri"/>
          <w:spacing w:val="-3"/>
          <w:sz w:val="24"/>
        </w:rPr>
        <w:t xml:space="preserve"> </w:t>
      </w:r>
      <w:r w:rsidRPr="00150EDC">
        <w:rPr>
          <w:rFonts w:ascii="Calibri"/>
          <w:sz w:val="24"/>
        </w:rPr>
        <w:t>imposes</w:t>
      </w:r>
      <w:r w:rsidRPr="00150EDC">
        <w:rPr>
          <w:rFonts w:ascii="Calibri"/>
          <w:spacing w:val="-3"/>
          <w:sz w:val="24"/>
        </w:rPr>
        <w:t xml:space="preserve"> </w:t>
      </w:r>
      <w:r w:rsidRPr="00150EDC">
        <w:rPr>
          <w:rFonts w:ascii="Calibri"/>
          <w:sz w:val="24"/>
        </w:rPr>
        <w:t>related</w:t>
      </w:r>
      <w:r w:rsidRPr="00150EDC">
        <w:rPr>
          <w:rFonts w:ascii="Calibri"/>
          <w:spacing w:val="-4"/>
          <w:sz w:val="24"/>
        </w:rPr>
        <w:t xml:space="preserve"> </w:t>
      </w:r>
      <w:r w:rsidRPr="00150EDC">
        <w:rPr>
          <w:rFonts w:ascii="Calibri"/>
          <w:sz w:val="24"/>
        </w:rPr>
        <w:t>to equality Law.</w:t>
      </w:r>
    </w:p>
    <w:p w14:paraId="2465615F" w14:textId="77777777" w:rsidR="004C7180" w:rsidRPr="00150EDC" w:rsidRDefault="004C7180">
      <w:pPr>
        <w:pStyle w:val="BodyText"/>
        <w:spacing w:before="3"/>
        <w:rPr>
          <w:rFonts w:ascii="Calibri"/>
          <w:sz w:val="25"/>
        </w:rPr>
      </w:pPr>
    </w:p>
    <w:p w14:paraId="60553BAC" w14:textId="77777777" w:rsidR="004C7180" w:rsidRPr="00150EDC" w:rsidRDefault="00CF0754" w:rsidP="00B320C7">
      <w:pPr>
        <w:pStyle w:val="ListParagraph"/>
        <w:numPr>
          <w:ilvl w:val="1"/>
          <w:numId w:val="182"/>
        </w:numPr>
        <w:tabs>
          <w:tab w:val="left" w:pos="1064"/>
          <w:tab w:val="left" w:pos="1066"/>
        </w:tabs>
        <w:ind w:right="874"/>
        <w:jc w:val="both"/>
        <w:rPr>
          <w:rFonts w:ascii="Calibri"/>
          <w:sz w:val="24"/>
        </w:rPr>
      </w:pPr>
      <w:r w:rsidRPr="00150EDC">
        <w:rPr>
          <w:rFonts w:ascii="Calibri"/>
          <w:sz w:val="24"/>
        </w:rPr>
        <w:t>The</w:t>
      </w:r>
      <w:r w:rsidRPr="00150EDC">
        <w:rPr>
          <w:rFonts w:ascii="Calibri"/>
          <w:spacing w:val="-1"/>
          <w:sz w:val="24"/>
        </w:rPr>
        <w:t xml:space="preserve"> </w:t>
      </w:r>
      <w:r w:rsidRPr="00150EDC">
        <w:rPr>
          <w:rFonts w:ascii="Calibri"/>
          <w:sz w:val="24"/>
        </w:rPr>
        <w:t>Supplier</w:t>
      </w:r>
      <w:r w:rsidRPr="00150EDC">
        <w:rPr>
          <w:rFonts w:ascii="Calibri"/>
          <w:spacing w:val="-3"/>
          <w:sz w:val="24"/>
        </w:rPr>
        <w:t xml:space="preserve"> </w:t>
      </w:r>
      <w:r w:rsidRPr="00150EDC">
        <w:rPr>
          <w:rFonts w:ascii="Calibri"/>
          <w:sz w:val="24"/>
        </w:rPr>
        <w:t>must</w:t>
      </w:r>
      <w:r w:rsidRPr="00150EDC">
        <w:rPr>
          <w:rFonts w:ascii="Calibri"/>
          <w:spacing w:val="-1"/>
          <w:sz w:val="24"/>
        </w:rPr>
        <w:t xml:space="preserve"> </w:t>
      </w:r>
      <w:r w:rsidRPr="00150EDC">
        <w:rPr>
          <w:rFonts w:ascii="Calibri"/>
          <w:sz w:val="24"/>
        </w:rPr>
        <w:t>take</w:t>
      </w:r>
      <w:r w:rsidRPr="00150EDC">
        <w:rPr>
          <w:rFonts w:ascii="Calibri"/>
          <w:spacing w:val="-1"/>
          <w:sz w:val="24"/>
        </w:rPr>
        <w:t xml:space="preserve"> </w:t>
      </w:r>
      <w:r w:rsidRPr="00150EDC">
        <w:rPr>
          <w:rFonts w:ascii="Calibri"/>
          <w:sz w:val="24"/>
        </w:rPr>
        <w:t>all</w:t>
      </w:r>
      <w:r w:rsidRPr="00150EDC">
        <w:rPr>
          <w:rFonts w:ascii="Calibri"/>
          <w:spacing w:val="-2"/>
          <w:sz w:val="24"/>
        </w:rPr>
        <w:t xml:space="preserve"> </w:t>
      </w:r>
      <w:r w:rsidRPr="00150EDC">
        <w:rPr>
          <w:rFonts w:ascii="Calibri"/>
          <w:sz w:val="24"/>
        </w:rPr>
        <w:t>necessary</w:t>
      </w:r>
      <w:r w:rsidRPr="00150EDC">
        <w:rPr>
          <w:rFonts w:ascii="Calibri"/>
          <w:spacing w:val="-2"/>
          <w:sz w:val="24"/>
        </w:rPr>
        <w:t xml:space="preserve"> </w:t>
      </w:r>
      <w:r w:rsidRPr="00150EDC">
        <w:rPr>
          <w:rFonts w:ascii="Calibri"/>
          <w:sz w:val="24"/>
        </w:rPr>
        <w:t>steps,</w:t>
      </w:r>
      <w:r w:rsidRPr="00150EDC">
        <w:rPr>
          <w:rFonts w:ascii="Calibri"/>
          <w:spacing w:val="-4"/>
          <w:sz w:val="24"/>
        </w:rPr>
        <w:t xml:space="preserve"> </w:t>
      </w:r>
      <w:r w:rsidRPr="00150EDC">
        <w:rPr>
          <w:rFonts w:ascii="Calibri"/>
          <w:sz w:val="24"/>
        </w:rPr>
        <w:t>and</w:t>
      </w:r>
      <w:r w:rsidRPr="00150EDC">
        <w:rPr>
          <w:rFonts w:ascii="Calibri"/>
          <w:spacing w:val="-1"/>
          <w:sz w:val="24"/>
        </w:rPr>
        <w:t xml:space="preserve"> </w:t>
      </w:r>
      <w:r w:rsidRPr="00150EDC">
        <w:rPr>
          <w:rFonts w:ascii="Calibri"/>
          <w:sz w:val="24"/>
        </w:rPr>
        <w:t>inform</w:t>
      </w:r>
      <w:r w:rsidRPr="00150EDC">
        <w:rPr>
          <w:rFonts w:ascii="Calibri"/>
          <w:spacing w:val="-2"/>
          <w:sz w:val="24"/>
        </w:rPr>
        <w:t xml:space="preserve"> </w:t>
      </w:r>
      <w:r w:rsidRPr="00150EDC">
        <w:rPr>
          <w:rFonts w:ascii="Calibri"/>
          <w:sz w:val="24"/>
        </w:rPr>
        <w:t>CCS</w:t>
      </w:r>
      <w:r w:rsidRPr="00150EDC">
        <w:rPr>
          <w:rFonts w:ascii="Calibri"/>
          <w:spacing w:val="-2"/>
          <w:sz w:val="24"/>
        </w:rPr>
        <w:t xml:space="preserve"> </w:t>
      </w:r>
      <w:r w:rsidRPr="00150EDC">
        <w:rPr>
          <w:rFonts w:ascii="Calibri"/>
          <w:sz w:val="24"/>
        </w:rPr>
        <w:t>or</w:t>
      </w:r>
      <w:r w:rsidRPr="00150EDC">
        <w:rPr>
          <w:rFonts w:ascii="Calibri"/>
          <w:spacing w:val="-1"/>
          <w:sz w:val="24"/>
        </w:rPr>
        <w:t xml:space="preserve"> </w:t>
      </w:r>
      <w:r w:rsidRPr="00150EDC">
        <w:rPr>
          <w:rFonts w:ascii="Calibri"/>
          <w:sz w:val="24"/>
        </w:rPr>
        <w:t>the</w:t>
      </w:r>
      <w:r w:rsidRPr="00150EDC">
        <w:rPr>
          <w:rFonts w:ascii="Calibri"/>
          <w:spacing w:val="-4"/>
          <w:sz w:val="24"/>
        </w:rPr>
        <w:t xml:space="preserve"> </w:t>
      </w:r>
      <w:r w:rsidRPr="00150EDC">
        <w:rPr>
          <w:rFonts w:ascii="Calibri"/>
          <w:sz w:val="24"/>
        </w:rPr>
        <w:t>Buyer</w:t>
      </w:r>
      <w:r w:rsidRPr="00150EDC">
        <w:rPr>
          <w:rFonts w:ascii="Calibri"/>
          <w:spacing w:val="-2"/>
          <w:sz w:val="24"/>
        </w:rPr>
        <w:t xml:space="preserve"> </w:t>
      </w:r>
      <w:r w:rsidRPr="00150EDC">
        <w:rPr>
          <w:rFonts w:ascii="Calibri"/>
          <w:sz w:val="24"/>
        </w:rPr>
        <w:t>of</w:t>
      </w:r>
      <w:r w:rsidRPr="00150EDC">
        <w:rPr>
          <w:rFonts w:ascii="Calibri"/>
          <w:spacing w:val="-3"/>
          <w:sz w:val="24"/>
        </w:rPr>
        <w:t xml:space="preserve"> </w:t>
      </w:r>
      <w:r w:rsidRPr="00150EDC">
        <w:rPr>
          <w:rFonts w:ascii="Calibri"/>
          <w:sz w:val="24"/>
        </w:rPr>
        <w:t>the</w:t>
      </w:r>
      <w:r w:rsidRPr="00150EDC">
        <w:rPr>
          <w:rFonts w:ascii="Calibri"/>
          <w:spacing w:val="-1"/>
          <w:sz w:val="24"/>
        </w:rPr>
        <w:t xml:space="preserve"> </w:t>
      </w:r>
      <w:r w:rsidRPr="00150EDC">
        <w:rPr>
          <w:rFonts w:ascii="Calibri"/>
          <w:sz w:val="24"/>
        </w:rPr>
        <w:t>steps</w:t>
      </w:r>
      <w:r w:rsidRPr="00150EDC">
        <w:rPr>
          <w:rFonts w:ascii="Calibri"/>
          <w:spacing w:val="-4"/>
          <w:sz w:val="24"/>
        </w:rPr>
        <w:t xml:space="preserve"> </w:t>
      </w:r>
      <w:r w:rsidRPr="00150EDC">
        <w:rPr>
          <w:rFonts w:ascii="Calibri"/>
          <w:sz w:val="24"/>
        </w:rPr>
        <w:t>taken,</w:t>
      </w:r>
      <w:r w:rsidRPr="00150EDC">
        <w:rPr>
          <w:rFonts w:ascii="Calibri"/>
          <w:spacing w:val="-4"/>
          <w:sz w:val="24"/>
        </w:rPr>
        <w:t xml:space="preserve"> </w:t>
      </w:r>
      <w:r w:rsidRPr="00150EDC">
        <w:rPr>
          <w:rFonts w:ascii="Calibri"/>
          <w:sz w:val="24"/>
        </w:rPr>
        <w:t>to</w:t>
      </w:r>
      <w:r w:rsidRPr="00150EDC">
        <w:rPr>
          <w:rFonts w:ascii="Calibri"/>
          <w:spacing w:val="-4"/>
          <w:sz w:val="24"/>
        </w:rPr>
        <w:t xml:space="preserve"> </w:t>
      </w:r>
      <w:r w:rsidRPr="00150EDC">
        <w:rPr>
          <w:rFonts w:ascii="Calibri"/>
          <w:sz w:val="24"/>
        </w:rPr>
        <w:t>prevent anything that is considered to be unlawful discrimination by any court or tribunal, or the Equality</w:t>
      </w:r>
      <w:r w:rsidRPr="00150EDC">
        <w:rPr>
          <w:rFonts w:ascii="Calibri"/>
          <w:spacing w:val="-1"/>
          <w:sz w:val="24"/>
        </w:rPr>
        <w:t xml:space="preserve"> </w:t>
      </w:r>
      <w:r w:rsidRPr="00150EDC">
        <w:rPr>
          <w:rFonts w:ascii="Calibri"/>
          <w:sz w:val="24"/>
        </w:rPr>
        <w:t>and Human Rights Commission (or any successor organisation) when working on a Contract.</w:t>
      </w:r>
    </w:p>
    <w:p w14:paraId="40DF1E3C" w14:textId="77777777" w:rsidR="004C7180" w:rsidRPr="00150EDC" w:rsidRDefault="004C7180">
      <w:pPr>
        <w:pStyle w:val="BodyText"/>
        <w:spacing w:before="4"/>
        <w:rPr>
          <w:rFonts w:ascii="Calibri"/>
          <w:sz w:val="27"/>
        </w:rPr>
      </w:pPr>
    </w:p>
    <w:p w14:paraId="4A97BB17" w14:textId="77777777" w:rsidR="004C7180" w:rsidRPr="00150EDC" w:rsidRDefault="00CF0754" w:rsidP="00B320C7">
      <w:pPr>
        <w:pStyle w:val="Heading1"/>
        <w:numPr>
          <w:ilvl w:val="0"/>
          <w:numId w:val="182"/>
        </w:numPr>
        <w:tabs>
          <w:tab w:val="left" w:pos="1217"/>
        </w:tabs>
        <w:spacing w:before="1"/>
        <w:ind w:left="1217" w:hanging="650"/>
        <w:jc w:val="left"/>
        <w:rPr>
          <w:rFonts w:ascii="Calibri"/>
        </w:rPr>
      </w:pPr>
      <w:r w:rsidRPr="00150EDC">
        <w:rPr>
          <w:rFonts w:ascii="Calibri"/>
        </w:rPr>
        <w:t>Health</w:t>
      </w:r>
      <w:r w:rsidRPr="00150EDC">
        <w:rPr>
          <w:rFonts w:ascii="Calibri"/>
          <w:spacing w:val="-2"/>
        </w:rPr>
        <w:t xml:space="preserve"> </w:t>
      </w:r>
      <w:r w:rsidRPr="00150EDC">
        <w:rPr>
          <w:rFonts w:ascii="Calibri"/>
        </w:rPr>
        <w:t>and</w:t>
      </w:r>
      <w:r w:rsidRPr="00150EDC">
        <w:rPr>
          <w:rFonts w:ascii="Calibri"/>
          <w:spacing w:val="-2"/>
        </w:rPr>
        <w:t xml:space="preserve"> safety</w:t>
      </w:r>
    </w:p>
    <w:p w14:paraId="39F12C49" w14:textId="77777777" w:rsidR="004C7180" w:rsidRPr="00150EDC" w:rsidRDefault="00CF0754" w:rsidP="00B320C7">
      <w:pPr>
        <w:pStyle w:val="ListParagraph"/>
        <w:numPr>
          <w:ilvl w:val="1"/>
          <w:numId w:val="182"/>
        </w:numPr>
        <w:tabs>
          <w:tab w:val="left" w:pos="1065"/>
        </w:tabs>
        <w:spacing w:before="18"/>
        <w:ind w:left="1065" w:hanging="565"/>
        <w:rPr>
          <w:rFonts w:ascii="Calibri"/>
          <w:sz w:val="24"/>
        </w:rPr>
      </w:pPr>
      <w:r w:rsidRPr="00150EDC">
        <w:rPr>
          <w:rFonts w:ascii="Calibri"/>
          <w:sz w:val="24"/>
        </w:rPr>
        <w:t>The</w:t>
      </w:r>
      <w:r w:rsidRPr="00150EDC">
        <w:rPr>
          <w:rFonts w:ascii="Calibri"/>
          <w:spacing w:val="-3"/>
          <w:sz w:val="24"/>
        </w:rPr>
        <w:t xml:space="preserve"> </w:t>
      </w:r>
      <w:r w:rsidRPr="00150EDC">
        <w:rPr>
          <w:rFonts w:ascii="Calibri"/>
          <w:sz w:val="24"/>
        </w:rPr>
        <w:t>Supplier</w:t>
      </w:r>
      <w:r w:rsidRPr="00150EDC">
        <w:rPr>
          <w:rFonts w:ascii="Calibri"/>
          <w:spacing w:val="-4"/>
          <w:sz w:val="24"/>
        </w:rPr>
        <w:t xml:space="preserve"> </w:t>
      </w:r>
      <w:r w:rsidRPr="00150EDC">
        <w:rPr>
          <w:rFonts w:ascii="Calibri"/>
          <w:sz w:val="24"/>
        </w:rPr>
        <w:t>must</w:t>
      </w:r>
      <w:r w:rsidRPr="00150EDC">
        <w:rPr>
          <w:rFonts w:ascii="Calibri"/>
          <w:spacing w:val="-3"/>
          <w:sz w:val="24"/>
        </w:rPr>
        <w:t xml:space="preserve"> </w:t>
      </w:r>
      <w:r w:rsidRPr="00150EDC">
        <w:rPr>
          <w:rFonts w:ascii="Calibri"/>
          <w:sz w:val="24"/>
        </w:rPr>
        <w:t>perform</w:t>
      </w:r>
      <w:r w:rsidRPr="00150EDC">
        <w:rPr>
          <w:rFonts w:ascii="Calibri"/>
          <w:spacing w:val="-3"/>
          <w:sz w:val="24"/>
        </w:rPr>
        <w:t xml:space="preserve"> </w:t>
      </w:r>
      <w:r w:rsidRPr="00150EDC">
        <w:rPr>
          <w:rFonts w:ascii="Calibri"/>
          <w:sz w:val="24"/>
        </w:rPr>
        <w:t>its</w:t>
      </w:r>
      <w:r w:rsidRPr="00150EDC">
        <w:rPr>
          <w:rFonts w:ascii="Calibri"/>
          <w:spacing w:val="-6"/>
          <w:sz w:val="24"/>
        </w:rPr>
        <w:t xml:space="preserve"> </w:t>
      </w:r>
      <w:r w:rsidRPr="00150EDC">
        <w:rPr>
          <w:rFonts w:ascii="Calibri"/>
          <w:sz w:val="24"/>
        </w:rPr>
        <w:t>obligations</w:t>
      </w:r>
      <w:r w:rsidRPr="00150EDC">
        <w:rPr>
          <w:rFonts w:ascii="Calibri"/>
          <w:spacing w:val="-5"/>
          <w:sz w:val="24"/>
        </w:rPr>
        <w:t xml:space="preserve"> </w:t>
      </w:r>
      <w:r w:rsidRPr="00150EDC">
        <w:rPr>
          <w:rFonts w:ascii="Calibri"/>
          <w:sz w:val="24"/>
        </w:rPr>
        <w:t>meeting</w:t>
      </w:r>
      <w:r w:rsidRPr="00150EDC">
        <w:rPr>
          <w:rFonts w:ascii="Calibri"/>
          <w:spacing w:val="-4"/>
          <w:sz w:val="24"/>
        </w:rPr>
        <w:t xml:space="preserve"> </w:t>
      </w:r>
      <w:r w:rsidRPr="00150EDC">
        <w:rPr>
          <w:rFonts w:ascii="Calibri"/>
          <w:sz w:val="24"/>
        </w:rPr>
        <w:t>the</w:t>
      </w:r>
      <w:r w:rsidRPr="00150EDC">
        <w:rPr>
          <w:rFonts w:ascii="Calibri"/>
          <w:spacing w:val="-2"/>
          <w:sz w:val="24"/>
        </w:rPr>
        <w:t xml:space="preserve"> </w:t>
      </w:r>
      <w:r w:rsidRPr="00150EDC">
        <w:rPr>
          <w:rFonts w:ascii="Calibri"/>
          <w:sz w:val="24"/>
        </w:rPr>
        <w:t>requirements</w:t>
      </w:r>
      <w:r w:rsidRPr="00150EDC">
        <w:rPr>
          <w:rFonts w:ascii="Calibri"/>
          <w:spacing w:val="-3"/>
          <w:sz w:val="24"/>
        </w:rPr>
        <w:t xml:space="preserve"> </w:t>
      </w:r>
      <w:r w:rsidRPr="00150EDC">
        <w:rPr>
          <w:rFonts w:ascii="Calibri"/>
          <w:spacing w:val="-5"/>
          <w:sz w:val="24"/>
        </w:rPr>
        <w:t>of:</w:t>
      </w:r>
    </w:p>
    <w:p w14:paraId="743CB892" w14:textId="77777777" w:rsidR="004C7180" w:rsidRPr="00150EDC" w:rsidRDefault="004C7180">
      <w:pPr>
        <w:pStyle w:val="BodyText"/>
        <w:spacing w:before="3"/>
        <w:rPr>
          <w:rFonts w:ascii="Calibri"/>
          <w:sz w:val="27"/>
        </w:rPr>
      </w:pPr>
    </w:p>
    <w:p w14:paraId="5881A0E3" w14:textId="77777777" w:rsidR="004C7180" w:rsidRPr="00150EDC" w:rsidRDefault="00CF0754" w:rsidP="00B320C7">
      <w:pPr>
        <w:pStyle w:val="ListParagraph"/>
        <w:numPr>
          <w:ilvl w:val="0"/>
          <w:numId w:val="143"/>
        </w:numPr>
        <w:tabs>
          <w:tab w:val="left" w:pos="1491"/>
        </w:tabs>
        <w:ind w:left="1491" w:hanging="425"/>
        <w:rPr>
          <w:rFonts w:ascii="Calibri"/>
          <w:sz w:val="24"/>
        </w:rPr>
      </w:pPr>
      <w:r w:rsidRPr="00150EDC">
        <w:rPr>
          <w:rFonts w:ascii="Calibri"/>
          <w:sz w:val="24"/>
        </w:rPr>
        <w:t>all</w:t>
      </w:r>
      <w:r w:rsidRPr="00150EDC">
        <w:rPr>
          <w:rFonts w:ascii="Calibri"/>
          <w:spacing w:val="-3"/>
          <w:sz w:val="24"/>
        </w:rPr>
        <w:t xml:space="preserve"> </w:t>
      </w:r>
      <w:r w:rsidRPr="00150EDC">
        <w:rPr>
          <w:rFonts w:ascii="Calibri"/>
          <w:sz w:val="24"/>
        </w:rPr>
        <w:t>applicable</w:t>
      </w:r>
      <w:r w:rsidRPr="00150EDC">
        <w:rPr>
          <w:rFonts w:ascii="Calibri"/>
          <w:spacing w:val="-5"/>
          <w:sz w:val="24"/>
        </w:rPr>
        <w:t xml:space="preserve"> </w:t>
      </w:r>
      <w:r w:rsidRPr="00150EDC">
        <w:rPr>
          <w:rFonts w:ascii="Calibri"/>
          <w:sz w:val="24"/>
        </w:rPr>
        <w:t>Law</w:t>
      </w:r>
      <w:r w:rsidRPr="00150EDC">
        <w:rPr>
          <w:rFonts w:ascii="Calibri"/>
          <w:spacing w:val="-4"/>
          <w:sz w:val="24"/>
        </w:rPr>
        <w:t xml:space="preserve"> </w:t>
      </w:r>
      <w:r w:rsidRPr="00150EDC">
        <w:rPr>
          <w:rFonts w:ascii="Calibri"/>
          <w:sz w:val="24"/>
        </w:rPr>
        <w:t>regarding</w:t>
      </w:r>
      <w:r w:rsidRPr="00150EDC">
        <w:rPr>
          <w:rFonts w:ascii="Calibri"/>
          <w:spacing w:val="-3"/>
          <w:sz w:val="24"/>
        </w:rPr>
        <w:t xml:space="preserve"> </w:t>
      </w:r>
      <w:r w:rsidRPr="00150EDC">
        <w:rPr>
          <w:rFonts w:ascii="Calibri"/>
          <w:sz w:val="24"/>
        </w:rPr>
        <w:t>health</w:t>
      </w:r>
      <w:r w:rsidRPr="00150EDC">
        <w:rPr>
          <w:rFonts w:ascii="Calibri"/>
          <w:spacing w:val="-2"/>
          <w:sz w:val="24"/>
        </w:rPr>
        <w:t xml:space="preserve"> </w:t>
      </w:r>
      <w:r w:rsidRPr="00150EDC">
        <w:rPr>
          <w:rFonts w:ascii="Calibri"/>
          <w:sz w:val="24"/>
        </w:rPr>
        <w:t>and</w:t>
      </w:r>
      <w:r w:rsidRPr="00150EDC">
        <w:rPr>
          <w:rFonts w:ascii="Calibri"/>
          <w:spacing w:val="-2"/>
          <w:sz w:val="24"/>
        </w:rPr>
        <w:t xml:space="preserve"> </w:t>
      </w:r>
      <w:r w:rsidRPr="00150EDC">
        <w:rPr>
          <w:rFonts w:ascii="Calibri"/>
          <w:sz w:val="24"/>
        </w:rPr>
        <w:t>safety;</w:t>
      </w:r>
      <w:r w:rsidRPr="00150EDC">
        <w:rPr>
          <w:rFonts w:ascii="Calibri"/>
          <w:spacing w:val="-3"/>
          <w:sz w:val="24"/>
        </w:rPr>
        <w:t xml:space="preserve"> </w:t>
      </w:r>
      <w:r w:rsidRPr="00150EDC">
        <w:rPr>
          <w:rFonts w:ascii="Calibri"/>
          <w:spacing w:val="-5"/>
          <w:sz w:val="24"/>
        </w:rPr>
        <w:t>and</w:t>
      </w:r>
    </w:p>
    <w:p w14:paraId="00061B61" w14:textId="77777777" w:rsidR="004C7180" w:rsidRPr="00150EDC" w:rsidRDefault="00CF0754" w:rsidP="00B320C7">
      <w:pPr>
        <w:pStyle w:val="ListParagraph"/>
        <w:numPr>
          <w:ilvl w:val="0"/>
          <w:numId w:val="143"/>
        </w:numPr>
        <w:tabs>
          <w:tab w:val="left" w:pos="1491"/>
          <w:tab w:val="left" w:pos="1494"/>
        </w:tabs>
        <w:spacing w:before="20" w:line="242" w:lineRule="auto"/>
        <w:ind w:right="1315"/>
        <w:rPr>
          <w:rFonts w:ascii="Calibri" w:hAnsi="Calibri"/>
          <w:sz w:val="24"/>
        </w:rPr>
      </w:pPr>
      <w:r w:rsidRPr="00150EDC">
        <w:rPr>
          <w:rFonts w:ascii="Calibri" w:hAnsi="Calibri"/>
          <w:sz w:val="24"/>
        </w:rPr>
        <w:t>the</w:t>
      </w:r>
      <w:r w:rsidRPr="00150EDC">
        <w:rPr>
          <w:rFonts w:ascii="Calibri" w:hAnsi="Calibri"/>
          <w:spacing w:val="-4"/>
          <w:sz w:val="24"/>
        </w:rPr>
        <w:t xml:space="preserve"> </w:t>
      </w:r>
      <w:r w:rsidRPr="00150EDC">
        <w:rPr>
          <w:rFonts w:ascii="Calibri" w:hAnsi="Calibri"/>
          <w:sz w:val="24"/>
        </w:rPr>
        <w:t>Buyer’s</w:t>
      </w:r>
      <w:r w:rsidRPr="00150EDC">
        <w:rPr>
          <w:rFonts w:ascii="Calibri" w:hAnsi="Calibri"/>
          <w:spacing w:val="-2"/>
          <w:sz w:val="24"/>
        </w:rPr>
        <w:t xml:space="preserve"> </w:t>
      </w:r>
      <w:r w:rsidRPr="00150EDC">
        <w:rPr>
          <w:rFonts w:ascii="Calibri" w:hAnsi="Calibri"/>
          <w:sz w:val="24"/>
        </w:rPr>
        <w:t>current</w:t>
      </w:r>
      <w:r w:rsidRPr="00150EDC">
        <w:rPr>
          <w:rFonts w:ascii="Calibri" w:hAnsi="Calibri"/>
          <w:spacing w:val="-3"/>
          <w:sz w:val="24"/>
        </w:rPr>
        <w:t xml:space="preserve"> </w:t>
      </w:r>
      <w:r w:rsidRPr="00150EDC">
        <w:rPr>
          <w:rFonts w:ascii="Calibri" w:hAnsi="Calibri"/>
          <w:sz w:val="24"/>
        </w:rPr>
        <w:t>health</w:t>
      </w:r>
      <w:r w:rsidRPr="00150EDC">
        <w:rPr>
          <w:rFonts w:ascii="Calibri" w:hAnsi="Calibri"/>
          <w:spacing w:val="-1"/>
          <w:sz w:val="24"/>
        </w:rPr>
        <w:t xml:space="preserve"> </w:t>
      </w:r>
      <w:r w:rsidRPr="00150EDC">
        <w:rPr>
          <w:rFonts w:ascii="Calibri" w:hAnsi="Calibri"/>
          <w:sz w:val="24"/>
        </w:rPr>
        <w:t>and</w:t>
      </w:r>
      <w:r w:rsidRPr="00150EDC">
        <w:rPr>
          <w:rFonts w:ascii="Calibri" w:hAnsi="Calibri"/>
          <w:spacing w:val="-1"/>
          <w:sz w:val="24"/>
        </w:rPr>
        <w:t xml:space="preserve"> </w:t>
      </w:r>
      <w:r w:rsidRPr="00150EDC">
        <w:rPr>
          <w:rFonts w:ascii="Calibri" w:hAnsi="Calibri"/>
          <w:sz w:val="24"/>
        </w:rPr>
        <w:t>safety</w:t>
      </w:r>
      <w:r w:rsidRPr="00150EDC">
        <w:rPr>
          <w:rFonts w:ascii="Calibri" w:hAnsi="Calibri"/>
          <w:spacing w:val="-5"/>
          <w:sz w:val="24"/>
        </w:rPr>
        <w:t xml:space="preserve"> </w:t>
      </w:r>
      <w:r w:rsidRPr="00150EDC">
        <w:rPr>
          <w:rFonts w:ascii="Calibri" w:hAnsi="Calibri"/>
          <w:sz w:val="24"/>
        </w:rPr>
        <w:t>policy</w:t>
      </w:r>
      <w:r w:rsidRPr="00150EDC">
        <w:rPr>
          <w:rFonts w:ascii="Calibri" w:hAnsi="Calibri"/>
          <w:spacing w:val="-2"/>
          <w:sz w:val="24"/>
        </w:rPr>
        <w:t xml:space="preserve"> </w:t>
      </w:r>
      <w:r w:rsidRPr="00150EDC">
        <w:rPr>
          <w:rFonts w:ascii="Calibri" w:hAnsi="Calibri"/>
          <w:sz w:val="24"/>
        </w:rPr>
        <w:t>while</w:t>
      </w:r>
      <w:r w:rsidRPr="00150EDC">
        <w:rPr>
          <w:rFonts w:ascii="Calibri" w:hAnsi="Calibri"/>
          <w:spacing w:val="-3"/>
          <w:sz w:val="24"/>
        </w:rPr>
        <w:t xml:space="preserve"> </w:t>
      </w:r>
      <w:r w:rsidRPr="00150EDC">
        <w:rPr>
          <w:rFonts w:ascii="Calibri" w:hAnsi="Calibri"/>
          <w:sz w:val="24"/>
        </w:rPr>
        <w:t>at</w:t>
      </w:r>
      <w:r w:rsidRPr="00150EDC">
        <w:rPr>
          <w:rFonts w:ascii="Calibri" w:hAnsi="Calibri"/>
          <w:spacing w:val="-1"/>
          <w:sz w:val="24"/>
        </w:rPr>
        <w:t xml:space="preserve"> </w:t>
      </w:r>
      <w:r w:rsidRPr="00150EDC">
        <w:rPr>
          <w:rFonts w:ascii="Calibri" w:hAnsi="Calibri"/>
          <w:sz w:val="24"/>
        </w:rPr>
        <w:t>the</w:t>
      </w:r>
      <w:r w:rsidRPr="00150EDC">
        <w:rPr>
          <w:rFonts w:ascii="Calibri" w:hAnsi="Calibri"/>
          <w:spacing w:val="-4"/>
          <w:sz w:val="24"/>
        </w:rPr>
        <w:t xml:space="preserve"> </w:t>
      </w:r>
      <w:r w:rsidRPr="00150EDC">
        <w:rPr>
          <w:rFonts w:ascii="Calibri" w:hAnsi="Calibri"/>
          <w:sz w:val="24"/>
        </w:rPr>
        <w:t>Buyer’s</w:t>
      </w:r>
      <w:r w:rsidRPr="00150EDC">
        <w:rPr>
          <w:rFonts w:ascii="Calibri" w:hAnsi="Calibri"/>
          <w:spacing w:val="-2"/>
          <w:sz w:val="24"/>
        </w:rPr>
        <w:t xml:space="preserve"> </w:t>
      </w:r>
      <w:r w:rsidRPr="00150EDC">
        <w:rPr>
          <w:rFonts w:ascii="Calibri" w:hAnsi="Calibri"/>
          <w:sz w:val="24"/>
        </w:rPr>
        <w:t>Premises,</w:t>
      </w:r>
      <w:r w:rsidRPr="00150EDC">
        <w:rPr>
          <w:rFonts w:ascii="Calibri" w:hAnsi="Calibri"/>
          <w:spacing w:val="-4"/>
          <w:sz w:val="24"/>
        </w:rPr>
        <w:t xml:space="preserve"> </w:t>
      </w:r>
      <w:r w:rsidRPr="00150EDC">
        <w:rPr>
          <w:rFonts w:ascii="Calibri" w:hAnsi="Calibri"/>
          <w:sz w:val="24"/>
        </w:rPr>
        <w:t>as</w:t>
      </w:r>
      <w:r w:rsidRPr="00150EDC">
        <w:rPr>
          <w:rFonts w:ascii="Calibri" w:hAnsi="Calibri"/>
          <w:spacing w:val="-2"/>
          <w:sz w:val="24"/>
        </w:rPr>
        <w:t xml:space="preserve"> </w:t>
      </w:r>
      <w:r w:rsidRPr="00150EDC">
        <w:rPr>
          <w:rFonts w:ascii="Calibri" w:hAnsi="Calibri"/>
          <w:sz w:val="24"/>
        </w:rPr>
        <w:t>provided</w:t>
      </w:r>
      <w:r w:rsidRPr="00150EDC">
        <w:rPr>
          <w:rFonts w:ascii="Calibri" w:hAnsi="Calibri"/>
          <w:spacing w:val="-3"/>
          <w:sz w:val="24"/>
        </w:rPr>
        <w:t xml:space="preserve"> </w:t>
      </w:r>
      <w:r w:rsidRPr="00150EDC">
        <w:rPr>
          <w:rFonts w:ascii="Calibri" w:hAnsi="Calibri"/>
          <w:sz w:val="24"/>
        </w:rPr>
        <w:t>to</w:t>
      </w:r>
      <w:r w:rsidRPr="00150EDC">
        <w:rPr>
          <w:rFonts w:ascii="Calibri" w:hAnsi="Calibri"/>
          <w:spacing w:val="-4"/>
          <w:sz w:val="24"/>
        </w:rPr>
        <w:t xml:space="preserve"> </w:t>
      </w:r>
      <w:r w:rsidRPr="00150EDC">
        <w:rPr>
          <w:rFonts w:ascii="Calibri" w:hAnsi="Calibri"/>
          <w:sz w:val="24"/>
        </w:rPr>
        <w:t xml:space="preserve">the </w:t>
      </w:r>
      <w:r w:rsidRPr="00150EDC">
        <w:rPr>
          <w:rFonts w:ascii="Calibri" w:hAnsi="Calibri"/>
          <w:spacing w:val="-2"/>
          <w:sz w:val="24"/>
        </w:rPr>
        <w:t>Supplier.</w:t>
      </w:r>
    </w:p>
    <w:p w14:paraId="055515D5" w14:textId="77777777" w:rsidR="004C7180" w:rsidRPr="00150EDC" w:rsidRDefault="004C7180">
      <w:pPr>
        <w:pStyle w:val="BodyText"/>
        <w:spacing w:before="3"/>
        <w:rPr>
          <w:rFonts w:ascii="Calibri"/>
          <w:sz w:val="25"/>
        </w:rPr>
      </w:pPr>
    </w:p>
    <w:p w14:paraId="2C334BB2" w14:textId="77777777" w:rsidR="004C7180" w:rsidRPr="00150EDC" w:rsidRDefault="00CF0754" w:rsidP="00B320C7">
      <w:pPr>
        <w:pStyle w:val="ListParagraph"/>
        <w:numPr>
          <w:ilvl w:val="1"/>
          <w:numId w:val="182"/>
        </w:numPr>
        <w:tabs>
          <w:tab w:val="left" w:pos="1065"/>
        </w:tabs>
        <w:ind w:left="1065" w:hanging="565"/>
        <w:rPr>
          <w:rFonts w:ascii="Calibri"/>
          <w:sz w:val="24"/>
        </w:rPr>
      </w:pPr>
      <w:r w:rsidRPr="00150EDC">
        <w:rPr>
          <w:rFonts w:ascii="Calibri"/>
          <w:sz w:val="24"/>
        </w:rPr>
        <w:t>The</w:t>
      </w:r>
      <w:r w:rsidRPr="00150EDC">
        <w:rPr>
          <w:rFonts w:ascii="Calibri"/>
          <w:spacing w:val="-3"/>
          <w:sz w:val="24"/>
        </w:rPr>
        <w:t xml:space="preserve"> </w:t>
      </w:r>
      <w:r w:rsidRPr="00150EDC">
        <w:rPr>
          <w:rFonts w:ascii="Calibri"/>
          <w:sz w:val="24"/>
        </w:rPr>
        <w:t>Supplier</w:t>
      </w:r>
      <w:r w:rsidRPr="00150EDC">
        <w:rPr>
          <w:rFonts w:ascii="Calibri"/>
          <w:spacing w:val="-3"/>
          <w:sz w:val="24"/>
        </w:rPr>
        <w:t xml:space="preserve"> </w:t>
      </w:r>
      <w:r w:rsidRPr="00150EDC">
        <w:rPr>
          <w:rFonts w:ascii="Calibri"/>
          <w:sz w:val="24"/>
        </w:rPr>
        <w:t>and</w:t>
      </w:r>
      <w:r w:rsidRPr="00150EDC">
        <w:rPr>
          <w:rFonts w:ascii="Calibri"/>
          <w:spacing w:val="-3"/>
          <w:sz w:val="24"/>
        </w:rPr>
        <w:t xml:space="preserve"> </w:t>
      </w:r>
      <w:r w:rsidRPr="00150EDC">
        <w:rPr>
          <w:rFonts w:ascii="Calibri"/>
          <w:sz w:val="24"/>
        </w:rPr>
        <w:t>the</w:t>
      </w:r>
      <w:r w:rsidRPr="00150EDC">
        <w:rPr>
          <w:rFonts w:ascii="Calibri"/>
          <w:spacing w:val="-4"/>
          <w:sz w:val="24"/>
        </w:rPr>
        <w:t xml:space="preserve"> </w:t>
      </w:r>
      <w:r w:rsidRPr="00150EDC">
        <w:rPr>
          <w:rFonts w:ascii="Calibri"/>
          <w:sz w:val="24"/>
        </w:rPr>
        <w:t>Buyer</w:t>
      </w:r>
      <w:r w:rsidRPr="00150EDC">
        <w:rPr>
          <w:rFonts w:ascii="Calibri"/>
          <w:spacing w:val="-2"/>
          <w:sz w:val="24"/>
        </w:rPr>
        <w:t xml:space="preserve"> </w:t>
      </w:r>
      <w:r w:rsidRPr="00150EDC">
        <w:rPr>
          <w:rFonts w:ascii="Calibri"/>
          <w:sz w:val="24"/>
        </w:rPr>
        <w:t>must</w:t>
      </w:r>
      <w:r w:rsidRPr="00150EDC">
        <w:rPr>
          <w:rFonts w:ascii="Calibri"/>
          <w:spacing w:val="-1"/>
          <w:sz w:val="24"/>
        </w:rPr>
        <w:t xml:space="preserve"> </w:t>
      </w:r>
      <w:r w:rsidRPr="00150EDC">
        <w:rPr>
          <w:rFonts w:ascii="Calibri"/>
          <w:sz w:val="24"/>
        </w:rPr>
        <w:t>as</w:t>
      </w:r>
      <w:r w:rsidRPr="00150EDC">
        <w:rPr>
          <w:rFonts w:ascii="Calibri"/>
          <w:spacing w:val="-2"/>
          <w:sz w:val="24"/>
        </w:rPr>
        <w:t xml:space="preserve"> </w:t>
      </w:r>
      <w:r w:rsidRPr="00150EDC">
        <w:rPr>
          <w:rFonts w:ascii="Calibri"/>
          <w:sz w:val="24"/>
        </w:rPr>
        <w:t>soon</w:t>
      </w:r>
      <w:r w:rsidRPr="00150EDC">
        <w:rPr>
          <w:rFonts w:ascii="Calibri"/>
          <w:spacing w:val="-3"/>
          <w:sz w:val="24"/>
        </w:rPr>
        <w:t xml:space="preserve"> </w:t>
      </w:r>
      <w:r w:rsidRPr="00150EDC">
        <w:rPr>
          <w:rFonts w:ascii="Calibri"/>
          <w:sz w:val="24"/>
        </w:rPr>
        <w:t>as</w:t>
      </w:r>
      <w:r w:rsidRPr="00150EDC">
        <w:rPr>
          <w:rFonts w:ascii="Calibri"/>
          <w:spacing w:val="-4"/>
          <w:sz w:val="24"/>
        </w:rPr>
        <w:t xml:space="preserve"> </w:t>
      </w:r>
      <w:r w:rsidRPr="00150EDC">
        <w:rPr>
          <w:rFonts w:ascii="Calibri"/>
          <w:sz w:val="24"/>
        </w:rPr>
        <w:t>possible</w:t>
      </w:r>
      <w:r w:rsidRPr="00150EDC">
        <w:rPr>
          <w:rFonts w:ascii="Calibri"/>
          <w:spacing w:val="-3"/>
          <w:sz w:val="24"/>
        </w:rPr>
        <w:t xml:space="preserve"> </w:t>
      </w:r>
      <w:r w:rsidRPr="00150EDC">
        <w:rPr>
          <w:rFonts w:ascii="Calibri"/>
          <w:sz w:val="24"/>
        </w:rPr>
        <w:t>notify</w:t>
      </w:r>
      <w:r w:rsidRPr="00150EDC">
        <w:rPr>
          <w:rFonts w:ascii="Calibri"/>
          <w:spacing w:val="-5"/>
          <w:sz w:val="24"/>
        </w:rPr>
        <w:t xml:space="preserve"> </w:t>
      </w:r>
      <w:r w:rsidRPr="00150EDC">
        <w:rPr>
          <w:rFonts w:ascii="Calibri"/>
          <w:sz w:val="24"/>
        </w:rPr>
        <w:t>the</w:t>
      </w:r>
      <w:r w:rsidRPr="00150EDC">
        <w:rPr>
          <w:rFonts w:ascii="Calibri"/>
          <w:spacing w:val="-4"/>
          <w:sz w:val="24"/>
        </w:rPr>
        <w:t xml:space="preserve"> </w:t>
      </w:r>
      <w:r w:rsidRPr="00150EDC">
        <w:rPr>
          <w:rFonts w:ascii="Calibri"/>
          <w:sz w:val="24"/>
        </w:rPr>
        <w:t>other</w:t>
      </w:r>
      <w:r w:rsidRPr="00150EDC">
        <w:rPr>
          <w:rFonts w:ascii="Calibri"/>
          <w:spacing w:val="-3"/>
          <w:sz w:val="24"/>
        </w:rPr>
        <w:t xml:space="preserve"> </w:t>
      </w:r>
      <w:r w:rsidRPr="00150EDC">
        <w:rPr>
          <w:rFonts w:ascii="Calibri"/>
          <w:sz w:val="24"/>
        </w:rPr>
        <w:t>of</w:t>
      </w:r>
      <w:r w:rsidRPr="00150EDC">
        <w:rPr>
          <w:rFonts w:ascii="Calibri"/>
          <w:spacing w:val="-3"/>
          <w:sz w:val="24"/>
        </w:rPr>
        <w:t xml:space="preserve"> </w:t>
      </w:r>
      <w:r w:rsidRPr="00150EDC">
        <w:rPr>
          <w:rFonts w:ascii="Calibri"/>
          <w:sz w:val="24"/>
        </w:rPr>
        <w:t>any</w:t>
      </w:r>
      <w:r w:rsidRPr="00150EDC">
        <w:rPr>
          <w:rFonts w:ascii="Calibri"/>
          <w:spacing w:val="-2"/>
          <w:sz w:val="24"/>
        </w:rPr>
        <w:t xml:space="preserve"> </w:t>
      </w:r>
      <w:r w:rsidRPr="00150EDC">
        <w:rPr>
          <w:rFonts w:ascii="Calibri"/>
          <w:sz w:val="24"/>
        </w:rPr>
        <w:t>health</w:t>
      </w:r>
      <w:r w:rsidRPr="00150EDC">
        <w:rPr>
          <w:rFonts w:ascii="Calibri"/>
          <w:spacing w:val="-1"/>
          <w:sz w:val="24"/>
        </w:rPr>
        <w:t xml:space="preserve"> </w:t>
      </w:r>
      <w:r w:rsidRPr="00150EDC">
        <w:rPr>
          <w:rFonts w:ascii="Calibri"/>
          <w:sz w:val="24"/>
        </w:rPr>
        <w:t>and</w:t>
      </w:r>
      <w:r w:rsidRPr="00150EDC">
        <w:rPr>
          <w:rFonts w:ascii="Calibri"/>
          <w:spacing w:val="-3"/>
          <w:sz w:val="24"/>
        </w:rPr>
        <w:t xml:space="preserve"> </w:t>
      </w:r>
      <w:r w:rsidRPr="00150EDC">
        <w:rPr>
          <w:rFonts w:ascii="Calibri"/>
          <w:sz w:val="24"/>
        </w:rPr>
        <w:t>safety</w:t>
      </w:r>
      <w:r w:rsidRPr="00150EDC">
        <w:rPr>
          <w:rFonts w:ascii="Calibri"/>
          <w:spacing w:val="-1"/>
          <w:sz w:val="24"/>
        </w:rPr>
        <w:t xml:space="preserve"> </w:t>
      </w:r>
      <w:r w:rsidRPr="00150EDC">
        <w:rPr>
          <w:rFonts w:ascii="Calibri"/>
          <w:spacing w:val="-2"/>
          <w:sz w:val="24"/>
        </w:rPr>
        <w:t>incidents</w:t>
      </w:r>
    </w:p>
    <w:p w14:paraId="46EBBF74" w14:textId="77777777" w:rsidR="004C7180" w:rsidRPr="00150EDC" w:rsidRDefault="004C7180">
      <w:pPr>
        <w:rPr>
          <w:rFonts w:ascii="Calibri"/>
          <w:sz w:val="24"/>
        </w:rPr>
        <w:sectPr w:rsidR="004C7180" w:rsidRPr="00150EDC">
          <w:pgSz w:w="11910" w:h="16840"/>
          <w:pgMar w:top="620" w:right="0" w:bottom="2460" w:left="40" w:header="403" w:footer="2245" w:gutter="0"/>
          <w:cols w:space="720"/>
        </w:sectPr>
      </w:pPr>
    </w:p>
    <w:p w14:paraId="5D1C99F5" w14:textId="77777777" w:rsidR="004C7180" w:rsidRPr="00150EDC" w:rsidRDefault="004C7180">
      <w:pPr>
        <w:pStyle w:val="BodyText"/>
        <w:spacing w:before="1"/>
        <w:rPr>
          <w:rFonts w:ascii="Calibri"/>
          <w:sz w:val="18"/>
        </w:rPr>
      </w:pPr>
    </w:p>
    <w:p w14:paraId="2D4B3D86" w14:textId="77777777" w:rsidR="004C7180" w:rsidRPr="00150EDC" w:rsidRDefault="00CF0754">
      <w:pPr>
        <w:pStyle w:val="BodyText"/>
        <w:spacing w:before="52"/>
        <w:ind w:left="1066" w:right="673"/>
        <w:rPr>
          <w:rFonts w:ascii="Calibri"/>
        </w:rPr>
      </w:pPr>
      <w:r w:rsidRPr="00150EDC">
        <w:rPr>
          <w:rFonts w:ascii="Calibri"/>
        </w:rPr>
        <w:t>or</w:t>
      </w:r>
      <w:r w:rsidRPr="00150EDC">
        <w:rPr>
          <w:rFonts w:ascii="Calibri"/>
          <w:spacing w:val="-1"/>
        </w:rPr>
        <w:t xml:space="preserve"> </w:t>
      </w:r>
      <w:r w:rsidRPr="00150EDC">
        <w:rPr>
          <w:rFonts w:ascii="Calibri"/>
        </w:rPr>
        <w:t>material</w:t>
      </w:r>
      <w:r w:rsidRPr="00150EDC">
        <w:rPr>
          <w:rFonts w:ascii="Calibri"/>
          <w:spacing w:val="-4"/>
        </w:rPr>
        <w:t xml:space="preserve"> </w:t>
      </w:r>
      <w:r w:rsidRPr="00150EDC">
        <w:rPr>
          <w:rFonts w:ascii="Calibri"/>
        </w:rPr>
        <w:t>hazards</w:t>
      </w:r>
      <w:r w:rsidRPr="00150EDC">
        <w:rPr>
          <w:rFonts w:ascii="Calibri"/>
          <w:spacing w:val="-4"/>
        </w:rPr>
        <w:t xml:space="preserve"> </w:t>
      </w:r>
      <w:r w:rsidRPr="00150EDC">
        <w:rPr>
          <w:rFonts w:ascii="Calibri"/>
        </w:rPr>
        <w:t>they</w:t>
      </w:r>
      <w:r w:rsidRPr="00150EDC">
        <w:rPr>
          <w:rFonts w:ascii="Calibri"/>
          <w:spacing w:val="-4"/>
        </w:rPr>
        <w:t xml:space="preserve"> </w:t>
      </w:r>
      <w:r w:rsidRPr="00150EDC">
        <w:rPr>
          <w:rFonts w:ascii="Calibri"/>
        </w:rPr>
        <w:t>are</w:t>
      </w:r>
      <w:r w:rsidRPr="00150EDC">
        <w:rPr>
          <w:rFonts w:ascii="Calibri"/>
          <w:spacing w:val="-1"/>
        </w:rPr>
        <w:t xml:space="preserve"> </w:t>
      </w:r>
      <w:r w:rsidRPr="00150EDC">
        <w:rPr>
          <w:rFonts w:ascii="Calibri"/>
        </w:rPr>
        <w:t>aware</w:t>
      </w:r>
      <w:r w:rsidRPr="00150EDC">
        <w:rPr>
          <w:rFonts w:ascii="Calibri"/>
          <w:spacing w:val="-3"/>
        </w:rPr>
        <w:t xml:space="preserve"> </w:t>
      </w:r>
      <w:r w:rsidRPr="00150EDC">
        <w:rPr>
          <w:rFonts w:ascii="Calibri"/>
        </w:rPr>
        <w:t>of</w:t>
      </w:r>
      <w:r w:rsidRPr="00150EDC">
        <w:rPr>
          <w:rFonts w:ascii="Calibri"/>
          <w:spacing w:val="-2"/>
        </w:rPr>
        <w:t xml:space="preserve"> </w:t>
      </w:r>
      <w:r w:rsidRPr="00150EDC">
        <w:rPr>
          <w:rFonts w:ascii="Calibri"/>
        </w:rPr>
        <w:t>at</w:t>
      </w:r>
      <w:r w:rsidRPr="00150EDC">
        <w:rPr>
          <w:rFonts w:ascii="Calibri"/>
          <w:spacing w:val="-3"/>
        </w:rPr>
        <w:t xml:space="preserve"> </w:t>
      </w:r>
      <w:r w:rsidRPr="00150EDC">
        <w:rPr>
          <w:rFonts w:ascii="Calibri"/>
        </w:rPr>
        <w:t>the Buyer</w:t>
      </w:r>
      <w:r w:rsidRPr="00150EDC">
        <w:rPr>
          <w:rFonts w:ascii="Calibri"/>
          <w:spacing w:val="-1"/>
        </w:rPr>
        <w:t xml:space="preserve"> </w:t>
      </w:r>
      <w:r w:rsidRPr="00150EDC">
        <w:rPr>
          <w:rFonts w:ascii="Calibri"/>
        </w:rPr>
        <w:t>Premises</w:t>
      </w:r>
      <w:r w:rsidRPr="00150EDC">
        <w:rPr>
          <w:rFonts w:ascii="Calibri"/>
          <w:spacing w:val="-2"/>
        </w:rPr>
        <w:t xml:space="preserve"> </w:t>
      </w:r>
      <w:r w:rsidRPr="00150EDC">
        <w:rPr>
          <w:rFonts w:ascii="Calibri"/>
        </w:rPr>
        <w:t>that</w:t>
      </w:r>
      <w:r w:rsidRPr="00150EDC">
        <w:rPr>
          <w:rFonts w:ascii="Calibri"/>
          <w:spacing w:val="-3"/>
        </w:rPr>
        <w:t xml:space="preserve"> </w:t>
      </w:r>
      <w:r w:rsidRPr="00150EDC">
        <w:rPr>
          <w:rFonts w:ascii="Calibri"/>
        </w:rPr>
        <w:t>relate</w:t>
      </w:r>
      <w:r w:rsidRPr="00150EDC">
        <w:rPr>
          <w:rFonts w:ascii="Calibri"/>
          <w:spacing w:val="-3"/>
        </w:rPr>
        <w:t xml:space="preserve"> </w:t>
      </w:r>
      <w:r w:rsidRPr="00150EDC">
        <w:rPr>
          <w:rFonts w:ascii="Calibri"/>
        </w:rPr>
        <w:t>to</w:t>
      </w:r>
      <w:r w:rsidRPr="00150EDC">
        <w:rPr>
          <w:rFonts w:ascii="Calibri"/>
          <w:spacing w:val="-6"/>
        </w:rPr>
        <w:t xml:space="preserve"> </w:t>
      </w:r>
      <w:r w:rsidRPr="00150EDC">
        <w:rPr>
          <w:rFonts w:ascii="Calibri"/>
        </w:rPr>
        <w:t>the</w:t>
      </w:r>
      <w:r w:rsidRPr="00150EDC">
        <w:rPr>
          <w:rFonts w:ascii="Calibri"/>
          <w:spacing w:val="-4"/>
        </w:rPr>
        <w:t xml:space="preserve"> </w:t>
      </w:r>
      <w:r w:rsidRPr="00150EDC">
        <w:rPr>
          <w:rFonts w:ascii="Calibri"/>
        </w:rPr>
        <w:t>performance</w:t>
      </w:r>
      <w:r w:rsidRPr="00150EDC">
        <w:rPr>
          <w:rFonts w:ascii="Calibri"/>
          <w:spacing w:val="-3"/>
        </w:rPr>
        <w:t xml:space="preserve"> </w:t>
      </w:r>
      <w:r w:rsidRPr="00150EDC">
        <w:rPr>
          <w:rFonts w:ascii="Calibri"/>
        </w:rPr>
        <w:t>of</w:t>
      </w:r>
      <w:r w:rsidRPr="00150EDC">
        <w:rPr>
          <w:rFonts w:ascii="Calibri"/>
          <w:spacing w:val="-2"/>
        </w:rPr>
        <w:t xml:space="preserve"> </w:t>
      </w:r>
      <w:r w:rsidRPr="00150EDC">
        <w:rPr>
          <w:rFonts w:ascii="Calibri"/>
        </w:rPr>
        <w:t xml:space="preserve">a </w:t>
      </w:r>
      <w:r w:rsidRPr="00150EDC">
        <w:rPr>
          <w:rFonts w:ascii="Calibri"/>
          <w:spacing w:val="-2"/>
        </w:rPr>
        <w:t>Contract.</w:t>
      </w:r>
    </w:p>
    <w:p w14:paraId="3A83F846" w14:textId="77777777" w:rsidR="004C7180" w:rsidRPr="00150EDC" w:rsidRDefault="004C7180">
      <w:pPr>
        <w:pStyle w:val="BodyText"/>
        <w:spacing w:before="5"/>
        <w:rPr>
          <w:rFonts w:ascii="Calibri"/>
          <w:sz w:val="27"/>
        </w:rPr>
      </w:pPr>
    </w:p>
    <w:p w14:paraId="73D870EA" w14:textId="77777777" w:rsidR="004C7180" w:rsidRPr="00150EDC" w:rsidRDefault="00CF0754" w:rsidP="00B320C7">
      <w:pPr>
        <w:pStyle w:val="Heading1"/>
        <w:numPr>
          <w:ilvl w:val="0"/>
          <w:numId w:val="182"/>
        </w:numPr>
        <w:tabs>
          <w:tab w:val="left" w:pos="1217"/>
        </w:tabs>
        <w:ind w:left="1217" w:hanging="650"/>
        <w:jc w:val="left"/>
        <w:rPr>
          <w:rFonts w:ascii="Calibri"/>
        </w:rPr>
      </w:pPr>
      <w:r w:rsidRPr="00150EDC">
        <w:rPr>
          <w:rFonts w:ascii="Calibri"/>
          <w:spacing w:val="-2"/>
        </w:rPr>
        <w:t>Environment</w:t>
      </w:r>
    </w:p>
    <w:p w14:paraId="5170B8E4" w14:textId="77777777" w:rsidR="004C7180" w:rsidRPr="00150EDC" w:rsidRDefault="00CF0754" w:rsidP="00B320C7">
      <w:pPr>
        <w:pStyle w:val="ListParagraph"/>
        <w:numPr>
          <w:ilvl w:val="1"/>
          <w:numId w:val="182"/>
        </w:numPr>
        <w:tabs>
          <w:tab w:val="left" w:pos="1064"/>
          <w:tab w:val="left" w:pos="1066"/>
        </w:tabs>
        <w:spacing w:before="18"/>
        <w:ind w:right="2033"/>
        <w:rPr>
          <w:rFonts w:ascii="Calibri" w:hAnsi="Calibri"/>
          <w:sz w:val="24"/>
        </w:rPr>
      </w:pPr>
      <w:r w:rsidRPr="00150EDC">
        <w:rPr>
          <w:rFonts w:ascii="Calibri" w:hAnsi="Calibri"/>
          <w:sz w:val="24"/>
        </w:rPr>
        <w:t>When</w:t>
      </w:r>
      <w:r w:rsidRPr="00150EDC">
        <w:rPr>
          <w:rFonts w:ascii="Calibri" w:hAnsi="Calibri"/>
          <w:spacing w:val="-4"/>
          <w:sz w:val="24"/>
        </w:rPr>
        <w:t xml:space="preserve"> </w:t>
      </w:r>
      <w:r w:rsidRPr="00150EDC">
        <w:rPr>
          <w:rFonts w:ascii="Calibri" w:hAnsi="Calibri"/>
          <w:sz w:val="24"/>
        </w:rPr>
        <w:t>working</w:t>
      </w:r>
      <w:r w:rsidRPr="00150EDC">
        <w:rPr>
          <w:rFonts w:ascii="Calibri" w:hAnsi="Calibri"/>
          <w:spacing w:val="-3"/>
          <w:sz w:val="24"/>
        </w:rPr>
        <w:t xml:space="preserve"> </w:t>
      </w:r>
      <w:r w:rsidRPr="00150EDC">
        <w:rPr>
          <w:rFonts w:ascii="Calibri" w:hAnsi="Calibri"/>
          <w:sz w:val="24"/>
        </w:rPr>
        <w:t>on</w:t>
      </w:r>
      <w:r w:rsidRPr="00150EDC">
        <w:rPr>
          <w:rFonts w:ascii="Calibri" w:hAnsi="Calibri"/>
          <w:spacing w:val="-2"/>
          <w:sz w:val="24"/>
        </w:rPr>
        <w:t xml:space="preserve"> </w:t>
      </w:r>
      <w:r w:rsidRPr="00150EDC">
        <w:rPr>
          <w:rFonts w:ascii="Calibri" w:hAnsi="Calibri"/>
          <w:sz w:val="24"/>
        </w:rPr>
        <w:t>Site</w:t>
      </w:r>
      <w:r w:rsidRPr="00150EDC">
        <w:rPr>
          <w:rFonts w:ascii="Calibri" w:hAnsi="Calibri"/>
          <w:spacing w:val="-4"/>
          <w:sz w:val="24"/>
        </w:rPr>
        <w:t xml:space="preserve"> </w:t>
      </w:r>
      <w:r w:rsidRPr="00150EDC">
        <w:rPr>
          <w:rFonts w:ascii="Calibri" w:hAnsi="Calibri"/>
          <w:sz w:val="24"/>
        </w:rPr>
        <w:t>the</w:t>
      </w:r>
      <w:r w:rsidRPr="00150EDC">
        <w:rPr>
          <w:rFonts w:ascii="Calibri" w:hAnsi="Calibri"/>
          <w:spacing w:val="-2"/>
          <w:sz w:val="24"/>
        </w:rPr>
        <w:t xml:space="preserve"> </w:t>
      </w:r>
      <w:r w:rsidRPr="00150EDC">
        <w:rPr>
          <w:rFonts w:ascii="Calibri" w:hAnsi="Calibri"/>
          <w:sz w:val="24"/>
        </w:rPr>
        <w:t>Supplier</w:t>
      </w:r>
      <w:r w:rsidRPr="00150EDC">
        <w:rPr>
          <w:rFonts w:ascii="Calibri" w:hAnsi="Calibri"/>
          <w:spacing w:val="-2"/>
          <w:sz w:val="24"/>
        </w:rPr>
        <w:t xml:space="preserve"> </w:t>
      </w:r>
      <w:r w:rsidRPr="00150EDC">
        <w:rPr>
          <w:rFonts w:ascii="Calibri" w:hAnsi="Calibri"/>
          <w:sz w:val="24"/>
        </w:rPr>
        <w:t>must</w:t>
      </w:r>
      <w:r w:rsidRPr="00150EDC">
        <w:rPr>
          <w:rFonts w:ascii="Calibri" w:hAnsi="Calibri"/>
          <w:spacing w:val="-4"/>
          <w:sz w:val="24"/>
        </w:rPr>
        <w:t xml:space="preserve"> </w:t>
      </w:r>
      <w:r w:rsidRPr="00150EDC">
        <w:rPr>
          <w:rFonts w:ascii="Calibri" w:hAnsi="Calibri"/>
          <w:sz w:val="24"/>
        </w:rPr>
        <w:t>perform</w:t>
      </w:r>
      <w:r w:rsidRPr="00150EDC">
        <w:rPr>
          <w:rFonts w:ascii="Calibri" w:hAnsi="Calibri"/>
          <w:spacing w:val="-5"/>
          <w:sz w:val="24"/>
        </w:rPr>
        <w:t xml:space="preserve"> </w:t>
      </w:r>
      <w:r w:rsidRPr="00150EDC">
        <w:rPr>
          <w:rFonts w:ascii="Calibri" w:hAnsi="Calibri"/>
          <w:sz w:val="24"/>
        </w:rPr>
        <w:t>its</w:t>
      </w:r>
      <w:r w:rsidRPr="00150EDC">
        <w:rPr>
          <w:rFonts w:ascii="Calibri" w:hAnsi="Calibri"/>
          <w:spacing w:val="-3"/>
          <w:sz w:val="24"/>
        </w:rPr>
        <w:t xml:space="preserve"> </w:t>
      </w:r>
      <w:r w:rsidRPr="00150EDC">
        <w:rPr>
          <w:rFonts w:ascii="Calibri" w:hAnsi="Calibri"/>
          <w:sz w:val="24"/>
        </w:rPr>
        <w:t>obligations</w:t>
      </w:r>
      <w:r w:rsidRPr="00150EDC">
        <w:rPr>
          <w:rFonts w:ascii="Calibri" w:hAnsi="Calibri"/>
          <w:spacing w:val="-5"/>
          <w:sz w:val="24"/>
        </w:rPr>
        <w:t xml:space="preserve"> </w:t>
      </w:r>
      <w:r w:rsidRPr="00150EDC">
        <w:rPr>
          <w:rFonts w:ascii="Calibri" w:hAnsi="Calibri"/>
          <w:sz w:val="24"/>
        </w:rPr>
        <w:t>under</w:t>
      </w:r>
      <w:r w:rsidRPr="00150EDC">
        <w:rPr>
          <w:rFonts w:ascii="Calibri" w:hAnsi="Calibri"/>
          <w:spacing w:val="-4"/>
          <w:sz w:val="24"/>
        </w:rPr>
        <w:t xml:space="preserve"> </w:t>
      </w:r>
      <w:r w:rsidRPr="00150EDC">
        <w:rPr>
          <w:rFonts w:ascii="Calibri" w:hAnsi="Calibri"/>
          <w:sz w:val="24"/>
        </w:rPr>
        <w:t>the</w:t>
      </w:r>
      <w:r w:rsidRPr="00150EDC">
        <w:rPr>
          <w:rFonts w:ascii="Calibri" w:hAnsi="Calibri"/>
          <w:spacing w:val="-4"/>
          <w:sz w:val="24"/>
        </w:rPr>
        <w:t xml:space="preserve"> </w:t>
      </w:r>
      <w:r w:rsidRPr="00150EDC">
        <w:rPr>
          <w:rFonts w:ascii="Calibri" w:hAnsi="Calibri"/>
          <w:sz w:val="24"/>
        </w:rPr>
        <w:t>Buyer’s</w:t>
      </w:r>
      <w:r w:rsidRPr="00150EDC">
        <w:rPr>
          <w:rFonts w:ascii="Calibri" w:hAnsi="Calibri"/>
          <w:spacing w:val="-3"/>
          <w:sz w:val="24"/>
        </w:rPr>
        <w:t xml:space="preserve"> </w:t>
      </w:r>
      <w:r w:rsidRPr="00150EDC">
        <w:rPr>
          <w:rFonts w:ascii="Calibri" w:hAnsi="Calibri"/>
          <w:sz w:val="24"/>
        </w:rPr>
        <w:t>current Environmental Policy, which the Buyer must provide.</w:t>
      </w:r>
    </w:p>
    <w:p w14:paraId="6C71F4A4" w14:textId="77777777" w:rsidR="004C7180" w:rsidRPr="00150EDC" w:rsidRDefault="004C7180">
      <w:pPr>
        <w:pStyle w:val="BodyText"/>
        <w:spacing w:before="12"/>
        <w:rPr>
          <w:rFonts w:ascii="Calibri"/>
          <w:sz w:val="23"/>
        </w:rPr>
      </w:pPr>
    </w:p>
    <w:p w14:paraId="6AC33468" w14:textId="77777777" w:rsidR="004C7180" w:rsidRPr="00150EDC" w:rsidRDefault="00CF0754" w:rsidP="00B320C7">
      <w:pPr>
        <w:pStyle w:val="ListParagraph"/>
        <w:numPr>
          <w:ilvl w:val="1"/>
          <w:numId w:val="182"/>
        </w:numPr>
        <w:tabs>
          <w:tab w:val="left" w:pos="1065"/>
        </w:tabs>
        <w:ind w:left="1065" w:hanging="565"/>
        <w:rPr>
          <w:rFonts w:ascii="Calibri" w:hAnsi="Calibri"/>
          <w:sz w:val="24"/>
        </w:rPr>
      </w:pPr>
      <w:r w:rsidRPr="00150EDC">
        <w:rPr>
          <w:rFonts w:ascii="Calibri" w:hAnsi="Calibri"/>
          <w:sz w:val="24"/>
        </w:rPr>
        <w:t>The</w:t>
      </w:r>
      <w:r w:rsidRPr="00150EDC">
        <w:rPr>
          <w:rFonts w:ascii="Calibri" w:hAnsi="Calibri"/>
          <w:spacing w:val="-4"/>
          <w:sz w:val="24"/>
        </w:rPr>
        <w:t xml:space="preserve"> </w:t>
      </w:r>
      <w:r w:rsidRPr="00150EDC">
        <w:rPr>
          <w:rFonts w:ascii="Calibri" w:hAnsi="Calibri"/>
          <w:sz w:val="24"/>
        </w:rPr>
        <w:t>Supplier</w:t>
      </w:r>
      <w:r w:rsidRPr="00150EDC">
        <w:rPr>
          <w:rFonts w:ascii="Calibri" w:hAnsi="Calibri"/>
          <w:spacing w:val="-4"/>
          <w:sz w:val="24"/>
        </w:rPr>
        <w:t xml:space="preserve"> </w:t>
      </w:r>
      <w:r w:rsidRPr="00150EDC">
        <w:rPr>
          <w:rFonts w:ascii="Calibri" w:hAnsi="Calibri"/>
          <w:sz w:val="24"/>
        </w:rPr>
        <w:t>must</w:t>
      </w:r>
      <w:r w:rsidRPr="00150EDC">
        <w:rPr>
          <w:rFonts w:ascii="Calibri" w:hAnsi="Calibri"/>
          <w:spacing w:val="-2"/>
          <w:sz w:val="24"/>
        </w:rPr>
        <w:t xml:space="preserve"> </w:t>
      </w:r>
      <w:r w:rsidRPr="00150EDC">
        <w:rPr>
          <w:rFonts w:ascii="Calibri" w:hAnsi="Calibri"/>
          <w:sz w:val="24"/>
        </w:rPr>
        <w:t>ensure</w:t>
      </w:r>
      <w:r w:rsidRPr="00150EDC">
        <w:rPr>
          <w:rFonts w:ascii="Calibri" w:hAnsi="Calibri"/>
          <w:spacing w:val="-1"/>
          <w:sz w:val="24"/>
        </w:rPr>
        <w:t xml:space="preserve"> </w:t>
      </w:r>
      <w:r w:rsidRPr="00150EDC">
        <w:rPr>
          <w:rFonts w:ascii="Calibri" w:hAnsi="Calibri"/>
          <w:sz w:val="24"/>
        </w:rPr>
        <w:t>that</w:t>
      </w:r>
      <w:r w:rsidRPr="00150EDC">
        <w:rPr>
          <w:rFonts w:ascii="Calibri" w:hAnsi="Calibri"/>
          <w:spacing w:val="-4"/>
          <w:sz w:val="24"/>
        </w:rPr>
        <w:t xml:space="preserve"> </w:t>
      </w:r>
      <w:r w:rsidRPr="00150EDC">
        <w:rPr>
          <w:rFonts w:ascii="Calibri" w:hAnsi="Calibri"/>
          <w:sz w:val="24"/>
        </w:rPr>
        <w:t>Supplier</w:t>
      </w:r>
      <w:r w:rsidRPr="00150EDC">
        <w:rPr>
          <w:rFonts w:ascii="Calibri" w:hAnsi="Calibri"/>
          <w:spacing w:val="1"/>
          <w:sz w:val="24"/>
        </w:rPr>
        <w:t xml:space="preserve"> </w:t>
      </w:r>
      <w:r w:rsidRPr="00150EDC">
        <w:rPr>
          <w:rFonts w:ascii="Calibri" w:hAnsi="Calibri"/>
          <w:sz w:val="24"/>
        </w:rPr>
        <w:t>Staff</w:t>
      </w:r>
      <w:r w:rsidRPr="00150EDC">
        <w:rPr>
          <w:rFonts w:ascii="Calibri" w:hAnsi="Calibri"/>
          <w:spacing w:val="-4"/>
          <w:sz w:val="24"/>
        </w:rPr>
        <w:t xml:space="preserve"> </w:t>
      </w:r>
      <w:r w:rsidRPr="00150EDC">
        <w:rPr>
          <w:rFonts w:ascii="Calibri" w:hAnsi="Calibri"/>
          <w:sz w:val="24"/>
        </w:rPr>
        <w:t>are</w:t>
      </w:r>
      <w:r w:rsidRPr="00150EDC">
        <w:rPr>
          <w:rFonts w:ascii="Calibri" w:hAnsi="Calibri"/>
          <w:spacing w:val="-5"/>
          <w:sz w:val="24"/>
        </w:rPr>
        <w:t xml:space="preserve"> </w:t>
      </w:r>
      <w:r w:rsidRPr="00150EDC">
        <w:rPr>
          <w:rFonts w:ascii="Calibri" w:hAnsi="Calibri"/>
          <w:sz w:val="24"/>
        </w:rPr>
        <w:t>aware</w:t>
      </w:r>
      <w:r w:rsidRPr="00150EDC">
        <w:rPr>
          <w:rFonts w:ascii="Calibri" w:hAnsi="Calibri"/>
          <w:spacing w:val="-2"/>
          <w:sz w:val="24"/>
        </w:rPr>
        <w:t xml:space="preserve"> </w:t>
      </w:r>
      <w:r w:rsidRPr="00150EDC">
        <w:rPr>
          <w:rFonts w:ascii="Calibri" w:hAnsi="Calibri"/>
          <w:sz w:val="24"/>
        </w:rPr>
        <w:t>of</w:t>
      </w:r>
      <w:r w:rsidRPr="00150EDC">
        <w:rPr>
          <w:rFonts w:ascii="Calibri" w:hAnsi="Calibri"/>
          <w:spacing w:val="-4"/>
          <w:sz w:val="24"/>
        </w:rPr>
        <w:t xml:space="preserve"> </w:t>
      </w:r>
      <w:r w:rsidRPr="00150EDC">
        <w:rPr>
          <w:rFonts w:ascii="Calibri" w:hAnsi="Calibri"/>
          <w:sz w:val="24"/>
        </w:rPr>
        <w:t>the</w:t>
      </w:r>
      <w:r w:rsidRPr="00150EDC">
        <w:rPr>
          <w:rFonts w:ascii="Calibri" w:hAnsi="Calibri"/>
          <w:spacing w:val="-1"/>
          <w:sz w:val="24"/>
        </w:rPr>
        <w:t xml:space="preserve"> </w:t>
      </w:r>
      <w:r w:rsidRPr="00150EDC">
        <w:rPr>
          <w:rFonts w:ascii="Calibri" w:hAnsi="Calibri"/>
          <w:sz w:val="24"/>
        </w:rPr>
        <w:t>Buyer’s</w:t>
      </w:r>
      <w:r w:rsidRPr="00150EDC">
        <w:rPr>
          <w:rFonts w:ascii="Calibri" w:hAnsi="Calibri"/>
          <w:spacing w:val="-5"/>
          <w:sz w:val="24"/>
        </w:rPr>
        <w:t xml:space="preserve"> </w:t>
      </w:r>
      <w:r w:rsidRPr="00150EDC">
        <w:rPr>
          <w:rFonts w:ascii="Calibri" w:hAnsi="Calibri"/>
          <w:sz w:val="24"/>
        </w:rPr>
        <w:t>Environmental</w:t>
      </w:r>
      <w:r w:rsidRPr="00150EDC">
        <w:rPr>
          <w:rFonts w:ascii="Calibri" w:hAnsi="Calibri"/>
          <w:spacing w:val="-4"/>
          <w:sz w:val="24"/>
        </w:rPr>
        <w:t xml:space="preserve"> </w:t>
      </w:r>
      <w:r w:rsidRPr="00150EDC">
        <w:rPr>
          <w:rFonts w:ascii="Calibri" w:hAnsi="Calibri"/>
          <w:spacing w:val="-2"/>
          <w:sz w:val="24"/>
        </w:rPr>
        <w:t>Policy.</w:t>
      </w:r>
    </w:p>
    <w:p w14:paraId="5DBE6B4C" w14:textId="77777777" w:rsidR="004C7180" w:rsidRPr="00150EDC" w:rsidRDefault="004C7180">
      <w:pPr>
        <w:pStyle w:val="BodyText"/>
        <w:spacing w:before="4"/>
        <w:rPr>
          <w:rFonts w:ascii="Calibri"/>
          <w:sz w:val="27"/>
        </w:rPr>
      </w:pPr>
    </w:p>
    <w:p w14:paraId="6D272390" w14:textId="77777777" w:rsidR="004C7180" w:rsidRPr="00150EDC" w:rsidRDefault="00CF0754" w:rsidP="00B320C7">
      <w:pPr>
        <w:pStyle w:val="Heading1"/>
        <w:numPr>
          <w:ilvl w:val="0"/>
          <w:numId w:val="182"/>
        </w:numPr>
        <w:tabs>
          <w:tab w:val="left" w:pos="1217"/>
        </w:tabs>
        <w:spacing w:before="1"/>
        <w:ind w:left="1217" w:hanging="650"/>
        <w:jc w:val="left"/>
        <w:rPr>
          <w:rFonts w:ascii="Calibri"/>
        </w:rPr>
      </w:pPr>
      <w:r w:rsidRPr="00150EDC">
        <w:rPr>
          <w:rFonts w:ascii="Calibri"/>
          <w:spacing w:val="-5"/>
        </w:rPr>
        <w:t>Tax</w:t>
      </w:r>
    </w:p>
    <w:p w14:paraId="118C4D2B" w14:textId="77777777" w:rsidR="004C7180" w:rsidRPr="00150EDC" w:rsidRDefault="00CF0754" w:rsidP="00B320C7">
      <w:pPr>
        <w:pStyle w:val="ListParagraph"/>
        <w:numPr>
          <w:ilvl w:val="1"/>
          <w:numId w:val="182"/>
        </w:numPr>
        <w:tabs>
          <w:tab w:val="left" w:pos="1064"/>
          <w:tab w:val="left" w:pos="1066"/>
        </w:tabs>
        <w:spacing w:before="20"/>
        <w:ind w:right="780"/>
        <w:rPr>
          <w:rFonts w:ascii="Calibri"/>
          <w:sz w:val="24"/>
        </w:rPr>
      </w:pPr>
      <w:r w:rsidRPr="00150EDC">
        <w:rPr>
          <w:rFonts w:ascii="Calibri"/>
          <w:sz w:val="24"/>
        </w:rPr>
        <w:t>The Supplier must not breach any Tax or social security obligations and must enter into a binding agreement</w:t>
      </w:r>
      <w:r w:rsidRPr="00150EDC">
        <w:rPr>
          <w:rFonts w:ascii="Calibri"/>
          <w:spacing w:val="-3"/>
          <w:sz w:val="24"/>
        </w:rPr>
        <w:t xml:space="preserve"> </w:t>
      </w:r>
      <w:r w:rsidRPr="00150EDC">
        <w:rPr>
          <w:rFonts w:ascii="Calibri"/>
          <w:sz w:val="24"/>
        </w:rPr>
        <w:t>to</w:t>
      </w:r>
      <w:r w:rsidRPr="00150EDC">
        <w:rPr>
          <w:rFonts w:ascii="Calibri"/>
          <w:spacing w:val="-3"/>
          <w:sz w:val="24"/>
        </w:rPr>
        <w:t xml:space="preserve"> </w:t>
      </w:r>
      <w:r w:rsidRPr="00150EDC">
        <w:rPr>
          <w:rFonts w:ascii="Calibri"/>
          <w:sz w:val="24"/>
        </w:rPr>
        <w:t>pay</w:t>
      </w:r>
      <w:r w:rsidRPr="00150EDC">
        <w:rPr>
          <w:rFonts w:ascii="Calibri"/>
          <w:spacing w:val="-2"/>
          <w:sz w:val="24"/>
        </w:rPr>
        <w:t xml:space="preserve"> </w:t>
      </w:r>
      <w:r w:rsidRPr="00150EDC">
        <w:rPr>
          <w:rFonts w:ascii="Calibri"/>
          <w:sz w:val="24"/>
        </w:rPr>
        <w:t>any</w:t>
      </w:r>
      <w:r w:rsidRPr="00150EDC">
        <w:rPr>
          <w:rFonts w:ascii="Calibri"/>
          <w:spacing w:val="-2"/>
          <w:sz w:val="24"/>
        </w:rPr>
        <w:t xml:space="preserve"> </w:t>
      </w:r>
      <w:r w:rsidRPr="00150EDC">
        <w:rPr>
          <w:rFonts w:ascii="Calibri"/>
          <w:sz w:val="24"/>
        </w:rPr>
        <w:t>late</w:t>
      </w:r>
      <w:r w:rsidRPr="00150EDC">
        <w:rPr>
          <w:rFonts w:ascii="Calibri"/>
          <w:spacing w:val="-1"/>
          <w:sz w:val="24"/>
        </w:rPr>
        <w:t xml:space="preserve"> </w:t>
      </w:r>
      <w:r w:rsidRPr="00150EDC">
        <w:rPr>
          <w:rFonts w:ascii="Calibri"/>
          <w:sz w:val="24"/>
        </w:rPr>
        <w:t>contributions</w:t>
      </w:r>
      <w:r w:rsidRPr="00150EDC">
        <w:rPr>
          <w:rFonts w:ascii="Calibri"/>
          <w:spacing w:val="-4"/>
          <w:sz w:val="24"/>
        </w:rPr>
        <w:t xml:space="preserve"> </w:t>
      </w:r>
      <w:r w:rsidRPr="00150EDC">
        <w:rPr>
          <w:rFonts w:ascii="Calibri"/>
          <w:sz w:val="24"/>
        </w:rPr>
        <w:t>due,</w:t>
      </w:r>
      <w:r w:rsidRPr="00150EDC">
        <w:rPr>
          <w:rFonts w:ascii="Calibri"/>
          <w:spacing w:val="-4"/>
          <w:sz w:val="24"/>
        </w:rPr>
        <w:t xml:space="preserve"> </w:t>
      </w:r>
      <w:r w:rsidRPr="00150EDC">
        <w:rPr>
          <w:rFonts w:ascii="Calibri"/>
          <w:sz w:val="24"/>
        </w:rPr>
        <w:t>including</w:t>
      </w:r>
      <w:r w:rsidRPr="00150EDC">
        <w:rPr>
          <w:rFonts w:ascii="Calibri"/>
          <w:spacing w:val="-4"/>
          <w:sz w:val="24"/>
        </w:rPr>
        <w:t xml:space="preserve"> </w:t>
      </w:r>
      <w:r w:rsidRPr="00150EDC">
        <w:rPr>
          <w:rFonts w:ascii="Calibri"/>
          <w:sz w:val="24"/>
        </w:rPr>
        <w:t>where applicable,</w:t>
      </w:r>
      <w:r w:rsidRPr="00150EDC">
        <w:rPr>
          <w:rFonts w:ascii="Calibri"/>
          <w:spacing w:val="-6"/>
          <w:sz w:val="24"/>
        </w:rPr>
        <w:t xml:space="preserve"> </w:t>
      </w:r>
      <w:r w:rsidRPr="00150EDC">
        <w:rPr>
          <w:rFonts w:ascii="Calibri"/>
          <w:sz w:val="24"/>
        </w:rPr>
        <w:t>any</w:t>
      </w:r>
      <w:r w:rsidRPr="00150EDC">
        <w:rPr>
          <w:rFonts w:ascii="Calibri"/>
          <w:spacing w:val="-2"/>
          <w:sz w:val="24"/>
        </w:rPr>
        <w:t xml:space="preserve"> </w:t>
      </w:r>
      <w:r w:rsidRPr="00150EDC">
        <w:rPr>
          <w:rFonts w:ascii="Calibri"/>
          <w:sz w:val="24"/>
        </w:rPr>
        <w:t>interest</w:t>
      </w:r>
      <w:r w:rsidRPr="00150EDC">
        <w:rPr>
          <w:rFonts w:ascii="Calibri"/>
          <w:spacing w:val="-1"/>
          <w:sz w:val="24"/>
        </w:rPr>
        <w:t xml:space="preserve"> </w:t>
      </w:r>
      <w:r w:rsidRPr="00150EDC">
        <w:rPr>
          <w:rFonts w:ascii="Calibri"/>
          <w:sz w:val="24"/>
        </w:rPr>
        <w:t>or</w:t>
      </w:r>
      <w:r w:rsidRPr="00150EDC">
        <w:rPr>
          <w:rFonts w:ascii="Calibri"/>
          <w:spacing w:val="-3"/>
          <w:sz w:val="24"/>
        </w:rPr>
        <w:t xml:space="preserve"> </w:t>
      </w:r>
      <w:r w:rsidRPr="00150EDC">
        <w:rPr>
          <w:rFonts w:ascii="Calibri"/>
          <w:sz w:val="24"/>
        </w:rPr>
        <w:t>any</w:t>
      </w:r>
      <w:r w:rsidRPr="00150EDC">
        <w:rPr>
          <w:rFonts w:ascii="Calibri"/>
          <w:spacing w:val="-5"/>
          <w:sz w:val="24"/>
        </w:rPr>
        <w:t xml:space="preserve"> </w:t>
      </w:r>
      <w:r w:rsidRPr="00150EDC">
        <w:rPr>
          <w:rFonts w:ascii="Calibri"/>
          <w:sz w:val="24"/>
        </w:rPr>
        <w:t>fines.</w:t>
      </w:r>
      <w:r w:rsidRPr="00150EDC">
        <w:rPr>
          <w:rFonts w:ascii="Calibri"/>
          <w:spacing w:val="-2"/>
          <w:sz w:val="24"/>
        </w:rPr>
        <w:t xml:space="preserve"> </w:t>
      </w:r>
      <w:r w:rsidRPr="00150EDC">
        <w:rPr>
          <w:rFonts w:ascii="Calibri"/>
          <w:sz w:val="24"/>
        </w:rPr>
        <w:t>CCS and the Buyer cannot terminate a Contract where the Supplier has not paid a minor Tax or social security contribution.</w:t>
      </w:r>
    </w:p>
    <w:p w14:paraId="4E7915DB" w14:textId="77777777" w:rsidR="004C7180" w:rsidRPr="00150EDC" w:rsidRDefault="004C7180">
      <w:pPr>
        <w:pStyle w:val="BodyText"/>
        <w:rPr>
          <w:rFonts w:ascii="Calibri"/>
        </w:rPr>
      </w:pPr>
    </w:p>
    <w:p w14:paraId="164844FC" w14:textId="77777777" w:rsidR="004C7180" w:rsidRPr="00150EDC" w:rsidRDefault="00CF0754" w:rsidP="00B320C7">
      <w:pPr>
        <w:pStyle w:val="ListParagraph"/>
        <w:numPr>
          <w:ilvl w:val="1"/>
          <w:numId w:val="182"/>
        </w:numPr>
        <w:tabs>
          <w:tab w:val="left" w:pos="1064"/>
          <w:tab w:val="left" w:pos="1066"/>
        </w:tabs>
        <w:ind w:right="668"/>
        <w:rPr>
          <w:rFonts w:ascii="Calibri" w:hAnsi="Calibri"/>
          <w:sz w:val="24"/>
        </w:rPr>
      </w:pPr>
      <w:r w:rsidRPr="00150EDC">
        <w:rPr>
          <w:rFonts w:ascii="Calibri" w:hAnsi="Calibri"/>
          <w:sz w:val="24"/>
        </w:rPr>
        <w:t>Where</w:t>
      </w:r>
      <w:r w:rsidRPr="00150EDC">
        <w:rPr>
          <w:rFonts w:ascii="Calibri" w:hAnsi="Calibri"/>
          <w:spacing w:val="-3"/>
          <w:sz w:val="24"/>
        </w:rPr>
        <w:t xml:space="preserve"> </w:t>
      </w:r>
      <w:r w:rsidRPr="00150EDC">
        <w:rPr>
          <w:rFonts w:ascii="Calibri" w:hAnsi="Calibri"/>
          <w:sz w:val="24"/>
        </w:rPr>
        <w:t>the</w:t>
      </w:r>
      <w:r w:rsidRPr="00150EDC">
        <w:rPr>
          <w:rFonts w:ascii="Calibri" w:hAnsi="Calibri"/>
          <w:spacing w:val="-1"/>
          <w:sz w:val="24"/>
        </w:rPr>
        <w:t xml:space="preserve"> </w:t>
      </w:r>
      <w:r w:rsidRPr="00150EDC">
        <w:rPr>
          <w:rFonts w:ascii="Calibri" w:hAnsi="Calibri"/>
          <w:sz w:val="24"/>
        </w:rPr>
        <w:t>Charges</w:t>
      </w:r>
      <w:r w:rsidRPr="00150EDC">
        <w:rPr>
          <w:rFonts w:ascii="Calibri" w:hAnsi="Calibri"/>
          <w:spacing w:val="-2"/>
          <w:sz w:val="24"/>
        </w:rPr>
        <w:t xml:space="preserve"> </w:t>
      </w:r>
      <w:r w:rsidRPr="00150EDC">
        <w:rPr>
          <w:rFonts w:ascii="Calibri" w:hAnsi="Calibri"/>
          <w:sz w:val="24"/>
        </w:rPr>
        <w:t>payable</w:t>
      </w:r>
      <w:r w:rsidRPr="00150EDC">
        <w:rPr>
          <w:rFonts w:ascii="Calibri" w:hAnsi="Calibri"/>
          <w:spacing w:val="-3"/>
          <w:sz w:val="24"/>
        </w:rPr>
        <w:t xml:space="preserve"> </w:t>
      </w:r>
      <w:r w:rsidRPr="00150EDC">
        <w:rPr>
          <w:rFonts w:ascii="Calibri" w:hAnsi="Calibri"/>
          <w:sz w:val="24"/>
        </w:rPr>
        <w:t>under</w:t>
      </w:r>
      <w:r w:rsidRPr="00150EDC">
        <w:rPr>
          <w:rFonts w:ascii="Calibri" w:hAnsi="Calibri"/>
          <w:spacing w:val="-1"/>
          <w:sz w:val="24"/>
        </w:rPr>
        <w:t xml:space="preserve"> </w:t>
      </w:r>
      <w:r w:rsidRPr="00150EDC">
        <w:rPr>
          <w:rFonts w:ascii="Calibri" w:hAnsi="Calibri"/>
          <w:sz w:val="24"/>
        </w:rPr>
        <w:t>a</w:t>
      </w:r>
      <w:r w:rsidRPr="00150EDC">
        <w:rPr>
          <w:rFonts w:ascii="Calibri" w:hAnsi="Calibri"/>
          <w:spacing w:val="-4"/>
          <w:sz w:val="24"/>
        </w:rPr>
        <w:t xml:space="preserve"> </w:t>
      </w:r>
      <w:r w:rsidRPr="00150EDC">
        <w:rPr>
          <w:rFonts w:ascii="Calibri" w:hAnsi="Calibri"/>
          <w:sz w:val="24"/>
        </w:rPr>
        <w:t>Contract</w:t>
      </w:r>
      <w:r w:rsidRPr="00150EDC">
        <w:rPr>
          <w:rFonts w:ascii="Calibri" w:hAnsi="Calibri"/>
          <w:spacing w:val="-1"/>
          <w:sz w:val="24"/>
        </w:rPr>
        <w:t xml:space="preserve"> </w:t>
      </w:r>
      <w:r w:rsidRPr="00150EDC">
        <w:rPr>
          <w:rFonts w:ascii="Calibri" w:hAnsi="Calibri"/>
          <w:sz w:val="24"/>
        </w:rPr>
        <w:t>with</w:t>
      </w:r>
      <w:r w:rsidRPr="00150EDC">
        <w:rPr>
          <w:rFonts w:ascii="Calibri" w:hAnsi="Calibri"/>
          <w:spacing w:val="-1"/>
          <w:sz w:val="24"/>
        </w:rPr>
        <w:t xml:space="preserve"> </w:t>
      </w:r>
      <w:r w:rsidRPr="00150EDC">
        <w:rPr>
          <w:rFonts w:ascii="Calibri" w:hAnsi="Calibri"/>
          <w:sz w:val="24"/>
        </w:rPr>
        <w:t>the</w:t>
      </w:r>
      <w:r w:rsidRPr="00150EDC">
        <w:rPr>
          <w:rFonts w:ascii="Calibri" w:hAnsi="Calibri"/>
          <w:spacing w:val="-1"/>
          <w:sz w:val="24"/>
        </w:rPr>
        <w:t xml:space="preserve"> </w:t>
      </w:r>
      <w:r w:rsidRPr="00150EDC">
        <w:rPr>
          <w:rFonts w:ascii="Calibri" w:hAnsi="Calibri"/>
          <w:sz w:val="24"/>
        </w:rPr>
        <w:t>Buyer</w:t>
      </w:r>
      <w:r w:rsidRPr="00150EDC">
        <w:rPr>
          <w:rFonts w:ascii="Calibri" w:hAnsi="Calibri"/>
          <w:spacing w:val="-1"/>
          <w:sz w:val="24"/>
        </w:rPr>
        <w:t xml:space="preserve"> </w:t>
      </w:r>
      <w:r w:rsidRPr="00150EDC">
        <w:rPr>
          <w:rFonts w:ascii="Calibri" w:hAnsi="Calibri"/>
          <w:sz w:val="24"/>
        </w:rPr>
        <w:t>are</w:t>
      </w:r>
      <w:r w:rsidRPr="00150EDC">
        <w:rPr>
          <w:rFonts w:ascii="Calibri" w:hAnsi="Calibri"/>
          <w:spacing w:val="-3"/>
          <w:sz w:val="24"/>
        </w:rPr>
        <w:t xml:space="preserve"> </w:t>
      </w:r>
      <w:r w:rsidRPr="00150EDC">
        <w:rPr>
          <w:rFonts w:ascii="Calibri" w:hAnsi="Calibri"/>
          <w:sz w:val="24"/>
        </w:rPr>
        <w:t>or</w:t>
      </w:r>
      <w:r w:rsidRPr="00150EDC">
        <w:rPr>
          <w:rFonts w:ascii="Calibri" w:hAnsi="Calibri"/>
          <w:spacing w:val="-3"/>
          <w:sz w:val="24"/>
        </w:rPr>
        <w:t xml:space="preserve"> </w:t>
      </w:r>
      <w:r w:rsidRPr="00150EDC">
        <w:rPr>
          <w:rFonts w:ascii="Calibri" w:hAnsi="Calibri"/>
          <w:sz w:val="24"/>
        </w:rPr>
        <w:t>are</w:t>
      </w:r>
      <w:r w:rsidRPr="00150EDC">
        <w:rPr>
          <w:rFonts w:ascii="Calibri" w:hAnsi="Calibri"/>
          <w:spacing w:val="-3"/>
          <w:sz w:val="24"/>
        </w:rPr>
        <w:t xml:space="preserve"> </w:t>
      </w:r>
      <w:r w:rsidRPr="00150EDC">
        <w:rPr>
          <w:rFonts w:ascii="Calibri" w:hAnsi="Calibri"/>
          <w:sz w:val="24"/>
        </w:rPr>
        <w:t>likely</w:t>
      </w:r>
      <w:r w:rsidRPr="00150EDC">
        <w:rPr>
          <w:rFonts w:ascii="Calibri" w:hAnsi="Calibri"/>
          <w:spacing w:val="-2"/>
          <w:sz w:val="24"/>
        </w:rPr>
        <w:t xml:space="preserve"> </w:t>
      </w:r>
      <w:r w:rsidRPr="00150EDC">
        <w:rPr>
          <w:rFonts w:ascii="Calibri" w:hAnsi="Calibri"/>
          <w:sz w:val="24"/>
        </w:rPr>
        <w:t>to</w:t>
      </w:r>
      <w:r w:rsidRPr="00150EDC">
        <w:rPr>
          <w:rFonts w:ascii="Calibri" w:hAnsi="Calibri"/>
          <w:spacing w:val="-4"/>
          <w:sz w:val="24"/>
        </w:rPr>
        <w:t xml:space="preserve"> </w:t>
      </w:r>
      <w:r w:rsidRPr="00150EDC">
        <w:rPr>
          <w:rFonts w:ascii="Calibri" w:hAnsi="Calibri"/>
          <w:sz w:val="24"/>
        </w:rPr>
        <w:t>exceed</w:t>
      </w:r>
      <w:r w:rsidRPr="00150EDC">
        <w:rPr>
          <w:rFonts w:ascii="Calibri" w:hAnsi="Calibri"/>
          <w:spacing w:val="-3"/>
          <w:sz w:val="24"/>
        </w:rPr>
        <w:t xml:space="preserve"> </w:t>
      </w:r>
      <w:r w:rsidRPr="00150EDC">
        <w:rPr>
          <w:rFonts w:ascii="Calibri" w:hAnsi="Calibri"/>
          <w:sz w:val="24"/>
        </w:rPr>
        <w:t>£5</w:t>
      </w:r>
      <w:r w:rsidRPr="00150EDC">
        <w:rPr>
          <w:rFonts w:ascii="Calibri" w:hAnsi="Calibri"/>
          <w:spacing w:val="-3"/>
          <w:sz w:val="24"/>
        </w:rPr>
        <w:t xml:space="preserve"> </w:t>
      </w:r>
      <w:r w:rsidRPr="00150EDC">
        <w:rPr>
          <w:rFonts w:ascii="Calibri" w:hAnsi="Calibri"/>
          <w:sz w:val="24"/>
        </w:rPr>
        <w:t>million</w:t>
      </w:r>
      <w:r w:rsidRPr="00150EDC">
        <w:rPr>
          <w:rFonts w:ascii="Calibri" w:hAnsi="Calibri"/>
          <w:spacing w:val="-3"/>
          <w:sz w:val="24"/>
        </w:rPr>
        <w:t xml:space="preserve"> </w:t>
      </w:r>
      <w:r w:rsidRPr="00150EDC">
        <w:rPr>
          <w:rFonts w:ascii="Calibri" w:hAnsi="Calibri"/>
          <w:sz w:val="24"/>
        </w:rPr>
        <w:t>at</w:t>
      </w:r>
      <w:r w:rsidRPr="00150EDC">
        <w:rPr>
          <w:rFonts w:ascii="Calibri" w:hAnsi="Calibri"/>
          <w:spacing w:val="-1"/>
          <w:sz w:val="24"/>
        </w:rPr>
        <w:t xml:space="preserve"> </w:t>
      </w:r>
      <w:r w:rsidRPr="00150EDC">
        <w:rPr>
          <w:rFonts w:ascii="Calibri" w:hAnsi="Calibri"/>
          <w:sz w:val="24"/>
        </w:rPr>
        <w:t>any point during the relevant Contract Period, and an Occasion of Tax Non-Compliance occurs, the Supplier must notify CCS and the Buyer of it within 5 Working Days including:</w:t>
      </w:r>
    </w:p>
    <w:p w14:paraId="6D8B2387" w14:textId="77777777" w:rsidR="004C7180" w:rsidRPr="00150EDC" w:rsidRDefault="004C7180">
      <w:pPr>
        <w:pStyle w:val="BodyText"/>
        <w:spacing w:before="8"/>
        <w:rPr>
          <w:rFonts w:ascii="Calibri"/>
          <w:sz w:val="25"/>
        </w:rPr>
      </w:pPr>
    </w:p>
    <w:p w14:paraId="0DDEE3CA" w14:textId="77777777" w:rsidR="004C7180" w:rsidRPr="00150EDC" w:rsidRDefault="00CF0754" w:rsidP="00B320C7">
      <w:pPr>
        <w:pStyle w:val="ListParagraph"/>
        <w:numPr>
          <w:ilvl w:val="0"/>
          <w:numId w:val="142"/>
        </w:numPr>
        <w:tabs>
          <w:tab w:val="left" w:pos="1491"/>
          <w:tab w:val="left" w:pos="1494"/>
        </w:tabs>
        <w:ind w:right="1392"/>
        <w:rPr>
          <w:rFonts w:ascii="Calibri"/>
          <w:sz w:val="24"/>
        </w:rPr>
      </w:pPr>
      <w:r w:rsidRPr="00150EDC">
        <w:rPr>
          <w:rFonts w:ascii="Calibri"/>
          <w:sz w:val="24"/>
        </w:rPr>
        <w:t>the</w:t>
      </w:r>
      <w:r w:rsidRPr="00150EDC">
        <w:rPr>
          <w:rFonts w:ascii="Calibri"/>
          <w:spacing w:val="-4"/>
          <w:sz w:val="24"/>
        </w:rPr>
        <w:t xml:space="preserve"> </w:t>
      </w:r>
      <w:r w:rsidRPr="00150EDC">
        <w:rPr>
          <w:rFonts w:ascii="Calibri"/>
          <w:sz w:val="24"/>
        </w:rPr>
        <w:t>steps</w:t>
      </w:r>
      <w:r w:rsidRPr="00150EDC">
        <w:rPr>
          <w:rFonts w:ascii="Calibri"/>
          <w:spacing w:val="-2"/>
          <w:sz w:val="24"/>
        </w:rPr>
        <w:t xml:space="preserve"> </w:t>
      </w:r>
      <w:r w:rsidRPr="00150EDC">
        <w:rPr>
          <w:rFonts w:ascii="Calibri"/>
          <w:sz w:val="24"/>
        </w:rPr>
        <w:t>that</w:t>
      </w:r>
      <w:r w:rsidRPr="00150EDC">
        <w:rPr>
          <w:rFonts w:ascii="Calibri"/>
          <w:spacing w:val="-1"/>
          <w:sz w:val="24"/>
        </w:rPr>
        <w:t xml:space="preserve"> </w:t>
      </w:r>
      <w:r w:rsidRPr="00150EDC">
        <w:rPr>
          <w:rFonts w:ascii="Calibri"/>
          <w:sz w:val="24"/>
        </w:rPr>
        <w:t>the</w:t>
      </w:r>
      <w:r w:rsidRPr="00150EDC">
        <w:rPr>
          <w:rFonts w:ascii="Calibri"/>
          <w:spacing w:val="-3"/>
          <w:sz w:val="24"/>
        </w:rPr>
        <w:t xml:space="preserve"> </w:t>
      </w:r>
      <w:r w:rsidRPr="00150EDC">
        <w:rPr>
          <w:rFonts w:ascii="Calibri"/>
          <w:sz w:val="24"/>
        </w:rPr>
        <w:t>Supplier</w:t>
      </w:r>
      <w:r w:rsidRPr="00150EDC">
        <w:rPr>
          <w:rFonts w:ascii="Calibri"/>
          <w:spacing w:val="-1"/>
          <w:sz w:val="24"/>
        </w:rPr>
        <w:t xml:space="preserve"> </w:t>
      </w:r>
      <w:r w:rsidRPr="00150EDC">
        <w:rPr>
          <w:rFonts w:ascii="Calibri"/>
          <w:sz w:val="24"/>
        </w:rPr>
        <w:t>is</w:t>
      </w:r>
      <w:r w:rsidRPr="00150EDC">
        <w:rPr>
          <w:rFonts w:ascii="Calibri"/>
          <w:spacing w:val="-4"/>
          <w:sz w:val="24"/>
        </w:rPr>
        <w:t xml:space="preserve"> </w:t>
      </w:r>
      <w:r w:rsidRPr="00150EDC">
        <w:rPr>
          <w:rFonts w:ascii="Calibri"/>
          <w:sz w:val="24"/>
        </w:rPr>
        <w:t>taking</w:t>
      </w:r>
      <w:r w:rsidRPr="00150EDC">
        <w:rPr>
          <w:rFonts w:ascii="Calibri"/>
          <w:spacing w:val="-4"/>
          <w:sz w:val="24"/>
        </w:rPr>
        <w:t xml:space="preserve"> </w:t>
      </w:r>
      <w:r w:rsidRPr="00150EDC">
        <w:rPr>
          <w:rFonts w:ascii="Calibri"/>
          <w:sz w:val="24"/>
        </w:rPr>
        <w:t>to</w:t>
      </w:r>
      <w:r w:rsidRPr="00150EDC">
        <w:rPr>
          <w:rFonts w:ascii="Calibri"/>
          <w:spacing w:val="-1"/>
          <w:sz w:val="24"/>
        </w:rPr>
        <w:t xml:space="preserve"> </w:t>
      </w:r>
      <w:r w:rsidRPr="00150EDC">
        <w:rPr>
          <w:rFonts w:ascii="Calibri"/>
          <w:sz w:val="24"/>
        </w:rPr>
        <w:t>address</w:t>
      </w:r>
      <w:r w:rsidRPr="00150EDC">
        <w:rPr>
          <w:rFonts w:ascii="Calibri"/>
          <w:spacing w:val="-2"/>
          <w:sz w:val="24"/>
        </w:rPr>
        <w:t xml:space="preserve"> </w:t>
      </w:r>
      <w:r w:rsidRPr="00150EDC">
        <w:rPr>
          <w:rFonts w:ascii="Calibri"/>
          <w:sz w:val="24"/>
        </w:rPr>
        <w:t>the</w:t>
      </w:r>
      <w:r w:rsidRPr="00150EDC">
        <w:rPr>
          <w:rFonts w:ascii="Calibri"/>
          <w:spacing w:val="-1"/>
          <w:sz w:val="24"/>
        </w:rPr>
        <w:t xml:space="preserve"> </w:t>
      </w:r>
      <w:r w:rsidRPr="00150EDC">
        <w:rPr>
          <w:rFonts w:ascii="Calibri"/>
          <w:sz w:val="24"/>
        </w:rPr>
        <w:t>Occasion of</w:t>
      </w:r>
      <w:r w:rsidRPr="00150EDC">
        <w:rPr>
          <w:rFonts w:ascii="Calibri"/>
          <w:spacing w:val="-1"/>
          <w:sz w:val="24"/>
        </w:rPr>
        <w:t xml:space="preserve"> </w:t>
      </w:r>
      <w:r w:rsidRPr="00150EDC">
        <w:rPr>
          <w:rFonts w:ascii="Calibri"/>
          <w:sz w:val="24"/>
        </w:rPr>
        <w:t>Tax</w:t>
      </w:r>
      <w:r w:rsidRPr="00150EDC">
        <w:rPr>
          <w:rFonts w:ascii="Calibri"/>
          <w:spacing w:val="-5"/>
          <w:sz w:val="24"/>
        </w:rPr>
        <w:t xml:space="preserve"> </w:t>
      </w:r>
      <w:r w:rsidRPr="00150EDC">
        <w:rPr>
          <w:rFonts w:ascii="Calibri"/>
          <w:sz w:val="24"/>
        </w:rPr>
        <w:t>Non-Compliance</w:t>
      </w:r>
      <w:r w:rsidRPr="00150EDC">
        <w:rPr>
          <w:rFonts w:ascii="Calibri"/>
          <w:spacing w:val="-4"/>
          <w:sz w:val="24"/>
        </w:rPr>
        <w:t xml:space="preserve"> </w:t>
      </w:r>
      <w:r w:rsidRPr="00150EDC">
        <w:rPr>
          <w:rFonts w:ascii="Calibri"/>
          <w:sz w:val="24"/>
        </w:rPr>
        <w:t>and</w:t>
      </w:r>
      <w:r w:rsidRPr="00150EDC">
        <w:rPr>
          <w:rFonts w:ascii="Calibri"/>
          <w:spacing w:val="-1"/>
          <w:sz w:val="24"/>
        </w:rPr>
        <w:t xml:space="preserve"> </w:t>
      </w:r>
      <w:r w:rsidRPr="00150EDC">
        <w:rPr>
          <w:rFonts w:ascii="Calibri"/>
          <w:sz w:val="24"/>
        </w:rPr>
        <w:t>any mitigating factors that it considers relevant; and</w:t>
      </w:r>
    </w:p>
    <w:p w14:paraId="3AD565AB" w14:textId="77777777" w:rsidR="004C7180" w:rsidRPr="00150EDC" w:rsidRDefault="00CF0754" w:rsidP="00B320C7">
      <w:pPr>
        <w:pStyle w:val="ListParagraph"/>
        <w:numPr>
          <w:ilvl w:val="0"/>
          <w:numId w:val="142"/>
        </w:numPr>
        <w:tabs>
          <w:tab w:val="left" w:pos="1491"/>
          <w:tab w:val="left" w:pos="1494"/>
        </w:tabs>
        <w:spacing w:before="19"/>
        <w:ind w:right="1149"/>
        <w:rPr>
          <w:rFonts w:ascii="Calibri"/>
          <w:sz w:val="24"/>
        </w:rPr>
      </w:pPr>
      <w:r w:rsidRPr="00150EDC">
        <w:rPr>
          <w:rFonts w:ascii="Calibri"/>
          <w:sz w:val="24"/>
        </w:rPr>
        <w:t>other</w:t>
      </w:r>
      <w:r w:rsidRPr="00150EDC">
        <w:rPr>
          <w:rFonts w:ascii="Calibri"/>
          <w:spacing w:val="-2"/>
          <w:sz w:val="24"/>
        </w:rPr>
        <w:t xml:space="preserve"> </w:t>
      </w:r>
      <w:r w:rsidRPr="00150EDC">
        <w:rPr>
          <w:rFonts w:ascii="Calibri"/>
          <w:sz w:val="24"/>
        </w:rPr>
        <w:t>information</w:t>
      </w:r>
      <w:r w:rsidRPr="00150EDC">
        <w:rPr>
          <w:rFonts w:ascii="Calibri"/>
          <w:spacing w:val="-2"/>
          <w:sz w:val="24"/>
        </w:rPr>
        <w:t xml:space="preserve"> </w:t>
      </w:r>
      <w:r w:rsidRPr="00150EDC">
        <w:rPr>
          <w:rFonts w:ascii="Calibri"/>
          <w:sz w:val="24"/>
        </w:rPr>
        <w:t>relating</w:t>
      </w:r>
      <w:r w:rsidRPr="00150EDC">
        <w:rPr>
          <w:rFonts w:ascii="Calibri"/>
          <w:spacing w:val="-3"/>
          <w:sz w:val="24"/>
        </w:rPr>
        <w:t xml:space="preserve"> </w:t>
      </w:r>
      <w:r w:rsidRPr="00150EDC">
        <w:rPr>
          <w:rFonts w:ascii="Calibri"/>
          <w:sz w:val="24"/>
        </w:rPr>
        <w:t>to</w:t>
      </w:r>
      <w:r w:rsidRPr="00150EDC">
        <w:rPr>
          <w:rFonts w:ascii="Calibri"/>
          <w:spacing w:val="-4"/>
          <w:sz w:val="24"/>
        </w:rPr>
        <w:t xml:space="preserve"> </w:t>
      </w:r>
      <w:r w:rsidRPr="00150EDC">
        <w:rPr>
          <w:rFonts w:ascii="Calibri"/>
          <w:sz w:val="24"/>
        </w:rPr>
        <w:t>the</w:t>
      </w:r>
      <w:r w:rsidRPr="00150EDC">
        <w:rPr>
          <w:rFonts w:ascii="Calibri"/>
          <w:spacing w:val="-2"/>
          <w:sz w:val="24"/>
        </w:rPr>
        <w:t xml:space="preserve"> </w:t>
      </w:r>
      <w:r w:rsidRPr="00150EDC">
        <w:rPr>
          <w:rFonts w:ascii="Calibri"/>
          <w:sz w:val="24"/>
        </w:rPr>
        <w:t>Occasion</w:t>
      </w:r>
      <w:r w:rsidRPr="00150EDC">
        <w:rPr>
          <w:rFonts w:ascii="Calibri"/>
          <w:spacing w:val="-3"/>
          <w:sz w:val="24"/>
        </w:rPr>
        <w:t xml:space="preserve"> </w:t>
      </w:r>
      <w:r w:rsidRPr="00150EDC">
        <w:rPr>
          <w:rFonts w:ascii="Calibri"/>
          <w:sz w:val="24"/>
        </w:rPr>
        <w:t>of</w:t>
      </w:r>
      <w:r w:rsidRPr="00150EDC">
        <w:rPr>
          <w:rFonts w:ascii="Calibri"/>
          <w:spacing w:val="-4"/>
          <w:sz w:val="24"/>
        </w:rPr>
        <w:t xml:space="preserve"> </w:t>
      </w:r>
      <w:r w:rsidRPr="00150EDC">
        <w:rPr>
          <w:rFonts w:ascii="Calibri"/>
          <w:sz w:val="24"/>
        </w:rPr>
        <w:t>Tax</w:t>
      </w:r>
      <w:r w:rsidRPr="00150EDC">
        <w:rPr>
          <w:rFonts w:ascii="Calibri"/>
          <w:spacing w:val="-5"/>
          <w:sz w:val="24"/>
        </w:rPr>
        <w:t xml:space="preserve"> </w:t>
      </w:r>
      <w:r w:rsidRPr="00150EDC">
        <w:rPr>
          <w:rFonts w:ascii="Calibri"/>
          <w:sz w:val="24"/>
        </w:rPr>
        <w:t>Non-Compliance</w:t>
      </w:r>
      <w:r w:rsidRPr="00150EDC">
        <w:rPr>
          <w:rFonts w:ascii="Calibri"/>
          <w:spacing w:val="-4"/>
          <w:sz w:val="24"/>
        </w:rPr>
        <w:t xml:space="preserve"> </w:t>
      </w:r>
      <w:r w:rsidRPr="00150EDC">
        <w:rPr>
          <w:rFonts w:ascii="Calibri"/>
          <w:sz w:val="24"/>
        </w:rPr>
        <w:t>that</w:t>
      </w:r>
      <w:r w:rsidRPr="00150EDC">
        <w:rPr>
          <w:rFonts w:ascii="Calibri"/>
          <w:spacing w:val="-2"/>
          <w:sz w:val="24"/>
        </w:rPr>
        <w:t xml:space="preserve"> </w:t>
      </w:r>
      <w:r w:rsidRPr="00150EDC">
        <w:rPr>
          <w:rFonts w:ascii="Calibri"/>
          <w:sz w:val="24"/>
        </w:rPr>
        <w:t>CCS</w:t>
      </w:r>
      <w:r w:rsidRPr="00150EDC">
        <w:rPr>
          <w:rFonts w:ascii="Calibri"/>
          <w:spacing w:val="-3"/>
          <w:sz w:val="24"/>
        </w:rPr>
        <w:t xml:space="preserve"> </w:t>
      </w:r>
      <w:r w:rsidRPr="00150EDC">
        <w:rPr>
          <w:rFonts w:ascii="Calibri"/>
          <w:sz w:val="24"/>
        </w:rPr>
        <w:t>and</w:t>
      </w:r>
      <w:r w:rsidRPr="00150EDC">
        <w:rPr>
          <w:rFonts w:ascii="Calibri"/>
          <w:spacing w:val="-4"/>
          <w:sz w:val="24"/>
        </w:rPr>
        <w:t xml:space="preserve"> </w:t>
      </w:r>
      <w:r w:rsidRPr="00150EDC">
        <w:rPr>
          <w:rFonts w:ascii="Calibri"/>
          <w:sz w:val="24"/>
        </w:rPr>
        <w:t>the</w:t>
      </w:r>
      <w:r w:rsidRPr="00150EDC">
        <w:rPr>
          <w:rFonts w:ascii="Calibri"/>
          <w:spacing w:val="-2"/>
          <w:sz w:val="24"/>
        </w:rPr>
        <w:t xml:space="preserve"> </w:t>
      </w:r>
      <w:r w:rsidRPr="00150EDC">
        <w:rPr>
          <w:rFonts w:ascii="Calibri"/>
          <w:sz w:val="24"/>
        </w:rPr>
        <w:t>Buyer</w:t>
      </w:r>
      <w:r w:rsidRPr="00150EDC">
        <w:rPr>
          <w:rFonts w:ascii="Calibri"/>
          <w:spacing w:val="-2"/>
          <w:sz w:val="24"/>
        </w:rPr>
        <w:t xml:space="preserve"> </w:t>
      </w:r>
      <w:r w:rsidRPr="00150EDC">
        <w:rPr>
          <w:rFonts w:ascii="Calibri"/>
          <w:sz w:val="24"/>
        </w:rPr>
        <w:t>may reasonably need.</w:t>
      </w:r>
    </w:p>
    <w:p w14:paraId="27AA2E2F" w14:textId="77777777" w:rsidR="004C7180" w:rsidRPr="00150EDC" w:rsidRDefault="004C7180">
      <w:pPr>
        <w:pStyle w:val="BodyText"/>
        <w:spacing w:before="7"/>
        <w:rPr>
          <w:rFonts w:ascii="Calibri"/>
          <w:sz w:val="25"/>
        </w:rPr>
      </w:pPr>
    </w:p>
    <w:p w14:paraId="46BA8B7A" w14:textId="77777777" w:rsidR="004C7180" w:rsidRPr="00150EDC" w:rsidRDefault="00CF0754" w:rsidP="00B320C7">
      <w:pPr>
        <w:pStyle w:val="ListParagraph"/>
        <w:numPr>
          <w:ilvl w:val="1"/>
          <w:numId w:val="182"/>
        </w:numPr>
        <w:tabs>
          <w:tab w:val="left" w:pos="1064"/>
          <w:tab w:val="left" w:pos="1066"/>
        </w:tabs>
        <w:spacing w:line="242" w:lineRule="auto"/>
        <w:ind w:right="573"/>
        <w:rPr>
          <w:rFonts w:ascii="Calibri"/>
          <w:sz w:val="24"/>
        </w:rPr>
      </w:pPr>
      <w:r w:rsidRPr="00150EDC">
        <w:rPr>
          <w:rFonts w:ascii="Calibri"/>
          <w:sz w:val="24"/>
        </w:rPr>
        <w:t>Where</w:t>
      </w:r>
      <w:r w:rsidRPr="00150EDC">
        <w:rPr>
          <w:rFonts w:ascii="Calibri"/>
          <w:spacing w:val="-3"/>
          <w:sz w:val="24"/>
        </w:rPr>
        <w:t xml:space="preserve"> </w:t>
      </w:r>
      <w:r w:rsidRPr="00150EDC">
        <w:rPr>
          <w:rFonts w:ascii="Calibri"/>
          <w:sz w:val="24"/>
        </w:rPr>
        <w:t>the</w:t>
      </w:r>
      <w:r w:rsidRPr="00150EDC">
        <w:rPr>
          <w:rFonts w:ascii="Calibri"/>
          <w:spacing w:val="-1"/>
          <w:sz w:val="24"/>
        </w:rPr>
        <w:t xml:space="preserve"> </w:t>
      </w:r>
      <w:r w:rsidRPr="00150EDC">
        <w:rPr>
          <w:rFonts w:ascii="Calibri"/>
          <w:sz w:val="24"/>
        </w:rPr>
        <w:t>Supplier</w:t>
      </w:r>
      <w:r w:rsidRPr="00150EDC">
        <w:rPr>
          <w:rFonts w:ascii="Calibri"/>
          <w:spacing w:val="-3"/>
          <w:sz w:val="24"/>
        </w:rPr>
        <w:t xml:space="preserve"> </w:t>
      </w:r>
      <w:r w:rsidRPr="00150EDC">
        <w:rPr>
          <w:rFonts w:ascii="Calibri"/>
          <w:sz w:val="24"/>
        </w:rPr>
        <w:t>or</w:t>
      </w:r>
      <w:r w:rsidRPr="00150EDC">
        <w:rPr>
          <w:rFonts w:ascii="Calibri"/>
          <w:spacing w:val="-1"/>
          <w:sz w:val="24"/>
        </w:rPr>
        <w:t xml:space="preserve"> </w:t>
      </w:r>
      <w:r w:rsidRPr="00150EDC">
        <w:rPr>
          <w:rFonts w:ascii="Calibri"/>
          <w:sz w:val="24"/>
        </w:rPr>
        <w:t>any</w:t>
      </w:r>
      <w:r w:rsidRPr="00150EDC">
        <w:rPr>
          <w:rFonts w:ascii="Calibri"/>
          <w:spacing w:val="-2"/>
          <w:sz w:val="24"/>
        </w:rPr>
        <w:t xml:space="preserve"> </w:t>
      </w:r>
      <w:r w:rsidRPr="00150EDC">
        <w:rPr>
          <w:rFonts w:ascii="Calibri"/>
          <w:sz w:val="24"/>
        </w:rPr>
        <w:t>Supplier</w:t>
      </w:r>
      <w:r w:rsidRPr="00150EDC">
        <w:rPr>
          <w:rFonts w:ascii="Calibri"/>
          <w:spacing w:val="-3"/>
          <w:sz w:val="24"/>
        </w:rPr>
        <w:t xml:space="preserve"> </w:t>
      </w:r>
      <w:r w:rsidRPr="00150EDC">
        <w:rPr>
          <w:rFonts w:ascii="Calibri"/>
          <w:sz w:val="24"/>
        </w:rPr>
        <w:t>Staff</w:t>
      </w:r>
      <w:r w:rsidRPr="00150EDC">
        <w:rPr>
          <w:rFonts w:ascii="Calibri"/>
          <w:spacing w:val="-3"/>
          <w:sz w:val="24"/>
        </w:rPr>
        <w:t xml:space="preserve"> </w:t>
      </w:r>
      <w:r w:rsidRPr="00150EDC">
        <w:rPr>
          <w:rFonts w:ascii="Calibri"/>
          <w:sz w:val="24"/>
        </w:rPr>
        <w:t>are</w:t>
      </w:r>
      <w:r w:rsidRPr="00150EDC">
        <w:rPr>
          <w:rFonts w:ascii="Calibri"/>
          <w:spacing w:val="-3"/>
          <w:sz w:val="24"/>
        </w:rPr>
        <w:t xml:space="preserve"> </w:t>
      </w:r>
      <w:r w:rsidRPr="00150EDC">
        <w:rPr>
          <w:rFonts w:ascii="Calibri"/>
          <w:sz w:val="24"/>
        </w:rPr>
        <w:t>liable</w:t>
      </w:r>
      <w:r w:rsidRPr="00150EDC">
        <w:rPr>
          <w:rFonts w:ascii="Calibri"/>
          <w:spacing w:val="-1"/>
          <w:sz w:val="24"/>
        </w:rPr>
        <w:t xml:space="preserve"> </w:t>
      </w:r>
      <w:r w:rsidRPr="00150EDC">
        <w:rPr>
          <w:rFonts w:ascii="Calibri"/>
          <w:sz w:val="24"/>
        </w:rPr>
        <w:t>to</w:t>
      </w:r>
      <w:r w:rsidRPr="00150EDC">
        <w:rPr>
          <w:rFonts w:ascii="Calibri"/>
          <w:spacing w:val="-4"/>
          <w:sz w:val="24"/>
        </w:rPr>
        <w:t xml:space="preserve"> </w:t>
      </w:r>
      <w:r w:rsidRPr="00150EDC">
        <w:rPr>
          <w:rFonts w:ascii="Calibri"/>
          <w:sz w:val="24"/>
        </w:rPr>
        <w:t>be</w:t>
      </w:r>
      <w:r w:rsidRPr="00150EDC">
        <w:rPr>
          <w:rFonts w:ascii="Calibri"/>
          <w:spacing w:val="-4"/>
          <w:sz w:val="24"/>
        </w:rPr>
        <w:t xml:space="preserve"> </w:t>
      </w:r>
      <w:r w:rsidRPr="00150EDC">
        <w:rPr>
          <w:rFonts w:ascii="Calibri"/>
          <w:sz w:val="24"/>
        </w:rPr>
        <w:t>taxed</w:t>
      </w:r>
      <w:r w:rsidRPr="00150EDC">
        <w:rPr>
          <w:rFonts w:ascii="Calibri"/>
          <w:spacing w:val="-3"/>
          <w:sz w:val="24"/>
        </w:rPr>
        <w:t xml:space="preserve"> </w:t>
      </w:r>
      <w:r w:rsidRPr="00150EDC">
        <w:rPr>
          <w:rFonts w:ascii="Calibri"/>
          <w:sz w:val="24"/>
        </w:rPr>
        <w:t>or</w:t>
      </w:r>
      <w:r w:rsidRPr="00150EDC">
        <w:rPr>
          <w:rFonts w:ascii="Calibri"/>
          <w:spacing w:val="-3"/>
          <w:sz w:val="24"/>
        </w:rPr>
        <w:t xml:space="preserve"> </w:t>
      </w:r>
      <w:r w:rsidRPr="00150EDC">
        <w:rPr>
          <w:rFonts w:ascii="Calibri"/>
          <w:sz w:val="24"/>
        </w:rPr>
        <w:t>to</w:t>
      </w:r>
      <w:r w:rsidRPr="00150EDC">
        <w:rPr>
          <w:rFonts w:ascii="Calibri"/>
          <w:spacing w:val="-3"/>
          <w:sz w:val="24"/>
        </w:rPr>
        <w:t xml:space="preserve"> </w:t>
      </w:r>
      <w:r w:rsidRPr="00150EDC">
        <w:rPr>
          <w:rFonts w:ascii="Calibri"/>
          <w:sz w:val="24"/>
        </w:rPr>
        <w:t>pay National</w:t>
      </w:r>
      <w:r w:rsidRPr="00150EDC">
        <w:rPr>
          <w:rFonts w:ascii="Calibri"/>
          <w:spacing w:val="-2"/>
          <w:sz w:val="24"/>
        </w:rPr>
        <w:t xml:space="preserve"> </w:t>
      </w:r>
      <w:r w:rsidRPr="00150EDC">
        <w:rPr>
          <w:rFonts w:ascii="Calibri"/>
          <w:sz w:val="24"/>
        </w:rPr>
        <w:t>Insurance</w:t>
      </w:r>
      <w:r w:rsidRPr="00150EDC">
        <w:rPr>
          <w:rFonts w:ascii="Calibri"/>
          <w:spacing w:val="-4"/>
          <w:sz w:val="24"/>
        </w:rPr>
        <w:t xml:space="preserve"> </w:t>
      </w:r>
      <w:r w:rsidRPr="00150EDC">
        <w:rPr>
          <w:rFonts w:ascii="Calibri"/>
          <w:sz w:val="24"/>
        </w:rPr>
        <w:t>contributions in the UK relating to payment received under an Order Contract, the Supplier must both:</w:t>
      </w:r>
    </w:p>
    <w:p w14:paraId="7D85AF51" w14:textId="77777777" w:rsidR="004C7180" w:rsidRPr="00150EDC" w:rsidRDefault="004C7180">
      <w:pPr>
        <w:pStyle w:val="BodyText"/>
        <w:spacing w:before="3"/>
        <w:rPr>
          <w:rFonts w:ascii="Calibri"/>
          <w:sz w:val="25"/>
        </w:rPr>
      </w:pPr>
    </w:p>
    <w:p w14:paraId="0CA3BB21" w14:textId="77777777" w:rsidR="004C7180" w:rsidRPr="00150EDC" w:rsidRDefault="00CF0754" w:rsidP="00B320C7">
      <w:pPr>
        <w:pStyle w:val="ListParagraph"/>
        <w:numPr>
          <w:ilvl w:val="0"/>
          <w:numId w:val="141"/>
        </w:numPr>
        <w:tabs>
          <w:tab w:val="left" w:pos="1491"/>
          <w:tab w:val="left" w:pos="1494"/>
        </w:tabs>
        <w:ind w:right="641"/>
        <w:rPr>
          <w:rFonts w:ascii="Calibri"/>
          <w:sz w:val="24"/>
        </w:rPr>
      </w:pPr>
      <w:r w:rsidRPr="00150EDC">
        <w:rPr>
          <w:rFonts w:ascii="Calibri"/>
          <w:sz w:val="24"/>
        </w:rPr>
        <w:t>comply</w:t>
      </w:r>
      <w:r w:rsidRPr="00150EDC">
        <w:rPr>
          <w:rFonts w:ascii="Calibri"/>
          <w:spacing w:val="-3"/>
          <w:sz w:val="24"/>
        </w:rPr>
        <w:t xml:space="preserve"> </w:t>
      </w:r>
      <w:r w:rsidRPr="00150EDC">
        <w:rPr>
          <w:rFonts w:ascii="Calibri"/>
          <w:sz w:val="24"/>
        </w:rPr>
        <w:t>with</w:t>
      </w:r>
      <w:r w:rsidRPr="00150EDC">
        <w:rPr>
          <w:rFonts w:ascii="Calibri"/>
          <w:spacing w:val="-4"/>
          <w:sz w:val="24"/>
        </w:rPr>
        <w:t xml:space="preserve"> </w:t>
      </w:r>
      <w:r w:rsidRPr="00150EDC">
        <w:rPr>
          <w:rFonts w:ascii="Calibri"/>
          <w:sz w:val="24"/>
        </w:rPr>
        <w:t>the</w:t>
      </w:r>
      <w:r w:rsidRPr="00150EDC">
        <w:rPr>
          <w:rFonts w:ascii="Calibri"/>
          <w:spacing w:val="-2"/>
          <w:sz w:val="24"/>
        </w:rPr>
        <w:t xml:space="preserve"> </w:t>
      </w:r>
      <w:r w:rsidRPr="00150EDC">
        <w:rPr>
          <w:rFonts w:ascii="Calibri"/>
          <w:sz w:val="24"/>
        </w:rPr>
        <w:t>Income</w:t>
      </w:r>
      <w:r w:rsidRPr="00150EDC">
        <w:rPr>
          <w:rFonts w:ascii="Calibri"/>
          <w:spacing w:val="-4"/>
          <w:sz w:val="24"/>
        </w:rPr>
        <w:t xml:space="preserve"> </w:t>
      </w:r>
      <w:r w:rsidRPr="00150EDC">
        <w:rPr>
          <w:rFonts w:ascii="Calibri"/>
          <w:sz w:val="24"/>
        </w:rPr>
        <w:t>Tax</w:t>
      </w:r>
      <w:r w:rsidRPr="00150EDC">
        <w:rPr>
          <w:rFonts w:ascii="Calibri"/>
          <w:spacing w:val="-4"/>
          <w:sz w:val="24"/>
        </w:rPr>
        <w:t xml:space="preserve"> </w:t>
      </w:r>
      <w:r w:rsidRPr="00150EDC">
        <w:rPr>
          <w:rFonts w:ascii="Calibri"/>
          <w:sz w:val="24"/>
        </w:rPr>
        <w:t>(Earnings</w:t>
      </w:r>
      <w:r w:rsidRPr="00150EDC">
        <w:rPr>
          <w:rFonts w:ascii="Calibri"/>
          <w:spacing w:val="-6"/>
          <w:sz w:val="24"/>
        </w:rPr>
        <w:t xml:space="preserve"> </w:t>
      </w:r>
      <w:r w:rsidRPr="00150EDC">
        <w:rPr>
          <w:rFonts w:ascii="Calibri"/>
          <w:sz w:val="24"/>
        </w:rPr>
        <w:t>and</w:t>
      </w:r>
      <w:r w:rsidRPr="00150EDC">
        <w:rPr>
          <w:rFonts w:ascii="Calibri"/>
          <w:spacing w:val="-2"/>
          <w:sz w:val="24"/>
        </w:rPr>
        <w:t xml:space="preserve"> </w:t>
      </w:r>
      <w:r w:rsidRPr="00150EDC">
        <w:rPr>
          <w:rFonts w:ascii="Calibri"/>
          <w:sz w:val="24"/>
        </w:rPr>
        <w:t>Pensions)</w:t>
      </w:r>
      <w:r w:rsidRPr="00150EDC">
        <w:rPr>
          <w:rFonts w:ascii="Calibri"/>
          <w:spacing w:val="-4"/>
          <w:sz w:val="24"/>
        </w:rPr>
        <w:t xml:space="preserve"> </w:t>
      </w:r>
      <w:r w:rsidRPr="00150EDC">
        <w:rPr>
          <w:rFonts w:ascii="Calibri"/>
          <w:sz w:val="24"/>
        </w:rPr>
        <w:t>Act</w:t>
      </w:r>
      <w:r w:rsidRPr="00150EDC">
        <w:rPr>
          <w:rFonts w:ascii="Calibri"/>
          <w:spacing w:val="-2"/>
          <w:sz w:val="24"/>
        </w:rPr>
        <w:t xml:space="preserve"> </w:t>
      </w:r>
      <w:r w:rsidRPr="00150EDC">
        <w:rPr>
          <w:rFonts w:ascii="Calibri"/>
          <w:sz w:val="24"/>
        </w:rPr>
        <w:t>2003</w:t>
      </w:r>
      <w:r w:rsidRPr="00150EDC">
        <w:rPr>
          <w:rFonts w:ascii="Calibri"/>
          <w:spacing w:val="-4"/>
          <w:sz w:val="24"/>
        </w:rPr>
        <w:t xml:space="preserve"> </w:t>
      </w:r>
      <w:r w:rsidRPr="00150EDC">
        <w:rPr>
          <w:rFonts w:ascii="Calibri"/>
          <w:sz w:val="24"/>
        </w:rPr>
        <w:t>and</w:t>
      </w:r>
      <w:r w:rsidRPr="00150EDC">
        <w:rPr>
          <w:rFonts w:ascii="Calibri"/>
          <w:spacing w:val="-2"/>
          <w:sz w:val="24"/>
        </w:rPr>
        <w:t xml:space="preserve"> </w:t>
      </w:r>
      <w:r w:rsidRPr="00150EDC">
        <w:rPr>
          <w:rFonts w:ascii="Calibri"/>
          <w:sz w:val="24"/>
        </w:rPr>
        <w:t>all</w:t>
      </w:r>
      <w:r w:rsidRPr="00150EDC">
        <w:rPr>
          <w:rFonts w:ascii="Calibri"/>
          <w:spacing w:val="-5"/>
          <w:sz w:val="24"/>
        </w:rPr>
        <w:t xml:space="preserve"> </w:t>
      </w:r>
      <w:r w:rsidRPr="00150EDC">
        <w:rPr>
          <w:rFonts w:ascii="Calibri"/>
          <w:sz w:val="24"/>
        </w:rPr>
        <w:t>other</w:t>
      </w:r>
      <w:r w:rsidRPr="00150EDC">
        <w:rPr>
          <w:rFonts w:ascii="Calibri"/>
          <w:spacing w:val="-2"/>
          <w:sz w:val="24"/>
        </w:rPr>
        <w:t xml:space="preserve"> </w:t>
      </w:r>
      <w:r w:rsidRPr="00150EDC">
        <w:rPr>
          <w:rFonts w:ascii="Calibri"/>
          <w:sz w:val="24"/>
        </w:rPr>
        <w:t>statutes</w:t>
      </w:r>
      <w:r w:rsidRPr="00150EDC">
        <w:rPr>
          <w:rFonts w:ascii="Calibri"/>
          <w:spacing w:val="-3"/>
          <w:sz w:val="24"/>
        </w:rPr>
        <w:t xml:space="preserve"> </w:t>
      </w:r>
      <w:r w:rsidRPr="00150EDC">
        <w:rPr>
          <w:rFonts w:ascii="Calibri"/>
          <w:sz w:val="24"/>
        </w:rPr>
        <w:t>and</w:t>
      </w:r>
      <w:r w:rsidRPr="00150EDC">
        <w:rPr>
          <w:rFonts w:ascii="Calibri"/>
          <w:spacing w:val="-4"/>
          <w:sz w:val="24"/>
        </w:rPr>
        <w:t xml:space="preserve"> </w:t>
      </w:r>
      <w:r w:rsidRPr="00150EDC">
        <w:rPr>
          <w:rFonts w:ascii="Calibri"/>
          <w:sz w:val="24"/>
        </w:rPr>
        <w:t>regulations relating to income tax, the Social Security Contributions and Benefits Act 1992 (including IR35) and National Insurance contributions; and</w:t>
      </w:r>
    </w:p>
    <w:p w14:paraId="004E887B" w14:textId="77777777" w:rsidR="004C7180" w:rsidRPr="00150EDC" w:rsidRDefault="00CF0754" w:rsidP="00B320C7">
      <w:pPr>
        <w:pStyle w:val="ListParagraph"/>
        <w:numPr>
          <w:ilvl w:val="0"/>
          <w:numId w:val="141"/>
        </w:numPr>
        <w:tabs>
          <w:tab w:val="left" w:pos="1491"/>
          <w:tab w:val="left" w:pos="1494"/>
        </w:tabs>
        <w:spacing w:before="19"/>
        <w:ind w:right="660"/>
        <w:rPr>
          <w:rFonts w:ascii="Calibri"/>
          <w:sz w:val="24"/>
        </w:rPr>
      </w:pPr>
      <w:r w:rsidRPr="00150EDC">
        <w:rPr>
          <w:rFonts w:ascii="Calibri"/>
          <w:sz w:val="24"/>
        </w:rPr>
        <w:t>indemnify the Buyer against any Income Tax, National Insurance and social security contributions and any other liability,</w:t>
      </w:r>
      <w:r w:rsidRPr="00150EDC">
        <w:rPr>
          <w:rFonts w:ascii="Calibri"/>
          <w:spacing w:val="-3"/>
          <w:sz w:val="24"/>
        </w:rPr>
        <w:t xml:space="preserve"> </w:t>
      </w:r>
      <w:r w:rsidRPr="00150EDC">
        <w:rPr>
          <w:rFonts w:ascii="Calibri"/>
          <w:sz w:val="24"/>
        </w:rPr>
        <w:t>deduction,</w:t>
      </w:r>
      <w:r w:rsidRPr="00150EDC">
        <w:rPr>
          <w:rFonts w:ascii="Calibri"/>
          <w:spacing w:val="-2"/>
          <w:sz w:val="24"/>
        </w:rPr>
        <w:t xml:space="preserve"> </w:t>
      </w:r>
      <w:r w:rsidRPr="00150EDC">
        <w:rPr>
          <w:rFonts w:ascii="Calibri"/>
          <w:sz w:val="24"/>
        </w:rPr>
        <w:t>contribution, assessment</w:t>
      </w:r>
      <w:r w:rsidRPr="00150EDC">
        <w:rPr>
          <w:rFonts w:ascii="Calibri"/>
          <w:spacing w:val="-1"/>
          <w:sz w:val="24"/>
        </w:rPr>
        <w:t xml:space="preserve"> </w:t>
      </w:r>
      <w:r w:rsidRPr="00150EDC">
        <w:rPr>
          <w:rFonts w:ascii="Calibri"/>
          <w:sz w:val="24"/>
        </w:rPr>
        <w:t>or claim</w:t>
      </w:r>
      <w:r w:rsidRPr="00150EDC">
        <w:rPr>
          <w:rFonts w:ascii="Calibri"/>
          <w:spacing w:val="-2"/>
          <w:sz w:val="24"/>
        </w:rPr>
        <w:t xml:space="preserve"> </w:t>
      </w:r>
      <w:r w:rsidRPr="00150EDC">
        <w:rPr>
          <w:rFonts w:ascii="Calibri"/>
          <w:sz w:val="24"/>
        </w:rPr>
        <w:t>arising from</w:t>
      </w:r>
      <w:r w:rsidRPr="00150EDC">
        <w:rPr>
          <w:rFonts w:ascii="Calibri"/>
          <w:spacing w:val="-2"/>
          <w:sz w:val="24"/>
        </w:rPr>
        <w:t xml:space="preserve"> </w:t>
      </w:r>
      <w:r w:rsidRPr="00150EDC">
        <w:rPr>
          <w:rFonts w:ascii="Calibri"/>
          <w:sz w:val="24"/>
        </w:rPr>
        <w:t>or</w:t>
      </w:r>
      <w:r w:rsidRPr="00150EDC">
        <w:rPr>
          <w:rFonts w:ascii="Calibri"/>
          <w:spacing w:val="-1"/>
          <w:sz w:val="24"/>
        </w:rPr>
        <w:t xml:space="preserve"> </w:t>
      </w:r>
      <w:r w:rsidRPr="00150EDC">
        <w:rPr>
          <w:rFonts w:ascii="Calibri"/>
          <w:sz w:val="24"/>
        </w:rPr>
        <w:t>made</w:t>
      </w:r>
      <w:r w:rsidRPr="00150EDC">
        <w:rPr>
          <w:rFonts w:ascii="Calibri"/>
          <w:spacing w:val="-2"/>
          <w:sz w:val="24"/>
        </w:rPr>
        <w:t xml:space="preserve"> </w:t>
      </w:r>
      <w:r w:rsidRPr="00150EDC">
        <w:rPr>
          <w:rFonts w:ascii="Calibri"/>
          <w:sz w:val="24"/>
        </w:rPr>
        <w:t>during</w:t>
      </w:r>
      <w:r w:rsidRPr="00150EDC">
        <w:rPr>
          <w:rFonts w:ascii="Calibri"/>
          <w:spacing w:val="-2"/>
          <w:sz w:val="24"/>
        </w:rPr>
        <w:t xml:space="preserve"> </w:t>
      </w:r>
      <w:r w:rsidRPr="00150EDC">
        <w:rPr>
          <w:rFonts w:ascii="Calibri"/>
          <w:sz w:val="24"/>
        </w:rPr>
        <w:t>or after</w:t>
      </w:r>
      <w:r w:rsidRPr="00150EDC">
        <w:rPr>
          <w:rFonts w:ascii="Calibri"/>
          <w:spacing w:val="-4"/>
          <w:sz w:val="24"/>
        </w:rPr>
        <w:t xml:space="preserve"> </w:t>
      </w:r>
      <w:r w:rsidRPr="00150EDC">
        <w:rPr>
          <w:rFonts w:ascii="Calibri"/>
          <w:sz w:val="24"/>
        </w:rPr>
        <w:t>the</w:t>
      </w:r>
      <w:r w:rsidRPr="00150EDC">
        <w:rPr>
          <w:rFonts w:ascii="Calibri"/>
          <w:spacing w:val="-2"/>
          <w:sz w:val="24"/>
        </w:rPr>
        <w:t xml:space="preserve"> </w:t>
      </w:r>
      <w:r w:rsidRPr="00150EDC">
        <w:rPr>
          <w:rFonts w:ascii="Calibri"/>
          <w:sz w:val="24"/>
        </w:rPr>
        <w:t>Contract</w:t>
      </w:r>
      <w:r w:rsidRPr="00150EDC">
        <w:rPr>
          <w:rFonts w:ascii="Calibri"/>
          <w:spacing w:val="-2"/>
          <w:sz w:val="24"/>
        </w:rPr>
        <w:t xml:space="preserve"> </w:t>
      </w:r>
      <w:r w:rsidRPr="00150EDC">
        <w:rPr>
          <w:rFonts w:ascii="Calibri"/>
          <w:sz w:val="24"/>
        </w:rPr>
        <w:t>Period</w:t>
      </w:r>
      <w:r w:rsidRPr="00150EDC">
        <w:rPr>
          <w:rFonts w:ascii="Calibri"/>
          <w:spacing w:val="-4"/>
          <w:sz w:val="24"/>
        </w:rPr>
        <w:t xml:space="preserve"> </w:t>
      </w:r>
      <w:r w:rsidRPr="00150EDC">
        <w:rPr>
          <w:rFonts w:ascii="Calibri"/>
          <w:sz w:val="24"/>
        </w:rPr>
        <w:t>in</w:t>
      </w:r>
      <w:r w:rsidRPr="00150EDC">
        <w:rPr>
          <w:rFonts w:ascii="Calibri"/>
          <w:spacing w:val="-2"/>
          <w:sz w:val="24"/>
        </w:rPr>
        <w:t xml:space="preserve"> </w:t>
      </w:r>
      <w:r w:rsidRPr="00150EDC">
        <w:rPr>
          <w:rFonts w:ascii="Calibri"/>
          <w:sz w:val="24"/>
        </w:rPr>
        <w:t>connection</w:t>
      </w:r>
      <w:r w:rsidRPr="00150EDC">
        <w:rPr>
          <w:rFonts w:ascii="Calibri"/>
          <w:spacing w:val="-4"/>
          <w:sz w:val="24"/>
        </w:rPr>
        <w:t xml:space="preserve"> </w:t>
      </w:r>
      <w:r w:rsidRPr="00150EDC">
        <w:rPr>
          <w:rFonts w:ascii="Calibri"/>
          <w:sz w:val="24"/>
        </w:rPr>
        <w:t>with</w:t>
      </w:r>
      <w:r w:rsidRPr="00150EDC">
        <w:rPr>
          <w:rFonts w:ascii="Calibri"/>
          <w:spacing w:val="-4"/>
          <w:sz w:val="24"/>
        </w:rPr>
        <w:t xml:space="preserve"> </w:t>
      </w:r>
      <w:r w:rsidRPr="00150EDC">
        <w:rPr>
          <w:rFonts w:ascii="Calibri"/>
          <w:sz w:val="24"/>
        </w:rPr>
        <w:t>the</w:t>
      </w:r>
      <w:r w:rsidRPr="00150EDC">
        <w:rPr>
          <w:rFonts w:ascii="Calibri"/>
          <w:spacing w:val="-4"/>
          <w:sz w:val="24"/>
        </w:rPr>
        <w:t xml:space="preserve"> </w:t>
      </w:r>
      <w:r w:rsidRPr="00150EDC">
        <w:rPr>
          <w:rFonts w:ascii="Calibri"/>
          <w:sz w:val="24"/>
        </w:rPr>
        <w:t>provision</w:t>
      </w:r>
      <w:r w:rsidRPr="00150EDC">
        <w:rPr>
          <w:rFonts w:ascii="Calibri"/>
          <w:spacing w:val="-3"/>
          <w:sz w:val="24"/>
        </w:rPr>
        <w:t xml:space="preserve"> </w:t>
      </w:r>
      <w:r w:rsidRPr="00150EDC">
        <w:rPr>
          <w:rFonts w:ascii="Calibri"/>
          <w:sz w:val="24"/>
        </w:rPr>
        <w:t>of</w:t>
      </w:r>
      <w:r w:rsidRPr="00150EDC">
        <w:rPr>
          <w:rFonts w:ascii="Calibri"/>
          <w:spacing w:val="-3"/>
          <w:sz w:val="24"/>
        </w:rPr>
        <w:t xml:space="preserve"> </w:t>
      </w:r>
      <w:r w:rsidRPr="00150EDC">
        <w:rPr>
          <w:rFonts w:ascii="Calibri"/>
          <w:sz w:val="24"/>
        </w:rPr>
        <w:t>the</w:t>
      </w:r>
      <w:r w:rsidRPr="00150EDC">
        <w:rPr>
          <w:rFonts w:ascii="Calibri"/>
          <w:spacing w:val="-4"/>
          <w:sz w:val="24"/>
        </w:rPr>
        <w:t xml:space="preserve"> </w:t>
      </w:r>
      <w:r w:rsidRPr="00150EDC">
        <w:rPr>
          <w:rFonts w:ascii="Calibri"/>
          <w:sz w:val="24"/>
        </w:rPr>
        <w:t>Deliverables</w:t>
      </w:r>
      <w:r w:rsidRPr="00150EDC">
        <w:rPr>
          <w:rFonts w:ascii="Calibri"/>
          <w:spacing w:val="-3"/>
          <w:sz w:val="24"/>
        </w:rPr>
        <w:t xml:space="preserve"> </w:t>
      </w:r>
      <w:r w:rsidRPr="00150EDC">
        <w:rPr>
          <w:rFonts w:ascii="Calibri"/>
          <w:sz w:val="24"/>
        </w:rPr>
        <w:t>by</w:t>
      </w:r>
      <w:r w:rsidRPr="00150EDC">
        <w:rPr>
          <w:rFonts w:ascii="Calibri"/>
          <w:spacing w:val="-6"/>
          <w:sz w:val="24"/>
        </w:rPr>
        <w:t xml:space="preserve"> </w:t>
      </w:r>
      <w:r w:rsidRPr="00150EDC">
        <w:rPr>
          <w:rFonts w:ascii="Calibri"/>
          <w:sz w:val="24"/>
        </w:rPr>
        <w:t>the</w:t>
      </w:r>
      <w:r w:rsidRPr="00150EDC">
        <w:rPr>
          <w:rFonts w:ascii="Calibri"/>
          <w:spacing w:val="-5"/>
          <w:sz w:val="24"/>
        </w:rPr>
        <w:t xml:space="preserve"> </w:t>
      </w:r>
      <w:r w:rsidRPr="00150EDC">
        <w:rPr>
          <w:rFonts w:ascii="Calibri"/>
          <w:sz w:val="24"/>
        </w:rPr>
        <w:t>Supplier</w:t>
      </w:r>
      <w:r w:rsidRPr="00150EDC">
        <w:rPr>
          <w:rFonts w:ascii="Calibri"/>
          <w:spacing w:val="-2"/>
          <w:sz w:val="24"/>
        </w:rPr>
        <w:t xml:space="preserve"> </w:t>
      </w:r>
      <w:r w:rsidRPr="00150EDC">
        <w:rPr>
          <w:rFonts w:ascii="Calibri"/>
          <w:sz w:val="24"/>
        </w:rPr>
        <w:t>or</w:t>
      </w:r>
      <w:r w:rsidRPr="00150EDC">
        <w:rPr>
          <w:rFonts w:ascii="Calibri"/>
          <w:spacing w:val="-4"/>
          <w:sz w:val="24"/>
        </w:rPr>
        <w:t xml:space="preserve"> </w:t>
      </w:r>
      <w:r w:rsidRPr="00150EDC">
        <w:rPr>
          <w:rFonts w:ascii="Calibri"/>
          <w:sz w:val="24"/>
        </w:rPr>
        <w:t>any of the Supplier Staff.</w:t>
      </w:r>
    </w:p>
    <w:p w14:paraId="5FD67F98" w14:textId="77777777" w:rsidR="004C7180" w:rsidRPr="00150EDC" w:rsidRDefault="004C7180">
      <w:pPr>
        <w:pStyle w:val="BodyText"/>
        <w:spacing w:before="8"/>
        <w:rPr>
          <w:rFonts w:ascii="Calibri"/>
          <w:sz w:val="25"/>
        </w:rPr>
      </w:pPr>
    </w:p>
    <w:p w14:paraId="42E9CACE" w14:textId="77777777" w:rsidR="004C7180" w:rsidRPr="00150EDC" w:rsidRDefault="00CF0754" w:rsidP="00B320C7">
      <w:pPr>
        <w:pStyle w:val="ListParagraph"/>
        <w:numPr>
          <w:ilvl w:val="1"/>
          <w:numId w:val="182"/>
        </w:numPr>
        <w:tabs>
          <w:tab w:val="left" w:pos="1064"/>
          <w:tab w:val="left" w:pos="1066"/>
        </w:tabs>
        <w:ind w:right="1203"/>
        <w:rPr>
          <w:rFonts w:ascii="Calibri"/>
          <w:sz w:val="24"/>
        </w:rPr>
      </w:pPr>
      <w:r w:rsidRPr="00150EDC">
        <w:rPr>
          <w:rFonts w:ascii="Calibri"/>
          <w:sz w:val="24"/>
        </w:rPr>
        <w:t>If</w:t>
      </w:r>
      <w:r w:rsidRPr="00150EDC">
        <w:rPr>
          <w:rFonts w:ascii="Calibri"/>
          <w:spacing w:val="-1"/>
          <w:sz w:val="24"/>
        </w:rPr>
        <w:t xml:space="preserve"> </w:t>
      </w:r>
      <w:r w:rsidRPr="00150EDC">
        <w:rPr>
          <w:rFonts w:ascii="Calibri"/>
          <w:sz w:val="24"/>
        </w:rPr>
        <w:t>any</w:t>
      </w:r>
      <w:r w:rsidRPr="00150EDC">
        <w:rPr>
          <w:rFonts w:ascii="Calibri"/>
          <w:spacing w:val="-5"/>
          <w:sz w:val="24"/>
        </w:rPr>
        <w:t xml:space="preserve"> </w:t>
      </w:r>
      <w:r w:rsidRPr="00150EDC">
        <w:rPr>
          <w:rFonts w:ascii="Calibri"/>
          <w:sz w:val="24"/>
        </w:rPr>
        <w:t>of</w:t>
      </w:r>
      <w:r w:rsidRPr="00150EDC">
        <w:rPr>
          <w:rFonts w:ascii="Calibri"/>
          <w:spacing w:val="-2"/>
          <w:sz w:val="24"/>
        </w:rPr>
        <w:t xml:space="preserve"> </w:t>
      </w:r>
      <w:r w:rsidRPr="00150EDC">
        <w:rPr>
          <w:rFonts w:ascii="Calibri"/>
          <w:sz w:val="24"/>
        </w:rPr>
        <w:t>the</w:t>
      </w:r>
      <w:r w:rsidRPr="00150EDC">
        <w:rPr>
          <w:rFonts w:ascii="Calibri"/>
          <w:spacing w:val="-1"/>
          <w:sz w:val="24"/>
        </w:rPr>
        <w:t xml:space="preserve"> </w:t>
      </w:r>
      <w:r w:rsidRPr="00150EDC">
        <w:rPr>
          <w:rFonts w:ascii="Calibri"/>
          <w:sz w:val="24"/>
        </w:rPr>
        <w:t>Supplier</w:t>
      </w:r>
      <w:r w:rsidRPr="00150EDC">
        <w:rPr>
          <w:rFonts w:ascii="Calibri"/>
          <w:spacing w:val="-1"/>
          <w:sz w:val="24"/>
        </w:rPr>
        <w:t xml:space="preserve"> </w:t>
      </w:r>
      <w:r w:rsidRPr="00150EDC">
        <w:rPr>
          <w:rFonts w:ascii="Calibri"/>
          <w:sz w:val="24"/>
        </w:rPr>
        <w:t>Staff</w:t>
      </w:r>
      <w:r w:rsidRPr="00150EDC">
        <w:rPr>
          <w:rFonts w:ascii="Calibri"/>
          <w:spacing w:val="-1"/>
          <w:sz w:val="24"/>
        </w:rPr>
        <w:t xml:space="preserve"> </w:t>
      </w:r>
      <w:r w:rsidRPr="00150EDC">
        <w:rPr>
          <w:rFonts w:ascii="Calibri"/>
          <w:sz w:val="24"/>
        </w:rPr>
        <w:t>are</w:t>
      </w:r>
      <w:r w:rsidRPr="00150EDC">
        <w:rPr>
          <w:rFonts w:ascii="Calibri"/>
          <w:spacing w:val="-1"/>
          <w:sz w:val="24"/>
        </w:rPr>
        <w:t xml:space="preserve"> </w:t>
      </w:r>
      <w:r w:rsidRPr="00150EDC">
        <w:rPr>
          <w:rFonts w:ascii="Calibri"/>
          <w:sz w:val="24"/>
        </w:rPr>
        <w:t>Workers</w:t>
      </w:r>
      <w:r w:rsidRPr="00150EDC">
        <w:rPr>
          <w:rFonts w:ascii="Calibri"/>
          <w:spacing w:val="-2"/>
          <w:sz w:val="24"/>
        </w:rPr>
        <w:t xml:space="preserve"> </w:t>
      </w:r>
      <w:r w:rsidRPr="00150EDC">
        <w:rPr>
          <w:rFonts w:ascii="Calibri"/>
          <w:sz w:val="24"/>
        </w:rPr>
        <w:t>who</w:t>
      </w:r>
      <w:r w:rsidRPr="00150EDC">
        <w:rPr>
          <w:rFonts w:ascii="Calibri"/>
          <w:spacing w:val="-3"/>
          <w:sz w:val="24"/>
        </w:rPr>
        <w:t xml:space="preserve"> </w:t>
      </w:r>
      <w:r w:rsidRPr="00150EDC">
        <w:rPr>
          <w:rFonts w:ascii="Calibri"/>
          <w:sz w:val="24"/>
        </w:rPr>
        <w:t>receive</w:t>
      </w:r>
      <w:r w:rsidRPr="00150EDC">
        <w:rPr>
          <w:rFonts w:ascii="Calibri"/>
          <w:spacing w:val="-2"/>
          <w:sz w:val="24"/>
        </w:rPr>
        <w:t xml:space="preserve"> </w:t>
      </w:r>
      <w:r w:rsidRPr="00150EDC">
        <w:rPr>
          <w:rFonts w:ascii="Calibri"/>
          <w:sz w:val="24"/>
        </w:rPr>
        <w:t>payment</w:t>
      </w:r>
      <w:r w:rsidRPr="00150EDC">
        <w:rPr>
          <w:rFonts w:ascii="Calibri"/>
          <w:spacing w:val="-3"/>
          <w:sz w:val="24"/>
        </w:rPr>
        <w:t xml:space="preserve"> </w:t>
      </w:r>
      <w:r w:rsidRPr="00150EDC">
        <w:rPr>
          <w:rFonts w:ascii="Calibri"/>
          <w:sz w:val="24"/>
        </w:rPr>
        <w:t>relating</w:t>
      </w:r>
      <w:r w:rsidRPr="00150EDC">
        <w:rPr>
          <w:rFonts w:ascii="Calibri"/>
          <w:spacing w:val="-4"/>
          <w:sz w:val="24"/>
        </w:rPr>
        <w:t xml:space="preserve"> </w:t>
      </w:r>
      <w:r w:rsidRPr="00150EDC">
        <w:rPr>
          <w:rFonts w:ascii="Calibri"/>
          <w:sz w:val="24"/>
        </w:rPr>
        <w:t>to</w:t>
      </w:r>
      <w:r w:rsidRPr="00150EDC">
        <w:rPr>
          <w:rFonts w:ascii="Calibri"/>
          <w:spacing w:val="-3"/>
          <w:sz w:val="24"/>
        </w:rPr>
        <w:t xml:space="preserve"> </w:t>
      </w:r>
      <w:r w:rsidRPr="00150EDC">
        <w:rPr>
          <w:rFonts w:ascii="Calibri"/>
          <w:sz w:val="24"/>
        </w:rPr>
        <w:t>the</w:t>
      </w:r>
      <w:r w:rsidRPr="00150EDC">
        <w:rPr>
          <w:rFonts w:ascii="Calibri"/>
          <w:spacing w:val="-3"/>
          <w:sz w:val="24"/>
        </w:rPr>
        <w:t xml:space="preserve"> </w:t>
      </w:r>
      <w:r w:rsidRPr="00150EDC">
        <w:rPr>
          <w:rFonts w:ascii="Calibri"/>
          <w:sz w:val="24"/>
        </w:rPr>
        <w:t>Deliverables,</w:t>
      </w:r>
      <w:r w:rsidRPr="00150EDC">
        <w:rPr>
          <w:rFonts w:ascii="Calibri"/>
          <w:spacing w:val="-4"/>
          <w:sz w:val="24"/>
        </w:rPr>
        <w:t xml:space="preserve"> </w:t>
      </w:r>
      <w:r w:rsidRPr="00150EDC">
        <w:rPr>
          <w:rFonts w:ascii="Calibri"/>
          <w:sz w:val="24"/>
        </w:rPr>
        <w:t>then</w:t>
      </w:r>
      <w:r w:rsidRPr="00150EDC">
        <w:rPr>
          <w:rFonts w:ascii="Calibri"/>
          <w:spacing w:val="-3"/>
          <w:sz w:val="24"/>
        </w:rPr>
        <w:t xml:space="preserve"> </w:t>
      </w:r>
      <w:r w:rsidRPr="00150EDC">
        <w:rPr>
          <w:rFonts w:ascii="Calibri"/>
          <w:sz w:val="24"/>
        </w:rPr>
        <w:t>the Supplier must ensure that its contract with the Worker contains the following requirements:</w:t>
      </w:r>
    </w:p>
    <w:p w14:paraId="1E1607DF" w14:textId="77777777" w:rsidR="004C7180" w:rsidRPr="00150EDC" w:rsidRDefault="004C7180">
      <w:pPr>
        <w:pStyle w:val="BodyText"/>
        <w:spacing w:before="4"/>
        <w:rPr>
          <w:rFonts w:ascii="Calibri"/>
          <w:sz w:val="27"/>
        </w:rPr>
      </w:pPr>
    </w:p>
    <w:p w14:paraId="4E38B0FB" w14:textId="77777777" w:rsidR="004C7180" w:rsidRPr="00150EDC" w:rsidRDefault="00CF0754" w:rsidP="00B320C7">
      <w:pPr>
        <w:pStyle w:val="ListParagraph"/>
        <w:numPr>
          <w:ilvl w:val="0"/>
          <w:numId w:val="140"/>
        </w:numPr>
        <w:tabs>
          <w:tab w:val="left" w:pos="1491"/>
          <w:tab w:val="left" w:pos="1494"/>
        </w:tabs>
        <w:ind w:right="794"/>
        <w:rPr>
          <w:rFonts w:ascii="Calibri"/>
          <w:sz w:val="24"/>
        </w:rPr>
      </w:pPr>
      <w:r w:rsidRPr="00150EDC">
        <w:rPr>
          <w:rFonts w:ascii="Calibri"/>
          <w:sz w:val="24"/>
        </w:rPr>
        <w:t>the Buyer may, at any time during the Contract Period, request that the Worker provides information</w:t>
      </w:r>
      <w:r w:rsidRPr="00150EDC">
        <w:rPr>
          <w:rFonts w:ascii="Calibri"/>
          <w:spacing w:val="-2"/>
          <w:sz w:val="24"/>
        </w:rPr>
        <w:t xml:space="preserve"> </w:t>
      </w:r>
      <w:r w:rsidRPr="00150EDC">
        <w:rPr>
          <w:rFonts w:ascii="Calibri"/>
          <w:sz w:val="24"/>
        </w:rPr>
        <w:t>which</w:t>
      </w:r>
      <w:r w:rsidRPr="00150EDC">
        <w:rPr>
          <w:rFonts w:ascii="Calibri"/>
          <w:spacing w:val="-4"/>
          <w:sz w:val="24"/>
        </w:rPr>
        <w:t xml:space="preserve"> </w:t>
      </w:r>
      <w:r w:rsidRPr="00150EDC">
        <w:rPr>
          <w:rFonts w:ascii="Calibri"/>
          <w:sz w:val="24"/>
        </w:rPr>
        <w:t>demonstrates</w:t>
      </w:r>
      <w:r w:rsidRPr="00150EDC">
        <w:rPr>
          <w:rFonts w:ascii="Calibri"/>
          <w:spacing w:val="-5"/>
          <w:sz w:val="24"/>
        </w:rPr>
        <w:t xml:space="preserve"> </w:t>
      </w:r>
      <w:r w:rsidRPr="00150EDC">
        <w:rPr>
          <w:rFonts w:ascii="Calibri"/>
          <w:sz w:val="24"/>
        </w:rPr>
        <w:t>they</w:t>
      </w:r>
      <w:r w:rsidRPr="00150EDC">
        <w:rPr>
          <w:rFonts w:ascii="Calibri"/>
          <w:spacing w:val="-3"/>
          <w:sz w:val="24"/>
        </w:rPr>
        <w:t xml:space="preserve"> </w:t>
      </w:r>
      <w:r w:rsidRPr="00150EDC">
        <w:rPr>
          <w:rFonts w:ascii="Calibri"/>
          <w:sz w:val="24"/>
        </w:rPr>
        <w:t>comply</w:t>
      </w:r>
      <w:r w:rsidRPr="00150EDC">
        <w:rPr>
          <w:rFonts w:ascii="Calibri"/>
          <w:spacing w:val="-3"/>
          <w:sz w:val="24"/>
        </w:rPr>
        <w:t xml:space="preserve"> </w:t>
      </w:r>
      <w:r w:rsidRPr="00150EDC">
        <w:rPr>
          <w:rFonts w:ascii="Calibri"/>
          <w:sz w:val="24"/>
        </w:rPr>
        <w:t>with</w:t>
      </w:r>
      <w:r w:rsidRPr="00150EDC">
        <w:rPr>
          <w:rFonts w:ascii="Calibri"/>
          <w:spacing w:val="-2"/>
          <w:sz w:val="24"/>
        </w:rPr>
        <w:t xml:space="preserve"> </w:t>
      </w:r>
      <w:r w:rsidRPr="00150EDC">
        <w:rPr>
          <w:rFonts w:ascii="Calibri"/>
          <w:sz w:val="24"/>
        </w:rPr>
        <w:t>Clause</w:t>
      </w:r>
      <w:r w:rsidRPr="00150EDC">
        <w:rPr>
          <w:rFonts w:ascii="Calibri"/>
          <w:spacing w:val="-5"/>
          <w:sz w:val="24"/>
        </w:rPr>
        <w:t xml:space="preserve"> </w:t>
      </w:r>
      <w:r w:rsidRPr="00150EDC">
        <w:rPr>
          <w:rFonts w:ascii="Calibri"/>
          <w:sz w:val="24"/>
        </w:rPr>
        <w:t>31.3,</w:t>
      </w:r>
      <w:r w:rsidRPr="00150EDC">
        <w:rPr>
          <w:rFonts w:ascii="Calibri"/>
          <w:spacing w:val="-4"/>
          <w:sz w:val="24"/>
        </w:rPr>
        <w:t xml:space="preserve"> </w:t>
      </w:r>
      <w:r w:rsidRPr="00150EDC">
        <w:rPr>
          <w:rFonts w:ascii="Calibri"/>
          <w:sz w:val="24"/>
        </w:rPr>
        <w:t>or</w:t>
      </w:r>
      <w:r w:rsidRPr="00150EDC">
        <w:rPr>
          <w:rFonts w:ascii="Calibri"/>
          <w:spacing w:val="-4"/>
          <w:sz w:val="24"/>
        </w:rPr>
        <w:t xml:space="preserve"> </w:t>
      </w:r>
      <w:r w:rsidRPr="00150EDC">
        <w:rPr>
          <w:rFonts w:ascii="Calibri"/>
          <w:sz w:val="24"/>
        </w:rPr>
        <w:t>why</w:t>
      </w:r>
      <w:r w:rsidRPr="00150EDC">
        <w:rPr>
          <w:rFonts w:ascii="Calibri"/>
          <w:spacing w:val="-3"/>
          <w:sz w:val="24"/>
        </w:rPr>
        <w:t xml:space="preserve"> </w:t>
      </w:r>
      <w:r w:rsidRPr="00150EDC">
        <w:rPr>
          <w:rFonts w:ascii="Calibri"/>
          <w:sz w:val="24"/>
        </w:rPr>
        <w:t>those</w:t>
      </w:r>
      <w:r w:rsidRPr="00150EDC">
        <w:rPr>
          <w:rFonts w:ascii="Calibri"/>
          <w:spacing w:val="-2"/>
          <w:sz w:val="24"/>
        </w:rPr>
        <w:t xml:space="preserve"> </w:t>
      </w:r>
      <w:r w:rsidRPr="00150EDC">
        <w:rPr>
          <w:rFonts w:ascii="Calibri"/>
          <w:sz w:val="24"/>
        </w:rPr>
        <w:t>requirements</w:t>
      </w:r>
      <w:r w:rsidRPr="00150EDC">
        <w:rPr>
          <w:rFonts w:ascii="Calibri"/>
          <w:spacing w:val="-4"/>
          <w:sz w:val="24"/>
        </w:rPr>
        <w:t xml:space="preserve"> </w:t>
      </w:r>
      <w:r w:rsidRPr="00150EDC">
        <w:rPr>
          <w:rFonts w:ascii="Calibri"/>
          <w:sz w:val="24"/>
        </w:rPr>
        <w:t>do</w:t>
      </w:r>
      <w:r w:rsidRPr="00150EDC">
        <w:rPr>
          <w:rFonts w:ascii="Calibri"/>
          <w:spacing w:val="-4"/>
          <w:sz w:val="24"/>
        </w:rPr>
        <w:t xml:space="preserve"> </w:t>
      </w:r>
      <w:r w:rsidRPr="00150EDC">
        <w:rPr>
          <w:rFonts w:ascii="Calibri"/>
          <w:sz w:val="24"/>
        </w:rPr>
        <w:t xml:space="preserve">not apply, the Buyer can specify the information the Worker must provide and the deadline for </w:t>
      </w:r>
      <w:r w:rsidRPr="00150EDC">
        <w:rPr>
          <w:rFonts w:ascii="Calibri"/>
          <w:spacing w:val="-2"/>
          <w:sz w:val="24"/>
        </w:rPr>
        <w:t>responding;</w:t>
      </w:r>
    </w:p>
    <w:p w14:paraId="6FEA6526" w14:textId="77777777" w:rsidR="004C7180" w:rsidRPr="00150EDC" w:rsidRDefault="00CF0754" w:rsidP="00B320C7">
      <w:pPr>
        <w:pStyle w:val="ListParagraph"/>
        <w:numPr>
          <w:ilvl w:val="0"/>
          <w:numId w:val="140"/>
        </w:numPr>
        <w:tabs>
          <w:tab w:val="left" w:pos="1491"/>
        </w:tabs>
        <w:spacing w:before="19"/>
        <w:ind w:left="1491" w:hanging="425"/>
        <w:rPr>
          <w:rFonts w:ascii="Calibri" w:hAnsi="Calibri"/>
          <w:sz w:val="24"/>
        </w:rPr>
      </w:pPr>
      <w:r w:rsidRPr="00150EDC">
        <w:rPr>
          <w:rFonts w:ascii="Calibri" w:hAnsi="Calibri"/>
          <w:sz w:val="24"/>
        </w:rPr>
        <w:t>the</w:t>
      </w:r>
      <w:r w:rsidRPr="00150EDC">
        <w:rPr>
          <w:rFonts w:ascii="Calibri" w:hAnsi="Calibri"/>
          <w:spacing w:val="-7"/>
          <w:sz w:val="24"/>
        </w:rPr>
        <w:t xml:space="preserve"> </w:t>
      </w:r>
      <w:r w:rsidRPr="00150EDC">
        <w:rPr>
          <w:rFonts w:ascii="Calibri" w:hAnsi="Calibri"/>
          <w:sz w:val="24"/>
        </w:rPr>
        <w:t>Worker’s</w:t>
      </w:r>
      <w:r w:rsidRPr="00150EDC">
        <w:rPr>
          <w:rFonts w:ascii="Calibri" w:hAnsi="Calibri"/>
          <w:spacing w:val="-4"/>
          <w:sz w:val="24"/>
        </w:rPr>
        <w:t xml:space="preserve"> </w:t>
      </w:r>
      <w:r w:rsidRPr="00150EDC">
        <w:rPr>
          <w:rFonts w:ascii="Calibri" w:hAnsi="Calibri"/>
          <w:sz w:val="24"/>
        </w:rPr>
        <w:t>contract</w:t>
      </w:r>
      <w:r w:rsidRPr="00150EDC">
        <w:rPr>
          <w:rFonts w:ascii="Calibri" w:hAnsi="Calibri"/>
          <w:spacing w:val="-1"/>
          <w:sz w:val="24"/>
        </w:rPr>
        <w:t xml:space="preserve"> </w:t>
      </w:r>
      <w:r w:rsidRPr="00150EDC">
        <w:rPr>
          <w:rFonts w:ascii="Calibri" w:hAnsi="Calibri"/>
          <w:sz w:val="24"/>
        </w:rPr>
        <w:t>may</w:t>
      </w:r>
      <w:r w:rsidRPr="00150EDC">
        <w:rPr>
          <w:rFonts w:ascii="Calibri" w:hAnsi="Calibri"/>
          <w:spacing w:val="-3"/>
          <w:sz w:val="24"/>
        </w:rPr>
        <w:t xml:space="preserve"> </w:t>
      </w:r>
      <w:r w:rsidRPr="00150EDC">
        <w:rPr>
          <w:rFonts w:ascii="Calibri" w:hAnsi="Calibri"/>
          <w:sz w:val="24"/>
        </w:rPr>
        <w:t>be</w:t>
      </w:r>
      <w:r w:rsidRPr="00150EDC">
        <w:rPr>
          <w:rFonts w:ascii="Calibri" w:hAnsi="Calibri"/>
          <w:spacing w:val="-3"/>
          <w:sz w:val="24"/>
        </w:rPr>
        <w:t xml:space="preserve"> </w:t>
      </w:r>
      <w:r w:rsidRPr="00150EDC">
        <w:rPr>
          <w:rFonts w:ascii="Calibri" w:hAnsi="Calibri"/>
          <w:sz w:val="24"/>
        </w:rPr>
        <w:t>terminated</w:t>
      </w:r>
      <w:r w:rsidRPr="00150EDC">
        <w:rPr>
          <w:rFonts w:ascii="Calibri" w:hAnsi="Calibri"/>
          <w:spacing w:val="-4"/>
          <w:sz w:val="24"/>
        </w:rPr>
        <w:t xml:space="preserve"> </w:t>
      </w:r>
      <w:r w:rsidRPr="00150EDC">
        <w:rPr>
          <w:rFonts w:ascii="Calibri" w:hAnsi="Calibri"/>
          <w:sz w:val="24"/>
        </w:rPr>
        <w:t>at</w:t>
      </w:r>
      <w:r w:rsidRPr="00150EDC">
        <w:rPr>
          <w:rFonts w:ascii="Calibri" w:hAnsi="Calibri"/>
          <w:spacing w:val="-3"/>
          <w:sz w:val="24"/>
        </w:rPr>
        <w:t xml:space="preserve"> </w:t>
      </w:r>
      <w:r w:rsidRPr="00150EDC">
        <w:rPr>
          <w:rFonts w:ascii="Calibri" w:hAnsi="Calibri"/>
          <w:sz w:val="24"/>
        </w:rPr>
        <w:t>the</w:t>
      </w:r>
      <w:r w:rsidRPr="00150EDC">
        <w:rPr>
          <w:rFonts w:ascii="Calibri" w:hAnsi="Calibri"/>
          <w:spacing w:val="-4"/>
          <w:sz w:val="24"/>
        </w:rPr>
        <w:t xml:space="preserve"> </w:t>
      </w:r>
      <w:r w:rsidRPr="00150EDC">
        <w:rPr>
          <w:rFonts w:ascii="Calibri" w:hAnsi="Calibri"/>
          <w:sz w:val="24"/>
        </w:rPr>
        <w:t>Buyer’s</w:t>
      </w:r>
      <w:r w:rsidRPr="00150EDC">
        <w:rPr>
          <w:rFonts w:ascii="Calibri" w:hAnsi="Calibri"/>
          <w:spacing w:val="-3"/>
          <w:sz w:val="24"/>
        </w:rPr>
        <w:t xml:space="preserve"> </w:t>
      </w:r>
      <w:r w:rsidRPr="00150EDC">
        <w:rPr>
          <w:rFonts w:ascii="Calibri" w:hAnsi="Calibri"/>
          <w:sz w:val="24"/>
        </w:rPr>
        <w:t>request</w:t>
      </w:r>
      <w:r w:rsidRPr="00150EDC">
        <w:rPr>
          <w:rFonts w:ascii="Calibri" w:hAnsi="Calibri"/>
          <w:spacing w:val="-3"/>
          <w:sz w:val="24"/>
        </w:rPr>
        <w:t xml:space="preserve"> </w:t>
      </w:r>
      <w:r w:rsidRPr="00150EDC">
        <w:rPr>
          <w:rFonts w:ascii="Calibri" w:hAnsi="Calibri"/>
          <w:sz w:val="24"/>
        </w:rPr>
        <w:t>if</w:t>
      </w:r>
      <w:r w:rsidRPr="00150EDC">
        <w:rPr>
          <w:rFonts w:ascii="Calibri" w:hAnsi="Calibri"/>
          <w:spacing w:val="-4"/>
          <w:sz w:val="24"/>
        </w:rPr>
        <w:t xml:space="preserve"> </w:t>
      </w:r>
      <w:r w:rsidRPr="00150EDC">
        <w:rPr>
          <w:rFonts w:ascii="Calibri" w:hAnsi="Calibri"/>
          <w:sz w:val="24"/>
        </w:rPr>
        <w:t>the</w:t>
      </w:r>
      <w:r w:rsidRPr="00150EDC">
        <w:rPr>
          <w:rFonts w:ascii="Calibri" w:hAnsi="Calibri"/>
          <w:spacing w:val="-1"/>
          <w:sz w:val="24"/>
        </w:rPr>
        <w:t xml:space="preserve"> </w:t>
      </w:r>
      <w:r w:rsidRPr="00150EDC">
        <w:rPr>
          <w:rFonts w:ascii="Calibri" w:hAnsi="Calibri"/>
          <w:sz w:val="24"/>
        </w:rPr>
        <w:t>Worker</w:t>
      </w:r>
      <w:r w:rsidRPr="00150EDC">
        <w:rPr>
          <w:rFonts w:ascii="Calibri" w:hAnsi="Calibri"/>
          <w:spacing w:val="-2"/>
          <w:sz w:val="24"/>
        </w:rPr>
        <w:t xml:space="preserve"> </w:t>
      </w:r>
      <w:r w:rsidRPr="00150EDC">
        <w:rPr>
          <w:rFonts w:ascii="Calibri" w:hAnsi="Calibri"/>
          <w:sz w:val="24"/>
        </w:rPr>
        <w:t>fails</w:t>
      </w:r>
      <w:r w:rsidRPr="00150EDC">
        <w:rPr>
          <w:rFonts w:ascii="Calibri" w:hAnsi="Calibri"/>
          <w:spacing w:val="-4"/>
          <w:sz w:val="24"/>
        </w:rPr>
        <w:t xml:space="preserve"> </w:t>
      </w:r>
      <w:r w:rsidRPr="00150EDC">
        <w:rPr>
          <w:rFonts w:ascii="Calibri" w:hAnsi="Calibri"/>
          <w:sz w:val="24"/>
        </w:rPr>
        <w:t>to</w:t>
      </w:r>
      <w:r w:rsidRPr="00150EDC">
        <w:rPr>
          <w:rFonts w:ascii="Calibri" w:hAnsi="Calibri"/>
          <w:spacing w:val="-5"/>
          <w:sz w:val="24"/>
        </w:rPr>
        <w:t xml:space="preserve"> </w:t>
      </w:r>
      <w:r w:rsidRPr="00150EDC">
        <w:rPr>
          <w:rFonts w:ascii="Calibri" w:hAnsi="Calibri"/>
          <w:sz w:val="24"/>
        </w:rPr>
        <w:t>provide</w:t>
      </w:r>
      <w:r w:rsidRPr="00150EDC">
        <w:rPr>
          <w:rFonts w:ascii="Calibri" w:hAnsi="Calibri"/>
          <w:spacing w:val="-4"/>
          <w:sz w:val="24"/>
        </w:rPr>
        <w:t xml:space="preserve"> </w:t>
      </w:r>
      <w:r w:rsidRPr="00150EDC">
        <w:rPr>
          <w:rFonts w:ascii="Calibri" w:hAnsi="Calibri"/>
          <w:spacing w:val="-5"/>
          <w:sz w:val="24"/>
        </w:rPr>
        <w:t>the</w:t>
      </w:r>
    </w:p>
    <w:p w14:paraId="0E374617" w14:textId="77777777" w:rsidR="004C7180" w:rsidRPr="00150EDC" w:rsidRDefault="004C7180">
      <w:pPr>
        <w:rPr>
          <w:rFonts w:ascii="Calibri" w:hAnsi="Calibri"/>
          <w:sz w:val="24"/>
        </w:rPr>
        <w:sectPr w:rsidR="004C7180" w:rsidRPr="00150EDC">
          <w:pgSz w:w="11910" w:h="16840"/>
          <w:pgMar w:top="620" w:right="0" w:bottom="2460" w:left="40" w:header="403" w:footer="2245" w:gutter="0"/>
          <w:cols w:space="720"/>
        </w:sectPr>
      </w:pPr>
    </w:p>
    <w:p w14:paraId="79888764" w14:textId="77777777" w:rsidR="004C7180" w:rsidRPr="00150EDC" w:rsidRDefault="004C7180">
      <w:pPr>
        <w:pStyle w:val="BodyText"/>
        <w:spacing w:before="1"/>
        <w:rPr>
          <w:rFonts w:ascii="Calibri"/>
          <w:sz w:val="18"/>
        </w:rPr>
      </w:pPr>
    </w:p>
    <w:p w14:paraId="05BEF986" w14:textId="77777777" w:rsidR="004C7180" w:rsidRPr="00150EDC" w:rsidRDefault="00CF0754">
      <w:pPr>
        <w:pStyle w:val="BodyText"/>
        <w:spacing w:before="52"/>
        <w:ind w:left="1494"/>
        <w:rPr>
          <w:rFonts w:ascii="Calibri"/>
        </w:rPr>
      </w:pPr>
      <w:r w:rsidRPr="00150EDC">
        <w:rPr>
          <w:rFonts w:ascii="Calibri"/>
        </w:rPr>
        <w:t>information</w:t>
      </w:r>
      <w:r w:rsidRPr="00150EDC">
        <w:rPr>
          <w:rFonts w:ascii="Calibri"/>
          <w:spacing w:val="-4"/>
        </w:rPr>
        <w:t xml:space="preserve"> </w:t>
      </w:r>
      <w:r w:rsidRPr="00150EDC">
        <w:rPr>
          <w:rFonts w:ascii="Calibri"/>
        </w:rPr>
        <w:t>requested</w:t>
      </w:r>
      <w:r w:rsidRPr="00150EDC">
        <w:rPr>
          <w:rFonts w:ascii="Calibri"/>
          <w:spacing w:val="-4"/>
        </w:rPr>
        <w:t xml:space="preserve"> </w:t>
      </w:r>
      <w:r w:rsidRPr="00150EDC">
        <w:rPr>
          <w:rFonts w:ascii="Calibri"/>
        </w:rPr>
        <w:t>by</w:t>
      </w:r>
      <w:r w:rsidRPr="00150EDC">
        <w:rPr>
          <w:rFonts w:ascii="Calibri"/>
          <w:spacing w:val="-2"/>
        </w:rPr>
        <w:t xml:space="preserve"> </w:t>
      </w:r>
      <w:r w:rsidRPr="00150EDC">
        <w:rPr>
          <w:rFonts w:ascii="Calibri"/>
        </w:rPr>
        <w:t>the</w:t>
      </w:r>
      <w:r w:rsidRPr="00150EDC">
        <w:rPr>
          <w:rFonts w:ascii="Calibri"/>
          <w:spacing w:val="-5"/>
        </w:rPr>
        <w:t xml:space="preserve"> </w:t>
      </w:r>
      <w:r w:rsidRPr="00150EDC">
        <w:rPr>
          <w:rFonts w:ascii="Calibri"/>
        </w:rPr>
        <w:t>Buyer</w:t>
      </w:r>
      <w:r w:rsidRPr="00150EDC">
        <w:rPr>
          <w:rFonts w:ascii="Calibri"/>
          <w:spacing w:val="-2"/>
        </w:rPr>
        <w:t xml:space="preserve"> </w:t>
      </w:r>
      <w:r w:rsidRPr="00150EDC">
        <w:rPr>
          <w:rFonts w:ascii="Calibri"/>
        </w:rPr>
        <w:t>within</w:t>
      </w:r>
      <w:r w:rsidRPr="00150EDC">
        <w:rPr>
          <w:rFonts w:ascii="Calibri"/>
          <w:spacing w:val="-4"/>
        </w:rPr>
        <w:t xml:space="preserve"> </w:t>
      </w:r>
      <w:r w:rsidRPr="00150EDC">
        <w:rPr>
          <w:rFonts w:ascii="Calibri"/>
        </w:rPr>
        <w:t>the</w:t>
      </w:r>
      <w:r w:rsidRPr="00150EDC">
        <w:rPr>
          <w:rFonts w:ascii="Calibri"/>
          <w:spacing w:val="-3"/>
        </w:rPr>
        <w:t xml:space="preserve"> </w:t>
      </w:r>
      <w:r w:rsidRPr="00150EDC">
        <w:rPr>
          <w:rFonts w:ascii="Calibri"/>
        </w:rPr>
        <w:t>time</w:t>
      </w:r>
      <w:r w:rsidRPr="00150EDC">
        <w:rPr>
          <w:rFonts w:ascii="Calibri"/>
          <w:spacing w:val="-2"/>
        </w:rPr>
        <w:t xml:space="preserve"> </w:t>
      </w:r>
      <w:r w:rsidRPr="00150EDC">
        <w:rPr>
          <w:rFonts w:ascii="Calibri"/>
        </w:rPr>
        <w:t>specified</w:t>
      </w:r>
      <w:r w:rsidRPr="00150EDC">
        <w:rPr>
          <w:rFonts w:ascii="Calibri"/>
          <w:spacing w:val="-4"/>
        </w:rPr>
        <w:t xml:space="preserve"> </w:t>
      </w:r>
      <w:r w:rsidRPr="00150EDC">
        <w:rPr>
          <w:rFonts w:ascii="Calibri"/>
        </w:rPr>
        <w:t>by</w:t>
      </w:r>
      <w:r w:rsidRPr="00150EDC">
        <w:rPr>
          <w:rFonts w:ascii="Calibri"/>
          <w:spacing w:val="-5"/>
        </w:rPr>
        <w:t xml:space="preserve"> </w:t>
      </w:r>
      <w:r w:rsidRPr="00150EDC">
        <w:rPr>
          <w:rFonts w:ascii="Calibri"/>
        </w:rPr>
        <w:t>the</w:t>
      </w:r>
      <w:r w:rsidRPr="00150EDC">
        <w:rPr>
          <w:rFonts w:ascii="Calibri"/>
          <w:spacing w:val="-4"/>
        </w:rPr>
        <w:t xml:space="preserve"> </w:t>
      </w:r>
      <w:r w:rsidRPr="00150EDC">
        <w:rPr>
          <w:rFonts w:ascii="Calibri"/>
          <w:spacing w:val="-2"/>
        </w:rPr>
        <w:t>Buyer;</w:t>
      </w:r>
    </w:p>
    <w:p w14:paraId="0A773644" w14:textId="77777777" w:rsidR="004C7180" w:rsidRPr="00150EDC" w:rsidRDefault="00CF0754" w:rsidP="00B320C7">
      <w:pPr>
        <w:pStyle w:val="ListParagraph"/>
        <w:numPr>
          <w:ilvl w:val="0"/>
          <w:numId w:val="140"/>
        </w:numPr>
        <w:tabs>
          <w:tab w:val="left" w:pos="1492"/>
          <w:tab w:val="left" w:pos="1494"/>
        </w:tabs>
        <w:spacing w:before="19"/>
        <w:ind w:right="649"/>
        <w:rPr>
          <w:rFonts w:ascii="Calibri" w:hAnsi="Calibri"/>
          <w:sz w:val="24"/>
        </w:rPr>
      </w:pPr>
      <w:r w:rsidRPr="00150EDC">
        <w:rPr>
          <w:rFonts w:ascii="Calibri" w:hAnsi="Calibri"/>
          <w:sz w:val="24"/>
        </w:rPr>
        <w:t>the</w:t>
      </w:r>
      <w:r w:rsidRPr="00150EDC">
        <w:rPr>
          <w:rFonts w:ascii="Calibri" w:hAnsi="Calibri"/>
          <w:spacing w:val="-5"/>
          <w:sz w:val="24"/>
        </w:rPr>
        <w:t xml:space="preserve"> </w:t>
      </w:r>
      <w:r w:rsidRPr="00150EDC">
        <w:rPr>
          <w:rFonts w:ascii="Calibri" w:hAnsi="Calibri"/>
          <w:sz w:val="24"/>
        </w:rPr>
        <w:t>Worker’s</w:t>
      </w:r>
      <w:r w:rsidRPr="00150EDC">
        <w:rPr>
          <w:rFonts w:ascii="Calibri" w:hAnsi="Calibri"/>
          <w:spacing w:val="-4"/>
          <w:sz w:val="24"/>
        </w:rPr>
        <w:t xml:space="preserve"> </w:t>
      </w:r>
      <w:r w:rsidRPr="00150EDC">
        <w:rPr>
          <w:rFonts w:ascii="Calibri" w:hAnsi="Calibri"/>
          <w:sz w:val="24"/>
        </w:rPr>
        <w:t>contract</w:t>
      </w:r>
      <w:r w:rsidRPr="00150EDC">
        <w:rPr>
          <w:rFonts w:ascii="Calibri" w:hAnsi="Calibri"/>
          <w:spacing w:val="-2"/>
          <w:sz w:val="24"/>
        </w:rPr>
        <w:t xml:space="preserve"> </w:t>
      </w:r>
      <w:r w:rsidRPr="00150EDC">
        <w:rPr>
          <w:rFonts w:ascii="Calibri" w:hAnsi="Calibri"/>
          <w:sz w:val="24"/>
        </w:rPr>
        <w:t>may</w:t>
      </w:r>
      <w:r w:rsidRPr="00150EDC">
        <w:rPr>
          <w:rFonts w:ascii="Calibri" w:hAnsi="Calibri"/>
          <w:spacing w:val="-3"/>
          <w:sz w:val="24"/>
        </w:rPr>
        <w:t xml:space="preserve"> </w:t>
      </w:r>
      <w:r w:rsidRPr="00150EDC">
        <w:rPr>
          <w:rFonts w:ascii="Calibri" w:hAnsi="Calibri"/>
          <w:sz w:val="24"/>
        </w:rPr>
        <w:t>be</w:t>
      </w:r>
      <w:r w:rsidRPr="00150EDC">
        <w:rPr>
          <w:rFonts w:ascii="Calibri" w:hAnsi="Calibri"/>
          <w:spacing w:val="-4"/>
          <w:sz w:val="24"/>
        </w:rPr>
        <w:t xml:space="preserve"> </w:t>
      </w:r>
      <w:r w:rsidRPr="00150EDC">
        <w:rPr>
          <w:rFonts w:ascii="Calibri" w:hAnsi="Calibri"/>
          <w:sz w:val="24"/>
        </w:rPr>
        <w:t>terminated</w:t>
      </w:r>
      <w:r w:rsidRPr="00150EDC">
        <w:rPr>
          <w:rFonts w:ascii="Calibri" w:hAnsi="Calibri"/>
          <w:spacing w:val="-4"/>
          <w:sz w:val="24"/>
        </w:rPr>
        <w:t xml:space="preserve"> </w:t>
      </w:r>
      <w:r w:rsidRPr="00150EDC">
        <w:rPr>
          <w:rFonts w:ascii="Calibri" w:hAnsi="Calibri"/>
          <w:sz w:val="24"/>
        </w:rPr>
        <w:t>at</w:t>
      </w:r>
      <w:r w:rsidRPr="00150EDC">
        <w:rPr>
          <w:rFonts w:ascii="Calibri" w:hAnsi="Calibri"/>
          <w:spacing w:val="-4"/>
          <w:sz w:val="24"/>
        </w:rPr>
        <w:t xml:space="preserve"> </w:t>
      </w:r>
      <w:r w:rsidRPr="00150EDC">
        <w:rPr>
          <w:rFonts w:ascii="Calibri" w:hAnsi="Calibri"/>
          <w:sz w:val="24"/>
        </w:rPr>
        <w:t>the</w:t>
      </w:r>
      <w:r w:rsidRPr="00150EDC">
        <w:rPr>
          <w:rFonts w:ascii="Calibri" w:hAnsi="Calibri"/>
          <w:spacing w:val="-4"/>
          <w:sz w:val="24"/>
        </w:rPr>
        <w:t xml:space="preserve"> </w:t>
      </w:r>
      <w:r w:rsidRPr="00150EDC">
        <w:rPr>
          <w:rFonts w:ascii="Calibri" w:hAnsi="Calibri"/>
          <w:sz w:val="24"/>
        </w:rPr>
        <w:t>Buyer’s</w:t>
      </w:r>
      <w:r w:rsidRPr="00150EDC">
        <w:rPr>
          <w:rFonts w:ascii="Calibri" w:hAnsi="Calibri"/>
          <w:spacing w:val="-3"/>
          <w:sz w:val="24"/>
        </w:rPr>
        <w:t xml:space="preserve"> </w:t>
      </w:r>
      <w:r w:rsidRPr="00150EDC">
        <w:rPr>
          <w:rFonts w:ascii="Calibri" w:hAnsi="Calibri"/>
          <w:sz w:val="24"/>
        </w:rPr>
        <w:t>request</w:t>
      </w:r>
      <w:r w:rsidRPr="00150EDC">
        <w:rPr>
          <w:rFonts w:ascii="Calibri" w:hAnsi="Calibri"/>
          <w:spacing w:val="-4"/>
          <w:sz w:val="24"/>
        </w:rPr>
        <w:t xml:space="preserve"> </w:t>
      </w:r>
      <w:r w:rsidRPr="00150EDC">
        <w:rPr>
          <w:rFonts w:ascii="Calibri" w:hAnsi="Calibri"/>
          <w:sz w:val="24"/>
        </w:rPr>
        <w:t>if</w:t>
      </w:r>
      <w:r w:rsidRPr="00150EDC">
        <w:rPr>
          <w:rFonts w:ascii="Calibri" w:hAnsi="Calibri"/>
          <w:spacing w:val="-4"/>
          <w:sz w:val="24"/>
        </w:rPr>
        <w:t xml:space="preserve"> </w:t>
      </w:r>
      <w:r w:rsidRPr="00150EDC">
        <w:rPr>
          <w:rFonts w:ascii="Calibri" w:hAnsi="Calibri"/>
          <w:sz w:val="24"/>
        </w:rPr>
        <w:t>the</w:t>
      </w:r>
      <w:r w:rsidRPr="00150EDC">
        <w:rPr>
          <w:rFonts w:ascii="Calibri" w:hAnsi="Calibri"/>
          <w:spacing w:val="-2"/>
          <w:sz w:val="24"/>
        </w:rPr>
        <w:t xml:space="preserve"> </w:t>
      </w:r>
      <w:r w:rsidRPr="00150EDC">
        <w:rPr>
          <w:rFonts w:ascii="Calibri" w:hAnsi="Calibri"/>
          <w:sz w:val="24"/>
        </w:rPr>
        <w:t>Worker</w:t>
      </w:r>
      <w:r w:rsidRPr="00150EDC">
        <w:rPr>
          <w:rFonts w:ascii="Calibri" w:hAnsi="Calibri"/>
          <w:spacing w:val="-2"/>
          <w:sz w:val="24"/>
        </w:rPr>
        <w:t xml:space="preserve"> </w:t>
      </w:r>
      <w:r w:rsidRPr="00150EDC">
        <w:rPr>
          <w:rFonts w:ascii="Calibri" w:hAnsi="Calibri"/>
          <w:sz w:val="24"/>
        </w:rPr>
        <w:t>provides</w:t>
      </w:r>
      <w:r w:rsidRPr="00150EDC">
        <w:rPr>
          <w:rFonts w:ascii="Calibri" w:hAnsi="Calibri"/>
          <w:spacing w:val="-3"/>
          <w:sz w:val="24"/>
        </w:rPr>
        <w:t xml:space="preserve"> </w:t>
      </w:r>
      <w:r w:rsidRPr="00150EDC">
        <w:rPr>
          <w:rFonts w:ascii="Calibri" w:hAnsi="Calibri"/>
          <w:sz w:val="24"/>
        </w:rPr>
        <w:t>information which the Buyer considers is not good enough to demonstrate how it complies with Clause 31.3 or confirms that the Worker is not complying with those requirements; and</w:t>
      </w:r>
    </w:p>
    <w:p w14:paraId="1A69851B" w14:textId="77777777" w:rsidR="004C7180" w:rsidRPr="00150EDC" w:rsidRDefault="00CF0754" w:rsidP="00B320C7">
      <w:pPr>
        <w:pStyle w:val="ListParagraph"/>
        <w:numPr>
          <w:ilvl w:val="0"/>
          <w:numId w:val="140"/>
        </w:numPr>
        <w:tabs>
          <w:tab w:val="left" w:pos="1491"/>
          <w:tab w:val="left" w:pos="1494"/>
        </w:tabs>
        <w:spacing w:before="19" w:line="242" w:lineRule="auto"/>
        <w:ind w:right="577"/>
        <w:rPr>
          <w:rFonts w:ascii="Calibri"/>
          <w:sz w:val="24"/>
        </w:rPr>
      </w:pPr>
      <w:r w:rsidRPr="00150EDC">
        <w:rPr>
          <w:rFonts w:ascii="Calibri"/>
          <w:sz w:val="24"/>
        </w:rPr>
        <w:t>the</w:t>
      </w:r>
      <w:r w:rsidRPr="00150EDC">
        <w:rPr>
          <w:rFonts w:ascii="Calibri"/>
          <w:spacing w:val="-4"/>
          <w:sz w:val="24"/>
        </w:rPr>
        <w:t xml:space="preserve"> </w:t>
      </w:r>
      <w:r w:rsidRPr="00150EDC">
        <w:rPr>
          <w:rFonts w:ascii="Calibri"/>
          <w:sz w:val="24"/>
        </w:rPr>
        <w:t>Buyer</w:t>
      </w:r>
      <w:r w:rsidRPr="00150EDC">
        <w:rPr>
          <w:rFonts w:ascii="Calibri"/>
          <w:spacing w:val="-3"/>
          <w:sz w:val="24"/>
        </w:rPr>
        <w:t xml:space="preserve"> </w:t>
      </w:r>
      <w:r w:rsidRPr="00150EDC">
        <w:rPr>
          <w:rFonts w:ascii="Calibri"/>
          <w:sz w:val="24"/>
        </w:rPr>
        <w:t>may</w:t>
      </w:r>
      <w:r w:rsidRPr="00150EDC">
        <w:rPr>
          <w:rFonts w:ascii="Calibri"/>
          <w:spacing w:val="-3"/>
          <w:sz w:val="24"/>
        </w:rPr>
        <w:t xml:space="preserve"> </w:t>
      </w:r>
      <w:r w:rsidRPr="00150EDC">
        <w:rPr>
          <w:rFonts w:ascii="Calibri"/>
          <w:sz w:val="24"/>
        </w:rPr>
        <w:t>supply</w:t>
      </w:r>
      <w:r w:rsidRPr="00150EDC">
        <w:rPr>
          <w:rFonts w:ascii="Calibri"/>
          <w:spacing w:val="-3"/>
          <w:sz w:val="24"/>
        </w:rPr>
        <w:t xml:space="preserve"> </w:t>
      </w:r>
      <w:r w:rsidRPr="00150EDC">
        <w:rPr>
          <w:rFonts w:ascii="Calibri"/>
          <w:sz w:val="24"/>
        </w:rPr>
        <w:t>any</w:t>
      </w:r>
      <w:r w:rsidRPr="00150EDC">
        <w:rPr>
          <w:rFonts w:ascii="Calibri"/>
          <w:spacing w:val="-3"/>
          <w:sz w:val="24"/>
        </w:rPr>
        <w:t xml:space="preserve"> </w:t>
      </w:r>
      <w:r w:rsidRPr="00150EDC">
        <w:rPr>
          <w:rFonts w:ascii="Calibri"/>
          <w:sz w:val="24"/>
        </w:rPr>
        <w:t>information</w:t>
      </w:r>
      <w:r w:rsidRPr="00150EDC">
        <w:rPr>
          <w:rFonts w:ascii="Calibri"/>
          <w:spacing w:val="-3"/>
          <w:sz w:val="24"/>
        </w:rPr>
        <w:t xml:space="preserve"> </w:t>
      </w:r>
      <w:r w:rsidRPr="00150EDC">
        <w:rPr>
          <w:rFonts w:ascii="Calibri"/>
          <w:sz w:val="24"/>
        </w:rPr>
        <w:t>they</w:t>
      </w:r>
      <w:r w:rsidRPr="00150EDC">
        <w:rPr>
          <w:rFonts w:ascii="Calibri"/>
          <w:spacing w:val="-3"/>
          <w:sz w:val="24"/>
        </w:rPr>
        <w:t xml:space="preserve"> </w:t>
      </w:r>
      <w:r w:rsidRPr="00150EDC">
        <w:rPr>
          <w:rFonts w:ascii="Calibri"/>
          <w:sz w:val="24"/>
        </w:rPr>
        <w:t>receive</w:t>
      </w:r>
      <w:r w:rsidRPr="00150EDC">
        <w:rPr>
          <w:rFonts w:ascii="Calibri"/>
          <w:spacing w:val="-2"/>
          <w:sz w:val="24"/>
        </w:rPr>
        <w:t xml:space="preserve"> </w:t>
      </w:r>
      <w:r w:rsidRPr="00150EDC">
        <w:rPr>
          <w:rFonts w:ascii="Calibri"/>
          <w:sz w:val="24"/>
        </w:rPr>
        <w:t>from</w:t>
      </w:r>
      <w:r w:rsidRPr="00150EDC">
        <w:rPr>
          <w:rFonts w:ascii="Calibri"/>
          <w:spacing w:val="-3"/>
          <w:sz w:val="24"/>
        </w:rPr>
        <w:t xml:space="preserve"> </w:t>
      </w:r>
      <w:r w:rsidRPr="00150EDC">
        <w:rPr>
          <w:rFonts w:ascii="Calibri"/>
          <w:sz w:val="24"/>
        </w:rPr>
        <w:t>the</w:t>
      </w:r>
      <w:r w:rsidRPr="00150EDC">
        <w:rPr>
          <w:rFonts w:ascii="Calibri"/>
          <w:spacing w:val="-4"/>
          <w:sz w:val="24"/>
        </w:rPr>
        <w:t xml:space="preserve"> </w:t>
      </w:r>
      <w:r w:rsidRPr="00150EDC">
        <w:rPr>
          <w:rFonts w:ascii="Calibri"/>
          <w:sz w:val="24"/>
        </w:rPr>
        <w:t>Worker</w:t>
      </w:r>
      <w:r w:rsidRPr="00150EDC">
        <w:rPr>
          <w:rFonts w:ascii="Calibri"/>
          <w:spacing w:val="-3"/>
          <w:sz w:val="24"/>
        </w:rPr>
        <w:t xml:space="preserve"> </w:t>
      </w:r>
      <w:r w:rsidRPr="00150EDC">
        <w:rPr>
          <w:rFonts w:ascii="Calibri"/>
          <w:sz w:val="24"/>
        </w:rPr>
        <w:t>to</w:t>
      </w:r>
      <w:r w:rsidRPr="00150EDC">
        <w:rPr>
          <w:rFonts w:ascii="Calibri"/>
          <w:spacing w:val="-2"/>
          <w:sz w:val="24"/>
        </w:rPr>
        <w:t xml:space="preserve"> </w:t>
      </w:r>
      <w:r w:rsidRPr="00150EDC">
        <w:rPr>
          <w:rFonts w:ascii="Calibri"/>
          <w:sz w:val="24"/>
        </w:rPr>
        <w:t>HMRC</w:t>
      </w:r>
      <w:r w:rsidRPr="00150EDC">
        <w:rPr>
          <w:rFonts w:ascii="Calibri"/>
          <w:spacing w:val="-3"/>
          <w:sz w:val="24"/>
        </w:rPr>
        <w:t xml:space="preserve"> </w:t>
      </w:r>
      <w:r w:rsidRPr="00150EDC">
        <w:rPr>
          <w:rFonts w:ascii="Calibri"/>
          <w:sz w:val="24"/>
        </w:rPr>
        <w:t>for</w:t>
      </w:r>
      <w:r w:rsidRPr="00150EDC">
        <w:rPr>
          <w:rFonts w:ascii="Calibri"/>
          <w:spacing w:val="-3"/>
          <w:sz w:val="24"/>
        </w:rPr>
        <w:t xml:space="preserve"> </w:t>
      </w:r>
      <w:r w:rsidRPr="00150EDC">
        <w:rPr>
          <w:rFonts w:ascii="Calibri"/>
          <w:sz w:val="24"/>
        </w:rPr>
        <w:t>revenue</w:t>
      </w:r>
      <w:r w:rsidRPr="00150EDC">
        <w:rPr>
          <w:rFonts w:ascii="Calibri"/>
          <w:spacing w:val="-4"/>
          <w:sz w:val="24"/>
        </w:rPr>
        <w:t xml:space="preserve"> </w:t>
      </w:r>
      <w:r w:rsidRPr="00150EDC">
        <w:rPr>
          <w:rFonts w:ascii="Calibri"/>
          <w:sz w:val="24"/>
        </w:rPr>
        <w:t>collection and management.</w:t>
      </w:r>
    </w:p>
    <w:p w14:paraId="5D240B56" w14:textId="77777777" w:rsidR="004C7180" w:rsidRPr="00150EDC" w:rsidRDefault="004C7180">
      <w:pPr>
        <w:pStyle w:val="BodyText"/>
        <w:spacing w:before="6"/>
        <w:rPr>
          <w:rFonts w:ascii="Calibri"/>
          <w:sz w:val="25"/>
        </w:rPr>
      </w:pPr>
    </w:p>
    <w:p w14:paraId="4AD3DABA" w14:textId="77777777" w:rsidR="004C7180" w:rsidRPr="00150EDC" w:rsidRDefault="00CF0754" w:rsidP="00B320C7">
      <w:pPr>
        <w:pStyle w:val="Heading1"/>
        <w:numPr>
          <w:ilvl w:val="0"/>
          <w:numId w:val="182"/>
        </w:numPr>
        <w:tabs>
          <w:tab w:val="left" w:pos="1217"/>
        </w:tabs>
        <w:spacing w:before="1"/>
        <w:ind w:left="1217" w:hanging="650"/>
        <w:jc w:val="left"/>
        <w:rPr>
          <w:rFonts w:ascii="Calibri"/>
        </w:rPr>
      </w:pPr>
      <w:r w:rsidRPr="00150EDC">
        <w:rPr>
          <w:rFonts w:ascii="Calibri"/>
        </w:rPr>
        <w:t>Conflict</w:t>
      </w:r>
      <w:r w:rsidRPr="00150EDC">
        <w:rPr>
          <w:rFonts w:ascii="Calibri"/>
          <w:spacing w:val="-4"/>
        </w:rPr>
        <w:t xml:space="preserve"> </w:t>
      </w:r>
      <w:r w:rsidRPr="00150EDC">
        <w:rPr>
          <w:rFonts w:ascii="Calibri"/>
        </w:rPr>
        <w:t>of</w:t>
      </w:r>
      <w:r w:rsidRPr="00150EDC">
        <w:rPr>
          <w:rFonts w:ascii="Calibri"/>
          <w:spacing w:val="-4"/>
        </w:rPr>
        <w:t xml:space="preserve"> </w:t>
      </w:r>
      <w:r w:rsidRPr="00150EDC">
        <w:rPr>
          <w:rFonts w:ascii="Calibri"/>
          <w:spacing w:val="-2"/>
        </w:rPr>
        <w:t>interest</w:t>
      </w:r>
    </w:p>
    <w:p w14:paraId="3C7AEE68" w14:textId="77777777" w:rsidR="004C7180" w:rsidRPr="00150EDC" w:rsidRDefault="00CF0754" w:rsidP="00B320C7">
      <w:pPr>
        <w:pStyle w:val="ListParagraph"/>
        <w:numPr>
          <w:ilvl w:val="1"/>
          <w:numId w:val="182"/>
        </w:numPr>
        <w:tabs>
          <w:tab w:val="left" w:pos="1064"/>
          <w:tab w:val="left" w:pos="1066"/>
        </w:tabs>
        <w:spacing w:before="18"/>
        <w:ind w:right="640"/>
        <w:rPr>
          <w:rFonts w:ascii="Calibri"/>
          <w:sz w:val="24"/>
        </w:rPr>
      </w:pPr>
      <w:r w:rsidRPr="00150EDC">
        <w:rPr>
          <w:rFonts w:ascii="Calibri"/>
          <w:sz w:val="24"/>
        </w:rPr>
        <w:t>The</w:t>
      </w:r>
      <w:r w:rsidRPr="00150EDC">
        <w:rPr>
          <w:rFonts w:ascii="Calibri"/>
          <w:spacing w:val="-1"/>
          <w:sz w:val="24"/>
        </w:rPr>
        <w:t xml:space="preserve"> </w:t>
      </w:r>
      <w:r w:rsidRPr="00150EDC">
        <w:rPr>
          <w:rFonts w:ascii="Calibri"/>
          <w:sz w:val="24"/>
        </w:rPr>
        <w:t>Supplier</w:t>
      </w:r>
      <w:r w:rsidRPr="00150EDC">
        <w:rPr>
          <w:rFonts w:ascii="Calibri"/>
          <w:spacing w:val="-3"/>
          <w:sz w:val="24"/>
        </w:rPr>
        <w:t xml:space="preserve"> </w:t>
      </w:r>
      <w:r w:rsidRPr="00150EDC">
        <w:rPr>
          <w:rFonts w:ascii="Calibri"/>
          <w:sz w:val="24"/>
        </w:rPr>
        <w:t>must</w:t>
      </w:r>
      <w:r w:rsidRPr="00150EDC">
        <w:rPr>
          <w:rFonts w:ascii="Calibri"/>
          <w:spacing w:val="-1"/>
          <w:sz w:val="24"/>
        </w:rPr>
        <w:t xml:space="preserve"> </w:t>
      </w:r>
      <w:r w:rsidRPr="00150EDC">
        <w:rPr>
          <w:rFonts w:ascii="Calibri"/>
          <w:sz w:val="24"/>
        </w:rPr>
        <w:t>take</w:t>
      </w:r>
      <w:r w:rsidRPr="00150EDC">
        <w:rPr>
          <w:rFonts w:ascii="Calibri"/>
          <w:spacing w:val="-1"/>
          <w:sz w:val="24"/>
        </w:rPr>
        <w:t xml:space="preserve"> </w:t>
      </w:r>
      <w:r w:rsidRPr="00150EDC">
        <w:rPr>
          <w:rFonts w:ascii="Calibri"/>
          <w:sz w:val="24"/>
        </w:rPr>
        <w:t>action</w:t>
      </w:r>
      <w:r w:rsidRPr="00150EDC">
        <w:rPr>
          <w:rFonts w:ascii="Calibri"/>
          <w:spacing w:val="-2"/>
          <w:sz w:val="24"/>
        </w:rPr>
        <w:t xml:space="preserve"> </w:t>
      </w:r>
      <w:r w:rsidRPr="00150EDC">
        <w:rPr>
          <w:rFonts w:ascii="Calibri"/>
          <w:sz w:val="24"/>
        </w:rPr>
        <w:t>to</w:t>
      </w:r>
      <w:r w:rsidRPr="00150EDC">
        <w:rPr>
          <w:rFonts w:ascii="Calibri"/>
          <w:spacing w:val="-4"/>
          <w:sz w:val="24"/>
        </w:rPr>
        <w:t xml:space="preserve"> </w:t>
      </w:r>
      <w:r w:rsidRPr="00150EDC">
        <w:rPr>
          <w:rFonts w:ascii="Calibri"/>
          <w:sz w:val="24"/>
        </w:rPr>
        <w:t>ensure</w:t>
      </w:r>
      <w:r w:rsidRPr="00150EDC">
        <w:rPr>
          <w:rFonts w:ascii="Calibri"/>
          <w:spacing w:val="-3"/>
          <w:sz w:val="24"/>
        </w:rPr>
        <w:t xml:space="preserve"> </w:t>
      </w:r>
      <w:r w:rsidRPr="00150EDC">
        <w:rPr>
          <w:rFonts w:ascii="Calibri"/>
          <w:sz w:val="24"/>
        </w:rPr>
        <w:t>that</w:t>
      </w:r>
      <w:r w:rsidRPr="00150EDC">
        <w:rPr>
          <w:rFonts w:ascii="Calibri"/>
          <w:spacing w:val="-3"/>
          <w:sz w:val="24"/>
        </w:rPr>
        <w:t xml:space="preserve"> </w:t>
      </w:r>
      <w:r w:rsidRPr="00150EDC">
        <w:rPr>
          <w:rFonts w:ascii="Calibri"/>
          <w:sz w:val="24"/>
        </w:rPr>
        <w:t>neither</w:t>
      </w:r>
      <w:r w:rsidRPr="00150EDC">
        <w:rPr>
          <w:rFonts w:ascii="Calibri"/>
          <w:spacing w:val="-3"/>
          <w:sz w:val="24"/>
        </w:rPr>
        <w:t xml:space="preserve"> </w:t>
      </w:r>
      <w:r w:rsidRPr="00150EDC">
        <w:rPr>
          <w:rFonts w:ascii="Calibri"/>
          <w:sz w:val="24"/>
        </w:rPr>
        <w:t>the Supplier</w:t>
      </w:r>
      <w:r w:rsidRPr="00150EDC">
        <w:rPr>
          <w:rFonts w:ascii="Calibri"/>
          <w:spacing w:val="-3"/>
          <w:sz w:val="24"/>
        </w:rPr>
        <w:t xml:space="preserve"> </w:t>
      </w:r>
      <w:r w:rsidRPr="00150EDC">
        <w:rPr>
          <w:rFonts w:ascii="Calibri"/>
          <w:sz w:val="24"/>
        </w:rPr>
        <w:t>nor</w:t>
      </w:r>
      <w:r w:rsidRPr="00150EDC">
        <w:rPr>
          <w:rFonts w:ascii="Calibri"/>
          <w:spacing w:val="-3"/>
          <w:sz w:val="24"/>
        </w:rPr>
        <w:t xml:space="preserve"> </w:t>
      </w:r>
      <w:r w:rsidRPr="00150EDC">
        <w:rPr>
          <w:rFonts w:ascii="Calibri"/>
          <w:sz w:val="24"/>
        </w:rPr>
        <w:t>the</w:t>
      </w:r>
      <w:r w:rsidRPr="00150EDC">
        <w:rPr>
          <w:rFonts w:ascii="Calibri"/>
          <w:spacing w:val="-3"/>
          <w:sz w:val="24"/>
        </w:rPr>
        <w:t xml:space="preserve"> </w:t>
      </w:r>
      <w:r w:rsidRPr="00150EDC">
        <w:rPr>
          <w:rFonts w:ascii="Calibri"/>
          <w:sz w:val="24"/>
        </w:rPr>
        <w:t>Supplier</w:t>
      </w:r>
      <w:r w:rsidRPr="00150EDC">
        <w:rPr>
          <w:rFonts w:ascii="Calibri"/>
          <w:spacing w:val="-1"/>
          <w:sz w:val="24"/>
        </w:rPr>
        <w:t xml:space="preserve"> </w:t>
      </w:r>
      <w:r w:rsidRPr="00150EDC">
        <w:rPr>
          <w:rFonts w:ascii="Calibri"/>
          <w:sz w:val="24"/>
        </w:rPr>
        <w:t>Staff</w:t>
      </w:r>
      <w:r w:rsidRPr="00150EDC">
        <w:rPr>
          <w:rFonts w:ascii="Calibri"/>
          <w:spacing w:val="-1"/>
          <w:sz w:val="24"/>
        </w:rPr>
        <w:t xml:space="preserve"> </w:t>
      </w:r>
      <w:r w:rsidRPr="00150EDC">
        <w:rPr>
          <w:rFonts w:ascii="Calibri"/>
          <w:sz w:val="24"/>
        </w:rPr>
        <w:t>are</w:t>
      </w:r>
      <w:r w:rsidRPr="00150EDC">
        <w:rPr>
          <w:rFonts w:ascii="Calibri"/>
          <w:spacing w:val="-3"/>
          <w:sz w:val="24"/>
        </w:rPr>
        <w:t xml:space="preserve"> </w:t>
      </w:r>
      <w:r w:rsidRPr="00150EDC">
        <w:rPr>
          <w:rFonts w:ascii="Calibri"/>
          <w:sz w:val="24"/>
        </w:rPr>
        <w:t>placed</w:t>
      </w:r>
      <w:r w:rsidRPr="00150EDC">
        <w:rPr>
          <w:rFonts w:ascii="Calibri"/>
          <w:spacing w:val="-5"/>
          <w:sz w:val="24"/>
        </w:rPr>
        <w:t xml:space="preserve"> </w:t>
      </w:r>
      <w:r w:rsidRPr="00150EDC">
        <w:rPr>
          <w:rFonts w:ascii="Calibri"/>
          <w:sz w:val="24"/>
        </w:rPr>
        <w:t>in</w:t>
      </w:r>
      <w:r w:rsidRPr="00150EDC">
        <w:rPr>
          <w:rFonts w:ascii="Calibri"/>
          <w:spacing w:val="-1"/>
          <w:sz w:val="24"/>
        </w:rPr>
        <w:t xml:space="preserve"> </w:t>
      </w:r>
      <w:r w:rsidRPr="00150EDC">
        <w:rPr>
          <w:rFonts w:ascii="Calibri"/>
          <w:sz w:val="24"/>
        </w:rPr>
        <w:t>the position of an actual or potential Conflict of Interest.</w:t>
      </w:r>
    </w:p>
    <w:p w14:paraId="5318E7A4" w14:textId="77777777" w:rsidR="004C7180" w:rsidRPr="00150EDC" w:rsidRDefault="004C7180">
      <w:pPr>
        <w:pStyle w:val="BodyText"/>
        <w:spacing w:before="11"/>
        <w:rPr>
          <w:rFonts w:ascii="Calibri"/>
          <w:sz w:val="23"/>
        </w:rPr>
      </w:pPr>
    </w:p>
    <w:p w14:paraId="7D7B72F0" w14:textId="77777777" w:rsidR="004C7180" w:rsidRPr="00150EDC" w:rsidRDefault="00CF0754" w:rsidP="00B320C7">
      <w:pPr>
        <w:pStyle w:val="ListParagraph"/>
        <w:numPr>
          <w:ilvl w:val="1"/>
          <w:numId w:val="182"/>
        </w:numPr>
        <w:tabs>
          <w:tab w:val="left" w:pos="1064"/>
          <w:tab w:val="left" w:pos="1066"/>
        </w:tabs>
        <w:ind w:right="1081"/>
        <w:rPr>
          <w:rFonts w:ascii="Calibri"/>
          <w:sz w:val="24"/>
        </w:rPr>
      </w:pPr>
      <w:r w:rsidRPr="00150EDC">
        <w:rPr>
          <w:rFonts w:ascii="Calibri"/>
          <w:sz w:val="24"/>
        </w:rPr>
        <w:t>The</w:t>
      </w:r>
      <w:r w:rsidRPr="00150EDC">
        <w:rPr>
          <w:rFonts w:ascii="Calibri"/>
          <w:spacing w:val="-2"/>
          <w:sz w:val="24"/>
        </w:rPr>
        <w:t xml:space="preserve"> </w:t>
      </w:r>
      <w:r w:rsidRPr="00150EDC">
        <w:rPr>
          <w:rFonts w:ascii="Calibri"/>
          <w:sz w:val="24"/>
        </w:rPr>
        <w:t>Supplier</w:t>
      </w:r>
      <w:r w:rsidRPr="00150EDC">
        <w:rPr>
          <w:rFonts w:ascii="Calibri"/>
          <w:spacing w:val="-4"/>
          <w:sz w:val="24"/>
        </w:rPr>
        <w:t xml:space="preserve"> </w:t>
      </w:r>
      <w:r w:rsidRPr="00150EDC">
        <w:rPr>
          <w:rFonts w:ascii="Calibri"/>
          <w:sz w:val="24"/>
        </w:rPr>
        <w:t>must</w:t>
      </w:r>
      <w:r w:rsidRPr="00150EDC">
        <w:rPr>
          <w:rFonts w:ascii="Calibri"/>
          <w:spacing w:val="-2"/>
          <w:sz w:val="24"/>
        </w:rPr>
        <w:t xml:space="preserve"> </w:t>
      </w:r>
      <w:r w:rsidRPr="00150EDC">
        <w:rPr>
          <w:rFonts w:ascii="Calibri"/>
          <w:sz w:val="24"/>
        </w:rPr>
        <w:t>promptly</w:t>
      </w:r>
      <w:r w:rsidRPr="00150EDC">
        <w:rPr>
          <w:rFonts w:ascii="Calibri"/>
          <w:spacing w:val="-5"/>
          <w:sz w:val="24"/>
        </w:rPr>
        <w:t xml:space="preserve"> </w:t>
      </w:r>
      <w:r w:rsidRPr="00150EDC">
        <w:rPr>
          <w:rFonts w:ascii="Calibri"/>
          <w:sz w:val="24"/>
        </w:rPr>
        <w:t>notify</w:t>
      </w:r>
      <w:r w:rsidRPr="00150EDC">
        <w:rPr>
          <w:rFonts w:ascii="Calibri"/>
          <w:spacing w:val="-3"/>
          <w:sz w:val="24"/>
        </w:rPr>
        <w:t xml:space="preserve"> </w:t>
      </w:r>
      <w:r w:rsidRPr="00150EDC">
        <w:rPr>
          <w:rFonts w:ascii="Calibri"/>
          <w:sz w:val="24"/>
        </w:rPr>
        <w:t>and</w:t>
      </w:r>
      <w:r w:rsidRPr="00150EDC">
        <w:rPr>
          <w:rFonts w:ascii="Calibri"/>
          <w:spacing w:val="-4"/>
          <w:sz w:val="24"/>
        </w:rPr>
        <w:t xml:space="preserve"> </w:t>
      </w:r>
      <w:r w:rsidRPr="00150EDC">
        <w:rPr>
          <w:rFonts w:ascii="Calibri"/>
          <w:sz w:val="24"/>
        </w:rPr>
        <w:t>provide</w:t>
      </w:r>
      <w:r w:rsidRPr="00150EDC">
        <w:rPr>
          <w:rFonts w:ascii="Calibri"/>
          <w:spacing w:val="-4"/>
          <w:sz w:val="24"/>
        </w:rPr>
        <w:t xml:space="preserve"> </w:t>
      </w:r>
      <w:r w:rsidRPr="00150EDC">
        <w:rPr>
          <w:rFonts w:ascii="Calibri"/>
          <w:sz w:val="24"/>
        </w:rPr>
        <w:t>details</w:t>
      </w:r>
      <w:r w:rsidRPr="00150EDC">
        <w:rPr>
          <w:rFonts w:ascii="Calibri"/>
          <w:spacing w:val="-4"/>
          <w:sz w:val="24"/>
        </w:rPr>
        <w:t xml:space="preserve"> </w:t>
      </w:r>
      <w:r w:rsidRPr="00150EDC">
        <w:rPr>
          <w:rFonts w:ascii="Calibri"/>
          <w:sz w:val="24"/>
        </w:rPr>
        <w:t>to</w:t>
      </w:r>
      <w:r w:rsidRPr="00150EDC">
        <w:rPr>
          <w:rFonts w:ascii="Calibri"/>
          <w:spacing w:val="-2"/>
          <w:sz w:val="24"/>
        </w:rPr>
        <w:t xml:space="preserve"> </w:t>
      </w:r>
      <w:r w:rsidRPr="00150EDC">
        <w:rPr>
          <w:rFonts w:ascii="Calibri"/>
          <w:sz w:val="24"/>
        </w:rPr>
        <w:t>CCS</w:t>
      </w:r>
      <w:r w:rsidRPr="00150EDC">
        <w:rPr>
          <w:rFonts w:ascii="Calibri"/>
          <w:spacing w:val="-3"/>
          <w:sz w:val="24"/>
        </w:rPr>
        <w:t xml:space="preserve"> </w:t>
      </w:r>
      <w:r w:rsidRPr="00150EDC">
        <w:rPr>
          <w:rFonts w:ascii="Calibri"/>
          <w:sz w:val="24"/>
        </w:rPr>
        <w:t>and</w:t>
      </w:r>
      <w:r w:rsidRPr="00150EDC">
        <w:rPr>
          <w:rFonts w:ascii="Calibri"/>
          <w:spacing w:val="-4"/>
          <w:sz w:val="24"/>
        </w:rPr>
        <w:t xml:space="preserve"> </w:t>
      </w:r>
      <w:r w:rsidRPr="00150EDC">
        <w:rPr>
          <w:rFonts w:ascii="Calibri"/>
          <w:sz w:val="24"/>
        </w:rPr>
        <w:t>each</w:t>
      </w:r>
      <w:r w:rsidRPr="00150EDC">
        <w:rPr>
          <w:rFonts w:ascii="Calibri"/>
          <w:spacing w:val="-2"/>
          <w:sz w:val="24"/>
        </w:rPr>
        <w:t xml:space="preserve"> </w:t>
      </w:r>
      <w:r w:rsidRPr="00150EDC">
        <w:rPr>
          <w:rFonts w:ascii="Calibri"/>
          <w:sz w:val="24"/>
        </w:rPr>
        <w:t>Buyer</w:t>
      </w:r>
      <w:r w:rsidRPr="00150EDC">
        <w:rPr>
          <w:rFonts w:ascii="Calibri"/>
          <w:spacing w:val="-3"/>
          <w:sz w:val="24"/>
        </w:rPr>
        <w:t xml:space="preserve"> </w:t>
      </w:r>
      <w:r w:rsidRPr="00150EDC">
        <w:rPr>
          <w:rFonts w:ascii="Calibri"/>
          <w:sz w:val="24"/>
        </w:rPr>
        <w:t>if</w:t>
      </w:r>
      <w:r w:rsidRPr="00150EDC">
        <w:rPr>
          <w:rFonts w:ascii="Calibri"/>
          <w:spacing w:val="-4"/>
          <w:sz w:val="24"/>
        </w:rPr>
        <w:t xml:space="preserve"> </w:t>
      </w:r>
      <w:r w:rsidRPr="00150EDC">
        <w:rPr>
          <w:rFonts w:ascii="Calibri"/>
          <w:sz w:val="24"/>
        </w:rPr>
        <w:t>a</w:t>
      </w:r>
      <w:r w:rsidRPr="00150EDC">
        <w:rPr>
          <w:rFonts w:ascii="Calibri"/>
          <w:spacing w:val="-3"/>
          <w:sz w:val="24"/>
        </w:rPr>
        <w:t xml:space="preserve"> </w:t>
      </w:r>
      <w:r w:rsidRPr="00150EDC">
        <w:rPr>
          <w:rFonts w:ascii="Calibri"/>
          <w:sz w:val="24"/>
        </w:rPr>
        <w:t>Conflict</w:t>
      </w:r>
      <w:r w:rsidRPr="00150EDC">
        <w:rPr>
          <w:rFonts w:ascii="Calibri"/>
          <w:spacing w:val="-4"/>
          <w:sz w:val="24"/>
        </w:rPr>
        <w:t xml:space="preserve"> </w:t>
      </w:r>
      <w:r w:rsidRPr="00150EDC">
        <w:rPr>
          <w:rFonts w:ascii="Calibri"/>
          <w:sz w:val="24"/>
        </w:rPr>
        <w:t>of</w:t>
      </w:r>
      <w:r w:rsidRPr="00150EDC">
        <w:rPr>
          <w:rFonts w:ascii="Calibri"/>
          <w:spacing w:val="-4"/>
          <w:sz w:val="24"/>
        </w:rPr>
        <w:t xml:space="preserve"> </w:t>
      </w:r>
      <w:r w:rsidRPr="00150EDC">
        <w:rPr>
          <w:rFonts w:ascii="Calibri"/>
          <w:sz w:val="24"/>
        </w:rPr>
        <w:t>Interest happens or is expected to happen.</w:t>
      </w:r>
    </w:p>
    <w:p w14:paraId="03F564C4" w14:textId="77777777" w:rsidR="004C7180" w:rsidRPr="00150EDC" w:rsidRDefault="004C7180">
      <w:pPr>
        <w:pStyle w:val="BodyText"/>
        <w:rPr>
          <w:rFonts w:ascii="Calibri"/>
        </w:rPr>
      </w:pPr>
    </w:p>
    <w:p w14:paraId="7827652D" w14:textId="77777777" w:rsidR="004C7180" w:rsidRPr="00150EDC" w:rsidRDefault="00CF0754" w:rsidP="00B320C7">
      <w:pPr>
        <w:pStyle w:val="ListParagraph"/>
        <w:numPr>
          <w:ilvl w:val="1"/>
          <w:numId w:val="182"/>
        </w:numPr>
        <w:tabs>
          <w:tab w:val="left" w:pos="1064"/>
          <w:tab w:val="left" w:pos="1066"/>
        </w:tabs>
        <w:ind w:right="613"/>
        <w:rPr>
          <w:rFonts w:ascii="Calibri"/>
          <w:sz w:val="24"/>
        </w:rPr>
      </w:pPr>
      <w:r w:rsidRPr="00150EDC">
        <w:rPr>
          <w:rFonts w:ascii="Calibri"/>
          <w:sz w:val="24"/>
        </w:rPr>
        <w:t>CCS and each Buyer can terminate its Contract immediately by giving notice in writing to the Supplier or take</w:t>
      </w:r>
      <w:r w:rsidRPr="00150EDC">
        <w:rPr>
          <w:rFonts w:ascii="Calibri"/>
          <w:spacing w:val="-1"/>
          <w:sz w:val="24"/>
        </w:rPr>
        <w:t xml:space="preserve"> </w:t>
      </w:r>
      <w:r w:rsidRPr="00150EDC">
        <w:rPr>
          <w:rFonts w:ascii="Calibri"/>
          <w:sz w:val="24"/>
        </w:rPr>
        <w:t>any</w:t>
      </w:r>
      <w:r w:rsidRPr="00150EDC">
        <w:rPr>
          <w:rFonts w:ascii="Calibri"/>
          <w:spacing w:val="-2"/>
          <w:sz w:val="24"/>
        </w:rPr>
        <w:t xml:space="preserve"> </w:t>
      </w:r>
      <w:r w:rsidRPr="00150EDC">
        <w:rPr>
          <w:rFonts w:ascii="Calibri"/>
          <w:sz w:val="24"/>
        </w:rPr>
        <w:t>steps</w:t>
      </w:r>
      <w:r w:rsidRPr="00150EDC">
        <w:rPr>
          <w:rFonts w:ascii="Calibri"/>
          <w:spacing w:val="-2"/>
          <w:sz w:val="24"/>
        </w:rPr>
        <w:t xml:space="preserve"> </w:t>
      </w:r>
      <w:r w:rsidRPr="00150EDC">
        <w:rPr>
          <w:rFonts w:ascii="Calibri"/>
          <w:sz w:val="24"/>
        </w:rPr>
        <w:t>it</w:t>
      </w:r>
      <w:r w:rsidRPr="00150EDC">
        <w:rPr>
          <w:rFonts w:ascii="Calibri"/>
          <w:spacing w:val="-3"/>
          <w:sz w:val="24"/>
        </w:rPr>
        <w:t xml:space="preserve"> </w:t>
      </w:r>
      <w:r w:rsidRPr="00150EDC">
        <w:rPr>
          <w:rFonts w:ascii="Calibri"/>
          <w:sz w:val="24"/>
        </w:rPr>
        <w:t>thinks</w:t>
      </w:r>
      <w:r w:rsidRPr="00150EDC">
        <w:rPr>
          <w:rFonts w:ascii="Calibri"/>
          <w:spacing w:val="-2"/>
          <w:sz w:val="24"/>
        </w:rPr>
        <w:t xml:space="preserve"> </w:t>
      </w:r>
      <w:r w:rsidRPr="00150EDC">
        <w:rPr>
          <w:rFonts w:ascii="Calibri"/>
          <w:sz w:val="24"/>
        </w:rPr>
        <w:t>are</w:t>
      </w:r>
      <w:r w:rsidRPr="00150EDC">
        <w:rPr>
          <w:rFonts w:ascii="Calibri"/>
          <w:spacing w:val="-1"/>
          <w:sz w:val="24"/>
        </w:rPr>
        <w:t xml:space="preserve"> </w:t>
      </w:r>
      <w:r w:rsidRPr="00150EDC">
        <w:rPr>
          <w:rFonts w:ascii="Calibri"/>
          <w:sz w:val="24"/>
        </w:rPr>
        <w:t>necessary</w:t>
      </w:r>
      <w:r w:rsidRPr="00150EDC">
        <w:rPr>
          <w:rFonts w:ascii="Calibri"/>
          <w:spacing w:val="-5"/>
          <w:sz w:val="24"/>
        </w:rPr>
        <w:t xml:space="preserve"> </w:t>
      </w:r>
      <w:r w:rsidRPr="00150EDC">
        <w:rPr>
          <w:rFonts w:ascii="Calibri"/>
          <w:sz w:val="24"/>
        </w:rPr>
        <w:t>where</w:t>
      </w:r>
      <w:r w:rsidRPr="00150EDC">
        <w:rPr>
          <w:rFonts w:ascii="Calibri"/>
          <w:spacing w:val="-4"/>
          <w:sz w:val="24"/>
        </w:rPr>
        <w:t xml:space="preserve"> </w:t>
      </w:r>
      <w:r w:rsidRPr="00150EDC">
        <w:rPr>
          <w:rFonts w:ascii="Calibri"/>
          <w:sz w:val="24"/>
        </w:rPr>
        <w:t>there</w:t>
      </w:r>
      <w:r w:rsidRPr="00150EDC">
        <w:rPr>
          <w:rFonts w:ascii="Calibri"/>
          <w:spacing w:val="-1"/>
          <w:sz w:val="24"/>
        </w:rPr>
        <w:t xml:space="preserve"> </w:t>
      </w:r>
      <w:r w:rsidRPr="00150EDC">
        <w:rPr>
          <w:rFonts w:ascii="Calibri"/>
          <w:sz w:val="24"/>
        </w:rPr>
        <w:t>is</w:t>
      </w:r>
      <w:r w:rsidRPr="00150EDC">
        <w:rPr>
          <w:rFonts w:ascii="Calibri"/>
          <w:spacing w:val="-2"/>
          <w:sz w:val="24"/>
        </w:rPr>
        <w:t xml:space="preserve"> </w:t>
      </w:r>
      <w:r w:rsidRPr="00150EDC">
        <w:rPr>
          <w:rFonts w:ascii="Calibri"/>
          <w:sz w:val="24"/>
        </w:rPr>
        <w:t>or</w:t>
      </w:r>
      <w:r w:rsidRPr="00150EDC">
        <w:rPr>
          <w:rFonts w:ascii="Calibri"/>
          <w:spacing w:val="-3"/>
          <w:sz w:val="24"/>
        </w:rPr>
        <w:t xml:space="preserve"> </w:t>
      </w:r>
      <w:r w:rsidRPr="00150EDC">
        <w:rPr>
          <w:rFonts w:ascii="Calibri"/>
          <w:sz w:val="24"/>
        </w:rPr>
        <w:t>may</w:t>
      </w:r>
      <w:r w:rsidRPr="00150EDC">
        <w:rPr>
          <w:rFonts w:ascii="Calibri"/>
          <w:spacing w:val="-4"/>
          <w:sz w:val="24"/>
        </w:rPr>
        <w:t xml:space="preserve"> </w:t>
      </w:r>
      <w:r w:rsidRPr="00150EDC">
        <w:rPr>
          <w:rFonts w:ascii="Calibri"/>
          <w:sz w:val="24"/>
        </w:rPr>
        <w:t>be</w:t>
      </w:r>
      <w:r w:rsidRPr="00150EDC">
        <w:rPr>
          <w:rFonts w:ascii="Calibri"/>
          <w:spacing w:val="-1"/>
          <w:sz w:val="24"/>
        </w:rPr>
        <w:t xml:space="preserve"> </w:t>
      </w:r>
      <w:r w:rsidRPr="00150EDC">
        <w:rPr>
          <w:rFonts w:ascii="Calibri"/>
          <w:sz w:val="24"/>
        </w:rPr>
        <w:t>an</w:t>
      </w:r>
      <w:r w:rsidRPr="00150EDC">
        <w:rPr>
          <w:rFonts w:ascii="Calibri"/>
          <w:spacing w:val="-1"/>
          <w:sz w:val="24"/>
        </w:rPr>
        <w:t xml:space="preserve"> </w:t>
      </w:r>
      <w:r w:rsidRPr="00150EDC">
        <w:rPr>
          <w:rFonts w:ascii="Calibri"/>
          <w:sz w:val="24"/>
        </w:rPr>
        <w:t>actual</w:t>
      </w:r>
      <w:r w:rsidRPr="00150EDC">
        <w:rPr>
          <w:rFonts w:ascii="Calibri"/>
          <w:spacing w:val="-4"/>
          <w:sz w:val="24"/>
        </w:rPr>
        <w:t xml:space="preserve"> </w:t>
      </w:r>
      <w:r w:rsidRPr="00150EDC">
        <w:rPr>
          <w:rFonts w:ascii="Calibri"/>
          <w:sz w:val="24"/>
        </w:rPr>
        <w:t>or</w:t>
      </w:r>
      <w:r w:rsidRPr="00150EDC">
        <w:rPr>
          <w:rFonts w:ascii="Calibri"/>
          <w:spacing w:val="-1"/>
          <w:sz w:val="24"/>
        </w:rPr>
        <w:t xml:space="preserve"> </w:t>
      </w:r>
      <w:r w:rsidRPr="00150EDC">
        <w:rPr>
          <w:rFonts w:ascii="Calibri"/>
          <w:sz w:val="24"/>
        </w:rPr>
        <w:t>potential</w:t>
      </w:r>
      <w:r w:rsidRPr="00150EDC">
        <w:rPr>
          <w:rFonts w:ascii="Calibri"/>
          <w:spacing w:val="-4"/>
          <w:sz w:val="24"/>
        </w:rPr>
        <w:t xml:space="preserve"> </w:t>
      </w:r>
      <w:r w:rsidRPr="00150EDC">
        <w:rPr>
          <w:rFonts w:ascii="Calibri"/>
          <w:sz w:val="24"/>
        </w:rPr>
        <w:t>Conflict</w:t>
      </w:r>
      <w:r w:rsidRPr="00150EDC">
        <w:rPr>
          <w:rFonts w:ascii="Calibri"/>
          <w:spacing w:val="-3"/>
          <w:sz w:val="24"/>
        </w:rPr>
        <w:t xml:space="preserve"> </w:t>
      </w:r>
      <w:r w:rsidRPr="00150EDC">
        <w:rPr>
          <w:rFonts w:ascii="Calibri"/>
          <w:sz w:val="24"/>
        </w:rPr>
        <w:t>of Interest.</w:t>
      </w:r>
    </w:p>
    <w:p w14:paraId="1A617579" w14:textId="77777777" w:rsidR="004C7180" w:rsidRPr="00150EDC" w:rsidRDefault="004C7180">
      <w:pPr>
        <w:pStyle w:val="BodyText"/>
        <w:spacing w:before="10"/>
        <w:rPr>
          <w:rFonts w:ascii="Calibri"/>
          <w:sz w:val="25"/>
        </w:rPr>
      </w:pPr>
    </w:p>
    <w:p w14:paraId="27E45BD4" w14:textId="77777777" w:rsidR="004C7180" w:rsidRPr="00150EDC" w:rsidRDefault="00CF0754" w:rsidP="00B320C7">
      <w:pPr>
        <w:pStyle w:val="Heading1"/>
        <w:numPr>
          <w:ilvl w:val="0"/>
          <w:numId w:val="182"/>
        </w:numPr>
        <w:tabs>
          <w:tab w:val="left" w:pos="1217"/>
        </w:tabs>
        <w:ind w:left="1217" w:hanging="650"/>
        <w:jc w:val="left"/>
        <w:rPr>
          <w:rFonts w:ascii="Calibri"/>
        </w:rPr>
      </w:pPr>
      <w:r w:rsidRPr="00150EDC">
        <w:rPr>
          <w:rFonts w:ascii="Calibri"/>
        </w:rPr>
        <w:t>Reporting</w:t>
      </w:r>
      <w:r w:rsidRPr="00150EDC">
        <w:rPr>
          <w:rFonts w:ascii="Calibri"/>
          <w:spacing w:val="-3"/>
        </w:rPr>
        <w:t xml:space="preserve"> </w:t>
      </w:r>
      <w:r w:rsidRPr="00150EDC">
        <w:rPr>
          <w:rFonts w:ascii="Calibri"/>
        </w:rPr>
        <w:t>a</w:t>
      </w:r>
      <w:r w:rsidRPr="00150EDC">
        <w:rPr>
          <w:rFonts w:ascii="Calibri"/>
          <w:spacing w:val="-4"/>
        </w:rPr>
        <w:t xml:space="preserve"> </w:t>
      </w:r>
      <w:r w:rsidRPr="00150EDC">
        <w:rPr>
          <w:rFonts w:ascii="Calibri"/>
        </w:rPr>
        <w:t>breach of</w:t>
      </w:r>
      <w:r w:rsidRPr="00150EDC">
        <w:rPr>
          <w:rFonts w:ascii="Calibri"/>
          <w:spacing w:val="-2"/>
        </w:rPr>
        <w:t xml:space="preserve"> </w:t>
      </w:r>
      <w:r w:rsidRPr="00150EDC">
        <w:rPr>
          <w:rFonts w:ascii="Calibri"/>
        </w:rPr>
        <w:t>the</w:t>
      </w:r>
      <w:r w:rsidRPr="00150EDC">
        <w:rPr>
          <w:rFonts w:ascii="Calibri"/>
          <w:spacing w:val="-1"/>
        </w:rPr>
        <w:t xml:space="preserve"> </w:t>
      </w:r>
      <w:r w:rsidRPr="00150EDC">
        <w:rPr>
          <w:rFonts w:ascii="Calibri"/>
          <w:spacing w:val="-2"/>
        </w:rPr>
        <w:t>contract</w:t>
      </w:r>
    </w:p>
    <w:p w14:paraId="7EA3A8AE" w14:textId="77777777" w:rsidR="004C7180" w:rsidRPr="00150EDC" w:rsidRDefault="00CF0754" w:rsidP="00B320C7">
      <w:pPr>
        <w:pStyle w:val="ListParagraph"/>
        <w:numPr>
          <w:ilvl w:val="1"/>
          <w:numId w:val="182"/>
        </w:numPr>
        <w:tabs>
          <w:tab w:val="left" w:pos="1064"/>
          <w:tab w:val="left" w:pos="1066"/>
        </w:tabs>
        <w:spacing w:before="18"/>
        <w:ind w:right="779"/>
        <w:rPr>
          <w:rFonts w:ascii="Calibri"/>
          <w:sz w:val="24"/>
        </w:rPr>
      </w:pPr>
      <w:r w:rsidRPr="00150EDC">
        <w:rPr>
          <w:rFonts w:ascii="Calibri"/>
          <w:sz w:val="24"/>
        </w:rPr>
        <w:t>As</w:t>
      </w:r>
      <w:r w:rsidRPr="00150EDC">
        <w:rPr>
          <w:rFonts w:ascii="Calibri"/>
          <w:spacing w:val="-2"/>
          <w:sz w:val="24"/>
        </w:rPr>
        <w:t xml:space="preserve"> </w:t>
      </w:r>
      <w:r w:rsidRPr="00150EDC">
        <w:rPr>
          <w:rFonts w:ascii="Calibri"/>
          <w:sz w:val="24"/>
        </w:rPr>
        <w:t>soon</w:t>
      </w:r>
      <w:r w:rsidRPr="00150EDC">
        <w:rPr>
          <w:rFonts w:ascii="Calibri"/>
          <w:spacing w:val="-3"/>
          <w:sz w:val="24"/>
        </w:rPr>
        <w:t xml:space="preserve"> </w:t>
      </w:r>
      <w:r w:rsidRPr="00150EDC">
        <w:rPr>
          <w:rFonts w:ascii="Calibri"/>
          <w:sz w:val="24"/>
        </w:rPr>
        <w:t>as</w:t>
      </w:r>
      <w:r w:rsidRPr="00150EDC">
        <w:rPr>
          <w:rFonts w:ascii="Calibri"/>
          <w:spacing w:val="-2"/>
          <w:sz w:val="24"/>
        </w:rPr>
        <w:t xml:space="preserve"> </w:t>
      </w:r>
      <w:r w:rsidRPr="00150EDC">
        <w:rPr>
          <w:rFonts w:ascii="Calibri"/>
          <w:sz w:val="24"/>
        </w:rPr>
        <w:t>it</w:t>
      </w:r>
      <w:r w:rsidRPr="00150EDC">
        <w:rPr>
          <w:rFonts w:ascii="Calibri"/>
          <w:spacing w:val="-1"/>
          <w:sz w:val="24"/>
        </w:rPr>
        <w:t xml:space="preserve"> </w:t>
      </w:r>
      <w:r w:rsidRPr="00150EDC">
        <w:rPr>
          <w:rFonts w:ascii="Calibri"/>
          <w:sz w:val="24"/>
        </w:rPr>
        <w:t>is</w:t>
      </w:r>
      <w:r w:rsidRPr="00150EDC">
        <w:rPr>
          <w:rFonts w:ascii="Calibri"/>
          <w:spacing w:val="-1"/>
          <w:sz w:val="24"/>
        </w:rPr>
        <w:t xml:space="preserve"> </w:t>
      </w:r>
      <w:r w:rsidRPr="00150EDC">
        <w:rPr>
          <w:rFonts w:ascii="Calibri"/>
          <w:sz w:val="24"/>
        </w:rPr>
        <w:t>aware</w:t>
      </w:r>
      <w:r w:rsidRPr="00150EDC">
        <w:rPr>
          <w:rFonts w:ascii="Calibri"/>
          <w:spacing w:val="-3"/>
          <w:sz w:val="24"/>
        </w:rPr>
        <w:t xml:space="preserve"> </w:t>
      </w:r>
      <w:r w:rsidRPr="00150EDC">
        <w:rPr>
          <w:rFonts w:ascii="Calibri"/>
          <w:sz w:val="24"/>
        </w:rPr>
        <w:t>of</w:t>
      </w:r>
      <w:r w:rsidRPr="00150EDC">
        <w:rPr>
          <w:rFonts w:ascii="Calibri"/>
          <w:spacing w:val="-1"/>
          <w:sz w:val="24"/>
        </w:rPr>
        <w:t xml:space="preserve"> </w:t>
      </w:r>
      <w:r w:rsidRPr="00150EDC">
        <w:rPr>
          <w:rFonts w:ascii="Calibri"/>
          <w:sz w:val="24"/>
        </w:rPr>
        <w:t>it</w:t>
      </w:r>
      <w:r w:rsidRPr="00150EDC">
        <w:rPr>
          <w:rFonts w:ascii="Calibri"/>
          <w:spacing w:val="-1"/>
          <w:sz w:val="24"/>
        </w:rPr>
        <w:t xml:space="preserve"> </w:t>
      </w:r>
      <w:r w:rsidRPr="00150EDC">
        <w:rPr>
          <w:rFonts w:ascii="Calibri"/>
          <w:sz w:val="24"/>
        </w:rPr>
        <w:t>the</w:t>
      </w:r>
      <w:r w:rsidRPr="00150EDC">
        <w:rPr>
          <w:rFonts w:ascii="Calibri"/>
          <w:spacing w:val="-3"/>
          <w:sz w:val="24"/>
        </w:rPr>
        <w:t xml:space="preserve"> </w:t>
      </w:r>
      <w:r w:rsidRPr="00150EDC">
        <w:rPr>
          <w:rFonts w:ascii="Calibri"/>
          <w:sz w:val="24"/>
        </w:rPr>
        <w:t>Supplier</w:t>
      </w:r>
      <w:r w:rsidRPr="00150EDC">
        <w:rPr>
          <w:rFonts w:ascii="Calibri"/>
          <w:spacing w:val="-3"/>
          <w:sz w:val="24"/>
        </w:rPr>
        <w:t xml:space="preserve"> </w:t>
      </w:r>
      <w:r w:rsidRPr="00150EDC">
        <w:rPr>
          <w:rFonts w:ascii="Calibri"/>
          <w:sz w:val="24"/>
        </w:rPr>
        <w:t>and</w:t>
      </w:r>
      <w:r w:rsidRPr="00150EDC">
        <w:rPr>
          <w:rFonts w:ascii="Calibri"/>
          <w:spacing w:val="-1"/>
          <w:sz w:val="24"/>
        </w:rPr>
        <w:t xml:space="preserve"> </w:t>
      </w:r>
      <w:r w:rsidRPr="00150EDC">
        <w:rPr>
          <w:rFonts w:ascii="Calibri"/>
          <w:sz w:val="24"/>
        </w:rPr>
        <w:t>Supplier</w:t>
      </w:r>
      <w:r w:rsidRPr="00150EDC">
        <w:rPr>
          <w:rFonts w:ascii="Calibri"/>
          <w:spacing w:val="-1"/>
          <w:sz w:val="24"/>
        </w:rPr>
        <w:t xml:space="preserve"> </w:t>
      </w:r>
      <w:r w:rsidRPr="00150EDC">
        <w:rPr>
          <w:rFonts w:ascii="Calibri"/>
          <w:sz w:val="24"/>
        </w:rPr>
        <w:t>Staff</w:t>
      </w:r>
      <w:r w:rsidRPr="00150EDC">
        <w:rPr>
          <w:rFonts w:ascii="Calibri"/>
          <w:spacing w:val="-3"/>
          <w:sz w:val="24"/>
        </w:rPr>
        <w:t xml:space="preserve"> </w:t>
      </w:r>
      <w:r w:rsidRPr="00150EDC">
        <w:rPr>
          <w:rFonts w:ascii="Calibri"/>
          <w:sz w:val="24"/>
        </w:rPr>
        <w:t>must</w:t>
      </w:r>
      <w:r w:rsidRPr="00150EDC">
        <w:rPr>
          <w:rFonts w:ascii="Calibri"/>
          <w:spacing w:val="-1"/>
          <w:sz w:val="24"/>
        </w:rPr>
        <w:t xml:space="preserve"> </w:t>
      </w:r>
      <w:r w:rsidRPr="00150EDC">
        <w:rPr>
          <w:rFonts w:ascii="Calibri"/>
          <w:sz w:val="24"/>
        </w:rPr>
        <w:t>report</w:t>
      </w:r>
      <w:r w:rsidRPr="00150EDC">
        <w:rPr>
          <w:rFonts w:ascii="Calibri"/>
          <w:spacing w:val="-3"/>
          <w:sz w:val="24"/>
        </w:rPr>
        <w:t xml:space="preserve"> </w:t>
      </w:r>
      <w:r w:rsidRPr="00150EDC">
        <w:rPr>
          <w:rFonts w:ascii="Calibri"/>
          <w:sz w:val="24"/>
        </w:rPr>
        <w:t>to</w:t>
      </w:r>
      <w:r w:rsidRPr="00150EDC">
        <w:rPr>
          <w:rFonts w:ascii="Calibri"/>
          <w:spacing w:val="-1"/>
          <w:sz w:val="24"/>
        </w:rPr>
        <w:t xml:space="preserve"> </w:t>
      </w:r>
      <w:r w:rsidRPr="00150EDC">
        <w:rPr>
          <w:rFonts w:ascii="Calibri"/>
          <w:sz w:val="24"/>
        </w:rPr>
        <w:t>CCS</w:t>
      </w:r>
      <w:r w:rsidRPr="00150EDC">
        <w:rPr>
          <w:rFonts w:ascii="Calibri"/>
          <w:spacing w:val="-2"/>
          <w:sz w:val="24"/>
        </w:rPr>
        <w:t xml:space="preserve"> </w:t>
      </w:r>
      <w:r w:rsidRPr="00150EDC">
        <w:rPr>
          <w:rFonts w:ascii="Calibri"/>
          <w:sz w:val="24"/>
        </w:rPr>
        <w:t>or</w:t>
      </w:r>
      <w:r w:rsidRPr="00150EDC">
        <w:rPr>
          <w:rFonts w:ascii="Calibri"/>
          <w:spacing w:val="-1"/>
          <w:sz w:val="24"/>
        </w:rPr>
        <w:t xml:space="preserve"> </w:t>
      </w:r>
      <w:r w:rsidRPr="00150EDC">
        <w:rPr>
          <w:rFonts w:ascii="Calibri"/>
          <w:sz w:val="24"/>
        </w:rPr>
        <w:t>the</w:t>
      </w:r>
      <w:r w:rsidRPr="00150EDC">
        <w:rPr>
          <w:rFonts w:ascii="Calibri"/>
          <w:spacing w:val="-1"/>
          <w:sz w:val="24"/>
        </w:rPr>
        <w:t xml:space="preserve"> </w:t>
      </w:r>
      <w:r w:rsidRPr="00150EDC">
        <w:rPr>
          <w:rFonts w:ascii="Calibri"/>
          <w:sz w:val="24"/>
        </w:rPr>
        <w:t>Buyer</w:t>
      </w:r>
      <w:r w:rsidRPr="00150EDC">
        <w:rPr>
          <w:rFonts w:ascii="Calibri"/>
          <w:spacing w:val="-2"/>
          <w:sz w:val="24"/>
        </w:rPr>
        <w:t xml:space="preserve"> </w:t>
      </w:r>
      <w:r w:rsidRPr="00150EDC">
        <w:rPr>
          <w:rFonts w:ascii="Calibri"/>
          <w:sz w:val="24"/>
        </w:rPr>
        <w:t>any</w:t>
      </w:r>
      <w:r w:rsidRPr="00150EDC">
        <w:rPr>
          <w:rFonts w:ascii="Calibri"/>
          <w:spacing w:val="-2"/>
          <w:sz w:val="24"/>
        </w:rPr>
        <w:t xml:space="preserve"> </w:t>
      </w:r>
      <w:r w:rsidRPr="00150EDC">
        <w:rPr>
          <w:rFonts w:ascii="Calibri"/>
          <w:sz w:val="24"/>
        </w:rPr>
        <w:t>actual</w:t>
      </w:r>
      <w:r w:rsidRPr="00150EDC">
        <w:rPr>
          <w:rFonts w:ascii="Calibri"/>
          <w:spacing w:val="-1"/>
          <w:sz w:val="24"/>
        </w:rPr>
        <w:t xml:space="preserve"> </w:t>
      </w:r>
      <w:r w:rsidRPr="00150EDC">
        <w:rPr>
          <w:rFonts w:ascii="Calibri"/>
          <w:sz w:val="24"/>
        </w:rPr>
        <w:t>or suspected breach of:</w:t>
      </w:r>
    </w:p>
    <w:p w14:paraId="678B2527" w14:textId="77777777" w:rsidR="004C7180" w:rsidRPr="00150EDC" w:rsidRDefault="004C7180">
      <w:pPr>
        <w:pStyle w:val="BodyText"/>
        <w:spacing w:before="4"/>
        <w:rPr>
          <w:rFonts w:ascii="Calibri"/>
          <w:sz w:val="27"/>
        </w:rPr>
      </w:pPr>
    </w:p>
    <w:p w14:paraId="601D3271" w14:textId="77777777" w:rsidR="004C7180" w:rsidRPr="00150EDC" w:rsidRDefault="00CF0754" w:rsidP="00B320C7">
      <w:pPr>
        <w:pStyle w:val="ListParagraph"/>
        <w:numPr>
          <w:ilvl w:val="0"/>
          <w:numId w:val="139"/>
        </w:numPr>
        <w:tabs>
          <w:tab w:val="left" w:pos="1491"/>
        </w:tabs>
        <w:ind w:left="1491" w:hanging="425"/>
        <w:rPr>
          <w:rFonts w:ascii="Calibri"/>
          <w:sz w:val="24"/>
        </w:rPr>
      </w:pPr>
      <w:r w:rsidRPr="00150EDC">
        <w:rPr>
          <w:rFonts w:ascii="Calibri"/>
          <w:spacing w:val="-4"/>
          <w:sz w:val="24"/>
        </w:rPr>
        <w:t>Law;</w:t>
      </w:r>
    </w:p>
    <w:p w14:paraId="5B24FAC2" w14:textId="77777777" w:rsidR="004C7180" w:rsidRPr="00150EDC" w:rsidRDefault="00CF0754" w:rsidP="00B320C7">
      <w:pPr>
        <w:pStyle w:val="ListParagraph"/>
        <w:numPr>
          <w:ilvl w:val="0"/>
          <w:numId w:val="139"/>
        </w:numPr>
        <w:tabs>
          <w:tab w:val="left" w:pos="1491"/>
        </w:tabs>
        <w:spacing w:before="19"/>
        <w:ind w:left="1491" w:hanging="425"/>
        <w:rPr>
          <w:rFonts w:ascii="Calibri"/>
          <w:sz w:val="24"/>
        </w:rPr>
      </w:pPr>
      <w:r w:rsidRPr="00150EDC">
        <w:rPr>
          <w:rFonts w:ascii="Calibri"/>
          <w:sz w:val="24"/>
        </w:rPr>
        <w:t>Clause</w:t>
      </w:r>
      <w:r w:rsidRPr="00150EDC">
        <w:rPr>
          <w:rFonts w:ascii="Calibri"/>
          <w:spacing w:val="-1"/>
          <w:sz w:val="24"/>
        </w:rPr>
        <w:t xml:space="preserve"> </w:t>
      </w:r>
      <w:r w:rsidRPr="00150EDC">
        <w:rPr>
          <w:rFonts w:ascii="Calibri"/>
          <w:sz w:val="24"/>
        </w:rPr>
        <w:t>12.1;</w:t>
      </w:r>
      <w:r w:rsidRPr="00150EDC">
        <w:rPr>
          <w:rFonts w:ascii="Calibri"/>
          <w:spacing w:val="-1"/>
          <w:sz w:val="24"/>
        </w:rPr>
        <w:t xml:space="preserve"> </w:t>
      </w:r>
      <w:r w:rsidRPr="00150EDC">
        <w:rPr>
          <w:rFonts w:ascii="Calibri"/>
          <w:spacing w:val="-5"/>
          <w:sz w:val="24"/>
        </w:rPr>
        <w:t>or</w:t>
      </w:r>
    </w:p>
    <w:p w14:paraId="34B4B8EC" w14:textId="77777777" w:rsidR="004C7180" w:rsidRPr="00150EDC" w:rsidRDefault="00CF0754" w:rsidP="00B320C7">
      <w:pPr>
        <w:pStyle w:val="ListParagraph"/>
        <w:numPr>
          <w:ilvl w:val="0"/>
          <w:numId w:val="139"/>
        </w:numPr>
        <w:tabs>
          <w:tab w:val="left" w:pos="1492"/>
        </w:tabs>
        <w:spacing w:before="19"/>
        <w:ind w:left="1492" w:hanging="426"/>
        <w:rPr>
          <w:rFonts w:ascii="Calibri"/>
          <w:sz w:val="24"/>
        </w:rPr>
      </w:pPr>
      <w:r w:rsidRPr="00150EDC">
        <w:rPr>
          <w:rFonts w:ascii="Calibri"/>
          <w:sz w:val="24"/>
        </w:rPr>
        <w:t>Clauses</w:t>
      </w:r>
      <w:r w:rsidRPr="00150EDC">
        <w:rPr>
          <w:rFonts w:ascii="Calibri"/>
          <w:spacing w:val="-2"/>
          <w:sz w:val="24"/>
        </w:rPr>
        <w:t xml:space="preserve"> </w:t>
      </w:r>
      <w:r w:rsidRPr="00150EDC">
        <w:rPr>
          <w:rFonts w:ascii="Calibri"/>
          <w:sz w:val="24"/>
        </w:rPr>
        <w:t>27</w:t>
      </w:r>
      <w:r w:rsidRPr="00150EDC">
        <w:rPr>
          <w:rFonts w:ascii="Calibri"/>
          <w:spacing w:val="-2"/>
          <w:sz w:val="24"/>
        </w:rPr>
        <w:t xml:space="preserve"> </w:t>
      </w:r>
      <w:r w:rsidRPr="00150EDC">
        <w:rPr>
          <w:rFonts w:ascii="Calibri"/>
          <w:sz w:val="24"/>
        </w:rPr>
        <w:t>to</w:t>
      </w:r>
      <w:r w:rsidRPr="00150EDC">
        <w:rPr>
          <w:rFonts w:ascii="Calibri"/>
          <w:spacing w:val="-3"/>
          <w:sz w:val="24"/>
        </w:rPr>
        <w:t xml:space="preserve"> </w:t>
      </w:r>
      <w:r w:rsidRPr="00150EDC">
        <w:rPr>
          <w:rFonts w:ascii="Calibri"/>
          <w:spacing w:val="-5"/>
          <w:sz w:val="24"/>
        </w:rPr>
        <w:t>32.</w:t>
      </w:r>
    </w:p>
    <w:p w14:paraId="14270469" w14:textId="77777777" w:rsidR="004C7180" w:rsidRPr="00150EDC" w:rsidRDefault="004C7180">
      <w:pPr>
        <w:pStyle w:val="BodyText"/>
        <w:spacing w:before="6"/>
        <w:rPr>
          <w:rFonts w:ascii="Calibri"/>
          <w:sz w:val="27"/>
        </w:rPr>
      </w:pPr>
    </w:p>
    <w:p w14:paraId="37E0FF58" w14:textId="77777777" w:rsidR="004C7180" w:rsidRPr="00150EDC" w:rsidRDefault="00CF0754" w:rsidP="00B320C7">
      <w:pPr>
        <w:pStyle w:val="ListParagraph"/>
        <w:numPr>
          <w:ilvl w:val="1"/>
          <w:numId w:val="182"/>
        </w:numPr>
        <w:tabs>
          <w:tab w:val="left" w:pos="1064"/>
          <w:tab w:val="left" w:pos="1066"/>
        </w:tabs>
        <w:ind w:right="599"/>
        <w:rPr>
          <w:rFonts w:ascii="Calibri"/>
          <w:sz w:val="24"/>
        </w:rPr>
      </w:pPr>
      <w:r w:rsidRPr="00150EDC">
        <w:rPr>
          <w:rFonts w:ascii="Calibri"/>
          <w:sz w:val="24"/>
        </w:rPr>
        <w:t>The</w:t>
      </w:r>
      <w:r w:rsidRPr="00150EDC">
        <w:rPr>
          <w:rFonts w:ascii="Calibri"/>
          <w:spacing w:val="-1"/>
          <w:sz w:val="24"/>
        </w:rPr>
        <w:t xml:space="preserve"> </w:t>
      </w:r>
      <w:r w:rsidRPr="00150EDC">
        <w:rPr>
          <w:rFonts w:ascii="Calibri"/>
          <w:sz w:val="24"/>
        </w:rPr>
        <w:t>Supplier</w:t>
      </w:r>
      <w:r w:rsidRPr="00150EDC">
        <w:rPr>
          <w:rFonts w:ascii="Calibri"/>
          <w:spacing w:val="-3"/>
          <w:sz w:val="24"/>
        </w:rPr>
        <w:t xml:space="preserve"> </w:t>
      </w:r>
      <w:r w:rsidRPr="00150EDC">
        <w:rPr>
          <w:rFonts w:ascii="Calibri"/>
          <w:sz w:val="24"/>
        </w:rPr>
        <w:t>must</w:t>
      </w:r>
      <w:r w:rsidRPr="00150EDC">
        <w:rPr>
          <w:rFonts w:ascii="Calibri"/>
          <w:spacing w:val="-1"/>
          <w:sz w:val="24"/>
        </w:rPr>
        <w:t xml:space="preserve"> </w:t>
      </w:r>
      <w:r w:rsidRPr="00150EDC">
        <w:rPr>
          <w:rFonts w:ascii="Calibri"/>
          <w:sz w:val="24"/>
        </w:rPr>
        <w:t>not</w:t>
      </w:r>
      <w:r w:rsidRPr="00150EDC">
        <w:rPr>
          <w:rFonts w:ascii="Calibri"/>
          <w:spacing w:val="-2"/>
          <w:sz w:val="24"/>
        </w:rPr>
        <w:t xml:space="preserve"> </w:t>
      </w:r>
      <w:r w:rsidRPr="00150EDC">
        <w:rPr>
          <w:rFonts w:ascii="Calibri"/>
          <w:sz w:val="24"/>
        </w:rPr>
        <w:t>retaliate</w:t>
      </w:r>
      <w:r w:rsidRPr="00150EDC">
        <w:rPr>
          <w:rFonts w:ascii="Calibri"/>
          <w:spacing w:val="-1"/>
          <w:sz w:val="24"/>
        </w:rPr>
        <w:t xml:space="preserve"> </w:t>
      </w:r>
      <w:r w:rsidRPr="00150EDC">
        <w:rPr>
          <w:rFonts w:ascii="Calibri"/>
          <w:sz w:val="24"/>
        </w:rPr>
        <w:t>against</w:t>
      </w:r>
      <w:r w:rsidRPr="00150EDC">
        <w:rPr>
          <w:rFonts w:ascii="Calibri"/>
          <w:spacing w:val="-1"/>
          <w:sz w:val="24"/>
        </w:rPr>
        <w:t xml:space="preserve"> </w:t>
      </w:r>
      <w:r w:rsidRPr="00150EDC">
        <w:rPr>
          <w:rFonts w:ascii="Calibri"/>
          <w:sz w:val="24"/>
        </w:rPr>
        <w:t>any</w:t>
      </w:r>
      <w:r w:rsidRPr="00150EDC">
        <w:rPr>
          <w:rFonts w:ascii="Calibri"/>
          <w:spacing w:val="-2"/>
          <w:sz w:val="24"/>
        </w:rPr>
        <w:t xml:space="preserve"> </w:t>
      </w:r>
      <w:r w:rsidRPr="00150EDC">
        <w:rPr>
          <w:rFonts w:ascii="Calibri"/>
          <w:sz w:val="24"/>
        </w:rPr>
        <w:t>of</w:t>
      </w:r>
      <w:r w:rsidRPr="00150EDC">
        <w:rPr>
          <w:rFonts w:ascii="Calibri"/>
          <w:spacing w:val="-3"/>
          <w:sz w:val="24"/>
        </w:rPr>
        <w:t xml:space="preserve"> </w:t>
      </w:r>
      <w:r w:rsidRPr="00150EDC">
        <w:rPr>
          <w:rFonts w:ascii="Calibri"/>
          <w:sz w:val="24"/>
        </w:rPr>
        <w:t>the</w:t>
      </w:r>
      <w:r w:rsidRPr="00150EDC">
        <w:rPr>
          <w:rFonts w:ascii="Calibri"/>
          <w:spacing w:val="-4"/>
          <w:sz w:val="24"/>
        </w:rPr>
        <w:t xml:space="preserve"> </w:t>
      </w:r>
      <w:r w:rsidRPr="00150EDC">
        <w:rPr>
          <w:rFonts w:ascii="Calibri"/>
          <w:sz w:val="24"/>
        </w:rPr>
        <w:t>Supplier</w:t>
      </w:r>
      <w:r w:rsidRPr="00150EDC">
        <w:rPr>
          <w:rFonts w:ascii="Calibri"/>
          <w:spacing w:val="-3"/>
          <w:sz w:val="24"/>
        </w:rPr>
        <w:t xml:space="preserve"> </w:t>
      </w:r>
      <w:r w:rsidRPr="00150EDC">
        <w:rPr>
          <w:rFonts w:ascii="Calibri"/>
          <w:sz w:val="24"/>
        </w:rPr>
        <w:t>Staff</w:t>
      </w:r>
      <w:r w:rsidRPr="00150EDC">
        <w:rPr>
          <w:rFonts w:ascii="Calibri"/>
          <w:spacing w:val="-3"/>
          <w:sz w:val="24"/>
        </w:rPr>
        <w:t xml:space="preserve"> </w:t>
      </w:r>
      <w:r w:rsidRPr="00150EDC">
        <w:rPr>
          <w:rFonts w:ascii="Calibri"/>
          <w:sz w:val="24"/>
        </w:rPr>
        <w:t>who</w:t>
      </w:r>
      <w:r w:rsidRPr="00150EDC">
        <w:rPr>
          <w:rFonts w:ascii="Calibri"/>
          <w:spacing w:val="-1"/>
          <w:sz w:val="24"/>
        </w:rPr>
        <w:t xml:space="preserve"> </w:t>
      </w:r>
      <w:r w:rsidRPr="00150EDC">
        <w:rPr>
          <w:rFonts w:ascii="Calibri"/>
          <w:sz w:val="24"/>
        </w:rPr>
        <w:t>in</w:t>
      </w:r>
      <w:r w:rsidRPr="00150EDC">
        <w:rPr>
          <w:rFonts w:ascii="Calibri"/>
          <w:spacing w:val="-1"/>
          <w:sz w:val="24"/>
        </w:rPr>
        <w:t xml:space="preserve"> </w:t>
      </w:r>
      <w:r w:rsidRPr="00150EDC">
        <w:rPr>
          <w:rFonts w:ascii="Calibri"/>
          <w:sz w:val="24"/>
        </w:rPr>
        <w:t>good</w:t>
      </w:r>
      <w:r w:rsidRPr="00150EDC">
        <w:rPr>
          <w:rFonts w:ascii="Calibri"/>
          <w:spacing w:val="-2"/>
          <w:sz w:val="24"/>
        </w:rPr>
        <w:t xml:space="preserve"> </w:t>
      </w:r>
      <w:r w:rsidRPr="00150EDC">
        <w:rPr>
          <w:rFonts w:ascii="Calibri"/>
          <w:sz w:val="24"/>
        </w:rPr>
        <w:t>faith</w:t>
      </w:r>
      <w:r w:rsidRPr="00150EDC">
        <w:rPr>
          <w:rFonts w:ascii="Calibri"/>
          <w:spacing w:val="-1"/>
          <w:sz w:val="24"/>
        </w:rPr>
        <w:t xml:space="preserve"> </w:t>
      </w:r>
      <w:r w:rsidRPr="00150EDC">
        <w:rPr>
          <w:rFonts w:ascii="Calibri"/>
          <w:sz w:val="24"/>
        </w:rPr>
        <w:t>reports</w:t>
      </w:r>
      <w:r w:rsidRPr="00150EDC">
        <w:rPr>
          <w:rFonts w:ascii="Calibri"/>
          <w:spacing w:val="-2"/>
          <w:sz w:val="24"/>
        </w:rPr>
        <w:t xml:space="preserve"> </w:t>
      </w:r>
      <w:r w:rsidRPr="00150EDC">
        <w:rPr>
          <w:rFonts w:ascii="Calibri"/>
          <w:sz w:val="24"/>
        </w:rPr>
        <w:t>a</w:t>
      </w:r>
      <w:r w:rsidRPr="00150EDC">
        <w:rPr>
          <w:rFonts w:ascii="Calibri"/>
          <w:spacing w:val="-4"/>
          <w:sz w:val="24"/>
        </w:rPr>
        <w:t xml:space="preserve"> </w:t>
      </w:r>
      <w:r w:rsidRPr="00150EDC">
        <w:rPr>
          <w:rFonts w:ascii="Calibri"/>
          <w:sz w:val="24"/>
        </w:rPr>
        <w:t>breach</w:t>
      </w:r>
      <w:r w:rsidRPr="00150EDC">
        <w:rPr>
          <w:rFonts w:ascii="Calibri"/>
          <w:spacing w:val="-4"/>
          <w:sz w:val="24"/>
        </w:rPr>
        <w:t xml:space="preserve"> </w:t>
      </w:r>
      <w:r w:rsidRPr="00150EDC">
        <w:rPr>
          <w:rFonts w:ascii="Calibri"/>
          <w:sz w:val="24"/>
        </w:rPr>
        <w:t>listed in Clause 33.1 to the Buyer or a Prescribed Person.</w:t>
      </w:r>
    </w:p>
    <w:p w14:paraId="4DB0AC95" w14:textId="77777777" w:rsidR="004C7180" w:rsidRPr="00150EDC" w:rsidRDefault="004C7180">
      <w:pPr>
        <w:pStyle w:val="BodyText"/>
        <w:spacing w:before="8"/>
        <w:rPr>
          <w:rFonts w:ascii="Calibri"/>
          <w:sz w:val="25"/>
        </w:rPr>
      </w:pPr>
    </w:p>
    <w:p w14:paraId="0DD9B343" w14:textId="77777777" w:rsidR="004C7180" w:rsidRPr="00150EDC" w:rsidRDefault="00CF0754" w:rsidP="00B320C7">
      <w:pPr>
        <w:pStyle w:val="Heading1"/>
        <w:numPr>
          <w:ilvl w:val="0"/>
          <w:numId w:val="182"/>
        </w:numPr>
        <w:tabs>
          <w:tab w:val="left" w:pos="1217"/>
        </w:tabs>
        <w:ind w:left="1217" w:hanging="650"/>
        <w:jc w:val="left"/>
        <w:rPr>
          <w:rFonts w:ascii="Calibri"/>
        </w:rPr>
      </w:pPr>
      <w:r w:rsidRPr="00150EDC">
        <w:rPr>
          <w:rFonts w:ascii="Calibri"/>
        </w:rPr>
        <w:t>Resolving</w:t>
      </w:r>
      <w:r w:rsidRPr="00150EDC">
        <w:rPr>
          <w:rFonts w:ascii="Calibri"/>
          <w:spacing w:val="-4"/>
        </w:rPr>
        <w:t xml:space="preserve"> </w:t>
      </w:r>
      <w:r w:rsidRPr="00150EDC">
        <w:rPr>
          <w:rFonts w:ascii="Calibri"/>
          <w:spacing w:val="-2"/>
        </w:rPr>
        <w:t>disputes</w:t>
      </w:r>
    </w:p>
    <w:p w14:paraId="73BED0BA" w14:textId="77777777" w:rsidR="004C7180" w:rsidRPr="00150EDC" w:rsidRDefault="00CF0754" w:rsidP="00B320C7">
      <w:pPr>
        <w:pStyle w:val="ListParagraph"/>
        <w:numPr>
          <w:ilvl w:val="1"/>
          <w:numId w:val="182"/>
        </w:numPr>
        <w:tabs>
          <w:tab w:val="left" w:pos="1064"/>
          <w:tab w:val="left" w:pos="1066"/>
        </w:tabs>
        <w:spacing w:before="20"/>
        <w:ind w:right="699"/>
        <w:rPr>
          <w:rFonts w:ascii="Calibri"/>
          <w:sz w:val="24"/>
        </w:rPr>
      </w:pPr>
      <w:r w:rsidRPr="00150EDC">
        <w:rPr>
          <w:rFonts w:ascii="Calibri"/>
          <w:sz w:val="24"/>
        </w:rPr>
        <w:t>If there is a Dispute, the senior representatives of the Parties who have authority to settle the Dispute will,</w:t>
      </w:r>
      <w:r w:rsidRPr="00150EDC">
        <w:rPr>
          <w:rFonts w:ascii="Calibri"/>
          <w:spacing w:val="-1"/>
          <w:sz w:val="24"/>
        </w:rPr>
        <w:t xml:space="preserve"> </w:t>
      </w:r>
      <w:r w:rsidRPr="00150EDC">
        <w:rPr>
          <w:rFonts w:ascii="Calibri"/>
          <w:sz w:val="24"/>
        </w:rPr>
        <w:t>within</w:t>
      </w:r>
      <w:r w:rsidRPr="00150EDC">
        <w:rPr>
          <w:rFonts w:ascii="Calibri"/>
          <w:spacing w:val="-2"/>
          <w:sz w:val="24"/>
        </w:rPr>
        <w:t xml:space="preserve"> </w:t>
      </w:r>
      <w:r w:rsidRPr="00150EDC">
        <w:rPr>
          <w:rFonts w:ascii="Calibri"/>
          <w:sz w:val="24"/>
        </w:rPr>
        <w:t>28</w:t>
      </w:r>
      <w:r w:rsidRPr="00150EDC">
        <w:rPr>
          <w:rFonts w:ascii="Calibri"/>
          <w:spacing w:val="-2"/>
          <w:sz w:val="24"/>
        </w:rPr>
        <w:t xml:space="preserve"> </w:t>
      </w:r>
      <w:r w:rsidRPr="00150EDC">
        <w:rPr>
          <w:rFonts w:ascii="Calibri"/>
          <w:sz w:val="24"/>
        </w:rPr>
        <w:t>days</w:t>
      </w:r>
      <w:r w:rsidRPr="00150EDC">
        <w:rPr>
          <w:rFonts w:ascii="Calibri"/>
          <w:spacing w:val="-2"/>
          <w:sz w:val="24"/>
        </w:rPr>
        <w:t xml:space="preserve"> </w:t>
      </w:r>
      <w:r w:rsidRPr="00150EDC">
        <w:rPr>
          <w:rFonts w:ascii="Calibri"/>
          <w:sz w:val="24"/>
        </w:rPr>
        <w:t>of a</w:t>
      </w:r>
      <w:r w:rsidRPr="00150EDC">
        <w:rPr>
          <w:rFonts w:ascii="Calibri"/>
          <w:spacing w:val="-5"/>
          <w:sz w:val="24"/>
        </w:rPr>
        <w:t xml:space="preserve"> </w:t>
      </w:r>
      <w:r w:rsidRPr="00150EDC">
        <w:rPr>
          <w:rFonts w:ascii="Calibri"/>
          <w:sz w:val="24"/>
        </w:rPr>
        <w:t>written</w:t>
      </w:r>
      <w:r w:rsidRPr="00150EDC">
        <w:rPr>
          <w:rFonts w:ascii="Calibri"/>
          <w:spacing w:val="-2"/>
          <w:sz w:val="24"/>
        </w:rPr>
        <w:t xml:space="preserve"> </w:t>
      </w:r>
      <w:r w:rsidRPr="00150EDC">
        <w:rPr>
          <w:rFonts w:ascii="Calibri"/>
          <w:sz w:val="24"/>
        </w:rPr>
        <w:t>request</w:t>
      </w:r>
      <w:r w:rsidRPr="00150EDC">
        <w:rPr>
          <w:rFonts w:ascii="Calibri"/>
          <w:spacing w:val="-2"/>
          <w:sz w:val="24"/>
        </w:rPr>
        <w:t xml:space="preserve"> </w:t>
      </w:r>
      <w:r w:rsidRPr="00150EDC">
        <w:rPr>
          <w:rFonts w:ascii="Calibri"/>
          <w:sz w:val="24"/>
        </w:rPr>
        <w:t>from</w:t>
      </w:r>
      <w:r w:rsidRPr="00150EDC">
        <w:rPr>
          <w:rFonts w:ascii="Calibri"/>
          <w:spacing w:val="-3"/>
          <w:sz w:val="24"/>
        </w:rPr>
        <w:t xml:space="preserve"> </w:t>
      </w:r>
      <w:r w:rsidRPr="00150EDC">
        <w:rPr>
          <w:rFonts w:ascii="Calibri"/>
          <w:sz w:val="24"/>
        </w:rPr>
        <w:t>the</w:t>
      </w:r>
      <w:r w:rsidRPr="00150EDC">
        <w:rPr>
          <w:rFonts w:ascii="Calibri"/>
          <w:spacing w:val="-3"/>
          <w:sz w:val="24"/>
        </w:rPr>
        <w:t xml:space="preserve"> </w:t>
      </w:r>
      <w:r w:rsidRPr="00150EDC">
        <w:rPr>
          <w:rFonts w:ascii="Calibri"/>
          <w:sz w:val="24"/>
        </w:rPr>
        <w:t>other</w:t>
      </w:r>
      <w:r w:rsidRPr="00150EDC">
        <w:rPr>
          <w:rFonts w:ascii="Calibri"/>
          <w:spacing w:val="-2"/>
          <w:sz w:val="24"/>
        </w:rPr>
        <w:t xml:space="preserve"> </w:t>
      </w:r>
      <w:r w:rsidRPr="00150EDC">
        <w:rPr>
          <w:rFonts w:ascii="Calibri"/>
          <w:sz w:val="24"/>
        </w:rPr>
        <w:t>Party,</w:t>
      </w:r>
      <w:r w:rsidRPr="00150EDC">
        <w:rPr>
          <w:rFonts w:ascii="Calibri"/>
          <w:spacing w:val="-4"/>
          <w:sz w:val="24"/>
        </w:rPr>
        <w:t xml:space="preserve"> </w:t>
      </w:r>
      <w:r w:rsidRPr="00150EDC">
        <w:rPr>
          <w:rFonts w:ascii="Calibri"/>
          <w:sz w:val="24"/>
        </w:rPr>
        <w:t>meet in</w:t>
      </w:r>
      <w:r w:rsidRPr="00150EDC">
        <w:rPr>
          <w:rFonts w:ascii="Calibri"/>
          <w:spacing w:val="-1"/>
          <w:sz w:val="24"/>
        </w:rPr>
        <w:t xml:space="preserve"> </w:t>
      </w:r>
      <w:r w:rsidRPr="00150EDC">
        <w:rPr>
          <w:rFonts w:ascii="Calibri"/>
          <w:sz w:val="24"/>
        </w:rPr>
        <w:t>good faith</w:t>
      </w:r>
      <w:r w:rsidRPr="00150EDC">
        <w:rPr>
          <w:rFonts w:ascii="Calibri"/>
          <w:spacing w:val="-2"/>
          <w:sz w:val="24"/>
        </w:rPr>
        <w:t xml:space="preserve"> </w:t>
      </w:r>
      <w:r w:rsidRPr="00150EDC">
        <w:rPr>
          <w:rFonts w:ascii="Calibri"/>
          <w:sz w:val="24"/>
        </w:rPr>
        <w:t>to resolve</w:t>
      </w:r>
      <w:r w:rsidRPr="00150EDC">
        <w:rPr>
          <w:rFonts w:ascii="Calibri"/>
          <w:spacing w:val="-3"/>
          <w:sz w:val="24"/>
        </w:rPr>
        <w:t xml:space="preserve"> </w:t>
      </w:r>
      <w:r w:rsidRPr="00150EDC">
        <w:rPr>
          <w:rFonts w:ascii="Calibri"/>
          <w:sz w:val="24"/>
        </w:rPr>
        <w:t>the</w:t>
      </w:r>
      <w:r w:rsidRPr="00150EDC">
        <w:rPr>
          <w:rFonts w:ascii="Calibri"/>
          <w:spacing w:val="-3"/>
          <w:sz w:val="24"/>
        </w:rPr>
        <w:t xml:space="preserve"> </w:t>
      </w:r>
      <w:r w:rsidRPr="00150EDC">
        <w:rPr>
          <w:rFonts w:ascii="Calibri"/>
          <w:sz w:val="24"/>
        </w:rPr>
        <w:t>Dispute.</w:t>
      </w:r>
    </w:p>
    <w:p w14:paraId="7A5A6308" w14:textId="77777777" w:rsidR="004C7180" w:rsidRPr="00150EDC" w:rsidRDefault="004C7180">
      <w:pPr>
        <w:pStyle w:val="BodyText"/>
        <w:rPr>
          <w:rFonts w:ascii="Calibri"/>
        </w:rPr>
      </w:pPr>
    </w:p>
    <w:p w14:paraId="789626A9" w14:textId="77777777" w:rsidR="004C7180" w:rsidRPr="00150EDC" w:rsidRDefault="00CF0754" w:rsidP="00B320C7">
      <w:pPr>
        <w:pStyle w:val="ListParagraph"/>
        <w:numPr>
          <w:ilvl w:val="1"/>
          <w:numId w:val="182"/>
        </w:numPr>
        <w:tabs>
          <w:tab w:val="left" w:pos="1064"/>
          <w:tab w:val="left" w:pos="1066"/>
        </w:tabs>
        <w:ind w:right="620"/>
        <w:rPr>
          <w:rFonts w:ascii="Calibri"/>
          <w:sz w:val="24"/>
        </w:rPr>
      </w:pPr>
      <w:r w:rsidRPr="00150EDC">
        <w:rPr>
          <w:rFonts w:ascii="Calibri"/>
          <w:sz w:val="24"/>
        </w:rPr>
        <w:t>If the Dispute is not resolved at that meeting, the Parties can attempt to settle it by mediation using the Centre for Effective Dispute Resolution (CEDR) Model Mediation Procedure current at the time of the Dispute. If the Parties cannot agree on a mediator, the mediator will be nominated by CEDR. If either Party</w:t>
      </w:r>
      <w:r w:rsidRPr="00150EDC">
        <w:rPr>
          <w:rFonts w:ascii="Calibri"/>
          <w:spacing w:val="-5"/>
          <w:sz w:val="24"/>
        </w:rPr>
        <w:t xml:space="preserve"> </w:t>
      </w:r>
      <w:r w:rsidRPr="00150EDC">
        <w:rPr>
          <w:rFonts w:ascii="Calibri"/>
          <w:sz w:val="24"/>
        </w:rPr>
        <w:t>does</w:t>
      </w:r>
      <w:r w:rsidRPr="00150EDC">
        <w:rPr>
          <w:rFonts w:ascii="Calibri"/>
          <w:spacing w:val="-4"/>
          <w:sz w:val="24"/>
        </w:rPr>
        <w:t xml:space="preserve"> </w:t>
      </w:r>
      <w:r w:rsidRPr="00150EDC">
        <w:rPr>
          <w:rFonts w:ascii="Calibri"/>
          <w:sz w:val="24"/>
        </w:rPr>
        <w:t>not</w:t>
      </w:r>
      <w:r w:rsidRPr="00150EDC">
        <w:rPr>
          <w:rFonts w:ascii="Calibri"/>
          <w:spacing w:val="-1"/>
          <w:sz w:val="24"/>
        </w:rPr>
        <w:t xml:space="preserve"> </w:t>
      </w:r>
      <w:r w:rsidRPr="00150EDC">
        <w:rPr>
          <w:rFonts w:ascii="Calibri"/>
          <w:sz w:val="24"/>
        </w:rPr>
        <w:t>wish</w:t>
      </w:r>
      <w:r w:rsidRPr="00150EDC">
        <w:rPr>
          <w:rFonts w:ascii="Calibri"/>
          <w:spacing w:val="-3"/>
          <w:sz w:val="24"/>
        </w:rPr>
        <w:t xml:space="preserve"> </w:t>
      </w:r>
      <w:r w:rsidRPr="00150EDC">
        <w:rPr>
          <w:rFonts w:ascii="Calibri"/>
          <w:sz w:val="24"/>
        </w:rPr>
        <w:t>to</w:t>
      </w:r>
      <w:r w:rsidRPr="00150EDC">
        <w:rPr>
          <w:rFonts w:ascii="Calibri"/>
          <w:spacing w:val="-3"/>
          <w:sz w:val="24"/>
        </w:rPr>
        <w:t xml:space="preserve"> </w:t>
      </w:r>
      <w:r w:rsidRPr="00150EDC">
        <w:rPr>
          <w:rFonts w:ascii="Calibri"/>
          <w:sz w:val="24"/>
        </w:rPr>
        <w:t>use,</w:t>
      </w:r>
      <w:r w:rsidRPr="00150EDC">
        <w:rPr>
          <w:rFonts w:ascii="Calibri"/>
          <w:spacing w:val="-1"/>
          <w:sz w:val="24"/>
        </w:rPr>
        <w:t xml:space="preserve"> </w:t>
      </w:r>
      <w:r w:rsidRPr="00150EDC">
        <w:rPr>
          <w:rFonts w:ascii="Calibri"/>
          <w:sz w:val="24"/>
        </w:rPr>
        <w:t>or</w:t>
      </w:r>
      <w:r w:rsidRPr="00150EDC">
        <w:rPr>
          <w:rFonts w:ascii="Calibri"/>
          <w:spacing w:val="-1"/>
          <w:sz w:val="24"/>
        </w:rPr>
        <w:t xml:space="preserve"> </w:t>
      </w:r>
      <w:r w:rsidRPr="00150EDC">
        <w:rPr>
          <w:rFonts w:ascii="Calibri"/>
          <w:sz w:val="24"/>
        </w:rPr>
        <w:t>continue</w:t>
      </w:r>
      <w:r w:rsidRPr="00150EDC">
        <w:rPr>
          <w:rFonts w:ascii="Calibri"/>
          <w:spacing w:val="-1"/>
          <w:sz w:val="24"/>
        </w:rPr>
        <w:t xml:space="preserve"> </w:t>
      </w:r>
      <w:r w:rsidRPr="00150EDC">
        <w:rPr>
          <w:rFonts w:ascii="Calibri"/>
          <w:sz w:val="24"/>
        </w:rPr>
        <w:t>to</w:t>
      </w:r>
      <w:r w:rsidRPr="00150EDC">
        <w:rPr>
          <w:rFonts w:ascii="Calibri"/>
          <w:spacing w:val="-3"/>
          <w:sz w:val="24"/>
        </w:rPr>
        <w:t xml:space="preserve"> </w:t>
      </w:r>
      <w:r w:rsidRPr="00150EDC">
        <w:rPr>
          <w:rFonts w:ascii="Calibri"/>
          <w:sz w:val="24"/>
        </w:rPr>
        <w:t>use</w:t>
      </w:r>
      <w:r w:rsidRPr="00150EDC">
        <w:rPr>
          <w:rFonts w:ascii="Calibri"/>
          <w:spacing w:val="-1"/>
          <w:sz w:val="24"/>
        </w:rPr>
        <w:t xml:space="preserve"> </w:t>
      </w:r>
      <w:r w:rsidRPr="00150EDC">
        <w:rPr>
          <w:rFonts w:ascii="Calibri"/>
          <w:sz w:val="24"/>
        </w:rPr>
        <w:t>mediation,</w:t>
      </w:r>
      <w:r w:rsidRPr="00150EDC">
        <w:rPr>
          <w:rFonts w:ascii="Calibri"/>
          <w:spacing w:val="-4"/>
          <w:sz w:val="24"/>
        </w:rPr>
        <w:t xml:space="preserve"> </w:t>
      </w:r>
      <w:r w:rsidRPr="00150EDC">
        <w:rPr>
          <w:rFonts w:ascii="Calibri"/>
          <w:sz w:val="24"/>
        </w:rPr>
        <w:t>or</w:t>
      </w:r>
      <w:r w:rsidRPr="00150EDC">
        <w:rPr>
          <w:rFonts w:ascii="Calibri"/>
          <w:spacing w:val="-1"/>
          <w:sz w:val="24"/>
        </w:rPr>
        <w:t xml:space="preserve"> </w:t>
      </w:r>
      <w:r w:rsidRPr="00150EDC">
        <w:rPr>
          <w:rFonts w:ascii="Calibri"/>
          <w:sz w:val="24"/>
        </w:rPr>
        <w:t>mediation</w:t>
      </w:r>
      <w:r w:rsidRPr="00150EDC">
        <w:rPr>
          <w:rFonts w:ascii="Calibri"/>
          <w:spacing w:val="-3"/>
          <w:sz w:val="24"/>
        </w:rPr>
        <w:t xml:space="preserve"> </w:t>
      </w:r>
      <w:r w:rsidRPr="00150EDC">
        <w:rPr>
          <w:rFonts w:ascii="Calibri"/>
          <w:sz w:val="24"/>
        </w:rPr>
        <w:t>does</w:t>
      </w:r>
      <w:r w:rsidRPr="00150EDC">
        <w:rPr>
          <w:rFonts w:ascii="Calibri"/>
          <w:spacing w:val="-2"/>
          <w:sz w:val="24"/>
        </w:rPr>
        <w:t xml:space="preserve"> </w:t>
      </w:r>
      <w:r w:rsidRPr="00150EDC">
        <w:rPr>
          <w:rFonts w:ascii="Calibri"/>
          <w:sz w:val="24"/>
        </w:rPr>
        <w:t>not</w:t>
      </w:r>
      <w:r w:rsidRPr="00150EDC">
        <w:rPr>
          <w:rFonts w:ascii="Calibri"/>
          <w:spacing w:val="-1"/>
          <w:sz w:val="24"/>
        </w:rPr>
        <w:t xml:space="preserve"> </w:t>
      </w:r>
      <w:r w:rsidRPr="00150EDC">
        <w:rPr>
          <w:rFonts w:ascii="Calibri"/>
          <w:sz w:val="24"/>
        </w:rPr>
        <w:t>resolve</w:t>
      </w:r>
      <w:r w:rsidRPr="00150EDC">
        <w:rPr>
          <w:rFonts w:ascii="Calibri"/>
          <w:spacing w:val="-4"/>
          <w:sz w:val="24"/>
        </w:rPr>
        <w:t xml:space="preserve"> </w:t>
      </w:r>
      <w:r w:rsidRPr="00150EDC">
        <w:rPr>
          <w:rFonts w:ascii="Calibri"/>
          <w:sz w:val="24"/>
        </w:rPr>
        <w:t>the</w:t>
      </w:r>
      <w:r w:rsidRPr="00150EDC">
        <w:rPr>
          <w:rFonts w:ascii="Calibri"/>
          <w:spacing w:val="-4"/>
          <w:sz w:val="24"/>
        </w:rPr>
        <w:t xml:space="preserve"> </w:t>
      </w:r>
      <w:r w:rsidRPr="00150EDC">
        <w:rPr>
          <w:rFonts w:ascii="Calibri"/>
          <w:sz w:val="24"/>
        </w:rPr>
        <w:t>Dispute,</w:t>
      </w:r>
      <w:r w:rsidRPr="00150EDC">
        <w:rPr>
          <w:rFonts w:ascii="Calibri"/>
          <w:spacing w:val="-1"/>
          <w:sz w:val="24"/>
        </w:rPr>
        <w:t xml:space="preserve"> </w:t>
      </w:r>
      <w:r w:rsidRPr="00150EDC">
        <w:rPr>
          <w:rFonts w:ascii="Calibri"/>
          <w:sz w:val="24"/>
        </w:rPr>
        <w:t>the Dispute must be resolved using Clauses 34.3 to 34.5.</w:t>
      </w:r>
    </w:p>
    <w:p w14:paraId="33560BDE" w14:textId="77777777" w:rsidR="004C7180" w:rsidRPr="00150EDC" w:rsidRDefault="004C7180">
      <w:pPr>
        <w:pStyle w:val="BodyText"/>
        <w:spacing w:before="3"/>
        <w:rPr>
          <w:rFonts w:ascii="Calibri"/>
          <w:sz w:val="27"/>
        </w:rPr>
      </w:pPr>
    </w:p>
    <w:p w14:paraId="071221D6" w14:textId="77777777" w:rsidR="004C7180" w:rsidRPr="00150EDC" w:rsidRDefault="00CF0754" w:rsidP="00B320C7">
      <w:pPr>
        <w:pStyle w:val="ListParagraph"/>
        <w:numPr>
          <w:ilvl w:val="1"/>
          <w:numId w:val="182"/>
        </w:numPr>
        <w:tabs>
          <w:tab w:val="left" w:pos="1064"/>
          <w:tab w:val="left" w:pos="1066"/>
        </w:tabs>
        <w:ind w:right="680"/>
        <w:rPr>
          <w:rFonts w:ascii="Calibri"/>
          <w:sz w:val="24"/>
        </w:rPr>
      </w:pPr>
      <w:r w:rsidRPr="00150EDC">
        <w:rPr>
          <w:rFonts w:ascii="Calibri"/>
          <w:sz w:val="24"/>
        </w:rPr>
        <w:t>Unless</w:t>
      </w:r>
      <w:r w:rsidRPr="00150EDC">
        <w:rPr>
          <w:rFonts w:ascii="Calibri"/>
          <w:spacing w:val="-4"/>
          <w:sz w:val="24"/>
        </w:rPr>
        <w:t xml:space="preserve"> </w:t>
      </w:r>
      <w:r w:rsidRPr="00150EDC">
        <w:rPr>
          <w:rFonts w:ascii="Calibri"/>
          <w:sz w:val="24"/>
        </w:rPr>
        <w:t>the</w:t>
      </w:r>
      <w:r w:rsidRPr="00150EDC">
        <w:rPr>
          <w:rFonts w:ascii="Calibri"/>
          <w:spacing w:val="-2"/>
          <w:sz w:val="24"/>
        </w:rPr>
        <w:t xml:space="preserve"> </w:t>
      </w:r>
      <w:r w:rsidRPr="00150EDC">
        <w:rPr>
          <w:rFonts w:ascii="Calibri"/>
          <w:sz w:val="24"/>
        </w:rPr>
        <w:t>Relevant</w:t>
      </w:r>
      <w:r w:rsidRPr="00150EDC">
        <w:rPr>
          <w:rFonts w:ascii="Calibri"/>
          <w:spacing w:val="-4"/>
          <w:sz w:val="24"/>
        </w:rPr>
        <w:t xml:space="preserve"> </w:t>
      </w:r>
      <w:r w:rsidRPr="00150EDC">
        <w:rPr>
          <w:rFonts w:ascii="Calibri"/>
          <w:sz w:val="24"/>
        </w:rPr>
        <w:t>Authority</w:t>
      </w:r>
      <w:r w:rsidRPr="00150EDC">
        <w:rPr>
          <w:rFonts w:ascii="Calibri"/>
          <w:spacing w:val="-6"/>
          <w:sz w:val="24"/>
        </w:rPr>
        <w:t xml:space="preserve"> </w:t>
      </w:r>
      <w:r w:rsidRPr="00150EDC">
        <w:rPr>
          <w:rFonts w:ascii="Calibri"/>
          <w:sz w:val="24"/>
        </w:rPr>
        <w:t>refers</w:t>
      </w:r>
      <w:r w:rsidRPr="00150EDC">
        <w:rPr>
          <w:rFonts w:ascii="Calibri"/>
          <w:spacing w:val="-5"/>
          <w:sz w:val="24"/>
        </w:rPr>
        <w:t xml:space="preserve"> </w:t>
      </w:r>
      <w:r w:rsidRPr="00150EDC">
        <w:rPr>
          <w:rFonts w:ascii="Calibri"/>
          <w:sz w:val="24"/>
        </w:rPr>
        <w:t>the</w:t>
      </w:r>
      <w:r w:rsidRPr="00150EDC">
        <w:rPr>
          <w:rFonts w:ascii="Calibri"/>
          <w:spacing w:val="-5"/>
          <w:sz w:val="24"/>
        </w:rPr>
        <w:t xml:space="preserve"> </w:t>
      </w:r>
      <w:r w:rsidRPr="00150EDC">
        <w:rPr>
          <w:rFonts w:ascii="Calibri"/>
          <w:sz w:val="24"/>
        </w:rPr>
        <w:t>Dispute</w:t>
      </w:r>
      <w:r w:rsidRPr="00150EDC">
        <w:rPr>
          <w:rFonts w:ascii="Calibri"/>
          <w:spacing w:val="-4"/>
          <w:sz w:val="24"/>
        </w:rPr>
        <w:t xml:space="preserve"> </w:t>
      </w:r>
      <w:r w:rsidRPr="00150EDC">
        <w:rPr>
          <w:rFonts w:ascii="Calibri"/>
          <w:sz w:val="24"/>
        </w:rPr>
        <w:t>to</w:t>
      </w:r>
      <w:r w:rsidRPr="00150EDC">
        <w:rPr>
          <w:rFonts w:ascii="Calibri"/>
          <w:spacing w:val="-2"/>
          <w:sz w:val="24"/>
        </w:rPr>
        <w:t xml:space="preserve"> </w:t>
      </w:r>
      <w:r w:rsidRPr="00150EDC">
        <w:rPr>
          <w:rFonts w:ascii="Calibri"/>
          <w:sz w:val="24"/>
        </w:rPr>
        <w:t>arbitration</w:t>
      </w:r>
      <w:r w:rsidRPr="00150EDC">
        <w:rPr>
          <w:rFonts w:ascii="Calibri"/>
          <w:spacing w:val="-4"/>
          <w:sz w:val="24"/>
        </w:rPr>
        <w:t xml:space="preserve"> </w:t>
      </w:r>
      <w:r w:rsidRPr="00150EDC">
        <w:rPr>
          <w:rFonts w:ascii="Calibri"/>
          <w:sz w:val="24"/>
        </w:rPr>
        <w:t>using</w:t>
      </w:r>
      <w:r w:rsidRPr="00150EDC">
        <w:rPr>
          <w:rFonts w:ascii="Calibri"/>
          <w:spacing w:val="-3"/>
          <w:sz w:val="24"/>
        </w:rPr>
        <w:t xml:space="preserve"> </w:t>
      </w:r>
      <w:r w:rsidRPr="00150EDC">
        <w:rPr>
          <w:rFonts w:ascii="Calibri"/>
          <w:sz w:val="24"/>
        </w:rPr>
        <w:t>Clause</w:t>
      </w:r>
      <w:r w:rsidRPr="00150EDC">
        <w:rPr>
          <w:rFonts w:ascii="Calibri"/>
          <w:spacing w:val="-2"/>
          <w:sz w:val="24"/>
        </w:rPr>
        <w:t xml:space="preserve"> </w:t>
      </w:r>
      <w:r w:rsidRPr="00150EDC">
        <w:rPr>
          <w:rFonts w:ascii="Calibri"/>
          <w:sz w:val="24"/>
        </w:rPr>
        <w:t>34.4,</w:t>
      </w:r>
      <w:r w:rsidRPr="00150EDC">
        <w:rPr>
          <w:rFonts w:ascii="Calibri"/>
          <w:spacing w:val="-5"/>
          <w:sz w:val="24"/>
        </w:rPr>
        <w:t xml:space="preserve"> </w:t>
      </w:r>
      <w:r w:rsidRPr="00150EDC">
        <w:rPr>
          <w:rFonts w:ascii="Calibri"/>
          <w:sz w:val="24"/>
        </w:rPr>
        <w:t>the</w:t>
      </w:r>
      <w:r w:rsidRPr="00150EDC">
        <w:rPr>
          <w:rFonts w:ascii="Calibri"/>
          <w:spacing w:val="-4"/>
          <w:sz w:val="24"/>
        </w:rPr>
        <w:t xml:space="preserve"> </w:t>
      </w:r>
      <w:r w:rsidRPr="00150EDC">
        <w:rPr>
          <w:rFonts w:ascii="Calibri"/>
          <w:sz w:val="24"/>
        </w:rPr>
        <w:t>Parties</w:t>
      </w:r>
      <w:r w:rsidRPr="00150EDC">
        <w:rPr>
          <w:rFonts w:ascii="Calibri"/>
          <w:spacing w:val="-3"/>
          <w:sz w:val="24"/>
        </w:rPr>
        <w:t xml:space="preserve"> </w:t>
      </w:r>
      <w:r w:rsidRPr="00150EDC">
        <w:rPr>
          <w:rFonts w:ascii="Calibri"/>
          <w:sz w:val="24"/>
        </w:rPr>
        <w:t>irrevocably agree that the courts of England and Wales have the exclusive jurisdiction to:</w:t>
      </w:r>
    </w:p>
    <w:p w14:paraId="5DA8CE94" w14:textId="77777777" w:rsidR="004C7180" w:rsidRPr="00150EDC" w:rsidRDefault="004C7180">
      <w:pPr>
        <w:pStyle w:val="BodyText"/>
        <w:spacing w:before="4"/>
        <w:rPr>
          <w:rFonts w:ascii="Calibri"/>
          <w:sz w:val="27"/>
        </w:rPr>
      </w:pPr>
    </w:p>
    <w:p w14:paraId="3009FAAE" w14:textId="77777777" w:rsidR="004C7180" w:rsidRPr="00150EDC" w:rsidRDefault="00CF0754" w:rsidP="00B320C7">
      <w:pPr>
        <w:pStyle w:val="ListParagraph"/>
        <w:numPr>
          <w:ilvl w:val="0"/>
          <w:numId w:val="138"/>
        </w:numPr>
        <w:tabs>
          <w:tab w:val="left" w:pos="1491"/>
        </w:tabs>
        <w:ind w:left="1491" w:hanging="425"/>
        <w:rPr>
          <w:rFonts w:ascii="Calibri"/>
          <w:sz w:val="24"/>
        </w:rPr>
      </w:pPr>
      <w:r w:rsidRPr="00150EDC">
        <w:rPr>
          <w:rFonts w:ascii="Calibri"/>
          <w:sz w:val="24"/>
        </w:rPr>
        <w:t>determine</w:t>
      </w:r>
      <w:r w:rsidRPr="00150EDC">
        <w:rPr>
          <w:rFonts w:ascii="Calibri"/>
          <w:spacing w:val="-5"/>
          <w:sz w:val="24"/>
        </w:rPr>
        <w:t xml:space="preserve"> </w:t>
      </w:r>
      <w:r w:rsidRPr="00150EDC">
        <w:rPr>
          <w:rFonts w:ascii="Calibri"/>
          <w:sz w:val="24"/>
        </w:rPr>
        <w:t>the</w:t>
      </w:r>
      <w:r w:rsidRPr="00150EDC">
        <w:rPr>
          <w:rFonts w:ascii="Calibri"/>
          <w:spacing w:val="-3"/>
          <w:sz w:val="24"/>
        </w:rPr>
        <w:t xml:space="preserve"> </w:t>
      </w:r>
      <w:r w:rsidRPr="00150EDC">
        <w:rPr>
          <w:rFonts w:ascii="Calibri"/>
          <w:spacing w:val="-2"/>
          <w:sz w:val="24"/>
        </w:rPr>
        <w:t>Dispute;</w:t>
      </w:r>
    </w:p>
    <w:p w14:paraId="09E2A2CE" w14:textId="77777777" w:rsidR="004C7180" w:rsidRPr="00150EDC" w:rsidRDefault="00CF0754" w:rsidP="00B320C7">
      <w:pPr>
        <w:pStyle w:val="ListParagraph"/>
        <w:numPr>
          <w:ilvl w:val="0"/>
          <w:numId w:val="138"/>
        </w:numPr>
        <w:tabs>
          <w:tab w:val="left" w:pos="1491"/>
        </w:tabs>
        <w:spacing w:before="19"/>
        <w:ind w:left="1491" w:hanging="425"/>
        <w:rPr>
          <w:rFonts w:ascii="Calibri"/>
          <w:sz w:val="24"/>
        </w:rPr>
      </w:pPr>
      <w:r w:rsidRPr="00150EDC">
        <w:rPr>
          <w:rFonts w:ascii="Calibri"/>
          <w:sz w:val="24"/>
        </w:rPr>
        <w:t>grant</w:t>
      </w:r>
      <w:r w:rsidRPr="00150EDC">
        <w:rPr>
          <w:rFonts w:ascii="Calibri"/>
          <w:spacing w:val="-4"/>
          <w:sz w:val="24"/>
        </w:rPr>
        <w:t xml:space="preserve"> </w:t>
      </w:r>
      <w:r w:rsidRPr="00150EDC">
        <w:rPr>
          <w:rFonts w:ascii="Calibri"/>
          <w:sz w:val="24"/>
        </w:rPr>
        <w:t>interim</w:t>
      </w:r>
      <w:r w:rsidRPr="00150EDC">
        <w:rPr>
          <w:rFonts w:ascii="Calibri"/>
          <w:spacing w:val="-4"/>
          <w:sz w:val="24"/>
        </w:rPr>
        <w:t xml:space="preserve"> </w:t>
      </w:r>
      <w:r w:rsidRPr="00150EDC">
        <w:rPr>
          <w:rFonts w:ascii="Calibri"/>
          <w:sz w:val="24"/>
        </w:rPr>
        <w:t>remedies;</w:t>
      </w:r>
      <w:r w:rsidRPr="00150EDC">
        <w:rPr>
          <w:rFonts w:ascii="Calibri"/>
          <w:spacing w:val="-3"/>
          <w:sz w:val="24"/>
        </w:rPr>
        <w:t xml:space="preserve"> </w:t>
      </w:r>
      <w:r w:rsidRPr="00150EDC">
        <w:rPr>
          <w:rFonts w:ascii="Calibri"/>
          <w:spacing w:val="-2"/>
          <w:sz w:val="24"/>
        </w:rPr>
        <w:t>and/or</w:t>
      </w:r>
    </w:p>
    <w:p w14:paraId="568C7826" w14:textId="77777777" w:rsidR="004C7180" w:rsidRPr="00150EDC" w:rsidRDefault="004C7180">
      <w:pPr>
        <w:rPr>
          <w:rFonts w:ascii="Calibri"/>
          <w:sz w:val="24"/>
        </w:rPr>
        <w:sectPr w:rsidR="004C7180" w:rsidRPr="00150EDC">
          <w:pgSz w:w="11910" w:h="16840"/>
          <w:pgMar w:top="620" w:right="0" w:bottom="2440" w:left="40" w:header="403" w:footer="2245" w:gutter="0"/>
          <w:cols w:space="720"/>
        </w:sectPr>
      </w:pPr>
    </w:p>
    <w:p w14:paraId="65EA364D" w14:textId="77777777" w:rsidR="004C7180" w:rsidRPr="00150EDC" w:rsidRDefault="004C7180">
      <w:pPr>
        <w:pStyle w:val="BodyText"/>
        <w:spacing w:before="11"/>
        <w:rPr>
          <w:rFonts w:ascii="Calibri"/>
          <w:sz w:val="17"/>
        </w:rPr>
      </w:pPr>
    </w:p>
    <w:p w14:paraId="65320269" w14:textId="77777777" w:rsidR="004C7180" w:rsidRPr="00150EDC" w:rsidRDefault="00CF0754" w:rsidP="00B320C7">
      <w:pPr>
        <w:pStyle w:val="ListParagraph"/>
        <w:numPr>
          <w:ilvl w:val="0"/>
          <w:numId w:val="138"/>
        </w:numPr>
        <w:tabs>
          <w:tab w:val="left" w:pos="1492"/>
        </w:tabs>
        <w:spacing w:before="52"/>
        <w:ind w:left="1492" w:hanging="426"/>
        <w:rPr>
          <w:rFonts w:ascii="Calibri"/>
          <w:sz w:val="24"/>
        </w:rPr>
      </w:pPr>
      <w:r w:rsidRPr="00150EDC">
        <w:rPr>
          <w:rFonts w:ascii="Calibri"/>
          <w:sz w:val="24"/>
        </w:rPr>
        <w:t>grant</w:t>
      </w:r>
      <w:r w:rsidRPr="00150EDC">
        <w:rPr>
          <w:rFonts w:ascii="Calibri"/>
          <w:spacing w:val="-4"/>
          <w:sz w:val="24"/>
        </w:rPr>
        <w:t xml:space="preserve"> </w:t>
      </w:r>
      <w:r w:rsidRPr="00150EDC">
        <w:rPr>
          <w:rFonts w:ascii="Calibri"/>
          <w:sz w:val="24"/>
        </w:rPr>
        <w:t>any</w:t>
      </w:r>
      <w:r w:rsidRPr="00150EDC">
        <w:rPr>
          <w:rFonts w:ascii="Calibri"/>
          <w:spacing w:val="-3"/>
          <w:sz w:val="24"/>
        </w:rPr>
        <w:t xml:space="preserve"> </w:t>
      </w:r>
      <w:r w:rsidRPr="00150EDC">
        <w:rPr>
          <w:rFonts w:ascii="Calibri"/>
          <w:sz w:val="24"/>
        </w:rPr>
        <w:t>other</w:t>
      </w:r>
      <w:r w:rsidRPr="00150EDC">
        <w:rPr>
          <w:rFonts w:ascii="Calibri"/>
          <w:spacing w:val="-3"/>
          <w:sz w:val="24"/>
        </w:rPr>
        <w:t xml:space="preserve"> </w:t>
      </w:r>
      <w:r w:rsidRPr="00150EDC">
        <w:rPr>
          <w:rFonts w:ascii="Calibri"/>
          <w:sz w:val="24"/>
        </w:rPr>
        <w:t>provisional</w:t>
      </w:r>
      <w:r w:rsidRPr="00150EDC">
        <w:rPr>
          <w:rFonts w:ascii="Calibri"/>
          <w:spacing w:val="-2"/>
          <w:sz w:val="24"/>
        </w:rPr>
        <w:t xml:space="preserve"> </w:t>
      </w:r>
      <w:r w:rsidRPr="00150EDC">
        <w:rPr>
          <w:rFonts w:ascii="Calibri"/>
          <w:sz w:val="24"/>
        </w:rPr>
        <w:t>or</w:t>
      </w:r>
      <w:r w:rsidRPr="00150EDC">
        <w:rPr>
          <w:rFonts w:ascii="Calibri"/>
          <w:spacing w:val="-4"/>
          <w:sz w:val="24"/>
        </w:rPr>
        <w:t xml:space="preserve"> </w:t>
      </w:r>
      <w:r w:rsidRPr="00150EDC">
        <w:rPr>
          <w:rFonts w:ascii="Calibri"/>
          <w:sz w:val="24"/>
        </w:rPr>
        <w:t>protective</w:t>
      </w:r>
      <w:r w:rsidRPr="00150EDC">
        <w:rPr>
          <w:rFonts w:ascii="Calibri"/>
          <w:spacing w:val="-2"/>
          <w:sz w:val="24"/>
        </w:rPr>
        <w:t xml:space="preserve"> relief.</w:t>
      </w:r>
    </w:p>
    <w:p w14:paraId="4A935933" w14:textId="77777777" w:rsidR="004C7180" w:rsidRPr="00150EDC" w:rsidRDefault="004C7180">
      <w:pPr>
        <w:pStyle w:val="BodyText"/>
        <w:spacing w:before="9"/>
        <w:rPr>
          <w:rFonts w:ascii="Calibri"/>
          <w:sz w:val="25"/>
        </w:rPr>
      </w:pPr>
    </w:p>
    <w:p w14:paraId="11D1D851" w14:textId="77777777" w:rsidR="004C7180" w:rsidRPr="00150EDC" w:rsidRDefault="00CF0754" w:rsidP="00B320C7">
      <w:pPr>
        <w:pStyle w:val="ListParagraph"/>
        <w:numPr>
          <w:ilvl w:val="1"/>
          <w:numId w:val="182"/>
        </w:numPr>
        <w:tabs>
          <w:tab w:val="left" w:pos="1064"/>
          <w:tab w:val="left" w:pos="1066"/>
        </w:tabs>
        <w:ind w:right="738"/>
        <w:rPr>
          <w:rFonts w:ascii="Calibri"/>
          <w:sz w:val="24"/>
        </w:rPr>
      </w:pPr>
      <w:r w:rsidRPr="00150EDC">
        <w:rPr>
          <w:rFonts w:ascii="Calibri"/>
          <w:sz w:val="24"/>
        </w:rPr>
        <w:t>The</w:t>
      </w:r>
      <w:r w:rsidRPr="00150EDC">
        <w:rPr>
          <w:rFonts w:ascii="Calibri"/>
          <w:spacing w:val="-1"/>
          <w:sz w:val="24"/>
        </w:rPr>
        <w:t xml:space="preserve"> </w:t>
      </w:r>
      <w:r w:rsidRPr="00150EDC">
        <w:rPr>
          <w:rFonts w:ascii="Calibri"/>
          <w:sz w:val="24"/>
        </w:rPr>
        <w:t>Supplier</w:t>
      </w:r>
      <w:r w:rsidRPr="00150EDC">
        <w:rPr>
          <w:rFonts w:ascii="Calibri"/>
          <w:spacing w:val="-3"/>
          <w:sz w:val="24"/>
        </w:rPr>
        <w:t xml:space="preserve"> </w:t>
      </w:r>
      <w:r w:rsidRPr="00150EDC">
        <w:rPr>
          <w:rFonts w:ascii="Calibri"/>
          <w:sz w:val="24"/>
        </w:rPr>
        <w:t>agrees</w:t>
      </w:r>
      <w:r w:rsidRPr="00150EDC">
        <w:rPr>
          <w:rFonts w:ascii="Calibri"/>
          <w:spacing w:val="-4"/>
          <w:sz w:val="24"/>
        </w:rPr>
        <w:t xml:space="preserve"> </w:t>
      </w:r>
      <w:r w:rsidRPr="00150EDC">
        <w:rPr>
          <w:rFonts w:ascii="Calibri"/>
          <w:sz w:val="24"/>
        </w:rPr>
        <w:t>that</w:t>
      </w:r>
      <w:r w:rsidRPr="00150EDC">
        <w:rPr>
          <w:rFonts w:ascii="Calibri"/>
          <w:spacing w:val="-3"/>
          <w:sz w:val="24"/>
        </w:rPr>
        <w:t xml:space="preserve"> </w:t>
      </w:r>
      <w:r w:rsidRPr="00150EDC">
        <w:rPr>
          <w:rFonts w:ascii="Calibri"/>
          <w:sz w:val="24"/>
        </w:rPr>
        <w:t>the</w:t>
      </w:r>
      <w:r w:rsidRPr="00150EDC">
        <w:rPr>
          <w:rFonts w:ascii="Calibri"/>
          <w:spacing w:val="-4"/>
          <w:sz w:val="24"/>
        </w:rPr>
        <w:t xml:space="preserve"> </w:t>
      </w:r>
      <w:r w:rsidRPr="00150EDC">
        <w:rPr>
          <w:rFonts w:ascii="Calibri"/>
          <w:sz w:val="24"/>
        </w:rPr>
        <w:t>Relevant</w:t>
      </w:r>
      <w:r w:rsidRPr="00150EDC">
        <w:rPr>
          <w:rFonts w:ascii="Calibri"/>
          <w:spacing w:val="-1"/>
          <w:sz w:val="24"/>
        </w:rPr>
        <w:t xml:space="preserve"> </w:t>
      </w:r>
      <w:r w:rsidRPr="00150EDC">
        <w:rPr>
          <w:rFonts w:ascii="Calibri"/>
          <w:sz w:val="24"/>
        </w:rPr>
        <w:t>Authority</w:t>
      </w:r>
      <w:r w:rsidRPr="00150EDC">
        <w:rPr>
          <w:rFonts w:ascii="Calibri"/>
          <w:spacing w:val="-2"/>
          <w:sz w:val="24"/>
        </w:rPr>
        <w:t xml:space="preserve"> </w:t>
      </w:r>
      <w:r w:rsidRPr="00150EDC">
        <w:rPr>
          <w:rFonts w:ascii="Calibri"/>
          <w:sz w:val="24"/>
        </w:rPr>
        <w:t>has</w:t>
      </w:r>
      <w:r w:rsidRPr="00150EDC">
        <w:rPr>
          <w:rFonts w:ascii="Calibri"/>
          <w:spacing w:val="-2"/>
          <w:sz w:val="24"/>
        </w:rPr>
        <w:t xml:space="preserve"> </w:t>
      </w:r>
      <w:r w:rsidRPr="00150EDC">
        <w:rPr>
          <w:rFonts w:ascii="Calibri"/>
          <w:sz w:val="24"/>
        </w:rPr>
        <w:t>the</w:t>
      </w:r>
      <w:r w:rsidRPr="00150EDC">
        <w:rPr>
          <w:rFonts w:ascii="Calibri"/>
          <w:spacing w:val="-1"/>
          <w:sz w:val="24"/>
        </w:rPr>
        <w:t xml:space="preserve"> </w:t>
      </w:r>
      <w:r w:rsidRPr="00150EDC">
        <w:rPr>
          <w:rFonts w:ascii="Calibri"/>
          <w:sz w:val="24"/>
        </w:rPr>
        <w:t>exclusive</w:t>
      </w:r>
      <w:r w:rsidRPr="00150EDC">
        <w:rPr>
          <w:rFonts w:ascii="Calibri"/>
          <w:spacing w:val="-4"/>
          <w:sz w:val="24"/>
        </w:rPr>
        <w:t xml:space="preserve"> </w:t>
      </w:r>
      <w:r w:rsidRPr="00150EDC">
        <w:rPr>
          <w:rFonts w:ascii="Calibri"/>
          <w:sz w:val="24"/>
        </w:rPr>
        <w:t>right</w:t>
      </w:r>
      <w:r w:rsidRPr="00150EDC">
        <w:rPr>
          <w:rFonts w:ascii="Calibri"/>
          <w:spacing w:val="-1"/>
          <w:sz w:val="24"/>
        </w:rPr>
        <w:t xml:space="preserve"> </w:t>
      </w:r>
      <w:r w:rsidRPr="00150EDC">
        <w:rPr>
          <w:rFonts w:ascii="Calibri"/>
          <w:sz w:val="24"/>
        </w:rPr>
        <w:t>to</w:t>
      </w:r>
      <w:r w:rsidRPr="00150EDC">
        <w:rPr>
          <w:rFonts w:ascii="Calibri"/>
          <w:spacing w:val="-1"/>
          <w:sz w:val="24"/>
        </w:rPr>
        <w:t xml:space="preserve"> </w:t>
      </w:r>
      <w:r w:rsidRPr="00150EDC">
        <w:rPr>
          <w:rFonts w:ascii="Calibri"/>
          <w:sz w:val="24"/>
        </w:rPr>
        <w:t>refer</w:t>
      </w:r>
      <w:r w:rsidRPr="00150EDC">
        <w:rPr>
          <w:rFonts w:ascii="Calibri"/>
          <w:spacing w:val="-3"/>
          <w:sz w:val="24"/>
        </w:rPr>
        <w:t xml:space="preserve"> </w:t>
      </w:r>
      <w:r w:rsidRPr="00150EDC">
        <w:rPr>
          <w:rFonts w:ascii="Calibri"/>
          <w:sz w:val="24"/>
        </w:rPr>
        <w:t>any</w:t>
      </w:r>
      <w:r w:rsidRPr="00150EDC">
        <w:rPr>
          <w:rFonts w:ascii="Calibri"/>
          <w:spacing w:val="-5"/>
          <w:sz w:val="24"/>
        </w:rPr>
        <w:t xml:space="preserve"> </w:t>
      </w:r>
      <w:r w:rsidRPr="00150EDC">
        <w:rPr>
          <w:rFonts w:ascii="Calibri"/>
          <w:sz w:val="24"/>
        </w:rPr>
        <w:t>Dispute</w:t>
      </w:r>
      <w:r w:rsidRPr="00150EDC">
        <w:rPr>
          <w:rFonts w:ascii="Calibri"/>
          <w:spacing w:val="-4"/>
          <w:sz w:val="24"/>
        </w:rPr>
        <w:t xml:space="preserve"> </w:t>
      </w:r>
      <w:r w:rsidRPr="00150EDC">
        <w:rPr>
          <w:rFonts w:ascii="Calibri"/>
          <w:sz w:val="24"/>
        </w:rPr>
        <w:t>to</w:t>
      </w:r>
      <w:r w:rsidRPr="00150EDC">
        <w:rPr>
          <w:rFonts w:ascii="Calibri"/>
          <w:spacing w:val="-4"/>
          <w:sz w:val="24"/>
        </w:rPr>
        <w:t xml:space="preserve"> </w:t>
      </w:r>
      <w:r w:rsidRPr="00150EDC">
        <w:rPr>
          <w:rFonts w:ascii="Calibri"/>
          <w:sz w:val="24"/>
        </w:rPr>
        <w:t>be</w:t>
      </w:r>
      <w:r w:rsidRPr="00150EDC">
        <w:rPr>
          <w:rFonts w:ascii="Calibri"/>
          <w:spacing w:val="-4"/>
          <w:sz w:val="24"/>
        </w:rPr>
        <w:t xml:space="preserve"> </w:t>
      </w:r>
      <w:r w:rsidRPr="00150EDC">
        <w:rPr>
          <w:rFonts w:ascii="Calibri"/>
          <w:sz w:val="24"/>
        </w:rPr>
        <w:t>finally resolved</w:t>
      </w:r>
      <w:r w:rsidRPr="00150EDC">
        <w:rPr>
          <w:rFonts w:ascii="Calibri"/>
          <w:spacing w:val="-4"/>
          <w:sz w:val="24"/>
        </w:rPr>
        <w:t xml:space="preserve"> </w:t>
      </w:r>
      <w:r w:rsidRPr="00150EDC">
        <w:rPr>
          <w:rFonts w:ascii="Calibri"/>
          <w:sz w:val="24"/>
        </w:rPr>
        <w:t>by</w:t>
      </w:r>
      <w:r w:rsidRPr="00150EDC">
        <w:rPr>
          <w:rFonts w:ascii="Calibri"/>
          <w:spacing w:val="-3"/>
          <w:sz w:val="24"/>
        </w:rPr>
        <w:t xml:space="preserve"> </w:t>
      </w:r>
      <w:r w:rsidRPr="00150EDC">
        <w:rPr>
          <w:rFonts w:ascii="Calibri"/>
          <w:sz w:val="24"/>
        </w:rPr>
        <w:t>arbitration</w:t>
      </w:r>
      <w:r w:rsidRPr="00150EDC">
        <w:rPr>
          <w:rFonts w:ascii="Calibri"/>
          <w:spacing w:val="-4"/>
          <w:sz w:val="24"/>
        </w:rPr>
        <w:t xml:space="preserve"> </w:t>
      </w:r>
      <w:r w:rsidRPr="00150EDC">
        <w:rPr>
          <w:rFonts w:ascii="Calibri"/>
          <w:sz w:val="24"/>
        </w:rPr>
        <w:t>under</w:t>
      </w:r>
      <w:r w:rsidRPr="00150EDC">
        <w:rPr>
          <w:rFonts w:ascii="Calibri"/>
          <w:spacing w:val="-4"/>
          <w:sz w:val="24"/>
        </w:rPr>
        <w:t xml:space="preserve"> </w:t>
      </w:r>
      <w:r w:rsidRPr="00150EDC">
        <w:rPr>
          <w:rFonts w:ascii="Calibri"/>
          <w:sz w:val="24"/>
        </w:rPr>
        <w:t>the</w:t>
      </w:r>
      <w:r w:rsidRPr="00150EDC">
        <w:rPr>
          <w:rFonts w:ascii="Calibri"/>
          <w:spacing w:val="-2"/>
          <w:sz w:val="24"/>
        </w:rPr>
        <w:t xml:space="preserve"> </w:t>
      </w:r>
      <w:r w:rsidRPr="00150EDC">
        <w:rPr>
          <w:rFonts w:ascii="Calibri"/>
          <w:sz w:val="24"/>
        </w:rPr>
        <w:t>London</w:t>
      </w:r>
      <w:r w:rsidRPr="00150EDC">
        <w:rPr>
          <w:rFonts w:ascii="Calibri"/>
          <w:spacing w:val="-4"/>
          <w:sz w:val="24"/>
        </w:rPr>
        <w:t xml:space="preserve"> </w:t>
      </w:r>
      <w:r w:rsidRPr="00150EDC">
        <w:rPr>
          <w:rFonts w:ascii="Calibri"/>
          <w:sz w:val="24"/>
        </w:rPr>
        <w:t>Court</w:t>
      </w:r>
      <w:r w:rsidRPr="00150EDC">
        <w:rPr>
          <w:rFonts w:ascii="Calibri"/>
          <w:spacing w:val="-2"/>
          <w:sz w:val="24"/>
        </w:rPr>
        <w:t xml:space="preserve"> </w:t>
      </w:r>
      <w:r w:rsidRPr="00150EDC">
        <w:rPr>
          <w:rFonts w:ascii="Calibri"/>
          <w:sz w:val="24"/>
        </w:rPr>
        <w:t>of</w:t>
      </w:r>
      <w:r w:rsidRPr="00150EDC">
        <w:rPr>
          <w:rFonts w:ascii="Calibri"/>
          <w:spacing w:val="-2"/>
          <w:sz w:val="24"/>
        </w:rPr>
        <w:t xml:space="preserve"> </w:t>
      </w:r>
      <w:r w:rsidRPr="00150EDC">
        <w:rPr>
          <w:rFonts w:ascii="Calibri"/>
          <w:sz w:val="24"/>
        </w:rPr>
        <w:t>International</w:t>
      </w:r>
      <w:r w:rsidRPr="00150EDC">
        <w:rPr>
          <w:rFonts w:ascii="Calibri"/>
          <w:spacing w:val="-2"/>
          <w:sz w:val="24"/>
        </w:rPr>
        <w:t xml:space="preserve"> </w:t>
      </w:r>
      <w:r w:rsidRPr="00150EDC">
        <w:rPr>
          <w:rFonts w:ascii="Calibri"/>
          <w:sz w:val="24"/>
        </w:rPr>
        <w:t>Arbitration</w:t>
      </w:r>
      <w:r w:rsidRPr="00150EDC">
        <w:rPr>
          <w:rFonts w:ascii="Calibri"/>
          <w:spacing w:val="-2"/>
          <w:sz w:val="24"/>
        </w:rPr>
        <w:t xml:space="preserve"> </w:t>
      </w:r>
      <w:r w:rsidRPr="00150EDC">
        <w:rPr>
          <w:rFonts w:ascii="Calibri"/>
          <w:sz w:val="24"/>
        </w:rPr>
        <w:t>Rules</w:t>
      </w:r>
      <w:r w:rsidRPr="00150EDC">
        <w:rPr>
          <w:rFonts w:ascii="Calibri"/>
          <w:spacing w:val="-5"/>
          <w:sz w:val="24"/>
        </w:rPr>
        <w:t xml:space="preserve"> </w:t>
      </w:r>
      <w:r w:rsidRPr="00150EDC">
        <w:rPr>
          <w:rFonts w:ascii="Calibri"/>
          <w:sz w:val="24"/>
        </w:rPr>
        <w:t>current</w:t>
      </w:r>
      <w:r w:rsidRPr="00150EDC">
        <w:rPr>
          <w:rFonts w:ascii="Calibri"/>
          <w:spacing w:val="-4"/>
          <w:sz w:val="24"/>
        </w:rPr>
        <w:t xml:space="preserve"> </w:t>
      </w:r>
      <w:r w:rsidRPr="00150EDC">
        <w:rPr>
          <w:rFonts w:ascii="Calibri"/>
          <w:sz w:val="24"/>
        </w:rPr>
        <w:t>at</w:t>
      </w:r>
      <w:r w:rsidRPr="00150EDC">
        <w:rPr>
          <w:rFonts w:ascii="Calibri"/>
          <w:spacing w:val="-4"/>
          <w:sz w:val="24"/>
        </w:rPr>
        <w:t xml:space="preserve"> </w:t>
      </w:r>
      <w:r w:rsidRPr="00150EDC">
        <w:rPr>
          <w:rFonts w:ascii="Calibri"/>
          <w:sz w:val="24"/>
        </w:rPr>
        <w:t>the</w:t>
      </w:r>
      <w:r w:rsidRPr="00150EDC">
        <w:rPr>
          <w:rFonts w:ascii="Calibri"/>
          <w:spacing w:val="-4"/>
          <w:sz w:val="24"/>
        </w:rPr>
        <w:t xml:space="preserve"> </w:t>
      </w:r>
      <w:r w:rsidRPr="00150EDC">
        <w:rPr>
          <w:rFonts w:ascii="Calibri"/>
          <w:sz w:val="24"/>
        </w:rPr>
        <w:t>time</w:t>
      </w:r>
      <w:r w:rsidRPr="00150EDC">
        <w:rPr>
          <w:rFonts w:ascii="Calibri"/>
          <w:spacing w:val="-2"/>
          <w:sz w:val="24"/>
        </w:rPr>
        <w:t xml:space="preserve"> </w:t>
      </w:r>
      <w:r w:rsidRPr="00150EDC">
        <w:rPr>
          <w:rFonts w:ascii="Calibri"/>
          <w:sz w:val="24"/>
        </w:rPr>
        <w:t>of the Dispute. There will be only one arbitrator. The seat or legal place of the arbitration will be London and the proceedings will be in English.</w:t>
      </w:r>
    </w:p>
    <w:p w14:paraId="3A644649" w14:textId="77777777" w:rsidR="004C7180" w:rsidRPr="00150EDC" w:rsidRDefault="004C7180">
      <w:pPr>
        <w:pStyle w:val="BodyText"/>
        <w:spacing w:before="2"/>
        <w:rPr>
          <w:rFonts w:ascii="Calibri"/>
        </w:rPr>
      </w:pPr>
    </w:p>
    <w:p w14:paraId="33E93477" w14:textId="77777777" w:rsidR="004C7180" w:rsidRPr="00150EDC" w:rsidRDefault="00CF0754" w:rsidP="00B320C7">
      <w:pPr>
        <w:pStyle w:val="ListParagraph"/>
        <w:numPr>
          <w:ilvl w:val="1"/>
          <w:numId w:val="182"/>
        </w:numPr>
        <w:tabs>
          <w:tab w:val="left" w:pos="1064"/>
          <w:tab w:val="left" w:pos="1066"/>
        </w:tabs>
        <w:ind w:right="604"/>
        <w:rPr>
          <w:rFonts w:ascii="Calibri"/>
          <w:sz w:val="24"/>
        </w:rPr>
      </w:pPr>
      <w:r w:rsidRPr="00150EDC">
        <w:rPr>
          <w:rFonts w:ascii="Calibri"/>
          <w:sz w:val="24"/>
        </w:rPr>
        <w:t>The Relevant Authority has the right to refer a Dispute to arbitration even if the Supplier has started or has</w:t>
      </w:r>
      <w:r w:rsidRPr="00150EDC">
        <w:rPr>
          <w:rFonts w:ascii="Calibri"/>
          <w:spacing w:val="-2"/>
          <w:sz w:val="24"/>
        </w:rPr>
        <w:t xml:space="preserve"> </w:t>
      </w:r>
      <w:r w:rsidRPr="00150EDC">
        <w:rPr>
          <w:rFonts w:ascii="Calibri"/>
          <w:sz w:val="24"/>
        </w:rPr>
        <w:t>attempted</w:t>
      </w:r>
      <w:r w:rsidRPr="00150EDC">
        <w:rPr>
          <w:rFonts w:ascii="Calibri"/>
          <w:spacing w:val="-3"/>
          <w:sz w:val="24"/>
        </w:rPr>
        <w:t xml:space="preserve"> </w:t>
      </w:r>
      <w:r w:rsidRPr="00150EDC">
        <w:rPr>
          <w:rFonts w:ascii="Calibri"/>
          <w:sz w:val="24"/>
        </w:rPr>
        <w:t>to</w:t>
      </w:r>
      <w:r w:rsidRPr="00150EDC">
        <w:rPr>
          <w:rFonts w:ascii="Calibri"/>
          <w:spacing w:val="-2"/>
          <w:sz w:val="24"/>
        </w:rPr>
        <w:t xml:space="preserve"> </w:t>
      </w:r>
      <w:r w:rsidRPr="00150EDC">
        <w:rPr>
          <w:rFonts w:ascii="Calibri"/>
          <w:sz w:val="24"/>
        </w:rPr>
        <w:t>start</w:t>
      </w:r>
      <w:r w:rsidRPr="00150EDC">
        <w:rPr>
          <w:rFonts w:ascii="Calibri"/>
          <w:spacing w:val="-2"/>
          <w:sz w:val="24"/>
        </w:rPr>
        <w:t xml:space="preserve"> </w:t>
      </w:r>
      <w:r w:rsidRPr="00150EDC">
        <w:rPr>
          <w:rFonts w:ascii="Calibri"/>
          <w:sz w:val="24"/>
        </w:rPr>
        <w:t>court</w:t>
      </w:r>
      <w:r w:rsidRPr="00150EDC">
        <w:rPr>
          <w:rFonts w:ascii="Calibri"/>
          <w:spacing w:val="-3"/>
          <w:sz w:val="24"/>
        </w:rPr>
        <w:t xml:space="preserve"> </w:t>
      </w:r>
      <w:r w:rsidRPr="00150EDC">
        <w:rPr>
          <w:rFonts w:ascii="Calibri"/>
          <w:sz w:val="24"/>
        </w:rPr>
        <w:t>proceedings</w:t>
      </w:r>
      <w:r w:rsidRPr="00150EDC">
        <w:rPr>
          <w:rFonts w:ascii="Calibri"/>
          <w:spacing w:val="-3"/>
          <w:sz w:val="24"/>
        </w:rPr>
        <w:t xml:space="preserve"> </w:t>
      </w:r>
      <w:r w:rsidRPr="00150EDC">
        <w:rPr>
          <w:rFonts w:ascii="Calibri"/>
          <w:sz w:val="24"/>
        </w:rPr>
        <w:t>under</w:t>
      </w:r>
      <w:r w:rsidRPr="00150EDC">
        <w:rPr>
          <w:rFonts w:ascii="Calibri"/>
          <w:spacing w:val="-3"/>
          <w:sz w:val="24"/>
        </w:rPr>
        <w:t xml:space="preserve"> </w:t>
      </w:r>
      <w:r w:rsidRPr="00150EDC">
        <w:rPr>
          <w:rFonts w:ascii="Calibri"/>
          <w:sz w:val="24"/>
        </w:rPr>
        <w:t>Clause</w:t>
      </w:r>
      <w:r w:rsidRPr="00150EDC">
        <w:rPr>
          <w:rFonts w:ascii="Calibri"/>
          <w:spacing w:val="-2"/>
          <w:sz w:val="24"/>
        </w:rPr>
        <w:t xml:space="preserve"> </w:t>
      </w:r>
      <w:r w:rsidRPr="00150EDC">
        <w:rPr>
          <w:rFonts w:ascii="Calibri"/>
          <w:sz w:val="24"/>
        </w:rPr>
        <w:t>34.3,</w:t>
      </w:r>
      <w:r w:rsidRPr="00150EDC">
        <w:rPr>
          <w:rFonts w:ascii="Calibri"/>
          <w:spacing w:val="-2"/>
          <w:sz w:val="24"/>
        </w:rPr>
        <w:t xml:space="preserve"> </w:t>
      </w:r>
      <w:r w:rsidRPr="00150EDC">
        <w:rPr>
          <w:rFonts w:ascii="Calibri"/>
          <w:sz w:val="24"/>
        </w:rPr>
        <w:t>unless</w:t>
      </w:r>
      <w:r w:rsidRPr="00150EDC">
        <w:rPr>
          <w:rFonts w:ascii="Calibri"/>
          <w:spacing w:val="-4"/>
          <w:sz w:val="24"/>
        </w:rPr>
        <w:t xml:space="preserve"> </w:t>
      </w:r>
      <w:r w:rsidRPr="00150EDC">
        <w:rPr>
          <w:rFonts w:ascii="Calibri"/>
          <w:sz w:val="24"/>
        </w:rPr>
        <w:t>the</w:t>
      </w:r>
      <w:r w:rsidRPr="00150EDC">
        <w:rPr>
          <w:rFonts w:ascii="Calibri"/>
          <w:spacing w:val="-4"/>
          <w:sz w:val="24"/>
        </w:rPr>
        <w:t xml:space="preserve"> </w:t>
      </w:r>
      <w:r w:rsidRPr="00150EDC">
        <w:rPr>
          <w:rFonts w:ascii="Calibri"/>
          <w:sz w:val="24"/>
        </w:rPr>
        <w:t>Relevant</w:t>
      </w:r>
      <w:r w:rsidRPr="00150EDC">
        <w:rPr>
          <w:rFonts w:ascii="Calibri"/>
          <w:spacing w:val="-3"/>
          <w:sz w:val="24"/>
        </w:rPr>
        <w:t xml:space="preserve"> </w:t>
      </w:r>
      <w:r w:rsidRPr="00150EDC">
        <w:rPr>
          <w:rFonts w:ascii="Calibri"/>
          <w:sz w:val="24"/>
        </w:rPr>
        <w:t>Authority</w:t>
      </w:r>
      <w:r w:rsidRPr="00150EDC">
        <w:rPr>
          <w:rFonts w:ascii="Calibri"/>
          <w:spacing w:val="-5"/>
          <w:sz w:val="24"/>
        </w:rPr>
        <w:t xml:space="preserve"> </w:t>
      </w:r>
      <w:r w:rsidRPr="00150EDC">
        <w:rPr>
          <w:rFonts w:ascii="Calibri"/>
          <w:sz w:val="24"/>
        </w:rPr>
        <w:t>has</w:t>
      </w:r>
      <w:r w:rsidRPr="00150EDC">
        <w:rPr>
          <w:rFonts w:ascii="Calibri"/>
          <w:spacing w:val="-2"/>
          <w:sz w:val="24"/>
        </w:rPr>
        <w:t xml:space="preserve"> </w:t>
      </w:r>
      <w:r w:rsidRPr="00150EDC">
        <w:rPr>
          <w:rFonts w:ascii="Calibri"/>
          <w:sz w:val="24"/>
        </w:rPr>
        <w:t>agreed</w:t>
      </w:r>
      <w:r w:rsidRPr="00150EDC">
        <w:rPr>
          <w:rFonts w:ascii="Calibri"/>
          <w:spacing w:val="-3"/>
          <w:sz w:val="24"/>
        </w:rPr>
        <w:t xml:space="preserve"> </w:t>
      </w:r>
      <w:r w:rsidRPr="00150EDC">
        <w:rPr>
          <w:rFonts w:ascii="Calibri"/>
          <w:sz w:val="24"/>
        </w:rPr>
        <w:t>to the court proceedings or participated in them. Even if court proceedings have started, the Parties must do everything necessary to ensure that the court proceedings are stayed in favour of any arbitration proceedings if they are started under Clause 34.4.</w:t>
      </w:r>
    </w:p>
    <w:p w14:paraId="148E79D2" w14:textId="77777777" w:rsidR="004C7180" w:rsidRPr="00150EDC" w:rsidRDefault="004C7180">
      <w:pPr>
        <w:pStyle w:val="BodyText"/>
        <w:spacing w:before="11"/>
        <w:rPr>
          <w:rFonts w:ascii="Calibri"/>
          <w:sz w:val="23"/>
        </w:rPr>
      </w:pPr>
    </w:p>
    <w:p w14:paraId="38E436CB" w14:textId="77777777" w:rsidR="004C7180" w:rsidRPr="00150EDC" w:rsidRDefault="00CF0754" w:rsidP="00B320C7">
      <w:pPr>
        <w:pStyle w:val="ListParagraph"/>
        <w:numPr>
          <w:ilvl w:val="1"/>
          <w:numId w:val="182"/>
        </w:numPr>
        <w:tabs>
          <w:tab w:val="left" w:pos="1065"/>
        </w:tabs>
        <w:ind w:left="1065" w:hanging="565"/>
        <w:rPr>
          <w:rFonts w:ascii="Calibri"/>
          <w:sz w:val="24"/>
        </w:rPr>
      </w:pPr>
      <w:r w:rsidRPr="00150EDC">
        <w:rPr>
          <w:rFonts w:ascii="Calibri"/>
          <w:sz w:val="24"/>
        </w:rPr>
        <w:t>The</w:t>
      </w:r>
      <w:r w:rsidRPr="00150EDC">
        <w:rPr>
          <w:rFonts w:ascii="Calibri"/>
          <w:spacing w:val="-4"/>
          <w:sz w:val="24"/>
        </w:rPr>
        <w:t xml:space="preserve"> </w:t>
      </w:r>
      <w:r w:rsidRPr="00150EDC">
        <w:rPr>
          <w:rFonts w:ascii="Calibri"/>
          <w:sz w:val="24"/>
        </w:rPr>
        <w:t>Supplier</w:t>
      </w:r>
      <w:r w:rsidRPr="00150EDC">
        <w:rPr>
          <w:rFonts w:ascii="Calibri"/>
          <w:spacing w:val="-4"/>
          <w:sz w:val="24"/>
        </w:rPr>
        <w:t xml:space="preserve"> </w:t>
      </w:r>
      <w:r w:rsidRPr="00150EDC">
        <w:rPr>
          <w:rFonts w:ascii="Calibri"/>
          <w:sz w:val="24"/>
        </w:rPr>
        <w:t>cannot</w:t>
      </w:r>
      <w:r w:rsidRPr="00150EDC">
        <w:rPr>
          <w:rFonts w:ascii="Calibri"/>
          <w:spacing w:val="-2"/>
          <w:sz w:val="24"/>
        </w:rPr>
        <w:t xml:space="preserve"> </w:t>
      </w:r>
      <w:r w:rsidRPr="00150EDC">
        <w:rPr>
          <w:rFonts w:ascii="Calibri"/>
          <w:sz w:val="24"/>
        </w:rPr>
        <w:t>suspend</w:t>
      </w:r>
      <w:r w:rsidRPr="00150EDC">
        <w:rPr>
          <w:rFonts w:ascii="Calibri"/>
          <w:spacing w:val="-4"/>
          <w:sz w:val="24"/>
        </w:rPr>
        <w:t xml:space="preserve"> </w:t>
      </w:r>
      <w:r w:rsidRPr="00150EDC">
        <w:rPr>
          <w:rFonts w:ascii="Calibri"/>
          <w:sz w:val="24"/>
        </w:rPr>
        <w:t>the</w:t>
      </w:r>
      <w:r w:rsidRPr="00150EDC">
        <w:rPr>
          <w:rFonts w:ascii="Calibri"/>
          <w:spacing w:val="-4"/>
          <w:sz w:val="24"/>
        </w:rPr>
        <w:t xml:space="preserve"> </w:t>
      </w:r>
      <w:r w:rsidRPr="00150EDC">
        <w:rPr>
          <w:rFonts w:ascii="Calibri"/>
          <w:sz w:val="24"/>
        </w:rPr>
        <w:t>performance</w:t>
      </w:r>
      <w:r w:rsidRPr="00150EDC">
        <w:rPr>
          <w:rFonts w:ascii="Calibri"/>
          <w:spacing w:val="-1"/>
          <w:sz w:val="24"/>
        </w:rPr>
        <w:t xml:space="preserve"> </w:t>
      </w:r>
      <w:r w:rsidRPr="00150EDC">
        <w:rPr>
          <w:rFonts w:ascii="Calibri"/>
          <w:sz w:val="24"/>
        </w:rPr>
        <w:t>of</w:t>
      </w:r>
      <w:r w:rsidRPr="00150EDC">
        <w:rPr>
          <w:rFonts w:ascii="Calibri"/>
          <w:spacing w:val="-4"/>
          <w:sz w:val="24"/>
        </w:rPr>
        <w:t xml:space="preserve"> </w:t>
      </w:r>
      <w:r w:rsidRPr="00150EDC">
        <w:rPr>
          <w:rFonts w:ascii="Calibri"/>
          <w:sz w:val="24"/>
        </w:rPr>
        <w:t>a</w:t>
      </w:r>
      <w:r w:rsidRPr="00150EDC">
        <w:rPr>
          <w:rFonts w:ascii="Calibri"/>
          <w:spacing w:val="-3"/>
          <w:sz w:val="24"/>
        </w:rPr>
        <w:t xml:space="preserve"> </w:t>
      </w:r>
      <w:r w:rsidRPr="00150EDC">
        <w:rPr>
          <w:rFonts w:ascii="Calibri"/>
          <w:sz w:val="24"/>
        </w:rPr>
        <w:t>Contract</w:t>
      </w:r>
      <w:r w:rsidRPr="00150EDC">
        <w:rPr>
          <w:rFonts w:ascii="Calibri"/>
          <w:spacing w:val="-3"/>
          <w:sz w:val="24"/>
        </w:rPr>
        <w:t xml:space="preserve"> </w:t>
      </w:r>
      <w:r w:rsidRPr="00150EDC">
        <w:rPr>
          <w:rFonts w:ascii="Calibri"/>
          <w:sz w:val="24"/>
        </w:rPr>
        <w:t>during</w:t>
      </w:r>
      <w:r w:rsidRPr="00150EDC">
        <w:rPr>
          <w:rFonts w:ascii="Calibri"/>
          <w:spacing w:val="-3"/>
          <w:sz w:val="24"/>
        </w:rPr>
        <w:t xml:space="preserve"> </w:t>
      </w:r>
      <w:r w:rsidRPr="00150EDC">
        <w:rPr>
          <w:rFonts w:ascii="Calibri"/>
          <w:sz w:val="24"/>
        </w:rPr>
        <w:t>any</w:t>
      </w:r>
      <w:r w:rsidRPr="00150EDC">
        <w:rPr>
          <w:rFonts w:ascii="Calibri"/>
          <w:spacing w:val="-2"/>
          <w:sz w:val="24"/>
        </w:rPr>
        <w:t xml:space="preserve"> Dispute.</w:t>
      </w:r>
    </w:p>
    <w:p w14:paraId="2616EADB" w14:textId="77777777" w:rsidR="004C7180" w:rsidRPr="00150EDC" w:rsidRDefault="004C7180">
      <w:pPr>
        <w:pStyle w:val="BodyText"/>
        <w:spacing w:before="5"/>
        <w:rPr>
          <w:rFonts w:ascii="Calibri"/>
          <w:sz w:val="27"/>
        </w:rPr>
      </w:pPr>
    </w:p>
    <w:p w14:paraId="583C969E" w14:textId="77777777" w:rsidR="004C7180" w:rsidRPr="00150EDC" w:rsidRDefault="00CF0754" w:rsidP="00B320C7">
      <w:pPr>
        <w:pStyle w:val="Heading1"/>
        <w:numPr>
          <w:ilvl w:val="0"/>
          <w:numId w:val="182"/>
        </w:numPr>
        <w:tabs>
          <w:tab w:val="left" w:pos="1217"/>
        </w:tabs>
        <w:ind w:left="1217" w:hanging="650"/>
        <w:jc w:val="left"/>
        <w:rPr>
          <w:rFonts w:ascii="Calibri"/>
        </w:rPr>
      </w:pPr>
      <w:r w:rsidRPr="00150EDC">
        <w:rPr>
          <w:rFonts w:ascii="Calibri"/>
        </w:rPr>
        <w:t>Which</w:t>
      </w:r>
      <w:r w:rsidRPr="00150EDC">
        <w:rPr>
          <w:rFonts w:ascii="Calibri"/>
          <w:spacing w:val="-1"/>
        </w:rPr>
        <w:t xml:space="preserve"> </w:t>
      </w:r>
      <w:r w:rsidRPr="00150EDC">
        <w:rPr>
          <w:rFonts w:ascii="Calibri"/>
        </w:rPr>
        <w:t>law</w:t>
      </w:r>
      <w:r w:rsidRPr="00150EDC">
        <w:rPr>
          <w:rFonts w:ascii="Calibri"/>
          <w:spacing w:val="-1"/>
        </w:rPr>
        <w:t xml:space="preserve"> </w:t>
      </w:r>
      <w:r w:rsidRPr="00150EDC">
        <w:rPr>
          <w:rFonts w:ascii="Calibri"/>
          <w:spacing w:val="-2"/>
        </w:rPr>
        <w:t>applies</w:t>
      </w:r>
    </w:p>
    <w:p w14:paraId="276B1B0B" w14:textId="77777777" w:rsidR="004C7180" w:rsidRPr="00150EDC" w:rsidRDefault="00CF0754">
      <w:pPr>
        <w:pStyle w:val="BodyText"/>
        <w:spacing w:before="18"/>
        <w:ind w:left="1284"/>
        <w:rPr>
          <w:rFonts w:ascii="Calibri"/>
        </w:rPr>
      </w:pPr>
      <w:r w:rsidRPr="00150EDC">
        <w:rPr>
          <w:rFonts w:ascii="Calibri"/>
        </w:rPr>
        <w:t>This</w:t>
      </w:r>
      <w:r w:rsidRPr="00150EDC">
        <w:rPr>
          <w:rFonts w:ascii="Calibri"/>
          <w:spacing w:val="-5"/>
        </w:rPr>
        <w:t xml:space="preserve"> </w:t>
      </w:r>
      <w:r w:rsidRPr="00150EDC">
        <w:rPr>
          <w:rFonts w:ascii="Calibri"/>
        </w:rPr>
        <w:t>Contract</w:t>
      </w:r>
      <w:r w:rsidRPr="00150EDC">
        <w:rPr>
          <w:rFonts w:ascii="Calibri"/>
          <w:spacing w:val="-3"/>
        </w:rPr>
        <w:t xml:space="preserve"> </w:t>
      </w:r>
      <w:r w:rsidRPr="00150EDC">
        <w:rPr>
          <w:rFonts w:ascii="Calibri"/>
        </w:rPr>
        <w:t>and</w:t>
      </w:r>
      <w:r w:rsidRPr="00150EDC">
        <w:rPr>
          <w:rFonts w:ascii="Calibri"/>
          <w:spacing w:val="-1"/>
        </w:rPr>
        <w:t xml:space="preserve"> </w:t>
      </w:r>
      <w:r w:rsidRPr="00150EDC">
        <w:rPr>
          <w:rFonts w:ascii="Calibri"/>
        </w:rPr>
        <w:t>any</w:t>
      </w:r>
      <w:r w:rsidRPr="00150EDC">
        <w:rPr>
          <w:rFonts w:ascii="Calibri"/>
          <w:spacing w:val="-3"/>
        </w:rPr>
        <w:t xml:space="preserve"> </w:t>
      </w:r>
      <w:r w:rsidRPr="00150EDC">
        <w:rPr>
          <w:rFonts w:ascii="Calibri"/>
        </w:rPr>
        <w:t>Disputes</w:t>
      </w:r>
      <w:r w:rsidRPr="00150EDC">
        <w:rPr>
          <w:rFonts w:ascii="Calibri"/>
          <w:spacing w:val="-2"/>
        </w:rPr>
        <w:t xml:space="preserve"> </w:t>
      </w:r>
      <w:r w:rsidRPr="00150EDC">
        <w:rPr>
          <w:rFonts w:ascii="Calibri"/>
        </w:rPr>
        <w:t>arising</w:t>
      </w:r>
      <w:r w:rsidRPr="00150EDC">
        <w:rPr>
          <w:rFonts w:ascii="Calibri"/>
          <w:spacing w:val="-4"/>
        </w:rPr>
        <w:t xml:space="preserve"> </w:t>
      </w:r>
      <w:r w:rsidRPr="00150EDC">
        <w:rPr>
          <w:rFonts w:ascii="Calibri"/>
        </w:rPr>
        <w:t>out</w:t>
      </w:r>
      <w:r w:rsidRPr="00150EDC">
        <w:rPr>
          <w:rFonts w:ascii="Calibri"/>
          <w:spacing w:val="-3"/>
        </w:rPr>
        <w:t xml:space="preserve"> </w:t>
      </w:r>
      <w:r w:rsidRPr="00150EDC">
        <w:rPr>
          <w:rFonts w:ascii="Calibri"/>
        </w:rPr>
        <w:t>of,</w:t>
      </w:r>
      <w:r w:rsidRPr="00150EDC">
        <w:rPr>
          <w:rFonts w:ascii="Calibri"/>
          <w:spacing w:val="-4"/>
        </w:rPr>
        <w:t xml:space="preserve"> </w:t>
      </w:r>
      <w:r w:rsidRPr="00150EDC">
        <w:rPr>
          <w:rFonts w:ascii="Calibri"/>
        </w:rPr>
        <w:t>or</w:t>
      </w:r>
      <w:r w:rsidRPr="00150EDC">
        <w:rPr>
          <w:rFonts w:ascii="Calibri"/>
          <w:spacing w:val="-4"/>
        </w:rPr>
        <w:t xml:space="preserve"> </w:t>
      </w:r>
      <w:r w:rsidRPr="00150EDC">
        <w:rPr>
          <w:rFonts w:ascii="Calibri"/>
        </w:rPr>
        <w:t>connected</w:t>
      </w:r>
      <w:r w:rsidRPr="00150EDC">
        <w:rPr>
          <w:rFonts w:ascii="Calibri"/>
          <w:spacing w:val="5"/>
        </w:rPr>
        <w:t xml:space="preserve"> </w:t>
      </w:r>
      <w:r w:rsidRPr="00150EDC">
        <w:rPr>
          <w:rFonts w:ascii="Calibri"/>
        </w:rPr>
        <w:t>to</w:t>
      </w:r>
      <w:r w:rsidRPr="00150EDC">
        <w:rPr>
          <w:rFonts w:ascii="Calibri"/>
          <w:spacing w:val="-4"/>
        </w:rPr>
        <w:t xml:space="preserve"> </w:t>
      </w:r>
      <w:r w:rsidRPr="00150EDC">
        <w:rPr>
          <w:rFonts w:ascii="Calibri"/>
        </w:rPr>
        <w:t>it,</w:t>
      </w:r>
      <w:r w:rsidRPr="00150EDC">
        <w:rPr>
          <w:rFonts w:ascii="Calibri"/>
          <w:spacing w:val="-5"/>
        </w:rPr>
        <w:t xml:space="preserve"> </w:t>
      </w:r>
      <w:r w:rsidRPr="00150EDC">
        <w:rPr>
          <w:rFonts w:ascii="Calibri"/>
        </w:rPr>
        <w:t>are</w:t>
      </w:r>
      <w:r w:rsidRPr="00150EDC">
        <w:rPr>
          <w:rFonts w:ascii="Calibri"/>
          <w:spacing w:val="-1"/>
        </w:rPr>
        <w:t xml:space="preserve"> </w:t>
      </w:r>
      <w:r w:rsidRPr="00150EDC">
        <w:rPr>
          <w:rFonts w:ascii="Calibri"/>
        </w:rPr>
        <w:t>governed</w:t>
      </w:r>
      <w:r w:rsidRPr="00150EDC">
        <w:rPr>
          <w:rFonts w:ascii="Calibri"/>
          <w:spacing w:val="-3"/>
        </w:rPr>
        <w:t xml:space="preserve"> </w:t>
      </w:r>
      <w:r w:rsidRPr="00150EDC">
        <w:rPr>
          <w:rFonts w:ascii="Calibri"/>
        </w:rPr>
        <w:t>by</w:t>
      </w:r>
      <w:r w:rsidRPr="00150EDC">
        <w:rPr>
          <w:rFonts w:ascii="Calibri"/>
          <w:spacing w:val="-2"/>
        </w:rPr>
        <w:t xml:space="preserve"> </w:t>
      </w:r>
      <w:r w:rsidRPr="00150EDC">
        <w:rPr>
          <w:rFonts w:ascii="Calibri"/>
        </w:rPr>
        <w:t>English</w:t>
      </w:r>
      <w:r w:rsidRPr="00150EDC">
        <w:rPr>
          <w:rFonts w:ascii="Calibri"/>
          <w:spacing w:val="-4"/>
        </w:rPr>
        <w:t xml:space="preserve"> law.</w:t>
      </w:r>
    </w:p>
    <w:p w14:paraId="52F94133" w14:textId="77777777" w:rsidR="004C7180" w:rsidRPr="00150EDC" w:rsidRDefault="004C7180">
      <w:pPr>
        <w:rPr>
          <w:rFonts w:ascii="Calibri"/>
        </w:rPr>
        <w:sectPr w:rsidR="004C7180" w:rsidRPr="00150EDC">
          <w:pgSz w:w="11910" w:h="16840"/>
          <w:pgMar w:top="620" w:right="0" w:bottom="2460" w:left="40" w:header="403" w:footer="2245" w:gutter="0"/>
          <w:cols w:space="720"/>
        </w:sectPr>
      </w:pPr>
    </w:p>
    <w:p w14:paraId="3F4710F4" w14:textId="77777777" w:rsidR="004C7180" w:rsidRPr="00150EDC" w:rsidRDefault="004C7180">
      <w:pPr>
        <w:pStyle w:val="BodyText"/>
        <w:rPr>
          <w:rFonts w:ascii="Calibri"/>
          <w:sz w:val="20"/>
        </w:rPr>
      </w:pPr>
    </w:p>
    <w:p w14:paraId="246228CC" w14:textId="77777777" w:rsidR="004C7180" w:rsidRPr="00150EDC" w:rsidRDefault="004C7180">
      <w:pPr>
        <w:pStyle w:val="BodyText"/>
        <w:rPr>
          <w:rFonts w:ascii="Calibri"/>
          <w:sz w:val="20"/>
        </w:rPr>
      </w:pPr>
    </w:p>
    <w:p w14:paraId="64C3F0E0" w14:textId="77777777" w:rsidR="004C7180" w:rsidRPr="00150EDC" w:rsidRDefault="004C7180">
      <w:pPr>
        <w:pStyle w:val="BodyText"/>
        <w:rPr>
          <w:rFonts w:ascii="Calibri"/>
          <w:sz w:val="20"/>
        </w:rPr>
      </w:pPr>
    </w:p>
    <w:p w14:paraId="4BFCA840" w14:textId="77777777" w:rsidR="004C7180" w:rsidRPr="00150EDC" w:rsidRDefault="00CF0754">
      <w:pPr>
        <w:pStyle w:val="Heading1"/>
        <w:spacing w:before="217"/>
        <w:ind w:left="1400" w:firstLine="0"/>
      </w:pPr>
      <w:bookmarkStart w:id="2" w:name="Binder1"/>
      <w:bookmarkStart w:id="3" w:name="DPS_Joint_Schedule_1_-_Definitions_v1.0_"/>
      <w:bookmarkEnd w:id="2"/>
      <w:bookmarkEnd w:id="3"/>
      <w:r w:rsidRPr="00150EDC">
        <w:t>Joint</w:t>
      </w:r>
      <w:r w:rsidRPr="00150EDC">
        <w:rPr>
          <w:spacing w:val="-11"/>
        </w:rPr>
        <w:t xml:space="preserve"> </w:t>
      </w:r>
      <w:r w:rsidRPr="00150EDC">
        <w:t>Schedule</w:t>
      </w:r>
      <w:r w:rsidRPr="00150EDC">
        <w:rPr>
          <w:spacing w:val="-11"/>
        </w:rPr>
        <w:t xml:space="preserve"> </w:t>
      </w:r>
      <w:r w:rsidRPr="00150EDC">
        <w:t>1</w:t>
      </w:r>
      <w:r w:rsidRPr="00150EDC">
        <w:rPr>
          <w:spacing w:val="-12"/>
        </w:rPr>
        <w:t xml:space="preserve"> </w:t>
      </w:r>
      <w:r w:rsidRPr="00150EDC">
        <w:rPr>
          <w:spacing w:val="-2"/>
        </w:rPr>
        <w:t>(Definitions)</w:t>
      </w:r>
    </w:p>
    <w:p w14:paraId="36CF8827" w14:textId="77777777" w:rsidR="004C7180" w:rsidRPr="00150EDC" w:rsidRDefault="00CF0754" w:rsidP="00B320C7">
      <w:pPr>
        <w:pStyle w:val="ListParagraph"/>
        <w:numPr>
          <w:ilvl w:val="1"/>
          <w:numId w:val="137"/>
        </w:numPr>
        <w:tabs>
          <w:tab w:val="left" w:pos="1964"/>
          <w:tab w:val="left" w:pos="1966"/>
        </w:tabs>
        <w:spacing w:before="261"/>
        <w:ind w:right="1439"/>
        <w:jc w:val="both"/>
        <w:rPr>
          <w:sz w:val="24"/>
        </w:rPr>
      </w:pPr>
      <w:r w:rsidRPr="00150EDC">
        <w:rPr>
          <w:sz w:val="24"/>
        </w:rPr>
        <w:t>In</w:t>
      </w:r>
      <w:r w:rsidRPr="00150EDC">
        <w:rPr>
          <w:spacing w:val="-4"/>
          <w:sz w:val="24"/>
        </w:rPr>
        <w:t xml:space="preserve"> </w:t>
      </w:r>
      <w:r w:rsidRPr="00150EDC">
        <w:rPr>
          <w:sz w:val="24"/>
        </w:rPr>
        <w:t>each</w:t>
      </w:r>
      <w:r w:rsidRPr="00150EDC">
        <w:rPr>
          <w:spacing w:val="-5"/>
          <w:sz w:val="24"/>
        </w:rPr>
        <w:t xml:space="preserve"> </w:t>
      </w:r>
      <w:r w:rsidRPr="00150EDC">
        <w:rPr>
          <w:sz w:val="24"/>
        </w:rPr>
        <w:t>Contract,</w:t>
      </w:r>
      <w:r w:rsidRPr="00150EDC">
        <w:rPr>
          <w:spacing w:val="-5"/>
          <w:sz w:val="24"/>
        </w:rPr>
        <w:t xml:space="preserve"> </w:t>
      </w:r>
      <w:r w:rsidRPr="00150EDC">
        <w:rPr>
          <w:sz w:val="24"/>
        </w:rPr>
        <w:t>unless</w:t>
      </w:r>
      <w:r w:rsidRPr="00150EDC">
        <w:rPr>
          <w:spacing w:val="-5"/>
          <w:sz w:val="24"/>
        </w:rPr>
        <w:t xml:space="preserve"> </w:t>
      </w:r>
      <w:r w:rsidRPr="00150EDC">
        <w:rPr>
          <w:sz w:val="24"/>
        </w:rPr>
        <w:t>the</w:t>
      </w:r>
      <w:r w:rsidRPr="00150EDC">
        <w:rPr>
          <w:spacing w:val="-5"/>
          <w:sz w:val="24"/>
        </w:rPr>
        <w:t xml:space="preserve"> </w:t>
      </w:r>
      <w:r w:rsidRPr="00150EDC">
        <w:rPr>
          <w:sz w:val="24"/>
        </w:rPr>
        <w:t>context</w:t>
      </w:r>
      <w:r w:rsidRPr="00150EDC">
        <w:rPr>
          <w:spacing w:val="-5"/>
          <w:sz w:val="24"/>
        </w:rPr>
        <w:t xml:space="preserve"> </w:t>
      </w:r>
      <w:r w:rsidRPr="00150EDC">
        <w:rPr>
          <w:sz w:val="24"/>
        </w:rPr>
        <w:t>otherwise</w:t>
      </w:r>
      <w:r w:rsidRPr="00150EDC">
        <w:rPr>
          <w:spacing w:val="-5"/>
          <w:sz w:val="24"/>
        </w:rPr>
        <w:t xml:space="preserve"> </w:t>
      </w:r>
      <w:r w:rsidRPr="00150EDC">
        <w:rPr>
          <w:sz w:val="24"/>
        </w:rPr>
        <w:t>requires,</w:t>
      </w:r>
      <w:r w:rsidRPr="00150EDC">
        <w:rPr>
          <w:spacing w:val="-5"/>
          <w:sz w:val="24"/>
        </w:rPr>
        <w:t xml:space="preserve"> </w:t>
      </w:r>
      <w:r w:rsidRPr="00150EDC">
        <w:rPr>
          <w:sz w:val="24"/>
        </w:rPr>
        <w:t>capitalised</w:t>
      </w:r>
      <w:r w:rsidRPr="00150EDC">
        <w:rPr>
          <w:spacing w:val="-7"/>
          <w:sz w:val="24"/>
        </w:rPr>
        <w:t xml:space="preserve"> </w:t>
      </w:r>
      <w:r w:rsidRPr="00150EDC">
        <w:rPr>
          <w:sz w:val="24"/>
        </w:rPr>
        <w:t>expressions shall have the meanings set out in this Joint Schedule 1 (Definitions) or the relevant Schedule in which that capitalised expression appears.</w:t>
      </w:r>
    </w:p>
    <w:p w14:paraId="52A6FF08" w14:textId="77777777" w:rsidR="004C7180" w:rsidRPr="00150EDC" w:rsidRDefault="00CF0754" w:rsidP="00B320C7">
      <w:pPr>
        <w:pStyle w:val="ListParagraph"/>
        <w:numPr>
          <w:ilvl w:val="1"/>
          <w:numId w:val="137"/>
        </w:numPr>
        <w:tabs>
          <w:tab w:val="left" w:pos="1964"/>
          <w:tab w:val="left" w:pos="1966"/>
        </w:tabs>
        <w:spacing w:before="120"/>
        <w:ind w:right="1438"/>
        <w:jc w:val="both"/>
        <w:rPr>
          <w:sz w:val="24"/>
        </w:rPr>
      </w:pPr>
      <w:r w:rsidRPr="00150EDC">
        <w:rPr>
          <w:sz w:val="24"/>
        </w:rPr>
        <w:t>If a capitalised expression does not have an interpretation in this Schedule or any other Schedule, it shall, in the first instance, be interpreted in accordance with</w:t>
      </w:r>
      <w:r w:rsidRPr="00150EDC">
        <w:rPr>
          <w:spacing w:val="-1"/>
          <w:sz w:val="24"/>
        </w:rPr>
        <w:t xml:space="preserve"> </w:t>
      </w:r>
      <w:r w:rsidRPr="00150EDC">
        <w:rPr>
          <w:sz w:val="24"/>
        </w:rPr>
        <w:t>the</w:t>
      </w:r>
      <w:r w:rsidRPr="00150EDC">
        <w:rPr>
          <w:spacing w:val="-1"/>
          <w:sz w:val="24"/>
        </w:rPr>
        <w:t xml:space="preserve"> </w:t>
      </w:r>
      <w:r w:rsidRPr="00150EDC">
        <w:rPr>
          <w:sz w:val="24"/>
        </w:rPr>
        <w:t>common</w:t>
      </w:r>
      <w:r w:rsidRPr="00150EDC">
        <w:rPr>
          <w:spacing w:val="-1"/>
          <w:sz w:val="24"/>
        </w:rPr>
        <w:t xml:space="preserve"> </w:t>
      </w:r>
      <w:r w:rsidRPr="00150EDC">
        <w:rPr>
          <w:sz w:val="24"/>
        </w:rPr>
        <w:t>interpretation</w:t>
      </w:r>
      <w:r w:rsidRPr="00150EDC">
        <w:rPr>
          <w:spacing w:val="-1"/>
          <w:sz w:val="24"/>
        </w:rPr>
        <w:t xml:space="preserve"> </w:t>
      </w:r>
      <w:r w:rsidRPr="00150EDC">
        <w:rPr>
          <w:sz w:val="24"/>
        </w:rPr>
        <w:t>within</w:t>
      </w:r>
      <w:r w:rsidRPr="00150EDC">
        <w:rPr>
          <w:spacing w:val="-1"/>
          <w:sz w:val="24"/>
        </w:rPr>
        <w:t xml:space="preserve"> </w:t>
      </w:r>
      <w:r w:rsidRPr="00150EDC">
        <w:rPr>
          <w:sz w:val="24"/>
        </w:rPr>
        <w:t>the</w:t>
      </w:r>
      <w:r w:rsidRPr="00150EDC">
        <w:rPr>
          <w:spacing w:val="-1"/>
          <w:sz w:val="24"/>
        </w:rPr>
        <w:t xml:space="preserve"> </w:t>
      </w:r>
      <w:r w:rsidRPr="00150EDC">
        <w:rPr>
          <w:sz w:val="24"/>
        </w:rPr>
        <w:t>relevant</w:t>
      </w:r>
      <w:r w:rsidRPr="00150EDC">
        <w:rPr>
          <w:spacing w:val="-3"/>
          <w:sz w:val="24"/>
        </w:rPr>
        <w:t xml:space="preserve"> </w:t>
      </w:r>
      <w:r w:rsidRPr="00150EDC">
        <w:rPr>
          <w:sz w:val="24"/>
        </w:rPr>
        <w:t>market</w:t>
      </w:r>
      <w:r w:rsidRPr="00150EDC">
        <w:rPr>
          <w:spacing w:val="-1"/>
          <w:sz w:val="24"/>
        </w:rPr>
        <w:t xml:space="preserve"> </w:t>
      </w:r>
      <w:r w:rsidRPr="00150EDC">
        <w:rPr>
          <w:sz w:val="24"/>
        </w:rPr>
        <w:t>sector/industry</w:t>
      </w:r>
      <w:r w:rsidRPr="00150EDC">
        <w:rPr>
          <w:spacing w:val="-2"/>
          <w:sz w:val="24"/>
        </w:rPr>
        <w:t xml:space="preserve"> </w:t>
      </w:r>
      <w:r w:rsidRPr="00150EDC">
        <w:rPr>
          <w:sz w:val="24"/>
        </w:rPr>
        <w:t xml:space="preserve">where appropriate. Otherwise, it shall be interpreted in accordance with the dictionary </w:t>
      </w:r>
      <w:r w:rsidRPr="00150EDC">
        <w:rPr>
          <w:spacing w:val="-2"/>
          <w:sz w:val="24"/>
        </w:rPr>
        <w:t>meaning.</w:t>
      </w:r>
    </w:p>
    <w:p w14:paraId="6B92BEF4" w14:textId="77777777" w:rsidR="004C7180" w:rsidRPr="00150EDC" w:rsidRDefault="00CF0754" w:rsidP="00B320C7">
      <w:pPr>
        <w:pStyle w:val="ListParagraph"/>
        <w:numPr>
          <w:ilvl w:val="1"/>
          <w:numId w:val="137"/>
        </w:numPr>
        <w:tabs>
          <w:tab w:val="left" w:pos="1964"/>
        </w:tabs>
        <w:spacing w:before="120"/>
        <w:ind w:left="1964" w:hanging="358"/>
        <w:jc w:val="both"/>
        <w:rPr>
          <w:sz w:val="24"/>
        </w:rPr>
      </w:pPr>
      <w:r w:rsidRPr="00150EDC">
        <w:rPr>
          <w:sz w:val="24"/>
        </w:rPr>
        <w:t>In</w:t>
      </w:r>
      <w:r w:rsidRPr="00150EDC">
        <w:rPr>
          <w:spacing w:val="-3"/>
          <w:sz w:val="24"/>
        </w:rPr>
        <w:t xml:space="preserve"> </w:t>
      </w:r>
      <w:r w:rsidRPr="00150EDC">
        <w:rPr>
          <w:sz w:val="24"/>
        </w:rPr>
        <w:t>each</w:t>
      </w:r>
      <w:r w:rsidRPr="00150EDC">
        <w:rPr>
          <w:spacing w:val="-4"/>
          <w:sz w:val="24"/>
        </w:rPr>
        <w:t xml:space="preserve"> </w:t>
      </w:r>
      <w:r w:rsidRPr="00150EDC">
        <w:rPr>
          <w:sz w:val="24"/>
        </w:rPr>
        <w:t>Contract,</w:t>
      </w:r>
      <w:r w:rsidRPr="00150EDC">
        <w:rPr>
          <w:spacing w:val="-6"/>
          <w:sz w:val="24"/>
        </w:rPr>
        <w:t xml:space="preserve"> </w:t>
      </w:r>
      <w:r w:rsidRPr="00150EDC">
        <w:rPr>
          <w:sz w:val="24"/>
        </w:rPr>
        <w:t>unless</w:t>
      </w:r>
      <w:r w:rsidRPr="00150EDC">
        <w:rPr>
          <w:spacing w:val="-3"/>
          <w:sz w:val="24"/>
        </w:rPr>
        <w:t xml:space="preserve"> </w:t>
      </w:r>
      <w:r w:rsidRPr="00150EDC">
        <w:rPr>
          <w:sz w:val="24"/>
        </w:rPr>
        <w:t>the</w:t>
      </w:r>
      <w:r w:rsidRPr="00150EDC">
        <w:rPr>
          <w:spacing w:val="-4"/>
          <w:sz w:val="24"/>
        </w:rPr>
        <w:t xml:space="preserve"> </w:t>
      </w:r>
      <w:r w:rsidRPr="00150EDC">
        <w:rPr>
          <w:sz w:val="24"/>
        </w:rPr>
        <w:t>context</w:t>
      </w:r>
      <w:r w:rsidRPr="00150EDC">
        <w:rPr>
          <w:spacing w:val="-6"/>
          <w:sz w:val="24"/>
        </w:rPr>
        <w:t xml:space="preserve"> </w:t>
      </w:r>
      <w:r w:rsidRPr="00150EDC">
        <w:rPr>
          <w:sz w:val="24"/>
        </w:rPr>
        <w:t>otherwise</w:t>
      </w:r>
      <w:r w:rsidRPr="00150EDC">
        <w:rPr>
          <w:spacing w:val="-4"/>
          <w:sz w:val="24"/>
        </w:rPr>
        <w:t xml:space="preserve"> </w:t>
      </w:r>
      <w:r w:rsidRPr="00150EDC">
        <w:rPr>
          <w:spacing w:val="-2"/>
          <w:sz w:val="24"/>
        </w:rPr>
        <w:t>requires:</w:t>
      </w:r>
    </w:p>
    <w:p w14:paraId="77B489CD" w14:textId="77777777" w:rsidR="004C7180" w:rsidRPr="00150EDC" w:rsidRDefault="00CF0754" w:rsidP="00B320C7">
      <w:pPr>
        <w:pStyle w:val="ListParagraph"/>
        <w:numPr>
          <w:ilvl w:val="2"/>
          <w:numId w:val="137"/>
        </w:numPr>
        <w:tabs>
          <w:tab w:val="left" w:pos="2674"/>
        </w:tabs>
        <w:spacing w:before="120"/>
        <w:ind w:left="2674" w:hanging="708"/>
        <w:jc w:val="both"/>
        <w:rPr>
          <w:sz w:val="24"/>
        </w:rPr>
      </w:pPr>
      <w:r w:rsidRPr="00150EDC">
        <w:rPr>
          <w:sz w:val="24"/>
        </w:rPr>
        <w:t>the</w:t>
      </w:r>
      <w:r w:rsidRPr="00150EDC">
        <w:rPr>
          <w:spacing w:val="-3"/>
          <w:sz w:val="24"/>
        </w:rPr>
        <w:t xml:space="preserve"> </w:t>
      </w:r>
      <w:r w:rsidRPr="00150EDC">
        <w:rPr>
          <w:sz w:val="24"/>
        </w:rPr>
        <w:t>singular</w:t>
      </w:r>
      <w:r w:rsidRPr="00150EDC">
        <w:rPr>
          <w:spacing w:val="-2"/>
          <w:sz w:val="24"/>
        </w:rPr>
        <w:t xml:space="preserve"> </w:t>
      </w:r>
      <w:r w:rsidRPr="00150EDC">
        <w:rPr>
          <w:sz w:val="24"/>
        </w:rPr>
        <w:t>includes</w:t>
      </w:r>
      <w:r w:rsidRPr="00150EDC">
        <w:rPr>
          <w:spacing w:val="-4"/>
          <w:sz w:val="24"/>
        </w:rPr>
        <w:t xml:space="preserve"> </w:t>
      </w:r>
      <w:r w:rsidRPr="00150EDC">
        <w:rPr>
          <w:sz w:val="24"/>
        </w:rPr>
        <w:t>the</w:t>
      </w:r>
      <w:r w:rsidRPr="00150EDC">
        <w:rPr>
          <w:spacing w:val="-3"/>
          <w:sz w:val="24"/>
        </w:rPr>
        <w:t xml:space="preserve"> </w:t>
      </w:r>
      <w:r w:rsidRPr="00150EDC">
        <w:rPr>
          <w:sz w:val="24"/>
        </w:rPr>
        <w:t>plural</w:t>
      </w:r>
      <w:r w:rsidRPr="00150EDC">
        <w:rPr>
          <w:spacing w:val="-5"/>
          <w:sz w:val="24"/>
        </w:rPr>
        <w:t xml:space="preserve"> </w:t>
      </w:r>
      <w:r w:rsidRPr="00150EDC">
        <w:rPr>
          <w:sz w:val="24"/>
        </w:rPr>
        <w:t>and</w:t>
      </w:r>
      <w:r w:rsidRPr="00150EDC">
        <w:rPr>
          <w:spacing w:val="-4"/>
          <w:sz w:val="24"/>
        </w:rPr>
        <w:t xml:space="preserve"> </w:t>
      </w:r>
      <w:r w:rsidRPr="00150EDC">
        <w:rPr>
          <w:sz w:val="24"/>
        </w:rPr>
        <w:t>vice</w:t>
      </w:r>
      <w:r w:rsidRPr="00150EDC">
        <w:rPr>
          <w:spacing w:val="-2"/>
          <w:sz w:val="24"/>
        </w:rPr>
        <w:t xml:space="preserve"> versa;</w:t>
      </w:r>
    </w:p>
    <w:p w14:paraId="641784B7" w14:textId="77777777" w:rsidR="004C7180" w:rsidRPr="00150EDC" w:rsidRDefault="00CF0754" w:rsidP="00B320C7">
      <w:pPr>
        <w:pStyle w:val="ListParagraph"/>
        <w:numPr>
          <w:ilvl w:val="2"/>
          <w:numId w:val="137"/>
        </w:numPr>
        <w:tabs>
          <w:tab w:val="left" w:pos="2674"/>
        </w:tabs>
        <w:spacing w:before="120"/>
        <w:ind w:left="2674" w:hanging="708"/>
        <w:jc w:val="both"/>
        <w:rPr>
          <w:sz w:val="24"/>
        </w:rPr>
      </w:pPr>
      <w:r w:rsidRPr="00150EDC">
        <w:rPr>
          <w:sz w:val="24"/>
        </w:rPr>
        <w:t>reference</w:t>
      </w:r>
      <w:r w:rsidRPr="00150EDC">
        <w:rPr>
          <w:spacing w:val="-5"/>
          <w:sz w:val="24"/>
        </w:rPr>
        <w:t xml:space="preserve"> </w:t>
      </w:r>
      <w:r w:rsidRPr="00150EDC">
        <w:rPr>
          <w:sz w:val="24"/>
        </w:rPr>
        <w:t>to</w:t>
      </w:r>
      <w:r w:rsidRPr="00150EDC">
        <w:rPr>
          <w:spacing w:val="-4"/>
          <w:sz w:val="24"/>
        </w:rPr>
        <w:t xml:space="preserve"> </w:t>
      </w:r>
      <w:r w:rsidRPr="00150EDC">
        <w:rPr>
          <w:sz w:val="24"/>
        </w:rPr>
        <w:t>a</w:t>
      </w:r>
      <w:r w:rsidRPr="00150EDC">
        <w:rPr>
          <w:spacing w:val="-3"/>
          <w:sz w:val="24"/>
        </w:rPr>
        <w:t xml:space="preserve"> </w:t>
      </w:r>
      <w:r w:rsidRPr="00150EDC">
        <w:rPr>
          <w:sz w:val="24"/>
        </w:rPr>
        <w:t>gender</w:t>
      </w:r>
      <w:r w:rsidRPr="00150EDC">
        <w:rPr>
          <w:spacing w:val="-2"/>
          <w:sz w:val="24"/>
        </w:rPr>
        <w:t xml:space="preserve"> </w:t>
      </w:r>
      <w:r w:rsidRPr="00150EDC">
        <w:rPr>
          <w:sz w:val="24"/>
        </w:rPr>
        <w:t>includes</w:t>
      </w:r>
      <w:r w:rsidRPr="00150EDC">
        <w:rPr>
          <w:spacing w:val="-5"/>
          <w:sz w:val="24"/>
        </w:rPr>
        <w:t xml:space="preserve"> </w:t>
      </w:r>
      <w:r w:rsidRPr="00150EDC">
        <w:rPr>
          <w:sz w:val="24"/>
        </w:rPr>
        <w:t>the</w:t>
      </w:r>
      <w:r w:rsidRPr="00150EDC">
        <w:rPr>
          <w:spacing w:val="-5"/>
          <w:sz w:val="24"/>
        </w:rPr>
        <w:t xml:space="preserve"> </w:t>
      </w:r>
      <w:r w:rsidRPr="00150EDC">
        <w:rPr>
          <w:sz w:val="24"/>
        </w:rPr>
        <w:t>other</w:t>
      </w:r>
      <w:r w:rsidRPr="00150EDC">
        <w:rPr>
          <w:spacing w:val="-2"/>
          <w:sz w:val="24"/>
        </w:rPr>
        <w:t xml:space="preserve"> </w:t>
      </w:r>
      <w:r w:rsidRPr="00150EDC">
        <w:rPr>
          <w:sz w:val="24"/>
        </w:rPr>
        <w:t>gender</w:t>
      </w:r>
      <w:r w:rsidRPr="00150EDC">
        <w:rPr>
          <w:spacing w:val="-2"/>
          <w:sz w:val="24"/>
        </w:rPr>
        <w:t xml:space="preserve"> </w:t>
      </w:r>
      <w:r w:rsidRPr="00150EDC">
        <w:rPr>
          <w:sz w:val="24"/>
        </w:rPr>
        <w:t>and</w:t>
      </w:r>
      <w:r w:rsidRPr="00150EDC">
        <w:rPr>
          <w:spacing w:val="-4"/>
          <w:sz w:val="24"/>
        </w:rPr>
        <w:t xml:space="preserve"> </w:t>
      </w:r>
      <w:r w:rsidRPr="00150EDC">
        <w:rPr>
          <w:sz w:val="24"/>
        </w:rPr>
        <w:t>the</w:t>
      </w:r>
      <w:r w:rsidRPr="00150EDC">
        <w:rPr>
          <w:spacing w:val="-2"/>
          <w:sz w:val="24"/>
        </w:rPr>
        <w:t xml:space="preserve"> neuter;</w:t>
      </w:r>
    </w:p>
    <w:p w14:paraId="754B5B6F" w14:textId="77777777" w:rsidR="004C7180" w:rsidRPr="00150EDC" w:rsidRDefault="00CF0754" w:rsidP="00B320C7">
      <w:pPr>
        <w:pStyle w:val="ListParagraph"/>
        <w:numPr>
          <w:ilvl w:val="2"/>
          <w:numId w:val="137"/>
        </w:numPr>
        <w:tabs>
          <w:tab w:val="left" w:pos="2674"/>
          <w:tab w:val="left" w:pos="2677"/>
        </w:tabs>
        <w:spacing w:before="120"/>
        <w:ind w:right="1436"/>
        <w:jc w:val="both"/>
        <w:rPr>
          <w:sz w:val="24"/>
        </w:rPr>
      </w:pPr>
      <w:r w:rsidRPr="00150EDC">
        <w:rPr>
          <w:sz w:val="24"/>
        </w:rPr>
        <w:t>references to a person include an individual, company, body corporate, corporation, unincorporated association, firm, partnership or other legal entity or Central Government Body;</w:t>
      </w:r>
    </w:p>
    <w:p w14:paraId="66FFB44C" w14:textId="77777777" w:rsidR="004C7180" w:rsidRPr="00150EDC" w:rsidRDefault="00CF0754" w:rsidP="00B320C7">
      <w:pPr>
        <w:pStyle w:val="ListParagraph"/>
        <w:numPr>
          <w:ilvl w:val="2"/>
          <w:numId w:val="137"/>
        </w:numPr>
        <w:tabs>
          <w:tab w:val="left" w:pos="2674"/>
          <w:tab w:val="left" w:pos="2677"/>
        </w:tabs>
        <w:spacing w:before="121"/>
        <w:ind w:right="1444"/>
        <w:jc w:val="both"/>
        <w:rPr>
          <w:sz w:val="24"/>
        </w:rPr>
      </w:pPr>
      <w:r w:rsidRPr="00150EDC">
        <w:rPr>
          <w:sz w:val="24"/>
        </w:rPr>
        <w:t>a reference to any Law includes a reference to that Law as amended, extended, consolidated or re-enacted from time to time;</w:t>
      </w:r>
    </w:p>
    <w:p w14:paraId="7AB4B4ED" w14:textId="77777777" w:rsidR="004C7180" w:rsidRPr="00150EDC" w:rsidRDefault="00CF0754" w:rsidP="00B320C7">
      <w:pPr>
        <w:pStyle w:val="ListParagraph"/>
        <w:numPr>
          <w:ilvl w:val="2"/>
          <w:numId w:val="137"/>
        </w:numPr>
        <w:tabs>
          <w:tab w:val="left" w:pos="2674"/>
          <w:tab w:val="left" w:pos="2677"/>
        </w:tabs>
        <w:spacing w:before="120"/>
        <w:ind w:right="1433"/>
        <w:jc w:val="both"/>
        <w:rPr>
          <w:sz w:val="24"/>
        </w:rPr>
      </w:pPr>
      <w:r w:rsidRPr="00150EDC">
        <w:rPr>
          <w:sz w:val="24"/>
        </w:rPr>
        <w:t>the</w:t>
      </w:r>
      <w:r w:rsidRPr="00150EDC">
        <w:rPr>
          <w:spacing w:val="-9"/>
          <w:sz w:val="24"/>
        </w:rPr>
        <w:t xml:space="preserve"> </w:t>
      </w:r>
      <w:r w:rsidRPr="00150EDC">
        <w:rPr>
          <w:sz w:val="24"/>
        </w:rPr>
        <w:t>words</w:t>
      </w:r>
      <w:r w:rsidRPr="00150EDC">
        <w:rPr>
          <w:spacing w:val="-10"/>
          <w:sz w:val="24"/>
        </w:rPr>
        <w:t xml:space="preserve"> </w:t>
      </w:r>
      <w:r w:rsidRPr="00150EDC">
        <w:rPr>
          <w:sz w:val="24"/>
        </w:rPr>
        <w:t>"</w:t>
      </w:r>
      <w:r w:rsidRPr="00150EDC">
        <w:rPr>
          <w:b/>
          <w:sz w:val="24"/>
        </w:rPr>
        <w:t>including</w:t>
      </w:r>
      <w:r w:rsidRPr="00150EDC">
        <w:rPr>
          <w:sz w:val="24"/>
        </w:rPr>
        <w:t>",</w:t>
      </w:r>
      <w:r w:rsidRPr="00150EDC">
        <w:rPr>
          <w:spacing w:val="-10"/>
          <w:sz w:val="24"/>
        </w:rPr>
        <w:t xml:space="preserve"> </w:t>
      </w:r>
      <w:r w:rsidRPr="00150EDC">
        <w:rPr>
          <w:sz w:val="24"/>
        </w:rPr>
        <w:t>"</w:t>
      </w:r>
      <w:r w:rsidRPr="00150EDC">
        <w:rPr>
          <w:b/>
          <w:sz w:val="24"/>
        </w:rPr>
        <w:t>other</w:t>
      </w:r>
      <w:r w:rsidRPr="00150EDC">
        <w:rPr>
          <w:sz w:val="24"/>
        </w:rPr>
        <w:t>",</w:t>
      </w:r>
      <w:r w:rsidRPr="00150EDC">
        <w:rPr>
          <w:spacing w:val="-10"/>
          <w:sz w:val="24"/>
        </w:rPr>
        <w:t xml:space="preserve"> </w:t>
      </w:r>
      <w:r w:rsidRPr="00150EDC">
        <w:rPr>
          <w:sz w:val="24"/>
        </w:rPr>
        <w:t>"</w:t>
      </w:r>
      <w:r w:rsidRPr="00150EDC">
        <w:rPr>
          <w:b/>
          <w:sz w:val="24"/>
        </w:rPr>
        <w:t>in</w:t>
      </w:r>
      <w:r w:rsidRPr="00150EDC">
        <w:rPr>
          <w:b/>
          <w:spacing w:val="-10"/>
          <w:sz w:val="24"/>
        </w:rPr>
        <w:t xml:space="preserve"> </w:t>
      </w:r>
      <w:r w:rsidRPr="00150EDC">
        <w:rPr>
          <w:b/>
          <w:sz w:val="24"/>
        </w:rPr>
        <w:t>particular</w:t>
      </w:r>
      <w:r w:rsidRPr="00150EDC">
        <w:rPr>
          <w:sz w:val="24"/>
        </w:rPr>
        <w:t>",</w:t>
      </w:r>
      <w:r w:rsidRPr="00150EDC">
        <w:rPr>
          <w:spacing w:val="-10"/>
          <w:sz w:val="24"/>
        </w:rPr>
        <w:t xml:space="preserve"> </w:t>
      </w:r>
      <w:r w:rsidRPr="00150EDC">
        <w:rPr>
          <w:sz w:val="24"/>
        </w:rPr>
        <w:t>"</w:t>
      </w:r>
      <w:r w:rsidRPr="00150EDC">
        <w:rPr>
          <w:b/>
          <w:sz w:val="24"/>
        </w:rPr>
        <w:t>for</w:t>
      </w:r>
      <w:r w:rsidRPr="00150EDC">
        <w:rPr>
          <w:b/>
          <w:spacing w:val="-10"/>
          <w:sz w:val="24"/>
        </w:rPr>
        <w:t xml:space="preserve"> </w:t>
      </w:r>
      <w:r w:rsidRPr="00150EDC">
        <w:rPr>
          <w:b/>
          <w:sz w:val="24"/>
        </w:rPr>
        <w:t>example</w:t>
      </w:r>
      <w:r w:rsidRPr="00150EDC">
        <w:rPr>
          <w:sz w:val="24"/>
        </w:rPr>
        <w:t>"</w:t>
      </w:r>
      <w:r w:rsidRPr="00150EDC">
        <w:rPr>
          <w:spacing w:val="-11"/>
          <w:sz w:val="24"/>
        </w:rPr>
        <w:t xml:space="preserve"> </w:t>
      </w:r>
      <w:r w:rsidRPr="00150EDC">
        <w:rPr>
          <w:sz w:val="24"/>
        </w:rPr>
        <w:t>and</w:t>
      </w:r>
      <w:r w:rsidRPr="00150EDC">
        <w:rPr>
          <w:spacing w:val="-9"/>
          <w:sz w:val="24"/>
        </w:rPr>
        <w:t xml:space="preserve"> </w:t>
      </w:r>
      <w:r w:rsidRPr="00150EDC">
        <w:rPr>
          <w:sz w:val="24"/>
        </w:rPr>
        <w:t>similar words shall not limit the generality of the preceding words and shall be construed as if they were immediately followed by the words "</w:t>
      </w:r>
      <w:r w:rsidRPr="00150EDC">
        <w:rPr>
          <w:b/>
          <w:sz w:val="24"/>
        </w:rPr>
        <w:t xml:space="preserve">without </w:t>
      </w:r>
      <w:r w:rsidRPr="00150EDC">
        <w:rPr>
          <w:b/>
          <w:spacing w:val="-2"/>
          <w:sz w:val="24"/>
        </w:rPr>
        <w:t>limitation</w:t>
      </w:r>
      <w:r w:rsidRPr="00150EDC">
        <w:rPr>
          <w:spacing w:val="-2"/>
          <w:sz w:val="24"/>
        </w:rPr>
        <w:t>";</w:t>
      </w:r>
    </w:p>
    <w:p w14:paraId="018DE8D4" w14:textId="77777777" w:rsidR="004C7180" w:rsidRPr="00150EDC" w:rsidRDefault="00CF0754" w:rsidP="00B320C7">
      <w:pPr>
        <w:pStyle w:val="ListParagraph"/>
        <w:numPr>
          <w:ilvl w:val="2"/>
          <w:numId w:val="137"/>
        </w:numPr>
        <w:tabs>
          <w:tab w:val="left" w:pos="2674"/>
          <w:tab w:val="left" w:pos="2677"/>
        </w:tabs>
        <w:spacing w:before="120"/>
        <w:ind w:right="1437"/>
        <w:jc w:val="both"/>
        <w:rPr>
          <w:sz w:val="24"/>
        </w:rPr>
      </w:pPr>
      <w:r w:rsidRPr="00150EDC">
        <w:rPr>
          <w:sz w:val="24"/>
        </w:rPr>
        <w:t>references to</w:t>
      </w:r>
      <w:r w:rsidRPr="00150EDC">
        <w:rPr>
          <w:spacing w:val="-2"/>
          <w:sz w:val="24"/>
        </w:rPr>
        <w:t xml:space="preserve"> </w:t>
      </w:r>
      <w:r w:rsidRPr="00150EDC">
        <w:rPr>
          <w:sz w:val="24"/>
        </w:rPr>
        <w:t>"</w:t>
      </w:r>
      <w:r w:rsidRPr="00150EDC">
        <w:rPr>
          <w:b/>
          <w:sz w:val="24"/>
        </w:rPr>
        <w:t>writing</w:t>
      </w:r>
      <w:r w:rsidRPr="00150EDC">
        <w:rPr>
          <w:sz w:val="24"/>
        </w:rPr>
        <w:t>"</w:t>
      </w:r>
      <w:r w:rsidRPr="00150EDC">
        <w:rPr>
          <w:spacing w:val="-1"/>
          <w:sz w:val="24"/>
        </w:rPr>
        <w:t xml:space="preserve"> </w:t>
      </w:r>
      <w:r w:rsidRPr="00150EDC">
        <w:rPr>
          <w:sz w:val="24"/>
        </w:rPr>
        <w:t>include typing,</w:t>
      </w:r>
      <w:r w:rsidRPr="00150EDC">
        <w:rPr>
          <w:spacing w:val="-2"/>
          <w:sz w:val="24"/>
        </w:rPr>
        <w:t xml:space="preserve"> </w:t>
      </w:r>
      <w:r w:rsidRPr="00150EDC">
        <w:rPr>
          <w:sz w:val="24"/>
        </w:rPr>
        <w:t>printing, lithography,</w:t>
      </w:r>
      <w:r w:rsidRPr="00150EDC">
        <w:rPr>
          <w:spacing w:val="-2"/>
          <w:sz w:val="24"/>
        </w:rPr>
        <w:t xml:space="preserve"> </w:t>
      </w:r>
      <w:r w:rsidRPr="00150EDC">
        <w:rPr>
          <w:sz w:val="24"/>
        </w:rPr>
        <w:t>photography, display on a screen, electronic and facsimile transmission and other modes of representing or reproducing words in a visible form, and expressions referring to writing shall be construed accordingly;</w:t>
      </w:r>
    </w:p>
    <w:p w14:paraId="3C29C2E4" w14:textId="77777777" w:rsidR="004C7180" w:rsidRPr="00150EDC" w:rsidRDefault="00CF0754" w:rsidP="00B320C7">
      <w:pPr>
        <w:pStyle w:val="ListParagraph"/>
        <w:numPr>
          <w:ilvl w:val="2"/>
          <w:numId w:val="137"/>
        </w:numPr>
        <w:tabs>
          <w:tab w:val="left" w:pos="2674"/>
          <w:tab w:val="left" w:pos="2677"/>
        </w:tabs>
        <w:spacing w:before="120"/>
        <w:ind w:right="1439"/>
        <w:jc w:val="both"/>
        <w:rPr>
          <w:sz w:val="24"/>
        </w:rPr>
      </w:pPr>
      <w:r w:rsidRPr="00150EDC">
        <w:rPr>
          <w:sz w:val="24"/>
        </w:rPr>
        <w:t>references to "</w:t>
      </w:r>
      <w:r w:rsidRPr="00150EDC">
        <w:rPr>
          <w:b/>
          <w:sz w:val="24"/>
        </w:rPr>
        <w:t>representations</w:t>
      </w:r>
      <w:r w:rsidRPr="00150EDC">
        <w:rPr>
          <w:sz w:val="24"/>
        </w:rPr>
        <w:t>" shall be construed as references to present facts, to "</w:t>
      </w:r>
      <w:r w:rsidRPr="00150EDC">
        <w:rPr>
          <w:b/>
          <w:sz w:val="24"/>
        </w:rPr>
        <w:t>warranties</w:t>
      </w:r>
      <w:r w:rsidRPr="00150EDC">
        <w:rPr>
          <w:sz w:val="24"/>
        </w:rPr>
        <w:t>" as references to present and future facts and to "</w:t>
      </w:r>
      <w:r w:rsidRPr="00150EDC">
        <w:rPr>
          <w:b/>
          <w:sz w:val="24"/>
        </w:rPr>
        <w:t xml:space="preserve">undertakings" </w:t>
      </w:r>
      <w:r w:rsidRPr="00150EDC">
        <w:rPr>
          <w:sz w:val="24"/>
        </w:rPr>
        <w:t>as references to obligations under the Contract;</w:t>
      </w:r>
    </w:p>
    <w:p w14:paraId="29266F4F" w14:textId="77777777" w:rsidR="004C7180" w:rsidRPr="00150EDC" w:rsidRDefault="00CF0754" w:rsidP="00B320C7">
      <w:pPr>
        <w:pStyle w:val="ListParagraph"/>
        <w:numPr>
          <w:ilvl w:val="2"/>
          <w:numId w:val="137"/>
        </w:numPr>
        <w:tabs>
          <w:tab w:val="left" w:pos="2674"/>
          <w:tab w:val="left" w:pos="2677"/>
        </w:tabs>
        <w:spacing w:before="120"/>
        <w:ind w:right="1438"/>
        <w:jc w:val="both"/>
        <w:rPr>
          <w:sz w:val="24"/>
        </w:rPr>
      </w:pPr>
      <w:r w:rsidRPr="00150EDC">
        <w:rPr>
          <w:sz w:val="24"/>
        </w:rPr>
        <w:t xml:space="preserve">references to </w:t>
      </w:r>
      <w:r w:rsidRPr="00150EDC">
        <w:rPr>
          <w:b/>
          <w:sz w:val="24"/>
        </w:rPr>
        <w:t xml:space="preserve">"Clauses" </w:t>
      </w:r>
      <w:r w:rsidRPr="00150EDC">
        <w:rPr>
          <w:sz w:val="24"/>
        </w:rPr>
        <w:t xml:space="preserve">and </w:t>
      </w:r>
      <w:r w:rsidRPr="00150EDC">
        <w:rPr>
          <w:b/>
          <w:sz w:val="24"/>
        </w:rPr>
        <w:t xml:space="preserve">"Schedules" </w:t>
      </w:r>
      <w:r w:rsidRPr="00150EDC">
        <w:rPr>
          <w:sz w:val="24"/>
        </w:rPr>
        <w:t>are, unless otherwise provided,</w:t>
      </w:r>
      <w:r w:rsidRPr="00150EDC">
        <w:rPr>
          <w:spacing w:val="-9"/>
          <w:sz w:val="24"/>
        </w:rPr>
        <w:t xml:space="preserve"> </w:t>
      </w:r>
      <w:r w:rsidRPr="00150EDC">
        <w:rPr>
          <w:sz w:val="24"/>
        </w:rPr>
        <w:t>references</w:t>
      </w:r>
      <w:r w:rsidRPr="00150EDC">
        <w:rPr>
          <w:spacing w:val="-9"/>
          <w:sz w:val="24"/>
        </w:rPr>
        <w:t xml:space="preserve"> </w:t>
      </w:r>
      <w:r w:rsidRPr="00150EDC">
        <w:rPr>
          <w:sz w:val="24"/>
        </w:rPr>
        <w:t>to</w:t>
      </w:r>
      <w:r w:rsidRPr="00150EDC">
        <w:rPr>
          <w:spacing w:val="-10"/>
          <w:sz w:val="24"/>
        </w:rPr>
        <w:t xml:space="preserve"> </w:t>
      </w:r>
      <w:r w:rsidRPr="00150EDC">
        <w:rPr>
          <w:sz w:val="24"/>
        </w:rPr>
        <w:t>the</w:t>
      </w:r>
      <w:r w:rsidRPr="00150EDC">
        <w:rPr>
          <w:spacing w:val="-9"/>
          <w:sz w:val="24"/>
        </w:rPr>
        <w:t xml:space="preserve"> </w:t>
      </w:r>
      <w:r w:rsidRPr="00150EDC">
        <w:rPr>
          <w:sz w:val="24"/>
        </w:rPr>
        <w:t>clauses</w:t>
      </w:r>
      <w:r w:rsidRPr="00150EDC">
        <w:rPr>
          <w:spacing w:val="-12"/>
          <w:sz w:val="24"/>
        </w:rPr>
        <w:t xml:space="preserve"> </w:t>
      </w:r>
      <w:r w:rsidRPr="00150EDC">
        <w:rPr>
          <w:sz w:val="24"/>
        </w:rPr>
        <w:t>and</w:t>
      </w:r>
      <w:r w:rsidRPr="00150EDC">
        <w:rPr>
          <w:spacing w:val="-9"/>
          <w:sz w:val="24"/>
        </w:rPr>
        <w:t xml:space="preserve"> </w:t>
      </w:r>
      <w:r w:rsidRPr="00150EDC">
        <w:rPr>
          <w:sz w:val="24"/>
        </w:rPr>
        <w:t>schedules</w:t>
      </w:r>
      <w:r w:rsidRPr="00150EDC">
        <w:rPr>
          <w:spacing w:val="-9"/>
          <w:sz w:val="24"/>
        </w:rPr>
        <w:t xml:space="preserve"> </w:t>
      </w:r>
      <w:r w:rsidRPr="00150EDC">
        <w:rPr>
          <w:sz w:val="24"/>
        </w:rPr>
        <w:t>of</w:t>
      </w:r>
      <w:r w:rsidRPr="00150EDC">
        <w:rPr>
          <w:spacing w:val="-9"/>
          <w:sz w:val="24"/>
        </w:rPr>
        <w:t xml:space="preserve"> </w:t>
      </w:r>
      <w:r w:rsidRPr="00150EDC">
        <w:rPr>
          <w:sz w:val="24"/>
        </w:rPr>
        <w:t>the</w:t>
      </w:r>
      <w:r w:rsidRPr="00150EDC">
        <w:rPr>
          <w:spacing w:val="-9"/>
          <w:sz w:val="24"/>
        </w:rPr>
        <w:t xml:space="preserve"> </w:t>
      </w:r>
      <w:r w:rsidRPr="00150EDC">
        <w:rPr>
          <w:sz w:val="24"/>
        </w:rPr>
        <w:t>Core</w:t>
      </w:r>
      <w:r w:rsidRPr="00150EDC">
        <w:rPr>
          <w:spacing w:val="-9"/>
          <w:sz w:val="24"/>
        </w:rPr>
        <w:t xml:space="preserve"> </w:t>
      </w:r>
      <w:r w:rsidRPr="00150EDC">
        <w:rPr>
          <w:sz w:val="24"/>
        </w:rPr>
        <w:t>Terms</w:t>
      </w:r>
      <w:r w:rsidRPr="00150EDC">
        <w:rPr>
          <w:spacing w:val="-12"/>
          <w:sz w:val="24"/>
        </w:rPr>
        <w:t xml:space="preserve"> </w:t>
      </w:r>
      <w:r w:rsidRPr="00150EDC">
        <w:rPr>
          <w:sz w:val="24"/>
        </w:rPr>
        <w:t>and references</w:t>
      </w:r>
      <w:r w:rsidRPr="00150EDC">
        <w:rPr>
          <w:spacing w:val="-11"/>
          <w:sz w:val="24"/>
        </w:rPr>
        <w:t xml:space="preserve"> </w:t>
      </w:r>
      <w:r w:rsidRPr="00150EDC">
        <w:rPr>
          <w:sz w:val="24"/>
        </w:rPr>
        <w:t>in</w:t>
      </w:r>
      <w:r w:rsidRPr="00150EDC">
        <w:rPr>
          <w:spacing w:val="-11"/>
          <w:sz w:val="24"/>
        </w:rPr>
        <w:t xml:space="preserve"> </w:t>
      </w:r>
      <w:r w:rsidRPr="00150EDC">
        <w:rPr>
          <w:sz w:val="24"/>
        </w:rPr>
        <w:t>any</w:t>
      </w:r>
      <w:r w:rsidRPr="00150EDC">
        <w:rPr>
          <w:spacing w:val="-11"/>
          <w:sz w:val="24"/>
        </w:rPr>
        <w:t xml:space="preserve"> </w:t>
      </w:r>
      <w:r w:rsidRPr="00150EDC">
        <w:rPr>
          <w:sz w:val="24"/>
        </w:rPr>
        <w:t>Schedule</w:t>
      </w:r>
      <w:r w:rsidRPr="00150EDC">
        <w:rPr>
          <w:spacing w:val="-11"/>
          <w:sz w:val="24"/>
        </w:rPr>
        <w:t xml:space="preserve"> </w:t>
      </w:r>
      <w:r w:rsidRPr="00150EDC">
        <w:rPr>
          <w:sz w:val="24"/>
        </w:rPr>
        <w:t>to</w:t>
      </w:r>
      <w:r w:rsidRPr="00150EDC">
        <w:rPr>
          <w:spacing w:val="-10"/>
          <w:sz w:val="24"/>
        </w:rPr>
        <w:t xml:space="preserve"> </w:t>
      </w:r>
      <w:r w:rsidRPr="00150EDC">
        <w:rPr>
          <w:sz w:val="24"/>
        </w:rPr>
        <w:t>parts,</w:t>
      </w:r>
      <w:r w:rsidRPr="00150EDC">
        <w:rPr>
          <w:spacing w:val="-11"/>
          <w:sz w:val="24"/>
        </w:rPr>
        <w:t xml:space="preserve"> </w:t>
      </w:r>
      <w:r w:rsidRPr="00150EDC">
        <w:rPr>
          <w:sz w:val="24"/>
        </w:rPr>
        <w:t>paragraphs,</w:t>
      </w:r>
      <w:r w:rsidRPr="00150EDC">
        <w:rPr>
          <w:spacing w:val="-11"/>
          <w:sz w:val="24"/>
        </w:rPr>
        <w:t xml:space="preserve"> </w:t>
      </w:r>
      <w:r w:rsidRPr="00150EDC">
        <w:rPr>
          <w:sz w:val="24"/>
        </w:rPr>
        <w:t>annexes</w:t>
      </w:r>
      <w:r w:rsidRPr="00150EDC">
        <w:rPr>
          <w:spacing w:val="-11"/>
          <w:sz w:val="24"/>
        </w:rPr>
        <w:t xml:space="preserve"> </w:t>
      </w:r>
      <w:r w:rsidRPr="00150EDC">
        <w:rPr>
          <w:sz w:val="24"/>
        </w:rPr>
        <w:t>and</w:t>
      </w:r>
      <w:r w:rsidRPr="00150EDC">
        <w:rPr>
          <w:spacing w:val="-10"/>
          <w:sz w:val="24"/>
        </w:rPr>
        <w:t xml:space="preserve"> </w:t>
      </w:r>
      <w:r w:rsidRPr="00150EDC">
        <w:rPr>
          <w:sz w:val="24"/>
        </w:rPr>
        <w:t>tables</w:t>
      </w:r>
      <w:r w:rsidRPr="00150EDC">
        <w:rPr>
          <w:spacing w:val="-13"/>
          <w:sz w:val="24"/>
        </w:rPr>
        <w:t xml:space="preserve"> </w:t>
      </w:r>
      <w:r w:rsidRPr="00150EDC">
        <w:rPr>
          <w:sz w:val="24"/>
        </w:rPr>
        <w:t>are, unless otherwise provided, references to the parts, paragraphs, annexes and tables of the Schedule in which these references appear;</w:t>
      </w:r>
    </w:p>
    <w:p w14:paraId="4288FDC5" w14:textId="77777777" w:rsidR="004C7180" w:rsidRPr="00150EDC" w:rsidRDefault="00CF0754" w:rsidP="00B320C7">
      <w:pPr>
        <w:pStyle w:val="ListParagraph"/>
        <w:numPr>
          <w:ilvl w:val="2"/>
          <w:numId w:val="137"/>
        </w:numPr>
        <w:tabs>
          <w:tab w:val="left" w:pos="2674"/>
          <w:tab w:val="left" w:pos="2677"/>
        </w:tabs>
        <w:spacing w:before="121"/>
        <w:ind w:right="1438"/>
        <w:jc w:val="both"/>
        <w:rPr>
          <w:sz w:val="24"/>
        </w:rPr>
      </w:pPr>
      <w:r w:rsidRPr="00150EDC">
        <w:rPr>
          <w:sz w:val="24"/>
        </w:rPr>
        <w:t xml:space="preserve">references to </w:t>
      </w:r>
      <w:r w:rsidRPr="00150EDC">
        <w:rPr>
          <w:b/>
          <w:sz w:val="24"/>
        </w:rPr>
        <w:t xml:space="preserve">"Paragraphs" </w:t>
      </w:r>
      <w:r w:rsidRPr="00150EDC">
        <w:rPr>
          <w:sz w:val="24"/>
        </w:rPr>
        <w:t>are, unless otherwise provided, references to the paragraph of the appropriate Schedules unless otherwise ;</w:t>
      </w:r>
    </w:p>
    <w:p w14:paraId="1C7C40C4" w14:textId="77777777" w:rsidR="004C7180" w:rsidRPr="00150EDC" w:rsidRDefault="00CF0754" w:rsidP="00B320C7">
      <w:pPr>
        <w:pStyle w:val="ListParagraph"/>
        <w:numPr>
          <w:ilvl w:val="2"/>
          <w:numId w:val="137"/>
        </w:numPr>
        <w:tabs>
          <w:tab w:val="left" w:pos="2673"/>
          <w:tab w:val="left" w:pos="2677"/>
        </w:tabs>
        <w:spacing w:before="120"/>
        <w:ind w:right="1444"/>
        <w:jc w:val="both"/>
        <w:rPr>
          <w:sz w:val="24"/>
        </w:rPr>
      </w:pPr>
      <w:r w:rsidRPr="00150EDC">
        <w:rPr>
          <w:sz w:val="24"/>
        </w:rPr>
        <w:t>references to a series of Clauses or Paragraphs shall be inclusive of the clause numbers specified;</w:t>
      </w:r>
    </w:p>
    <w:p w14:paraId="65CD5CA4" w14:textId="77777777" w:rsidR="004C7180" w:rsidRPr="00150EDC" w:rsidRDefault="00CF0754" w:rsidP="00B320C7">
      <w:pPr>
        <w:pStyle w:val="ListParagraph"/>
        <w:numPr>
          <w:ilvl w:val="2"/>
          <w:numId w:val="137"/>
        </w:numPr>
        <w:tabs>
          <w:tab w:val="left" w:pos="2673"/>
          <w:tab w:val="left" w:pos="2677"/>
        </w:tabs>
        <w:spacing w:before="120"/>
        <w:ind w:right="1436"/>
        <w:jc w:val="both"/>
        <w:rPr>
          <w:sz w:val="24"/>
        </w:rPr>
      </w:pPr>
      <w:r w:rsidRPr="00150EDC">
        <w:rPr>
          <w:sz w:val="24"/>
        </w:rPr>
        <w:t>the</w:t>
      </w:r>
      <w:r w:rsidRPr="00150EDC">
        <w:rPr>
          <w:spacing w:val="-8"/>
          <w:sz w:val="24"/>
        </w:rPr>
        <w:t xml:space="preserve"> </w:t>
      </w:r>
      <w:r w:rsidRPr="00150EDC">
        <w:rPr>
          <w:sz w:val="24"/>
        </w:rPr>
        <w:t>headings</w:t>
      </w:r>
      <w:r w:rsidRPr="00150EDC">
        <w:rPr>
          <w:spacing w:val="-9"/>
          <w:sz w:val="24"/>
        </w:rPr>
        <w:t xml:space="preserve"> </w:t>
      </w:r>
      <w:r w:rsidRPr="00150EDC">
        <w:rPr>
          <w:sz w:val="24"/>
        </w:rPr>
        <w:t>in</w:t>
      </w:r>
      <w:r w:rsidRPr="00150EDC">
        <w:rPr>
          <w:spacing w:val="-9"/>
          <w:sz w:val="24"/>
        </w:rPr>
        <w:t xml:space="preserve"> </w:t>
      </w:r>
      <w:r w:rsidRPr="00150EDC">
        <w:rPr>
          <w:sz w:val="24"/>
        </w:rPr>
        <w:t>each</w:t>
      </w:r>
      <w:r w:rsidRPr="00150EDC">
        <w:rPr>
          <w:spacing w:val="-6"/>
          <w:sz w:val="24"/>
        </w:rPr>
        <w:t xml:space="preserve"> </w:t>
      </w:r>
      <w:r w:rsidRPr="00150EDC">
        <w:rPr>
          <w:sz w:val="24"/>
        </w:rPr>
        <w:t>Contract</w:t>
      </w:r>
      <w:r w:rsidRPr="00150EDC">
        <w:rPr>
          <w:spacing w:val="-9"/>
          <w:sz w:val="24"/>
        </w:rPr>
        <w:t xml:space="preserve"> </w:t>
      </w:r>
      <w:r w:rsidRPr="00150EDC">
        <w:rPr>
          <w:sz w:val="24"/>
        </w:rPr>
        <w:t>are</w:t>
      </w:r>
      <w:r w:rsidRPr="00150EDC">
        <w:rPr>
          <w:spacing w:val="-9"/>
          <w:sz w:val="24"/>
        </w:rPr>
        <w:t xml:space="preserve"> </w:t>
      </w:r>
      <w:r w:rsidRPr="00150EDC">
        <w:rPr>
          <w:sz w:val="24"/>
        </w:rPr>
        <w:t>for</w:t>
      </w:r>
      <w:r w:rsidRPr="00150EDC">
        <w:rPr>
          <w:spacing w:val="-10"/>
          <w:sz w:val="24"/>
        </w:rPr>
        <w:t xml:space="preserve"> </w:t>
      </w:r>
      <w:r w:rsidRPr="00150EDC">
        <w:rPr>
          <w:sz w:val="24"/>
        </w:rPr>
        <w:t>ease</w:t>
      </w:r>
      <w:r w:rsidRPr="00150EDC">
        <w:rPr>
          <w:spacing w:val="-8"/>
          <w:sz w:val="24"/>
        </w:rPr>
        <w:t xml:space="preserve"> </w:t>
      </w:r>
      <w:r w:rsidRPr="00150EDC">
        <w:rPr>
          <w:sz w:val="24"/>
        </w:rPr>
        <w:t>of</w:t>
      </w:r>
      <w:r w:rsidRPr="00150EDC">
        <w:rPr>
          <w:spacing w:val="-6"/>
          <w:sz w:val="24"/>
        </w:rPr>
        <w:t xml:space="preserve"> </w:t>
      </w:r>
      <w:r w:rsidRPr="00150EDC">
        <w:rPr>
          <w:sz w:val="24"/>
        </w:rPr>
        <w:t>reference</w:t>
      </w:r>
      <w:r w:rsidRPr="00150EDC">
        <w:rPr>
          <w:spacing w:val="-6"/>
          <w:sz w:val="24"/>
        </w:rPr>
        <w:t xml:space="preserve"> </w:t>
      </w:r>
      <w:r w:rsidRPr="00150EDC">
        <w:rPr>
          <w:sz w:val="24"/>
        </w:rPr>
        <w:t>only</w:t>
      </w:r>
      <w:r w:rsidRPr="00150EDC">
        <w:rPr>
          <w:spacing w:val="-7"/>
          <w:sz w:val="24"/>
        </w:rPr>
        <w:t xml:space="preserve"> </w:t>
      </w:r>
      <w:r w:rsidRPr="00150EDC">
        <w:rPr>
          <w:sz w:val="24"/>
        </w:rPr>
        <w:t>and</w:t>
      </w:r>
      <w:r w:rsidRPr="00150EDC">
        <w:rPr>
          <w:spacing w:val="-6"/>
          <w:sz w:val="24"/>
        </w:rPr>
        <w:t xml:space="preserve"> </w:t>
      </w:r>
      <w:r w:rsidRPr="00150EDC">
        <w:rPr>
          <w:sz w:val="24"/>
        </w:rPr>
        <w:t>shall</w:t>
      </w:r>
      <w:r w:rsidRPr="00150EDC">
        <w:rPr>
          <w:spacing w:val="-8"/>
          <w:sz w:val="24"/>
        </w:rPr>
        <w:t xml:space="preserve"> </w:t>
      </w:r>
      <w:r w:rsidRPr="00150EDC">
        <w:rPr>
          <w:sz w:val="24"/>
        </w:rPr>
        <w:t>not affect the interpretation or construction of a Contract;</w:t>
      </w:r>
    </w:p>
    <w:p w14:paraId="1267FDAF" w14:textId="77777777" w:rsidR="004C7180" w:rsidRPr="00150EDC" w:rsidRDefault="004C7180">
      <w:pPr>
        <w:jc w:val="both"/>
        <w:rPr>
          <w:sz w:val="24"/>
        </w:rPr>
        <w:sectPr w:rsidR="004C7180" w:rsidRPr="00150EDC">
          <w:headerReference w:type="default" r:id="rId10"/>
          <w:footerReference w:type="default" r:id="rId11"/>
          <w:pgSz w:w="11910" w:h="16840"/>
          <w:pgMar w:top="1160" w:right="0" w:bottom="1400" w:left="40" w:header="715" w:footer="1208" w:gutter="0"/>
          <w:pgNumType w:start="1"/>
          <w:cols w:space="720"/>
        </w:sectPr>
      </w:pPr>
    </w:p>
    <w:p w14:paraId="3A7BF0F3" w14:textId="77777777" w:rsidR="004C7180" w:rsidRPr="00150EDC" w:rsidRDefault="004C7180">
      <w:pPr>
        <w:pStyle w:val="BodyText"/>
        <w:spacing w:before="8"/>
        <w:rPr>
          <w:sz w:val="15"/>
        </w:rPr>
      </w:pPr>
    </w:p>
    <w:p w14:paraId="3FD773F8" w14:textId="77777777" w:rsidR="004C7180" w:rsidRPr="00150EDC" w:rsidRDefault="00CF0754" w:rsidP="00B320C7">
      <w:pPr>
        <w:pStyle w:val="ListParagraph"/>
        <w:numPr>
          <w:ilvl w:val="2"/>
          <w:numId w:val="137"/>
        </w:numPr>
        <w:tabs>
          <w:tab w:val="left" w:pos="2673"/>
          <w:tab w:val="left" w:pos="2677"/>
        </w:tabs>
        <w:spacing w:before="92"/>
        <w:ind w:right="1444"/>
        <w:jc w:val="both"/>
        <w:rPr>
          <w:sz w:val="24"/>
        </w:rPr>
      </w:pPr>
      <w:r w:rsidRPr="00150EDC">
        <w:rPr>
          <w:sz w:val="24"/>
        </w:rPr>
        <w:t>in entering into a Contract the Relevant Authority is acting as part of the Crown; and</w:t>
      </w:r>
    </w:p>
    <w:p w14:paraId="4788B4D4" w14:textId="77777777" w:rsidR="004C7180" w:rsidRPr="00150EDC" w:rsidRDefault="00CF0754" w:rsidP="00B320C7">
      <w:pPr>
        <w:pStyle w:val="ListParagraph"/>
        <w:numPr>
          <w:ilvl w:val="2"/>
          <w:numId w:val="137"/>
        </w:numPr>
        <w:tabs>
          <w:tab w:val="left" w:pos="2673"/>
          <w:tab w:val="left" w:pos="2677"/>
        </w:tabs>
        <w:spacing w:before="120"/>
        <w:ind w:right="1443"/>
        <w:jc w:val="both"/>
        <w:rPr>
          <w:sz w:val="24"/>
        </w:rPr>
      </w:pPr>
      <w:r w:rsidRPr="00150EDC">
        <w:rPr>
          <w:sz w:val="24"/>
        </w:rPr>
        <w:t>any reference in a Contract which immediately before Exit Day was a reference to (as it has effect from time to time):</w:t>
      </w:r>
    </w:p>
    <w:p w14:paraId="628E0AA5" w14:textId="77777777" w:rsidR="004C7180" w:rsidRPr="00150EDC" w:rsidRDefault="00CF0754" w:rsidP="00B320C7">
      <w:pPr>
        <w:pStyle w:val="ListParagraph"/>
        <w:numPr>
          <w:ilvl w:val="3"/>
          <w:numId w:val="137"/>
        </w:numPr>
        <w:tabs>
          <w:tab w:val="left" w:pos="4093"/>
        </w:tabs>
        <w:spacing w:before="120"/>
        <w:ind w:right="1433"/>
        <w:jc w:val="both"/>
        <w:rPr>
          <w:sz w:val="24"/>
        </w:rPr>
      </w:pPr>
      <w:r w:rsidRPr="00150EDC">
        <w:rPr>
          <w:sz w:val="24"/>
        </w:rPr>
        <w:t>any EU regulation, EU decision, EU tertiary legislation or provision</w:t>
      </w:r>
      <w:r w:rsidRPr="00150EDC">
        <w:rPr>
          <w:spacing w:val="-10"/>
          <w:sz w:val="24"/>
        </w:rPr>
        <w:t xml:space="preserve"> </w:t>
      </w:r>
      <w:r w:rsidRPr="00150EDC">
        <w:rPr>
          <w:sz w:val="24"/>
        </w:rPr>
        <w:t>of</w:t>
      </w:r>
      <w:r w:rsidRPr="00150EDC">
        <w:rPr>
          <w:spacing w:val="-11"/>
          <w:sz w:val="24"/>
        </w:rPr>
        <w:t xml:space="preserve"> </w:t>
      </w:r>
      <w:r w:rsidRPr="00150EDC">
        <w:rPr>
          <w:sz w:val="24"/>
        </w:rPr>
        <w:t>the</w:t>
      </w:r>
      <w:r w:rsidRPr="00150EDC">
        <w:rPr>
          <w:spacing w:val="-10"/>
          <w:sz w:val="24"/>
        </w:rPr>
        <w:t xml:space="preserve"> </w:t>
      </w:r>
      <w:r w:rsidRPr="00150EDC">
        <w:rPr>
          <w:sz w:val="24"/>
        </w:rPr>
        <w:t>EEA</w:t>
      </w:r>
      <w:r w:rsidRPr="00150EDC">
        <w:rPr>
          <w:spacing w:val="-11"/>
          <w:sz w:val="24"/>
        </w:rPr>
        <w:t xml:space="preserve"> </w:t>
      </w:r>
      <w:r w:rsidRPr="00150EDC">
        <w:rPr>
          <w:sz w:val="24"/>
        </w:rPr>
        <w:t>agreement</w:t>
      </w:r>
      <w:r w:rsidRPr="00150EDC">
        <w:rPr>
          <w:spacing w:val="-11"/>
          <w:sz w:val="24"/>
        </w:rPr>
        <w:t xml:space="preserve"> </w:t>
      </w:r>
      <w:r w:rsidRPr="00150EDC">
        <w:rPr>
          <w:sz w:val="24"/>
        </w:rPr>
        <w:t>(“</w:t>
      </w:r>
      <w:r w:rsidRPr="00150EDC">
        <w:rPr>
          <w:b/>
          <w:sz w:val="24"/>
        </w:rPr>
        <w:t>EU</w:t>
      </w:r>
      <w:r w:rsidRPr="00150EDC">
        <w:rPr>
          <w:b/>
          <w:spacing w:val="-12"/>
          <w:sz w:val="24"/>
        </w:rPr>
        <w:t xml:space="preserve"> </w:t>
      </w:r>
      <w:r w:rsidRPr="00150EDC">
        <w:rPr>
          <w:b/>
          <w:sz w:val="24"/>
        </w:rPr>
        <w:t>References</w:t>
      </w:r>
      <w:r w:rsidRPr="00150EDC">
        <w:rPr>
          <w:sz w:val="24"/>
        </w:rPr>
        <w:t>”)</w:t>
      </w:r>
      <w:r w:rsidRPr="00150EDC">
        <w:rPr>
          <w:spacing w:val="-13"/>
          <w:sz w:val="24"/>
        </w:rPr>
        <w:t xml:space="preserve"> </w:t>
      </w:r>
      <w:r w:rsidRPr="00150EDC">
        <w:rPr>
          <w:sz w:val="24"/>
        </w:rPr>
        <w:t>which</w:t>
      </w:r>
      <w:r w:rsidRPr="00150EDC">
        <w:rPr>
          <w:spacing w:val="-10"/>
          <w:sz w:val="24"/>
        </w:rPr>
        <w:t xml:space="preserve"> </w:t>
      </w:r>
      <w:r w:rsidRPr="00150EDC">
        <w:rPr>
          <w:sz w:val="24"/>
        </w:rPr>
        <w:t>is to</w:t>
      </w:r>
      <w:r w:rsidRPr="00150EDC">
        <w:rPr>
          <w:spacing w:val="-10"/>
          <w:sz w:val="24"/>
        </w:rPr>
        <w:t xml:space="preserve"> </w:t>
      </w:r>
      <w:r w:rsidRPr="00150EDC">
        <w:rPr>
          <w:sz w:val="24"/>
        </w:rPr>
        <w:t>form</w:t>
      </w:r>
      <w:r w:rsidRPr="00150EDC">
        <w:rPr>
          <w:spacing w:val="-10"/>
          <w:sz w:val="24"/>
        </w:rPr>
        <w:t xml:space="preserve"> </w:t>
      </w:r>
      <w:r w:rsidRPr="00150EDC">
        <w:rPr>
          <w:sz w:val="24"/>
        </w:rPr>
        <w:t>part</w:t>
      </w:r>
      <w:r w:rsidRPr="00150EDC">
        <w:rPr>
          <w:spacing w:val="-14"/>
          <w:sz w:val="24"/>
        </w:rPr>
        <w:t xml:space="preserve"> </w:t>
      </w:r>
      <w:r w:rsidRPr="00150EDC">
        <w:rPr>
          <w:sz w:val="24"/>
        </w:rPr>
        <w:t>of</w:t>
      </w:r>
      <w:r w:rsidRPr="00150EDC">
        <w:rPr>
          <w:spacing w:val="-13"/>
          <w:sz w:val="24"/>
        </w:rPr>
        <w:t xml:space="preserve"> </w:t>
      </w:r>
      <w:r w:rsidRPr="00150EDC">
        <w:rPr>
          <w:sz w:val="24"/>
        </w:rPr>
        <w:t>domestic</w:t>
      </w:r>
      <w:r w:rsidRPr="00150EDC">
        <w:rPr>
          <w:spacing w:val="-12"/>
          <w:sz w:val="24"/>
        </w:rPr>
        <w:t xml:space="preserve"> </w:t>
      </w:r>
      <w:r w:rsidRPr="00150EDC">
        <w:rPr>
          <w:sz w:val="24"/>
        </w:rPr>
        <w:t>law</w:t>
      </w:r>
      <w:r w:rsidRPr="00150EDC">
        <w:rPr>
          <w:spacing w:val="-12"/>
          <w:sz w:val="24"/>
        </w:rPr>
        <w:t xml:space="preserve"> </w:t>
      </w:r>
      <w:r w:rsidRPr="00150EDC">
        <w:rPr>
          <w:sz w:val="24"/>
        </w:rPr>
        <w:t>by</w:t>
      </w:r>
      <w:r w:rsidRPr="00150EDC">
        <w:rPr>
          <w:spacing w:val="-12"/>
          <w:sz w:val="24"/>
        </w:rPr>
        <w:t xml:space="preserve"> </w:t>
      </w:r>
      <w:r w:rsidRPr="00150EDC">
        <w:rPr>
          <w:sz w:val="24"/>
        </w:rPr>
        <w:t>application</w:t>
      </w:r>
      <w:r w:rsidRPr="00150EDC">
        <w:rPr>
          <w:spacing w:val="-13"/>
          <w:sz w:val="24"/>
        </w:rPr>
        <w:t xml:space="preserve"> </w:t>
      </w:r>
      <w:r w:rsidRPr="00150EDC">
        <w:rPr>
          <w:sz w:val="24"/>
        </w:rPr>
        <w:t>of</w:t>
      </w:r>
      <w:r w:rsidRPr="00150EDC">
        <w:rPr>
          <w:spacing w:val="-13"/>
          <w:sz w:val="24"/>
        </w:rPr>
        <w:t xml:space="preserve"> </w:t>
      </w:r>
      <w:r w:rsidRPr="00150EDC">
        <w:rPr>
          <w:sz w:val="24"/>
        </w:rPr>
        <w:t>section</w:t>
      </w:r>
      <w:r w:rsidRPr="00150EDC">
        <w:rPr>
          <w:spacing w:val="-13"/>
          <w:sz w:val="24"/>
        </w:rPr>
        <w:t xml:space="preserve"> </w:t>
      </w:r>
      <w:r w:rsidRPr="00150EDC">
        <w:rPr>
          <w:sz w:val="24"/>
        </w:rPr>
        <w:t>3</w:t>
      </w:r>
      <w:r w:rsidRPr="00150EDC">
        <w:rPr>
          <w:spacing w:val="-11"/>
          <w:sz w:val="24"/>
        </w:rPr>
        <w:t xml:space="preserve"> </w:t>
      </w:r>
      <w:r w:rsidRPr="00150EDC">
        <w:rPr>
          <w:sz w:val="24"/>
        </w:rPr>
        <w:t>of</w:t>
      </w:r>
      <w:r w:rsidRPr="00150EDC">
        <w:rPr>
          <w:spacing w:val="-13"/>
          <w:sz w:val="24"/>
        </w:rPr>
        <w:t xml:space="preserve"> </w:t>
      </w:r>
      <w:r w:rsidRPr="00150EDC">
        <w:rPr>
          <w:sz w:val="24"/>
        </w:rPr>
        <w:t>the European</w:t>
      </w:r>
      <w:r w:rsidRPr="00150EDC">
        <w:rPr>
          <w:spacing w:val="-12"/>
          <w:sz w:val="24"/>
        </w:rPr>
        <w:t xml:space="preserve"> </w:t>
      </w:r>
      <w:r w:rsidRPr="00150EDC">
        <w:rPr>
          <w:sz w:val="24"/>
        </w:rPr>
        <w:t>Union</w:t>
      </w:r>
      <w:r w:rsidRPr="00150EDC">
        <w:rPr>
          <w:spacing w:val="-9"/>
          <w:sz w:val="24"/>
        </w:rPr>
        <w:t xml:space="preserve"> </w:t>
      </w:r>
      <w:r w:rsidRPr="00150EDC">
        <w:rPr>
          <w:sz w:val="24"/>
        </w:rPr>
        <w:t>(Withdrawal)</w:t>
      </w:r>
      <w:r w:rsidRPr="00150EDC">
        <w:rPr>
          <w:spacing w:val="-11"/>
          <w:sz w:val="24"/>
        </w:rPr>
        <w:t xml:space="preserve"> </w:t>
      </w:r>
      <w:r w:rsidRPr="00150EDC">
        <w:rPr>
          <w:sz w:val="24"/>
        </w:rPr>
        <w:t>Act</w:t>
      </w:r>
      <w:r w:rsidRPr="00150EDC">
        <w:rPr>
          <w:spacing w:val="-12"/>
          <w:sz w:val="24"/>
        </w:rPr>
        <w:t xml:space="preserve"> </w:t>
      </w:r>
      <w:r w:rsidRPr="00150EDC">
        <w:rPr>
          <w:sz w:val="24"/>
        </w:rPr>
        <w:t>2018</w:t>
      </w:r>
      <w:r w:rsidRPr="00150EDC">
        <w:rPr>
          <w:spacing w:val="-12"/>
          <w:sz w:val="24"/>
        </w:rPr>
        <w:t xml:space="preserve"> </w:t>
      </w:r>
      <w:r w:rsidRPr="00150EDC">
        <w:rPr>
          <w:sz w:val="24"/>
        </w:rPr>
        <w:t>shall</w:t>
      </w:r>
      <w:r w:rsidRPr="00150EDC">
        <w:rPr>
          <w:spacing w:val="-14"/>
          <w:sz w:val="24"/>
        </w:rPr>
        <w:t xml:space="preserve"> </w:t>
      </w:r>
      <w:r w:rsidRPr="00150EDC">
        <w:rPr>
          <w:sz w:val="24"/>
        </w:rPr>
        <w:t>be</w:t>
      </w:r>
      <w:r w:rsidRPr="00150EDC">
        <w:rPr>
          <w:spacing w:val="-9"/>
          <w:sz w:val="24"/>
        </w:rPr>
        <w:t xml:space="preserve"> </w:t>
      </w:r>
      <w:r w:rsidRPr="00150EDC">
        <w:rPr>
          <w:sz w:val="24"/>
        </w:rPr>
        <w:t>read</w:t>
      </w:r>
      <w:r w:rsidRPr="00150EDC">
        <w:rPr>
          <w:spacing w:val="-12"/>
          <w:sz w:val="24"/>
        </w:rPr>
        <w:t xml:space="preserve"> </w:t>
      </w:r>
      <w:r w:rsidRPr="00150EDC">
        <w:rPr>
          <w:sz w:val="24"/>
        </w:rPr>
        <w:t>on</w:t>
      </w:r>
      <w:r w:rsidRPr="00150EDC">
        <w:rPr>
          <w:spacing w:val="-12"/>
          <w:sz w:val="24"/>
        </w:rPr>
        <w:t xml:space="preserve"> </w:t>
      </w:r>
      <w:r w:rsidRPr="00150EDC">
        <w:rPr>
          <w:sz w:val="24"/>
        </w:rPr>
        <w:t>and after Exit Day as a reference to the EU References as they form part of domestic law by virtue of section 3 of the European Union (Withdrawal) Act 2018 as modified by domestic law from time to time; and</w:t>
      </w:r>
    </w:p>
    <w:p w14:paraId="7E3B4FC7" w14:textId="77777777" w:rsidR="004C7180" w:rsidRPr="00150EDC" w:rsidRDefault="00CF0754" w:rsidP="00B320C7">
      <w:pPr>
        <w:pStyle w:val="ListParagraph"/>
        <w:numPr>
          <w:ilvl w:val="3"/>
          <w:numId w:val="137"/>
        </w:numPr>
        <w:tabs>
          <w:tab w:val="left" w:pos="4093"/>
        </w:tabs>
        <w:spacing w:before="121"/>
        <w:ind w:right="1437"/>
        <w:jc w:val="both"/>
        <w:rPr>
          <w:sz w:val="24"/>
        </w:rPr>
      </w:pPr>
      <w:r w:rsidRPr="00150EDC">
        <w:rPr>
          <w:sz w:val="24"/>
        </w:rPr>
        <w:t>any EU institution or EU authority or other such EU body shall</w:t>
      </w:r>
      <w:r w:rsidRPr="00150EDC">
        <w:rPr>
          <w:spacing w:val="-5"/>
          <w:sz w:val="24"/>
        </w:rPr>
        <w:t xml:space="preserve"> </w:t>
      </w:r>
      <w:r w:rsidRPr="00150EDC">
        <w:rPr>
          <w:sz w:val="24"/>
        </w:rPr>
        <w:t>be</w:t>
      </w:r>
      <w:r w:rsidRPr="00150EDC">
        <w:rPr>
          <w:spacing w:val="-4"/>
          <w:sz w:val="24"/>
        </w:rPr>
        <w:t xml:space="preserve"> </w:t>
      </w:r>
      <w:r w:rsidRPr="00150EDC">
        <w:rPr>
          <w:sz w:val="24"/>
        </w:rPr>
        <w:t>read</w:t>
      </w:r>
      <w:r w:rsidRPr="00150EDC">
        <w:rPr>
          <w:spacing w:val="-4"/>
          <w:sz w:val="24"/>
        </w:rPr>
        <w:t xml:space="preserve"> </w:t>
      </w:r>
      <w:r w:rsidRPr="00150EDC">
        <w:rPr>
          <w:sz w:val="24"/>
        </w:rPr>
        <w:t>on</w:t>
      </w:r>
      <w:r w:rsidRPr="00150EDC">
        <w:rPr>
          <w:spacing w:val="-4"/>
          <w:sz w:val="24"/>
        </w:rPr>
        <w:t xml:space="preserve"> </w:t>
      </w:r>
      <w:r w:rsidRPr="00150EDC">
        <w:rPr>
          <w:sz w:val="24"/>
        </w:rPr>
        <w:t>and</w:t>
      </w:r>
      <w:r w:rsidRPr="00150EDC">
        <w:rPr>
          <w:spacing w:val="-4"/>
          <w:sz w:val="24"/>
        </w:rPr>
        <w:t xml:space="preserve"> </w:t>
      </w:r>
      <w:r w:rsidRPr="00150EDC">
        <w:rPr>
          <w:sz w:val="24"/>
        </w:rPr>
        <w:t>after</w:t>
      </w:r>
      <w:r w:rsidRPr="00150EDC">
        <w:rPr>
          <w:spacing w:val="-5"/>
          <w:sz w:val="24"/>
        </w:rPr>
        <w:t xml:space="preserve"> </w:t>
      </w:r>
      <w:r w:rsidRPr="00150EDC">
        <w:rPr>
          <w:sz w:val="24"/>
        </w:rPr>
        <w:t>Exit</w:t>
      </w:r>
      <w:r w:rsidRPr="00150EDC">
        <w:rPr>
          <w:spacing w:val="-4"/>
          <w:sz w:val="24"/>
        </w:rPr>
        <w:t xml:space="preserve"> </w:t>
      </w:r>
      <w:r w:rsidRPr="00150EDC">
        <w:rPr>
          <w:sz w:val="24"/>
        </w:rPr>
        <w:t>Day</w:t>
      </w:r>
      <w:r w:rsidRPr="00150EDC">
        <w:rPr>
          <w:spacing w:val="-4"/>
          <w:sz w:val="24"/>
        </w:rPr>
        <w:t xml:space="preserve"> </w:t>
      </w:r>
      <w:r w:rsidRPr="00150EDC">
        <w:rPr>
          <w:sz w:val="24"/>
        </w:rPr>
        <w:t>as</w:t>
      </w:r>
      <w:r w:rsidRPr="00150EDC">
        <w:rPr>
          <w:spacing w:val="-4"/>
          <w:sz w:val="24"/>
        </w:rPr>
        <w:t xml:space="preserve"> </w:t>
      </w:r>
      <w:r w:rsidRPr="00150EDC">
        <w:rPr>
          <w:sz w:val="24"/>
        </w:rPr>
        <w:t>a</w:t>
      </w:r>
      <w:r w:rsidRPr="00150EDC">
        <w:rPr>
          <w:spacing w:val="-4"/>
          <w:sz w:val="24"/>
        </w:rPr>
        <w:t xml:space="preserve"> </w:t>
      </w:r>
      <w:r w:rsidRPr="00150EDC">
        <w:rPr>
          <w:sz w:val="24"/>
        </w:rPr>
        <w:t>reference</w:t>
      </w:r>
      <w:r w:rsidRPr="00150EDC">
        <w:rPr>
          <w:spacing w:val="-4"/>
          <w:sz w:val="24"/>
        </w:rPr>
        <w:t xml:space="preserve"> </w:t>
      </w:r>
      <w:r w:rsidRPr="00150EDC">
        <w:rPr>
          <w:sz w:val="24"/>
        </w:rPr>
        <w:t>to</w:t>
      </w:r>
      <w:r w:rsidRPr="00150EDC">
        <w:rPr>
          <w:spacing w:val="-3"/>
          <w:sz w:val="24"/>
        </w:rPr>
        <w:t xml:space="preserve"> </w:t>
      </w:r>
      <w:r w:rsidRPr="00150EDC">
        <w:rPr>
          <w:sz w:val="24"/>
        </w:rPr>
        <w:t>the</w:t>
      </w:r>
      <w:r w:rsidRPr="00150EDC">
        <w:rPr>
          <w:spacing w:val="-4"/>
          <w:sz w:val="24"/>
        </w:rPr>
        <w:t xml:space="preserve"> </w:t>
      </w:r>
      <w:r w:rsidRPr="00150EDC">
        <w:rPr>
          <w:sz w:val="24"/>
        </w:rPr>
        <w:t xml:space="preserve">UK institution, authority or body to which its functions were </w:t>
      </w:r>
      <w:r w:rsidRPr="00150EDC">
        <w:rPr>
          <w:spacing w:val="-2"/>
          <w:sz w:val="24"/>
        </w:rPr>
        <w:t>transferred.</w:t>
      </w:r>
    </w:p>
    <w:p w14:paraId="44707E74" w14:textId="77777777" w:rsidR="004C7180" w:rsidRPr="00150EDC" w:rsidRDefault="00CF0754" w:rsidP="00B320C7">
      <w:pPr>
        <w:pStyle w:val="ListParagraph"/>
        <w:numPr>
          <w:ilvl w:val="2"/>
          <w:numId w:val="137"/>
        </w:numPr>
        <w:tabs>
          <w:tab w:val="left" w:pos="2117"/>
          <w:tab w:val="left" w:pos="2120"/>
        </w:tabs>
        <w:spacing w:before="120"/>
        <w:ind w:left="2120" w:right="1437" w:hanging="720"/>
        <w:jc w:val="both"/>
        <w:rPr>
          <w:sz w:val="24"/>
        </w:rPr>
      </w:pPr>
      <w:r w:rsidRPr="00150EDC">
        <w:rPr>
          <w:sz w:val="24"/>
        </w:rPr>
        <w:t>unless otherwise provided, references to “</w:t>
      </w:r>
      <w:r w:rsidRPr="00150EDC">
        <w:rPr>
          <w:b/>
          <w:sz w:val="24"/>
        </w:rPr>
        <w:t>Buyer</w:t>
      </w:r>
      <w:r w:rsidRPr="00150EDC">
        <w:rPr>
          <w:sz w:val="24"/>
        </w:rPr>
        <w:t>” shall be construed as including Exempt Buyers; and</w:t>
      </w:r>
    </w:p>
    <w:p w14:paraId="2AAFF70B" w14:textId="77777777" w:rsidR="004C7180" w:rsidRPr="00150EDC" w:rsidRDefault="00CF0754" w:rsidP="00B320C7">
      <w:pPr>
        <w:pStyle w:val="ListParagraph"/>
        <w:numPr>
          <w:ilvl w:val="2"/>
          <w:numId w:val="137"/>
        </w:numPr>
        <w:tabs>
          <w:tab w:val="left" w:pos="2117"/>
          <w:tab w:val="left" w:pos="2120"/>
        </w:tabs>
        <w:spacing w:before="120"/>
        <w:ind w:left="2120" w:right="1437" w:hanging="720"/>
        <w:jc w:val="both"/>
        <w:rPr>
          <w:sz w:val="24"/>
        </w:rPr>
      </w:pPr>
      <w:r w:rsidRPr="00150EDC">
        <w:rPr>
          <w:sz w:val="24"/>
        </w:rPr>
        <w:t>unless otherwise provided, references to “</w:t>
      </w:r>
      <w:r w:rsidRPr="00150EDC">
        <w:rPr>
          <w:b/>
          <w:sz w:val="24"/>
        </w:rPr>
        <w:t>Order Contract</w:t>
      </w:r>
      <w:r w:rsidRPr="00150EDC">
        <w:rPr>
          <w:sz w:val="24"/>
        </w:rPr>
        <w:t>” and “</w:t>
      </w:r>
      <w:r w:rsidRPr="00150EDC">
        <w:rPr>
          <w:b/>
          <w:sz w:val="24"/>
        </w:rPr>
        <w:t>Contract</w:t>
      </w:r>
      <w:r w:rsidRPr="00150EDC">
        <w:rPr>
          <w:sz w:val="24"/>
        </w:rPr>
        <w:t>” shall be construed as including Exempt Order Contracts.</w:t>
      </w:r>
    </w:p>
    <w:p w14:paraId="3BA51EBD" w14:textId="77777777" w:rsidR="004C7180" w:rsidRPr="00150EDC" w:rsidRDefault="00CF0754" w:rsidP="00B320C7">
      <w:pPr>
        <w:pStyle w:val="ListParagraph"/>
        <w:numPr>
          <w:ilvl w:val="1"/>
          <w:numId w:val="137"/>
        </w:numPr>
        <w:tabs>
          <w:tab w:val="left" w:pos="1964"/>
          <w:tab w:val="left" w:pos="1966"/>
        </w:tabs>
        <w:spacing w:before="120"/>
        <w:ind w:right="1435"/>
        <w:jc w:val="both"/>
        <w:rPr>
          <w:sz w:val="24"/>
        </w:rPr>
      </w:pPr>
      <w:r w:rsidRPr="00150EDC">
        <w:rPr>
          <w:sz w:val="24"/>
        </w:rPr>
        <w:t>In</w:t>
      </w:r>
      <w:r w:rsidRPr="00150EDC">
        <w:rPr>
          <w:spacing w:val="-15"/>
          <w:sz w:val="24"/>
        </w:rPr>
        <w:t xml:space="preserve"> </w:t>
      </w:r>
      <w:r w:rsidRPr="00150EDC">
        <w:rPr>
          <w:sz w:val="24"/>
        </w:rPr>
        <w:t>each</w:t>
      </w:r>
      <w:r w:rsidRPr="00150EDC">
        <w:rPr>
          <w:spacing w:val="-13"/>
          <w:sz w:val="24"/>
        </w:rPr>
        <w:t xml:space="preserve"> </w:t>
      </w:r>
      <w:r w:rsidRPr="00150EDC">
        <w:rPr>
          <w:sz w:val="24"/>
        </w:rPr>
        <w:t>Contract,</w:t>
      </w:r>
      <w:r w:rsidRPr="00150EDC">
        <w:rPr>
          <w:spacing w:val="-15"/>
          <w:sz w:val="24"/>
        </w:rPr>
        <w:t xml:space="preserve"> </w:t>
      </w:r>
      <w:r w:rsidRPr="00150EDC">
        <w:rPr>
          <w:sz w:val="24"/>
        </w:rPr>
        <w:t>unless</w:t>
      </w:r>
      <w:r w:rsidRPr="00150EDC">
        <w:rPr>
          <w:spacing w:val="-14"/>
          <w:sz w:val="24"/>
        </w:rPr>
        <w:t xml:space="preserve"> </w:t>
      </w:r>
      <w:r w:rsidRPr="00150EDC">
        <w:rPr>
          <w:sz w:val="24"/>
        </w:rPr>
        <w:t>the</w:t>
      </w:r>
      <w:r w:rsidRPr="00150EDC">
        <w:rPr>
          <w:spacing w:val="-13"/>
          <w:sz w:val="24"/>
        </w:rPr>
        <w:t xml:space="preserve"> </w:t>
      </w:r>
      <w:r w:rsidRPr="00150EDC">
        <w:rPr>
          <w:sz w:val="24"/>
        </w:rPr>
        <w:t>context</w:t>
      </w:r>
      <w:r w:rsidRPr="00150EDC">
        <w:rPr>
          <w:spacing w:val="-16"/>
          <w:sz w:val="24"/>
        </w:rPr>
        <w:t xml:space="preserve"> </w:t>
      </w:r>
      <w:r w:rsidRPr="00150EDC">
        <w:rPr>
          <w:sz w:val="24"/>
        </w:rPr>
        <w:t>otherwise</w:t>
      </w:r>
      <w:r w:rsidRPr="00150EDC">
        <w:rPr>
          <w:spacing w:val="-14"/>
          <w:sz w:val="24"/>
        </w:rPr>
        <w:t xml:space="preserve"> </w:t>
      </w:r>
      <w:r w:rsidRPr="00150EDC">
        <w:rPr>
          <w:sz w:val="24"/>
        </w:rPr>
        <w:t>requires,</w:t>
      </w:r>
      <w:r w:rsidRPr="00150EDC">
        <w:rPr>
          <w:spacing w:val="-16"/>
          <w:sz w:val="24"/>
        </w:rPr>
        <w:t xml:space="preserve"> </w:t>
      </w:r>
      <w:r w:rsidRPr="00150EDC">
        <w:rPr>
          <w:sz w:val="24"/>
        </w:rPr>
        <w:t>the</w:t>
      </w:r>
      <w:r w:rsidRPr="00150EDC">
        <w:rPr>
          <w:spacing w:val="-15"/>
          <w:sz w:val="24"/>
        </w:rPr>
        <w:t xml:space="preserve"> </w:t>
      </w:r>
      <w:r w:rsidRPr="00150EDC">
        <w:rPr>
          <w:sz w:val="24"/>
        </w:rPr>
        <w:t>following</w:t>
      </w:r>
      <w:r w:rsidRPr="00150EDC">
        <w:rPr>
          <w:spacing w:val="-17"/>
          <w:sz w:val="24"/>
        </w:rPr>
        <w:t xml:space="preserve"> </w:t>
      </w:r>
      <w:r w:rsidRPr="00150EDC">
        <w:rPr>
          <w:sz w:val="24"/>
        </w:rPr>
        <w:t>words</w:t>
      </w:r>
      <w:r w:rsidRPr="00150EDC">
        <w:rPr>
          <w:spacing w:val="-14"/>
          <w:sz w:val="24"/>
        </w:rPr>
        <w:t xml:space="preserve"> </w:t>
      </w:r>
      <w:r w:rsidRPr="00150EDC">
        <w:rPr>
          <w:sz w:val="24"/>
        </w:rPr>
        <w:t>shall have the following meanings:</w:t>
      </w:r>
    </w:p>
    <w:p w14:paraId="489905E9" w14:textId="77777777" w:rsidR="004C7180" w:rsidRPr="00150EDC" w:rsidRDefault="004C7180">
      <w:pPr>
        <w:pStyle w:val="BodyText"/>
        <w:rPr>
          <w:sz w:val="20"/>
        </w:rPr>
      </w:pPr>
    </w:p>
    <w:p w14:paraId="31849FE6" w14:textId="77777777" w:rsidR="004C7180" w:rsidRPr="00150EDC" w:rsidRDefault="004C7180">
      <w:pPr>
        <w:pStyle w:val="BodyText"/>
        <w:spacing w:before="10"/>
      </w:pPr>
    </w:p>
    <w:tbl>
      <w:tblPr>
        <w:tblW w:w="0" w:type="auto"/>
        <w:tblInd w:w="1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4"/>
        <w:gridCol w:w="7484"/>
      </w:tblGrid>
      <w:tr w:rsidR="007D3144" w:rsidRPr="007D3144" w14:paraId="32309335" w14:textId="77777777">
        <w:trPr>
          <w:trHeight w:val="672"/>
        </w:trPr>
        <w:tc>
          <w:tcPr>
            <w:tcW w:w="2264" w:type="dxa"/>
          </w:tcPr>
          <w:p w14:paraId="47F715BE" w14:textId="77777777" w:rsidR="004C7180" w:rsidRPr="00150EDC" w:rsidRDefault="00CF0754">
            <w:pPr>
              <w:pStyle w:val="TableParagraph"/>
              <w:spacing w:before="0" w:line="240" w:lineRule="auto"/>
              <w:ind w:left="-1"/>
              <w:rPr>
                <w:b/>
                <w:sz w:val="24"/>
              </w:rPr>
            </w:pPr>
            <w:r w:rsidRPr="00150EDC">
              <w:rPr>
                <w:b/>
                <w:spacing w:val="-2"/>
                <w:sz w:val="24"/>
              </w:rPr>
              <w:t xml:space="preserve">“Accounting </w:t>
            </w:r>
            <w:r w:rsidRPr="00150EDC">
              <w:rPr>
                <w:b/>
                <w:sz w:val="24"/>
              </w:rPr>
              <w:t>Reference</w:t>
            </w:r>
            <w:r w:rsidRPr="00150EDC">
              <w:rPr>
                <w:b/>
                <w:spacing w:val="-17"/>
                <w:sz w:val="24"/>
              </w:rPr>
              <w:t xml:space="preserve"> </w:t>
            </w:r>
            <w:r w:rsidRPr="00150EDC">
              <w:rPr>
                <w:b/>
                <w:sz w:val="24"/>
              </w:rPr>
              <w:t>Date”</w:t>
            </w:r>
          </w:p>
        </w:tc>
        <w:tc>
          <w:tcPr>
            <w:tcW w:w="7484" w:type="dxa"/>
          </w:tcPr>
          <w:p w14:paraId="6D09F608" w14:textId="77777777" w:rsidR="004C7180" w:rsidRPr="00150EDC" w:rsidRDefault="00CF0754">
            <w:pPr>
              <w:pStyle w:val="TableParagraph"/>
              <w:spacing w:before="0" w:line="240" w:lineRule="auto"/>
              <w:ind w:left="107"/>
              <w:rPr>
                <w:sz w:val="24"/>
              </w:rPr>
            </w:pPr>
            <w:r w:rsidRPr="00150EDC">
              <w:rPr>
                <w:sz w:val="24"/>
              </w:rPr>
              <w:t>means</w:t>
            </w:r>
            <w:r w:rsidRPr="00150EDC">
              <w:rPr>
                <w:spacing w:val="-17"/>
                <w:sz w:val="24"/>
              </w:rPr>
              <w:t xml:space="preserve"> </w:t>
            </w:r>
            <w:r w:rsidRPr="00150EDC">
              <w:rPr>
                <w:sz w:val="24"/>
              </w:rPr>
              <w:t>in</w:t>
            </w:r>
            <w:r w:rsidRPr="00150EDC">
              <w:rPr>
                <w:spacing w:val="-17"/>
                <w:sz w:val="24"/>
              </w:rPr>
              <w:t xml:space="preserve"> </w:t>
            </w:r>
            <w:r w:rsidRPr="00150EDC">
              <w:rPr>
                <w:sz w:val="24"/>
              </w:rPr>
              <w:t>each</w:t>
            </w:r>
            <w:r w:rsidRPr="00150EDC">
              <w:rPr>
                <w:spacing w:val="-16"/>
                <w:sz w:val="24"/>
              </w:rPr>
              <w:t xml:space="preserve"> </w:t>
            </w:r>
            <w:r w:rsidRPr="00150EDC">
              <w:rPr>
                <w:sz w:val="24"/>
              </w:rPr>
              <w:t>year</w:t>
            </w:r>
            <w:r w:rsidRPr="00150EDC">
              <w:rPr>
                <w:spacing w:val="-17"/>
                <w:sz w:val="24"/>
              </w:rPr>
              <w:t xml:space="preserve"> </w:t>
            </w:r>
            <w:r w:rsidRPr="00150EDC">
              <w:rPr>
                <w:sz w:val="24"/>
              </w:rPr>
              <w:t>the</w:t>
            </w:r>
            <w:r w:rsidRPr="00150EDC">
              <w:rPr>
                <w:spacing w:val="-17"/>
                <w:sz w:val="24"/>
              </w:rPr>
              <w:t xml:space="preserve"> </w:t>
            </w:r>
            <w:r w:rsidRPr="00150EDC">
              <w:rPr>
                <w:sz w:val="24"/>
              </w:rPr>
              <w:t>date</w:t>
            </w:r>
            <w:r w:rsidRPr="00150EDC">
              <w:rPr>
                <w:spacing w:val="-17"/>
                <w:sz w:val="24"/>
              </w:rPr>
              <w:t xml:space="preserve"> </w:t>
            </w:r>
            <w:r w:rsidRPr="00150EDC">
              <w:rPr>
                <w:sz w:val="24"/>
              </w:rPr>
              <w:t>to</w:t>
            </w:r>
            <w:r w:rsidRPr="00150EDC">
              <w:rPr>
                <w:spacing w:val="-16"/>
                <w:sz w:val="24"/>
              </w:rPr>
              <w:t xml:space="preserve"> </w:t>
            </w:r>
            <w:r w:rsidRPr="00150EDC">
              <w:rPr>
                <w:sz w:val="24"/>
              </w:rPr>
              <w:t>which</w:t>
            </w:r>
            <w:r w:rsidRPr="00150EDC">
              <w:rPr>
                <w:spacing w:val="-17"/>
                <w:sz w:val="24"/>
              </w:rPr>
              <w:t xml:space="preserve"> </w:t>
            </w:r>
            <w:r w:rsidRPr="00150EDC">
              <w:rPr>
                <w:sz w:val="24"/>
              </w:rPr>
              <w:t>the</w:t>
            </w:r>
            <w:r w:rsidRPr="00150EDC">
              <w:rPr>
                <w:spacing w:val="-17"/>
                <w:sz w:val="24"/>
              </w:rPr>
              <w:t xml:space="preserve"> </w:t>
            </w:r>
            <w:r w:rsidRPr="00150EDC">
              <w:rPr>
                <w:sz w:val="24"/>
              </w:rPr>
              <w:t>Supplier</w:t>
            </w:r>
            <w:r w:rsidRPr="00150EDC">
              <w:rPr>
                <w:spacing w:val="-16"/>
                <w:sz w:val="24"/>
              </w:rPr>
              <w:t xml:space="preserve"> </w:t>
            </w:r>
            <w:r w:rsidRPr="00150EDC">
              <w:rPr>
                <w:sz w:val="24"/>
              </w:rPr>
              <w:t>prepares</w:t>
            </w:r>
            <w:r w:rsidRPr="00150EDC">
              <w:rPr>
                <w:spacing w:val="-17"/>
                <w:sz w:val="24"/>
              </w:rPr>
              <w:t xml:space="preserve"> </w:t>
            </w:r>
            <w:r w:rsidRPr="00150EDC">
              <w:rPr>
                <w:sz w:val="24"/>
              </w:rPr>
              <w:t>its</w:t>
            </w:r>
            <w:r w:rsidRPr="00150EDC">
              <w:rPr>
                <w:spacing w:val="-17"/>
                <w:sz w:val="24"/>
              </w:rPr>
              <w:t xml:space="preserve"> </w:t>
            </w:r>
            <w:r w:rsidRPr="00150EDC">
              <w:rPr>
                <w:sz w:val="24"/>
              </w:rPr>
              <w:t>annual audited financial statements;</w:t>
            </w:r>
          </w:p>
        </w:tc>
      </w:tr>
      <w:tr w:rsidR="007D3144" w:rsidRPr="007D3144" w14:paraId="773120B6" w14:textId="77777777">
        <w:trPr>
          <w:trHeight w:val="1223"/>
        </w:trPr>
        <w:tc>
          <w:tcPr>
            <w:tcW w:w="2264" w:type="dxa"/>
          </w:tcPr>
          <w:p w14:paraId="0C8C2D4D" w14:textId="77777777" w:rsidR="004C7180" w:rsidRPr="00150EDC" w:rsidRDefault="00CF0754">
            <w:pPr>
              <w:pStyle w:val="TableParagraph"/>
              <w:spacing w:before="0" w:line="240" w:lineRule="auto"/>
              <w:ind w:left="-1"/>
              <w:rPr>
                <w:b/>
                <w:sz w:val="24"/>
              </w:rPr>
            </w:pPr>
            <w:r w:rsidRPr="00150EDC">
              <w:rPr>
                <w:b/>
                <w:spacing w:val="-2"/>
                <w:sz w:val="24"/>
              </w:rPr>
              <w:t>"Achieve"</w:t>
            </w:r>
          </w:p>
        </w:tc>
        <w:tc>
          <w:tcPr>
            <w:tcW w:w="7484" w:type="dxa"/>
          </w:tcPr>
          <w:p w14:paraId="78B29CAA" w14:textId="77777777" w:rsidR="004C7180" w:rsidRPr="00150EDC" w:rsidRDefault="00CF0754">
            <w:pPr>
              <w:pStyle w:val="TableParagraph"/>
              <w:spacing w:before="0" w:line="240" w:lineRule="auto"/>
              <w:ind w:left="107" w:right="92"/>
              <w:jc w:val="both"/>
              <w:rPr>
                <w:sz w:val="24"/>
              </w:rPr>
            </w:pPr>
            <w:r w:rsidRPr="00150EDC">
              <w:rPr>
                <w:sz w:val="24"/>
              </w:rPr>
              <w:t>in respect of a Test,</w:t>
            </w:r>
            <w:r w:rsidRPr="00150EDC">
              <w:rPr>
                <w:spacing w:val="-2"/>
                <w:sz w:val="24"/>
              </w:rPr>
              <w:t xml:space="preserve"> </w:t>
            </w:r>
            <w:r w:rsidRPr="00150EDC">
              <w:rPr>
                <w:sz w:val="24"/>
              </w:rPr>
              <w:t>to</w:t>
            </w:r>
            <w:r w:rsidRPr="00150EDC">
              <w:rPr>
                <w:spacing w:val="-1"/>
                <w:sz w:val="24"/>
              </w:rPr>
              <w:t xml:space="preserve"> </w:t>
            </w:r>
            <w:r w:rsidRPr="00150EDC">
              <w:rPr>
                <w:sz w:val="24"/>
              </w:rPr>
              <w:t>successfully pass such Test without any Test Issues and in respect of a Milestone, the issue of a Satisfaction Certificate in respect</w:t>
            </w:r>
            <w:r w:rsidRPr="00150EDC">
              <w:rPr>
                <w:spacing w:val="-2"/>
                <w:sz w:val="24"/>
              </w:rPr>
              <w:t xml:space="preserve"> </w:t>
            </w:r>
            <w:r w:rsidRPr="00150EDC">
              <w:rPr>
                <w:sz w:val="24"/>
              </w:rPr>
              <w:t>of that</w:t>
            </w:r>
            <w:r w:rsidRPr="00150EDC">
              <w:rPr>
                <w:spacing w:val="-2"/>
                <w:sz w:val="24"/>
              </w:rPr>
              <w:t xml:space="preserve"> </w:t>
            </w:r>
            <w:r w:rsidRPr="00150EDC">
              <w:rPr>
                <w:sz w:val="24"/>
              </w:rPr>
              <w:t>Milestone</w:t>
            </w:r>
            <w:r w:rsidRPr="00150EDC">
              <w:rPr>
                <w:spacing w:val="-2"/>
                <w:sz w:val="24"/>
              </w:rPr>
              <w:t xml:space="preserve"> </w:t>
            </w:r>
            <w:r w:rsidRPr="00150EDC">
              <w:rPr>
                <w:sz w:val="24"/>
              </w:rPr>
              <w:t>and</w:t>
            </w:r>
            <w:r w:rsidRPr="00150EDC">
              <w:rPr>
                <w:spacing w:val="-2"/>
                <w:sz w:val="24"/>
              </w:rPr>
              <w:t xml:space="preserve"> </w:t>
            </w:r>
            <w:r w:rsidRPr="00150EDC">
              <w:rPr>
                <w:sz w:val="24"/>
              </w:rPr>
              <w:t>"</w:t>
            </w:r>
            <w:r w:rsidRPr="00150EDC">
              <w:rPr>
                <w:b/>
                <w:sz w:val="24"/>
              </w:rPr>
              <w:t>Achieved</w:t>
            </w:r>
            <w:r w:rsidRPr="00150EDC">
              <w:rPr>
                <w:sz w:val="24"/>
              </w:rPr>
              <w:t>",</w:t>
            </w:r>
            <w:r w:rsidRPr="00150EDC">
              <w:rPr>
                <w:spacing w:val="-2"/>
                <w:sz w:val="24"/>
              </w:rPr>
              <w:t xml:space="preserve"> </w:t>
            </w:r>
            <w:r w:rsidRPr="00150EDC">
              <w:rPr>
                <w:sz w:val="24"/>
              </w:rPr>
              <w:t>"</w:t>
            </w:r>
            <w:r w:rsidRPr="00150EDC">
              <w:rPr>
                <w:b/>
                <w:sz w:val="24"/>
              </w:rPr>
              <w:t>Achieving</w:t>
            </w:r>
            <w:r w:rsidRPr="00150EDC">
              <w:rPr>
                <w:sz w:val="24"/>
              </w:rPr>
              <w:t>" and "</w:t>
            </w:r>
            <w:r w:rsidRPr="00150EDC">
              <w:rPr>
                <w:b/>
                <w:sz w:val="24"/>
              </w:rPr>
              <w:t>Achievement</w:t>
            </w:r>
            <w:r w:rsidRPr="00150EDC">
              <w:rPr>
                <w:sz w:val="24"/>
              </w:rPr>
              <w:t>" shall be construed accordingly;</w:t>
            </w:r>
          </w:p>
        </w:tc>
      </w:tr>
      <w:tr w:rsidR="007D3144" w:rsidRPr="007D3144" w14:paraId="68F884F8" w14:textId="77777777">
        <w:trPr>
          <w:trHeight w:val="947"/>
        </w:trPr>
        <w:tc>
          <w:tcPr>
            <w:tcW w:w="2264" w:type="dxa"/>
          </w:tcPr>
          <w:p w14:paraId="32C0E92B" w14:textId="77777777" w:rsidR="004C7180" w:rsidRPr="00150EDC" w:rsidRDefault="00CF0754">
            <w:pPr>
              <w:pStyle w:val="TableParagraph"/>
              <w:spacing w:before="0" w:line="240" w:lineRule="auto"/>
              <w:ind w:left="-1"/>
              <w:rPr>
                <w:b/>
                <w:sz w:val="24"/>
              </w:rPr>
            </w:pPr>
            <w:r w:rsidRPr="00150EDC">
              <w:rPr>
                <w:b/>
                <w:spacing w:val="-2"/>
                <w:sz w:val="24"/>
              </w:rPr>
              <w:t>"Additional Insurances"</w:t>
            </w:r>
          </w:p>
        </w:tc>
        <w:tc>
          <w:tcPr>
            <w:tcW w:w="7484" w:type="dxa"/>
          </w:tcPr>
          <w:p w14:paraId="2DBDE49F" w14:textId="77777777" w:rsidR="004C7180" w:rsidRPr="00150EDC" w:rsidRDefault="00CF0754">
            <w:pPr>
              <w:pStyle w:val="TableParagraph"/>
              <w:spacing w:before="0" w:line="240" w:lineRule="auto"/>
              <w:ind w:left="107" w:right="98"/>
              <w:jc w:val="both"/>
              <w:rPr>
                <w:sz w:val="24"/>
              </w:rPr>
            </w:pPr>
            <w:r w:rsidRPr="00150EDC">
              <w:rPr>
                <w:sz w:val="24"/>
              </w:rPr>
              <w:t>insurance</w:t>
            </w:r>
            <w:r w:rsidRPr="00150EDC">
              <w:rPr>
                <w:spacing w:val="-6"/>
                <w:sz w:val="24"/>
              </w:rPr>
              <w:t xml:space="preserve"> </w:t>
            </w:r>
            <w:r w:rsidRPr="00150EDC">
              <w:rPr>
                <w:sz w:val="24"/>
              </w:rPr>
              <w:t>requirements</w:t>
            </w:r>
            <w:r w:rsidRPr="00150EDC">
              <w:rPr>
                <w:spacing w:val="-6"/>
                <w:sz w:val="24"/>
              </w:rPr>
              <w:t xml:space="preserve"> </w:t>
            </w:r>
            <w:r w:rsidRPr="00150EDC">
              <w:rPr>
                <w:sz w:val="24"/>
              </w:rPr>
              <w:t>relating</w:t>
            </w:r>
            <w:r w:rsidRPr="00150EDC">
              <w:rPr>
                <w:spacing w:val="-6"/>
                <w:sz w:val="24"/>
              </w:rPr>
              <w:t xml:space="preserve"> </w:t>
            </w:r>
            <w:r w:rsidRPr="00150EDC">
              <w:rPr>
                <w:sz w:val="24"/>
              </w:rPr>
              <w:t>to</w:t>
            </w:r>
            <w:r w:rsidRPr="00150EDC">
              <w:rPr>
                <w:spacing w:val="-8"/>
                <w:sz w:val="24"/>
              </w:rPr>
              <w:t xml:space="preserve"> </w:t>
            </w:r>
            <w:r w:rsidRPr="00150EDC">
              <w:rPr>
                <w:sz w:val="24"/>
              </w:rPr>
              <w:t>an</w:t>
            </w:r>
            <w:r w:rsidRPr="00150EDC">
              <w:rPr>
                <w:spacing w:val="-6"/>
                <w:sz w:val="24"/>
              </w:rPr>
              <w:t xml:space="preserve"> </w:t>
            </w:r>
            <w:r w:rsidRPr="00150EDC">
              <w:rPr>
                <w:sz w:val="24"/>
              </w:rPr>
              <w:t>Order</w:t>
            </w:r>
            <w:r w:rsidRPr="00150EDC">
              <w:rPr>
                <w:spacing w:val="-7"/>
                <w:sz w:val="24"/>
              </w:rPr>
              <w:t xml:space="preserve"> </w:t>
            </w:r>
            <w:r w:rsidRPr="00150EDC">
              <w:rPr>
                <w:sz w:val="24"/>
              </w:rPr>
              <w:t>Contract</w:t>
            </w:r>
            <w:r w:rsidRPr="00150EDC">
              <w:rPr>
                <w:spacing w:val="-6"/>
                <w:sz w:val="24"/>
              </w:rPr>
              <w:t xml:space="preserve"> </w:t>
            </w:r>
            <w:r w:rsidRPr="00150EDC">
              <w:rPr>
                <w:sz w:val="24"/>
              </w:rPr>
              <w:t>specified</w:t>
            </w:r>
            <w:r w:rsidRPr="00150EDC">
              <w:rPr>
                <w:spacing w:val="-5"/>
                <w:sz w:val="24"/>
              </w:rPr>
              <w:t xml:space="preserve"> </w:t>
            </w:r>
            <w:r w:rsidRPr="00150EDC">
              <w:rPr>
                <w:sz w:val="24"/>
              </w:rPr>
              <w:t>in</w:t>
            </w:r>
            <w:r w:rsidRPr="00150EDC">
              <w:rPr>
                <w:spacing w:val="-8"/>
                <w:sz w:val="24"/>
              </w:rPr>
              <w:t xml:space="preserve"> </w:t>
            </w:r>
            <w:r w:rsidRPr="00150EDC">
              <w:rPr>
                <w:sz w:val="24"/>
              </w:rPr>
              <w:t>the Order Form additional to those outlined in Joint Schedule 3 (Insurance Requirements);</w:t>
            </w:r>
          </w:p>
        </w:tc>
      </w:tr>
      <w:tr w:rsidR="007D3144" w:rsidRPr="007D3144" w14:paraId="26A02CBC" w14:textId="77777777">
        <w:trPr>
          <w:trHeight w:val="1224"/>
        </w:trPr>
        <w:tc>
          <w:tcPr>
            <w:tcW w:w="2264" w:type="dxa"/>
          </w:tcPr>
          <w:p w14:paraId="21121CCD" w14:textId="77777777" w:rsidR="004C7180" w:rsidRPr="00150EDC" w:rsidRDefault="00CF0754">
            <w:pPr>
              <w:pStyle w:val="TableParagraph"/>
              <w:spacing w:before="0" w:line="240" w:lineRule="auto"/>
              <w:ind w:left="-1"/>
              <w:rPr>
                <w:b/>
                <w:sz w:val="24"/>
              </w:rPr>
            </w:pPr>
            <w:r w:rsidRPr="00150EDC">
              <w:rPr>
                <w:b/>
                <w:sz w:val="24"/>
              </w:rPr>
              <w:t>"Admin</w:t>
            </w:r>
            <w:r w:rsidRPr="00150EDC">
              <w:rPr>
                <w:b/>
                <w:spacing w:val="-2"/>
                <w:sz w:val="24"/>
              </w:rPr>
              <w:t xml:space="preserve"> </w:t>
            </w:r>
            <w:r w:rsidRPr="00150EDC">
              <w:rPr>
                <w:b/>
                <w:spacing w:val="-4"/>
                <w:sz w:val="24"/>
              </w:rPr>
              <w:t>Fee”</w:t>
            </w:r>
          </w:p>
        </w:tc>
        <w:tc>
          <w:tcPr>
            <w:tcW w:w="7484" w:type="dxa"/>
          </w:tcPr>
          <w:p w14:paraId="4EE79DDE" w14:textId="77777777" w:rsidR="004C7180" w:rsidRPr="00150EDC" w:rsidRDefault="00CF0754">
            <w:pPr>
              <w:pStyle w:val="TableParagraph"/>
              <w:spacing w:before="0" w:line="240" w:lineRule="auto"/>
              <w:ind w:left="107" w:right="95"/>
              <w:jc w:val="both"/>
              <w:rPr>
                <w:sz w:val="24"/>
              </w:rPr>
            </w:pPr>
            <w:r w:rsidRPr="00150EDC">
              <w:rPr>
                <w:sz w:val="24"/>
              </w:rPr>
              <w:t xml:space="preserve">means the costs incurred by CCS in dealing with MI Failures calculated in accordance with the tariff of administration charges published by the CCS on: </w:t>
            </w:r>
            <w:hyperlink r:id="rId12">
              <w:r w:rsidRPr="00150EDC">
                <w:rPr>
                  <w:sz w:val="24"/>
                </w:rPr>
                <w:t>http://CCS.cabinetoffice.gov.uk/i-am-</w:t>
              </w:r>
            </w:hyperlink>
            <w:r w:rsidRPr="00150EDC">
              <w:rPr>
                <w:sz w:val="24"/>
              </w:rPr>
              <w:t xml:space="preserve"> </w:t>
            </w:r>
            <w:r w:rsidRPr="00150EDC">
              <w:rPr>
                <w:spacing w:val="-2"/>
                <w:sz w:val="24"/>
              </w:rPr>
              <w:t>supplier/management-information/admin-fees;</w:t>
            </w:r>
          </w:p>
        </w:tc>
      </w:tr>
      <w:tr w:rsidR="007D3144" w:rsidRPr="007D3144" w14:paraId="050C973D" w14:textId="77777777">
        <w:trPr>
          <w:trHeight w:val="395"/>
        </w:trPr>
        <w:tc>
          <w:tcPr>
            <w:tcW w:w="2264" w:type="dxa"/>
          </w:tcPr>
          <w:p w14:paraId="69E0EF07" w14:textId="77777777" w:rsidR="004C7180" w:rsidRPr="00150EDC" w:rsidRDefault="00CF0754">
            <w:pPr>
              <w:pStyle w:val="TableParagraph"/>
              <w:spacing w:before="0" w:line="240" w:lineRule="auto"/>
              <w:ind w:left="-1"/>
              <w:rPr>
                <w:b/>
                <w:sz w:val="24"/>
              </w:rPr>
            </w:pPr>
            <w:r w:rsidRPr="00150EDC">
              <w:rPr>
                <w:b/>
                <w:sz w:val="24"/>
              </w:rPr>
              <w:t>"Affected</w:t>
            </w:r>
            <w:r w:rsidRPr="00150EDC">
              <w:rPr>
                <w:b/>
                <w:spacing w:val="-9"/>
                <w:sz w:val="24"/>
              </w:rPr>
              <w:t xml:space="preserve"> </w:t>
            </w:r>
            <w:r w:rsidRPr="00150EDC">
              <w:rPr>
                <w:b/>
                <w:spacing w:val="-2"/>
                <w:sz w:val="24"/>
              </w:rPr>
              <w:t>Party"</w:t>
            </w:r>
          </w:p>
        </w:tc>
        <w:tc>
          <w:tcPr>
            <w:tcW w:w="7484" w:type="dxa"/>
          </w:tcPr>
          <w:p w14:paraId="753ECB5D" w14:textId="77777777" w:rsidR="004C7180" w:rsidRPr="00150EDC" w:rsidRDefault="00CF0754">
            <w:pPr>
              <w:pStyle w:val="TableParagraph"/>
              <w:spacing w:before="0" w:line="240" w:lineRule="auto"/>
              <w:ind w:left="107"/>
              <w:rPr>
                <w:sz w:val="24"/>
              </w:rPr>
            </w:pPr>
            <w:r w:rsidRPr="00150EDC">
              <w:rPr>
                <w:sz w:val="24"/>
              </w:rPr>
              <w:t>the</w:t>
            </w:r>
            <w:r w:rsidRPr="00150EDC">
              <w:rPr>
                <w:spacing w:val="-6"/>
                <w:sz w:val="24"/>
              </w:rPr>
              <w:t xml:space="preserve"> </w:t>
            </w:r>
            <w:r w:rsidRPr="00150EDC">
              <w:rPr>
                <w:sz w:val="24"/>
              </w:rPr>
              <w:t>Party</w:t>
            </w:r>
            <w:r w:rsidRPr="00150EDC">
              <w:rPr>
                <w:spacing w:val="-2"/>
                <w:sz w:val="24"/>
              </w:rPr>
              <w:t xml:space="preserve"> </w:t>
            </w:r>
            <w:r w:rsidRPr="00150EDC">
              <w:rPr>
                <w:sz w:val="24"/>
              </w:rPr>
              <w:t>seeking</w:t>
            </w:r>
            <w:r w:rsidRPr="00150EDC">
              <w:rPr>
                <w:spacing w:val="-3"/>
                <w:sz w:val="24"/>
              </w:rPr>
              <w:t xml:space="preserve"> </w:t>
            </w:r>
            <w:r w:rsidRPr="00150EDC">
              <w:rPr>
                <w:sz w:val="24"/>
              </w:rPr>
              <w:t>to</w:t>
            </w:r>
            <w:r w:rsidRPr="00150EDC">
              <w:rPr>
                <w:spacing w:val="-4"/>
                <w:sz w:val="24"/>
              </w:rPr>
              <w:t xml:space="preserve"> </w:t>
            </w:r>
            <w:r w:rsidRPr="00150EDC">
              <w:rPr>
                <w:sz w:val="24"/>
              </w:rPr>
              <w:t>claim</w:t>
            </w:r>
            <w:r w:rsidRPr="00150EDC">
              <w:rPr>
                <w:spacing w:val="-1"/>
                <w:sz w:val="24"/>
              </w:rPr>
              <w:t xml:space="preserve"> </w:t>
            </w:r>
            <w:r w:rsidRPr="00150EDC">
              <w:rPr>
                <w:sz w:val="24"/>
              </w:rPr>
              <w:t>relief</w:t>
            </w:r>
            <w:r w:rsidRPr="00150EDC">
              <w:rPr>
                <w:spacing w:val="-4"/>
                <w:sz w:val="24"/>
              </w:rPr>
              <w:t xml:space="preserve"> </w:t>
            </w:r>
            <w:r w:rsidRPr="00150EDC">
              <w:rPr>
                <w:sz w:val="24"/>
              </w:rPr>
              <w:t>in</w:t>
            </w:r>
            <w:r w:rsidRPr="00150EDC">
              <w:rPr>
                <w:spacing w:val="-2"/>
                <w:sz w:val="24"/>
              </w:rPr>
              <w:t xml:space="preserve"> </w:t>
            </w:r>
            <w:r w:rsidRPr="00150EDC">
              <w:rPr>
                <w:sz w:val="24"/>
              </w:rPr>
              <w:t>respect</w:t>
            </w:r>
            <w:r w:rsidRPr="00150EDC">
              <w:rPr>
                <w:spacing w:val="-4"/>
                <w:sz w:val="24"/>
              </w:rPr>
              <w:t xml:space="preserve"> </w:t>
            </w:r>
            <w:r w:rsidRPr="00150EDC">
              <w:rPr>
                <w:sz w:val="24"/>
              </w:rPr>
              <w:t>of</w:t>
            </w:r>
            <w:r w:rsidRPr="00150EDC">
              <w:rPr>
                <w:spacing w:val="-4"/>
                <w:sz w:val="24"/>
              </w:rPr>
              <w:t xml:space="preserve"> </w:t>
            </w:r>
            <w:r w:rsidRPr="00150EDC">
              <w:rPr>
                <w:sz w:val="24"/>
              </w:rPr>
              <w:t>a</w:t>
            </w:r>
            <w:r w:rsidRPr="00150EDC">
              <w:rPr>
                <w:spacing w:val="-2"/>
                <w:sz w:val="24"/>
              </w:rPr>
              <w:t xml:space="preserve"> </w:t>
            </w:r>
            <w:r w:rsidRPr="00150EDC">
              <w:rPr>
                <w:sz w:val="24"/>
              </w:rPr>
              <w:t>Force</w:t>
            </w:r>
            <w:r w:rsidRPr="00150EDC">
              <w:rPr>
                <w:spacing w:val="-2"/>
                <w:sz w:val="24"/>
              </w:rPr>
              <w:t xml:space="preserve"> </w:t>
            </w:r>
            <w:r w:rsidRPr="00150EDC">
              <w:rPr>
                <w:sz w:val="24"/>
              </w:rPr>
              <w:t>Majeure</w:t>
            </w:r>
            <w:r w:rsidRPr="00150EDC">
              <w:rPr>
                <w:spacing w:val="-3"/>
                <w:sz w:val="24"/>
              </w:rPr>
              <w:t xml:space="preserve"> </w:t>
            </w:r>
            <w:r w:rsidRPr="00150EDC">
              <w:rPr>
                <w:spacing w:val="-2"/>
                <w:sz w:val="24"/>
              </w:rPr>
              <w:t>Event;</w:t>
            </w:r>
          </w:p>
        </w:tc>
      </w:tr>
      <w:tr w:rsidR="007D3144" w:rsidRPr="007D3144" w14:paraId="35B6D20C" w14:textId="77777777">
        <w:trPr>
          <w:trHeight w:val="950"/>
        </w:trPr>
        <w:tc>
          <w:tcPr>
            <w:tcW w:w="2264" w:type="dxa"/>
          </w:tcPr>
          <w:p w14:paraId="4F12BABA" w14:textId="77777777" w:rsidR="004C7180" w:rsidRPr="00150EDC" w:rsidRDefault="00CF0754">
            <w:pPr>
              <w:pStyle w:val="TableParagraph"/>
              <w:spacing w:before="2" w:line="240" w:lineRule="auto"/>
              <w:ind w:left="-1"/>
              <w:rPr>
                <w:b/>
                <w:sz w:val="24"/>
              </w:rPr>
            </w:pPr>
            <w:r w:rsidRPr="00150EDC">
              <w:rPr>
                <w:b/>
                <w:spacing w:val="-2"/>
                <w:sz w:val="24"/>
              </w:rPr>
              <w:t>"Affiliates"</w:t>
            </w:r>
          </w:p>
        </w:tc>
        <w:tc>
          <w:tcPr>
            <w:tcW w:w="7484" w:type="dxa"/>
          </w:tcPr>
          <w:p w14:paraId="1C925AEC" w14:textId="77777777" w:rsidR="004C7180" w:rsidRPr="00150EDC" w:rsidRDefault="00CF0754">
            <w:pPr>
              <w:pStyle w:val="TableParagraph"/>
              <w:spacing w:before="2" w:line="240" w:lineRule="auto"/>
              <w:ind w:left="107" w:right="99"/>
              <w:jc w:val="both"/>
              <w:rPr>
                <w:sz w:val="24"/>
              </w:rPr>
            </w:pPr>
            <w:r w:rsidRPr="00150EDC">
              <w:rPr>
                <w:sz w:val="24"/>
              </w:rPr>
              <w:t>in relation to a body corporate, any other entity which directly or indirectly Controls, is Controlled by, or is under direct or indirect common Control of that body corporate from time to time;</w:t>
            </w:r>
          </w:p>
        </w:tc>
      </w:tr>
      <w:tr w:rsidR="007D3144" w:rsidRPr="007D3144" w14:paraId="25C943CE" w14:textId="77777777">
        <w:trPr>
          <w:trHeight w:val="395"/>
        </w:trPr>
        <w:tc>
          <w:tcPr>
            <w:tcW w:w="2264" w:type="dxa"/>
          </w:tcPr>
          <w:p w14:paraId="41A4E6AF" w14:textId="77777777" w:rsidR="004C7180" w:rsidRPr="00150EDC" w:rsidRDefault="00CF0754">
            <w:pPr>
              <w:pStyle w:val="TableParagraph"/>
              <w:spacing w:before="0" w:line="240" w:lineRule="auto"/>
              <w:ind w:left="-1"/>
              <w:rPr>
                <w:b/>
                <w:sz w:val="24"/>
              </w:rPr>
            </w:pPr>
            <w:r w:rsidRPr="00150EDC">
              <w:rPr>
                <w:b/>
                <w:spacing w:val="-2"/>
                <w:sz w:val="24"/>
              </w:rPr>
              <w:t>“Annex”</w:t>
            </w:r>
          </w:p>
        </w:tc>
        <w:tc>
          <w:tcPr>
            <w:tcW w:w="7484" w:type="dxa"/>
          </w:tcPr>
          <w:p w14:paraId="6E32969F" w14:textId="77777777" w:rsidR="004C7180" w:rsidRPr="00150EDC" w:rsidRDefault="00CF0754">
            <w:pPr>
              <w:pStyle w:val="TableParagraph"/>
              <w:spacing w:before="0" w:line="240" w:lineRule="auto"/>
              <w:ind w:left="107"/>
              <w:rPr>
                <w:sz w:val="24"/>
              </w:rPr>
            </w:pPr>
            <w:r w:rsidRPr="00150EDC">
              <w:rPr>
                <w:sz w:val="24"/>
              </w:rPr>
              <w:t>extra</w:t>
            </w:r>
            <w:r w:rsidRPr="00150EDC">
              <w:rPr>
                <w:spacing w:val="-4"/>
                <w:sz w:val="24"/>
              </w:rPr>
              <w:t xml:space="preserve"> </w:t>
            </w:r>
            <w:r w:rsidRPr="00150EDC">
              <w:rPr>
                <w:sz w:val="24"/>
              </w:rPr>
              <w:t>information</w:t>
            </w:r>
            <w:r w:rsidRPr="00150EDC">
              <w:rPr>
                <w:spacing w:val="-4"/>
                <w:sz w:val="24"/>
              </w:rPr>
              <w:t xml:space="preserve"> </w:t>
            </w:r>
            <w:r w:rsidRPr="00150EDC">
              <w:rPr>
                <w:sz w:val="24"/>
              </w:rPr>
              <w:t>which</w:t>
            </w:r>
            <w:r w:rsidRPr="00150EDC">
              <w:rPr>
                <w:spacing w:val="-3"/>
                <w:sz w:val="24"/>
              </w:rPr>
              <w:t xml:space="preserve"> </w:t>
            </w:r>
            <w:r w:rsidRPr="00150EDC">
              <w:rPr>
                <w:sz w:val="24"/>
              </w:rPr>
              <w:t>supports</w:t>
            </w:r>
            <w:r w:rsidRPr="00150EDC">
              <w:rPr>
                <w:spacing w:val="-7"/>
                <w:sz w:val="24"/>
              </w:rPr>
              <w:t xml:space="preserve"> </w:t>
            </w:r>
            <w:r w:rsidRPr="00150EDC">
              <w:rPr>
                <w:sz w:val="24"/>
              </w:rPr>
              <w:t>a</w:t>
            </w:r>
            <w:r w:rsidRPr="00150EDC">
              <w:rPr>
                <w:spacing w:val="-3"/>
                <w:sz w:val="24"/>
              </w:rPr>
              <w:t xml:space="preserve"> </w:t>
            </w:r>
            <w:r w:rsidRPr="00150EDC">
              <w:rPr>
                <w:spacing w:val="-2"/>
                <w:sz w:val="24"/>
              </w:rPr>
              <w:t>Schedule;</w:t>
            </w:r>
          </w:p>
        </w:tc>
      </w:tr>
      <w:tr w:rsidR="007D3144" w:rsidRPr="007D3144" w14:paraId="6AEF6AE1" w14:textId="77777777">
        <w:trPr>
          <w:trHeight w:val="671"/>
        </w:trPr>
        <w:tc>
          <w:tcPr>
            <w:tcW w:w="2264" w:type="dxa"/>
          </w:tcPr>
          <w:p w14:paraId="353AFAFF" w14:textId="77777777" w:rsidR="004C7180" w:rsidRPr="00150EDC" w:rsidRDefault="00CF0754">
            <w:pPr>
              <w:pStyle w:val="TableParagraph"/>
              <w:spacing w:before="0" w:line="240" w:lineRule="auto"/>
              <w:ind w:left="-1"/>
              <w:rPr>
                <w:b/>
                <w:sz w:val="24"/>
              </w:rPr>
            </w:pPr>
            <w:r w:rsidRPr="00150EDC">
              <w:rPr>
                <w:b/>
                <w:spacing w:val="-2"/>
                <w:sz w:val="24"/>
              </w:rPr>
              <w:t>"Approval"</w:t>
            </w:r>
          </w:p>
        </w:tc>
        <w:tc>
          <w:tcPr>
            <w:tcW w:w="7484" w:type="dxa"/>
          </w:tcPr>
          <w:p w14:paraId="32BBD537" w14:textId="77777777" w:rsidR="004C7180" w:rsidRPr="00150EDC" w:rsidRDefault="00CF0754">
            <w:pPr>
              <w:pStyle w:val="TableParagraph"/>
              <w:spacing w:before="0" w:line="240" w:lineRule="auto"/>
              <w:ind w:left="107" w:right="91"/>
              <w:rPr>
                <w:sz w:val="24"/>
              </w:rPr>
            </w:pPr>
            <w:r w:rsidRPr="00150EDC">
              <w:rPr>
                <w:sz w:val="24"/>
              </w:rPr>
              <w:t>the</w:t>
            </w:r>
            <w:r w:rsidRPr="00150EDC">
              <w:rPr>
                <w:spacing w:val="-17"/>
                <w:sz w:val="24"/>
              </w:rPr>
              <w:t xml:space="preserve"> </w:t>
            </w:r>
            <w:r w:rsidRPr="00150EDC">
              <w:rPr>
                <w:sz w:val="24"/>
              </w:rPr>
              <w:t>prior</w:t>
            </w:r>
            <w:r w:rsidRPr="00150EDC">
              <w:rPr>
                <w:spacing w:val="-17"/>
                <w:sz w:val="24"/>
              </w:rPr>
              <w:t xml:space="preserve"> </w:t>
            </w:r>
            <w:r w:rsidRPr="00150EDC">
              <w:rPr>
                <w:sz w:val="24"/>
              </w:rPr>
              <w:t>written</w:t>
            </w:r>
            <w:r w:rsidRPr="00150EDC">
              <w:rPr>
                <w:spacing w:val="-16"/>
                <w:sz w:val="24"/>
              </w:rPr>
              <w:t xml:space="preserve"> </w:t>
            </w:r>
            <w:r w:rsidRPr="00150EDC">
              <w:rPr>
                <w:sz w:val="24"/>
              </w:rPr>
              <w:t>consent</w:t>
            </w:r>
            <w:r w:rsidRPr="00150EDC">
              <w:rPr>
                <w:spacing w:val="-17"/>
                <w:sz w:val="24"/>
              </w:rPr>
              <w:t xml:space="preserve"> </w:t>
            </w:r>
            <w:r w:rsidRPr="00150EDC">
              <w:rPr>
                <w:sz w:val="24"/>
              </w:rPr>
              <w:t>of</w:t>
            </w:r>
            <w:r w:rsidRPr="00150EDC">
              <w:rPr>
                <w:spacing w:val="-17"/>
                <w:sz w:val="24"/>
              </w:rPr>
              <w:t xml:space="preserve"> </w:t>
            </w:r>
            <w:r w:rsidRPr="00150EDC">
              <w:rPr>
                <w:sz w:val="24"/>
              </w:rPr>
              <w:t>the</w:t>
            </w:r>
            <w:r w:rsidRPr="00150EDC">
              <w:rPr>
                <w:spacing w:val="-17"/>
                <w:sz w:val="24"/>
              </w:rPr>
              <w:t xml:space="preserve"> </w:t>
            </w:r>
            <w:r w:rsidRPr="00150EDC">
              <w:rPr>
                <w:sz w:val="24"/>
              </w:rPr>
              <w:t>Buyer</w:t>
            </w:r>
            <w:r w:rsidRPr="00150EDC">
              <w:rPr>
                <w:spacing w:val="-17"/>
                <w:sz w:val="24"/>
              </w:rPr>
              <w:t xml:space="preserve"> </w:t>
            </w:r>
            <w:r w:rsidRPr="00150EDC">
              <w:rPr>
                <w:sz w:val="24"/>
              </w:rPr>
              <w:t>and</w:t>
            </w:r>
            <w:r w:rsidRPr="00150EDC">
              <w:rPr>
                <w:spacing w:val="-16"/>
                <w:sz w:val="24"/>
              </w:rPr>
              <w:t xml:space="preserve"> </w:t>
            </w:r>
            <w:r w:rsidRPr="00150EDC">
              <w:rPr>
                <w:sz w:val="24"/>
              </w:rPr>
              <w:t>"</w:t>
            </w:r>
            <w:r w:rsidRPr="00150EDC">
              <w:rPr>
                <w:b/>
                <w:sz w:val="24"/>
              </w:rPr>
              <w:t>Approve</w:t>
            </w:r>
            <w:r w:rsidRPr="00150EDC">
              <w:rPr>
                <w:sz w:val="24"/>
              </w:rPr>
              <w:t>"</w:t>
            </w:r>
            <w:r w:rsidRPr="00150EDC">
              <w:rPr>
                <w:spacing w:val="-17"/>
                <w:sz w:val="24"/>
              </w:rPr>
              <w:t xml:space="preserve"> </w:t>
            </w:r>
            <w:r w:rsidRPr="00150EDC">
              <w:rPr>
                <w:sz w:val="24"/>
              </w:rPr>
              <w:t>and</w:t>
            </w:r>
            <w:r w:rsidRPr="00150EDC">
              <w:rPr>
                <w:spacing w:val="-17"/>
                <w:sz w:val="24"/>
              </w:rPr>
              <w:t xml:space="preserve"> </w:t>
            </w:r>
            <w:r w:rsidRPr="00150EDC">
              <w:rPr>
                <w:sz w:val="24"/>
              </w:rPr>
              <w:t>"</w:t>
            </w:r>
            <w:r w:rsidRPr="00150EDC">
              <w:rPr>
                <w:b/>
                <w:sz w:val="24"/>
              </w:rPr>
              <w:t>Approved</w:t>
            </w:r>
            <w:r w:rsidRPr="00150EDC">
              <w:rPr>
                <w:sz w:val="24"/>
              </w:rPr>
              <w:t>" shall be construed accordingly;</w:t>
            </w:r>
          </w:p>
        </w:tc>
      </w:tr>
    </w:tbl>
    <w:p w14:paraId="7DE43A03" w14:textId="77777777" w:rsidR="004C7180" w:rsidRPr="00150EDC" w:rsidRDefault="004C7180">
      <w:pPr>
        <w:rPr>
          <w:sz w:val="24"/>
        </w:rPr>
        <w:sectPr w:rsidR="004C7180" w:rsidRPr="00150EDC">
          <w:pgSz w:w="11910" w:h="16840"/>
          <w:pgMar w:top="1160" w:right="0" w:bottom="1440" w:left="40" w:header="715" w:footer="1208" w:gutter="0"/>
          <w:cols w:space="720"/>
        </w:sectPr>
      </w:pPr>
    </w:p>
    <w:p w14:paraId="37928418" w14:textId="77777777" w:rsidR="004C7180" w:rsidRPr="00150EDC" w:rsidRDefault="004C7180">
      <w:pPr>
        <w:pStyle w:val="BodyText"/>
        <w:spacing w:before="7"/>
        <w:rPr>
          <w:sz w:val="23"/>
        </w:rPr>
      </w:pPr>
    </w:p>
    <w:tbl>
      <w:tblPr>
        <w:tblW w:w="0" w:type="auto"/>
        <w:tblInd w:w="1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4"/>
        <w:gridCol w:w="7484"/>
      </w:tblGrid>
      <w:tr w:rsidR="007D3144" w:rsidRPr="007D3144" w14:paraId="1A256AAD" w14:textId="77777777">
        <w:trPr>
          <w:trHeight w:val="11101"/>
        </w:trPr>
        <w:tc>
          <w:tcPr>
            <w:tcW w:w="2264" w:type="dxa"/>
          </w:tcPr>
          <w:p w14:paraId="0AE26211" w14:textId="77777777" w:rsidR="004C7180" w:rsidRPr="00150EDC" w:rsidRDefault="00CF0754">
            <w:pPr>
              <w:pStyle w:val="TableParagraph"/>
              <w:spacing w:before="0" w:line="240" w:lineRule="auto"/>
              <w:ind w:left="-1"/>
              <w:rPr>
                <w:b/>
                <w:sz w:val="24"/>
              </w:rPr>
            </w:pPr>
            <w:r w:rsidRPr="00150EDC">
              <w:rPr>
                <w:b/>
                <w:spacing w:val="-2"/>
                <w:sz w:val="24"/>
              </w:rPr>
              <w:t>"Audit"</w:t>
            </w:r>
          </w:p>
        </w:tc>
        <w:tc>
          <w:tcPr>
            <w:tcW w:w="7484" w:type="dxa"/>
          </w:tcPr>
          <w:p w14:paraId="29D8D562" w14:textId="77777777" w:rsidR="004C7180" w:rsidRPr="00150EDC" w:rsidRDefault="00CF0754">
            <w:pPr>
              <w:pStyle w:val="TableParagraph"/>
              <w:spacing w:before="0" w:line="240" w:lineRule="auto"/>
              <w:ind w:left="107"/>
              <w:jc w:val="both"/>
              <w:rPr>
                <w:sz w:val="24"/>
              </w:rPr>
            </w:pPr>
            <w:r w:rsidRPr="00150EDC">
              <w:rPr>
                <w:sz w:val="24"/>
              </w:rPr>
              <w:t>the</w:t>
            </w:r>
            <w:r w:rsidRPr="00150EDC">
              <w:rPr>
                <w:spacing w:val="-5"/>
                <w:sz w:val="24"/>
              </w:rPr>
              <w:t xml:space="preserve"> </w:t>
            </w:r>
            <w:r w:rsidRPr="00150EDC">
              <w:rPr>
                <w:sz w:val="24"/>
              </w:rPr>
              <w:t>Relevant</w:t>
            </w:r>
            <w:r w:rsidRPr="00150EDC">
              <w:rPr>
                <w:spacing w:val="-6"/>
                <w:sz w:val="24"/>
              </w:rPr>
              <w:t xml:space="preserve"> </w:t>
            </w:r>
            <w:r w:rsidRPr="00150EDC">
              <w:rPr>
                <w:sz w:val="24"/>
              </w:rPr>
              <w:t>Authority’s</w:t>
            </w:r>
            <w:r w:rsidRPr="00150EDC">
              <w:rPr>
                <w:spacing w:val="-4"/>
                <w:sz w:val="24"/>
              </w:rPr>
              <w:t xml:space="preserve"> </w:t>
            </w:r>
            <w:r w:rsidRPr="00150EDC">
              <w:rPr>
                <w:sz w:val="24"/>
              </w:rPr>
              <w:t>right</w:t>
            </w:r>
            <w:r w:rsidRPr="00150EDC">
              <w:rPr>
                <w:spacing w:val="-4"/>
                <w:sz w:val="24"/>
              </w:rPr>
              <w:t xml:space="preserve"> </w:t>
            </w:r>
            <w:r w:rsidRPr="00150EDC">
              <w:rPr>
                <w:spacing w:val="-5"/>
                <w:sz w:val="24"/>
              </w:rPr>
              <w:t>to:</w:t>
            </w:r>
          </w:p>
          <w:p w14:paraId="7E7ED4B5" w14:textId="77777777" w:rsidR="004C7180" w:rsidRPr="00150EDC" w:rsidRDefault="00CF0754" w:rsidP="00B320C7">
            <w:pPr>
              <w:pStyle w:val="TableParagraph"/>
              <w:numPr>
                <w:ilvl w:val="0"/>
                <w:numId w:val="136"/>
              </w:numPr>
              <w:tabs>
                <w:tab w:val="left" w:pos="566"/>
                <w:tab w:val="left" w:pos="568"/>
              </w:tabs>
              <w:spacing w:before="120" w:line="240" w:lineRule="auto"/>
              <w:ind w:right="101"/>
              <w:jc w:val="both"/>
              <w:rPr>
                <w:sz w:val="24"/>
              </w:rPr>
            </w:pPr>
            <w:r w:rsidRPr="00150EDC">
              <w:rPr>
                <w:sz w:val="24"/>
              </w:rPr>
              <w:t>verify the accuracy of the Charges and any other amounts payable</w:t>
            </w:r>
            <w:r w:rsidRPr="00150EDC">
              <w:rPr>
                <w:spacing w:val="-13"/>
                <w:sz w:val="24"/>
              </w:rPr>
              <w:t xml:space="preserve"> </w:t>
            </w:r>
            <w:r w:rsidRPr="00150EDC">
              <w:rPr>
                <w:sz w:val="24"/>
              </w:rPr>
              <w:t>by</w:t>
            </w:r>
            <w:r w:rsidRPr="00150EDC">
              <w:rPr>
                <w:spacing w:val="-14"/>
                <w:sz w:val="24"/>
              </w:rPr>
              <w:t xml:space="preserve"> </w:t>
            </w:r>
            <w:r w:rsidRPr="00150EDC">
              <w:rPr>
                <w:sz w:val="24"/>
              </w:rPr>
              <w:t>a</w:t>
            </w:r>
            <w:r w:rsidRPr="00150EDC">
              <w:rPr>
                <w:spacing w:val="-13"/>
                <w:sz w:val="24"/>
              </w:rPr>
              <w:t xml:space="preserve"> </w:t>
            </w:r>
            <w:r w:rsidRPr="00150EDC">
              <w:rPr>
                <w:sz w:val="24"/>
              </w:rPr>
              <w:t>Buyer</w:t>
            </w:r>
            <w:r w:rsidRPr="00150EDC">
              <w:rPr>
                <w:spacing w:val="-14"/>
                <w:sz w:val="24"/>
              </w:rPr>
              <w:t xml:space="preserve"> </w:t>
            </w:r>
            <w:r w:rsidRPr="00150EDC">
              <w:rPr>
                <w:sz w:val="24"/>
              </w:rPr>
              <w:t>under</w:t>
            </w:r>
            <w:r w:rsidRPr="00150EDC">
              <w:rPr>
                <w:spacing w:val="-14"/>
                <w:sz w:val="24"/>
              </w:rPr>
              <w:t xml:space="preserve"> </w:t>
            </w:r>
            <w:r w:rsidRPr="00150EDC">
              <w:rPr>
                <w:sz w:val="24"/>
              </w:rPr>
              <w:t>an</w:t>
            </w:r>
            <w:r w:rsidRPr="00150EDC">
              <w:rPr>
                <w:spacing w:val="-13"/>
                <w:sz w:val="24"/>
              </w:rPr>
              <w:t xml:space="preserve"> </w:t>
            </w:r>
            <w:r w:rsidRPr="00150EDC">
              <w:rPr>
                <w:sz w:val="24"/>
              </w:rPr>
              <w:t>Order</w:t>
            </w:r>
            <w:r w:rsidRPr="00150EDC">
              <w:rPr>
                <w:spacing w:val="-14"/>
                <w:sz w:val="24"/>
              </w:rPr>
              <w:t xml:space="preserve"> </w:t>
            </w:r>
            <w:r w:rsidRPr="00150EDC">
              <w:rPr>
                <w:sz w:val="24"/>
              </w:rPr>
              <w:t>Contract</w:t>
            </w:r>
            <w:r w:rsidRPr="00150EDC">
              <w:rPr>
                <w:spacing w:val="-13"/>
                <w:sz w:val="24"/>
              </w:rPr>
              <w:t xml:space="preserve"> </w:t>
            </w:r>
            <w:r w:rsidRPr="00150EDC">
              <w:rPr>
                <w:sz w:val="24"/>
              </w:rPr>
              <w:t>(including</w:t>
            </w:r>
            <w:r w:rsidRPr="00150EDC">
              <w:rPr>
                <w:spacing w:val="-12"/>
                <w:sz w:val="24"/>
              </w:rPr>
              <w:t xml:space="preserve"> </w:t>
            </w:r>
            <w:r w:rsidRPr="00150EDC">
              <w:rPr>
                <w:sz w:val="24"/>
              </w:rPr>
              <w:t>proposed or actual variations to them in accordance with the Contract);</w:t>
            </w:r>
          </w:p>
          <w:p w14:paraId="62B3283A" w14:textId="77777777" w:rsidR="004C7180" w:rsidRPr="00150EDC" w:rsidRDefault="00CF0754" w:rsidP="00B320C7">
            <w:pPr>
              <w:pStyle w:val="TableParagraph"/>
              <w:numPr>
                <w:ilvl w:val="0"/>
                <w:numId w:val="136"/>
              </w:numPr>
              <w:tabs>
                <w:tab w:val="left" w:pos="566"/>
                <w:tab w:val="left" w:pos="568"/>
              </w:tabs>
              <w:spacing w:before="120" w:line="240" w:lineRule="auto"/>
              <w:ind w:right="101"/>
              <w:jc w:val="both"/>
              <w:rPr>
                <w:sz w:val="24"/>
              </w:rPr>
            </w:pPr>
            <w:r w:rsidRPr="00150EDC">
              <w:rPr>
                <w:sz w:val="24"/>
              </w:rPr>
              <w:t>verify the costs of the Supplier (including the costs of all Subcontractors and any third party suppliers)</w:t>
            </w:r>
            <w:r w:rsidRPr="00150EDC">
              <w:rPr>
                <w:spacing w:val="-2"/>
                <w:sz w:val="24"/>
              </w:rPr>
              <w:t xml:space="preserve"> </w:t>
            </w:r>
            <w:r w:rsidRPr="00150EDC">
              <w:rPr>
                <w:sz w:val="24"/>
              </w:rPr>
              <w:t>in connection with the provision of the Services;</w:t>
            </w:r>
          </w:p>
          <w:p w14:paraId="0E1B184F" w14:textId="77777777" w:rsidR="004C7180" w:rsidRPr="00150EDC" w:rsidRDefault="00CF0754" w:rsidP="00B320C7">
            <w:pPr>
              <w:pStyle w:val="TableParagraph"/>
              <w:numPr>
                <w:ilvl w:val="0"/>
                <w:numId w:val="136"/>
              </w:numPr>
              <w:tabs>
                <w:tab w:val="left" w:pos="567"/>
              </w:tabs>
              <w:spacing w:before="121" w:line="240" w:lineRule="auto"/>
              <w:ind w:left="567" w:hanging="287"/>
              <w:jc w:val="both"/>
              <w:rPr>
                <w:sz w:val="24"/>
              </w:rPr>
            </w:pPr>
            <w:r w:rsidRPr="00150EDC">
              <w:rPr>
                <w:sz w:val="24"/>
              </w:rPr>
              <w:t>verify</w:t>
            </w:r>
            <w:r w:rsidRPr="00150EDC">
              <w:rPr>
                <w:spacing w:val="-3"/>
                <w:sz w:val="24"/>
              </w:rPr>
              <w:t xml:space="preserve"> </w:t>
            </w:r>
            <w:r w:rsidRPr="00150EDC">
              <w:rPr>
                <w:sz w:val="24"/>
              </w:rPr>
              <w:t>the</w:t>
            </w:r>
            <w:r w:rsidRPr="00150EDC">
              <w:rPr>
                <w:spacing w:val="-3"/>
                <w:sz w:val="24"/>
              </w:rPr>
              <w:t xml:space="preserve"> </w:t>
            </w:r>
            <w:r w:rsidRPr="00150EDC">
              <w:rPr>
                <w:sz w:val="24"/>
              </w:rPr>
              <w:t>Open</w:t>
            </w:r>
            <w:r w:rsidRPr="00150EDC">
              <w:rPr>
                <w:spacing w:val="-3"/>
                <w:sz w:val="24"/>
              </w:rPr>
              <w:t xml:space="preserve"> </w:t>
            </w:r>
            <w:r w:rsidRPr="00150EDC">
              <w:rPr>
                <w:sz w:val="24"/>
              </w:rPr>
              <w:t>Book</w:t>
            </w:r>
            <w:r w:rsidRPr="00150EDC">
              <w:rPr>
                <w:spacing w:val="-3"/>
                <w:sz w:val="24"/>
              </w:rPr>
              <w:t xml:space="preserve"> </w:t>
            </w:r>
            <w:r w:rsidRPr="00150EDC">
              <w:rPr>
                <w:spacing w:val="-2"/>
                <w:sz w:val="24"/>
              </w:rPr>
              <w:t>Data;</w:t>
            </w:r>
          </w:p>
          <w:p w14:paraId="40803D01" w14:textId="77777777" w:rsidR="004C7180" w:rsidRPr="00150EDC" w:rsidRDefault="00CF0754" w:rsidP="00B320C7">
            <w:pPr>
              <w:pStyle w:val="TableParagraph"/>
              <w:numPr>
                <w:ilvl w:val="0"/>
                <w:numId w:val="136"/>
              </w:numPr>
              <w:tabs>
                <w:tab w:val="left" w:pos="566"/>
                <w:tab w:val="left" w:pos="568"/>
              </w:tabs>
              <w:spacing w:before="120" w:line="240" w:lineRule="auto"/>
              <w:ind w:right="101"/>
              <w:jc w:val="both"/>
              <w:rPr>
                <w:sz w:val="24"/>
              </w:rPr>
            </w:pPr>
            <w:r w:rsidRPr="00150EDC">
              <w:rPr>
                <w:sz w:val="24"/>
              </w:rPr>
              <w:t>verify the Supplier’s and each Subcontractor’s compliance with the Contract and applicable Law;</w:t>
            </w:r>
          </w:p>
          <w:p w14:paraId="12B132F2" w14:textId="77777777" w:rsidR="004C7180" w:rsidRPr="00150EDC" w:rsidRDefault="00CF0754" w:rsidP="00B320C7">
            <w:pPr>
              <w:pStyle w:val="TableParagraph"/>
              <w:numPr>
                <w:ilvl w:val="0"/>
                <w:numId w:val="136"/>
              </w:numPr>
              <w:tabs>
                <w:tab w:val="left" w:pos="566"/>
                <w:tab w:val="left" w:pos="568"/>
              </w:tabs>
              <w:spacing w:before="120" w:line="240" w:lineRule="auto"/>
              <w:ind w:right="101"/>
              <w:jc w:val="both"/>
              <w:rPr>
                <w:sz w:val="24"/>
              </w:rPr>
            </w:pPr>
            <w:r w:rsidRPr="00150EDC">
              <w:rPr>
                <w:sz w:val="24"/>
              </w:rPr>
              <w:t>identify or investigate actual or suspected breach of Clauses 27 to 33 and/or Joint Schedule 5 (Corporate Social Responsibility), impropriety or accounting mistakes or any breach or threatened breach of security and in these circumstances the Relevant Authority shall have no obligation to inform the Supplier of the purpose or objective of its investigations;</w:t>
            </w:r>
          </w:p>
          <w:p w14:paraId="32FC30C0" w14:textId="77777777" w:rsidR="004C7180" w:rsidRPr="00150EDC" w:rsidRDefault="00CF0754" w:rsidP="00B320C7">
            <w:pPr>
              <w:pStyle w:val="TableParagraph"/>
              <w:numPr>
                <w:ilvl w:val="0"/>
                <w:numId w:val="136"/>
              </w:numPr>
              <w:tabs>
                <w:tab w:val="left" w:pos="568"/>
              </w:tabs>
              <w:spacing w:before="120" w:line="240" w:lineRule="auto"/>
              <w:ind w:right="99"/>
              <w:jc w:val="both"/>
              <w:rPr>
                <w:sz w:val="24"/>
              </w:rPr>
            </w:pPr>
            <w:r w:rsidRPr="00150EDC">
              <w:rPr>
                <w:sz w:val="24"/>
              </w:rPr>
              <w:t>identify</w:t>
            </w:r>
            <w:r w:rsidRPr="00150EDC">
              <w:rPr>
                <w:spacing w:val="-15"/>
                <w:sz w:val="24"/>
              </w:rPr>
              <w:t xml:space="preserve"> </w:t>
            </w:r>
            <w:r w:rsidRPr="00150EDC">
              <w:rPr>
                <w:sz w:val="24"/>
              </w:rPr>
              <w:t>or</w:t>
            </w:r>
            <w:r w:rsidRPr="00150EDC">
              <w:rPr>
                <w:spacing w:val="-15"/>
                <w:sz w:val="24"/>
              </w:rPr>
              <w:t xml:space="preserve"> </w:t>
            </w:r>
            <w:r w:rsidRPr="00150EDC">
              <w:rPr>
                <w:sz w:val="24"/>
              </w:rPr>
              <w:t>investigate</w:t>
            </w:r>
            <w:r w:rsidRPr="00150EDC">
              <w:rPr>
                <w:spacing w:val="-15"/>
                <w:sz w:val="24"/>
              </w:rPr>
              <w:t xml:space="preserve"> </w:t>
            </w:r>
            <w:r w:rsidRPr="00150EDC">
              <w:rPr>
                <w:sz w:val="24"/>
              </w:rPr>
              <w:t>any</w:t>
            </w:r>
            <w:r w:rsidRPr="00150EDC">
              <w:rPr>
                <w:spacing w:val="-15"/>
                <w:sz w:val="24"/>
              </w:rPr>
              <w:t xml:space="preserve"> </w:t>
            </w:r>
            <w:r w:rsidRPr="00150EDC">
              <w:rPr>
                <w:sz w:val="24"/>
              </w:rPr>
              <w:t>circumstances</w:t>
            </w:r>
            <w:r w:rsidRPr="00150EDC">
              <w:rPr>
                <w:spacing w:val="-16"/>
                <w:sz w:val="24"/>
              </w:rPr>
              <w:t xml:space="preserve"> </w:t>
            </w:r>
            <w:r w:rsidRPr="00150EDC">
              <w:rPr>
                <w:sz w:val="24"/>
              </w:rPr>
              <w:t>which</w:t>
            </w:r>
            <w:r w:rsidRPr="00150EDC">
              <w:rPr>
                <w:spacing w:val="-14"/>
                <w:sz w:val="24"/>
              </w:rPr>
              <w:t xml:space="preserve"> </w:t>
            </w:r>
            <w:r w:rsidRPr="00150EDC">
              <w:rPr>
                <w:sz w:val="24"/>
              </w:rPr>
              <w:t>may</w:t>
            </w:r>
            <w:r w:rsidRPr="00150EDC">
              <w:rPr>
                <w:spacing w:val="-15"/>
                <w:sz w:val="24"/>
              </w:rPr>
              <w:t xml:space="preserve"> </w:t>
            </w:r>
            <w:r w:rsidRPr="00150EDC">
              <w:rPr>
                <w:sz w:val="24"/>
              </w:rPr>
              <w:t>impact</w:t>
            </w:r>
            <w:r w:rsidRPr="00150EDC">
              <w:rPr>
                <w:spacing w:val="-15"/>
                <w:sz w:val="24"/>
              </w:rPr>
              <w:t xml:space="preserve"> </w:t>
            </w:r>
            <w:r w:rsidRPr="00150EDC">
              <w:rPr>
                <w:sz w:val="24"/>
              </w:rPr>
              <w:t>upon the financial stability of the Supplier, any Guarantor, and/or any Subcontractors or their ability to provide the Deliverables;</w:t>
            </w:r>
          </w:p>
          <w:p w14:paraId="0FE7107E" w14:textId="77777777" w:rsidR="004C7180" w:rsidRPr="00150EDC" w:rsidRDefault="00CF0754" w:rsidP="00B320C7">
            <w:pPr>
              <w:pStyle w:val="TableParagraph"/>
              <w:numPr>
                <w:ilvl w:val="0"/>
                <w:numId w:val="136"/>
              </w:numPr>
              <w:tabs>
                <w:tab w:val="left" w:pos="566"/>
                <w:tab w:val="left" w:pos="568"/>
              </w:tabs>
              <w:spacing w:before="120" w:line="240" w:lineRule="auto"/>
              <w:ind w:right="98"/>
              <w:jc w:val="both"/>
              <w:rPr>
                <w:sz w:val="24"/>
              </w:rPr>
            </w:pPr>
            <w:r w:rsidRPr="00150EDC">
              <w:rPr>
                <w:sz w:val="24"/>
              </w:rPr>
              <w:t>obtain such information as is necessary to fulfil the Relevant Authority’s obligations to supply information for parliamentary, ministerial, judicial or administrative purposes including the supply of information to the Comptroller and Auditor General;</w:t>
            </w:r>
          </w:p>
          <w:p w14:paraId="2E7063FA" w14:textId="77777777" w:rsidR="004C7180" w:rsidRPr="00150EDC" w:rsidRDefault="00CF0754" w:rsidP="00B320C7">
            <w:pPr>
              <w:pStyle w:val="TableParagraph"/>
              <w:numPr>
                <w:ilvl w:val="0"/>
                <w:numId w:val="136"/>
              </w:numPr>
              <w:tabs>
                <w:tab w:val="left" w:pos="566"/>
                <w:tab w:val="left" w:pos="568"/>
              </w:tabs>
              <w:spacing w:before="121" w:line="240" w:lineRule="auto"/>
              <w:ind w:right="101"/>
              <w:jc w:val="both"/>
              <w:rPr>
                <w:sz w:val="24"/>
              </w:rPr>
            </w:pPr>
            <w:r w:rsidRPr="00150EDC">
              <w:rPr>
                <w:sz w:val="24"/>
              </w:rPr>
              <w:t>review any books of account and the internal contract management accounts kept by the Supplier in connection with each Contract;</w:t>
            </w:r>
          </w:p>
          <w:p w14:paraId="28B83C1F" w14:textId="77777777" w:rsidR="004C7180" w:rsidRPr="00150EDC" w:rsidRDefault="00CF0754" w:rsidP="00B320C7">
            <w:pPr>
              <w:pStyle w:val="TableParagraph"/>
              <w:numPr>
                <w:ilvl w:val="0"/>
                <w:numId w:val="136"/>
              </w:numPr>
              <w:tabs>
                <w:tab w:val="left" w:pos="566"/>
                <w:tab w:val="left" w:pos="568"/>
              </w:tabs>
              <w:spacing w:before="120" w:line="240" w:lineRule="auto"/>
              <w:ind w:right="98"/>
              <w:jc w:val="both"/>
              <w:rPr>
                <w:sz w:val="24"/>
              </w:rPr>
            </w:pPr>
            <w:r w:rsidRPr="00150EDC">
              <w:rPr>
                <w:sz w:val="24"/>
              </w:rPr>
              <w:t>carry out the Relevant Authority’s internal and statutory audits and to prepare, examine and/or certify the Relevant Authority's annual and interim reports and accounts;</w:t>
            </w:r>
          </w:p>
          <w:p w14:paraId="3EE743FC" w14:textId="77777777" w:rsidR="004C7180" w:rsidRPr="00150EDC" w:rsidRDefault="00CF0754" w:rsidP="00B320C7">
            <w:pPr>
              <w:pStyle w:val="TableParagraph"/>
              <w:numPr>
                <w:ilvl w:val="0"/>
                <w:numId w:val="136"/>
              </w:numPr>
              <w:tabs>
                <w:tab w:val="left" w:pos="566"/>
                <w:tab w:val="left" w:pos="568"/>
              </w:tabs>
              <w:spacing w:before="120" w:line="240" w:lineRule="auto"/>
              <w:ind w:right="94"/>
              <w:jc w:val="both"/>
              <w:rPr>
                <w:sz w:val="24"/>
              </w:rPr>
            </w:pPr>
            <w:r w:rsidRPr="00150EDC">
              <w:rPr>
                <w:sz w:val="24"/>
              </w:rPr>
              <w:t>enable the National Audit Office to carry out an examination pursuant to Section 6(1) of the National Audit Act 1983 of the economy, efficiency and effectiveness with which the Relevant Authority has used its resources; or</w:t>
            </w:r>
          </w:p>
          <w:p w14:paraId="4927E267" w14:textId="77777777" w:rsidR="004C7180" w:rsidRPr="00150EDC" w:rsidRDefault="00CF0754" w:rsidP="00B320C7">
            <w:pPr>
              <w:pStyle w:val="TableParagraph"/>
              <w:numPr>
                <w:ilvl w:val="0"/>
                <w:numId w:val="136"/>
              </w:numPr>
              <w:tabs>
                <w:tab w:val="left" w:pos="568"/>
              </w:tabs>
              <w:spacing w:before="120" w:line="240" w:lineRule="auto"/>
              <w:ind w:right="101"/>
              <w:jc w:val="both"/>
              <w:rPr>
                <w:sz w:val="24"/>
              </w:rPr>
            </w:pPr>
            <w:r w:rsidRPr="00150EDC">
              <w:rPr>
                <w:sz w:val="24"/>
              </w:rPr>
              <w:t>verify the accuracy and completeness of any Management Information delivered or required by the DPS Contract;</w:t>
            </w:r>
          </w:p>
        </w:tc>
      </w:tr>
      <w:tr w:rsidR="007D3144" w:rsidRPr="007D3144" w14:paraId="45FEDF69" w14:textId="77777777">
        <w:trPr>
          <w:trHeight w:val="2531"/>
        </w:trPr>
        <w:tc>
          <w:tcPr>
            <w:tcW w:w="2264" w:type="dxa"/>
          </w:tcPr>
          <w:p w14:paraId="287A3FD9" w14:textId="77777777" w:rsidR="004C7180" w:rsidRPr="00150EDC" w:rsidRDefault="00CF0754">
            <w:pPr>
              <w:pStyle w:val="TableParagraph"/>
              <w:spacing w:before="0" w:line="240" w:lineRule="auto"/>
              <w:ind w:left="-1"/>
              <w:rPr>
                <w:b/>
                <w:sz w:val="24"/>
              </w:rPr>
            </w:pPr>
            <w:r w:rsidRPr="00150EDC">
              <w:rPr>
                <w:b/>
                <w:spacing w:val="-2"/>
                <w:sz w:val="24"/>
              </w:rPr>
              <w:t>"Auditor"</w:t>
            </w:r>
          </w:p>
        </w:tc>
        <w:tc>
          <w:tcPr>
            <w:tcW w:w="7484" w:type="dxa"/>
          </w:tcPr>
          <w:p w14:paraId="74F028DE" w14:textId="77777777" w:rsidR="004C7180" w:rsidRPr="00150EDC" w:rsidRDefault="00CF0754" w:rsidP="00B320C7">
            <w:pPr>
              <w:pStyle w:val="TableParagraph"/>
              <w:numPr>
                <w:ilvl w:val="0"/>
                <w:numId w:val="135"/>
              </w:numPr>
              <w:tabs>
                <w:tab w:val="left" w:pos="607"/>
              </w:tabs>
              <w:spacing w:before="0" w:line="240" w:lineRule="auto"/>
              <w:ind w:left="607" w:hanging="330"/>
              <w:rPr>
                <w:sz w:val="24"/>
              </w:rPr>
            </w:pPr>
            <w:r w:rsidRPr="00150EDC">
              <w:rPr>
                <w:sz w:val="24"/>
              </w:rPr>
              <w:t>the</w:t>
            </w:r>
            <w:r w:rsidRPr="00150EDC">
              <w:rPr>
                <w:spacing w:val="-4"/>
                <w:sz w:val="24"/>
              </w:rPr>
              <w:t xml:space="preserve"> </w:t>
            </w:r>
            <w:r w:rsidRPr="00150EDC">
              <w:rPr>
                <w:sz w:val="24"/>
              </w:rPr>
              <w:t>Relevant</w:t>
            </w:r>
            <w:r w:rsidRPr="00150EDC">
              <w:rPr>
                <w:spacing w:val="-6"/>
                <w:sz w:val="24"/>
              </w:rPr>
              <w:t xml:space="preserve"> </w:t>
            </w:r>
            <w:r w:rsidRPr="00150EDC">
              <w:rPr>
                <w:sz w:val="24"/>
              </w:rPr>
              <w:t>Authority’s</w:t>
            </w:r>
            <w:r w:rsidRPr="00150EDC">
              <w:rPr>
                <w:spacing w:val="-4"/>
                <w:sz w:val="24"/>
              </w:rPr>
              <w:t xml:space="preserve"> </w:t>
            </w:r>
            <w:r w:rsidRPr="00150EDC">
              <w:rPr>
                <w:sz w:val="24"/>
              </w:rPr>
              <w:t>internal</w:t>
            </w:r>
            <w:r w:rsidRPr="00150EDC">
              <w:rPr>
                <w:spacing w:val="-7"/>
                <w:sz w:val="24"/>
              </w:rPr>
              <w:t xml:space="preserve"> </w:t>
            </w:r>
            <w:r w:rsidRPr="00150EDC">
              <w:rPr>
                <w:sz w:val="24"/>
              </w:rPr>
              <w:t>and</w:t>
            </w:r>
            <w:r w:rsidRPr="00150EDC">
              <w:rPr>
                <w:spacing w:val="-4"/>
                <w:sz w:val="24"/>
              </w:rPr>
              <w:t xml:space="preserve"> </w:t>
            </w:r>
            <w:r w:rsidRPr="00150EDC">
              <w:rPr>
                <w:sz w:val="24"/>
              </w:rPr>
              <w:t>external</w:t>
            </w:r>
            <w:r w:rsidRPr="00150EDC">
              <w:rPr>
                <w:spacing w:val="-6"/>
                <w:sz w:val="24"/>
              </w:rPr>
              <w:t xml:space="preserve"> </w:t>
            </w:r>
            <w:r w:rsidRPr="00150EDC">
              <w:rPr>
                <w:spacing w:val="-2"/>
                <w:sz w:val="24"/>
              </w:rPr>
              <w:t>auditors;</w:t>
            </w:r>
          </w:p>
          <w:p w14:paraId="3C5CBFF7" w14:textId="77777777" w:rsidR="004C7180" w:rsidRPr="00150EDC" w:rsidRDefault="00CF0754" w:rsidP="00B320C7">
            <w:pPr>
              <w:pStyle w:val="TableParagraph"/>
              <w:numPr>
                <w:ilvl w:val="0"/>
                <w:numId w:val="135"/>
              </w:numPr>
              <w:tabs>
                <w:tab w:val="left" w:pos="566"/>
              </w:tabs>
              <w:spacing w:before="120" w:line="240" w:lineRule="auto"/>
              <w:ind w:left="566" w:hanging="286"/>
              <w:rPr>
                <w:sz w:val="24"/>
              </w:rPr>
            </w:pPr>
            <w:r w:rsidRPr="00150EDC">
              <w:rPr>
                <w:sz w:val="24"/>
              </w:rPr>
              <w:t>the</w:t>
            </w:r>
            <w:r w:rsidRPr="00150EDC">
              <w:rPr>
                <w:spacing w:val="-4"/>
                <w:sz w:val="24"/>
              </w:rPr>
              <w:t xml:space="preserve"> </w:t>
            </w:r>
            <w:r w:rsidRPr="00150EDC">
              <w:rPr>
                <w:sz w:val="24"/>
              </w:rPr>
              <w:t>Relevant</w:t>
            </w:r>
            <w:r w:rsidRPr="00150EDC">
              <w:rPr>
                <w:spacing w:val="-6"/>
                <w:sz w:val="24"/>
              </w:rPr>
              <w:t xml:space="preserve"> </w:t>
            </w:r>
            <w:r w:rsidRPr="00150EDC">
              <w:rPr>
                <w:sz w:val="24"/>
              </w:rPr>
              <w:t>Authority’s</w:t>
            </w:r>
            <w:r w:rsidRPr="00150EDC">
              <w:rPr>
                <w:spacing w:val="-3"/>
                <w:sz w:val="24"/>
              </w:rPr>
              <w:t xml:space="preserve"> </w:t>
            </w:r>
            <w:r w:rsidRPr="00150EDC">
              <w:rPr>
                <w:sz w:val="24"/>
              </w:rPr>
              <w:t>statutory</w:t>
            </w:r>
            <w:r w:rsidRPr="00150EDC">
              <w:rPr>
                <w:spacing w:val="-4"/>
                <w:sz w:val="24"/>
              </w:rPr>
              <w:t xml:space="preserve"> </w:t>
            </w:r>
            <w:r w:rsidRPr="00150EDC">
              <w:rPr>
                <w:sz w:val="24"/>
              </w:rPr>
              <w:t>or</w:t>
            </w:r>
            <w:r w:rsidRPr="00150EDC">
              <w:rPr>
                <w:spacing w:val="-4"/>
                <w:sz w:val="24"/>
              </w:rPr>
              <w:t xml:space="preserve"> </w:t>
            </w:r>
            <w:r w:rsidRPr="00150EDC">
              <w:rPr>
                <w:sz w:val="24"/>
              </w:rPr>
              <w:t>regulatory</w:t>
            </w:r>
            <w:r w:rsidRPr="00150EDC">
              <w:rPr>
                <w:spacing w:val="-3"/>
                <w:sz w:val="24"/>
              </w:rPr>
              <w:t xml:space="preserve"> </w:t>
            </w:r>
            <w:r w:rsidRPr="00150EDC">
              <w:rPr>
                <w:spacing w:val="-2"/>
                <w:sz w:val="24"/>
              </w:rPr>
              <w:t>auditors;</w:t>
            </w:r>
          </w:p>
          <w:p w14:paraId="4D3D2F30" w14:textId="77777777" w:rsidR="004C7180" w:rsidRPr="00150EDC" w:rsidRDefault="00CF0754" w:rsidP="00B320C7">
            <w:pPr>
              <w:pStyle w:val="TableParagraph"/>
              <w:numPr>
                <w:ilvl w:val="0"/>
                <w:numId w:val="135"/>
              </w:numPr>
              <w:tabs>
                <w:tab w:val="left" w:pos="568"/>
              </w:tabs>
              <w:spacing w:before="120" w:line="240" w:lineRule="auto"/>
              <w:ind w:left="568" w:right="100" w:hanging="288"/>
              <w:rPr>
                <w:sz w:val="24"/>
              </w:rPr>
            </w:pPr>
            <w:r w:rsidRPr="00150EDC">
              <w:rPr>
                <w:sz w:val="24"/>
              </w:rPr>
              <w:t>the</w:t>
            </w:r>
            <w:r w:rsidRPr="00150EDC">
              <w:rPr>
                <w:spacing w:val="40"/>
                <w:sz w:val="24"/>
              </w:rPr>
              <w:t xml:space="preserve"> </w:t>
            </w:r>
            <w:r w:rsidRPr="00150EDC">
              <w:rPr>
                <w:sz w:val="24"/>
              </w:rPr>
              <w:t>Comptroller</w:t>
            </w:r>
            <w:r w:rsidRPr="00150EDC">
              <w:rPr>
                <w:spacing w:val="40"/>
                <w:sz w:val="24"/>
              </w:rPr>
              <w:t xml:space="preserve"> </w:t>
            </w:r>
            <w:r w:rsidRPr="00150EDC">
              <w:rPr>
                <w:sz w:val="24"/>
              </w:rPr>
              <w:t>and</w:t>
            </w:r>
            <w:r w:rsidRPr="00150EDC">
              <w:rPr>
                <w:spacing w:val="40"/>
                <w:sz w:val="24"/>
              </w:rPr>
              <w:t xml:space="preserve"> </w:t>
            </w:r>
            <w:r w:rsidRPr="00150EDC">
              <w:rPr>
                <w:sz w:val="24"/>
              </w:rPr>
              <w:t>Auditor</w:t>
            </w:r>
            <w:r w:rsidRPr="00150EDC">
              <w:rPr>
                <w:spacing w:val="40"/>
                <w:sz w:val="24"/>
              </w:rPr>
              <w:t xml:space="preserve"> </w:t>
            </w:r>
            <w:r w:rsidRPr="00150EDC">
              <w:rPr>
                <w:sz w:val="24"/>
              </w:rPr>
              <w:t>General,</w:t>
            </w:r>
            <w:r w:rsidRPr="00150EDC">
              <w:rPr>
                <w:spacing w:val="40"/>
                <w:sz w:val="24"/>
              </w:rPr>
              <w:t xml:space="preserve"> </w:t>
            </w:r>
            <w:r w:rsidRPr="00150EDC">
              <w:rPr>
                <w:sz w:val="24"/>
              </w:rPr>
              <w:t>their</w:t>
            </w:r>
            <w:r w:rsidRPr="00150EDC">
              <w:rPr>
                <w:spacing w:val="40"/>
                <w:sz w:val="24"/>
              </w:rPr>
              <w:t xml:space="preserve"> </w:t>
            </w:r>
            <w:r w:rsidRPr="00150EDC">
              <w:rPr>
                <w:sz w:val="24"/>
              </w:rPr>
              <w:t>staff</w:t>
            </w:r>
            <w:r w:rsidRPr="00150EDC">
              <w:rPr>
                <w:spacing w:val="40"/>
                <w:sz w:val="24"/>
              </w:rPr>
              <w:t xml:space="preserve"> </w:t>
            </w:r>
            <w:r w:rsidRPr="00150EDC">
              <w:rPr>
                <w:sz w:val="24"/>
              </w:rPr>
              <w:t>and/or</w:t>
            </w:r>
            <w:r w:rsidRPr="00150EDC">
              <w:rPr>
                <w:spacing w:val="40"/>
                <w:sz w:val="24"/>
              </w:rPr>
              <w:t xml:space="preserve"> </w:t>
            </w:r>
            <w:r w:rsidRPr="00150EDC">
              <w:rPr>
                <w:sz w:val="24"/>
              </w:rPr>
              <w:t>any</w:t>
            </w:r>
            <w:r w:rsidRPr="00150EDC">
              <w:rPr>
                <w:spacing w:val="80"/>
                <w:sz w:val="24"/>
              </w:rPr>
              <w:t xml:space="preserve"> </w:t>
            </w:r>
            <w:r w:rsidRPr="00150EDC">
              <w:rPr>
                <w:sz w:val="24"/>
              </w:rPr>
              <w:t>appointed representatives of the National Audit Office;</w:t>
            </w:r>
          </w:p>
          <w:p w14:paraId="3F4810B7" w14:textId="77777777" w:rsidR="004C7180" w:rsidRPr="00150EDC" w:rsidRDefault="00CF0754" w:rsidP="00B320C7">
            <w:pPr>
              <w:pStyle w:val="TableParagraph"/>
              <w:numPr>
                <w:ilvl w:val="0"/>
                <w:numId w:val="135"/>
              </w:numPr>
              <w:tabs>
                <w:tab w:val="left" w:pos="566"/>
              </w:tabs>
              <w:spacing w:before="120" w:line="240" w:lineRule="auto"/>
              <w:ind w:left="566" w:hanging="286"/>
              <w:rPr>
                <w:sz w:val="24"/>
              </w:rPr>
            </w:pPr>
            <w:r w:rsidRPr="00150EDC">
              <w:rPr>
                <w:sz w:val="24"/>
              </w:rPr>
              <w:t>HM</w:t>
            </w:r>
            <w:r w:rsidRPr="00150EDC">
              <w:rPr>
                <w:spacing w:val="-6"/>
                <w:sz w:val="24"/>
              </w:rPr>
              <w:t xml:space="preserve"> </w:t>
            </w:r>
            <w:r w:rsidRPr="00150EDC">
              <w:rPr>
                <w:sz w:val="24"/>
              </w:rPr>
              <w:t>Treasury</w:t>
            </w:r>
            <w:r w:rsidRPr="00150EDC">
              <w:rPr>
                <w:spacing w:val="-3"/>
                <w:sz w:val="24"/>
              </w:rPr>
              <w:t xml:space="preserve"> </w:t>
            </w:r>
            <w:r w:rsidRPr="00150EDC">
              <w:rPr>
                <w:sz w:val="24"/>
              </w:rPr>
              <w:t>or</w:t>
            </w:r>
            <w:r w:rsidRPr="00150EDC">
              <w:rPr>
                <w:spacing w:val="-4"/>
                <w:sz w:val="24"/>
              </w:rPr>
              <w:t xml:space="preserve"> </w:t>
            </w:r>
            <w:r w:rsidRPr="00150EDC">
              <w:rPr>
                <w:sz w:val="24"/>
              </w:rPr>
              <w:t>the</w:t>
            </w:r>
            <w:r w:rsidRPr="00150EDC">
              <w:rPr>
                <w:spacing w:val="-3"/>
                <w:sz w:val="24"/>
              </w:rPr>
              <w:t xml:space="preserve"> </w:t>
            </w:r>
            <w:r w:rsidRPr="00150EDC">
              <w:rPr>
                <w:sz w:val="24"/>
              </w:rPr>
              <w:t>Cabinet</w:t>
            </w:r>
            <w:r w:rsidRPr="00150EDC">
              <w:rPr>
                <w:spacing w:val="-5"/>
                <w:sz w:val="24"/>
              </w:rPr>
              <w:t xml:space="preserve"> </w:t>
            </w:r>
            <w:r w:rsidRPr="00150EDC">
              <w:rPr>
                <w:spacing w:val="-2"/>
                <w:sz w:val="24"/>
              </w:rPr>
              <w:t>Office;</w:t>
            </w:r>
          </w:p>
          <w:p w14:paraId="4AB612DF" w14:textId="77777777" w:rsidR="004C7180" w:rsidRPr="00150EDC" w:rsidRDefault="00CF0754" w:rsidP="00B320C7">
            <w:pPr>
              <w:pStyle w:val="TableParagraph"/>
              <w:numPr>
                <w:ilvl w:val="0"/>
                <w:numId w:val="135"/>
              </w:numPr>
              <w:tabs>
                <w:tab w:val="left" w:pos="566"/>
                <w:tab w:val="left" w:pos="568"/>
              </w:tabs>
              <w:spacing w:before="120" w:line="240" w:lineRule="auto"/>
              <w:ind w:left="568" w:right="102" w:hanging="288"/>
              <w:rPr>
                <w:sz w:val="24"/>
              </w:rPr>
            </w:pPr>
            <w:r w:rsidRPr="00150EDC">
              <w:rPr>
                <w:sz w:val="24"/>
              </w:rPr>
              <w:t>any party formally appointed by the Relevant Authority to carry out audit or similar review functions; and</w:t>
            </w:r>
          </w:p>
        </w:tc>
      </w:tr>
    </w:tbl>
    <w:p w14:paraId="5DCD9649" w14:textId="77777777" w:rsidR="004C7180" w:rsidRPr="00150EDC" w:rsidRDefault="004C7180">
      <w:pPr>
        <w:rPr>
          <w:sz w:val="24"/>
        </w:rPr>
        <w:sectPr w:rsidR="004C7180" w:rsidRPr="00150EDC">
          <w:pgSz w:w="11910" w:h="16840"/>
          <w:pgMar w:top="1160" w:right="0" w:bottom="1460" w:left="40" w:header="715" w:footer="1208" w:gutter="0"/>
          <w:cols w:space="720"/>
        </w:sectPr>
      </w:pPr>
    </w:p>
    <w:p w14:paraId="330B51E0" w14:textId="77777777" w:rsidR="004C7180" w:rsidRPr="00150EDC" w:rsidRDefault="004C7180">
      <w:pPr>
        <w:pStyle w:val="BodyText"/>
        <w:spacing w:before="7"/>
        <w:rPr>
          <w:sz w:val="23"/>
        </w:rPr>
      </w:pPr>
    </w:p>
    <w:tbl>
      <w:tblPr>
        <w:tblW w:w="0" w:type="auto"/>
        <w:tblInd w:w="1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4"/>
        <w:gridCol w:w="7484"/>
      </w:tblGrid>
      <w:tr w:rsidR="007D3144" w:rsidRPr="007D3144" w14:paraId="3C9D4F26" w14:textId="77777777">
        <w:trPr>
          <w:trHeight w:val="396"/>
        </w:trPr>
        <w:tc>
          <w:tcPr>
            <w:tcW w:w="2264" w:type="dxa"/>
          </w:tcPr>
          <w:p w14:paraId="5450D2AB" w14:textId="77777777" w:rsidR="004C7180" w:rsidRPr="00150EDC" w:rsidRDefault="004C7180">
            <w:pPr>
              <w:pStyle w:val="TableParagraph"/>
              <w:spacing w:before="0" w:line="240" w:lineRule="auto"/>
              <w:ind w:left="0"/>
              <w:rPr>
                <w:rFonts w:ascii="Times New Roman"/>
              </w:rPr>
            </w:pPr>
          </w:p>
        </w:tc>
        <w:tc>
          <w:tcPr>
            <w:tcW w:w="7484" w:type="dxa"/>
          </w:tcPr>
          <w:p w14:paraId="3BAED139" w14:textId="77777777" w:rsidR="004C7180" w:rsidRPr="00150EDC" w:rsidRDefault="00CF0754">
            <w:pPr>
              <w:pStyle w:val="TableParagraph"/>
              <w:spacing w:before="0" w:line="240" w:lineRule="auto"/>
              <w:ind w:left="280"/>
              <w:rPr>
                <w:sz w:val="24"/>
              </w:rPr>
            </w:pPr>
            <w:r w:rsidRPr="00150EDC">
              <w:t>f)</w:t>
            </w:r>
            <w:r w:rsidRPr="00150EDC">
              <w:rPr>
                <w:spacing w:val="56"/>
                <w:w w:val="150"/>
              </w:rPr>
              <w:t xml:space="preserve"> </w:t>
            </w:r>
            <w:r w:rsidRPr="00150EDC">
              <w:rPr>
                <w:sz w:val="24"/>
              </w:rPr>
              <w:t>successors</w:t>
            </w:r>
            <w:r w:rsidRPr="00150EDC">
              <w:rPr>
                <w:spacing w:val="-1"/>
                <w:sz w:val="24"/>
              </w:rPr>
              <w:t xml:space="preserve"> </w:t>
            </w:r>
            <w:r w:rsidRPr="00150EDC">
              <w:rPr>
                <w:sz w:val="24"/>
              </w:rPr>
              <w:t>or</w:t>
            </w:r>
            <w:r w:rsidRPr="00150EDC">
              <w:rPr>
                <w:spacing w:val="-4"/>
                <w:sz w:val="24"/>
              </w:rPr>
              <w:t xml:space="preserve"> </w:t>
            </w:r>
            <w:r w:rsidRPr="00150EDC">
              <w:rPr>
                <w:sz w:val="24"/>
              </w:rPr>
              <w:t>assigns</w:t>
            </w:r>
            <w:r w:rsidRPr="00150EDC">
              <w:rPr>
                <w:spacing w:val="-3"/>
                <w:sz w:val="24"/>
              </w:rPr>
              <w:t xml:space="preserve"> </w:t>
            </w:r>
            <w:r w:rsidRPr="00150EDC">
              <w:rPr>
                <w:sz w:val="24"/>
              </w:rPr>
              <w:t>of</w:t>
            </w:r>
            <w:r w:rsidRPr="00150EDC">
              <w:rPr>
                <w:spacing w:val="-1"/>
                <w:sz w:val="24"/>
              </w:rPr>
              <w:t xml:space="preserve"> </w:t>
            </w:r>
            <w:r w:rsidRPr="00150EDC">
              <w:rPr>
                <w:sz w:val="24"/>
              </w:rPr>
              <w:t>any</w:t>
            </w:r>
            <w:r w:rsidRPr="00150EDC">
              <w:rPr>
                <w:spacing w:val="-1"/>
                <w:sz w:val="24"/>
              </w:rPr>
              <w:t xml:space="preserve"> </w:t>
            </w:r>
            <w:r w:rsidRPr="00150EDC">
              <w:rPr>
                <w:sz w:val="24"/>
              </w:rPr>
              <w:t>of</w:t>
            </w:r>
            <w:r w:rsidRPr="00150EDC">
              <w:rPr>
                <w:spacing w:val="-3"/>
                <w:sz w:val="24"/>
              </w:rPr>
              <w:t xml:space="preserve"> </w:t>
            </w:r>
            <w:r w:rsidRPr="00150EDC">
              <w:rPr>
                <w:sz w:val="24"/>
              </w:rPr>
              <w:t>the</w:t>
            </w:r>
            <w:r w:rsidRPr="00150EDC">
              <w:rPr>
                <w:spacing w:val="-1"/>
                <w:sz w:val="24"/>
              </w:rPr>
              <w:t xml:space="preserve"> </w:t>
            </w:r>
            <w:r w:rsidRPr="00150EDC">
              <w:rPr>
                <w:spacing w:val="-2"/>
                <w:sz w:val="24"/>
              </w:rPr>
              <w:t>above;</w:t>
            </w:r>
          </w:p>
        </w:tc>
      </w:tr>
      <w:tr w:rsidR="007D3144" w:rsidRPr="007D3144" w14:paraId="49CF2CEC" w14:textId="77777777">
        <w:trPr>
          <w:trHeight w:val="602"/>
        </w:trPr>
        <w:tc>
          <w:tcPr>
            <w:tcW w:w="2264" w:type="dxa"/>
          </w:tcPr>
          <w:p w14:paraId="79F23DAB" w14:textId="77777777" w:rsidR="004C7180" w:rsidRPr="00150EDC" w:rsidRDefault="00CF0754">
            <w:pPr>
              <w:pStyle w:val="TableParagraph"/>
              <w:spacing w:before="0" w:line="240" w:lineRule="auto"/>
              <w:ind w:left="-1"/>
              <w:rPr>
                <w:b/>
                <w:sz w:val="24"/>
              </w:rPr>
            </w:pPr>
            <w:r w:rsidRPr="00150EDC">
              <w:rPr>
                <w:b/>
                <w:spacing w:val="-2"/>
                <w:sz w:val="24"/>
              </w:rPr>
              <w:t>"Authority"</w:t>
            </w:r>
          </w:p>
        </w:tc>
        <w:tc>
          <w:tcPr>
            <w:tcW w:w="7484" w:type="dxa"/>
          </w:tcPr>
          <w:p w14:paraId="5D34B34B" w14:textId="77777777" w:rsidR="004C7180" w:rsidRPr="00150EDC" w:rsidRDefault="00CF0754">
            <w:pPr>
              <w:pStyle w:val="TableParagraph"/>
              <w:spacing w:before="0" w:line="240" w:lineRule="auto"/>
              <w:ind w:left="309"/>
              <w:rPr>
                <w:sz w:val="24"/>
              </w:rPr>
            </w:pPr>
            <w:r w:rsidRPr="00150EDC">
              <w:rPr>
                <w:sz w:val="24"/>
              </w:rPr>
              <w:t>CCS</w:t>
            </w:r>
            <w:r w:rsidRPr="00150EDC">
              <w:rPr>
                <w:spacing w:val="-3"/>
                <w:sz w:val="24"/>
              </w:rPr>
              <w:t xml:space="preserve"> </w:t>
            </w:r>
            <w:r w:rsidRPr="00150EDC">
              <w:rPr>
                <w:sz w:val="24"/>
              </w:rPr>
              <w:t>and</w:t>
            </w:r>
            <w:r w:rsidRPr="00150EDC">
              <w:rPr>
                <w:spacing w:val="-3"/>
                <w:sz w:val="24"/>
              </w:rPr>
              <w:t xml:space="preserve"> </w:t>
            </w:r>
            <w:r w:rsidRPr="00150EDC">
              <w:rPr>
                <w:sz w:val="24"/>
              </w:rPr>
              <w:t>each</w:t>
            </w:r>
            <w:r w:rsidRPr="00150EDC">
              <w:rPr>
                <w:spacing w:val="-4"/>
                <w:sz w:val="24"/>
              </w:rPr>
              <w:t xml:space="preserve"> </w:t>
            </w:r>
            <w:r w:rsidRPr="00150EDC">
              <w:rPr>
                <w:spacing w:val="-2"/>
                <w:sz w:val="24"/>
              </w:rPr>
              <w:t>Buyer;</w:t>
            </w:r>
          </w:p>
        </w:tc>
      </w:tr>
      <w:tr w:rsidR="007D3144" w:rsidRPr="007D3144" w14:paraId="77E20A2D" w14:textId="77777777">
        <w:trPr>
          <w:trHeight w:val="1499"/>
        </w:trPr>
        <w:tc>
          <w:tcPr>
            <w:tcW w:w="2264" w:type="dxa"/>
          </w:tcPr>
          <w:p w14:paraId="2BFB2A0F" w14:textId="77777777" w:rsidR="004C7180" w:rsidRPr="00150EDC" w:rsidRDefault="00CF0754">
            <w:pPr>
              <w:pStyle w:val="TableParagraph"/>
              <w:spacing w:before="0" w:line="240" w:lineRule="auto"/>
              <w:ind w:left="-1"/>
              <w:rPr>
                <w:b/>
                <w:sz w:val="24"/>
              </w:rPr>
            </w:pPr>
            <w:r w:rsidRPr="00150EDC">
              <w:rPr>
                <w:b/>
                <w:sz w:val="24"/>
              </w:rPr>
              <w:t>"Authority</w:t>
            </w:r>
            <w:r w:rsidRPr="00150EDC">
              <w:rPr>
                <w:b/>
                <w:spacing w:val="-12"/>
                <w:sz w:val="24"/>
              </w:rPr>
              <w:t xml:space="preserve"> </w:t>
            </w:r>
            <w:r w:rsidRPr="00150EDC">
              <w:rPr>
                <w:b/>
                <w:spacing w:val="-2"/>
                <w:sz w:val="24"/>
              </w:rPr>
              <w:t>Cause"</w:t>
            </w:r>
          </w:p>
        </w:tc>
        <w:tc>
          <w:tcPr>
            <w:tcW w:w="7484" w:type="dxa"/>
          </w:tcPr>
          <w:p w14:paraId="5D89507F" w14:textId="77777777" w:rsidR="004C7180" w:rsidRPr="00150EDC" w:rsidRDefault="00CF0754">
            <w:pPr>
              <w:pStyle w:val="TableParagraph"/>
              <w:spacing w:before="0" w:line="240" w:lineRule="auto"/>
              <w:ind w:left="107" w:right="96"/>
              <w:jc w:val="both"/>
              <w:rPr>
                <w:sz w:val="24"/>
              </w:rPr>
            </w:pPr>
            <w:r w:rsidRPr="00150EDC">
              <w:rPr>
                <w:sz w:val="24"/>
              </w:rPr>
              <w:t>any breach of the obligations of the Relevant Authority or any other default, act, omission, negligence or statement of the Relevant Authority, of its</w:t>
            </w:r>
            <w:r w:rsidRPr="00150EDC">
              <w:rPr>
                <w:spacing w:val="-1"/>
                <w:sz w:val="24"/>
              </w:rPr>
              <w:t xml:space="preserve"> </w:t>
            </w:r>
            <w:r w:rsidRPr="00150EDC">
              <w:rPr>
                <w:sz w:val="24"/>
              </w:rPr>
              <w:t>employees, servants,</w:t>
            </w:r>
            <w:r w:rsidRPr="00150EDC">
              <w:rPr>
                <w:spacing w:val="-1"/>
                <w:sz w:val="24"/>
              </w:rPr>
              <w:t xml:space="preserve"> </w:t>
            </w:r>
            <w:r w:rsidRPr="00150EDC">
              <w:rPr>
                <w:sz w:val="24"/>
              </w:rPr>
              <w:t>agents in connection with or in relation to the subject-matter of the Contract and in respect of which the Relevant Authority is liable to the Supplier;</w:t>
            </w:r>
          </w:p>
        </w:tc>
      </w:tr>
      <w:tr w:rsidR="007D3144" w:rsidRPr="007D3144" w14:paraId="04FC56DA" w14:textId="77777777">
        <w:trPr>
          <w:trHeight w:val="947"/>
        </w:trPr>
        <w:tc>
          <w:tcPr>
            <w:tcW w:w="2264" w:type="dxa"/>
          </w:tcPr>
          <w:p w14:paraId="35AD4BB9" w14:textId="77777777" w:rsidR="004C7180" w:rsidRPr="00150EDC" w:rsidRDefault="00CF0754">
            <w:pPr>
              <w:pStyle w:val="TableParagraph"/>
              <w:spacing w:before="0" w:line="240" w:lineRule="auto"/>
              <w:ind w:left="-1"/>
              <w:rPr>
                <w:b/>
                <w:sz w:val="24"/>
              </w:rPr>
            </w:pPr>
            <w:r w:rsidRPr="00150EDC">
              <w:rPr>
                <w:b/>
                <w:spacing w:val="-2"/>
                <w:sz w:val="24"/>
              </w:rPr>
              <w:t>"BACS"</w:t>
            </w:r>
          </w:p>
        </w:tc>
        <w:tc>
          <w:tcPr>
            <w:tcW w:w="7484" w:type="dxa"/>
          </w:tcPr>
          <w:p w14:paraId="543EB6EC" w14:textId="77777777" w:rsidR="004C7180" w:rsidRPr="00150EDC" w:rsidRDefault="00CF0754">
            <w:pPr>
              <w:pStyle w:val="TableParagraph"/>
              <w:spacing w:before="0" w:line="240" w:lineRule="auto"/>
              <w:ind w:left="107" w:right="100"/>
              <w:jc w:val="both"/>
              <w:rPr>
                <w:sz w:val="24"/>
              </w:rPr>
            </w:pPr>
            <w:r w:rsidRPr="00150EDC">
              <w:rPr>
                <w:sz w:val="24"/>
              </w:rPr>
              <w:t>the</w:t>
            </w:r>
            <w:r w:rsidRPr="00150EDC">
              <w:rPr>
                <w:spacing w:val="-13"/>
                <w:sz w:val="24"/>
              </w:rPr>
              <w:t xml:space="preserve"> </w:t>
            </w:r>
            <w:r w:rsidRPr="00150EDC">
              <w:rPr>
                <w:sz w:val="24"/>
              </w:rPr>
              <w:t>Bankers’</w:t>
            </w:r>
            <w:r w:rsidRPr="00150EDC">
              <w:rPr>
                <w:spacing w:val="-13"/>
                <w:sz w:val="24"/>
              </w:rPr>
              <w:t xml:space="preserve"> </w:t>
            </w:r>
            <w:r w:rsidRPr="00150EDC">
              <w:rPr>
                <w:sz w:val="24"/>
              </w:rPr>
              <w:t>Automated</w:t>
            </w:r>
            <w:r w:rsidRPr="00150EDC">
              <w:rPr>
                <w:spacing w:val="-11"/>
                <w:sz w:val="24"/>
              </w:rPr>
              <w:t xml:space="preserve"> </w:t>
            </w:r>
            <w:r w:rsidRPr="00150EDC">
              <w:rPr>
                <w:sz w:val="24"/>
              </w:rPr>
              <w:t>Clearing</w:t>
            </w:r>
            <w:r w:rsidRPr="00150EDC">
              <w:rPr>
                <w:spacing w:val="-13"/>
                <w:sz w:val="24"/>
              </w:rPr>
              <w:t xml:space="preserve"> </w:t>
            </w:r>
            <w:r w:rsidRPr="00150EDC">
              <w:rPr>
                <w:sz w:val="24"/>
              </w:rPr>
              <w:t>Services,</w:t>
            </w:r>
            <w:r w:rsidRPr="00150EDC">
              <w:rPr>
                <w:spacing w:val="-13"/>
                <w:sz w:val="24"/>
              </w:rPr>
              <w:t xml:space="preserve"> </w:t>
            </w:r>
            <w:r w:rsidRPr="00150EDC">
              <w:rPr>
                <w:sz w:val="24"/>
              </w:rPr>
              <w:t>which</w:t>
            </w:r>
            <w:r w:rsidRPr="00150EDC">
              <w:rPr>
                <w:spacing w:val="-11"/>
                <w:sz w:val="24"/>
              </w:rPr>
              <w:t xml:space="preserve"> </w:t>
            </w:r>
            <w:r w:rsidRPr="00150EDC">
              <w:rPr>
                <w:sz w:val="24"/>
              </w:rPr>
              <w:t>is</w:t>
            </w:r>
            <w:r w:rsidRPr="00150EDC">
              <w:rPr>
                <w:spacing w:val="-14"/>
                <w:sz w:val="24"/>
              </w:rPr>
              <w:t xml:space="preserve"> </w:t>
            </w:r>
            <w:r w:rsidRPr="00150EDC">
              <w:rPr>
                <w:sz w:val="24"/>
              </w:rPr>
              <w:t>a</w:t>
            </w:r>
            <w:r w:rsidRPr="00150EDC">
              <w:rPr>
                <w:spacing w:val="-13"/>
                <w:sz w:val="24"/>
              </w:rPr>
              <w:t xml:space="preserve"> </w:t>
            </w:r>
            <w:r w:rsidRPr="00150EDC">
              <w:rPr>
                <w:sz w:val="24"/>
              </w:rPr>
              <w:t>scheme</w:t>
            </w:r>
            <w:r w:rsidRPr="00150EDC">
              <w:rPr>
                <w:spacing w:val="-13"/>
                <w:sz w:val="24"/>
              </w:rPr>
              <w:t xml:space="preserve"> </w:t>
            </w:r>
            <w:r w:rsidRPr="00150EDC">
              <w:rPr>
                <w:sz w:val="24"/>
              </w:rPr>
              <w:t>for</w:t>
            </w:r>
            <w:r w:rsidRPr="00150EDC">
              <w:rPr>
                <w:spacing w:val="-13"/>
                <w:sz w:val="24"/>
              </w:rPr>
              <w:t xml:space="preserve"> </w:t>
            </w:r>
            <w:r w:rsidRPr="00150EDC">
              <w:rPr>
                <w:sz w:val="24"/>
              </w:rPr>
              <w:t xml:space="preserve">the electronic processing of financial transactions within the United </w:t>
            </w:r>
            <w:r w:rsidRPr="00150EDC">
              <w:rPr>
                <w:spacing w:val="-2"/>
                <w:sz w:val="24"/>
              </w:rPr>
              <w:t>Kingdom;</w:t>
            </w:r>
          </w:p>
        </w:tc>
      </w:tr>
      <w:tr w:rsidR="007D3144" w:rsidRPr="007D3144" w14:paraId="363012EB" w14:textId="77777777">
        <w:trPr>
          <w:trHeight w:val="672"/>
        </w:trPr>
        <w:tc>
          <w:tcPr>
            <w:tcW w:w="2264" w:type="dxa"/>
          </w:tcPr>
          <w:p w14:paraId="5F9C97E0" w14:textId="77777777" w:rsidR="004C7180" w:rsidRPr="00150EDC" w:rsidRDefault="00CF0754">
            <w:pPr>
              <w:pStyle w:val="TableParagraph"/>
              <w:spacing w:before="0" w:line="240" w:lineRule="auto"/>
              <w:ind w:left="-1"/>
              <w:rPr>
                <w:b/>
                <w:sz w:val="24"/>
              </w:rPr>
            </w:pPr>
            <w:r w:rsidRPr="00150EDC">
              <w:rPr>
                <w:b/>
                <w:spacing w:val="-2"/>
                <w:sz w:val="24"/>
              </w:rPr>
              <w:t>"Beneficiary"</w:t>
            </w:r>
          </w:p>
        </w:tc>
        <w:tc>
          <w:tcPr>
            <w:tcW w:w="7484" w:type="dxa"/>
          </w:tcPr>
          <w:p w14:paraId="157B4C70" w14:textId="77777777" w:rsidR="004C7180" w:rsidRPr="00150EDC" w:rsidRDefault="00CF0754">
            <w:pPr>
              <w:pStyle w:val="TableParagraph"/>
              <w:spacing w:before="0" w:line="240" w:lineRule="auto"/>
              <w:ind w:left="107"/>
              <w:rPr>
                <w:sz w:val="24"/>
              </w:rPr>
            </w:pPr>
            <w:r w:rsidRPr="00150EDC">
              <w:rPr>
                <w:sz w:val="24"/>
              </w:rPr>
              <w:t>a</w:t>
            </w:r>
            <w:r w:rsidRPr="00150EDC">
              <w:rPr>
                <w:spacing w:val="-8"/>
                <w:sz w:val="24"/>
              </w:rPr>
              <w:t xml:space="preserve"> </w:t>
            </w:r>
            <w:r w:rsidRPr="00150EDC">
              <w:rPr>
                <w:sz w:val="24"/>
              </w:rPr>
              <w:t>Party</w:t>
            </w:r>
            <w:r w:rsidRPr="00150EDC">
              <w:rPr>
                <w:spacing w:val="-11"/>
                <w:sz w:val="24"/>
              </w:rPr>
              <w:t xml:space="preserve"> </w:t>
            </w:r>
            <w:r w:rsidRPr="00150EDC">
              <w:rPr>
                <w:sz w:val="24"/>
              </w:rPr>
              <w:t>having</w:t>
            </w:r>
            <w:r w:rsidRPr="00150EDC">
              <w:rPr>
                <w:spacing w:val="-8"/>
                <w:sz w:val="24"/>
              </w:rPr>
              <w:t xml:space="preserve"> </w:t>
            </w:r>
            <w:r w:rsidRPr="00150EDC">
              <w:rPr>
                <w:sz w:val="24"/>
              </w:rPr>
              <w:t>(or</w:t>
            </w:r>
            <w:r w:rsidRPr="00150EDC">
              <w:rPr>
                <w:spacing w:val="-12"/>
                <w:sz w:val="24"/>
              </w:rPr>
              <w:t xml:space="preserve"> </w:t>
            </w:r>
            <w:r w:rsidRPr="00150EDC">
              <w:rPr>
                <w:sz w:val="24"/>
              </w:rPr>
              <w:t>claiming</w:t>
            </w:r>
            <w:r w:rsidRPr="00150EDC">
              <w:rPr>
                <w:spacing w:val="-10"/>
                <w:sz w:val="24"/>
              </w:rPr>
              <w:t xml:space="preserve"> </w:t>
            </w:r>
            <w:r w:rsidRPr="00150EDC">
              <w:rPr>
                <w:sz w:val="24"/>
              </w:rPr>
              <w:t>to</w:t>
            </w:r>
            <w:r w:rsidRPr="00150EDC">
              <w:rPr>
                <w:spacing w:val="-10"/>
                <w:sz w:val="24"/>
              </w:rPr>
              <w:t xml:space="preserve"> </w:t>
            </w:r>
            <w:r w:rsidRPr="00150EDC">
              <w:rPr>
                <w:sz w:val="24"/>
              </w:rPr>
              <w:t>have)</w:t>
            </w:r>
            <w:r w:rsidRPr="00150EDC">
              <w:rPr>
                <w:spacing w:val="-12"/>
                <w:sz w:val="24"/>
              </w:rPr>
              <w:t xml:space="preserve"> </w:t>
            </w:r>
            <w:r w:rsidRPr="00150EDC">
              <w:rPr>
                <w:sz w:val="24"/>
              </w:rPr>
              <w:t>the</w:t>
            </w:r>
            <w:r w:rsidRPr="00150EDC">
              <w:rPr>
                <w:spacing w:val="-10"/>
                <w:sz w:val="24"/>
              </w:rPr>
              <w:t xml:space="preserve"> </w:t>
            </w:r>
            <w:r w:rsidRPr="00150EDC">
              <w:rPr>
                <w:sz w:val="24"/>
              </w:rPr>
              <w:t>benefit</w:t>
            </w:r>
            <w:r w:rsidRPr="00150EDC">
              <w:rPr>
                <w:spacing w:val="-8"/>
                <w:sz w:val="24"/>
              </w:rPr>
              <w:t xml:space="preserve"> </w:t>
            </w:r>
            <w:r w:rsidRPr="00150EDC">
              <w:rPr>
                <w:sz w:val="24"/>
              </w:rPr>
              <w:t>of</w:t>
            </w:r>
            <w:r w:rsidRPr="00150EDC">
              <w:rPr>
                <w:spacing w:val="-11"/>
                <w:sz w:val="24"/>
              </w:rPr>
              <w:t xml:space="preserve"> </w:t>
            </w:r>
            <w:r w:rsidRPr="00150EDC">
              <w:rPr>
                <w:sz w:val="24"/>
              </w:rPr>
              <w:t>an</w:t>
            </w:r>
            <w:r w:rsidRPr="00150EDC">
              <w:rPr>
                <w:spacing w:val="-8"/>
                <w:sz w:val="24"/>
              </w:rPr>
              <w:t xml:space="preserve"> </w:t>
            </w:r>
            <w:r w:rsidRPr="00150EDC">
              <w:rPr>
                <w:sz w:val="24"/>
              </w:rPr>
              <w:t>indemnity</w:t>
            </w:r>
            <w:r w:rsidRPr="00150EDC">
              <w:rPr>
                <w:spacing w:val="-11"/>
                <w:sz w:val="24"/>
              </w:rPr>
              <w:t xml:space="preserve"> </w:t>
            </w:r>
            <w:r w:rsidRPr="00150EDC">
              <w:rPr>
                <w:sz w:val="24"/>
              </w:rPr>
              <w:t>under this Contract;</w:t>
            </w:r>
          </w:p>
        </w:tc>
      </w:tr>
      <w:tr w:rsidR="007D3144" w:rsidRPr="007D3144" w14:paraId="73BE964D" w14:textId="77777777">
        <w:trPr>
          <w:trHeight w:val="671"/>
        </w:trPr>
        <w:tc>
          <w:tcPr>
            <w:tcW w:w="2264" w:type="dxa"/>
          </w:tcPr>
          <w:p w14:paraId="6D529DFB" w14:textId="77777777" w:rsidR="004C7180" w:rsidRPr="00150EDC" w:rsidRDefault="00CF0754">
            <w:pPr>
              <w:pStyle w:val="TableParagraph"/>
              <w:spacing w:before="0" w:line="240" w:lineRule="auto"/>
              <w:ind w:left="-1"/>
              <w:rPr>
                <w:b/>
                <w:sz w:val="24"/>
              </w:rPr>
            </w:pPr>
            <w:r w:rsidRPr="00150EDC">
              <w:rPr>
                <w:b/>
                <w:sz w:val="24"/>
              </w:rPr>
              <w:t>“Bronze</w:t>
            </w:r>
            <w:r w:rsidRPr="00150EDC">
              <w:rPr>
                <w:b/>
                <w:spacing w:val="-2"/>
                <w:sz w:val="24"/>
              </w:rPr>
              <w:t xml:space="preserve"> Contract”</w:t>
            </w:r>
          </w:p>
        </w:tc>
        <w:tc>
          <w:tcPr>
            <w:tcW w:w="7484" w:type="dxa"/>
          </w:tcPr>
          <w:p w14:paraId="15839382" w14:textId="77777777" w:rsidR="004C7180" w:rsidRPr="00150EDC" w:rsidRDefault="00CF0754">
            <w:pPr>
              <w:pStyle w:val="TableParagraph"/>
              <w:spacing w:before="0" w:line="240" w:lineRule="auto"/>
              <w:ind w:left="107"/>
              <w:rPr>
                <w:sz w:val="24"/>
              </w:rPr>
            </w:pPr>
            <w:r w:rsidRPr="00150EDC">
              <w:rPr>
                <w:spacing w:val="-2"/>
                <w:sz w:val="24"/>
              </w:rPr>
              <w:t>an</w:t>
            </w:r>
            <w:r w:rsidRPr="00150EDC">
              <w:rPr>
                <w:spacing w:val="-9"/>
                <w:sz w:val="24"/>
              </w:rPr>
              <w:t xml:space="preserve"> </w:t>
            </w:r>
            <w:r w:rsidRPr="00150EDC">
              <w:rPr>
                <w:spacing w:val="-2"/>
                <w:sz w:val="24"/>
              </w:rPr>
              <w:t>Order</w:t>
            </w:r>
            <w:r w:rsidRPr="00150EDC">
              <w:rPr>
                <w:spacing w:val="-10"/>
                <w:sz w:val="24"/>
              </w:rPr>
              <w:t xml:space="preserve"> </w:t>
            </w:r>
            <w:r w:rsidRPr="00150EDC">
              <w:rPr>
                <w:spacing w:val="-2"/>
                <w:sz w:val="24"/>
              </w:rPr>
              <w:t>Contract</w:t>
            </w:r>
            <w:r w:rsidRPr="00150EDC">
              <w:rPr>
                <w:spacing w:val="-9"/>
                <w:sz w:val="24"/>
              </w:rPr>
              <w:t xml:space="preserve"> </w:t>
            </w:r>
            <w:r w:rsidRPr="00150EDC">
              <w:rPr>
                <w:spacing w:val="-2"/>
                <w:sz w:val="24"/>
              </w:rPr>
              <w:t>categorised</w:t>
            </w:r>
            <w:r w:rsidRPr="00150EDC">
              <w:rPr>
                <w:spacing w:val="-9"/>
                <w:sz w:val="24"/>
              </w:rPr>
              <w:t xml:space="preserve"> </w:t>
            </w:r>
            <w:r w:rsidRPr="00150EDC">
              <w:rPr>
                <w:spacing w:val="-2"/>
                <w:sz w:val="24"/>
              </w:rPr>
              <w:t>as</w:t>
            </w:r>
            <w:r w:rsidRPr="00150EDC">
              <w:rPr>
                <w:spacing w:val="-12"/>
                <w:sz w:val="24"/>
              </w:rPr>
              <w:t xml:space="preserve"> </w:t>
            </w:r>
            <w:r w:rsidRPr="00150EDC">
              <w:rPr>
                <w:spacing w:val="-2"/>
                <w:sz w:val="24"/>
              </w:rPr>
              <w:t>a</w:t>
            </w:r>
            <w:r w:rsidRPr="00150EDC">
              <w:rPr>
                <w:spacing w:val="-9"/>
                <w:sz w:val="24"/>
              </w:rPr>
              <w:t xml:space="preserve"> </w:t>
            </w:r>
            <w:r w:rsidRPr="00150EDC">
              <w:rPr>
                <w:spacing w:val="-2"/>
                <w:sz w:val="24"/>
              </w:rPr>
              <w:t>Bronze</w:t>
            </w:r>
            <w:r w:rsidRPr="00150EDC">
              <w:rPr>
                <w:spacing w:val="-9"/>
                <w:sz w:val="24"/>
              </w:rPr>
              <w:t xml:space="preserve"> </w:t>
            </w:r>
            <w:r w:rsidRPr="00150EDC">
              <w:rPr>
                <w:spacing w:val="-2"/>
                <w:sz w:val="24"/>
              </w:rPr>
              <w:t>contract</w:t>
            </w:r>
            <w:r w:rsidRPr="00150EDC">
              <w:rPr>
                <w:spacing w:val="-9"/>
                <w:sz w:val="24"/>
              </w:rPr>
              <w:t xml:space="preserve"> </w:t>
            </w:r>
            <w:r w:rsidRPr="00150EDC">
              <w:rPr>
                <w:spacing w:val="-2"/>
                <w:sz w:val="24"/>
              </w:rPr>
              <w:t>using</w:t>
            </w:r>
            <w:r w:rsidRPr="00150EDC">
              <w:rPr>
                <w:spacing w:val="-9"/>
                <w:sz w:val="24"/>
              </w:rPr>
              <w:t xml:space="preserve"> </w:t>
            </w:r>
            <w:r w:rsidRPr="00150EDC">
              <w:rPr>
                <w:spacing w:val="-2"/>
                <w:sz w:val="24"/>
              </w:rPr>
              <w:t>the</w:t>
            </w:r>
            <w:r w:rsidRPr="00150EDC">
              <w:rPr>
                <w:spacing w:val="-9"/>
                <w:sz w:val="24"/>
              </w:rPr>
              <w:t xml:space="preserve"> </w:t>
            </w:r>
            <w:r w:rsidRPr="00150EDC">
              <w:rPr>
                <w:spacing w:val="-2"/>
                <w:sz w:val="24"/>
              </w:rPr>
              <w:t xml:space="preserve">Cabinet </w:t>
            </w:r>
            <w:r w:rsidRPr="00150EDC">
              <w:rPr>
                <w:sz w:val="24"/>
              </w:rPr>
              <w:t>Office Contract Tiering Tool;</w:t>
            </w:r>
          </w:p>
        </w:tc>
      </w:tr>
      <w:tr w:rsidR="007D3144" w:rsidRPr="007D3144" w14:paraId="6B9F098D" w14:textId="77777777">
        <w:trPr>
          <w:trHeight w:val="671"/>
        </w:trPr>
        <w:tc>
          <w:tcPr>
            <w:tcW w:w="2264" w:type="dxa"/>
          </w:tcPr>
          <w:p w14:paraId="7198EB06" w14:textId="77777777" w:rsidR="004C7180" w:rsidRPr="00150EDC" w:rsidRDefault="00CF0754">
            <w:pPr>
              <w:pStyle w:val="TableParagraph"/>
              <w:spacing w:before="0" w:line="240" w:lineRule="auto"/>
              <w:ind w:left="-1"/>
              <w:rPr>
                <w:b/>
                <w:sz w:val="24"/>
              </w:rPr>
            </w:pPr>
            <w:r w:rsidRPr="00150EDC">
              <w:rPr>
                <w:b/>
                <w:spacing w:val="-2"/>
                <w:sz w:val="24"/>
              </w:rPr>
              <w:t>"Buyer"</w:t>
            </w:r>
          </w:p>
        </w:tc>
        <w:tc>
          <w:tcPr>
            <w:tcW w:w="7484" w:type="dxa"/>
          </w:tcPr>
          <w:p w14:paraId="127D4A7B" w14:textId="77777777" w:rsidR="004C7180" w:rsidRPr="00150EDC" w:rsidRDefault="00CF0754">
            <w:pPr>
              <w:pStyle w:val="TableParagraph"/>
              <w:spacing w:before="0" w:line="240" w:lineRule="auto"/>
              <w:ind w:left="107"/>
              <w:rPr>
                <w:sz w:val="24"/>
              </w:rPr>
            </w:pPr>
            <w:r w:rsidRPr="00150EDC">
              <w:rPr>
                <w:sz w:val="24"/>
              </w:rPr>
              <w:t xml:space="preserve">the relevant public sector purchaser identified as such in the Order </w:t>
            </w:r>
            <w:r w:rsidRPr="00150EDC">
              <w:rPr>
                <w:spacing w:val="-2"/>
                <w:sz w:val="24"/>
              </w:rPr>
              <w:t>Form;</w:t>
            </w:r>
          </w:p>
        </w:tc>
      </w:tr>
      <w:tr w:rsidR="007D3144" w:rsidRPr="007D3144" w14:paraId="72CFA6BD" w14:textId="77777777">
        <w:trPr>
          <w:trHeight w:val="1501"/>
        </w:trPr>
        <w:tc>
          <w:tcPr>
            <w:tcW w:w="2264" w:type="dxa"/>
          </w:tcPr>
          <w:p w14:paraId="4F3E6141" w14:textId="77777777" w:rsidR="004C7180" w:rsidRPr="00150EDC" w:rsidRDefault="00CF0754">
            <w:pPr>
              <w:pStyle w:val="TableParagraph"/>
              <w:spacing w:before="2" w:line="240" w:lineRule="auto"/>
              <w:ind w:left="-1"/>
              <w:rPr>
                <w:b/>
                <w:sz w:val="24"/>
              </w:rPr>
            </w:pPr>
            <w:r w:rsidRPr="00150EDC">
              <w:rPr>
                <w:b/>
                <w:sz w:val="24"/>
              </w:rPr>
              <w:t>"Buyer</w:t>
            </w:r>
            <w:r w:rsidRPr="00150EDC">
              <w:rPr>
                <w:b/>
                <w:spacing w:val="-7"/>
                <w:sz w:val="24"/>
              </w:rPr>
              <w:t xml:space="preserve"> </w:t>
            </w:r>
            <w:r w:rsidRPr="00150EDC">
              <w:rPr>
                <w:b/>
                <w:spacing w:val="-2"/>
                <w:sz w:val="24"/>
              </w:rPr>
              <w:t>Assets"</w:t>
            </w:r>
          </w:p>
        </w:tc>
        <w:tc>
          <w:tcPr>
            <w:tcW w:w="7484" w:type="dxa"/>
          </w:tcPr>
          <w:p w14:paraId="2725DE58" w14:textId="77777777" w:rsidR="004C7180" w:rsidRPr="00150EDC" w:rsidRDefault="00CF0754">
            <w:pPr>
              <w:pStyle w:val="TableParagraph"/>
              <w:spacing w:before="2" w:line="240" w:lineRule="auto"/>
              <w:ind w:left="107" w:right="93"/>
              <w:jc w:val="both"/>
              <w:rPr>
                <w:sz w:val="24"/>
              </w:rPr>
            </w:pPr>
            <w:r w:rsidRPr="00150EDC">
              <w:rPr>
                <w:sz w:val="24"/>
              </w:rPr>
              <w:t>the Buyer’s infrastructure, data, software, materials, assets, equipment or other property owned by and/or licensed or leased to the Buyer and which is or may be used in connection with the provision of the Deliverables which remain the property of the Buyer throughout the term of the Contract;</w:t>
            </w:r>
          </w:p>
        </w:tc>
      </w:tr>
      <w:tr w:rsidR="007D3144" w:rsidRPr="007D3144" w14:paraId="622359FA" w14:textId="77777777">
        <w:trPr>
          <w:trHeight w:val="672"/>
        </w:trPr>
        <w:tc>
          <w:tcPr>
            <w:tcW w:w="2264" w:type="dxa"/>
          </w:tcPr>
          <w:p w14:paraId="233C9986" w14:textId="77777777" w:rsidR="004C7180" w:rsidRPr="00150EDC" w:rsidRDefault="00CF0754">
            <w:pPr>
              <w:pStyle w:val="TableParagraph"/>
              <w:spacing w:before="0" w:line="240" w:lineRule="auto"/>
              <w:ind w:left="-1"/>
              <w:rPr>
                <w:b/>
                <w:sz w:val="24"/>
              </w:rPr>
            </w:pPr>
            <w:r w:rsidRPr="00150EDC">
              <w:rPr>
                <w:b/>
                <w:sz w:val="24"/>
              </w:rPr>
              <w:t>"Buyer</w:t>
            </w:r>
            <w:r w:rsidRPr="00150EDC">
              <w:rPr>
                <w:b/>
                <w:spacing w:val="-17"/>
                <w:sz w:val="24"/>
              </w:rPr>
              <w:t xml:space="preserve"> </w:t>
            </w:r>
            <w:r w:rsidRPr="00150EDC">
              <w:rPr>
                <w:b/>
                <w:sz w:val="24"/>
              </w:rPr>
              <w:t xml:space="preserve">Authorised </w:t>
            </w:r>
            <w:r w:rsidRPr="00150EDC">
              <w:rPr>
                <w:b/>
                <w:spacing w:val="-2"/>
                <w:sz w:val="24"/>
              </w:rPr>
              <w:t>Representative"</w:t>
            </w:r>
          </w:p>
        </w:tc>
        <w:tc>
          <w:tcPr>
            <w:tcW w:w="7484" w:type="dxa"/>
          </w:tcPr>
          <w:p w14:paraId="66DA5CB4" w14:textId="77777777" w:rsidR="004C7180" w:rsidRPr="00150EDC" w:rsidRDefault="00CF0754">
            <w:pPr>
              <w:pStyle w:val="TableParagraph"/>
              <w:spacing w:before="0" w:line="240" w:lineRule="auto"/>
              <w:ind w:left="107"/>
              <w:rPr>
                <w:sz w:val="24"/>
              </w:rPr>
            </w:pPr>
            <w:r w:rsidRPr="00150EDC">
              <w:rPr>
                <w:sz w:val="24"/>
              </w:rPr>
              <w:t>the</w:t>
            </w:r>
            <w:r w:rsidRPr="00150EDC">
              <w:rPr>
                <w:spacing w:val="-17"/>
                <w:sz w:val="24"/>
              </w:rPr>
              <w:t xml:space="preserve"> </w:t>
            </w:r>
            <w:r w:rsidRPr="00150EDC">
              <w:rPr>
                <w:sz w:val="24"/>
              </w:rPr>
              <w:t>representative</w:t>
            </w:r>
            <w:r w:rsidRPr="00150EDC">
              <w:rPr>
                <w:spacing w:val="-17"/>
                <w:sz w:val="24"/>
              </w:rPr>
              <w:t xml:space="preserve"> </w:t>
            </w:r>
            <w:r w:rsidRPr="00150EDC">
              <w:rPr>
                <w:sz w:val="24"/>
              </w:rPr>
              <w:t>appointed</w:t>
            </w:r>
            <w:r w:rsidRPr="00150EDC">
              <w:rPr>
                <w:spacing w:val="-16"/>
                <w:sz w:val="24"/>
              </w:rPr>
              <w:t xml:space="preserve"> </w:t>
            </w:r>
            <w:r w:rsidRPr="00150EDC">
              <w:rPr>
                <w:sz w:val="24"/>
              </w:rPr>
              <w:t>by</w:t>
            </w:r>
            <w:r w:rsidRPr="00150EDC">
              <w:rPr>
                <w:spacing w:val="-17"/>
                <w:sz w:val="24"/>
              </w:rPr>
              <w:t xml:space="preserve"> </w:t>
            </w:r>
            <w:r w:rsidRPr="00150EDC">
              <w:rPr>
                <w:sz w:val="24"/>
              </w:rPr>
              <w:t>the</w:t>
            </w:r>
            <w:r w:rsidRPr="00150EDC">
              <w:rPr>
                <w:spacing w:val="-17"/>
                <w:sz w:val="24"/>
              </w:rPr>
              <w:t xml:space="preserve"> </w:t>
            </w:r>
            <w:r w:rsidRPr="00150EDC">
              <w:rPr>
                <w:sz w:val="24"/>
              </w:rPr>
              <w:t>Buyer</w:t>
            </w:r>
            <w:r w:rsidRPr="00150EDC">
              <w:rPr>
                <w:spacing w:val="-17"/>
                <w:sz w:val="24"/>
              </w:rPr>
              <w:t xml:space="preserve"> </w:t>
            </w:r>
            <w:r w:rsidRPr="00150EDC">
              <w:rPr>
                <w:sz w:val="24"/>
              </w:rPr>
              <w:t>from</w:t>
            </w:r>
            <w:r w:rsidRPr="00150EDC">
              <w:rPr>
                <w:spacing w:val="-16"/>
                <w:sz w:val="24"/>
              </w:rPr>
              <w:t xml:space="preserve"> </w:t>
            </w:r>
            <w:r w:rsidRPr="00150EDC">
              <w:rPr>
                <w:sz w:val="24"/>
              </w:rPr>
              <w:t>time</w:t>
            </w:r>
            <w:r w:rsidRPr="00150EDC">
              <w:rPr>
                <w:spacing w:val="-17"/>
                <w:sz w:val="24"/>
              </w:rPr>
              <w:t xml:space="preserve"> </w:t>
            </w:r>
            <w:r w:rsidRPr="00150EDC">
              <w:rPr>
                <w:sz w:val="24"/>
              </w:rPr>
              <w:t>to</w:t>
            </w:r>
            <w:r w:rsidRPr="00150EDC">
              <w:rPr>
                <w:spacing w:val="-17"/>
                <w:sz w:val="24"/>
              </w:rPr>
              <w:t xml:space="preserve"> </w:t>
            </w:r>
            <w:r w:rsidRPr="00150EDC">
              <w:rPr>
                <w:sz w:val="24"/>
              </w:rPr>
              <w:t>time</w:t>
            </w:r>
            <w:r w:rsidRPr="00150EDC">
              <w:rPr>
                <w:spacing w:val="-16"/>
                <w:sz w:val="24"/>
              </w:rPr>
              <w:t xml:space="preserve"> </w:t>
            </w:r>
            <w:r w:rsidRPr="00150EDC">
              <w:rPr>
                <w:sz w:val="24"/>
              </w:rPr>
              <w:t>in</w:t>
            </w:r>
            <w:r w:rsidRPr="00150EDC">
              <w:rPr>
                <w:spacing w:val="-17"/>
                <w:sz w:val="24"/>
              </w:rPr>
              <w:t xml:space="preserve"> </w:t>
            </w:r>
            <w:r w:rsidRPr="00150EDC">
              <w:rPr>
                <w:sz w:val="24"/>
              </w:rPr>
              <w:t>relation to the Order Contract initially identified in the Order Form;</w:t>
            </w:r>
          </w:p>
        </w:tc>
      </w:tr>
      <w:tr w:rsidR="007D3144" w:rsidRPr="007D3144" w14:paraId="7E9019B4" w14:textId="77777777">
        <w:trPr>
          <w:trHeight w:val="3119"/>
        </w:trPr>
        <w:tc>
          <w:tcPr>
            <w:tcW w:w="2264" w:type="dxa"/>
          </w:tcPr>
          <w:p w14:paraId="013FBDF1" w14:textId="77777777" w:rsidR="004C7180" w:rsidRPr="00150EDC" w:rsidRDefault="00CF0754">
            <w:pPr>
              <w:pStyle w:val="TableParagraph"/>
              <w:spacing w:before="0" w:line="240" w:lineRule="auto"/>
              <w:ind w:left="-1"/>
              <w:rPr>
                <w:b/>
                <w:sz w:val="24"/>
              </w:rPr>
            </w:pPr>
            <w:r w:rsidRPr="00150EDC">
              <w:rPr>
                <w:b/>
                <w:sz w:val="24"/>
              </w:rPr>
              <w:t>“Buyer</w:t>
            </w:r>
            <w:r w:rsidRPr="00150EDC">
              <w:rPr>
                <w:b/>
                <w:spacing w:val="-4"/>
                <w:sz w:val="24"/>
              </w:rPr>
              <w:t xml:space="preserve"> </w:t>
            </w:r>
            <w:r w:rsidRPr="00150EDC">
              <w:rPr>
                <w:b/>
                <w:spacing w:val="-2"/>
                <w:sz w:val="24"/>
              </w:rPr>
              <w:t>Data”</w:t>
            </w:r>
          </w:p>
        </w:tc>
        <w:tc>
          <w:tcPr>
            <w:tcW w:w="7484" w:type="dxa"/>
          </w:tcPr>
          <w:p w14:paraId="05666C2B" w14:textId="77777777" w:rsidR="004C7180" w:rsidRPr="00150EDC" w:rsidRDefault="00CF0754">
            <w:pPr>
              <w:pStyle w:val="TableParagraph"/>
              <w:spacing w:before="0" w:line="240" w:lineRule="auto"/>
              <w:ind w:left="107" w:right="102"/>
              <w:jc w:val="both"/>
              <w:rPr>
                <w:sz w:val="24"/>
              </w:rPr>
            </w:pPr>
            <w:r w:rsidRPr="00150EDC">
              <w:rPr>
                <w:sz w:val="24"/>
              </w:rPr>
              <w:t xml:space="preserve">means the data, text, drawings, diagrams, images or sounds (together with any database made up of any of these) which are embodied in any electronic, magnetic, optical or tangible media, including any Buyer’s or End User’s Confidential Information, and </w:t>
            </w:r>
            <w:r w:rsidRPr="00150EDC">
              <w:rPr>
                <w:spacing w:val="-2"/>
                <w:sz w:val="24"/>
              </w:rPr>
              <w:t>which:</w:t>
            </w:r>
          </w:p>
          <w:p w14:paraId="45506824" w14:textId="77777777" w:rsidR="004C7180" w:rsidRPr="00150EDC" w:rsidRDefault="00CF0754" w:rsidP="00B320C7">
            <w:pPr>
              <w:pStyle w:val="TableParagraph"/>
              <w:numPr>
                <w:ilvl w:val="0"/>
                <w:numId w:val="134"/>
              </w:numPr>
              <w:tabs>
                <w:tab w:val="left" w:pos="815"/>
                <w:tab w:val="left" w:pos="825"/>
              </w:tabs>
              <w:spacing w:before="0" w:line="240" w:lineRule="auto"/>
              <w:ind w:right="102" w:hanging="538"/>
              <w:jc w:val="both"/>
              <w:rPr>
                <w:sz w:val="24"/>
              </w:rPr>
            </w:pPr>
            <w:r w:rsidRPr="00150EDC">
              <w:rPr>
                <w:rFonts w:ascii="Times New Roman"/>
                <w:sz w:val="24"/>
              </w:rPr>
              <w:tab/>
            </w:r>
            <w:r w:rsidRPr="00150EDC">
              <w:rPr>
                <w:sz w:val="24"/>
              </w:rPr>
              <w:t>are supplied to the Supplier by or on behalf of the Buyer, or End User; or</w:t>
            </w:r>
          </w:p>
          <w:p w14:paraId="38B80D18" w14:textId="77777777" w:rsidR="004C7180" w:rsidRPr="00150EDC" w:rsidRDefault="00CF0754" w:rsidP="00B320C7">
            <w:pPr>
              <w:pStyle w:val="TableParagraph"/>
              <w:numPr>
                <w:ilvl w:val="0"/>
                <w:numId w:val="134"/>
              </w:numPr>
              <w:tabs>
                <w:tab w:val="left" w:pos="815"/>
                <w:tab w:val="left" w:pos="825"/>
              </w:tabs>
              <w:spacing w:before="120" w:line="240" w:lineRule="auto"/>
              <w:ind w:right="97" w:hanging="538"/>
              <w:jc w:val="both"/>
              <w:rPr>
                <w:sz w:val="24"/>
              </w:rPr>
            </w:pPr>
            <w:r w:rsidRPr="00150EDC">
              <w:rPr>
                <w:rFonts w:ascii="Times New Roman"/>
                <w:sz w:val="24"/>
              </w:rPr>
              <w:tab/>
            </w:r>
            <w:r w:rsidRPr="00150EDC">
              <w:rPr>
                <w:sz w:val="24"/>
              </w:rPr>
              <w:t>the</w:t>
            </w:r>
            <w:r w:rsidRPr="00150EDC">
              <w:rPr>
                <w:spacing w:val="-8"/>
                <w:sz w:val="24"/>
              </w:rPr>
              <w:t xml:space="preserve"> </w:t>
            </w:r>
            <w:r w:rsidRPr="00150EDC">
              <w:rPr>
                <w:sz w:val="24"/>
              </w:rPr>
              <w:t>Supplier</w:t>
            </w:r>
            <w:r w:rsidRPr="00150EDC">
              <w:rPr>
                <w:spacing w:val="-9"/>
                <w:sz w:val="24"/>
              </w:rPr>
              <w:t xml:space="preserve"> </w:t>
            </w:r>
            <w:r w:rsidRPr="00150EDC">
              <w:rPr>
                <w:sz w:val="24"/>
              </w:rPr>
              <w:t>is</w:t>
            </w:r>
            <w:r w:rsidRPr="00150EDC">
              <w:rPr>
                <w:spacing w:val="-9"/>
                <w:sz w:val="24"/>
              </w:rPr>
              <w:t xml:space="preserve"> </w:t>
            </w:r>
            <w:r w:rsidRPr="00150EDC">
              <w:rPr>
                <w:sz w:val="24"/>
              </w:rPr>
              <w:t>required</w:t>
            </w:r>
            <w:r w:rsidRPr="00150EDC">
              <w:rPr>
                <w:spacing w:val="-10"/>
                <w:sz w:val="24"/>
              </w:rPr>
              <w:t xml:space="preserve"> </w:t>
            </w:r>
            <w:r w:rsidRPr="00150EDC">
              <w:rPr>
                <w:sz w:val="24"/>
              </w:rPr>
              <w:t>to</w:t>
            </w:r>
            <w:r w:rsidRPr="00150EDC">
              <w:rPr>
                <w:spacing w:val="-8"/>
                <w:sz w:val="24"/>
              </w:rPr>
              <w:t xml:space="preserve"> </w:t>
            </w:r>
            <w:r w:rsidRPr="00150EDC">
              <w:rPr>
                <w:sz w:val="24"/>
              </w:rPr>
              <w:t>generate,</w:t>
            </w:r>
            <w:r w:rsidRPr="00150EDC">
              <w:rPr>
                <w:spacing w:val="-11"/>
                <w:sz w:val="24"/>
              </w:rPr>
              <w:t xml:space="preserve"> </w:t>
            </w:r>
            <w:r w:rsidRPr="00150EDC">
              <w:rPr>
                <w:sz w:val="24"/>
              </w:rPr>
              <w:t>process,</w:t>
            </w:r>
            <w:r w:rsidRPr="00150EDC">
              <w:rPr>
                <w:spacing w:val="-11"/>
                <w:sz w:val="24"/>
              </w:rPr>
              <w:t xml:space="preserve"> </w:t>
            </w:r>
            <w:r w:rsidRPr="00150EDC">
              <w:rPr>
                <w:sz w:val="24"/>
              </w:rPr>
              <w:t>store</w:t>
            </w:r>
            <w:r w:rsidRPr="00150EDC">
              <w:rPr>
                <w:spacing w:val="-9"/>
                <w:sz w:val="24"/>
              </w:rPr>
              <w:t xml:space="preserve"> </w:t>
            </w:r>
            <w:r w:rsidRPr="00150EDC">
              <w:rPr>
                <w:sz w:val="24"/>
              </w:rPr>
              <w:t>or</w:t>
            </w:r>
            <w:r w:rsidRPr="00150EDC">
              <w:rPr>
                <w:spacing w:val="-9"/>
                <w:sz w:val="24"/>
              </w:rPr>
              <w:t xml:space="preserve"> </w:t>
            </w:r>
            <w:r w:rsidRPr="00150EDC">
              <w:rPr>
                <w:sz w:val="24"/>
              </w:rPr>
              <w:t>transmit pursuant to this Contract; or</w:t>
            </w:r>
          </w:p>
          <w:p w14:paraId="07DB2E69" w14:textId="77777777" w:rsidR="004C7180" w:rsidRPr="00150EDC" w:rsidRDefault="00CF0754">
            <w:pPr>
              <w:pStyle w:val="TableParagraph"/>
              <w:spacing w:before="120" w:line="240" w:lineRule="auto"/>
              <w:ind w:left="107"/>
              <w:jc w:val="both"/>
              <w:rPr>
                <w:sz w:val="24"/>
              </w:rPr>
            </w:pPr>
            <w:r w:rsidRPr="00150EDC">
              <w:rPr>
                <w:sz w:val="24"/>
              </w:rPr>
              <w:t>any</w:t>
            </w:r>
            <w:r w:rsidRPr="00150EDC">
              <w:rPr>
                <w:spacing w:val="-3"/>
                <w:sz w:val="24"/>
              </w:rPr>
              <w:t xml:space="preserve"> </w:t>
            </w:r>
            <w:r w:rsidRPr="00150EDC">
              <w:rPr>
                <w:sz w:val="24"/>
              </w:rPr>
              <w:t>Personal</w:t>
            </w:r>
            <w:r w:rsidRPr="00150EDC">
              <w:rPr>
                <w:spacing w:val="-2"/>
                <w:sz w:val="24"/>
              </w:rPr>
              <w:t xml:space="preserve"> </w:t>
            </w:r>
            <w:r w:rsidRPr="00150EDC">
              <w:rPr>
                <w:sz w:val="24"/>
              </w:rPr>
              <w:t>Data</w:t>
            </w:r>
            <w:r w:rsidRPr="00150EDC">
              <w:rPr>
                <w:spacing w:val="-4"/>
                <w:sz w:val="24"/>
              </w:rPr>
              <w:t xml:space="preserve"> </w:t>
            </w:r>
            <w:r w:rsidRPr="00150EDC">
              <w:rPr>
                <w:sz w:val="24"/>
              </w:rPr>
              <w:t>for</w:t>
            </w:r>
            <w:r w:rsidRPr="00150EDC">
              <w:rPr>
                <w:spacing w:val="-5"/>
                <w:sz w:val="24"/>
              </w:rPr>
              <w:t xml:space="preserve"> </w:t>
            </w:r>
            <w:r w:rsidRPr="00150EDC">
              <w:rPr>
                <w:sz w:val="24"/>
              </w:rPr>
              <w:t>which</w:t>
            </w:r>
            <w:r w:rsidRPr="00150EDC">
              <w:rPr>
                <w:spacing w:val="-2"/>
                <w:sz w:val="24"/>
              </w:rPr>
              <w:t xml:space="preserve"> </w:t>
            </w:r>
            <w:r w:rsidRPr="00150EDC">
              <w:rPr>
                <w:sz w:val="24"/>
              </w:rPr>
              <w:t>the</w:t>
            </w:r>
            <w:r w:rsidRPr="00150EDC">
              <w:rPr>
                <w:spacing w:val="-3"/>
                <w:sz w:val="24"/>
              </w:rPr>
              <w:t xml:space="preserve"> </w:t>
            </w:r>
            <w:r w:rsidRPr="00150EDC">
              <w:rPr>
                <w:sz w:val="24"/>
              </w:rPr>
              <w:t>Buyer</w:t>
            </w:r>
            <w:r w:rsidRPr="00150EDC">
              <w:rPr>
                <w:spacing w:val="-2"/>
                <w:sz w:val="24"/>
              </w:rPr>
              <w:t xml:space="preserve"> </w:t>
            </w:r>
            <w:r w:rsidRPr="00150EDC">
              <w:rPr>
                <w:sz w:val="24"/>
              </w:rPr>
              <w:t>or</w:t>
            </w:r>
            <w:r w:rsidRPr="00150EDC">
              <w:rPr>
                <w:spacing w:val="-3"/>
                <w:sz w:val="24"/>
              </w:rPr>
              <w:t xml:space="preserve"> </w:t>
            </w:r>
            <w:r w:rsidRPr="00150EDC">
              <w:rPr>
                <w:sz w:val="24"/>
              </w:rPr>
              <w:t>End</w:t>
            </w:r>
            <w:r w:rsidRPr="00150EDC">
              <w:rPr>
                <w:spacing w:val="-2"/>
                <w:sz w:val="24"/>
              </w:rPr>
              <w:t xml:space="preserve"> </w:t>
            </w:r>
            <w:r w:rsidRPr="00150EDC">
              <w:rPr>
                <w:sz w:val="24"/>
              </w:rPr>
              <w:t>User</w:t>
            </w:r>
            <w:r w:rsidRPr="00150EDC">
              <w:rPr>
                <w:spacing w:val="-2"/>
                <w:sz w:val="24"/>
              </w:rPr>
              <w:t xml:space="preserve"> </w:t>
            </w:r>
            <w:r w:rsidRPr="00150EDC">
              <w:rPr>
                <w:sz w:val="24"/>
              </w:rPr>
              <w:t>is</w:t>
            </w:r>
            <w:r w:rsidRPr="00150EDC">
              <w:rPr>
                <w:spacing w:val="-3"/>
                <w:sz w:val="24"/>
              </w:rPr>
              <w:t xml:space="preserve"> </w:t>
            </w:r>
            <w:r w:rsidRPr="00150EDC">
              <w:rPr>
                <w:sz w:val="24"/>
              </w:rPr>
              <w:t>the</w:t>
            </w:r>
            <w:r w:rsidRPr="00150EDC">
              <w:rPr>
                <w:spacing w:val="-2"/>
                <w:sz w:val="24"/>
              </w:rPr>
              <w:t xml:space="preserve"> Controller;</w:t>
            </w:r>
          </w:p>
        </w:tc>
      </w:tr>
      <w:tr w:rsidR="007D3144" w:rsidRPr="007D3144" w14:paraId="560C3F69" w14:textId="77777777">
        <w:trPr>
          <w:trHeight w:val="1224"/>
        </w:trPr>
        <w:tc>
          <w:tcPr>
            <w:tcW w:w="2264" w:type="dxa"/>
          </w:tcPr>
          <w:p w14:paraId="79370AFE" w14:textId="77777777" w:rsidR="004C7180" w:rsidRPr="00150EDC" w:rsidRDefault="00CF0754">
            <w:pPr>
              <w:pStyle w:val="TableParagraph"/>
              <w:spacing w:before="1" w:line="240" w:lineRule="auto"/>
              <w:ind w:left="-1"/>
              <w:rPr>
                <w:b/>
                <w:sz w:val="24"/>
              </w:rPr>
            </w:pPr>
            <w:r w:rsidRPr="00150EDC">
              <w:rPr>
                <w:b/>
                <w:sz w:val="24"/>
              </w:rPr>
              <w:t>“Buyer</w:t>
            </w:r>
            <w:r w:rsidRPr="00150EDC">
              <w:rPr>
                <w:b/>
                <w:spacing w:val="-17"/>
                <w:sz w:val="24"/>
              </w:rPr>
              <w:t xml:space="preserve"> </w:t>
            </w:r>
            <w:r w:rsidRPr="00150EDC">
              <w:rPr>
                <w:b/>
                <w:sz w:val="24"/>
              </w:rPr>
              <w:t xml:space="preserve">Existing </w:t>
            </w:r>
            <w:r w:rsidRPr="00150EDC">
              <w:rPr>
                <w:b/>
                <w:spacing w:val="-4"/>
                <w:sz w:val="24"/>
              </w:rPr>
              <w:t>IPR”</w:t>
            </w:r>
          </w:p>
        </w:tc>
        <w:tc>
          <w:tcPr>
            <w:tcW w:w="7484" w:type="dxa"/>
          </w:tcPr>
          <w:p w14:paraId="4FADB52C" w14:textId="77777777" w:rsidR="004C7180" w:rsidRPr="00150EDC" w:rsidRDefault="00CF0754">
            <w:pPr>
              <w:pStyle w:val="TableParagraph"/>
              <w:spacing w:before="1" w:line="240" w:lineRule="auto"/>
              <w:ind w:left="107" w:right="100"/>
              <w:jc w:val="both"/>
              <w:rPr>
                <w:sz w:val="24"/>
              </w:rPr>
            </w:pPr>
            <w:r w:rsidRPr="00150EDC">
              <w:rPr>
                <w:sz w:val="24"/>
              </w:rPr>
              <w:t>means any and all IPR that are owned by or licensed to the Buyer, and</w:t>
            </w:r>
            <w:r w:rsidRPr="00150EDC">
              <w:rPr>
                <w:spacing w:val="-7"/>
                <w:sz w:val="24"/>
              </w:rPr>
              <w:t xml:space="preserve"> </w:t>
            </w:r>
            <w:r w:rsidRPr="00150EDC">
              <w:rPr>
                <w:sz w:val="24"/>
              </w:rPr>
              <w:t>where</w:t>
            </w:r>
            <w:r w:rsidRPr="00150EDC">
              <w:rPr>
                <w:spacing w:val="-7"/>
                <w:sz w:val="24"/>
              </w:rPr>
              <w:t xml:space="preserve"> </w:t>
            </w:r>
            <w:r w:rsidRPr="00150EDC">
              <w:rPr>
                <w:sz w:val="24"/>
              </w:rPr>
              <w:t>the</w:t>
            </w:r>
            <w:r w:rsidRPr="00150EDC">
              <w:rPr>
                <w:spacing w:val="-7"/>
                <w:sz w:val="24"/>
              </w:rPr>
              <w:t xml:space="preserve"> </w:t>
            </w:r>
            <w:r w:rsidRPr="00150EDC">
              <w:rPr>
                <w:sz w:val="24"/>
              </w:rPr>
              <w:t>Buyer</w:t>
            </w:r>
            <w:r w:rsidRPr="00150EDC">
              <w:rPr>
                <w:spacing w:val="-8"/>
                <w:sz w:val="24"/>
              </w:rPr>
              <w:t xml:space="preserve"> </w:t>
            </w:r>
            <w:r w:rsidRPr="00150EDC">
              <w:rPr>
                <w:sz w:val="24"/>
              </w:rPr>
              <w:t>is</w:t>
            </w:r>
            <w:r w:rsidRPr="00150EDC">
              <w:rPr>
                <w:spacing w:val="-11"/>
                <w:sz w:val="24"/>
              </w:rPr>
              <w:t xml:space="preserve"> </w:t>
            </w:r>
            <w:r w:rsidRPr="00150EDC">
              <w:rPr>
                <w:sz w:val="24"/>
              </w:rPr>
              <w:t>a</w:t>
            </w:r>
            <w:r w:rsidRPr="00150EDC">
              <w:rPr>
                <w:spacing w:val="-7"/>
                <w:sz w:val="24"/>
              </w:rPr>
              <w:t xml:space="preserve"> </w:t>
            </w:r>
            <w:r w:rsidRPr="00150EDC">
              <w:rPr>
                <w:sz w:val="24"/>
              </w:rPr>
              <w:t>Central</w:t>
            </w:r>
            <w:r w:rsidRPr="00150EDC">
              <w:rPr>
                <w:spacing w:val="-8"/>
                <w:sz w:val="24"/>
              </w:rPr>
              <w:t xml:space="preserve"> </w:t>
            </w:r>
            <w:r w:rsidRPr="00150EDC">
              <w:rPr>
                <w:sz w:val="24"/>
              </w:rPr>
              <w:t>Government</w:t>
            </w:r>
            <w:r w:rsidRPr="00150EDC">
              <w:rPr>
                <w:spacing w:val="-10"/>
                <w:sz w:val="24"/>
              </w:rPr>
              <w:t xml:space="preserve"> </w:t>
            </w:r>
            <w:r w:rsidRPr="00150EDC">
              <w:rPr>
                <w:sz w:val="24"/>
              </w:rPr>
              <w:t>Body,</w:t>
            </w:r>
            <w:r w:rsidRPr="00150EDC">
              <w:rPr>
                <w:spacing w:val="-7"/>
                <w:sz w:val="24"/>
              </w:rPr>
              <w:t xml:space="preserve"> </w:t>
            </w:r>
            <w:r w:rsidRPr="00150EDC">
              <w:rPr>
                <w:sz w:val="24"/>
              </w:rPr>
              <w:t>any</w:t>
            </w:r>
            <w:r w:rsidRPr="00150EDC">
              <w:rPr>
                <w:spacing w:val="-8"/>
                <w:sz w:val="24"/>
              </w:rPr>
              <w:t xml:space="preserve"> </w:t>
            </w:r>
            <w:r w:rsidRPr="00150EDC">
              <w:rPr>
                <w:sz w:val="24"/>
              </w:rPr>
              <w:t>Crown</w:t>
            </w:r>
            <w:r w:rsidRPr="00150EDC">
              <w:rPr>
                <w:spacing w:val="-7"/>
                <w:sz w:val="24"/>
              </w:rPr>
              <w:t xml:space="preserve"> </w:t>
            </w:r>
            <w:r w:rsidRPr="00150EDC">
              <w:rPr>
                <w:sz w:val="24"/>
              </w:rPr>
              <w:t>IPR, and</w:t>
            </w:r>
            <w:r w:rsidRPr="00150EDC">
              <w:rPr>
                <w:spacing w:val="-11"/>
                <w:sz w:val="24"/>
              </w:rPr>
              <w:t xml:space="preserve"> </w:t>
            </w:r>
            <w:r w:rsidRPr="00150EDC">
              <w:rPr>
                <w:sz w:val="24"/>
              </w:rPr>
              <w:t>which</w:t>
            </w:r>
            <w:r w:rsidRPr="00150EDC">
              <w:rPr>
                <w:spacing w:val="-11"/>
                <w:sz w:val="24"/>
              </w:rPr>
              <w:t xml:space="preserve"> </w:t>
            </w:r>
            <w:r w:rsidRPr="00150EDC">
              <w:rPr>
                <w:sz w:val="24"/>
              </w:rPr>
              <w:t>are</w:t>
            </w:r>
            <w:r w:rsidRPr="00150EDC">
              <w:rPr>
                <w:spacing w:val="-14"/>
                <w:sz w:val="24"/>
              </w:rPr>
              <w:t xml:space="preserve"> </w:t>
            </w:r>
            <w:r w:rsidRPr="00150EDC">
              <w:rPr>
                <w:sz w:val="24"/>
              </w:rPr>
              <w:t>or</w:t>
            </w:r>
            <w:r w:rsidRPr="00150EDC">
              <w:rPr>
                <w:spacing w:val="-13"/>
                <w:sz w:val="24"/>
              </w:rPr>
              <w:t xml:space="preserve"> </w:t>
            </w:r>
            <w:r w:rsidRPr="00150EDC">
              <w:rPr>
                <w:sz w:val="24"/>
              </w:rPr>
              <w:t>have</w:t>
            </w:r>
            <w:r w:rsidRPr="00150EDC">
              <w:rPr>
                <w:spacing w:val="-14"/>
                <w:sz w:val="24"/>
              </w:rPr>
              <w:t xml:space="preserve"> </w:t>
            </w:r>
            <w:r w:rsidRPr="00150EDC">
              <w:rPr>
                <w:sz w:val="24"/>
              </w:rPr>
              <w:t>been</w:t>
            </w:r>
            <w:r w:rsidRPr="00150EDC">
              <w:rPr>
                <w:spacing w:val="-11"/>
                <w:sz w:val="24"/>
              </w:rPr>
              <w:t xml:space="preserve"> </w:t>
            </w:r>
            <w:r w:rsidRPr="00150EDC">
              <w:rPr>
                <w:sz w:val="24"/>
              </w:rPr>
              <w:t>developed</w:t>
            </w:r>
            <w:r w:rsidRPr="00150EDC">
              <w:rPr>
                <w:spacing w:val="-11"/>
                <w:sz w:val="24"/>
              </w:rPr>
              <w:t xml:space="preserve"> </w:t>
            </w:r>
            <w:r w:rsidRPr="00150EDC">
              <w:rPr>
                <w:sz w:val="24"/>
              </w:rPr>
              <w:t>independently</w:t>
            </w:r>
            <w:r w:rsidRPr="00150EDC">
              <w:rPr>
                <w:spacing w:val="-12"/>
                <w:sz w:val="24"/>
              </w:rPr>
              <w:t xml:space="preserve"> </w:t>
            </w:r>
            <w:r w:rsidRPr="00150EDC">
              <w:rPr>
                <w:sz w:val="24"/>
              </w:rPr>
              <w:t>of</w:t>
            </w:r>
            <w:r w:rsidRPr="00150EDC">
              <w:rPr>
                <w:spacing w:val="-12"/>
                <w:sz w:val="24"/>
              </w:rPr>
              <w:t xml:space="preserve"> </w:t>
            </w:r>
            <w:r w:rsidRPr="00150EDC">
              <w:rPr>
                <w:sz w:val="24"/>
              </w:rPr>
              <w:t>the</w:t>
            </w:r>
            <w:r w:rsidRPr="00150EDC">
              <w:rPr>
                <w:spacing w:val="-11"/>
                <w:sz w:val="24"/>
              </w:rPr>
              <w:t xml:space="preserve"> </w:t>
            </w:r>
            <w:r w:rsidRPr="00150EDC">
              <w:rPr>
                <w:sz w:val="24"/>
              </w:rPr>
              <w:t>Contract (whether prior to the Start Date or otherwise);</w:t>
            </w:r>
          </w:p>
        </w:tc>
      </w:tr>
      <w:tr w:rsidR="007D3144" w:rsidRPr="007D3144" w14:paraId="7E1CB3C8" w14:textId="77777777">
        <w:trPr>
          <w:trHeight w:val="947"/>
        </w:trPr>
        <w:tc>
          <w:tcPr>
            <w:tcW w:w="2264" w:type="dxa"/>
          </w:tcPr>
          <w:p w14:paraId="2EE98499" w14:textId="77777777" w:rsidR="004C7180" w:rsidRPr="00150EDC" w:rsidRDefault="00CF0754">
            <w:pPr>
              <w:pStyle w:val="TableParagraph"/>
              <w:spacing w:before="0" w:line="240" w:lineRule="auto"/>
              <w:ind w:left="-1"/>
              <w:rPr>
                <w:b/>
                <w:sz w:val="24"/>
              </w:rPr>
            </w:pPr>
            <w:r w:rsidRPr="00150EDC">
              <w:rPr>
                <w:b/>
                <w:sz w:val="24"/>
              </w:rPr>
              <w:t>"Buyer</w:t>
            </w:r>
            <w:r w:rsidRPr="00150EDC">
              <w:rPr>
                <w:b/>
                <w:spacing w:val="-7"/>
                <w:sz w:val="24"/>
              </w:rPr>
              <w:t xml:space="preserve"> </w:t>
            </w:r>
            <w:r w:rsidRPr="00150EDC">
              <w:rPr>
                <w:b/>
                <w:spacing w:val="-2"/>
                <w:sz w:val="24"/>
              </w:rPr>
              <w:t>Premises"</w:t>
            </w:r>
          </w:p>
        </w:tc>
        <w:tc>
          <w:tcPr>
            <w:tcW w:w="7484" w:type="dxa"/>
          </w:tcPr>
          <w:p w14:paraId="4F90B92C" w14:textId="77777777" w:rsidR="004C7180" w:rsidRPr="00150EDC" w:rsidRDefault="00CF0754">
            <w:pPr>
              <w:pStyle w:val="TableParagraph"/>
              <w:spacing w:before="0" w:line="240" w:lineRule="auto"/>
              <w:ind w:left="107" w:right="101"/>
              <w:jc w:val="both"/>
              <w:rPr>
                <w:sz w:val="24"/>
              </w:rPr>
            </w:pPr>
            <w:r w:rsidRPr="00150EDC">
              <w:rPr>
                <w:sz w:val="24"/>
              </w:rPr>
              <w:t>premises</w:t>
            </w:r>
            <w:r w:rsidRPr="00150EDC">
              <w:rPr>
                <w:spacing w:val="-17"/>
                <w:sz w:val="24"/>
              </w:rPr>
              <w:t xml:space="preserve"> </w:t>
            </w:r>
            <w:r w:rsidRPr="00150EDC">
              <w:rPr>
                <w:sz w:val="24"/>
              </w:rPr>
              <w:t>owned,</w:t>
            </w:r>
            <w:r w:rsidRPr="00150EDC">
              <w:rPr>
                <w:spacing w:val="-17"/>
                <w:sz w:val="24"/>
              </w:rPr>
              <w:t xml:space="preserve"> </w:t>
            </w:r>
            <w:r w:rsidRPr="00150EDC">
              <w:rPr>
                <w:sz w:val="24"/>
              </w:rPr>
              <w:t>controlled</w:t>
            </w:r>
            <w:r w:rsidRPr="00150EDC">
              <w:rPr>
                <w:spacing w:val="-16"/>
                <w:sz w:val="24"/>
              </w:rPr>
              <w:t xml:space="preserve"> </w:t>
            </w:r>
            <w:r w:rsidRPr="00150EDC">
              <w:rPr>
                <w:sz w:val="24"/>
              </w:rPr>
              <w:t>or</w:t>
            </w:r>
            <w:r w:rsidRPr="00150EDC">
              <w:rPr>
                <w:spacing w:val="-17"/>
                <w:sz w:val="24"/>
              </w:rPr>
              <w:t xml:space="preserve"> </w:t>
            </w:r>
            <w:r w:rsidRPr="00150EDC">
              <w:rPr>
                <w:sz w:val="24"/>
              </w:rPr>
              <w:t>occupied</w:t>
            </w:r>
            <w:r w:rsidRPr="00150EDC">
              <w:rPr>
                <w:spacing w:val="-17"/>
                <w:sz w:val="24"/>
              </w:rPr>
              <w:t xml:space="preserve"> </w:t>
            </w:r>
            <w:r w:rsidRPr="00150EDC">
              <w:rPr>
                <w:sz w:val="24"/>
              </w:rPr>
              <w:t>by</w:t>
            </w:r>
            <w:r w:rsidRPr="00150EDC">
              <w:rPr>
                <w:spacing w:val="-17"/>
                <w:sz w:val="24"/>
              </w:rPr>
              <w:t xml:space="preserve"> </w:t>
            </w:r>
            <w:r w:rsidRPr="00150EDC">
              <w:rPr>
                <w:sz w:val="24"/>
              </w:rPr>
              <w:t>the</w:t>
            </w:r>
            <w:r w:rsidRPr="00150EDC">
              <w:rPr>
                <w:spacing w:val="-16"/>
                <w:sz w:val="24"/>
              </w:rPr>
              <w:t xml:space="preserve"> </w:t>
            </w:r>
            <w:r w:rsidRPr="00150EDC">
              <w:rPr>
                <w:sz w:val="24"/>
              </w:rPr>
              <w:t>Buyer</w:t>
            </w:r>
            <w:r w:rsidRPr="00150EDC">
              <w:rPr>
                <w:spacing w:val="-17"/>
                <w:sz w:val="24"/>
              </w:rPr>
              <w:t xml:space="preserve"> </w:t>
            </w:r>
            <w:r w:rsidRPr="00150EDC">
              <w:rPr>
                <w:sz w:val="24"/>
              </w:rPr>
              <w:t>which</w:t>
            </w:r>
            <w:r w:rsidRPr="00150EDC">
              <w:rPr>
                <w:spacing w:val="-17"/>
                <w:sz w:val="24"/>
              </w:rPr>
              <w:t xml:space="preserve"> </w:t>
            </w:r>
            <w:r w:rsidRPr="00150EDC">
              <w:rPr>
                <w:sz w:val="24"/>
              </w:rPr>
              <w:t>are</w:t>
            </w:r>
            <w:r w:rsidRPr="00150EDC">
              <w:rPr>
                <w:spacing w:val="-16"/>
                <w:sz w:val="24"/>
              </w:rPr>
              <w:t xml:space="preserve"> </w:t>
            </w:r>
            <w:r w:rsidRPr="00150EDC">
              <w:rPr>
                <w:sz w:val="24"/>
              </w:rPr>
              <w:t>made available for use by the Supplier or its Subcontractors for the provision of the Deliverables (or any of them);</w:t>
            </w:r>
          </w:p>
        </w:tc>
      </w:tr>
      <w:tr w:rsidR="007D3144" w:rsidRPr="007D3144" w14:paraId="4D8F68AC" w14:textId="77777777">
        <w:trPr>
          <w:trHeight w:val="551"/>
        </w:trPr>
        <w:tc>
          <w:tcPr>
            <w:tcW w:w="2264" w:type="dxa"/>
          </w:tcPr>
          <w:p w14:paraId="2E2A07F4" w14:textId="77777777" w:rsidR="004C7180" w:rsidRPr="00150EDC" w:rsidRDefault="00CF0754">
            <w:pPr>
              <w:pStyle w:val="TableParagraph"/>
              <w:spacing w:before="0" w:line="240" w:lineRule="auto"/>
              <w:ind w:left="-1"/>
              <w:rPr>
                <w:b/>
                <w:sz w:val="24"/>
              </w:rPr>
            </w:pPr>
            <w:r w:rsidRPr="00150EDC">
              <w:rPr>
                <w:b/>
                <w:spacing w:val="-2"/>
                <w:sz w:val="24"/>
              </w:rPr>
              <w:t>"CCS"</w:t>
            </w:r>
          </w:p>
        </w:tc>
        <w:tc>
          <w:tcPr>
            <w:tcW w:w="7484" w:type="dxa"/>
          </w:tcPr>
          <w:p w14:paraId="1D7FDEB4" w14:textId="77777777" w:rsidR="004C7180" w:rsidRPr="00150EDC" w:rsidRDefault="00CF0754">
            <w:pPr>
              <w:pStyle w:val="TableParagraph"/>
              <w:spacing w:before="0" w:line="270" w:lineRule="atLeast"/>
              <w:ind w:left="107"/>
              <w:rPr>
                <w:sz w:val="24"/>
              </w:rPr>
            </w:pPr>
            <w:r w:rsidRPr="00150EDC">
              <w:rPr>
                <w:sz w:val="24"/>
              </w:rPr>
              <w:t>the</w:t>
            </w:r>
            <w:r w:rsidRPr="00150EDC">
              <w:rPr>
                <w:spacing w:val="80"/>
                <w:sz w:val="24"/>
              </w:rPr>
              <w:t xml:space="preserve"> </w:t>
            </w:r>
            <w:r w:rsidRPr="00150EDC">
              <w:rPr>
                <w:sz w:val="24"/>
              </w:rPr>
              <w:t>Minister</w:t>
            </w:r>
            <w:r w:rsidRPr="00150EDC">
              <w:rPr>
                <w:spacing w:val="80"/>
                <w:sz w:val="24"/>
              </w:rPr>
              <w:t xml:space="preserve"> </w:t>
            </w:r>
            <w:r w:rsidRPr="00150EDC">
              <w:rPr>
                <w:sz w:val="24"/>
              </w:rPr>
              <w:t>for</w:t>
            </w:r>
            <w:r w:rsidRPr="00150EDC">
              <w:rPr>
                <w:spacing w:val="80"/>
                <w:sz w:val="24"/>
              </w:rPr>
              <w:t xml:space="preserve"> </w:t>
            </w:r>
            <w:r w:rsidRPr="00150EDC">
              <w:rPr>
                <w:sz w:val="24"/>
              </w:rPr>
              <w:t>the</w:t>
            </w:r>
            <w:r w:rsidRPr="00150EDC">
              <w:rPr>
                <w:spacing w:val="80"/>
                <w:sz w:val="24"/>
              </w:rPr>
              <w:t xml:space="preserve"> </w:t>
            </w:r>
            <w:r w:rsidRPr="00150EDC">
              <w:rPr>
                <w:sz w:val="24"/>
              </w:rPr>
              <w:t>Cabinet</w:t>
            </w:r>
            <w:r w:rsidRPr="00150EDC">
              <w:rPr>
                <w:spacing w:val="80"/>
                <w:sz w:val="24"/>
              </w:rPr>
              <w:t xml:space="preserve"> </w:t>
            </w:r>
            <w:r w:rsidRPr="00150EDC">
              <w:rPr>
                <w:sz w:val="24"/>
              </w:rPr>
              <w:t>Office</w:t>
            </w:r>
            <w:r w:rsidRPr="00150EDC">
              <w:rPr>
                <w:spacing w:val="80"/>
                <w:sz w:val="24"/>
              </w:rPr>
              <w:t xml:space="preserve"> </w:t>
            </w:r>
            <w:r w:rsidRPr="00150EDC">
              <w:rPr>
                <w:sz w:val="24"/>
              </w:rPr>
              <w:t>as</w:t>
            </w:r>
            <w:r w:rsidRPr="00150EDC">
              <w:rPr>
                <w:spacing w:val="80"/>
                <w:sz w:val="24"/>
              </w:rPr>
              <w:t xml:space="preserve"> </w:t>
            </w:r>
            <w:r w:rsidRPr="00150EDC">
              <w:rPr>
                <w:sz w:val="24"/>
              </w:rPr>
              <w:t>represented</w:t>
            </w:r>
            <w:r w:rsidRPr="00150EDC">
              <w:rPr>
                <w:spacing w:val="80"/>
                <w:sz w:val="24"/>
              </w:rPr>
              <w:t xml:space="preserve"> </w:t>
            </w:r>
            <w:r w:rsidRPr="00150EDC">
              <w:rPr>
                <w:sz w:val="24"/>
              </w:rPr>
              <w:t>by</w:t>
            </w:r>
            <w:r w:rsidRPr="00150EDC">
              <w:rPr>
                <w:spacing w:val="80"/>
                <w:sz w:val="24"/>
              </w:rPr>
              <w:t xml:space="preserve"> </w:t>
            </w:r>
            <w:r w:rsidRPr="00150EDC">
              <w:rPr>
                <w:sz w:val="24"/>
              </w:rPr>
              <w:t>Crown Commercial</w:t>
            </w:r>
            <w:r w:rsidRPr="00150EDC">
              <w:rPr>
                <w:spacing w:val="4"/>
                <w:sz w:val="24"/>
              </w:rPr>
              <w:t xml:space="preserve"> </w:t>
            </w:r>
            <w:r w:rsidRPr="00150EDC">
              <w:rPr>
                <w:sz w:val="24"/>
              </w:rPr>
              <w:t>Service,</w:t>
            </w:r>
            <w:r w:rsidRPr="00150EDC">
              <w:rPr>
                <w:spacing w:val="4"/>
                <w:sz w:val="24"/>
              </w:rPr>
              <w:t xml:space="preserve"> </w:t>
            </w:r>
            <w:r w:rsidRPr="00150EDC">
              <w:rPr>
                <w:sz w:val="24"/>
              </w:rPr>
              <w:t>which</w:t>
            </w:r>
            <w:r w:rsidRPr="00150EDC">
              <w:rPr>
                <w:spacing w:val="7"/>
                <w:sz w:val="24"/>
              </w:rPr>
              <w:t xml:space="preserve"> </w:t>
            </w:r>
            <w:r w:rsidRPr="00150EDC">
              <w:rPr>
                <w:sz w:val="24"/>
              </w:rPr>
              <w:t>is</w:t>
            </w:r>
            <w:r w:rsidRPr="00150EDC">
              <w:rPr>
                <w:spacing w:val="6"/>
                <w:sz w:val="24"/>
              </w:rPr>
              <w:t xml:space="preserve"> </w:t>
            </w:r>
            <w:r w:rsidRPr="00150EDC">
              <w:rPr>
                <w:sz w:val="24"/>
              </w:rPr>
              <w:t>an</w:t>
            </w:r>
            <w:r w:rsidRPr="00150EDC">
              <w:rPr>
                <w:spacing w:val="6"/>
                <w:sz w:val="24"/>
              </w:rPr>
              <w:t xml:space="preserve"> </w:t>
            </w:r>
            <w:r w:rsidRPr="00150EDC">
              <w:rPr>
                <w:sz w:val="24"/>
              </w:rPr>
              <w:t>executive</w:t>
            </w:r>
            <w:r w:rsidRPr="00150EDC">
              <w:rPr>
                <w:spacing w:val="5"/>
                <w:sz w:val="24"/>
              </w:rPr>
              <w:t xml:space="preserve"> </w:t>
            </w:r>
            <w:r w:rsidRPr="00150EDC">
              <w:rPr>
                <w:sz w:val="24"/>
              </w:rPr>
              <w:t>agency</w:t>
            </w:r>
            <w:r w:rsidRPr="00150EDC">
              <w:rPr>
                <w:spacing w:val="6"/>
                <w:sz w:val="24"/>
              </w:rPr>
              <w:t xml:space="preserve"> </w:t>
            </w:r>
            <w:r w:rsidRPr="00150EDC">
              <w:rPr>
                <w:sz w:val="24"/>
              </w:rPr>
              <w:t>and</w:t>
            </w:r>
            <w:r w:rsidRPr="00150EDC">
              <w:rPr>
                <w:spacing w:val="7"/>
                <w:sz w:val="24"/>
              </w:rPr>
              <w:t xml:space="preserve"> </w:t>
            </w:r>
            <w:r w:rsidRPr="00150EDC">
              <w:rPr>
                <w:sz w:val="24"/>
              </w:rPr>
              <w:t>operates</w:t>
            </w:r>
            <w:r w:rsidRPr="00150EDC">
              <w:rPr>
                <w:spacing w:val="5"/>
                <w:sz w:val="24"/>
              </w:rPr>
              <w:t xml:space="preserve"> </w:t>
            </w:r>
            <w:r w:rsidRPr="00150EDC">
              <w:rPr>
                <w:spacing w:val="-5"/>
                <w:sz w:val="24"/>
              </w:rPr>
              <w:t>as</w:t>
            </w:r>
          </w:p>
        </w:tc>
      </w:tr>
    </w:tbl>
    <w:p w14:paraId="11AF5AB1" w14:textId="77777777" w:rsidR="004C7180" w:rsidRPr="00150EDC" w:rsidRDefault="004C7180">
      <w:pPr>
        <w:spacing w:line="270" w:lineRule="atLeast"/>
        <w:rPr>
          <w:sz w:val="24"/>
        </w:rPr>
        <w:sectPr w:rsidR="004C7180" w:rsidRPr="00150EDC">
          <w:pgSz w:w="11910" w:h="16840"/>
          <w:pgMar w:top="1160" w:right="0" w:bottom="1460" w:left="40" w:header="715" w:footer="1208" w:gutter="0"/>
          <w:cols w:space="720"/>
        </w:sectPr>
      </w:pPr>
    </w:p>
    <w:p w14:paraId="0F36E15D" w14:textId="77777777" w:rsidR="004C7180" w:rsidRPr="00150EDC" w:rsidRDefault="004C7180">
      <w:pPr>
        <w:pStyle w:val="BodyText"/>
        <w:spacing w:before="7"/>
        <w:rPr>
          <w:sz w:val="23"/>
        </w:rPr>
      </w:pPr>
    </w:p>
    <w:tbl>
      <w:tblPr>
        <w:tblW w:w="0" w:type="auto"/>
        <w:tblInd w:w="1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4"/>
        <w:gridCol w:w="7484"/>
      </w:tblGrid>
      <w:tr w:rsidR="007D3144" w:rsidRPr="007D3144" w14:paraId="6908C24D" w14:textId="77777777">
        <w:trPr>
          <w:trHeight w:val="672"/>
        </w:trPr>
        <w:tc>
          <w:tcPr>
            <w:tcW w:w="2264" w:type="dxa"/>
          </w:tcPr>
          <w:p w14:paraId="477074F1" w14:textId="77777777" w:rsidR="004C7180" w:rsidRPr="00150EDC" w:rsidRDefault="004C7180">
            <w:pPr>
              <w:pStyle w:val="TableParagraph"/>
              <w:spacing w:before="0" w:line="240" w:lineRule="auto"/>
              <w:ind w:left="0"/>
              <w:rPr>
                <w:rFonts w:ascii="Times New Roman"/>
              </w:rPr>
            </w:pPr>
          </w:p>
        </w:tc>
        <w:tc>
          <w:tcPr>
            <w:tcW w:w="7484" w:type="dxa"/>
          </w:tcPr>
          <w:p w14:paraId="40431851" w14:textId="77777777" w:rsidR="004C7180" w:rsidRPr="00150EDC" w:rsidRDefault="00CF0754">
            <w:pPr>
              <w:pStyle w:val="TableParagraph"/>
              <w:spacing w:before="0" w:line="240" w:lineRule="auto"/>
              <w:ind w:left="107"/>
              <w:rPr>
                <w:sz w:val="24"/>
              </w:rPr>
            </w:pPr>
            <w:r w:rsidRPr="00150EDC">
              <w:rPr>
                <w:sz w:val="24"/>
              </w:rPr>
              <w:t>a</w:t>
            </w:r>
            <w:r w:rsidRPr="00150EDC">
              <w:rPr>
                <w:spacing w:val="-1"/>
                <w:sz w:val="24"/>
              </w:rPr>
              <w:t xml:space="preserve"> </w:t>
            </w:r>
            <w:r w:rsidRPr="00150EDC">
              <w:rPr>
                <w:sz w:val="24"/>
              </w:rPr>
              <w:t>trading</w:t>
            </w:r>
            <w:r w:rsidRPr="00150EDC">
              <w:rPr>
                <w:spacing w:val="-1"/>
                <w:sz w:val="24"/>
              </w:rPr>
              <w:t xml:space="preserve"> </w:t>
            </w:r>
            <w:r w:rsidRPr="00150EDC">
              <w:rPr>
                <w:sz w:val="24"/>
              </w:rPr>
              <w:t>fund</w:t>
            </w:r>
            <w:r w:rsidRPr="00150EDC">
              <w:rPr>
                <w:spacing w:val="-1"/>
                <w:sz w:val="24"/>
              </w:rPr>
              <w:t xml:space="preserve"> </w:t>
            </w:r>
            <w:r w:rsidRPr="00150EDC">
              <w:rPr>
                <w:sz w:val="24"/>
              </w:rPr>
              <w:t>of</w:t>
            </w:r>
            <w:r w:rsidRPr="00150EDC">
              <w:rPr>
                <w:spacing w:val="-1"/>
                <w:sz w:val="24"/>
              </w:rPr>
              <w:t xml:space="preserve"> </w:t>
            </w:r>
            <w:r w:rsidRPr="00150EDC">
              <w:rPr>
                <w:sz w:val="24"/>
              </w:rPr>
              <w:t>the</w:t>
            </w:r>
            <w:r w:rsidRPr="00150EDC">
              <w:rPr>
                <w:spacing w:val="-1"/>
                <w:sz w:val="24"/>
              </w:rPr>
              <w:t xml:space="preserve"> </w:t>
            </w:r>
            <w:r w:rsidRPr="00150EDC">
              <w:rPr>
                <w:sz w:val="24"/>
              </w:rPr>
              <w:t>Cabinet</w:t>
            </w:r>
            <w:r w:rsidRPr="00150EDC">
              <w:rPr>
                <w:spacing w:val="-1"/>
                <w:sz w:val="24"/>
              </w:rPr>
              <w:t xml:space="preserve"> </w:t>
            </w:r>
            <w:r w:rsidRPr="00150EDC">
              <w:rPr>
                <w:sz w:val="24"/>
              </w:rPr>
              <w:t>Office,</w:t>
            </w:r>
            <w:r w:rsidRPr="00150EDC">
              <w:rPr>
                <w:spacing w:val="-1"/>
                <w:sz w:val="24"/>
              </w:rPr>
              <w:t xml:space="preserve"> </w:t>
            </w:r>
            <w:r w:rsidRPr="00150EDC">
              <w:rPr>
                <w:sz w:val="24"/>
              </w:rPr>
              <w:t>whose</w:t>
            </w:r>
            <w:r w:rsidRPr="00150EDC">
              <w:rPr>
                <w:spacing w:val="-3"/>
                <w:sz w:val="24"/>
              </w:rPr>
              <w:t xml:space="preserve"> </w:t>
            </w:r>
            <w:r w:rsidRPr="00150EDC">
              <w:rPr>
                <w:sz w:val="24"/>
              </w:rPr>
              <w:t>offices</w:t>
            </w:r>
            <w:r w:rsidRPr="00150EDC">
              <w:rPr>
                <w:spacing w:val="-1"/>
                <w:sz w:val="24"/>
              </w:rPr>
              <w:t xml:space="preserve"> </w:t>
            </w:r>
            <w:r w:rsidRPr="00150EDC">
              <w:rPr>
                <w:sz w:val="24"/>
              </w:rPr>
              <w:t>are</w:t>
            </w:r>
            <w:r w:rsidRPr="00150EDC">
              <w:rPr>
                <w:spacing w:val="-2"/>
                <w:sz w:val="24"/>
              </w:rPr>
              <w:t xml:space="preserve"> </w:t>
            </w:r>
            <w:r w:rsidRPr="00150EDC">
              <w:rPr>
                <w:sz w:val="24"/>
              </w:rPr>
              <w:t>located</w:t>
            </w:r>
            <w:r w:rsidRPr="00150EDC">
              <w:rPr>
                <w:spacing w:val="-3"/>
                <w:sz w:val="24"/>
              </w:rPr>
              <w:t xml:space="preserve"> </w:t>
            </w:r>
            <w:r w:rsidRPr="00150EDC">
              <w:rPr>
                <w:sz w:val="24"/>
              </w:rPr>
              <w:t>at</w:t>
            </w:r>
            <w:r w:rsidRPr="00150EDC">
              <w:rPr>
                <w:spacing w:val="-1"/>
                <w:sz w:val="24"/>
              </w:rPr>
              <w:t xml:space="preserve"> </w:t>
            </w:r>
            <w:r w:rsidRPr="00150EDC">
              <w:rPr>
                <w:sz w:val="24"/>
              </w:rPr>
              <w:t>9th Floor, The Capital, Old Hall Street, Liverpool L3 9PP;</w:t>
            </w:r>
          </w:p>
        </w:tc>
      </w:tr>
      <w:tr w:rsidR="007D3144" w:rsidRPr="007D3144" w14:paraId="05E06937" w14:textId="77777777">
        <w:trPr>
          <w:trHeight w:val="947"/>
        </w:trPr>
        <w:tc>
          <w:tcPr>
            <w:tcW w:w="2264" w:type="dxa"/>
          </w:tcPr>
          <w:p w14:paraId="1012ECE0" w14:textId="77777777" w:rsidR="004C7180" w:rsidRPr="00150EDC" w:rsidRDefault="00CF0754">
            <w:pPr>
              <w:pStyle w:val="TableParagraph"/>
              <w:spacing w:before="0" w:line="240" w:lineRule="auto"/>
              <w:ind w:left="-1" w:right="298"/>
              <w:rPr>
                <w:b/>
                <w:sz w:val="24"/>
              </w:rPr>
            </w:pPr>
            <w:r w:rsidRPr="00150EDC">
              <w:rPr>
                <w:b/>
                <w:sz w:val="24"/>
              </w:rPr>
              <w:t>"CCS</w:t>
            </w:r>
            <w:r w:rsidRPr="00150EDC">
              <w:rPr>
                <w:b/>
                <w:spacing w:val="-17"/>
                <w:sz w:val="24"/>
              </w:rPr>
              <w:t xml:space="preserve"> </w:t>
            </w:r>
            <w:r w:rsidRPr="00150EDC">
              <w:rPr>
                <w:b/>
                <w:sz w:val="24"/>
              </w:rPr>
              <w:t xml:space="preserve">Authorised </w:t>
            </w:r>
            <w:r w:rsidRPr="00150EDC">
              <w:rPr>
                <w:b/>
                <w:spacing w:val="-2"/>
                <w:sz w:val="24"/>
              </w:rPr>
              <w:t>Representative"</w:t>
            </w:r>
          </w:p>
        </w:tc>
        <w:tc>
          <w:tcPr>
            <w:tcW w:w="7484" w:type="dxa"/>
          </w:tcPr>
          <w:p w14:paraId="41160C3D" w14:textId="77777777" w:rsidR="004C7180" w:rsidRPr="00150EDC" w:rsidRDefault="00CF0754">
            <w:pPr>
              <w:pStyle w:val="TableParagraph"/>
              <w:spacing w:before="0" w:line="240" w:lineRule="auto"/>
              <w:ind w:left="107" w:right="99"/>
              <w:jc w:val="both"/>
              <w:rPr>
                <w:sz w:val="24"/>
              </w:rPr>
            </w:pPr>
            <w:r w:rsidRPr="00150EDC">
              <w:rPr>
                <w:sz w:val="24"/>
              </w:rPr>
              <w:t>the representative appointed by CCS from time to time in relation to the</w:t>
            </w:r>
            <w:r w:rsidRPr="00150EDC">
              <w:rPr>
                <w:spacing w:val="-17"/>
                <w:sz w:val="24"/>
              </w:rPr>
              <w:t xml:space="preserve"> </w:t>
            </w:r>
            <w:r w:rsidRPr="00150EDC">
              <w:rPr>
                <w:sz w:val="24"/>
              </w:rPr>
              <w:t>DPS</w:t>
            </w:r>
            <w:r w:rsidRPr="00150EDC">
              <w:rPr>
                <w:spacing w:val="-17"/>
                <w:sz w:val="24"/>
              </w:rPr>
              <w:t xml:space="preserve"> </w:t>
            </w:r>
            <w:r w:rsidRPr="00150EDC">
              <w:rPr>
                <w:sz w:val="24"/>
              </w:rPr>
              <w:t>Contract</w:t>
            </w:r>
            <w:r w:rsidRPr="00150EDC">
              <w:rPr>
                <w:spacing w:val="-16"/>
                <w:sz w:val="24"/>
              </w:rPr>
              <w:t xml:space="preserve"> </w:t>
            </w:r>
            <w:r w:rsidRPr="00150EDC">
              <w:rPr>
                <w:sz w:val="24"/>
              </w:rPr>
              <w:t>initially</w:t>
            </w:r>
            <w:r w:rsidRPr="00150EDC">
              <w:rPr>
                <w:spacing w:val="-17"/>
                <w:sz w:val="24"/>
              </w:rPr>
              <w:t xml:space="preserve"> </w:t>
            </w:r>
            <w:r w:rsidRPr="00150EDC">
              <w:rPr>
                <w:sz w:val="24"/>
              </w:rPr>
              <w:t>identified</w:t>
            </w:r>
            <w:r w:rsidRPr="00150EDC">
              <w:rPr>
                <w:spacing w:val="-17"/>
                <w:sz w:val="24"/>
              </w:rPr>
              <w:t xml:space="preserve"> </w:t>
            </w:r>
            <w:r w:rsidRPr="00150EDC">
              <w:rPr>
                <w:sz w:val="24"/>
              </w:rPr>
              <w:t>in</w:t>
            </w:r>
            <w:r w:rsidRPr="00150EDC">
              <w:rPr>
                <w:spacing w:val="-17"/>
                <w:sz w:val="24"/>
              </w:rPr>
              <w:t xml:space="preserve"> </w:t>
            </w:r>
            <w:r w:rsidRPr="00150EDC">
              <w:rPr>
                <w:sz w:val="24"/>
              </w:rPr>
              <w:t>the</w:t>
            </w:r>
            <w:r w:rsidRPr="00150EDC">
              <w:rPr>
                <w:spacing w:val="-16"/>
                <w:sz w:val="24"/>
              </w:rPr>
              <w:t xml:space="preserve"> </w:t>
            </w:r>
            <w:r w:rsidRPr="00150EDC">
              <w:rPr>
                <w:sz w:val="24"/>
              </w:rPr>
              <w:t>DPS</w:t>
            </w:r>
            <w:r w:rsidRPr="00150EDC">
              <w:rPr>
                <w:spacing w:val="-17"/>
                <w:sz w:val="24"/>
              </w:rPr>
              <w:t xml:space="preserve"> </w:t>
            </w:r>
            <w:r w:rsidRPr="00150EDC">
              <w:rPr>
                <w:sz w:val="24"/>
              </w:rPr>
              <w:t>Appointment</w:t>
            </w:r>
            <w:r w:rsidRPr="00150EDC">
              <w:rPr>
                <w:spacing w:val="-17"/>
                <w:sz w:val="24"/>
              </w:rPr>
              <w:t xml:space="preserve"> </w:t>
            </w:r>
            <w:r w:rsidRPr="00150EDC">
              <w:rPr>
                <w:sz w:val="24"/>
              </w:rPr>
              <w:t>Form</w:t>
            </w:r>
            <w:r w:rsidRPr="00150EDC">
              <w:rPr>
                <w:spacing w:val="-16"/>
                <w:sz w:val="24"/>
              </w:rPr>
              <w:t xml:space="preserve"> </w:t>
            </w:r>
            <w:r w:rsidRPr="00150EDC">
              <w:rPr>
                <w:sz w:val="24"/>
              </w:rPr>
              <w:t>and subsequently on the Platform;</w:t>
            </w:r>
          </w:p>
        </w:tc>
      </w:tr>
      <w:tr w:rsidR="007D3144" w:rsidRPr="007D3144" w14:paraId="168BAECC" w14:textId="77777777">
        <w:trPr>
          <w:trHeight w:val="3084"/>
        </w:trPr>
        <w:tc>
          <w:tcPr>
            <w:tcW w:w="2264" w:type="dxa"/>
          </w:tcPr>
          <w:p w14:paraId="0D31096C" w14:textId="77777777" w:rsidR="004C7180" w:rsidRPr="00150EDC" w:rsidRDefault="00CF0754">
            <w:pPr>
              <w:pStyle w:val="TableParagraph"/>
              <w:spacing w:before="0" w:line="240" w:lineRule="auto"/>
              <w:ind w:left="-1" w:right="298"/>
              <w:rPr>
                <w:b/>
                <w:sz w:val="24"/>
              </w:rPr>
            </w:pPr>
            <w:r w:rsidRPr="00150EDC">
              <w:rPr>
                <w:b/>
                <w:spacing w:val="-2"/>
                <w:sz w:val="24"/>
              </w:rPr>
              <w:t>"Central Government Body"</w:t>
            </w:r>
          </w:p>
        </w:tc>
        <w:tc>
          <w:tcPr>
            <w:tcW w:w="7484" w:type="dxa"/>
          </w:tcPr>
          <w:p w14:paraId="2D432EAE" w14:textId="77777777" w:rsidR="004C7180" w:rsidRPr="00150EDC" w:rsidRDefault="00CF0754">
            <w:pPr>
              <w:pStyle w:val="TableParagraph"/>
              <w:spacing w:before="0" w:line="240" w:lineRule="auto"/>
              <w:ind w:left="107" w:right="94"/>
              <w:jc w:val="both"/>
              <w:rPr>
                <w:sz w:val="24"/>
              </w:rPr>
            </w:pPr>
            <w:r w:rsidRPr="00150EDC">
              <w:rPr>
                <w:sz w:val="24"/>
              </w:rPr>
              <w:t>a body listed in one of the following sub-categories of the Central Government classification of the Public Sector Classification Guide, as</w:t>
            </w:r>
            <w:r w:rsidRPr="00150EDC">
              <w:rPr>
                <w:spacing w:val="-17"/>
                <w:sz w:val="24"/>
              </w:rPr>
              <w:t xml:space="preserve"> </w:t>
            </w:r>
            <w:r w:rsidRPr="00150EDC">
              <w:rPr>
                <w:sz w:val="24"/>
              </w:rPr>
              <w:t>published</w:t>
            </w:r>
            <w:r w:rsidRPr="00150EDC">
              <w:rPr>
                <w:spacing w:val="-17"/>
                <w:sz w:val="24"/>
              </w:rPr>
              <w:t xml:space="preserve"> </w:t>
            </w:r>
            <w:r w:rsidRPr="00150EDC">
              <w:rPr>
                <w:sz w:val="24"/>
              </w:rPr>
              <w:t>and</w:t>
            </w:r>
            <w:r w:rsidRPr="00150EDC">
              <w:rPr>
                <w:spacing w:val="-16"/>
                <w:sz w:val="24"/>
              </w:rPr>
              <w:t xml:space="preserve"> </w:t>
            </w:r>
            <w:r w:rsidRPr="00150EDC">
              <w:rPr>
                <w:sz w:val="24"/>
              </w:rPr>
              <w:t>amended</w:t>
            </w:r>
            <w:r w:rsidRPr="00150EDC">
              <w:rPr>
                <w:spacing w:val="-17"/>
                <w:sz w:val="24"/>
              </w:rPr>
              <w:t xml:space="preserve"> </w:t>
            </w:r>
            <w:r w:rsidRPr="00150EDC">
              <w:rPr>
                <w:sz w:val="24"/>
              </w:rPr>
              <w:t>from</w:t>
            </w:r>
            <w:r w:rsidRPr="00150EDC">
              <w:rPr>
                <w:spacing w:val="-17"/>
                <w:sz w:val="24"/>
              </w:rPr>
              <w:t xml:space="preserve"> </w:t>
            </w:r>
            <w:r w:rsidRPr="00150EDC">
              <w:rPr>
                <w:sz w:val="24"/>
              </w:rPr>
              <w:t>time</w:t>
            </w:r>
            <w:r w:rsidRPr="00150EDC">
              <w:rPr>
                <w:spacing w:val="-17"/>
                <w:sz w:val="24"/>
              </w:rPr>
              <w:t xml:space="preserve"> </w:t>
            </w:r>
            <w:r w:rsidRPr="00150EDC">
              <w:rPr>
                <w:sz w:val="24"/>
              </w:rPr>
              <w:t>to</w:t>
            </w:r>
            <w:r w:rsidRPr="00150EDC">
              <w:rPr>
                <w:spacing w:val="-16"/>
                <w:sz w:val="24"/>
              </w:rPr>
              <w:t xml:space="preserve"> </w:t>
            </w:r>
            <w:r w:rsidRPr="00150EDC">
              <w:rPr>
                <w:sz w:val="24"/>
              </w:rPr>
              <w:t>time</w:t>
            </w:r>
            <w:r w:rsidRPr="00150EDC">
              <w:rPr>
                <w:spacing w:val="-17"/>
                <w:sz w:val="24"/>
              </w:rPr>
              <w:t xml:space="preserve"> </w:t>
            </w:r>
            <w:r w:rsidRPr="00150EDC">
              <w:rPr>
                <w:sz w:val="24"/>
              </w:rPr>
              <w:t>by</w:t>
            </w:r>
            <w:r w:rsidRPr="00150EDC">
              <w:rPr>
                <w:spacing w:val="-17"/>
                <w:sz w:val="24"/>
              </w:rPr>
              <w:t xml:space="preserve"> </w:t>
            </w:r>
            <w:r w:rsidRPr="00150EDC">
              <w:rPr>
                <w:sz w:val="24"/>
              </w:rPr>
              <w:t>the</w:t>
            </w:r>
            <w:r w:rsidRPr="00150EDC">
              <w:rPr>
                <w:spacing w:val="-16"/>
                <w:sz w:val="24"/>
              </w:rPr>
              <w:t xml:space="preserve"> </w:t>
            </w:r>
            <w:r w:rsidRPr="00150EDC">
              <w:rPr>
                <w:sz w:val="24"/>
              </w:rPr>
              <w:t>Office</w:t>
            </w:r>
            <w:r w:rsidRPr="00150EDC">
              <w:rPr>
                <w:spacing w:val="-17"/>
                <w:sz w:val="24"/>
              </w:rPr>
              <w:t xml:space="preserve"> </w:t>
            </w:r>
            <w:r w:rsidRPr="00150EDC">
              <w:rPr>
                <w:sz w:val="24"/>
              </w:rPr>
              <w:t>for</w:t>
            </w:r>
            <w:r w:rsidRPr="00150EDC">
              <w:rPr>
                <w:spacing w:val="-17"/>
                <w:sz w:val="24"/>
              </w:rPr>
              <w:t xml:space="preserve"> </w:t>
            </w:r>
            <w:r w:rsidRPr="00150EDC">
              <w:rPr>
                <w:sz w:val="24"/>
              </w:rPr>
              <w:t xml:space="preserve">National </w:t>
            </w:r>
            <w:r w:rsidRPr="00150EDC">
              <w:rPr>
                <w:spacing w:val="-2"/>
                <w:sz w:val="24"/>
              </w:rPr>
              <w:t>Statistics:</w:t>
            </w:r>
          </w:p>
          <w:p w14:paraId="056296C4" w14:textId="77777777" w:rsidR="004C7180" w:rsidRPr="00150EDC" w:rsidRDefault="00CF0754" w:rsidP="00B320C7">
            <w:pPr>
              <w:pStyle w:val="TableParagraph"/>
              <w:numPr>
                <w:ilvl w:val="0"/>
                <w:numId w:val="133"/>
              </w:numPr>
              <w:tabs>
                <w:tab w:val="left" w:pos="796"/>
              </w:tabs>
              <w:spacing w:before="120" w:line="240" w:lineRule="auto"/>
              <w:rPr>
                <w:sz w:val="24"/>
              </w:rPr>
            </w:pPr>
            <w:r w:rsidRPr="00150EDC">
              <w:rPr>
                <w:sz w:val="24"/>
              </w:rPr>
              <w:t>Government</w:t>
            </w:r>
            <w:r w:rsidRPr="00150EDC">
              <w:rPr>
                <w:spacing w:val="-6"/>
                <w:sz w:val="24"/>
              </w:rPr>
              <w:t xml:space="preserve"> </w:t>
            </w:r>
            <w:r w:rsidRPr="00150EDC">
              <w:rPr>
                <w:spacing w:val="-2"/>
                <w:sz w:val="24"/>
              </w:rPr>
              <w:t>Department;</w:t>
            </w:r>
          </w:p>
          <w:p w14:paraId="323E909B" w14:textId="77777777" w:rsidR="004C7180" w:rsidRPr="00150EDC" w:rsidRDefault="00CF0754" w:rsidP="00B320C7">
            <w:pPr>
              <w:pStyle w:val="TableParagraph"/>
              <w:numPr>
                <w:ilvl w:val="0"/>
                <w:numId w:val="133"/>
              </w:numPr>
              <w:tabs>
                <w:tab w:val="left" w:pos="537"/>
                <w:tab w:val="left" w:pos="539"/>
              </w:tabs>
              <w:spacing w:before="120" w:line="240" w:lineRule="auto"/>
              <w:ind w:left="539" w:right="101" w:hanging="288"/>
              <w:rPr>
                <w:sz w:val="24"/>
              </w:rPr>
            </w:pPr>
            <w:r w:rsidRPr="00150EDC">
              <w:rPr>
                <w:sz w:val="24"/>
              </w:rPr>
              <w:t>Non-Departmental Public Body or Assembly Sponsored Public Body (advisory, executive, or tribunal);</w:t>
            </w:r>
          </w:p>
          <w:p w14:paraId="253E5504" w14:textId="77777777" w:rsidR="004C7180" w:rsidRPr="00150EDC" w:rsidRDefault="00CF0754" w:rsidP="00B320C7">
            <w:pPr>
              <w:pStyle w:val="TableParagraph"/>
              <w:numPr>
                <w:ilvl w:val="0"/>
                <w:numId w:val="133"/>
              </w:numPr>
              <w:tabs>
                <w:tab w:val="left" w:pos="796"/>
              </w:tabs>
              <w:spacing w:before="121" w:line="240" w:lineRule="auto"/>
              <w:rPr>
                <w:sz w:val="24"/>
              </w:rPr>
            </w:pPr>
            <w:r w:rsidRPr="00150EDC">
              <w:rPr>
                <w:spacing w:val="-2"/>
                <w:sz w:val="24"/>
              </w:rPr>
              <w:t>Non-Ministerial</w:t>
            </w:r>
            <w:r w:rsidRPr="00150EDC">
              <w:rPr>
                <w:spacing w:val="3"/>
                <w:sz w:val="24"/>
              </w:rPr>
              <w:t xml:space="preserve"> </w:t>
            </w:r>
            <w:r w:rsidRPr="00150EDC">
              <w:rPr>
                <w:spacing w:val="-2"/>
                <w:sz w:val="24"/>
              </w:rPr>
              <w:t>Department;</w:t>
            </w:r>
            <w:r w:rsidRPr="00150EDC">
              <w:rPr>
                <w:spacing w:val="5"/>
                <w:sz w:val="24"/>
              </w:rPr>
              <w:t xml:space="preserve"> </w:t>
            </w:r>
            <w:r w:rsidRPr="00150EDC">
              <w:rPr>
                <w:spacing w:val="-5"/>
                <w:sz w:val="24"/>
              </w:rPr>
              <w:t>or</w:t>
            </w:r>
          </w:p>
          <w:p w14:paraId="63503199" w14:textId="77777777" w:rsidR="004C7180" w:rsidRPr="00150EDC" w:rsidRDefault="00CF0754" w:rsidP="00B320C7">
            <w:pPr>
              <w:pStyle w:val="TableParagraph"/>
              <w:numPr>
                <w:ilvl w:val="0"/>
                <w:numId w:val="133"/>
              </w:numPr>
              <w:tabs>
                <w:tab w:val="left" w:pos="796"/>
              </w:tabs>
              <w:spacing w:before="120" w:line="240" w:lineRule="auto"/>
              <w:rPr>
                <w:sz w:val="24"/>
              </w:rPr>
            </w:pPr>
            <w:r w:rsidRPr="00150EDC">
              <w:rPr>
                <w:spacing w:val="-2"/>
                <w:sz w:val="24"/>
              </w:rPr>
              <w:t>Executive</w:t>
            </w:r>
            <w:r w:rsidRPr="00150EDC">
              <w:rPr>
                <w:spacing w:val="-1"/>
                <w:sz w:val="24"/>
              </w:rPr>
              <w:t xml:space="preserve"> </w:t>
            </w:r>
            <w:r w:rsidRPr="00150EDC">
              <w:rPr>
                <w:spacing w:val="-2"/>
                <w:sz w:val="24"/>
              </w:rPr>
              <w:t>Agency;</w:t>
            </w:r>
          </w:p>
        </w:tc>
      </w:tr>
      <w:tr w:rsidR="007D3144" w:rsidRPr="007D3144" w14:paraId="40CDC915" w14:textId="77777777">
        <w:trPr>
          <w:trHeight w:val="950"/>
        </w:trPr>
        <w:tc>
          <w:tcPr>
            <w:tcW w:w="2264" w:type="dxa"/>
          </w:tcPr>
          <w:p w14:paraId="07BD9763" w14:textId="77777777" w:rsidR="004C7180" w:rsidRPr="00150EDC" w:rsidRDefault="00CF0754">
            <w:pPr>
              <w:pStyle w:val="TableParagraph"/>
              <w:spacing w:before="2" w:line="240" w:lineRule="auto"/>
              <w:ind w:left="-1"/>
              <w:rPr>
                <w:b/>
                <w:sz w:val="24"/>
              </w:rPr>
            </w:pPr>
            <w:r w:rsidRPr="00150EDC">
              <w:rPr>
                <w:b/>
                <w:sz w:val="24"/>
              </w:rPr>
              <w:t>"Change</w:t>
            </w:r>
            <w:r w:rsidRPr="00150EDC">
              <w:rPr>
                <w:b/>
                <w:spacing w:val="-5"/>
                <w:sz w:val="24"/>
              </w:rPr>
              <w:t xml:space="preserve"> </w:t>
            </w:r>
            <w:r w:rsidRPr="00150EDC">
              <w:rPr>
                <w:b/>
                <w:sz w:val="24"/>
              </w:rPr>
              <w:t>in</w:t>
            </w:r>
            <w:r w:rsidRPr="00150EDC">
              <w:rPr>
                <w:b/>
                <w:spacing w:val="-4"/>
                <w:sz w:val="24"/>
              </w:rPr>
              <w:t xml:space="preserve"> Law"</w:t>
            </w:r>
          </w:p>
        </w:tc>
        <w:tc>
          <w:tcPr>
            <w:tcW w:w="7484" w:type="dxa"/>
          </w:tcPr>
          <w:p w14:paraId="0F656B30" w14:textId="77777777" w:rsidR="004C7180" w:rsidRPr="00150EDC" w:rsidRDefault="00CF0754">
            <w:pPr>
              <w:pStyle w:val="TableParagraph"/>
              <w:spacing w:before="2" w:line="240" w:lineRule="auto"/>
              <w:ind w:left="107" w:right="102"/>
              <w:jc w:val="both"/>
              <w:rPr>
                <w:sz w:val="24"/>
              </w:rPr>
            </w:pPr>
            <w:r w:rsidRPr="00150EDC">
              <w:rPr>
                <w:sz w:val="24"/>
              </w:rPr>
              <w:t>any change in Law which impacts on the supply of the Deliverables and performance of the Contract which comes into force after the Start Date;</w:t>
            </w:r>
          </w:p>
        </w:tc>
      </w:tr>
      <w:tr w:rsidR="007D3144" w:rsidRPr="007D3144" w14:paraId="30B07D2A" w14:textId="77777777">
        <w:trPr>
          <w:trHeight w:val="671"/>
        </w:trPr>
        <w:tc>
          <w:tcPr>
            <w:tcW w:w="2264" w:type="dxa"/>
          </w:tcPr>
          <w:p w14:paraId="31A810C2" w14:textId="77777777" w:rsidR="004C7180" w:rsidRPr="00150EDC" w:rsidRDefault="00CF0754">
            <w:pPr>
              <w:pStyle w:val="TableParagraph"/>
              <w:spacing w:before="0" w:line="240" w:lineRule="auto"/>
              <w:ind w:left="-1" w:right="964"/>
              <w:rPr>
                <w:b/>
                <w:sz w:val="24"/>
              </w:rPr>
            </w:pPr>
            <w:r w:rsidRPr="00150EDC">
              <w:rPr>
                <w:b/>
                <w:sz w:val="24"/>
              </w:rPr>
              <w:t>"Change</w:t>
            </w:r>
            <w:r w:rsidRPr="00150EDC">
              <w:rPr>
                <w:b/>
                <w:spacing w:val="-17"/>
                <w:sz w:val="24"/>
              </w:rPr>
              <w:t xml:space="preserve"> </w:t>
            </w:r>
            <w:r w:rsidRPr="00150EDC">
              <w:rPr>
                <w:b/>
                <w:sz w:val="24"/>
              </w:rPr>
              <w:t xml:space="preserve">of </w:t>
            </w:r>
            <w:r w:rsidRPr="00150EDC">
              <w:rPr>
                <w:b/>
                <w:spacing w:val="-2"/>
                <w:sz w:val="24"/>
              </w:rPr>
              <w:t>Control"</w:t>
            </w:r>
          </w:p>
        </w:tc>
        <w:tc>
          <w:tcPr>
            <w:tcW w:w="7484" w:type="dxa"/>
          </w:tcPr>
          <w:p w14:paraId="1797AC0F" w14:textId="77777777" w:rsidR="004C7180" w:rsidRPr="00150EDC" w:rsidRDefault="00CF0754">
            <w:pPr>
              <w:pStyle w:val="TableParagraph"/>
              <w:spacing w:before="0" w:line="240" w:lineRule="auto"/>
              <w:ind w:left="107"/>
              <w:rPr>
                <w:sz w:val="24"/>
              </w:rPr>
            </w:pPr>
            <w:r w:rsidRPr="00150EDC">
              <w:rPr>
                <w:sz w:val="24"/>
              </w:rPr>
              <w:t>a</w:t>
            </w:r>
            <w:r w:rsidRPr="00150EDC">
              <w:rPr>
                <w:spacing w:val="78"/>
                <w:sz w:val="24"/>
              </w:rPr>
              <w:t xml:space="preserve"> </w:t>
            </w:r>
            <w:r w:rsidRPr="00150EDC">
              <w:rPr>
                <w:sz w:val="24"/>
              </w:rPr>
              <w:t>change</w:t>
            </w:r>
            <w:r w:rsidRPr="00150EDC">
              <w:rPr>
                <w:spacing w:val="76"/>
                <w:sz w:val="24"/>
              </w:rPr>
              <w:t xml:space="preserve"> </w:t>
            </w:r>
            <w:r w:rsidRPr="00150EDC">
              <w:rPr>
                <w:sz w:val="24"/>
              </w:rPr>
              <w:t>of</w:t>
            </w:r>
            <w:r w:rsidRPr="00150EDC">
              <w:rPr>
                <w:spacing w:val="78"/>
                <w:sz w:val="24"/>
              </w:rPr>
              <w:t xml:space="preserve"> </w:t>
            </w:r>
            <w:r w:rsidRPr="00150EDC">
              <w:rPr>
                <w:sz w:val="24"/>
              </w:rPr>
              <w:t>control</w:t>
            </w:r>
            <w:r w:rsidRPr="00150EDC">
              <w:rPr>
                <w:spacing w:val="72"/>
                <w:sz w:val="24"/>
              </w:rPr>
              <w:t xml:space="preserve"> </w:t>
            </w:r>
            <w:r w:rsidRPr="00150EDC">
              <w:rPr>
                <w:sz w:val="24"/>
              </w:rPr>
              <w:t>within</w:t>
            </w:r>
            <w:r w:rsidRPr="00150EDC">
              <w:rPr>
                <w:spacing w:val="78"/>
                <w:sz w:val="24"/>
              </w:rPr>
              <w:t xml:space="preserve"> </w:t>
            </w:r>
            <w:r w:rsidRPr="00150EDC">
              <w:rPr>
                <w:sz w:val="24"/>
              </w:rPr>
              <w:t>the</w:t>
            </w:r>
            <w:r w:rsidRPr="00150EDC">
              <w:rPr>
                <w:spacing w:val="76"/>
                <w:sz w:val="24"/>
              </w:rPr>
              <w:t xml:space="preserve"> </w:t>
            </w:r>
            <w:r w:rsidRPr="00150EDC">
              <w:rPr>
                <w:sz w:val="24"/>
              </w:rPr>
              <w:t>meaning</w:t>
            </w:r>
            <w:r w:rsidRPr="00150EDC">
              <w:rPr>
                <w:spacing w:val="76"/>
                <w:sz w:val="24"/>
              </w:rPr>
              <w:t xml:space="preserve"> </w:t>
            </w:r>
            <w:r w:rsidRPr="00150EDC">
              <w:rPr>
                <w:sz w:val="24"/>
              </w:rPr>
              <w:t>of</w:t>
            </w:r>
            <w:r w:rsidRPr="00150EDC">
              <w:rPr>
                <w:spacing w:val="78"/>
                <w:sz w:val="24"/>
              </w:rPr>
              <w:t xml:space="preserve"> </w:t>
            </w:r>
            <w:r w:rsidRPr="00150EDC">
              <w:rPr>
                <w:sz w:val="24"/>
              </w:rPr>
              <w:t>Section</w:t>
            </w:r>
            <w:r w:rsidRPr="00150EDC">
              <w:rPr>
                <w:spacing w:val="76"/>
                <w:sz w:val="24"/>
              </w:rPr>
              <w:t xml:space="preserve"> </w:t>
            </w:r>
            <w:r w:rsidRPr="00150EDC">
              <w:rPr>
                <w:sz w:val="24"/>
              </w:rPr>
              <w:t>450</w:t>
            </w:r>
            <w:r w:rsidRPr="00150EDC">
              <w:rPr>
                <w:spacing w:val="76"/>
                <w:sz w:val="24"/>
              </w:rPr>
              <w:t xml:space="preserve"> </w:t>
            </w:r>
            <w:r w:rsidRPr="00150EDC">
              <w:rPr>
                <w:sz w:val="24"/>
              </w:rPr>
              <w:t>of</w:t>
            </w:r>
            <w:r w:rsidRPr="00150EDC">
              <w:rPr>
                <w:spacing w:val="76"/>
                <w:sz w:val="24"/>
              </w:rPr>
              <w:t xml:space="preserve"> </w:t>
            </w:r>
            <w:r w:rsidRPr="00150EDC">
              <w:rPr>
                <w:sz w:val="24"/>
              </w:rPr>
              <w:t>the Corporation Tax Act 2010;</w:t>
            </w:r>
          </w:p>
        </w:tc>
      </w:tr>
      <w:tr w:rsidR="007D3144" w:rsidRPr="007D3144" w14:paraId="1C4314D5" w14:textId="77777777">
        <w:trPr>
          <w:trHeight w:val="1224"/>
        </w:trPr>
        <w:tc>
          <w:tcPr>
            <w:tcW w:w="2264" w:type="dxa"/>
          </w:tcPr>
          <w:p w14:paraId="7DBE7332" w14:textId="77777777" w:rsidR="004C7180" w:rsidRPr="00150EDC" w:rsidRDefault="00CF0754">
            <w:pPr>
              <w:pStyle w:val="TableParagraph"/>
              <w:spacing w:before="0" w:line="240" w:lineRule="auto"/>
              <w:ind w:left="-1"/>
              <w:rPr>
                <w:b/>
                <w:sz w:val="24"/>
              </w:rPr>
            </w:pPr>
            <w:r w:rsidRPr="00150EDC">
              <w:rPr>
                <w:b/>
                <w:spacing w:val="-2"/>
                <w:sz w:val="24"/>
              </w:rPr>
              <w:t>"Charges"</w:t>
            </w:r>
          </w:p>
        </w:tc>
        <w:tc>
          <w:tcPr>
            <w:tcW w:w="7484" w:type="dxa"/>
          </w:tcPr>
          <w:p w14:paraId="0E56352F" w14:textId="77777777" w:rsidR="004C7180" w:rsidRPr="00150EDC" w:rsidRDefault="00CF0754">
            <w:pPr>
              <w:pStyle w:val="TableParagraph"/>
              <w:spacing w:before="0" w:line="240" w:lineRule="auto"/>
              <w:ind w:left="251" w:right="99"/>
              <w:jc w:val="both"/>
              <w:rPr>
                <w:sz w:val="24"/>
              </w:rPr>
            </w:pPr>
            <w:r w:rsidRPr="00150EDC">
              <w:rPr>
                <w:sz w:val="24"/>
              </w:rPr>
              <w:t>the</w:t>
            </w:r>
            <w:r w:rsidRPr="00150EDC">
              <w:rPr>
                <w:spacing w:val="-17"/>
                <w:sz w:val="24"/>
              </w:rPr>
              <w:t xml:space="preserve"> </w:t>
            </w:r>
            <w:r w:rsidRPr="00150EDC">
              <w:rPr>
                <w:sz w:val="24"/>
              </w:rPr>
              <w:t>prices</w:t>
            </w:r>
            <w:r w:rsidRPr="00150EDC">
              <w:rPr>
                <w:spacing w:val="-16"/>
                <w:sz w:val="24"/>
              </w:rPr>
              <w:t xml:space="preserve"> </w:t>
            </w:r>
            <w:r w:rsidRPr="00150EDC">
              <w:rPr>
                <w:sz w:val="24"/>
              </w:rPr>
              <w:t>(exclusive</w:t>
            </w:r>
            <w:r w:rsidRPr="00150EDC">
              <w:rPr>
                <w:spacing w:val="-16"/>
                <w:sz w:val="24"/>
              </w:rPr>
              <w:t xml:space="preserve"> </w:t>
            </w:r>
            <w:r w:rsidRPr="00150EDC">
              <w:rPr>
                <w:sz w:val="24"/>
              </w:rPr>
              <w:t>of</w:t>
            </w:r>
            <w:r w:rsidRPr="00150EDC">
              <w:rPr>
                <w:spacing w:val="-17"/>
                <w:sz w:val="24"/>
              </w:rPr>
              <w:t xml:space="preserve"> </w:t>
            </w:r>
            <w:r w:rsidRPr="00150EDC">
              <w:rPr>
                <w:sz w:val="24"/>
              </w:rPr>
              <w:t>any</w:t>
            </w:r>
            <w:r w:rsidRPr="00150EDC">
              <w:rPr>
                <w:spacing w:val="-17"/>
                <w:sz w:val="24"/>
              </w:rPr>
              <w:t xml:space="preserve"> </w:t>
            </w:r>
            <w:r w:rsidRPr="00150EDC">
              <w:rPr>
                <w:sz w:val="24"/>
              </w:rPr>
              <w:t>applicable</w:t>
            </w:r>
            <w:r w:rsidRPr="00150EDC">
              <w:rPr>
                <w:spacing w:val="-15"/>
                <w:sz w:val="24"/>
              </w:rPr>
              <w:t xml:space="preserve"> </w:t>
            </w:r>
            <w:r w:rsidRPr="00150EDC">
              <w:rPr>
                <w:sz w:val="24"/>
              </w:rPr>
              <w:t>VAT),</w:t>
            </w:r>
            <w:r w:rsidRPr="00150EDC">
              <w:rPr>
                <w:spacing w:val="-15"/>
                <w:sz w:val="24"/>
              </w:rPr>
              <w:t xml:space="preserve"> </w:t>
            </w:r>
            <w:r w:rsidRPr="00150EDC">
              <w:rPr>
                <w:sz w:val="24"/>
              </w:rPr>
              <w:t>payable</w:t>
            </w:r>
            <w:r w:rsidRPr="00150EDC">
              <w:rPr>
                <w:spacing w:val="-17"/>
                <w:sz w:val="24"/>
              </w:rPr>
              <w:t xml:space="preserve"> </w:t>
            </w:r>
            <w:r w:rsidRPr="00150EDC">
              <w:rPr>
                <w:sz w:val="24"/>
              </w:rPr>
              <w:t>to</w:t>
            </w:r>
            <w:r w:rsidRPr="00150EDC">
              <w:rPr>
                <w:spacing w:val="-16"/>
                <w:sz w:val="24"/>
              </w:rPr>
              <w:t xml:space="preserve"> </w:t>
            </w:r>
            <w:r w:rsidRPr="00150EDC">
              <w:rPr>
                <w:sz w:val="24"/>
              </w:rPr>
              <w:t>the</w:t>
            </w:r>
            <w:r w:rsidRPr="00150EDC">
              <w:rPr>
                <w:spacing w:val="-17"/>
                <w:sz w:val="24"/>
              </w:rPr>
              <w:t xml:space="preserve"> </w:t>
            </w:r>
            <w:r w:rsidRPr="00150EDC">
              <w:rPr>
                <w:sz w:val="24"/>
              </w:rPr>
              <w:t>Supplier by</w:t>
            </w:r>
            <w:r w:rsidRPr="00150EDC">
              <w:rPr>
                <w:spacing w:val="-15"/>
                <w:sz w:val="24"/>
              </w:rPr>
              <w:t xml:space="preserve"> </w:t>
            </w:r>
            <w:r w:rsidRPr="00150EDC">
              <w:rPr>
                <w:sz w:val="24"/>
              </w:rPr>
              <w:t>the</w:t>
            </w:r>
            <w:r w:rsidRPr="00150EDC">
              <w:rPr>
                <w:spacing w:val="-14"/>
                <w:sz w:val="24"/>
              </w:rPr>
              <w:t xml:space="preserve"> </w:t>
            </w:r>
            <w:r w:rsidRPr="00150EDC">
              <w:rPr>
                <w:sz w:val="24"/>
              </w:rPr>
              <w:t>Buyer</w:t>
            </w:r>
            <w:r w:rsidRPr="00150EDC">
              <w:rPr>
                <w:spacing w:val="-16"/>
                <w:sz w:val="24"/>
              </w:rPr>
              <w:t xml:space="preserve"> </w:t>
            </w:r>
            <w:r w:rsidRPr="00150EDC">
              <w:rPr>
                <w:sz w:val="24"/>
              </w:rPr>
              <w:t>under</w:t>
            </w:r>
            <w:r w:rsidRPr="00150EDC">
              <w:rPr>
                <w:spacing w:val="-16"/>
                <w:sz w:val="24"/>
              </w:rPr>
              <w:t xml:space="preserve"> </w:t>
            </w:r>
            <w:r w:rsidRPr="00150EDC">
              <w:rPr>
                <w:sz w:val="24"/>
              </w:rPr>
              <w:t>the</w:t>
            </w:r>
            <w:r w:rsidRPr="00150EDC">
              <w:rPr>
                <w:spacing w:val="-17"/>
                <w:sz w:val="24"/>
              </w:rPr>
              <w:t xml:space="preserve"> </w:t>
            </w:r>
            <w:r w:rsidRPr="00150EDC">
              <w:rPr>
                <w:sz w:val="24"/>
              </w:rPr>
              <w:t>Order</w:t>
            </w:r>
            <w:r w:rsidRPr="00150EDC">
              <w:rPr>
                <w:spacing w:val="-16"/>
                <w:sz w:val="24"/>
              </w:rPr>
              <w:t xml:space="preserve"> </w:t>
            </w:r>
            <w:r w:rsidRPr="00150EDC">
              <w:rPr>
                <w:sz w:val="24"/>
              </w:rPr>
              <w:t>Contract,</w:t>
            </w:r>
            <w:r w:rsidRPr="00150EDC">
              <w:rPr>
                <w:spacing w:val="-17"/>
                <w:sz w:val="24"/>
              </w:rPr>
              <w:t xml:space="preserve"> </w:t>
            </w:r>
            <w:r w:rsidRPr="00150EDC">
              <w:rPr>
                <w:sz w:val="24"/>
              </w:rPr>
              <w:t>as</w:t>
            </w:r>
            <w:r w:rsidRPr="00150EDC">
              <w:rPr>
                <w:spacing w:val="-15"/>
                <w:sz w:val="24"/>
              </w:rPr>
              <w:t xml:space="preserve"> </w:t>
            </w:r>
            <w:r w:rsidRPr="00150EDC">
              <w:rPr>
                <w:sz w:val="24"/>
              </w:rPr>
              <w:t>set</w:t>
            </w:r>
            <w:r w:rsidRPr="00150EDC">
              <w:rPr>
                <w:spacing w:val="-17"/>
                <w:sz w:val="24"/>
              </w:rPr>
              <w:t xml:space="preserve"> </w:t>
            </w:r>
            <w:r w:rsidRPr="00150EDC">
              <w:rPr>
                <w:sz w:val="24"/>
              </w:rPr>
              <w:t>out</w:t>
            </w:r>
            <w:r w:rsidRPr="00150EDC">
              <w:rPr>
                <w:spacing w:val="-14"/>
                <w:sz w:val="24"/>
              </w:rPr>
              <w:t xml:space="preserve"> </w:t>
            </w:r>
            <w:r w:rsidRPr="00150EDC">
              <w:rPr>
                <w:sz w:val="24"/>
              </w:rPr>
              <w:t>in</w:t>
            </w:r>
            <w:r w:rsidRPr="00150EDC">
              <w:rPr>
                <w:spacing w:val="-17"/>
                <w:sz w:val="24"/>
              </w:rPr>
              <w:t xml:space="preserve"> </w:t>
            </w:r>
            <w:r w:rsidRPr="00150EDC">
              <w:rPr>
                <w:sz w:val="24"/>
              </w:rPr>
              <w:t>the</w:t>
            </w:r>
            <w:r w:rsidRPr="00150EDC">
              <w:rPr>
                <w:spacing w:val="-14"/>
                <w:sz w:val="24"/>
              </w:rPr>
              <w:t xml:space="preserve"> </w:t>
            </w:r>
            <w:r w:rsidRPr="00150EDC">
              <w:rPr>
                <w:sz w:val="24"/>
              </w:rPr>
              <w:t>Order</w:t>
            </w:r>
            <w:r w:rsidRPr="00150EDC">
              <w:rPr>
                <w:spacing w:val="-16"/>
                <w:sz w:val="24"/>
              </w:rPr>
              <w:t xml:space="preserve"> </w:t>
            </w:r>
            <w:r w:rsidRPr="00150EDC">
              <w:rPr>
                <w:sz w:val="24"/>
              </w:rPr>
              <w:t>Form, for</w:t>
            </w:r>
            <w:r w:rsidRPr="00150EDC">
              <w:rPr>
                <w:spacing w:val="-6"/>
                <w:sz w:val="24"/>
              </w:rPr>
              <w:t xml:space="preserve"> </w:t>
            </w:r>
            <w:r w:rsidRPr="00150EDC">
              <w:rPr>
                <w:sz w:val="24"/>
              </w:rPr>
              <w:t>the</w:t>
            </w:r>
            <w:r w:rsidRPr="00150EDC">
              <w:rPr>
                <w:spacing w:val="-7"/>
                <w:sz w:val="24"/>
              </w:rPr>
              <w:t xml:space="preserve"> </w:t>
            </w:r>
            <w:r w:rsidRPr="00150EDC">
              <w:rPr>
                <w:sz w:val="24"/>
              </w:rPr>
              <w:t>full</w:t>
            </w:r>
            <w:r w:rsidRPr="00150EDC">
              <w:rPr>
                <w:spacing w:val="-6"/>
                <w:sz w:val="24"/>
              </w:rPr>
              <w:t xml:space="preserve"> </w:t>
            </w:r>
            <w:r w:rsidRPr="00150EDC">
              <w:rPr>
                <w:sz w:val="24"/>
              </w:rPr>
              <w:t>and</w:t>
            </w:r>
            <w:r w:rsidRPr="00150EDC">
              <w:rPr>
                <w:spacing w:val="-7"/>
                <w:sz w:val="24"/>
              </w:rPr>
              <w:t xml:space="preserve"> </w:t>
            </w:r>
            <w:r w:rsidRPr="00150EDC">
              <w:rPr>
                <w:sz w:val="24"/>
              </w:rPr>
              <w:t>proper</w:t>
            </w:r>
            <w:r w:rsidRPr="00150EDC">
              <w:rPr>
                <w:spacing w:val="-8"/>
                <w:sz w:val="24"/>
              </w:rPr>
              <w:t xml:space="preserve"> </w:t>
            </w:r>
            <w:r w:rsidRPr="00150EDC">
              <w:rPr>
                <w:sz w:val="24"/>
              </w:rPr>
              <w:t>performance</w:t>
            </w:r>
            <w:r w:rsidRPr="00150EDC">
              <w:rPr>
                <w:spacing w:val="-5"/>
                <w:sz w:val="24"/>
              </w:rPr>
              <w:t xml:space="preserve"> </w:t>
            </w:r>
            <w:r w:rsidRPr="00150EDC">
              <w:rPr>
                <w:sz w:val="24"/>
              </w:rPr>
              <w:t>by</w:t>
            </w:r>
            <w:r w:rsidRPr="00150EDC">
              <w:rPr>
                <w:spacing w:val="-8"/>
                <w:sz w:val="24"/>
              </w:rPr>
              <w:t xml:space="preserve"> </w:t>
            </w:r>
            <w:r w:rsidRPr="00150EDC">
              <w:rPr>
                <w:sz w:val="24"/>
              </w:rPr>
              <w:t>the</w:t>
            </w:r>
            <w:r w:rsidRPr="00150EDC">
              <w:rPr>
                <w:spacing w:val="-7"/>
                <w:sz w:val="24"/>
              </w:rPr>
              <w:t xml:space="preserve"> </w:t>
            </w:r>
            <w:r w:rsidRPr="00150EDC">
              <w:rPr>
                <w:sz w:val="24"/>
              </w:rPr>
              <w:t>Supplier</w:t>
            </w:r>
            <w:r w:rsidRPr="00150EDC">
              <w:rPr>
                <w:spacing w:val="-6"/>
                <w:sz w:val="24"/>
              </w:rPr>
              <w:t xml:space="preserve"> </w:t>
            </w:r>
            <w:r w:rsidRPr="00150EDC">
              <w:rPr>
                <w:sz w:val="24"/>
              </w:rPr>
              <w:t>of</w:t>
            </w:r>
            <w:r w:rsidRPr="00150EDC">
              <w:rPr>
                <w:spacing w:val="-5"/>
                <w:sz w:val="24"/>
              </w:rPr>
              <w:t xml:space="preserve"> </w:t>
            </w:r>
            <w:r w:rsidRPr="00150EDC">
              <w:rPr>
                <w:sz w:val="24"/>
              </w:rPr>
              <w:t>its</w:t>
            </w:r>
            <w:r w:rsidRPr="00150EDC">
              <w:rPr>
                <w:spacing w:val="-8"/>
                <w:sz w:val="24"/>
              </w:rPr>
              <w:t xml:space="preserve"> </w:t>
            </w:r>
            <w:r w:rsidRPr="00150EDC">
              <w:rPr>
                <w:sz w:val="24"/>
              </w:rPr>
              <w:t>obligations under the Order Contract less any Deductions;</w:t>
            </w:r>
          </w:p>
        </w:tc>
      </w:tr>
      <w:tr w:rsidR="007D3144" w:rsidRPr="007D3144" w14:paraId="21025AF1" w14:textId="77777777">
        <w:trPr>
          <w:trHeight w:val="671"/>
        </w:trPr>
        <w:tc>
          <w:tcPr>
            <w:tcW w:w="2264" w:type="dxa"/>
          </w:tcPr>
          <w:p w14:paraId="5482F12A" w14:textId="77777777" w:rsidR="004C7180" w:rsidRPr="00150EDC" w:rsidRDefault="00CF0754">
            <w:pPr>
              <w:pStyle w:val="TableParagraph"/>
              <w:spacing w:before="0" w:line="240" w:lineRule="auto"/>
              <w:ind w:left="-1"/>
              <w:rPr>
                <w:b/>
                <w:sz w:val="24"/>
              </w:rPr>
            </w:pPr>
            <w:r w:rsidRPr="00150EDC">
              <w:rPr>
                <w:b/>
                <w:spacing w:val="-2"/>
                <w:sz w:val="24"/>
              </w:rPr>
              <w:t>"Claim"</w:t>
            </w:r>
          </w:p>
        </w:tc>
        <w:tc>
          <w:tcPr>
            <w:tcW w:w="7484" w:type="dxa"/>
          </w:tcPr>
          <w:p w14:paraId="3E6AC488" w14:textId="77777777" w:rsidR="004C7180" w:rsidRPr="00150EDC" w:rsidRDefault="00CF0754">
            <w:pPr>
              <w:pStyle w:val="TableParagraph"/>
              <w:spacing w:before="0" w:line="240" w:lineRule="auto"/>
              <w:ind w:left="107"/>
              <w:rPr>
                <w:sz w:val="24"/>
              </w:rPr>
            </w:pPr>
            <w:r w:rsidRPr="00150EDC">
              <w:rPr>
                <w:sz w:val="24"/>
              </w:rPr>
              <w:t>any</w:t>
            </w:r>
            <w:r w:rsidRPr="00150EDC">
              <w:rPr>
                <w:spacing w:val="37"/>
                <w:sz w:val="24"/>
              </w:rPr>
              <w:t xml:space="preserve"> </w:t>
            </w:r>
            <w:r w:rsidRPr="00150EDC">
              <w:rPr>
                <w:sz w:val="24"/>
              </w:rPr>
              <w:t>claim</w:t>
            </w:r>
            <w:r w:rsidRPr="00150EDC">
              <w:rPr>
                <w:spacing w:val="36"/>
                <w:sz w:val="24"/>
              </w:rPr>
              <w:t xml:space="preserve"> </w:t>
            </w:r>
            <w:r w:rsidRPr="00150EDC">
              <w:rPr>
                <w:sz w:val="24"/>
              </w:rPr>
              <w:t>which</w:t>
            </w:r>
            <w:r w:rsidRPr="00150EDC">
              <w:rPr>
                <w:spacing w:val="35"/>
                <w:sz w:val="24"/>
              </w:rPr>
              <w:t xml:space="preserve"> </w:t>
            </w:r>
            <w:r w:rsidRPr="00150EDC">
              <w:rPr>
                <w:sz w:val="24"/>
              </w:rPr>
              <w:t>it</w:t>
            </w:r>
            <w:r w:rsidRPr="00150EDC">
              <w:rPr>
                <w:spacing w:val="35"/>
                <w:sz w:val="24"/>
              </w:rPr>
              <w:t xml:space="preserve"> </w:t>
            </w:r>
            <w:r w:rsidRPr="00150EDC">
              <w:rPr>
                <w:sz w:val="24"/>
              </w:rPr>
              <w:t>appears</w:t>
            </w:r>
            <w:r w:rsidRPr="00150EDC">
              <w:rPr>
                <w:spacing w:val="34"/>
                <w:sz w:val="24"/>
              </w:rPr>
              <w:t xml:space="preserve"> </w:t>
            </w:r>
            <w:r w:rsidRPr="00150EDC">
              <w:rPr>
                <w:sz w:val="24"/>
              </w:rPr>
              <w:t>that</w:t>
            </w:r>
            <w:r w:rsidRPr="00150EDC">
              <w:rPr>
                <w:spacing w:val="35"/>
                <w:sz w:val="24"/>
              </w:rPr>
              <w:t xml:space="preserve"> </w:t>
            </w:r>
            <w:r w:rsidRPr="00150EDC">
              <w:rPr>
                <w:sz w:val="24"/>
              </w:rPr>
              <w:t>a</w:t>
            </w:r>
            <w:r w:rsidRPr="00150EDC">
              <w:rPr>
                <w:spacing w:val="35"/>
                <w:sz w:val="24"/>
              </w:rPr>
              <w:t xml:space="preserve"> </w:t>
            </w:r>
            <w:r w:rsidRPr="00150EDC">
              <w:rPr>
                <w:sz w:val="24"/>
              </w:rPr>
              <w:t>Beneficiary</w:t>
            </w:r>
            <w:r w:rsidRPr="00150EDC">
              <w:rPr>
                <w:spacing w:val="36"/>
                <w:sz w:val="24"/>
              </w:rPr>
              <w:t xml:space="preserve"> </w:t>
            </w:r>
            <w:r w:rsidRPr="00150EDC">
              <w:rPr>
                <w:sz w:val="24"/>
              </w:rPr>
              <w:t>is,</w:t>
            </w:r>
            <w:r w:rsidRPr="00150EDC">
              <w:rPr>
                <w:spacing w:val="37"/>
                <w:sz w:val="24"/>
              </w:rPr>
              <w:t xml:space="preserve"> </w:t>
            </w:r>
            <w:r w:rsidRPr="00150EDC">
              <w:rPr>
                <w:sz w:val="24"/>
              </w:rPr>
              <w:t>or</w:t>
            </w:r>
            <w:r w:rsidRPr="00150EDC">
              <w:rPr>
                <w:spacing w:val="34"/>
                <w:sz w:val="24"/>
              </w:rPr>
              <w:t xml:space="preserve"> </w:t>
            </w:r>
            <w:r w:rsidRPr="00150EDC">
              <w:rPr>
                <w:sz w:val="24"/>
              </w:rPr>
              <w:t>may</w:t>
            </w:r>
            <w:r w:rsidRPr="00150EDC">
              <w:rPr>
                <w:spacing w:val="35"/>
                <w:sz w:val="24"/>
              </w:rPr>
              <w:t xml:space="preserve"> </w:t>
            </w:r>
            <w:r w:rsidRPr="00150EDC">
              <w:rPr>
                <w:sz w:val="24"/>
              </w:rPr>
              <w:t>become, entitled to indemnification under this Contract;</w:t>
            </w:r>
          </w:p>
        </w:tc>
      </w:tr>
      <w:tr w:rsidR="007D3144" w:rsidRPr="007D3144" w14:paraId="0946B909" w14:textId="77777777">
        <w:trPr>
          <w:trHeight w:val="1775"/>
        </w:trPr>
        <w:tc>
          <w:tcPr>
            <w:tcW w:w="2264" w:type="dxa"/>
          </w:tcPr>
          <w:p w14:paraId="7267989A" w14:textId="77777777" w:rsidR="004C7180" w:rsidRPr="00150EDC" w:rsidRDefault="00CF0754">
            <w:pPr>
              <w:pStyle w:val="TableParagraph"/>
              <w:spacing w:before="0" w:line="240" w:lineRule="auto"/>
              <w:ind w:left="-1"/>
              <w:rPr>
                <w:b/>
                <w:sz w:val="24"/>
              </w:rPr>
            </w:pPr>
            <w:r w:rsidRPr="00150EDC">
              <w:rPr>
                <w:b/>
                <w:spacing w:val="-2"/>
                <w:sz w:val="24"/>
              </w:rPr>
              <w:t>"Commercially Sensitive Information"</w:t>
            </w:r>
          </w:p>
        </w:tc>
        <w:tc>
          <w:tcPr>
            <w:tcW w:w="7484" w:type="dxa"/>
          </w:tcPr>
          <w:p w14:paraId="0B564FF9" w14:textId="77777777" w:rsidR="004C7180" w:rsidRPr="00150EDC" w:rsidRDefault="00CF0754">
            <w:pPr>
              <w:pStyle w:val="TableParagraph"/>
              <w:spacing w:before="0" w:line="240" w:lineRule="auto"/>
              <w:ind w:left="107" w:right="95"/>
              <w:jc w:val="both"/>
              <w:rPr>
                <w:sz w:val="24"/>
              </w:rPr>
            </w:pPr>
            <w:r w:rsidRPr="00150EDC">
              <w:rPr>
                <w:sz w:val="24"/>
              </w:rPr>
              <w:t>the Confidential Information listed in the DPS Appointment Form or Order</w:t>
            </w:r>
            <w:r w:rsidRPr="00150EDC">
              <w:rPr>
                <w:spacing w:val="-4"/>
                <w:sz w:val="24"/>
              </w:rPr>
              <w:t xml:space="preserve"> </w:t>
            </w:r>
            <w:r w:rsidRPr="00150EDC">
              <w:rPr>
                <w:sz w:val="24"/>
              </w:rPr>
              <w:t>Form</w:t>
            </w:r>
            <w:r w:rsidRPr="00150EDC">
              <w:rPr>
                <w:spacing w:val="-1"/>
                <w:sz w:val="24"/>
              </w:rPr>
              <w:t xml:space="preserve"> </w:t>
            </w:r>
            <w:r w:rsidRPr="00150EDC">
              <w:rPr>
                <w:sz w:val="24"/>
              </w:rPr>
              <w:t>(if</w:t>
            </w:r>
            <w:r w:rsidRPr="00150EDC">
              <w:rPr>
                <w:spacing w:val="-4"/>
                <w:sz w:val="24"/>
              </w:rPr>
              <w:t xml:space="preserve"> </w:t>
            </w:r>
            <w:r w:rsidRPr="00150EDC">
              <w:rPr>
                <w:sz w:val="24"/>
              </w:rPr>
              <w:t>any)</w:t>
            </w:r>
            <w:r w:rsidRPr="00150EDC">
              <w:rPr>
                <w:spacing w:val="-4"/>
                <w:sz w:val="24"/>
              </w:rPr>
              <w:t xml:space="preserve"> </w:t>
            </w:r>
            <w:r w:rsidRPr="00150EDC">
              <w:rPr>
                <w:sz w:val="24"/>
              </w:rPr>
              <w:t>comprising</w:t>
            </w:r>
            <w:r w:rsidRPr="00150EDC">
              <w:rPr>
                <w:spacing w:val="-4"/>
                <w:sz w:val="24"/>
              </w:rPr>
              <w:t xml:space="preserve"> </w:t>
            </w:r>
            <w:r w:rsidRPr="00150EDC">
              <w:rPr>
                <w:sz w:val="24"/>
              </w:rPr>
              <w:t>of</w:t>
            </w:r>
            <w:r w:rsidRPr="00150EDC">
              <w:rPr>
                <w:spacing w:val="-4"/>
                <w:sz w:val="24"/>
              </w:rPr>
              <w:t xml:space="preserve"> </w:t>
            </w:r>
            <w:r w:rsidRPr="00150EDC">
              <w:rPr>
                <w:sz w:val="24"/>
              </w:rPr>
              <w:t>commercially</w:t>
            </w:r>
            <w:r w:rsidRPr="00150EDC">
              <w:rPr>
                <w:spacing w:val="-3"/>
                <w:sz w:val="24"/>
              </w:rPr>
              <w:t xml:space="preserve"> </w:t>
            </w:r>
            <w:r w:rsidRPr="00150EDC">
              <w:rPr>
                <w:sz w:val="24"/>
              </w:rPr>
              <w:t>sensitive</w:t>
            </w:r>
            <w:r w:rsidRPr="00150EDC">
              <w:rPr>
                <w:spacing w:val="-4"/>
                <w:sz w:val="24"/>
              </w:rPr>
              <w:t xml:space="preserve"> </w:t>
            </w:r>
            <w:r w:rsidRPr="00150EDC">
              <w:rPr>
                <w:sz w:val="24"/>
              </w:rPr>
              <w:t>information relating to the Supplier, its IPR or its business or which the Supplier has</w:t>
            </w:r>
            <w:r w:rsidRPr="00150EDC">
              <w:rPr>
                <w:spacing w:val="-14"/>
                <w:sz w:val="24"/>
              </w:rPr>
              <w:t xml:space="preserve"> </w:t>
            </w:r>
            <w:r w:rsidRPr="00150EDC">
              <w:rPr>
                <w:sz w:val="24"/>
              </w:rPr>
              <w:t>indicated</w:t>
            </w:r>
            <w:r w:rsidRPr="00150EDC">
              <w:rPr>
                <w:spacing w:val="-13"/>
                <w:sz w:val="24"/>
              </w:rPr>
              <w:t xml:space="preserve"> </w:t>
            </w:r>
            <w:r w:rsidRPr="00150EDC">
              <w:rPr>
                <w:sz w:val="24"/>
              </w:rPr>
              <w:t>to</w:t>
            </w:r>
            <w:r w:rsidRPr="00150EDC">
              <w:rPr>
                <w:spacing w:val="-13"/>
                <w:sz w:val="24"/>
              </w:rPr>
              <w:t xml:space="preserve"> </w:t>
            </w:r>
            <w:r w:rsidRPr="00150EDC">
              <w:rPr>
                <w:sz w:val="24"/>
              </w:rPr>
              <w:t>the</w:t>
            </w:r>
            <w:r w:rsidRPr="00150EDC">
              <w:rPr>
                <w:spacing w:val="-15"/>
                <w:sz w:val="24"/>
              </w:rPr>
              <w:t xml:space="preserve"> </w:t>
            </w:r>
            <w:r w:rsidRPr="00150EDC">
              <w:rPr>
                <w:sz w:val="24"/>
              </w:rPr>
              <w:t>Authority</w:t>
            </w:r>
            <w:r w:rsidRPr="00150EDC">
              <w:rPr>
                <w:spacing w:val="-13"/>
                <w:sz w:val="24"/>
              </w:rPr>
              <w:t xml:space="preserve"> </w:t>
            </w:r>
            <w:r w:rsidRPr="00150EDC">
              <w:rPr>
                <w:sz w:val="24"/>
              </w:rPr>
              <w:t>that,</w:t>
            </w:r>
            <w:r w:rsidRPr="00150EDC">
              <w:rPr>
                <w:spacing w:val="-15"/>
                <w:sz w:val="24"/>
              </w:rPr>
              <w:t xml:space="preserve"> </w:t>
            </w:r>
            <w:r w:rsidRPr="00150EDC">
              <w:rPr>
                <w:sz w:val="24"/>
              </w:rPr>
              <w:t>if</w:t>
            </w:r>
            <w:r w:rsidRPr="00150EDC">
              <w:rPr>
                <w:spacing w:val="-15"/>
                <w:sz w:val="24"/>
              </w:rPr>
              <w:t xml:space="preserve"> </w:t>
            </w:r>
            <w:r w:rsidRPr="00150EDC">
              <w:rPr>
                <w:sz w:val="24"/>
              </w:rPr>
              <w:t>disclosed</w:t>
            </w:r>
            <w:r w:rsidRPr="00150EDC">
              <w:rPr>
                <w:spacing w:val="-15"/>
                <w:sz w:val="24"/>
              </w:rPr>
              <w:t xml:space="preserve"> </w:t>
            </w:r>
            <w:r w:rsidRPr="00150EDC">
              <w:rPr>
                <w:sz w:val="24"/>
              </w:rPr>
              <w:t>by</w:t>
            </w:r>
            <w:r w:rsidRPr="00150EDC">
              <w:rPr>
                <w:spacing w:val="-14"/>
                <w:sz w:val="24"/>
              </w:rPr>
              <w:t xml:space="preserve"> </w:t>
            </w:r>
            <w:r w:rsidRPr="00150EDC">
              <w:rPr>
                <w:sz w:val="24"/>
              </w:rPr>
              <w:t>the</w:t>
            </w:r>
            <w:r w:rsidRPr="00150EDC">
              <w:rPr>
                <w:spacing w:val="-15"/>
                <w:sz w:val="24"/>
              </w:rPr>
              <w:t xml:space="preserve"> </w:t>
            </w:r>
            <w:r w:rsidRPr="00150EDC">
              <w:rPr>
                <w:sz w:val="24"/>
              </w:rPr>
              <w:t>Authority,</w:t>
            </w:r>
            <w:r w:rsidRPr="00150EDC">
              <w:rPr>
                <w:spacing w:val="-13"/>
                <w:sz w:val="24"/>
              </w:rPr>
              <w:t xml:space="preserve"> </w:t>
            </w:r>
            <w:r w:rsidRPr="00150EDC">
              <w:rPr>
                <w:sz w:val="24"/>
              </w:rPr>
              <w:t>would cause the Supplier significant commercial disadvantage or material financial loss;</w:t>
            </w:r>
          </w:p>
        </w:tc>
      </w:tr>
      <w:tr w:rsidR="007D3144" w:rsidRPr="007D3144" w14:paraId="1ACF4C06" w14:textId="77777777">
        <w:trPr>
          <w:trHeight w:val="671"/>
        </w:trPr>
        <w:tc>
          <w:tcPr>
            <w:tcW w:w="2264" w:type="dxa"/>
          </w:tcPr>
          <w:p w14:paraId="79353CDF" w14:textId="77777777" w:rsidR="004C7180" w:rsidRPr="00150EDC" w:rsidRDefault="00CF0754">
            <w:pPr>
              <w:pStyle w:val="TableParagraph"/>
              <w:spacing w:before="0" w:line="240" w:lineRule="auto"/>
              <w:ind w:left="-1"/>
              <w:rPr>
                <w:b/>
                <w:sz w:val="24"/>
              </w:rPr>
            </w:pPr>
            <w:r w:rsidRPr="00150EDC">
              <w:rPr>
                <w:b/>
                <w:spacing w:val="-2"/>
                <w:sz w:val="24"/>
              </w:rPr>
              <w:t>"Comparable Supply"</w:t>
            </w:r>
          </w:p>
        </w:tc>
        <w:tc>
          <w:tcPr>
            <w:tcW w:w="7484" w:type="dxa"/>
          </w:tcPr>
          <w:p w14:paraId="0A6D3678" w14:textId="77777777" w:rsidR="004C7180" w:rsidRPr="00150EDC" w:rsidRDefault="00CF0754">
            <w:pPr>
              <w:pStyle w:val="TableParagraph"/>
              <w:spacing w:before="0" w:line="240" w:lineRule="auto"/>
              <w:ind w:left="107"/>
              <w:rPr>
                <w:sz w:val="24"/>
              </w:rPr>
            </w:pPr>
            <w:r w:rsidRPr="00150EDC">
              <w:rPr>
                <w:sz w:val="24"/>
              </w:rPr>
              <w:t>the supply of Deliverables to another Buyer of the Supplier that are the same or similar to the Deliverables;</w:t>
            </w:r>
          </w:p>
        </w:tc>
      </w:tr>
      <w:tr w:rsidR="007D3144" w:rsidRPr="007D3144" w14:paraId="00196A1E" w14:textId="77777777">
        <w:trPr>
          <w:trHeight w:val="672"/>
        </w:trPr>
        <w:tc>
          <w:tcPr>
            <w:tcW w:w="2264" w:type="dxa"/>
          </w:tcPr>
          <w:p w14:paraId="1DA43F06" w14:textId="77777777" w:rsidR="004C7180" w:rsidRPr="00150EDC" w:rsidRDefault="00CF0754">
            <w:pPr>
              <w:pStyle w:val="TableParagraph"/>
              <w:spacing w:before="1" w:line="240" w:lineRule="auto"/>
              <w:ind w:left="-1" w:right="148"/>
              <w:rPr>
                <w:b/>
                <w:sz w:val="24"/>
              </w:rPr>
            </w:pPr>
            <w:r w:rsidRPr="00150EDC">
              <w:rPr>
                <w:b/>
                <w:spacing w:val="-2"/>
                <w:sz w:val="24"/>
              </w:rPr>
              <w:t>"Compliance Officer"</w:t>
            </w:r>
          </w:p>
        </w:tc>
        <w:tc>
          <w:tcPr>
            <w:tcW w:w="7484" w:type="dxa"/>
          </w:tcPr>
          <w:p w14:paraId="41128F8A" w14:textId="77777777" w:rsidR="004C7180" w:rsidRPr="00150EDC" w:rsidRDefault="00CF0754">
            <w:pPr>
              <w:pStyle w:val="TableParagraph"/>
              <w:spacing w:before="1" w:line="240" w:lineRule="auto"/>
              <w:ind w:left="107"/>
              <w:rPr>
                <w:sz w:val="24"/>
              </w:rPr>
            </w:pPr>
            <w:r w:rsidRPr="00150EDC">
              <w:rPr>
                <w:sz w:val="24"/>
              </w:rPr>
              <w:t>the</w:t>
            </w:r>
            <w:r w:rsidRPr="00150EDC">
              <w:rPr>
                <w:spacing w:val="40"/>
                <w:sz w:val="24"/>
              </w:rPr>
              <w:t xml:space="preserve"> </w:t>
            </w:r>
            <w:r w:rsidRPr="00150EDC">
              <w:rPr>
                <w:sz w:val="24"/>
              </w:rPr>
              <w:t>person(s)</w:t>
            </w:r>
            <w:r w:rsidRPr="00150EDC">
              <w:rPr>
                <w:spacing w:val="40"/>
                <w:sz w:val="24"/>
              </w:rPr>
              <w:t xml:space="preserve"> </w:t>
            </w:r>
            <w:r w:rsidRPr="00150EDC">
              <w:rPr>
                <w:sz w:val="24"/>
              </w:rPr>
              <w:t>appointed</w:t>
            </w:r>
            <w:r w:rsidRPr="00150EDC">
              <w:rPr>
                <w:spacing w:val="40"/>
                <w:sz w:val="24"/>
              </w:rPr>
              <w:t xml:space="preserve"> </w:t>
            </w:r>
            <w:r w:rsidRPr="00150EDC">
              <w:rPr>
                <w:sz w:val="24"/>
              </w:rPr>
              <w:t>by</w:t>
            </w:r>
            <w:r w:rsidRPr="00150EDC">
              <w:rPr>
                <w:spacing w:val="40"/>
                <w:sz w:val="24"/>
              </w:rPr>
              <w:t xml:space="preserve"> </w:t>
            </w:r>
            <w:r w:rsidRPr="00150EDC">
              <w:rPr>
                <w:sz w:val="24"/>
              </w:rPr>
              <w:t>the</w:t>
            </w:r>
            <w:r w:rsidRPr="00150EDC">
              <w:rPr>
                <w:spacing w:val="40"/>
                <w:sz w:val="24"/>
              </w:rPr>
              <w:t xml:space="preserve"> </w:t>
            </w:r>
            <w:r w:rsidRPr="00150EDC">
              <w:rPr>
                <w:sz w:val="24"/>
              </w:rPr>
              <w:t>Supplier</w:t>
            </w:r>
            <w:r w:rsidRPr="00150EDC">
              <w:rPr>
                <w:spacing w:val="40"/>
                <w:sz w:val="24"/>
              </w:rPr>
              <w:t xml:space="preserve"> </w:t>
            </w:r>
            <w:r w:rsidRPr="00150EDC">
              <w:rPr>
                <w:sz w:val="24"/>
              </w:rPr>
              <w:t>who</w:t>
            </w:r>
            <w:r w:rsidRPr="00150EDC">
              <w:rPr>
                <w:spacing w:val="40"/>
                <w:sz w:val="24"/>
              </w:rPr>
              <w:t xml:space="preserve"> </w:t>
            </w:r>
            <w:r w:rsidRPr="00150EDC">
              <w:rPr>
                <w:sz w:val="24"/>
              </w:rPr>
              <w:t>is</w:t>
            </w:r>
            <w:r w:rsidRPr="00150EDC">
              <w:rPr>
                <w:spacing w:val="40"/>
                <w:sz w:val="24"/>
              </w:rPr>
              <w:t xml:space="preserve"> </w:t>
            </w:r>
            <w:r w:rsidRPr="00150EDC">
              <w:rPr>
                <w:sz w:val="24"/>
              </w:rPr>
              <w:t>responsible</w:t>
            </w:r>
            <w:r w:rsidRPr="00150EDC">
              <w:rPr>
                <w:spacing w:val="40"/>
                <w:sz w:val="24"/>
              </w:rPr>
              <w:t xml:space="preserve"> </w:t>
            </w:r>
            <w:r w:rsidRPr="00150EDC">
              <w:rPr>
                <w:sz w:val="24"/>
              </w:rPr>
              <w:t>for</w:t>
            </w:r>
            <w:r w:rsidRPr="00150EDC">
              <w:rPr>
                <w:spacing w:val="80"/>
                <w:sz w:val="24"/>
              </w:rPr>
              <w:t xml:space="preserve"> </w:t>
            </w:r>
            <w:r w:rsidRPr="00150EDC">
              <w:rPr>
                <w:sz w:val="24"/>
              </w:rPr>
              <w:t>ensuring that the Supplier complies with its legal obligations;</w:t>
            </w:r>
          </w:p>
        </w:tc>
      </w:tr>
      <w:tr w:rsidR="007D3144" w:rsidRPr="007D3144" w14:paraId="5FE7BA7A" w14:textId="77777777">
        <w:trPr>
          <w:trHeight w:val="2053"/>
        </w:trPr>
        <w:tc>
          <w:tcPr>
            <w:tcW w:w="2264" w:type="dxa"/>
          </w:tcPr>
          <w:p w14:paraId="6A08B13A" w14:textId="77777777" w:rsidR="004C7180" w:rsidRPr="00150EDC" w:rsidRDefault="00CF0754">
            <w:pPr>
              <w:pStyle w:val="TableParagraph"/>
              <w:spacing w:before="0" w:line="240" w:lineRule="auto"/>
              <w:ind w:left="-1"/>
              <w:rPr>
                <w:b/>
                <w:sz w:val="24"/>
              </w:rPr>
            </w:pPr>
            <w:r w:rsidRPr="00150EDC">
              <w:rPr>
                <w:b/>
                <w:spacing w:val="-2"/>
                <w:sz w:val="24"/>
              </w:rPr>
              <w:t>"Confidential Information"</w:t>
            </w:r>
          </w:p>
        </w:tc>
        <w:tc>
          <w:tcPr>
            <w:tcW w:w="7484" w:type="dxa"/>
          </w:tcPr>
          <w:p w14:paraId="6A83DDFA" w14:textId="77777777" w:rsidR="004C7180" w:rsidRPr="00150EDC" w:rsidRDefault="00CF0754">
            <w:pPr>
              <w:pStyle w:val="TableParagraph"/>
              <w:spacing w:before="0" w:line="240" w:lineRule="auto"/>
              <w:ind w:left="107" w:right="94"/>
              <w:jc w:val="both"/>
              <w:rPr>
                <w:sz w:val="24"/>
              </w:rPr>
            </w:pPr>
            <w:r w:rsidRPr="00150EDC">
              <w:rPr>
                <w:sz w:val="24"/>
              </w:rPr>
              <w:t xml:space="preserve">means any information, however it is conveyed, that relates to the </w:t>
            </w:r>
            <w:r w:rsidRPr="00150EDC">
              <w:rPr>
                <w:spacing w:val="-2"/>
                <w:sz w:val="24"/>
              </w:rPr>
              <w:t xml:space="preserve">business, affairs, developments, trade secrets, Know-How, personnel </w:t>
            </w:r>
            <w:r w:rsidRPr="00150EDC">
              <w:rPr>
                <w:sz w:val="24"/>
              </w:rPr>
              <w:t>and suppliers of CCS, the Buyer or the Supplier, including IPRs, together with information derived from the above, and any other information</w:t>
            </w:r>
            <w:r w:rsidRPr="00150EDC">
              <w:rPr>
                <w:spacing w:val="-8"/>
                <w:sz w:val="24"/>
              </w:rPr>
              <w:t xml:space="preserve"> </w:t>
            </w:r>
            <w:r w:rsidRPr="00150EDC">
              <w:rPr>
                <w:sz w:val="24"/>
              </w:rPr>
              <w:t>clearly</w:t>
            </w:r>
            <w:r w:rsidRPr="00150EDC">
              <w:rPr>
                <w:spacing w:val="-9"/>
                <w:sz w:val="24"/>
              </w:rPr>
              <w:t xml:space="preserve"> </w:t>
            </w:r>
            <w:r w:rsidRPr="00150EDC">
              <w:rPr>
                <w:sz w:val="24"/>
              </w:rPr>
              <w:t>designated</w:t>
            </w:r>
            <w:r w:rsidRPr="00150EDC">
              <w:rPr>
                <w:spacing w:val="-10"/>
                <w:sz w:val="24"/>
              </w:rPr>
              <w:t xml:space="preserve"> </w:t>
            </w:r>
            <w:r w:rsidRPr="00150EDC">
              <w:rPr>
                <w:sz w:val="24"/>
              </w:rPr>
              <w:t>as</w:t>
            </w:r>
            <w:r w:rsidRPr="00150EDC">
              <w:rPr>
                <w:spacing w:val="-9"/>
                <w:sz w:val="24"/>
              </w:rPr>
              <w:t xml:space="preserve"> </w:t>
            </w:r>
            <w:r w:rsidRPr="00150EDC">
              <w:rPr>
                <w:sz w:val="24"/>
              </w:rPr>
              <w:t>being</w:t>
            </w:r>
            <w:r w:rsidRPr="00150EDC">
              <w:rPr>
                <w:spacing w:val="-8"/>
                <w:sz w:val="24"/>
              </w:rPr>
              <w:t xml:space="preserve"> </w:t>
            </w:r>
            <w:r w:rsidRPr="00150EDC">
              <w:rPr>
                <w:sz w:val="24"/>
              </w:rPr>
              <w:t>confidential</w:t>
            </w:r>
            <w:r w:rsidRPr="00150EDC">
              <w:rPr>
                <w:spacing w:val="-9"/>
                <w:sz w:val="24"/>
              </w:rPr>
              <w:t xml:space="preserve"> </w:t>
            </w:r>
            <w:r w:rsidRPr="00150EDC">
              <w:rPr>
                <w:sz w:val="24"/>
              </w:rPr>
              <w:t>(whether</w:t>
            </w:r>
            <w:r w:rsidRPr="00150EDC">
              <w:rPr>
                <w:spacing w:val="-12"/>
                <w:sz w:val="24"/>
              </w:rPr>
              <w:t xml:space="preserve"> </w:t>
            </w:r>
            <w:r w:rsidRPr="00150EDC">
              <w:rPr>
                <w:sz w:val="24"/>
              </w:rPr>
              <w:t>or</w:t>
            </w:r>
            <w:r w:rsidRPr="00150EDC">
              <w:rPr>
                <w:spacing w:val="-9"/>
                <w:sz w:val="24"/>
              </w:rPr>
              <w:t xml:space="preserve"> </w:t>
            </w:r>
            <w:r w:rsidRPr="00150EDC">
              <w:rPr>
                <w:sz w:val="24"/>
              </w:rPr>
              <w:t>not</w:t>
            </w:r>
            <w:r w:rsidRPr="00150EDC">
              <w:rPr>
                <w:spacing w:val="-11"/>
                <w:sz w:val="24"/>
              </w:rPr>
              <w:t xml:space="preserve"> </w:t>
            </w:r>
            <w:r w:rsidRPr="00150EDC">
              <w:rPr>
                <w:sz w:val="24"/>
              </w:rPr>
              <w:t xml:space="preserve">it is marked as </w:t>
            </w:r>
            <w:r w:rsidRPr="00150EDC">
              <w:rPr>
                <w:b/>
                <w:sz w:val="24"/>
              </w:rPr>
              <w:t>"confidential"</w:t>
            </w:r>
            <w:r w:rsidRPr="00150EDC">
              <w:rPr>
                <w:sz w:val="24"/>
              </w:rPr>
              <w:t>) or which ought reasonably to be considered to be confidential;</w:t>
            </w:r>
          </w:p>
        </w:tc>
      </w:tr>
    </w:tbl>
    <w:p w14:paraId="57E9C16C" w14:textId="77777777" w:rsidR="004C7180" w:rsidRPr="00150EDC" w:rsidRDefault="004C7180">
      <w:pPr>
        <w:jc w:val="both"/>
        <w:rPr>
          <w:sz w:val="24"/>
        </w:rPr>
        <w:sectPr w:rsidR="004C7180" w:rsidRPr="00150EDC">
          <w:pgSz w:w="11910" w:h="16840"/>
          <w:pgMar w:top="1160" w:right="0" w:bottom="1460" w:left="40" w:header="715" w:footer="1208" w:gutter="0"/>
          <w:cols w:space="720"/>
        </w:sectPr>
      </w:pPr>
    </w:p>
    <w:p w14:paraId="3DAE23AD" w14:textId="77777777" w:rsidR="004C7180" w:rsidRPr="00150EDC" w:rsidRDefault="004C7180">
      <w:pPr>
        <w:pStyle w:val="BodyText"/>
        <w:spacing w:before="7"/>
        <w:rPr>
          <w:sz w:val="23"/>
        </w:rPr>
      </w:pPr>
    </w:p>
    <w:tbl>
      <w:tblPr>
        <w:tblW w:w="0" w:type="auto"/>
        <w:tblInd w:w="1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4"/>
        <w:gridCol w:w="7484"/>
      </w:tblGrid>
      <w:tr w:rsidR="007D3144" w:rsidRPr="007D3144" w14:paraId="7471CB7B" w14:textId="77777777">
        <w:trPr>
          <w:trHeight w:val="948"/>
        </w:trPr>
        <w:tc>
          <w:tcPr>
            <w:tcW w:w="2264" w:type="dxa"/>
          </w:tcPr>
          <w:p w14:paraId="5C9B7CB6" w14:textId="77777777" w:rsidR="004C7180" w:rsidRPr="00150EDC" w:rsidRDefault="00CF0754">
            <w:pPr>
              <w:pStyle w:val="TableParagraph"/>
              <w:spacing w:before="0" w:line="240" w:lineRule="auto"/>
              <w:ind w:left="-1" w:right="951"/>
              <w:rPr>
                <w:b/>
                <w:sz w:val="24"/>
              </w:rPr>
            </w:pPr>
            <w:r w:rsidRPr="00150EDC">
              <w:rPr>
                <w:b/>
                <w:sz w:val="24"/>
              </w:rPr>
              <w:t>"Conflict</w:t>
            </w:r>
            <w:r w:rsidRPr="00150EDC">
              <w:rPr>
                <w:b/>
                <w:spacing w:val="-17"/>
                <w:sz w:val="24"/>
              </w:rPr>
              <w:t xml:space="preserve"> </w:t>
            </w:r>
            <w:r w:rsidRPr="00150EDC">
              <w:rPr>
                <w:b/>
                <w:sz w:val="24"/>
              </w:rPr>
              <w:t xml:space="preserve">of </w:t>
            </w:r>
            <w:r w:rsidRPr="00150EDC">
              <w:rPr>
                <w:b/>
                <w:spacing w:val="-2"/>
                <w:sz w:val="24"/>
              </w:rPr>
              <w:t>Interest"</w:t>
            </w:r>
          </w:p>
        </w:tc>
        <w:tc>
          <w:tcPr>
            <w:tcW w:w="7484" w:type="dxa"/>
          </w:tcPr>
          <w:p w14:paraId="540C3C4A" w14:textId="77777777" w:rsidR="004C7180" w:rsidRPr="00150EDC" w:rsidRDefault="00CF0754">
            <w:pPr>
              <w:pStyle w:val="TableParagraph"/>
              <w:spacing w:before="0" w:line="240" w:lineRule="auto"/>
              <w:ind w:left="107" w:right="102"/>
              <w:jc w:val="both"/>
              <w:rPr>
                <w:sz w:val="24"/>
              </w:rPr>
            </w:pPr>
            <w:r w:rsidRPr="00150EDC">
              <w:rPr>
                <w:sz w:val="24"/>
              </w:rPr>
              <w:t>a conflict between the financial or personal duties of the Supplier or the Supplier Staff and the duties</w:t>
            </w:r>
            <w:r w:rsidRPr="00150EDC">
              <w:rPr>
                <w:spacing w:val="-1"/>
                <w:sz w:val="24"/>
              </w:rPr>
              <w:t xml:space="preserve"> </w:t>
            </w:r>
            <w:r w:rsidRPr="00150EDC">
              <w:rPr>
                <w:sz w:val="24"/>
              </w:rPr>
              <w:t>owed to CCS or any</w:t>
            </w:r>
            <w:r w:rsidRPr="00150EDC">
              <w:rPr>
                <w:spacing w:val="-1"/>
                <w:sz w:val="24"/>
              </w:rPr>
              <w:t xml:space="preserve"> </w:t>
            </w:r>
            <w:r w:rsidRPr="00150EDC">
              <w:rPr>
                <w:sz w:val="24"/>
              </w:rPr>
              <w:t>Buyer under</w:t>
            </w:r>
            <w:r w:rsidRPr="00150EDC">
              <w:rPr>
                <w:spacing w:val="-2"/>
                <w:sz w:val="24"/>
              </w:rPr>
              <w:t xml:space="preserve"> </w:t>
            </w:r>
            <w:r w:rsidRPr="00150EDC">
              <w:rPr>
                <w:sz w:val="24"/>
              </w:rPr>
              <w:t>a Contract, in the reasonable opinion of the Buyer or CCS;</w:t>
            </w:r>
          </w:p>
        </w:tc>
      </w:tr>
      <w:tr w:rsidR="007D3144" w:rsidRPr="007D3144" w14:paraId="3A0E0B08" w14:textId="77777777">
        <w:trPr>
          <w:trHeight w:val="671"/>
        </w:trPr>
        <w:tc>
          <w:tcPr>
            <w:tcW w:w="2264" w:type="dxa"/>
          </w:tcPr>
          <w:p w14:paraId="4C981D67" w14:textId="77777777" w:rsidR="004C7180" w:rsidRPr="00150EDC" w:rsidRDefault="00CF0754">
            <w:pPr>
              <w:pStyle w:val="TableParagraph"/>
              <w:spacing w:before="0" w:line="240" w:lineRule="auto"/>
              <w:ind w:left="-1"/>
              <w:rPr>
                <w:b/>
                <w:sz w:val="24"/>
              </w:rPr>
            </w:pPr>
            <w:r w:rsidRPr="00150EDC">
              <w:rPr>
                <w:b/>
                <w:spacing w:val="-2"/>
                <w:sz w:val="24"/>
              </w:rPr>
              <w:t>"Contract"</w:t>
            </w:r>
          </w:p>
        </w:tc>
        <w:tc>
          <w:tcPr>
            <w:tcW w:w="7484" w:type="dxa"/>
          </w:tcPr>
          <w:p w14:paraId="02ACCBAB" w14:textId="77777777" w:rsidR="004C7180" w:rsidRPr="00150EDC" w:rsidRDefault="00CF0754">
            <w:pPr>
              <w:pStyle w:val="TableParagraph"/>
              <w:spacing w:before="0" w:line="240" w:lineRule="auto"/>
              <w:ind w:left="107"/>
              <w:rPr>
                <w:sz w:val="24"/>
              </w:rPr>
            </w:pPr>
            <w:r w:rsidRPr="00150EDC">
              <w:rPr>
                <w:sz w:val="24"/>
              </w:rPr>
              <w:t>either</w:t>
            </w:r>
            <w:r w:rsidRPr="00150EDC">
              <w:rPr>
                <w:spacing w:val="71"/>
                <w:sz w:val="24"/>
              </w:rPr>
              <w:t xml:space="preserve"> </w:t>
            </w:r>
            <w:r w:rsidRPr="00150EDC">
              <w:rPr>
                <w:sz w:val="24"/>
              </w:rPr>
              <w:t>the</w:t>
            </w:r>
            <w:r w:rsidRPr="00150EDC">
              <w:rPr>
                <w:spacing w:val="73"/>
                <w:sz w:val="24"/>
              </w:rPr>
              <w:t xml:space="preserve"> </w:t>
            </w:r>
            <w:r w:rsidRPr="00150EDC">
              <w:rPr>
                <w:sz w:val="24"/>
              </w:rPr>
              <w:t>DPS</w:t>
            </w:r>
            <w:r w:rsidRPr="00150EDC">
              <w:rPr>
                <w:spacing w:val="73"/>
                <w:sz w:val="24"/>
              </w:rPr>
              <w:t xml:space="preserve"> </w:t>
            </w:r>
            <w:r w:rsidRPr="00150EDC">
              <w:rPr>
                <w:sz w:val="24"/>
              </w:rPr>
              <w:t>Contract</w:t>
            </w:r>
            <w:r w:rsidRPr="00150EDC">
              <w:rPr>
                <w:spacing w:val="72"/>
                <w:sz w:val="24"/>
              </w:rPr>
              <w:t xml:space="preserve"> </w:t>
            </w:r>
            <w:r w:rsidRPr="00150EDC">
              <w:rPr>
                <w:sz w:val="24"/>
              </w:rPr>
              <w:t>or</w:t>
            </w:r>
            <w:r w:rsidRPr="00150EDC">
              <w:rPr>
                <w:spacing w:val="71"/>
                <w:sz w:val="24"/>
              </w:rPr>
              <w:t xml:space="preserve"> </w:t>
            </w:r>
            <w:r w:rsidRPr="00150EDC">
              <w:rPr>
                <w:sz w:val="24"/>
              </w:rPr>
              <w:t>the</w:t>
            </w:r>
            <w:r w:rsidRPr="00150EDC">
              <w:rPr>
                <w:spacing w:val="73"/>
                <w:sz w:val="24"/>
              </w:rPr>
              <w:t xml:space="preserve"> </w:t>
            </w:r>
            <w:r w:rsidRPr="00150EDC">
              <w:rPr>
                <w:sz w:val="24"/>
              </w:rPr>
              <w:t>Order</w:t>
            </w:r>
            <w:r w:rsidRPr="00150EDC">
              <w:rPr>
                <w:spacing w:val="71"/>
                <w:sz w:val="24"/>
              </w:rPr>
              <w:t xml:space="preserve"> </w:t>
            </w:r>
            <w:r w:rsidRPr="00150EDC">
              <w:rPr>
                <w:sz w:val="24"/>
              </w:rPr>
              <w:t>Contract,</w:t>
            </w:r>
            <w:r w:rsidRPr="00150EDC">
              <w:rPr>
                <w:spacing w:val="70"/>
                <w:sz w:val="24"/>
              </w:rPr>
              <w:t xml:space="preserve"> </w:t>
            </w:r>
            <w:r w:rsidRPr="00150EDC">
              <w:rPr>
                <w:sz w:val="24"/>
              </w:rPr>
              <w:t>as</w:t>
            </w:r>
            <w:r w:rsidRPr="00150EDC">
              <w:rPr>
                <w:spacing w:val="72"/>
                <w:sz w:val="24"/>
              </w:rPr>
              <w:t xml:space="preserve"> </w:t>
            </w:r>
            <w:r w:rsidRPr="00150EDC">
              <w:rPr>
                <w:sz w:val="24"/>
              </w:rPr>
              <w:t>the</w:t>
            </w:r>
            <w:r w:rsidRPr="00150EDC">
              <w:rPr>
                <w:spacing w:val="73"/>
                <w:sz w:val="24"/>
              </w:rPr>
              <w:t xml:space="preserve"> </w:t>
            </w:r>
            <w:r w:rsidRPr="00150EDC">
              <w:rPr>
                <w:sz w:val="24"/>
              </w:rPr>
              <w:t xml:space="preserve">context </w:t>
            </w:r>
            <w:r w:rsidRPr="00150EDC">
              <w:rPr>
                <w:spacing w:val="-2"/>
                <w:sz w:val="24"/>
              </w:rPr>
              <w:t>requires;</w:t>
            </w:r>
          </w:p>
        </w:tc>
      </w:tr>
      <w:tr w:rsidR="007D3144" w:rsidRPr="007D3144" w14:paraId="3F7E9FDE" w14:textId="77777777">
        <w:trPr>
          <w:trHeight w:val="1859"/>
        </w:trPr>
        <w:tc>
          <w:tcPr>
            <w:tcW w:w="2264" w:type="dxa"/>
          </w:tcPr>
          <w:p w14:paraId="47C9F651" w14:textId="77777777" w:rsidR="004C7180" w:rsidRPr="00150EDC" w:rsidRDefault="00CF0754">
            <w:pPr>
              <w:pStyle w:val="TableParagraph"/>
              <w:spacing w:before="0" w:line="240" w:lineRule="auto"/>
              <w:ind w:left="-1"/>
              <w:rPr>
                <w:b/>
                <w:sz w:val="24"/>
              </w:rPr>
            </w:pPr>
            <w:r w:rsidRPr="00150EDC">
              <w:rPr>
                <w:b/>
                <w:sz w:val="24"/>
              </w:rPr>
              <w:t>"Contract</w:t>
            </w:r>
            <w:r w:rsidRPr="00150EDC">
              <w:rPr>
                <w:b/>
                <w:spacing w:val="-9"/>
                <w:sz w:val="24"/>
              </w:rPr>
              <w:t xml:space="preserve"> </w:t>
            </w:r>
            <w:r w:rsidRPr="00150EDC">
              <w:rPr>
                <w:b/>
                <w:spacing w:val="-2"/>
                <w:sz w:val="24"/>
              </w:rPr>
              <w:t>Period"</w:t>
            </w:r>
          </w:p>
        </w:tc>
        <w:tc>
          <w:tcPr>
            <w:tcW w:w="7484" w:type="dxa"/>
          </w:tcPr>
          <w:p w14:paraId="29FB6C0D" w14:textId="77777777" w:rsidR="004C7180" w:rsidRPr="00150EDC" w:rsidRDefault="00CF0754">
            <w:pPr>
              <w:pStyle w:val="TableParagraph"/>
              <w:spacing w:before="0" w:line="240" w:lineRule="auto"/>
              <w:ind w:left="107"/>
              <w:rPr>
                <w:sz w:val="24"/>
              </w:rPr>
            </w:pPr>
            <w:r w:rsidRPr="00150EDC">
              <w:rPr>
                <w:sz w:val="24"/>
              </w:rPr>
              <w:t>the term of either</w:t>
            </w:r>
            <w:r w:rsidRPr="00150EDC">
              <w:rPr>
                <w:spacing w:val="-2"/>
                <w:sz w:val="24"/>
              </w:rPr>
              <w:t xml:space="preserve"> </w:t>
            </w:r>
            <w:r w:rsidRPr="00150EDC">
              <w:rPr>
                <w:sz w:val="24"/>
              </w:rPr>
              <w:t>a DPS Contract</w:t>
            </w:r>
            <w:r w:rsidRPr="00150EDC">
              <w:rPr>
                <w:spacing w:val="-4"/>
                <w:sz w:val="24"/>
              </w:rPr>
              <w:t xml:space="preserve"> </w:t>
            </w:r>
            <w:r w:rsidRPr="00150EDC">
              <w:rPr>
                <w:sz w:val="24"/>
              </w:rPr>
              <w:t>or</w:t>
            </w:r>
            <w:r w:rsidRPr="00150EDC">
              <w:rPr>
                <w:spacing w:val="-3"/>
                <w:sz w:val="24"/>
              </w:rPr>
              <w:t xml:space="preserve"> </w:t>
            </w:r>
            <w:r w:rsidRPr="00150EDC">
              <w:rPr>
                <w:sz w:val="24"/>
              </w:rPr>
              <w:t>Order</w:t>
            </w:r>
            <w:r w:rsidRPr="00150EDC">
              <w:rPr>
                <w:spacing w:val="-2"/>
                <w:sz w:val="24"/>
              </w:rPr>
              <w:t xml:space="preserve"> </w:t>
            </w:r>
            <w:r w:rsidRPr="00150EDC">
              <w:rPr>
                <w:sz w:val="24"/>
              </w:rPr>
              <w:t>Contract</w:t>
            </w:r>
            <w:r w:rsidRPr="00150EDC">
              <w:rPr>
                <w:spacing w:val="-3"/>
                <w:sz w:val="24"/>
              </w:rPr>
              <w:t xml:space="preserve"> </w:t>
            </w:r>
            <w:r w:rsidRPr="00150EDC">
              <w:rPr>
                <w:sz w:val="24"/>
              </w:rPr>
              <w:t>on and from the earlier of the:</w:t>
            </w:r>
          </w:p>
          <w:p w14:paraId="2D6CF468" w14:textId="77777777" w:rsidR="004C7180" w:rsidRPr="00150EDC" w:rsidRDefault="00CF0754" w:rsidP="00B320C7">
            <w:pPr>
              <w:pStyle w:val="TableParagraph"/>
              <w:numPr>
                <w:ilvl w:val="0"/>
                <w:numId w:val="132"/>
              </w:numPr>
              <w:tabs>
                <w:tab w:val="left" w:pos="387"/>
              </w:tabs>
              <w:spacing w:before="120" w:line="240" w:lineRule="auto"/>
              <w:ind w:left="387" w:hanging="280"/>
              <w:rPr>
                <w:sz w:val="24"/>
              </w:rPr>
            </w:pPr>
            <w:r w:rsidRPr="00150EDC">
              <w:rPr>
                <w:sz w:val="24"/>
              </w:rPr>
              <w:t>applicable</w:t>
            </w:r>
            <w:r w:rsidRPr="00150EDC">
              <w:rPr>
                <w:spacing w:val="-6"/>
                <w:sz w:val="24"/>
              </w:rPr>
              <w:t xml:space="preserve"> </w:t>
            </w:r>
            <w:r w:rsidRPr="00150EDC">
              <w:rPr>
                <w:sz w:val="24"/>
              </w:rPr>
              <w:t>Start</w:t>
            </w:r>
            <w:r w:rsidRPr="00150EDC">
              <w:rPr>
                <w:spacing w:val="-5"/>
                <w:sz w:val="24"/>
              </w:rPr>
              <w:t xml:space="preserve"> </w:t>
            </w:r>
            <w:r w:rsidRPr="00150EDC">
              <w:rPr>
                <w:sz w:val="24"/>
              </w:rPr>
              <w:t>Date;</w:t>
            </w:r>
            <w:r w:rsidRPr="00150EDC">
              <w:rPr>
                <w:spacing w:val="-6"/>
                <w:sz w:val="24"/>
              </w:rPr>
              <w:t xml:space="preserve"> </w:t>
            </w:r>
            <w:r w:rsidRPr="00150EDC">
              <w:rPr>
                <w:spacing w:val="-5"/>
                <w:sz w:val="24"/>
              </w:rPr>
              <w:t>or</w:t>
            </w:r>
          </w:p>
          <w:p w14:paraId="47E910C6" w14:textId="77777777" w:rsidR="004C7180" w:rsidRPr="00150EDC" w:rsidRDefault="00CF0754" w:rsidP="00B320C7">
            <w:pPr>
              <w:pStyle w:val="TableParagraph"/>
              <w:numPr>
                <w:ilvl w:val="0"/>
                <w:numId w:val="132"/>
              </w:numPr>
              <w:tabs>
                <w:tab w:val="left" w:pos="387"/>
              </w:tabs>
              <w:spacing w:before="120" w:line="240" w:lineRule="auto"/>
              <w:ind w:left="387" w:hanging="280"/>
              <w:rPr>
                <w:sz w:val="24"/>
              </w:rPr>
            </w:pPr>
            <w:r w:rsidRPr="00150EDC">
              <w:rPr>
                <w:sz w:val="24"/>
              </w:rPr>
              <w:t>the</w:t>
            </w:r>
            <w:r w:rsidRPr="00150EDC">
              <w:rPr>
                <w:spacing w:val="-8"/>
                <w:sz w:val="24"/>
              </w:rPr>
              <w:t xml:space="preserve"> </w:t>
            </w:r>
            <w:r w:rsidRPr="00150EDC">
              <w:rPr>
                <w:sz w:val="24"/>
              </w:rPr>
              <w:t>Effective</w:t>
            </w:r>
            <w:r w:rsidRPr="00150EDC">
              <w:rPr>
                <w:spacing w:val="-3"/>
                <w:sz w:val="24"/>
              </w:rPr>
              <w:t xml:space="preserve"> </w:t>
            </w:r>
            <w:r w:rsidRPr="00150EDC">
              <w:rPr>
                <w:spacing w:val="-4"/>
                <w:sz w:val="24"/>
              </w:rPr>
              <w:t>Date</w:t>
            </w:r>
          </w:p>
          <w:p w14:paraId="53355159" w14:textId="77777777" w:rsidR="004C7180" w:rsidRPr="00150EDC" w:rsidRDefault="00CF0754">
            <w:pPr>
              <w:pStyle w:val="TableParagraph"/>
              <w:spacing w:before="120" w:line="240" w:lineRule="auto"/>
              <w:ind w:left="107"/>
              <w:rPr>
                <w:sz w:val="24"/>
              </w:rPr>
            </w:pPr>
            <w:r w:rsidRPr="00150EDC">
              <w:rPr>
                <w:sz w:val="24"/>
              </w:rPr>
              <w:t>up</w:t>
            </w:r>
            <w:r w:rsidRPr="00150EDC">
              <w:rPr>
                <w:spacing w:val="-3"/>
                <w:sz w:val="24"/>
              </w:rPr>
              <w:t xml:space="preserve"> </w:t>
            </w:r>
            <w:r w:rsidRPr="00150EDC">
              <w:rPr>
                <w:sz w:val="24"/>
              </w:rPr>
              <w:t>to</w:t>
            </w:r>
            <w:r w:rsidRPr="00150EDC">
              <w:rPr>
                <w:spacing w:val="-2"/>
                <w:sz w:val="24"/>
              </w:rPr>
              <w:t xml:space="preserve"> </w:t>
            </w:r>
            <w:r w:rsidRPr="00150EDC">
              <w:rPr>
                <w:sz w:val="24"/>
              </w:rPr>
              <w:t>and</w:t>
            </w:r>
            <w:r w:rsidRPr="00150EDC">
              <w:rPr>
                <w:spacing w:val="-2"/>
                <w:sz w:val="24"/>
              </w:rPr>
              <w:t xml:space="preserve"> </w:t>
            </w:r>
            <w:r w:rsidRPr="00150EDC">
              <w:rPr>
                <w:sz w:val="24"/>
              </w:rPr>
              <w:t>including</w:t>
            </w:r>
            <w:r w:rsidRPr="00150EDC">
              <w:rPr>
                <w:spacing w:val="-3"/>
                <w:sz w:val="24"/>
              </w:rPr>
              <w:t xml:space="preserve"> </w:t>
            </w:r>
            <w:r w:rsidRPr="00150EDC">
              <w:rPr>
                <w:sz w:val="24"/>
              </w:rPr>
              <w:t>the</w:t>
            </w:r>
            <w:r w:rsidRPr="00150EDC">
              <w:rPr>
                <w:spacing w:val="-4"/>
                <w:sz w:val="24"/>
              </w:rPr>
              <w:t xml:space="preserve"> </w:t>
            </w:r>
            <w:r w:rsidRPr="00150EDC">
              <w:rPr>
                <w:sz w:val="24"/>
              </w:rPr>
              <w:t>applicable</w:t>
            </w:r>
            <w:r w:rsidRPr="00150EDC">
              <w:rPr>
                <w:spacing w:val="-2"/>
                <w:sz w:val="24"/>
              </w:rPr>
              <w:t xml:space="preserve"> </w:t>
            </w:r>
            <w:r w:rsidRPr="00150EDC">
              <w:rPr>
                <w:sz w:val="24"/>
              </w:rPr>
              <w:t>End</w:t>
            </w:r>
            <w:r w:rsidRPr="00150EDC">
              <w:rPr>
                <w:spacing w:val="-2"/>
                <w:sz w:val="24"/>
              </w:rPr>
              <w:t xml:space="preserve"> Date;</w:t>
            </w:r>
          </w:p>
        </w:tc>
      </w:tr>
      <w:tr w:rsidR="007D3144" w:rsidRPr="007D3144" w14:paraId="106FF4D6" w14:textId="77777777">
        <w:trPr>
          <w:trHeight w:val="674"/>
        </w:trPr>
        <w:tc>
          <w:tcPr>
            <w:tcW w:w="2264" w:type="dxa"/>
          </w:tcPr>
          <w:p w14:paraId="77C7EDFF" w14:textId="77777777" w:rsidR="004C7180" w:rsidRPr="00150EDC" w:rsidRDefault="00CF0754">
            <w:pPr>
              <w:pStyle w:val="TableParagraph"/>
              <w:spacing w:before="2" w:line="240" w:lineRule="auto"/>
              <w:ind w:left="-1"/>
              <w:rPr>
                <w:b/>
                <w:sz w:val="24"/>
              </w:rPr>
            </w:pPr>
            <w:r w:rsidRPr="00150EDC">
              <w:rPr>
                <w:b/>
                <w:sz w:val="24"/>
              </w:rPr>
              <w:t>"Contract</w:t>
            </w:r>
            <w:r w:rsidRPr="00150EDC">
              <w:rPr>
                <w:b/>
                <w:spacing w:val="-9"/>
                <w:sz w:val="24"/>
              </w:rPr>
              <w:t xml:space="preserve"> </w:t>
            </w:r>
            <w:r w:rsidRPr="00150EDC">
              <w:rPr>
                <w:b/>
                <w:spacing w:val="-2"/>
                <w:sz w:val="24"/>
              </w:rPr>
              <w:t>Value"</w:t>
            </w:r>
          </w:p>
        </w:tc>
        <w:tc>
          <w:tcPr>
            <w:tcW w:w="7484" w:type="dxa"/>
          </w:tcPr>
          <w:p w14:paraId="4C02547C" w14:textId="77777777" w:rsidR="004C7180" w:rsidRPr="00150EDC" w:rsidRDefault="00CF0754">
            <w:pPr>
              <w:pStyle w:val="TableParagraph"/>
              <w:spacing w:before="2" w:line="240" w:lineRule="auto"/>
              <w:ind w:left="107"/>
              <w:rPr>
                <w:sz w:val="24"/>
              </w:rPr>
            </w:pPr>
            <w:r w:rsidRPr="00150EDC">
              <w:rPr>
                <w:sz w:val="24"/>
              </w:rPr>
              <w:t>the higher of the actual or expected total Charges paid or payable</w:t>
            </w:r>
            <w:r w:rsidRPr="00150EDC">
              <w:rPr>
                <w:spacing w:val="40"/>
                <w:sz w:val="24"/>
              </w:rPr>
              <w:t xml:space="preserve"> </w:t>
            </w:r>
            <w:r w:rsidRPr="00150EDC">
              <w:rPr>
                <w:sz w:val="24"/>
              </w:rPr>
              <w:t>under a Contract where all obligations are met by the Supplier;</w:t>
            </w:r>
          </w:p>
        </w:tc>
      </w:tr>
      <w:tr w:rsidR="007D3144" w:rsidRPr="007D3144" w14:paraId="48F7774E" w14:textId="77777777">
        <w:trPr>
          <w:trHeight w:val="671"/>
        </w:trPr>
        <w:tc>
          <w:tcPr>
            <w:tcW w:w="2264" w:type="dxa"/>
          </w:tcPr>
          <w:p w14:paraId="32107CC6" w14:textId="77777777" w:rsidR="004C7180" w:rsidRPr="00150EDC" w:rsidRDefault="00CF0754">
            <w:pPr>
              <w:pStyle w:val="TableParagraph"/>
              <w:spacing w:before="0" w:line="240" w:lineRule="auto"/>
              <w:ind w:left="-1"/>
              <w:rPr>
                <w:b/>
                <w:sz w:val="24"/>
              </w:rPr>
            </w:pPr>
            <w:r w:rsidRPr="00150EDC">
              <w:rPr>
                <w:b/>
                <w:sz w:val="24"/>
              </w:rPr>
              <w:t>"Contract</w:t>
            </w:r>
            <w:r w:rsidRPr="00150EDC">
              <w:rPr>
                <w:b/>
                <w:spacing w:val="-9"/>
                <w:sz w:val="24"/>
              </w:rPr>
              <w:t xml:space="preserve"> </w:t>
            </w:r>
            <w:r w:rsidRPr="00150EDC">
              <w:rPr>
                <w:b/>
                <w:spacing w:val="-4"/>
                <w:sz w:val="24"/>
              </w:rPr>
              <w:t>Year"</w:t>
            </w:r>
          </w:p>
        </w:tc>
        <w:tc>
          <w:tcPr>
            <w:tcW w:w="7484" w:type="dxa"/>
          </w:tcPr>
          <w:p w14:paraId="3D8F9943" w14:textId="77777777" w:rsidR="004C7180" w:rsidRPr="00150EDC" w:rsidRDefault="00CF0754">
            <w:pPr>
              <w:pStyle w:val="TableParagraph"/>
              <w:spacing w:before="0" w:line="240" w:lineRule="auto"/>
              <w:ind w:left="107"/>
              <w:rPr>
                <w:sz w:val="24"/>
              </w:rPr>
            </w:pPr>
            <w:r w:rsidRPr="00150EDC">
              <w:rPr>
                <w:sz w:val="24"/>
              </w:rPr>
              <w:t>a</w:t>
            </w:r>
            <w:r w:rsidRPr="00150EDC">
              <w:rPr>
                <w:spacing w:val="-6"/>
                <w:sz w:val="24"/>
              </w:rPr>
              <w:t xml:space="preserve"> </w:t>
            </w:r>
            <w:r w:rsidRPr="00150EDC">
              <w:rPr>
                <w:sz w:val="24"/>
              </w:rPr>
              <w:t>consecutive</w:t>
            </w:r>
            <w:r w:rsidRPr="00150EDC">
              <w:rPr>
                <w:spacing w:val="-8"/>
                <w:sz w:val="24"/>
              </w:rPr>
              <w:t xml:space="preserve"> </w:t>
            </w:r>
            <w:r w:rsidRPr="00150EDC">
              <w:rPr>
                <w:sz w:val="24"/>
              </w:rPr>
              <w:t>period</w:t>
            </w:r>
            <w:r w:rsidRPr="00150EDC">
              <w:rPr>
                <w:spacing w:val="-8"/>
                <w:sz w:val="24"/>
              </w:rPr>
              <w:t xml:space="preserve"> </w:t>
            </w:r>
            <w:r w:rsidRPr="00150EDC">
              <w:rPr>
                <w:sz w:val="24"/>
              </w:rPr>
              <w:t>of</w:t>
            </w:r>
            <w:r w:rsidRPr="00150EDC">
              <w:rPr>
                <w:spacing w:val="-6"/>
                <w:sz w:val="24"/>
              </w:rPr>
              <w:t xml:space="preserve"> </w:t>
            </w:r>
            <w:r w:rsidRPr="00150EDC">
              <w:rPr>
                <w:sz w:val="24"/>
              </w:rPr>
              <w:t>twelve</w:t>
            </w:r>
            <w:r w:rsidRPr="00150EDC">
              <w:rPr>
                <w:spacing w:val="-8"/>
                <w:sz w:val="24"/>
              </w:rPr>
              <w:t xml:space="preserve"> </w:t>
            </w:r>
            <w:r w:rsidRPr="00150EDC">
              <w:rPr>
                <w:sz w:val="24"/>
              </w:rPr>
              <w:t>(12)</w:t>
            </w:r>
            <w:r w:rsidRPr="00150EDC">
              <w:rPr>
                <w:spacing w:val="-3"/>
                <w:sz w:val="24"/>
              </w:rPr>
              <w:t xml:space="preserve"> </w:t>
            </w:r>
            <w:r w:rsidRPr="00150EDC">
              <w:rPr>
                <w:sz w:val="24"/>
              </w:rPr>
              <w:t>Months</w:t>
            </w:r>
            <w:r w:rsidRPr="00150EDC">
              <w:rPr>
                <w:spacing w:val="-9"/>
                <w:sz w:val="24"/>
              </w:rPr>
              <w:t xml:space="preserve"> </w:t>
            </w:r>
            <w:r w:rsidRPr="00150EDC">
              <w:rPr>
                <w:sz w:val="24"/>
              </w:rPr>
              <w:t>commencing</w:t>
            </w:r>
            <w:r w:rsidRPr="00150EDC">
              <w:rPr>
                <w:spacing w:val="-7"/>
                <w:sz w:val="24"/>
              </w:rPr>
              <w:t xml:space="preserve"> </w:t>
            </w:r>
            <w:r w:rsidRPr="00150EDC">
              <w:rPr>
                <w:sz w:val="24"/>
              </w:rPr>
              <w:t>on</w:t>
            </w:r>
            <w:r w:rsidRPr="00150EDC">
              <w:rPr>
                <w:spacing w:val="-8"/>
                <w:sz w:val="24"/>
              </w:rPr>
              <w:t xml:space="preserve"> </w:t>
            </w:r>
            <w:r w:rsidRPr="00150EDC">
              <w:rPr>
                <w:sz w:val="24"/>
              </w:rPr>
              <w:t>the</w:t>
            </w:r>
            <w:r w:rsidRPr="00150EDC">
              <w:rPr>
                <w:spacing w:val="-8"/>
                <w:sz w:val="24"/>
              </w:rPr>
              <w:t xml:space="preserve"> </w:t>
            </w:r>
            <w:r w:rsidRPr="00150EDC">
              <w:rPr>
                <w:sz w:val="24"/>
              </w:rPr>
              <w:t>Start Date or each anniversary thereof;</w:t>
            </w:r>
          </w:p>
        </w:tc>
      </w:tr>
      <w:tr w:rsidR="007D3144" w:rsidRPr="007D3144" w14:paraId="5024B46E" w14:textId="77777777">
        <w:trPr>
          <w:trHeight w:val="947"/>
        </w:trPr>
        <w:tc>
          <w:tcPr>
            <w:tcW w:w="2264" w:type="dxa"/>
          </w:tcPr>
          <w:p w14:paraId="58A8CE9D" w14:textId="77777777" w:rsidR="004C7180" w:rsidRPr="00150EDC" w:rsidRDefault="00CF0754">
            <w:pPr>
              <w:pStyle w:val="TableParagraph"/>
              <w:spacing w:before="0" w:line="240" w:lineRule="auto"/>
              <w:ind w:left="-1"/>
              <w:rPr>
                <w:b/>
                <w:sz w:val="24"/>
              </w:rPr>
            </w:pPr>
            <w:r w:rsidRPr="00150EDC">
              <w:rPr>
                <w:b/>
                <w:spacing w:val="-2"/>
                <w:sz w:val="24"/>
              </w:rPr>
              <w:t>"Control"</w:t>
            </w:r>
          </w:p>
        </w:tc>
        <w:tc>
          <w:tcPr>
            <w:tcW w:w="7484" w:type="dxa"/>
          </w:tcPr>
          <w:p w14:paraId="5F0B50B9" w14:textId="77777777" w:rsidR="004C7180" w:rsidRPr="00150EDC" w:rsidRDefault="00CF0754">
            <w:pPr>
              <w:pStyle w:val="TableParagraph"/>
              <w:spacing w:before="0" w:line="240" w:lineRule="auto"/>
              <w:ind w:left="107" w:right="99"/>
              <w:jc w:val="both"/>
              <w:rPr>
                <w:sz w:val="24"/>
              </w:rPr>
            </w:pPr>
            <w:r w:rsidRPr="00150EDC">
              <w:rPr>
                <w:sz w:val="24"/>
              </w:rPr>
              <w:t>control</w:t>
            </w:r>
            <w:r w:rsidRPr="00150EDC">
              <w:rPr>
                <w:spacing w:val="-13"/>
                <w:sz w:val="24"/>
              </w:rPr>
              <w:t xml:space="preserve"> </w:t>
            </w:r>
            <w:r w:rsidRPr="00150EDC">
              <w:rPr>
                <w:sz w:val="24"/>
              </w:rPr>
              <w:t>in</w:t>
            </w:r>
            <w:r w:rsidRPr="00150EDC">
              <w:rPr>
                <w:spacing w:val="-15"/>
                <w:sz w:val="24"/>
              </w:rPr>
              <w:t xml:space="preserve"> </w:t>
            </w:r>
            <w:r w:rsidRPr="00150EDC">
              <w:rPr>
                <w:sz w:val="24"/>
              </w:rPr>
              <w:t>either</w:t>
            </w:r>
            <w:r w:rsidRPr="00150EDC">
              <w:rPr>
                <w:spacing w:val="-16"/>
                <w:sz w:val="24"/>
              </w:rPr>
              <w:t xml:space="preserve"> </w:t>
            </w:r>
            <w:r w:rsidRPr="00150EDC">
              <w:rPr>
                <w:sz w:val="24"/>
              </w:rPr>
              <w:t>of</w:t>
            </w:r>
            <w:r w:rsidRPr="00150EDC">
              <w:rPr>
                <w:spacing w:val="-12"/>
                <w:sz w:val="24"/>
              </w:rPr>
              <w:t xml:space="preserve"> </w:t>
            </w:r>
            <w:r w:rsidRPr="00150EDC">
              <w:rPr>
                <w:sz w:val="24"/>
              </w:rPr>
              <w:t>the</w:t>
            </w:r>
            <w:r w:rsidRPr="00150EDC">
              <w:rPr>
                <w:spacing w:val="-12"/>
                <w:sz w:val="24"/>
              </w:rPr>
              <w:t xml:space="preserve"> </w:t>
            </w:r>
            <w:r w:rsidRPr="00150EDC">
              <w:rPr>
                <w:sz w:val="24"/>
              </w:rPr>
              <w:t>senses</w:t>
            </w:r>
            <w:r w:rsidRPr="00150EDC">
              <w:rPr>
                <w:spacing w:val="-15"/>
                <w:sz w:val="24"/>
              </w:rPr>
              <w:t xml:space="preserve"> </w:t>
            </w:r>
            <w:r w:rsidRPr="00150EDC">
              <w:rPr>
                <w:sz w:val="24"/>
              </w:rPr>
              <w:t>defined</w:t>
            </w:r>
            <w:r w:rsidRPr="00150EDC">
              <w:rPr>
                <w:spacing w:val="-12"/>
                <w:sz w:val="24"/>
              </w:rPr>
              <w:t xml:space="preserve"> </w:t>
            </w:r>
            <w:r w:rsidRPr="00150EDC">
              <w:rPr>
                <w:sz w:val="24"/>
              </w:rPr>
              <w:t>in</w:t>
            </w:r>
            <w:r w:rsidRPr="00150EDC">
              <w:rPr>
                <w:spacing w:val="-12"/>
                <w:sz w:val="24"/>
              </w:rPr>
              <w:t xml:space="preserve"> </w:t>
            </w:r>
            <w:r w:rsidRPr="00150EDC">
              <w:rPr>
                <w:sz w:val="24"/>
              </w:rPr>
              <w:t>sections</w:t>
            </w:r>
            <w:r w:rsidRPr="00150EDC">
              <w:rPr>
                <w:spacing w:val="-13"/>
                <w:sz w:val="24"/>
              </w:rPr>
              <w:t xml:space="preserve"> </w:t>
            </w:r>
            <w:r w:rsidRPr="00150EDC">
              <w:rPr>
                <w:sz w:val="24"/>
              </w:rPr>
              <w:t>450</w:t>
            </w:r>
            <w:r w:rsidRPr="00150EDC">
              <w:rPr>
                <w:spacing w:val="-12"/>
                <w:sz w:val="24"/>
              </w:rPr>
              <w:t xml:space="preserve"> </w:t>
            </w:r>
            <w:r w:rsidRPr="00150EDC">
              <w:rPr>
                <w:sz w:val="24"/>
              </w:rPr>
              <w:t>and</w:t>
            </w:r>
            <w:r w:rsidRPr="00150EDC">
              <w:rPr>
                <w:spacing w:val="-14"/>
                <w:sz w:val="24"/>
              </w:rPr>
              <w:t xml:space="preserve"> </w:t>
            </w:r>
            <w:r w:rsidRPr="00150EDC">
              <w:rPr>
                <w:sz w:val="24"/>
              </w:rPr>
              <w:t>1124</w:t>
            </w:r>
            <w:r w:rsidRPr="00150EDC">
              <w:rPr>
                <w:spacing w:val="-12"/>
                <w:sz w:val="24"/>
              </w:rPr>
              <w:t xml:space="preserve"> </w:t>
            </w:r>
            <w:r w:rsidRPr="00150EDC">
              <w:rPr>
                <w:sz w:val="24"/>
              </w:rPr>
              <w:t>of</w:t>
            </w:r>
            <w:r w:rsidRPr="00150EDC">
              <w:rPr>
                <w:spacing w:val="-14"/>
                <w:sz w:val="24"/>
              </w:rPr>
              <w:t xml:space="preserve"> </w:t>
            </w:r>
            <w:r w:rsidRPr="00150EDC">
              <w:rPr>
                <w:sz w:val="24"/>
              </w:rPr>
              <w:t>the Corporation Tax Act 2010 and "</w:t>
            </w:r>
            <w:r w:rsidRPr="00150EDC">
              <w:rPr>
                <w:b/>
                <w:sz w:val="24"/>
              </w:rPr>
              <w:t>Controlled</w:t>
            </w:r>
            <w:r w:rsidRPr="00150EDC">
              <w:rPr>
                <w:sz w:val="24"/>
              </w:rPr>
              <w:t xml:space="preserve">" shall be construed </w:t>
            </w:r>
            <w:r w:rsidRPr="00150EDC">
              <w:rPr>
                <w:spacing w:val="-2"/>
                <w:sz w:val="24"/>
              </w:rPr>
              <w:t>accordingly;</w:t>
            </w:r>
          </w:p>
        </w:tc>
      </w:tr>
      <w:tr w:rsidR="007D3144" w:rsidRPr="007D3144" w14:paraId="765279E0" w14:textId="77777777">
        <w:trPr>
          <w:trHeight w:val="395"/>
        </w:trPr>
        <w:tc>
          <w:tcPr>
            <w:tcW w:w="2264" w:type="dxa"/>
          </w:tcPr>
          <w:p w14:paraId="2B2AB707" w14:textId="77777777" w:rsidR="004C7180" w:rsidRPr="00150EDC" w:rsidRDefault="00CF0754">
            <w:pPr>
              <w:pStyle w:val="TableParagraph"/>
              <w:spacing w:before="0" w:line="240" w:lineRule="auto"/>
              <w:ind w:left="-1"/>
              <w:rPr>
                <w:b/>
                <w:sz w:val="24"/>
              </w:rPr>
            </w:pPr>
            <w:r w:rsidRPr="00150EDC">
              <w:rPr>
                <w:b/>
                <w:spacing w:val="-2"/>
                <w:sz w:val="24"/>
              </w:rPr>
              <w:t>“Controller”</w:t>
            </w:r>
          </w:p>
        </w:tc>
        <w:tc>
          <w:tcPr>
            <w:tcW w:w="7484" w:type="dxa"/>
          </w:tcPr>
          <w:p w14:paraId="20BC63EF" w14:textId="77777777" w:rsidR="004C7180" w:rsidRPr="00150EDC" w:rsidRDefault="00CF0754">
            <w:pPr>
              <w:pStyle w:val="TableParagraph"/>
              <w:spacing w:before="0" w:line="240" w:lineRule="auto"/>
              <w:ind w:left="107"/>
              <w:rPr>
                <w:sz w:val="24"/>
              </w:rPr>
            </w:pPr>
            <w:r w:rsidRPr="00150EDC">
              <w:rPr>
                <w:sz w:val="24"/>
              </w:rPr>
              <w:t>has</w:t>
            </w:r>
            <w:r w:rsidRPr="00150EDC">
              <w:rPr>
                <w:spacing w:val="-2"/>
                <w:sz w:val="24"/>
              </w:rPr>
              <w:t xml:space="preserve"> </w:t>
            </w:r>
            <w:r w:rsidRPr="00150EDC">
              <w:rPr>
                <w:sz w:val="24"/>
              </w:rPr>
              <w:t>the</w:t>
            </w:r>
            <w:r w:rsidRPr="00150EDC">
              <w:rPr>
                <w:spacing w:val="-4"/>
                <w:sz w:val="24"/>
              </w:rPr>
              <w:t xml:space="preserve"> </w:t>
            </w:r>
            <w:r w:rsidRPr="00150EDC">
              <w:rPr>
                <w:sz w:val="24"/>
              </w:rPr>
              <w:t>meaning</w:t>
            </w:r>
            <w:r w:rsidRPr="00150EDC">
              <w:rPr>
                <w:spacing w:val="-2"/>
                <w:sz w:val="24"/>
              </w:rPr>
              <w:t xml:space="preserve"> </w:t>
            </w:r>
            <w:r w:rsidRPr="00150EDC">
              <w:rPr>
                <w:sz w:val="24"/>
              </w:rPr>
              <w:t>given</w:t>
            </w:r>
            <w:r w:rsidRPr="00150EDC">
              <w:rPr>
                <w:spacing w:val="-3"/>
                <w:sz w:val="24"/>
              </w:rPr>
              <w:t xml:space="preserve"> </w:t>
            </w:r>
            <w:r w:rsidRPr="00150EDC">
              <w:rPr>
                <w:sz w:val="24"/>
              </w:rPr>
              <w:t>to</w:t>
            </w:r>
            <w:r w:rsidRPr="00150EDC">
              <w:rPr>
                <w:spacing w:val="-2"/>
                <w:sz w:val="24"/>
              </w:rPr>
              <w:t xml:space="preserve"> </w:t>
            </w:r>
            <w:r w:rsidRPr="00150EDC">
              <w:rPr>
                <w:sz w:val="24"/>
              </w:rPr>
              <w:t>it</w:t>
            </w:r>
            <w:r w:rsidRPr="00150EDC">
              <w:rPr>
                <w:spacing w:val="-2"/>
                <w:sz w:val="24"/>
              </w:rPr>
              <w:t xml:space="preserve"> </w:t>
            </w:r>
            <w:r w:rsidRPr="00150EDC">
              <w:rPr>
                <w:sz w:val="24"/>
              </w:rPr>
              <w:t>in</w:t>
            </w:r>
            <w:r w:rsidRPr="00150EDC">
              <w:rPr>
                <w:spacing w:val="-3"/>
                <w:sz w:val="24"/>
              </w:rPr>
              <w:t xml:space="preserve"> </w:t>
            </w:r>
            <w:r w:rsidRPr="00150EDC">
              <w:rPr>
                <w:sz w:val="24"/>
              </w:rPr>
              <w:t>the</w:t>
            </w:r>
            <w:r w:rsidRPr="00150EDC">
              <w:rPr>
                <w:spacing w:val="-2"/>
                <w:sz w:val="24"/>
              </w:rPr>
              <w:t xml:space="preserve"> </w:t>
            </w:r>
            <w:r w:rsidRPr="00150EDC">
              <w:rPr>
                <w:sz w:val="24"/>
              </w:rPr>
              <w:t>UK</w:t>
            </w:r>
            <w:r w:rsidRPr="00150EDC">
              <w:rPr>
                <w:spacing w:val="-2"/>
                <w:sz w:val="24"/>
              </w:rPr>
              <w:t xml:space="preserve"> GDPR;</w:t>
            </w:r>
          </w:p>
        </w:tc>
      </w:tr>
      <w:tr w:rsidR="007D3144" w:rsidRPr="007D3144" w14:paraId="13EDB820" w14:textId="77777777">
        <w:trPr>
          <w:trHeight w:val="1224"/>
        </w:trPr>
        <w:tc>
          <w:tcPr>
            <w:tcW w:w="2264" w:type="dxa"/>
          </w:tcPr>
          <w:p w14:paraId="551A6D1A" w14:textId="77777777" w:rsidR="004C7180" w:rsidRPr="00150EDC" w:rsidRDefault="00CF0754">
            <w:pPr>
              <w:pStyle w:val="TableParagraph"/>
              <w:spacing w:before="0" w:line="240" w:lineRule="auto"/>
              <w:ind w:left="-1"/>
              <w:rPr>
                <w:b/>
                <w:sz w:val="24"/>
              </w:rPr>
            </w:pPr>
            <w:r w:rsidRPr="00150EDC">
              <w:rPr>
                <w:b/>
                <w:sz w:val="24"/>
              </w:rPr>
              <w:t xml:space="preserve">“Consortia” / </w:t>
            </w:r>
            <w:r w:rsidRPr="00150EDC">
              <w:rPr>
                <w:b/>
                <w:spacing w:val="-2"/>
                <w:sz w:val="24"/>
              </w:rPr>
              <w:t>“Consortium”</w:t>
            </w:r>
          </w:p>
        </w:tc>
        <w:tc>
          <w:tcPr>
            <w:tcW w:w="7484" w:type="dxa"/>
          </w:tcPr>
          <w:p w14:paraId="71D8597B" w14:textId="77777777" w:rsidR="004C7180" w:rsidRPr="00150EDC" w:rsidRDefault="00CF0754">
            <w:pPr>
              <w:pStyle w:val="TableParagraph"/>
              <w:spacing w:before="0" w:line="240" w:lineRule="auto"/>
              <w:ind w:left="107" w:right="102"/>
              <w:jc w:val="both"/>
              <w:rPr>
                <w:sz w:val="24"/>
              </w:rPr>
            </w:pPr>
            <w:r w:rsidRPr="00150EDC">
              <w:rPr>
                <w:sz w:val="24"/>
              </w:rPr>
              <w:t>This can refer to multiple suppliers working in collaboration on the same</w:t>
            </w:r>
            <w:r w:rsidRPr="00150EDC">
              <w:rPr>
                <w:spacing w:val="-4"/>
                <w:sz w:val="24"/>
              </w:rPr>
              <w:t xml:space="preserve"> </w:t>
            </w:r>
            <w:r w:rsidRPr="00150EDC">
              <w:rPr>
                <w:sz w:val="24"/>
              </w:rPr>
              <w:t>contract,</w:t>
            </w:r>
            <w:r w:rsidRPr="00150EDC">
              <w:rPr>
                <w:spacing w:val="-4"/>
                <w:sz w:val="24"/>
              </w:rPr>
              <w:t xml:space="preserve"> </w:t>
            </w:r>
            <w:r w:rsidRPr="00150EDC">
              <w:rPr>
                <w:sz w:val="24"/>
              </w:rPr>
              <w:t>also</w:t>
            </w:r>
            <w:r w:rsidRPr="00150EDC">
              <w:rPr>
                <w:spacing w:val="-4"/>
                <w:sz w:val="24"/>
              </w:rPr>
              <w:t xml:space="preserve"> </w:t>
            </w:r>
            <w:r w:rsidRPr="00150EDC">
              <w:rPr>
                <w:sz w:val="24"/>
              </w:rPr>
              <w:t>known</w:t>
            </w:r>
            <w:r w:rsidRPr="00150EDC">
              <w:rPr>
                <w:spacing w:val="-2"/>
                <w:sz w:val="24"/>
              </w:rPr>
              <w:t xml:space="preserve"> </w:t>
            </w:r>
            <w:r w:rsidRPr="00150EDC">
              <w:rPr>
                <w:sz w:val="24"/>
              </w:rPr>
              <w:t>in</w:t>
            </w:r>
            <w:r w:rsidRPr="00150EDC">
              <w:rPr>
                <w:spacing w:val="-4"/>
                <w:sz w:val="24"/>
              </w:rPr>
              <w:t xml:space="preserve"> </w:t>
            </w:r>
            <w:r w:rsidRPr="00150EDC">
              <w:rPr>
                <w:sz w:val="24"/>
              </w:rPr>
              <w:t>public</w:t>
            </w:r>
            <w:r w:rsidRPr="00150EDC">
              <w:rPr>
                <w:spacing w:val="-4"/>
                <w:sz w:val="24"/>
              </w:rPr>
              <w:t xml:space="preserve"> </w:t>
            </w:r>
            <w:r w:rsidRPr="00150EDC">
              <w:rPr>
                <w:sz w:val="24"/>
              </w:rPr>
              <w:t>sector</w:t>
            </w:r>
            <w:r w:rsidRPr="00150EDC">
              <w:rPr>
                <w:spacing w:val="-5"/>
                <w:sz w:val="24"/>
              </w:rPr>
              <w:t xml:space="preserve"> </w:t>
            </w:r>
            <w:r w:rsidRPr="00150EDC">
              <w:rPr>
                <w:sz w:val="24"/>
              </w:rPr>
              <w:t>documentation</w:t>
            </w:r>
            <w:r w:rsidRPr="00150EDC">
              <w:rPr>
                <w:spacing w:val="-4"/>
                <w:sz w:val="24"/>
              </w:rPr>
              <w:t xml:space="preserve"> </w:t>
            </w:r>
            <w:r w:rsidRPr="00150EDC">
              <w:rPr>
                <w:sz w:val="24"/>
              </w:rPr>
              <w:t>as</w:t>
            </w:r>
            <w:r w:rsidRPr="00150EDC">
              <w:rPr>
                <w:spacing w:val="-4"/>
                <w:sz w:val="24"/>
              </w:rPr>
              <w:t xml:space="preserve"> </w:t>
            </w:r>
            <w:r w:rsidRPr="00150EDC">
              <w:rPr>
                <w:sz w:val="24"/>
              </w:rPr>
              <w:t>‘Group of Economic Operators’. This will have one lead supplier who manages all the other suppliers within the group / consortia.</w:t>
            </w:r>
          </w:p>
        </w:tc>
      </w:tr>
      <w:tr w:rsidR="007D3144" w:rsidRPr="007D3144" w14:paraId="69B40AFB" w14:textId="77777777">
        <w:trPr>
          <w:trHeight w:val="947"/>
        </w:trPr>
        <w:tc>
          <w:tcPr>
            <w:tcW w:w="2264" w:type="dxa"/>
          </w:tcPr>
          <w:p w14:paraId="21BD6198" w14:textId="77777777" w:rsidR="004C7180" w:rsidRPr="00150EDC" w:rsidRDefault="00CF0754">
            <w:pPr>
              <w:pStyle w:val="TableParagraph"/>
              <w:spacing w:before="0" w:line="240" w:lineRule="auto"/>
              <w:ind w:left="-1"/>
              <w:rPr>
                <w:b/>
                <w:sz w:val="24"/>
              </w:rPr>
            </w:pPr>
            <w:r w:rsidRPr="00150EDC">
              <w:rPr>
                <w:b/>
                <w:sz w:val="24"/>
              </w:rPr>
              <w:t>“Core</w:t>
            </w:r>
            <w:r w:rsidRPr="00150EDC">
              <w:rPr>
                <w:b/>
                <w:spacing w:val="-4"/>
                <w:sz w:val="24"/>
              </w:rPr>
              <w:t xml:space="preserve"> </w:t>
            </w:r>
            <w:r w:rsidRPr="00150EDC">
              <w:rPr>
                <w:b/>
                <w:spacing w:val="-2"/>
                <w:sz w:val="24"/>
              </w:rPr>
              <w:t>Terms”</w:t>
            </w:r>
          </w:p>
        </w:tc>
        <w:tc>
          <w:tcPr>
            <w:tcW w:w="7484" w:type="dxa"/>
          </w:tcPr>
          <w:p w14:paraId="7955C002" w14:textId="77777777" w:rsidR="004C7180" w:rsidRPr="00150EDC" w:rsidRDefault="00CF0754">
            <w:pPr>
              <w:pStyle w:val="TableParagraph"/>
              <w:spacing w:before="0" w:line="240" w:lineRule="auto"/>
              <w:ind w:left="277" w:right="98"/>
              <w:jc w:val="both"/>
              <w:rPr>
                <w:sz w:val="24"/>
              </w:rPr>
            </w:pPr>
            <w:r w:rsidRPr="00150EDC">
              <w:rPr>
                <w:sz w:val="24"/>
              </w:rPr>
              <w:t>CCS’ terms and conditions for common goods and services which govern how Suppliers must interact with CCS and Buyers under DPS Contracts and Order Contracts;</w:t>
            </w:r>
          </w:p>
        </w:tc>
      </w:tr>
      <w:tr w:rsidR="007D3144" w:rsidRPr="007D3144" w14:paraId="797BB0DD" w14:textId="77777777">
        <w:trPr>
          <w:trHeight w:val="887"/>
        </w:trPr>
        <w:tc>
          <w:tcPr>
            <w:tcW w:w="2264" w:type="dxa"/>
            <w:vMerge w:val="restart"/>
          </w:tcPr>
          <w:p w14:paraId="3B161B92" w14:textId="77777777" w:rsidR="004C7180" w:rsidRPr="00150EDC" w:rsidRDefault="00CF0754">
            <w:pPr>
              <w:pStyle w:val="TableParagraph"/>
              <w:spacing w:before="0" w:line="240" w:lineRule="auto"/>
              <w:ind w:left="-1"/>
              <w:rPr>
                <w:b/>
                <w:sz w:val="24"/>
              </w:rPr>
            </w:pPr>
            <w:r w:rsidRPr="00150EDC">
              <w:rPr>
                <w:b/>
                <w:spacing w:val="-2"/>
                <w:sz w:val="24"/>
              </w:rPr>
              <w:t>"Costs"</w:t>
            </w:r>
          </w:p>
        </w:tc>
        <w:tc>
          <w:tcPr>
            <w:tcW w:w="7484" w:type="dxa"/>
            <w:tcBorders>
              <w:bottom w:val="nil"/>
            </w:tcBorders>
          </w:tcPr>
          <w:p w14:paraId="5A2C8874" w14:textId="77777777" w:rsidR="004C7180" w:rsidRPr="00150EDC" w:rsidRDefault="00CF0754">
            <w:pPr>
              <w:pStyle w:val="TableParagraph"/>
              <w:spacing w:before="0" w:line="240" w:lineRule="auto"/>
              <w:ind w:left="107" w:right="102"/>
              <w:jc w:val="both"/>
              <w:rPr>
                <w:sz w:val="24"/>
              </w:rPr>
            </w:pPr>
            <w:r w:rsidRPr="00150EDC">
              <w:rPr>
                <w:sz w:val="24"/>
              </w:rPr>
              <w:t>the following costs (without double recovery) to the extent that they are</w:t>
            </w:r>
            <w:r w:rsidRPr="00150EDC">
              <w:rPr>
                <w:spacing w:val="-6"/>
                <w:sz w:val="24"/>
              </w:rPr>
              <w:t xml:space="preserve"> </w:t>
            </w:r>
            <w:r w:rsidRPr="00150EDC">
              <w:rPr>
                <w:sz w:val="24"/>
              </w:rPr>
              <w:t>reasonably</w:t>
            </w:r>
            <w:r w:rsidRPr="00150EDC">
              <w:rPr>
                <w:spacing w:val="-7"/>
                <w:sz w:val="24"/>
              </w:rPr>
              <w:t xml:space="preserve"> </w:t>
            </w:r>
            <w:r w:rsidRPr="00150EDC">
              <w:rPr>
                <w:sz w:val="24"/>
              </w:rPr>
              <w:t>and</w:t>
            </w:r>
            <w:r w:rsidRPr="00150EDC">
              <w:rPr>
                <w:spacing w:val="-6"/>
                <w:sz w:val="24"/>
              </w:rPr>
              <w:t xml:space="preserve"> </w:t>
            </w:r>
            <w:r w:rsidRPr="00150EDC">
              <w:rPr>
                <w:sz w:val="24"/>
              </w:rPr>
              <w:t>properly</w:t>
            </w:r>
            <w:r w:rsidRPr="00150EDC">
              <w:rPr>
                <w:spacing w:val="-6"/>
                <w:sz w:val="24"/>
              </w:rPr>
              <w:t xml:space="preserve"> </w:t>
            </w:r>
            <w:r w:rsidRPr="00150EDC">
              <w:rPr>
                <w:sz w:val="24"/>
              </w:rPr>
              <w:t>incurred</w:t>
            </w:r>
            <w:r w:rsidRPr="00150EDC">
              <w:rPr>
                <w:spacing w:val="-6"/>
                <w:sz w:val="24"/>
              </w:rPr>
              <w:t xml:space="preserve"> </w:t>
            </w:r>
            <w:r w:rsidRPr="00150EDC">
              <w:rPr>
                <w:sz w:val="24"/>
              </w:rPr>
              <w:t>by</w:t>
            </w:r>
            <w:r w:rsidRPr="00150EDC">
              <w:rPr>
                <w:spacing w:val="-9"/>
                <w:sz w:val="24"/>
              </w:rPr>
              <w:t xml:space="preserve"> </w:t>
            </w:r>
            <w:r w:rsidRPr="00150EDC">
              <w:rPr>
                <w:sz w:val="24"/>
              </w:rPr>
              <w:t>the</w:t>
            </w:r>
            <w:r w:rsidRPr="00150EDC">
              <w:rPr>
                <w:spacing w:val="-8"/>
                <w:sz w:val="24"/>
              </w:rPr>
              <w:t xml:space="preserve"> </w:t>
            </w:r>
            <w:r w:rsidRPr="00150EDC">
              <w:rPr>
                <w:sz w:val="24"/>
              </w:rPr>
              <w:t>Supplier</w:t>
            </w:r>
            <w:r w:rsidRPr="00150EDC">
              <w:rPr>
                <w:spacing w:val="-7"/>
                <w:sz w:val="24"/>
              </w:rPr>
              <w:t xml:space="preserve"> </w:t>
            </w:r>
            <w:r w:rsidRPr="00150EDC">
              <w:rPr>
                <w:sz w:val="24"/>
              </w:rPr>
              <w:t>in</w:t>
            </w:r>
            <w:r w:rsidRPr="00150EDC">
              <w:rPr>
                <w:spacing w:val="-6"/>
                <w:sz w:val="24"/>
              </w:rPr>
              <w:t xml:space="preserve"> </w:t>
            </w:r>
            <w:r w:rsidRPr="00150EDC">
              <w:rPr>
                <w:sz w:val="24"/>
              </w:rPr>
              <w:t>providing</w:t>
            </w:r>
            <w:r w:rsidRPr="00150EDC">
              <w:rPr>
                <w:spacing w:val="-5"/>
                <w:sz w:val="24"/>
              </w:rPr>
              <w:t xml:space="preserve"> </w:t>
            </w:r>
            <w:r w:rsidRPr="00150EDC">
              <w:rPr>
                <w:sz w:val="24"/>
              </w:rPr>
              <w:t xml:space="preserve">the </w:t>
            </w:r>
            <w:r w:rsidRPr="00150EDC">
              <w:rPr>
                <w:spacing w:val="-2"/>
                <w:sz w:val="24"/>
              </w:rPr>
              <w:t>Deliverables:</w:t>
            </w:r>
          </w:p>
        </w:tc>
      </w:tr>
      <w:tr w:rsidR="007D3144" w:rsidRPr="007D3144" w14:paraId="14EF133D" w14:textId="77777777">
        <w:trPr>
          <w:trHeight w:val="3771"/>
        </w:trPr>
        <w:tc>
          <w:tcPr>
            <w:tcW w:w="2264" w:type="dxa"/>
            <w:vMerge/>
            <w:tcBorders>
              <w:top w:val="nil"/>
            </w:tcBorders>
          </w:tcPr>
          <w:p w14:paraId="193D0F9D" w14:textId="77777777" w:rsidR="004C7180" w:rsidRPr="007D3144" w:rsidRDefault="004C7180">
            <w:pPr>
              <w:rPr>
                <w:sz w:val="2"/>
                <w:szCs w:val="2"/>
              </w:rPr>
            </w:pPr>
          </w:p>
        </w:tc>
        <w:tc>
          <w:tcPr>
            <w:tcW w:w="7484" w:type="dxa"/>
            <w:tcBorders>
              <w:top w:val="nil"/>
            </w:tcBorders>
          </w:tcPr>
          <w:p w14:paraId="568CC14A" w14:textId="77777777" w:rsidR="004C7180" w:rsidRPr="00150EDC" w:rsidRDefault="00CF0754" w:rsidP="00B320C7">
            <w:pPr>
              <w:pStyle w:val="TableParagraph"/>
              <w:numPr>
                <w:ilvl w:val="0"/>
                <w:numId w:val="131"/>
              </w:numPr>
              <w:tabs>
                <w:tab w:val="left" w:pos="537"/>
                <w:tab w:val="left" w:pos="539"/>
              </w:tabs>
              <w:spacing w:before="51" w:line="240" w:lineRule="auto"/>
              <w:ind w:right="96"/>
              <w:jc w:val="both"/>
              <w:rPr>
                <w:sz w:val="24"/>
              </w:rPr>
            </w:pPr>
            <w:r w:rsidRPr="00150EDC">
              <w:rPr>
                <w:sz w:val="24"/>
              </w:rPr>
              <w:t>the cost</w:t>
            </w:r>
            <w:r w:rsidRPr="00150EDC">
              <w:rPr>
                <w:spacing w:val="-3"/>
                <w:sz w:val="24"/>
              </w:rPr>
              <w:t xml:space="preserve"> </w:t>
            </w:r>
            <w:r w:rsidRPr="00150EDC">
              <w:rPr>
                <w:sz w:val="24"/>
              </w:rPr>
              <w:t>to</w:t>
            </w:r>
            <w:r w:rsidRPr="00150EDC">
              <w:rPr>
                <w:spacing w:val="-2"/>
                <w:sz w:val="24"/>
              </w:rPr>
              <w:t xml:space="preserve"> </w:t>
            </w:r>
            <w:r w:rsidRPr="00150EDC">
              <w:rPr>
                <w:sz w:val="24"/>
              </w:rPr>
              <w:t>the Supplier</w:t>
            </w:r>
            <w:r w:rsidRPr="00150EDC">
              <w:rPr>
                <w:spacing w:val="-2"/>
                <w:sz w:val="24"/>
              </w:rPr>
              <w:t xml:space="preserve"> </w:t>
            </w:r>
            <w:r w:rsidRPr="00150EDC">
              <w:rPr>
                <w:sz w:val="24"/>
              </w:rPr>
              <w:t>or</w:t>
            </w:r>
            <w:r w:rsidRPr="00150EDC">
              <w:rPr>
                <w:spacing w:val="-2"/>
                <w:sz w:val="24"/>
              </w:rPr>
              <w:t xml:space="preserve"> </w:t>
            </w:r>
            <w:r w:rsidRPr="00150EDC">
              <w:rPr>
                <w:sz w:val="24"/>
              </w:rPr>
              <w:t>the</w:t>
            </w:r>
            <w:r w:rsidRPr="00150EDC">
              <w:rPr>
                <w:spacing w:val="-3"/>
                <w:sz w:val="24"/>
              </w:rPr>
              <w:t xml:space="preserve"> </w:t>
            </w:r>
            <w:r w:rsidRPr="00150EDC">
              <w:rPr>
                <w:sz w:val="24"/>
              </w:rPr>
              <w:t>Key</w:t>
            </w:r>
            <w:r w:rsidRPr="00150EDC">
              <w:rPr>
                <w:spacing w:val="-3"/>
                <w:sz w:val="24"/>
              </w:rPr>
              <w:t xml:space="preserve"> </w:t>
            </w:r>
            <w:r w:rsidRPr="00150EDC">
              <w:rPr>
                <w:sz w:val="24"/>
              </w:rPr>
              <w:t>Subcontractor</w:t>
            </w:r>
            <w:r w:rsidRPr="00150EDC">
              <w:rPr>
                <w:spacing w:val="-2"/>
                <w:sz w:val="24"/>
              </w:rPr>
              <w:t xml:space="preserve"> </w:t>
            </w:r>
            <w:r w:rsidRPr="00150EDC">
              <w:rPr>
                <w:sz w:val="24"/>
              </w:rPr>
              <w:t>(as</w:t>
            </w:r>
            <w:r w:rsidRPr="00150EDC">
              <w:rPr>
                <w:spacing w:val="-3"/>
                <w:sz w:val="24"/>
              </w:rPr>
              <w:t xml:space="preserve"> </w:t>
            </w:r>
            <w:r w:rsidRPr="00150EDC">
              <w:rPr>
                <w:sz w:val="24"/>
              </w:rPr>
              <w:t>the</w:t>
            </w:r>
            <w:r w:rsidRPr="00150EDC">
              <w:rPr>
                <w:spacing w:val="-2"/>
                <w:sz w:val="24"/>
              </w:rPr>
              <w:t xml:space="preserve"> </w:t>
            </w:r>
            <w:r w:rsidRPr="00150EDC">
              <w:rPr>
                <w:sz w:val="24"/>
              </w:rPr>
              <w:t>context requires), calculated per Work Day, of engaging the Supplier Staff, including:</w:t>
            </w:r>
          </w:p>
          <w:p w14:paraId="70E02A1E" w14:textId="77777777" w:rsidR="004C7180" w:rsidRPr="00150EDC" w:rsidRDefault="00CF0754" w:rsidP="00B320C7">
            <w:pPr>
              <w:pStyle w:val="TableParagraph"/>
              <w:numPr>
                <w:ilvl w:val="1"/>
                <w:numId w:val="131"/>
              </w:numPr>
              <w:tabs>
                <w:tab w:val="left" w:pos="899"/>
              </w:tabs>
              <w:spacing w:before="120" w:line="240" w:lineRule="auto"/>
              <w:rPr>
                <w:sz w:val="24"/>
              </w:rPr>
            </w:pPr>
            <w:r w:rsidRPr="00150EDC">
              <w:rPr>
                <w:sz w:val="24"/>
              </w:rPr>
              <w:t>base</w:t>
            </w:r>
            <w:r w:rsidRPr="00150EDC">
              <w:rPr>
                <w:spacing w:val="-9"/>
                <w:sz w:val="24"/>
              </w:rPr>
              <w:t xml:space="preserve"> </w:t>
            </w:r>
            <w:r w:rsidRPr="00150EDC">
              <w:rPr>
                <w:sz w:val="24"/>
              </w:rPr>
              <w:t>salary</w:t>
            </w:r>
            <w:r w:rsidRPr="00150EDC">
              <w:rPr>
                <w:spacing w:val="-8"/>
                <w:sz w:val="24"/>
              </w:rPr>
              <w:t xml:space="preserve"> </w:t>
            </w:r>
            <w:r w:rsidRPr="00150EDC">
              <w:rPr>
                <w:sz w:val="24"/>
              </w:rPr>
              <w:t>paid</w:t>
            </w:r>
            <w:r w:rsidRPr="00150EDC">
              <w:rPr>
                <w:spacing w:val="-8"/>
                <w:sz w:val="24"/>
              </w:rPr>
              <w:t xml:space="preserve"> </w:t>
            </w:r>
            <w:r w:rsidRPr="00150EDC">
              <w:rPr>
                <w:sz w:val="24"/>
              </w:rPr>
              <w:t>to</w:t>
            </w:r>
            <w:r w:rsidRPr="00150EDC">
              <w:rPr>
                <w:spacing w:val="-8"/>
                <w:sz w:val="24"/>
              </w:rPr>
              <w:t xml:space="preserve"> </w:t>
            </w:r>
            <w:r w:rsidRPr="00150EDC">
              <w:rPr>
                <w:sz w:val="24"/>
              </w:rPr>
              <w:t>the</w:t>
            </w:r>
            <w:r w:rsidRPr="00150EDC">
              <w:rPr>
                <w:spacing w:val="-10"/>
                <w:sz w:val="24"/>
              </w:rPr>
              <w:t xml:space="preserve"> </w:t>
            </w:r>
            <w:r w:rsidRPr="00150EDC">
              <w:rPr>
                <w:sz w:val="24"/>
              </w:rPr>
              <w:t>Supplier</w:t>
            </w:r>
            <w:r w:rsidRPr="00150EDC">
              <w:rPr>
                <w:spacing w:val="-8"/>
                <w:sz w:val="24"/>
              </w:rPr>
              <w:t xml:space="preserve"> </w:t>
            </w:r>
            <w:r w:rsidRPr="00150EDC">
              <w:rPr>
                <w:spacing w:val="-2"/>
                <w:sz w:val="24"/>
              </w:rPr>
              <w:t>Staff;</w:t>
            </w:r>
          </w:p>
          <w:p w14:paraId="62BCB2DD" w14:textId="77777777" w:rsidR="004C7180" w:rsidRPr="00150EDC" w:rsidRDefault="00CF0754" w:rsidP="00B320C7">
            <w:pPr>
              <w:pStyle w:val="TableParagraph"/>
              <w:numPr>
                <w:ilvl w:val="1"/>
                <w:numId w:val="131"/>
              </w:numPr>
              <w:tabs>
                <w:tab w:val="left" w:pos="897"/>
              </w:tabs>
              <w:spacing w:before="120" w:line="240" w:lineRule="auto"/>
              <w:ind w:left="897" w:hanging="358"/>
              <w:rPr>
                <w:sz w:val="24"/>
              </w:rPr>
            </w:pPr>
            <w:r w:rsidRPr="00150EDC">
              <w:rPr>
                <w:spacing w:val="-2"/>
                <w:sz w:val="24"/>
              </w:rPr>
              <w:t>employer’s</w:t>
            </w:r>
            <w:r w:rsidRPr="00150EDC">
              <w:rPr>
                <w:sz w:val="24"/>
              </w:rPr>
              <w:t xml:space="preserve"> </w:t>
            </w:r>
            <w:r w:rsidRPr="00150EDC">
              <w:rPr>
                <w:spacing w:val="-2"/>
                <w:sz w:val="24"/>
              </w:rPr>
              <w:t>National</w:t>
            </w:r>
            <w:r w:rsidRPr="00150EDC">
              <w:rPr>
                <w:spacing w:val="1"/>
                <w:sz w:val="24"/>
              </w:rPr>
              <w:t xml:space="preserve"> </w:t>
            </w:r>
            <w:r w:rsidRPr="00150EDC">
              <w:rPr>
                <w:spacing w:val="-2"/>
                <w:sz w:val="24"/>
              </w:rPr>
              <w:t>Insurance</w:t>
            </w:r>
            <w:r w:rsidRPr="00150EDC">
              <w:rPr>
                <w:spacing w:val="1"/>
                <w:sz w:val="24"/>
              </w:rPr>
              <w:t xml:space="preserve"> </w:t>
            </w:r>
            <w:r w:rsidRPr="00150EDC">
              <w:rPr>
                <w:spacing w:val="-2"/>
                <w:sz w:val="24"/>
              </w:rPr>
              <w:t>contributions;</w:t>
            </w:r>
          </w:p>
          <w:p w14:paraId="7C26ACC3" w14:textId="77777777" w:rsidR="004C7180" w:rsidRPr="00150EDC" w:rsidRDefault="00CF0754" w:rsidP="00B320C7">
            <w:pPr>
              <w:pStyle w:val="TableParagraph"/>
              <w:numPr>
                <w:ilvl w:val="1"/>
                <w:numId w:val="131"/>
              </w:numPr>
              <w:tabs>
                <w:tab w:val="left" w:pos="897"/>
              </w:tabs>
              <w:spacing w:before="121" w:line="240" w:lineRule="auto"/>
              <w:ind w:left="897" w:hanging="358"/>
              <w:rPr>
                <w:sz w:val="24"/>
              </w:rPr>
            </w:pPr>
            <w:r w:rsidRPr="00150EDC">
              <w:rPr>
                <w:sz w:val="24"/>
              </w:rPr>
              <w:t>pension</w:t>
            </w:r>
            <w:r w:rsidRPr="00150EDC">
              <w:rPr>
                <w:spacing w:val="-14"/>
                <w:sz w:val="24"/>
              </w:rPr>
              <w:t xml:space="preserve"> </w:t>
            </w:r>
            <w:r w:rsidRPr="00150EDC">
              <w:rPr>
                <w:spacing w:val="-2"/>
                <w:sz w:val="24"/>
              </w:rPr>
              <w:t>contributions;</w:t>
            </w:r>
          </w:p>
          <w:p w14:paraId="72BEA4EE" w14:textId="77777777" w:rsidR="004C7180" w:rsidRPr="00150EDC" w:rsidRDefault="00CF0754" w:rsidP="00B320C7">
            <w:pPr>
              <w:pStyle w:val="TableParagraph"/>
              <w:numPr>
                <w:ilvl w:val="1"/>
                <w:numId w:val="131"/>
              </w:numPr>
              <w:tabs>
                <w:tab w:val="left" w:pos="898"/>
              </w:tabs>
              <w:spacing w:before="120" w:line="240" w:lineRule="auto"/>
              <w:ind w:left="898" w:hanging="359"/>
              <w:rPr>
                <w:sz w:val="24"/>
              </w:rPr>
            </w:pPr>
            <w:r w:rsidRPr="00150EDC">
              <w:rPr>
                <w:sz w:val="24"/>
              </w:rPr>
              <w:t>car</w:t>
            </w:r>
            <w:r w:rsidRPr="00150EDC">
              <w:rPr>
                <w:spacing w:val="-7"/>
                <w:sz w:val="24"/>
              </w:rPr>
              <w:t xml:space="preserve"> </w:t>
            </w:r>
            <w:r w:rsidRPr="00150EDC">
              <w:rPr>
                <w:spacing w:val="-2"/>
                <w:sz w:val="24"/>
              </w:rPr>
              <w:t>allowances;</w:t>
            </w:r>
          </w:p>
          <w:p w14:paraId="16CA347A" w14:textId="77777777" w:rsidR="004C7180" w:rsidRPr="00150EDC" w:rsidRDefault="00CF0754" w:rsidP="00B320C7">
            <w:pPr>
              <w:pStyle w:val="TableParagraph"/>
              <w:numPr>
                <w:ilvl w:val="1"/>
                <w:numId w:val="131"/>
              </w:numPr>
              <w:tabs>
                <w:tab w:val="left" w:pos="898"/>
              </w:tabs>
              <w:spacing w:before="120" w:line="240" w:lineRule="auto"/>
              <w:ind w:left="898" w:hanging="359"/>
              <w:rPr>
                <w:sz w:val="24"/>
              </w:rPr>
            </w:pPr>
            <w:r w:rsidRPr="00150EDC">
              <w:rPr>
                <w:sz w:val="24"/>
              </w:rPr>
              <w:t>any</w:t>
            </w:r>
            <w:r w:rsidRPr="00150EDC">
              <w:rPr>
                <w:spacing w:val="-13"/>
                <w:sz w:val="24"/>
              </w:rPr>
              <w:t xml:space="preserve"> </w:t>
            </w:r>
            <w:r w:rsidRPr="00150EDC">
              <w:rPr>
                <w:sz w:val="24"/>
              </w:rPr>
              <w:t>other</w:t>
            </w:r>
            <w:r w:rsidRPr="00150EDC">
              <w:rPr>
                <w:spacing w:val="-12"/>
                <w:sz w:val="24"/>
              </w:rPr>
              <w:t xml:space="preserve"> </w:t>
            </w:r>
            <w:r w:rsidRPr="00150EDC">
              <w:rPr>
                <w:sz w:val="24"/>
              </w:rPr>
              <w:t>contractual</w:t>
            </w:r>
            <w:r w:rsidRPr="00150EDC">
              <w:rPr>
                <w:spacing w:val="-15"/>
                <w:sz w:val="24"/>
              </w:rPr>
              <w:t xml:space="preserve"> </w:t>
            </w:r>
            <w:r w:rsidRPr="00150EDC">
              <w:rPr>
                <w:sz w:val="24"/>
              </w:rPr>
              <w:t>employment</w:t>
            </w:r>
            <w:r w:rsidRPr="00150EDC">
              <w:rPr>
                <w:spacing w:val="-12"/>
                <w:sz w:val="24"/>
              </w:rPr>
              <w:t xml:space="preserve"> </w:t>
            </w:r>
            <w:r w:rsidRPr="00150EDC">
              <w:rPr>
                <w:spacing w:val="-2"/>
                <w:sz w:val="24"/>
              </w:rPr>
              <w:t>benefits;</w:t>
            </w:r>
          </w:p>
          <w:p w14:paraId="664BE317" w14:textId="77777777" w:rsidR="004C7180" w:rsidRPr="00150EDC" w:rsidRDefault="00CF0754" w:rsidP="00B320C7">
            <w:pPr>
              <w:pStyle w:val="TableParagraph"/>
              <w:numPr>
                <w:ilvl w:val="1"/>
                <w:numId w:val="131"/>
              </w:numPr>
              <w:tabs>
                <w:tab w:val="left" w:pos="898"/>
              </w:tabs>
              <w:spacing w:before="120" w:line="240" w:lineRule="auto"/>
              <w:ind w:left="898" w:hanging="359"/>
              <w:rPr>
                <w:sz w:val="24"/>
              </w:rPr>
            </w:pPr>
            <w:r w:rsidRPr="00150EDC">
              <w:rPr>
                <w:sz w:val="24"/>
              </w:rPr>
              <w:t>staff</w:t>
            </w:r>
            <w:r w:rsidRPr="00150EDC">
              <w:rPr>
                <w:spacing w:val="-7"/>
                <w:sz w:val="24"/>
              </w:rPr>
              <w:t xml:space="preserve"> </w:t>
            </w:r>
            <w:r w:rsidRPr="00150EDC">
              <w:rPr>
                <w:spacing w:val="-2"/>
                <w:sz w:val="24"/>
              </w:rPr>
              <w:t>training;</w:t>
            </w:r>
          </w:p>
          <w:p w14:paraId="0853E118" w14:textId="77777777" w:rsidR="004C7180" w:rsidRPr="00150EDC" w:rsidRDefault="00CF0754" w:rsidP="00B320C7">
            <w:pPr>
              <w:pStyle w:val="TableParagraph"/>
              <w:numPr>
                <w:ilvl w:val="1"/>
                <w:numId w:val="131"/>
              </w:numPr>
              <w:tabs>
                <w:tab w:val="left" w:pos="896"/>
              </w:tabs>
              <w:spacing w:before="120" w:line="240" w:lineRule="auto"/>
              <w:ind w:left="896" w:hanging="357"/>
              <w:rPr>
                <w:sz w:val="24"/>
              </w:rPr>
            </w:pPr>
            <w:r w:rsidRPr="00150EDC">
              <w:rPr>
                <w:sz w:val="24"/>
              </w:rPr>
              <w:t>work</w:t>
            </w:r>
            <w:r w:rsidRPr="00150EDC">
              <w:rPr>
                <w:spacing w:val="-2"/>
                <w:sz w:val="24"/>
              </w:rPr>
              <w:t xml:space="preserve"> </w:t>
            </w:r>
            <w:r w:rsidRPr="00150EDC">
              <w:rPr>
                <w:sz w:val="24"/>
              </w:rPr>
              <w:t>place</w:t>
            </w:r>
            <w:r w:rsidRPr="00150EDC">
              <w:rPr>
                <w:spacing w:val="-2"/>
                <w:sz w:val="24"/>
              </w:rPr>
              <w:t xml:space="preserve"> accommodation;</w:t>
            </w:r>
          </w:p>
        </w:tc>
      </w:tr>
    </w:tbl>
    <w:p w14:paraId="32C1C382" w14:textId="77777777" w:rsidR="004C7180" w:rsidRPr="00150EDC" w:rsidRDefault="004C7180">
      <w:pPr>
        <w:rPr>
          <w:sz w:val="24"/>
        </w:rPr>
        <w:sectPr w:rsidR="004C7180" w:rsidRPr="00150EDC">
          <w:pgSz w:w="11910" w:h="16840"/>
          <w:pgMar w:top="1160" w:right="0" w:bottom="1460" w:left="40" w:header="715" w:footer="1208" w:gutter="0"/>
          <w:cols w:space="720"/>
        </w:sectPr>
      </w:pPr>
    </w:p>
    <w:p w14:paraId="4E761C7B" w14:textId="77777777" w:rsidR="004C7180" w:rsidRPr="00150EDC" w:rsidRDefault="004C7180">
      <w:pPr>
        <w:pStyle w:val="BodyText"/>
        <w:spacing w:before="7"/>
        <w:rPr>
          <w:sz w:val="23"/>
        </w:rPr>
      </w:pPr>
    </w:p>
    <w:tbl>
      <w:tblPr>
        <w:tblW w:w="0" w:type="auto"/>
        <w:tblInd w:w="1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4"/>
        <w:gridCol w:w="7484"/>
      </w:tblGrid>
      <w:tr w:rsidR="007D3144" w:rsidRPr="007D3144" w14:paraId="688973AA" w14:textId="77777777">
        <w:trPr>
          <w:trHeight w:val="9841"/>
        </w:trPr>
        <w:tc>
          <w:tcPr>
            <w:tcW w:w="2264" w:type="dxa"/>
          </w:tcPr>
          <w:p w14:paraId="242F74C0" w14:textId="77777777" w:rsidR="004C7180" w:rsidRPr="00150EDC" w:rsidRDefault="004C7180">
            <w:pPr>
              <w:pStyle w:val="TableParagraph"/>
              <w:spacing w:before="0" w:line="240" w:lineRule="auto"/>
              <w:ind w:left="0"/>
              <w:rPr>
                <w:rFonts w:ascii="Times New Roman"/>
              </w:rPr>
            </w:pPr>
          </w:p>
        </w:tc>
        <w:tc>
          <w:tcPr>
            <w:tcW w:w="7484" w:type="dxa"/>
          </w:tcPr>
          <w:p w14:paraId="4B9EA9F7" w14:textId="77777777" w:rsidR="004C7180" w:rsidRPr="00150EDC" w:rsidRDefault="00CF0754" w:rsidP="00B320C7">
            <w:pPr>
              <w:pStyle w:val="TableParagraph"/>
              <w:numPr>
                <w:ilvl w:val="0"/>
                <w:numId w:val="130"/>
              </w:numPr>
              <w:tabs>
                <w:tab w:val="left" w:pos="896"/>
                <w:tab w:val="left" w:pos="899"/>
              </w:tabs>
              <w:spacing w:before="0" w:line="240" w:lineRule="auto"/>
              <w:ind w:right="100"/>
              <w:jc w:val="both"/>
              <w:rPr>
                <w:sz w:val="24"/>
              </w:rPr>
            </w:pPr>
            <w:r w:rsidRPr="00150EDC">
              <w:rPr>
                <w:sz w:val="24"/>
              </w:rPr>
              <w:t>work place IT equipment and tools reasonably necessary to provide the Deliverables (but not including items included within limb (b) below); and</w:t>
            </w:r>
          </w:p>
          <w:p w14:paraId="20EB35C2" w14:textId="77777777" w:rsidR="004C7180" w:rsidRPr="00150EDC" w:rsidRDefault="00CF0754" w:rsidP="00B320C7">
            <w:pPr>
              <w:pStyle w:val="TableParagraph"/>
              <w:numPr>
                <w:ilvl w:val="0"/>
                <w:numId w:val="130"/>
              </w:numPr>
              <w:tabs>
                <w:tab w:val="left" w:pos="898"/>
              </w:tabs>
              <w:spacing w:before="120" w:line="240" w:lineRule="auto"/>
              <w:ind w:left="898" w:hanging="359"/>
              <w:jc w:val="both"/>
              <w:rPr>
                <w:sz w:val="24"/>
              </w:rPr>
            </w:pPr>
            <w:r w:rsidRPr="00150EDC">
              <w:rPr>
                <w:sz w:val="24"/>
              </w:rPr>
              <w:t>reasonable</w:t>
            </w:r>
            <w:r w:rsidRPr="00150EDC">
              <w:rPr>
                <w:spacing w:val="-8"/>
                <w:sz w:val="24"/>
              </w:rPr>
              <w:t xml:space="preserve"> </w:t>
            </w:r>
            <w:r w:rsidRPr="00150EDC">
              <w:rPr>
                <w:sz w:val="24"/>
              </w:rPr>
              <w:t>recruitment</w:t>
            </w:r>
            <w:r w:rsidRPr="00150EDC">
              <w:rPr>
                <w:spacing w:val="-8"/>
                <w:sz w:val="24"/>
              </w:rPr>
              <w:t xml:space="preserve"> </w:t>
            </w:r>
            <w:r w:rsidRPr="00150EDC">
              <w:rPr>
                <w:sz w:val="24"/>
              </w:rPr>
              <w:t>costs,</w:t>
            </w:r>
            <w:r w:rsidRPr="00150EDC">
              <w:rPr>
                <w:spacing w:val="-9"/>
                <w:sz w:val="24"/>
              </w:rPr>
              <w:t xml:space="preserve"> </w:t>
            </w:r>
            <w:r w:rsidRPr="00150EDC">
              <w:rPr>
                <w:sz w:val="24"/>
              </w:rPr>
              <w:t>as</w:t>
            </w:r>
            <w:r w:rsidRPr="00150EDC">
              <w:rPr>
                <w:spacing w:val="-6"/>
                <w:sz w:val="24"/>
              </w:rPr>
              <w:t xml:space="preserve"> </w:t>
            </w:r>
            <w:r w:rsidRPr="00150EDC">
              <w:rPr>
                <w:sz w:val="24"/>
              </w:rPr>
              <w:t>agreed</w:t>
            </w:r>
            <w:r w:rsidRPr="00150EDC">
              <w:rPr>
                <w:spacing w:val="-8"/>
                <w:sz w:val="24"/>
              </w:rPr>
              <w:t xml:space="preserve"> </w:t>
            </w:r>
            <w:r w:rsidRPr="00150EDC">
              <w:rPr>
                <w:sz w:val="24"/>
              </w:rPr>
              <w:t>with</w:t>
            </w:r>
            <w:r w:rsidRPr="00150EDC">
              <w:rPr>
                <w:spacing w:val="-7"/>
                <w:sz w:val="24"/>
              </w:rPr>
              <w:t xml:space="preserve"> </w:t>
            </w:r>
            <w:r w:rsidRPr="00150EDC">
              <w:rPr>
                <w:sz w:val="24"/>
              </w:rPr>
              <w:t>the</w:t>
            </w:r>
            <w:r w:rsidRPr="00150EDC">
              <w:rPr>
                <w:spacing w:val="-6"/>
                <w:sz w:val="24"/>
              </w:rPr>
              <w:t xml:space="preserve"> </w:t>
            </w:r>
            <w:r w:rsidRPr="00150EDC">
              <w:rPr>
                <w:spacing w:val="-2"/>
                <w:sz w:val="24"/>
              </w:rPr>
              <w:t>Buyer;</w:t>
            </w:r>
          </w:p>
          <w:p w14:paraId="7A7A22D3" w14:textId="77777777" w:rsidR="004C7180" w:rsidRPr="00150EDC" w:rsidRDefault="00CF0754" w:rsidP="00B320C7">
            <w:pPr>
              <w:pStyle w:val="TableParagraph"/>
              <w:numPr>
                <w:ilvl w:val="0"/>
                <w:numId w:val="129"/>
              </w:numPr>
              <w:tabs>
                <w:tab w:val="left" w:pos="537"/>
                <w:tab w:val="left" w:pos="539"/>
              </w:tabs>
              <w:spacing w:before="120" w:line="240" w:lineRule="auto"/>
              <w:ind w:right="98"/>
              <w:jc w:val="both"/>
              <w:rPr>
                <w:sz w:val="24"/>
              </w:rPr>
            </w:pPr>
            <w:r w:rsidRPr="00150EDC">
              <w:rPr>
                <w:sz w:val="24"/>
              </w:rPr>
              <w:t>costs incurred in respect of Supplier Assets which would be treated as capital costs according to generally accepted accounting principles within the UK, which shall include the cost to</w:t>
            </w:r>
            <w:r w:rsidRPr="00150EDC">
              <w:rPr>
                <w:spacing w:val="-9"/>
                <w:sz w:val="24"/>
              </w:rPr>
              <w:t xml:space="preserve"> </w:t>
            </w:r>
            <w:r w:rsidRPr="00150EDC">
              <w:rPr>
                <w:sz w:val="24"/>
              </w:rPr>
              <w:t>be</w:t>
            </w:r>
            <w:r w:rsidRPr="00150EDC">
              <w:rPr>
                <w:spacing w:val="-9"/>
                <w:sz w:val="24"/>
              </w:rPr>
              <w:t xml:space="preserve"> </w:t>
            </w:r>
            <w:r w:rsidRPr="00150EDC">
              <w:rPr>
                <w:sz w:val="24"/>
              </w:rPr>
              <w:t>charged</w:t>
            </w:r>
            <w:r w:rsidRPr="00150EDC">
              <w:rPr>
                <w:spacing w:val="-9"/>
                <w:sz w:val="24"/>
              </w:rPr>
              <w:t xml:space="preserve"> </w:t>
            </w:r>
            <w:r w:rsidRPr="00150EDC">
              <w:rPr>
                <w:sz w:val="24"/>
              </w:rPr>
              <w:t>in</w:t>
            </w:r>
            <w:r w:rsidRPr="00150EDC">
              <w:rPr>
                <w:spacing w:val="-10"/>
                <w:sz w:val="24"/>
              </w:rPr>
              <w:t xml:space="preserve"> </w:t>
            </w:r>
            <w:r w:rsidRPr="00150EDC">
              <w:rPr>
                <w:sz w:val="24"/>
              </w:rPr>
              <w:t>respect</w:t>
            </w:r>
            <w:r w:rsidRPr="00150EDC">
              <w:rPr>
                <w:spacing w:val="-10"/>
                <w:sz w:val="24"/>
              </w:rPr>
              <w:t xml:space="preserve"> </w:t>
            </w:r>
            <w:r w:rsidRPr="00150EDC">
              <w:rPr>
                <w:sz w:val="24"/>
              </w:rPr>
              <w:t>of</w:t>
            </w:r>
            <w:r w:rsidRPr="00150EDC">
              <w:rPr>
                <w:spacing w:val="-10"/>
                <w:sz w:val="24"/>
              </w:rPr>
              <w:t xml:space="preserve"> </w:t>
            </w:r>
            <w:r w:rsidRPr="00150EDC">
              <w:rPr>
                <w:sz w:val="24"/>
              </w:rPr>
              <w:t>Supplier</w:t>
            </w:r>
            <w:r w:rsidRPr="00150EDC">
              <w:rPr>
                <w:spacing w:val="-11"/>
                <w:sz w:val="24"/>
              </w:rPr>
              <w:t xml:space="preserve"> </w:t>
            </w:r>
            <w:r w:rsidRPr="00150EDC">
              <w:rPr>
                <w:sz w:val="24"/>
              </w:rPr>
              <w:t>Assets</w:t>
            </w:r>
            <w:r w:rsidRPr="00150EDC">
              <w:rPr>
                <w:spacing w:val="-10"/>
                <w:sz w:val="24"/>
              </w:rPr>
              <w:t xml:space="preserve"> </w:t>
            </w:r>
            <w:r w:rsidRPr="00150EDC">
              <w:rPr>
                <w:sz w:val="24"/>
              </w:rPr>
              <w:t>by</w:t>
            </w:r>
            <w:r w:rsidRPr="00150EDC">
              <w:rPr>
                <w:spacing w:val="-10"/>
                <w:sz w:val="24"/>
              </w:rPr>
              <w:t xml:space="preserve"> </w:t>
            </w:r>
            <w:r w:rsidRPr="00150EDC">
              <w:rPr>
                <w:sz w:val="24"/>
              </w:rPr>
              <w:t>the</w:t>
            </w:r>
            <w:r w:rsidRPr="00150EDC">
              <w:rPr>
                <w:spacing w:val="-9"/>
                <w:sz w:val="24"/>
              </w:rPr>
              <w:t xml:space="preserve"> </w:t>
            </w:r>
            <w:r w:rsidRPr="00150EDC">
              <w:rPr>
                <w:sz w:val="24"/>
              </w:rPr>
              <w:t>Supplier</w:t>
            </w:r>
            <w:r w:rsidRPr="00150EDC">
              <w:rPr>
                <w:spacing w:val="-11"/>
                <w:sz w:val="24"/>
              </w:rPr>
              <w:t xml:space="preserve"> </w:t>
            </w:r>
            <w:r w:rsidRPr="00150EDC">
              <w:rPr>
                <w:sz w:val="24"/>
              </w:rPr>
              <w:t>to</w:t>
            </w:r>
            <w:r w:rsidRPr="00150EDC">
              <w:rPr>
                <w:spacing w:val="-9"/>
                <w:sz w:val="24"/>
              </w:rPr>
              <w:t xml:space="preserve"> </w:t>
            </w:r>
            <w:r w:rsidRPr="00150EDC">
              <w:rPr>
                <w:sz w:val="24"/>
              </w:rPr>
              <w:t>the Buyer or (to the extent that risk and title in any Supplier Asset is not held by the Supplier) any cost actually incurred by the Supplier in respect of those Supplier Assets;</w:t>
            </w:r>
          </w:p>
          <w:p w14:paraId="3A96E034" w14:textId="77777777" w:rsidR="004C7180" w:rsidRPr="00150EDC" w:rsidRDefault="00CF0754" w:rsidP="00B320C7">
            <w:pPr>
              <w:pStyle w:val="TableParagraph"/>
              <w:numPr>
                <w:ilvl w:val="0"/>
                <w:numId w:val="129"/>
              </w:numPr>
              <w:tabs>
                <w:tab w:val="left" w:pos="537"/>
                <w:tab w:val="left" w:pos="539"/>
              </w:tabs>
              <w:spacing w:before="121" w:line="240" w:lineRule="auto"/>
              <w:ind w:right="101"/>
              <w:jc w:val="both"/>
              <w:rPr>
                <w:sz w:val="24"/>
              </w:rPr>
            </w:pPr>
            <w:r w:rsidRPr="00150EDC">
              <w:rPr>
                <w:sz w:val="24"/>
              </w:rPr>
              <w:t>operational costs which are not included within (a) or (b) above, to</w:t>
            </w:r>
            <w:r w:rsidRPr="00150EDC">
              <w:rPr>
                <w:spacing w:val="-10"/>
                <w:sz w:val="24"/>
              </w:rPr>
              <w:t xml:space="preserve"> </w:t>
            </w:r>
            <w:r w:rsidRPr="00150EDC">
              <w:rPr>
                <w:sz w:val="24"/>
              </w:rPr>
              <w:t>the</w:t>
            </w:r>
            <w:r w:rsidRPr="00150EDC">
              <w:rPr>
                <w:spacing w:val="-10"/>
                <w:sz w:val="24"/>
              </w:rPr>
              <w:t xml:space="preserve"> </w:t>
            </w:r>
            <w:r w:rsidRPr="00150EDC">
              <w:rPr>
                <w:sz w:val="24"/>
              </w:rPr>
              <w:t>extent</w:t>
            </w:r>
            <w:r w:rsidRPr="00150EDC">
              <w:rPr>
                <w:spacing w:val="-11"/>
                <w:sz w:val="24"/>
              </w:rPr>
              <w:t xml:space="preserve"> </w:t>
            </w:r>
            <w:r w:rsidRPr="00150EDC">
              <w:rPr>
                <w:sz w:val="24"/>
              </w:rPr>
              <w:t>that</w:t>
            </w:r>
            <w:r w:rsidRPr="00150EDC">
              <w:rPr>
                <w:spacing w:val="-11"/>
                <w:sz w:val="24"/>
              </w:rPr>
              <w:t xml:space="preserve"> </w:t>
            </w:r>
            <w:r w:rsidRPr="00150EDC">
              <w:rPr>
                <w:sz w:val="24"/>
              </w:rPr>
              <w:t>such</w:t>
            </w:r>
            <w:r w:rsidRPr="00150EDC">
              <w:rPr>
                <w:spacing w:val="-13"/>
                <w:sz w:val="24"/>
              </w:rPr>
              <w:t xml:space="preserve"> </w:t>
            </w:r>
            <w:r w:rsidRPr="00150EDC">
              <w:rPr>
                <w:sz w:val="24"/>
              </w:rPr>
              <w:t>costs</w:t>
            </w:r>
            <w:r w:rsidRPr="00150EDC">
              <w:rPr>
                <w:spacing w:val="-11"/>
                <w:sz w:val="24"/>
              </w:rPr>
              <w:t xml:space="preserve"> </w:t>
            </w:r>
            <w:r w:rsidRPr="00150EDC">
              <w:rPr>
                <w:sz w:val="24"/>
              </w:rPr>
              <w:t>are</w:t>
            </w:r>
            <w:r w:rsidRPr="00150EDC">
              <w:rPr>
                <w:spacing w:val="-11"/>
                <w:sz w:val="24"/>
              </w:rPr>
              <w:t xml:space="preserve"> </w:t>
            </w:r>
            <w:r w:rsidRPr="00150EDC">
              <w:rPr>
                <w:sz w:val="24"/>
              </w:rPr>
              <w:t>necessary</w:t>
            </w:r>
            <w:r w:rsidRPr="00150EDC">
              <w:rPr>
                <w:spacing w:val="-12"/>
                <w:sz w:val="24"/>
              </w:rPr>
              <w:t xml:space="preserve"> </w:t>
            </w:r>
            <w:r w:rsidRPr="00150EDC">
              <w:rPr>
                <w:sz w:val="24"/>
              </w:rPr>
              <w:t>and</w:t>
            </w:r>
            <w:r w:rsidRPr="00150EDC">
              <w:rPr>
                <w:spacing w:val="-10"/>
                <w:sz w:val="24"/>
              </w:rPr>
              <w:t xml:space="preserve"> </w:t>
            </w:r>
            <w:r w:rsidRPr="00150EDC">
              <w:rPr>
                <w:sz w:val="24"/>
              </w:rPr>
              <w:t>properly</w:t>
            </w:r>
            <w:r w:rsidRPr="00150EDC">
              <w:rPr>
                <w:spacing w:val="-11"/>
                <w:sz w:val="24"/>
              </w:rPr>
              <w:t xml:space="preserve"> </w:t>
            </w:r>
            <w:r w:rsidRPr="00150EDC">
              <w:rPr>
                <w:sz w:val="24"/>
              </w:rPr>
              <w:t>incurred by the Supplier in the provision of the Deliverables; and</w:t>
            </w:r>
          </w:p>
          <w:p w14:paraId="492405EE" w14:textId="77777777" w:rsidR="004C7180" w:rsidRPr="00150EDC" w:rsidRDefault="00CF0754" w:rsidP="00B320C7">
            <w:pPr>
              <w:pStyle w:val="TableParagraph"/>
              <w:numPr>
                <w:ilvl w:val="0"/>
                <w:numId w:val="129"/>
              </w:numPr>
              <w:tabs>
                <w:tab w:val="left" w:pos="537"/>
                <w:tab w:val="left" w:pos="539"/>
              </w:tabs>
              <w:spacing w:before="120" w:line="240" w:lineRule="auto"/>
              <w:ind w:right="99"/>
              <w:jc w:val="both"/>
              <w:rPr>
                <w:sz w:val="24"/>
              </w:rPr>
            </w:pPr>
            <w:r w:rsidRPr="00150EDC">
              <w:rPr>
                <w:sz w:val="24"/>
              </w:rPr>
              <w:t>Reimbursable</w:t>
            </w:r>
            <w:r w:rsidRPr="00150EDC">
              <w:rPr>
                <w:spacing w:val="-7"/>
                <w:sz w:val="24"/>
              </w:rPr>
              <w:t xml:space="preserve"> </w:t>
            </w:r>
            <w:r w:rsidRPr="00150EDC">
              <w:rPr>
                <w:sz w:val="24"/>
              </w:rPr>
              <w:t>Expenses</w:t>
            </w:r>
            <w:r w:rsidRPr="00150EDC">
              <w:rPr>
                <w:spacing w:val="-5"/>
                <w:sz w:val="24"/>
              </w:rPr>
              <w:t xml:space="preserve"> </w:t>
            </w:r>
            <w:r w:rsidRPr="00150EDC">
              <w:rPr>
                <w:sz w:val="24"/>
              </w:rPr>
              <w:t>to</w:t>
            </w:r>
            <w:r w:rsidRPr="00150EDC">
              <w:rPr>
                <w:spacing w:val="-5"/>
                <w:sz w:val="24"/>
              </w:rPr>
              <w:t xml:space="preserve"> </w:t>
            </w:r>
            <w:r w:rsidRPr="00150EDC">
              <w:rPr>
                <w:sz w:val="24"/>
              </w:rPr>
              <w:t>the</w:t>
            </w:r>
            <w:r w:rsidRPr="00150EDC">
              <w:rPr>
                <w:spacing w:val="-7"/>
                <w:sz w:val="24"/>
              </w:rPr>
              <w:t xml:space="preserve"> </w:t>
            </w:r>
            <w:r w:rsidRPr="00150EDC">
              <w:rPr>
                <w:sz w:val="24"/>
              </w:rPr>
              <w:t>extent</w:t>
            </w:r>
            <w:r w:rsidRPr="00150EDC">
              <w:rPr>
                <w:spacing w:val="-7"/>
                <w:sz w:val="24"/>
              </w:rPr>
              <w:t xml:space="preserve"> </w:t>
            </w:r>
            <w:r w:rsidRPr="00150EDC">
              <w:rPr>
                <w:sz w:val="24"/>
              </w:rPr>
              <w:t>these</w:t>
            </w:r>
            <w:r w:rsidRPr="00150EDC">
              <w:rPr>
                <w:spacing w:val="-8"/>
                <w:sz w:val="24"/>
              </w:rPr>
              <w:t xml:space="preserve"> </w:t>
            </w:r>
            <w:r w:rsidRPr="00150EDC">
              <w:rPr>
                <w:sz w:val="24"/>
              </w:rPr>
              <w:t>have</w:t>
            </w:r>
            <w:r w:rsidRPr="00150EDC">
              <w:rPr>
                <w:spacing w:val="-7"/>
                <w:sz w:val="24"/>
              </w:rPr>
              <w:t xml:space="preserve"> </w:t>
            </w:r>
            <w:r w:rsidRPr="00150EDC">
              <w:rPr>
                <w:sz w:val="24"/>
              </w:rPr>
              <w:t>been</w:t>
            </w:r>
            <w:r w:rsidRPr="00150EDC">
              <w:rPr>
                <w:spacing w:val="-7"/>
                <w:sz w:val="24"/>
              </w:rPr>
              <w:t xml:space="preserve"> </w:t>
            </w:r>
            <w:r w:rsidRPr="00150EDC">
              <w:rPr>
                <w:sz w:val="24"/>
              </w:rPr>
              <w:t>specified as</w:t>
            </w:r>
            <w:r w:rsidRPr="00150EDC">
              <w:rPr>
                <w:spacing w:val="-10"/>
                <w:sz w:val="24"/>
              </w:rPr>
              <w:t xml:space="preserve"> </w:t>
            </w:r>
            <w:r w:rsidRPr="00150EDC">
              <w:rPr>
                <w:sz w:val="24"/>
              </w:rPr>
              <w:t>allowable</w:t>
            </w:r>
            <w:r w:rsidRPr="00150EDC">
              <w:rPr>
                <w:spacing w:val="-9"/>
                <w:sz w:val="24"/>
              </w:rPr>
              <w:t xml:space="preserve"> </w:t>
            </w:r>
            <w:r w:rsidRPr="00150EDC">
              <w:rPr>
                <w:sz w:val="24"/>
              </w:rPr>
              <w:t>in</w:t>
            </w:r>
            <w:r w:rsidRPr="00150EDC">
              <w:rPr>
                <w:spacing w:val="-9"/>
                <w:sz w:val="24"/>
              </w:rPr>
              <w:t xml:space="preserve"> </w:t>
            </w:r>
            <w:r w:rsidRPr="00150EDC">
              <w:rPr>
                <w:sz w:val="24"/>
              </w:rPr>
              <w:t>the</w:t>
            </w:r>
            <w:r w:rsidRPr="00150EDC">
              <w:rPr>
                <w:spacing w:val="-11"/>
                <w:sz w:val="24"/>
              </w:rPr>
              <w:t xml:space="preserve"> </w:t>
            </w:r>
            <w:r w:rsidRPr="00150EDC">
              <w:rPr>
                <w:sz w:val="24"/>
              </w:rPr>
              <w:t>Order</w:t>
            </w:r>
            <w:r w:rsidRPr="00150EDC">
              <w:rPr>
                <w:spacing w:val="-9"/>
                <w:sz w:val="24"/>
              </w:rPr>
              <w:t xml:space="preserve"> </w:t>
            </w:r>
            <w:r w:rsidRPr="00150EDC">
              <w:rPr>
                <w:sz w:val="24"/>
              </w:rPr>
              <w:t>Form</w:t>
            </w:r>
            <w:r w:rsidRPr="00150EDC">
              <w:rPr>
                <w:spacing w:val="-10"/>
                <w:sz w:val="24"/>
              </w:rPr>
              <w:t xml:space="preserve"> </w:t>
            </w:r>
            <w:r w:rsidRPr="00150EDC">
              <w:rPr>
                <w:sz w:val="24"/>
              </w:rPr>
              <w:t>and</w:t>
            </w:r>
            <w:r w:rsidRPr="00150EDC">
              <w:rPr>
                <w:spacing w:val="-10"/>
                <w:sz w:val="24"/>
              </w:rPr>
              <w:t xml:space="preserve"> </w:t>
            </w:r>
            <w:r w:rsidRPr="00150EDC">
              <w:rPr>
                <w:sz w:val="24"/>
              </w:rPr>
              <w:t>are</w:t>
            </w:r>
            <w:r w:rsidRPr="00150EDC">
              <w:rPr>
                <w:spacing w:val="-9"/>
                <w:sz w:val="24"/>
              </w:rPr>
              <w:t xml:space="preserve"> </w:t>
            </w:r>
            <w:r w:rsidRPr="00150EDC">
              <w:rPr>
                <w:sz w:val="24"/>
              </w:rPr>
              <w:t>incurred</w:t>
            </w:r>
            <w:r w:rsidRPr="00150EDC">
              <w:rPr>
                <w:spacing w:val="-8"/>
                <w:sz w:val="24"/>
              </w:rPr>
              <w:t xml:space="preserve"> </w:t>
            </w:r>
            <w:r w:rsidRPr="00150EDC">
              <w:rPr>
                <w:sz w:val="24"/>
              </w:rPr>
              <w:t>in</w:t>
            </w:r>
            <w:r w:rsidRPr="00150EDC">
              <w:rPr>
                <w:spacing w:val="-11"/>
                <w:sz w:val="24"/>
              </w:rPr>
              <w:t xml:space="preserve"> </w:t>
            </w:r>
            <w:r w:rsidRPr="00150EDC">
              <w:rPr>
                <w:sz w:val="24"/>
              </w:rPr>
              <w:t>delivering</w:t>
            </w:r>
            <w:r w:rsidRPr="00150EDC">
              <w:rPr>
                <w:spacing w:val="-10"/>
                <w:sz w:val="24"/>
              </w:rPr>
              <w:t xml:space="preserve"> </w:t>
            </w:r>
            <w:r w:rsidRPr="00150EDC">
              <w:rPr>
                <w:sz w:val="24"/>
              </w:rPr>
              <w:t xml:space="preserve">any </w:t>
            </w:r>
            <w:r w:rsidRPr="00150EDC">
              <w:rPr>
                <w:spacing w:val="-2"/>
                <w:sz w:val="24"/>
              </w:rPr>
              <w:t>Deliverables;</w:t>
            </w:r>
          </w:p>
          <w:p w14:paraId="0604498A" w14:textId="77777777" w:rsidR="004C7180" w:rsidRPr="00150EDC" w:rsidRDefault="00CF0754">
            <w:pPr>
              <w:pStyle w:val="TableParagraph"/>
              <w:spacing w:before="120" w:line="240" w:lineRule="auto"/>
              <w:ind w:left="517"/>
              <w:jc w:val="both"/>
              <w:rPr>
                <w:sz w:val="24"/>
              </w:rPr>
            </w:pPr>
            <w:r w:rsidRPr="00150EDC">
              <w:rPr>
                <w:sz w:val="24"/>
              </w:rPr>
              <w:t>but</w:t>
            </w:r>
            <w:r w:rsidRPr="00150EDC">
              <w:rPr>
                <w:spacing w:val="-2"/>
                <w:sz w:val="24"/>
              </w:rPr>
              <w:t xml:space="preserve"> excluding:</w:t>
            </w:r>
          </w:p>
          <w:p w14:paraId="6D85F0F2" w14:textId="77777777" w:rsidR="004C7180" w:rsidRPr="00150EDC" w:rsidRDefault="00CF0754" w:rsidP="00B320C7">
            <w:pPr>
              <w:pStyle w:val="TableParagraph"/>
              <w:numPr>
                <w:ilvl w:val="0"/>
                <w:numId w:val="129"/>
              </w:numPr>
              <w:tabs>
                <w:tab w:val="left" w:pos="681"/>
              </w:tabs>
              <w:spacing w:before="120" w:line="240" w:lineRule="auto"/>
              <w:ind w:left="681" w:hanging="430"/>
              <w:jc w:val="both"/>
              <w:rPr>
                <w:sz w:val="24"/>
              </w:rPr>
            </w:pPr>
            <w:r w:rsidRPr="00150EDC">
              <w:rPr>
                <w:spacing w:val="-2"/>
                <w:sz w:val="24"/>
              </w:rPr>
              <w:t>Overhead;</w:t>
            </w:r>
          </w:p>
          <w:p w14:paraId="46796E7F" w14:textId="77777777" w:rsidR="004C7180" w:rsidRPr="00150EDC" w:rsidRDefault="00CF0754" w:rsidP="00B320C7">
            <w:pPr>
              <w:pStyle w:val="TableParagraph"/>
              <w:numPr>
                <w:ilvl w:val="0"/>
                <w:numId w:val="129"/>
              </w:numPr>
              <w:tabs>
                <w:tab w:val="left" w:pos="681"/>
              </w:tabs>
              <w:spacing w:before="120" w:line="240" w:lineRule="auto"/>
              <w:ind w:left="681" w:hanging="430"/>
              <w:jc w:val="both"/>
              <w:rPr>
                <w:sz w:val="24"/>
              </w:rPr>
            </w:pPr>
            <w:r w:rsidRPr="00150EDC">
              <w:rPr>
                <w:sz w:val="24"/>
              </w:rPr>
              <w:t>financing</w:t>
            </w:r>
            <w:r w:rsidRPr="00150EDC">
              <w:rPr>
                <w:spacing w:val="-11"/>
                <w:sz w:val="24"/>
              </w:rPr>
              <w:t xml:space="preserve"> </w:t>
            </w:r>
            <w:r w:rsidRPr="00150EDC">
              <w:rPr>
                <w:sz w:val="24"/>
              </w:rPr>
              <w:t>or</w:t>
            </w:r>
            <w:r w:rsidRPr="00150EDC">
              <w:rPr>
                <w:spacing w:val="-11"/>
                <w:sz w:val="24"/>
              </w:rPr>
              <w:t xml:space="preserve"> </w:t>
            </w:r>
            <w:r w:rsidRPr="00150EDC">
              <w:rPr>
                <w:sz w:val="24"/>
              </w:rPr>
              <w:t>similar</w:t>
            </w:r>
            <w:r w:rsidRPr="00150EDC">
              <w:rPr>
                <w:spacing w:val="-10"/>
                <w:sz w:val="24"/>
              </w:rPr>
              <w:t xml:space="preserve"> </w:t>
            </w:r>
            <w:r w:rsidRPr="00150EDC">
              <w:rPr>
                <w:spacing w:val="-2"/>
                <w:sz w:val="24"/>
              </w:rPr>
              <w:t>costs;</w:t>
            </w:r>
          </w:p>
          <w:p w14:paraId="3B90DE45" w14:textId="77777777" w:rsidR="004C7180" w:rsidRPr="00150EDC" w:rsidRDefault="00CF0754" w:rsidP="00B320C7">
            <w:pPr>
              <w:pStyle w:val="TableParagraph"/>
              <w:numPr>
                <w:ilvl w:val="0"/>
                <w:numId w:val="129"/>
              </w:numPr>
              <w:tabs>
                <w:tab w:val="left" w:pos="539"/>
              </w:tabs>
              <w:spacing w:before="120" w:line="240" w:lineRule="auto"/>
              <w:ind w:right="101"/>
              <w:jc w:val="both"/>
              <w:rPr>
                <w:sz w:val="24"/>
              </w:rPr>
            </w:pPr>
            <w:r w:rsidRPr="00150EDC">
              <w:rPr>
                <w:sz w:val="24"/>
              </w:rPr>
              <w:t>maintenance</w:t>
            </w:r>
            <w:r w:rsidRPr="00150EDC">
              <w:rPr>
                <w:spacing w:val="-1"/>
                <w:sz w:val="24"/>
              </w:rPr>
              <w:t xml:space="preserve"> </w:t>
            </w:r>
            <w:r w:rsidRPr="00150EDC">
              <w:rPr>
                <w:sz w:val="24"/>
              </w:rPr>
              <w:t>and support costs to the extent</w:t>
            </w:r>
            <w:r w:rsidRPr="00150EDC">
              <w:rPr>
                <w:spacing w:val="-1"/>
                <w:sz w:val="24"/>
              </w:rPr>
              <w:t xml:space="preserve"> </w:t>
            </w:r>
            <w:r w:rsidRPr="00150EDC">
              <w:rPr>
                <w:sz w:val="24"/>
              </w:rPr>
              <w:t xml:space="preserve">that these relate to maintenance and/or support Deliverables provided beyond the Order Contract Period whether in relation to Supplier Assets or </w:t>
            </w:r>
            <w:r w:rsidRPr="00150EDC">
              <w:rPr>
                <w:spacing w:val="-2"/>
                <w:sz w:val="24"/>
              </w:rPr>
              <w:t>otherwise;</w:t>
            </w:r>
          </w:p>
          <w:p w14:paraId="3FABD8A1" w14:textId="77777777" w:rsidR="004C7180" w:rsidRPr="00150EDC" w:rsidRDefault="00CF0754" w:rsidP="00B320C7">
            <w:pPr>
              <w:pStyle w:val="TableParagraph"/>
              <w:numPr>
                <w:ilvl w:val="0"/>
                <w:numId w:val="129"/>
              </w:numPr>
              <w:tabs>
                <w:tab w:val="left" w:pos="794"/>
              </w:tabs>
              <w:spacing w:before="121" w:line="240" w:lineRule="auto"/>
              <w:ind w:left="794" w:hanging="543"/>
              <w:jc w:val="both"/>
              <w:rPr>
                <w:sz w:val="24"/>
              </w:rPr>
            </w:pPr>
            <w:r w:rsidRPr="00150EDC">
              <w:rPr>
                <w:spacing w:val="-2"/>
                <w:sz w:val="24"/>
              </w:rPr>
              <w:t>taxation;</w:t>
            </w:r>
          </w:p>
          <w:p w14:paraId="3EA270FB" w14:textId="77777777" w:rsidR="004C7180" w:rsidRPr="00150EDC" w:rsidRDefault="00CF0754" w:rsidP="00B320C7">
            <w:pPr>
              <w:pStyle w:val="TableParagraph"/>
              <w:numPr>
                <w:ilvl w:val="0"/>
                <w:numId w:val="129"/>
              </w:numPr>
              <w:tabs>
                <w:tab w:val="left" w:pos="794"/>
              </w:tabs>
              <w:spacing w:before="120" w:line="240" w:lineRule="auto"/>
              <w:ind w:left="794" w:hanging="543"/>
              <w:jc w:val="both"/>
              <w:rPr>
                <w:sz w:val="24"/>
              </w:rPr>
            </w:pPr>
            <w:r w:rsidRPr="00150EDC">
              <w:rPr>
                <w:sz w:val="24"/>
              </w:rPr>
              <w:t>fines</w:t>
            </w:r>
            <w:r w:rsidRPr="00150EDC">
              <w:rPr>
                <w:spacing w:val="-7"/>
                <w:sz w:val="24"/>
              </w:rPr>
              <w:t xml:space="preserve"> </w:t>
            </w:r>
            <w:r w:rsidRPr="00150EDC">
              <w:rPr>
                <w:sz w:val="24"/>
              </w:rPr>
              <w:t>and</w:t>
            </w:r>
            <w:r w:rsidRPr="00150EDC">
              <w:rPr>
                <w:spacing w:val="-9"/>
                <w:sz w:val="24"/>
              </w:rPr>
              <w:t xml:space="preserve"> </w:t>
            </w:r>
            <w:r w:rsidRPr="00150EDC">
              <w:rPr>
                <w:spacing w:val="-2"/>
                <w:sz w:val="24"/>
              </w:rPr>
              <w:t>penalties;</w:t>
            </w:r>
          </w:p>
          <w:p w14:paraId="78D51483" w14:textId="77777777" w:rsidR="004C7180" w:rsidRPr="00150EDC" w:rsidRDefault="00CF0754" w:rsidP="00B320C7">
            <w:pPr>
              <w:pStyle w:val="TableParagraph"/>
              <w:numPr>
                <w:ilvl w:val="0"/>
                <w:numId w:val="129"/>
              </w:numPr>
              <w:tabs>
                <w:tab w:val="left" w:pos="537"/>
                <w:tab w:val="left" w:pos="539"/>
              </w:tabs>
              <w:spacing w:before="120" w:line="240" w:lineRule="auto"/>
              <w:ind w:right="100"/>
              <w:jc w:val="both"/>
              <w:rPr>
                <w:sz w:val="24"/>
              </w:rPr>
            </w:pPr>
            <w:r w:rsidRPr="00150EDC">
              <w:rPr>
                <w:sz w:val="24"/>
              </w:rPr>
              <w:t>amounts payable under Order Schedule 16 (Benchmarking) where such Schedule is used; and</w:t>
            </w:r>
          </w:p>
          <w:p w14:paraId="2180E2CC" w14:textId="77777777" w:rsidR="004C7180" w:rsidRPr="00150EDC" w:rsidRDefault="00CF0754" w:rsidP="00B320C7">
            <w:pPr>
              <w:pStyle w:val="TableParagraph"/>
              <w:numPr>
                <w:ilvl w:val="0"/>
                <w:numId w:val="129"/>
              </w:numPr>
              <w:tabs>
                <w:tab w:val="left" w:pos="537"/>
                <w:tab w:val="left" w:pos="539"/>
              </w:tabs>
              <w:spacing w:before="120" w:line="240" w:lineRule="auto"/>
              <w:ind w:right="100"/>
              <w:jc w:val="both"/>
              <w:rPr>
                <w:sz w:val="24"/>
              </w:rPr>
            </w:pPr>
            <w:r w:rsidRPr="00150EDC">
              <w:rPr>
                <w:sz w:val="24"/>
              </w:rPr>
              <w:t>non-cash items (including depreciation, amortisation, impairments and movements in provisions);</w:t>
            </w:r>
          </w:p>
        </w:tc>
      </w:tr>
      <w:tr w:rsidR="007D3144" w:rsidRPr="007D3144" w14:paraId="780F3FF1" w14:textId="77777777">
        <w:trPr>
          <w:trHeight w:val="1776"/>
        </w:trPr>
        <w:tc>
          <w:tcPr>
            <w:tcW w:w="2264" w:type="dxa"/>
          </w:tcPr>
          <w:p w14:paraId="7C272C80" w14:textId="77777777" w:rsidR="004C7180" w:rsidRPr="00150EDC" w:rsidRDefault="00CF0754">
            <w:pPr>
              <w:pStyle w:val="TableParagraph"/>
              <w:spacing w:before="0" w:line="240" w:lineRule="auto"/>
              <w:ind w:left="-1"/>
              <w:rPr>
                <w:b/>
                <w:sz w:val="24"/>
              </w:rPr>
            </w:pPr>
            <w:r w:rsidRPr="00150EDC">
              <w:rPr>
                <w:b/>
                <w:sz w:val="24"/>
              </w:rPr>
              <w:t>"Crown</w:t>
            </w:r>
            <w:r w:rsidRPr="00150EDC">
              <w:rPr>
                <w:b/>
                <w:spacing w:val="-11"/>
                <w:sz w:val="24"/>
              </w:rPr>
              <w:t xml:space="preserve"> </w:t>
            </w:r>
            <w:r w:rsidRPr="00150EDC">
              <w:rPr>
                <w:b/>
                <w:spacing w:val="-2"/>
                <w:sz w:val="24"/>
              </w:rPr>
              <w:t>Body"</w:t>
            </w:r>
          </w:p>
        </w:tc>
        <w:tc>
          <w:tcPr>
            <w:tcW w:w="7484" w:type="dxa"/>
          </w:tcPr>
          <w:p w14:paraId="05E33259" w14:textId="77777777" w:rsidR="004C7180" w:rsidRPr="00150EDC" w:rsidRDefault="00CF0754">
            <w:pPr>
              <w:pStyle w:val="TableParagraph"/>
              <w:spacing w:before="0" w:line="240" w:lineRule="auto"/>
              <w:ind w:left="107" w:right="92"/>
              <w:jc w:val="both"/>
              <w:rPr>
                <w:sz w:val="24"/>
              </w:rPr>
            </w:pPr>
            <w:r w:rsidRPr="00150EDC">
              <w:rPr>
                <w:sz w:val="24"/>
              </w:rPr>
              <w:t>the</w:t>
            </w:r>
            <w:r w:rsidRPr="00150EDC">
              <w:rPr>
                <w:spacing w:val="-17"/>
                <w:sz w:val="24"/>
              </w:rPr>
              <w:t xml:space="preserve"> </w:t>
            </w:r>
            <w:r w:rsidRPr="00150EDC">
              <w:rPr>
                <w:sz w:val="24"/>
              </w:rPr>
              <w:t>government</w:t>
            </w:r>
            <w:r w:rsidRPr="00150EDC">
              <w:rPr>
                <w:spacing w:val="-17"/>
                <w:sz w:val="24"/>
              </w:rPr>
              <w:t xml:space="preserve"> </w:t>
            </w:r>
            <w:r w:rsidRPr="00150EDC">
              <w:rPr>
                <w:sz w:val="24"/>
              </w:rPr>
              <w:t>of</w:t>
            </w:r>
            <w:r w:rsidRPr="00150EDC">
              <w:rPr>
                <w:spacing w:val="-16"/>
                <w:sz w:val="24"/>
              </w:rPr>
              <w:t xml:space="preserve"> </w:t>
            </w:r>
            <w:r w:rsidRPr="00150EDC">
              <w:rPr>
                <w:sz w:val="24"/>
              </w:rPr>
              <w:t>the</w:t>
            </w:r>
            <w:r w:rsidRPr="00150EDC">
              <w:rPr>
                <w:spacing w:val="-17"/>
                <w:sz w:val="24"/>
              </w:rPr>
              <w:t xml:space="preserve"> </w:t>
            </w:r>
            <w:r w:rsidRPr="00150EDC">
              <w:rPr>
                <w:sz w:val="24"/>
              </w:rPr>
              <w:t>United</w:t>
            </w:r>
            <w:r w:rsidRPr="00150EDC">
              <w:rPr>
                <w:spacing w:val="-17"/>
                <w:sz w:val="24"/>
              </w:rPr>
              <w:t xml:space="preserve"> </w:t>
            </w:r>
            <w:r w:rsidRPr="00150EDC">
              <w:rPr>
                <w:sz w:val="24"/>
              </w:rPr>
              <w:t>Kingdom</w:t>
            </w:r>
            <w:r w:rsidRPr="00150EDC">
              <w:rPr>
                <w:spacing w:val="-17"/>
                <w:sz w:val="24"/>
              </w:rPr>
              <w:t xml:space="preserve"> </w:t>
            </w:r>
            <w:r w:rsidRPr="00150EDC">
              <w:rPr>
                <w:sz w:val="24"/>
              </w:rPr>
              <w:t>(including</w:t>
            </w:r>
            <w:r w:rsidRPr="00150EDC">
              <w:rPr>
                <w:spacing w:val="-16"/>
                <w:sz w:val="24"/>
              </w:rPr>
              <w:t xml:space="preserve"> </w:t>
            </w:r>
            <w:r w:rsidRPr="00150EDC">
              <w:rPr>
                <w:sz w:val="24"/>
              </w:rPr>
              <w:t>the</w:t>
            </w:r>
            <w:r w:rsidRPr="00150EDC">
              <w:rPr>
                <w:spacing w:val="-17"/>
                <w:sz w:val="24"/>
              </w:rPr>
              <w:t xml:space="preserve"> </w:t>
            </w:r>
            <w:r w:rsidRPr="00150EDC">
              <w:rPr>
                <w:sz w:val="24"/>
              </w:rPr>
              <w:t>Northern</w:t>
            </w:r>
            <w:r w:rsidRPr="00150EDC">
              <w:rPr>
                <w:spacing w:val="-17"/>
                <w:sz w:val="24"/>
              </w:rPr>
              <w:t xml:space="preserve"> </w:t>
            </w:r>
            <w:r w:rsidRPr="00150EDC">
              <w:rPr>
                <w:sz w:val="24"/>
              </w:rPr>
              <w:t>Ireland Assembly and Executive Committee, the Scottish Government and the National Assembly for Wales), including, but not limited to, government ministers and government departments and particular bodies,</w:t>
            </w:r>
            <w:r w:rsidRPr="00150EDC">
              <w:rPr>
                <w:spacing w:val="-6"/>
                <w:sz w:val="24"/>
              </w:rPr>
              <w:t xml:space="preserve"> </w:t>
            </w:r>
            <w:r w:rsidRPr="00150EDC">
              <w:rPr>
                <w:sz w:val="24"/>
              </w:rPr>
              <w:t>persons,</w:t>
            </w:r>
            <w:r w:rsidRPr="00150EDC">
              <w:rPr>
                <w:spacing w:val="-8"/>
                <w:sz w:val="24"/>
              </w:rPr>
              <w:t xml:space="preserve"> </w:t>
            </w:r>
            <w:r w:rsidRPr="00150EDC">
              <w:rPr>
                <w:sz w:val="24"/>
              </w:rPr>
              <w:t>commissions</w:t>
            </w:r>
            <w:r w:rsidRPr="00150EDC">
              <w:rPr>
                <w:spacing w:val="-9"/>
                <w:sz w:val="24"/>
              </w:rPr>
              <w:t xml:space="preserve"> </w:t>
            </w:r>
            <w:r w:rsidRPr="00150EDC">
              <w:rPr>
                <w:sz w:val="24"/>
              </w:rPr>
              <w:t>or</w:t>
            </w:r>
            <w:r w:rsidRPr="00150EDC">
              <w:rPr>
                <w:spacing w:val="-7"/>
                <w:sz w:val="24"/>
              </w:rPr>
              <w:t xml:space="preserve"> </w:t>
            </w:r>
            <w:r w:rsidRPr="00150EDC">
              <w:rPr>
                <w:sz w:val="24"/>
              </w:rPr>
              <w:t>agencies</w:t>
            </w:r>
            <w:r w:rsidRPr="00150EDC">
              <w:rPr>
                <w:spacing w:val="-8"/>
                <w:sz w:val="24"/>
              </w:rPr>
              <w:t xml:space="preserve"> </w:t>
            </w:r>
            <w:r w:rsidRPr="00150EDC">
              <w:rPr>
                <w:sz w:val="24"/>
              </w:rPr>
              <w:t>from</w:t>
            </w:r>
            <w:r w:rsidRPr="00150EDC">
              <w:rPr>
                <w:spacing w:val="-7"/>
                <w:sz w:val="24"/>
              </w:rPr>
              <w:t xml:space="preserve"> </w:t>
            </w:r>
            <w:r w:rsidRPr="00150EDC">
              <w:rPr>
                <w:sz w:val="24"/>
              </w:rPr>
              <w:t>time</w:t>
            </w:r>
            <w:r w:rsidRPr="00150EDC">
              <w:rPr>
                <w:spacing w:val="-6"/>
                <w:sz w:val="24"/>
              </w:rPr>
              <w:t xml:space="preserve"> </w:t>
            </w:r>
            <w:r w:rsidRPr="00150EDC">
              <w:rPr>
                <w:sz w:val="24"/>
              </w:rPr>
              <w:t>to</w:t>
            </w:r>
            <w:r w:rsidRPr="00150EDC">
              <w:rPr>
                <w:spacing w:val="-6"/>
                <w:sz w:val="24"/>
              </w:rPr>
              <w:t xml:space="preserve"> </w:t>
            </w:r>
            <w:r w:rsidRPr="00150EDC">
              <w:rPr>
                <w:sz w:val="24"/>
              </w:rPr>
              <w:t>time</w:t>
            </w:r>
            <w:r w:rsidRPr="00150EDC">
              <w:rPr>
                <w:spacing w:val="-8"/>
                <w:sz w:val="24"/>
              </w:rPr>
              <w:t xml:space="preserve"> </w:t>
            </w:r>
            <w:r w:rsidRPr="00150EDC">
              <w:rPr>
                <w:sz w:val="24"/>
              </w:rPr>
              <w:t>carrying out functions on its behalf;</w:t>
            </w:r>
          </w:p>
        </w:tc>
      </w:tr>
      <w:tr w:rsidR="007D3144" w:rsidRPr="007D3144" w14:paraId="0CDAB792" w14:textId="77777777">
        <w:trPr>
          <w:trHeight w:val="395"/>
        </w:trPr>
        <w:tc>
          <w:tcPr>
            <w:tcW w:w="2264" w:type="dxa"/>
          </w:tcPr>
          <w:p w14:paraId="7C1508EB" w14:textId="77777777" w:rsidR="004C7180" w:rsidRPr="00150EDC" w:rsidRDefault="00CF0754">
            <w:pPr>
              <w:pStyle w:val="TableParagraph"/>
              <w:spacing w:before="0" w:line="240" w:lineRule="auto"/>
              <w:ind w:left="-1"/>
              <w:rPr>
                <w:b/>
                <w:sz w:val="24"/>
              </w:rPr>
            </w:pPr>
            <w:r w:rsidRPr="00150EDC">
              <w:rPr>
                <w:b/>
                <w:spacing w:val="-2"/>
                <w:sz w:val="24"/>
              </w:rPr>
              <w:t>"CRTPA"</w:t>
            </w:r>
          </w:p>
        </w:tc>
        <w:tc>
          <w:tcPr>
            <w:tcW w:w="7484" w:type="dxa"/>
          </w:tcPr>
          <w:p w14:paraId="4E040FB0" w14:textId="77777777" w:rsidR="004C7180" w:rsidRPr="00150EDC" w:rsidRDefault="00CF0754">
            <w:pPr>
              <w:pStyle w:val="TableParagraph"/>
              <w:spacing w:before="0" w:line="240" w:lineRule="auto"/>
              <w:ind w:left="107"/>
              <w:rPr>
                <w:sz w:val="24"/>
              </w:rPr>
            </w:pPr>
            <w:r w:rsidRPr="00150EDC">
              <w:rPr>
                <w:sz w:val="24"/>
              </w:rPr>
              <w:t>the</w:t>
            </w:r>
            <w:r w:rsidRPr="00150EDC">
              <w:rPr>
                <w:spacing w:val="-3"/>
                <w:sz w:val="24"/>
              </w:rPr>
              <w:t xml:space="preserve"> </w:t>
            </w:r>
            <w:r w:rsidRPr="00150EDC">
              <w:rPr>
                <w:sz w:val="24"/>
              </w:rPr>
              <w:t>Contract</w:t>
            </w:r>
            <w:r w:rsidRPr="00150EDC">
              <w:rPr>
                <w:spacing w:val="-3"/>
                <w:sz w:val="24"/>
              </w:rPr>
              <w:t xml:space="preserve"> </w:t>
            </w:r>
            <w:r w:rsidRPr="00150EDC">
              <w:rPr>
                <w:sz w:val="24"/>
              </w:rPr>
              <w:t>Rights</w:t>
            </w:r>
            <w:r w:rsidRPr="00150EDC">
              <w:rPr>
                <w:spacing w:val="-5"/>
                <w:sz w:val="24"/>
              </w:rPr>
              <w:t xml:space="preserve"> </w:t>
            </w:r>
            <w:r w:rsidRPr="00150EDC">
              <w:rPr>
                <w:sz w:val="24"/>
              </w:rPr>
              <w:t>of</w:t>
            </w:r>
            <w:r w:rsidRPr="00150EDC">
              <w:rPr>
                <w:spacing w:val="-5"/>
                <w:sz w:val="24"/>
              </w:rPr>
              <w:t xml:space="preserve"> </w:t>
            </w:r>
            <w:r w:rsidRPr="00150EDC">
              <w:rPr>
                <w:sz w:val="24"/>
              </w:rPr>
              <w:t>Third</w:t>
            </w:r>
            <w:r w:rsidRPr="00150EDC">
              <w:rPr>
                <w:spacing w:val="-3"/>
                <w:sz w:val="24"/>
              </w:rPr>
              <w:t xml:space="preserve"> </w:t>
            </w:r>
            <w:r w:rsidRPr="00150EDC">
              <w:rPr>
                <w:sz w:val="24"/>
              </w:rPr>
              <w:t>Parties</w:t>
            </w:r>
            <w:r w:rsidRPr="00150EDC">
              <w:rPr>
                <w:spacing w:val="-5"/>
                <w:sz w:val="24"/>
              </w:rPr>
              <w:t xml:space="preserve"> </w:t>
            </w:r>
            <w:r w:rsidRPr="00150EDC">
              <w:rPr>
                <w:sz w:val="24"/>
              </w:rPr>
              <w:t>Act</w:t>
            </w:r>
            <w:r w:rsidRPr="00150EDC">
              <w:rPr>
                <w:spacing w:val="-3"/>
                <w:sz w:val="24"/>
              </w:rPr>
              <w:t xml:space="preserve"> </w:t>
            </w:r>
            <w:r w:rsidRPr="00150EDC">
              <w:rPr>
                <w:spacing w:val="-4"/>
                <w:sz w:val="24"/>
              </w:rPr>
              <w:t>1999;</w:t>
            </w:r>
          </w:p>
        </w:tc>
      </w:tr>
      <w:tr w:rsidR="007D3144" w:rsidRPr="007D3144" w14:paraId="046030B0" w14:textId="77777777">
        <w:trPr>
          <w:trHeight w:val="947"/>
        </w:trPr>
        <w:tc>
          <w:tcPr>
            <w:tcW w:w="2264" w:type="dxa"/>
          </w:tcPr>
          <w:p w14:paraId="3DC10D58" w14:textId="77777777" w:rsidR="004C7180" w:rsidRPr="00150EDC" w:rsidRDefault="00CF0754">
            <w:pPr>
              <w:pStyle w:val="TableParagraph"/>
              <w:spacing w:before="0" w:line="240" w:lineRule="auto"/>
              <w:ind w:left="-1" w:right="298"/>
              <w:rPr>
                <w:b/>
                <w:sz w:val="24"/>
              </w:rPr>
            </w:pPr>
            <w:r w:rsidRPr="00150EDC">
              <w:rPr>
                <w:b/>
                <w:sz w:val="24"/>
              </w:rPr>
              <w:t>“Data</w:t>
            </w:r>
            <w:r w:rsidRPr="00150EDC">
              <w:rPr>
                <w:b/>
                <w:spacing w:val="-17"/>
                <w:sz w:val="24"/>
              </w:rPr>
              <w:t xml:space="preserve"> </w:t>
            </w:r>
            <w:r w:rsidRPr="00150EDC">
              <w:rPr>
                <w:b/>
                <w:sz w:val="24"/>
              </w:rPr>
              <w:t xml:space="preserve">Protection </w:t>
            </w:r>
            <w:r w:rsidRPr="00150EDC">
              <w:rPr>
                <w:b/>
                <w:spacing w:val="-2"/>
                <w:sz w:val="24"/>
              </w:rPr>
              <w:t>Impact Assessment”</w:t>
            </w:r>
          </w:p>
        </w:tc>
        <w:tc>
          <w:tcPr>
            <w:tcW w:w="7484" w:type="dxa"/>
          </w:tcPr>
          <w:p w14:paraId="3229B060" w14:textId="77777777" w:rsidR="004C7180" w:rsidRPr="00150EDC" w:rsidRDefault="00CF0754">
            <w:pPr>
              <w:pStyle w:val="TableParagraph"/>
              <w:spacing w:before="0" w:line="240" w:lineRule="auto"/>
              <w:ind w:left="107"/>
              <w:rPr>
                <w:sz w:val="24"/>
              </w:rPr>
            </w:pPr>
            <w:r w:rsidRPr="00150EDC">
              <w:rPr>
                <w:sz w:val="24"/>
              </w:rPr>
              <w:t>an</w:t>
            </w:r>
            <w:r w:rsidRPr="00150EDC">
              <w:rPr>
                <w:spacing w:val="40"/>
                <w:sz w:val="24"/>
              </w:rPr>
              <w:t xml:space="preserve"> </w:t>
            </w:r>
            <w:r w:rsidRPr="00150EDC">
              <w:rPr>
                <w:sz w:val="24"/>
              </w:rPr>
              <w:t>assessment</w:t>
            </w:r>
            <w:r w:rsidRPr="00150EDC">
              <w:rPr>
                <w:spacing w:val="40"/>
                <w:sz w:val="24"/>
              </w:rPr>
              <w:t xml:space="preserve"> </w:t>
            </w:r>
            <w:r w:rsidRPr="00150EDC">
              <w:rPr>
                <w:sz w:val="24"/>
              </w:rPr>
              <w:t>by</w:t>
            </w:r>
            <w:r w:rsidRPr="00150EDC">
              <w:rPr>
                <w:spacing w:val="40"/>
                <w:sz w:val="24"/>
              </w:rPr>
              <w:t xml:space="preserve"> </w:t>
            </w:r>
            <w:r w:rsidRPr="00150EDC">
              <w:rPr>
                <w:sz w:val="24"/>
              </w:rPr>
              <w:t>the</w:t>
            </w:r>
            <w:r w:rsidRPr="00150EDC">
              <w:rPr>
                <w:spacing w:val="40"/>
                <w:sz w:val="24"/>
              </w:rPr>
              <w:t xml:space="preserve"> </w:t>
            </w:r>
            <w:r w:rsidRPr="00150EDC">
              <w:rPr>
                <w:sz w:val="24"/>
              </w:rPr>
              <w:t>Controller</w:t>
            </w:r>
            <w:r w:rsidRPr="00150EDC">
              <w:rPr>
                <w:spacing w:val="40"/>
                <w:sz w:val="24"/>
              </w:rPr>
              <w:t xml:space="preserve"> </w:t>
            </w:r>
            <w:r w:rsidRPr="00150EDC">
              <w:rPr>
                <w:sz w:val="24"/>
              </w:rPr>
              <w:t>of</w:t>
            </w:r>
            <w:r w:rsidRPr="00150EDC">
              <w:rPr>
                <w:spacing w:val="40"/>
                <w:sz w:val="24"/>
              </w:rPr>
              <w:t xml:space="preserve"> </w:t>
            </w:r>
            <w:r w:rsidRPr="00150EDC">
              <w:rPr>
                <w:sz w:val="24"/>
              </w:rPr>
              <w:t>the</w:t>
            </w:r>
            <w:r w:rsidRPr="00150EDC">
              <w:rPr>
                <w:spacing w:val="40"/>
                <w:sz w:val="24"/>
              </w:rPr>
              <w:t xml:space="preserve"> </w:t>
            </w:r>
            <w:r w:rsidRPr="00150EDC">
              <w:rPr>
                <w:sz w:val="24"/>
              </w:rPr>
              <w:t>impact</w:t>
            </w:r>
            <w:r w:rsidRPr="00150EDC">
              <w:rPr>
                <w:spacing w:val="40"/>
                <w:sz w:val="24"/>
              </w:rPr>
              <w:t xml:space="preserve"> </w:t>
            </w:r>
            <w:r w:rsidRPr="00150EDC">
              <w:rPr>
                <w:sz w:val="24"/>
              </w:rPr>
              <w:t>of</w:t>
            </w:r>
            <w:r w:rsidRPr="00150EDC">
              <w:rPr>
                <w:spacing w:val="40"/>
                <w:sz w:val="24"/>
              </w:rPr>
              <w:t xml:space="preserve"> </w:t>
            </w:r>
            <w:r w:rsidRPr="00150EDC">
              <w:rPr>
                <w:sz w:val="24"/>
              </w:rPr>
              <w:t>the</w:t>
            </w:r>
            <w:r w:rsidRPr="00150EDC">
              <w:rPr>
                <w:spacing w:val="40"/>
                <w:sz w:val="24"/>
              </w:rPr>
              <w:t xml:space="preserve"> </w:t>
            </w:r>
            <w:r w:rsidRPr="00150EDC">
              <w:rPr>
                <w:sz w:val="24"/>
              </w:rPr>
              <w:t>envisaged Processing on the protection of Personal Data;</w:t>
            </w:r>
          </w:p>
        </w:tc>
      </w:tr>
      <w:tr w:rsidR="007D3144" w:rsidRPr="007D3144" w14:paraId="2C9EAE13" w14:textId="77777777">
        <w:trPr>
          <w:trHeight w:val="673"/>
        </w:trPr>
        <w:tc>
          <w:tcPr>
            <w:tcW w:w="2264" w:type="dxa"/>
          </w:tcPr>
          <w:p w14:paraId="7938934B" w14:textId="77777777" w:rsidR="004C7180" w:rsidRPr="00150EDC" w:rsidRDefault="00CF0754">
            <w:pPr>
              <w:pStyle w:val="TableParagraph"/>
              <w:spacing w:before="0" w:line="240" w:lineRule="auto"/>
              <w:ind w:left="-1"/>
              <w:rPr>
                <w:b/>
                <w:sz w:val="24"/>
              </w:rPr>
            </w:pPr>
            <w:r w:rsidRPr="00150EDC">
              <w:rPr>
                <w:b/>
                <w:sz w:val="24"/>
              </w:rPr>
              <w:t>"Data</w:t>
            </w:r>
            <w:r w:rsidRPr="00150EDC">
              <w:rPr>
                <w:b/>
                <w:spacing w:val="-17"/>
                <w:sz w:val="24"/>
              </w:rPr>
              <w:t xml:space="preserve"> </w:t>
            </w:r>
            <w:r w:rsidRPr="00150EDC">
              <w:rPr>
                <w:b/>
                <w:sz w:val="24"/>
              </w:rPr>
              <w:t xml:space="preserve">Protection </w:t>
            </w:r>
            <w:r w:rsidRPr="00150EDC">
              <w:rPr>
                <w:b/>
                <w:spacing w:val="-2"/>
                <w:sz w:val="24"/>
              </w:rPr>
              <w:t>Legislation"</w:t>
            </w:r>
          </w:p>
        </w:tc>
        <w:tc>
          <w:tcPr>
            <w:tcW w:w="7484" w:type="dxa"/>
          </w:tcPr>
          <w:p w14:paraId="0A77AFC4" w14:textId="77777777" w:rsidR="004C7180" w:rsidRPr="00150EDC" w:rsidRDefault="00CF0754">
            <w:pPr>
              <w:pStyle w:val="TableParagraph"/>
              <w:spacing w:before="0" w:line="240" w:lineRule="auto"/>
              <w:ind w:left="107"/>
              <w:rPr>
                <w:sz w:val="24"/>
              </w:rPr>
            </w:pPr>
            <w:r w:rsidRPr="00150EDC">
              <w:rPr>
                <w:sz w:val="24"/>
              </w:rPr>
              <w:t>(i)</w:t>
            </w:r>
            <w:r w:rsidRPr="00150EDC">
              <w:rPr>
                <w:spacing w:val="-3"/>
                <w:sz w:val="24"/>
              </w:rPr>
              <w:t xml:space="preserve"> </w:t>
            </w:r>
            <w:r w:rsidRPr="00150EDC">
              <w:rPr>
                <w:sz w:val="24"/>
              </w:rPr>
              <w:t>the</w:t>
            </w:r>
            <w:r w:rsidRPr="00150EDC">
              <w:rPr>
                <w:spacing w:val="-1"/>
                <w:sz w:val="24"/>
              </w:rPr>
              <w:t xml:space="preserve"> </w:t>
            </w:r>
            <w:r w:rsidRPr="00150EDC">
              <w:rPr>
                <w:sz w:val="24"/>
              </w:rPr>
              <w:t>UK</w:t>
            </w:r>
            <w:r w:rsidRPr="00150EDC">
              <w:rPr>
                <w:spacing w:val="-3"/>
                <w:sz w:val="24"/>
              </w:rPr>
              <w:t xml:space="preserve"> </w:t>
            </w:r>
            <w:r w:rsidRPr="00150EDC">
              <w:rPr>
                <w:sz w:val="24"/>
              </w:rPr>
              <w:t>GDPR</w:t>
            </w:r>
            <w:r w:rsidRPr="00150EDC">
              <w:rPr>
                <w:spacing w:val="-3"/>
                <w:sz w:val="24"/>
              </w:rPr>
              <w:t xml:space="preserve"> </w:t>
            </w:r>
            <w:r w:rsidRPr="00150EDC">
              <w:rPr>
                <w:sz w:val="24"/>
              </w:rPr>
              <w:t>as</w:t>
            </w:r>
            <w:r w:rsidRPr="00150EDC">
              <w:rPr>
                <w:spacing w:val="-1"/>
                <w:sz w:val="24"/>
              </w:rPr>
              <w:t xml:space="preserve"> </w:t>
            </w:r>
            <w:r w:rsidRPr="00150EDC">
              <w:rPr>
                <w:sz w:val="24"/>
              </w:rPr>
              <w:t>amended from</w:t>
            </w:r>
            <w:r w:rsidRPr="00150EDC">
              <w:rPr>
                <w:spacing w:val="-2"/>
                <w:sz w:val="24"/>
              </w:rPr>
              <w:t xml:space="preserve"> </w:t>
            </w:r>
            <w:r w:rsidRPr="00150EDC">
              <w:rPr>
                <w:sz w:val="24"/>
              </w:rPr>
              <w:t>time to time;</w:t>
            </w:r>
            <w:r w:rsidRPr="00150EDC">
              <w:rPr>
                <w:spacing w:val="-3"/>
                <w:sz w:val="24"/>
              </w:rPr>
              <w:t xml:space="preserve"> </w:t>
            </w:r>
            <w:r w:rsidRPr="00150EDC">
              <w:rPr>
                <w:sz w:val="24"/>
              </w:rPr>
              <w:t>(ii)</w:t>
            </w:r>
            <w:r w:rsidRPr="00150EDC">
              <w:rPr>
                <w:spacing w:val="-2"/>
                <w:sz w:val="24"/>
              </w:rPr>
              <w:t xml:space="preserve"> </w:t>
            </w:r>
            <w:r w:rsidRPr="00150EDC">
              <w:rPr>
                <w:sz w:val="24"/>
              </w:rPr>
              <w:t>the</w:t>
            </w:r>
            <w:r w:rsidRPr="00150EDC">
              <w:rPr>
                <w:spacing w:val="-2"/>
                <w:sz w:val="24"/>
              </w:rPr>
              <w:t xml:space="preserve"> </w:t>
            </w:r>
            <w:r w:rsidRPr="00150EDC">
              <w:rPr>
                <w:sz w:val="24"/>
              </w:rPr>
              <w:t>DPA</w:t>
            </w:r>
            <w:r w:rsidRPr="00150EDC">
              <w:rPr>
                <w:spacing w:val="-3"/>
                <w:sz w:val="24"/>
              </w:rPr>
              <w:t xml:space="preserve"> </w:t>
            </w:r>
            <w:r w:rsidRPr="00150EDC">
              <w:rPr>
                <w:sz w:val="24"/>
              </w:rPr>
              <w:t>2018</w:t>
            </w:r>
            <w:r w:rsidRPr="00150EDC">
              <w:rPr>
                <w:spacing w:val="-3"/>
                <w:sz w:val="24"/>
              </w:rPr>
              <w:t xml:space="preserve"> </w:t>
            </w:r>
            <w:r w:rsidRPr="00150EDC">
              <w:rPr>
                <w:sz w:val="24"/>
              </w:rPr>
              <w:t>to the extent</w:t>
            </w:r>
            <w:r w:rsidRPr="00150EDC">
              <w:rPr>
                <w:spacing w:val="1"/>
                <w:sz w:val="24"/>
              </w:rPr>
              <w:t xml:space="preserve"> </w:t>
            </w:r>
            <w:r w:rsidRPr="00150EDC">
              <w:rPr>
                <w:sz w:val="24"/>
              </w:rPr>
              <w:t>that it relates to Processing</w:t>
            </w:r>
            <w:r w:rsidRPr="00150EDC">
              <w:rPr>
                <w:spacing w:val="-1"/>
                <w:sz w:val="24"/>
              </w:rPr>
              <w:t xml:space="preserve"> </w:t>
            </w:r>
            <w:r w:rsidRPr="00150EDC">
              <w:rPr>
                <w:sz w:val="24"/>
              </w:rPr>
              <w:t>of</w:t>
            </w:r>
            <w:r w:rsidRPr="00150EDC">
              <w:rPr>
                <w:spacing w:val="1"/>
                <w:sz w:val="24"/>
              </w:rPr>
              <w:t xml:space="preserve"> </w:t>
            </w:r>
            <w:r w:rsidRPr="00150EDC">
              <w:rPr>
                <w:sz w:val="24"/>
              </w:rPr>
              <w:t>Personal</w:t>
            </w:r>
            <w:r w:rsidRPr="00150EDC">
              <w:rPr>
                <w:spacing w:val="-1"/>
                <w:sz w:val="24"/>
              </w:rPr>
              <w:t xml:space="preserve"> </w:t>
            </w:r>
            <w:r w:rsidRPr="00150EDC">
              <w:rPr>
                <w:sz w:val="24"/>
              </w:rPr>
              <w:t>Data</w:t>
            </w:r>
            <w:r w:rsidRPr="00150EDC">
              <w:rPr>
                <w:spacing w:val="-2"/>
                <w:sz w:val="24"/>
              </w:rPr>
              <w:t xml:space="preserve"> </w:t>
            </w:r>
            <w:r w:rsidRPr="00150EDC">
              <w:rPr>
                <w:sz w:val="24"/>
              </w:rPr>
              <w:t>and</w:t>
            </w:r>
            <w:r w:rsidRPr="00150EDC">
              <w:rPr>
                <w:spacing w:val="-2"/>
                <w:sz w:val="24"/>
              </w:rPr>
              <w:t xml:space="preserve"> privacy;</w:t>
            </w:r>
          </w:p>
        </w:tc>
      </w:tr>
    </w:tbl>
    <w:p w14:paraId="5E88C766" w14:textId="77777777" w:rsidR="004C7180" w:rsidRPr="00150EDC" w:rsidRDefault="004C7180">
      <w:pPr>
        <w:rPr>
          <w:sz w:val="24"/>
        </w:rPr>
        <w:sectPr w:rsidR="004C7180" w:rsidRPr="00150EDC">
          <w:pgSz w:w="11910" w:h="16840"/>
          <w:pgMar w:top="1160" w:right="0" w:bottom="1460" w:left="40" w:header="715" w:footer="1208" w:gutter="0"/>
          <w:cols w:space="720"/>
        </w:sectPr>
      </w:pPr>
    </w:p>
    <w:p w14:paraId="40566C3F" w14:textId="77777777" w:rsidR="004C7180" w:rsidRPr="00150EDC" w:rsidRDefault="004C7180">
      <w:pPr>
        <w:pStyle w:val="BodyText"/>
        <w:spacing w:before="7"/>
        <w:rPr>
          <w:sz w:val="23"/>
        </w:rPr>
      </w:pPr>
    </w:p>
    <w:tbl>
      <w:tblPr>
        <w:tblW w:w="0" w:type="auto"/>
        <w:tblInd w:w="1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4"/>
        <w:gridCol w:w="7484"/>
      </w:tblGrid>
      <w:tr w:rsidR="007D3144" w:rsidRPr="007D3144" w14:paraId="24E8649D" w14:textId="77777777">
        <w:trPr>
          <w:trHeight w:val="672"/>
        </w:trPr>
        <w:tc>
          <w:tcPr>
            <w:tcW w:w="2264" w:type="dxa"/>
          </w:tcPr>
          <w:p w14:paraId="4E837EB5" w14:textId="77777777" w:rsidR="004C7180" w:rsidRPr="00150EDC" w:rsidRDefault="004C7180">
            <w:pPr>
              <w:pStyle w:val="TableParagraph"/>
              <w:spacing w:before="0" w:line="240" w:lineRule="auto"/>
              <w:ind w:left="0"/>
              <w:rPr>
                <w:rFonts w:ascii="Times New Roman"/>
              </w:rPr>
            </w:pPr>
          </w:p>
        </w:tc>
        <w:tc>
          <w:tcPr>
            <w:tcW w:w="7484" w:type="dxa"/>
          </w:tcPr>
          <w:p w14:paraId="25A0CD15" w14:textId="77777777" w:rsidR="004C7180" w:rsidRPr="00150EDC" w:rsidRDefault="00CF0754">
            <w:pPr>
              <w:pStyle w:val="TableParagraph"/>
              <w:spacing w:before="0" w:line="240" w:lineRule="auto"/>
              <w:ind w:left="107"/>
              <w:rPr>
                <w:sz w:val="24"/>
              </w:rPr>
            </w:pPr>
            <w:r w:rsidRPr="00150EDC">
              <w:rPr>
                <w:sz w:val="24"/>
              </w:rPr>
              <w:t>(iii) all applicable Law about the Processing of Personal Data and</w:t>
            </w:r>
            <w:r w:rsidRPr="00150EDC">
              <w:rPr>
                <w:spacing w:val="80"/>
                <w:sz w:val="24"/>
              </w:rPr>
              <w:t xml:space="preserve"> </w:t>
            </w:r>
            <w:r w:rsidRPr="00150EDC">
              <w:rPr>
                <w:spacing w:val="-2"/>
                <w:sz w:val="24"/>
              </w:rPr>
              <w:t>privacy;</w:t>
            </w:r>
          </w:p>
        </w:tc>
      </w:tr>
      <w:tr w:rsidR="007D3144" w:rsidRPr="007D3144" w14:paraId="2DBE5037" w14:textId="77777777">
        <w:trPr>
          <w:trHeight w:val="671"/>
        </w:trPr>
        <w:tc>
          <w:tcPr>
            <w:tcW w:w="2264" w:type="dxa"/>
          </w:tcPr>
          <w:p w14:paraId="0268A78B" w14:textId="77777777" w:rsidR="004C7180" w:rsidRPr="00150EDC" w:rsidRDefault="00CF0754">
            <w:pPr>
              <w:pStyle w:val="TableParagraph"/>
              <w:spacing w:before="0" w:line="240" w:lineRule="auto"/>
              <w:ind w:left="-1"/>
              <w:rPr>
                <w:b/>
                <w:sz w:val="24"/>
              </w:rPr>
            </w:pPr>
            <w:r w:rsidRPr="00150EDC">
              <w:rPr>
                <w:b/>
                <w:sz w:val="24"/>
              </w:rPr>
              <w:t>“Data</w:t>
            </w:r>
            <w:r w:rsidRPr="00150EDC">
              <w:rPr>
                <w:b/>
                <w:spacing w:val="-17"/>
                <w:sz w:val="24"/>
              </w:rPr>
              <w:t xml:space="preserve"> </w:t>
            </w:r>
            <w:r w:rsidRPr="00150EDC">
              <w:rPr>
                <w:b/>
                <w:sz w:val="24"/>
              </w:rPr>
              <w:t>Protection Liability Cap”</w:t>
            </w:r>
          </w:p>
        </w:tc>
        <w:tc>
          <w:tcPr>
            <w:tcW w:w="7484" w:type="dxa"/>
          </w:tcPr>
          <w:p w14:paraId="03F01E12" w14:textId="77777777" w:rsidR="004C7180" w:rsidRPr="00150EDC" w:rsidRDefault="00CF0754">
            <w:pPr>
              <w:pStyle w:val="TableParagraph"/>
              <w:spacing w:before="0" w:line="240" w:lineRule="auto"/>
              <w:ind w:left="107"/>
              <w:rPr>
                <w:sz w:val="24"/>
              </w:rPr>
            </w:pPr>
            <w:r w:rsidRPr="00150EDC">
              <w:rPr>
                <w:sz w:val="24"/>
              </w:rPr>
              <w:t>the</w:t>
            </w:r>
            <w:r w:rsidRPr="00150EDC">
              <w:rPr>
                <w:spacing w:val="-6"/>
                <w:sz w:val="24"/>
              </w:rPr>
              <w:t xml:space="preserve"> </w:t>
            </w:r>
            <w:r w:rsidRPr="00150EDC">
              <w:rPr>
                <w:sz w:val="24"/>
              </w:rPr>
              <w:t>amount</w:t>
            </w:r>
            <w:r w:rsidRPr="00150EDC">
              <w:rPr>
                <w:spacing w:val="-4"/>
                <w:sz w:val="24"/>
              </w:rPr>
              <w:t xml:space="preserve"> </w:t>
            </w:r>
            <w:r w:rsidRPr="00150EDC">
              <w:rPr>
                <w:sz w:val="24"/>
              </w:rPr>
              <w:t>specified</w:t>
            </w:r>
            <w:r w:rsidRPr="00150EDC">
              <w:rPr>
                <w:spacing w:val="-2"/>
                <w:sz w:val="24"/>
              </w:rPr>
              <w:t xml:space="preserve"> </w:t>
            </w:r>
            <w:r w:rsidRPr="00150EDC">
              <w:rPr>
                <w:sz w:val="24"/>
              </w:rPr>
              <w:t>in</w:t>
            </w:r>
            <w:r w:rsidRPr="00150EDC">
              <w:rPr>
                <w:spacing w:val="-4"/>
                <w:sz w:val="24"/>
              </w:rPr>
              <w:t xml:space="preserve"> </w:t>
            </w:r>
            <w:r w:rsidRPr="00150EDC">
              <w:rPr>
                <w:sz w:val="24"/>
              </w:rPr>
              <w:t>the</w:t>
            </w:r>
            <w:r w:rsidRPr="00150EDC">
              <w:rPr>
                <w:spacing w:val="-4"/>
                <w:sz w:val="24"/>
              </w:rPr>
              <w:t xml:space="preserve"> </w:t>
            </w:r>
            <w:r w:rsidRPr="00150EDC">
              <w:rPr>
                <w:sz w:val="24"/>
              </w:rPr>
              <w:t>DPS</w:t>
            </w:r>
            <w:r w:rsidRPr="00150EDC">
              <w:rPr>
                <w:spacing w:val="-5"/>
                <w:sz w:val="24"/>
              </w:rPr>
              <w:t xml:space="preserve"> </w:t>
            </w:r>
            <w:r w:rsidRPr="00150EDC">
              <w:rPr>
                <w:sz w:val="24"/>
              </w:rPr>
              <w:t>Appointment</w:t>
            </w:r>
            <w:r w:rsidRPr="00150EDC">
              <w:rPr>
                <w:spacing w:val="-4"/>
                <w:sz w:val="24"/>
              </w:rPr>
              <w:t xml:space="preserve"> </w:t>
            </w:r>
            <w:r w:rsidRPr="00150EDC">
              <w:rPr>
                <w:spacing w:val="-2"/>
                <w:sz w:val="24"/>
              </w:rPr>
              <w:t>Form;</w:t>
            </w:r>
          </w:p>
        </w:tc>
      </w:tr>
      <w:tr w:rsidR="007D3144" w:rsidRPr="007D3144" w14:paraId="26EDEE54" w14:textId="77777777">
        <w:trPr>
          <w:trHeight w:val="671"/>
        </w:trPr>
        <w:tc>
          <w:tcPr>
            <w:tcW w:w="2264" w:type="dxa"/>
          </w:tcPr>
          <w:p w14:paraId="791816E0" w14:textId="77777777" w:rsidR="004C7180" w:rsidRPr="00150EDC" w:rsidRDefault="00CF0754">
            <w:pPr>
              <w:pStyle w:val="TableParagraph"/>
              <w:spacing w:before="0" w:line="240" w:lineRule="auto"/>
              <w:ind w:left="-1"/>
              <w:rPr>
                <w:b/>
                <w:sz w:val="24"/>
              </w:rPr>
            </w:pPr>
            <w:r w:rsidRPr="00150EDC">
              <w:rPr>
                <w:b/>
                <w:sz w:val="24"/>
              </w:rPr>
              <w:t>"Data</w:t>
            </w:r>
            <w:r w:rsidRPr="00150EDC">
              <w:rPr>
                <w:b/>
                <w:spacing w:val="-17"/>
                <w:sz w:val="24"/>
              </w:rPr>
              <w:t xml:space="preserve"> </w:t>
            </w:r>
            <w:r w:rsidRPr="00150EDC">
              <w:rPr>
                <w:b/>
                <w:sz w:val="24"/>
              </w:rPr>
              <w:t xml:space="preserve">Protection </w:t>
            </w:r>
            <w:r w:rsidRPr="00150EDC">
              <w:rPr>
                <w:b/>
                <w:spacing w:val="-2"/>
                <w:sz w:val="24"/>
              </w:rPr>
              <w:t>Officer"</w:t>
            </w:r>
          </w:p>
        </w:tc>
        <w:tc>
          <w:tcPr>
            <w:tcW w:w="7484" w:type="dxa"/>
          </w:tcPr>
          <w:p w14:paraId="2C327637" w14:textId="77777777" w:rsidR="004C7180" w:rsidRPr="00150EDC" w:rsidRDefault="00CF0754">
            <w:pPr>
              <w:pStyle w:val="TableParagraph"/>
              <w:spacing w:before="0" w:line="240" w:lineRule="auto"/>
              <w:ind w:left="107"/>
              <w:rPr>
                <w:sz w:val="24"/>
              </w:rPr>
            </w:pPr>
            <w:r w:rsidRPr="00150EDC">
              <w:rPr>
                <w:sz w:val="24"/>
              </w:rPr>
              <w:t>has</w:t>
            </w:r>
            <w:r w:rsidRPr="00150EDC">
              <w:rPr>
                <w:spacing w:val="-2"/>
                <w:sz w:val="24"/>
              </w:rPr>
              <w:t xml:space="preserve"> </w:t>
            </w:r>
            <w:r w:rsidRPr="00150EDC">
              <w:rPr>
                <w:sz w:val="24"/>
              </w:rPr>
              <w:t>the</w:t>
            </w:r>
            <w:r w:rsidRPr="00150EDC">
              <w:rPr>
                <w:spacing w:val="-4"/>
                <w:sz w:val="24"/>
              </w:rPr>
              <w:t xml:space="preserve"> </w:t>
            </w:r>
            <w:r w:rsidRPr="00150EDC">
              <w:rPr>
                <w:sz w:val="24"/>
              </w:rPr>
              <w:t>meaning</w:t>
            </w:r>
            <w:r w:rsidRPr="00150EDC">
              <w:rPr>
                <w:spacing w:val="-2"/>
                <w:sz w:val="24"/>
              </w:rPr>
              <w:t xml:space="preserve"> </w:t>
            </w:r>
            <w:r w:rsidRPr="00150EDC">
              <w:rPr>
                <w:sz w:val="24"/>
              </w:rPr>
              <w:t>given</w:t>
            </w:r>
            <w:r w:rsidRPr="00150EDC">
              <w:rPr>
                <w:spacing w:val="-3"/>
                <w:sz w:val="24"/>
              </w:rPr>
              <w:t xml:space="preserve"> </w:t>
            </w:r>
            <w:r w:rsidRPr="00150EDC">
              <w:rPr>
                <w:sz w:val="24"/>
              </w:rPr>
              <w:t>to</w:t>
            </w:r>
            <w:r w:rsidRPr="00150EDC">
              <w:rPr>
                <w:spacing w:val="-2"/>
                <w:sz w:val="24"/>
              </w:rPr>
              <w:t xml:space="preserve"> </w:t>
            </w:r>
            <w:r w:rsidRPr="00150EDC">
              <w:rPr>
                <w:sz w:val="24"/>
              </w:rPr>
              <w:t>it</w:t>
            </w:r>
            <w:r w:rsidRPr="00150EDC">
              <w:rPr>
                <w:spacing w:val="-2"/>
                <w:sz w:val="24"/>
              </w:rPr>
              <w:t xml:space="preserve"> </w:t>
            </w:r>
            <w:r w:rsidRPr="00150EDC">
              <w:rPr>
                <w:sz w:val="24"/>
              </w:rPr>
              <w:t>in</w:t>
            </w:r>
            <w:r w:rsidRPr="00150EDC">
              <w:rPr>
                <w:spacing w:val="-3"/>
                <w:sz w:val="24"/>
              </w:rPr>
              <w:t xml:space="preserve"> </w:t>
            </w:r>
            <w:r w:rsidRPr="00150EDC">
              <w:rPr>
                <w:sz w:val="24"/>
              </w:rPr>
              <w:t>the</w:t>
            </w:r>
            <w:r w:rsidRPr="00150EDC">
              <w:rPr>
                <w:spacing w:val="-2"/>
                <w:sz w:val="24"/>
              </w:rPr>
              <w:t xml:space="preserve"> </w:t>
            </w:r>
            <w:r w:rsidRPr="00150EDC">
              <w:rPr>
                <w:sz w:val="24"/>
              </w:rPr>
              <w:t>UK</w:t>
            </w:r>
            <w:r w:rsidRPr="00150EDC">
              <w:rPr>
                <w:spacing w:val="-2"/>
                <w:sz w:val="24"/>
              </w:rPr>
              <w:t xml:space="preserve"> GDPR;</w:t>
            </w:r>
          </w:p>
        </w:tc>
      </w:tr>
      <w:tr w:rsidR="007D3144" w:rsidRPr="007D3144" w14:paraId="2B25C46D" w14:textId="77777777">
        <w:trPr>
          <w:trHeight w:val="397"/>
        </w:trPr>
        <w:tc>
          <w:tcPr>
            <w:tcW w:w="2264" w:type="dxa"/>
          </w:tcPr>
          <w:p w14:paraId="10DCD7E6" w14:textId="77777777" w:rsidR="004C7180" w:rsidRPr="00150EDC" w:rsidRDefault="00CF0754">
            <w:pPr>
              <w:pStyle w:val="TableParagraph"/>
              <w:spacing w:before="2" w:line="240" w:lineRule="auto"/>
              <w:ind w:left="-1"/>
              <w:rPr>
                <w:b/>
                <w:sz w:val="24"/>
              </w:rPr>
            </w:pPr>
            <w:r w:rsidRPr="00150EDC">
              <w:rPr>
                <w:b/>
                <w:sz w:val="24"/>
              </w:rPr>
              <w:t>"Data</w:t>
            </w:r>
            <w:r w:rsidRPr="00150EDC">
              <w:rPr>
                <w:b/>
                <w:spacing w:val="-13"/>
                <w:sz w:val="24"/>
              </w:rPr>
              <w:t xml:space="preserve"> </w:t>
            </w:r>
            <w:r w:rsidRPr="00150EDC">
              <w:rPr>
                <w:b/>
                <w:spacing w:val="-2"/>
                <w:sz w:val="24"/>
              </w:rPr>
              <w:t>Subject"</w:t>
            </w:r>
          </w:p>
        </w:tc>
        <w:tc>
          <w:tcPr>
            <w:tcW w:w="7484" w:type="dxa"/>
          </w:tcPr>
          <w:p w14:paraId="03533BB2" w14:textId="77777777" w:rsidR="004C7180" w:rsidRPr="00150EDC" w:rsidRDefault="00CF0754">
            <w:pPr>
              <w:pStyle w:val="TableParagraph"/>
              <w:spacing w:before="2" w:line="240" w:lineRule="auto"/>
              <w:ind w:left="107"/>
              <w:rPr>
                <w:sz w:val="24"/>
              </w:rPr>
            </w:pPr>
            <w:r w:rsidRPr="00150EDC">
              <w:rPr>
                <w:sz w:val="24"/>
              </w:rPr>
              <w:t>has</w:t>
            </w:r>
            <w:r w:rsidRPr="00150EDC">
              <w:rPr>
                <w:spacing w:val="-2"/>
                <w:sz w:val="24"/>
              </w:rPr>
              <w:t xml:space="preserve"> </w:t>
            </w:r>
            <w:r w:rsidRPr="00150EDC">
              <w:rPr>
                <w:sz w:val="24"/>
              </w:rPr>
              <w:t>the</w:t>
            </w:r>
            <w:r w:rsidRPr="00150EDC">
              <w:rPr>
                <w:spacing w:val="-4"/>
                <w:sz w:val="24"/>
              </w:rPr>
              <w:t xml:space="preserve"> </w:t>
            </w:r>
            <w:r w:rsidRPr="00150EDC">
              <w:rPr>
                <w:sz w:val="24"/>
              </w:rPr>
              <w:t>meaning</w:t>
            </w:r>
            <w:r w:rsidRPr="00150EDC">
              <w:rPr>
                <w:spacing w:val="-2"/>
                <w:sz w:val="24"/>
              </w:rPr>
              <w:t xml:space="preserve"> </w:t>
            </w:r>
            <w:r w:rsidRPr="00150EDC">
              <w:rPr>
                <w:sz w:val="24"/>
              </w:rPr>
              <w:t>given</w:t>
            </w:r>
            <w:r w:rsidRPr="00150EDC">
              <w:rPr>
                <w:spacing w:val="-3"/>
                <w:sz w:val="24"/>
              </w:rPr>
              <w:t xml:space="preserve"> </w:t>
            </w:r>
            <w:r w:rsidRPr="00150EDC">
              <w:rPr>
                <w:sz w:val="24"/>
              </w:rPr>
              <w:t>to</w:t>
            </w:r>
            <w:r w:rsidRPr="00150EDC">
              <w:rPr>
                <w:spacing w:val="-2"/>
                <w:sz w:val="24"/>
              </w:rPr>
              <w:t xml:space="preserve"> </w:t>
            </w:r>
            <w:r w:rsidRPr="00150EDC">
              <w:rPr>
                <w:sz w:val="24"/>
              </w:rPr>
              <w:t>it</w:t>
            </w:r>
            <w:r w:rsidRPr="00150EDC">
              <w:rPr>
                <w:spacing w:val="-2"/>
                <w:sz w:val="24"/>
              </w:rPr>
              <w:t xml:space="preserve"> </w:t>
            </w:r>
            <w:r w:rsidRPr="00150EDC">
              <w:rPr>
                <w:sz w:val="24"/>
              </w:rPr>
              <w:t>in</w:t>
            </w:r>
            <w:r w:rsidRPr="00150EDC">
              <w:rPr>
                <w:spacing w:val="-3"/>
                <w:sz w:val="24"/>
              </w:rPr>
              <w:t xml:space="preserve"> </w:t>
            </w:r>
            <w:r w:rsidRPr="00150EDC">
              <w:rPr>
                <w:sz w:val="24"/>
              </w:rPr>
              <w:t>the</w:t>
            </w:r>
            <w:r w:rsidRPr="00150EDC">
              <w:rPr>
                <w:spacing w:val="-2"/>
                <w:sz w:val="24"/>
              </w:rPr>
              <w:t xml:space="preserve"> </w:t>
            </w:r>
            <w:r w:rsidRPr="00150EDC">
              <w:rPr>
                <w:sz w:val="24"/>
              </w:rPr>
              <w:t>UK</w:t>
            </w:r>
            <w:r w:rsidRPr="00150EDC">
              <w:rPr>
                <w:spacing w:val="-2"/>
                <w:sz w:val="24"/>
              </w:rPr>
              <w:t xml:space="preserve"> GDPR;</w:t>
            </w:r>
          </w:p>
        </w:tc>
      </w:tr>
      <w:tr w:rsidR="007D3144" w:rsidRPr="007D3144" w14:paraId="4E3C129B" w14:textId="77777777">
        <w:trPr>
          <w:trHeight w:val="947"/>
        </w:trPr>
        <w:tc>
          <w:tcPr>
            <w:tcW w:w="2264" w:type="dxa"/>
          </w:tcPr>
          <w:p w14:paraId="62ED5C3E" w14:textId="77777777" w:rsidR="004C7180" w:rsidRPr="00150EDC" w:rsidRDefault="00CF0754">
            <w:pPr>
              <w:pStyle w:val="TableParagraph"/>
              <w:spacing w:before="0" w:line="240" w:lineRule="auto"/>
              <w:ind w:left="-1"/>
              <w:rPr>
                <w:b/>
                <w:sz w:val="24"/>
              </w:rPr>
            </w:pPr>
            <w:r w:rsidRPr="00150EDC">
              <w:rPr>
                <w:b/>
                <w:sz w:val="24"/>
              </w:rPr>
              <w:t>"Data Subject Access</w:t>
            </w:r>
            <w:r w:rsidRPr="00150EDC">
              <w:rPr>
                <w:b/>
                <w:spacing w:val="-17"/>
                <w:sz w:val="24"/>
              </w:rPr>
              <w:t xml:space="preserve"> </w:t>
            </w:r>
            <w:r w:rsidRPr="00150EDC">
              <w:rPr>
                <w:b/>
                <w:sz w:val="24"/>
              </w:rPr>
              <w:t>Request"</w:t>
            </w:r>
          </w:p>
        </w:tc>
        <w:tc>
          <w:tcPr>
            <w:tcW w:w="7484" w:type="dxa"/>
          </w:tcPr>
          <w:p w14:paraId="46F8B4C7" w14:textId="77777777" w:rsidR="004C7180" w:rsidRPr="00150EDC" w:rsidRDefault="00CF0754">
            <w:pPr>
              <w:pStyle w:val="TableParagraph"/>
              <w:spacing w:before="0" w:line="240" w:lineRule="auto"/>
              <w:ind w:left="107" w:right="101"/>
              <w:jc w:val="both"/>
              <w:rPr>
                <w:sz w:val="24"/>
              </w:rPr>
            </w:pPr>
            <w:r w:rsidRPr="00150EDC">
              <w:rPr>
                <w:sz w:val="24"/>
              </w:rPr>
              <w:t>a</w:t>
            </w:r>
            <w:r w:rsidRPr="00150EDC">
              <w:rPr>
                <w:spacing w:val="-14"/>
                <w:sz w:val="24"/>
              </w:rPr>
              <w:t xml:space="preserve"> </w:t>
            </w:r>
            <w:r w:rsidRPr="00150EDC">
              <w:rPr>
                <w:sz w:val="24"/>
              </w:rPr>
              <w:t>request</w:t>
            </w:r>
            <w:r w:rsidRPr="00150EDC">
              <w:rPr>
                <w:spacing w:val="-17"/>
                <w:sz w:val="24"/>
              </w:rPr>
              <w:t xml:space="preserve"> </w:t>
            </w:r>
            <w:r w:rsidRPr="00150EDC">
              <w:rPr>
                <w:sz w:val="24"/>
              </w:rPr>
              <w:t>made</w:t>
            </w:r>
            <w:r w:rsidRPr="00150EDC">
              <w:rPr>
                <w:spacing w:val="-14"/>
                <w:sz w:val="24"/>
              </w:rPr>
              <w:t xml:space="preserve"> </w:t>
            </w:r>
            <w:r w:rsidRPr="00150EDC">
              <w:rPr>
                <w:sz w:val="24"/>
              </w:rPr>
              <w:t>by,</w:t>
            </w:r>
            <w:r w:rsidRPr="00150EDC">
              <w:rPr>
                <w:spacing w:val="-17"/>
                <w:sz w:val="24"/>
              </w:rPr>
              <w:t xml:space="preserve"> </w:t>
            </w:r>
            <w:r w:rsidRPr="00150EDC">
              <w:rPr>
                <w:sz w:val="24"/>
              </w:rPr>
              <w:t>or</w:t>
            </w:r>
            <w:r w:rsidRPr="00150EDC">
              <w:rPr>
                <w:spacing w:val="-16"/>
                <w:sz w:val="24"/>
              </w:rPr>
              <w:t xml:space="preserve"> </w:t>
            </w:r>
            <w:r w:rsidRPr="00150EDC">
              <w:rPr>
                <w:sz w:val="24"/>
              </w:rPr>
              <w:t>on</w:t>
            </w:r>
            <w:r w:rsidRPr="00150EDC">
              <w:rPr>
                <w:spacing w:val="-14"/>
                <w:sz w:val="24"/>
              </w:rPr>
              <w:t xml:space="preserve"> </w:t>
            </w:r>
            <w:r w:rsidRPr="00150EDC">
              <w:rPr>
                <w:sz w:val="24"/>
              </w:rPr>
              <w:t>behalf</w:t>
            </w:r>
            <w:r w:rsidRPr="00150EDC">
              <w:rPr>
                <w:spacing w:val="-17"/>
                <w:sz w:val="24"/>
              </w:rPr>
              <w:t xml:space="preserve"> </w:t>
            </w:r>
            <w:r w:rsidRPr="00150EDC">
              <w:rPr>
                <w:sz w:val="24"/>
              </w:rPr>
              <w:t>of,</w:t>
            </w:r>
            <w:r w:rsidRPr="00150EDC">
              <w:rPr>
                <w:spacing w:val="-16"/>
                <w:sz w:val="24"/>
              </w:rPr>
              <w:t xml:space="preserve"> </w:t>
            </w:r>
            <w:r w:rsidRPr="00150EDC">
              <w:rPr>
                <w:sz w:val="24"/>
              </w:rPr>
              <w:t>a</w:t>
            </w:r>
            <w:r w:rsidRPr="00150EDC">
              <w:rPr>
                <w:spacing w:val="-14"/>
                <w:sz w:val="24"/>
              </w:rPr>
              <w:t xml:space="preserve"> </w:t>
            </w:r>
            <w:r w:rsidRPr="00150EDC">
              <w:rPr>
                <w:sz w:val="24"/>
              </w:rPr>
              <w:t>Data</w:t>
            </w:r>
            <w:r w:rsidRPr="00150EDC">
              <w:rPr>
                <w:spacing w:val="-17"/>
                <w:sz w:val="24"/>
              </w:rPr>
              <w:t xml:space="preserve"> </w:t>
            </w:r>
            <w:r w:rsidRPr="00150EDC">
              <w:rPr>
                <w:sz w:val="24"/>
              </w:rPr>
              <w:t>Subject</w:t>
            </w:r>
            <w:r w:rsidRPr="00150EDC">
              <w:rPr>
                <w:spacing w:val="-14"/>
                <w:sz w:val="24"/>
              </w:rPr>
              <w:t xml:space="preserve"> </w:t>
            </w:r>
            <w:r w:rsidRPr="00150EDC">
              <w:rPr>
                <w:sz w:val="24"/>
              </w:rPr>
              <w:t>in</w:t>
            </w:r>
            <w:r w:rsidRPr="00150EDC">
              <w:rPr>
                <w:spacing w:val="-15"/>
                <w:sz w:val="24"/>
              </w:rPr>
              <w:t xml:space="preserve"> </w:t>
            </w:r>
            <w:r w:rsidRPr="00150EDC">
              <w:rPr>
                <w:sz w:val="24"/>
              </w:rPr>
              <w:t>accordance</w:t>
            </w:r>
            <w:r w:rsidRPr="00150EDC">
              <w:rPr>
                <w:spacing w:val="-14"/>
                <w:sz w:val="24"/>
              </w:rPr>
              <w:t xml:space="preserve"> </w:t>
            </w:r>
            <w:r w:rsidRPr="00150EDC">
              <w:rPr>
                <w:sz w:val="24"/>
              </w:rPr>
              <w:t>with rights granted pursuant to the Data Protection Legislation to access their Personal Data;</w:t>
            </w:r>
          </w:p>
        </w:tc>
      </w:tr>
      <w:tr w:rsidR="007D3144" w:rsidRPr="007D3144" w14:paraId="1AD0731C" w14:textId="77777777">
        <w:trPr>
          <w:trHeight w:val="948"/>
        </w:trPr>
        <w:tc>
          <w:tcPr>
            <w:tcW w:w="2264" w:type="dxa"/>
          </w:tcPr>
          <w:p w14:paraId="71A295C1" w14:textId="77777777" w:rsidR="004C7180" w:rsidRPr="00150EDC" w:rsidRDefault="00CF0754">
            <w:pPr>
              <w:pStyle w:val="TableParagraph"/>
              <w:spacing w:before="0" w:line="240" w:lineRule="auto"/>
              <w:ind w:left="-1"/>
              <w:rPr>
                <w:b/>
                <w:sz w:val="24"/>
              </w:rPr>
            </w:pPr>
            <w:r w:rsidRPr="00150EDC">
              <w:rPr>
                <w:b/>
                <w:spacing w:val="-2"/>
                <w:sz w:val="24"/>
              </w:rPr>
              <w:t>"Deductions"</w:t>
            </w:r>
          </w:p>
        </w:tc>
        <w:tc>
          <w:tcPr>
            <w:tcW w:w="7484" w:type="dxa"/>
          </w:tcPr>
          <w:p w14:paraId="0557F7F7" w14:textId="77777777" w:rsidR="004C7180" w:rsidRPr="00150EDC" w:rsidRDefault="00CF0754">
            <w:pPr>
              <w:pStyle w:val="TableParagraph"/>
              <w:spacing w:before="0" w:line="240" w:lineRule="auto"/>
              <w:ind w:left="107" w:right="101"/>
              <w:jc w:val="both"/>
              <w:rPr>
                <w:sz w:val="24"/>
              </w:rPr>
            </w:pPr>
            <w:r w:rsidRPr="00150EDC">
              <w:rPr>
                <w:sz w:val="24"/>
              </w:rPr>
              <w:t>all Service Credits, Delay Payments (if applicable), or any other deduction</w:t>
            </w:r>
            <w:r w:rsidRPr="00150EDC">
              <w:rPr>
                <w:spacing w:val="-12"/>
                <w:sz w:val="24"/>
              </w:rPr>
              <w:t xml:space="preserve"> </w:t>
            </w:r>
            <w:r w:rsidRPr="00150EDC">
              <w:rPr>
                <w:sz w:val="24"/>
              </w:rPr>
              <w:t>which</w:t>
            </w:r>
            <w:r w:rsidRPr="00150EDC">
              <w:rPr>
                <w:spacing w:val="-12"/>
                <w:sz w:val="24"/>
              </w:rPr>
              <w:t xml:space="preserve"> </w:t>
            </w:r>
            <w:r w:rsidRPr="00150EDC">
              <w:rPr>
                <w:sz w:val="24"/>
              </w:rPr>
              <w:t>the</w:t>
            </w:r>
            <w:r w:rsidRPr="00150EDC">
              <w:rPr>
                <w:spacing w:val="-12"/>
                <w:sz w:val="24"/>
              </w:rPr>
              <w:t xml:space="preserve"> </w:t>
            </w:r>
            <w:r w:rsidRPr="00150EDC">
              <w:rPr>
                <w:sz w:val="24"/>
              </w:rPr>
              <w:t>Buyer</w:t>
            </w:r>
            <w:r w:rsidRPr="00150EDC">
              <w:rPr>
                <w:spacing w:val="-13"/>
                <w:sz w:val="24"/>
              </w:rPr>
              <w:t xml:space="preserve"> </w:t>
            </w:r>
            <w:r w:rsidRPr="00150EDC">
              <w:rPr>
                <w:sz w:val="24"/>
              </w:rPr>
              <w:t>is</w:t>
            </w:r>
            <w:r w:rsidRPr="00150EDC">
              <w:rPr>
                <w:spacing w:val="-13"/>
                <w:sz w:val="24"/>
              </w:rPr>
              <w:t xml:space="preserve"> </w:t>
            </w:r>
            <w:r w:rsidRPr="00150EDC">
              <w:rPr>
                <w:sz w:val="24"/>
              </w:rPr>
              <w:t>paid</w:t>
            </w:r>
            <w:r w:rsidRPr="00150EDC">
              <w:rPr>
                <w:spacing w:val="-12"/>
                <w:sz w:val="24"/>
              </w:rPr>
              <w:t xml:space="preserve"> </w:t>
            </w:r>
            <w:r w:rsidRPr="00150EDC">
              <w:rPr>
                <w:sz w:val="24"/>
              </w:rPr>
              <w:t>or</w:t>
            </w:r>
            <w:r w:rsidRPr="00150EDC">
              <w:rPr>
                <w:spacing w:val="-13"/>
                <w:sz w:val="24"/>
              </w:rPr>
              <w:t xml:space="preserve"> </w:t>
            </w:r>
            <w:r w:rsidRPr="00150EDC">
              <w:rPr>
                <w:sz w:val="24"/>
              </w:rPr>
              <w:t>is</w:t>
            </w:r>
            <w:r w:rsidRPr="00150EDC">
              <w:rPr>
                <w:spacing w:val="-13"/>
                <w:sz w:val="24"/>
              </w:rPr>
              <w:t xml:space="preserve"> </w:t>
            </w:r>
            <w:r w:rsidRPr="00150EDC">
              <w:rPr>
                <w:sz w:val="24"/>
              </w:rPr>
              <w:t>payable</w:t>
            </w:r>
            <w:r w:rsidRPr="00150EDC">
              <w:rPr>
                <w:spacing w:val="-12"/>
                <w:sz w:val="24"/>
              </w:rPr>
              <w:t xml:space="preserve"> </w:t>
            </w:r>
            <w:r w:rsidRPr="00150EDC">
              <w:rPr>
                <w:sz w:val="24"/>
              </w:rPr>
              <w:t>to</w:t>
            </w:r>
            <w:r w:rsidRPr="00150EDC">
              <w:rPr>
                <w:spacing w:val="-11"/>
                <w:sz w:val="24"/>
              </w:rPr>
              <w:t xml:space="preserve"> </w:t>
            </w:r>
            <w:r w:rsidRPr="00150EDC">
              <w:rPr>
                <w:sz w:val="24"/>
              </w:rPr>
              <w:t>the</w:t>
            </w:r>
            <w:r w:rsidRPr="00150EDC">
              <w:rPr>
                <w:spacing w:val="-12"/>
                <w:sz w:val="24"/>
              </w:rPr>
              <w:t xml:space="preserve"> </w:t>
            </w:r>
            <w:r w:rsidRPr="00150EDC">
              <w:rPr>
                <w:sz w:val="24"/>
              </w:rPr>
              <w:t>Buyer</w:t>
            </w:r>
            <w:r w:rsidRPr="00150EDC">
              <w:rPr>
                <w:spacing w:val="-13"/>
                <w:sz w:val="24"/>
              </w:rPr>
              <w:t xml:space="preserve"> </w:t>
            </w:r>
            <w:r w:rsidRPr="00150EDC">
              <w:rPr>
                <w:sz w:val="24"/>
              </w:rPr>
              <w:t>under</w:t>
            </w:r>
            <w:r w:rsidRPr="00150EDC">
              <w:rPr>
                <w:spacing w:val="-13"/>
                <w:sz w:val="24"/>
              </w:rPr>
              <w:t xml:space="preserve"> </w:t>
            </w:r>
            <w:r w:rsidRPr="00150EDC">
              <w:rPr>
                <w:sz w:val="24"/>
              </w:rPr>
              <w:t>an Order Contract;</w:t>
            </w:r>
          </w:p>
        </w:tc>
      </w:tr>
      <w:tr w:rsidR="007D3144" w:rsidRPr="007D3144" w14:paraId="7ABBA111" w14:textId="77777777">
        <w:trPr>
          <w:trHeight w:val="2051"/>
        </w:trPr>
        <w:tc>
          <w:tcPr>
            <w:tcW w:w="2264" w:type="dxa"/>
          </w:tcPr>
          <w:p w14:paraId="49DCAB60" w14:textId="77777777" w:rsidR="004C7180" w:rsidRPr="00150EDC" w:rsidRDefault="00CF0754">
            <w:pPr>
              <w:pStyle w:val="TableParagraph"/>
              <w:spacing w:before="0" w:line="240" w:lineRule="auto"/>
              <w:ind w:left="-1"/>
              <w:rPr>
                <w:b/>
                <w:sz w:val="24"/>
              </w:rPr>
            </w:pPr>
            <w:r w:rsidRPr="00150EDC">
              <w:rPr>
                <w:b/>
                <w:spacing w:val="-2"/>
                <w:sz w:val="24"/>
              </w:rPr>
              <w:t>"Default"</w:t>
            </w:r>
          </w:p>
        </w:tc>
        <w:tc>
          <w:tcPr>
            <w:tcW w:w="7484" w:type="dxa"/>
          </w:tcPr>
          <w:p w14:paraId="31A7502D" w14:textId="77777777" w:rsidR="004C7180" w:rsidRPr="00150EDC" w:rsidRDefault="00CF0754">
            <w:pPr>
              <w:pStyle w:val="TableParagraph"/>
              <w:spacing w:before="0" w:line="240" w:lineRule="auto"/>
              <w:ind w:left="107" w:right="93"/>
              <w:jc w:val="both"/>
              <w:rPr>
                <w:sz w:val="24"/>
              </w:rPr>
            </w:pPr>
            <w:r w:rsidRPr="00150EDC">
              <w:rPr>
                <w:sz w:val="24"/>
              </w:rPr>
              <w:t>any</w:t>
            </w:r>
            <w:r w:rsidRPr="00150EDC">
              <w:rPr>
                <w:spacing w:val="-9"/>
                <w:sz w:val="24"/>
              </w:rPr>
              <w:t xml:space="preserve"> </w:t>
            </w:r>
            <w:r w:rsidRPr="00150EDC">
              <w:rPr>
                <w:sz w:val="24"/>
              </w:rPr>
              <w:t>breach</w:t>
            </w:r>
            <w:r w:rsidRPr="00150EDC">
              <w:rPr>
                <w:spacing w:val="-10"/>
                <w:sz w:val="24"/>
              </w:rPr>
              <w:t xml:space="preserve"> </w:t>
            </w:r>
            <w:r w:rsidRPr="00150EDC">
              <w:rPr>
                <w:sz w:val="24"/>
              </w:rPr>
              <w:t>of</w:t>
            </w:r>
            <w:r w:rsidRPr="00150EDC">
              <w:rPr>
                <w:spacing w:val="-8"/>
                <w:sz w:val="24"/>
              </w:rPr>
              <w:t xml:space="preserve"> </w:t>
            </w:r>
            <w:r w:rsidRPr="00150EDC">
              <w:rPr>
                <w:sz w:val="24"/>
              </w:rPr>
              <w:t>the</w:t>
            </w:r>
            <w:r w:rsidRPr="00150EDC">
              <w:rPr>
                <w:spacing w:val="-10"/>
                <w:sz w:val="24"/>
              </w:rPr>
              <w:t xml:space="preserve"> </w:t>
            </w:r>
            <w:r w:rsidRPr="00150EDC">
              <w:rPr>
                <w:sz w:val="24"/>
              </w:rPr>
              <w:t>obligations</w:t>
            </w:r>
            <w:r w:rsidRPr="00150EDC">
              <w:rPr>
                <w:spacing w:val="-11"/>
                <w:sz w:val="24"/>
              </w:rPr>
              <w:t xml:space="preserve"> </w:t>
            </w:r>
            <w:r w:rsidRPr="00150EDC">
              <w:rPr>
                <w:sz w:val="24"/>
              </w:rPr>
              <w:t>of</w:t>
            </w:r>
            <w:r w:rsidRPr="00150EDC">
              <w:rPr>
                <w:spacing w:val="-8"/>
                <w:sz w:val="24"/>
              </w:rPr>
              <w:t xml:space="preserve"> </w:t>
            </w:r>
            <w:r w:rsidRPr="00150EDC">
              <w:rPr>
                <w:sz w:val="24"/>
              </w:rPr>
              <w:t>the</w:t>
            </w:r>
            <w:r w:rsidRPr="00150EDC">
              <w:rPr>
                <w:spacing w:val="-10"/>
                <w:sz w:val="24"/>
              </w:rPr>
              <w:t xml:space="preserve"> </w:t>
            </w:r>
            <w:r w:rsidRPr="00150EDC">
              <w:rPr>
                <w:sz w:val="24"/>
              </w:rPr>
              <w:t>Supplier</w:t>
            </w:r>
            <w:r w:rsidRPr="00150EDC">
              <w:rPr>
                <w:spacing w:val="-9"/>
                <w:sz w:val="24"/>
              </w:rPr>
              <w:t xml:space="preserve"> </w:t>
            </w:r>
            <w:r w:rsidRPr="00150EDC">
              <w:rPr>
                <w:sz w:val="24"/>
              </w:rPr>
              <w:t>(including</w:t>
            </w:r>
            <w:r w:rsidRPr="00150EDC">
              <w:rPr>
                <w:spacing w:val="-10"/>
                <w:sz w:val="24"/>
              </w:rPr>
              <w:t xml:space="preserve"> </w:t>
            </w:r>
            <w:r w:rsidRPr="00150EDC">
              <w:rPr>
                <w:sz w:val="24"/>
              </w:rPr>
              <w:t>abandonment of a Contract in breach of its terms) or any other default (including material default), act, omission, negligence or statement of the Supplier, of its Subcontractors or any Supplier Staff howsoever arising in connection with or in relation to the subject-matter of a Contract</w:t>
            </w:r>
            <w:r w:rsidRPr="00150EDC">
              <w:rPr>
                <w:spacing w:val="-10"/>
                <w:sz w:val="24"/>
              </w:rPr>
              <w:t xml:space="preserve"> </w:t>
            </w:r>
            <w:r w:rsidRPr="00150EDC">
              <w:rPr>
                <w:sz w:val="24"/>
              </w:rPr>
              <w:t>and</w:t>
            </w:r>
            <w:r w:rsidRPr="00150EDC">
              <w:rPr>
                <w:spacing w:val="-8"/>
                <w:sz w:val="24"/>
              </w:rPr>
              <w:t xml:space="preserve"> </w:t>
            </w:r>
            <w:r w:rsidRPr="00150EDC">
              <w:rPr>
                <w:sz w:val="24"/>
              </w:rPr>
              <w:t>in</w:t>
            </w:r>
            <w:r w:rsidRPr="00150EDC">
              <w:rPr>
                <w:spacing w:val="-7"/>
                <w:sz w:val="24"/>
              </w:rPr>
              <w:t xml:space="preserve"> </w:t>
            </w:r>
            <w:r w:rsidRPr="00150EDC">
              <w:rPr>
                <w:sz w:val="24"/>
              </w:rPr>
              <w:t>respect</w:t>
            </w:r>
            <w:r w:rsidRPr="00150EDC">
              <w:rPr>
                <w:spacing w:val="-7"/>
                <w:sz w:val="24"/>
              </w:rPr>
              <w:t xml:space="preserve"> </w:t>
            </w:r>
            <w:r w:rsidRPr="00150EDC">
              <w:rPr>
                <w:sz w:val="24"/>
              </w:rPr>
              <w:t>of</w:t>
            </w:r>
            <w:r w:rsidRPr="00150EDC">
              <w:rPr>
                <w:spacing w:val="-7"/>
                <w:sz w:val="24"/>
              </w:rPr>
              <w:t xml:space="preserve"> </w:t>
            </w:r>
            <w:r w:rsidRPr="00150EDC">
              <w:rPr>
                <w:sz w:val="24"/>
              </w:rPr>
              <w:t>which</w:t>
            </w:r>
            <w:r w:rsidRPr="00150EDC">
              <w:rPr>
                <w:spacing w:val="-9"/>
                <w:sz w:val="24"/>
              </w:rPr>
              <w:t xml:space="preserve"> </w:t>
            </w:r>
            <w:r w:rsidRPr="00150EDC">
              <w:rPr>
                <w:sz w:val="24"/>
              </w:rPr>
              <w:t>the</w:t>
            </w:r>
            <w:r w:rsidRPr="00150EDC">
              <w:rPr>
                <w:spacing w:val="-7"/>
                <w:sz w:val="24"/>
              </w:rPr>
              <w:t xml:space="preserve"> </w:t>
            </w:r>
            <w:r w:rsidRPr="00150EDC">
              <w:rPr>
                <w:sz w:val="24"/>
              </w:rPr>
              <w:t>Supplier</w:t>
            </w:r>
            <w:r w:rsidRPr="00150EDC">
              <w:rPr>
                <w:spacing w:val="-11"/>
                <w:sz w:val="24"/>
              </w:rPr>
              <w:t xml:space="preserve"> </w:t>
            </w:r>
            <w:r w:rsidRPr="00150EDC">
              <w:rPr>
                <w:sz w:val="24"/>
              </w:rPr>
              <w:t>is</w:t>
            </w:r>
            <w:r w:rsidRPr="00150EDC">
              <w:rPr>
                <w:spacing w:val="-8"/>
                <w:sz w:val="24"/>
              </w:rPr>
              <w:t xml:space="preserve"> </w:t>
            </w:r>
            <w:r w:rsidRPr="00150EDC">
              <w:rPr>
                <w:sz w:val="24"/>
              </w:rPr>
              <w:t>liable</w:t>
            </w:r>
            <w:r w:rsidRPr="00150EDC">
              <w:rPr>
                <w:spacing w:val="-7"/>
                <w:sz w:val="24"/>
              </w:rPr>
              <w:t xml:space="preserve"> </w:t>
            </w:r>
            <w:r w:rsidRPr="00150EDC">
              <w:rPr>
                <w:sz w:val="24"/>
              </w:rPr>
              <w:t>to</w:t>
            </w:r>
            <w:r w:rsidRPr="00150EDC">
              <w:rPr>
                <w:spacing w:val="-9"/>
                <w:sz w:val="24"/>
              </w:rPr>
              <w:t xml:space="preserve"> </w:t>
            </w:r>
            <w:r w:rsidRPr="00150EDC">
              <w:rPr>
                <w:sz w:val="24"/>
              </w:rPr>
              <w:t>the</w:t>
            </w:r>
            <w:r w:rsidRPr="00150EDC">
              <w:rPr>
                <w:spacing w:val="-7"/>
                <w:sz w:val="24"/>
              </w:rPr>
              <w:t xml:space="preserve"> </w:t>
            </w:r>
            <w:r w:rsidRPr="00150EDC">
              <w:rPr>
                <w:sz w:val="24"/>
              </w:rPr>
              <w:t xml:space="preserve">Relevant </w:t>
            </w:r>
            <w:r w:rsidRPr="00150EDC">
              <w:rPr>
                <w:spacing w:val="-2"/>
                <w:sz w:val="24"/>
              </w:rPr>
              <w:t>Authority;</w:t>
            </w:r>
          </w:p>
        </w:tc>
      </w:tr>
      <w:tr w:rsidR="007D3144" w:rsidRPr="007D3144" w14:paraId="7D7E2124" w14:textId="77777777">
        <w:trPr>
          <w:trHeight w:val="947"/>
        </w:trPr>
        <w:tc>
          <w:tcPr>
            <w:tcW w:w="2264" w:type="dxa"/>
          </w:tcPr>
          <w:p w14:paraId="0B1EF766" w14:textId="77777777" w:rsidR="004C7180" w:rsidRPr="00150EDC" w:rsidRDefault="00CF0754">
            <w:pPr>
              <w:pStyle w:val="TableParagraph"/>
              <w:spacing w:before="0" w:line="240" w:lineRule="auto"/>
              <w:ind w:left="-1" w:right="298"/>
              <w:rPr>
                <w:b/>
                <w:sz w:val="24"/>
              </w:rPr>
            </w:pPr>
            <w:r w:rsidRPr="00150EDC">
              <w:rPr>
                <w:b/>
                <w:spacing w:val="-2"/>
                <w:sz w:val="24"/>
              </w:rPr>
              <w:t>"Default Management Levy"</w:t>
            </w:r>
          </w:p>
        </w:tc>
        <w:tc>
          <w:tcPr>
            <w:tcW w:w="7484" w:type="dxa"/>
          </w:tcPr>
          <w:p w14:paraId="3E05BF06" w14:textId="77777777" w:rsidR="004C7180" w:rsidRPr="00150EDC" w:rsidRDefault="00CF0754">
            <w:pPr>
              <w:pStyle w:val="TableParagraph"/>
              <w:spacing w:before="0" w:line="240" w:lineRule="auto"/>
              <w:ind w:left="107"/>
              <w:rPr>
                <w:sz w:val="24"/>
              </w:rPr>
            </w:pPr>
            <w:r w:rsidRPr="00150EDC">
              <w:rPr>
                <w:sz w:val="24"/>
              </w:rPr>
              <w:t>has the meaning given to it in Paragraph 8.1.1 of DPS Schedule 5 (Management Levy and Information);</w:t>
            </w:r>
          </w:p>
        </w:tc>
      </w:tr>
      <w:tr w:rsidR="007D3144" w:rsidRPr="007D3144" w14:paraId="1BADDD94" w14:textId="77777777">
        <w:trPr>
          <w:trHeight w:val="947"/>
        </w:trPr>
        <w:tc>
          <w:tcPr>
            <w:tcW w:w="2264" w:type="dxa"/>
          </w:tcPr>
          <w:p w14:paraId="6ACA6BB8" w14:textId="77777777" w:rsidR="004C7180" w:rsidRPr="00150EDC" w:rsidRDefault="00CF0754">
            <w:pPr>
              <w:pStyle w:val="TableParagraph"/>
              <w:spacing w:before="0" w:line="240" w:lineRule="auto"/>
              <w:ind w:left="-1"/>
              <w:rPr>
                <w:b/>
                <w:sz w:val="24"/>
              </w:rPr>
            </w:pPr>
            <w:r w:rsidRPr="00150EDC">
              <w:rPr>
                <w:b/>
                <w:sz w:val="24"/>
              </w:rPr>
              <w:t>"Delay</w:t>
            </w:r>
            <w:r w:rsidRPr="00150EDC">
              <w:rPr>
                <w:b/>
                <w:spacing w:val="-6"/>
                <w:sz w:val="24"/>
              </w:rPr>
              <w:t xml:space="preserve"> </w:t>
            </w:r>
            <w:r w:rsidRPr="00150EDC">
              <w:rPr>
                <w:b/>
                <w:spacing w:val="-2"/>
                <w:sz w:val="24"/>
              </w:rPr>
              <w:t>Payments"</w:t>
            </w:r>
          </w:p>
        </w:tc>
        <w:tc>
          <w:tcPr>
            <w:tcW w:w="7484" w:type="dxa"/>
          </w:tcPr>
          <w:p w14:paraId="7293659B" w14:textId="77777777" w:rsidR="004C7180" w:rsidRPr="00150EDC" w:rsidRDefault="00CF0754">
            <w:pPr>
              <w:pStyle w:val="TableParagraph"/>
              <w:spacing w:before="0" w:line="240" w:lineRule="auto"/>
              <w:ind w:left="107" w:right="100"/>
              <w:jc w:val="both"/>
              <w:rPr>
                <w:sz w:val="24"/>
              </w:rPr>
            </w:pPr>
            <w:r w:rsidRPr="00150EDC">
              <w:rPr>
                <w:sz w:val="24"/>
              </w:rPr>
              <w:t>the amounts (if any) payable by the Supplier to the Buyer in respect of</w:t>
            </w:r>
            <w:r w:rsidRPr="00150EDC">
              <w:rPr>
                <w:spacing w:val="-14"/>
                <w:sz w:val="24"/>
              </w:rPr>
              <w:t xml:space="preserve"> </w:t>
            </w:r>
            <w:r w:rsidRPr="00150EDC">
              <w:rPr>
                <w:sz w:val="24"/>
              </w:rPr>
              <w:t>a</w:t>
            </w:r>
            <w:r w:rsidRPr="00150EDC">
              <w:rPr>
                <w:spacing w:val="-14"/>
                <w:sz w:val="24"/>
              </w:rPr>
              <w:t xml:space="preserve"> </w:t>
            </w:r>
            <w:r w:rsidRPr="00150EDC">
              <w:rPr>
                <w:sz w:val="24"/>
              </w:rPr>
              <w:t>delay</w:t>
            </w:r>
            <w:r w:rsidRPr="00150EDC">
              <w:rPr>
                <w:spacing w:val="-14"/>
                <w:sz w:val="24"/>
              </w:rPr>
              <w:t xml:space="preserve"> </w:t>
            </w:r>
            <w:r w:rsidRPr="00150EDC">
              <w:rPr>
                <w:sz w:val="24"/>
              </w:rPr>
              <w:t>in</w:t>
            </w:r>
            <w:r w:rsidRPr="00150EDC">
              <w:rPr>
                <w:spacing w:val="-15"/>
                <w:sz w:val="24"/>
              </w:rPr>
              <w:t xml:space="preserve"> </w:t>
            </w:r>
            <w:r w:rsidRPr="00150EDC">
              <w:rPr>
                <w:sz w:val="24"/>
              </w:rPr>
              <w:t>respect</w:t>
            </w:r>
            <w:r w:rsidRPr="00150EDC">
              <w:rPr>
                <w:spacing w:val="-14"/>
                <w:sz w:val="24"/>
              </w:rPr>
              <w:t xml:space="preserve"> </w:t>
            </w:r>
            <w:r w:rsidRPr="00150EDC">
              <w:rPr>
                <w:sz w:val="24"/>
              </w:rPr>
              <w:t>of</w:t>
            </w:r>
            <w:r w:rsidRPr="00150EDC">
              <w:rPr>
                <w:spacing w:val="-17"/>
                <w:sz w:val="24"/>
              </w:rPr>
              <w:t xml:space="preserve"> </w:t>
            </w:r>
            <w:r w:rsidRPr="00150EDC">
              <w:rPr>
                <w:sz w:val="24"/>
              </w:rPr>
              <w:t>a</w:t>
            </w:r>
            <w:r w:rsidRPr="00150EDC">
              <w:rPr>
                <w:spacing w:val="-14"/>
                <w:sz w:val="24"/>
              </w:rPr>
              <w:t xml:space="preserve"> </w:t>
            </w:r>
            <w:r w:rsidRPr="00150EDC">
              <w:rPr>
                <w:sz w:val="24"/>
              </w:rPr>
              <w:t>Milestone</w:t>
            </w:r>
            <w:r w:rsidRPr="00150EDC">
              <w:rPr>
                <w:spacing w:val="-17"/>
                <w:sz w:val="24"/>
              </w:rPr>
              <w:t xml:space="preserve"> </w:t>
            </w:r>
            <w:r w:rsidRPr="00150EDC">
              <w:rPr>
                <w:sz w:val="24"/>
              </w:rPr>
              <w:t>as</w:t>
            </w:r>
            <w:r w:rsidRPr="00150EDC">
              <w:rPr>
                <w:spacing w:val="-15"/>
                <w:sz w:val="24"/>
              </w:rPr>
              <w:t xml:space="preserve"> </w:t>
            </w:r>
            <w:r w:rsidRPr="00150EDC">
              <w:rPr>
                <w:sz w:val="24"/>
              </w:rPr>
              <w:t>specified</w:t>
            </w:r>
            <w:r w:rsidRPr="00150EDC">
              <w:rPr>
                <w:spacing w:val="-14"/>
                <w:sz w:val="24"/>
              </w:rPr>
              <w:t xml:space="preserve"> </w:t>
            </w:r>
            <w:r w:rsidRPr="00150EDC">
              <w:rPr>
                <w:sz w:val="24"/>
              </w:rPr>
              <w:t>in</w:t>
            </w:r>
            <w:r w:rsidRPr="00150EDC">
              <w:rPr>
                <w:spacing w:val="-15"/>
                <w:sz w:val="24"/>
              </w:rPr>
              <w:t xml:space="preserve"> </w:t>
            </w:r>
            <w:r w:rsidRPr="00150EDC">
              <w:rPr>
                <w:sz w:val="24"/>
              </w:rPr>
              <w:t>the</w:t>
            </w:r>
            <w:r w:rsidRPr="00150EDC">
              <w:rPr>
                <w:spacing w:val="-17"/>
                <w:sz w:val="24"/>
              </w:rPr>
              <w:t xml:space="preserve"> </w:t>
            </w:r>
            <w:r w:rsidRPr="00150EDC">
              <w:rPr>
                <w:sz w:val="24"/>
              </w:rPr>
              <w:t xml:space="preserve">Implementation </w:t>
            </w:r>
            <w:r w:rsidRPr="00150EDC">
              <w:rPr>
                <w:spacing w:val="-2"/>
                <w:sz w:val="24"/>
              </w:rPr>
              <w:t>Plan;</w:t>
            </w:r>
          </w:p>
        </w:tc>
      </w:tr>
      <w:tr w:rsidR="007D3144" w:rsidRPr="007D3144" w14:paraId="0A5E5157" w14:textId="77777777">
        <w:trPr>
          <w:trHeight w:val="671"/>
        </w:trPr>
        <w:tc>
          <w:tcPr>
            <w:tcW w:w="2264" w:type="dxa"/>
          </w:tcPr>
          <w:p w14:paraId="781A2A63" w14:textId="77777777" w:rsidR="004C7180" w:rsidRPr="00150EDC" w:rsidRDefault="00CF0754">
            <w:pPr>
              <w:pStyle w:val="TableParagraph"/>
              <w:spacing w:before="0" w:line="240" w:lineRule="auto"/>
              <w:ind w:left="-1"/>
              <w:rPr>
                <w:b/>
                <w:sz w:val="24"/>
              </w:rPr>
            </w:pPr>
            <w:r w:rsidRPr="00150EDC">
              <w:rPr>
                <w:b/>
                <w:spacing w:val="-2"/>
                <w:sz w:val="24"/>
              </w:rPr>
              <w:t>"Deliverables"</w:t>
            </w:r>
          </w:p>
        </w:tc>
        <w:tc>
          <w:tcPr>
            <w:tcW w:w="7484" w:type="dxa"/>
          </w:tcPr>
          <w:p w14:paraId="1ED91DF0" w14:textId="77777777" w:rsidR="004C7180" w:rsidRPr="00150EDC" w:rsidRDefault="00CF0754">
            <w:pPr>
              <w:pStyle w:val="TableParagraph"/>
              <w:spacing w:before="0" w:line="240" w:lineRule="auto"/>
              <w:ind w:left="107"/>
              <w:rPr>
                <w:sz w:val="24"/>
              </w:rPr>
            </w:pPr>
            <w:r w:rsidRPr="00150EDC">
              <w:rPr>
                <w:sz w:val="24"/>
              </w:rPr>
              <w:t>Goods</w:t>
            </w:r>
            <w:r w:rsidRPr="00150EDC">
              <w:rPr>
                <w:spacing w:val="40"/>
                <w:sz w:val="24"/>
              </w:rPr>
              <w:t xml:space="preserve"> </w:t>
            </w:r>
            <w:r w:rsidRPr="00150EDC">
              <w:rPr>
                <w:sz w:val="24"/>
              </w:rPr>
              <w:t>and/or</w:t>
            </w:r>
            <w:r w:rsidRPr="00150EDC">
              <w:rPr>
                <w:spacing w:val="40"/>
                <w:sz w:val="24"/>
              </w:rPr>
              <w:t xml:space="preserve"> </w:t>
            </w:r>
            <w:r w:rsidRPr="00150EDC">
              <w:rPr>
                <w:sz w:val="24"/>
              </w:rPr>
              <w:t>Services</w:t>
            </w:r>
            <w:r w:rsidRPr="00150EDC">
              <w:rPr>
                <w:spacing w:val="40"/>
                <w:sz w:val="24"/>
              </w:rPr>
              <w:t xml:space="preserve"> </w:t>
            </w:r>
            <w:r w:rsidRPr="00150EDC">
              <w:rPr>
                <w:sz w:val="24"/>
              </w:rPr>
              <w:t>that</w:t>
            </w:r>
            <w:r w:rsidRPr="00150EDC">
              <w:rPr>
                <w:spacing w:val="40"/>
                <w:sz w:val="24"/>
              </w:rPr>
              <w:t xml:space="preserve"> </w:t>
            </w:r>
            <w:r w:rsidRPr="00150EDC">
              <w:rPr>
                <w:sz w:val="24"/>
              </w:rPr>
              <w:t>may</w:t>
            </w:r>
            <w:r w:rsidRPr="00150EDC">
              <w:rPr>
                <w:spacing w:val="40"/>
                <w:sz w:val="24"/>
              </w:rPr>
              <w:t xml:space="preserve"> </w:t>
            </w:r>
            <w:r w:rsidRPr="00150EDC">
              <w:rPr>
                <w:sz w:val="24"/>
              </w:rPr>
              <w:t>be</w:t>
            </w:r>
            <w:r w:rsidRPr="00150EDC">
              <w:rPr>
                <w:spacing w:val="40"/>
                <w:sz w:val="24"/>
              </w:rPr>
              <w:t xml:space="preserve"> </w:t>
            </w:r>
            <w:r w:rsidRPr="00150EDC">
              <w:rPr>
                <w:sz w:val="24"/>
              </w:rPr>
              <w:t>ordered</w:t>
            </w:r>
            <w:r w:rsidRPr="00150EDC">
              <w:rPr>
                <w:spacing w:val="40"/>
                <w:sz w:val="24"/>
              </w:rPr>
              <w:t xml:space="preserve"> </w:t>
            </w:r>
            <w:r w:rsidRPr="00150EDC">
              <w:rPr>
                <w:sz w:val="24"/>
              </w:rPr>
              <w:t>under</w:t>
            </w:r>
            <w:r w:rsidRPr="00150EDC">
              <w:rPr>
                <w:spacing w:val="40"/>
                <w:sz w:val="24"/>
              </w:rPr>
              <w:t xml:space="preserve"> </w:t>
            </w:r>
            <w:r w:rsidRPr="00150EDC">
              <w:rPr>
                <w:sz w:val="24"/>
              </w:rPr>
              <w:t>the</w:t>
            </w:r>
            <w:r w:rsidRPr="00150EDC">
              <w:rPr>
                <w:spacing w:val="40"/>
                <w:sz w:val="24"/>
              </w:rPr>
              <w:t xml:space="preserve"> </w:t>
            </w:r>
            <w:r w:rsidRPr="00150EDC">
              <w:rPr>
                <w:sz w:val="24"/>
              </w:rPr>
              <w:t>Contract including the Documentation;</w:t>
            </w:r>
          </w:p>
        </w:tc>
      </w:tr>
      <w:tr w:rsidR="007D3144" w:rsidRPr="007D3144" w14:paraId="498B1E37" w14:textId="77777777">
        <w:trPr>
          <w:trHeight w:val="1777"/>
        </w:trPr>
        <w:tc>
          <w:tcPr>
            <w:tcW w:w="2264" w:type="dxa"/>
          </w:tcPr>
          <w:p w14:paraId="5F631F37" w14:textId="77777777" w:rsidR="004C7180" w:rsidRPr="00150EDC" w:rsidRDefault="00CF0754">
            <w:pPr>
              <w:pStyle w:val="TableParagraph"/>
              <w:spacing w:before="2" w:line="240" w:lineRule="auto"/>
              <w:ind w:left="-1"/>
              <w:rPr>
                <w:b/>
                <w:sz w:val="24"/>
              </w:rPr>
            </w:pPr>
            <w:r w:rsidRPr="00150EDC">
              <w:rPr>
                <w:b/>
                <w:spacing w:val="-2"/>
                <w:sz w:val="24"/>
              </w:rPr>
              <w:t>"Delivery"</w:t>
            </w:r>
          </w:p>
        </w:tc>
        <w:tc>
          <w:tcPr>
            <w:tcW w:w="7484" w:type="dxa"/>
          </w:tcPr>
          <w:p w14:paraId="78B16C0D" w14:textId="77777777" w:rsidR="004C7180" w:rsidRPr="00150EDC" w:rsidRDefault="00CF0754">
            <w:pPr>
              <w:pStyle w:val="TableParagraph"/>
              <w:spacing w:before="2" w:line="240" w:lineRule="auto"/>
              <w:ind w:left="107" w:right="94"/>
              <w:jc w:val="both"/>
              <w:rPr>
                <w:sz w:val="24"/>
              </w:rPr>
            </w:pPr>
            <w:r w:rsidRPr="00150EDC">
              <w:rPr>
                <w:sz w:val="24"/>
              </w:rPr>
              <w:t>delivery of the relevant Deliverable or Milestone in accordance with the terms of an Order Contract as confirmed and accepted by the Buyer</w:t>
            </w:r>
            <w:r w:rsidRPr="00150EDC">
              <w:rPr>
                <w:spacing w:val="-16"/>
                <w:sz w:val="24"/>
              </w:rPr>
              <w:t xml:space="preserve"> </w:t>
            </w:r>
            <w:r w:rsidRPr="00150EDC">
              <w:rPr>
                <w:sz w:val="24"/>
              </w:rPr>
              <w:t>by</w:t>
            </w:r>
            <w:r w:rsidRPr="00150EDC">
              <w:rPr>
                <w:spacing w:val="-15"/>
                <w:sz w:val="24"/>
              </w:rPr>
              <w:t xml:space="preserve"> </w:t>
            </w:r>
            <w:r w:rsidRPr="00150EDC">
              <w:rPr>
                <w:sz w:val="24"/>
              </w:rPr>
              <w:t>either</w:t>
            </w:r>
            <w:r w:rsidRPr="00150EDC">
              <w:rPr>
                <w:spacing w:val="-16"/>
                <w:sz w:val="24"/>
              </w:rPr>
              <w:t xml:space="preserve"> </w:t>
            </w:r>
            <w:r w:rsidRPr="00150EDC">
              <w:rPr>
                <w:sz w:val="24"/>
              </w:rPr>
              <w:t>(a)</w:t>
            </w:r>
            <w:r w:rsidRPr="00150EDC">
              <w:rPr>
                <w:spacing w:val="-15"/>
                <w:sz w:val="24"/>
              </w:rPr>
              <w:t xml:space="preserve"> </w:t>
            </w:r>
            <w:r w:rsidRPr="00150EDC">
              <w:rPr>
                <w:sz w:val="24"/>
              </w:rPr>
              <w:t>confirmation</w:t>
            </w:r>
            <w:r w:rsidRPr="00150EDC">
              <w:rPr>
                <w:spacing w:val="-14"/>
                <w:sz w:val="24"/>
              </w:rPr>
              <w:t xml:space="preserve"> </w:t>
            </w:r>
            <w:r w:rsidRPr="00150EDC">
              <w:rPr>
                <w:sz w:val="24"/>
              </w:rPr>
              <w:t>in</w:t>
            </w:r>
            <w:r w:rsidRPr="00150EDC">
              <w:rPr>
                <w:spacing w:val="-15"/>
                <w:sz w:val="24"/>
              </w:rPr>
              <w:t xml:space="preserve"> </w:t>
            </w:r>
            <w:r w:rsidRPr="00150EDC">
              <w:rPr>
                <w:sz w:val="24"/>
              </w:rPr>
              <w:t>writing</w:t>
            </w:r>
            <w:r w:rsidRPr="00150EDC">
              <w:rPr>
                <w:spacing w:val="-14"/>
                <w:sz w:val="24"/>
              </w:rPr>
              <w:t xml:space="preserve"> </w:t>
            </w:r>
            <w:r w:rsidRPr="00150EDC">
              <w:rPr>
                <w:sz w:val="24"/>
              </w:rPr>
              <w:t>to</w:t>
            </w:r>
            <w:r w:rsidRPr="00150EDC">
              <w:rPr>
                <w:spacing w:val="-14"/>
                <w:sz w:val="24"/>
              </w:rPr>
              <w:t xml:space="preserve"> </w:t>
            </w:r>
            <w:r w:rsidRPr="00150EDC">
              <w:rPr>
                <w:sz w:val="24"/>
              </w:rPr>
              <w:t>the</w:t>
            </w:r>
            <w:r w:rsidRPr="00150EDC">
              <w:rPr>
                <w:spacing w:val="-14"/>
                <w:sz w:val="24"/>
              </w:rPr>
              <w:t xml:space="preserve"> </w:t>
            </w:r>
            <w:r w:rsidRPr="00150EDC">
              <w:rPr>
                <w:sz w:val="24"/>
              </w:rPr>
              <w:t>Supplier;</w:t>
            </w:r>
            <w:r w:rsidRPr="00150EDC">
              <w:rPr>
                <w:spacing w:val="-15"/>
                <w:sz w:val="24"/>
              </w:rPr>
              <w:t xml:space="preserve"> </w:t>
            </w:r>
            <w:r w:rsidRPr="00150EDC">
              <w:rPr>
                <w:sz w:val="24"/>
              </w:rPr>
              <w:t>or</w:t>
            </w:r>
            <w:r w:rsidRPr="00150EDC">
              <w:rPr>
                <w:spacing w:val="-16"/>
                <w:sz w:val="24"/>
              </w:rPr>
              <w:t xml:space="preserve"> </w:t>
            </w:r>
            <w:r w:rsidRPr="00150EDC">
              <w:rPr>
                <w:sz w:val="24"/>
              </w:rPr>
              <w:t>(b)</w:t>
            </w:r>
            <w:r w:rsidRPr="00150EDC">
              <w:rPr>
                <w:spacing w:val="-15"/>
                <w:sz w:val="24"/>
              </w:rPr>
              <w:t xml:space="preserve"> </w:t>
            </w:r>
            <w:r w:rsidRPr="00150EDC">
              <w:rPr>
                <w:sz w:val="24"/>
              </w:rPr>
              <w:t>where Order Schedule 13 (Implementation Plan and Testing) is used issue by the Buyer of a Satisfaction Certificate. "</w:t>
            </w:r>
            <w:r w:rsidRPr="00150EDC">
              <w:rPr>
                <w:b/>
                <w:sz w:val="24"/>
              </w:rPr>
              <w:t>Deliver</w:t>
            </w:r>
            <w:r w:rsidRPr="00150EDC">
              <w:rPr>
                <w:sz w:val="24"/>
              </w:rPr>
              <w:t>" and "</w:t>
            </w:r>
            <w:r w:rsidRPr="00150EDC">
              <w:rPr>
                <w:b/>
                <w:sz w:val="24"/>
              </w:rPr>
              <w:t>Delivered</w:t>
            </w:r>
            <w:r w:rsidRPr="00150EDC">
              <w:rPr>
                <w:sz w:val="24"/>
              </w:rPr>
              <w:t>" shall be construed accordingly;</w:t>
            </w:r>
          </w:p>
        </w:tc>
      </w:tr>
      <w:tr w:rsidR="007D3144" w:rsidRPr="007D3144" w14:paraId="6C6B7129" w14:textId="77777777">
        <w:trPr>
          <w:trHeight w:val="1500"/>
        </w:trPr>
        <w:tc>
          <w:tcPr>
            <w:tcW w:w="2264" w:type="dxa"/>
          </w:tcPr>
          <w:p w14:paraId="7913089B" w14:textId="77777777" w:rsidR="004C7180" w:rsidRPr="00150EDC" w:rsidRDefault="00CF0754">
            <w:pPr>
              <w:pStyle w:val="TableParagraph"/>
              <w:spacing w:before="1" w:line="240" w:lineRule="auto"/>
              <w:ind w:left="-1"/>
              <w:rPr>
                <w:b/>
                <w:sz w:val="24"/>
              </w:rPr>
            </w:pPr>
            <w:r w:rsidRPr="00150EDC">
              <w:rPr>
                <w:b/>
                <w:spacing w:val="-2"/>
                <w:sz w:val="24"/>
              </w:rPr>
              <w:t>"Disaster"</w:t>
            </w:r>
          </w:p>
        </w:tc>
        <w:tc>
          <w:tcPr>
            <w:tcW w:w="7484" w:type="dxa"/>
          </w:tcPr>
          <w:p w14:paraId="6A3E2056" w14:textId="77777777" w:rsidR="004C7180" w:rsidRPr="00150EDC" w:rsidRDefault="00CF0754">
            <w:pPr>
              <w:pStyle w:val="TableParagraph"/>
              <w:spacing w:before="1" w:line="240" w:lineRule="auto"/>
              <w:ind w:left="107" w:right="97"/>
              <w:jc w:val="both"/>
              <w:rPr>
                <w:sz w:val="24"/>
              </w:rPr>
            </w:pPr>
            <w:r w:rsidRPr="00150EDC">
              <w:rPr>
                <w:sz w:val="24"/>
              </w:rPr>
              <w:t>the occurrence of one or more events which, either separately or cumulatively, mean that the Deliverables, or a material part thereof will be unavailable (or could reasonably be anticipated to be unavailable) for the period specified in the Order Form (for the purposes of this definition the "Disaster Period");</w:t>
            </w:r>
          </w:p>
        </w:tc>
      </w:tr>
      <w:tr w:rsidR="007D3144" w:rsidRPr="007D3144" w14:paraId="7D372B2A" w14:textId="77777777">
        <w:trPr>
          <w:trHeight w:val="947"/>
        </w:trPr>
        <w:tc>
          <w:tcPr>
            <w:tcW w:w="2264" w:type="dxa"/>
          </w:tcPr>
          <w:p w14:paraId="70E11DA4" w14:textId="77777777" w:rsidR="004C7180" w:rsidRPr="00150EDC" w:rsidRDefault="00CF0754">
            <w:pPr>
              <w:pStyle w:val="TableParagraph"/>
              <w:spacing w:before="0" w:line="240" w:lineRule="auto"/>
              <w:ind w:left="-1"/>
              <w:rPr>
                <w:b/>
                <w:sz w:val="24"/>
              </w:rPr>
            </w:pPr>
            <w:r w:rsidRPr="00150EDC">
              <w:rPr>
                <w:b/>
                <w:sz w:val="24"/>
              </w:rPr>
              <w:t>"Disclosing</w:t>
            </w:r>
            <w:r w:rsidRPr="00150EDC">
              <w:rPr>
                <w:b/>
                <w:spacing w:val="-10"/>
                <w:sz w:val="24"/>
              </w:rPr>
              <w:t xml:space="preserve"> </w:t>
            </w:r>
            <w:r w:rsidRPr="00150EDC">
              <w:rPr>
                <w:b/>
                <w:spacing w:val="-2"/>
                <w:sz w:val="24"/>
              </w:rPr>
              <w:t>Party"</w:t>
            </w:r>
          </w:p>
        </w:tc>
        <w:tc>
          <w:tcPr>
            <w:tcW w:w="7484" w:type="dxa"/>
          </w:tcPr>
          <w:p w14:paraId="073AFE37" w14:textId="77777777" w:rsidR="004C7180" w:rsidRPr="00150EDC" w:rsidRDefault="00CF0754">
            <w:pPr>
              <w:pStyle w:val="TableParagraph"/>
              <w:spacing w:before="0" w:line="240" w:lineRule="auto"/>
              <w:ind w:left="107" w:right="97"/>
              <w:jc w:val="both"/>
              <w:rPr>
                <w:sz w:val="24"/>
              </w:rPr>
            </w:pPr>
            <w:r w:rsidRPr="00150EDC">
              <w:rPr>
                <w:sz w:val="24"/>
              </w:rPr>
              <w:t>the</w:t>
            </w:r>
            <w:r w:rsidRPr="00150EDC">
              <w:rPr>
                <w:spacing w:val="-17"/>
                <w:sz w:val="24"/>
              </w:rPr>
              <w:t xml:space="preserve"> </w:t>
            </w:r>
            <w:r w:rsidRPr="00150EDC">
              <w:rPr>
                <w:sz w:val="24"/>
              </w:rPr>
              <w:t>Party</w:t>
            </w:r>
            <w:r w:rsidRPr="00150EDC">
              <w:rPr>
                <w:spacing w:val="-17"/>
                <w:sz w:val="24"/>
              </w:rPr>
              <w:t xml:space="preserve"> </w:t>
            </w:r>
            <w:r w:rsidRPr="00150EDC">
              <w:rPr>
                <w:sz w:val="24"/>
              </w:rPr>
              <w:t>directly</w:t>
            </w:r>
            <w:r w:rsidRPr="00150EDC">
              <w:rPr>
                <w:spacing w:val="-16"/>
                <w:sz w:val="24"/>
              </w:rPr>
              <w:t xml:space="preserve"> </w:t>
            </w:r>
            <w:r w:rsidRPr="00150EDC">
              <w:rPr>
                <w:sz w:val="24"/>
              </w:rPr>
              <w:t>or</w:t>
            </w:r>
            <w:r w:rsidRPr="00150EDC">
              <w:rPr>
                <w:spacing w:val="-17"/>
                <w:sz w:val="24"/>
              </w:rPr>
              <w:t xml:space="preserve"> </w:t>
            </w:r>
            <w:r w:rsidRPr="00150EDC">
              <w:rPr>
                <w:sz w:val="24"/>
              </w:rPr>
              <w:t>indirectly</w:t>
            </w:r>
            <w:r w:rsidRPr="00150EDC">
              <w:rPr>
                <w:spacing w:val="-17"/>
                <w:sz w:val="24"/>
              </w:rPr>
              <w:t xml:space="preserve"> </w:t>
            </w:r>
            <w:r w:rsidRPr="00150EDC">
              <w:rPr>
                <w:sz w:val="24"/>
              </w:rPr>
              <w:t>providing</w:t>
            </w:r>
            <w:r w:rsidRPr="00150EDC">
              <w:rPr>
                <w:spacing w:val="-17"/>
                <w:sz w:val="24"/>
              </w:rPr>
              <w:t xml:space="preserve"> </w:t>
            </w:r>
            <w:r w:rsidRPr="00150EDC">
              <w:rPr>
                <w:sz w:val="24"/>
              </w:rPr>
              <w:t>Confidential</w:t>
            </w:r>
            <w:r w:rsidRPr="00150EDC">
              <w:rPr>
                <w:spacing w:val="-16"/>
                <w:sz w:val="24"/>
              </w:rPr>
              <w:t xml:space="preserve"> </w:t>
            </w:r>
            <w:r w:rsidRPr="00150EDC">
              <w:rPr>
                <w:sz w:val="24"/>
              </w:rPr>
              <w:t>Information</w:t>
            </w:r>
            <w:r w:rsidRPr="00150EDC">
              <w:rPr>
                <w:spacing w:val="-17"/>
                <w:sz w:val="24"/>
              </w:rPr>
              <w:t xml:space="preserve"> </w:t>
            </w:r>
            <w:r w:rsidRPr="00150EDC">
              <w:rPr>
                <w:sz w:val="24"/>
              </w:rPr>
              <w:t>to</w:t>
            </w:r>
            <w:r w:rsidRPr="00150EDC">
              <w:rPr>
                <w:spacing w:val="-17"/>
                <w:sz w:val="24"/>
              </w:rPr>
              <w:t xml:space="preserve"> </w:t>
            </w:r>
            <w:r w:rsidRPr="00150EDC">
              <w:rPr>
                <w:sz w:val="24"/>
              </w:rPr>
              <w:t xml:space="preserve">the other Party in accordance with Clause 15 (What you must keep </w:t>
            </w:r>
            <w:r w:rsidRPr="00150EDC">
              <w:rPr>
                <w:spacing w:val="-2"/>
                <w:sz w:val="24"/>
              </w:rPr>
              <w:t>confidential);</w:t>
            </w:r>
          </w:p>
        </w:tc>
      </w:tr>
    </w:tbl>
    <w:p w14:paraId="487FEA63" w14:textId="77777777" w:rsidR="004C7180" w:rsidRPr="00150EDC" w:rsidRDefault="004C7180">
      <w:pPr>
        <w:jc w:val="both"/>
        <w:rPr>
          <w:sz w:val="24"/>
        </w:rPr>
        <w:sectPr w:rsidR="004C7180" w:rsidRPr="00150EDC">
          <w:pgSz w:w="11910" w:h="16840"/>
          <w:pgMar w:top="1160" w:right="0" w:bottom="1460" w:left="40" w:header="715" w:footer="1208" w:gutter="0"/>
          <w:cols w:space="720"/>
        </w:sectPr>
      </w:pPr>
    </w:p>
    <w:p w14:paraId="6E4FA2D1" w14:textId="77777777" w:rsidR="004C7180" w:rsidRPr="00150EDC" w:rsidRDefault="004C7180">
      <w:pPr>
        <w:pStyle w:val="BodyText"/>
        <w:spacing w:before="7"/>
        <w:rPr>
          <w:sz w:val="23"/>
        </w:rPr>
      </w:pPr>
    </w:p>
    <w:tbl>
      <w:tblPr>
        <w:tblW w:w="0" w:type="auto"/>
        <w:tblInd w:w="1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4"/>
        <w:gridCol w:w="7484"/>
      </w:tblGrid>
      <w:tr w:rsidR="007D3144" w:rsidRPr="007D3144" w14:paraId="61D5BBD0" w14:textId="77777777">
        <w:trPr>
          <w:trHeight w:val="2052"/>
        </w:trPr>
        <w:tc>
          <w:tcPr>
            <w:tcW w:w="2264" w:type="dxa"/>
          </w:tcPr>
          <w:p w14:paraId="00261761" w14:textId="77777777" w:rsidR="004C7180" w:rsidRPr="00150EDC" w:rsidRDefault="00CF0754">
            <w:pPr>
              <w:pStyle w:val="TableParagraph"/>
              <w:spacing w:before="0" w:line="240" w:lineRule="auto"/>
              <w:ind w:left="-1"/>
              <w:rPr>
                <w:b/>
                <w:sz w:val="24"/>
              </w:rPr>
            </w:pPr>
            <w:r w:rsidRPr="00150EDC">
              <w:rPr>
                <w:b/>
                <w:spacing w:val="-2"/>
                <w:sz w:val="24"/>
              </w:rPr>
              <w:t>"Dispute"</w:t>
            </w:r>
          </w:p>
        </w:tc>
        <w:tc>
          <w:tcPr>
            <w:tcW w:w="7484" w:type="dxa"/>
          </w:tcPr>
          <w:p w14:paraId="505B83A2" w14:textId="77777777" w:rsidR="004C7180" w:rsidRPr="00150EDC" w:rsidRDefault="00CF0754">
            <w:pPr>
              <w:pStyle w:val="TableParagraph"/>
              <w:spacing w:before="0" w:line="240" w:lineRule="auto"/>
              <w:ind w:left="107" w:right="90"/>
              <w:jc w:val="both"/>
              <w:rPr>
                <w:sz w:val="24"/>
              </w:rPr>
            </w:pPr>
            <w:r w:rsidRPr="00150EDC">
              <w:rPr>
                <w:sz w:val="24"/>
              </w:rPr>
              <w:t>any claim, dispute or difference (whether contractual or non- contractual) arising out of or in connection with the Contract or in connection with the negotiation, existence, legal validity, enforceability or termination of the Contract, whether the alleged liability shall arise under English law or under the law of some other country and regardless of whether a particular cause of action may successfully be brought in the English courts;</w:t>
            </w:r>
          </w:p>
        </w:tc>
      </w:tr>
      <w:tr w:rsidR="007D3144" w:rsidRPr="007D3144" w14:paraId="53F3C037" w14:textId="77777777">
        <w:trPr>
          <w:trHeight w:val="947"/>
        </w:trPr>
        <w:tc>
          <w:tcPr>
            <w:tcW w:w="2264" w:type="dxa"/>
          </w:tcPr>
          <w:p w14:paraId="5F92FA3F" w14:textId="77777777" w:rsidR="004C7180" w:rsidRPr="00150EDC" w:rsidRDefault="00CF0754">
            <w:pPr>
              <w:pStyle w:val="TableParagraph"/>
              <w:spacing w:before="0" w:line="240" w:lineRule="auto"/>
              <w:ind w:left="-1" w:right="298"/>
              <w:rPr>
                <w:b/>
                <w:sz w:val="24"/>
              </w:rPr>
            </w:pPr>
            <w:r w:rsidRPr="00150EDC">
              <w:rPr>
                <w:b/>
                <w:spacing w:val="-2"/>
                <w:sz w:val="24"/>
              </w:rPr>
              <w:t>"Dispute Resolution Procedure"</w:t>
            </w:r>
          </w:p>
        </w:tc>
        <w:tc>
          <w:tcPr>
            <w:tcW w:w="7484" w:type="dxa"/>
          </w:tcPr>
          <w:p w14:paraId="24971B01" w14:textId="77777777" w:rsidR="004C7180" w:rsidRPr="00150EDC" w:rsidRDefault="00CF0754">
            <w:pPr>
              <w:pStyle w:val="TableParagraph"/>
              <w:spacing w:before="0" w:line="240" w:lineRule="auto"/>
              <w:ind w:left="107"/>
              <w:rPr>
                <w:sz w:val="24"/>
              </w:rPr>
            </w:pPr>
            <w:r w:rsidRPr="00150EDC">
              <w:rPr>
                <w:sz w:val="24"/>
              </w:rPr>
              <w:t>the</w:t>
            </w:r>
            <w:r w:rsidRPr="00150EDC">
              <w:rPr>
                <w:spacing w:val="40"/>
                <w:sz w:val="24"/>
              </w:rPr>
              <w:t xml:space="preserve"> </w:t>
            </w:r>
            <w:r w:rsidRPr="00150EDC">
              <w:rPr>
                <w:sz w:val="24"/>
              </w:rPr>
              <w:t>dispute</w:t>
            </w:r>
            <w:r w:rsidRPr="00150EDC">
              <w:rPr>
                <w:spacing w:val="40"/>
                <w:sz w:val="24"/>
              </w:rPr>
              <w:t xml:space="preserve"> </w:t>
            </w:r>
            <w:r w:rsidRPr="00150EDC">
              <w:rPr>
                <w:sz w:val="24"/>
              </w:rPr>
              <w:t>resolution</w:t>
            </w:r>
            <w:r w:rsidRPr="00150EDC">
              <w:rPr>
                <w:spacing w:val="40"/>
                <w:sz w:val="24"/>
              </w:rPr>
              <w:t xml:space="preserve"> </w:t>
            </w:r>
            <w:r w:rsidRPr="00150EDC">
              <w:rPr>
                <w:sz w:val="24"/>
              </w:rPr>
              <w:t>procedure</w:t>
            </w:r>
            <w:r w:rsidRPr="00150EDC">
              <w:rPr>
                <w:spacing w:val="40"/>
                <w:sz w:val="24"/>
              </w:rPr>
              <w:t xml:space="preserve"> </w:t>
            </w:r>
            <w:r w:rsidRPr="00150EDC">
              <w:rPr>
                <w:sz w:val="24"/>
              </w:rPr>
              <w:t>set</w:t>
            </w:r>
            <w:r w:rsidRPr="00150EDC">
              <w:rPr>
                <w:spacing w:val="40"/>
                <w:sz w:val="24"/>
              </w:rPr>
              <w:t xml:space="preserve"> </w:t>
            </w:r>
            <w:r w:rsidRPr="00150EDC">
              <w:rPr>
                <w:sz w:val="24"/>
              </w:rPr>
              <w:t>out</w:t>
            </w:r>
            <w:r w:rsidRPr="00150EDC">
              <w:rPr>
                <w:spacing w:val="40"/>
                <w:sz w:val="24"/>
              </w:rPr>
              <w:t xml:space="preserve"> </w:t>
            </w:r>
            <w:r w:rsidRPr="00150EDC">
              <w:rPr>
                <w:sz w:val="24"/>
              </w:rPr>
              <w:t>in</w:t>
            </w:r>
            <w:r w:rsidRPr="00150EDC">
              <w:rPr>
                <w:spacing w:val="40"/>
                <w:sz w:val="24"/>
              </w:rPr>
              <w:t xml:space="preserve"> </w:t>
            </w:r>
            <w:r w:rsidRPr="00150EDC">
              <w:rPr>
                <w:sz w:val="24"/>
              </w:rPr>
              <w:t>Clause</w:t>
            </w:r>
            <w:r w:rsidRPr="00150EDC">
              <w:rPr>
                <w:spacing w:val="40"/>
                <w:sz w:val="24"/>
              </w:rPr>
              <w:t xml:space="preserve"> </w:t>
            </w:r>
            <w:r w:rsidRPr="00150EDC">
              <w:rPr>
                <w:sz w:val="24"/>
              </w:rPr>
              <w:t>34</w:t>
            </w:r>
            <w:r w:rsidRPr="00150EDC">
              <w:rPr>
                <w:spacing w:val="40"/>
                <w:sz w:val="24"/>
              </w:rPr>
              <w:t xml:space="preserve"> </w:t>
            </w:r>
            <w:r w:rsidRPr="00150EDC">
              <w:rPr>
                <w:sz w:val="24"/>
              </w:rPr>
              <w:t xml:space="preserve">(Resolving </w:t>
            </w:r>
            <w:r w:rsidRPr="00150EDC">
              <w:rPr>
                <w:spacing w:val="-2"/>
                <w:sz w:val="24"/>
              </w:rPr>
              <w:t>disputes);</w:t>
            </w:r>
          </w:p>
        </w:tc>
      </w:tr>
      <w:tr w:rsidR="007D3144" w:rsidRPr="007D3144" w14:paraId="64CA6595" w14:textId="77777777">
        <w:trPr>
          <w:trHeight w:val="4344"/>
        </w:trPr>
        <w:tc>
          <w:tcPr>
            <w:tcW w:w="2264" w:type="dxa"/>
          </w:tcPr>
          <w:p w14:paraId="4921E96D" w14:textId="77777777" w:rsidR="004C7180" w:rsidRPr="00150EDC" w:rsidRDefault="00CF0754">
            <w:pPr>
              <w:pStyle w:val="TableParagraph"/>
              <w:spacing w:before="0" w:line="240" w:lineRule="auto"/>
              <w:ind w:left="-1"/>
              <w:rPr>
                <w:b/>
                <w:sz w:val="24"/>
              </w:rPr>
            </w:pPr>
            <w:r w:rsidRPr="00150EDC">
              <w:rPr>
                <w:b/>
                <w:spacing w:val="-2"/>
                <w:sz w:val="24"/>
              </w:rPr>
              <w:t>"Documentation"</w:t>
            </w:r>
          </w:p>
        </w:tc>
        <w:tc>
          <w:tcPr>
            <w:tcW w:w="7484" w:type="dxa"/>
          </w:tcPr>
          <w:p w14:paraId="3504E692" w14:textId="77777777" w:rsidR="004C7180" w:rsidRPr="00150EDC" w:rsidRDefault="00CF0754">
            <w:pPr>
              <w:pStyle w:val="TableParagraph"/>
              <w:spacing w:before="0" w:line="240" w:lineRule="auto"/>
              <w:ind w:left="282" w:right="100"/>
              <w:jc w:val="both"/>
              <w:rPr>
                <w:sz w:val="24"/>
              </w:rPr>
            </w:pPr>
            <w:r w:rsidRPr="00150EDC">
              <w:rPr>
                <w:sz w:val="24"/>
              </w:rPr>
              <w:t>descriptions of the Services and Service Levels, technical specifications,</w:t>
            </w:r>
            <w:r w:rsidRPr="00150EDC">
              <w:rPr>
                <w:spacing w:val="-6"/>
                <w:sz w:val="24"/>
              </w:rPr>
              <w:t xml:space="preserve"> </w:t>
            </w:r>
            <w:r w:rsidRPr="00150EDC">
              <w:rPr>
                <w:sz w:val="24"/>
              </w:rPr>
              <w:t>user</w:t>
            </w:r>
            <w:r w:rsidRPr="00150EDC">
              <w:rPr>
                <w:spacing w:val="-6"/>
                <w:sz w:val="24"/>
              </w:rPr>
              <w:t xml:space="preserve"> </w:t>
            </w:r>
            <w:r w:rsidRPr="00150EDC">
              <w:rPr>
                <w:sz w:val="24"/>
              </w:rPr>
              <w:t>manuals,</w:t>
            </w:r>
            <w:r w:rsidRPr="00150EDC">
              <w:rPr>
                <w:spacing w:val="-6"/>
                <w:sz w:val="24"/>
              </w:rPr>
              <w:t xml:space="preserve"> </w:t>
            </w:r>
            <w:r w:rsidRPr="00150EDC">
              <w:rPr>
                <w:sz w:val="24"/>
              </w:rPr>
              <w:t>training</w:t>
            </w:r>
            <w:r w:rsidRPr="00150EDC">
              <w:rPr>
                <w:spacing w:val="-6"/>
                <w:sz w:val="24"/>
              </w:rPr>
              <w:t xml:space="preserve"> </w:t>
            </w:r>
            <w:r w:rsidRPr="00150EDC">
              <w:rPr>
                <w:sz w:val="24"/>
              </w:rPr>
              <w:t>manuals,</w:t>
            </w:r>
            <w:r w:rsidRPr="00150EDC">
              <w:rPr>
                <w:spacing w:val="-4"/>
                <w:sz w:val="24"/>
              </w:rPr>
              <w:t xml:space="preserve"> </w:t>
            </w:r>
            <w:r w:rsidRPr="00150EDC">
              <w:rPr>
                <w:sz w:val="24"/>
              </w:rPr>
              <w:t>operating</w:t>
            </w:r>
            <w:r w:rsidRPr="00150EDC">
              <w:rPr>
                <w:spacing w:val="-6"/>
                <w:sz w:val="24"/>
              </w:rPr>
              <w:t xml:space="preserve"> </w:t>
            </w:r>
            <w:r w:rsidRPr="00150EDC">
              <w:rPr>
                <w:sz w:val="24"/>
              </w:rPr>
              <w:t>manuals, process definitions and procedures, system environment descriptions</w:t>
            </w:r>
            <w:r w:rsidRPr="00150EDC">
              <w:rPr>
                <w:spacing w:val="-17"/>
                <w:sz w:val="24"/>
              </w:rPr>
              <w:t xml:space="preserve"> </w:t>
            </w:r>
            <w:r w:rsidRPr="00150EDC">
              <w:rPr>
                <w:sz w:val="24"/>
              </w:rPr>
              <w:t>and</w:t>
            </w:r>
            <w:r w:rsidRPr="00150EDC">
              <w:rPr>
                <w:spacing w:val="-17"/>
                <w:sz w:val="24"/>
              </w:rPr>
              <w:t xml:space="preserve"> </w:t>
            </w:r>
            <w:r w:rsidRPr="00150EDC">
              <w:rPr>
                <w:sz w:val="24"/>
              </w:rPr>
              <w:t>all</w:t>
            </w:r>
            <w:r w:rsidRPr="00150EDC">
              <w:rPr>
                <w:spacing w:val="-16"/>
                <w:sz w:val="24"/>
              </w:rPr>
              <w:t xml:space="preserve"> </w:t>
            </w:r>
            <w:r w:rsidRPr="00150EDC">
              <w:rPr>
                <w:sz w:val="24"/>
              </w:rPr>
              <w:t>such</w:t>
            </w:r>
            <w:r w:rsidRPr="00150EDC">
              <w:rPr>
                <w:spacing w:val="-17"/>
                <w:sz w:val="24"/>
              </w:rPr>
              <w:t xml:space="preserve"> </w:t>
            </w:r>
            <w:r w:rsidRPr="00150EDC">
              <w:rPr>
                <w:sz w:val="24"/>
              </w:rPr>
              <w:t>other</w:t>
            </w:r>
            <w:r w:rsidRPr="00150EDC">
              <w:rPr>
                <w:spacing w:val="-17"/>
                <w:sz w:val="24"/>
              </w:rPr>
              <w:t xml:space="preserve"> </w:t>
            </w:r>
            <w:r w:rsidRPr="00150EDC">
              <w:rPr>
                <w:sz w:val="24"/>
              </w:rPr>
              <w:t>documentation</w:t>
            </w:r>
            <w:r w:rsidRPr="00150EDC">
              <w:rPr>
                <w:spacing w:val="-17"/>
                <w:sz w:val="24"/>
              </w:rPr>
              <w:t xml:space="preserve"> </w:t>
            </w:r>
            <w:r w:rsidRPr="00150EDC">
              <w:rPr>
                <w:sz w:val="24"/>
              </w:rPr>
              <w:t>(whether</w:t>
            </w:r>
            <w:r w:rsidRPr="00150EDC">
              <w:rPr>
                <w:spacing w:val="-16"/>
                <w:sz w:val="24"/>
              </w:rPr>
              <w:t xml:space="preserve"> </w:t>
            </w:r>
            <w:r w:rsidRPr="00150EDC">
              <w:rPr>
                <w:sz w:val="24"/>
              </w:rPr>
              <w:t>in</w:t>
            </w:r>
            <w:r w:rsidRPr="00150EDC">
              <w:rPr>
                <w:spacing w:val="-17"/>
                <w:sz w:val="24"/>
              </w:rPr>
              <w:t xml:space="preserve"> </w:t>
            </w:r>
            <w:r w:rsidRPr="00150EDC">
              <w:rPr>
                <w:sz w:val="24"/>
              </w:rPr>
              <w:t>hardcopy or electronic form) is required to be supplied by the Supplier to the Buyer under a Contract as:</w:t>
            </w:r>
          </w:p>
          <w:p w14:paraId="180E3F11" w14:textId="77777777" w:rsidR="004C7180" w:rsidRPr="00150EDC" w:rsidRDefault="00CF0754" w:rsidP="00B320C7">
            <w:pPr>
              <w:pStyle w:val="TableParagraph"/>
              <w:numPr>
                <w:ilvl w:val="0"/>
                <w:numId w:val="128"/>
              </w:numPr>
              <w:tabs>
                <w:tab w:val="left" w:pos="537"/>
                <w:tab w:val="left" w:pos="539"/>
              </w:tabs>
              <w:spacing w:before="121" w:line="240" w:lineRule="auto"/>
              <w:ind w:right="97"/>
              <w:jc w:val="both"/>
              <w:rPr>
                <w:sz w:val="24"/>
              </w:rPr>
            </w:pPr>
            <w:r w:rsidRPr="00150EDC">
              <w:rPr>
                <w:sz w:val="24"/>
              </w:rPr>
              <w:t>would</w:t>
            </w:r>
            <w:r w:rsidRPr="00150EDC">
              <w:rPr>
                <w:spacing w:val="-11"/>
                <w:sz w:val="24"/>
              </w:rPr>
              <w:t xml:space="preserve"> </w:t>
            </w:r>
            <w:r w:rsidRPr="00150EDC">
              <w:rPr>
                <w:sz w:val="24"/>
              </w:rPr>
              <w:t>reasonably</w:t>
            </w:r>
            <w:r w:rsidRPr="00150EDC">
              <w:rPr>
                <w:spacing w:val="-12"/>
                <w:sz w:val="24"/>
              </w:rPr>
              <w:t xml:space="preserve"> </w:t>
            </w:r>
            <w:r w:rsidRPr="00150EDC">
              <w:rPr>
                <w:sz w:val="24"/>
              </w:rPr>
              <w:t>be</w:t>
            </w:r>
            <w:r w:rsidRPr="00150EDC">
              <w:rPr>
                <w:spacing w:val="-10"/>
                <w:sz w:val="24"/>
              </w:rPr>
              <w:t xml:space="preserve"> </w:t>
            </w:r>
            <w:r w:rsidRPr="00150EDC">
              <w:rPr>
                <w:sz w:val="24"/>
              </w:rPr>
              <w:t>required</w:t>
            </w:r>
            <w:r w:rsidRPr="00150EDC">
              <w:rPr>
                <w:spacing w:val="-13"/>
                <w:sz w:val="24"/>
              </w:rPr>
              <w:t xml:space="preserve"> </w:t>
            </w:r>
            <w:r w:rsidRPr="00150EDC">
              <w:rPr>
                <w:sz w:val="24"/>
              </w:rPr>
              <w:t>by</w:t>
            </w:r>
            <w:r w:rsidRPr="00150EDC">
              <w:rPr>
                <w:spacing w:val="-11"/>
                <w:sz w:val="24"/>
              </w:rPr>
              <w:t xml:space="preserve"> </w:t>
            </w:r>
            <w:r w:rsidRPr="00150EDC">
              <w:rPr>
                <w:sz w:val="24"/>
              </w:rPr>
              <w:t>a</w:t>
            </w:r>
            <w:r w:rsidRPr="00150EDC">
              <w:rPr>
                <w:spacing w:val="-10"/>
                <w:sz w:val="24"/>
              </w:rPr>
              <w:t xml:space="preserve"> </w:t>
            </w:r>
            <w:r w:rsidRPr="00150EDC">
              <w:rPr>
                <w:sz w:val="24"/>
              </w:rPr>
              <w:t>competent</w:t>
            </w:r>
            <w:r w:rsidRPr="00150EDC">
              <w:rPr>
                <w:spacing w:val="-11"/>
                <w:sz w:val="24"/>
              </w:rPr>
              <w:t xml:space="preserve"> </w:t>
            </w:r>
            <w:r w:rsidRPr="00150EDC">
              <w:rPr>
                <w:sz w:val="24"/>
              </w:rPr>
              <w:t>third</w:t>
            </w:r>
            <w:r w:rsidRPr="00150EDC">
              <w:rPr>
                <w:spacing w:val="-10"/>
                <w:sz w:val="24"/>
              </w:rPr>
              <w:t xml:space="preserve"> </w:t>
            </w:r>
            <w:r w:rsidRPr="00150EDC">
              <w:rPr>
                <w:sz w:val="24"/>
              </w:rPr>
              <w:t>party</w:t>
            </w:r>
            <w:r w:rsidRPr="00150EDC">
              <w:rPr>
                <w:spacing w:val="-11"/>
                <w:sz w:val="24"/>
              </w:rPr>
              <w:t xml:space="preserve"> </w:t>
            </w:r>
            <w:r w:rsidRPr="00150EDC">
              <w:rPr>
                <w:sz w:val="24"/>
              </w:rPr>
              <w:t>capable of Good Industry Practice contracted by the Buyer to develop, configure, build, deploy, run, maintain, upgrade and test the individual systems that provide the Deliverables</w:t>
            </w:r>
          </w:p>
          <w:p w14:paraId="75962259" w14:textId="77777777" w:rsidR="004C7180" w:rsidRPr="00150EDC" w:rsidRDefault="00CF0754" w:rsidP="00B320C7">
            <w:pPr>
              <w:pStyle w:val="TableParagraph"/>
              <w:numPr>
                <w:ilvl w:val="0"/>
                <w:numId w:val="128"/>
              </w:numPr>
              <w:tabs>
                <w:tab w:val="left" w:pos="537"/>
                <w:tab w:val="left" w:pos="539"/>
              </w:tabs>
              <w:spacing w:before="120" w:line="240" w:lineRule="auto"/>
              <w:ind w:right="102"/>
              <w:jc w:val="both"/>
              <w:rPr>
                <w:sz w:val="24"/>
              </w:rPr>
            </w:pPr>
            <w:r w:rsidRPr="00150EDC">
              <w:rPr>
                <w:sz w:val="24"/>
              </w:rPr>
              <w:t xml:space="preserve">is required by the Supplier in order to provide the Deliverables; </w:t>
            </w:r>
            <w:r w:rsidRPr="00150EDC">
              <w:rPr>
                <w:spacing w:val="-2"/>
                <w:sz w:val="24"/>
              </w:rPr>
              <w:t>and/or</w:t>
            </w:r>
          </w:p>
          <w:p w14:paraId="1BB0B2DC" w14:textId="77777777" w:rsidR="004C7180" w:rsidRPr="00150EDC" w:rsidRDefault="00CF0754" w:rsidP="00B320C7">
            <w:pPr>
              <w:pStyle w:val="TableParagraph"/>
              <w:numPr>
                <w:ilvl w:val="0"/>
                <w:numId w:val="128"/>
              </w:numPr>
              <w:tabs>
                <w:tab w:val="left" w:pos="539"/>
              </w:tabs>
              <w:spacing w:before="120" w:line="240" w:lineRule="auto"/>
              <w:ind w:right="104"/>
              <w:jc w:val="both"/>
              <w:rPr>
                <w:sz w:val="24"/>
              </w:rPr>
            </w:pPr>
            <w:r w:rsidRPr="00150EDC">
              <w:rPr>
                <w:sz w:val="24"/>
              </w:rPr>
              <w:t xml:space="preserve">has been or shall be generated for the purpose of providing the </w:t>
            </w:r>
            <w:r w:rsidRPr="00150EDC">
              <w:rPr>
                <w:spacing w:val="-2"/>
                <w:sz w:val="24"/>
              </w:rPr>
              <w:t>Deliverables;</w:t>
            </w:r>
          </w:p>
        </w:tc>
      </w:tr>
      <w:tr w:rsidR="007D3144" w:rsidRPr="007D3144" w14:paraId="544E4264" w14:textId="77777777">
        <w:trPr>
          <w:trHeight w:val="2051"/>
        </w:trPr>
        <w:tc>
          <w:tcPr>
            <w:tcW w:w="2264" w:type="dxa"/>
          </w:tcPr>
          <w:p w14:paraId="43A7DFCB" w14:textId="77777777" w:rsidR="004C7180" w:rsidRPr="00150EDC" w:rsidRDefault="00CF0754">
            <w:pPr>
              <w:pStyle w:val="TableParagraph"/>
              <w:spacing w:before="0" w:line="240" w:lineRule="auto"/>
              <w:ind w:left="-1"/>
              <w:rPr>
                <w:b/>
                <w:sz w:val="24"/>
              </w:rPr>
            </w:pPr>
            <w:r w:rsidRPr="00150EDC">
              <w:rPr>
                <w:b/>
                <w:spacing w:val="-2"/>
                <w:sz w:val="24"/>
              </w:rPr>
              <w:t>"DOTAS"</w:t>
            </w:r>
          </w:p>
        </w:tc>
        <w:tc>
          <w:tcPr>
            <w:tcW w:w="7484" w:type="dxa"/>
          </w:tcPr>
          <w:p w14:paraId="1A414058" w14:textId="77777777" w:rsidR="004C7180" w:rsidRPr="00150EDC" w:rsidRDefault="00CF0754">
            <w:pPr>
              <w:pStyle w:val="TableParagraph"/>
              <w:spacing w:before="0" w:line="240" w:lineRule="auto"/>
              <w:ind w:left="282" w:right="97"/>
              <w:jc w:val="both"/>
              <w:rPr>
                <w:sz w:val="24"/>
              </w:rPr>
            </w:pPr>
            <w:r w:rsidRPr="00150EDC">
              <w:rPr>
                <w:sz w:val="24"/>
              </w:rPr>
              <w:t>the Disclosure of Tax Avoidance Schemes rules which require a promoter of Tax schemes to tell HMRC of any specified notifiable arrangements or proposals and to provide prescribed information on those arrangements or proposals within set time limits as contained in Part</w:t>
            </w:r>
            <w:r w:rsidRPr="00150EDC">
              <w:rPr>
                <w:spacing w:val="-1"/>
                <w:sz w:val="24"/>
              </w:rPr>
              <w:t xml:space="preserve"> </w:t>
            </w:r>
            <w:r w:rsidRPr="00150EDC">
              <w:rPr>
                <w:sz w:val="24"/>
              </w:rPr>
              <w:t>7 of the Finance Act 2004 and in secondary legislation</w:t>
            </w:r>
            <w:r w:rsidRPr="00150EDC">
              <w:rPr>
                <w:spacing w:val="-3"/>
                <w:sz w:val="24"/>
              </w:rPr>
              <w:t xml:space="preserve"> </w:t>
            </w:r>
            <w:r w:rsidRPr="00150EDC">
              <w:rPr>
                <w:sz w:val="24"/>
              </w:rPr>
              <w:t>made under</w:t>
            </w:r>
            <w:r w:rsidRPr="00150EDC">
              <w:rPr>
                <w:spacing w:val="-4"/>
                <w:sz w:val="24"/>
              </w:rPr>
              <w:t xml:space="preserve"> </w:t>
            </w:r>
            <w:r w:rsidRPr="00150EDC">
              <w:rPr>
                <w:sz w:val="24"/>
              </w:rPr>
              <w:t>vires</w:t>
            </w:r>
            <w:r w:rsidRPr="00150EDC">
              <w:rPr>
                <w:spacing w:val="-1"/>
                <w:sz w:val="24"/>
              </w:rPr>
              <w:t xml:space="preserve"> </w:t>
            </w:r>
            <w:r w:rsidRPr="00150EDC">
              <w:rPr>
                <w:sz w:val="24"/>
              </w:rPr>
              <w:t>contained in Part 7 of the Finance Act 2004 and as extended to National Insurance Contributions;</w:t>
            </w:r>
          </w:p>
        </w:tc>
      </w:tr>
      <w:tr w:rsidR="007D3144" w:rsidRPr="007D3144" w14:paraId="68786091" w14:textId="77777777">
        <w:trPr>
          <w:trHeight w:val="398"/>
        </w:trPr>
        <w:tc>
          <w:tcPr>
            <w:tcW w:w="2264" w:type="dxa"/>
          </w:tcPr>
          <w:p w14:paraId="5955C8AC" w14:textId="77777777" w:rsidR="004C7180" w:rsidRPr="00150EDC" w:rsidRDefault="00CF0754">
            <w:pPr>
              <w:pStyle w:val="TableParagraph"/>
              <w:spacing w:before="2" w:line="240" w:lineRule="auto"/>
              <w:ind w:left="-1"/>
              <w:rPr>
                <w:b/>
                <w:sz w:val="24"/>
              </w:rPr>
            </w:pPr>
            <w:r w:rsidRPr="00150EDC">
              <w:rPr>
                <w:b/>
                <w:sz w:val="24"/>
              </w:rPr>
              <w:t>“DPA</w:t>
            </w:r>
            <w:r w:rsidRPr="00150EDC">
              <w:rPr>
                <w:b/>
                <w:spacing w:val="-3"/>
                <w:sz w:val="24"/>
              </w:rPr>
              <w:t xml:space="preserve"> </w:t>
            </w:r>
            <w:r w:rsidRPr="00150EDC">
              <w:rPr>
                <w:b/>
                <w:spacing w:val="-2"/>
                <w:sz w:val="24"/>
              </w:rPr>
              <w:t>2018”</w:t>
            </w:r>
          </w:p>
        </w:tc>
        <w:tc>
          <w:tcPr>
            <w:tcW w:w="7484" w:type="dxa"/>
          </w:tcPr>
          <w:p w14:paraId="4B00603A" w14:textId="77777777" w:rsidR="004C7180" w:rsidRPr="00150EDC" w:rsidRDefault="00CF0754">
            <w:pPr>
              <w:pStyle w:val="TableParagraph"/>
              <w:spacing w:before="2" w:line="240" w:lineRule="auto"/>
              <w:ind w:left="282"/>
              <w:rPr>
                <w:sz w:val="24"/>
              </w:rPr>
            </w:pPr>
            <w:r w:rsidRPr="00150EDC">
              <w:rPr>
                <w:sz w:val="24"/>
              </w:rPr>
              <w:t>the</w:t>
            </w:r>
            <w:r w:rsidRPr="00150EDC">
              <w:rPr>
                <w:spacing w:val="-5"/>
                <w:sz w:val="24"/>
              </w:rPr>
              <w:t xml:space="preserve"> </w:t>
            </w:r>
            <w:r w:rsidRPr="00150EDC">
              <w:rPr>
                <w:sz w:val="24"/>
              </w:rPr>
              <w:t>Data</w:t>
            </w:r>
            <w:r w:rsidRPr="00150EDC">
              <w:rPr>
                <w:spacing w:val="-4"/>
                <w:sz w:val="24"/>
              </w:rPr>
              <w:t xml:space="preserve"> </w:t>
            </w:r>
            <w:r w:rsidRPr="00150EDC">
              <w:rPr>
                <w:sz w:val="24"/>
              </w:rPr>
              <w:t>Protection</w:t>
            </w:r>
            <w:r w:rsidRPr="00150EDC">
              <w:rPr>
                <w:spacing w:val="-5"/>
                <w:sz w:val="24"/>
              </w:rPr>
              <w:t xml:space="preserve"> </w:t>
            </w:r>
            <w:r w:rsidRPr="00150EDC">
              <w:rPr>
                <w:sz w:val="24"/>
              </w:rPr>
              <w:t>Act</w:t>
            </w:r>
            <w:r w:rsidRPr="00150EDC">
              <w:rPr>
                <w:spacing w:val="-5"/>
                <w:sz w:val="24"/>
              </w:rPr>
              <w:t xml:space="preserve"> </w:t>
            </w:r>
            <w:r w:rsidRPr="00150EDC">
              <w:rPr>
                <w:spacing w:val="-4"/>
                <w:sz w:val="24"/>
              </w:rPr>
              <w:t>2018;</w:t>
            </w:r>
          </w:p>
        </w:tc>
      </w:tr>
      <w:tr w:rsidR="007D3144" w:rsidRPr="007D3144" w14:paraId="36F51E3F" w14:textId="77777777">
        <w:trPr>
          <w:trHeight w:val="671"/>
        </w:trPr>
        <w:tc>
          <w:tcPr>
            <w:tcW w:w="2264" w:type="dxa"/>
          </w:tcPr>
          <w:p w14:paraId="6D1D9029" w14:textId="77777777" w:rsidR="004C7180" w:rsidRPr="00150EDC" w:rsidRDefault="00CF0754">
            <w:pPr>
              <w:pStyle w:val="TableParagraph"/>
              <w:spacing w:before="0" w:line="240" w:lineRule="auto"/>
              <w:ind w:left="-1"/>
              <w:rPr>
                <w:b/>
                <w:sz w:val="24"/>
              </w:rPr>
            </w:pPr>
            <w:r w:rsidRPr="00150EDC">
              <w:rPr>
                <w:b/>
                <w:spacing w:val="-2"/>
                <w:sz w:val="24"/>
              </w:rPr>
              <w:t>“DPS”</w:t>
            </w:r>
          </w:p>
        </w:tc>
        <w:tc>
          <w:tcPr>
            <w:tcW w:w="7484" w:type="dxa"/>
          </w:tcPr>
          <w:p w14:paraId="22306DE8" w14:textId="77777777" w:rsidR="004C7180" w:rsidRPr="00150EDC" w:rsidRDefault="00CF0754">
            <w:pPr>
              <w:pStyle w:val="TableParagraph"/>
              <w:spacing w:before="0" w:line="240" w:lineRule="auto"/>
              <w:ind w:left="282"/>
              <w:rPr>
                <w:sz w:val="24"/>
              </w:rPr>
            </w:pPr>
            <w:r w:rsidRPr="00150EDC">
              <w:rPr>
                <w:sz w:val="24"/>
              </w:rPr>
              <w:t>the dynamic purchasing system operated by CCS in accordance</w:t>
            </w:r>
            <w:r w:rsidRPr="00150EDC">
              <w:rPr>
                <w:spacing w:val="40"/>
                <w:sz w:val="24"/>
              </w:rPr>
              <w:t xml:space="preserve"> </w:t>
            </w:r>
            <w:r w:rsidRPr="00150EDC">
              <w:rPr>
                <w:sz w:val="24"/>
              </w:rPr>
              <w:t>with Regulation 34 that this DPS Contract governs access to;</w:t>
            </w:r>
          </w:p>
        </w:tc>
      </w:tr>
      <w:tr w:rsidR="007D3144" w:rsidRPr="007D3144" w14:paraId="179C83F7" w14:textId="77777777">
        <w:trPr>
          <w:trHeight w:val="672"/>
        </w:trPr>
        <w:tc>
          <w:tcPr>
            <w:tcW w:w="2264" w:type="dxa"/>
          </w:tcPr>
          <w:p w14:paraId="74961CDE" w14:textId="77777777" w:rsidR="004C7180" w:rsidRPr="00150EDC" w:rsidRDefault="00CF0754">
            <w:pPr>
              <w:pStyle w:val="TableParagraph"/>
              <w:spacing w:before="0" w:line="240" w:lineRule="auto"/>
              <w:ind w:left="-1"/>
              <w:rPr>
                <w:b/>
                <w:sz w:val="24"/>
              </w:rPr>
            </w:pPr>
            <w:r w:rsidRPr="00150EDC">
              <w:rPr>
                <w:b/>
                <w:sz w:val="24"/>
              </w:rPr>
              <w:t>"DPS</w:t>
            </w:r>
            <w:r w:rsidRPr="00150EDC">
              <w:rPr>
                <w:b/>
                <w:spacing w:val="-8"/>
                <w:sz w:val="24"/>
              </w:rPr>
              <w:t xml:space="preserve"> </w:t>
            </w:r>
            <w:r w:rsidRPr="00150EDC">
              <w:rPr>
                <w:b/>
                <w:spacing w:val="-2"/>
                <w:sz w:val="24"/>
              </w:rPr>
              <w:t>Application"</w:t>
            </w:r>
          </w:p>
        </w:tc>
        <w:tc>
          <w:tcPr>
            <w:tcW w:w="7484" w:type="dxa"/>
          </w:tcPr>
          <w:p w14:paraId="3DDE6384" w14:textId="77777777" w:rsidR="004C7180" w:rsidRPr="00150EDC" w:rsidRDefault="00CF0754">
            <w:pPr>
              <w:pStyle w:val="TableParagraph"/>
              <w:spacing w:before="0" w:line="240" w:lineRule="auto"/>
              <w:ind w:left="282"/>
              <w:rPr>
                <w:sz w:val="24"/>
              </w:rPr>
            </w:pPr>
            <w:r w:rsidRPr="00150EDC">
              <w:rPr>
                <w:sz w:val="24"/>
              </w:rPr>
              <w:t>the</w:t>
            </w:r>
            <w:r w:rsidRPr="00150EDC">
              <w:rPr>
                <w:spacing w:val="-10"/>
                <w:sz w:val="24"/>
              </w:rPr>
              <w:t xml:space="preserve"> </w:t>
            </w:r>
            <w:r w:rsidRPr="00150EDC">
              <w:rPr>
                <w:sz w:val="24"/>
              </w:rPr>
              <w:t>application</w:t>
            </w:r>
            <w:r w:rsidRPr="00150EDC">
              <w:rPr>
                <w:spacing w:val="-10"/>
                <w:sz w:val="24"/>
              </w:rPr>
              <w:t xml:space="preserve"> </w:t>
            </w:r>
            <w:r w:rsidRPr="00150EDC">
              <w:rPr>
                <w:sz w:val="24"/>
              </w:rPr>
              <w:t>submitted</w:t>
            </w:r>
            <w:r w:rsidRPr="00150EDC">
              <w:rPr>
                <w:spacing w:val="-10"/>
                <w:sz w:val="24"/>
              </w:rPr>
              <w:t xml:space="preserve"> </w:t>
            </w:r>
            <w:r w:rsidRPr="00150EDC">
              <w:rPr>
                <w:sz w:val="24"/>
              </w:rPr>
              <w:t>by</w:t>
            </w:r>
            <w:r w:rsidRPr="00150EDC">
              <w:rPr>
                <w:spacing w:val="-11"/>
                <w:sz w:val="24"/>
              </w:rPr>
              <w:t xml:space="preserve"> </w:t>
            </w:r>
            <w:r w:rsidRPr="00150EDC">
              <w:rPr>
                <w:sz w:val="24"/>
              </w:rPr>
              <w:t>the</w:t>
            </w:r>
            <w:r w:rsidRPr="00150EDC">
              <w:rPr>
                <w:spacing w:val="-10"/>
                <w:sz w:val="24"/>
              </w:rPr>
              <w:t xml:space="preserve"> </w:t>
            </w:r>
            <w:r w:rsidRPr="00150EDC">
              <w:rPr>
                <w:sz w:val="24"/>
              </w:rPr>
              <w:t>Supplier</w:t>
            </w:r>
            <w:r w:rsidRPr="00150EDC">
              <w:rPr>
                <w:spacing w:val="-12"/>
                <w:sz w:val="24"/>
              </w:rPr>
              <w:t xml:space="preserve"> </w:t>
            </w:r>
            <w:r w:rsidRPr="00150EDC">
              <w:rPr>
                <w:sz w:val="24"/>
              </w:rPr>
              <w:t>to</w:t>
            </w:r>
            <w:r w:rsidRPr="00150EDC">
              <w:rPr>
                <w:spacing w:val="-10"/>
                <w:sz w:val="24"/>
              </w:rPr>
              <w:t xml:space="preserve"> </w:t>
            </w:r>
            <w:r w:rsidRPr="00150EDC">
              <w:rPr>
                <w:sz w:val="24"/>
              </w:rPr>
              <w:t>CCS</w:t>
            </w:r>
            <w:r w:rsidRPr="00150EDC">
              <w:rPr>
                <w:spacing w:val="-11"/>
                <w:sz w:val="24"/>
              </w:rPr>
              <w:t xml:space="preserve"> </w:t>
            </w:r>
            <w:r w:rsidRPr="00150EDC">
              <w:rPr>
                <w:sz w:val="24"/>
              </w:rPr>
              <w:t>and</w:t>
            </w:r>
            <w:r w:rsidRPr="00150EDC">
              <w:rPr>
                <w:spacing w:val="-10"/>
                <w:sz w:val="24"/>
              </w:rPr>
              <w:t xml:space="preserve"> </w:t>
            </w:r>
            <w:r w:rsidRPr="00150EDC">
              <w:rPr>
                <w:sz w:val="24"/>
              </w:rPr>
              <w:t>annexed</w:t>
            </w:r>
            <w:r w:rsidRPr="00150EDC">
              <w:rPr>
                <w:spacing w:val="-10"/>
                <w:sz w:val="24"/>
              </w:rPr>
              <w:t xml:space="preserve"> </w:t>
            </w:r>
            <w:r w:rsidRPr="00150EDC">
              <w:rPr>
                <w:sz w:val="24"/>
              </w:rPr>
              <w:t>to</w:t>
            </w:r>
            <w:r w:rsidRPr="00150EDC">
              <w:rPr>
                <w:spacing w:val="-10"/>
                <w:sz w:val="24"/>
              </w:rPr>
              <w:t xml:space="preserve"> </w:t>
            </w:r>
            <w:r w:rsidRPr="00150EDC">
              <w:rPr>
                <w:sz w:val="24"/>
              </w:rPr>
              <w:t>or referred to in DPS Schedule 2 (DPS Application);</w:t>
            </w:r>
          </w:p>
        </w:tc>
      </w:tr>
      <w:tr w:rsidR="007D3144" w:rsidRPr="007D3144" w14:paraId="020CB733" w14:textId="77777777">
        <w:trPr>
          <w:trHeight w:val="947"/>
        </w:trPr>
        <w:tc>
          <w:tcPr>
            <w:tcW w:w="2264" w:type="dxa"/>
          </w:tcPr>
          <w:p w14:paraId="6A7F595E" w14:textId="77777777" w:rsidR="004C7180" w:rsidRPr="00150EDC" w:rsidRDefault="00CF0754">
            <w:pPr>
              <w:pStyle w:val="TableParagraph"/>
              <w:spacing w:before="0" w:line="240" w:lineRule="auto"/>
              <w:ind w:left="-1" w:right="98"/>
              <w:rPr>
                <w:b/>
                <w:sz w:val="24"/>
              </w:rPr>
            </w:pPr>
            <w:r w:rsidRPr="00150EDC">
              <w:rPr>
                <w:b/>
                <w:sz w:val="24"/>
              </w:rPr>
              <w:t>"DPS</w:t>
            </w:r>
            <w:r w:rsidRPr="00150EDC">
              <w:rPr>
                <w:b/>
                <w:spacing w:val="-17"/>
                <w:sz w:val="24"/>
              </w:rPr>
              <w:t xml:space="preserve"> </w:t>
            </w:r>
            <w:r w:rsidRPr="00150EDC">
              <w:rPr>
                <w:b/>
                <w:sz w:val="24"/>
              </w:rPr>
              <w:t xml:space="preserve">Appointment </w:t>
            </w:r>
            <w:r w:rsidRPr="00150EDC">
              <w:rPr>
                <w:b/>
                <w:spacing w:val="-2"/>
                <w:sz w:val="24"/>
              </w:rPr>
              <w:t>Form"</w:t>
            </w:r>
          </w:p>
        </w:tc>
        <w:tc>
          <w:tcPr>
            <w:tcW w:w="7484" w:type="dxa"/>
          </w:tcPr>
          <w:p w14:paraId="329465A8" w14:textId="77777777" w:rsidR="004C7180" w:rsidRPr="00150EDC" w:rsidRDefault="00CF0754">
            <w:pPr>
              <w:pStyle w:val="TableParagraph"/>
              <w:spacing w:before="0" w:line="240" w:lineRule="auto"/>
              <w:ind w:left="282" w:right="101"/>
              <w:jc w:val="both"/>
              <w:rPr>
                <w:sz w:val="24"/>
              </w:rPr>
            </w:pPr>
            <w:r w:rsidRPr="00150EDC">
              <w:rPr>
                <w:sz w:val="24"/>
              </w:rPr>
              <w:t>the document outlining the DPS Incorporated Terms and crucial information required for the DPS Contract, to be executed by the Supplier and CCS and subsequently held on the Platform;</w:t>
            </w:r>
          </w:p>
        </w:tc>
      </w:tr>
      <w:tr w:rsidR="007D3144" w:rsidRPr="007D3144" w14:paraId="33315023" w14:textId="77777777">
        <w:trPr>
          <w:trHeight w:val="1499"/>
        </w:trPr>
        <w:tc>
          <w:tcPr>
            <w:tcW w:w="2264" w:type="dxa"/>
          </w:tcPr>
          <w:p w14:paraId="3CDCD8D9" w14:textId="77777777" w:rsidR="004C7180" w:rsidRPr="00150EDC" w:rsidRDefault="00CF0754">
            <w:pPr>
              <w:pStyle w:val="TableParagraph"/>
              <w:spacing w:before="0" w:line="240" w:lineRule="auto"/>
              <w:ind w:left="-1"/>
              <w:rPr>
                <w:b/>
                <w:sz w:val="24"/>
              </w:rPr>
            </w:pPr>
            <w:r w:rsidRPr="00150EDC">
              <w:rPr>
                <w:b/>
                <w:sz w:val="24"/>
              </w:rPr>
              <w:t>"DPS</w:t>
            </w:r>
            <w:r w:rsidRPr="00150EDC">
              <w:rPr>
                <w:b/>
                <w:spacing w:val="-8"/>
                <w:sz w:val="24"/>
              </w:rPr>
              <w:t xml:space="preserve"> </w:t>
            </w:r>
            <w:r w:rsidRPr="00150EDC">
              <w:rPr>
                <w:b/>
                <w:spacing w:val="-2"/>
                <w:sz w:val="24"/>
              </w:rPr>
              <w:t>Contract"</w:t>
            </w:r>
          </w:p>
        </w:tc>
        <w:tc>
          <w:tcPr>
            <w:tcW w:w="7484" w:type="dxa"/>
          </w:tcPr>
          <w:p w14:paraId="7F77D4F2" w14:textId="77777777" w:rsidR="004C7180" w:rsidRPr="00150EDC" w:rsidRDefault="00CF0754">
            <w:pPr>
              <w:pStyle w:val="TableParagraph"/>
              <w:spacing w:before="0" w:line="240" w:lineRule="auto"/>
              <w:ind w:left="282" w:right="99"/>
              <w:jc w:val="both"/>
              <w:rPr>
                <w:sz w:val="24"/>
              </w:rPr>
            </w:pPr>
            <w:r w:rsidRPr="00150EDC">
              <w:rPr>
                <w:sz w:val="24"/>
              </w:rPr>
              <w:t>the dynamic purchasing system access agreement established between CCS and the Supplier in accordance with Regulation 34 by</w:t>
            </w:r>
            <w:r w:rsidRPr="00150EDC">
              <w:rPr>
                <w:spacing w:val="-4"/>
                <w:sz w:val="24"/>
              </w:rPr>
              <w:t xml:space="preserve"> </w:t>
            </w:r>
            <w:r w:rsidRPr="00150EDC">
              <w:rPr>
                <w:sz w:val="24"/>
              </w:rPr>
              <w:t>the</w:t>
            </w:r>
            <w:r w:rsidRPr="00150EDC">
              <w:rPr>
                <w:spacing w:val="-4"/>
                <w:sz w:val="24"/>
              </w:rPr>
              <w:t xml:space="preserve"> </w:t>
            </w:r>
            <w:r w:rsidRPr="00150EDC">
              <w:rPr>
                <w:sz w:val="24"/>
              </w:rPr>
              <w:t>DPS</w:t>
            </w:r>
            <w:r w:rsidRPr="00150EDC">
              <w:rPr>
                <w:spacing w:val="-4"/>
                <w:sz w:val="24"/>
              </w:rPr>
              <w:t xml:space="preserve"> </w:t>
            </w:r>
            <w:r w:rsidRPr="00150EDC">
              <w:rPr>
                <w:sz w:val="24"/>
              </w:rPr>
              <w:t>Appointment</w:t>
            </w:r>
            <w:r w:rsidRPr="00150EDC">
              <w:rPr>
                <w:spacing w:val="-4"/>
                <w:sz w:val="24"/>
              </w:rPr>
              <w:t xml:space="preserve"> </w:t>
            </w:r>
            <w:r w:rsidRPr="00150EDC">
              <w:rPr>
                <w:sz w:val="24"/>
              </w:rPr>
              <w:t>Form</w:t>
            </w:r>
            <w:r w:rsidRPr="00150EDC">
              <w:rPr>
                <w:spacing w:val="-4"/>
                <w:sz w:val="24"/>
              </w:rPr>
              <w:t xml:space="preserve"> </w:t>
            </w:r>
            <w:r w:rsidRPr="00150EDC">
              <w:rPr>
                <w:sz w:val="24"/>
              </w:rPr>
              <w:t>for</w:t>
            </w:r>
            <w:r w:rsidRPr="00150EDC">
              <w:rPr>
                <w:spacing w:val="-4"/>
                <w:sz w:val="24"/>
              </w:rPr>
              <w:t xml:space="preserve"> </w:t>
            </w:r>
            <w:r w:rsidRPr="00150EDC">
              <w:rPr>
                <w:sz w:val="24"/>
              </w:rPr>
              <w:t>the</w:t>
            </w:r>
            <w:r w:rsidRPr="00150EDC">
              <w:rPr>
                <w:spacing w:val="-4"/>
                <w:sz w:val="24"/>
              </w:rPr>
              <w:t xml:space="preserve"> </w:t>
            </w:r>
            <w:r w:rsidRPr="00150EDC">
              <w:rPr>
                <w:sz w:val="24"/>
              </w:rPr>
              <w:t>provision</w:t>
            </w:r>
            <w:r w:rsidRPr="00150EDC">
              <w:rPr>
                <w:spacing w:val="-4"/>
                <w:sz w:val="24"/>
              </w:rPr>
              <w:t xml:space="preserve"> </w:t>
            </w:r>
            <w:r w:rsidRPr="00150EDC">
              <w:rPr>
                <w:sz w:val="24"/>
              </w:rPr>
              <w:t>of</w:t>
            </w:r>
            <w:r w:rsidRPr="00150EDC">
              <w:rPr>
                <w:spacing w:val="-4"/>
                <w:sz w:val="24"/>
              </w:rPr>
              <w:t xml:space="preserve"> </w:t>
            </w:r>
            <w:r w:rsidRPr="00150EDC">
              <w:rPr>
                <w:sz w:val="24"/>
              </w:rPr>
              <w:t>the</w:t>
            </w:r>
            <w:r w:rsidRPr="00150EDC">
              <w:rPr>
                <w:spacing w:val="-4"/>
                <w:sz w:val="24"/>
              </w:rPr>
              <w:t xml:space="preserve"> </w:t>
            </w:r>
            <w:r w:rsidRPr="00150EDC">
              <w:rPr>
                <w:sz w:val="24"/>
              </w:rPr>
              <w:t>Deliverables to Buyers by the Supplier pursuant to the notice published on the Find a Tender Service;</w:t>
            </w:r>
          </w:p>
        </w:tc>
      </w:tr>
    </w:tbl>
    <w:p w14:paraId="05DC0AE3" w14:textId="77777777" w:rsidR="004C7180" w:rsidRPr="00150EDC" w:rsidRDefault="004C7180">
      <w:pPr>
        <w:jc w:val="both"/>
        <w:rPr>
          <w:sz w:val="24"/>
        </w:rPr>
        <w:sectPr w:rsidR="004C7180" w:rsidRPr="00150EDC">
          <w:pgSz w:w="11910" w:h="16840"/>
          <w:pgMar w:top="1160" w:right="0" w:bottom="1460" w:left="40" w:header="715" w:footer="1208" w:gutter="0"/>
          <w:cols w:space="720"/>
        </w:sectPr>
      </w:pPr>
    </w:p>
    <w:p w14:paraId="659A5478" w14:textId="77777777" w:rsidR="004C7180" w:rsidRPr="00150EDC" w:rsidRDefault="004C7180">
      <w:pPr>
        <w:pStyle w:val="BodyText"/>
        <w:spacing w:before="7"/>
        <w:rPr>
          <w:sz w:val="23"/>
        </w:rPr>
      </w:pPr>
    </w:p>
    <w:tbl>
      <w:tblPr>
        <w:tblW w:w="0" w:type="auto"/>
        <w:tblInd w:w="1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4"/>
        <w:gridCol w:w="7484"/>
      </w:tblGrid>
      <w:tr w:rsidR="007D3144" w:rsidRPr="007D3144" w14:paraId="65556681" w14:textId="77777777">
        <w:trPr>
          <w:trHeight w:val="672"/>
        </w:trPr>
        <w:tc>
          <w:tcPr>
            <w:tcW w:w="2264" w:type="dxa"/>
          </w:tcPr>
          <w:p w14:paraId="6CA76DA9" w14:textId="77777777" w:rsidR="004C7180" w:rsidRPr="00150EDC" w:rsidRDefault="00CF0754">
            <w:pPr>
              <w:pStyle w:val="TableParagraph"/>
              <w:spacing w:before="0" w:line="240" w:lineRule="auto"/>
              <w:ind w:left="-1"/>
              <w:rPr>
                <w:b/>
                <w:sz w:val="24"/>
              </w:rPr>
            </w:pPr>
            <w:r w:rsidRPr="00150EDC">
              <w:rPr>
                <w:b/>
                <w:sz w:val="24"/>
              </w:rPr>
              <w:t>"DPS</w:t>
            </w:r>
            <w:r w:rsidRPr="00150EDC">
              <w:rPr>
                <w:b/>
                <w:spacing w:val="-17"/>
                <w:sz w:val="24"/>
              </w:rPr>
              <w:t xml:space="preserve"> </w:t>
            </w:r>
            <w:r w:rsidRPr="00150EDC">
              <w:rPr>
                <w:b/>
                <w:sz w:val="24"/>
              </w:rPr>
              <w:t xml:space="preserve">Contract </w:t>
            </w:r>
            <w:r w:rsidRPr="00150EDC">
              <w:rPr>
                <w:b/>
                <w:spacing w:val="-2"/>
                <w:sz w:val="24"/>
              </w:rPr>
              <w:t>Period"</w:t>
            </w:r>
          </w:p>
        </w:tc>
        <w:tc>
          <w:tcPr>
            <w:tcW w:w="7484" w:type="dxa"/>
          </w:tcPr>
          <w:p w14:paraId="6E26E613" w14:textId="77777777" w:rsidR="004C7180" w:rsidRPr="00150EDC" w:rsidRDefault="00CF0754">
            <w:pPr>
              <w:pStyle w:val="TableParagraph"/>
              <w:spacing w:before="0" w:line="240" w:lineRule="auto"/>
              <w:ind w:left="282"/>
              <w:rPr>
                <w:sz w:val="24"/>
              </w:rPr>
            </w:pPr>
            <w:r w:rsidRPr="00150EDC">
              <w:rPr>
                <w:sz w:val="24"/>
              </w:rPr>
              <w:t xml:space="preserve">the period from the DPS Start Date until the End Date of the DPS </w:t>
            </w:r>
            <w:r w:rsidRPr="00150EDC">
              <w:rPr>
                <w:spacing w:val="-2"/>
                <w:sz w:val="24"/>
              </w:rPr>
              <w:t>Contract;</w:t>
            </w:r>
          </w:p>
        </w:tc>
      </w:tr>
      <w:tr w:rsidR="007D3144" w:rsidRPr="007D3144" w14:paraId="1C8A3F66" w14:textId="77777777">
        <w:trPr>
          <w:trHeight w:val="671"/>
        </w:trPr>
        <w:tc>
          <w:tcPr>
            <w:tcW w:w="2264" w:type="dxa"/>
          </w:tcPr>
          <w:p w14:paraId="184A4998" w14:textId="77777777" w:rsidR="004C7180" w:rsidRPr="00150EDC" w:rsidRDefault="00CF0754">
            <w:pPr>
              <w:pStyle w:val="TableParagraph"/>
              <w:spacing w:before="0" w:line="240" w:lineRule="auto"/>
              <w:ind w:left="-1"/>
              <w:rPr>
                <w:b/>
                <w:sz w:val="24"/>
              </w:rPr>
            </w:pPr>
            <w:r w:rsidRPr="00150EDC">
              <w:rPr>
                <w:b/>
                <w:sz w:val="24"/>
              </w:rPr>
              <w:t>"DPS</w:t>
            </w:r>
            <w:r w:rsidRPr="00150EDC">
              <w:rPr>
                <w:b/>
                <w:spacing w:val="-10"/>
                <w:sz w:val="24"/>
              </w:rPr>
              <w:t xml:space="preserve"> </w:t>
            </w:r>
            <w:r w:rsidRPr="00150EDC">
              <w:rPr>
                <w:b/>
                <w:sz w:val="24"/>
              </w:rPr>
              <w:t>Expiry</w:t>
            </w:r>
            <w:r w:rsidRPr="00150EDC">
              <w:rPr>
                <w:b/>
                <w:spacing w:val="-10"/>
                <w:sz w:val="24"/>
              </w:rPr>
              <w:t xml:space="preserve"> </w:t>
            </w:r>
            <w:r w:rsidRPr="00150EDC">
              <w:rPr>
                <w:b/>
                <w:spacing w:val="-2"/>
                <w:sz w:val="24"/>
              </w:rPr>
              <w:t>Date"</w:t>
            </w:r>
          </w:p>
        </w:tc>
        <w:tc>
          <w:tcPr>
            <w:tcW w:w="7484" w:type="dxa"/>
          </w:tcPr>
          <w:p w14:paraId="74F600D1" w14:textId="77777777" w:rsidR="004C7180" w:rsidRPr="00150EDC" w:rsidRDefault="00CF0754">
            <w:pPr>
              <w:pStyle w:val="TableParagraph"/>
              <w:spacing w:before="0" w:line="240" w:lineRule="auto"/>
              <w:ind w:left="282"/>
              <w:rPr>
                <w:sz w:val="24"/>
              </w:rPr>
            </w:pPr>
            <w:r w:rsidRPr="00150EDC">
              <w:rPr>
                <w:sz w:val="24"/>
              </w:rPr>
              <w:t>the</w:t>
            </w:r>
            <w:r w:rsidRPr="00150EDC">
              <w:rPr>
                <w:spacing w:val="40"/>
                <w:sz w:val="24"/>
              </w:rPr>
              <w:t xml:space="preserve"> </w:t>
            </w:r>
            <w:r w:rsidRPr="00150EDC">
              <w:rPr>
                <w:sz w:val="24"/>
              </w:rPr>
              <w:t>date</w:t>
            </w:r>
            <w:r w:rsidRPr="00150EDC">
              <w:rPr>
                <w:spacing w:val="40"/>
                <w:sz w:val="24"/>
              </w:rPr>
              <w:t xml:space="preserve"> </w:t>
            </w:r>
            <w:r w:rsidRPr="00150EDC">
              <w:rPr>
                <w:sz w:val="24"/>
              </w:rPr>
              <w:t>of</w:t>
            </w:r>
            <w:r w:rsidRPr="00150EDC">
              <w:rPr>
                <w:spacing w:val="40"/>
                <w:sz w:val="24"/>
              </w:rPr>
              <w:t xml:space="preserve"> </w:t>
            </w:r>
            <w:r w:rsidRPr="00150EDC">
              <w:rPr>
                <w:sz w:val="24"/>
              </w:rPr>
              <w:t>the</w:t>
            </w:r>
            <w:r w:rsidRPr="00150EDC">
              <w:rPr>
                <w:spacing w:val="40"/>
                <w:sz w:val="24"/>
              </w:rPr>
              <w:t xml:space="preserve"> </w:t>
            </w:r>
            <w:r w:rsidRPr="00150EDC">
              <w:rPr>
                <w:sz w:val="24"/>
              </w:rPr>
              <w:t>end</w:t>
            </w:r>
            <w:r w:rsidRPr="00150EDC">
              <w:rPr>
                <w:spacing w:val="40"/>
                <w:sz w:val="24"/>
              </w:rPr>
              <w:t xml:space="preserve"> </w:t>
            </w:r>
            <w:r w:rsidRPr="00150EDC">
              <w:rPr>
                <w:sz w:val="24"/>
              </w:rPr>
              <w:t>of</w:t>
            </w:r>
            <w:r w:rsidRPr="00150EDC">
              <w:rPr>
                <w:spacing w:val="40"/>
                <w:sz w:val="24"/>
              </w:rPr>
              <w:t xml:space="preserve"> </w:t>
            </w:r>
            <w:r w:rsidRPr="00150EDC">
              <w:rPr>
                <w:sz w:val="24"/>
              </w:rPr>
              <w:t>the</w:t>
            </w:r>
            <w:r w:rsidRPr="00150EDC">
              <w:rPr>
                <w:spacing w:val="40"/>
                <w:sz w:val="24"/>
              </w:rPr>
              <w:t xml:space="preserve"> </w:t>
            </w:r>
            <w:r w:rsidRPr="00150EDC">
              <w:rPr>
                <w:sz w:val="24"/>
              </w:rPr>
              <w:t>DPS</w:t>
            </w:r>
            <w:r w:rsidRPr="00150EDC">
              <w:rPr>
                <w:spacing w:val="40"/>
                <w:sz w:val="24"/>
              </w:rPr>
              <w:t xml:space="preserve"> </w:t>
            </w:r>
            <w:r w:rsidRPr="00150EDC">
              <w:rPr>
                <w:sz w:val="24"/>
              </w:rPr>
              <w:t>Contract</w:t>
            </w:r>
            <w:r w:rsidRPr="00150EDC">
              <w:rPr>
                <w:spacing w:val="40"/>
                <w:sz w:val="24"/>
              </w:rPr>
              <w:t xml:space="preserve"> </w:t>
            </w:r>
            <w:r w:rsidRPr="00150EDC">
              <w:rPr>
                <w:sz w:val="24"/>
              </w:rPr>
              <w:t>as</w:t>
            </w:r>
            <w:r w:rsidRPr="00150EDC">
              <w:rPr>
                <w:spacing w:val="40"/>
                <w:sz w:val="24"/>
              </w:rPr>
              <w:t xml:space="preserve"> </w:t>
            </w:r>
            <w:r w:rsidRPr="00150EDC">
              <w:rPr>
                <w:sz w:val="24"/>
              </w:rPr>
              <w:t>stated</w:t>
            </w:r>
            <w:r w:rsidRPr="00150EDC">
              <w:rPr>
                <w:spacing w:val="40"/>
                <w:sz w:val="24"/>
              </w:rPr>
              <w:t xml:space="preserve"> </w:t>
            </w:r>
            <w:r w:rsidRPr="00150EDC">
              <w:rPr>
                <w:sz w:val="24"/>
              </w:rPr>
              <w:t>in</w:t>
            </w:r>
            <w:r w:rsidRPr="00150EDC">
              <w:rPr>
                <w:spacing w:val="40"/>
                <w:sz w:val="24"/>
              </w:rPr>
              <w:t xml:space="preserve"> </w:t>
            </w:r>
            <w:r w:rsidRPr="00150EDC">
              <w:rPr>
                <w:sz w:val="24"/>
              </w:rPr>
              <w:t>the</w:t>
            </w:r>
            <w:r w:rsidRPr="00150EDC">
              <w:rPr>
                <w:spacing w:val="40"/>
                <w:sz w:val="24"/>
              </w:rPr>
              <w:t xml:space="preserve"> </w:t>
            </w:r>
            <w:r w:rsidRPr="00150EDC">
              <w:rPr>
                <w:sz w:val="24"/>
              </w:rPr>
              <w:t>DPS Appointment Form;</w:t>
            </w:r>
          </w:p>
        </w:tc>
      </w:tr>
      <w:tr w:rsidR="007D3144" w:rsidRPr="007D3144" w14:paraId="67FDB571" w14:textId="77777777">
        <w:trPr>
          <w:trHeight w:val="671"/>
        </w:trPr>
        <w:tc>
          <w:tcPr>
            <w:tcW w:w="2264" w:type="dxa"/>
          </w:tcPr>
          <w:p w14:paraId="7EAEEE10" w14:textId="77777777" w:rsidR="004C7180" w:rsidRPr="00150EDC" w:rsidRDefault="00CF0754">
            <w:pPr>
              <w:pStyle w:val="TableParagraph"/>
              <w:spacing w:before="0" w:line="240" w:lineRule="auto"/>
              <w:ind w:left="-1"/>
              <w:rPr>
                <w:b/>
                <w:sz w:val="24"/>
              </w:rPr>
            </w:pPr>
            <w:r w:rsidRPr="00150EDC">
              <w:rPr>
                <w:b/>
                <w:sz w:val="24"/>
              </w:rPr>
              <w:t>"DPS</w:t>
            </w:r>
            <w:r w:rsidRPr="00150EDC">
              <w:rPr>
                <w:b/>
                <w:spacing w:val="-17"/>
                <w:sz w:val="24"/>
              </w:rPr>
              <w:t xml:space="preserve"> </w:t>
            </w:r>
            <w:r w:rsidRPr="00150EDC">
              <w:rPr>
                <w:b/>
                <w:sz w:val="24"/>
              </w:rPr>
              <w:t xml:space="preserve">Incorporated </w:t>
            </w:r>
            <w:r w:rsidRPr="00150EDC">
              <w:rPr>
                <w:b/>
                <w:spacing w:val="-2"/>
                <w:sz w:val="24"/>
              </w:rPr>
              <w:t>Terms"</w:t>
            </w:r>
          </w:p>
        </w:tc>
        <w:tc>
          <w:tcPr>
            <w:tcW w:w="7484" w:type="dxa"/>
          </w:tcPr>
          <w:p w14:paraId="17EFDCFE" w14:textId="77777777" w:rsidR="004C7180" w:rsidRPr="00150EDC" w:rsidRDefault="00CF0754">
            <w:pPr>
              <w:pStyle w:val="TableParagraph"/>
              <w:spacing w:before="0" w:line="240" w:lineRule="auto"/>
              <w:ind w:left="282" w:right="91"/>
              <w:rPr>
                <w:sz w:val="24"/>
              </w:rPr>
            </w:pPr>
            <w:r w:rsidRPr="00150EDC">
              <w:rPr>
                <w:sz w:val="24"/>
              </w:rPr>
              <w:t>the contractual terms applicable to the DPS Contract specified in the DPS Appointment Form;</w:t>
            </w:r>
          </w:p>
        </w:tc>
      </w:tr>
      <w:tr w:rsidR="007D3144" w:rsidRPr="007D3144" w14:paraId="655779C2" w14:textId="77777777">
        <w:trPr>
          <w:trHeight w:val="673"/>
        </w:trPr>
        <w:tc>
          <w:tcPr>
            <w:tcW w:w="2264" w:type="dxa"/>
          </w:tcPr>
          <w:p w14:paraId="0B26A099" w14:textId="77777777" w:rsidR="004C7180" w:rsidRPr="00150EDC" w:rsidRDefault="00CF0754">
            <w:pPr>
              <w:pStyle w:val="TableParagraph"/>
              <w:spacing w:before="2" w:line="240" w:lineRule="auto"/>
              <w:ind w:left="-1" w:right="298"/>
              <w:rPr>
                <w:b/>
                <w:sz w:val="24"/>
              </w:rPr>
            </w:pPr>
            <w:r w:rsidRPr="00150EDC">
              <w:rPr>
                <w:b/>
                <w:sz w:val="24"/>
              </w:rPr>
              <w:t>"DPS</w:t>
            </w:r>
            <w:r w:rsidRPr="00150EDC">
              <w:rPr>
                <w:b/>
                <w:spacing w:val="-17"/>
                <w:sz w:val="24"/>
              </w:rPr>
              <w:t xml:space="preserve"> </w:t>
            </w:r>
            <w:r w:rsidRPr="00150EDC">
              <w:rPr>
                <w:b/>
                <w:sz w:val="24"/>
              </w:rPr>
              <w:t xml:space="preserve">Initial </w:t>
            </w:r>
            <w:r w:rsidRPr="00150EDC">
              <w:rPr>
                <w:b/>
                <w:spacing w:val="-2"/>
                <w:sz w:val="24"/>
              </w:rPr>
              <w:t>Period"</w:t>
            </w:r>
          </w:p>
        </w:tc>
        <w:tc>
          <w:tcPr>
            <w:tcW w:w="7484" w:type="dxa"/>
          </w:tcPr>
          <w:p w14:paraId="63EBBA50" w14:textId="77777777" w:rsidR="004C7180" w:rsidRPr="00150EDC" w:rsidRDefault="00CF0754">
            <w:pPr>
              <w:pStyle w:val="TableParagraph"/>
              <w:spacing w:before="2" w:line="240" w:lineRule="auto"/>
              <w:ind w:left="282"/>
              <w:rPr>
                <w:sz w:val="24"/>
              </w:rPr>
            </w:pPr>
            <w:r w:rsidRPr="00150EDC">
              <w:rPr>
                <w:sz w:val="24"/>
              </w:rPr>
              <w:t>the</w:t>
            </w:r>
            <w:r w:rsidRPr="00150EDC">
              <w:rPr>
                <w:spacing w:val="74"/>
                <w:sz w:val="24"/>
              </w:rPr>
              <w:t xml:space="preserve"> </w:t>
            </w:r>
            <w:r w:rsidRPr="00150EDC">
              <w:rPr>
                <w:sz w:val="24"/>
              </w:rPr>
              <w:t>initial</w:t>
            </w:r>
            <w:r w:rsidRPr="00150EDC">
              <w:rPr>
                <w:spacing w:val="72"/>
                <w:sz w:val="24"/>
              </w:rPr>
              <w:t xml:space="preserve"> </w:t>
            </w:r>
            <w:r w:rsidRPr="00150EDC">
              <w:rPr>
                <w:sz w:val="24"/>
              </w:rPr>
              <w:t>term</w:t>
            </w:r>
            <w:r w:rsidRPr="00150EDC">
              <w:rPr>
                <w:spacing w:val="74"/>
                <w:sz w:val="24"/>
              </w:rPr>
              <w:t xml:space="preserve"> </w:t>
            </w:r>
            <w:r w:rsidRPr="00150EDC">
              <w:rPr>
                <w:sz w:val="24"/>
              </w:rPr>
              <w:t>of</w:t>
            </w:r>
            <w:r w:rsidRPr="00150EDC">
              <w:rPr>
                <w:spacing w:val="73"/>
                <w:sz w:val="24"/>
              </w:rPr>
              <w:t xml:space="preserve"> </w:t>
            </w:r>
            <w:r w:rsidRPr="00150EDC">
              <w:rPr>
                <w:sz w:val="24"/>
              </w:rPr>
              <w:t>the</w:t>
            </w:r>
            <w:r w:rsidRPr="00150EDC">
              <w:rPr>
                <w:spacing w:val="74"/>
                <w:sz w:val="24"/>
              </w:rPr>
              <w:t xml:space="preserve"> </w:t>
            </w:r>
            <w:r w:rsidRPr="00150EDC">
              <w:rPr>
                <w:sz w:val="24"/>
              </w:rPr>
              <w:t>DPS</w:t>
            </w:r>
            <w:r w:rsidRPr="00150EDC">
              <w:rPr>
                <w:spacing w:val="74"/>
                <w:sz w:val="24"/>
              </w:rPr>
              <w:t xml:space="preserve"> </w:t>
            </w:r>
            <w:r w:rsidRPr="00150EDC">
              <w:rPr>
                <w:sz w:val="24"/>
              </w:rPr>
              <w:t>Contract</w:t>
            </w:r>
            <w:r w:rsidRPr="00150EDC">
              <w:rPr>
                <w:spacing w:val="73"/>
                <w:sz w:val="24"/>
              </w:rPr>
              <w:t xml:space="preserve"> </w:t>
            </w:r>
            <w:r w:rsidRPr="00150EDC">
              <w:rPr>
                <w:sz w:val="24"/>
              </w:rPr>
              <w:t>as</w:t>
            </w:r>
            <w:r w:rsidRPr="00150EDC">
              <w:rPr>
                <w:spacing w:val="71"/>
                <w:sz w:val="24"/>
              </w:rPr>
              <w:t xml:space="preserve"> </w:t>
            </w:r>
            <w:r w:rsidRPr="00150EDC">
              <w:rPr>
                <w:sz w:val="24"/>
              </w:rPr>
              <w:t>specified</w:t>
            </w:r>
            <w:r w:rsidRPr="00150EDC">
              <w:rPr>
                <w:spacing w:val="74"/>
                <w:sz w:val="24"/>
              </w:rPr>
              <w:t xml:space="preserve"> </w:t>
            </w:r>
            <w:r w:rsidRPr="00150EDC">
              <w:rPr>
                <w:sz w:val="24"/>
              </w:rPr>
              <w:t>in</w:t>
            </w:r>
            <w:r w:rsidRPr="00150EDC">
              <w:rPr>
                <w:spacing w:val="71"/>
                <w:sz w:val="24"/>
              </w:rPr>
              <w:t xml:space="preserve"> </w:t>
            </w:r>
            <w:r w:rsidRPr="00150EDC">
              <w:rPr>
                <w:sz w:val="24"/>
              </w:rPr>
              <w:t>the</w:t>
            </w:r>
            <w:r w:rsidRPr="00150EDC">
              <w:rPr>
                <w:spacing w:val="74"/>
                <w:sz w:val="24"/>
              </w:rPr>
              <w:t xml:space="preserve"> </w:t>
            </w:r>
            <w:r w:rsidRPr="00150EDC">
              <w:rPr>
                <w:sz w:val="24"/>
              </w:rPr>
              <w:t>DPS Appointment Form;</w:t>
            </w:r>
          </w:p>
        </w:tc>
      </w:tr>
      <w:tr w:rsidR="007D3144" w:rsidRPr="007D3144" w14:paraId="4B4E3DBC" w14:textId="77777777">
        <w:trPr>
          <w:trHeight w:val="671"/>
        </w:trPr>
        <w:tc>
          <w:tcPr>
            <w:tcW w:w="2264" w:type="dxa"/>
          </w:tcPr>
          <w:p w14:paraId="67E6FA7D" w14:textId="77777777" w:rsidR="004C7180" w:rsidRPr="00150EDC" w:rsidRDefault="00CF0754">
            <w:pPr>
              <w:pStyle w:val="TableParagraph"/>
              <w:spacing w:before="0" w:line="240" w:lineRule="auto"/>
              <w:ind w:left="-1"/>
              <w:rPr>
                <w:b/>
                <w:sz w:val="24"/>
              </w:rPr>
            </w:pPr>
            <w:r w:rsidRPr="00150EDC">
              <w:rPr>
                <w:b/>
                <w:sz w:val="24"/>
              </w:rPr>
              <w:t>"DPS Optional Extension</w:t>
            </w:r>
            <w:r w:rsidRPr="00150EDC">
              <w:rPr>
                <w:b/>
                <w:spacing w:val="-17"/>
                <w:sz w:val="24"/>
              </w:rPr>
              <w:t xml:space="preserve"> </w:t>
            </w:r>
            <w:r w:rsidRPr="00150EDC">
              <w:rPr>
                <w:b/>
                <w:sz w:val="24"/>
              </w:rPr>
              <w:t>Period"</w:t>
            </w:r>
          </w:p>
        </w:tc>
        <w:tc>
          <w:tcPr>
            <w:tcW w:w="7484" w:type="dxa"/>
          </w:tcPr>
          <w:p w14:paraId="232486A5" w14:textId="77777777" w:rsidR="004C7180" w:rsidRPr="00150EDC" w:rsidRDefault="00CF0754">
            <w:pPr>
              <w:pStyle w:val="TableParagraph"/>
              <w:spacing w:before="0" w:line="240" w:lineRule="auto"/>
              <w:ind w:left="282"/>
              <w:rPr>
                <w:sz w:val="24"/>
              </w:rPr>
            </w:pPr>
            <w:r w:rsidRPr="00150EDC">
              <w:rPr>
                <w:sz w:val="24"/>
              </w:rPr>
              <w:t>such</w:t>
            </w:r>
            <w:r w:rsidRPr="00150EDC">
              <w:rPr>
                <w:spacing w:val="-5"/>
                <w:sz w:val="24"/>
              </w:rPr>
              <w:t xml:space="preserve"> </w:t>
            </w:r>
            <w:r w:rsidRPr="00150EDC">
              <w:rPr>
                <w:sz w:val="24"/>
              </w:rPr>
              <w:t>period</w:t>
            </w:r>
            <w:r w:rsidRPr="00150EDC">
              <w:rPr>
                <w:spacing w:val="-5"/>
                <w:sz w:val="24"/>
              </w:rPr>
              <w:t xml:space="preserve"> </w:t>
            </w:r>
            <w:r w:rsidRPr="00150EDC">
              <w:rPr>
                <w:sz w:val="24"/>
              </w:rPr>
              <w:t>or</w:t>
            </w:r>
            <w:r w:rsidRPr="00150EDC">
              <w:rPr>
                <w:spacing w:val="-6"/>
                <w:sz w:val="24"/>
              </w:rPr>
              <w:t xml:space="preserve"> </w:t>
            </w:r>
            <w:r w:rsidRPr="00150EDC">
              <w:rPr>
                <w:sz w:val="24"/>
              </w:rPr>
              <w:t>periods</w:t>
            </w:r>
            <w:r w:rsidRPr="00150EDC">
              <w:rPr>
                <w:spacing w:val="-8"/>
                <w:sz w:val="24"/>
              </w:rPr>
              <w:t xml:space="preserve"> </w:t>
            </w:r>
            <w:r w:rsidRPr="00150EDC">
              <w:rPr>
                <w:sz w:val="24"/>
              </w:rPr>
              <w:t>beyond</w:t>
            </w:r>
            <w:r w:rsidRPr="00150EDC">
              <w:rPr>
                <w:spacing w:val="-5"/>
                <w:sz w:val="24"/>
              </w:rPr>
              <w:t xml:space="preserve"> </w:t>
            </w:r>
            <w:r w:rsidRPr="00150EDC">
              <w:rPr>
                <w:sz w:val="24"/>
              </w:rPr>
              <w:t>which</w:t>
            </w:r>
            <w:r w:rsidRPr="00150EDC">
              <w:rPr>
                <w:spacing w:val="-5"/>
                <w:sz w:val="24"/>
              </w:rPr>
              <w:t xml:space="preserve"> </w:t>
            </w:r>
            <w:r w:rsidRPr="00150EDC">
              <w:rPr>
                <w:sz w:val="24"/>
              </w:rPr>
              <w:t>the</w:t>
            </w:r>
            <w:r w:rsidRPr="00150EDC">
              <w:rPr>
                <w:spacing w:val="-5"/>
                <w:sz w:val="24"/>
              </w:rPr>
              <w:t xml:space="preserve"> </w:t>
            </w:r>
            <w:r w:rsidRPr="00150EDC">
              <w:rPr>
                <w:sz w:val="24"/>
              </w:rPr>
              <w:t>DPS</w:t>
            </w:r>
            <w:r w:rsidRPr="00150EDC">
              <w:rPr>
                <w:spacing w:val="-7"/>
                <w:sz w:val="24"/>
              </w:rPr>
              <w:t xml:space="preserve"> </w:t>
            </w:r>
            <w:r w:rsidRPr="00150EDC">
              <w:rPr>
                <w:sz w:val="24"/>
              </w:rPr>
              <w:t>Initial</w:t>
            </w:r>
            <w:r w:rsidRPr="00150EDC">
              <w:rPr>
                <w:spacing w:val="-5"/>
                <w:sz w:val="24"/>
              </w:rPr>
              <w:t xml:space="preserve"> </w:t>
            </w:r>
            <w:r w:rsidRPr="00150EDC">
              <w:rPr>
                <w:sz w:val="24"/>
              </w:rPr>
              <w:t>Period</w:t>
            </w:r>
            <w:r w:rsidRPr="00150EDC">
              <w:rPr>
                <w:spacing w:val="-7"/>
                <w:sz w:val="24"/>
              </w:rPr>
              <w:t xml:space="preserve"> </w:t>
            </w:r>
            <w:r w:rsidRPr="00150EDC">
              <w:rPr>
                <w:sz w:val="24"/>
              </w:rPr>
              <w:t>may</w:t>
            </w:r>
            <w:r w:rsidRPr="00150EDC">
              <w:rPr>
                <w:spacing w:val="-5"/>
                <w:sz w:val="24"/>
              </w:rPr>
              <w:t xml:space="preserve"> </w:t>
            </w:r>
            <w:r w:rsidRPr="00150EDC">
              <w:rPr>
                <w:sz w:val="24"/>
              </w:rPr>
              <w:t>be extended as specified in the DPS Appointment Form;</w:t>
            </w:r>
          </w:p>
        </w:tc>
      </w:tr>
      <w:tr w:rsidR="007D3144" w:rsidRPr="007D3144" w14:paraId="57D7D98E" w14:textId="77777777">
        <w:trPr>
          <w:trHeight w:val="672"/>
        </w:trPr>
        <w:tc>
          <w:tcPr>
            <w:tcW w:w="2264" w:type="dxa"/>
          </w:tcPr>
          <w:p w14:paraId="13A32E51" w14:textId="77777777" w:rsidR="004C7180" w:rsidRPr="00150EDC" w:rsidRDefault="00CF0754">
            <w:pPr>
              <w:pStyle w:val="TableParagraph"/>
              <w:spacing w:before="0" w:line="240" w:lineRule="auto"/>
              <w:ind w:left="-1"/>
              <w:rPr>
                <w:b/>
                <w:sz w:val="24"/>
              </w:rPr>
            </w:pPr>
            <w:r w:rsidRPr="00150EDC">
              <w:rPr>
                <w:b/>
                <w:sz w:val="24"/>
              </w:rPr>
              <w:t>"DPS</w:t>
            </w:r>
            <w:r w:rsidRPr="00150EDC">
              <w:rPr>
                <w:b/>
                <w:spacing w:val="-8"/>
                <w:sz w:val="24"/>
              </w:rPr>
              <w:t xml:space="preserve"> </w:t>
            </w:r>
            <w:r w:rsidRPr="00150EDC">
              <w:rPr>
                <w:b/>
                <w:spacing w:val="-2"/>
                <w:sz w:val="24"/>
              </w:rPr>
              <w:t>Pricing"</w:t>
            </w:r>
          </w:p>
        </w:tc>
        <w:tc>
          <w:tcPr>
            <w:tcW w:w="7484" w:type="dxa"/>
          </w:tcPr>
          <w:p w14:paraId="763484CE" w14:textId="77777777" w:rsidR="004C7180" w:rsidRPr="00150EDC" w:rsidRDefault="00CF0754">
            <w:pPr>
              <w:pStyle w:val="TableParagraph"/>
              <w:spacing w:before="0" w:line="240" w:lineRule="auto"/>
              <w:ind w:left="282"/>
              <w:rPr>
                <w:sz w:val="24"/>
              </w:rPr>
            </w:pPr>
            <w:r w:rsidRPr="00150EDC">
              <w:rPr>
                <w:sz w:val="24"/>
              </w:rPr>
              <w:t>the</w:t>
            </w:r>
            <w:r w:rsidRPr="00150EDC">
              <w:rPr>
                <w:spacing w:val="-17"/>
                <w:sz w:val="24"/>
              </w:rPr>
              <w:t xml:space="preserve"> </w:t>
            </w:r>
            <w:r w:rsidRPr="00150EDC">
              <w:rPr>
                <w:sz w:val="24"/>
              </w:rPr>
              <w:t>maximum</w:t>
            </w:r>
            <w:r w:rsidRPr="00150EDC">
              <w:rPr>
                <w:spacing w:val="-17"/>
                <w:sz w:val="24"/>
              </w:rPr>
              <w:t xml:space="preserve"> </w:t>
            </w:r>
            <w:r w:rsidRPr="00150EDC">
              <w:rPr>
                <w:sz w:val="24"/>
              </w:rPr>
              <w:t>price(s)</w:t>
            </w:r>
            <w:r w:rsidRPr="00150EDC">
              <w:rPr>
                <w:spacing w:val="-16"/>
                <w:sz w:val="24"/>
              </w:rPr>
              <w:t xml:space="preserve"> </w:t>
            </w:r>
            <w:r w:rsidRPr="00150EDC">
              <w:rPr>
                <w:sz w:val="24"/>
              </w:rPr>
              <w:t>applicable</w:t>
            </w:r>
            <w:r w:rsidRPr="00150EDC">
              <w:rPr>
                <w:spacing w:val="-17"/>
                <w:sz w:val="24"/>
              </w:rPr>
              <w:t xml:space="preserve"> </w:t>
            </w:r>
            <w:r w:rsidRPr="00150EDC">
              <w:rPr>
                <w:sz w:val="24"/>
              </w:rPr>
              <w:t>to</w:t>
            </w:r>
            <w:r w:rsidRPr="00150EDC">
              <w:rPr>
                <w:spacing w:val="-17"/>
                <w:sz w:val="24"/>
              </w:rPr>
              <w:t xml:space="preserve"> </w:t>
            </w:r>
            <w:r w:rsidRPr="00150EDC">
              <w:rPr>
                <w:sz w:val="24"/>
              </w:rPr>
              <w:t>the</w:t>
            </w:r>
            <w:r w:rsidRPr="00150EDC">
              <w:rPr>
                <w:spacing w:val="-17"/>
                <w:sz w:val="24"/>
              </w:rPr>
              <w:t xml:space="preserve"> </w:t>
            </w:r>
            <w:r w:rsidRPr="00150EDC">
              <w:rPr>
                <w:sz w:val="24"/>
              </w:rPr>
              <w:t>provision</w:t>
            </w:r>
            <w:r w:rsidRPr="00150EDC">
              <w:rPr>
                <w:spacing w:val="-16"/>
                <w:sz w:val="24"/>
              </w:rPr>
              <w:t xml:space="preserve"> </w:t>
            </w:r>
            <w:r w:rsidRPr="00150EDC">
              <w:rPr>
                <w:sz w:val="24"/>
              </w:rPr>
              <w:t>of</w:t>
            </w:r>
            <w:r w:rsidRPr="00150EDC">
              <w:rPr>
                <w:spacing w:val="-17"/>
                <w:sz w:val="24"/>
              </w:rPr>
              <w:t xml:space="preserve"> </w:t>
            </w:r>
            <w:r w:rsidRPr="00150EDC">
              <w:rPr>
                <w:sz w:val="24"/>
              </w:rPr>
              <w:t>the</w:t>
            </w:r>
            <w:r w:rsidRPr="00150EDC">
              <w:rPr>
                <w:spacing w:val="-17"/>
                <w:sz w:val="24"/>
              </w:rPr>
              <w:t xml:space="preserve"> </w:t>
            </w:r>
            <w:r w:rsidRPr="00150EDC">
              <w:rPr>
                <w:sz w:val="24"/>
              </w:rPr>
              <w:t>Deliverables set out in DPS Schedule 3 (DPS Pricing);</w:t>
            </w:r>
          </w:p>
        </w:tc>
      </w:tr>
      <w:tr w:rsidR="007D3144" w:rsidRPr="007D3144" w14:paraId="4AF2715F" w14:textId="77777777">
        <w:trPr>
          <w:trHeight w:val="671"/>
        </w:trPr>
        <w:tc>
          <w:tcPr>
            <w:tcW w:w="2264" w:type="dxa"/>
          </w:tcPr>
          <w:p w14:paraId="0EC20D35" w14:textId="77777777" w:rsidR="004C7180" w:rsidRPr="00150EDC" w:rsidRDefault="00CF0754">
            <w:pPr>
              <w:pStyle w:val="TableParagraph"/>
              <w:spacing w:before="0" w:line="240" w:lineRule="auto"/>
              <w:ind w:left="-1"/>
              <w:rPr>
                <w:b/>
                <w:sz w:val="24"/>
              </w:rPr>
            </w:pPr>
            <w:r w:rsidRPr="00150EDC">
              <w:rPr>
                <w:b/>
                <w:spacing w:val="-4"/>
                <w:sz w:val="24"/>
              </w:rPr>
              <w:t>"DPS</w:t>
            </w:r>
          </w:p>
          <w:p w14:paraId="45815DF4" w14:textId="77777777" w:rsidR="004C7180" w:rsidRPr="00150EDC" w:rsidRDefault="00CF0754">
            <w:pPr>
              <w:pStyle w:val="TableParagraph"/>
              <w:spacing w:before="0" w:line="240" w:lineRule="auto"/>
              <w:ind w:left="-1"/>
              <w:rPr>
                <w:b/>
                <w:sz w:val="24"/>
              </w:rPr>
            </w:pPr>
            <w:r w:rsidRPr="00150EDC">
              <w:rPr>
                <w:b/>
                <w:spacing w:val="-2"/>
                <w:sz w:val="24"/>
              </w:rPr>
              <w:t>Registration"</w:t>
            </w:r>
          </w:p>
        </w:tc>
        <w:tc>
          <w:tcPr>
            <w:tcW w:w="7484" w:type="dxa"/>
          </w:tcPr>
          <w:p w14:paraId="0EFE4039" w14:textId="77777777" w:rsidR="004C7180" w:rsidRPr="00150EDC" w:rsidRDefault="00CF0754">
            <w:pPr>
              <w:pStyle w:val="TableParagraph"/>
              <w:spacing w:before="0" w:line="240" w:lineRule="auto"/>
              <w:ind w:left="282"/>
              <w:rPr>
                <w:sz w:val="24"/>
              </w:rPr>
            </w:pPr>
            <w:r w:rsidRPr="00150EDC">
              <w:rPr>
                <w:sz w:val="24"/>
              </w:rPr>
              <w:t>the registration process a Supplier undertakes when submitting its details onto the Platform;</w:t>
            </w:r>
          </w:p>
        </w:tc>
      </w:tr>
      <w:tr w:rsidR="007D3144" w:rsidRPr="007D3144" w14:paraId="39025FF9" w14:textId="77777777">
        <w:trPr>
          <w:trHeight w:val="671"/>
        </w:trPr>
        <w:tc>
          <w:tcPr>
            <w:tcW w:w="2264" w:type="dxa"/>
          </w:tcPr>
          <w:p w14:paraId="51F418DC" w14:textId="77777777" w:rsidR="004C7180" w:rsidRPr="00150EDC" w:rsidRDefault="00CF0754">
            <w:pPr>
              <w:pStyle w:val="TableParagraph"/>
              <w:spacing w:before="0" w:line="240" w:lineRule="auto"/>
              <w:ind w:left="-1"/>
              <w:rPr>
                <w:b/>
                <w:sz w:val="24"/>
              </w:rPr>
            </w:pPr>
            <w:r w:rsidRPr="00150EDC">
              <w:rPr>
                <w:b/>
                <w:sz w:val="24"/>
              </w:rPr>
              <w:t>"DPS</w:t>
            </w:r>
            <w:r w:rsidRPr="00150EDC">
              <w:rPr>
                <w:b/>
                <w:spacing w:val="-8"/>
                <w:sz w:val="24"/>
              </w:rPr>
              <w:t xml:space="preserve"> </w:t>
            </w:r>
            <w:r w:rsidRPr="00150EDC">
              <w:rPr>
                <w:b/>
                <w:spacing w:val="-5"/>
                <w:sz w:val="24"/>
              </w:rPr>
              <w:t>SQ</w:t>
            </w:r>
          </w:p>
          <w:p w14:paraId="1C6A977A" w14:textId="77777777" w:rsidR="004C7180" w:rsidRPr="00150EDC" w:rsidRDefault="00CF0754">
            <w:pPr>
              <w:pStyle w:val="TableParagraph"/>
              <w:spacing w:before="0" w:line="240" w:lineRule="auto"/>
              <w:ind w:left="-1"/>
              <w:rPr>
                <w:b/>
                <w:sz w:val="24"/>
              </w:rPr>
            </w:pPr>
            <w:r w:rsidRPr="00150EDC">
              <w:rPr>
                <w:b/>
                <w:spacing w:val="-2"/>
                <w:sz w:val="24"/>
              </w:rPr>
              <w:t>Submission"</w:t>
            </w:r>
          </w:p>
        </w:tc>
        <w:tc>
          <w:tcPr>
            <w:tcW w:w="7484" w:type="dxa"/>
          </w:tcPr>
          <w:p w14:paraId="4041D7D8" w14:textId="77777777" w:rsidR="004C7180" w:rsidRPr="00150EDC" w:rsidRDefault="00CF0754">
            <w:pPr>
              <w:pStyle w:val="TableParagraph"/>
              <w:spacing w:before="0" w:line="240" w:lineRule="auto"/>
              <w:ind w:left="282"/>
              <w:rPr>
                <w:sz w:val="24"/>
              </w:rPr>
            </w:pPr>
            <w:r w:rsidRPr="00150EDC">
              <w:rPr>
                <w:sz w:val="24"/>
              </w:rPr>
              <w:t>the</w:t>
            </w:r>
            <w:r w:rsidRPr="00150EDC">
              <w:rPr>
                <w:spacing w:val="-5"/>
                <w:sz w:val="24"/>
              </w:rPr>
              <w:t xml:space="preserve"> </w:t>
            </w:r>
            <w:r w:rsidRPr="00150EDC">
              <w:rPr>
                <w:sz w:val="24"/>
              </w:rPr>
              <w:t>Supplier’s</w:t>
            </w:r>
            <w:r w:rsidRPr="00150EDC">
              <w:rPr>
                <w:spacing w:val="-5"/>
                <w:sz w:val="24"/>
              </w:rPr>
              <w:t xml:space="preserve"> </w:t>
            </w:r>
            <w:r w:rsidRPr="00150EDC">
              <w:rPr>
                <w:sz w:val="24"/>
              </w:rPr>
              <w:t>selection</w:t>
            </w:r>
            <w:r w:rsidRPr="00150EDC">
              <w:rPr>
                <w:spacing w:val="-5"/>
                <w:sz w:val="24"/>
              </w:rPr>
              <w:t xml:space="preserve"> </w:t>
            </w:r>
            <w:r w:rsidRPr="00150EDC">
              <w:rPr>
                <w:sz w:val="24"/>
              </w:rPr>
              <w:t>questionnaire</w:t>
            </w:r>
            <w:r w:rsidRPr="00150EDC">
              <w:rPr>
                <w:spacing w:val="-5"/>
                <w:sz w:val="24"/>
              </w:rPr>
              <w:t xml:space="preserve"> </w:t>
            </w:r>
            <w:r w:rsidRPr="00150EDC">
              <w:rPr>
                <w:spacing w:val="-2"/>
                <w:sz w:val="24"/>
              </w:rPr>
              <w:t>response;</w:t>
            </w:r>
          </w:p>
        </w:tc>
      </w:tr>
      <w:tr w:rsidR="007D3144" w:rsidRPr="007D3144" w14:paraId="4FCC8669" w14:textId="77777777">
        <w:trPr>
          <w:trHeight w:val="671"/>
        </w:trPr>
        <w:tc>
          <w:tcPr>
            <w:tcW w:w="2264" w:type="dxa"/>
          </w:tcPr>
          <w:p w14:paraId="2B289984" w14:textId="77777777" w:rsidR="004C7180" w:rsidRPr="00150EDC" w:rsidRDefault="00CF0754">
            <w:pPr>
              <w:pStyle w:val="TableParagraph"/>
              <w:spacing w:before="0" w:line="240" w:lineRule="auto"/>
              <w:ind w:left="-1" w:right="148"/>
              <w:rPr>
                <w:b/>
                <w:sz w:val="24"/>
              </w:rPr>
            </w:pPr>
            <w:r w:rsidRPr="00150EDC">
              <w:rPr>
                <w:b/>
                <w:sz w:val="24"/>
              </w:rPr>
              <w:t>"DPS</w:t>
            </w:r>
            <w:r w:rsidRPr="00150EDC">
              <w:rPr>
                <w:b/>
                <w:spacing w:val="-17"/>
                <w:sz w:val="24"/>
              </w:rPr>
              <w:t xml:space="preserve"> </w:t>
            </w:r>
            <w:r w:rsidRPr="00150EDC">
              <w:rPr>
                <w:b/>
                <w:sz w:val="24"/>
              </w:rPr>
              <w:t xml:space="preserve">Special </w:t>
            </w:r>
            <w:r w:rsidRPr="00150EDC">
              <w:rPr>
                <w:b/>
                <w:spacing w:val="-2"/>
                <w:sz w:val="24"/>
              </w:rPr>
              <w:t>Terms"</w:t>
            </w:r>
          </w:p>
        </w:tc>
        <w:tc>
          <w:tcPr>
            <w:tcW w:w="7484" w:type="dxa"/>
          </w:tcPr>
          <w:p w14:paraId="4F96306C" w14:textId="77777777" w:rsidR="004C7180" w:rsidRPr="00150EDC" w:rsidRDefault="00CF0754">
            <w:pPr>
              <w:pStyle w:val="TableParagraph"/>
              <w:tabs>
                <w:tab w:val="left" w:pos="874"/>
                <w:tab w:val="left" w:pos="2104"/>
                <w:tab w:val="left" w:pos="2908"/>
                <w:tab w:val="left" w:pos="3514"/>
                <w:tab w:val="left" w:pos="4799"/>
                <w:tab w:val="left" w:pos="5948"/>
                <w:tab w:val="left" w:pos="6339"/>
                <w:tab w:val="left" w:pos="6876"/>
              </w:tabs>
              <w:spacing w:before="0" w:line="240" w:lineRule="auto"/>
              <w:ind w:left="282" w:right="102"/>
              <w:rPr>
                <w:sz w:val="24"/>
              </w:rPr>
            </w:pPr>
            <w:r w:rsidRPr="00150EDC">
              <w:rPr>
                <w:spacing w:val="-4"/>
                <w:sz w:val="24"/>
              </w:rPr>
              <w:t>any</w:t>
            </w:r>
            <w:r w:rsidRPr="00150EDC">
              <w:rPr>
                <w:sz w:val="24"/>
              </w:rPr>
              <w:tab/>
            </w:r>
            <w:r w:rsidRPr="00150EDC">
              <w:rPr>
                <w:spacing w:val="-2"/>
                <w:sz w:val="24"/>
              </w:rPr>
              <w:t>additional</w:t>
            </w:r>
            <w:r w:rsidRPr="00150EDC">
              <w:rPr>
                <w:sz w:val="24"/>
              </w:rPr>
              <w:tab/>
            </w:r>
            <w:r w:rsidRPr="00150EDC">
              <w:rPr>
                <w:spacing w:val="-4"/>
                <w:sz w:val="24"/>
              </w:rPr>
              <w:t>terms</w:t>
            </w:r>
            <w:r w:rsidRPr="00150EDC">
              <w:rPr>
                <w:sz w:val="24"/>
              </w:rPr>
              <w:tab/>
            </w:r>
            <w:r w:rsidRPr="00150EDC">
              <w:rPr>
                <w:spacing w:val="-4"/>
                <w:sz w:val="24"/>
              </w:rPr>
              <w:t>and</w:t>
            </w:r>
            <w:r w:rsidRPr="00150EDC">
              <w:rPr>
                <w:sz w:val="24"/>
              </w:rPr>
              <w:tab/>
            </w:r>
            <w:r w:rsidRPr="00150EDC">
              <w:rPr>
                <w:spacing w:val="-2"/>
                <w:sz w:val="24"/>
              </w:rPr>
              <w:t>conditions</w:t>
            </w:r>
            <w:r w:rsidRPr="00150EDC">
              <w:rPr>
                <w:sz w:val="24"/>
              </w:rPr>
              <w:tab/>
            </w:r>
            <w:r w:rsidRPr="00150EDC">
              <w:rPr>
                <w:spacing w:val="-2"/>
                <w:sz w:val="24"/>
              </w:rPr>
              <w:t>specified</w:t>
            </w:r>
            <w:r w:rsidRPr="00150EDC">
              <w:rPr>
                <w:sz w:val="24"/>
              </w:rPr>
              <w:tab/>
            </w:r>
            <w:r w:rsidRPr="00150EDC">
              <w:rPr>
                <w:spacing w:val="-6"/>
                <w:sz w:val="24"/>
              </w:rPr>
              <w:t>in</w:t>
            </w:r>
            <w:r w:rsidRPr="00150EDC">
              <w:rPr>
                <w:sz w:val="24"/>
              </w:rPr>
              <w:tab/>
            </w:r>
            <w:r w:rsidRPr="00150EDC">
              <w:rPr>
                <w:spacing w:val="-4"/>
                <w:sz w:val="24"/>
              </w:rPr>
              <w:t>the</w:t>
            </w:r>
            <w:r w:rsidRPr="00150EDC">
              <w:rPr>
                <w:sz w:val="24"/>
              </w:rPr>
              <w:tab/>
            </w:r>
            <w:r w:rsidRPr="00150EDC">
              <w:rPr>
                <w:spacing w:val="-4"/>
                <w:sz w:val="24"/>
              </w:rPr>
              <w:t xml:space="preserve">DPS </w:t>
            </w:r>
            <w:r w:rsidRPr="00150EDC">
              <w:rPr>
                <w:sz w:val="24"/>
              </w:rPr>
              <w:t>Appointment Form incorporated into the DPS Contract;</w:t>
            </w:r>
          </w:p>
        </w:tc>
      </w:tr>
      <w:tr w:rsidR="007D3144" w:rsidRPr="007D3144" w14:paraId="1D7B3524" w14:textId="77777777">
        <w:trPr>
          <w:trHeight w:val="671"/>
        </w:trPr>
        <w:tc>
          <w:tcPr>
            <w:tcW w:w="2264" w:type="dxa"/>
          </w:tcPr>
          <w:p w14:paraId="744D488D" w14:textId="77777777" w:rsidR="004C7180" w:rsidRPr="00150EDC" w:rsidRDefault="00CF0754">
            <w:pPr>
              <w:pStyle w:val="TableParagraph"/>
              <w:spacing w:before="0" w:line="240" w:lineRule="auto"/>
              <w:ind w:left="-1"/>
              <w:rPr>
                <w:b/>
                <w:sz w:val="24"/>
              </w:rPr>
            </w:pPr>
            <w:r w:rsidRPr="00150EDC">
              <w:rPr>
                <w:b/>
                <w:sz w:val="24"/>
              </w:rPr>
              <w:t>"DPS</w:t>
            </w:r>
            <w:r w:rsidRPr="00150EDC">
              <w:rPr>
                <w:b/>
                <w:spacing w:val="-7"/>
                <w:sz w:val="24"/>
              </w:rPr>
              <w:t xml:space="preserve"> </w:t>
            </w:r>
            <w:r w:rsidRPr="00150EDC">
              <w:rPr>
                <w:b/>
                <w:sz w:val="24"/>
              </w:rPr>
              <w:t>Start</w:t>
            </w:r>
            <w:r w:rsidRPr="00150EDC">
              <w:rPr>
                <w:b/>
                <w:spacing w:val="-7"/>
                <w:sz w:val="24"/>
              </w:rPr>
              <w:t xml:space="preserve"> </w:t>
            </w:r>
            <w:r w:rsidRPr="00150EDC">
              <w:rPr>
                <w:b/>
                <w:spacing w:val="-4"/>
                <w:sz w:val="24"/>
              </w:rPr>
              <w:t>Date"</w:t>
            </w:r>
          </w:p>
        </w:tc>
        <w:tc>
          <w:tcPr>
            <w:tcW w:w="7484" w:type="dxa"/>
          </w:tcPr>
          <w:p w14:paraId="53E54454" w14:textId="77777777" w:rsidR="004C7180" w:rsidRPr="00150EDC" w:rsidRDefault="00CF0754">
            <w:pPr>
              <w:pStyle w:val="TableParagraph"/>
              <w:spacing w:before="0" w:line="240" w:lineRule="auto"/>
              <w:ind w:left="282"/>
              <w:rPr>
                <w:sz w:val="24"/>
              </w:rPr>
            </w:pPr>
            <w:r w:rsidRPr="00150EDC">
              <w:rPr>
                <w:sz w:val="24"/>
              </w:rPr>
              <w:t>the</w:t>
            </w:r>
            <w:r w:rsidRPr="00150EDC">
              <w:rPr>
                <w:spacing w:val="77"/>
                <w:sz w:val="24"/>
              </w:rPr>
              <w:t xml:space="preserve"> </w:t>
            </w:r>
            <w:r w:rsidRPr="00150EDC">
              <w:rPr>
                <w:sz w:val="24"/>
              </w:rPr>
              <w:t>date</w:t>
            </w:r>
            <w:r w:rsidRPr="00150EDC">
              <w:rPr>
                <w:spacing w:val="77"/>
                <w:sz w:val="24"/>
              </w:rPr>
              <w:t xml:space="preserve"> </w:t>
            </w:r>
            <w:r w:rsidRPr="00150EDC">
              <w:rPr>
                <w:sz w:val="24"/>
              </w:rPr>
              <w:t>of</w:t>
            </w:r>
            <w:r w:rsidRPr="00150EDC">
              <w:rPr>
                <w:spacing w:val="77"/>
                <w:sz w:val="24"/>
              </w:rPr>
              <w:t xml:space="preserve"> </w:t>
            </w:r>
            <w:r w:rsidRPr="00150EDC">
              <w:rPr>
                <w:sz w:val="24"/>
              </w:rPr>
              <w:t>start</w:t>
            </w:r>
            <w:r w:rsidRPr="00150EDC">
              <w:rPr>
                <w:spacing w:val="76"/>
                <w:sz w:val="24"/>
              </w:rPr>
              <w:t xml:space="preserve"> </w:t>
            </w:r>
            <w:r w:rsidRPr="00150EDC">
              <w:rPr>
                <w:sz w:val="24"/>
              </w:rPr>
              <w:t>of</w:t>
            </w:r>
            <w:r w:rsidRPr="00150EDC">
              <w:rPr>
                <w:spacing w:val="74"/>
                <w:sz w:val="24"/>
              </w:rPr>
              <w:t xml:space="preserve"> </w:t>
            </w:r>
            <w:r w:rsidRPr="00150EDC">
              <w:rPr>
                <w:sz w:val="24"/>
              </w:rPr>
              <w:t>the</w:t>
            </w:r>
            <w:r w:rsidRPr="00150EDC">
              <w:rPr>
                <w:spacing w:val="77"/>
                <w:sz w:val="24"/>
              </w:rPr>
              <w:t xml:space="preserve"> </w:t>
            </w:r>
            <w:r w:rsidRPr="00150EDC">
              <w:rPr>
                <w:sz w:val="24"/>
              </w:rPr>
              <w:t>DPS</w:t>
            </w:r>
            <w:r w:rsidRPr="00150EDC">
              <w:rPr>
                <w:spacing w:val="79"/>
                <w:sz w:val="24"/>
              </w:rPr>
              <w:t xml:space="preserve"> </w:t>
            </w:r>
            <w:r w:rsidRPr="00150EDC">
              <w:rPr>
                <w:sz w:val="24"/>
              </w:rPr>
              <w:t>Contract</w:t>
            </w:r>
            <w:r w:rsidRPr="00150EDC">
              <w:rPr>
                <w:spacing w:val="77"/>
                <w:sz w:val="24"/>
              </w:rPr>
              <w:t xml:space="preserve"> </w:t>
            </w:r>
            <w:r w:rsidRPr="00150EDC">
              <w:rPr>
                <w:sz w:val="24"/>
              </w:rPr>
              <w:t>as</w:t>
            </w:r>
            <w:r w:rsidRPr="00150EDC">
              <w:rPr>
                <w:spacing w:val="76"/>
                <w:sz w:val="24"/>
              </w:rPr>
              <w:t xml:space="preserve"> </w:t>
            </w:r>
            <w:r w:rsidRPr="00150EDC">
              <w:rPr>
                <w:sz w:val="24"/>
              </w:rPr>
              <w:t>stated</w:t>
            </w:r>
            <w:r w:rsidRPr="00150EDC">
              <w:rPr>
                <w:spacing w:val="77"/>
                <w:sz w:val="24"/>
              </w:rPr>
              <w:t xml:space="preserve"> </w:t>
            </w:r>
            <w:r w:rsidRPr="00150EDC">
              <w:rPr>
                <w:sz w:val="24"/>
              </w:rPr>
              <w:t>in</w:t>
            </w:r>
            <w:r w:rsidRPr="00150EDC">
              <w:rPr>
                <w:spacing w:val="77"/>
                <w:sz w:val="24"/>
              </w:rPr>
              <w:t xml:space="preserve"> </w:t>
            </w:r>
            <w:r w:rsidRPr="00150EDC">
              <w:rPr>
                <w:sz w:val="24"/>
              </w:rPr>
              <w:t>the</w:t>
            </w:r>
            <w:r w:rsidRPr="00150EDC">
              <w:rPr>
                <w:spacing w:val="77"/>
                <w:sz w:val="24"/>
              </w:rPr>
              <w:t xml:space="preserve"> </w:t>
            </w:r>
            <w:r w:rsidRPr="00150EDC">
              <w:rPr>
                <w:sz w:val="24"/>
              </w:rPr>
              <w:t>DPS Appointment Form;</w:t>
            </w:r>
          </w:p>
        </w:tc>
      </w:tr>
      <w:tr w:rsidR="007D3144" w:rsidRPr="007D3144" w14:paraId="3BC336CC" w14:textId="77777777">
        <w:trPr>
          <w:trHeight w:val="674"/>
        </w:trPr>
        <w:tc>
          <w:tcPr>
            <w:tcW w:w="2264" w:type="dxa"/>
          </w:tcPr>
          <w:p w14:paraId="1AB26BC4" w14:textId="77777777" w:rsidR="004C7180" w:rsidRPr="00150EDC" w:rsidRDefault="00CF0754">
            <w:pPr>
              <w:pStyle w:val="TableParagraph"/>
              <w:spacing w:before="2" w:line="240" w:lineRule="auto"/>
              <w:ind w:left="-1"/>
              <w:rPr>
                <w:b/>
                <w:sz w:val="24"/>
              </w:rPr>
            </w:pPr>
            <w:r w:rsidRPr="00150EDC">
              <w:rPr>
                <w:b/>
                <w:sz w:val="24"/>
              </w:rPr>
              <w:t>"Due</w:t>
            </w:r>
            <w:r w:rsidRPr="00150EDC">
              <w:rPr>
                <w:b/>
                <w:spacing w:val="-17"/>
                <w:sz w:val="24"/>
              </w:rPr>
              <w:t xml:space="preserve"> </w:t>
            </w:r>
            <w:r w:rsidRPr="00150EDC">
              <w:rPr>
                <w:b/>
                <w:sz w:val="24"/>
              </w:rPr>
              <w:t xml:space="preserve">Diligence </w:t>
            </w:r>
            <w:r w:rsidRPr="00150EDC">
              <w:rPr>
                <w:b/>
                <w:spacing w:val="-2"/>
                <w:sz w:val="24"/>
              </w:rPr>
              <w:t>Information"</w:t>
            </w:r>
          </w:p>
        </w:tc>
        <w:tc>
          <w:tcPr>
            <w:tcW w:w="7484" w:type="dxa"/>
          </w:tcPr>
          <w:p w14:paraId="49DCEED5" w14:textId="77777777" w:rsidR="004C7180" w:rsidRPr="00150EDC" w:rsidRDefault="00CF0754">
            <w:pPr>
              <w:pStyle w:val="TableParagraph"/>
              <w:spacing w:before="2" w:line="240" w:lineRule="auto"/>
              <w:ind w:left="282"/>
              <w:rPr>
                <w:sz w:val="24"/>
              </w:rPr>
            </w:pPr>
            <w:r w:rsidRPr="00150EDC">
              <w:rPr>
                <w:sz w:val="24"/>
              </w:rPr>
              <w:t>any</w:t>
            </w:r>
            <w:r w:rsidRPr="00150EDC">
              <w:rPr>
                <w:spacing w:val="40"/>
                <w:sz w:val="24"/>
              </w:rPr>
              <w:t xml:space="preserve"> </w:t>
            </w:r>
            <w:r w:rsidRPr="00150EDC">
              <w:rPr>
                <w:sz w:val="24"/>
              </w:rPr>
              <w:t>information</w:t>
            </w:r>
            <w:r w:rsidRPr="00150EDC">
              <w:rPr>
                <w:spacing w:val="40"/>
                <w:sz w:val="24"/>
              </w:rPr>
              <w:t xml:space="preserve"> </w:t>
            </w:r>
            <w:r w:rsidRPr="00150EDC">
              <w:rPr>
                <w:sz w:val="24"/>
              </w:rPr>
              <w:t>supplied</w:t>
            </w:r>
            <w:r w:rsidRPr="00150EDC">
              <w:rPr>
                <w:spacing w:val="40"/>
                <w:sz w:val="24"/>
              </w:rPr>
              <w:t xml:space="preserve"> </w:t>
            </w:r>
            <w:r w:rsidRPr="00150EDC">
              <w:rPr>
                <w:sz w:val="24"/>
              </w:rPr>
              <w:t>to</w:t>
            </w:r>
            <w:r w:rsidRPr="00150EDC">
              <w:rPr>
                <w:spacing w:val="40"/>
                <w:sz w:val="24"/>
              </w:rPr>
              <w:t xml:space="preserve"> </w:t>
            </w:r>
            <w:r w:rsidRPr="00150EDC">
              <w:rPr>
                <w:sz w:val="24"/>
              </w:rPr>
              <w:t>the</w:t>
            </w:r>
            <w:r w:rsidRPr="00150EDC">
              <w:rPr>
                <w:spacing w:val="40"/>
                <w:sz w:val="24"/>
              </w:rPr>
              <w:t xml:space="preserve"> </w:t>
            </w:r>
            <w:r w:rsidRPr="00150EDC">
              <w:rPr>
                <w:sz w:val="24"/>
              </w:rPr>
              <w:t>Supplier</w:t>
            </w:r>
            <w:r w:rsidRPr="00150EDC">
              <w:rPr>
                <w:spacing w:val="40"/>
                <w:sz w:val="24"/>
              </w:rPr>
              <w:t xml:space="preserve"> </w:t>
            </w:r>
            <w:r w:rsidRPr="00150EDC">
              <w:rPr>
                <w:sz w:val="24"/>
              </w:rPr>
              <w:t>by</w:t>
            </w:r>
            <w:r w:rsidRPr="00150EDC">
              <w:rPr>
                <w:spacing w:val="40"/>
                <w:sz w:val="24"/>
              </w:rPr>
              <w:t xml:space="preserve"> </w:t>
            </w:r>
            <w:r w:rsidRPr="00150EDC">
              <w:rPr>
                <w:sz w:val="24"/>
              </w:rPr>
              <w:t>or</w:t>
            </w:r>
            <w:r w:rsidRPr="00150EDC">
              <w:rPr>
                <w:spacing w:val="40"/>
                <w:sz w:val="24"/>
              </w:rPr>
              <w:t xml:space="preserve"> </w:t>
            </w:r>
            <w:r w:rsidRPr="00150EDC">
              <w:rPr>
                <w:sz w:val="24"/>
              </w:rPr>
              <w:t>on</w:t>
            </w:r>
            <w:r w:rsidRPr="00150EDC">
              <w:rPr>
                <w:spacing w:val="40"/>
                <w:sz w:val="24"/>
              </w:rPr>
              <w:t xml:space="preserve"> </w:t>
            </w:r>
            <w:r w:rsidRPr="00150EDC">
              <w:rPr>
                <w:sz w:val="24"/>
              </w:rPr>
              <w:t>behalf</w:t>
            </w:r>
            <w:r w:rsidRPr="00150EDC">
              <w:rPr>
                <w:spacing w:val="40"/>
                <w:sz w:val="24"/>
              </w:rPr>
              <w:t xml:space="preserve"> </w:t>
            </w:r>
            <w:r w:rsidRPr="00150EDC">
              <w:rPr>
                <w:sz w:val="24"/>
              </w:rPr>
              <w:t>of</w:t>
            </w:r>
            <w:r w:rsidRPr="00150EDC">
              <w:rPr>
                <w:spacing w:val="40"/>
                <w:sz w:val="24"/>
              </w:rPr>
              <w:t xml:space="preserve"> </w:t>
            </w:r>
            <w:r w:rsidRPr="00150EDC">
              <w:rPr>
                <w:sz w:val="24"/>
              </w:rPr>
              <w:t>the Authority prior to the Start Date;</w:t>
            </w:r>
          </w:p>
        </w:tc>
      </w:tr>
      <w:tr w:rsidR="007D3144" w:rsidRPr="007D3144" w14:paraId="33D2A7BB" w14:textId="77777777">
        <w:trPr>
          <w:trHeight w:val="395"/>
        </w:trPr>
        <w:tc>
          <w:tcPr>
            <w:tcW w:w="2264" w:type="dxa"/>
          </w:tcPr>
          <w:p w14:paraId="4B1A0CA5" w14:textId="77777777" w:rsidR="004C7180" w:rsidRPr="00150EDC" w:rsidRDefault="00CF0754">
            <w:pPr>
              <w:pStyle w:val="TableParagraph"/>
              <w:spacing w:before="0" w:line="240" w:lineRule="auto"/>
              <w:ind w:left="-1"/>
              <w:rPr>
                <w:b/>
                <w:sz w:val="24"/>
              </w:rPr>
            </w:pPr>
            <w:r w:rsidRPr="00150EDC">
              <w:rPr>
                <w:b/>
                <w:sz w:val="24"/>
              </w:rPr>
              <w:t>“Effective</w:t>
            </w:r>
            <w:r w:rsidRPr="00150EDC">
              <w:rPr>
                <w:b/>
                <w:spacing w:val="-6"/>
                <w:sz w:val="24"/>
              </w:rPr>
              <w:t xml:space="preserve"> </w:t>
            </w:r>
            <w:r w:rsidRPr="00150EDC">
              <w:rPr>
                <w:b/>
                <w:spacing w:val="-4"/>
                <w:sz w:val="24"/>
              </w:rPr>
              <w:t>Date”</w:t>
            </w:r>
          </w:p>
        </w:tc>
        <w:tc>
          <w:tcPr>
            <w:tcW w:w="7484" w:type="dxa"/>
          </w:tcPr>
          <w:p w14:paraId="4163FC4B" w14:textId="77777777" w:rsidR="004C7180" w:rsidRPr="00150EDC" w:rsidRDefault="00CF0754">
            <w:pPr>
              <w:pStyle w:val="TableParagraph"/>
              <w:spacing w:before="0" w:line="240" w:lineRule="auto"/>
              <w:ind w:left="282"/>
              <w:rPr>
                <w:sz w:val="24"/>
              </w:rPr>
            </w:pPr>
            <w:r w:rsidRPr="00150EDC">
              <w:rPr>
                <w:sz w:val="24"/>
              </w:rPr>
              <w:t>the</w:t>
            </w:r>
            <w:r w:rsidRPr="00150EDC">
              <w:rPr>
                <w:spacing w:val="-4"/>
                <w:sz w:val="24"/>
              </w:rPr>
              <w:t xml:space="preserve"> </w:t>
            </w:r>
            <w:r w:rsidRPr="00150EDC">
              <w:rPr>
                <w:sz w:val="24"/>
              </w:rPr>
              <w:t>date</w:t>
            </w:r>
            <w:r w:rsidRPr="00150EDC">
              <w:rPr>
                <w:spacing w:val="-2"/>
                <w:sz w:val="24"/>
              </w:rPr>
              <w:t xml:space="preserve"> </w:t>
            </w:r>
            <w:r w:rsidRPr="00150EDC">
              <w:rPr>
                <w:sz w:val="24"/>
              </w:rPr>
              <w:t>on</w:t>
            </w:r>
            <w:r w:rsidRPr="00150EDC">
              <w:rPr>
                <w:spacing w:val="-2"/>
                <w:sz w:val="24"/>
              </w:rPr>
              <w:t xml:space="preserve"> </w:t>
            </w:r>
            <w:r w:rsidRPr="00150EDC">
              <w:rPr>
                <w:sz w:val="24"/>
              </w:rPr>
              <w:t>which</w:t>
            </w:r>
            <w:r w:rsidRPr="00150EDC">
              <w:rPr>
                <w:spacing w:val="-2"/>
                <w:sz w:val="24"/>
              </w:rPr>
              <w:t xml:space="preserve"> </w:t>
            </w:r>
            <w:r w:rsidRPr="00150EDC">
              <w:rPr>
                <w:sz w:val="24"/>
              </w:rPr>
              <w:t>the</w:t>
            </w:r>
            <w:r w:rsidRPr="00150EDC">
              <w:rPr>
                <w:spacing w:val="-4"/>
                <w:sz w:val="24"/>
              </w:rPr>
              <w:t xml:space="preserve"> </w:t>
            </w:r>
            <w:r w:rsidRPr="00150EDC">
              <w:rPr>
                <w:sz w:val="24"/>
              </w:rPr>
              <w:t>final</w:t>
            </w:r>
            <w:r w:rsidRPr="00150EDC">
              <w:rPr>
                <w:spacing w:val="-2"/>
                <w:sz w:val="24"/>
              </w:rPr>
              <w:t xml:space="preserve"> </w:t>
            </w:r>
            <w:r w:rsidRPr="00150EDC">
              <w:rPr>
                <w:sz w:val="24"/>
              </w:rPr>
              <w:t>Party</w:t>
            </w:r>
            <w:r w:rsidRPr="00150EDC">
              <w:rPr>
                <w:spacing w:val="-5"/>
                <w:sz w:val="24"/>
              </w:rPr>
              <w:t xml:space="preserve"> </w:t>
            </w:r>
            <w:r w:rsidRPr="00150EDC">
              <w:rPr>
                <w:sz w:val="24"/>
              </w:rPr>
              <w:t>has</w:t>
            </w:r>
            <w:r w:rsidRPr="00150EDC">
              <w:rPr>
                <w:spacing w:val="-2"/>
                <w:sz w:val="24"/>
              </w:rPr>
              <w:t xml:space="preserve"> </w:t>
            </w:r>
            <w:r w:rsidRPr="00150EDC">
              <w:rPr>
                <w:sz w:val="24"/>
              </w:rPr>
              <w:t>signed</w:t>
            </w:r>
            <w:r w:rsidRPr="00150EDC">
              <w:rPr>
                <w:spacing w:val="-2"/>
                <w:sz w:val="24"/>
              </w:rPr>
              <w:t xml:space="preserve"> </w:t>
            </w:r>
            <w:r w:rsidRPr="00150EDC">
              <w:rPr>
                <w:sz w:val="24"/>
              </w:rPr>
              <w:t>the</w:t>
            </w:r>
            <w:r w:rsidRPr="00150EDC">
              <w:rPr>
                <w:spacing w:val="-1"/>
                <w:sz w:val="24"/>
              </w:rPr>
              <w:t xml:space="preserve"> </w:t>
            </w:r>
            <w:r w:rsidRPr="00150EDC">
              <w:rPr>
                <w:spacing w:val="-2"/>
                <w:sz w:val="24"/>
              </w:rPr>
              <w:t>Contract;</w:t>
            </w:r>
          </w:p>
        </w:tc>
      </w:tr>
      <w:tr w:rsidR="007D3144" w:rsidRPr="007D3144" w14:paraId="2851079A" w14:textId="77777777">
        <w:trPr>
          <w:trHeight w:val="395"/>
        </w:trPr>
        <w:tc>
          <w:tcPr>
            <w:tcW w:w="2264" w:type="dxa"/>
          </w:tcPr>
          <w:p w14:paraId="33798CA6" w14:textId="77777777" w:rsidR="004C7180" w:rsidRPr="00150EDC" w:rsidRDefault="00CF0754">
            <w:pPr>
              <w:pStyle w:val="TableParagraph"/>
              <w:spacing w:before="0" w:line="240" w:lineRule="auto"/>
              <w:ind w:left="-1"/>
              <w:rPr>
                <w:b/>
                <w:sz w:val="24"/>
              </w:rPr>
            </w:pPr>
            <w:r w:rsidRPr="00150EDC">
              <w:rPr>
                <w:b/>
                <w:spacing w:val="-2"/>
                <w:sz w:val="24"/>
              </w:rPr>
              <w:t>"EIR"</w:t>
            </w:r>
          </w:p>
        </w:tc>
        <w:tc>
          <w:tcPr>
            <w:tcW w:w="7484" w:type="dxa"/>
          </w:tcPr>
          <w:p w14:paraId="59157C5E" w14:textId="77777777" w:rsidR="004C7180" w:rsidRPr="00150EDC" w:rsidRDefault="00CF0754">
            <w:pPr>
              <w:pStyle w:val="TableParagraph"/>
              <w:spacing w:before="0" w:line="240" w:lineRule="auto"/>
              <w:ind w:left="107"/>
              <w:rPr>
                <w:sz w:val="24"/>
              </w:rPr>
            </w:pPr>
            <w:r w:rsidRPr="00150EDC">
              <w:rPr>
                <w:sz w:val="24"/>
              </w:rPr>
              <w:t>the</w:t>
            </w:r>
            <w:r w:rsidRPr="00150EDC">
              <w:rPr>
                <w:spacing w:val="-7"/>
                <w:sz w:val="24"/>
              </w:rPr>
              <w:t xml:space="preserve"> </w:t>
            </w:r>
            <w:r w:rsidRPr="00150EDC">
              <w:rPr>
                <w:sz w:val="24"/>
              </w:rPr>
              <w:t>Environmental</w:t>
            </w:r>
            <w:r w:rsidRPr="00150EDC">
              <w:rPr>
                <w:spacing w:val="-6"/>
                <w:sz w:val="24"/>
              </w:rPr>
              <w:t xml:space="preserve"> </w:t>
            </w:r>
            <w:r w:rsidRPr="00150EDC">
              <w:rPr>
                <w:sz w:val="24"/>
              </w:rPr>
              <w:t>Information</w:t>
            </w:r>
            <w:r w:rsidRPr="00150EDC">
              <w:rPr>
                <w:spacing w:val="-6"/>
                <w:sz w:val="24"/>
              </w:rPr>
              <w:t xml:space="preserve"> </w:t>
            </w:r>
            <w:r w:rsidRPr="00150EDC">
              <w:rPr>
                <w:sz w:val="24"/>
              </w:rPr>
              <w:t>Regulations</w:t>
            </w:r>
            <w:r w:rsidRPr="00150EDC">
              <w:rPr>
                <w:spacing w:val="-6"/>
                <w:sz w:val="24"/>
              </w:rPr>
              <w:t xml:space="preserve"> </w:t>
            </w:r>
            <w:r w:rsidRPr="00150EDC">
              <w:rPr>
                <w:spacing w:val="-2"/>
                <w:sz w:val="24"/>
              </w:rPr>
              <w:t>2004;</w:t>
            </w:r>
          </w:p>
        </w:tc>
      </w:tr>
      <w:tr w:rsidR="007D3144" w:rsidRPr="007D3144" w14:paraId="715B5EF8" w14:textId="77777777">
        <w:trPr>
          <w:trHeight w:val="1499"/>
        </w:trPr>
        <w:tc>
          <w:tcPr>
            <w:tcW w:w="2264" w:type="dxa"/>
          </w:tcPr>
          <w:p w14:paraId="479D7689" w14:textId="77777777" w:rsidR="004C7180" w:rsidRPr="00150EDC" w:rsidRDefault="00CF0754">
            <w:pPr>
              <w:pStyle w:val="TableParagraph"/>
              <w:spacing w:before="0" w:line="240" w:lineRule="auto"/>
              <w:ind w:left="-1" w:right="298"/>
              <w:rPr>
                <w:b/>
                <w:sz w:val="24"/>
              </w:rPr>
            </w:pPr>
            <w:r w:rsidRPr="00150EDC">
              <w:rPr>
                <w:b/>
                <w:spacing w:val="-2"/>
                <w:sz w:val="24"/>
              </w:rPr>
              <w:t>“Electronic Invoice”</w:t>
            </w:r>
          </w:p>
        </w:tc>
        <w:tc>
          <w:tcPr>
            <w:tcW w:w="7484" w:type="dxa"/>
          </w:tcPr>
          <w:p w14:paraId="7ED94C91" w14:textId="77777777" w:rsidR="004C7180" w:rsidRPr="00150EDC" w:rsidRDefault="00CF0754">
            <w:pPr>
              <w:pStyle w:val="TableParagraph"/>
              <w:spacing w:before="0" w:line="240" w:lineRule="auto"/>
              <w:ind w:left="107" w:right="97"/>
              <w:jc w:val="both"/>
              <w:rPr>
                <w:sz w:val="24"/>
              </w:rPr>
            </w:pPr>
            <w:r w:rsidRPr="00150EDC">
              <w:rPr>
                <w:sz w:val="24"/>
              </w:rPr>
              <w:t>an invoice which has been issued, transmitted and received in a structured electronic format which allows for its automatic and electronic processing and which complies with (a) the European standard and (b) any of the syntaxes published in Commission Implementing Decision (EU) 2017/1870;</w:t>
            </w:r>
          </w:p>
        </w:tc>
      </w:tr>
      <w:tr w:rsidR="007D3144" w:rsidRPr="007D3144" w14:paraId="62C3D5A7" w14:textId="77777777">
        <w:trPr>
          <w:trHeight w:val="947"/>
        </w:trPr>
        <w:tc>
          <w:tcPr>
            <w:tcW w:w="2264" w:type="dxa"/>
          </w:tcPr>
          <w:p w14:paraId="59573984" w14:textId="77777777" w:rsidR="004C7180" w:rsidRPr="00150EDC" w:rsidRDefault="00CF0754">
            <w:pPr>
              <w:pStyle w:val="TableParagraph"/>
              <w:spacing w:before="0" w:line="240" w:lineRule="auto"/>
              <w:ind w:left="-1" w:right="148"/>
              <w:rPr>
                <w:b/>
                <w:sz w:val="24"/>
              </w:rPr>
            </w:pPr>
            <w:r w:rsidRPr="00150EDC">
              <w:rPr>
                <w:b/>
                <w:spacing w:val="-2"/>
                <w:sz w:val="24"/>
              </w:rPr>
              <w:t>"Employment Regulations"</w:t>
            </w:r>
          </w:p>
        </w:tc>
        <w:tc>
          <w:tcPr>
            <w:tcW w:w="7484" w:type="dxa"/>
          </w:tcPr>
          <w:p w14:paraId="02466CAD" w14:textId="77777777" w:rsidR="004C7180" w:rsidRPr="00150EDC" w:rsidRDefault="00CF0754">
            <w:pPr>
              <w:pStyle w:val="TableParagraph"/>
              <w:spacing w:before="0" w:line="240" w:lineRule="auto"/>
              <w:ind w:left="107" w:right="92"/>
              <w:jc w:val="both"/>
              <w:rPr>
                <w:sz w:val="24"/>
              </w:rPr>
            </w:pPr>
            <w:r w:rsidRPr="00150EDC">
              <w:rPr>
                <w:sz w:val="24"/>
              </w:rPr>
              <w:t>the</w:t>
            </w:r>
            <w:r w:rsidRPr="00150EDC">
              <w:rPr>
                <w:spacing w:val="-17"/>
                <w:sz w:val="24"/>
              </w:rPr>
              <w:t xml:space="preserve"> </w:t>
            </w:r>
            <w:r w:rsidRPr="00150EDC">
              <w:rPr>
                <w:sz w:val="24"/>
              </w:rPr>
              <w:t>Transfer</w:t>
            </w:r>
            <w:r w:rsidRPr="00150EDC">
              <w:rPr>
                <w:spacing w:val="-17"/>
                <w:sz w:val="24"/>
              </w:rPr>
              <w:t xml:space="preserve"> </w:t>
            </w:r>
            <w:r w:rsidRPr="00150EDC">
              <w:rPr>
                <w:sz w:val="24"/>
              </w:rPr>
              <w:t>of</w:t>
            </w:r>
            <w:r w:rsidRPr="00150EDC">
              <w:rPr>
                <w:spacing w:val="-16"/>
                <w:sz w:val="24"/>
              </w:rPr>
              <w:t xml:space="preserve"> </w:t>
            </w:r>
            <w:r w:rsidRPr="00150EDC">
              <w:rPr>
                <w:sz w:val="24"/>
              </w:rPr>
              <w:t>Undertakings</w:t>
            </w:r>
            <w:r w:rsidRPr="00150EDC">
              <w:rPr>
                <w:spacing w:val="-17"/>
                <w:sz w:val="24"/>
              </w:rPr>
              <w:t xml:space="preserve"> </w:t>
            </w:r>
            <w:r w:rsidRPr="00150EDC">
              <w:rPr>
                <w:sz w:val="24"/>
              </w:rPr>
              <w:t>(Protection</w:t>
            </w:r>
            <w:r w:rsidRPr="00150EDC">
              <w:rPr>
                <w:spacing w:val="-17"/>
                <w:sz w:val="24"/>
              </w:rPr>
              <w:t xml:space="preserve"> </w:t>
            </w:r>
            <w:r w:rsidRPr="00150EDC">
              <w:rPr>
                <w:sz w:val="24"/>
              </w:rPr>
              <w:t>of</w:t>
            </w:r>
            <w:r w:rsidRPr="00150EDC">
              <w:rPr>
                <w:spacing w:val="-16"/>
                <w:sz w:val="24"/>
              </w:rPr>
              <w:t xml:space="preserve"> </w:t>
            </w:r>
            <w:r w:rsidRPr="00150EDC">
              <w:rPr>
                <w:sz w:val="24"/>
              </w:rPr>
              <w:t>Employment)</w:t>
            </w:r>
            <w:r w:rsidRPr="00150EDC">
              <w:rPr>
                <w:spacing w:val="-16"/>
                <w:sz w:val="24"/>
              </w:rPr>
              <w:t xml:space="preserve"> </w:t>
            </w:r>
            <w:r w:rsidRPr="00150EDC">
              <w:rPr>
                <w:sz w:val="24"/>
              </w:rPr>
              <w:t>Regulations 2006</w:t>
            </w:r>
            <w:r w:rsidRPr="00150EDC">
              <w:rPr>
                <w:spacing w:val="-14"/>
                <w:sz w:val="24"/>
              </w:rPr>
              <w:t xml:space="preserve"> </w:t>
            </w:r>
            <w:r w:rsidRPr="00150EDC">
              <w:rPr>
                <w:sz w:val="24"/>
              </w:rPr>
              <w:t>(SI</w:t>
            </w:r>
            <w:r w:rsidRPr="00150EDC">
              <w:rPr>
                <w:spacing w:val="-16"/>
                <w:sz w:val="24"/>
              </w:rPr>
              <w:t xml:space="preserve"> </w:t>
            </w:r>
            <w:r w:rsidRPr="00150EDC">
              <w:rPr>
                <w:sz w:val="24"/>
              </w:rPr>
              <w:t>2006/246)</w:t>
            </w:r>
            <w:r w:rsidRPr="00150EDC">
              <w:rPr>
                <w:spacing w:val="-17"/>
                <w:sz w:val="24"/>
              </w:rPr>
              <w:t xml:space="preserve"> </w:t>
            </w:r>
            <w:r w:rsidRPr="00150EDC">
              <w:rPr>
                <w:sz w:val="24"/>
              </w:rPr>
              <w:t>as</w:t>
            </w:r>
            <w:r w:rsidRPr="00150EDC">
              <w:rPr>
                <w:spacing w:val="-17"/>
                <w:sz w:val="24"/>
              </w:rPr>
              <w:t xml:space="preserve"> </w:t>
            </w:r>
            <w:r w:rsidRPr="00150EDC">
              <w:rPr>
                <w:sz w:val="24"/>
              </w:rPr>
              <w:t>amended</w:t>
            </w:r>
            <w:r w:rsidRPr="00150EDC">
              <w:rPr>
                <w:spacing w:val="-16"/>
                <w:sz w:val="24"/>
              </w:rPr>
              <w:t xml:space="preserve"> </w:t>
            </w:r>
            <w:r w:rsidRPr="00150EDC">
              <w:rPr>
                <w:sz w:val="24"/>
              </w:rPr>
              <w:t>or</w:t>
            </w:r>
            <w:r w:rsidRPr="00150EDC">
              <w:rPr>
                <w:spacing w:val="-16"/>
                <w:sz w:val="24"/>
              </w:rPr>
              <w:t xml:space="preserve"> </w:t>
            </w:r>
            <w:r w:rsidRPr="00150EDC">
              <w:rPr>
                <w:sz w:val="24"/>
              </w:rPr>
              <w:t>replaced</w:t>
            </w:r>
            <w:r w:rsidRPr="00150EDC">
              <w:rPr>
                <w:spacing w:val="-16"/>
                <w:sz w:val="24"/>
              </w:rPr>
              <w:t xml:space="preserve"> </w:t>
            </w:r>
            <w:r w:rsidRPr="00150EDC">
              <w:rPr>
                <w:sz w:val="24"/>
              </w:rPr>
              <w:t>or</w:t>
            </w:r>
            <w:r w:rsidRPr="00150EDC">
              <w:rPr>
                <w:spacing w:val="-16"/>
                <w:sz w:val="24"/>
              </w:rPr>
              <w:t xml:space="preserve"> </w:t>
            </w:r>
            <w:r w:rsidRPr="00150EDC">
              <w:rPr>
                <w:sz w:val="24"/>
              </w:rPr>
              <w:t>any</w:t>
            </w:r>
            <w:r w:rsidRPr="00150EDC">
              <w:rPr>
                <w:spacing w:val="-17"/>
                <w:sz w:val="24"/>
              </w:rPr>
              <w:t xml:space="preserve"> </w:t>
            </w:r>
            <w:r w:rsidRPr="00150EDC">
              <w:rPr>
                <w:sz w:val="24"/>
              </w:rPr>
              <w:t>other</w:t>
            </w:r>
            <w:r w:rsidRPr="00150EDC">
              <w:rPr>
                <w:spacing w:val="-16"/>
                <w:sz w:val="24"/>
              </w:rPr>
              <w:t xml:space="preserve"> </w:t>
            </w:r>
            <w:r w:rsidRPr="00150EDC">
              <w:rPr>
                <w:sz w:val="24"/>
              </w:rPr>
              <w:t>Regulations implementing the European Council Directive 77/187/EEC;</w:t>
            </w:r>
          </w:p>
        </w:tc>
      </w:tr>
      <w:tr w:rsidR="007D3144" w:rsidRPr="007D3144" w14:paraId="3EDCCD6C" w14:textId="77777777">
        <w:trPr>
          <w:trHeight w:val="1740"/>
        </w:trPr>
        <w:tc>
          <w:tcPr>
            <w:tcW w:w="2264" w:type="dxa"/>
          </w:tcPr>
          <w:p w14:paraId="0DE85957" w14:textId="77777777" w:rsidR="004C7180" w:rsidRPr="00150EDC" w:rsidRDefault="00CF0754">
            <w:pPr>
              <w:pStyle w:val="TableParagraph"/>
              <w:spacing w:before="1" w:line="240" w:lineRule="auto"/>
              <w:ind w:left="-1"/>
              <w:rPr>
                <w:b/>
                <w:sz w:val="24"/>
              </w:rPr>
            </w:pPr>
            <w:r w:rsidRPr="00150EDC">
              <w:rPr>
                <w:b/>
                <w:sz w:val="24"/>
              </w:rPr>
              <w:t>"End</w:t>
            </w:r>
            <w:r w:rsidRPr="00150EDC">
              <w:rPr>
                <w:b/>
                <w:spacing w:val="-3"/>
                <w:sz w:val="24"/>
              </w:rPr>
              <w:t xml:space="preserve"> </w:t>
            </w:r>
            <w:r w:rsidRPr="00150EDC">
              <w:rPr>
                <w:b/>
                <w:spacing w:val="-2"/>
                <w:sz w:val="24"/>
              </w:rPr>
              <w:t>Date"</w:t>
            </w:r>
          </w:p>
        </w:tc>
        <w:tc>
          <w:tcPr>
            <w:tcW w:w="7484" w:type="dxa"/>
          </w:tcPr>
          <w:p w14:paraId="25B817C7" w14:textId="77777777" w:rsidR="004C7180" w:rsidRPr="00150EDC" w:rsidRDefault="00CF0754">
            <w:pPr>
              <w:pStyle w:val="TableParagraph"/>
              <w:spacing w:before="1" w:line="240" w:lineRule="auto"/>
              <w:ind w:left="249"/>
              <w:rPr>
                <w:sz w:val="24"/>
              </w:rPr>
            </w:pPr>
            <w:r w:rsidRPr="00150EDC">
              <w:rPr>
                <w:sz w:val="24"/>
              </w:rPr>
              <w:t>the</w:t>
            </w:r>
            <w:r w:rsidRPr="00150EDC">
              <w:rPr>
                <w:spacing w:val="-4"/>
                <w:sz w:val="24"/>
              </w:rPr>
              <w:t xml:space="preserve"> </w:t>
            </w:r>
            <w:r w:rsidRPr="00150EDC">
              <w:rPr>
                <w:sz w:val="24"/>
              </w:rPr>
              <w:t>earlier</w:t>
            </w:r>
            <w:r w:rsidRPr="00150EDC">
              <w:rPr>
                <w:spacing w:val="-1"/>
                <w:sz w:val="24"/>
              </w:rPr>
              <w:t xml:space="preserve"> </w:t>
            </w:r>
            <w:r w:rsidRPr="00150EDC">
              <w:rPr>
                <w:spacing w:val="-5"/>
                <w:sz w:val="24"/>
              </w:rPr>
              <w:t>of:</w:t>
            </w:r>
          </w:p>
          <w:p w14:paraId="2274F779" w14:textId="77777777" w:rsidR="004C7180" w:rsidRPr="00150EDC" w:rsidRDefault="00CF0754" w:rsidP="00B320C7">
            <w:pPr>
              <w:pStyle w:val="TableParagraph"/>
              <w:numPr>
                <w:ilvl w:val="0"/>
                <w:numId w:val="127"/>
              </w:numPr>
              <w:tabs>
                <w:tab w:val="left" w:pos="537"/>
                <w:tab w:val="left" w:pos="539"/>
              </w:tabs>
              <w:spacing w:before="120" w:line="240" w:lineRule="auto"/>
              <w:ind w:right="99"/>
              <w:rPr>
                <w:sz w:val="24"/>
              </w:rPr>
            </w:pPr>
            <w:r w:rsidRPr="00150EDC">
              <w:rPr>
                <w:sz w:val="24"/>
              </w:rPr>
              <w:t>the</w:t>
            </w:r>
            <w:r w:rsidRPr="00150EDC">
              <w:rPr>
                <w:spacing w:val="-7"/>
                <w:sz w:val="24"/>
              </w:rPr>
              <w:t xml:space="preserve"> </w:t>
            </w:r>
            <w:r w:rsidRPr="00150EDC">
              <w:rPr>
                <w:sz w:val="24"/>
              </w:rPr>
              <w:t>Expiry</w:t>
            </w:r>
            <w:r w:rsidRPr="00150EDC">
              <w:rPr>
                <w:spacing w:val="-5"/>
                <w:sz w:val="24"/>
              </w:rPr>
              <w:t xml:space="preserve"> </w:t>
            </w:r>
            <w:r w:rsidRPr="00150EDC">
              <w:rPr>
                <w:sz w:val="24"/>
              </w:rPr>
              <w:t>Date</w:t>
            </w:r>
            <w:r w:rsidRPr="00150EDC">
              <w:rPr>
                <w:spacing w:val="-5"/>
                <w:sz w:val="24"/>
              </w:rPr>
              <w:t xml:space="preserve"> </w:t>
            </w:r>
            <w:r w:rsidRPr="00150EDC">
              <w:rPr>
                <w:sz w:val="24"/>
              </w:rPr>
              <w:t>(as</w:t>
            </w:r>
            <w:r w:rsidRPr="00150EDC">
              <w:rPr>
                <w:spacing w:val="-6"/>
                <w:sz w:val="24"/>
              </w:rPr>
              <w:t xml:space="preserve"> </w:t>
            </w:r>
            <w:r w:rsidRPr="00150EDC">
              <w:rPr>
                <w:sz w:val="24"/>
              </w:rPr>
              <w:t>extended</w:t>
            </w:r>
            <w:r w:rsidRPr="00150EDC">
              <w:rPr>
                <w:spacing w:val="-6"/>
                <w:sz w:val="24"/>
              </w:rPr>
              <w:t xml:space="preserve"> </w:t>
            </w:r>
            <w:r w:rsidRPr="00150EDC">
              <w:rPr>
                <w:sz w:val="24"/>
              </w:rPr>
              <w:t>by</w:t>
            </w:r>
            <w:r w:rsidRPr="00150EDC">
              <w:rPr>
                <w:spacing w:val="-6"/>
                <w:sz w:val="24"/>
              </w:rPr>
              <w:t xml:space="preserve"> </w:t>
            </w:r>
            <w:r w:rsidRPr="00150EDC">
              <w:rPr>
                <w:sz w:val="24"/>
              </w:rPr>
              <w:t>any</w:t>
            </w:r>
            <w:r w:rsidRPr="00150EDC">
              <w:rPr>
                <w:spacing w:val="-7"/>
                <w:sz w:val="24"/>
              </w:rPr>
              <w:t xml:space="preserve"> </w:t>
            </w:r>
            <w:r w:rsidRPr="00150EDC">
              <w:rPr>
                <w:sz w:val="24"/>
              </w:rPr>
              <w:t>Extension</w:t>
            </w:r>
            <w:r w:rsidRPr="00150EDC">
              <w:rPr>
                <w:spacing w:val="-4"/>
                <w:sz w:val="24"/>
              </w:rPr>
              <w:t xml:space="preserve"> </w:t>
            </w:r>
            <w:r w:rsidRPr="00150EDC">
              <w:rPr>
                <w:sz w:val="24"/>
              </w:rPr>
              <w:t>Period</w:t>
            </w:r>
            <w:r w:rsidRPr="00150EDC">
              <w:rPr>
                <w:spacing w:val="-6"/>
                <w:sz w:val="24"/>
              </w:rPr>
              <w:t xml:space="preserve"> </w:t>
            </w:r>
            <w:r w:rsidRPr="00150EDC">
              <w:rPr>
                <w:sz w:val="24"/>
              </w:rPr>
              <w:t>exercised by the Relevant Authority under Clause 10.1.2); or</w:t>
            </w:r>
          </w:p>
          <w:p w14:paraId="7C46B00D" w14:textId="77777777" w:rsidR="004C7180" w:rsidRPr="00150EDC" w:rsidRDefault="00CF0754" w:rsidP="00B320C7">
            <w:pPr>
              <w:pStyle w:val="TableParagraph"/>
              <w:numPr>
                <w:ilvl w:val="0"/>
                <w:numId w:val="127"/>
              </w:numPr>
              <w:tabs>
                <w:tab w:val="left" w:pos="536"/>
                <w:tab w:val="left" w:pos="539"/>
              </w:tabs>
              <w:spacing w:before="120" w:line="240" w:lineRule="auto"/>
              <w:ind w:right="101"/>
              <w:rPr>
                <w:sz w:val="24"/>
              </w:rPr>
            </w:pPr>
            <w:r w:rsidRPr="00150EDC">
              <w:rPr>
                <w:sz w:val="24"/>
              </w:rPr>
              <w:t>if</w:t>
            </w:r>
            <w:r w:rsidRPr="00150EDC">
              <w:rPr>
                <w:spacing w:val="-4"/>
                <w:sz w:val="24"/>
              </w:rPr>
              <w:t xml:space="preserve"> </w:t>
            </w:r>
            <w:r w:rsidRPr="00150EDC">
              <w:rPr>
                <w:sz w:val="24"/>
              </w:rPr>
              <w:t>a</w:t>
            </w:r>
            <w:r w:rsidRPr="00150EDC">
              <w:rPr>
                <w:spacing w:val="-3"/>
                <w:sz w:val="24"/>
              </w:rPr>
              <w:t xml:space="preserve"> </w:t>
            </w:r>
            <w:r w:rsidRPr="00150EDC">
              <w:rPr>
                <w:sz w:val="24"/>
              </w:rPr>
              <w:t>Contract</w:t>
            </w:r>
            <w:r w:rsidRPr="00150EDC">
              <w:rPr>
                <w:spacing w:val="-3"/>
                <w:sz w:val="24"/>
              </w:rPr>
              <w:t xml:space="preserve"> </w:t>
            </w:r>
            <w:r w:rsidRPr="00150EDC">
              <w:rPr>
                <w:sz w:val="24"/>
              </w:rPr>
              <w:t>is</w:t>
            </w:r>
            <w:r w:rsidRPr="00150EDC">
              <w:rPr>
                <w:spacing w:val="-3"/>
                <w:sz w:val="24"/>
              </w:rPr>
              <w:t xml:space="preserve"> </w:t>
            </w:r>
            <w:r w:rsidRPr="00150EDC">
              <w:rPr>
                <w:sz w:val="24"/>
              </w:rPr>
              <w:t>terminated</w:t>
            </w:r>
            <w:r w:rsidRPr="00150EDC">
              <w:rPr>
                <w:spacing w:val="-3"/>
                <w:sz w:val="24"/>
              </w:rPr>
              <w:t xml:space="preserve"> </w:t>
            </w:r>
            <w:r w:rsidRPr="00150EDC">
              <w:rPr>
                <w:sz w:val="24"/>
              </w:rPr>
              <w:t>before</w:t>
            </w:r>
            <w:r w:rsidRPr="00150EDC">
              <w:rPr>
                <w:spacing w:val="-5"/>
                <w:sz w:val="24"/>
              </w:rPr>
              <w:t xml:space="preserve"> </w:t>
            </w:r>
            <w:r w:rsidRPr="00150EDC">
              <w:rPr>
                <w:sz w:val="24"/>
              </w:rPr>
              <w:t>the</w:t>
            </w:r>
            <w:r w:rsidRPr="00150EDC">
              <w:rPr>
                <w:spacing w:val="-5"/>
                <w:sz w:val="24"/>
              </w:rPr>
              <w:t xml:space="preserve"> </w:t>
            </w:r>
            <w:r w:rsidRPr="00150EDC">
              <w:rPr>
                <w:sz w:val="24"/>
              </w:rPr>
              <w:t>date</w:t>
            </w:r>
            <w:r w:rsidRPr="00150EDC">
              <w:rPr>
                <w:spacing w:val="-3"/>
                <w:sz w:val="24"/>
              </w:rPr>
              <w:t xml:space="preserve"> </w:t>
            </w:r>
            <w:r w:rsidRPr="00150EDC">
              <w:rPr>
                <w:sz w:val="24"/>
              </w:rPr>
              <w:t>specified</w:t>
            </w:r>
            <w:r w:rsidRPr="00150EDC">
              <w:rPr>
                <w:spacing w:val="-2"/>
                <w:sz w:val="24"/>
              </w:rPr>
              <w:t xml:space="preserve"> </w:t>
            </w:r>
            <w:r w:rsidRPr="00150EDC">
              <w:rPr>
                <w:sz w:val="24"/>
              </w:rPr>
              <w:t>in</w:t>
            </w:r>
            <w:r w:rsidRPr="00150EDC">
              <w:rPr>
                <w:spacing w:val="-3"/>
                <w:sz w:val="24"/>
              </w:rPr>
              <w:t xml:space="preserve"> </w:t>
            </w:r>
            <w:r w:rsidRPr="00150EDC">
              <w:rPr>
                <w:sz w:val="24"/>
              </w:rPr>
              <w:t>(a)</w:t>
            </w:r>
            <w:r w:rsidRPr="00150EDC">
              <w:rPr>
                <w:spacing w:val="-3"/>
                <w:sz w:val="24"/>
              </w:rPr>
              <w:t xml:space="preserve"> </w:t>
            </w:r>
            <w:r w:rsidRPr="00150EDC">
              <w:rPr>
                <w:sz w:val="24"/>
              </w:rPr>
              <w:t>above, the date of termination of the Contract;</w:t>
            </w:r>
          </w:p>
        </w:tc>
      </w:tr>
      <w:tr w:rsidR="007D3144" w:rsidRPr="007D3144" w14:paraId="148FE80A" w14:textId="77777777">
        <w:trPr>
          <w:trHeight w:val="949"/>
        </w:trPr>
        <w:tc>
          <w:tcPr>
            <w:tcW w:w="2264" w:type="dxa"/>
          </w:tcPr>
          <w:p w14:paraId="37C174E3" w14:textId="77777777" w:rsidR="004C7180" w:rsidRPr="00150EDC" w:rsidRDefault="00CF0754">
            <w:pPr>
              <w:pStyle w:val="TableParagraph"/>
              <w:spacing w:before="0" w:line="240" w:lineRule="auto"/>
              <w:ind w:left="-1"/>
              <w:rPr>
                <w:b/>
                <w:sz w:val="24"/>
              </w:rPr>
            </w:pPr>
            <w:r w:rsidRPr="00150EDC">
              <w:rPr>
                <w:b/>
                <w:sz w:val="24"/>
              </w:rPr>
              <w:t xml:space="preserve">“End </w:t>
            </w:r>
            <w:r w:rsidRPr="00150EDC">
              <w:rPr>
                <w:b/>
                <w:spacing w:val="-2"/>
                <w:sz w:val="24"/>
              </w:rPr>
              <w:t>User”</w:t>
            </w:r>
          </w:p>
        </w:tc>
        <w:tc>
          <w:tcPr>
            <w:tcW w:w="7484" w:type="dxa"/>
          </w:tcPr>
          <w:p w14:paraId="13ADFB57" w14:textId="77777777" w:rsidR="004C7180" w:rsidRPr="00150EDC" w:rsidRDefault="00CF0754">
            <w:pPr>
              <w:pStyle w:val="TableParagraph"/>
              <w:spacing w:before="0" w:line="240" w:lineRule="auto"/>
              <w:ind w:left="107" w:right="99" w:firstLine="141"/>
              <w:jc w:val="both"/>
              <w:rPr>
                <w:sz w:val="24"/>
              </w:rPr>
            </w:pPr>
            <w:r w:rsidRPr="00150EDC">
              <w:rPr>
                <w:sz w:val="24"/>
              </w:rPr>
              <w:t>means</w:t>
            </w:r>
            <w:r w:rsidRPr="00150EDC">
              <w:rPr>
                <w:spacing w:val="-7"/>
                <w:sz w:val="24"/>
              </w:rPr>
              <w:t xml:space="preserve"> </w:t>
            </w:r>
            <w:r w:rsidRPr="00150EDC">
              <w:rPr>
                <w:sz w:val="24"/>
              </w:rPr>
              <w:t>a</w:t>
            </w:r>
            <w:r w:rsidRPr="00150EDC">
              <w:rPr>
                <w:spacing w:val="-6"/>
                <w:sz w:val="24"/>
              </w:rPr>
              <w:t xml:space="preserve"> </w:t>
            </w:r>
            <w:r w:rsidRPr="00150EDC">
              <w:rPr>
                <w:sz w:val="24"/>
              </w:rPr>
              <w:t>party</w:t>
            </w:r>
            <w:r w:rsidRPr="00150EDC">
              <w:rPr>
                <w:spacing w:val="-7"/>
                <w:sz w:val="24"/>
              </w:rPr>
              <w:t xml:space="preserve"> </w:t>
            </w:r>
            <w:r w:rsidRPr="00150EDC">
              <w:rPr>
                <w:sz w:val="24"/>
              </w:rPr>
              <w:t>that</w:t>
            </w:r>
            <w:r w:rsidRPr="00150EDC">
              <w:rPr>
                <w:spacing w:val="-7"/>
                <w:sz w:val="24"/>
              </w:rPr>
              <w:t xml:space="preserve"> </w:t>
            </w:r>
            <w:r w:rsidRPr="00150EDC">
              <w:rPr>
                <w:sz w:val="24"/>
              </w:rPr>
              <w:t>is</w:t>
            </w:r>
            <w:r w:rsidRPr="00150EDC">
              <w:rPr>
                <w:spacing w:val="-7"/>
                <w:sz w:val="24"/>
              </w:rPr>
              <w:t xml:space="preserve"> </w:t>
            </w:r>
            <w:r w:rsidRPr="00150EDC">
              <w:rPr>
                <w:sz w:val="24"/>
              </w:rPr>
              <w:t>accessing</w:t>
            </w:r>
            <w:r w:rsidRPr="00150EDC">
              <w:rPr>
                <w:spacing w:val="-6"/>
                <w:sz w:val="24"/>
              </w:rPr>
              <w:t xml:space="preserve"> </w:t>
            </w:r>
            <w:r w:rsidRPr="00150EDC">
              <w:rPr>
                <w:sz w:val="24"/>
              </w:rPr>
              <w:t>the</w:t>
            </w:r>
            <w:r w:rsidRPr="00150EDC">
              <w:rPr>
                <w:spacing w:val="-5"/>
                <w:sz w:val="24"/>
              </w:rPr>
              <w:t xml:space="preserve"> </w:t>
            </w:r>
            <w:r w:rsidRPr="00150EDC">
              <w:rPr>
                <w:sz w:val="24"/>
              </w:rPr>
              <w:t>Deliverables</w:t>
            </w:r>
            <w:r w:rsidRPr="00150EDC">
              <w:rPr>
                <w:spacing w:val="-5"/>
                <w:sz w:val="24"/>
              </w:rPr>
              <w:t xml:space="preserve"> </w:t>
            </w:r>
            <w:r w:rsidRPr="00150EDC">
              <w:rPr>
                <w:sz w:val="24"/>
              </w:rPr>
              <w:t>provided</w:t>
            </w:r>
            <w:r w:rsidRPr="00150EDC">
              <w:rPr>
                <w:spacing w:val="-7"/>
                <w:sz w:val="24"/>
              </w:rPr>
              <w:t xml:space="preserve"> </w:t>
            </w:r>
            <w:r w:rsidRPr="00150EDC">
              <w:rPr>
                <w:sz w:val="24"/>
              </w:rPr>
              <w:t>pursuant to</w:t>
            </w:r>
            <w:r w:rsidRPr="00150EDC">
              <w:rPr>
                <w:spacing w:val="-12"/>
                <w:sz w:val="24"/>
              </w:rPr>
              <w:t xml:space="preserve"> </w:t>
            </w:r>
            <w:r w:rsidRPr="00150EDC">
              <w:rPr>
                <w:sz w:val="24"/>
              </w:rPr>
              <w:t>this</w:t>
            </w:r>
            <w:r w:rsidRPr="00150EDC">
              <w:rPr>
                <w:spacing w:val="-14"/>
                <w:sz w:val="24"/>
              </w:rPr>
              <w:t xml:space="preserve"> </w:t>
            </w:r>
            <w:r w:rsidRPr="00150EDC">
              <w:rPr>
                <w:sz w:val="24"/>
              </w:rPr>
              <w:t>Contract</w:t>
            </w:r>
            <w:r w:rsidRPr="00150EDC">
              <w:rPr>
                <w:spacing w:val="-13"/>
                <w:sz w:val="24"/>
              </w:rPr>
              <w:t xml:space="preserve"> </w:t>
            </w:r>
            <w:r w:rsidRPr="00150EDC">
              <w:rPr>
                <w:sz w:val="24"/>
              </w:rPr>
              <w:t>(including</w:t>
            </w:r>
            <w:r w:rsidRPr="00150EDC">
              <w:rPr>
                <w:spacing w:val="-13"/>
                <w:sz w:val="24"/>
              </w:rPr>
              <w:t xml:space="preserve"> </w:t>
            </w:r>
            <w:r w:rsidRPr="00150EDC">
              <w:rPr>
                <w:sz w:val="24"/>
              </w:rPr>
              <w:t>the</w:t>
            </w:r>
            <w:r w:rsidRPr="00150EDC">
              <w:rPr>
                <w:spacing w:val="-13"/>
                <w:sz w:val="24"/>
              </w:rPr>
              <w:t xml:space="preserve"> </w:t>
            </w:r>
            <w:r w:rsidRPr="00150EDC">
              <w:rPr>
                <w:sz w:val="24"/>
              </w:rPr>
              <w:t>Buyer</w:t>
            </w:r>
            <w:r w:rsidRPr="00150EDC">
              <w:rPr>
                <w:spacing w:val="-14"/>
                <w:sz w:val="24"/>
              </w:rPr>
              <w:t xml:space="preserve"> </w:t>
            </w:r>
            <w:r w:rsidRPr="00150EDC">
              <w:rPr>
                <w:sz w:val="24"/>
              </w:rPr>
              <w:t>where</w:t>
            </w:r>
            <w:r w:rsidRPr="00150EDC">
              <w:rPr>
                <w:spacing w:val="-13"/>
                <w:sz w:val="24"/>
              </w:rPr>
              <w:t xml:space="preserve"> </w:t>
            </w:r>
            <w:r w:rsidRPr="00150EDC">
              <w:rPr>
                <w:sz w:val="24"/>
              </w:rPr>
              <w:t>it</w:t>
            </w:r>
            <w:r w:rsidRPr="00150EDC">
              <w:rPr>
                <w:spacing w:val="-14"/>
                <w:sz w:val="24"/>
              </w:rPr>
              <w:t xml:space="preserve"> </w:t>
            </w:r>
            <w:r w:rsidRPr="00150EDC">
              <w:rPr>
                <w:sz w:val="24"/>
              </w:rPr>
              <w:t>is</w:t>
            </w:r>
            <w:r w:rsidRPr="00150EDC">
              <w:rPr>
                <w:spacing w:val="-14"/>
                <w:sz w:val="24"/>
              </w:rPr>
              <w:t xml:space="preserve"> </w:t>
            </w:r>
            <w:r w:rsidRPr="00150EDC">
              <w:rPr>
                <w:sz w:val="24"/>
              </w:rPr>
              <w:t>accessing</w:t>
            </w:r>
            <w:r w:rsidRPr="00150EDC">
              <w:rPr>
                <w:spacing w:val="-12"/>
                <w:sz w:val="24"/>
              </w:rPr>
              <w:t xml:space="preserve"> </w:t>
            </w:r>
            <w:r w:rsidRPr="00150EDC">
              <w:rPr>
                <w:sz w:val="24"/>
              </w:rPr>
              <w:t>services</w:t>
            </w:r>
            <w:r w:rsidRPr="00150EDC">
              <w:rPr>
                <w:spacing w:val="-14"/>
                <w:sz w:val="24"/>
              </w:rPr>
              <w:t xml:space="preserve"> </w:t>
            </w:r>
            <w:r w:rsidRPr="00150EDC">
              <w:rPr>
                <w:sz w:val="24"/>
              </w:rPr>
              <w:t>on its own account as a user);</w:t>
            </w:r>
          </w:p>
        </w:tc>
      </w:tr>
    </w:tbl>
    <w:p w14:paraId="6FC57A48" w14:textId="77777777" w:rsidR="004C7180" w:rsidRPr="00150EDC" w:rsidRDefault="004C7180">
      <w:pPr>
        <w:jc w:val="both"/>
        <w:rPr>
          <w:sz w:val="24"/>
        </w:rPr>
        <w:sectPr w:rsidR="004C7180" w:rsidRPr="00150EDC">
          <w:pgSz w:w="11910" w:h="16840"/>
          <w:pgMar w:top="1160" w:right="0" w:bottom="1460" w:left="40" w:header="715" w:footer="1208" w:gutter="0"/>
          <w:cols w:space="720"/>
        </w:sectPr>
      </w:pPr>
    </w:p>
    <w:p w14:paraId="05F11445" w14:textId="77777777" w:rsidR="004C7180" w:rsidRPr="00150EDC" w:rsidRDefault="004C7180">
      <w:pPr>
        <w:pStyle w:val="BodyText"/>
        <w:spacing w:before="7"/>
        <w:rPr>
          <w:sz w:val="23"/>
        </w:rPr>
      </w:pPr>
    </w:p>
    <w:tbl>
      <w:tblPr>
        <w:tblW w:w="0" w:type="auto"/>
        <w:tblInd w:w="1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4"/>
        <w:gridCol w:w="7484"/>
      </w:tblGrid>
      <w:tr w:rsidR="007D3144" w:rsidRPr="007D3144" w14:paraId="0BF33D64" w14:textId="77777777">
        <w:trPr>
          <w:trHeight w:val="1499"/>
        </w:trPr>
        <w:tc>
          <w:tcPr>
            <w:tcW w:w="2264" w:type="dxa"/>
          </w:tcPr>
          <w:p w14:paraId="0CA35524" w14:textId="77777777" w:rsidR="004C7180" w:rsidRPr="00150EDC" w:rsidRDefault="00CF0754">
            <w:pPr>
              <w:pStyle w:val="TableParagraph"/>
              <w:spacing w:before="0" w:line="240" w:lineRule="auto"/>
              <w:ind w:left="-1"/>
              <w:rPr>
                <w:b/>
                <w:sz w:val="24"/>
              </w:rPr>
            </w:pPr>
            <w:r w:rsidRPr="00150EDC">
              <w:rPr>
                <w:b/>
                <w:spacing w:val="-2"/>
                <w:sz w:val="24"/>
              </w:rPr>
              <w:t>"Environmental Policy"</w:t>
            </w:r>
          </w:p>
        </w:tc>
        <w:tc>
          <w:tcPr>
            <w:tcW w:w="7484" w:type="dxa"/>
          </w:tcPr>
          <w:p w14:paraId="7105F0C9" w14:textId="77777777" w:rsidR="004C7180" w:rsidRPr="00150EDC" w:rsidRDefault="00CF0754">
            <w:pPr>
              <w:pStyle w:val="TableParagraph"/>
              <w:spacing w:before="0" w:line="240" w:lineRule="auto"/>
              <w:ind w:left="107" w:right="101"/>
              <w:jc w:val="both"/>
              <w:rPr>
                <w:sz w:val="24"/>
              </w:rPr>
            </w:pPr>
            <w:r w:rsidRPr="00150EDC">
              <w:rPr>
                <w:sz w:val="24"/>
              </w:rPr>
              <w:t>to</w:t>
            </w:r>
            <w:r w:rsidRPr="00150EDC">
              <w:rPr>
                <w:spacing w:val="-5"/>
                <w:sz w:val="24"/>
              </w:rPr>
              <w:t xml:space="preserve"> </w:t>
            </w:r>
            <w:r w:rsidRPr="00150EDC">
              <w:rPr>
                <w:sz w:val="24"/>
              </w:rPr>
              <w:t>conserve</w:t>
            </w:r>
            <w:r w:rsidRPr="00150EDC">
              <w:rPr>
                <w:spacing w:val="-6"/>
                <w:sz w:val="24"/>
              </w:rPr>
              <w:t xml:space="preserve"> </w:t>
            </w:r>
            <w:r w:rsidRPr="00150EDC">
              <w:rPr>
                <w:sz w:val="24"/>
              </w:rPr>
              <w:t>energy,</w:t>
            </w:r>
            <w:r w:rsidRPr="00150EDC">
              <w:rPr>
                <w:spacing w:val="-6"/>
                <w:sz w:val="24"/>
              </w:rPr>
              <w:t xml:space="preserve"> </w:t>
            </w:r>
            <w:r w:rsidRPr="00150EDC">
              <w:rPr>
                <w:sz w:val="24"/>
              </w:rPr>
              <w:t>water,</w:t>
            </w:r>
            <w:r w:rsidRPr="00150EDC">
              <w:rPr>
                <w:spacing w:val="-7"/>
                <w:sz w:val="24"/>
              </w:rPr>
              <w:t xml:space="preserve"> </w:t>
            </w:r>
            <w:r w:rsidRPr="00150EDC">
              <w:rPr>
                <w:sz w:val="24"/>
              </w:rPr>
              <w:t>wood,</w:t>
            </w:r>
            <w:r w:rsidRPr="00150EDC">
              <w:rPr>
                <w:spacing w:val="-6"/>
                <w:sz w:val="24"/>
              </w:rPr>
              <w:t xml:space="preserve"> </w:t>
            </w:r>
            <w:r w:rsidRPr="00150EDC">
              <w:rPr>
                <w:sz w:val="24"/>
              </w:rPr>
              <w:t>paper</w:t>
            </w:r>
            <w:r w:rsidRPr="00150EDC">
              <w:rPr>
                <w:spacing w:val="-9"/>
                <w:sz w:val="24"/>
              </w:rPr>
              <w:t xml:space="preserve"> </w:t>
            </w:r>
            <w:r w:rsidRPr="00150EDC">
              <w:rPr>
                <w:sz w:val="24"/>
              </w:rPr>
              <w:t>and</w:t>
            </w:r>
            <w:r w:rsidRPr="00150EDC">
              <w:rPr>
                <w:spacing w:val="-8"/>
                <w:sz w:val="24"/>
              </w:rPr>
              <w:t xml:space="preserve"> </w:t>
            </w:r>
            <w:r w:rsidRPr="00150EDC">
              <w:rPr>
                <w:sz w:val="24"/>
              </w:rPr>
              <w:t>other</w:t>
            </w:r>
            <w:r w:rsidRPr="00150EDC">
              <w:rPr>
                <w:spacing w:val="-7"/>
                <w:sz w:val="24"/>
              </w:rPr>
              <w:t xml:space="preserve"> </w:t>
            </w:r>
            <w:r w:rsidRPr="00150EDC">
              <w:rPr>
                <w:sz w:val="24"/>
              </w:rPr>
              <w:t>resources,</w:t>
            </w:r>
            <w:r w:rsidRPr="00150EDC">
              <w:rPr>
                <w:spacing w:val="-6"/>
                <w:sz w:val="24"/>
              </w:rPr>
              <w:t xml:space="preserve"> </w:t>
            </w:r>
            <w:r w:rsidRPr="00150EDC">
              <w:rPr>
                <w:sz w:val="24"/>
              </w:rPr>
              <w:t>reduce waste and phase out the use of ozone depleting substances and minimise the release of greenhouse gases, volatile organic compounds and other substances damaging to health and the environment,</w:t>
            </w:r>
            <w:r w:rsidRPr="00150EDC">
              <w:rPr>
                <w:spacing w:val="-10"/>
                <w:sz w:val="24"/>
              </w:rPr>
              <w:t xml:space="preserve"> </w:t>
            </w:r>
            <w:r w:rsidRPr="00150EDC">
              <w:rPr>
                <w:sz w:val="24"/>
              </w:rPr>
              <w:t>including</w:t>
            </w:r>
            <w:r w:rsidRPr="00150EDC">
              <w:rPr>
                <w:spacing w:val="-10"/>
                <w:sz w:val="24"/>
              </w:rPr>
              <w:t xml:space="preserve"> </w:t>
            </w:r>
            <w:r w:rsidRPr="00150EDC">
              <w:rPr>
                <w:sz w:val="24"/>
              </w:rPr>
              <w:t>any</w:t>
            </w:r>
            <w:r w:rsidRPr="00150EDC">
              <w:rPr>
                <w:spacing w:val="-11"/>
                <w:sz w:val="24"/>
              </w:rPr>
              <w:t xml:space="preserve"> </w:t>
            </w:r>
            <w:r w:rsidRPr="00150EDC">
              <w:rPr>
                <w:sz w:val="24"/>
              </w:rPr>
              <w:t>written</w:t>
            </w:r>
            <w:r w:rsidRPr="00150EDC">
              <w:rPr>
                <w:spacing w:val="-9"/>
                <w:sz w:val="24"/>
              </w:rPr>
              <w:t xml:space="preserve"> </w:t>
            </w:r>
            <w:r w:rsidRPr="00150EDC">
              <w:rPr>
                <w:sz w:val="24"/>
              </w:rPr>
              <w:t>environmental</w:t>
            </w:r>
            <w:r w:rsidRPr="00150EDC">
              <w:rPr>
                <w:spacing w:val="-12"/>
                <w:sz w:val="24"/>
              </w:rPr>
              <w:t xml:space="preserve"> </w:t>
            </w:r>
            <w:r w:rsidRPr="00150EDC">
              <w:rPr>
                <w:sz w:val="24"/>
              </w:rPr>
              <w:t>policy</w:t>
            </w:r>
            <w:r w:rsidRPr="00150EDC">
              <w:rPr>
                <w:spacing w:val="-9"/>
                <w:sz w:val="24"/>
              </w:rPr>
              <w:t xml:space="preserve"> </w:t>
            </w:r>
            <w:r w:rsidRPr="00150EDC">
              <w:rPr>
                <w:sz w:val="24"/>
              </w:rPr>
              <w:t>of</w:t>
            </w:r>
            <w:r w:rsidRPr="00150EDC">
              <w:rPr>
                <w:spacing w:val="-8"/>
                <w:sz w:val="24"/>
              </w:rPr>
              <w:t xml:space="preserve"> </w:t>
            </w:r>
            <w:r w:rsidRPr="00150EDC">
              <w:rPr>
                <w:sz w:val="24"/>
              </w:rPr>
              <w:t>the</w:t>
            </w:r>
            <w:r w:rsidRPr="00150EDC">
              <w:rPr>
                <w:spacing w:val="-9"/>
                <w:sz w:val="24"/>
              </w:rPr>
              <w:t xml:space="preserve"> </w:t>
            </w:r>
            <w:r w:rsidRPr="00150EDC">
              <w:rPr>
                <w:spacing w:val="-2"/>
                <w:sz w:val="24"/>
              </w:rPr>
              <w:t>Buyer;</w:t>
            </w:r>
          </w:p>
        </w:tc>
      </w:tr>
      <w:tr w:rsidR="007D3144" w:rsidRPr="007D3144" w14:paraId="7D212958" w14:textId="77777777">
        <w:trPr>
          <w:trHeight w:val="947"/>
        </w:trPr>
        <w:tc>
          <w:tcPr>
            <w:tcW w:w="2264" w:type="dxa"/>
          </w:tcPr>
          <w:p w14:paraId="0D86EE3D" w14:textId="77777777" w:rsidR="004C7180" w:rsidRPr="00150EDC" w:rsidRDefault="00CF0754">
            <w:pPr>
              <w:pStyle w:val="TableParagraph"/>
              <w:spacing w:before="0" w:line="240" w:lineRule="auto"/>
              <w:ind w:left="-1" w:right="625"/>
              <w:rPr>
                <w:b/>
                <w:sz w:val="24"/>
              </w:rPr>
            </w:pPr>
            <w:r w:rsidRPr="00150EDC">
              <w:rPr>
                <w:b/>
                <w:sz w:val="24"/>
              </w:rPr>
              <w:t>"Equality and Human</w:t>
            </w:r>
            <w:r w:rsidRPr="00150EDC">
              <w:rPr>
                <w:b/>
                <w:spacing w:val="-17"/>
                <w:sz w:val="24"/>
              </w:rPr>
              <w:t xml:space="preserve"> </w:t>
            </w:r>
            <w:r w:rsidRPr="00150EDC">
              <w:rPr>
                <w:b/>
                <w:sz w:val="24"/>
              </w:rPr>
              <w:t xml:space="preserve">Rights </w:t>
            </w:r>
            <w:r w:rsidRPr="00150EDC">
              <w:rPr>
                <w:b/>
                <w:spacing w:val="-2"/>
                <w:sz w:val="24"/>
              </w:rPr>
              <w:t>Commission"</w:t>
            </w:r>
          </w:p>
        </w:tc>
        <w:tc>
          <w:tcPr>
            <w:tcW w:w="7484" w:type="dxa"/>
          </w:tcPr>
          <w:p w14:paraId="0C6E4386" w14:textId="77777777" w:rsidR="004C7180" w:rsidRPr="00150EDC" w:rsidRDefault="00CF0754">
            <w:pPr>
              <w:pStyle w:val="TableParagraph"/>
              <w:spacing w:before="0" w:line="240" w:lineRule="auto"/>
              <w:ind w:left="277"/>
              <w:rPr>
                <w:sz w:val="24"/>
              </w:rPr>
            </w:pPr>
            <w:r w:rsidRPr="00150EDC">
              <w:rPr>
                <w:sz w:val="24"/>
              </w:rPr>
              <w:t>the UK Government body named as such as may be renamed or replaced by an equivalent body from time to time;</w:t>
            </w:r>
          </w:p>
        </w:tc>
      </w:tr>
      <w:tr w:rsidR="007D3144" w:rsidRPr="007D3144" w14:paraId="76B272C5" w14:textId="77777777">
        <w:trPr>
          <w:trHeight w:val="671"/>
        </w:trPr>
        <w:tc>
          <w:tcPr>
            <w:tcW w:w="2264" w:type="dxa"/>
          </w:tcPr>
          <w:p w14:paraId="7C3C019D" w14:textId="77777777" w:rsidR="004C7180" w:rsidRPr="00150EDC" w:rsidRDefault="00CF0754">
            <w:pPr>
              <w:pStyle w:val="TableParagraph"/>
              <w:spacing w:before="0" w:line="240" w:lineRule="auto"/>
              <w:ind w:left="-1"/>
              <w:rPr>
                <w:b/>
                <w:sz w:val="24"/>
              </w:rPr>
            </w:pPr>
            <w:r w:rsidRPr="00150EDC">
              <w:rPr>
                <w:b/>
                <w:sz w:val="24"/>
              </w:rPr>
              <w:t>“Estimated Year 1 Contract</w:t>
            </w:r>
            <w:r w:rsidRPr="00150EDC">
              <w:rPr>
                <w:b/>
                <w:spacing w:val="-17"/>
                <w:sz w:val="24"/>
              </w:rPr>
              <w:t xml:space="preserve"> </w:t>
            </w:r>
            <w:r w:rsidRPr="00150EDC">
              <w:rPr>
                <w:b/>
                <w:sz w:val="24"/>
              </w:rPr>
              <w:t>Charges”</w:t>
            </w:r>
          </w:p>
        </w:tc>
        <w:tc>
          <w:tcPr>
            <w:tcW w:w="7484" w:type="dxa"/>
          </w:tcPr>
          <w:p w14:paraId="2516CC90" w14:textId="77777777" w:rsidR="004C7180" w:rsidRPr="00150EDC" w:rsidRDefault="00CF0754">
            <w:pPr>
              <w:pStyle w:val="TableParagraph"/>
              <w:spacing w:before="0" w:line="240" w:lineRule="auto"/>
              <w:ind w:left="277"/>
              <w:rPr>
                <w:sz w:val="24"/>
              </w:rPr>
            </w:pPr>
            <w:r w:rsidRPr="00150EDC">
              <w:rPr>
                <w:sz w:val="24"/>
              </w:rPr>
              <w:t>the</w:t>
            </w:r>
            <w:r w:rsidRPr="00150EDC">
              <w:rPr>
                <w:spacing w:val="38"/>
                <w:sz w:val="24"/>
              </w:rPr>
              <w:t xml:space="preserve"> </w:t>
            </w:r>
            <w:r w:rsidRPr="00150EDC">
              <w:rPr>
                <w:sz w:val="24"/>
              </w:rPr>
              <w:t>anticipated</w:t>
            </w:r>
            <w:r w:rsidRPr="00150EDC">
              <w:rPr>
                <w:spacing w:val="38"/>
                <w:sz w:val="24"/>
              </w:rPr>
              <w:t xml:space="preserve"> </w:t>
            </w:r>
            <w:r w:rsidRPr="00150EDC">
              <w:rPr>
                <w:sz w:val="24"/>
              </w:rPr>
              <w:t>total</w:t>
            </w:r>
            <w:r w:rsidRPr="00150EDC">
              <w:rPr>
                <w:spacing w:val="36"/>
                <w:sz w:val="24"/>
              </w:rPr>
              <w:t xml:space="preserve"> </w:t>
            </w:r>
            <w:r w:rsidRPr="00150EDC">
              <w:rPr>
                <w:sz w:val="24"/>
              </w:rPr>
              <w:t>charges</w:t>
            </w:r>
            <w:r w:rsidRPr="00150EDC">
              <w:rPr>
                <w:spacing w:val="35"/>
                <w:sz w:val="24"/>
              </w:rPr>
              <w:t xml:space="preserve"> </w:t>
            </w:r>
            <w:r w:rsidRPr="00150EDC">
              <w:rPr>
                <w:sz w:val="24"/>
              </w:rPr>
              <w:t>payable</w:t>
            </w:r>
            <w:r w:rsidRPr="00150EDC">
              <w:rPr>
                <w:spacing w:val="37"/>
                <w:sz w:val="24"/>
              </w:rPr>
              <w:t xml:space="preserve"> </w:t>
            </w:r>
            <w:r w:rsidRPr="00150EDC">
              <w:rPr>
                <w:sz w:val="24"/>
              </w:rPr>
              <w:t>by</w:t>
            </w:r>
            <w:r w:rsidRPr="00150EDC">
              <w:rPr>
                <w:spacing w:val="37"/>
                <w:sz w:val="24"/>
              </w:rPr>
              <w:t xml:space="preserve"> </w:t>
            </w:r>
            <w:r w:rsidRPr="00150EDC">
              <w:rPr>
                <w:sz w:val="24"/>
              </w:rPr>
              <w:t>the</w:t>
            </w:r>
            <w:r w:rsidRPr="00150EDC">
              <w:rPr>
                <w:spacing w:val="38"/>
                <w:sz w:val="24"/>
              </w:rPr>
              <w:t xml:space="preserve"> </w:t>
            </w:r>
            <w:r w:rsidRPr="00150EDC">
              <w:rPr>
                <w:sz w:val="24"/>
              </w:rPr>
              <w:t>Supplier</w:t>
            </w:r>
            <w:r w:rsidRPr="00150EDC">
              <w:rPr>
                <w:spacing w:val="36"/>
                <w:sz w:val="24"/>
              </w:rPr>
              <w:t xml:space="preserve"> </w:t>
            </w:r>
            <w:r w:rsidRPr="00150EDC">
              <w:rPr>
                <w:sz w:val="24"/>
              </w:rPr>
              <w:t>in</w:t>
            </w:r>
            <w:r w:rsidRPr="00150EDC">
              <w:rPr>
                <w:spacing w:val="37"/>
                <w:sz w:val="24"/>
              </w:rPr>
              <w:t xml:space="preserve"> </w:t>
            </w:r>
            <w:r w:rsidRPr="00150EDC">
              <w:rPr>
                <w:sz w:val="24"/>
              </w:rPr>
              <w:t>the</w:t>
            </w:r>
            <w:r w:rsidRPr="00150EDC">
              <w:rPr>
                <w:spacing w:val="38"/>
                <w:sz w:val="24"/>
              </w:rPr>
              <w:t xml:space="preserve"> </w:t>
            </w:r>
            <w:r w:rsidRPr="00150EDC">
              <w:rPr>
                <w:sz w:val="24"/>
              </w:rPr>
              <w:t>first Contract Year specified in the Order Form;</w:t>
            </w:r>
          </w:p>
        </w:tc>
      </w:tr>
      <w:tr w:rsidR="007D3144" w:rsidRPr="007D3144" w14:paraId="1769517D" w14:textId="77777777">
        <w:trPr>
          <w:trHeight w:val="3084"/>
        </w:trPr>
        <w:tc>
          <w:tcPr>
            <w:tcW w:w="2264" w:type="dxa"/>
          </w:tcPr>
          <w:p w14:paraId="36E9F431" w14:textId="77777777" w:rsidR="004C7180" w:rsidRPr="00150EDC" w:rsidRDefault="00CF0754">
            <w:pPr>
              <w:pStyle w:val="TableParagraph"/>
              <w:spacing w:before="2" w:line="240" w:lineRule="auto"/>
              <w:ind w:left="-1" w:right="197"/>
              <w:rPr>
                <w:b/>
                <w:sz w:val="24"/>
              </w:rPr>
            </w:pPr>
            <w:r w:rsidRPr="00150EDC">
              <w:rPr>
                <w:b/>
                <w:sz w:val="24"/>
              </w:rPr>
              <w:t>“Estimated</w:t>
            </w:r>
            <w:r w:rsidRPr="00150EDC">
              <w:rPr>
                <w:b/>
                <w:spacing w:val="-17"/>
                <w:sz w:val="24"/>
              </w:rPr>
              <w:t xml:space="preserve"> </w:t>
            </w:r>
            <w:r w:rsidRPr="00150EDC">
              <w:rPr>
                <w:b/>
                <w:sz w:val="24"/>
              </w:rPr>
              <w:t xml:space="preserve">Yearly </w:t>
            </w:r>
            <w:r w:rsidRPr="00150EDC">
              <w:rPr>
                <w:b/>
                <w:spacing w:val="-2"/>
                <w:sz w:val="24"/>
              </w:rPr>
              <w:t>Charges”</w:t>
            </w:r>
          </w:p>
        </w:tc>
        <w:tc>
          <w:tcPr>
            <w:tcW w:w="7484" w:type="dxa"/>
          </w:tcPr>
          <w:p w14:paraId="4849C2C2" w14:textId="77777777" w:rsidR="004C7180" w:rsidRPr="00150EDC" w:rsidRDefault="00CF0754">
            <w:pPr>
              <w:pStyle w:val="TableParagraph"/>
              <w:spacing w:before="2" w:line="240" w:lineRule="auto"/>
              <w:ind w:left="277"/>
              <w:rPr>
                <w:sz w:val="24"/>
              </w:rPr>
            </w:pPr>
            <w:r w:rsidRPr="00150EDC">
              <w:rPr>
                <w:sz w:val="24"/>
              </w:rPr>
              <w:t>means for the purposes of calculating each Party’s annual liability under clause 11.2 :</w:t>
            </w:r>
          </w:p>
          <w:p w14:paraId="50C166D7" w14:textId="77777777" w:rsidR="004C7180" w:rsidRPr="00150EDC" w:rsidRDefault="00CF0754" w:rsidP="00B320C7">
            <w:pPr>
              <w:pStyle w:val="TableParagraph"/>
              <w:numPr>
                <w:ilvl w:val="0"/>
                <w:numId w:val="126"/>
              </w:numPr>
              <w:tabs>
                <w:tab w:val="left" w:pos="530"/>
              </w:tabs>
              <w:spacing w:before="121" w:line="240" w:lineRule="auto"/>
              <w:ind w:right="95" w:firstLine="0"/>
              <w:rPr>
                <w:sz w:val="24"/>
              </w:rPr>
            </w:pPr>
            <w:r w:rsidRPr="00150EDC">
              <w:rPr>
                <w:sz w:val="24"/>
              </w:rPr>
              <w:t>in</w:t>
            </w:r>
            <w:r w:rsidRPr="00150EDC">
              <w:rPr>
                <w:spacing w:val="-17"/>
                <w:sz w:val="24"/>
              </w:rPr>
              <w:t xml:space="preserve"> </w:t>
            </w:r>
            <w:r w:rsidRPr="00150EDC">
              <w:rPr>
                <w:sz w:val="24"/>
              </w:rPr>
              <w:t>the</w:t>
            </w:r>
            <w:r w:rsidRPr="00150EDC">
              <w:rPr>
                <w:spacing w:val="-17"/>
                <w:sz w:val="24"/>
              </w:rPr>
              <w:t xml:space="preserve"> </w:t>
            </w:r>
            <w:r w:rsidRPr="00150EDC">
              <w:rPr>
                <w:sz w:val="24"/>
              </w:rPr>
              <w:t>first</w:t>
            </w:r>
            <w:r w:rsidRPr="00150EDC">
              <w:rPr>
                <w:spacing w:val="-16"/>
                <w:sz w:val="24"/>
              </w:rPr>
              <w:t xml:space="preserve"> </w:t>
            </w:r>
            <w:r w:rsidRPr="00150EDC">
              <w:rPr>
                <w:sz w:val="24"/>
              </w:rPr>
              <w:t>Contract</w:t>
            </w:r>
            <w:r w:rsidRPr="00150EDC">
              <w:rPr>
                <w:spacing w:val="-17"/>
                <w:sz w:val="24"/>
              </w:rPr>
              <w:t xml:space="preserve"> </w:t>
            </w:r>
            <w:r w:rsidRPr="00150EDC">
              <w:rPr>
                <w:sz w:val="24"/>
              </w:rPr>
              <w:t>Year,</w:t>
            </w:r>
            <w:r w:rsidRPr="00150EDC">
              <w:rPr>
                <w:spacing w:val="-17"/>
                <w:sz w:val="24"/>
              </w:rPr>
              <w:t xml:space="preserve"> </w:t>
            </w:r>
            <w:r w:rsidRPr="00150EDC">
              <w:rPr>
                <w:sz w:val="24"/>
              </w:rPr>
              <w:t>the</w:t>
            </w:r>
            <w:r w:rsidRPr="00150EDC">
              <w:rPr>
                <w:spacing w:val="-17"/>
                <w:sz w:val="24"/>
              </w:rPr>
              <w:t xml:space="preserve"> </w:t>
            </w:r>
            <w:r w:rsidRPr="00150EDC">
              <w:rPr>
                <w:sz w:val="24"/>
              </w:rPr>
              <w:t>Estimated</w:t>
            </w:r>
            <w:r w:rsidRPr="00150EDC">
              <w:rPr>
                <w:spacing w:val="-16"/>
                <w:sz w:val="24"/>
              </w:rPr>
              <w:t xml:space="preserve"> </w:t>
            </w:r>
            <w:r w:rsidRPr="00150EDC">
              <w:rPr>
                <w:sz w:val="24"/>
              </w:rPr>
              <w:t>Year</w:t>
            </w:r>
            <w:r w:rsidRPr="00150EDC">
              <w:rPr>
                <w:spacing w:val="-17"/>
                <w:sz w:val="24"/>
              </w:rPr>
              <w:t xml:space="preserve"> </w:t>
            </w:r>
            <w:r w:rsidRPr="00150EDC">
              <w:rPr>
                <w:sz w:val="24"/>
              </w:rPr>
              <w:t>1</w:t>
            </w:r>
            <w:r w:rsidRPr="00150EDC">
              <w:rPr>
                <w:spacing w:val="-17"/>
                <w:sz w:val="24"/>
              </w:rPr>
              <w:t xml:space="preserve"> </w:t>
            </w:r>
            <w:r w:rsidRPr="00150EDC">
              <w:rPr>
                <w:sz w:val="24"/>
              </w:rPr>
              <w:t>Contract</w:t>
            </w:r>
            <w:r w:rsidRPr="00150EDC">
              <w:rPr>
                <w:spacing w:val="-16"/>
                <w:sz w:val="24"/>
              </w:rPr>
              <w:t xml:space="preserve"> </w:t>
            </w:r>
            <w:r w:rsidRPr="00150EDC">
              <w:rPr>
                <w:sz w:val="24"/>
              </w:rPr>
              <w:t xml:space="preserve">Charges; </w:t>
            </w:r>
            <w:r w:rsidRPr="00150EDC">
              <w:rPr>
                <w:spacing w:val="-6"/>
                <w:sz w:val="24"/>
              </w:rPr>
              <w:t>or</w:t>
            </w:r>
          </w:p>
          <w:p w14:paraId="26932232" w14:textId="77777777" w:rsidR="004C7180" w:rsidRPr="00150EDC" w:rsidRDefault="004C7180">
            <w:pPr>
              <w:pStyle w:val="TableParagraph"/>
              <w:spacing w:before="0" w:line="240" w:lineRule="auto"/>
              <w:ind w:left="0"/>
              <w:rPr>
                <w:sz w:val="26"/>
              </w:rPr>
            </w:pPr>
          </w:p>
          <w:p w14:paraId="759394B4" w14:textId="77777777" w:rsidR="004C7180" w:rsidRPr="00150EDC" w:rsidRDefault="00CF0754" w:rsidP="00B320C7">
            <w:pPr>
              <w:pStyle w:val="TableParagraph"/>
              <w:numPr>
                <w:ilvl w:val="0"/>
                <w:numId w:val="126"/>
              </w:numPr>
              <w:tabs>
                <w:tab w:val="left" w:pos="534"/>
              </w:tabs>
              <w:spacing w:before="217" w:line="240" w:lineRule="auto"/>
              <w:ind w:right="103" w:firstLine="0"/>
              <w:rPr>
                <w:sz w:val="24"/>
              </w:rPr>
            </w:pPr>
            <w:r w:rsidRPr="00150EDC">
              <w:rPr>
                <w:sz w:val="24"/>
              </w:rPr>
              <w:t>in any subsequent Contract Years, the Charges paid or payable in the previous Contract Year; or</w:t>
            </w:r>
          </w:p>
          <w:p w14:paraId="39BCB49A" w14:textId="77777777" w:rsidR="004C7180" w:rsidRPr="00150EDC" w:rsidRDefault="00CF0754" w:rsidP="00B320C7">
            <w:pPr>
              <w:pStyle w:val="TableParagraph"/>
              <w:numPr>
                <w:ilvl w:val="0"/>
                <w:numId w:val="126"/>
              </w:numPr>
              <w:tabs>
                <w:tab w:val="left" w:pos="579"/>
              </w:tabs>
              <w:spacing w:before="118" w:line="240" w:lineRule="auto"/>
              <w:ind w:right="102" w:firstLine="0"/>
              <w:rPr>
                <w:sz w:val="24"/>
              </w:rPr>
            </w:pPr>
            <w:r w:rsidRPr="00150EDC">
              <w:rPr>
                <w:sz w:val="24"/>
              </w:rPr>
              <w:t>after</w:t>
            </w:r>
            <w:r w:rsidRPr="00150EDC">
              <w:rPr>
                <w:spacing w:val="-2"/>
                <w:sz w:val="24"/>
              </w:rPr>
              <w:t xml:space="preserve"> </w:t>
            </w:r>
            <w:r w:rsidRPr="00150EDC">
              <w:rPr>
                <w:sz w:val="24"/>
              </w:rPr>
              <w:t>the</w:t>
            </w:r>
            <w:r w:rsidRPr="00150EDC">
              <w:rPr>
                <w:spacing w:val="-4"/>
                <w:sz w:val="24"/>
              </w:rPr>
              <w:t xml:space="preserve"> </w:t>
            </w:r>
            <w:r w:rsidRPr="00150EDC">
              <w:rPr>
                <w:sz w:val="24"/>
              </w:rPr>
              <w:t>end</w:t>
            </w:r>
            <w:r w:rsidRPr="00150EDC">
              <w:rPr>
                <w:spacing w:val="-2"/>
                <w:sz w:val="24"/>
              </w:rPr>
              <w:t xml:space="preserve"> </w:t>
            </w:r>
            <w:r w:rsidRPr="00150EDC">
              <w:rPr>
                <w:sz w:val="24"/>
              </w:rPr>
              <w:t>of</w:t>
            </w:r>
            <w:r w:rsidRPr="00150EDC">
              <w:rPr>
                <w:spacing w:val="-4"/>
                <w:sz w:val="24"/>
              </w:rPr>
              <w:t xml:space="preserve"> </w:t>
            </w:r>
            <w:r w:rsidRPr="00150EDC">
              <w:rPr>
                <w:sz w:val="24"/>
              </w:rPr>
              <w:t>the</w:t>
            </w:r>
            <w:r w:rsidRPr="00150EDC">
              <w:rPr>
                <w:spacing w:val="-4"/>
                <w:sz w:val="24"/>
              </w:rPr>
              <w:t xml:space="preserve"> </w:t>
            </w:r>
            <w:r w:rsidRPr="00150EDC">
              <w:rPr>
                <w:sz w:val="24"/>
              </w:rPr>
              <w:t>Contract,</w:t>
            </w:r>
            <w:r w:rsidRPr="00150EDC">
              <w:rPr>
                <w:spacing w:val="-4"/>
                <w:sz w:val="24"/>
              </w:rPr>
              <w:t xml:space="preserve"> </w:t>
            </w:r>
            <w:r w:rsidRPr="00150EDC">
              <w:rPr>
                <w:sz w:val="24"/>
              </w:rPr>
              <w:t>the</w:t>
            </w:r>
            <w:r w:rsidRPr="00150EDC">
              <w:rPr>
                <w:spacing w:val="-4"/>
                <w:sz w:val="24"/>
              </w:rPr>
              <w:t xml:space="preserve"> </w:t>
            </w:r>
            <w:r w:rsidRPr="00150EDC">
              <w:rPr>
                <w:sz w:val="24"/>
              </w:rPr>
              <w:t>Charges</w:t>
            </w:r>
            <w:r w:rsidRPr="00150EDC">
              <w:rPr>
                <w:spacing w:val="-4"/>
                <w:sz w:val="24"/>
              </w:rPr>
              <w:t xml:space="preserve"> </w:t>
            </w:r>
            <w:r w:rsidRPr="00150EDC">
              <w:rPr>
                <w:sz w:val="24"/>
              </w:rPr>
              <w:t>paid</w:t>
            </w:r>
            <w:r w:rsidRPr="00150EDC">
              <w:rPr>
                <w:spacing w:val="-4"/>
                <w:sz w:val="24"/>
              </w:rPr>
              <w:t xml:space="preserve"> </w:t>
            </w:r>
            <w:r w:rsidRPr="00150EDC">
              <w:rPr>
                <w:sz w:val="24"/>
              </w:rPr>
              <w:t>or</w:t>
            </w:r>
            <w:r w:rsidRPr="00150EDC">
              <w:rPr>
                <w:spacing w:val="-2"/>
                <w:sz w:val="24"/>
              </w:rPr>
              <w:t xml:space="preserve"> </w:t>
            </w:r>
            <w:r w:rsidRPr="00150EDC">
              <w:rPr>
                <w:sz w:val="24"/>
              </w:rPr>
              <w:t>payable</w:t>
            </w:r>
            <w:r w:rsidRPr="00150EDC">
              <w:rPr>
                <w:spacing w:val="-2"/>
                <w:sz w:val="24"/>
              </w:rPr>
              <w:t xml:space="preserve"> </w:t>
            </w:r>
            <w:r w:rsidRPr="00150EDC">
              <w:rPr>
                <w:sz w:val="24"/>
              </w:rPr>
              <w:t>in</w:t>
            </w:r>
            <w:r w:rsidRPr="00150EDC">
              <w:rPr>
                <w:spacing w:val="-4"/>
                <w:sz w:val="24"/>
              </w:rPr>
              <w:t xml:space="preserve"> </w:t>
            </w:r>
            <w:r w:rsidRPr="00150EDC">
              <w:rPr>
                <w:sz w:val="24"/>
              </w:rPr>
              <w:t>the last Contract Year during the Contract Period;</w:t>
            </w:r>
          </w:p>
        </w:tc>
      </w:tr>
      <w:tr w:rsidR="007D3144" w:rsidRPr="007D3144" w14:paraId="6839478F" w14:textId="77777777">
        <w:trPr>
          <w:trHeight w:val="6994"/>
        </w:trPr>
        <w:tc>
          <w:tcPr>
            <w:tcW w:w="2264" w:type="dxa"/>
          </w:tcPr>
          <w:p w14:paraId="3E67DE36" w14:textId="77777777" w:rsidR="004C7180" w:rsidRPr="00150EDC" w:rsidRDefault="00CF0754">
            <w:pPr>
              <w:pStyle w:val="TableParagraph"/>
              <w:spacing w:before="2" w:line="240" w:lineRule="auto"/>
              <w:ind w:left="-1"/>
              <w:rPr>
                <w:b/>
                <w:sz w:val="24"/>
              </w:rPr>
            </w:pPr>
            <w:r w:rsidRPr="00150EDC">
              <w:rPr>
                <w:b/>
                <w:sz w:val="24"/>
              </w:rPr>
              <w:t xml:space="preserve">“Exempt </w:t>
            </w:r>
            <w:r w:rsidRPr="00150EDC">
              <w:rPr>
                <w:b/>
                <w:spacing w:val="-2"/>
                <w:sz w:val="24"/>
              </w:rPr>
              <w:t>Buyer”</w:t>
            </w:r>
          </w:p>
        </w:tc>
        <w:tc>
          <w:tcPr>
            <w:tcW w:w="7484" w:type="dxa"/>
          </w:tcPr>
          <w:p w14:paraId="31C48121" w14:textId="77777777" w:rsidR="004C7180" w:rsidRPr="00150EDC" w:rsidRDefault="00CF0754">
            <w:pPr>
              <w:pStyle w:val="TableParagraph"/>
              <w:spacing w:before="2" w:line="240" w:lineRule="auto"/>
              <w:ind w:left="277"/>
              <w:rPr>
                <w:sz w:val="24"/>
              </w:rPr>
            </w:pPr>
            <w:r w:rsidRPr="00150EDC">
              <w:rPr>
                <w:sz w:val="24"/>
              </w:rPr>
              <w:t>a</w:t>
            </w:r>
            <w:r w:rsidRPr="00150EDC">
              <w:rPr>
                <w:spacing w:val="-3"/>
                <w:sz w:val="24"/>
              </w:rPr>
              <w:t xml:space="preserve"> </w:t>
            </w:r>
            <w:r w:rsidRPr="00150EDC">
              <w:rPr>
                <w:sz w:val="24"/>
              </w:rPr>
              <w:t>public</w:t>
            </w:r>
            <w:r w:rsidRPr="00150EDC">
              <w:rPr>
                <w:spacing w:val="-3"/>
                <w:sz w:val="24"/>
              </w:rPr>
              <w:t xml:space="preserve"> </w:t>
            </w:r>
            <w:r w:rsidRPr="00150EDC">
              <w:rPr>
                <w:sz w:val="24"/>
              </w:rPr>
              <w:t>sector</w:t>
            </w:r>
            <w:r w:rsidRPr="00150EDC">
              <w:rPr>
                <w:spacing w:val="-5"/>
                <w:sz w:val="24"/>
              </w:rPr>
              <w:t xml:space="preserve"> </w:t>
            </w:r>
            <w:r w:rsidRPr="00150EDC">
              <w:rPr>
                <w:sz w:val="24"/>
              </w:rPr>
              <w:t>purchaser</w:t>
            </w:r>
            <w:r w:rsidRPr="00150EDC">
              <w:rPr>
                <w:spacing w:val="-3"/>
                <w:sz w:val="24"/>
              </w:rPr>
              <w:t xml:space="preserve"> </w:t>
            </w:r>
            <w:r w:rsidRPr="00150EDC">
              <w:rPr>
                <w:sz w:val="24"/>
              </w:rPr>
              <w:t>that</w:t>
            </w:r>
            <w:r w:rsidRPr="00150EDC">
              <w:rPr>
                <w:spacing w:val="-4"/>
                <w:sz w:val="24"/>
              </w:rPr>
              <w:t xml:space="preserve"> </w:t>
            </w:r>
            <w:r w:rsidRPr="00150EDC">
              <w:rPr>
                <w:spacing w:val="-5"/>
                <w:sz w:val="24"/>
              </w:rPr>
              <w:t>is:</w:t>
            </w:r>
          </w:p>
          <w:p w14:paraId="5A9A9BB7" w14:textId="77777777" w:rsidR="004C7180" w:rsidRPr="00150EDC" w:rsidRDefault="00CF0754" w:rsidP="00B320C7">
            <w:pPr>
              <w:pStyle w:val="TableParagraph"/>
              <w:numPr>
                <w:ilvl w:val="0"/>
                <w:numId w:val="125"/>
              </w:numPr>
              <w:tabs>
                <w:tab w:val="left" w:pos="995"/>
              </w:tabs>
              <w:spacing w:before="120" w:line="240" w:lineRule="auto"/>
              <w:ind w:left="995" w:hanging="358"/>
              <w:rPr>
                <w:sz w:val="24"/>
              </w:rPr>
            </w:pPr>
            <w:r w:rsidRPr="00150EDC">
              <w:rPr>
                <w:sz w:val="24"/>
              </w:rPr>
              <w:t>eligible</w:t>
            </w:r>
            <w:r w:rsidRPr="00150EDC">
              <w:rPr>
                <w:spacing w:val="-7"/>
                <w:sz w:val="24"/>
              </w:rPr>
              <w:t xml:space="preserve"> </w:t>
            </w:r>
            <w:r w:rsidRPr="00150EDC">
              <w:rPr>
                <w:sz w:val="24"/>
              </w:rPr>
              <w:t>to</w:t>
            </w:r>
            <w:r w:rsidRPr="00150EDC">
              <w:rPr>
                <w:spacing w:val="-8"/>
                <w:sz w:val="24"/>
              </w:rPr>
              <w:t xml:space="preserve"> </w:t>
            </w:r>
            <w:r w:rsidRPr="00150EDC">
              <w:rPr>
                <w:sz w:val="24"/>
              </w:rPr>
              <w:t>use</w:t>
            </w:r>
            <w:r w:rsidRPr="00150EDC">
              <w:rPr>
                <w:spacing w:val="-9"/>
                <w:sz w:val="24"/>
              </w:rPr>
              <w:t xml:space="preserve"> </w:t>
            </w:r>
            <w:r w:rsidRPr="00150EDC">
              <w:rPr>
                <w:sz w:val="24"/>
              </w:rPr>
              <w:t>the</w:t>
            </w:r>
            <w:r w:rsidRPr="00150EDC">
              <w:rPr>
                <w:spacing w:val="-6"/>
                <w:sz w:val="24"/>
              </w:rPr>
              <w:t xml:space="preserve"> </w:t>
            </w:r>
            <w:r w:rsidRPr="00150EDC">
              <w:rPr>
                <w:sz w:val="24"/>
              </w:rPr>
              <w:t>DPS;</w:t>
            </w:r>
            <w:r w:rsidRPr="00150EDC">
              <w:rPr>
                <w:spacing w:val="-6"/>
                <w:sz w:val="24"/>
              </w:rPr>
              <w:t xml:space="preserve"> </w:t>
            </w:r>
            <w:r w:rsidRPr="00150EDC">
              <w:rPr>
                <w:spacing w:val="-5"/>
                <w:sz w:val="24"/>
              </w:rPr>
              <w:t>and</w:t>
            </w:r>
          </w:p>
          <w:p w14:paraId="78549551" w14:textId="77777777" w:rsidR="004C7180" w:rsidRPr="00150EDC" w:rsidRDefault="00CF0754" w:rsidP="00B320C7">
            <w:pPr>
              <w:pStyle w:val="TableParagraph"/>
              <w:numPr>
                <w:ilvl w:val="0"/>
                <w:numId w:val="125"/>
              </w:numPr>
              <w:tabs>
                <w:tab w:val="left" w:pos="995"/>
                <w:tab w:val="left" w:pos="997"/>
              </w:tabs>
              <w:spacing w:before="161" w:line="276" w:lineRule="auto"/>
              <w:ind w:right="101"/>
              <w:rPr>
                <w:sz w:val="24"/>
              </w:rPr>
            </w:pPr>
            <w:r w:rsidRPr="00150EDC">
              <w:rPr>
                <w:sz w:val="24"/>
              </w:rPr>
              <w:t>is</w:t>
            </w:r>
            <w:r w:rsidRPr="00150EDC">
              <w:rPr>
                <w:spacing w:val="-2"/>
                <w:sz w:val="24"/>
              </w:rPr>
              <w:t xml:space="preserve"> </w:t>
            </w:r>
            <w:r w:rsidRPr="00150EDC">
              <w:rPr>
                <w:sz w:val="24"/>
              </w:rPr>
              <w:t>entering</w:t>
            </w:r>
            <w:r w:rsidRPr="00150EDC">
              <w:rPr>
                <w:spacing w:val="-3"/>
                <w:sz w:val="24"/>
              </w:rPr>
              <w:t xml:space="preserve"> </w:t>
            </w:r>
            <w:r w:rsidRPr="00150EDC">
              <w:rPr>
                <w:sz w:val="24"/>
              </w:rPr>
              <w:t>into</w:t>
            </w:r>
            <w:r w:rsidRPr="00150EDC">
              <w:rPr>
                <w:spacing w:val="-3"/>
                <w:sz w:val="24"/>
              </w:rPr>
              <w:t xml:space="preserve"> </w:t>
            </w:r>
            <w:r w:rsidRPr="00150EDC">
              <w:rPr>
                <w:sz w:val="24"/>
              </w:rPr>
              <w:t>an</w:t>
            </w:r>
            <w:r w:rsidRPr="00150EDC">
              <w:rPr>
                <w:spacing w:val="-4"/>
                <w:sz w:val="24"/>
              </w:rPr>
              <w:t xml:space="preserve"> </w:t>
            </w:r>
            <w:r w:rsidRPr="00150EDC">
              <w:rPr>
                <w:sz w:val="24"/>
              </w:rPr>
              <w:t>Exempt</w:t>
            </w:r>
            <w:r w:rsidRPr="00150EDC">
              <w:rPr>
                <w:spacing w:val="-4"/>
                <w:sz w:val="24"/>
              </w:rPr>
              <w:t xml:space="preserve"> </w:t>
            </w:r>
            <w:r w:rsidRPr="00150EDC">
              <w:rPr>
                <w:sz w:val="24"/>
              </w:rPr>
              <w:t>Order</w:t>
            </w:r>
            <w:r w:rsidRPr="00150EDC">
              <w:rPr>
                <w:spacing w:val="-3"/>
                <w:sz w:val="24"/>
              </w:rPr>
              <w:t xml:space="preserve"> </w:t>
            </w:r>
            <w:r w:rsidRPr="00150EDC">
              <w:rPr>
                <w:sz w:val="24"/>
              </w:rPr>
              <w:t>Contract</w:t>
            </w:r>
            <w:r w:rsidRPr="00150EDC">
              <w:rPr>
                <w:spacing w:val="-4"/>
                <w:sz w:val="24"/>
              </w:rPr>
              <w:t xml:space="preserve"> </w:t>
            </w:r>
            <w:r w:rsidRPr="00150EDC">
              <w:rPr>
                <w:sz w:val="24"/>
              </w:rPr>
              <w:t>that</w:t>
            </w:r>
            <w:r w:rsidRPr="00150EDC">
              <w:rPr>
                <w:spacing w:val="-1"/>
                <w:sz w:val="24"/>
              </w:rPr>
              <w:t xml:space="preserve"> </w:t>
            </w:r>
            <w:r w:rsidRPr="00150EDC">
              <w:rPr>
                <w:sz w:val="24"/>
              </w:rPr>
              <w:t>is</w:t>
            </w:r>
            <w:r w:rsidRPr="00150EDC">
              <w:rPr>
                <w:spacing w:val="-5"/>
                <w:sz w:val="24"/>
              </w:rPr>
              <w:t xml:space="preserve"> </w:t>
            </w:r>
            <w:r w:rsidRPr="00150EDC">
              <w:rPr>
                <w:sz w:val="24"/>
              </w:rPr>
              <w:t>not</w:t>
            </w:r>
            <w:r w:rsidRPr="00150EDC">
              <w:rPr>
                <w:spacing w:val="-1"/>
                <w:sz w:val="24"/>
              </w:rPr>
              <w:t xml:space="preserve"> </w:t>
            </w:r>
            <w:r w:rsidRPr="00150EDC">
              <w:rPr>
                <w:sz w:val="24"/>
              </w:rPr>
              <w:t>subject to (as applicable) any of:</w:t>
            </w:r>
          </w:p>
          <w:p w14:paraId="5FF13C76" w14:textId="77777777" w:rsidR="004C7180" w:rsidRPr="00150EDC" w:rsidRDefault="00CF0754" w:rsidP="00B320C7">
            <w:pPr>
              <w:pStyle w:val="TableParagraph"/>
              <w:numPr>
                <w:ilvl w:val="1"/>
                <w:numId w:val="125"/>
              </w:numPr>
              <w:tabs>
                <w:tab w:val="left" w:pos="1717"/>
              </w:tabs>
              <w:spacing w:before="119" w:line="240" w:lineRule="auto"/>
              <w:jc w:val="left"/>
              <w:rPr>
                <w:sz w:val="24"/>
              </w:rPr>
            </w:pPr>
            <w:r w:rsidRPr="00150EDC">
              <w:rPr>
                <w:sz w:val="24"/>
              </w:rPr>
              <w:t xml:space="preserve">the </w:t>
            </w:r>
            <w:r w:rsidRPr="00150EDC">
              <w:rPr>
                <w:spacing w:val="-2"/>
                <w:sz w:val="24"/>
              </w:rPr>
              <w:t>Regulations;</w:t>
            </w:r>
          </w:p>
          <w:p w14:paraId="44A95468" w14:textId="77777777" w:rsidR="004C7180" w:rsidRPr="00150EDC" w:rsidRDefault="00CF0754" w:rsidP="00B320C7">
            <w:pPr>
              <w:pStyle w:val="TableParagraph"/>
              <w:numPr>
                <w:ilvl w:val="1"/>
                <w:numId w:val="125"/>
              </w:numPr>
              <w:tabs>
                <w:tab w:val="left" w:pos="1717"/>
              </w:tabs>
              <w:spacing w:before="164" w:line="276" w:lineRule="auto"/>
              <w:ind w:right="97" w:hanging="533"/>
              <w:jc w:val="left"/>
              <w:rPr>
                <w:sz w:val="24"/>
              </w:rPr>
            </w:pPr>
            <w:r w:rsidRPr="00150EDC">
              <w:rPr>
                <w:sz w:val="24"/>
              </w:rPr>
              <w:t>the</w:t>
            </w:r>
            <w:r w:rsidRPr="00150EDC">
              <w:rPr>
                <w:spacing w:val="80"/>
                <w:sz w:val="24"/>
              </w:rPr>
              <w:t xml:space="preserve"> </w:t>
            </w:r>
            <w:r w:rsidRPr="00150EDC">
              <w:rPr>
                <w:sz w:val="24"/>
              </w:rPr>
              <w:t>Concession</w:t>
            </w:r>
            <w:r w:rsidRPr="00150EDC">
              <w:rPr>
                <w:spacing w:val="80"/>
                <w:sz w:val="24"/>
              </w:rPr>
              <w:t xml:space="preserve"> </w:t>
            </w:r>
            <w:r w:rsidRPr="00150EDC">
              <w:rPr>
                <w:sz w:val="24"/>
              </w:rPr>
              <w:t>Contracts</w:t>
            </w:r>
            <w:r w:rsidRPr="00150EDC">
              <w:rPr>
                <w:spacing w:val="80"/>
                <w:sz w:val="24"/>
              </w:rPr>
              <w:t xml:space="preserve"> </w:t>
            </w:r>
            <w:r w:rsidRPr="00150EDC">
              <w:rPr>
                <w:sz w:val="24"/>
              </w:rPr>
              <w:t>Regulations</w:t>
            </w:r>
            <w:r w:rsidRPr="00150EDC">
              <w:rPr>
                <w:spacing w:val="80"/>
                <w:sz w:val="24"/>
              </w:rPr>
              <w:t xml:space="preserve"> </w:t>
            </w:r>
            <w:r w:rsidRPr="00150EDC">
              <w:rPr>
                <w:sz w:val="24"/>
              </w:rPr>
              <w:t>2016</w:t>
            </w:r>
            <w:r w:rsidRPr="00150EDC">
              <w:rPr>
                <w:spacing w:val="80"/>
                <w:sz w:val="24"/>
              </w:rPr>
              <w:t xml:space="preserve"> </w:t>
            </w:r>
            <w:r w:rsidRPr="00150EDC">
              <w:rPr>
                <w:sz w:val="24"/>
              </w:rPr>
              <w:t xml:space="preserve">(SI </w:t>
            </w:r>
            <w:r w:rsidRPr="00150EDC">
              <w:rPr>
                <w:spacing w:val="-2"/>
                <w:sz w:val="24"/>
              </w:rPr>
              <w:t>2016/273);</w:t>
            </w:r>
          </w:p>
          <w:p w14:paraId="2F17F5F2" w14:textId="77777777" w:rsidR="004C7180" w:rsidRPr="00150EDC" w:rsidRDefault="00CF0754" w:rsidP="00B320C7">
            <w:pPr>
              <w:pStyle w:val="TableParagraph"/>
              <w:numPr>
                <w:ilvl w:val="1"/>
                <w:numId w:val="125"/>
              </w:numPr>
              <w:tabs>
                <w:tab w:val="left" w:pos="1717"/>
                <w:tab w:val="left" w:pos="2336"/>
                <w:tab w:val="left" w:pos="3391"/>
                <w:tab w:val="left" w:pos="4699"/>
                <w:tab w:val="left" w:pos="6250"/>
                <w:tab w:val="left" w:pos="7066"/>
              </w:tabs>
              <w:spacing w:before="119" w:line="276" w:lineRule="auto"/>
              <w:ind w:right="99" w:hanging="588"/>
              <w:jc w:val="left"/>
              <w:rPr>
                <w:sz w:val="24"/>
              </w:rPr>
            </w:pPr>
            <w:r w:rsidRPr="00150EDC">
              <w:rPr>
                <w:spacing w:val="-4"/>
                <w:sz w:val="24"/>
              </w:rPr>
              <w:t>the</w:t>
            </w:r>
            <w:r w:rsidRPr="00150EDC">
              <w:rPr>
                <w:sz w:val="24"/>
              </w:rPr>
              <w:tab/>
            </w:r>
            <w:r w:rsidRPr="00150EDC">
              <w:rPr>
                <w:spacing w:val="-2"/>
                <w:sz w:val="24"/>
              </w:rPr>
              <w:t>Utilities</w:t>
            </w:r>
            <w:r w:rsidRPr="00150EDC">
              <w:rPr>
                <w:sz w:val="24"/>
              </w:rPr>
              <w:tab/>
            </w:r>
            <w:r w:rsidRPr="00150EDC">
              <w:rPr>
                <w:spacing w:val="-2"/>
                <w:sz w:val="24"/>
              </w:rPr>
              <w:t>Contracts</w:t>
            </w:r>
            <w:r w:rsidRPr="00150EDC">
              <w:rPr>
                <w:sz w:val="24"/>
              </w:rPr>
              <w:tab/>
            </w:r>
            <w:r w:rsidRPr="00150EDC">
              <w:rPr>
                <w:spacing w:val="-2"/>
                <w:sz w:val="24"/>
              </w:rPr>
              <w:t>Regulations</w:t>
            </w:r>
            <w:r w:rsidRPr="00150EDC">
              <w:rPr>
                <w:sz w:val="24"/>
              </w:rPr>
              <w:tab/>
            </w:r>
            <w:r w:rsidRPr="00150EDC">
              <w:rPr>
                <w:spacing w:val="-4"/>
                <w:sz w:val="24"/>
              </w:rPr>
              <w:t>2016</w:t>
            </w:r>
            <w:r w:rsidRPr="00150EDC">
              <w:rPr>
                <w:sz w:val="24"/>
              </w:rPr>
              <w:tab/>
            </w:r>
            <w:r w:rsidRPr="00150EDC">
              <w:rPr>
                <w:spacing w:val="-4"/>
                <w:sz w:val="24"/>
              </w:rPr>
              <w:t xml:space="preserve">(SI </w:t>
            </w:r>
            <w:r w:rsidRPr="00150EDC">
              <w:rPr>
                <w:spacing w:val="-2"/>
                <w:sz w:val="24"/>
              </w:rPr>
              <w:t>2016/274);</w:t>
            </w:r>
          </w:p>
          <w:p w14:paraId="4543086D" w14:textId="77777777" w:rsidR="004C7180" w:rsidRPr="00150EDC" w:rsidRDefault="00CF0754" w:rsidP="00B320C7">
            <w:pPr>
              <w:pStyle w:val="TableParagraph"/>
              <w:numPr>
                <w:ilvl w:val="1"/>
                <w:numId w:val="125"/>
              </w:numPr>
              <w:tabs>
                <w:tab w:val="left" w:pos="1717"/>
                <w:tab w:val="left" w:pos="2350"/>
                <w:tab w:val="left" w:pos="3537"/>
                <w:tab w:val="left" w:pos="4233"/>
                <w:tab w:val="left" w:pos="5396"/>
                <w:tab w:val="left" w:pos="6343"/>
              </w:tabs>
              <w:spacing w:before="121" w:line="276" w:lineRule="auto"/>
              <w:ind w:right="100" w:hanging="600"/>
              <w:jc w:val="left"/>
              <w:rPr>
                <w:sz w:val="24"/>
              </w:rPr>
            </w:pPr>
            <w:r w:rsidRPr="00150EDC">
              <w:rPr>
                <w:spacing w:val="-4"/>
                <w:sz w:val="24"/>
              </w:rPr>
              <w:t>the</w:t>
            </w:r>
            <w:r w:rsidRPr="00150EDC">
              <w:rPr>
                <w:sz w:val="24"/>
              </w:rPr>
              <w:tab/>
            </w:r>
            <w:r w:rsidRPr="00150EDC">
              <w:rPr>
                <w:spacing w:val="-2"/>
                <w:sz w:val="24"/>
              </w:rPr>
              <w:t>Defence</w:t>
            </w:r>
            <w:r w:rsidRPr="00150EDC">
              <w:rPr>
                <w:sz w:val="24"/>
              </w:rPr>
              <w:tab/>
            </w:r>
            <w:r w:rsidRPr="00150EDC">
              <w:rPr>
                <w:spacing w:val="-4"/>
                <w:sz w:val="24"/>
              </w:rPr>
              <w:t>and</w:t>
            </w:r>
            <w:r w:rsidRPr="00150EDC">
              <w:rPr>
                <w:sz w:val="24"/>
              </w:rPr>
              <w:tab/>
            </w:r>
            <w:r w:rsidRPr="00150EDC">
              <w:rPr>
                <w:spacing w:val="-2"/>
                <w:sz w:val="24"/>
              </w:rPr>
              <w:t>Security</w:t>
            </w:r>
            <w:r w:rsidRPr="00150EDC">
              <w:rPr>
                <w:sz w:val="24"/>
              </w:rPr>
              <w:tab/>
            </w:r>
            <w:r w:rsidRPr="00150EDC">
              <w:rPr>
                <w:spacing w:val="-2"/>
                <w:sz w:val="24"/>
              </w:rPr>
              <w:t>Public</w:t>
            </w:r>
            <w:r w:rsidRPr="00150EDC">
              <w:rPr>
                <w:sz w:val="24"/>
              </w:rPr>
              <w:tab/>
            </w:r>
            <w:r w:rsidRPr="00150EDC">
              <w:rPr>
                <w:spacing w:val="-2"/>
                <w:sz w:val="24"/>
              </w:rPr>
              <w:t xml:space="preserve">Contracts </w:t>
            </w:r>
            <w:r w:rsidRPr="00150EDC">
              <w:rPr>
                <w:sz w:val="24"/>
              </w:rPr>
              <w:t>Regulations 2011 (SI 2011/1848);</w:t>
            </w:r>
          </w:p>
          <w:p w14:paraId="37A70A53" w14:textId="77777777" w:rsidR="004C7180" w:rsidRPr="00150EDC" w:rsidRDefault="00CF0754" w:rsidP="00B320C7">
            <w:pPr>
              <w:pStyle w:val="TableParagraph"/>
              <w:numPr>
                <w:ilvl w:val="1"/>
                <w:numId w:val="125"/>
              </w:numPr>
              <w:tabs>
                <w:tab w:val="left" w:pos="1717"/>
              </w:tabs>
              <w:spacing w:before="119" w:line="240" w:lineRule="auto"/>
              <w:ind w:hanging="547"/>
              <w:jc w:val="left"/>
              <w:rPr>
                <w:sz w:val="24"/>
              </w:rPr>
            </w:pPr>
            <w:r w:rsidRPr="00150EDC">
              <w:rPr>
                <w:sz w:val="24"/>
              </w:rPr>
              <w:t>the</w:t>
            </w:r>
            <w:r w:rsidRPr="00150EDC">
              <w:rPr>
                <w:spacing w:val="-5"/>
                <w:sz w:val="24"/>
              </w:rPr>
              <w:t xml:space="preserve"> </w:t>
            </w:r>
            <w:r w:rsidRPr="00150EDC">
              <w:rPr>
                <w:sz w:val="24"/>
              </w:rPr>
              <w:t>Remedies</w:t>
            </w:r>
            <w:r w:rsidRPr="00150EDC">
              <w:rPr>
                <w:spacing w:val="-5"/>
                <w:sz w:val="24"/>
              </w:rPr>
              <w:t xml:space="preserve"> </w:t>
            </w:r>
            <w:r w:rsidRPr="00150EDC">
              <w:rPr>
                <w:sz w:val="24"/>
              </w:rPr>
              <w:t>Directive</w:t>
            </w:r>
            <w:r w:rsidRPr="00150EDC">
              <w:rPr>
                <w:spacing w:val="-5"/>
                <w:sz w:val="24"/>
              </w:rPr>
              <w:t xml:space="preserve"> </w:t>
            </w:r>
            <w:r w:rsidRPr="00150EDC">
              <w:rPr>
                <w:spacing w:val="-2"/>
                <w:sz w:val="24"/>
              </w:rPr>
              <w:t>(2007/66/EC);</w:t>
            </w:r>
          </w:p>
          <w:p w14:paraId="1E43EBFE" w14:textId="77777777" w:rsidR="004C7180" w:rsidRPr="00150EDC" w:rsidRDefault="00CF0754" w:rsidP="00B320C7">
            <w:pPr>
              <w:pStyle w:val="TableParagraph"/>
              <w:numPr>
                <w:ilvl w:val="1"/>
                <w:numId w:val="125"/>
              </w:numPr>
              <w:tabs>
                <w:tab w:val="left" w:pos="1717"/>
              </w:tabs>
              <w:spacing w:before="161" w:line="278" w:lineRule="auto"/>
              <w:ind w:right="100" w:hanging="600"/>
              <w:jc w:val="left"/>
              <w:rPr>
                <w:sz w:val="24"/>
              </w:rPr>
            </w:pPr>
            <w:r w:rsidRPr="00150EDC">
              <w:rPr>
                <w:sz w:val="24"/>
              </w:rPr>
              <w:t>Directive</w:t>
            </w:r>
            <w:r w:rsidRPr="00150EDC">
              <w:rPr>
                <w:spacing w:val="-17"/>
                <w:sz w:val="24"/>
              </w:rPr>
              <w:t xml:space="preserve"> </w:t>
            </w:r>
            <w:r w:rsidRPr="00150EDC">
              <w:rPr>
                <w:sz w:val="24"/>
              </w:rPr>
              <w:t>2014/23/EU</w:t>
            </w:r>
            <w:r w:rsidRPr="00150EDC">
              <w:rPr>
                <w:spacing w:val="-17"/>
                <w:sz w:val="24"/>
              </w:rPr>
              <w:t xml:space="preserve"> </w:t>
            </w:r>
            <w:r w:rsidRPr="00150EDC">
              <w:rPr>
                <w:sz w:val="24"/>
              </w:rPr>
              <w:t>of</w:t>
            </w:r>
            <w:r w:rsidRPr="00150EDC">
              <w:rPr>
                <w:spacing w:val="-16"/>
                <w:sz w:val="24"/>
              </w:rPr>
              <w:t xml:space="preserve"> </w:t>
            </w:r>
            <w:r w:rsidRPr="00150EDC">
              <w:rPr>
                <w:sz w:val="24"/>
              </w:rPr>
              <w:t>the</w:t>
            </w:r>
            <w:r w:rsidRPr="00150EDC">
              <w:rPr>
                <w:spacing w:val="-17"/>
                <w:sz w:val="24"/>
              </w:rPr>
              <w:t xml:space="preserve"> </w:t>
            </w:r>
            <w:r w:rsidRPr="00150EDC">
              <w:rPr>
                <w:sz w:val="24"/>
              </w:rPr>
              <w:t>European</w:t>
            </w:r>
            <w:r w:rsidRPr="00150EDC">
              <w:rPr>
                <w:spacing w:val="-17"/>
                <w:sz w:val="24"/>
              </w:rPr>
              <w:t xml:space="preserve"> </w:t>
            </w:r>
            <w:r w:rsidRPr="00150EDC">
              <w:rPr>
                <w:sz w:val="24"/>
              </w:rPr>
              <w:t>Parliament</w:t>
            </w:r>
            <w:r w:rsidRPr="00150EDC">
              <w:rPr>
                <w:spacing w:val="-17"/>
                <w:sz w:val="24"/>
              </w:rPr>
              <w:t xml:space="preserve"> </w:t>
            </w:r>
            <w:r w:rsidRPr="00150EDC">
              <w:rPr>
                <w:sz w:val="24"/>
              </w:rPr>
              <w:t xml:space="preserve">and </w:t>
            </w:r>
            <w:r w:rsidRPr="00150EDC">
              <w:rPr>
                <w:spacing w:val="-2"/>
                <w:sz w:val="24"/>
              </w:rPr>
              <w:t>Council;</w:t>
            </w:r>
          </w:p>
          <w:p w14:paraId="2EC140F2" w14:textId="77777777" w:rsidR="004C7180" w:rsidRPr="00150EDC" w:rsidRDefault="00CF0754" w:rsidP="00B320C7">
            <w:pPr>
              <w:pStyle w:val="TableParagraph"/>
              <w:numPr>
                <w:ilvl w:val="1"/>
                <w:numId w:val="125"/>
              </w:numPr>
              <w:tabs>
                <w:tab w:val="left" w:pos="1717"/>
              </w:tabs>
              <w:spacing w:before="116" w:line="276" w:lineRule="auto"/>
              <w:ind w:right="97" w:hanging="653"/>
              <w:jc w:val="left"/>
              <w:rPr>
                <w:sz w:val="24"/>
              </w:rPr>
            </w:pPr>
            <w:r w:rsidRPr="00150EDC">
              <w:rPr>
                <w:sz w:val="24"/>
              </w:rPr>
              <w:t>Directive</w:t>
            </w:r>
            <w:r w:rsidRPr="00150EDC">
              <w:rPr>
                <w:spacing w:val="-17"/>
                <w:sz w:val="24"/>
              </w:rPr>
              <w:t xml:space="preserve"> </w:t>
            </w:r>
            <w:r w:rsidRPr="00150EDC">
              <w:rPr>
                <w:sz w:val="24"/>
              </w:rPr>
              <w:t>2014/24/EU</w:t>
            </w:r>
            <w:r w:rsidRPr="00150EDC">
              <w:rPr>
                <w:spacing w:val="-17"/>
                <w:sz w:val="24"/>
              </w:rPr>
              <w:t xml:space="preserve"> </w:t>
            </w:r>
            <w:r w:rsidRPr="00150EDC">
              <w:rPr>
                <w:sz w:val="24"/>
              </w:rPr>
              <w:t>of</w:t>
            </w:r>
            <w:r w:rsidRPr="00150EDC">
              <w:rPr>
                <w:spacing w:val="-16"/>
                <w:sz w:val="24"/>
              </w:rPr>
              <w:t xml:space="preserve"> </w:t>
            </w:r>
            <w:r w:rsidRPr="00150EDC">
              <w:rPr>
                <w:sz w:val="24"/>
              </w:rPr>
              <w:t>the</w:t>
            </w:r>
            <w:r w:rsidRPr="00150EDC">
              <w:rPr>
                <w:spacing w:val="-17"/>
                <w:sz w:val="24"/>
              </w:rPr>
              <w:t xml:space="preserve"> </w:t>
            </w:r>
            <w:r w:rsidRPr="00150EDC">
              <w:rPr>
                <w:sz w:val="24"/>
              </w:rPr>
              <w:t>European</w:t>
            </w:r>
            <w:r w:rsidRPr="00150EDC">
              <w:rPr>
                <w:spacing w:val="-17"/>
                <w:sz w:val="24"/>
              </w:rPr>
              <w:t xml:space="preserve"> </w:t>
            </w:r>
            <w:r w:rsidRPr="00150EDC">
              <w:rPr>
                <w:sz w:val="24"/>
              </w:rPr>
              <w:t>Parliament</w:t>
            </w:r>
            <w:r w:rsidRPr="00150EDC">
              <w:rPr>
                <w:spacing w:val="-17"/>
                <w:sz w:val="24"/>
              </w:rPr>
              <w:t xml:space="preserve"> </w:t>
            </w:r>
            <w:r w:rsidRPr="00150EDC">
              <w:rPr>
                <w:sz w:val="24"/>
              </w:rPr>
              <w:t xml:space="preserve">and </w:t>
            </w:r>
            <w:r w:rsidRPr="00150EDC">
              <w:rPr>
                <w:spacing w:val="-2"/>
                <w:sz w:val="24"/>
              </w:rPr>
              <w:t>Council;</w:t>
            </w:r>
          </w:p>
          <w:p w14:paraId="46E55D4E" w14:textId="77777777" w:rsidR="004C7180" w:rsidRPr="00150EDC" w:rsidRDefault="00CF0754" w:rsidP="00B320C7">
            <w:pPr>
              <w:pStyle w:val="TableParagraph"/>
              <w:numPr>
                <w:ilvl w:val="1"/>
                <w:numId w:val="125"/>
              </w:numPr>
              <w:tabs>
                <w:tab w:val="left" w:pos="1717"/>
              </w:tabs>
              <w:spacing w:before="119" w:line="276" w:lineRule="auto"/>
              <w:ind w:right="100" w:hanging="708"/>
              <w:jc w:val="left"/>
              <w:rPr>
                <w:sz w:val="24"/>
              </w:rPr>
            </w:pPr>
            <w:r w:rsidRPr="00150EDC">
              <w:rPr>
                <w:sz w:val="24"/>
              </w:rPr>
              <w:t>Directive</w:t>
            </w:r>
            <w:r w:rsidRPr="00150EDC">
              <w:rPr>
                <w:spacing w:val="-17"/>
                <w:sz w:val="24"/>
              </w:rPr>
              <w:t xml:space="preserve"> </w:t>
            </w:r>
            <w:r w:rsidRPr="00150EDC">
              <w:rPr>
                <w:sz w:val="24"/>
              </w:rPr>
              <w:t>2014/25/EU</w:t>
            </w:r>
            <w:r w:rsidRPr="00150EDC">
              <w:rPr>
                <w:spacing w:val="-17"/>
                <w:sz w:val="24"/>
              </w:rPr>
              <w:t xml:space="preserve"> </w:t>
            </w:r>
            <w:r w:rsidRPr="00150EDC">
              <w:rPr>
                <w:sz w:val="24"/>
              </w:rPr>
              <w:t>of</w:t>
            </w:r>
            <w:r w:rsidRPr="00150EDC">
              <w:rPr>
                <w:spacing w:val="-16"/>
                <w:sz w:val="24"/>
              </w:rPr>
              <w:t xml:space="preserve"> </w:t>
            </w:r>
            <w:r w:rsidRPr="00150EDC">
              <w:rPr>
                <w:sz w:val="24"/>
              </w:rPr>
              <w:t>the</w:t>
            </w:r>
            <w:r w:rsidRPr="00150EDC">
              <w:rPr>
                <w:spacing w:val="-17"/>
                <w:sz w:val="24"/>
              </w:rPr>
              <w:t xml:space="preserve"> </w:t>
            </w:r>
            <w:r w:rsidRPr="00150EDC">
              <w:rPr>
                <w:sz w:val="24"/>
              </w:rPr>
              <w:t>European</w:t>
            </w:r>
            <w:r w:rsidRPr="00150EDC">
              <w:rPr>
                <w:spacing w:val="-17"/>
                <w:sz w:val="24"/>
              </w:rPr>
              <w:t xml:space="preserve"> </w:t>
            </w:r>
            <w:r w:rsidRPr="00150EDC">
              <w:rPr>
                <w:sz w:val="24"/>
              </w:rPr>
              <w:t>Parliament</w:t>
            </w:r>
            <w:r w:rsidRPr="00150EDC">
              <w:rPr>
                <w:spacing w:val="-17"/>
                <w:sz w:val="24"/>
              </w:rPr>
              <w:t xml:space="preserve"> </w:t>
            </w:r>
            <w:r w:rsidRPr="00150EDC">
              <w:rPr>
                <w:sz w:val="24"/>
              </w:rPr>
              <w:t>and Council; or</w:t>
            </w:r>
          </w:p>
        </w:tc>
      </w:tr>
    </w:tbl>
    <w:p w14:paraId="787B2B10" w14:textId="77777777" w:rsidR="004C7180" w:rsidRPr="00150EDC" w:rsidRDefault="004C7180">
      <w:pPr>
        <w:spacing w:line="276" w:lineRule="auto"/>
        <w:rPr>
          <w:sz w:val="24"/>
        </w:rPr>
        <w:sectPr w:rsidR="004C7180" w:rsidRPr="00150EDC">
          <w:pgSz w:w="11910" w:h="16840"/>
          <w:pgMar w:top="1160" w:right="0" w:bottom="1460" w:left="40" w:header="715" w:footer="1208" w:gutter="0"/>
          <w:cols w:space="720"/>
        </w:sectPr>
      </w:pPr>
    </w:p>
    <w:p w14:paraId="282FF728" w14:textId="77777777" w:rsidR="004C7180" w:rsidRPr="00150EDC" w:rsidRDefault="004C7180">
      <w:pPr>
        <w:pStyle w:val="BodyText"/>
        <w:spacing w:before="7"/>
        <w:rPr>
          <w:sz w:val="23"/>
        </w:rPr>
      </w:pPr>
    </w:p>
    <w:tbl>
      <w:tblPr>
        <w:tblW w:w="0" w:type="auto"/>
        <w:tblInd w:w="1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4"/>
        <w:gridCol w:w="7484"/>
      </w:tblGrid>
      <w:tr w:rsidR="007D3144" w:rsidRPr="007D3144" w14:paraId="6FBB52F2" w14:textId="77777777">
        <w:trPr>
          <w:trHeight w:val="756"/>
        </w:trPr>
        <w:tc>
          <w:tcPr>
            <w:tcW w:w="2264" w:type="dxa"/>
          </w:tcPr>
          <w:p w14:paraId="53297433" w14:textId="77777777" w:rsidR="004C7180" w:rsidRPr="00150EDC" w:rsidRDefault="004C7180">
            <w:pPr>
              <w:pStyle w:val="TableParagraph"/>
              <w:spacing w:before="0" w:line="240" w:lineRule="auto"/>
              <w:ind w:left="0"/>
              <w:rPr>
                <w:rFonts w:ascii="Times New Roman"/>
              </w:rPr>
            </w:pPr>
          </w:p>
        </w:tc>
        <w:tc>
          <w:tcPr>
            <w:tcW w:w="7484" w:type="dxa"/>
          </w:tcPr>
          <w:p w14:paraId="785BAAFB" w14:textId="77777777" w:rsidR="004C7180" w:rsidRPr="00150EDC" w:rsidRDefault="00CF0754">
            <w:pPr>
              <w:pStyle w:val="TableParagraph"/>
              <w:tabs>
                <w:tab w:val="left" w:pos="1717"/>
              </w:tabs>
              <w:spacing w:before="0" w:line="276" w:lineRule="auto"/>
              <w:ind w:left="1717" w:right="100" w:hanging="600"/>
              <w:rPr>
                <w:sz w:val="24"/>
              </w:rPr>
            </w:pPr>
            <w:r w:rsidRPr="00150EDC">
              <w:rPr>
                <w:spacing w:val="-4"/>
                <w:sz w:val="24"/>
              </w:rPr>
              <w:t>ix.</w:t>
            </w:r>
            <w:r w:rsidRPr="00150EDC">
              <w:rPr>
                <w:sz w:val="24"/>
              </w:rPr>
              <w:tab/>
              <w:t>Directive</w:t>
            </w:r>
            <w:r w:rsidRPr="00150EDC">
              <w:rPr>
                <w:spacing w:val="-17"/>
                <w:sz w:val="24"/>
              </w:rPr>
              <w:t xml:space="preserve"> </w:t>
            </w:r>
            <w:r w:rsidRPr="00150EDC">
              <w:rPr>
                <w:sz w:val="24"/>
              </w:rPr>
              <w:t>2009/81/EC</w:t>
            </w:r>
            <w:r w:rsidRPr="00150EDC">
              <w:rPr>
                <w:spacing w:val="-17"/>
                <w:sz w:val="24"/>
              </w:rPr>
              <w:t xml:space="preserve"> </w:t>
            </w:r>
            <w:r w:rsidRPr="00150EDC">
              <w:rPr>
                <w:sz w:val="24"/>
              </w:rPr>
              <w:t>of</w:t>
            </w:r>
            <w:r w:rsidRPr="00150EDC">
              <w:rPr>
                <w:spacing w:val="-16"/>
                <w:sz w:val="24"/>
              </w:rPr>
              <w:t xml:space="preserve"> </w:t>
            </w:r>
            <w:r w:rsidRPr="00150EDC">
              <w:rPr>
                <w:sz w:val="24"/>
              </w:rPr>
              <w:t>the</w:t>
            </w:r>
            <w:r w:rsidRPr="00150EDC">
              <w:rPr>
                <w:spacing w:val="-17"/>
                <w:sz w:val="24"/>
              </w:rPr>
              <w:t xml:space="preserve"> </w:t>
            </w:r>
            <w:r w:rsidRPr="00150EDC">
              <w:rPr>
                <w:sz w:val="24"/>
              </w:rPr>
              <w:t>European</w:t>
            </w:r>
            <w:r w:rsidRPr="00150EDC">
              <w:rPr>
                <w:spacing w:val="-17"/>
                <w:sz w:val="24"/>
              </w:rPr>
              <w:t xml:space="preserve"> </w:t>
            </w:r>
            <w:r w:rsidRPr="00150EDC">
              <w:rPr>
                <w:sz w:val="24"/>
              </w:rPr>
              <w:t>Parliament</w:t>
            </w:r>
            <w:r w:rsidRPr="00150EDC">
              <w:rPr>
                <w:spacing w:val="-17"/>
                <w:sz w:val="24"/>
              </w:rPr>
              <w:t xml:space="preserve"> </w:t>
            </w:r>
            <w:r w:rsidRPr="00150EDC">
              <w:rPr>
                <w:sz w:val="24"/>
              </w:rPr>
              <w:t xml:space="preserve">and </w:t>
            </w:r>
            <w:r w:rsidRPr="00150EDC">
              <w:rPr>
                <w:spacing w:val="-2"/>
                <w:sz w:val="24"/>
              </w:rPr>
              <w:t>Council;</w:t>
            </w:r>
          </w:p>
        </w:tc>
      </w:tr>
      <w:tr w:rsidR="007D3144" w:rsidRPr="007D3144" w14:paraId="74C1B8A2" w14:textId="77777777">
        <w:trPr>
          <w:trHeight w:val="1223"/>
        </w:trPr>
        <w:tc>
          <w:tcPr>
            <w:tcW w:w="2264" w:type="dxa"/>
          </w:tcPr>
          <w:p w14:paraId="006A002F" w14:textId="77777777" w:rsidR="004C7180" w:rsidRPr="00150EDC" w:rsidRDefault="00CF0754">
            <w:pPr>
              <w:pStyle w:val="TableParagraph"/>
              <w:spacing w:before="0" w:line="240" w:lineRule="auto"/>
              <w:ind w:left="-1"/>
              <w:rPr>
                <w:b/>
                <w:sz w:val="24"/>
              </w:rPr>
            </w:pPr>
            <w:r w:rsidRPr="00150EDC">
              <w:rPr>
                <w:b/>
                <w:sz w:val="24"/>
              </w:rPr>
              <w:t>“Exempt</w:t>
            </w:r>
            <w:r w:rsidRPr="00150EDC">
              <w:rPr>
                <w:b/>
                <w:spacing w:val="-17"/>
                <w:sz w:val="24"/>
              </w:rPr>
              <w:t xml:space="preserve"> </w:t>
            </w:r>
            <w:r w:rsidRPr="00150EDC">
              <w:rPr>
                <w:b/>
                <w:sz w:val="24"/>
              </w:rPr>
              <w:t xml:space="preserve">Order </w:t>
            </w:r>
            <w:r w:rsidRPr="00150EDC">
              <w:rPr>
                <w:b/>
                <w:spacing w:val="-2"/>
                <w:sz w:val="24"/>
              </w:rPr>
              <w:t>Contract”</w:t>
            </w:r>
          </w:p>
        </w:tc>
        <w:tc>
          <w:tcPr>
            <w:tcW w:w="7484" w:type="dxa"/>
          </w:tcPr>
          <w:p w14:paraId="7D95BEB2" w14:textId="77777777" w:rsidR="004C7180" w:rsidRPr="00150EDC" w:rsidRDefault="00CF0754">
            <w:pPr>
              <w:pStyle w:val="TableParagraph"/>
              <w:spacing w:before="0" w:line="240" w:lineRule="auto"/>
              <w:ind w:left="277" w:right="99"/>
              <w:jc w:val="both"/>
              <w:rPr>
                <w:sz w:val="24"/>
              </w:rPr>
            </w:pPr>
            <w:r w:rsidRPr="00150EDC">
              <w:rPr>
                <w:sz w:val="24"/>
              </w:rPr>
              <w:t>the contract between the Exempt Buyer and the Supplier for Deliverables which consists of the terms set out and referred to in the Order Form incorporating and, where necessary, amending, refining or adding to the terms of the DPS Contract;</w:t>
            </w:r>
          </w:p>
        </w:tc>
      </w:tr>
      <w:tr w:rsidR="007D3144" w:rsidRPr="007D3144" w14:paraId="7973946D" w14:textId="77777777">
        <w:trPr>
          <w:trHeight w:val="1499"/>
        </w:trPr>
        <w:tc>
          <w:tcPr>
            <w:tcW w:w="2264" w:type="dxa"/>
          </w:tcPr>
          <w:p w14:paraId="46D524C0" w14:textId="77777777" w:rsidR="004C7180" w:rsidRPr="00150EDC" w:rsidRDefault="00CF0754">
            <w:pPr>
              <w:pStyle w:val="TableParagraph"/>
              <w:spacing w:before="0" w:line="240" w:lineRule="auto"/>
              <w:ind w:left="-1"/>
              <w:rPr>
                <w:b/>
                <w:sz w:val="24"/>
              </w:rPr>
            </w:pPr>
            <w:r w:rsidRPr="00150EDC">
              <w:rPr>
                <w:b/>
                <w:spacing w:val="-2"/>
                <w:sz w:val="24"/>
              </w:rPr>
              <w:t>“Exempt Procurement Amendments”</w:t>
            </w:r>
          </w:p>
        </w:tc>
        <w:tc>
          <w:tcPr>
            <w:tcW w:w="7484" w:type="dxa"/>
          </w:tcPr>
          <w:p w14:paraId="79EFA400" w14:textId="77777777" w:rsidR="004C7180" w:rsidRPr="00150EDC" w:rsidRDefault="00CF0754">
            <w:pPr>
              <w:pStyle w:val="TableParagraph"/>
              <w:spacing w:before="0" w:line="240" w:lineRule="auto"/>
              <w:ind w:left="277" w:right="96"/>
              <w:jc w:val="both"/>
              <w:rPr>
                <w:sz w:val="24"/>
              </w:rPr>
            </w:pPr>
            <w:r w:rsidRPr="00150EDC">
              <w:rPr>
                <w:sz w:val="24"/>
              </w:rPr>
              <w:t>any amendments, refinements or additions to any of the terms of the DPS Contract made through the Exempt Order Contract to reflect</w:t>
            </w:r>
            <w:r w:rsidRPr="00150EDC">
              <w:rPr>
                <w:spacing w:val="-17"/>
                <w:sz w:val="24"/>
              </w:rPr>
              <w:t xml:space="preserve"> </w:t>
            </w:r>
            <w:r w:rsidRPr="00150EDC">
              <w:rPr>
                <w:sz w:val="24"/>
              </w:rPr>
              <w:t>the</w:t>
            </w:r>
            <w:r w:rsidRPr="00150EDC">
              <w:rPr>
                <w:spacing w:val="-17"/>
                <w:sz w:val="24"/>
              </w:rPr>
              <w:t xml:space="preserve"> </w:t>
            </w:r>
            <w:r w:rsidRPr="00150EDC">
              <w:rPr>
                <w:sz w:val="24"/>
              </w:rPr>
              <w:t>specific</w:t>
            </w:r>
            <w:r w:rsidRPr="00150EDC">
              <w:rPr>
                <w:spacing w:val="-16"/>
                <w:sz w:val="24"/>
              </w:rPr>
              <w:t xml:space="preserve"> </w:t>
            </w:r>
            <w:r w:rsidRPr="00150EDC">
              <w:rPr>
                <w:sz w:val="24"/>
              </w:rPr>
              <w:t>needs</w:t>
            </w:r>
            <w:r w:rsidRPr="00150EDC">
              <w:rPr>
                <w:spacing w:val="-17"/>
                <w:sz w:val="24"/>
              </w:rPr>
              <w:t xml:space="preserve"> </w:t>
            </w:r>
            <w:r w:rsidRPr="00150EDC">
              <w:rPr>
                <w:sz w:val="24"/>
              </w:rPr>
              <w:t>of</w:t>
            </w:r>
            <w:r w:rsidRPr="00150EDC">
              <w:rPr>
                <w:spacing w:val="-17"/>
                <w:sz w:val="24"/>
              </w:rPr>
              <w:t xml:space="preserve"> </w:t>
            </w:r>
            <w:r w:rsidRPr="00150EDC">
              <w:rPr>
                <w:sz w:val="24"/>
              </w:rPr>
              <w:t>an</w:t>
            </w:r>
            <w:r w:rsidRPr="00150EDC">
              <w:rPr>
                <w:spacing w:val="-17"/>
                <w:sz w:val="24"/>
              </w:rPr>
              <w:t xml:space="preserve"> </w:t>
            </w:r>
            <w:r w:rsidRPr="00150EDC">
              <w:rPr>
                <w:sz w:val="24"/>
              </w:rPr>
              <w:t>Exempt</w:t>
            </w:r>
            <w:r w:rsidRPr="00150EDC">
              <w:rPr>
                <w:spacing w:val="-16"/>
                <w:sz w:val="24"/>
              </w:rPr>
              <w:t xml:space="preserve"> </w:t>
            </w:r>
            <w:r w:rsidRPr="00150EDC">
              <w:rPr>
                <w:sz w:val="24"/>
              </w:rPr>
              <w:t>Buyer</w:t>
            </w:r>
            <w:r w:rsidRPr="00150EDC">
              <w:rPr>
                <w:spacing w:val="-17"/>
                <w:sz w:val="24"/>
              </w:rPr>
              <w:t xml:space="preserve"> </w:t>
            </w:r>
            <w:r w:rsidRPr="00150EDC">
              <w:rPr>
                <w:sz w:val="24"/>
              </w:rPr>
              <w:t>to</w:t>
            </w:r>
            <w:r w:rsidRPr="00150EDC">
              <w:rPr>
                <w:spacing w:val="-17"/>
                <w:sz w:val="24"/>
              </w:rPr>
              <w:t xml:space="preserve"> </w:t>
            </w:r>
            <w:r w:rsidRPr="00150EDC">
              <w:rPr>
                <w:sz w:val="24"/>
              </w:rPr>
              <w:t>the</w:t>
            </w:r>
            <w:r w:rsidRPr="00150EDC">
              <w:rPr>
                <w:spacing w:val="-16"/>
                <w:sz w:val="24"/>
              </w:rPr>
              <w:t xml:space="preserve"> </w:t>
            </w:r>
            <w:r w:rsidRPr="00150EDC">
              <w:rPr>
                <w:sz w:val="24"/>
              </w:rPr>
              <w:t>extent</w:t>
            </w:r>
            <w:r w:rsidRPr="00150EDC">
              <w:rPr>
                <w:spacing w:val="-17"/>
                <w:sz w:val="24"/>
              </w:rPr>
              <w:t xml:space="preserve"> </w:t>
            </w:r>
            <w:r w:rsidRPr="00150EDC">
              <w:rPr>
                <w:sz w:val="24"/>
              </w:rPr>
              <w:t>permitted by</w:t>
            </w:r>
            <w:r w:rsidRPr="00150EDC">
              <w:rPr>
                <w:spacing w:val="-9"/>
                <w:sz w:val="24"/>
              </w:rPr>
              <w:t xml:space="preserve"> </w:t>
            </w:r>
            <w:r w:rsidRPr="00150EDC">
              <w:rPr>
                <w:sz w:val="24"/>
              </w:rPr>
              <w:t>and</w:t>
            </w:r>
            <w:r w:rsidRPr="00150EDC">
              <w:rPr>
                <w:spacing w:val="-8"/>
                <w:sz w:val="24"/>
              </w:rPr>
              <w:t xml:space="preserve"> </w:t>
            </w:r>
            <w:r w:rsidRPr="00150EDC">
              <w:rPr>
                <w:sz w:val="24"/>
              </w:rPr>
              <w:t>in</w:t>
            </w:r>
            <w:r w:rsidRPr="00150EDC">
              <w:rPr>
                <w:spacing w:val="-8"/>
                <w:sz w:val="24"/>
              </w:rPr>
              <w:t xml:space="preserve"> </w:t>
            </w:r>
            <w:r w:rsidRPr="00150EDC">
              <w:rPr>
                <w:sz w:val="24"/>
              </w:rPr>
              <w:t>accordance</w:t>
            </w:r>
            <w:r w:rsidRPr="00150EDC">
              <w:rPr>
                <w:spacing w:val="-10"/>
                <w:sz w:val="24"/>
              </w:rPr>
              <w:t xml:space="preserve"> </w:t>
            </w:r>
            <w:r w:rsidRPr="00150EDC">
              <w:rPr>
                <w:sz w:val="24"/>
              </w:rPr>
              <w:t>with</w:t>
            </w:r>
            <w:r w:rsidRPr="00150EDC">
              <w:rPr>
                <w:spacing w:val="-8"/>
                <w:sz w:val="24"/>
              </w:rPr>
              <w:t xml:space="preserve"> </w:t>
            </w:r>
            <w:r w:rsidRPr="00150EDC">
              <w:rPr>
                <w:sz w:val="24"/>
              </w:rPr>
              <w:t>any</w:t>
            </w:r>
            <w:r w:rsidRPr="00150EDC">
              <w:rPr>
                <w:spacing w:val="-11"/>
                <w:sz w:val="24"/>
              </w:rPr>
              <w:t xml:space="preserve"> </w:t>
            </w:r>
            <w:r w:rsidRPr="00150EDC">
              <w:rPr>
                <w:sz w:val="24"/>
              </w:rPr>
              <w:t>legal</w:t>
            </w:r>
            <w:r w:rsidRPr="00150EDC">
              <w:rPr>
                <w:spacing w:val="-9"/>
                <w:sz w:val="24"/>
              </w:rPr>
              <w:t xml:space="preserve"> </w:t>
            </w:r>
            <w:r w:rsidRPr="00150EDC">
              <w:rPr>
                <w:sz w:val="24"/>
              </w:rPr>
              <w:t>requirements</w:t>
            </w:r>
            <w:r w:rsidRPr="00150EDC">
              <w:rPr>
                <w:spacing w:val="-11"/>
                <w:sz w:val="24"/>
              </w:rPr>
              <w:t xml:space="preserve"> </w:t>
            </w:r>
            <w:r w:rsidRPr="00150EDC">
              <w:rPr>
                <w:sz w:val="24"/>
              </w:rPr>
              <w:t>applicable</w:t>
            </w:r>
            <w:r w:rsidRPr="00150EDC">
              <w:rPr>
                <w:spacing w:val="-11"/>
                <w:sz w:val="24"/>
              </w:rPr>
              <w:t xml:space="preserve"> </w:t>
            </w:r>
            <w:r w:rsidRPr="00150EDC">
              <w:rPr>
                <w:sz w:val="24"/>
              </w:rPr>
              <w:t>to</w:t>
            </w:r>
            <w:r w:rsidRPr="00150EDC">
              <w:rPr>
                <w:spacing w:val="-10"/>
                <w:sz w:val="24"/>
              </w:rPr>
              <w:t xml:space="preserve"> </w:t>
            </w:r>
            <w:r w:rsidRPr="00150EDC">
              <w:rPr>
                <w:sz w:val="24"/>
              </w:rPr>
              <w:t>that Exempt Buyer;</w:t>
            </w:r>
          </w:p>
        </w:tc>
      </w:tr>
      <w:tr w:rsidR="007D3144" w:rsidRPr="007D3144" w14:paraId="7E8864DF" w14:textId="77777777">
        <w:trPr>
          <w:trHeight w:val="948"/>
        </w:trPr>
        <w:tc>
          <w:tcPr>
            <w:tcW w:w="2264" w:type="dxa"/>
          </w:tcPr>
          <w:p w14:paraId="62120053" w14:textId="77777777" w:rsidR="004C7180" w:rsidRPr="00150EDC" w:rsidRDefault="00CF0754">
            <w:pPr>
              <w:pStyle w:val="TableParagraph"/>
              <w:spacing w:before="0" w:line="240" w:lineRule="auto"/>
              <w:ind w:left="-1"/>
              <w:rPr>
                <w:b/>
                <w:sz w:val="24"/>
              </w:rPr>
            </w:pPr>
            <w:r w:rsidRPr="00150EDC">
              <w:rPr>
                <w:b/>
                <w:sz w:val="24"/>
              </w:rPr>
              <w:t>"Existing</w:t>
            </w:r>
            <w:r w:rsidRPr="00150EDC">
              <w:rPr>
                <w:b/>
                <w:spacing w:val="-3"/>
                <w:sz w:val="24"/>
              </w:rPr>
              <w:t xml:space="preserve"> </w:t>
            </w:r>
            <w:r w:rsidRPr="00150EDC">
              <w:rPr>
                <w:b/>
                <w:spacing w:val="-4"/>
                <w:sz w:val="24"/>
              </w:rPr>
              <w:t>IPR"</w:t>
            </w:r>
          </w:p>
        </w:tc>
        <w:tc>
          <w:tcPr>
            <w:tcW w:w="7484" w:type="dxa"/>
          </w:tcPr>
          <w:p w14:paraId="67A34B30" w14:textId="77777777" w:rsidR="004C7180" w:rsidRPr="00150EDC" w:rsidRDefault="00CF0754">
            <w:pPr>
              <w:pStyle w:val="TableParagraph"/>
              <w:spacing w:before="0" w:line="240" w:lineRule="auto"/>
              <w:ind w:left="277" w:right="103"/>
              <w:jc w:val="both"/>
              <w:rPr>
                <w:sz w:val="24"/>
              </w:rPr>
            </w:pPr>
            <w:r w:rsidRPr="00150EDC">
              <w:rPr>
                <w:sz w:val="24"/>
              </w:rPr>
              <w:t>any and all IPR that are owned by or licensed to either Party and which are or have been developed independently of the Contract (whether prior to the Start Date or otherwise);</w:t>
            </w:r>
          </w:p>
        </w:tc>
      </w:tr>
      <w:tr w:rsidR="007D3144" w:rsidRPr="007D3144" w14:paraId="68393ED6" w14:textId="77777777">
        <w:trPr>
          <w:trHeight w:val="671"/>
        </w:trPr>
        <w:tc>
          <w:tcPr>
            <w:tcW w:w="2264" w:type="dxa"/>
          </w:tcPr>
          <w:p w14:paraId="5192C98E" w14:textId="77777777" w:rsidR="004C7180" w:rsidRPr="00150EDC" w:rsidRDefault="00CF0754">
            <w:pPr>
              <w:pStyle w:val="TableParagraph"/>
              <w:spacing w:before="0" w:line="240" w:lineRule="auto"/>
              <w:ind w:left="-1"/>
              <w:rPr>
                <w:b/>
                <w:sz w:val="24"/>
              </w:rPr>
            </w:pPr>
            <w:r w:rsidRPr="00150EDC">
              <w:rPr>
                <w:b/>
                <w:sz w:val="24"/>
              </w:rPr>
              <w:t>“Exit</w:t>
            </w:r>
            <w:r w:rsidRPr="00150EDC">
              <w:rPr>
                <w:b/>
                <w:spacing w:val="-2"/>
                <w:sz w:val="24"/>
              </w:rPr>
              <w:t xml:space="preserve"> </w:t>
            </w:r>
            <w:r w:rsidRPr="00150EDC">
              <w:rPr>
                <w:b/>
                <w:spacing w:val="-4"/>
                <w:sz w:val="24"/>
              </w:rPr>
              <w:t>Day”</w:t>
            </w:r>
          </w:p>
        </w:tc>
        <w:tc>
          <w:tcPr>
            <w:tcW w:w="7484" w:type="dxa"/>
          </w:tcPr>
          <w:p w14:paraId="074B20E2" w14:textId="77777777" w:rsidR="004C7180" w:rsidRPr="00150EDC" w:rsidRDefault="00CF0754">
            <w:pPr>
              <w:pStyle w:val="TableParagraph"/>
              <w:spacing w:before="0" w:line="240" w:lineRule="auto"/>
              <w:ind w:left="277"/>
              <w:rPr>
                <w:sz w:val="24"/>
              </w:rPr>
            </w:pPr>
            <w:r w:rsidRPr="00150EDC">
              <w:rPr>
                <w:sz w:val="24"/>
              </w:rPr>
              <w:t>shall</w:t>
            </w:r>
            <w:r w:rsidRPr="00150EDC">
              <w:rPr>
                <w:spacing w:val="32"/>
                <w:sz w:val="24"/>
              </w:rPr>
              <w:t xml:space="preserve"> </w:t>
            </w:r>
            <w:r w:rsidRPr="00150EDC">
              <w:rPr>
                <w:sz w:val="24"/>
              </w:rPr>
              <w:t>have</w:t>
            </w:r>
            <w:r w:rsidRPr="00150EDC">
              <w:rPr>
                <w:spacing w:val="33"/>
                <w:sz w:val="24"/>
              </w:rPr>
              <w:t xml:space="preserve"> </w:t>
            </w:r>
            <w:r w:rsidRPr="00150EDC">
              <w:rPr>
                <w:sz w:val="24"/>
              </w:rPr>
              <w:t>the</w:t>
            </w:r>
            <w:r w:rsidRPr="00150EDC">
              <w:rPr>
                <w:spacing w:val="33"/>
                <w:sz w:val="24"/>
              </w:rPr>
              <w:t xml:space="preserve"> </w:t>
            </w:r>
            <w:r w:rsidRPr="00150EDC">
              <w:rPr>
                <w:sz w:val="24"/>
              </w:rPr>
              <w:t>meaning</w:t>
            </w:r>
            <w:r w:rsidRPr="00150EDC">
              <w:rPr>
                <w:spacing w:val="33"/>
                <w:sz w:val="24"/>
              </w:rPr>
              <w:t xml:space="preserve"> </w:t>
            </w:r>
            <w:r w:rsidRPr="00150EDC">
              <w:rPr>
                <w:sz w:val="24"/>
              </w:rPr>
              <w:t>in</w:t>
            </w:r>
            <w:r w:rsidRPr="00150EDC">
              <w:rPr>
                <w:spacing w:val="33"/>
                <w:sz w:val="24"/>
              </w:rPr>
              <w:t xml:space="preserve"> </w:t>
            </w:r>
            <w:r w:rsidRPr="00150EDC">
              <w:rPr>
                <w:sz w:val="24"/>
              </w:rPr>
              <w:t>the</w:t>
            </w:r>
            <w:r w:rsidRPr="00150EDC">
              <w:rPr>
                <w:spacing w:val="33"/>
                <w:sz w:val="24"/>
              </w:rPr>
              <w:t xml:space="preserve"> </w:t>
            </w:r>
            <w:r w:rsidRPr="00150EDC">
              <w:rPr>
                <w:sz w:val="24"/>
              </w:rPr>
              <w:t>European</w:t>
            </w:r>
            <w:r w:rsidRPr="00150EDC">
              <w:rPr>
                <w:spacing w:val="33"/>
                <w:sz w:val="24"/>
              </w:rPr>
              <w:t xml:space="preserve"> </w:t>
            </w:r>
            <w:r w:rsidRPr="00150EDC">
              <w:rPr>
                <w:sz w:val="24"/>
              </w:rPr>
              <w:t>Union</w:t>
            </w:r>
            <w:r w:rsidRPr="00150EDC">
              <w:rPr>
                <w:spacing w:val="34"/>
                <w:sz w:val="24"/>
              </w:rPr>
              <w:t xml:space="preserve"> </w:t>
            </w:r>
            <w:r w:rsidRPr="00150EDC">
              <w:rPr>
                <w:sz w:val="24"/>
              </w:rPr>
              <w:t>(Withdrawal)</w:t>
            </w:r>
            <w:r w:rsidRPr="00150EDC">
              <w:rPr>
                <w:spacing w:val="32"/>
                <w:sz w:val="24"/>
              </w:rPr>
              <w:t xml:space="preserve"> </w:t>
            </w:r>
            <w:r w:rsidRPr="00150EDC">
              <w:rPr>
                <w:sz w:val="24"/>
              </w:rPr>
              <w:t xml:space="preserve">Act </w:t>
            </w:r>
            <w:r w:rsidRPr="00150EDC">
              <w:rPr>
                <w:spacing w:val="-2"/>
                <w:sz w:val="24"/>
              </w:rPr>
              <w:t>2018;</w:t>
            </w:r>
          </w:p>
        </w:tc>
      </w:tr>
      <w:tr w:rsidR="007D3144" w:rsidRPr="007D3144" w14:paraId="22C64788" w14:textId="77777777">
        <w:trPr>
          <w:trHeight w:val="671"/>
        </w:trPr>
        <w:tc>
          <w:tcPr>
            <w:tcW w:w="2264" w:type="dxa"/>
          </w:tcPr>
          <w:p w14:paraId="772C958B" w14:textId="77777777" w:rsidR="004C7180" w:rsidRPr="00150EDC" w:rsidRDefault="00CF0754">
            <w:pPr>
              <w:pStyle w:val="TableParagraph"/>
              <w:spacing w:before="0" w:line="240" w:lineRule="auto"/>
              <w:ind w:left="-1"/>
              <w:rPr>
                <w:b/>
                <w:sz w:val="24"/>
              </w:rPr>
            </w:pPr>
            <w:r w:rsidRPr="00150EDC">
              <w:rPr>
                <w:b/>
                <w:sz w:val="24"/>
              </w:rPr>
              <w:t>"Expiry</w:t>
            </w:r>
            <w:r w:rsidRPr="00150EDC">
              <w:rPr>
                <w:b/>
                <w:spacing w:val="-5"/>
                <w:sz w:val="24"/>
              </w:rPr>
              <w:t xml:space="preserve"> </w:t>
            </w:r>
            <w:r w:rsidRPr="00150EDC">
              <w:rPr>
                <w:b/>
                <w:spacing w:val="-4"/>
                <w:sz w:val="24"/>
              </w:rPr>
              <w:t>Date"</w:t>
            </w:r>
          </w:p>
        </w:tc>
        <w:tc>
          <w:tcPr>
            <w:tcW w:w="7484" w:type="dxa"/>
          </w:tcPr>
          <w:p w14:paraId="0471F4BA" w14:textId="77777777" w:rsidR="004C7180" w:rsidRPr="00150EDC" w:rsidRDefault="00CF0754">
            <w:pPr>
              <w:pStyle w:val="TableParagraph"/>
              <w:spacing w:before="0" w:line="240" w:lineRule="auto"/>
              <w:ind w:left="251"/>
              <w:rPr>
                <w:sz w:val="24"/>
              </w:rPr>
            </w:pPr>
            <w:r w:rsidRPr="00150EDC">
              <w:rPr>
                <w:sz w:val="24"/>
              </w:rPr>
              <w:t>the</w:t>
            </w:r>
            <w:r w:rsidRPr="00150EDC">
              <w:rPr>
                <w:spacing w:val="40"/>
                <w:sz w:val="24"/>
              </w:rPr>
              <w:t xml:space="preserve"> </w:t>
            </w:r>
            <w:r w:rsidRPr="00150EDC">
              <w:rPr>
                <w:sz w:val="24"/>
              </w:rPr>
              <w:t>DPS</w:t>
            </w:r>
            <w:r w:rsidRPr="00150EDC">
              <w:rPr>
                <w:spacing w:val="40"/>
                <w:sz w:val="24"/>
              </w:rPr>
              <w:t xml:space="preserve"> </w:t>
            </w:r>
            <w:r w:rsidRPr="00150EDC">
              <w:rPr>
                <w:sz w:val="24"/>
              </w:rPr>
              <w:t>Expiry</w:t>
            </w:r>
            <w:r w:rsidRPr="00150EDC">
              <w:rPr>
                <w:spacing w:val="40"/>
                <w:sz w:val="24"/>
              </w:rPr>
              <w:t xml:space="preserve"> </w:t>
            </w:r>
            <w:r w:rsidRPr="00150EDC">
              <w:rPr>
                <w:sz w:val="24"/>
              </w:rPr>
              <w:t>Date</w:t>
            </w:r>
            <w:r w:rsidRPr="00150EDC">
              <w:rPr>
                <w:spacing w:val="40"/>
                <w:sz w:val="24"/>
              </w:rPr>
              <w:t xml:space="preserve"> </w:t>
            </w:r>
            <w:r w:rsidRPr="00150EDC">
              <w:rPr>
                <w:sz w:val="24"/>
              </w:rPr>
              <w:t>or</w:t>
            </w:r>
            <w:r w:rsidRPr="00150EDC">
              <w:rPr>
                <w:spacing w:val="40"/>
                <w:sz w:val="24"/>
              </w:rPr>
              <w:t xml:space="preserve"> </w:t>
            </w:r>
            <w:r w:rsidRPr="00150EDC">
              <w:rPr>
                <w:sz w:val="24"/>
              </w:rPr>
              <w:t>the</w:t>
            </w:r>
            <w:r w:rsidRPr="00150EDC">
              <w:rPr>
                <w:spacing w:val="40"/>
                <w:sz w:val="24"/>
              </w:rPr>
              <w:t xml:space="preserve"> </w:t>
            </w:r>
            <w:r w:rsidRPr="00150EDC">
              <w:rPr>
                <w:sz w:val="24"/>
              </w:rPr>
              <w:t>Order</w:t>
            </w:r>
            <w:r w:rsidRPr="00150EDC">
              <w:rPr>
                <w:spacing w:val="40"/>
                <w:sz w:val="24"/>
              </w:rPr>
              <w:t xml:space="preserve"> </w:t>
            </w:r>
            <w:r w:rsidRPr="00150EDC">
              <w:rPr>
                <w:sz w:val="24"/>
              </w:rPr>
              <w:t>Expiry</w:t>
            </w:r>
            <w:r w:rsidRPr="00150EDC">
              <w:rPr>
                <w:spacing w:val="40"/>
                <w:sz w:val="24"/>
              </w:rPr>
              <w:t xml:space="preserve"> </w:t>
            </w:r>
            <w:r w:rsidRPr="00150EDC">
              <w:rPr>
                <w:sz w:val="24"/>
              </w:rPr>
              <w:t>Date</w:t>
            </w:r>
            <w:r w:rsidRPr="00150EDC">
              <w:rPr>
                <w:spacing w:val="40"/>
                <w:sz w:val="24"/>
              </w:rPr>
              <w:t xml:space="preserve"> </w:t>
            </w:r>
            <w:r w:rsidRPr="00150EDC">
              <w:rPr>
                <w:sz w:val="24"/>
              </w:rPr>
              <w:t>(as</w:t>
            </w:r>
            <w:r w:rsidRPr="00150EDC">
              <w:rPr>
                <w:spacing w:val="40"/>
                <w:sz w:val="24"/>
              </w:rPr>
              <w:t xml:space="preserve"> </w:t>
            </w:r>
            <w:r w:rsidRPr="00150EDC">
              <w:rPr>
                <w:sz w:val="24"/>
              </w:rPr>
              <w:t>the</w:t>
            </w:r>
            <w:r w:rsidRPr="00150EDC">
              <w:rPr>
                <w:spacing w:val="40"/>
                <w:sz w:val="24"/>
              </w:rPr>
              <w:t xml:space="preserve"> </w:t>
            </w:r>
            <w:r w:rsidRPr="00150EDC">
              <w:rPr>
                <w:sz w:val="24"/>
              </w:rPr>
              <w:t xml:space="preserve">context </w:t>
            </w:r>
            <w:r w:rsidRPr="00150EDC">
              <w:rPr>
                <w:spacing w:val="-2"/>
                <w:sz w:val="24"/>
              </w:rPr>
              <w:t>dictates);</w:t>
            </w:r>
          </w:p>
        </w:tc>
      </w:tr>
      <w:tr w:rsidR="007D3144" w:rsidRPr="007D3144" w14:paraId="23869B72" w14:textId="77777777">
        <w:trPr>
          <w:trHeight w:val="671"/>
        </w:trPr>
        <w:tc>
          <w:tcPr>
            <w:tcW w:w="2264" w:type="dxa"/>
          </w:tcPr>
          <w:p w14:paraId="2BB2FC95" w14:textId="77777777" w:rsidR="004C7180" w:rsidRPr="00150EDC" w:rsidRDefault="00CF0754">
            <w:pPr>
              <w:pStyle w:val="TableParagraph"/>
              <w:spacing w:before="0" w:line="240" w:lineRule="auto"/>
              <w:ind w:left="-1" w:right="298"/>
              <w:rPr>
                <w:b/>
                <w:sz w:val="24"/>
              </w:rPr>
            </w:pPr>
            <w:r w:rsidRPr="00150EDC">
              <w:rPr>
                <w:b/>
                <w:spacing w:val="-2"/>
                <w:sz w:val="24"/>
              </w:rPr>
              <w:t>"Extension Period"</w:t>
            </w:r>
          </w:p>
        </w:tc>
        <w:tc>
          <w:tcPr>
            <w:tcW w:w="7484" w:type="dxa"/>
          </w:tcPr>
          <w:p w14:paraId="0C90A13F" w14:textId="77777777" w:rsidR="004C7180" w:rsidRPr="00150EDC" w:rsidRDefault="00CF0754">
            <w:pPr>
              <w:pStyle w:val="TableParagraph"/>
              <w:spacing w:before="0" w:line="240" w:lineRule="auto"/>
              <w:ind w:left="277"/>
              <w:rPr>
                <w:sz w:val="24"/>
              </w:rPr>
            </w:pPr>
            <w:r w:rsidRPr="00150EDC">
              <w:rPr>
                <w:sz w:val="24"/>
              </w:rPr>
              <w:t>the</w:t>
            </w:r>
            <w:r w:rsidRPr="00150EDC">
              <w:rPr>
                <w:spacing w:val="-14"/>
                <w:sz w:val="24"/>
              </w:rPr>
              <w:t xml:space="preserve"> </w:t>
            </w:r>
            <w:r w:rsidRPr="00150EDC">
              <w:rPr>
                <w:sz w:val="24"/>
              </w:rPr>
              <w:t>DPS</w:t>
            </w:r>
            <w:r w:rsidRPr="00150EDC">
              <w:rPr>
                <w:spacing w:val="-14"/>
                <w:sz w:val="24"/>
              </w:rPr>
              <w:t xml:space="preserve"> </w:t>
            </w:r>
            <w:r w:rsidRPr="00150EDC">
              <w:rPr>
                <w:sz w:val="24"/>
              </w:rPr>
              <w:t>Optional</w:t>
            </w:r>
            <w:r w:rsidRPr="00150EDC">
              <w:rPr>
                <w:spacing w:val="-15"/>
                <w:sz w:val="24"/>
              </w:rPr>
              <w:t xml:space="preserve"> </w:t>
            </w:r>
            <w:r w:rsidRPr="00150EDC">
              <w:rPr>
                <w:sz w:val="24"/>
              </w:rPr>
              <w:t>Extension</w:t>
            </w:r>
            <w:r w:rsidRPr="00150EDC">
              <w:rPr>
                <w:spacing w:val="-13"/>
                <w:sz w:val="24"/>
              </w:rPr>
              <w:t xml:space="preserve"> </w:t>
            </w:r>
            <w:r w:rsidRPr="00150EDC">
              <w:rPr>
                <w:sz w:val="24"/>
              </w:rPr>
              <w:t>Period</w:t>
            </w:r>
            <w:r w:rsidRPr="00150EDC">
              <w:rPr>
                <w:spacing w:val="-14"/>
                <w:sz w:val="24"/>
              </w:rPr>
              <w:t xml:space="preserve"> </w:t>
            </w:r>
            <w:r w:rsidRPr="00150EDC">
              <w:rPr>
                <w:sz w:val="24"/>
              </w:rPr>
              <w:t>or</w:t>
            </w:r>
            <w:r w:rsidRPr="00150EDC">
              <w:rPr>
                <w:spacing w:val="-15"/>
                <w:sz w:val="24"/>
              </w:rPr>
              <w:t xml:space="preserve"> </w:t>
            </w:r>
            <w:r w:rsidRPr="00150EDC">
              <w:rPr>
                <w:sz w:val="24"/>
              </w:rPr>
              <w:t>the</w:t>
            </w:r>
            <w:r w:rsidRPr="00150EDC">
              <w:rPr>
                <w:spacing w:val="-14"/>
                <w:sz w:val="24"/>
              </w:rPr>
              <w:t xml:space="preserve"> </w:t>
            </w:r>
            <w:r w:rsidRPr="00150EDC">
              <w:rPr>
                <w:sz w:val="24"/>
              </w:rPr>
              <w:t>Order</w:t>
            </w:r>
            <w:r w:rsidRPr="00150EDC">
              <w:rPr>
                <w:spacing w:val="-15"/>
                <w:sz w:val="24"/>
              </w:rPr>
              <w:t xml:space="preserve"> </w:t>
            </w:r>
            <w:r w:rsidRPr="00150EDC">
              <w:rPr>
                <w:sz w:val="24"/>
              </w:rPr>
              <w:t>Optional</w:t>
            </w:r>
            <w:r w:rsidRPr="00150EDC">
              <w:rPr>
                <w:spacing w:val="-15"/>
                <w:sz w:val="24"/>
              </w:rPr>
              <w:t xml:space="preserve"> </w:t>
            </w:r>
            <w:r w:rsidRPr="00150EDC">
              <w:rPr>
                <w:sz w:val="24"/>
              </w:rPr>
              <w:t>Extension Period as the context dictates;</w:t>
            </w:r>
          </w:p>
        </w:tc>
      </w:tr>
      <w:tr w:rsidR="007D3144" w:rsidRPr="007D3144" w14:paraId="0CF94A8D" w14:textId="77777777">
        <w:trPr>
          <w:trHeight w:val="674"/>
        </w:trPr>
        <w:tc>
          <w:tcPr>
            <w:tcW w:w="2264" w:type="dxa"/>
          </w:tcPr>
          <w:p w14:paraId="7E0628AC" w14:textId="77777777" w:rsidR="004C7180" w:rsidRPr="00150EDC" w:rsidRDefault="00CF0754">
            <w:pPr>
              <w:pStyle w:val="TableParagraph"/>
              <w:spacing w:before="2" w:line="240" w:lineRule="auto"/>
              <w:ind w:left="-1"/>
              <w:rPr>
                <w:b/>
                <w:sz w:val="24"/>
              </w:rPr>
            </w:pPr>
            <w:r w:rsidRPr="00150EDC">
              <w:rPr>
                <w:b/>
                <w:sz w:val="24"/>
              </w:rPr>
              <w:t>"Filter</w:t>
            </w:r>
            <w:r w:rsidRPr="00150EDC">
              <w:rPr>
                <w:b/>
                <w:spacing w:val="-7"/>
                <w:sz w:val="24"/>
              </w:rPr>
              <w:t xml:space="preserve"> </w:t>
            </w:r>
            <w:r w:rsidRPr="00150EDC">
              <w:rPr>
                <w:b/>
                <w:spacing w:val="-2"/>
                <w:sz w:val="24"/>
              </w:rPr>
              <w:t>Categories"</w:t>
            </w:r>
          </w:p>
        </w:tc>
        <w:tc>
          <w:tcPr>
            <w:tcW w:w="7484" w:type="dxa"/>
          </w:tcPr>
          <w:p w14:paraId="4D533A88" w14:textId="77777777" w:rsidR="004C7180" w:rsidRPr="00150EDC" w:rsidRDefault="00CF0754">
            <w:pPr>
              <w:pStyle w:val="TableParagraph"/>
              <w:tabs>
                <w:tab w:val="left" w:pos="824"/>
                <w:tab w:val="left" w:pos="1874"/>
                <w:tab w:val="left" w:pos="2315"/>
                <w:tab w:val="left" w:pos="3658"/>
                <w:tab w:val="left" w:pos="4842"/>
                <w:tab w:val="left" w:pos="5267"/>
                <w:tab w:val="left" w:pos="5999"/>
                <w:tab w:val="left" w:pos="7236"/>
              </w:tabs>
              <w:spacing w:before="2" w:line="240" w:lineRule="auto"/>
              <w:ind w:left="251" w:right="102"/>
              <w:rPr>
                <w:sz w:val="24"/>
              </w:rPr>
            </w:pPr>
            <w:r w:rsidRPr="00150EDC">
              <w:rPr>
                <w:spacing w:val="-4"/>
                <w:sz w:val="24"/>
              </w:rPr>
              <w:t>the</w:t>
            </w:r>
            <w:r w:rsidRPr="00150EDC">
              <w:rPr>
                <w:sz w:val="24"/>
              </w:rPr>
              <w:tab/>
            </w:r>
            <w:r w:rsidRPr="00150EDC">
              <w:rPr>
                <w:spacing w:val="-2"/>
                <w:sz w:val="24"/>
              </w:rPr>
              <w:t>number</w:t>
            </w:r>
            <w:r w:rsidRPr="00150EDC">
              <w:rPr>
                <w:sz w:val="24"/>
              </w:rPr>
              <w:tab/>
            </w:r>
            <w:r w:rsidRPr="00150EDC">
              <w:rPr>
                <w:spacing w:val="-6"/>
                <w:sz w:val="24"/>
              </w:rPr>
              <w:t>of</w:t>
            </w:r>
            <w:r w:rsidRPr="00150EDC">
              <w:rPr>
                <w:sz w:val="24"/>
              </w:rPr>
              <w:tab/>
            </w:r>
            <w:r w:rsidRPr="00150EDC">
              <w:rPr>
                <w:spacing w:val="-2"/>
                <w:sz w:val="24"/>
              </w:rPr>
              <w:t>categories</w:t>
            </w:r>
            <w:r w:rsidRPr="00150EDC">
              <w:rPr>
                <w:sz w:val="24"/>
              </w:rPr>
              <w:tab/>
            </w:r>
            <w:r w:rsidRPr="00150EDC">
              <w:rPr>
                <w:spacing w:val="-2"/>
                <w:sz w:val="24"/>
              </w:rPr>
              <w:t>specified</w:t>
            </w:r>
            <w:r w:rsidRPr="00150EDC">
              <w:rPr>
                <w:sz w:val="24"/>
              </w:rPr>
              <w:tab/>
            </w:r>
            <w:r w:rsidRPr="00150EDC">
              <w:rPr>
                <w:spacing w:val="-6"/>
                <w:sz w:val="24"/>
              </w:rPr>
              <w:t>in</w:t>
            </w:r>
            <w:r w:rsidRPr="00150EDC">
              <w:rPr>
                <w:sz w:val="24"/>
              </w:rPr>
              <w:tab/>
            </w:r>
            <w:r w:rsidRPr="00150EDC">
              <w:rPr>
                <w:spacing w:val="-4"/>
                <w:sz w:val="24"/>
              </w:rPr>
              <w:t>DPS</w:t>
            </w:r>
            <w:r w:rsidRPr="00150EDC">
              <w:rPr>
                <w:sz w:val="24"/>
              </w:rPr>
              <w:tab/>
            </w:r>
            <w:r w:rsidRPr="00150EDC">
              <w:rPr>
                <w:spacing w:val="-2"/>
                <w:sz w:val="24"/>
              </w:rPr>
              <w:t>Schedule</w:t>
            </w:r>
            <w:r w:rsidRPr="00150EDC">
              <w:rPr>
                <w:sz w:val="24"/>
              </w:rPr>
              <w:tab/>
            </w:r>
            <w:r w:rsidRPr="00150EDC">
              <w:rPr>
                <w:spacing w:val="-10"/>
                <w:sz w:val="24"/>
              </w:rPr>
              <w:t xml:space="preserve">1 </w:t>
            </w:r>
            <w:r w:rsidRPr="00150EDC">
              <w:rPr>
                <w:sz w:val="24"/>
              </w:rPr>
              <w:t>(Specification), if applicable;</w:t>
            </w:r>
          </w:p>
        </w:tc>
      </w:tr>
      <w:tr w:rsidR="007D3144" w:rsidRPr="007D3144" w14:paraId="0185A359" w14:textId="77777777">
        <w:trPr>
          <w:trHeight w:val="3636"/>
        </w:trPr>
        <w:tc>
          <w:tcPr>
            <w:tcW w:w="2264" w:type="dxa"/>
          </w:tcPr>
          <w:p w14:paraId="52ADC037" w14:textId="77777777" w:rsidR="004C7180" w:rsidRPr="00150EDC" w:rsidRDefault="00CF0754">
            <w:pPr>
              <w:pStyle w:val="TableParagraph"/>
              <w:spacing w:before="0" w:line="240" w:lineRule="auto"/>
              <w:ind w:left="-1" w:right="298"/>
              <w:rPr>
                <w:b/>
                <w:sz w:val="24"/>
              </w:rPr>
            </w:pPr>
            <w:r w:rsidRPr="00150EDC">
              <w:rPr>
                <w:b/>
                <w:spacing w:val="-2"/>
                <w:sz w:val="24"/>
              </w:rPr>
              <w:t>“Financial Reports”</w:t>
            </w:r>
          </w:p>
        </w:tc>
        <w:tc>
          <w:tcPr>
            <w:tcW w:w="7484" w:type="dxa"/>
          </w:tcPr>
          <w:p w14:paraId="6EB3D246" w14:textId="77777777" w:rsidR="004C7180" w:rsidRPr="00150EDC" w:rsidRDefault="00CF0754">
            <w:pPr>
              <w:pStyle w:val="TableParagraph"/>
              <w:spacing w:before="0" w:line="240" w:lineRule="auto"/>
              <w:ind w:left="277"/>
              <w:jc w:val="both"/>
              <w:rPr>
                <w:sz w:val="24"/>
              </w:rPr>
            </w:pPr>
            <w:r w:rsidRPr="00150EDC">
              <w:rPr>
                <w:sz w:val="24"/>
              </w:rPr>
              <w:t>a</w:t>
            </w:r>
            <w:r w:rsidRPr="00150EDC">
              <w:rPr>
                <w:spacing w:val="-2"/>
                <w:sz w:val="24"/>
              </w:rPr>
              <w:t xml:space="preserve"> </w:t>
            </w:r>
            <w:r w:rsidRPr="00150EDC">
              <w:rPr>
                <w:sz w:val="24"/>
              </w:rPr>
              <w:t>report</w:t>
            </w:r>
            <w:r w:rsidRPr="00150EDC">
              <w:rPr>
                <w:spacing w:val="-5"/>
                <w:sz w:val="24"/>
              </w:rPr>
              <w:t xml:space="preserve"> </w:t>
            </w:r>
            <w:r w:rsidRPr="00150EDC">
              <w:rPr>
                <w:sz w:val="24"/>
              </w:rPr>
              <w:t>by</w:t>
            </w:r>
            <w:r w:rsidRPr="00150EDC">
              <w:rPr>
                <w:spacing w:val="-2"/>
                <w:sz w:val="24"/>
              </w:rPr>
              <w:t xml:space="preserve"> </w:t>
            </w:r>
            <w:r w:rsidRPr="00150EDC">
              <w:rPr>
                <w:sz w:val="24"/>
              </w:rPr>
              <w:t>the</w:t>
            </w:r>
            <w:r w:rsidRPr="00150EDC">
              <w:rPr>
                <w:spacing w:val="-3"/>
                <w:sz w:val="24"/>
              </w:rPr>
              <w:t xml:space="preserve"> </w:t>
            </w:r>
            <w:r w:rsidRPr="00150EDC">
              <w:rPr>
                <w:sz w:val="24"/>
              </w:rPr>
              <w:t>Supplier</w:t>
            </w:r>
            <w:r w:rsidRPr="00150EDC">
              <w:rPr>
                <w:spacing w:val="-2"/>
                <w:sz w:val="24"/>
              </w:rPr>
              <w:t xml:space="preserve"> </w:t>
            </w:r>
            <w:r w:rsidRPr="00150EDC">
              <w:rPr>
                <w:sz w:val="24"/>
              </w:rPr>
              <w:t>to</w:t>
            </w:r>
            <w:r w:rsidRPr="00150EDC">
              <w:rPr>
                <w:spacing w:val="-2"/>
                <w:sz w:val="24"/>
              </w:rPr>
              <w:t xml:space="preserve"> </w:t>
            </w:r>
            <w:r w:rsidRPr="00150EDC">
              <w:rPr>
                <w:sz w:val="24"/>
              </w:rPr>
              <w:t>the</w:t>
            </w:r>
            <w:r w:rsidRPr="00150EDC">
              <w:rPr>
                <w:spacing w:val="-2"/>
                <w:sz w:val="24"/>
              </w:rPr>
              <w:t xml:space="preserve"> </w:t>
            </w:r>
            <w:r w:rsidRPr="00150EDC">
              <w:rPr>
                <w:sz w:val="24"/>
              </w:rPr>
              <w:t>Buyer</w:t>
            </w:r>
            <w:r w:rsidRPr="00150EDC">
              <w:rPr>
                <w:spacing w:val="-1"/>
                <w:sz w:val="24"/>
              </w:rPr>
              <w:t xml:space="preserve"> </w:t>
            </w:r>
            <w:r w:rsidRPr="00150EDC">
              <w:rPr>
                <w:spacing w:val="-4"/>
                <w:sz w:val="24"/>
              </w:rPr>
              <w:t>that:</w:t>
            </w:r>
          </w:p>
          <w:p w14:paraId="0396AE89" w14:textId="77777777" w:rsidR="004C7180" w:rsidRPr="00150EDC" w:rsidRDefault="00CF0754" w:rsidP="00B320C7">
            <w:pPr>
              <w:pStyle w:val="TableParagraph"/>
              <w:numPr>
                <w:ilvl w:val="0"/>
                <w:numId w:val="124"/>
              </w:numPr>
              <w:tabs>
                <w:tab w:val="left" w:pos="537"/>
                <w:tab w:val="left" w:pos="539"/>
              </w:tabs>
              <w:spacing w:before="120" w:line="240" w:lineRule="auto"/>
              <w:ind w:right="101"/>
              <w:jc w:val="both"/>
              <w:rPr>
                <w:sz w:val="24"/>
              </w:rPr>
            </w:pPr>
            <w:r w:rsidRPr="00150EDC">
              <w:rPr>
                <w:sz w:val="24"/>
              </w:rPr>
              <w:t>provides</w:t>
            </w:r>
            <w:r w:rsidRPr="00150EDC">
              <w:rPr>
                <w:spacing w:val="-8"/>
                <w:sz w:val="24"/>
              </w:rPr>
              <w:t xml:space="preserve"> </w:t>
            </w:r>
            <w:r w:rsidRPr="00150EDC">
              <w:rPr>
                <w:sz w:val="24"/>
              </w:rPr>
              <w:t>a</w:t>
            </w:r>
            <w:r w:rsidRPr="00150EDC">
              <w:rPr>
                <w:spacing w:val="-9"/>
                <w:sz w:val="24"/>
              </w:rPr>
              <w:t xml:space="preserve"> </w:t>
            </w:r>
            <w:r w:rsidRPr="00150EDC">
              <w:rPr>
                <w:sz w:val="24"/>
              </w:rPr>
              <w:t>true</w:t>
            </w:r>
            <w:r w:rsidRPr="00150EDC">
              <w:rPr>
                <w:spacing w:val="-8"/>
                <w:sz w:val="24"/>
              </w:rPr>
              <w:t xml:space="preserve"> </w:t>
            </w:r>
            <w:r w:rsidRPr="00150EDC">
              <w:rPr>
                <w:sz w:val="24"/>
              </w:rPr>
              <w:t>and</w:t>
            </w:r>
            <w:r w:rsidRPr="00150EDC">
              <w:rPr>
                <w:spacing w:val="-8"/>
                <w:sz w:val="24"/>
              </w:rPr>
              <w:t xml:space="preserve"> </w:t>
            </w:r>
            <w:r w:rsidRPr="00150EDC">
              <w:rPr>
                <w:sz w:val="24"/>
              </w:rPr>
              <w:t>fair</w:t>
            </w:r>
            <w:r w:rsidRPr="00150EDC">
              <w:rPr>
                <w:spacing w:val="-9"/>
                <w:sz w:val="24"/>
              </w:rPr>
              <w:t xml:space="preserve"> </w:t>
            </w:r>
            <w:r w:rsidRPr="00150EDC">
              <w:rPr>
                <w:sz w:val="24"/>
              </w:rPr>
              <w:t>reflection</w:t>
            </w:r>
            <w:r w:rsidRPr="00150EDC">
              <w:rPr>
                <w:spacing w:val="-9"/>
                <w:sz w:val="24"/>
              </w:rPr>
              <w:t xml:space="preserve"> </w:t>
            </w:r>
            <w:r w:rsidRPr="00150EDC">
              <w:rPr>
                <w:sz w:val="24"/>
              </w:rPr>
              <w:t>of</w:t>
            </w:r>
            <w:r w:rsidRPr="00150EDC">
              <w:rPr>
                <w:spacing w:val="-8"/>
                <w:sz w:val="24"/>
              </w:rPr>
              <w:t xml:space="preserve"> </w:t>
            </w:r>
            <w:r w:rsidRPr="00150EDC">
              <w:rPr>
                <w:sz w:val="24"/>
              </w:rPr>
              <w:t>the</w:t>
            </w:r>
            <w:r w:rsidRPr="00150EDC">
              <w:rPr>
                <w:spacing w:val="-8"/>
                <w:sz w:val="24"/>
              </w:rPr>
              <w:t xml:space="preserve"> </w:t>
            </w:r>
            <w:r w:rsidRPr="00150EDC">
              <w:rPr>
                <w:sz w:val="24"/>
              </w:rPr>
              <w:t>Costs</w:t>
            </w:r>
            <w:r w:rsidRPr="00150EDC">
              <w:rPr>
                <w:spacing w:val="-10"/>
                <w:sz w:val="24"/>
              </w:rPr>
              <w:t xml:space="preserve"> </w:t>
            </w:r>
            <w:r w:rsidRPr="00150EDC">
              <w:rPr>
                <w:sz w:val="24"/>
              </w:rPr>
              <w:t>and</w:t>
            </w:r>
            <w:r w:rsidRPr="00150EDC">
              <w:rPr>
                <w:spacing w:val="-8"/>
                <w:sz w:val="24"/>
              </w:rPr>
              <w:t xml:space="preserve"> </w:t>
            </w:r>
            <w:r w:rsidRPr="00150EDC">
              <w:rPr>
                <w:sz w:val="24"/>
              </w:rPr>
              <w:t>Supplier</w:t>
            </w:r>
            <w:r w:rsidRPr="00150EDC">
              <w:rPr>
                <w:spacing w:val="-8"/>
                <w:sz w:val="24"/>
              </w:rPr>
              <w:t xml:space="preserve"> </w:t>
            </w:r>
            <w:r w:rsidRPr="00150EDC">
              <w:rPr>
                <w:sz w:val="24"/>
              </w:rPr>
              <w:t>Profit Margin forecast by the Supplier;</w:t>
            </w:r>
          </w:p>
          <w:p w14:paraId="46B26ED9" w14:textId="77777777" w:rsidR="004C7180" w:rsidRPr="00150EDC" w:rsidRDefault="00CF0754" w:rsidP="00B320C7">
            <w:pPr>
              <w:pStyle w:val="TableParagraph"/>
              <w:numPr>
                <w:ilvl w:val="0"/>
                <w:numId w:val="124"/>
              </w:numPr>
              <w:tabs>
                <w:tab w:val="left" w:pos="537"/>
                <w:tab w:val="left" w:pos="539"/>
              </w:tabs>
              <w:spacing w:before="120" w:line="240" w:lineRule="auto"/>
              <w:ind w:right="101" w:hanging="260"/>
              <w:jc w:val="both"/>
              <w:rPr>
                <w:sz w:val="24"/>
              </w:rPr>
            </w:pPr>
            <w:r w:rsidRPr="00150EDC">
              <w:rPr>
                <w:sz w:val="24"/>
              </w:rPr>
              <w:t>provides</w:t>
            </w:r>
            <w:r w:rsidRPr="00150EDC">
              <w:rPr>
                <w:spacing w:val="-15"/>
                <w:sz w:val="24"/>
              </w:rPr>
              <w:t xml:space="preserve"> </w:t>
            </w:r>
            <w:r w:rsidRPr="00150EDC">
              <w:rPr>
                <w:sz w:val="24"/>
              </w:rPr>
              <w:t>a</w:t>
            </w:r>
            <w:r w:rsidRPr="00150EDC">
              <w:rPr>
                <w:spacing w:val="-12"/>
                <w:sz w:val="24"/>
              </w:rPr>
              <w:t xml:space="preserve"> </w:t>
            </w:r>
            <w:r w:rsidRPr="00150EDC">
              <w:rPr>
                <w:sz w:val="24"/>
              </w:rPr>
              <w:t>true</w:t>
            </w:r>
            <w:r w:rsidRPr="00150EDC">
              <w:rPr>
                <w:spacing w:val="-14"/>
                <w:sz w:val="24"/>
              </w:rPr>
              <w:t xml:space="preserve"> </w:t>
            </w:r>
            <w:r w:rsidRPr="00150EDC">
              <w:rPr>
                <w:sz w:val="24"/>
              </w:rPr>
              <w:t>and</w:t>
            </w:r>
            <w:r w:rsidRPr="00150EDC">
              <w:rPr>
                <w:spacing w:val="-12"/>
                <w:sz w:val="24"/>
              </w:rPr>
              <w:t xml:space="preserve"> </w:t>
            </w:r>
            <w:r w:rsidRPr="00150EDC">
              <w:rPr>
                <w:sz w:val="24"/>
              </w:rPr>
              <w:t>fair</w:t>
            </w:r>
            <w:r w:rsidRPr="00150EDC">
              <w:rPr>
                <w:spacing w:val="-14"/>
                <w:sz w:val="24"/>
              </w:rPr>
              <w:t xml:space="preserve"> </w:t>
            </w:r>
            <w:r w:rsidRPr="00150EDC">
              <w:rPr>
                <w:sz w:val="24"/>
              </w:rPr>
              <w:t>reflection</w:t>
            </w:r>
            <w:r w:rsidRPr="00150EDC">
              <w:rPr>
                <w:spacing w:val="-14"/>
                <w:sz w:val="24"/>
              </w:rPr>
              <w:t xml:space="preserve"> </w:t>
            </w:r>
            <w:r w:rsidRPr="00150EDC">
              <w:rPr>
                <w:sz w:val="24"/>
              </w:rPr>
              <w:t>of</w:t>
            </w:r>
            <w:r w:rsidRPr="00150EDC">
              <w:rPr>
                <w:spacing w:val="-14"/>
                <w:sz w:val="24"/>
              </w:rPr>
              <w:t xml:space="preserve"> </w:t>
            </w:r>
            <w:r w:rsidRPr="00150EDC">
              <w:rPr>
                <w:sz w:val="24"/>
              </w:rPr>
              <w:t>the</w:t>
            </w:r>
            <w:r w:rsidRPr="00150EDC">
              <w:rPr>
                <w:spacing w:val="-14"/>
                <w:sz w:val="24"/>
              </w:rPr>
              <w:t xml:space="preserve"> </w:t>
            </w:r>
            <w:r w:rsidRPr="00150EDC">
              <w:rPr>
                <w:sz w:val="24"/>
              </w:rPr>
              <w:t>costs</w:t>
            </w:r>
            <w:r w:rsidRPr="00150EDC">
              <w:rPr>
                <w:spacing w:val="-14"/>
                <w:sz w:val="24"/>
              </w:rPr>
              <w:t xml:space="preserve"> </w:t>
            </w:r>
            <w:r w:rsidRPr="00150EDC">
              <w:rPr>
                <w:sz w:val="24"/>
              </w:rPr>
              <w:t>and</w:t>
            </w:r>
            <w:r w:rsidRPr="00150EDC">
              <w:rPr>
                <w:spacing w:val="-14"/>
                <w:sz w:val="24"/>
              </w:rPr>
              <w:t xml:space="preserve"> </w:t>
            </w:r>
            <w:r w:rsidRPr="00150EDC">
              <w:rPr>
                <w:sz w:val="24"/>
              </w:rPr>
              <w:t>expenses</w:t>
            </w:r>
            <w:r w:rsidRPr="00150EDC">
              <w:rPr>
                <w:spacing w:val="-15"/>
                <w:sz w:val="24"/>
              </w:rPr>
              <w:t xml:space="preserve"> </w:t>
            </w:r>
            <w:r w:rsidRPr="00150EDC">
              <w:rPr>
                <w:sz w:val="24"/>
              </w:rPr>
              <w:t>to</w:t>
            </w:r>
            <w:r w:rsidRPr="00150EDC">
              <w:rPr>
                <w:spacing w:val="-14"/>
                <w:sz w:val="24"/>
              </w:rPr>
              <w:t xml:space="preserve"> </w:t>
            </w:r>
            <w:r w:rsidRPr="00150EDC">
              <w:rPr>
                <w:sz w:val="24"/>
              </w:rPr>
              <w:t>be incurred by Key Subcontractors (as requested by the Buyer);</w:t>
            </w:r>
          </w:p>
          <w:p w14:paraId="465353B2" w14:textId="77777777" w:rsidR="004C7180" w:rsidRPr="00150EDC" w:rsidRDefault="00CF0754" w:rsidP="00B320C7">
            <w:pPr>
              <w:pStyle w:val="TableParagraph"/>
              <w:numPr>
                <w:ilvl w:val="0"/>
                <w:numId w:val="124"/>
              </w:numPr>
              <w:tabs>
                <w:tab w:val="left" w:pos="537"/>
                <w:tab w:val="left" w:pos="539"/>
              </w:tabs>
              <w:spacing w:before="121" w:line="240" w:lineRule="auto"/>
              <w:ind w:right="98" w:hanging="260"/>
              <w:jc w:val="both"/>
              <w:rPr>
                <w:sz w:val="24"/>
              </w:rPr>
            </w:pPr>
            <w:r w:rsidRPr="00150EDC">
              <w:rPr>
                <w:sz w:val="24"/>
              </w:rPr>
              <w:t>is in the same software package (Microsoft Excel or Microsoft Word),</w:t>
            </w:r>
            <w:r w:rsidRPr="00150EDC">
              <w:rPr>
                <w:spacing w:val="-17"/>
                <w:sz w:val="24"/>
              </w:rPr>
              <w:t xml:space="preserve"> </w:t>
            </w:r>
            <w:r w:rsidRPr="00150EDC">
              <w:rPr>
                <w:sz w:val="24"/>
              </w:rPr>
              <w:t>layout</w:t>
            </w:r>
            <w:r w:rsidRPr="00150EDC">
              <w:rPr>
                <w:spacing w:val="-17"/>
                <w:sz w:val="24"/>
              </w:rPr>
              <w:t xml:space="preserve"> </w:t>
            </w:r>
            <w:r w:rsidRPr="00150EDC">
              <w:rPr>
                <w:sz w:val="24"/>
              </w:rPr>
              <w:t>and</w:t>
            </w:r>
            <w:r w:rsidRPr="00150EDC">
              <w:rPr>
                <w:spacing w:val="-16"/>
                <w:sz w:val="24"/>
              </w:rPr>
              <w:t xml:space="preserve"> </w:t>
            </w:r>
            <w:r w:rsidRPr="00150EDC">
              <w:rPr>
                <w:sz w:val="24"/>
              </w:rPr>
              <w:t>format</w:t>
            </w:r>
            <w:r w:rsidRPr="00150EDC">
              <w:rPr>
                <w:spacing w:val="-17"/>
                <w:sz w:val="24"/>
              </w:rPr>
              <w:t xml:space="preserve"> </w:t>
            </w:r>
            <w:r w:rsidRPr="00150EDC">
              <w:rPr>
                <w:sz w:val="24"/>
              </w:rPr>
              <w:t>as</w:t>
            </w:r>
            <w:r w:rsidRPr="00150EDC">
              <w:rPr>
                <w:spacing w:val="-17"/>
                <w:sz w:val="24"/>
              </w:rPr>
              <w:t xml:space="preserve"> </w:t>
            </w:r>
            <w:r w:rsidRPr="00150EDC">
              <w:rPr>
                <w:sz w:val="24"/>
              </w:rPr>
              <w:t>the</w:t>
            </w:r>
            <w:r w:rsidRPr="00150EDC">
              <w:rPr>
                <w:spacing w:val="-17"/>
                <w:sz w:val="24"/>
              </w:rPr>
              <w:t xml:space="preserve"> </w:t>
            </w:r>
            <w:r w:rsidRPr="00150EDC">
              <w:rPr>
                <w:sz w:val="24"/>
              </w:rPr>
              <w:t>blank</w:t>
            </w:r>
            <w:r w:rsidRPr="00150EDC">
              <w:rPr>
                <w:spacing w:val="-16"/>
                <w:sz w:val="24"/>
              </w:rPr>
              <w:t xml:space="preserve"> </w:t>
            </w:r>
            <w:r w:rsidRPr="00150EDC">
              <w:rPr>
                <w:sz w:val="24"/>
              </w:rPr>
              <w:t>templates</w:t>
            </w:r>
            <w:r w:rsidRPr="00150EDC">
              <w:rPr>
                <w:spacing w:val="-17"/>
                <w:sz w:val="24"/>
              </w:rPr>
              <w:t xml:space="preserve"> </w:t>
            </w:r>
            <w:r w:rsidRPr="00150EDC">
              <w:rPr>
                <w:sz w:val="24"/>
              </w:rPr>
              <w:t>which</w:t>
            </w:r>
            <w:r w:rsidRPr="00150EDC">
              <w:rPr>
                <w:spacing w:val="-17"/>
                <w:sz w:val="24"/>
              </w:rPr>
              <w:t xml:space="preserve"> </w:t>
            </w:r>
            <w:r w:rsidRPr="00150EDC">
              <w:rPr>
                <w:sz w:val="24"/>
              </w:rPr>
              <w:t>have</w:t>
            </w:r>
            <w:r w:rsidRPr="00150EDC">
              <w:rPr>
                <w:spacing w:val="-16"/>
                <w:sz w:val="24"/>
              </w:rPr>
              <w:t xml:space="preserve"> </w:t>
            </w:r>
            <w:r w:rsidRPr="00150EDC">
              <w:rPr>
                <w:sz w:val="24"/>
              </w:rPr>
              <w:t>been issued by the Buyer to the Supplier on or before the Start Date for the purposes of the Contract; and</w:t>
            </w:r>
          </w:p>
          <w:p w14:paraId="05BEBDD7" w14:textId="77777777" w:rsidR="004C7180" w:rsidRPr="00150EDC" w:rsidRDefault="00CF0754">
            <w:pPr>
              <w:pStyle w:val="TableParagraph"/>
              <w:spacing w:before="120" w:line="240" w:lineRule="auto"/>
              <w:ind w:left="251" w:right="102"/>
              <w:jc w:val="both"/>
              <w:rPr>
                <w:sz w:val="24"/>
              </w:rPr>
            </w:pPr>
            <w:r w:rsidRPr="00150EDC">
              <w:rPr>
                <w:sz w:val="24"/>
              </w:rPr>
              <w:t xml:space="preserve">is certified by the Supplier’s Chief Financial Officer or Director of </w:t>
            </w:r>
            <w:r w:rsidRPr="00150EDC">
              <w:rPr>
                <w:spacing w:val="-2"/>
                <w:sz w:val="24"/>
              </w:rPr>
              <w:t>Finance;</w:t>
            </w:r>
          </w:p>
        </w:tc>
      </w:tr>
      <w:tr w:rsidR="007D3144" w:rsidRPr="007D3144" w14:paraId="36664DFF" w14:textId="77777777">
        <w:trPr>
          <w:trHeight w:val="1500"/>
        </w:trPr>
        <w:tc>
          <w:tcPr>
            <w:tcW w:w="2264" w:type="dxa"/>
          </w:tcPr>
          <w:p w14:paraId="7ED83052" w14:textId="77777777" w:rsidR="004C7180" w:rsidRPr="00150EDC" w:rsidRDefault="00CF0754">
            <w:pPr>
              <w:pStyle w:val="TableParagraph"/>
              <w:spacing w:before="1" w:line="240" w:lineRule="auto"/>
              <w:ind w:left="-1"/>
              <w:rPr>
                <w:b/>
                <w:sz w:val="24"/>
              </w:rPr>
            </w:pPr>
            <w:r w:rsidRPr="00150EDC">
              <w:rPr>
                <w:b/>
                <w:spacing w:val="-2"/>
                <w:sz w:val="24"/>
              </w:rPr>
              <w:t>"FOIA"</w:t>
            </w:r>
          </w:p>
        </w:tc>
        <w:tc>
          <w:tcPr>
            <w:tcW w:w="7484" w:type="dxa"/>
          </w:tcPr>
          <w:p w14:paraId="46C2B353" w14:textId="77777777" w:rsidR="004C7180" w:rsidRPr="00150EDC" w:rsidRDefault="00CF0754">
            <w:pPr>
              <w:pStyle w:val="TableParagraph"/>
              <w:spacing w:before="1" w:line="240" w:lineRule="auto"/>
              <w:ind w:left="277" w:right="99"/>
              <w:jc w:val="both"/>
              <w:rPr>
                <w:sz w:val="24"/>
              </w:rPr>
            </w:pPr>
            <w:r w:rsidRPr="00150EDC">
              <w:rPr>
                <w:sz w:val="24"/>
              </w:rPr>
              <w:t>the Freedom of Information Act 2000 and any subordinate legislation made under</w:t>
            </w:r>
            <w:r w:rsidRPr="00150EDC">
              <w:rPr>
                <w:spacing w:val="-2"/>
                <w:sz w:val="24"/>
              </w:rPr>
              <w:t xml:space="preserve"> </w:t>
            </w:r>
            <w:r w:rsidRPr="00150EDC">
              <w:rPr>
                <w:sz w:val="24"/>
              </w:rPr>
              <w:t>that Act from time to time together with any guidance and/or codes of practice issued by the Information Commissioner or relevant Government department in relation to such legislation;</w:t>
            </w:r>
          </w:p>
        </w:tc>
      </w:tr>
      <w:tr w:rsidR="007D3144" w:rsidRPr="007D3144" w14:paraId="7AE0B872" w14:textId="77777777">
        <w:trPr>
          <w:trHeight w:val="1103"/>
        </w:trPr>
        <w:tc>
          <w:tcPr>
            <w:tcW w:w="2264" w:type="dxa"/>
          </w:tcPr>
          <w:p w14:paraId="0DCAF71F" w14:textId="77777777" w:rsidR="004C7180" w:rsidRPr="00150EDC" w:rsidRDefault="00CF0754">
            <w:pPr>
              <w:pStyle w:val="TableParagraph"/>
              <w:spacing w:before="0" w:line="240" w:lineRule="auto"/>
              <w:ind w:left="-1" w:right="510"/>
              <w:rPr>
                <w:b/>
                <w:sz w:val="24"/>
              </w:rPr>
            </w:pPr>
            <w:r w:rsidRPr="00150EDC">
              <w:rPr>
                <w:b/>
                <w:sz w:val="24"/>
              </w:rPr>
              <w:t>"Force</w:t>
            </w:r>
            <w:r w:rsidRPr="00150EDC">
              <w:rPr>
                <w:b/>
                <w:spacing w:val="-17"/>
                <w:sz w:val="24"/>
              </w:rPr>
              <w:t xml:space="preserve"> </w:t>
            </w:r>
            <w:r w:rsidRPr="00150EDC">
              <w:rPr>
                <w:b/>
                <w:sz w:val="24"/>
              </w:rPr>
              <w:t xml:space="preserve">Majeure </w:t>
            </w:r>
            <w:r w:rsidRPr="00150EDC">
              <w:rPr>
                <w:b/>
                <w:spacing w:val="-2"/>
                <w:sz w:val="24"/>
              </w:rPr>
              <w:t>Event"</w:t>
            </w:r>
          </w:p>
        </w:tc>
        <w:tc>
          <w:tcPr>
            <w:tcW w:w="7484" w:type="dxa"/>
          </w:tcPr>
          <w:p w14:paraId="3E771EAD" w14:textId="77777777" w:rsidR="004C7180" w:rsidRPr="00150EDC" w:rsidRDefault="00CF0754">
            <w:pPr>
              <w:pStyle w:val="TableParagraph"/>
              <w:spacing w:before="0" w:line="270" w:lineRule="atLeast"/>
              <w:ind w:left="107" w:right="95"/>
              <w:jc w:val="both"/>
              <w:rPr>
                <w:sz w:val="24"/>
              </w:rPr>
            </w:pPr>
            <w:r w:rsidRPr="00150EDC">
              <w:rPr>
                <w:sz w:val="24"/>
              </w:rPr>
              <w:t>any event outside the reasonable control of either Party affecting its performance of its obligations under the Contract arising from acts, events, omissions, happenings or non-happenings beyond its reasonable</w:t>
            </w:r>
            <w:r w:rsidRPr="00150EDC">
              <w:rPr>
                <w:spacing w:val="25"/>
                <w:sz w:val="24"/>
              </w:rPr>
              <w:t xml:space="preserve"> </w:t>
            </w:r>
            <w:r w:rsidRPr="00150EDC">
              <w:rPr>
                <w:sz w:val="24"/>
              </w:rPr>
              <w:t>control</w:t>
            </w:r>
            <w:r w:rsidRPr="00150EDC">
              <w:rPr>
                <w:spacing w:val="26"/>
                <w:sz w:val="24"/>
              </w:rPr>
              <w:t xml:space="preserve"> </w:t>
            </w:r>
            <w:r w:rsidRPr="00150EDC">
              <w:rPr>
                <w:sz w:val="24"/>
              </w:rPr>
              <w:t>and</w:t>
            </w:r>
            <w:r w:rsidRPr="00150EDC">
              <w:rPr>
                <w:spacing w:val="28"/>
                <w:sz w:val="24"/>
              </w:rPr>
              <w:t xml:space="preserve"> </w:t>
            </w:r>
            <w:r w:rsidRPr="00150EDC">
              <w:rPr>
                <w:sz w:val="24"/>
              </w:rPr>
              <w:t>which</w:t>
            </w:r>
            <w:r w:rsidRPr="00150EDC">
              <w:rPr>
                <w:spacing w:val="26"/>
                <w:sz w:val="24"/>
              </w:rPr>
              <w:t xml:space="preserve"> </w:t>
            </w:r>
            <w:r w:rsidRPr="00150EDC">
              <w:rPr>
                <w:sz w:val="24"/>
              </w:rPr>
              <w:t>are</w:t>
            </w:r>
            <w:r w:rsidRPr="00150EDC">
              <w:rPr>
                <w:spacing w:val="25"/>
                <w:sz w:val="24"/>
              </w:rPr>
              <w:t xml:space="preserve"> </w:t>
            </w:r>
            <w:r w:rsidRPr="00150EDC">
              <w:rPr>
                <w:sz w:val="24"/>
              </w:rPr>
              <w:t>not</w:t>
            </w:r>
            <w:r w:rsidRPr="00150EDC">
              <w:rPr>
                <w:spacing w:val="25"/>
                <w:sz w:val="24"/>
              </w:rPr>
              <w:t xml:space="preserve"> </w:t>
            </w:r>
            <w:r w:rsidRPr="00150EDC">
              <w:rPr>
                <w:sz w:val="24"/>
              </w:rPr>
              <w:t>attributable</w:t>
            </w:r>
            <w:r w:rsidRPr="00150EDC">
              <w:rPr>
                <w:spacing w:val="28"/>
                <w:sz w:val="24"/>
              </w:rPr>
              <w:t xml:space="preserve"> </w:t>
            </w:r>
            <w:r w:rsidRPr="00150EDC">
              <w:rPr>
                <w:sz w:val="24"/>
              </w:rPr>
              <w:t>to</w:t>
            </w:r>
            <w:r w:rsidRPr="00150EDC">
              <w:rPr>
                <w:spacing w:val="25"/>
                <w:sz w:val="24"/>
              </w:rPr>
              <w:t xml:space="preserve"> </w:t>
            </w:r>
            <w:r w:rsidRPr="00150EDC">
              <w:rPr>
                <w:sz w:val="24"/>
              </w:rPr>
              <w:t>any</w:t>
            </w:r>
            <w:r w:rsidRPr="00150EDC">
              <w:rPr>
                <w:spacing w:val="31"/>
                <w:sz w:val="24"/>
              </w:rPr>
              <w:t xml:space="preserve"> </w:t>
            </w:r>
            <w:r w:rsidRPr="00150EDC">
              <w:rPr>
                <w:sz w:val="24"/>
              </w:rPr>
              <w:t>wilful</w:t>
            </w:r>
            <w:r w:rsidRPr="00150EDC">
              <w:rPr>
                <w:spacing w:val="26"/>
                <w:sz w:val="24"/>
              </w:rPr>
              <w:t xml:space="preserve"> </w:t>
            </w:r>
            <w:r w:rsidRPr="00150EDC">
              <w:rPr>
                <w:sz w:val="24"/>
              </w:rPr>
              <w:t>act,</w:t>
            </w:r>
          </w:p>
        </w:tc>
      </w:tr>
    </w:tbl>
    <w:p w14:paraId="1A10F94F" w14:textId="77777777" w:rsidR="004C7180" w:rsidRPr="00150EDC" w:rsidRDefault="004C7180">
      <w:pPr>
        <w:spacing w:line="270" w:lineRule="atLeast"/>
        <w:jc w:val="both"/>
        <w:rPr>
          <w:sz w:val="24"/>
        </w:rPr>
        <w:sectPr w:rsidR="004C7180" w:rsidRPr="00150EDC">
          <w:pgSz w:w="11910" w:h="16840"/>
          <w:pgMar w:top="1160" w:right="0" w:bottom="1460" w:left="40" w:header="715" w:footer="1208" w:gutter="0"/>
          <w:cols w:space="720"/>
        </w:sectPr>
      </w:pPr>
    </w:p>
    <w:p w14:paraId="183903F9" w14:textId="77777777" w:rsidR="004C7180" w:rsidRPr="00150EDC" w:rsidRDefault="004C7180">
      <w:pPr>
        <w:pStyle w:val="BodyText"/>
        <w:spacing w:before="7"/>
        <w:rPr>
          <w:sz w:val="23"/>
        </w:rPr>
      </w:pPr>
    </w:p>
    <w:tbl>
      <w:tblPr>
        <w:tblW w:w="0" w:type="auto"/>
        <w:tblInd w:w="1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4"/>
        <w:gridCol w:w="7484"/>
      </w:tblGrid>
      <w:tr w:rsidR="007D3144" w:rsidRPr="007D3144" w14:paraId="020FAACA" w14:textId="77777777">
        <w:trPr>
          <w:trHeight w:val="3203"/>
        </w:trPr>
        <w:tc>
          <w:tcPr>
            <w:tcW w:w="2264" w:type="dxa"/>
          </w:tcPr>
          <w:p w14:paraId="5E5A2ABE" w14:textId="77777777" w:rsidR="004C7180" w:rsidRPr="00150EDC" w:rsidRDefault="004C7180">
            <w:pPr>
              <w:pStyle w:val="TableParagraph"/>
              <w:spacing w:before="0" w:line="240" w:lineRule="auto"/>
              <w:ind w:left="0"/>
              <w:rPr>
                <w:rFonts w:ascii="Times New Roman"/>
              </w:rPr>
            </w:pPr>
          </w:p>
        </w:tc>
        <w:tc>
          <w:tcPr>
            <w:tcW w:w="7484" w:type="dxa"/>
          </w:tcPr>
          <w:p w14:paraId="44269935" w14:textId="77777777" w:rsidR="004C7180" w:rsidRPr="00150EDC" w:rsidRDefault="00CF0754">
            <w:pPr>
              <w:pStyle w:val="TableParagraph"/>
              <w:spacing w:before="0" w:line="240" w:lineRule="auto"/>
              <w:ind w:left="107"/>
              <w:rPr>
                <w:sz w:val="24"/>
              </w:rPr>
            </w:pPr>
            <w:r w:rsidRPr="00150EDC">
              <w:rPr>
                <w:sz w:val="24"/>
              </w:rPr>
              <w:t>neglect</w:t>
            </w:r>
            <w:r w:rsidRPr="00150EDC">
              <w:rPr>
                <w:spacing w:val="-15"/>
                <w:sz w:val="24"/>
              </w:rPr>
              <w:t xml:space="preserve"> </w:t>
            </w:r>
            <w:r w:rsidRPr="00150EDC">
              <w:rPr>
                <w:sz w:val="24"/>
              </w:rPr>
              <w:t>or</w:t>
            </w:r>
            <w:r w:rsidRPr="00150EDC">
              <w:rPr>
                <w:spacing w:val="-17"/>
                <w:sz w:val="24"/>
              </w:rPr>
              <w:t xml:space="preserve"> </w:t>
            </w:r>
            <w:r w:rsidRPr="00150EDC">
              <w:rPr>
                <w:sz w:val="24"/>
              </w:rPr>
              <w:t>failure</w:t>
            </w:r>
            <w:r w:rsidRPr="00150EDC">
              <w:rPr>
                <w:spacing w:val="-16"/>
                <w:sz w:val="24"/>
              </w:rPr>
              <w:t xml:space="preserve"> </w:t>
            </w:r>
            <w:r w:rsidRPr="00150EDC">
              <w:rPr>
                <w:sz w:val="24"/>
              </w:rPr>
              <w:t>to</w:t>
            </w:r>
            <w:r w:rsidRPr="00150EDC">
              <w:rPr>
                <w:spacing w:val="-15"/>
                <w:sz w:val="24"/>
              </w:rPr>
              <w:t xml:space="preserve"> </w:t>
            </w:r>
            <w:r w:rsidRPr="00150EDC">
              <w:rPr>
                <w:sz w:val="24"/>
              </w:rPr>
              <w:t>take</w:t>
            </w:r>
            <w:r w:rsidRPr="00150EDC">
              <w:rPr>
                <w:spacing w:val="-15"/>
                <w:sz w:val="24"/>
              </w:rPr>
              <w:t xml:space="preserve"> </w:t>
            </w:r>
            <w:r w:rsidRPr="00150EDC">
              <w:rPr>
                <w:sz w:val="24"/>
              </w:rPr>
              <w:t>reasonable</w:t>
            </w:r>
            <w:r w:rsidRPr="00150EDC">
              <w:rPr>
                <w:spacing w:val="-16"/>
                <w:sz w:val="24"/>
              </w:rPr>
              <w:t xml:space="preserve"> </w:t>
            </w:r>
            <w:r w:rsidRPr="00150EDC">
              <w:rPr>
                <w:sz w:val="24"/>
              </w:rPr>
              <w:t>preventative</w:t>
            </w:r>
            <w:r w:rsidRPr="00150EDC">
              <w:rPr>
                <w:spacing w:val="-16"/>
                <w:sz w:val="24"/>
              </w:rPr>
              <w:t xml:space="preserve"> </w:t>
            </w:r>
            <w:r w:rsidRPr="00150EDC">
              <w:rPr>
                <w:sz w:val="24"/>
              </w:rPr>
              <w:t>action</w:t>
            </w:r>
            <w:r w:rsidRPr="00150EDC">
              <w:rPr>
                <w:spacing w:val="-15"/>
                <w:sz w:val="24"/>
              </w:rPr>
              <w:t xml:space="preserve"> </w:t>
            </w:r>
            <w:r w:rsidRPr="00150EDC">
              <w:rPr>
                <w:sz w:val="24"/>
              </w:rPr>
              <w:t>by</w:t>
            </w:r>
            <w:r w:rsidRPr="00150EDC">
              <w:rPr>
                <w:spacing w:val="-16"/>
                <w:sz w:val="24"/>
              </w:rPr>
              <w:t xml:space="preserve"> </w:t>
            </w:r>
            <w:r w:rsidRPr="00150EDC">
              <w:rPr>
                <w:sz w:val="24"/>
              </w:rPr>
              <w:t>that</w:t>
            </w:r>
            <w:r w:rsidRPr="00150EDC">
              <w:rPr>
                <w:spacing w:val="-15"/>
                <w:sz w:val="24"/>
              </w:rPr>
              <w:t xml:space="preserve"> </w:t>
            </w:r>
            <w:r w:rsidRPr="00150EDC">
              <w:rPr>
                <w:sz w:val="24"/>
              </w:rPr>
              <w:t xml:space="preserve">Party, </w:t>
            </w:r>
            <w:r w:rsidRPr="00150EDC">
              <w:rPr>
                <w:spacing w:val="-2"/>
                <w:sz w:val="24"/>
              </w:rPr>
              <w:t>including:</w:t>
            </w:r>
          </w:p>
          <w:p w14:paraId="17D06C75" w14:textId="77777777" w:rsidR="004C7180" w:rsidRPr="00150EDC" w:rsidRDefault="00CF0754" w:rsidP="00B320C7">
            <w:pPr>
              <w:pStyle w:val="TableParagraph"/>
              <w:numPr>
                <w:ilvl w:val="0"/>
                <w:numId w:val="123"/>
              </w:numPr>
              <w:tabs>
                <w:tab w:val="left" w:pos="537"/>
              </w:tabs>
              <w:spacing w:before="120" w:line="240" w:lineRule="auto"/>
              <w:ind w:left="537" w:hanging="286"/>
              <w:rPr>
                <w:sz w:val="24"/>
              </w:rPr>
            </w:pPr>
            <w:r w:rsidRPr="00150EDC">
              <w:rPr>
                <w:sz w:val="24"/>
              </w:rPr>
              <w:t>riots,</w:t>
            </w:r>
            <w:r w:rsidRPr="00150EDC">
              <w:rPr>
                <w:spacing w:val="-3"/>
                <w:sz w:val="24"/>
              </w:rPr>
              <w:t xml:space="preserve"> </w:t>
            </w:r>
            <w:r w:rsidRPr="00150EDC">
              <w:rPr>
                <w:sz w:val="24"/>
              </w:rPr>
              <w:t>civil</w:t>
            </w:r>
            <w:r w:rsidRPr="00150EDC">
              <w:rPr>
                <w:spacing w:val="-4"/>
                <w:sz w:val="24"/>
              </w:rPr>
              <w:t xml:space="preserve"> </w:t>
            </w:r>
            <w:r w:rsidRPr="00150EDC">
              <w:rPr>
                <w:sz w:val="24"/>
              </w:rPr>
              <w:t>commotion,</w:t>
            </w:r>
            <w:r w:rsidRPr="00150EDC">
              <w:rPr>
                <w:spacing w:val="-4"/>
                <w:sz w:val="24"/>
              </w:rPr>
              <w:t xml:space="preserve"> </w:t>
            </w:r>
            <w:r w:rsidRPr="00150EDC">
              <w:rPr>
                <w:sz w:val="24"/>
              </w:rPr>
              <w:t>war</w:t>
            </w:r>
            <w:r w:rsidRPr="00150EDC">
              <w:rPr>
                <w:spacing w:val="-3"/>
                <w:sz w:val="24"/>
              </w:rPr>
              <w:t xml:space="preserve"> </w:t>
            </w:r>
            <w:r w:rsidRPr="00150EDC">
              <w:rPr>
                <w:sz w:val="24"/>
              </w:rPr>
              <w:t>or</w:t>
            </w:r>
            <w:r w:rsidRPr="00150EDC">
              <w:rPr>
                <w:spacing w:val="-3"/>
                <w:sz w:val="24"/>
              </w:rPr>
              <w:t xml:space="preserve"> </w:t>
            </w:r>
            <w:r w:rsidRPr="00150EDC">
              <w:rPr>
                <w:sz w:val="24"/>
              </w:rPr>
              <w:t>armed</w:t>
            </w:r>
            <w:r w:rsidRPr="00150EDC">
              <w:rPr>
                <w:spacing w:val="-2"/>
                <w:sz w:val="24"/>
              </w:rPr>
              <w:t xml:space="preserve"> conflict;</w:t>
            </w:r>
          </w:p>
          <w:p w14:paraId="31DD950E" w14:textId="77777777" w:rsidR="004C7180" w:rsidRPr="00150EDC" w:rsidRDefault="00CF0754" w:rsidP="00B320C7">
            <w:pPr>
              <w:pStyle w:val="TableParagraph"/>
              <w:numPr>
                <w:ilvl w:val="0"/>
                <w:numId w:val="123"/>
              </w:numPr>
              <w:tabs>
                <w:tab w:val="left" w:pos="537"/>
              </w:tabs>
              <w:spacing w:before="120" w:line="240" w:lineRule="auto"/>
              <w:ind w:left="537" w:hanging="286"/>
              <w:rPr>
                <w:sz w:val="24"/>
              </w:rPr>
            </w:pPr>
            <w:r w:rsidRPr="00150EDC">
              <w:rPr>
                <w:sz w:val="24"/>
              </w:rPr>
              <w:t>acts</w:t>
            </w:r>
            <w:r w:rsidRPr="00150EDC">
              <w:rPr>
                <w:spacing w:val="-4"/>
                <w:sz w:val="24"/>
              </w:rPr>
              <w:t xml:space="preserve"> </w:t>
            </w:r>
            <w:r w:rsidRPr="00150EDC">
              <w:rPr>
                <w:sz w:val="24"/>
              </w:rPr>
              <w:t>of</w:t>
            </w:r>
            <w:r w:rsidRPr="00150EDC">
              <w:rPr>
                <w:spacing w:val="-6"/>
                <w:sz w:val="24"/>
              </w:rPr>
              <w:t xml:space="preserve"> </w:t>
            </w:r>
            <w:r w:rsidRPr="00150EDC">
              <w:rPr>
                <w:spacing w:val="-2"/>
                <w:sz w:val="24"/>
              </w:rPr>
              <w:t>terrorism;</w:t>
            </w:r>
          </w:p>
          <w:p w14:paraId="1CABF7AE" w14:textId="77777777" w:rsidR="004C7180" w:rsidRPr="00150EDC" w:rsidRDefault="00CF0754" w:rsidP="00B320C7">
            <w:pPr>
              <w:pStyle w:val="TableParagraph"/>
              <w:numPr>
                <w:ilvl w:val="0"/>
                <w:numId w:val="123"/>
              </w:numPr>
              <w:tabs>
                <w:tab w:val="left" w:pos="538"/>
              </w:tabs>
              <w:spacing w:before="120" w:line="240" w:lineRule="auto"/>
              <w:ind w:left="538" w:hanging="287"/>
              <w:rPr>
                <w:sz w:val="24"/>
              </w:rPr>
            </w:pPr>
            <w:r w:rsidRPr="00150EDC">
              <w:rPr>
                <w:sz w:val="24"/>
              </w:rPr>
              <w:t>acts</w:t>
            </w:r>
            <w:r w:rsidRPr="00150EDC">
              <w:rPr>
                <w:spacing w:val="-7"/>
                <w:sz w:val="24"/>
              </w:rPr>
              <w:t xml:space="preserve"> </w:t>
            </w:r>
            <w:r w:rsidRPr="00150EDC">
              <w:rPr>
                <w:sz w:val="24"/>
              </w:rPr>
              <w:t>of</w:t>
            </w:r>
            <w:r w:rsidRPr="00150EDC">
              <w:rPr>
                <w:spacing w:val="-8"/>
                <w:sz w:val="24"/>
              </w:rPr>
              <w:t xml:space="preserve"> </w:t>
            </w:r>
            <w:r w:rsidRPr="00150EDC">
              <w:rPr>
                <w:sz w:val="24"/>
              </w:rPr>
              <w:t>government,</w:t>
            </w:r>
            <w:r w:rsidRPr="00150EDC">
              <w:rPr>
                <w:spacing w:val="-5"/>
                <w:sz w:val="24"/>
              </w:rPr>
              <w:t xml:space="preserve"> </w:t>
            </w:r>
            <w:r w:rsidRPr="00150EDC">
              <w:rPr>
                <w:sz w:val="24"/>
              </w:rPr>
              <w:t>local</w:t>
            </w:r>
            <w:r w:rsidRPr="00150EDC">
              <w:rPr>
                <w:spacing w:val="-6"/>
                <w:sz w:val="24"/>
              </w:rPr>
              <w:t xml:space="preserve"> </w:t>
            </w:r>
            <w:r w:rsidRPr="00150EDC">
              <w:rPr>
                <w:sz w:val="24"/>
              </w:rPr>
              <w:t>government</w:t>
            </w:r>
            <w:r w:rsidRPr="00150EDC">
              <w:rPr>
                <w:spacing w:val="-8"/>
                <w:sz w:val="24"/>
              </w:rPr>
              <w:t xml:space="preserve"> </w:t>
            </w:r>
            <w:r w:rsidRPr="00150EDC">
              <w:rPr>
                <w:sz w:val="24"/>
              </w:rPr>
              <w:t>or</w:t>
            </w:r>
            <w:r w:rsidRPr="00150EDC">
              <w:rPr>
                <w:spacing w:val="-5"/>
                <w:sz w:val="24"/>
              </w:rPr>
              <w:t xml:space="preserve"> </w:t>
            </w:r>
            <w:r w:rsidRPr="00150EDC">
              <w:rPr>
                <w:sz w:val="24"/>
              </w:rPr>
              <w:t>regulatory</w:t>
            </w:r>
            <w:r w:rsidRPr="00150EDC">
              <w:rPr>
                <w:spacing w:val="-6"/>
                <w:sz w:val="24"/>
              </w:rPr>
              <w:t xml:space="preserve"> </w:t>
            </w:r>
            <w:r w:rsidRPr="00150EDC">
              <w:rPr>
                <w:spacing w:val="-2"/>
                <w:sz w:val="24"/>
              </w:rPr>
              <w:t>bodies;</w:t>
            </w:r>
          </w:p>
          <w:p w14:paraId="0C498D87" w14:textId="77777777" w:rsidR="004C7180" w:rsidRPr="00150EDC" w:rsidRDefault="00CF0754" w:rsidP="00B320C7">
            <w:pPr>
              <w:pStyle w:val="TableParagraph"/>
              <w:numPr>
                <w:ilvl w:val="0"/>
                <w:numId w:val="123"/>
              </w:numPr>
              <w:tabs>
                <w:tab w:val="left" w:pos="683"/>
              </w:tabs>
              <w:spacing w:before="120" w:line="240" w:lineRule="auto"/>
              <w:ind w:left="683" w:hanging="432"/>
              <w:rPr>
                <w:sz w:val="24"/>
              </w:rPr>
            </w:pPr>
            <w:r w:rsidRPr="00150EDC">
              <w:rPr>
                <w:sz w:val="24"/>
              </w:rPr>
              <w:t>fire,</w:t>
            </w:r>
            <w:r w:rsidRPr="00150EDC">
              <w:rPr>
                <w:spacing w:val="-3"/>
                <w:sz w:val="24"/>
              </w:rPr>
              <w:t xml:space="preserve"> </w:t>
            </w:r>
            <w:r w:rsidRPr="00150EDC">
              <w:rPr>
                <w:sz w:val="24"/>
              </w:rPr>
              <w:t>flood,</w:t>
            </w:r>
            <w:r w:rsidRPr="00150EDC">
              <w:rPr>
                <w:spacing w:val="-3"/>
                <w:sz w:val="24"/>
              </w:rPr>
              <w:t xml:space="preserve"> </w:t>
            </w:r>
            <w:r w:rsidRPr="00150EDC">
              <w:rPr>
                <w:sz w:val="24"/>
              </w:rPr>
              <w:t>storm</w:t>
            </w:r>
            <w:r w:rsidRPr="00150EDC">
              <w:rPr>
                <w:spacing w:val="-4"/>
                <w:sz w:val="24"/>
              </w:rPr>
              <w:t xml:space="preserve"> </w:t>
            </w:r>
            <w:r w:rsidRPr="00150EDC">
              <w:rPr>
                <w:sz w:val="24"/>
              </w:rPr>
              <w:t>or</w:t>
            </w:r>
            <w:r w:rsidRPr="00150EDC">
              <w:rPr>
                <w:spacing w:val="-2"/>
                <w:sz w:val="24"/>
              </w:rPr>
              <w:t xml:space="preserve"> </w:t>
            </w:r>
            <w:r w:rsidRPr="00150EDC">
              <w:rPr>
                <w:sz w:val="24"/>
              </w:rPr>
              <w:t>earthquake</w:t>
            </w:r>
            <w:r w:rsidRPr="00150EDC">
              <w:rPr>
                <w:spacing w:val="-5"/>
                <w:sz w:val="24"/>
              </w:rPr>
              <w:t xml:space="preserve"> </w:t>
            </w:r>
            <w:r w:rsidRPr="00150EDC">
              <w:rPr>
                <w:sz w:val="24"/>
              </w:rPr>
              <w:t>or</w:t>
            </w:r>
            <w:r w:rsidRPr="00150EDC">
              <w:rPr>
                <w:spacing w:val="-2"/>
                <w:sz w:val="24"/>
              </w:rPr>
              <w:t xml:space="preserve"> </w:t>
            </w:r>
            <w:r w:rsidRPr="00150EDC">
              <w:rPr>
                <w:sz w:val="24"/>
              </w:rPr>
              <w:t>other</w:t>
            </w:r>
            <w:r w:rsidRPr="00150EDC">
              <w:rPr>
                <w:spacing w:val="-3"/>
                <w:sz w:val="24"/>
              </w:rPr>
              <w:t xml:space="preserve"> </w:t>
            </w:r>
            <w:r w:rsidRPr="00150EDC">
              <w:rPr>
                <w:sz w:val="24"/>
              </w:rPr>
              <w:t>natural</w:t>
            </w:r>
            <w:r w:rsidRPr="00150EDC">
              <w:rPr>
                <w:spacing w:val="-2"/>
                <w:sz w:val="24"/>
              </w:rPr>
              <w:t xml:space="preserve"> disaster,</w:t>
            </w:r>
          </w:p>
          <w:p w14:paraId="7CC73A2C" w14:textId="77777777" w:rsidR="004C7180" w:rsidRPr="00150EDC" w:rsidRDefault="00CF0754">
            <w:pPr>
              <w:pStyle w:val="TableParagraph"/>
              <w:spacing w:before="121" w:line="240" w:lineRule="auto"/>
              <w:ind w:left="107" w:right="103"/>
              <w:jc w:val="both"/>
              <w:rPr>
                <w:sz w:val="24"/>
              </w:rPr>
            </w:pPr>
            <w:r w:rsidRPr="00150EDC">
              <w:rPr>
                <w:sz w:val="24"/>
              </w:rPr>
              <w:t>but excluding any industrial dispute relating to the Supplier, the Supplier Staff or any other failure in the Supplier or the Subcontractor's supply chain;</w:t>
            </w:r>
          </w:p>
        </w:tc>
      </w:tr>
      <w:tr w:rsidR="007D3144" w:rsidRPr="007D3144" w14:paraId="2BAA110E" w14:textId="77777777">
        <w:trPr>
          <w:trHeight w:val="948"/>
        </w:trPr>
        <w:tc>
          <w:tcPr>
            <w:tcW w:w="2264" w:type="dxa"/>
          </w:tcPr>
          <w:p w14:paraId="2E17C427" w14:textId="77777777" w:rsidR="004C7180" w:rsidRPr="00150EDC" w:rsidRDefault="00CF0754">
            <w:pPr>
              <w:pStyle w:val="TableParagraph"/>
              <w:spacing w:before="0" w:line="240" w:lineRule="auto"/>
              <w:ind w:left="-1" w:right="510"/>
              <w:rPr>
                <w:b/>
                <w:sz w:val="24"/>
              </w:rPr>
            </w:pPr>
            <w:r w:rsidRPr="00150EDC">
              <w:rPr>
                <w:b/>
                <w:sz w:val="24"/>
              </w:rPr>
              <w:t>"Force</w:t>
            </w:r>
            <w:r w:rsidRPr="00150EDC">
              <w:rPr>
                <w:b/>
                <w:spacing w:val="-17"/>
                <w:sz w:val="24"/>
              </w:rPr>
              <w:t xml:space="preserve"> </w:t>
            </w:r>
            <w:r w:rsidRPr="00150EDC">
              <w:rPr>
                <w:b/>
                <w:sz w:val="24"/>
              </w:rPr>
              <w:t xml:space="preserve">Majeure </w:t>
            </w:r>
            <w:r w:rsidRPr="00150EDC">
              <w:rPr>
                <w:b/>
                <w:spacing w:val="-2"/>
                <w:sz w:val="24"/>
              </w:rPr>
              <w:t>Notice"</w:t>
            </w:r>
          </w:p>
        </w:tc>
        <w:tc>
          <w:tcPr>
            <w:tcW w:w="7484" w:type="dxa"/>
          </w:tcPr>
          <w:p w14:paraId="60CCCB8F" w14:textId="77777777" w:rsidR="004C7180" w:rsidRPr="00150EDC" w:rsidRDefault="00CF0754">
            <w:pPr>
              <w:pStyle w:val="TableParagraph"/>
              <w:spacing w:before="0" w:line="240" w:lineRule="auto"/>
              <w:ind w:left="277" w:right="100"/>
              <w:jc w:val="both"/>
              <w:rPr>
                <w:sz w:val="24"/>
              </w:rPr>
            </w:pPr>
            <w:r w:rsidRPr="00150EDC">
              <w:rPr>
                <w:sz w:val="24"/>
              </w:rPr>
              <w:t>a written notice served by the Affected Party on the other Party stating</w:t>
            </w:r>
            <w:r w:rsidRPr="00150EDC">
              <w:rPr>
                <w:spacing w:val="-17"/>
                <w:sz w:val="24"/>
              </w:rPr>
              <w:t xml:space="preserve"> </w:t>
            </w:r>
            <w:r w:rsidRPr="00150EDC">
              <w:rPr>
                <w:sz w:val="24"/>
              </w:rPr>
              <w:t>that</w:t>
            </w:r>
            <w:r w:rsidRPr="00150EDC">
              <w:rPr>
                <w:spacing w:val="-17"/>
                <w:sz w:val="24"/>
              </w:rPr>
              <w:t xml:space="preserve"> </w:t>
            </w:r>
            <w:r w:rsidRPr="00150EDC">
              <w:rPr>
                <w:sz w:val="24"/>
              </w:rPr>
              <w:t>the</w:t>
            </w:r>
            <w:r w:rsidRPr="00150EDC">
              <w:rPr>
                <w:spacing w:val="-16"/>
                <w:sz w:val="24"/>
              </w:rPr>
              <w:t xml:space="preserve"> </w:t>
            </w:r>
            <w:r w:rsidRPr="00150EDC">
              <w:rPr>
                <w:sz w:val="24"/>
              </w:rPr>
              <w:t>Affected</w:t>
            </w:r>
            <w:r w:rsidRPr="00150EDC">
              <w:rPr>
                <w:spacing w:val="-16"/>
                <w:sz w:val="24"/>
              </w:rPr>
              <w:t xml:space="preserve"> </w:t>
            </w:r>
            <w:r w:rsidRPr="00150EDC">
              <w:rPr>
                <w:sz w:val="24"/>
              </w:rPr>
              <w:t>Party</w:t>
            </w:r>
            <w:r w:rsidRPr="00150EDC">
              <w:rPr>
                <w:spacing w:val="-17"/>
                <w:sz w:val="24"/>
              </w:rPr>
              <w:t xml:space="preserve"> </w:t>
            </w:r>
            <w:r w:rsidRPr="00150EDC">
              <w:rPr>
                <w:sz w:val="24"/>
              </w:rPr>
              <w:t>believes</w:t>
            </w:r>
            <w:r w:rsidRPr="00150EDC">
              <w:rPr>
                <w:spacing w:val="-15"/>
                <w:sz w:val="24"/>
              </w:rPr>
              <w:t xml:space="preserve"> </w:t>
            </w:r>
            <w:r w:rsidRPr="00150EDC">
              <w:rPr>
                <w:sz w:val="24"/>
              </w:rPr>
              <w:t>that</w:t>
            </w:r>
            <w:r w:rsidRPr="00150EDC">
              <w:rPr>
                <w:spacing w:val="-15"/>
                <w:sz w:val="24"/>
              </w:rPr>
              <w:t xml:space="preserve"> </w:t>
            </w:r>
            <w:r w:rsidRPr="00150EDC">
              <w:rPr>
                <w:sz w:val="24"/>
              </w:rPr>
              <w:t>there</w:t>
            </w:r>
            <w:r w:rsidRPr="00150EDC">
              <w:rPr>
                <w:spacing w:val="-16"/>
                <w:sz w:val="24"/>
              </w:rPr>
              <w:t xml:space="preserve"> </w:t>
            </w:r>
            <w:r w:rsidRPr="00150EDC">
              <w:rPr>
                <w:sz w:val="24"/>
              </w:rPr>
              <w:t>is</w:t>
            </w:r>
            <w:r w:rsidRPr="00150EDC">
              <w:rPr>
                <w:spacing w:val="-16"/>
                <w:sz w:val="24"/>
              </w:rPr>
              <w:t xml:space="preserve"> </w:t>
            </w:r>
            <w:r w:rsidRPr="00150EDC">
              <w:rPr>
                <w:sz w:val="24"/>
              </w:rPr>
              <w:t>a</w:t>
            </w:r>
            <w:r w:rsidRPr="00150EDC">
              <w:rPr>
                <w:spacing w:val="-15"/>
                <w:sz w:val="24"/>
              </w:rPr>
              <w:t xml:space="preserve"> </w:t>
            </w:r>
            <w:r w:rsidRPr="00150EDC">
              <w:rPr>
                <w:sz w:val="24"/>
              </w:rPr>
              <w:t>Force</w:t>
            </w:r>
            <w:r w:rsidRPr="00150EDC">
              <w:rPr>
                <w:spacing w:val="-16"/>
                <w:sz w:val="24"/>
              </w:rPr>
              <w:t xml:space="preserve"> </w:t>
            </w:r>
            <w:r w:rsidRPr="00150EDC">
              <w:rPr>
                <w:sz w:val="24"/>
              </w:rPr>
              <w:t xml:space="preserve">Majeure </w:t>
            </w:r>
            <w:r w:rsidRPr="00150EDC">
              <w:rPr>
                <w:spacing w:val="-2"/>
                <w:sz w:val="24"/>
              </w:rPr>
              <w:t>Event;</w:t>
            </w:r>
          </w:p>
        </w:tc>
      </w:tr>
      <w:tr w:rsidR="007D3144" w:rsidRPr="007D3144" w14:paraId="5A221953" w14:textId="77777777">
        <w:trPr>
          <w:trHeight w:val="671"/>
        </w:trPr>
        <w:tc>
          <w:tcPr>
            <w:tcW w:w="2264" w:type="dxa"/>
          </w:tcPr>
          <w:p w14:paraId="365D1357" w14:textId="77777777" w:rsidR="004C7180" w:rsidRPr="00150EDC" w:rsidRDefault="00CF0754">
            <w:pPr>
              <w:pStyle w:val="TableParagraph"/>
              <w:spacing w:before="0" w:line="240" w:lineRule="auto"/>
              <w:ind w:left="-1"/>
              <w:rPr>
                <w:b/>
                <w:sz w:val="24"/>
              </w:rPr>
            </w:pPr>
            <w:r w:rsidRPr="00150EDC">
              <w:rPr>
                <w:b/>
                <w:spacing w:val="-2"/>
                <w:sz w:val="24"/>
              </w:rPr>
              <w:t>"GDPR"</w:t>
            </w:r>
          </w:p>
        </w:tc>
        <w:tc>
          <w:tcPr>
            <w:tcW w:w="7484" w:type="dxa"/>
          </w:tcPr>
          <w:p w14:paraId="2BBBAE7F" w14:textId="77777777" w:rsidR="004C7180" w:rsidRPr="00150EDC" w:rsidRDefault="00CF0754">
            <w:pPr>
              <w:pStyle w:val="TableParagraph"/>
              <w:tabs>
                <w:tab w:val="left" w:pos="833"/>
                <w:tab w:val="left" w:pos="1931"/>
                <w:tab w:val="left" w:pos="2684"/>
                <w:tab w:val="left" w:pos="4013"/>
                <w:tab w:val="left" w:pos="5406"/>
                <w:tab w:val="left" w:pos="6881"/>
              </w:tabs>
              <w:spacing w:before="0" w:line="240" w:lineRule="auto"/>
              <w:ind w:left="251" w:right="100"/>
              <w:rPr>
                <w:sz w:val="24"/>
              </w:rPr>
            </w:pPr>
            <w:r w:rsidRPr="00150EDC">
              <w:rPr>
                <w:spacing w:val="-4"/>
                <w:sz w:val="24"/>
              </w:rPr>
              <w:t>the</w:t>
            </w:r>
            <w:r w:rsidRPr="00150EDC">
              <w:rPr>
                <w:sz w:val="24"/>
              </w:rPr>
              <w:tab/>
            </w:r>
            <w:r w:rsidRPr="00150EDC">
              <w:rPr>
                <w:spacing w:val="-2"/>
                <w:sz w:val="24"/>
              </w:rPr>
              <w:t>General</w:t>
            </w:r>
            <w:r w:rsidRPr="00150EDC">
              <w:rPr>
                <w:sz w:val="24"/>
              </w:rPr>
              <w:tab/>
            </w:r>
            <w:r w:rsidRPr="00150EDC">
              <w:rPr>
                <w:spacing w:val="-4"/>
                <w:sz w:val="24"/>
              </w:rPr>
              <w:t>Data</w:t>
            </w:r>
            <w:r w:rsidRPr="00150EDC">
              <w:rPr>
                <w:sz w:val="24"/>
              </w:rPr>
              <w:tab/>
            </w:r>
            <w:r w:rsidRPr="00150EDC">
              <w:rPr>
                <w:spacing w:val="-2"/>
                <w:sz w:val="24"/>
              </w:rPr>
              <w:t>Protection</w:t>
            </w:r>
            <w:r w:rsidRPr="00150EDC">
              <w:rPr>
                <w:sz w:val="24"/>
              </w:rPr>
              <w:tab/>
            </w:r>
            <w:r w:rsidRPr="00150EDC">
              <w:rPr>
                <w:spacing w:val="-2"/>
                <w:sz w:val="24"/>
              </w:rPr>
              <w:t>Regulation</w:t>
            </w:r>
            <w:r w:rsidRPr="00150EDC">
              <w:rPr>
                <w:sz w:val="24"/>
              </w:rPr>
              <w:tab/>
            </w:r>
            <w:r w:rsidRPr="00150EDC">
              <w:rPr>
                <w:spacing w:val="-2"/>
                <w:sz w:val="24"/>
              </w:rPr>
              <w:t>(Regulation</w:t>
            </w:r>
            <w:r w:rsidRPr="00150EDC">
              <w:rPr>
                <w:sz w:val="24"/>
              </w:rPr>
              <w:tab/>
            </w:r>
            <w:r w:rsidRPr="00150EDC">
              <w:rPr>
                <w:spacing w:val="-4"/>
                <w:sz w:val="24"/>
              </w:rPr>
              <w:t xml:space="preserve">(EU) </w:t>
            </w:r>
            <w:r w:rsidRPr="00150EDC">
              <w:rPr>
                <w:spacing w:val="-2"/>
                <w:sz w:val="24"/>
              </w:rPr>
              <w:t>2016/679);</w:t>
            </w:r>
          </w:p>
        </w:tc>
      </w:tr>
      <w:tr w:rsidR="007D3144" w:rsidRPr="007D3144" w14:paraId="515E9C71" w14:textId="77777777">
        <w:trPr>
          <w:trHeight w:val="1343"/>
        </w:trPr>
        <w:tc>
          <w:tcPr>
            <w:tcW w:w="2264" w:type="dxa"/>
          </w:tcPr>
          <w:p w14:paraId="69326129" w14:textId="77777777" w:rsidR="004C7180" w:rsidRPr="00150EDC" w:rsidRDefault="00CF0754">
            <w:pPr>
              <w:pStyle w:val="TableParagraph"/>
              <w:spacing w:before="2" w:line="240" w:lineRule="auto"/>
              <w:ind w:left="-1"/>
              <w:rPr>
                <w:b/>
                <w:sz w:val="24"/>
              </w:rPr>
            </w:pPr>
            <w:r w:rsidRPr="00150EDC">
              <w:rPr>
                <w:b/>
                <w:sz w:val="24"/>
              </w:rPr>
              <w:t>"General</w:t>
            </w:r>
            <w:r w:rsidRPr="00150EDC">
              <w:rPr>
                <w:b/>
                <w:spacing w:val="-17"/>
                <w:sz w:val="24"/>
              </w:rPr>
              <w:t xml:space="preserve"> </w:t>
            </w:r>
            <w:r w:rsidRPr="00150EDC">
              <w:rPr>
                <w:b/>
                <w:sz w:val="24"/>
              </w:rPr>
              <w:t>Anti- Abuse Rule"</w:t>
            </w:r>
          </w:p>
        </w:tc>
        <w:tc>
          <w:tcPr>
            <w:tcW w:w="7484" w:type="dxa"/>
          </w:tcPr>
          <w:p w14:paraId="4CC66432" w14:textId="77777777" w:rsidR="004C7180" w:rsidRPr="00150EDC" w:rsidRDefault="00CF0754" w:rsidP="00B320C7">
            <w:pPr>
              <w:pStyle w:val="TableParagraph"/>
              <w:numPr>
                <w:ilvl w:val="0"/>
                <w:numId w:val="122"/>
              </w:numPr>
              <w:tabs>
                <w:tab w:val="left" w:pos="537"/>
              </w:tabs>
              <w:spacing w:before="2" w:line="240" w:lineRule="auto"/>
              <w:ind w:left="537" w:hanging="286"/>
              <w:jc w:val="both"/>
              <w:rPr>
                <w:sz w:val="24"/>
              </w:rPr>
            </w:pPr>
            <w:r w:rsidRPr="00150EDC">
              <w:rPr>
                <w:sz w:val="24"/>
              </w:rPr>
              <w:t>the</w:t>
            </w:r>
            <w:r w:rsidRPr="00150EDC">
              <w:rPr>
                <w:spacing w:val="-6"/>
                <w:sz w:val="24"/>
              </w:rPr>
              <w:t xml:space="preserve"> </w:t>
            </w:r>
            <w:r w:rsidRPr="00150EDC">
              <w:rPr>
                <w:sz w:val="24"/>
              </w:rPr>
              <w:t>legislation</w:t>
            </w:r>
            <w:r w:rsidRPr="00150EDC">
              <w:rPr>
                <w:spacing w:val="-7"/>
                <w:sz w:val="24"/>
              </w:rPr>
              <w:t xml:space="preserve"> </w:t>
            </w:r>
            <w:r w:rsidRPr="00150EDC">
              <w:rPr>
                <w:sz w:val="24"/>
              </w:rPr>
              <w:t>in</w:t>
            </w:r>
            <w:r w:rsidRPr="00150EDC">
              <w:rPr>
                <w:spacing w:val="-5"/>
                <w:sz w:val="24"/>
              </w:rPr>
              <w:t xml:space="preserve"> </w:t>
            </w:r>
            <w:r w:rsidRPr="00150EDC">
              <w:rPr>
                <w:sz w:val="24"/>
              </w:rPr>
              <w:t>Part</w:t>
            </w:r>
            <w:r w:rsidRPr="00150EDC">
              <w:rPr>
                <w:spacing w:val="-6"/>
                <w:sz w:val="24"/>
              </w:rPr>
              <w:t xml:space="preserve"> </w:t>
            </w:r>
            <w:r w:rsidRPr="00150EDC">
              <w:rPr>
                <w:sz w:val="24"/>
              </w:rPr>
              <w:t>5</w:t>
            </w:r>
            <w:r w:rsidRPr="00150EDC">
              <w:rPr>
                <w:spacing w:val="-6"/>
                <w:sz w:val="24"/>
              </w:rPr>
              <w:t xml:space="preserve"> </w:t>
            </w:r>
            <w:r w:rsidRPr="00150EDC">
              <w:rPr>
                <w:sz w:val="24"/>
              </w:rPr>
              <w:t>of</w:t>
            </w:r>
            <w:r w:rsidRPr="00150EDC">
              <w:rPr>
                <w:spacing w:val="-5"/>
                <w:sz w:val="24"/>
              </w:rPr>
              <w:t xml:space="preserve"> </w:t>
            </w:r>
            <w:r w:rsidRPr="00150EDC">
              <w:rPr>
                <w:sz w:val="24"/>
              </w:rPr>
              <w:t>the</w:t>
            </w:r>
            <w:r w:rsidRPr="00150EDC">
              <w:rPr>
                <w:spacing w:val="-4"/>
                <w:sz w:val="24"/>
              </w:rPr>
              <w:t xml:space="preserve"> </w:t>
            </w:r>
            <w:r w:rsidRPr="00150EDC">
              <w:rPr>
                <w:sz w:val="24"/>
              </w:rPr>
              <w:t>Finance</w:t>
            </w:r>
            <w:r w:rsidRPr="00150EDC">
              <w:rPr>
                <w:spacing w:val="-7"/>
                <w:sz w:val="24"/>
              </w:rPr>
              <w:t xml:space="preserve"> </w:t>
            </w:r>
            <w:r w:rsidRPr="00150EDC">
              <w:rPr>
                <w:sz w:val="24"/>
              </w:rPr>
              <w:t>Act</w:t>
            </w:r>
            <w:r w:rsidRPr="00150EDC">
              <w:rPr>
                <w:spacing w:val="-7"/>
                <w:sz w:val="24"/>
              </w:rPr>
              <w:t xml:space="preserve"> </w:t>
            </w:r>
            <w:r w:rsidRPr="00150EDC">
              <w:rPr>
                <w:sz w:val="24"/>
              </w:rPr>
              <w:t>2013;</w:t>
            </w:r>
            <w:r w:rsidRPr="00150EDC">
              <w:rPr>
                <w:spacing w:val="-6"/>
                <w:sz w:val="24"/>
              </w:rPr>
              <w:t xml:space="preserve"> </w:t>
            </w:r>
            <w:r w:rsidRPr="00150EDC">
              <w:rPr>
                <w:spacing w:val="-5"/>
                <w:sz w:val="24"/>
              </w:rPr>
              <w:t>and</w:t>
            </w:r>
          </w:p>
          <w:p w14:paraId="71FEA721" w14:textId="77777777" w:rsidR="004C7180" w:rsidRPr="00150EDC" w:rsidRDefault="00CF0754" w:rsidP="00B320C7">
            <w:pPr>
              <w:pStyle w:val="TableParagraph"/>
              <w:numPr>
                <w:ilvl w:val="0"/>
                <w:numId w:val="122"/>
              </w:numPr>
              <w:tabs>
                <w:tab w:val="left" w:pos="537"/>
                <w:tab w:val="left" w:pos="539"/>
              </w:tabs>
              <w:spacing w:before="120" w:line="240" w:lineRule="auto"/>
              <w:ind w:right="99"/>
              <w:jc w:val="both"/>
              <w:rPr>
                <w:sz w:val="24"/>
              </w:rPr>
            </w:pPr>
            <w:r w:rsidRPr="00150EDC">
              <w:rPr>
                <w:sz w:val="24"/>
              </w:rPr>
              <w:t>any</w:t>
            </w:r>
            <w:r w:rsidRPr="00150EDC">
              <w:rPr>
                <w:spacing w:val="-17"/>
                <w:sz w:val="24"/>
              </w:rPr>
              <w:t xml:space="preserve"> </w:t>
            </w:r>
            <w:r w:rsidRPr="00150EDC">
              <w:rPr>
                <w:sz w:val="24"/>
              </w:rPr>
              <w:t>future</w:t>
            </w:r>
            <w:r w:rsidRPr="00150EDC">
              <w:rPr>
                <w:spacing w:val="-17"/>
                <w:sz w:val="24"/>
              </w:rPr>
              <w:t xml:space="preserve"> </w:t>
            </w:r>
            <w:r w:rsidRPr="00150EDC">
              <w:rPr>
                <w:sz w:val="24"/>
              </w:rPr>
              <w:t>legislation</w:t>
            </w:r>
            <w:r w:rsidRPr="00150EDC">
              <w:rPr>
                <w:spacing w:val="-16"/>
                <w:sz w:val="24"/>
              </w:rPr>
              <w:t xml:space="preserve"> </w:t>
            </w:r>
            <w:r w:rsidRPr="00150EDC">
              <w:rPr>
                <w:sz w:val="24"/>
              </w:rPr>
              <w:t>introduced</w:t>
            </w:r>
            <w:r w:rsidRPr="00150EDC">
              <w:rPr>
                <w:spacing w:val="-17"/>
                <w:sz w:val="24"/>
              </w:rPr>
              <w:t xml:space="preserve"> </w:t>
            </w:r>
            <w:r w:rsidRPr="00150EDC">
              <w:rPr>
                <w:sz w:val="24"/>
              </w:rPr>
              <w:t>into</w:t>
            </w:r>
            <w:r w:rsidRPr="00150EDC">
              <w:rPr>
                <w:spacing w:val="-17"/>
                <w:sz w:val="24"/>
              </w:rPr>
              <w:t xml:space="preserve"> </w:t>
            </w:r>
            <w:r w:rsidRPr="00150EDC">
              <w:rPr>
                <w:sz w:val="24"/>
              </w:rPr>
              <w:t>parliament</w:t>
            </w:r>
            <w:r w:rsidRPr="00150EDC">
              <w:rPr>
                <w:spacing w:val="-17"/>
                <w:sz w:val="24"/>
              </w:rPr>
              <w:t xml:space="preserve"> </w:t>
            </w:r>
            <w:r w:rsidRPr="00150EDC">
              <w:rPr>
                <w:sz w:val="24"/>
              </w:rPr>
              <w:t>to</w:t>
            </w:r>
            <w:r w:rsidRPr="00150EDC">
              <w:rPr>
                <w:spacing w:val="-16"/>
                <w:sz w:val="24"/>
              </w:rPr>
              <w:t xml:space="preserve"> </w:t>
            </w:r>
            <w:r w:rsidRPr="00150EDC">
              <w:rPr>
                <w:sz w:val="24"/>
              </w:rPr>
              <w:t>counteract</w:t>
            </w:r>
            <w:r w:rsidRPr="00150EDC">
              <w:rPr>
                <w:spacing w:val="-17"/>
                <w:sz w:val="24"/>
              </w:rPr>
              <w:t xml:space="preserve"> </w:t>
            </w:r>
            <w:r w:rsidRPr="00150EDC">
              <w:rPr>
                <w:sz w:val="24"/>
              </w:rPr>
              <w:t>Tax advantages</w:t>
            </w:r>
            <w:r w:rsidRPr="00150EDC">
              <w:rPr>
                <w:spacing w:val="-11"/>
                <w:sz w:val="24"/>
              </w:rPr>
              <w:t xml:space="preserve"> </w:t>
            </w:r>
            <w:r w:rsidRPr="00150EDC">
              <w:rPr>
                <w:sz w:val="24"/>
              </w:rPr>
              <w:t>arising</w:t>
            </w:r>
            <w:r w:rsidRPr="00150EDC">
              <w:rPr>
                <w:spacing w:val="-8"/>
                <w:sz w:val="24"/>
              </w:rPr>
              <w:t xml:space="preserve"> </w:t>
            </w:r>
            <w:r w:rsidRPr="00150EDC">
              <w:rPr>
                <w:sz w:val="24"/>
              </w:rPr>
              <w:t>from</w:t>
            </w:r>
            <w:r w:rsidRPr="00150EDC">
              <w:rPr>
                <w:spacing w:val="-9"/>
                <w:sz w:val="24"/>
              </w:rPr>
              <w:t xml:space="preserve"> </w:t>
            </w:r>
            <w:r w:rsidRPr="00150EDC">
              <w:rPr>
                <w:sz w:val="24"/>
              </w:rPr>
              <w:t>abusive</w:t>
            </w:r>
            <w:r w:rsidRPr="00150EDC">
              <w:rPr>
                <w:spacing w:val="-10"/>
                <w:sz w:val="24"/>
              </w:rPr>
              <w:t xml:space="preserve"> </w:t>
            </w:r>
            <w:r w:rsidRPr="00150EDC">
              <w:rPr>
                <w:sz w:val="24"/>
              </w:rPr>
              <w:t>arrangements</w:t>
            </w:r>
            <w:r w:rsidRPr="00150EDC">
              <w:rPr>
                <w:spacing w:val="-8"/>
                <w:sz w:val="24"/>
              </w:rPr>
              <w:t xml:space="preserve"> </w:t>
            </w:r>
            <w:r w:rsidRPr="00150EDC">
              <w:rPr>
                <w:sz w:val="24"/>
              </w:rPr>
              <w:t>to</w:t>
            </w:r>
            <w:r w:rsidRPr="00150EDC">
              <w:rPr>
                <w:spacing w:val="-9"/>
                <w:sz w:val="24"/>
              </w:rPr>
              <w:t xml:space="preserve"> </w:t>
            </w:r>
            <w:r w:rsidRPr="00150EDC">
              <w:rPr>
                <w:sz w:val="24"/>
              </w:rPr>
              <w:t>avoid</w:t>
            </w:r>
            <w:r w:rsidRPr="00150EDC">
              <w:rPr>
                <w:spacing w:val="-8"/>
                <w:sz w:val="24"/>
              </w:rPr>
              <w:t xml:space="preserve"> </w:t>
            </w:r>
            <w:r w:rsidRPr="00150EDC">
              <w:rPr>
                <w:sz w:val="24"/>
              </w:rPr>
              <w:t>National Insurance contributions;</w:t>
            </w:r>
          </w:p>
        </w:tc>
      </w:tr>
      <w:tr w:rsidR="007D3144" w:rsidRPr="007D3144" w14:paraId="0082DD6D" w14:textId="77777777">
        <w:trPr>
          <w:trHeight w:val="950"/>
        </w:trPr>
        <w:tc>
          <w:tcPr>
            <w:tcW w:w="2264" w:type="dxa"/>
          </w:tcPr>
          <w:p w14:paraId="35A473D7" w14:textId="77777777" w:rsidR="004C7180" w:rsidRPr="00150EDC" w:rsidRDefault="00CF0754">
            <w:pPr>
              <w:pStyle w:val="TableParagraph"/>
              <w:spacing w:before="2" w:line="240" w:lineRule="auto"/>
              <w:ind w:left="-1" w:right="297"/>
              <w:rPr>
                <w:b/>
                <w:sz w:val="24"/>
              </w:rPr>
            </w:pPr>
            <w:r w:rsidRPr="00150EDC">
              <w:rPr>
                <w:b/>
                <w:sz w:val="24"/>
              </w:rPr>
              <w:t>"General</w:t>
            </w:r>
            <w:r w:rsidRPr="00150EDC">
              <w:rPr>
                <w:b/>
                <w:spacing w:val="-17"/>
                <w:sz w:val="24"/>
              </w:rPr>
              <w:t xml:space="preserve"> </w:t>
            </w:r>
            <w:r w:rsidRPr="00150EDC">
              <w:rPr>
                <w:b/>
                <w:sz w:val="24"/>
              </w:rPr>
              <w:t>Change in Law"</w:t>
            </w:r>
          </w:p>
        </w:tc>
        <w:tc>
          <w:tcPr>
            <w:tcW w:w="7484" w:type="dxa"/>
          </w:tcPr>
          <w:p w14:paraId="00FCE251" w14:textId="77777777" w:rsidR="004C7180" w:rsidRPr="00150EDC" w:rsidRDefault="00CF0754">
            <w:pPr>
              <w:pStyle w:val="TableParagraph"/>
              <w:spacing w:before="2" w:line="240" w:lineRule="auto"/>
              <w:ind w:left="277" w:right="100"/>
              <w:jc w:val="both"/>
              <w:rPr>
                <w:sz w:val="24"/>
              </w:rPr>
            </w:pPr>
            <w:r w:rsidRPr="00150EDC">
              <w:rPr>
                <w:sz w:val="24"/>
              </w:rPr>
              <w:t>a</w:t>
            </w:r>
            <w:r w:rsidRPr="00150EDC">
              <w:rPr>
                <w:spacing w:val="-13"/>
                <w:sz w:val="24"/>
              </w:rPr>
              <w:t xml:space="preserve"> </w:t>
            </w:r>
            <w:r w:rsidRPr="00150EDC">
              <w:rPr>
                <w:sz w:val="24"/>
              </w:rPr>
              <w:t>Change</w:t>
            </w:r>
            <w:r w:rsidRPr="00150EDC">
              <w:rPr>
                <w:spacing w:val="-15"/>
                <w:sz w:val="24"/>
              </w:rPr>
              <w:t xml:space="preserve"> </w:t>
            </w:r>
            <w:r w:rsidRPr="00150EDC">
              <w:rPr>
                <w:sz w:val="24"/>
              </w:rPr>
              <w:t>in</w:t>
            </w:r>
            <w:r w:rsidRPr="00150EDC">
              <w:rPr>
                <w:spacing w:val="-16"/>
                <w:sz w:val="24"/>
              </w:rPr>
              <w:t xml:space="preserve"> </w:t>
            </w:r>
            <w:r w:rsidRPr="00150EDC">
              <w:rPr>
                <w:sz w:val="24"/>
              </w:rPr>
              <w:t>Law</w:t>
            </w:r>
            <w:r w:rsidRPr="00150EDC">
              <w:rPr>
                <w:spacing w:val="-14"/>
                <w:sz w:val="24"/>
              </w:rPr>
              <w:t xml:space="preserve"> </w:t>
            </w:r>
            <w:r w:rsidRPr="00150EDC">
              <w:rPr>
                <w:sz w:val="24"/>
              </w:rPr>
              <w:t>where</w:t>
            </w:r>
            <w:r w:rsidRPr="00150EDC">
              <w:rPr>
                <w:spacing w:val="-13"/>
                <w:sz w:val="24"/>
              </w:rPr>
              <w:t xml:space="preserve"> </w:t>
            </w:r>
            <w:r w:rsidRPr="00150EDC">
              <w:rPr>
                <w:sz w:val="24"/>
              </w:rPr>
              <w:t>the</w:t>
            </w:r>
            <w:r w:rsidRPr="00150EDC">
              <w:rPr>
                <w:spacing w:val="-13"/>
                <w:sz w:val="24"/>
              </w:rPr>
              <w:t xml:space="preserve"> </w:t>
            </w:r>
            <w:r w:rsidRPr="00150EDC">
              <w:rPr>
                <w:sz w:val="24"/>
              </w:rPr>
              <w:t>change</w:t>
            </w:r>
            <w:r w:rsidRPr="00150EDC">
              <w:rPr>
                <w:spacing w:val="-13"/>
                <w:sz w:val="24"/>
              </w:rPr>
              <w:t xml:space="preserve"> </w:t>
            </w:r>
            <w:r w:rsidRPr="00150EDC">
              <w:rPr>
                <w:sz w:val="24"/>
              </w:rPr>
              <w:t>is</w:t>
            </w:r>
            <w:r w:rsidRPr="00150EDC">
              <w:rPr>
                <w:spacing w:val="-16"/>
                <w:sz w:val="24"/>
              </w:rPr>
              <w:t xml:space="preserve"> </w:t>
            </w:r>
            <w:r w:rsidRPr="00150EDC">
              <w:rPr>
                <w:sz w:val="24"/>
              </w:rPr>
              <w:t>of</w:t>
            </w:r>
            <w:r w:rsidRPr="00150EDC">
              <w:rPr>
                <w:spacing w:val="-15"/>
                <w:sz w:val="24"/>
              </w:rPr>
              <w:t xml:space="preserve"> </w:t>
            </w:r>
            <w:r w:rsidRPr="00150EDC">
              <w:rPr>
                <w:sz w:val="24"/>
              </w:rPr>
              <w:t>a</w:t>
            </w:r>
            <w:r w:rsidRPr="00150EDC">
              <w:rPr>
                <w:spacing w:val="-15"/>
                <w:sz w:val="24"/>
              </w:rPr>
              <w:t xml:space="preserve"> </w:t>
            </w:r>
            <w:r w:rsidRPr="00150EDC">
              <w:rPr>
                <w:sz w:val="24"/>
              </w:rPr>
              <w:t>general</w:t>
            </w:r>
            <w:r w:rsidRPr="00150EDC">
              <w:rPr>
                <w:spacing w:val="-14"/>
                <w:sz w:val="24"/>
              </w:rPr>
              <w:t xml:space="preserve"> </w:t>
            </w:r>
            <w:r w:rsidRPr="00150EDC">
              <w:rPr>
                <w:sz w:val="24"/>
              </w:rPr>
              <w:t>legislative</w:t>
            </w:r>
            <w:r w:rsidRPr="00150EDC">
              <w:rPr>
                <w:spacing w:val="-15"/>
                <w:sz w:val="24"/>
              </w:rPr>
              <w:t xml:space="preserve"> </w:t>
            </w:r>
            <w:r w:rsidRPr="00150EDC">
              <w:rPr>
                <w:sz w:val="24"/>
              </w:rPr>
              <w:t>nature (including Tax or duties of any sort affecting the Supplier) or which affects or relates to a Comparable Supply;</w:t>
            </w:r>
          </w:p>
        </w:tc>
      </w:tr>
      <w:tr w:rsidR="007D3144" w:rsidRPr="007D3144" w14:paraId="2F8D1894" w14:textId="77777777">
        <w:trPr>
          <w:trHeight w:val="671"/>
        </w:trPr>
        <w:tc>
          <w:tcPr>
            <w:tcW w:w="2264" w:type="dxa"/>
          </w:tcPr>
          <w:p w14:paraId="37754137" w14:textId="77777777" w:rsidR="004C7180" w:rsidRPr="00150EDC" w:rsidRDefault="00CF0754">
            <w:pPr>
              <w:pStyle w:val="TableParagraph"/>
              <w:spacing w:before="0" w:line="240" w:lineRule="auto"/>
              <w:ind w:left="-1"/>
              <w:rPr>
                <w:b/>
                <w:sz w:val="24"/>
              </w:rPr>
            </w:pPr>
            <w:r w:rsidRPr="00150EDC">
              <w:rPr>
                <w:b/>
                <w:sz w:val="24"/>
              </w:rPr>
              <w:t xml:space="preserve">“Gold </w:t>
            </w:r>
            <w:r w:rsidRPr="00150EDC">
              <w:rPr>
                <w:b/>
                <w:spacing w:val="-2"/>
                <w:sz w:val="24"/>
              </w:rPr>
              <w:t>Contract”</w:t>
            </w:r>
          </w:p>
        </w:tc>
        <w:tc>
          <w:tcPr>
            <w:tcW w:w="7484" w:type="dxa"/>
          </w:tcPr>
          <w:p w14:paraId="2853BD2C" w14:textId="77777777" w:rsidR="004C7180" w:rsidRPr="00150EDC" w:rsidRDefault="00CF0754">
            <w:pPr>
              <w:pStyle w:val="TableParagraph"/>
              <w:spacing w:before="0" w:line="240" w:lineRule="auto"/>
              <w:ind w:left="277"/>
              <w:rPr>
                <w:sz w:val="24"/>
              </w:rPr>
            </w:pPr>
            <w:r w:rsidRPr="00150EDC">
              <w:rPr>
                <w:sz w:val="24"/>
              </w:rPr>
              <w:t>an</w:t>
            </w:r>
            <w:r w:rsidRPr="00150EDC">
              <w:rPr>
                <w:spacing w:val="-10"/>
                <w:sz w:val="24"/>
              </w:rPr>
              <w:t xml:space="preserve"> </w:t>
            </w:r>
            <w:r w:rsidRPr="00150EDC">
              <w:rPr>
                <w:sz w:val="24"/>
              </w:rPr>
              <w:t>Order</w:t>
            </w:r>
            <w:r w:rsidRPr="00150EDC">
              <w:rPr>
                <w:spacing w:val="-12"/>
                <w:sz w:val="24"/>
              </w:rPr>
              <w:t xml:space="preserve"> </w:t>
            </w:r>
            <w:r w:rsidRPr="00150EDC">
              <w:rPr>
                <w:sz w:val="24"/>
              </w:rPr>
              <w:t>Contract</w:t>
            </w:r>
            <w:r w:rsidRPr="00150EDC">
              <w:rPr>
                <w:spacing w:val="-13"/>
                <w:sz w:val="24"/>
              </w:rPr>
              <w:t xml:space="preserve"> </w:t>
            </w:r>
            <w:r w:rsidRPr="00150EDC">
              <w:rPr>
                <w:sz w:val="24"/>
              </w:rPr>
              <w:t>categorised</w:t>
            </w:r>
            <w:r w:rsidRPr="00150EDC">
              <w:rPr>
                <w:spacing w:val="-13"/>
                <w:sz w:val="24"/>
              </w:rPr>
              <w:t xml:space="preserve"> </w:t>
            </w:r>
            <w:r w:rsidRPr="00150EDC">
              <w:rPr>
                <w:sz w:val="24"/>
              </w:rPr>
              <w:t>as</w:t>
            </w:r>
            <w:r w:rsidRPr="00150EDC">
              <w:rPr>
                <w:spacing w:val="-14"/>
                <w:sz w:val="24"/>
              </w:rPr>
              <w:t xml:space="preserve"> </w:t>
            </w:r>
            <w:r w:rsidRPr="00150EDC">
              <w:rPr>
                <w:sz w:val="24"/>
              </w:rPr>
              <w:t>a</w:t>
            </w:r>
            <w:r w:rsidRPr="00150EDC">
              <w:rPr>
                <w:spacing w:val="-13"/>
                <w:sz w:val="24"/>
              </w:rPr>
              <w:t xml:space="preserve"> </w:t>
            </w:r>
            <w:r w:rsidRPr="00150EDC">
              <w:rPr>
                <w:sz w:val="24"/>
              </w:rPr>
              <w:t>Gold</w:t>
            </w:r>
            <w:r w:rsidRPr="00150EDC">
              <w:rPr>
                <w:spacing w:val="-13"/>
                <w:sz w:val="24"/>
              </w:rPr>
              <w:t xml:space="preserve"> </w:t>
            </w:r>
            <w:r w:rsidRPr="00150EDC">
              <w:rPr>
                <w:sz w:val="24"/>
              </w:rPr>
              <w:t>contract</w:t>
            </w:r>
            <w:r w:rsidRPr="00150EDC">
              <w:rPr>
                <w:spacing w:val="-11"/>
                <w:sz w:val="24"/>
              </w:rPr>
              <w:t xml:space="preserve"> </w:t>
            </w:r>
            <w:r w:rsidRPr="00150EDC">
              <w:rPr>
                <w:sz w:val="24"/>
              </w:rPr>
              <w:t>using</w:t>
            </w:r>
            <w:r w:rsidRPr="00150EDC">
              <w:rPr>
                <w:spacing w:val="-13"/>
                <w:sz w:val="24"/>
              </w:rPr>
              <w:t xml:space="preserve"> </w:t>
            </w:r>
            <w:r w:rsidRPr="00150EDC">
              <w:rPr>
                <w:sz w:val="24"/>
              </w:rPr>
              <w:t>the</w:t>
            </w:r>
            <w:r w:rsidRPr="00150EDC">
              <w:rPr>
                <w:spacing w:val="-5"/>
                <w:sz w:val="24"/>
              </w:rPr>
              <w:t xml:space="preserve"> </w:t>
            </w:r>
            <w:r w:rsidRPr="00150EDC">
              <w:rPr>
                <w:sz w:val="24"/>
              </w:rPr>
              <w:t>Cabinet Office Contract Tiering Tool;</w:t>
            </w:r>
          </w:p>
        </w:tc>
      </w:tr>
      <w:tr w:rsidR="007D3144" w:rsidRPr="007D3144" w14:paraId="1DDB33A4" w14:textId="77777777">
        <w:trPr>
          <w:trHeight w:val="947"/>
        </w:trPr>
        <w:tc>
          <w:tcPr>
            <w:tcW w:w="2264" w:type="dxa"/>
          </w:tcPr>
          <w:p w14:paraId="52F4A634" w14:textId="77777777" w:rsidR="004C7180" w:rsidRPr="00150EDC" w:rsidRDefault="00CF0754">
            <w:pPr>
              <w:pStyle w:val="TableParagraph"/>
              <w:spacing w:before="0" w:line="240" w:lineRule="auto"/>
              <w:ind w:left="-1"/>
              <w:rPr>
                <w:b/>
                <w:sz w:val="24"/>
              </w:rPr>
            </w:pPr>
            <w:r w:rsidRPr="00150EDC">
              <w:rPr>
                <w:b/>
                <w:spacing w:val="-2"/>
                <w:sz w:val="24"/>
              </w:rPr>
              <w:t>"Goods"</w:t>
            </w:r>
          </w:p>
        </w:tc>
        <w:tc>
          <w:tcPr>
            <w:tcW w:w="7484" w:type="dxa"/>
          </w:tcPr>
          <w:p w14:paraId="0E98FAD3" w14:textId="77777777" w:rsidR="004C7180" w:rsidRPr="00150EDC" w:rsidRDefault="00CF0754">
            <w:pPr>
              <w:pStyle w:val="TableParagraph"/>
              <w:spacing w:before="0" w:line="240" w:lineRule="auto"/>
              <w:ind w:left="277" w:right="99"/>
              <w:jc w:val="both"/>
              <w:rPr>
                <w:sz w:val="24"/>
              </w:rPr>
            </w:pPr>
            <w:r w:rsidRPr="00150EDC">
              <w:rPr>
                <w:sz w:val="24"/>
              </w:rPr>
              <w:t>goods</w:t>
            </w:r>
            <w:r w:rsidRPr="00150EDC">
              <w:rPr>
                <w:spacing w:val="-17"/>
                <w:sz w:val="24"/>
              </w:rPr>
              <w:t xml:space="preserve"> </w:t>
            </w:r>
            <w:r w:rsidRPr="00150EDC">
              <w:rPr>
                <w:sz w:val="24"/>
              </w:rPr>
              <w:t>made</w:t>
            </w:r>
            <w:r w:rsidRPr="00150EDC">
              <w:rPr>
                <w:spacing w:val="-16"/>
                <w:sz w:val="24"/>
              </w:rPr>
              <w:t xml:space="preserve"> </w:t>
            </w:r>
            <w:r w:rsidRPr="00150EDC">
              <w:rPr>
                <w:sz w:val="24"/>
              </w:rPr>
              <w:t>available</w:t>
            </w:r>
            <w:r w:rsidRPr="00150EDC">
              <w:rPr>
                <w:spacing w:val="-17"/>
                <w:sz w:val="24"/>
              </w:rPr>
              <w:t xml:space="preserve"> </w:t>
            </w:r>
            <w:r w:rsidRPr="00150EDC">
              <w:rPr>
                <w:sz w:val="24"/>
              </w:rPr>
              <w:t>by</w:t>
            </w:r>
            <w:r w:rsidRPr="00150EDC">
              <w:rPr>
                <w:spacing w:val="-15"/>
                <w:sz w:val="24"/>
              </w:rPr>
              <w:t xml:space="preserve"> </w:t>
            </w:r>
            <w:r w:rsidRPr="00150EDC">
              <w:rPr>
                <w:sz w:val="24"/>
              </w:rPr>
              <w:t>the</w:t>
            </w:r>
            <w:r w:rsidRPr="00150EDC">
              <w:rPr>
                <w:spacing w:val="-15"/>
                <w:sz w:val="24"/>
              </w:rPr>
              <w:t xml:space="preserve"> </w:t>
            </w:r>
            <w:r w:rsidRPr="00150EDC">
              <w:rPr>
                <w:sz w:val="24"/>
              </w:rPr>
              <w:t>Supplier</w:t>
            </w:r>
            <w:r w:rsidRPr="00150EDC">
              <w:rPr>
                <w:spacing w:val="-17"/>
                <w:sz w:val="24"/>
              </w:rPr>
              <w:t xml:space="preserve"> </w:t>
            </w:r>
            <w:r w:rsidRPr="00150EDC">
              <w:rPr>
                <w:sz w:val="24"/>
              </w:rPr>
              <w:t>as</w:t>
            </w:r>
            <w:r w:rsidRPr="00150EDC">
              <w:rPr>
                <w:spacing w:val="-17"/>
                <w:sz w:val="24"/>
              </w:rPr>
              <w:t xml:space="preserve"> </w:t>
            </w:r>
            <w:r w:rsidRPr="00150EDC">
              <w:rPr>
                <w:sz w:val="24"/>
              </w:rPr>
              <w:t>specified</w:t>
            </w:r>
            <w:r w:rsidRPr="00150EDC">
              <w:rPr>
                <w:spacing w:val="-15"/>
                <w:sz w:val="24"/>
              </w:rPr>
              <w:t xml:space="preserve"> </w:t>
            </w:r>
            <w:r w:rsidRPr="00150EDC">
              <w:rPr>
                <w:sz w:val="24"/>
              </w:rPr>
              <w:t>in</w:t>
            </w:r>
            <w:r w:rsidRPr="00150EDC">
              <w:rPr>
                <w:spacing w:val="-16"/>
                <w:sz w:val="24"/>
              </w:rPr>
              <w:t xml:space="preserve"> </w:t>
            </w:r>
            <w:r w:rsidRPr="00150EDC">
              <w:rPr>
                <w:sz w:val="24"/>
              </w:rPr>
              <w:t>DPS</w:t>
            </w:r>
            <w:r w:rsidRPr="00150EDC">
              <w:rPr>
                <w:spacing w:val="-17"/>
                <w:sz w:val="24"/>
              </w:rPr>
              <w:t xml:space="preserve"> </w:t>
            </w:r>
            <w:r w:rsidRPr="00150EDC">
              <w:rPr>
                <w:sz w:val="24"/>
              </w:rPr>
              <w:t>Schedule 1</w:t>
            </w:r>
            <w:r w:rsidRPr="00150EDC">
              <w:rPr>
                <w:spacing w:val="-6"/>
                <w:sz w:val="24"/>
              </w:rPr>
              <w:t xml:space="preserve"> </w:t>
            </w:r>
            <w:r w:rsidRPr="00150EDC">
              <w:rPr>
                <w:sz w:val="24"/>
              </w:rPr>
              <w:t>(Specification)</w:t>
            </w:r>
            <w:r w:rsidRPr="00150EDC">
              <w:rPr>
                <w:spacing w:val="-9"/>
                <w:sz w:val="24"/>
              </w:rPr>
              <w:t xml:space="preserve"> </w:t>
            </w:r>
            <w:r w:rsidRPr="00150EDC">
              <w:rPr>
                <w:sz w:val="24"/>
              </w:rPr>
              <w:t>and</w:t>
            </w:r>
            <w:r w:rsidRPr="00150EDC">
              <w:rPr>
                <w:spacing w:val="-8"/>
                <w:sz w:val="24"/>
              </w:rPr>
              <w:t xml:space="preserve"> </w:t>
            </w:r>
            <w:r w:rsidRPr="00150EDC">
              <w:rPr>
                <w:sz w:val="24"/>
              </w:rPr>
              <w:t>in</w:t>
            </w:r>
            <w:r w:rsidRPr="00150EDC">
              <w:rPr>
                <w:spacing w:val="-8"/>
                <w:sz w:val="24"/>
              </w:rPr>
              <w:t xml:space="preserve"> </w:t>
            </w:r>
            <w:r w:rsidRPr="00150EDC">
              <w:rPr>
                <w:sz w:val="24"/>
              </w:rPr>
              <w:t>relation</w:t>
            </w:r>
            <w:r w:rsidRPr="00150EDC">
              <w:rPr>
                <w:spacing w:val="-8"/>
                <w:sz w:val="24"/>
              </w:rPr>
              <w:t xml:space="preserve"> </w:t>
            </w:r>
            <w:r w:rsidRPr="00150EDC">
              <w:rPr>
                <w:sz w:val="24"/>
              </w:rPr>
              <w:t>to</w:t>
            </w:r>
            <w:r w:rsidRPr="00150EDC">
              <w:rPr>
                <w:spacing w:val="-7"/>
                <w:sz w:val="24"/>
              </w:rPr>
              <w:t xml:space="preserve"> </w:t>
            </w:r>
            <w:r w:rsidRPr="00150EDC">
              <w:rPr>
                <w:sz w:val="24"/>
              </w:rPr>
              <w:t>an</w:t>
            </w:r>
            <w:r w:rsidRPr="00150EDC">
              <w:rPr>
                <w:spacing w:val="-8"/>
                <w:sz w:val="24"/>
              </w:rPr>
              <w:t xml:space="preserve"> </w:t>
            </w:r>
            <w:r w:rsidRPr="00150EDC">
              <w:rPr>
                <w:sz w:val="24"/>
              </w:rPr>
              <w:t>Order</w:t>
            </w:r>
            <w:r w:rsidRPr="00150EDC">
              <w:rPr>
                <w:spacing w:val="-7"/>
                <w:sz w:val="24"/>
              </w:rPr>
              <w:t xml:space="preserve"> </w:t>
            </w:r>
            <w:r w:rsidRPr="00150EDC">
              <w:rPr>
                <w:sz w:val="24"/>
              </w:rPr>
              <w:t>Contract</w:t>
            </w:r>
            <w:r w:rsidRPr="00150EDC">
              <w:rPr>
                <w:spacing w:val="-8"/>
                <w:sz w:val="24"/>
              </w:rPr>
              <w:t xml:space="preserve"> </w:t>
            </w:r>
            <w:r w:rsidRPr="00150EDC">
              <w:rPr>
                <w:sz w:val="24"/>
              </w:rPr>
              <w:t>as</w:t>
            </w:r>
            <w:r w:rsidRPr="00150EDC">
              <w:rPr>
                <w:spacing w:val="-9"/>
                <w:sz w:val="24"/>
              </w:rPr>
              <w:t xml:space="preserve"> </w:t>
            </w:r>
            <w:r w:rsidRPr="00150EDC">
              <w:rPr>
                <w:sz w:val="24"/>
              </w:rPr>
              <w:t>specified</w:t>
            </w:r>
            <w:r w:rsidRPr="00150EDC">
              <w:rPr>
                <w:spacing w:val="-7"/>
                <w:sz w:val="24"/>
              </w:rPr>
              <w:t xml:space="preserve"> </w:t>
            </w:r>
            <w:r w:rsidRPr="00150EDC">
              <w:rPr>
                <w:sz w:val="24"/>
              </w:rPr>
              <w:t>in the Order Form ;</w:t>
            </w:r>
          </w:p>
        </w:tc>
      </w:tr>
      <w:tr w:rsidR="007D3144" w:rsidRPr="007D3144" w14:paraId="1D969238" w14:textId="77777777">
        <w:trPr>
          <w:trHeight w:val="1499"/>
        </w:trPr>
        <w:tc>
          <w:tcPr>
            <w:tcW w:w="2264" w:type="dxa"/>
          </w:tcPr>
          <w:p w14:paraId="7D58DCE3" w14:textId="77777777" w:rsidR="004C7180" w:rsidRPr="00150EDC" w:rsidRDefault="00CF0754">
            <w:pPr>
              <w:pStyle w:val="TableParagraph"/>
              <w:spacing w:before="0" w:line="240" w:lineRule="auto"/>
              <w:ind w:left="-1"/>
              <w:rPr>
                <w:b/>
                <w:sz w:val="24"/>
              </w:rPr>
            </w:pPr>
            <w:r w:rsidRPr="00150EDC">
              <w:rPr>
                <w:b/>
                <w:sz w:val="24"/>
              </w:rPr>
              <w:t>"Good</w:t>
            </w:r>
            <w:r w:rsidRPr="00150EDC">
              <w:rPr>
                <w:b/>
                <w:spacing w:val="-17"/>
                <w:sz w:val="24"/>
              </w:rPr>
              <w:t xml:space="preserve"> </w:t>
            </w:r>
            <w:r w:rsidRPr="00150EDC">
              <w:rPr>
                <w:b/>
                <w:sz w:val="24"/>
              </w:rPr>
              <w:t xml:space="preserve">Industry </w:t>
            </w:r>
            <w:r w:rsidRPr="00150EDC">
              <w:rPr>
                <w:b/>
                <w:spacing w:val="-2"/>
                <w:sz w:val="24"/>
              </w:rPr>
              <w:t>Practice"</w:t>
            </w:r>
          </w:p>
        </w:tc>
        <w:tc>
          <w:tcPr>
            <w:tcW w:w="7484" w:type="dxa"/>
          </w:tcPr>
          <w:p w14:paraId="551EE726" w14:textId="77777777" w:rsidR="004C7180" w:rsidRPr="00150EDC" w:rsidRDefault="00CF0754">
            <w:pPr>
              <w:pStyle w:val="TableParagraph"/>
              <w:spacing w:before="0" w:line="240" w:lineRule="auto"/>
              <w:ind w:left="277" w:right="102"/>
              <w:jc w:val="both"/>
              <w:rPr>
                <w:sz w:val="24"/>
              </w:rPr>
            </w:pPr>
            <w:r w:rsidRPr="00150EDC">
              <w:rPr>
                <w:sz w:val="24"/>
              </w:rPr>
              <w:t>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7D3144" w:rsidRPr="007D3144" w14:paraId="3A80BF71" w14:textId="77777777">
        <w:trPr>
          <w:trHeight w:val="1776"/>
        </w:trPr>
        <w:tc>
          <w:tcPr>
            <w:tcW w:w="2264" w:type="dxa"/>
          </w:tcPr>
          <w:p w14:paraId="34743A06" w14:textId="77777777" w:rsidR="004C7180" w:rsidRPr="00150EDC" w:rsidRDefault="00CF0754">
            <w:pPr>
              <w:pStyle w:val="TableParagraph"/>
              <w:spacing w:before="0" w:line="240" w:lineRule="auto"/>
              <w:ind w:left="-1"/>
              <w:rPr>
                <w:b/>
                <w:sz w:val="24"/>
              </w:rPr>
            </w:pPr>
            <w:r w:rsidRPr="00150EDC">
              <w:rPr>
                <w:b/>
                <w:spacing w:val="-2"/>
                <w:sz w:val="24"/>
              </w:rPr>
              <w:t>"Government"</w:t>
            </w:r>
          </w:p>
        </w:tc>
        <w:tc>
          <w:tcPr>
            <w:tcW w:w="7484" w:type="dxa"/>
          </w:tcPr>
          <w:p w14:paraId="69E2BD30" w14:textId="77777777" w:rsidR="004C7180" w:rsidRPr="00150EDC" w:rsidRDefault="00CF0754">
            <w:pPr>
              <w:pStyle w:val="TableParagraph"/>
              <w:spacing w:before="0" w:line="240" w:lineRule="auto"/>
              <w:ind w:left="277" w:right="99"/>
              <w:jc w:val="both"/>
              <w:rPr>
                <w:sz w:val="24"/>
              </w:rPr>
            </w:pPr>
            <w:r w:rsidRPr="00150EDC">
              <w:rPr>
                <w:sz w:val="24"/>
              </w:rPr>
              <w:t>the government of the United Kingdom (including the Northern Ireland Assembly and Executive Committee, the Scottish Government and the National Assembly for Wales), including government ministers and government departments and other bodies, persons, commissions or agencies from time to time carrying out functions on its behalf;</w:t>
            </w:r>
          </w:p>
        </w:tc>
      </w:tr>
    </w:tbl>
    <w:p w14:paraId="783D2631" w14:textId="77777777" w:rsidR="004C7180" w:rsidRPr="00150EDC" w:rsidRDefault="004C7180">
      <w:pPr>
        <w:jc w:val="both"/>
        <w:rPr>
          <w:sz w:val="24"/>
        </w:rPr>
        <w:sectPr w:rsidR="004C7180" w:rsidRPr="00150EDC">
          <w:pgSz w:w="11910" w:h="16840"/>
          <w:pgMar w:top="1160" w:right="0" w:bottom="1460" w:left="40" w:header="715" w:footer="1208" w:gutter="0"/>
          <w:cols w:space="720"/>
        </w:sectPr>
      </w:pPr>
    </w:p>
    <w:p w14:paraId="5CEF2554" w14:textId="77777777" w:rsidR="004C7180" w:rsidRPr="00150EDC" w:rsidRDefault="004C7180">
      <w:pPr>
        <w:pStyle w:val="BodyText"/>
        <w:spacing w:before="7"/>
        <w:rPr>
          <w:sz w:val="23"/>
        </w:rPr>
      </w:pPr>
    </w:p>
    <w:tbl>
      <w:tblPr>
        <w:tblW w:w="0" w:type="auto"/>
        <w:tblInd w:w="1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4"/>
        <w:gridCol w:w="7484"/>
      </w:tblGrid>
      <w:tr w:rsidR="007D3144" w:rsidRPr="007D3144" w14:paraId="1E023483" w14:textId="77777777">
        <w:trPr>
          <w:trHeight w:val="2582"/>
        </w:trPr>
        <w:tc>
          <w:tcPr>
            <w:tcW w:w="2264" w:type="dxa"/>
          </w:tcPr>
          <w:p w14:paraId="5D77E759" w14:textId="77777777" w:rsidR="004C7180" w:rsidRPr="00150EDC" w:rsidRDefault="00CF0754">
            <w:pPr>
              <w:pStyle w:val="TableParagraph"/>
              <w:spacing w:before="0" w:line="240" w:lineRule="auto"/>
              <w:ind w:left="-1" w:right="298"/>
              <w:rPr>
                <w:b/>
                <w:sz w:val="24"/>
              </w:rPr>
            </w:pPr>
            <w:r w:rsidRPr="00150EDC">
              <w:rPr>
                <w:b/>
                <w:spacing w:val="-2"/>
                <w:sz w:val="24"/>
              </w:rPr>
              <w:t>"Government Data"</w:t>
            </w:r>
          </w:p>
        </w:tc>
        <w:tc>
          <w:tcPr>
            <w:tcW w:w="7484" w:type="dxa"/>
          </w:tcPr>
          <w:p w14:paraId="5BF32762" w14:textId="77777777" w:rsidR="004C7180" w:rsidRPr="00150EDC" w:rsidRDefault="00CF0754">
            <w:pPr>
              <w:pStyle w:val="TableParagraph"/>
              <w:spacing w:before="0" w:line="240" w:lineRule="auto"/>
              <w:ind w:left="107" w:right="100"/>
              <w:jc w:val="both"/>
              <w:rPr>
                <w:sz w:val="24"/>
              </w:rPr>
            </w:pPr>
            <w:r w:rsidRPr="00150EDC">
              <w:rPr>
                <w:sz w:val="24"/>
              </w:rPr>
              <w:t>the data, text, drawings, diagrams, images or sounds (together with any database made up of any of these) which are embodied in any electronic, magnetic, optical or tangible media, including any of the Authority’s Confidential Information, and which:</w:t>
            </w:r>
          </w:p>
          <w:p w14:paraId="1A3AC394" w14:textId="77777777" w:rsidR="004C7180" w:rsidRPr="00150EDC" w:rsidRDefault="00CF0754" w:rsidP="00B320C7">
            <w:pPr>
              <w:pStyle w:val="TableParagraph"/>
              <w:numPr>
                <w:ilvl w:val="0"/>
                <w:numId w:val="121"/>
              </w:numPr>
              <w:tabs>
                <w:tab w:val="left" w:pos="899"/>
              </w:tabs>
              <w:spacing w:before="120" w:line="240" w:lineRule="auto"/>
              <w:ind w:right="103"/>
              <w:jc w:val="both"/>
              <w:rPr>
                <w:sz w:val="24"/>
              </w:rPr>
            </w:pPr>
            <w:r w:rsidRPr="00150EDC">
              <w:rPr>
                <w:sz w:val="24"/>
              </w:rPr>
              <w:t xml:space="preserve">are supplied to the Supplier by or on behalf of the Authority; </w:t>
            </w:r>
            <w:r w:rsidRPr="00150EDC">
              <w:rPr>
                <w:spacing w:val="-6"/>
                <w:sz w:val="24"/>
              </w:rPr>
              <w:t>or</w:t>
            </w:r>
          </w:p>
          <w:p w14:paraId="5B6DCA99" w14:textId="77777777" w:rsidR="004C7180" w:rsidRPr="00150EDC" w:rsidRDefault="00CF0754" w:rsidP="00B320C7">
            <w:pPr>
              <w:pStyle w:val="TableParagraph"/>
              <w:numPr>
                <w:ilvl w:val="0"/>
                <w:numId w:val="121"/>
              </w:numPr>
              <w:tabs>
                <w:tab w:val="left" w:pos="897"/>
                <w:tab w:val="left" w:pos="899"/>
              </w:tabs>
              <w:spacing w:before="121" w:line="240" w:lineRule="auto"/>
              <w:ind w:right="100"/>
              <w:jc w:val="both"/>
              <w:rPr>
                <w:sz w:val="24"/>
              </w:rPr>
            </w:pPr>
            <w:r w:rsidRPr="00150EDC">
              <w:rPr>
                <w:sz w:val="24"/>
              </w:rPr>
              <w:t>the</w:t>
            </w:r>
            <w:r w:rsidRPr="00150EDC">
              <w:rPr>
                <w:spacing w:val="-17"/>
                <w:sz w:val="24"/>
              </w:rPr>
              <w:t xml:space="preserve"> </w:t>
            </w:r>
            <w:r w:rsidRPr="00150EDC">
              <w:rPr>
                <w:sz w:val="24"/>
              </w:rPr>
              <w:t>Supplier</w:t>
            </w:r>
            <w:r w:rsidRPr="00150EDC">
              <w:rPr>
                <w:spacing w:val="-17"/>
                <w:sz w:val="24"/>
              </w:rPr>
              <w:t xml:space="preserve"> </w:t>
            </w:r>
            <w:r w:rsidRPr="00150EDC">
              <w:rPr>
                <w:sz w:val="24"/>
              </w:rPr>
              <w:t>is</w:t>
            </w:r>
            <w:r w:rsidRPr="00150EDC">
              <w:rPr>
                <w:spacing w:val="-16"/>
                <w:sz w:val="24"/>
              </w:rPr>
              <w:t xml:space="preserve"> </w:t>
            </w:r>
            <w:r w:rsidRPr="00150EDC">
              <w:rPr>
                <w:sz w:val="24"/>
              </w:rPr>
              <w:t>required</w:t>
            </w:r>
            <w:r w:rsidRPr="00150EDC">
              <w:rPr>
                <w:spacing w:val="-17"/>
                <w:sz w:val="24"/>
              </w:rPr>
              <w:t xml:space="preserve"> </w:t>
            </w:r>
            <w:r w:rsidRPr="00150EDC">
              <w:rPr>
                <w:sz w:val="24"/>
              </w:rPr>
              <w:t>to</w:t>
            </w:r>
            <w:r w:rsidRPr="00150EDC">
              <w:rPr>
                <w:spacing w:val="-17"/>
                <w:sz w:val="24"/>
              </w:rPr>
              <w:t xml:space="preserve"> </w:t>
            </w:r>
            <w:r w:rsidRPr="00150EDC">
              <w:rPr>
                <w:sz w:val="24"/>
              </w:rPr>
              <w:t>generate,</w:t>
            </w:r>
            <w:r w:rsidRPr="00150EDC">
              <w:rPr>
                <w:spacing w:val="-17"/>
                <w:sz w:val="24"/>
              </w:rPr>
              <w:t xml:space="preserve"> </w:t>
            </w:r>
            <w:r w:rsidRPr="00150EDC">
              <w:rPr>
                <w:sz w:val="24"/>
              </w:rPr>
              <w:t>process,</w:t>
            </w:r>
            <w:r w:rsidRPr="00150EDC">
              <w:rPr>
                <w:spacing w:val="-16"/>
                <w:sz w:val="24"/>
              </w:rPr>
              <w:t xml:space="preserve"> </w:t>
            </w:r>
            <w:r w:rsidRPr="00150EDC">
              <w:rPr>
                <w:sz w:val="24"/>
              </w:rPr>
              <w:t>store</w:t>
            </w:r>
            <w:r w:rsidRPr="00150EDC">
              <w:rPr>
                <w:spacing w:val="-17"/>
                <w:sz w:val="24"/>
              </w:rPr>
              <w:t xml:space="preserve"> </w:t>
            </w:r>
            <w:r w:rsidRPr="00150EDC">
              <w:rPr>
                <w:sz w:val="24"/>
              </w:rPr>
              <w:t>or</w:t>
            </w:r>
            <w:r w:rsidRPr="00150EDC">
              <w:rPr>
                <w:spacing w:val="-17"/>
                <w:sz w:val="24"/>
              </w:rPr>
              <w:t xml:space="preserve"> </w:t>
            </w:r>
            <w:r w:rsidRPr="00150EDC">
              <w:rPr>
                <w:sz w:val="24"/>
              </w:rPr>
              <w:t>transmit pursuant to a Contract;</w:t>
            </w:r>
          </w:p>
        </w:tc>
      </w:tr>
      <w:tr w:rsidR="007D3144" w:rsidRPr="007D3144" w14:paraId="38B6C8B8" w14:textId="77777777">
        <w:trPr>
          <w:trHeight w:val="1500"/>
        </w:trPr>
        <w:tc>
          <w:tcPr>
            <w:tcW w:w="2264" w:type="dxa"/>
          </w:tcPr>
          <w:p w14:paraId="55A552C4" w14:textId="77777777" w:rsidR="004C7180" w:rsidRPr="00150EDC" w:rsidRDefault="00CF0754">
            <w:pPr>
              <w:pStyle w:val="TableParagraph"/>
              <w:spacing w:before="0" w:line="240" w:lineRule="auto"/>
              <w:ind w:left="-1" w:right="298"/>
              <w:rPr>
                <w:b/>
                <w:sz w:val="24"/>
              </w:rPr>
            </w:pPr>
            <w:r w:rsidRPr="00150EDC">
              <w:rPr>
                <w:b/>
                <w:spacing w:val="-2"/>
                <w:sz w:val="24"/>
              </w:rPr>
              <w:t xml:space="preserve">“Government Functional </w:t>
            </w:r>
            <w:r w:rsidRPr="00150EDC">
              <w:rPr>
                <w:b/>
                <w:sz w:val="24"/>
              </w:rPr>
              <w:t>Standard</w:t>
            </w:r>
            <w:r w:rsidRPr="00150EDC">
              <w:rPr>
                <w:b/>
                <w:spacing w:val="-17"/>
                <w:sz w:val="24"/>
              </w:rPr>
              <w:t xml:space="preserve"> </w:t>
            </w:r>
            <w:r w:rsidRPr="00150EDC">
              <w:rPr>
                <w:b/>
                <w:sz w:val="24"/>
              </w:rPr>
              <w:t xml:space="preserve">GovS 013: Counter </w:t>
            </w:r>
            <w:r w:rsidRPr="00150EDC">
              <w:rPr>
                <w:b/>
                <w:spacing w:val="-2"/>
                <w:sz w:val="24"/>
              </w:rPr>
              <w:t>Fraud”</w:t>
            </w:r>
          </w:p>
        </w:tc>
        <w:tc>
          <w:tcPr>
            <w:tcW w:w="7484" w:type="dxa"/>
          </w:tcPr>
          <w:p w14:paraId="4265067D" w14:textId="77777777" w:rsidR="004C7180" w:rsidRPr="00150EDC" w:rsidRDefault="00CF0754">
            <w:pPr>
              <w:pStyle w:val="TableParagraph"/>
              <w:spacing w:before="0" w:line="240" w:lineRule="auto"/>
              <w:ind w:left="107"/>
              <w:rPr>
                <w:sz w:val="24"/>
              </w:rPr>
            </w:pPr>
            <w:r w:rsidRPr="00150EDC">
              <w:rPr>
                <w:sz w:val="24"/>
              </w:rPr>
              <w:t>the</w:t>
            </w:r>
            <w:r w:rsidRPr="00150EDC">
              <w:rPr>
                <w:spacing w:val="-10"/>
                <w:sz w:val="24"/>
              </w:rPr>
              <w:t xml:space="preserve"> </w:t>
            </w:r>
            <w:r w:rsidRPr="00150EDC">
              <w:rPr>
                <w:sz w:val="24"/>
              </w:rPr>
              <w:t>Standard</w:t>
            </w:r>
            <w:r w:rsidRPr="00150EDC">
              <w:rPr>
                <w:spacing w:val="-9"/>
                <w:sz w:val="24"/>
              </w:rPr>
              <w:t xml:space="preserve"> </w:t>
            </w:r>
            <w:r w:rsidRPr="00150EDC">
              <w:rPr>
                <w:sz w:val="24"/>
              </w:rPr>
              <w:t>that</w:t>
            </w:r>
            <w:r w:rsidRPr="00150EDC">
              <w:rPr>
                <w:spacing w:val="-11"/>
                <w:sz w:val="24"/>
              </w:rPr>
              <w:t xml:space="preserve"> </w:t>
            </w:r>
            <w:r w:rsidRPr="00150EDC">
              <w:rPr>
                <w:sz w:val="24"/>
              </w:rPr>
              <w:t>sets</w:t>
            </w:r>
            <w:r w:rsidRPr="00150EDC">
              <w:rPr>
                <w:spacing w:val="-11"/>
                <w:sz w:val="24"/>
              </w:rPr>
              <w:t xml:space="preserve"> </w:t>
            </w:r>
            <w:r w:rsidRPr="00150EDC">
              <w:rPr>
                <w:sz w:val="24"/>
              </w:rPr>
              <w:t>the</w:t>
            </w:r>
            <w:r w:rsidRPr="00150EDC">
              <w:rPr>
                <w:spacing w:val="-10"/>
                <w:sz w:val="24"/>
              </w:rPr>
              <w:t xml:space="preserve"> </w:t>
            </w:r>
            <w:r w:rsidRPr="00150EDC">
              <w:rPr>
                <w:sz w:val="24"/>
              </w:rPr>
              <w:t>expectations</w:t>
            </w:r>
            <w:r w:rsidRPr="00150EDC">
              <w:rPr>
                <w:spacing w:val="-11"/>
                <w:sz w:val="24"/>
              </w:rPr>
              <w:t xml:space="preserve"> </w:t>
            </w:r>
            <w:r w:rsidRPr="00150EDC">
              <w:rPr>
                <w:sz w:val="24"/>
              </w:rPr>
              <w:t>for</w:t>
            </w:r>
            <w:r w:rsidRPr="00150EDC">
              <w:rPr>
                <w:spacing w:val="-12"/>
                <w:sz w:val="24"/>
              </w:rPr>
              <w:t xml:space="preserve"> </w:t>
            </w:r>
            <w:r w:rsidRPr="00150EDC">
              <w:rPr>
                <w:sz w:val="24"/>
              </w:rPr>
              <w:t>the</w:t>
            </w:r>
            <w:r w:rsidRPr="00150EDC">
              <w:rPr>
                <w:spacing w:val="-10"/>
                <w:sz w:val="24"/>
              </w:rPr>
              <w:t xml:space="preserve"> </w:t>
            </w:r>
            <w:r w:rsidRPr="00150EDC">
              <w:rPr>
                <w:sz w:val="24"/>
              </w:rPr>
              <w:t>management</w:t>
            </w:r>
            <w:r w:rsidRPr="00150EDC">
              <w:rPr>
                <w:spacing w:val="-11"/>
                <w:sz w:val="24"/>
              </w:rPr>
              <w:t xml:space="preserve"> </w:t>
            </w:r>
            <w:r w:rsidRPr="00150EDC">
              <w:rPr>
                <w:sz w:val="24"/>
              </w:rPr>
              <w:t>of</w:t>
            </w:r>
            <w:r w:rsidRPr="00150EDC">
              <w:rPr>
                <w:spacing w:val="-11"/>
                <w:sz w:val="24"/>
              </w:rPr>
              <w:t xml:space="preserve"> </w:t>
            </w:r>
            <w:r w:rsidRPr="00150EDC">
              <w:rPr>
                <w:sz w:val="24"/>
              </w:rPr>
              <w:t>fraud, bribery and corruption risk in government organisations;</w:t>
            </w:r>
          </w:p>
        </w:tc>
      </w:tr>
      <w:tr w:rsidR="007D3144" w:rsidRPr="007D3144" w14:paraId="18CBEAA8" w14:textId="77777777">
        <w:trPr>
          <w:trHeight w:val="1223"/>
        </w:trPr>
        <w:tc>
          <w:tcPr>
            <w:tcW w:w="2264" w:type="dxa"/>
          </w:tcPr>
          <w:p w14:paraId="573F167B" w14:textId="77777777" w:rsidR="004C7180" w:rsidRPr="00150EDC" w:rsidRDefault="00CF0754">
            <w:pPr>
              <w:pStyle w:val="TableParagraph"/>
              <w:spacing w:before="0" w:line="240" w:lineRule="auto"/>
              <w:ind w:left="-1"/>
              <w:rPr>
                <w:b/>
                <w:sz w:val="24"/>
              </w:rPr>
            </w:pPr>
            <w:r w:rsidRPr="00150EDC">
              <w:rPr>
                <w:b/>
                <w:spacing w:val="-2"/>
                <w:sz w:val="24"/>
              </w:rPr>
              <w:t xml:space="preserve">“Government Functional </w:t>
            </w:r>
            <w:r w:rsidRPr="00150EDC">
              <w:rPr>
                <w:b/>
                <w:sz w:val="24"/>
              </w:rPr>
              <w:t>Standards</w:t>
            </w:r>
            <w:r w:rsidRPr="00150EDC">
              <w:rPr>
                <w:b/>
                <w:spacing w:val="-17"/>
                <w:sz w:val="24"/>
              </w:rPr>
              <w:t xml:space="preserve"> </w:t>
            </w:r>
            <w:r w:rsidRPr="00150EDC">
              <w:rPr>
                <w:b/>
                <w:sz w:val="24"/>
              </w:rPr>
              <w:t>GovS 015: Grants”</w:t>
            </w:r>
          </w:p>
        </w:tc>
        <w:tc>
          <w:tcPr>
            <w:tcW w:w="7484" w:type="dxa"/>
          </w:tcPr>
          <w:p w14:paraId="2A4E4C25" w14:textId="77777777" w:rsidR="004C7180" w:rsidRPr="00150EDC" w:rsidRDefault="00CF0754">
            <w:pPr>
              <w:pStyle w:val="TableParagraph"/>
              <w:spacing w:before="0" w:line="240" w:lineRule="auto"/>
              <w:ind w:left="107"/>
              <w:rPr>
                <w:sz w:val="24"/>
              </w:rPr>
            </w:pPr>
            <w:r w:rsidRPr="00150EDC">
              <w:rPr>
                <w:sz w:val="24"/>
              </w:rPr>
              <w:t>the</w:t>
            </w:r>
            <w:r w:rsidRPr="00150EDC">
              <w:rPr>
                <w:spacing w:val="-11"/>
                <w:sz w:val="24"/>
              </w:rPr>
              <w:t xml:space="preserve"> </w:t>
            </w:r>
            <w:r w:rsidRPr="00150EDC">
              <w:rPr>
                <w:sz w:val="24"/>
              </w:rPr>
              <w:t>Standard</w:t>
            </w:r>
            <w:r w:rsidRPr="00150EDC">
              <w:rPr>
                <w:spacing w:val="-10"/>
                <w:sz w:val="24"/>
              </w:rPr>
              <w:t xml:space="preserve"> </w:t>
            </w:r>
            <w:r w:rsidRPr="00150EDC">
              <w:rPr>
                <w:sz w:val="24"/>
              </w:rPr>
              <w:t>that</w:t>
            </w:r>
            <w:r w:rsidRPr="00150EDC">
              <w:rPr>
                <w:spacing w:val="-11"/>
                <w:sz w:val="24"/>
              </w:rPr>
              <w:t xml:space="preserve"> </w:t>
            </w:r>
            <w:r w:rsidRPr="00150EDC">
              <w:rPr>
                <w:sz w:val="24"/>
              </w:rPr>
              <w:t>all</w:t>
            </w:r>
            <w:r w:rsidRPr="00150EDC">
              <w:rPr>
                <w:spacing w:val="-12"/>
                <w:sz w:val="24"/>
              </w:rPr>
              <w:t xml:space="preserve"> </w:t>
            </w:r>
            <w:r w:rsidRPr="00150EDC">
              <w:rPr>
                <w:sz w:val="24"/>
              </w:rPr>
              <w:t>grant</w:t>
            </w:r>
            <w:r w:rsidRPr="00150EDC">
              <w:rPr>
                <w:spacing w:val="-11"/>
                <w:sz w:val="24"/>
              </w:rPr>
              <w:t xml:space="preserve"> </w:t>
            </w:r>
            <w:r w:rsidRPr="00150EDC">
              <w:rPr>
                <w:sz w:val="24"/>
              </w:rPr>
              <w:t>making</w:t>
            </w:r>
            <w:r w:rsidRPr="00150EDC">
              <w:rPr>
                <w:spacing w:val="-11"/>
                <w:sz w:val="24"/>
              </w:rPr>
              <w:t xml:space="preserve"> </w:t>
            </w:r>
            <w:r w:rsidRPr="00150EDC">
              <w:rPr>
                <w:sz w:val="24"/>
              </w:rPr>
              <w:t>bodies</w:t>
            </w:r>
            <w:r w:rsidRPr="00150EDC">
              <w:rPr>
                <w:spacing w:val="-11"/>
                <w:sz w:val="24"/>
              </w:rPr>
              <w:t xml:space="preserve"> </w:t>
            </w:r>
            <w:r w:rsidRPr="00150EDC">
              <w:rPr>
                <w:sz w:val="24"/>
              </w:rPr>
              <w:t>adhere</w:t>
            </w:r>
            <w:r w:rsidRPr="00150EDC">
              <w:rPr>
                <w:spacing w:val="-10"/>
                <w:sz w:val="24"/>
              </w:rPr>
              <w:t xml:space="preserve"> </w:t>
            </w:r>
            <w:r w:rsidRPr="00150EDC">
              <w:rPr>
                <w:sz w:val="24"/>
              </w:rPr>
              <w:t>to</w:t>
            </w:r>
            <w:r w:rsidRPr="00150EDC">
              <w:rPr>
                <w:spacing w:val="-9"/>
                <w:sz w:val="24"/>
              </w:rPr>
              <w:t xml:space="preserve"> </w:t>
            </w:r>
            <w:r w:rsidRPr="00150EDC">
              <w:rPr>
                <w:sz w:val="24"/>
              </w:rPr>
              <w:t>when</w:t>
            </w:r>
            <w:r w:rsidRPr="00150EDC">
              <w:rPr>
                <w:spacing w:val="-11"/>
                <w:sz w:val="24"/>
              </w:rPr>
              <w:t xml:space="preserve"> </w:t>
            </w:r>
            <w:r w:rsidRPr="00150EDC">
              <w:rPr>
                <w:sz w:val="24"/>
              </w:rPr>
              <w:t>developing grant schemes and programmes;</w:t>
            </w:r>
          </w:p>
        </w:tc>
      </w:tr>
      <w:tr w:rsidR="007D3144" w:rsidRPr="007D3144" w14:paraId="3D7AE4C5" w14:textId="77777777">
        <w:trPr>
          <w:trHeight w:val="1223"/>
        </w:trPr>
        <w:tc>
          <w:tcPr>
            <w:tcW w:w="2264" w:type="dxa"/>
          </w:tcPr>
          <w:p w14:paraId="61F5DFE2" w14:textId="77777777" w:rsidR="004C7180" w:rsidRPr="00150EDC" w:rsidRDefault="00CF0754">
            <w:pPr>
              <w:pStyle w:val="TableParagraph"/>
              <w:spacing w:before="0" w:line="240" w:lineRule="auto"/>
              <w:ind w:left="-1" w:right="298"/>
              <w:rPr>
                <w:b/>
                <w:sz w:val="24"/>
              </w:rPr>
            </w:pPr>
            <w:r w:rsidRPr="00150EDC">
              <w:rPr>
                <w:b/>
                <w:spacing w:val="-2"/>
                <w:sz w:val="24"/>
              </w:rPr>
              <w:t xml:space="preserve">“Government Grants Information </w:t>
            </w:r>
            <w:r w:rsidRPr="00150EDC">
              <w:rPr>
                <w:b/>
                <w:sz w:val="24"/>
              </w:rPr>
              <w:t>Service</w:t>
            </w:r>
            <w:r w:rsidRPr="00150EDC">
              <w:rPr>
                <w:b/>
                <w:spacing w:val="-17"/>
                <w:sz w:val="24"/>
              </w:rPr>
              <w:t xml:space="preserve"> </w:t>
            </w:r>
            <w:r w:rsidRPr="00150EDC">
              <w:rPr>
                <w:b/>
                <w:sz w:val="24"/>
              </w:rPr>
              <w:t>(GGIS)”</w:t>
            </w:r>
          </w:p>
        </w:tc>
        <w:tc>
          <w:tcPr>
            <w:tcW w:w="7484" w:type="dxa"/>
          </w:tcPr>
          <w:p w14:paraId="309ACB6D" w14:textId="77777777" w:rsidR="004C7180" w:rsidRPr="00150EDC" w:rsidRDefault="00CF0754">
            <w:pPr>
              <w:pStyle w:val="TableParagraph"/>
              <w:spacing w:before="0" w:line="240" w:lineRule="auto"/>
              <w:ind w:left="107"/>
              <w:rPr>
                <w:sz w:val="24"/>
              </w:rPr>
            </w:pPr>
            <w:r w:rsidRPr="00150EDC">
              <w:rPr>
                <w:sz w:val="24"/>
              </w:rPr>
              <w:t>the</w:t>
            </w:r>
            <w:r w:rsidRPr="00150EDC">
              <w:rPr>
                <w:spacing w:val="34"/>
                <w:sz w:val="24"/>
              </w:rPr>
              <w:t xml:space="preserve"> </w:t>
            </w:r>
            <w:r w:rsidRPr="00150EDC">
              <w:rPr>
                <w:sz w:val="24"/>
              </w:rPr>
              <w:t>portal</w:t>
            </w:r>
            <w:r w:rsidRPr="00150EDC">
              <w:rPr>
                <w:spacing w:val="35"/>
                <w:sz w:val="24"/>
              </w:rPr>
              <w:t xml:space="preserve"> </w:t>
            </w:r>
            <w:r w:rsidRPr="00150EDC">
              <w:rPr>
                <w:sz w:val="24"/>
              </w:rPr>
              <w:t>that</w:t>
            </w:r>
            <w:r w:rsidRPr="00150EDC">
              <w:rPr>
                <w:spacing w:val="34"/>
                <w:sz w:val="24"/>
              </w:rPr>
              <w:t xml:space="preserve"> </w:t>
            </w:r>
            <w:r w:rsidRPr="00150EDC">
              <w:rPr>
                <w:sz w:val="24"/>
              </w:rPr>
              <w:t>captures</w:t>
            </w:r>
            <w:r w:rsidRPr="00150EDC">
              <w:rPr>
                <w:spacing w:val="36"/>
                <w:sz w:val="24"/>
              </w:rPr>
              <w:t xml:space="preserve"> </w:t>
            </w:r>
            <w:r w:rsidRPr="00150EDC">
              <w:rPr>
                <w:sz w:val="24"/>
              </w:rPr>
              <w:t>all</w:t>
            </w:r>
            <w:r w:rsidRPr="00150EDC">
              <w:rPr>
                <w:spacing w:val="35"/>
                <w:sz w:val="24"/>
              </w:rPr>
              <w:t xml:space="preserve"> </w:t>
            </w:r>
            <w:r w:rsidRPr="00150EDC">
              <w:rPr>
                <w:sz w:val="24"/>
              </w:rPr>
              <w:t>information</w:t>
            </w:r>
            <w:r w:rsidRPr="00150EDC">
              <w:rPr>
                <w:spacing w:val="36"/>
                <w:sz w:val="24"/>
              </w:rPr>
              <w:t xml:space="preserve"> </w:t>
            </w:r>
            <w:r w:rsidRPr="00150EDC">
              <w:rPr>
                <w:sz w:val="24"/>
              </w:rPr>
              <w:t>on</w:t>
            </w:r>
            <w:r w:rsidRPr="00150EDC">
              <w:rPr>
                <w:spacing w:val="36"/>
                <w:sz w:val="24"/>
              </w:rPr>
              <w:t xml:space="preserve"> </w:t>
            </w:r>
            <w:r w:rsidRPr="00150EDC">
              <w:rPr>
                <w:sz w:val="24"/>
              </w:rPr>
              <w:t>grant</w:t>
            </w:r>
            <w:r w:rsidRPr="00150EDC">
              <w:rPr>
                <w:spacing w:val="34"/>
                <w:sz w:val="24"/>
              </w:rPr>
              <w:t xml:space="preserve"> </w:t>
            </w:r>
            <w:r w:rsidRPr="00150EDC">
              <w:rPr>
                <w:sz w:val="24"/>
              </w:rPr>
              <w:t>awards</w:t>
            </w:r>
            <w:r w:rsidRPr="00150EDC">
              <w:rPr>
                <w:spacing w:val="36"/>
                <w:sz w:val="24"/>
              </w:rPr>
              <w:t xml:space="preserve"> </w:t>
            </w:r>
            <w:r w:rsidRPr="00150EDC">
              <w:rPr>
                <w:sz w:val="24"/>
              </w:rPr>
              <w:t>across</w:t>
            </w:r>
            <w:r w:rsidRPr="00150EDC">
              <w:rPr>
                <w:spacing w:val="33"/>
                <w:sz w:val="24"/>
              </w:rPr>
              <w:t xml:space="preserve"> </w:t>
            </w:r>
            <w:r w:rsidRPr="00150EDC">
              <w:rPr>
                <w:sz w:val="24"/>
              </w:rPr>
              <w:t xml:space="preserve">all </w:t>
            </w:r>
            <w:r w:rsidRPr="00150EDC">
              <w:rPr>
                <w:spacing w:val="-2"/>
                <w:sz w:val="24"/>
              </w:rPr>
              <w:t>departments;</w:t>
            </w:r>
          </w:p>
        </w:tc>
      </w:tr>
      <w:tr w:rsidR="007D3144" w:rsidRPr="007D3144" w14:paraId="30B6F9A2" w14:textId="77777777">
        <w:trPr>
          <w:trHeight w:val="1226"/>
        </w:trPr>
        <w:tc>
          <w:tcPr>
            <w:tcW w:w="2264" w:type="dxa"/>
          </w:tcPr>
          <w:p w14:paraId="2EA7410B" w14:textId="77777777" w:rsidR="004C7180" w:rsidRPr="00150EDC" w:rsidRDefault="00CF0754">
            <w:pPr>
              <w:pStyle w:val="TableParagraph"/>
              <w:spacing w:before="2" w:line="240" w:lineRule="auto"/>
              <w:ind w:left="-1" w:right="723"/>
              <w:jc w:val="both"/>
              <w:rPr>
                <w:b/>
                <w:sz w:val="24"/>
              </w:rPr>
            </w:pPr>
            <w:r w:rsidRPr="00150EDC">
              <w:rPr>
                <w:b/>
                <w:spacing w:val="-2"/>
                <w:sz w:val="24"/>
              </w:rPr>
              <w:t>"Government Procurement Card"</w:t>
            </w:r>
          </w:p>
        </w:tc>
        <w:tc>
          <w:tcPr>
            <w:tcW w:w="7484" w:type="dxa"/>
          </w:tcPr>
          <w:p w14:paraId="617716EA" w14:textId="77777777" w:rsidR="004C7180" w:rsidRPr="00150EDC" w:rsidRDefault="00CF0754">
            <w:pPr>
              <w:pStyle w:val="TableParagraph"/>
              <w:tabs>
                <w:tab w:val="left" w:pos="1614"/>
                <w:tab w:val="left" w:pos="3334"/>
                <w:tab w:val="left" w:pos="5133"/>
                <w:tab w:val="left" w:pos="6494"/>
              </w:tabs>
              <w:spacing w:before="2" w:line="240" w:lineRule="auto"/>
              <w:ind w:left="107" w:right="97"/>
              <w:rPr>
                <w:sz w:val="24"/>
              </w:rPr>
            </w:pPr>
            <w:r w:rsidRPr="00150EDC">
              <w:rPr>
                <w:sz w:val="24"/>
              </w:rPr>
              <w:t xml:space="preserve">the Government’s preferred method of purchasing and payment for </w:t>
            </w:r>
            <w:r w:rsidRPr="00150EDC">
              <w:rPr>
                <w:spacing w:val="-4"/>
                <w:sz w:val="24"/>
              </w:rPr>
              <w:t>low</w:t>
            </w:r>
            <w:r w:rsidRPr="00150EDC">
              <w:rPr>
                <w:sz w:val="24"/>
              </w:rPr>
              <w:tab/>
            </w:r>
            <w:r w:rsidRPr="00150EDC">
              <w:rPr>
                <w:spacing w:val="-4"/>
                <w:sz w:val="24"/>
              </w:rPr>
              <w:t>value</w:t>
            </w:r>
            <w:r w:rsidRPr="00150EDC">
              <w:rPr>
                <w:sz w:val="24"/>
              </w:rPr>
              <w:tab/>
            </w:r>
            <w:r w:rsidRPr="00150EDC">
              <w:rPr>
                <w:spacing w:val="-2"/>
                <w:sz w:val="24"/>
              </w:rPr>
              <w:t>goods</w:t>
            </w:r>
            <w:r w:rsidRPr="00150EDC">
              <w:rPr>
                <w:sz w:val="24"/>
              </w:rPr>
              <w:tab/>
            </w:r>
            <w:r w:rsidRPr="00150EDC">
              <w:rPr>
                <w:spacing w:val="-6"/>
                <w:sz w:val="24"/>
              </w:rPr>
              <w:t>or</w:t>
            </w:r>
            <w:r w:rsidRPr="00150EDC">
              <w:rPr>
                <w:sz w:val="24"/>
              </w:rPr>
              <w:tab/>
            </w:r>
            <w:r w:rsidRPr="00150EDC">
              <w:rPr>
                <w:spacing w:val="-2"/>
                <w:sz w:val="24"/>
              </w:rPr>
              <w:t>services https://</w:t>
            </w:r>
            <w:hyperlink r:id="rId13">
              <w:r w:rsidRPr="00150EDC">
                <w:rPr>
                  <w:spacing w:val="-2"/>
                  <w:sz w:val="24"/>
                </w:rPr>
                <w:t>www.gov.uk/government/publications/governmentprocureme</w:t>
              </w:r>
            </w:hyperlink>
            <w:r w:rsidRPr="00150EDC">
              <w:rPr>
                <w:spacing w:val="-2"/>
                <w:sz w:val="24"/>
              </w:rPr>
              <w:t xml:space="preserve"> nt-card--2;</w:t>
            </w:r>
          </w:p>
        </w:tc>
      </w:tr>
      <w:tr w:rsidR="007D3144" w:rsidRPr="007D3144" w14:paraId="294A7D56" w14:textId="77777777">
        <w:trPr>
          <w:trHeight w:val="1223"/>
        </w:trPr>
        <w:tc>
          <w:tcPr>
            <w:tcW w:w="2264" w:type="dxa"/>
          </w:tcPr>
          <w:p w14:paraId="76938188" w14:textId="77777777" w:rsidR="004C7180" w:rsidRPr="00150EDC" w:rsidRDefault="00CF0754">
            <w:pPr>
              <w:pStyle w:val="TableParagraph"/>
              <w:spacing w:before="0" w:line="240" w:lineRule="auto"/>
              <w:ind w:left="-1" w:right="983"/>
              <w:jc w:val="both"/>
              <w:rPr>
                <w:b/>
                <w:sz w:val="24"/>
              </w:rPr>
            </w:pPr>
            <w:r w:rsidRPr="00150EDC">
              <w:rPr>
                <w:b/>
                <w:sz w:val="24"/>
              </w:rPr>
              <w:t xml:space="preserve">“Group of </w:t>
            </w:r>
            <w:r w:rsidRPr="00150EDC">
              <w:rPr>
                <w:b/>
                <w:spacing w:val="-2"/>
                <w:sz w:val="24"/>
              </w:rPr>
              <w:t>Economic Operators”</w:t>
            </w:r>
          </w:p>
        </w:tc>
        <w:tc>
          <w:tcPr>
            <w:tcW w:w="7484" w:type="dxa"/>
          </w:tcPr>
          <w:p w14:paraId="13DD3BC4" w14:textId="77777777" w:rsidR="004C7180" w:rsidRPr="00150EDC" w:rsidRDefault="00CF0754">
            <w:pPr>
              <w:pStyle w:val="TableParagraph"/>
              <w:spacing w:before="0" w:line="240" w:lineRule="auto"/>
              <w:ind w:left="107" w:right="95"/>
              <w:jc w:val="both"/>
              <w:rPr>
                <w:sz w:val="24"/>
              </w:rPr>
            </w:pPr>
            <w:r w:rsidRPr="00150EDC">
              <w:rPr>
                <w:sz w:val="24"/>
              </w:rPr>
              <w:t>This can refer to multiple suppliers working in collaboration on the same contract, also known as a consortium or consortia. This will have</w:t>
            </w:r>
            <w:r w:rsidRPr="00150EDC">
              <w:rPr>
                <w:spacing w:val="-17"/>
                <w:sz w:val="24"/>
              </w:rPr>
              <w:t xml:space="preserve"> </w:t>
            </w:r>
            <w:r w:rsidRPr="00150EDC">
              <w:rPr>
                <w:sz w:val="24"/>
              </w:rPr>
              <w:t>one</w:t>
            </w:r>
            <w:r w:rsidRPr="00150EDC">
              <w:rPr>
                <w:spacing w:val="-15"/>
                <w:sz w:val="24"/>
              </w:rPr>
              <w:t xml:space="preserve"> </w:t>
            </w:r>
            <w:r w:rsidRPr="00150EDC">
              <w:rPr>
                <w:sz w:val="24"/>
              </w:rPr>
              <w:t>lead</w:t>
            </w:r>
            <w:r w:rsidRPr="00150EDC">
              <w:rPr>
                <w:spacing w:val="-14"/>
                <w:sz w:val="24"/>
              </w:rPr>
              <w:t xml:space="preserve"> </w:t>
            </w:r>
            <w:r w:rsidRPr="00150EDC">
              <w:rPr>
                <w:sz w:val="24"/>
              </w:rPr>
              <w:t>supplier</w:t>
            </w:r>
            <w:r w:rsidRPr="00150EDC">
              <w:rPr>
                <w:spacing w:val="-17"/>
                <w:sz w:val="24"/>
              </w:rPr>
              <w:t xml:space="preserve"> </w:t>
            </w:r>
            <w:r w:rsidRPr="00150EDC">
              <w:rPr>
                <w:sz w:val="24"/>
              </w:rPr>
              <w:t>who</w:t>
            </w:r>
            <w:r w:rsidRPr="00150EDC">
              <w:rPr>
                <w:spacing w:val="-16"/>
                <w:sz w:val="24"/>
              </w:rPr>
              <w:t xml:space="preserve"> </w:t>
            </w:r>
            <w:r w:rsidRPr="00150EDC">
              <w:rPr>
                <w:sz w:val="24"/>
              </w:rPr>
              <w:t>manages</w:t>
            </w:r>
            <w:r w:rsidRPr="00150EDC">
              <w:rPr>
                <w:spacing w:val="-15"/>
                <w:sz w:val="24"/>
              </w:rPr>
              <w:t xml:space="preserve"> </w:t>
            </w:r>
            <w:r w:rsidRPr="00150EDC">
              <w:rPr>
                <w:sz w:val="24"/>
              </w:rPr>
              <w:t>all</w:t>
            </w:r>
            <w:r w:rsidRPr="00150EDC">
              <w:rPr>
                <w:spacing w:val="-16"/>
                <w:sz w:val="24"/>
              </w:rPr>
              <w:t xml:space="preserve"> </w:t>
            </w:r>
            <w:r w:rsidRPr="00150EDC">
              <w:rPr>
                <w:sz w:val="24"/>
              </w:rPr>
              <w:t>the</w:t>
            </w:r>
            <w:r w:rsidRPr="00150EDC">
              <w:rPr>
                <w:spacing w:val="-16"/>
                <w:sz w:val="24"/>
              </w:rPr>
              <w:t xml:space="preserve"> </w:t>
            </w:r>
            <w:r w:rsidRPr="00150EDC">
              <w:rPr>
                <w:sz w:val="24"/>
              </w:rPr>
              <w:t>other</w:t>
            </w:r>
            <w:r w:rsidRPr="00150EDC">
              <w:rPr>
                <w:spacing w:val="-16"/>
                <w:sz w:val="24"/>
              </w:rPr>
              <w:t xml:space="preserve"> </w:t>
            </w:r>
            <w:r w:rsidRPr="00150EDC">
              <w:rPr>
                <w:sz w:val="24"/>
              </w:rPr>
              <w:t>suppliers</w:t>
            </w:r>
            <w:r w:rsidRPr="00150EDC">
              <w:rPr>
                <w:spacing w:val="-16"/>
                <w:sz w:val="24"/>
              </w:rPr>
              <w:t xml:space="preserve"> </w:t>
            </w:r>
            <w:r w:rsidRPr="00150EDC">
              <w:rPr>
                <w:sz w:val="24"/>
              </w:rPr>
              <w:t>within</w:t>
            </w:r>
            <w:r w:rsidRPr="00150EDC">
              <w:rPr>
                <w:spacing w:val="-17"/>
                <w:sz w:val="24"/>
              </w:rPr>
              <w:t xml:space="preserve"> </w:t>
            </w:r>
            <w:r w:rsidRPr="00150EDC">
              <w:rPr>
                <w:sz w:val="24"/>
              </w:rPr>
              <w:t>the group / consortia.</w:t>
            </w:r>
          </w:p>
        </w:tc>
      </w:tr>
      <w:tr w:rsidR="007D3144" w:rsidRPr="007D3144" w14:paraId="2511883D" w14:textId="77777777">
        <w:trPr>
          <w:trHeight w:val="671"/>
        </w:trPr>
        <w:tc>
          <w:tcPr>
            <w:tcW w:w="2264" w:type="dxa"/>
          </w:tcPr>
          <w:p w14:paraId="29B70963" w14:textId="77777777" w:rsidR="004C7180" w:rsidRPr="00150EDC" w:rsidRDefault="00CF0754">
            <w:pPr>
              <w:pStyle w:val="TableParagraph"/>
              <w:spacing w:before="0" w:line="240" w:lineRule="auto"/>
              <w:ind w:left="-1"/>
              <w:rPr>
                <w:b/>
                <w:sz w:val="24"/>
              </w:rPr>
            </w:pPr>
            <w:r w:rsidRPr="00150EDC">
              <w:rPr>
                <w:b/>
                <w:spacing w:val="-2"/>
                <w:sz w:val="24"/>
              </w:rPr>
              <w:t>"Guarantor"</w:t>
            </w:r>
          </w:p>
        </w:tc>
        <w:tc>
          <w:tcPr>
            <w:tcW w:w="7484" w:type="dxa"/>
          </w:tcPr>
          <w:p w14:paraId="6DEFD6D4" w14:textId="77777777" w:rsidR="004C7180" w:rsidRPr="00150EDC" w:rsidRDefault="00CF0754">
            <w:pPr>
              <w:pStyle w:val="TableParagraph"/>
              <w:spacing w:before="0" w:line="240" w:lineRule="auto"/>
              <w:ind w:left="277"/>
              <w:rPr>
                <w:sz w:val="24"/>
              </w:rPr>
            </w:pPr>
            <w:r w:rsidRPr="00150EDC">
              <w:rPr>
                <w:sz w:val="24"/>
              </w:rPr>
              <w:t>the</w:t>
            </w:r>
            <w:r w:rsidRPr="00150EDC">
              <w:rPr>
                <w:spacing w:val="-9"/>
                <w:sz w:val="24"/>
              </w:rPr>
              <w:t xml:space="preserve"> </w:t>
            </w:r>
            <w:r w:rsidRPr="00150EDC">
              <w:rPr>
                <w:sz w:val="24"/>
              </w:rPr>
              <w:t>person</w:t>
            </w:r>
            <w:r w:rsidRPr="00150EDC">
              <w:rPr>
                <w:spacing w:val="-8"/>
                <w:sz w:val="24"/>
              </w:rPr>
              <w:t xml:space="preserve"> </w:t>
            </w:r>
            <w:r w:rsidRPr="00150EDC">
              <w:rPr>
                <w:sz w:val="24"/>
              </w:rPr>
              <w:t>(if</w:t>
            </w:r>
            <w:r w:rsidRPr="00150EDC">
              <w:rPr>
                <w:spacing w:val="-8"/>
                <w:sz w:val="24"/>
              </w:rPr>
              <w:t xml:space="preserve"> </w:t>
            </w:r>
            <w:r w:rsidRPr="00150EDC">
              <w:rPr>
                <w:sz w:val="24"/>
              </w:rPr>
              <w:t>any)</w:t>
            </w:r>
            <w:r w:rsidRPr="00150EDC">
              <w:rPr>
                <w:spacing w:val="-8"/>
                <w:sz w:val="24"/>
              </w:rPr>
              <w:t xml:space="preserve"> </w:t>
            </w:r>
            <w:r w:rsidRPr="00150EDC">
              <w:rPr>
                <w:sz w:val="24"/>
              </w:rPr>
              <w:t>who</w:t>
            </w:r>
            <w:r w:rsidRPr="00150EDC">
              <w:rPr>
                <w:spacing w:val="-9"/>
                <w:sz w:val="24"/>
              </w:rPr>
              <w:t xml:space="preserve"> </w:t>
            </w:r>
            <w:r w:rsidRPr="00150EDC">
              <w:rPr>
                <w:sz w:val="24"/>
              </w:rPr>
              <w:t>has</w:t>
            </w:r>
            <w:r w:rsidRPr="00150EDC">
              <w:rPr>
                <w:spacing w:val="-10"/>
                <w:sz w:val="24"/>
              </w:rPr>
              <w:t xml:space="preserve"> </w:t>
            </w:r>
            <w:r w:rsidRPr="00150EDC">
              <w:rPr>
                <w:sz w:val="24"/>
              </w:rPr>
              <w:t>entered</w:t>
            </w:r>
            <w:r w:rsidRPr="00150EDC">
              <w:rPr>
                <w:spacing w:val="-9"/>
                <w:sz w:val="24"/>
              </w:rPr>
              <w:t xml:space="preserve"> </w:t>
            </w:r>
            <w:r w:rsidRPr="00150EDC">
              <w:rPr>
                <w:sz w:val="24"/>
              </w:rPr>
              <w:t>into</w:t>
            </w:r>
            <w:r w:rsidRPr="00150EDC">
              <w:rPr>
                <w:spacing w:val="-9"/>
                <w:sz w:val="24"/>
              </w:rPr>
              <w:t xml:space="preserve"> </w:t>
            </w:r>
            <w:r w:rsidRPr="00150EDC">
              <w:rPr>
                <w:sz w:val="24"/>
              </w:rPr>
              <w:t>a</w:t>
            </w:r>
            <w:r w:rsidRPr="00150EDC">
              <w:rPr>
                <w:spacing w:val="-9"/>
                <w:sz w:val="24"/>
              </w:rPr>
              <w:t xml:space="preserve"> </w:t>
            </w:r>
            <w:r w:rsidRPr="00150EDC">
              <w:rPr>
                <w:sz w:val="24"/>
              </w:rPr>
              <w:t>guarantee</w:t>
            </w:r>
            <w:r w:rsidRPr="00150EDC">
              <w:rPr>
                <w:spacing w:val="-9"/>
                <w:sz w:val="24"/>
              </w:rPr>
              <w:t xml:space="preserve"> </w:t>
            </w:r>
            <w:r w:rsidRPr="00150EDC">
              <w:rPr>
                <w:sz w:val="24"/>
              </w:rPr>
              <w:t>in</w:t>
            </w:r>
            <w:r w:rsidRPr="00150EDC">
              <w:rPr>
                <w:spacing w:val="-8"/>
                <w:sz w:val="24"/>
              </w:rPr>
              <w:t xml:space="preserve"> </w:t>
            </w:r>
            <w:r w:rsidRPr="00150EDC">
              <w:rPr>
                <w:sz w:val="24"/>
              </w:rPr>
              <w:t>the</w:t>
            </w:r>
            <w:r w:rsidRPr="00150EDC">
              <w:rPr>
                <w:spacing w:val="-9"/>
                <w:sz w:val="24"/>
              </w:rPr>
              <w:t xml:space="preserve"> </w:t>
            </w:r>
            <w:r w:rsidRPr="00150EDC">
              <w:rPr>
                <w:sz w:val="24"/>
              </w:rPr>
              <w:t>form</w:t>
            </w:r>
            <w:r w:rsidRPr="00150EDC">
              <w:rPr>
                <w:spacing w:val="-7"/>
                <w:sz w:val="24"/>
              </w:rPr>
              <w:t xml:space="preserve"> </w:t>
            </w:r>
            <w:r w:rsidRPr="00150EDC">
              <w:rPr>
                <w:sz w:val="24"/>
              </w:rPr>
              <w:t>set out in Joint Schedule 8 (Guarantee) in relation to this Contract;</w:t>
            </w:r>
          </w:p>
        </w:tc>
      </w:tr>
      <w:tr w:rsidR="007D3144" w:rsidRPr="007D3144" w14:paraId="3EB65D10" w14:textId="77777777">
        <w:trPr>
          <w:trHeight w:val="671"/>
        </w:trPr>
        <w:tc>
          <w:tcPr>
            <w:tcW w:w="2264" w:type="dxa"/>
          </w:tcPr>
          <w:p w14:paraId="2CA46481" w14:textId="77777777" w:rsidR="004C7180" w:rsidRPr="00150EDC" w:rsidRDefault="00CF0754">
            <w:pPr>
              <w:pStyle w:val="TableParagraph"/>
              <w:spacing w:before="0" w:line="240" w:lineRule="auto"/>
              <w:ind w:left="-1"/>
              <w:rPr>
                <w:b/>
                <w:sz w:val="24"/>
              </w:rPr>
            </w:pPr>
            <w:r w:rsidRPr="00150EDC">
              <w:rPr>
                <w:b/>
                <w:sz w:val="24"/>
              </w:rPr>
              <w:t>“HM</w:t>
            </w:r>
            <w:r w:rsidRPr="00150EDC">
              <w:rPr>
                <w:b/>
                <w:spacing w:val="-17"/>
                <w:sz w:val="24"/>
              </w:rPr>
              <w:t xml:space="preserve"> </w:t>
            </w:r>
            <w:r w:rsidRPr="00150EDC">
              <w:rPr>
                <w:b/>
                <w:sz w:val="24"/>
              </w:rPr>
              <w:t>Government” or “HMG”</w:t>
            </w:r>
          </w:p>
        </w:tc>
        <w:tc>
          <w:tcPr>
            <w:tcW w:w="7484" w:type="dxa"/>
          </w:tcPr>
          <w:p w14:paraId="39B06242" w14:textId="77777777" w:rsidR="004C7180" w:rsidRPr="00150EDC" w:rsidRDefault="00CF0754">
            <w:pPr>
              <w:pStyle w:val="TableParagraph"/>
              <w:spacing w:before="0" w:line="240" w:lineRule="auto"/>
              <w:ind w:left="277"/>
              <w:rPr>
                <w:sz w:val="24"/>
              </w:rPr>
            </w:pPr>
            <w:r w:rsidRPr="00150EDC">
              <w:rPr>
                <w:sz w:val="24"/>
              </w:rPr>
              <w:t>His</w:t>
            </w:r>
            <w:r w:rsidRPr="00150EDC">
              <w:rPr>
                <w:spacing w:val="-3"/>
                <w:sz w:val="24"/>
              </w:rPr>
              <w:t xml:space="preserve"> </w:t>
            </w:r>
            <w:r w:rsidRPr="00150EDC">
              <w:rPr>
                <w:sz w:val="24"/>
              </w:rPr>
              <w:t>Majesty’s</w:t>
            </w:r>
            <w:r w:rsidRPr="00150EDC">
              <w:rPr>
                <w:spacing w:val="-2"/>
                <w:sz w:val="24"/>
              </w:rPr>
              <w:t xml:space="preserve"> Government;</w:t>
            </w:r>
          </w:p>
        </w:tc>
      </w:tr>
      <w:tr w:rsidR="007D3144" w:rsidRPr="007D3144" w14:paraId="187928F4" w14:textId="77777777">
        <w:trPr>
          <w:trHeight w:val="672"/>
        </w:trPr>
        <w:tc>
          <w:tcPr>
            <w:tcW w:w="2264" w:type="dxa"/>
          </w:tcPr>
          <w:p w14:paraId="751CF58B" w14:textId="77777777" w:rsidR="004C7180" w:rsidRPr="00150EDC" w:rsidRDefault="00CF0754">
            <w:pPr>
              <w:pStyle w:val="TableParagraph"/>
              <w:spacing w:before="0" w:line="240" w:lineRule="auto"/>
              <w:ind w:left="-1"/>
              <w:rPr>
                <w:b/>
                <w:sz w:val="24"/>
              </w:rPr>
            </w:pPr>
            <w:r w:rsidRPr="00150EDC">
              <w:rPr>
                <w:b/>
                <w:sz w:val="24"/>
              </w:rPr>
              <w:t>"Halifax</w:t>
            </w:r>
            <w:r w:rsidRPr="00150EDC">
              <w:rPr>
                <w:b/>
                <w:spacing w:val="-17"/>
                <w:sz w:val="24"/>
              </w:rPr>
              <w:t xml:space="preserve"> </w:t>
            </w:r>
            <w:r w:rsidRPr="00150EDC">
              <w:rPr>
                <w:b/>
                <w:sz w:val="24"/>
              </w:rPr>
              <w:t xml:space="preserve">Abuse </w:t>
            </w:r>
            <w:r w:rsidRPr="00150EDC">
              <w:rPr>
                <w:b/>
                <w:spacing w:val="-2"/>
                <w:sz w:val="24"/>
              </w:rPr>
              <w:t>Principle"</w:t>
            </w:r>
          </w:p>
        </w:tc>
        <w:tc>
          <w:tcPr>
            <w:tcW w:w="7484" w:type="dxa"/>
          </w:tcPr>
          <w:p w14:paraId="7304C151" w14:textId="77777777" w:rsidR="004C7180" w:rsidRPr="00150EDC" w:rsidRDefault="00CF0754">
            <w:pPr>
              <w:pStyle w:val="TableParagraph"/>
              <w:spacing w:before="0" w:line="240" w:lineRule="auto"/>
              <w:ind w:left="277"/>
              <w:rPr>
                <w:sz w:val="24"/>
              </w:rPr>
            </w:pPr>
            <w:r w:rsidRPr="00150EDC">
              <w:rPr>
                <w:sz w:val="24"/>
              </w:rPr>
              <w:t>the</w:t>
            </w:r>
            <w:r w:rsidRPr="00150EDC">
              <w:rPr>
                <w:spacing w:val="40"/>
                <w:sz w:val="24"/>
              </w:rPr>
              <w:t xml:space="preserve"> </w:t>
            </w:r>
            <w:r w:rsidRPr="00150EDC">
              <w:rPr>
                <w:sz w:val="24"/>
              </w:rPr>
              <w:t>principle</w:t>
            </w:r>
            <w:r w:rsidRPr="00150EDC">
              <w:rPr>
                <w:spacing w:val="40"/>
                <w:sz w:val="24"/>
              </w:rPr>
              <w:t xml:space="preserve"> </w:t>
            </w:r>
            <w:r w:rsidRPr="00150EDC">
              <w:rPr>
                <w:sz w:val="24"/>
              </w:rPr>
              <w:t>explained</w:t>
            </w:r>
            <w:r w:rsidRPr="00150EDC">
              <w:rPr>
                <w:spacing w:val="40"/>
                <w:sz w:val="24"/>
              </w:rPr>
              <w:t xml:space="preserve"> </w:t>
            </w:r>
            <w:r w:rsidRPr="00150EDC">
              <w:rPr>
                <w:sz w:val="24"/>
              </w:rPr>
              <w:t>in</w:t>
            </w:r>
            <w:r w:rsidRPr="00150EDC">
              <w:rPr>
                <w:spacing w:val="40"/>
                <w:sz w:val="24"/>
              </w:rPr>
              <w:t xml:space="preserve"> </w:t>
            </w:r>
            <w:r w:rsidRPr="00150EDC">
              <w:rPr>
                <w:sz w:val="24"/>
              </w:rPr>
              <w:t>the</w:t>
            </w:r>
            <w:r w:rsidRPr="00150EDC">
              <w:rPr>
                <w:spacing w:val="40"/>
                <w:sz w:val="24"/>
              </w:rPr>
              <w:t xml:space="preserve"> </w:t>
            </w:r>
            <w:r w:rsidRPr="00150EDC">
              <w:rPr>
                <w:sz w:val="24"/>
              </w:rPr>
              <w:t>CJEU</w:t>
            </w:r>
            <w:r w:rsidRPr="00150EDC">
              <w:rPr>
                <w:spacing w:val="40"/>
                <w:sz w:val="24"/>
              </w:rPr>
              <w:t xml:space="preserve"> </w:t>
            </w:r>
            <w:r w:rsidRPr="00150EDC">
              <w:rPr>
                <w:sz w:val="24"/>
              </w:rPr>
              <w:t>Case</w:t>
            </w:r>
            <w:r w:rsidRPr="00150EDC">
              <w:rPr>
                <w:spacing w:val="40"/>
                <w:sz w:val="24"/>
              </w:rPr>
              <w:t xml:space="preserve"> </w:t>
            </w:r>
            <w:r w:rsidRPr="00150EDC">
              <w:rPr>
                <w:sz w:val="24"/>
              </w:rPr>
              <w:t>C-255/02</w:t>
            </w:r>
            <w:r w:rsidRPr="00150EDC">
              <w:rPr>
                <w:spacing w:val="40"/>
                <w:sz w:val="24"/>
              </w:rPr>
              <w:t xml:space="preserve"> </w:t>
            </w:r>
            <w:r w:rsidRPr="00150EDC">
              <w:rPr>
                <w:sz w:val="24"/>
              </w:rPr>
              <w:t>Halifax</w:t>
            </w:r>
            <w:r w:rsidRPr="00150EDC">
              <w:rPr>
                <w:spacing w:val="40"/>
                <w:sz w:val="24"/>
              </w:rPr>
              <w:t xml:space="preserve"> </w:t>
            </w:r>
            <w:r w:rsidRPr="00150EDC">
              <w:rPr>
                <w:sz w:val="24"/>
              </w:rPr>
              <w:t xml:space="preserve">and </w:t>
            </w:r>
            <w:r w:rsidRPr="00150EDC">
              <w:rPr>
                <w:spacing w:val="-2"/>
                <w:sz w:val="24"/>
              </w:rPr>
              <w:t>others;</w:t>
            </w:r>
          </w:p>
        </w:tc>
      </w:tr>
      <w:tr w:rsidR="007D3144" w:rsidRPr="007D3144" w14:paraId="37CFB0B6" w14:textId="77777777">
        <w:trPr>
          <w:trHeight w:val="395"/>
        </w:trPr>
        <w:tc>
          <w:tcPr>
            <w:tcW w:w="2264" w:type="dxa"/>
          </w:tcPr>
          <w:p w14:paraId="7B24DB19" w14:textId="77777777" w:rsidR="004C7180" w:rsidRPr="00150EDC" w:rsidRDefault="00CF0754">
            <w:pPr>
              <w:pStyle w:val="TableParagraph"/>
              <w:spacing w:before="0" w:line="240" w:lineRule="auto"/>
              <w:ind w:left="-1"/>
              <w:rPr>
                <w:b/>
                <w:sz w:val="24"/>
              </w:rPr>
            </w:pPr>
            <w:r w:rsidRPr="00150EDC">
              <w:rPr>
                <w:b/>
                <w:spacing w:val="-2"/>
                <w:sz w:val="24"/>
              </w:rPr>
              <w:t>"HMRC"</w:t>
            </w:r>
          </w:p>
        </w:tc>
        <w:tc>
          <w:tcPr>
            <w:tcW w:w="7484" w:type="dxa"/>
          </w:tcPr>
          <w:p w14:paraId="4FF652B4" w14:textId="77777777" w:rsidR="004C7180" w:rsidRPr="00150EDC" w:rsidRDefault="00CF0754">
            <w:pPr>
              <w:pStyle w:val="TableParagraph"/>
              <w:spacing w:before="0" w:line="240" w:lineRule="auto"/>
              <w:ind w:left="277"/>
              <w:rPr>
                <w:sz w:val="24"/>
              </w:rPr>
            </w:pPr>
            <w:r w:rsidRPr="00150EDC">
              <w:rPr>
                <w:sz w:val="24"/>
              </w:rPr>
              <w:t>His</w:t>
            </w:r>
            <w:r w:rsidRPr="00150EDC">
              <w:rPr>
                <w:spacing w:val="-3"/>
                <w:sz w:val="24"/>
              </w:rPr>
              <w:t xml:space="preserve"> </w:t>
            </w:r>
            <w:r w:rsidRPr="00150EDC">
              <w:rPr>
                <w:sz w:val="24"/>
              </w:rPr>
              <w:t>Majesty’s</w:t>
            </w:r>
            <w:r w:rsidRPr="00150EDC">
              <w:rPr>
                <w:spacing w:val="-2"/>
                <w:sz w:val="24"/>
              </w:rPr>
              <w:t xml:space="preserve"> </w:t>
            </w:r>
            <w:r w:rsidRPr="00150EDC">
              <w:rPr>
                <w:sz w:val="24"/>
              </w:rPr>
              <w:t>Revenue</w:t>
            </w:r>
            <w:r w:rsidRPr="00150EDC">
              <w:rPr>
                <w:spacing w:val="-4"/>
                <w:sz w:val="24"/>
              </w:rPr>
              <w:t xml:space="preserve"> </w:t>
            </w:r>
            <w:r w:rsidRPr="00150EDC">
              <w:rPr>
                <w:sz w:val="24"/>
              </w:rPr>
              <w:t>and</w:t>
            </w:r>
            <w:r w:rsidRPr="00150EDC">
              <w:rPr>
                <w:spacing w:val="-3"/>
                <w:sz w:val="24"/>
              </w:rPr>
              <w:t xml:space="preserve"> </w:t>
            </w:r>
            <w:r w:rsidRPr="00150EDC">
              <w:rPr>
                <w:spacing w:val="-2"/>
                <w:sz w:val="24"/>
              </w:rPr>
              <w:t>Customs;</w:t>
            </w:r>
          </w:p>
        </w:tc>
      </w:tr>
      <w:tr w:rsidR="007D3144" w:rsidRPr="007D3144" w14:paraId="5533DA79" w14:textId="77777777">
        <w:trPr>
          <w:trHeight w:val="1499"/>
        </w:trPr>
        <w:tc>
          <w:tcPr>
            <w:tcW w:w="2264" w:type="dxa"/>
          </w:tcPr>
          <w:p w14:paraId="35BB107B" w14:textId="77777777" w:rsidR="004C7180" w:rsidRPr="00150EDC" w:rsidRDefault="00CF0754">
            <w:pPr>
              <w:pStyle w:val="TableParagraph"/>
              <w:spacing w:before="0" w:line="240" w:lineRule="auto"/>
              <w:ind w:left="-1"/>
              <w:rPr>
                <w:b/>
                <w:sz w:val="24"/>
              </w:rPr>
            </w:pPr>
            <w:r w:rsidRPr="00150EDC">
              <w:rPr>
                <w:b/>
                <w:sz w:val="24"/>
              </w:rPr>
              <w:t>"ICT</w:t>
            </w:r>
            <w:r w:rsidRPr="00150EDC">
              <w:rPr>
                <w:b/>
                <w:spacing w:val="-2"/>
                <w:sz w:val="24"/>
              </w:rPr>
              <w:t xml:space="preserve"> Policy"</w:t>
            </w:r>
          </w:p>
        </w:tc>
        <w:tc>
          <w:tcPr>
            <w:tcW w:w="7484" w:type="dxa"/>
          </w:tcPr>
          <w:p w14:paraId="64741AC5" w14:textId="77777777" w:rsidR="004C7180" w:rsidRPr="00150EDC" w:rsidRDefault="00CF0754">
            <w:pPr>
              <w:pStyle w:val="TableParagraph"/>
              <w:spacing w:before="0" w:line="240" w:lineRule="auto"/>
              <w:ind w:left="277" w:right="100"/>
              <w:jc w:val="both"/>
              <w:rPr>
                <w:sz w:val="24"/>
              </w:rPr>
            </w:pPr>
            <w:r w:rsidRPr="00150EDC">
              <w:rPr>
                <w:sz w:val="24"/>
              </w:rPr>
              <w:t>the Buyer's policy in respect of information and communications technology,</w:t>
            </w:r>
            <w:r w:rsidRPr="00150EDC">
              <w:rPr>
                <w:spacing w:val="-12"/>
                <w:sz w:val="24"/>
              </w:rPr>
              <w:t xml:space="preserve"> </w:t>
            </w:r>
            <w:r w:rsidRPr="00150EDC">
              <w:rPr>
                <w:sz w:val="24"/>
              </w:rPr>
              <w:t>referred</w:t>
            </w:r>
            <w:r w:rsidRPr="00150EDC">
              <w:rPr>
                <w:spacing w:val="-12"/>
                <w:sz w:val="24"/>
              </w:rPr>
              <w:t xml:space="preserve"> </w:t>
            </w:r>
            <w:r w:rsidRPr="00150EDC">
              <w:rPr>
                <w:sz w:val="24"/>
              </w:rPr>
              <w:t>to</w:t>
            </w:r>
            <w:r w:rsidRPr="00150EDC">
              <w:rPr>
                <w:spacing w:val="-11"/>
                <w:sz w:val="24"/>
              </w:rPr>
              <w:t xml:space="preserve"> </w:t>
            </w:r>
            <w:r w:rsidRPr="00150EDC">
              <w:rPr>
                <w:sz w:val="24"/>
              </w:rPr>
              <w:t>in</w:t>
            </w:r>
            <w:r w:rsidRPr="00150EDC">
              <w:rPr>
                <w:spacing w:val="-10"/>
                <w:sz w:val="24"/>
              </w:rPr>
              <w:t xml:space="preserve"> </w:t>
            </w:r>
            <w:r w:rsidRPr="00150EDC">
              <w:rPr>
                <w:sz w:val="24"/>
              </w:rPr>
              <w:t>the</w:t>
            </w:r>
            <w:r w:rsidRPr="00150EDC">
              <w:rPr>
                <w:spacing w:val="-12"/>
                <w:sz w:val="24"/>
              </w:rPr>
              <w:t xml:space="preserve"> </w:t>
            </w:r>
            <w:r w:rsidRPr="00150EDC">
              <w:rPr>
                <w:sz w:val="24"/>
              </w:rPr>
              <w:t>Order</w:t>
            </w:r>
            <w:r w:rsidRPr="00150EDC">
              <w:rPr>
                <w:spacing w:val="-11"/>
                <w:sz w:val="24"/>
              </w:rPr>
              <w:t xml:space="preserve"> </w:t>
            </w:r>
            <w:r w:rsidRPr="00150EDC">
              <w:rPr>
                <w:sz w:val="24"/>
              </w:rPr>
              <w:t>Form,</w:t>
            </w:r>
            <w:r w:rsidRPr="00150EDC">
              <w:rPr>
                <w:spacing w:val="-10"/>
                <w:sz w:val="24"/>
              </w:rPr>
              <w:t xml:space="preserve"> </w:t>
            </w:r>
            <w:r w:rsidRPr="00150EDC">
              <w:rPr>
                <w:sz w:val="24"/>
              </w:rPr>
              <w:t>which</w:t>
            </w:r>
            <w:r w:rsidRPr="00150EDC">
              <w:rPr>
                <w:spacing w:val="-9"/>
                <w:sz w:val="24"/>
              </w:rPr>
              <w:t xml:space="preserve"> </w:t>
            </w:r>
            <w:r w:rsidRPr="00150EDC">
              <w:rPr>
                <w:sz w:val="24"/>
              </w:rPr>
              <w:t>is</w:t>
            </w:r>
            <w:r w:rsidRPr="00150EDC">
              <w:rPr>
                <w:spacing w:val="-11"/>
                <w:sz w:val="24"/>
              </w:rPr>
              <w:t xml:space="preserve"> </w:t>
            </w:r>
            <w:r w:rsidRPr="00150EDC">
              <w:rPr>
                <w:sz w:val="24"/>
              </w:rPr>
              <w:t>in</w:t>
            </w:r>
            <w:r w:rsidRPr="00150EDC">
              <w:rPr>
                <w:spacing w:val="-10"/>
                <w:sz w:val="24"/>
              </w:rPr>
              <w:t xml:space="preserve"> </w:t>
            </w:r>
            <w:r w:rsidRPr="00150EDC">
              <w:rPr>
                <w:sz w:val="24"/>
              </w:rPr>
              <w:t>force</w:t>
            </w:r>
            <w:r w:rsidRPr="00150EDC">
              <w:rPr>
                <w:spacing w:val="-12"/>
                <w:sz w:val="24"/>
              </w:rPr>
              <w:t xml:space="preserve"> </w:t>
            </w:r>
            <w:r w:rsidRPr="00150EDC">
              <w:rPr>
                <w:sz w:val="24"/>
              </w:rPr>
              <w:t>as</w:t>
            </w:r>
            <w:r w:rsidRPr="00150EDC">
              <w:rPr>
                <w:spacing w:val="-13"/>
                <w:sz w:val="24"/>
              </w:rPr>
              <w:t xml:space="preserve"> </w:t>
            </w:r>
            <w:r w:rsidRPr="00150EDC">
              <w:rPr>
                <w:sz w:val="24"/>
              </w:rPr>
              <w:t>at</w:t>
            </w:r>
            <w:r w:rsidRPr="00150EDC">
              <w:rPr>
                <w:spacing w:val="-10"/>
                <w:sz w:val="24"/>
              </w:rPr>
              <w:t xml:space="preserve"> </w:t>
            </w:r>
            <w:r w:rsidRPr="00150EDC">
              <w:rPr>
                <w:sz w:val="24"/>
              </w:rPr>
              <w:t>the Order Start Date (a copy of which has been supplied to the Supplier), as updated from time to time in accordance with the Variation Procedure;</w:t>
            </w:r>
          </w:p>
        </w:tc>
      </w:tr>
      <w:tr w:rsidR="007D3144" w:rsidRPr="007D3144" w14:paraId="03937B2C" w14:textId="77777777">
        <w:trPr>
          <w:trHeight w:val="673"/>
        </w:trPr>
        <w:tc>
          <w:tcPr>
            <w:tcW w:w="2264" w:type="dxa"/>
          </w:tcPr>
          <w:p w14:paraId="415124CE" w14:textId="77777777" w:rsidR="004C7180" w:rsidRPr="00150EDC" w:rsidRDefault="00CF0754">
            <w:pPr>
              <w:pStyle w:val="TableParagraph"/>
              <w:spacing w:before="2" w:line="240" w:lineRule="auto"/>
              <w:ind w:left="-1"/>
              <w:rPr>
                <w:b/>
                <w:sz w:val="24"/>
              </w:rPr>
            </w:pPr>
            <w:r w:rsidRPr="00150EDC">
              <w:rPr>
                <w:b/>
                <w:spacing w:val="-2"/>
                <w:sz w:val="24"/>
              </w:rPr>
              <w:t>"Impact Assessment"</w:t>
            </w:r>
          </w:p>
        </w:tc>
        <w:tc>
          <w:tcPr>
            <w:tcW w:w="7484" w:type="dxa"/>
          </w:tcPr>
          <w:p w14:paraId="60FDCC4C" w14:textId="77777777" w:rsidR="004C7180" w:rsidRPr="00150EDC" w:rsidRDefault="00CF0754">
            <w:pPr>
              <w:pStyle w:val="TableParagraph"/>
              <w:spacing w:before="2" w:line="240" w:lineRule="auto"/>
              <w:ind w:left="277"/>
              <w:rPr>
                <w:sz w:val="24"/>
              </w:rPr>
            </w:pPr>
            <w:r w:rsidRPr="00150EDC">
              <w:rPr>
                <w:sz w:val="24"/>
              </w:rPr>
              <w:t>an</w:t>
            </w:r>
            <w:r w:rsidRPr="00150EDC">
              <w:rPr>
                <w:spacing w:val="-8"/>
                <w:sz w:val="24"/>
              </w:rPr>
              <w:t xml:space="preserve"> </w:t>
            </w:r>
            <w:r w:rsidRPr="00150EDC">
              <w:rPr>
                <w:sz w:val="24"/>
              </w:rPr>
              <w:t>assessment</w:t>
            </w:r>
            <w:r w:rsidRPr="00150EDC">
              <w:rPr>
                <w:spacing w:val="-8"/>
                <w:sz w:val="24"/>
              </w:rPr>
              <w:t xml:space="preserve"> </w:t>
            </w:r>
            <w:r w:rsidRPr="00150EDC">
              <w:rPr>
                <w:sz w:val="24"/>
              </w:rPr>
              <w:t>of</w:t>
            </w:r>
            <w:r w:rsidRPr="00150EDC">
              <w:rPr>
                <w:spacing w:val="-8"/>
                <w:sz w:val="24"/>
              </w:rPr>
              <w:t xml:space="preserve"> </w:t>
            </w:r>
            <w:r w:rsidRPr="00150EDC">
              <w:rPr>
                <w:sz w:val="24"/>
              </w:rPr>
              <w:t>the</w:t>
            </w:r>
            <w:r w:rsidRPr="00150EDC">
              <w:rPr>
                <w:spacing w:val="-8"/>
                <w:sz w:val="24"/>
              </w:rPr>
              <w:t xml:space="preserve"> </w:t>
            </w:r>
            <w:r w:rsidRPr="00150EDC">
              <w:rPr>
                <w:sz w:val="24"/>
              </w:rPr>
              <w:t>impact</w:t>
            </w:r>
            <w:r w:rsidRPr="00150EDC">
              <w:rPr>
                <w:spacing w:val="-8"/>
                <w:sz w:val="24"/>
              </w:rPr>
              <w:t xml:space="preserve"> </w:t>
            </w:r>
            <w:r w:rsidRPr="00150EDC">
              <w:rPr>
                <w:sz w:val="24"/>
              </w:rPr>
              <w:t>of</w:t>
            </w:r>
            <w:r w:rsidRPr="00150EDC">
              <w:rPr>
                <w:spacing w:val="-8"/>
                <w:sz w:val="24"/>
              </w:rPr>
              <w:t xml:space="preserve"> </w:t>
            </w:r>
            <w:r w:rsidRPr="00150EDC">
              <w:rPr>
                <w:sz w:val="24"/>
              </w:rPr>
              <w:t>a</w:t>
            </w:r>
            <w:r w:rsidRPr="00150EDC">
              <w:rPr>
                <w:spacing w:val="-8"/>
                <w:sz w:val="24"/>
              </w:rPr>
              <w:t xml:space="preserve"> </w:t>
            </w:r>
            <w:r w:rsidRPr="00150EDC">
              <w:rPr>
                <w:sz w:val="24"/>
              </w:rPr>
              <w:t>Variation</w:t>
            </w:r>
            <w:r w:rsidRPr="00150EDC">
              <w:rPr>
                <w:spacing w:val="-8"/>
                <w:sz w:val="24"/>
              </w:rPr>
              <w:t xml:space="preserve"> </w:t>
            </w:r>
            <w:r w:rsidRPr="00150EDC">
              <w:rPr>
                <w:sz w:val="24"/>
              </w:rPr>
              <w:t>request</w:t>
            </w:r>
            <w:r w:rsidRPr="00150EDC">
              <w:rPr>
                <w:spacing w:val="-8"/>
                <w:sz w:val="24"/>
              </w:rPr>
              <w:t xml:space="preserve"> </w:t>
            </w:r>
            <w:r w:rsidRPr="00150EDC">
              <w:rPr>
                <w:sz w:val="24"/>
              </w:rPr>
              <w:t>by</w:t>
            </w:r>
            <w:r w:rsidRPr="00150EDC">
              <w:rPr>
                <w:spacing w:val="-9"/>
                <w:sz w:val="24"/>
              </w:rPr>
              <w:t xml:space="preserve"> </w:t>
            </w:r>
            <w:r w:rsidRPr="00150EDC">
              <w:rPr>
                <w:sz w:val="24"/>
              </w:rPr>
              <w:t>the</w:t>
            </w:r>
            <w:r w:rsidRPr="00150EDC">
              <w:rPr>
                <w:spacing w:val="-8"/>
                <w:sz w:val="24"/>
              </w:rPr>
              <w:t xml:space="preserve"> </w:t>
            </w:r>
            <w:r w:rsidRPr="00150EDC">
              <w:rPr>
                <w:sz w:val="24"/>
              </w:rPr>
              <w:t>Relevant Authority completed in good faith, including:</w:t>
            </w:r>
          </w:p>
        </w:tc>
      </w:tr>
    </w:tbl>
    <w:p w14:paraId="4BE8E841" w14:textId="77777777" w:rsidR="004C7180" w:rsidRPr="00150EDC" w:rsidRDefault="004C7180">
      <w:pPr>
        <w:rPr>
          <w:sz w:val="24"/>
        </w:rPr>
        <w:sectPr w:rsidR="004C7180" w:rsidRPr="00150EDC">
          <w:pgSz w:w="11910" w:h="16840"/>
          <w:pgMar w:top="1160" w:right="0" w:bottom="1460" w:left="40" w:header="715" w:footer="1208" w:gutter="0"/>
          <w:cols w:space="720"/>
        </w:sectPr>
      </w:pPr>
    </w:p>
    <w:p w14:paraId="4122D1F7" w14:textId="77777777" w:rsidR="004C7180" w:rsidRPr="00150EDC" w:rsidRDefault="004C7180">
      <w:pPr>
        <w:pStyle w:val="BodyText"/>
        <w:spacing w:before="7"/>
        <w:rPr>
          <w:sz w:val="23"/>
        </w:rPr>
      </w:pPr>
    </w:p>
    <w:tbl>
      <w:tblPr>
        <w:tblW w:w="0" w:type="auto"/>
        <w:tblInd w:w="1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4"/>
        <w:gridCol w:w="7484"/>
      </w:tblGrid>
      <w:tr w:rsidR="007D3144" w:rsidRPr="007D3144" w14:paraId="025C8F23" w14:textId="77777777">
        <w:trPr>
          <w:trHeight w:val="4188"/>
        </w:trPr>
        <w:tc>
          <w:tcPr>
            <w:tcW w:w="2264" w:type="dxa"/>
          </w:tcPr>
          <w:p w14:paraId="6FDDCE17" w14:textId="77777777" w:rsidR="004C7180" w:rsidRPr="00150EDC" w:rsidRDefault="004C7180">
            <w:pPr>
              <w:pStyle w:val="TableParagraph"/>
              <w:spacing w:before="0" w:line="240" w:lineRule="auto"/>
              <w:ind w:left="0"/>
              <w:rPr>
                <w:rFonts w:ascii="Times New Roman"/>
              </w:rPr>
            </w:pPr>
          </w:p>
        </w:tc>
        <w:tc>
          <w:tcPr>
            <w:tcW w:w="7484" w:type="dxa"/>
          </w:tcPr>
          <w:p w14:paraId="2B382EA2" w14:textId="77777777" w:rsidR="004C7180" w:rsidRPr="00150EDC" w:rsidRDefault="00CF0754" w:rsidP="00B320C7">
            <w:pPr>
              <w:pStyle w:val="TableParagraph"/>
              <w:numPr>
                <w:ilvl w:val="0"/>
                <w:numId w:val="120"/>
              </w:numPr>
              <w:tabs>
                <w:tab w:val="left" w:pos="537"/>
                <w:tab w:val="left" w:pos="539"/>
              </w:tabs>
              <w:spacing w:before="0" w:line="240" w:lineRule="auto"/>
              <w:ind w:right="99"/>
              <w:jc w:val="both"/>
              <w:rPr>
                <w:sz w:val="24"/>
              </w:rPr>
            </w:pPr>
            <w:r w:rsidRPr="00150EDC">
              <w:rPr>
                <w:sz w:val="24"/>
              </w:rPr>
              <w:t xml:space="preserve">details of the impact of the proposed Variation on the </w:t>
            </w:r>
            <w:r w:rsidRPr="00150EDC">
              <w:rPr>
                <w:spacing w:val="-2"/>
                <w:sz w:val="24"/>
              </w:rPr>
              <w:t>Deliverables</w:t>
            </w:r>
            <w:r w:rsidRPr="00150EDC">
              <w:rPr>
                <w:spacing w:val="-8"/>
                <w:sz w:val="24"/>
              </w:rPr>
              <w:t xml:space="preserve"> </w:t>
            </w:r>
            <w:r w:rsidRPr="00150EDC">
              <w:rPr>
                <w:spacing w:val="-2"/>
                <w:sz w:val="24"/>
              </w:rPr>
              <w:t>and</w:t>
            </w:r>
            <w:r w:rsidRPr="00150EDC">
              <w:rPr>
                <w:spacing w:val="-8"/>
                <w:sz w:val="24"/>
              </w:rPr>
              <w:t xml:space="preserve"> </w:t>
            </w:r>
            <w:r w:rsidRPr="00150EDC">
              <w:rPr>
                <w:spacing w:val="-2"/>
                <w:sz w:val="24"/>
              </w:rPr>
              <w:t>the</w:t>
            </w:r>
            <w:r w:rsidRPr="00150EDC">
              <w:rPr>
                <w:spacing w:val="-8"/>
                <w:sz w:val="24"/>
              </w:rPr>
              <w:t xml:space="preserve"> </w:t>
            </w:r>
            <w:r w:rsidRPr="00150EDC">
              <w:rPr>
                <w:spacing w:val="-2"/>
                <w:sz w:val="24"/>
              </w:rPr>
              <w:t>Supplier's</w:t>
            </w:r>
            <w:r w:rsidRPr="00150EDC">
              <w:rPr>
                <w:spacing w:val="-8"/>
                <w:sz w:val="24"/>
              </w:rPr>
              <w:t xml:space="preserve"> </w:t>
            </w:r>
            <w:r w:rsidRPr="00150EDC">
              <w:rPr>
                <w:spacing w:val="-2"/>
                <w:sz w:val="24"/>
              </w:rPr>
              <w:t>ability</w:t>
            </w:r>
            <w:r w:rsidRPr="00150EDC">
              <w:rPr>
                <w:spacing w:val="-8"/>
                <w:sz w:val="24"/>
              </w:rPr>
              <w:t xml:space="preserve"> </w:t>
            </w:r>
            <w:r w:rsidRPr="00150EDC">
              <w:rPr>
                <w:spacing w:val="-2"/>
                <w:sz w:val="24"/>
              </w:rPr>
              <w:t>to</w:t>
            </w:r>
            <w:r w:rsidRPr="00150EDC">
              <w:rPr>
                <w:spacing w:val="-7"/>
                <w:sz w:val="24"/>
              </w:rPr>
              <w:t xml:space="preserve"> </w:t>
            </w:r>
            <w:r w:rsidRPr="00150EDC">
              <w:rPr>
                <w:spacing w:val="-2"/>
                <w:sz w:val="24"/>
              </w:rPr>
              <w:t>meet</w:t>
            </w:r>
            <w:r w:rsidRPr="00150EDC">
              <w:rPr>
                <w:spacing w:val="-10"/>
                <w:sz w:val="24"/>
              </w:rPr>
              <w:t xml:space="preserve"> </w:t>
            </w:r>
            <w:r w:rsidRPr="00150EDC">
              <w:rPr>
                <w:spacing w:val="-2"/>
                <w:sz w:val="24"/>
              </w:rPr>
              <w:t>its</w:t>
            </w:r>
            <w:r w:rsidRPr="00150EDC">
              <w:rPr>
                <w:spacing w:val="-8"/>
                <w:sz w:val="24"/>
              </w:rPr>
              <w:t xml:space="preserve"> </w:t>
            </w:r>
            <w:r w:rsidRPr="00150EDC">
              <w:rPr>
                <w:spacing w:val="-2"/>
                <w:sz w:val="24"/>
              </w:rPr>
              <w:t>other</w:t>
            </w:r>
            <w:r w:rsidRPr="00150EDC">
              <w:rPr>
                <w:spacing w:val="-8"/>
                <w:sz w:val="24"/>
              </w:rPr>
              <w:t xml:space="preserve"> </w:t>
            </w:r>
            <w:r w:rsidRPr="00150EDC">
              <w:rPr>
                <w:spacing w:val="-2"/>
                <w:sz w:val="24"/>
              </w:rPr>
              <w:t xml:space="preserve">obligations </w:t>
            </w:r>
            <w:r w:rsidRPr="00150EDC">
              <w:rPr>
                <w:sz w:val="24"/>
              </w:rPr>
              <w:t>under the Contract;</w:t>
            </w:r>
          </w:p>
          <w:p w14:paraId="2561D472" w14:textId="77777777" w:rsidR="004C7180" w:rsidRPr="00150EDC" w:rsidRDefault="00CF0754" w:rsidP="00B320C7">
            <w:pPr>
              <w:pStyle w:val="TableParagraph"/>
              <w:numPr>
                <w:ilvl w:val="0"/>
                <w:numId w:val="120"/>
              </w:numPr>
              <w:tabs>
                <w:tab w:val="left" w:pos="537"/>
              </w:tabs>
              <w:spacing w:before="120" w:line="240" w:lineRule="auto"/>
              <w:ind w:left="537" w:hanging="286"/>
              <w:jc w:val="both"/>
              <w:rPr>
                <w:sz w:val="24"/>
              </w:rPr>
            </w:pPr>
            <w:r w:rsidRPr="00150EDC">
              <w:rPr>
                <w:sz w:val="24"/>
              </w:rPr>
              <w:t>details</w:t>
            </w:r>
            <w:r w:rsidRPr="00150EDC">
              <w:rPr>
                <w:spacing w:val="-12"/>
                <w:sz w:val="24"/>
              </w:rPr>
              <w:t xml:space="preserve"> </w:t>
            </w:r>
            <w:r w:rsidRPr="00150EDC">
              <w:rPr>
                <w:sz w:val="24"/>
              </w:rPr>
              <w:t>of</w:t>
            </w:r>
            <w:r w:rsidRPr="00150EDC">
              <w:rPr>
                <w:spacing w:val="-9"/>
                <w:sz w:val="24"/>
              </w:rPr>
              <w:t xml:space="preserve"> </w:t>
            </w:r>
            <w:r w:rsidRPr="00150EDC">
              <w:rPr>
                <w:sz w:val="24"/>
              </w:rPr>
              <w:t>the</w:t>
            </w:r>
            <w:r w:rsidRPr="00150EDC">
              <w:rPr>
                <w:spacing w:val="-10"/>
                <w:sz w:val="24"/>
              </w:rPr>
              <w:t xml:space="preserve"> </w:t>
            </w:r>
            <w:r w:rsidRPr="00150EDC">
              <w:rPr>
                <w:sz w:val="24"/>
              </w:rPr>
              <w:t>cost</w:t>
            </w:r>
            <w:r w:rsidRPr="00150EDC">
              <w:rPr>
                <w:spacing w:val="-9"/>
                <w:sz w:val="24"/>
              </w:rPr>
              <w:t xml:space="preserve"> </w:t>
            </w:r>
            <w:r w:rsidRPr="00150EDC">
              <w:rPr>
                <w:sz w:val="24"/>
              </w:rPr>
              <w:t>of</w:t>
            </w:r>
            <w:r w:rsidRPr="00150EDC">
              <w:rPr>
                <w:spacing w:val="-10"/>
                <w:sz w:val="24"/>
              </w:rPr>
              <w:t xml:space="preserve"> </w:t>
            </w:r>
            <w:r w:rsidRPr="00150EDC">
              <w:rPr>
                <w:sz w:val="24"/>
              </w:rPr>
              <w:t>implementing</w:t>
            </w:r>
            <w:r w:rsidRPr="00150EDC">
              <w:rPr>
                <w:spacing w:val="-9"/>
                <w:sz w:val="24"/>
              </w:rPr>
              <w:t xml:space="preserve"> </w:t>
            </w:r>
            <w:r w:rsidRPr="00150EDC">
              <w:rPr>
                <w:sz w:val="24"/>
              </w:rPr>
              <w:t>the</w:t>
            </w:r>
            <w:r w:rsidRPr="00150EDC">
              <w:rPr>
                <w:spacing w:val="-12"/>
                <w:sz w:val="24"/>
              </w:rPr>
              <w:t xml:space="preserve"> </w:t>
            </w:r>
            <w:r w:rsidRPr="00150EDC">
              <w:rPr>
                <w:sz w:val="24"/>
              </w:rPr>
              <w:t>proposed</w:t>
            </w:r>
            <w:r w:rsidRPr="00150EDC">
              <w:rPr>
                <w:spacing w:val="-9"/>
                <w:sz w:val="24"/>
              </w:rPr>
              <w:t xml:space="preserve"> </w:t>
            </w:r>
            <w:r w:rsidRPr="00150EDC">
              <w:rPr>
                <w:spacing w:val="-2"/>
                <w:sz w:val="24"/>
              </w:rPr>
              <w:t>Variation;</w:t>
            </w:r>
          </w:p>
          <w:p w14:paraId="351FD9DA" w14:textId="77777777" w:rsidR="004C7180" w:rsidRPr="00150EDC" w:rsidRDefault="00CF0754" w:rsidP="00B320C7">
            <w:pPr>
              <w:pStyle w:val="TableParagraph"/>
              <w:numPr>
                <w:ilvl w:val="0"/>
                <w:numId w:val="120"/>
              </w:numPr>
              <w:tabs>
                <w:tab w:val="left" w:pos="537"/>
                <w:tab w:val="left" w:pos="539"/>
              </w:tabs>
              <w:spacing w:before="120" w:line="240" w:lineRule="auto"/>
              <w:ind w:right="96"/>
              <w:jc w:val="both"/>
              <w:rPr>
                <w:sz w:val="24"/>
              </w:rPr>
            </w:pPr>
            <w:r w:rsidRPr="00150EDC">
              <w:rPr>
                <w:sz w:val="24"/>
              </w:rPr>
              <w:t>details of the ongoing costs required by the proposed Variation when implemented, including any increase or decrease in the DPS Pricing/Charges (as applicable), any alteration in the resources and/or expenditure required by either Party and any alteration to the working practices of either Party;</w:t>
            </w:r>
          </w:p>
          <w:p w14:paraId="21F56221" w14:textId="77777777" w:rsidR="004C7180" w:rsidRPr="00150EDC" w:rsidRDefault="00CF0754" w:rsidP="00B320C7">
            <w:pPr>
              <w:pStyle w:val="TableParagraph"/>
              <w:numPr>
                <w:ilvl w:val="0"/>
                <w:numId w:val="120"/>
              </w:numPr>
              <w:tabs>
                <w:tab w:val="left" w:pos="537"/>
                <w:tab w:val="left" w:pos="539"/>
              </w:tabs>
              <w:spacing w:before="121" w:line="240" w:lineRule="auto"/>
              <w:ind w:right="100"/>
              <w:jc w:val="both"/>
              <w:rPr>
                <w:sz w:val="24"/>
              </w:rPr>
            </w:pPr>
            <w:r w:rsidRPr="00150EDC">
              <w:rPr>
                <w:sz w:val="24"/>
              </w:rPr>
              <w:t>a timetable for the implementation, together with any proposals for the testing of the Variation; and</w:t>
            </w:r>
          </w:p>
          <w:p w14:paraId="5DC24EF9" w14:textId="77777777" w:rsidR="004C7180" w:rsidRPr="00150EDC" w:rsidRDefault="00CF0754" w:rsidP="00B320C7">
            <w:pPr>
              <w:pStyle w:val="TableParagraph"/>
              <w:numPr>
                <w:ilvl w:val="0"/>
                <w:numId w:val="120"/>
              </w:numPr>
              <w:tabs>
                <w:tab w:val="left" w:pos="539"/>
              </w:tabs>
              <w:spacing w:before="120" w:line="240" w:lineRule="auto"/>
              <w:ind w:right="100"/>
              <w:jc w:val="both"/>
              <w:rPr>
                <w:sz w:val="24"/>
              </w:rPr>
            </w:pPr>
            <w:r w:rsidRPr="00150EDC">
              <w:rPr>
                <w:sz w:val="24"/>
              </w:rPr>
              <w:t>such</w:t>
            </w:r>
            <w:r w:rsidRPr="00150EDC">
              <w:rPr>
                <w:spacing w:val="-12"/>
                <w:sz w:val="24"/>
              </w:rPr>
              <w:t xml:space="preserve"> </w:t>
            </w:r>
            <w:r w:rsidRPr="00150EDC">
              <w:rPr>
                <w:sz w:val="24"/>
              </w:rPr>
              <w:t>other</w:t>
            </w:r>
            <w:r w:rsidRPr="00150EDC">
              <w:rPr>
                <w:spacing w:val="-11"/>
                <w:sz w:val="24"/>
              </w:rPr>
              <w:t xml:space="preserve"> </w:t>
            </w:r>
            <w:r w:rsidRPr="00150EDC">
              <w:rPr>
                <w:sz w:val="24"/>
              </w:rPr>
              <w:t>information</w:t>
            </w:r>
            <w:r w:rsidRPr="00150EDC">
              <w:rPr>
                <w:spacing w:val="-14"/>
                <w:sz w:val="24"/>
              </w:rPr>
              <w:t xml:space="preserve"> </w:t>
            </w:r>
            <w:r w:rsidRPr="00150EDC">
              <w:rPr>
                <w:sz w:val="24"/>
              </w:rPr>
              <w:t>as</w:t>
            </w:r>
            <w:r w:rsidRPr="00150EDC">
              <w:rPr>
                <w:spacing w:val="-11"/>
                <w:sz w:val="24"/>
              </w:rPr>
              <w:t xml:space="preserve"> </w:t>
            </w:r>
            <w:r w:rsidRPr="00150EDC">
              <w:rPr>
                <w:sz w:val="24"/>
              </w:rPr>
              <w:t>the</w:t>
            </w:r>
            <w:r w:rsidRPr="00150EDC">
              <w:rPr>
                <w:spacing w:val="-12"/>
                <w:sz w:val="24"/>
              </w:rPr>
              <w:t xml:space="preserve"> </w:t>
            </w:r>
            <w:r w:rsidRPr="00150EDC">
              <w:rPr>
                <w:sz w:val="24"/>
              </w:rPr>
              <w:t>Relevant</w:t>
            </w:r>
            <w:r w:rsidRPr="00150EDC">
              <w:rPr>
                <w:spacing w:val="-13"/>
                <w:sz w:val="24"/>
              </w:rPr>
              <w:t xml:space="preserve"> </w:t>
            </w:r>
            <w:r w:rsidRPr="00150EDC">
              <w:rPr>
                <w:sz w:val="24"/>
              </w:rPr>
              <w:t>Authority</w:t>
            </w:r>
            <w:r w:rsidRPr="00150EDC">
              <w:rPr>
                <w:spacing w:val="-11"/>
                <w:sz w:val="24"/>
              </w:rPr>
              <w:t xml:space="preserve"> </w:t>
            </w:r>
            <w:r w:rsidRPr="00150EDC">
              <w:rPr>
                <w:sz w:val="24"/>
              </w:rPr>
              <w:t>may</w:t>
            </w:r>
            <w:r w:rsidRPr="00150EDC">
              <w:rPr>
                <w:spacing w:val="-11"/>
                <w:sz w:val="24"/>
              </w:rPr>
              <w:t xml:space="preserve"> </w:t>
            </w:r>
            <w:r w:rsidRPr="00150EDC">
              <w:rPr>
                <w:sz w:val="24"/>
              </w:rPr>
              <w:t>reasonably request in (or in response to) the Variation request;</w:t>
            </w:r>
          </w:p>
        </w:tc>
      </w:tr>
      <w:tr w:rsidR="007D3144" w:rsidRPr="007D3144" w14:paraId="01E13C3D" w14:textId="77777777">
        <w:trPr>
          <w:trHeight w:val="947"/>
        </w:trPr>
        <w:tc>
          <w:tcPr>
            <w:tcW w:w="2264" w:type="dxa"/>
          </w:tcPr>
          <w:p w14:paraId="33EBDBAD" w14:textId="77777777" w:rsidR="004C7180" w:rsidRPr="00150EDC" w:rsidRDefault="00CF0754">
            <w:pPr>
              <w:pStyle w:val="TableParagraph"/>
              <w:spacing w:before="0" w:line="240" w:lineRule="auto"/>
              <w:ind w:left="-1"/>
              <w:rPr>
                <w:b/>
                <w:sz w:val="24"/>
              </w:rPr>
            </w:pPr>
            <w:r w:rsidRPr="00150EDC">
              <w:rPr>
                <w:b/>
                <w:spacing w:val="-2"/>
                <w:sz w:val="24"/>
              </w:rPr>
              <w:t xml:space="preserve">"Implementation </w:t>
            </w:r>
            <w:r w:rsidRPr="00150EDC">
              <w:rPr>
                <w:b/>
                <w:spacing w:val="-4"/>
                <w:sz w:val="24"/>
              </w:rPr>
              <w:t>Plan"</w:t>
            </w:r>
          </w:p>
        </w:tc>
        <w:tc>
          <w:tcPr>
            <w:tcW w:w="7484" w:type="dxa"/>
          </w:tcPr>
          <w:p w14:paraId="7A574AE5" w14:textId="77777777" w:rsidR="004C7180" w:rsidRPr="00150EDC" w:rsidRDefault="00CF0754">
            <w:pPr>
              <w:pStyle w:val="TableParagraph"/>
              <w:spacing w:before="0" w:line="240" w:lineRule="auto"/>
              <w:ind w:left="277" w:right="101"/>
              <w:jc w:val="both"/>
              <w:rPr>
                <w:sz w:val="24"/>
              </w:rPr>
            </w:pPr>
            <w:r w:rsidRPr="00150EDC">
              <w:rPr>
                <w:sz w:val="24"/>
              </w:rPr>
              <w:t>the</w:t>
            </w:r>
            <w:r w:rsidRPr="00150EDC">
              <w:rPr>
                <w:spacing w:val="-3"/>
                <w:sz w:val="24"/>
              </w:rPr>
              <w:t xml:space="preserve"> </w:t>
            </w:r>
            <w:r w:rsidRPr="00150EDC">
              <w:rPr>
                <w:sz w:val="24"/>
              </w:rPr>
              <w:t>plan</w:t>
            </w:r>
            <w:r w:rsidRPr="00150EDC">
              <w:rPr>
                <w:spacing w:val="-1"/>
                <w:sz w:val="24"/>
              </w:rPr>
              <w:t xml:space="preserve"> </w:t>
            </w:r>
            <w:r w:rsidRPr="00150EDC">
              <w:rPr>
                <w:sz w:val="24"/>
              </w:rPr>
              <w:t>for</w:t>
            </w:r>
            <w:r w:rsidRPr="00150EDC">
              <w:rPr>
                <w:spacing w:val="-3"/>
                <w:sz w:val="24"/>
              </w:rPr>
              <w:t xml:space="preserve"> </w:t>
            </w:r>
            <w:r w:rsidRPr="00150EDC">
              <w:rPr>
                <w:sz w:val="24"/>
              </w:rPr>
              <w:t>provision</w:t>
            </w:r>
            <w:r w:rsidRPr="00150EDC">
              <w:rPr>
                <w:spacing w:val="-3"/>
                <w:sz w:val="24"/>
              </w:rPr>
              <w:t xml:space="preserve"> </w:t>
            </w:r>
            <w:r w:rsidRPr="00150EDC">
              <w:rPr>
                <w:sz w:val="24"/>
              </w:rPr>
              <w:t>of</w:t>
            </w:r>
            <w:r w:rsidRPr="00150EDC">
              <w:rPr>
                <w:spacing w:val="-1"/>
                <w:sz w:val="24"/>
              </w:rPr>
              <w:t xml:space="preserve"> </w:t>
            </w:r>
            <w:r w:rsidRPr="00150EDC">
              <w:rPr>
                <w:sz w:val="24"/>
              </w:rPr>
              <w:t>the</w:t>
            </w:r>
            <w:r w:rsidRPr="00150EDC">
              <w:rPr>
                <w:spacing w:val="-3"/>
                <w:sz w:val="24"/>
              </w:rPr>
              <w:t xml:space="preserve"> </w:t>
            </w:r>
            <w:r w:rsidRPr="00150EDC">
              <w:rPr>
                <w:sz w:val="24"/>
              </w:rPr>
              <w:t>Deliverables</w:t>
            </w:r>
            <w:r w:rsidRPr="00150EDC">
              <w:rPr>
                <w:spacing w:val="-1"/>
                <w:sz w:val="24"/>
              </w:rPr>
              <w:t xml:space="preserve"> </w:t>
            </w:r>
            <w:r w:rsidRPr="00150EDC">
              <w:rPr>
                <w:sz w:val="24"/>
              </w:rPr>
              <w:t>set</w:t>
            </w:r>
            <w:r w:rsidRPr="00150EDC">
              <w:rPr>
                <w:spacing w:val="-3"/>
                <w:sz w:val="24"/>
              </w:rPr>
              <w:t xml:space="preserve"> </w:t>
            </w:r>
            <w:r w:rsidRPr="00150EDC">
              <w:rPr>
                <w:sz w:val="24"/>
              </w:rPr>
              <w:t>out</w:t>
            </w:r>
            <w:r w:rsidRPr="00150EDC">
              <w:rPr>
                <w:spacing w:val="-1"/>
                <w:sz w:val="24"/>
              </w:rPr>
              <w:t xml:space="preserve"> </w:t>
            </w:r>
            <w:r w:rsidRPr="00150EDC">
              <w:rPr>
                <w:sz w:val="24"/>
              </w:rPr>
              <w:t>in</w:t>
            </w:r>
            <w:r w:rsidRPr="00150EDC">
              <w:rPr>
                <w:spacing w:val="-1"/>
                <w:sz w:val="24"/>
              </w:rPr>
              <w:t xml:space="preserve"> </w:t>
            </w:r>
            <w:r w:rsidRPr="00150EDC">
              <w:rPr>
                <w:sz w:val="24"/>
              </w:rPr>
              <w:t>Order</w:t>
            </w:r>
            <w:r w:rsidRPr="00150EDC">
              <w:rPr>
                <w:spacing w:val="-3"/>
                <w:sz w:val="24"/>
              </w:rPr>
              <w:t xml:space="preserve"> </w:t>
            </w:r>
            <w:r w:rsidRPr="00150EDC">
              <w:rPr>
                <w:sz w:val="24"/>
              </w:rPr>
              <w:t>Schedule 13</w:t>
            </w:r>
            <w:r w:rsidRPr="00150EDC">
              <w:rPr>
                <w:spacing w:val="-1"/>
                <w:sz w:val="24"/>
              </w:rPr>
              <w:t xml:space="preserve"> </w:t>
            </w:r>
            <w:r w:rsidRPr="00150EDC">
              <w:rPr>
                <w:sz w:val="24"/>
              </w:rPr>
              <w:t>(Implementation</w:t>
            </w:r>
            <w:r w:rsidRPr="00150EDC">
              <w:rPr>
                <w:spacing w:val="-3"/>
                <w:sz w:val="24"/>
              </w:rPr>
              <w:t xml:space="preserve"> </w:t>
            </w:r>
            <w:r w:rsidRPr="00150EDC">
              <w:rPr>
                <w:sz w:val="24"/>
              </w:rPr>
              <w:t>Plan</w:t>
            </w:r>
            <w:r w:rsidRPr="00150EDC">
              <w:rPr>
                <w:spacing w:val="-4"/>
                <w:sz w:val="24"/>
              </w:rPr>
              <w:t xml:space="preserve"> </w:t>
            </w:r>
            <w:r w:rsidRPr="00150EDC">
              <w:rPr>
                <w:sz w:val="24"/>
              </w:rPr>
              <w:t>and</w:t>
            </w:r>
            <w:r w:rsidRPr="00150EDC">
              <w:rPr>
                <w:spacing w:val="-3"/>
                <w:sz w:val="24"/>
              </w:rPr>
              <w:t xml:space="preserve"> </w:t>
            </w:r>
            <w:r w:rsidRPr="00150EDC">
              <w:rPr>
                <w:sz w:val="24"/>
              </w:rPr>
              <w:t>Testing)</w:t>
            </w:r>
            <w:r w:rsidRPr="00150EDC">
              <w:rPr>
                <w:spacing w:val="-3"/>
                <w:sz w:val="24"/>
              </w:rPr>
              <w:t xml:space="preserve"> </w:t>
            </w:r>
            <w:r w:rsidRPr="00150EDC">
              <w:rPr>
                <w:sz w:val="24"/>
              </w:rPr>
              <w:t>where</w:t>
            </w:r>
            <w:r w:rsidRPr="00150EDC">
              <w:rPr>
                <w:spacing w:val="-4"/>
                <w:sz w:val="24"/>
              </w:rPr>
              <w:t xml:space="preserve"> </w:t>
            </w:r>
            <w:r w:rsidRPr="00150EDC">
              <w:rPr>
                <w:sz w:val="24"/>
              </w:rPr>
              <w:t>that</w:t>
            </w:r>
            <w:r w:rsidRPr="00150EDC">
              <w:rPr>
                <w:spacing w:val="-4"/>
                <w:sz w:val="24"/>
              </w:rPr>
              <w:t xml:space="preserve"> </w:t>
            </w:r>
            <w:r w:rsidRPr="00150EDC">
              <w:rPr>
                <w:sz w:val="24"/>
              </w:rPr>
              <w:t>Schedule</w:t>
            </w:r>
            <w:r w:rsidRPr="00150EDC">
              <w:rPr>
                <w:spacing w:val="-4"/>
                <w:sz w:val="24"/>
              </w:rPr>
              <w:t xml:space="preserve"> </w:t>
            </w:r>
            <w:r w:rsidRPr="00150EDC">
              <w:rPr>
                <w:sz w:val="24"/>
              </w:rPr>
              <w:t>is</w:t>
            </w:r>
            <w:r w:rsidRPr="00150EDC">
              <w:rPr>
                <w:spacing w:val="-4"/>
                <w:sz w:val="24"/>
              </w:rPr>
              <w:t xml:space="preserve"> </w:t>
            </w:r>
            <w:r w:rsidRPr="00150EDC">
              <w:rPr>
                <w:sz w:val="24"/>
              </w:rPr>
              <w:t>used or otherwise as agreed between the Supplier and the Buyer;</w:t>
            </w:r>
          </w:p>
        </w:tc>
      </w:tr>
      <w:tr w:rsidR="007D3144" w:rsidRPr="007D3144" w14:paraId="5B6C9D64" w14:textId="77777777">
        <w:trPr>
          <w:trHeight w:val="395"/>
        </w:trPr>
        <w:tc>
          <w:tcPr>
            <w:tcW w:w="2264" w:type="dxa"/>
          </w:tcPr>
          <w:p w14:paraId="38D0AC2E" w14:textId="77777777" w:rsidR="004C7180" w:rsidRPr="00150EDC" w:rsidRDefault="00CF0754">
            <w:pPr>
              <w:pStyle w:val="TableParagraph"/>
              <w:spacing w:before="0" w:line="240" w:lineRule="auto"/>
              <w:ind w:left="-1"/>
              <w:rPr>
                <w:b/>
                <w:sz w:val="24"/>
              </w:rPr>
            </w:pPr>
            <w:r w:rsidRPr="00150EDC">
              <w:rPr>
                <w:b/>
                <w:spacing w:val="-2"/>
                <w:sz w:val="24"/>
              </w:rPr>
              <w:t>"Indemnifier"</w:t>
            </w:r>
          </w:p>
        </w:tc>
        <w:tc>
          <w:tcPr>
            <w:tcW w:w="7484" w:type="dxa"/>
          </w:tcPr>
          <w:p w14:paraId="386A2726" w14:textId="77777777" w:rsidR="004C7180" w:rsidRPr="00150EDC" w:rsidRDefault="00CF0754">
            <w:pPr>
              <w:pStyle w:val="TableParagraph"/>
              <w:spacing w:before="0" w:line="240" w:lineRule="auto"/>
              <w:ind w:left="277"/>
              <w:rPr>
                <w:sz w:val="24"/>
              </w:rPr>
            </w:pPr>
            <w:r w:rsidRPr="00150EDC">
              <w:rPr>
                <w:sz w:val="24"/>
              </w:rPr>
              <w:t>a</w:t>
            </w:r>
            <w:r w:rsidRPr="00150EDC">
              <w:rPr>
                <w:spacing w:val="-3"/>
                <w:sz w:val="24"/>
              </w:rPr>
              <w:t xml:space="preserve"> </w:t>
            </w:r>
            <w:r w:rsidRPr="00150EDC">
              <w:rPr>
                <w:sz w:val="24"/>
              </w:rPr>
              <w:t>Party</w:t>
            </w:r>
            <w:r w:rsidRPr="00150EDC">
              <w:rPr>
                <w:spacing w:val="-4"/>
                <w:sz w:val="24"/>
              </w:rPr>
              <w:t xml:space="preserve"> </w:t>
            </w:r>
            <w:r w:rsidRPr="00150EDC">
              <w:rPr>
                <w:sz w:val="24"/>
              </w:rPr>
              <w:t>from</w:t>
            </w:r>
            <w:r w:rsidRPr="00150EDC">
              <w:rPr>
                <w:spacing w:val="-2"/>
                <w:sz w:val="24"/>
              </w:rPr>
              <w:t xml:space="preserve"> </w:t>
            </w:r>
            <w:r w:rsidRPr="00150EDC">
              <w:rPr>
                <w:sz w:val="24"/>
              </w:rPr>
              <w:t>whom an</w:t>
            </w:r>
            <w:r w:rsidRPr="00150EDC">
              <w:rPr>
                <w:spacing w:val="-3"/>
                <w:sz w:val="24"/>
              </w:rPr>
              <w:t xml:space="preserve"> </w:t>
            </w:r>
            <w:r w:rsidRPr="00150EDC">
              <w:rPr>
                <w:sz w:val="24"/>
              </w:rPr>
              <w:t>indemnity</w:t>
            </w:r>
            <w:r w:rsidRPr="00150EDC">
              <w:rPr>
                <w:spacing w:val="-1"/>
                <w:sz w:val="24"/>
              </w:rPr>
              <w:t xml:space="preserve"> </w:t>
            </w:r>
            <w:r w:rsidRPr="00150EDC">
              <w:rPr>
                <w:sz w:val="24"/>
              </w:rPr>
              <w:t>is</w:t>
            </w:r>
            <w:r w:rsidRPr="00150EDC">
              <w:rPr>
                <w:spacing w:val="-1"/>
                <w:sz w:val="24"/>
              </w:rPr>
              <w:t xml:space="preserve"> </w:t>
            </w:r>
            <w:r w:rsidRPr="00150EDC">
              <w:rPr>
                <w:sz w:val="24"/>
              </w:rPr>
              <w:t>sought</w:t>
            </w:r>
            <w:r w:rsidRPr="00150EDC">
              <w:rPr>
                <w:spacing w:val="-3"/>
                <w:sz w:val="24"/>
              </w:rPr>
              <w:t xml:space="preserve"> </w:t>
            </w:r>
            <w:r w:rsidRPr="00150EDC">
              <w:rPr>
                <w:sz w:val="24"/>
              </w:rPr>
              <w:t>under</w:t>
            </w:r>
            <w:r w:rsidRPr="00150EDC">
              <w:rPr>
                <w:spacing w:val="-1"/>
                <w:sz w:val="24"/>
              </w:rPr>
              <w:t xml:space="preserve"> </w:t>
            </w:r>
            <w:r w:rsidRPr="00150EDC">
              <w:rPr>
                <w:sz w:val="24"/>
              </w:rPr>
              <w:t xml:space="preserve">this </w:t>
            </w:r>
            <w:r w:rsidRPr="00150EDC">
              <w:rPr>
                <w:spacing w:val="-2"/>
                <w:sz w:val="24"/>
              </w:rPr>
              <w:t>Contract;</w:t>
            </w:r>
          </w:p>
        </w:tc>
      </w:tr>
      <w:tr w:rsidR="007D3144" w:rsidRPr="007D3144" w14:paraId="7C87207D" w14:textId="77777777">
        <w:trPr>
          <w:trHeight w:val="1499"/>
        </w:trPr>
        <w:tc>
          <w:tcPr>
            <w:tcW w:w="2264" w:type="dxa"/>
          </w:tcPr>
          <w:p w14:paraId="70DEF532" w14:textId="77777777" w:rsidR="004C7180" w:rsidRPr="00150EDC" w:rsidRDefault="00CF0754">
            <w:pPr>
              <w:pStyle w:val="TableParagraph"/>
              <w:spacing w:before="0" w:line="240" w:lineRule="auto"/>
              <w:ind w:left="-1"/>
              <w:rPr>
                <w:b/>
                <w:sz w:val="24"/>
              </w:rPr>
            </w:pPr>
            <w:r w:rsidRPr="00150EDC">
              <w:rPr>
                <w:b/>
                <w:spacing w:val="-2"/>
                <w:sz w:val="24"/>
              </w:rPr>
              <w:t>“Independent Control”</w:t>
            </w:r>
          </w:p>
        </w:tc>
        <w:tc>
          <w:tcPr>
            <w:tcW w:w="7484" w:type="dxa"/>
          </w:tcPr>
          <w:p w14:paraId="34716046" w14:textId="77777777" w:rsidR="004C7180" w:rsidRPr="00150EDC" w:rsidRDefault="00CF0754">
            <w:pPr>
              <w:pStyle w:val="TableParagraph"/>
              <w:spacing w:before="0" w:line="240" w:lineRule="auto"/>
              <w:ind w:left="277" w:right="96"/>
              <w:jc w:val="both"/>
              <w:rPr>
                <w:sz w:val="24"/>
              </w:rPr>
            </w:pPr>
            <w:r w:rsidRPr="00150EDC">
              <w:rPr>
                <w:sz w:val="24"/>
              </w:rPr>
              <w:t>where a Controller has provided Personal Data to another Party which</w:t>
            </w:r>
            <w:r w:rsidRPr="00150EDC">
              <w:rPr>
                <w:spacing w:val="-4"/>
                <w:sz w:val="24"/>
              </w:rPr>
              <w:t xml:space="preserve"> </w:t>
            </w:r>
            <w:r w:rsidRPr="00150EDC">
              <w:rPr>
                <w:sz w:val="24"/>
              </w:rPr>
              <w:t>is</w:t>
            </w:r>
            <w:r w:rsidRPr="00150EDC">
              <w:rPr>
                <w:spacing w:val="-5"/>
                <w:sz w:val="24"/>
              </w:rPr>
              <w:t xml:space="preserve"> </w:t>
            </w:r>
            <w:r w:rsidRPr="00150EDC">
              <w:rPr>
                <w:sz w:val="24"/>
              </w:rPr>
              <w:t>not</w:t>
            </w:r>
            <w:r w:rsidRPr="00150EDC">
              <w:rPr>
                <w:spacing w:val="-5"/>
                <w:sz w:val="24"/>
              </w:rPr>
              <w:t xml:space="preserve"> </w:t>
            </w:r>
            <w:r w:rsidRPr="00150EDC">
              <w:rPr>
                <w:sz w:val="24"/>
              </w:rPr>
              <w:t>a</w:t>
            </w:r>
            <w:r w:rsidRPr="00150EDC">
              <w:rPr>
                <w:spacing w:val="-4"/>
                <w:sz w:val="24"/>
              </w:rPr>
              <w:t xml:space="preserve"> </w:t>
            </w:r>
            <w:r w:rsidRPr="00150EDC">
              <w:rPr>
                <w:sz w:val="24"/>
              </w:rPr>
              <w:t>Processor</w:t>
            </w:r>
            <w:r w:rsidRPr="00150EDC">
              <w:rPr>
                <w:spacing w:val="-4"/>
                <w:sz w:val="24"/>
              </w:rPr>
              <w:t xml:space="preserve"> </w:t>
            </w:r>
            <w:r w:rsidRPr="00150EDC">
              <w:rPr>
                <w:sz w:val="24"/>
              </w:rPr>
              <w:t>or</w:t>
            </w:r>
            <w:r w:rsidRPr="00150EDC">
              <w:rPr>
                <w:spacing w:val="-7"/>
                <w:sz w:val="24"/>
              </w:rPr>
              <w:t xml:space="preserve"> </w:t>
            </w:r>
            <w:r w:rsidRPr="00150EDC">
              <w:rPr>
                <w:sz w:val="24"/>
              </w:rPr>
              <w:t>a</w:t>
            </w:r>
            <w:r w:rsidRPr="00150EDC">
              <w:rPr>
                <w:spacing w:val="-4"/>
                <w:sz w:val="24"/>
              </w:rPr>
              <w:t xml:space="preserve"> </w:t>
            </w:r>
            <w:r w:rsidRPr="00150EDC">
              <w:rPr>
                <w:sz w:val="24"/>
              </w:rPr>
              <w:t>Joint</w:t>
            </w:r>
            <w:r w:rsidRPr="00150EDC">
              <w:rPr>
                <w:spacing w:val="-5"/>
                <w:sz w:val="24"/>
              </w:rPr>
              <w:t xml:space="preserve"> </w:t>
            </w:r>
            <w:r w:rsidRPr="00150EDC">
              <w:rPr>
                <w:sz w:val="24"/>
              </w:rPr>
              <w:t>Controller</w:t>
            </w:r>
            <w:r w:rsidRPr="00150EDC">
              <w:rPr>
                <w:spacing w:val="-6"/>
                <w:sz w:val="24"/>
              </w:rPr>
              <w:t xml:space="preserve"> </w:t>
            </w:r>
            <w:r w:rsidRPr="00150EDC">
              <w:rPr>
                <w:sz w:val="24"/>
              </w:rPr>
              <w:t>because</w:t>
            </w:r>
            <w:r w:rsidRPr="00150EDC">
              <w:rPr>
                <w:spacing w:val="-5"/>
                <w:sz w:val="24"/>
              </w:rPr>
              <w:t xml:space="preserve"> </w:t>
            </w:r>
            <w:r w:rsidRPr="00150EDC">
              <w:rPr>
                <w:sz w:val="24"/>
              </w:rPr>
              <w:t>the</w:t>
            </w:r>
            <w:r w:rsidRPr="00150EDC">
              <w:rPr>
                <w:spacing w:val="-4"/>
                <w:sz w:val="24"/>
              </w:rPr>
              <w:t xml:space="preserve"> </w:t>
            </w:r>
            <w:r w:rsidRPr="00150EDC">
              <w:rPr>
                <w:sz w:val="24"/>
              </w:rPr>
              <w:t>recipient itself determines the purposes and means of Processing but does so</w:t>
            </w:r>
            <w:r w:rsidRPr="00150EDC">
              <w:rPr>
                <w:spacing w:val="-17"/>
                <w:sz w:val="24"/>
              </w:rPr>
              <w:t xml:space="preserve"> </w:t>
            </w:r>
            <w:r w:rsidRPr="00150EDC">
              <w:rPr>
                <w:sz w:val="24"/>
              </w:rPr>
              <w:t>separately</w:t>
            </w:r>
            <w:r w:rsidRPr="00150EDC">
              <w:rPr>
                <w:spacing w:val="-17"/>
                <w:sz w:val="24"/>
              </w:rPr>
              <w:t xml:space="preserve"> </w:t>
            </w:r>
            <w:r w:rsidRPr="00150EDC">
              <w:rPr>
                <w:sz w:val="24"/>
              </w:rPr>
              <w:t>from</w:t>
            </w:r>
            <w:r w:rsidRPr="00150EDC">
              <w:rPr>
                <w:spacing w:val="-16"/>
                <w:sz w:val="24"/>
              </w:rPr>
              <w:t xml:space="preserve"> </w:t>
            </w:r>
            <w:r w:rsidRPr="00150EDC">
              <w:rPr>
                <w:sz w:val="24"/>
              </w:rPr>
              <w:t>the</w:t>
            </w:r>
            <w:r w:rsidRPr="00150EDC">
              <w:rPr>
                <w:spacing w:val="-17"/>
                <w:sz w:val="24"/>
              </w:rPr>
              <w:t xml:space="preserve"> </w:t>
            </w:r>
            <w:r w:rsidRPr="00150EDC">
              <w:rPr>
                <w:sz w:val="24"/>
              </w:rPr>
              <w:t>Controller</w:t>
            </w:r>
            <w:r w:rsidRPr="00150EDC">
              <w:rPr>
                <w:spacing w:val="-17"/>
                <w:sz w:val="24"/>
              </w:rPr>
              <w:t xml:space="preserve"> </w:t>
            </w:r>
            <w:r w:rsidRPr="00150EDC">
              <w:rPr>
                <w:sz w:val="24"/>
              </w:rPr>
              <w:t>providing</w:t>
            </w:r>
            <w:r w:rsidRPr="00150EDC">
              <w:rPr>
                <w:spacing w:val="-17"/>
                <w:sz w:val="24"/>
              </w:rPr>
              <w:t xml:space="preserve"> </w:t>
            </w:r>
            <w:r w:rsidRPr="00150EDC">
              <w:rPr>
                <w:sz w:val="24"/>
              </w:rPr>
              <w:t>it</w:t>
            </w:r>
            <w:r w:rsidRPr="00150EDC">
              <w:rPr>
                <w:spacing w:val="-16"/>
                <w:sz w:val="24"/>
              </w:rPr>
              <w:t xml:space="preserve"> </w:t>
            </w:r>
            <w:r w:rsidRPr="00150EDC">
              <w:rPr>
                <w:sz w:val="24"/>
              </w:rPr>
              <w:t>with</w:t>
            </w:r>
            <w:r w:rsidRPr="00150EDC">
              <w:rPr>
                <w:spacing w:val="-17"/>
                <w:sz w:val="24"/>
              </w:rPr>
              <w:t xml:space="preserve"> </w:t>
            </w:r>
            <w:r w:rsidRPr="00150EDC">
              <w:rPr>
                <w:sz w:val="24"/>
              </w:rPr>
              <w:t>Personal</w:t>
            </w:r>
            <w:r w:rsidRPr="00150EDC">
              <w:rPr>
                <w:spacing w:val="-17"/>
                <w:sz w:val="24"/>
              </w:rPr>
              <w:t xml:space="preserve"> </w:t>
            </w:r>
            <w:r w:rsidRPr="00150EDC">
              <w:rPr>
                <w:sz w:val="24"/>
              </w:rPr>
              <w:t>Data</w:t>
            </w:r>
            <w:r w:rsidRPr="00150EDC">
              <w:rPr>
                <w:spacing w:val="-16"/>
                <w:sz w:val="24"/>
              </w:rPr>
              <w:t xml:space="preserve"> </w:t>
            </w:r>
            <w:r w:rsidRPr="00150EDC">
              <w:rPr>
                <w:sz w:val="24"/>
              </w:rPr>
              <w:t>and “</w:t>
            </w:r>
            <w:r w:rsidRPr="00150EDC">
              <w:rPr>
                <w:b/>
                <w:sz w:val="24"/>
              </w:rPr>
              <w:t>Independent Controller</w:t>
            </w:r>
            <w:r w:rsidRPr="00150EDC">
              <w:rPr>
                <w:sz w:val="24"/>
              </w:rPr>
              <w:t>” shall be construed accordingly;</w:t>
            </w:r>
          </w:p>
        </w:tc>
      </w:tr>
      <w:tr w:rsidR="007D3144" w:rsidRPr="007D3144" w14:paraId="4744BA0C" w14:textId="77777777">
        <w:trPr>
          <w:trHeight w:val="674"/>
        </w:trPr>
        <w:tc>
          <w:tcPr>
            <w:tcW w:w="2264" w:type="dxa"/>
          </w:tcPr>
          <w:p w14:paraId="66F64B0D" w14:textId="77777777" w:rsidR="004C7180" w:rsidRPr="00150EDC" w:rsidRDefault="00CF0754">
            <w:pPr>
              <w:pStyle w:val="TableParagraph"/>
              <w:spacing w:before="2" w:line="240" w:lineRule="auto"/>
              <w:ind w:left="-1"/>
              <w:rPr>
                <w:b/>
                <w:sz w:val="24"/>
              </w:rPr>
            </w:pPr>
            <w:r w:rsidRPr="00150EDC">
              <w:rPr>
                <w:b/>
                <w:spacing w:val="-2"/>
                <w:sz w:val="24"/>
              </w:rPr>
              <w:t>"Indexation"</w:t>
            </w:r>
          </w:p>
        </w:tc>
        <w:tc>
          <w:tcPr>
            <w:tcW w:w="7484" w:type="dxa"/>
          </w:tcPr>
          <w:p w14:paraId="11AA2471" w14:textId="77777777" w:rsidR="004C7180" w:rsidRPr="00150EDC" w:rsidRDefault="00CF0754">
            <w:pPr>
              <w:pStyle w:val="TableParagraph"/>
              <w:spacing w:before="2" w:line="240" w:lineRule="auto"/>
              <w:ind w:left="277"/>
              <w:rPr>
                <w:sz w:val="24"/>
              </w:rPr>
            </w:pPr>
            <w:r w:rsidRPr="00150EDC">
              <w:rPr>
                <w:sz w:val="24"/>
              </w:rPr>
              <w:t>the</w:t>
            </w:r>
            <w:r w:rsidRPr="00150EDC">
              <w:rPr>
                <w:spacing w:val="40"/>
                <w:sz w:val="24"/>
              </w:rPr>
              <w:t xml:space="preserve"> </w:t>
            </w:r>
            <w:r w:rsidRPr="00150EDC">
              <w:rPr>
                <w:sz w:val="24"/>
              </w:rPr>
              <w:t>adjustment</w:t>
            </w:r>
            <w:r w:rsidRPr="00150EDC">
              <w:rPr>
                <w:spacing w:val="40"/>
                <w:sz w:val="24"/>
              </w:rPr>
              <w:t xml:space="preserve"> </w:t>
            </w:r>
            <w:r w:rsidRPr="00150EDC">
              <w:rPr>
                <w:sz w:val="24"/>
              </w:rPr>
              <w:t>of</w:t>
            </w:r>
            <w:r w:rsidRPr="00150EDC">
              <w:rPr>
                <w:spacing w:val="40"/>
                <w:sz w:val="24"/>
              </w:rPr>
              <w:t xml:space="preserve"> </w:t>
            </w:r>
            <w:r w:rsidRPr="00150EDC">
              <w:rPr>
                <w:sz w:val="24"/>
              </w:rPr>
              <w:t>an</w:t>
            </w:r>
            <w:r w:rsidRPr="00150EDC">
              <w:rPr>
                <w:spacing w:val="40"/>
                <w:sz w:val="24"/>
              </w:rPr>
              <w:t xml:space="preserve"> </w:t>
            </w:r>
            <w:r w:rsidRPr="00150EDC">
              <w:rPr>
                <w:sz w:val="24"/>
              </w:rPr>
              <w:t>amount</w:t>
            </w:r>
            <w:r w:rsidRPr="00150EDC">
              <w:rPr>
                <w:spacing w:val="40"/>
                <w:sz w:val="24"/>
              </w:rPr>
              <w:t xml:space="preserve"> </w:t>
            </w:r>
            <w:r w:rsidRPr="00150EDC">
              <w:rPr>
                <w:sz w:val="24"/>
              </w:rPr>
              <w:t>or</w:t>
            </w:r>
            <w:r w:rsidRPr="00150EDC">
              <w:rPr>
                <w:spacing w:val="40"/>
                <w:sz w:val="24"/>
              </w:rPr>
              <w:t xml:space="preserve"> </w:t>
            </w:r>
            <w:r w:rsidRPr="00150EDC">
              <w:rPr>
                <w:sz w:val="24"/>
              </w:rPr>
              <w:t>sum</w:t>
            </w:r>
            <w:r w:rsidRPr="00150EDC">
              <w:rPr>
                <w:spacing w:val="40"/>
                <w:sz w:val="24"/>
              </w:rPr>
              <w:t xml:space="preserve"> </w:t>
            </w:r>
            <w:r w:rsidRPr="00150EDC">
              <w:rPr>
                <w:sz w:val="24"/>
              </w:rPr>
              <w:t>in</w:t>
            </w:r>
            <w:r w:rsidRPr="00150EDC">
              <w:rPr>
                <w:spacing w:val="40"/>
                <w:sz w:val="24"/>
              </w:rPr>
              <w:t xml:space="preserve"> </w:t>
            </w:r>
            <w:r w:rsidRPr="00150EDC">
              <w:rPr>
                <w:sz w:val="24"/>
              </w:rPr>
              <w:t>accordance</w:t>
            </w:r>
            <w:r w:rsidRPr="00150EDC">
              <w:rPr>
                <w:spacing w:val="40"/>
                <w:sz w:val="24"/>
              </w:rPr>
              <w:t xml:space="preserve"> </w:t>
            </w:r>
            <w:r w:rsidRPr="00150EDC">
              <w:rPr>
                <w:sz w:val="24"/>
              </w:rPr>
              <w:t>with</w:t>
            </w:r>
            <w:r w:rsidRPr="00150EDC">
              <w:rPr>
                <w:spacing w:val="40"/>
                <w:sz w:val="24"/>
              </w:rPr>
              <w:t xml:space="preserve"> </w:t>
            </w:r>
            <w:r w:rsidRPr="00150EDC">
              <w:rPr>
                <w:sz w:val="24"/>
              </w:rPr>
              <w:t>DPS Schedule 3 (DPS Pricing) and the relevant Order Form;</w:t>
            </w:r>
          </w:p>
        </w:tc>
      </w:tr>
      <w:tr w:rsidR="007D3144" w:rsidRPr="007D3144" w14:paraId="4965FDC4" w14:textId="77777777">
        <w:trPr>
          <w:trHeight w:val="671"/>
        </w:trPr>
        <w:tc>
          <w:tcPr>
            <w:tcW w:w="2264" w:type="dxa"/>
          </w:tcPr>
          <w:p w14:paraId="32A244A3" w14:textId="77777777" w:rsidR="004C7180" w:rsidRPr="00150EDC" w:rsidRDefault="00CF0754">
            <w:pPr>
              <w:pStyle w:val="TableParagraph"/>
              <w:spacing w:before="0" w:line="240" w:lineRule="auto"/>
              <w:ind w:left="-1"/>
              <w:rPr>
                <w:b/>
                <w:sz w:val="24"/>
              </w:rPr>
            </w:pPr>
            <w:r w:rsidRPr="00150EDC">
              <w:rPr>
                <w:b/>
                <w:spacing w:val="-2"/>
                <w:sz w:val="24"/>
              </w:rPr>
              <w:t>"Information"</w:t>
            </w:r>
          </w:p>
        </w:tc>
        <w:tc>
          <w:tcPr>
            <w:tcW w:w="7484" w:type="dxa"/>
          </w:tcPr>
          <w:p w14:paraId="162FF8BC" w14:textId="77777777" w:rsidR="004C7180" w:rsidRPr="00150EDC" w:rsidRDefault="00CF0754">
            <w:pPr>
              <w:pStyle w:val="TableParagraph"/>
              <w:spacing w:before="0" w:line="240" w:lineRule="auto"/>
              <w:ind w:left="277"/>
              <w:rPr>
                <w:sz w:val="24"/>
              </w:rPr>
            </w:pPr>
            <w:r w:rsidRPr="00150EDC">
              <w:rPr>
                <w:sz w:val="24"/>
              </w:rPr>
              <w:t>has</w:t>
            </w:r>
            <w:r w:rsidRPr="00150EDC">
              <w:rPr>
                <w:spacing w:val="80"/>
                <w:sz w:val="24"/>
              </w:rPr>
              <w:t xml:space="preserve"> </w:t>
            </w:r>
            <w:r w:rsidRPr="00150EDC">
              <w:rPr>
                <w:sz w:val="24"/>
              </w:rPr>
              <w:t>the</w:t>
            </w:r>
            <w:r w:rsidRPr="00150EDC">
              <w:rPr>
                <w:spacing w:val="80"/>
                <w:sz w:val="24"/>
              </w:rPr>
              <w:t xml:space="preserve"> </w:t>
            </w:r>
            <w:r w:rsidRPr="00150EDC">
              <w:rPr>
                <w:sz w:val="24"/>
              </w:rPr>
              <w:t>meaning</w:t>
            </w:r>
            <w:r w:rsidRPr="00150EDC">
              <w:rPr>
                <w:spacing w:val="80"/>
                <w:sz w:val="24"/>
              </w:rPr>
              <w:t xml:space="preserve"> </w:t>
            </w:r>
            <w:r w:rsidRPr="00150EDC">
              <w:rPr>
                <w:sz w:val="24"/>
              </w:rPr>
              <w:t>given</w:t>
            </w:r>
            <w:r w:rsidRPr="00150EDC">
              <w:rPr>
                <w:spacing w:val="80"/>
                <w:sz w:val="24"/>
              </w:rPr>
              <w:t xml:space="preserve"> </w:t>
            </w:r>
            <w:r w:rsidRPr="00150EDC">
              <w:rPr>
                <w:sz w:val="24"/>
              </w:rPr>
              <w:t>under</w:t>
            </w:r>
            <w:r w:rsidRPr="00150EDC">
              <w:rPr>
                <w:spacing w:val="80"/>
                <w:sz w:val="24"/>
              </w:rPr>
              <w:t xml:space="preserve"> </w:t>
            </w:r>
            <w:r w:rsidRPr="00150EDC">
              <w:rPr>
                <w:sz w:val="24"/>
              </w:rPr>
              <w:t>section</w:t>
            </w:r>
            <w:r w:rsidRPr="00150EDC">
              <w:rPr>
                <w:spacing w:val="80"/>
                <w:sz w:val="24"/>
              </w:rPr>
              <w:t xml:space="preserve"> </w:t>
            </w:r>
            <w:r w:rsidRPr="00150EDC">
              <w:rPr>
                <w:sz w:val="24"/>
              </w:rPr>
              <w:t>84</w:t>
            </w:r>
            <w:r w:rsidRPr="00150EDC">
              <w:rPr>
                <w:spacing w:val="80"/>
                <w:sz w:val="24"/>
              </w:rPr>
              <w:t xml:space="preserve"> </w:t>
            </w:r>
            <w:r w:rsidRPr="00150EDC">
              <w:rPr>
                <w:sz w:val="24"/>
              </w:rPr>
              <w:t>of</w:t>
            </w:r>
            <w:r w:rsidRPr="00150EDC">
              <w:rPr>
                <w:spacing w:val="80"/>
                <w:sz w:val="24"/>
              </w:rPr>
              <w:t xml:space="preserve"> </w:t>
            </w:r>
            <w:r w:rsidRPr="00150EDC">
              <w:rPr>
                <w:sz w:val="24"/>
              </w:rPr>
              <w:t>the</w:t>
            </w:r>
            <w:r w:rsidRPr="00150EDC">
              <w:rPr>
                <w:spacing w:val="80"/>
                <w:sz w:val="24"/>
              </w:rPr>
              <w:t xml:space="preserve"> </w:t>
            </w:r>
            <w:r w:rsidRPr="00150EDC">
              <w:rPr>
                <w:sz w:val="24"/>
              </w:rPr>
              <w:t>Freedom</w:t>
            </w:r>
            <w:r w:rsidRPr="00150EDC">
              <w:rPr>
                <w:spacing w:val="80"/>
                <w:sz w:val="24"/>
              </w:rPr>
              <w:t xml:space="preserve"> </w:t>
            </w:r>
            <w:r w:rsidRPr="00150EDC">
              <w:rPr>
                <w:sz w:val="24"/>
              </w:rPr>
              <w:t>of Information Act 2000;</w:t>
            </w:r>
          </w:p>
        </w:tc>
      </w:tr>
      <w:tr w:rsidR="007D3144" w:rsidRPr="007D3144" w14:paraId="76C8D2B0" w14:textId="77777777">
        <w:trPr>
          <w:trHeight w:val="947"/>
        </w:trPr>
        <w:tc>
          <w:tcPr>
            <w:tcW w:w="2264" w:type="dxa"/>
          </w:tcPr>
          <w:p w14:paraId="68C52E41" w14:textId="77777777" w:rsidR="004C7180" w:rsidRPr="00150EDC" w:rsidRDefault="00CF0754">
            <w:pPr>
              <w:pStyle w:val="TableParagraph"/>
              <w:spacing w:before="0" w:line="240" w:lineRule="auto"/>
              <w:ind w:left="-1"/>
              <w:rPr>
                <w:b/>
                <w:sz w:val="24"/>
              </w:rPr>
            </w:pPr>
            <w:r w:rsidRPr="00150EDC">
              <w:rPr>
                <w:b/>
                <w:spacing w:val="-2"/>
                <w:sz w:val="24"/>
              </w:rPr>
              <w:t>"Information Commissioner"</w:t>
            </w:r>
          </w:p>
        </w:tc>
        <w:tc>
          <w:tcPr>
            <w:tcW w:w="7484" w:type="dxa"/>
          </w:tcPr>
          <w:p w14:paraId="6F8C5C96" w14:textId="77777777" w:rsidR="004C7180" w:rsidRPr="00150EDC" w:rsidRDefault="00CF0754">
            <w:pPr>
              <w:pStyle w:val="TableParagraph"/>
              <w:spacing w:before="0" w:line="240" w:lineRule="auto"/>
              <w:ind w:left="277" w:right="102"/>
              <w:jc w:val="both"/>
              <w:rPr>
                <w:sz w:val="24"/>
              </w:rPr>
            </w:pPr>
            <w:r w:rsidRPr="00150EDC">
              <w:rPr>
                <w:sz w:val="24"/>
              </w:rPr>
              <w:t>the UK’s independent authority which deals with ensuring information relating to rights in the public interest and data privacy for individuals is met, whilst promoting openness by public bodies;</w:t>
            </w:r>
          </w:p>
        </w:tc>
      </w:tr>
      <w:tr w:rsidR="007D3144" w:rsidRPr="007D3144" w14:paraId="287606CF" w14:textId="77777777">
        <w:trPr>
          <w:trHeight w:val="671"/>
        </w:trPr>
        <w:tc>
          <w:tcPr>
            <w:tcW w:w="2264" w:type="dxa"/>
          </w:tcPr>
          <w:p w14:paraId="11478EDE" w14:textId="77777777" w:rsidR="004C7180" w:rsidRPr="00150EDC" w:rsidRDefault="00CF0754">
            <w:pPr>
              <w:pStyle w:val="TableParagraph"/>
              <w:spacing w:before="0" w:line="240" w:lineRule="auto"/>
              <w:ind w:left="-1"/>
              <w:rPr>
                <w:b/>
                <w:sz w:val="24"/>
              </w:rPr>
            </w:pPr>
            <w:r w:rsidRPr="00150EDC">
              <w:rPr>
                <w:b/>
                <w:sz w:val="24"/>
              </w:rPr>
              <w:t>"Initial</w:t>
            </w:r>
            <w:r w:rsidRPr="00150EDC">
              <w:rPr>
                <w:b/>
                <w:spacing w:val="-7"/>
                <w:sz w:val="24"/>
              </w:rPr>
              <w:t xml:space="preserve"> </w:t>
            </w:r>
            <w:r w:rsidRPr="00150EDC">
              <w:rPr>
                <w:b/>
                <w:spacing w:val="-2"/>
                <w:sz w:val="24"/>
              </w:rPr>
              <w:t>Period"</w:t>
            </w:r>
          </w:p>
        </w:tc>
        <w:tc>
          <w:tcPr>
            <w:tcW w:w="7484" w:type="dxa"/>
          </w:tcPr>
          <w:p w14:paraId="0140A7E7" w14:textId="77777777" w:rsidR="004C7180" w:rsidRPr="00150EDC" w:rsidRDefault="00CF0754">
            <w:pPr>
              <w:pStyle w:val="TableParagraph"/>
              <w:spacing w:before="0" w:line="240" w:lineRule="auto"/>
              <w:ind w:left="277"/>
              <w:rPr>
                <w:sz w:val="24"/>
              </w:rPr>
            </w:pPr>
            <w:r w:rsidRPr="00150EDC">
              <w:rPr>
                <w:sz w:val="24"/>
              </w:rPr>
              <w:t>the initial term of a Contract specified on the Platform or the Order Form, as the context requires;</w:t>
            </w:r>
          </w:p>
        </w:tc>
      </w:tr>
      <w:tr w:rsidR="007D3144" w:rsidRPr="007D3144" w14:paraId="1B84A389" w14:textId="77777777">
        <w:trPr>
          <w:trHeight w:val="3792"/>
        </w:trPr>
        <w:tc>
          <w:tcPr>
            <w:tcW w:w="2264" w:type="dxa"/>
          </w:tcPr>
          <w:p w14:paraId="52F00E63" w14:textId="77777777" w:rsidR="004C7180" w:rsidRPr="00150EDC" w:rsidRDefault="00CF0754">
            <w:pPr>
              <w:pStyle w:val="TableParagraph"/>
              <w:spacing w:before="0" w:line="240" w:lineRule="auto"/>
              <w:ind w:left="-1" w:right="298"/>
              <w:rPr>
                <w:b/>
                <w:sz w:val="24"/>
              </w:rPr>
            </w:pPr>
            <w:r w:rsidRPr="00150EDC">
              <w:rPr>
                <w:b/>
                <w:spacing w:val="-2"/>
                <w:sz w:val="24"/>
              </w:rPr>
              <w:t>"Insolvency Event"</w:t>
            </w:r>
          </w:p>
        </w:tc>
        <w:tc>
          <w:tcPr>
            <w:tcW w:w="7484" w:type="dxa"/>
          </w:tcPr>
          <w:p w14:paraId="5E64D37A" w14:textId="77777777" w:rsidR="004C7180" w:rsidRPr="00150EDC" w:rsidRDefault="00CF0754">
            <w:pPr>
              <w:pStyle w:val="TableParagraph"/>
              <w:spacing w:before="0" w:line="240" w:lineRule="auto"/>
              <w:ind w:left="277"/>
              <w:jc w:val="both"/>
              <w:rPr>
                <w:sz w:val="24"/>
              </w:rPr>
            </w:pPr>
            <w:r w:rsidRPr="00150EDC">
              <w:rPr>
                <w:sz w:val="24"/>
              </w:rPr>
              <w:t>with</w:t>
            </w:r>
            <w:r w:rsidRPr="00150EDC">
              <w:rPr>
                <w:spacing w:val="-2"/>
                <w:sz w:val="24"/>
              </w:rPr>
              <w:t xml:space="preserve"> </w:t>
            </w:r>
            <w:r w:rsidRPr="00150EDC">
              <w:rPr>
                <w:sz w:val="24"/>
              </w:rPr>
              <w:t>respect</w:t>
            </w:r>
            <w:r w:rsidRPr="00150EDC">
              <w:rPr>
                <w:spacing w:val="-4"/>
                <w:sz w:val="24"/>
              </w:rPr>
              <w:t xml:space="preserve"> </w:t>
            </w:r>
            <w:r w:rsidRPr="00150EDC">
              <w:rPr>
                <w:sz w:val="24"/>
              </w:rPr>
              <w:t>to</w:t>
            </w:r>
            <w:r w:rsidRPr="00150EDC">
              <w:rPr>
                <w:spacing w:val="-4"/>
                <w:sz w:val="24"/>
              </w:rPr>
              <w:t xml:space="preserve"> </w:t>
            </w:r>
            <w:r w:rsidRPr="00150EDC">
              <w:rPr>
                <w:sz w:val="24"/>
              </w:rPr>
              <w:t>any</w:t>
            </w:r>
            <w:r w:rsidRPr="00150EDC">
              <w:rPr>
                <w:spacing w:val="-4"/>
                <w:sz w:val="24"/>
              </w:rPr>
              <w:t xml:space="preserve"> </w:t>
            </w:r>
            <w:r w:rsidRPr="00150EDC">
              <w:rPr>
                <w:sz w:val="24"/>
              </w:rPr>
              <w:t>person,</w:t>
            </w:r>
            <w:r w:rsidRPr="00150EDC">
              <w:rPr>
                <w:spacing w:val="-3"/>
                <w:sz w:val="24"/>
              </w:rPr>
              <w:t xml:space="preserve"> </w:t>
            </w:r>
            <w:r w:rsidRPr="00150EDC">
              <w:rPr>
                <w:spacing w:val="-2"/>
                <w:sz w:val="24"/>
              </w:rPr>
              <w:t>means:</w:t>
            </w:r>
          </w:p>
          <w:p w14:paraId="5D11D9DE" w14:textId="77777777" w:rsidR="004C7180" w:rsidRPr="00150EDC" w:rsidRDefault="00CF0754" w:rsidP="00B320C7">
            <w:pPr>
              <w:pStyle w:val="TableParagraph"/>
              <w:numPr>
                <w:ilvl w:val="0"/>
                <w:numId w:val="119"/>
              </w:numPr>
              <w:tabs>
                <w:tab w:val="left" w:pos="653"/>
              </w:tabs>
              <w:spacing w:before="120" w:line="240" w:lineRule="auto"/>
              <w:ind w:right="100" w:firstLine="0"/>
              <w:jc w:val="both"/>
              <w:rPr>
                <w:sz w:val="24"/>
              </w:rPr>
            </w:pPr>
            <w:r w:rsidRPr="00150EDC">
              <w:rPr>
                <w:sz w:val="24"/>
              </w:rPr>
              <w:t>that person suspends, or threatens to suspend, payment of its debts,</w:t>
            </w:r>
            <w:r w:rsidRPr="00150EDC">
              <w:rPr>
                <w:spacing w:val="-14"/>
                <w:sz w:val="24"/>
              </w:rPr>
              <w:t xml:space="preserve"> </w:t>
            </w:r>
            <w:r w:rsidRPr="00150EDC">
              <w:rPr>
                <w:sz w:val="24"/>
              </w:rPr>
              <w:t>or</w:t>
            </w:r>
            <w:r w:rsidRPr="00150EDC">
              <w:rPr>
                <w:spacing w:val="-12"/>
                <w:sz w:val="24"/>
              </w:rPr>
              <w:t xml:space="preserve"> </w:t>
            </w:r>
            <w:r w:rsidRPr="00150EDC">
              <w:rPr>
                <w:sz w:val="24"/>
              </w:rPr>
              <w:t>is</w:t>
            </w:r>
            <w:r w:rsidRPr="00150EDC">
              <w:rPr>
                <w:spacing w:val="-12"/>
                <w:sz w:val="24"/>
              </w:rPr>
              <w:t xml:space="preserve"> </w:t>
            </w:r>
            <w:r w:rsidRPr="00150EDC">
              <w:rPr>
                <w:sz w:val="24"/>
              </w:rPr>
              <w:t>unable</w:t>
            </w:r>
            <w:r w:rsidRPr="00150EDC">
              <w:rPr>
                <w:spacing w:val="-14"/>
                <w:sz w:val="24"/>
              </w:rPr>
              <w:t xml:space="preserve"> </w:t>
            </w:r>
            <w:r w:rsidRPr="00150EDC">
              <w:rPr>
                <w:sz w:val="24"/>
              </w:rPr>
              <w:t>to</w:t>
            </w:r>
            <w:r w:rsidRPr="00150EDC">
              <w:rPr>
                <w:spacing w:val="-13"/>
                <w:sz w:val="24"/>
              </w:rPr>
              <w:t xml:space="preserve"> </w:t>
            </w:r>
            <w:r w:rsidRPr="00150EDC">
              <w:rPr>
                <w:sz w:val="24"/>
              </w:rPr>
              <w:t>pay</w:t>
            </w:r>
            <w:r w:rsidRPr="00150EDC">
              <w:rPr>
                <w:spacing w:val="-12"/>
                <w:sz w:val="24"/>
              </w:rPr>
              <w:t xml:space="preserve"> </w:t>
            </w:r>
            <w:r w:rsidRPr="00150EDC">
              <w:rPr>
                <w:sz w:val="24"/>
              </w:rPr>
              <w:t>its</w:t>
            </w:r>
            <w:r w:rsidRPr="00150EDC">
              <w:rPr>
                <w:spacing w:val="-14"/>
                <w:sz w:val="24"/>
              </w:rPr>
              <w:t xml:space="preserve"> </w:t>
            </w:r>
            <w:r w:rsidRPr="00150EDC">
              <w:rPr>
                <w:sz w:val="24"/>
              </w:rPr>
              <w:t>debts</w:t>
            </w:r>
            <w:r w:rsidRPr="00150EDC">
              <w:rPr>
                <w:spacing w:val="-13"/>
                <w:sz w:val="24"/>
              </w:rPr>
              <w:t xml:space="preserve"> </w:t>
            </w:r>
            <w:r w:rsidRPr="00150EDC">
              <w:rPr>
                <w:sz w:val="24"/>
              </w:rPr>
              <w:t>as</w:t>
            </w:r>
            <w:r w:rsidRPr="00150EDC">
              <w:rPr>
                <w:spacing w:val="-14"/>
                <w:sz w:val="24"/>
              </w:rPr>
              <w:t xml:space="preserve"> </w:t>
            </w:r>
            <w:r w:rsidRPr="00150EDC">
              <w:rPr>
                <w:sz w:val="24"/>
              </w:rPr>
              <w:t>they</w:t>
            </w:r>
            <w:r w:rsidRPr="00150EDC">
              <w:rPr>
                <w:spacing w:val="-14"/>
                <w:sz w:val="24"/>
              </w:rPr>
              <w:t xml:space="preserve"> </w:t>
            </w:r>
            <w:r w:rsidRPr="00150EDC">
              <w:rPr>
                <w:sz w:val="24"/>
              </w:rPr>
              <w:t>fall</w:t>
            </w:r>
            <w:r w:rsidRPr="00150EDC">
              <w:rPr>
                <w:spacing w:val="-17"/>
                <w:sz w:val="24"/>
              </w:rPr>
              <w:t xml:space="preserve"> </w:t>
            </w:r>
            <w:r w:rsidRPr="00150EDC">
              <w:rPr>
                <w:sz w:val="24"/>
              </w:rPr>
              <w:t>due</w:t>
            </w:r>
            <w:r w:rsidRPr="00150EDC">
              <w:rPr>
                <w:spacing w:val="-13"/>
                <w:sz w:val="24"/>
              </w:rPr>
              <w:t xml:space="preserve"> </w:t>
            </w:r>
            <w:r w:rsidRPr="00150EDC">
              <w:rPr>
                <w:sz w:val="24"/>
              </w:rPr>
              <w:t>or</w:t>
            </w:r>
            <w:r w:rsidRPr="00150EDC">
              <w:rPr>
                <w:spacing w:val="-15"/>
                <w:sz w:val="24"/>
              </w:rPr>
              <w:t xml:space="preserve"> </w:t>
            </w:r>
            <w:r w:rsidRPr="00150EDC">
              <w:rPr>
                <w:sz w:val="24"/>
              </w:rPr>
              <w:t>admits</w:t>
            </w:r>
            <w:r w:rsidRPr="00150EDC">
              <w:rPr>
                <w:spacing w:val="-12"/>
                <w:sz w:val="24"/>
              </w:rPr>
              <w:t xml:space="preserve"> </w:t>
            </w:r>
            <w:r w:rsidRPr="00150EDC">
              <w:rPr>
                <w:sz w:val="24"/>
              </w:rPr>
              <w:t>inability to pay its debts, or:</w:t>
            </w:r>
          </w:p>
          <w:p w14:paraId="10DFFEBB" w14:textId="77777777" w:rsidR="004C7180" w:rsidRPr="00150EDC" w:rsidRDefault="00CF0754" w:rsidP="00B320C7">
            <w:pPr>
              <w:pStyle w:val="TableParagraph"/>
              <w:numPr>
                <w:ilvl w:val="1"/>
                <w:numId w:val="119"/>
              </w:numPr>
              <w:tabs>
                <w:tab w:val="left" w:pos="569"/>
              </w:tabs>
              <w:spacing w:before="121" w:line="240" w:lineRule="auto"/>
              <w:ind w:right="102" w:firstLine="0"/>
              <w:jc w:val="both"/>
              <w:rPr>
                <w:sz w:val="24"/>
              </w:rPr>
            </w:pPr>
            <w:r w:rsidRPr="00150EDC">
              <w:rPr>
                <w:sz w:val="24"/>
              </w:rPr>
              <w:t>(being a company or a LLP) is deemed unable to pay its debts within the meaning of section 123 of the Insolvency Act 1986, or</w:t>
            </w:r>
          </w:p>
          <w:p w14:paraId="7C3C00AE" w14:textId="77777777" w:rsidR="004C7180" w:rsidRPr="00150EDC" w:rsidRDefault="00CF0754" w:rsidP="00B320C7">
            <w:pPr>
              <w:pStyle w:val="TableParagraph"/>
              <w:numPr>
                <w:ilvl w:val="1"/>
                <w:numId w:val="119"/>
              </w:numPr>
              <w:tabs>
                <w:tab w:val="left" w:pos="627"/>
              </w:tabs>
              <w:spacing w:before="120" w:line="240" w:lineRule="auto"/>
              <w:ind w:right="102" w:firstLine="0"/>
              <w:jc w:val="both"/>
              <w:rPr>
                <w:sz w:val="24"/>
              </w:rPr>
            </w:pPr>
            <w:r w:rsidRPr="00150EDC">
              <w:rPr>
                <w:sz w:val="24"/>
              </w:rPr>
              <w:t>(being a partnership) is deemed unable to pay its debts within the meaning of section 222 of the Insolvency Act 1986;</w:t>
            </w:r>
          </w:p>
          <w:p w14:paraId="24F30E9F" w14:textId="77777777" w:rsidR="004C7180" w:rsidRPr="00150EDC" w:rsidRDefault="00CF0754">
            <w:pPr>
              <w:pStyle w:val="TableParagraph"/>
              <w:spacing w:before="100" w:line="270" w:lineRule="atLeast"/>
              <w:ind w:left="277" w:right="95"/>
              <w:jc w:val="both"/>
              <w:rPr>
                <w:sz w:val="24"/>
              </w:rPr>
            </w:pPr>
            <w:r w:rsidRPr="00150EDC">
              <w:rPr>
                <w:sz w:val="24"/>
              </w:rPr>
              <w:t>(b) that person commences negotiations with one or more of its creditors (using a voluntary arrangement, scheme of arrangement or</w:t>
            </w:r>
            <w:r w:rsidRPr="00150EDC">
              <w:rPr>
                <w:spacing w:val="-6"/>
                <w:sz w:val="24"/>
              </w:rPr>
              <w:t xml:space="preserve"> </w:t>
            </w:r>
            <w:r w:rsidRPr="00150EDC">
              <w:rPr>
                <w:sz w:val="24"/>
              </w:rPr>
              <w:t>otherwise)</w:t>
            </w:r>
            <w:r w:rsidRPr="00150EDC">
              <w:rPr>
                <w:spacing w:val="-6"/>
                <w:sz w:val="24"/>
              </w:rPr>
              <w:t xml:space="preserve"> </w:t>
            </w:r>
            <w:r w:rsidRPr="00150EDC">
              <w:rPr>
                <w:sz w:val="24"/>
              </w:rPr>
              <w:t>with</w:t>
            </w:r>
            <w:r w:rsidRPr="00150EDC">
              <w:rPr>
                <w:spacing w:val="-4"/>
                <w:sz w:val="24"/>
              </w:rPr>
              <w:t xml:space="preserve"> </w:t>
            </w:r>
            <w:r w:rsidRPr="00150EDC">
              <w:rPr>
                <w:sz w:val="24"/>
              </w:rPr>
              <w:t>a</w:t>
            </w:r>
            <w:r w:rsidRPr="00150EDC">
              <w:rPr>
                <w:spacing w:val="-5"/>
                <w:sz w:val="24"/>
              </w:rPr>
              <w:t xml:space="preserve"> </w:t>
            </w:r>
            <w:r w:rsidRPr="00150EDC">
              <w:rPr>
                <w:sz w:val="24"/>
              </w:rPr>
              <w:t>view</w:t>
            </w:r>
            <w:r w:rsidRPr="00150EDC">
              <w:rPr>
                <w:spacing w:val="-6"/>
                <w:sz w:val="24"/>
              </w:rPr>
              <w:t xml:space="preserve"> </w:t>
            </w:r>
            <w:r w:rsidRPr="00150EDC">
              <w:rPr>
                <w:sz w:val="24"/>
              </w:rPr>
              <w:t>to</w:t>
            </w:r>
            <w:r w:rsidRPr="00150EDC">
              <w:rPr>
                <w:spacing w:val="-4"/>
                <w:sz w:val="24"/>
              </w:rPr>
              <w:t xml:space="preserve"> </w:t>
            </w:r>
            <w:r w:rsidRPr="00150EDC">
              <w:rPr>
                <w:sz w:val="24"/>
              </w:rPr>
              <w:t>rescheduling</w:t>
            </w:r>
            <w:r w:rsidRPr="00150EDC">
              <w:rPr>
                <w:spacing w:val="-7"/>
                <w:sz w:val="24"/>
              </w:rPr>
              <w:t xml:space="preserve"> </w:t>
            </w:r>
            <w:r w:rsidRPr="00150EDC">
              <w:rPr>
                <w:sz w:val="24"/>
              </w:rPr>
              <w:t>any</w:t>
            </w:r>
            <w:r w:rsidRPr="00150EDC">
              <w:rPr>
                <w:spacing w:val="-8"/>
                <w:sz w:val="24"/>
              </w:rPr>
              <w:t xml:space="preserve"> </w:t>
            </w:r>
            <w:r w:rsidRPr="00150EDC">
              <w:rPr>
                <w:sz w:val="24"/>
              </w:rPr>
              <w:t>of</w:t>
            </w:r>
            <w:r w:rsidRPr="00150EDC">
              <w:rPr>
                <w:spacing w:val="-5"/>
                <w:sz w:val="24"/>
              </w:rPr>
              <w:t xml:space="preserve"> </w:t>
            </w:r>
            <w:r w:rsidRPr="00150EDC">
              <w:rPr>
                <w:sz w:val="24"/>
              </w:rPr>
              <w:t>its</w:t>
            </w:r>
            <w:r w:rsidRPr="00150EDC">
              <w:rPr>
                <w:spacing w:val="-5"/>
                <w:sz w:val="24"/>
              </w:rPr>
              <w:t xml:space="preserve"> </w:t>
            </w:r>
            <w:r w:rsidRPr="00150EDC">
              <w:rPr>
                <w:sz w:val="24"/>
              </w:rPr>
              <w:t>debts,</w:t>
            </w:r>
            <w:r w:rsidRPr="00150EDC">
              <w:rPr>
                <w:spacing w:val="-7"/>
                <w:sz w:val="24"/>
              </w:rPr>
              <w:t xml:space="preserve"> </w:t>
            </w:r>
            <w:r w:rsidRPr="00150EDC">
              <w:rPr>
                <w:sz w:val="24"/>
              </w:rPr>
              <w:t>or</w:t>
            </w:r>
            <w:r w:rsidRPr="00150EDC">
              <w:rPr>
                <w:spacing w:val="-6"/>
                <w:sz w:val="24"/>
              </w:rPr>
              <w:t xml:space="preserve"> </w:t>
            </w:r>
            <w:r w:rsidRPr="00150EDC">
              <w:rPr>
                <w:sz w:val="24"/>
              </w:rPr>
              <w:t>makes a</w:t>
            </w:r>
            <w:r w:rsidRPr="00150EDC">
              <w:rPr>
                <w:spacing w:val="11"/>
                <w:sz w:val="24"/>
              </w:rPr>
              <w:t xml:space="preserve"> </w:t>
            </w:r>
            <w:r w:rsidRPr="00150EDC">
              <w:rPr>
                <w:sz w:val="24"/>
              </w:rPr>
              <w:t>proposal</w:t>
            </w:r>
            <w:r w:rsidRPr="00150EDC">
              <w:rPr>
                <w:spacing w:val="11"/>
                <w:sz w:val="24"/>
              </w:rPr>
              <w:t xml:space="preserve"> </w:t>
            </w:r>
            <w:r w:rsidRPr="00150EDC">
              <w:rPr>
                <w:sz w:val="24"/>
              </w:rPr>
              <w:t>for</w:t>
            </w:r>
            <w:r w:rsidRPr="00150EDC">
              <w:rPr>
                <w:spacing w:val="10"/>
                <w:sz w:val="24"/>
              </w:rPr>
              <w:t xml:space="preserve"> </w:t>
            </w:r>
            <w:r w:rsidRPr="00150EDC">
              <w:rPr>
                <w:sz w:val="24"/>
              </w:rPr>
              <w:t>or</w:t>
            </w:r>
            <w:r w:rsidRPr="00150EDC">
              <w:rPr>
                <w:spacing w:val="8"/>
                <w:sz w:val="24"/>
              </w:rPr>
              <w:t xml:space="preserve"> </w:t>
            </w:r>
            <w:r w:rsidRPr="00150EDC">
              <w:rPr>
                <w:sz w:val="24"/>
              </w:rPr>
              <w:t>enters</w:t>
            </w:r>
            <w:r w:rsidRPr="00150EDC">
              <w:rPr>
                <w:spacing w:val="11"/>
                <w:sz w:val="24"/>
              </w:rPr>
              <w:t xml:space="preserve"> </w:t>
            </w:r>
            <w:r w:rsidRPr="00150EDC">
              <w:rPr>
                <w:sz w:val="24"/>
              </w:rPr>
              <w:t>into</w:t>
            </w:r>
            <w:r w:rsidRPr="00150EDC">
              <w:rPr>
                <w:spacing w:val="10"/>
                <w:sz w:val="24"/>
              </w:rPr>
              <w:t xml:space="preserve"> </w:t>
            </w:r>
            <w:r w:rsidRPr="00150EDC">
              <w:rPr>
                <w:sz w:val="24"/>
              </w:rPr>
              <w:t>any</w:t>
            </w:r>
            <w:r w:rsidRPr="00150EDC">
              <w:rPr>
                <w:spacing w:val="11"/>
                <w:sz w:val="24"/>
              </w:rPr>
              <w:t xml:space="preserve"> </w:t>
            </w:r>
            <w:r w:rsidRPr="00150EDC">
              <w:rPr>
                <w:sz w:val="24"/>
              </w:rPr>
              <w:t>compromise</w:t>
            </w:r>
            <w:r w:rsidRPr="00150EDC">
              <w:rPr>
                <w:spacing w:val="9"/>
                <w:sz w:val="24"/>
              </w:rPr>
              <w:t xml:space="preserve"> </w:t>
            </w:r>
            <w:r w:rsidRPr="00150EDC">
              <w:rPr>
                <w:sz w:val="24"/>
              </w:rPr>
              <w:t>or</w:t>
            </w:r>
            <w:r w:rsidRPr="00150EDC">
              <w:rPr>
                <w:spacing w:val="8"/>
                <w:sz w:val="24"/>
              </w:rPr>
              <w:t xml:space="preserve"> </w:t>
            </w:r>
            <w:r w:rsidRPr="00150EDC">
              <w:rPr>
                <w:sz w:val="24"/>
              </w:rPr>
              <w:t>arrangement</w:t>
            </w:r>
            <w:r w:rsidRPr="00150EDC">
              <w:rPr>
                <w:spacing w:val="18"/>
                <w:sz w:val="24"/>
              </w:rPr>
              <w:t xml:space="preserve"> </w:t>
            </w:r>
            <w:r w:rsidRPr="00150EDC">
              <w:rPr>
                <w:spacing w:val="-4"/>
                <w:sz w:val="24"/>
              </w:rPr>
              <w:t>with</w:t>
            </w:r>
          </w:p>
        </w:tc>
      </w:tr>
    </w:tbl>
    <w:p w14:paraId="4A8273F8" w14:textId="77777777" w:rsidR="004C7180" w:rsidRPr="00150EDC" w:rsidRDefault="004C7180">
      <w:pPr>
        <w:spacing w:line="270" w:lineRule="atLeast"/>
        <w:jc w:val="both"/>
        <w:rPr>
          <w:sz w:val="24"/>
        </w:rPr>
        <w:sectPr w:rsidR="004C7180" w:rsidRPr="00150EDC">
          <w:pgSz w:w="11910" w:h="16840"/>
          <w:pgMar w:top="1160" w:right="0" w:bottom="1420" w:left="40" w:header="715" w:footer="1208" w:gutter="0"/>
          <w:cols w:space="720"/>
        </w:sectPr>
      </w:pPr>
    </w:p>
    <w:p w14:paraId="09A7C996" w14:textId="77777777" w:rsidR="004C7180" w:rsidRPr="00150EDC" w:rsidRDefault="004C7180">
      <w:pPr>
        <w:pStyle w:val="BodyText"/>
        <w:spacing w:before="7"/>
        <w:rPr>
          <w:sz w:val="23"/>
        </w:rPr>
      </w:pPr>
    </w:p>
    <w:tbl>
      <w:tblPr>
        <w:tblW w:w="0" w:type="auto"/>
        <w:tblInd w:w="1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4"/>
        <w:gridCol w:w="7484"/>
      </w:tblGrid>
      <w:tr w:rsidR="007D3144" w:rsidRPr="007D3144" w14:paraId="5F278645" w14:textId="77777777">
        <w:trPr>
          <w:trHeight w:val="11137"/>
        </w:trPr>
        <w:tc>
          <w:tcPr>
            <w:tcW w:w="2264" w:type="dxa"/>
          </w:tcPr>
          <w:p w14:paraId="04ED46D4" w14:textId="77777777" w:rsidR="004C7180" w:rsidRPr="00150EDC" w:rsidRDefault="004C7180">
            <w:pPr>
              <w:pStyle w:val="TableParagraph"/>
              <w:spacing w:before="0" w:line="240" w:lineRule="auto"/>
              <w:ind w:left="0"/>
              <w:rPr>
                <w:rFonts w:ascii="Times New Roman"/>
              </w:rPr>
            </w:pPr>
          </w:p>
        </w:tc>
        <w:tc>
          <w:tcPr>
            <w:tcW w:w="7484" w:type="dxa"/>
          </w:tcPr>
          <w:p w14:paraId="1DC2E37F" w14:textId="77777777" w:rsidR="004C7180" w:rsidRPr="00150EDC" w:rsidRDefault="00CF0754">
            <w:pPr>
              <w:pStyle w:val="TableParagraph"/>
              <w:spacing w:before="0" w:line="240" w:lineRule="auto"/>
              <w:ind w:left="277" w:right="96"/>
              <w:jc w:val="both"/>
              <w:rPr>
                <w:sz w:val="24"/>
              </w:rPr>
            </w:pPr>
            <w:r w:rsidRPr="00150EDC">
              <w:rPr>
                <w:sz w:val="24"/>
              </w:rPr>
              <w:t>one</w:t>
            </w:r>
            <w:r w:rsidRPr="00150EDC">
              <w:rPr>
                <w:spacing w:val="-13"/>
                <w:sz w:val="24"/>
              </w:rPr>
              <w:t xml:space="preserve"> </w:t>
            </w:r>
            <w:r w:rsidRPr="00150EDC">
              <w:rPr>
                <w:sz w:val="24"/>
              </w:rPr>
              <w:t>or</w:t>
            </w:r>
            <w:r w:rsidRPr="00150EDC">
              <w:rPr>
                <w:spacing w:val="-12"/>
                <w:sz w:val="24"/>
              </w:rPr>
              <w:t xml:space="preserve"> </w:t>
            </w:r>
            <w:r w:rsidRPr="00150EDC">
              <w:rPr>
                <w:sz w:val="24"/>
              </w:rPr>
              <w:t>more</w:t>
            </w:r>
            <w:r w:rsidRPr="00150EDC">
              <w:rPr>
                <w:spacing w:val="-14"/>
                <w:sz w:val="24"/>
              </w:rPr>
              <w:t xml:space="preserve"> </w:t>
            </w:r>
            <w:r w:rsidRPr="00150EDC">
              <w:rPr>
                <w:sz w:val="24"/>
              </w:rPr>
              <w:t>of</w:t>
            </w:r>
            <w:r w:rsidRPr="00150EDC">
              <w:rPr>
                <w:spacing w:val="-11"/>
                <w:sz w:val="24"/>
              </w:rPr>
              <w:t xml:space="preserve"> </w:t>
            </w:r>
            <w:r w:rsidRPr="00150EDC">
              <w:rPr>
                <w:sz w:val="24"/>
              </w:rPr>
              <w:t>its</w:t>
            </w:r>
            <w:r w:rsidRPr="00150EDC">
              <w:rPr>
                <w:spacing w:val="-12"/>
                <w:sz w:val="24"/>
              </w:rPr>
              <w:t xml:space="preserve"> </w:t>
            </w:r>
            <w:r w:rsidRPr="00150EDC">
              <w:rPr>
                <w:sz w:val="24"/>
              </w:rPr>
              <w:t>creditors</w:t>
            </w:r>
            <w:r w:rsidRPr="00150EDC">
              <w:rPr>
                <w:spacing w:val="-12"/>
                <w:sz w:val="24"/>
              </w:rPr>
              <w:t xml:space="preserve"> </w:t>
            </w:r>
            <w:r w:rsidRPr="00150EDC">
              <w:rPr>
                <w:sz w:val="24"/>
              </w:rPr>
              <w:t>or</w:t>
            </w:r>
            <w:r w:rsidRPr="00150EDC">
              <w:rPr>
                <w:spacing w:val="-12"/>
                <w:sz w:val="24"/>
              </w:rPr>
              <w:t xml:space="preserve"> </w:t>
            </w:r>
            <w:r w:rsidRPr="00150EDC">
              <w:rPr>
                <w:sz w:val="24"/>
              </w:rPr>
              <w:t>takes</w:t>
            </w:r>
            <w:r w:rsidRPr="00150EDC">
              <w:rPr>
                <w:spacing w:val="-14"/>
                <w:sz w:val="24"/>
              </w:rPr>
              <w:t xml:space="preserve"> </w:t>
            </w:r>
            <w:r w:rsidRPr="00150EDC">
              <w:rPr>
                <w:sz w:val="24"/>
              </w:rPr>
              <w:t>any</w:t>
            </w:r>
            <w:r w:rsidRPr="00150EDC">
              <w:rPr>
                <w:spacing w:val="-12"/>
                <w:sz w:val="24"/>
              </w:rPr>
              <w:t xml:space="preserve"> </w:t>
            </w:r>
            <w:r w:rsidRPr="00150EDC">
              <w:rPr>
                <w:sz w:val="24"/>
              </w:rPr>
              <w:t>step</w:t>
            </w:r>
            <w:r w:rsidRPr="00150EDC">
              <w:rPr>
                <w:spacing w:val="-11"/>
                <w:sz w:val="24"/>
              </w:rPr>
              <w:t xml:space="preserve"> </w:t>
            </w:r>
            <w:r w:rsidRPr="00150EDC">
              <w:rPr>
                <w:sz w:val="24"/>
              </w:rPr>
              <w:t>to</w:t>
            </w:r>
            <w:r w:rsidRPr="00150EDC">
              <w:rPr>
                <w:spacing w:val="-11"/>
                <w:sz w:val="24"/>
              </w:rPr>
              <w:t xml:space="preserve"> </w:t>
            </w:r>
            <w:r w:rsidRPr="00150EDC">
              <w:rPr>
                <w:sz w:val="24"/>
              </w:rPr>
              <w:t>obtain</w:t>
            </w:r>
            <w:r w:rsidRPr="00150EDC">
              <w:rPr>
                <w:spacing w:val="-11"/>
                <w:sz w:val="24"/>
              </w:rPr>
              <w:t xml:space="preserve"> </w:t>
            </w:r>
            <w:r w:rsidRPr="00150EDC">
              <w:rPr>
                <w:sz w:val="24"/>
              </w:rPr>
              <w:t>a</w:t>
            </w:r>
            <w:r w:rsidRPr="00150EDC">
              <w:rPr>
                <w:spacing w:val="-13"/>
                <w:sz w:val="24"/>
              </w:rPr>
              <w:t xml:space="preserve"> </w:t>
            </w:r>
            <w:r w:rsidRPr="00150EDC">
              <w:rPr>
                <w:sz w:val="24"/>
              </w:rPr>
              <w:t>moratorium pursuant</w:t>
            </w:r>
            <w:r w:rsidRPr="00150EDC">
              <w:rPr>
                <w:spacing w:val="-12"/>
                <w:sz w:val="24"/>
              </w:rPr>
              <w:t xml:space="preserve"> </w:t>
            </w:r>
            <w:r w:rsidRPr="00150EDC">
              <w:rPr>
                <w:sz w:val="24"/>
              </w:rPr>
              <w:t>to</w:t>
            </w:r>
            <w:r w:rsidRPr="00150EDC">
              <w:rPr>
                <w:spacing w:val="-12"/>
                <w:sz w:val="24"/>
              </w:rPr>
              <w:t xml:space="preserve"> </w:t>
            </w:r>
            <w:r w:rsidRPr="00150EDC">
              <w:rPr>
                <w:sz w:val="24"/>
              </w:rPr>
              <w:t>Section</w:t>
            </w:r>
            <w:r w:rsidRPr="00150EDC">
              <w:rPr>
                <w:spacing w:val="-14"/>
                <w:sz w:val="24"/>
              </w:rPr>
              <w:t xml:space="preserve"> </w:t>
            </w:r>
            <w:r w:rsidRPr="00150EDC">
              <w:rPr>
                <w:sz w:val="24"/>
              </w:rPr>
              <w:t>1A</w:t>
            </w:r>
            <w:r w:rsidRPr="00150EDC">
              <w:rPr>
                <w:spacing w:val="-17"/>
                <w:sz w:val="24"/>
              </w:rPr>
              <w:t xml:space="preserve"> </w:t>
            </w:r>
            <w:r w:rsidRPr="00150EDC">
              <w:rPr>
                <w:sz w:val="24"/>
              </w:rPr>
              <w:t>and</w:t>
            </w:r>
            <w:r w:rsidRPr="00150EDC">
              <w:rPr>
                <w:spacing w:val="-13"/>
                <w:sz w:val="24"/>
              </w:rPr>
              <w:t xml:space="preserve"> </w:t>
            </w:r>
            <w:r w:rsidRPr="00150EDC">
              <w:rPr>
                <w:sz w:val="24"/>
              </w:rPr>
              <w:t>Schedule</w:t>
            </w:r>
            <w:r w:rsidRPr="00150EDC">
              <w:rPr>
                <w:spacing w:val="-15"/>
                <w:sz w:val="24"/>
              </w:rPr>
              <w:t xml:space="preserve"> </w:t>
            </w:r>
            <w:r w:rsidRPr="00150EDC">
              <w:rPr>
                <w:sz w:val="24"/>
              </w:rPr>
              <w:t>A1</w:t>
            </w:r>
            <w:r w:rsidRPr="00150EDC">
              <w:rPr>
                <w:spacing w:val="-14"/>
                <w:sz w:val="24"/>
              </w:rPr>
              <w:t xml:space="preserve"> </w:t>
            </w:r>
            <w:r w:rsidRPr="00150EDC">
              <w:rPr>
                <w:sz w:val="24"/>
              </w:rPr>
              <w:t>of</w:t>
            </w:r>
            <w:r w:rsidRPr="00150EDC">
              <w:rPr>
                <w:spacing w:val="-14"/>
                <w:sz w:val="24"/>
              </w:rPr>
              <w:t xml:space="preserve"> </w:t>
            </w:r>
            <w:r w:rsidRPr="00150EDC">
              <w:rPr>
                <w:sz w:val="24"/>
              </w:rPr>
              <w:t>the</w:t>
            </w:r>
            <w:r w:rsidRPr="00150EDC">
              <w:rPr>
                <w:spacing w:val="-12"/>
                <w:sz w:val="24"/>
              </w:rPr>
              <w:t xml:space="preserve"> </w:t>
            </w:r>
            <w:r w:rsidRPr="00150EDC">
              <w:rPr>
                <w:sz w:val="24"/>
              </w:rPr>
              <w:t>Insolvency</w:t>
            </w:r>
            <w:r w:rsidRPr="00150EDC">
              <w:rPr>
                <w:spacing w:val="-15"/>
                <w:sz w:val="24"/>
              </w:rPr>
              <w:t xml:space="preserve"> </w:t>
            </w:r>
            <w:r w:rsidRPr="00150EDC">
              <w:rPr>
                <w:sz w:val="24"/>
              </w:rPr>
              <w:t>Act</w:t>
            </w:r>
            <w:r w:rsidRPr="00150EDC">
              <w:rPr>
                <w:spacing w:val="-14"/>
                <w:sz w:val="24"/>
              </w:rPr>
              <w:t xml:space="preserve"> </w:t>
            </w:r>
            <w:r w:rsidRPr="00150EDC">
              <w:rPr>
                <w:sz w:val="24"/>
              </w:rPr>
              <w:t>1986 other</w:t>
            </w:r>
            <w:r w:rsidRPr="00150EDC">
              <w:rPr>
                <w:spacing w:val="-13"/>
                <w:sz w:val="24"/>
              </w:rPr>
              <w:t xml:space="preserve"> </w:t>
            </w:r>
            <w:r w:rsidRPr="00150EDC">
              <w:rPr>
                <w:sz w:val="24"/>
              </w:rPr>
              <w:t>than</w:t>
            </w:r>
            <w:r w:rsidRPr="00150EDC">
              <w:rPr>
                <w:spacing w:val="-12"/>
                <w:sz w:val="24"/>
              </w:rPr>
              <w:t xml:space="preserve"> </w:t>
            </w:r>
            <w:r w:rsidRPr="00150EDC">
              <w:rPr>
                <w:sz w:val="24"/>
              </w:rPr>
              <w:t>(in</w:t>
            </w:r>
            <w:r w:rsidRPr="00150EDC">
              <w:rPr>
                <w:spacing w:val="-12"/>
                <w:sz w:val="24"/>
              </w:rPr>
              <w:t xml:space="preserve"> </w:t>
            </w:r>
            <w:r w:rsidRPr="00150EDC">
              <w:rPr>
                <w:sz w:val="24"/>
              </w:rPr>
              <w:t>the</w:t>
            </w:r>
            <w:r w:rsidRPr="00150EDC">
              <w:rPr>
                <w:spacing w:val="-12"/>
                <w:sz w:val="24"/>
              </w:rPr>
              <w:t xml:space="preserve"> </w:t>
            </w:r>
            <w:r w:rsidRPr="00150EDC">
              <w:rPr>
                <w:sz w:val="24"/>
              </w:rPr>
              <w:t>case</w:t>
            </w:r>
            <w:r w:rsidRPr="00150EDC">
              <w:rPr>
                <w:spacing w:val="-14"/>
                <w:sz w:val="24"/>
              </w:rPr>
              <w:t xml:space="preserve"> </w:t>
            </w:r>
            <w:r w:rsidRPr="00150EDC">
              <w:rPr>
                <w:sz w:val="24"/>
              </w:rPr>
              <w:t>of</w:t>
            </w:r>
            <w:r w:rsidRPr="00150EDC">
              <w:rPr>
                <w:spacing w:val="-12"/>
                <w:sz w:val="24"/>
              </w:rPr>
              <w:t xml:space="preserve"> </w:t>
            </w:r>
            <w:r w:rsidRPr="00150EDC">
              <w:rPr>
                <w:sz w:val="24"/>
              </w:rPr>
              <w:t>a</w:t>
            </w:r>
            <w:r w:rsidRPr="00150EDC">
              <w:rPr>
                <w:spacing w:val="-12"/>
                <w:sz w:val="24"/>
              </w:rPr>
              <w:t xml:space="preserve"> </w:t>
            </w:r>
            <w:r w:rsidRPr="00150EDC">
              <w:rPr>
                <w:sz w:val="24"/>
              </w:rPr>
              <w:t>company,</w:t>
            </w:r>
            <w:r w:rsidRPr="00150EDC">
              <w:rPr>
                <w:spacing w:val="-12"/>
                <w:sz w:val="24"/>
              </w:rPr>
              <w:t xml:space="preserve"> </w:t>
            </w:r>
            <w:r w:rsidRPr="00150EDC">
              <w:rPr>
                <w:sz w:val="24"/>
              </w:rPr>
              <w:t>a</w:t>
            </w:r>
            <w:r w:rsidRPr="00150EDC">
              <w:rPr>
                <w:spacing w:val="-14"/>
                <w:sz w:val="24"/>
              </w:rPr>
              <w:t xml:space="preserve"> </w:t>
            </w:r>
            <w:r w:rsidRPr="00150EDC">
              <w:rPr>
                <w:sz w:val="24"/>
              </w:rPr>
              <w:t>LLP</w:t>
            </w:r>
            <w:r w:rsidRPr="00150EDC">
              <w:rPr>
                <w:spacing w:val="-12"/>
                <w:sz w:val="24"/>
              </w:rPr>
              <w:t xml:space="preserve"> </w:t>
            </w:r>
            <w:r w:rsidRPr="00150EDC">
              <w:rPr>
                <w:sz w:val="24"/>
              </w:rPr>
              <w:t>or</w:t>
            </w:r>
            <w:r w:rsidRPr="00150EDC">
              <w:rPr>
                <w:spacing w:val="-16"/>
                <w:sz w:val="24"/>
              </w:rPr>
              <w:t xml:space="preserve"> </w:t>
            </w:r>
            <w:r w:rsidRPr="00150EDC">
              <w:rPr>
                <w:sz w:val="24"/>
              </w:rPr>
              <w:t>a</w:t>
            </w:r>
            <w:r w:rsidRPr="00150EDC">
              <w:rPr>
                <w:spacing w:val="-12"/>
                <w:sz w:val="24"/>
              </w:rPr>
              <w:t xml:space="preserve"> </w:t>
            </w:r>
            <w:r w:rsidRPr="00150EDC">
              <w:rPr>
                <w:sz w:val="24"/>
              </w:rPr>
              <w:t>partnership)</w:t>
            </w:r>
            <w:r w:rsidRPr="00150EDC">
              <w:rPr>
                <w:spacing w:val="-13"/>
                <w:sz w:val="24"/>
              </w:rPr>
              <w:t xml:space="preserve"> </w:t>
            </w:r>
            <w:r w:rsidRPr="00150EDC">
              <w:rPr>
                <w:sz w:val="24"/>
              </w:rPr>
              <w:t>for</w:t>
            </w:r>
            <w:r w:rsidRPr="00150EDC">
              <w:rPr>
                <w:spacing w:val="-13"/>
                <w:sz w:val="24"/>
              </w:rPr>
              <w:t xml:space="preserve"> </w:t>
            </w:r>
            <w:r w:rsidRPr="00150EDC">
              <w:rPr>
                <w:sz w:val="24"/>
              </w:rPr>
              <w:t>the sole</w:t>
            </w:r>
            <w:r w:rsidRPr="00150EDC">
              <w:rPr>
                <w:spacing w:val="-15"/>
                <w:sz w:val="24"/>
              </w:rPr>
              <w:t xml:space="preserve"> </w:t>
            </w:r>
            <w:r w:rsidRPr="00150EDC">
              <w:rPr>
                <w:sz w:val="24"/>
              </w:rPr>
              <w:t>purpose</w:t>
            </w:r>
            <w:r w:rsidRPr="00150EDC">
              <w:rPr>
                <w:spacing w:val="-16"/>
                <w:sz w:val="24"/>
              </w:rPr>
              <w:t xml:space="preserve"> </w:t>
            </w:r>
            <w:r w:rsidRPr="00150EDC">
              <w:rPr>
                <w:sz w:val="24"/>
              </w:rPr>
              <w:t>of</w:t>
            </w:r>
            <w:r w:rsidRPr="00150EDC">
              <w:rPr>
                <w:spacing w:val="-17"/>
                <w:sz w:val="24"/>
              </w:rPr>
              <w:t xml:space="preserve"> </w:t>
            </w:r>
            <w:r w:rsidRPr="00150EDC">
              <w:rPr>
                <w:sz w:val="24"/>
              </w:rPr>
              <w:t>a</w:t>
            </w:r>
            <w:r w:rsidRPr="00150EDC">
              <w:rPr>
                <w:spacing w:val="-14"/>
                <w:sz w:val="24"/>
              </w:rPr>
              <w:t xml:space="preserve"> </w:t>
            </w:r>
            <w:r w:rsidRPr="00150EDC">
              <w:rPr>
                <w:sz w:val="24"/>
              </w:rPr>
              <w:t>scheme</w:t>
            </w:r>
            <w:r w:rsidRPr="00150EDC">
              <w:rPr>
                <w:spacing w:val="-17"/>
                <w:sz w:val="24"/>
              </w:rPr>
              <w:t xml:space="preserve"> </w:t>
            </w:r>
            <w:r w:rsidRPr="00150EDC">
              <w:rPr>
                <w:sz w:val="24"/>
              </w:rPr>
              <w:t>for</w:t>
            </w:r>
            <w:r w:rsidRPr="00150EDC">
              <w:rPr>
                <w:spacing w:val="-16"/>
                <w:sz w:val="24"/>
              </w:rPr>
              <w:t xml:space="preserve"> </w:t>
            </w:r>
            <w:r w:rsidRPr="00150EDC">
              <w:rPr>
                <w:sz w:val="24"/>
              </w:rPr>
              <w:t>a</w:t>
            </w:r>
            <w:r w:rsidRPr="00150EDC">
              <w:rPr>
                <w:spacing w:val="-14"/>
                <w:sz w:val="24"/>
              </w:rPr>
              <w:t xml:space="preserve"> </w:t>
            </w:r>
            <w:r w:rsidRPr="00150EDC">
              <w:rPr>
                <w:sz w:val="24"/>
              </w:rPr>
              <w:t>solvent</w:t>
            </w:r>
            <w:r w:rsidRPr="00150EDC">
              <w:rPr>
                <w:spacing w:val="-14"/>
                <w:sz w:val="24"/>
              </w:rPr>
              <w:t xml:space="preserve"> </w:t>
            </w:r>
            <w:r w:rsidRPr="00150EDC">
              <w:rPr>
                <w:sz w:val="24"/>
              </w:rPr>
              <w:t>amalgamation</w:t>
            </w:r>
            <w:r w:rsidRPr="00150EDC">
              <w:rPr>
                <w:spacing w:val="-17"/>
                <w:sz w:val="24"/>
              </w:rPr>
              <w:t xml:space="preserve"> </w:t>
            </w:r>
            <w:r w:rsidRPr="00150EDC">
              <w:rPr>
                <w:sz w:val="24"/>
              </w:rPr>
              <w:t>of</w:t>
            </w:r>
            <w:r w:rsidRPr="00150EDC">
              <w:rPr>
                <w:spacing w:val="-17"/>
                <w:sz w:val="24"/>
              </w:rPr>
              <w:t xml:space="preserve"> </w:t>
            </w:r>
            <w:r w:rsidRPr="00150EDC">
              <w:rPr>
                <w:sz w:val="24"/>
              </w:rPr>
              <w:t>that</w:t>
            </w:r>
            <w:r w:rsidRPr="00150EDC">
              <w:rPr>
                <w:spacing w:val="-16"/>
                <w:sz w:val="24"/>
              </w:rPr>
              <w:t xml:space="preserve"> </w:t>
            </w:r>
            <w:r w:rsidRPr="00150EDC">
              <w:rPr>
                <w:sz w:val="24"/>
              </w:rPr>
              <w:t>person with one or more other companies or the solvent reconstruction of that person;</w:t>
            </w:r>
          </w:p>
          <w:p w14:paraId="589E469E" w14:textId="77777777" w:rsidR="004C7180" w:rsidRPr="00150EDC" w:rsidRDefault="00CF0754" w:rsidP="00B320C7">
            <w:pPr>
              <w:pStyle w:val="TableParagraph"/>
              <w:numPr>
                <w:ilvl w:val="0"/>
                <w:numId w:val="118"/>
              </w:numPr>
              <w:tabs>
                <w:tab w:val="left" w:pos="629"/>
              </w:tabs>
              <w:spacing w:before="121" w:line="240" w:lineRule="auto"/>
              <w:ind w:right="100" w:firstLine="0"/>
              <w:jc w:val="both"/>
              <w:rPr>
                <w:sz w:val="24"/>
              </w:rPr>
            </w:pPr>
            <w:r w:rsidRPr="00150EDC">
              <w:rPr>
                <w:sz w:val="24"/>
              </w:rPr>
              <w:t>another person becomes entitled to appoint a receiver over the assets of that person or a receiver is appointed over the assets of that person;</w:t>
            </w:r>
          </w:p>
          <w:p w14:paraId="4B08002D" w14:textId="77777777" w:rsidR="004C7180" w:rsidRPr="00150EDC" w:rsidRDefault="00CF0754" w:rsidP="00B320C7">
            <w:pPr>
              <w:pStyle w:val="TableParagraph"/>
              <w:numPr>
                <w:ilvl w:val="0"/>
                <w:numId w:val="118"/>
              </w:numPr>
              <w:tabs>
                <w:tab w:val="left" w:pos="679"/>
              </w:tabs>
              <w:spacing w:before="120" w:line="240" w:lineRule="auto"/>
              <w:ind w:right="101" w:firstLine="0"/>
              <w:jc w:val="both"/>
              <w:rPr>
                <w:sz w:val="24"/>
              </w:rPr>
            </w:pPr>
            <w:r w:rsidRPr="00150EDC">
              <w:rPr>
                <w:sz w:val="24"/>
              </w:rPr>
              <w:t>a creditor or encumbrancer of that person attaches or takes possession of, or a distress, execution or other such process is levied or</w:t>
            </w:r>
            <w:r w:rsidRPr="00150EDC">
              <w:rPr>
                <w:spacing w:val="-1"/>
                <w:sz w:val="24"/>
              </w:rPr>
              <w:t xml:space="preserve"> </w:t>
            </w:r>
            <w:r w:rsidRPr="00150EDC">
              <w:rPr>
                <w:sz w:val="24"/>
              </w:rPr>
              <w:t>enforced</w:t>
            </w:r>
            <w:r w:rsidRPr="00150EDC">
              <w:rPr>
                <w:spacing w:val="-2"/>
                <w:sz w:val="24"/>
              </w:rPr>
              <w:t xml:space="preserve"> </w:t>
            </w:r>
            <w:r w:rsidRPr="00150EDC">
              <w:rPr>
                <w:sz w:val="24"/>
              </w:rPr>
              <w:t>on or</w:t>
            </w:r>
            <w:r w:rsidRPr="00150EDC">
              <w:rPr>
                <w:spacing w:val="-1"/>
                <w:sz w:val="24"/>
              </w:rPr>
              <w:t xml:space="preserve"> </w:t>
            </w:r>
            <w:r w:rsidRPr="00150EDC">
              <w:rPr>
                <w:sz w:val="24"/>
              </w:rPr>
              <w:t>sued against,</w:t>
            </w:r>
            <w:r w:rsidRPr="00150EDC">
              <w:rPr>
                <w:spacing w:val="-2"/>
                <w:sz w:val="24"/>
              </w:rPr>
              <w:t xml:space="preserve"> </w:t>
            </w:r>
            <w:r w:rsidRPr="00150EDC">
              <w:rPr>
                <w:sz w:val="24"/>
              </w:rPr>
              <w:t>the whole or</w:t>
            </w:r>
            <w:r w:rsidRPr="00150EDC">
              <w:rPr>
                <w:spacing w:val="-1"/>
                <w:sz w:val="24"/>
              </w:rPr>
              <w:t xml:space="preserve"> </w:t>
            </w:r>
            <w:r w:rsidRPr="00150EDC">
              <w:rPr>
                <w:sz w:val="24"/>
              </w:rPr>
              <w:t>any</w:t>
            </w:r>
            <w:r w:rsidRPr="00150EDC">
              <w:rPr>
                <w:spacing w:val="-2"/>
                <w:sz w:val="24"/>
              </w:rPr>
              <w:t xml:space="preserve"> </w:t>
            </w:r>
            <w:r w:rsidRPr="00150EDC">
              <w:rPr>
                <w:sz w:val="24"/>
              </w:rPr>
              <w:t>part of that person’s assets and such attachment or process is not discharged within 14 days;</w:t>
            </w:r>
          </w:p>
          <w:p w14:paraId="0CFBA3F4" w14:textId="77777777" w:rsidR="004C7180" w:rsidRPr="00150EDC" w:rsidRDefault="00CF0754" w:rsidP="00B320C7">
            <w:pPr>
              <w:pStyle w:val="TableParagraph"/>
              <w:numPr>
                <w:ilvl w:val="0"/>
                <w:numId w:val="118"/>
              </w:numPr>
              <w:tabs>
                <w:tab w:val="left" w:pos="676"/>
              </w:tabs>
              <w:spacing w:before="120" w:line="240" w:lineRule="auto"/>
              <w:ind w:right="101" w:firstLine="0"/>
              <w:jc w:val="both"/>
              <w:rPr>
                <w:sz w:val="24"/>
              </w:rPr>
            </w:pPr>
            <w:r w:rsidRPr="00150EDC">
              <w:rPr>
                <w:sz w:val="24"/>
              </w:rPr>
              <w:t>that person suspends or ceases, or threatens to suspend or cease, carrying on all or a substantial part of its business;</w:t>
            </w:r>
          </w:p>
          <w:p w14:paraId="2CCD86CF" w14:textId="77777777" w:rsidR="004C7180" w:rsidRPr="00150EDC" w:rsidRDefault="00CF0754" w:rsidP="00B320C7">
            <w:pPr>
              <w:pStyle w:val="TableParagraph"/>
              <w:numPr>
                <w:ilvl w:val="0"/>
                <w:numId w:val="118"/>
              </w:numPr>
              <w:tabs>
                <w:tab w:val="left" w:pos="569"/>
              </w:tabs>
              <w:spacing w:before="120" w:line="240" w:lineRule="auto"/>
              <w:ind w:left="569" w:hanging="292"/>
              <w:jc w:val="both"/>
              <w:rPr>
                <w:sz w:val="24"/>
              </w:rPr>
            </w:pPr>
            <w:r w:rsidRPr="00150EDC">
              <w:rPr>
                <w:sz w:val="24"/>
              </w:rPr>
              <w:t>where</w:t>
            </w:r>
            <w:r w:rsidRPr="00150EDC">
              <w:rPr>
                <w:spacing w:val="-6"/>
                <w:sz w:val="24"/>
              </w:rPr>
              <w:t xml:space="preserve"> </w:t>
            </w:r>
            <w:r w:rsidRPr="00150EDC">
              <w:rPr>
                <w:sz w:val="24"/>
              </w:rPr>
              <w:t>that</w:t>
            </w:r>
            <w:r w:rsidRPr="00150EDC">
              <w:rPr>
                <w:spacing w:val="-5"/>
                <w:sz w:val="24"/>
              </w:rPr>
              <w:t xml:space="preserve"> </w:t>
            </w:r>
            <w:r w:rsidRPr="00150EDC">
              <w:rPr>
                <w:sz w:val="24"/>
              </w:rPr>
              <w:t>person</w:t>
            </w:r>
            <w:r w:rsidRPr="00150EDC">
              <w:rPr>
                <w:spacing w:val="-5"/>
                <w:sz w:val="24"/>
              </w:rPr>
              <w:t xml:space="preserve"> </w:t>
            </w:r>
            <w:r w:rsidRPr="00150EDC">
              <w:rPr>
                <w:sz w:val="24"/>
              </w:rPr>
              <w:t>is</w:t>
            </w:r>
            <w:r w:rsidRPr="00150EDC">
              <w:rPr>
                <w:spacing w:val="-8"/>
                <w:sz w:val="24"/>
              </w:rPr>
              <w:t xml:space="preserve"> </w:t>
            </w:r>
            <w:r w:rsidRPr="00150EDC">
              <w:rPr>
                <w:sz w:val="24"/>
              </w:rPr>
              <w:t>a</w:t>
            </w:r>
            <w:r w:rsidRPr="00150EDC">
              <w:rPr>
                <w:spacing w:val="-4"/>
                <w:sz w:val="24"/>
              </w:rPr>
              <w:t xml:space="preserve"> </w:t>
            </w:r>
            <w:r w:rsidRPr="00150EDC">
              <w:rPr>
                <w:sz w:val="24"/>
              </w:rPr>
              <w:t>company,</w:t>
            </w:r>
            <w:r w:rsidRPr="00150EDC">
              <w:rPr>
                <w:spacing w:val="-6"/>
                <w:sz w:val="24"/>
              </w:rPr>
              <w:t xml:space="preserve"> </w:t>
            </w:r>
            <w:r w:rsidRPr="00150EDC">
              <w:rPr>
                <w:sz w:val="24"/>
              </w:rPr>
              <w:t>a</w:t>
            </w:r>
            <w:r w:rsidRPr="00150EDC">
              <w:rPr>
                <w:spacing w:val="-5"/>
                <w:sz w:val="24"/>
              </w:rPr>
              <w:t xml:space="preserve"> </w:t>
            </w:r>
            <w:r w:rsidRPr="00150EDC">
              <w:rPr>
                <w:sz w:val="24"/>
              </w:rPr>
              <w:t>LLP</w:t>
            </w:r>
            <w:r w:rsidRPr="00150EDC">
              <w:rPr>
                <w:spacing w:val="-6"/>
                <w:sz w:val="24"/>
              </w:rPr>
              <w:t xml:space="preserve"> </w:t>
            </w:r>
            <w:r w:rsidRPr="00150EDC">
              <w:rPr>
                <w:sz w:val="24"/>
              </w:rPr>
              <w:t>or</w:t>
            </w:r>
            <w:r w:rsidRPr="00150EDC">
              <w:rPr>
                <w:spacing w:val="-7"/>
                <w:sz w:val="24"/>
              </w:rPr>
              <w:t xml:space="preserve"> </w:t>
            </w:r>
            <w:r w:rsidRPr="00150EDC">
              <w:rPr>
                <w:sz w:val="24"/>
              </w:rPr>
              <w:t>a</w:t>
            </w:r>
            <w:r w:rsidRPr="00150EDC">
              <w:rPr>
                <w:spacing w:val="-5"/>
                <w:sz w:val="24"/>
              </w:rPr>
              <w:t xml:space="preserve"> </w:t>
            </w:r>
            <w:r w:rsidRPr="00150EDC">
              <w:rPr>
                <w:spacing w:val="-2"/>
                <w:sz w:val="24"/>
              </w:rPr>
              <w:t>partnership:</w:t>
            </w:r>
          </w:p>
          <w:p w14:paraId="63B96B65" w14:textId="77777777" w:rsidR="004C7180" w:rsidRPr="00150EDC" w:rsidRDefault="00CF0754" w:rsidP="00B320C7">
            <w:pPr>
              <w:pStyle w:val="TableParagraph"/>
              <w:numPr>
                <w:ilvl w:val="1"/>
                <w:numId w:val="118"/>
              </w:numPr>
              <w:tabs>
                <w:tab w:val="left" w:pos="559"/>
              </w:tabs>
              <w:spacing w:before="120" w:line="240" w:lineRule="auto"/>
              <w:ind w:right="96" w:firstLine="0"/>
              <w:jc w:val="both"/>
              <w:rPr>
                <w:sz w:val="24"/>
              </w:rPr>
            </w:pPr>
            <w:r w:rsidRPr="00150EDC">
              <w:rPr>
                <w:sz w:val="24"/>
              </w:rPr>
              <w:t>a petition is presented (which is not dismissed within 14 days of its service), a notice is given, a resolution is passed, or an order is made, for or in connection with the winding up of that person other than for the sole purpose of a scheme for a solvent amalgamation of that person with one or more other companies or the solvent reconstruction of that person;</w:t>
            </w:r>
          </w:p>
          <w:p w14:paraId="5B59E45F" w14:textId="77777777" w:rsidR="004C7180" w:rsidRPr="00150EDC" w:rsidRDefault="00CF0754" w:rsidP="00B320C7">
            <w:pPr>
              <w:pStyle w:val="TableParagraph"/>
              <w:numPr>
                <w:ilvl w:val="1"/>
                <w:numId w:val="118"/>
              </w:numPr>
              <w:tabs>
                <w:tab w:val="left" w:pos="641"/>
              </w:tabs>
              <w:spacing w:before="121" w:line="240" w:lineRule="auto"/>
              <w:ind w:right="94" w:firstLine="0"/>
              <w:jc w:val="both"/>
              <w:rPr>
                <w:sz w:val="24"/>
              </w:rPr>
            </w:pPr>
            <w:r w:rsidRPr="00150EDC">
              <w:rPr>
                <w:sz w:val="24"/>
              </w:rPr>
              <w:t>an application is made to court, or an order is made, for the appointment</w:t>
            </w:r>
            <w:r w:rsidRPr="00150EDC">
              <w:rPr>
                <w:spacing w:val="-10"/>
                <w:sz w:val="24"/>
              </w:rPr>
              <w:t xml:space="preserve"> </w:t>
            </w:r>
            <w:r w:rsidRPr="00150EDC">
              <w:rPr>
                <w:sz w:val="24"/>
              </w:rPr>
              <w:t>of</w:t>
            </w:r>
            <w:r w:rsidRPr="00150EDC">
              <w:rPr>
                <w:spacing w:val="-12"/>
                <w:sz w:val="24"/>
              </w:rPr>
              <w:t xml:space="preserve"> </w:t>
            </w:r>
            <w:r w:rsidRPr="00150EDC">
              <w:rPr>
                <w:sz w:val="24"/>
              </w:rPr>
              <w:t>an</w:t>
            </w:r>
            <w:r w:rsidRPr="00150EDC">
              <w:rPr>
                <w:spacing w:val="-12"/>
                <w:sz w:val="24"/>
              </w:rPr>
              <w:t xml:space="preserve"> </w:t>
            </w:r>
            <w:r w:rsidRPr="00150EDC">
              <w:rPr>
                <w:sz w:val="24"/>
              </w:rPr>
              <w:t>administrator,</w:t>
            </w:r>
            <w:r w:rsidRPr="00150EDC">
              <w:rPr>
                <w:spacing w:val="-10"/>
                <w:sz w:val="24"/>
              </w:rPr>
              <w:t xml:space="preserve"> </w:t>
            </w:r>
            <w:r w:rsidRPr="00150EDC">
              <w:rPr>
                <w:sz w:val="24"/>
              </w:rPr>
              <w:t>or</w:t>
            </w:r>
            <w:r w:rsidRPr="00150EDC">
              <w:rPr>
                <w:spacing w:val="-11"/>
                <w:sz w:val="24"/>
              </w:rPr>
              <w:t xml:space="preserve"> </w:t>
            </w:r>
            <w:r w:rsidRPr="00150EDC">
              <w:rPr>
                <w:sz w:val="24"/>
              </w:rPr>
              <w:t>if</w:t>
            </w:r>
            <w:r w:rsidRPr="00150EDC">
              <w:rPr>
                <w:spacing w:val="-13"/>
                <w:sz w:val="24"/>
              </w:rPr>
              <w:t xml:space="preserve"> </w:t>
            </w:r>
            <w:r w:rsidRPr="00150EDC">
              <w:rPr>
                <w:sz w:val="24"/>
              </w:rPr>
              <w:t>a</w:t>
            </w:r>
            <w:r w:rsidRPr="00150EDC">
              <w:rPr>
                <w:spacing w:val="-12"/>
                <w:sz w:val="24"/>
              </w:rPr>
              <w:t xml:space="preserve"> </w:t>
            </w:r>
            <w:r w:rsidRPr="00150EDC">
              <w:rPr>
                <w:sz w:val="24"/>
              </w:rPr>
              <w:t>notice</w:t>
            </w:r>
            <w:r w:rsidRPr="00150EDC">
              <w:rPr>
                <w:spacing w:val="-14"/>
                <w:sz w:val="24"/>
              </w:rPr>
              <w:t xml:space="preserve"> </w:t>
            </w:r>
            <w:r w:rsidRPr="00150EDC">
              <w:rPr>
                <w:sz w:val="24"/>
              </w:rPr>
              <w:t>of</w:t>
            </w:r>
            <w:r w:rsidRPr="00150EDC">
              <w:rPr>
                <w:spacing w:val="-10"/>
                <w:sz w:val="24"/>
              </w:rPr>
              <w:t xml:space="preserve"> </w:t>
            </w:r>
            <w:r w:rsidRPr="00150EDC">
              <w:rPr>
                <w:sz w:val="24"/>
              </w:rPr>
              <w:t>intention</w:t>
            </w:r>
            <w:r w:rsidRPr="00150EDC">
              <w:rPr>
                <w:spacing w:val="-9"/>
                <w:sz w:val="24"/>
              </w:rPr>
              <w:t xml:space="preserve"> </w:t>
            </w:r>
            <w:r w:rsidRPr="00150EDC">
              <w:rPr>
                <w:sz w:val="24"/>
              </w:rPr>
              <w:t>to</w:t>
            </w:r>
            <w:r w:rsidRPr="00150EDC">
              <w:rPr>
                <w:spacing w:val="-9"/>
                <w:sz w:val="24"/>
              </w:rPr>
              <w:t xml:space="preserve"> </w:t>
            </w:r>
            <w:r w:rsidRPr="00150EDC">
              <w:rPr>
                <w:sz w:val="24"/>
              </w:rPr>
              <w:t>appoint an administrator is filed at Court or given or if an administrator is appointed, over that person;</w:t>
            </w:r>
          </w:p>
          <w:p w14:paraId="229AF2D2" w14:textId="77777777" w:rsidR="004C7180" w:rsidRPr="00150EDC" w:rsidRDefault="00CF0754" w:rsidP="00B320C7">
            <w:pPr>
              <w:pStyle w:val="TableParagraph"/>
              <w:numPr>
                <w:ilvl w:val="1"/>
                <w:numId w:val="118"/>
              </w:numPr>
              <w:tabs>
                <w:tab w:val="left" w:pos="676"/>
              </w:tabs>
              <w:spacing w:before="120" w:line="240" w:lineRule="auto"/>
              <w:ind w:right="103" w:firstLine="0"/>
              <w:jc w:val="both"/>
              <w:rPr>
                <w:sz w:val="24"/>
              </w:rPr>
            </w:pPr>
            <w:r w:rsidRPr="00150EDC">
              <w:rPr>
                <w:sz w:val="24"/>
              </w:rPr>
              <w:t>(being a company or a LLP) the holder of a qualifying floating charge over the assets of that person has become entitled to appoint or has appointed an administrative receiver; or</w:t>
            </w:r>
          </w:p>
          <w:p w14:paraId="2D6221C1" w14:textId="77777777" w:rsidR="004C7180" w:rsidRPr="00150EDC" w:rsidRDefault="00CF0754" w:rsidP="00B320C7">
            <w:pPr>
              <w:pStyle w:val="TableParagraph"/>
              <w:numPr>
                <w:ilvl w:val="1"/>
                <w:numId w:val="118"/>
              </w:numPr>
              <w:tabs>
                <w:tab w:val="left" w:pos="658"/>
              </w:tabs>
              <w:spacing w:before="120" w:line="240" w:lineRule="auto"/>
              <w:ind w:right="98" w:firstLine="0"/>
              <w:jc w:val="both"/>
              <w:rPr>
                <w:sz w:val="24"/>
              </w:rPr>
            </w:pPr>
            <w:r w:rsidRPr="00150EDC">
              <w:rPr>
                <w:sz w:val="24"/>
              </w:rPr>
              <w:t>(being</w:t>
            </w:r>
            <w:r w:rsidRPr="00150EDC">
              <w:rPr>
                <w:spacing w:val="-17"/>
                <w:sz w:val="24"/>
              </w:rPr>
              <w:t xml:space="preserve"> </w:t>
            </w:r>
            <w:r w:rsidRPr="00150EDC">
              <w:rPr>
                <w:sz w:val="24"/>
              </w:rPr>
              <w:t>a</w:t>
            </w:r>
            <w:r w:rsidRPr="00150EDC">
              <w:rPr>
                <w:spacing w:val="-17"/>
                <w:sz w:val="24"/>
              </w:rPr>
              <w:t xml:space="preserve"> </w:t>
            </w:r>
            <w:r w:rsidRPr="00150EDC">
              <w:rPr>
                <w:sz w:val="24"/>
              </w:rPr>
              <w:t>partnership)</w:t>
            </w:r>
            <w:r w:rsidRPr="00150EDC">
              <w:rPr>
                <w:spacing w:val="-16"/>
                <w:sz w:val="24"/>
              </w:rPr>
              <w:t xml:space="preserve"> </w:t>
            </w:r>
            <w:r w:rsidRPr="00150EDC">
              <w:rPr>
                <w:sz w:val="24"/>
              </w:rPr>
              <w:t>the</w:t>
            </w:r>
            <w:r w:rsidRPr="00150EDC">
              <w:rPr>
                <w:spacing w:val="-17"/>
                <w:sz w:val="24"/>
              </w:rPr>
              <w:t xml:space="preserve"> </w:t>
            </w:r>
            <w:r w:rsidRPr="00150EDC">
              <w:rPr>
                <w:sz w:val="24"/>
              </w:rPr>
              <w:t>holder</w:t>
            </w:r>
            <w:r w:rsidRPr="00150EDC">
              <w:rPr>
                <w:spacing w:val="-17"/>
                <w:sz w:val="24"/>
              </w:rPr>
              <w:t xml:space="preserve"> </w:t>
            </w:r>
            <w:r w:rsidRPr="00150EDC">
              <w:rPr>
                <w:sz w:val="24"/>
              </w:rPr>
              <w:t>of</w:t>
            </w:r>
            <w:r w:rsidRPr="00150EDC">
              <w:rPr>
                <w:spacing w:val="-17"/>
                <w:sz w:val="24"/>
              </w:rPr>
              <w:t xml:space="preserve"> </w:t>
            </w:r>
            <w:r w:rsidRPr="00150EDC">
              <w:rPr>
                <w:sz w:val="24"/>
              </w:rPr>
              <w:t>an</w:t>
            </w:r>
            <w:r w:rsidRPr="00150EDC">
              <w:rPr>
                <w:spacing w:val="-16"/>
                <w:sz w:val="24"/>
              </w:rPr>
              <w:t xml:space="preserve"> </w:t>
            </w:r>
            <w:r w:rsidRPr="00150EDC">
              <w:rPr>
                <w:sz w:val="24"/>
              </w:rPr>
              <w:t>agricultural</w:t>
            </w:r>
            <w:r w:rsidRPr="00150EDC">
              <w:rPr>
                <w:spacing w:val="-17"/>
                <w:sz w:val="24"/>
              </w:rPr>
              <w:t xml:space="preserve"> </w:t>
            </w:r>
            <w:r w:rsidRPr="00150EDC">
              <w:rPr>
                <w:sz w:val="24"/>
              </w:rPr>
              <w:t>floating</w:t>
            </w:r>
            <w:r w:rsidRPr="00150EDC">
              <w:rPr>
                <w:spacing w:val="-17"/>
                <w:sz w:val="24"/>
              </w:rPr>
              <w:t xml:space="preserve"> </w:t>
            </w:r>
            <w:r w:rsidRPr="00150EDC">
              <w:rPr>
                <w:sz w:val="24"/>
              </w:rPr>
              <w:t>charge over</w:t>
            </w:r>
            <w:r w:rsidRPr="00150EDC">
              <w:rPr>
                <w:spacing w:val="-16"/>
                <w:sz w:val="24"/>
              </w:rPr>
              <w:t xml:space="preserve"> </w:t>
            </w:r>
            <w:r w:rsidRPr="00150EDC">
              <w:rPr>
                <w:sz w:val="24"/>
              </w:rPr>
              <w:t>the</w:t>
            </w:r>
            <w:r w:rsidRPr="00150EDC">
              <w:rPr>
                <w:spacing w:val="-14"/>
                <w:sz w:val="24"/>
              </w:rPr>
              <w:t xml:space="preserve"> </w:t>
            </w:r>
            <w:r w:rsidRPr="00150EDC">
              <w:rPr>
                <w:sz w:val="24"/>
              </w:rPr>
              <w:t>assets</w:t>
            </w:r>
            <w:r w:rsidRPr="00150EDC">
              <w:rPr>
                <w:spacing w:val="-14"/>
                <w:sz w:val="24"/>
              </w:rPr>
              <w:t xml:space="preserve"> </w:t>
            </w:r>
            <w:r w:rsidRPr="00150EDC">
              <w:rPr>
                <w:sz w:val="24"/>
              </w:rPr>
              <w:t>of</w:t>
            </w:r>
            <w:r w:rsidRPr="00150EDC">
              <w:rPr>
                <w:spacing w:val="-14"/>
                <w:sz w:val="24"/>
              </w:rPr>
              <w:t xml:space="preserve"> </w:t>
            </w:r>
            <w:r w:rsidRPr="00150EDC">
              <w:rPr>
                <w:sz w:val="24"/>
              </w:rPr>
              <w:t>that</w:t>
            </w:r>
            <w:r w:rsidRPr="00150EDC">
              <w:rPr>
                <w:spacing w:val="-14"/>
                <w:sz w:val="24"/>
              </w:rPr>
              <w:t xml:space="preserve"> </w:t>
            </w:r>
            <w:r w:rsidRPr="00150EDC">
              <w:rPr>
                <w:sz w:val="24"/>
              </w:rPr>
              <w:t>person</w:t>
            </w:r>
            <w:r w:rsidRPr="00150EDC">
              <w:rPr>
                <w:spacing w:val="-14"/>
                <w:sz w:val="24"/>
              </w:rPr>
              <w:t xml:space="preserve"> </w:t>
            </w:r>
            <w:r w:rsidRPr="00150EDC">
              <w:rPr>
                <w:sz w:val="24"/>
              </w:rPr>
              <w:t>has</w:t>
            </w:r>
            <w:r w:rsidRPr="00150EDC">
              <w:rPr>
                <w:spacing w:val="-15"/>
                <w:sz w:val="24"/>
              </w:rPr>
              <w:t xml:space="preserve"> </w:t>
            </w:r>
            <w:r w:rsidRPr="00150EDC">
              <w:rPr>
                <w:sz w:val="24"/>
              </w:rPr>
              <w:t>become</w:t>
            </w:r>
            <w:r w:rsidRPr="00150EDC">
              <w:rPr>
                <w:spacing w:val="-14"/>
                <w:sz w:val="24"/>
              </w:rPr>
              <w:t xml:space="preserve"> </w:t>
            </w:r>
            <w:r w:rsidRPr="00150EDC">
              <w:rPr>
                <w:sz w:val="24"/>
              </w:rPr>
              <w:t>entitled</w:t>
            </w:r>
            <w:r w:rsidRPr="00150EDC">
              <w:rPr>
                <w:spacing w:val="-14"/>
                <w:sz w:val="24"/>
              </w:rPr>
              <w:t xml:space="preserve"> </w:t>
            </w:r>
            <w:r w:rsidRPr="00150EDC">
              <w:rPr>
                <w:sz w:val="24"/>
              </w:rPr>
              <w:t>to</w:t>
            </w:r>
            <w:r w:rsidRPr="00150EDC">
              <w:rPr>
                <w:spacing w:val="-14"/>
                <w:sz w:val="24"/>
              </w:rPr>
              <w:t xml:space="preserve"> </w:t>
            </w:r>
            <w:r w:rsidRPr="00150EDC">
              <w:rPr>
                <w:sz w:val="24"/>
              </w:rPr>
              <w:t>appoint</w:t>
            </w:r>
            <w:r w:rsidRPr="00150EDC">
              <w:rPr>
                <w:spacing w:val="-14"/>
                <w:sz w:val="24"/>
              </w:rPr>
              <w:t xml:space="preserve"> </w:t>
            </w:r>
            <w:r w:rsidRPr="00150EDC">
              <w:rPr>
                <w:sz w:val="24"/>
              </w:rPr>
              <w:t>or</w:t>
            </w:r>
            <w:r w:rsidRPr="00150EDC">
              <w:rPr>
                <w:spacing w:val="-16"/>
                <w:sz w:val="24"/>
              </w:rPr>
              <w:t xml:space="preserve"> </w:t>
            </w:r>
            <w:r w:rsidRPr="00150EDC">
              <w:rPr>
                <w:sz w:val="24"/>
              </w:rPr>
              <w:t>has appointed an agricultural receiver; or</w:t>
            </w:r>
          </w:p>
          <w:p w14:paraId="28B5BD2F" w14:textId="77777777" w:rsidR="004C7180" w:rsidRPr="00150EDC" w:rsidRDefault="00CF0754">
            <w:pPr>
              <w:pStyle w:val="TableParagraph"/>
              <w:spacing w:before="120" w:line="240" w:lineRule="auto"/>
              <w:ind w:left="277" w:right="97"/>
              <w:jc w:val="both"/>
              <w:rPr>
                <w:sz w:val="24"/>
              </w:rPr>
            </w:pPr>
            <w:r w:rsidRPr="00150EDC">
              <w:rPr>
                <w:sz w:val="24"/>
              </w:rPr>
              <w:t>(g) any event occurs, or proceeding is taken, with respect to that person in any jurisdiction to which it is subject that has an effect equivalent or similar to any of the events mentioned above;</w:t>
            </w:r>
          </w:p>
        </w:tc>
      </w:tr>
      <w:tr w:rsidR="007D3144" w:rsidRPr="007D3144" w14:paraId="3847DC7D" w14:textId="77777777">
        <w:trPr>
          <w:trHeight w:val="947"/>
        </w:trPr>
        <w:tc>
          <w:tcPr>
            <w:tcW w:w="2264" w:type="dxa"/>
          </w:tcPr>
          <w:p w14:paraId="0A56E8E0" w14:textId="77777777" w:rsidR="004C7180" w:rsidRPr="00150EDC" w:rsidRDefault="00CF0754">
            <w:pPr>
              <w:pStyle w:val="TableParagraph"/>
              <w:spacing w:before="0" w:line="240" w:lineRule="auto"/>
              <w:ind w:left="-1" w:right="298"/>
              <w:rPr>
                <w:b/>
                <w:sz w:val="24"/>
              </w:rPr>
            </w:pPr>
            <w:r w:rsidRPr="00150EDC">
              <w:rPr>
                <w:b/>
                <w:spacing w:val="-2"/>
                <w:sz w:val="24"/>
              </w:rPr>
              <w:t>"Installation Works"</w:t>
            </w:r>
          </w:p>
        </w:tc>
        <w:tc>
          <w:tcPr>
            <w:tcW w:w="7484" w:type="dxa"/>
          </w:tcPr>
          <w:p w14:paraId="43308AC1" w14:textId="77777777" w:rsidR="004C7180" w:rsidRPr="00150EDC" w:rsidRDefault="00CF0754">
            <w:pPr>
              <w:pStyle w:val="TableParagraph"/>
              <w:spacing w:before="0" w:line="240" w:lineRule="auto"/>
              <w:ind w:left="277" w:right="101"/>
              <w:jc w:val="both"/>
              <w:rPr>
                <w:sz w:val="24"/>
              </w:rPr>
            </w:pPr>
            <w:r w:rsidRPr="00150EDC">
              <w:rPr>
                <w:sz w:val="24"/>
              </w:rPr>
              <w:t>all works which the Supplier is to carry out at the beginning of the Order Contract Period to install the Goods in accordance with the Order Contract;</w:t>
            </w:r>
          </w:p>
        </w:tc>
      </w:tr>
      <w:tr w:rsidR="007D3144" w:rsidRPr="007D3144" w14:paraId="424B7458" w14:textId="77777777">
        <w:trPr>
          <w:trHeight w:val="1775"/>
        </w:trPr>
        <w:tc>
          <w:tcPr>
            <w:tcW w:w="2264" w:type="dxa"/>
          </w:tcPr>
          <w:p w14:paraId="37E2811A" w14:textId="77777777" w:rsidR="004C7180" w:rsidRPr="00150EDC" w:rsidRDefault="00CF0754">
            <w:pPr>
              <w:pStyle w:val="TableParagraph"/>
              <w:spacing w:before="0" w:line="240" w:lineRule="auto"/>
              <w:ind w:left="-1" w:right="148"/>
              <w:rPr>
                <w:b/>
                <w:sz w:val="24"/>
              </w:rPr>
            </w:pPr>
            <w:r w:rsidRPr="00150EDC">
              <w:rPr>
                <w:b/>
                <w:spacing w:val="-2"/>
                <w:sz w:val="24"/>
              </w:rPr>
              <w:t xml:space="preserve">"Intellectual </w:t>
            </w:r>
            <w:r w:rsidRPr="00150EDC">
              <w:rPr>
                <w:b/>
                <w:sz w:val="24"/>
              </w:rPr>
              <w:t>Property</w:t>
            </w:r>
            <w:r w:rsidRPr="00150EDC">
              <w:rPr>
                <w:b/>
                <w:spacing w:val="-17"/>
                <w:sz w:val="24"/>
              </w:rPr>
              <w:t xml:space="preserve"> </w:t>
            </w:r>
            <w:r w:rsidRPr="00150EDC">
              <w:rPr>
                <w:b/>
                <w:sz w:val="24"/>
              </w:rPr>
              <w:t>Rights" or "IPR"</w:t>
            </w:r>
          </w:p>
        </w:tc>
        <w:tc>
          <w:tcPr>
            <w:tcW w:w="7484" w:type="dxa"/>
          </w:tcPr>
          <w:p w14:paraId="077F862F" w14:textId="77777777" w:rsidR="004C7180" w:rsidRPr="00150EDC" w:rsidRDefault="00CF0754">
            <w:pPr>
              <w:pStyle w:val="TableParagraph"/>
              <w:spacing w:before="0" w:line="240" w:lineRule="auto"/>
              <w:ind w:left="539" w:right="95" w:hanging="288"/>
              <w:jc w:val="both"/>
              <w:rPr>
                <w:sz w:val="24"/>
              </w:rPr>
            </w:pPr>
            <w:r w:rsidRPr="00150EDC">
              <w:rPr>
                <w:sz w:val="24"/>
              </w:rPr>
              <w:t>l) copyright, rights related to or affording protection similar to copyright, rights in databases, patents and rights in inventions, semi-conductor</w:t>
            </w:r>
            <w:r w:rsidRPr="00150EDC">
              <w:rPr>
                <w:spacing w:val="-1"/>
                <w:sz w:val="24"/>
              </w:rPr>
              <w:t xml:space="preserve"> </w:t>
            </w:r>
            <w:r w:rsidRPr="00150EDC">
              <w:rPr>
                <w:sz w:val="24"/>
              </w:rPr>
              <w:t>topography rights,</w:t>
            </w:r>
            <w:r w:rsidRPr="00150EDC">
              <w:rPr>
                <w:spacing w:val="-2"/>
                <w:sz w:val="24"/>
              </w:rPr>
              <w:t xml:space="preserve"> </w:t>
            </w:r>
            <w:r w:rsidRPr="00150EDC">
              <w:rPr>
                <w:sz w:val="24"/>
              </w:rPr>
              <w:t>trade</w:t>
            </w:r>
            <w:r w:rsidRPr="00150EDC">
              <w:rPr>
                <w:spacing w:val="-2"/>
                <w:sz w:val="24"/>
              </w:rPr>
              <w:t xml:space="preserve"> </w:t>
            </w:r>
            <w:r w:rsidRPr="00150EDC">
              <w:rPr>
                <w:sz w:val="24"/>
              </w:rPr>
              <w:t>marks,</w:t>
            </w:r>
            <w:r w:rsidRPr="00150EDC">
              <w:rPr>
                <w:spacing w:val="-1"/>
                <w:sz w:val="24"/>
              </w:rPr>
              <w:t xml:space="preserve"> </w:t>
            </w:r>
            <w:r w:rsidRPr="00150EDC">
              <w:rPr>
                <w:sz w:val="24"/>
              </w:rPr>
              <w:t>rights in</w:t>
            </w:r>
            <w:r w:rsidRPr="00150EDC">
              <w:rPr>
                <w:spacing w:val="-2"/>
                <w:sz w:val="24"/>
              </w:rPr>
              <w:t xml:space="preserve"> </w:t>
            </w:r>
            <w:r w:rsidRPr="00150EDC">
              <w:rPr>
                <w:sz w:val="24"/>
              </w:rPr>
              <w:t>internet domain names and website addresses and other rights in trade or business names, goodwill, designs, Know-How, trade secrets and other rights in Confidential Information;</w:t>
            </w:r>
          </w:p>
        </w:tc>
      </w:tr>
    </w:tbl>
    <w:p w14:paraId="63BB2171" w14:textId="77777777" w:rsidR="004C7180" w:rsidRPr="00150EDC" w:rsidRDefault="004C7180">
      <w:pPr>
        <w:jc w:val="both"/>
        <w:rPr>
          <w:sz w:val="24"/>
        </w:rPr>
        <w:sectPr w:rsidR="004C7180" w:rsidRPr="00150EDC">
          <w:pgSz w:w="11910" w:h="16840"/>
          <w:pgMar w:top="1160" w:right="0" w:bottom="1420" w:left="40" w:header="715" w:footer="1208" w:gutter="0"/>
          <w:cols w:space="720"/>
        </w:sectPr>
      </w:pPr>
    </w:p>
    <w:p w14:paraId="1CFEE536" w14:textId="77777777" w:rsidR="004C7180" w:rsidRPr="00150EDC" w:rsidRDefault="004C7180">
      <w:pPr>
        <w:pStyle w:val="BodyText"/>
        <w:spacing w:before="7"/>
        <w:rPr>
          <w:sz w:val="23"/>
        </w:rPr>
      </w:pPr>
    </w:p>
    <w:tbl>
      <w:tblPr>
        <w:tblW w:w="0" w:type="auto"/>
        <w:tblInd w:w="1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4"/>
        <w:gridCol w:w="7484"/>
      </w:tblGrid>
      <w:tr w:rsidR="007D3144" w:rsidRPr="007D3144" w14:paraId="2F1521F3" w14:textId="77777777">
        <w:trPr>
          <w:trHeight w:val="1619"/>
        </w:trPr>
        <w:tc>
          <w:tcPr>
            <w:tcW w:w="2264" w:type="dxa"/>
          </w:tcPr>
          <w:p w14:paraId="79AC1770" w14:textId="77777777" w:rsidR="004C7180" w:rsidRPr="00150EDC" w:rsidRDefault="004C7180">
            <w:pPr>
              <w:pStyle w:val="TableParagraph"/>
              <w:spacing w:before="0" w:line="240" w:lineRule="auto"/>
              <w:ind w:left="0"/>
              <w:rPr>
                <w:rFonts w:ascii="Times New Roman"/>
              </w:rPr>
            </w:pPr>
          </w:p>
        </w:tc>
        <w:tc>
          <w:tcPr>
            <w:tcW w:w="7484" w:type="dxa"/>
          </w:tcPr>
          <w:p w14:paraId="5A0C272F" w14:textId="77777777" w:rsidR="004C7180" w:rsidRPr="00150EDC" w:rsidRDefault="00CF0754" w:rsidP="00B320C7">
            <w:pPr>
              <w:pStyle w:val="TableParagraph"/>
              <w:numPr>
                <w:ilvl w:val="0"/>
                <w:numId w:val="117"/>
              </w:numPr>
              <w:tabs>
                <w:tab w:val="left" w:pos="537"/>
                <w:tab w:val="left" w:pos="539"/>
              </w:tabs>
              <w:spacing w:before="0" w:line="240" w:lineRule="auto"/>
              <w:ind w:right="100"/>
              <w:jc w:val="both"/>
              <w:rPr>
                <w:sz w:val="24"/>
              </w:rPr>
            </w:pPr>
            <w:r w:rsidRPr="00150EDC">
              <w:rPr>
                <w:sz w:val="24"/>
              </w:rPr>
              <w:t>applications</w:t>
            </w:r>
            <w:r w:rsidRPr="00150EDC">
              <w:rPr>
                <w:spacing w:val="-15"/>
                <w:sz w:val="24"/>
              </w:rPr>
              <w:t xml:space="preserve"> </w:t>
            </w:r>
            <w:r w:rsidRPr="00150EDC">
              <w:rPr>
                <w:sz w:val="24"/>
              </w:rPr>
              <w:t>for</w:t>
            </w:r>
            <w:r w:rsidRPr="00150EDC">
              <w:rPr>
                <w:spacing w:val="-13"/>
                <w:sz w:val="24"/>
              </w:rPr>
              <w:t xml:space="preserve"> </w:t>
            </w:r>
            <w:r w:rsidRPr="00150EDC">
              <w:rPr>
                <w:sz w:val="24"/>
              </w:rPr>
              <w:t>registration,</w:t>
            </w:r>
            <w:r w:rsidRPr="00150EDC">
              <w:rPr>
                <w:spacing w:val="-14"/>
                <w:sz w:val="24"/>
              </w:rPr>
              <w:t xml:space="preserve"> </w:t>
            </w:r>
            <w:r w:rsidRPr="00150EDC">
              <w:rPr>
                <w:sz w:val="24"/>
              </w:rPr>
              <w:t>and</w:t>
            </w:r>
            <w:r w:rsidRPr="00150EDC">
              <w:rPr>
                <w:spacing w:val="-14"/>
                <w:sz w:val="24"/>
              </w:rPr>
              <w:t xml:space="preserve"> </w:t>
            </w:r>
            <w:r w:rsidRPr="00150EDC">
              <w:rPr>
                <w:sz w:val="24"/>
              </w:rPr>
              <w:t>the</w:t>
            </w:r>
            <w:r w:rsidRPr="00150EDC">
              <w:rPr>
                <w:spacing w:val="-11"/>
                <w:sz w:val="24"/>
              </w:rPr>
              <w:t xml:space="preserve"> </w:t>
            </w:r>
            <w:r w:rsidRPr="00150EDC">
              <w:rPr>
                <w:sz w:val="24"/>
              </w:rPr>
              <w:t>right</w:t>
            </w:r>
            <w:r w:rsidRPr="00150EDC">
              <w:rPr>
                <w:spacing w:val="-14"/>
                <w:sz w:val="24"/>
              </w:rPr>
              <w:t xml:space="preserve"> </w:t>
            </w:r>
            <w:r w:rsidRPr="00150EDC">
              <w:rPr>
                <w:sz w:val="24"/>
              </w:rPr>
              <w:t>to</w:t>
            </w:r>
            <w:r w:rsidRPr="00150EDC">
              <w:rPr>
                <w:spacing w:val="-13"/>
                <w:sz w:val="24"/>
              </w:rPr>
              <w:t xml:space="preserve"> </w:t>
            </w:r>
            <w:r w:rsidRPr="00150EDC">
              <w:rPr>
                <w:sz w:val="24"/>
              </w:rPr>
              <w:t>apply</w:t>
            </w:r>
            <w:r w:rsidRPr="00150EDC">
              <w:rPr>
                <w:spacing w:val="-13"/>
                <w:sz w:val="24"/>
              </w:rPr>
              <w:t xml:space="preserve"> </w:t>
            </w:r>
            <w:r w:rsidRPr="00150EDC">
              <w:rPr>
                <w:sz w:val="24"/>
              </w:rPr>
              <w:t>for</w:t>
            </w:r>
            <w:r w:rsidRPr="00150EDC">
              <w:rPr>
                <w:spacing w:val="-13"/>
                <w:sz w:val="24"/>
              </w:rPr>
              <w:t xml:space="preserve"> </w:t>
            </w:r>
            <w:r w:rsidRPr="00150EDC">
              <w:rPr>
                <w:sz w:val="24"/>
              </w:rPr>
              <w:t>registration, for any of the rights listed at (a) that are capable of being registered in any country or jurisdiction; and</w:t>
            </w:r>
          </w:p>
          <w:p w14:paraId="1F482DE3" w14:textId="77777777" w:rsidR="004C7180" w:rsidRPr="00150EDC" w:rsidRDefault="00CF0754" w:rsidP="00B320C7">
            <w:pPr>
              <w:pStyle w:val="TableParagraph"/>
              <w:numPr>
                <w:ilvl w:val="0"/>
                <w:numId w:val="117"/>
              </w:numPr>
              <w:tabs>
                <w:tab w:val="left" w:pos="537"/>
                <w:tab w:val="left" w:pos="539"/>
              </w:tabs>
              <w:spacing w:before="120" w:line="240" w:lineRule="auto"/>
              <w:ind w:right="102"/>
              <w:jc w:val="both"/>
              <w:rPr>
                <w:sz w:val="24"/>
              </w:rPr>
            </w:pPr>
            <w:r w:rsidRPr="00150EDC">
              <w:rPr>
                <w:sz w:val="24"/>
              </w:rPr>
              <w:t>all other rights having equivalent or similar effect in any country or jurisdiction;</w:t>
            </w:r>
          </w:p>
        </w:tc>
      </w:tr>
      <w:tr w:rsidR="007D3144" w:rsidRPr="007D3144" w14:paraId="6620F655" w14:textId="77777777">
        <w:trPr>
          <w:trHeight w:val="671"/>
        </w:trPr>
        <w:tc>
          <w:tcPr>
            <w:tcW w:w="2264" w:type="dxa"/>
          </w:tcPr>
          <w:p w14:paraId="58C441DD" w14:textId="77777777" w:rsidR="004C7180" w:rsidRPr="00150EDC" w:rsidRDefault="00CF0754">
            <w:pPr>
              <w:pStyle w:val="TableParagraph"/>
              <w:spacing w:before="0" w:line="240" w:lineRule="auto"/>
              <w:ind w:left="-1" w:right="298"/>
              <w:rPr>
                <w:b/>
                <w:sz w:val="24"/>
              </w:rPr>
            </w:pPr>
            <w:r w:rsidRPr="00150EDC">
              <w:rPr>
                <w:b/>
                <w:spacing w:val="-2"/>
                <w:sz w:val="24"/>
              </w:rPr>
              <w:t>"Invoicing Address"</w:t>
            </w:r>
          </w:p>
        </w:tc>
        <w:tc>
          <w:tcPr>
            <w:tcW w:w="7484" w:type="dxa"/>
          </w:tcPr>
          <w:p w14:paraId="7C1FAC46" w14:textId="77777777" w:rsidR="004C7180" w:rsidRPr="00150EDC" w:rsidRDefault="00CF0754">
            <w:pPr>
              <w:pStyle w:val="TableParagraph"/>
              <w:spacing w:before="0" w:line="240" w:lineRule="auto"/>
              <w:ind w:left="277"/>
              <w:rPr>
                <w:sz w:val="24"/>
              </w:rPr>
            </w:pPr>
            <w:r w:rsidRPr="00150EDC">
              <w:rPr>
                <w:sz w:val="24"/>
              </w:rPr>
              <w:t>the</w:t>
            </w:r>
            <w:r w:rsidRPr="00150EDC">
              <w:rPr>
                <w:spacing w:val="71"/>
                <w:sz w:val="24"/>
              </w:rPr>
              <w:t xml:space="preserve"> </w:t>
            </w:r>
            <w:r w:rsidRPr="00150EDC">
              <w:rPr>
                <w:sz w:val="24"/>
              </w:rPr>
              <w:t>address</w:t>
            </w:r>
            <w:r w:rsidRPr="00150EDC">
              <w:rPr>
                <w:spacing w:val="73"/>
                <w:sz w:val="24"/>
              </w:rPr>
              <w:t xml:space="preserve"> </w:t>
            </w:r>
            <w:r w:rsidRPr="00150EDC">
              <w:rPr>
                <w:sz w:val="24"/>
              </w:rPr>
              <w:t>to</w:t>
            </w:r>
            <w:r w:rsidRPr="00150EDC">
              <w:rPr>
                <w:spacing w:val="74"/>
                <w:sz w:val="24"/>
              </w:rPr>
              <w:t xml:space="preserve"> </w:t>
            </w:r>
            <w:r w:rsidRPr="00150EDC">
              <w:rPr>
                <w:sz w:val="24"/>
              </w:rPr>
              <w:t>which</w:t>
            </w:r>
            <w:r w:rsidRPr="00150EDC">
              <w:rPr>
                <w:spacing w:val="71"/>
                <w:sz w:val="24"/>
              </w:rPr>
              <w:t xml:space="preserve"> </w:t>
            </w:r>
            <w:r w:rsidRPr="00150EDC">
              <w:rPr>
                <w:sz w:val="24"/>
              </w:rPr>
              <w:t>the</w:t>
            </w:r>
            <w:r w:rsidRPr="00150EDC">
              <w:rPr>
                <w:spacing w:val="71"/>
                <w:sz w:val="24"/>
              </w:rPr>
              <w:t xml:space="preserve"> </w:t>
            </w:r>
            <w:r w:rsidRPr="00150EDC">
              <w:rPr>
                <w:sz w:val="24"/>
              </w:rPr>
              <w:t>Supplier</w:t>
            </w:r>
            <w:r w:rsidRPr="00150EDC">
              <w:rPr>
                <w:spacing w:val="40"/>
                <w:sz w:val="24"/>
              </w:rPr>
              <w:t xml:space="preserve"> </w:t>
            </w:r>
            <w:r w:rsidRPr="00150EDC">
              <w:rPr>
                <w:sz w:val="24"/>
              </w:rPr>
              <w:t>shall</w:t>
            </w:r>
            <w:r w:rsidRPr="00150EDC">
              <w:rPr>
                <w:spacing w:val="72"/>
                <w:sz w:val="24"/>
              </w:rPr>
              <w:t xml:space="preserve"> </w:t>
            </w:r>
            <w:r w:rsidRPr="00150EDC">
              <w:rPr>
                <w:sz w:val="24"/>
              </w:rPr>
              <w:t>invoice</w:t>
            </w:r>
            <w:r w:rsidRPr="00150EDC">
              <w:rPr>
                <w:spacing w:val="71"/>
                <w:sz w:val="24"/>
              </w:rPr>
              <w:t xml:space="preserve"> </w:t>
            </w:r>
            <w:r w:rsidRPr="00150EDC">
              <w:rPr>
                <w:sz w:val="24"/>
              </w:rPr>
              <w:t>the</w:t>
            </w:r>
            <w:r w:rsidRPr="00150EDC">
              <w:rPr>
                <w:spacing w:val="71"/>
                <w:sz w:val="24"/>
              </w:rPr>
              <w:t xml:space="preserve"> </w:t>
            </w:r>
            <w:r w:rsidRPr="00150EDC">
              <w:rPr>
                <w:sz w:val="24"/>
              </w:rPr>
              <w:t>Buyer</w:t>
            </w:r>
            <w:r w:rsidRPr="00150EDC">
              <w:rPr>
                <w:spacing w:val="40"/>
                <w:sz w:val="24"/>
              </w:rPr>
              <w:t xml:space="preserve"> </w:t>
            </w:r>
            <w:r w:rsidRPr="00150EDC">
              <w:rPr>
                <w:sz w:val="24"/>
              </w:rPr>
              <w:t>as specified in the Order Form;</w:t>
            </w:r>
          </w:p>
        </w:tc>
      </w:tr>
      <w:tr w:rsidR="007D3144" w:rsidRPr="007D3144" w14:paraId="4D874CBC" w14:textId="77777777">
        <w:trPr>
          <w:trHeight w:val="1776"/>
        </w:trPr>
        <w:tc>
          <w:tcPr>
            <w:tcW w:w="2264" w:type="dxa"/>
          </w:tcPr>
          <w:p w14:paraId="1997134B" w14:textId="77777777" w:rsidR="004C7180" w:rsidRPr="00150EDC" w:rsidRDefault="00CF0754">
            <w:pPr>
              <w:pStyle w:val="TableParagraph"/>
              <w:spacing w:before="0" w:line="240" w:lineRule="auto"/>
              <w:ind w:left="-1"/>
              <w:rPr>
                <w:b/>
                <w:sz w:val="24"/>
              </w:rPr>
            </w:pPr>
            <w:r w:rsidRPr="00150EDC">
              <w:rPr>
                <w:b/>
                <w:sz w:val="24"/>
              </w:rPr>
              <w:t>"IPR</w:t>
            </w:r>
            <w:r w:rsidRPr="00150EDC">
              <w:rPr>
                <w:b/>
                <w:spacing w:val="-4"/>
                <w:sz w:val="24"/>
              </w:rPr>
              <w:t xml:space="preserve"> </w:t>
            </w:r>
            <w:r w:rsidRPr="00150EDC">
              <w:rPr>
                <w:b/>
                <w:spacing w:val="-2"/>
                <w:sz w:val="24"/>
              </w:rPr>
              <w:t>Claim"</w:t>
            </w:r>
          </w:p>
        </w:tc>
        <w:tc>
          <w:tcPr>
            <w:tcW w:w="7484" w:type="dxa"/>
          </w:tcPr>
          <w:p w14:paraId="53CBD3C0" w14:textId="77777777" w:rsidR="004C7180" w:rsidRPr="00150EDC" w:rsidRDefault="00CF0754">
            <w:pPr>
              <w:pStyle w:val="TableParagraph"/>
              <w:spacing w:before="0" w:line="240" w:lineRule="auto"/>
              <w:ind w:left="277" w:right="98"/>
              <w:jc w:val="both"/>
              <w:rPr>
                <w:sz w:val="24"/>
              </w:rPr>
            </w:pPr>
            <w:r w:rsidRPr="00150EDC">
              <w:rPr>
                <w:sz w:val="24"/>
              </w:rPr>
              <w:t>any claim of infringement or alleged infringement (including the defence of such infringement or alleged infringement) of any IPR, used to provide the Deliverables or otherwise provided and/or licensed by the Supplier (or to which the Supplier has provided access) to the Relevant Authority in the fulfilment of its obligations under a Contract;</w:t>
            </w:r>
          </w:p>
        </w:tc>
      </w:tr>
      <w:tr w:rsidR="007D3144" w:rsidRPr="007D3144" w14:paraId="59DE452D" w14:textId="77777777">
        <w:trPr>
          <w:trHeight w:val="1225"/>
        </w:trPr>
        <w:tc>
          <w:tcPr>
            <w:tcW w:w="2264" w:type="dxa"/>
          </w:tcPr>
          <w:p w14:paraId="5A9795EC" w14:textId="77777777" w:rsidR="004C7180" w:rsidRPr="00150EDC" w:rsidRDefault="00CF0754">
            <w:pPr>
              <w:pStyle w:val="TableParagraph"/>
              <w:spacing w:before="2" w:line="240" w:lineRule="auto"/>
              <w:ind w:left="-1"/>
              <w:rPr>
                <w:b/>
                <w:sz w:val="24"/>
              </w:rPr>
            </w:pPr>
            <w:r w:rsidRPr="00150EDC">
              <w:rPr>
                <w:b/>
                <w:spacing w:val="-2"/>
                <w:sz w:val="24"/>
              </w:rPr>
              <w:t>"IR35"</w:t>
            </w:r>
          </w:p>
        </w:tc>
        <w:tc>
          <w:tcPr>
            <w:tcW w:w="7484" w:type="dxa"/>
          </w:tcPr>
          <w:p w14:paraId="045F5F79" w14:textId="77777777" w:rsidR="004C7180" w:rsidRPr="00150EDC" w:rsidRDefault="00CF0754">
            <w:pPr>
              <w:pStyle w:val="TableParagraph"/>
              <w:spacing w:before="2" w:line="240" w:lineRule="auto"/>
              <w:ind w:left="277" w:right="93"/>
              <w:jc w:val="both"/>
              <w:rPr>
                <w:sz w:val="24"/>
              </w:rPr>
            </w:pPr>
            <w:r w:rsidRPr="00150EDC">
              <w:rPr>
                <w:sz w:val="24"/>
              </w:rPr>
              <w:t xml:space="preserve">the off-payroll rules requiring individuals who work through their company pay the same income tax and National Insurance contributions as an employee which can be found online at: </w:t>
            </w:r>
            <w:hyperlink r:id="rId14">
              <w:r w:rsidRPr="007D3144">
                <w:rPr>
                  <w:spacing w:val="-2"/>
                  <w:sz w:val="24"/>
                  <w:u w:val="single" w:color="0000FF"/>
                </w:rPr>
                <w:t>https://www.gov.uk/guidance/ir35-find-out-if-it-applies</w:t>
              </w:r>
            </w:hyperlink>
            <w:r w:rsidRPr="00150EDC">
              <w:rPr>
                <w:spacing w:val="-2"/>
                <w:sz w:val="24"/>
              </w:rPr>
              <w:t>;</w:t>
            </w:r>
          </w:p>
        </w:tc>
      </w:tr>
      <w:tr w:rsidR="007D3144" w:rsidRPr="007D3144" w14:paraId="147C29A9" w14:textId="77777777">
        <w:trPr>
          <w:trHeight w:val="395"/>
        </w:trPr>
        <w:tc>
          <w:tcPr>
            <w:tcW w:w="2264" w:type="dxa"/>
          </w:tcPr>
          <w:p w14:paraId="3F10AD3C" w14:textId="77777777" w:rsidR="004C7180" w:rsidRPr="00150EDC" w:rsidRDefault="00CF0754">
            <w:pPr>
              <w:pStyle w:val="TableParagraph"/>
              <w:spacing w:before="0" w:line="240" w:lineRule="auto"/>
              <w:ind w:left="-1"/>
              <w:rPr>
                <w:b/>
                <w:sz w:val="24"/>
              </w:rPr>
            </w:pPr>
            <w:r w:rsidRPr="00150EDC">
              <w:rPr>
                <w:b/>
                <w:spacing w:val="-2"/>
                <w:sz w:val="24"/>
              </w:rPr>
              <w:t>“ISO”</w:t>
            </w:r>
          </w:p>
        </w:tc>
        <w:tc>
          <w:tcPr>
            <w:tcW w:w="7484" w:type="dxa"/>
          </w:tcPr>
          <w:p w14:paraId="7DD2A11F" w14:textId="77777777" w:rsidR="004C7180" w:rsidRPr="00150EDC" w:rsidRDefault="00CF0754">
            <w:pPr>
              <w:pStyle w:val="TableParagraph"/>
              <w:spacing w:before="0" w:line="240" w:lineRule="auto"/>
              <w:ind w:left="277"/>
              <w:rPr>
                <w:sz w:val="24"/>
              </w:rPr>
            </w:pPr>
            <w:r w:rsidRPr="00150EDC">
              <w:rPr>
                <w:sz w:val="24"/>
              </w:rPr>
              <w:t>International</w:t>
            </w:r>
            <w:r w:rsidRPr="00150EDC">
              <w:rPr>
                <w:spacing w:val="-6"/>
                <w:sz w:val="24"/>
              </w:rPr>
              <w:t xml:space="preserve"> </w:t>
            </w:r>
            <w:r w:rsidRPr="00150EDC">
              <w:rPr>
                <w:sz w:val="24"/>
              </w:rPr>
              <w:t>Organization</w:t>
            </w:r>
            <w:r w:rsidRPr="00150EDC">
              <w:rPr>
                <w:spacing w:val="-4"/>
                <w:sz w:val="24"/>
              </w:rPr>
              <w:t xml:space="preserve"> </w:t>
            </w:r>
            <w:r w:rsidRPr="00150EDC">
              <w:rPr>
                <w:sz w:val="24"/>
              </w:rPr>
              <w:t>for</w:t>
            </w:r>
            <w:r w:rsidRPr="00150EDC">
              <w:rPr>
                <w:spacing w:val="-8"/>
                <w:sz w:val="24"/>
              </w:rPr>
              <w:t xml:space="preserve"> </w:t>
            </w:r>
            <w:r w:rsidRPr="00150EDC">
              <w:rPr>
                <w:spacing w:val="-2"/>
                <w:sz w:val="24"/>
              </w:rPr>
              <w:t>Standardization;</w:t>
            </w:r>
          </w:p>
        </w:tc>
      </w:tr>
      <w:tr w:rsidR="007D3144" w:rsidRPr="007D3144" w14:paraId="5E805D6E" w14:textId="77777777">
        <w:trPr>
          <w:trHeight w:val="947"/>
        </w:trPr>
        <w:tc>
          <w:tcPr>
            <w:tcW w:w="2264" w:type="dxa"/>
          </w:tcPr>
          <w:p w14:paraId="7A56F48F" w14:textId="77777777" w:rsidR="004C7180" w:rsidRPr="00150EDC" w:rsidRDefault="00CF0754">
            <w:pPr>
              <w:pStyle w:val="TableParagraph"/>
              <w:spacing w:before="0" w:line="240" w:lineRule="auto"/>
              <w:ind w:left="-1"/>
              <w:rPr>
                <w:b/>
                <w:sz w:val="24"/>
              </w:rPr>
            </w:pPr>
            <w:r w:rsidRPr="00150EDC">
              <w:rPr>
                <w:b/>
                <w:sz w:val="24"/>
              </w:rPr>
              <w:t>“Joint</w:t>
            </w:r>
            <w:r w:rsidRPr="00150EDC">
              <w:rPr>
                <w:b/>
                <w:spacing w:val="-17"/>
                <w:sz w:val="24"/>
              </w:rPr>
              <w:t xml:space="preserve"> </w:t>
            </w:r>
            <w:r w:rsidRPr="00150EDC">
              <w:rPr>
                <w:b/>
                <w:sz w:val="24"/>
              </w:rPr>
              <w:t xml:space="preserve">Controller </w:t>
            </w:r>
            <w:r w:rsidRPr="00150EDC">
              <w:rPr>
                <w:b/>
                <w:spacing w:val="-2"/>
                <w:sz w:val="24"/>
              </w:rPr>
              <w:t>Agreement”</w:t>
            </w:r>
          </w:p>
        </w:tc>
        <w:tc>
          <w:tcPr>
            <w:tcW w:w="7484" w:type="dxa"/>
          </w:tcPr>
          <w:p w14:paraId="74F10CAE" w14:textId="77777777" w:rsidR="004C7180" w:rsidRPr="00150EDC" w:rsidRDefault="00CF0754">
            <w:pPr>
              <w:pStyle w:val="TableParagraph"/>
              <w:spacing w:before="0" w:line="240" w:lineRule="auto"/>
              <w:ind w:left="277" w:right="101"/>
              <w:jc w:val="both"/>
              <w:rPr>
                <w:sz w:val="24"/>
              </w:rPr>
            </w:pPr>
            <w:r w:rsidRPr="00150EDC">
              <w:rPr>
                <w:sz w:val="24"/>
              </w:rPr>
              <w:t>the</w:t>
            </w:r>
            <w:r w:rsidRPr="00150EDC">
              <w:rPr>
                <w:spacing w:val="-4"/>
                <w:sz w:val="24"/>
              </w:rPr>
              <w:t xml:space="preserve"> </w:t>
            </w:r>
            <w:r w:rsidRPr="00150EDC">
              <w:rPr>
                <w:sz w:val="24"/>
              </w:rPr>
              <w:t>agreement</w:t>
            </w:r>
            <w:r w:rsidRPr="00150EDC">
              <w:rPr>
                <w:spacing w:val="-5"/>
                <w:sz w:val="24"/>
              </w:rPr>
              <w:t xml:space="preserve"> </w:t>
            </w:r>
            <w:r w:rsidRPr="00150EDC">
              <w:rPr>
                <w:sz w:val="24"/>
              </w:rPr>
              <w:t>(if</w:t>
            </w:r>
            <w:r w:rsidRPr="00150EDC">
              <w:rPr>
                <w:spacing w:val="-5"/>
                <w:sz w:val="24"/>
              </w:rPr>
              <w:t xml:space="preserve"> </w:t>
            </w:r>
            <w:r w:rsidRPr="00150EDC">
              <w:rPr>
                <w:sz w:val="24"/>
              </w:rPr>
              <w:t>any)</w:t>
            </w:r>
            <w:r w:rsidRPr="00150EDC">
              <w:rPr>
                <w:spacing w:val="-5"/>
                <w:sz w:val="24"/>
              </w:rPr>
              <w:t xml:space="preserve"> </w:t>
            </w:r>
            <w:r w:rsidRPr="00150EDC">
              <w:rPr>
                <w:sz w:val="24"/>
              </w:rPr>
              <w:t>entered</w:t>
            </w:r>
            <w:r w:rsidRPr="00150EDC">
              <w:rPr>
                <w:spacing w:val="-2"/>
                <w:sz w:val="24"/>
              </w:rPr>
              <w:t xml:space="preserve"> </w:t>
            </w:r>
            <w:r w:rsidRPr="00150EDC">
              <w:rPr>
                <w:sz w:val="24"/>
              </w:rPr>
              <w:t>into</w:t>
            </w:r>
            <w:r w:rsidRPr="00150EDC">
              <w:rPr>
                <w:spacing w:val="-4"/>
                <w:sz w:val="24"/>
              </w:rPr>
              <w:t xml:space="preserve"> </w:t>
            </w:r>
            <w:r w:rsidRPr="00150EDC">
              <w:rPr>
                <w:sz w:val="24"/>
              </w:rPr>
              <w:t>between</w:t>
            </w:r>
            <w:r w:rsidRPr="00150EDC">
              <w:rPr>
                <w:spacing w:val="-2"/>
                <w:sz w:val="24"/>
              </w:rPr>
              <w:t xml:space="preserve"> </w:t>
            </w:r>
            <w:r w:rsidRPr="00150EDC">
              <w:rPr>
                <w:sz w:val="24"/>
              </w:rPr>
              <w:t>the</w:t>
            </w:r>
            <w:r w:rsidRPr="00150EDC">
              <w:rPr>
                <w:spacing w:val="-2"/>
                <w:sz w:val="24"/>
              </w:rPr>
              <w:t xml:space="preserve"> </w:t>
            </w:r>
            <w:r w:rsidRPr="00150EDC">
              <w:rPr>
                <w:sz w:val="24"/>
              </w:rPr>
              <w:t>Relevant</w:t>
            </w:r>
            <w:r w:rsidRPr="00150EDC">
              <w:rPr>
                <w:spacing w:val="-2"/>
                <w:sz w:val="24"/>
              </w:rPr>
              <w:t xml:space="preserve"> </w:t>
            </w:r>
            <w:r w:rsidRPr="00150EDC">
              <w:rPr>
                <w:sz w:val="24"/>
              </w:rPr>
              <w:t>Authority and</w:t>
            </w:r>
            <w:r w:rsidRPr="00150EDC">
              <w:rPr>
                <w:spacing w:val="-9"/>
                <w:sz w:val="24"/>
              </w:rPr>
              <w:t xml:space="preserve"> </w:t>
            </w:r>
            <w:r w:rsidRPr="00150EDC">
              <w:rPr>
                <w:sz w:val="24"/>
              </w:rPr>
              <w:t>the</w:t>
            </w:r>
            <w:r w:rsidRPr="00150EDC">
              <w:rPr>
                <w:spacing w:val="-9"/>
                <w:sz w:val="24"/>
              </w:rPr>
              <w:t xml:space="preserve"> </w:t>
            </w:r>
            <w:r w:rsidRPr="00150EDC">
              <w:rPr>
                <w:sz w:val="24"/>
              </w:rPr>
              <w:t>Supplier</w:t>
            </w:r>
            <w:r w:rsidRPr="00150EDC">
              <w:rPr>
                <w:spacing w:val="-8"/>
                <w:sz w:val="24"/>
              </w:rPr>
              <w:t xml:space="preserve"> </w:t>
            </w:r>
            <w:r w:rsidRPr="00150EDC">
              <w:rPr>
                <w:sz w:val="24"/>
              </w:rPr>
              <w:t>substantially</w:t>
            </w:r>
            <w:r w:rsidRPr="00150EDC">
              <w:rPr>
                <w:spacing w:val="-8"/>
                <w:sz w:val="24"/>
              </w:rPr>
              <w:t xml:space="preserve"> </w:t>
            </w:r>
            <w:r w:rsidRPr="00150EDC">
              <w:rPr>
                <w:sz w:val="24"/>
              </w:rPr>
              <w:t>in</w:t>
            </w:r>
            <w:r w:rsidRPr="00150EDC">
              <w:rPr>
                <w:spacing w:val="-10"/>
                <w:sz w:val="24"/>
              </w:rPr>
              <w:t xml:space="preserve"> </w:t>
            </w:r>
            <w:r w:rsidRPr="00150EDC">
              <w:rPr>
                <w:sz w:val="24"/>
              </w:rPr>
              <w:t>the</w:t>
            </w:r>
            <w:r w:rsidRPr="00150EDC">
              <w:rPr>
                <w:spacing w:val="-7"/>
                <w:sz w:val="24"/>
              </w:rPr>
              <w:t xml:space="preserve"> </w:t>
            </w:r>
            <w:r w:rsidRPr="00150EDC">
              <w:rPr>
                <w:sz w:val="24"/>
              </w:rPr>
              <w:t>form</w:t>
            </w:r>
            <w:r w:rsidRPr="00150EDC">
              <w:rPr>
                <w:spacing w:val="-6"/>
                <w:sz w:val="24"/>
              </w:rPr>
              <w:t xml:space="preserve"> </w:t>
            </w:r>
            <w:r w:rsidRPr="00150EDC">
              <w:rPr>
                <w:sz w:val="24"/>
              </w:rPr>
              <w:t>set</w:t>
            </w:r>
            <w:r w:rsidRPr="00150EDC">
              <w:rPr>
                <w:spacing w:val="-10"/>
                <w:sz w:val="24"/>
              </w:rPr>
              <w:t xml:space="preserve"> </w:t>
            </w:r>
            <w:r w:rsidRPr="00150EDC">
              <w:rPr>
                <w:sz w:val="24"/>
              </w:rPr>
              <w:t>out</w:t>
            </w:r>
            <w:r w:rsidRPr="00150EDC">
              <w:rPr>
                <w:spacing w:val="-7"/>
                <w:sz w:val="24"/>
              </w:rPr>
              <w:t xml:space="preserve"> </w:t>
            </w:r>
            <w:r w:rsidRPr="00150EDC">
              <w:rPr>
                <w:sz w:val="24"/>
              </w:rPr>
              <w:t>in</w:t>
            </w:r>
            <w:r w:rsidRPr="00150EDC">
              <w:rPr>
                <w:spacing w:val="-10"/>
                <w:sz w:val="24"/>
              </w:rPr>
              <w:t xml:space="preserve"> </w:t>
            </w:r>
            <w:r w:rsidRPr="00150EDC">
              <w:rPr>
                <w:sz w:val="24"/>
              </w:rPr>
              <w:t>Annex</w:t>
            </w:r>
            <w:r w:rsidRPr="00150EDC">
              <w:rPr>
                <w:spacing w:val="-10"/>
                <w:sz w:val="24"/>
              </w:rPr>
              <w:t xml:space="preserve"> </w:t>
            </w:r>
            <w:r w:rsidRPr="00150EDC">
              <w:rPr>
                <w:sz w:val="24"/>
              </w:rPr>
              <w:t>2</w:t>
            </w:r>
            <w:r w:rsidRPr="00150EDC">
              <w:rPr>
                <w:spacing w:val="-9"/>
                <w:sz w:val="24"/>
              </w:rPr>
              <w:t xml:space="preserve"> </w:t>
            </w:r>
            <w:r w:rsidRPr="00150EDC">
              <w:rPr>
                <w:sz w:val="24"/>
              </w:rPr>
              <w:t>of</w:t>
            </w:r>
            <w:r w:rsidRPr="00150EDC">
              <w:rPr>
                <w:spacing w:val="-7"/>
                <w:sz w:val="24"/>
              </w:rPr>
              <w:t xml:space="preserve"> </w:t>
            </w:r>
            <w:r w:rsidRPr="00150EDC">
              <w:rPr>
                <w:sz w:val="24"/>
              </w:rPr>
              <w:t>Joint Schedule 11 (</w:t>
            </w:r>
            <w:r w:rsidRPr="00150EDC">
              <w:rPr>
                <w:i/>
                <w:sz w:val="24"/>
              </w:rPr>
              <w:t>Processing Data</w:t>
            </w:r>
            <w:r w:rsidRPr="00150EDC">
              <w:rPr>
                <w:sz w:val="24"/>
              </w:rPr>
              <w:t>);</w:t>
            </w:r>
          </w:p>
        </w:tc>
      </w:tr>
      <w:tr w:rsidR="007D3144" w:rsidRPr="007D3144" w14:paraId="52CB119F" w14:textId="77777777">
        <w:trPr>
          <w:trHeight w:val="671"/>
        </w:trPr>
        <w:tc>
          <w:tcPr>
            <w:tcW w:w="2264" w:type="dxa"/>
          </w:tcPr>
          <w:p w14:paraId="7D8D264A" w14:textId="77777777" w:rsidR="004C7180" w:rsidRPr="00150EDC" w:rsidRDefault="00CF0754">
            <w:pPr>
              <w:pStyle w:val="TableParagraph"/>
              <w:spacing w:before="0" w:line="240" w:lineRule="auto"/>
              <w:ind w:left="-1"/>
              <w:rPr>
                <w:b/>
                <w:sz w:val="24"/>
              </w:rPr>
            </w:pPr>
            <w:r w:rsidRPr="00150EDC">
              <w:rPr>
                <w:b/>
                <w:spacing w:val="-2"/>
                <w:sz w:val="24"/>
              </w:rPr>
              <w:t>“Joint</w:t>
            </w:r>
          </w:p>
          <w:p w14:paraId="2B02E337" w14:textId="77777777" w:rsidR="004C7180" w:rsidRPr="00150EDC" w:rsidRDefault="00CF0754">
            <w:pPr>
              <w:pStyle w:val="TableParagraph"/>
              <w:spacing w:before="0" w:line="240" w:lineRule="auto"/>
              <w:ind w:left="-1"/>
              <w:rPr>
                <w:b/>
                <w:sz w:val="24"/>
              </w:rPr>
            </w:pPr>
            <w:r w:rsidRPr="00150EDC">
              <w:rPr>
                <w:b/>
                <w:spacing w:val="-2"/>
                <w:sz w:val="24"/>
              </w:rPr>
              <w:t>Controllers”</w:t>
            </w:r>
          </w:p>
        </w:tc>
        <w:tc>
          <w:tcPr>
            <w:tcW w:w="7484" w:type="dxa"/>
          </w:tcPr>
          <w:p w14:paraId="28D3720C" w14:textId="77777777" w:rsidR="004C7180" w:rsidRPr="00150EDC" w:rsidRDefault="00CF0754">
            <w:pPr>
              <w:pStyle w:val="TableParagraph"/>
              <w:spacing w:before="0" w:line="240" w:lineRule="auto"/>
              <w:ind w:left="277"/>
              <w:rPr>
                <w:sz w:val="24"/>
              </w:rPr>
            </w:pPr>
            <w:r w:rsidRPr="00150EDC">
              <w:rPr>
                <w:sz w:val="24"/>
              </w:rPr>
              <w:t>where two or more Controllers jointly determine the purposes and means of Processing;</w:t>
            </w:r>
          </w:p>
        </w:tc>
      </w:tr>
      <w:tr w:rsidR="007D3144" w:rsidRPr="007D3144" w14:paraId="157F5874" w14:textId="77777777">
        <w:trPr>
          <w:trHeight w:val="395"/>
        </w:trPr>
        <w:tc>
          <w:tcPr>
            <w:tcW w:w="2264" w:type="dxa"/>
          </w:tcPr>
          <w:p w14:paraId="536FE3BE" w14:textId="77777777" w:rsidR="004C7180" w:rsidRPr="00150EDC" w:rsidRDefault="00CF0754">
            <w:pPr>
              <w:pStyle w:val="TableParagraph"/>
              <w:spacing w:before="0" w:line="240" w:lineRule="auto"/>
              <w:ind w:left="-1"/>
              <w:rPr>
                <w:b/>
                <w:sz w:val="24"/>
              </w:rPr>
            </w:pPr>
            <w:r w:rsidRPr="00150EDC">
              <w:rPr>
                <w:b/>
                <w:sz w:val="24"/>
              </w:rPr>
              <w:t>"Key</w:t>
            </w:r>
            <w:r w:rsidRPr="00150EDC">
              <w:rPr>
                <w:b/>
                <w:spacing w:val="-9"/>
                <w:sz w:val="24"/>
              </w:rPr>
              <w:t xml:space="preserve"> </w:t>
            </w:r>
            <w:r w:rsidRPr="00150EDC">
              <w:rPr>
                <w:b/>
                <w:spacing w:val="-2"/>
                <w:sz w:val="24"/>
              </w:rPr>
              <w:t>Staff"</w:t>
            </w:r>
          </w:p>
        </w:tc>
        <w:tc>
          <w:tcPr>
            <w:tcW w:w="7484" w:type="dxa"/>
          </w:tcPr>
          <w:p w14:paraId="0680C7D8" w14:textId="77777777" w:rsidR="004C7180" w:rsidRPr="00150EDC" w:rsidRDefault="00CF0754">
            <w:pPr>
              <w:pStyle w:val="TableParagraph"/>
              <w:spacing w:before="0" w:line="240" w:lineRule="auto"/>
              <w:ind w:left="277"/>
              <w:rPr>
                <w:sz w:val="24"/>
              </w:rPr>
            </w:pPr>
            <w:r w:rsidRPr="00150EDC">
              <w:rPr>
                <w:sz w:val="24"/>
              </w:rPr>
              <w:t>the</w:t>
            </w:r>
            <w:r w:rsidRPr="00150EDC">
              <w:rPr>
                <w:spacing w:val="-5"/>
                <w:sz w:val="24"/>
              </w:rPr>
              <w:t xml:space="preserve"> </w:t>
            </w:r>
            <w:r w:rsidRPr="00150EDC">
              <w:rPr>
                <w:sz w:val="24"/>
              </w:rPr>
              <w:t>individuals</w:t>
            </w:r>
            <w:r w:rsidRPr="00150EDC">
              <w:rPr>
                <w:spacing w:val="-2"/>
                <w:sz w:val="24"/>
              </w:rPr>
              <w:t xml:space="preserve"> </w:t>
            </w:r>
            <w:r w:rsidRPr="00150EDC">
              <w:rPr>
                <w:sz w:val="24"/>
              </w:rPr>
              <w:t>(if</w:t>
            </w:r>
            <w:r w:rsidRPr="00150EDC">
              <w:rPr>
                <w:spacing w:val="-5"/>
                <w:sz w:val="24"/>
              </w:rPr>
              <w:t xml:space="preserve"> </w:t>
            </w:r>
            <w:r w:rsidRPr="00150EDC">
              <w:rPr>
                <w:sz w:val="24"/>
              </w:rPr>
              <w:t>any)</w:t>
            </w:r>
            <w:r w:rsidRPr="00150EDC">
              <w:rPr>
                <w:spacing w:val="-2"/>
                <w:sz w:val="24"/>
              </w:rPr>
              <w:t xml:space="preserve"> </w:t>
            </w:r>
            <w:r w:rsidRPr="00150EDC">
              <w:rPr>
                <w:sz w:val="24"/>
              </w:rPr>
              <w:t>identified</w:t>
            </w:r>
            <w:r w:rsidRPr="00150EDC">
              <w:rPr>
                <w:spacing w:val="-3"/>
                <w:sz w:val="24"/>
              </w:rPr>
              <w:t xml:space="preserve"> </w:t>
            </w:r>
            <w:r w:rsidRPr="00150EDC">
              <w:rPr>
                <w:sz w:val="24"/>
              </w:rPr>
              <w:t>as</w:t>
            </w:r>
            <w:r w:rsidRPr="00150EDC">
              <w:rPr>
                <w:spacing w:val="-5"/>
                <w:sz w:val="24"/>
              </w:rPr>
              <w:t xml:space="preserve"> </w:t>
            </w:r>
            <w:r w:rsidRPr="00150EDC">
              <w:rPr>
                <w:sz w:val="24"/>
              </w:rPr>
              <w:t>such</w:t>
            </w:r>
            <w:r w:rsidRPr="00150EDC">
              <w:rPr>
                <w:spacing w:val="-4"/>
                <w:sz w:val="24"/>
              </w:rPr>
              <w:t xml:space="preserve"> </w:t>
            </w:r>
            <w:r w:rsidRPr="00150EDC">
              <w:rPr>
                <w:sz w:val="24"/>
              </w:rPr>
              <w:t>in</w:t>
            </w:r>
            <w:r w:rsidRPr="00150EDC">
              <w:rPr>
                <w:spacing w:val="-3"/>
                <w:sz w:val="24"/>
              </w:rPr>
              <w:t xml:space="preserve"> </w:t>
            </w:r>
            <w:r w:rsidRPr="00150EDC">
              <w:rPr>
                <w:sz w:val="24"/>
              </w:rPr>
              <w:t>the</w:t>
            </w:r>
            <w:r w:rsidRPr="00150EDC">
              <w:rPr>
                <w:spacing w:val="-4"/>
                <w:sz w:val="24"/>
              </w:rPr>
              <w:t xml:space="preserve"> </w:t>
            </w:r>
            <w:r w:rsidRPr="00150EDC">
              <w:rPr>
                <w:sz w:val="24"/>
              </w:rPr>
              <w:t>Order</w:t>
            </w:r>
            <w:r w:rsidRPr="00150EDC">
              <w:rPr>
                <w:spacing w:val="-2"/>
                <w:sz w:val="24"/>
              </w:rPr>
              <w:t xml:space="preserve"> Form;</w:t>
            </w:r>
          </w:p>
        </w:tc>
      </w:tr>
      <w:tr w:rsidR="007D3144" w:rsidRPr="007D3144" w14:paraId="6FDA5028" w14:textId="77777777">
        <w:trPr>
          <w:trHeight w:val="671"/>
        </w:trPr>
        <w:tc>
          <w:tcPr>
            <w:tcW w:w="2264" w:type="dxa"/>
          </w:tcPr>
          <w:p w14:paraId="51710958" w14:textId="77777777" w:rsidR="004C7180" w:rsidRPr="00150EDC" w:rsidRDefault="00CF0754">
            <w:pPr>
              <w:pStyle w:val="TableParagraph"/>
              <w:spacing w:before="0" w:line="240" w:lineRule="auto"/>
              <w:ind w:left="-1" w:right="298"/>
              <w:rPr>
                <w:b/>
                <w:sz w:val="24"/>
              </w:rPr>
            </w:pPr>
            <w:r w:rsidRPr="00150EDC">
              <w:rPr>
                <w:b/>
                <w:sz w:val="24"/>
              </w:rPr>
              <w:t>"Key</w:t>
            </w:r>
            <w:r w:rsidRPr="00150EDC">
              <w:rPr>
                <w:b/>
                <w:spacing w:val="-17"/>
                <w:sz w:val="24"/>
              </w:rPr>
              <w:t xml:space="preserve"> </w:t>
            </w:r>
            <w:r w:rsidRPr="00150EDC">
              <w:rPr>
                <w:b/>
                <w:sz w:val="24"/>
              </w:rPr>
              <w:t xml:space="preserve">Sub- </w:t>
            </w:r>
            <w:r w:rsidRPr="00150EDC">
              <w:rPr>
                <w:b/>
                <w:spacing w:val="-2"/>
                <w:sz w:val="24"/>
              </w:rPr>
              <w:t>Contract"</w:t>
            </w:r>
          </w:p>
        </w:tc>
        <w:tc>
          <w:tcPr>
            <w:tcW w:w="7484" w:type="dxa"/>
          </w:tcPr>
          <w:p w14:paraId="78805F70" w14:textId="77777777" w:rsidR="004C7180" w:rsidRPr="00150EDC" w:rsidRDefault="00CF0754">
            <w:pPr>
              <w:pStyle w:val="TableParagraph"/>
              <w:spacing w:before="0" w:line="240" w:lineRule="auto"/>
              <w:ind w:left="277"/>
              <w:rPr>
                <w:sz w:val="24"/>
              </w:rPr>
            </w:pPr>
            <w:r w:rsidRPr="00150EDC">
              <w:rPr>
                <w:sz w:val="24"/>
              </w:rPr>
              <w:t>each</w:t>
            </w:r>
            <w:r w:rsidRPr="00150EDC">
              <w:rPr>
                <w:spacing w:val="-5"/>
                <w:sz w:val="24"/>
              </w:rPr>
              <w:t xml:space="preserve"> </w:t>
            </w:r>
            <w:r w:rsidRPr="00150EDC">
              <w:rPr>
                <w:sz w:val="24"/>
              </w:rPr>
              <w:t>Sub-Contract</w:t>
            </w:r>
            <w:r w:rsidRPr="00150EDC">
              <w:rPr>
                <w:spacing w:val="-3"/>
                <w:sz w:val="24"/>
              </w:rPr>
              <w:t xml:space="preserve"> </w:t>
            </w:r>
            <w:r w:rsidRPr="00150EDC">
              <w:rPr>
                <w:sz w:val="24"/>
              </w:rPr>
              <w:t>with</w:t>
            </w:r>
            <w:r w:rsidRPr="00150EDC">
              <w:rPr>
                <w:spacing w:val="-3"/>
                <w:sz w:val="24"/>
              </w:rPr>
              <w:t xml:space="preserve"> </w:t>
            </w:r>
            <w:r w:rsidRPr="00150EDC">
              <w:rPr>
                <w:sz w:val="24"/>
              </w:rPr>
              <w:t>a</w:t>
            </w:r>
            <w:r w:rsidRPr="00150EDC">
              <w:rPr>
                <w:spacing w:val="-2"/>
                <w:sz w:val="24"/>
              </w:rPr>
              <w:t xml:space="preserve"> </w:t>
            </w:r>
            <w:r w:rsidRPr="00150EDC">
              <w:rPr>
                <w:sz w:val="24"/>
              </w:rPr>
              <w:t>Key</w:t>
            </w:r>
            <w:r w:rsidRPr="00150EDC">
              <w:rPr>
                <w:spacing w:val="-3"/>
                <w:sz w:val="24"/>
              </w:rPr>
              <w:t xml:space="preserve"> </w:t>
            </w:r>
            <w:r w:rsidRPr="00150EDC">
              <w:rPr>
                <w:spacing w:val="-2"/>
                <w:sz w:val="24"/>
              </w:rPr>
              <w:t>Subcontractor;</w:t>
            </w:r>
          </w:p>
        </w:tc>
      </w:tr>
      <w:tr w:rsidR="007D3144" w:rsidRPr="007D3144" w14:paraId="5FC5E6C7" w14:textId="77777777">
        <w:trPr>
          <w:trHeight w:val="3912"/>
        </w:trPr>
        <w:tc>
          <w:tcPr>
            <w:tcW w:w="2264" w:type="dxa"/>
          </w:tcPr>
          <w:p w14:paraId="25421421" w14:textId="77777777" w:rsidR="004C7180" w:rsidRPr="00150EDC" w:rsidRDefault="00CF0754">
            <w:pPr>
              <w:pStyle w:val="TableParagraph"/>
              <w:spacing w:before="0" w:line="240" w:lineRule="auto"/>
              <w:ind w:left="-1" w:right="148"/>
              <w:rPr>
                <w:b/>
                <w:sz w:val="24"/>
              </w:rPr>
            </w:pPr>
            <w:r w:rsidRPr="00150EDC">
              <w:rPr>
                <w:b/>
                <w:spacing w:val="-4"/>
                <w:sz w:val="24"/>
              </w:rPr>
              <w:t xml:space="preserve">"Key </w:t>
            </w:r>
            <w:r w:rsidRPr="00150EDC">
              <w:rPr>
                <w:b/>
                <w:spacing w:val="-2"/>
                <w:sz w:val="24"/>
              </w:rPr>
              <w:t>Subcontractor"</w:t>
            </w:r>
          </w:p>
        </w:tc>
        <w:tc>
          <w:tcPr>
            <w:tcW w:w="7484" w:type="dxa"/>
          </w:tcPr>
          <w:p w14:paraId="730B0ABB" w14:textId="77777777" w:rsidR="004C7180" w:rsidRPr="00150EDC" w:rsidRDefault="00CF0754">
            <w:pPr>
              <w:pStyle w:val="TableParagraph"/>
              <w:spacing w:before="0" w:line="240" w:lineRule="auto"/>
              <w:ind w:left="277"/>
              <w:jc w:val="both"/>
              <w:rPr>
                <w:sz w:val="24"/>
              </w:rPr>
            </w:pPr>
            <w:r w:rsidRPr="00150EDC">
              <w:rPr>
                <w:sz w:val="24"/>
              </w:rPr>
              <w:t xml:space="preserve">any </w:t>
            </w:r>
            <w:r w:rsidRPr="00150EDC">
              <w:rPr>
                <w:spacing w:val="-2"/>
                <w:sz w:val="24"/>
              </w:rPr>
              <w:t>Subcontractor:</w:t>
            </w:r>
          </w:p>
          <w:p w14:paraId="09A7927C" w14:textId="77777777" w:rsidR="004C7180" w:rsidRPr="00150EDC" w:rsidRDefault="00CF0754" w:rsidP="00B320C7">
            <w:pPr>
              <w:pStyle w:val="TableParagraph"/>
              <w:numPr>
                <w:ilvl w:val="0"/>
                <w:numId w:val="116"/>
              </w:numPr>
              <w:tabs>
                <w:tab w:val="left" w:pos="537"/>
                <w:tab w:val="left" w:pos="539"/>
              </w:tabs>
              <w:spacing w:before="120" w:line="240" w:lineRule="auto"/>
              <w:ind w:right="102"/>
              <w:jc w:val="both"/>
              <w:rPr>
                <w:sz w:val="24"/>
              </w:rPr>
            </w:pPr>
            <w:r w:rsidRPr="00150EDC">
              <w:rPr>
                <w:sz w:val="24"/>
              </w:rPr>
              <w:t>which is relied upon to deliver any work package within the Deliverables in their entirety; and/or</w:t>
            </w:r>
          </w:p>
          <w:p w14:paraId="7CAB5DE9" w14:textId="77777777" w:rsidR="004C7180" w:rsidRPr="00150EDC" w:rsidRDefault="00CF0754" w:rsidP="00B320C7">
            <w:pPr>
              <w:pStyle w:val="TableParagraph"/>
              <w:numPr>
                <w:ilvl w:val="0"/>
                <w:numId w:val="116"/>
              </w:numPr>
              <w:tabs>
                <w:tab w:val="left" w:pos="537"/>
                <w:tab w:val="left" w:pos="539"/>
              </w:tabs>
              <w:spacing w:before="120" w:line="240" w:lineRule="auto"/>
              <w:ind w:right="100"/>
              <w:jc w:val="both"/>
              <w:rPr>
                <w:sz w:val="24"/>
              </w:rPr>
            </w:pPr>
            <w:r w:rsidRPr="00150EDC">
              <w:rPr>
                <w:sz w:val="24"/>
              </w:rPr>
              <w:t>which, in the opinion of CCS or the Buyer performs (or would perform if appointed) a critical role in the provision of all or any part of the Deliverables; and/or</w:t>
            </w:r>
          </w:p>
          <w:p w14:paraId="553E9CB1" w14:textId="77777777" w:rsidR="004C7180" w:rsidRPr="00150EDC" w:rsidRDefault="00CF0754" w:rsidP="00B320C7">
            <w:pPr>
              <w:pStyle w:val="TableParagraph"/>
              <w:numPr>
                <w:ilvl w:val="0"/>
                <w:numId w:val="116"/>
              </w:numPr>
              <w:tabs>
                <w:tab w:val="left" w:pos="537"/>
                <w:tab w:val="left" w:pos="539"/>
              </w:tabs>
              <w:spacing w:before="120" w:line="240" w:lineRule="auto"/>
              <w:ind w:right="101"/>
              <w:jc w:val="both"/>
              <w:rPr>
                <w:sz w:val="24"/>
              </w:rPr>
            </w:pPr>
            <w:r w:rsidRPr="00150EDC">
              <w:rPr>
                <w:sz w:val="24"/>
              </w:rPr>
              <w:t xml:space="preserve">with a Sub-Contract with a contract value which at the time of appointment exceeds (or would exceed if appointed) 10% of the aggregate Charges forecast to be payable under the Order </w:t>
            </w:r>
            <w:r w:rsidRPr="00150EDC">
              <w:rPr>
                <w:spacing w:val="-2"/>
                <w:sz w:val="24"/>
              </w:rPr>
              <w:t>Contract,</w:t>
            </w:r>
          </w:p>
          <w:p w14:paraId="5E0E259D" w14:textId="77777777" w:rsidR="004C7180" w:rsidRPr="00150EDC" w:rsidRDefault="00CF0754">
            <w:pPr>
              <w:pStyle w:val="TableParagraph"/>
              <w:spacing w:before="121" w:line="240" w:lineRule="auto"/>
              <w:ind w:left="251" w:right="94"/>
              <w:jc w:val="both"/>
              <w:rPr>
                <w:sz w:val="24"/>
              </w:rPr>
            </w:pPr>
            <w:r w:rsidRPr="00150EDC">
              <w:rPr>
                <w:sz w:val="24"/>
              </w:rPr>
              <w:t>and the Supplier shall list all such Key Subcontractors on the Platform and in the Key Subcontractor Section in the Order Form;</w:t>
            </w:r>
          </w:p>
        </w:tc>
      </w:tr>
    </w:tbl>
    <w:p w14:paraId="46334BF7" w14:textId="77777777" w:rsidR="004C7180" w:rsidRPr="00150EDC" w:rsidRDefault="004C7180">
      <w:pPr>
        <w:jc w:val="both"/>
        <w:rPr>
          <w:sz w:val="24"/>
        </w:rPr>
        <w:sectPr w:rsidR="004C7180" w:rsidRPr="00150EDC">
          <w:pgSz w:w="11910" w:h="16840"/>
          <w:pgMar w:top="1160" w:right="0" w:bottom="1460" w:left="40" w:header="715" w:footer="1208" w:gutter="0"/>
          <w:cols w:space="720"/>
        </w:sectPr>
      </w:pPr>
    </w:p>
    <w:p w14:paraId="38F61D3F" w14:textId="77777777" w:rsidR="004C7180" w:rsidRPr="00150EDC" w:rsidRDefault="004C7180">
      <w:pPr>
        <w:pStyle w:val="BodyText"/>
        <w:spacing w:before="7"/>
        <w:rPr>
          <w:sz w:val="23"/>
        </w:rPr>
      </w:pPr>
    </w:p>
    <w:tbl>
      <w:tblPr>
        <w:tblW w:w="0" w:type="auto"/>
        <w:tblInd w:w="1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4"/>
        <w:gridCol w:w="7484"/>
      </w:tblGrid>
      <w:tr w:rsidR="007D3144" w:rsidRPr="007D3144" w14:paraId="3B52AC47" w14:textId="77777777">
        <w:trPr>
          <w:trHeight w:val="1223"/>
        </w:trPr>
        <w:tc>
          <w:tcPr>
            <w:tcW w:w="2264" w:type="dxa"/>
          </w:tcPr>
          <w:p w14:paraId="54CCBD8C" w14:textId="77777777" w:rsidR="004C7180" w:rsidRPr="00150EDC" w:rsidRDefault="00CF0754">
            <w:pPr>
              <w:pStyle w:val="TableParagraph"/>
              <w:spacing w:before="0" w:line="240" w:lineRule="auto"/>
              <w:ind w:left="-1"/>
              <w:rPr>
                <w:b/>
                <w:sz w:val="24"/>
              </w:rPr>
            </w:pPr>
            <w:r w:rsidRPr="00150EDC">
              <w:rPr>
                <w:b/>
                <w:spacing w:val="-2"/>
                <w:sz w:val="24"/>
              </w:rPr>
              <w:t>"Know-</w:t>
            </w:r>
            <w:r w:rsidRPr="00150EDC">
              <w:rPr>
                <w:b/>
                <w:spacing w:val="-4"/>
                <w:sz w:val="24"/>
              </w:rPr>
              <w:t>How"</w:t>
            </w:r>
          </w:p>
        </w:tc>
        <w:tc>
          <w:tcPr>
            <w:tcW w:w="7484" w:type="dxa"/>
          </w:tcPr>
          <w:p w14:paraId="4D907E86" w14:textId="77777777" w:rsidR="004C7180" w:rsidRPr="00150EDC" w:rsidRDefault="00CF0754">
            <w:pPr>
              <w:pStyle w:val="TableParagraph"/>
              <w:spacing w:before="0" w:line="240" w:lineRule="auto"/>
              <w:ind w:left="277" w:right="95"/>
              <w:jc w:val="both"/>
              <w:rPr>
                <w:sz w:val="24"/>
              </w:rPr>
            </w:pPr>
            <w:r w:rsidRPr="00150EDC">
              <w:rPr>
                <w:sz w:val="24"/>
              </w:rPr>
              <w:t>all ideas, concepts, schemes, information, knowledge, techniques, methodology, and</w:t>
            </w:r>
            <w:r w:rsidRPr="00150EDC">
              <w:rPr>
                <w:spacing w:val="-1"/>
                <w:sz w:val="24"/>
              </w:rPr>
              <w:t xml:space="preserve"> </w:t>
            </w:r>
            <w:r w:rsidRPr="00150EDC">
              <w:rPr>
                <w:sz w:val="24"/>
              </w:rPr>
              <w:t>anything</w:t>
            </w:r>
            <w:r w:rsidRPr="00150EDC">
              <w:rPr>
                <w:spacing w:val="-1"/>
                <w:sz w:val="24"/>
              </w:rPr>
              <w:t xml:space="preserve"> </w:t>
            </w:r>
            <w:r w:rsidRPr="00150EDC">
              <w:rPr>
                <w:sz w:val="24"/>
              </w:rPr>
              <w:t>else in</w:t>
            </w:r>
            <w:r w:rsidRPr="00150EDC">
              <w:rPr>
                <w:spacing w:val="-1"/>
                <w:sz w:val="24"/>
              </w:rPr>
              <w:t xml:space="preserve"> </w:t>
            </w:r>
            <w:r w:rsidRPr="00150EDC">
              <w:rPr>
                <w:sz w:val="24"/>
              </w:rPr>
              <w:t>the nature</w:t>
            </w:r>
            <w:r w:rsidRPr="00150EDC">
              <w:rPr>
                <w:spacing w:val="-4"/>
                <w:sz w:val="24"/>
              </w:rPr>
              <w:t xml:space="preserve"> </w:t>
            </w:r>
            <w:r w:rsidRPr="00150EDC">
              <w:rPr>
                <w:sz w:val="24"/>
              </w:rPr>
              <w:t>of know-how relating to the Deliverables but excluding know-how already in the other Party’s possession before the applicable Start Date;</w:t>
            </w:r>
          </w:p>
        </w:tc>
      </w:tr>
      <w:tr w:rsidR="007D3144" w:rsidRPr="007D3144" w14:paraId="36A733F8" w14:textId="77777777">
        <w:trPr>
          <w:trHeight w:val="2327"/>
        </w:trPr>
        <w:tc>
          <w:tcPr>
            <w:tcW w:w="2264" w:type="dxa"/>
          </w:tcPr>
          <w:p w14:paraId="6DA7F236" w14:textId="77777777" w:rsidR="004C7180" w:rsidRPr="00150EDC" w:rsidRDefault="00CF0754">
            <w:pPr>
              <w:pStyle w:val="TableParagraph"/>
              <w:spacing w:before="0" w:line="240" w:lineRule="auto"/>
              <w:ind w:left="-1"/>
              <w:rPr>
                <w:b/>
                <w:sz w:val="24"/>
              </w:rPr>
            </w:pPr>
            <w:r w:rsidRPr="00150EDC">
              <w:rPr>
                <w:b/>
                <w:spacing w:val="-2"/>
                <w:sz w:val="24"/>
              </w:rPr>
              <w:t>"Law"</w:t>
            </w:r>
          </w:p>
        </w:tc>
        <w:tc>
          <w:tcPr>
            <w:tcW w:w="7484" w:type="dxa"/>
          </w:tcPr>
          <w:p w14:paraId="5F03FA53" w14:textId="77777777" w:rsidR="004C7180" w:rsidRPr="00150EDC" w:rsidRDefault="00CF0754">
            <w:pPr>
              <w:pStyle w:val="TableParagraph"/>
              <w:spacing w:before="0" w:line="240" w:lineRule="auto"/>
              <w:ind w:left="277" w:right="91"/>
              <w:jc w:val="both"/>
              <w:rPr>
                <w:sz w:val="24"/>
              </w:rPr>
            </w:pPr>
            <w:r w:rsidRPr="00150EDC">
              <w:rPr>
                <w:sz w:val="24"/>
              </w:rPr>
              <w:t>any</w:t>
            </w:r>
            <w:r w:rsidRPr="00150EDC">
              <w:rPr>
                <w:spacing w:val="-12"/>
                <w:sz w:val="24"/>
              </w:rPr>
              <w:t xml:space="preserve"> </w:t>
            </w:r>
            <w:r w:rsidRPr="00150EDC">
              <w:rPr>
                <w:sz w:val="24"/>
              </w:rPr>
              <w:t>law,</w:t>
            </w:r>
            <w:r w:rsidRPr="00150EDC">
              <w:rPr>
                <w:spacing w:val="-12"/>
                <w:sz w:val="24"/>
              </w:rPr>
              <w:t xml:space="preserve"> </w:t>
            </w:r>
            <w:r w:rsidRPr="00150EDC">
              <w:rPr>
                <w:sz w:val="24"/>
              </w:rPr>
              <w:t>subordinate</w:t>
            </w:r>
            <w:r w:rsidRPr="00150EDC">
              <w:rPr>
                <w:spacing w:val="-11"/>
                <w:sz w:val="24"/>
              </w:rPr>
              <w:t xml:space="preserve"> </w:t>
            </w:r>
            <w:r w:rsidRPr="00150EDC">
              <w:rPr>
                <w:sz w:val="24"/>
              </w:rPr>
              <w:t>legislation</w:t>
            </w:r>
            <w:r w:rsidRPr="00150EDC">
              <w:rPr>
                <w:spacing w:val="-14"/>
                <w:sz w:val="24"/>
              </w:rPr>
              <w:t xml:space="preserve"> </w:t>
            </w:r>
            <w:r w:rsidRPr="00150EDC">
              <w:rPr>
                <w:sz w:val="24"/>
              </w:rPr>
              <w:t>within</w:t>
            </w:r>
            <w:r w:rsidRPr="00150EDC">
              <w:rPr>
                <w:spacing w:val="-14"/>
                <w:sz w:val="24"/>
              </w:rPr>
              <w:t xml:space="preserve"> </w:t>
            </w:r>
            <w:r w:rsidRPr="00150EDC">
              <w:rPr>
                <w:sz w:val="24"/>
              </w:rPr>
              <w:t>the</w:t>
            </w:r>
            <w:r w:rsidRPr="00150EDC">
              <w:rPr>
                <w:spacing w:val="-14"/>
                <w:sz w:val="24"/>
              </w:rPr>
              <w:t xml:space="preserve"> </w:t>
            </w:r>
            <w:r w:rsidRPr="00150EDC">
              <w:rPr>
                <w:sz w:val="24"/>
              </w:rPr>
              <w:t>meaning</w:t>
            </w:r>
            <w:r w:rsidRPr="00150EDC">
              <w:rPr>
                <w:spacing w:val="-13"/>
                <w:sz w:val="24"/>
              </w:rPr>
              <w:t xml:space="preserve"> </w:t>
            </w:r>
            <w:r w:rsidRPr="00150EDC">
              <w:rPr>
                <w:sz w:val="24"/>
              </w:rPr>
              <w:t>of</w:t>
            </w:r>
            <w:r w:rsidRPr="00150EDC">
              <w:rPr>
                <w:spacing w:val="-14"/>
                <w:sz w:val="24"/>
              </w:rPr>
              <w:t xml:space="preserve"> </w:t>
            </w:r>
            <w:r w:rsidRPr="00150EDC">
              <w:rPr>
                <w:sz w:val="24"/>
              </w:rPr>
              <w:t>Section 21(1) of the Interpretation Act 1978, bye-law, right within the meaning of the European Union (Withdrawal) Act 2018 as amended by European Union (Withdrawal Agreement) Act 2020, regulation, order, regulatory policy, mandatory guidance or code of practice, judgment</w:t>
            </w:r>
            <w:r w:rsidRPr="00150EDC">
              <w:rPr>
                <w:spacing w:val="-4"/>
                <w:sz w:val="24"/>
              </w:rPr>
              <w:t xml:space="preserve"> </w:t>
            </w:r>
            <w:r w:rsidRPr="00150EDC">
              <w:rPr>
                <w:sz w:val="24"/>
              </w:rPr>
              <w:t>of</w:t>
            </w:r>
            <w:r w:rsidRPr="00150EDC">
              <w:rPr>
                <w:spacing w:val="-4"/>
                <w:sz w:val="24"/>
              </w:rPr>
              <w:t xml:space="preserve"> </w:t>
            </w:r>
            <w:r w:rsidRPr="00150EDC">
              <w:rPr>
                <w:sz w:val="24"/>
              </w:rPr>
              <w:t>a</w:t>
            </w:r>
            <w:r w:rsidRPr="00150EDC">
              <w:rPr>
                <w:spacing w:val="-3"/>
                <w:sz w:val="24"/>
              </w:rPr>
              <w:t xml:space="preserve"> </w:t>
            </w:r>
            <w:r w:rsidRPr="00150EDC">
              <w:rPr>
                <w:sz w:val="24"/>
              </w:rPr>
              <w:t>relevant</w:t>
            </w:r>
            <w:r w:rsidRPr="00150EDC">
              <w:rPr>
                <w:spacing w:val="-4"/>
                <w:sz w:val="24"/>
              </w:rPr>
              <w:t xml:space="preserve"> </w:t>
            </w:r>
            <w:r w:rsidRPr="00150EDC">
              <w:rPr>
                <w:sz w:val="24"/>
              </w:rPr>
              <w:t>court</w:t>
            </w:r>
            <w:r w:rsidRPr="00150EDC">
              <w:rPr>
                <w:spacing w:val="-5"/>
                <w:sz w:val="24"/>
              </w:rPr>
              <w:t xml:space="preserve"> </w:t>
            </w:r>
            <w:r w:rsidRPr="00150EDC">
              <w:rPr>
                <w:sz w:val="24"/>
              </w:rPr>
              <w:t>of</w:t>
            </w:r>
            <w:r w:rsidRPr="00150EDC">
              <w:rPr>
                <w:spacing w:val="-4"/>
                <w:sz w:val="24"/>
              </w:rPr>
              <w:t xml:space="preserve"> </w:t>
            </w:r>
            <w:r w:rsidRPr="00150EDC">
              <w:rPr>
                <w:sz w:val="24"/>
              </w:rPr>
              <w:t>law,</w:t>
            </w:r>
            <w:r w:rsidRPr="00150EDC">
              <w:rPr>
                <w:spacing w:val="-4"/>
                <w:sz w:val="24"/>
              </w:rPr>
              <w:t xml:space="preserve"> </w:t>
            </w:r>
            <w:r w:rsidRPr="00150EDC">
              <w:rPr>
                <w:sz w:val="24"/>
              </w:rPr>
              <w:t>or</w:t>
            </w:r>
            <w:r w:rsidRPr="00150EDC">
              <w:rPr>
                <w:spacing w:val="-5"/>
                <w:sz w:val="24"/>
              </w:rPr>
              <w:t xml:space="preserve"> </w:t>
            </w:r>
            <w:r w:rsidRPr="00150EDC">
              <w:rPr>
                <w:sz w:val="24"/>
              </w:rPr>
              <w:t>directives</w:t>
            </w:r>
            <w:r w:rsidRPr="00150EDC">
              <w:rPr>
                <w:spacing w:val="-2"/>
                <w:sz w:val="24"/>
              </w:rPr>
              <w:t xml:space="preserve"> </w:t>
            </w:r>
            <w:r w:rsidRPr="00150EDC">
              <w:rPr>
                <w:sz w:val="24"/>
              </w:rPr>
              <w:t>or</w:t>
            </w:r>
            <w:r w:rsidRPr="00150EDC">
              <w:rPr>
                <w:spacing w:val="-6"/>
                <w:sz w:val="24"/>
              </w:rPr>
              <w:t xml:space="preserve"> </w:t>
            </w:r>
            <w:r w:rsidRPr="00150EDC">
              <w:rPr>
                <w:sz w:val="24"/>
              </w:rPr>
              <w:t>requirements</w:t>
            </w:r>
            <w:r w:rsidRPr="00150EDC">
              <w:rPr>
                <w:spacing w:val="-4"/>
                <w:sz w:val="24"/>
              </w:rPr>
              <w:t xml:space="preserve"> </w:t>
            </w:r>
            <w:r w:rsidRPr="00150EDC">
              <w:rPr>
                <w:sz w:val="24"/>
              </w:rPr>
              <w:t xml:space="preserve">of any regulatory body with which the relevant Party is bound to </w:t>
            </w:r>
            <w:r w:rsidRPr="00150EDC">
              <w:rPr>
                <w:spacing w:val="-2"/>
                <w:sz w:val="24"/>
              </w:rPr>
              <w:t>comply;</w:t>
            </w:r>
          </w:p>
        </w:tc>
      </w:tr>
      <w:tr w:rsidR="007D3144" w:rsidRPr="007D3144" w14:paraId="0F0D7873" w14:textId="77777777">
        <w:trPr>
          <w:trHeight w:val="396"/>
        </w:trPr>
        <w:tc>
          <w:tcPr>
            <w:tcW w:w="2264" w:type="dxa"/>
          </w:tcPr>
          <w:p w14:paraId="47818790" w14:textId="77777777" w:rsidR="004C7180" w:rsidRPr="00150EDC" w:rsidRDefault="00CF0754">
            <w:pPr>
              <w:pStyle w:val="TableParagraph"/>
              <w:spacing w:before="1" w:line="240" w:lineRule="auto"/>
              <w:ind w:left="-1"/>
              <w:rPr>
                <w:b/>
                <w:sz w:val="24"/>
              </w:rPr>
            </w:pPr>
            <w:r w:rsidRPr="00150EDC">
              <w:rPr>
                <w:b/>
                <w:spacing w:val="-2"/>
                <w:sz w:val="24"/>
              </w:rPr>
              <w:t>“LED”</w:t>
            </w:r>
          </w:p>
        </w:tc>
        <w:tc>
          <w:tcPr>
            <w:tcW w:w="7484" w:type="dxa"/>
          </w:tcPr>
          <w:p w14:paraId="4F3A6A51" w14:textId="77777777" w:rsidR="004C7180" w:rsidRPr="00150EDC" w:rsidRDefault="00CF0754">
            <w:pPr>
              <w:pStyle w:val="TableParagraph"/>
              <w:spacing w:before="1" w:line="240" w:lineRule="auto"/>
              <w:ind w:left="277"/>
              <w:rPr>
                <w:sz w:val="24"/>
              </w:rPr>
            </w:pPr>
            <w:r w:rsidRPr="00150EDC">
              <w:rPr>
                <w:sz w:val="24"/>
              </w:rPr>
              <w:t>Law</w:t>
            </w:r>
            <w:r w:rsidRPr="00150EDC">
              <w:rPr>
                <w:spacing w:val="-7"/>
                <w:sz w:val="24"/>
              </w:rPr>
              <w:t xml:space="preserve"> </w:t>
            </w:r>
            <w:r w:rsidRPr="00150EDC">
              <w:rPr>
                <w:sz w:val="24"/>
              </w:rPr>
              <w:t>Enforcement</w:t>
            </w:r>
            <w:r w:rsidRPr="00150EDC">
              <w:rPr>
                <w:spacing w:val="-6"/>
                <w:sz w:val="24"/>
              </w:rPr>
              <w:t xml:space="preserve"> </w:t>
            </w:r>
            <w:r w:rsidRPr="00150EDC">
              <w:rPr>
                <w:sz w:val="24"/>
              </w:rPr>
              <w:t>Directive</w:t>
            </w:r>
            <w:r w:rsidRPr="00150EDC">
              <w:rPr>
                <w:spacing w:val="-6"/>
                <w:sz w:val="24"/>
              </w:rPr>
              <w:t xml:space="preserve"> </w:t>
            </w:r>
            <w:r w:rsidRPr="00150EDC">
              <w:rPr>
                <w:sz w:val="24"/>
              </w:rPr>
              <w:t>(Directive</w:t>
            </w:r>
            <w:r w:rsidRPr="00150EDC">
              <w:rPr>
                <w:spacing w:val="-6"/>
                <w:sz w:val="24"/>
              </w:rPr>
              <w:t xml:space="preserve"> </w:t>
            </w:r>
            <w:r w:rsidRPr="00150EDC">
              <w:rPr>
                <w:sz w:val="24"/>
              </w:rPr>
              <w:t>(EU)</w:t>
            </w:r>
            <w:r w:rsidRPr="00150EDC">
              <w:rPr>
                <w:spacing w:val="-8"/>
                <w:sz w:val="24"/>
              </w:rPr>
              <w:t xml:space="preserve"> </w:t>
            </w:r>
            <w:r w:rsidRPr="00150EDC">
              <w:rPr>
                <w:spacing w:val="-2"/>
                <w:sz w:val="24"/>
              </w:rPr>
              <w:t>2016/680);</w:t>
            </w:r>
          </w:p>
        </w:tc>
      </w:tr>
      <w:tr w:rsidR="007D3144" w:rsidRPr="007D3144" w14:paraId="15C9557B" w14:textId="77777777">
        <w:trPr>
          <w:trHeight w:val="1499"/>
        </w:trPr>
        <w:tc>
          <w:tcPr>
            <w:tcW w:w="2264" w:type="dxa"/>
          </w:tcPr>
          <w:p w14:paraId="12D29126" w14:textId="77777777" w:rsidR="004C7180" w:rsidRPr="00150EDC" w:rsidRDefault="00CF0754">
            <w:pPr>
              <w:pStyle w:val="TableParagraph"/>
              <w:spacing w:before="2" w:line="240" w:lineRule="auto"/>
              <w:ind w:left="-1"/>
              <w:rPr>
                <w:b/>
                <w:sz w:val="24"/>
              </w:rPr>
            </w:pPr>
            <w:r w:rsidRPr="00150EDC">
              <w:rPr>
                <w:b/>
                <w:spacing w:val="-2"/>
                <w:sz w:val="24"/>
              </w:rPr>
              <w:t>"Losses"</w:t>
            </w:r>
          </w:p>
        </w:tc>
        <w:tc>
          <w:tcPr>
            <w:tcW w:w="7484" w:type="dxa"/>
          </w:tcPr>
          <w:p w14:paraId="33170937" w14:textId="77777777" w:rsidR="004C7180" w:rsidRPr="00150EDC" w:rsidRDefault="00CF0754">
            <w:pPr>
              <w:pStyle w:val="TableParagraph"/>
              <w:spacing w:before="2" w:line="240" w:lineRule="auto"/>
              <w:ind w:left="277" w:right="95"/>
              <w:jc w:val="both"/>
              <w:rPr>
                <w:sz w:val="24"/>
              </w:rPr>
            </w:pPr>
            <w:r w:rsidRPr="00150EDC">
              <w:rPr>
                <w:sz w:val="24"/>
              </w:rPr>
              <w:t>all losses, liabilities, damages, costs, expenses (including legal fees), disbursements, costs of investigation, litigation, settlement, judgment, interest and penalties whether arising in contract, tort (including negligence), breach of statutory duty, misrepresentation or otherwise and "</w:t>
            </w:r>
            <w:r w:rsidRPr="00150EDC">
              <w:rPr>
                <w:b/>
                <w:sz w:val="24"/>
              </w:rPr>
              <w:t>Loss</w:t>
            </w:r>
            <w:r w:rsidRPr="00150EDC">
              <w:rPr>
                <w:sz w:val="24"/>
              </w:rPr>
              <w:t>" shall be interpreted accordingly;</w:t>
            </w:r>
          </w:p>
        </w:tc>
      </w:tr>
      <w:tr w:rsidR="007D3144" w:rsidRPr="007D3144" w14:paraId="297F67D5" w14:textId="77777777">
        <w:trPr>
          <w:trHeight w:val="950"/>
        </w:trPr>
        <w:tc>
          <w:tcPr>
            <w:tcW w:w="2264" w:type="dxa"/>
          </w:tcPr>
          <w:p w14:paraId="67E102A2" w14:textId="77777777" w:rsidR="004C7180" w:rsidRPr="00150EDC" w:rsidRDefault="00CF0754">
            <w:pPr>
              <w:pStyle w:val="TableParagraph"/>
              <w:spacing w:before="2" w:line="240" w:lineRule="auto"/>
              <w:ind w:left="-1" w:right="511"/>
              <w:rPr>
                <w:b/>
                <w:sz w:val="24"/>
              </w:rPr>
            </w:pPr>
            <w:r w:rsidRPr="00150EDC">
              <w:rPr>
                <w:b/>
                <w:spacing w:val="-2"/>
                <w:sz w:val="24"/>
              </w:rPr>
              <w:t xml:space="preserve">"Management </w:t>
            </w:r>
            <w:r w:rsidRPr="00150EDC">
              <w:rPr>
                <w:b/>
                <w:sz w:val="24"/>
              </w:rPr>
              <w:t>Information"</w:t>
            </w:r>
            <w:r w:rsidRPr="00150EDC">
              <w:rPr>
                <w:b/>
                <w:spacing w:val="-17"/>
                <w:sz w:val="24"/>
              </w:rPr>
              <w:t xml:space="preserve"> </w:t>
            </w:r>
            <w:r w:rsidRPr="00150EDC">
              <w:rPr>
                <w:b/>
                <w:sz w:val="24"/>
              </w:rPr>
              <w:t xml:space="preserve">or </w:t>
            </w:r>
            <w:r w:rsidRPr="00150EDC">
              <w:rPr>
                <w:b/>
                <w:spacing w:val="-4"/>
                <w:sz w:val="24"/>
              </w:rPr>
              <w:t>“MI”</w:t>
            </w:r>
          </w:p>
        </w:tc>
        <w:tc>
          <w:tcPr>
            <w:tcW w:w="7484" w:type="dxa"/>
          </w:tcPr>
          <w:p w14:paraId="3E2EEE79" w14:textId="77777777" w:rsidR="004C7180" w:rsidRPr="00150EDC" w:rsidRDefault="00CF0754">
            <w:pPr>
              <w:pStyle w:val="TableParagraph"/>
              <w:tabs>
                <w:tab w:val="left" w:pos="814"/>
                <w:tab w:val="left" w:pos="2416"/>
                <w:tab w:val="left" w:pos="3804"/>
                <w:tab w:val="left" w:pos="4952"/>
                <w:tab w:val="left" w:pos="5338"/>
                <w:tab w:val="left" w:pos="6034"/>
                <w:tab w:val="left" w:pos="7237"/>
              </w:tabs>
              <w:spacing w:before="2" w:line="240" w:lineRule="auto"/>
              <w:ind w:left="277" w:right="100"/>
              <w:rPr>
                <w:sz w:val="24"/>
              </w:rPr>
            </w:pPr>
            <w:r w:rsidRPr="00150EDC">
              <w:rPr>
                <w:spacing w:val="-4"/>
                <w:sz w:val="24"/>
              </w:rPr>
              <w:t>the</w:t>
            </w:r>
            <w:r w:rsidRPr="00150EDC">
              <w:rPr>
                <w:sz w:val="24"/>
              </w:rPr>
              <w:tab/>
            </w:r>
            <w:r w:rsidRPr="00150EDC">
              <w:rPr>
                <w:spacing w:val="-2"/>
                <w:sz w:val="24"/>
              </w:rPr>
              <w:t>management</w:t>
            </w:r>
            <w:r w:rsidRPr="00150EDC">
              <w:rPr>
                <w:sz w:val="24"/>
              </w:rPr>
              <w:tab/>
            </w:r>
            <w:r w:rsidRPr="00150EDC">
              <w:rPr>
                <w:spacing w:val="-2"/>
                <w:sz w:val="24"/>
              </w:rPr>
              <w:t>information</w:t>
            </w:r>
            <w:r w:rsidRPr="00150EDC">
              <w:rPr>
                <w:sz w:val="24"/>
              </w:rPr>
              <w:tab/>
            </w:r>
            <w:r w:rsidRPr="00150EDC">
              <w:rPr>
                <w:spacing w:val="-2"/>
                <w:sz w:val="24"/>
              </w:rPr>
              <w:t>specified</w:t>
            </w:r>
            <w:r w:rsidRPr="00150EDC">
              <w:rPr>
                <w:sz w:val="24"/>
              </w:rPr>
              <w:tab/>
            </w:r>
            <w:r w:rsidRPr="00150EDC">
              <w:rPr>
                <w:spacing w:val="-6"/>
                <w:sz w:val="24"/>
              </w:rPr>
              <w:t>in</w:t>
            </w:r>
            <w:r w:rsidRPr="00150EDC">
              <w:rPr>
                <w:sz w:val="24"/>
              </w:rPr>
              <w:tab/>
            </w:r>
            <w:r w:rsidRPr="00150EDC">
              <w:rPr>
                <w:spacing w:val="-4"/>
                <w:sz w:val="24"/>
              </w:rPr>
              <w:t>DPS</w:t>
            </w:r>
            <w:r w:rsidRPr="00150EDC">
              <w:rPr>
                <w:sz w:val="24"/>
              </w:rPr>
              <w:tab/>
            </w:r>
            <w:r w:rsidRPr="00150EDC">
              <w:rPr>
                <w:spacing w:val="-2"/>
                <w:sz w:val="24"/>
              </w:rPr>
              <w:t>Schedule</w:t>
            </w:r>
            <w:r w:rsidRPr="00150EDC">
              <w:rPr>
                <w:sz w:val="24"/>
              </w:rPr>
              <w:tab/>
            </w:r>
            <w:r w:rsidRPr="00150EDC">
              <w:rPr>
                <w:spacing w:val="-10"/>
                <w:sz w:val="24"/>
              </w:rPr>
              <w:t xml:space="preserve">5 </w:t>
            </w:r>
            <w:r w:rsidRPr="00150EDC">
              <w:rPr>
                <w:sz w:val="24"/>
              </w:rPr>
              <w:t>(Management Levy and Information);</w:t>
            </w:r>
          </w:p>
        </w:tc>
      </w:tr>
      <w:tr w:rsidR="007D3144" w:rsidRPr="007D3144" w14:paraId="5B10299E" w14:textId="77777777">
        <w:trPr>
          <w:trHeight w:val="947"/>
        </w:trPr>
        <w:tc>
          <w:tcPr>
            <w:tcW w:w="2264" w:type="dxa"/>
          </w:tcPr>
          <w:p w14:paraId="17BF21FC" w14:textId="77777777" w:rsidR="004C7180" w:rsidRPr="00150EDC" w:rsidRDefault="00CF0754">
            <w:pPr>
              <w:pStyle w:val="TableParagraph"/>
              <w:spacing w:before="0" w:line="240" w:lineRule="auto"/>
              <w:ind w:left="-1" w:right="298"/>
              <w:rPr>
                <w:b/>
                <w:sz w:val="24"/>
              </w:rPr>
            </w:pPr>
            <w:r w:rsidRPr="00150EDC">
              <w:rPr>
                <w:b/>
                <w:spacing w:val="-2"/>
                <w:sz w:val="24"/>
              </w:rPr>
              <w:t>"Management Levy"</w:t>
            </w:r>
          </w:p>
        </w:tc>
        <w:tc>
          <w:tcPr>
            <w:tcW w:w="7484" w:type="dxa"/>
          </w:tcPr>
          <w:p w14:paraId="1A877E97" w14:textId="77777777" w:rsidR="004C7180" w:rsidRPr="00150EDC" w:rsidRDefault="00CF0754">
            <w:pPr>
              <w:pStyle w:val="TableParagraph"/>
              <w:spacing w:before="0" w:line="240" w:lineRule="auto"/>
              <w:ind w:left="277" w:right="97"/>
              <w:jc w:val="both"/>
              <w:rPr>
                <w:sz w:val="24"/>
              </w:rPr>
            </w:pPr>
            <w:r w:rsidRPr="00150EDC">
              <w:rPr>
                <w:sz w:val="24"/>
              </w:rPr>
              <w:t xml:space="preserve">the sum specified on the Platform payable by the Supplier to CCS in accordance with DPS Schedule 5 (Management Levy and </w:t>
            </w:r>
            <w:r w:rsidRPr="00150EDC">
              <w:rPr>
                <w:spacing w:val="-2"/>
                <w:sz w:val="24"/>
              </w:rPr>
              <w:t>Information);</w:t>
            </w:r>
          </w:p>
        </w:tc>
      </w:tr>
      <w:tr w:rsidR="007D3144" w:rsidRPr="007D3144" w14:paraId="02EF10A1" w14:textId="77777777">
        <w:trPr>
          <w:trHeight w:val="1223"/>
        </w:trPr>
        <w:tc>
          <w:tcPr>
            <w:tcW w:w="2264" w:type="dxa"/>
          </w:tcPr>
          <w:p w14:paraId="1619662C" w14:textId="77777777" w:rsidR="004C7180" w:rsidRPr="00150EDC" w:rsidRDefault="00CF0754">
            <w:pPr>
              <w:pStyle w:val="TableParagraph"/>
              <w:spacing w:before="0" w:line="240" w:lineRule="auto"/>
              <w:ind w:left="-1"/>
              <w:rPr>
                <w:b/>
                <w:sz w:val="24"/>
              </w:rPr>
            </w:pPr>
            <w:r w:rsidRPr="00150EDC">
              <w:rPr>
                <w:b/>
                <w:sz w:val="24"/>
              </w:rPr>
              <w:t>“Maximum</w:t>
            </w:r>
            <w:r w:rsidRPr="00150EDC">
              <w:rPr>
                <w:b/>
                <w:spacing w:val="-17"/>
                <w:sz w:val="24"/>
              </w:rPr>
              <w:t xml:space="preserve"> </w:t>
            </w:r>
            <w:r w:rsidRPr="00150EDC">
              <w:rPr>
                <w:b/>
                <w:sz w:val="24"/>
              </w:rPr>
              <w:t xml:space="preserve">Margin </w:t>
            </w:r>
            <w:r w:rsidRPr="00150EDC">
              <w:rPr>
                <w:b/>
                <w:spacing w:val="-2"/>
                <w:sz w:val="24"/>
              </w:rPr>
              <w:t>Percentage”</w:t>
            </w:r>
          </w:p>
        </w:tc>
        <w:tc>
          <w:tcPr>
            <w:tcW w:w="7484" w:type="dxa"/>
          </w:tcPr>
          <w:p w14:paraId="67715C4E" w14:textId="77777777" w:rsidR="004C7180" w:rsidRPr="00150EDC" w:rsidRDefault="00CF0754">
            <w:pPr>
              <w:pStyle w:val="TableParagraph"/>
              <w:spacing w:before="0" w:line="240" w:lineRule="auto"/>
              <w:ind w:left="277" w:right="99"/>
              <w:jc w:val="both"/>
              <w:rPr>
                <w:sz w:val="24"/>
              </w:rPr>
            </w:pPr>
            <w:r w:rsidRPr="007D3144">
              <w:rPr>
                <w:sz w:val="24"/>
              </w:rPr>
              <w:t>means the percentage a Supplier will apply on top of the total cost of</w:t>
            </w:r>
            <w:r w:rsidRPr="007D3144">
              <w:rPr>
                <w:spacing w:val="-5"/>
                <w:sz w:val="24"/>
              </w:rPr>
              <w:t xml:space="preserve"> </w:t>
            </w:r>
            <w:r w:rsidRPr="007D3144">
              <w:rPr>
                <w:sz w:val="24"/>
              </w:rPr>
              <w:t>provision</w:t>
            </w:r>
            <w:r w:rsidRPr="007D3144">
              <w:rPr>
                <w:spacing w:val="-4"/>
                <w:sz w:val="24"/>
              </w:rPr>
              <w:t xml:space="preserve"> </w:t>
            </w:r>
            <w:r w:rsidRPr="007D3144">
              <w:rPr>
                <w:sz w:val="24"/>
              </w:rPr>
              <w:t>of</w:t>
            </w:r>
            <w:r w:rsidRPr="007D3144">
              <w:rPr>
                <w:spacing w:val="-5"/>
                <w:sz w:val="24"/>
              </w:rPr>
              <w:t xml:space="preserve"> </w:t>
            </w:r>
            <w:r w:rsidRPr="007D3144">
              <w:rPr>
                <w:sz w:val="24"/>
              </w:rPr>
              <w:t>the</w:t>
            </w:r>
            <w:r w:rsidRPr="007D3144">
              <w:rPr>
                <w:spacing w:val="-2"/>
                <w:sz w:val="24"/>
              </w:rPr>
              <w:t xml:space="preserve"> </w:t>
            </w:r>
            <w:r w:rsidRPr="007D3144">
              <w:rPr>
                <w:sz w:val="24"/>
              </w:rPr>
              <w:t>Services</w:t>
            </w:r>
            <w:r w:rsidRPr="007D3144">
              <w:rPr>
                <w:spacing w:val="-2"/>
                <w:sz w:val="24"/>
              </w:rPr>
              <w:t xml:space="preserve"> </w:t>
            </w:r>
            <w:r w:rsidRPr="007D3144">
              <w:rPr>
                <w:sz w:val="24"/>
              </w:rPr>
              <w:t>to</w:t>
            </w:r>
            <w:r w:rsidRPr="007D3144">
              <w:rPr>
                <w:spacing w:val="-4"/>
                <w:sz w:val="24"/>
              </w:rPr>
              <w:t xml:space="preserve"> </w:t>
            </w:r>
            <w:r w:rsidRPr="007D3144">
              <w:rPr>
                <w:sz w:val="24"/>
              </w:rPr>
              <w:t>enable</w:t>
            </w:r>
            <w:r w:rsidRPr="007D3144">
              <w:rPr>
                <w:spacing w:val="-5"/>
                <w:sz w:val="24"/>
              </w:rPr>
              <w:t xml:space="preserve"> </w:t>
            </w:r>
            <w:r w:rsidRPr="007D3144">
              <w:rPr>
                <w:sz w:val="24"/>
              </w:rPr>
              <w:t>effective</w:t>
            </w:r>
            <w:r w:rsidRPr="007D3144">
              <w:rPr>
                <w:spacing w:val="-2"/>
                <w:sz w:val="24"/>
              </w:rPr>
              <w:t xml:space="preserve"> </w:t>
            </w:r>
            <w:r w:rsidRPr="007D3144">
              <w:rPr>
                <w:sz w:val="24"/>
              </w:rPr>
              <w:t>delivery,</w:t>
            </w:r>
            <w:r w:rsidRPr="007D3144">
              <w:rPr>
                <w:spacing w:val="-3"/>
                <w:sz w:val="24"/>
              </w:rPr>
              <w:t xml:space="preserve"> </w:t>
            </w:r>
            <w:r w:rsidRPr="007D3144">
              <w:rPr>
                <w:sz w:val="24"/>
              </w:rPr>
              <w:t>continuous improvement and, where applicable according to the status of the Suppliers, profit.</w:t>
            </w:r>
          </w:p>
        </w:tc>
      </w:tr>
      <w:tr w:rsidR="007D3144" w:rsidRPr="007D3144" w14:paraId="65D2D5FD" w14:textId="77777777">
        <w:trPr>
          <w:trHeight w:val="671"/>
        </w:trPr>
        <w:tc>
          <w:tcPr>
            <w:tcW w:w="2264" w:type="dxa"/>
          </w:tcPr>
          <w:p w14:paraId="285DA05F" w14:textId="77777777" w:rsidR="004C7180" w:rsidRPr="00150EDC" w:rsidRDefault="00CF0754">
            <w:pPr>
              <w:pStyle w:val="TableParagraph"/>
              <w:spacing w:before="0" w:line="240" w:lineRule="auto"/>
              <w:ind w:left="-1"/>
              <w:rPr>
                <w:b/>
                <w:sz w:val="24"/>
              </w:rPr>
            </w:pPr>
            <w:r w:rsidRPr="00150EDC">
              <w:rPr>
                <w:b/>
                <w:sz w:val="24"/>
              </w:rPr>
              <w:t>“MI</w:t>
            </w:r>
            <w:r w:rsidRPr="00150EDC">
              <w:rPr>
                <w:b/>
                <w:spacing w:val="-1"/>
                <w:sz w:val="24"/>
              </w:rPr>
              <w:t xml:space="preserve"> </w:t>
            </w:r>
            <w:r w:rsidRPr="00150EDC">
              <w:rPr>
                <w:b/>
                <w:spacing w:val="-2"/>
                <w:sz w:val="24"/>
              </w:rPr>
              <w:t>Default”</w:t>
            </w:r>
          </w:p>
        </w:tc>
        <w:tc>
          <w:tcPr>
            <w:tcW w:w="7484" w:type="dxa"/>
          </w:tcPr>
          <w:p w14:paraId="2ADE129D" w14:textId="77777777" w:rsidR="004C7180" w:rsidRPr="00150EDC" w:rsidRDefault="00CF0754">
            <w:pPr>
              <w:pStyle w:val="TableParagraph"/>
              <w:spacing w:before="0" w:line="240" w:lineRule="auto"/>
              <w:ind w:left="277"/>
              <w:rPr>
                <w:sz w:val="24"/>
              </w:rPr>
            </w:pPr>
            <w:r w:rsidRPr="007D3144">
              <w:rPr>
                <w:sz w:val="24"/>
              </w:rPr>
              <w:t>means</w:t>
            </w:r>
            <w:r w:rsidRPr="007D3144">
              <w:rPr>
                <w:spacing w:val="6"/>
                <w:sz w:val="24"/>
              </w:rPr>
              <w:t xml:space="preserve"> </w:t>
            </w:r>
            <w:r w:rsidRPr="007D3144">
              <w:rPr>
                <w:sz w:val="24"/>
              </w:rPr>
              <w:t>when</w:t>
            </w:r>
            <w:r w:rsidRPr="007D3144">
              <w:rPr>
                <w:spacing w:val="10"/>
                <w:sz w:val="24"/>
              </w:rPr>
              <w:t xml:space="preserve"> </w:t>
            </w:r>
            <w:r w:rsidRPr="00150EDC">
              <w:rPr>
                <w:sz w:val="24"/>
              </w:rPr>
              <w:t>two</w:t>
            </w:r>
            <w:r w:rsidRPr="00150EDC">
              <w:rPr>
                <w:spacing w:val="8"/>
                <w:sz w:val="24"/>
              </w:rPr>
              <w:t xml:space="preserve"> </w:t>
            </w:r>
            <w:r w:rsidRPr="00150EDC">
              <w:rPr>
                <w:sz w:val="24"/>
              </w:rPr>
              <w:t>(2)</w:t>
            </w:r>
            <w:r w:rsidRPr="00150EDC">
              <w:rPr>
                <w:spacing w:val="5"/>
                <w:sz w:val="24"/>
              </w:rPr>
              <w:t xml:space="preserve"> </w:t>
            </w:r>
            <w:r w:rsidRPr="00150EDC">
              <w:rPr>
                <w:sz w:val="24"/>
              </w:rPr>
              <w:t>MI</w:t>
            </w:r>
            <w:r w:rsidRPr="00150EDC">
              <w:rPr>
                <w:spacing w:val="8"/>
                <w:sz w:val="24"/>
              </w:rPr>
              <w:t xml:space="preserve"> </w:t>
            </w:r>
            <w:r w:rsidRPr="00150EDC">
              <w:rPr>
                <w:sz w:val="24"/>
              </w:rPr>
              <w:t>Reports</w:t>
            </w:r>
            <w:r w:rsidRPr="00150EDC">
              <w:rPr>
                <w:spacing w:val="7"/>
                <w:sz w:val="24"/>
              </w:rPr>
              <w:t xml:space="preserve"> </w:t>
            </w:r>
            <w:r w:rsidRPr="00150EDC">
              <w:rPr>
                <w:sz w:val="24"/>
              </w:rPr>
              <w:t>are</w:t>
            </w:r>
            <w:r w:rsidRPr="00150EDC">
              <w:rPr>
                <w:spacing w:val="4"/>
                <w:sz w:val="24"/>
              </w:rPr>
              <w:t xml:space="preserve"> </w:t>
            </w:r>
            <w:r w:rsidRPr="00150EDC">
              <w:rPr>
                <w:sz w:val="24"/>
              </w:rPr>
              <w:t>not</w:t>
            </w:r>
            <w:r w:rsidRPr="00150EDC">
              <w:rPr>
                <w:spacing w:val="6"/>
                <w:sz w:val="24"/>
              </w:rPr>
              <w:t xml:space="preserve"> </w:t>
            </w:r>
            <w:r w:rsidRPr="00150EDC">
              <w:rPr>
                <w:sz w:val="24"/>
              </w:rPr>
              <w:t>provided</w:t>
            </w:r>
            <w:r w:rsidRPr="00150EDC">
              <w:rPr>
                <w:spacing w:val="8"/>
                <w:sz w:val="24"/>
              </w:rPr>
              <w:t xml:space="preserve"> </w:t>
            </w:r>
            <w:r w:rsidRPr="00150EDC">
              <w:rPr>
                <w:sz w:val="24"/>
              </w:rPr>
              <w:t>in</w:t>
            </w:r>
            <w:r w:rsidRPr="00150EDC">
              <w:rPr>
                <w:spacing w:val="8"/>
                <w:sz w:val="24"/>
              </w:rPr>
              <w:t xml:space="preserve"> </w:t>
            </w:r>
            <w:r w:rsidRPr="00150EDC">
              <w:rPr>
                <w:sz w:val="24"/>
              </w:rPr>
              <w:t>any</w:t>
            </w:r>
            <w:r w:rsidRPr="00150EDC">
              <w:rPr>
                <w:spacing w:val="7"/>
                <w:sz w:val="24"/>
              </w:rPr>
              <w:t xml:space="preserve"> </w:t>
            </w:r>
            <w:r w:rsidRPr="00150EDC">
              <w:rPr>
                <w:sz w:val="24"/>
              </w:rPr>
              <w:t>rolling</w:t>
            </w:r>
            <w:r w:rsidRPr="00150EDC">
              <w:rPr>
                <w:spacing w:val="9"/>
                <w:sz w:val="24"/>
              </w:rPr>
              <w:t xml:space="preserve"> </w:t>
            </w:r>
            <w:r w:rsidRPr="00150EDC">
              <w:rPr>
                <w:spacing w:val="-5"/>
                <w:sz w:val="24"/>
              </w:rPr>
              <w:t>six</w:t>
            </w:r>
          </w:p>
          <w:p w14:paraId="247CE110" w14:textId="77777777" w:rsidR="004C7180" w:rsidRPr="00150EDC" w:rsidRDefault="00CF0754">
            <w:pPr>
              <w:pStyle w:val="TableParagraph"/>
              <w:spacing w:before="0" w:line="240" w:lineRule="auto"/>
              <w:ind w:left="277"/>
              <w:rPr>
                <w:sz w:val="24"/>
              </w:rPr>
            </w:pPr>
            <w:r w:rsidRPr="00150EDC">
              <w:rPr>
                <w:sz w:val="24"/>
              </w:rPr>
              <w:t>(6)</w:t>
            </w:r>
            <w:r w:rsidRPr="00150EDC">
              <w:rPr>
                <w:spacing w:val="-3"/>
                <w:sz w:val="24"/>
              </w:rPr>
              <w:t xml:space="preserve"> </w:t>
            </w:r>
            <w:r w:rsidRPr="00150EDC">
              <w:rPr>
                <w:sz w:val="24"/>
              </w:rPr>
              <w:t>month</w:t>
            </w:r>
            <w:r w:rsidRPr="00150EDC">
              <w:rPr>
                <w:spacing w:val="-3"/>
                <w:sz w:val="24"/>
              </w:rPr>
              <w:t xml:space="preserve"> </w:t>
            </w:r>
            <w:r w:rsidRPr="00150EDC">
              <w:rPr>
                <w:spacing w:val="-2"/>
                <w:sz w:val="24"/>
              </w:rPr>
              <w:t>period</w:t>
            </w:r>
          </w:p>
        </w:tc>
      </w:tr>
      <w:tr w:rsidR="007D3144" w:rsidRPr="007D3144" w14:paraId="4BA514DB" w14:textId="77777777">
        <w:trPr>
          <w:trHeight w:val="2136"/>
        </w:trPr>
        <w:tc>
          <w:tcPr>
            <w:tcW w:w="2264" w:type="dxa"/>
          </w:tcPr>
          <w:p w14:paraId="64682712" w14:textId="77777777" w:rsidR="004C7180" w:rsidRPr="00150EDC" w:rsidRDefault="00CF0754">
            <w:pPr>
              <w:pStyle w:val="TableParagraph"/>
              <w:spacing w:before="0" w:line="240" w:lineRule="auto"/>
              <w:ind w:left="-1"/>
              <w:rPr>
                <w:b/>
                <w:sz w:val="24"/>
              </w:rPr>
            </w:pPr>
            <w:r w:rsidRPr="00150EDC">
              <w:rPr>
                <w:b/>
                <w:sz w:val="24"/>
              </w:rPr>
              <w:t>"MI</w:t>
            </w:r>
            <w:r w:rsidRPr="00150EDC">
              <w:rPr>
                <w:b/>
                <w:spacing w:val="-6"/>
                <w:sz w:val="24"/>
              </w:rPr>
              <w:t xml:space="preserve"> </w:t>
            </w:r>
            <w:r w:rsidRPr="00150EDC">
              <w:rPr>
                <w:b/>
                <w:spacing w:val="-2"/>
                <w:sz w:val="24"/>
              </w:rPr>
              <w:t>Failure"</w:t>
            </w:r>
          </w:p>
        </w:tc>
        <w:tc>
          <w:tcPr>
            <w:tcW w:w="7484" w:type="dxa"/>
          </w:tcPr>
          <w:p w14:paraId="0AAFC76B" w14:textId="77777777" w:rsidR="004C7180" w:rsidRPr="00150EDC" w:rsidRDefault="00CF0754">
            <w:pPr>
              <w:pStyle w:val="TableParagraph"/>
              <w:spacing w:before="0" w:line="240" w:lineRule="auto"/>
              <w:ind w:left="277"/>
              <w:rPr>
                <w:sz w:val="24"/>
              </w:rPr>
            </w:pPr>
            <w:r w:rsidRPr="00150EDC">
              <w:rPr>
                <w:sz w:val="24"/>
              </w:rPr>
              <w:t>means</w:t>
            </w:r>
            <w:r w:rsidRPr="00150EDC">
              <w:rPr>
                <w:spacing w:val="-1"/>
                <w:sz w:val="24"/>
              </w:rPr>
              <w:t xml:space="preserve"> </w:t>
            </w:r>
            <w:r w:rsidRPr="00150EDC">
              <w:rPr>
                <w:sz w:val="24"/>
              </w:rPr>
              <w:t>when</w:t>
            </w:r>
            <w:r w:rsidRPr="00150EDC">
              <w:rPr>
                <w:spacing w:val="-3"/>
                <w:sz w:val="24"/>
              </w:rPr>
              <w:t xml:space="preserve"> </w:t>
            </w:r>
            <w:r w:rsidRPr="00150EDC">
              <w:rPr>
                <w:sz w:val="24"/>
              </w:rPr>
              <w:t>an</w:t>
            </w:r>
            <w:r w:rsidRPr="00150EDC">
              <w:rPr>
                <w:spacing w:val="-1"/>
                <w:sz w:val="24"/>
              </w:rPr>
              <w:t xml:space="preserve"> </w:t>
            </w:r>
            <w:r w:rsidRPr="00150EDC">
              <w:rPr>
                <w:sz w:val="24"/>
              </w:rPr>
              <w:t>MI</w:t>
            </w:r>
            <w:r w:rsidRPr="00150EDC">
              <w:rPr>
                <w:spacing w:val="-1"/>
                <w:sz w:val="24"/>
              </w:rPr>
              <w:t xml:space="preserve"> </w:t>
            </w:r>
            <w:r w:rsidRPr="00150EDC">
              <w:rPr>
                <w:spacing w:val="-2"/>
                <w:sz w:val="24"/>
              </w:rPr>
              <w:t>report:</w:t>
            </w:r>
          </w:p>
          <w:p w14:paraId="1481FA3D" w14:textId="77777777" w:rsidR="004C7180" w:rsidRPr="00150EDC" w:rsidRDefault="00CF0754" w:rsidP="00B320C7">
            <w:pPr>
              <w:pStyle w:val="TableParagraph"/>
              <w:numPr>
                <w:ilvl w:val="0"/>
                <w:numId w:val="115"/>
              </w:numPr>
              <w:tabs>
                <w:tab w:val="left" w:pos="827"/>
              </w:tabs>
              <w:spacing w:before="120" w:line="240" w:lineRule="auto"/>
              <w:ind w:right="101"/>
              <w:rPr>
                <w:sz w:val="24"/>
              </w:rPr>
            </w:pPr>
            <w:r w:rsidRPr="00150EDC">
              <w:rPr>
                <w:sz w:val="24"/>
              </w:rPr>
              <w:t>contains</w:t>
            </w:r>
            <w:r w:rsidRPr="00150EDC">
              <w:rPr>
                <w:spacing w:val="-17"/>
                <w:sz w:val="24"/>
              </w:rPr>
              <w:t xml:space="preserve"> </w:t>
            </w:r>
            <w:r w:rsidRPr="00150EDC">
              <w:rPr>
                <w:sz w:val="24"/>
              </w:rPr>
              <w:t>any</w:t>
            </w:r>
            <w:r w:rsidRPr="00150EDC">
              <w:rPr>
                <w:spacing w:val="-17"/>
                <w:sz w:val="24"/>
              </w:rPr>
              <w:t xml:space="preserve"> </w:t>
            </w:r>
            <w:r w:rsidRPr="00150EDC">
              <w:rPr>
                <w:sz w:val="24"/>
              </w:rPr>
              <w:t>material</w:t>
            </w:r>
            <w:r w:rsidRPr="00150EDC">
              <w:rPr>
                <w:spacing w:val="-16"/>
                <w:sz w:val="24"/>
              </w:rPr>
              <w:t xml:space="preserve"> </w:t>
            </w:r>
            <w:r w:rsidRPr="00150EDC">
              <w:rPr>
                <w:sz w:val="24"/>
              </w:rPr>
              <w:t>errors</w:t>
            </w:r>
            <w:r w:rsidRPr="00150EDC">
              <w:rPr>
                <w:spacing w:val="-17"/>
                <w:sz w:val="24"/>
              </w:rPr>
              <w:t xml:space="preserve"> </w:t>
            </w:r>
            <w:r w:rsidRPr="00150EDC">
              <w:rPr>
                <w:sz w:val="24"/>
              </w:rPr>
              <w:t>or</w:t>
            </w:r>
            <w:r w:rsidRPr="00150EDC">
              <w:rPr>
                <w:spacing w:val="-17"/>
                <w:sz w:val="24"/>
              </w:rPr>
              <w:t xml:space="preserve"> </w:t>
            </w:r>
            <w:r w:rsidRPr="00150EDC">
              <w:rPr>
                <w:sz w:val="24"/>
              </w:rPr>
              <w:t>material</w:t>
            </w:r>
            <w:r w:rsidRPr="00150EDC">
              <w:rPr>
                <w:spacing w:val="-17"/>
                <w:sz w:val="24"/>
              </w:rPr>
              <w:t xml:space="preserve"> </w:t>
            </w:r>
            <w:r w:rsidRPr="00150EDC">
              <w:rPr>
                <w:sz w:val="24"/>
              </w:rPr>
              <w:t>omissions</w:t>
            </w:r>
            <w:r w:rsidRPr="00150EDC">
              <w:rPr>
                <w:spacing w:val="-16"/>
                <w:sz w:val="24"/>
              </w:rPr>
              <w:t xml:space="preserve"> </w:t>
            </w:r>
            <w:r w:rsidRPr="00150EDC">
              <w:rPr>
                <w:sz w:val="24"/>
              </w:rPr>
              <w:t>or</w:t>
            </w:r>
            <w:r w:rsidRPr="00150EDC">
              <w:rPr>
                <w:spacing w:val="-17"/>
                <w:sz w:val="24"/>
              </w:rPr>
              <w:t xml:space="preserve"> </w:t>
            </w:r>
            <w:r w:rsidRPr="00150EDC">
              <w:rPr>
                <w:sz w:val="24"/>
              </w:rPr>
              <w:t>a</w:t>
            </w:r>
            <w:r w:rsidRPr="00150EDC">
              <w:rPr>
                <w:spacing w:val="-16"/>
                <w:sz w:val="24"/>
              </w:rPr>
              <w:t xml:space="preserve"> </w:t>
            </w:r>
            <w:r w:rsidRPr="00150EDC">
              <w:rPr>
                <w:sz w:val="24"/>
              </w:rPr>
              <w:t>missing mandatory field; or</w:t>
            </w:r>
          </w:p>
          <w:p w14:paraId="5969A9A2" w14:textId="77777777" w:rsidR="004C7180" w:rsidRPr="00150EDC" w:rsidRDefault="00CF0754" w:rsidP="00B320C7">
            <w:pPr>
              <w:pStyle w:val="TableParagraph"/>
              <w:numPr>
                <w:ilvl w:val="0"/>
                <w:numId w:val="115"/>
              </w:numPr>
              <w:tabs>
                <w:tab w:val="left" w:pos="827"/>
              </w:tabs>
              <w:spacing w:before="120" w:line="240" w:lineRule="auto"/>
              <w:rPr>
                <w:sz w:val="24"/>
              </w:rPr>
            </w:pPr>
            <w:r w:rsidRPr="00150EDC">
              <w:rPr>
                <w:sz w:val="24"/>
              </w:rPr>
              <w:t>is</w:t>
            </w:r>
            <w:r w:rsidRPr="00150EDC">
              <w:rPr>
                <w:spacing w:val="-8"/>
                <w:sz w:val="24"/>
              </w:rPr>
              <w:t xml:space="preserve"> </w:t>
            </w:r>
            <w:r w:rsidRPr="00150EDC">
              <w:rPr>
                <w:sz w:val="24"/>
              </w:rPr>
              <w:t>submitted</w:t>
            </w:r>
            <w:r w:rsidRPr="00150EDC">
              <w:rPr>
                <w:spacing w:val="-10"/>
                <w:sz w:val="24"/>
              </w:rPr>
              <w:t xml:space="preserve"> </w:t>
            </w:r>
            <w:r w:rsidRPr="00150EDC">
              <w:rPr>
                <w:sz w:val="24"/>
              </w:rPr>
              <w:t>using</w:t>
            </w:r>
            <w:r w:rsidRPr="00150EDC">
              <w:rPr>
                <w:spacing w:val="-7"/>
                <w:sz w:val="24"/>
              </w:rPr>
              <w:t xml:space="preserve"> </w:t>
            </w:r>
            <w:r w:rsidRPr="00150EDC">
              <w:rPr>
                <w:sz w:val="24"/>
              </w:rPr>
              <w:t>an</w:t>
            </w:r>
            <w:r w:rsidRPr="00150EDC">
              <w:rPr>
                <w:spacing w:val="-8"/>
                <w:sz w:val="24"/>
              </w:rPr>
              <w:t xml:space="preserve"> </w:t>
            </w:r>
            <w:r w:rsidRPr="00150EDC">
              <w:rPr>
                <w:sz w:val="24"/>
              </w:rPr>
              <w:t>incorrect</w:t>
            </w:r>
            <w:r w:rsidRPr="00150EDC">
              <w:rPr>
                <w:spacing w:val="-8"/>
                <w:sz w:val="24"/>
              </w:rPr>
              <w:t xml:space="preserve"> </w:t>
            </w:r>
            <w:r w:rsidRPr="00150EDC">
              <w:rPr>
                <w:sz w:val="24"/>
              </w:rPr>
              <w:t>MI</w:t>
            </w:r>
            <w:r w:rsidRPr="00150EDC">
              <w:rPr>
                <w:spacing w:val="-7"/>
                <w:sz w:val="24"/>
              </w:rPr>
              <w:t xml:space="preserve"> </w:t>
            </w:r>
            <w:r w:rsidRPr="00150EDC">
              <w:rPr>
                <w:sz w:val="24"/>
              </w:rPr>
              <w:t>reporting</w:t>
            </w:r>
            <w:r w:rsidRPr="00150EDC">
              <w:rPr>
                <w:spacing w:val="-9"/>
                <w:sz w:val="24"/>
              </w:rPr>
              <w:t xml:space="preserve"> </w:t>
            </w:r>
            <w:r w:rsidRPr="00150EDC">
              <w:rPr>
                <w:sz w:val="24"/>
              </w:rPr>
              <w:t>Template;</w:t>
            </w:r>
            <w:r w:rsidRPr="00150EDC">
              <w:rPr>
                <w:spacing w:val="-9"/>
                <w:sz w:val="24"/>
              </w:rPr>
              <w:t xml:space="preserve"> </w:t>
            </w:r>
            <w:r w:rsidRPr="00150EDC">
              <w:rPr>
                <w:spacing w:val="-5"/>
                <w:sz w:val="24"/>
              </w:rPr>
              <w:t>or</w:t>
            </w:r>
          </w:p>
          <w:p w14:paraId="459DA3E3" w14:textId="77777777" w:rsidR="004C7180" w:rsidRPr="00150EDC" w:rsidRDefault="00CF0754" w:rsidP="00B320C7">
            <w:pPr>
              <w:pStyle w:val="TableParagraph"/>
              <w:numPr>
                <w:ilvl w:val="0"/>
                <w:numId w:val="115"/>
              </w:numPr>
              <w:tabs>
                <w:tab w:val="left" w:pos="827"/>
              </w:tabs>
              <w:spacing w:before="121" w:line="240" w:lineRule="auto"/>
              <w:ind w:right="682"/>
              <w:rPr>
                <w:sz w:val="24"/>
              </w:rPr>
            </w:pPr>
            <w:r w:rsidRPr="00150EDC">
              <w:rPr>
                <w:sz w:val="24"/>
              </w:rPr>
              <w:t>is</w:t>
            </w:r>
            <w:r w:rsidRPr="00150EDC">
              <w:rPr>
                <w:spacing w:val="-5"/>
                <w:sz w:val="24"/>
              </w:rPr>
              <w:t xml:space="preserve"> </w:t>
            </w:r>
            <w:r w:rsidRPr="00150EDC">
              <w:rPr>
                <w:sz w:val="24"/>
              </w:rPr>
              <w:t>not</w:t>
            </w:r>
            <w:r w:rsidRPr="00150EDC">
              <w:rPr>
                <w:spacing w:val="-5"/>
                <w:sz w:val="24"/>
              </w:rPr>
              <w:t xml:space="preserve"> </w:t>
            </w:r>
            <w:r w:rsidRPr="00150EDC">
              <w:rPr>
                <w:sz w:val="24"/>
              </w:rPr>
              <w:t>submitted</w:t>
            </w:r>
            <w:r w:rsidRPr="00150EDC">
              <w:rPr>
                <w:spacing w:val="-5"/>
                <w:sz w:val="24"/>
              </w:rPr>
              <w:t xml:space="preserve"> </w:t>
            </w:r>
            <w:r w:rsidRPr="00150EDC">
              <w:rPr>
                <w:sz w:val="24"/>
              </w:rPr>
              <w:t>by</w:t>
            </w:r>
            <w:r w:rsidRPr="00150EDC">
              <w:rPr>
                <w:spacing w:val="-6"/>
                <w:sz w:val="24"/>
              </w:rPr>
              <w:t xml:space="preserve"> </w:t>
            </w:r>
            <w:r w:rsidRPr="00150EDC">
              <w:rPr>
                <w:sz w:val="24"/>
              </w:rPr>
              <w:t>the</w:t>
            </w:r>
            <w:r w:rsidRPr="00150EDC">
              <w:rPr>
                <w:spacing w:val="-6"/>
                <w:sz w:val="24"/>
              </w:rPr>
              <w:t xml:space="preserve"> </w:t>
            </w:r>
            <w:r w:rsidRPr="00150EDC">
              <w:rPr>
                <w:sz w:val="24"/>
              </w:rPr>
              <w:t>reporting</w:t>
            </w:r>
            <w:r w:rsidRPr="00150EDC">
              <w:rPr>
                <w:spacing w:val="-5"/>
                <w:sz w:val="24"/>
              </w:rPr>
              <w:t xml:space="preserve"> </w:t>
            </w:r>
            <w:r w:rsidRPr="00150EDC">
              <w:rPr>
                <w:sz w:val="24"/>
              </w:rPr>
              <w:t>date</w:t>
            </w:r>
            <w:r w:rsidRPr="00150EDC">
              <w:rPr>
                <w:spacing w:val="-4"/>
                <w:sz w:val="24"/>
              </w:rPr>
              <w:t xml:space="preserve"> </w:t>
            </w:r>
            <w:r w:rsidRPr="00150EDC">
              <w:rPr>
                <w:sz w:val="24"/>
              </w:rPr>
              <w:t>(including</w:t>
            </w:r>
            <w:r w:rsidRPr="00150EDC">
              <w:rPr>
                <w:spacing w:val="-4"/>
                <w:sz w:val="24"/>
              </w:rPr>
              <w:t xml:space="preserve"> </w:t>
            </w:r>
            <w:r w:rsidRPr="00150EDC">
              <w:rPr>
                <w:sz w:val="24"/>
              </w:rPr>
              <w:t>where</w:t>
            </w:r>
            <w:r w:rsidRPr="00150EDC">
              <w:rPr>
                <w:spacing w:val="-5"/>
                <w:sz w:val="24"/>
              </w:rPr>
              <w:t xml:space="preserve"> </w:t>
            </w:r>
            <w:r w:rsidRPr="00150EDC">
              <w:rPr>
                <w:sz w:val="24"/>
              </w:rPr>
              <w:t>a declaration of no business should have been filed);</w:t>
            </w:r>
          </w:p>
        </w:tc>
      </w:tr>
      <w:tr w:rsidR="007D3144" w:rsidRPr="007D3144" w14:paraId="6C8BB4E8" w14:textId="77777777">
        <w:trPr>
          <w:trHeight w:val="947"/>
        </w:trPr>
        <w:tc>
          <w:tcPr>
            <w:tcW w:w="2264" w:type="dxa"/>
          </w:tcPr>
          <w:p w14:paraId="171DE3C9" w14:textId="77777777" w:rsidR="004C7180" w:rsidRPr="00150EDC" w:rsidRDefault="00CF0754">
            <w:pPr>
              <w:pStyle w:val="TableParagraph"/>
              <w:spacing w:before="0" w:line="240" w:lineRule="auto"/>
              <w:ind w:left="-1"/>
              <w:rPr>
                <w:b/>
                <w:sz w:val="24"/>
              </w:rPr>
            </w:pPr>
            <w:r w:rsidRPr="00150EDC">
              <w:rPr>
                <w:b/>
                <w:sz w:val="24"/>
              </w:rPr>
              <w:t>"MI</w:t>
            </w:r>
            <w:r w:rsidRPr="00150EDC">
              <w:rPr>
                <w:b/>
                <w:spacing w:val="-6"/>
                <w:sz w:val="24"/>
              </w:rPr>
              <w:t xml:space="preserve"> </w:t>
            </w:r>
            <w:r w:rsidRPr="00150EDC">
              <w:rPr>
                <w:b/>
                <w:spacing w:val="-2"/>
                <w:sz w:val="24"/>
              </w:rPr>
              <w:t>Report"</w:t>
            </w:r>
          </w:p>
        </w:tc>
        <w:tc>
          <w:tcPr>
            <w:tcW w:w="7484" w:type="dxa"/>
          </w:tcPr>
          <w:p w14:paraId="70B861C5" w14:textId="77777777" w:rsidR="004C7180" w:rsidRPr="00150EDC" w:rsidRDefault="00CF0754">
            <w:pPr>
              <w:pStyle w:val="TableParagraph"/>
              <w:spacing w:before="0" w:line="240" w:lineRule="auto"/>
              <w:ind w:left="277" w:right="100"/>
              <w:jc w:val="both"/>
              <w:rPr>
                <w:sz w:val="24"/>
              </w:rPr>
            </w:pPr>
            <w:r w:rsidRPr="00150EDC">
              <w:rPr>
                <w:sz w:val="24"/>
              </w:rPr>
              <w:t>means a report containing Management Information submitted to the Authority in accordance with DPS Schedule 5 (Management Levy and Information);</w:t>
            </w:r>
          </w:p>
        </w:tc>
      </w:tr>
      <w:tr w:rsidR="007D3144" w:rsidRPr="007D3144" w14:paraId="63DAAF96" w14:textId="77777777">
        <w:trPr>
          <w:trHeight w:val="947"/>
        </w:trPr>
        <w:tc>
          <w:tcPr>
            <w:tcW w:w="2264" w:type="dxa"/>
          </w:tcPr>
          <w:p w14:paraId="46A80950" w14:textId="77777777" w:rsidR="004C7180" w:rsidRPr="00150EDC" w:rsidRDefault="00CF0754">
            <w:pPr>
              <w:pStyle w:val="TableParagraph"/>
              <w:spacing w:before="0" w:line="240" w:lineRule="auto"/>
              <w:ind w:left="-1" w:right="671"/>
              <w:rPr>
                <w:b/>
                <w:sz w:val="24"/>
              </w:rPr>
            </w:pPr>
            <w:r w:rsidRPr="00150EDC">
              <w:rPr>
                <w:b/>
                <w:sz w:val="24"/>
              </w:rPr>
              <w:t>"MI</w:t>
            </w:r>
            <w:r w:rsidRPr="00150EDC">
              <w:rPr>
                <w:b/>
                <w:spacing w:val="-17"/>
                <w:sz w:val="24"/>
              </w:rPr>
              <w:t xml:space="preserve"> </w:t>
            </w:r>
            <w:r w:rsidRPr="00150EDC">
              <w:rPr>
                <w:b/>
                <w:sz w:val="24"/>
              </w:rPr>
              <w:t xml:space="preserve">Reporting </w:t>
            </w:r>
            <w:r w:rsidRPr="00150EDC">
              <w:rPr>
                <w:b/>
                <w:spacing w:val="-2"/>
                <w:sz w:val="24"/>
              </w:rPr>
              <w:t>Template"</w:t>
            </w:r>
          </w:p>
        </w:tc>
        <w:tc>
          <w:tcPr>
            <w:tcW w:w="7484" w:type="dxa"/>
          </w:tcPr>
          <w:p w14:paraId="377A2498" w14:textId="77777777" w:rsidR="004C7180" w:rsidRPr="00150EDC" w:rsidRDefault="00CF0754">
            <w:pPr>
              <w:pStyle w:val="TableParagraph"/>
              <w:spacing w:before="0" w:line="240" w:lineRule="auto"/>
              <w:ind w:left="277" w:right="97"/>
              <w:jc w:val="both"/>
              <w:rPr>
                <w:sz w:val="24"/>
              </w:rPr>
            </w:pPr>
            <w:r w:rsidRPr="00150EDC">
              <w:rPr>
                <w:sz w:val="24"/>
              </w:rPr>
              <w:t>means the form of report set out in the Annex to DPS Schedule 5 (Management</w:t>
            </w:r>
            <w:r w:rsidRPr="00150EDC">
              <w:rPr>
                <w:spacing w:val="-7"/>
                <w:sz w:val="24"/>
              </w:rPr>
              <w:t xml:space="preserve"> </w:t>
            </w:r>
            <w:r w:rsidRPr="00150EDC">
              <w:rPr>
                <w:sz w:val="24"/>
              </w:rPr>
              <w:t>Levy</w:t>
            </w:r>
            <w:r w:rsidRPr="00150EDC">
              <w:rPr>
                <w:spacing w:val="-5"/>
                <w:sz w:val="24"/>
              </w:rPr>
              <w:t xml:space="preserve"> </w:t>
            </w:r>
            <w:r w:rsidRPr="00150EDC">
              <w:rPr>
                <w:sz w:val="24"/>
              </w:rPr>
              <w:t>and</w:t>
            </w:r>
            <w:r w:rsidRPr="00150EDC">
              <w:rPr>
                <w:spacing w:val="-5"/>
                <w:sz w:val="24"/>
              </w:rPr>
              <w:t xml:space="preserve"> </w:t>
            </w:r>
            <w:r w:rsidRPr="00150EDC">
              <w:rPr>
                <w:sz w:val="24"/>
              </w:rPr>
              <w:t>Information)</w:t>
            </w:r>
            <w:r w:rsidRPr="00150EDC">
              <w:rPr>
                <w:spacing w:val="-5"/>
                <w:sz w:val="24"/>
              </w:rPr>
              <w:t xml:space="preserve"> </w:t>
            </w:r>
            <w:r w:rsidRPr="00150EDC">
              <w:rPr>
                <w:sz w:val="24"/>
              </w:rPr>
              <w:t>setting</w:t>
            </w:r>
            <w:r w:rsidRPr="00150EDC">
              <w:rPr>
                <w:spacing w:val="-5"/>
                <w:sz w:val="24"/>
              </w:rPr>
              <w:t xml:space="preserve"> </w:t>
            </w:r>
            <w:r w:rsidRPr="00150EDC">
              <w:rPr>
                <w:sz w:val="24"/>
              </w:rPr>
              <w:t>out</w:t>
            </w:r>
            <w:r w:rsidRPr="00150EDC">
              <w:rPr>
                <w:spacing w:val="-5"/>
                <w:sz w:val="24"/>
              </w:rPr>
              <w:t xml:space="preserve"> </w:t>
            </w:r>
            <w:r w:rsidRPr="00150EDC">
              <w:rPr>
                <w:sz w:val="24"/>
              </w:rPr>
              <w:t>the</w:t>
            </w:r>
            <w:r w:rsidRPr="00150EDC">
              <w:rPr>
                <w:spacing w:val="-5"/>
                <w:sz w:val="24"/>
              </w:rPr>
              <w:t xml:space="preserve"> </w:t>
            </w:r>
            <w:r w:rsidRPr="00150EDC">
              <w:rPr>
                <w:sz w:val="24"/>
              </w:rPr>
              <w:t>information</w:t>
            </w:r>
            <w:r w:rsidRPr="00150EDC">
              <w:rPr>
                <w:spacing w:val="-7"/>
                <w:sz w:val="24"/>
              </w:rPr>
              <w:t xml:space="preserve"> </w:t>
            </w:r>
            <w:r w:rsidRPr="00150EDC">
              <w:rPr>
                <w:sz w:val="24"/>
              </w:rPr>
              <w:t>the Supplier is required to supply to the Authority;</w:t>
            </w:r>
          </w:p>
        </w:tc>
      </w:tr>
      <w:tr w:rsidR="007D3144" w:rsidRPr="007D3144" w14:paraId="25809E18" w14:textId="77777777">
        <w:trPr>
          <w:trHeight w:val="397"/>
        </w:trPr>
        <w:tc>
          <w:tcPr>
            <w:tcW w:w="2264" w:type="dxa"/>
          </w:tcPr>
          <w:p w14:paraId="578EFB90" w14:textId="77777777" w:rsidR="004C7180" w:rsidRPr="00150EDC" w:rsidRDefault="00CF0754">
            <w:pPr>
              <w:pStyle w:val="TableParagraph"/>
              <w:spacing w:before="2" w:line="240" w:lineRule="auto"/>
              <w:ind w:left="-1"/>
              <w:rPr>
                <w:b/>
                <w:sz w:val="24"/>
              </w:rPr>
            </w:pPr>
            <w:r w:rsidRPr="00150EDC">
              <w:rPr>
                <w:b/>
                <w:spacing w:val="-2"/>
                <w:sz w:val="24"/>
              </w:rPr>
              <w:t>"Milestone"</w:t>
            </w:r>
          </w:p>
        </w:tc>
        <w:tc>
          <w:tcPr>
            <w:tcW w:w="7484" w:type="dxa"/>
          </w:tcPr>
          <w:p w14:paraId="235596A3" w14:textId="77777777" w:rsidR="004C7180" w:rsidRPr="00150EDC" w:rsidRDefault="00CF0754">
            <w:pPr>
              <w:pStyle w:val="TableParagraph"/>
              <w:spacing w:before="2" w:line="240" w:lineRule="auto"/>
              <w:ind w:left="277"/>
              <w:rPr>
                <w:sz w:val="24"/>
              </w:rPr>
            </w:pPr>
            <w:r w:rsidRPr="00150EDC">
              <w:rPr>
                <w:sz w:val="24"/>
              </w:rPr>
              <w:t>an</w:t>
            </w:r>
            <w:r w:rsidRPr="00150EDC">
              <w:rPr>
                <w:spacing w:val="-4"/>
                <w:sz w:val="24"/>
              </w:rPr>
              <w:t xml:space="preserve"> </w:t>
            </w:r>
            <w:r w:rsidRPr="00150EDC">
              <w:rPr>
                <w:sz w:val="24"/>
              </w:rPr>
              <w:t>event</w:t>
            </w:r>
            <w:r w:rsidRPr="00150EDC">
              <w:rPr>
                <w:spacing w:val="-4"/>
                <w:sz w:val="24"/>
              </w:rPr>
              <w:t xml:space="preserve"> </w:t>
            </w:r>
            <w:r w:rsidRPr="00150EDC">
              <w:rPr>
                <w:sz w:val="24"/>
              </w:rPr>
              <w:t>or</w:t>
            </w:r>
            <w:r w:rsidRPr="00150EDC">
              <w:rPr>
                <w:spacing w:val="-3"/>
                <w:sz w:val="24"/>
              </w:rPr>
              <w:t xml:space="preserve"> </w:t>
            </w:r>
            <w:r w:rsidRPr="00150EDC">
              <w:rPr>
                <w:sz w:val="24"/>
              </w:rPr>
              <w:t>task</w:t>
            </w:r>
            <w:r w:rsidRPr="00150EDC">
              <w:rPr>
                <w:spacing w:val="-6"/>
                <w:sz w:val="24"/>
              </w:rPr>
              <w:t xml:space="preserve"> </w:t>
            </w:r>
            <w:r w:rsidRPr="00150EDC">
              <w:rPr>
                <w:sz w:val="24"/>
              </w:rPr>
              <w:t>described</w:t>
            </w:r>
            <w:r w:rsidRPr="00150EDC">
              <w:rPr>
                <w:spacing w:val="-3"/>
                <w:sz w:val="24"/>
              </w:rPr>
              <w:t xml:space="preserve"> </w:t>
            </w:r>
            <w:r w:rsidRPr="00150EDC">
              <w:rPr>
                <w:sz w:val="24"/>
              </w:rPr>
              <w:t>in</w:t>
            </w:r>
            <w:r w:rsidRPr="00150EDC">
              <w:rPr>
                <w:spacing w:val="-3"/>
                <w:sz w:val="24"/>
              </w:rPr>
              <w:t xml:space="preserve"> </w:t>
            </w:r>
            <w:r w:rsidRPr="00150EDC">
              <w:rPr>
                <w:sz w:val="24"/>
              </w:rPr>
              <w:t>the</w:t>
            </w:r>
            <w:r w:rsidRPr="00150EDC">
              <w:rPr>
                <w:spacing w:val="-3"/>
                <w:sz w:val="24"/>
              </w:rPr>
              <w:t xml:space="preserve"> </w:t>
            </w:r>
            <w:r w:rsidRPr="00150EDC">
              <w:rPr>
                <w:sz w:val="24"/>
              </w:rPr>
              <w:t>Implementation</w:t>
            </w:r>
            <w:r w:rsidRPr="00150EDC">
              <w:rPr>
                <w:spacing w:val="-2"/>
                <w:sz w:val="24"/>
              </w:rPr>
              <w:t xml:space="preserve"> Plan;</w:t>
            </w:r>
          </w:p>
        </w:tc>
      </w:tr>
    </w:tbl>
    <w:p w14:paraId="523DBF02" w14:textId="77777777" w:rsidR="004C7180" w:rsidRPr="00150EDC" w:rsidRDefault="004C7180">
      <w:pPr>
        <w:rPr>
          <w:sz w:val="24"/>
        </w:rPr>
        <w:sectPr w:rsidR="004C7180" w:rsidRPr="00150EDC">
          <w:pgSz w:w="11910" w:h="16840"/>
          <w:pgMar w:top="1160" w:right="0" w:bottom="1460" w:left="40" w:header="715" w:footer="1208" w:gutter="0"/>
          <w:cols w:space="720"/>
        </w:sectPr>
      </w:pPr>
    </w:p>
    <w:p w14:paraId="25D583B9" w14:textId="77777777" w:rsidR="004C7180" w:rsidRPr="00150EDC" w:rsidRDefault="004C7180">
      <w:pPr>
        <w:pStyle w:val="BodyText"/>
        <w:spacing w:before="7"/>
        <w:rPr>
          <w:sz w:val="23"/>
        </w:rPr>
      </w:pPr>
    </w:p>
    <w:tbl>
      <w:tblPr>
        <w:tblW w:w="0" w:type="auto"/>
        <w:tblInd w:w="1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4"/>
        <w:gridCol w:w="7484"/>
      </w:tblGrid>
      <w:tr w:rsidR="007D3144" w:rsidRPr="007D3144" w14:paraId="1414C39F" w14:textId="77777777">
        <w:trPr>
          <w:trHeight w:val="672"/>
        </w:trPr>
        <w:tc>
          <w:tcPr>
            <w:tcW w:w="2264" w:type="dxa"/>
          </w:tcPr>
          <w:p w14:paraId="0B2B1B70" w14:textId="77777777" w:rsidR="004C7180" w:rsidRPr="00150EDC" w:rsidRDefault="00CF0754">
            <w:pPr>
              <w:pStyle w:val="TableParagraph"/>
              <w:spacing w:before="0" w:line="240" w:lineRule="auto"/>
              <w:ind w:left="-1"/>
              <w:rPr>
                <w:b/>
                <w:sz w:val="24"/>
              </w:rPr>
            </w:pPr>
            <w:r w:rsidRPr="00150EDC">
              <w:rPr>
                <w:b/>
                <w:spacing w:val="-2"/>
                <w:sz w:val="24"/>
              </w:rPr>
              <w:t>"Milestone</w:t>
            </w:r>
            <w:r w:rsidRPr="00150EDC">
              <w:rPr>
                <w:b/>
                <w:spacing w:val="3"/>
                <w:sz w:val="24"/>
              </w:rPr>
              <w:t xml:space="preserve"> </w:t>
            </w:r>
            <w:r w:rsidRPr="00150EDC">
              <w:rPr>
                <w:b/>
                <w:spacing w:val="-2"/>
                <w:sz w:val="24"/>
              </w:rPr>
              <w:t>Date"</w:t>
            </w:r>
          </w:p>
        </w:tc>
        <w:tc>
          <w:tcPr>
            <w:tcW w:w="7484" w:type="dxa"/>
          </w:tcPr>
          <w:p w14:paraId="0FC85941" w14:textId="77777777" w:rsidR="004C7180" w:rsidRPr="00150EDC" w:rsidRDefault="00CF0754">
            <w:pPr>
              <w:pStyle w:val="TableParagraph"/>
              <w:spacing w:before="0" w:line="240" w:lineRule="auto"/>
              <w:ind w:left="277"/>
              <w:rPr>
                <w:sz w:val="24"/>
              </w:rPr>
            </w:pPr>
            <w:r w:rsidRPr="00150EDC">
              <w:rPr>
                <w:sz w:val="24"/>
              </w:rPr>
              <w:t>the</w:t>
            </w:r>
            <w:r w:rsidRPr="00150EDC">
              <w:rPr>
                <w:spacing w:val="80"/>
                <w:sz w:val="24"/>
              </w:rPr>
              <w:t xml:space="preserve"> </w:t>
            </w:r>
            <w:r w:rsidRPr="00150EDC">
              <w:rPr>
                <w:sz w:val="24"/>
              </w:rPr>
              <w:t>target</w:t>
            </w:r>
            <w:r w:rsidRPr="00150EDC">
              <w:rPr>
                <w:spacing w:val="80"/>
                <w:sz w:val="24"/>
              </w:rPr>
              <w:t xml:space="preserve"> </w:t>
            </w:r>
            <w:r w:rsidRPr="00150EDC">
              <w:rPr>
                <w:sz w:val="24"/>
              </w:rPr>
              <w:t>date</w:t>
            </w:r>
            <w:r w:rsidRPr="00150EDC">
              <w:rPr>
                <w:spacing w:val="80"/>
                <w:sz w:val="24"/>
              </w:rPr>
              <w:t xml:space="preserve"> </w:t>
            </w:r>
            <w:r w:rsidRPr="00150EDC">
              <w:rPr>
                <w:sz w:val="24"/>
              </w:rPr>
              <w:t>set</w:t>
            </w:r>
            <w:r w:rsidRPr="00150EDC">
              <w:rPr>
                <w:spacing w:val="77"/>
                <w:sz w:val="24"/>
              </w:rPr>
              <w:t xml:space="preserve"> </w:t>
            </w:r>
            <w:r w:rsidRPr="00150EDC">
              <w:rPr>
                <w:sz w:val="24"/>
              </w:rPr>
              <w:t>out</w:t>
            </w:r>
            <w:r w:rsidRPr="00150EDC">
              <w:rPr>
                <w:spacing w:val="80"/>
                <w:sz w:val="24"/>
              </w:rPr>
              <w:t xml:space="preserve"> </w:t>
            </w:r>
            <w:r w:rsidRPr="00150EDC">
              <w:rPr>
                <w:sz w:val="24"/>
              </w:rPr>
              <w:t>against</w:t>
            </w:r>
            <w:r w:rsidRPr="00150EDC">
              <w:rPr>
                <w:spacing w:val="80"/>
                <w:sz w:val="24"/>
              </w:rPr>
              <w:t xml:space="preserve"> </w:t>
            </w:r>
            <w:r w:rsidRPr="00150EDC">
              <w:rPr>
                <w:sz w:val="24"/>
              </w:rPr>
              <w:t>the</w:t>
            </w:r>
            <w:r w:rsidRPr="00150EDC">
              <w:rPr>
                <w:spacing w:val="80"/>
                <w:sz w:val="24"/>
              </w:rPr>
              <w:t xml:space="preserve"> </w:t>
            </w:r>
            <w:r w:rsidRPr="00150EDC">
              <w:rPr>
                <w:sz w:val="24"/>
              </w:rPr>
              <w:t>relevant</w:t>
            </w:r>
            <w:r w:rsidRPr="00150EDC">
              <w:rPr>
                <w:spacing w:val="80"/>
                <w:sz w:val="24"/>
              </w:rPr>
              <w:t xml:space="preserve"> </w:t>
            </w:r>
            <w:r w:rsidRPr="00150EDC">
              <w:rPr>
                <w:sz w:val="24"/>
              </w:rPr>
              <w:t>Milestone</w:t>
            </w:r>
            <w:r w:rsidRPr="00150EDC">
              <w:rPr>
                <w:spacing w:val="80"/>
                <w:sz w:val="24"/>
              </w:rPr>
              <w:t xml:space="preserve"> </w:t>
            </w:r>
            <w:r w:rsidRPr="00150EDC">
              <w:rPr>
                <w:sz w:val="24"/>
              </w:rPr>
              <w:t>in</w:t>
            </w:r>
            <w:r w:rsidRPr="00150EDC">
              <w:rPr>
                <w:spacing w:val="80"/>
                <w:sz w:val="24"/>
              </w:rPr>
              <w:t xml:space="preserve"> </w:t>
            </w:r>
            <w:r w:rsidRPr="00150EDC">
              <w:rPr>
                <w:sz w:val="24"/>
              </w:rPr>
              <w:t>the Implementation Plan by which the Milestone must be Achieved;</w:t>
            </w:r>
          </w:p>
        </w:tc>
      </w:tr>
      <w:tr w:rsidR="007D3144" w:rsidRPr="007D3144" w14:paraId="7CA1855F" w14:textId="77777777">
        <w:trPr>
          <w:trHeight w:val="947"/>
        </w:trPr>
        <w:tc>
          <w:tcPr>
            <w:tcW w:w="2264" w:type="dxa"/>
          </w:tcPr>
          <w:p w14:paraId="7BA1564B" w14:textId="77777777" w:rsidR="004C7180" w:rsidRPr="00150EDC" w:rsidRDefault="00CF0754">
            <w:pPr>
              <w:pStyle w:val="TableParagraph"/>
              <w:spacing w:before="0" w:line="240" w:lineRule="auto"/>
              <w:ind w:left="-1"/>
              <w:rPr>
                <w:b/>
                <w:sz w:val="24"/>
              </w:rPr>
            </w:pPr>
            <w:r w:rsidRPr="00150EDC">
              <w:rPr>
                <w:b/>
                <w:sz w:val="24"/>
              </w:rPr>
              <w:t>“Model</w:t>
            </w:r>
            <w:r w:rsidRPr="00150EDC">
              <w:rPr>
                <w:b/>
                <w:spacing w:val="-17"/>
                <w:sz w:val="24"/>
              </w:rPr>
              <w:t xml:space="preserve"> </w:t>
            </w:r>
            <w:r w:rsidRPr="00150EDC">
              <w:rPr>
                <w:b/>
                <w:sz w:val="24"/>
              </w:rPr>
              <w:t xml:space="preserve">Grant </w:t>
            </w:r>
            <w:r w:rsidRPr="00150EDC">
              <w:rPr>
                <w:b/>
                <w:spacing w:val="-2"/>
                <w:sz w:val="24"/>
              </w:rPr>
              <w:t>Funding</w:t>
            </w:r>
          </w:p>
          <w:p w14:paraId="7778698A" w14:textId="77777777" w:rsidR="004C7180" w:rsidRPr="00150EDC" w:rsidRDefault="00CF0754">
            <w:pPr>
              <w:pStyle w:val="TableParagraph"/>
              <w:spacing w:before="0" w:line="240" w:lineRule="auto"/>
              <w:ind w:left="-1"/>
              <w:rPr>
                <w:b/>
                <w:sz w:val="24"/>
              </w:rPr>
            </w:pPr>
            <w:r w:rsidRPr="00150EDC">
              <w:rPr>
                <w:b/>
                <w:spacing w:val="-2"/>
                <w:sz w:val="24"/>
              </w:rPr>
              <w:t>Agreement”</w:t>
            </w:r>
          </w:p>
        </w:tc>
        <w:tc>
          <w:tcPr>
            <w:tcW w:w="7484" w:type="dxa"/>
          </w:tcPr>
          <w:p w14:paraId="6175BB5B" w14:textId="77777777" w:rsidR="004C7180" w:rsidRPr="00150EDC" w:rsidRDefault="00CF0754">
            <w:pPr>
              <w:pStyle w:val="TableParagraph"/>
              <w:spacing w:before="0" w:line="240" w:lineRule="auto"/>
              <w:ind w:left="277"/>
              <w:rPr>
                <w:sz w:val="24"/>
              </w:rPr>
            </w:pPr>
            <w:r w:rsidRPr="00150EDC">
              <w:rPr>
                <w:sz w:val="24"/>
              </w:rPr>
              <w:t>the</w:t>
            </w:r>
            <w:r w:rsidRPr="00150EDC">
              <w:rPr>
                <w:spacing w:val="80"/>
                <w:w w:val="150"/>
                <w:sz w:val="24"/>
              </w:rPr>
              <w:t xml:space="preserve"> </w:t>
            </w:r>
            <w:r w:rsidRPr="00150EDC">
              <w:rPr>
                <w:sz w:val="24"/>
              </w:rPr>
              <w:t>standard</w:t>
            </w:r>
            <w:r w:rsidRPr="00150EDC">
              <w:rPr>
                <w:spacing w:val="80"/>
                <w:w w:val="150"/>
                <w:sz w:val="24"/>
              </w:rPr>
              <w:t xml:space="preserve"> </w:t>
            </w:r>
            <w:r w:rsidRPr="00150EDC">
              <w:rPr>
                <w:sz w:val="24"/>
              </w:rPr>
              <w:t>funding</w:t>
            </w:r>
            <w:r w:rsidRPr="00150EDC">
              <w:rPr>
                <w:spacing w:val="80"/>
                <w:w w:val="150"/>
                <w:sz w:val="24"/>
              </w:rPr>
              <w:t xml:space="preserve"> </w:t>
            </w:r>
            <w:r w:rsidRPr="00150EDC">
              <w:rPr>
                <w:sz w:val="24"/>
              </w:rPr>
              <w:t>agreement</w:t>
            </w:r>
            <w:r w:rsidRPr="00150EDC">
              <w:rPr>
                <w:spacing w:val="80"/>
                <w:w w:val="150"/>
                <w:sz w:val="24"/>
              </w:rPr>
              <w:t xml:space="preserve"> </w:t>
            </w:r>
            <w:r w:rsidRPr="00150EDC">
              <w:rPr>
                <w:sz w:val="24"/>
              </w:rPr>
              <w:t>that</w:t>
            </w:r>
            <w:r w:rsidRPr="00150EDC">
              <w:rPr>
                <w:spacing w:val="80"/>
                <w:w w:val="150"/>
                <w:sz w:val="24"/>
              </w:rPr>
              <w:t xml:space="preserve"> </w:t>
            </w:r>
            <w:r w:rsidRPr="00150EDC">
              <w:rPr>
                <w:sz w:val="24"/>
              </w:rPr>
              <w:t>should</w:t>
            </w:r>
            <w:r w:rsidRPr="00150EDC">
              <w:rPr>
                <w:spacing w:val="80"/>
                <w:w w:val="150"/>
                <w:sz w:val="24"/>
              </w:rPr>
              <w:t xml:space="preserve"> </w:t>
            </w:r>
            <w:r w:rsidRPr="00150EDC">
              <w:rPr>
                <w:sz w:val="24"/>
              </w:rPr>
              <w:t>be</w:t>
            </w:r>
            <w:r w:rsidRPr="00150EDC">
              <w:rPr>
                <w:spacing w:val="80"/>
                <w:w w:val="150"/>
                <w:sz w:val="24"/>
              </w:rPr>
              <w:t xml:space="preserve"> </w:t>
            </w:r>
            <w:r w:rsidRPr="00150EDC">
              <w:rPr>
                <w:sz w:val="24"/>
              </w:rPr>
              <w:t>signed</w:t>
            </w:r>
            <w:r w:rsidRPr="00150EDC">
              <w:rPr>
                <w:spacing w:val="80"/>
                <w:w w:val="150"/>
                <w:sz w:val="24"/>
              </w:rPr>
              <w:t xml:space="preserve"> </w:t>
            </w:r>
            <w:r w:rsidRPr="00150EDC">
              <w:rPr>
                <w:sz w:val="24"/>
              </w:rPr>
              <w:t>by successful applicants;</w:t>
            </w:r>
          </w:p>
        </w:tc>
      </w:tr>
      <w:tr w:rsidR="007D3144" w:rsidRPr="007D3144" w14:paraId="79924BC5" w14:textId="77777777">
        <w:trPr>
          <w:trHeight w:val="395"/>
        </w:trPr>
        <w:tc>
          <w:tcPr>
            <w:tcW w:w="2264" w:type="dxa"/>
          </w:tcPr>
          <w:p w14:paraId="5B867C41" w14:textId="77777777" w:rsidR="004C7180" w:rsidRPr="00150EDC" w:rsidRDefault="00CF0754">
            <w:pPr>
              <w:pStyle w:val="TableParagraph"/>
              <w:spacing w:before="0" w:line="240" w:lineRule="auto"/>
              <w:ind w:left="-1"/>
              <w:rPr>
                <w:b/>
                <w:sz w:val="24"/>
              </w:rPr>
            </w:pPr>
            <w:r w:rsidRPr="00150EDC">
              <w:rPr>
                <w:b/>
                <w:spacing w:val="-2"/>
                <w:sz w:val="24"/>
              </w:rPr>
              <w:t>"Month"</w:t>
            </w:r>
          </w:p>
        </w:tc>
        <w:tc>
          <w:tcPr>
            <w:tcW w:w="7484" w:type="dxa"/>
          </w:tcPr>
          <w:p w14:paraId="5159B56F" w14:textId="77777777" w:rsidR="004C7180" w:rsidRPr="00150EDC" w:rsidRDefault="00CF0754">
            <w:pPr>
              <w:pStyle w:val="TableParagraph"/>
              <w:spacing w:before="0" w:line="240" w:lineRule="auto"/>
              <w:ind w:left="277"/>
              <w:rPr>
                <w:sz w:val="24"/>
              </w:rPr>
            </w:pPr>
            <w:r w:rsidRPr="00150EDC">
              <w:rPr>
                <w:sz w:val="24"/>
              </w:rPr>
              <w:t>a</w:t>
            </w:r>
            <w:r w:rsidRPr="00150EDC">
              <w:rPr>
                <w:spacing w:val="-4"/>
                <w:sz w:val="24"/>
              </w:rPr>
              <w:t xml:space="preserve"> </w:t>
            </w:r>
            <w:r w:rsidRPr="00150EDC">
              <w:rPr>
                <w:sz w:val="24"/>
              </w:rPr>
              <w:t>calendar</w:t>
            </w:r>
            <w:r w:rsidRPr="00150EDC">
              <w:rPr>
                <w:spacing w:val="-5"/>
                <w:sz w:val="24"/>
              </w:rPr>
              <w:t xml:space="preserve"> </w:t>
            </w:r>
            <w:r w:rsidRPr="00150EDC">
              <w:rPr>
                <w:sz w:val="24"/>
              </w:rPr>
              <w:t>month</w:t>
            </w:r>
            <w:r w:rsidRPr="00150EDC">
              <w:rPr>
                <w:spacing w:val="-3"/>
                <w:sz w:val="24"/>
              </w:rPr>
              <w:t xml:space="preserve"> </w:t>
            </w:r>
            <w:r w:rsidRPr="00150EDC">
              <w:rPr>
                <w:sz w:val="24"/>
              </w:rPr>
              <w:t>and</w:t>
            </w:r>
            <w:r w:rsidRPr="00150EDC">
              <w:rPr>
                <w:spacing w:val="-3"/>
                <w:sz w:val="24"/>
              </w:rPr>
              <w:t xml:space="preserve"> </w:t>
            </w:r>
            <w:r w:rsidRPr="00150EDC">
              <w:rPr>
                <w:sz w:val="24"/>
              </w:rPr>
              <w:t>"</w:t>
            </w:r>
            <w:r w:rsidRPr="00150EDC">
              <w:rPr>
                <w:b/>
                <w:sz w:val="24"/>
              </w:rPr>
              <w:t>Monthly</w:t>
            </w:r>
            <w:r w:rsidRPr="00150EDC">
              <w:rPr>
                <w:sz w:val="24"/>
              </w:rPr>
              <w:t>"</w:t>
            </w:r>
            <w:r w:rsidRPr="00150EDC">
              <w:rPr>
                <w:spacing w:val="-1"/>
                <w:sz w:val="24"/>
              </w:rPr>
              <w:t xml:space="preserve"> </w:t>
            </w:r>
            <w:r w:rsidRPr="00150EDC">
              <w:rPr>
                <w:sz w:val="24"/>
              </w:rPr>
              <w:t>shall</w:t>
            </w:r>
            <w:r w:rsidRPr="00150EDC">
              <w:rPr>
                <w:spacing w:val="-3"/>
                <w:sz w:val="24"/>
              </w:rPr>
              <w:t xml:space="preserve"> </w:t>
            </w:r>
            <w:r w:rsidRPr="00150EDC">
              <w:rPr>
                <w:sz w:val="24"/>
              </w:rPr>
              <w:t>be</w:t>
            </w:r>
            <w:r w:rsidRPr="00150EDC">
              <w:rPr>
                <w:spacing w:val="-2"/>
                <w:sz w:val="24"/>
              </w:rPr>
              <w:t xml:space="preserve"> </w:t>
            </w:r>
            <w:r w:rsidRPr="00150EDC">
              <w:rPr>
                <w:sz w:val="24"/>
              </w:rPr>
              <w:t>interpreted</w:t>
            </w:r>
            <w:r w:rsidRPr="00150EDC">
              <w:rPr>
                <w:spacing w:val="-3"/>
                <w:sz w:val="24"/>
              </w:rPr>
              <w:t xml:space="preserve"> </w:t>
            </w:r>
            <w:r w:rsidRPr="00150EDC">
              <w:rPr>
                <w:spacing w:val="-2"/>
                <w:sz w:val="24"/>
              </w:rPr>
              <w:t>accordingly;</w:t>
            </w:r>
          </w:p>
        </w:tc>
      </w:tr>
      <w:tr w:rsidR="007D3144" w:rsidRPr="007D3144" w14:paraId="5A9334E7" w14:textId="77777777">
        <w:trPr>
          <w:trHeight w:val="950"/>
        </w:trPr>
        <w:tc>
          <w:tcPr>
            <w:tcW w:w="2264" w:type="dxa"/>
          </w:tcPr>
          <w:p w14:paraId="7C71CCB5" w14:textId="77777777" w:rsidR="004C7180" w:rsidRPr="00150EDC" w:rsidRDefault="00CF0754">
            <w:pPr>
              <w:pStyle w:val="TableParagraph"/>
              <w:spacing w:before="2" w:line="240" w:lineRule="auto"/>
              <w:ind w:left="-1" w:right="298"/>
              <w:rPr>
                <w:b/>
                <w:sz w:val="24"/>
              </w:rPr>
            </w:pPr>
            <w:r w:rsidRPr="00150EDC">
              <w:rPr>
                <w:b/>
                <w:spacing w:val="-2"/>
                <w:sz w:val="24"/>
              </w:rPr>
              <w:t>"National Insurance"</w:t>
            </w:r>
          </w:p>
        </w:tc>
        <w:tc>
          <w:tcPr>
            <w:tcW w:w="7484" w:type="dxa"/>
          </w:tcPr>
          <w:p w14:paraId="34C73D9B" w14:textId="77777777" w:rsidR="004C7180" w:rsidRPr="00150EDC" w:rsidRDefault="00CF0754">
            <w:pPr>
              <w:pStyle w:val="TableParagraph"/>
              <w:spacing w:before="2" w:line="240" w:lineRule="auto"/>
              <w:ind w:left="277" w:right="102"/>
              <w:jc w:val="both"/>
              <w:rPr>
                <w:sz w:val="24"/>
              </w:rPr>
            </w:pPr>
            <w:r w:rsidRPr="00150EDC">
              <w:rPr>
                <w:sz w:val="24"/>
              </w:rPr>
              <w:t>contributions required by the Social Security Contributions and Benefits</w:t>
            </w:r>
            <w:r w:rsidRPr="00150EDC">
              <w:rPr>
                <w:spacing w:val="-13"/>
                <w:sz w:val="24"/>
              </w:rPr>
              <w:t xml:space="preserve"> </w:t>
            </w:r>
            <w:r w:rsidRPr="00150EDC">
              <w:rPr>
                <w:sz w:val="24"/>
              </w:rPr>
              <w:t>Act</w:t>
            </w:r>
            <w:r w:rsidRPr="00150EDC">
              <w:rPr>
                <w:spacing w:val="-13"/>
                <w:sz w:val="24"/>
              </w:rPr>
              <w:t xml:space="preserve"> </w:t>
            </w:r>
            <w:r w:rsidRPr="00150EDC">
              <w:rPr>
                <w:sz w:val="24"/>
              </w:rPr>
              <w:t>1992</w:t>
            </w:r>
            <w:r w:rsidRPr="00150EDC">
              <w:rPr>
                <w:spacing w:val="-13"/>
                <w:sz w:val="24"/>
              </w:rPr>
              <w:t xml:space="preserve"> </w:t>
            </w:r>
            <w:r w:rsidRPr="00150EDC">
              <w:rPr>
                <w:sz w:val="24"/>
              </w:rPr>
              <w:t>and</w:t>
            </w:r>
            <w:r w:rsidRPr="00150EDC">
              <w:rPr>
                <w:spacing w:val="-15"/>
                <w:sz w:val="24"/>
              </w:rPr>
              <w:t xml:space="preserve"> </w:t>
            </w:r>
            <w:r w:rsidRPr="00150EDC">
              <w:rPr>
                <w:sz w:val="24"/>
              </w:rPr>
              <w:t>made</w:t>
            </w:r>
            <w:r w:rsidRPr="00150EDC">
              <w:rPr>
                <w:spacing w:val="-13"/>
                <w:sz w:val="24"/>
              </w:rPr>
              <w:t xml:space="preserve"> </w:t>
            </w:r>
            <w:r w:rsidRPr="00150EDC">
              <w:rPr>
                <w:sz w:val="24"/>
              </w:rPr>
              <w:t>in</w:t>
            </w:r>
            <w:r w:rsidRPr="00150EDC">
              <w:rPr>
                <w:spacing w:val="-13"/>
                <w:sz w:val="24"/>
              </w:rPr>
              <w:t xml:space="preserve"> </w:t>
            </w:r>
            <w:r w:rsidRPr="00150EDC">
              <w:rPr>
                <w:sz w:val="24"/>
              </w:rPr>
              <w:t>accordance</w:t>
            </w:r>
            <w:r w:rsidRPr="00150EDC">
              <w:rPr>
                <w:spacing w:val="-13"/>
                <w:sz w:val="24"/>
              </w:rPr>
              <w:t xml:space="preserve"> </w:t>
            </w:r>
            <w:r w:rsidRPr="00150EDC">
              <w:rPr>
                <w:sz w:val="24"/>
              </w:rPr>
              <w:t>with</w:t>
            </w:r>
            <w:r w:rsidRPr="00150EDC">
              <w:rPr>
                <w:spacing w:val="-12"/>
                <w:sz w:val="24"/>
              </w:rPr>
              <w:t xml:space="preserve"> </w:t>
            </w:r>
            <w:r w:rsidRPr="00150EDC">
              <w:rPr>
                <w:sz w:val="24"/>
              </w:rPr>
              <w:t>the</w:t>
            </w:r>
            <w:r w:rsidRPr="00150EDC">
              <w:rPr>
                <w:spacing w:val="40"/>
                <w:sz w:val="24"/>
              </w:rPr>
              <w:t xml:space="preserve"> </w:t>
            </w:r>
            <w:r w:rsidRPr="00150EDC">
              <w:rPr>
                <w:sz w:val="24"/>
              </w:rPr>
              <w:t>Social</w:t>
            </w:r>
            <w:r w:rsidRPr="00150EDC">
              <w:rPr>
                <w:spacing w:val="-14"/>
                <w:sz w:val="24"/>
              </w:rPr>
              <w:t xml:space="preserve"> </w:t>
            </w:r>
            <w:r w:rsidRPr="00150EDC">
              <w:rPr>
                <w:sz w:val="24"/>
              </w:rPr>
              <w:t>Security (Contributions) Regulations 2001 (SI 2001/1004);</w:t>
            </w:r>
          </w:p>
        </w:tc>
      </w:tr>
      <w:tr w:rsidR="007D3144" w:rsidRPr="007D3144" w14:paraId="7276B979" w14:textId="77777777">
        <w:trPr>
          <w:trHeight w:val="2568"/>
        </w:trPr>
        <w:tc>
          <w:tcPr>
            <w:tcW w:w="2264" w:type="dxa"/>
          </w:tcPr>
          <w:p w14:paraId="5C617AB3" w14:textId="77777777" w:rsidR="004C7180" w:rsidRPr="00150EDC" w:rsidRDefault="00CF0754">
            <w:pPr>
              <w:pStyle w:val="TableParagraph"/>
              <w:spacing w:before="0" w:line="240" w:lineRule="auto"/>
              <w:ind w:left="-1"/>
              <w:rPr>
                <w:b/>
                <w:sz w:val="24"/>
              </w:rPr>
            </w:pPr>
            <w:r w:rsidRPr="00150EDC">
              <w:rPr>
                <w:b/>
                <w:sz w:val="24"/>
              </w:rPr>
              <w:t>"New</w:t>
            </w:r>
            <w:r w:rsidRPr="00150EDC">
              <w:rPr>
                <w:b/>
                <w:spacing w:val="-8"/>
                <w:sz w:val="24"/>
              </w:rPr>
              <w:t xml:space="preserve"> </w:t>
            </w:r>
            <w:r w:rsidRPr="00150EDC">
              <w:rPr>
                <w:b/>
                <w:spacing w:val="-4"/>
                <w:sz w:val="24"/>
              </w:rPr>
              <w:t>IPR"</w:t>
            </w:r>
          </w:p>
        </w:tc>
        <w:tc>
          <w:tcPr>
            <w:tcW w:w="7484" w:type="dxa"/>
          </w:tcPr>
          <w:p w14:paraId="22AD1DBD" w14:textId="77777777" w:rsidR="004C7180" w:rsidRPr="00150EDC" w:rsidRDefault="00CF0754" w:rsidP="00B320C7">
            <w:pPr>
              <w:pStyle w:val="TableParagraph"/>
              <w:numPr>
                <w:ilvl w:val="0"/>
                <w:numId w:val="114"/>
              </w:numPr>
              <w:tabs>
                <w:tab w:val="left" w:pos="537"/>
                <w:tab w:val="left" w:pos="539"/>
              </w:tabs>
              <w:spacing w:before="0" w:line="240" w:lineRule="auto"/>
              <w:ind w:right="99"/>
              <w:jc w:val="both"/>
              <w:rPr>
                <w:sz w:val="24"/>
              </w:rPr>
            </w:pPr>
            <w:r w:rsidRPr="00150EDC">
              <w:rPr>
                <w:sz w:val="24"/>
              </w:rPr>
              <w:t>IPR</w:t>
            </w:r>
            <w:r w:rsidRPr="00150EDC">
              <w:rPr>
                <w:spacing w:val="-8"/>
                <w:sz w:val="24"/>
              </w:rPr>
              <w:t xml:space="preserve"> </w:t>
            </w:r>
            <w:r w:rsidRPr="00150EDC">
              <w:rPr>
                <w:sz w:val="24"/>
              </w:rPr>
              <w:t>in</w:t>
            </w:r>
            <w:r w:rsidRPr="00150EDC">
              <w:rPr>
                <w:spacing w:val="-7"/>
                <w:sz w:val="24"/>
              </w:rPr>
              <w:t xml:space="preserve"> </w:t>
            </w:r>
            <w:r w:rsidRPr="00150EDC">
              <w:rPr>
                <w:sz w:val="24"/>
              </w:rPr>
              <w:t>items</w:t>
            </w:r>
            <w:r w:rsidRPr="00150EDC">
              <w:rPr>
                <w:spacing w:val="-8"/>
                <w:sz w:val="24"/>
              </w:rPr>
              <w:t xml:space="preserve"> </w:t>
            </w:r>
            <w:r w:rsidRPr="00150EDC">
              <w:rPr>
                <w:sz w:val="24"/>
              </w:rPr>
              <w:t>created</w:t>
            </w:r>
            <w:r w:rsidRPr="00150EDC">
              <w:rPr>
                <w:spacing w:val="-9"/>
                <w:sz w:val="24"/>
              </w:rPr>
              <w:t xml:space="preserve"> </w:t>
            </w:r>
            <w:r w:rsidRPr="00150EDC">
              <w:rPr>
                <w:sz w:val="24"/>
              </w:rPr>
              <w:t>by</w:t>
            </w:r>
            <w:r w:rsidRPr="00150EDC">
              <w:rPr>
                <w:spacing w:val="-8"/>
                <w:sz w:val="24"/>
              </w:rPr>
              <w:t xml:space="preserve"> </w:t>
            </w:r>
            <w:r w:rsidRPr="00150EDC">
              <w:rPr>
                <w:sz w:val="24"/>
              </w:rPr>
              <w:t>the</w:t>
            </w:r>
            <w:r w:rsidRPr="00150EDC">
              <w:rPr>
                <w:spacing w:val="-9"/>
                <w:sz w:val="24"/>
              </w:rPr>
              <w:t xml:space="preserve"> </w:t>
            </w:r>
            <w:r w:rsidRPr="00150EDC">
              <w:rPr>
                <w:sz w:val="24"/>
              </w:rPr>
              <w:t>Supplier</w:t>
            </w:r>
            <w:r w:rsidRPr="00150EDC">
              <w:rPr>
                <w:spacing w:val="-8"/>
                <w:sz w:val="24"/>
              </w:rPr>
              <w:t xml:space="preserve"> </w:t>
            </w:r>
            <w:r w:rsidRPr="00150EDC">
              <w:rPr>
                <w:sz w:val="24"/>
              </w:rPr>
              <w:t>(or</w:t>
            </w:r>
            <w:r w:rsidRPr="00150EDC">
              <w:rPr>
                <w:spacing w:val="-8"/>
                <w:sz w:val="24"/>
              </w:rPr>
              <w:t xml:space="preserve"> </w:t>
            </w:r>
            <w:r w:rsidRPr="00150EDC">
              <w:rPr>
                <w:sz w:val="24"/>
              </w:rPr>
              <w:t>by</w:t>
            </w:r>
            <w:r w:rsidRPr="00150EDC">
              <w:rPr>
                <w:spacing w:val="-8"/>
                <w:sz w:val="24"/>
              </w:rPr>
              <w:t xml:space="preserve"> </w:t>
            </w:r>
            <w:r w:rsidRPr="00150EDC">
              <w:rPr>
                <w:sz w:val="24"/>
              </w:rPr>
              <w:t>a</w:t>
            </w:r>
            <w:r w:rsidRPr="00150EDC">
              <w:rPr>
                <w:spacing w:val="-9"/>
                <w:sz w:val="24"/>
              </w:rPr>
              <w:t xml:space="preserve"> </w:t>
            </w:r>
            <w:r w:rsidRPr="00150EDC">
              <w:rPr>
                <w:sz w:val="24"/>
              </w:rPr>
              <w:t>third</w:t>
            </w:r>
            <w:r w:rsidRPr="00150EDC">
              <w:rPr>
                <w:spacing w:val="-7"/>
                <w:sz w:val="24"/>
              </w:rPr>
              <w:t xml:space="preserve"> </w:t>
            </w:r>
            <w:r w:rsidRPr="00150EDC">
              <w:rPr>
                <w:sz w:val="24"/>
              </w:rPr>
              <w:t>party</w:t>
            </w:r>
            <w:r w:rsidRPr="00150EDC">
              <w:rPr>
                <w:spacing w:val="-10"/>
                <w:sz w:val="24"/>
              </w:rPr>
              <w:t xml:space="preserve"> </w:t>
            </w:r>
            <w:r w:rsidRPr="00150EDC">
              <w:rPr>
                <w:sz w:val="24"/>
              </w:rPr>
              <w:t>on</w:t>
            </w:r>
            <w:r w:rsidRPr="00150EDC">
              <w:rPr>
                <w:spacing w:val="-9"/>
                <w:sz w:val="24"/>
              </w:rPr>
              <w:t xml:space="preserve"> </w:t>
            </w:r>
            <w:r w:rsidRPr="00150EDC">
              <w:rPr>
                <w:sz w:val="24"/>
              </w:rPr>
              <w:t>behalf of the Supplier) specifically for the purposes of a Contract and updates and amendments of these items including (but not limited to) database schema; and/or</w:t>
            </w:r>
          </w:p>
          <w:p w14:paraId="665AA709" w14:textId="77777777" w:rsidR="004C7180" w:rsidRPr="00150EDC" w:rsidRDefault="00CF0754" w:rsidP="00B320C7">
            <w:pPr>
              <w:pStyle w:val="TableParagraph"/>
              <w:numPr>
                <w:ilvl w:val="0"/>
                <w:numId w:val="114"/>
              </w:numPr>
              <w:tabs>
                <w:tab w:val="left" w:pos="539"/>
              </w:tabs>
              <w:spacing w:before="121" w:line="240" w:lineRule="auto"/>
              <w:ind w:right="98"/>
              <w:jc w:val="both"/>
              <w:rPr>
                <w:sz w:val="24"/>
              </w:rPr>
            </w:pPr>
            <w:r w:rsidRPr="00150EDC">
              <w:rPr>
                <w:sz w:val="24"/>
              </w:rPr>
              <w:t>IPR in or arising as a result of the performance of the Supplier’s obligations</w:t>
            </w:r>
            <w:r w:rsidRPr="00150EDC">
              <w:rPr>
                <w:spacing w:val="-10"/>
                <w:sz w:val="24"/>
              </w:rPr>
              <w:t xml:space="preserve"> </w:t>
            </w:r>
            <w:r w:rsidRPr="00150EDC">
              <w:rPr>
                <w:sz w:val="24"/>
              </w:rPr>
              <w:t>under</w:t>
            </w:r>
            <w:r w:rsidRPr="00150EDC">
              <w:rPr>
                <w:spacing w:val="-8"/>
                <w:sz w:val="24"/>
              </w:rPr>
              <w:t xml:space="preserve"> </w:t>
            </w:r>
            <w:r w:rsidRPr="00150EDC">
              <w:rPr>
                <w:sz w:val="24"/>
              </w:rPr>
              <w:t>a</w:t>
            </w:r>
            <w:r w:rsidRPr="00150EDC">
              <w:rPr>
                <w:spacing w:val="-9"/>
                <w:sz w:val="24"/>
              </w:rPr>
              <w:t xml:space="preserve"> </w:t>
            </w:r>
            <w:r w:rsidRPr="00150EDC">
              <w:rPr>
                <w:sz w:val="24"/>
              </w:rPr>
              <w:t>Contract</w:t>
            </w:r>
            <w:r w:rsidRPr="00150EDC">
              <w:rPr>
                <w:spacing w:val="-10"/>
                <w:sz w:val="24"/>
              </w:rPr>
              <w:t xml:space="preserve"> </w:t>
            </w:r>
            <w:r w:rsidRPr="00150EDC">
              <w:rPr>
                <w:sz w:val="24"/>
              </w:rPr>
              <w:t>and</w:t>
            </w:r>
            <w:r w:rsidRPr="00150EDC">
              <w:rPr>
                <w:spacing w:val="-9"/>
                <w:sz w:val="24"/>
              </w:rPr>
              <w:t xml:space="preserve"> </w:t>
            </w:r>
            <w:r w:rsidRPr="00150EDC">
              <w:rPr>
                <w:sz w:val="24"/>
              </w:rPr>
              <w:t>all</w:t>
            </w:r>
            <w:r w:rsidRPr="00150EDC">
              <w:rPr>
                <w:spacing w:val="-11"/>
                <w:sz w:val="24"/>
              </w:rPr>
              <w:t xml:space="preserve"> </w:t>
            </w:r>
            <w:r w:rsidRPr="00150EDC">
              <w:rPr>
                <w:sz w:val="24"/>
              </w:rPr>
              <w:t>updates</w:t>
            </w:r>
            <w:r w:rsidRPr="00150EDC">
              <w:rPr>
                <w:spacing w:val="-13"/>
                <w:sz w:val="24"/>
              </w:rPr>
              <w:t xml:space="preserve"> </w:t>
            </w:r>
            <w:r w:rsidRPr="00150EDC">
              <w:rPr>
                <w:sz w:val="24"/>
              </w:rPr>
              <w:t>and</w:t>
            </w:r>
            <w:r w:rsidRPr="00150EDC">
              <w:rPr>
                <w:spacing w:val="-9"/>
                <w:sz w:val="24"/>
              </w:rPr>
              <w:t xml:space="preserve"> </w:t>
            </w:r>
            <w:r w:rsidRPr="00150EDC">
              <w:rPr>
                <w:sz w:val="24"/>
              </w:rPr>
              <w:t>amendments</w:t>
            </w:r>
            <w:r w:rsidRPr="00150EDC">
              <w:rPr>
                <w:spacing w:val="-10"/>
                <w:sz w:val="24"/>
              </w:rPr>
              <w:t xml:space="preserve"> </w:t>
            </w:r>
            <w:r w:rsidRPr="00150EDC">
              <w:rPr>
                <w:sz w:val="24"/>
              </w:rPr>
              <w:t>to the same;</w:t>
            </w:r>
          </w:p>
          <w:p w14:paraId="3EC6FA22" w14:textId="77777777" w:rsidR="004C7180" w:rsidRPr="00150EDC" w:rsidRDefault="00CF0754">
            <w:pPr>
              <w:pStyle w:val="TableParagraph"/>
              <w:spacing w:before="120" w:line="240" w:lineRule="auto"/>
              <w:ind w:left="277"/>
              <w:jc w:val="both"/>
              <w:rPr>
                <w:sz w:val="24"/>
              </w:rPr>
            </w:pPr>
            <w:r w:rsidRPr="00150EDC">
              <w:rPr>
                <w:sz w:val="24"/>
              </w:rPr>
              <w:t>but</w:t>
            </w:r>
            <w:r w:rsidRPr="00150EDC">
              <w:rPr>
                <w:spacing w:val="-5"/>
                <w:sz w:val="24"/>
              </w:rPr>
              <w:t xml:space="preserve"> </w:t>
            </w:r>
            <w:r w:rsidRPr="00150EDC">
              <w:rPr>
                <w:sz w:val="24"/>
              </w:rPr>
              <w:t>shall</w:t>
            </w:r>
            <w:r w:rsidRPr="00150EDC">
              <w:rPr>
                <w:spacing w:val="-4"/>
                <w:sz w:val="24"/>
              </w:rPr>
              <w:t xml:space="preserve"> </w:t>
            </w:r>
            <w:r w:rsidRPr="00150EDC">
              <w:rPr>
                <w:sz w:val="24"/>
              </w:rPr>
              <w:t>not</w:t>
            </w:r>
            <w:r w:rsidRPr="00150EDC">
              <w:rPr>
                <w:spacing w:val="-4"/>
                <w:sz w:val="24"/>
              </w:rPr>
              <w:t xml:space="preserve"> </w:t>
            </w:r>
            <w:r w:rsidRPr="00150EDC">
              <w:rPr>
                <w:sz w:val="24"/>
              </w:rPr>
              <w:t>include</w:t>
            </w:r>
            <w:r w:rsidRPr="00150EDC">
              <w:rPr>
                <w:spacing w:val="-4"/>
                <w:sz w:val="24"/>
              </w:rPr>
              <w:t xml:space="preserve"> </w:t>
            </w:r>
            <w:r w:rsidRPr="00150EDC">
              <w:rPr>
                <w:sz w:val="24"/>
              </w:rPr>
              <w:t>the</w:t>
            </w:r>
            <w:r w:rsidRPr="00150EDC">
              <w:rPr>
                <w:spacing w:val="-5"/>
                <w:sz w:val="24"/>
              </w:rPr>
              <w:t xml:space="preserve"> </w:t>
            </w:r>
            <w:r w:rsidRPr="00150EDC">
              <w:rPr>
                <w:sz w:val="24"/>
              </w:rPr>
              <w:t>Supplier’s</w:t>
            </w:r>
            <w:r w:rsidRPr="00150EDC">
              <w:rPr>
                <w:spacing w:val="-4"/>
                <w:sz w:val="24"/>
              </w:rPr>
              <w:t xml:space="preserve"> </w:t>
            </w:r>
            <w:r w:rsidRPr="00150EDC">
              <w:rPr>
                <w:sz w:val="24"/>
              </w:rPr>
              <w:t>Existing</w:t>
            </w:r>
            <w:r w:rsidRPr="00150EDC">
              <w:rPr>
                <w:spacing w:val="-4"/>
                <w:sz w:val="24"/>
              </w:rPr>
              <w:t xml:space="preserve"> IPR;</w:t>
            </w:r>
          </w:p>
        </w:tc>
      </w:tr>
      <w:tr w:rsidR="007D3144" w:rsidRPr="007D3144" w14:paraId="048A6B70" w14:textId="77777777">
        <w:trPr>
          <w:trHeight w:val="671"/>
        </w:trPr>
        <w:tc>
          <w:tcPr>
            <w:tcW w:w="2264" w:type="dxa"/>
          </w:tcPr>
          <w:p w14:paraId="4FB64FF7" w14:textId="77777777" w:rsidR="004C7180" w:rsidRPr="00150EDC" w:rsidRDefault="00CF0754">
            <w:pPr>
              <w:pStyle w:val="TableParagraph"/>
              <w:spacing w:before="0" w:line="240" w:lineRule="auto"/>
              <w:ind w:left="-1"/>
              <w:rPr>
                <w:b/>
                <w:sz w:val="24"/>
              </w:rPr>
            </w:pPr>
            <w:r w:rsidRPr="00150EDC">
              <w:rPr>
                <w:b/>
                <w:sz w:val="24"/>
              </w:rPr>
              <w:t xml:space="preserve">“New IPR </w:t>
            </w:r>
            <w:r w:rsidRPr="00150EDC">
              <w:rPr>
                <w:b/>
                <w:spacing w:val="-2"/>
                <w:sz w:val="24"/>
              </w:rPr>
              <w:t>Item”</w:t>
            </w:r>
          </w:p>
        </w:tc>
        <w:tc>
          <w:tcPr>
            <w:tcW w:w="7484" w:type="dxa"/>
          </w:tcPr>
          <w:p w14:paraId="20269E0F" w14:textId="77777777" w:rsidR="004C7180" w:rsidRPr="00150EDC" w:rsidRDefault="00CF0754">
            <w:pPr>
              <w:pStyle w:val="TableParagraph"/>
              <w:spacing w:before="0" w:line="240" w:lineRule="auto"/>
              <w:ind w:left="539"/>
              <w:rPr>
                <w:sz w:val="24"/>
              </w:rPr>
            </w:pPr>
            <w:r w:rsidRPr="00150EDC">
              <w:rPr>
                <w:sz w:val="24"/>
              </w:rPr>
              <w:t>means</w:t>
            </w:r>
            <w:r w:rsidRPr="00150EDC">
              <w:rPr>
                <w:spacing w:val="40"/>
                <w:sz w:val="24"/>
              </w:rPr>
              <w:t xml:space="preserve"> </w:t>
            </w:r>
            <w:r w:rsidRPr="00150EDC">
              <w:rPr>
                <w:sz w:val="24"/>
              </w:rPr>
              <w:t>a</w:t>
            </w:r>
            <w:r w:rsidRPr="00150EDC">
              <w:rPr>
                <w:spacing w:val="40"/>
                <w:sz w:val="24"/>
              </w:rPr>
              <w:t xml:space="preserve"> </w:t>
            </w:r>
            <w:r w:rsidRPr="00150EDC">
              <w:rPr>
                <w:sz w:val="24"/>
              </w:rPr>
              <w:t>deliverable,</w:t>
            </w:r>
            <w:r w:rsidRPr="00150EDC">
              <w:rPr>
                <w:spacing w:val="40"/>
                <w:sz w:val="24"/>
              </w:rPr>
              <w:t xml:space="preserve"> </w:t>
            </w:r>
            <w:r w:rsidRPr="00150EDC">
              <w:rPr>
                <w:sz w:val="24"/>
              </w:rPr>
              <w:t>document,</w:t>
            </w:r>
            <w:r w:rsidRPr="00150EDC">
              <w:rPr>
                <w:spacing w:val="40"/>
                <w:sz w:val="24"/>
              </w:rPr>
              <w:t xml:space="preserve"> </w:t>
            </w:r>
            <w:r w:rsidRPr="00150EDC">
              <w:rPr>
                <w:sz w:val="24"/>
              </w:rPr>
              <w:t>product</w:t>
            </w:r>
            <w:r w:rsidRPr="00150EDC">
              <w:rPr>
                <w:spacing w:val="40"/>
                <w:sz w:val="24"/>
              </w:rPr>
              <w:t xml:space="preserve"> </w:t>
            </w:r>
            <w:r w:rsidRPr="00150EDC">
              <w:rPr>
                <w:sz w:val="24"/>
              </w:rPr>
              <w:t>or</w:t>
            </w:r>
            <w:r w:rsidRPr="00150EDC">
              <w:rPr>
                <w:spacing w:val="40"/>
                <w:sz w:val="24"/>
              </w:rPr>
              <w:t xml:space="preserve"> </w:t>
            </w:r>
            <w:r w:rsidRPr="00150EDC">
              <w:rPr>
                <w:sz w:val="24"/>
              </w:rPr>
              <w:t>other</w:t>
            </w:r>
            <w:r w:rsidRPr="00150EDC">
              <w:rPr>
                <w:spacing w:val="40"/>
                <w:sz w:val="24"/>
              </w:rPr>
              <w:t xml:space="preserve"> </w:t>
            </w:r>
            <w:r w:rsidRPr="00150EDC">
              <w:rPr>
                <w:sz w:val="24"/>
              </w:rPr>
              <w:t>item</w:t>
            </w:r>
            <w:r w:rsidRPr="00150EDC">
              <w:rPr>
                <w:spacing w:val="40"/>
                <w:sz w:val="24"/>
              </w:rPr>
              <w:t xml:space="preserve"> </w:t>
            </w:r>
            <w:r w:rsidRPr="00150EDC">
              <w:rPr>
                <w:sz w:val="24"/>
              </w:rPr>
              <w:t>within which New IPR subsists;</w:t>
            </w:r>
          </w:p>
        </w:tc>
      </w:tr>
      <w:tr w:rsidR="007D3144" w:rsidRPr="007D3144" w14:paraId="425A73DB" w14:textId="77777777">
        <w:trPr>
          <w:trHeight w:val="5568"/>
        </w:trPr>
        <w:tc>
          <w:tcPr>
            <w:tcW w:w="2264" w:type="dxa"/>
          </w:tcPr>
          <w:p w14:paraId="4D484DD3" w14:textId="77777777" w:rsidR="004C7180" w:rsidRPr="00150EDC" w:rsidRDefault="00CF0754">
            <w:pPr>
              <w:pStyle w:val="TableParagraph"/>
              <w:spacing w:before="0" w:line="240" w:lineRule="auto"/>
              <w:ind w:left="-1"/>
              <w:rPr>
                <w:b/>
                <w:sz w:val="24"/>
              </w:rPr>
            </w:pPr>
            <w:r w:rsidRPr="00150EDC">
              <w:rPr>
                <w:b/>
                <w:sz w:val="24"/>
              </w:rPr>
              <w:t xml:space="preserve">"Occasion of Tax </w:t>
            </w:r>
            <w:r w:rsidRPr="00150EDC">
              <w:rPr>
                <w:b/>
                <w:spacing w:val="-2"/>
                <w:sz w:val="24"/>
              </w:rPr>
              <w:t>Non–Compliance"</w:t>
            </w:r>
          </w:p>
        </w:tc>
        <w:tc>
          <w:tcPr>
            <w:tcW w:w="7484" w:type="dxa"/>
          </w:tcPr>
          <w:p w14:paraId="69DE82F3" w14:textId="77777777" w:rsidR="004C7180" w:rsidRPr="00150EDC" w:rsidRDefault="00CF0754">
            <w:pPr>
              <w:pStyle w:val="TableParagraph"/>
              <w:spacing w:before="0" w:line="240" w:lineRule="auto"/>
              <w:ind w:left="277"/>
              <w:rPr>
                <w:sz w:val="24"/>
              </w:rPr>
            </w:pPr>
            <w:r w:rsidRPr="00150EDC">
              <w:rPr>
                <w:spacing w:val="-2"/>
                <w:sz w:val="24"/>
              </w:rPr>
              <w:t>where:</w:t>
            </w:r>
          </w:p>
          <w:p w14:paraId="18528251" w14:textId="77777777" w:rsidR="004C7180" w:rsidRPr="00150EDC" w:rsidRDefault="00CF0754" w:rsidP="00B320C7">
            <w:pPr>
              <w:pStyle w:val="TableParagraph"/>
              <w:numPr>
                <w:ilvl w:val="0"/>
                <w:numId w:val="113"/>
              </w:numPr>
              <w:tabs>
                <w:tab w:val="left" w:pos="537"/>
                <w:tab w:val="left" w:pos="539"/>
              </w:tabs>
              <w:spacing w:before="120" w:line="240" w:lineRule="auto"/>
              <w:ind w:right="98"/>
              <w:jc w:val="both"/>
              <w:rPr>
                <w:sz w:val="24"/>
              </w:rPr>
            </w:pPr>
            <w:r w:rsidRPr="00150EDC">
              <w:rPr>
                <w:sz w:val="24"/>
              </w:rPr>
              <w:t>any Tax return of the Supplier submitted to a Relevant Tax Authority on or after 1</w:t>
            </w:r>
            <w:r w:rsidRPr="00150EDC">
              <w:rPr>
                <w:spacing w:val="-1"/>
                <w:sz w:val="24"/>
              </w:rPr>
              <w:t xml:space="preserve"> </w:t>
            </w:r>
            <w:r w:rsidRPr="00150EDC">
              <w:rPr>
                <w:sz w:val="24"/>
              </w:rPr>
              <w:t>October 2012 is found on or after 1 April 2013 to be incorrect as a result of:</w:t>
            </w:r>
          </w:p>
          <w:p w14:paraId="305E0F54" w14:textId="77777777" w:rsidR="004C7180" w:rsidRPr="00150EDC" w:rsidRDefault="00CF0754" w:rsidP="00B320C7">
            <w:pPr>
              <w:pStyle w:val="TableParagraph"/>
              <w:numPr>
                <w:ilvl w:val="1"/>
                <w:numId w:val="113"/>
              </w:numPr>
              <w:tabs>
                <w:tab w:val="left" w:pos="899"/>
              </w:tabs>
              <w:spacing w:before="120" w:line="240" w:lineRule="auto"/>
              <w:ind w:right="95"/>
              <w:jc w:val="both"/>
              <w:rPr>
                <w:sz w:val="24"/>
              </w:rPr>
            </w:pPr>
            <w:r w:rsidRPr="00150EDC">
              <w:rPr>
                <w:sz w:val="24"/>
              </w:rPr>
              <w:t>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237EE24F" w14:textId="77777777" w:rsidR="004C7180" w:rsidRPr="00150EDC" w:rsidRDefault="00CF0754" w:rsidP="00B320C7">
            <w:pPr>
              <w:pStyle w:val="TableParagraph"/>
              <w:numPr>
                <w:ilvl w:val="1"/>
                <w:numId w:val="113"/>
              </w:numPr>
              <w:tabs>
                <w:tab w:val="left" w:pos="897"/>
                <w:tab w:val="left" w:pos="899"/>
              </w:tabs>
              <w:spacing w:before="121" w:line="240" w:lineRule="auto"/>
              <w:ind w:right="100"/>
              <w:jc w:val="both"/>
              <w:rPr>
                <w:sz w:val="24"/>
              </w:rPr>
            </w:pPr>
            <w:r w:rsidRPr="00150EDC">
              <w:rPr>
                <w:sz w:val="24"/>
              </w:rPr>
              <w:t>the failure of an avoidance scheme which the Supplier was involved</w:t>
            </w:r>
            <w:r w:rsidRPr="00150EDC">
              <w:rPr>
                <w:spacing w:val="-9"/>
                <w:sz w:val="24"/>
              </w:rPr>
              <w:t xml:space="preserve"> </w:t>
            </w:r>
            <w:r w:rsidRPr="00150EDC">
              <w:rPr>
                <w:sz w:val="24"/>
              </w:rPr>
              <w:t>in,</w:t>
            </w:r>
            <w:r w:rsidRPr="00150EDC">
              <w:rPr>
                <w:spacing w:val="-10"/>
                <w:sz w:val="24"/>
              </w:rPr>
              <w:t xml:space="preserve"> </w:t>
            </w:r>
            <w:r w:rsidRPr="00150EDC">
              <w:rPr>
                <w:sz w:val="24"/>
              </w:rPr>
              <w:t>and</w:t>
            </w:r>
            <w:r w:rsidRPr="00150EDC">
              <w:rPr>
                <w:spacing w:val="-8"/>
                <w:sz w:val="24"/>
              </w:rPr>
              <w:t xml:space="preserve"> </w:t>
            </w:r>
            <w:r w:rsidRPr="00150EDC">
              <w:rPr>
                <w:sz w:val="24"/>
              </w:rPr>
              <w:t>which</w:t>
            </w:r>
            <w:r w:rsidRPr="00150EDC">
              <w:rPr>
                <w:spacing w:val="-10"/>
                <w:sz w:val="24"/>
              </w:rPr>
              <w:t xml:space="preserve"> </w:t>
            </w:r>
            <w:r w:rsidRPr="00150EDC">
              <w:rPr>
                <w:sz w:val="24"/>
              </w:rPr>
              <w:t>was,</w:t>
            </w:r>
            <w:r w:rsidRPr="00150EDC">
              <w:rPr>
                <w:spacing w:val="-8"/>
                <w:sz w:val="24"/>
              </w:rPr>
              <w:t xml:space="preserve"> </w:t>
            </w:r>
            <w:r w:rsidRPr="00150EDC">
              <w:rPr>
                <w:sz w:val="24"/>
              </w:rPr>
              <w:t>or</w:t>
            </w:r>
            <w:r w:rsidRPr="00150EDC">
              <w:rPr>
                <w:spacing w:val="-9"/>
                <w:sz w:val="24"/>
              </w:rPr>
              <w:t xml:space="preserve"> </w:t>
            </w:r>
            <w:r w:rsidRPr="00150EDC">
              <w:rPr>
                <w:sz w:val="24"/>
              </w:rPr>
              <w:t>should</w:t>
            </w:r>
            <w:r w:rsidRPr="00150EDC">
              <w:rPr>
                <w:spacing w:val="-8"/>
                <w:sz w:val="24"/>
              </w:rPr>
              <w:t xml:space="preserve"> </w:t>
            </w:r>
            <w:r w:rsidRPr="00150EDC">
              <w:rPr>
                <w:sz w:val="24"/>
              </w:rPr>
              <w:t>have</w:t>
            </w:r>
            <w:r w:rsidRPr="00150EDC">
              <w:rPr>
                <w:spacing w:val="-8"/>
                <w:sz w:val="24"/>
              </w:rPr>
              <w:t xml:space="preserve"> </w:t>
            </w:r>
            <w:r w:rsidRPr="00150EDC">
              <w:rPr>
                <w:sz w:val="24"/>
              </w:rPr>
              <w:t>been,</w:t>
            </w:r>
            <w:r w:rsidRPr="00150EDC">
              <w:rPr>
                <w:spacing w:val="-8"/>
                <w:sz w:val="24"/>
              </w:rPr>
              <w:t xml:space="preserve"> </w:t>
            </w:r>
            <w:r w:rsidRPr="00150EDC">
              <w:rPr>
                <w:sz w:val="24"/>
              </w:rPr>
              <w:t>notified</w:t>
            </w:r>
            <w:r w:rsidRPr="00150EDC">
              <w:rPr>
                <w:spacing w:val="-8"/>
                <w:sz w:val="24"/>
              </w:rPr>
              <w:t xml:space="preserve"> </w:t>
            </w:r>
            <w:r w:rsidRPr="00150EDC">
              <w:rPr>
                <w:sz w:val="24"/>
              </w:rPr>
              <w:t>to</w:t>
            </w:r>
            <w:r w:rsidRPr="00150EDC">
              <w:rPr>
                <w:spacing w:val="-10"/>
                <w:sz w:val="24"/>
              </w:rPr>
              <w:t xml:space="preserve"> </w:t>
            </w:r>
            <w:r w:rsidRPr="00150EDC">
              <w:rPr>
                <w:sz w:val="24"/>
              </w:rPr>
              <w:t>a Relevant</w:t>
            </w:r>
            <w:r w:rsidRPr="00150EDC">
              <w:rPr>
                <w:spacing w:val="-15"/>
                <w:sz w:val="24"/>
              </w:rPr>
              <w:t xml:space="preserve"> </w:t>
            </w:r>
            <w:r w:rsidRPr="00150EDC">
              <w:rPr>
                <w:sz w:val="24"/>
              </w:rPr>
              <w:t>Tax</w:t>
            </w:r>
            <w:r w:rsidRPr="00150EDC">
              <w:rPr>
                <w:spacing w:val="-17"/>
                <w:sz w:val="24"/>
              </w:rPr>
              <w:t xml:space="preserve"> </w:t>
            </w:r>
            <w:r w:rsidRPr="00150EDC">
              <w:rPr>
                <w:sz w:val="24"/>
              </w:rPr>
              <w:t>Authority</w:t>
            </w:r>
            <w:r w:rsidRPr="00150EDC">
              <w:rPr>
                <w:spacing w:val="-17"/>
                <w:sz w:val="24"/>
              </w:rPr>
              <w:t xml:space="preserve"> </w:t>
            </w:r>
            <w:r w:rsidRPr="00150EDC">
              <w:rPr>
                <w:sz w:val="24"/>
              </w:rPr>
              <w:t>under</w:t>
            </w:r>
            <w:r w:rsidRPr="00150EDC">
              <w:rPr>
                <w:spacing w:val="-16"/>
                <w:sz w:val="24"/>
              </w:rPr>
              <w:t xml:space="preserve"> </w:t>
            </w:r>
            <w:r w:rsidRPr="00150EDC">
              <w:rPr>
                <w:sz w:val="24"/>
              </w:rPr>
              <w:t>the</w:t>
            </w:r>
            <w:r w:rsidRPr="00150EDC">
              <w:rPr>
                <w:spacing w:val="-15"/>
                <w:sz w:val="24"/>
              </w:rPr>
              <w:t xml:space="preserve"> </w:t>
            </w:r>
            <w:r w:rsidRPr="00150EDC">
              <w:rPr>
                <w:sz w:val="24"/>
              </w:rPr>
              <w:t>DOTAS</w:t>
            </w:r>
            <w:r w:rsidRPr="00150EDC">
              <w:rPr>
                <w:spacing w:val="-16"/>
                <w:sz w:val="24"/>
              </w:rPr>
              <w:t xml:space="preserve"> </w:t>
            </w:r>
            <w:r w:rsidRPr="00150EDC">
              <w:rPr>
                <w:sz w:val="24"/>
              </w:rPr>
              <w:t>or</w:t>
            </w:r>
            <w:r w:rsidRPr="00150EDC">
              <w:rPr>
                <w:spacing w:val="-16"/>
                <w:sz w:val="24"/>
              </w:rPr>
              <w:t xml:space="preserve"> </w:t>
            </w:r>
            <w:r w:rsidRPr="00150EDC">
              <w:rPr>
                <w:sz w:val="24"/>
              </w:rPr>
              <w:t>any</w:t>
            </w:r>
            <w:r w:rsidRPr="00150EDC">
              <w:rPr>
                <w:spacing w:val="-16"/>
                <w:sz w:val="24"/>
              </w:rPr>
              <w:t xml:space="preserve"> </w:t>
            </w:r>
            <w:r w:rsidRPr="00150EDC">
              <w:rPr>
                <w:sz w:val="24"/>
              </w:rPr>
              <w:t>equivalent</w:t>
            </w:r>
            <w:r w:rsidRPr="00150EDC">
              <w:rPr>
                <w:spacing w:val="-17"/>
                <w:sz w:val="24"/>
              </w:rPr>
              <w:t xml:space="preserve"> </w:t>
            </w:r>
            <w:r w:rsidRPr="00150EDC">
              <w:rPr>
                <w:sz w:val="24"/>
              </w:rPr>
              <w:t>or similar regime in any jurisdiction; and/or</w:t>
            </w:r>
          </w:p>
          <w:p w14:paraId="55BCAD8A" w14:textId="77777777" w:rsidR="004C7180" w:rsidRPr="00150EDC" w:rsidRDefault="00CF0754" w:rsidP="00B320C7">
            <w:pPr>
              <w:pStyle w:val="TableParagraph"/>
              <w:numPr>
                <w:ilvl w:val="0"/>
                <w:numId w:val="113"/>
              </w:numPr>
              <w:tabs>
                <w:tab w:val="left" w:pos="539"/>
              </w:tabs>
              <w:spacing w:before="120" w:line="240" w:lineRule="auto"/>
              <w:ind w:right="95"/>
              <w:jc w:val="both"/>
              <w:rPr>
                <w:sz w:val="24"/>
              </w:rPr>
            </w:pPr>
            <w:r w:rsidRPr="00150EDC">
              <w:rPr>
                <w:sz w:val="24"/>
              </w:rPr>
              <w:t>any Tax return of the Supplier submitted to a Relevant Tax Authority on</w:t>
            </w:r>
            <w:r w:rsidRPr="00150EDC">
              <w:rPr>
                <w:spacing w:val="-3"/>
                <w:sz w:val="24"/>
              </w:rPr>
              <w:t xml:space="preserve"> </w:t>
            </w:r>
            <w:r w:rsidRPr="00150EDC">
              <w:rPr>
                <w:sz w:val="24"/>
              </w:rPr>
              <w:t>or</w:t>
            </w:r>
            <w:r w:rsidRPr="00150EDC">
              <w:rPr>
                <w:spacing w:val="-2"/>
                <w:sz w:val="24"/>
              </w:rPr>
              <w:t xml:space="preserve"> </w:t>
            </w:r>
            <w:r w:rsidRPr="00150EDC">
              <w:rPr>
                <w:sz w:val="24"/>
              </w:rPr>
              <w:t>after</w:t>
            </w:r>
            <w:r w:rsidRPr="00150EDC">
              <w:rPr>
                <w:spacing w:val="-3"/>
                <w:sz w:val="24"/>
              </w:rPr>
              <w:t xml:space="preserve"> </w:t>
            </w:r>
            <w:r w:rsidRPr="00150EDC">
              <w:rPr>
                <w:sz w:val="24"/>
              </w:rPr>
              <w:t>1</w:t>
            </w:r>
            <w:r w:rsidRPr="00150EDC">
              <w:rPr>
                <w:spacing w:val="-3"/>
                <w:sz w:val="24"/>
              </w:rPr>
              <w:t xml:space="preserve"> </w:t>
            </w:r>
            <w:r w:rsidRPr="00150EDC">
              <w:rPr>
                <w:sz w:val="24"/>
              </w:rPr>
              <w:t>October</w:t>
            </w:r>
            <w:r w:rsidRPr="00150EDC">
              <w:rPr>
                <w:spacing w:val="-2"/>
                <w:sz w:val="24"/>
              </w:rPr>
              <w:t xml:space="preserve"> </w:t>
            </w:r>
            <w:r w:rsidRPr="00150EDC">
              <w:rPr>
                <w:sz w:val="24"/>
              </w:rPr>
              <w:t>2012</w:t>
            </w:r>
            <w:r w:rsidRPr="00150EDC">
              <w:rPr>
                <w:spacing w:val="-2"/>
                <w:sz w:val="24"/>
              </w:rPr>
              <w:t xml:space="preserve"> </w:t>
            </w:r>
            <w:r w:rsidRPr="00150EDC">
              <w:rPr>
                <w:sz w:val="24"/>
              </w:rPr>
              <w:t>which</w:t>
            </w:r>
            <w:r w:rsidRPr="00150EDC">
              <w:rPr>
                <w:spacing w:val="-2"/>
                <w:sz w:val="24"/>
              </w:rPr>
              <w:t xml:space="preserve"> </w:t>
            </w:r>
            <w:r w:rsidRPr="00150EDC">
              <w:rPr>
                <w:sz w:val="24"/>
              </w:rPr>
              <w:t>gives</w:t>
            </w:r>
            <w:r w:rsidRPr="00150EDC">
              <w:rPr>
                <w:spacing w:val="-1"/>
                <w:sz w:val="24"/>
              </w:rPr>
              <w:t xml:space="preserve"> </w:t>
            </w:r>
            <w:r w:rsidRPr="00150EDC">
              <w:rPr>
                <w:sz w:val="24"/>
              </w:rPr>
              <w:t>rise,</w:t>
            </w:r>
            <w:r w:rsidRPr="00150EDC">
              <w:rPr>
                <w:spacing w:val="-3"/>
                <w:sz w:val="24"/>
              </w:rPr>
              <w:t xml:space="preserve"> </w:t>
            </w:r>
            <w:r w:rsidRPr="00150EDC">
              <w:rPr>
                <w:sz w:val="24"/>
              </w:rPr>
              <w:t>on</w:t>
            </w:r>
            <w:r w:rsidRPr="00150EDC">
              <w:rPr>
                <w:spacing w:val="-2"/>
                <w:sz w:val="24"/>
              </w:rPr>
              <w:t xml:space="preserve"> </w:t>
            </w:r>
            <w:r w:rsidRPr="00150EDC">
              <w:rPr>
                <w:sz w:val="24"/>
              </w:rPr>
              <w:t>or</w:t>
            </w:r>
            <w:r w:rsidRPr="00150EDC">
              <w:rPr>
                <w:spacing w:val="-3"/>
                <w:sz w:val="24"/>
              </w:rPr>
              <w:t xml:space="preserve"> </w:t>
            </w:r>
            <w:r w:rsidRPr="00150EDC">
              <w:rPr>
                <w:sz w:val="24"/>
              </w:rPr>
              <w:t>after 1 April 2013, to a criminal conviction in any jurisdiction for Tax related offences which is not spent at the Start Date or to a civil penalty for fraud or evasion;</w:t>
            </w:r>
          </w:p>
        </w:tc>
      </w:tr>
      <w:tr w:rsidR="007D3144" w:rsidRPr="007D3144" w14:paraId="2315A9F9" w14:textId="77777777">
        <w:trPr>
          <w:trHeight w:val="1775"/>
        </w:trPr>
        <w:tc>
          <w:tcPr>
            <w:tcW w:w="2264" w:type="dxa"/>
          </w:tcPr>
          <w:p w14:paraId="231B618A" w14:textId="77777777" w:rsidR="004C7180" w:rsidRPr="00150EDC" w:rsidRDefault="00CF0754">
            <w:pPr>
              <w:pStyle w:val="TableParagraph"/>
              <w:spacing w:before="0" w:line="240" w:lineRule="auto"/>
              <w:ind w:left="-1" w:right="224"/>
              <w:rPr>
                <w:b/>
                <w:sz w:val="24"/>
              </w:rPr>
            </w:pPr>
            <w:r w:rsidRPr="00150EDC">
              <w:rPr>
                <w:b/>
                <w:sz w:val="24"/>
              </w:rPr>
              <w:t>"Open</w:t>
            </w:r>
            <w:r w:rsidRPr="00150EDC">
              <w:rPr>
                <w:b/>
                <w:spacing w:val="-17"/>
                <w:sz w:val="24"/>
              </w:rPr>
              <w:t xml:space="preserve"> </w:t>
            </w:r>
            <w:r w:rsidRPr="00150EDC">
              <w:rPr>
                <w:b/>
                <w:sz w:val="24"/>
              </w:rPr>
              <w:t>Book</w:t>
            </w:r>
            <w:r w:rsidRPr="00150EDC">
              <w:rPr>
                <w:b/>
                <w:spacing w:val="-17"/>
                <w:sz w:val="24"/>
              </w:rPr>
              <w:t xml:space="preserve"> </w:t>
            </w:r>
            <w:r w:rsidRPr="00150EDC">
              <w:rPr>
                <w:b/>
                <w:sz w:val="24"/>
              </w:rPr>
              <w:t xml:space="preserve">Data </w:t>
            </w:r>
            <w:r w:rsidRPr="00150EDC">
              <w:rPr>
                <w:b/>
                <w:spacing w:val="-10"/>
                <w:sz w:val="24"/>
              </w:rPr>
              <w:t>"</w:t>
            </w:r>
          </w:p>
        </w:tc>
        <w:tc>
          <w:tcPr>
            <w:tcW w:w="7484" w:type="dxa"/>
          </w:tcPr>
          <w:p w14:paraId="6C79C1D3" w14:textId="77777777" w:rsidR="004C7180" w:rsidRPr="00150EDC" w:rsidRDefault="00CF0754">
            <w:pPr>
              <w:pStyle w:val="TableParagraph"/>
              <w:spacing w:before="0" w:line="240" w:lineRule="auto"/>
              <w:ind w:left="277" w:right="93"/>
              <w:jc w:val="both"/>
              <w:rPr>
                <w:sz w:val="24"/>
              </w:rPr>
            </w:pPr>
            <w:r w:rsidRPr="00150EDC">
              <w:rPr>
                <w:sz w:val="24"/>
              </w:rPr>
              <w:t>complete</w:t>
            </w:r>
            <w:r w:rsidRPr="00150EDC">
              <w:rPr>
                <w:spacing w:val="-17"/>
                <w:sz w:val="24"/>
              </w:rPr>
              <w:t xml:space="preserve"> </w:t>
            </w:r>
            <w:r w:rsidRPr="00150EDC">
              <w:rPr>
                <w:sz w:val="24"/>
              </w:rPr>
              <w:t>and</w:t>
            </w:r>
            <w:r w:rsidRPr="00150EDC">
              <w:rPr>
                <w:spacing w:val="-17"/>
                <w:sz w:val="24"/>
              </w:rPr>
              <w:t xml:space="preserve"> </w:t>
            </w:r>
            <w:r w:rsidRPr="00150EDC">
              <w:rPr>
                <w:sz w:val="24"/>
              </w:rPr>
              <w:t>accurate</w:t>
            </w:r>
            <w:r w:rsidRPr="00150EDC">
              <w:rPr>
                <w:spacing w:val="-16"/>
                <w:sz w:val="24"/>
              </w:rPr>
              <w:t xml:space="preserve"> </w:t>
            </w:r>
            <w:r w:rsidRPr="00150EDC">
              <w:rPr>
                <w:sz w:val="24"/>
              </w:rPr>
              <w:t>financial</w:t>
            </w:r>
            <w:r w:rsidRPr="00150EDC">
              <w:rPr>
                <w:spacing w:val="-17"/>
                <w:sz w:val="24"/>
              </w:rPr>
              <w:t xml:space="preserve"> </w:t>
            </w:r>
            <w:r w:rsidRPr="00150EDC">
              <w:rPr>
                <w:sz w:val="24"/>
              </w:rPr>
              <w:t>and</w:t>
            </w:r>
            <w:r w:rsidRPr="00150EDC">
              <w:rPr>
                <w:spacing w:val="-17"/>
                <w:sz w:val="24"/>
              </w:rPr>
              <w:t xml:space="preserve"> </w:t>
            </w:r>
            <w:r w:rsidRPr="00150EDC">
              <w:rPr>
                <w:sz w:val="24"/>
              </w:rPr>
              <w:t>non-financial</w:t>
            </w:r>
            <w:r w:rsidRPr="00150EDC">
              <w:rPr>
                <w:spacing w:val="-17"/>
                <w:sz w:val="24"/>
              </w:rPr>
              <w:t xml:space="preserve"> </w:t>
            </w:r>
            <w:r w:rsidRPr="00150EDC">
              <w:rPr>
                <w:sz w:val="24"/>
              </w:rPr>
              <w:t>information</w:t>
            </w:r>
            <w:r w:rsidRPr="00150EDC">
              <w:rPr>
                <w:spacing w:val="-16"/>
                <w:sz w:val="24"/>
              </w:rPr>
              <w:t xml:space="preserve"> </w:t>
            </w:r>
            <w:r w:rsidRPr="00150EDC">
              <w:rPr>
                <w:sz w:val="24"/>
              </w:rPr>
              <w:t>which is sufficient to enable the Buyer to verify the Charges already paid or</w:t>
            </w:r>
            <w:r w:rsidRPr="00150EDC">
              <w:rPr>
                <w:spacing w:val="-8"/>
                <w:sz w:val="24"/>
              </w:rPr>
              <w:t xml:space="preserve"> </w:t>
            </w:r>
            <w:r w:rsidRPr="00150EDC">
              <w:rPr>
                <w:sz w:val="24"/>
              </w:rPr>
              <w:t>payable</w:t>
            </w:r>
            <w:r w:rsidRPr="00150EDC">
              <w:rPr>
                <w:spacing w:val="-10"/>
                <w:sz w:val="24"/>
              </w:rPr>
              <w:t xml:space="preserve"> </w:t>
            </w:r>
            <w:r w:rsidRPr="00150EDC">
              <w:rPr>
                <w:sz w:val="24"/>
              </w:rPr>
              <w:t>and</w:t>
            </w:r>
            <w:r w:rsidRPr="00150EDC">
              <w:rPr>
                <w:spacing w:val="-9"/>
                <w:sz w:val="24"/>
              </w:rPr>
              <w:t xml:space="preserve"> </w:t>
            </w:r>
            <w:r w:rsidRPr="00150EDC">
              <w:rPr>
                <w:sz w:val="24"/>
              </w:rPr>
              <w:t>Charges</w:t>
            </w:r>
            <w:r w:rsidRPr="00150EDC">
              <w:rPr>
                <w:spacing w:val="-8"/>
                <w:sz w:val="24"/>
              </w:rPr>
              <w:t xml:space="preserve"> </w:t>
            </w:r>
            <w:r w:rsidRPr="00150EDC">
              <w:rPr>
                <w:sz w:val="24"/>
              </w:rPr>
              <w:t>forecast</w:t>
            </w:r>
            <w:r w:rsidRPr="00150EDC">
              <w:rPr>
                <w:spacing w:val="-10"/>
                <w:sz w:val="24"/>
              </w:rPr>
              <w:t xml:space="preserve"> </w:t>
            </w:r>
            <w:r w:rsidRPr="00150EDC">
              <w:rPr>
                <w:sz w:val="24"/>
              </w:rPr>
              <w:t>to</w:t>
            </w:r>
            <w:r w:rsidRPr="00150EDC">
              <w:rPr>
                <w:spacing w:val="-9"/>
                <w:sz w:val="24"/>
              </w:rPr>
              <w:t xml:space="preserve"> </w:t>
            </w:r>
            <w:r w:rsidRPr="00150EDC">
              <w:rPr>
                <w:sz w:val="24"/>
              </w:rPr>
              <w:t>be</w:t>
            </w:r>
            <w:r w:rsidRPr="00150EDC">
              <w:rPr>
                <w:spacing w:val="-9"/>
                <w:sz w:val="24"/>
              </w:rPr>
              <w:t xml:space="preserve"> </w:t>
            </w:r>
            <w:r w:rsidRPr="00150EDC">
              <w:rPr>
                <w:sz w:val="24"/>
              </w:rPr>
              <w:t>paid</w:t>
            </w:r>
            <w:r w:rsidRPr="00150EDC">
              <w:rPr>
                <w:spacing w:val="-10"/>
                <w:sz w:val="24"/>
              </w:rPr>
              <w:t xml:space="preserve"> </w:t>
            </w:r>
            <w:r w:rsidRPr="00150EDC">
              <w:rPr>
                <w:sz w:val="24"/>
              </w:rPr>
              <w:t>during</w:t>
            </w:r>
            <w:r w:rsidRPr="00150EDC">
              <w:rPr>
                <w:spacing w:val="-7"/>
                <w:sz w:val="24"/>
              </w:rPr>
              <w:t xml:space="preserve"> </w:t>
            </w:r>
            <w:r w:rsidRPr="00150EDC">
              <w:rPr>
                <w:sz w:val="24"/>
              </w:rPr>
              <w:t>the</w:t>
            </w:r>
            <w:r w:rsidRPr="00150EDC">
              <w:rPr>
                <w:spacing w:val="-7"/>
                <w:sz w:val="24"/>
              </w:rPr>
              <w:t xml:space="preserve"> </w:t>
            </w:r>
            <w:r w:rsidRPr="00150EDC">
              <w:rPr>
                <w:sz w:val="24"/>
              </w:rPr>
              <w:t>remainder</w:t>
            </w:r>
            <w:r w:rsidRPr="00150EDC">
              <w:rPr>
                <w:spacing w:val="-8"/>
                <w:sz w:val="24"/>
              </w:rPr>
              <w:t xml:space="preserve"> </w:t>
            </w:r>
            <w:r w:rsidRPr="00150EDC">
              <w:rPr>
                <w:sz w:val="24"/>
              </w:rPr>
              <w:t>of the</w:t>
            </w:r>
            <w:r w:rsidRPr="00150EDC">
              <w:rPr>
                <w:spacing w:val="-16"/>
                <w:sz w:val="24"/>
              </w:rPr>
              <w:t xml:space="preserve"> </w:t>
            </w:r>
            <w:r w:rsidRPr="00150EDC">
              <w:rPr>
                <w:sz w:val="24"/>
              </w:rPr>
              <w:t>Order</w:t>
            </w:r>
            <w:r w:rsidRPr="00150EDC">
              <w:rPr>
                <w:spacing w:val="-17"/>
                <w:sz w:val="24"/>
              </w:rPr>
              <w:t xml:space="preserve"> </w:t>
            </w:r>
            <w:r w:rsidRPr="00150EDC">
              <w:rPr>
                <w:sz w:val="24"/>
              </w:rPr>
              <w:t>Contract,</w:t>
            </w:r>
            <w:r w:rsidRPr="00150EDC">
              <w:rPr>
                <w:spacing w:val="-14"/>
                <w:sz w:val="24"/>
              </w:rPr>
              <w:t xml:space="preserve"> </w:t>
            </w:r>
            <w:r w:rsidRPr="00150EDC">
              <w:rPr>
                <w:sz w:val="24"/>
              </w:rPr>
              <w:t>including</w:t>
            </w:r>
            <w:r w:rsidRPr="00150EDC">
              <w:rPr>
                <w:spacing w:val="-17"/>
                <w:sz w:val="24"/>
              </w:rPr>
              <w:t xml:space="preserve"> </w:t>
            </w:r>
            <w:r w:rsidRPr="00150EDC">
              <w:rPr>
                <w:sz w:val="24"/>
              </w:rPr>
              <w:t>details</w:t>
            </w:r>
            <w:r w:rsidRPr="00150EDC">
              <w:rPr>
                <w:spacing w:val="-16"/>
                <w:sz w:val="24"/>
              </w:rPr>
              <w:t xml:space="preserve"> </w:t>
            </w:r>
            <w:r w:rsidRPr="00150EDC">
              <w:rPr>
                <w:sz w:val="24"/>
              </w:rPr>
              <w:t>and</w:t>
            </w:r>
            <w:r w:rsidRPr="00150EDC">
              <w:rPr>
                <w:spacing w:val="-15"/>
                <w:sz w:val="24"/>
              </w:rPr>
              <w:t xml:space="preserve"> </w:t>
            </w:r>
            <w:r w:rsidRPr="00150EDC">
              <w:rPr>
                <w:sz w:val="24"/>
              </w:rPr>
              <w:t>all</w:t>
            </w:r>
            <w:r w:rsidRPr="00150EDC">
              <w:rPr>
                <w:spacing w:val="-16"/>
                <w:sz w:val="24"/>
              </w:rPr>
              <w:t xml:space="preserve"> </w:t>
            </w:r>
            <w:r w:rsidRPr="00150EDC">
              <w:rPr>
                <w:sz w:val="24"/>
              </w:rPr>
              <w:t>assumptions</w:t>
            </w:r>
            <w:r w:rsidRPr="00150EDC">
              <w:rPr>
                <w:spacing w:val="-16"/>
                <w:sz w:val="24"/>
              </w:rPr>
              <w:t xml:space="preserve"> </w:t>
            </w:r>
            <w:r w:rsidRPr="00150EDC">
              <w:rPr>
                <w:sz w:val="24"/>
              </w:rPr>
              <w:t>relating</w:t>
            </w:r>
            <w:r w:rsidRPr="00150EDC">
              <w:rPr>
                <w:spacing w:val="-16"/>
                <w:sz w:val="24"/>
              </w:rPr>
              <w:t xml:space="preserve"> </w:t>
            </w:r>
            <w:r w:rsidRPr="00150EDC">
              <w:rPr>
                <w:spacing w:val="-5"/>
                <w:sz w:val="24"/>
              </w:rPr>
              <w:t>to:</w:t>
            </w:r>
          </w:p>
          <w:p w14:paraId="160D9B90" w14:textId="77777777" w:rsidR="004C7180" w:rsidRPr="00150EDC" w:rsidRDefault="00CF0754">
            <w:pPr>
              <w:pStyle w:val="TableParagraph"/>
              <w:spacing w:before="100" w:line="270" w:lineRule="atLeast"/>
              <w:ind w:left="539" w:right="99" w:hanging="288"/>
              <w:jc w:val="both"/>
              <w:rPr>
                <w:sz w:val="24"/>
              </w:rPr>
            </w:pPr>
            <w:r w:rsidRPr="00150EDC">
              <w:rPr>
                <w:sz w:val="24"/>
              </w:rPr>
              <w:t>y) the Supplier’s Costs broken down against each Good and/or Service</w:t>
            </w:r>
            <w:r w:rsidRPr="00150EDC">
              <w:rPr>
                <w:spacing w:val="17"/>
                <w:sz w:val="24"/>
              </w:rPr>
              <w:t xml:space="preserve"> </w:t>
            </w:r>
            <w:r w:rsidRPr="00150EDC">
              <w:rPr>
                <w:sz w:val="24"/>
              </w:rPr>
              <w:t>and/or</w:t>
            </w:r>
            <w:r w:rsidRPr="00150EDC">
              <w:rPr>
                <w:spacing w:val="19"/>
                <w:sz w:val="24"/>
              </w:rPr>
              <w:t xml:space="preserve"> </w:t>
            </w:r>
            <w:r w:rsidRPr="00150EDC">
              <w:rPr>
                <w:sz w:val="24"/>
              </w:rPr>
              <w:t>Deliverable,</w:t>
            </w:r>
            <w:r w:rsidRPr="00150EDC">
              <w:rPr>
                <w:spacing w:val="20"/>
                <w:sz w:val="24"/>
              </w:rPr>
              <w:t xml:space="preserve"> </w:t>
            </w:r>
            <w:r w:rsidRPr="00150EDC">
              <w:rPr>
                <w:sz w:val="24"/>
              </w:rPr>
              <w:t>including</w:t>
            </w:r>
            <w:r w:rsidRPr="00150EDC">
              <w:rPr>
                <w:spacing w:val="19"/>
                <w:sz w:val="24"/>
              </w:rPr>
              <w:t xml:space="preserve"> </w:t>
            </w:r>
            <w:r w:rsidRPr="00150EDC">
              <w:rPr>
                <w:sz w:val="24"/>
              </w:rPr>
              <w:t>actual</w:t>
            </w:r>
            <w:r w:rsidRPr="00150EDC">
              <w:rPr>
                <w:spacing w:val="17"/>
                <w:sz w:val="24"/>
              </w:rPr>
              <w:t xml:space="preserve"> </w:t>
            </w:r>
            <w:r w:rsidRPr="00150EDC">
              <w:rPr>
                <w:sz w:val="24"/>
              </w:rPr>
              <w:t>capital</w:t>
            </w:r>
            <w:r w:rsidRPr="00150EDC">
              <w:rPr>
                <w:spacing w:val="18"/>
                <w:sz w:val="24"/>
              </w:rPr>
              <w:t xml:space="preserve"> </w:t>
            </w:r>
            <w:r w:rsidRPr="00150EDC">
              <w:rPr>
                <w:spacing w:val="-2"/>
                <w:sz w:val="24"/>
              </w:rPr>
              <w:t>expenditure</w:t>
            </w:r>
          </w:p>
        </w:tc>
      </w:tr>
    </w:tbl>
    <w:p w14:paraId="112673F3" w14:textId="77777777" w:rsidR="004C7180" w:rsidRPr="00150EDC" w:rsidRDefault="004C7180">
      <w:pPr>
        <w:spacing w:line="270" w:lineRule="atLeast"/>
        <w:jc w:val="both"/>
        <w:rPr>
          <w:sz w:val="24"/>
        </w:rPr>
        <w:sectPr w:rsidR="004C7180" w:rsidRPr="00150EDC">
          <w:pgSz w:w="11910" w:h="16840"/>
          <w:pgMar w:top="1160" w:right="0" w:bottom="1460" w:left="40" w:header="715" w:footer="1208" w:gutter="0"/>
          <w:cols w:space="720"/>
        </w:sectPr>
      </w:pPr>
    </w:p>
    <w:p w14:paraId="0B3AF77D" w14:textId="77777777" w:rsidR="004C7180" w:rsidRPr="00150EDC" w:rsidRDefault="004C7180">
      <w:pPr>
        <w:pStyle w:val="BodyText"/>
        <w:spacing w:before="7"/>
        <w:rPr>
          <w:sz w:val="23"/>
        </w:rPr>
      </w:pPr>
    </w:p>
    <w:tbl>
      <w:tblPr>
        <w:tblW w:w="0" w:type="auto"/>
        <w:tblInd w:w="1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4"/>
        <w:gridCol w:w="7484"/>
      </w:tblGrid>
      <w:tr w:rsidR="007D3144" w:rsidRPr="007D3144" w14:paraId="474F0003" w14:textId="77777777">
        <w:trPr>
          <w:trHeight w:val="8065"/>
        </w:trPr>
        <w:tc>
          <w:tcPr>
            <w:tcW w:w="2264" w:type="dxa"/>
          </w:tcPr>
          <w:p w14:paraId="70353173" w14:textId="77777777" w:rsidR="004C7180" w:rsidRPr="00150EDC" w:rsidRDefault="004C7180">
            <w:pPr>
              <w:pStyle w:val="TableParagraph"/>
              <w:spacing w:before="0" w:line="240" w:lineRule="auto"/>
              <w:ind w:left="0"/>
              <w:rPr>
                <w:rFonts w:ascii="Times New Roman"/>
              </w:rPr>
            </w:pPr>
          </w:p>
        </w:tc>
        <w:tc>
          <w:tcPr>
            <w:tcW w:w="7484" w:type="dxa"/>
          </w:tcPr>
          <w:p w14:paraId="43B70E13" w14:textId="77777777" w:rsidR="004C7180" w:rsidRPr="00150EDC" w:rsidRDefault="00CF0754">
            <w:pPr>
              <w:pStyle w:val="TableParagraph"/>
              <w:spacing w:before="0" w:line="240" w:lineRule="auto"/>
              <w:ind w:left="539" w:right="101"/>
              <w:jc w:val="both"/>
              <w:rPr>
                <w:sz w:val="24"/>
              </w:rPr>
            </w:pPr>
            <w:r w:rsidRPr="00150EDC">
              <w:rPr>
                <w:sz w:val="24"/>
              </w:rPr>
              <w:t>(including capital replacement costs) and the unit cost and total actual costs of all Deliverables;</w:t>
            </w:r>
          </w:p>
          <w:p w14:paraId="60A3CE22" w14:textId="77777777" w:rsidR="004C7180" w:rsidRPr="00150EDC" w:rsidRDefault="00CF0754" w:rsidP="00B320C7">
            <w:pPr>
              <w:pStyle w:val="TableParagraph"/>
              <w:numPr>
                <w:ilvl w:val="0"/>
                <w:numId w:val="112"/>
              </w:numPr>
              <w:tabs>
                <w:tab w:val="left" w:pos="539"/>
              </w:tabs>
              <w:spacing w:before="120" w:line="240" w:lineRule="auto"/>
              <w:ind w:right="99"/>
              <w:jc w:val="both"/>
              <w:rPr>
                <w:sz w:val="24"/>
              </w:rPr>
            </w:pPr>
            <w:r w:rsidRPr="00150EDC">
              <w:rPr>
                <w:sz w:val="24"/>
              </w:rPr>
              <w:t>operating</w:t>
            </w:r>
            <w:r w:rsidRPr="00150EDC">
              <w:rPr>
                <w:spacing w:val="-17"/>
                <w:sz w:val="24"/>
              </w:rPr>
              <w:t xml:space="preserve"> </w:t>
            </w:r>
            <w:r w:rsidRPr="00150EDC">
              <w:rPr>
                <w:sz w:val="24"/>
              </w:rPr>
              <w:t>expenditure</w:t>
            </w:r>
            <w:r w:rsidRPr="00150EDC">
              <w:rPr>
                <w:spacing w:val="-17"/>
                <w:sz w:val="24"/>
              </w:rPr>
              <w:t xml:space="preserve"> </w:t>
            </w:r>
            <w:r w:rsidRPr="00150EDC">
              <w:rPr>
                <w:sz w:val="24"/>
              </w:rPr>
              <w:t>relating</w:t>
            </w:r>
            <w:r w:rsidRPr="00150EDC">
              <w:rPr>
                <w:spacing w:val="-16"/>
                <w:sz w:val="24"/>
              </w:rPr>
              <w:t xml:space="preserve"> </w:t>
            </w:r>
            <w:r w:rsidRPr="00150EDC">
              <w:rPr>
                <w:sz w:val="24"/>
              </w:rPr>
              <w:t>to</w:t>
            </w:r>
            <w:r w:rsidRPr="00150EDC">
              <w:rPr>
                <w:spacing w:val="-15"/>
                <w:sz w:val="24"/>
              </w:rPr>
              <w:t xml:space="preserve"> </w:t>
            </w:r>
            <w:r w:rsidRPr="00150EDC">
              <w:rPr>
                <w:sz w:val="24"/>
              </w:rPr>
              <w:t>the</w:t>
            </w:r>
            <w:r w:rsidRPr="00150EDC">
              <w:rPr>
                <w:spacing w:val="-17"/>
                <w:sz w:val="24"/>
              </w:rPr>
              <w:t xml:space="preserve"> </w:t>
            </w:r>
            <w:r w:rsidRPr="00150EDC">
              <w:rPr>
                <w:sz w:val="24"/>
              </w:rPr>
              <w:t>provision</w:t>
            </w:r>
            <w:r w:rsidRPr="00150EDC">
              <w:rPr>
                <w:spacing w:val="-17"/>
                <w:sz w:val="24"/>
              </w:rPr>
              <w:t xml:space="preserve"> </w:t>
            </w:r>
            <w:r w:rsidRPr="00150EDC">
              <w:rPr>
                <w:sz w:val="24"/>
              </w:rPr>
              <w:t>of</w:t>
            </w:r>
            <w:r w:rsidRPr="00150EDC">
              <w:rPr>
                <w:spacing w:val="-15"/>
                <w:sz w:val="24"/>
              </w:rPr>
              <w:t xml:space="preserve"> </w:t>
            </w:r>
            <w:r w:rsidRPr="00150EDC">
              <w:rPr>
                <w:sz w:val="24"/>
              </w:rPr>
              <w:t>the</w:t>
            </w:r>
            <w:r w:rsidRPr="00150EDC">
              <w:rPr>
                <w:spacing w:val="-16"/>
                <w:sz w:val="24"/>
              </w:rPr>
              <w:t xml:space="preserve"> </w:t>
            </w:r>
            <w:r w:rsidRPr="00150EDC">
              <w:rPr>
                <w:sz w:val="24"/>
              </w:rPr>
              <w:t>Deliverables including an analysis showing:</w:t>
            </w:r>
          </w:p>
          <w:p w14:paraId="0727E963" w14:textId="77777777" w:rsidR="004C7180" w:rsidRPr="00150EDC" w:rsidRDefault="00CF0754" w:rsidP="00B320C7">
            <w:pPr>
              <w:pStyle w:val="TableParagraph"/>
              <w:numPr>
                <w:ilvl w:val="1"/>
                <w:numId w:val="112"/>
              </w:numPr>
              <w:tabs>
                <w:tab w:val="left" w:pos="899"/>
              </w:tabs>
              <w:spacing w:before="120" w:line="240" w:lineRule="auto"/>
              <w:ind w:right="100"/>
              <w:jc w:val="both"/>
              <w:rPr>
                <w:sz w:val="24"/>
              </w:rPr>
            </w:pPr>
            <w:r w:rsidRPr="00150EDC">
              <w:rPr>
                <w:sz w:val="24"/>
              </w:rPr>
              <w:t>the unit costs and quantity of Goods and any other consumables and bought-in Deliverables;</w:t>
            </w:r>
          </w:p>
          <w:p w14:paraId="2131382F" w14:textId="77777777" w:rsidR="004C7180" w:rsidRPr="00150EDC" w:rsidRDefault="00CF0754" w:rsidP="00B320C7">
            <w:pPr>
              <w:pStyle w:val="TableParagraph"/>
              <w:numPr>
                <w:ilvl w:val="1"/>
                <w:numId w:val="112"/>
              </w:numPr>
              <w:tabs>
                <w:tab w:val="left" w:pos="897"/>
                <w:tab w:val="left" w:pos="899"/>
              </w:tabs>
              <w:spacing w:before="121" w:line="240" w:lineRule="auto"/>
              <w:ind w:right="101"/>
              <w:jc w:val="both"/>
              <w:rPr>
                <w:sz w:val="24"/>
              </w:rPr>
            </w:pPr>
            <w:r w:rsidRPr="00150EDC">
              <w:rPr>
                <w:sz w:val="24"/>
              </w:rPr>
              <w:t>staff</w:t>
            </w:r>
            <w:r w:rsidRPr="00150EDC">
              <w:rPr>
                <w:spacing w:val="-1"/>
                <w:sz w:val="24"/>
              </w:rPr>
              <w:t xml:space="preserve"> </w:t>
            </w:r>
            <w:r w:rsidRPr="00150EDC">
              <w:rPr>
                <w:sz w:val="24"/>
              </w:rPr>
              <w:t>costs</w:t>
            </w:r>
            <w:r w:rsidRPr="00150EDC">
              <w:rPr>
                <w:spacing w:val="-4"/>
                <w:sz w:val="24"/>
              </w:rPr>
              <w:t xml:space="preserve"> </w:t>
            </w:r>
            <w:r w:rsidRPr="00150EDC">
              <w:rPr>
                <w:sz w:val="24"/>
              </w:rPr>
              <w:t>broken</w:t>
            </w:r>
            <w:r w:rsidRPr="00150EDC">
              <w:rPr>
                <w:spacing w:val="-1"/>
                <w:sz w:val="24"/>
              </w:rPr>
              <w:t xml:space="preserve"> </w:t>
            </w:r>
            <w:r w:rsidRPr="00150EDC">
              <w:rPr>
                <w:sz w:val="24"/>
              </w:rPr>
              <w:t>down</w:t>
            </w:r>
            <w:r w:rsidRPr="00150EDC">
              <w:rPr>
                <w:spacing w:val="-1"/>
                <w:sz w:val="24"/>
              </w:rPr>
              <w:t xml:space="preserve"> </w:t>
            </w:r>
            <w:r w:rsidRPr="00150EDC">
              <w:rPr>
                <w:sz w:val="24"/>
              </w:rPr>
              <w:t>into</w:t>
            </w:r>
            <w:r w:rsidRPr="00150EDC">
              <w:rPr>
                <w:spacing w:val="-1"/>
                <w:sz w:val="24"/>
              </w:rPr>
              <w:t xml:space="preserve"> </w:t>
            </w:r>
            <w:r w:rsidRPr="00150EDC">
              <w:rPr>
                <w:sz w:val="24"/>
              </w:rPr>
              <w:t>the</w:t>
            </w:r>
            <w:r w:rsidRPr="00150EDC">
              <w:rPr>
                <w:spacing w:val="-1"/>
                <w:sz w:val="24"/>
              </w:rPr>
              <w:t xml:space="preserve"> </w:t>
            </w:r>
            <w:r w:rsidRPr="00150EDC">
              <w:rPr>
                <w:sz w:val="24"/>
              </w:rPr>
              <w:t>number</w:t>
            </w:r>
            <w:r w:rsidRPr="00150EDC">
              <w:rPr>
                <w:spacing w:val="-3"/>
                <w:sz w:val="24"/>
              </w:rPr>
              <w:t xml:space="preserve"> </w:t>
            </w:r>
            <w:r w:rsidRPr="00150EDC">
              <w:rPr>
                <w:sz w:val="24"/>
              </w:rPr>
              <w:t>and</w:t>
            </w:r>
            <w:r w:rsidRPr="00150EDC">
              <w:rPr>
                <w:spacing w:val="-4"/>
                <w:sz w:val="24"/>
              </w:rPr>
              <w:t xml:space="preserve"> </w:t>
            </w:r>
            <w:r w:rsidRPr="00150EDC">
              <w:rPr>
                <w:sz w:val="24"/>
              </w:rPr>
              <w:t>grade/role of all Supplier Staff (free of any contingency) together with a list of agreed rates against each grade;</w:t>
            </w:r>
          </w:p>
          <w:p w14:paraId="784525E8" w14:textId="77777777" w:rsidR="004C7180" w:rsidRPr="00150EDC" w:rsidRDefault="00CF0754" w:rsidP="00B320C7">
            <w:pPr>
              <w:pStyle w:val="TableParagraph"/>
              <w:numPr>
                <w:ilvl w:val="1"/>
                <w:numId w:val="112"/>
              </w:numPr>
              <w:tabs>
                <w:tab w:val="left" w:pos="897"/>
                <w:tab w:val="left" w:pos="899"/>
              </w:tabs>
              <w:spacing w:before="120" w:line="240" w:lineRule="auto"/>
              <w:ind w:right="100"/>
              <w:jc w:val="both"/>
              <w:rPr>
                <w:sz w:val="24"/>
              </w:rPr>
            </w:pPr>
            <w:r w:rsidRPr="00150EDC">
              <w:rPr>
                <w:sz w:val="24"/>
              </w:rPr>
              <w:t>a</w:t>
            </w:r>
            <w:r w:rsidRPr="00150EDC">
              <w:rPr>
                <w:spacing w:val="-4"/>
                <w:sz w:val="24"/>
              </w:rPr>
              <w:t xml:space="preserve"> </w:t>
            </w:r>
            <w:r w:rsidRPr="00150EDC">
              <w:rPr>
                <w:sz w:val="24"/>
              </w:rPr>
              <w:t>list</w:t>
            </w:r>
            <w:r w:rsidRPr="00150EDC">
              <w:rPr>
                <w:spacing w:val="-6"/>
                <w:sz w:val="24"/>
              </w:rPr>
              <w:t xml:space="preserve"> </w:t>
            </w:r>
            <w:r w:rsidRPr="00150EDC">
              <w:rPr>
                <w:sz w:val="24"/>
              </w:rPr>
              <w:t>of</w:t>
            </w:r>
            <w:r w:rsidRPr="00150EDC">
              <w:rPr>
                <w:spacing w:val="-4"/>
                <w:sz w:val="24"/>
              </w:rPr>
              <w:t xml:space="preserve"> </w:t>
            </w:r>
            <w:r w:rsidRPr="00150EDC">
              <w:rPr>
                <w:sz w:val="24"/>
              </w:rPr>
              <w:t>Costs</w:t>
            </w:r>
            <w:r w:rsidRPr="00150EDC">
              <w:rPr>
                <w:spacing w:val="-6"/>
                <w:sz w:val="24"/>
              </w:rPr>
              <w:t xml:space="preserve"> </w:t>
            </w:r>
            <w:r w:rsidRPr="00150EDC">
              <w:rPr>
                <w:sz w:val="24"/>
              </w:rPr>
              <w:t>underpinning</w:t>
            </w:r>
            <w:r w:rsidRPr="00150EDC">
              <w:rPr>
                <w:spacing w:val="-5"/>
                <w:sz w:val="24"/>
              </w:rPr>
              <w:t xml:space="preserve"> </w:t>
            </w:r>
            <w:r w:rsidRPr="00150EDC">
              <w:rPr>
                <w:sz w:val="24"/>
              </w:rPr>
              <w:t>those</w:t>
            </w:r>
            <w:r w:rsidRPr="00150EDC">
              <w:rPr>
                <w:spacing w:val="-4"/>
                <w:sz w:val="24"/>
              </w:rPr>
              <w:t xml:space="preserve"> </w:t>
            </w:r>
            <w:r w:rsidRPr="00150EDC">
              <w:rPr>
                <w:sz w:val="24"/>
              </w:rPr>
              <w:t>rates</w:t>
            </w:r>
            <w:r w:rsidRPr="00150EDC">
              <w:rPr>
                <w:spacing w:val="-7"/>
                <w:sz w:val="24"/>
              </w:rPr>
              <w:t xml:space="preserve"> </w:t>
            </w:r>
            <w:r w:rsidRPr="00150EDC">
              <w:rPr>
                <w:sz w:val="24"/>
              </w:rPr>
              <w:t>for</w:t>
            </w:r>
            <w:r w:rsidRPr="00150EDC">
              <w:rPr>
                <w:spacing w:val="-7"/>
                <w:sz w:val="24"/>
              </w:rPr>
              <w:t xml:space="preserve"> </w:t>
            </w:r>
            <w:r w:rsidRPr="00150EDC">
              <w:rPr>
                <w:sz w:val="24"/>
              </w:rPr>
              <w:t>each</w:t>
            </w:r>
            <w:r w:rsidRPr="00150EDC">
              <w:rPr>
                <w:spacing w:val="-4"/>
                <w:sz w:val="24"/>
              </w:rPr>
              <w:t xml:space="preserve"> </w:t>
            </w:r>
            <w:r w:rsidRPr="00150EDC">
              <w:rPr>
                <w:sz w:val="24"/>
              </w:rPr>
              <w:t>grade,</w:t>
            </w:r>
            <w:r w:rsidRPr="00150EDC">
              <w:rPr>
                <w:spacing w:val="-6"/>
                <w:sz w:val="24"/>
              </w:rPr>
              <w:t xml:space="preserve"> </w:t>
            </w:r>
            <w:r w:rsidRPr="00150EDC">
              <w:rPr>
                <w:sz w:val="24"/>
              </w:rPr>
              <w:t>being the agreed rate less the Supplier Profit Margin; and</w:t>
            </w:r>
          </w:p>
          <w:p w14:paraId="0FCC3663" w14:textId="77777777" w:rsidR="004C7180" w:rsidRPr="00150EDC" w:rsidRDefault="00CF0754" w:rsidP="00B320C7">
            <w:pPr>
              <w:pStyle w:val="TableParagraph"/>
              <w:numPr>
                <w:ilvl w:val="1"/>
                <w:numId w:val="112"/>
              </w:numPr>
              <w:tabs>
                <w:tab w:val="left" w:pos="898"/>
              </w:tabs>
              <w:spacing w:before="120" w:line="240" w:lineRule="auto"/>
              <w:ind w:left="898" w:hanging="359"/>
              <w:jc w:val="both"/>
              <w:rPr>
                <w:sz w:val="24"/>
              </w:rPr>
            </w:pPr>
            <w:r w:rsidRPr="00150EDC">
              <w:rPr>
                <w:sz w:val="24"/>
              </w:rPr>
              <w:t>Reimbursable</w:t>
            </w:r>
            <w:r w:rsidRPr="00150EDC">
              <w:rPr>
                <w:spacing w:val="-10"/>
                <w:sz w:val="24"/>
              </w:rPr>
              <w:t xml:space="preserve"> </w:t>
            </w:r>
            <w:r w:rsidRPr="00150EDC">
              <w:rPr>
                <w:sz w:val="24"/>
              </w:rPr>
              <w:t>Expenses,</w:t>
            </w:r>
            <w:r w:rsidRPr="00150EDC">
              <w:rPr>
                <w:spacing w:val="-6"/>
                <w:sz w:val="24"/>
              </w:rPr>
              <w:t xml:space="preserve"> </w:t>
            </w:r>
            <w:r w:rsidRPr="00150EDC">
              <w:rPr>
                <w:sz w:val="24"/>
              </w:rPr>
              <w:t>if</w:t>
            </w:r>
            <w:r w:rsidRPr="00150EDC">
              <w:rPr>
                <w:spacing w:val="-7"/>
                <w:sz w:val="24"/>
              </w:rPr>
              <w:t xml:space="preserve"> </w:t>
            </w:r>
            <w:r w:rsidRPr="00150EDC">
              <w:rPr>
                <w:sz w:val="24"/>
              </w:rPr>
              <w:t>allowed</w:t>
            </w:r>
            <w:r w:rsidRPr="00150EDC">
              <w:rPr>
                <w:spacing w:val="-7"/>
                <w:sz w:val="24"/>
              </w:rPr>
              <w:t xml:space="preserve"> </w:t>
            </w:r>
            <w:r w:rsidRPr="00150EDC">
              <w:rPr>
                <w:sz w:val="24"/>
              </w:rPr>
              <w:t>under</w:t>
            </w:r>
            <w:r w:rsidRPr="00150EDC">
              <w:rPr>
                <w:spacing w:val="-7"/>
                <w:sz w:val="24"/>
              </w:rPr>
              <w:t xml:space="preserve"> </w:t>
            </w:r>
            <w:r w:rsidRPr="00150EDC">
              <w:rPr>
                <w:sz w:val="24"/>
              </w:rPr>
              <w:t>the</w:t>
            </w:r>
            <w:r w:rsidRPr="00150EDC">
              <w:rPr>
                <w:spacing w:val="-7"/>
                <w:sz w:val="24"/>
              </w:rPr>
              <w:t xml:space="preserve"> </w:t>
            </w:r>
            <w:r w:rsidRPr="00150EDC">
              <w:rPr>
                <w:sz w:val="24"/>
              </w:rPr>
              <w:t>Order</w:t>
            </w:r>
            <w:r w:rsidRPr="00150EDC">
              <w:rPr>
                <w:spacing w:val="-6"/>
                <w:sz w:val="24"/>
              </w:rPr>
              <w:t xml:space="preserve"> </w:t>
            </w:r>
            <w:r w:rsidRPr="00150EDC">
              <w:rPr>
                <w:spacing w:val="-2"/>
                <w:sz w:val="24"/>
              </w:rPr>
              <w:t>Form;</w:t>
            </w:r>
          </w:p>
          <w:p w14:paraId="284F263E" w14:textId="77777777" w:rsidR="004C7180" w:rsidRPr="00150EDC" w:rsidRDefault="00CF0754" w:rsidP="00B320C7">
            <w:pPr>
              <w:pStyle w:val="TableParagraph"/>
              <w:numPr>
                <w:ilvl w:val="0"/>
                <w:numId w:val="112"/>
              </w:numPr>
              <w:tabs>
                <w:tab w:val="left" w:pos="680"/>
              </w:tabs>
              <w:spacing w:before="120" w:line="240" w:lineRule="auto"/>
              <w:ind w:left="680" w:hanging="429"/>
              <w:jc w:val="both"/>
              <w:rPr>
                <w:sz w:val="24"/>
              </w:rPr>
            </w:pPr>
            <w:r w:rsidRPr="00150EDC">
              <w:rPr>
                <w:spacing w:val="-2"/>
                <w:sz w:val="24"/>
              </w:rPr>
              <w:t>Overheads;</w:t>
            </w:r>
          </w:p>
          <w:p w14:paraId="7F7AEDCA" w14:textId="77777777" w:rsidR="004C7180" w:rsidRPr="00150EDC" w:rsidRDefault="00CF0754" w:rsidP="00B320C7">
            <w:pPr>
              <w:pStyle w:val="TableParagraph"/>
              <w:numPr>
                <w:ilvl w:val="0"/>
                <w:numId w:val="112"/>
              </w:numPr>
              <w:tabs>
                <w:tab w:val="left" w:pos="539"/>
                <w:tab w:val="left" w:pos="824"/>
              </w:tabs>
              <w:spacing w:before="120" w:line="240" w:lineRule="auto"/>
              <w:ind w:right="98"/>
              <w:jc w:val="both"/>
              <w:rPr>
                <w:sz w:val="24"/>
              </w:rPr>
            </w:pPr>
            <w:r w:rsidRPr="00150EDC">
              <w:rPr>
                <w:sz w:val="24"/>
              </w:rPr>
              <w:t>all</w:t>
            </w:r>
            <w:r w:rsidRPr="00150EDC">
              <w:rPr>
                <w:spacing w:val="-7"/>
                <w:sz w:val="24"/>
              </w:rPr>
              <w:t xml:space="preserve"> </w:t>
            </w:r>
            <w:r w:rsidRPr="00150EDC">
              <w:rPr>
                <w:sz w:val="24"/>
              </w:rPr>
              <w:t>interest,</w:t>
            </w:r>
            <w:r w:rsidRPr="00150EDC">
              <w:rPr>
                <w:spacing w:val="-8"/>
                <w:sz w:val="24"/>
              </w:rPr>
              <w:t xml:space="preserve"> </w:t>
            </w:r>
            <w:r w:rsidRPr="00150EDC">
              <w:rPr>
                <w:sz w:val="24"/>
              </w:rPr>
              <w:t>expenses</w:t>
            </w:r>
            <w:r w:rsidRPr="00150EDC">
              <w:rPr>
                <w:spacing w:val="-9"/>
                <w:sz w:val="24"/>
              </w:rPr>
              <w:t xml:space="preserve"> </w:t>
            </w:r>
            <w:r w:rsidRPr="00150EDC">
              <w:rPr>
                <w:sz w:val="24"/>
              </w:rPr>
              <w:t>and</w:t>
            </w:r>
            <w:r w:rsidRPr="00150EDC">
              <w:rPr>
                <w:spacing w:val="-8"/>
                <w:sz w:val="24"/>
              </w:rPr>
              <w:t xml:space="preserve"> </w:t>
            </w:r>
            <w:r w:rsidRPr="00150EDC">
              <w:rPr>
                <w:sz w:val="24"/>
              </w:rPr>
              <w:t>any</w:t>
            </w:r>
            <w:r w:rsidRPr="00150EDC">
              <w:rPr>
                <w:spacing w:val="-9"/>
                <w:sz w:val="24"/>
              </w:rPr>
              <w:t xml:space="preserve"> </w:t>
            </w:r>
            <w:r w:rsidRPr="00150EDC">
              <w:rPr>
                <w:sz w:val="24"/>
              </w:rPr>
              <w:t>other</w:t>
            </w:r>
            <w:r w:rsidRPr="00150EDC">
              <w:rPr>
                <w:spacing w:val="-7"/>
                <w:sz w:val="24"/>
              </w:rPr>
              <w:t xml:space="preserve"> </w:t>
            </w:r>
            <w:r w:rsidRPr="00150EDC">
              <w:rPr>
                <w:sz w:val="24"/>
              </w:rPr>
              <w:t>third</w:t>
            </w:r>
            <w:r w:rsidRPr="00150EDC">
              <w:rPr>
                <w:spacing w:val="-8"/>
                <w:sz w:val="24"/>
              </w:rPr>
              <w:t xml:space="preserve"> </w:t>
            </w:r>
            <w:r w:rsidRPr="00150EDC">
              <w:rPr>
                <w:sz w:val="24"/>
              </w:rPr>
              <w:t>party</w:t>
            </w:r>
            <w:r w:rsidRPr="00150EDC">
              <w:rPr>
                <w:spacing w:val="-9"/>
                <w:sz w:val="24"/>
              </w:rPr>
              <w:t xml:space="preserve"> </w:t>
            </w:r>
            <w:r w:rsidRPr="00150EDC">
              <w:rPr>
                <w:sz w:val="24"/>
              </w:rPr>
              <w:t>financing</w:t>
            </w:r>
            <w:r w:rsidRPr="00150EDC">
              <w:rPr>
                <w:spacing w:val="-7"/>
                <w:sz w:val="24"/>
              </w:rPr>
              <w:t xml:space="preserve"> </w:t>
            </w:r>
            <w:r w:rsidRPr="00150EDC">
              <w:rPr>
                <w:sz w:val="24"/>
              </w:rPr>
              <w:t>costs incurred in relation to the provision of the Deliverables;</w:t>
            </w:r>
          </w:p>
          <w:p w14:paraId="2A015359" w14:textId="77777777" w:rsidR="004C7180" w:rsidRPr="00150EDC" w:rsidRDefault="00CF0754" w:rsidP="00B320C7">
            <w:pPr>
              <w:pStyle w:val="TableParagraph"/>
              <w:numPr>
                <w:ilvl w:val="0"/>
                <w:numId w:val="112"/>
              </w:numPr>
              <w:tabs>
                <w:tab w:val="left" w:pos="539"/>
                <w:tab w:val="left" w:pos="826"/>
              </w:tabs>
              <w:spacing w:before="120" w:line="240" w:lineRule="auto"/>
              <w:ind w:right="101"/>
              <w:jc w:val="both"/>
              <w:rPr>
                <w:sz w:val="24"/>
              </w:rPr>
            </w:pPr>
            <w:r w:rsidRPr="00150EDC">
              <w:rPr>
                <w:sz w:val="24"/>
              </w:rPr>
              <w:t>the</w:t>
            </w:r>
            <w:r w:rsidRPr="00150EDC">
              <w:rPr>
                <w:spacing w:val="-14"/>
                <w:sz w:val="24"/>
              </w:rPr>
              <w:t xml:space="preserve"> </w:t>
            </w:r>
            <w:r w:rsidRPr="00150EDC">
              <w:rPr>
                <w:sz w:val="24"/>
              </w:rPr>
              <w:t>Supplier</w:t>
            </w:r>
            <w:r w:rsidRPr="00150EDC">
              <w:rPr>
                <w:spacing w:val="-15"/>
                <w:sz w:val="24"/>
              </w:rPr>
              <w:t xml:space="preserve"> </w:t>
            </w:r>
            <w:r w:rsidRPr="00150EDC">
              <w:rPr>
                <w:sz w:val="24"/>
              </w:rPr>
              <w:t>Profit</w:t>
            </w:r>
            <w:r w:rsidRPr="00150EDC">
              <w:rPr>
                <w:spacing w:val="-14"/>
                <w:sz w:val="24"/>
              </w:rPr>
              <w:t xml:space="preserve"> </w:t>
            </w:r>
            <w:r w:rsidRPr="00150EDC">
              <w:rPr>
                <w:sz w:val="24"/>
              </w:rPr>
              <w:t>achieved</w:t>
            </w:r>
            <w:r w:rsidRPr="00150EDC">
              <w:rPr>
                <w:spacing w:val="-16"/>
                <w:sz w:val="24"/>
              </w:rPr>
              <w:t xml:space="preserve"> </w:t>
            </w:r>
            <w:r w:rsidRPr="00150EDC">
              <w:rPr>
                <w:sz w:val="24"/>
              </w:rPr>
              <w:t>over</w:t>
            </w:r>
            <w:r w:rsidRPr="00150EDC">
              <w:rPr>
                <w:spacing w:val="-15"/>
                <w:sz w:val="24"/>
              </w:rPr>
              <w:t xml:space="preserve"> </w:t>
            </w:r>
            <w:r w:rsidRPr="00150EDC">
              <w:rPr>
                <w:sz w:val="24"/>
              </w:rPr>
              <w:t>the</w:t>
            </w:r>
            <w:r w:rsidRPr="00150EDC">
              <w:rPr>
                <w:spacing w:val="-14"/>
                <w:sz w:val="24"/>
              </w:rPr>
              <w:t xml:space="preserve"> </w:t>
            </w:r>
            <w:r w:rsidRPr="00150EDC">
              <w:rPr>
                <w:sz w:val="24"/>
              </w:rPr>
              <w:t>DPS</w:t>
            </w:r>
            <w:r w:rsidRPr="00150EDC">
              <w:rPr>
                <w:spacing w:val="-14"/>
                <w:sz w:val="24"/>
              </w:rPr>
              <w:t xml:space="preserve"> </w:t>
            </w:r>
            <w:r w:rsidRPr="00150EDC">
              <w:rPr>
                <w:sz w:val="24"/>
              </w:rPr>
              <w:t>Contract</w:t>
            </w:r>
            <w:r w:rsidRPr="00150EDC">
              <w:rPr>
                <w:spacing w:val="-13"/>
                <w:sz w:val="24"/>
              </w:rPr>
              <w:t xml:space="preserve"> </w:t>
            </w:r>
            <w:r w:rsidRPr="00150EDC">
              <w:rPr>
                <w:sz w:val="24"/>
              </w:rPr>
              <w:t>Period</w:t>
            </w:r>
            <w:r w:rsidRPr="00150EDC">
              <w:rPr>
                <w:spacing w:val="-13"/>
                <w:sz w:val="24"/>
              </w:rPr>
              <w:t xml:space="preserve"> </w:t>
            </w:r>
            <w:r w:rsidRPr="00150EDC">
              <w:rPr>
                <w:sz w:val="24"/>
              </w:rPr>
              <w:t>and on an annual basis;</w:t>
            </w:r>
          </w:p>
          <w:p w14:paraId="0FE745A4" w14:textId="77777777" w:rsidR="004C7180" w:rsidRPr="00150EDC" w:rsidRDefault="00CF0754" w:rsidP="00B320C7">
            <w:pPr>
              <w:pStyle w:val="TableParagraph"/>
              <w:numPr>
                <w:ilvl w:val="0"/>
                <w:numId w:val="112"/>
              </w:numPr>
              <w:tabs>
                <w:tab w:val="left" w:pos="539"/>
                <w:tab w:val="left" w:pos="824"/>
              </w:tabs>
              <w:spacing w:before="120" w:line="240" w:lineRule="auto"/>
              <w:ind w:right="93"/>
              <w:jc w:val="both"/>
              <w:rPr>
                <w:sz w:val="24"/>
              </w:rPr>
            </w:pPr>
            <w:r w:rsidRPr="00150EDC">
              <w:rPr>
                <w:sz w:val="24"/>
              </w:rPr>
              <w:t>confirmation that all methods of Cost apportionment and Overhead allocation are consistent with and not more onerous than such methods applied generally by the Supplier;</w:t>
            </w:r>
          </w:p>
          <w:p w14:paraId="366762EB" w14:textId="77777777" w:rsidR="004C7180" w:rsidRPr="00150EDC" w:rsidRDefault="00CF0754" w:rsidP="00B320C7">
            <w:pPr>
              <w:pStyle w:val="TableParagraph"/>
              <w:numPr>
                <w:ilvl w:val="0"/>
                <w:numId w:val="112"/>
              </w:numPr>
              <w:tabs>
                <w:tab w:val="left" w:pos="539"/>
                <w:tab w:val="left" w:pos="824"/>
              </w:tabs>
              <w:spacing w:before="120" w:line="240" w:lineRule="auto"/>
              <w:ind w:right="98"/>
              <w:jc w:val="both"/>
              <w:rPr>
                <w:sz w:val="24"/>
              </w:rPr>
            </w:pPr>
            <w:r w:rsidRPr="00150EDC">
              <w:rPr>
                <w:sz w:val="24"/>
              </w:rPr>
              <w:t>an</w:t>
            </w:r>
            <w:r w:rsidRPr="00150EDC">
              <w:rPr>
                <w:spacing w:val="-6"/>
                <w:sz w:val="24"/>
              </w:rPr>
              <w:t xml:space="preserve"> </w:t>
            </w:r>
            <w:r w:rsidRPr="00150EDC">
              <w:rPr>
                <w:sz w:val="24"/>
              </w:rPr>
              <w:t>explanation</w:t>
            </w:r>
            <w:r w:rsidRPr="00150EDC">
              <w:rPr>
                <w:spacing w:val="-6"/>
                <w:sz w:val="24"/>
              </w:rPr>
              <w:t xml:space="preserve"> </w:t>
            </w:r>
            <w:r w:rsidRPr="00150EDC">
              <w:rPr>
                <w:sz w:val="24"/>
              </w:rPr>
              <w:t>of</w:t>
            </w:r>
            <w:r w:rsidRPr="00150EDC">
              <w:rPr>
                <w:spacing w:val="-6"/>
                <w:sz w:val="24"/>
              </w:rPr>
              <w:t xml:space="preserve"> </w:t>
            </w:r>
            <w:r w:rsidRPr="00150EDC">
              <w:rPr>
                <w:sz w:val="24"/>
              </w:rPr>
              <w:t>the</w:t>
            </w:r>
            <w:r w:rsidRPr="00150EDC">
              <w:rPr>
                <w:spacing w:val="-7"/>
                <w:sz w:val="24"/>
              </w:rPr>
              <w:t xml:space="preserve"> </w:t>
            </w:r>
            <w:r w:rsidRPr="00150EDC">
              <w:rPr>
                <w:sz w:val="24"/>
              </w:rPr>
              <w:t>type</w:t>
            </w:r>
            <w:r w:rsidRPr="00150EDC">
              <w:rPr>
                <w:spacing w:val="-6"/>
                <w:sz w:val="24"/>
              </w:rPr>
              <w:t xml:space="preserve"> </w:t>
            </w:r>
            <w:r w:rsidRPr="00150EDC">
              <w:rPr>
                <w:sz w:val="24"/>
              </w:rPr>
              <w:t>and</w:t>
            </w:r>
            <w:r w:rsidRPr="00150EDC">
              <w:rPr>
                <w:spacing w:val="-6"/>
                <w:sz w:val="24"/>
              </w:rPr>
              <w:t xml:space="preserve"> </w:t>
            </w:r>
            <w:r w:rsidRPr="00150EDC">
              <w:rPr>
                <w:sz w:val="24"/>
              </w:rPr>
              <w:t>value</w:t>
            </w:r>
            <w:r w:rsidRPr="00150EDC">
              <w:rPr>
                <w:spacing w:val="-6"/>
                <w:sz w:val="24"/>
              </w:rPr>
              <w:t xml:space="preserve"> </w:t>
            </w:r>
            <w:r w:rsidRPr="00150EDC">
              <w:rPr>
                <w:sz w:val="24"/>
              </w:rPr>
              <w:t>of</w:t>
            </w:r>
            <w:r w:rsidRPr="00150EDC">
              <w:rPr>
                <w:spacing w:val="-6"/>
                <w:sz w:val="24"/>
              </w:rPr>
              <w:t xml:space="preserve"> </w:t>
            </w:r>
            <w:r w:rsidRPr="00150EDC">
              <w:rPr>
                <w:sz w:val="24"/>
              </w:rPr>
              <w:t>risk</w:t>
            </w:r>
            <w:r w:rsidRPr="00150EDC">
              <w:rPr>
                <w:spacing w:val="-6"/>
                <w:sz w:val="24"/>
              </w:rPr>
              <w:t xml:space="preserve"> </w:t>
            </w:r>
            <w:r w:rsidRPr="00150EDC">
              <w:rPr>
                <w:sz w:val="24"/>
              </w:rPr>
              <w:t>and</w:t>
            </w:r>
            <w:r w:rsidRPr="00150EDC">
              <w:rPr>
                <w:spacing w:val="-6"/>
                <w:sz w:val="24"/>
              </w:rPr>
              <w:t xml:space="preserve"> </w:t>
            </w:r>
            <w:r w:rsidRPr="00150EDC">
              <w:rPr>
                <w:sz w:val="24"/>
              </w:rPr>
              <w:t>contingencies associated with the provision of the Deliverables, including the amount</w:t>
            </w:r>
            <w:r w:rsidRPr="00150EDC">
              <w:rPr>
                <w:spacing w:val="-6"/>
                <w:sz w:val="24"/>
              </w:rPr>
              <w:t xml:space="preserve"> </w:t>
            </w:r>
            <w:r w:rsidRPr="00150EDC">
              <w:rPr>
                <w:sz w:val="24"/>
              </w:rPr>
              <w:t>of</w:t>
            </w:r>
            <w:r w:rsidRPr="00150EDC">
              <w:rPr>
                <w:spacing w:val="-6"/>
                <w:sz w:val="24"/>
              </w:rPr>
              <w:t xml:space="preserve"> </w:t>
            </w:r>
            <w:r w:rsidRPr="00150EDC">
              <w:rPr>
                <w:sz w:val="24"/>
              </w:rPr>
              <w:t>money</w:t>
            </w:r>
            <w:r w:rsidRPr="00150EDC">
              <w:rPr>
                <w:spacing w:val="-7"/>
                <w:sz w:val="24"/>
              </w:rPr>
              <w:t xml:space="preserve"> </w:t>
            </w:r>
            <w:r w:rsidRPr="00150EDC">
              <w:rPr>
                <w:sz w:val="24"/>
              </w:rPr>
              <w:t>attributed</w:t>
            </w:r>
            <w:r w:rsidRPr="00150EDC">
              <w:rPr>
                <w:spacing w:val="-6"/>
                <w:sz w:val="24"/>
              </w:rPr>
              <w:t xml:space="preserve"> </w:t>
            </w:r>
            <w:r w:rsidRPr="00150EDC">
              <w:rPr>
                <w:sz w:val="24"/>
              </w:rPr>
              <w:t>to</w:t>
            </w:r>
            <w:r w:rsidRPr="00150EDC">
              <w:rPr>
                <w:spacing w:val="-6"/>
                <w:sz w:val="24"/>
              </w:rPr>
              <w:t xml:space="preserve"> </w:t>
            </w:r>
            <w:r w:rsidRPr="00150EDC">
              <w:rPr>
                <w:sz w:val="24"/>
              </w:rPr>
              <w:t>each</w:t>
            </w:r>
            <w:r w:rsidRPr="00150EDC">
              <w:rPr>
                <w:spacing w:val="-6"/>
                <w:sz w:val="24"/>
              </w:rPr>
              <w:t xml:space="preserve"> </w:t>
            </w:r>
            <w:r w:rsidRPr="00150EDC">
              <w:rPr>
                <w:sz w:val="24"/>
              </w:rPr>
              <w:t>risk</w:t>
            </w:r>
            <w:r w:rsidRPr="00150EDC">
              <w:rPr>
                <w:spacing w:val="-4"/>
                <w:sz w:val="24"/>
              </w:rPr>
              <w:t xml:space="preserve"> </w:t>
            </w:r>
            <w:r w:rsidRPr="00150EDC">
              <w:rPr>
                <w:sz w:val="24"/>
              </w:rPr>
              <w:t>and/or</w:t>
            </w:r>
            <w:r w:rsidRPr="00150EDC">
              <w:rPr>
                <w:spacing w:val="-4"/>
                <w:sz w:val="24"/>
              </w:rPr>
              <w:t xml:space="preserve"> </w:t>
            </w:r>
            <w:r w:rsidRPr="00150EDC">
              <w:rPr>
                <w:sz w:val="24"/>
              </w:rPr>
              <w:t>contingency;</w:t>
            </w:r>
            <w:r w:rsidRPr="00150EDC">
              <w:rPr>
                <w:spacing w:val="-6"/>
                <w:sz w:val="24"/>
              </w:rPr>
              <w:t xml:space="preserve"> </w:t>
            </w:r>
            <w:r w:rsidRPr="00150EDC">
              <w:rPr>
                <w:sz w:val="24"/>
              </w:rPr>
              <w:t>and</w:t>
            </w:r>
          </w:p>
          <w:p w14:paraId="374AB002" w14:textId="77777777" w:rsidR="004C7180" w:rsidRPr="00150EDC" w:rsidRDefault="00CF0754" w:rsidP="00B320C7">
            <w:pPr>
              <w:pStyle w:val="TableParagraph"/>
              <w:numPr>
                <w:ilvl w:val="0"/>
                <w:numId w:val="112"/>
              </w:numPr>
              <w:tabs>
                <w:tab w:val="left" w:pos="537"/>
              </w:tabs>
              <w:spacing w:before="121" w:line="240" w:lineRule="auto"/>
              <w:ind w:left="537" w:hanging="286"/>
              <w:jc w:val="both"/>
              <w:rPr>
                <w:sz w:val="24"/>
              </w:rPr>
            </w:pPr>
            <w:r w:rsidRPr="00150EDC">
              <w:rPr>
                <w:sz w:val="24"/>
              </w:rPr>
              <w:t>the</w:t>
            </w:r>
            <w:r w:rsidRPr="00150EDC">
              <w:rPr>
                <w:spacing w:val="-11"/>
                <w:sz w:val="24"/>
              </w:rPr>
              <w:t xml:space="preserve"> </w:t>
            </w:r>
            <w:r w:rsidRPr="00150EDC">
              <w:rPr>
                <w:sz w:val="24"/>
              </w:rPr>
              <w:t>actual</w:t>
            </w:r>
            <w:r w:rsidRPr="00150EDC">
              <w:rPr>
                <w:spacing w:val="-9"/>
                <w:sz w:val="24"/>
              </w:rPr>
              <w:t xml:space="preserve"> </w:t>
            </w:r>
            <w:r w:rsidRPr="00150EDC">
              <w:rPr>
                <w:sz w:val="24"/>
              </w:rPr>
              <w:t>Costs</w:t>
            </w:r>
            <w:r w:rsidRPr="00150EDC">
              <w:rPr>
                <w:spacing w:val="-9"/>
                <w:sz w:val="24"/>
              </w:rPr>
              <w:t xml:space="preserve"> </w:t>
            </w:r>
            <w:r w:rsidRPr="00150EDC">
              <w:rPr>
                <w:sz w:val="24"/>
              </w:rPr>
              <w:t>profile</w:t>
            </w:r>
            <w:r w:rsidRPr="00150EDC">
              <w:rPr>
                <w:spacing w:val="-11"/>
                <w:sz w:val="24"/>
              </w:rPr>
              <w:t xml:space="preserve"> </w:t>
            </w:r>
            <w:r w:rsidRPr="00150EDC">
              <w:rPr>
                <w:sz w:val="24"/>
              </w:rPr>
              <w:t>for</w:t>
            </w:r>
            <w:r w:rsidRPr="00150EDC">
              <w:rPr>
                <w:spacing w:val="-9"/>
                <w:sz w:val="24"/>
              </w:rPr>
              <w:t xml:space="preserve"> </w:t>
            </w:r>
            <w:r w:rsidRPr="00150EDC">
              <w:rPr>
                <w:sz w:val="24"/>
              </w:rPr>
              <w:t>each</w:t>
            </w:r>
            <w:r w:rsidRPr="00150EDC">
              <w:rPr>
                <w:spacing w:val="-9"/>
                <w:sz w:val="24"/>
              </w:rPr>
              <w:t xml:space="preserve"> </w:t>
            </w:r>
            <w:r w:rsidRPr="00150EDC">
              <w:rPr>
                <w:sz w:val="24"/>
              </w:rPr>
              <w:t>Service</w:t>
            </w:r>
            <w:r w:rsidRPr="00150EDC">
              <w:rPr>
                <w:spacing w:val="-9"/>
                <w:sz w:val="24"/>
              </w:rPr>
              <w:t xml:space="preserve"> </w:t>
            </w:r>
            <w:r w:rsidRPr="00150EDC">
              <w:rPr>
                <w:spacing w:val="-2"/>
                <w:sz w:val="24"/>
              </w:rPr>
              <w:t>Period;</w:t>
            </w:r>
          </w:p>
        </w:tc>
      </w:tr>
      <w:tr w:rsidR="007D3144" w:rsidRPr="007D3144" w14:paraId="0922A767" w14:textId="77777777">
        <w:trPr>
          <w:trHeight w:val="2051"/>
        </w:trPr>
        <w:tc>
          <w:tcPr>
            <w:tcW w:w="2264" w:type="dxa"/>
          </w:tcPr>
          <w:p w14:paraId="3CC05146" w14:textId="77777777" w:rsidR="004C7180" w:rsidRPr="00150EDC" w:rsidRDefault="00CF0754">
            <w:pPr>
              <w:pStyle w:val="TableParagraph"/>
              <w:spacing w:before="0" w:line="240" w:lineRule="auto"/>
              <w:ind w:left="-1"/>
              <w:rPr>
                <w:b/>
                <w:sz w:val="24"/>
              </w:rPr>
            </w:pPr>
            <w:r w:rsidRPr="00150EDC">
              <w:rPr>
                <w:b/>
                <w:sz w:val="24"/>
              </w:rPr>
              <w:t>“Open</w:t>
            </w:r>
            <w:r w:rsidRPr="00150EDC">
              <w:rPr>
                <w:b/>
                <w:spacing w:val="-5"/>
                <w:sz w:val="24"/>
              </w:rPr>
              <w:t xml:space="preserve"> </w:t>
            </w:r>
            <w:r w:rsidRPr="00150EDC">
              <w:rPr>
                <w:b/>
                <w:spacing w:val="-2"/>
                <w:sz w:val="24"/>
              </w:rPr>
              <w:t>Licence”</w:t>
            </w:r>
          </w:p>
        </w:tc>
        <w:tc>
          <w:tcPr>
            <w:tcW w:w="7484" w:type="dxa"/>
          </w:tcPr>
          <w:p w14:paraId="38FAD0A2" w14:textId="77777777" w:rsidR="004C7180" w:rsidRPr="00150EDC" w:rsidRDefault="00CF0754">
            <w:pPr>
              <w:pStyle w:val="TableParagraph"/>
              <w:tabs>
                <w:tab w:val="left" w:pos="880"/>
              </w:tabs>
              <w:spacing w:before="0" w:line="240" w:lineRule="auto"/>
              <w:ind w:left="277" w:right="93"/>
              <w:rPr>
                <w:sz w:val="24"/>
              </w:rPr>
            </w:pPr>
            <w:r w:rsidRPr="00150EDC">
              <w:rPr>
                <w:sz w:val="24"/>
              </w:rPr>
              <w:t>means any material that is published for use, with rights to access and modify, by any person for free, under a generally recognised open</w:t>
            </w:r>
            <w:r w:rsidRPr="00150EDC">
              <w:rPr>
                <w:spacing w:val="40"/>
                <w:sz w:val="24"/>
              </w:rPr>
              <w:t xml:space="preserve"> </w:t>
            </w:r>
            <w:r w:rsidRPr="00150EDC">
              <w:rPr>
                <w:sz w:val="24"/>
              </w:rPr>
              <w:t>licence</w:t>
            </w:r>
            <w:r w:rsidRPr="00150EDC">
              <w:rPr>
                <w:spacing w:val="40"/>
                <w:sz w:val="24"/>
              </w:rPr>
              <w:t xml:space="preserve"> </w:t>
            </w:r>
            <w:r w:rsidRPr="00150EDC">
              <w:rPr>
                <w:sz w:val="24"/>
              </w:rPr>
              <w:t>including</w:t>
            </w:r>
            <w:r w:rsidRPr="00150EDC">
              <w:rPr>
                <w:spacing w:val="40"/>
                <w:sz w:val="24"/>
              </w:rPr>
              <w:t xml:space="preserve"> </w:t>
            </w:r>
            <w:r w:rsidRPr="00150EDC">
              <w:rPr>
                <w:sz w:val="24"/>
              </w:rPr>
              <w:t>Open</w:t>
            </w:r>
            <w:r w:rsidRPr="00150EDC">
              <w:rPr>
                <w:spacing w:val="40"/>
                <w:sz w:val="24"/>
              </w:rPr>
              <w:t xml:space="preserve"> </w:t>
            </w:r>
            <w:r w:rsidRPr="00150EDC">
              <w:rPr>
                <w:sz w:val="24"/>
              </w:rPr>
              <w:t>Government</w:t>
            </w:r>
            <w:r w:rsidRPr="00150EDC">
              <w:rPr>
                <w:spacing w:val="40"/>
                <w:sz w:val="24"/>
              </w:rPr>
              <w:t xml:space="preserve"> </w:t>
            </w:r>
            <w:r w:rsidRPr="00150EDC">
              <w:rPr>
                <w:sz w:val="24"/>
              </w:rPr>
              <w:t>Licence</w:t>
            </w:r>
            <w:r w:rsidRPr="00150EDC">
              <w:rPr>
                <w:spacing w:val="40"/>
                <w:sz w:val="24"/>
              </w:rPr>
              <w:t xml:space="preserve"> </w:t>
            </w:r>
            <w:r w:rsidRPr="00150EDC">
              <w:rPr>
                <w:sz w:val="24"/>
              </w:rPr>
              <w:t>as</w:t>
            </w:r>
            <w:r w:rsidRPr="00150EDC">
              <w:rPr>
                <w:spacing w:val="40"/>
                <w:sz w:val="24"/>
              </w:rPr>
              <w:t xml:space="preserve"> </w:t>
            </w:r>
            <w:r w:rsidRPr="00150EDC">
              <w:rPr>
                <w:sz w:val="24"/>
              </w:rPr>
              <w:t>set</w:t>
            </w:r>
            <w:r w:rsidRPr="00150EDC">
              <w:rPr>
                <w:spacing w:val="40"/>
                <w:sz w:val="24"/>
              </w:rPr>
              <w:t xml:space="preserve"> </w:t>
            </w:r>
            <w:r w:rsidRPr="00150EDC">
              <w:rPr>
                <w:sz w:val="24"/>
              </w:rPr>
              <w:t>out</w:t>
            </w:r>
            <w:r w:rsidRPr="00150EDC">
              <w:rPr>
                <w:spacing w:val="40"/>
                <w:sz w:val="24"/>
              </w:rPr>
              <w:t xml:space="preserve"> </w:t>
            </w:r>
            <w:r w:rsidRPr="00150EDC">
              <w:rPr>
                <w:sz w:val="24"/>
              </w:rPr>
              <w:t xml:space="preserve">at </w:t>
            </w:r>
            <w:hyperlink r:id="rId15">
              <w:r w:rsidRPr="007D3144">
                <w:rPr>
                  <w:spacing w:val="-2"/>
                  <w:sz w:val="24"/>
                  <w:u w:val="single" w:color="0000FF"/>
                </w:rPr>
                <w:t>http://www.nationalarchives.gov.uk/doc/open-government-</w:t>
              </w:r>
            </w:hyperlink>
            <w:r w:rsidRPr="007D3144">
              <w:rPr>
                <w:spacing w:val="-2"/>
                <w:sz w:val="24"/>
              </w:rPr>
              <w:t xml:space="preserve"> </w:t>
            </w:r>
            <w:hyperlink r:id="rId16">
              <w:r w:rsidRPr="007D3144">
                <w:rPr>
                  <w:sz w:val="24"/>
                  <w:u w:val="single" w:color="0000FF"/>
                </w:rPr>
                <w:t>licence/version/3/</w:t>
              </w:r>
            </w:hyperlink>
            <w:r w:rsidRPr="007D3144">
              <w:rPr>
                <w:sz w:val="24"/>
              </w:rPr>
              <w:t xml:space="preserve"> </w:t>
            </w:r>
            <w:r w:rsidRPr="00150EDC">
              <w:rPr>
                <w:sz w:val="24"/>
              </w:rPr>
              <w:t xml:space="preserve">and the Open Standards Principles documented </w:t>
            </w:r>
            <w:r w:rsidRPr="00150EDC">
              <w:rPr>
                <w:spacing w:val="-6"/>
                <w:sz w:val="24"/>
              </w:rPr>
              <w:t>at</w:t>
            </w:r>
            <w:r w:rsidRPr="00150EDC">
              <w:rPr>
                <w:sz w:val="24"/>
              </w:rPr>
              <w:tab/>
            </w:r>
            <w:hyperlink r:id="rId17">
              <w:r w:rsidRPr="007D3144">
                <w:rPr>
                  <w:spacing w:val="-2"/>
                  <w:sz w:val="24"/>
                  <w:u w:val="single" w:color="0000FF"/>
                </w:rPr>
                <w:t>https://www.gov.uk/government/publications/open-standards-</w:t>
              </w:r>
            </w:hyperlink>
            <w:r w:rsidRPr="007D3144">
              <w:rPr>
                <w:spacing w:val="-2"/>
                <w:sz w:val="24"/>
              </w:rPr>
              <w:t xml:space="preserve"> </w:t>
            </w:r>
            <w:hyperlink r:id="rId18">
              <w:r w:rsidRPr="007D3144">
                <w:rPr>
                  <w:spacing w:val="-2"/>
                  <w:sz w:val="24"/>
                  <w:u w:val="single" w:color="0000FF"/>
                </w:rPr>
                <w:t>principles/open-standards-principles</w:t>
              </w:r>
            </w:hyperlink>
            <w:r w:rsidRPr="00150EDC">
              <w:rPr>
                <w:spacing w:val="-2"/>
                <w:sz w:val="24"/>
              </w:rPr>
              <w:t>;</w:t>
            </w:r>
          </w:p>
        </w:tc>
      </w:tr>
      <w:tr w:rsidR="007D3144" w:rsidRPr="007D3144" w14:paraId="72D11DE9" w14:textId="77777777">
        <w:trPr>
          <w:trHeight w:val="671"/>
        </w:trPr>
        <w:tc>
          <w:tcPr>
            <w:tcW w:w="2264" w:type="dxa"/>
          </w:tcPr>
          <w:p w14:paraId="117CD803" w14:textId="77777777" w:rsidR="004C7180" w:rsidRPr="00150EDC" w:rsidRDefault="00CF0754">
            <w:pPr>
              <w:pStyle w:val="TableParagraph"/>
              <w:spacing w:before="0" w:line="240" w:lineRule="auto"/>
              <w:ind w:left="-1"/>
              <w:rPr>
                <w:b/>
                <w:sz w:val="24"/>
              </w:rPr>
            </w:pPr>
            <w:r w:rsidRPr="00150EDC">
              <w:rPr>
                <w:b/>
                <w:spacing w:val="-2"/>
                <w:sz w:val="24"/>
              </w:rPr>
              <w:t>"Order"</w:t>
            </w:r>
          </w:p>
        </w:tc>
        <w:tc>
          <w:tcPr>
            <w:tcW w:w="7484" w:type="dxa"/>
          </w:tcPr>
          <w:p w14:paraId="7D77AA67" w14:textId="77777777" w:rsidR="004C7180" w:rsidRPr="00150EDC" w:rsidRDefault="00CF0754">
            <w:pPr>
              <w:pStyle w:val="TableParagraph"/>
              <w:spacing w:before="0" w:line="240" w:lineRule="auto"/>
              <w:ind w:left="277"/>
              <w:rPr>
                <w:sz w:val="24"/>
              </w:rPr>
            </w:pPr>
            <w:r w:rsidRPr="00150EDC">
              <w:rPr>
                <w:sz w:val="24"/>
              </w:rPr>
              <w:t>means an order for the provision of the Deliverables placed by a</w:t>
            </w:r>
            <w:r w:rsidRPr="00150EDC">
              <w:rPr>
                <w:spacing w:val="40"/>
                <w:sz w:val="24"/>
              </w:rPr>
              <w:t xml:space="preserve"> </w:t>
            </w:r>
            <w:r w:rsidRPr="00150EDC">
              <w:rPr>
                <w:sz w:val="24"/>
              </w:rPr>
              <w:t>Buyer with the Supplier under a Contract;</w:t>
            </w:r>
          </w:p>
        </w:tc>
      </w:tr>
      <w:tr w:rsidR="007D3144" w:rsidRPr="007D3144" w14:paraId="79B0E63F" w14:textId="77777777">
        <w:trPr>
          <w:trHeight w:val="948"/>
        </w:trPr>
        <w:tc>
          <w:tcPr>
            <w:tcW w:w="2264" w:type="dxa"/>
          </w:tcPr>
          <w:p w14:paraId="5B757472" w14:textId="77777777" w:rsidR="004C7180" w:rsidRPr="00150EDC" w:rsidRDefault="00CF0754">
            <w:pPr>
              <w:pStyle w:val="TableParagraph"/>
              <w:spacing w:before="1" w:line="240" w:lineRule="auto"/>
              <w:ind w:left="-1"/>
              <w:rPr>
                <w:b/>
                <w:sz w:val="24"/>
              </w:rPr>
            </w:pPr>
            <w:r w:rsidRPr="00150EDC">
              <w:rPr>
                <w:b/>
                <w:sz w:val="24"/>
              </w:rPr>
              <w:t>"Order</w:t>
            </w:r>
            <w:r w:rsidRPr="00150EDC">
              <w:rPr>
                <w:b/>
                <w:spacing w:val="-5"/>
                <w:sz w:val="24"/>
              </w:rPr>
              <w:t xml:space="preserve"> </w:t>
            </w:r>
            <w:r w:rsidRPr="00150EDC">
              <w:rPr>
                <w:b/>
                <w:spacing w:val="-2"/>
                <w:sz w:val="24"/>
              </w:rPr>
              <w:t>Contract"</w:t>
            </w:r>
          </w:p>
        </w:tc>
        <w:tc>
          <w:tcPr>
            <w:tcW w:w="7484" w:type="dxa"/>
          </w:tcPr>
          <w:p w14:paraId="44011C8B" w14:textId="77777777" w:rsidR="004C7180" w:rsidRPr="00150EDC" w:rsidRDefault="00CF0754">
            <w:pPr>
              <w:pStyle w:val="TableParagraph"/>
              <w:spacing w:before="1" w:line="240" w:lineRule="auto"/>
              <w:ind w:left="277" w:right="101"/>
              <w:jc w:val="both"/>
              <w:rPr>
                <w:sz w:val="24"/>
              </w:rPr>
            </w:pPr>
            <w:r w:rsidRPr="00150EDC">
              <w:rPr>
                <w:sz w:val="24"/>
              </w:rPr>
              <w:t>the contract between the Buyer and the Supplier (entered into pursuant to the provisions of the DPS Contract), which consists of the terms set out and referred to in the Order Form;</w:t>
            </w:r>
          </w:p>
        </w:tc>
      </w:tr>
      <w:tr w:rsidR="007D3144" w:rsidRPr="007D3144" w14:paraId="6A7F5F63" w14:textId="77777777">
        <w:trPr>
          <w:trHeight w:val="671"/>
        </w:trPr>
        <w:tc>
          <w:tcPr>
            <w:tcW w:w="2264" w:type="dxa"/>
          </w:tcPr>
          <w:p w14:paraId="127DF25B" w14:textId="77777777" w:rsidR="004C7180" w:rsidRPr="00150EDC" w:rsidRDefault="00CF0754">
            <w:pPr>
              <w:pStyle w:val="TableParagraph"/>
              <w:spacing w:before="0" w:line="240" w:lineRule="auto"/>
              <w:ind w:left="-1"/>
              <w:rPr>
                <w:b/>
                <w:sz w:val="24"/>
              </w:rPr>
            </w:pPr>
            <w:r w:rsidRPr="00150EDC">
              <w:rPr>
                <w:b/>
                <w:sz w:val="24"/>
              </w:rPr>
              <w:t>"Order</w:t>
            </w:r>
            <w:r w:rsidRPr="00150EDC">
              <w:rPr>
                <w:b/>
                <w:spacing w:val="-17"/>
                <w:sz w:val="24"/>
              </w:rPr>
              <w:t xml:space="preserve"> </w:t>
            </w:r>
            <w:r w:rsidRPr="00150EDC">
              <w:rPr>
                <w:b/>
                <w:sz w:val="24"/>
              </w:rPr>
              <w:t xml:space="preserve">Contract </w:t>
            </w:r>
            <w:r w:rsidRPr="00150EDC">
              <w:rPr>
                <w:b/>
                <w:spacing w:val="-2"/>
                <w:sz w:val="24"/>
              </w:rPr>
              <w:t>Period"</w:t>
            </w:r>
          </w:p>
        </w:tc>
        <w:tc>
          <w:tcPr>
            <w:tcW w:w="7484" w:type="dxa"/>
          </w:tcPr>
          <w:p w14:paraId="04C73D17" w14:textId="77777777" w:rsidR="004C7180" w:rsidRPr="00150EDC" w:rsidRDefault="00CF0754">
            <w:pPr>
              <w:pStyle w:val="TableParagraph"/>
              <w:spacing w:before="0" w:line="240" w:lineRule="auto"/>
              <w:ind w:left="277"/>
              <w:rPr>
                <w:sz w:val="24"/>
              </w:rPr>
            </w:pPr>
            <w:r w:rsidRPr="00150EDC">
              <w:rPr>
                <w:sz w:val="24"/>
              </w:rPr>
              <w:t>the</w:t>
            </w:r>
            <w:r w:rsidRPr="00150EDC">
              <w:rPr>
                <w:spacing w:val="-3"/>
                <w:sz w:val="24"/>
              </w:rPr>
              <w:t xml:space="preserve"> </w:t>
            </w:r>
            <w:r w:rsidRPr="00150EDC">
              <w:rPr>
                <w:sz w:val="24"/>
              </w:rPr>
              <w:t>Contract</w:t>
            </w:r>
            <w:r w:rsidRPr="00150EDC">
              <w:rPr>
                <w:spacing w:val="-5"/>
                <w:sz w:val="24"/>
              </w:rPr>
              <w:t xml:space="preserve"> </w:t>
            </w:r>
            <w:r w:rsidRPr="00150EDC">
              <w:rPr>
                <w:sz w:val="24"/>
              </w:rPr>
              <w:t>Period</w:t>
            </w:r>
            <w:r w:rsidRPr="00150EDC">
              <w:rPr>
                <w:spacing w:val="-4"/>
                <w:sz w:val="24"/>
              </w:rPr>
              <w:t xml:space="preserve"> </w:t>
            </w:r>
            <w:r w:rsidRPr="00150EDC">
              <w:rPr>
                <w:sz w:val="24"/>
              </w:rPr>
              <w:t>in</w:t>
            </w:r>
            <w:r w:rsidRPr="00150EDC">
              <w:rPr>
                <w:spacing w:val="-5"/>
                <w:sz w:val="24"/>
              </w:rPr>
              <w:t xml:space="preserve"> </w:t>
            </w:r>
            <w:r w:rsidRPr="00150EDC">
              <w:rPr>
                <w:sz w:val="24"/>
              </w:rPr>
              <w:t>respect</w:t>
            </w:r>
            <w:r w:rsidRPr="00150EDC">
              <w:rPr>
                <w:spacing w:val="-5"/>
                <w:sz w:val="24"/>
              </w:rPr>
              <w:t xml:space="preserve"> </w:t>
            </w:r>
            <w:r w:rsidRPr="00150EDC">
              <w:rPr>
                <w:sz w:val="24"/>
              </w:rPr>
              <w:t>of</w:t>
            </w:r>
            <w:r w:rsidRPr="00150EDC">
              <w:rPr>
                <w:spacing w:val="-2"/>
                <w:sz w:val="24"/>
              </w:rPr>
              <w:t xml:space="preserve"> </w:t>
            </w:r>
            <w:r w:rsidRPr="00150EDC">
              <w:rPr>
                <w:sz w:val="24"/>
              </w:rPr>
              <w:t>the</w:t>
            </w:r>
            <w:r w:rsidRPr="00150EDC">
              <w:rPr>
                <w:spacing w:val="-3"/>
                <w:sz w:val="24"/>
              </w:rPr>
              <w:t xml:space="preserve"> </w:t>
            </w:r>
            <w:r w:rsidRPr="00150EDC">
              <w:rPr>
                <w:sz w:val="24"/>
              </w:rPr>
              <w:t>Order</w:t>
            </w:r>
            <w:r w:rsidRPr="00150EDC">
              <w:rPr>
                <w:spacing w:val="-3"/>
                <w:sz w:val="24"/>
              </w:rPr>
              <w:t xml:space="preserve"> </w:t>
            </w:r>
            <w:r w:rsidRPr="00150EDC">
              <w:rPr>
                <w:spacing w:val="-2"/>
                <w:sz w:val="24"/>
              </w:rPr>
              <w:t>Contract;</w:t>
            </w:r>
          </w:p>
        </w:tc>
      </w:tr>
      <w:tr w:rsidR="007D3144" w:rsidRPr="007D3144" w14:paraId="2EB06A93" w14:textId="77777777">
        <w:trPr>
          <w:trHeight w:val="673"/>
        </w:trPr>
        <w:tc>
          <w:tcPr>
            <w:tcW w:w="2264" w:type="dxa"/>
          </w:tcPr>
          <w:p w14:paraId="337B5679" w14:textId="77777777" w:rsidR="004C7180" w:rsidRPr="00150EDC" w:rsidRDefault="00CF0754">
            <w:pPr>
              <w:pStyle w:val="TableParagraph"/>
              <w:spacing w:before="2" w:line="240" w:lineRule="auto"/>
              <w:ind w:left="-1" w:right="298"/>
              <w:rPr>
                <w:b/>
                <w:sz w:val="24"/>
              </w:rPr>
            </w:pPr>
            <w:r w:rsidRPr="00150EDC">
              <w:rPr>
                <w:b/>
                <w:sz w:val="24"/>
              </w:rPr>
              <w:t>"Order</w:t>
            </w:r>
            <w:r w:rsidRPr="00150EDC">
              <w:rPr>
                <w:b/>
                <w:spacing w:val="-17"/>
                <w:sz w:val="24"/>
              </w:rPr>
              <w:t xml:space="preserve"> </w:t>
            </w:r>
            <w:r w:rsidRPr="00150EDC">
              <w:rPr>
                <w:b/>
                <w:sz w:val="24"/>
              </w:rPr>
              <w:t xml:space="preserve">Expiry </w:t>
            </w:r>
            <w:r w:rsidRPr="00150EDC">
              <w:rPr>
                <w:b/>
                <w:spacing w:val="-2"/>
                <w:sz w:val="24"/>
              </w:rPr>
              <w:t>Date"</w:t>
            </w:r>
          </w:p>
        </w:tc>
        <w:tc>
          <w:tcPr>
            <w:tcW w:w="7484" w:type="dxa"/>
          </w:tcPr>
          <w:p w14:paraId="1DB11CF3" w14:textId="77777777" w:rsidR="004C7180" w:rsidRPr="00150EDC" w:rsidRDefault="00CF0754">
            <w:pPr>
              <w:pStyle w:val="TableParagraph"/>
              <w:spacing w:before="2" w:line="240" w:lineRule="auto"/>
              <w:ind w:left="277"/>
              <w:rPr>
                <w:sz w:val="24"/>
              </w:rPr>
            </w:pPr>
            <w:r w:rsidRPr="00150EDC">
              <w:rPr>
                <w:sz w:val="24"/>
              </w:rPr>
              <w:t>the</w:t>
            </w:r>
            <w:r w:rsidRPr="00150EDC">
              <w:rPr>
                <w:spacing w:val="80"/>
                <w:sz w:val="24"/>
              </w:rPr>
              <w:t xml:space="preserve"> </w:t>
            </w:r>
            <w:r w:rsidRPr="00150EDC">
              <w:rPr>
                <w:sz w:val="24"/>
              </w:rPr>
              <w:t>date</w:t>
            </w:r>
            <w:r w:rsidRPr="00150EDC">
              <w:rPr>
                <w:spacing w:val="24"/>
                <w:sz w:val="24"/>
              </w:rPr>
              <w:t xml:space="preserve"> </w:t>
            </w:r>
            <w:r w:rsidRPr="00150EDC">
              <w:rPr>
                <w:sz w:val="24"/>
              </w:rPr>
              <w:t>of</w:t>
            </w:r>
            <w:r w:rsidRPr="00150EDC">
              <w:rPr>
                <w:spacing w:val="26"/>
                <w:sz w:val="24"/>
              </w:rPr>
              <w:t xml:space="preserve"> </w:t>
            </w:r>
            <w:r w:rsidRPr="00150EDC">
              <w:rPr>
                <w:sz w:val="24"/>
              </w:rPr>
              <w:t>the</w:t>
            </w:r>
            <w:r w:rsidRPr="00150EDC">
              <w:rPr>
                <w:spacing w:val="24"/>
                <w:sz w:val="24"/>
              </w:rPr>
              <w:t xml:space="preserve"> </w:t>
            </w:r>
            <w:r w:rsidRPr="00150EDC">
              <w:rPr>
                <w:sz w:val="24"/>
              </w:rPr>
              <w:t>end</w:t>
            </w:r>
            <w:r w:rsidRPr="00150EDC">
              <w:rPr>
                <w:spacing w:val="24"/>
                <w:sz w:val="24"/>
              </w:rPr>
              <w:t xml:space="preserve"> </w:t>
            </w:r>
            <w:r w:rsidRPr="00150EDC">
              <w:rPr>
                <w:sz w:val="24"/>
              </w:rPr>
              <w:t>of</w:t>
            </w:r>
            <w:r w:rsidRPr="00150EDC">
              <w:rPr>
                <w:spacing w:val="26"/>
                <w:sz w:val="24"/>
              </w:rPr>
              <w:t xml:space="preserve"> </w:t>
            </w:r>
            <w:r w:rsidRPr="00150EDC">
              <w:rPr>
                <w:sz w:val="24"/>
              </w:rPr>
              <w:t>an</w:t>
            </w:r>
            <w:r w:rsidRPr="00150EDC">
              <w:rPr>
                <w:spacing w:val="24"/>
                <w:sz w:val="24"/>
              </w:rPr>
              <w:t xml:space="preserve"> </w:t>
            </w:r>
            <w:r w:rsidRPr="00150EDC">
              <w:rPr>
                <w:sz w:val="24"/>
              </w:rPr>
              <w:t>Order</w:t>
            </w:r>
            <w:r w:rsidRPr="00150EDC">
              <w:rPr>
                <w:spacing w:val="25"/>
                <w:sz w:val="24"/>
              </w:rPr>
              <w:t xml:space="preserve"> </w:t>
            </w:r>
            <w:r w:rsidRPr="00150EDC">
              <w:rPr>
                <w:sz w:val="24"/>
              </w:rPr>
              <w:t>Contract</w:t>
            </w:r>
            <w:r w:rsidRPr="00150EDC">
              <w:rPr>
                <w:spacing w:val="24"/>
                <w:sz w:val="24"/>
              </w:rPr>
              <w:t xml:space="preserve"> </w:t>
            </w:r>
            <w:r w:rsidRPr="00150EDC">
              <w:rPr>
                <w:sz w:val="24"/>
              </w:rPr>
              <w:t>as</w:t>
            </w:r>
            <w:r w:rsidRPr="00150EDC">
              <w:rPr>
                <w:spacing w:val="26"/>
                <w:sz w:val="24"/>
              </w:rPr>
              <w:t xml:space="preserve"> </w:t>
            </w:r>
            <w:r w:rsidRPr="00150EDC">
              <w:rPr>
                <w:sz w:val="24"/>
              </w:rPr>
              <w:t>stated</w:t>
            </w:r>
            <w:r w:rsidRPr="00150EDC">
              <w:rPr>
                <w:spacing w:val="26"/>
                <w:sz w:val="24"/>
              </w:rPr>
              <w:t xml:space="preserve"> </w:t>
            </w:r>
            <w:r w:rsidRPr="00150EDC">
              <w:rPr>
                <w:sz w:val="24"/>
              </w:rPr>
              <w:t>in</w:t>
            </w:r>
            <w:r w:rsidRPr="00150EDC">
              <w:rPr>
                <w:spacing w:val="24"/>
                <w:sz w:val="24"/>
              </w:rPr>
              <w:t xml:space="preserve"> </w:t>
            </w:r>
            <w:r w:rsidRPr="00150EDC">
              <w:rPr>
                <w:sz w:val="24"/>
              </w:rPr>
              <w:t>the</w:t>
            </w:r>
            <w:r w:rsidRPr="00150EDC">
              <w:rPr>
                <w:spacing w:val="26"/>
                <w:sz w:val="24"/>
              </w:rPr>
              <w:t xml:space="preserve"> </w:t>
            </w:r>
            <w:r w:rsidRPr="00150EDC">
              <w:rPr>
                <w:sz w:val="24"/>
              </w:rPr>
              <w:t xml:space="preserve">Order </w:t>
            </w:r>
            <w:r w:rsidRPr="00150EDC">
              <w:rPr>
                <w:spacing w:val="-2"/>
                <w:sz w:val="24"/>
              </w:rPr>
              <w:t>Form;</w:t>
            </w:r>
          </w:p>
        </w:tc>
      </w:tr>
      <w:tr w:rsidR="007D3144" w:rsidRPr="007D3144" w14:paraId="73E1AD2E" w14:textId="77777777">
        <w:trPr>
          <w:trHeight w:val="671"/>
        </w:trPr>
        <w:tc>
          <w:tcPr>
            <w:tcW w:w="2264" w:type="dxa"/>
          </w:tcPr>
          <w:p w14:paraId="40F54A24" w14:textId="77777777" w:rsidR="004C7180" w:rsidRPr="00150EDC" w:rsidRDefault="00CF0754">
            <w:pPr>
              <w:pStyle w:val="TableParagraph"/>
              <w:spacing w:before="0" w:line="240" w:lineRule="auto"/>
              <w:ind w:left="-1"/>
              <w:rPr>
                <w:b/>
                <w:sz w:val="24"/>
              </w:rPr>
            </w:pPr>
            <w:r w:rsidRPr="00150EDC">
              <w:rPr>
                <w:b/>
                <w:sz w:val="24"/>
              </w:rPr>
              <w:t>"Order</w:t>
            </w:r>
            <w:r w:rsidRPr="00150EDC">
              <w:rPr>
                <w:b/>
                <w:spacing w:val="-5"/>
                <w:sz w:val="24"/>
              </w:rPr>
              <w:t xml:space="preserve"> </w:t>
            </w:r>
            <w:r w:rsidRPr="00150EDC">
              <w:rPr>
                <w:b/>
                <w:spacing w:val="-4"/>
                <w:sz w:val="24"/>
              </w:rPr>
              <w:t>Form"</w:t>
            </w:r>
          </w:p>
        </w:tc>
        <w:tc>
          <w:tcPr>
            <w:tcW w:w="7484" w:type="dxa"/>
          </w:tcPr>
          <w:p w14:paraId="1D2A1E86" w14:textId="77777777" w:rsidR="004C7180" w:rsidRPr="00150EDC" w:rsidRDefault="00CF0754">
            <w:pPr>
              <w:pStyle w:val="TableParagraph"/>
              <w:spacing w:before="0" w:line="240" w:lineRule="auto"/>
              <w:ind w:left="277" w:right="94"/>
              <w:rPr>
                <w:sz w:val="24"/>
              </w:rPr>
            </w:pPr>
            <w:r w:rsidRPr="00150EDC">
              <w:rPr>
                <w:sz w:val="24"/>
              </w:rPr>
              <w:t>a</w:t>
            </w:r>
            <w:r w:rsidRPr="00150EDC">
              <w:rPr>
                <w:spacing w:val="-17"/>
                <w:sz w:val="24"/>
              </w:rPr>
              <w:t xml:space="preserve"> </w:t>
            </w:r>
            <w:r w:rsidRPr="00150EDC">
              <w:rPr>
                <w:sz w:val="24"/>
              </w:rPr>
              <w:t>completed</w:t>
            </w:r>
            <w:r w:rsidRPr="00150EDC">
              <w:rPr>
                <w:spacing w:val="-17"/>
                <w:sz w:val="24"/>
              </w:rPr>
              <w:t xml:space="preserve"> </w:t>
            </w:r>
            <w:r w:rsidRPr="00150EDC">
              <w:rPr>
                <w:sz w:val="24"/>
              </w:rPr>
              <w:t>Order</w:t>
            </w:r>
            <w:r w:rsidRPr="00150EDC">
              <w:rPr>
                <w:spacing w:val="-16"/>
                <w:sz w:val="24"/>
              </w:rPr>
              <w:t xml:space="preserve"> </w:t>
            </w:r>
            <w:r w:rsidRPr="00150EDC">
              <w:rPr>
                <w:sz w:val="24"/>
              </w:rPr>
              <w:t>Form</w:t>
            </w:r>
            <w:r w:rsidRPr="00150EDC">
              <w:rPr>
                <w:spacing w:val="-17"/>
                <w:sz w:val="24"/>
              </w:rPr>
              <w:t xml:space="preserve"> </w:t>
            </w:r>
            <w:r w:rsidRPr="00150EDC">
              <w:rPr>
                <w:sz w:val="24"/>
              </w:rPr>
              <w:t>Template</w:t>
            </w:r>
            <w:r w:rsidRPr="00150EDC">
              <w:rPr>
                <w:spacing w:val="-17"/>
                <w:sz w:val="24"/>
              </w:rPr>
              <w:t xml:space="preserve"> </w:t>
            </w:r>
            <w:r w:rsidRPr="00150EDC">
              <w:rPr>
                <w:sz w:val="24"/>
              </w:rPr>
              <w:t>(or</w:t>
            </w:r>
            <w:r w:rsidRPr="00150EDC">
              <w:rPr>
                <w:spacing w:val="-17"/>
                <w:sz w:val="24"/>
              </w:rPr>
              <w:t xml:space="preserve"> </w:t>
            </w:r>
            <w:r w:rsidRPr="00150EDC">
              <w:rPr>
                <w:sz w:val="24"/>
              </w:rPr>
              <w:t>equivalent</w:t>
            </w:r>
            <w:r w:rsidRPr="00150EDC">
              <w:rPr>
                <w:spacing w:val="-16"/>
                <w:sz w:val="24"/>
              </w:rPr>
              <w:t xml:space="preserve"> </w:t>
            </w:r>
            <w:r w:rsidRPr="00150EDC">
              <w:rPr>
                <w:sz w:val="24"/>
              </w:rPr>
              <w:t>information</w:t>
            </w:r>
            <w:r w:rsidRPr="00150EDC">
              <w:rPr>
                <w:spacing w:val="-17"/>
                <w:sz w:val="24"/>
              </w:rPr>
              <w:t xml:space="preserve"> </w:t>
            </w:r>
            <w:r w:rsidRPr="00150EDC">
              <w:rPr>
                <w:sz w:val="24"/>
              </w:rPr>
              <w:t>issued by the Buyer) used to create an Order Contract;</w:t>
            </w:r>
          </w:p>
        </w:tc>
      </w:tr>
    </w:tbl>
    <w:p w14:paraId="33BDA7E3" w14:textId="77777777" w:rsidR="004C7180" w:rsidRPr="00150EDC" w:rsidRDefault="004C7180">
      <w:pPr>
        <w:rPr>
          <w:sz w:val="24"/>
        </w:rPr>
        <w:sectPr w:rsidR="004C7180" w:rsidRPr="00150EDC">
          <w:pgSz w:w="11910" w:h="16840"/>
          <w:pgMar w:top="1160" w:right="0" w:bottom="1460" w:left="40" w:header="715" w:footer="1208" w:gutter="0"/>
          <w:cols w:space="720"/>
        </w:sectPr>
      </w:pPr>
    </w:p>
    <w:p w14:paraId="0DDE71C8" w14:textId="77777777" w:rsidR="004C7180" w:rsidRPr="00150EDC" w:rsidRDefault="004C7180">
      <w:pPr>
        <w:pStyle w:val="BodyText"/>
        <w:spacing w:before="7"/>
        <w:rPr>
          <w:sz w:val="23"/>
        </w:rPr>
      </w:pPr>
    </w:p>
    <w:tbl>
      <w:tblPr>
        <w:tblW w:w="0" w:type="auto"/>
        <w:tblInd w:w="1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4"/>
        <w:gridCol w:w="7484"/>
      </w:tblGrid>
      <w:tr w:rsidR="007D3144" w:rsidRPr="007D3144" w14:paraId="3E7A7A75" w14:textId="77777777">
        <w:trPr>
          <w:trHeight w:val="672"/>
        </w:trPr>
        <w:tc>
          <w:tcPr>
            <w:tcW w:w="2264" w:type="dxa"/>
          </w:tcPr>
          <w:p w14:paraId="29BFAF9E" w14:textId="77777777" w:rsidR="004C7180" w:rsidRPr="00150EDC" w:rsidRDefault="00CF0754">
            <w:pPr>
              <w:pStyle w:val="TableParagraph"/>
              <w:spacing w:before="0" w:line="240" w:lineRule="auto"/>
              <w:ind w:left="-1" w:right="817"/>
              <w:rPr>
                <w:b/>
                <w:sz w:val="24"/>
              </w:rPr>
            </w:pPr>
            <w:r w:rsidRPr="00150EDC">
              <w:rPr>
                <w:b/>
                <w:sz w:val="24"/>
              </w:rPr>
              <w:t>"Order</w:t>
            </w:r>
            <w:r w:rsidRPr="00150EDC">
              <w:rPr>
                <w:b/>
                <w:spacing w:val="-17"/>
                <w:sz w:val="24"/>
              </w:rPr>
              <w:t xml:space="preserve"> </w:t>
            </w:r>
            <w:r w:rsidRPr="00150EDC">
              <w:rPr>
                <w:b/>
                <w:sz w:val="24"/>
              </w:rPr>
              <w:t xml:space="preserve">Form </w:t>
            </w:r>
            <w:r w:rsidRPr="00150EDC">
              <w:rPr>
                <w:b/>
                <w:spacing w:val="-2"/>
                <w:sz w:val="24"/>
              </w:rPr>
              <w:t>Template"</w:t>
            </w:r>
          </w:p>
        </w:tc>
        <w:tc>
          <w:tcPr>
            <w:tcW w:w="7484" w:type="dxa"/>
          </w:tcPr>
          <w:p w14:paraId="39C10F73" w14:textId="77777777" w:rsidR="004C7180" w:rsidRPr="00150EDC" w:rsidRDefault="00CF0754">
            <w:pPr>
              <w:pStyle w:val="TableParagraph"/>
              <w:spacing w:before="0" w:line="240" w:lineRule="auto"/>
              <w:ind w:left="277"/>
              <w:rPr>
                <w:sz w:val="24"/>
              </w:rPr>
            </w:pPr>
            <w:r w:rsidRPr="00150EDC">
              <w:rPr>
                <w:sz w:val="24"/>
              </w:rPr>
              <w:t xml:space="preserve">the template in DPS Schedule 6 (Order Form Template and Order </w:t>
            </w:r>
            <w:r w:rsidRPr="00150EDC">
              <w:rPr>
                <w:spacing w:val="-2"/>
                <w:sz w:val="24"/>
              </w:rPr>
              <w:t>Schedules);</w:t>
            </w:r>
          </w:p>
        </w:tc>
      </w:tr>
      <w:tr w:rsidR="007D3144" w:rsidRPr="007D3144" w14:paraId="5C30205D" w14:textId="77777777">
        <w:trPr>
          <w:trHeight w:val="947"/>
        </w:trPr>
        <w:tc>
          <w:tcPr>
            <w:tcW w:w="2264" w:type="dxa"/>
          </w:tcPr>
          <w:p w14:paraId="7BB89F82" w14:textId="77777777" w:rsidR="004C7180" w:rsidRPr="00150EDC" w:rsidRDefault="00CF0754">
            <w:pPr>
              <w:pStyle w:val="TableParagraph"/>
              <w:spacing w:before="0" w:line="240" w:lineRule="auto"/>
              <w:ind w:left="-1" w:right="298"/>
              <w:rPr>
                <w:b/>
                <w:sz w:val="24"/>
              </w:rPr>
            </w:pPr>
            <w:r w:rsidRPr="00150EDC">
              <w:rPr>
                <w:b/>
                <w:spacing w:val="-2"/>
                <w:sz w:val="24"/>
              </w:rPr>
              <w:t>"Order Incorporated Terms"</w:t>
            </w:r>
          </w:p>
        </w:tc>
        <w:tc>
          <w:tcPr>
            <w:tcW w:w="7484" w:type="dxa"/>
          </w:tcPr>
          <w:p w14:paraId="74CC4997" w14:textId="77777777" w:rsidR="004C7180" w:rsidRPr="00150EDC" w:rsidRDefault="00CF0754">
            <w:pPr>
              <w:pStyle w:val="TableParagraph"/>
              <w:spacing w:before="0" w:line="240" w:lineRule="auto"/>
              <w:ind w:left="277"/>
              <w:rPr>
                <w:sz w:val="24"/>
              </w:rPr>
            </w:pPr>
            <w:r w:rsidRPr="00150EDC">
              <w:rPr>
                <w:sz w:val="24"/>
              </w:rPr>
              <w:t>the</w:t>
            </w:r>
            <w:r w:rsidRPr="00150EDC">
              <w:rPr>
                <w:spacing w:val="40"/>
                <w:sz w:val="24"/>
              </w:rPr>
              <w:t xml:space="preserve"> </w:t>
            </w:r>
            <w:r w:rsidRPr="00150EDC">
              <w:rPr>
                <w:sz w:val="24"/>
              </w:rPr>
              <w:t>contractual</w:t>
            </w:r>
            <w:r w:rsidRPr="00150EDC">
              <w:rPr>
                <w:spacing w:val="40"/>
                <w:sz w:val="24"/>
              </w:rPr>
              <w:t xml:space="preserve"> </w:t>
            </w:r>
            <w:r w:rsidRPr="00150EDC">
              <w:rPr>
                <w:sz w:val="24"/>
              </w:rPr>
              <w:t>terms</w:t>
            </w:r>
            <w:r w:rsidRPr="00150EDC">
              <w:rPr>
                <w:spacing w:val="38"/>
                <w:sz w:val="24"/>
              </w:rPr>
              <w:t xml:space="preserve"> </w:t>
            </w:r>
            <w:r w:rsidRPr="00150EDC">
              <w:rPr>
                <w:sz w:val="24"/>
              </w:rPr>
              <w:t>applicable</w:t>
            </w:r>
            <w:r w:rsidRPr="00150EDC">
              <w:rPr>
                <w:spacing w:val="40"/>
                <w:sz w:val="24"/>
              </w:rPr>
              <w:t xml:space="preserve"> </w:t>
            </w:r>
            <w:r w:rsidRPr="00150EDC">
              <w:rPr>
                <w:sz w:val="24"/>
              </w:rPr>
              <w:t>to</w:t>
            </w:r>
            <w:r w:rsidRPr="00150EDC">
              <w:rPr>
                <w:spacing w:val="40"/>
                <w:sz w:val="24"/>
              </w:rPr>
              <w:t xml:space="preserve"> </w:t>
            </w:r>
            <w:r w:rsidRPr="00150EDC">
              <w:rPr>
                <w:sz w:val="24"/>
              </w:rPr>
              <w:t>the</w:t>
            </w:r>
            <w:r w:rsidRPr="00150EDC">
              <w:rPr>
                <w:spacing w:val="40"/>
                <w:sz w:val="24"/>
              </w:rPr>
              <w:t xml:space="preserve"> </w:t>
            </w:r>
            <w:r w:rsidRPr="00150EDC">
              <w:rPr>
                <w:sz w:val="24"/>
              </w:rPr>
              <w:t>Order</w:t>
            </w:r>
            <w:r w:rsidRPr="00150EDC">
              <w:rPr>
                <w:spacing w:val="40"/>
                <w:sz w:val="24"/>
              </w:rPr>
              <w:t xml:space="preserve"> </w:t>
            </w:r>
            <w:r w:rsidRPr="00150EDC">
              <w:rPr>
                <w:sz w:val="24"/>
              </w:rPr>
              <w:t>Contract</w:t>
            </w:r>
            <w:r w:rsidRPr="00150EDC">
              <w:rPr>
                <w:spacing w:val="40"/>
                <w:sz w:val="24"/>
              </w:rPr>
              <w:t xml:space="preserve"> </w:t>
            </w:r>
            <w:r w:rsidRPr="00150EDC">
              <w:rPr>
                <w:sz w:val="24"/>
              </w:rPr>
              <w:t>specified under the relevant heading in the Order Form;</w:t>
            </w:r>
          </w:p>
        </w:tc>
      </w:tr>
      <w:tr w:rsidR="007D3144" w:rsidRPr="007D3144" w14:paraId="46D54C60" w14:textId="77777777">
        <w:trPr>
          <w:trHeight w:val="671"/>
        </w:trPr>
        <w:tc>
          <w:tcPr>
            <w:tcW w:w="2264" w:type="dxa"/>
          </w:tcPr>
          <w:p w14:paraId="3D566906" w14:textId="77777777" w:rsidR="004C7180" w:rsidRPr="00150EDC" w:rsidRDefault="00CF0754">
            <w:pPr>
              <w:pStyle w:val="TableParagraph"/>
              <w:spacing w:before="0" w:line="240" w:lineRule="auto"/>
              <w:ind w:left="-1"/>
              <w:rPr>
                <w:b/>
                <w:sz w:val="24"/>
              </w:rPr>
            </w:pPr>
            <w:r w:rsidRPr="00150EDC">
              <w:rPr>
                <w:b/>
                <w:sz w:val="24"/>
              </w:rPr>
              <w:t>"Order</w:t>
            </w:r>
            <w:r w:rsidRPr="00150EDC">
              <w:rPr>
                <w:b/>
                <w:spacing w:val="-17"/>
                <w:sz w:val="24"/>
              </w:rPr>
              <w:t xml:space="preserve"> </w:t>
            </w:r>
            <w:r w:rsidRPr="00150EDC">
              <w:rPr>
                <w:b/>
                <w:sz w:val="24"/>
              </w:rPr>
              <w:t xml:space="preserve">Initial </w:t>
            </w:r>
            <w:r w:rsidRPr="00150EDC">
              <w:rPr>
                <w:b/>
                <w:spacing w:val="-2"/>
                <w:sz w:val="24"/>
              </w:rPr>
              <w:t>Period"</w:t>
            </w:r>
          </w:p>
        </w:tc>
        <w:tc>
          <w:tcPr>
            <w:tcW w:w="7484" w:type="dxa"/>
          </w:tcPr>
          <w:p w14:paraId="3707F1D5" w14:textId="77777777" w:rsidR="004C7180" w:rsidRPr="00150EDC" w:rsidRDefault="00CF0754">
            <w:pPr>
              <w:pStyle w:val="TableParagraph"/>
              <w:spacing w:before="0" w:line="240" w:lineRule="auto"/>
              <w:ind w:left="277"/>
              <w:rPr>
                <w:sz w:val="24"/>
              </w:rPr>
            </w:pPr>
            <w:r w:rsidRPr="00150EDC">
              <w:rPr>
                <w:sz w:val="24"/>
              </w:rPr>
              <w:t>the</w:t>
            </w:r>
            <w:r w:rsidRPr="00150EDC">
              <w:rPr>
                <w:spacing w:val="-4"/>
                <w:sz w:val="24"/>
              </w:rPr>
              <w:t xml:space="preserve"> </w:t>
            </w:r>
            <w:r w:rsidRPr="00150EDC">
              <w:rPr>
                <w:sz w:val="24"/>
              </w:rPr>
              <w:t>Initial</w:t>
            </w:r>
            <w:r w:rsidRPr="00150EDC">
              <w:rPr>
                <w:spacing w:val="-3"/>
                <w:sz w:val="24"/>
              </w:rPr>
              <w:t xml:space="preserve"> </w:t>
            </w:r>
            <w:r w:rsidRPr="00150EDC">
              <w:rPr>
                <w:sz w:val="24"/>
              </w:rPr>
              <w:t>Period</w:t>
            </w:r>
            <w:r w:rsidRPr="00150EDC">
              <w:rPr>
                <w:spacing w:val="-3"/>
                <w:sz w:val="24"/>
              </w:rPr>
              <w:t xml:space="preserve"> </w:t>
            </w:r>
            <w:r w:rsidRPr="00150EDC">
              <w:rPr>
                <w:sz w:val="24"/>
              </w:rPr>
              <w:t>of</w:t>
            </w:r>
            <w:r w:rsidRPr="00150EDC">
              <w:rPr>
                <w:spacing w:val="-3"/>
                <w:sz w:val="24"/>
              </w:rPr>
              <w:t xml:space="preserve"> </w:t>
            </w:r>
            <w:r w:rsidRPr="00150EDC">
              <w:rPr>
                <w:sz w:val="24"/>
              </w:rPr>
              <w:t>an</w:t>
            </w:r>
            <w:r w:rsidRPr="00150EDC">
              <w:rPr>
                <w:spacing w:val="-5"/>
                <w:sz w:val="24"/>
              </w:rPr>
              <w:t xml:space="preserve"> </w:t>
            </w:r>
            <w:r w:rsidRPr="00150EDC">
              <w:rPr>
                <w:sz w:val="24"/>
              </w:rPr>
              <w:t>Order</w:t>
            </w:r>
            <w:r w:rsidRPr="00150EDC">
              <w:rPr>
                <w:spacing w:val="-3"/>
                <w:sz w:val="24"/>
              </w:rPr>
              <w:t xml:space="preserve"> </w:t>
            </w:r>
            <w:r w:rsidRPr="00150EDC">
              <w:rPr>
                <w:sz w:val="24"/>
              </w:rPr>
              <w:t>Contract</w:t>
            </w:r>
            <w:r w:rsidRPr="00150EDC">
              <w:rPr>
                <w:spacing w:val="-4"/>
                <w:sz w:val="24"/>
              </w:rPr>
              <w:t xml:space="preserve"> </w:t>
            </w:r>
            <w:r w:rsidRPr="00150EDC">
              <w:rPr>
                <w:sz w:val="24"/>
              </w:rPr>
              <w:t>specified</w:t>
            </w:r>
            <w:r w:rsidRPr="00150EDC">
              <w:rPr>
                <w:spacing w:val="-2"/>
                <w:sz w:val="24"/>
              </w:rPr>
              <w:t xml:space="preserve"> </w:t>
            </w:r>
            <w:r w:rsidRPr="00150EDC">
              <w:rPr>
                <w:sz w:val="24"/>
              </w:rPr>
              <w:t>in</w:t>
            </w:r>
            <w:r w:rsidRPr="00150EDC">
              <w:rPr>
                <w:spacing w:val="-5"/>
                <w:sz w:val="24"/>
              </w:rPr>
              <w:t xml:space="preserve"> </w:t>
            </w:r>
            <w:r w:rsidRPr="00150EDC">
              <w:rPr>
                <w:sz w:val="24"/>
              </w:rPr>
              <w:t>the</w:t>
            </w:r>
            <w:r w:rsidRPr="00150EDC">
              <w:rPr>
                <w:spacing w:val="-5"/>
                <w:sz w:val="24"/>
              </w:rPr>
              <w:t xml:space="preserve"> </w:t>
            </w:r>
            <w:r w:rsidRPr="00150EDC">
              <w:rPr>
                <w:sz w:val="24"/>
              </w:rPr>
              <w:t>Order</w:t>
            </w:r>
            <w:r w:rsidRPr="00150EDC">
              <w:rPr>
                <w:spacing w:val="-3"/>
                <w:sz w:val="24"/>
              </w:rPr>
              <w:t xml:space="preserve"> </w:t>
            </w:r>
            <w:r w:rsidRPr="00150EDC">
              <w:rPr>
                <w:spacing w:val="-2"/>
                <w:sz w:val="24"/>
              </w:rPr>
              <w:t>Form;</w:t>
            </w:r>
          </w:p>
        </w:tc>
      </w:tr>
      <w:tr w:rsidR="007D3144" w:rsidRPr="007D3144" w14:paraId="437B26F4" w14:textId="77777777">
        <w:trPr>
          <w:trHeight w:val="674"/>
        </w:trPr>
        <w:tc>
          <w:tcPr>
            <w:tcW w:w="2264" w:type="dxa"/>
          </w:tcPr>
          <w:p w14:paraId="7FDFCA19" w14:textId="77777777" w:rsidR="004C7180" w:rsidRPr="00150EDC" w:rsidRDefault="00CF0754">
            <w:pPr>
              <w:pStyle w:val="TableParagraph"/>
              <w:spacing w:before="2" w:line="240" w:lineRule="auto"/>
              <w:ind w:left="-1"/>
              <w:rPr>
                <w:b/>
                <w:sz w:val="24"/>
              </w:rPr>
            </w:pPr>
            <w:r w:rsidRPr="00150EDC">
              <w:rPr>
                <w:b/>
                <w:sz w:val="24"/>
              </w:rPr>
              <w:t>"Order Optional Extension</w:t>
            </w:r>
            <w:r w:rsidRPr="00150EDC">
              <w:rPr>
                <w:b/>
                <w:spacing w:val="-17"/>
                <w:sz w:val="24"/>
              </w:rPr>
              <w:t xml:space="preserve"> </w:t>
            </w:r>
            <w:r w:rsidRPr="00150EDC">
              <w:rPr>
                <w:b/>
                <w:sz w:val="24"/>
              </w:rPr>
              <w:t>Period"</w:t>
            </w:r>
          </w:p>
        </w:tc>
        <w:tc>
          <w:tcPr>
            <w:tcW w:w="7484" w:type="dxa"/>
          </w:tcPr>
          <w:p w14:paraId="47592F5F" w14:textId="77777777" w:rsidR="004C7180" w:rsidRPr="00150EDC" w:rsidRDefault="00CF0754">
            <w:pPr>
              <w:pStyle w:val="TableParagraph"/>
              <w:spacing w:before="2" w:line="240" w:lineRule="auto"/>
              <w:ind w:left="277" w:right="91"/>
              <w:rPr>
                <w:sz w:val="24"/>
              </w:rPr>
            </w:pPr>
            <w:r w:rsidRPr="00150EDC">
              <w:rPr>
                <w:sz w:val="24"/>
              </w:rPr>
              <w:t>such period or periods beyond which the Order Initial Period may be extended as specified in the Order Form;</w:t>
            </w:r>
          </w:p>
        </w:tc>
      </w:tr>
      <w:tr w:rsidR="007D3144" w:rsidRPr="007D3144" w14:paraId="438753DF" w14:textId="77777777">
        <w:trPr>
          <w:trHeight w:val="671"/>
        </w:trPr>
        <w:tc>
          <w:tcPr>
            <w:tcW w:w="2264" w:type="dxa"/>
          </w:tcPr>
          <w:p w14:paraId="66923781" w14:textId="77777777" w:rsidR="004C7180" w:rsidRPr="00150EDC" w:rsidRDefault="00CF0754">
            <w:pPr>
              <w:pStyle w:val="TableParagraph"/>
              <w:spacing w:before="0" w:line="240" w:lineRule="auto"/>
              <w:ind w:left="-1"/>
              <w:rPr>
                <w:b/>
                <w:sz w:val="24"/>
              </w:rPr>
            </w:pPr>
            <w:r w:rsidRPr="00150EDC">
              <w:rPr>
                <w:b/>
                <w:sz w:val="24"/>
              </w:rPr>
              <w:t>"Order</w:t>
            </w:r>
            <w:r w:rsidRPr="00150EDC">
              <w:rPr>
                <w:b/>
                <w:spacing w:val="-5"/>
                <w:sz w:val="24"/>
              </w:rPr>
              <w:t xml:space="preserve"> </w:t>
            </w:r>
            <w:r w:rsidRPr="00150EDC">
              <w:rPr>
                <w:b/>
                <w:spacing w:val="-2"/>
                <w:sz w:val="24"/>
              </w:rPr>
              <w:t>Procedure"</w:t>
            </w:r>
          </w:p>
        </w:tc>
        <w:tc>
          <w:tcPr>
            <w:tcW w:w="7484" w:type="dxa"/>
          </w:tcPr>
          <w:p w14:paraId="12683A0A" w14:textId="77777777" w:rsidR="004C7180" w:rsidRPr="00150EDC" w:rsidRDefault="00CF0754">
            <w:pPr>
              <w:pStyle w:val="TableParagraph"/>
              <w:spacing w:before="0" w:line="240" w:lineRule="auto"/>
              <w:ind w:left="277"/>
              <w:rPr>
                <w:sz w:val="24"/>
              </w:rPr>
            </w:pPr>
            <w:r w:rsidRPr="00150EDC">
              <w:rPr>
                <w:sz w:val="24"/>
              </w:rPr>
              <w:t>the process for awarding an Order Contract pursuant to Clause 2 (How the contract works) and DPS Schedule 7 (Order Procedure);</w:t>
            </w:r>
          </w:p>
        </w:tc>
      </w:tr>
      <w:tr w:rsidR="007D3144" w:rsidRPr="007D3144" w14:paraId="259D2D18" w14:textId="77777777">
        <w:trPr>
          <w:trHeight w:val="672"/>
        </w:trPr>
        <w:tc>
          <w:tcPr>
            <w:tcW w:w="2264" w:type="dxa"/>
          </w:tcPr>
          <w:p w14:paraId="39A95B5E" w14:textId="77777777" w:rsidR="004C7180" w:rsidRPr="00150EDC" w:rsidRDefault="00CF0754">
            <w:pPr>
              <w:pStyle w:val="TableParagraph"/>
              <w:spacing w:before="1" w:line="240" w:lineRule="auto"/>
              <w:ind w:left="-1"/>
              <w:rPr>
                <w:b/>
                <w:sz w:val="24"/>
              </w:rPr>
            </w:pPr>
            <w:r w:rsidRPr="00150EDC">
              <w:rPr>
                <w:b/>
                <w:sz w:val="24"/>
              </w:rPr>
              <w:t>"Order</w:t>
            </w:r>
            <w:r w:rsidRPr="00150EDC">
              <w:rPr>
                <w:b/>
                <w:spacing w:val="-17"/>
                <w:sz w:val="24"/>
              </w:rPr>
              <w:t xml:space="preserve"> </w:t>
            </w:r>
            <w:r w:rsidRPr="00150EDC">
              <w:rPr>
                <w:b/>
                <w:sz w:val="24"/>
              </w:rPr>
              <w:t xml:space="preserve">Special </w:t>
            </w:r>
            <w:r w:rsidRPr="00150EDC">
              <w:rPr>
                <w:b/>
                <w:spacing w:val="-2"/>
                <w:sz w:val="24"/>
              </w:rPr>
              <w:t>Terms"</w:t>
            </w:r>
          </w:p>
        </w:tc>
        <w:tc>
          <w:tcPr>
            <w:tcW w:w="7484" w:type="dxa"/>
          </w:tcPr>
          <w:p w14:paraId="3122F852" w14:textId="77777777" w:rsidR="004C7180" w:rsidRPr="00150EDC" w:rsidRDefault="00CF0754">
            <w:pPr>
              <w:pStyle w:val="TableParagraph"/>
              <w:spacing w:before="1" w:line="240" w:lineRule="auto"/>
              <w:ind w:left="277"/>
              <w:rPr>
                <w:sz w:val="24"/>
              </w:rPr>
            </w:pPr>
            <w:r w:rsidRPr="00150EDC">
              <w:rPr>
                <w:sz w:val="24"/>
              </w:rPr>
              <w:t>any</w:t>
            </w:r>
            <w:r w:rsidRPr="00150EDC">
              <w:rPr>
                <w:spacing w:val="34"/>
                <w:sz w:val="24"/>
              </w:rPr>
              <w:t xml:space="preserve"> </w:t>
            </w:r>
            <w:r w:rsidRPr="00150EDC">
              <w:rPr>
                <w:sz w:val="24"/>
              </w:rPr>
              <w:t>additional</w:t>
            </w:r>
            <w:r w:rsidRPr="00150EDC">
              <w:rPr>
                <w:spacing w:val="33"/>
                <w:sz w:val="24"/>
              </w:rPr>
              <w:t xml:space="preserve"> </w:t>
            </w:r>
            <w:r w:rsidRPr="00150EDC">
              <w:rPr>
                <w:sz w:val="24"/>
              </w:rPr>
              <w:t>terms</w:t>
            </w:r>
            <w:r w:rsidRPr="00150EDC">
              <w:rPr>
                <w:spacing w:val="34"/>
                <w:sz w:val="24"/>
              </w:rPr>
              <w:t xml:space="preserve"> </w:t>
            </w:r>
            <w:r w:rsidRPr="00150EDC">
              <w:rPr>
                <w:sz w:val="24"/>
              </w:rPr>
              <w:t>and</w:t>
            </w:r>
            <w:r w:rsidRPr="00150EDC">
              <w:rPr>
                <w:spacing w:val="34"/>
                <w:sz w:val="24"/>
              </w:rPr>
              <w:t xml:space="preserve"> </w:t>
            </w:r>
            <w:r w:rsidRPr="00150EDC">
              <w:rPr>
                <w:sz w:val="24"/>
              </w:rPr>
              <w:t>conditions</w:t>
            </w:r>
            <w:r w:rsidRPr="00150EDC">
              <w:rPr>
                <w:spacing w:val="34"/>
                <w:sz w:val="24"/>
              </w:rPr>
              <w:t xml:space="preserve"> </w:t>
            </w:r>
            <w:r w:rsidRPr="00150EDC">
              <w:rPr>
                <w:sz w:val="24"/>
              </w:rPr>
              <w:t>specified</w:t>
            </w:r>
            <w:r w:rsidRPr="00150EDC">
              <w:rPr>
                <w:spacing w:val="37"/>
                <w:sz w:val="24"/>
              </w:rPr>
              <w:t xml:space="preserve"> </w:t>
            </w:r>
            <w:r w:rsidRPr="00150EDC">
              <w:rPr>
                <w:sz w:val="24"/>
              </w:rPr>
              <w:t>in</w:t>
            </w:r>
            <w:r w:rsidRPr="00150EDC">
              <w:rPr>
                <w:spacing w:val="34"/>
                <w:sz w:val="24"/>
              </w:rPr>
              <w:t xml:space="preserve"> </w:t>
            </w:r>
            <w:r w:rsidRPr="00150EDC">
              <w:rPr>
                <w:sz w:val="24"/>
              </w:rPr>
              <w:t>the</w:t>
            </w:r>
            <w:r w:rsidRPr="00150EDC">
              <w:rPr>
                <w:spacing w:val="34"/>
                <w:sz w:val="24"/>
              </w:rPr>
              <w:t xml:space="preserve"> </w:t>
            </w:r>
            <w:r w:rsidRPr="00150EDC">
              <w:rPr>
                <w:sz w:val="24"/>
              </w:rPr>
              <w:t>Order</w:t>
            </w:r>
            <w:r w:rsidRPr="00150EDC">
              <w:rPr>
                <w:spacing w:val="35"/>
                <w:sz w:val="24"/>
              </w:rPr>
              <w:t xml:space="preserve"> </w:t>
            </w:r>
            <w:r w:rsidRPr="00150EDC">
              <w:rPr>
                <w:sz w:val="24"/>
              </w:rPr>
              <w:t>Form incorporated into the applicable Order Contract;</w:t>
            </w:r>
          </w:p>
        </w:tc>
      </w:tr>
      <w:tr w:rsidR="007D3144" w:rsidRPr="007D3144" w14:paraId="1AB36669" w14:textId="77777777">
        <w:trPr>
          <w:trHeight w:val="395"/>
        </w:trPr>
        <w:tc>
          <w:tcPr>
            <w:tcW w:w="2264" w:type="dxa"/>
          </w:tcPr>
          <w:p w14:paraId="19D7BA41" w14:textId="77777777" w:rsidR="004C7180" w:rsidRPr="00150EDC" w:rsidRDefault="00CF0754">
            <w:pPr>
              <w:pStyle w:val="TableParagraph"/>
              <w:spacing w:before="0" w:line="240" w:lineRule="auto"/>
              <w:ind w:left="-1"/>
              <w:rPr>
                <w:b/>
                <w:sz w:val="24"/>
              </w:rPr>
            </w:pPr>
            <w:r w:rsidRPr="00150EDC">
              <w:rPr>
                <w:b/>
                <w:sz w:val="24"/>
              </w:rPr>
              <w:t>"Order</w:t>
            </w:r>
            <w:r w:rsidRPr="00150EDC">
              <w:rPr>
                <w:b/>
                <w:spacing w:val="-2"/>
                <w:sz w:val="24"/>
              </w:rPr>
              <w:t xml:space="preserve"> </w:t>
            </w:r>
            <w:r w:rsidRPr="00150EDC">
              <w:rPr>
                <w:b/>
                <w:sz w:val="24"/>
              </w:rPr>
              <w:t>Start</w:t>
            </w:r>
            <w:r w:rsidRPr="00150EDC">
              <w:rPr>
                <w:b/>
                <w:spacing w:val="-2"/>
                <w:sz w:val="24"/>
              </w:rPr>
              <w:t xml:space="preserve"> </w:t>
            </w:r>
            <w:r w:rsidRPr="00150EDC">
              <w:rPr>
                <w:b/>
                <w:spacing w:val="-4"/>
                <w:sz w:val="24"/>
              </w:rPr>
              <w:t>Date"</w:t>
            </w:r>
          </w:p>
        </w:tc>
        <w:tc>
          <w:tcPr>
            <w:tcW w:w="7484" w:type="dxa"/>
          </w:tcPr>
          <w:p w14:paraId="0410FC80" w14:textId="77777777" w:rsidR="004C7180" w:rsidRPr="00150EDC" w:rsidRDefault="00CF0754">
            <w:pPr>
              <w:pStyle w:val="TableParagraph"/>
              <w:spacing w:before="0" w:line="240" w:lineRule="auto"/>
              <w:ind w:left="277"/>
              <w:rPr>
                <w:sz w:val="24"/>
              </w:rPr>
            </w:pPr>
            <w:r w:rsidRPr="00150EDC">
              <w:rPr>
                <w:sz w:val="24"/>
              </w:rPr>
              <w:t>the</w:t>
            </w:r>
            <w:r w:rsidRPr="00150EDC">
              <w:rPr>
                <w:spacing w:val="-4"/>
                <w:sz w:val="24"/>
              </w:rPr>
              <w:t xml:space="preserve"> </w:t>
            </w:r>
            <w:r w:rsidRPr="00150EDC">
              <w:rPr>
                <w:sz w:val="24"/>
              </w:rPr>
              <w:t>date</w:t>
            </w:r>
            <w:r w:rsidRPr="00150EDC">
              <w:rPr>
                <w:spacing w:val="-2"/>
                <w:sz w:val="24"/>
              </w:rPr>
              <w:t xml:space="preserve"> </w:t>
            </w:r>
            <w:r w:rsidRPr="00150EDC">
              <w:rPr>
                <w:sz w:val="24"/>
              </w:rPr>
              <w:t>of</w:t>
            </w:r>
            <w:r w:rsidRPr="00150EDC">
              <w:rPr>
                <w:spacing w:val="-3"/>
                <w:sz w:val="24"/>
              </w:rPr>
              <w:t xml:space="preserve"> </w:t>
            </w:r>
            <w:r w:rsidRPr="00150EDC">
              <w:rPr>
                <w:sz w:val="24"/>
              </w:rPr>
              <w:t>start</w:t>
            </w:r>
            <w:r w:rsidRPr="00150EDC">
              <w:rPr>
                <w:spacing w:val="-4"/>
                <w:sz w:val="24"/>
              </w:rPr>
              <w:t xml:space="preserve"> </w:t>
            </w:r>
            <w:r w:rsidRPr="00150EDC">
              <w:rPr>
                <w:sz w:val="24"/>
              </w:rPr>
              <w:t>of</w:t>
            </w:r>
            <w:r w:rsidRPr="00150EDC">
              <w:rPr>
                <w:spacing w:val="-2"/>
                <w:sz w:val="24"/>
              </w:rPr>
              <w:t xml:space="preserve"> </w:t>
            </w:r>
            <w:r w:rsidRPr="00150EDC">
              <w:rPr>
                <w:sz w:val="24"/>
              </w:rPr>
              <w:t>an</w:t>
            </w:r>
            <w:r w:rsidRPr="00150EDC">
              <w:rPr>
                <w:spacing w:val="-4"/>
                <w:sz w:val="24"/>
              </w:rPr>
              <w:t xml:space="preserve"> </w:t>
            </w:r>
            <w:r w:rsidRPr="00150EDC">
              <w:rPr>
                <w:sz w:val="24"/>
              </w:rPr>
              <w:t>Order</w:t>
            </w:r>
            <w:r w:rsidRPr="00150EDC">
              <w:rPr>
                <w:spacing w:val="-1"/>
                <w:sz w:val="24"/>
              </w:rPr>
              <w:t xml:space="preserve"> </w:t>
            </w:r>
            <w:r w:rsidRPr="00150EDC">
              <w:rPr>
                <w:sz w:val="24"/>
              </w:rPr>
              <w:t>Contract</w:t>
            </w:r>
            <w:r w:rsidRPr="00150EDC">
              <w:rPr>
                <w:spacing w:val="-2"/>
                <w:sz w:val="24"/>
              </w:rPr>
              <w:t xml:space="preserve"> </w:t>
            </w:r>
            <w:r w:rsidRPr="00150EDC">
              <w:rPr>
                <w:sz w:val="24"/>
              </w:rPr>
              <w:t>as</w:t>
            </w:r>
            <w:r w:rsidRPr="00150EDC">
              <w:rPr>
                <w:spacing w:val="-1"/>
                <w:sz w:val="24"/>
              </w:rPr>
              <w:t xml:space="preserve"> </w:t>
            </w:r>
            <w:r w:rsidRPr="00150EDC">
              <w:rPr>
                <w:sz w:val="24"/>
              </w:rPr>
              <w:t>stated</w:t>
            </w:r>
            <w:r w:rsidRPr="00150EDC">
              <w:rPr>
                <w:spacing w:val="-2"/>
                <w:sz w:val="24"/>
              </w:rPr>
              <w:t xml:space="preserve"> </w:t>
            </w:r>
            <w:r w:rsidRPr="00150EDC">
              <w:rPr>
                <w:sz w:val="24"/>
              </w:rPr>
              <w:t>in</w:t>
            </w:r>
            <w:r w:rsidRPr="00150EDC">
              <w:rPr>
                <w:spacing w:val="-3"/>
                <w:sz w:val="24"/>
              </w:rPr>
              <w:t xml:space="preserve"> </w:t>
            </w:r>
            <w:r w:rsidRPr="00150EDC">
              <w:rPr>
                <w:sz w:val="24"/>
              </w:rPr>
              <w:t>the</w:t>
            </w:r>
            <w:r w:rsidRPr="00150EDC">
              <w:rPr>
                <w:spacing w:val="-4"/>
                <w:sz w:val="24"/>
              </w:rPr>
              <w:t xml:space="preserve"> </w:t>
            </w:r>
            <w:r w:rsidRPr="00150EDC">
              <w:rPr>
                <w:sz w:val="24"/>
              </w:rPr>
              <w:t>Order</w:t>
            </w:r>
            <w:r w:rsidRPr="00150EDC">
              <w:rPr>
                <w:spacing w:val="-1"/>
                <w:sz w:val="24"/>
              </w:rPr>
              <w:t xml:space="preserve"> </w:t>
            </w:r>
            <w:r w:rsidRPr="00150EDC">
              <w:rPr>
                <w:spacing w:val="-2"/>
                <w:sz w:val="24"/>
              </w:rPr>
              <w:t>Form;</w:t>
            </w:r>
          </w:p>
        </w:tc>
      </w:tr>
      <w:tr w:rsidR="007D3144" w:rsidRPr="007D3144" w14:paraId="198C0D02" w14:textId="77777777">
        <w:trPr>
          <w:trHeight w:val="947"/>
        </w:trPr>
        <w:tc>
          <w:tcPr>
            <w:tcW w:w="2264" w:type="dxa"/>
          </w:tcPr>
          <w:p w14:paraId="6F6C8E8D" w14:textId="77777777" w:rsidR="004C7180" w:rsidRPr="00150EDC" w:rsidRDefault="00CF0754">
            <w:pPr>
              <w:pStyle w:val="TableParagraph"/>
              <w:spacing w:before="0" w:line="240" w:lineRule="auto"/>
              <w:ind w:left="-1"/>
              <w:rPr>
                <w:b/>
                <w:sz w:val="24"/>
              </w:rPr>
            </w:pPr>
            <w:r w:rsidRPr="00150EDC">
              <w:rPr>
                <w:b/>
                <w:sz w:val="24"/>
              </w:rPr>
              <w:t>"Order</w:t>
            </w:r>
            <w:r w:rsidRPr="00150EDC">
              <w:rPr>
                <w:b/>
                <w:spacing w:val="-5"/>
                <w:sz w:val="24"/>
              </w:rPr>
              <w:t xml:space="preserve"> </w:t>
            </w:r>
            <w:r w:rsidRPr="00150EDC">
              <w:rPr>
                <w:b/>
                <w:spacing w:val="-2"/>
                <w:sz w:val="24"/>
              </w:rPr>
              <w:t>Tender"</w:t>
            </w:r>
          </w:p>
        </w:tc>
        <w:tc>
          <w:tcPr>
            <w:tcW w:w="7484" w:type="dxa"/>
          </w:tcPr>
          <w:p w14:paraId="32A5B135" w14:textId="77777777" w:rsidR="004C7180" w:rsidRPr="00150EDC" w:rsidRDefault="00CF0754">
            <w:pPr>
              <w:pStyle w:val="TableParagraph"/>
              <w:spacing w:before="0" w:line="240" w:lineRule="auto"/>
              <w:ind w:left="277" w:right="100"/>
              <w:jc w:val="both"/>
              <w:rPr>
                <w:sz w:val="24"/>
              </w:rPr>
            </w:pPr>
            <w:r w:rsidRPr="00150EDC">
              <w:rPr>
                <w:sz w:val="24"/>
              </w:rPr>
              <w:t>the tender submitted by the Supplier in response to the Buyer’s Statement of Requirements following an Order Procedure and set out at Order Schedule 4 (Order Tender);</w:t>
            </w:r>
          </w:p>
        </w:tc>
      </w:tr>
      <w:tr w:rsidR="007D3144" w:rsidRPr="007D3144" w14:paraId="5C66160F" w14:textId="77777777">
        <w:trPr>
          <w:trHeight w:val="947"/>
        </w:trPr>
        <w:tc>
          <w:tcPr>
            <w:tcW w:w="2264" w:type="dxa"/>
          </w:tcPr>
          <w:p w14:paraId="2CDBB588" w14:textId="77777777" w:rsidR="004C7180" w:rsidRPr="00150EDC" w:rsidRDefault="00CF0754">
            <w:pPr>
              <w:pStyle w:val="TableParagraph"/>
              <w:spacing w:before="0" w:line="240" w:lineRule="auto"/>
              <w:ind w:left="-1" w:right="298"/>
              <w:rPr>
                <w:b/>
                <w:sz w:val="24"/>
              </w:rPr>
            </w:pPr>
            <w:r w:rsidRPr="00150EDC">
              <w:rPr>
                <w:b/>
                <w:spacing w:val="-2"/>
                <w:sz w:val="24"/>
              </w:rPr>
              <w:t>"Other Contracting Authority"</w:t>
            </w:r>
          </w:p>
        </w:tc>
        <w:tc>
          <w:tcPr>
            <w:tcW w:w="7484" w:type="dxa"/>
          </w:tcPr>
          <w:p w14:paraId="03CFF7E7" w14:textId="77777777" w:rsidR="004C7180" w:rsidRPr="00150EDC" w:rsidRDefault="00CF0754">
            <w:pPr>
              <w:pStyle w:val="TableParagraph"/>
              <w:spacing w:before="0" w:line="240" w:lineRule="auto"/>
              <w:ind w:left="277"/>
              <w:rPr>
                <w:sz w:val="24"/>
              </w:rPr>
            </w:pPr>
            <w:r w:rsidRPr="00150EDC">
              <w:rPr>
                <w:sz w:val="24"/>
              </w:rPr>
              <w:t>any</w:t>
            </w:r>
            <w:r w:rsidRPr="00150EDC">
              <w:rPr>
                <w:spacing w:val="-2"/>
                <w:sz w:val="24"/>
              </w:rPr>
              <w:t xml:space="preserve"> </w:t>
            </w:r>
            <w:r w:rsidRPr="00150EDC">
              <w:rPr>
                <w:sz w:val="24"/>
              </w:rPr>
              <w:t>actual</w:t>
            </w:r>
            <w:r w:rsidRPr="00150EDC">
              <w:rPr>
                <w:spacing w:val="-5"/>
                <w:sz w:val="24"/>
              </w:rPr>
              <w:t xml:space="preserve"> </w:t>
            </w:r>
            <w:r w:rsidRPr="00150EDC">
              <w:rPr>
                <w:sz w:val="24"/>
              </w:rPr>
              <w:t>or</w:t>
            </w:r>
            <w:r w:rsidRPr="00150EDC">
              <w:rPr>
                <w:spacing w:val="-2"/>
                <w:sz w:val="24"/>
              </w:rPr>
              <w:t xml:space="preserve"> </w:t>
            </w:r>
            <w:r w:rsidRPr="00150EDC">
              <w:rPr>
                <w:sz w:val="24"/>
              </w:rPr>
              <w:t>potential</w:t>
            </w:r>
            <w:r w:rsidRPr="00150EDC">
              <w:rPr>
                <w:spacing w:val="-5"/>
                <w:sz w:val="24"/>
              </w:rPr>
              <w:t xml:space="preserve"> </w:t>
            </w:r>
            <w:r w:rsidRPr="00150EDC">
              <w:rPr>
                <w:sz w:val="24"/>
              </w:rPr>
              <w:t>Buyer</w:t>
            </w:r>
            <w:r w:rsidRPr="00150EDC">
              <w:rPr>
                <w:spacing w:val="-2"/>
                <w:sz w:val="24"/>
              </w:rPr>
              <w:t xml:space="preserve"> </w:t>
            </w:r>
            <w:r w:rsidRPr="00150EDC">
              <w:rPr>
                <w:sz w:val="24"/>
              </w:rPr>
              <w:t>under</w:t>
            </w:r>
            <w:r w:rsidRPr="00150EDC">
              <w:rPr>
                <w:spacing w:val="-4"/>
                <w:sz w:val="24"/>
              </w:rPr>
              <w:t xml:space="preserve"> </w:t>
            </w:r>
            <w:r w:rsidRPr="00150EDC">
              <w:rPr>
                <w:sz w:val="24"/>
              </w:rPr>
              <w:t>the</w:t>
            </w:r>
            <w:r w:rsidRPr="00150EDC">
              <w:rPr>
                <w:spacing w:val="-4"/>
                <w:sz w:val="24"/>
              </w:rPr>
              <w:t xml:space="preserve"> </w:t>
            </w:r>
            <w:r w:rsidRPr="00150EDC">
              <w:rPr>
                <w:sz w:val="24"/>
              </w:rPr>
              <w:t>DPS</w:t>
            </w:r>
            <w:r w:rsidRPr="00150EDC">
              <w:rPr>
                <w:spacing w:val="-4"/>
                <w:sz w:val="24"/>
              </w:rPr>
              <w:t xml:space="preserve"> </w:t>
            </w:r>
            <w:r w:rsidRPr="00150EDC">
              <w:rPr>
                <w:spacing w:val="-2"/>
                <w:sz w:val="24"/>
              </w:rPr>
              <w:t>Contract;</w:t>
            </w:r>
          </w:p>
        </w:tc>
      </w:tr>
      <w:tr w:rsidR="007D3144" w:rsidRPr="007D3144" w14:paraId="7A8DCBBA" w14:textId="77777777">
        <w:trPr>
          <w:trHeight w:val="2052"/>
        </w:trPr>
        <w:tc>
          <w:tcPr>
            <w:tcW w:w="2264" w:type="dxa"/>
          </w:tcPr>
          <w:p w14:paraId="53691FAE" w14:textId="77777777" w:rsidR="004C7180" w:rsidRPr="00150EDC" w:rsidRDefault="00CF0754">
            <w:pPr>
              <w:pStyle w:val="TableParagraph"/>
              <w:spacing w:before="0" w:line="240" w:lineRule="auto"/>
              <w:ind w:left="-1"/>
              <w:rPr>
                <w:b/>
                <w:sz w:val="24"/>
              </w:rPr>
            </w:pPr>
            <w:r w:rsidRPr="00150EDC">
              <w:rPr>
                <w:b/>
                <w:spacing w:val="-2"/>
                <w:sz w:val="24"/>
              </w:rPr>
              <w:t>"Overhead"</w:t>
            </w:r>
          </w:p>
        </w:tc>
        <w:tc>
          <w:tcPr>
            <w:tcW w:w="7484" w:type="dxa"/>
          </w:tcPr>
          <w:p w14:paraId="02F13513" w14:textId="77777777" w:rsidR="004C7180" w:rsidRPr="00150EDC" w:rsidRDefault="00CF0754">
            <w:pPr>
              <w:pStyle w:val="TableParagraph"/>
              <w:spacing w:before="0" w:line="240" w:lineRule="auto"/>
              <w:ind w:left="277" w:right="95"/>
              <w:jc w:val="both"/>
              <w:rPr>
                <w:sz w:val="24"/>
              </w:rPr>
            </w:pPr>
            <w:r w:rsidRPr="00150EDC">
              <w:rPr>
                <w:sz w:val="24"/>
              </w:rPr>
              <w:t>those amounts which are intended to recover a proportion of the Supplier’s or the Key Subcontractor’s (as the context requires) indirect</w:t>
            </w:r>
            <w:r w:rsidRPr="00150EDC">
              <w:rPr>
                <w:spacing w:val="-15"/>
                <w:sz w:val="24"/>
              </w:rPr>
              <w:t xml:space="preserve"> </w:t>
            </w:r>
            <w:r w:rsidRPr="00150EDC">
              <w:rPr>
                <w:sz w:val="24"/>
              </w:rPr>
              <w:t>corporate</w:t>
            </w:r>
            <w:r w:rsidRPr="00150EDC">
              <w:rPr>
                <w:spacing w:val="-14"/>
                <w:sz w:val="24"/>
              </w:rPr>
              <w:t xml:space="preserve"> </w:t>
            </w:r>
            <w:r w:rsidRPr="00150EDC">
              <w:rPr>
                <w:sz w:val="24"/>
              </w:rPr>
              <w:t>costs</w:t>
            </w:r>
            <w:r w:rsidRPr="00150EDC">
              <w:rPr>
                <w:spacing w:val="-16"/>
                <w:sz w:val="24"/>
              </w:rPr>
              <w:t xml:space="preserve"> </w:t>
            </w:r>
            <w:r w:rsidRPr="00150EDC">
              <w:rPr>
                <w:sz w:val="24"/>
              </w:rPr>
              <w:t>(including</w:t>
            </w:r>
            <w:r w:rsidRPr="00150EDC">
              <w:rPr>
                <w:spacing w:val="-14"/>
                <w:sz w:val="24"/>
              </w:rPr>
              <w:t xml:space="preserve"> </w:t>
            </w:r>
            <w:r w:rsidRPr="00150EDC">
              <w:rPr>
                <w:sz w:val="24"/>
              </w:rPr>
              <w:t>financing,</w:t>
            </w:r>
            <w:r w:rsidRPr="00150EDC">
              <w:rPr>
                <w:spacing w:val="-15"/>
                <w:sz w:val="24"/>
              </w:rPr>
              <w:t xml:space="preserve"> </w:t>
            </w:r>
            <w:r w:rsidRPr="00150EDC">
              <w:rPr>
                <w:sz w:val="24"/>
              </w:rPr>
              <w:t>marketing,</w:t>
            </w:r>
            <w:r w:rsidRPr="00150EDC">
              <w:rPr>
                <w:spacing w:val="-15"/>
                <w:sz w:val="24"/>
              </w:rPr>
              <w:t xml:space="preserve"> </w:t>
            </w:r>
            <w:r w:rsidRPr="00150EDC">
              <w:rPr>
                <w:sz w:val="24"/>
              </w:rPr>
              <w:t>advertising, research and development and insurance costs and any fines or penalties) but excluding allowable indirect costs apportioned to facilities and administration in the provision of Supplier Staff and accordingly included within limb (a) of the definition of "Costs";</w:t>
            </w:r>
          </w:p>
        </w:tc>
      </w:tr>
      <w:tr w:rsidR="007D3144" w:rsidRPr="007D3144" w14:paraId="113F7A34" w14:textId="77777777">
        <w:trPr>
          <w:trHeight w:val="398"/>
        </w:trPr>
        <w:tc>
          <w:tcPr>
            <w:tcW w:w="2264" w:type="dxa"/>
          </w:tcPr>
          <w:p w14:paraId="2CCD96C2" w14:textId="77777777" w:rsidR="004C7180" w:rsidRPr="00150EDC" w:rsidRDefault="00CF0754">
            <w:pPr>
              <w:pStyle w:val="TableParagraph"/>
              <w:spacing w:before="2" w:line="240" w:lineRule="auto"/>
              <w:ind w:left="-1"/>
              <w:rPr>
                <w:b/>
                <w:sz w:val="24"/>
              </w:rPr>
            </w:pPr>
            <w:r w:rsidRPr="00150EDC">
              <w:rPr>
                <w:b/>
                <w:spacing w:val="-2"/>
                <w:sz w:val="24"/>
              </w:rPr>
              <w:t>"Parliament"</w:t>
            </w:r>
          </w:p>
        </w:tc>
        <w:tc>
          <w:tcPr>
            <w:tcW w:w="7484" w:type="dxa"/>
          </w:tcPr>
          <w:p w14:paraId="661D6884" w14:textId="77777777" w:rsidR="004C7180" w:rsidRPr="00150EDC" w:rsidRDefault="00CF0754">
            <w:pPr>
              <w:pStyle w:val="TableParagraph"/>
              <w:spacing w:before="2" w:line="240" w:lineRule="auto"/>
              <w:ind w:left="277"/>
              <w:rPr>
                <w:sz w:val="24"/>
              </w:rPr>
            </w:pPr>
            <w:r w:rsidRPr="00150EDC">
              <w:rPr>
                <w:sz w:val="24"/>
              </w:rPr>
              <w:t>takes</w:t>
            </w:r>
            <w:r w:rsidRPr="00150EDC">
              <w:rPr>
                <w:spacing w:val="-2"/>
                <w:sz w:val="24"/>
              </w:rPr>
              <w:t xml:space="preserve"> </w:t>
            </w:r>
            <w:r w:rsidRPr="00150EDC">
              <w:rPr>
                <w:sz w:val="24"/>
              </w:rPr>
              <w:t>its</w:t>
            </w:r>
            <w:r w:rsidRPr="00150EDC">
              <w:rPr>
                <w:spacing w:val="-4"/>
                <w:sz w:val="24"/>
              </w:rPr>
              <w:t xml:space="preserve"> </w:t>
            </w:r>
            <w:r w:rsidRPr="00150EDC">
              <w:rPr>
                <w:sz w:val="24"/>
              </w:rPr>
              <w:t>natural</w:t>
            </w:r>
            <w:r w:rsidRPr="00150EDC">
              <w:rPr>
                <w:spacing w:val="-5"/>
                <w:sz w:val="24"/>
              </w:rPr>
              <w:t xml:space="preserve"> </w:t>
            </w:r>
            <w:r w:rsidRPr="00150EDC">
              <w:rPr>
                <w:sz w:val="24"/>
              </w:rPr>
              <w:t>meaning</w:t>
            </w:r>
            <w:r w:rsidRPr="00150EDC">
              <w:rPr>
                <w:spacing w:val="2"/>
                <w:sz w:val="24"/>
              </w:rPr>
              <w:t xml:space="preserve"> </w:t>
            </w:r>
            <w:r w:rsidRPr="00150EDC">
              <w:rPr>
                <w:sz w:val="24"/>
              </w:rPr>
              <w:t>as</w:t>
            </w:r>
            <w:r w:rsidRPr="00150EDC">
              <w:rPr>
                <w:spacing w:val="-5"/>
                <w:sz w:val="24"/>
              </w:rPr>
              <w:t xml:space="preserve"> </w:t>
            </w:r>
            <w:r w:rsidRPr="00150EDC">
              <w:rPr>
                <w:sz w:val="24"/>
              </w:rPr>
              <w:t>interpreted</w:t>
            </w:r>
            <w:r w:rsidRPr="00150EDC">
              <w:rPr>
                <w:spacing w:val="-4"/>
                <w:sz w:val="24"/>
              </w:rPr>
              <w:t xml:space="preserve"> </w:t>
            </w:r>
            <w:r w:rsidRPr="00150EDC">
              <w:rPr>
                <w:sz w:val="24"/>
              </w:rPr>
              <w:t>by</w:t>
            </w:r>
            <w:r w:rsidRPr="00150EDC">
              <w:rPr>
                <w:spacing w:val="-3"/>
                <w:sz w:val="24"/>
              </w:rPr>
              <w:t xml:space="preserve"> </w:t>
            </w:r>
            <w:r w:rsidRPr="00150EDC">
              <w:rPr>
                <w:spacing w:val="-4"/>
                <w:sz w:val="24"/>
              </w:rPr>
              <w:t>Law;</w:t>
            </w:r>
          </w:p>
        </w:tc>
      </w:tr>
      <w:tr w:rsidR="007D3144" w:rsidRPr="007D3144" w14:paraId="3FAA80F9" w14:textId="77777777">
        <w:trPr>
          <w:trHeight w:val="947"/>
        </w:trPr>
        <w:tc>
          <w:tcPr>
            <w:tcW w:w="2264" w:type="dxa"/>
          </w:tcPr>
          <w:p w14:paraId="4B3FE618" w14:textId="77777777" w:rsidR="004C7180" w:rsidRPr="00150EDC" w:rsidRDefault="00CF0754">
            <w:pPr>
              <w:pStyle w:val="TableParagraph"/>
              <w:spacing w:before="0" w:line="240" w:lineRule="auto"/>
              <w:ind w:left="-1"/>
              <w:rPr>
                <w:b/>
                <w:sz w:val="24"/>
              </w:rPr>
            </w:pPr>
            <w:r w:rsidRPr="00150EDC">
              <w:rPr>
                <w:b/>
                <w:spacing w:val="-2"/>
                <w:sz w:val="24"/>
              </w:rPr>
              <w:t>"Party"</w:t>
            </w:r>
          </w:p>
        </w:tc>
        <w:tc>
          <w:tcPr>
            <w:tcW w:w="7484" w:type="dxa"/>
          </w:tcPr>
          <w:p w14:paraId="6D6B1250" w14:textId="77777777" w:rsidR="004C7180" w:rsidRPr="00150EDC" w:rsidRDefault="00CF0754">
            <w:pPr>
              <w:pStyle w:val="TableParagraph"/>
              <w:spacing w:before="0" w:line="240" w:lineRule="auto"/>
              <w:ind w:left="277" w:right="100"/>
              <w:jc w:val="both"/>
              <w:rPr>
                <w:sz w:val="24"/>
              </w:rPr>
            </w:pPr>
            <w:r w:rsidRPr="00150EDC">
              <w:rPr>
                <w:sz w:val="24"/>
              </w:rPr>
              <w:t>in</w:t>
            </w:r>
            <w:r w:rsidRPr="00150EDC">
              <w:rPr>
                <w:spacing w:val="-3"/>
                <w:sz w:val="24"/>
              </w:rPr>
              <w:t xml:space="preserve"> </w:t>
            </w:r>
            <w:r w:rsidRPr="00150EDC">
              <w:rPr>
                <w:sz w:val="24"/>
              </w:rPr>
              <w:t>the</w:t>
            </w:r>
            <w:r w:rsidRPr="00150EDC">
              <w:rPr>
                <w:spacing w:val="-3"/>
                <w:sz w:val="24"/>
              </w:rPr>
              <w:t xml:space="preserve"> </w:t>
            </w:r>
            <w:r w:rsidRPr="00150EDC">
              <w:rPr>
                <w:sz w:val="24"/>
              </w:rPr>
              <w:t>context</w:t>
            </w:r>
            <w:r w:rsidRPr="00150EDC">
              <w:rPr>
                <w:spacing w:val="-3"/>
                <w:sz w:val="24"/>
              </w:rPr>
              <w:t xml:space="preserve"> </w:t>
            </w:r>
            <w:r w:rsidRPr="00150EDC">
              <w:rPr>
                <w:sz w:val="24"/>
              </w:rPr>
              <w:t>of</w:t>
            </w:r>
            <w:r w:rsidRPr="00150EDC">
              <w:rPr>
                <w:spacing w:val="-3"/>
                <w:sz w:val="24"/>
              </w:rPr>
              <w:t xml:space="preserve"> </w:t>
            </w:r>
            <w:r w:rsidRPr="00150EDC">
              <w:rPr>
                <w:sz w:val="24"/>
              </w:rPr>
              <w:t>the</w:t>
            </w:r>
            <w:r w:rsidRPr="00150EDC">
              <w:rPr>
                <w:spacing w:val="-3"/>
                <w:sz w:val="24"/>
              </w:rPr>
              <w:t xml:space="preserve"> </w:t>
            </w:r>
            <w:r w:rsidRPr="00150EDC">
              <w:rPr>
                <w:sz w:val="24"/>
              </w:rPr>
              <w:t>DPS</w:t>
            </w:r>
            <w:r w:rsidRPr="00150EDC">
              <w:rPr>
                <w:spacing w:val="-3"/>
                <w:sz w:val="24"/>
              </w:rPr>
              <w:t xml:space="preserve"> </w:t>
            </w:r>
            <w:r w:rsidRPr="00150EDC">
              <w:rPr>
                <w:sz w:val="24"/>
              </w:rPr>
              <w:t>Contract,</w:t>
            </w:r>
            <w:r w:rsidRPr="00150EDC">
              <w:rPr>
                <w:spacing w:val="-3"/>
                <w:sz w:val="24"/>
              </w:rPr>
              <w:t xml:space="preserve"> </w:t>
            </w:r>
            <w:r w:rsidRPr="00150EDC">
              <w:rPr>
                <w:sz w:val="24"/>
              </w:rPr>
              <w:t>CCS</w:t>
            </w:r>
            <w:r w:rsidRPr="00150EDC">
              <w:rPr>
                <w:spacing w:val="-3"/>
                <w:sz w:val="24"/>
              </w:rPr>
              <w:t xml:space="preserve"> </w:t>
            </w:r>
            <w:r w:rsidRPr="00150EDC">
              <w:rPr>
                <w:sz w:val="24"/>
              </w:rPr>
              <w:t>or</w:t>
            </w:r>
            <w:r w:rsidRPr="00150EDC">
              <w:rPr>
                <w:spacing w:val="-3"/>
                <w:sz w:val="24"/>
              </w:rPr>
              <w:t xml:space="preserve"> </w:t>
            </w:r>
            <w:r w:rsidRPr="00150EDC">
              <w:rPr>
                <w:sz w:val="24"/>
              </w:rPr>
              <w:t>the</w:t>
            </w:r>
            <w:r w:rsidRPr="00150EDC">
              <w:rPr>
                <w:spacing w:val="-3"/>
                <w:sz w:val="24"/>
              </w:rPr>
              <w:t xml:space="preserve"> </w:t>
            </w:r>
            <w:r w:rsidRPr="00150EDC">
              <w:rPr>
                <w:sz w:val="24"/>
              </w:rPr>
              <w:t>Supplier,</w:t>
            </w:r>
            <w:r w:rsidRPr="00150EDC">
              <w:rPr>
                <w:spacing w:val="-3"/>
                <w:sz w:val="24"/>
              </w:rPr>
              <w:t xml:space="preserve"> </w:t>
            </w:r>
            <w:r w:rsidRPr="00150EDC">
              <w:rPr>
                <w:sz w:val="24"/>
              </w:rPr>
              <w:t>and</w:t>
            </w:r>
            <w:r w:rsidRPr="00150EDC">
              <w:rPr>
                <w:spacing w:val="-3"/>
                <w:sz w:val="24"/>
              </w:rPr>
              <w:t xml:space="preserve"> </w:t>
            </w:r>
            <w:r w:rsidRPr="00150EDC">
              <w:rPr>
                <w:sz w:val="24"/>
              </w:rPr>
              <w:t>in</w:t>
            </w:r>
            <w:r w:rsidRPr="00150EDC">
              <w:rPr>
                <w:spacing w:val="-3"/>
                <w:sz w:val="24"/>
              </w:rPr>
              <w:t xml:space="preserve"> </w:t>
            </w:r>
            <w:r w:rsidRPr="00150EDC">
              <w:rPr>
                <w:sz w:val="24"/>
              </w:rPr>
              <w:t>the in the context of an Order Contract the Buyer or the Supplier. "</w:t>
            </w:r>
            <w:r w:rsidRPr="00150EDC">
              <w:rPr>
                <w:b/>
                <w:sz w:val="24"/>
              </w:rPr>
              <w:t>Parties</w:t>
            </w:r>
            <w:r w:rsidRPr="00150EDC">
              <w:rPr>
                <w:sz w:val="24"/>
              </w:rPr>
              <w:t>" shall mean both of them where the context permits;</w:t>
            </w:r>
          </w:p>
        </w:tc>
      </w:tr>
      <w:tr w:rsidR="007D3144" w:rsidRPr="007D3144" w14:paraId="547718C9" w14:textId="77777777">
        <w:trPr>
          <w:trHeight w:val="948"/>
        </w:trPr>
        <w:tc>
          <w:tcPr>
            <w:tcW w:w="2264" w:type="dxa"/>
          </w:tcPr>
          <w:p w14:paraId="0B229851" w14:textId="77777777" w:rsidR="004C7180" w:rsidRPr="00150EDC" w:rsidRDefault="00CF0754">
            <w:pPr>
              <w:pStyle w:val="TableParagraph"/>
              <w:spacing w:before="0" w:line="240" w:lineRule="auto"/>
              <w:ind w:left="-1" w:right="670"/>
              <w:jc w:val="both"/>
              <w:rPr>
                <w:b/>
                <w:sz w:val="24"/>
              </w:rPr>
            </w:pPr>
            <w:r w:rsidRPr="00150EDC">
              <w:rPr>
                <w:b/>
                <w:spacing w:val="-2"/>
                <w:sz w:val="24"/>
              </w:rPr>
              <w:t xml:space="preserve">"Performance </w:t>
            </w:r>
            <w:r w:rsidRPr="00150EDC">
              <w:rPr>
                <w:b/>
                <w:sz w:val="24"/>
              </w:rPr>
              <w:t>Indicators"</w:t>
            </w:r>
            <w:r w:rsidRPr="00150EDC">
              <w:rPr>
                <w:b/>
                <w:spacing w:val="-17"/>
                <w:sz w:val="24"/>
              </w:rPr>
              <w:t xml:space="preserve"> </w:t>
            </w:r>
            <w:r w:rsidRPr="00150EDC">
              <w:rPr>
                <w:b/>
                <w:sz w:val="24"/>
              </w:rPr>
              <w:t xml:space="preserve">or </w:t>
            </w:r>
            <w:r w:rsidRPr="00150EDC">
              <w:rPr>
                <w:b/>
                <w:spacing w:val="-2"/>
                <w:sz w:val="24"/>
              </w:rPr>
              <w:t>"PIs"</w:t>
            </w:r>
          </w:p>
        </w:tc>
        <w:tc>
          <w:tcPr>
            <w:tcW w:w="7484" w:type="dxa"/>
          </w:tcPr>
          <w:p w14:paraId="493A1652" w14:textId="77777777" w:rsidR="004C7180" w:rsidRPr="00150EDC" w:rsidRDefault="00CF0754">
            <w:pPr>
              <w:pStyle w:val="TableParagraph"/>
              <w:spacing w:before="0" w:line="240" w:lineRule="auto"/>
              <w:ind w:left="277" w:right="98"/>
              <w:jc w:val="both"/>
              <w:rPr>
                <w:sz w:val="24"/>
              </w:rPr>
            </w:pPr>
            <w:r w:rsidRPr="00150EDC">
              <w:rPr>
                <w:sz w:val="24"/>
              </w:rPr>
              <w:t>the performance measurements and targets in respect of the Supplier’s performance of the DPS Contract set out in DPS Schedule 4 (DPS Management);</w:t>
            </w:r>
          </w:p>
        </w:tc>
      </w:tr>
      <w:tr w:rsidR="007D3144" w:rsidRPr="007D3144" w14:paraId="4D4CB3E5" w14:textId="77777777">
        <w:trPr>
          <w:trHeight w:val="395"/>
        </w:trPr>
        <w:tc>
          <w:tcPr>
            <w:tcW w:w="2264" w:type="dxa"/>
          </w:tcPr>
          <w:p w14:paraId="77FEBE6B" w14:textId="77777777" w:rsidR="004C7180" w:rsidRPr="00150EDC" w:rsidRDefault="00CF0754">
            <w:pPr>
              <w:pStyle w:val="TableParagraph"/>
              <w:spacing w:before="0" w:line="240" w:lineRule="auto"/>
              <w:ind w:left="-1"/>
              <w:rPr>
                <w:b/>
                <w:sz w:val="24"/>
              </w:rPr>
            </w:pPr>
            <w:r w:rsidRPr="00150EDC">
              <w:rPr>
                <w:b/>
                <w:sz w:val="24"/>
              </w:rPr>
              <w:t>"Personal</w:t>
            </w:r>
            <w:r w:rsidRPr="00150EDC">
              <w:rPr>
                <w:b/>
                <w:spacing w:val="-4"/>
                <w:sz w:val="24"/>
              </w:rPr>
              <w:t xml:space="preserve"> </w:t>
            </w:r>
            <w:r w:rsidRPr="00150EDC">
              <w:rPr>
                <w:b/>
                <w:spacing w:val="-2"/>
                <w:sz w:val="24"/>
              </w:rPr>
              <w:t>Data"</w:t>
            </w:r>
          </w:p>
        </w:tc>
        <w:tc>
          <w:tcPr>
            <w:tcW w:w="7484" w:type="dxa"/>
          </w:tcPr>
          <w:p w14:paraId="02DC0231" w14:textId="77777777" w:rsidR="004C7180" w:rsidRPr="00150EDC" w:rsidRDefault="00CF0754">
            <w:pPr>
              <w:pStyle w:val="TableParagraph"/>
              <w:spacing w:before="0" w:line="240" w:lineRule="auto"/>
              <w:ind w:left="277"/>
              <w:rPr>
                <w:sz w:val="24"/>
              </w:rPr>
            </w:pPr>
            <w:r w:rsidRPr="00150EDC">
              <w:rPr>
                <w:sz w:val="24"/>
              </w:rPr>
              <w:t>has</w:t>
            </w:r>
            <w:r w:rsidRPr="00150EDC">
              <w:rPr>
                <w:spacing w:val="-2"/>
                <w:sz w:val="24"/>
              </w:rPr>
              <w:t xml:space="preserve"> </w:t>
            </w:r>
            <w:r w:rsidRPr="00150EDC">
              <w:rPr>
                <w:sz w:val="24"/>
              </w:rPr>
              <w:t>the</w:t>
            </w:r>
            <w:r w:rsidRPr="00150EDC">
              <w:rPr>
                <w:spacing w:val="-4"/>
                <w:sz w:val="24"/>
              </w:rPr>
              <w:t xml:space="preserve"> </w:t>
            </w:r>
            <w:r w:rsidRPr="00150EDC">
              <w:rPr>
                <w:sz w:val="24"/>
              </w:rPr>
              <w:t>meaning</w:t>
            </w:r>
            <w:r w:rsidRPr="00150EDC">
              <w:rPr>
                <w:spacing w:val="-2"/>
                <w:sz w:val="24"/>
              </w:rPr>
              <w:t xml:space="preserve"> </w:t>
            </w:r>
            <w:r w:rsidRPr="00150EDC">
              <w:rPr>
                <w:sz w:val="24"/>
              </w:rPr>
              <w:t>given</w:t>
            </w:r>
            <w:r w:rsidRPr="00150EDC">
              <w:rPr>
                <w:spacing w:val="-3"/>
                <w:sz w:val="24"/>
              </w:rPr>
              <w:t xml:space="preserve"> </w:t>
            </w:r>
            <w:r w:rsidRPr="00150EDC">
              <w:rPr>
                <w:sz w:val="24"/>
              </w:rPr>
              <w:t>to</w:t>
            </w:r>
            <w:r w:rsidRPr="00150EDC">
              <w:rPr>
                <w:spacing w:val="-2"/>
                <w:sz w:val="24"/>
              </w:rPr>
              <w:t xml:space="preserve"> </w:t>
            </w:r>
            <w:r w:rsidRPr="00150EDC">
              <w:rPr>
                <w:sz w:val="24"/>
              </w:rPr>
              <w:t>it</w:t>
            </w:r>
            <w:r w:rsidRPr="00150EDC">
              <w:rPr>
                <w:spacing w:val="-2"/>
                <w:sz w:val="24"/>
              </w:rPr>
              <w:t xml:space="preserve"> </w:t>
            </w:r>
            <w:r w:rsidRPr="00150EDC">
              <w:rPr>
                <w:sz w:val="24"/>
              </w:rPr>
              <w:t>in</w:t>
            </w:r>
            <w:r w:rsidRPr="00150EDC">
              <w:rPr>
                <w:spacing w:val="-3"/>
                <w:sz w:val="24"/>
              </w:rPr>
              <w:t xml:space="preserve"> </w:t>
            </w:r>
            <w:r w:rsidRPr="00150EDC">
              <w:rPr>
                <w:sz w:val="24"/>
              </w:rPr>
              <w:t>the</w:t>
            </w:r>
            <w:r w:rsidRPr="00150EDC">
              <w:rPr>
                <w:spacing w:val="-2"/>
                <w:sz w:val="24"/>
              </w:rPr>
              <w:t xml:space="preserve"> </w:t>
            </w:r>
            <w:r w:rsidRPr="00150EDC">
              <w:rPr>
                <w:sz w:val="24"/>
              </w:rPr>
              <w:t>UK</w:t>
            </w:r>
            <w:r w:rsidRPr="00150EDC">
              <w:rPr>
                <w:spacing w:val="-2"/>
                <w:sz w:val="24"/>
              </w:rPr>
              <w:t xml:space="preserve"> GDPR;</w:t>
            </w:r>
          </w:p>
        </w:tc>
      </w:tr>
      <w:tr w:rsidR="007D3144" w:rsidRPr="007D3144" w14:paraId="469B573E" w14:textId="77777777">
        <w:trPr>
          <w:trHeight w:val="671"/>
        </w:trPr>
        <w:tc>
          <w:tcPr>
            <w:tcW w:w="2264" w:type="dxa"/>
          </w:tcPr>
          <w:p w14:paraId="129E2479" w14:textId="77777777" w:rsidR="004C7180" w:rsidRPr="00150EDC" w:rsidRDefault="00CF0754">
            <w:pPr>
              <w:pStyle w:val="TableParagraph"/>
              <w:spacing w:before="0" w:line="240" w:lineRule="auto"/>
              <w:ind w:left="-1"/>
              <w:rPr>
                <w:b/>
                <w:sz w:val="24"/>
              </w:rPr>
            </w:pPr>
            <w:r w:rsidRPr="00150EDC">
              <w:rPr>
                <w:b/>
                <w:sz w:val="24"/>
              </w:rPr>
              <w:t>“Personal</w:t>
            </w:r>
            <w:r w:rsidRPr="00150EDC">
              <w:rPr>
                <w:b/>
                <w:spacing w:val="-17"/>
                <w:sz w:val="24"/>
              </w:rPr>
              <w:t xml:space="preserve"> </w:t>
            </w:r>
            <w:r w:rsidRPr="00150EDC">
              <w:rPr>
                <w:b/>
                <w:sz w:val="24"/>
              </w:rPr>
              <w:t xml:space="preserve">Data </w:t>
            </w:r>
            <w:r w:rsidRPr="00150EDC">
              <w:rPr>
                <w:b/>
                <w:spacing w:val="-2"/>
                <w:sz w:val="24"/>
              </w:rPr>
              <w:t>Breach”</w:t>
            </w:r>
          </w:p>
        </w:tc>
        <w:tc>
          <w:tcPr>
            <w:tcW w:w="7484" w:type="dxa"/>
          </w:tcPr>
          <w:p w14:paraId="57E9FCFD" w14:textId="77777777" w:rsidR="004C7180" w:rsidRPr="00150EDC" w:rsidRDefault="00CF0754">
            <w:pPr>
              <w:pStyle w:val="TableParagraph"/>
              <w:spacing w:before="0" w:line="240" w:lineRule="auto"/>
              <w:ind w:left="277"/>
              <w:rPr>
                <w:sz w:val="24"/>
              </w:rPr>
            </w:pPr>
            <w:r w:rsidRPr="00150EDC">
              <w:rPr>
                <w:sz w:val="24"/>
              </w:rPr>
              <w:t>has</w:t>
            </w:r>
            <w:r w:rsidRPr="00150EDC">
              <w:rPr>
                <w:spacing w:val="-2"/>
                <w:sz w:val="24"/>
              </w:rPr>
              <w:t xml:space="preserve"> </w:t>
            </w:r>
            <w:r w:rsidRPr="00150EDC">
              <w:rPr>
                <w:sz w:val="24"/>
              </w:rPr>
              <w:t>the</w:t>
            </w:r>
            <w:r w:rsidRPr="00150EDC">
              <w:rPr>
                <w:spacing w:val="-4"/>
                <w:sz w:val="24"/>
              </w:rPr>
              <w:t xml:space="preserve"> </w:t>
            </w:r>
            <w:r w:rsidRPr="00150EDC">
              <w:rPr>
                <w:sz w:val="24"/>
              </w:rPr>
              <w:t>meaning</w:t>
            </w:r>
            <w:r w:rsidRPr="00150EDC">
              <w:rPr>
                <w:spacing w:val="-2"/>
                <w:sz w:val="24"/>
              </w:rPr>
              <w:t xml:space="preserve"> </w:t>
            </w:r>
            <w:r w:rsidRPr="00150EDC">
              <w:rPr>
                <w:sz w:val="24"/>
              </w:rPr>
              <w:t>given</w:t>
            </w:r>
            <w:r w:rsidRPr="00150EDC">
              <w:rPr>
                <w:spacing w:val="-3"/>
                <w:sz w:val="24"/>
              </w:rPr>
              <w:t xml:space="preserve"> </w:t>
            </w:r>
            <w:r w:rsidRPr="00150EDC">
              <w:rPr>
                <w:sz w:val="24"/>
              </w:rPr>
              <w:t>to</w:t>
            </w:r>
            <w:r w:rsidRPr="00150EDC">
              <w:rPr>
                <w:spacing w:val="-2"/>
                <w:sz w:val="24"/>
              </w:rPr>
              <w:t xml:space="preserve"> </w:t>
            </w:r>
            <w:r w:rsidRPr="00150EDC">
              <w:rPr>
                <w:sz w:val="24"/>
              </w:rPr>
              <w:t>it</w:t>
            </w:r>
            <w:r w:rsidRPr="00150EDC">
              <w:rPr>
                <w:spacing w:val="-2"/>
                <w:sz w:val="24"/>
              </w:rPr>
              <w:t xml:space="preserve"> </w:t>
            </w:r>
            <w:r w:rsidRPr="00150EDC">
              <w:rPr>
                <w:sz w:val="24"/>
              </w:rPr>
              <w:t>in</w:t>
            </w:r>
            <w:r w:rsidRPr="00150EDC">
              <w:rPr>
                <w:spacing w:val="-3"/>
                <w:sz w:val="24"/>
              </w:rPr>
              <w:t xml:space="preserve"> </w:t>
            </w:r>
            <w:r w:rsidRPr="00150EDC">
              <w:rPr>
                <w:sz w:val="24"/>
              </w:rPr>
              <w:t>the</w:t>
            </w:r>
            <w:r w:rsidRPr="00150EDC">
              <w:rPr>
                <w:spacing w:val="-2"/>
                <w:sz w:val="24"/>
              </w:rPr>
              <w:t xml:space="preserve"> </w:t>
            </w:r>
            <w:r w:rsidRPr="00150EDC">
              <w:rPr>
                <w:sz w:val="24"/>
              </w:rPr>
              <w:t>UK</w:t>
            </w:r>
            <w:r w:rsidRPr="00150EDC">
              <w:rPr>
                <w:spacing w:val="-2"/>
                <w:sz w:val="24"/>
              </w:rPr>
              <w:t xml:space="preserve"> GDPR;</w:t>
            </w:r>
          </w:p>
        </w:tc>
      </w:tr>
      <w:tr w:rsidR="007D3144" w:rsidRPr="007D3144" w14:paraId="12931EA1" w14:textId="77777777">
        <w:trPr>
          <w:trHeight w:val="947"/>
        </w:trPr>
        <w:tc>
          <w:tcPr>
            <w:tcW w:w="2264" w:type="dxa"/>
          </w:tcPr>
          <w:p w14:paraId="506EBD7D" w14:textId="77777777" w:rsidR="004C7180" w:rsidRPr="00150EDC" w:rsidRDefault="00CF0754">
            <w:pPr>
              <w:pStyle w:val="TableParagraph"/>
              <w:spacing w:before="0" w:line="240" w:lineRule="auto"/>
              <w:ind w:left="-1"/>
              <w:rPr>
                <w:b/>
                <w:sz w:val="24"/>
              </w:rPr>
            </w:pPr>
            <w:r w:rsidRPr="00150EDC">
              <w:rPr>
                <w:b/>
                <w:spacing w:val="-2"/>
                <w:sz w:val="24"/>
              </w:rPr>
              <w:t>“Personnel”</w:t>
            </w:r>
          </w:p>
        </w:tc>
        <w:tc>
          <w:tcPr>
            <w:tcW w:w="7484" w:type="dxa"/>
          </w:tcPr>
          <w:p w14:paraId="436847B1" w14:textId="77777777" w:rsidR="004C7180" w:rsidRPr="00150EDC" w:rsidRDefault="00CF0754">
            <w:pPr>
              <w:pStyle w:val="TableParagraph"/>
              <w:spacing w:before="0" w:line="240" w:lineRule="auto"/>
              <w:ind w:left="277" w:right="100"/>
              <w:jc w:val="both"/>
              <w:rPr>
                <w:sz w:val="24"/>
              </w:rPr>
            </w:pPr>
            <w:r w:rsidRPr="00150EDC">
              <w:rPr>
                <w:sz w:val="24"/>
              </w:rPr>
              <w:t>all</w:t>
            </w:r>
            <w:r w:rsidRPr="00150EDC">
              <w:rPr>
                <w:spacing w:val="-11"/>
                <w:sz w:val="24"/>
              </w:rPr>
              <w:t xml:space="preserve"> </w:t>
            </w:r>
            <w:r w:rsidRPr="00150EDC">
              <w:rPr>
                <w:sz w:val="24"/>
              </w:rPr>
              <w:t>directors,</w:t>
            </w:r>
            <w:r w:rsidRPr="00150EDC">
              <w:rPr>
                <w:spacing w:val="-10"/>
                <w:sz w:val="24"/>
              </w:rPr>
              <w:t xml:space="preserve"> </w:t>
            </w:r>
            <w:r w:rsidRPr="00150EDC">
              <w:rPr>
                <w:sz w:val="24"/>
              </w:rPr>
              <w:t>officers,</w:t>
            </w:r>
            <w:r w:rsidRPr="00150EDC">
              <w:rPr>
                <w:spacing w:val="-10"/>
                <w:sz w:val="24"/>
              </w:rPr>
              <w:t xml:space="preserve"> </w:t>
            </w:r>
            <w:r w:rsidRPr="00150EDC">
              <w:rPr>
                <w:sz w:val="24"/>
              </w:rPr>
              <w:t>employees,</w:t>
            </w:r>
            <w:r w:rsidRPr="00150EDC">
              <w:rPr>
                <w:spacing w:val="-10"/>
                <w:sz w:val="24"/>
              </w:rPr>
              <w:t xml:space="preserve"> </w:t>
            </w:r>
            <w:r w:rsidRPr="00150EDC">
              <w:rPr>
                <w:sz w:val="24"/>
              </w:rPr>
              <w:t>agents,</w:t>
            </w:r>
            <w:r w:rsidRPr="00150EDC">
              <w:rPr>
                <w:spacing w:val="-10"/>
                <w:sz w:val="24"/>
              </w:rPr>
              <w:t xml:space="preserve"> </w:t>
            </w:r>
            <w:r w:rsidRPr="00150EDC">
              <w:rPr>
                <w:sz w:val="24"/>
              </w:rPr>
              <w:t>consultants</w:t>
            </w:r>
            <w:r w:rsidRPr="00150EDC">
              <w:rPr>
                <w:spacing w:val="-10"/>
                <w:sz w:val="24"/>
              </w:rPr>
              <w:t xml:space="preserve"> </w:t>
            </w:r>
            <w:r w:rsidRPr="00150EDC">
              <w:rPr>
                <w:sz w:val="24"/>
              </w:rPr>
              <w:t>and</w:t>
            </w:r>
            <w:r w:rsidRPr="00150EDC">
              <w:rPr>
                <w:spacing w:val="-10"/>
                <w:sz w:val="24"/>
              </w:rPr>
              <w:t xml:space="preserve"> </w:t>
            </w:r>
            <w:r w:rsidRPr="00150EDC">
              <w:rPr>
                <w:sz w:val="24"/>
              </w:rPr>
              <w:t>suppliers of a Party and/or of any Subcontractor and/or Subprocessor engaged in the performance of its obligations under a Contract;</w:t>
            </w:r>
          </w:p>
        </w:tc>
      </w:tr>
      <w:tr w:rsidR="007D3144" w:rsidRPr="007D3144" w14:paraId="44A4E171" w14:textId="77777777">
        <w:trPr>
          <w:trHeight w:val="673"/>
        </w:trPr>
        <w:tc>
          <w:tcPr>
            <w:tcW w:w="2264" w:type="dxa"/>
          </w:tcPr>
          <w:p w14:paraId="310ACB59" w14:textId="77777777" w:rsidR="004C7180" w:rsidRPr="00150EDC" w:rsidRDefault="00CF0754">
            <w:pPr>
              <w:pStyle w:val="TableParagraph"/>
              <w:spacing w:before="0" w:line="240" w:lineRule="auto"/>
              <w:ind w:left="-1"/>
              <w:rPr>
                <w:b/>
                <w:sz w:val="24"/>
              </w:rPr>
            </w:pPr>
            <w:r w:rsidRPr="00150EDC">
              <w:rPr>
                <w:b/>
                <w:spacing w:val="-2"/>
                <w:sz w:val="24"/>
              </w:rPr>
              <w:t>“Platform”</w:t>
            </w:r>
          </w:p>
        </w:tc>
        <w:tc>
          <w:tcPr>
            <w:tcW w:w="7484" w:type="dxa"/>
          </w:tcPr>
          <w:p w14:paraId="0627EC67" w14:textId="77777777" w:rsidR="004C7180" w:rsidRPr="00150EDC" w:rsidRDefault="00CF0754">
            <w:pPr>
              <w:pStyle w:val="TableParagraph"/>
              <w:spacing w:before="0" w:line="240" w:lineRule="auto"/>
              <w:ind w:left="277"/>
              <w:rPr>
                <w:sz w:val="24"/>
              </w:rPr>
            </w:pPr>
            <w:r w:rsidRPr="00150EDC">
              <w:rPr>
                <w:sz w:val="24"/>
              </w:rPr>
              <w:t>the online application operated on behalf of CCS to facilitate the</w:t>
            </w:r>
            <w:r w:rsidRPr="00150EDC">
              <w:rPr>
                <w:spacing w:val="80"/>
                <w:sz w:val="24"/>
              </w:rPr>
              <w:t xml:space="preserve"> </w:t>
            </w:r>
            <w:r w:rsidRPr="00150EDC">
              <w:rPr>
                <w:sz w:val="24"/>
              </w:rPr>
              <w:t>technical operation of the DPS;</w:t>
            </w:r>
          </w:p>
        </w:tc>
      </w:tr>
    </w:tbl>
    <w:p w14:paraId="04698478" w14:textId="77777777" w:rsidR="004C7180" w:rsidRPr="00150EDC" w:rsidRDefault="004C7180">
      <w:pPr>
        <w:rPr>
          <w:sz w:val="24"/>
        </w:rPr>
        <w:sectPr w:rsidR="004C7180" w:rsidRPr="00150EDC">
          <w:pgSz w:w="11910" w:h="16840"/>
          <w:pgMar w:top="1160" w:right="0" w:bottom="1460" w:left="40" w:header="715" w:footer="1208" w:gutter="0"/>
          <w:cols w:space="720"/>
        </w:sectPr>
      </w:pPr>
    </w:p>
    <w:p w14:paraId="5F0BAFF5" w14:textId="77777777" w:rsidR="004C7180" w:rsidRPr="00150EDC" w:rsidRDefault="004C7180">
      <w:pPr>
        <w:pStyle w:val="BodyText"/>
        <w:spacing w:before="7"/>
        <w:rPr>
          <w:sz w:val="23"/>
        </w:rPr>
      </w:pPr>
    </w:p>
    <w:tbl>
      <w:tblPr>
        <w:tblW w:w="0" w:type="auto"/>
        <w:tblInd w:w="1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4"/>
        <w:gridCol w:w="7484"/>
      </w:tblGrid>
      <w:tr w:rsidR="007D3144" w:rsidRPr="007D3144" w14:paraId="3FE95DD4" w14:textId="77777777">
        <w:trPr>
          <w:trHeight w:val="1776"/>
        </w:trPr>
        <w:tc>
          <w:tcPr>
            <w:tcW w:w="2264" w:type="dxa"/>
          </w:tcPr>
          <w:p w14:paraId="5E6A24F7" w14:textId="77777777" w:rsidR="004C7180" w:rsidRPr="00150EDC" w:rsidRDefault="00CF0754">
            <w:pPr>
              <w:pStyle w:val="TableParagraph"/>
              <w:spacing w:before="0" w:line="240" w:lineRule="auto"/>
              <w:ind w:left="-1" w:right="148"/>
              <w:rPr>
                <w:b/>
                <w:sz w:val="24"/>
              </w:rPr>
            </w:pPr>
            <w:r w:rsidRPr="00150EDC">
              <w:rPr>
                <w:b/>
                <w:spacing w:val="-2"/>
                <w:sz w:val="24"/>
              </w:rPr>
              <w:t>"Prescribed Person"</w:t>
            </w:r>
          </w:p>
        </w:tc>
        <w:tc>
          <w:tcPr>
            <w:tcW w:w="7484" w:type="dxa"/>
          </w:tcPr>
          <w:p w14:paraId="29190534" w14:textId="77777777" w:rsidR="004C7180" w:rsidRPr="00150EDC" w:rsidRDefault="00CF0754">
            <w:pPr>
              <w:pStyle w:val="TableParagraph"/>
              <w:spacing w:before="0" w:line="240" w:lineRule="auto"/>
              <w:ind w:left="277" w:right="90"/>
              <w:rPr>
                <w:sz w:val="24"/>
              </w:rPr>
            </w:pPr>
            <w:r w:rsidRPr="00150EDC">
              <w:rPr>
                <w:sz w:val="24"/>
              </w:rPr>
              <w:t>a</w:t>
            </w:r>
            <w:r w:rsidRPr="00150EDC">
              <w:rPr>
                <w:spacing w:val="40"/>
                <w:sz w:val="24"/>
              </w:rPr>
              <w:t xml:space="preserve"> </w:t>
            </w:r>
            <w:r w:rsidRPr="00150EDC">
              <w:rPr>
                <w:sz w:val="24"/>
              </w:rPr>
              <w:t>legal</w:t>
            </w:r>
            <w:r w:rsidRPr="00150EDC">
              <w:rPr>
                <w:spacing w:val="40"/>
                <w:sz w:val="24"/>
              </w:rPr>
              <w:t xml:space="preserve"> </w:t>
            </w:r>
            <w:r w:rsidRPr="00150EDC">
              <w:rPr>
                <w:sz w:val="24"/>
              </w:rPr>
              <w:t>adviser,</w:t>
            </w:r>
            <w:r w:rsidRPr="00150EDC">
              <w:rPr>
                <w:spacing w:val="40"/>
                <w:sz w:val="24"/>
              </w:rPr>
              <w:t xml:space="preserve"> </w:t>
            </w:r>
            <w:r w:rsidRPr="00150EDC">
              <w:rPr>
                <w:sz w:val="24"/>
              </w:rPr>
              <w:t>an</w:t>
            </w:r>
            <w:r w:rsidRPr="00150EDC">
              <w:rPr>
                <w:spacing w:val="40"/>
                <w:sz w:val="24"/>
              </w:rPr>
              <w:t xml:space="preserve"> </w:t>
            </w:r>
            <w:r w:rsidRPr="00150EDC">
              <w:rPr>
                <w:sz w:val="24"/>
              </w:rPr>
              <w:t>MP</w:t>
            </w:r>
            <w:r w:rsidRPr="00150EDC">
              <w:rPr>
                <w:spacing w:val="40"/>
                <w:sz w:val="24"/>
              </w:rPr>
              <w:t xml:space="preserve"> </w:t>
            </w:r>
            <w:r w:rsidRPr="00150EDC">
              <w:rPr>
                <w:sz w:val="24"/>
              </w:rPr>
              <w:t>or</w:t>
            </w:r>
            <w:r w:rsidRPr="00150EDC">
              <w:rPr>
                <w:spacing w:val="40"/>
                <w:sz w:val="24"/>
              </w:rPr>
              <w:t xml:space="preserve"> </w:t>
            </w:r>
            <w:r w:rsidRPr="00150EDC">
              <w:rPr>
                <w:sz w:val="24"/>
              </w:rPr>
              <w:t>an</w:t>
            </w:r>
            <w:r w:rsidRPr="00150EDC">
              <w:rPr>
                <w:spacing w:val="40"/>
                <w:sz w:val="24"/>
              </w:rPr>
              <w:t xml:space="preserve"> </w:t>
            </w:r>
            <w:r w:rsidRPr="00150EDC">
              <w:rPr>
                <w:sz w:val="24"/>
              </w:rPr>
              <w:t>appropriate</w:t>
            </w:r>
            <w:r w:rsidRPr="00150EDC">
              <w:rPr>
                <w:spacing w:val="39"/>
                <w:sz w:val="24"/>
              </w:rPr>
              <w:t xml:space="preserve"> </w:t>
            </w:r>
            <w:r w:rsidRPr="00150EDC">
              <w:rPr>
                <w:sz w:val="24"/>
              </w:rPr>
              <w:t>body</w:t>
            </w:r>
            <w:r w:rsidRPr="00150EDC">
              <w:rPr>
                <w:spacing w:val="40"/>
                <w:sz w:val="24"/>
              </w:rPr>
              <w:t xml:space="preserve"> </w:t>
            </w:r>
            <w:r w:rsidRPr="00150EDC">
              <w:rPr>
                <w:sz w:val="24"/>
              </w:rPr>
              <w:t>which</w:t>
            </w:r>
            <w:r w:rsidRPr="00150EDC">
              <w:rPr>
                <w:spacing w:val="40"/>
                <w:sz w:val="24"/>
              </w:rPr>
              <w:t xml:space="preserve"> </w:t>
            </w:r>
            <w:r w:rsidRPr="00150EDC">
              <w:rPr>
                <w:sz w:val="24"/>
              </w:rPr>
              <w:t>a</w:t>
            </w:r>
            <w:r w:rsidRPr="00150EDC">
              <w:rPr>
                <w:spacing w:val="40"/>
                <w:sz w:val="24"/>
              </w:rPr>
              <w:t xml:space="preserve"> </w:t>
            </w:r>
            <w:r w:rsidRPr="00150EDC">
              <w:rPr>
                <w:sz w:val="24"/>
              </w:rPr>
              <w:t>whistle- blower</w:t>
            </w:r>
            <w:r w:rsidRPr="00150EDC">
              <w:rPr>
                <w:spacing w:val="-7"/>
                <w:sz w:val="24"/>
              </w:rPr>
              <w:t xml:space="preserve"> </w:t>
            </w:r>
            <w:r w:rsidRPr="00150EDC">
              <w:rPr>
                <w:sz w:val="24"/>
              </w:rPr>
              <w:t>may</w:t>
            </w:r>
            <w:r w:rsidRPr="00150EDC">
              <w:rPr>
                <w:spacing w:val="-8"/>
                <w:sz w:val="24"/>
              </w:rPr>
              <w:t xml:space="preserve"> </w:t>
            </w:r>
            <w:r w:rsidRPr="00150EDC">
              <w:rPr>
                <w:sz w:val="24"/>
              </w:rPr>
              <w:t>make</w:t>
            </w:r>
            <w:r w:rsidRPr="00150EDC">
              <w:rPr>
                <w:spacing w:val="-7"/>
                <w:sz w:val="24"/>
              </w:rPr>
              <w:t xml:space="preserve"> </w:t>
            </w:r>
            <w:r w:rsidRPr="00150EDC">
              <w:rPr>
                <w:sz w:val="24"/>
              </w:rPr>
              <w:t>a</w:t>
            </w:r>
            <w:r w:rsidRPr="00150EDC">
              <w:rPr>
                <w:spacing w:val="-7"/>
                <w:sz w:val="24"/>
              </w:rPr>
              <w:t xml:space="preserve"> </w:t>
            </w:r>
            <w:r w:rsidRPr="00150EDC">
              <w:rPr>
                <w:sz w:val="24"/>
              </w:rPr>
              <w:t>disclosure</w:t>
            </w:r>
            <w:r w:rsidRPr="00150EDC">
              <w:rPr>
                <w:spacing w:val="-6"/>
                <w:sz w:val="24"/>
              </w:rPr>
              <w:t xml:space="preserve"> </w:t>
            </w:r>
            <w:r w:rsidRPr="00150EDC">
              <w:rPr>
                <w:sz w:val="24"/>
              </w:rPr>
              <w:t>to</w:t>
            </w:r>
            <w:r w:rsidRPr="00150EDC">
              <w:rPr>
                <w:spacing w:val="-7"/>
                <w:sz w:val="24"/>
              </w:rPr>
              <w:t xml:space="preserve"> </w:t>
            </w:r>
            <w:r w:rsidRPr="00150EDC">
              <w:rPr>
                <w:sz w:val="24"/>
              </w:rPr>
              <w:t>as</w:t>
            </w:r>
            <w:r w:rsidRPr="00150EDC">
              <w:rPr>
                <w:spacing w:val="-8"/>
                <w:sz w:val="24"/>
              </w:rPr>
              <w:t xml:space="preserve"> </w:t>
            </w:r>
            <w:r w:rsidRPr="00150EDC">
              <w:rPr>
                <w:sz w:val="24"/>
              </w:rPr>
              <w:t>detailed</w:t>
            </w:r>
            <w:r w:rsidRPr="00150EDC">
              <w:rPr>
                <w:spacing w:val="-6"/>
                <w:sz w:val="24"/>
              </w:rPr>
              <w:t xml:space="preserve"> </w:t>
            </w:r>
            <w:r w:rsidRPr="00150EDC">
              <w:rPr>
                <w:sz w:val="24"/>
              </w:rPr>
              <w:t>in</w:t>
            </w:r>
            <w:r w:rsidRPr="00150EDC">
              <w:rPr>
                <w:spacing w:val="-6"/>
                <w:sz w:val="24"/>
              </w:rPr>
              <w:t xml:space="preserve"> </w:t>
            </w:r>
            <w:r w:rsidRPr="00150EDC">
              <w:rPr>
                <w:sz w:val="24"/>
              </w:rPr>
              <w:t>‘Whistleblowing: list of</w:t>
            </w:r>
            <w:r w:rsidRPr="00150EDC">
              <w:rPr>
                <w:spacing w:val="40"/>
                <w:sz w:val="24"/>
              </w:rPr>
              <w:t xml:space="preserve"> </w:t>
            </w:r>
            <w:r w:rsidRPr="00150EDC">
              <w:rPr>
                <w:sz w:val="24"/>
              </w:rPr>
              <w:t>prescribed</w:t>
            </w:r>
            <w:r w:rsidRPr="00150EDC">
              <w:rPr>
                <w:spacing w:val="40"/>
                <w:sz w:val="24"/>
              </w:rPr>
              <w:t xml:space="preserve"> </w:t>
            </w:r>
            <w:r w:rsidRPr="00150EDC">
              <w:rPr>
                <w:sz w:val="24"/>
              </w:rPr>
              <w:t>people</w:t>
            </w:r>
            <w:r w:rsidRPr="00150EDC">
              <w:rPr>
                <w:spacing w:val="40"/>
                <w:sz w:val="24"/>
              </w:rPr>
              <w:t xml:space="preserve"> </w:t>
            </w:r>
            <w:r w:rsidRPr="00150EDC">
              <w:rPr>
                <w:sz w:val="24"/>
              </w:rPr>
              <w:t>and</w:t>
            </w:r>
            <w:r w:rsidRPr="00150EDC">
              <w:rPr>
                <w:spacing w:val="40"/>
                <w:sz w:val="24"/>
              </w:rPr>
              <w:t xml:space="preserve"> </w:t>
            </w:r>
            <w:r w:rsidRPr="00150EDC">
              <w:rPr>
                <w:sz w:val="24"/>
              </w:rPr>
              <w:t>bodies’,</w:t>
            </w:r>
            <w:r w:rsidRPr="00150EDC">
              <w:rPr>
                <w:spacing w:val="40"/>
                <w:sz w:val="24"/>
              </w:rPr>
              <w:t xml:space="preserve"> </w:t>
            </w:r>
            <w:r w:rsidRPr="00150EDC">
              <w:rPr>
                <w:sz w:val="24"/>
              </w:rPr>
              <w:t>24</w:t>
            </w:r>
            <w:r w:rsidRPr="00150EDC">
              <w:rPr>
                <w:spacing w:val="40"/>
                <w:sz w:val="24"/>
              </w:rPr>
              <w:t xml:space="preserve"> </w:t>
            </w:r>
            <w:r w:rsidRPr="00150EDC">
              <w:rPr>
                <w:sz w:val="24"/>
              </w:rPr>
              <w:t>November</w:t>
            </w:r>
            <w:r w:rsidRPr="00150EDC">
              <w:rPr>
                <w:spacing w:val="40"/>
                <w:sz w:val="24"/>
              </w:rPr>
              <w:t xml:space="preserve"> </w:t>
            </w:r>
            <w:r w:rsidRPr="00150EDC">
              <w:rPr>
                <w:sz w:val="24"/>
              </w:rPr>
              <w:t>2016,</w:t>
            </w:r>
            <w:r w:rsidRPr="00150EDC">
              <w:rPr>
                <w:spacing w:val="40"/>
                <w:sz w:val="24"/>
              </w:rPr>
              <w:t xml:space="preserve"> </w:t>
            </w:r>
            <w:r w:rsidRPr="00150EDC">
              <w:rPr>
                <w:sz w:val="24"/>
              </w:rPr>
              <w:t>available online</w:t>
            </w:r>
            <w:r w:rsidRPr="00150EDC">
              <w:rPr>
                <w:spacing w:val="-16"/>
                <w:sz w:val="24"/>
              </w:rPr>
              <w:t xml:space="preserve"> </w:t>
            </w:r>
            <w:r w:rsidRPr="00150EDC">
              <w:rPr>
                <w:sz w:val="24"/>
              </w:rPr>
              <w:t>at:</w:t>
            </w:r>
            <w:r w:rsidRPr="00150EDC">
              <w:rPr>
                <w:spacing w:val="-15"/>
                <w:sz w:val="24"/>
              </w:rPr>
              <w:t xml:space="preserve"> </w:t>
            </w:r>
            <w:hyperlink r:id="rId19">
              <w:r w:rsidRPr="007D3144">
                <w:rPr>
                  <w:sz w:val="24"/>
                  <w:u w:val="single" w:color="0000FF"/>
                </w:rPr>
                <w:t>https://www.gov.uk/government/publications/blowing-the-</w:t>
              </w:r>
            </w:hyperlink>
            <w:r w:rsidRPr="007D3144">
              <w:rPr>
                <w:sz w:val="24"/>
              </w:rPr>
              <w:t xml:space="preserve"> </w:t>
            </w:r>
            <w:hyperlink r:id="rId20">
              <w:r w:rsidRPr="007D3144">
                <w:rPr>
                  <w:spacing w:val="-2"/>
                  <w:sz w:val="24"/>
                  <w:u w:val="single" w:color="0000FF"/>
                </w:rPr>
                <w:t>whistle-list-of-prescribed-people-and-bodies--2/whistleblowing-list-</w:t>
              </w:r>
            </w:hyperlink>
            <w:r w:rsidRPr="007D3144">
              <w:rPr>
                <w:spacing w:val="-2"/>
                <w:sz w:val="24"/>
              </w:rPr>
              <w:t xml:space="preserve"> </w:t>
            </w:r>
            <w:hyperlink r:id="rId21">
              <w:r w:rsidRPr="007D3144">
                <w:rPr>
                  <w:spacing w:val="-2"/>
                  <w:sz w:val="24"/>
                  <w:u w:val="single" w:color="0000FF"/>
                </w:rPr>
                <w:t>of-prescribed-people-and-bodies</w:t>
              </w:r>
            </w:hyperlink>
            <w:r w:rsidRPr="00150EDC">
              <w:rPr>
                <w:spacing w:val="-2"/>
                <w:sz w:val="24"/>
              </w:rPr>
              <w:t>;</w:t>
            </w:r>
          </w:p>
        </w:tc>
      </w:tr>
      <w:tr w:rsidR="007D3144" w:rsidRPr="007D3144" w14:paraId="2ABFAFB9" w14:textId="77777777">
        <w:trPr>
          <w:trHeight w:val="395"/>
        </w:trPr>
        <w:tc>
          <w:tcPr>
            <w:tcW w:w="2264" w:type="dxa"/>
          </w:tcPr>
          <w:p w14:paraId="76C161DB" w14:textId="77777777" w:rsidR="004C7180" w:rsidRPr="00150EDC" w:rsidRDefault="00CF0754">
            <w:pPr>
              <w:pStyle w:val="TableParagraph"/>
              <w:spacing w:before="0" w:line="240" w:lineRule="auto"/>
              <w:ind w:left="-1"/>
              <w:rPr>
                <w:b/>
                <w:sz w:val="24"/>
              </w:rPr>
            </w:pPr>
            <w:r w:rsidRPr="00150EDC">
              <w:rPr>
                <w:b/>
                <w:spacing w:val="-2"/>
                <w:sz w:val="24"/>
              </w:rPr>
              <w:t>“Processing”</w:t>
            </w:r>
          </w:p>
        </w:tc>
        <w:tc>
          <w:tcPr>
            <w:tcW w:w="7484" w:type="dxa"/>
          </w:tcPr>
          <w:p w14:paraId="73D41893" w14:textId="77777777" w:rsidR="004C7180" w:rsidRPr="00150EDC" w:rsidRDefault="00CF0754">
            <w:pPr>
              <w:pStyle w:val="TableParagraph"/>
              <w:spacing w:before="0" w:line="240" w:lineRule="auto"/>
              <w:ind w:left="277"/>
              <w:rPr>
                <w:sz w:val="24"/>
              </w:rPr>
            </w:pPr>
            <w:r w:rsidRPr="00150EDC">
              <w:rPr>
                <w:sz w:val="24"/>
              </w:rPr>
              <w:t>has</w:t>
            </w:r>
            <w:r w:rsidRPr="00150EDC">
              <w:rPr>
                <w:spacing w:val="-2"/>
                <w:sz w:val="24"/>
              </w:rPr>
              <w:t xml:space="preserve"> </w:t>
            </w:r>
            <w:r w:rsidRPr="00150EDC">
              <w:rPr>
                <w:sz w:val="24"/>
              </w:rPr>
              <w:t>the</w:t>
            </w:r>
            <w:r w:rsidRPr="00150EDC">
              <w:rPr>
                <w:spacing w:val="-4"/>
                <w:sz w:val="24"/>
              </w:rPr>
              <w:t xml:space="preserve"> </w:t>
            </w:r>
            <w:r w:rsidRPr="00150EDC">
              <w:rPr>
                <w:sz w:val="24"/>
              </w:rPr>
              <w:t>meaning</w:t>
            </w:r>
            <w:r w:rsidRPr="00150EDC">
              <w:rPr>
                <w:spacing w:val="-2"/>
                <w:sz w:val="24"/>
              </w:rPr>
              <w:t xml:space="preserve"> </w:t>
            </w:r>
            <w:r w:rsidRPr="00150EDC">
              <w:rPr>
                <w:sz w:val="24"/>
              </w:rPr>
              <w:t>given</w:t>
            </w:r>
            <w:r w:rsidRPr="00150EDC">
              <w:rPr>
                <w:spacing w:val="-3"/>
                <w:sz w:val="24"/>
              </w:rPr>
              <w:t xml:space="preserve"> </w:t>
            </w:r>
            <w:r w:rsidRPr="00150EDC">
              <w:rPr>
                <w:sz w:val="24"/>
              </w:rPr>
              <w:t>to</w:t>
            </w:r>
            <w:r w:rsidRPr="00150EDC">
              <w:rPr>
                <w:spacing w:val="-2"/>
                <w:sz w:val="24"/>
              </w:rPr>
              <w:t xml:space="preserve"> </w:t>
            </w:r>
            <w:r w:rsidRPr="00150EDC">
              <w:rPr>
                <w:sz w:val="24"/>
              </w:rPr>
              <w:t>it</w:t>
            </w:r>
            <w:r w:rsidRPr="00150EDC">
              <w:rPr>
                <w:spacing w:val="-2"/>
                <w:sz w:val="24"/>
              </w:rPr>
              <w:t xml:space="preserve"> </w:t>
            </w:r>
            <w:r w:rsidRPr="00150EDC">
              <w:rPr>
                <w:sz w:val="24"/>
              </w:rPr>
              <w:t>in</w:t>
            </w:r>
            <w:r w:rsidRPr="00150EDC">
              <w:rPr>
                <w:spacing w:val="-3"/>
                <w:sz w:val="24"/>
              </w:rPr>
              <w:t xml:space="preserve"> </w:t>
            </w:r>
            <w:r w:rsidRPr="00150EDC">
              <w:rPr>
                <w:sz w:val="24"/>
              </w:rPr>
              <w:t>the</w:t>
            </w:r>
            <w:r w:rsidRPr="00150EDC">
              <w:rPr>
                <w:spacing w:val="-2"/>
                <w:sz w:val="24"/>
              </w:rPr>
              <w:t xml:space="preserve"> </w:t>
            </w:r>
            <w:r w:rsidRPr="00150EDC">
              <w:rPr>
                <w:sz w:val="24"/>
              </w:rPr>
              <w:t>UK</w:t>
            </w:r>
            <w:r w:rsidRPr="00150EDC">
              <w:rPr>
                <w:spacing w:val="-2"/>
                <w:sz w:val="24"/>
              </w:rPr>
              <w:t xml:space="preserve"> GDPR;</w:t>
            </w:r>
          </w:p>
        </w:tc>
      </w:tr>
      <w:tr w:rsidR="007D3144" w:rsidRPr="007D3144" w14:paraId="5D721088" w14:textId="77777777">
        <w:trPr>
          <w:trHeight w:val="395"/>
        </w:trPr>
        <w:tc>
          <w:tcPr>
            <w:tcW w:w="2264" w:type="dxa"/>
          </w:tcPr>
          <w:p w14:paraId="16C50A7A" w14:textId="77777777" w:rsidR="004C7180" w:rsidRPr="00150EDC" w:rsidRDefault="00CF0754">
            <w:pPr>
              <w:pStyle w:val="TableParagraph"/>
              <w:spacing w:before="0" w:line="240" w:lineRule="auto"/>
              <w:ind w:left="-1"/>
              <w:rPr>
                <w:b/>
                <w:sz w:val="24"/>
              </w:rPr>
            </w:pPr>
            <w:r w:rsidRPr="00150EDC">
              <w:rPr>
                <w:b/>
                <w:spacing w:val="-2"/>
                <w:sz w:val="24"/>
              </w:rPr>
              <w:t>“Processor”</w:t>
            </w:r>
          </w:p>
        </w:tc>
        <w:tc>
          <w:tcPr>
            <w:tcW w:w="7484" w:type="dxa"/>
          </w:tcPr>
          <w:p w14:paraId="202F9BA0" w14:textId="77777777" w:rsidR="004C7180" w:rsidRPr="00150EDC" w:rsidRDefault="00CF0754">
            <w:pPr>
              <w:pStyle w:val="TableParagraph"/>
              <w:spacing w:before="0" w:line="240" w:lineRule="auto"/>
              <w:ind w:left="277"/>
              <w:rPr>
                <w:sz w:val="24"/>
              </w:rPr>
            </w:pPr>
            <w:r w:rsidRPr="00150EDC">
              <w:rPr>
                <w:sz w:val="24"/>
              </w:rPr>
              <w:t>has</w:t>
            </w:r>
            <w:r w:rsidRPr="00150EDC">
              <w:rPr>
                <w:spacing w:val="-2"/>
                <w:sz w:val="24"/>
              </w:rPr>
              <w:t xml:space="preserve"> </w:t>
            </w:r>
            <w:r w:rsidRPr="00150EDC">
              <w:rPr>
                <w:sz w:val="24"/>
              </w:rPr>
              <w:t>the</w:t>
            </w:r>
            <w:r w:rsidRPr="00150EDC">
              <w:rPr>
                <w:spacing w:val="-4"/>
                <w:sz w:val="24"/>
              </w:rPr>
              <w:t xml:space="preserve"> </w:t>
            </w:r>
            <w:r w:rsidRPr="00150EDC">
              <w:rPr>
                <w:sz w:val="24"/>
              </w:rPr>
              <w:t>meaning</w:t>
            </w:r>
            <w:r w:rsidRPr="00150EDC">
              <w:rPr>
                <w:spacing w:val="-2"/>
                <w:sz w:val="24"/>
              </w:rPr>
              <w:t xml:space="preserve"> </w:t>
            </w:r>
            <w:r w:rsidRPr="00150EDC">
              <w:rPr>
                <w:sz w:val="24"/>
              </w:rPr>
              <w:t>given</w:t>
            </w:r>
            <w:r w:rsidRPr="00150EDC">
              <w:rPr>
                <w:spacing w:val="-3"/>
                <w:sz w:val="24"/>
              </w:rPr>
              <w:t xml:space="preserve"> </w:t>
            </w:r>
            <w:r w:rsidRPr="00150EDC">
              <w:rPr>
                <w:sz w:val="24"/>
              </w:rPr>
              <w:t>to</w:t>
            </w:r>
            <w:r w:rsidRPr="00150EDC">
              <w:rPr>
                <w:spacing w:val="-2"/>
                <w:sz w:val="24"/>
              </w:rPr>
              <w:t xml:space="preserve"> </w:t>
            </w:r>
            <w:r w:rsidRPr="00150EDC">
              <w:rPr>
                <w:sz w:val="24"/>
              </w:rPr>
              <w:t>it</w:t>
            </w:r>
            <w:r w:rsidRPr="00150EDC">
              <w:rPr>
                <w:spacing w:val="-2"/>
                <w:sz w:val="24"/>
              </w:rPr>
              <w:t xml:space="preserve"> </w:t>
            </w:r>
            <w:r w:rsidRPr="00150EDC">
              <w:rPr>
                <w:sz w:val="24"/>
              </w:rPr>
              <w:t>in</w:t>
            </w:r>
            <w:r w:rsidRPr="00150EDC">
              <w:rPr>
                <w:spacing w:val="-3"/>
                <w:sz w:val="24"/>
              </w:rPr>
              <w:t xml:space="preserve"> </w:t>
            </w:r>
            <w:r w:rsidRPr="00150EDC">
              <w:rPr>
                <w:sz w:val="24"/>
              </w:rPr>
              <w:t>the</w:t>
            </w:r>
            <w:r w:rsidRPr="00150EDC">
              <w:rPr>
                <w:spacing w:val="-2"/>
                <w:sz w:val="24"/>
              </w:rPr>
              <w:t xml:space="preserve"> </w:t>
            </w:r>
            <w:r w:rsidRPr="00150EDC">
              <w:rPr>
                <w:sz w:val="24"/>
              </w:rPr>
              <w:t>UK</w:t>
            </w:r>
            <w:r w:rsidRPr="00150EDC">
              <w:rPr>
                <w:spacing w:val="-2"/>
                <w:sz w:val="24"/>
              </w:rPr>
              <w:t xml:space="preserve"> GDPR;</w:t>
            </w:r>
          </w:p>
        </w:tc>
      </w:tr>
      <w:tr w:rsidR="007D3144" w:rsidRPr="007D3144" w14:paraId="0EF8D09F" w14:textId="77777777">
        <w:trPr>
          <w:trHeight w:val="949"/>
        </w:trPr>
        <w:tc>
          <w:tcPr>
            <w:tcW w:w="2264" w:type="dxa"/>
          </w:tcPr>
          <w:p w14:paraId="7BF10F37" w14:textId="77777777" w:rsidR="004C7180" w:rsidRPr="00150EDC" w:rsidRDefault="00CF0754">
            <w:pPr>
              <w:pStyle w:val="TableParagraph"/>
              <w:spacing w:before="2" w:line="240" w:lineRule="auto"/>
              <w:ind w:left="-1" w:right="148"/>
              <w:rPr>
                <w:b/>
                <w:sz w:val="24"/>
              </w:rPr>
            </w:pPr>
            <w:r w:rsidRPr="00150EDC">
              <w:rPr>
                <w:b/>
                <w:spacing w:val="-2"/>
                <w:sz w:val="24"/>
              </w:rPr>
              <w:t>“Processor Personnel”</w:t>
            </w:r>
          </w:p>
        </w:tc>
        <w:tc>
          <w:tcPr>
            <w:tcW w:w="7484" w:type="dxa"/>
          </w:tcPr>
          <w:p w14:paraId="69E19AB4" w14:textId="77777777" w:rsidR="004C7180" w:rsidRPr="00150EDC" w:rsidRDefault="00CF0754">
            <w:pPr>
              <w:pStyle w:val="TableParagraph"/>
              <w:spacing w:before="2" w:line="240" w:lineRule="auto"/>
              <w:ind w:left="277" w:right="100"/>
              <w:jc w:val="both"/>
              <w:rPr>
                <w:sz w:val="24"/>
              </w:rPr>
            </w:pPr>
            <w:r w:rsidRPr="00150EDC">
              <w:rPr>
                <w:sz w:val="24"/>
              </w:rPr>
              <w:t>all</w:t>
            </w:r>
            <w:r w:rsidRPr="00150EDC">
              <w:rPr>
                <w:spacing w:val="-11"/>
                <w:sz w:val="24"/>
              </w:rPr>
              <w:t xml:space="preserve"> </w:t>
            </w:r>
            <w:r w:rsidRPr="00150EDC">
              <w:rPr>
                <w:sz w:val="24"/>
              </w:rPr>
              <w:t>directors,</w:t>
            </w:r>
            <w:r w:rsidRPr="00150EDC">
              <w:rPr>
                <w:spacing w:val="-10"/>
                <w:sz w:val="24"/>
              </w:rPr>
              <w:t xml:space="preserve"> </w:t>
            </w:r>
            <w:r w:rsidRPr="00150EDC">
              <w:rPr>
                <w:sz w:val="24"/>
              </w:rPr>
              <w:t>officers,</w:t>
            </w:r>
            <w:r w:rsidRPr="00150EDC">
              <w:rPr>
                <w:spacing w:val="-10"/>
                <w:sz w:val="24"/>
              </w:rPr>
              <w:t xml:space="preserve"> </w:t>
            </w:r>
            <w:r w:rsidRPr="00150EDC">
              <w:rPr>
                <w:sz w:val="24"/>
              </w:rPr>
              <w:t>employees,</w:t>
            </w:r>
            <w:r w:rsidRPr="00150EDC">
              <w:rPr>
                <w:spacing w:val="-10"/>
                <w:sz w:val="24"/>
              </w:rPr>
              <w:t xml:space="preserve"> </w:t>
            </w:r>
            <w:r w:rsidRPr="00150EDC">
              <w:rPr>
                <w:sz w:val="24"/>
              </w:rPr>
              <w:t>agents,</w:t>
            </w:r>
            <w:r w:rsidRPr="00150EDC">
              <w:rPr>
                <w:spacing w:val="-10"/>
                <w:sz w:val="24"/>
              </w:rPr>
              <w:t xml:space="preserve"> </w:t>
            </w:r>
            <w:r w:rsidRPr="00150EDC">
              <w:rPr>
                <w:sz w:val="24"/>
              </w:rPr>
              <w:t>consultants</w:t>
            </w:r>
            <w:r w:rsidRPr="00150EDC">
              <w:rPr>
                <w:spacing w:val="-10"/>
                <w:sz w:val="24"/>
              </w:rPr>
              <w:t xml:space="preserve"> </w:t>
            </w:r>
            <w:r w:rsidRPr="00150EDC">
              <w:rPr>
                <w:sz w:val="24"/>
              </w:rPr>
              <w:t>and</w:t>
            </w:r>
            <w:r w:rsidRPr="00150EDC">
              <w:rPr>
                <w:spacing w:val="-10"/>
                <w:sz w:val="24"/>
              </w:rPr>
              <w:t xml:space="preserve"> </w:t>
            </w:r>
            <w:r w:rsidRPr="00150EDC">
              <w:rPr>
                <w:sz w:val="24"/>
              </w:rPr>
              <w:t>suppliers of the Processor and/or of any Subprocessor engaged in the performance of its obligations under a Contract;</w:t>
            </w:r>
          </w:p>
        </w:tc>
      </w:tr>
      <w:tr w:rsidR="007D3144" w:rsidRPr="007D3144" w14:paraId="440FCCA6" w14:textId="77777777">
        <w:trPr>
          <w:trHeight w:val="672"/>
        </w:trPr>
        <w:tc>
          <w:tcPr>
            <w:tcW w:w="2264" w:type="dxa"/>
          </w:tcPr>
          <w:p w14:paraId="7A682672" w14:textId="77777777" w:rsidR="004C7180" w:rsidRPr="00150EDC" w:rsidRDefault="00CF0754">
            <w:pPr>
              <w:pStyle w:val="TableParagraph"/>
              <w:spacing w:before="1" w:line="240" w:lineRule="auto"/>
              <w:ind w:left="-1" w:right="298"/>
              <w:rPr>
                <w:b/>
                <w:sz w:val="24"/>
              </w:rPr>
            </w:pPr>
            <w:r w:rsidRPr="00150EDC">
              <w:rPr>
                <w:b/>
                <w:spacing w:val="-2"/>
                <w:sz w:val="24"/>
              </w:rPr>
              <w:t>"Progress Meeting"</w:t>
            </w:r>
          </w:p>
        </w:tc>
        <w:tc>
          <w:tcPr>
            <w:tcW w:w="7484" w:type="dxa"/>
          </w:tcPr>
          <w:p w14:paraId="0897D695" w14:textId="77777777" w:rsidR="004C7180" w:rsidRPr="00150EDC" w:rsidRDefault="00CF0754">
            <w:pPr>
              <w:pStyle w:val="TableParagraph"/>
              <w:spacing w:before="1" w:line="240" w:lineRule="auto"/>
              <w:ind w:left="277"/>
              <w:rPr>
                <w:sz w:val="24"/>
              </w:rPr>
            </w:pPr>
            <w:r w:rsidRPr="00150EDC">
              <w:rPr>
                <w:sz w:val="24"/>
              </w:rPr>
              <w:t>a meeting between the Buyer Authorised Representative and the Supplier Authorised Representative;</w:t>
            </w:r>
          </w:p>
        </w:tc>
      </w:tr>
      <w:tr w:rsidR="007D3144" w:rsidRPr="007D3144" w14:paraId="55A3A2B0" w14:textId="77777777">
        <w:trPr>
          <w:trHeight w:val="947"/>
        </w:trPr>
        <w:tc>
          <w:tcPr>
            <w:tcW w:w="2264" w:type="dxa"/>
          </w:tcPr>
          <w:p w14:paraId="2D2AD0D3" w14:textId="77777777" w:rsidR="004C7180" w:rsidRPr="00150EDC" w:rsidRDefault="00CF0754">
            <w:pPr>
              <w:pStyle w:val="TableParagraph"/>
              <w:spacing w:before="0" w:line="240" w:lineRule="auto"/>
              <w:ind w:left="-1"/>
              <w:rPr>
                <w:b/>
                <w:sz w:val="24"/>
              </w:rPr>
            </w:pPr>
            <w:r w:rsidRPr="00150EDC">
              <w:rPr>
                <w:b/>
                <w:sz w:val="24"/>
              </w:rPr>
              <w:t>"Progress</w:t>
            </w:r>
            <w:r w:rsidRPr="00150EDC">
              <w:rPr>
                <w:b/>
                <w:spacing w:val="-17"/>
                <w:sz w:val="24"/>
              </w:rPr>
              <w:t xml:space="preserve"> </w:t>
            </w:r>
            <w:r w:rsidRPr="00150EDC">
              <w:rPr>
                <w:b/>
                <w:sz w:val="24"/>
              </w:rPr>
              <w:t xml:space="preserve">Meeting </w:t>
            </w:r>
            <w:r w:rsidRPr="00150EDC">
              <w:rPr>
                <w:b/>
                <w:spacing w:val="-2"/>
                <w:sz w:val="24"/>
              </w:rPr>
              <w:t>Frequency"</w:t>
            </w:r>
          </w:p>
        </w:tc>
        <w:tc>
          <w:tcPr>
            <w:tcW w:w="7484" w:type="dxa"/>
          </w:tcPr>
          <w:p w14:paraId="5E9A044B" w14:textId="77777777" w:rsidR="004C7180" w:rsidRPr="00150EDC" w:rsidRDefault="00CF0754">
            <w:pPr>
              <w:pStyle w:val="TableParagraph"/>
              <w:spacing w:before="0" w:line="240" w:lineRule="auto"/>
              <w:ind w:left="277" w:right="101"/>
              <w:jc w:val="both"/>
              <w:rPr>
                <w:sz w:val="24"/>
              </w:rPr>
            </w:pPr>
            <w:r w:rsidRPr="00150EDC">
              <w:rPr>
                <w:sz w:val="24"/>
              </w:rPr>
              <w:t xml:space="preserve">the frequency at which the Supplier shall conduct a Progress Meeting in accordance with Clause 6.1 as specified in the Order </w:t>
            </w:r>
            <w:r w:rsidRPr="00150EDC">
              <w:rPr>
                <w:spacing w:val="-2"/>
                <w:sz w:val="24"/>
              </w:rPr>
              <w:t>Form;</w:t>
            </w:r>
          </w:p>
        </w:tc>
      </w:tr>
      <w:tr w:rsidR="007D3144" w:rsidRPr="007D3144" w14:paraId="0110D2E8" w14:textId="77777777">
        <w:trPr>
          <w:trHeight w:val="671"/>
        </w:trPr>
        <w:tc>
          <w:tcPr>
            <w:tcW w:w="2264" w:type="dxa"/>
          </w:tcPr>
          <w:p w14:paraId="01A513EE" w14:textId="77777777" w:rsidR="004C7180" w:rsidRPr="00150EDC" w:rsidRDefault="00CF0754">
            <w:pPr>
              <w:pStyle w:val="TableParagraph"/>
              <w:spacing w:before="0" w:line="240" w:lineRule="auto"/>
              <w:ind w:left="-1"/>
              <w:rPr>
                <w:b/>
                <w:sz w:val="24"/>
              </w:rPr>
            </w:pPr>
            <w:r w:rsidRPr="00150EDC">
              <w:rPr>
                <w:b/>
                <w:sz w:val="24"/>
              </w:rPr>
              <w:t>“Progress</w:t>
            </w:r>
            <w:r w:rsidRPr="00150EDC">
              <w:rPr>
                <w:b/>
                <w:spacing w:val="-6"/>
                <w:sz w:val="24"/>
              </w:rPr>
              <w:t xml:space="preserve"> </w:t>
            </w:r>
            <w:r w:rsidRPr="00150EDC">
              <w:rPr>
                <w:b/>
                <w:spacing w:val="-2"/>
                <w:sz w:val="24"/>
              </w:rPr>
              <w:t>Report”</w:t>
            </w:r>
          </w:p>
        </w:tc>
        <w:tc>
          <w:tcPr>
            <w:tcW w:w="7484" w:type="dxa"/>
          </w:tcPr>
          <w:p w14:paraId="34FA4AB5" w14:textId="77777777" w:rsidR="004C7180" w:rsidRPr="00150EDC" w:rsidRDefault="00CF0754">
            <w:pPr>
              <w:pStyle w:val="TableParagraph"/>
              <w:spacing w:before="0" w:line="240" w:lineRule="auto"/>
              <w:ind w:left="277"/>
              <w:rPr>
                <w:sz w:val="24"/>
              </w:rPr>
            </w:pPr>
            <w:r w:rsidRPr="00150EDC">
              <w:rPr>
                <w:sz w:val="24"/>
              </w:rPr>
              <w:t>a</w:t>
            </w:r>
            <w:r w:rsidRPr="00150EDC">
              <w:rPr>
                <w:spacing w:val="40"/>
                <w:sz w:val="24"/>
              </w:rPr>
              <w:t xml:space="preserve"> </w:t>
            </w:r>
            <w:r w:rsidRPr="00150EDC">
              <w:rPr>
                <w:sz w:val="24"/>
              </w:rPr>
              <w:t>report</w:t>
            </w:r>
            <w:r w:rsidRPr="00150EDC">
              <w:rPr>
                <w:spacing w:val="40"/>
                <w:sz w:val="24"/>
              </w:rPr>
              <w:t xml:space="preserve"> </w:t>
            </w:r>
            <w:r w:rsidRPr="00150EDC">
              <w:rPr>
                <w:sz w:val="24"/>
              </w:rPr>
              <w:t>provided</w:t>
            </w:r>
            <w:r w:rsidRPr="00150EDC">
              <w:rPr>
                <w:spacing w:val="40"/>
                <w:sz w:val="24"/>
              </w:rPr>
              <w:t xml:space="preserve"> </w:t>
            </w:r>
            <w:r w:rsidRPr="00150EDC">
              <w:rPr>
                <w:sz w:val="24"/>
              </w:rPr>
              <w:t>by</w:t>
            </w:r>
            <w:r w:rsidRPr="00150EDC">
              <w:rPr>
                <w:spacing w:val="40"/>
                <w:sz w:val="24"/>
              </w:rPr>
              <w:t xml:space="preserve"> </w:t>
            </w:r>
            <w:r w:rsidRPr="00150EDC">
              <w:rPr>
                <w:sz w:val="24"/>
              </w:rPr>
              <w:t>the</w:t>
            </w:r>
            <w:r w:rsidRPr="00150EDC">
              <w:rPr>
                <w:spacing w:val="40"/>
                <w:sz w:val="24"/>
              </w:rPr>
              <w:t xml:space="preserve"> </w:t>
            </w:r>
            <w:r w:rsidRPr="00150EDC">
              <w:rPr>
                <w:sz w:val="24"/>
              </w:rPr>
              <w:t>Supplier</w:t>
            </w:r>
            <w:r w:rsidRPr="00150EDC">
              <w:rPr>
                <w:spacing w:val="40"/>
                <w:sz w:val="24"/>
              </w:rPr>
              <w:t xml:space="preserve"> </w:t>
            </w:r>
            <w:r w:rsidRPr="00150EDC">
              <w:rPr>
                <w:sz w:val="24"/>
              </w:rPr>
              <w:t>indicating</w:t>
            </w:r>
            <w:r w:rsidRPr="00150EDC">
              <w:rPr>
                <w:spacing w:val="40"/>
                <w:sz w:val="24"/>
              </w:rPr>
              <w:t xml:space="preserve"> </w:t>
            </w:r>
            <w:r w:rsidRPr="00150EDC">
              <w:rPr>
                <w:sz w:val="24"/>
              </w:rPr>
              <w:t>the</w:t>
            </w:r>
            <w:r w:rsidRPr="00150EDC">
              <w:rPr>
                <w:spacing w:val="40"/>
                <w:sz w:val="24"/>
              </w:rPr>
              <w:t xml:space="preserve"> </w:t>
            </w:r>
            <w:r w:rsidRPr="00150EDC">
              <w:rPr>
                <w:sz w:val="24"/>
              </w:rPr>
              <w:t>steps</w:t>
            </w:r>
            <w:r w:rsidRPr="00150EDC">
              <w:rPr>
                <w:spacing w:val="40"/>
                <w:sz w:val="24"/>
              </w:rPr>
              <w:t xml:space="preserve"> </w:t>
            </w:r>
            <w:r w:rsidRPr="00150EDC">
              <w:rPr>
                <w:sz w:val="24"/>
              </w:rPr>
              <w:t>taken</w:t>
            </w:r>
            <w:r w:rsidRPr="00150EDC">
              <w:rPr>
                <w:spacing w:val="40"/>
                <w:sz w:val="24"/>
              </w:rPr>
              <w:t xml:space="preserve"> </w:t>
            </w:r>
            <w:r w:rsidRPr="00150EDC">
              <w:rPr>
                <w:sz w:val="24"/>
              </w:rPr>
              <w:t>to achieve Milestones or delivery dates;</w:t>
            </w:r>
          </w:p>
        </w:tc>
      </w:tr>
      <w:tr w:rsidR="007D3144" w:rsidRPr="007D3144" w14:paraId="45FC77C4" w14:textId="77777777">
        <w:trPr>
          <w:trHeight w:val="671"/>
        </w:trPr>
        <w:tc>
          <w:tcPr>
            <w:tcW w:w="2264" w:type="dxa"/>
          </w:tcPr>
          <w:p w14:paraId="7D77C264" w14:textId="77777777" w:rsidR="004C7180" w:rsidRPr="00150EDC" w:rsidRDefault="00CF0754">
            <w:pPr>
              <w:pStyle w:val="TableParagraph"/>
              <w:spacing w:before="0" w:line="240" w:lineRule="auto"/>
              <w:ind w:left="-1"/>
              <w:rPr>
                <w:b/>
                <w:sz w:val="24"/>
              </w:rPr>
            </w:pPr>
            <w:r w:rsidRPr="00150EDC">
              <w:rPr>
                <w:b/>
                <w:sz w:val="24"/>
              </w:rPr>
              <w:t>“Progress</w:t>
            </w:r>
            <w:r w:rsidRPr="00150EDC">
              <w:rPr>
                <w:b/>
                <w:spacing w:val="-17"/>
                <w:sz w:val="24"/>
              </w:rPr>
              <w:t xml:space="preserve"> </w:t>
            </w:r>
            <w:r w:rsidRPr="00150EDC">
              <w:rPr>
                <w:b/>
                <w:sz w:val="24"/>
              </w:rPr>
              <w:t xml:space="preserve">Report </w:t>
            </w:r>
            <w:r w:rsidRPr="00150EDC">
              <w:rPr>
                <w:b/>
                <w:spacing w:val="-2"/>
                <w:sz w:val="24"/>
              </w:rPr>
              <w:t>Frequency”</w:t>
            </w:r>
          </w:p>
        </w:tc>
        <w:tc>
          <w:tcPr>
            <w:tcW w:w="7484" w:type="dxa"/>
          </w:tcPr>
          <w:p w14:paraId="7669700C" w14:textId="77777777" w:rsidR="004C7180" w:rsidRPr="00150EDC" w:rsidRDefault="00CF0754">
            <w:pPr>
              <w:pStyle w:val="TableParagraph"/>
              <w:spacing w:before="0" w:line="240" w:lineRule="auto"/>
              <w:ind w:left="277" w:right="91"/>
              <w:rPr>
                <w:sz w:val="24"/>
              </w:rPr>
            </w:pPr>
            <w:r w:rsidRPr="00150EDC">
              <w:rPr>
                <w:sz w:val="24"/>
              </w:rPr>
              <w:t>the frequency at which the Supplier shall deliver Progress Reports in accordance with Clause 6.1 as specified in the Order Form;</w:t>
            </w:r>
          </w:p>
        </w:tc>
      </w:tr>
      <w:tr w:rsidR="007D3144" w:rsidRPr="007D3144" w14:paraId="325D7609" w14:textId="77777777">
        <w:trPr>
          <w:trHeight w:val="6876"/>
        </w:trPr>
        <w:tc>
          <w:tcPr>
            <w:tcW w:w="2264" w:type="dxa"/>
          </w:tcPr>
          <w:p w14:paraId="018B7A57" w14:textId="77777777" w:rsidR="004C7180" w:rsidRPr="00150EDC" w:rsidRDefault="00CF0754">
            <w:pPr>
              <w:pStyle w:val="TableParagraph"/>
              <w:spacing w:before="0" w:line="240" w:lineRule="auto"/>
              <w:ind w:left="-1"/>
              <w:rPr>
                <w:b/>
                <w:sz w:val="24"/>
              </w:rPr>
            </w:pPr>
            <w:r w:rsidRPr="00150EDC">
              <w:rPr>
                <w:b/>
                <w:sz w:val="24"/>
              </w:rPr>
              <w:t>“Prohibited</w:t>
            </w:r>
            <w:r w:rsidRPr="00150EDC">
              <w:rPr>
                <w:b/>
                <w:spacing w:val="-7"/>
                <w:sz w:val="24"/>
              </w:rPr>
              <w:t xml:space="preserve"> </w:t>
            </w:r>
            <w:r w:rsidRPr="00150EDC">
              <w:rPr>
                <w:b/>
                <w:spacing w:val="-2"/>
                <w:sz w:val="24"/>
              </w:rPr>
              <w:t>Acts”</w:t>
            </w:r>
          </w:p>
        </w:tc>
        <w:tc>
          <w:tcPr>
            <w:tcW w:w="7484" w:type="dxa"/>
          </w:tcPr>
          <w:p w14:paraId="5EE110CE" w14:textId="77777777" w:rsidR="004C7180" w:rsidRPr="00150EDC" w:rsidRDefault="00CF0754" w:rsidP="00B320C7">
            <w:pPr>
              <w:pStyle w:val="TableParagraph"/>
              <w:numPr>
                <w:ilvl w:val="0"/>
                <w:numId w:val="111"/>
              </w:numPr>
              <w:tabs>
                <w:tab w:val="left" w:pos="539"/>
                <w:tab w:val="left" w:pos="824"/>
              </w:tabs>
              <w:spacing w:before="0" w:line="240" w:lineRule="auto"/>
              <w:ind w:right="101" w:hanging="288"/>
              <w:jc w:val="both"/>
              <w:rPr>
                <w:sz w:val="24"/>
              </w:rPr>
            </w:pPr>
            <w:r w:rsidRPr="00150EDC">
              <w:rPr>
                <w:sz w:val="24"/>
              </w:rPr>
              <w:t>to directly or indirectly offer, promise or give any person working for or engaged by a Buyer or any other public body a financial or other advantage to:</w:t>
            </w:r>
          </w:p>
          <w:p w14:paraId="7B4E8753" w14:textId="77777777" w:rsidR="004C7180" w:rsidRPr="00150EDC" w:rsidRDefault="00CF0754" w:rsidP="00B320C7">
            <w:pPr>
              <w:pStyle w:val="TableParagraph"/>
              <w:numPr>
                <w:ilvl w:val="1"/>
                <w:numId w:val="111"/>
              </w:numPr>
              <w:tabs>
                <w:tab w:val="left" w:pos="899"/>
              </w:tabs>
              <w:spacing w:before="120" w:line="240" w:lineRule="auto"/>
              <w:ind w:right="102"/>
              <w:jc w:val="both"/>
              <w:rPr>
                <w:sz w:val="24"/>
              </w:rPr>
            </w:pPr>
            <w:r w:rsidRPr="00150EDC">
              <w:rPr>
                <w:sz w:val="24"/>
              </w:rPr>
              <w:t>induce that person to perform improperly a relevant function or activity; or</w:t>
            </w:r>
          </w:p>
          <w:p w14:paraId="0EAA7451" w14:textId="77777777" w:rsidR="004C7180" w:rsidRPr="00150EDC" w:rsidRDefault="00CF0754" w:rsidP="00B320C7">
            <w:pPr>
              <w:pStyle w:val="TableParagraph"/>
              <w:numPr>
                <w:ilvl w:val="1"/>
                <w:numId w:val="111"/>
              </w:numPr>
              <w:tabs>
                <w:tab w:val="left" w:pos="897"/>
                <w:tab w:val="left" w:pos="899"/>
              </w:tabs>
              <w:spacing w:before="121" w:line="240" w:lineRule="auto"/>
              <w:ind w:right="96"/>
              <w:jc w:val="both"/>
              <w:rPr>
                <w:sz w:val="24"/>
              </w:rPr>
            </w:pPr>
            <w:r w:rsidRPr="00150EDC">
              <w:rPr>
                <w:sz w:val="24"/>
              </w:rPr>
              <w:t>reward that person for improper performance of a relevant function or activity;</w:t>
            </w:r>
          </w:p>
          <w:p w14:paraId="3C3CEFF6" w14:textId="77777777" w:rsidR="004C7180" w:rsidRPr="00150EDC" w:rsidRDefault="00CF0754" w:rsidP="00B320C7">
            <w:pPr>
              <w:pStyle w:val="TableParagraph"/>
              <w:numPr>
                <w:ilvl w:val="0"/>
                <w:numId w:val="111"/>
              </w:numPr>
              <w:tabs>
                <w:tab w:val="left" w:pos="539"/>
                <w:tab w:val="left" w:pos="824"/>
              </w:tabs>
              <w:spacing w:before="120" w:line="240" w:lineRule="auto"/>
              <w:ind w:right="98" w:hanging="288"/>
              <w:jc w:val="both"/>
              <w:rPr>
                <w:sz w:val="24"/>
              </w:rPr>
            </w:pPr>
            <w:r w:rsidRPr="00150EDC">
              <w:rPr>
                <w:sz w:val="24"/>
              </w:rPr>
              <w:t>to</w:t>
            </w:r>
            <w:r w:rsidRPr="00150EDC">
              <w:rPr>
                <w:spacing w:val="-3"/>
                <w:sz w:val="24"/>
              </w:rPr>
              <w:t xml:space="preserve"> </w:t>
            </w:r>
            <w:r w:rsidRPr="00150EDC">
              <w:rPr>
                <w:sz w:val="24"/>
              </w:rPr>
              <w:t>directly</w:t>
            </w:r>
            <w:r w:rsidRPr="00150EDC">
              <w:rPr>
                <w:spacing w:val="-6"/>
                <w:sz w:val="24"/>
              </w:rPr>
              <w:t xml:space="preserve"> </w:t>
            </w:r>
            <w:r w:rsidRPr="00150EDC">
              <w:rPr>
                <w:sz w:val="24"/>
              </w:rPr>
              <w:t>or</w:t>
            </w:r>
            <w:r w:rsidRPr="00150EDC">
              <w:rPr>
                <w:spacing w:val="-4"/>
                <w:sz w:val="24"/>
              </w:rPr>
              <w:t xml:space="preserve"> </w:t>
            </w:r>
            <w:r w:rsidRPr="00150EDC">
              <w:rPr>
                <w:sz w:val="24"/>
              </w:rPr>
              <w:t>indirectly</w:t>
            </w:r>
            <w:r w:rsidRPr="00150EDC">
              <w:rPr>
                <w:spacing w:val="-6"/>
                <w:sz w:val="24"/>
              </w:rPr>
              <w:t xml:space="preserve"> </w:t>
            </w:r>
            <w:r w:rsidRPr="00150EDC">
              <w:rPr>
                <w:sz w:val="24"/>
              </w:rPr>
              <w:t>request,</w:t>
            </w:r>
            <w:r w:rsidRPr="00150EDC">
              <w:rPr>
                <w:spacing w:val="-4"/>
                <w:sz w:val="24"/>
              </w:rPr>
              <w:t xml:space="preserve"> </w:t>
            </w:r>
            <w:r w:rsidRPr="00150EDC">
              <w:rPr>
                <w:sz w:val="24"/>
              </w:rPr>
              <w:t>agree</w:t>
            </w:r>
            <w:r w:rsidRPr="00150EDC">
              <w:rPr>
                <w:spacing w:val="-5"/>
                <w:sz w:val="24"/>
              </w:rPr>
              <w:t xml:space="preserve"> </w:t>
            </w:r>
            <w:r w:rsidRPr="00150EDC">
              <w:rPr>
                <w:sz w:val="24"/>
              </w:rPr>
              <w:t>to</w:t>
            </w:r>
            <w:r w:rsidRPr="00150EDC">
              <w:rPr>
                <w:spacing w:val="-3"/>
                <w:sz w:val="24"/>
              </w:rPr>
              <w:t xml:space="preserve"> </w:t>
            </w:r>
            <w:r w:rsidRPr="00150EDC">
              <w:rPr>
                <w:sz w:val="24"/>
              </w:rPr>
              <w:t>receive</w:t>
            </w:r>
            <w:r w:rsidRPr="00150EDC">
              <w:rPr>
                <w:spacing w:val="-4"/>
                <w:sz w:val="24"/>
              </w:rPr>
              <w:t xml:space="preserve"> </w:t>
            </w:r>
            <w:r w:rsidRPr="00150EDC">
              <w:rPr>
                <w:sz w:val="24"/>
              </w:rPr>
              <w:t>or</w:t>
            </w:r>
            <w:r w:rsidRPr="00150EDC">
              <w:rPr>
                <w:spacing w:val="-4"/>
                <w:sz w:val="24"/>
              </w:rPr>
              <w:t xml:space="preserve"> </w:t>
            </w:r>
            <w:r w:rsidRPr="00150EDC">
              <w:rPr>
                <w:sz w:val="24"/>
              </w:rPr>
              <w:t>accept</w:t>
            </w:r>
            <w:r w:rsidRPr="00150EDC">
              <w:rPr>
                <w:spacing w:val="-5"/>
                <w:sz w:val="24"/>
              </w:rPr>
              <w:t xml:space="preserve"> </w:t>
            </w:r>
            <w:r w:rsidRPr="00150EDC">
              <w:rPr>
                <w:sz w:val="24"/>
              </w:rPr>
              <w:t>any financial or other advantage as an inducement or a reward for improper performance of a relevant function or activity in connection with each Contract; or</w:t>
            </w:r>
          </w:p>
          <w:p w14:paraId="08CE947A" w14:textId="77777777" w:rsidR="004C7180" w:rsidRPr="00150EDC" w:rsidRDefault="00CF0754" w:rsidP="00B320C7">
            <w:pPr>
              <w:pStyle w:val="TableParagraph"/>
              <w:numPr>
                <w:ilvl w:val="0"/>
                <w:numId w:val="110"/>
              </w:numPr>
              <w:tabs>
                <w:tab w:val="left" w:pos="681"/>
              </w:tabs>
              <w:spacing w:before="120" w:line="240" w:lineRule="auto"/>
              <w:ind w:left="681" w:hanging="430"/>
              <w:jc w:val="both"/>
              <w:rPr>
                <w:sz w:val="24"/>
              </w:rPr>
            </w:pPr>
            <w:r w:rsidRPr="00150EDC">
              <w:rPr>
                <w:sz w:val="24"/>
              </w:rPr>
              <w:t>committing</w:t>
            </w:r>
            <w:r w:rsidRPr="00150EDC">
              <w:rPr>
                <w:spacing w:val="-12"/>
                <w:sz w:val="24"/>
              </w:rPr>
              <w:t xml:space="preserve"> </w:t>
            </w:r>
            <w:r w:rsidRPr="00150EDC">
              <w:rPr>
                <w:sz w:val="24"/>
              </w:rPr>
              <w:t>any</w:t>
            </w:r>
            <w:r w:rsidRPr="00150EDC">
              <w:rPr>
                <w:spacing w:val="-14"/>
                <w:sz w:val="24"/>
              </w:rPr>
              <w:t xml:space="preserve"> </w:t>
            </w:r>
            <w:r w:rsidRPr="00150EDC">
              <w:rPr>
                <w:spacing w:val="-2"/>
                <w:sz w:val="24"/>
              </w:rPr>
              <w:t>offence:</w:t>
            </w:r>
          </w:p>
          <w:p w14:paraId="7822B334" w14:textId="77777777" w:rsidR="004C7180" w:rsidRPr="00150EDC" w:rsidRDefault="00CF0754" w:rsidP="00B320C7">
            <w:pPr>
              <w:pStyle w:val="TableParagraph"/>
              <w:numPr>
                <w:ilvl w:val="1"/>
                <w:numId w:val="110"/>
              </w:numPr>
              <w:tabs>
                <w:tab w:val="left" w:pos="899"/>
              </w:tabs>
              <w:spacing w:before="120" w:line="240" w:lineRule="auto"/>
              <w:ind w:right="101"/>
              <w:rPr>
                <w:sz w:val="24"/>
              </w:rPr>
            </w:pPr>
            <w:r w:rsidRPr="00150EDC">
              <w:rPr>
                <w:sz w:val="24"/>
              </w:rPr>
              <w:t>under</w:t>
            </w:r>
            <w:r w:rsidRPr="00150EDC">
              <w:rPr>
                <w:spacing w:val="38"/>
                <w:sz w:val="24"/>
              </w:rPr>
              <w:t xml:space="preserve"> </w:t>
            </w:r>
            <w:r w:rsidRPr="00150EDC">
              <w:rPr>
                <w:sz w:val="24"/>
              </w:rPr>
              <w:t>the</w:t>
            </w:r>
            <w:r w:rsidRPr="00150EDC">
              <w:rPr>
                <w:spacing w:val="37"/>
                <w:sz w:val="24"/>
              </w:rPr>
              <w:t xml:space="preserve"> </w:t>
            </w:r>
            <w:r w:rsidRPr="00150EDC">
              <w:rPr>
                <w:sz w:val="24"/>
              </w:rPr>
              <w:t>Bribery</w:t>
            </w:r>
            <w:r w:rsidRPr="00150EDC">
              <w:rPr>
                <w:spacing w:val="38"/>
                <w:sz w:val="24"/>
              </w:rPr>
              <w:t xml:space="preserve"> </w:t>
            </w:r>
            <w:r w:rsidRPr="00150EDC">
              <w:rPr>
                <w:sz w:val="24"/>
              </w:rPr>
              <w:t>Act</w:t>
            </w:r>
            <w:r w:rsidRPr="00150EDC">
              <w:rPr>
                <w:spacing w:val="36"/>
                <w:sz w:val="24"/>
              </w:rPr>
              <w:t xml:space="preserve"> </w:t>
            </w:r>
            <w:r w:rsidRPr="00150EDC">
              <w:rPr>
                <w:sz w:val="24"/>
              </w:rPr>
              <w:t>2010</w:t>
            </w:r>
            <w:r w:rsidRPr="00150EDC">
              <w:rPr>
                <w:spacing w:val="40"/>
                <w:sz w:val="24"/>
              </w:rPr>
              <w:t xml:space="preserve"> </w:t>
            </w:r>
            <w:r w:rsidRPr="00150EDC">
              <w:rPr>
                <w:sz w:val="24"/>
              </w:rPr>
              <w:t>(or</w:t>
            </w:r>
            <w:r w:rsidRPr="00150EDC">
              <w:rPr>
                <w:spacing w:val="39"/>
                <w:sz w:val="24"/>
              </w:rPr>
              <w:t xml:space="preserve"> </w:t>
            </w:r>
            <w:r w:rsidRPr="00150EDC">
              <w:rPr>
                <w:sz w:val="24"/>
              </w:rPr>
              <w:t>any</w:t>
            </w:r>
            <w:r w:rsidRPr="00150EDC">
              <w:rPr>
                <w:spacing w:val="39"/>
                <w:sz w:val="24"/>
              </w:rPr>
              <w:t xml:space="preserve"> </w:t>
            </w:r>
            <w:r w:rsidRPr="00150EDC">
              <w:rPr>
                <w:sz w:val="24"/>
              </w:rPr>
              <w:t>legislation</w:t>
            </w:r>
            <w:r w:rsidRPr="00150EDC">
              <w:rPr>
                <w:spacing w:val="40"/>
                <w:sz w:val="24"/>
              </w:rPr>
              <w:t xml:space="preserve"> </w:t>
            </w:r>
            <w:r w:rsidRPr="00150EDC">
              <w:rPr>
                <w:sz w:val="24"/>
              </w:rPr>
              <w:t>repealed</w:t>
            </w:r>
            <w:r w:rsidRPr="00150EDC">
              <w:rPr>
                <w:spacing w:val="40"/>
                <w:sz w:val="24"/>
              </w:rPr>
              <w:t xml:space="preserve"> </w:t>
            </w:r>
            <w:r w:rsidRPr="00150EDC">
              <w:rPr>
                <w:sz w:val="24"/>
              </w:rPr>
              <w:t>or revoked by such Act); or</w:t>
            </w:r>
          </w:p>
          <w:p w14:paraId="6641DC82" w14:textId="77777777" w:rsidR="004C7180" w:rsidRPr="00150EDC" w:rsidRDefault="00CF0754" w:rsidP="00B320C7">
            <w:pPr>
              <w:pStyle w:val="TableParagraph"/>
              <w:numPr>
                <w:ilvl w:val="1"/>
                <w:numId w:val="110"/>
              </w:numPr>
              <w:tabs>
                <w:tab w:val="left" w:pos="897"/>
                <w:tab w:val="left" w:pos="899"/>
              </w:tabs>
              <w:spacing w:before="120" w:line="240" w:lineRule="auto"/>
              <w:ind w:right="102"/>
              <w:rPr>
                <w:sz w:val="24"/>
              </w:rPr>
            </w:pPr>
            <w:r w:rsidRPr="00150EDC">
              <w:rPr>
                <w:sz w:val="24"/>
              </w:rPr>
              <w:t xml:space="preserve">under legislation or common law concerning fraudulent acts; </w:t>
            </w:r>
            <w:r w:rsidRPr="00150EDC">
              <w:rPr>
                <w:spacing w:val="-6"/>
                <w:sz w:val="24"/>
              </w:rPr>
              <w:t>or</w:t>
            </w:r>
          </w:p>
          <w:p w14:paraId="07B54291" w14:textId="77777777" w:rsidR="004C7180" w:rsidRPr="00150EDC" w:rsidRDefault="00CF0754" w:rsidP="00B320C7">
            <w:pPr>
              <w:pStyle w:val="TableParagraph"/>
              <w:numPr>
                <w:ilvl w:val="1"/>
                <w:numId w:val="110"/>
              </w:numPr>
              <w:tabs>
                <w:tab w:val="left" w:pos="897"/>
                <w:tab w:val="left" w:pos="899"/>
              </w:tabs>
              <w:spacing w:before="120" w:line="240" w:lineRule="auto"/>
              <w:ind w:right="101"/>
              <w:rPr>
                <w:sz w:val="24"/>
              </w:rPr>
            </w:pPr>
            <w:r w:rsidRPr="00150EDC">
              <w:rPr>
                <w:sz w:val="24"/>
              </w:rPr>
              <w:t>defrauding, attempting to defraud or conspiring to defraud a Buyer or other public body; or</w:t>
            </w:r>
          </w:p>
          <w:p w14:paraId="4FC77843" w14:textId="77777777" w:rsidR="004C7180" w:rsidRPr="00150EDC" w:rsidRDefault="00CF0754">
            <w:pPr>
              <w:pStyle w:val="TableParagraph"/>
              <w:spacing w:before="120" w:line="240" w:lineRule="auto"/>
              <w:ind w:left="683" w:right="100" w:hanging="432"/>
              <w:jc w:val="both"/>
              <w:rPr>
                <w:sz w:val="24"/>
              </w:rPr>
            </w:pPr>
            <w:r w:rsidRPr="00150EDC">
              <w:rPr>
                <w:sz w:val="24"/>
              </w:rPr>
              <w:t>jj)</w:t>
            </w:r>
            <w:r w:rsidRPr="00150EDC">
              <w:rPr>
                <w:spacing w:val="80"/>
                <w:sz w:val="24"/>
              </w:rPr>
              <w:t xml:space="preserve"> </w:t>
            </w:r>
            <w:r w:rsidRPr="00150EDC">
              <w:rPr>
                <w:sz w:val="24"/>
              </w:rPr>
              <w:t>any activity, practice or conduct which would constitute one of the offences listed under (c) above if such activity, practice or conduct had been carried out in the UK;</w:t>
            </w:r>
          </w:p>
        </w:tc>
      </w:tr>
    </w:tbl>
    <w:p w14:paraId="46860CFD" w14:textId="77777777" w:rsidR="004C7180" w:rsidRPr="00150EDC" w:rsidRDefault="004C7180">
      <w:pPr>
        <w:jc w:val="both"/>
        <w:rPr>
          <w:sz w:val="24"/>
        </w:rPr>
        <w:sectPr w:rsidR="004C7180" w:rsidRPr="00150EDC">
          <w:pgSz w:w="11910" w:h="16840"/>
          <w:pgMar w:top="1160" w:right="0" w:bottom="1460" w:left="40" w:header="715" w:footer="1208" w:gutter="0"/>
          <w:cols w:space="720"/>
        </w:sectPr>
      </w:pPr>
    </w:p>
    <w:p w14:paraId="1FAD17F5" w14:textId="77777777" w:rsidR="004C7180" w:rsidRPr="00150EDC" w:rsidRDefault="004C7180">
      <w:pPr>
        <w:pStyle w:val="BodyText"/>
        <w:spacing w:before="7"/>
        <w:rPr>
          <w:sz w:val="23"/>
        </w:rPr>
      </w:pPr>
    </w:p>
    <w:tbl>
      <w:tblPr>
        <w:tblW w:w="0" w:type="auto"/>
        <w:tblInd w:w="1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4"/>
        <w:gridCol w:w="7484"/>
      </w:tblGrid>
      <w:tr w:rsidR="007D3144" w:rsidRPr="007D3144" w14:paraId="099C4544" w14:textId="77777777">
        <w:trPr>
          <w:trHeight w:val="2879"/>
        </w:trPr>
        <w:tc>
          <w:tcPr>
            <w:tcW w:w="2264" w:type="dxa"/>
          </w:tcPr>
          <w:p w14:paraId="4E7CE7DF" w14:textId="77777777" w:rsidR="004C7180" w:rsidRPr="00150EDC" w:rsidRDefault="00CF0754">
            <w:pPr>
              <w:pStyle w:val="TableParagraph"/>
              <w:spacing w:before="0" w:line="240" w:lineRule="auto"/>
              <w:ind w:left="-1"/>
              <w:rPr>
                <w:b/>
                <w:sz w:val="24"/>
              </w:rPr>
            </w:pPr>
            <w:r w:rsidRPr="00150EDC">
              <w:rPr>
                <w:b/>
                <w:spacing w:val="-2"/>
                <w:sz w:val="24"/>
              </w:rPr>
              <w:t>“Protective Measures”</w:t>
            </w:r>
          </w:p>
        </w:tc>
        <w:tc>
          <w:tcPr>
            <w:tcW w:w="7484" w:type="dxa"/>
          </w:tcPr>
          <w:p w14:paraId="28D835FF" w14:textId="77777777" w:rsidR="004C7180" w:rsidRPr="00150EDC" w:rsidRDefault="00CF0754">
            <w:pPr>
              <w:pStyle w:val="TableParagraph"/>
              <w:spacing w:before="0" w:line="240" w:lineRule="auto"/>
              <w:ind w:left="277" w:right="94"/>
              <w:jc w:val="both"/>
              <w:rPr>
                <w:sz w:val="24"/>
              </w:rPr>
            </w:pPr>
            <w:r w:rsidRPr="00150EDC">
              <w:rPr>
                <w:sz w:val="24"/>
              </w:rPr>
              <w:t>appropriate technical and organisational measures which may include: pseudonymising and encrypting Personal Data, ensuring confidentiality, integrity, availability and resilience of systems and services, ensuring that availability of and access to Personal Data can be restored in a timely manner after an incident, and regularly assessing and evaluating the effectiveness of the such measures adopted by it including those outlined in DPS Schedule 9 (Cyber Essentials Scheme), if applicable, in the case of the DPS Contract or</w:t>
            </w:r>
            <w:r w:rsidRPr="00150EDC">
              <w:rPr>
                <w:spacing w:val="-16"/>
                <w:sz w:val="24"/>
              </w:rPr>
              <w:t xml:space="preserve"> </w:t>
            </w:r>
            <w:r w:rsidRPr="00150EDC">
              <w:rPr>
                <w:sz w:val="24"/>
              </w:rPr>
              <w:t>Order</w:t>
            </w:r>
            <w:r w:rsidRPr="00150EDC">
              <w:rPr>
                <w:spacing w:val="-16"/>
                <w:sz w:val="24"/>
              </w:rPr>
              <w:t xml:space="preserve"> </w:t>
            </w:r>
            <w:r w:rsidRPr="00150EDC">
              <w:rPr>
                <w:sz w:val="24"/>
              </w:rPr>
              <w:t>Schedule</w:t>
            </w:r>
            <w:r w:rsidRPr="00150EDC">
              <w:rPr>
                <w:spacing w:val="-15"/>
                <w:sz w:val="24"/>
              </w:rPr>
              <w:t xml:space="preserve"> </w:t>
            </w:r>
            <w:r w:rsidRPr="00150EDC">
              <w:rPr>
                <w:sz w:val="24"/>
              </w:rPr>
              <w:t>9</w:t>
            </w:r>
            <w:r w:rsidRPr="00150EDC">
              <w:rPr>
                <w:spacing w:val="-14"/>
                <w:sz w:val="24"/>
              </w:rPr>
              <w:t xml:space="preserve"> </w:t>
            </w:r>
            <w:r w:rsidRPr="00150EDC">
              <w:rPr>
                <w:sz w:val="24"/>
              </w:rPr>
              <w:t>(Security),</w:t>
            </w:r>
            <w:r w:rsidRPr="00150EDC">
              <w:rPr>
                <w:spacing w:val="-15"/>
                <w:sz w:val="24"/>
              </w:rPr>
              <w:t xml:space="preserve"> </w:t>
            </w:r>
            <w:r w:rsidRPr="00150EDC">
              <w:rPr>
                <w:sz w:val="24"/>
              </w:rPr>
              <w:t>if</w:t>
            </w:r>
            <w:r w:rsidRPr="00150EDC">
              <w:rPr>
                <w:spacing w:val="-15"/>
                <w:sz w:val="24"/>
              </w:rPr>
              <w:t xml:space="preserve"> </w:t>
            </w:r>
            <w:r w:rsidRPr="00150EDC">
              <w:rPr>
                <w:sz w:val="24"/>
              </w:rPr>
              <w:t>applicable,</w:t>
            </w:r>
            <w:r w:rsidRPr="00150EDC">
              <w:rPr>
                <w:spacing w:val="-14"/>
                <w:sz w:val="24"/>
              </w:rPr>
              <w:t xml:space="preserve"> </w:t>
            </w:r>
            <w:r w:rsidRPr="00150EDC">
              <w:rPr>
                <w:sz w:val="24"/>
              </w:rPr>
              <w:t>in</w:t>
            </w:r>
            <w:r w:rsidRPr="00150EDC">
              <w:rPr>
                <w:spacing w:val="-15"/>
                <w:sz w:val="24"/>
              </w:rPr>
              <w:t xml:space="preserve"> </w:t>
            </w:r>
            <w:r w:rsidRPr="00150EDC">
              <w:rPr>
                <w:sz w:val="24"/>
              </w:rPr>
              <w:t>the</w:t>
            </w:r>
            <w:r w:rsidRPr="00150EDC">
              <w:rPr>
                <w:spacing w:val="-14"/>
                <w:sz w:val="24"/>
              </w:rPr>
              <w:t xml:space="preserve"> </w:t>
            </w:r>
            <w:r w:rsidRPr="00150EDC">
              <w:rPr>
                <w:sz w:val="24"/>
              </w:rPr>
              <w:t>case</w:t>
            </w:r>
            <w:r w:rsidRPr="00150EDC">
              <w:rPr>
                <w:spacing w:val="-14"/>
                <w:sz w:val="24"/>
              </w:rPr>
              <w:t xml:space="preserve"> </w:t>
            </w:r>
            <w:r w:rsidRPr="00150EDC">
              <w:rPr>
                <w:sz w:val="24"/>
              </w:rPr>
              <w:t>of</w:t>
            </w:r>
            <w:r w:rsidRPr="00150EDC">
              <w:rPr>
                <w:spacing w:val="-14"/>
                <w:sz w:val="24"/>
              </w:rPr>
              <w:t xml:space="preserve"> </w:t>
            </w:r>
            <w:r w:rsidRPr="00150EDC">
              <w:rPr>
                <w:sz w:val="24"/>
              </w:rPr>
              <w:t>an</w:t>
            </w:r>
            <w:r w:rsidRPr="00150EDC">
              <w:rPr>
                <w:spacing w:val="-14"/>
                <w:sz w:val="24"/>
              </w:rPr>
              <w:t xml:space="preserve"> </w:t>
            </w:r>
            <w:r w:rsidRPr="00150EDC">
              <w:rPr>
                <w:sz w:val="24"/>
              </w:rPr>
              <w:t xml:space="preserve">Order </w:t>
            </w:r>
            <w:r w:rsidRPr="00150EDC">
              <w:rPr>
                <w:spacing w:val="-2"/>
                <w:sz w:val="24"/>
              </w:rPr>
              <w:t>Contract;</w:t>
            </w:r>
          </w:p>
        </w:tc>
      </w:tr>
      <w:tr w:rsidR="007D3144" w:rsidRPr="007D3144" w14:paraId="6BD911EE" w14:textId="77777777">
        <w:trPr>
          <w:trHeight w:val="671"/>
        </w:trPr>
        <w:tc>
          <w:tcPr>
            <w:tcW w:w="2264" w:type="dxa"/>
          </w:tcPr>
          <w:p w14:paraId="4B19FC12" w14:textId="77777777" w:rsidR="004C7180" w:rsidRPr="00150EDC" w:rsidRDefault="00CF0754">
            <w:pPr>
              <w:pStyle w:val="TableParagraph"/>
              <w:spacing w:before="0" w:line="240" w:lineRule="auto"/>
              <w:ind w:left="-1" w:right="148"/>
              <w:rPr>
                <w:b/>
                <w:sz w:val="24"/>
              </w:rPr>
            </w:pPr>
            <w:r w:rsidRPr="00150EDC">
              <w:rPr>
                <w:b/>
                <w:sz w:val="24"/>
              </w:rPr>
              <w:t>“Public</w:t>
            </w:r>
            <w:r w:rsidRPr="00150EDC">
              <w:rPr>
                <w:b/>
                <w:spacing w:val="-17"/>
                <w:sz w:val="24"/>
              </w:rPr>
              <w:t xml:space="preserve"> </w:t>
            </w:r>
            <w:r w:rsidRPr="00150EDC">
              <w:rPr>
                <w:b/>
                <w:sz w:val="24"/>
              </w:rPr>
              <w:t xml:space="preserve">Sector </w:t>
            </w:r>
            <w:r w:rsidRPr="00150EDC">
              <w:rPr>
                <w:b/>
                <w:spacing w:val="-2"/>
                <w:sz w:val="24"/>
              </w:rPr>
              <w:t>Body”</w:t>
            </w:r>
          </w:p>
        </w:tc>
        <w:tc>
          <w:tcPr>
            <w:tcW w:w="7484" w:type="dxa"/>
          </w:tcPr>
          <w:p w14:paraId="3EE82B7C" w14:textId="77777777" w:rsidR="004C7180" w:rsidRPr="00150EDC" w:rsidRDefault="00CF0754">
            <w:pPr>
              <w:pStyle w:val="TableParagraph"/>
              <w:spacing w:before="0" w:line="240" w:lineRule="auto"/>
              <w:ind w:left="277"/>
              <w:rPr>
                <w:sz w:val="24"/>
              </w:rPr>
            </w:pPr>
            <w:r w:rsidRPr="00150EDC">
              <w:rPr>
                <w:sz w:val="24"/>
              </w:rPr>
              <w:t>means a formally established organisation that is (at least in part) publicly funded to deliver a public or government service;</w:t>
            </w:r>
          </w:p>
        </w:tc>
      </w:tr>
      <w:tr w:rsidR="007D3144" w:rsidRPr="007D3144" w14:paraId="4C75C3FC" w14:textId="77777777">
        <w:trPr>
          <w:trHeight w:val="1224"/>
        </w:trPr>
        <w:tc>
          <w:tcPr>
            <w:tcW w:w="2264" w:type="dxa"/>
          </w:tcPr>
          <w:p w14:paraId="0191C828" w14:textId="77777777" w:rsidR="004C7180" w:rsidRPr="00150EDC" w:rsidRDefault="00CF0754">
            <w:pPr>
              <w:pStyle w:val="TableParagraph"/>
              <w:spacing w:before="1" w:line="240" w:lineRule="auto"/>
              <w:ind w:left="-1"/>
              <w:rPr>
                <w:b/>
                <w:sz w:val="24"/>
              </w:rPr>
            </w:pPr>
            <w:r w:rsidRPr="00150EDC">
              <w:rPr>
                <w:b/>
                <w:spacing w:val="-2"/>
                <w:sz w:val="24"/>
              </w:rPr>
              <w:t>“Recall”</w:t>
            </w:r>
          </w:p>
        </w:tc>
        <w:tc>
          <w:tcPr>
            <w:tcW w:w="7484" w:type="dxa"/>
          </w:tcPr>
          <w:p w14:paraId="50B86133" w14:textId="77777777" w:rsidR="004C7180" w:rsidRPr="00150EDC" w:rsidRDefault="00CF0754">
            <w:pPr>
              <w:pStyle w:val="TableParagraph"/>
              <w:spacing w:before="1" w:line="240" w:lineRule="auto"/>
              <w:ind w:left="277" w:right="98"/>
              <w:jc w:val="both"/>
              <w:rPr>
                <w:sz w:val="24"/>
              </w:rPr>
            </w:pPr>
            <w:r w:rsidRPr="00150EDC">
              <w:rPr>
                <w:sz w:val="24"/>
              </w:rPr>
              <w:t>a request by the Supplier to return Goods to the Supplier or the manufacturer after the discovery of safety issues or defects (including</w:t>
            </w:r>
            <w:r w:rsidRPr="00150EDC">
              <w:rPr>
                <w:spacing w:val="-12"/>
                <w:sz w:val="24"/>
              </w:rPr>
              <w:t xml:space="preserve"> </w:t>
            </w:r>
            <w:r w:rsidRPr="00150EDC">
              <w:rPr>
                <w:sz w:val="24"/>
              </w:rPr>
              <w:t>defects</w:t>
            </w:r>
            <w:r w:rsidRPr="00150EDC">
              <w:rPr>
                <w:spacing w:val="-13"/>
                <w:sz w:val="24"/>
              </w:rPr>
              <w:t xml:space="preserve"> </w:t>
            </w:r>
            <w:r w:rsidRPr="00150EDC">
              <w:rPr>
                <w:sz w:val="24"/>
              </w:rPr>
              <w:t>in</w:t>
            </w:r>
            <w:r w:rsidRPr="00150EDC">
              <w:rPr>
                <w:spacing w:val="-11"/>
                <w:sz w:val="24"/>
              </w:rPr>
              <w:t xml:space="preserve"> </w:t>
            </w:r>
            <w:r w:rsidRPr="00150EDC">
              <w:rPr>
                <w:sz w:val="24"/>
              </w:rPr>
              <w:t>the</w:t>
            </w:r>
            <w:r w:rsidRPr="00150EDC">
              <w:rPr>
                <w:spacing w:val="-10"/>
                <w:sz w:val="24"/>
              </w:rPr>
              <w:t xml:space="preserve"> </w:t>
            </w:r>
            <w:r w:rsidRPr="00150EDC">
              <w:rPr>
                <w:sz w:val="24"/>
              </w:rPr>
              <w:t>right</w:t>
            </w:r>
            <w:r w:rsidRPr="00150EDC">
              <w:rPr>
                <w:spacing w:val="-13"/>
                <w:sz w:val="24"/>
              </w:rPr>
              <w:t xml:space="preserve"> </w:t>
            </w:r>
            <w:r w:rsidRPr="00150EDC">
              <w:rPr>
                <w:sz w:val="24"/>
              </w:rPr>
              <w:t>IPR</w:t>
            </w:r>
            <w:r w:rsidRPr="00150EDC">
              <w:rPr>
                <w:spacing w:val="-14"/>
                <w:sz w:val="24"/>
              </w:rPr>
              <w:t xml:space="preserve"> </w:t>
            </w:r>
            <w:r w:rsidRPr="00150EDC">
              <w:rPr>
                <w:sz w:val="24"/>
              </w:rPr>
              <w:t>rights)</w:t>
            </w:r>
            <w:r w:rsidRPr="00150EDC">
              <w:rPr>
                <w:spacing w:val="-14"/>
                <w:sz w:val="24"/>
              </w:rPr>
              <w:t xml:space="preserve"> </w:t>
            </w:r>
            <w:r w:rsidRPr="00150EDC">
              <w:rPr>
                <w:sz w:val="24"/>
              </w:rPr>
              <w:t>that</w:t>
            </w:r>
            <w:r w:rsidRPr="00150EDC">
              <w:rPr>
                <w:spacing w:val="-13"/>
                <w:sz w:val="24"/>
              </w:rPr>
              <w:t xml:space="preserve"> </w:t>
            </w:r>
            <w:r w:rsidRPr="00150EDC">
              <w:rPr>
                <w:sz w:val="24"/>
              </w:rPr>
              <w:t>might</w:t>
            </w:r>
            <w:r w:rsidRPr="00150EDC">
              <w:rPr>
                <w:spacing w:val="-13"/>
                <w:sz w:val="24"/>
              </w:rPr>
              <w:t xml:space="preserve"> </w:t>
            </w:r>
            <w:r w:rsidRPr="00150EDC">
              <w:rPr>
                <w:sz w:val="24"/>
              </w:rPr>
              <w:t>endanger</w:t>
            </w:r>
            <w:r w:rsidRPr="00150EDC">
              <w:rPr>
                <w:spacing w:val="-12"/>
                <w:sz w:val="24"/>
              </w:rPr>
              <w:t xml:space="preserve"> </w:t>
            </w:r>
            <w:r w:rsidRPr="00150EDC">
              <w:rPr>
                <w:sz w:val="24"/>
              </w:rPr>
              <w:t>health or hinder performance;</w:t>
            </w:r>
          </w:p>
        </w:tc>
      </w:tr>
      <w:tr w:rsidR="007D3144" w:rsidRPr="007D3144" w14:paraId="08B2A508" w14:textId="77777777">
        <w:trPr>
          <w:trHeight w:val="671"/>
        </w:trPr>
        <w:tc>
          <w:tcPr>
            <w:tcW w:w="2264" w:type="dxa"/>
          </w:tcPr>
          <w:p w14:paraId="5CEC7369" w14:textId="77777777" w:rsidR="004C7180" w:rsidRPr="00150EDC" w:rsidRDefault="00CF0754">
            <w:pPr>
              <w:pStyle w:val="TableParagraph"/>
              <w:spacing w:before="2" w:line="240" w:lineRule="auto"/>
              <w:ind w:left="-1"/>
              <w:rPr>
                <w:b/>
                <w:sz w:val="24"/>
              </w:rPr>
            </w:pPr>
            <w:r w:rsidRPr="00150EDC">
              <w:rPr>
                <w:b/>
                <w:spacing w:val="-2"/>
                <w:sz w:val="24"/>
              </w:rPr>
              <w:t>"Recipient</w:t>
            </w:r>
            <w:r w:rsidRPr="00150EDC">
              <w:rPr>
                <w:b/>
                <w:spacing w:val="2"/>
                <w:sz w:val="24"/>
              </w:rPr>
              <w:t xml:space="preserve"> </w:t>
            </w:r>
            <w:r w:rsidRPr="00150EDC">
              <w:rPr>
                <w:b/>
                <w:spacing w:val="-2"/>
                <w:sz w:val="24"/>
              </w:rPr>
              <w:t>Party"</w:t>
            </w:r>
          </w:p>
        </w:tc>
        <w:tc>
          <w:tcPr>
            <w:tcW w:w="7484" w:type="dxa"/>
          </w:tcPr>
          <w:p w14:paraId="76146D51" w14:textId="77777777" w:rsidR="004C7180" w:rsidRPr="00150EDC" w:rsidRDefault="00CF0754">
            <w:pPr>
              <w:pStyle w:val="TableParagraph"/>
              <w:spacing w:before="2" w:line="240" w:lineRule="auto"/>
              <w:ind w:left="277"/>
              <w:rPr>
                <w:sz w:val="24"/>
              </w:rPr>
            </w:pPr>
            <w:r w:rsidRPr="00150EDC">
              <w:rPr>
                <w:sz w:val="24"/>
              </w:rPr>
              <w:t>the</w:t>
            </w:r>
            <w:r w:rsidRPr="00150EDC">
              <w:rPr>
                <w:spacing w:val="-13"/>
                <w:sz w:val="24"/>
              </w:rPr>
              <w:t xml:space="preserve"> </w:t>
            </w:r>
            <w:r w:rsidRPr="00150EDC">
              <w:rPr>
                <w:sz w:val="24"/>
              </w:rPr>
              <w:t>Party</w:t>
            </w:r>
            <w:r w:rsidRPr="00150EDC">
              <w:rPr>
                <w:spacing w:val="-14"/>
                <w:sz w:val="24"/>
              </w:rPr>
              <w:t xml:space="preserve"> </w:t>
            </w:r>
            <w:r w:rsidRPr="00150EDC">
              <w:rPr>
                <w:sz w:val="24"/>
              </w:rPr>
              <w:t>which</w:t>
            </w:r>
            <w:r w:rsidRPr="00150EDC">
              <w:rPr>
                <w:spacing w:val="-13"/>
                <w:sz w:val="24"/>
              </w:rPr>
              <w:t xml:space="preserve"> </w:t>
            </w:r>
            <w:r w:rsidRPr="00150EDC">
              <w:rPr>
                <w:sz w:val="24"/>
              </w:rPr>
              <w:t>receives</w:t>
            </w:r>
            <w:r w:rsidRPr="00150EDC">
              <w:rPr>
                <w:spacing w:val="-14"/>
                <w:sz w:val="24"/>
              </w:rPr>
              <w:t xml:space="preserve"> </w:t>
            </w:r>
            <w:r w:rsidRPr="00150EDC">
              <w:rPr>
                <w:sz w:val="24"/>
              </w:rPr>
              <w:t>or</w:t>
            </w:r>
            <w:r w:rsidRPr="00150EDC">
              <w:rPr>
                <w:spacing w:val="-14"/>
                <w:sz w:val="24"/>
              </w:rPr>
              <w:t xml:space="preserve"> </w:t>
            </w:r>
            <w:r w:rsidRPr="00150EDC">
              <w:rPr>
                <w:sz w:val="24"/>
              </w:rPr>
              <w:t>obtains</w:t>
            </w:r>
            <w:r w:rsidRPr="00150EDC">
              <w:rPr>
                <w:spacing w:val="-15"/>
                <w:sz w:val="24"/>
              </w:rPr>
              <w:t xml:space="preserve"> </w:t>
            </w:r>
            <w:r w:rsidRPr="00150EDC">
              <w:rPr>
                <w:sz w:val="24"/>
              </w:rPr>
              <w:t>directly</w:t>
            </w:r>
            <w:r w:rsidRPr="00150EDC">
              <w:rPr>
                <w:spacing w:val="-14"/>
                <w:sz w:val="24"/>
              </w:rPr>
              <w:t xml:space="preserve"> </w:t>
            </w:r>
            <w:r w:rsidRPr="00150EDC">
              <w:rPr>
                <w:sz w:val="24"/>
              </w:rPr>
              <w:t>or</w:t>
            </w:r>
            <w:r w:rsidRPr="00150EDC">
              <w:rPr>
                <w:spacing w:val="-14"/>
                <w:sz w:val="24"/>
              </w:rPr>
              <w:t xml:space="preserve"> </w:t>
            </w:r>
            <w:r w:rsidRPr="00150EDC">
              <w:rPr>
                <w:sz w:val="24"/>
              </w:rPr>
              <w:t>indirectly</w:t>
            </w:r>
            <w:r w:rsidRPr="00150EDC">
              <w:rPr>
                <w:spacing w:val="-14"/>
                <w:sz w:val="24"/>
              </w:rPr>
              <w:t xml:space="preserve"> </w:t>
            </w:r>
            <w:r w:rsidRPr="00150EDC">
              <w:rPr>
                <w:sz w:val="24"/>
              </w:rPr>
              <w:t xml:space="preserve">Confidential </w:t>
            </w:r>
            <w:r w:rsidRPr="00150EDC">
              <w:rPr>
                <w:spacing w:val="-2"/>
                <w:sz w:val="24"/>
              </w:rPr>
              <w:t>Information;</w:t>
            </w:r>
          </w:p>
        </w:tc>
      </w:tr>
      <w:tr w:rsidR="007D3144" w:rsidRPr="007D3144" w14:paraId="17A6D364" w14:textId="77777777">
        <w:trPr>
          <w:trHeight w:val="3242"/>
        </w:trPr>
        <w:tc>
          <w:tcPr>
            <w:tcW w:w="2264" w:type="dxa"/>
          </w:tcPr>
          <w:p w14:paraId="4871C6E6" w14:textId="77777777" w:rsidR="004C7180" w:rsidRPr="00150EDC" w:rsidRDefault="00CF0754">
            <w:pPr>
              <w:pStyle w:val="TableParagraph"/>
              <w:spacing w:before="2" w:line="240" w:lineRule="auto"/>
              <w:ind w:left="-1" w:right="148"/>
              <w:rPr>
                <w:b/>
                <w:sz w:val="24"/>
              </w:rPr>
            </w:pPr>
            <w:r w:rsidRPr="00150EDC">
              <w:rPr>
                <w:b/>
                <w:spacing w:val="-2"/>
                <w:sz w:val="24"/>
              </w:rPr>
              <w:t xml:space="preserve">"Rectification </w:t>
            </w:r>
            <w:r w:rsidRPr="00150EDC">
              <w:rPr>
                <w:b/>
                <w:spacing w:val="-4"/>
                <w:sz w:val="24"/>
              </w:rPr>
              <w:t>Plan"</w:t>
            </w:r>
          </w:p>
        </w:tc>
        <w:tc>
          <w:tcPr>
            <w:tcW w:w="7484" w:type="dxa"/>
          </w:tcPr>
          <w:p w14:paraId="4FE838B9" w14:textId="77777777" w:rsidR="004C7180" w:rsidRPr="00150EDC" w:rsidRDefault="00CF0754">
            <w:pPr>
              <w:pStyle w:val="TableParagraph"/>
              <w:spacing w:before="2" w:line="240" w:lineRule="auto"/>
              <w:ind w:left="277" w:right="100"/>
              <w:jc w:val="both"/>
              <w:rPr>
                <w:sz w:val="24"/>
              </w:rPr>
            </w:pPr>
            <w:r w:rsidRPr="00150EDC">
              <w:rPr>
                <w:sz w:val="24"/>
              </w:rPr>
              <w:t xml:space="preserve">the Supplier’s plan (or revised plan) to rectify it’s breach using the template in Joint Schedule 10 (Rectification Plan) which shall </w:t>
            </w:r>
            <w:r w:rsidRPr="00150EDC">
              <w:rPr>
                <w:spacing w:val="-2"/>
                <w:sz w:val="24"/>
              </w:rPr>
              <w:t>include:</w:t>
            </w:r>
          </w:p>
          <w:p w14:paraId="1AD502E0" w14:textId="77777777" w:rsidR="004C7180" w:rsidRPr="00150EDC" w:rsidRDefault="00CF0754" w:rsidP="00B320C7">
            <w:pPr>
              <w:pStyle w:val="TableParagraph"/>
              <w:numPr>
                <w:ilvl w:val="0"/>
                <w:numId w:val="109"/>
              </w:numPr>
              <w:tabs>
                <w:tab w:val="left" w:pos="539"/>
                <w:tab w:val="left" w:pos="826"/>
              </w:tabs>
              <w:spacing w:before="120" w:line="240" w:lineRule="auto"/>
              <w:ind w:right="101" w:hanging="288"/>
              <w:jc w:val="both"/>
              <w:rPr>
                <w:sz w:val="24"/>
              </w:rPr>
            </w:pPr>
            <w:r w:rsidRPr="00150EDC">
              <w:rPr>
                <w:sz w:val="24"/>
              </w:rPr>
              <w:t>full details of the Default that has occurred, including a root cause analysis;</w:t>
            </w:r>
          </w:p>
          <w:p w14:paraId="78DC13E7" w14:textId="77777777" w:rsidR="004C7180" w:rsidRPr="00150EDC" w:rsidRDefault="00CF0754" w:rsidP="00B320C7">
            <w:pPr>
              <w:pStyle w:val="TableParagraph"/>
              <w:numPr>
                <w:ilvl w:val="0"/>
                <w:numId w:val="109"/>
              </w:numPr>
              <w:tabs>
                <w:tab w:val="left" w:pos="681"/>
              </w:tabs>
              <w:spacing w:before="120" w:line="240" w:lineRule="auto"/>
              <w:ind w:left="681" w:hanging="430"/>
              <w:jc w:val="both"/>
              <w:rPr>
                <w:sz w:val="24"/>
              </w:rPr>
            </w:pPr>
            <w:r w:rsidRPr="00150EDC">
              <w:rPr>
                <w:sz w:val="24"/>
              </w:rPr>
              <w:t>the</w:t>
            </w:r>
            <w:r w:rsidRPr="00150EDC">
              <w:rPr>
                <w:spacing w:val="-10"/>
                <w:sz w:val="24"/>
              </w:rPr>
              <w:t xml:space="preserve"> </w:t>
            </w:r>
            <w:r w:rsidRPr="00150EDC">
              <w:rPr>
                <w:sz w:val="24"/>
              </w:rPr>
              <w:t>actual</w:t>
            </w:r>
            <w:r w:rsidRPr="00150EDC">
              <w:rPr>
                <w:spacing w:val="-9"/>
                <w:sz w:val="24"/>
              </w:rPr>
              <w:t xml:space="preserve"> </w:t>
            </w:r>
            <w:r w:rsidRPr="00150EDC">
              <w:rPr>
                <w:sz w:val="24"/>
              </w:rPr>
              <w:t>or</w:t>
            </w:r>
            <w:r w:rsidRPr="00150EDC">
              <w:rPr>
                <w:spacing w:val="-8"/>
                <w:sz w:val="24"/>
              </w:rPr>
              <w:t xml:space="preserve"> </w:t>
            </w:r>
            <w:r w:rsidRPr="00150EDC">
              <w:rPr>
                <w:sz w:val="24"/>
              </w:rPr>
              <w:t>anticipated</w:t>
            </w:r>
            <w:r w:rsidRPr="00150EDC">
              <w:rPr>
                <w:spacing w:val="-8"/>
                <w:sz w:val="24"/>
              </w:rPr>
              <w:t xml:space="preserve"> </w:t>
            </w:r>
            <w:r w:rsidRPr="00150EDC">
              <w:rPr>
                <w:sz w:val="24"/>
              </w:rPr>
              <w:t>effect</w:t>
            </w:r>
            <w:r w:rsidRPr="00150EDC">
              <w:rPr>
                <w:spacing w:val="-7"/>
                <w:sz w:val="24"/>
              </w:rPr>
              <w:t xml:space="preserve"> </w:t>
            </w:r>
            <w:r w:rsidRPr="00150EDC">
              <w:rPr>
                <w:sz w:val="24"/>
              </w:rPr>
              <w:t>of</w:t>
            </w:r>
            <w:r w:rsidRPr="00150EDC">
              <w:rPr>
                <w:spacing w:val="-8"/>
                <w:sz w:val="24"/>
              </w:rPr>
              <w:t xml:space="preserve"> </w:t>
            </w:r>
            <w:r w:rsidRPr="00150EDC">
              <w:rPr>
                <w:sz w:val="24"/>
              </w:rPr>
              <w:t>the</w:t>
            </w:r>
            <w:r w:rsidRPr="00150EDC">
              <w:rPr>
                <w:spacing w:val="-9"/>
                <w:sz w:val="24"/>
              </w:rPr>
              <w:t xml:space="preserve"> </w:t>
            </w:r>
            <w:r w:rsidRPr="00150EDC">
              <w:rPr>
                <w:sz w:val="24"/>
              </w:rPr>
              <w:t>Default;</w:t>
            </w:r>
            <w:r w:rsidRPr="00150EDC">
              <w:rPr>
                <w:spacing w:val="-9"/>
                <w:sz w:val="24"/>
              </w:rPr>
              <w:t xml:space="preserve"> </w:t>
            </w:r>
            <w:r w:rsidRPr="00150EDC">
              <w:rPr>
                <w:spacing w:val="-5"/>
                <w:sz w:val="24"/>
              </w:rPr>
              <w:t>and</w:t>
            </w:r>
          </w:p>
          <w:p w14:paraId="2DF47E87" w14:textId="77777777" w:rsidR="004C7180" w:rsidRPr="00150EDC" w:rsidRDefault="00CF0754" w:rsidP="00B320C7">
            <w:pPr>
              <w:pStyle w:val="TableParagraph"/>
              <w:numPr>
                <w:ilvl w:val="0"/>
                <w:numId w:val="109"/>
              </w:numPr>
              <w:tabs>
                <w:tab w:val="left" w:pos="539"/>
                <w:tab w:val="left" w:pos="825"/>
              </w:tabs>
              <w:spacing w:before="121" w:line="240" w:lineRule="auto"/>
              <w:ind w:right="99" w:hanging="288"/>
              <w:jc w:val="both"/>
              <w:rPr>
                <w:sz w:val="24"/>
              </w:rPr>
            </w:pPr>
            <w:r w:rsidRPr="00150EDC">
              <w:rPr>
                <w:sz w:val="24"/>
              </w:rPr>
              <w:t>the steps which the Supplier proposes to take to rectify the Default</w:t>
            </w:r>
            <w:r w:rsidRPr="00150EDC">
              <w:rPr>
                <w:spacing w:val="-12"/>
                <w:sz w:val="24"/>
              </w:rPr>
              <w:t xml:space="preserve"> </w:t>
            </w:r>
            <w:r w:rsidRPr="00150EDC">
              <w:rPr>
                <w:sz w:val="24"/>
              </w:rPr>
              <w:t>(if</w:t>
            </w:r>
            <w:r w:rsidRPr="00150EDC">
              <w:rPr>
                <w:spacing w:val="-9"/>
                <w:sz w:val="24"/>
              </w:rPr>
              <w:t xml:space="preserve"> </w:t>
            </w:r>
            <w:r w:rsidRPr="00150EDC">
              <w:rPr>
                <w:sz w:val="24"/>
              </w:rPr>
              <w:t>applicable)</w:t>
            </w:r>
            <w:r w:rsidRPr="00150EDC">
              <w:rPr>
                <w:spacing w:val="-12"/>
                <w:sz w:val="24"/>
              </w:rPr>
              <w:t xml:space="preserve"> </w:t>
            </w:r>
            <w:r w:rsidRPr="00150EDC">
              <w:rPr>
                <w:sz w:val="24"/>
              </w:rPr>
              <w:t>and</w:t>
            </w:r>
            <w:r w:rsidRPr="00150EDC">
              <w:rPr>
                <w:spacing w:val="-9"/>
                <w:sz w:val="24"/>
              </w:rPr>
              <w:t xml:space="preserve"> </w:t>
            </w:r>
            <w:r w:rsidRPr="00150EDC">
              <w:rPr>
                <w:sz w:val="24"/>
              </w:rPr>
              <w:t>to</w:t>
            </w:r>
            <w:r w:rsidRPr="00150EDC">
              <w:rPr>
                <w:spacing w:val="-11"/>
                <w:sz w:val="24"/>
              </w:rPr>
              <w:t xml:space="preserve"> </w:t>
            </w:r>
            <w:r w:rsidRPr="00150EDC">
              <w:rPr>
                <w:sz w:val="24"/>
              </w:rPr>
              <w:t>prevent</w:t>
            </w:r>
            <w:r w:rsidRPr="00150EDC">
              <w:rPr>
                <w:spacing w:val="-9"/>
                <w:sz w:val="24"/>
              </w:rPr>
              <w:t xml:space="preserve"> </w:t>
            </w:r>
            <w:r w:rsidRPr="00150EDC">
              <w:rPr>
                <w:sz w:val="24"/>
              </w:rPr>
              <w:t>such</w:t>
            </w:r>
            <w:r w:rsidRPr="00150EDC">
              <w:rPr>
                <w:spacing w:val="-9"/>
                <w:sz w:val="24"/>
              </w:rPr>
              <w:t xml:space="preserve"> </w:t>
            </w:r>
            <w:r w:rsidRPr="00150EDC">
              <w:rPr>
                <w:sz w:val="24"/>
              </w:rPr>
              <w:t>Default</w:t>
            </w:r>
            <w:r w:rsidRPr="00150EDC">
              <w:rPr>
                <w:spacing w:val="-10"/>
                <w:sz w:val="24"/>
              </w:rPr>
              <w:t xml:space="preserve"> </w:t>
            </w:r>
            <w:r w:rsidRPr="00150EDC">
              <w:rPr>
                <w:sz w:val="24"/>
              </w:rPr>
              <w:t>from</w:t>
            </w:r>
            <w:r w:rsidRPr="00150EDC">
              <w:rPr>
                <w:spacing w:val="-10"/>
                <w:sz w:val="24"/>
              </w:rPr>
              <w:t xml:space="preserve"> </w:t>
            </w:r>
            <w:r w:rsidRPr="00150EDC">
              <w:rPr>
                <w:sz w:val="24"/>
              </w:rPr>
              <w:t>recurring, including</w:t>
            </w:r>
            <w:r w:rsidRPr="00150EDC">
              <w:rPr>
                <w:spacing w:val="-7"/>
                <w:sz w:val="24"/>
              </w:rPr>
              <w:t xml:space="preserve"> </w:t>
            </w:r>
            <w:r w:rsidRPr="00150EDC">
              <w:rPr>
                <w:sz w:val="24"/>
              </w:rPr>
              <w:t>timescales</w:t>
            </w:r>
            <w:r w:rsidRPr="00150EDC">
              <w:rPr>
                <w:spacing w:val="-8"/>
                <w:sz w:val="24"/>
              </w:rPr>
              <w:t xml:space="preserve"> </w:t>
            </w:r>
            <w:r w:rsidRPr="00150EDC">
              <w:rPr>
                <w:sz w:val="24"/>
              </w:rPr>
              <w:t>for</w:t>
            </w:r>
            <w:r w:rsidRPr="00150EDC">
              <w:rPr>
                <w:spacing w:val="-7"/>
                <w:sz w:val="24"/>
              </w:rPr>
              <w:t xml:space="preserve"> </w:t>
            </w:r>
            <w:r w:rsidRPr="00150EDC">
              <w:rPr>
                <w:sz w:val="24"/>
              </w:rPr>
              <w:t>such</w:t>
            </w:r>
            <w:r w:rsidRPr="00150EDC">
              <w:rPr>
                <w:spacing w:val="-8"/>
                <w:sz w:val="24"/>
              </w:rPr>
              <w:t xml:space="preserve"> </w:t>
            </w:r>
            <w:r w:rsidRPr="00150EDC">
              <w:rPr>
                <w:sz w:val="24"/>
              </w:rPr>
              <w:t>steps</w:t>
            </w:r>
            <w:r w:rsidRPr="00150EDC">
              <w:rPr>
                <w:spacing w:val="-9"/>
                <w:sz w:val="24"/>
              </w:rPr>
              <w:t xml:space="preserve"> </w:t>
            </w:r>
            <w:r w:rsidRPr="00150EDC">
              <w:rPr>
                <w:sz w:val="24"/>
              </w:rPr>
              <w:t>and</w:t>
            </w:r>
            <w:r w:rsidRPr="00150EDC">
              <w:rPr>
                <w:spacing w:val="-8"/>
                <w:sz w:val="24"/>
              </w:rPr>
              <w:t xml:space="preserve"> </w:t>
            </w:r>
            <w:r w:rsidRPr="00150EDC">
              <w:rPr>
                <w:sz w:val="24"/>
              </w:rPr>
              <w:t>for</w:t>
            </w:r>
            <w:r w:rsidRPr="00150EDC">
              <w:rPr>
                <w:spacing w:val="-7"/>
                <w:sz w:val="24"/>
              </w:rPr>
              <w:t xml:space="preserve"> </w:t>
            </w:r>
            <w:r w:rsidRPr="00150EDC">
              <w:rPr>
                <w:sz w:val="24"/>
              </w:rPr>
              <w:t>the</w:t>
            </w:r>
            <w:r w:rsidRPr="00150EDC">
              <w:rPr>
                <w:spacing w:val="-6"/>
                <w:sz w:val="24"/>
              </w:rPr>
              <w:t xml:space="preserve"> </w:t>
            </w:r>
            <w:r w:rsidRPr="00150EDC">
              <w:rPr>
                <w:sz w:val="24"/>
              </w:rPr>
              <w:t>rectification</w:t>
            </w:r>
            <w:r w:rsidRPr="00150EDC">
              <w:rPr>
                <w:spacing w:val="-8"/>
                <w:sz w:val="24"/>
              </w:rPr>
              <w:t xml:space="preserve"> </w:t>
            </w:r>
            <w:r w:rsidRPr="00150EDC">
              <w:rPr>
                <w:sz w:val="24"/>
              </w:rPr>
              <w:t>of</w:t>
            </w:r>
            <w:r w:rsidRPr="00150EDC">
              <w:rPr>
                <w:spacing w:val="-8"/>
                <w:sz w:val="24"/>
              </w:rPr>
              <w:t xml:space="preserve"> </w:t>
            </w:r>
            <w:r w:rsidRPr="00150EDC">
              <w:rPr>
                <w:sz w:val="24"/>
              </w:rPr>
              <w:t>the Default (where applicable);</w:t>
            </w:r>
          </w:p>
        </w:tc>
      </w:tr>
      <w:tr w:rsidR="007D3144" w:rsidRPr="007D3144" w14:paraId="5DE6BDD0" w14:textId="77777777">
        <w:trPr>
          <w:trHeight w:val="671"/>
        </w:trPr>
        <w:tc>
          <w:tcPr>
            <w:tcW w:w="2264" w:type="dxa"/>
          </w:tcPr>
          <w:p w14:paraId="76086EB4" w14:textId="77777777" w:rsidR="004C7180" w:rsidRPr="00150EDC" w:rsidRDefault="00CF0754">
            <w:pPr>
              <w:pStyle w:val="TableParagraph"/>
              <w:spacing w:before="0" w:line="240" w:lineRule="auto"/>
              <w:ind w:left="-1"/>
              <w:rPr>
                <w:b/>
                <w:sz w:val="24"/>
              </w:rPr>
            </w:pPr>
            <w:r w:rsidRPr="00150EDC">
              <w:rPr>
                <w:b/>
                <w:sz w:val="24"/>
              </w:rPr>
              <w:t>"Rectification</w:t>
            </w:r>
            <w:r w:rsidRPr="00150EDC">
              <w:rPr>
                <w:b/>
                <w:spacing w:val="-17"/>
                <w:sz w:val="24"/>
              </w:rPr>
              <w:t xml:space="preserve"> </w:t>
            </w:r>
            <w:r w:rsidRPr="00150EDC">
              <w:rPr>
                <w:b/>
                <w:sz w:val="24"/>
              </w:rPr>
              <w:t xml:space="preserve">Plan </w:t>
            </w:r>
            <w:r w:rsidRPr="00150EDC">
              <w:rPr>
                <w:b/>
                <w:spacing w:val="-2"/>
                <w:sz w:val="24"/>
              </w:rPr>
              <w:t>Process"</w:t>
            </w:r>
          </w:p>
        </w:tc>
        <w:tc>
          <w:tcPr>
            <w:tcW w:w="7484" w:type="dxa"/>
          </w:tcPr>
          <w:p w14:paraId="3C8BE541" w14:textId="77777777" w:rsidR="004C7180" w:rsidRPr="00150EDC" w:rsidRDefault="00CF0754">
            <w:pPr>
              <w:pStyle w:val="TableParagraph"/>
              <w:spacing w:before="0" w:line="240" w:lineRule="auto"/>
              <w:ind w:left="277"/>
              <w:rPr>
                <w:sz w:val="24"/>
              </w:rPr>
            </w:pPr>
            <w:r w:rsidRPr="00150EDC">
              <w:rPr>
                <w:sz w:val="24"/>
              </w:rPr>
              <w:t>the process set out in Clause 10.3.1 to 10.3.4 (Rectification Plan</w:t>
            </w:r>
            <w:r w:rsidRPr="00150EDC">
              <w:rPr>
                <w:spacing w:val="40"/>
                <w:sz w:val="24"/>
              </w:rPr>
              <w:t xml:space="preserve"> </w:t>
            </w:r>
            <w:r w:rsidRPr="00150EDC">
              <w:rPr>
                <w:spacing w:val="-2"/>
                <w:sz w:val="24"/>
              </w:rPr>
              <w:t>Process);</w:t>
            </w:r>
          </w:p>
        </w:tc>
      </w:tr>
      <w:tr w:rsidR="007D3144" w:rsidRPr="007D3144" w14:paraId="4B914926" w14:textId="77777777">
        <w:trPr>
          <w:trHeight w:val="671"/>
        </w:trPr>
        <w:tc>
          <w:tcPr>
            <w:tcW w:w="2264" w:type="dxa"/>
          </w:tcPr>
          <w:p w14:paraId="780CAE2C" w14:textId="77777777" w:rsidR="004C7180" w:rsidRPr="00150EDC" w:rsidRDefault="00CF0754">
            <w:pPr>
              <w:pStyle w:val="TableParagraph"/>
              <w:spacing w:before="0" w:line="240" w:lineRule="auto"/>
              <w:ind w:left="-1"/>
              <w:rPr>
                <w:b/>
                <w:sz w:val="24"/>
              </w:rPr>
            </w:pPr>
            <w:r w:rsidRPr="00150EDC">
              <w:rPr>
                <w:b/>
                <w:spacing w:val="-2"/>
                <w:sz w:val="24"/>
              </w:rPr>
              <w:t>"Regulations"</w:t>
            </w:r>
          </w:p>
        </w:tc>
        <w:tc>
          <w:tcPr>
            <w:tcW w:w="7484" w:type="dxa"/>
          </w:tcPr>
          <w:p w14:paraId="1982D77B" w14:textId="77777777" w:rsidR="004C7180" w:rsidRPr="00150EDC" w:rsidRDefault="00CF0754">
            <w:pPr>
              <w:pStyle w:val="TableParagraph"/>
              <w:spacing w:before="0" w:line="240" w:lineRule="auto"/>
              <w:ind w:left="277"/>
              <w:rPr>
                <w:sz w:val="24"/>
              </w:rPr>
            </w:pPr>
            <w:r w:rsidRPr="00150EDC">
              <w:rPr>
                <w:sz w:val="24"/>
              </w:rPr>
              <w:t>the Public Contracts Regulations 2015 and/or</w:t>
            </w:r>
            <w:r w:rsidRPr="00150EDC">
              <w:rPr>
                <w:spacing w:val="-1"/>
                <w:sz w:val="24"/>
              </w:rPr>
              <w:t xml:space="preserve"> </w:t>
            </w:r>
            <w:r w:rsidRPr="00150EDC">
              <w:rPr>
                <w:sz w:val="24"/>
              </w:rPr>
              <w:t>the Public Contracts (Scotland) Regulations 2015 (as the context requires);</w:t>
            </w:r>
          </w:p>
        </w:tc>
      </w:tr>
      <w:tr w:rsidR="007D3144" w:rsidRPr="007D3144" w14:paraId="368380FE" w14:textId="77777777">
        <w:trPr>
          <w:trHeight w:val="3276"/>
        </w:trPr>
        <w:tc>
          <w:tcPr>
            <w:tcW w:w="2264" w:type="dxa"/>
          </w:tcPr>
          <w:p w14:paraId="1FB00AE0" w14:textId="77777777" w:rsidR="004C7180" w:rsidRPr="00150EDC" w:rsidRDefault="00CF0754">
            <w:pPr>
              <w:pStyle w:val="TableParagraph"/>
              <w:spacing w:before="0" w:line="240" w:lineRule="auto"/>
              <w:ind w:left="-1"/>
              <w:rPr>
                <w:b/>
                <w:sz w:val="24"/>
              </w:rPr>
            </w:pPr>
            <w:r w:rsidRPr="00150EDC">
              <w:rPr>
                <w:b/>
                <w:spacing w:val="-2"/>
                <w:sz w:val="24"/>
              </w:rPr>
              <w:t>"Reimbursable Expenses"</w:t>
            </w:r>
          </w:p>
        </w:tc>
        <w:tc>
          <w:tcPr>
            <w:tcW w:w="7484" w:type="dxa"/>
          </w:tcPr>
          <w:p w14:paraId="3F9E0592" w14:textId="77777777" w:rsidR="004C7180" w:rsidRPr="00150EDC" w:rsidRDefault="00CF0754">
            <w:pPr>
              <w:pStyle w:val="TableParagraph"/>
              <w:spacing w:before="0" w:line="240" w:lineRule="auto"/>
              <w:ind w:left="277" w:right="92"/>
              <w:jc w:val="both"/>
              <w:rPr>
                <w:sz w:val="24"/>
              </w:rPr>
            </w:pPr>
            <w:r w:rsidRPr="00150EDC">
              <w:rPr>
                <w:sz w:val="24"/>
              </w:rPr>
              <w:t>the reasonable out of pocket travel and subsistence (for example, hotel and food) expenses, properly and necessarily incurred in the performance of the Services, calculated at the rates and in accordance with the Buyer's expenses policy current from time to time, but not including:</w:t>
            </w:r>
          </w:p>
          <w:p w14:paraId="2C4895D8" w14:textId="77777777" w:rsidR="004C7180" w:rsidRPr="00150EDC" w:rsidRDefault="00CF0754" w:rsidP="00B320C7">
            <w:pPr>
              <w:pStyle w:val="TableParagraph"/>
              <w:numPr>
                <w:ilvl w:val="0"/>
                <w:numId w:val="108"/>
              </w:numPr>
              <w:tabs>
                <w:tab w:val="left" w:pos="539"/>
                <w:tab w:val="left" w:pos="824"/>
              </w:tabs>
              <w:spacing w:before="121" w:line="240" w:lineRule="auto"/>
              <w:ind w:right="99" w:hanging="288"/>
              <w:jc w:val="both"/>
              <w:rPr>
                <w:sz w:val="24"/>
              </w:rPr>
            </w:pPr>
            <w:r w:rsidRPr="00150EDC">
              <w:rPr>
                <w:sz w:val="24"/>
              </w:rPr>
              <w:t>travel</w:t>
            </w:r>
            <w:r w:rsidRPr="00150EDC">
              <w:rPr>
                <w:spacing w:val="-9"/>
                <w:sz w:val="24"/>
              </w:rPr>
              <w:t xml:space="preserve"> </w:t>
            </w:r>
            <w:r w:rsidRPr="00150EDC">
              <w:rPr>
                <w:sz w:val="24"/>
              </w:rPr>
              <w:t>expenses</w:t>
            </w:r>
            <w:r w:rsidRPr="00150EDC">
              <w:rPr>
                <w:spacing w:val="-9"/>
                <w:sz w:val="24"/>
              </w:rPr>
              <w:t xml:space="preserve"> </w:t>
            </w:r>
            <w:r w:rsidRPr="00150EDC">
              <w:rPr>
                <w:sz w:val="24"/>
              </w:rPr>
              <w:t>incurred</w:t>
            </w:r>
            <w:r w:rsidRPr="00150EDC">
              <w:rPr>
                <w:spacing w:val="-8"/>
                <w:sz w:val="24"/>
              </w:rPr>
              <w:t xml:space="preserve"> </w:t>
            </w:r>
            <w:r w:rsidRPr="00150EDC">
              <w:rPr>
                <w:sz w:val="24"/>
              </w:rPr>
              <w:t>as</w:t>
            </w:r>
            <w:r w:rsidRPr="00150EDC">
              <w:rPr>
                <w:spacing w:val="-11"/>
                <w:sz w:val="24"/>
              </w:rPr>
              <w:t xml:space="preserve"> </w:t>
            </w:r>
            <w:r w:rsidRPr="00150EDC">
              <w:rPr>
                <w:sz w:val="24"/>
              </w:rPr>
              <w:t>a</w:t>
            </w:r>
            <w:r w:rsidRPr="00150EDC">
              <w:rPr>
                <w:spacing w:val="-8"/>
                <w:sz w:val="24"/>
              </w:rPr>
              <w:t xml:space="preserve"> </w:t>
            </w:r>
            <w:r w:rsidRPr="00150EDC">
              <w:rPr>
                <w:sz w:val="24"/>
              </w:rPr>
              <w:t>result</w:t>
            </w:r>
            <w:r w:rsidRPr="00150EDC">
              <w:rPr>
                <w:spacing w:val="-11"/>
                <w:sz w:val="24"/>
              </w:rPr>
              <w:t xml:space="preserve"> </w:t>
            </w:r>
            <w:r w:rsidRPr="00150EDC">
              <w:rPr>
                <w:sz w:val="24"/>
              </w:rPr>
              <w:t>of</w:t>
            </w:r>
            <w:r w:rsidRPr="00150EDC">
              <w:rPr>
                <w:spacing w:val="-11"/>
                <w:sz w:val="24"/>
              </w:rPr>
              <w:t xml:space="preserve"> </w:t>
            </w:r>
            <w:r w:rsidRPr="00150EDC">
              <w:rPr>
                <w:sz w:val="24"/>
              </w:rPr>
              <w:t>Supplier</w:t>
            </w:r>
            <w:r w:rsidRPr="00150EDC">
              <w:rPr>
                <w:spacing w:val="-9"/>
                <w:sz w:val="24"/>
              </w:rPr>
              <w:t xml:space="preserve"> </w:t>
            </w:r>
            <w:r w:rsidRPr="00150EDC">
              <w:rPr>
                <w:sz w:val="24"/>
              </w:rPr>
              <w:t>Staff</w:t>
            </w:r>
            <w:r w:rsidRPr="00150EDC">
              <w:rPr>
                <w:spacing w:val="-8"/>
                <w:sz w:val="24"/>
              </w:rPr>
              <w:t xml:space="preserve"> </w:t>
            </w:r>
            <w:r w:rsidRPr="00150EDC">
              <w:rPr>
                <w:sz w:val="24"/>
              </w:rPr>
              <w:t>travelling to</w:t>
            </w:r>
            <w:r w:rsidRPr="00150EDC">
              <w:rPr>
                <w:spacing w:val="-10"/>
                <w:sz w:val="24"/>
              </w:rPr>
              <w:t xml:space="preserve"> </w:t>
            </w:r>
            <w:r w:rsidRPr="00150EDC">
              <w:rPr>
                <w:sz w:val="24"/>
              </w:rPr>
              <w:t>and</w:t>
            </w:r>
            <w:r w:rsidRPr="00150EDC">
              <w:rPr>
                <w:spacing w:val="-12"/>
                <w:sz w:val="24"/>
              </w:rPr>
              <w:t xml:space="preserve"> </w:t>
            </w:r>
            <w:r w:rsidRPr="00150EDC">
              <w:rPr>
                <w:sz w:val="24"/>
              </w:rPr>
              <w:t>from</w:t>
            </w:r>
            <w:r w:rsidRPr="00150EDC">
              <w:rPr>
                <w:spacing w:val="-10"/>
                <w:sz w:val="24"/>
              </w:rPr>
              <w:t xml:space="preserve"> </w:t>
            </w:r>
            <w:r w:rsidRPr="00150EDC">
              <w:rPr>
                <w:sz w:val="24"/>
              </w:rPr>
              <w:t>their</w:t>
            </w:r>
            <w:r w:rsidRPr="00150EDC">
              <w:rPr>
                <w:spacing w:val="-12"/>
                <w:sz w:val="24"/>
              </w:rPr>
              <w:t xml:space="preserve"> </w:t>
            </w:r>
            <w:r w:rsidRPr="00150EDC">
              <w:rPr>
                <w:sz w:val="24"/>
              </w:rPr>
              <w:t>usual</w:t>
            </w:r>
            <w:r w:rsidRPr="00150EDC">
              <w:rPr>
                <w:spacing w:val="-13"/>
                <w:sz w:val="24"/>
              </w:rPr>
              <w:t xml:space="preserve"> </w:t>
            </w:r>
            <w:r w:rsidRPr="00150EDC">
              <w:rPr>
                <w:sz w:val="24"/>
              </w:rPr>
              <w:t>place</w:t>
            </w:r>
            <w:r w:rsidRPr="00150EDC">
              <w:rPr>
                <w:spacing w:val="-12"/>
                <w:sz w:val="24"/>
              </w:rPr>
              <w:t xml:space="preserve"> </w:t>
            </w:r>
            <w:r w:rsidRPr="00150EDC">
              <w:rPr>
                <w:sz w:val="24"/>
              </w:rPr>
              <w:t>of</w:t>
            </w:r>
            <w:r w:rsidRPr="00150EDC">
              <w:rPr>
                <w:spacing w:val="-11"/>
                <w:sz w:val="24"/>
              </w:rPr>
              <w:t xml:space="preserve"> </w:t>
            </w:r>
            <w:r w:rsidRPr="00150EDC">
              <w:rPr>
                <w:sz w:val="24"/>
              </w:rPr>
              <w:t>work,</w:t>
            </w:r>
            <w:r w:rsidRPr="00150EDC">
              <w:rPr>
                <w:spacing w:val="-10"/>
                <w:sz w:val="24"/>
              </w:rPr>
              <w:t xml:space="preserve"> </w:t>
            </w:r>
            <w:r w:rsidRPr="00150EDC">
              <w:rPr>
                <w:sz w:val="24"/>
              </w:rPr>
              <w:t>or</w:t>
            </w:r>
            <w:r w:rsidRPr="00150EDC">
              <w:rPr>
                <w:spacing w:val="-13"/>
                <w:sz w:val="24"/>
              </w:rPr>
              <w:t xml:space="preserve"> </w:t>
            </w:r>
            <w:r w:rsidRPr="00150EDC">
              <w:rPr>
                <w:sz w:val="24"/>
              </w:rPr>
              <w:t>to</w:t>
            </w:r>
            <w:r w:rsidRPr="00150EDC">
              <w:rPr>
                <w:spacing w:val="-11"/>
                <w:sz w:val="24"/>
              </w:rPr>
              <w:t xml:space="preserve"> </w:t>
            </w:r>
            <w:r w:rsidRPr="00150EDC">
              <w:rPr>
                <w:sz w:val="24"/>
              </w:rPr>
              <w:t>and</w:t>
            </w:r>
            <w:r w:rsidRPr="00150EDC">
              <w:rPr>
                <w:spacing w:val="-12"/>
                <w:sz w:val="24"/>
              </w:rPr>
              <w:t xml:space="preserve"> </w:t>
            </w:r>
            <w:r w:rsidRPr="00150EDC">
              <w:rPr>
                <w:sz w:val="24"/>
              </w:rPr>
              <w:t>from</w:t>
            </w:r>
            <w:r w:rsidRPr="00150EDC">
              <w:rPr>
                <w:spacing w:val="-11"/>
                <w:sz w:val="24"/>
              </w:rPr>
              <w:t xml:space="preserve"> </w:t>
            </w:r>
            <w:r w:rsidRPr="00150EDC">
              <w:rPr>
                <w:sz w:val="24"/>
              </w:rPr>
              <w:t>the</w:t>
            </w:r>
            <w:r w:rsidRPr="00150EDC">
              <w:rPr>
                <w:spacing w:val="-12"/>
                <w:sz w:val="24"/>
              </w:rPr>
              <w:t xml:space="preserve"> </w:t>
            </w:r>
            <w:r w:rsidRPr="00150EDC">
              <w:rPr>
                <w:sz w:val="24"/>
              </w:rPr>
              <w:t>premises at which the Services</w:t>
            </w:r>
            <w:r w:rsidRPr="00150EDC">
              <w:rPr>
                <w:spacing w:val="-3"/>
                <w:sz w:val="24"/>
              </w:rPr>
              <w:t xml:space="preserve"> </w:t>
            </w:r>
            <w:r w:rsidRPr="00150EDC">
              <w:rPr>
                <w:sz w:val="24"/>
              </w:rPr>
              <w:t>are</w:t>
            </w:r>
            <w:r w:rsidRPr="00150EDC">
              <w:rPr>
                <w:spacing w:val="-1"/>
                <w:sz w:val="24"/>
              </w:rPr>
              <w:t xml:space="preserve"> </w:t>
            </w:r>
            <w:r w:rsidRPr="00150EDC">
              <w:rPr>
                <w:sz w:val="24"/>
              </w:rPr>
              <w:t>principally</w:t>
            </w:r>
            <w:r w:rsidRPr="00150EDC">
              <w:rPr>
                <w:spacing w:val="-1"/>
                <w:sz w:val="24"/>
              </w:rPr>
              <w:t xml:space="preserve"> </w:t>
            </w:r>
            <w:r w:rsidRPr="00150EDC">
              <w:rPr>
                <w:sz w:val="24"/>
              </w:rPr>
              <w:t>to be performed, unless</w:t>
            </w:r>
            <w:r w:rsidRPr="00150EDC">
              <w:rPr>
                <w:spacing w:val="-3"/>
                <w:sz w:val="24"/>
              </w:rPr>
              <w:t xml:space="preserve"> </w:t>
            </w:r>
            <w:r w:rsidRPr="00150EDC">
              <w:rPr>
                <w:sz w:val="24"/>
              </w:rPr>
              <w:t>the Buyer otherwise agrees in advance in writing; and</w:t>
            </w:r>
          </w:p>
          <w:p w14:paraId="77A95735" w14:textId="77777777" w:rsidR="004C7180" w:rsidRPr="00150EDC" w:rsidRDefault="00CF0754" w:rsidP="00B320C7">
            <w:pPr>
              <w:pStyle w:val="TableParagraph"/>
              <w:numPr>
                <w:ilvl w:val="0"/>
                <w:numId w:val="108"/>
              </w:numPr>
              <w:tabs>
                <w:tab w:val="left" w:pos="539"/>
                <w:tab w:val="left" w:pos="824"/>
              </w:tabs>
              <w:spacing w:before="100" w:line="270" w:lineRule="atLeast"/>
              <w:ind w:right="100" w:hanging="288"/>
              <w:jc w:val="both"/>
              <w:rPr>
                <w:sz w:val="24"/>
              </w:rPr>
            </w:pPr>
            <w:r w:rsidRPr="00150EDC">
              <w:rPr>
                <w:sz w:val="24"/>
              </w:rPr>
              <w:t>subsistence expenses incurred by Supplier Staff whilst performing</w:t>
            </w:r>
            <w:r w:rsidRPr="00150EDC">
              <w:rPr>
                <w:spacing w:val="19"/>
                <w:sz w:val="24"/>
              </w:rPr>
              <w:t xml:space="preserve"> </w:t>
            </w:r>
            <w:r w:rsidRPr="00150EDC">
              <w:rPr>
                <w:sz w:val="24"/>
              </w:rPr>
              <w:t>the</w:t>
            </w:r>
            <w:r w:rsidRPr="00150EDC">
              <w:rPr>
                <w:spacing w:val="20"/>
                <w:sz w:val="24"/>
              </w:rPr>
              <w:t xml:space="preserve"> </w:t>
            </w:r>
            <w:r w:rsidRPr="00150EDC">
              <w:rPr>
                <w:sz w:val="24"/>
              </w:rPr>
              <w:t>Services</w:t>
            </w:r>
            <w:r w:rsidRPr="00150EDC">
              <w:rPr>
                <w:spacing w:val="18"/>
                <w:sz w:val="24"/>
              </w:rPr>
              <w:t xml:space="preserve"> </w:t>
            </w:r>
            <w:r w:rsidRPr="00150EDC">
              <w:rPr>
                <w:sz w:val="24"/>
              </w:rPr>
              <w:t>at</w:t>
            </w:r>
            <w:r w:rsidRPr="00150EDC">
              <w:rPr>
                <w:spacing w:val="20"/>
                <w:sz w:val="24"/>
              </w:rPr>
              <w:t xml:space="preserve"> </w:t>
            </w:r>
            <w:r w:rsidRPr="00150EDC">
              <w:rPr>
                <w:sz w:val="24"/>
              </w:rPr>
              <w:t>their</w:t>
            </w:r>
            <w:r w:rsidRPr="00150EDC">
              <w:rPr>
                <w:spacing w:val="17"/>
                <w:sz w:val="24"/>
              </w:rPr>
              <w:t xml:space="preserve"> </w:t>
            </w:r>
            <w:r w:rsidRPr="00150EDC">
              <w:rPr>
                <w:sz w:val="24"/>
              </w:rPr>
              <w:t>usual</w:t>
            </w:r>
            <w:r w:rsidRPr="00150EDC">
              <w:rPr>
                <w:spacing w:val="19"/>
                <w:sz w:val="24"/>
              </w:rPr>
              <w:t xml:space="preserve"> </w:t>
            </w:r>
            <w:r w:rsidRPr="00150EDC">
              <w:rPr>
                <w:sz w:val="24"/>
              </w:rPr>
              <w:t>place</w:t>
            </w:r>
            <w:r w:rsidRPr="00150EDC">
              <w:rPr>
                <w:spacing w:val="18"/>
                <w:sz w:val="24"/>
              </w:rPr>
              <w:t xml:space="preserve"> </w:t>
            </w:r>
            <w:r w:rsidRPr="00150EDC">
              <w:rPr>
                <w:sz w:val="24"/>
              </w:rPr>
              <w:t>of</w:t>
            </w:r>
            <w:r w:rsidRPr="00150EDC">
              <w:rPr>
                <w:spacing w:val="19"/>
                <w:sz w:val="24"/>
              </w:rPr>
              <w:t xml:space="preserve"> </w:t>
            </w:r>
            <w:r w:rsidRPr="00150EDC">
              <w:rPr>
                <w:sz w:val="24"/>
              </w:rPr>
              <w:t>work,</w:t>
            </w:r>
            <w:r w:rsidRPr="00150EDC">
              <w:rPr>
                <w:spacing w:val="19"/>
                <w:sz w:val="24"/>
              </w:rPr>
              <w:t xml:space="preserve"> </w:t>
            </w:r>
            <w:r w:rsidRPr="00150EDC">
              <w:rPr>
                <w:sz w:val="24"/>
              </w:rPr>
              <w:t>or</w:t>
            </w:r>
            <w:r w:rsidRPr="00150EDC">
              <w:rPr>
                <w:spacing w:val="18"/>
                <w:sz w:val="24"/>
              </w:rPr>
              <w:t xml:space="preserve"> </w:t>
            </w:r>
            <w:r w:rsidRPr="00150EDC">
              <w:rPr>
                <w:sz w:val="24"/>
              </w:rPr>
              <w:t>to</w:t>
            </w:r>
            <w:r w:rsidRPr="00150EDC">
              <w:rPr>
                <w:spacing w:val="19"/>
                <w:sz w:val="24"/>
              </w:rPr>
              <w:t xml:space="preserve"> </w:t>
            </w:r>
            <w:r w:rsidRPr="00150EDC">
              <w:rPr>
                <w:spacing w:val="-5"/>
                <w:sz w:val="24"/>
              </w:rPr>
              <w:t>and</w:t>
            </w:r>
          </w:p>
        </w:tc>
      </w:tr>
    </w:tbl>
    <w:p w14:paraId="6DF86A1C" w14:textId="77777777" w:rsidR="004C7180" w:rsidRPr="00150EDC" w:rsidRDefault="004C7180">
      <w:pPr>
        <w:spacing w:line="270" w:lineRule="atLeast"/>
        <w:jc w:val="both"/>
        <w:rPr>
          <w:sz w:val="24"/>
        </w:rPr>
        <w:sectPr w:rsidR="004C7180" w:rsidRPr="00150EDC">
          <w:pgSz w:w="11910" w:h="16840"/>
          <w:pgMar w:top="1160" w:right="0" w:bottom="1460" w:left="40" w:header="715" w:footer="1208" w:gutter="0"/>
          <w:cols w:space="720"/>
        </w:sectPr>
      </w:pPr>
    </w:p>
    <w:p w14:paraId="6E0BAC34" w14:textId="77777777" w:rsidR="004C7180" w:rsidRPr="00150EDC" w:rsidRDefault="004C7180">
      <w:pPr>
        <w:pStyle w:val="BodyText"/>
        <w:spacing w:before="7"/>
        <w:rPr>
          <w:sz w:val="23"/>
        </w:rPr>
      </w:pPr>
    </w:p>
    <w:tbl>
      <w:tblPr>
        <w:tblW w:w="0" w:type="auto"/>
        <w:tblInd w:w="1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4"/>
        <w:gridCol w:w="7484"/>
      </w:tblGrid>
      <w:tr w:rsidR="007D3144" w:rsidRPr="007D3144" w14:paraId="41844F07" w14:textId="77777777">
        <w:trPr>
          <w:trHeight w:val="672"/>
        </w:trPr>
        <w:tc>
          <w:tcPr>
            <w:tcW w:w="2264" w:type="dxa"/>
          </w:tcPr>
          <w:p w14:paraId="50DA46CB" w14:textId="77777777" w:rsidR="004C7180" w:rsidRPr="00150EDC" w:rsidRDefault="004C7180">
            <w:pPr>
              <w:pStyle w:val="TableParagraph"/>
              <w:spacing w:before="0" w:line="240" w:lineRule="auto"/>
              <w:ind w:left="0"/>
              <w:rPr>
                <w:rFonts w:ascii="Times New Roman"/>
              </w:rPr>
            </w:pPr>
          </w:p>
        </w:tc>
        <w:tc>
          <w:tcPr>
            <w:tcW w:w="7484" w:type="dxa"/>
          </w:tcPr>
          <w:p w14:paraId="60DAB5FB" w14:textId="77777777" w:rsidR="004C7180" w:rsidRPr="00150EDC" w:rsidRDefault="00CF0754">
            <w:pPr>
              <w:pStyle w:val="TableParagraph"/>
              <w:spacing w:before="0" w:line="240" w:lineRule="auto"/>
              <w:ind w:left="539"/>
              <w:rPr>
                <w:sz w:val="24"/>
              </w:rPr>
            </w:pPr>
            <w:r w:rsidRPr="00150EDC">
              <w:rPr>
                <w:sz w:val="24"/>
              </w:rPr>
              <w:t>from</w:t>
            </w:r>
            <w:r w:rsidRPr="00150EDC">
              <w:rPr>
                <w:spacing w:val="40"/>
                <w:sz w:val="24"/>
              </w:rPr>
              <w:t xml:space="preserve"> </w:t>
            </w:r>
            <w:r w:rsidRPr="00150EDC">
              <w:rPr>
                <w:sz w:val="24"/>
              </w:rPr>
              <w:t>the</w:t>
            </w:r>
            <w:r w:rsidRPr="00150EDC">
              <w:rPr>
                <w:spacing w:val="38"/>
                <w:sz w:val="24"/>
              </w:rPr>
              <w:t xml:space="preserve"> </w:t>
            </w:r>
            <w:r w:rsidRPr="00150EDC">
              <w:rPr>
                <w:sz w:val="24"/>
              </w:rPr>
              <w:t>premises</w:t>
            </w:r>
            <w:r w:rsidRPr="00150EDC">
              <w:rPr>
                <w:spacing w:val="39"/>
                <w:sz w:val="24"/>
              </w:rPr>
              <w:t xml:space="preserve"> </w:t>
            </w:r>
            <w:r w:rsidRPr="00150EDC">
              <w:rPr>
                <w:sz w:val="24"/>
              </w:rPr>
              <w:t>at</w:t>
            </w:r>
            <w:r w:rsidRPr="00150EDC">
              <w:rPr>
                <w:spacing w:val="35"/>
                <w:sz w:val="24"/>
              </w:rPr>
              <w:t xml:space="preserve"> </w:t>
            </w:r>
            <w:r w:rsidRPr="00150EDC">
              <w:rPr>
                <w:sz w:val="24"/>
              </w:rPr>
              <w:t>which</w:t>
            </w:r>
            <w:r w:rsidRPr="00150EDC">
              <w:rPr>
                <w:spacing w:val="40"/>
                <w:sz w:val="24"/>
              </w:rPr>
              <w:t xml:space="preserve"> </w:t>
            </w:r>
            <w:r w:rsidRPr="00150EDC">
              <w:rPr>
                <w:sz w:val="24"/>
              </w:rPr>
              <w:t>the</w:t>
            </w:r>
            <w:r w:rsidRPr="00150EDC">
              <w:rPr>
                <w:spacing w:val="38"/>
                <w:sz w:val="24"/>
              </w:rPr>
              <w:t xml:space="preserve"> </w:t>
            </w:r>
            <w:r w:rsidRPr="00150EDC">
              <w:rPr>
                <w:sz w:val="24"/>
              </w:rPr>
              <w:t>Services</w:t>
            </w:r>
            <w:r w:rsidRPr="00150EDC">
              <w:rPr>
                <w:spacing w:val="37"/>
                <w:sz w:val="24"/>
              </w:rPr>
              <w:t xml:space="preserve"> </w:t>
            </w:r>
            <w:r w:rsidRPr="00150EDC">
              <w:rPr>
                <w:sz w:val="24"/>
              </w:rPr>
              <w:t>are</w:t>
            </w:r>
            <w:r w:rsidRPr="00150EDC">
              <w:rPr>
                <w:spacing w:val="40"/>
                <w:sz w:val="24"/>
              </w:rPr>
              <w:t xml:space="preserve"> </w:t>
            </w:r>
            <w:r w:rsidRPr="00150EDC">
              <w:rPr>
                <w:sz w:val="24"/>
              </w:rPr>
              <w:t>principally</w:t>
            </w:r>
            <w:r w:rsidRPr="00150EDC">
              <w:rPr>
                <w:spacing w:val="39"/>
                <w:sz w:val="24"/>
              </w:rPr>
              <w:t xml:space="preserve"> </w:t>
            </w:r>
            <w:r w:rsidRPr="00150EDC">
              <w:rPr>
                <w:sz w:val="24"/>
              </w:rPr>
              <w:t>to</w:t>
            </w:r>
            <w:r w:rsidRPr="00150EDC">
              <w:rPr>
                <w:spacing w:val="40"/>
                <w:sz w:val="24"/>
              </w:rPr>
              <w:t xml:space="preserve"> </w:t>
            </w:r>
            <w:r w:rsidRPr="00150EDC">
              <w:rPr>
                <w:sz w:val="24"/>
              </w:rPr>
              <w:t xml:space="preserve">be </w:t>
            </w:r>
            <w:r w:rsidRPr="00150EDC">
              <w:rPr>
                <w:spacing w:val="-2"/>
                <w:sz w:val="24"/>
              </w:rPr>
              <w:t>performed;</w:t>
            </w:r>
          </w:p>
        </w:tc>
      </w:tr>
      <w:tr w:rsidR="007D3144" w:rsidRPr="007D3144" w14:paraId="52FD31F7" w14:textId="77777777">
        <w:trPr>
          <w:trHeight w:val="671"/>
        </w:trPr>
        <w:tc>
          <w:tcPr>
            <w:tcW w:w="2264" w:type="dxa"/>
          </w:tcPr>
          <w:p w14:paraId="0BD88827" w14:textId="77777777" w:rsidR="004C7180" w:rsidRPr="00150EDC" w:rsidRDefault="00CF0754">
            <w:pPr>
              <w:pStyle w:val="TableParagraph"/>
              <w:spacing w:before="0" w:line="240" w:lineRule="auto"/>
              <w:ind w:left="-1" w:right="298"/>
              <w:rPr>
                <w:b/>
                <w:sz w:val="24"/>
              </w:rPr>
            </w:pPr>
            <w:r w:rsidRPr="00150EDC">
              <w:rPr>
                <w:b/>
                <w:spacing w:val="-2"/>
                <w:sz w:val="24"/>
              </w:rPr>
              <w:t>"Relevant Authority"</w:t>
            </w:r>
          </w:p>
        </w:tc>
        <w:tc>
          <w:tcPr>
            <w:tcW w:w="7484" w:type="dxa"/>
          </w:tcPr>
          <w:p w14:paraId="0CEBF406" w14:textId="77777777" w:rsidR="004C7180" w:rsidRPr="00150EDC" w:rsidRDefault="00CF0754">
            <w:pPr>
              <w:pStyle w:val="TableParagraph"/>
              <w:spacing w:before="0" w:line="240" w:lineRule="auto"/>
              <w:ind w:left="277"/>
              <w:rPr>
                <w:sz w:val="24"/>
              </w:rPr>
            </w:pPr>
            <w:r w:rsidRPr="00150EDC">
              <w:rPr>
                <w:sz w:val="24"/>
              </w:rPr>
              <w:t>the</w:t>
            </w:r>
            <w:r w:rsidRPr="00150EDC">
              <w:rPr>
                <w:spacing w:val="40"/>
                <w:sz w:val="24"/>
              </w:rPr>
              <w:t xml:space="preserve"> </w:t>
            </w:r>
            <w:r w:rsidRPr="00150EDC">
              <w:rPr>
                <w:sz w:val="24"/>
              </w:rPr>
              <w:t>Authority</w:t>
            </w:r>
            <w:r w:rsidRPr="00150EDC">
              <w:rPr>
                <w:spacing w:val="40"/>
                <w:sz w:val="24"/>
              </w:rPr>
              <w:t xml:space="preserve"> </w:t>
            </w:r>
            <w:r w:rsidRPr="00150EDC">
              <w:rPr>
                <w:sz w:val="24"/>
              </w:rPr>
              <w:t>which</w:t>
            </w:r>
            <w:r w:rsidRPr="00150EDC">
              <w:rPr>
                <w:spacing w:val="40"/>
                <w:sz w:val="24"/>
              </w:rPr>
              <w:t xml:space="preserve"> </w:t>
            </w:r>
            <w:r w:rsidRPr="00150EDC">
              <w:rPr>
                <w:sz w:val="24"/>
              </w:rPr>
              <w:t>is</w:t>
            </w:r>
            <w:r w:rsidRPr="00150EDC">
              <w:rPr>
                <w:spacing w:val="40"/>
                <w:sz w:val="24"/>
              </w:rPr>
              <w:t xml:space="preserve"> </w:t>
            </w:r>
            <w:r w:rsidRPr="00150EDC">
              <w:rPr>
                <w:sz w:val="24"/>
              </w:rPr>
              <w:t>party</w:t>
            </w:r>
            <w:r w:rsidRPr="00150EDC">
              <w:rPr>
                <w:spacing w:val="40"/>
                <w:sz w:val="24"/>
              </w:rPr>
              <w:t xml:space="preserve"> </w:t>
            </w:r>
            <w:r w:rsidRPr="00150EDC">
              <w:rPr>
                <w:sz w:val="24"/>
              </w:rPr>
              <w:t>to</w:t>
            </w:r>
            <w:r w:rsidRPr="00150EDC">
              <w:rPr>
                <w:spacing w:val="40"/>
                <w:sz w:val="24"/>
              </w:rPr>
              <w:t xml:space="preserve"> </w:t>
            </w:r>
            <w:r w:rsidRPr="00150EDC">
              <w:rPr>
                <w:sz w:val="24"/>
              </w:rPr>
              <w:t>the</w:t>
            </w:r>
            <w:r w:rsidRPr="00150EDC">
              <w:rPr>
                <w:spacing w:val="40"/>
                <w:sz w:val="24"/>
              </w:rPr>
              <w:t xml:space="preserve"> </w:t>
            </w:r>
            <w:r w:rsidRPr="00150EDC">
              <w:rPr>
                <w:sz w:val="24"/>
              </w:rPr>
              <w:t>Contract</w:t>
            </w:r>
            <w:r w:rsidRPr="00150EDC">
              <w:rPr>
                <w:spacing w:val="40"/>
                <w:sz w:val="24"/>
              </w:rPr>
              <w:t xml:space="preserve"> </w:t>
            </w:r>
            <w:r w:rsidRPr="00150EDC">
              <w:rPr>
                <w:sz w:val="24"/>
              </w:rPr>
              <w:t>to</w:t>
            </w:r>
            <w:r w:rsidRPr="00150EDC">
              <w:rPr>
                <w:spacing w:val="40"/>
                <w:sz w:val="24"/>
              </w:rPr>
              <w:t xml:space="preserve"> </w:t>
            </w:r>
            <w:r w:rsidRPr="00150EDC">
              <w:rPr>
                <w:sz w:val="24"/>
              </w:rPr>
              <w:t>which</w:t>
            </w:r>
            <w:r w:rsidRPr="00150EDC">
              <w:rPr>
                <w:spacing w:val="40"/>
                <w:sz w:val="24"/>
              </w:rPr>
              <w:t xml:space="preserve"> </w:t>
            </w:r>
            <w:r w:rsidRPr="00150EDC">
              <w:rPr>
                <w:sz w:val="24"/>
              </w:rPr>
              <w:t>a</w:t>
            </w:r>
            <w:r w:rsidRPr="00150EDC">
              <w:rPr>
                <w:spacing w:val="40"/>
                <w:sz w:val="24"/>
              </w:rPr>
              <w:t xml:space="preserve"> </w:t>
            </w:r>
            <w:r w:rsidRPr="00150EDC">
              <w:rPr>
                <w:sz w:val="24"/>
              </w:rPr>
              <w:t>right</w:t>
            </w:r>
            <w:r w:rsidRPr="00150EDC">
              <w:rPr>
                <w:spacing w:val="40"/>
                <w:sz w:val="24"/>
              </w:rPr>
              <w:t xml:space="preserve"> </w:t>
            </w:r>
            <w:r w:rsidRPr="00150EDC">
              <w:rPr>
                <w:sz w:val="24"/>
              </w:rPr>
              <w:t>or obligation is owed, as the context requires;</w:t>
            </w:r>
          </w:p>
        </w:tc>
      </w:tr>
      <w:tr w:rsidR="007D3144" w:rsidRPr="007D3144" w14:paraId="03DEFF4B" w14:textId="77777777">
        <w:trPr>
          <w:trHeight w:val="2939"/>
        </w:trPr>
        <w:tc>
          <w:tcPr>
            <w:tcW w:w="2264" w:type="dxa"/>
            <w:vMerge w:val="restart"/>
          </w:tcPr>
          <w:p w14:paraId="5672BBE0" w14:textId="77777777" w:rsidR="004C7180" w:rsidRPr="00150EDC" w:rsidRDefault="00CF0754">
            <w:pPr>
              <w:pStyle w:val="TableParagraph"/>
              <w:spacing w:before="0" w:line="240" w:lineRule="auto"/>
              <w:ind w:left="-1"/>
              <w:rPr>
                <w:b/>
                <w:sz w:val="24"/>
              </w:rPr>
            </w:pPr>
            <w:r w:rsidRPr="00150EDC">
              <w:rPr>
                <w:b/>
                <w:spacing w:val="-2"/>
                <w:sz w:val="24"/>
              </w:rPr>
              <w:t>"Relevant Authority's Confidential Information"</w:t>
            </w:r>
          </w:p>
        </w:tc>
        <w:tc>
          <w:tcPr>
            <w:tcW w:w="7484" w:type="dxa"/>
            <w:tcBorders>
              <w:bottom w:val="nil"/>
            </w:tcBorders>
          </w:tcPr>
          <w:p w14:paraId="0A9E76D7" w14:textId="77777777" w:rsidR="004C7180" w:rsidRPr="00150EDC" w:rsidRDefault="00CF0754" w:rsidP="00B320C7">
            <w:pPr>
              <w:pStyle w:val="TableParagraph"/>
              <w:numPr>
                <w:ilvl w:val="0"/>
                <w:numId w:val="107"/>
              </w:numPr>
              <w:tabs>
                <w:tab w:val="left" w:pos="539"/>
                <w:tab w:val="left" w:pos="824"/>
              </w:tabs>
              <w:spacing w:before="0" w:line="240" w:lineRule="auto"/>
              <w:ind w:right="98" w:hanging="288"/>
              <w:jc w:val="both"/>
              <w:rPr>
                <w:sz w:val="24"/>
              </w:rPr>
            </w:pPr>
            <w:r w:rsidRPr="00150EDC">
              <w:rPr>
                <w:sz w:val="24"/>
              </w:rPr>
              <w:t>all</w:t>
            </w:r>
            <w:r w:rsidRPr="00150EDC">
              <w:rPr>
                <w:spacing w:val="-15"/>
                <w:sz w:val="24"/>
              </w:rPr>
              <w:t xml:space="preserve"> </w:t>
            </w:r>
            <w:r w:rsidRPr="00150EDC">
              <w:rPr>
                <w:sz w:val="24"/>
              </w:rPr>
              <w:t>Personal</w:t>
            </w:r>
            <w:r w:rsidRPr="00150EDC">
              <w:rPr>
                <w:spacing w:val="-14"/>
                <w:sz w:val="24"/>
              </w:rPr>
              <w:t xml:space="preserve"> </w:t>
            </w:r>
            <w:r w:rsidRPr="00150EDC">
              <w:rPr>
                <w:sz w:val="24"/>
              </w:rPr>
              <w:t>Data</w:t>
            </w:r>
            <w:r w:rsidRPr="00150EDC">
              <w:rPr>
                <w:spacing w:val="-12"/>
                <w:sz w:val="24"/>
              </w:rPr>
              <w:t xml:space="preserve"> </w:t>
            </w:r>
            <w:r w:rsidRPr="00150EDC">
              <w:rPr>
                <w:sz w:val="24"/>
              </w:rPr>
              <w:t>and</w:t>
            </w:r>
            <w:r w:rsidRPr="00150EDC">
              <w:rPr>
                <w:spacing w:val="-14"/>
                <w:sz w:val="24"/>
              </w:rPr>
              <w:t xml:space="preserve"> </w:t>
            </w:r>
            <w:r w:rsidRPr="00150EDC">
              <w:rPr>
                <w:sz w:val="24"/>
              </w:rPr>
              <w:t>any</w:t>
            </w:r>
            <w:r w:rsidRPr="00150EDC">
              <w:rPr>
                <w:spacing w:val="-13"/>
                <w:sz w:val="24"/>
              </w:rPr>
              <w:t xml:space="preserve"> </w:t>
            </w:r>
            <w:r w:rsidRPr="00150EDC">
              <w:rPr>
                <w:sz w:val="24"/>
              </w:rPr>
              <w:t>information,</w:t>
            </w:r>
            <w:r w:rsidRPr="00150EDC">
              <w:rPr>
                <w:spacing w:val="-14"/>
                <w:sz w:val="24"/>
              </w:rPr>
              <w:t xml:space="preserve"> </w:t>
            </w:r>
            <w:r w:rsidRPr="00150EDC">
              <w:rPr>
                <w:sz w:val="24"/>
              </w:rPr>
              <w:t>however</w:t>
            </w:r>
            <w:r w:rsidRPr="00150EDC">
              <w:rPr>
                <w:spacing w:val="-13"/>
                <w:sz w:val="24"/>
              </w:rPr>
              <w:t xml:space="preserve"> </w:t>
            </w:r>
            <w:r w:rsidRPr="00150EDC">
              <w:rPr>
                <w:sz w:val="24"/>
              </w:rPr>
              <w:t>it</w:t>
            </w:r>
            <w:r w:rsidRPr="00150EDC">
              <w:rPr>
                <w:spacing w:val="-13"/>
                <w:sz w:val="24"/>
              </w:rPr>
              <w:t xml:space="preserve"> </w:t>
            </w:r>
            <w:r w:rsidRPr="00150EDC">
              <w:rPr>
                <w:sz w:val="24"/>
              </w:rPr>
              <w:t>is</w:t>
            </w:r>
            <w:r w:rsidRPr="00150EDC">
              <w:rPr>
                <w:spacing w:val="-13"/>
                <w:sz w:val="24"/>
              </w:rPr>
              <w:t xml:space="preserve"> </w:t>
            </w:r>
            <w:r w:rsidRPr="00150EDC">
              <w:rPr>
                <w:sz w:val="24"/>
              </w:rPr>
              <w:t xml:space="preserve">conveyed, that relates to the business, affairs, developments, property rights, trade secrets, Know-How and IPR of the Relevant Authority (including all Relevant Authority Existing IPR and New </w:t>
            </w:r>
            <w:r w:rsidRPr="00150EDC">
              <w:rPr>
                <w:spacing w:val="-2"/>
                <w:sz w:val="24"/>
              </w:rPr>
              <w:t>IPR);</w:t>
            </w:r>
          </w:p>
          <w:p w14:paraId="7C41D03F" w14:textId="77777777" w:rsidR="004C7180" w:rsidRPr="00150EDC" w:rsidRDefault="00CF0754" w:rsidP="00B320C7">
            <w:pPr>
              <w:pStyle w:val="TableParagraph"/>
              <w:numPr>
                <w:ilvl w:val="0"/>
                <w:numId w:val="107"/>
              </w:numPr>
              <w:tabs>
                <w:tab w:val="left" w:pos="539"/>
                <w:tab w:val="left" w:pos="824"/>
              </w:tabs>
              <w:spacing w:before="120" w:line="240" w:lineRule="auto"/>
              <w:ind w:right="99" w:hanging="288"/>
              <w:jc w:val="both"/>
              <w:rPr>
                <w:sz w:val="24"/>
              </w:rPr>
            </w:pPr>
            <w:r w:rsidRPr="00150EDC">
              <w:rPr>
                <w:sz w:val="24"/>
              </w:rPr>
              <w:t>any other</w:t>
            </w:r>
            <w:r w:rsidRPr="00150EDC">
              <w:rPr>
                <w:spacing w:val="-1"/>
                <w:sz w:val="24"/>
              </w:rPr>
              <w:t xml:space="preserve"> </w:t>
            </w:r>
            <w:r w:rsidRPr="00150EDC">
              <w:rPr>
                <w:sz w:val="24"/>
              </w:rPr>
              <w:t>information</w:t>
            </w:r>
            <w:r w:rsidRPr="00150EDC">
              <w:rPr>
                <w:spacing w:val="-2"/>
                <w:sz w:val="24"/>
              </w:rPr>
              <w:t xml:space="preserve"> </w:t>
            </w:r>
            <w:r w:rsidRPr="00150EDC">
              <w:rPr>
                <w:sz w:val="24"/>
              </w:rPr>
              <w:t>clearly designated as</w:t>
            </w:r>
            <w:r w:rsidRPr="00150EDC">
              <w:rPr>
                <w:spacing w:val="-3"/>
                <w:sz w:val="24"/>
              </w:rPr>
              <w:t xml:space="preserve"> </w:t>
            </w:r>
            <w:r w:rsidRPr="00150EDC">
              <w:rPr>
                <w:sz w:val="24"/>
              </w:rPr>
              <w:t>being confidential (whether or not it is marked "confidential") or which ought reasonably be considered confidential which comes (or has come) to the Relevant Authority’s attention or into the Relevant Authority’s possession in connection with a Contract; and</w:t>
            </w:r>
          </w:p>
        </w:tc>
      </w:tr>
      <w:tr w:rsidR="007D3144" w:rsidRPr="007D3144" w14:paraId="3B761E13" w14:textId="77777777">
        <w:trPr>
          <w:trHeight w:val="446"/>
        </w:trPr>
        <w:tc>
          <w:tcPr>
            <w:tcW w:w="2264" w:type="dxa"/>
            <w:vMerge/>
            <w:tcBorders>
              <w:top w:val="nil"/>
            </w:tcBorders>
          </w:tcPr>
          <w:p w14:paraId="1CF4A435" w14:textId="77777777" w:rsidR="004C7180" w:rsidRPr="007D3144" w:rsidRDefault="004C7180">
            <w:pPr>
              <w:rPr>
                <w:sz w:val="2"/>
                <w:szCs w:val="2"/>
              </w:rPr>
            </w:pPr>
          </w:p>
        </w:tc>
        <w:tc>
          <w:tcPr>
            <w:tcW w:w="7484" w:type="dxa"/>
            <w:tcBorders>
              <w:top w:val="nil"/>
            </w:tcBorders>
          </w:tcPr>
          <w:p w14:paraId="704C556D" w14:textId="77777777" w:rsidR="004C7180" w:rsidRPr="00150EDC" w:rsidRDefault="00CF0754">
            <w:pPr>
              <w:pStyle w:val="TableParagraph"/>
              <w:spacing w:before="51" w:line="240" w:lineRule="auto"/>
              <w:ind w:left="277"/>
              <w:rPr>
                <w:sz w:val="24"/>
              </w:rPr>
            </w:pPr>
            <w:r w:rsidRPr="00150EDC">
              <w:rPr>
                <w:sz w:val="24"/>
              </w:rPr>
              <w:t>information</w:t>
            </w:r>
            <w:r w:rsidRPr="00150EDC">
              <w:rPr>
                <w:spacing w:val="-5"/>
                <w:sz w:val="24"/>
              </w:rPr>
              <w:t xml:space="preserve"> </w:t>
            </w:r>
            <w:r w:rsidRPr="00150EDC">
              <w:rPr>
                <w:sz w:val="24"/>
              </w:rPr>
              <w:t>derived</w:t>
            </w:r>
            <w:r w:rsidRPr="00150EDC">
              <w:rPr>
                <w:spacing w:val="-4"/>
                <w:sz w:val="24"/>
              </w:rPr>
              <w:t xml:space="preserve"> </w:t>
            </w:r>
            <w:r w:rsidRPr="00150EDC">
              <w:rPr>
                <w:sz w:val="24"/>
              </w:rPr>
              <w:t>from</w:t>
            </w:r>
            <w:r w:rsidRPr="00150EDC">
              <w:rPr>
                <w:spacing w:val="-1"/>
                <w:sz w:val="24"/>
              </w:rPr>
              <w:t xml:space="preserve"> </w:t>
            </w:r>
            <w:r w:rsidRPr="00150EDC">
              <w:rPr>
                <w:sz w:val="24"/>
              </w:rPr>
              <w:t>any</w:t>
            </w:r>
            <w:r w:rsidRPr="00150EDC">
              <w:rPr>
                <w:spacing w:val="-3"/>
                <w:sz w:val="24"/>
              </w:rPr>
              <w:t xml:space="preserve"> </w:t>
            </w:r>
            <w:r w:rsidRPr="00150EDC">
              <w:rPr>
                <w:sz w:val="24"/>
              </w:rPr>
              <w:t>of</w:t>
            </w:r>
            <w:r w:rsidRPr="00150EDC">
              <w:rPr>
                <w:spacing w:val="-4"/>
                <w:sz w:val="24"/>
              </w:rPr>
              <w:t xml:space="preserve"> </w:t>
            </w:r>
            <w:r w:rsidRPr="00150EDC">
              <w:rPr>
                <w:sz w:val="24"/>
              </w:rPr>
              <w:t>the</w:t>
            </w:r>
            <w:r w:rsidRPr="00150EDC">
              <w:rPr>
                <w:spacing w:val="-2"/>
                <w:sz w:val="24"/>
              </w:rPr>
              <w:t xml:space="preserve"> above;</w:t>
            </w:r>
          </w:p>
        </w:tc>
      </w:tr>
      <w:tr w:rsidR="007D3144" w:rsidRPr="007D3144" w14:paraId="4F2A7C95" w14:textId="77777777">
        <w:trPr>
          <w:trHeight w:val="947"/>
        </w:trPr>
        <w:tc>
          <w:tcPr>
            <w:tcW w:w="2264" w:type="dxa"/>
          </w:tcPr>
          <w:p w14:paraId="3D6C92E6" w14:textId="77777777" w:rsidR="004C7180" w:rsidRPr="00150EDC" w:rsidRDefault="00CF0754">
            <w:pPr>
              <w:pStyle w:val="TableParagraph"/>
              <w:spacing w:before="2" w:line="240" w:lineRule="auto"/>
              <w:ind w:left="-1"/>
              <w:rPr>
                <w:b/>
                <w:sz w:val="24"/>
              </w:rPr>
            </w:pPr>
            <w:r w:rsidRPr="00150EDC">
              <w:rPr>
                <w:b/>
                <w:spacing w:val="-2"/>
                <w:sz w:val="24"/>
              </w:rPr>
              <w:t>"Relevant Requirements"</w:t>
            </w:r>
          </w:p>
        </w:tc>
        <w:tc>
          <w:tcPr>
            <w:tcW w:w="7484" w:type="dxa"/>
          </w:tcPr>
          <w:p w14:paraId="094C4CC9" w14:textId="77777777" w:rsidR="004C7180" w:rsidRPr="00150EDC" w:rsidRDefault="00CF0754">
            <w:pPr>
              <w:pStyle w:val="TableParagraph"/>
              <w:spacing w:before="2" w:line="240" w:lineRule="auto"/>
              <w:ind w:left="277" w:right="102"/>
              <w:jc w:val="both"/>
              <w:rPr>
                <w:sz w:val="24"/>
              </w:rPr>
            </w:pPr>
            <w:r w:rsidRPr="00150EDC">
              <w:rPr>
                <w:sz w:val="24"/>
              </w:rPr>
              <w:t>all</w:t>
            </w:r>
            <w:r w:rsidRPr="00150EDC">
              <w:rPr>
                <w:spacing w:val="-15"/>
                <w:sz w:val="24"/>
              </w:rPr>
              <w:t xml:space="preserve"> </w:t>
            </w:r>
            <w:r w:rsidRPr="00150EDC">
              <w:rPr>
                <w:sz w:val="24"/>
              </w:rPr>
              <w:t>applicable</w:t>
            </w:r>
            <w:r w:rsidRPr="00150EDC">
              <w:rPr>
                <w:spacing w:val="-16"/>
                <w:sz w:val="24"/>
              </w:rPr>
              <w:t xml:space="preserve"> </w:t>
            </w:r>
            <w:r w:rsidRPr="00150EDC">
              <w:rPr>
                <w:sz w:val="24"/>
              </w:rPr>
              <w:t>Law</w:t>
            </w:r>
            <w:r w:rsidRPr="00150EDC">
              <w:rPr>
                <w:spacing w:val="-14"/>
                <w:sz w:val="24"/>
              </w:rPr>
              <w:t xml:space="preserve"> </w:t>
            </w:r>
            <w:r w:rsidRPr="00150EDC">
              <w:rPr>
                <w:sz w:val="24"/>
              </w:rPr>
              <w:t>relating</w:t>
            </w:r>
            <w:r w:rsidRPr="00150EDC">
              <w:rPr>
                <w:spacing w:val="-13"/>
                <w:sz w:val="24"/>
              </w:rPr>
              <w:t xml:space="preserve"> </w:t>
            </w:r>
            <w:r w:rsidRPr="00150EDC">
              <w:rPr>
                <w:sz w:val="24"/>
              </w:rPr>
              <w:t>to</w:t>
            </w:r>
            <w:r w:rsidRPr="00150EDC">
              <w:rPr>
                <w:spacing w:val="-15"/>
                <w:sz w:val="24"/>
              </w:rPr>
              <w:t xml:space="preserve"> </w:t>
            </w:r>
            <w:r w:rsidRPr="00150EDC">
              <w:rPr>
                <w:sz w:val="24"/>
              </w:rPr>
              <w:t>bribery,</w:t>
            </w:r>
            <w:r w:rsidRPr="00150EDC">
              <w:rPr>
                <w:spacing w:val="-14"/>
                <w:sz w:val="24"/>
              </w:rPr>
              <w:t xml:space="preserve"> </w:t>
            </w:r>
            <w:r w:rsidRPr="00150EDC">
              <w:rPr>
                <w:sz w:val="24"/>
              </w:rPr>
              <w:t>corruption</w:t>
            </w:r>
            <w:r w:rsidRPr="00150EDC">
              <w:rPr>
                <w:spacing w:val="-13"/>
                <w:sz w:val="24"/>
              </w:rPr>
              <w:t xml:space="preserve"> </w:t>
            </w:r>
            <w:r w:rsidRPr="00150EDC">
              <w:rPr>
                <w:sz w:val="24"/>
              </w:rPr>
              <w:t>and</w:t>
            </w:r>
            <w:r w:rsidRPr="00150EDC">
              <w:rPr>
                <w:spacing w:val="-15"/>
                <w:sz w:val="24"/>
              </w:rPr>
              <w:t xml:space="preserve"> </w:t>
            </w:r>
            <w:r w:rsidRPr="00150EDC">
              <w:rPr>
                <w:sz w:val="24"/>
              </w:rPr>
              <w:t>fraud,</w:t>
            </w:r>
            <w:r w:rsidRPr="00150EDC">
              <w:rPr>
                <w:spacing w:val="-13"/>
                <w:sz w:val="24"/>
              </w:rPr>
              <w:t xml:space="preserve"> </w:t>
            </w:r>
            <w:r w:rsidRPr="00150EDC">
              <w:rPr>
                <w:sz w:val="24"/>
              </w:rPr>
              <w:t>including the Bribery Act 2010 and any guidance issued by the Secretary of State pursuant to section 9 of the Bribery Act 2010;</w:t>
            </w:r>
          </w:p>
        </w:tc>
      </w:tr>
      <w:tr w:rsidR="007D3144" w:rsidRPr="007D3144" w14:paraId="7B0C8233" w14:textId="77777777">
        <w:trPr>
          <w:trHeight w:val="673"/>
        </w:trPr>
        <w:tc>
          <w:tcPr>
            <w:tcW w:w="2264" w:type="dxa"/>
          </w:tcPr>
          <w:p w14:paraId="2BFA377F" w14:textId="77777777" w:rsidR="004C7180" w:rsidRPr="00150EDC" w:rsidRDefault="00CF0754">
            <w:pPr>
              <w:pStyle w:val="TableParagraph"/>
              <w:spacing w:before="2" w:line="240" w:lineRule="auto"/>
              <w:ind w:left="-1" w:right="657"/>
              <w:rPr>
                <w:b/>
                <w:sz w:val="24"/>
              </w:rPr>
            </w:pPr>
            <w:r w:rsidRPr="00150EDC">
              <w:rPr>
                <w:b/>
                <w:sz w:val="24"/>
              </w:rPr>
              <w:t>"Relevant</w:t>
            </w:r>
            <w:r w:rsidRPr="00150EDC">
              <w:rPr>
                <w:b/>
                <w:spacing w:val="-17"/>
                <w:sz w:val="24"/>
              </w:rPr>
              <w:t xml:space="preserve"> </w:t>
            </w:r>
            <w:r w:rsidRPr="00150EDC">
              <w:rPr>
                <w:b/>
                <w:sz w:val="24"/>
              </w:rPr>
              <w:t xml:space="preserve">Tax </w:t>
            </w:r>
            <w:r w:rsidRPr="00150EDC">
              <w:rPr>
                <w:b/>
                <w:spacing w:val="-2"/>
                <w:sz w:val="24"/>
              </w:rPr>
              <w:t>Authority"</w:t>
            </w:r>
          </w:p>
        </w:tc>
        <w:tc>
          <w:tcPr>
            <w:tcW w:w="7484" w:type="dxa"/>
          </w:tcPr>
          <w:p w14:paraId="392FD509" w14:textId="77777777" w:rsidR="004C7180" w:rsidRPr="00150EDC" w:rsidRDefault="00CF0754">
            <w:pPr>
              <w:pStyle w:val="TableParagraph"/>
              <w:spacing w:before="2" w:line="240" w:lineRule="auto"/>
              <w:ind w:left="277"/>
              <w:rPr>
                <w:sz w:val="24"/>
              </w:rPr>
            </w:pPr>
            <w:r w:rsidRPr="00150EDC">
              <w:rPr>
                <w:sz w:val="24"/>
              </w:rPr>
              <w:t>HMRC,</w:t>
            </w:r>
            <w:r w:rsidRPr="00150EDC">
              <w:rPr>
                <w:spacing w:val="-3"/>
                <w:sz w:val="24"/>
              </w:rPr>
              <w:t xml:space="preserve"> </w:t>
            </w:r>
            <w:r w:rsidRPr="00150EDC">
              <w:rPr>
                <w:sz w:val="24"/>
              </w:rPr>
              <w:t>or,</w:t>
            </w:r>
            <w:r w:rsidRPr="00150EDC">
              <w:rPr>
                <w:spacing w:val="-3"/>
                <w:sz w:val="24"/>
              </w:rPr>
              <w:t xml:space="preserve"> </w:t>
            </w:r>
            <w:r w:rsidRPr="00150EDC">
              <w:rPr>
                <w:sz w:val="24"/>
              </w:rPr>
              <w:t>if</w:t>
            </w:r>
            <w:r w:rsidRPr="00150EDC">
              <w:rPr>
                <w:spacing w:val="-3"/>
                <w:sz w:val="24"/>
              </w:rPr>
              <w:t xml:space="preserve"> </w:t>
            </w:r>
            <w:r w:rsidRPr="00150EDC">
              <w:rPr>
                <w:sz w:val="24"/>
              </w:rPr>
              <w:t>applicable,</w:t>
            </w:r>
            <w:r w:rsidRPr="00150EDC">
              <w:rPr>
                <w:spacing w:val="-3"/>
                <w:sz w:val="24"/>
              </w:rPr>
              <w:t xml:space="preserve"> </w:t>
            </w:r>
            <w:r w:rsidRPr="00150EDC">
              <w:rPr>
                <w:sz w:val="24"/>
              </w:rPr>
              <w:t>the</w:t>
            </w:r>
            <w:r w:rsidRPr="00150EDC">
              <w:rPr>
                <w:spacing w:val="-3"/>
                <w:sz w:val="24"/>
              </w:rPr>
              <w:t xml:space="preserve"> </w:t>
            </w:r>
            <w:r w:rsidRPr="00150EDC">
              <w:rPr>
                <w:sz w:val="24"/>
              </w:rPr>
              <w:t>tax</w:t>
            </w:r>
            <w:r w:rsidRPr="00150EDC">
              <w:rPr>
                <w:spacing w:val="-6"/>
                <w:sz w:val="24"/>
              </w:rPr>
              <w:t xml:space="preserve"> </w:t>
            </w:r>
            <w:r w:rsidRPr="00150EDC">
              <w:rPr>
                <w:sz w:val="24"/>
              </w:rPr>
              <w:t>authority</w:t>
            </w:r>
            <w:r w:rsidRPr="00150EDC">
              <w:rPr>
                <w:spacing w:val="-3"/>
                <w:sz w:val="24"/>
              </w:rPr>
              <w:t xml:space="preserve"> </w:t>
            </w:r>
            <w:r w:rsidRPr="00150EDC">
              <w:rPr>
                <w:sz w:val="24"/>
              </w:rPr>
              <w:t>in</w:t>
            </w:r>
            <w:r w:rsidRPr="00150EDC">
              <w:rPr>
                <w:spacing w:val="-5"/>
                <w:sz w:val="24"/>
              </w:rPr>
              <w:t xml:space="preserve"> </w:t>
            </w:r>
            <w:r w:rsidRPr="00150EDC">
              <w:rPr>
                <w:sz w:val="24"/>
              </w:rPr>
              <w:t>the</w:t>
            </w:r>
            <w:r w:rsidRPr="00150EDC">
              <w:rPr>
                <w:spacing w:val="-3"/>
                <w:sz w:val="24"/>
              </w:rPr>
              <w:t xml:space="preserve"> </w:t>
            </w:r>
            <w:r w:rsidRPr="00150EDC">
              <w:rPr>
                <w:sz w:val="24"/>
              </w:rPr>
              <w:t>jurisdiction</w:t>
            </w:r>
            <w:r w:rsidRPr="00150EDC">
              <w:rPr>
                <w:spacing w:val="-4"/>
                <w:sz w:val="24"/>
              </w:rPr>
              <w:t xml:space="preserve"> </w:t>
            </w:r>
            <w:r w:rsidRPr="00150EDC">
              <w:rPr>
                <w:sz w:val="24"/>
              </w:rPr>
              <w:t>in</w:t>
            </w:r>
            <w:r w:rsidRPr="00150EDC">
              <w:rPr>
                <w:spacing w:val="-3"/>
                <w:sz w:val="24"/>
              </w:rPr>
              <w:t xml:space="preserve"> </w:t>
            </w:r>
            <w:r w:rsidRPr="00150EDC">
              <w:rPr>
                <w:sz w:val="24"/>
              </w:rPr>
              <w:t>which the Supplier is established;</w:t>
            </w:r>
          </w:p>
        </w:tc>
      </w:tr>
      <w:tr w:rsidR="007D3144" w:rsidRPr="007D3144" w14:paraId="5FF9FF8E" w14:textId="77777777">
        <w:trPr>
          <w:trHeight w:val="948"/>
        </w:trPr>
        <w:tc>
          <w:tcPr>
            <w:tcW w:w="2264" w:type="dxa"/>
          </w:tcPr>
          <w:p w14:paraId="29EBC6C1" w14:textId="77777777" w:rsidR="004C7180" w:rsidRPr="00150EDC" w:rsidRDefault="00CF0754">
            <w:pPr>
              <w:pStyle w:val="TableParagraph"/>
              <w:spacing w:before="0" w:line="240" w:lineRule="auto"/>
              <w:ind w:left="-1"/>
              <w:rPr>
                <w:b/>
                <w:sz w:val="24"/>
              </w:rPr>
            </w:pPr>
            <w:r w:rsidRPr="00150EDC">
              <w:rPr>
                <w:b/>
                <w:sz w:val="24"/>
              </w:rPr>
              <w:t>"Reminder</w:t>
            </w:r>
            <w:r w:rsidRPr="00150EDC">
              <w:rPr>
                <w:b/>
                <w:spacing w:val="-16"/>
                <w:sz w:val="24"/>
              </w:rPr>
              <w:t xml:space="preserve"> </w:t>
            </w:r>
            <w:r w:rsidRPr="00150EDC">
              <w:rPr>
                <w:b/>
                <w:spacing w:val="-2"/>
                <w:sz w:val="24"/>
              </w:rPr>
              <w:t>Notice"</w:t>
            </w:r>
          </w:p>
        </w:tc>
        <w:tc>
          <w:tcPr>
            <w:tcW w:w="7484" w:type="dxa"/>
          </w:tcPr>
          <w:p w14:paraId="5534A710" w14:textId="77777777" w:rsidR="004C7180" w:rsidRPr="00150EDC" w:rsidRDefault="00CF0754">
            <w:pPr>
              <w:pStyle w:val="TableParagraph"/>
              <w:spacing w:before="0" w:line="240" w:lineRule="auto"/>
              <w:ind w:left="277" w:right="101"/>
              <w:jc w:val="both"/>
              <w:rPr>
                <w:sz w:val="24"/>
              </w:rPr>
            </w:pPr>
            <w:r w:rsidRPr="00150EDC">
              <w:rPr>
                <w:sz w:val="24"/>
              </w:rPr>
              <w:t>a</w:t>
            </w:r>
            <w:r w:rsidRPr="00150EDC">
              <w:rPr>
                <w:spacing w:val="-1"/>
                <w:sz w:val="24"/>
              </w:rPr>
              <w:t xml:space="preserve"> </w:t>
            </w:r>
            <w:r w:rsidRPr="00150EDC">
              <w:rPr>
                <w:sz w:val="24"/>
              </w:rPr>
              <w:t>notice</w:t>
            </w:r>
            <w:r w:rsidRPr="00150EDC">
              <w:rPr>
                <w:spacing w:val="-1"/>
                <w:sz w:val="24"/>
              </w:rPr>
              <w:t xml:space="preserve"> </w:t>
            </w:r>
            <w:r w:rsidRPr="00150EDC">
              <w:rPr>
                <w:sz w:val="24"/>
              </w:rPr>
              <w:t>sent</w:t>
            </w:r>
            <w:r w:rsidRPr="00150EDC">
              <w:rPr>
                <w:spacing w:val="-1"/>
                <w:sz w:val="24"/>
              </w:rPr>
              <w:t xml:space="preserve"> </w:t>
            </w:r>
            <w:r w:rsidRPr="00150EDC">
              <w:rPr>
                <w:sz w:val="24"/>
              </w:rPr>
              <w:t>in</w:t>
            </w:r>
            <w:r w:rsidRPr="00150EDC">
              <w:rPr>
                <w:spacing w:val="-4"/>
                <w:sz w:val="24"/>
              </w:rPr>
              <w:t xml:space="preserve"> </w:t>
            </w:r>
            <w:r w:rsidRPr="00150EDC">
              <w:rPr>
                <w:sz w:val="24"/>
              </w:rPr>
              <w:t>accordance</w:t>
            </w:r>
            <w:r w:rsidRPr="00150EDC">
              <w:rPr>
                <w:spacing w:val="-1"/>
                <w:sz w:val="24"/>
              </w:rPr>
              <w:t xml:space="preserve"> </w:t>
            </w:r>
            <w:r w:rsidRPr="00150EDC">
              <w:rPr>
                <w:sz w:val="24"/>
              </w:rPr>
              <w:t>with</w:t>
            </w:r>
            <w:r w:rsidRPr="00150EDC">
              <w:rPr>
                <w:spacing w:val="-3"/>
                <w:sz w:val="24"/>
              </w:rPr>
              <w:t xml:space="preserve"> </w:t>
            </w:r>
            <w:r w:rsidRPr="00150EDC">
              <w:rPr>
                <w:sz w:val="24"/>
              </w:rPr>
              <w:t>Clause</w:t>
            </w:r>
            <w:r w:rsidRPr="00150EDC">
              <w:rPr>
                <w:spacing w:val="-3"/>
                <w:sz w:val="24"/>
              </w:rPr>
              <w:t xml:space="preserve"> </w:t>
            </w:r>
            <w:r w:rsidRPr="00150EDC">
              <w:rPr>
                <w:sz w:val="24"/>
              </w:rPr>
              <w:t>10.5</w:t>
            </w:r>
            <w:r w:rsidRPr="00150EDC">
              <w:rPr>
                <w:spacing w:val="-3"/>
                <w:sz w:val="24"/>
              </w:rPr>
              <w:t xml:space="preserve"> </w:t>
            </w:r>
            <w:r w:rsidRPr="00150EDC">
              <w:rPr>
                <w:sz w:val="24"/>
              </w:rPr>
              <w:t>given</w:t>
            </w:r>
            <w:r w:rsidRPr="00150EDC">
              <w:rPr>
                <w:spacing w:val="-1"/>
                <w:sz w:val="24"/>
              </w:rPr>
              <w:t xml:space="preserve"> </w:t>
            </w:r>
            <w:r w:rsidRPr="00150EDC">
              <w:rPr>
                <w:sz w:val="24"/>
              </w:rPr>
              <w:t>by</w:t>
            </w:r>
            <w:r w:rsidRPr="00150EDC">
              <w:rPr>
                <w:spacing w:val="-4"/>
                <w:sz w:val="24"/>
              </w:rPr>
              <w:t xml:space="preserve"> </w:t>
            </w:r>
            <w:r w:rsidRPr="00150EDC">
              <w:rPr>
                <w:sz w:val="24"/>
              </w:rPr>
              <w:t>the</w:t>
            </w:r>
            <w:r w:rsidRPr="00150EDC">
              <w:rPr>
                <w:spacing w:val="-1"/>
                <w:sz w:val="24"/>
              </w:rPr>
              <w:t xml:space="preserve"> </w:t>
            </w:r>
            <w:r w:rsidRPr="00150EDC">
              <w:rPr>
                <w:sz w:val="24"/>
              </w:rPr>
              <w:t>Supplier to the Buyer providing notification that payment has not been received on time;</w:t>
            </w:r>
          </w:p>
        </w:tc>
      </w:tr>
      <w:tr w:rsidR="007D3144" w:rsidRPr="007D3144" w14:paraId="4931B16F" w14:textId="77777777">
        <w:trPr>
          <w:trHeight w:val="1240"/>
        </w:trPr>
        <w:tc>
          <w:tcPr>
            <w:tcW w:w="2264" w:type="dxa"/>
          </w:tcPr>
          <w:p w14:paraId="14CDD643" w14:textId="77777777" w:rsidR="004C7180" w:rsidRPr="00150EDC" w:rsidRDefault="00CF0754">
            <w:pPr>
              <w:pStyle w:val="TableParagraph"/>
              <w:spacing w:before="0" w:line="240" w:lineRule="auto"/>
              <w:ind w:left="-1"/>
              <w:rPr>
                <w:b/>
                <w:sz w:val="24"/>
              </w:rPr>
            </w:pPr>
            <w:r w:rsidRPr="00150EDC">
              <w:rPr>
                <w:b/>
                <w:spacing w:val="-2"/>
                <w:sz w:val="24"/>
              </w:rPr>
              <w:t>"Replacement Deliverables"</w:t>
            </w:r>
          </w:p>
        </w:tc>
        <w:tc>
          <w:tcPr>
            <w:tcW w:w="7484" w:type="dxa"/>
          </w:tcPr>
          <w:p w14:paraId="37A17C7E" w14:textId="77777777" w:rsidR="004C7180" w:rsidRPr="00150EDC" w:rsidRDefault="00CF0754">
            <w:pPr>
              <w:pStyle w:val="TableParagraph"/>
              <w:spacing w:before="0" w:line="240" w:lineRule="auto"/>
              <w:ind w:left="277" w:right="99"/>
              <w:jc w:val="both"/>
              <w:rPr>
                <w:sz w:val="24"/>
              </w:rPr>
            </w:pPr>
            <w:r w:rsidRPr="00150EDC">
              <w:rPr>
                <w:sz w:val="24"/>
              </w:rPr>
              <w:t>any deliverables which are substantially similar to any of the Deliverables</w:t>
            </w:r>
            <w:r w:rsidRPr="00150EDC">
              <w:rPr>
                <w:spacing w:val="-6"/>
                <w:sz w:val="24"/>
              </w:rPr>
              <w:t xml:space="preserve"> </w:t>
            </w:r>
            <w:r w:rsidRPr="00150EDC">
              <w:rPr>
                <w:sz w:val="24"/>
              </w:rPr>
              <w:t>and</w:t>
            </w:r>
            <w:r w:rsidRPr="00150EDC">
              <w:rPr>
                <w:spacing w:val="-5"/>
                <w:sz w:val="24"/>
              </w:rPr>
              <w:t xml:space="preserve"> </w:t>
            </w:r>
            <w:r w:rsidRPr="00150EDC">
              <w:rPr>
                <w:sz w:val="24"/>
              </w:rPr>
              <w:t>which</w:t>
            </w:r>
            <w:r w:rsidRPr="00150EDC">
              <w:rPr>
                <w:spacing w:val="-6"/>
                <w:sz w:val="24"/>
              </w:rPr>
              <w:t xml:space="preserve"> </w:t>
            </w:r>
            <w:r w:rsidRPr="00150EDC">
              <w:rPr>
                <w:sz w:val="24"/>
              </w:rPr>
              <w:t>the</w:t>
            </w:r>
            <w:r w:rsidRPr="00150EDC">
              <w:rPr>
                <w:spacing w:val="-6"/>
                <w:sz w:val="24"/>
              </w:rPr>
              <w:t xml:space="preserve"> </w:t>
            </w:r>
            <w:r w:rsidRPr="00150EDC">
              <w:rPr>
                <w:sz w:val="24"/>
              </w:rPr>
              <w:t>Buyer</w:t>
            </w:r>
            <w:r w:rsidRPr="00150EDC">
              <w:rPr>
                <w:spacing w:val="-7"/>
                <w:sz w:val="24"/>
              </w:rPr>
              <w:t xml:space="preserve"> </w:t>
            </w:r>
            <w:r w:rsidRPr="00150EDC">
              <w:rPr>
                <w:sz w:val="24"/>
              </w:rPr>
              <w:t>receives</w:t>
            </w:r>
            <w:r w:rsidRPr="00150EDC">
              <w:rPr>
                <w:spacing w:val="-6"/>
                <w:sz w:val="24"/>
              </w:rPr>
              <w:t xml:space="preserve"> </w:t>
            </w:r>
            <w:r w:rsidRPr="00150EDC">
              <w:rPr>
                <w:sz w:val="24"/>
              </w:rPr>
              <w:t>in</w:t>
            </w:r>
            <w:r w:rsidRPr="00150EDC">
              <w:rPr>
                <w:spacing w:val="-8"/>
                <w:sz w:val="24"/>
              </w:rPr>
              <w:t xml:space="preserve"> </w:t>
            </w:r>
            <w:r w:rsidRPr="00150EDC">
              <w:rPr>
                <w:sz w:val="24"/>
              </w:rPr>
              <w:t>substitution</w:t>
            </w:r>
            <w:r w:rsidRPr="00150EDC">
              <w:rPr>
                <w:spacing w:val="-8"/>
                <w:sz w:val="24"/>
              </w:rPr>
              <w:t xml:space="preserve"> </w:t>
            </w:r>
            <w:r w:rsidRPr="00150EDC">
              <w:rPr>
                <w:sz w:val="24"/>
              </w:rPr>
              <w:t>for</w:t>
            </w:r>
            <w:r w:rsidRPr="00150EDC">
              <w:rPr>
                <w:spacing w:val="-9"/>
                <w:sz w:val="24"/>
              </w:rPr>
              <w:t xml:space="preserve"> </w:t>
            </w:r>
            <w:r w:rsidRPr="00150EDC">
              <w:rPr>
                <w:sz w:val="24"/>
              </w:rPr>
              <w:t>any</w:t>
            </w:r>
            <w:r w:rsidRPr="00150EDC">
              <w:rPr>
                <w:spacing w:val="-9"/>
                <w:sz w:val="24"/>
              </w:rPr>
              <w:t xml:space="preserve"> </w:t>
            </w:r>
            <w:r w:rsidRPr="00150EDC">
              <w:rPr>
                <w:sz w:val="24"/>
              </w:rPr>
              <w:t xml:space="preserve">of the Deliverables following the </w:t>
            </w:r>
            <w:r w:rsidRPr="00150EDC">
              <w:rPr>
                <w:rFonts w:ascii="Calibri"/>
                <w:sz w:val="24"/>
              </w:rPr>
              <w:t xml:space="preserve">Order </w:t>
            </w:r>
            <w:r w:rsidRPr="00150EDC">
              <w:rPr>
                <w:sz w:val="24"/>
              </w:rPr>
              <w:t>Expiry Date, whether those goods</w:t>
            </w:r>
            <w:r w:rsidRPr="00150EDC">
              <w:rPr>
                <w:spacing w:val="-16"/>
                <w:sz w:val="24"/>
              </w:rPr>
              <w:t xml:space="preserve"> </w:t>
            </w:r>
            <w:r w:rsidRPr="00150EDC">
              <w:rPr>
                <w:sz w:val="24"/>
              </w:rPr>
              <w:t>are</w:t>
            </w:r>
            <w:r w:rsidRPr="00150EDC">
              <w:rPr>
                <w:spacing w:val="-14"/>
                <w:sz w:val="24"/>
              </w:rPr>
              <w:t xml:space="preserve"> </w:t>
            </w:r>
            <w:r w:rsidRPr="00150EDC">
              <w:rPr>
                <w:sz w:val="24"/>
              </w:rPr>
              <w:t>provided</w:t>
            </w:r>
            <w:r w:rsidRPr="00150EDC">
              <w:rPr>
                <w:spacing w:val="-14"/>
                <w:sz w:val="24"/>
              </w:rPr>
              <w:t xml:space="preserve"> </w:t>
            </w:r>
            <w:r w:rsidRPr="00150EDC">
              <w:rPr>
                <w:sz w:val="24"/>
              </w:rPr>
              <w:t>by</w:t>
            </w:r>
            <w:r w:rsidRPr="00150EDC">
              <w:rPr>
                <w:spacing w:val="-15"/>
                <w:sz w:val="24"/>
              </w:rPr>
              <w:t xml:space="preserve"> </w:t>
            </w:r>
            <w:r w:rsidRPr="00150EDC">
              <w:rPr>
                <w:sz w:val="24"/>
              </w:rPr>
              <w:t>the</w:t>
            </w:r>
            <w:r w:rsidRPr="00150EDC">
              <w:rPr>
                <w:spacing w:val="-14"/>
                <w:sz w:val="24"/>
              </w:rPr>
              <w:t xml:space="preserve"> </w:t>
            </w:r>
            <w:r w:rsidRPr="00150EDC">
              <w:rPr>
                <w:sz w:val="24"/>
              </w:rPr>
              <w:t>Buyer</w:t>
            </w:r>
            <w:r w:rsidRPr="00150EDC">
              <w:rPr>
                <w:spacing w:val="-14"/>
                <w:sz w:val="24"/>
              </w:rPr>
              <w:t xml:space="preserve"> </w:t>
            </w:r>
            <w:r w:rsidRPr="00150EDC">
              <w:rPr>
                <w:sz w:val="24"/>
              </w:rPr>
              <w:t>internally</w:t>
            </w:r>
            <w:r w:rsidRPr="00150EDC">
              <w:rPr>
                <w:spacing w:val="-14"/>
                <w:sz w:val="24"/>
              </w:rPr>
              <w:t xml:space="preserve"> </w:t>
            </w:r>
            <w:r w:rsidRPr="00150EDC">
              <w:rPr>
                <w:sz w:val="24"/>
              </w:rPr>
              <w:t>and/or</w:t>
            </w:r>
            <w:r w:rsidRPr="00150EDC">
              <w:rPr>
                <w:spacing w:val="-15"/>
                <w:sz w:val="24"/>
              </w:rPr>
              <w:t xml:space="preserve"> </w:t>
            </w:r>
            <w:r w:rsidRPr="00150EDC">
              <w:rPr>
                <w:sz w:val="24"/>
              </w:rPr>
              <w:t>by</w:t>
            </w:r>
            <w:r w:rsidRPr="00150EDC">
              <w:rPr>
                <w:spacing w:val="-14"/>
                <w:sz w:val="24"/>
              </w:rPr>
              <w:t xml:space="preserve"> </w:t>
            </w:r>
            <w:r w:rsidRPr="00150EDC">
              <w:rPr>
                <w:sz w:val="24"/>
              </w:rPr>
              <w:t>any</w:t>
            </w:r>
            <w:r w:rsidRPr="00150EDC">
              <w:rPr>
                <w:spacing w:val="-14"/>
                <w:sz w:val="24"/>
              </w:rPr>
              <w:t xml:space="preserve"> </w:t>
            </w:r>
            <w:r w:rsidRPr="00150EDC">
              <w:rPr>
                <w:sz w:val="24"/>
              </w:rPr>
              <w:t>third</w:t>
            </w:r>
            <w:r w:rsidRPr="00150EDC">
              <w:rPr>
                <w:spacing w:val="-13"/>
                <w:sz w:val="24"/>
              </w:rPr>
              <w:t xml:space="preserve"> </w:t>
            </w:r>
            <w:r w:rsidRPr="00150EDC">
              <w:rPr>
                <w:spacing w:val="-2"/>
                <w:sz w:val="24"/>
              </w:rPr>
              <w:t>party;</w:t>
            </w:r>
          </w:p>
        </w:tc>
      </w:tr>
      <w:tr w:rsidR="007D3144" w:rsidRPr="007D3144" w14:paraId="3A430DA6" w14:textId="77777777">
        <w:trPr>
          <w:trHeight w:val="947"/>
        </w:trPr>
        <w:tc>
          <w:tcPr>
            <w:tcW w:w="2264" w:type="dxa"/>
          </w:tcPr>
          <w:p w14:paraId="1270C9FE" w14:textId="77777777" w:rsidR="004C7180" w:rsidRPr="00150EDC" w:rsidRDefault="00CF0754">
            <w:pPr>
              <w:pStyle w:val="TableParagraph"/>
              <w:spacing w:before="0" w:line="240" w:lineRule="auto"/>
              <w:ind w:left="-1" w:right="148"/>
              <w:rPr>
                <w:b/>
                <w:sz w:val="24"/>
              </w:rPr>
            </w:pPr>
            <w:r w:rsidRPr="00150EDC">
              <w:rPr>
                <w:b/>
                <w:spacing w:val="-2"/>
                <w:sz w:val="24"/>
              </w:rPr>
              <w:t>"Replacement Subcontractor"</w:t>
            </w:r>
          </w:p>
        </w:tc>
        <w:tc>
          <w:tcPr>
            <w:tcW w:w="7484" w:type="dxa"/>
          </w:tcPr>
          <w:p w14:paraId="0C01C083" w14:textId="77777777" w:rsidR="004C7180" w:rsidRPr="00150EDC" w:rsidRDefault="00CF0754">
            <w:pPr>
              <w:pStyle w:val="TableParagraph"/>
              <w:spacing w:before="0" w:line="240" w:lineRule="auto"/>
              <w:ind w:left="277" w:right="101"/>
              <w:jc w:val="both"/>
              <w:rPr>
                <w:sz w:val="24"/>
              </w:rPr>
            </w:pPr>
            <w:r w:rsidRPr="00150EDC">
              <w:rPr>
                <w:sz w:val="24"/>
              </w:rPr>
              <w:t>a</w:t>
            </w:r>
            <w:r w:rsidRPr="00150EDC">
              <w:rPr>
                <w:spacing w:val="-8"/>
                <w:sz w:val="24"/>
              </w:rPr>
              <w:t xml:space="preserve"> </w:t>
            </w:r>
            <w:r w:rsidRPr="00150EDC">
              <w:rPr>
                <w:sz w:val="24"/>
              </w:rPr>
              <w:t>Subcontractor</w:t>
            </w:r>
            <w:r w:rsidRPr="00150EDC">
              <w:rPr>
                <w:spacing w:val="-9"/>
                <w:sz w:val="24"/>
              </w:rPr>
              <w:t xml:space="preserve"> </w:t>
            </w:r>
            <w:r w:rsidRPr="00150EDC">
              <w:rPr>
                <w:sz w:val="24"/>
              </w:rPr>
              <w:t>of</w:t>
            </w:r>
            <w:r w:rsidRPr="00150EDC">
              <w:rPr>
                <w:spacing w:val="-9"/>
                <w:sz w:val="24"/>
              </w:rPr>
              <w:t xml:space="preserve"> </w:t>
            </w:r>
            <w:r w:rsidRPr="00150EDC">
              <w:rPr>
                <w:sz w:val="24"/>
              </w:rPr>
              <w:t>the</w:t>
            </w:r>
            <w:r w:rsidRPr="00150EDC">
              <w:rPr>
                <w:spacing w:val="-11"/>
                <w:sz w:val="24"/>
              </w:rPr>
              <w:t xml:space="preserve"> </w:t>
            </w:r>
            <w:r w:rsidRPr="00150EDC">
              <w:rPr>
                <w:sz w:val="24"/>
              </w:rPr>
              <w:t>Replacement</w:t>
            </w:r>
            <w:r w:rsidRPr="00150EDC">
              <w:rPr>
                <w:spacing w:val="-9"/>
                <w:sz w:val="24"/>
              </w:rPr>
              <w:t xml:space="preserve"> </w:t>
            </w:r>
            <w:r w:rsidRPr="00150EDC">
              <w:rPr>
                <w:sz w:val="24"/>
              </w:rPr>
              <w:t>Supplier</w:t>
            </w:r>
            <w:r w:rsidRPr="00150EDC">
              <w:rPr>
                <w:spacing w:val="-10"/>
                <w:sz w:val="24"/>
              </w:rPr>
              <w:t xml:space="preserve"> </w:t>
            </w:r>
            <w:r w:rsidRPr="00150EDC">
              <w:rPr>
                <w:sz w:val="24"/>
              </w:rPr>
              <w:t>to</w:t>
            </w:r>
            <w:r w:rsidRPr="00150EDC">
              <w:rPr>
                <w:spacing w:val="-7"/>
                <w:sz w:val="24"/>
              </w:rPr>
              <w:t xml:space="preserve"> </w:t>
            </w:r>
            <w:r w:rsidRPr="00150EDC">
              <w:rPr>
                <w:sz w:val="24"/>
              </w:rPr>
              <w:t>whom</w:t>
            </w:r>
            <w:r w:rsidRPr="00150EDC">
              <w:rPr>
                <w:spacing w:val="-9"/>
                <w:sz w:val="24"/>
              </w:rPr>
              <w:t xml:space="preserve"> </w:t>
            </w:r>
            <w:r w:rsidRPr="00150EDC">
              <w:rPr>
                <w:sz w:val="24"/>
              </w:rPr>
              <w:t>Transferring Supplier</w:t>
            </w:r>
            <w:r w:rsidRPr="00150EDC">
              <w:rPr>
                <w:spacing w:val="-11"/>
                <w:sz w:val="24"/>
              </w:rPr>
              <w:t xml:space="preserve"> </w:t>
            </w:r>
            <w:r w:rsidRPr="00150EDC">
              <w:rPr>
                <w:sz w:val="24"/>
              </w:rPr>
              <w:t>Employees</w:t>
            </w:r>
            <w:r w:rsidRPr="00150EDC">
              <w:rPr>
                <w:spacing w:val="-11"/>
                <w:sz w:val="24"/>
              </w:rPr>
              <w:t xml:space="preserve"> </w:t>
            </w:r>
            <w:r w:rsidRPr="00150EDC">
              <w:rPr>
                <w:sz w:val="24"/>
              </w:rPr>
              <w:t>will</w:t>
            </w:r>
            <w:r w:rsidRPr="00150EDC">
              <w:rPr>
                <w:spacing w:val="-11"/>
                <w:sz w:val="24"/>
              </w:rPr>
              <w:t xml:space="preserve"> </w:t>
            </w:r>
            <w:r w:rsidRPr="00150EDC">
              <w:rPr>
                <w:sz w:val="24"/>
              </w:rPr>
              <w:t>transfer</w:t>
            </w:r>
            <w:r w:rsidRPr="00150EDC">
              <w:rPr>
                <w:spacing w:val="-11"/>
                <w:sz w:val="24"/>
              </w:rPr>
              <w:t xml:space="preserve"> </w:t>
            </w:r>
            <w:r w:rsidRPr="00150EDC">
              <w:rPr>
                <w:sz w:val="24"/>
              </w:rPr>
              <w:t>on</w:t>
            </w:r>
            <w:r w:rsidRPr="00150EDC">
              <w:rPr>
                <w:spacing w:val="-10"/>
                <w:sz w:val="24"/>
              </w:rPr>
              <w:t xml:space="preserve"> </w:t>
            </w:r>
            <w:r w:rsidRPr="00150EDC">
              <w:rPr>
                <w:sz w:val="24"/>
              </w:rPr>
              <w:t>a</w:t>
            </w:r>
            <w:r w:rsidRPr="00150EDC">
              <w:rPr>
                <w:spacing w:val="-12"/>
                <w:sz w:val="24"/>
              </w:rPr>
              <w:t xml:space="preserve"> </w:t>
            </w:r>
            <w:r w:rsidRPr="00150EDC">
              <w:rPr>
                <w:sz w:val="24"/>
              </w:rPr>
              <w:t>Service</w:t>
            </w:r>
            <w:r w:rsidRPr="00150EDC">
              <w:rPr>
                <w:spacing w:val="-12"/>
                <w:sz w:val="24"/>
              </w:rPr>
              <w:t xml:space="preserve"> </w:t>
            </w:r>
            <w:r w:rsidRPr="00150EDC">
              <w:rPr>
                <w:sz w:val="24"/>
              </w:rPr>
              <w:t>Transfer</w:t>
            </w:r>
            <w:r w:rsidRPr="00150EDC">
              <w:rPr>
                <w:spacing w:val="-11"/>
                <w:sz w:val="24"/>
              </w:rPr>
              <w:t xml:space="preserve"> </w:t>
            </w:r>
            <w:r w:rsidRPr="00150EDC">
              <w:rPr>
                <w:sz w:val="24"/>
              </w:rPr>
              <w:t>Date</w:t>
            </w:r>
            <w:r w:rsidRPr="00150EDC">
              <w:rPr>
                <w:spacing w:val="-10"/>
                <w:sz w:val="24"/>
              </w:rPr>
              <w:t xml:space="preserve"> </w:t>
            </w:r>
            <w:r w:rsidRPr="00150EDC">
              <w:rPr>
                <w:sz w:val="24"/>
              </w:rPr>
              <w:t>(or</w:t>
            </w:r>
            <w:r w:rsidRPr="00150EDC">
              <w:rPr>
                <w:spacing w:val="-11"/>
                <w:sz w:val="24"/>
              </w:rPr>
              <w:t xml:space="preserve"> </w:t>
            </w:r>
            <w:r w:rsidRPr="00150EDC">
              <w:rPr>
                <w:sz w:val="24"/>
              </w:rPr>
              <w:t>any Subcontractor of any such Subcontractor);</w:t>
            </w:r>
          </w:p>
        </w:tc>
      </w:tr>
      <w:tr w:rsidR="007D3144" w:rsidRPr="007D3144" w14:paraId="4471E8DC" w14:textId="77777777">
        <w:trPr>
          <w:trHeight w:val="1223"/>
        </w:trPr>
        <w:tc>
          <w:tcPr>
            <w:tcW w:w="2264" w:type="dxa"/>
          </w:tcPr>
          <w:p w14:paraId="396F6BA7" w14:textId="77777777" w:rsidR="004C7180" w:rsidRPr="00150EDC" w:rsidRDefault="00CF0754">
            <w:pPr>
              <w:pStyle w:val="TableParagraph"/>
              <w:spacing w:before="0" w:line="240" w:lineRule="auto"/>
              <w:ind w:left="-1"/>
              <w:rPr>
                <w:b/>
                <w:sz w:val="24"/>
              </w:rPr>
            </w:pPr>
            <w:r w:rsidRPr="00150EDC">
              <w:rPr>
                <w:b/>
                <w:spacing w:val="-2"/>
                <w:sz w:val="24"/>
              </w:rPr>
              <w:t>"Replacement Supplier"</w:t>
            </w:r>
          </w:p>
        </w:tc>
        <w:tc>
          <w:tcPr>
            <w:tcW w:w="7484" w:type="dxa"/>
          </w:tcPr>
          <w:p w14:paraId="0281B10D" w14:textId="77777777" w:rsidR="004C7180" w:rsidRPr="00150EDC" w:rsidRDefault="00CF0754">
            <w:pPr>
              <w:pStyle w:val="TableParagraph"/>
              <w:spacing w:before="0" w:line="240" w:lineRule="auto"/>
              <w:ind w:left="277" w:right="100"/>
              <w:jc w:val="both"/>
              <w:rPr>
                <w:sz w:val="24"/>
              </w:rPr>
            </w:pPr>
            <w:r w:rsidRPr="00150EDC">
              <w:rPr>
                <w:sz w:val="24"/>
              </w:rPr>
              <w:t>any third party provider of Replacement Deliverables appointed by or</w:t>
            </w:r>
            <w:r w:rsidRPr="00150EDC">
              <w:rPr>
                <w:spacing w:val="-8"/>
                <w:sz w:val="24"/>
              </w:rPr>
              <w:t xml:space="preserve"> </w:t>
            </w:r>
            <w:r w:rsidRPr="00150EDC">
              <w:rPr>
                <w:sz w:val="24"/>
              </w:rPr>
              <w:t>at</w:t>
            </w:r>
            <w:r w:rsidRPr="00150EDC">
              <w:rPr>
                <w:spacing w:val="-7"/>
                <w:sz w:val="24"/>
              </w:rPr>
              <w:t xml:space="preserve"> </w:t>
            </w:r>
            <w:r w:rsidRPr="00150EDC">
              <w:rPr>
                <w:sz w:val="24"/>
              </w:rPr>
              <w:t>the</w:t>
            </w:r>
            <w:r w:rsidRPr="00150EDC">
              <w:rPr>
                <w:spacing w:val="-7"/>
                <w:sz w:val="24"/>
              </w:rPr>
              <w:t xml:space="preserve"> </w:t>
            </w:r>
            <w:r w:rsidRPr="00150EDC">
              <w:rPr>
                <w:sz w:val="24"/>
              </w:rPr>
              <w:t>direction</w:t>
            </w:r>
            <w:r w:rsidRPr="00150EDC">
              <w:rPr>
                <w:spacing w:val="-9"/>
                <w:sz w:val="24"/>
              </w:rPr>
              <w:t xml:space="preserve"> </w:t>
            </w:r>
            <w:r w:rsidRPr="00150EDC">
              <w:rPr>
                <w:sz w:val="24"/>
              </w:rPr>
              <w:t>of</w:t>
            </w:r>
            <w:r w:rsidRPr="00150EDC">
              <w:rPr>
                <w:spacing w:val="-7"/>
                <w:sz w:val="24"/>
              </w:rPr>
              <w:t xml:space="preserve"> </w:t>
            </w:r>
            <w:r w:rsidRPr="00150EDC">
              <w:rPr>
                <w:sz w:val="24"/>
              </w:rPr>
              <w:t>the</w:t>
            </w:r>
            <w:r w:rsidRPr="00150EDC">
              <w:rPr>
                <w:spacing w:val="-7"/>
                <w:sz w:val="24"/>
              </w:rPr>
              <w:t xml:space="preserve"> </w:t>
            </w:r>
            <w:r w:rsidRPr="00150EDC">
              <w:rPr>
                <w:sz w:val="24"/>
              </w:rPr>
              <w:t>Buyer</w:t>
            </w:r>
            <w:r w:rsidRPr="00150EDC">
              <w:rPr>
                <w:spacing w:val="-8"/>
                <w:sz w:val="24"/>
              </w:rPr>
              <w:t xml:space="preserve"> </w:t>
            </w:r>
            <w:r w:rsidRPr="00150EDC">
              <w:rPr>
                <w:sz w:val="24"/>
              </w:rPr>
              <w:t>from</w:t>
            </w:r>
            <w:r w:rsidRPr="00150EDC">
              <w:rPr>
                <w:spacing w:val="-8"/>
                <w:sz w:val="24"/>
              </w:rPr>
              <w:t xml:space="preserve"> </w:t>
            </w:r>
            <w:r w:rsidRPr="00150EDC">
              <w:rPr>
                <w:sz w:val="24"/>
              </w:rPr>
              <w:t>time</w:t>
            </w:r>
            <w:r w:rsidRPr="00150EDC">
              <w:rPr>
                <w:spacing w:val="-7"/>
                <w:sz w:val="24"/>
              </w:rPr>
              <w:t xml:space="preserve"> </w:t>
            </w:r>
            <w:r w:rsidRPr="00150EDC">
              <w:rPr>
                <w:sz w:val="24"/>
              </w:rPr>
              <w:t>to</w:t>
            </w:r>
            <w:r w:rsidRPr="00150EDC">
              <w:rPr>
                <w:spacing w:val="-9"/>
                <w:sz w:val="24"/>
              </w:rPr>
              <w:t xml:space="preserve"> </w:t>
            </w:r>
            <w:r w:rsidRPr="00150EDC">
              <w:rPr>
                <w:sz w:val="24"/>
              </w:rPr>
              <w:t>time</w:t>
            </w:r>
            <w:r w:rsidRPr="00150EDC">
              <w:rPr>
                <w:spacing w:val="-9"/>
                <w:sz w:val="24"/>
              </w:rPr>
              <w:t xml:space="preserve"> </w:t>
            </w:r>
            <w:r w:rsidRPr="00150EDC">
              <w:rPr>
                <w:sz w:val="24"/>
              </w:rPr>
              <w:t>or</w:t>
            </w:r>
            <w:r w:rsidRPr="00150EDC">
              <w:rPr>
                <w:spacing w:val="-8"/>
                <w:sz w:val="24"/>
              </w:rPr>
              <w:t xml:space="preserve"> </w:t>
            </w:r>
            <w:r w:rsidRPr="00150EDC">
              <w:rPr>
                <w:sz w:val="24"/>
              </w:rPr>
              <w:t>where</w:t>
            </w:r>
            <w:r w:rsidRPr="00150EDC">
              <w:rPr>
                <w:spacing w:val="-8"/>
                <w:sz w:val="24"/>
              </w:rPr>
              <w:t xml:space="preserve"> </w:t>
            </w:r>
            <w:r w:rsidRPr="00150EDC">
              <w:rPr>
                <w:sz w:val="24"/>
              </w:rPr>
              <w:t>the</w:t>
            </w:r>
            <w:r w:rsidRPr="00150EDC">
              <w:rPr>
                <w:spacing w:val="-9"/>
                <w:sz w:val="24"/>
              </w:rPr>
              <w:t xml:space="preserve"> </w:t>
            </w:r>
            <w:r w:rsidRPr="00150EDC">
              <w:rPr>
                <w:sz w:val="24"/>
              </w:rPr>
              <w:t>Buyer is providing Replacement Deliverables for its own account, shall also include the Buyer;</w:t>
            </w:r>
          </w:p>
        </w:tc>
      </w:tr>
      <w:tr w:rsidR="007D3144" w:rsidRPr="007D3144" w14:paraId="45BF0FE9" w14:textId="77777777">
        <w:trPr>
          <w:trHeight w:val="948"/>
        </w:trPr>
        <w:tc>
          <w:tcPr>
            <w:tcW w:w="2264" w:type="dxa"/>
          </w:tcPr>
          <w:p w14:paraId="60FF0F0C" w14:textId="77777777" w:rsidR="004C7180" w:rsidRPr="00150EDC" w:rsidRDefault="00CF0754">
            <w:pPr>
              <w:pStyle w:val="TableParagraph"/>
              <w:spacing w:before="1" w:line="240" w:lineRule="auto"/>
              <w:ind w:left="-1"/>
              <w:rPr>
                <w:b/>
                <w:sz w:val="24"/>
              </w:rPr>
            </w:pPr>
            <w:r w:rsidRPr="00150EDC">
              <w:rPr>
                <w:b/>
                <w:sz w:val="24"/>
              </w:rPr>
              <w:t>"Request</w:t>
            </w:r>
            <w:r w:rsidRPr="00150EDC">
              <w:rPr>
                <w:b/>
                <w:spacing w:val="-17"/>
                <w:sz w:val="24"/>
              </w:rPr>
              <w:t xml:space="preserve"> </w:t>
            </w:r>
            <w:r w:rsidRPr="00150EDC">
              <w:rPr>
                <w:b/>
                <w:sz w:val="24"/>
              </w:rPr>
              <w:t xml:space="preserve">For </w:t>
            </w:r>
            <w:r w:rsidRPr="00150EDC">
              <w:rPr>
                <w:b/>
                <w:spacing w:val="-2"/>
                <w:sz w:val="24"/>
              </w:rPr>
              <w:t>Information"</w:t>
            </w:r>
          </w:p>
        </w:tc>
        <w:tc>
          <w:tcPr>
            <w:tcW w:w="7484" w:type="dxa"/>
          </w:tcPr>
          <w:p w14:paraId="33F12902" w14:textId="77777777" w:rsidR="004C7180" w:rsidRPr="00150EDC" w:rsidRDefault="00CF0754">
            <w:pPr>
              <w:pStyle w:val="TableParagraph"/>
              <w:spacing w:before="1" w:line="240" w:lineRule="auto"/>
              <w:ind w:left="277" w:right="100"/>
              <w:jc w:val="both"/>
              <w:rPr>
                <w:sz w:val="24"/>
              </w:rPr>
            </w:pPr>
            <w:r w:rsidRPr="00150EDC">
              <w:rPr>
                <w:sz w:val="24"/>
              </w:rPr>
              <w:t>a request for information or an apparent request relating to a Contract</w:t>
            </w:r>
            <w:r w:rsidRPr="00150EDC">
              <w:rPr>
                <w:spacing w:val="-17"/>
                <w:sz w:val="24"/>
              </w:rPr>
              <w:t xml:space="preserve"> </w:t>
            </w:r>
            <w:r w:rsidRPr="00150EDC">
              <w:rPr>
                <w:sz w:val="24"/>
              </w:rPr>
              <w:t>for</w:t>
            </w:r>
            <w:r w:rsidRPr="00150EDC">
              <w:rPr>
                <w:spacing w:val="-17"/>
                <w:sz w:val="24"/>
              </w:rPr>
              <w:t xml:space="preserve"> </w:t>
            </w:r>
            <w:r w:rsidRPr="00150EDC">
              <w:rPr>
                <w:sz w:val="24"/>
              </w:rPr>
              <w:t>the</w:t>
            </w:r>
            <w:r w:rsidRPr="00150EDC">
              <w:rPr>
                <w:spacing w:val="-16"/>
                <w:sz w:val="24"/>
              </w:rPr>
              <w:t xml:space="preserve"> </w:t>
            </w:r>
            <w:r w:rsidRPr="00150EDC">
              <w:rPr>
                <w:sz w:val="24"/>
              </w:rPr>
              <w:t>provision</w:t>
            </w:r>
            <w:r w:rsidRPr="00150EDC">
              <w:rPr>
                <w:spacing w:val="-17"/>
                <w:sz w:val="24"/>
              </w:rPr>
              <w:t xml:space="preserve"> </w:t>
            </w:r>
            <w:r w:rsidRPr="00150EDC">
              <w:rPr>
                <w:sz w:val="24"/>
              </w:rPr>
              <w:t>of</w:t>
            </w:r>
            <w:r w:rsidRPr="00150EDC">
              <w:rPr>
                <w:spacing w:val="-17"/>
                <w:sz w:val="24"/>
              </w:rPr>
              <w:t xml:space="preserve"> </w:t>
            </w:r>
            <w:r w:rsidRPr="00150EDC">
              <w:rPr>
                <w:sz w:val="24"/>
              </w:rPr>
              <w:t>the</w:t>
            </w:r>
            <w:r w:rsidRPr="00150EDC">
              <w:rPr>
                <w:spacing w:val="-17"/>
                <w:sz w:val="24"/>
              </w:rPr>
              <w:t xml:space="preserve"> </w:t>
            </w:r>
            <w:r w:rsidRPr="00150EDC">
              <w:rPr>
                <w:sz w:val="24"/>
              </w:rPr>
              <w:t>Deliverables</w:t>
            </w:r>
            <w:r w:rsidRPr="00150EDC">
              <w:rPr>
                <w:spacing w:val="-16"/>
                <w:sz w:val="24"/>
              </w:rPr>
              <w:t xml:space="preserve"> </w:t>
            </w:r>
            <w:r w:rsidRPr="00150EDC">
              <w:rPr>
                <w:sz w:val="24"/>
              </w:rPr>
              <w:t>or</w:t>
            </w:r>
            <w:r w:rsidRPr="00150EDC">
              <w:rPr>
                <w:spacing w:val="-17"/>
                <w:sz w:val="24"/>
              </w:rPr>
              <w:t xml:space="preserve"> </w:t>
            </w:r>
            <w:r w:rsidRPr="00150EDC">
              <w:rPr>
                <w:sz w:val="24"/>
              </w:rPr>
              <w:t>an</w:t>
            </w:r>
            <w:r w:rsidRPr="00150EDC">
              <w:rPr>
                <w:spacing w:val="-17"/>
                <w:sz w:val="24"/>
              </w:rPr>
              <w:t xml:space="preserve"> </w:t>
            </w:r>
            <w:r w:rsidRPr="00150EDC">
              <w:rPr>
                <w:sz w:val="24"/>
              </w:rPr>
              <w:t>apparent</w:t>
            </w:r>
            <w:r w:rsidRPr="00150EDC">
              <w:rPr>
                <w:spacing w:val="-16"/>
                <w:sz w:val="24"/>
              </w:rPr>
              <w:t xml:space="preserve"> </w:t>
            </w:r>
            <w:r w:rsidRPr="00150EDC">
              <w:rPr>
                <w:sz w:val="24"/>
              </w:rPr>
              <w:t>request for such information under the FOIA or the EIRs;</w:t>
            </w:r>
          </w:p>
        </w:tc>
      </w:tr>
      <w:tr w:rsidR="007D3144" w:rsidRPr="007D3144" w14:paraId="07BEE932" w14:textId="77777777">
        <w:trPr>
          <w:trHeight w:val="950"/>
        </w:trPr>
        <w:tc>
          <w:tcPr>
            <w:tcW w:w="2264" w:type="dxa"/>
          </w:tcPr>
          <w:p w14:paraId="4DD243D9" w14:textId="77777777" w:rsidR="004C7180" w:rsidRPr="00150EDC" w:rsidRDefault="00CF0754">
            <w:pPr>
              <w:pStyle w:val="TableParagraph"/>
              <w:spacing w:before="2" w:line="240" w:lineRule="auto"/>
              <w:ind w:left="-1"/>
              <w:rPr>
                <w:b/>
                <w:sz w:val="24"/>
              </w:rPr>
            </w:pPr>
            <w:r w:rsidRPr="00150EDC">
              <w:rPr>
                <w:b/>
                <w:spacing w:val="-2"/>
                <w:sz w:val="24"/>
              </w:rPr>
              <w:t>"Required Insurances"</w:t>
            </w:r>
          </w:p>
        </w:tc>
        <w:tc>
          <w:tcPr>
            <w:tcW w:w="7484" w:type="dxa"/>
          </w:tcPr>
          <w:p w14:paraId="1681AC62" w14:textId="77777777" w:rsidR="004C7180" w:rsidRPr="00150EDC" w:rsidRDefault="00CF0754">
            <w:pPr>
              <w:pStyle w:val="TableParagraph"/>
              <w:spacing w:before="2" w:line="240" w:lineRule="auto"/>
              <w:ind w:left="277" w:right="99"/>
              <w:jc w:val="both"/>
              <w:rPr>
                <w:sz w:val="24"/>
              </w:rPr>
            </w:pPr>
            <w:r w:rsidRPr="00150EDC">
              <w:rPr>
                <w:sz w:val="24"/>
              </w:rPr>
              <w:t xml:space="preserve">the insurances required by Joint Schedule 3 (Insurance Requirements) or any additional insurances specified in the Order </w:t>
            </w:r>
            <w:r w:rsidRPr="00150EDC">
              <w:rPr>
                <w:spacing w:val="-2"/>
                <w:sz w:val="24"/>
              </w:rPr>
              <w:t>Form;</w:t>
            </w:r>
          </w:p>
        </w:tc>
      </w:tr>
      <w:tr w:rsidR="007D3144" w:rsidRPr="007D3144" w14:paraId="25E9825E" w14:textId="77777777">
        <w:trPr>
          <w:trHeight w:val="395"/>
        </w:trPr>
        <w:tc>
          <w:tcPr>
            <w:tcW w:w="2264" w:type="dxa"/>
          </w:tcPr>
          <w:p w14:paraId="4204E27B" w14:textId="77777777" w:rsidR="004C7180" w:rsidRPr="00150EDC" w:rsidRDefault="00CF0754">
            <w:pPr>
              <w:pStyle w:val="TableParagraph"/>
              <w:spacing w:before="0" w:line="240" w:lineRule="auto"/>
              <w:ind w:left="-1"/>
              <w:rPr>
                <w:b/>
                <w:sz w:val="24"/>
              </w:rPr>
            </w:pPr>
            <w:r w:rsidRPr="00150EDC">
              <w:rPr>
                <w:b/>
                <w:spacing w:val="-4"/>
                <w:sz w:val="24"/>
              </w:rPr>
              <w:t>“RTI”</w:t>
            </w:r>
          </w:p>
        </w:tc>
        <w:tc>
          <w:tcPr>
            <w:tcW w:w="7484" w:type="dxa"/>
          </w:tcPr>
          <w:p w14:paraId="50714ED1" w14:textId="77777777" w:rsidR="004C7180" w:rsidRPr="00150EDC" w:rsidRDefault="00CF0754">
            <w:pPr>
              <w:pStyle w:val="TableParagraph"/>
              <w:spacing w:before="0" w:line="240" w:lineRule="auto"/>
              <w:ind w:left="277"/>
              <w:rPr>
                <w:sz w:val="24"/>
              </w:rPr>
            </w:pPr>
            <w:r w:rsidRPr="00150EDC">
              <w:rPr>
                <w:sz w:val="24"/>
              </w:rPr>
              <w:t>Real</w:t>
            </w:r>
            <w:r w:rsidRPr="00150EDC">
              <w:rPr>
                <w:spacing w:val="-5"/>
                <w:sz w:val="24"/>
              </w:rPr>
              <w:t xml:space="preserve"> </w:t>
            </w:r>
            <w:r w:rsidRPr="00150EDC">
              <w:rPr>
                <w:sz w:val="24"/>
              </w:rPr>
              <w:t>Time</w:t>
            </w:r>
            <w:r w:rsidRPr="00150EDC">
              <w:rPr>
                <w:spacing w:val="-5"/>
                <w:sz w:val="24"/>
              </w:rPr>
              <w:t xml:space="preserve"> </w:t>
            </w:r>
            <w:r w:rsidRPr="00150EDC">
              <w:rPr>
                <w:spacing w:val="-2"/>
                <w:sz w:val="24"/>
              </w:rPr>
              <w:t>Information;</w:t>
            </w:r>
          </w:p>
        </w:tc>
      </w:tr>
      <w:tr w:rsidR="007D3144" w:rsidRPr="007D3144" w14:paraId="400C660D" w14:textId="77777777">
        <w:trPr>
          <w:trHeight w:val="671"/>
        </w:trPr>
        <w:tc>
          <w:tcPr>
            <w:tcW w:w="2264" w:type="dxa"/>
          </w:tcPr>
          <w:p w14:paraId="0A3B0CD8" w14:textId="77777777" w:rsidR="004C7180" w:rsidRPr="00150EDC" w:rsidRDefault="00CF0754">
            <w:pPr>
              <w:pStyle w:val="TableParagraph"/>
              <w:spacing w:before="0" w:line="240" w:lineRule="auto"/>
              <w:ind w:left="-1"/>
              <w:rPr>
                <w:b/>
                <w:sz w:val="24"/>
              </w:rPr>
            </w:pPr>
            <w:r w:rsidRPr="00150EDC">
              <w:rPr>
                <w:b/>
                <w:spacing w:val="-2"/>
                <w:sz w:val="24"/>
              </w:rPr>
              <w:t>"Satisfaction Certificate"</w:t>
            </w:r>
          </w:p>
        </w:tc>
        <w:tc>
          <w:tcPr>
            <w:tcW w:w="7484" w:type="dxa"/>
          </w:tcPr>
          <w:p w14:paraId="166872E5" w14:textId="77777777" w:rsidR="004C7180" w:rsidRPr="00150EDC" w:rsidRDefault="00CF0754">
            <w:pPr>
              <w:pStyle w:val="TableParagraph"/>
              <w:spacing w:before="0" w:line="240" w:lineRule="auto"/>
              <w:ind w:left="277"/>
              <w:rPr>
                <w:sz w:val="24"/>
              </w:rPr>
            </w:pPr>
            <w:r w:rsidRPr="00150EDC">
              <w:rPr>
                <w:sz w:val="24"/>
              </w:rPr>
              <w:t>the certificate (materially in the form of the document contained in Part</w:t>
            </w:r>
            <w:r w:rsidRPr="00150EDC">
              <w:rPr>
                <w:spacing w:val="3"/>
                <w:sz w:val="24"/>
              </w:rPr>
              <w:t xml:space="preserve"> </w:t>
            </w:r>
            <w:r w:rsidRPr="00150EDC">
              <w:rPr>
                <w:sz w:val="24"/>
              </w:rPr>
              <w:t>B</w:t>
            </w:r>
            <w:r w:rsidRPr="00150EDC">
              <w:rPr>
                <w:spacing w:val="2"/>
                <w:sz w:val="24"/>
              </w:rPr>
              <w:t xml:space="preserve"> </w:t>
            </w:r>
            <w:r w:rsidRPr="00150EDC">
              <w:rPr>
                <w:sz w:val="24"/>
              </w:rPr>
              <w:t>of</w:t>
            </w:r>
            <w:r w:rsidRPr="00150EDC">
              <w:rPr>
                <w:spacing w:val="2"/>
                <w:sz w:val="24"/>
              </w:rPr>
              <w:t xml:space="preserve"> </w:t>
            </w:r>
            <w:r w:rsidRPr="00150EDC">
              <w:rPr>
                <w:sz w:val="24"/>
              </w:rPr>
              <w:t>Order</w:t>
            </w:r>
            <w:r w:rsidRPr="00150EDC">
              <w:rPr>
                <w:spacing w:val="1"/>
                <w:sz w:val="24"/>
              </w:rPr>
              <w:t xml:space="preserve"> </w:t>
            </w:r>
            <w:r w:rsidRPr="00150EDC">
              <w:rPr>
                <w:sz w:val="24"/>
              </w:rPr>
              <w:t>Schedule</w:t>
            </w:r>
            <w:r w:rsidRPr="00150EDC">
              <w:rPr>
                <w:spacing w:val="3"/>
                <w:sz w:val="24"/>
              </w:rPr>
              <w:t xml:space="preserve"> </w:t>
            </w:r>
            <w:r w:rsidRPr="00150EDC">
              <w:rPr>
                <w:sz w:val="24"/>
              </w:rPr>
              <w:t>13</w:t>
            </w:r>
            <w:r w:rsidRPr="00150EDC">
              <w:rPr>
                <w:spacing w:val="5"/>
                <w:sz w:val="24"/>
              </w:rPr>
              <w:t xml:space="preserve"> </w:t>
            </w:r>
            <w:r w:rsidRPr="00150EDC">
              <w:rPr>
                <w:sz w:val="24"/>
              </w:rPr>
              <w:t>(Implementation</w:t>
            </w:r>
            <w:r w:rsidRPr="00150EDC">
              <w:rPr>
                <w:spacing w:val="3"/>
                <w:sz w:val="24"/>
              </w:rPr>
              <w:t xml:space="preserve"> </w:t>
            </w:r>
            <w:r w:rsidRPr="00150EDC">
              <w:rPr>
                <w:sz w:val="24"/>
              </w:rPr>
              <w:t>Plan</w:t>
            </w:r>
            <w:r w:rsidRPr="00150EDC">
              <w:rPr>
                <w:spacing w:val="2"/>
                <w:sz w:val="24"/>
              </w:rPr>
              <w:t xml:space="preserve"> </w:t>
            </w:r>
            <w:r w:rsidRPr="00150EDC">
              <w:rPr>
                <w:sz w:val="24"/>
              </w:rPr>
              <w:t>and</w:t>
            </w:r>
            <w:r w:rsidRPr="00150EDC">
              <w:rPr>
                <w:spacing w:val="5"/>
                <w:sz w:val="24"/>
              </w:rPr>
              <w:t xml:space="preserve"> </w:t>
            </w:r>
            <w:r w:rsidRPr="00150EDC">
              <w:rPr>
                <w:sz w:val="24"/>
              </w:rPr>
              <w:t>Testing)</w:t>
            </w:r>
            <w:r w:rsidRPr="00150EDC">
              <w:rPr>
                <w:spacing w:val="1"/>
                <w:sz w:val="24"/>
              </w:rPr>
              <w:t xml:space="preserve"> </w:t>
            </w:r>
            <w:r w:rsidRPr="00150EDC">
              <w:rPr>
                <w:spacing w:val="-5"/>
                <w:sz w:val="24"/>
              </w:rPr>
              <w:t>or</w:t>
            </w:r>
          </w:p>
        </w:tc>
      </w:tr>
    </w:tbl>
    <w:p w14:paraId="36B3D6AB" w14:textId="77777777" w:rsidR="004C7180" w:rsidRPr="00150EDC" w:rsidRDefault="004C7180">
      <w:pPr>
        <w:rPr>
          <w:sz w:val="24"/>
        </w:rPr>
        <w:sectPr w:rsidR="004C7180" w:rsidRPr="00150EDC">
          <w:pgSz w:w="11910" w:h="16840"/>
          <w:pgMar w:top="1160" w:right="0" w:bottom="1460" w:left="40" w:header="715" w:footer="1208" w:gutter="0"/>
          <w:cols w:space="720"/>
        </w:sectPr>
      </w:pPr>
    </w:p>
    <w:p w14:paraId="2C3F1EB6" w14:textId="77777777" w:rsidR="004C7180" w:rsidRPr="00150EDC" w:rsidRDefault="004C7180">
      <w:pPr>
        <w:pStyle w:val="BodyText"/>
        <w:spacing w:before="7"/>
        <w:rPr>
          <w:sz w:val="23"/>
        </w:rPr>
      </w:pPr>
    </w:p>
    <w:tbl>
      <w:tblPr>
        <w:tblW w:w="0" w:type="auto"/>
        <w:tblInd w:w="1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4"/>
        <w:gridCol w:w="7484"/>
      </w:tblGrid>
      <w:tr w:rsidR="007D3144" w:rsidRPr="007D3144" w14:paraId="676DEF12" w14:textId="77777777">
        <w:trPr>
          <w:trHeight w:val="948"/>
        </w:trPr>
        <w:tc>
          <w:tcPr>
            <w:tcW w:w="2264" w:type="dxa"/>
          </w:tcPr>
          <w:p w14:paraId="0C89F5A0" w14:textId="77777777" w:rsidR="004C7180" w:rsidRPr="00150EDC" w:rsidRDefault="004C7180">
            <w:pPr>
              <w:pStyle w:val="TableParagraph"/>
              <w:spacing w:before="0" w:line="240" w:lineRule="auto"/>
              <w:ind w:left="0"/>
              <w:rPr>
                <w:rFonts w:ascii="Times New Roman"/>
              </w:rPr>
            </w:pPr>
          </w:p>
        </w:tc>
        <w:tc>
          <w:tcPr>
            <w:tcW w:w="7484" w:type="dxa"/>
          </w:tcPr>
          <w:p w14:paraId="23A0B5DF" w14:textId="77777777" w:rsidR="004C7180" w:rsidRPr="00150EDC" w:rsidRDefault="00CF0754">
            <w:pPr>
              <w:pStyle w:val="TableParagraph"/>
              <w:spacing w:before="0" w:line="240" w:lineRule="auto"/>
              <w:ind w:left="277" w:right="103"/>
              <w:jc w:val="both"/>
              <w:rPr>
                <w:sz w:val="24"/>
              </w:rPr>
            </w:pPr>
            <w:r w:rsidRPr="00150EDC">
              <w:rPr>
                <w:sz w:val="24"/>
              </w:rPr>
              <w:t>as agreed by the Parties where Order Schedule 13 is not used in this Contract) granted by the Buyer when the Supplier has met all of the requirements of an Order, Achieved a Milestone or a Test;</w:t>
            </w:r>
          </w:p>
        </w:tc>
      </w:tr>
      <w:tr w:rsidR="007D3144" w:rsidRPr="007D3144" w14:paraId="6FF46B4A" w14:textId="77777777">
        <w:trPr>
          <w:trHeight w:val="671"/>
        </w:trPr>
        <w:tc>
          <w:tcPr>
            <w:tcW w:w="2264" w:type="dxa"/>
          </w:tcPr>
          <w:p w14:paraId="7F79752E" w14:textId="77777777" w:rsidR="004C7180" w:rsidRPr="00150EDC" w:rsidRDefault="00CF0754">
            <w:pPr>
              <w:pStyle w:val="TableParagraph"/>
              <w:spacing w:before="0" w:line="240" w:lineRule="auto"/>
              <w:ind w:left="-1"/>
              <w:rPr>
                <w:b/>
                <w:sz w:val="24"/>
              </w:rPr>
            </w:pPr>
            <w:r w:rsidRPr="00150EDC">
              <w:rPr>
                <w:b/>
                <w:spacing w:val="-2"/>
                <w:sz w:val="24"/>
              </w:rPr>
              <w:t>“Schedules"</w:t>
            </w:r>
          </w:p>
        </w:tc>
        <w:tc>
          <w:tcPr>
            <w:tcW w:w="7484" w:type="dxa"/>
          </w:tcPr>
          <w:p w14:paraId="71915846" w14:textId="77777777" w:rsidR="004C7180" w:rsidRPr="00150EDC" w:rsidRDefault="00CF0754">
            <w:pPr>
              <w:pStyle w:val="TableParagraph"/>
              <w:spacing w:before="0" w:line="240" w:lineRule="auto"/>
              <w:ind w:left="277"/>
              <w:rPr>
                <w:sz w:val="24"/>
              </w:rPr>
            </w:pPr>
            <w:r w:rsidRPr="00150EDC">
              <w:rPr>
                <w:sz w:val="24"/>
              </w:rPr>
              <w:t>any</w:t>
            </w:r>
            <w:r w:rsidRPr="00150EDC">
              <w:rPr>
                <w:spacing w:val="80"/>
                <w:sz w:val="24"/>
              </w:rPr>
              <w:t xml:space="preserve"> </w:t>
            </w:r>
            <w:r w:rsidRPr="00150EDC">
              <w:rPr>
                <w:sz w:val="24"/>
              </w:rPr>
              <w:t>attachment</w:t>
            </w:r>
            <w:r w:rsidRPr="00150EDC">
              <w:rPr>
                <w:spacing w:val="80"/>
                <w:sz w:val="24"/>
              </w:rPr>
              <w:t xml:space="preserve"> </w:t>
            </w:r>
            <w:r w:rsidRPr="00150EDC">
              <w:rPr>
                <w:sz w:val="24"/>
              </w:rPr>
              <w:t>to</w:t>
            </w:r>
            <w:r w:rsidRPr="00150EDC">
              <w:rPr>
                <w:spacing w:val="80"/>
                <w:sz w:val="24"/>
              </w:rPr>
              <w:t xml:space="preserve"> </w:t>
            </w:r>
            <w:r w:rsidRPr="00150EDC">
              <w:rPr>
                <w:sz w:val="24"/>
              </w:rPr>
              <w:t>a</w:t>
            </w:r>
            <w:r w:rsidRPr="00150EDC">
              <w:rPr>
                <w:spacing w:val="80"/>
                <w:sz w:val="24"/>
              </w:rPr>
              <w:t xml:space="preserve"> </w:t>
            </w:r>
            <w:r w:rsidRPr="00150EDC">
              <w:rPr>
                <w:sz w:val="24"/>
              </w:rPr>
              <w:t>DPS</w:t>
            </w:r>
            <w:r w:rsidRPr="00150EDC">
              <w:rPr>
                <w:spacing w:val="80"/>
                <w:sz w:val="24"/>
              </w:rPr>
              <w:t xml:space="preserve"> </w:t>
            </w:r>
            <w:r w:rsidRPr="00150EDC">
              <w:rPr>
                <w:sz w:val="24"/>
              </w:rPr>
              <w:t>or</w:t>
            </w:r>
            <w:r w:rsidRPr="00150EDC">
              <w:rPr>
                <w:spacing w:val="80"/>
                <w:sz w:val="24"/>
              </w:rPr>
              <w:t xml:space="preserve"> </w:t>
            </w:r>
            <w:r w:rsidRPr="00150EDC">
              <w:rPr>
                <w:sz w:val="24"/>
              </w:rPr>
              <w:t>Order</w:t>
            </w:r>
            <w:r w:rsidRPr="00150EDC">
              <w:rPr>
                <w:spacing w:val="80"/>
                <w:sz w:val="24"/>
              </w:rPr>
              <w:t xml:space="preserve"> </w:t>
            </w:r>
            <w:r w:rsidRPr="00150EDC">
              <w:rPr>
                <w:sz w:val="24"/>
              </w:rPr>
              <w:t>Contract</w:t>
            </w:r>
            <w:r w:rsidRPr="00150EDC">
              <w:rPr>
                <w:spacing w:val="80"/>
                <w:sz w:val="24"/>
              </w:rPr>
              <w:t xml:space="preserve"> </w:t>
            </w:r>
            <w:r w:rsidRPr="00150EDC">
              <w:rPr>
                <w:sz w:val="24"/>
              </w:rPr>
              <w:t>which</w:t>
            </w:r>
            <w:r w:rsidRPr="00150EDC">
              <w:rPr>
                <w:spacing w:val="80"/>
                <w:sz w:val="24"/>
              </w:rPr>
              <w:t xml:space="preserve"> </w:t>
            </w:r>
            <w:r w:rsidRPr="00150EDC">
              <w:rPr>
                <w:sz w:val="24"/>
              </w:rPr>
              <w:t>contains important</w:t>
            </w:r>
            <w:r w:rsidRPr="00150EDC">
              <w:rPr>
                <w:spacing w:val="-5"/>
                <w:sz w:val="24"/>
              </w:rPr>
              <w:t xml:space="preserve"> </w:t>
            </w:r>
            <w:r w:rsidRPr="00150EDC">
              <w:rPr>
                <w:sz w:val="24"/>
              </w:rPr>
              <w:t>information</w:t>
            </w:r>
            <w:r w:rsidRPr="00150EDC">
              <w:rPr>
                <w:spacing w:val="-3"/>
                <w:sz w:val="24"/>
              </w:rPr>
              <w:t xml:space="preserve"> </w:t>
            </w:r>
            <w:r w:rsidRPr="00150EDC">
              <w:rPr>
                <w:sz w:val="24"/>
              </w:rPr>
              <w:t>specific</w:t>
            </w:r>
            <w:r w:rsidRPr="00150EDC">
              <w:rPr>
                <w:spacing w:val="-3"/>
                <w:sz w:val="24"/>
              </w:rPr>
              <w:t xml:space="preserve"> </w:t>
            </w:r>
            <w:r w:rsidRPr="00150EDC">
              <w:rPr>
                <w:sz w:val="24"/>
              </w:rPr>
              <w:t>to</w:t>
            </w:r>
            <w:r w:rsidRPr="00150EDC">
              <w:rPr>
                <w:spacing w:val="-3"/>
                <w:sz w:val="24"/>
              </w:rPr>
              <w:t xml:space="preserve"> </w:t>
            </w:r>
            <w:r w:rsidRPr="00150EDC">
              <w:rPr>
                <w:sz w:val="24"/>
              </w:rPr>
              <w:t>each</w:t>
            </w:r>
            <w:r w:rsidRPr="00150EDC">
              <w:rPr>
                <w:spacing w:val="-3"/>
                <w:sz w:val="24"/>
              </w:rPr>
              <w:t xml:space="preserve"> </w:t>
            </w:r>
            <w:r w:rsidRPr="00150EDC">
              <w:rPr>
                <w:sz w:val="24"/>
              </w:rPr>
              <w:t>aspect</w:t>
            </w:r>
            <w:r w:rsidRPr="00150EDC">
              <w:rPr>
                <w:spacing w:val="-5"/>
                <w:sz w:val="24"/>
              </w:rPr>
              <w:t xml:space="preserve"> </w:t>
            </w:r>
            <w:r w:rsidRPr="00150EDC">
              <w:rPr>
                <w:sz w:val="24"/>
              </w:rPr>
              <w:t>of</w:t>
            </w:r>
            <w:r w:rsidRPr="00150EDC">
              <w:rPr>
                <w:spacing w:val="-2"/>
                <w:sz w:val="24"/>
              </w:rPr>
              <w:t xml:space="preserve"> </w:t>
            </w:r>
            <w:r w:rsidRPr="00150EDC">
              <w:rPr>
                <w:sz w:val="24"/>
              </w:rPr>
              <w:t>buying</w:t>
            </w:r>
            <w:r w:rsidRPr="00150EDC">
              <w:rPr>
                <w:spacing w:val="-4"/>
                <w:sz w:val="24"/>
              </w:rPr>
              <w:t xml:space="preserve"> </w:t>
            </w:r>
            <w:r w:rsidRPr="00150EDC">
              <w:rPr>
                <w:sz w:val="24"/>
              </w:rPr>
              <w:t>and</w:t>
            </w:r>
            <w:r w:rsidRPr="00150EDC">
              <w:rPr>
                <w:spacing w:val="-4"/>
                <w:sz w:val="24"/>
              </w:rPr>
              <w:t xml:space="preserve"> </w:t>
            </w:r>
            <w:r w:rsidRPr="00150EDC">
              <w:rPr>
                <w:spacing w:val="-2"/>
                <w:sz w:val="24"/>
              </w:rPr>
              <w:t>selling;</w:t>
            </w:r>
          </w:p>
        </w:tc>
      </w:tr>
      <w:tr w:rsidR="007D3144" w:rsidRPr="007D3144" w14:paraId="3586258B" w14:textId="77777777">
        <w:trPr>
          <w:trHeight w:val="671"/>
        </w:trPr>
        <w:tc>
          <w:tcPr>
            <w:tcW w:w="2264" w:type="dxa"/>
          </w:tcPr>
          <w:p w14:paraId="0EC4EB73" w14:textId="77777777" w:rsidR="004C7180" w:rsidRPr="00150EDC" w:rsidRDefault="00CF0754">
            <w:pPr>
              <w:pStyle w:val="TableParagraph"/>
              <w:spacing w:before="0" w:line="240" w:lineRule="auto"/>
              <w:ind w:left="-1"/>
              <w:rPr>
                <w:b/>
                <w:sz w:val="24"/>
              </w:rPr>
            </w:pPr>
            <w:r w:rsidRPr="00150EDC">
              <w:rPr>
                <w:b/>
                <w:spacing w:val="-2"/>
                <w:sz w:val="24"/>
              </w:rPr>
              <w:t xml:space="preserve">"Security </w:t>
            </w:r>
            <w:r w:rsidRPr="00150EDC">
              <w:rPr>
                <w:b/>
                <w:sz w:val="24"/>
              </w:rPr>
              <w:t>Management</w:t>
            </w:r>
            <w:r w:rsidRPr="00150EDC">
              <w:rPr>
                <w:b/>
                <w:spacing w:val="-17"/>
                <w:sz w:val="24"/>
              </w:rPr>
              <w:t xml:space="preserve"> </w:t>
            </w:r>
            <w:r w:rsidRPr="00150EDC">
              <w:rPr>
                <w:b/>
                <w:sz w:val="24"/>
              </w:rPr>
              <w:t>Plan"</w:t>
            </w:r>
          </w:p>
        </w:tc>
        <w:tc>
          <w:tcPr>
            <w:tcW w:w="7484" w:type="dxa"/>
          </w:tcPr>
          <w:p w14:paraId="33894E1B" w14:textId="77777777" w:rsidR="004C7180" w:rsidRPr="00150EDC" w:rsidRDefault="00CF0754">
            <w:pPr>
              <w:pStyle w:val="TableParagraph"/>
              <w:spacing w:before="0" w:line="240" w:lineRule="auto"/>
              <w:ind w:left="277"/>
              <w:rPr>
                <w:sz w:val="24"/>
              </w:rPr>
            </w:pPr>
            <w:r w:rsidRPr="00150EDC">
              <w:rPr>
                <w:sz w:val="24"/>
              </w:rPr>
              <w:t>the</w:t>
            </w:r>
            <w:r w:rsidRPr="00150EDC">
              <w:rPr>
                <w:spacing w:val="40"/>
                <w:sz w:val="24"/>
              </w:rPr>
              <w:t xml:space="preserve"> </w:t>
            </w:r>
            <w:r w:rsidRPr="00150EDC">
              <w:rPr>
                <w:sz w:val="24"/>
              </w:rPr>
              <w:t>Supplier's</w:t>
            </w:r>
            <w:r w:rsidRPr="00150EDC">
              <w:rPr>
                <w:spacing w:val="40"/>
                <w:sz w:val="24"/>
              </w:rPr>
              <w:t xml:space="preserve"> </w:t>
            </w:r>
            <w:r w:rsidRPr="00150EDC">
              <w:rPr>
                <w:sz w:val="24"/>
              </w:rPr>
              <w:t>security</w:t>
            </w:r>
            <w:r w:rsidRPr="00150EDC">
              <w:rPr>
                <w:spacing w:val="40"/>
                <w:sz w:val="24"/>
              </w:rPr>
              <w:t xml:space="preserve"> </w:t>
            </w:r>
            <w:r w:rsidRPr="00150EDC">
              <w:rPr>
                <w:sz w:val="24"/>
              </w:rPr>
              <w:t>management</w:t>
            </w:r>
            <w:r w:rsidRPr="00150EDC">
              <w:rPr>
                <w:spacing w:val="40"/>
                <w:sz w:val="24"/>
              </w:rPr>
              <w:t xml:space="preserve"> </w:t>
            </w:r>
            <w:r w:rsidRPr="00150EDC">
              <w:rPr>
                <w:sz w:val="24"/>
              </w:rPr>
              <w:t>plan</w:t>
            </w:r>
            <w:r w:rsidRPr="00150EDC">
              <w:rPr>
                <w:spacing w:val="40"/>
                <w:sz w:val="24"/>
              </w:rPr>
              <w:t xml:space="preserve"> </w:t>
            </w:r>
            <w:r w:rsidRPr="00150EDC">
              <w:rPr>
                <w:sz w:val="24"/>
              </w:rPr>
              <w:t>prepared</w:t>
            </w:r>
            <w:r w:rsidRPr="00150EDC">
              <w:rPr>
                <w:spacing w:val="40"/>
                <w:sz w:val="24"/>
              </w:rPr>
              <w:t xml:space="preserve"> </w:t>
            </w:r>
            <w:r w:rsidRPr="00150EDC">
              <w:rPr>
                <w:sz w:val="24"/>
              </w:rPr>
              <w:t>pursuant</w:t>
            </w:r>
            <w:r w:rsidRPr="00150EDC">
              <w:rPr>
                <w:spacing w:val="40"/>
                <w:sz w:val="24"/>
              </w:rPr>
              <w:t xml:space="preserve"> </w:t>
            </w:r>
            <w:r w:rsidRPr="00150EDC">
              <w:rPr>
                <w:sz w:val="24"/>
              </w:rPr>
              <w:t>to Order Schedule 9 (Security) (if applicable);</w:t>
            </w:r>
          </w:p>
        </w:tc>
      </w:tr>
      <w:tr w:rsidR="007D3144" w:rsidRPr="007D3144" w14:paraId="6547AA2D" w14:textId="77777777">
        <w:trPr>
          <w:trHeight w:val="950"/>
        </w:trPr>
        <w:tc>
          <w:tcPr>
            <w:tcW w:w="2264" w:type="dxa"/>
          </w:tcPr>
          <w:p w14:paraId="765B2720" w14:textId="77777777" w:rsidR="004C7180" w:rsidRPr="00150EDC" w:rsidRDefault="00CF0754">
            <w:pPr>
              <w:pStyle w:val="TableParagraph"/>
              <w:spacing w:before="2" w:line="240" w:lineRule="auto"/>
              <w:ind w:left="-1"/>
              <w:rPr>
                <w:b/>
                <w:sz w:val="24"/>
              </w:rPr>
            </w:pPr>
            <w:r w:rsidRPr="00150EDC">
              <w:rPr>
                <w:b/>
                <w:sz w:val="24"/>
              </w:rPr>
              <w:t>"Security</w:t>
            </w:r>
            <w:r w:rsidRPr="00150EDC">
              <w:rPr>
                <w:b/>
                <w:spacing w:val="-7"/>
                <w:sz w:val="24"/>
              </w:rPr>
              <w:t xml:space="preserve"> </w:t>
            </w:r>
            <w:r w:rsidRPr="00150EDC">
              <w:rPr>
                <w:b/>
                <w:spacing w:val="-2"/>
                <w:sz w:val="24"/>
              </w:rPr>
              <w:t>Policy"</w:t>
            </w:r>
          </w:p>
        </w:tc>
        <w:tc>
          <w:tcPr>
            <w:tcW w:w="7484" w:type="dxa"/>
          </w:tcPr>
          <w:p w14:paraId="21F8EA77" w14:textId="77777777" w:rsidR="004C7180" w:rsidRPr="00150EDC" w:rsidRDefault="00CF0754">
            <w:pPr>
              <w:pStyle w:val="TableParagraph"/>
              <w:spacing w:before="2" w:line="240" w:lineRule="auto"/>
              <w:ind w:left="277" w:right="97"/>
              <w:jc w:val="both"/>
              <w:rPr>
                <w:sz w:val="24"/>
              </w:rPr>
            </w:pPr>
            <w:r w:rsidRPr="00150EDC">
              <w:rPr>
                <w:sz w:val="24"/>
              </w:rPr>
              <w:t>the</w:t>
            </w:r>
            <w:r w:rsidRPr="00150EDC">
              <w:rPr>
                <w:spacing w:val="-12"/>
                <w:sz w:val="24"/>
              </w:rPr>
              <w:t xml:space="preserve"> </w:t>
            </w:r>
            <w:r w:rsidRPr="00150EDC">
              <w:rPr>
                <w:sz w:val="24"/>
              </w:rPr>
              <w:t>Buyer's</w:t>
            </w:r>
            <w:r w:rsidRPr="00150EDC">
              <w:rPr>
                <w:spacing w:val="-13"/>
                <w:sz w:val="24"/>
              </w:rPr>
              <w:t xml:space="preserve"> </w:t>
            </w:r>
            <w:r w:rsidRPr="00150EDC">
              <w:rPr>
                <w:sz w:val="24"/>
              </w:rPr>
              <w:t>security</w:t>
            </w:r>
            <w:r w:rsidRPr="00150EDC">
              <w:rPr>
                <w:spacing w:val="-14"/>
                <w:sz w:val="24"/>
              </w:rPr>
              <w:t xml:space="preserve"> </w:t>
            </w:r>
            <w:r w:rsidRPr="00150EDC">
              <w:rPr>
                <w:sz w:val="24"/>
              </w:rPr>
              <w:t>policy,</w:t>
            </w:r>
            <w:r w:rsidRPr="00150EDC">
              <w:rPr>
                <w:spacing w:val="-13"/>
                <w:sz w:val="24"/>
              </w:rPr>
              <w:t xml:space="preserve"> </w:t>
            </w:r>
            <w:r w:rsidRPr="00150EDC">
              <w:rPr>
                <w:sz w:val="24"/>
              </w:rPr>
              <w:t>referred</w:t>
            </w:r>
            <w:r w:rsidRPr="00150EDC">
              <w:rPr>
                <w:spacing w:val="-12"/>
                <w:sz w:val="24"/>
              </w:rPr>
              <w:t xml:space="preserve"> </w:t>
            </w:r>
            <w:r w:rsidRPr="00150EDC">
              <w:rPr>
                <w:sz w:val="24"/>
              </w:rPr>
              <w:t>to</w:t>
            </w:r>
            <w:r w:rsidRPr="00150EDC">
              <w:rPr>
                <w:spacing w:val="-12"/>
                <w:sz w:val="24"/>
              </w:rPr>
              <w:t xml:space="preserve"> </w:t>
            </w:r>
            <w:r w:rsidRPr="00150EDC">
              <w:rPr>
                <w:sz w:val="24"/>
              </w:rPr>
              <w:t>in</w:t>
            </w:r>
            <w:r w:rsidRPr="00150EDC">
              <w:rPr>
                <w:spacing w:val="-12"/>
                <w:sz w:val="24"/>
              </w:rPr>
              <w:t xml:space="preserve"> </w:t>
            </w:r>
            <w:r w:rsidRPr="00150EDC">
              <w:rPr>
                <w:sz w:val="24"/>
              </w:rPr>
              <w:t>the</w:t>
            </w:r>
            <w:r w:rsidRPr="00150EDC">
              <w:rPr>
                <w:spacing w:val="-12"/>
                <w:sz w:val="24"/>
              </w:rPr>
              <w:t xml:space="preserve"> </w:t>
            </w:r>
            <w:r w:rsidRPr="00150EDC">
              <w:rPr>
                <w:sz w:val="24"/>
              </w:rPr>
              <w:t>Order</w:t>
            </w:r>
            <w:r w:rsidRPr="00150EDC">
              <w:rPr>
                <w:spacing w:val="-13"/>
                <w:sz w:val="24"/>
              </w:rPr>
              <w:t xml:space="preserve"> </w:t>
            </w:r>
            <w:r w:rsidRPr="00150EDC">
              <w:rPr>
                <w:sz w:val="24"/>
              </w:rPr>
              <w:t>Form,</w:t>
            </w:r>
            <w:r w:rsidRPr="00150EDC">
              <w:rPr>
                <w:spacing w:val="-12"/>
                <w:sz w:val="24"/>
              </w:rPr>
              <w:t xml:space="preserve"> </w:t>
            </w:r>
            <w:r w:rsidRPr="00150EDC">
              <w:rPr>
                <w:sz w:val="24"/>
              </w:rPr>
              <w:t>in</w:t>
            </w:r>
            <w:r w:rsidRPr="00150EDC">
              <w:rPr>
                <w:spacing w:val="-15"/>
                <w:sz w:val="24"/>
              </w:rPr>
              <w:t xml:space="preserve"> </w:t>
            </w:r>
            <w:r w:rsidRPr="00150EDC">
              <w:rPr>
                <w:sz w:val="24"/>
              </w:rPr>
              <w:t>force</w:t>
            </w:r>
            <w:r w:rsidRPr="00150EDC">
              <w:rPr>
                <w:spacing w:val="-12"/>
                <w:sz w:val="24"/>
              </w:rPr>
              <w:t xml:space="preserve"> </w:t>
            </w:r>
            <w:r w:rsidRPr="00150EDC">
              <w:rPr>
                <w:sz w:val="24"/>
              </w:rPr>
              <w:t>as at the Order Start Date (a copy of which has been supplied to the Supplier),</w:t>
            </w:r>
            <w:r w:rsidRPr="00150EDC">
              <w:rPr>
                <w:spacing w:val="-7"/>
                <w:sz w:val="24"/>
              </w:rPr>
              <w:t xml:space="preserve"> </w:t>
            </w:r>
            <w:r w:rsidRPr="00150EDC">
              <w:rPr>
                <w:sz w:val="24"/>
              </w:rPr>
              <w:t>as</w:t>
            </w:r>
            <w:r w:rsidRPr="00150EDC">
              <w:rPr>
                <w:spacing w:val="-4"/>
                <w:sz w:val="24"/>
              </w:rPr>
              <w:t xml:space="preserve"> </w:t>
            </w:r>
            <w:r w:rsidRPr="00150EDC">
              <w:rPr>
                <w:sz w:val="24"/>
              </w:rPr>
              <w:t>updated</w:t>
            </w:r>
            <w:r w:rsidRPr="00150EDC">
              <w:rPr>
                <w:spacing w:val="-7"/>
                <w:sz w:val="24"/>
              </w:rPr>
              <w:t xml:space="preserve"> </w:t>
            </w:r>
            <w:r w:rsidRPr="00150EDC">
              <w:rPr>
                <w:sz w:val="24"/>
              </w:rPr>
              <w:t>from</w:t>
            </w:r>
            <w:r w:rsidRPr="00150EDC">
              <w:rPr>
                <w:spacing w:val="-3"/>
                <w:sz w:val="24"/>
              </w:rPr>
              <w:t xml:space="preserve"> </w:t>
            </w:r>
            <w:r w:rsidRPr="00150EDC">
              <w:rPr>
                <w:sz w:val="24"/>
              </w:rPr>
              <w:t>time</w:t>
            </w:r>
            <w:r w:rsidRPr="00150EDC">
              <w:rPr>
                <w:spacing w:val="-5"/>
                <w:sz w:val="24"/>
              </w:rPr>
              <w:t xml:space="preserve"> </w:t>
            </w:r>
            <w:r w:rsidRPr="00150EDC">
              <w:rPr>
                <w:sz w:val="24"/>
              </w:rPr>
              <w:t>to</w:t>
            </w:r>
            <w:r w:rsidRPr="00150EDC">
              <w:rPr>
                <w:spacing w:val="-4"/>
                <w:sz w:val="24"/>
              </w:rPr>
              <w:t xml:space="preserve"> </w:t>
            </w:r>
            <w:r w:rsidRPr="00150EDC">
              <w:rPr>
                <w:sz w:val="24"/>
              </w:rPr>
              <w:t>time</w:t>
            </w:r>
            <w:r w:rsidRPr="00150EDC">
              <w:rPr>
                <w:spacing w:val="-7"/>
                <w:sz w:val="24"/>
              </w:rPr>
              <w:t xml:space="preserve"> </w:t>
            </w:r>
            <w:r w:rsidRPr="00150EDC">
              <w:rPr>
                <w:sz w:val="24"/>
              </w:rPr>
              <w:t>and</w:t>
            </w:r>
            <w:r w:rsidRPr="00150EDC">
              <w:rPr>
                <w:spacing w:val="-6"/>
                <w:sz w:val="24"/>
              </w:rPr>
              <w:t xml:space="preserve"> </w:t>
            </w:r>
            <w:r w:rsidRPr="00150EDC">
              <w:rPr>
                <w:sz w:val="24"/>
              </w:rPr>
              <w:t>notified</w:t>
            </w:r>
            <w:r w:rsidRPr="00150EDC">
              <w:rPr>
                <w:spacing w:val="-7"/>
                <w:sz w:val="24"/>
              </w:rPr>
              <w:t xml:space="preserve"> </w:t>
            </w:r>
            <w:r w:rsidRPr="00150EDC">
              <w:rPr>
                <w:sz w:val="24"/>
              </w:rPr>
              <w:t>to</w:t>
            </w:r>
            <w:r w:rsidRPr="00150EDC">
              <w:rPr>
                <w:spacing w:val="-3"/>
                <w:sz w:val="24"/>
              </w:rPr>
              <w:t xml:space="preserve"> </w:t>
            </w:r>
            <w:r w:rsidRPr="00150EDC">
              <w:rPr>
                <w:sz w:val="24"/>
              </w:rPr>
              <w:t>the</w:t>
            </w:r>
            <w:r w:rsidRPr="00150EDC">
              <w:rPr>
                <w:spacing w:val="-6"/>
                <w:sz w:val="24"/>
              </w:rPr>
              <w:t xml:space="preserve"> </w:t>
            </w:r>
            <w:r w:rsidRPr="00150EDC">
              <w:rPr>
                <w:spacing w:val="-2"/>
                <w:sz w:val="24"/>
              </w:rPr>
              <w:t>Supplier;</w:t>
            </w:r>
          </w:p>
        </w:tc>
      </w:tr>
      <w:tr w:rsidR="007D3144" w:rsidRPr="007D3144" w14:paraId="6D52EE4B" w14:textId="77777777">
        <w:trPr>
          <w:trHeight w:val="672"/>
        </w:trPr>
        <w:tc>
          <w:tcPr>
            <w:tcW w:w="2264" w:type="dxa"/>
          </w:tcPr>
          <w:p w14:paraId="09585D1D" w14:textId="77777777" w:rsidR="004C7180" w:rsidRPr="00150EDC" w:rsidRDefault="00CF0754">
            <w:pPr>
              <w:pStyle w:val="TableParagraph"/>
              <w:spacing w:before="0" w:line="240" w:lineRule="auto"/>
              <w:ind w:left="-1"/>
              <w:rPr>
                <w:b/>
                <w:sz w:val="24"/>
              </w:rPr>
            </w:pPr>
            <w:r w:rsidRPr="00150EDC">
              <w:rPr>
                <w:b/>
                <w:sz w:val="24"/>
              </w:rPr>
              <w:t xml:space="preserve">"Self Audit </w:t>
            </w:r>
            <w:r w:rsidRPr="00150EDC">
              <w:rPr>
                <w:b/>
                <w:spacing w:val="-2"/>
                <w:sz w:val="24"/>
              </w:rPr>
              <w:t>Certificate"</w:t>
            </w:r>
          </w:p>
        </w:tc>
        <w:tc>
          <w:tcPr>
            <w:tcW w:w="7484" w:type="dxa"/>
          </w:tcPr>
          <w:p w14:paraId="1DF8D011" w14:textId="77777777" w:rsidR="004C7180" w:rsidRPr="00150EDC" w:rsidRDefault="00CF0754">
            <w:pPr>
              <w:pStyle w:val="TableParagraph"/>
              <w:spacing w:before="0" w:line="240" w:lineRule="auto"/>
              <w:ind w:left="277"/>
              <w:rPr>
                <w:sz w:val="24"/>
              </w:rPr>
            </w:pPr>
            <w:r w:rsidRPr="00150EDC">
              <w:rPr>
                <w:sz w:val="24"/>
              </w:rPr>
              <w:t>means</w:t>
            </w:r>
            <w:r w:rsidRPr="00150EDC">
              <w:rPr>
                <w:spacing w:val="-8"/>
                <w:sz w:val="24"/>
              </w:rPr>
              <w:t xml:space="preserve"> </w:t>
            </w:r>
            <w:r w:rsidRPr="00150EDC">
              <w:rPr>
                <w:sz w:val="24"/>
              </w:rPr>
              <w:t>the</w:t>
            </w:r>
            <w:r w:rsidRPr="00150EDC">
              <w:rPr>
                <w:spacing w:val="-7"/>
                <w:sz w:val="24"/>
              </w:rPr>
              <w:t xml:space="preserve"> </w:t>
            </w:r>
            <w:r w:rsidRPr="00150EDC">
              <w:rPr>
                <w:sz w:val="24"/>
              </w:rPr>
              <w:t>certificate</w:t>
            </w:r>
            <w:r w:rsidRPr="00150EDC">
              <w:rPr>
                <w:spacing w:val="-6"/>
                <w:sz w:val="24"/>
              </w:rPr>
              <w:t xml:space="preserve"> </w:t>
            </w:r>
            <w:r w:rsidRPr="00150EDC">
              <w:rPr>
                <w:sz w:val="24"/>
              </w:rPr>
              <w:t>in</w:t>
            </w:r>
            <w:r w:rsidRPr="00150EDC">
              <w:rPr>
                <w:spacing w:val="-10"/>
                <w:sz w:val="24"/>
              </w:rPr>
              <w:t xml:space="preserve"> </w:t>
            </w:r>
            <w:r w:rsidRPr="00150EDC">
              <w:rPr>
                <w:sz w:val="24"/>
              </w:rPr>
              <w:t>the</w:t>
            </w:r>
            <w:r w:rsidRPr="00150EDC">
              <w:rPr>
                <w:spacing w:val="-9"/>
                <w:sz w:val="24"/>
              </w:rPr>
              <w:t xml:space="preserve"> </w:t>
            </w:r>
            <w:r w:rsidRPr="00150EDC">
              <w:rPr>
                <w:sz w:val="24"/>
              </w:rPr>
              <w:t>form</w:t>
            </w:r>
            <w:r w:rsidRPr="00150EDC">
              <w:rPr>
                <w:spacing w:val="-6"/>
                <w:sz w:val="24"/>
              </w:rPr>
              <w:t xml:space="preserve"> </w:t>
            </w:r>
            <w:r w:rsidRPr="00150EDC">
              <w:rPr>
                <w:sz w:val="24"/>
              </w:rPr>
              <w:t>as</w:t>
            </w:r>
            <w:r w:rsidRPr="00150EDC">
              <w:rPr>
                <w:spacing w:val="-10"/>
                <w:sz w:val="24"/>
              </w:rPr>
              <w:t xml:space="preserve"> </w:t>
            </w:r>
            <w:r w:rsidRPr="00150EDC">
              <w:rPr>
                <w:sz w:val="24"/>
              </w:rPr>
              <w:t>set</w:t>
            </w:r>
            <w:r w:rsidRPr="00150EDC">
              <w:rPr>
                <w:spacing w:val="-10"/>
                <w:sz w:val="24"/>
              </w:rPr>
              <w:t xml:space="preserve"> </w:t>
            </w:r>
            <w:r w:rsidRPr="00150EDC">
              <w:rPr>
                <w:sz w:val="24"/>
              </w:rPr>
              <w:t>out</w:t>
            </w:r>
            <w:r w:rsidRPr="00150EDC">
              <w:rPr>
                <w:spacing w:val="-10"/>
                <w:sz w:val="24"/>
              </w:rPr>
              <w:t xml:space="preserve"> </w:t>
            </w:r>
            <w:r w:rsidRPr="00150EDC">
              <w:rPr>
                <w:sz w:val="24"/>
              </w:rPr>
              <w:t>in</w:t>
            </w:r>
            <w:r w:rsidRPr="00150EDC">
              <w:rPr>
                <w:spacing w:val="-10"/>
                <w:sz w:val="24"/>
              </w:rPr>
              <w:t xml:space="preserve"> </w:t>
            </w:r>
            <w:r w:rsidRPr="00150EDC">
              <w:rPr>
                <w:sz w:val="24"/>
              </w:rPr>
              <w:t>DPS</w:t>
            </w:r>
            <w:r w:rsidRPr="00150EDC">
              <w:rPr>
                <w:spacing w:val="-7"/>
                <w:sz w:val="24"/>
              </w:rPr>
              <w:t xml:space="preserve"> </w:t>
            </w:r>
            <w:r w:rsidRPr="00150EDC">
              <w:rPr>
                <w:sz w:val="24"/>
              </w:rPr>
              <w:t>Schedule</w:t>
            </w:r>
            <w:r w:rsidRPr="00150EDC">
              <w:rPr>
                <w:spacing w:val="-7"/>
                <w:sz w:val="24"/>
              </w:rPr>
              <w:t xml:space="preserve"> </w:t>
            </w:r>
            <w:r w:rsidRPr="00150EDC">
              <w:rPr>
                <w:sz w:val="24"/>
              </w:rPr>
              <w:t>8</w:t>
            </w:r>
            <w:r w:rsidRPr="00150EDC">
              <w:rPr>
                <w:spacing w:val="-9"/>
                <w:sz w:val="24"/>
              </w:rPr>
              <w:t xml:space="preserve"> </w:t>
            </w:r>
            <w:r w:rsidRPr="00150EDC">
              <w:rPr>
                <w:sz w:val="24"/>
              </w:rPr>
              <w:t>(Self Audit Certificate);</w:t>
            </w:r>
          </w:p>
        </w:tc>
      </w:tr>
      <w:tr w:rsidR="007D3144" w:rsidRPr="007D3144" w14:paraId="6A99C4A9" w14:textId="77777777">
        <w:trPr>
          <w:trHeight w:val="671"/>
        </w:trPr>
        <w:tc>
          <w:tcPr>
            <w:tcW w:w="2264" w:type="dxa"/>
          </w:tcPr>
          <w:p w14:paraId="218CB673" w14:textId="77777777" w:rsidR="004C7180" w:rsidRPr="00150EDC" w:rsidRDefault="00CF0754">
            <w:pPr>
              <w:pStyle w:val="TableParagraph"/>
              <w:spacing w:before="0" w:line="240" w:lineRule="auto"/>
              <w:ind w:left="-1" w:right="148"/>
              <w:rPr>
                <w:b/>
                <w:sz w:val="24"/>
              </w:rPr>
            </w:pPr>
            <w:r w:rsidRPr="00150EDC">
              <w:rPr>
                <w:b/>
                <w:sz w:val="24"/>
              </w:rPr>
              <w:t>"Serious</w:t>
            </w:r>
            <w:r w:rsidRPr="00150EDC">
              <w:rPr>
                <w:b/>
                <w:spacing w:val="-17"/>
                <w:sz w:val="24"/>
              </w:rPr>
              <w:t xml:space="preserve"> </w:t>
            </w:r>
            <w:r w:rsidRPr="00150EDC">
              <w:rPr>
                <w:b/>
                <w:sz w:val="24"/>
              </w:rPr>
              <w:t xml:space="preserve">Fraud </w:t>
            </w:r>
            <w:r w:rsidRPr="00150EDC">
              <w:rPr>
                <w:b/>
                <w:spacing w:val="-2"/>
                <w:sz w:val="24"/>
              </w:rPr>
              <w:t>Office"</w:t>
            </w:r>
          </w:p>
        </w:tc>
        <w:tc>
          <w:tcPr>
            <w:tcW w:w="7484" w:type="dxa"/>
          </w:tcPr>
          <w:p w14:paraId="2E400F5A" w14:textId="77777777" w:rsidR="004C7180" w:rsidRPr="00150EDC" w:rsidRDefault="00CF0754">
            <w:pPr>
              <w:pStyle w:val="TableParagraph"/>
              <w:spacing w:before="0" w:line="240" w:lineRule="auto"/>
              <w:ind w:left="277"/>
              <w:rPr>
                <w:sz w:val="24"/>
              </w:rPr>
            </w:pPr>
            <w:r w:rsidRPr="00150EDC">
              <w:rPr>
                <w:sz w:val="24"/>
              </w:rPr>
              <w:t>the UK Government body named as such as may be renamed or replaced by an equivalent body from time to time;</w:t>
            </w:r>
          </w:p>
        </w:tc>
      </w:tr>
      <w:tr w:rsidR="007D3144" w:rsidRPr="007D3144" w14:paraId="422BD619" w14:textId="77777777">
        <w:trPr>
          <w:trHeight w:val="1223"/>
        </w:trPr>
        <w:tc>
          <w:tcPr>
            <w:tcW w:w="2264" w:type="dxa"/>
          </w:tcPr>
          <w:p w14:paraId="281A86D9" w14:textId="77777777" w:rsidR="004C7180" w:rsidRPr="00150EDC" w:rsidRDefault="00CF0754">
            <w:pPr>
              <w:pStyle w:val="TableParagraph"/>
              <w:spacing w:before="0" w:line="240" w:lineRule="auto"/>
              <w:ind w:left="-1"/>
              <w:rPr>
                <w:b/>
                <w:sz w:val="24"/>
              </w:rPr>
            </w:pPr>
            <w:r w:rsidRPr="00150EDC">
              <w:rPr>
                <w:b/>
                <w:sz w:val="24"/>
              </w:rPr>
              <w:t>“Service</w:t>
            </w:r>
            <w:r w:rsidRPr="00150EDC">
              <w:rPr>
                <w:b/>
                <w:spacing w:val="-3"/>
                <w:sz w:val="24"/>
              </w:rPr>
              <w:t xml:space="preserve"> </w:t>
            </w:r>
            <w:r w:rsidRPr="00150EDC">
              <w:rPr>
                <w:b/>
                <w:spacing w:val="-2"/>
                <w:sz w:val="24"/>
              </w:rPr>
              <w:t>Levels”</w:t>
            </w:r>
          </w:p>
        </w:tc>
        <w:tc>
          <w:tcPr>
            <w:tcW w:w="7484" w:type="dxa"/>
          </w:tcPr>
          <w:p w14:paraId="1CB40B8D" w14:textId="77777777" w:rsidR="004C7180" w:rsidRPr="00150EDC" w:rsidRDefault="00CF0754">
            <w:pPr>
              <w:pStyle w:val="TableParagraph"/>
              <w:spacing w:before="0" w:line="240" w:lineRule="auto"/>
              <w:ind w:left="277" w:right="94"/>
              <w:jc w:val="both"/>
              <w:rPr>
                <w:sz w:val="24"/>
              </w:rPr>
            </w:pPr>
            <w:r w:rsidRPr="00150EDC">
              <w:rPr>
                <w:sz w:val="24"/>
              </w:rPr>
              <w:t xml:space="preserve">any service levels applicable to the provision of the Deliverables </w:t>
            </w:r>
            <w:r w:rsidRPr="00150EDC">
              <w:rPr>
                <w:spacing w:val="-2"/>
                <w:sz w:val="24"/>
              </w:rPr>
              <w:t>under</w:t>
            </w:r>
            <w:r w:rsidRPr="00150EDC">
              <w:rPr>
                <w:spacing w:val="-9"/>
                <w:sz w:val="24"/>
              </w:rPr>
              <w:t xml:space="preserve"> </w:t>
            </w:r>
            <w:r w:rsidRPr="00150EDC">
              <w:rPr>
                <w:spacing w:val="-2"/>
                <w:sz w:val="24"/>
              </w:rPr>
              <w:t>the</w:t>
            </w:r>
            <w:r w:rsidRPr="00150EDC">
              <w:rPr>
                <w:spacing w:val="-8"/>
                <w:sz w:val="24"/>
              </w:rPr>
              <w:t xml:space="preserve"> </w:t>
            </w:r>
            <w:r w:rsidRPr="00150EDC">
              <w:rPr>
                <w:spacing w:val="-2"/>
                <w:sz w:val="24"/>
              </w:rPr>
              <w:t>Order</w:t>
            </w:r>
            <w:r w:rsidRPr="00150EDC">
              <w:rPr>
                <w:spacing w:val="-9"/>
                <w:sz w:val="24"/>
              </w:rPr>
              <w:t xml:space="preserve"> </w:t>
            </w:r>
            <w:r w:rsidRPr="00150EDC">
              <w:rPr>
                <w:spacing w:val="-2"/>
                <w:sz w:val="24"/>
              </w:rPr>
              <w:t>Contract</w:t>
            </w:r>
            <w:r w:rsidRPr="00150EDC">
              <w:rPr>
                <w:spacing w:val="-8"/>
                <w:sz w:val="24"/>
              </w:rPr>
              <w:t xml:space="preserve"> </w:t>
            </w:r>
            <w:r w:rsidRPr="00150EDC">
              <w:rPr>
                <w:spacing w:val="-2"/>
                <w:sz w:val="24"/>
              </w:rPr>
              <w:t>(which,</w:t>
            </w:r>
            <w:r w:rsidRPr="00150EDC">
              <w:rPr>
                <w:spacing w:val="-8"/>
                <w:sz w:val="24"/>
              </w:rPr>
              <w:t xml:space="preserve"> </w:t>
            </w:r>
            <w:r w:rsidRPr="00150EDC">
              <w:rPr>
                <w:spacing w:val="-2"/>
                <w:sz w:val="24"/>
              </w:rPr>
              <w:t>where</w:t>
            </w:r>
            <w:r w:rsidRPr="00150EDC">
              <w:rPr>
                <w:spacing w:val="-9"/>
                <w:sz w:val="24"/>
              </w:rPr>
              <w:t xml:space="preserve"> </w:t>
            </w:r>
            <w:r w:rsidRPr="00150EDC">
              <w:rPr>
                <w:spacing w:val="-2"/>
                <w:sz w:val="24"/>
              </w:rPr>
              <w:t>Order</w:t>
            </w:r>
            <w:r w:rsidRPr="00150EDC">
              <w:rPr>
                <w:spacing w:val="-9"/>
                <w:sz w:val="24"/>
              </w:rPr>
              <w:t xml:space="preserve"> </w:t>
            </w:r>
            <w:r w:rsidRPr="00150EDC">
              <w:rPr>
                <w:spacing w:val="-2"/>
                <w:sz w:val="24"/>
              </w:rPr>
              <w:t>Schedule</w:t>
            </w:r>
            <w:r w:rsidRPr="00150EDC">
              <w:rPr>
                <w:spacing w:val="-8"/>
                <w:sz w:val="24"/>
              </w:rPr>
              <w:t xml:space="preserve"> </w:t>
            </w:r>
            <w:r w:rsidRPr="00150EDC">
              <w:rPr>
                <w:spacing w:val="-2"/>
                <w:sz w:val="24"/>
              </w:rPr>
              <w:t>14</w:t>
            </w:r>
            <w:r w:rsidRPr="00150EDC">
              <w:rPr>
                <w:spacing w:val="-8"/>
                <w:sz w:val="24"/>
              </w:rPr>
              <w:t xml:space="preserve"> </w:t>
            </w:r>
            <w:r w:rsidRPr="00150EDC">
              <w:rPr>
                <w:spacing w:val="-2"/>
                <w:sz w:val="24"/>
              </w:rPr>
              <w:t xml:space="preserve">(Service </w:t>
            </w:r>
            <w:r w:rsidRPr="00150EDC">
              <w:rPr>
                <w:sz w:val="24"/>
              </w:rPr>
              <w:t>Levels)</w:t>
            </w:r>
            <w:r w:rsidRPr="00150EDC">
              <w:rPr>
                <w:spacing w:val="-9"/>
                <w:sz w:val="24"/>
              </w:rPr>
              <w:t xml:space="preserve"> </w:t>
            </w:r>
            <w:r w:rsidRPr="00150EDC">
              <w:rPr>
                <w:sz w:val="24"/>
              </w:rPr>
              <w:t>is</w:t>
            </w:r>
            <w:r w:rsidRPr="00150EDC">
              <w:rPr>
                <w:spacing w:val="-8"/>
                <w:sz w:val="24"/>
              </w:rPr>
              <w:t xml:space="preserve"> </w:t>
            </w:r>
            <w:r w:rsidRPr="00150EDC">
              <w:rPr>
                <w:sz w:val="24"/>
              </w:rPr>
              <w:t>used</w:t>
            </w:r>
            <w:r w:rsidRPr="00150EDC">
              <w:rPr>
                <w:spacing w:val="-7"/>
                <w:sz w:val="24"/>
              </w:rPr>
              <w:t xml:space="preserve"> </w:t>
            </w:r>
            <w:r w:rsidRPr="00150EDC">
              <w:rPr>
                <w:sz w:val="24"/>
              </w:rPr>
              <w:t>in</w:t>
            </w:r>
            <w:r w:rsidRPr="00150EDC">
              <w:rPr>
                <w:spacing w:val="-7"/>
                <w:sz w:val="24"/>
              </w:rPr>
              <w:t xml:space="preserve"> </w:t>
            </w:r>
            <w:r w:rsidRPr="00150EDC">
              <w:rPr>
                <w:sz w:val="24"/>
              </w:rPr>
              <w:t>this</w:t>
            </w:r>
            <w:r w:rsidRPr="00150EDC">
              <w:rPr>
                <w:spacing w:val="-10"/>
                <w:sz w:val="24"/>
              </w:rPr>
              <w:t xml:space="preserve"> </w:t>
            </w:r>
            <w:r w:rsidRPr="00150EDC">
              <w:rPr>
                <w:sz w:val="24"/>
              </w:rPr>
              <w:t>Contract,</w:t>
            </w:r>
            <w:r w:rsidRPr="00150EDC">
              <w:rPr>
                <w:spacing w:val="-9"/>
                <w:sz w:val="24"/>
              </w:rPr>
              <w:t xml:space="preserve"> </w:t>
            </w:r>
            <w:r w:rsidRPr="00150EDC">
              <w:rPr>
                <w:sz w:val="24"/>
              </w:rPr>
              <w:t>are</w:t>
            </w:r>
            <w:r w:rsidRPr="00150EDC">
              <w:rPr>
                <w:spacing w:val="-8"/>
                <w:sz w:val="24"/>
              </w:rPr>
              <w:t xml:space="preserve"> </w:t>
            </w:r>
            <w:r w:rsidRPr="00150EDC">
              <w:rPr>
                <w:sz w:val="24"/>
              </w:rPr>
              <w:t>specified</w:t>
            </w:r>
            <w:r w:rsidRPr="00150EDC">
              <w:rPr>
                <w:spacing w:val="-9"/>
                <w:sz w:val="24"/>
              </w:rPr>
              <w:t xml:space="preserve"> </w:t>
            </w:r>
            <w:r w:rsidRPr="00150EDC">
              <w:rPr>
                <w:sz w:val="24"/>
              </w:rPr>
              <w:t>in</w:t>
            </w:r>
            <w:r w:rsidRPr="00150EDC">
              <w:rPr>
                <w:spacing w:val="-7"/>
                <w:sz w:val="24"/>
              </w:rPr>
              <w:t xml:space="preserve"> </w:t>
            </w:r>
            <w:r w:rsidRPr="00150EDC">
              <w:rPr>
                <w:sz w:val="24"/>
              </w:rPr>
              <w:t>the</w:t>
            </w:r>
            <w:r w:rsidRPr="00150EDC">
              <w:rPr>
                <w:spacing w:val="-9"/>
                <w:sz w:val="24"/>
              </w:rPr>
              <w:t xml:space="preserve"> </w:t>
            </w:r>
            <w:r w:rsidRPr="00150EDC">
              <w:rPr>
                <w:sz w:val="24"/>
              </w:rPr>
              <w:t>Annex</w:t>
            </w:r>
            <w:r w:rsidRPr="00150EDC">
              <w:rPr>
                <w:spacing w:val="-10"/>
                <w:sz w:val="24"/>
              </w:rPr>
              <w:t xml:space="preserve"> </w:t>
            </w:r>
            <w:r w:rsidRPr="00150EDC">
              <w:rPr>
                <w:sz w:val="24"/>
              </w:rPr>
              <w:t>to</w:t>
            </w:r>
            <w:r w:rsidRPr="00150EDC">
              <w:rPr>
                <w:spacing w:val="-9"/>
                <w:sz w:val="24"/>
              </w:rPr>
              <w:t xml:space="preserve"> </w:t>
            </w:r>
            <w:r w:rsidRPr="00150EDC">
              <w:rPr>
                <w:sz w:val="24"/>
              </w:rPr>
              <w:t>Part</w:t>
            </w:r>
            <w:r w:rsidRPr="00150EDC">
              <w:rPr>
                <w:spacing w:val="-10"/>
                <w:sz w:val="24"/>
              </w:rPr>
              <w:t xml:space="preserve"> </w:t>
            </w:r>
            <w:r w:rsidRPr="00150EDC">
              <w:rPr>
                <w:sz w:val="24"/>
              </w:rPr>
              <w:t>A of such Schedule);</w:t>
            </w:r>
          </w:p>
        </w:tc>
      </w:tr>
      <w:tr w:rsidR="007D3144" w:rsidRPr="007D3144" w14:paraId="287F3C96" w14:textId="77777777">
        <w:trPr>
          <w:trHeight w:val="395"/>
        </w:trPr>
        <w:tc>
          <w:tcPr>
            <w:tcW w:w="2264" w:type="dxa"/>
          </w:tcPr>
          <w:p w14:paraId="26C14790" w14:textId="77777777" w:rsidR="004C7180" w:rsidRPr="00150EDC" w:rsidRDefault="00CF0754">
            <w:pPr>
              <w:pStyle w:val="TableParagraph"/>
              <w:spacing w:before="0" w:line="240" w:lineRule="auto"/>
              <w:ind w:left="-1"/>
              <w:rPr>
                <w:b/>
                <w:sz w:val="24"/>
              </w:rPr>
            </w:pPr>
            <w:r w:rsidRPr="00150EDC">
              <w:rPr>
                <w:b/>
                <w:sz w:val="24"/>
              </w:rPr>
              <w:t>"Service</w:t>
            </w:r>
            <w:r w:rsidRPr="00150EDC">
              <w:rPr>
                <w:b/>
                <w:spacing w:val="-6"/>
                <w:sz w:val="24"/>
              </w:rPr>
              <w:t xml:space="preserve"> </w:t>
            </w:r>
            <w:r w:rsidRPr="00150EDC">
              <w:rPr>
                <w:b/>
                <w:spacing w:val="-2"/>
                <w:sz w:val="24"/>
              </w:rPr>
              <w:t>Period"</w:t>
            </w:r>
          </w:p>
        </w:tc>
        <w:tc>
          <w:tcPr>
            <w:tcW w:w="7484" w:type="dxa"/>
          </w:tcPr>
          <w:p w14:paraId="5FE327EB" w14:textId="77777777" w:rsidR="004C7180" w:rsidRPr="00150EDC" w:rsidRDefault="00CF0754">
            <w:pPr>
              <w:pStyle w:val="TableParagraph"/>
              <w:spacing w:before="0" w:line="240" w:lineRule="auto"/>
              <w:ind w:left="277"/>
              <w:rPr>
                <w:sz w:val="24"/>
              </w:rPr>
            </w:pPr>
            <w:r w:rsidRPr="00150EDC">
              <w:rPr>
                <w:sz w:val="24"/>
              </w:rPr>
              <w:t>has</w:t>
            </w:r>
            <w:r w:rsidRPr="00150EDC">
              <w:rPr>
                <w:spacing w:val="-2"/>
                <w:sz w:val="24"/>
              </w:rPr>
              <w:t xml:space="preserve"> </w:t>
            </w:r>
            <w:r w:rsidRPr="00150EDC">
              <w:rPr>
                <w:sz w:val="24"/>
              </w:rPr>
              <w:t>the</w:t>
            </w:r>
            <w:r w:rsidRPr="00150EDC">
              <w:rPr>
                <w:spacing w:val="-4"/>
                <w:sz w:val="24"/>
              </w:rPr>
              <w:t xml:space="preserve"> </w:t>
            </w:r>
            <w:r w:rsidRPr="00150EDC">
              <w:rPr>
                <w:sz w:val="24"/>
              </w:rPr>
              <w:t>meaning</w:t>
            </w:r>
            <w:r w:rsidRPr="00150EDC">
              <w:rPr>
                <w:spacing w:val="-1"/>
                <w:sz w:val="24"/>
              </w:rPr>
              <w:t xml:space="preserve"> </w:t>
            </w:r>
            <w:r w:rsidRPr="00150EDC">
              <w:rPr>
                <w:sz w:val="24"/>
              </w:rPr>
              <w:t>given</w:t>
            </w:r>
            <w:r w:rsidRPr="00150EDC">
              <w:rPr>
                <w:spacing w:val="-4"/>
                <w:sz w:val="24"/>
              </w:rPr>
              <w:t xml:space="preserve"> </w:t>
            </w:r>
            <w:r w:rsidRPr="00150EDC">
              <w:rPr>
                <w:sz w:val="24"/>
              </w:rPr>
              <w:t>to</w:t>
            </w:r>
            <w:r w:rsidRPr="00150EDC">
              <w:rPr>
                <w:spacing w:val="-1"/>
                <w:sz w:val="24"/>
              </w:rPr>
              <w:t xml:space="preserve"> </w:t>
            </w:r>
            <w:r w:rsidRPr="00150EDC">
              <w:rPr>
                <w:sz w:val="24"/>
              </w:rPr>
              <w:t>it</w:t>
            </w:r>
            <w:r w:rsidRPr="00150EDC">
              <w:rPr>
                <w:spacing w:val="-2"/>
                <w:sz w:val="24"/>
              </w:rPr>
              <w:t xml:space="preserve"> </w:t>
            </w:r>
            <w:r w:rsidRPr="00150EDC">
              <w:rPr>
                <w:sz w:val="24"/>
              </w:rPr>
              <w:t>in</w:t>
            </w:r>
            <w:r w:rsidRPr="00150EDC">
              <w:rPr>
                <w:spacing w:val="-3"/>
                <w:sz w:val="24"/>
              </w:rPr>
              <w:t xml:space="preserve"> </w:t>
            </w:r>
            <w:r w:rsidRPr="00150EDC">
              <w:rPr>
                <w:sz w:val="24"/>
              </w:rPr>
              <w:t>the</w:t>
            </w:r>
            <w:r w:rsidRPr="00150EDC">
              <w:rPr>
                <w:spacing w:val="-2"/>
                <w:sz w:val="24"/>
              </w:rPr>
              <w:t xml:space="preserve"> </w:t>
            </w:r>
            <w:r w:rsidRPr="00150EDC">
              <w:rPr>
                <w:sz w:val="24"/>
              </w:rPr>
              <w:t>Order</w:t>
            </w:r>
            <w:r w:rsidRPr="00150EDC">
              <w:rPr>
                <w:spacing w:val="-1"/>
                <w:sz w:val="24"/>
              </w:rPr>
              <w:t xml:space="preserve"> </w:t>
            </w:r>
            <w:r w:rsidRPr="00150EDC">
              <w:rPr>
                <w:spacing w:val="-4"/>
                <w:sz w:val="24"/>
              </w:rPr>
              <w:t>Form;</w:t>
            </w:r>
          </w:p>
        </w:tc>
      </w:tr>
      <w:tr w:rsidR="007D3144" w:rsidRPr="007D3144" w14:paraId="40B329AB" w14:textId="77777777">
        <w:trPr>
          <w:trHeight w:val="947"/>
        </w:trPr>
        <w:tc>
          <w:tcPr>
            <w:tcW w:w="2264" w:type="dxa"/>
          </w:tcPr>
          <w:p w14:paraId="344414A5" w14:textId="77777777" w:rsidR="004C7180" w:rsidRPr="00150EDC" w:rsidRDefault="00CF0754">
            <w:pPr>
              <w:pStyle w:val="TableParagraph"/>
              <w:spacing w:before="0" w:line="240" w:lineRule="auto"/>
              <w:ind w:left="-1"/>
              <w:rPr>
                <w:b/>
                <w:sz w:val="24"/>
              </w:rPr>
            </w:pPr>
            <w:r w:rsidRPr="00150EDC">
              <w:rPr>
                <w:b/>
                <w:spacing w:val="-2"/>
                <w:sz w:val="24"/>
              </w:rPr>
              <w:t>"Services"</w:t>
            </w:r>
          </w:p>
        </w:tc>
        <w:tc>
          <w:tcPr>
            <w:tcW w:w="7484" w:type="dxa"/>
          </w:tcPr>
          <w:p w14:paraId="32D8C2BA" w14:textId="77777777" w:rsidR="004C7180" w:rsidRPr="00150EDC" w:rsidRDefault="00CF0754">
            <w:pPr>
              <w:pStyle w:val="TableParagraph"/>
              <w:spacing w:before="0" w:line="240" w:lineRule="auto"/>
              <w:ind w:left="277" w:right="101"/>
              <w:jc w:val="both"/>
              <w:rPr>
                <w:sz w:val="24"/>
              </w:rPr>
            </w:pPr>
            <w:r w:rsidRPr="00150EDC">
              <w:rPr>
                <w:sz w:val="24"/>
              </w:rPr>
              <w:t>services made available by the Supplier as specified in DPS Schedule 1 (Specification) and in relation to an Order Contract as specified in the Order Form;</w:t>
            </w:r>
          </w:p>
        </w:tc>
      </w:tr>
      <w:tr w:rsidR="007D3144" w:rsidRPr="007D3144" w14:paraId="38A18A4B" w14:textId="77777777">
        <w:trPr>
          <w:trHeight w:val="947"/>
        </w:trPr>
        <w:tc>
          <w:tcPr>
            <w:tcW w:w="2264" w:type="dxa"/>
          </w:tcPr>
          <w:p w14:paraId="345265A1" w14:textId="77777777" w:rsidR="004C7180" w:rsidRPr="00150EDC" w:rsidRDefault="00CF0754">
            <w:pPr>
              <w:pStyle w:val="TableParagraph"/>
              <w:spacing w:before="0" w:line="240" w:lineRule="auto"/>
              <w:ind w:left="-1"/>
              <w:rPr>
                <w:b/>
                <w:sz w:val="24"/>
              </w:rPr>
            </w:pPr>
            <w:r w:rsidRPr="00150EDC">
              <w:rPr>
                <w:b/>
                <w:sz w:val="24"/>
              </w:rPr>
              <w:t>"Service</w:t>
            </w:r>
            <w:r w:rsidRPr="00150EDC">
              <w:rPr>
                <w:b/>
                <w:spacing w:val="-8"/>
                <w:sz w:val="24"/>
              </w:rPr>
              <w:t xml:space="preserve"> </w:t>
            </w:r>
            <w:r w:rsidRPr="00150EDC">
              <w:rPr>
                <w:b/>
                <w:spacing w:val="-2"/>
                <w:sz w:val="24"/>
              </w:rPr>
              <w:t>Transfer"</w:t>
            </w:r>
          </w:p>
        </w:tc>
        <w:tc>
          <w:tcPr>
            <w:tcW w:w="7484" w:type="dxa"/>
          </w:tcPr>
          <w:p w14:paraId="5811A987" w14:textId="77777777" w:rsidR="004C7180" w:rsidRPr="00150EDC" w:rsidRDefault="00CF0754">
            <w:pPr>
              <w:pStyle w:val="TableParagraph"/>
              <w:spacing w:before="0" w:line="240" w:lineRule="auto"/>
              <w:ind w:left="277" w:right="98"/>
              <w:jc w:val="both"/>
              <w:rPr>
                <w:sz w:val="24"/>
              </w:rPr>
            </w:pPr>
            <w:r w:rsidRPr="00150EDC">
              <w:rPr>
                <w:sz w:val="24"/>
              </w:rPr>
              <w:t>any</w:t>
            </w:r>
            <w:r w:rsidRPr="00150EDC">
              <w:rPr>
                <w:spacing w:val="-10"/>
                <w:sz w:val="24"/>
              </w:rPr>
              <w:t xml:space="preserve"> </w:t>
            </w:r>
            <w:r w:rsidRPr="00150EDC">
              <w:rPr>
                <w:sz w:val="24"/>
              </w:rPr>
              <w:t>transfer</w:t>
            </w:r>
            <w:r w:rsidRPr="00150EDC">
              <w:rPr>
                <w:spacing w:val="-9"/>
                <w:sz w:val="24"/>
              </w:rPr>
              <w:t xml:space="preserve"> </w:t>
            </w:r>
            <w:r w:rsidRPr="00150EDC">
              <w:rPr>
                <w:sz w:val="24"/>
              </w:rPr>
              <w:t>of</w:t>
            </w:r>
            <w:r w:rsidRPr="00150EDC">
              <w:rPr>
                <w:spacing w:val="-10"/>
                <w:sz w:val="24"/>
              </w:rPr>
              <w:t xml:space="preserve"> </w:t>
            </w:r>
            <w:r w:rsidRPr="00150EDC">
              <w:rPr>
                <w:sz w:val="24"/>
              </w:rPr>
              <w:t>the</w:t>
            </w:r>
            <w:r w:rsidRPr="00150EDC">
              <w:rPr>
                <w:spacing w:val="-9"/>
                <w:sz w:val="24"/>
              </w:rPr>
              <w:t xml:space="preserve"> </w:t>
            </w:r>
            <w:r w:rsidRPr="00150EDC">
              <w:rPr>
                <w:sz w:val="24"/>
              </w:rPr>
              <w:t>Deliverables</w:t>
            </w:r>
            <w:r w:rsidRPr="00150EDC">
              <w:rPr>
                <w:spacing w:val="-10"/>
                <w:sz w:val="24"/>
              </w:rPr>
              <w:t xml:space="preserve"> </w:t>
            </w:r>
            <w:r w:rsidRPr="00150EDC">
              <w:rPr>
                <w:sz w:val="24"/>
              </w:rPr>
              <w:t>(or</w:t>
            </w:r>
            <w:r w:rsidRPr="00150EDC">
              <w:rPr>
                <w:spacing w:val="-11"/>
                <w:sz w:val="24"/>
              </w:rPr>
              <w:t xml:space="preserve"> </w:t>
            </w:r>
            <w:r w:rsidRPr="00150EDC">
              <w:rPr>
                <w:sz w:val="24"/>
              </w:rPr>
              <w:t>any</w:t>
            </w:r>
            <w:r w:rsidRPr="00150EDC">
              <w:rPr>
                <w:spacing w:val="-10"/>
                <w:sz w:val="24"/>
              </w:rPr>
              <w:t xml:space="preserve"> </w:t>
            </w:r>
            <w:r w:rsidRPr="00150EDC">
              <w:rPr>
                <w:sz w:val="24"/>
              </w:rPr>
              <w:t>part</w:t>
            </w:r>
            <w:r w:rsidRPr="00150EDC">
              <w:rPr>
                <w:spacing w:val="-10"/>
                <w:sz w:val="24"/>
              </w:rPr>
              <w:t xml:space="preserve"> </w:t>
            </w:r>
            <w:r w:rsidRPr="00150EDC">
              <w:rPr>
                <w:sz w:val="24"/>
              </w:rPr>
              <w:t>of</w:t>
            </w:r>
            <w:r w:rsidRPr="00150EDC">
              <w:rPr>
                <w:spacing w:val="-10"/>
                <w:sz w:val="24"/>
              </w:rPr>
              <w:t xml:space="preserve"> </w:t>
            </w:r>
            <w:r w:rsidRPr="00150EDC">
              <w:rPr>
                <w:sz w:val="24"/>
              </w:rPr>
              <w:t>the</w:t>
            </w:r>
            <w:r w:rsidRPr="00150EDC">
              <w:rPr>
                <w:spacing w:val="-8"/>
                <w:sz w:val="24"/>
              </w:rPr>
              <w:t xml:space="preserve"> </w:t>
            </w:r>
            <w:r w:rsidRPr="00150EDC">
              <w:rPr>
                <w:sz w:val="24"/>
              </w:rPr>
              <w:t>Deliverables),</w:t>
            </w:r>
            <w:r w:rsidRPr="00150EDC">
              <w:rPr>
                <w:spacing w:val="-10"/>
                <w:sz w:val="24"/>
              </w:rPr>
              <w:t xml:space="preserve"> </w:t>
            </w:r>
            <w:r w:rsidRPr="00150EDC">
              <w:rPr>
                <w:sz w:val="24"/>
              </w:rPr>
              <w:t>for whatever reason, from the Supplier or any Subcontractor to a Replacement Supplier or a Replacement Subcontractor;</w:t>
            </w:r>
          </w:p>
        </w:tc>
      </w:tr>
      <w:tr w:rsidR="007D3144" w:rsidRPr="007D3144" w14:paraId="781BC96B" w14:textId="77777777">
        <w:trPr>
          <w:trHeight w:val="674"/>
        </w:trPr>
        <w:tc>
          <w:tcPr>
            <w:tcW w:w="2264" w:type="dxa"/>
          </w:tcPr>
          <w:p w14:paraId="28432874" w14:textId="77777777" w:rsidR="004C7180" w:rsidRPr="00150EDC" w:rsidRDefault="00CF0754">
            <w:pPr>
              <w:pStyle w:val="TableParagraph"/>
              <w:spacing w:before="2" w:line="240" w:lineRule="auto"/>
              <w:ind w:left="-1"/>
              <w:rPr>
                <w:b/>
                <w:sz w:val="24"/>
              </w:rPr>
            </w:pPr>
            <w:r w:rsidRPr="00150EDC">
              <w:rPr>
                <w:b/>
                <w:sz w:val="24"/>
              </w:rPr>
              <w:t>"Service</w:t>
            </w:r>
            <w:r w:rsidRPr="00150EDC">
              <w:rPr>
                <w:b/>
                <w:spacing w:val="-17"/>
                <w:sz w:val="24"/>
              </w:rPr>
              <w:t xml:space="preserve"> </w:t>
            </w:r>
            <w:r w:rsidRPr="00150EDC">
              <w:rPr>
                <w:b/>
                <w:sz w:val="24"/>
              </w:rPr>
              <w:t xml:space="preserve">Transfer </w:t>
            </w:r>
            <w:r w:rsidRPr="00150EDC">
              <w:rPr>
                <w:b/>
                <w:spacing w:val="-2"/>
                <w:sz w:val="24"/>
              </w:rPr>
              <w:t>Date"</w:t>
            </w:r>
          </w:p>
        </w:tc>
        <w:tc>
          <w:tcPr>
            <w:tcW w:w="7484" w:type="dxa"/>
          </w:tcPr>
          <w:p w14:paraId="3373AF60" w14:textId="77777777" w:rsidR="004C7180" w:rsidRPr="00150EDC" w:rsidRDefault="00CF0754">
            <w:pPr>
              <w:pStyle w:val="TableParagraph"/>
              <w:spacing w:before="2" w:line="240" w:lineRule="auto"/>
              <w:ind w:left="277"/>
              <w:rPr>
                <w:sz w:val="24"/>
              </w:rPr>
            </w:pPr>
            <w:r w:rsidRPr="00150EDC">
              <w:rPr>
                <w:sz w:val="24"/>
              </w:rPr>
              <w:t>the</w:t>
            </w:r>
            <w:r w:rsidRPr="00150EDC">
              <w:rPr>
                <w:spacing w:val="-4"/>
                <w:sz w:val="24"/>
              </w:rPr>
              <w:t xml:space="preserve"> </w:t>
            </w:r>
            <w:r w:rsidRPr="00150EDC">
              <w:rPr>
                <w:sz w:val="24"/>
              </w:rPr>
              <w:t>date</w:t>
            </w:r>
            <w:r w:rsidRPr="00150EDC">
              <w:rPr>
                <w:spacing w:val="-2"/>
                <w:sz w:val="24"/>
              </w:rPr>
              <w:t xml:space="preserve"> </w:t>
            </w:r>
            <w:r w:rsidRPr="00150EDC">
              <w:rPr>
                <w:sz w:val="24"/>
              </w:rPr>
              <w:t>of</w:t>
            </w:r>
            <w:r w:rsidRPr="00150EDC">
              <w:rPr>
                <w:spacing w:val="-3"/>
                <w:sz w:val="24"/>
              </w:rPr>
              <w:t xml:space="preserve"> </w:t>
            </w:r>
            <w:r w:rsidRPr="00150EDC">
              <w:rPr>
                <w:sz w:val="24"/>
              </w:rPr>
              <w:t>a</w:t>
            </w:r>
            <w:r w:rsidRPr="00150EDC">
              <w:rPr>
                <w:spacing w:val="-1"/>
                <w:sz w:val="24"/>
              </w:rPr>
              <w:t xml:space="preserve"> </w:t>
            </w:r>
            <w:r w:rsidRPr="00150EDC">
              <w:rPr>
                <w:sz w:val="24"/>
              </w:rPr>
              <w:t>Service</w:t>
            </w:r>
            <w:r w:rsidRPr="00150EDC">
              <w:rPr>
                <w:spacing w:val="-1"/>
                <w:sz w:val="24"/>
              </w:rPr>
              <w:t xml:space="preserve"> </w:t>
            </w:r>
            <w:r w:rsidRPr="00150EDC">
              <w:rPr>
                <w:spacing w:val="-2"/>
                <w:sz w:val="24"/>
              </w:rPr>
              <w:t>Transfer;</w:t>
            </w:r>
          </w:p>
        </w:tc>
      </w:tr>
      <w:tr w:rsidR="007D3144" w:rsidRPr="007D3144" w14:paraId="661251AF" w14:textId="77777777">
        <w:trPr>
          <w:trHeight w:val="1739"/>
        </w:trPr>
        <w:tc>
          <w:tcPr>
            <w:tcW w:w="2264" w:type="dxa"/>
          </w:tcPr>
          <w:p w14:paraId="5D0AFC04" w14:textId="77777777" w:rsidR="004C7180" w:rsidRPr="00150EDC" w:rsidRDefault="00CF0754">
            <w:pPr>
              <w:pStyle w:val="TableParagraph"/>
              <w:spacing w:before="0" w:line="240" w:lineRule="auto"/>
              <w:ind w:left="-1"/>
              <w:rPr>
                <w:b/>
                <w:sz w:val="24"/>
              </w:rPr>
            </w:pPr>
            <w:r w:rsidRPr="00150EDC">
              <w:rPr>
                <w:b/>
                <w:spacing w:val="-2"/>
                <w:sz w:val="24"/>
              </w:rPr>
              <w:t>"Sites"</w:t>
            </w:r>
          </w:p>
        </w:tc>
        <w:tc>
          <w:tcPr>
            <w:tcW w:w="7484" w:type="dxa"/>
          </w:tcPr>
          <w:p w14:paraId="0972FFE5" w14:textId="77777777" w:rsidR="004C7180" w:rsidRPr="00150EDC" w:rsidRDefault="00CF0754">
            <w:pPr>
              <w:pStyle w:val="TableParagraph"/>
              <w:spacing w:before="0" w:line="240" w:lineRule="auto"/>
              <w:ind w:left="277"/>
              <w:rPr>
                <w:sz w:val="24"/>
              </w:rPr>
            </w:pPr>
            <w:r w:rsidRPr="00150EDC">
              <w:rPr>
                <w:sz w:val="24"/>
              </w:rPr>
              <w:t>any</w:t>
            </w:r>
            <w:r w:rsidRPr="00150EDC">
              <w:rPr>
                <w:spacing w:val="80"/>
                <w:sz w:val="24"/>
              </w:rPr>
              <w:t xml:space="preserve"> </w:t>
            </w:r>
            <w:r w:rsidRPr="00150EDC">
              <w:rPr>
                <w:sz w:val="24"/>
              </w:rPr>
              <w:t>premises</w:t>
            </w:r>
            <w:r w:rsidRPr="00150EDC">
              <w:rPr>
                <w:spacing w:val="80"/>
                <w:sz w:val="24"/>
              </w:rPr>
              <w:t xml:space="preserve"> </w:t>
            </w:r>
            <w:r w:rsidRPr="00150EDC">
              <w:rPr>
                <w:sz w:val="24"/>
              </w:rPr>
              <w:t>(including</w:t>
            </w:r>
            <w:r w:rsidRPr="00150EDC">
              <w:rPr>
                <w:spacing w:val="80"/>
                <w:sz w:val="24"/>
              </w:rPr>
              <w:t xml:space="preserve"> </w:t>
            </w:r>
            <w:r w:rsidRPr="00150EDC">
              <w:rPr>
                <w:sz w:val="24"/>
              </w:rPr>
              <w:t>the</w:t>
            </w:r>
            <w:r w:rsidRPr="00150EDC">
              <w:rPr>
                <w:spacing w:val="80"/>
                <w:sz w:val="24"/>
              </w:rPr>
              <w:t xml:space="preserve"> </w:t>
            </w:r>
            <w:r w:rsidRPr="00150EDC">
              <w:rPr>
                <w:sz w:val="24"/>
              </w:rPr>
              <w:t>Buyer</w:t>
            </w:r>
            <w:r w:rsidRPr="00150EDC">
              <w:rPr>
                <w:spacing w:val="80"/>
                <w:sz w:val="24"/>
              </w:rPr>
              <w:t xml:space="preserve"> </w:t>
            </w:r>
            <w:r w:rsidRPr="00150EDC">
              <w:rPr>
                <w:sz w:val="24"/>
              </w:rPr>
              <w:t>Premises,</w:t>
            </w:r>
            <w:r w:rsidRPr="00150EDC">
              <w:rPr>
                <w:spacing w:val="80"/>
                <w:sz w:val="24"/>
              </w:rPr>
              <w:t xml:space="preserve"> </w:t>
            </w:r>
            <w:r w:rsidRPr="00150EDC">
              <w:rPr>
                <w:sz w:val="24"/>
              </w:rPr>
              <w:t>the</w:t>
            </w:r>
            <w:r w:rsidRPr="00150EDC">
              <w:rPr>
                <w:spacing w:val="80"/>
                <w:sz w:val="24"/>
              </w:rPr>
              <w:t xml:space="preserve"> </w:t>
            </w:r>
            <w:r w:rsidRPr="00150EDC">
              <w:rPr>
                <w:sz w:val="24"/>
              </w:rPr>
              <w:t>Supplier’s</w:t>
            </w:r>
            <w:r w:rsidRPr="00150EDC">
              <w:rPr>
                <w:spacing w:val="40"/>
                <w:sz w:val="24"/>
              </w:rPr>
              <w:t xml:space="preserve"> </w:t>
            </w:r>
            <w:r w:rsidRPr="00150EDC">
              <w:rPr>
                <w:sz w:val="24"/>
              </w:rPr>
              <w:t>premises or third party premises) from, to or at which:</w:t>
            </w:r>
          </w:p>
          <w:p w14:paraId="1BCFB0E3" w14:textId="77777777" w:rsidR="004C7180" w:rsidRPr="00150EDC" w:rsidRDefault="00CF0754" w:rsidP="00B320C7">
            <w:pPr>
              <w:pStyle w:val="TableParagraph"/>
              <w:numPr>
                <w:ilvl w:val="0"/>
                <w:numId w:val="106"/>
              </w:numPr>
              <w:tabs>
                <w:tab w:val="left" w:pos="681"/>
              </w:tabs>
              <w:spacing w:before="120" w:line="240" w:lineRule="auto"/>
              <w:ind w:left="681" w:hanging="430"/>
              <w:rPr>
                <w:sz w:val="24"/>
              </w:rPr>
            </w:pPr>
            <w:r w:rsidRPr="00150EDC">
              <w:rPr>
                <w:sz w:val="24"/>
              </w:rPr>
              <w:t>the</w:t>
            </w:r>
            <w:r w:rsidRPr="00150EDC">
              <w:rPr>
                <w:spacing w:val="-5"/>
                <w:sz w:val="24"/>
              </w:rPr>
              <w:t xml:space="preserve"> </w:t>
            </w:r>
            <w:r w:rsidRPr="00150EDC">
              <w:rPr>
                <w:sz w:val="24"/>
              </w:rPr>
              <w:t>Deliverables</w:t>
            </w:r>
            <w:r w:rsidRPr="00150EDC">
              <w:rPr>
                <w:spacing w:val="-4"/>
                <w:sz w:val="24"/>
              </w:rPr>
              <w:t xml:space="preserve"> </w:t>
            </w:r>
            <w:r w:rsidRPr="00150EDC">
              <w:rPr>
                <w:sz w:val="24"/>
              </w:rPr>
              <w:t>are</w:t>
            </w:r>
            <w:r w:rsidRPr="00150EDC">
              <w:rPr>
                <w:spacing w:val="-3"/>
                <w:sz w:val="24"/>
              </w:rPr>
              <w:t xml:space="preserve"> </w:t>
            </w:r>
            <w:r w:rsidRPr="00150EDC">
              <w:rPr>
                <w:sz w:val="24"/>
              </w:rPr>
              <w:t>(or</w:t>
            </w:r>
            <w:r w:rsidRPr="00150EDC">
              <w:rPr>
                <w:spacing w:val="-4"/>
                <w:sz w:val="24"/>
              </w:rPr>
              <w:t xml:space="preserve"> </w:t>
            </w:r>
            <w:r w:rsidRPr="00150EDC">
              <w:rPr>
                <w:sz w:val="24"/>
              </w:rPr>
              <w:t>are</w:t>
            </w:r>
            <w:r w:rsidRPr="00150EDC">
              <w:rPr>
                <w:spacing w:val="-4"/>
                <w:sz w:val="24"/>
              </w:rPr>
              <w:t xml:space="preserve"> </w:t>
            </w:r>
            <w:r w:rsidRPr="00150EDC">
              <w:rPr>
                <w:sz w:val="24"/>
              </w:rPr>
              <w:t>to</w:t>
            </w:r>
            <w:r w:rsidRPr="00150EDC">
              <w:rPr>
                <w:spacing w:val="-5"/>
                <w:sz w:val="24"/>
              </w:rPr>
              <w:t xml:space="preserve"> </w:t>
            </w:r>
            <w:r w:rsidRPr="00150EDC">
              <w:rPr>
                <w:sz w:val="24"/>
              </w:rPr>
              <w:t>be)</w:t>
            </w:r>
            <w:r w:rsidRPr="00150EDC">
              <w:rPr>
                <w:spacing w:val="-4"/>
                <w:sz w:val="24"/>
              </w:rPr>
              <w:t xml:space="preserve"> </w:t>
            </w:r>
            <w:r w:rsidRPr="00150EDC">
              <w:rPr>
                <w:sz w:val="24"/>
              </w:rPr>
              <w:t>provided;</w:t>
            </w:r>
            <w:r w:rsidRPr="00150EDC">
              <w:rPr>
                <w:spacing w:val="-4"/>
                <w:sz w:val="24"/>
              </w:rPr>
              <w:t xml:space="preserve"> </w:t>
            </w:r>
            <w:r w:rsidRPr="00150EDC">
              <w:rPr>
                <w:spacing w:val="-5"/>
                <w:sz w:val="24"/>
              </w:rPr>
              <w:t>or</w:t>
            </w:r>
          </w:p>
          <w:p w14:paraId="09C1ACE4" w14:textId="77777777" w:rsidR="004C7180" w:rsidRPr="00150EDC" w:rsidRDefault="00CF0754" w:rsidP="00B320C7">
            <w:pPr>
              <w:pStyle w:val="TableParagraph"/>
              <w:numPr>
                <w:ilvl w:val="0"/>
                <w:numId w:val="106"/>
              </w:numPr>
              <w:tabs>
                <w:tab w:val="left" w:pos="683"/>
              </w:tabs>
              <w:spacing w:before="120" w:line="240" w:lineRule="auto"/>
              <w:ind w:right="101"/>
              <w:rPr>
                <w:sz w:val="24"/>
              </w:rPr>
            </w:pPr>
            <w:r w:rsidRPr="00150EDC">
              <w:rPr>
                <w:sz w:val="24"/>
              </w:rPr>
              <w:t>the</w:t>
            </w:r>
            <w:r w:rsidRPr="00150EDC">
              <w:rPr>
                <w:spacing w:val="40"/>
                <w:sz w:val="24"/>
              </w:rPr>
              <w:t xml:space="preserve"> </w:t>
            </w:r>
            <w:r w:rsidRPr="00150EDC">
              <w:rPr>
                <w:sz w:val="24"/>
              </w:rPr>
              <w:t>Supplier</w:t>
            </w:r>
            <w:r w:rsidRPr="00150EDC">
              <w:rPr>
                <w:spacing w:val="40"/>
                <w:sz w:val="24"/>
              </w:rPr>
              <w:t xml:space="preserve"> </w:t>
            </w:r>
            <w:r w:rsidRPr="00150EDC">
              <w:rPr>
                <w:sz w:val="24"/>
              </w:rPr>
              <w:t>manages,</w:t>
            </w:r>
            <w:r w:rsidRPr="00150EDC">
              <w:rPr>
                <w:spacing w:val="80"/>
                <w:sz w:val="24"/>
              </w:rPr>
              <w:t xml:space="preserve"> </w:t>
            </w:r>
            <w:r w:rsidRPr="00150EDC">
              <w:rPr>
                <w:sz w:val="24"/>
              </w:rPr>
              <w:t>organises</w:t>
            </w:r>
            <w:r w:rsidRPr="00150EDC">
              <w:rPr>
                <w:spacing w:val="40"/>
                <w:sz w:val="24"/>
              </w:rPr>
              <w:t xml:space="preserve"> </w:t>
            </w:r>
            <w:r w:rsidRPr="00150EDC">
              <w:rPr>
                <w:sz w:val="24"/>
              </w:rPr>
              <w:t>or</w:t>
            </w:r>
            <w:r w:rsidRPr="00150EDC">
              <w:rPr>
                <w:spacing w:val="80"/>
                <w:sz w:val="24"/>
              </w:rPr>
              <w:t xml:space="preserve"> </w:t>
            </w:r>
            <w:r w:rsidRPr="00150EDC">
              <w:rPr>
                <w:sz w:val="24"/>
              </w:rPr>
              <w:t>otherwise</w:t>
            </w:r>
            <w:r w:rsidRPr="00150EDC">
              <w:rPr>
                <w:spacing w:val="80"/>
                <w:sz w:val="24"/>
              </w:rPr>
              <w:t xml:space="preserve"> </w:t>
            </w:r>
            <w:r w:rsidRPr="00150EDC">
              <w:rPr>
                <w:sz w:val="24"/>
              </w:rPr>
              <w:t>directs</w:t>
            </w:r>
            <w:r w:rsidRPr="00150EDC">
              <w:rPr>
                <w:spacing w:val="80"/>
                <w:sz w:val="24"/>
              </w:rPr>
              <w:t xml:space="preserve"> </w:t>
            </w:r>
            <w:r w:rsidRPr="00150EDC">
              <w:rPr>
                <w:sz w:val="24"/>
              </w:rPr>
              <w:t>the provision or the use of the Deliverables;</w:t>
            </w:r>
          </w:p>
        </w:tc>
      </w:tr>
      <w:tr w:rsidR="007D3144" w:rsidRPr="007D3144" w14:paraId="4617E7CE" w14:textId="77777777">
        <w:trPr>
          <w:trHeight w:val="1224"/>
        </w:trPr>
        <w:tc>
          <w:tcPr>
            <w:tcW w:w="2264" w:type="dxa"/>
          </w:tcPr>
          <w:p w14:paraId="67D4A2E1" w14:textId="77777777" w:rsidR="004C7180" w:rsidRPr="00150EDC" w:rsidRDefault="00CF0754">
            <w:pPr>
              <w:pStyle w:val="TableParagraph"/>
              <w:spacing w:before="0" w:line="240" w:lineRule="auto"/>
              <w:ind w:left="-1"/>
              <w:rPr>
                <w:b/>
                <w:sz w:val="24"/>
              </w:rPr>
            </w:pPr>
            <w:r w:rsidRPr="00150EDC">
              <w:rPr>
                <w:b/>
                <w:spacing w:val="-2"/>
                <w:sz w:val="24"/>
              </w:rPr>
              <w:t>"SME"</w:t>
            </w:r>
          </w:p>
        </w:tc>
        <w:tc>
          <w:tcPr>
            <w:tcW w:w="7484" w:type="dxa"/>
          </w:tcPr>
          <w:p w14:paraId="637978B0" w14:textId="77777777" w:rsidR="004C7180" w:rsidRPr="00150EDC" w:rsidRDefault="00CF0754">
            <w:pPr>
              <w:pStyle w:val="TableParagraph"/>
              <w:spacing w:before="0" w:line="240" w:lineRule="auto"/>
              <w:ind w:left="277" w:right="100"/>
              <w:jc w:val="both"/>
              <w:rPr>
                <w:sz w:val="24"/>
              </w:rPr>
            </w:pPr>
            <w:r w:rsidRPr="00150EDC">
              <w:rPr>
                <w:sz w:val="24"/>
              </w:rPr>
              <w:t>an</w:t>
            </w:r>
            <w:r w:rsidRPr="00150EDC">
              <w:rPr>
                <w:spacing w:val="-10"/>
                <w:sz w:val="24"/>
              </w:rPr>
              <w:t xml:space="preserve"> </w:t>
            </w:r>
            <w:r w:rsidRPr="00150EDC">
              <w:rPr>
                <w:sz w:val="24"/>
              </w:rPr>
              <w:t>enterprise</w:t>
            </w:r>
            <w:r w:rsidRPr="00150EDC">
              <w:rPr>
                <w:spacing w:val="-10"/>
                <w:sz w:val="24"/>
              </w:rPr>
              <w:t xml:space="preserve"> </w:t>
            </w:r>
            <w:r w:rsidRPr="00150EDC">
              <w:rPr>
                <w:sz w:val="24"/>
              </w:rPr>
              <w:t>falling</w:t>
            </w:r>
            <w:r w:rsidRPr="00150EDC">
              <w:rPr>
                <w:spacing w:val="-10"/>
                <w:sz w:val="24"/>
              </w:rPr>
              <w:t xml:space="preserve"> </w:t>
            </w:r>
            <w:r w:rsidRPr="00150EDC">
              <w:rPr>
                <w:sz w:val="24"/>
              </w:rPr>
              <w:t>within</w:t>
            </w:r>
            <w:r w:rsidRPr="00150EDC">
              <w:rPr>
                <w:spacing w:val="-11"/>
                <w:sz w:val="24"/>
              </w:rPr>
              <w:t xml:space="preserve"> </w:t>
            </w:r>
            <w:r w:rsidRPr="00150EDC">
              <w:rPr>
                <w:sz w:val="24"/>
              </w:rPr>
              <w:t>the</w:t>
            </w:r>
            <w:r w:rsidRPr="00150EDC">
              <w:rPr>
                <w:spacing w:val="-10"/>
                <w:sz w:val="24"/>
              </w:rPr>
              <w:t xml:space="preserve"> </w:t>
            </w:r>
            <w:r w:rsidRPr="00150EDC">
              <w:rPr>
                <w:sz w:val="24"/>
              </w:rPr>
              <w:t>category</w:t>
            </w:r>
            <w:r w:rsidRPr="00150EDC">
              <w:rPr>
                <w:spacing w:val="-12"/>
                <w:sz w:val="24"/>
              </w:rPr>
              <w:t xml:space="preserve"> </w:t>
            </w:r>
            <w:r w:rsidRPr="00150EDC">
              <w:rPr>
                <w:sz w:val="24"/>
              </w:rPr>
              <w:t>of</w:t>
            </w:r>
            <w:r w:rsidRPr="00150EDC">
              <w:rPr>
                <w:spacing w:val="-13"/>
                <w:sz w:val="24"/>
              </w:rPr>
              <w:t xml:space="preserve"> </w:t>
            </w:r>
            <w:r w:rsidRPr="00150EDC">
              <w:rPr>
                <w:sz w:val="24"/>
              </w:rPr>
              <w:t>micro,</w:t>
            </w:r>
            <w:r w:rsidRPr="00150EDC">
              <w:rPr>
                <w:spacing w:val="-10"/>
                <w:sz w:val="24"/>
              </w:rPr>
              <w:t xml:space="preserve"> </w:t>
            </w:r>
            <w:r w:rsidRPr="00150EDC">
              <w:rPr>
                <w:sz w:val="24"/>
              </w:rPr>
              <w:t>small</w:t>
            </w:r>
            <w:r w:rsidRPr="00150EDC">
              <w:rPr>
                <w:spacing w:val="-12"/>
                <w:sz w:val="24"/>
              </w:rPr>
              <w:t xml:space="preserve"> </w:t>
            </w:r>
            <w:r w:rsidRPr="00150EDC">
              <w:rPr>
                <w:sz w:val="24"/>
              </w:rPr>
              <w:t>and</w:t>
            </w:r>
            <w:r w:rsidRPr="00150EDC">
              <w:rPr>
                <w:spacing w:val="-13"/>
                <w:sz w:val="24"/>
              </w:rPr>
              <w:t xml:space="preserve"> </w:t>
            </w:r>
            <w:r w:rsidRPr="00150EDC">
              <w:rPr>
                <w:sz w:val="24"/>
              </w:rPr>
              <w:t xml:space="preserve">medium sized enterprises defined by the Commission Recommendation of 6 May 2003 concerning the definition of micro, small and medium </w:t>
            </w:r>
            <w:r w:rsidRPr="00150EDC">
              <w:rPr>
                <w:spacing w:val="-2"/>
                <w:sz w:val="24"/>
              </w:rPr>
              <w:t>enterprises;</w:t>
            </w:r>
          </w:p>
        </w:tc>
      </w:tr>
      <w:tr w:rsidR="007D3144" w:rsidRPr="007D3144" w14:paraId="5530E819" w14:textId="77777777">
        <w:trPr>
          <w:trHeight w:val="945"/>
        </w:trPr>
        <w:tc>
          <w:tcPr>
            <w:tcW w:w="2264" w:type="dxa"/>
          </w:tcPr>
          <w:p w14:paraId="1E24AAF2" w14:textId="77777777" w:rsidR="004C7180" w:rsidRPr="00150EDC" w:rsidRDefault="00CF0754">
            <w:pPr>
              <w:pStyle w:val="TableParagraph"/>
              <w:spacing w:before="0" w:line="240" w:lineRule="auto"/>
              <w:ind w:left="-1"/>
              <w:rPr>
                <w:b/>
                <w:sz w:val="24"/>
              </w:rPr>
            </w:pPr>
            <w:r w:rsidRPr="00150EDC">
              <w:rPr>
                <w:b/>
                <w:sz w:val="24"/>
              </w:rPr>
              <w:t>"Special</w:t>
            </w:r>
            <w:r w:rsidRPr="00150EDC">
              <w:rPr>
                <w:b/>
                <w:spacing w:val="-6"/>
                <w:sz w:val="24"/>
              </w:rPr>
              <w:t xml:space="preserve"> </w:t>
            </w:r>
            <w:r w:rsidRPr="00150EDC">
              <w:rPr>
                <w:b/>
                <w:spacing w:val="-2"/>
                <w:sz w:val="24"/>
              </w:rPr>
              <w:t>Terms"</w:t>
            </w:r>
          </w:p>
        </w:tc>
        <w:tc>
          <w:tcPr>
            <w:tcW w:w="7484" w:type="dxa"/>
          </w:tcPr>
          <w:p w14:paraId="7FBEC8F9" w14:textId="77777777" w:rsidR="004C7180" w:rsidRPr="00150EDC" w:rsidRDefault="00CF0754">
            <w:pPr>
              <w:pStyle w:val="TableParagraph"/>
              <w:spacing w:before="0" w:line="240" w:lineRule="auto"/>
              <w:ind w:left="277"/>
              <w:rPr>
                <w:sz w:val="24"/>
              </w:rPr>
            </w:pPr>
            <w:r w:rsidRPr="00150EDC">
              <w:rPr>
                <w:sz w:val="24"/>
              </w:rPr>
              <w:t>any</w:t>
            </w:r>
            <w:r w:rsidRPr="00150EDC">
              <w:rPr>
                <w:spacing w:val="32"/>
                <w:sz w:val="24"/>
              </w:rPr>
              <w:t xml:space="preserve"> </w:t>
            </w:r>
            <w:r w:rsidRPr="00150EDC">
              <w:rPr>
                <w:sz w:val="24"/>
              </w:rPr>
              <w:t>additional</w:t>
            </w:r>
            <w:r w:rsidRPr="00150EDC">
              <w:rPr>
                <w:spacing w:val="32"/>
                <w:sz w:val="24"/>
              </w:rPr>
              <w:t xml:space="preserve"> </w:t>
            </w:r>
            <w:r w:rsidRPr="00150EDC">
              <w:rPr>
                <w:sz w:val="24"/>
              </w:rPr>
              <w:t>Clauses</w:t>
            </w:r>
            <w:r w:rsidRPr="00150EDC">
              <w:rPr>
                <w:spacing w:val="32"/>
                <w:sz w:val="24"/>
              </w:rPr>
              <w:t xml:space="preserve"> </w:t>
            </w:r>
            <w:r w:rsidRPr="00150EDC">
              <w:rPr>
                <w:sz w:val="24"/>
              </w:rPr>
              <w:t>set</w:t>
            </w:r>
            <w:r w:rsidRPr="00150EDC">
              <w:rPr>
                <w:spacing w:val="33"/>
                <w:sz w:val="24"/>
              </w:rPr>
              <w:t xml:space="preserve"> </w:t>
            </w:r>
            <w:r w:rsidRPr="00150EDC">
              <w:rPr>
                <w:sz w:val="24"/>
              </w:rPr>
              <w:t>out</w:t>
            </w:r>
            <w:r w:rsidRPr="00150EDC">
              <w:rPr>
                <w:spacing w:val="37"/>
                <w:sz w:val="24"/>
              </w:rPr>
              <w:t xml:space="preserve"> </w:t>
            </w:r>
            <w:r w:rsidRPr="00150EDC">
              <w:rPr>
                <w:sz w:val="24"/>
              </w:rPr>
              <w:t>in the</w:t>
            </w:r>
            <w:r w:rsidRPr="00150EDC">
              <w:rPr>
                <w:spacing w:val="31"/>
                <w:sz w:val="24"/>
              </w:rPr>
              <w:t xml:space="preserve"> </w:t>
            </w:r>
            <w:r w:rsidRPr="00150EDC">
              <w:rPr>
                <w:sz w:val="24"/>
              </w:rPr>
              <w:t>DPS Appointment Form or Order Form which shall form part of the respective Contract;</w:t>
            </w:r>
          </w:p>
        </w:tc>
      </w:tr>
      <w:tr w:rsidR="007D3144" w:rsidRPr="007D3144" w14:paraId="255CB5DF" w14:textId="77777777">
        <w:trPr>
          <w:trHeight w:val="945"/>
        </w:trPr>
        <w:tc>
          <w:tcPr>
            <w:tcW w:w="2264" w:type="dxa"/>
          </w:tcPr>
          <w:p w14:paraId="5044F9CC" w14:textId="77777777" w:rsidR="004C7180" w:rsidRPr="00150EDC" w:rsidRDefault="00CF0754">
            <w:pPr>
              <w:pStyle w:val="TableParagraph"/>
              <w:spacing w:before="0" w:line="240" w:lineRule="auto"/>
              <w:ind w:left="-1" w:right="271"/>
              <w:rPr>
                <w:b/>
                <w:sz w:val="24"/>
              </w:rPr>
            </w:pPr>
            <w:r w:rsidRPr="00150EDC">
              <w:rPr>
                <w:b/>
                <w:sz w:val="24"/>
              </w:rPr>
              <w:t>"Specific</w:t>
            </w:r>
            <w:r w:rsidRPr="00150EDC">
              <w:rPr>
                <w:b/>
                <w:spacing w:val="-17"/>
                <w:sz w:val="24"/>
              </w:rPr>
              <w:t xml:space="preserve"> </w:t>
            </w:r>
            <w:r w:rsidRPr="00150EDC">
              <w:rPr>
                <w:b/>
                <w:sz w:val="24"/>
              </w:rPr>
              <w:t>Change in Law"</w:t>
            </w:r>
          </w:p>
        </w:tc>
        <w:tc>
          <w:tcPr>
            <w:tcW w:w="7484" w:type="dxa"/>
          </w:tcPr>
          <w:p w14:paraId="012FE479" w14:textId="77777777" w:rsidR="004C7180" w:rsidRPr="00150EDC" w:rsidRDefault="00CF0754">
            <w:pPr>
              <w:pStyle w:val="TableParagraph"/>
              <w:spacing w:before="0" w:line="240" w:lineRule="auto"/>
              <w:ind w:left="277"/>
              <w:rPr>
                <w:sz w:val="24"/>
              </w:rPr>
            </w:pPr>
            <w:r w:rsidRPr="00150EDC">
              <w:rPr>
                <w:sz w:val="24"/>
              </w:rPr>
              <w:t>a</w:t>
            </w:r>
            <w:r w:rsidRPr="00150EDC">
              <w:rPr>
                <w:spacing w:val="40"/>
                <w:sz w:val="24"/>
              </w:rPr>
              <w:t xml:space="preserve"> </w:t>
            </w:r>
            <w:r w:rsidRPr="00150EDC">
              <w:rPr>
                <w:sz w:val="24"/>
              </w:rPr>
              <w:t>Change</w:t>
            </w:r>
            <w:r w:rsidRPr="00150EDC">
              <w:rPr>
                <w:spacing w:val="40"/>
                <w:sz w:val="24"/>
              </w:rPr>
              <w:t xml:space="preserve"> </w:t>
            </w:r>
            <w:r w:rsidRPr="00150EDC">
              <w:rPr>
                <w:sz w:val="24"/>
              </w:rPr>
              <w:t>in</w:t>
            </w:r>
            <w:r w:rsidRPr="00150EDC">
              <w:rPr>
                <w:spacing w:val="37"/>
                <w:sz w:val="24"/>
              </w:rPr>
              <w:t xml:space="preserve"> </w:t>
            </w:r>
            <w:r w:rsidRPr="00150EDC">
              <w:rPr>
                <w:sz w:val="24"/>
              </w:rPr>
              <w:t>Law</w:t>
            </w:r>
            <w:r w:rsidRPr="00150EDC">
              <w:rPr>
                <w:spacing w:val="39"/>
                <w:sz w:val="24"/>
              </w:rPr>
              <w:t xml:space="preserve"> </w:t>
            </w:r>
            <w:r w:rsidRPr="00150EDC">
              <w:rPr>
                <w:sz w:val="24"/>
              </w:rPr>
              <w:t>that</w:t>
            </w:r>
            <w:r w:rsidRPr="00150EDC">
              <w:rPr>
                <w:spacing w:val="37"/>
                <w:sz w:val="24"/>
              </w:rPr>
              <w:t xml:space="preserve"> </w:t>
            </w:r>
            <w:r w:rsidRPr="00150EDC">
              <w:rPr>
                <w:sz w:val="24"/>
              </w:rPr>
              <w:t>relates</w:t>
            </w:r>
            <w:r w:rsidRPr="00150EDC">
              <w:rPr>
                <w:spacing w:val="37"/>
                <w:sz w:val="24"/>
              </w:rPr>
              <w:t xml:space="preserve"> </w:t>
            </w:r>
            <w:r w:rsidRPr="00150EDC">
              <w:rPr>
                <w:sz w:val="24"/>
              </w:rPr>
              <w:t>specifically</w:t>
            </w:r>
            <w:r w:rsidRPr="00150EDC">
              <w:rPr>
                <w:spacing w:val="39"/>
                <w:sz w:val="24"/>
              </w:rPr>
              <w:t xml:space="preserve"> </w:t>
            </w:r>
            <w:r w:rsidRPr="00150EDC">
              <w:rPr>
                <w:sz w:val="24"/>
              </w:rPr>
              <w:t>to</w:t>
            </w:r>
            <w:r w:rsidRPr="00150EDC">
              <w:rPr>
                <w:spacing w:val="38"/>
                <w:sz w:val="24"/>
              </w:rPr>
              <w:t xml:space="preserve"> </w:t>
            </w:r>
            <w:r w:rsidRPr="00150EDC">
              <w:rPr>
                <w:sz w:val="24"/>
              </w:rPr>
              <w:t>the</w:t>
            </w:r>
            <w:r w:rsidRPr="00150EDC">
              <w:rPr>
                <w:spacing w:val="38"/>
                <w:sz w:val="24"/>
              </w:rPr>
              <w:t xml:space="preserve"> </w:t>
            </w:r>
            <w:r w:rsidRPr="00150EDC">
              <w:rPr>
                <w:sz w:val="24"/>
              </w:rPr>
              <w:t>business</w:t>
            </w:r>
            <w:r w:rsidRPr="00150EDC">
              <w:rPr>
                <w:spacing w:val="37"/>
                <w:sz w:val="24"/>
              </w:rPr>
              <w:t xml:space="preserve"> </w:t>
            </w:r>
            <w:r w:rsidRPr="00150EDC">
              <w:rPr>
                <w:sz w:val="24"/>
              </w:rPr>
              <w:t>of</w:t>
            </w:r>
            <w:r w:rsidRPr="00150EDC">
              <w:rPr>
                <w:spacing w:val="37"/>
                <w:sz w:val="24"/>
              </w:rPr>
              <w:t xml:space="preserve"> </w:t>
            </w:r>
            <w:r w:rsidRPr="00150EDC">
              <w:rPr>
                <w:sz w:val="24"/>
              </w:rPr>
              <w:t>the Buyer</w:t>
            </w:r>
            <w:r w:rsidRPr="00150EDC">
              <w:rPr>
                <w:spacing w:val="3"/>
                <w:sz w:val="24"/>
              </w:rPr>
              <w:t xml:space="preserve"> </w:t>
            </w:r>
            <w:r w:rsidRPr="00150EDC">
              <w:rPr>
                <w:sz w:val="24"/>
              </w:rPr>
              <w:t>and</w:t>
            </w:r>
            <w:r w:rsidRPr="00150EDC">
              <w:rPr>
                <w:spacing w:val="6"/>
                <w:sz w:val="24"/>
              </w:rPr>
              <w:t xml:space="preserve"> </w:t>
            </w:r>
            <w:r w:rsidRPr="00150EDC">
              <w:rPr>
                <w:sz w:val="24"/>
              </w:rPr>
              <w:t>which</w:t>
            </w:r>
            <w:r w:rsidRPr="00150EDC">
              <w:rPr>
                <w:spacing w:val="5"/>
                <w:sz w:val="24"/>
              </w:rPr>
              <w:t xml:space="preserve"> </w:t>
            </w:r>
            <w:r w:rsidRPr="00150EDC">
              <w:rPr>
                <w:sz w:val="24"/>
              </w:rPr>
              <w:t>would</w:t>
            </w:r>
            <w:r w:rsidRPr="00150EDC">
              <w:rPr>
                <w:spacing w:val="5"/>
                <w:sz w:val="24"/>
              </w:rPr>
              <w:t xml:space="preserve"> </w:t>
            </w:r>
            <w:r w:rsidRPr="00150EDC">
              <w:rPr>
                <w:sz w:val="24"/>
              </w:rPr>
              <w:t>not</w:t>
            </w:r>
            <w:r w:rsidRPr="00150EDC">
              <w:rPr>
                <w:spacing w:val="6"/>
                <w:sz w:val="24"/>
              </w:rPr>
              <w:t xml:space="preserve"> </w:t>
            </w:r>
            <w:r w:rsidRPr="00150EDC">
              <w:rPr>
                <w:sz w:val="24"/>
              </w:rPr>
              <w:t>affect</w:t>
            </w:r>
            <w:r w:rsidRPr="00150EDC">
              <w:rPr>
                <w:spacing w:val="2"/>
                <w:sz w:val="24"/>
              </w:rPr>
              <w:t xml:space="preserve"> </w:t>
            </w:r>
            <w:r w:rsidRPr="00150EDC">
              <w:rPr>
                <w:sz w:val="24"/>
              </w:rPr>
              <w:t>a</w:t>
            </w:r>
            <w:r w:rsidRPr="00150EDC">
              <w:rPr>
                <w:spacing w:val="6"/>
                <w:sz w:val="24"/>
              </w:rPr>
              <w:t xml:space="preserve"> </w:t>
            </w:r>
            <w:r w:rsidRPr="00150EDC">
              <w:rPr>
                <w:sz w:val="24"/>
              </w:rPr>
              <w:t>Comparable</w:t>
            </w:r>
            <w:r w:rsidRPr="00150EDC">
              <w:rPr>
                <w:spacing w:val="4"/>
                <w:sz w:val="24"/>
              </w:rPr>
              <w:t xml:space="preserve"> </w:t>
            </w:r>
            <w:r w:rsidRPr="00150EDC">
              <w:rPr>
                <w:sz w:val="24"/>
              </w:rPr>
              <w:t>Supply</w:t>
            </w:r>
            <w:r w:rsidRPr="00150EDC">
              <w:rPr>
                <w:spacing w:val="5"/>
                <w:sz w:val="24"/>
              </w:rPr>
              <w:t xml:space="preserve"> </w:t>
            </w:r>
            <w:r w:rsidRPr="00150EDC">
              <w:rPr>
                <w:sz w:val="24"/>
              </w:rPr>
              <w:t>where</w:t>
            </w:r>
            <w:r w:rsidRPr="00150EDC">
              <w:rPr>
                <w:spacing w:val="3"/>
                <w:sz w:val="24"/>
              </w:rPr>
              <w:t xml:space="preserve"> </w:t>
            </w:r>
            <w:r w:rsidRPr="00150EDC">
              <w:rPr>
                <w:spacing w:val="-5"/>
                <w:sz w:val="24"/>
              </w:rPr>
              <w:t>the</w:t>
            </w:r>
          </w:p>
        </w:tc>
      </w:tr>
    </w:tbl>
    <w:p w14:paraId="70BA0387" w14:textId="77777777" w:rsidR="004C7180" w:rsidRPr="00150EDC" w:rsidRDefault="004C7180">
      <w:pPr>
        <w:rPr>
          <w:sz w:val="24"/>
        </w:rPr>
        <w:sectPr w:rsidR="004C7180" w:rsidRPr="00150EDC">
          <w:pgSz w:w="11910" w:h="16840"/>
          <w:pgMar w:top="1160" w:right="0" w:bottom="1460" w:left="40" w:header="715" w:footer="1208" w:gutter="0"/>
          <w:cols w:space="720"/>
        </w:sectPr>
      </w:pPr>
    </w:p>
    <w:p w14:paraId="2B263D61" w14:textId="77777777" w:rsidR="004C7180" w:rsidRPr="00150EDC" w:rsidRDefault="004C7180">
      <w:pPr>
        <w:pStyle w:val="BodyText"/>
        <w:spacing w:before="7"/>
        <w:rPr>
          <w:sz w:val="23"/>
        </w:rPr>
      </w:pPr>
    </w:p>
    <w:tbl>
      <w:tblPr>
        <w:tblW w:w="0" w:type="auto"/>
        <w:tblInd w:w="1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4"/>
        <w:gridCol w:w="7484"/>
      </w:tblGrid>
      <w:tr w:rsidR="007D3144" w:rsidRPr="007D3144" w14:paraId="2AFF6D59" w14:textId="77777777">
        <w:trPr>
          <w:trHeight w:val="945"/>
        </w:trPr>
        <w:tc>
          <w:tcPr>
            <w:tcW w:w="2264" w:type="dxa"/>
          </w:tcPr>
          <w:p w14:paraId="750D80AF" w14:textId="77777777" w:rsidR="004C7180" w:rsidRPr="00150EDC" w:rsidRDefault="004C7180">
            <w:pPr>
              <w:pStyle w:val="TableParagraph"/>
              <w:spacing w:before="0" w:line="240" w:lineRule="auto"/>
              <w:ind w:left="0"/>
              <w:rPr>
                <w:rFonts w:ascii="Times New Roman"/>
              </w:rPr>
            </w:pPr>
          </w:p>
        </w:tc>
        <w:tc>
          <w:tcPr>
            <w:tcW w:w="7484" w:type="dxa"/>
          </w:tcPr>
          <w:p w14:paraId="220EC099" w14:textId="77777777" w:rsidR="004C7180" w:rsidRPr="00150EDC" w:rsidRDefault="00CF0754">
            <w:pPr>
              <w:pStyle w:val="TableParagraph"/>
              <w:spacing w:before="0" w:line="240" w:lineRule="auto"/>
              <w:ind w:left="277"/>
              <w:rPr>
                <w:sz w:val="24"/>
              </w:rPr>
            </w:pPr>
            <w:r w:rsidRPr="00150EDC">
              <w:rPr>
                <w:sz w:val="24"/>
              </w:rPr>
              <w:t>effect</w:t>
            </w:r>
            <w:r w:rsidRPr="00150EDC">
              <w:rPr>
                <w:spacing w:val="35"/>
                <w:sz w:val="24"/>
              </w:rPr>
              <w:t xml:space="preserve"> </w:t>
            </w:r>
            <w:r w:rsidRPr="00150EDC">
              <w:rPr>
                <w:sz w:val="24"/>
              </w:rPr>
              <w:t>of</w:t>
            </w:r>
            <w:r w:rsidRPr="00150EDC">
              <w:rPr>
                <w:spacing w:val="39"/>
                <w:sz w:val="24"/>
              </w:rPr>
              <w:t xml:space="preserve"> </w:t>
            </w:r>
            <w:r w:rsidRPr="00150EDC">
              <w:rPr>
                <w:sz w:val="24"/>
              </w:rPr>
              <w:t>that</w:t>
            </w:r>
            <w:r w:rsidRPr="00150EDC">
              <w:rPr>
                <w:spacing w:val="35"/>
                <w:sz w:val="24"/>
              </w:rPr>
              <w:t xml:space="preserve"> </w:t>
            </w:r>
            <w:r w:rsidRPr="00150EDC">
              <w:rPr>
                <w:sz w:val="24"/>
              </w:rPr>
              <w:t>Specific</w:t>
            </w:r>
            <w:r w:rsidRPr="00150EDC">
              <w:rPr>
                <w:spacing w:val="34"/>
                <w:sz w:val="24"/>
              </w:rPr>
              <w:t xml:space="preserve"> </w:t>
            </w:r>
            <w:r w:rsidRPr="00150EDC">
              <w:rPr>
                <w:sz w:val="24"/>
              </w:rPr>
              <w:t>Change</w:t>
            </w:r>
            <w:r w:rsidRPr="00150EDC">
              <w:rPr>
                <w:spacing w:val="38"/>
                <w:sz w:val="24"/>
              </w:rPr>
              <w:t xml:space="preserve"> </w:t>
            </w:r>
            <w:r w:rsidRPr="00150EDC">
              <w:rPr>
                <w:sz w:val="24"/>
              </w:rPr>
              <w:t>in</w:t>
            </w:r>
            <w:r w:rsidRPr="00150EDC">
              <w:rPr>
                <w:spacing w:val="35"/>
                <w:sz w:val="24"/>
              </w:rPr>
              <w:t xml:space="preserve"> </w:t>
            </w:r>
            <w:r w:rsidRPr="00150EDC">
              <w:rPr>
                <w:sz w:val="24"/>
              </w:rPr>
              <w:t>Law</w:t>
            </w:r>
            <w:r w:rsidRPr="00150EDC">
              <w:rPr>
                <w:spacing w:val="36"/>
                <w:sz w:val="24"/>
              </w:rPr>
              <w:t xml:space="preserve"> </w:t>
            </w:r>
            <w:r w:rsidRPr="00150EDC">
              <w:rPr>
                <w:sz w:val="24"/>
              </w:rPr>
              <w:t>on</w:t>
            </w:r>
            <w:r w:rsidRPr="00150EDC">
              <w:rPr>
                <w:spacing w:val="38"/>
                <w:sz w:val="24"/>
              </w:rPr>
              <w:t xml:space="preserve"> </w:t>
            </w:r>
            <w:r w:rsidRPr="00150EDC">
              <w:rPr>
                <w:sz w:val="24"/>
              </w:rPr>
              <w:t>the</w:t>
            </w:r>
            <w:r w:rsidRPr="00150EDC">
              <w:rPr>
                <w:spacing w:val="38"/>
                <w:sz w:val="24"/>
              </w:rPr>
              <w:t xml:space="preserve"> </w:t>
            </w:r>
            <w:r w:rsidRPr="00150EDC">
              <w:rPr>
                <w:sz w:val="24"/>
              </w:rPr>
              <w:t>Deliverables</w:t>
            </w:r>
            <w:r w:rsidRPr="00150EDC">
              <w:rPr>
                <w:spacing w:val="37"/>
                <w:sz w:val="24"/>
              </w:rPr>
              <w:t xml:space="preserve"> </w:t>
            </w:r>
            <w:r w:rsidRPr="00150EDC">
              <w:rPr>
                <w:sz w:val="24"/>
              </w:rPr>
              <w:t>is</w:t>
            </w:r>
            <w:r w:rsidRPr="00150EDC">
              <w:rPr>
                <w:spacing w:val="34"/>
                <w:sz w:val="24"/>
              </w:rPr>
              <w:t xml:space="preserve"> </w:t>
            </w:r>
            <w:r w:rsidRPr="00150EDC">
              <w:rPr>
                <w:sz w:val="24"/>
              </w:rPr>
              <w:t>not reasonably foreseeable at the Start Date;</w:t>
            </w:r>
          </w:p>
        </w:tc>
      </w:tr>
      <w:tr w:rsidR="007D3144" w:rsidRPr="007D3144" w14:paraId="013E3A27" w14:textId="77777777">
        <w:trPr>
          <w:trHeight w:val="947"/>
        </w:trPr>
        <w:tc>
          <w:tcPr>
            <w:tcW w:w="2264" w:type="dxa"/>
          </w:tcPr>
          <w:p w14:paraId="2412B8EA" w14:textId="77777777" w:rsidR="004C7180" w:rsidRPr="00150EDC" w:rsidRDefault="00CF0754">
            <w:pPr>
              <w:pStyle w:val="TableParagraph"/>
              <w:spacing w:before="0" w:line="240" w:lineRule="auto"/>
              <w:ind w:left="-1"/>
              <w:rPr>
                <w:b/>
                <w:sz w:val="24"/>
              </w:rPr>
            </w:pPr>
            <w:r w:rsidRPr="00150EDC">
              <w:rPr>
                <w:b/>
                <w:spacing w:val="-2"/>
                <w:sz w:val="24"/>
              </w:rPr>
              <w:t>"Specification"</w:t>
            </w:r>
          </w:p>
        </w:tc>
        <w:tc>
          <w:tcPr>
            <w:tcW w:w="7484" w:type="dxa"/>
          </w:tcPr>
          <w:p w14:paraId="7D4CAAB7" w14:textId="77777777" w:rsidR="004C7180" w:rsidRPr="00150EDC" w:rsidRDefault="00CF0754">
            <w:pPr>
              <w:pStyle w:val="TableParagraph"/>
              <w:spacing w:before="0" w:line="240" w:lineRule="auto"/>
              <w:ind w:left="277" w:right="99"/>
              <w:jc w:val="both"/>
              <w:rPr>
                <w:sz w:val="24"/>
              </w:rPr>
            </w:pPr>
            <w:r w:rsidRPr="00150EDC">
              <w:rPr>
                <w:sz w:val="24"/>
              </w:rPr>
              <w:t>the</w:t>
            </w:r>
            <w:r w:rsidRPr="00150EDC">
              <w:rPr>
                <w:spacing w:val="-9"/>
                <w:sz w:val="24"/>
              </w:rPr>
              <w:t xml:space="preserve"> </w:t>
            </w:r>
            <w:r w:rsidRPr="00150EDC">
              <w:rPr>
                <w:sz w:val="24"/>
              </w:rPr>
              <w:t>specification</w:t>
            </w:r>
            <w:r w:rsidRPr="00150EDC">
              <w:rPr>
                <w:spacing w:val="-9"/>
                <w:sz w:val="24"/>
              </w:rPr>
              <w:t xml:space="preserve"> </w:t>
            </w:r>
            <w:r w:rsidRPr="00150EDC">
              <w:rPr>
                <w:sz w:val="24"/>
              </w:rPr>
              <w:t>set</w:t>
            </w:r>
            <w:r w:rsidRPr="00150EDC">
              <w:rPr>
                <w:spacing w:val="-12"/>
                <w:sz w:val="24"/>
              </w:rPr>
              <w:t xml:space="preserve"> </w:t>
            </w:r>
            <w:r w:rsidRPr="00150EDC">
              <w:rPr>
                <w:sz w:val="24"/>
              </w:rPr>
              <w:t>out</w:t>
            </w:r>
            <w:r w:rsidRPr="00150EDC">
              <w:rPr>
                <w:spacing w:val="-9"/>
                <w:sz w:val="24"/>
              </w:rPr>
              <w:t xml:space="preserve"> </w:t>
            </w:r>
            <w:r w:rsidRPr="00150EDC">
              <w:rPr>
                <w:sz w:val="24"/>
              </w:rPr>
              <w:t>in</w:t>
            </w:r>
            <w:r w:rsidRPr="00150EDC">
              <w:rPr>
                <w:spacing w:val="-9"/>
                <w:sz w:val="24"/>
              </w:rPr>
              <w:t xml:space="preserve"> </w:t>
            </w:r>
            <w:r w:rsidRPr="00150EDC">
              <w:rPr>
                <w:sz w:val="24"/>
              </w:rPr>
              <w:t>DPS</w:t>
            </w:r>
            <w:r w:rsidRPr="00150EDC">
              <w:rPr>
                <w:spacing w:val="-9"/>
                <w:sz w:val="24"/>
              </w:rPr>
              <w:t xml:space="preserve"> </w:t>
            </w:r>
            <w:r w:rsidRPr="00150EDC">
              <w:rPr>
                <w:sz w:val="24"/>
              </w:rPr>
              <w:t>Schedule</w:t>
            </w:r>
            <w:r w:rsidRPr="00150EDC">
              <w:rPr>
                <w:spacing w:val="-12"/>
                <w:sz w:val="24"/>
              </w:rPr>
              <w:t xml:space="preserve"> </w:t>
            </w:r>
            <w:r w:rsidRPr="00150EDC">
              <w:rPr>
                <w:sz w:val="24"/>
              </w:rPr>
              <w:t>1</w:t>
            </w:r>
            <w:r w:rsidRPr="00150EDC">
              <w:rPr>
                <w:spacing w:val="-9"/>
                <w:sz w:val="24"/>
              </w:rPr>
              <w:t xml:space="preserve"> </w:t>
            </w:r>
            <w:r w:rsidRPr="00150EDC">
              <w:rPr>
                <w:sz w:val="24"/>
              </w:rPr>
              <w:t>(Specification),</w:t>
            </w:r>
            <w:r w:rsidRPr="00150EDC">
              <w:rPr>
                <w:spacing w:val="-10"/>
                <w:sz w:val="24"/>
              </w:rPr>
              <w:t xml:space="preserve"> </w:t>
            </w:r>
            <w:r w:rsidRPr="00150EDC">
              <w:rPr>
                <w:sz w:val="24"/>
              </w:rPr>
              <w:t>as</w:t>
            </w:r>
            <w:r w:rsidRPr="00150EDC">
              <w:rPr>
                <w:spacing w:val="-12"/>
                <w:sz w:val="24"/>
              </w:rPr>
              <w:t xml:space="preserve"> </w:t>
            </w:r>
            <w:r w:rsidRPr="00150EDC">
              <w:rPr>
                <w:sz w:val="24"/>
              </w:rPr>
              <w:t xml:space="preserve">may, in relation to an Order Contract, be supplemented by the Order </w:t>
            </w:r>
            <w:r w:rsidRPr="00150EDC">
              <w:rPr>
                <w:spacing w:val="-2"/>
                <w:sz w:val="24"/>
              </w:rPr>
              <w:t>Form;</w:t>
            </w:r>
          </w:p>
        </w:tc>
      </w:tr>
      <w:tr w:rsidR="007D3144" w:rsidRPr="007D3144" w14:paraId="55711374" w14:textId="77777777">
        <w:trPr>
          <w:trHeight w:val="4464"/>
        </w:trPr>
        <w:tc>
          <w:tcPr>
            <w:tcW w:w="2264" w:type="dxa"/>
          </w:tcPr>
          <w:p w14:paraId="4B498D75" w14:textId="77777777" w:rsidR="004C7180" w:rsidRPr="00150EDC" w:rsidRDefault="00CF0754">
            <w:pPr>
              <w:pStyle w:val="TableParagraph"/>
              <w:spacing w:before="0" w:line="240" w:lineRule="auto"/>
              <w:ind w:left="-1"/>
              <w:rPr>
                <w:b/>
                <w:sz w:val="24"/>
              </w:rPr>
            </w:pPr>
            <w:r w:rsidRPr="00150EDC">
              <w:rPr>
                <w:b/>
                <w:spacing w:val="-2"/>
                <w:sz w:val="24"/>
              </w:rPr>
              <w:t>"Standards"</w:t>
            </w:r>
          </w:p>
        </w:tc>
        <w:tc>
          <w:tcPr>
            <w:tcW w:w="7484" w:type="dxa"/>
          </w:tcPr>
          <w:p w14:paraId="5FC4B08C" w14:textId="77777777" w:rsidR="004C7180" w:rsidRPr="00150EDC" w:rsidRDefault="00CF0754">
            <w:pPr>
              <w:pStyle w:val="TableParagraph"/>
              <w:spacing w:before="0" w:line="240" w:lineRule="auto"/>
              <w:ind w:left="277"/>
              <w:rPr>
                <w:sz w:val="24"/>
              </w:rPr>
            </w:pPr>
            <w:r w:rsidRPr="00150EDC">
              <w:rPr>
                <w:spacing w:val="-4"/>
                <w:sz w:val="24"/>
              </w:rPr>
              <w:t>any:</w:t>
            </w:r>
          </w:p>
          <w:p w14:paraId="17B5D782" w14:textId="77777777" w:rsidR="004C7180" w:rsidRPr="00150EDC" w:rsidRDefault="00CF0754" w:rsidP="00B320C7">
            <w:pPr>
              <w:pStyle w:val="TableParagraph"/>
              <w:numPr>
                <w:ilvl w:val="0"/>
                <w:numId w:val="105"/>
              </w:numPr>
              <w:tabs>
                <w:tab w:val="left" w:pos="537"/>
                <w:tab w:val="left" w:pos="539"/>
              </w:tabs>
              <w:spacing w:before="120" w:line="240" w:lineRule="auto"/>
              <w:ind w:right="98"/>
              <w:jc w:val="both"/>
              <w:rPr>
                <w:sz w:val="24"/>
              </w:rPr>
            </w:pPr>
            <w:r w:rsidRPr="00150EDC">
              <w:rPr>
                <w:sz w:val="24"/>
              </w:rPr>
              <w:t>standards published by BSI British Standards, the National Standards Body of the United Kingdom, the International Organisation</w:t>
            </w:r>
            <w:r w:rsidRPr="00150EDC">
              <w:rPr>
                <w:spacing w:val="-7"/>
                <w:sz w:val="24"/>
              </w:rPr>
              <w:t xml:space="preserve"> </w:t>
            </w:r>
            <w:r w:rsidRPr="00150EDC">
              <w:rPr>
                <w:sz w:val="24"/>
              </w:rPr>
              <w:t>for</w:t>
            </w:r>
            <w:r w:rsidRPr="00150EDC">
              <w:rPr>
                <w:spacing w:val="-9"/>
                <w:sz w:val="24"/>
              </w:rPr>
              <w:t xml:space="preserve"> </w:t>
            </w:r>
            <w:r w:rsidRPr="00150EDC">
              <w:rPr>
                <w:sz w:val="24"/>
              </w:rPr>
              <w:t>Standardisation</w:t>
            </w:r>
            <w:r w:rsidRPr="00150EDC">
              <w:rPr>
                <w:spacing w:val="-7"/>
                <w:sz w:val="24"/>
              </w:rPr>
              <w:t xml:space="preserve"> </w:t>
            </w:r>
            <w:r w:rsidRPr="00150EDC">
              <w:rPr>
                <w:sz w:val="24"/>
              </w:rPr>
              <w:t>or</w:t>
            </w:r>
            <w:r w:rsidRPr="00150EDC">
              <w:rPr>
                <w:spacing w:val="-9"/>
                <w:sz w:val="24"/>
              </w:rPr>
              <w:t xml:space="preserve"> </w:t>
            </w:r>
            <w:r w:rsidRPr="00150EDC">
              <w:rPr>
                <w:sz w:val="24"/>
              </w:rPr>
              <w:t>other</w:t>
            </w:r>
            <w:r w:rsidRPr="00150EDC">
              <w:rPr>
                <w:spacing w:val="-9"/>
                <w:sz w:val="24"/>
              </w:rPr>
              <w:t xml:space="preserve"> </w:t>
            </w:r>
            <w:r w:rsidRPr="00150EDC">
              <w:rPr>
                <w:sz w:val="24"/>
              </w:rPr>
              <w:t>reputable</w:t>
            </w:r>
            <w:r w:rsidRPr="00150EDC">
              <w:rPr>
                <w:spacing w:val="-7"/>
                <w:sz w:val="24"/>
              </w:rPr>
              <w:t xml:space="preserve"> </w:t>
            </w:r>
            <w:r w:rsidRPr="00150EDC">
              <w:rPr>
                <w:sz w:val="24"/>
              </w:rPr>
              <w:t>or</w:t>
            </w:r>
            <w:r w:rsidRPr="00150EDC">
              <w:rPr>
                <w:spacing w:val="-5"/>
                <w:sz w:val="24"/>
              </w:rPr>
              <w:t xml:space="preserve"> </w:t>
            </w:r>
            <w:r w:rsidRPr="00150EDC">
              <w:rPr>
                <w:sz w:val="24"/>
              </w:rPr>
              <w:t>equivalent bodies (and their successor bodies) that a skilled and experienced operator in the same type of industry or business sector as the Supplier would reasonably and ordinarily be expected to comply with;</w:t>
            </w:r>
          </w:p>
          <w:p w14:paraId="3619583D" w14:textId="77777777" w:rsidR="004C7180" w:rsidRPr="00150EDC" w:rsidRDefault="00CF0754" w:rsidP="00B320C7">
            <w:pPr>
              <w:pStyle w:val="TableParagraph"/>
              <w:numPr>
                <w:ilvl w:val="0"/>
                <w:numId w:val="105"/>
              </w:numPr>
              <w:tabs>
                <w:tab w:val="left" w:pos="539"/>
                <w:tab w:val="left" w:pos="824"/>
              </w:tabs>
              <w:spacing w:before="121" w:line="240" w:lineRule="auto"/>
              <w:ind w:right="102"/>
              <w:jc w:val="both"/>
              <w:rPr>
                <w:sz w:val="24"/>
              </w:rPr>
            </w:pPr>
            <w:r w:rsidRPr="00150EDC">
              <w:rPr>
                <w:sz w:val="24"/>
              </w:rPr>
              <w:t xml:space="preserve">standards detailed in the specification in DPS Schedule 1 </w:t>
            </w:r>
            <w:r w:rsidRPr="00150EDC">
              <w:rPr>
                <w:spacing w:val="-2"/>
                <w:sz w:val="24"/>
              </w:rPr>
              <w:t>(Specification);</w:t>
            </w:r>
          </w:p>
          <w:p w14:paraId="055AF6FA" w14:textId="77777777" w:rsidR="004C7180" w:rsidRPr="00150EDC" w:rsidRDefault="00CF0754">
            <w:pPr>
              <w:pStyle w:val="TableParagraph"/>
              <w:spacing w:before="120" w:line="240" w:lineRule="auto"/>
              <w:ind w:left="539" w:right="95" w:hanging="288"/>
              <w:jc w:val="both"/>
              <w:rPr>
                <w:sz w:val="24"/>
              </w:rPr>
            </w:pPr>
            <w:r w:rsidRPr="00150EDC">
              <w:rPr>
                <w:sz w:val="24"/>
              </w:rPr>
              <w:t>vv)</w:t>
            </w:r>
            <w:r w:rsidRPr="00150EDC">
              <w:rPr>
                <w:spacing w:val="80"/>
                <w:sz w:val="24"/>
              </w:rPr>
              <w:t xml:space="preserve"> </w:t>
            </w:r>
            <w:r w:rsidRPr="00150EDC">
              <w:rPr>
                <w:sz w:val="24"/>
              </w:rPr>
              <w:t>standards detailed by the Buyer in the Order Form or agreed between the Parties from time to time;</w:t>
            </w:r>
          </w:p>
          <w:p w14:paraId="0DC18DFE" w14:textId="77777777" w:rsidR="004C7180" w:rsidRPr="00150EDC" w:rsidRDefault="00CF0754">
            <w:pPr>
              <w:pStyle w:val="TableParagraph"/>
              <w:spacing w:before="120" w:line="240" w:lineRule="auto"/>
              <w:ind w:left="539" w:right="100" w:hanging="288"/>
              <w:jc w:val="both"/>
              <w:rPr>
                <w:sz w:val="24"/>
              </w:rPr>
            </w:pPr>
            <w:r w:rsidRPr="00150EDC">
              <w:rPr>
                <w:sz w:val="24"/>
              </w:rPr>
              <w:t>ww) relevant Government codes of practice and guidance applicable from time to time;</w:t>
            </w:r>
          </w:p>
        </w:tc>
      </w:tr>
      <w:tr w:rsidR="007D3144" w:rsidRPr="007D3144" w14:paraId="006B18CB" w14:textId="77777777">
        <w:trPr>
          <w:trHeight w:val="947"/>
        </w:trPr>
        <w:tc>
          <w:tcPr>
            <w:tcW w:w="2264" w:type="dxa"/>
          </w:tcPr>
          <w:p w14:paraId="6E041C3C" w14:textId="77777777" w:rsidR="004C7180" w:rsidRPr="00150EDC" w:rsidRDefault="00CF0754">
            <w:pPr>
              <w:pStyle w:val="TableParagraph"/>
              <w:spacing w:before="0" w:line="240" w:lineRule="auto"/>
              <w:ind w:left="-1"/>
              <w:rPr>
                <w:b/>
                <w:sz w:val="24"/>
              </w:rPr>
            </w:pPr>
            <w:r w:rsidRPr="00150EDC">
              <w:rPr>
                <w:b/>
                <w:sz w:val="24"/>
              </w:rPr>
              <w:t>"Start</w:t>
            </w:r>
            <w:r w:rsidRPr="00150EDC">
              <w:rPr>
                <w:b/>
                <w:spacing w:val="-3"/>
                <w:sz w:val="24"/>
              </w:rPr>
              <w:t xml:space="preserve"> </w:t>
            </w:r>
            <w:r w:rsidRPr="00150EDC">
              <w:rPr>
                <w:b/>
                <w:spacing w:val="-2"/>
                <w:sz w:val="24"/>
              </w:rPr>
              <w:t>Date"</w:t>
            </w:r>
          </w:p>
        </w:tc>
        <w:tc>
          <w:tcPr>
            <w:tcW w:w="7484" w:type="dxa"/>
          </w:tcPr>
          <w:p w14:paraId="2EBC147F" w14:textId="77777777" w:rsidR="004C7180" w:rsidRPr="00150EDC" w:rsidRDefault="00CF0754">
            <w:pPr>
              <w:pStyle w:val="TableParagraph"/>
              <w:spacing w:before="0" w:line="240" w:lineRule="auto"/>
              <w:ind w:left="277" w:right="102"/>
              <w:jc w:val="both"/>
              <w:rPr>
                <w:sz w:val="24"/>
              </w:rPr>
            </w:pPr>
            <w:r w:rsidRPr="00150EDC">
              <w:rPr>
                <w:sz w:val="24"/>
              </w:rPr>
              <w:t>in the case of the DPS Contract, the date specified on the DPS Appointment Form, and in the case of an Order Contract, the date specified in the Order Form;</w:t>
            </w:r>
          </w:p>
        </w:tc>
      </w:tr>
      <w:tr w:rsidR="007D3144" w:rsidRPr="007D3144" w14:paraId="4E87314C" w14:textId="77777777">
        <w:trPr>
          <w:trHeight w:val="947"/>
        </w:trPr>
        <w:tc>
          <w:tcPr>
            <w:tcW w:w="2264" w:type="dxa"/>
          </w:tcPr>
          <w:p w14:paraId="27A2D041" w14:textId="77777777" w:rsidR="004C7180" w:rsidRPr="00150EDC" w:rsidRDefault="00CF0754">
            <w:pPr>
              <w:pStyle w:val="TableParagraph"/>
              <w:spacing w:before="0" w:line="240" w:lineRule="auto"/>
              <w:ind w:left="-1"/>
              <w:rPr>
                <w:b/>
                <w:sz w:val="24"/>
              </w:rPr>
            </w:pPr>
            <w:r w:rsidRPr="00150EDC">
              <w:rPr>
                <w:b/>
                <w:sz w:val="24"/>
              </w:rPr>
              <w:t xml:space="preserve">"Statement of </w:t>
            </w:r>
            <w:r w:rsidRPr="00150EDC">
              <w:rPr>
                <w:b/>
                <w:spacing w:val="-2"/>
                <w:sz w:val="24"/>
              </w:rPr>
              <w:t>Requirements"</w:t>
            </w:r>
          </w:p>
        </w:tc>
        <w:tc>
          <w:tcPr>
            <w:tcW w:w="7484" w:type="dxa"/>
          </w:tcPr>
          <w:p w14:paraId="2C1C2369" w14:textId="77777777" w:rsidR="004C7180" w:rsidRPr="00150EDC" w:rsidRDefault="00CF0754">
            <w:pPr>
              <w:pStyle w:val="TableParagraph"/>
              <w:spacing w:before="0" w:line="240" w:lineRule="auto"/>
              <w:ind w:left="277" w:right="99"/>
              <w:jc w:val="both"/>
              <w:rPr>
                <w:sz w:val="24"/>
              </w:rPr>
            </w:pPr>
            <w:r w:rsidRPr="00150EDC">
              <w:rPr>
                <w:sz w:val="24"/>
              </w:rPr>
              <w:t xml:space="preserve">a statement issued by the Buyer detailing its requirements in respect of Deliverables issued in accordance with the Order </w:t>
            </w:r>
            <w:r w:rsidRPr="00150EDC">
              <w:rPr>
                <w:spacing w:val="-2"/>
                <w:sz w:val="24"/>
              </w:rPr>
              <w:t>Procedure;</w:t>
            </w:r>
          </w:p>
        </w:tc>
      </w:tr>
      <w:tr w:rsidR="007D3144" w:rsidRPr="007D3144" w14:paraId="54064989" w14:textId="77777777">
        <w:trPr>
          <w:trHeight w:val="398"/>
        </w:trPr>
        <w:tc>
          <w:tcPr>
            <w:tcW w:w="2264" w:type="dxa"/>
          </w:tcPr>
          <w:p w14:paraId="337B1101" w14:textId="77777777" w:rsidR="004C7180" w:rsidRPr="00150EDC" w:rsidRDefault="00CF0754">
            <w:pPr>
              <w:pStyle w:val="TableParagraph"/>
              <w:spacing w:before="2" w:line="240" w:lineRule="auto"/>
              <w:ind w:left="-1"/>
              <w:rPr>
                <w:b/>
                <w:sz w:val="24"/>
              </w:rPr>
            </w:pPr>
            <w:r w:rsidRPr="00150EDC">
              <w:rPr>
                <w:b/>
                <w:sz w:val="24"/>
              </w:rPr>
              <w:t>"Storage</w:t>
            </w:r>
            <w:r w:rsidRPr="00150EDC">
              <w:rPr>
                <w:b/>
                <w:spacing w:val="-6"/>
                <w:sz w:val="24"/>
              </w:rPr>
              <w:t xml:space="preserve"> </w:t>
            </w:r>
            <w:r w:rsidRPr="00150EDC">
              <w:rPr>
                <w:b/>
                <w:spacing w:val="-2"/>
                <w:sz w:val="24"/>
              </w:rPr>
              <w:t>Media"</w:t>
            </w:r>
          </w:p>
        </w:tc>
        <w:tc>
          <w:tcPr>
            <w:tcW w:w="7484" w:type="dxa"/>
          </w:tcPr>
          <w:p w14:paraId="1348342C" w14:textId="77777777" w:rsidR="004C7180" w:rsidRPr="00150EDC" w:rsidRDefault="00CF0754">
            <w:pPr>
              <w:pStyle w:val="TableParagraph"/>
              <w:spacing w:before="2" w:line="240" w:lineRule="auto"/>
              <w:ind w:left="277"/>
              <w:rPr>
                <w:sz w:val="24"/>
              </w:rPr>
            </w:pPr>
            <w:r w:rsidRPr="00150EDC">
              <w:rPr>
                <w:sz w:val="24"/>
              </w:rPr>
              <w:t>the</w:t>
            </w:r>
            <w:r w:rsidRPr="00150EDC">
              <w:rPr>
                <w:spacing w:val="-7"/>
                <w:sz w:val="24"/>
              </w:rPr>
              <w:t xml:space="preserve"> </w:t>
            </w:r>
            <w:r w:rsidRPr="00150EDC">
              <w:rPr>
                <w:sz w:val="24"/>
              </w:rPr>
              <w:t>part</w:t>
            </w:r>
            <w:r w:rsidRPr="00150EDC">
              <w:rPr>
                <w:spacing w:val="-3"/>
                <w:sz w:val="24"/>
              </w:rPr>
              <w:t xml:space="preserve"> </w:t>
            </w:r>
            <w:r w:rsidRPr="00150EDC">
              <w:rPr>
                <w:sz w:val="24"/>
              </w:rPr>
              <w:t>of</w:t>
            </w:r>
            <w:r w:rsidRPr="00150EDC">
              <w:rPr>
                <w:spacing w:val="-3"/>
                <w:sz w:val="24"/>
              </w:rPr>
              <w:t xml:space="preserve"> </w:t>
            </w:r>
            <w:r w:rsidRPr="00150EDC">
              <w:rPr>
                <w:sz w:val="24"/>
              </w:rPr>
              <w:t>any</w:t>
            </w:r>
            <w:r w:rsidRPr="00150EDC">
              <w:rPr>
                <w:spacing w:val="-2"/>
                <w:sz w:val="24"/>
              </w:rPr>
              <w:t xml:space="preserve"> </w:t>
            </w:r>
            <w:r w:rsidRPr="00150EDC">
              <w:rPr>
                <w:sz w:val="24"/>
              </w:rPr>
              <w:t>device</w:t>
            </w:r>
            <w:r w:rsidRPr="00150EDC">
              <w:rPr>
                <w:spacing w:val="-3"/>
                <w:sz w:val="24"/>
              </w:rPr>
              <w:t xml:space="preserve"> </w:t>
            </w:r>
            <w:r w:rsidRPr="00150EDC">
              <w:rPr>
                <w:sz w:val="24"/>
              </w:rPr>
              <w:t>that</w:t>
            </w:r>
            <w:r w:rsidRPr="00150EDC">
              <w:rPr>
                <w:spacing w:val="-3"/>
                <w:sz w:val="24"/>
              </w:rPr>
              <w:t xml:space="preserve"> </w:t>
            </w:r>
            <w:r w:rsidRPr="00150EDC">
              <w:rPr>
                <w:sz w:val="24"/>
              </w:rPr>
              <w:t>is</w:t>
            </w:r>
            <w:r w:rsidRPr="00150EDC">
              <w:rPr>
                <w:spacing w:val="-3"/>
                <w:sz w:val="24"/>
              </w:rPr>
              <w:t xml:space="preserve"> </w:t>
            </w:r>
            <w:r w:rsidRPr="00150EDC">
              <w:rPr>
                <w:sz w:val="24"/>
              </w:rPr>
              <w:t>capable</w:t>
            </w:r>
            <w:r w:rsidRPr="00150EDC">
              <w:rPr>
                <w:spacing w:val="-2"/>
                <w:sz w:val="24"/>
              </w:rPr>
              <w:t xml:space="preserve"> </w:t>
            </w:r>
            <w:r w:rsidRPr="00150EDC">
              <w:rPr>
                <w:sz w:val="24"/>
              </w:rPr>
              <w:t>of</w:t>
            </w:r>
            <w:r w:rsidRPr="00150EDC">
              <w:rPr>
                <w:spacing w:val="-3"/>
                <w:sz w:val="24"/>
              </w:rPr>
              <w:t xml:space="preserve"> </w:t>
            </w:r>
            <w:r w:rsidRPr="00150EDC">
              <w:rPr>
                <w:sz w:val="24"/>
              </w:rPr>
              <w:t>storing</w:t>
            </w:r>
            <w:r w:rsidRPr="00150EDC">
              <w:rPr>
                <w:spacing w:val="-3"/>
                <w:sz w:val="24"/>
              </w:rPr>
              <w:t xml:space="preserve"> </w:t>
            </w:r>
            <w:r w:rsidRPr="00150EDC">
              <w:rPr>
                <w:sz w:val="24"/>
              </w:rPr>
              <w:t>and</w:t>
            </w:r>
            <w:r w:rsidRPr="00150EDC">
              <w:rPr>
                <w:spacing w:val="-3"/>
                <w:sz w:val="24"/>
              </w:rPr>
              <w:t xml:space="preserve"> </w:t>
            </w:r>
            <w:r w:rsidRPr="00150EDC">
              <w:rPr>
                <w:sz w:val="24"/>
              </w:rPr>
              <w:t>retrieving</w:t>
            </w:r>
            <w:r w:rsidRPr="00150EDC">
              <w:rPr>
                <w:spacing w:val="-2"/>
                <w:sz w:val="24"/>
              </w:rPr>
              <w:t xml:space="preserve"> data;</w:t>
            </w:r>
          </w:p>
        </w:tc>
      </w:tr>
      <w:tr w:rsidR="007D3144" w:rsidRPr="007D3144" w14:paraId="6783A077" w14:textId="77777777">
        <w:trPr>
          <w:trHeight w:val="2688"/>
        </w:trPr>
        <w:tc>
          <w:tcPr>
            <w:tcW w:w="2264" w:type="dxa"/>
          </w:tcPr>
          <w:p w14:paraId="103FE689" w14:textId="77777777" w:rsidR="004C7180" w:rsidRPr="00150EDC" w:rsidRDefault="00CF0754">
            <w:pPr>
              <w:pStyle w:val="TableParagraph"/>
              <w:spacing w:before="0" w:line="240" w:lineRule="auto"/>
              <w:ind w:left="-1"/>
              <w:rPr>
                <w:b/>
                <w:sz w:val="24"/>
              </w:rPr>
            </w:pPr>
            <w:r w:rsidRPr="00150EDC">
              <w:rPr>
                <w:b/>
                <w:spacing w:val="-2"/>
                <w:sz w:val="24"/>
              </w:rPr>
              <w:t>"Sub-Contract"</w:t>
            </w:r>
          </w:p>
        </w:tc>
        <w:tc>
          <w:tcPr>
            <w:tcW w:w="7484" w:type="dxa"/>
          </w:tcPr>
          <w:p w14:paraId="7E7BE078" w14:textId="77777777" w:rsidR="004C7180" w:rsidRPr="00150EDC" w:rsidRDefault="00CF0754">
            <w:pPr>
              <w:pStyle w:val="TableParagraph"/>
              <w:spacing w:before="0" w:line="240" w:lineRule="auto"/>
              <w:ind w:left="277" w:right="102"/>
              <w:jc w:val="both"/>
              <w:rPr>
                <w:sz w:val="24"/>
              </w:rPr>
            </w:pPr>
            <w:r w:rsidRPr="00150EDC">
              <w:rPr>
                <w:sz w:val="24"/>
              </w:rPr>
              <w:t>any contract or agreement (or proposed contract or agreement), other than an Order Contract or the DPS Contract, pursuant to which a third party:</w:t>
            </w:r>
          </w:p>
          <w:p w14:paraId="715F5F77" w14:textId="77777777" w:rsidR="004C7180" w:rsidRPr="00150EDC" w:rsidRDefault="00CF0754">
            <w:pPr>
              <w:pStyle w:val="TableParagraph"/>
              <w:spacing w:before="120" w:line="240" w:lineRule="auto"/>
              <w:ind w:left="251"/>
              <w:jc w:val="both"/>
              <w:rPr>
                <w:sz w:val="24"/>
              </w:rPr>
            </w:pPr>
            <w:r w:rsidRPr="00150EDC">
              <w:rPr>
                <w:sz w:val="24"/>
              </w:rPr>
              <w:t>xx)</w:t>
            </w:r>
            <w:r w:rsidRPr="00150EDC">
              <w:rPr>
                <w:spacing w:val="36"/>
                <w:sz w:val="24"/>
              </w:rPr>
              <w:t xml:space="preserve"> </w:t>
            </w:r>
            <w:r w:rsidRPr="00150EDC">
              <w:rPr>
                <w:sz w:val="24"/>
              </w:rPr>
              <w:t>provides</w:t>
            </w:r>
            <w:r w:rsidRPr="00150EDC">
              <w:rPr>
                <w:spacing w:val="-4"/>
                <w:sz w:val="24"/>
              </w:rPr>
              <w:t xml:space="preserve"> </w:t>
            </w:r>
            <w:r w:rsidRPr="00150EDC">
              <w:rPr>
                <w:sz w:val="24"/>
              </w:rPr>
              <w:t>the</w:t>
            </w:r>
            <w:r w:rsidRPr="00150EDC">
              <w:rPr>
                <w:spacing w:val="-5"/>
                <w:sz w:val="24"/>
              </w:rPr>
              <w:t xml:space="preserve"> </w:t>
            </w:r>
            <w:r w:rsidRPr="00150EDC">
              <w:rPr>
                <w:sz w:val="24"/>
              </w:rPr>
              <w:t>Deliverables</w:t>
            </w:r>
            <w:r w:rsidRPr="00150EDC">
              <w:rPr>
                <w:spacing w:val="-4"/>
                <w:sz w:val="24"/>
              </w:rPr>
              <w:t xml:space="preserve"> </w:t>
            </w:r>
            <w:r w:rsidRPr="00150EDC">
              <w:rPr>
                <w:sz w:val="24"/>
              </w:rPr>
              <w:t>(or</w:t>
            </w:r>
            <w:r w:rsidRPr="00150EDC">
              <w:rPr>
                <w:spacing w:val="-4"/>
                <w:sz w:val="24"/>
              </w:rPr>
              <w:t xml:space="preserve"> </w:t>
            </w:r>
            <w:r w:rsidRPr="00150EDC">
              <w:rPr>
                <w:sz w:val="24"/>
              </w:rPr>
              <w:t>any</w:t>
            </w:r>
            <w:r w:rsidRPr="00150EDC">
              <w:rPr>
                <w:spacing w:val="-7"/>
                <w:sz w:val="24"/>
              </w:rPr>
              <w:t xml:space="preserve"> </w:t>
            </w:r>
            <w:r w:rsidRPr="00150EDC">
              <w:rPr>
                <w:sz w:val="24"/>
              </w:rPr>
              <w:t>part</w:t>
            </w:r>
            <w:r w:rsidRPr="00150EDC">
              <w:rPr>
                <w:spacing w:val="-7"/>
                <w:sz w:val="24"/>
              </w:rPr>
              <w:t xml:space="preserve"> </w:t>
            </w:r>
            <w:r w:rsidRPr="00150EDC">
              <w:rPr>
                <w:sz w:val="24"/>
              </w:rPr>
              <w:t>of</w:t>
            </w:r>
            <w:r w:rsidRPr="00150EDC">
              <w:rPr>
                <w:spacing w:val="-4"/>
                <w:sz w:val="24"/>
              </w:rPr>
              <w:t xml:space="preserve"> </w:t>
            </w:r>
            <w:r w:rsidRPr="00150EDC">
              <w:rPr>
                <w:spacing w:val="-2"/>
                <w:sz w:val="24"/>
              </w:rPr>
              <w:t>them);</w:t>
            </w:r>
          </w:p>
          <w:p w14:paraId="72DE4C71" w14:textId="77777777" w:rsidR="004C7180" w:rsidRPr="00150EDC" w:rsidRDefault="00CF0754" w:rsidP="00B320C7">
            <w:pPr>
              <w:pStyle w:val="TableParagraph"/>
              <w:numPr>
                <w:ilvl w:val="0"/>
                <w:numId w:val="104"/>
              </w:numPr>
              <w:tabs>
                <w:tab w:val="left" w:pos="539"/>
                <w:tab w:val="left" w:pos="826"/>
              </w:tabs>
              <w:spacing w:before="120" w:line="240" w:lineRule="auto"/>
              <w:ind w:right="97" w:hanging="288"/>
              <w:jc w:val="both"/>
              <w:rPr>
                <w:sz w:val="24"/>
              </w:rPr>
            </w:pPr>
            <w:r w:rsidRPr="00150EDC">
              <w:rPr>
                <w:sz w:val="24"/>
              </w:rPr>
              <w:t>provides</w:t>
            </w:r>
            <w:r w:rsidRPr="00150EDC">
              <w:rPr>
                <w:spacing w:val="-17"/>
                <w:sz w:val="24"/>
              </w:rPr>
              <w:t xml:space="preserve"> </w:t>
            </w:r>
            <w:r w:rsidRPr="00150EDC">
              <w:rPr>
                <w:sz w:val="24"/>
              </w:rPr>
              <w:t>facilities</w:t>
            </w:r>
            <w:r w:rsidRPr="00150EDC">
              <w:rPr>
                <w:spacing w:val="-15"/>
                <w:sz w:val="24"/>
              </w:rPr>
              <w:t xml:space="preserve"> </w:t>
            </w:r>
            <w:r w:rsidRPr="00150EDC">
              <w:rPr>
                <w:sz w:val="24"/>
              </w:rPr>
              <w:t>or</w:t>
            </w:r>
            <w:r w:rsidRPr="00150EDC">
              <w:rPr>
                <w:spacing w:val="-17"/>
                <w:sz w:val="24"/>
              </w:rPr>
              <w:t xml:space="preserve"> </w:t>
            </w:r>
            <w:r w:rsidRPr="00150EDC">
              <w:rPr>
                <w:sz w:val="24"/>
              </w:rPr>
              <w:t>services</w:t>
            </w:r>
            <w:r w:rsidRPr="00150EDC">
              <w:rPr>
                <w:spacing w:val="-16"/>
                <w:sz w:val="24"/>
              </w:rPr>
              <w:t xml:space="preserve"> </w:t>
            </w:r>
            <w:r w:rsidRPr="00150EDC">
              <w:rPr>
                <w:sz w:val="24"/>
              </w:rPr>
              <w:t>necessary</w:t>
            </w:r>
            <w:r w:rsidRPr="00150EDC">
              <w:rPr>
                <w:spacing w:val="-17"/>
                <w:sz w:val="24"/>
              </w:rPr>
              <w:t xml:space="preserve"> </w:t>
            </w:r>
            <w:r w:rsidRPr="00150EDC">
              <w:rPr>
                <w:sz w:val="24"/>
              </w:rPr>
              <w:t>for</w:t>
            </w:r>
            <w:r w:rsidRPr="00150EDC">
              <w:rPr>
                <w:spacing w:val="-17"/>
                <w:sz w:val="24"/>
              </w:rPr>
              <w:t xml:space="preserve"> </w:t>
            </w:r>
            <w:r w:rsidRPr="00150EDC">
              <w:rPr>
                <w:sz w:val="24"/>
              </w:rPr>
              <w:t>the</w:t>
            </w:r>
            <w:r w:rsidRPr="00150EDC">
              <w:rPr>
                <w:spacing w:val="-15"/>
                <w:sz w:val="24"/>
              </w:rPr>
              <w:t xml:space="preserve"> </w:t>
            </w:r>
            <w:r w:rsidRPr="00150EDC">
              <w:rPr>
                <w:sz w:val="24"/>
              </w:rPr>
              <w:t>provision</w:t>
            </w:r>
            <w:r w:rsidRPr="00150EDC">
              <w:rPr>
                <w:spacing w:val="-17"/>
                <w:sz w:val="24"/>
              </w:rPr>
              <w:t xml:space="preserve"> </w:t>
            </w:r>
            <w:r w:rsidRPr="00150EDC">
              <w:rPr>
                <w:sz w:val="24"/>
              </w:rPr>
              <w:t>of</w:t>
            </w:r>
            <w:r w:rsidRPr="00150EDC">
              <w:rPr>
                <w:spacing w:val="-16"/>
                <w:sz w:val="24"/>
              </w:rPr>
              <w:t xml:space="preserve"> </w:t>
            </w:r>
            <w:r w:rsidRPr="00150EDC">
              <w:rPr>
                <w:sz w:val="24"/>
              </w:rPr>
              <w:t>the Deliverables (or any part of them); and/or</w:t>
            </w:r>
          </w:p>
          <w:p w14:paraId="552780C3" w14:textId="77777777" w:rsidR="004C7180" w:rsidRPr="00150EDC" w:rsidRDefault="00CF0754" w:rsidP="00B320C7">
            <w:pPr>
              <w:pStyle w:val="TableParagraph"/>
              <w:numPr>
                <w:ilvl w:val="0"/>
                <w:numId w:val="104"/>
              </w:numPr>
              <w:tabs>
                <w:tab w:val="left" w:pos="539"/>
                <w:tab w:val="left" w:pos="826"/>
              </w:tabs>
              <w:spacing w:before="121" w:line="240" w:lineRule="auto"/>
              <w:ind w:right="101" w:hanging="288"/>
              <w:jc w:val="both"/>
              <w:rPr>
                <w:sz w:val="24"/>
              </w:rPr>
            </w:pPr>
            <w:r w:rsidRPr="00150EDC">
              <w:rPr>
                <w:sz w:val="24"/>
              </w:rPr>
              <w:t>is responsible for the management, direction or control of the provision of the Deliverables (or any part of them);</w:t>
            </w:r>
          </w:p>
        </w:tc>
      </w:tr>
      <w:tr w:rsidR="007D3144" w:rsidRPr="007D3144" w14:paraId="129AAE50" w14:textId="77777777">
        <w:trPr>
          <w:trHeight w:val="671"/>
        </w:trPr>
        <w:tc>
          <w:tcPr>
            <w:tcW w:w="2264" w:type="dxa"/>
          </w:tcPr>
          <w:p w14:paraId="3FAFD716" w14:textId="77777777" w:rsidR="004C7180" w:rsidRPr="00150EDC" w:rsidRDefault="00CF0754">
            <w:pPr>
              <w:pStyle w:val="TableParagraph"/>
              <w:spacing w:before="0" w:line="240" w:lineRule="auto"/>
              <w:ind w:left="-1"/>
              <w:rPr>
                <w:b/>
                <w:sz w:val="24"/>
              </w:rPr>
            </w:pPr>
            <w:r w:rsidRPr="00150EDC">
              <w:rPr>
                <w:b/>
                <w:spacing w:val="-2"/>
                <w:sz w:val="24"/>
              </w:rPr>
              <w:t>"Subcontractor"</w:t>
            </w:r>
          </w:p>
        </w:tc>
        <w:tc>
          <w:tcPr>
            <w:tcW w:w="7484" w:type="dxa"/>
          </w:tcPr>
          <w:p w14:paraId="57DB495F" w14:textId="77777777" w:rsidR="004C7180" w:rsidRPr="00150EDC" w:rsidRDefault="00CF0754">
            <w:pPr>
              <w:pStyle w:val="TableParagraph"/>
              <w:spacing w:before="0" w:line="240" w:lineRule="auto"/>
              <w:ind w:left="277"/>
              <w:rPr>
                <w:sz w:val="24"/>
              </w:rPr>
            </w:pPr>
            <w:r w:rsidRPr="00150EDC">
              <w:rPr>
                <w:sz w:val="24"/>
              </w:rPr>
              <w:t>any</w:t>
            </w:r>
            <w:r w:rsidRPr="00150EDC">
              <w:rPr>
                <w:spacing w:val="-16"/>
                <w:sz w:val="24"/>
              </w:rPr>
              <w:t xml:space="preserve"> </w:t>
            </w:r>
            <w:r w:rsidRPr="00150EDC">
              <w:rPr>
                <w:sz w:val="24"/>
              </w:rPr>
              <w:t>person</w:t>
            </w:r>
            <w:r w:rsidRPr="00150EDC">
              <w:rPr>
                <w:spacing w:val="-16"/>
                <w:sz w:val="24"/>
              </w:rPr>
              <w:t xml:space="preserve"> </w:t>
            </w:r>
            <w:r w:rsidRPr="00150EDC">
              <w:rPr>
                <w:sz w:val="24"/>
              </w:rPr>
              <w:t>other</w:t>
            </w:r>
            <w:r w:rsidRPr="00150EDC">
              <w:rPr>
                <w:spacing w:val="-16"/>
                <w:sz w:val="24"/>
              </w:rPr>
              <w:t xml:space="preserve"> </w:t>
            </w:r>
            <w:r w:rsidRPr="00150EDC">
              <w:rPr>
                <w:sz w:val="24"/>
              </w:rPr>
              <w:t>than</w:t>
            </w:r>
            <w:r w:rsidRPr="00150EDC">
              <w:rPr>
                <w:spacing w:val="-16"/>
                <w:sz w:val="24"/>
              </w:rPr>
              <w:t xml:space="preserve"> </w:t>
            </w:r>
            <w:r w:rsidRPr="00150EDC">
              <w:rPr>
                <w:sz w:val="24"/>
              </w:rPr>
              <w:t>the</w:t>
            </w:r>
            <w:r w:rsidRPr="00150EDC">
              <w:rPr>
                <w:spacing w:val="-14"/>
                <w:sz w:val="24"/>
              </w:rPr>
              <w:t xml:space="preserve"> </w:t>
            </w:r>
            <w:r w:rsidRPr="00150EDC">
              <w:rPr>
                <w:sz w:val="24"/>
              </w:rPr>
              <w:t>Supplier,</w:t>
            </w:r>
            <w:r w:rsidRPr="00150EDC">
              <w:rPr>
                <w:spacing w:val="-17"/>
                <w:sz w:val="24"/>
              </w:rPr>
              <w:t xml:space="preserve"> </w:t>
            </w:r>
            <w:r w:rsidRPr="00150EDC">
              <w:rPr>
                <w:sz w:val="24"/>
              </w:rPr>
              <w:t>who</w:t>
            </w:r>
            <w:r w:rsidRPr="00150EDC">
              <w:rPr>
                <w:spacing w:val="-14"/>
                <w:sz w:val="24"/>
              </w:rPr>
              <w:t xml:space="preserve"> </w:t>
            </w:r>
            <w:r w:rsidRPr="00150EDC">
              <w:rPr>
                <w:sz w:val="24"/>
              </w:rPr>
              <w:t>is</w:t>
            </w:r>
            <w:r w:rsidRPr="00150EDC">
              <w:rPr>
                <w:spacing w:val="-17"/>
                <w:sz w:val="24"/>
              </w:rPr>
              <w:t xml:space="preserve"> </w:t>
            </w:r>
            <w:r w:rsidRPr="00150EDC">
              <w:rPr>
                <w:sz w:val="24"/>
              </w:rPr>
              <w:t>a</w:t>
            </w:r>
            <w:r w:rsidRPr="00150EDC">
              <w:rPr>
                <w:spacing w:val="-16"/>
                <w:sz w:val="24"/>
              </w:rPr>
              <w:t xml:space="preserve"> </w:t>
            </w:r>
            <w:r w:rsidRPr="00150EDC">
              <w:rPr>
                <w:sz w:val="24"/>
              </w:rPr>
              <w:t>party</w:t>
            </w:r>
            <w:r w:rsidRPr="00150EDC">
              <w:rPr>
                <w:spacing w:val="-15"/>
                <w:sz w:val="24"/>
              </w:rPr>
              <w:t xml:space="preserve"> </w:t>
            </w:r>
            <w:r w:rsidRPr="00150EDC">
              <w:rPr>
                <w:sz w:val="24"/>
              </w:rPr>
              <w:t>to</w:t>
            </w:r>
            <w:r w:rsidRPr="00150EDC">
              <w:rPr>
                <w:spacing w:val="-16"/>
                <w:sz w:val="24"/>
              </w:rPr>
              <w:t xml:space="preserve"> </w:t>
            </w:r>
            <w:r w:rsidRPr="00150EDC">
              <w:rPr>
                <w:sz w:val="24"/>
              </w:rPr>
              <w:t>a</w:t>
            </w:r>
            <w:r w:rsidRPr="00150EDC">
              <w:rPr>
                <w:spacing w:val="-14"/>
                <w:sz w:val="24"/>
              </w:rPr>
              <w:t xml:space="preserve"> </w:t>
            </w:r>
            <w:r w:rsidRPr="00150EDC">
              <w:rPr>
                <w:sz w:val="24"/>
              </w:rPr>
              <w:t>Sub-Contract and the servants or agents of that person;</w:t>
            </w:r>
          </w:p>
        </w:tc>
      </w:tr>
      <w:tr w:rsidR="007D3144" w:rsidRPr="007D3144" w14:paraId="0229D7A9" w14:textId="77777777">
        <w:trPr>
          <w:trHeight w:val="671"/>
        </w:trPr>
        <w:tc>
          <w:tcPr>
            <w:tcW w:w="2264" w:type="dxa"/>
          </w:tcPr>
          <w:p w14:paraId="531DDCA6" w14:textId="77777777" w:rsidR="004C7180" w:rsidRPr="00150EDC" w:rsidRDefault="00CF0754">
            <w:pPr>
              <w:pStyle w:val="TableParagraph"/>
              <w:spacing w:before="0" w:line="240" w:lineRule="auto"/>
              <w:ind w:left="-1"/>
              <w:rPr>
                <w:b/>
                <w:sz w:val="24"/>
              </w:rPr>
            </w:pPr>
            <w:r w:rsidRPr="00150EDC">
              <w:rPr>
                <w:b/>
                <w:spacing w:val="-2"/>
                <w:sz w:val="24"/>
              </w:rPr>
              <w:t>"Subprocessor"</w:t>
            </w:r>
          </w:p>
        </w:tc>
        <w:tc>
          <w:tcPr>
            <w:tcW w:w="7484" w:type="dxa"/>
          </w:tcPr>
          <w:p w14:paraId="3BA69EE0" w14:textId="77777777" w:rsidR="004C7180" w:rsidRPr="00150EDC" w:rsidRDefault="00CF0754">
            <w:pPr>
              <w:pStyle w:val="TableParagraph"/>
              <w:spacing w:before="0" w:line="240" w:lineRule="auto"/>
              <w:ind w:left="277"/>
              <w:rPr>
                <w:sz w:val="24"/>
              </w:rPr>
            </w:pPr>
            <w:r w:rsidRPr="00150EDC">
              <w:rPr>
                <w:sz w:val="24"/>
              </w:rPr>
              <w:t>any</w:t>
            </w:r>
            <w:r w:rsidRPr="00150EDC">
              <w:rPr>
                <w:spacing w:val="-13"/>
                <w:sz w:val="24"/>
              </w:rPr>
              <w:t xml:space="preserve"> </w:t>
            </w:r>
            <w:r w:rsidRPr="00150EDC">
              <w:rPr>
                <w:sz w:val="24"/>
              </w:rPr>
              <w:t>third</w:t>
            </w:r>
            <w:r w:rsidRPr="00150EDC">
              <w:rPr>
                <w:spacing w:val="-12"/>
                <w:sz w:val="24"/>
              </w:rPr>
              <w:t xml:space="preserve"> </w:t>
            </w:r>
            <w:r w:rsidRPr="00150EDC">
              <w:rPr>
                <w:sz w:val="24"/>
              </w:rPr>
              <w:t>party</w:t>
            </w:r>
            <w:r w:rsidRPr="00150EDC">
              <w:rPr>
                <w:spacing w:val="-13"/>
                <w:sz w:val="24"/>
              </w:rPr>
              <w:t xml:space="preserve"> </w:t>
            </w:r>
            <w:r w:rsidRPr="00150EDC">
              <w:rPr>
                <w:sz w:val="24"/>
              </w:rPr>
              <w:t>appointed</w:t>
            </w:r>
            <w:r w:rsidRPr="00150EDC">
              <w:rPr>
                <w:spacing w:val="-12"/>
                <w:sz w:val="24"/>
              </w:rPr>
              <w:t xml:space="preserve"> </w:t>
            </w:r>
            <w:r w:rsidRPr="00150EDC">
              <w:rPr>
                <w:sz w:val="24"/>
              </w:rPr>
              <w:t>to</w:t>
            </w:r>
            <w:r w:rsidRPr="00150EDC">
              <w:rPr>
                <w:spacing w:val="-11"/>
                <w:sz w:val="24"/>
              </w:rPr>
              <w:t xml:space="preserve"> </w:t>
            </w:r>
            <w:r w:rsidRPr="00150EDC">
              <w:rPr>
                <w:sz w:val="24"/>
              </w:rPr>
              <w:t>process</w:t>
            </w:r>
            <w:r w:rsidRPr="00150EDC">
              <w:rPr>
                <w:spacing w:val="-13"/>
                <w:sz w:val="24"/>
              </w:rPr>
              <w:t xml:space="preserve"> </w:t>
            </w:r>
            <w:r w:rsidRPr="00150EDC">
              <w:rPr>
                <w:sz w:val="24"/>
              </w:rPr>
              <w:t>Personal</w:t>
            </w:r>
            <w:r w:rsidRPr="00150EDC">
              <w:rPr>
                <w:spacing w:val="-15"/>
                <w:sz w:val="24"/>
              </w:rPr>
              <w:t xml:space="preserve"> </w:t>
            </w:r>
            <w:r w:rsidRPr="00150EDC">
              <w:rPr>
                <w:sz w:val="24"/>
              </w:rPr>
              <w:t>Data</w:t>
            </w:r>
            <w:r w:rsidRPr="00150EDC">
              <w:rPr>
                <w:spacing w:val="-12"/>
                <w:sz w:val="24"/>
              </w:rPr>
              <w:t xml:space="preserve"> </w:t>
            </w:r>
            <w:r w:rsidRPr="00150EDC">
              <w:rPr>
                <w:sz w:val="24"/>
              </w:rPr>
              <w:t>on</w:t>
            </w:r>
            <w:r w:rsidRPr="00150EDC">
              <w:rPr>
                <w:spacing w:val="-12"/>
                <w:sz w:val="24"/>
              </w:rPr>
              <w:t xml:space="preserve"> </w:t>
            </w:r>
            <w:r w:rsidRPr="00150EDC">
              <w:rPr>
                <w:sz w:val="24"/>
              </w:rPr>
              <w:t>behalf</w:t>
            </w:r>
            <w:r w:rsidRPr="00150EDC">
              <w:rPr>
                <w:spacing w:val="-13"/>
                <w:sz w:val="24"/>
              </w:rPr>
              <w:t xml:space="preserve"> </w:t>
            </w:r>
            <w:r w:rsidRPr="00150EDC">
              <w:rPr>
                <w:sz w:val="24"/>
              </w:rPr>
              <w:t>of</w:t>
            </w:r>
            <w:r w:rsidRPr="00150EDC">
              <w:rPr>
                <w:spacing w:val="-12"/>
                <w:sz w:val="24"/>
              </w:rPr>
              <w:t xml:space="preserve"> </w:t>
            </w:r>
            <w:r w:rsidRPr="00150EDC">
              <w:rPr>
                <w:sz w:val="24"/>
              </w:rPr>
              <w:t>that Processor related to a Contract;</w:t>
            </w:r>
          </w:p>
        </w:tc>
      </w:tr>
      <w:tr w:rsidR="007D3144" w:rsidRPr="007D3144" w14:paraId="2C69521E" w14:textId="77777777">
        <w:trPr>
          <w:trHeight w:val="671"/>
        </w:trPr>
        <w:tc>
          <w:tcPr>
            <w:tcW w:w="2264" w:type="dxa"/>
          </w:tcPr>
          <w:p w14:paraId="1A433188" w14:textId="77777777" w:rsidR="004C7180" w:rsidRPr="00150EDC" w:rsidRDefault="00CF0754">
            <w:pPr>
              <w:pStyle w:val="TableParagraph"/>
              <w:spacing w:before="0" w:line="240" w:lineRule="auto"/>
              <w:ind w:left="-1"/>
              <w:rPr>
                <w:b/>
                <w:sz w:val="24"/>
              </w:rPr>
            </w:pPr>
            <w:r w:rsidRPr="00150EDC">
              <w:rPr>
                <w:b/>
                <w:spacing w:val="-2"/>
                <w:sz w:val="24"/>
              </w:rPr>
              <w:t>"Supplier"</w:t>
            </w:r>
          </w:p>
        </w:tc>
        <w:tc>
          <w:tcPr>
            <w:tcW w:w="7484" w:type="dxa"/>
          </w:tcPr>
          <w:p w14:paraId="1ECFFEA9" w14:textId="77777777" w:rsidR="004C7180" w:rsidRPr="00150EDC" w:rsidRDefault="00CF0754">
            <w:pPr>
              <w:pStyle w:val="TableParagraph"/>
              <w:spacing w:before="0" w:line="240" w:lineRule="auto"/>
              <w:ind w:left="277"/>
              <w:rPr>
                <w:sz w:val="24"/>
              </w:rPr>
            </w:pPr>
            <w:r w:rsidRPr="00150EDC">
              <w:rPr>
                <w:sz w:val="24"/>
              </w:rPr>
              <w:t>the</w:t>
            </w:r>
            <w:r w:rsidRPr="00150EDC">
              <w:rPr>
                <w:spacing w:val="40"/>
                <w:sz w:val="24"/>
              </w:rPr>
              <w:t xml:space="preserve"> </w:t>
            </w:r>
            <w:r w:rsidRPr="00150EDC">
              <w:rPr>
                <w:sz w:val="24"/>
              </w:rPr>
              <w:t>person,</w:t>
            </w:r>
            <w:r w:rsidRPr="00150EDC">
              <w:rPr>
                <w:spacing w:val="40"/>
                <w:sz w:val="24"/>
              </w:rPr>
              <w:t xml:space="preserve"> </w:t>
            </w:r>
            <w:r w:rsidRPr="00150EDC">
              <w:rPr>
                <w:sz w:val="24"/>
              </w:rPr>
              <w:t>firm</w:t>
            </w:r>
            <w:r w:rsidRPr="00150EDC">
              <w:rPr>
                <w:spacing w:val="40"/>
                <w:sz w:val="24"/>
              </w:rPr>
              <w:t xml:space="preserve"> </w:t>
            </w:r>
            <w:r w:rsidRPr="00150EDC">
              <w:rPr>
                <w:sz w:val="24"/>
              </w:rPr>
              <w:t>or</w:t>
            </w:r>
            <w:r w:rsidRPr="00150EDC">
              <w:rPr>
                <w:spacing w:val="40"/>
                <w:sz w:val="24"/>
              </w:rPr>
              <w:t xml:space="preserve"> </w:t>
            </w:r>
            <w:r w:rsidRPr="00150EDC">
              <w:rPr>
                <w:sz w:val="24"/>
              </w:rPr>
              <w:t>company</w:t>
            </w:r>
            <w:r w:rsidRPr="00150EDC">
              <w:rPr>
                <w:spacing w:val="40"/>
                <w:sz w:val="24"/>
              </w:rPr>
              <w:t xml:space="preserve"> </w:t>
            </w:r>
            <w:r w:rsidRPr="00150EDC">
              <w:rPr>
                <w:sz w:val="24"/>
              </w:rPr>
              <w:t>identified</w:t>
            </w:r>
            <w:r w:rsidRPr="00150EDC">
              <w:rPr>
                <w:spacing w:val="40"/>
                <w:sz w:val="24"/>
              </w:rPr>
              <w:t xml:space="preserve"> </w:t>
            </w:r>
            <w:r w:rsidRPr="00150EDC">
              <w:rPr>
                <w:sz w:val="24"/>
              </w:rPr>
              <w:t>in</w:t>
            </w:r>
            <w:r w:rsidRPr="00150EDC">
              <w:rPr>
                <w:spacing w:val="40"/>
                <w:sz w:val="24"/>
              </w:rPr>
              <w:t xml:space="preserve"> </w:t>
            </w:r>
            <w:r w:rsidRPr="00150EDC">
              <w:rPr>
                <w:sz w:val="24"/>
              </w:rPr>
              <w:t>the</w:t>
            </w:r>
            <w:r w:rsidRPr="00150EDC">
              <w:rPr>
                <w:spacing w:val="40"/>
                <w:sz w:val="24"/>
              </w:rPr>
              <w:t xml:space="preserve"> </w:t>
            </w:r>
            <w:r w:rsidRPr="00150EDC">
              <w:rPr>
                <w:sz w:val="24"/>
              </w:rPr>
              <w:t>DPS</w:t>
            </w:r>
            <w:r w:rsidRPr="00150EDC">
              <w:rPr>
                <w:spacing w:val="40"/>
                <w:sz w:val="24"/>
              </w:rPr>
              <w:t xml:space="preserve"> </w:t>
            </w:r>
            <w:r w:rsidRPr="00150EDC">
              <w:rPr>
                <w:sz w:val="24"/>
              </w:rPr>
              <w:t xml:space="preserve">Appointment </w:t>
            </w:r>
            <w:r w:rsidRPr="00150EDC">
              <w:rPr>
                <w:spacing w:val="-2"/>
                <w:sz w:val="24"/>
              </w:rPr>
              <w:t>Form;</w:t>
            </w:r>
          </w:p>
        </w:tc>
      </w:tr>
    </w:tbl>
    <w:p w14:paraId="5F800FA1" w14:textId="77777777" w:rsidR="004C7180" w:rsidRPr="00150EDC" w:rsidRDefault="004C7180">
      <w:pPr>
        <w:rPr>
          <w:sz w:val="24"/>
        </w:rPr>
        <w:sectPr w:rsidR="004C7180" w:rsidRPr="00150EDC">
          <w:pgSz w:w="11910" w:h="16840"/>
          <w:pgMar w:top="1160" w:right="0" w:bottom="1460" w:left="40" w:header="715" w:footer="1208" w:gutter="0"/>
          <w:cols w:space="720"/>
        </w:sectPr>
      </w:pPr>
    </w:p>
    <w:p w14:paraId="4EE47F4F" w14:textId="77777777" w:rsidR="004C7180" w:rsidRPr="00150EDC" w:rsidRDefault="004C7180">
      <w:pPr>
        <w:pStyle w:val="BodyText"/>
        <w:spacing w:before="7"/>
        <w:rPr>
          <w:sz w:val="23"/>
        </w:rPr>
      </w:pPr>
    </w:p>
    <w:tbl>
      <w:tblPr>
        <w:tblW w:w="0" w:type="auto"/>
        <w:tblInd w:w="1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4"/>
        <w:gridCol w:w="7484"/>
      </w:tblGrid>
      <w:tr w:rsidR="007D3144" w:rsidRPr="007D3144" w14:paraId="79D42EE7" w14:textId="77777777">
        <w:trPr>
          <w:trHeight w:val="948"/>
        </w:trPr>
        <w:tc>
          <w:tcPr>
            <w:tcW w:w="2264" w:type="dxa"/>
          </w:tcPr>
          <w:p w14:paraId="2EF4E227" w14:textId="77777777" w:rsidR="004C7180" w:rsidRPr="00150EDC" w:rsidRDefault="00CF0754">
            <w:pPr>
              <w:pStyle w:val="TableParagraph"/>
              <w:spacing w:before="0" w:line="240" w:lineRule="auto"/>
              <w:ind w:left="-1"/>
              <w:rPr>
                <w:b/>
                <w:sz w:val="24"/>
              </w:rPr>
            </w:pPr>
            <w:r w:rsidRPr="00150EDC">
              <w:rPr>
                <w:b/>
                <w:sz w:val="24"/>
              </w:rPr>
              <w:t>"Supplier</w:t>
            </w:r>
            <w:r w:rsidRPr="00150EDC">
              <w:rPr>
                <w:b/>
                <w:spacing w:val="-8"/>
                <w:sz w:val="24"/>
              </w:rPr>
              <w:t xml:space="preserve"> </w:t>
            </w:r>
            <w:r w:rsidRPr="00150EDC">
              <w:rPr>
                <w:b/>
                <w:spacing w:val="-2"/>
                <w:sz w:val="24"/>
              </w:rPr>
              <w:t>Assets"</w:t>
            </w:r>
          </w:p>
        </w:tc>
        <w:tc>
          <w:tcPr>
            <w:tcW w:w="7484" w:type="dxa"/>
          </w:tcPr>
          <w:p w14:paraId="0394AD97" w14:textId="77777777" w:rsidR="004C7180" w:rsidRPr="00150EDC" w:rsidRDefault="00CF0754">
            <w:pPr>
              <w:pStyle w:val="TableParagraph"/>
              <w:spacing w:before="0" w:line="240" w:lineRule="auto"/>
              <w:ind w:left="277" w:right="101"/>
              <w:jc w:val="both"/>
              <w:rPr>
                <w:sz w:val="24"/>
              </w:rPr>
            </w:pPr>
            <w:r w:rsidRPr="00150EDC">
              <w:rPr>
                <w:sz w:val="24"/>
              </w:rPr>
              <w:t>all assets and rights used by the Supplier to provide the Deliverables in accordance with the Order Contract but excluding the Buyer Assets;</w:t>
            </w:r>
          </w:p>
        </w:tc>
      </w:tr>
      <w:tr w:rsidR="007D3144" w:rsidRPr="007D3144" w14:paraId="1910FA64" w14:textId="77777777">
        <w:trPr>
          <w:trHeight w:val="947"/>
        </w:trPr>
        <w:tc>
          <w:tcPr>
            <w:tcW w:w="2264" w:type="dxa"/>
          </w:tcPr>
          <w:p w14:paraId="5C1844D5" w14:textId="77777777" w:rsidR="004C7180" w:rsidRPr="00150EDC" w:rsidRDefault="00CF0754">
            <w:pPr>
              <w:pStyle w:val="TableParagraph"/>
              <w:spacing w:before="0" w:line="240" w:lineRule="auto"/>
              <w:ind w:left="-1"/>
              <w:rPr>
                <w:b/>
                <w:sz w:val="24"/>
              </w:rPr>
            </w:pPr>
            <w:r w:rsidRPr="00150EDC">
              <w:rPr>
                <w:b/>
                <w:spacing w:val="-2"/>
                <w:sz w:val="24"/>
              </w:rPr>
              <w:t>"Supplier Authorised Representative"</w:t>
            </w:r>
          </w:p>
        </w:tc>
        <w:tc>
          <w:tcPr>
            <w:tcW w:w="7484" w:type="dxa"/>
          </w:tcPr>
          <w:p w14:paraId="2A159565" w14:textId="77777777" w:rsidR="004C7180" w:rsidRPr="00150EDC" w:rsidRDefault="00CF0754">
            <w:pPr>
              <w:pStyle w:val="TableParagraph"/>
              <w:spacing w:before="0" w:line="240" w:lineRule="auto"/>
              <w:ind w:left="277"/>
              <w:rPr>
                <w:sz w:val="24"/>
              </w:rPr>
            </w:pPr>
            <w:r w:rsidRPr="00150EDC">
              <w:rPr>
                <w:sz w:val="24"/>
              </w:rPr>
              <w:t>the</w:t>
            </w:r>
            <w:r w:rsidRPr="00150EDC">
              <w:rPr>
                <w:spacing w:val="37"/>
                <w:sz w:val="24"/>
              </w:rPr>
              <w:t xml:space="preserve"> </w:t>
            </w:r>
            <w:r w:rsidRPr="00150EDC">
              <w:rPr>
                <w:sz w:val="24"/>
              </w:rPr>
              <w:t>representative</w:t>
            </w:r>
            <w:r w:rsidRPr="00150EDC">
              <w:rPr>
                <w:spacing w:val="37"/>
                <w:sz w:val="24"/>
              </w:rPr>
              <w:t xml:space="preserve"> </w:t>
            </w:r>
            <w:r w:rsidRPr="00150EDC">
              <w:rPr>
                <w:sz w:val="24"/>
              </w:rPr>
              <w:t>appointed</w:t>
            </w:r>
            <w:r w:rsidRPr="00150EDC">
              <w:rPr>
                <w:spacing w:val="37"/>
                <w:sz w:val="24"/>
              </w:rPr>
              <w:t xml:space="preserve"> </w:t>
            </w:r>
            <w:r w:rsidRPr="00150EDC">
              <w:rPr>
                <w:sz w:val="24"/>
              </w:rPr>
              <w:t>by</w:t>
            </w:r>
            <w:r w:rsidRPr="00150EDC">
              <w:rPr>
                <w:spacing w:val="36"/>
                <w:sz w:val="24"/>
              </w:rPr>
              <w:t xml:space="preserve"> </w:t>
            </w:r>
            <w:r w:rsidRPr="00150EDC">
              <w:rPr>
                <w:sz w:val="24"/>
              </w:rPr>
              <w:t>the</w:t>
            </w:r>
            <w:r w:rsidRPr="00150EDC">
              <w:rPr>
                <w:spacing w:val="37"/>
                <w:sz w:val="24"/>
              </w:rPr>
              <w:t xml:space="preserve"> </w:t>
            </w:r>
            <w:r w:rsidRPr="00150EDC">
              <w:rPr>
                <w:sz w:val="24"/>
              </w:rPr>
              <w:t>Supplier</w:t>
            </w:r>
            <w:r w:rsidRPr="00150EDC">
              <w:rPr>
                <w:spacing w:val="35"/>
                <w:sz w:val="24"/>
              </w:rPr>
              <w:t xml:space="preserve"> </w:t>
            </w:r>
            <w:r w:rsidRPr="00150EDC">
              <w:rPr>
                <w:sz w:val="24"/>
              </w:rPr>
              <w:t>named</w:t>
            </w:r>
            <w:r w:rsidRPr="00150EDC">
              <w:rPr>
                <w:spacing w:val="37"/>
                <w:sz w:val="24"/>
              </w:rPr>
              <w:t xml:space="preserve"> </w:t>
            </w:r>
            <w:r w:rsidRPr="00150EDC">
              <w:rPr>
                <w:sz w:val="24"/>
              </w:rPr>
              <w:t>in</w:t>
            </w:r>
            <w:r w:rsidRPr="00150EDC">
              <w:rPr>
                <w:spacing w:val="36"/>
                <w:sz w:val="24"/>
              </w:rPr>
              <w:t xml:space="preserve"> </w:t>
            </w:r>
            <w:r w:rsidRPr="00150EDC">
              <w:rPr>
                <w:sz w:val="24"/>
              </w:rPr>
              <w:t>the</w:t>
            </w:r>
            <w:r w:rsidRPr="00150EDC">
              <w:rPr>
                <w:spacing w:val="37"/>
                <w:sz w:val="24"/>
              </w:rPr>
              <w:t xml:space="preserve"> </w:t>
            </w:r>
            <w:r w:rsidRPr="00150EDC">
              <w:rPr>
                <w:sz w:val="24"/>
              </w:rPr>
              <w:t>DPS Appointment Form, or later defined in an Order Contract;</w:t>
            </w:r>
          </w:p>
        </w:tc>
      </w:tr>
      <w:tr w:rsidR="007D3144" w:rsidRPr="007D3144" w14:paraId="1AFB98CB" w14:textId="77777777">
        <w:trPr>
          <w:trHeight w:val="3120"/>
        </w:trPr>
        <w:tc>
          <w:tcPr>
            <w:tcW w:w="2264" w:type="dxa"/>
          </w:tcPr>
          <w:p w14:paraId="3B6298BC" w14:textId="77777777" w:rsidR="004C7180" w:rsidRPr="00150EDC" w:rsidRDefault="00CF0754">
            <w:pPr>
              <w:pStyle w:val="TableParagraph"/>
              <w:spacing w:before="0" w:line="240" w:lineRule="auto"/>
              <w:ind w:left="-1"/>
              <w:rPr>
                <w:b/>
                <w:sz w:val="24"/>
              </w:rPr>
            </w:pPr>
            <w:r w:rsidRPr="00150EDC">
              <w:rPr>
                <w:b/>
                <w:spacing w:val="-2"/>
                <w:sz w:val="24"/>
              </w:rPr>
              <w:t>"Supplier's Confidential Information"</w:t>
            </w:r>
          </w:p>
        </w:tc>
        <w:tc>
          <w:tcPr>
            <w:tcW w:w="7484" w:type="dxa"/>
          </w:tcPr>
          <w:p w14:paraId="508A25EF" w14:textId="77777777" w:rsidR="004C7180" w:rsidRPr="00150EDC" w:rsidRDefault="00CF0754">
            <w:pPr>
              <w:pStyle w:val="TableParagraph"/>
              <w:spacing w:before="0" w:line="240" w:lineRule="auto"/>
              <w:ind w:left="539" w:right="93" w:hanging="288"/>
              <w:jc w:val="both"/>
              <w:rPr>
                <w:sz w:val="24"/>
              </w:rPr>
            </w:pPr>
            <w:r w:rsidRPr="00150EDC">
              <w:rPr>
                <w:sz w:val="24"/>
              </w:rPr>
              <w:t>aaa) any information, however it is conveyed, that relates to the business, affairs, developments, IPR of the Supplier (including the Supplier Existing IPR) trade secrets, Know-How, and/or personnel of the Supplier;</w:t>
            </w:r>
          </w:p>
          <w:p w14:paraId="5EDE2028" w14:textId="77777777" w:rsidR="004C7180" w:rsidRPr="00150EDC" w:rsidRDefault="00CF0754">
            <w:pPr>
              <w:pStyle w:val="TableParagraph"/>
              <w:spacing w:before="120" w:line="240" w:lineRule="auto"/>
              <w:ind w:left="539" w:right="95" w:hanging="288"/>
              <w:jc w:val="both"/>
              <w:rPr>
                <w:sz w:val="24"/>
              </w:rPr>
            </w:pPr>
            <w:r w:rsidRPr="00150EDC">
              <w:rPr>
                <w:sz w:val="24"/>
              </w:rPr>
              <w:t>bbb) any other information</w:t>
            </w:r>
            <w:r w:rsidRPr="00150EDC">
              <w:rPr>
                <w:spacing w:val="-1"/>
                <w:sz w:val="24"/>
              </w:rPr>
              <w:t xml:space="preserve"> </w:t>
            </w:r>
            <w:r w:rsidRPr="00150EDC">
              <w:rPr>
                <w:sz w:val="24"/>
              </w:rPr>
              <w:t>clearly designated as being confidential (whether or not it is marked as "confidential") or which ought reasonably</w:t>
            </w:r>
            <w:r w:rsidRPr="00150EDC">
              <w:rPr>
                <w:spacing w:val="-2"/>
                <w:sz w:val="24"/>
              </w:rPr>
              <w:t xml:space="preserve"> </w:t>
            </w:r>
            <w:r w:rsidRPr="00150EDC">
              <w:rPr>
                <w:sz w:val="24"/>
              </w:rPr>
              <w:t>to</w:t>
            </w:r>
            <w:r w:rsidRPr="00150EDC">
              <w:rPr>
                <w:spacing w:val="-1"/>
                <w:sz w:val="24"/>
              </w:rPr>
              <w:t xml:space="preserve"> </w:t>
            </w:r>
            <w:r w:rsidRPr="00150EDC">
              <w:rPr>
                <w:sz w:val="24"/>
              </w:rPr>
              <w:t>be</w:t>
            </w:r>
            <w:r w:rsidRPr="00150EDC">
              <w:rPr>
                <w:spacing w:val="-1"/>
                <w:sz w:val="24"/>
              </w:rPr>
              <w:t xml:space="preserve"> </w:t>
            </w:r>
            <w:r w:rsidRPr="00150EDC">
              <w:rPr>
                <w:sz w:val="24"/>
              </w:rPr>
              <w:t>considered</w:t>
            </w:r>
            <w:r w:rsidRPr="00150EDC">
              <w:rPr>
                <w:spacing w:val="-3"/>
                <w:sz w:val="24"/>
              </w:rPr>
              <w:t xml:space="preserve"> </w:t>
            </w:r>
            <w:r w:rsidRPr="00150EDC">
              <w:rPr>
                <w:sz w:val="24"/>
              </w:rPr>
              <w:t>to</w:t>
            </w:r>
            <w:r w:rsidRPr="00150EDC">
              <w:rPr>
                <w:spacing w:val="-3"/>
                <w:sz w:val="24"/>
              </w:rPr>
              <w:t xml:space="preserve"> </w:t>
            </w:r>
            <w:r w:rsidRPr="00150EDC">
              <w:rPr>
                <w:sz w:val="24"/>
              </w:rPr>
              <w:t>be</w:t>
            </w:r>
            <w:r w:rsidRPr="00150EDC">
              <w:rPr>
                <w:spacing w:val="-3"/>
                <w:sz w:val="24"/>
              </w:rPr>
              <w:t xml:space="preserve"> </w:t>
            </w:r>
            <w:r w:rsidRPr="00150EDC">
              <w:rPr>
                <w:sz w:val="24"/>
              </w:rPr>
              <w:t>confidential</w:t>
            </w:r>
            <w:r w:rsidRPr="00150EDC">
              <w:rPr>
                <w:spacing w:val="-2"/>
                <w:sz w:val="24"/>
              </w:rPr>
              <w:t xml:space="preserve"> </w:t>
            </w:r>
            <w:r w:rsidRPr="00150EDC">
              <w:rPr>
                <w:sz w:val="24"/>
              </w:rPr>
              <w:t>and</w:t>
            </w:r>
            <w:r w:rsidRPr="00150EDC">
              <w:rPr>
                <w:spacing w:val="-3"/>
                <w:sz w:val="24"/>
              </w:rPr>
              <w:t xml:space="preserve"> </w:t>
            </w:r>
            <w:r w:rsidRPr="00150EDC">
              <w:rPr>
                <w:sz w:val="24"/>
              </w:rPr>
              <w:t>which</w:t>
            </w:r>
            <w:r w:rsidRPr="00150EDC">
              <w:rPr>
                <w:spacing w:val="-1"/>
                <w:sz w:val="24"/>
              </w:rPr>
              <w:t xml:space="preserve"> </w:t>
            </w:r>
            <w:r w:rsidRPr="00150EDC">
              <w:rPr>
                <w:sz w:val="24"/>
              </w:rPr>
              <w:t>comes (or has come) to the Supplier’s attention or into the Supplier’s possession in connection with a Contract;</w:t>
            </w:r>
          </w:p>
          <w:p w14:paraId="0A8492AC" w14:textId="77777777" w:rsidR="004C7180" w:rsidRPr="00150EDC" w:rsidRDefault="00CF0754">
            <w:pPr>
              <w:pStyle w:val="TableParagraph"/>
              <w:spacing w:before="121" w:line="240" w:lineRule="auto"/>
              <w:ind w:left="251"/>
              <w:jc w:val="both"/>
              <w:rPr>
                <w:sz w:val="24"/>
              </w:rPr>
            </w:pPr>
            <w:r w:rsidRPr="00150EDC">
              <w:rPr>
                <w:sz w:val="24"/>
              </w:rPr>
              <w:t>ccc)</w:t>
            </w:r>
            <w:r w:rsidRPr="00150EDC">
              <w:rPr>
                <w:spacing w:val="61"/>
                <w:sz w:val="24"/>
              </w:rPr>
              <w:t xml:space="preserve"> </w:t>
            </w:r>
            <w:r w:rsidRPr="00150EDC">
              <w:rPr>
                <w:sz w:val="24"/>
              </w:rPr>
              <w:t>Information</w:t>
            </w:r>
            <w:r w:rsidRPr="00150EDC">
              <w:rPr>
                <w:spacing w:val="-2"/>
                <w:sz w:val="24"/>
              </w:rPr>
              <w:t xml:space="preserve"> </w:t>
            </w:r>
            <w:r w:rsidRPr="00150EDC">
              <w:rPr>
                <w:sz w:val="24"/>
              </w:rPr>
              <w:t>derived</w:t>
            </w:r>
            <w:r w:rsidRPr="00150EDC">
              <w:rPr>
                <w:spacing w:val="-2"/>
                <w:sz w:val="24"/>
              </w:rPr>
              <w:t xml:space="preserve"> </w:t>
            </w:r>
            <w:r w:rsidRPr="00150EDC">
              <w:rPr>
                <w:sz w:val="24"/>
              </w:rPr>
              <w:t>from</w:t>
            </w:r>
            <w:r w:rsidRPr="00150EDC">
              <w:rPr>
                <w:spacing w:val="-1"/>
                <w:sz w:val="24"/>
              </w:rPr>
              <w:t xml:space="preserve"> </w:t>
            </w:r>
            <w:r w:rsidRPr="00150EDC">
              <w:rPr>
                <w:sz w:val="24"/>
              </w:rPr>
              <w:t>any</w:t>
            </w:r>
            <w:r w:rsidRPr="00150EDC">
              <w:rPr>
                <w:spacing w:val="-2"/>
                <w:sz w:val="24"/>
              </w:rPr>
              <w:t xml:space="preserve"> </w:t>
            </w:r>
            <w:r w:rsidRPr="00150EDC">
              <w:rPr>
                <w:sz w:val="24"/>
              </w:rPr>
              <w:t>of</w:t>
            </w:r>
            <w:r w:rsidRPr="00150EDC">
              <w:rPr>
                <w:spacing w:val="-3"/>
                <w:sz w:val="24"/>
              </w:rPr>
              <w:t xml:space="preserve"> </w:t>
            </w:r>
            <w:r w:rsidRPr="00150EDC">
              <w:rPr>
                <w:sz w:val="24"/>
              </w:rPr>
              <w:t>(a)</w:t>
            </w:r>
            <w:r w:rsidRPr="00150EDC">
              <w:rPr>
                <w:spacing w:val="-2"/>
                <w:sz w:val="24"/>
              </w:rPr>
              <w:t xml:space="preserve"> </w:t>
            </w:r>
            <w:r w:rsidRPr="00150EDC">
              <w:rPr>
                <w:sz w:val="24"/>
              </w:rPr>
              <w:t>and</w:t>
            </w:r>
            <w:r w:rsidRPr="00150EDC">
              <w:rPr>
                <w:spacing w:val="-2"/>
                <w:sz w:val="24"/>
              </w:rPr>
              <w:t xml:space="preserve"> </w:t>
            </w:r>
            <w:r w:rsidRPr="00150EDC">
              <w:rPr>
                <w:sz w:val="24"/>
              </w:rPr>
              <w:t>(b)</w:t>
            </w:r>
            <w:r w:rsidRPr="00150EDC">
              <w:rPr>
                <w:spacing w:val="-2"/>
                <w:sz w:val="24"/>
              </w:rPr>
              <w:t xml:space="preserve"> above;</w:t>
            </w:r>
          </w:p>
        </w:tc>
      </w:tr>
      <w:tr w:rsidR="007D3144" w:rsidRPr="007D3144" w14:paraId="3CD017C6" w14:textId="77777777">
        <w:trPr>
          <w:trHeight w:val="1638"/>
        </w:trPr>
        <w:tc>
          <w:tcPr>
            <w:tcW w:w="2264" w:type="dxa"/>
          </w:tcPr>
          <w:p w14:paraId="41216216" w14:textId="77777777" w:rsidR="004C7180" w:rsidRPr="00150EDC" w:rsidRDefault="00CF0754">
            <w:pPr>
              <w:pStyle w:val="TableParagraph"/>
              <w:spacing w:before="2" w:line="240" w:lineRule="auto"/>
              <w:ind w:left="-1" w:right="298"/>
              <w:rPr>
                <w:b/>
                <w:sz w:val="24"/>
              </w:rPr>
            </w:pPr>
            <w:r w:rsidRPr="00150EDC">
              <w:rPr>
                <w:b/>
                <w:spacing w:val="-2"/>
                <w:sz w:val="24"/>
              </w:rPr>
              <w:t>"Supplier's Contract Manager”</w:t>
            </w:r>
          </w:p>
        </w:tc>
        <w:tc>
          <w:tcPr>
            <w:tcW w:w="7484" w:type="dxa"/>
          </w:tcPr>
          <w:p w14:paraId="38BCC4A1" w14:textId="77777777" w:rsidR="004C7180" w:rsidRPr="00150EDC" w:rsidRDefault="00CF0754">
            <w:pPr>
              <w:pStyle w:val="TableParagraph"/>
              <w:spacing w:before="122" w:line="240" w:lineRule="auto"/>
              <w:ind w:left="1240" w:right="95" w:hanging="567"/>
              <w:jc w:val="both"/>
              <w:rPr>
                <w:sz w:val="24"/>
              </w:rPr>
            </w:pPr>
            <w:r w:rsidRPr="00150EDC">
              <w:rPr>
                <w:sz w:val="24"/>
              </w:rPr>
              <w:t>the person identified in the Order Form appointed by the Supplier</w:t>
            </w:r>
            <w:r w:rsidRPr="00150EDC">
              <w:rPr>
                <w:spacing w:val="-17"/>
                <w:sz w:val="24"/>
              </w:rPr>
              <w:t xml:space="preserve"> </w:t>
            </w:r>
            <w:r w:rsidRPr="00150EDC">
              <w:rPr>
                <w:sz w:val="24"/>
              </w:rPr>
              <w:t>to</w:t>
            </w:r>
            <w:r w:rsidRPr="00150EDC">
              <w:rPr>
                <w:spacing w:val="-17"/>
                <w:sz w:val="24"/>
              </w:rPr>
              <w:t xml:space="preserve"> </w:t>
            </w:r>
            <w:r w:rsidRPr="00150EDC">
              <w:rPr>
                <w:sz w:val="24"/>
              </w:rPr>
              <w:t>oversee</w:t>
            </w:r>
            <w:r w:rsidRPr="00150EDC">
              <w:rPr>
                <w:spacing w:val="-16"/>
                <w:sz w:val="24"/>
              </w:rPr>
              <w:t xml:space="preserve"> </w:t>
            </w:r>
            <w:r w:rsidRPr="00150EDC">
              <w:rPr>
                <w:sz w:val="24"/>
              </w:rPr>
              <w:t>the</w:t>
            </w:r>
            <w:r w:rsidRPr="00150EDC">
              <w:rPr>
                <w:spacing w:val="-17"/>
                <w:sz w:val="24"/>
              </w:rPr>
              <w:t xml:space="preserve"> </w:t>
            </w:r>
            <w:r w:rsidRPr="00150EDC">
              <w:rPr>
                <w:sz w:val="24"/>
              </w:rPr>
              <w:t>operation</w:t>
            </w:r>
            <w:r w:rsidRPr="00150EDC">
              <w:rPr>
                <w:spacing w:val="-17"/>
                <w:sz w:val="24"/>
              </w:rPr>
              <w:t xml:space="preserve"> </w:t>
            </w:r>
            <w:r w:rsidRPr="00150EDC">
              <w:rPr>
                <w:sz w:val="24"/>
              </w:rPr>
              <w:t>of</w:t>
            </w:r>
            <w:r w:rsidRPr="00150EDC">
              <w:rPr>
                <w:spacing w:val="-17"/>
                <w:sz w:val="24"/>
              </w:rPr>
              <w:t xml:space="preserve"> </w:t>
            </w:r>
            <w:r w:rsidRPr="00150EDC">
              <w:rPr>
                <w:sz w:val="24"/>
              </w:rPr>
              <w:t>the</w:t>
            </w:r>
            <w:r w:rsidRPr="00150EDC">
              <w:rPr>
                <w:spacing w:val="-16"/>
                <w:sz w:val="24"/>
              </w:rPr>
              <w:t xml:space="preserve"> </w:t>
            </w:r>
            <w:r w:rsidRPr="00150EDC">
              <w:rPr>
                <w:rFonts w:ascii="Calibri"/>
                <w:sz w:val="24"/>
              </w:rPr>
              <w:t>Order</w:t>
            </w:r>
            <w:r w:rsidRPr="00150EDC">
              <w:rPr>
                <w:rFonts w:ascii="Calibri"/>
                <w:spacing w:val="-14"/>
                <w:sz w:val="24"/>
              </w:rPr>
              <w:t xml:space="preserve"> </w:t>
            </w:r>
            <w:r w:rsidRPr="00150EDC">
              <w:rPr>
                <w:sz w:val="24"/>
              </w:rPr>
              <w:t>Contract</w:t>
            </w:r>
            <w:r w:rsidRPr="00150EDC">
              <w:rPr>
                <w:spacing w:val="-16"/>
                <w:sz w:val="24"/>
              </w:rPr>
              <w:t xml:space="preserve"> </w:t>
            </w:r>
            <w:r w:rsidRPr="00150EDC">
              <w:rPr>
                <w:sz w:val="24"/>
              </w:rPr>
              <w:t>and any alternative person whom the Supplier intends to appoint to the role, provided that the Supplier informs the Buyer prior to the appointment;</w:t>
            </w:r>
          </w:p>
        </w:tc>
      </w:tr>
      <w:tr w:rsidR="007D3144" w:rsidRPr="007D3144" w14:paraId="68F17635" w14:textId="77777777">
        <w:trPr>
          <w:trHeight w:val="1223"/>
        </w:trPr>
        <w:tc>
          <w:tcPr>
            <w:tcW w:w="2264" w:type="dxa"/>
          </w:tcPr>
          <w:p w14:paraId="162CE51E" w14:textId="77777777" w:rsidR="004C7180" w:rsidRPr="00150EDC" w:rsidRDefault="00CF0754">
            <w:pPr>
              <w:pStyle w:val="TableParagraph"/>
              <w:spacing w:before="0" w:line="240" w:lineRule="auto"/>
              <w:ind w:left="-1"/>
              <w:rPr>
                <w:b/>
                <w:sz w:val="24"/>
              </w:rPr>
            </w:pPr>
            <w:r w:rsidRPr="00150EDC">
              <w:rPr>
                <w:b/>
                <w:spacing w:val="-2"/>
                <w:sz w:val="24"/>
              </w:rPr>
              <w:t>"Supplier Equipment"</w:t>
            </w:r>
          </w:p>
        </w:tc>
        <w:tc>
          <w:tcPr>
            <w:tcW w:w="7484" w:type="dxa"/>
          </w:tcPr>
          <w:p w14:paraId="535E6FBD" w14:textId="77777777" w:rsidR="004C7180" w:rsidRPr="00150EDC" w:rsidRDefault="00CF0754">
            <w:pPr>
              <w:pStyle w:val="TableParagraph"/>
              <w:spacing w:before="0" w:line="240" w:lineRule="auto"/>
              <w:ind w:left="277" w:right="101"/>
              <w:jc w:val="both"/>
              <w:rPr>
                <w:sz w:val="24"/>
              </w:rPr>
            </w:pPr>
            <w:r w:rsidRPr="00150EDC">
              <w:rPr>
                <w:sz w:val="24"/>
              </w:rPr>
              <w:t>the Supplier's hardware, computer and telecoms devices, equipment,</w:t>
            </w:r>
            <w:r w:rsidRPr="00150EDC">
              <w:rPr>
                <w:spacing w:val="-16"/>
                <w:sz w:val="24"/>
              </w:rPr>
              <w:t xml:space="preserve"> </w:t>
            </w:r>
            <w:r w:rsidRPr="00150EDC">
              <w:rPr>
                <w:sz w:val="24"/>
              </w:rPr>
              <w:t>plant,</w:t>
            </w:r>
            <w:r w:rsidRPr="00150EDC">
              <w:rPr>
                <w:spacing w:val="-16"/>
                <w:sz w:val="24"/>
              </w:rPr>
              <w:t xml:space="preserve"> </w:t>
            </w:r>
            <w:r w:rsidRPr="00150EDC">
              <w:rPr>
                <w:sz w:val="24"/>
              </w:rPr>
              <w:t>materials</w:t>
            </w:r>
            <w:r w:rsidRPr="00150EDC">
              <w:rPr>
                <w:spacing w:val="-15"/>
                <w:sz w:val="24"/>
              </w:rPr>
              <w:t xml:space="preserve"> </w:t>
            </w:r>
            <w:r w:rsidRPr="00150EDC">
              <w:rPr>
                <w:sz w:val="24"/>
              </w:rPr>
              <w:t>and</w:t>
            </w:r>
            <w:r w:rsidRPr="00150EDC">
              <w:rPr>
                <w:spacing w:val="-16"/>
                <w:sz w:val="24"/>
              </w:rPr>
              <w:t xml:space="preserve"> </w:t>
            </w:r>
            <w:r w:rsidRPr="00150EDC">
              <w:rPr>
                <w:sz w:val="24"/>
              </w:rPr>
              <w:t>such</w:t>
            </w:r>
            <w:r w:rsidRPr="00150EDC">
              <w:rPr>
                <w:spacing w:val="-14"/>
                <w:sz w:val="24"/>
              </w:rPr>
              <w:t xml:space="preserve"> </w:t>
            </w:r>
            <w:r w:rsidRPr="00150EDC">
              <w:rPr>
                <w:sz w:val="24"/>
              </w:rPr>
              <w:t>other</w:t>
            </w:r>
            <w:r w:rsidRPr="00150EDC">
              <w:rPr>
                <w:spacing w:val="-17"/>
                <w:sz w:val="24"/>
              </w:rPr>
              <w:t xml:space="preserve"> </w:t>
            </w:r>
            <w:r w:rsidRPr="00150EDC">
              <w:rPr>
                <w:sz w:val="24"/>
              </w:rPr>
              <w:t>items</w:t>
            </w:r>
            <w:r w:rsidRPr="00150EDC">
              <w:rPr>
                <w:spacing w:val="-14"/>
                <w:sz w:val="24"/>
              </w:rPr>
              <w:t xml:space="preserve"> </w:t>
            </w:r>
            <w:r w:rsidRPr="00150EDC">
              <w:rPr>
                <w:sz w:val="24"/>
              </w:rPr>
              <w:t>supplied</w:t>
            </w:r>
            <w:r w:rsidRPr="00150EDC">
              <w:rPr>
                <w:spacing w:val="-16"/>
                <w:sz w:val="24"/>
              </w:rPr>
              <w:t xml:space="preserve"> </w:t>
            </w:r>
            <w:r w:rsidRPr="00150EDC">
              <w:rPr>
                <w:sz w:val="24"/>
              </w:rPr>
              <w:t>and</w:t>
            </w:r>
            <w:r w:rsidRPr="00150EDC">
              <w:rPr>
                <w:spacing w:val="-16"/>
                <w:sz w:val="24"/>
              </w:rPr>
              <w:t xml:space="preserve"> </w:t>
            </w:r>
            <w:r w:rsidRPr="00150EDC">
              <w:rPr>
                <w:sz w:val="24"/>
              </w:rPr>
              <w:t>used by the Supplier (but not hired, leased or loaned from the Buyer) in the performance of its obligations under this Order Contract;</w:t>
            </w:r>
          </w:p>
        </w:tc>
      </w:tr>
      <w:tr w:rsidR="007D3144" w:rsidRPr="007D3144" w14:paraId="0C09DFF6" w14:textId="77777777">
        <w:trPr>
          <w:trHeight w:val="947"/>
        </w:trPr>
        <w:tc>
          <w:tcPr>
            <w:tcW w:w="2264" w:type="dxa"/>
          </w:tcPr>
          <w:p w14:paraId="1250B336" w14:textId="77777777" w:rsidR="004C7180" w:rsidRPr="00150EDC" w:rsidRDefault="00CF0754">
            <w:pPr>
              <w:pStyle w:val="TableParagraph"/>
              <w:spacing w:before="0" w:line="240" w:lineRule="auto"/>
              <w:ind w:left="-1"/>
              <w:rPr>
                <w:b/>
                <w:sz w:val="24"/>
              </w:rPr>
            </w:pPr>
            <w:r w:rsidRPr="00150EDC">
              <w:rPr>
                <w:b/>
                <w:sz w:val="24"/>
              </w:rPr>
              <w:t>“Supplier</w:t>
            </w:r>
            <w:r w:rsidRPr="00150EDC">
              <w:rPr>
                <w:b/>
                <w:spacing w:val="-17"/>
                <w:sz w:val="24"/>
              </w:rPr>
              <w:t xml:space="preserve"> </w:t>
            </w:r>
            <w:r w:rsidRPr="00150EDC">
              <w:rPr>
                <w:b/>
                <w:sz w:val="24"/>
              </w:rPr>
              <w:t xml:space="preserve">Existing </w:t>
            </w:r>
            <w:r w:rsidRPr="00150EDC">
              <w:rPr>
                <w:b/>
                <w:spacing w:val="-4"/>
                <w:sz w:val="24"/>
              </w:rPr>
              <w:t>IPR”</w:t>
            </w:r>
          </w:p>
        </w:tc>
        <w:tc>
          <w:tcPr>
            <w:tcW w:w="7484" w:type="dxa"/>
          </w:tcPr>
          <w:p w14:paraId="3CF7DDEF" w14:textId="77777777" w:rsidR="004C7180" w:rsidRPr="00150EDC" w:rsidRDefault="00CF0754">
            <w:pPr>
              <w:pStyle w:val="TableParagraph"/>
              <w:spacing w:before="0" w:line="240" w:lineRule="auto"/>
              <w:ind w:left="277" w:right="103"/>
              <w:jc w:val="both"/>
              <w:rPr>
                <w:sz w:val="24"/>
              </w:rPr>
            </w:pPr>
            <w:r w:rsidRPr="00150EDC">
              <w:rPr>
                <w:sz w:val="24"/>
              </w:rPr>
              <w:t>any and all IPR that are owned by or licensed to the Supplier and which are or have been developed independently of the Contract (whether prior to the Start Date or otherwise)</w:t>
            </w:r>
          </w:p>
        </w:tc>
      </w:tr>
      <w:tr w:rsidR="007D3144" w:rsidRPr="007D3144" w14:paraId="427368BE" w14:textId="77777777">
        <w:trPr>
          <w:trHeight w:val="947"/>
        </w:trPr>
        <w:tc>
          <w:tcPr>
            <w:tcW w:w="2264" w:type="dxa"/>
          </w:tcPr>
          <w:p w14:paraId="71E19471" w14:textId="77777777" w:rsidR="004C7180" w:rsidRPr="00150EDC" w:rsidRDefault="00CF0754">
            <w:pPr>
              <w:pStyle w:val="TableParagraph"/>
              <w:spacing w:before="0" w:line="240" w:lineRule="auto"/>
              <w:ind w:left="-1"/>
              <w:rPr>
                <w:b/>
                <w:sz w:val="24"/>
              </w:rPr>
            </w:pPr>
            <w:r w:rsidRPr="00150EDC">
              <w:rPr>
                <w:b/>
                <w:sz w:val="24"/>
              </w:rPr>
              <w:t>“Supplier</w:t>
            </w:r>
            <w:r w:rsidRPr="00150EDC">
              <w:rPr>
                <w:b/>
                <w:spacing w:val="-17"/>
                <w:sz w:val="24"/>
              </w:rPr>
              <w:t xml:space="preserve"> </w:t>
            </w:r>
            <w:r w:rsidRPr="00150EDC">
              <w:rPr>
                <w:b/>
                <w:sz w:val="24"/>
              </w:rPr>
              <w:t>Existing IPR Licence”</w:t>
            </w:r>
          </w:p>
        </w:tc>
        <w:tc>
          <w:tcPr>
            <w:tcW w:w="7484" w:type="dxa"/>
          </w:tcPr>
          <w:p w14:paraId="7608961A" w14:textId="77777777" w:rsidR="004C7180" w:rsidRPr="00150EDC" w:rsidRDefault="00CF0754">
            <w:pPr>
              <w:pStyle w:val="TableParagraph"/>
              <w:spacing w:before="0" w:line="240" w:lineRule="auto"/>
              <w:ind w:left="277" w:right="100"/>
              <w:jc w:val="both"/>
              <w:rPr>
                <w:sz w:val="24"/>
              </w:rPr>
            </w:pPr>
            <w:r w:rsidRPr="00150EDC">
              <w:rPr>
                <w:sz w:val="24"/>
              </w:rPr>
              <w:t>any and all IPR that are owned by or licensed to the Supplier and which are or have been developed independently of the Contract (whether prior to the Start Date or otherwise);</w:t>
            </w:r>
          </w:p>
        </w:tc>
      </w:tr>
      <w:tr w:rsidR="007D3144" w:rsidRPr="007D3144" w14:paraId="00A59586" w14:textId="77777777">
        <w:trPr>
          <w:trHeight w:val="947"/>
        </w:trPr>
        <w:tc>
          <w:tcPr>
            <w:tcW w:w="2264" w:type="dxa"/>
          </w:tcPr>
          <w:p w14:paraId="60862041" w14:textId="77777777" w:rsidR="004C7180" w:rsidRPr="00150EDC" w:rsidRDefault="00CF0754">
            <w:pPr>
              <w:pStyle w:val="TableParagraph"/>
              <w:spacing w:before="0" w:line="240" w:lineRule="auto"/>
              <w:ind w:left="-1" w:right="1116"/>
              <w:jc w:val="both"/>
              <w:rPr>
                <w:b/>
                <w:sz w:val="24"/>
              </w:rPr>
            </w:pPr>
            <w:r w:rsidRPr="00150EDC">
              <w:rPr>
                <w:b/>
                <w:spacing w:val="-2"/>
                <w:sz w:val="24"/>
              </w:rPr>
              <w:t>"Supplier Marketing Contact"</w:t>
            </w:r>
          </w:p>
        </w:tc>
        <w:tc>
          <w:tcPr>
            <w:tcW w:w="7484" w:type="dxa"/>
          </w:tcPr>
          <w:p w14:paraId="149058A6" w14:textId="77777777" w:rsidR="004C7180" w:rsidRPr="00150EDC" w:rsidRDefault="00CF0754">
            <w:pPr>
              <w:pStyle w:val="TableParagraph"/>
              <w:spacing w:before="0" w:line="240" w:lineRule="auto"/>
              <w:ind w:left="277"/>
              <w:rPr>
                <w:sz w:val="24"/>
              </w:rPr>
            </w:pPr>
            <w:r w:rsidRPr="00150EDC">
              <w:rPr>
                <w:sz w:val="24"/>
              </w:rPr>
              <w:t>shall</w:t>
            </w:r>
            <w:r w:rsidRPr="00150EDC">
              <w:rPr>
                <w:spacing w:val="-4"/>
                <w:sz w:val="24"/>
              </w:rPr>
              <w:t xml:space="preserve"> </w:t>
            </w:r>
            <w:r w:rsidRPr="00150EDC">
              <w:rPr>
                <w:sz w:val="24"/>
              </w:rPr>
              <w:t>be</w:t>
            </w:r>
            <w:r w:rsidRPr="00150EDC">
              <w:rPr>
                <w:spacing w:val="-5"/>
                <w:sz w:val="24"/>
              </w:rPr>
              <w:t xml:space="preserve"> </w:t>
            </w:r>
            <w:r w:rsidRPr="00150EDC">
              <w:rPr>
                <w:sz w:val="24"/>
              </w:rPr>
              <w:t>the</w:t>
            </w:r>
            <w:r w:rsidRPr="00150EDC">
              <w:rPr>
                <w:spacing w:val="-5"/>
                <w:sz w:val="24"/>
              </w:rPr>
              <w:t xml:space="preserve"> </w:t>
            </w:r>
            <w:r w:rsidRPr="00150EDC">
              <w:rPr>
                <w:sz w:val="24"/>
              </w:rPr>
              <w:t>person</w:t>
            </w:r>
            <w:r w:rsidRPr="00150EDC">
              <w:rPr>
                <w:spacing w:val="-3"/>
                <w:sz w:val="24"/>
              </w:rPr>
              <w:t xml:space="preserve"> </w:t>
            </w:r>
            <w:r w:rsidRPr="00150EDC">
              <w:rPr>
                <w:sz w:val="24"/>
              </w:rPr>
              <w:t>identified</w:t>
            </w:r>
            <w:r w:rsidRPr="00150EDC">
              <w:rPr>
                <w:spacing w:val="-3"/>
                <w:sz w:val="24"/>
              </w:rPr>
              <w:t xml:space="preserve"> </w:t>
            </w:r>
            <w:r w:rsidRPr="00150EDC">
              <w:rPr>
                <w:sz w:val="24"/>
              </w:rPr>
              <w:t>in</w:t>
            </w:r>
            <w:r w:rsidRPr="00150EDC">
              <w:rPr>
                <w:spacing w:val="-3"/>
                <w:sz w:val="24"/>
              </w:rPr>
              <w:t xml:space="preserve"> </w:t>
            </w:r>
            <w:r w:rsidRPr="00150EDC">
              <w:rPr>
                <w:sz w:val="24"/>
              </w:rPr>
              <w:t>the</w:t>
            </w:r>
            <w:r w:rsidRPr="00150EDC">
              <w:rPr>
                <w:spacing w:val="-3"/>
                <w:sz w:val="24"/>
              </w:rPr>
              <w:t xml:space="preserve"> </w:t>
            </w:r>
            <w:r w:rsidRPr="00150EDC">
              <w:rPr>
                <w:sz w:val="24"/>
              </w:rPr>
              <w:t>DPS</w:t>
            </w:r>
            <w:r w:rsidRPr="00150EDC">
              <w:rPr>
                <w:spacing w:val="-5"/>
                <w:sz w:val="24"/>
              </w:rPr>
              <w:t xml:space="preserve"> </w:t>
            </w:r>
            <w:r w:rsidRPr="00150EDC">
              <w:rPr>
                <w:sz w:val="24"/>
              </w:rPr>
              <w:t>Appointment</w:t>
            </w:r>
            <w:r w:rsidRPr="00150EDC">
              <w:rPr>
                <w:spacing w:val="-5"/>
                <w:sz w:val="24"/>
              </w:rPr>
              <w:t xml:space="preserve"> </w:t>
            </w:r>
            <w:r w:rsidRPr="00150EDC">
              <w:rPr>
                <w:spacing w:val="-2"/>
                <w:sz w:val="24"/>
              </w:rPr>
              <w:t>Form;</w:t>
            </w:r>
          </w:p>
        </w:tc>
      </w:tr>
      <w:tr w:rsidR="007D3144" w:rsidRPr="007D3144" w14:paraId="3C365249" w14:textId="77777777">
        <w:trPr>
          <w:trHeight w:val="1860"/>
        </w:trPr>
        <w:tc>
          <w:tcPr>
            <w:tcW w:w="2264" w:type="dxa"/>
          </w:tcPr>
          <w:p w14:paraId="6B65F883" w14:textId="77777777" w:rsidR="004C7180" w:rsidRPr="00150EDC" w:rsidRDefault="00CF0754">
            <w:pPr>
              <w:pStyle w:val="TableParagraph"/>
              <w:spacing w:before="1" w:line="240" w:lineRule="auto"/>
              <w:ind w:left="-1"/>
              <w:rPr>
                <w:b/>
                <w:sz w:val="24"/>
              </w:rPr>
            </w:pPr>
            <w:r w:rsidRPr="00150EDC">
              <w:rPr>
                <w:b/>
                <w:sz w:val="24"/>
              </w:rPr>
              <w:t>"Supplier</w:t>
            </w:r>
            <w:r w:rsidRPr="00150EDC">
              <w:rPr>
                <w:b/>
                <w:spacing w:val="-17"/>
                <w:sz w:val="24"/>
              </w:rPr>
              <w:t xml:space="preserve"> </w:t>
            </w:r>
            <w:r w:rsidRPr="00150EDC">
              <w:rPr>
                <w:b/>
                <w:sz w:val="24"/>
              </w:rPr>
              <w:t xml:space="preserve">Non- </w:t>
            </w:r>
            <w:r w:rsidRPr="00150EDC">
              <w:rPr>
                <w:b/>
                <w:spacing w:val="-2"/>
                <w:sz w:val="24"/>
              </w:rPr>
              <w:t>Performance"</w:t>
            </w:r>
          </w:p>
        </w:tc>
        <w:tc>
          <w:tcPr>
            <w:tcW w:w="7484" w:type="dxa"/>
          </w:tcPr>
          <w:p w14:paraId="41FBBAB1" w14:textId="77777777" w:rsidR="004C7180" w:rsidRPr="00150EDC" w:rsidRDefault="00CF0754">
            <w:pPr>
              <w:pStyle w:val="TableParagraph"/>
              <w:spacing w:before="1" w:line="240" w:lineRule="auto"/>
              <w:ind w:left="277"/>
              <w:rPr>
                <w:sz w:val="24"/>
              </w:rPr>
            </w:pPr>
            <w:r w:rsidRPr="00150EDC">
              <w:rPr>
                <w:sz w:val="24"/>
              </w:rPr>
              <w:t>where</w:t>
            </w:r>
            <w:r w:rsidRPr="00150EDC">
              <w:rPr>
                <w:spacing w:val="-2"/>
                <w:sz w:val="24"/>
              </w:rPr>
              <w:t xml:space="preserve"> </w:t>
            </w:r>
            <w:r w:rsidRPr="00150EDC">
              <w:rPr>
                <w:sz w:val="24"/>
              </w:rPr>
              <w:t>the</w:t>
            </w:r>
            <w:r w:rsidRPr="00150EDC">
              <w:rPr>
                <w:spacing w:val="-2"/>
                <w:sz w:val="24"/>
              </w:rPr>
              <w:t xml:space="preserve"> </w:t>
            </w:r>
            <w:r w:rsidRPr="00150EDC">
              <w:rPr>
                <w:sz w:val="24"/>
              </w:rPr>
              <w:t>Supplier</w:t>
            </w:r>
            <w:r w:rsidRPr="00150EDC">
              <w:rPr>
                <w:spacing w:val="-5"/>
                <w:sz w:val="24"/>
              </w:rPr>
              <w:t xml:space="preserve"> </w:t>
            </w:r>
            <w:r w:rsidRPr="00150EDC">
              <w:rPr>
                <w:sz w:val="24"/>
              </w:rPr>
              <w:t>has</w:t>
            </w:r>
            <w:r w:rsidRPr="00150EDC">
              <w:rPr>
                <w:spacing w:val="-5"/>
                <w:sz w:val="24"/>
              </w:rPr>
              <w:t xml:space="preserve"> </w:t>
            </w:r>
            <w:r w:rsidRPr="00150EDC">
              <w:rPr>
                <w:sz w:val="24"/>
              </w:rPr>
              <w:t>failed</w:t>
            </w:r>
            <w:r w:rsidRPr="00150EDC">
              <w:rPr>
                <w:spacing w:val="-3"/>
                <w:sz w:val="24"/>
              </w:rPr>
              <w:t xml:space="preserve"> </w:t>
            </w:r>
            <w:r w:rsidRPr="00150EDC">
              <w:rPr>
                <w:spacing w:val="-5"/>
                <w:sz w:val="24"/>
              </w:rPr>
              <w:t>to:</w:t>
            </w:r>
          </w:p>
          <w:p w14:paraId="7135FC7A" w14:textId="77777777" w:rsidR="004C7180" w:rsidRPr="00150EDC" w:rsidRDefault="00CF0754">
            <w:pPr>
              <w:pStyle w:val="TableParagraph"/>
              <w:spacing w:before="120" w:line="240" w:lineRule="auto"/>
              <w:ind w:left="251"/>
              <w:rPr>
                <w:sz w:val="24"/>
              </w:rPr>
            </w:pPr>
            <w:r w:rsidRPr="00150EDC">
              <w:rPr>
                <w:sz w:val="24"/>
              </w:rPr>
              <w:t>ddd)</w:t>
            </w:r>
            <w:r w:rsidRPr="00150EDC">
              <w:rPr>
                <w:spacing w:val="23"/>
                <w:sz w:val="24"/>
              </w:rPr>
              <w:t xml:space="preserve"> </w:t>
            </w:r>
            <w:r w:rsidRPr="00150EDC">
              <w:rPr>
                <w:sz w:val="24"/>
              </w:rPr>
              <w:t>Achieve</w:t>
            </w:r>
            <w:r w:rsidRPr="00150EDC">
              <w:rPr>
                <w:spacing w:val="-3"/>
                <w:sz w:val="24"/>
              </w:rPr>
              <w:t xml:space="preserve"> </w:t>
            </w:r>
            <w:r w:rsidRPr="00150EDC">
              <w:rPr>
                <w:sz w:val="24"/>
              </w:rPr>
              <w:t>a</w:t>
            </w:r>
            <w:r w:rsidRPr="00150EDC">
              <w:rPr>
                <w:spacing w:val="-2"/>
                <w:sz w:val="24"/>
              </w:rPr>
              <w:t xml:space="preserve"> </w:t>
            </w:r>
            <w:r w:rsidRPr="00150EDC">
              <w:rPr>
                <w:sz w:val="24"/>
              </w:rPr>
              <w:t>Milestone</w:t>
            </w:r>
            <w:r w:rsidRPr="00150EDC">
              <w:rPr>
                <w:spacing w:val="-4"/>
                <w:sz w:val="24"/>
              </w:rPr>
              <w:t xml:space="preserve"> </w:t>
            </w:r>
            <w:r w:rsidRPr="00150EDC">
              <w:rPr>
                <w:sz w:val="24"/>
              </w:rPr>
              <w:t>by</w:t>
            </w:r>
            <w:r w:rsidRPr="00150EDC">
              <w:rPr>
                <w:spacing w:val="-2"/>
                <w:sz w:val="24"/>
              </w:rPr>
              <w:t xml:space="preserve"> </w:t>
            </w:r>
            <w:r w:rsidRPr="00150EDC">
              <w:rPr>
                <w:sz w:val="24"/>
              </w:rPr>
              <w:t>its</w:t>
            </w:r>
            <w:r w:rsidRPr="00150EDC">
              <w:rPr>
                <w:spacing w:val="-2"/>
                <w:sz w:val="24"/>
              </w:rPr>
              <w:t xml:space="preserve"> </w:t>
            </w:r>
            <w:r w:rsidRPr="00150EDC">
              <w:rPr>
                <w:sz w:val="24"/>
              </w:rPr>
              <w:t>Milestone</w:t>
            </w:r>
            <w:r w:rsidRPr="00150EDC">
              <w:rPr>
                <w:spacing w:val="-3"/>
                <w:sz w:val="24"/>
              </w:rPr>
              <w:t xml:space="preserve"> </w:t>
            </w:r>
            <w:r w:rsidRPr="00150EDC">
              <w:rPr>
                <w:spacing w:val="-4"/>
                <w:sz w:val="24"/>
              </w:rPr>
              <w:t>Date;</w:t>
            </w:r>
          </w:p>
          <w:p w14:paraId="3F23CEE7" w14:textId="77777777" w:rsidR="004C7180" w:rsidRPr="00150EDC" w:rsidRDefault="00CF0754">
            <w:pPr>
              <w:pStyle w:val="TableParagraph"/>
              <w:spacing w:before="120" w:line="240" w:lineRule="auto"/>
              <w:ind w:left="539" w:hanging="288"/>
              <w:rPr>
                <w:sz w:val="24"/>
              </w:rPr>
            </w:pPr>
            <w:r w:rsidRPr="00150EDC">
              <w:rPr>
                <w:sz w:val="24"/>
              </w:rPr>
              <w:t>eee) provide</w:t>
            </w:r>
            <w:r w:rsidRPr="00150EDC">
              <w:rPr>
                <w:spacing w:val="40"/>
                <w:sz w:val="24"/>
              </w:rPr>
              <w:t xml:space="preserve"> </w:t>
            </w:r>
            <w:r w:rsidRPr="00150EDC">
              <w:rPr>
                <w:sz w:val="24"/>
              </w:rPr>
              <w:t>the</w:t>
            </w:r>
            <w:r w:rsidRPr="00150EDC">
              <w:rPr>
                <w:spacing w:val="40"/>
                <w:sz w:val="24"/>
              </w:rPr>
              <w:t xml:space="preserve"> </w:t>
            </w:r>
            <w:r w:rsidRPr="00150EDC">
              <w:rPr>
                <w:sz w:val="24"/>
              </w:rPr>
              <w:t>Goods</w:t>
            </w:r>
            <w:r w:rsidRPr="00150EDC">
              <w:rPr>
                <w:spacing w:val="40"/>
                <w:sz w:val="24"/>
              </w:rPr>
              <w:t xml:space="preserve"> </w:t>
            </w:r>
            <w:r w:rsidRPr="00150EDC">
              <w:rPr>
                <w:sz w:val="24"/>
              </w:rPr>
              <w:t>and/or</w:t>
            </w:r>
            <w:r w:rsidRPr="00150EDC">
              <w:rPr>
                <w:spacing w:val="40"/>
                <w:sz w:val="24"/>
              </w:rPr>
              <w:t xml:space="preserve"> </w:t>
            </w:r>
            <w:r w:rsidRPr="00150EDC">
              <w:rPr>
                <w:sz w:val="24"/>
              </w:rPr>
              <w:t>Services</w:t>
            </w:r>
            <w:r w:rsidRPr="00150EDC">
              <w:rPr>
                <w:spacing w:val="40"/>
                <w:sz w:val="24"/>
              </w:rPr>
              <w:t xml:space="preserve"> </w:t>
            </w:r>
            <w:r w:rsidRPr="00150EDC">
              <w:rPr>
                <w:sz w:val="24"/>
              </w:rPr>
              <w:t>in</w:t>
            </w:r>
            <w:r w:rsidRPr="00150EDC">
              <w:rPr>
                <w:spacing w:val="40"/>
                <w:sz w:val="24"/>
              </w:rPr>
              <w:t xml:space="preserve"> </w:t>
            </w:r>
            <w:r w:rsidRPr="00150EDC">
              <w:rPr>
                <w:sz w:val="24"/>
              </w:rPr>
              <w:t>accordance</w:t>
            </w:r>
            <w:r w:rsidRPr="00150EDC">
              <w:rPr>
                <w:spacing w:val="40"/>
                <w:sz w:val="24"/>
              </w:rPr>
              <w:t xml:space="preserve"> </w:t>
            </w:r>
            <w:r w:rsidRPr="00150EDC">
              <w:rPr>
                <w:sz w:val="24"/>
              </w:rPr>
              <w:t>with</w:t>
            </w:r>
            <w:r w:rsidRPr="00150EDC">
              <w:rPr>
                <w:spacing w:val="40"/>
                <w:sz w:val="24"/>
              </w:rPr>
              <w:t xml:space="preserve"> </w:t>
            </w:r>
            <w:r w:rsidRPr="00150EDC">
              <w:rPr>
                <w:sz w:val="24"/>
              </w:rPr>
              <w:t>the Service Levels ; and/or</w:t>
            </w:r>
          </w:p>
          <w:p w14:paraId="5BC5540D" w14:textId="77777777" w:rsidR="004C7180" w:rsidRPr="00150EDC" w:rsidRDefault="00CF0754">
            <w:pPr>
              <w:pStyle w:val="TableParagraph"/>
              <w:spacing w:before="120" w:line="240" w:lineRule="auto"/>
              <w:ind w:left="251"/>
              <w:rPr>
                <w:sz w:val="24"/>
              </w:rPr>
            </w:pPr>
            <w:r w:rsidRPr="00150EDC">
              <w:rPr>
                <w:sz w:val="24"/>
              </w:rPr>
              <w:t>fff)comply</w:t>
            </w:r>
            <w:r w:rsidRPr="00150EDC">
              <w:rPr>
                <w:spacing w:val="-8"/>
                <w:sz w:val="24"/>
              </w:rPr>
              <w:t xml:space="preserve"> </w:t>
            </w:r>
            <w:r w:rsidRPr="00150EDC">
              <w:rPr>
                <w:sz w:val="24"/>
              </w:rPr>
              <w:t>with</w:t>
            </w:r>
            <w:r w:rsidRPr="00150EDC">
              <w:rPr>
                <w:spacing w:val="-8"/>
                <w:sz w:val="24"/>
              </w:rPr>
              <w:t xml:space="preserve"> </w:t>
            </w:r>
            <w:r w:rsidRPr="00150EDC">
              <w:rPr>
                <w:sz w:val="24"/>
              </w:rPr>
              <w:t>an</w:t>
            </w:r>
            <w:r w:rsidRPr="00150EDC">
              <w:rPr>
                <w:spacing w:val="-8"/>
                <w:sz w:val="24"/>
              </w:rPr>
              <w:t xml:space="preserve"> </w:t>
            </w:r>
            <w:r w:rsidRPr="00150EDC">
              <w:rPr>
                <w:sz w:val="24"/>
              </w:rPr>
              <w:t>obligation</w:t>
            </w:r>
            <w:r w:rsidRPr="00150EDC">
              <w:rPr>
                <w:spacing w:val="-7"/>
                <w:sz w:val="24"/>
              </w:rPr>
              <w:t xml:space="preserve"> </w:t>
            </w:r>
            <w:r w:rsidRPr="00150EDC">
              <w:rPr>
                <w:sz w:val="24"/>
              </w:rPr>
              <w:t>under</w:t>
            </w:r>
            <w:r w:rsidRPr="00150EDC">
              <w:rPr>
                <w:spacing w:val="-11"/>
                <w:sz w:val="24"/>
              </w:rPr>
              <w:t xml:space="preserve"> </w:t>
            </w:r>
            <w:r w:rsidRPr="00150EDC">
              <w:rPr>
                <w:sz w:val="24"/>
              </w:rPr>
              <w:t>a</w:t>
            </w:r>
            <w:r w:rsidRPr="00150EDC">
              <w:rPr>
                <w:spacing w:val="-8"/>
                <w:sz w:val="24"/>
              </w:rPr>
              <w:t xml:space="preserve"> </w:t>
            </w:r>
            <w:r w:rsidRPr="00150EDC">
              <w:rPr>
                <w:spacing w:val="-2"/>
                <w:sz w:val="24"/>
              </w:rPr>
              <w:t>Contract;</w:t>
            </w:r>
          </w:p>
        </w:tc>
      </w:tr>
      <w:tr w:rsidR="007D3144" w:rsidRPr="007D3144" w14:paraId="64B88313" w14:textId="77777777">
        <w:trPr>
          <w:trHeight w:val="1223"/>
        </w:trPr>
        <w:tc>
          <w:tcPr>
            <w:tcW w:w="2264" w:type="dxa"/>
          </w:tcPr>
          <w:p w14:paraId="0AFF9303" w14:textId="77777777" w:rsidR="004C7180" w:rsidRPr="00150EDC" w:rsidRDefault="00CF0754">
            <w:pPr>
              <w:pStyle w:val="TableParagraph"/>
              <w:spacing w:before="0" w:line="240" w:lineRule="auto"/>
              <w:ind w:left="-1"/>
              <w:rPr>
                <w:b/>
                <w:sz w:val="24"/>
              </w:rPr>
            </w:pPr>
            <w:r w:rsidRPr="00150EDC">
              <w:rPr>
                <w:b/>
                <w:sz w:val="24"/>
              </w:rPr>
              <w:t>"Supplier</w:t>
            </w:r>
            <w:r w:rsidRPr="00150EDC">
              <w:rPr>
                <w:b/>
                <w:spacing w:val="-8"/>
                <w:sz w:val="24"/>
              </w:rPr>
              <w:t xml:space="preserve"> </w:t>
            </w:r>
            <w:r w:rsidRPr="00150EDC">
              <w:rPr>
                <w:b/>
                <w:spacing w:val="-2"/>
                <w:sz w:val="24"/>
              </w:rPr>
              <w:t>Profit"</w:t>
            </w:r>
          </w:p>
        </w:tc>
        <w:tc>
          <w:tcPr>
            <w:tcW w:w="7484" w:type="dxa"/>
          </w:tcPr>
          <w:p w14:paraId="09B7A16D" w14:textId="77777777" w:rsidR="004C7180" w:rsidRPr="00150EDC" w:rsidRDefault="00CF0754">
            <w:pPr>
              <w:pStyle w:val="TableParagraph"/>
              <w:spacing w:before="0" w:line="240" w:lineRule="auto"/>
              <w:ind w:left="277" w:right="102"/>
              <w:jc w:val="both"/>
              <w:rPr>
                <w:sz w:val="24"/>
              </w:rPr>
            </w:pPr>
            <w:r w:rsidRPr="00150EDC">
              <w:rPr>
                <w:sz w:val="24"/>
              </w:rPr>
              <w:t>in relation to a period,</w:t>
            </w:r>
            <w:r w:rsidRPr="00150EDC">
              <w:rPr>
                <w:spacing w:val="-1"/>
                <w:sz w:val="24"/>
              </w:rPr>
              <w:t xml:space="preserve"> </w:t>
            </w:r>
            <w:r w:rsidRPr="00150EDC">
              <w:rPr>
                <w:sz w:val="24"/>
              </w:rPr>
              <w:t>the difference</w:t>
            </w:r>
            <w:r w:rsidRPr="00150EDC">
              <w:rPr>
                <w:spacing w:val="-1"/>
                <w:sz w:val="24"/>
              </w:rPr>
              <w:t xml:space="preserve"> </w:t>
            </w:r>
            <w:r w:rsidRPr="00150EDC">
              <w:rPr>
                <w:sz w:val="24"/>
              </w:rPr>
              <w:t>between the total Charges (in nominal cash flow terms but excluding any Deductions and total Costs (in nominal cash flow terms) in respect of an Order Contract for the relevant period;</w:t>
            </w:r>
          </w:p>
        </w:tc>
      </w:tr>
    </w:tbl>
    <w:p w14:paraId="15895DC0" w14:textId="77777777" w:rsidR="004C7180" w:rsidRPr="00150EDC" w:rsidRDefault="004C7180">
      <w:pPr>
        <w:jc w:val="both"/>
        <w:rPr>
          <w:sz w:val="24"/>
        </w:rPr>
        <w:sectPr w:rsidR="004C7180" w:rsidRPr="00150EDC">
          <w:pgSz w:w="11910" w:h="16840"/>
          <w:pgMar w:top="1160" w:right="0" w:bottom="1400" w:left="40" w:header="715" w:footer="1208" w:gutter="0"/>
          <w:cols w:space="720"/>
        </w:sectPr>
      </w:pPr>
    </w:p>
    <w:p w14:paraId="51DE4D2A" w14:textId="77777777" w:rsidR="004C7180" w:rsidRPr="00150EDC" w:rsidRDefault="004C7180">
      <w:pPr>
        <w:pStyle w:val="BodyText"/>
        <w:spacing w:before="7"/>
        <w:rPr>
          <w:sz w:val="23"/>
        </w:rPr>
      </w:pPr>
    </w:p>
    <w:tbl>
      <w:tblPr>
        <w:tblW w:w="0" w:type="auto"/>
        <w:tblInd w:w="1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4"/>
        <w:gridCol w:w="7484"/>
      </w:tblGrid>
      <w:tr w:rsidR="007D3144" w:rsidRPr="007D3144" w14:paraId="42959456" w14:textId="77777777">
        <w:trPr>
          <w:trHeight w:val="1223"/>
        </w:trPr>
        <w:tc>
          <w:tcPr>
            <w:tcW w:w="2264" w:type="dxa"/>
          </w:tcPr>
          <w:p w14:paraId="584329DC" w14:textId="77777777" w:rsidR="004C7180" w:rsidRPr="00150EDC" w:rsidRDefault="00CF0754">
            <w:pPr>
              <w:pStyle w:val="TableParagraph"/>
              <w:spacing w:before="0" w:line="240" w:lineRule="auto"/>
              <w:ind w:left="-1"/>
              <w:rPr>
                <w:b/>
                <w:sz w:val="24"/>
              </w:rPr>
            </w:pPr>
            <w:r w:rsidRPr="00150EDC">
              <w:rPr>
                <w:b/>
                <w:sz w:val="24"/>
              </w:rPr>
              <w:t>"Supplier</w:t>
            </w:r>
            <w:r w:rsidRPr="00150EDC">
              <w:rPr>
                <w:b/>
                <w:spacing w:val="-17"/>
                <w:sz w:val="24"/>
              </w:rPr>
              <w:t xml:space="preserve"> </w:t>
            </w:r>
            <w:r w:rsidRPr="00150EDC">
              <w:rPr>
                <w:b/>
                <w:sz w:val="24"/>
              </w:rPr>
              <w:t xml:space="preserve">Profit </w:t>
            </w:r>
            <w:r w:rsidRPr="00150EDC">
              <w:rPr>
                <w:b/>
                <w:spacing w:val="-2"/>
                <w:sz w:val="24"/>
              </w:rPr>
              <w:t>Margin"</w:t>
            </w:r>
          </w:p>
        </w:tc>
        <w:tc>
          <w:tcPr>
            <w:tcW w:w="7484" w:type="dxa"/>
          </w:tcPr>
          <w:p w14:paraId="23A9C274" w14:textId="77777777" w:rsidR="004C7180" w:rsidRPr="00150EDC" w:rsidRDefault="00CF0754">
            <w:pPr>
              <w:pStyle w:val="TableParagraph"/>
              <w:spacing w:before="0" w:line="240" w:lineRule="auto"/>
              <w:ind w:left="277" w:right="100"/>
              <w:jc w:val="both"/>
              <w:rPr>
                <w:sz w:val="24"/>
              </w:rPr>
            </w:pPr>
            <w:r w:rsidRPr="00150EDC">
              <w:rPr>
                <w:sz w:val="24"/>
              </w:rPr>
              <w:t>in relation to a period or a Milestone (as the context requires), the Supplier Profit for the relevant period or in relation to the relevant Milestone divided by the total Charges over the same period or in relation to the relevant Milestone and expressed as a percentage;</w:t>
            </w:r>
          </w:p>
        </w:tc>
      </w:tr>
      <w:tr w:rsidR="007D3144" w:rsidRPr="007D3144" w14:paraId="124E3677" w14:textId="77777777">
        <w:trPr>
          <w:trHeight w:val="947"/>
        </w:trPr>
        <w:tc>
          <w:tcPr>
            <w:tcW w:w="2264" w:type="dxa"/>
          </w:tcPr>
          <w:p w14:paraId="7F6889EB" w14:textId="77777777" w:rsidR="004C7180" w:rsidRPr="00150EDC" w:rsidRDefault="00CF0754">
            <w:pPr>
              <w:pStyle w:val="TableParagraph"/>
              <w:spacing w:before="0" w:line="240" w:lineRule="auto"/>
              <w:ind w:left="-1"/>
              <w:rPr>
                <w:b/>
                <w:sz w:val="24"/>
              </w:rPr>
            </w:pPr>
            <w:r w:rsidRPr="00150EDC">
              <w:rPr>
                <w:b/>
                <w:sz w:val="24"/>
              </w:rPr>
              <w:t>"Supplier</w:t>
            </w:r>
            <w:r w:rsidRPr="00150EDC">
              <w:rPr>
                <w:b/>
                <w:spacing w:val="-8"/>
                <w:sz w:val="24"/>
              </w:rPr>
              <w:t xml:space="preserve"> </w:t>
            </w:r>
            <w:r w:rsidRPr="00150EDC">
              <w:rPr>
                <w:b/>
                <w:spacing w:val="-2"/>
                <w:sz w:val="24"/>
              </w:rPr>
              <w:t>Staff"</w:t>
            </w:r>
          </w:p>
        </w:tc>
        <w:tc>
          <w:tcPr>
            <w:tcW w:w="7484" w:type="dxa"/>
          </w:tcPr>
          <w:p w14:paraId="6880050A" w14:textId="77777777" w:rsidR="004C7180" w:rsidRPr="00150EDC" w:rsidRDefault="00CF0754">
            <w:pPr>
              <w:pStyle w:val="TableParagraph"/>
              <w:spacing w:before="0" w:line="240" w:lineRule="auto"/>
              <w:ind w:left="277" w:right="100"/>
              <w:jc w:val="both"/>
              <w:rPr>
                <w:sz w:val="24"/>
              </w:rPr>
            </w:pPr>
            <w:r w:rsidRPr="00150EDC">
              <w:rPr>
                <w:sz w:val="24"/>
              </w:rPr>
              <w:t>all directors, officers, employees, agents, consultants and contractors</w:t>
            </w:r>
            <w:r w:rsidRPr="00150EDC">
              <w:rPr>
                <w:spacing w:val="-4"/>
                <w:sz w:val="24"/>
              </w:rPr>
              <w:t xml:space="preserve"> </w:t>
            </w:r>
            <w:r w:rsidRPr="00150EDC">
              <w:rPr>
                <w:sz w:val="24"/>
              </w:rPr>
              <w:t>of</w:t>
            </w:r>
            <w:r w:rsidRPr="00150EDC">
              <w:rPr>
                <w:spacing w:val="-2"/>
                <w:sz w:val="24"/>
              </w:rPr>
              <w:t xml:space="preserve"> </w:t>
            </w:r>
            <w:r w:rsidRPr="00150EDC">
              <w:rPr>
                <w:sz w:val="24"/>
              </w:rPr>
              <w:t>the</w:t>
            </w:r>
            <w:r w:rsidRPr="00150EDC">
              <w:rPr>
                <w:spacing w:val="-4"/>
                <w:sz w:val="24"/>
              </w:rPr>
              <w:t xml:space="preserve"> </w:t>
            </w:r>
            <w:r w:rsidRPr="00150EDC">
              <w:rPr>
                <w:sz w:val="24"/>
              </w:rPr>
              <w:t>Supplier</w:t>
            </w:r>
            <w:r w:rsidRPr="00150EDC">
              <w:rPr>
                <w:spacing w:val="-4"/>
                <w:sz w:val="24"/>
              </w:rPr>
              <w:t xml:space="preserve"> </w:t>
            </w:r>
            <w:r w:rsidRPr="00150EDC">
              <w:rPr>
                <w:sz w:val="24"/>
              </w:rPr>
              <w:t>and/or</w:t>
            </w:r>
            <w:r w:rsidRPr="00150EDC">
              <w:rPr>
                <w:spacing w:val="-6"/>
                <w:sz w:val="24"/>
              </w:rPr>
              <w:t xml:space="preserve"> </w:t>
            </w:r>
            <w:r w:rsidRPr="00150EDC">
              <w:rPr>
                <w:sz w:val="24"/>
              </w:rPr>
              <w:t>of</w:t>
            </w:r>
            <w:r w:rsidRPr="00150EDC">
              <w:rPr>
                <w:spacing w:val="-5"/>
                <w:sz w:val="24"/>
              </w:rPr>
              <w:t xml:space="preserve"> </w:t>
            </w:r>
            <w:r w:rsidRPr="00150EDC">
              <w:rPr>
                <w:sz w:val="24"/>
              </w:rPr>
              <w:t>any</w:t>
            </w:r>
            <w:r w:rsidRPr="00150EDC">
              <w:rPr>
                <w:spacing w:val="-3"/>
                <w:sz w:val="24"/>
              </w:rPr>
              <w:t xml:space="preserve"> </w:t>
            </w:r>
            <w:r w:rsidRPr="00150EDC">
              <w:rPr>
                <w:sz w:val="24"/>
              </w:rPr>
              <w:t>Subcontractor</w:t>
            </w:r>
            <w:r w:rsidRPr="00150EDC">
              <w:rPr>
                <w:spacing w:val="-4"/>
                <w:sz w:val="24"/>
              </w:rPr>
              <w:t xml:space="preserve"> </w:t>
            </w:r>
            <w:r w:rsidRPr="00150EDC">
              <w:rPr>
                <w:sz w:val="24"/>
              </w:rPr>
              <w:t>engaged</w:t>
            </w:r>
            <w:r w:rsidRPr="00150EDC">
              <w:rPr>
                <w:spacing w:val="-2"/>
                <w:sz w:val="24"/>
              </w:rPr>
              <w:t xml:space="preserve"> </w:t>
            </w:r>
            <w:r w:rsidRPr="00150EDC">
              <w:rPr>
                <w:sz w:val="24"/>
              </w:rPr>
              <w:t>in the performance of the Supplier’s obligations under a Contract;</w:t>
            </w:r>
          </w:p>
        </w:tc>
      </w:tr>
      <w:tr w:rsidR="007D3144" w:rsidRPr="007D3144" w14:paraId="004FB869" w14:textId="77777777">
        <w:trPr>
          <w:trHeight w:val="947"/>
        </w:trPr>
        <w:tc>
          <w:tcPr>
            <w:tcW w:w="2264" w:type="dxa"/>
          </w:tcPr>
          <w:p w14:paraId="5D8C20EF" w14:textId="77777777" w:rsidR="004C7180" w:rsidRPr="00150EDC" w:rsidRDefault="00CF0754">
            <w:pPr>
              <w:pStyle w:val="TableParagraph"/>
              <w:spacing w:before="0" w:line="240" w:lineRule="auto"/>
              <w:ind w:left="-1" w:right="224"/>
              <w:rPr>
                <w:b/>
                <w:sz w:val="24"/>
              </w:rPr>
            </w:pPr>
            <w:r w:rsidRPr="00150EDC">
              <w:rPr>
                <w:b/>
                <w:sz w:val="24"/>
              </w:rPr>
              <w:t xml:space="preserve">“Supply Chain </w:t>
            </w:r>
            <w:r w:rsidRPr="00150EDC">
              <w:rPr>
                <w:b/>
                <w:spacing w:val="-2"/>
                <w:sz w:val="24"/>
              </w:rPr>
              <w:t xml:space="preserve">Information </w:t>
            </w:r>
            <w:r w:rsidRPr="00150EDC">
              <w:rPr>
                <w:b/>
                <w:sz w:val="24"/>
              </w:rPr>
              <w:t>Report</w:t>
            </w:r>
            <w:r w:rsidRPr="00150EDC">
              <w:rPr>
                <w:b/>
                <w:spacing w:val="-17"/>
                <w:sz w:val="24"/>
              </w:rPr>
              <w:t xml:space="preserve"> </w:t>
            </w:r>
            <w:r w:rsidRPr="00150EDC">
              <w:rPr>
                <w:b/>
                <w:sz w:val="24"/>
              </w:rPr>
              <w:t>Template”</w:t>
            </w:r>
          </w:p>
        </w:tc>
        <w:tc>
          <w:tcPr>
            <w:tcW w:w="7484" w:type="dxa"/>
          </w:tcPr>
          <w:p w14:paraId="63D86962" w14:textId="77777777" w:rsidR="004C7180" w:rsidRPr="00150EDC" w:rsidRDefault="00CF0754">
            <w:pPr>
              <w:pStyle w:val="TableParagraph"/>
              <w:spacing w:before="0" w:line="240" w:lineRule="auto"/>
              <w:ind w:left="277"/>
              <w:rPr>
                <w:sz w:val="24"/>
              </w:rPr>
            </w:pPr>
            <w:r w:rsidRPr="00150EDC">
              <w:rPr>
                <w:sz w:val="24"/>
              </w:rPr>
              <w:t>the</w:t>
            </w:r>
            <w:r w:rsidRPr="00150EDC">
              <w:rPr>
                <w:spacing w:val="40"/>
                <w:sz w:val="24"/>
              </w:rPr>
              <w:t xml:space="preserve"> </w:t>
            </w:r>
            <w:r w:rsidRPr="00150EDC">
              <w:rPr>
                <w:sz w:val="24"/>
              </w:rPr>
              <w:t>document</w:t>
            </w:r>
            <w:r w:rsidRPr="00150EDC">
              <w:rPr>
                <w:spacing w:val="40"/>
                <w:sz w:val="24"/>
              </w:rPr>
              <w:t xml:space="preserve"> </w:t>
            </w:r>
            <w:r w:rsidRPr="00150EDC">
              <w:rPr>
                <w:sz w:val="24"/>
              </w:rPr>
              <w:t>at</w:t>
            </w:r>
            <w:r w:rsidRPr="00150EDC">
              <w:rPr>
                <w:spacing w:val="40"/>
                <w:sz w:val="24"/>
              </w:rPr>
              <w:t xml:space="preserve"> </w:t>
            </w:r>
            <w:r w:rsidRPr="00150EDC">
              <w:rPr>
                <w:sz w:val="24"/>
              </w:rPr>
              <w:t>Annex</w:t>
            </w:r>
            <w:r w:rsidRPr="00150EDC">
              <w:rPr>
                <w:spacing w:val="40"/>
                <w:sz w:val="24"/>
              </w:rPr>
              <w:t xml:space="preserve"> </w:t>
            </w:r>
            <w:r w:rsidRPr="00150EDC">
              <w:rPr>
                <w:sz w:val="24"/>
              </w:rPr>
              <w:t>1</w:t>
            </w:r>
            <w:r w:rsidRPr="00150EDC">
              <w:rPr>
                <w:spacing w:val="40"/>
                <w:sz w:val="24"/>
              </w:rPr>
              <w:t xml:space="preserve"> </w:t>
            </w:r>
            <w:r w:rsidRPr="00150EDC">
              <w:rPr>
                <w:sz w:val="24"/>
              </w:rPr>
              <w:t>of</w:t>
            </w:r>
            <w:r w:rsidRPr="00150EDC">
              <w:rPr>
                <w:spacing w:val="40"/>
                <w:sz w:val="24"/>
              </w:rPr>
              <w:t xml:space="preserve"> </w:t>
            </w:r>
            <w:r w:rsidRPr="00150EDC">
              <w:rPr>
                <w:sz w:val="24"/>
              </w:rPr>
              <w:t>Joint</w:t>
            </w:r>
            <w:r w:rsidRPr="00150EDC">
              <w:rPr>
                <w:spacing w:val="40"/>
                <w:sz w:val="24"/>
              </w:rPr>
              <w:t xml:space="preserve"> </w:t>
            </w:r>
            <w:r w:rsidRPr="00150EDC">
              <w:rPr>
                <w:sz w:val="24"/>
              </w:rPr>
              <w:t>Schedule</w:t>
            </w:r>
            <w:r w:rsidRPr="00150EDC">
              <w:rPr>
                <w:spacing w:val="40"/>
                <w:sz w:val="24"/>
              </w:rPr>
              <w:t xml:space="preserve"> </w:t>
            </w:r>
            <w:r w:rsidRPr="00150EDC">
              <w:rPr>
                <w:sz w:val="24"/>
              </w:rPr>
              <w:t>12</w:t>
            </w:r>
            <w:r w:rsidRPr="00150EDC">
              <w:rPr>
                <w:spacing w:val="40"/>
                <w:sz w:val="24"/>
              </w:rPr>
              <w:t xml:space="preserve"> </w:t>
            </w:r>
            <w:r w:rsidRPr="00150EDC">
              <w:rPr>
                <w:sz w:val="24"/>
              </w:rPr>
              <w:t>(Supply</w:t>
            </w:r>
            <w:r w:rsidRPr="00150EDC">
              <w:rPr>
                <w:spacing w:val="40"/>
                <w:sz w:val="24"/>
              </w:rPr>
              <w:t xml:space="preserve"> </w:t>
            </w:r>
            <w:r w:rsidRPr="00150EDC">
              <w:rPr>
                <w:sz w:val="24"/>
              </w:rPr>
              <w:t xml:space="preserve">Chain </w:t>
            </w:r>
            <w:r w:rsidRPr="00150EDC">
              <w:rPr>
                <w:spacing w:val="-2"/>
                <w:sz w:val="24"/>
              </w:rPr>
              <w:t>Visibility);</w:t>
            </w:r>
          </w:p>
        </w:tc>
      </w:tr>
      <w:tr w:rsidR="007D3144" w:rsidRPr="007D3144" w14:paraId="61CCA524" w14:textId="77777777">
        <w:trPr>
          <w:trHeight w:val="1226"/>
        </w:trPr>
        <w:tc>
          <w:tcPr>
            <w:tcW w:w="2264" w:type="dxa"/>
          </w:tcPr>
          <w:p w14:paraId="0D624587" w14:textId="77777777" w:rsidR="004C7180" w:rsidRPr="00150EDC" w:rsidRDefault="00CF0754">
            <w:pPr>
              <w:pStyle w:val="TableParagraph"/>
              <w:spacing w:before="2" w:line="240" w:lineRule="auto"/>
              <w:ind w:left="-1"/>
              <w:rPr>
                <w:b/>
                <w:sz w:val="24"/>
              </w:rPr>
            </w:pPr>
            <w:r w:rsidRPr="00150EDC">
              <w:rPr>
                <w:b/>
                <w:spacing w:val="-2"/>
                <w:sz w:val="24"/>
              </w:rPr>
              <w:t>"Supporting Documentation"</w:t>
            </w:r>
          </w:p>
        </w:tc>
        <w:tc>
          <w:tcPr>
            <w:tcW w:w="7484" w:type="dxa"/>
          </w:tcPr>
          <w:p w14:paraId="0E11F40F" w14:textId="77777777" w:rsidR="004C7180" w:rsidRPr="00150EDC" w:rsidRDefault="00CF0754">
            <w:pPr>
              <w:pStyle w:val="TableParagraph"/>
              <w:spacing w:before="2" w:line="240" w:lineRule="auto"/>
              <w:ind w:left="277" w:right="96"/>
              <w:jc w:val="both"/>
              <w:rPr>
                <w:sz w:val="24"/>
              </w:rPr>
            </w:pPr>
            <w:r w:rsidRPr="00150EDC">
              <w:rPr>
                <w:sz w:val="24"/>
              </w:rPr>
              <w:t>sufficient information in writing to enable the Buyer to reasonably assess whether the Charges, Reimbursable Expenses and other sums due from the Buyer under the Order Contract detailed in the information are properly payable;</w:t>
            </w:r>
          </w:p>
        </w:tc>
      </w:tr>
      <w:tr w:rsidR="007D3144" w:rsidRPr="007D3144" w14:paraId="7747DCFB" w14:textId="77777777">
        <w:trPr>
          <w:trHeight w:val="3911"/>
        </w:trPr>
        <w:tc>
          <w:tcPr>
            <w:tcW w:w="2264" w:type="dxa"/>
          </w:tcPr>
          <w:p w14:paraId="02E8433C" w14:textId="77777777" w:rsidR="004C7180" w:rsidRPr="00150EDC" w:rsidRDefault="00CF0754">
            <w:pPr>
              <w:pStyle w:val="TableParagraph"/>
              <w:spacing w:before="0" w:line="240" w:lineRule="auto"/>
              <w:ind w:left="-1"/>
              <w:rPr>
                <w:b/>
                <w:sz w:val="24"/>
              </w:rPr>
            </w:pPr>
            <w:r w:rsidRPr="00150EDC">
              <w:rPr>
                <w:b/>
                <w:spacing w:val="-2"/>
                <w:sz w:val="24"/>
              </w:rPr>
              <w:t>“Tax”</w:t>
            </w:r>
          </w:p>
        </w:tc>
        <w:tc>
          <w:tcPr>
            <w:tcW w:w="7484" w:type="dxa"/>
          </w:tcPr>
          <w:p w14:paraId="236802BB" w14:textId="77777777" w:rsidR="004C7180" w:rsidRPr="00150EDC" w:rsidRDefault="00CF0754">
            <w:pPr>
              <w:pStyle w:val="TableParagraph"/>
              <w:spacing w:before="0" w:line="240" w:lineRule="auto"/>
              <w:ind w:left="251"/>
              <w:jc w:val="both"/>
              <w:rPr>
                <w:sz w:val="24"/>
              </w:rPr>
            </w:pPr>
            <w:r w:rsidRPr="00150EDC">
              <w:rPr>
                <w:sz w:val="24"/>
              </w:rPr>
              <w:t>ggg)</w:t>
            </w:r>
            <w:r w:rsidRPr="00150EDC">
              <w:rPr>
                <w:spacing w:val="23"/>
                <w:sz w:val="24"/>
              </w:rPr>
              <w:t xml:space="preserve"> </w:t>
            </w:r>
            <w:r w:rsidRPr="00150EDC">
              <w:rPr>
                <w:sz w:val="24"/>
              </w:rPr>
              <w:t>all</w:t>
            </w:r>
            <w:r w:rsidRPr="00150EDC">
              <w:rPr>
                <w:spacing w:val="-2"/>
                <w:sz w:val="24"/>
              </w:rPr>
              <w:t xml:space="preserve"> </w:t>
            </w:r>
            <w:r w:rsidRPr="00150EDC">
              <w:rPr>
                <w:sz w:val="24"/>
              </w:rPr>
              <w:t>forms</w:t>
            </w:r>
            <w:r w:rsidRPr="00150EDC">
              <w:rPr>
                <w:spacing w:val="-4"/>
                <w:sz w:val="24"/>
              </w:rPr>
              <w:t xml:space="preserve"> </w:t>
            </w:r>
            <w:r w:rsidRPr="00150EDC">
              <w:rPr>
                <w:sz w:val="24"/>
              </w:rPr>
              <w:t>of</w:t>
            </w:r>
            <w:r w:rsidRPr="00150EDC">
              <w:rPr>
                <w:spacing w:val="-1"/>
                <w:sz w:val="24"/>
              </w:rPr>
              <w:t xml:space="preserve"> </w:t>
            </w:r>
            <w:r w:rsidRPr="00150EDC">
              <w:rPr>
                <w:sz w:val="24"/>
              </w:rPr>
              <w:t>taxation</w:t>
            </w:r>
            <w:r w:rsidRPr="00150EDC">
              <w:rPr>
                <w:spacing w:val="-2"/>
                <w:sz w:val="24"/>
              </w:rPr>
              <w:t xml:space="preserve"> </w:t>
            </w:r>
            <w:r w:rsidRPr="00150EDC">
              <w:rPr>
                <w:sz w:val="24"/>
              </w:rPr>
              <w:t>whether</w:t>
            </w:r>
            <w:r w:rsidRPr="00150EDC">
              <w:rPr>
                <w:spacing w:val="-4"/>
                <w:sz w:val="24"/>
              </w:rPr>
              <w:t xml:space="preserve"> </w:t>
            </w:r>
            <w:r w:rsidRPr="00150EDC">
              <w:rPr>
                <w:sz w:val="24"/>
              </w:rPr>
              <w:t>direct</w:t>
            </w:r>
            <w:r w:rsidRPr="00150EDC">
              <w:rPr>
                <w:spacing w:val="-2"/>
                <w:sz w:val="24"/>
              </w:rPr>
              <w:t xml:space="preserve"> </w:t>
            </w:r>
            <w:r w:rsidRPr="00150EDC">
              <w:rPr>
                <w:sz w:val="24"/>
              </w:rPr>
              <w:t>or</w:t>
            </w:r>
            <w:r w:rsidRPr="00150EDC">
              <w:rPr>
                <w:spacing w:val="-1"/>
                <w:sz w:val="24"/>
              </w:rPr>
              <w:t xml:space="preserve"> </w:t>
            </w:r>
            <w:r w:rsidRPr="00150EDC">
              <w:rPr>
                <w:spacing w:val="-2"/>
                <w:sz w:val="24"/>
              </w:rPr>
              <w:t>indirect;</w:t>
            </w:r>
          </w:p>
          <w:p w14:paraId="683D80AC" w14:textId="77777777" w:rsidR="004C7180" w:rsidRPr="00150EDC" w:rsidRDefault="00CF0754">
            <w:pPr>
              <w:pStyle w:val="TableParagraph"/>
              <w:spacing w:before="120" w:line="240" w:lineRule="auto"/>
              <w:ind w:left="683" w:right="102" w:hanging="432"/>
              <w:jc w:val="both"/>
              <w:rPr>
                <w:sz w:val="24"/>
              </w:rPr>
            </w:pPr>
            <w:r w:rsidRPr="00150EDC">
              <w:rPr>
                <w:sz w:val="24"/>
              </w:rPr>
              <w:t>hhh) national insurance contributions in the United Kingdom and similar contributions or obligations in any other jurisdiction;</w:t>
            </w:r>
          </w:p>
          <w:p w14:paraId="1A7E34EE" w14:textId="77777777" w:rsidR="004C7180" w:rsidRPr="00150EDC" w:rsidRDefault="00CF0754">
            <w:pPr>
              <w:pStyle w:val="TableParagraph"/>
              <w:spacing w:before="120" w:line="240" w:lineRule="auto"/>
              <w:ind w:left="683" w:right="99" w:hanging="432"/>
              <w:jc w:val="both"/>
              <w:rPr>
                <w:sz w:val="24"/>
              </w:rPr>
            </w:pPr>
            <w:r w:rsidRPr="00150EDC">
              <w:rPr>
                <w:sz w:val="24"/>
              </w:rPr>
              <w:t>iii) all statutory, governmental, state, federal, provincial, local government or municipal charges, duties, imports, contributions.</w:t>
            </w:r>
            <w:r w:rsidRPr="00150EDC">
              <w:rPr>
                <w:spacing w:val="-1"/>
                <w:sz w:val="24"/>
              </w:rPr>
              <w:t xml:space="preserve"> </w:t>
            </w:r>
            <w:r w:rsidRPr="00150EDC">
              <w:rPr>
                <w:sz w:val="24"/>
              </w:rPr>
              <w:t>levies</w:t>
            </w:r>
            <w:r w:rsidRPr="00150EDC">
              <w:rPr>
                <w:spacing w:val="-2"/>
                <w:sz w:val="24"/>
              </w:rPr>
              <w:t xml:space="preserve"> </w:t>
            </w:r>
            <w:r w:rsidRPr="00150EDC">
              <w:rPr>
                <w:sz w:val="24"/>
              </w:rPr>
              <w:t>or</w:t>
            </w:r>
            <w:r w:rsidRPr="00150EDC">
              <w:rPr>
                <w:spacing w:val="-5"/>
                <w:sz w:val="24"/>
              </w:rPr>
              <w:t xml:space="preserve"> </w:t>
            </w:r>
            <w:r w:rsidRPr="00150EDC">
              <w:rPr>
                <w:sz w:val="24"/>
              </w:rPr>
              <w:t>liabilities</w:t>
            </w:r>
            <w:r w:rsidRPr="00150EDC">
              <w:rPr>
                <w:spacing w:val="-1"/>
                <w:sz w:val="24"/>
              </w:rPr>
              <w:t xml:space="preserve"> </w:t>
            </w:r>
            <w:r w:rsidRPr="00150EDC">
              <w:rPr>
                <w:sz w:val="24"/>
              </w:rPr>
              <w:t>(other</w:t>
            </w:r>
            <w:r w:rsidRPr="00150EDC">
              <w:rPr>
                <w:spacing w:val="-3"/>
                <w:sz w:val="24"/>
              </w:rPr>
              <w:t xml:space="preserve"> </w:t>
            </w:r>
            <w:r w:rsidRPr="00150EDC">
              <w:rPr>
                <w:sz w:val="24"/>
              </w:rPr>
              <w:t>than</w:t>
            </w:r>
            <w:r w:rsidRPr="00150EDC">
              <w:rPr>
                <w:spacing w:val="-1"/>
                <w:sz w:val="24"/>
              </w:rPr>
              <w:t xml:space="preserve"> </w:t>
            </w:r>
            <w:r w:rsidRPr="00150EDC">
              <w:rPr>
                <w:sz w:val="24"/>
              </w:rPr>
              <w:t>in</w:t>
            </w:r>
            <w:r w:rsidRPr="00150EDC">
              <w:rPr>
                <w:spacing w:val="-1"/>
                <w:sz w:val="24"/>
              </w:rPr>
              <w:t xml:space="preserve"> </w:t>
            </w:r>
            <w:r w:rsidRPr="00150EDC">
              <w:rPr>
                <w:sz w:val="24"/>
              </w:rPr>
              <w:t>return</w:t>
            </w:r>
            <w:r w:rsidRPr="00150EDC">
              <w:rPr>
                <w:spacing w:val="40"/>
                <w:sz w:val="24"/>
              </w:rPr>
              <w:t xml:space="preserve"> </w:t>
            </w:r>
            <w:r w:rsidRPr="00150EDC">
              <w:rPr>
                <w:sz w:val="24"/>
              </w:rPr>
              <w:t>for</w:t>
            </w:r>
            <w:r w:rsidRPr="00150EDC">
              <w:rPr>
                <w:spacing w:val="-3"/>
                <w:sz w:val="24"/>
              </w:rPr>
              <w:t xml:space="preserve"> </w:t>
            </w:r>
            <w:r w:rsidRPr="00150EDC">
              <w:rPr>
                <w:sz w:val="24"/>
              </w:rPr>
              <w:t>goods or services supplied or performed or to be performed) and withholdings; and</w:t>
            </w:r>
          </w:p>
          <w:p w14:paraId="76C15E42" w14:textId="77777777" w:rsidR="004C7180" w:rsidRPr="00150EDC" w:rsidRDefault="00CF0754">
            <w:pPr>
              <w:pStyle w:val="TableParagraph"/>
              <w:spacing w:before="120" w:line="240" w:lineRule="auto"/>
              <w:ind w:left="683" w:right="102" w:hanging="432"/>
              <w:jc w:val="both"/>
              <w:rPr>
                <w:sz w:val="24"/>
              </w:rPr>
            </w:pPr>
            <w:r w:rsidRPr="00150EDC">
              <w:rPr>
                <w:sz w:val="24"/>
              </w:rPr>
              <w:t>jjj)</w:t>
            </w:r>
            <w:r w:rsidRPr="00150EDC">
              <w:rPr>
                <w:spacing w:val="80"/>
                <w:sz w:val="24"/>
              </w:rPr>
              <w:t xml:space="preserve"> </w:t>
            </w:r>
            <w:r w:rsidRPr="00150EDC">
              <w:rPr>
                <w:sz w:val="24"/>
              </w:rPr>
              <w:t>any penalty, fine, surcharge, interest, charges or costs relating to any of the above,</w:t>
            </w:r>
          </w:p>
          <w:p w14:paraId="7349F4F9" w14:textId="77777777" w:rsidR="004C7180" w:rsidRPr="00150EDC" w:rsidRDefault="00CF0754">
            <w:pPr>
              <w:pStyle w:val="TableParagraph"/>
              <w:spacing w:before="121" w:line="240" w:lineRule="auto"/>
              <w:ind w:left="277" w:right="100"/>
              <w:jc w:val="both"/>
              <w:rPr>
                <w:sz w:val="24"/>
              </w:rPr>
            </w:pPr>
            <w:r w:rsidRPr="00150EDC">
              <w:rPr>
                <w:sz w:val="24"/>
              </w:rPr>
              <w:t>in each case wherever chargeable and whether of the United Kingdom and any other jurisdiction;</w:t>
            </w:r>
          </w:p>
        </w:tc>
      </w:tr>
      <w:tr w:rsidR="007D3144" w:rsidRPr="007D3144" w14:paraId="511A5496" w14:textId="77777777">
        <w:trPr>
          <w:trHeight w:val="1223"/>
        </w:trPr>
        <w:tc>
          <w:tcPr>
            <w:tcW w:w="2264" w:type="dxa"/>
          </w:tcPr>
          <w:p w14:paraId="1AF57203" w14:textId="77777777" w:rsidR="004C7180" w:rsidRPr="00150EDC" w:rsidRDefault="00CF0754">
            <w:pPr>
              <w:pStyle w:val="TableParagraph"/>
              <w:spacing w:before="0" w:line="240" w:lineRule="auto"/>
              <w:ind w:left="-1"/>
              <w:rPr>
                <w:b/>
                <w:sz w:val="24"/>
              </w:rPr>
            </w:pPr>
            <w:r w:rsidRPr="00150EDC">
              <w:rPr>
                <w:b/>
                <w:spacing w:val="-2"/>
                <w:sz w:val="24"/>
              </w:rPr>
              <w:t>"Termination Notice"</w:t>
            </w:r>
          </w:p>
        </w:tc>
        <w:tc>
          <w:tcPr>
            <w:tcW w:w="7484" w:type="dxa"/>
          </w:tcPr>
          <w:p w14:paraId="5523950F" w14:textId="77777777" w:rsidR="004C7180" w:rsidRPr="00150EDC" w:rsidRDefault="00CF0754">
            <w:pPr>
              <w:pStyle w:val="TableParagraph"/>
              <w:spacing w:before="0" w:line="240" w:lineRule="auto"/>
              <w:ind w:left="277" w:right="100"/>
              <w:jc w:val="both"/>
              <w:rPr>
                <w:sz w:val="24"/>
              </w:rPr>
            </w:pPr>
            <w:r w:rsidRPr="00150EDC">
              <w:rPr>
                <w:sz w:val="24"/>
              </w:rPr>
              <w:t>a written notice of termination given by one Party to the other, notifying the Party receiving the notice of the intention of the Party giving the notice to terminate a Contract on a specified date and setting out the grounds for termination;</w:t>
            </w:r>
          </w:p>
        </w:tc>
      </w:tr>
      <w:tr w:rsidR="007D3144" w:rsidRPr="007D3144" w14:paraId="71DA2637" w14:textId="77777777">
        <w:trPr>
          <w:trHeight w:val="671"/>
        </w:trPr>
        <w:tc>
          <w:tcPr>
            <w:tcW w:w="2264" w:type="dxa"/>
          </w:tcPr>
          <w:p w14:paraId="7A2BED28" w14:textId="77777777" w:rsidR="004C7180" w:rsidRPr="00150EDC" w:rsidRDefault="00CF0754">
            <w:pPr>
              <w:pStyle w:val="TableParagraph"/>
              <w:spacing w:before="0" w:line="240" w:lineRule="auto"/>
              <w:ind w:left="-1"/>
              <w:rPr>
                <w:b/>
                <w:sz w:val="24"/>
              </w:rPr>
            </w:pPr>
            <w:r w:rsidRPr="00150EDC">
              <w:rPr>
                <w:b/>
                <w:sz w:val="24"/>
              </w:rPr>
              <w:t>"Test</w:t>
            </w:r>
            <w:r w:rsidRPr="00150EDC">
              <w:rPr>
                <w:b/>
                <w:spacing w:val="-2"/>
                <w:sz w:val="24"/>
              </w:rPr>
              <w:t xml:space="preserve"> Issue"</w:t>
            </w:r>
          </w:p>
        </w:tc>
        <w:tc>
          <w:tcPr>
            <w:tcW w:w="7484" w:type="dxa"/>
          </w:tcPr>
          <w:p w14:paraId="0236229A" w14:textId="77777777" w:rsidR="004C7180" w:rsidRPr="00150EDC" w:rsidRDefault="00CF0754">
            <w:pPr>
              <w:pStyle w:val="TableParagraph"/>
              <w:spacing w:before="0" w:line="240" w:lineRule="auto"/>
              <w:ind w:left="277"/>
              <w:rPr>
                <w:sz w:val="24"/>
              </w:rPr>
            </w:pPr>
            <w:r w:rsidRPr="00150EDC">
              <w:rPr>
                <w:sz w:val="24"/>
              </w:rPr>
              <w:t>any</w:t>
            </w:r>
            <w:r w:rsidRPr="00150EDC">
              <w:rPr>
                <w:spacing w:val="40"/>
                <w:sz w:val="24"/>
              </w:rPr>
              <w:t xml:space="preserve"> </w:t>
            </w:r>
            <w:r w:rsidRPr="00150EDC">
              <w:rPr>
                <w:sz w:val="24"/>
              </w:rPr>
              <w:t>variance</w:t>
            </w:r>
            <w:r w:rsidRPr="00150EDC">
              <w:rPr>
                <w:spacing w:val="40"/>
                <w:sz w:val="24"/>
              </w:rPr>
              <w:t xml:space="preserve"> </w:t>
            </w:r>
            <w:r w:rsidRPr="00150EDC">
              <w:rPr>
                <w:sz w:val="24"/>
              </w:rPr>
              <w:t>or</w:t>
            </w:r>
            <w:r w:rsidRPr="00150EDC">
              <w:rPr>
                <w:spacing w:val="40"/>
                <w:sz w:val="24"/>
              </w:rPr>
              <w:t xml:space="preserve"> </w:t>
            </w:r>
            <w:r w:rsidRPr="00150EDC">
              <w:rPr>
                <w:sz w:val="24"/>
              </w:rPr>
              <w:t>non-conformity</w:t>
            </w:r>
            <w:r w:rsidRPr="00150EDC">
              <w:rPr>
                <w:spacing w:val="40"/>
                <w:sz w:val="24"/>
              </w:rPr>
              <w:t xml:space="preserve"> </w:t>
            </w:r>
            <w:r w:rsidRPr="00150EDC">
              <w:rPr>
                <w:sz w:val="24"/>
              </w:rPr>
              <w:t>of</w:t>
            </w:r>
            <w:r w:rsidRPr="00150EDC">
              <w:rPr>
                <w:spacing w:val="80"/>
                <w:sz w:val="24"/>
              </w:rPr>
              <w:t xml:space="preserve"> </w:t>
            </w:r>
            <w:r w:rsidRPr="00150EDC">
              <w:rPr>
                <w:sz w:val="24"/>
              </w:rPr>
              <w:t>the</w:t>
            </w:r>
            <w:r w:rsidRPr="00150EDC">
              <w:rPr>
                <w:spacing w:val="80"/>
                <w:sz w:val="24"/>
              </w:rPr>
              <w:t xml:space="preserve"> </w:t>
            </w:r>
            <w:r w:rsidRPr="00150EDC">
              <w:rPr>
                <w:sz w:val="24"/>
              </w:rPr>
              <w:t>Deliverables</w:t>
            </w:r>
            <w:r w:rsidRPr="00150EDC">
              <w:rPr>
                <w:spacing w:val="80"/>
                <w:sz w:val="24"/>
              </w:rPr>
              <w:t xml:space="preserve"> </w:t>
            </w:r>
            <w:r w:rsidRPr="00150EDC">
              <w:rPr>
                <w:sz w:val="24"/>
              </w:rPr>
              <w:t>from</w:t>
            </w:r>
            <w:r w:rsidRPr="00150EDC">
              <w:rPr>
                <w:spacing w:val="40"/>
                <w:sz w:val="24"/>
              </w:rPr>
              <w:t xml:space="preserve"> </w:t>
            </w:r>
            <w:r w:rsidRPr="00150EDC">
              <w:rPr>
                <w:sz w:val="24"/>
              </w:rPr>
              <w:t>their requirements as set out in an Order Contract;</w:t>
            </w:r>
          </w:p>
        </w:tc>
      </w:tr>
      <w:tr w:rsidR="007D3144" w:rsidRPr="007D3144" w14:paraId="29A16E88" w14:textId="77777777">
        <w:trPr>
          <w:trHeight w:val="1464"/>
        </w:trPr>
        <w:tc>
          <w:tcPr>
            <w:tcW w:w="2264" w:type="dxa"/>
          </w:tcPr>
          <w:p w14:paraId="58F8F5A1" w14:textId="77777777" w:rsidR="004C7180" w:rsidRPr="00150EDC" w:rsidRDefault="00CF0754">
            <w:pPr>
              <w:pStyle w:val="TableParagraph"/>
              <w:spacing w:before="0" w:line="240" w:lineRule="auto"/>
              <w:ind w:left="-1"/>
              <w:rPr>
                <w:b/>
                <w:sz w:val="24"/>
              </w:rPr>
            </w:pPr>
            <w:r w:rsidRPr="00150EDC">
              <w:rPr>
                <w:b/>
                <w:sz w:val="24"/>
              </w:rPr>
              <w:t>"Test</w:t>
            </w:r>
            <w:r w:rsidRPr="00150EDC">
              <w:rPr>
                <w:b/>
                <w:spacing w:val="-2"/>
                <w:sz w:val="24"/>
              </w:rPr>
              <w:t xml:space="preserve"> Plan"</w:t>
            </w:r>
          </w:p>
        </w:tc>
        <w:tc>
          <w:tcPr>
            <w:tcW w:w="7484" w:type="dxa"/>
          </w:tcPr>
          <w:p w14:paraId="61F416C0" w14:textId="77777777" w:rsidR="004C7180" w:rsidRPr="00150EDC" w:rsidRDefault="00CF0754">
            <w:pPr>
              <w:pStyle w:val="TableParagraph"/>
              <w:spacing w:before="0" w:line="240" w:lineRule="auto"/>
              <w:ind w:left="277"/>
              <w:rPr>
                <w:sz w:val="24"/>
              </w:rPr>
            </w:pPr>
            <w:r w:rsidRPr="00150EDC">
              <w:rPr>
                <w:sz w:val="24"/>
              </w:rPr>
              <w:t xml:space="preserve">a </w:t>
            </w:r>
            <w:r w:rsidRPr="00150EDC">
              <w:rPr>
                <w:spacing w:val="-2"/>
                <w:sz w:val="24"/>
              </w:rPr>
              <w:t>plan:</w:t>
            </w:r>
          </w:p>
          <w:p w14:paraId="6C19A7DA" w14:textId="77777777" w:rsidR="004C7180" w:rsidRPr="00150EDC" w:rsidRDefault="00CF0754">
            <w:pPr>
              <w:pStyle w:val="TableParagraph"/>
              <w:spacing w:before="120" w:line="240" w:lineRule="auto"/>
              <w:ind w:left="251"/>
              <w:rPr>
                <w:sz w:val="24"/>
              </w:rPr>
            </w:pPr>
            <w:r w:rsidRPr="00150EDC">
              <w:rPr>
                <w:sz w:val="24"/>
              </w:rPr>
              <w:t>kkk)</w:t>
            </w:r>
            <w:r w:rsidRPr="00150EDC">
              <w:rPr>
                <w:spacing w:val="63"/>
                <w:sz w:val="24"/>
              </w:rPr>
              <w:t xml:space="preserve"> </w:t>
            </w:r>
            <w:r w:rsidRPr="00150EDC">
              <w:rPr>
                <w:sz w:val="24"/>
              </w:rPr>
              <w:t>for</w:t>
            </w:r>
            <w:r w:rsidRPr="00150EDC">
              <w:rPr>
                <w:spacing w:val="-3"/>
                <w:sz w:val="24"/>
              </w:rPr>
              <w:t xml:space="preserve"> </w:t>
            </w:r>
            <w:r w:rsidRPr="00150EDC">
              <w:rPr>
                <w:sz w:val="24"/>
              </w:rPr>
              <w:t>the</w:t>
            </w:r>
            <w:r w:rsidRPr="00150EDC">
              <w:rPr>
                <w:spacing w:val="-4"/>
                <w:sz w:val="24"/>
              </w:rPr>
              <w:t xml:space="preserve"> </w:t>
            </w:r>
            <w:r w:rsidRPr="00150EDC">
              <w:rPr>
                <w:sz w:val="24"/>
              </w:rPr>
              <w:t>Testing</w:t>
            </w:r>
            <w:r w:rsidRPr="00150EDC">
              <w:rPr>
                <w:spacing w:val="-3"/>
                <w:sz w:val="24"/>
              </w:rPr>
              <w:t xml:space="preserve"> </w:t>
            </w:r>
            <w:r w:rsidRPr="00150EDC">
              <w:rPr>
                <w:sz w:val="24"/>
              </w:rPr>
              <w:t>of</w:t>
            </w:r>
            <w:r w:rsidRPr="00150EDC">
              <w:rPr>
                <w:spacing w:val="-2"/>
                <w:sz w:val="24"/>
              </w:rPr>
              <w:t xml:space="preserve"> </w:t>
            </w:r>
            <w:r w:rsidRPr="00150EDC">
              <w:rPr>
                <w:sz w:val="24"/>
              </w:rPr>
              <w:t>the</w:t>
            </w:r>
            <w:r w:rsidRPr="00150EDC">
              <w:rPr>
                <w:spacing w:val="-3"/>
                <w:sz w:val="24"/>
              </w:rPr>
              <w:t xml:space="preserve"> </w:t>
            </w:r>
            <w:r w:rsidRPr="00150EDC">
              <w:rPr>
                <w:sz w:val="24"/>
              </w:rPr>
              <w:t>Deliverables;</w:t>
            </w:r>
            <w:r w:rsidRPr="00150EDC">
              <w:rPr>
                <w:spacing w:val="-4"/>
                <w:sz w:val="24"/>
              </w:rPr>
              <w:t xml:space="preserve"> </w:t>
            </w:r>
            <w:r w:rsidRPr="00150EDC">
              <w:rPr>
                <w:spacing w:val="-5"/>
                <w:sz w:val="24"/>
              </w:rPr>
              <w:t>and</w:t>
            </w:r>
          </w:p>
          <w:p w14:paraId="2F4949D0" w14:textId="77777777" w:rsidR="004C7180" w:rsidRPr="00150EDC" w:rsidRDefault="00CF0754">
            <w:pPr>
              <w:pStyle w:val="TableParagraph"/>
              <w:spacing w:before="121" w:line="240" w:lineRule="auto"/>
              <w:ind w:left="539" w:hanging="288"/>
              <w:rPr>
                <w:sz w:val="24"/>
              </w:rPr>
            </w:pPr>
            <w:r w:rsidRPr="00150EDC">
              <w:rPr>
                <w:sz w:val="24"/>
              </w:rPr>
              <w:t>lll)</w:t>
            </w:r>
            <w:r w:rsidRPr="00150EDC">
              <w:rPr>
                <w:spacing w:val="-19"/>
                <w:sz w:val="24"/>
              </w:rPr>
              <w:t xml:space="preserve"> </w:t>
            </w:r>
            <w:r w:rsidRPr="00150EDC">
              <w:rPr>
                <w:sz w:val="24"/>
              </w:rPr>
              <w:t>setting</w:t>
            </w:r>
            <w:r w:rsidRPr="00150EDC">
              <w:rPr>
                <w:spacing w:val="32"/>
                <w:sz w:val="24"/>
              </w:rPr>
              <w:t xml:space="preserve"> </w:t>
            </w:r>
            <w:r w:rsidRPr="00150EDC">
              <w:rPr>
                <w:sz w:val="24"/>
              </w:rPr>
              <w:t>out</w:t>
            </w:r>
            <w:r w:rsidRPr="00150EDC">
              <w:rPr>
                <w:spacing w:val="32"/>
                <w:sz w:val="24"/>
              </w:rPr>
              <w:t xml:space="preserve"> </w:t>
            </w:r>
            <w:r w:rsidRPr="00150EDC">
              <w:rPr>
                <w:sz w:val="24"/>
              </w:rPr>
              <w:t>other</w:t>
            </w:r>
            <w:r w:rsidRPr="00150EDC">
              <w:rPr>
                <w:spacing w:val="33"/>
                <w:sz w:val="24"/>
              </w:rPr>
              <w:t xml:space="preserve"> </w:t>
            </w:r>
            <w:r w:rsidRPr="00150EDC">
              <w:rPr>
                <w:sz w:val="24"/>
              </w:rPr>
              <w:t>agreed</w:t>
            </w:r>
            <w:r w:rsidRPr="00150EDC">
              <w:rPr>
                <w:spacing w:val="34"/>
                <w:sz w:val="24"/>
              </w:rPr>
              <w:t xml:space="preserve"> </w:t>
            </w:r>
            <w:r w:rsidRPr="00150EDC">
              <w:rPr>
                <w:sz w:val="24"/>
              </w:rPr>
              <w:t>criteria</w:t>
            </w:r>
            <w:r w:rsidRPr="00150EDC">
              <w:rPr>
                <w:spacing w:val="34"/>
                <w:sz w:val="24"/>
              </w:rPr>
              <w:t xml:space="preserve"> </w:t>
            </w:r>
            <w:r w:rsidRPr="00150EDC">
              <w:rPr>
                <w:sz w:val="24"/>
              </w:rPr>
              <w:t>related</w:t>
            </w:r>
            <w:r w:rsidRPr="00150EDC">
              <w:rPr>
                <w:spacing w:val="34"/>
                <w:sz w:val="24"/>
              </w:rPr>
              <w:t xml:space="preserve"> </w:t>
            </w:r>
            <w:r w:rsidRPr="00150EDC">
              <w:rPr>
                <w:sz w:val="24"/>
              </w:rPr>
              <w:t>to</w:t>
            </w:r>
            <w:r w:rsidRPr="00150EDC">
              <w:rPr>
                <w:spacing w:val="35"/>
                <w:sz w:val="24"/>
              </w:rPr>
              <w:t xml:space="preserve"> </w:t>
            </w:r>
            <w:r w:rsidRPr="00150EDC">
              <w:rPr>
                <w:sz w:val="24"/>
              </w:rPr>
              <w:t>the</w:t>
            </w:r>
            <w:r w:rsidRPr="00150EDC">
              <w:rPr>
                <w:spacing w:val="34"/>
                <w:sz w:val="24"/>
              </w:rPr>
              <w:t xml:space="preserve"> </w:t>
            </w:r>
            <w:r w:rsidRPr="00150EDC">
              <w:rPr>
                <w:sz w:val="24"/>
              </w:rPr>
              <w:t>achievement</w:t>
            </w:r>
            <w:r w:rsidRPr="00150EDC">
              <w:rPr>
                <w:spacing w:val="34"/>
                <w:sz w:val="24"/>
              </w:rPr>
              <w:t xml:space="preserve"> </w:t>
            </w:r>
            <w:r w:rsidRPr="00150EDC">
              <w:rPr>
                <w:sz w:val="24"/>
              </w:rPr>
              <w:t xml:space="preserve">of </w:t>
            </w:r>
            <w:r w:rsidRPr="00150EDC">
              <w:rPr>
                <w:spacing w:val="-2"/>
                <w:sz w:val="24"/>
              </w:rPr>
              <w:t>Milestones;</w:t>
            </w:r>
          </w:p>
        </w:tc>
      </w:tr>
      <w:tr w:rsidR="007D3144" w:rsidRPr="007D3144" w14:paraId="7675DC2E" w14:textId="77777777">
        <w:trPr>
          <w:trHeight w:val="947"/>
        </w:trPr>
        <w:tc>
          <w:tcPr>
            <w:tcW w:w="2264" w:type="dxa"/>
          </w:tcPr>
          <w:p w14:paraId="311A1333" w14:textId="77777777" w:rsidR="004C7180" w:rsidRPr="00150EDC" w:rsidRDefault="00CF0754">
            <w:pPr>
              <w:pStyle w:val="TableParagraph"/>
              <w:spacing w:before="0" w:line="240" w:lineRule="auto"/>
              <w:ind w:left="-1"/>
              <w:rPr>
                <w:b/>
                <w:sz w:val="24"/>
              </w:rPr>
            </w:pPr>
            <w:r w:rsidRPr="00150EDC">
              <w:rPr>
                <w:b/>
                <w:sz w:val="24"/>
              </w:rPr>
              <w:t>"Tests</w:t>
            </w:r>
            <w:r w:rsidRPr="00150EDC">
              <w:rPr>
                <w:b/>
                <w:spacing w:val="-6"/>
                <w:sz w:val="24"/>
              </w:rPr>
              <w:t xml:space="preserve"> </w:t>
            </w:r>
            <w:r w:rsidRPr="00150EDC">
              <w:rPr>
                <w:b/>
                <w:spacing w:val="-10"/>
                <w:sz w:val="24"/>
              </w:rPr>
              <w:t>"</w:t>
            </w:r>
          </w:p>
        </w:tc>
        <w:tc>
          <w:tcPr>
            <w:tcW w:w="7484" w:type="dxa"/>
          </w:tcPr>
          <w:p w14:paraId="505F636B" w14:textId="77777777" w:rsidR="004C7180" w:rsidRPr="00150EDC" w:rsidRDefault="00CF0754">
            <w:pPr>
              <w:pStyle w:val="TableParagraph"/>
              <w:spacing w:before="0" w:line="240" w:lineRule="auto"/>
              <w:ind w:left="277" w:right="103"/>
              <w:jc w:val="both"/>
              <w:rPr>
                <w:sz w:val="24"/>
              </w:rPr>
            </w:pPr>
            <w:r w:rsidRPr="00150EDC">
              <w:rPr>
                <w:sz w:val="24"/>
              </w:rPr>
              <w:t>any tests required to be carried out pursuant to an Order Contract as set out in the Test Plan or elsewhere in an Order Contract and "</w:t>
            </w:r>
            <w:r w:rsidRPr="00150EDC">
              <w:rPr>
                <w:b/>
                <w:sz w:val="24"/>
              </w:rPr>
              <w:t>Tested</w:t>
            </w:r>
            <w:r w:rsidRPr="00150EDC">
              <w:rPr>
                <w:sz w:val="24"/>
              </w:rPr>
              <w:t>" and “</w:t>
            </w:r>
            <w:r w:rsidRPr="00150EDC">
              <w:rPr>
                <w:b/>
                <w:sz w:val="24"/>
              </w:rPr>
              <w:t>Testing</w:t>
            </w:r>
            <w:r w:rsidRPr="00150EDC">
              <w:rPr>
                <w:sz w:val="24"/>
              </w:rPr>
              <w:t>” shall be construed accordingly;</w:t>
            </w:r>
          </w:p>
        </w:tc>
      </w:tr>
      <w:tr w:rsidR="007D3144" w:rsidRPr="007D3144" w14:paraId="1E6BE2B8" w14:textId="77777777">
        <w:trPr>
          <w:trHeight w:val="947"/>
        </w:trPr>
        <w:tc>
          <w:tcPr>
            <w:tcW w:w="2264" w:type="dxa"/>
          </w:tcPr>
          <w:p w14:paraId="228CC886" w14:textId="77777777" w:rsidR="004C7180" w:rsidRPr="00150EDC" w:rsidRDefault="00CF0754">
            <w:pPr>
              <w:pStyle w:val="TableParagraph"/>
              <w:spacing w:before="0" w:line="240" w:lineRule="auto"/>
              <w:ind w:left="-1"/>
              <w:rPr>
                <w:b/>
                <w:sz w:val="24"/>
              </w:rPr>
            </w:pPr>
            <w:r w:rsidRPr="00150EDC">
              <w:rPr>
                <w:b/>
                <w:sz w:val="24"/>
              </w:rPr>
              <w:t>"Third</w:t>
            </w:r>
            <w:r w:rsidRPr="00150EDC">
              <w:rPr>
                <w:b/>
                <w:spacing w:val="-3"/>
                <w:sz w:val="24"/>
              </w:rPr>
              <w:t xml:space="preserve"> </w:t>
            </w:r>
            <w:r w:rsidRPr="00150EDC">
              <w:rPr>
                <w:b/>
                <w:sz w:val="24"/>
              </w:rPr>
              <w:t>Party</w:t>
            </w:r>
            <w:r w:rsidRPr="00150EDC">
              <w:rPr>
                <w:b/>
                <w:spacing w:val="-3"/>
                <w:sz w:val="24"/>
              </w:rPr>
              <w:t xml:space="preserve"> </w:t>
            </w:r>
            <w:r w:rsidRPr="00150EDC">
              <w:rPr>
                <w:b/>
                <w:spacing w:val="-4"/>
                <w:sz w:val="24"/>
              </w:rPr>
              <w:t>IPR"</w:t>
            </w:r>
          </w:p>
        </w:tc>
        <w:tc>
          <w:tcPr>
            <w:tcW w:w="7484" w:type="dxa"/>
          </w:tcPr>
          <w:p w14:paraId="0DF5813E" w14:textId="77777777" w:rsidR="004C7180" w:rsidRPr="00150EDC" w:rsidRDefault="00CF0754">
            <w:pPr>
              <w:pStyle w:val="TableParagraph"/>
              <w:spacing w:before="0" w:line="240" w:lineRule="auto"/>
              <w:ind w:left="277" w:right="94"/>
              <w:jc w:val="both"/>
              <w:rPr>
                <w:sz w:val="24"/>
              </w:rPr>
            </w:pPr>
            <w:r w:rsidRPr="00150EDC">
              <w:rPr>
                <w:sz w:val="24"/>
              </w:rPr>
              <w:t xml:space="preserve">Intellectual Property Rights owned by a third party which is or will be used by the Supplier for the purpose of providing the </w:t>
            </w:r>
            <w:r w:rsidRPr="00150EDC">
              <w:rPr>
                <w:spacing w:val="-2"/>
                <w:sz w:val="24"/>
              </w:rPr>
              <w:t>Deliverables;</w:t>
            </w:r>
          </w:p>
        </w:tc>
      </w:tr>
    </w:tbl>
    <w:p w14:paraId="2BE5735A" w14:textId="77777777" w:rsidR="004C7180" w:rsidRPr="00150EDC" w:rsidRDefault="004C7180">
      <w:pPr>
        <w:jc w:val="both"/>
        <w:rPr>
          <w:sz w:val="24"/>
        </w:rPr>
        <w:sectPr w:rsidR="004C7180" w:rsidRPr="00150EDC">
          <w:pgSz w:w="11910" w:h="16840"/>
          <w:pgMar w:top="1160" w:right="0" w:bottom="1460" w:left="40" w:header="715" w:footer="1208" w:gutter="0"/>
          <w:cols w:space="720"/>
        </w:sectPr>
      </w:pPr>
    </w:p>
    <w:p w14:paraId="1C871A9D" w14:textId="77777777" w:rsidR="004C7180" w:rsidRPr="00150EDC" w:rsidRDefault="004C7180">
      <w:pPr>
        <w:pStyle w:val="BodyText"/>
        <w:spacing w:before="7"/>
        <w:rPr>
          <w:sz w:val="23"/>
        </w:rPr>
      </w:pPr>
    </w:p>
    <w:tbl>
      <w:tblPr>
        <w:tblW w:w="0" w:type="auto"/>
        <w:tblInd w:w="1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4"/>
        <w:gridCol w:w="7484"/>
      </w:tblGrid>
      <w:tr w:rsidR="007D3144" w:rsidRPr="007D3144" w14:paraId="372E9F5E" w14:textId="77777777">
        <w:trPr>
          <w:trHeight w:val="672"/>
        </w:trPr>
        <w:tc>
          <w:tcPr>
            <w:tcW w:w="2264" w:type="dxa"/>
          </w:tcPr>
          <w:p w14:paraId="0614C77D" w14:textId="77777777" w:rsidR="004C7180" w:rsidRPr="00150EDC" w:rsidRDefault="00CF0754">
            <w:pPr>
              <w:pStyle w:val="TableParagraph"/>
              <w:spacing w:before="0" w:line="240" w:lineRule="auto"/>
              <w:ind w:left="-1" w:right="148"/>
              <w:rPr>
                <w:b/>
                <w:sz w:val="24"/>
              </w:rPr>
            </w:pPr>
            <w:r w:rsidRPr="00150EDC">
              <w:rPr>
                <w:b/>
                <w:sz w:val="24"/>
              </w:rPr>
              <w:t>“Third</w:t>
            </w:r>
            <w:r w:rsidRPr="00150EDC">
              <w:rPr>
                <w:b/>
                <w:spacing w:val="-17"/>
                <w:sz w:val="24"/>
              </w:rPr>
              <w:t xml:space="preserve"> </w:t>
            </w:r>
            <w:r w:rsidRPr="00150EDC">
              <w:rPr>
                <w:b/>
                <w:sz w:val="24"/>
              </w:rPr>
              <w:t>Party</w:t>
            </w:r>
            <w:r w:rsidRPr="00150EDC">
              <w:rPr>
                <w:b/>
                <w:spacing w:val="-17"/>
                <w:sz w:val="24"/>
              </w:rPr>
              <w:t xml:space="preserve"> </w:t>
            </w:r>
            <w:r w:rsidRPr="00150EDC">
              <w:rPr>
                <w:b/>
                <w:sz w:val="24"/>
              </w:rPr>
              <w:t xml:space="preserve">IPR </w:t>
            </w:r>
            <w:r w:rsidRPr="00150EDC">
              <w:rPr>
                <w:b/>
                <w:spacing w:val="-2"/>
                <w:sz w:val="24"/>
              </w:rPr>
              <w:t>Licence”</w:t>
            </w:r>
          </w:p>
        </w:tc>
        <w:tc>
          <w:tcPr>
            <w:tcW w:w="7484" w:type="dxa"/>
          </w:tcPr>
          <w:p w14:paraId="6635C0B4" w14:textId="77777777" w:rsidR="004C7180" w:rsidRPr="00150EDC" w:rsidRDefault="00CF0754">
            <w:pPr>
              <w:pStyle w:val="TableParagraph"/>
              <w:spacing w:before="0" w:line="240" w:lineRule="auto"/>
              <w:ind w:left="277"/>
              <w:rPr>
                <w:sz w:val="24"/>
              </w:rPr>
            </w:pPr>
            <w:r w:rsidRPr="00150EDC">
              <w:rPr>
                <w:sz w:val="24"/>
              </w:rPr>
              <w:t>means</w:t>
            </w:r>
            <w:r w:rsidRPr="00150EDC">
              <w:rPr>
                <w:spacing w:val="-1"/>
                <w:sz w:val="24"/>
              </w:rPr>
              <w:t xml:space="preserve"> </w:t>
            </w:r>
            <w:r w:rsidRPr="00150EDC">
              <w:rPr>
                <w:sz w:val="24"/>
              </w:rPr>
              <w:t>a licence to the</w:t>
            </w:r>
            <w:r w:rsidRPr="00150EDC">
              <w:rPr>
                <w:spacing w:val="-2"/>
                <w:sz w:val="24"/>
              </w:rPr>
              <w:t xml:space="preserve"> </w:t>
            </w:r>
            <w:r w:rsidRPr="00150EDC">
              <w:rPr>
                <w:sz w:val="24"/>
              </w:rPr>
              <w:t>Third Party</w:t>
            </w:r>
            <w:r w:rsidRPr="00150EDC">
              <w:rPr>
                <w:spacing w:val="-1"/>
                <w:sz w:val="24"/>
              </w:rPr>
              <w:t xml:space="preserve"> </w:t>
            </w:r>
            <w:r w:rsidRPr="00150EDC">
              <w:rPr>
                <w:sz w:val="24"/>
              </w:rPr>
              <w:t>IPR</w:t>
            </w:r>
            <w:r w:rsidRPr="00150EDC">
              <w:rPr>
                <w:spacing w:val="-1"/>
                <w:sz w:val="24"/>
              </w:rPr>
              <w:t xml:space="preserve"> </w:t>
            </w:r>
            <w:r w:rsidRPr="00150EDC">
              <w:rPr>
                <w:sz w:val="24"/>
              </w:rPr>
              <w:t>as</w:t>
            </w:r>
            <w:r w:rsidRPr="00150EDC">
              <w:rPr>
                <w:spacing w:val="-1"/>
                <w:sz w:val="24"/>
              </w:rPr>
              <w:t xml:space="preserve"> </w:t>
            </w:r>
            <w:r w:rsidRPr="00150EDC">
              <w:rPr>
                <w:sz w:val="24"/>
              </w:rPr>
              <w:t>set</w:t>
            </w:r>
            <w:r w:rsidRPr="00150EDC">
              <w:rPr>
                <w:spacing w:val="-3"/>
                <w:sz w:val="24"/>
              </w:rPr>
              <w:t xml:space="preserve"> </w:t>
            </w:r>
            <w:r w:rsidRPr="00150EDC">
              <w:rPr>
                <w:sz w:val="24"/>
              </w:rPr>
              <w:t>out in Paragraph 1.5 of Schedule 24;</w:t>
            </w:r>
          </w:p>
        </w:tc>
      </w:tr>
      <w:tr w:rsidR="007D3144" w:rsidRPr="007D3144" w14:paraId="0107F49B" w14:textId="77777777">
        <w:trPr>
          <w:trHeight w:val="947"/>
        </w:trPr>
        <w:tc>
          <w:tcPr>
            <w:tcW w:w="2264" w:type="dxa"/>
          </w:tcPr>
          <w:p w14:paraId="12A4BB28" w14:textId="77777777" w:rsidR="004C7180" w:rsidRPr="00150EDC" w:rsidRDefault="00CF0754">
            <w:pPr>
              <w:pStyle w:val="TableParagraph"/>
              <w:spacing w:before="0" w:line="240" w:lineRule="auto"/>
              <w:ind w:left="-1"/>
              <w:rPr>
                <w:b/>
                <w:sz w:val="24"/>
              </w:rPr>
            </w:pPr>
            <w:r w:rsidRPr="00150EDC">
              <w:rPr>
                <w:b/>
                <w:spacing w:val="-2"/>
                <w:sz w:val="24"/>
              </w:rPr>
              <w:t>"Transferring Supplier Employees"</w:t>
            </w:r>
          </w:p>
        </w:tc>
        <w:tc>
          <w:tcPr>
            <w:tcW w:w="7484" w:type="dxa"/>
          </w:tcPr>
          <w:p w14:paraId="54ACB77C" w14:textId="77777777" w:rsidR="004C7180" w:rsidRPr="00150EDC" w:rsidRDefault="00CF0754">
            <w:pPr>
              <w:pStyle w:val="TableParagraph"/>
              <w:spacing w:before="0" w:line="240" w:lineRule="auto"/>
              <w:ind w:left="277" w:right="101"/>
              <w:jc w:val="both"/>
              <w:rPr>
                <w:sz w:val="24"/>
              </w:rPr>
            </w:pPr>
            <w:r w:rsidRPr="00150EDC">
              <w:rPr>
                <w:sz w:val="24"/>
              </w:rPr>
              <w:t>those employees of the Supplier and/or the Supplier’s Subcontractors</w:t>
            </w:r>
            <w:r w:rsidRPr="00150EDC">
              <w:rPr>
                <w:spacing w:val="-5"/>
                <w:sz w:val="24"/>
              </w:rPr>
              <w:t xml:space="preserve"> </w:t>
            </w:r>
            <w:r w:rsidRPr="00150EDC">
              <w:rPr>
                <w:sz w:val="24"/>
              </w:rPr>
              <w:t>to</w:t>
            </w:r>
            <w:r w:rsidRPr="00150EDC">
              <w:rPr>
                <w:spacing w:val="-5"/>
                <w:sz w:val="24"/>
              </w:rPr>
              <w:t xml:space="preserve"> </w:t>
            </w:r>
            <w:r w:rsidRPr="00150EDC">
              <w:rPr>
                <w:sz w:val="24"/>
              </w:rPr>
              <w:t>whom</w:t>
            </w:r>
            <w:r w:rsidRPr="00150EDC">
              <w:rPr>
                <w:spacing w:val="-4"/>
                <w:sz w:val="24"/>
              </w:rPr>
              <w:t xml:space="preserve"> </w:t>
            </w:r>
            <w:r w:rsidRPr="00150EDC">
              <w:rPr>
                <w:sz w:val="24"/>
              </w:rPr>
              <w:t>the</w:t>
            </w:r>
            <w:r w:rsidRPr="00150EDC">
              <w:rPr>
                <w:spacing w:val="-5"/>
                <w:sz w:val="24"/>
              </w:rPr>
              <w:t xml:space="preserve"> </w:t>
            </w:r>
            <w:r w:rsidRPr="00150EDC">
              <w:rPr>
                <w:sz w:val="24"/>
              </w:rPr>
              <w:t>Employment</w:t>
            </w:r>
            <w:r w:rsidRPr="00150EDC">
              <w:rPr>
                <w:spacing w:val="-5"/>
                <w:sz w:val="24"/>
              </w:rPr>
              <w:t xml:space="preserve"> </w:t>
            </w:r>
            <w:r w:rsidRPr="00150EDC">
              <w:rPr>
                <w:sz w:val="24"/>
              </w:rPr>
              <w:t>Regulations</w:t>
            </w:r>
            <w:r w:rsidRPr="00150EDC">
              <w:rPr>
                <w:spacing w:val="-5"/>
                <w:sz w:val="24"/>
              </w:rPr>
              <w:t xml:space="preserve"> </w:t>
            </w:r>
            <w:r w:rsidRPr="00150EDC">
              <w:rPr>
                <w:sz w:val="24"/>
              </w:rPr>
              <w:t>will</w:t>
            </w:r>
            <w:r w:rsidRPr="00150EDC">
              <w:rPr>
                <w:spacing w:val="-5"/>
                <w:sz w:val="24"/>
              </w:rPr>
              <w:t xml:space="preserve"> </w:t>
            </w:r>
            <w:r w:rsidRPr="00150EDC">
              <w:rPr>
                <w:sz w:val="24"/>
              </w:rPr>
              <w:t>apply</w:t>
            </w:r>
            <w:r w:rsidRPr="00150EDC">
              <w:rPr>
                <w:spacing w:val="-8"/>
                <w:sz w:val="24"/>
              </w:rPr>
              <w:t xml:space="preserve"> </w:t>
            </w:r>
            <w:r w:rsidRPr="00150EDC">
              <w:rPr>
                <w:sz w:val="24"/>
              </w:rPr>
              <w:t>on the Service Transfer Date;</w:t>
            </w:r>
          </w:p>
        </w:tc>
      </w:tr>
      <w:tr w:rsidR="007D3144" w:rsidRPr="007D3144" w14:paraId="4D140DF5" w14:textId="77777777">
        <w:trPr>
          <w:trHeight w:val="2412"/>
        </w:trPr>
        <w:tc>
          <w:tcPr>
            <w:tcW w:w="2264" w:type="dxa"/>
          </w:tcPr>
          <w:p w14:paraId="293F88A5" w14:textId="77777777" w:rsidR="004C7180" w:rsidRPr="00150EDC" w:rsidRDefault="00CF0754">
            <w:pPr>
              <w:pStyle w:val="TableParagraph"/>
              <w:spacing w:before="0" w:line="240" w:lineRule="auto"/>
              <w:ind w:left="-1"/>
              <w:rPr>
                <w:b/>
                <w:sz w:val="24"/>
              </w:rPr>
            </w:pPr>
            <w:r w:rsidRPr="00150EDC">
              <w:rPr>
                <w:b/>
                <w:spacing w:val="-2"/>
                <w:sz w:val="24"/>
              </w:rPr>
              <w:t>"Transparency Information"</w:t>
            </w:r>
          </w:p>
        </w:tc>
        <w:tc>
          <w:tcPr>
            <w:tcW w:w="7484" w:type="dxa"/>
          </w:tcPr>
          <w:p w14:paraId="0569ED79" w14:textId="77777777" w:rsidR="004C7180" w:rsidRPr="00150EDC" w:rsidRDefault="00CF0754">
            <w:pPr>
              <w:pStyle w:val="TableParagraph"/>
              <w:spacing w:before="0" w:line="240" w:lineRule="auto"/>
              <w:ind w:left="277" w:right="94"/>
              <w:jc w:val="both"/>
              <w:rPr>
                <w:sz w:val="24"/>
              </w:rPr>
            </w:pPr>
            <w:r w:rsidRPr="00150EDC">
              <w:rPr>
                <w:sz w:val="24"/>
              </w:rPr>
              <w:t>the Transparency Reports and the content of a Contract, including any</w:t>
            </w:r>
            <w:r w:rsidRPr="00150EDC">
              <w:rPr>
                <w:spacing w:val="-3"/>
                <w:sz w:val="24"/>
              </w:rPr>
              <w:t xml:space="preserve"> </w:t>
            </w:r>
            <w:r w:rsidRPr="00150EDC">
              <w:rPr>
                <w:sz w:val="24"/>
              </w:rPr>
              <w:t>changes</w:t>
            </w:r>
            <w:r w:rsidRPr="00150EDC">
              <w:rPr>
                <w:spacing w:val="-3"/>
                <w:sz w:val="24"/>
              </w:rPr>
              <w:t xml:space="preserve"> </w:t>
            </w:r>
            <w:r w:rsidRPr="00150EDC">
              <w:rPr>
                <w:sz w:val="24"/>
              </w:rPr>
              <w:t>to</w:t>
            </w:r>
            <w:r w:rsidRPr="00150EDC">
              <w:rPr>
                <w:spacing w:val="-3"/>
                <w:sz w:val="24"/>
              </w:rPr>
              <w:t xml:space="preserve"> </w:t>
            </w:r>
            <w:r w:rsidRPr="00150EDC">
              <w:rPr>
                <w:sz w:val="24"/>
              </w:rPr>
              <w:t>this</w:t>
            </w:r>
            <w:r w:rsidRPr="00150EDC">
              <w:rPr>
                <w:spacing w:val="-2"/>
                <w:sz w:val="24"/>
              </w:rPr>
              <w:t xml:space="preserve"> </w:t>
            </w:r>
            <w:r w:rsidRPr="00150EDC">
              <w:rPr>
                <w:sz w:val="24"/>
              </w:rPr>
              <w:t>Contract</w:t>
            </w:r>
            <w:r w:rsidRPr="00150EDC">
              <w:rPr>
                <w:spacing w:val="-3"/>
                <w:sz w:val="24"/>
              </w:rPr>
              <w:t xml:space="preserve"> </w:t>
            </w:r>
            <w:r w:rsidRPr="00150EDC">
              <w:rPr>
                <w:sz w:val="24"/>
              </w:rPr>
              <w:t>agreed</w:t>
            </w:r>
            <w:r w:rsidRPr="00150EDC">
              <w:rPr>
                <w:spacing w:val="-3"/>
                <w:sz w:val="24"/>
              </w:rPr>
              <w:t xml:space="preserve"> </w:t>
            </w:r>
            <w:r w:rsidRPr="00150EDC">
              <w:rPr>
                <w:sz w:val="24"/>
              </w:rPr>
              <w:t>from</w:t>
            </w:r>
            <w:r w:rsidRPr="00150EDC">
              <w:rPr>
                <w:spacing w:val="-2"/>
                <w:sz w:val="24"/>
              </w:rPr>
              <w:t xml:space="preserve"> </w:t>
            </w:r>
            <w:r w:rsidRPr="00150EDC">
              <w:rPr>
                <w:sz w:val="24"/>
              </w:rPr>
              <w:t>time</w:t>
            </w:r>
            <w:r w:rsidRPr="00150EDC">
              <w:rPr>
                <w:spacing w:val="-2"/>
                <w:sz w:val="24"/>
              </w:rPr>
              <w:t xml:space="preserve"> </w:t>
            </w:r>
            <w:r w:rsidRPr="00150EDC">
              <w:rPr>
                <w:sz w:val="24"/>
              </w:rPr>
              <w:t>to</w:t>
            </w:r>
            <w:r w:rsidRPr="00150EDC">
              <w:rPr>
                <w:spacing w:val="-5"/>
                <w:sz w:val="24"/>
              </w:rPr>
              <w:t xml:space="preserve"> </w:t>
            </w:r>
            <w:r w:rsidRPr="00150EDC">
              <w:rPr>
                <w:sz w:val="24"/>
              </w:rPr>
              <w:t>time,</w:t>
            </w:r>
            <w:r w:rsidRPr="00150EDC">
              <w:rPr>
                <w:spacing w:val="-3"/>
                <w:sz w:val="24"/>
              </w:rPr>
              <w:t xml:space="preserve"> </w:t>
            </w:r>
            <w:r w:rsidRPr="00150EDC">
              <w:rPr>
                <w:sz w:val="24"/>
              </w:rPr>
              <w:t>except</w:t>
            </w:r>
            <w:r w:rsidRPr="00150EDC">
              <w:rPr>
                <w:spacing w:val="-4"/>
                <w:sz w:val="24"/>
              </w:rPr>
              <w:t xml:space="preserve"> </w:t>
            </w:r>
            <w:r w:rsidRPr="00150EDC">
              <w:rPr>
                <w:sz w:val="24"/>
              </w:rPr>
              <w:t>for</w:t>
            </w:r>
            <w:r w:rsidRPr="00150EDC">
              <w:rPr>
                <w:spacing w:val="4"/>
                <w:sz w:val="24"/>
              </w:rPr>
              <w:t xml:space="preserve"> </w:t>
            </w:r>
            <w:r w:rsidRPr="00150EDC">
              <w:rPr>
                <w:spacing w:val="-10"/>
                <w:sz w:val="24"/>
              </w:rPr>
              <w:t>–</w:t>
            </w:r>
          </w:p>
          <w:p w14:paraId="4BC7FD88" w14:textId="77777777" w:rsidR="004C7180" w:rsidRPr="00150EDC" w:rsidRDefault="00CF0754" w:rsidP="00B320C7">
            <w:pPr>
              <w:pStyle w:val="TableParagraph"/>
              <w:numPr>
                <w:ilvl w:val="0"/>
                <w:numId w:val="103"/>
              </w:numPr>
              <w:tabs>
                <w:tab w:val="left" w:pos="1544"/>
              </w:tabs>
              <w:spacing w:before="120" w:line="240" w:lineRule="auto"/>
              <w:ind w:right="97" w:firstLine="0"/>
              <w:jc w:val="both"/>
              <w:rPr>
                <w:sz w:val="24"/>
              </w:rPr>
            </w:pPr>
            <w:r w:rsidRPr="00150EDC">
              <w:rPr>
                <w:sz w:val="24"/>
              </w:rPr>
              <w:t>any information which is exempt from disclosure in accordance with the provisions of the FOIA, which shall be determined by the Relevant Authority; and</w:t>
            </w:r>
          </w:p>
          <w:p w14:paraId="52561FF0" w14:textId="77777777" w:rsidR="004C7180" w:rsidRPr="00150EDC" w:rsidRDefault="00CF0754" w:rsidP="00B320C7">
            <w:pPr>
              <w:pStyle w:val="TableParagraph"/>
              <w:numPr>
                <w:ilvl w:val="0"/>
                <w:numId w:val="103"/>
              </w:numPr>
              <w:tabs>
                <w:tab w:val="left" w:pos="825"/>
              </w:tabs>
              <w:spacing w:before="120" w:line="240" w:lineRule="auto"/>
              <w:ind w:left="825" w:hanging="480"/>
              <w:jc w:val="both"/>
              <w:rPr>
                <w:sz w:val="24"/>
              </w:rPr>
            </w:pPr>
            <w:r w:rsidRPr="00150EDC">
              <w:rPr>
                <w:spacing w:val="-2"/>
                <w:sz w:val="24"/>
              </w:rPr>
              <w:t>Commercially</w:t>
            </w:r>
            <w:r w:rsidRPr="00150EDC">
              <w:rPr>
                <w:spacing w:val="2"/>
                <w:sz w:val="24"/>
              </w:rPr>
              <w:t xml:space="preserve"> </w:t>
            </w:r>
            <w:r w:rsidRPr="00150EDC">
              <w:rPr>
                <w:spacing w:val="-2"/>
                <w:sz w:val="24"/>
              </w:rPr>
              <w:t>Sensitive</w:t>
            </w:r>
            <w:r w:rsidRPr="00150EDC">
              <w:rPr>
                <w:spacing w:val="2"/>
                <w:sz w:val="24"/>
              </w:rPr>
              <w:t xml:space="preserve"> </w:t>
            </w:r>
            <w:r w:rsidRPr="00150EDC">
              <w:rPr>
                <w:spacing w:val="-2"/>
                <w:sz w:val="24"/>
              </w:rPr>
              <w:t>Information;</w:t>
            </w:r>
          </w:p>
        </w:tc>
      </w:tr>
      <w:tr w:rsidR="007D3144" w:rsidRPr="007D3144" w14:paraId="51D6B750" w14:textId="77777777">
        <w:trPr>
          <w:trHeight w:val="1225"/>
        </w:trPr>
        <w:tc>
          <w:tcPr>
            <w:tcW w:w="2264" w:type="dxa"/>
          </w:tcPr>
          <w:p w14:paraId="15684CB1" w14:textId="77777777" w:rsidR="004C7180" w:rsidRPr="00150EDC" w:rsidRDefault="00CF0754">
            <w:pPr>
              <w:pStyle w:val="TableParagraph"/>
              <w:spacing w:before="2" w:line="240" w:lineRule="auto"/>
              <w:ind w:left="-1"/>
              <w:rPr>
                <w:b/>
                <w:sz w:val="24"/>
              </w:rPr>
            </w:pPr>
            <w:r w:rsidRPr="00150EDC">
              <w:rPr>
                <w:b/>
                <w:spacing w:val="-2"/>
                <w:sz w:val="24"/>
              </w:rPr>
              <w:t>"Transparency Reports"</w:t>
            </w:r>
          </w:p>
        </w:tc>
        <w:tc>
          <w:tcPr>
            <w:tcW w:w="7484" w:type="dxa"/>
          </w:tcPr>
          <w:p w14:paraId="5D52F03A" w14:textId="77777777" w:rsidR="004C7180" w:rsidRPr="00150EDC" w:rsidRDefault="00CF0754">
            <w:pPr>
              <w:pStyle w:val="TableParagraph"/>
              <w:spacing w:before="2" w:line="240" w:lineRule="auto"/>
              <w:ind w:left="277" w:right="102"/>
              <w:jc w:val="both"/>
              <w:rPr>
                <w:sz w:val="24"/>
              </w:rPr>
            </w:pPr>
            <w:r w:rsidRPr="00150EDC">
              <w:rPr>
                <w:sz w:val="24"/>
              </w:rPr>
              <w:t>the information relating</w:t>
            </w:r>
            <w:r w:rsidRPr="00150EDC">
              <w:rPr>
                <w:spacing w:val="-1"/>
                <w:sz w:val="24"/>
              </w:rPr>
              <w:t xml:space="preserve"> </w:t>
            </w:r>
            <w:r w:rsidRPr="00150EDC">
              <w:rPr>
                <w:sz w:val="24"/>
              </w:rPr>
              <w:t>to the Deliverables</w:t>
            </w:r>
            <w:r w:rsidRPr="00150EDC">
              <w:rPr>
                <w:spacing w:val="-1"/>
                <w:sz w:val="24"/>
              </w:rPr>
              <w:t xml:space="preserve"> </w:t>
            </w:r>
            <w:r w:rsidRPr="00150EDC">
              <w:rPr>
                <w:sz w:val="24"/>
              </w:rPr>
              <w:t>and performance of the Contracts which the Supplier is required to provide to the Buyer in accordance with the reporting requirements in Order Schedule 1 (Transparency Reports);</w:t>
            </w:r>
          </w:p>
        </w:tc>
      </w:tr>
      <w:tr w:rsidR="007D3144" w:rsidRPr="007D3144" w14:paraId="0D20E06C" w14:textId="77777777">
        <w:trPr>
          <w:trHeight w:val="1223"/>
        </w:trPr>
        <w:tc>
          <w:tcPr>
            <w:tcW w:w="2264" w:type="dxa"/>
          </w:tcPr>
          <w:p w14:paraId="35435486" w14:textId="77777777" w:rsidR="004C7180" w:rsidRPr="00150EDC" w:rsidRDefault="00CF0754">
            <w:pPr>
              <w:pStyle w:val="TableParagraph"/>
              <w:spacing w:before="0" w:line="240" w:lineRule="auto"/>
              <w:ind w:left="-1"/>
              <w:rPr>
                <w:b/>
                <w:sz w:val="24"/>
              </w:rPr>
            </w:pPr>
            <w:r w:rsidRPr="00150EDC">
              <w:rPr>
                <w:b/>
                <w:spacing w:val="-2"/>
                <w:sz w:val="24"/>
              </w:rPr>
              <w:t>“TUPE”</w:t>
            </w:r>
          </w:p>
        </w:tc>
        <w:tc>
          <w:tcPr>
            <w:tcW w:w="7484" w:type="dxa"/>
          </w:tcPr>
          <w:p w14:paraId="730E7810" w14:textId="77777777" w:rsidR="004C7180" w:rsidRPr="00150EDC" w:rsidRDefault="00CF0754">
            <w:pPr>
              <w:pStyle w:val="TableParagraph"/>
              <w:spacing w:before="0" w:line="240" w:lineRule="auto"/>
              <w:ind w:left="277" w:right="97"/>
              <w:jc w:val="both"/>
              <w:rPr>
                <w:sz w:val="24"/>
              </w:rPr>
            </w:pPr>
            <w:r w:rsidRPr="007D3144">
              <w:rPr>
                <w:sz w:val="24"/>
              </w:rPr>
              <w:t xml:space="preserve">Transfer of Undertakings (Protection of Employment) Regulations 2006 (SI 2006/246) as amended or replaced or any other regulations or UK legislation implementing the Acquired Rights </w:t>
            </w:r>
            <w:r w:rsidRPr="007D3144">
              <w:rPr>
                <w:spacing w:val="-2"/>
                <w:sz w:val="24"/>
              </w:rPr>
              <w:t>Directive;</w:t>
            </w:r>
          </w:p>
        </w:tc>
      </w:tr>
      <w:tr w:rsidR="007D3144" w:rsidRPr="007D3144" w14:paraId="54D19196" w14:textId="77777777">
        <w:trPr>
          <w:trHeight w:val="671"/>
        </w:trPr>
        <w:tc>
          <w:tcPr>
            <w:tcW w:w="2264" w:type="dxa"/>
          </w:tcPr>
          <w:p w14:paraId="414E4435" w14:textId="77777777" w:rsidR="004C7180" w:rsidRPr="00150EDC" w:rsidRDefault="00CF0754">
            <w:pPr>
              <w:pStyle w:val="TableParagraph"/>
              <w:spacing w:before="0" w:line="240" w:lineRule="auto"/>
              <w:ind w:left="-1"/>
              <w:rPr>
                <w:b/>
                <w:sz w:val="24"/>
              </w:rPr>
            </w:pPr>
            <w:r w:rsidRPr="00150EDC">
              <w:rPr>
                <w:b/>
                <w:sz w:val="24"/>
              </w:rPr>
              <w:t>“United</w:t>
            </w:r>
            <w:r w:rsidRPr="00150EDC">
              <w:rPr>
                <w:b/>
                <w:spacing w:val="-3"/>
                <w:sz w:val="24"/>
              </w:rPr>
              <w:t xml:space="preserve"> </w:t>
            </w:r>
            <w:r w:rsidRPr="00150EDC">
              <w:rPr>
                <w:b/>
                <w:spacing w:val="-2"/>
                <w:sz w:val="24"/>
              </w:rPr>
              <w:t>Kingdom”</w:t>
            </w:r>
          </w:p>
        </w:tc>
        <w:tc>
          <w:tcPr>
            <w:tcW w:w="7484" w:type="dxa"/>
          </w:tcPr>
          <w:p w14:paraId="729B8F33" w14:textId="77777777" w:rsidR="004C7180" w:rsidRPr="00150EDC" w:rsidRDefault="00CF0754">
            <w:pPr>
              <w:pStyle w:val="TableParagraph"/>
              <w:spacing w:before="0" w:line="240" w:lineRule="auto"/>
              <w:ind w:left="277"/>
              <w:rPr>
                <w:sz w:val="24"/>
              </w:rPr>
            </w:pPr>
            <w:r w:rsidRPr="007D3144">
              <w:rPr>
                <w:sz w:val="24"/>
              </w:rPr>
              <w:t>the</w:t>
            </w:r>
            <w:r w:rsidRPr="007D3144">
              <w:rPr>
                <w:spacing w:val="-17"/>
                <w:sz w:val="24"/>
              </w:rPr>
              <w:t xml:space="preserve"> </w:t>
            </w:r>
            <w:r w:rsidRPr="007D3144">
              <w:rPr>
                <w:sz w:val="24"/>
              </w:rPr>
              <w:t>country</w:t>
            </w:r>
            <w:r w:rsidRPr="007D3144">
              <w:rPr>
                <w:spacing w:val="-17"/>
                <w:sz w:val="24"/>
              </w:rPr>
              <w:t xml:space="preserve"> </w:t>
            </w:r>
            <w:r w:rsidRPr="007D3144">
              <w:rPr>
                <w:sz w:val="24"/>
              </w:rPr>
              <w:t>that</w:t>
            </w:r>
            <w:r w:rsidRPr="007D3144">
              <w:rPr>
                <w:spacing w:val="-16"/>
                <w:sz w:val="24"/>
              </w:rPr>
              <w:t xml:space="preserve"> </w:t>
            </w:r>
            <w:r w:rsidRPr="007D3144">
              <w:rPr>
                <w:sz w:val="24"/>
              </w:rPr>
              <w:t>consists</w:t>
            </w:r>
            <w:r w:rsidRPr="007D3144">
              <w:rPr>
                <w:spacing w:val="-17"/>
                <w:sz w:val="24"/>
              </w:rPr>
              <w:t xml:space="preserve"> </w:t>
            </w:r>
            <w:r w:rsidRPr="007D3144">
              <w:rPr>
                <w:sz w:val="24"/>
              </w:rPr>
              <w:t>of</w:t>
            </w:r>
            <w:r w:rsidRPr="007D3144">
              <w:rPr>
                <w:spacing w:val="-17"/>
                <w:sz w:val="24"/>
              </w:rPr>
              <w:t xml:space="preserve"> </w:t>
            </w:r>
            <w:r w:rsidRPr="007D3144">
              <w:rPr>
                <w:sz w:val="24"/>
              </w:rPr>
              <w:t>England,</w:t>
            </w:r>
            <w:r w:rsidRPr="007D3144">
              <w:rPr>
                <w:spacing w:val="-16"/>
                <w:sz w:val="24"/>
              </w:rPr>
              <w:t xml:space="preserve"> </w:t>
            </w:r>
            <w:r w:rsidRPr="007D3144">
              <w:rPr>
                <w:sz w:val="24"/>
              </w:rPr>
              <w:t>Scotland,</w:t>
            </w:r>
            <w:r w:rsidRPr="007D3144">
              <w:rPr>
                <w:spacing w:val="-17"/>
                <w:sz w:val="24"/>
              </w:rPr>
              <w:t xml:space="preserve"> </w:t>
            </w:r>
            <w:r w:rsidRPr="007D3144">
              <w:rPr>
                <w:sz w:val="24"/>
              </w:rPr>
              <w:t>Wales,</w:t>
            </w:r>
            <w:r w:rsidRPr="007D3144">
              <w:rPr>
                <w:spacing w:val="-16"/>
                <w:sz w:val="24"/>
              </w:rPr>
              <w:t xml:space="preserve"> </w:t>
            </w:r>
            <w:r w:rsidRPr="007D3144">
              <w:rPr>
                <w:sz w:val="24"/>
              </w:rPr>
              <w:t>and</w:t>
            </w:r>
            <w:r w:rsidRPr="007D3144">
              <w:rPr>
                <w:spacing w:val="-16"/>
                <w:sz w:val="24"/>
              </w:rPr>
              <w:t xml:space="preserve"> </w:t>
            </w:r>
            <w:r w:rsidRPr="007D3144">
              <w:rPr>
                <w:sz w:val="24"/>
              </w:rPr>
              <w:t xml:space="preserve">Northern </w:t>
            </w:r>
            <w:r w:rsidRPr="007D3144">
              <w:rPr>
                <w:spacing w:val="-2"/>
                <w:sz w:val="24"/>
              </w:rPr>
              <w:t>Ireland;</w:t>
            </w:r>
          </w:p>
        </w:tc>
      </w:tr>
      <w:tr w:rsidR="007D3144" w:rsidRPr="007D3144" w14:paraId="6FC50384" w14:textId="77777777">
        <w:trPr>
          <w:trHeight w:val="672"/>
        </w:trPr>
        <w:tc>
          <w:tcPr>
            <w:tcW w:w="2264" w:type="dxa"/>
          </w:tcPr>
          <w:p w14:paraId="06CAFD4A" w14:textId="77777777" w:rsidR="004C7180" w:rsidRPr="00150EDC" w:rsidRDefault="00CF0754">
            <w:pPr>
              <w:pStyle w:val="TableParagraph"/>
              <w:spacing w:before="0" w:line="240" w:lineRule="auto"/>
              <w:ind w:left="-1"/>
              <w:rPr>
                <w:b/>
                <w:sz w:val="24"/>
              </w:rPr>
            </w:pPr>
            <w:r w:rsidRPr="00150EDC">
              <w:rPr>
                <w:b/>
                <w:sz w:val="24"/>
              </w:rPr>
              <w:t>"UK</w:t>
            </w:r>
            <w:r w:rsidRPr="00150EDC">
              <w:rPr>
                <w:b/>
                <w:spacing w:val="-7"/>
                <w:sz w:val="24"/>
              </w:rPr>
              <w:t xml:space="preserve"> </w:t>
            </w:r>
            <w:r w:rsidRPr="00150EDC">
              <w:rPr>
                <w:b/>
                <w:spacing w:val="-2"/>
                <w:sz w:val="24"/>
              </w:rPr>
              <w:t>GDPR"</w:t>
            </w:r>
          </w:p>
        </w:tc>
        <w:tc>
          <w:tcPr>
            <w:tcW w:w="7484" w:type="dxa"/>
          </w:tcPr>
          <w:p w14:paraId="3463B289" w14:textId="77777777" w:rsidR="004C7180" w:rsidRPr="00150EDC" w:rsidRDefault="00CF0754">
            <w:pPr>
              <w:pStyle w:val="TableParagraph"/>
              <w:spacing w:before="0" w:line="240" w:lineRule="auto"/>
              <w:ind w:left="277"/>
              <w:rPr>
                <w:sz w:val="24"/>
              </w:rPr>
            </w:pPr>
            <w:r w:rsidRPr="00150EDC">
              <w:rPr>
                <w:sz w:val="24"/>
              </w:rPr>
              <w:t>the</w:t>
            </w:r>
            <w:r w:rsidRPr="00150EDC">
              <w:rPr>
                <w:spacing w:val="80"/>
                <w:sz w:val="24"/>
              </w:rPr>
              <w:t xml:space="preserve"> </w:t>
            </w:r>
            <w:r w:rsidRPr="00150EDC">
              <w:rPr>
                <w:sz w:val="24"/>
              </w:rPr>
              <w:t>retained</w:t>
            </w:r>
            <w:r w:rsidRPr="00150EDC">
              <w:rPr>
                <w:spacing w:val="80"/>
                <w:sz w:val="24"/>
              </w:rPr>
              <w:t xml:space="preserve"> </w:t>
            </w:r>
            <w:r w:rsidRPr="00150EDC">
              <w:rPr>
                <w:sz w:val="24"/>
              </w:rPr>
              <w:t>EU</w:t>
            </w:r>
            <w:r w:rsidRPr="00150EDC">
              <w:rPr>
                <w:spacing w:val="80"/>
                <w:sz w:val="24"/>
              </w:rPr>
              <w:t xml:space="preserve"> </w:t>
            </w:r>
            <w:r w:rsidRPr="00150EDC">
              <w:rPr>
                <w:sz w:val="24"/>
              </w:rPr>
              <w:t>law</w:t>
            </w:r>
            <w:r w:rsidRPr="00150EDC">
              <w:rPr>
                <w:spacing w:val="80"/>
                <w:sz w:val="24"/>
              </w:rPr>
              <w:t xml:space="preserve"> </w:t>
            </w:r>
            <w:r w:rsidRPr="00150EDC">
              <w:rPr>
                <w:sz w:val="24"/>
              </w:rPr>
              <w:t>version</w:t>
            </w:r>
            <w:r w:rsidRPr="00150EDC">
              <w:rPr>
                <w:spacing w:val="80"/>
                <w:sz w:val="24"/>
              </w:rPr>
              <w:t xml:space="preserve"> </w:t>
            </w:r>
            <w:r w:rsidRPr="00150EDC">
              <w:rPr>
                <w:sz w:val="24"/>
              </w:rPr>
              <w:t>of</w:t>
            </w:r>
            <w:r w:rsidRPr="00150EDC">
              <w:rPr>
                <w:spacing w:val="80"/>
                <w:sz w:val="24"/>
              </w:rPr>
              <w:t xml:space="preserve"> </w:t>
            </w:r>
            <w:r w:rsidRPr="00150EDC">
              <w:rPr>
                <w:sz w:val="24"/>
              </w:rPr>
              <w:t>the</w:t>
            </w:r>
            <w:r w:rsidRPr="00150EDC">
              <w:rPr>
                <w:spacing w:val="80"/>
                <w:sz w:val="24"/>
              </w:rPr>
              <w:t xml:space="preserve"> </w:t>
            </w:r>
            <w:r w:rsidRPr="00150EDC">
              <w:rPr>
                <w:sz w:val="24"/>
              </w:rPr>
              <w:t>General</w:t>
            </w:r>
            <w:r w:rsidRPr="00150EDC">
              <w:rPr>
                <w:spacing w:val="80"/>
                <w:sz w:val="24"/>
              </w:rPr>
              <w:t xml:space="preserve"> </w:t>
            </w:r>
            <w:r w:rsidRPr="00150EDC">
              <w:rPr>
                <w:sz w:val="24"/>
              </w:rPr>
              <w:t>Data</w:t>
            </w:r>
            <w:r w:rsidRPr="00150EDC">
              <w:rPr>
                <w:spacing w:val="80"/>
                <w:sz w:val="24"/>
              </w:rPr>
              <w:t xml:space="preserve"> </w:t>
            </w:r>
            <w:r w:rsidRPr="00150EDC">
              <w:rPr>
                <w:sz w:val="24"/>
              </w:rPr>
              <w:t>Protection Regulation (Regulation (EU) 2016/679);</w:t>
            </w:r>
          </w:p>
        </w:tc>
      </w:tr>
      <w:tr w:rsidR="007D3144" w:rsidRPr="007D3144" w14:paraId="73803F90" w14:textId="77777777">
        <w:trPr>
          <w:trHeight w:val="395"/>
        </w:trPr>
        <w:tc>
          <w:tcPr>
            <w:tcW w:w="2264" w:type="dxa"/>
          </w:tcPr>
          <w:p w14:paraId="7424BF4F" w14:textId="77777777" w:rsidR="004C7180" w:rsidRPr="00150EDC" w:rsidRDefault="00CF0754">
            <w:pPr>
              <w:pStyle w:val="TableParagraph"/>
              <w:spacing w:before="0" w:line="240" w:lineRule="auto"/>
              <w:ind w:left="-1"/>
              <w:rPr>
                <w:b/>
                <w:sz w:val="24"/>
              </w:rPr>
            </w:pPr>
            <w:r w:rsidRPr="00150EDC">
              <w:rPr>
                <w:b/>
                <w:spacing w:val="-2"/>
                <w:sz w:val="24"/>
              </w:rPr>
              <w:t>"Variation"</w:t>
            </w:r>
          </w:p>
        </w:tc>
        <w:tc>
          <w:tcPr>
            <w:tcW w:w="7484" w:type="dxa"/>
          </w:tcPr>
          <w:p w14:paraId="40CC2A51" w14:textId="77777777" w:rsidR="004C7180" w:rsidRPr="00150EDC" w:rsidRDefault="00CF0754">
            <w:pPr>
              <w:pStyle w:val="TableParagraph"/>
              <w:spacing w:before="0" w:line="240" w:lineRule="auto"/>
              <w:ind w:left="277"/>
              <w:rPr>
                <w:sz w:val="24"/>
              </w:rPr>
            </w:pPr>
            <w:r w:rsidRPr="00150EDC">
              <w:rPr>
                <w:sz w:val="24"/>
              </w:rPr>
              <w:t>any</w:t>
            </w:r>
            <w:r w:rsidRPr="00150EDC">
              <w:rPr>
                <w:spacing w:val="-2"/>
                <w:sz w:val="24"/>
              </w:rPr>
              <w:t xml:space="preserve"> </w:t>
            </w:r>
            <w:r w:rsidRPr="00150EDC">
              <w:rPr>
                <w:sz w:val="24"/>
              </w:rPr>
              <w:t>change</w:t>
            </w:r>
            <w:r w:rsidRPr="00150EDC">
              <w:rPr>
                <w:spacing w:val="-1"/>
                <w:sz w:val="24"/>
              </w:rPr>
              <w:t xml:space="preserve"> </w:t>
            </w:r>
            <w:r w:rsidRPr="00150EDC">
              <w:rPr>
                <w:sz w:val="24"/>
              </w:rPr>
              <w:t>to</w:t>
            </w:r>
            <w:r w:rsidRPr="00150EDC">
              <w:rPr>
                <w:spacing w:val="-2"/>
                <w:sz w:val="24"/>
              </w:rPr>
              <w:t xml:space="preserve"> </w:t>
            </w:r>
            <w:r w:rsidRPr="00150EDC">
              <w:rPr>
                <w:sz w:val="24"/>
              </w:rPr>
              <w:t xml:space="preserve">a </w:t>
            </w:r>
            <w:r w:rsidRPr="00150EDC">
              <w:rPr>
                <w:spacing w:val="-2"/>
                <w:sz w:val="24"/>
              </w:rPr>
              <w:t>Contract;</w:t>
            </w:r>
          </w:p>
        </w:tc>
      </w:tr>
      <w:tr w:rsidR="007D3144" w:rsidRPr="007D3144" w14:paraId="2B5E987B" w14:textId="77777777">
        <w:trPr>
          <w:trHeight w:val="395"/>
        </w:trPr>
        <w:tc>
          <w:tcPr>
            <w:tcW w:w="2264" w:type="dxa"/>
          </w:tcPr>
          <w:p w14:paraId="1A1364DC" w14:textId="77777777" w:rsidR="004C7180" w:rsidRPr="00150EDC" w:rsidRDefault="00CF0754">
            <w:pPr>
              <w:pStyle w:val="TableParagraph"/>
              <w:spacing w:before="0" w:line="240" w:lineRule="auto"/>
              <w:ind w:left="-1"/>
              <w:rPr>
                <w:b/>
                <w:sz w:val="24"/>
              </w:rPr>
            </w:pPr>
            <w:r w:rsidRPr="00150EDC">
              <w:rPr>
                <w:b/>
                <w:sz w:val="24"/>
              </w:rPr>
              <w:t>"Variation</w:t>
            </w:r>
            <w:r w:rsidRPr="00150EDC">
              <w:rPr>
                <w:b/>
                <w:spacing w:val="-4"/>
                <w:sz w:val="24"/>
              </w:rPr>
              <w:t xml:space="preserve"> </w:t>
            </w:r>
            <w:r w:rsidRPr="00150EDC">
              <w:rPr>
                <w:b/>
                <w:spacing w:val="-2"/>
                <w:sz w:val="24"/>
              </w:rPr>
              <w:t>Form"</w:t>
            </w:r>
          </w:p>
        </w:tc>
        <w:tc>
          <w:tcPr>
            <w:tcW w:w="7484" w:type="dxa"/>
          </w:tcPr>
          <w:p w14:paraId="751114F9" w14:textId="77777777" w:rsidR="004C7180" w:rsidRPr="00150EDC" w:rsidRDefault="00CF0754">
            <w:pPr>
              <w:pStyle w:val="TableParagraph"/>
              <w:spacing w:before="0" w:line="240" w:lineRule="auto"/>
              <w:ind w:left="277"/>
              <w:rPr>
                <w:sz w:val="24"/>
              </w:rPr>
            </w:pPr>
            <w:r w:rsidRPr="00150EDC">
              <w:rPr>
                <w:sz w:val="24"/>
              </w:rPr>
              <w:t>the</w:t>
            </w:r>
            <w:r w:rsidRPr="00150EDC">
              <w:rPr>
                <w:spacing w:val="-3"/>
                <w:sz w:val="24"/>
              </w:rPr>
              <w:t xml:space="preserve"> </w:t>
            </w:r>
            <w:r w:rsidRPr="00150EDC">
              <w:rPr>
                <w:sz w:val="24"/>
              </w:rPr>
              <w:t>form</w:t>
            </w:r>
            <w:r w:rsidRPr="00150EDC">
              <w:rPr>
                <w:spacing w:val="-2"/>
                <w:sz w:val="24"/>
              </w:rPr>
              <w:t xml:space="preserve"> </w:t>
            </w:r>
            <w:r w:rsidRPr="00150EDC">
              <w:rPr>
                <w:sz w:val="24"/>
              </w:rPr>
              <w:t>set</w:t>
            </w:r>
            <w:r w:rsidRPr="00150EDC">
              <w:rPr>
                <w:spacing w:val="-5"/>
                <w:sz w:val="24"/>
              </w:rPr>
              <w:t xml:space="preserve"> </w:t>
            </w:r>
            <w:r w:rsidRPr="00150EDC">
              <w:rPr>
                <w:sz w:val="24"/>
              </w:rPr>
              <w:t>out</w:t>
            </w:r>
            <w:r w:rsidRPr="00150EDC">
              <w:rPr>
                <w:spacing w:val="-2"/>
                <w:sz w:val="24"/>
              </w:rPr>
              <w:t xml:space="preserve"> </w:t>
            </w:r>
            <w:r w:rsidRPr="00150EDC">
              <w:rPr>
                <w:sz w:val="24"/>
              </w:rPr>
              <w:t>in</w:t>
            </w:r>
            <w:r w:rsidRPr="00150EDC">
              <w:rPr>
                <w:spacing w:val="-3"/>
                <w:sz w:val="24"/>
              </w:rPr>
              <w:t xml:space="preserve"> </w:t>
            </w:r>
            <w:r w:rsidRPr="00150EDC">
              <w:rPr>
                <w:sz w:val="24"/>
              </w:rPr>
              <w:t>Joint</w:t>
            </w:r>
            <w:r w:rsidRPr="00150EDC">
              <w:rPr>
                <w:spacing w:val="-2"/>
                <w:sz w:val="24"/>
              </w:rPr>
              <w:t xml:space="preserve"> </w:t>
            </w:r>
            <w:r w:rsidRPr="00150EDC">
              <w:rPr>
                <w:sz w:val="24"/>
              </w:rPr>
              <w:t>Schedule</w:t>
            </w:r>
            <w:r w:rsidRPr="00150EDC">
              <w:rPr>
                <w:spacing w:val="-5"/>
                <w:sz w:val="24"/>
              </w:rPr>
              <w:t xml:space="preserve"> </w:t>
            </w:r>
            <w:r w:rsidRPr="00150EDC">
              <w:rPr>
                <w:sz w:val="24"/>
              </w:rPr>
              <w:t>2</w:t>
            </w:r>
            <w:r w:rsidRPr="00150EDC">
              <w:rPr>
                <w:spacing w:val="-1"/>
                <w:sz w:val="24"/>
              </w:rPr>
              <w:t xml:space="preserve"> </w:t>
            </w:r>
            <w:r w:rsidRPr="00150EDC">
              <w:rPr>
                <w:sz w:val="24"/>
              </w:rPr>
              <w:t>(Variation</w:t>
            </w:r>
            <w:r w:rsidRPr="00150EDC">
              <w:rPr>
                <w:spacing w:val="-5"/>
                <w:sz w:val="24"/>
              </w:rPr>
              <w:t xml:space="preserve"> </w:t>
            </w:r>
            <w:r w:rsidRPr="00150EDC">
              <w:rPr>
                <w:spacing w:val="-2"/>
                <w:sz w:val="24"/>
              </w:rPr>
              <w:t>Form);</w:t>
            </w:r>
          </w:p>
        </w:tc>
      </w:tr>
      <w:tr w:rsidR="007D3144" w:rsidRPr="007D3144" w14:paraId="0B35F907" w14:textId="77777777">
        <w:trPr>
          <w:trHeight w:val="671"/>
        </w:trPr>
        <w:tc>
          <w:tcPr>
            <w:tcW w:w="2264" w:type="dxa"/>
          </w:tcPr>
          <w:p w14:paraId="670C829E" w14:textId="77777777" w:rsidR="004C7180" w:rsidRPr="00150EDC" w:rsidRDefault="00CF0754">
            <w:pPr>
              <w:pStyle w:val="TableParagraph"/>
              <w:spacing w:before="0" w:line="240" w:lineRule="auto"/>
              <w:ind w:left="-1"/>
              <w:rPr>
                <w:b/>
                <w:sz w:val="24"/>
              </w:rPr>
            </w:pPr>
            <w:r w:rsidRPr="00150EDC">
              <w:rPr>
                <w:b/>
                <w:spacing w:val="-2"/>
                <w:sz w:val="24"/>
              </w:rPr>
              <w:t>"Variation Procedure"</w:t>
            </w:r>
          </w:p>
        </w:tc>
        <w:tc>
          <w:tcPr>
            <w:tcW w:w="7484" w:type="dxa"/>
          </w:tcPr>
          <w:p w14:paraId="65FBE2BA" w14:textId="77777777" w:rsidR="004C7180" w:rsidRPr="00150EDC" w:rsidRDefault="00CF0754">
            <w:pPr>
              <w:pStyle w:val="TableParagraph"/>
              <w:spacing w:before="0" w:line="240" w:lineRule="auto"/>
              <w:ind w:left="277"/>
              <w:rPr>
                <w:sz w:val="24"/>
              </w:rPr>
            </w:pPr>
            <w:r w:rsidRPr="00150EDC">
              <w:rPr>
                <w:sz w:val="24"/>
              </w:rPr>
              <w:t>the</w:t>
            </w:r>
            <w:r w:rsidRPr="00150EDC">
              <w:rPr>
                <w:spacing w:val="-5"/>
                <w:sz w:val="24"/>
              </w:rPr>
              <w:t xml:space="preserve"> </w:t>
            </w:r>
            <w:r w:rsidRPr="00150EDC">
              <w:rPr>
                <w:sz w:val="24"/>
              </w:rPr>
              <w:t>procedure</w:t>
            </w:r>
            <w:r w:rsidRPr="00150EDC">
              <w:rPr>
                <w:spacing w:val="-3"/>
                <w:sz w:val="24"/>
              </w:rPr>
              <w:t xml:space="preserve"> </w:t>
            </w:r>
            <w:r w:rsidRPr="00150EDC">
              <w:rPr>
                <w:sz w:val="24"/>
              </w:rPr>
              <w:t>set</w:t>
            </w:r>
            <w:r w:rsidRPr="00150EDC">
              <w:rPr>
                <w:spacing w:val="-3"/>
                <w:sz w:val="24"/>
              </w:rPr>
              <w:t xml:space="preserve"> </w:t>
            </w:r>
            <w:r w:rsidRPr="00150EDC">
              <w:rPr>
                <w:sz w:val="24"/>
              </w:rPr>
              <w:t>out</w:t>
            </w:r>
            <w:r w:rsidRPr="00150EDC">
              <w:rPr>
                <w:spacing w:val="-3"/>
                <w:sz w:val="24"/>
              </w:rPr>
              <w:t xml:space="preserve"> </w:t>
            </w:r>
            <w:r w:rsidRPr="00150EDC">
              <w:rPr>
                <w:sz w:val="24"/>
              </w:rPr>
              <w:t>in</w:t>
            </w:r>
            <w:r w:rsidRPr="00150EDC">
              <w:rPr>
                <w:spacing w:val="-3"/>
                <w:sz w:val="24"/>
              </w:rPr>
              <w:t xml:space="preserve"> </w:t>
            </w:r>
            <w:r w:rsidRPr="00150EDC">
              <w:rPr>
                <w:sz w:val="24"/>
              </w:rPr>
              <w:t>Clause</w:t>
            </w:r>
            <w:r w:rsidRPr="00150EDC">
              <w:rPr>
                <w:spacing w:val="-5"/>
                <w:sz w:val="24"/>
              </w:rPr>
              <w:t xml:space="preserve"> </w:t>
            </w:r>
            <w:r w:rsidRPr="00150EDC">
              <w:rPr>
                <w:sz w:val="24"/>
              </w:rPr>
              <w:t>24</w:t>
            </w:r>
            <w:r w:rsidRPr="00150EDC">
              <w:rPr>
                <w:spacing w:val="-3"/>
                <w:sz w:val="24"/>
              </w:rPr>
              <w:t xml:space="preserve"> </w:t>
            </w:r>
            <w:r w:rsidRPr="00150EDC">
              <w:rPr>
                <w:sz w:val="24"/>
              </w:rPr>
              <w:t>(Changing</w:t>
            </w:r>
            <w:r w:rsidRPr="00150EDC">
              <w:rPr>
                <w:spacing w:val="-5"/>
                <w:sz w:val="24"/>
              </w:rPr>
              <w:t xml:space="preserve"> </w:t>
            </w:r>
            <w:r w:rsidRPr="00150EDC">
              <w:rPr>
                <w:sz w:val="24"/>
              </w:rPr>
              <w:t>the</w:t>
            </w:r>
            <w:r w:rsidRPr="00150EDC">
              <w:rPr>
                <w:spacing w:val="-3"/>
                <w:sz w:val="24"/>
              </w:rPr>
              <w:t xml:space="preserve"> </w:t>
            </w:r>
            <w:r w:rsidRPr="00150EDC">
              <w:rPr>
                <w:spacing w:val="-2"/>
                <w:sz w:val="24"/>
              </w:rPr>
              <w:t>contract);</w:t>
            </w:r>
          </w:p>
        </w:tc>
      </w:tr>
      <w:tr w:rsidR="007D3144" w:rsidRPr="007D3144" w14:paraId="3E94AA71" w14:textId="77777777">
        <w:trPr>
          <w:trHeight w:val="673"/>
        </w:trPr>
        <w:tc>
          <w:tcPr>
            <w:tcW w:w="2264" w:type="dxa"/>
          </w:tcPr>
          <w:p w14:paraId="309F33E5" w14:textId="77777777" w:rsidR="004C7180" w:rsidRPr="00150EDC" w:rsidRDefault="00CF0754">
            <w:pPr>
              <w:pStyle w:val="TableParagraph"/>
              <w:spacing w:before="2" w:line="240" w:lineRule="auto"/>
              <w:ind w:left="-1"/>
              <w:rPr>
                <w:b/>
                <w:sz w:val="24"/>
              </w:rPr>
            </w:pPr>
            <w:r w:rsidRPr="00150EDC">
              <w:rPr>
                <w:b/>
                <w:spacing w:val="-2"/>
                <w:sz w:val="24"/>
              </w:rPr>
              <w:t>"VAT"</w:t>
            </w:r>
          </w:p>
        </w:tc>
        <w:tc>
          <w:tcPr>
            <w:tcW w:w="7484" w:type="dxa"/>
          </w:tcPr>
          <w:p w14:paraId="6696B46D" w14:textId="77777777" w:rsidR="004C7180" w:rsidRPr="00150EDC" w:rsidRDefault="00CF0754">
            <w:pPr>
              <w:pStyle w:val="TableParagraph"/>
              <w:spacing w:before="2" w:line="240" w:lineRule="auto"/>
              <w:ind w:left="277"/>
              <w:rPr>
                <w:sz w:val="24"/>
              </w:rPr>
            </w:pPr>
            <w:r w:rsidRPr="00150EDC">
              <w:rPr>
                <w:sz w:val="24"/>
              </w:rPr>
              <w:t>value</w:t>
            </w:r>
            <w:r w:rsidRPr="00150EDC">
              <w:rPr>
                <w:spacing w:val="40"/>
                <w:sz w:val="24"/>
              </w:rPr>
              <w:t xml:space="preserve"> </w:t>
            </w:r>
            <w:r w:rsidRPr="00150EDC">
              <w:rPr>
                <w:sz w:val="24"/>
              </w:rPr>
              <w:t>added</w:t>
            </w:r>
            <w:r w:rsidRPr="00150EDC">
              <w:rPr>
                <w:spacing w:val="40"/>
                <w:sz w:val="24"/>
              </w:rPr>
              <w:t xml:space="preserve"> </w:t>
            </w:r>
            <w:r w:rsidRPr="00150EDC">
              <w:rPr>
                <w:sz w:val="24"/>
              </w:rPr>
              <w:t>tax</w:t>
            </w:r>
            <w:r w:rsidRPr="00150EDC">
              <w:rPr>
                <w:spacing w:val="40"/>
                <w:sz w:val="24"/>
              </w:rPr>
              <w:t xml:space="preserve"> </w:t>
            </w:r>
            <w:r w:rsidRPr="00150EDC">
              <w:rPr>
                <w:sz w:val="24"/>
              </w:rPr>
              <w:t>in</w:t>
            </w:r>
            <w:r w:rsidRPr="00150EDC">
              <w:rPr>
                <w:spacing w:val="40"/>
                <w:sz w:val="24"/>
              </w:rPr>
              <w:t xml:space="preserve"> </w:t>
            </w:r>
            <w:r w:rsidRPr="00150EDC">
              <w:rPr>
                <w:sz w:val="24"/>
              </w:rPr>
              <w:t>accordance</w:t>
            </w:r>
            <w:r w:rsidRPr="00150EDC">
              <w:rPr>
                <w:spacing w:val="40"/>
                <w:sz w:val="24"/>
              </w:rPr>
              <w:t xml:space="preserve"> </w:t>
            </w:r>
            <w:r w:rsidRPr="00150EDC">
              <w:rPr>
                <w:sz w:val="24"/>
              </w:rPr>
              <w:t>with</w:t>
            </w:r>
            <w:r w:rsidRPr="00150EDC">
              <w:rPr>
                <w:spacing w:val="40"/>
                <w:sz w:val="24"/>
              </w:rPr>
              <w:t xml:space="preserve"> </w:t>
            </w:r>
            <w:r w:rsidRPr="00150EDC">
              <w:rPr>
                <w:sz w:val="24"/>
              </w:rPr>
              <w:t>the</w:t>
            </w:r>
            <w:r w:rsidRPr="00150EDC">
              <w:rPr>
                <w:spacing w:val="40"/>
                <w:sz w:val="24"/>
              </w:rPr>
              <w:t xml:space="preserve"> </w:t>
            </w:r>
            <w:r w:rsidRPr="00150EDC">
              <w:rPr>
                <w:sz w:val="24"/>
              </w:rPr>
              <w:t>provisions</w:t>
            </w:r>
            <w:r w:rsidRPr="00150EDC">
              <w:rPr>
                <w:spacing w:val="40"/>
                <w:sz w:val="24"/>
              </w:rPr>
              <w:t xml:space="preserve"> </w:t>
            </w:r>
            <w:r w:rsidRPr="00150EDC">
              <w:rPr>
                <w:sz w:val="24"/>
              </w:rPr>
              <w:t>of</w:t>
            </w:r>
            <w:r w:rsidRPr="00150EDC">
              <w:rPr>
                <w:spacing w:val="40"/>
                <w:sz w:val="24"/>
              </w:rPr>
              <w:t xml:space="preserve"> </w:t>
            </w:r>
            <w:r w:rsidRPr="00150EDC">
              <w:rPr>
                <w:sz w:val="24"/>
              </w:rPr>
              <w:t>the</w:t>
            </w:r>
            <w:r w:rsidRPr="00150EDC">
              <w:rPr>
                <w:spacing w:val="40"/>
                <w:sz w:val="24"/>
              </w:rPr>
              <w:t xml:space="preserve"> </w:t>
            </w:r>
            <w:r w:rsidRPr="00150EDC">
              <w:rPr>
                <w:sz w:val="24"/>
              </w:rPr>
              <w:t>Value Added Tax Act 1994;</w:t>
            </w:r>
          </w:p>
        </w:tc>
      </w:tr>
      <w:tr w:rsidR="007D3144" w:rsidRPr="007D3144" w14:paraId="5C17CB09" w14:textId="77777777">
        <w:trPr>
          <w:trHeight w:val="948"/>
        </w:trPr>
        <w:tc>
          <w:tcPr>
            <w:tcW w:w="2264" w:type="dxa"/>
          </w:tcPr>
          <w:p w14:paraId="685B79A7" w14:textId="77777777" w:rsidR="004C7180" w:rsidRPr="00150EDC" w:rsidRDefault="00CF0754">
            <w:pPr>
              <w:pStyle w:val="TableParagraph"/>
              <w:spacing w:before="0" w:line="240" w:lineRule="auto"/>
              <w:ind w:left="-1"/>
              <w:rPr>
                <w:b/>
                <w:sz w:val="24"/>
              </w:rPr>
            </w:pPr>
            <w:r w:rsidRPr="00150EDC">
              <w:rPr>
                <w:b/>
                <w:spacing w:val="-2"/>
                <w:sz w:val="24"/>
              </w:rPr>
              <w:t>"VCSE"</w:t>
            </w:r>
          </w:p>
        </w:tc>
        <w:tc>
          <w:tcPr>
            <w:tcW w:w="7484" w:type="dxa"/>
          </w:tcPr>
          <w:p w14:paraId="1856FC3F" w14:textId="77777777" w:rsidR="004C7180" w:rsidRPr="00150EDC" w:rsidRDefault="00CF0754">
            <w:pPr>
              <w:pStyle w:val="TableParagraph"/>
              <w:spacing w:before="0" w:line="240" w:lineRule="auto"/>
              <w:ind w:left="277" w:right="96"/>
              <w:jc w:val="both"/>
              <w:rPr>
                <w:sz w:val="24"/>
              </w:rPr>
            </w:pPr>
            <w:r w:rsidRPr="00150EDC">
              <w:rPr>
                <w:sz w:val="24"/>
              </w:rPr>
              <w:t>a non-governmental organisation that is value-driven and which principally</w:t>
            </w:r>
            <w:r w:rsidRPr="00150EDC">
              <w:rPr>
                <w:spacing w:val="-7"/>
                <w:sz w:val="24"/>
              </w:rPr>
              <w:t xml:space="preserve"> </w:t>
            </w:r>
            <w:r w:rsidRPr="00150EDC">
              <w:rPr>
                <w:sz w:val="24"/>
              </w:rPr>
              <w:t>reinvests</w:t>
            </w:r>
            <w:r w:rsidRPr="00150EDC">
              <w:rPr>
                <w:spacing w:val="-7"/>
                <w:sz w:val="24"/>
              </w:rPr>
              <w:t xml:space="preserve"> </w:t>
            </w:r>
            <w:r w:rsidRPr="00150EDC">
              <w:rPr>
                <w:sz w:val="24"/>
              </w:rPr>
              <w:t>its</w:t>
            </w:r>
            <w:r w:rsidRPr="00150EDC">
              <w:rPr>
                <w:spacing w:val="-10"/>
                <w:sz w:val="24"/>
              </w:rPr>
              <w:t xml:space="preserve"> </w:t>
            </w:r>
            <w:r w:rsidRPr="00150EDC">
              <w:rPr>
                <w:sz w:val="24"/>
              </w:rPr>
              <w:t>surpluses</w:t>
            </w:r>
            <w:r w:rsidRPr="00150EDC">
              <w:rPr>
                <w:spacing w:val="-7"/>
                <w:sz w:val="24"/>
              </w:rPr>
              <w:t xml:space="preserve"> </w:t>
            </w:r>
            <w:r w:rsidRPr="00150EDC">
              <w:rPr>
                <w:sz w:val="24"/>
              </w:rPr>
              <w:t>to</w:t>
            </w:r>
            <w:r w:rsidRPr="00150EDC">
              <w:rPr>
                <w:spacing w:val="-7"/>
                <w:sz w:val="24"/>
              </w:rPr>
              <w:t xml:space="preserve"> </w:t>
            </w:r>
            <w:r w:rsidRPr="00150EDC">
              <w:rPr>
                <w:sz w:val="24"/>
              </w:rPr>
              <w:t>further</w:t>
            </w:r>
            <w:r w:rsidRPr="00150EDC">
              <w:rPr>
                <w:spacing w:val="-10"/>
                <w:sz w:val="24"/>
              </w:rPr>
              <w:t xml:space="preserve"> </w:t>
            </w:r>
            <w:r w:rsidRPr="00150EDC">
              <w:rPr>
                <w:sz w:val="24"/>
              </w:rPr>
              <w:t>social,</w:t>
            </w:r>
            <w:r w:rsidRPr="00150EDC">
              <w:rPr>
                <w:spacing w:val="-7"/>
                <w:sz w:val="24"/>
              </w:rPr>
              <w:t xml:space="preserve"> </w:t>
            </w:r>
            <w:r w:rsidRPr="00150EDC">
              <w:rPr>
                <w:sz w:val="24"/>
              </w:rPr>
              <w:t>environmental</w:t>
            </w:r>
            <w:r w:rsidRPr="00150EDC">
              <w:rPr>
                <w:spacing w:val="-8"/>
                <w:sz w:val="24"/>
              </w:rPr>
              <w:t xml:space="preserve"> </w:t>
            </w:r>
            <w:r w:rsidRPr="00150EDC">
              <w:rPr>
                <w:sz w:val="24"/>
              </w:rPr>
              <w:t>or cultural objectives;</w:t>
            </w:r>
          </w:p>
        </w:tc>
      </w:tr>
      <w:tr w:rsidR="007D3144" w:rsidRPr="007D3144" w14:paraId="7332DD99" w14:textId="77777777">
        <w:trPr>
          <w:trHeight w:val="1775"/>
        </w:trPr>
        <w:tc>
          <w:tcPr>
            <w:tcW w:w="2264" w:type="dxa"/>
          </w:tcPr>
          <w:p w14:paraId="17D5036B" w14:textId="77777777" w:rsidR="004C7180" w:rsidRPr="00150EDC" w:rsidRDefault="00CF0754">
            <w:pPr>
              <w:pStyle w:val="TableParagraph"/>
              <w:spacing w:before="0" w:line="240" w:lineRule="auto"/>
              <w:ind w:left="-1"/>
              <w:rPr>
                <w:b/>
                <w:sz w:val="24"/>
              </w:rPr>
            </w:pPr>
            <w:r w:rsidRPr="00150EDC">
              <w:rPr>
                <w:b/>
                <w:spacing w:val="-2"/>
                <w:sz w:val="24"/>
              </w:rPr>
              <w:t>"Worker"</w:t>
            </w:r>
          </w:p>
        </w:tc>
        <w:tc>
          <w:tcPr>
            <w:tcW w:w="7484" w:type="dxa"/>
          </w:tcPr>
          <w:p w14:paraId="61F0EFF8" w14:textId="77777777" w:rsidR="004C7180" w:rsidRPr="00150EDC" w:rsidRDefault="00CF0754">
            <w:pPr>
              <w:pStyle w:val="TableParagraph"/>
              <w:tabs>
                <w:tab w:val="left" w:pos="1354"/>
                <w:tab w:val="left" w:pos="2309"/>
                <w:tab w:val="left" w:pos="4289"/>
                <w:tab w:val="left" w:pos="4963"/>
                <w:tab w:val="left" w:pos="6093"/>
              </w:tabs>
              <w:spacing w:before="0" w:line="240" w:lineRule="auto"/>
              <w:ind w:left="277" w:right="97"/>
              <w:rPr>
                <w:sz w:val="24"/>
              </w:rPr>
            </w:pPr>
            <w:r w:rsidRPr="00150EDC">
              <w:rPr>
                <w:sz w:val="24"/>
              </w:rPr>
              <w:t>any</w:t>
            </w:r>
            <w:r w:rsidRPr="00150EDC">
              <w:rPr>
                <w:spacing w:val="32"/>
                <w:sz w:val="24"/>
              </w:rPr>
              <w:t xml:space="preserve"> </w:t>
            </w:r>
            <w:r w:rsidRPr="00150EDC">
              <w:rPr>
                <w:sz w:val="24"/>
              </w:rPr>
              <w:t>one</w:t>
            </w:r>
            <w:r w:rsidRPr="00150EDC">
              <w:rPr>
                <w:spacing w:val="33"/>
                <w:sz w:val="24"/>
              </w:rPr>
              <w:t xml:space="preserve"> </w:t>
            </w:r>
            <w:r w:rsidRPr="00150EDC">
              <w:rPr>
                <w:sz w:val="24"/>
              </w:rPr>
              <w:t>of</w:t>
            </w:r>
            <w:r w:rsidRPr="00150EDC">
              <w:rPr>
                <w:spacing w:val="35"/>
                <w:sz w:val="24"/>
              </w:rPr>
              <w:t xml:space="preserve"> </w:t>
            </w:r>
            <w:r w:rsidRPr="00150EDC">
              <w:rPr>
                <w:sz w:val="24"/>
              </w:rPr>
              <w:t>the</w:t>
            </w:r>
            <w:r w:rsidRPr="00150EDC">
              <w:rPr>
                <w:spacing w:val="33"/>
                <w:sz w:val="24"/>
              </w:rPr>
              <w:t xml:space="preserve"> </w:t>
            </w:r>
            <w:r w:rsidRPr="00150EDC">
              <w:rPr>
                <w:sz w:val="24"/>
              </w:rPr>
              <w:t>Supplier</w:t>
            </w:r>
            <w:r w:rsidRPr="00150EDC">
              <w:rPr>
                <w:spacing w:val="34"/>
                <w:sz w:val="24"/>
              </w:rPr>
              <w:t xml:space="preserve"> </w:t>
            </w:r>
            <w:r w:rsidRPr="00150EDC">
              <w:rPr>
                <w:sz w:val="24"/>
              </w:rPr>
              <w:t>Staff</w:t>
            </w:r>
            <w:r w:rsidRPr="00150EDC">
              <w:rPr>
                <w:spacing w:val="35"/>
                <w:sz w:val="24"/>
              </w:rPr>
              <w:t xml:space="preserve"> </w:t>
            </w:r>
            <w:r w:rsidRPr="00150EDC">
              <w:rPr>
                <w:sz w:val="24"/>
              </w:rPr>
              <w:t>which</w:t>
            </w:r>
            <w:r w:rsidRPr="00150EDC">
              <w:rPr>
                <w:spacing w:val="33"/>
                <w:sz w:val="24"/>
              </w:rPr>
              <w:t xml:space="preserve"> </w:t>
            </w:r>
            <w:r w:rsidRPr="00150EDC">
              <w:rPr>
                <w:sz w:val="24"/>
              </w:rPr>
              <w:t>the</w:t>
            </w:r>
            <w:r w:rsidRPr="00150EDC">
              <w:rPr>
                <w:spacing w:val="33"/>
                <w:sz w:val="24"/>
              </w:rPr>
              <w:t xml:space="preserve"> </w:t>
            </w:r>
            <w:r w:rsidRPr="00150EDC">
              <w:rPr>
                <w:sz w:val="24"/>
              </w:rPr>
              <w:t>Buyer,</w:t>
            </w:r>
            <w:r w:rsidRPr="00150EDC">
              <w:rPr>
                <w:spacing w:val="34"/>
                <w:sz w:val="24"/>
              </w:rPr>
              <w:t xml:space="preserve"> </w:t>
            </w:r>
            <w:r w:rsidRPr="00150EDC">
              <w:rPr>
                <w:sz w:val="24"/>
              </w:rPr>
              <w:t>in</w:t>
            </w:r>
            <w:r w:rsidRPr="00150EDC">
              <w:rPr>
                <w:spacing w:val="33"/>
                <w:sz w:val="24"/>
              </w:rPr>
              <w:t xml:space="preserve"> </w:t>
            </w:r>
            <w:r w:rsidRPr="00150EDC">
              <w:rPr>
                <w:sz w:val="24"/>
              </w:rPr>
              <w:t>its</w:t>
            </w:r>
            <w:r w:rsidRPr="00150EDC">
              <w:rPr>
                <w:spacing w:val="35"/>
                <w:sz w:val="24"/>
              </w:rPr>
              <w:t xml:space="preserve"> </w:t>
            </w:r>
            <w:r w:rsidRPr="00150EDC">
              <w:rPr>
                <w:sz w:val="24"/>
              </w:rPr>
              <w:t xml:space="preserve">reasonable </w:t>
            </w:r>
            <w:r w:rsidRPr="00150EDC">
              <w:rPr>
                <w:spacing w:val="-2"/>
                <w:sz w:val="24"/>
              </w:rPr>
              <w:t>opinion,</w:t>
            </w:r>
            <w:r w:rsidRPr="00150EDC">
              <w:rPr>
                <w:spacing w:val="-7"/>
                <w:sz w:val="24"/>
              </w:rPr>
              <w:t xml:space="preserve"> </w:t>
            </w:r>
            <w:r w:rsidRPr="00150EDC">
              <w:rPr>
                <w:spacing w:val="-2"/>
                <w:sz w:val="24"/>
              </w:rPr>
              <w:t>considers</w:t>
            </w:r>
            <w:r w:rsidRPr="00150EDC">
              <w:rPr>
                <w:spacing w:val="-8"/>
                <w:sz w:val="24"/>
              </w:rPr>
              <w:t xml:space="preserve"> </w:t>
            </w:r>
            <w:r w:rsidRPr="00150EDC">
              <w:rPr>
                <w:spacing w:val="-2"/>
                <w:sz w:val="24"/>
              </w:rPr>
              <w:t>is</w:t>
            </w:r>
            <w:r w:rsidRPr="00150EDC">
              <w:rPr>
                <w:spacing w:val="-8"/>
                <w:sz w:val="24"/>
              </w:rPr>
              <w:t xml:space="preserve"> </w:t>
            </w:r>
            <w:r w:rsidRPr="00150EDC">
              <w:rPr>
                <w:spacing w:val="-2"/>
                <w:sz w:val="24"/>
              </w:rPr>
              <w:t>an</w:t>
            </w:r>
            <w:r w:rsidRPr="00150EDC">
              <w:rPr>
                <w:spacing w:val="-7"/>
                <w:sz w:val="24"/>
              </w:rPr>
              <w:t xml:space="preserve"> </w:t>
            </w:r>
            <w:r w:rsidRPr="00150EDC">
              <w:rPr>
                <w:spacing w:val="-2"/>
                <w:sz w:val="24"/>
              </w:rPr>
              <w:t>individual</w:t>
            </w:r>
            <w:r w:rsidRPr="00150EDC">
              <w:rPr>
                <w:spacing w:val="-8"/>
                <w:sz w:val="24"/>
              </w:rPr>
              <w:t xml:space="preserve"> </w:t>
            </w:r>
            <w:r w:rsidRPr="00150EDC">
              <w:rPr>
                <w:spacing w:val="-2"/>
                <w:sz w:val="24"/>
              </w:rPr>
              <w:t>to</w:t>
            </w:r>
            <w:r w:rsidRPr="00150EDC">
              <w:rPr>
                <w:spacing w:val="-7"/>
                <w:sz w:val="24"/>
              </w:rPr>
              <w:t xml:space="preserve"> </w:t>
            </w:r>
            <w:r w:rsidRPr="00150EDC">
              <w:rPr>
                <w:spacing w:val="-2"/>
                <w:sz w:val="24"/>
              </w:rPr>
              <w:t>which</w:t>
            </w:r>
            <w:r w:rsidRPr="00150EDC">
              <w:rPr>
                <w:spacing w:val="-7"/>
                <w:sz w:val="24"/>
              </w:rPr>
              <w:t xml:space="preserve"> </w:t>
            </w:r>
            <w:r w:rsidRPr="00150EDC">
              <w:rPr>
                <w:spacing w:val="-2"/>
                <w:sz w:val="24"/>
              </w:rPr>
              <w:t>Procurement</w:t>
            </w:r>
            <w:r w:rsidRPr="00150EDC">
              <w:rPr>
                <w:spacing w:val="-7"/>
                <w:sz w:val="24"/>
              </w:rPr>
              <w:t xml:space="preserve"> </w:t>
            </w:r>
            <w:r w:rsidRPr="00150EDC">
              <w:rPr>
                <w:spacing w:val="-2"/>
                <w:sz w:val="24"/>
              </w:rPr>
              <w:t>Policy</w:t>
            </w:r>
            <w:r w:rsidRPr="00150EDC">
              <w:rPr>
                <w:spacing w:val="-8"/>
                <w:sz w:val="24"/>
              </w:rPr>
              <w:t xml:space="preserve"> </w:t>
            </w:r>
            <w:r w:rsidRPr="00150EDC">
              <w:rPr>
                <w:spacing w:val="-2"/>
                <w:sz w:val="24"/>
              </w:rPr>
              <w:t>Note 08/15</w:t>
            </w:r>
            <w:r w:rsidRPr="00150EDC">
              <w:rPr>
                <w:sz w:val="24"/>
              </w:rPr>
              <w:tab/>
            </w:r>
            <w:r w:rsidRPr="00150EDC">
              <w:rPr>
                <w:spacing w:val="-4"/>
                <w:sz w:val="24"/>
              </w:rPr>
              <w:t>(Tax</w:t>
            </w:r>
            <w:r w:rsidRPr="00150EDC">
              <w:rPr>
                <w:sz w:val="24"/>
              </w:rPr>
              <w:tab/>
            </w:r>
            <w:r w:rsidRPr="00150EDC">
              <w:rPr>
                <w:spacing w:val="-2"/>
                <w:sz w:val="24"/>
              </w:rPr>
              <w:t>Arrangements</w:t>
            </w:r>
            <w:r w:rsidRPr="00150EDC">
              <w:rPr>
                <w:sz w:val="24"/>
              </w:rPr>
              <w:tab/>
            </w:r>
            <w:r w:rsidRPr="00150EDC">
              <w:rPr>
                <w:spacing w:val="-6"/>
                <w:sz w:val="24"/>
              </w:rPr>
              <w:t>of</w:t>
            </w:r>
            <w:r w:rsidRPr="00150EDC">
              <w:rPr>
                <w:sz w:val="24"/>
              </w:rPr>
              <w:tab/>
            </w:r>
            <w:r w:rsidRPr="00150EDC">
              <w:rPr>
                <w:spacing w:val="-2"/>
                <w:sz w:val="24"/>
              </w:rPr>
              <w:t>Public</w:t>
            </w:r>
            <w:r w:rsidRPr="00150EDC">
              <w:rPr>
                <w:sz w:val="24"/>
              </w:rPr>
              <w:tab/>
            </w:r>
            <w:r w:rsidRPr="00150EDC">
              <w:rPr>
                <w:spacing w:val="-2"/>
                <w:sz w:val="24"/>
              </w:rPr>
              <w:t>Appointees) (https:/</w:t>
            </w:r>
            <w:hyperlink r:id="rId22">
              <w:r w:rsidRPr="00150EDC">
                <w:rPr>
                  <w:spacing w:val="-2"/>
                  <w:sz w:val="24"/>
                </w:rPr>
                <w:t>/www.g</w:t>
              </w:r>
            </w:hyperlink>
            <w:r w:rsidRPr="00150EDC">
              <w:rPr>
                <w:spacing w:val="-2"/>
                <w:sz w:val="24"/>
              </w:rPr>
              <w:t>o</w:t>
            </w:r>
            <w:hyperlink r:id="rId23">
              <w:r w:rsidRPr="00150EDC">
                <w:rPr>
                  <w:spacing w:val="-2"/>
                  <w:sz w:val="24"/>
                </w:rPr>
                <w:t>v.uk/government/publications/procurement-policy-</w:t>
              </w:r>
            </w:hyperlink>
            <w:r w:rsidRPr="00150EDC">
              <w:rPr>
                <w:spacing w:val="-2"/>
                <w:sz w:val="24"/>
              </w:rPr>
              <w:t xml:space="preserve"> </w:t>
            </w:r>
            <w:r w:rsidRPr="00150EDC">
              <w:rPr>
                <w:sz w:val="24"/>
              </w:rPr>
              <w:t>note-0815-tax-arrangements-of-appointees)</w:t>
            </w:r>
            <w:r w:rsidRPr="00150EDC">
              <w:rPr>
                <w:spacing w:val="40"/>
                <w:sz w:val="24"/>
              </w:rPr>
              <w:t xml:space="preserve"> </w:t>
            </w:r>
            <w:r w:rsidRPr="00150EDC">
              <w:rPr>
                <w:sz w:val="24"/>
              </w:rPr>
              <w:t>applies</w:t>
            </w:r>
            <w:r w:rsidRPr="00150EDC">
              <w:rPr>
                <w:spacing w:val="40"/>
                <w:sz w:val="24"/>
              </w:rPr>
              <w:t xml:space="preserve"> </w:t>
            </w:r>
            <w:r w:rsidRPr="00150EDC">
              <w:rPr>
                <w:sz w:val="24"/>
              </w:rPr>
              <w:t>in</w:t>
            </w:r>
            <w:r w:rsidRPr="00150EDC">
              <w:rPr>
                <w:spacing w:val="40"/>
                <w:sz w:val="24"/>
              </w:rPr>
              <w:t xml:space="preserve"> </w:t>
            </w:r>
            <w:r w:rsidRPr="00150EDC">
              <w:rPr>
                <w:sz w:val="24"/>
              </w:rPr>
              <w:t>respect</w:t>
            </w:r>
            <w:r w:rsidRPr="00150EDC">
              <w:rPr>
                <w:spacing w:val="40"/>
                <w:sz w:val="24"/>
              </w:rPr>
              <w:t xml:space="preserve"> </w:t>
            </w:r>
            <w:r w:rsidRPr="00150EDC">
              <w:rPr>
                <w:sz w:val="24"/>
              </w:rPr>
              <w:t>of the Deliverables;</w:t>
            </w:r>
          </w:p>
        </w:tc>
      </w:tr>
      <w:tr w:rsidR="007D3144" w:rsidRPr="007D3144" w14:paraId="4E9DE830" w14:textId="77777777">
        <w:trPr>
          <w:trHeight w:val="947"/>
        </w:trPr>
        <w:tc>
          <w:tcPr>
            <w:tcW w:w="2264" w:type="dxa"/>
          </w:tcPr>
          <w:p w14:paraId="016C34FD" w14:textId="77777777" w:rsidR="004C7180" w:rsidRPr="00150EDC" w:rsidRDefault="00CF0754">
            <w:pPr>
              <w:pStyle w:val="TableParagraph"/>
              <w:spacing w:before="0" w:line="240" w:lineRule="auto"/>
              <w:ind w:left="-1"/>
              <w:rPr>
                <w:b/>
                <w:sz w:val="24"/>
              </w:rPr>
            </w:pPr>
            <w:r w:rsidRPr="00150EDC">
              <w:rPr>
                <w:b/>
                <w:sz w:val="24"/>
              </w:rPr>
              <w:t>"Working</w:t>
            </w:r>
            <w:r w:rsidRPr="00150EDC">
              <w:rPr>
                <w:b/>
                <w:spacing w:val="-6"/>
                <w:sz w:val="24"/>
              </w:rPr>
              <w:t xml:space="preserve"> </w:t>
            </w:r>
            <w:r w:rsidRPr="00150EDC">
              <w:rPr>
                <w:b/>
                <w:spacing w:val="-4"/>
                <w:sz w:val="24"/>
              </w:rPr>
              <w:t>Day"</w:t>
            </w:r>
          </w:p>
        </w:tc>
        <w:tc>
          <w:tcPr>
            <w:tcW w:w="7484" w:type="dxa"/>
          </w:tcPr>
          <w:p w14:paraId="2F3991DF" w14:textId="77777777" w:rsidR="004C7180" w:rsidRPr="00150EDC" w:rsidRDefault="00CF0754">
            <w:pPr>
              <w:pStyle w:val="TableParagraph"/>
              <w:spacing w:before="0" w:line="240" w:lineRule="auto"/>
              <w:ind w:left="277" w:right="100"/>
              <w:jc w:val="both"/>
              <w:rPr>
                <w:sz w:val="24"/>
              </w:rPr>
            </w:pPr>
            <w:r w:rsidRPr="00150EDC">
              <w:rPr>
                <w:sz w:val="24"/>
              </w:rPr>
              <w:t>any day other than a Saturday or Sunday or public holiday in England</w:t>
            </w:r>
            <w:r w:rsidRPr="00150EDC">
              <w:rPr>
                <w:spacing w:val="-8"/>
                <w:sz w:val="24"/>
              </w:rPr>
              <w:t xml:space="preserve"> </w:t>
            </w:r>
            <w:r w:rsidRPr="00150EDC">
              <w:rPr>
                <w:sz w:val="24"/>
              </w:rPr>
              <w:t>and</w:t>
            </w:r>
            <w:r w:rsidRPr="00150EDC">
              <w:rPr>
                <w:spacing w:val="-8"/>
                <w:sz w:val="24"/>
              </w:rPr>
              <w:t xml:space="preserve"> </w:t>
            </w:r>
            <w:r w:rsidRPr="00150EDC">
              <w:rPr>
                <w:sz w:val="24"/>
              </w:rPr>
              <w:t>Wales</w:t>
            </w:r>
            <w:r w:rsidRPr="00150EDC">
              <w:rPr>
                <w:spacing w:val="-8"/>
                <w:sz w:val="24"/>
              </w:rPr>
              <w:t xml:space="preserve"> </w:t>
            </w:r>
            <w:r w:rsidRPr="00150EDC">
              <w:rPr>
                <w:sz w:val="24"/>
              </w:rPr>
              <w:t>unless</w:t>
            </w:r>
            <w:r w:rsidRPr="00150EDC">
              <w:rPr>
                <w:spacing w:val="-8"/>
                <w:sz w:val="24"/>
              </w:rPr>
              <w:t xml:space="preserve"> </w:t>
            </w:r>
            <w:r w:rsidRPr="00150EDC">
              <w:rPr>
                <w:sz w:val="24"/>
              </w:rPr>
              <w:t>specified</w:t>
            </w:r>
            <w:r w:rsidRPr="00150EDC">
              <w:rPr>
                <w:spacing w:val="-10"/>
                <w:sz w:val="24"/>
              </w:rPr>
              <w:t xml:space="preserve"> </w:t>
            </w:r>
            <w:r w:rsidRPr="00150EDC">
              <w:rPr>
                <w:sz w:val="24"/>
              </w:rPr>
              <w:t>otherwise</w:t>
            </w:r>
            <w:r w:rsidRPr="00150EDC">
              <w:rPr>
                <w:spacing w:val="-8"/>
                <w:sz w:val="24"/>
              </w:rPr>
              <w:t xml:space="preserve"> </w:t>
            </w:r>
            <w:r w:rsidRPr="00150EDC">
              <w:rPr>
                <w:sz w:val="24"/>
              </w:rPr>
              <w:t>by</w:t>
            </w:r>
            <w:r w:rsidRPr="00150EDC">
              <w:rPr>
                <w:spacing w:val="-9"/>
                <w:sz w:val="24"/>
              </w:rPr>
              <w:t xml:space="preserve"> </w:t>
            </w:r>
            <w:r w:rsidRPr="00150EDC">
              <w:rPr>
                <w:sz w:val="24"/>
              </w:rPr>
              <w:t>the</w:t>
            </w:r>
            <w:r w:rsidRPr="00150EDC">
              <w:rPr>
                <w:spacing w:val="-10"/>
                <w:sz w:val="24"/>
              </w:rPr>
              <w:t xml:space="preserve"> </w:t>
            </w:r>
            <w:r w:rsidRPr="00150EDC">
              <w:rPr>
                <w:sz w:val="24"/>
              </w:rPr>
              <w:t>Parties</w:t>
            </w:r>
            <w:r w:rsidRPr="00150EDC">
              <w:rPr>
                <w:spacing w:val="-9"/>
                <w:sz w:val="24"/>
              </w:rPr>
              <w:t xml:space="preserve"> </w:t>
            </w:r>
            <w:r w:rsidRPr="00150EDC">
              <w:rPr>
                <w:sz w:val="24"/>
              </w:rPr>
              <w:t>in</w:t>
            </w:r>
            <w:r w:rsidRPr="00150EDC">
              <w:rPr>
                <w:spacing w:val="-8"/>
                <w:sz w:val="24"/>
              </w:rPr>
              <w:t xml:space="preserve"> </w:t>
            </w:r>
            <w:r w:rsidRPr="00150EDC">
              <w:rPr>
                <w:sz w:val="24"/>
              </w:rPr>
              <w:t>the Order Form;</w:t>
            </w:r>
          </w:p>
        </w:tc>
      </w:tr>
    </w:tbl>
    <w:p w14:paraId="1AE1460E" w14:textId="77777777" w:rsidR="004C7180" w:rsidRPr="00150EDC" w:rsidRDefault="004C7180">
      <w:pPr>
        <w:jc w:val="both"/>
        <w:rPr>
          <w:sz w:val="24"/>
        </w:rPr>
        <w:sectPr w:rsidR="004C7180" w:rsidRPr="00150EDC">
          <w:pgSz w:w="11910" w:h="16840"/>
          <w:pgMar w:top="1160" w:right="0" w:bottom="1460" w:left="40" w:header="715" w:footer="1208" w:gutter="0"/>
          <w:cols w:space="720"/>
        </w:sectPr>
      </w:pPr>
    </w:p>
    <w:p w14:paraId="4F494354" w14:textId="77777777" w:rsidR="004C7180" w:rsidRPr="00150EDC" w:rsidRDefault="004C7180">
      <w:pPr>
        <w:pStyle w:val="BodyText"/>
        <w:spacing w:before="7"/>
        <w:rPr>
          <w:sz w:val="23"/>
        </w:rPr>
      </w:pPr>
    </w:p>
    <w:tbl>
      <w:tblPr>
        <w:tblW w:w="0" w:type="auto"/>
        <w:tblInd w:w="1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4"/>
        <w:gridCol w:w="7484"/>
      </w:tblGrid>
      <w:tr w:rsidR="007D3144" w:rsidRPr="007D3144" w14:paraId="1EEC8823" w14:textId="77777777">
        <w:trPr>
          <w:trHeight w:val="948"/>
        </w:trPr>
        <w:tc>
          <w:tcPr>
            <w:tcW w:w="2264" w:type="dxa"/>
          </w:tcPr>
          <w:p w14:paraId="48A8C8DA" w14:textId="77777777" w:rsidR="004C7180" w:rsidRPr="00150EDC" w:rsidRDefault="00CF0754">
            <w:pPr>
              <w:pStyle w:val="TableParagraph"/>
              <w:spacing w:before="0" w:line="240" w:lineRule="auto"/>
              <w:ind w:left="-1"/>
              <w:rPr>
                <w:b/>
                <w:sz w:val="24"/>
              </w:rPr>
            </w:pPr>
            <w:r w:rsidRPr="00150EDC">
              <w:rPr>
                <w:b/>
                <w:sz w:val="24"/>
              </w:rPr>
              <w:t>"Work</w:t>
            </w:r>
            <w:r w:rsidRPr="00150EDC">
              <w:rPr>
                <w:b/>
                <w:spacing w:val="-6"/>
                <w:sz w:val="24"/>
              </w:rPr>
              <w:t xml:space="preserve"> </w:t>
            </w:r>
            <w:r w:rsidRPr="00150EDC">
              <w:rPr>
                <w:b/>
                <w:spacing w:val="-4"/>
                <w:sz w:val="24"/>
              </w:rPr>
              <w:t>Day"</w:t>
            </w:r>
          </w:p>
        </w:tc>
        <w:tc>
          <w:tcPr>
            <w:tcW w:w="7484" w:type="dxa"/>
          </w:tcPr>
          <w:p w14:paraId="0E2E3D26" w14:textId="77777777" w:rsidR="004C7180" w:rsidRPr="00150EDC" w:rsidRDefault="00CF0754">
            <w:pPr>
              <w:pStyle w:val="TableParagraph"/>
              <w:spacing w:before="0" w:line="240" w:lineRule="auto"/>
              <w:ind w:left="277" w:right="99"/>
              <w:jc w:val="both"/>
              <w:rPr>
                <w:sz w:val="24"/>
              </w:rPr>
            </w:pPr>
            <w:r w:rsidRPr="00150EDC">
              <w:rPr>
                <w:sz w:val="24"/>
              </w:rPr>
              <w:t>7.5</w:t>
            </w:r>
            <w:r w:rsidRPr="00150EDC">
              <w:rPr>
                <w:spacing w:val="-2"/>
                <w:sz w:val="24"/>
              </w:rPr>
              <w:t xml:space="preserve"> </w:t>
            </w:r>
            <w:r w:rsidRPr="00150EDC">
              <w:rPr>
                <w:sz w:val="24"/>
              </w:rPr>
              <w:t>Work Hours, whether or not such hours are worked consecutively</w:t>
            </w:r>
            <w:r w:rsidRPr="00150EDC">
              <w:rPr>
                <w:spacing w:val="-13"/>
                <w:sz w:val="24"/>
              </w:rPr>
              <w:t xml:space="preserve"> </w:t>
            </w:r>
            <w:r w:rsidRPr="00150EDC">
              <w:rPr>
                <w:sz w:val="24"/>
              </w:rPr>
              <w:t>and</w:t>
            </w:r>
            <w:r w:rsidRPr="00150EDC">
              <w:rPr>
                <w:spacing w:val="-12"/>
                <w:sz w:val="24"/>
              </w:rPr>
              <w:t xml:space="preserve"> </w:t>
            </w:r>
            <w:r w:rsidRPr="00150EDC">
              <w:rPr>
                <w:sz w:val="24"/>
              </w:rPr>
              <w:t>whether</w:t>
            </w:r>
            <w:r w:rsidRPr="00150EDC">
              <w:rPr>
                <w:spacing w:val="-13"/>
                <w:sz w:val="24"/>
              </w:rPr>
              <w:t xml:space="preserve"> </w:t>
            </w:r>
            <w:r w:rsidRPr="00150EDC">
              <w:rPr>
                <w:sz w:val="24"/>
              </w:rPr>
              <w:t>or</w:t>
            </w:r>
            <w:r w:rsidRPr="00150EDC">
              <w:rPr>
                <w:spacing w:val="-13"/>
                <w:sz w:val="24"/>
              </w:rPr>
              <w:t xml:space="preserve"> </w:t>
            </w:r>
            <w:r w:rsidRPr="00150EDC">
              <w:rPr>
                <w:sz w:val="24"/>
              </w:rPr>
              <w:t>not</w:t>
            </w:r>
            <w:r w:rsidRPr="00150EDC">
              <w:rPr>
                <w:spacing w:val="-12"/>
                <w:sz w:val="24"/>
              </w:rPr>
              <w:t xml:space="preserve"> </w:t>
            </w:r>
            <w:r w:rsidRPr="00150EDC">
              <w:rPr>
                <w:sz w:val="24"/>
              </w:rPr>
              <w:t>they</w:t>
            </w:r>
            <w:r w:rsidRPr="00150EDC">
              <w:rPr>
                <w:spacing w:val="-13"/>
                <w:sz w:val="24"/>
              </w:rPr>
              <w:t xml:space="preserve"> </w:t>
            </w:r>
            <w:r w:rsidRPr="00150EDC">
              <w:rPr>
                <w:sz w:val="24"/>
              </w:rPr>
              <w:t>are</w:t>
            </w:r>
            <w:r w:rsidRPr="00150EDC">
              <w:rPr>
                <w:spacing w:val="-12"/>
                <w:sz w:val="24"/>
              </w:rPr>
              <w:t xml:space="preserve"> </w:t>
            </w:r>
            <w:r w:rsidRPr="00150EDC">
              <w:rPr>
                <w:sz w:val="24"/>
              </w:rPr>
              <w:t>worked</w:t>
            </w:r>
            <w:r w:rsidRPr="00150EDC">
              <w:rPr>
                <w:spacing w:val="-12"/>
                <w:sz w:val="24"/>
              </w:rPr>
              <w:t xml:space="preserve"> </w:t>
            </w:r>
            <w:r w:rsidRPr="00150EDC">
              <w:rPr>
                <w:sz w:val="24"/>
              </w:rPr>
              <w:t>on</w:t>
            </w:r>
            <w:r w:rsidRPr="00150EDC">
              <w:rPr>
                <w:spacing w:val="-12"/>
                <w:sz w:val="24"/>
              </w:rPr>
              <w:t xml:space="preserve"> </w:t>
            </w:r>
            <w:r w:rsidRPr="00150EDC">
              <w:rPr>
                <w:sz w:val="24"/>
              </w:rPr>
              <w:t>the</w:t>
            </w:r>
            <w:r w:rsidRPr="00150EDC">
              <w:rPr>
                <w:spacing w:val="-12"/>
                <w:sz w:val="24"/>
              </w:rPr>
              <w:t xml:space="preserve"> </w:t>
            </w:r>
            <w:r w:rsidRPr="00150EDC">
              <w:rPr>
                <w:sz w:val="24"/>
              </w:rPr>
              <w:t>same</w:t>
            </w:r>
            <w:r w:rsidRPr="00150EDC">
              <w:rPr>
                <w:spacing w:val="-12"/>
                <w:sz w:val="24"/>
              </w:rPr>
              <w:t xml:space="preserve"> </w:t>
            </w:r>
            <w:r w:rsidRPr="00150EDC">
              <w:rPr>
                <w:sz w:val="24"/>
              </w:rPr>
              <w:t xml:space="preserve">day; </w:t>
            </w:r>
            <w:r w:rsidRPr="00150EDC">
              <w:rPr>
                <w:spacing w:val="-4"/>
                <w:sz w:val="24"/>
              </w:rPr>
              <w:t>and</w:t>
            </w:r>
          </w:p>
        </w:tc>
      </w:tr>
      <w:tr w:rsidR="007D3144" w:rsidRPr="007D3144" w14:paraId="56DA9274" w14:textId="77777777">
        <w:trPr>
          <w:trHeight w:val="1223"/>
        </w:trPr>
        <w:tc>
          <w:tcPr>
            <w:tcW w:w="2264" w:type="dxa"/>
          </w:tcPr>
          <w:p w14:paraId="732F7C6E" w14:textId="77777777" w:rsidR="004C7180" w:rsidRPr="00150EDC" w:rsidRDefault="00CF0754">
            <w:pPr>
              <w:pStyle w:val="TableParagraph"/>
              <w:spacing w:before="0" w:line="240" w:lineRule="auto"/>
              <w:ind w:left="-1"/>
              <w:rPr>
                <w:b/>
                <w:sz w:val="24"/>
              </w:rPr>
            </w:pPr>
            <w:r w:rsidRPr="00150EDC">
              <w:rPr>
                <w:b/>
                <w:sz w:val="24"/>
              </w:rPr>
              <w:t>"Work</w:t>
            </w:r>
            <w:r w:rsidRPr="00150EDC">
              <w:rPr>
                <w:b/>
                <w:spacing w:val="-6"/>
                <w:sz w:val="24"/>
              </w:rPr>
              <w:t xml:space="preserve"> </w:t>
            </w:r>
            <w:r w:rsidRPr="00150EDC">
              <w:rPr>
                <w:b/>
                <w:spacing w:val="-2"/>
                <w:sz w:val="24"/>
              </w:rPr>
              <w:t>Hours"</w:t>
            </w:r>
          </w:p>
        </w:tc>
        <w:tc>
          <w:tcPr>
            <w:tcW w:w="7484" w:type="dxa"/>
          </w:tcPr>
          <w:p w14:paraId="7FC5805E" w14:textId="77777777" w:rsidR="004C7180" w:rsidRPr="00150EDC" w:rsidRDefault="00CF0754">
            <w:pPr>
              <w:pStyle w:val="TableParagraph"/>
              <w:spacing w:before="0" w:line="240" w:lineRule="auto"/>
              <w:ind w:left="277" w:right="94"/>
              <w:jc w:val="both"/>
              <w:rPr>
                <w:sz w:val="24"/>
              </w:rPr>
            </w:pPr>
            <w:r w:rsidRPr="00150EDC">
              <w:rPr>
                <w:sz w:val="24"/>
              </w:rPr>
              <w:t>the hours spent by the Supplier Staff properly working on the provision of the Deliverables including time spent travelling (other than</w:t>
            </w:r>
            <w:r w:rsidRPr="00150EDC">
              <w:rPr>
                <w:spacing w:val="-7"/>
                <w:sz w:val="24"/>
              </w:rPr>
              <w:t xml:space="preserve"> </w:t>
            </w:r>
            <w:r w:rsidRPr="00150EDC">
              <w:rPr>
                <w:sz w:val="24"/>
              </w:rPr>
              <w:t>to</w:t>
            </w:r>
            <w:r w:rsidRPr="00150EDC">
              <w:rPr>
                <w:spacing w:val="-7"/>
                <w:sz w:val="24"/>
              </w:rPr>
              <w:t xml:space="preserve"> </w:t>
            </w:r>
            <w:r w:rsidRPr="00150EDC">
              <w:rPr>
                <w:sz w:val="24"/>
              </w:rPr>
              <w:t>and</w:t>
            </w:r>
            <w:r w:rsidRPr="00150EDC">
              <w:rPr>
                <w:spacing w:val="-5"/>
                <w:sz w:val="24"/>
              </w:rPr>
              <w:t xml:space="preserve"> </w:t>
            </w:r>
            <w:r w:rsidRPr="00150EDC">
              <w:rPr>
                <w:sz w:val="24"/>
              </w:rPr>
              <w:t>from</w:t>
            </w:r>
            <w:r w:rsidRPr="00150EDC">
              <w:rPr>
                <w:spacing w:val="-4"/>
                <w:sz w:val="24"/>
              </w:rPr>
              <w:t xml:space="preserve"> </w:t>
            </w:r>
            <w:r w:rsidRPr="00150EDC">
              <w:rPr>
                <w:sz w:val="24"/>
              </w:rPr>
              <w:t>the</w:t>
            </w:r>
            <w:r w:rsidRPr="00150EDC">
              <w:rPr>
                <w:spacing w:val="-5"/>
                <w:sz w:val="24"/>
              </w:rPr>
              <w:t xml:space="preserve"> </w:t>
            </w:r>
            <w:r w:rsidRPr="00150EDC">
              <w:rPr>
                <w:sz w:val="24"/>
              </w:rPr>
              <w:t>Supplier's</w:t>
            </w:r>
            <w:r w:rsidRPr="00150EDC">
              <w:rPr>
                <w:spacing w:val="-5"/>
                <w:sz w:val="24"/>
              </w:rPr>
              <w:t xml:space="preserve"> </w:t>
            </w:r>
            <w:r w:rsidRPr="00150EDC">
              <w:rPr>
                <w:sz w:val="24"/>
              </w:rPr>
              <w:t>offices,</w:t>
            </w:r>
            <w:r w:rsidRPr="00150EDC">
              <w:rPr>
                <w:spacing w:val="-7"/>
                <w:sz w:val="24"/>
              </w:rPr>
              <w:t xml:space="preserve"> </w:t>
            </w:r>
            <w:r w:rsidRPr="00150EDC">
              <w:rPr>
                <w:sz w:val="24"/>
              </w:rPr>
              <w:t>or</w:t>
            </w:r>
            <w:r w:rsidRPr="00150EDC">
              <w:rPr>
                <w:spacing w:val="-6"/>
                <w:sz w:val="24"/>
              </w:rPr>
              <w:t xml:space="preserve"> </w:t>
            </w:r>
            <w:r w:rsidRPr="00150EDC">
              <w:rPr>
                <w:sz w:val="24"/>
              </w:rPr>
              <w:t>to</w:t>
            </w:r>
            <w:r w:rsidRPr="00150EDC">
              <w:rPr>
                <w:spacing w:val="-7"/>
                <w:sz w:val="24"/>
              </w:rPr>
              <w:t xml:space="preserve"> </w:t>
            </w:r>
            <w:r w:rsidRPr="00150EDC">
              <w:rPr>
                <w:sz w:val="24"/>
              </w:rPr>
              <w:t>and</w:t>
            </w:r>
            <w:r w:rsidRPr="00150EDC">
              <w:rPr>
                <w:spacing w:val="-5"/>
                <w:sz w:val="24"/>
              </w:rPr>
              <w:t xml:space="preserve"> </w:t>
            </w:r>
            <w:r w:rsidRPr="00150EDC">
              <w:rPr>
                <w:sz w:val="24"/>
              </w:rPr>
              <w:t>from</w:t>
            </w:r>
            <w:r w:rsidRPr="00150EDC">
              <w:rPr>
                <w:spacing w:val="-4"/>
                <w:sz w:val="24"/>
              </w:rPr>
              <w:t xml:space="preserve"> </w:t>
            </w:r>
            <w:r w:rsidRPr="00150EDC">
              <w:rPr>
                <w:sz w:val="24"/>
              </w:rPr>
              <w:t>the</w:t>
            </w:r>
            <w:r w:rsidRPr="00150EDC">
              <w:rPr>
                <w:spacing w:val="-7"/>
                <w:sz w:val="24"/>
              </w:rPr>
              <w:t xml:space="preserve"> </w:t>
            </w:r>
            <w:r w:rsidRPr="00150EDC">
              <w:rPr>
                <w:sz w:val="24"/>
              </w:rPr>
              <w:t>Sites)</w:t>
            </w:r>
            <w:r w:rsidRPr="00150EDC">
              <w:rPr>
                <w:spacing w:val="-6"/>
                <w:sz w:val="24"/>
              </w:rPr>
              <w:t xml:space="preserve"> </w:t>
            </w:r>
            <w:r w:rsidRPr="00150EDC">
              <w:rPr>
                <w:sz w:val="24"/>
              </w:rPr>
              <w:t>but excluding lunch breaks.</w:t>
            </w:r>
          </w:p>
        </w:tc>
      </w:tr>
    </w:tbl>
    <w:p w14:paraId="1A31532B" w14:textId="77777777" w:rsidR="004C7180" w:rsidRPr="00150EDC" w:rsidRDefault="004C7180">
      <w:pPr>
        <w:jc w:val="both"/>
        <w:rPr>
          <w:sz w:val="24"/>
        </w:rPr>
        <w:sectPr w:rsidR="004C7180" w:rsidRPr="00150EDC">
          <w:pgSz w:w="11910" w:h="16840"/>
          <w:pgMar w:top="1160" w:right="0" w:bottom="1460" w:left="40" w:header="715" w:footer="1208" w:gutter="0"/>
          <w:cols w:space="720"/>
        </w:sectPr>
      </w:pPr>
    </w:p>
    <w:p w14:paraId="71506917" w14:textId="77777777" w:rsidR="004C7180" w:rsidRPr="00150EDC" w:rsidRDefault="004C7180">
      <w:pPr>
        <w:pStyle w:val="BodyText"/>
        <w:rPr>
          <w:sz w:val="16"/>
        </w:rPr>
      </w:pPr>
    </w:p>
    <w:p w14:paraId="34DC9AB5" w14:textId="77777777" w:rsidR="004C7180" w:rsidRPr="00150EDC" w:rsidRDefault="00CF0754">
      <w:pPr>
        <w:pStyle w:val="Heading1"/>
        <w:spacing w:before="89"/>
        <w:ind w:left="1400" w:firstLine="0"/>
      </w:pPr>
      <w:bookmarkStart w:id="4" w:name="DPS_Joint_Schedule_2_-_Variation_Form_v."/>
      <w:bookmarkEnd w:id="4"/>
      <w:r w:rsidRPr="00150EDC">
        <w:t>Joint</w:t>
      </w:r>
      <w:r w:rsidRPr="00150EDC">
        <w:rPr>
          <w:spacing w:val="-5"/>
        </w:rPr>
        <w:t xml:space="preserve"> </w:t>
      </w:r>
      <w:r w:rsidRPr="00150EDC">
        <w:t>Schedule</w:t>
      </w:r>
      <w:r w:rsidRPr="00150EDC">
        <w:rPr>
          <w:spacing w:val="-5"/>
        </w:rPr>
        <w:t xml:space="preserve"> </w:t>
      </w:r>
      <w:r w:rsidRPr="00150EDC">
        <w:t>2</w:t>
      </w:r>
      <w:r w:rsidRPr="00150EDC">
        <w:rPr>
          <w:spacing w:val="-5"/>
        </w:rPr>
        <w:t xml:space="preserve"> </w:t>
      </w:r>
      <w:r w:rsidRPr="00150EDC">
        <w:t>(Variation</w:t>
      </w:r>
      <w:r w:rsidRPr="00150EDC">
        <w:rPr>
          <w:spacing w:val="-3"/>
        </w:rPr>
        <w:t xml:space="preserve"> </w:t>
      </w:r>
      <w:r w:rsidRPr="00150EDC">
        <w:rPr>
          <w:spacing w:val="-4"/>
        </w:rPr>
        <w:t>Form)</w:t>
      </w:r>
    </w:p>
    <w:p w14:paraId="0E27D545" w14:textId="77777777" w:rsidR="004C7180" w:rsidRPr="00150EDC" w:rsidRDefault="00CF0754">
      <w:pPr>
        <w:pStyle w:val="BodyText"/>
        <w:spacing w:before="238"/>
        <w:ind w:left="1400" w:right="673"/>
      </w:pPr>
      <w:r w:rsidRPr="00150EDC">
        <w:t>This form is to be used in order to change a contract in accordance with Clause 24</w:t>
      </w:r>
      <w:r w:rsidRPr="00150EDC">
        <w:rPr>
          <w:spacing w:val="40"/>
        </w:rPr>
        <w:t xml:space="preserve"> </w:t>
      </w:r>
      <w:r w:rsidRPr="00150EDC">
        <w:t>(Changing the Contract)</w:t>
      </w:r>
    </w:p>
    <w:p w14:paraId="292D5E6E" w14:textId="77777777" w:rsidR="004C7180" w:rsidRPr="00150EDC" w:rsidRDefault="004C7180">
      <w:pPr>
        <w:pStyle w:val="BodyText"/>
        <w:spacing w:before="10"/>
        <w:rPr>
          <w:sz w:val="20"/>
        </w:rPr>
      </w:pPr>
    </w:p>
    <w:tbl>
      <w:tblPr>
        <w:tblW w:w="0" w:type="auto"/>
        <w:tblInd w:w="1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38"/>
        <w:gridCol w:w="3022"/>
        <w:gridCol w:w="3024"/>
      </w:tblGrid>
      <w:tr w:rsidR="007D3144" w:rsidRPr="007D3144" w14:paraId="44763925" w14:textId="77777777">
        <w:trPr>
          <w:trHeight w:val="350"/>
        </w:trPr>
        <w:tc>
          <w:tcPr>
            <w:tcW w:w="8984" w:type="dxa"/>
            <w:gridSpan w:val="3"/>
          </w:tcPr>
          <w:p w14:paraId="4C8C7BCD" w14:textId="77777777" w:rsidR="004C7180" w:rsidRPr="00150EDC" w:rsidRDefault="00CF0754">
            <w:pPr>
              <w:pStyle w:val="TableParagraph"/>
              <w:spacing w:before="2" w:line="240" w:lineRule="auto"/>
              <w:ind w:left="3077" w:right="3071"/>
              <w:jc w:val="center"/>
              <w:rPr>
                <w:b/>
                <w:sz w:val="20"/>
              </w:rPr>
            </w:pPr>
            <w:r w:rsidRPr="00150EDC">
              <w:rPr>
                <w:b/>
                <w:sz w:val="20"/>
              </w:rPr>
              <w:t>Contract</w:t>
            </w:r>
            <w:r w:rsidRPr="00150EDC">
              <w:rPr>
                <w:b/>
                <w:spacing w:val="-12"/>
                <w:sz w:val="20"/>
              </w:rPr>
              <w:t xml:space="preserve"> </w:t>
            </w:r>
            <w:r w:rsidRPr="00150EDC">
              <w:rPr>
                <w:b/>
                <w:spacing w:val="-2"/>
                <w:sz w:val="20"/>
              </w:rPr>
              <w:t>Details</w:t>
            </w:r>
          </w:p>
        </w:tc>
      </w:tr>
      <w:tr w:rsidR="007D3144" w:rsidRPr="007D3144" w14:paraId="77A2AF43" w14:textId="77777777">
        <w:trPr>
          <w:trHeight w:val="1741"/>
        </w:trPr>
        <w:tc>
          <w:tcPr>
            <w:tcW w:w="2938" w:type="dxa"/>
          </w:tcPr>
          <w:p w14:paraId="067B19D6" w14:textId="77777777" w:rsidR="004C7180" w:rsidRPr="00150EDC" w:rsidRDefault="00CF0754">
            <w:pPr>
              <w:pStyle w:val="TableParagraph"/>
              <w:spacing w:before="2" w:line="240" w:lineRule="auto"/>
              <w:ind w:left="107"/>
              <w:rPr>
                <w:sz w:val="20"/>
              </w:rPr>
            </w:pPr>
            <w:r w:rsidRPr="00150EDC">
              <w:rPr>
                <w:sz w:val="20"/>
              </w:rPr>
              <w:t>This</w:t>
            </w:r>
            <w:r w:rsidRPr="00150EDC">
              <w:rPr>
                <w:spacing w:val="-7"/>
                <w:sz w:val="20"/>
              </w:rPr>
              <w:t xml:space="preserve"> </w:t>
            </w:r>
            <w:r w:rsidRPr="00150EDC">
              <w:rPr>
                <w:sz w:val="20"/>
              </w:rPr>
              <w:t>variation</w:t>
            </w:r>
            <w:r w:rsidRPr="00150EDC">
              <w:rPr>
                <w:spacing w:val="-7"/>
                <w:sz w:val="20"/>
              </w:rPr>
              <w:t xml:space="preserve"> </w:t>
            </w:r>
            <w:r w:rsidRPr="00150EDC">
              <w:rPr>
                <w:sz w:val="20"/>
              </w:rPr>
              <w:t>is</w:t>
            </w:r>
            <w:r w:rsidRPr="00150EDC">
              <w:rPr>
                <w:spacing w:val="-6"/>
                <w:sz w:val="20"/>
              </w:rPr>
              <w:t xml:space="preserve"> </w:t>
            </w:r>
            <w:r w:rsidRPr="00150EDC">
              <w:rPr>
                <w:spacing w:val="-2"/>
                <w:sz w:val="20"/>
              </w:rPr>
              <w:t>between:</w:t>
            </w:r>
          </w:p>
        </w:tc>
        <w:tc>
          <w:tcPr>
            <w:tcW w:w="6046" w:type="dxa"/>
            <w:gridSpan w:val="2"/>
          </w:tcPr>
          <w:p w14:paraId="3B9ACE9B" w14:textId="77777777" w:rsidR="004C7180" w:rsidRPr="00150EDC" w:rsidRDefault="00CF0754">
            <w:pPr>
              <w:pStyle w:val="TableParagraph"/>
              <w:spacing w:before="0" w:line="240" w:lineRule="auto"/>
              <w:ind w:left="107" w:right="102"/>
              <w:jc w:val="both"/>
              <w:rPr>
                <w:b/>
                <w:sz w:val="20"/>
              </w:rPr>
            </w:pPr>
            <w:r w:rsidRPr="00150EDC">
              <w:rPr>
                <w:sz w:val="20"/>
              </w:rPr>
              <w:t xml:space="preserve">The Secretary of State for Education whose Head Office is at Sanctuary Buildings, Great Smith Street, London, SW1P 3BT acting as part of the Crown </w:t>
            </w:r>
            <w:r w:rsidRPr="00150EDC">
              <w:rPr>
                <w:b/>
                <w:sz w:val="20"/>
              </w:rPr>
              <w:t>(“the Buyer")</w:t>
            </w:r>
          </w:p>
          <w:p w14:paraId="3CF4DC10" w14:textId="77777777" w:rsidR="004C7180" w:rsidRPr="00150EDC" w:rsidRDefault="00CF0754">
            <w:pPr>
              <w:pStyle w:val="TableParagraph"/>
              <w:spacing w:before="120" w:line="240" w:lineRule="auto"/>
              <w:ind w:left="107"/>
              <w:rPr>
                <w:sz w:val="20"/>
              </w:rPr>
            </w:pPr>
            <w:r w:rsidRPr="00150EDC">
              <w:rPr>
                <w:spacing w:val="-5"/>
                <w:sz w:val="20"/>
              </w:rPr>
              <w:t>And</w:t>
            </w:r>
          </w:p>
          <w:p w14:paraId="18AB1DCB" w14:textId="77777777" w:rsidR="004C7180" w:rsidRPr="00150EDC" w:rsidRDefault="00CF0754">
            <w:pPr>
              <w:pStyle w:val="TableParagraph"/>
              <w:spacing w:before="121" w:line="240" w:lineRule="auto"/>
              <w:ind w:left="107" w:right="99"/>
              <w:jc w:val="both"/>
              <w:rPr>
                <w:sz w:val="20"/>
              </w:rPr>
            </w:pPr>
            <w:r w:rsidRPr="00150EDC">
              <w:rPr>
                <w:sz w:val="20"/>
              </w:rPr>
              <w:t xml:space="preserve">Tribal Education Limited whose Head Office is at Kings Orchard Queen Street, St. Philips, Bristol, BS2 0HQ </w:t>
            </w:r>
            <w:r w:rsidRPr="00150EDC">
              <w:rPr>
                <w:b/>
                <w:sz w:val="20"/>
              </w:rPr>
              <w:t>("the Supplier"</w:t>
            </w:r>
            <w:r w:rsidRPr="00150EDC">
              <w:rPr>
                <w:sz w:val="20"/>
              </w:rPr>
              <w:t>)</w:t>
            </w:r>
          </w:p>
        </w:tc>
      </w:tr>
      <w:tr w:rsidR="007D3144" w:rsidRPr="007D3144" w14:paraId="48C77FC6" w14:textId="77777777">
        <w:trPr>
          <w:trHeight w:val="578"/>
        </w:trPr>
        <w:tc>
          <w:tcPr>
            <w:tcW w:w="2938" w:type="dxa"/>
          </w:tcPr>
          <w:p w14:paraId="372A9839" w14:textId="77777777" w:rsidR="004C7180" w:rsidRPr="00150EDC" w:rsidRDefault="00CF0754">
            <w:pPr>
              <w:pStyle w:val="TableParagraph"/>
              <w:spacing w:before="0" w:line="229" w:lineRule="exact"/>
              <w:ind w:left="107"/>
              <w:rPr>
                <w:sz w:val="20"/>
              </w:rPr>
            </w:pPr>
            <w:r w:rsidRPr="00150EDC">
              <w:rPr>
                <w:sz w:val="20"/>
              </w:rPr>
              <w:t>Contract</w:t>
            </w:r>
            <w:r w:rsidRPr="00150EDC">
              <w:rPr>
                <w:spacing w:val="-12"/>
                <w:sz w:val="20"/>
              </w:rPr>
              <w:t xml:space="preserve"> </w:t>
            </w:r>
            <w:r w:rsidRPr="00150EDC">
              <w:rPr>
                <w:spacing w:val="-2"/>
                <w:sz w:val="20"/>
              </w:rPr>
              <w:t>name:</w:t>
            </w:r>
          </w:p>
        </w:tc>
        <w:tc>
          <w:tcPr>
            <w:tcW w:w="6046" w:type="dxa"/>
            <w:gridSpan w:val="2"/>
          </w:tcPr>
          <w:p w14:paraId="781E9859" w14:textId="77777777" w:rsidR="004C7180" w:rsidRPr="00150EDC" w:rsidRDefault="00CF0754">
            <w:pPr>
              <w:pStyle w:val="TableParagraph"/>
              <w:spacing w:before="0" w:line="240" w:lineRule="auto"/>
              <w:ind w:left="107"/>
              <w:rPr>
                <w:b/>
                <w:sz w:val="20"/>
              </w:rPr>
            </w:pPr>
            <w:r w:rsidRPr="00150EDC">
              <w:rPr>
                <w:b/>
                <w:sz w:val="20"/>
              </w:rPr>
              <w:t>Multiply</w:t>
            </w:r>
            <w:r w:rsidRPr="00150EDC">
              <w:rPr>
                <w:b/>
                <w:spacing w:val="40"/>
                <w:sz w:val="20"/>
              </w:rPr>
              <w:t xml:space="preserve"> </w:t>
            </w:r>
            <w:r w:rsidRPr="00150EDC">
              <w:rPr>
                <w:b/>
                <w:sz w:val="20"/>
              </w:rPr>
              <w:t>RCTs:</w:t>
            </w:r>
            <w:r w:rsidRPr="00150EDC">
              <w:rPr>
                <w:b/>
                <w:spacing w:val="40"/>
                <w:sz w:val="20"/>
              </w:rPr>
              <w:t xml:space="preserve"> </w:t>
            </w:r>
            <w:r w:rsidRPr="00150EDC">
              <w:rPr>
                <w:b/>
                <w:sz w:val="20"/>
              </w:rPr>
              <w:t>Management</w:t>
            </w:r>
            <w:r w:rsidRPr="00150EDC">
              <w:rPr>
                <w:b/>
                <w:spacing w:val="40"/>
                <w:sz w:val="20"/>
              </w:rPr>
              <w:t xml:space="preserve"> </w:t>
            </w:r>
            <w:r w:rsidRPr="00150EDC">
              <w:rPr>
                <w:b/>
                <w:sz w:val="20"/>
              </w:rPr>
              <w:t>of</w:t>
            </w:r>
            <w:r w:rsidRPr="00150EDC">
              <w:rPr>
                <w:b/>
                <w:spacing w:val="40"/>
                <w:sz w:val="20"/>
              </w:rPr>
              <w:t xml:space="preserve"> </w:t>
            </w:r>
            <w:r w:rsidRPr="00150EDC">
              <w:rPr>
                <w:b/>
                <w:sz w:val="20"/>
              </w:rPr>
              <w:t>Intervention</w:t>
            </w:r>
            <w:r w:rsidRPr="00150EDC">
              <w:rPr>
                <w:b/>
                <w:spacing w:val="40"/>
                <w:sz w:val="20"/>
              </w:rPr>
              <w:t xml:space="preserve"> </w:t>
            </w:r>
            <w:r w:rsidRPr="00150EDC">
              <w:rPr>
                <w:b/>
                <w:sz w:val="20"/>
              </w:rPr>
              <w:t>Delivery</w:t>
            </w:r>
            <w:r w:rsidRPr="00150EDC">
              <w:rPr>
                <w:b/>
                <w:spacing w:val="40"/>
                <w:sz w:val="20"/>
              </w:rPr>
              <w:t xml:space="preserve"> </w:t>
            </w:r>
            <w:r w:rsidRPr="00150EDC">
              <w:rPr>
                <w:b/>
                <w:sz w:val="20"/>
              </w:rPr>
              <w:t xml:space="preserve">(“the </w:t>
            </w:r>
            <w:r w:rsidRPr="00150EDC">
              <w:rPr>
                <w:b/>
                <w:spacing w:val="-2"/>
                <w:sz w:val="20"/>
              </w:rPr>
              <w:t>Contract”)</w:t>
            </w:r>
          </w:p>
        </w:tc>
      </w:tr>
      <w:tr w:rsidR="007D3144" w:rsidRPr="007D3144" w14:paraId="632C281C" w14:textId="77777777">
        <w:trPr>
          <w:trHeight w:val="350"/>
        </w:trPr>
        <w:tc>
          <w:tcPr>
            <w:tcW w:w="2938" w:type="dxa"/>
          </w:tcPr>
          <w:p w14:paraId="287DA912" w14:textId="77777777" w:rsidR="004C7180" w:rsidRPr="00150EDC" w:rsidRDefault="00CF0754">
            <w:pPr>
              <w:pStyle w:val="TableParagraph"/>
              <w:spacing w:before="2" w:line="240" w:lineRule="auto"/>
              <w:ind w:left="107"/>
              <w:rPr>
                <w:sz w:val="20"/>
              </w:rPr>
            </w:pPr>
            <w:r w:rsidRPr="00150EDC">
              <w:rPr>
                <w:sz w:val="20"/>
              </w:rPr>
              <w:t>Contract</w:t>
            </w:r>
            <w:r w:rsidRPr="00150EDC">
              <w:rPr>
                <w:spacing w:val="-13"/>
                <w:sz w:val="20"/>
              </w:rPr>
              <w:t xml:space="preserve"> </w:t>
            </w:r>
            <w:r w:rsidRPr="00150EDC">
              <w:rPr>
                <w:sz w:val="20"/>
              </w:rPr>
              <w:t>reference</w:t>
            </w:r>
            <w:r w:rsidRPr="00150EDC">
              <w:rPr>
                <w:spacing w:val="-9"/>
                <w:sz w:val="20"/>
              </w:rPr>
              <w:t xml:space="preserve"> </w:t>
            </w:r>
            <w:r w:rsidRPr="00150EDC">
              <w:rPr>
                <w:spacing w:val="-2"/>
                <w:sz w:val="20"/>
              </w:rPr>
              <w:t>number:</w:t>
            </w:r>
          </w:p>
        </w:tc>
        <w:tc>
          <w:tcPr>
            <w:tcW w:w="6046" w:type="dxa"/>
            <w:gridSpan w:val="2"/>
          </w:tcPr>
          <w:p w14:paraId="77CBDEB8" w14:textId="77777777" w:rsidR="004C7180" w:rsidRPr="00150EDC" w:rsidRDefault="00CF0754">
            <w:pPr>
              <w:pStyle w:val="TableParagraph"/>
              <w:spacing w:before="2" w:line="240" w:lineRule="auto"/>
              <w:ind w:left="107"/>
              <w:rPr>
                <w:b/>
                <w:sz w:val="20"/>
              </w:rPr>
            </w:pPr>
            <w:r w:rsidRPr="007D3144">
              <w:rPr>
                <w:b/>
                <w:spacing w:val="-2"/>
                <w:sz w:val="20"/>
                <w:shd w:val="clear" w:color="auto" w:fill="FFFF00"/>
              </w:rPr>
              <w:t>Con_22596</w:t>
            </w:r>
          </w:p>
        </w:tc>
      </w:tr>
      <w:tr w:rsidR="007D3144" w:rsidRPr="007D3144" w14:paraId="4B7897E0" w14:textId="77777777">
        <w:trPr>
          <w:trHeight w:val="350"/>
        </w:trPr>
        <w:tc>
          <w:tcPr>
            <w:tcW w:w="8984" w:type="dxa"/>
            <w:gridSpan w:val="3"/>
          </w:tcPr>
          <w:p w14:paraId="300BB056" w14:textId="77777777" w:rsidR="004C7180" w:rsidRPr="00150EDC" w:rsidRDefault="00CF0754">
            <w:pPr>
              <w:pStyle w:val="TableParagraph"/>
              <w:spacing w:before="2" w:line="240" w:lineRule="auto"/>
              <w:ind w:left="3112" w:right="3071"/>
              <w:jc w:val="center"/>
              <w:rPr>
                <w:b/>
                <w:sz w:val="20"/>
              </w:rPr>
            </w:pPr>
            <w:r w:rsidRPr="00150EDC">
              <w:rPr>
                <w:b/>
                <w:sz w:val="20"/>
              </w:rPr>
              <w:t>Details</w:t>
            </w:r>
            <w:r w:rsidRPr="00150EDC">
              <w:rPr>
                <w:b/>
                <w:spacing w:val="-9"/>
                <w:sz w:val="20"/>
              </w:rPr>
              <w:t xml:space="preserve"> </w:t>
            </w:r>
            <w:r w:rsidRPr="00150EDC">
              <w:rPr>
                <w:b/>
                <w:sz w:val="20"/>
              </w:rPr>
              <w:t>of</w:t>
            </w:r>
            <w:r w:rsidRPr="00150EDC">
              <w:rPr>
                <w:b/>
                <w:spacing w:val="-6"/>
                <w:sz w:val="20"/>
              </w:rPr>
              <w:t xml:space="preserve"> </w:t>
            </w:r>
            <w:r w:rsidRPr="00150EDC">
              <w:rPr>
                <w:b/>
                <w:sz w:val="20"/>
              </w:rPr>
              <w:t>Proposed</w:t>
            </w:r>
            <w:r w:rsidRPr="00150EDC">
              <w:rPr>
                <w:b/>
                <w:spacing w:val="-7"/>
                <w:sz w:val="20"/>
              </w:rPr>
              <w:t xml:space="preserve"> </w:t>
            </w:r>
            <w:r w:rsidRPr="00150EDC">
              <w:rPr>
                <w:b/>
                <w:spacing w:val="-2"/>
                <w:sz w:val="20"/>
              </w:rPr>
              <w:t>Variation</w:t>
            </w:r>
          </w:p>
        </w:tc>
      </w:tr>
      <w:tr w:rsidR="007D3144" w:rsidRPr="007D3144" w14:paraId="15B35BC8" w14:textId="77777777">
        <w:trPr>
          <w:trHeight w:val="350"/>
        </w:trPr>
        <w:tc>
          <w:tcPr>
            <w:tcW w:w="2938" w:type="dxa"/>
          </w:tcPr>
          <w:p w14:paraId="6C6754E6" w14:textId="77777777" w:rsidR="004C7180" w:rsidRPr="00150EDC" w:rsidRDefault="00CF0754">
            <w:pPr>
              <w:pStyle w:val="TableParagraph"/>
              <w:spacing w:before="2" w:line="240" w:lineRule="auto"/>
              <w:ind w:left="74"/>
              <w:rPr>
                <w:sz w:val="20"/>
              </w:rPr>
            </w:pPr>
            <w:r w:rsidRPr="00150EDC">
              <w:rPr>
                <w:sz w:val="20"/>
              </w:rPr>
              <w:t>Variation</w:t>
            </w:r>
            <w:r w:rsidRPr="00150EDC">
              <w:rPr>
                <w:spacing w:val="-11"/>
                <w:sz w:val="20"/>
              </w:rPr>
              <w:t xml:space="preserve"> </w:t>
            </w:r>
            <w:r w:rsidRPr="00150EDC">
              <w:rPr>
                <w:sz w:val="20"/>
              </w:rPr>
              <w:t>initiated</w:t>
            </w:r>
            <w:r w:rsidRPr="00150EDC">
              <w:rPr>
                <w:spacing w:val="-10"/>
                <w:sz w:val="20"/>
              </w:rPr>
              <w:t xml:space="preserve"> </w:t>
            </w:r>
            <w:r w:rsidRPr="00150EDC">
              <w:rPr>
                <w:spacing w:val="-5"/>
                <w:sz w:val="20"/>
              </w:rPr>
              <w:t>by:</w:t>
            </w:r>
          </w:p>
        </w:tc>
        <w:tc>
          <w:tcPr>
            <w:tcW w:w="6046" w:type="dxa"/>
            <w:gridSpan w:val="2"/>
          </w:tcPr>
          <w:p w14:paraId="5330E44E" w14:textId="77777777" w:rsidR="004C7180" w:rsidRPr="00150EDC" w:rsidRDefault="00CF0754">
            <w:pPr>
              <w:pStyle w:val="TableParagraph"/>
              <w:spacing w:before="2" w:line="240" w:lineRule="auto"/>
              <w:ind w:left="73"/>
              <w:rPr>
                <w:sz w:val="20"/>
              </w:rPr>
            </w:pPr>
            <w:r w:rsidRPr="007D3144">
              <w:rPr>
                <w:b/>
                <w:sz w:val="20"/>
                <w:shd w:val="clear" w:color="auto" w:fill="FFFF00"/>
              </w:rPr>
              <w:t>[delete</w:t>
            </w:r>
            <w:r w:rsidRPr="007D3144">
              <w:rPr>
                <w:b/>
                <w:spacing w:val="-9"/>
                <w:sz w:val="20"/>
              </w:rPr>
              <w:t xml:space="preserve"> </w:t>
            </w:r>
            <w:r w:rsidRPr="007D3144">
              <w:rPr>
                <w:sz w:val="20"/>
              </w:rPr>
              <w:t>as</w:t>
            </w:r>
            <w:r w:rsidRPr="007D3144">
              <w:rPr>
                <w:spacing w:val="-8"/>
                <w:sz w:val="20"/>
              </w:rPr>
              <w:t xml:space="preserve"> </w:t>
            </w:r>
            <w:r w:rsidRPr="007D3144">
              <w:rPr>
                <w:sz w:val="20"/>
              </w:rPr>
              <w:t>applicable:</w:t>
            </w:r>
            <w:r w:rsidRPr="007D3144">
              <w:rPr>
                <w:spacing w:val="-8"/>
                <w:sz w:val="20"/>
              </w:rPr>
              <w:t xml:space="preserve"> </w:t>
            </w:r>
            <w:r w:rsidRPr="007D3144">
              <w:rPr>
                <w:spacing w:val="-2"/>
                <w:sz w:val="20"/>
              </w:rPr>
              <w:t>Buyer/Supplier]</w:t>
            </w:r>
          </w:p>
        </w:tc>
      </w:tr>
      <w:tr w:rsidR="007D3144" w:rsidRPr="007D3144" w14:paraId="35CE33FE" w14:textId="77777777">
        <w:trPr>
          <w:trHeight w:val="350"/>
        </w:trPr>
        <w:tc>
          <w:tcPr>
            <w:tcW w:w="2938" w:type="dxa"/>
          </w:tcPr>
          <w:p w14:paraId="1CD4BA29" w14:textId="77777777" w:rsidR="004C7180" w:rsidRPr="00150EDC" w:rsidRDefault="00CF0754">
            <w:pPr>
              <w:pStyle w:val="TableParagraph"/>
              <w:spacing w:before="2" w:line="240" w:lineRule="auto"/>
              <w:ind w:left="74"/>
              <w:rPr>
                <w:sz w:val="20"/>
              </w:rPr>
            </w:pPr>
            <w:r w:rsidRPr="00150EDC">
              <w:rPr>
                <w:sz w:val="20"/>
              </w:rPr>
              <w:t>Variation</w:t>
            </w:r>
            <w:r w:rsidRPr="00150EDC">
              <w:rPr>
                <w:spacing w:val="-12"/>
                <w:sz w:val="20"/>
              </w:rPr>
              <w:t xml:space="preserve"> </w:t>
            </w:r>
            <w:r w:rsidRPr="00150EDC">
              <w:rPr>
                <w:spacing w:val="-2"/>
                <w:sz w:val="20"/>
              </w:rPr>
              <w:t>number:</w:t>
            </w:r>
          </w:p>
        </w:tc>
        <w:tc>
          <w:tcPr>
            <w:tcW w:w="6046" w:type="dxa"/>
            <w:gridSpan w:val="2"/>
          </w:tcPr>
          <w:p w14:paraId="27F67AB5" w14:textId="77777777" w:rsidR="004C7180" w:rsidRPr="00150EDC" w:rsidRDefault="00CF0754">
            <w:pPr>
              <w:pStyle w:val="TableParagraph"/>
              <w:spacing w:before="2" w:line="240" w:lineRule="auto"/>
              <w:ind w:left="73"/>
              <w:rPr>
                <w:sz w:val="20"/>
              </w:rPr>
            </w:pPr>
            <w:r w:rsidRPr="007D3144">
              <w:rPr>
                <w:b/>
                <w:sz w:val="20"/>
                <w:shd w:val="clear" w:color="auto" w:fill="FFFF00"/>
              </w:rPr>
              <w:t>[insert</w:t>
            </w:r>
            <w:r w:rsidRPr="007D3144">
              <w:rPr>
                <w:b/>
                <w:spacing w:val="-10"/>
                <w:sz w:val="20"/>
                <w:shd w:val="clear" w:color="auto" w:fill="FFFF00"/>
              </w:rPr>
              <w:t xml:space="preserve"> </w:t>
            </w:r>
            <w:r w:rsidRPr="007D3144">
              <w:rPr>
                <w:sz w:val="20"/>
              </w:rPr>
              <w:t>variation</w:t>
            </w:r>
            <w:r w:rsidRPr="007D3144">
              <w:rPr>
                <w:spacing w:val="-10"/>
                <w:sz w:val="20"/>
              </w:rPr>
              <w:t xml:space="preserve"> </w:t>
            </w:r>
            <w:r w:rsidRPr="007D3144">
              <w:rPr>
                <w:spacing w:val="-2"/>
                <w:sz w:val="20"/>
              </w:rPr>
              <w:t>number]</w:t>
            </w:r>
          </w:p>
        </w:tc>
      </w:tr>
      <w:tr w:rsidR="007D3144" w:rsidRPr="007D3144" w14:paraId="6DA4C5B2" w14:textId="77777777">
        <w:trPr>
          <w:trHeight w:val="350"/>
        </w:trPr>
        <w:tc>
          <w:tcPr>
            <w:tcW w:w="2938" w:type="dxa"/>
          </w:tcPr>
          <w:p w14:paraId="42AD60A1" w14:textId="77777777" w:rsidR="004C7180" w:rsidRPr="00150EDC" w:rsidRDefault="00CF0754">
            <w:pPr>
              <w:pStyle w:val="TableParagraph"/>
              <w:spacing w:before="2" w:line="240" w:lineRule="auto"/>
              <w:ind w:left="74"/>
              <w:rPr>
                <w:sz w:val="20"/>
              </w:rPr>
            </w:pPr>
            <w:r w:rsidRPr="00150EDC">
              <w:rPr>
                <w:sz w:val="20"/>
              </w:rPr>
              <w:t>Date</w:t>
            </w:r>
            <w:r w:rsidRPr="00150EDC">
              <w:rPr>
                <w:spacing w:val="-7"/>
                <w:sz w:val="20"/>
              </w:rPr>
              <w:t xml:space="preserve"> </w:t>
            </w:r>
            <w:r w:rsidRPr="00150EDC">
              <w:rPr>
                <w:sz w:val="20"/>
              </w:rPr>
              <w:t>variation</w:t>
            </w:r>
            <w:r w:rsidRPr="00150EDC">
              <w:rPr>
                <w:spacing w:val="-6"/>
                <w:sz w:val="20"/>
              </w:rPr>
              <w:t xml:space="preserve"> </w:t>
            </w:r>
            <w:r w:rsidRPr="00150EDC">
              <w:rPr>
                <w:sz w:val="20"/>
              </w:rPr>
              <w:t>is</w:t>
            </w:r>
            <w:r w:rsidRPr="00150EDC">
              <w:rPr>
                <w:spacing w:val="-6"/>
                <w:sz w:val="20"/>
              </w:rPr>
              <w:t xml:space="preserve"> </w:t>
            </w:r>
            <w:r w:rsidRPr="00150EDC">
              <w:rPr>
                <w:spacing w:val="-2"/>
                <w:sz w:val="20"/>
              </w:rPr>
              <w:t>raised:</w:t>
            </w:r>
          </w:p>
        </w:tc>
        <w:tc>
          <w:tcPr>
            <w:tcW w:w="6046" w:type="dxa"/>
            <w:gridSpan w:val="2"/>
          </w:tcPr>
          <w:p w14:paraId="1060D3A9" w14:textId="77777777" w:rsidR="004C7180" w:rsidRPr="00150EDC" w:rsidRDefault="00CF0754">
            <w:pPr>
              <w:pStyle w:val="TableParagraph"/>
              <w:spacing w:before="2" w:line="240" w:lineRule="auto"/>
              <w:ind w:left="73"/>
              <w:rPr>
                <w:sz w:val="20"/>
              </w:rPr>
            </w:pPr>
            <w:r w:rsidRPr="007D3144">
              <w:rPr>
                <w:b/>
                <w:sz w:val="20"/>
                <w:shd w:val="clear" w:color="auto" w:fill="FFFF00"/>
              </w:rPr>
              <w:t>[insert</w:t>
            </w:r>
            <w:r w:rsidRPr="007D3144">
              <w:rPr>
                <w:b/>
                <w:spacing w:val="-11"/>
                <w:sz w:val="20"/>
                <w:shd w:val="clear" w:color="auto" w:fill="FFFF00"/>
              </w:rPr>
              <w:t xml:space="preserve"> </w:t>
            </w:r>
            <w:r w:rsidRPr="007D3144">
              <w:rPr>
                <w:spacing w:val="-2"/>
                <w:sz w:val="20"/>
              </w:rPr>
              <w:t>date]</w:t>
            </w:r>
          </w:p>
        </w:tc>
      </w:tr>
      <w:tr w:rsidR="007D3144" w:rsidRPr="007D3144" w14:paraId="7DD3796F" w14:textId="77777777">
        <w:trPr>
          <w:trHeight w:val="350"/>
        </w:trPr>
        <w:tc>
          <w:tcPr>
            <w:tcW w:w="2938" w:type="dxa"/>
          </w:tcPr>
          <w:p w14:paraId="65412C8E" w14:textId="77777777" w:rsidR="004C7180" w:rsidRPr="00150EDC" w:rsidRDefault="00CF0754">
            <w:pPr>
              <w:pStyle w:val="TableParagraph"/>
              <w:spacing w:before="2" w:line="240" w:lineRule="auto"/>
              <w:ind w:left="74"/>
              <w:rPr>
                <w:sz w:val="20"/>
              </w:rPr>
            </w:pPr>
            <w:r w:rsidRPr="00150EDC">
              <w:rPr>
                <w:sz w:val="20"/>
              </w:rPr>
              <w:t>Proposed</w:t>
            </w:r>
            <w:r w:rsidRPr="00150EDC">
              <w:rPr>
                <w:spacing w:val="-11"/>
                <w:sz w:val="20"/>
              </w:rPr>
              <w:t xml:space="preserve"> </w:t>
            </w:r>
            <w:r w:rsidRPr="00150EDC">
              <w:rPr>
                <w:spacing w:val="-2"/>
                <w:sz w:val="20"/>
              </w:rPr>
              <w:t>variation</w:t>
            </w:r>
          </w:p>
        </w:tc>
        <w:tc>
          <w:tcPr>
            <w:tcW w:w="6046" w:type="dxa"/>
            <w:gridSpan w:val="2"/>
          </w:tcPr>
          <w:p w14:paraId="10573D33" w14:textId="77777777" w:rsidR="004C7180" w:rsidRPr="00150EDC" w:rsidRDefault="004C7180">
            <w:pPr>
              <w:pStyle w:val="TableParagraph"/>
              <w:spacing w:before="0" w:line="240" w:lineRule="auto"/>
              <w:ind w:left="0"/>
              <w:rPr>
                <w:rFonts w:ascii="Times New Roman"/>
                <w:sz w:val="20"/>
              </w:rPr>
            </w:pPr>
          </w:p>
        </w:tc>
      </w:tr>
      <w:tr w:rsidR="007D3144" w:rsidRPr="007D3144" w14:paraId="1AD1C403" w14:textId="77777777">
        <w:trPr>
          <w:trHeight w:val="350"/>
        </w:trPr>
        <w:tc>
          <w:tcPr>
            <w:tcW w:w="2938" w:type="dxa"/>
          </w:tcPr>
          <w:p w14:paraId="34E68219" w14:textId="77777777" w:rsidR="004C7180" w:rsidRPr="00150EDC" w:rsidRDefault="00CF0754">
            <w:pPr>
              <w:pStyle w:val="TableParagraph"/>
              <w:spacing w:before="2" w:line="240" w:lineRule="auto"/>
              <w:ind w:left="74"/>
              <w:rPr>
                <w:sz w:val="20"/>
              </w:rPr>
            </w:pPr>
            <w:r w:rsidRPr="00150EDC">
              <w:rPr>
                <w:sz w:val="20"/>
              </w:rPr>
              <w:t>Reason</w:t>
            </w:r>
            <w:r w:rsidRPr="00150EDC">
              <w:rPr>
                <w:spacing w:val="-7"/>
                <w:sz w:val="20"/>
              </w:rPr>
              <w:t xml:space="preserve"> </w:t>
            </w:r>
            <w:r w:rsidRPr="00150EDC">
              <w:rPr>
                <w:sz w:val="20"/>
              </w:rPr>
              <w:t>for</w:t>
            </w:r>
            <w:r w:rsidRPr="00150EDC">
              <w:rPr>
                <w:spacing w:val="-5"/>
                <w:sz w:val="20"/>
              </w:rPr>
              <w:t xml:space="preserve"> </w:t>
            </w:r>
            <w:r w:rsidRPr="00150EDC">
              <w:rPr>
                <w:sz w:val="20"/>
              </w:rPr>
              <w:t>the</w:t>
            </w:r>
            <w:r w:rsidRPr="00150EDC">
              <w:rPr>
                <w:spacing w:val="-5"/>
                <w:sz w:val="20"/>
              </w:rPr>
              <w:t xml:space="preserve"> </w:t>
            </w:r>
            <w:r w:rsidRPr="00150EDC">
              <w:rPr>
                <w:spacing w:val="-2"/>
                <w:sz w:val="20"/>
              </w:rPr>
              <w:t>variation:</w:t>
            </w:r>
          </w:p>
        </w:tc>
        <w:tc>
          <w:tcPr>
            <w:tcW w:w="6046" w:type="dxa"/>
            <w:gridSpan w:val="2"/>
          </w:tcPr>
          <w:p w14:paraId="0A19CCC8" w14:textId="77777777" w:rsidR="004C7180" w:rsidRPr="00150EDC" w:rsidRDefault="00CF0754">
            <w:pPr>
              <w:pStyle w:val="TableParagraph"/>
              <w:spacing w:before="2" w:line="240" w:lineRule="auto"/>
              <w:ind w:left="73"/>
              <w:rPr>
                <w:sz w:val="20"/>
              </w:rPr>
            </w:pPr>
            <w:r w:rsidRPr="007D3144">
              <w:rPr>
                <w:b/>
                <w:sz w:val="20"/>
                <w:shd w:val="clear" w:color="auto" w:fill="FFFF00"/>
              </w:rPr>
              <w:t>[insert</w:t>
            </w:r>
            <w:r w:rsidRPr="007D3144">
              <w:rPr>
                <w:b/>
                <w:spacing w:val="-11"/>
                <w:sz w:val="20"/>
                <w:shd w:val="clear" w:color="auto" w:fill="FFFF00"/>
              </w:rPr>
              <w:t xml:space="preserve"> </w:t>
            </w:r>
            <w:r w:rsidRPr="007D3144">
              <w:rPr>
                <w:spacing w:val="-2"/>
                <w:sz w:val="20"/>
              </w:rPr>
              <w:t>reason]</w:t>
            </w:r>
          </w:p>
        </w:tc>
      </w:tr>
      <w:tr w:rsidR="007D3144" w:rsidRPr="007D3144" w14:paraId="17417944" w14:textId="77777777">
        <w:trPr>
          <w:trHeight w:val="719"/>
        </w:trPr>
        <w:tc>
          <w:tcPr>
            <w:tcW w:w="2938" w:type="dxa"/>
          </w:tcPr>
          <w:p w14:paraId="7C597922" w14:textId="77777777" w:rsidR="004C7180" w:rsidRPr="00150EDC" w:rsidRDefault="00CF0754">
            <w:pPr>
              <w:pStyle w:val="TableParagraph"/>
              <w:spacing w:before="0" w:line="240" w:lineRule="auto"/>
              <w:ind w:left="107" w:hanging="34"/>
              <w:rPr>
                <w:sz w:val="20"/>
              </w:rPr>
            </w:pPr>
            <w:r w:rsidRPr="00150EDC">
              <w:rPr>
                <w:sz w:val="20"/>
              </w:rPr>
              <w:t>An</w:t>
            </w:r>
            <w:r w:rsidRPr="00150EDC">
              <w:rPr>
                <w:spacing w:val="-14"/>
                <w:sz w:val="20"/>
              </w:rPr>
              <w:t xml:space="preserve"> </w:t>
            </w:r>
            <w:r w:rsidRPr="00150EDC">
              <w:rPr>
                <w:sz w:val="20"/>
              </w:rPr>
              <w:t>Impact</w:t>
            </w:r>
            <w:r w:rsidRPr="00150EDC">
              <w:rPr>
                <w:spacing w:val="-14"/>
                <w:sz w:val="20"/>
              </w:rPr>
              <w:t xml:space="preserve"> </w:t>
            </w:r>
            <w:r w:rsidRPr="00150EDC">
              <w:rPr>
                <w:sz w:val="20"/>
              </w:rPr>
              <w:t>Assessment</w:t>
            </w:r>
            <w:r w:rsidRPr="00150EDC">
              <w:rPr>
                <w:spacing w:val="-14"/>
                <w:sz w:val="20"/>
              </w:rPr>
              <w:t xml:space="preserve"> </w:t>
            </w:r>
            <w:r w:rsidRPr="00150EDC">
              <w:rPr>
                <w:sz w:val="20"/>
              </w:rPr>
              <w:t>shall</w:t>
            </w:r>
            <w:r w:rsidRPr="00150EDC">
              <w:rPr>
                <w:spacing w:val="-14"/>
                <w:sz w:val="20"/>
              </w:rPr>
              <w:t xml:space="preserve"> </w:t>
            </w:r>
            <w:r w:rsidRPr="00150EDC">
              <w:rPr>
                <w:sz w:val="20"/>
              </w:rPr>
              <w:t>be provided within:</w:t>
            </w:r>
          </w:p>
        </w:tc>
        <w:tc>
          <w:tcPr>
            <w:tcW w:w="6046" w:type="dxa"/>
            <w:gridSpan w:val="2"/>
          </w:tcPr>
          <w:p w14:paraId="0F890996" w14:textId="77777777" w:rsidR="004C7180" w:rsidRPr="00150EDC" w:rsidRDefault="00CF0754">
            <w:pPr>
              <w:pStyle w:val="TableParagraph"/>
              <w:spacing w:before="2" w:line="240" w:lineRule="auto"/>
              <w:ind w:left="73"/>
              <w:rPr>
                <w:sz w:val="20"/>
              </w:rPr>
            </w:pPr>
            <w:r w:rsidRPr="007D3144">
              <w:rPr>
                <w:b/>
                <w:sz w:val="20"/>
                <w:shd w:val="clear" w:color="auto" w:fill="FFFF00"/>
              </w:rPr>
              <w:t>[insert</w:t>
            </w:r>
            <w:r w:rsidRPr="007D3144">
              <w:rPr>
                <w:b/>
                <w:spacing w:val="-9"/>
                <w:sz w:val="20"/>
                <w:shd w:val="clear" w:color="auto" w:fill="FFFF00"/>
              </w:rPr>
              <w:t xml:space="preserve"> </w:t>
            </w:r>
            <w:r w:rsidRPr="007D3144">
              <w:rPr>
                <w:sz w:val="20"/>
              </w:rPr>
              <w:t>number]</w:t>
            </w:r>
            <w:r w:rsidRPr="007D3144">
              <w:rPr>
                <w:spacing w:val="-9"/>
                <w:sz w:val="20"/>
              </w:rPr>
              <w:t xml:space="preserve"> </w:t>
            </w:r>
            <w:r w:rsidRPr="007D3144">
              <w:rPr>
                <w:spacing w:val="-4"/>
                <w:sz w:val="20"/>
              </w:rPr>
              <w:t>days</w:t>
            </w:r>
          </w:p>
        </w:tc>
      </w:tr>
      <w:tr w:rsidR="007D3144" w:rsidRPr="007D3144" w14:paraId="383BA869" w14:textId="77777777">
        <w:trPr>
          <w:trHeight w:val="350"/>
        </w:trPr>
        <w:tc>
          <w:tcPr>
            <w:tcW w:w="8984" w:type="dxa"/>
            <w:gridSpan w:val="3"/>
          </w:tcPr>
          <w:p w14:paraId="45D5DAE7" w14:textId="77777777" w:rsidR="004C7180" w:rsidRPr="00150EDC" w:rsidRDefault="00CF0754">
            <w:pPr>
              <w:pStyle w:val="TableParagraph"/>
              <w:spacing w:before="0" w:line="229" w:lineRule="exact"/>
              <w:ind w:left="3043" w:right="3071"/>
              <w:jc w:val="center"/>
              <w:rPr>
                <w:b/>
                <w:sz w:val="20"/>
              </w:rPr>
            </w:pPr>
            <w:r w:rsidRPr="00150EDC">
              <w:rPr>
                <w:b/>
                <w:sz w:val="20"/>
              </w:rPr>
              <w:t>Impact</w:t>
            </w:r>
            <w:r w:rsidRPr="00150EDC">
              <w:rPr>
                <w:b/>
                <w:spacing w:val="-6"/>
                <w:sz w:val="20"/>
              </w:rPr>
              <w:t xml:space="preserve"> </w:t>
            </w:r>
            <w:r w:rsidRPr="00150EDC">
              <w:rPr>
                <w:b/>
                <w:sz w:val="20"/>
              </w:rPr>
              <w:t>of</w:t>
            </w:r>
            <w:r w:rsidRPr="00150EDC">
              <w:rPr>
                <w:b/>
                <w:spacing w:val="-6"/>
                <w:sz w:val="20"/>
              </w:rPr>
              <w:t xml:space="preserve"> </w:t>
            </w:r>
            <w:r w:rsidRPr="00150EDC">
              <w:rPr>
                <w:b/>
                <w:spacing w:val="-2"/>
                <w:sz w:val="20"/>
              </w:rPr>
              <w:t>Variation</w:t>
            </w:r>
          </w:p>
        </w:tc>
      </w:tr>
      <w:tr w:rsidR="007D3144" w:rsidRPr="007D3144" w14:paraId="537F78BD" w14:textId="77777777">
        <w:trPr>
          <w:trHeight w:val="578"/>
        </w:trPr>
        <w:tc>
          <w:tcPr>
            <w:tcW w:w="2938" w:type="dxa"/>
          </w:tcPr>
          <w:p w14:paraId="63B88B79" w14:textId="77777777" w:rsidR="004C7180" w:rsidRPr="00150EDC" w:rsidRDefault="00CF0754">
            <w:pPr>
              <w:pStyle w:val="TableParagraph"/>
              <w:spacing w:before="0" w:line="240" w:lineRule="auto"/>
              <w:ind w:left="107" w:hanging="34"/>
              <w:rPr>
                <w:sz w:val="20"/>
              </w:rPr>
            </w:pPr>
            <w:r w:rsidRPr="00150EDC">
              <w:rPr>
                <w:sz w:val="20"/>
              </w:rPr>
              <w:t>Likely</w:t>
            </w:r>
            <w:r w:rsidRPr="00150EDC">
              <w:rPr>
                <w:spacing w:val="32"/>
                <w:sz w:val="20"/>
              </w:rPr>
              <w:t xml:space="preserve"> </w:t>
            </w:r>
            <w:r w:rsidRPr="00150EDC">
              <w:rPr>
                <w:sz w:val="20"/>
              </w:rPr>
              <w:t>impact</w:t>
            </w:r>
            <w:r w:rsidRPr="00150EDC">
              <w:rPr>
                <w:spacing w:val="28"/>
                <w:sz w:val="20"/>
              </w:rPr>
              <w:t xml:space="preserve"> </w:t>
            </w:r>
            <w:r w:rsidRPr="00150EDC">
              <w:rPr>
                <w:sz w:val="20"/>
              </w:rPr>
              <w:t>of</w:t>
            </w:r>
            <w:r w:rsidRPr="00150EDC">
              <w:rPr>
                <w:spacing w:val="28"/>
                <w:sz w:val="20"/>
              </w:rPr>
              <w:t xml:space="preserve"> </w:t>
            </w:r>
            <w:r w:rsidRPr="00150EDC">
              <w:rPr>
                <w:sz w:val="20"/>
              </w:rPr>
              <w:t>the</w:t>
            </w:r>
            <w:r w:rsidRPr="00150EDC">
              <w:rPr>
                <w:spacing w:val="28"/>
                <w:sz w:val="20"/>
              </w:rPr>
              <w:t xml:space="preserve"> </w:t>
            </w:r>
            <w:r w:rsidRPr="00150EDC">
              <w:rPr>
                <w:sz w:val="20"/>
              </w:rPr>
              <w:t xml:space="preserve">proposed </w:t>
            </w:r>
            <w:r w:rsidRPr="00150EDC">
              <w:rPr>
                <w:spacing w:val="-2"/>
                <w:sz w:val="20"/>
              </w:rPr>
              <w:t>variation:</w:t>
            </w:r>
          </w:p>
        </w:tc>
        <w:tc>
          <w:tcPr>
            <w:tcW w:w="6046" w:type="dxa"/>
            <w:gridSpan w:val="2"/>
          </w:tcPr>
          <w:p w14:paraId="39CB9E2A" w14:textId="77777777" w:rsidR="004C7180" w:rsidRPr="00150EDC" w:rsidRDefault="00CF0754">
            <w:pPr>
              <w:pStyle w:val="TableParagraph"/>
              <w:spacing w:before="0" w:line="229" w:lineRule="exact"/>
              <w:ind w:left="73"/>
              <w:rPr>
                <w:sz w:val="20"/>
              </w:rPr>
            </w:pPr>
            <w:r w:rsidRPr="007D3144">
              <w:rPr>
                <w:b/>
                <w:sz w:val="20"/>
                <w:shd w:val="clear" w:color="auto" w:fill="FFFF00"/>
              </w:rPr>
              <w:t>[Supplier</w:t>
            </w:r>
            <w:r w:rsidRPr="007D3144">
              <w:rPr>
                <w:b/>
                <w:spacing w:val="-9"/>
                <w:sz w:val="20"/>
                <w:shd w:val="clear" w:color="auto" w:fill="FFFF00"/>
              </w:rPr>
              <w:t xml:space="preserve"> </w:t>
            </w:r>
            <w:r w:rsidRPr="007D3144">
              <w:rPr>
                <w:b/>
                <w:sz w:val="20"/>
                <w:shd w:val="clear" w:color="auto" w:fill="FFFF00"/>
              </w:rPr>
              <w:t>to</w:t>
            </w:r>
            <w:r w:rsidRPr="007D3144">
              <w:rPr>
                <w:b/>
                <w:spacing w:val="-7"/>
                <w:sz w:val="20"/>
                <w:shd w:val="clear" w:color="auto" w:fill="FFFF00"/>
              </w:rPr>
              <w:t xml:space="preserve"> </w:t>
            </w:r>
            <w:r w:rsidRPr="007D3144">
              <w:rPr>
                <w:b/>
                <w:sz w:val="20"/>
                <w:shd w:val="clear" w:color="auto" w:fill="FFFF00"/>
              </w:rPr>
              <w:t>insert</w:t>
            </w:r>
            <w:r w:rsidRPr="007D3144">
              <w:rPr>
                <w:b/>
                <w:spacing w:val="-5"/>
                <w:sz w:val="20"/>
                <w:shd w:val="clear" w:color="auto" w:fill="FFFF00"/>
              </w:rPr>
              <w:t xml:space="preserve"> </w:t>
            </w:r>
            <w:r w:rsidRPr="007D3144">
              <w:rPr>
                <w:sz w:val="20"/>
              </w:rPr>
              <w:t>assessment</w:t>
            </w:r>
            <w:r w:rsidRPr="007D3144">
              <w:rPr>
                <w:spacing w:val="-6"/>
                <w:sz w:val="20"/>
              </w:rPr>
              <w:t xml:space="preserve"> </w:t>
            </w:r>
            <w:r w:rsidRPr="007D3144">
              <w:rPr>
                <w:sz w:val="20"/>
              </w:rPr>
              <w:t>of</w:t>
            </w:r>
            <w:r w:rsidRPr="007D3144">
              <w:rPr>
                <w:spacing w:val="-6"/>
                <w:sz w:val="20"/>
              </w:rPr>
              <w:t xml:space="preserve"> </w:t>
            </w:r>
            <w:r w:rsidRPr="007D3144">
              <w:rPr>
                <w:spacing w:val="-2"/>
                <w:sz w:val="20"/>
              </w:rPr>
              <w:t>impact]</w:t>
            </w:r>
          </w:p>
        </w:tc>
      </w:tr>
      <w:tr w:rsidR="007D3144" w:rsidRPr="007D3144" w14:paraId="49EDE14A" w14:textId="77777777">
        <w:trPr>
          <w:trHeight w:val="470"/>
        </w:trPr>
        <w:tc>
          <w:tcPr>
            <w:tcW w:w="8984" w:type="dxa"/>
            <w:gridSpan w:val="3"/>
          </w:tcPr>
          <w:p w14:paraId="5C47CF70" w14:textId="77777777" w:rsidR="004C7180" w:rsidRPr="00150EDC" w:rsidRDefault="00CF0754">
            <w:pPr>
              <w:pStyle w:val="TableParagraph"/>
              <w:spacing w:before="2" w:line="240" w:lineRule="auto"/>
              <w:ind w:left="3045" w:right="3071"/>
              <w:jc w:val="center"/>
              <w:rPr>
                <w:b/>
                <w:sz w:val="20"/>
              </w:rPr>
            </w:pPr>
            <w:r w:rsidRPr="00150EDC">
              <w:rPr>
                <w:b/>
                <w:sz w:val="20"/>
              </w:rPr>
              <w:t>Outcome</w:t>
            </w:r>
            <w:r w:rsidRPr="00150EDC">
              <w:rPr>
                <w:b/>
                <w:spacing w:val="-7"/>
                <w:sz w:val="20"/>
              </w:rPr>
              <w:t xml:space="preserve"> </w:t>
            </w:r>
            <w:r w:rsidRPr="00150EDC">
              <w:rPr>
                <w:b/>
                <w:sz w:val="20"/>
              </w:rPr>
              <w:t>of</w:t>
            </w:r>
            <w:r w:rsidRPr="00150EDC">
              <w:rPr>
                <w:b/>
                <w:spacing w:val="-5"/>
                <w:sz w:val="20"/>
              </w:rPr>
              <w:t xml:space="preserve"> </w:t>
            </w:r>
            <w:r w:rsidRPr="00150EDC">
              <w:rPr>
                <w:b/>
                <w:spacing w:val="-2"/>
                <w:sz w:val="20"/>
              </w:rPr>
              <w:t>Variation</w:t>
            </w:r>
          </w:p>
        </w:tc>
      </w:tr>
      <w:tr w:rsidR="007D3144" w:rsidRPr="007D3144" w14:paraId="596D07D8" w14:textId="77777777">
        <w:trPr>
          <w:trHeight w:val="942"/>
        </w:trPr>
        <w:tc>
          <w:tcPr>
            <w:tcW w:w="2938" w:type="dxa"/>
          </w:tcPr>
          <w:p w14:paraId="45E8B969" w14:textId="77777777" w:rsidR="004C7180" w:rsidRPr="00150EDC" w:rsidRDefault="00CF0754">
            <w:pPr>
              <w:pStyle w:val="TableParagraph"/>
              <w:spacing w:before="0" w:line="229" w:lineRule="exact"/>
              <w:ind w:left="107"/>
              <w:rPr>
                <w:sz w:val="20"/>
              </w:rPr>
            </w:pPr>
            <w:r w:rsidRPr="00150EDC">
              <w:rPr>
                <w:sz w:val="20"/>
              </w:rPr>
              <w:t>Contract</w:t>
            </w:r>
            <w:r w:rsidRPr="00150EDC">
              <w:rPr>
                <w:spacing w:val="-12"/>
                <w:sz w:val="20"/>
              </w:rPr>
              <w:t xml:space="preserve"> </w:t>
            </w:r>
            <w:r w:rsidRPr="00150EDC">
              <w:rPr>
                <w:spacing w:val="-2"/>
                <w:sz w:val="20"/>
              </w:rPr>
              <w:t>variation:</w:t>
            </w:r>
          </w:p>
        </w:tc>
        <w:tc>
          <w:tcPr>
            <w:tcW w:w="6046" w:type="dxa"/>
            <w:gridSpan w:val="2"/>
          </w:tcPr>
          <w:p w14:paraId="0C1DCFB5" w14:textId="77777777" w:rsidR="004C7180" w:rsidRPr="00150EDC" w:rsidRDefault="00CF0754">
            <w:pPr>
              <w:pStyle w:val="TableParagraph"/>
              <w:spacing w:before="0" w:line="229" w:lineRule="exact"/>
              <w:ind w:left="107"/>
              <w:rPr>
                <w:sz w:val="20"/>
              </w:rPr>
            </w:pPr>
            <w:r w:rsidRPr="00150EDC">
              <w:rPr>
                <w:sz w:val="20"/>
              </w:rPr>
              <w:t>This</w:t>
            </w:r>
            <w:r w:rsidRPr="00150EDC">
              <w:rPr>
                <w:spacing w:val="-6"/>
                <w:sz w:val="20"/>
              </w:rPr>
              <w:t xml:space="preserve"> </w:t>
            </w:r>
            <w:r w:rsidRPr="00150EDC">
              <w:rPr>
                <w:sz w:val="20"/>
              </w:rPr>
              <w:t>Contract</w:t>
            </w:r>
            <w:r w:rsidRPr="00150EDC">
              <w:rPr>
                <w:spacing w:val="-6"/>
                <w:sz w:val="20"/>
              </w:rPr>
              <w:t xml:space="preserve"> </w:t>
            </w:r>
            <w:r w:rsidRPr="00150EDC">
              <w:rPr>
                <w:sz w:val="20"/>
              </w:rPr>
              <w:t>detailed</w:t>
            </w:r>
            <w:r w:rsidRPr="00150EDC">
              <w:rPr>
                <w:spacing w:val="-6"/>
                <w:sz w:val="20"/>
              </w:rPr>
              <w:t xml:space="preserve"> </w:t>
            </w:r>
            <w:r w:rsidRPr="00150EDC">
              <w:rPr>
                <w:sz w:val="20"/>
              </w:rPr>
              <w:t>above</w:t>
            </w:r>
            <w:r w:rsidRPr="00150EDC">
              <w:rPr>
                <w:spacing w:val="-6"/>
                <w:sz w:val="20"/>
              </w:rPr>
              <w:t xml:space="preserve"> </w:t>
            </w:r>
            <w:r w:rsidRPr="00150EDC">
              <w:rPr>
                <w:sz w:val="20"/>
              </w:rPr>
              <w:t>is</w:t>
            </w:r>
            <w:r w:rsidRPr="00150EDC">
              <w:rPr>
                <w:spacing w:val="-4"/>
                <w:sz w:val="20"/>
              </w:rPr>
              <w:t xml:space="preserve"> </w:t>
            </w:r>
            <w:r w:rsidRPr="00150EDC">
              <w:rPr>
                <w:sz w:val="20"/>
              </w:rPr>
              <w:t>varied</w:t>
            </w:r>
            <w:r w:rsidRPr="00150EDC">
              <w:rPr>
                <w:spacing w:val="-6"/>
                <w:sz w:val="20"/>
              </w:rPr>
              <w:t xml:space="preserve"> </w:t>
            </w:r>
            <w:r w:rsidRPr="00150EDC">
              <w:rPr>
                <w:sz w:val="20"/>
              </w:rPr>
              <w:t>as</w:t>
            </w:r>
            <w:r w:rsidRPr="00150EDC">
              <w:rPr>
                <w:spacing w:val="-5"/>
                <w:sz w:val="20"/>
              </w:rPr>
              <w:t xml:space="preserve"> </w:t>
            </w:r>
            <w:r w:rsidRPr="00150EDC">
              <w:rPr>
                <w:spacing w:val="-2"/>
                <w:sz w:val="20"/>
              </w:rPr>
              <w:t>follows:</w:t>
            </w:r>
          </w:p>
          <w:p w14:paraId="6EB60F12" w14:textId="77777777" w:rsidR="004C7180" w:rsidRPr="00150EDC" w:rsidRDefault="00CF0754" w:rsidP="00B320C7">
            <w:pPr>
              <w:pStyle w:val="TableParagraph"/>
              <w:numPr>
                <w:ilvl w:val="0"/>
                <w:numId w:val="101"/>
              </w:numPr>
              <w:tabs>
                <w:tab w:val="left" w:pos="827"/>
              </w:tabs>
              <w:spacing w:before="125" w:line="235" w:lineRule="auto"/>
              <w:ind w:right="102"/>
              <w:rPr>
                <w:sz w:val="20"/>
              </w:rPr>
            </w:pPr>
            <w:r w:rsidRPr="007D3144">
              <w:rPr>
                <w:b/>
                <w:sz w:val="20"/>
                <w:shd w:val="clear" w:color="auto" w:fill="FFFF00"/>
              </w:rPr>
              <w:t>[Buyer</w:t>
            </w:r>
            <w:r w:rsidRPr="007D3144">
              <w:rPr>
                <w:b/>
                <w:spacing w:val="33"/>
                <w:sz w:val="20"/>
                <w:shd w:val="clear" w:color="auto" w:fill="FFFF00"/>
              </w:rPr>
              <w:t xml:space="preserve"> </w:t>
            </w:r>
            <w:r w:rsidRPr="007D3144">
              <w:rPr>
                <w:b/>
                <w:sz w:val="20"/>
                <w:shd w:val="clear" w:color="auto" w:fill="FFFF00"/>
              </w:rPr>
              <w:t>to</w:t>
            </w:r>
            <w:r w:rsidRPr="007D3144">
              <w:rPr>
                <w:b/>
                <w:spacing w:val="34"/>
                <w:sz w:val="20"/>
                <w:shd w:val="clear" w:color="auto" w:fill="FFFF00"/>
              </w:rPr>
              <w:t xml:space="preserve"> </w:t>
            </w:r>
            <w:r w:rsidRPr="007D3144">
              <w:rPr>
                <w:b/>
                <w:sz w:val="20"/>
                <w:shd w:val="clear" w:color="auto" w:fill="FFFF00"/>
              </w:rPr>
              <w:t>insert</w:t>
            </w:r>
            <w:r w:rsidRPr="007D3144">
              <w:rPr>
                <w:b/>
                <w:spacing w:val="37"/>
                <w:sz w:val="20"/>
                <w:shd w:val="clear" w:color="auto" w:fill="FFFF00"/>
              </w:rPr>
              <w:t xml:space="preserve"> </w:t>
            </w:r>
            <w:r w:rsidRPr="007D3144">
              <w:rPr>
                <w:sz w:val="20"/>
              </w:rPr>
              <w:t>original</w:t>
            </w:r>
            <w:r w:rsidRPr="007D3144">
              <w:rPr>
                <w:spacing w:val="35"/>
                <w:sz w:val="20"/>
              </w:rPr>
              <w:t xml:space="preserve"> </w:t>
            </w:r>
            <w:r w:rsidRPr="007D3144">
              <w:rPr>
                <w:sz w:val="20"/>
              </w:rPr>
              <w:t>Clauses</w:t>
            </w:r>
            <w:r w:rsidRPr="007D3144">
              <w:rPr>
                <w:spacing w:val="37"/>
                <w:sz w:val="20"/>
              </w:rPr>
              <w:t xml:space="preserve"> </w:t>
            </w:r>
            <w:r w:rsidRPr="007D3144">
              <w:rPr>
                <w:sz w:val="20"/>
              </w:rPr>
              <w:t>or</w:t>
            </w:r>
            <w:r w:rsidRPr="007D3144">
              <w:rPr>
                <w:spacing w:val="34"/>
                <w:sz w:val="20"/>
              </w:rPr>
              <w:t xml:space="preserve"> </w:t>
            </w:r>
            <w:r w:rsidRPr="007D3144">
              <w:rPr>
                <w:sz w:val="20"/>
              </w:rPr>
              <w:t>Paragraphs</w:t>
            </w:r>
            <w:r w:rsidRPr="007D3144">
              <w:rPr>
                <w:spacing w:val="35"/>
                <w:sz w:val="20"/>
              </w:rPr>
              <w:t xml:space="preserve"> </w:t>
            </w:r>
            <w:r w:rsidRPr="007D3144">
              <w:rPr>
                <w:sz w:val="20"/>
              </w:rPr>
              <w:t>to</w:t>
            </w:r>
            <w:r w:rsidRPr="007D3144">
              <w:rPr>
                <w:spacing w:val="35"/>
                <w:sz w:val="20"/>
              </w:rPr>
              <w:t xml:space="preserve"> </w:t>
            </w:r>
            <w:r w:rsidRPr="007D3144">
              <w:rPr>
                <w:sz w:val="20"/>
              </w:rPr>
              <w:t>be varied and the changed clause]</w:t>
            </w:r>
          </w:p>
        </w:tc>
      </w:tr>
      <w:tr w:rsidR="007D3144" w:rsidRPr="007D3144" w14:paraId="1EAFE497" w14:textId="77777777">
        <w:trPr>
          <w:trHeight w:val="350"/>
        </w:trPr>
        <w:tc>
          <w:tcPr>
            <w:tcW w:w="2938" w:type="dxa"/>
            <w:vMerge w:val="restart"/>
          </w:tcPr>
          <w:p w14:paraId="46D2CF4C" w14:textId="77777777" w:rsidR="004C7180" w:rsidRPr="00150EDC" w:rsidRDefault="00CF0754">
            <w:pPr>
              <w:pStyle w:val="TableParagraph"/>
              <w:spacing w:before="0" w:line="229" w:lineRule="exact"/>
              <w:ind w:left="74"/>
              <w:rPr>
                <w:sz w:val="20"/>
              </w:rPr>
            </w:pPr>
            <w:r w:rsidRPr="00150EDC">
              <w:rPr>
                <w:sz w:val="20"/>
              </w:rPr>
              <w:t>Financial</w:t>
            </w:r>
            <w:r w:rsidRPr="00150EDC">
              <w:rPr>
                <w:spacing w:val="-14"/>
                <w:sz w:val="20"/>
              </w:rPr>
              <w:t xml:space="preserve"> </w:t>
            </w:r>
            <w:r w:rsidRPr="00150EDC">
              <w:rPr>
                <w:spacing w:val="-2"/>
                <w:sz w:val="20"/>
              </w:rPr>
              <w:t>variation:</w:t>
            </w:r>
          </w:p>
        </w:tc>
        <w:tc>
          <w:tcPr>
            <w:tcW w:w="3022" w:type="dxa"/>
          </w:tcPr>
          <w:p w14:paraId="20676AAE" w14:textId="77777777" w:rsidR="004C7180" w:rsidRPr="00150EDC" w:rsidRDefault="00CF0754">
            <w:pPr>
              <w:pStyle w:val="TableParagraph"/>
              <w:spacing w:before="0" w:line="229" w:lineRule="exact"/>
              <w:ind w:left="-35"/>
              <w:rPr>
                <w:sz w:val="20"/>
              </w:rPr>
            </w:pPr>
            <w:r w:rsidRPr="00150EDC">
              <w:rPr>
                <w:sz w:val="20"/>
              </w:rPr>
              <w:t>Original</w:t>
            </w:r>
            <w:r w:rsidRPr="00150EDC">
              <w:rPr>
                <w:spacing w:val="-11"/>
                <w:sz w:val="20"/>
              </w:rPr>
              <w:t xml:space="preserve"> </w:t>
            </w:r>
            <w:r w:rsidRPr="00150EDC">
              <w:rPr>
                <w:sz w:val="20"/>
              </w:rPr>
              <w:t>Contract</w:t>
            </w:r>
            <w:r w:rsidRPr="00150EDC">
              <w:rPr>
                <w:spacing w:val="-9"/>
                <w:sz w:val="20"/>
              </w:rPr>
              <w:t xml:space="preserve"> </w:t>
            </w:r>
            <w:r w:rsidRPr="00150EDC">
              <w:rPr>
                <w:spacing w:val="-2"/>
                <w:sz w:val="20"/>
              </w:rPr>
              <w:t>Value:</w:t>
            </w:r>
          </w:p>
        </w:tc>
        <w:tc>
          <w:tcPr>
            <w:tcW w:w="3024" w:type="dxa"/>
          </w:tcPr>
          <w:p w14:paraId="3A746768" w14:textId="77777777" w:rsidR="004C7180" w:rsidRPr="00150EDC" w:rsidRDefault="00CF0754">
            <w:pPr>
              <w:pStyle w:val="TableParagraph"/>
              <w:spacing w:before="0" w:line="229" w:lineRule="exact"/>
              <w:ind w:left="-35"/>
              <w:rPr>
                <w:sz w:val="20"/>
              </w:rPr>
            </w:pPr>
            <w:r w:rsidRPr="00150EDC">
              <w:rPr>
                <w:sz w:val="20"/>
              </w:rPr>
              <w:t>£</w:t>
            </w:r>
            <w:r w:rsidRPr="00150EDC">
              <w:rPr>
                <w:spacing w:val="-7"/>
                <w:sz w:val="20"/>
              </w:rPr>
              <w:t xml:space="preserve"> </w:t>
            </w:r>
            <w:r w:rsidRPr="007D3144">
              <w:rPr>
                <w:b/>
                <w:sz w:val="20"/>
                <w:shd w:val="clear" w:color="auto" w:fill="FFFF00"/>
              </w:rPr>
              <w:t>[insert</w:t>
            </w:r>
            <w:r w:rsidRPr="007D3144">
              <w:rPr>
                <w:b/>
                <w:spacing w:val="-4"/>
                <w:sz w:val="20"/>
                <w:shd w:val="clear" w:color="auto" w:fill="FFFF00"/>
              </w:rPr>
              <w:t xml:space="preserve"> </w:t>
            </w:r>
            <w:r w:rsidRPr="007D3144">
              <w:rPr>
                <w:spacing w:val="-2"/>
                <w:sz w:val="20"/>
              </w:rPr>
              <w:t>amount]</w:t>
            </w:r>
          </w:p>
        </w:tc>
      </w:tr>
      <w:tr w:rsidR="007D3144" w:rsidRPr="007D3144" w14:paraId="6BCBA795" w14:textId="77777777">
        <w:trPr>
          <w:trHeight w:val="350"/>
        </w:trPr>
        <w:tc>
          <w:tcPr>
            <w:tcW w:w="2938" w:type="dxa"/>
            <w:vMerge/>
            <w:tcBorders>
              <w:top w:val="nil"/>
            </w:tcBorders>
          </w:tcPr>
          <w:p w14:paraId="5CE1263B" w14:textId="77777777" w:rsidR="004C7180" w:rsidRPr="007D3144" w:rsidRDefault="004C7180">
            <w:pPr>
              <w:rPr>
                <w:sz w:val="2"/>
                <w:szCs w:val="2"/>
              </w:rPr>
            </w:pPr>
          </w:p>
        </w:tc>
        <w:tc>
          <w:tcPr>
            <w:tcW w:w="3022" w:type="dxa"/>
          </w:tcPr>
          <w:p w14:paraId="44849A2C" w14:textId="77777777" w:rsidR="004C7180" w:rsidRPr="00150EDC" w:rsidRDefault="00CF0754">
            <w:pPr>
              <w:pStyle w:val="TableParagraph"/>
              <w:spacing w:before="0" w:line="229" w:lineRule="exact"/>
              <w:ind w:left="-35"/>
              <w:rPr>
                <w:sz w:val="20"/>
              </w:rPr>
            </w:pPr>
            <w:r w:rsidRPr="00150EDC">
              <w:rPr>
                <w:sz w:val="20"/>
              </w:rPr>
              <w:t>Additional</w:t>
            </w:r>
            <w:r w:rsidRPr="00150EDC">
              <w:rPr>
                <w:spacing w:val="-8"/>
                <w:sz w:val="20"/>
              </w:rPr>
              <w:t xml:space="preserve"> </w:t>
            </w:r>
            <w:r w:rsidRPr="00150EDC">
              <w:rPr>
                <w:sz w:val="20"/>
              </w:rPr>
              <w:t>cost</w:t>
            </w:r>
            <w:r w:rsidRPr="00150EDC">
              <w:rPr>
                <w:spacing w:val="-4"/>
                <w:sz w:val="20"/>
              </w:rPr>
              <w:t xml:space="preserve"> </w:t>
            </w:r>
            <w:r w:rsidRPr="00150EDC">
              <w:rPr>
                <w:sz w:val="20"/>
              </w:rPr>
              <w:t>due</w:t>
            </w:r>
            <w:r w:rsidRPr="00150EDC">
              <w:rPr>
                <w:spacing w:val="-5"/>
                <w:sz w:val="20"/>
              </w:rPr>
              <w:t xml:space="preserve"> </w:t>
            </w:r>
            <w:r w:rsidRPr="00150EDC">
              <w:rPr>
                <w:sz w:val="20"/>
              </w:rPr>
              <w:t>to</w:t>
            </w:r>
            <w:r w:rsidRPr="00150EDC">
              <w:rPr>
                <w:spacing w:val="-6"/>
                <w:sz w:val="20"/>
              </w:rPr>
              <w:t xml:space="preserve"> </w:t>
            </w:r>
            <w:r w:rsidRPr="00150EDC">
              <w:rPr>
                <w:spacing w:val="-2"/>
                <w:sz w:val="20"/>
              </w:rPr>
              <w:t>variation:</w:t>
            </w:r>
          </w:p>
        </w:tc>
        <w:tc>
          <w:tcPr>
            <w:tcW w:w="3024" w:type="dxa"/>
          </w:tcPr>
          <w:p w14:paraId="2E1B63AD" w14:textId="77777777" w:rsidR="004C7180" w:rsidRPr="00150EDC" w:rsidRDefault="00CF0754">
            <w:pPr>
              <w:pStyle w:val="TableParagraph"/>
              <w:spacing w:before="0" w:line="229" w:lineRule="exact"/>
              <w:ind w:left="-35"/>
              <w:rPr>
                <w:sz w:val="20"/>
              </w:rPr>
            </w:pPr>
            <w:r w:rsidRPr="00150EDC">
              <w:rPr>
                <w:sz w:val="20"/>
              </w:rPr>
              <w:t>£</w:t>
            </w:r>
            <w:r w:rsidRPr="00150EDC">
              <w:rPr>
                <w:spacing w:val="-7"/>
                <w:sz w:val="20"/>
              </w:rPr>
              <w:t xml:space="preserve"> </w:t>
            </w:r>
            <w:r w:rsidRPr="007D3144">
              <w:rPr>
                <w:b/>
                <w:sz w:val="20"/>
                <w:shd w:val="clear" w:color="auto" w:fill="FFFF00"/>
              </w:rPr>
              <w:t>[insert</w:t>
            </w:r>
            <w:r w:rsidRPr="007D3144">
              <w:rPr>
                <w:b/>
                <w:spacing w:val="-4"/>
                <w:sz w:val="20"/>
                <w:shd w:val="clear" w:color="auto" w:fill="FFFF00"/>
              </w:rPr>
              <w:t xml:space="preserve"> </w:t>
            </w:r>
            <w:r w:rsidRPr="007D3144">
              <w:rPr>
                <w:spacing w:val="-2"/>
                <w:sz w:val="20"/>
              </w:rPr>
              <w:t>amount]</w:t>
            </w:r>
          </w:p>
        </w:tc>
      </w:tr>
      <w:tr w:rsidR="007D3144" w:rsidRPr="007D3144" w14:paraId="73ED174A" w14:textId="77777777">
        <w:trPr>
          <w:trHeight w:val="350"/>
        </w:trPr>
        <w:tc>
          <w:tcPr>
            <w:tcW w:w="2938" w:type="dxa"/>
            <w:vMerge/>
            <w:tcBorders>
              <w:top w:val="nil"/>
            </w:tcBorders>
          </w:tcPr>
          <w:p w14:paraId="7EE8E0C2" w14:textId="77777777" w:rsidR="004C7180" w:rsidRPr="007D3144" w:rsidRDefault="004C7180">
            <w:pPr>
              <w:rPr>
                <w:sz w:val="2"/>
                <w:szCs w:val="2"/>
              </w:rPr>
            </w:pPr>
          </w:p>
        </w:tc>
        <w:tc>
          <w:tcPr>
            <w:tcW w:w="3022" w:type="dxa"/>
          </w:tcPr>
          <w:p w14:paraId="47036664" w14:textId="77777777" w:rsidR="004C7180" w:rsidRPr="00150EDC" w:rsidRDefault="00CF0754">
            <w:pPr>
              <w:pStyle w:val="TableParagraph"/>
              <w:spacing w:before="0" w:line="229" w:lineRule="exact"/>
              <w:ind w:left="-35"/>
              <w:rPr>
                <w:sz w:val="20"/>
              </w:rPr>
            </w:pPr>
            <w:r w:rsidRPr="00150EDC">
              <w:rPr>
                <w:sz w:val="20"/>
              </w:rPr>
              <w:t>New</w:t>
            </w:r>
            <w:r w:rsidRPr="00150EDC">
              <w:rPr>
                <w:spacing w:val="-8"/>
                <w:sz w:val="20"/>
              </w:rPr>
              <w:t xml:space="preserve"> </w:t>
            </w:r>
            <w:r w:rsidRPr="00150EDC">
              <w:rPr>
                <w:sz w:val="20"/>
              </w:rPr>
              <w:t>Contract</w:t>
            </w:r>
            <w:r w:rsidRPr="00150EDC">
              <w:rPr>
                <w:spacing w:val="-7"/>
                <w:sz w:val="20"/>
              </w:rPr>
              <w:t xml:space="preserve"> </w:t>
            </w:r>
            <w:r w:rsidRPr="00150EDC">
              <w:rPr>
                <w:spacing w:val="-2"/>
                <w:sz w:val="20"/>
              </w:rPr>
              <w:t>value:</w:t>
            </w:r>
          </w:p>
        </w:tc>
        <w:tc>
          <w:tcPr>
            <w:tcW w:w="3024" w:type="dxa"/>
          </w:tcPr>
          <w:p w14:paraId="687BE42A" w14:textId="77777777" w:rsidR="004C7180" w:rsidRPr="00150EDC" w:rsidRDefault="00CF0754">
            <w:pPr>
              <w:pStyle w:val="TableParagraph"/>
              <w:spacing w:before="0" w:line="229" w:lineRule="exact"/>
              <w:ind w:left="-35"/>
              <w:rPr>
                <w:sz w:val="20"/>
              </w:rPr>
            </w:pPr>
            <w:r w:rsidRPr="00150EDC">
              <w:rPr>
                <w:sz w:val="20"/>
              </w:rPr>
              <w:t>£</w:t>
            </w:r>
            <w:r w:rsidRPr="00150EDC">
              <w:rPr>
                <w:spacing w:val="-7"/>
                <w:sz w:val="20"/>
              </w:rPr>
              <w:t xml:space="preserve"> </w:t>
            </w:r>
            <w:r w:rsidRPr="007D3144">
              <w:rPr>
                <w:b/>
                <w:sz w:val="20"/>
                <w:shd w:val="clear" w:color="auto" w:fill="FFFF00"/>
              </w:rPr>
              <w:t>[insert</w:t>
            </w:r>
            <w:r w:rsidRPr="007D3144">
              <w:rPr>
                <w:b/>
                <w:spacing w:val="-4"/>
                <w:sz w:val="20"/>
                <w:shd w:val="clear" w:color="auto" w:fill="FFFF00"/>
              </w:rPr>
              <w:t xml:space="preserve"> </w:t>
            </w:r>
            <w:r w:rsidRPr="007D3144">
              <w:rPr>
                <w:spacing w:val="-2"/>
                <w:sz w:val="20"/>
              </w:rPr>
              <w:t>amount]</w:t>
            </w:r>
          </w:p>
        </w:tc>
      </w:tr>
    </w:tbl>
    <w:p w14:paraId="69A371A2" w14:textId="77777777" w:rsidR="004C7180" w:rsidRPr="00150EDC" w:rsidRDefault="004C7180">
      <w:pPr>
        <w:pStyle w:val="BodyText"/>
        <w:rPr>
          <w:sz w:val="21"/>
        </w:rPr>
      </w:pPr>
    </w:p>
    <w:p w14:paraId="3E4B4884" w14:textId="77777777" w:rsidR="004C7180" w:rsidRPr="00150EDC" w:rsidRDefault="00CF0754" w:rsidP="00B320C7">
      <w:pPr>
        <w:pStyle w:val="ListParagraph"/>
        <w:numPr>
          <w:ilvl w:val="0"/>
          <w:numId w:val="102"/>
        </w:numPr>
        <w:tabs>
          <w:tab w:val="left" w:pos="1966"/>
        </w:tabs>
        <w:ind w:right="1440"/>
        <w:rPr>
          <w:b/>
          <w:sz w:val="20"/>
        </w:rPr>
      </w:pPr>
      <w:r w:rsidRPr="00150EDC">
        <w:rPr>
          <w:sz w:val="20"/>
        </w:rPr>
        <w:t>This</w:t>
      </w:r>
      <w:r w:rsidRPr="00150EDC">
        <w:rPr>
          <w:spacing w:val="26"/>
          <w:sz w:val="20"/>
        </w:rPr>
        <w:t xml:space="preserve"> </w:t>
      </w:r>
      <w:r w:rsidRPr="00150EDC">
        <w:rPr>
          <w:sz w:val="20"/>
        </w:rPr>
        <w:t>Variation</w:t>
      </w:r>
      <w:r w:rsidRPr="00150EDC">
        <w:rPr>
          <w:spacing w:val="24"/>
          <w:sz w:val="20"/>
        </w:rPr>
        <w:t xml:space="preserve"> </w:t>
      </w:r>
      <w:r w:rsidRPr="00150EDC">
        <w:rPr>
          <w:sz w:val="20"/>
        </w:rPr>
        <w:t>must</w:t>
      </w:r>
      <w:r w:rsidRPr="00150EDC">
        <w:rPr>
          <w:spacing w:val="24"/>
          <w:sz w:val="20"/>
        </w:rPr>
        <w:t xml:space="preserve"> </w:t>
      </w:r>
      <w:r w:rsidRPr="00150EDC">
        <w:rPr>
          <w:sz w:val="20"/>
        </w:rPr>
        <w:t>be</w:t>
      </w:r>
      <w:r w:rsidRPr="00150EDC">
        <w:rPr>
          <w:spacing w:val="24"/>
          <w:sz w:val="20"/>
        </w:rPr>
        <w:t xml:space="preserve"> </w:t>
      </w:r>
      <w:r w:rsidRPr="00150EDC">
        <w:rPr>
          <w:sz w:val="20"/>
        </w:rPr>
        <w:t>agreed</w:t>
      </w:r>
      <w:r w:rsidRPr="00150EDC">
        <w:rPr>
          <w:spacing w:val="24"/>
          <w:sz w:val="20"/>
        </w:rPr>
        <w:t xml:space="preserve"> </w:t>
      </w:r>
      <w:r w:rsidRPr="00150EDC">
        <w:rPr>
          <w:sz w:val="20"/>
        </w:rPr>
        <w:t>and</w:t>
      </w:r>
      <w:r w:rsidRPr="00150EDC">
        <w:rPr>
          <w:spacing w:val="24"/>
          <w:sz w:val="20"/>
        </w:rPr>
        <w:t xml:space="preserve"> </w:t>
      </w:r>
      <w:r w:rsidRPr="00150EDC">
        <w:rPr>
          <w:sz w:val="20"/>
        </w:rPr>
        <w:t>signed</w:t>
      </w:r>
      <w:r w:rsidRPr="00150EDC">
        <w:rPr>
          <w:spacing w:val="24"/>
          <w:sz w:val="20"/>
        </w:rPr>
        <w:t xml:space="preserve"> </w:t>
      </w:r>
      <w:r w:rsidRPr="00150EDC">
        <w:rPr>
          <w:sz w:val="20"/>
        </w:rPr>
        <w:t>by</w:t>
      </w:r>
      <w:r w:rsidRPr="00150EDC">
        <w:rPr>
          <w:spacing w:val="26"/>
          <w:sz w:val="20"/>
        </w:rPr>
        <w:t xml:space="preserve"> </w:t>
      </w:r>
      <w:r w:rsidRPr="00150EDC">
        <w:rPr>
          <w:sz w:val="20"/>
        </w:rPr>
        <w:t>both</w:t>
      </w:r>
      <w:r w:rsidRPr="00150EDC">
        <w:rPr>
          <w:spacing w:val="24"/>
          <w:sz w:val="20"/>
        </w:rPr>
        <w:t xml:space="preserve"> </w:t>
      </w:r>
      <w:r w:rsidRPr="00150EDC">
        <w:rPr>
          <w:sz w:val="20"/>
        </w:rPr>
        <w:t>Parties</w:t>
      </w:r>
      <w:r w:rsidRPr="00150EDC">
        <w:rPr>
          <w:spacing w:val="26"/>
          <w:sz w:val="20"/>
        </w:rPr>
        <w:t xml:space="preserve"> </w:t>
      </w:r>
      <w:r w:rsidRPr="00150EDC">
        <w:rPr>
          <w:sz w:val="20"/>
        </w:rPr>
        <w:t>to</w:t>
      </w:r>
      <w:r w:rsidRPr="00150EDC">
        <w:rPr>
          <w:spacing w:val="24"/>
          <w:sz w:val="20"/>
        </w:rPr>
        <w:t xml:space="preserve"> </w:t>
      </w:r>
      <w:r w:rsidRPr="00150EDC">
        <w:rPr>
          <w:sz w:val="20"/>
        </w:rPr>
        <w:t>the</w:t>
      </w:r>
      <w:r w:rsidRPr="00150EDC">
        <w:rPr>
          <w:spacing w:val="24"/>
          <w:sz w:val="20"/>
        </w:rPr>
        <w:t xml:space="preserve"> </w:t>
      </w:r>
      <w:r w:rsidRPr="00150EDC">
        <w:rPr>
          <w:sz w:val="20"/>
        </w:rPr>
        <w:t>Contract</w:t>
      </w:r>
      <w:r w:rsidRPr="00150EDC">
        <w:rPr>
          <w:spacing w:val="24"/>
          <w:sz w:val="20"/>
        </w:rPr>
        <w:t xml:space="preserve"> </w:t>
      </w:r>
      <w:r w:rsidRPr="00150EDC">
        <w:rPr>
          <w:sz w:val="20"/>
        </w:rPr>
        <w:t>and</w:t>
      </w:r>
      <w:r w:rsidRPr="00150EDC">
        <w:rPr>
          <w:spacing w:val="26"/>
          <w:sz w:val="20"/>
        </w:rPr>
        <w:t xml:space="preserve"> </w:t>
      </w:r>
      <w:r w:rsidRPr="00150EDC">
        <w:rPr>
          <w:sz w:val="20"/>
        </w:rPr>
        <w:t>shall</w:t>
      </w:r>
      <w:r w:rsidRPr="00150EDC">
        <w:rPr>
          <w:spacing w:val="24"/>
          <w:sz w:val="20"/>
        </w:rPr>
        <w:t xml:space="preserve"> </w:t>
      </w:r>
      <w:r w:rsidRPr="00150EDC">
        <w:rPr>
          <w:sz w:val="20"/>
        </w:rPr>
        <w:t>only</w:t>
      </w:r>
      <w:r w:rsidRPr="00150EDC">
        <w:rPr>
          <w:spacing w:val="26"/>
          <w:sz w:val="20"/>
        </w:rPr>
        <w:t xml:space="preserve"> </w:t>
      </w:r>
      <w:r w:rsidRPr="00150EDC">
        <w:rPr>
          <w:sz w:val="20"/>
        </w:rPr>
        <w:t>be effective from the date it is signed by Buyer</w:t>
      </w:r>
    </w:p>
    <w:p w14:paraId="6929C2AC" w14:textId="77777777" w:rsidR="004C7180" w:rsidRPr="00150EDC" w:rsidRDefault="004C7180">
      <w:pPr>
        <w:pStyle w:val="BodyText"/>
        <w:spacing w:before="10"/>
        <w:rPr>
          <w:sz w:val="20"/>
        </w:rPr>
      </w:pPr>
    </w:p>
    <w:p w14:paraId="021E2EB5" w14:textId="77777777" w:rsidR="004C7180" w:rsidRPr="00150EDC" w:rsidRDefault="00CF0754" w:rsidP="00B320C7">
      <w:pPr>
        <w:pStyle w:val="ListParagraph"/>
        <w:numPr>
          <w:ilvl w:val="0"/>
          <w:numId w:val="102"/>
        </w:numPr>
        <w:tabs>
          <w:tab w:val="left" w:pos="1966"/>
        </w:tabs>
        <w:spacing w:before="1"/>
        <w:rPr>
          <w:sz w:val="20"/>
        </w:rPr>
      </w:pPr>
      <w:r w:rsidRPr="00150EDC">
        <w:rPr>
          <w:sz w:val="20"/>
        </w:rPr>
        <w:t>Words</w:t>
      </w:r>
      <w:r w:rsidRPr="00150EDC">
        <w:rPr>
          <w:spacing w:val="-6"/>
          <w:sz w:val="20"/>
        </w:rPr>
        <w:t xml:space="preserve"> </w:t>
      </w:r>
      <w:r w:rsidRPr="00150EDC">
        <w:rPr>
          <w:sz w:val="20"/>
        </w:rPr>
        <w:t>and</w:t>
      </w:r>
      <w:r w:rsidRPr="00150EDC">
        <w:rPr>
          <w:spacing w:val="-6"/>
          <w:sz w:val="20"/>
        </w:rPr>
        <w:t xml:space="preserve"> </w:t>
      </w:r>
      <w:r w:rsidRPr="00150EDC">
        <w:rPr>
          <w:sz w:val="20"/>
        </w:rPr>
        <w:t>expressions</w:t>
      </w:r>
      <w:r w:rsidRPr="00150EDC">
        <w:rPr>
          <w:spacing w:val="-3"/>
          <w:sz w:val="20"/>
        </w:rPr>
        <w:t xml:space="preserve"> </w:t>
      </w:r>
      <w:r w:rsidRPr="00150EDC">
        <w:rPr>
          <w:sz w:val="20"/>
        </w:rPr>
        <w:t>in</w:t>
      </w:r>
      <w:r w:rsidRPr="00150EDC">
        <w:rPr>
          <w:spacing w:val="-6"/>
          <w:sz w:val="20"/>
        </w:rPr>
        <w:t xml:space="preserve"> </w:t>
      </w:r>
      <w:r w:rsidRPr="00150EDC">
        <w:rPr>
          <w:sz w:val="20"/>
        </w:rPr>
        <w:t>this</w:t>
      </w:r>
      <w:r w:rsidRPr="00150EDC">
        <w:rPr>
          <w:spacing w:val="-5"/>
          <w:sz w:val="20"/>
        </w:rPr>
        <w:t xml:space="preserve"> </w:t>
      </w:r>
      <w:r w:rsidRPr="00150EDC">
        <w:rPr>
          <w:sz w:val="20"/>
        </w:rPr>
        <w:t>Variation</w:t>
      </w:r>
      <w:r w:rsidRPr="00150EDC">
        <w:rPr>
          <w:spacing w:val="-6"/>
          <w:sz w:val="20"/>
        </w:rPr>
        <w:t xml:space="preserve"> </w:t>
      </w:r>
      <w:r w:rsidRPr="00150EDC">
        <w:rPr>
          <w:sz w:val="20"/>
        </w:rPr>
        <w:t>shall</w:t>
      </w:r>
      <w:r w:rsidRPr="00150EDC">
        <w:rPr>
          <w:spacing w:val="-6"/>
          <w:sz w:val="20"/>
        </w:rPr>
        <w:t xml:space="preserve"> </w:t>
      </w:r>
      <w:r w:rsidRPr="00150EDC">
        <w:rPr>
          <w:sz w:val="20"/>
        </w:rPr>
        <w:t>have</w:t>
      </w:r>
      <w:r w:rsidRPr="00150EDC">
        <w:rPr>
          <w:spacing w:val="-6"/>
          <w:sz w:val="20"/>
        </w:rPr>
        <w:t xml:space="preserve"> </w:t>
      </w:r>
      <w:r w:rsidRPr="00150EDC">
        <w:rPr>
          <w:sz w:val="20"/>
        </w:rPr>
        <w:t>the</w:t>
      </w:r>
      <w:r w:rsidRPr="00150EDC">
        <w:rPr>
          <w:spacing w:val="-4"/>
          <w:sz w:val="20"/>
        </w:rPr>
        <w:t xml:space="preserve"> </w:t>
      </w:r>
      <w:r w:rsidRPr="00150EDC">
        <w:rPr>
          <w:sz w:val="20"/>
        </w:rPr>
        <w:t>meanings</w:t>
      </w:r>
      <w:r w:rsidRPr="00150EDC">
        <w:rPr>
          <w:spacing w:val="-6"/>
          <w:sz w:val="20"/>
        </w:rPr>
        <w:t xml:space="preserve"> </w:t>
      </w:r>
      <w:r w:rsidRPr="00150EDC">
        <w:rPr>
          <w:sz w:val="20"/>
        </w:rPr>
        <w:t>given</w:t>
      </w:r>
      <w:r w:rsidRPr="00150EDC">
        <w:rPr>
          <w:spacing w:val="-6"/>
          <w:sz w:val="20"/>
        </w:rPr>
        <w:t xml:space="preserve"> </w:t>
      </w:r>
      <w:r w:rsidRPr="00150EDC">
        <w:rPr>
          <w:sz w:val="20"/>
        </w:rPr>
        <w:t>to</w:t>
      </w:r>
      <w:r w:rsidRPr="00150EDC">
        <w:rPr>
          <w:spacing w:val="-4"/>
          <w:sz w:val="20"/>
        </w:rPr>
        <w:t xml:space="preserve"> </w:t>
      </w:r>
      <w:r w:rsidRPr="00150EDC">
        <w:rPr>
          <w:sz w:val="20"/>
        </w:rPr>
        <w:t>them</w:t>
      </w:r>
      <w:r w:rsidRPr="00150EDC">
        <w:rPr>
          <w:spacing w:val="-5"/>
          <w:sz w:val="20"/>
        </w:rPr>
        <w:t xml:space="preserve"> </w:t>
      </w:r>
      <w:r w:rsidRPr="00150EDC">
        <w:rPr>
          <w:sz w:val="20"/>
        </w:rPr>
        <w:t>in</w:t>
      </w:r>
      <w:r w:rsidRPr="00150EDC">
        <w:rPr>
          <w:spacing w:val="-6"/>
          <w:sz w:val="20"/>
        </w:rPr>
        <w:t xml:space="preserve"> </w:t>
      </w:r>
      <w:r w:rsidRPr="00150EDC">
        <w:rPr>
          <w:sz w:val="20"/>
        </w:rPr>
        <w:t>the</w:t>
      </w:r>
      <w:r w:rsidRPr="00150EDC">
        <w:rPr>
          <w:spacing w:val="-6"/>
          <w:sz w:val="20"/>
        </w:rPr>
        <w:t xml:space="preserve"> </w:t>
      </w:r>
      <w:r w:rsidRPr="00150EDC">
        <w:rPr>
          <w:spacing w:val="-2"/>
          <w:sz w:val="20"/>
        </w:rPr>
        <w:t>Contract.</w:t>
      </w:r>
    </w:p>
    <w:p w14:paraId="5AF290A5" w14:textId="77777777" w:rsidR="004C7180" w:rsidRPr="00150EDC" w:rsidRDefault="004C7180">
      <w:pPr>
        <w:pStyle w:val="BodyText"/>
        <w:spacing w:before="10"/>
        <w:rPr>
          <w:sz w:val="20"/>
        </w:rPr>
      </w:pPr>
    </w:p>
    <w:p w14:paraId="26A4014E" w14:textId="77777777" w:rsidR="004C7180" w:rsidRPr="00150EDC" w:rsidRDefault="00CF0754" w:rsidP="00B320C7">
      <w:pPr>
        <w:pStyle w:val="ListParagraph"/>
        <w:numPr>
          <w:ilvl w:val="0"/>
          <w:numId w:val="102"/>
        </w:numPr>
        <w:tabs>
          <w:tab w:val="left" w:pos="1966"/>
        </w:tabs>
        <w:spacing w:line="276" w:lineRule="auto"/>
        <w:ind w:right="1527"/>
        <w:rPr>
          <w:sz w:val="20"/>
        </w:rPr>
      </w:pPr>
      <w:r w:rsidRPr="00150EDC">
        <w:rPr>
          <w:sz w:val="20"/>
        </w:rPr>
        <w:t>The</w:t>
      </w:r>
      <w:r w:rsidRPr="00150EDC">
        <w:rPr>
          <w:spacing w:val="-4"/>
          <w:sz w:val="20"/>
        </w:rPr>
        <w:t xml:space="preserve"> </w:t>
      </w:r>
      <w:r w:rsidRPr="00150EDC">
        <w:rPr>
          <w:sz w:val="20"/>
        </w:rPr>
        <w:t>Contract,</w:t>
      </w:r>
      <w:r w:rsidRPr="00150EDC">
        <w:rPr>
          <w:spacing w:val="-2"/>
          <w:sz w:val="20"/>
        </w:rPr>
        <w:t xml:space="preserve"> </w:t>
      </w:r>
      <w:r w:rsidRPr="00150EDC">
        <w:rPr>
          <w:sz w:val="20"/>
        </w:rPr>
        <w:t>including</w:t>
      </w:r>
      <w:r w:rsidRPr="00150EDC">
        <w:rPr>
          <w:spacing w:val="-3"/>
          <w:sz w:val="20"/>
        </w:rPr>
        <w:t xml:space="preserve"> </w:t>
      </w:r>
      <w:r w:rsidRPr="00150EDC">
        <w:rPr>
          <w:sz w:val="20"/>
        </w:rPr>
        <w:t>any</w:t>
      </w:r>
      <w:r w:rsidRPr="00150EDC">
        <w:rPr>
          <w:spacing w:val="-1"/>
          <w:sz w:val="20"/>
        </w:rPr>
        <w:t xml:space="preserve"> </w:t>
      </w:r>
      <w:r w:rsidRPr="00150EDC">
        <w:rPr>
          <w:sz w:val="20"/>
        </w:rPr>
        <w:t>previous</w:t>
      </w:r>
      <w:r w:rsidRPr="00150EDC">
        <w:rPr>
          <w:spacing w:val="-1"/>
          <w:sz w:val="20"/>
        </w:rPr>
        <w:t xml:space="preserve"> </w:t>
      </w:r>
      <w:r w:rsidRPr="00150EDC">
        <w:rPr>
          <w:sz w:val="20"/>
        </w:rPr>
        <w:t>Variations,</w:t>
      </w:r>
      <w:r w:rsidRPr="00150EDC">
        <w:rPr>
          <w:spacing w:val="-4"/>
          <w:sz w:val="20"/>
        </w:rPr>
        <w:t xml:space="preserve"> </w:t>
      </w:r>
      <w:r w:rsidRPr="00150EDC">
        <w:rPr>
          <w:sz w:val="20"/>
        </w:rPr>
        <w:t>shall</w:t>
      </w:r>
      <w:r w:rsidRPr="00150EDC">
        <w:rPr>
          <w:spacing w:val="-5"/>
          <w:sz w:val="20"/>
        </w:rPr>
        <w:t xml:space="preserve"> </w:t>
      </w:r>
      <w:r w:rsidRPr="00150EDC">
        <w:rPr>
          <w:sz w:val="20"/>
        </w:rPr>
        <w:t>remain</w:t>
      </w:r>
      <w:r w:rsidRPr="00150EDC">
        <w:rPr>
          <w:spacing w:val="-4"/>
          <w:sz w:val="20"/>
        </w:rPr>
        <w:t xml:space="preserve"> </w:t>
      </w:r>
      <w:r w:rsidRPr="00150EDC">
        <w:rPr>
          <w:sz w:val="20"/>
        </w:rPr>
        <w:t>effective</w:t>
      </w:r>
      <w:r w:rsidRPr="00150EDC">
        <w:rPr>
          <w:spacing w:val="-4"/>
          <w:sz w:val="20"/>
        </w:rPr>
        <w:t xml:space="preserve"> </w:t>
      </w:r>
      <w:r w:rsidRPr="00150EDC">
        <w:rPr>
          <w:sz w:val="20"/>
        </w:rPr>
        <w:t>and</w:t>
      </w:r>
      <w:r w:rsidRPr="00150EDC">
        <w:rPr>
          <w:spacing w:val="-4"/>
          <w:sz w:val="20"/>
        </w:rPr>
        <w:t xml:space="preserve"> </w:t>
      </w:r>
      <w:r w:rsidRPr="00150EDC">
        <w:rPr>
          <w:sz w:val="20"/>
        </w:rPr>
        <w:t>unaltered</w:t>
      </w:r>
      <w:r w:rsidRPr="00150EDC">
        <w:rPr>
          <w:spacing w:val="-4"/>
          <w:sz w:val="20"/>
        </w:rPr>
        <w:t xml:space="preserve"> </w:t>
      </w:r>
      <w:r w:rsidRPr="00150EDC">
        <w:rPr>
          <w:sz w:val="20"/>
        </w:rPr>
        <w:t>except</w:t>
      </w:r>
      <w:r w:rsidRPr="00150EDC">
        <w:rPr>
          <w:spacing w:val="-2"/>
          <w:sz w:val="20"/>
        </w:rPr>
        <w:t xml:space="preserve"> </w:t>
      </w:r>
      <w:r w:rsidRPr="00150EDC">
        <w:rPr>
          <w:sz w:val="20"/>
        </w:rPr>
        <w:t>as amended by this Variation.</w:t>
      </w:r>
    </w:p>
    <w:p w14:paraId="7CD2E560" w14:textId="77777777" w:rsidR="004C7180" w:rsidRPr="00150EDC" w:rsidRDefault="004C7180">
      <w:pPr>
        <w:spacing w:line="276" w:lineRule="auto"/>
        <w:rPr>
          <w:sz w:val="20"/>
        </w:rPr>
        <w:sectPr w:rsidR="004C7180" w:rsidRPr="00150EDC">
          <w:headerReference w:type="default" r:id="rId24"/>
          <w:footerReference w:type="default" r:id="rId25"/>
          <w:pgSz w:w="11910" w:h="16840"/>
          <w:pgMar w:top="1160" w:right="0" w:bottom="1380" w:left="40" w:header="715" w:footer="1192" w:gutter="0"/>
          <w:cols w:space="720"/>
        </w:sectPr>
      </w:pPr>
    </w:p>
    <w:p w14:paraId="41B67E20" w14:textId="77777777" w:rsidR="004C7180" w:rsidRPr="00150EDC" w:rsidRDefault="00CF0754">
      <w:pPr>
        <w:pStyle w:val="BodyText"/>
        <w:spacing w:before="6"/>
        <w:rPr>
          <w:sz w:val="15"/>
        </w:rPr>
      </w:pPr>
      <w:r w:rsidRPr="00150EDC">
        <w:rPr>
          <w:noProof/>
          <w:lang w:val="en-GB" w:eastAsia="en-GB"/>
        </w:rPr>
        <w:lastRenderedPageBreak/>
        <mc:AlternateContent>
          <mc:Choice Requires="wps">
            <w:drawing>
              <wp:anchor distT="0" distB="0" distL="0" distR="0" simplePos="0" relativeHeight="251658243" behindDoc="0" locked="0" layoutInCell="1" allowOverlap="1" wp14:anchorId="0E9FCC80" wp14:editId="237504CC">
                <wp:simplePos x="0" y="0"/>
                <wp:positionH relativeFrom="page">
                  <wp:posOffset>2243327</wp:posOffset>
                </wp:positionH>
                <wp:positionV relativeFrom="page">
                  <wp:posOffset>3183635</wp:posOffset>
                </wp:positionV>
                <wp:extent cx="3797935" cy="1270"/>
                <wp:effectExtent l="0" t="0" r="0" b="0"/>
                <wp:wrapNone/>
                <wp:docPr id="13" name="Free-form: 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97935" cy="1270"/>
                        </a:xfrm>
                        <a:custGeom>
                          <a:avLst/>
                          <a:gdLst/>
                          <a:ahLst/>
                          <a:cxnLst/>
                          <a:rect l="l" t="t" r="r" b="b"/>
                          <a:pathLst>
                            <a:path w="3797935">
                              <a:moveTo>
                                <a:pt x="0" y="0"/>
                              </a:moveTo>
                              <a:lnTo>
                                <a:pt x="3797808" y="0"/>
                              </a:lnTo>
                            </a:path>
                          </a:pathLst>
                        </a:custGeom>
                        <a:ln w="6096">
                          <a:solidFill>
                            <a:srgbClr val="000000"/>
                          </a:solidFill>
                          <a:prstDash val="dot"/>
                        </a:ln>
                      </wps:spPr>
                      <wps:bodyPr wrap="square" lIns="0" tIns="0" rIns="0" bIns="0" rtlCol="0">
                        <a:prstTxWarp prst="textNoShape">
                          <a:avLst/>
                        </a:prstTxWarp>
                        <a:noAutofit/>
                      </wps:bodyPr>
                    </wps:wsp>
                  </a:graphicData>
                </a:graphic>
              </wp:anchor>
            </w:drawing>
          </mc:Choice>
          <mc:Fallback>
            <w:pict>
              <v:shape w14:anchorId="5EEE5AAE" id="Free-form: Shape 13" o:spid="_x0000_s1026" style="position:absolute;margin-left:176.65pt;margin-top:250.7pt;width:299.05pt;height:.1pt;z-index:251658243;visibility:visible;mso-wrap-style:square;mso-wrap-distance-left:0;mso-wrap-distance-top:0;mso-wrap-distance-right:0;mso-wrap-distance-bottom:0;mso-position-horizontal:absolute;mso-position-horizontal-relative:page;mso-position-vertical:absolute;mso-position-vertical-relative:page;v-text-anchor:top" coordsize="37979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" path="m,l3797808,e" filled="f" strokeweight=".48pt">
                <v:stroke dashstyle="dot"/>
                <v:path arrowok="t"/>
                <w10:wrap anchorx="page" anchory="page"/>
              </v:shape>
            </w:pict>
          </mc:Fallback>
        </mc:AlternateContent>
      </w:r>
      <w:r w:rsidRPr="00150EDC">
        <w:rPr>
          <w:noProof/>
          <w:lang w:val="en-GB" w:eastAsia="en-GB"/>
        </w:rPr>
        <mc:AlternateContent>
          <mc:Choice Requires="wps">
            <w:drawing>
              <wp:anchor distT="0" distB="0" distL="0" distR="0" simplePos="0" relativeHeight="251658244" behindDoc="0" locked="0" layoutInCell="1" allowOverlap="1" wp14:anchorId="5B45C5B9" wp14:editId="1EBF2C37">
                <wp:simplePos x="0" y="0"/>
                <wp:positionH relativeFrom="page">
                  <wp:posOffset>2243327</wp:posOffset>
                </wp:positionH>
                <wp:positionV relativeFrom="page">
                  <wp:posOffset>3488435</wp:posOffset>
                </wp:positionV>
                <wp:extent cx="3797935" cy="1270"/>
                <wp:effectExtent l="0" t="0" r="0" b="0"/>
                <wp:wrapNone/>
                <wp:docPr id="14" name="Free-form: 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97935" cy="1270"/>
                        </a:xfrm>
                        <a:custGeom>
                          <a:avLst/>
                          <a:gdLst/>
                          <a:ahLst/>
                          <a:cxnLst/>
                          <a:rect l="l" t="t" r="r" b="b"/>
                          <a:pathLst>
                            <a:path w="3797935">
                              <a:moveTo>
                                <a:pt x="0" y="0"/>
                              </a:moveTo>
                              <a:lnTo>
                                <a:pt x="3797808" y="0"/>
                              </a:lnTo>
                            </a:path>
                          </a:pathLst>
                        </a:custGeom>
                        <a:ln w="6096">
                          <a:solidFill>
                            <a:srgbClr val="000000"/>
                          </a:solidFill>
                          <a:prstDash val="dot"/>
                        </a:ln>
                      </wps:spPr>
                      <wps:bodyPr wrap="square" lIns="0" tIns="0" rIns="0" bIns="0" rtlCol="0">
                        <a:prstTxWarp prst="textNoShape">
                          <a:avLst/>
                        </a:prstTxWarp>
                        <a:noAutofit/>
                      </wps:bodyPr>
                    </wps:wsp>
                  </a:graphicData>
                </a:graphic>
              </wp:anchor>
            </w:drawing>
          </mc:Choice>
          <mc:Fallback>
            <w:pict>
              <v:shape w14:anchorId="0D008F03" id="Free-form: Shape 14" o:spid="_x0000_s1026" style="position:absolute;margin-left:176.65pt;margin-top:274.7pt;width:299.05pt;height:.1pt;z-index:251658244;visibility:visible;mso-wrap-style:square;mso-wrap-distance-left:0;mso-wrap-distance-top:0;mso-wrap-distance-right:0;mso-wrap-distance-bottom:0;mso-position-horizontal:absolute;mso-position-horizontal-relative:page;mso-position-vertical:absolute;mso-position-vertical-relative:page;v-text-anchor:top" coordsize="37979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" path="m,l3797808,e" filled="f" strokeweight=".48pt">
                <v:stroke dashstyle="dot"/>
                <v:path arrowok="t"/>
                <w10:wrap anchorx="page" anchory="page"/>
              </v:shape>
            </w:pict>
          </mc:Fallback>
        </mc:AlternateContent>
      </w:r>
      <w:r w:rsidRPr="00150EDC">
        <w:rPr>
          <w:noProof/>
          <w:lang w:val="en-GB" w:eastAsia="en-GB"/>
        </w:rPr>
        <mc:AlternateContent>
          <mc:Choice Requires="wps">
            <w:drawing>
              <wp:anchor distT="0" distB="0" distL="0" distR="0" simplePos="0" relativeHeight="251658245" behindDoc="0" locked="0" layoutInCell="1" allowOverlap="1" wp14:anchorId="271003F0" wp14:editId="2C73CC61">
                <wp:simplePos x="0" y="0"/>
                <wp:positionH relativeFrom="page">
                  <wp:posOffset>2243327</wp:posOffset>
                </wp:positionH>
                <wp:positionV relativeFrom="page">
                  <wp:posOffset>3793235</wp:posOffset>
                </wp:positionV>
                <wp:extent cx="3797935" cy="1270"/>
                <wp:effectExtent l="0" t="0" r="0" b="0"/>
                <wp:wrapNone/>
                <wp:docPr id="15" name="Free-form: 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97935" cy="1270"/>
                        </a:xfrm>
                        <a:custGeom>
                          <a:avLst/>
                          <a:gdLst/>
                          <a:ahLst/>
                          <a:cxnLst/>
                          <a:rect l="l" t="t" r="r" b="b"/>
                          <a:pathLst>
                            <a:path w="3797935">
                              <a:moveTo>
                                <a:pt x="0" y="0"/>
                              </a:moveTo>
                              <a:lnTo>
                                <a:pt x="3797808" y="0"/>
                              </a:lnTo>
                            </a:path>
                          </a:pathLst>
                        </a:custGeom>
                        <a:ln w="6096">
                          <a:solidFill>
                            <a:srgbClr val="000000"/>
                          </a:solidFill>
                          <a:prstDash val="dot"/>
                        </a:ln>
                      </wps:spPr>
                      <wps:bodyPr wrap="square" lIns="0" tIns="0" rIns="0" bIns="0" rtlCol="0">
                        <a:prstTxWarp prst="textNoShape">
                          <a:avLst/>
                        </a:prstTxWarp>
                        <a:noAutofit/>
                      </wps:bodyPr>
                    </wps:wsp>
                  </a:graphicData>
                </a:graphic>
              </wp:anchor>
            </w:drawing>
          </mc:Choice>
          <mc:Fallback>
            <w:pict>
              <v:shape w14:anchorId="1B41A5FC" id="Free-form: Shape 15" o:spid="_x0000_s1026" style="position:absolute;margin-left:176.65pt;margin-top:298.7pt;width:299.05pt;height:.1pt;z-index:251658245;visibility:visible;mso-wrap-style:square;mso-wrap-distance-left:0;mso-wrap-distance-top:0;mso-wrap-distance-right:0;mso-wrap-distance-bottom:0;mso-position-horizontal:absolute;mso-position-horizontal-relative:page;mso-position-vertical:absolute;mso-position-vertical-relative:page;v-text-anchor:top" coordsize="37979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" path="m,l3797808,e" filled="f" strokeweight=".48pt">
                <v:stroke dashstyle="dot"/>
                <v:path arrowok="t"/>
                <w10:wrap anchorx="page" anchory="page"/>
              </v:shape>
            </w:pict>
          </mc:Fallback>
        </mc:AlternateContent>
      </w:r>
    </w:p>
    <w:p w14:paraId="11115AFC" w14:textId="77777777" w:rsidR="004C7180" w:rsidRPr="00150EDC" w:rsidRDefault="00CF0754">
      <w:pPr>
        <w:spacing w:before="93"/>
        <w:ind w:left="1399"/>
        <w:rPr>
          <w:sz w:val="20"/>
        </w:rPr>
      </w:pPr>
      <w:r w:rsidRPr="00150EDC">
        <w:rPr>
          <w:noProof/>
          <w:lang w:val="en-GB" w:eastAsia="en-GB"/>
        </w:rPr>
        <mc:AlternateContent>
          <mc:Choice Requires="wps">
            <w:drawing>
              <wp:anchor distT="0" distB="0" distL="0" distR="0" simplePos="0" relativeHeight="251658240" behindDoc="0" locked="0" layoutInCell="1" allowOverlap="1" wp14:anchorId="717475EF" wp14:editId="1BDD43B8">
                <wp:simplePos x="0" y="0"/>
                <wp:positionH relativeFrom="page">
                  <wp:posOffset>2244851</wp:posOffset>
                </wp:positionH>
                <wp:positionV relativeFrom="paragraph">
                  <wp:posOffset>583423</wp:posOffset>
                </wp:positionV>
                <wp:extent cx="3771900" cy="1270"/>
                <wp:effectExtent l="0" t="0" r="0" b="0"/>
                <wp:wrapNone/>
                <wp:docPr id="16" name="Free-form: 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71900" cy="1270"/>
                        </a:xfrm>
                        <a:custGeom>
                          <a:avLst/>
                          <a:gdLst/>
                          <a:ahLst/>
                          <a:cxnLst/>
                          <a:rect l="l" t="t" r="r" b="b"/>
                          <a:pathLst>
                            <a:path w="3771900">
                              <a:moveTo>
                                <a:pt x="0" y="0"/>
                              </a:moveTo>
                              <a:lnTo>
                                <a:pt x="3771900" y="0"/>
                              </a:lnTo>
                            </a:path>
                          </a:pathLst>
                        </a:custGeom>
                        <a:ln w="6096">
                          <a:solidFill>
                            <a:srgbClr val="000000"/>
                          </a:solidFill>
                          <a:prstDash val="dot"/>
                        </a:ln>
                      </wps:spPr>
                      <wps:bodyPr wrap="square" lIns="0" tIns="0" rIns="0" bIns="0" rtlCol="0">
                        <a:prstTxWarp prst="textNoShape">
                          <a:avLst/>
                        </a:prstTxWarp>
                        <a:noAutofit/>
                      </wps:bodyPr>
                    </wps:wsp>
                  </a:graphicData>
                </a:graphic>
              </wp:anchor>
            </w:drawing>
          </mc:Choice>
          <mc:Fallback>
            <w:pict>
              <v:shape w14:anchorId="0E446064" id="Free-form: Shape 16" o:spid="_x0000_s1026" style="position:absolute;margin-left:176.75pt;margin-top:45.95pt;width:297pt;height:.1pt;z-index:251658240;visibility:visible;mso-wrap-style:square;mso-wrap-distance-left:0;mso-wrap-distance-top:0;mso-wrap-distance-right:0;mso-wrap-distance-bottom:0;mso-position-horizontal:absolute;mso-position-horizontal-relative:page;mso-position-vertical:absolute;mso-position-vertical-relative:text;v-text-anchor:top" coordsize="37719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" path="m,l3771900,e" filled="f" strokeweight=".48pt">
                <v:stroke dashstyle="dot"/>
                <v:path arrowok="t"/>
                <w10:wrap anchorx="page"/>
              </v:shape>
            </w:pict>
          </mc:Fallback>
        </mc:AlternateContent>
      </w:r>
      <w:r w:rsidRPr="00150EDC">
        <w:rPr>
          <w:noProof/>
          <w:lang w:val="en-GB" w:eastAsia="en-GB"/>
        </w:rPr>
        <mc:AlternateContent>
          <mc:Choice Requires="wps">
            <w:drawing>
              <wp:anchor distT="0" distB="0" distL="0" distR="0" simplePos="0" relativeHeight="251658241" behindDoc="0" locked="0" layoutInCell="1" allowOverlap="1" wp14:anchorId="127BA0EB" wp14:editId="2BD91E41">
                <wp:simplePos x="0" y="0"/>
                <wp:positionH relativeFrom="page">
                  <wp:posOffset>2244851</wp:posOffset>
                </wp:positionH>
                <wp:positionV relativeFrom="paragraph">
                  <wp:posOffset>888223</wp:posOffset>
                </wp:positionV>
                <wp:extent cx="3771900" cy="1270"/>
                <wp:effectExtent l="0" t="0" r="0" b="0"/>
                <wp:wrapNone/>
                <wp:docPr id="17" name="Free-form: 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71900" cy="1270"/>
                        </a:xfrm>
                        <a:custGeom>
                          <a:avLst/>
                          <a:gdLst/>
                          <a:ahLst/>
                          <a:cxnLst/>
                          <a:rect l="l" t="t" r="r" b="b"/>
                          <a:pathLst>
                            <a:path w="3771900">
                              <a:moveTo>
                                <a:pt x="0" y="0"/>
                              </a:moveTo>
                              <a:lnTo>
                                <a:pt x="3771900" y="0"/>
                              </a:lnTo>
                            </a:path>
                          </a:pathLst>
                        </a:custGeom>
                        <a:ln w="6096">
                          <a:solidFill>
                            <a:srgbClr val="000000"/>
                          </a:solidFill>
                          <a:prstDash val="dot"/>
                        </a:ln>
                      </wps:spPr>
                      <wps:bodyPr wrap="square" lIns="0" tIns="0" rIns="0" bIns="0" rtlCol="0">
                        <a:prstTxWarp prst="textNoShape">
                          <a:avLst/>
                        </a:prstTxWarp>
                        <a:noAutofit/>
                      </wps:bodyPr>
                    </wps:wsp>
                  </a:graphicData>
                </a:graphic>
              </wp:anchor>
            </w:drawing>
          </mc:Choice>
          <mc:Fallback>
            <w:pict>
              <v:shape w14:anchorId="3A5327E2" id="Free-form: Shape 17" o:spid="_x0000_s1026" style="position:absolute;margin-left:176.75pt;margin-top:69.95pt;width:297pt;height:.1pt;z-index:251658241;visibility:visible;mso-wrap-style:square;mso-wrap-distance-left:0;mso-wrap-distance-top:0;mso-wrap-distance-right:0;mso-wrap-distance-bottom:0;mso-position-horizontal:absolute;mso-position-horizontal-relative:page;mso-position-vertical:absolute;mso-position-vertical-relative:text;v-text-anchor:top" coordsize="37719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" path="m,l3771900,e" filled="f" strokeweight=".48pt">
                <v:stroke dashstyle="dot"/>
                <v:path arrowok="t"/>
                <w10:wrap anchorx="page"/>
              </v:shape>
            </w:pict>
          </mc:Fallback>
        </mc:AlternateContent>
      </w:r>
      <w:r w:rsidRPr="00150EDC">
        <w:rPr>
          <w:noProof/>
          <w:lang w:val="en-GB" w:eastAsia="en-GB"/>
        </w:rPr>
        <mc:AlternateContent>
          <mc:Choice Requires="wps">
            <w:drawing>
              <wp:anchor distT="0" distB="0" distL="0" distR="0" simplePos="0" relativeHeight="251658242" behindDoc="0" locked="0" layoutInCell="1" allowOverlap="1" wp14:anchorId="436A7702" wp14:editId="666467EF">
                <wp:simplePos x="0" y="0"/>
                <wp:positionH relativeFrom="page">
                  <wp:posOffset>2244851</wp:posOffset>
                </wp:positionH>
                <wp:positionV relativeFrom="paragraph">
                  <wp:posOffset>1193023</wp:posOffset>
                </wp:positionV>
                <wp:extent cx="3771900" cy="1270"/>
                <wp:effectExtent l="0" t="0" r="0" b="0"/>
                <wp:wrapNone/>
                <wp:docPr id="18" name="Free-form: 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71900" cy="1270"/>
                        </a:xfrm>
                        <a:custGeom>
                          <a:avLst/>
                          <a:gdLst/>
                          <a:ahLst/>
                          <a:cxnLst/>
                          <a:rect l="l" t="t" r="r" b="b"/>
                          <a:pathLst>
                            <a:path w="3771900">
                              <a:moveTo>
                                <a:pt x="0" y="0"/>
                              </a:moveTo>
                              <a:lnTo>
                                <a:pt x="3771900" y="0"/>
                              </a:lnTo>
                            </a:path>
                          </a:pathLst>
                        </a:custGeom>
                        <a:ln w="6096">
                          <a:solidFill>
                            <a:srgbClr val="000000"/>
                          </a:solidFill>
                          <a:prstDash val="dot"/>
                        </a:ln>
                      </wps:spPr>
                      <wps:bodyPr wrap="square" lIns="0" tIns="0" rIns="0" bIns="0" rtlCol="0">
                        <a:prstTxWarp prst="textNoShape">
                          <a:avLst/>
                        </a:prstTxWarp>
                        <a:noAutofit/>
                      </wps:bodyPr>
                    </wps:wsp>
                  </a:graphicData>
                </a:graphic>
              </wp:anchor>
            </w:drawing>
          </mc:Choice>
          <mc:Fallback>
            <w:pict>
              <v:shape w14:anchorId="21FD7AB6" id="Free-form: Shape 18" o:spid="_x0000_s1026" style="position:absolute;margin-left:176.75pt;margin-top:93.95pt;width:297pt;height:.1pt;z-index:251658242;visibility:visible;mso-wrap-style:square;mso-wrap-distance-left:0;mso-wrap-distance-top:0;mso-wrap-distance-right:0;mso-wrap-distance-bottom:0;mso-position-horizontal:absolute;mso-position-horizontal-relative:page;mso-position-vertical:absolute;mso-position-vertical-relative:text;v-text-anchor:top" coordsize="37719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" path="m,l3771900,e" filled="f" strokeweight=".48pt">
                <v:stroke dashstyle="dot"/>
                <v:path arrowok="t"/>
                <w10:wrap anchorx="page"/>
              </v:shape>
            </w:pict>
          </mc:Fallback>
        </mc:AlternateContent>
      </w:r>
      <w:r w:rsidRPr="00150EDC">
        <w:rPr>
          <w:sz w:val="20"/>
        </w:rPr>
        <w:t>Signed</w:t>
      </w:r>
      <w:r w:rsidRPr="00150EDC">
        <w:rPr>
          <w:spacing w:val="-6"/>
          <w:sz w:val="20"/>
        </w:rPr>
        <w:t xml:space="preserve"> </w:t>
      </w:r>
      <w:r w:rsidRPr="00150EDC">
        <w:rPr>
          <w:sz w:val="20"/>
        </w:rPr>
        <w:t>by</w:t>
      </w:r>
      <w:r w:rsidRPr="00150EDC">
        <w:rPr>
          <w:spacing w:val="-5"/>
          <w:sz w:val="20"/>
        </w:rPr>
        <w:t xml:space="preserve"> </w:t>
      </w:r>
      <w:r w:rsidRPr="00150EDC">
        <w:rPr>
          <w:sz w:val="20"/>
        </w:rPr>
        <w:t>an</w:t>
      </w:r>
      <w:r w:rsidRPr="00150EDC">
        <w:rPr>
          <w:spacing w:val="-5"/>
          <w:sz w:val="20"/>
        </w:rPr>
        <w:t xml:space="preserve"> </w:t>
      </w:r>
      <w:r w:rsidRPr="00150EDC">
        <w:rPr>
          <w:sz w:val="20"/>
        </w:rPr>
        <w:t>authorised</w:t>
      </w:r>
      <w:r w:rsidRPr="00150EDC">
        <w:rPr>
          <w:spacing w:val="-6"/>
          <w:sz w:val="20"/>
        </w:rPr>
        <w:t xml:space="preserve"> </w:t>
      </w:r>
      <w:r w:rsidRPr="00150EDC">
        <w:rPr>
          <w:sz w:val="20"/>
        </w:rPr>
        <w:t>signatory</w:t>
      </w:r>
      <w:r w:rsidRPr="00150EDC">
        <w:rPr>
          <w:spacing w:val="-4"/>
          <w:sz w:val="20"/>
        </w:rPr>
        <w:t xml:space="preserve"> </w:t>
      </w:r>
      <w:r w:rsidRPr="00150EDC">
        <w:rPr>
          <w:sz w:val="20"/>
        </w:rPr>
        <w:t>for</w:t>
      </w:r>
      <w:r w:rsidRPr="00150EDC">
        <w:rPr>
          <w:spacing w:val="-5"/>
          <w:sz w:val="20"/>
        </w:rPr>
        <w:t xml:space="preserve"> </w:t>
      </w:r>
      <w:r w:rsidRPr="00150EDC">
        <w:rPr>
          <w:sz w:val="20"/>
        </w:rPr>
        <w:t>and</w:t>
      </w:r>
      <w:r w:rsidRPr="00150EDC">
        <w:rPr>
          <w:spacing w:val="-6"/>
          <w:sz w:val="20"/>
        </w:rPr>
        <w:t xml:space="preserve"> </w:t>
      </w:r>
      <w:r w:rsidRPr="00150EDC">
        <w:rPr>
          <w:sz w:val="20"/>
        </w:rPr>
        <w:t>on</w:t>
      </w:r>
      <w:r w:rsidRPr="00150EDC">
        <w:rPr>
          <w:spacing w:val="-3"/>
          <w:sz w:val="20"/>
        </w:rPr>
        <w:t xml:space="preserve"> </w:t>
      </w:r>
      <w:r w:rsidRPr="00150EDC">
        <w:rPr>
          <w:sz w:val="20"/>
        </w:rPr>
        <w:t>behalf</w:t>
      </w:r>
      <w:r w:rsidRPr="00150EDC">
        <w:rPr>
          <w:spacing w:val="-6"/>
          <w:sz w:val="20"/>
        </w:rPr>
        <w:t xml:space="preserve"> </w:t>
      </w:r>
      <w:r w:rsidRPr="00150EDC">
        <w:rPr>
          <w:sz w:val="20"/>
        </w:rPr>
        <w:t>of</w:t>
      </w:r>
      <w:r w:rsidRPr="00150EDC">
        <w:rPr>
          <w:spacing w:val="-4"/>
          <w:sz w:val="20"/>
        </w:rPr>
        <w:t xml:space="preserve"> </w:t>
      </w:r>
      <w:r w:rsidRPr="00150EDC">
        <w:rPr>
          <w:sz w:val="20"/>
        </w:rPr>
        <w:t>the</w:t>
      </w:r>
      <w:r w:rsidRPr="00150EDC">
        <w:rPr>
          <w:spacing w:val="-2"/>
          <w:sz w:val="20"/>
        </w:rPr>
        <w:t xml:space="preserve"> Buyer</w:t>
      </w:r>
    </w:p>
    <w:p w14:paraId="61DC225A" w14:textId="77777777" w:rsidR="004C7180" w:rsidRPr="00150EDC" w:rsidRDefault="004C7180">
      <w:pPr>
        <w:pStyle w:val="BodyText"/>
        <w:spacing w:before="1"/>
        <w:rPr>
          <w:sz w:val="11"/>
        </w:rPr>
      </w:pPr>
    </w:p>
    <w:tbl>
      <w:tblPr>
        <w:tblW w:w="0" w:type="auto"/>
        <w:tblInd w:w="1357" w:type="dxa"/>
        <w:tblLayout w:type="fixed"/>
        <w:tblCellMar>
          <w:left w:w="0" w:type="dxa"/>
          <w:right w:w="0" w:type="dxa"/>
        </w:tblCellMar>
        <w:tblLook w:val="01E0" w:firstRow="1" w:lastRow="1" w:firstColumn="1" w:lastColumn="1" w:noHBand="0" w:noVBand="0"/>
      </w:tblPr>
      <w:tblGrid>
        <w:gridCol w:w="1755"/>
      </w:tblGrid>
      <w:tr w:rsidR="007D3144" w:rsidRPr="007D3144" w14:paraId="18F96052" w14:textId="77777777">
        <w:trPr>
          <w:trHeight w:val="351"/>
        </w:trPr>
        <w:tc>
          <w:tcPr>
            <w:tcW w:w="1755" w:type="dxa"/>
          </w:tcPr>
          <w:p w14:paraId="551EC85C" w14:textId="77777777" w:rsidR="004C7180" w:rsidRPr="00150EDC" w:rsidRDefault="00CF0754">
            <w:pPr>
              <w:pStyle w:val="TableParagraph"/>
              <w:spacing w:before="0" w:line="223" w:lineRule="exact"/>
              <w:ind w:left="50"/>
              <w:rPr>
                <w:sz w:val="20"/>
              </w:rPr>
            </w:pPr>
            <w:r w:rsidRPr="00150EDC">
              <w:rPr>
                <w:spacing w:val="-2"/>
                <w:sz w:val="20"/>
              </w:rPr>
              <w:t>Signature</w:t>
            </w:r>
          </w:p>
        </w:tc>
      </w:tr>
      <w:tr w:rsidR="007D3144" w:rsidRPr="007D3144" w14:paraId="7F6856C1" w14:textId="77777777">
        <w:trPr>
          <w:trHeight w:val="480"/>
        </w:trPr>
        <w:tc>
          <w:tcPr>
            <w:tcW w:w="1755" w:type="dxa"/>
          </w:tcPr>
          <w:p w14:paraId="31F0D6AC" w14:textId="77777777" w:rsidR="004C7180" w:rsidRPr="00150EDC" w:rsidRDefault="00CF0754">
            <w:pPr>
              <w:pStyle w:val="TableParagraph"/>
              <w:spacing w:before="121" w:line="240" w:lineRule="auto"/>
              <w:ind w:left="50"/>
              <w:rPr>
                <w:sz w:val="20"/>
              </w:rPr>
            </w:pPr>
            <w:r w:rsidRPr="00150EDC">
              <w:rPr>
                <w:spacing w:val="-4"/>
                <w:sz w:val="20"/>
              </w:rPr>
              <w:t>Date</w:t>
            </w:r>
          </w:p>
        </w:tc>
      </w:tr>
      <w:tr w:rsidR="007D3144" w:rsidRPr="007D3144" w14:paraId="698F1C28" w14:textId="77777777">
        <w:trPr>
          <w:trHeight w:val="480"/>
        </w:trPr>
        <w:tc>
          <w:tcPr>
            <w:tcW w:w="1755" w:type="dxa"/>
          </w:tcPr>
          <w:p w14:paraId="60D514E2" w14:textId="77777777" w:rsidR="004C7180" w:rsidRPr="00150EDC" w:rsidRDefault="00CF0754">
            <w:pPr>
              <w:pStyle w:val="TableParagraph"/>
              <w:spacing w:before="121" w:line="240" w:lineRule="auto"/>
              <w:ind w:left="50"/>
              <w:rPr>
                <w:sz w:val="20"/>
              </w:rPr>
            </w:pPr>
            <w:r w:rsidRPr="00150EDC">
              <w:rPr>
                <w:sz w:val="20"/>
              </w:rPr>
              <w:t>Name</w:t>
            </w:r>
            <w:r w:rsidRPr="00150EDC">
              <w:rPr>
                <w:spacing w:val="-6"/>
                <w:sz w:val="20"/>
              </w:rPr>
              <w:t xml:space="preserve"> </w:t>
            </w:r>
            <w:r w:rsidRPr="00150EDC">
              <w:rPr>
                <w:sz w:val="20"/>
              </w:rPr>
              <w:t>(in</w:t>
            </w:r>
            <w:r w:rsidRPr="00150EDC">
              <w:rPr>
                <w:spacing w:val="-5"/>
                <w:sz w:val="20"/>
              </w:rPr>
              <w:t xml:space="preserve"> </w:t>
            </w:r>
            <w:r w:rsidRPr="00150EDC">
              <w:rPr>
                <w:spacing w:val="-2"/>
                <w:sz w:val="20"/>
              </w:rPr>
              <w:t>Capitals)</w:t>
            </w:r>
          </w:p>
        </w:tc>
      </w:tr>
      <w:tr w:rsidR="007D3144" w:rsidRPr="007D3144" w14:paraId="2F2E2715" w14:textId="77777777">
        <w:trPr>
          <w:trHeight w:val="351"/>
        </w:trPr>
        <w:tc>
          <w:tcPr>
            <w:tcW w:w="1755" w:type="dxa"/>
          </w:tcPr>
          <w:p w14:paraId="3238269D" w14:textId="77777777" w:rsidR="004C7180" w:rsidRPr="00150EDC" w:rsidRDefault="00CF0754">
            <w:pPr>
              <w:pStyle w:val="TableParagraph"/>
              <w:spacing w:before="121" w:line="210" w:lineRule="exact"/>
              <w:ind w:left="50"/>
              <w:rPr>
                <w:sz w:val="20"/>
              </w:rPr>
            </w:pPr>
            <w:r w:rsidRPr="00150EDC">
              <w:rPr>
                <w:spacing w:val="-2"/>
                <w:sz w:val="20"/>
              </w:rPr>
              <w:t>Address</w:t>
            </w:r>
          </w:p>
        </w:tc>
      </w:tr>
    </w:tbl>
    <w:p w14:paraId="189E2680" w14:textId="77777777" w:rsidR="004C7180" w:rsidRPr="00150EDC" w:rsidRDefault="00CF0754">
      <w:pPr>
        <w:pStyle w:val="BodyText"/>
        <w:spacing w:before="3"/>
        <w:rPr>
          <w:sz w:val="19"/>
        </w:rPr>
      </w:pPr>
      <w:r w:rsidRPr="00150EDC">
        <w:rPr>
          <w:noProof/>
          <w:lang w:val="en-GB" w:eastAsia="en-GB"/>
        </w:rPr>
        <mc:AlternateContent>
          <mc:Choice Requires="wps">
            <w:drawing>
              <wp:anchor distT="0" distB="0" distL="0" distR="0" simplePos="0" relativeHeight="251658272" behindDoc="1" locked="0" layoutInCell="1" allowOverlap="1" wp14:anchorId="34F41E5B" wp14:editId="143D5D6E">
                <wp:simplePos x="0" y="0"/>
                <wp:positionH relativeFrom="page">
                  <wp:posOffset>2244851</wp:posOffset>
                </wp:positionH>
                <wp:positionV relativeFrom="paragraph">
                  <wp:posOffset>156419</wp:posOffset>
                </wp:positionV>
                <wp:extent cx="3771900" cy="1270"/>
                <wp:effectExtent l="0" t="0" r="0" b="0"/>
                <wp:wrapTopAndBottom/>
                <wp:docPr id="19" name="Free-form: 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71900" cy="1270"/>
                        </a:xfrm>
                        <a:custGeom>
                          <a:avLst/>
                          <a:gdLst/>
                          <a:ahLst/>
                          <a:cxnLst/>
                          <a:rect l="l" t="t" r="r" b="b"/>
                          <a:pathLst>
                            <a:path w="3771900">
                              <a:moveTo>
                                <a:pt x="0" y="0"/>
                              </a:moveTo>
                              <a:lnTo>
                                <a:pt x="3771900" y="0"/>
                              </a:lnTo>
                            </a:path>
                          </a:pathLst>
                        </a:custGeom>
                        <a:ln w="6096">
                          <a:solidFill>
                            <a:srgbClr val="000000"/>
                          </a:solidFill>
                          <a:prstDash val="dot"/>
                        </a:ln>
                      </wps:spPr>
                      <wps:bodyPr wrap="square" lIns="0" tIns="0" rIns="0" bIns="0" rtlCol="0">
                        <a:prstTxWarp prst="textNoShape">
                          <a:avLst/>
                        </a:prstTxWarp>
                        <a:noAutofit/>
                      </wps:bodyPr>
                    </wps:wsp>
                  </a:graphicData>
                </a:graphic>
              </wp:anchor>
            </w:drawing>
          </mc:Choice>
          <mc:Fallback>
            <w:pict>
              <v:shape w14:anchorId="6944980A" id="Free-form: Shape 19" o:spid="_x0000_s1026" style="position:absolute;margin-left:176.75pt;margin-top:12.3pt;width:297pt;height:.1pt;z-index:-251658208;visibility:visible;mso-wrap-style:square;mso-wrap-distance-left:0;mso-wrap-distance-top:0;mso-wrap-distance-right:0;mso-wrap-distance-bottom:0;mso-position-horizontal:absolute;mso-position-horizontal-relative:page;mso-position-vertical:absolute;mso-position-vertical-relative:text;v-text-anchor:top" coordsize="37719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" path="m,l3771900,e" filled="f" strokeweight=".48pt">
                <v:stroke dashstyle="dot"/>
                <v:path arrowok="t"/>
                <w10:wrap type="topAndBottom" anchorx="page"/>
              </v:shape>
            </w:pict>
          </mc:Fallback>
        </mc:AlternateContent>
      </w:r>
    </w:p>
    <w:p w14:paraId="0637B620" w14:textId="77777777" w:rsidR="004C7180" w:rsidRPr="00150EDC" w:rsidRDefault="004C7180">
      <w:pPr>
        <w:pStyle w:val="BodyText"/>
        <w:rPr>
          <w:sz w:val="20"/>
        </w:rPr>
      </w:pPr>
    </w:p>
    <w:p w14:paraId="225290E4" w14:textId="77777777" w:rsidR="004C7180" w:rsidRPr="00150EDC" w:rsidRDefault="00CF0754">
      <w:pPr>
        <w:pStyle w:val="BodyText"/>
        <w:spacing w:before="9"/>
        <w:rPr>
          <w:sz w:val="18"/>
        </w:rPr>
      </w:pPr>
      <w:r w:rsidRPr="00150EDC">
        <w:rPr>
          <w:noProof/>
          <w:lang w:val="en-GB" w:eastAsia="en-GB"/>
        </w:rPr>
        <mc:AlternateContent>
          <mc:Choice Requires="wpg">
            <w:drawing>
              <wp:anchor distT="0" distB="0" distL="0" distR="0" simplePos="0" relativeHeight="251658274" behindDoc="1" locked="0" layoutInCell="1" allowOverlap="1" wp14:anchorId="11360CAC" wp14:editId="6190CF71">
                <wp:simplePos x="0" y="0"/>
                <wp:positionH relativeFrom="page">
                  <wp:posOffset>832103</wp:posOffset>
                </wp:positionH>
                <wp:positionV relativeFrom="paragraph">
                  <wp:posOffset>152666</wp:posOffset>
                </wp:positionV>
                <wp:extent cx="5184775" cy="6350"/>
                <wp:effectExtent l="0" t="0" r="0" b="0"/>
                <wp:wrapTopAndBottom/>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84775" cy="6350"/>
                          <a:chOff x="0" y="0"/>
                          <a:chExt cx="5184775" cy="6350"/>
                        </a:xfrm>
                      </wpg:grpSpPr>
                      <wps:wsp>
                        <wps:cNvPr id="21" name="Graphic 21"/>
                        <wps:cNvSpPr/>
                        <wps:spPr>
                          <a:xfrm>
                            <a:off x="0" y="3047"/>
                            <a:ext cx="1412875" cy="1270"/>
                          </a:xfrm>
                          <a:custGeom>
                            <a:avLst/>
                            <a:gdLst/>
                            <a:ahLst/>
                            <a:cxnLst/>
                            <a:rect l="l" t="t" r="r" b="b"/>
                            <a:pathLst>
                              <a:path w="1412875">
                                <a:moveTo>
                                  <a:pt x="0" y="0"/>
                                </a:moveTo>
                                <a:lnTo>
                                  <a:pt x="1412748" y="0"/>
                                </a:lnTo>
                              </a:path>
                            </a:pathLst>
                          </a:custGeom>
                          <a:ln w="6096">
                            <a:solidFill>
                              <a:srgbClr val="000000"/>
                            </a:solidFill>
                            <a:prstDash val="dot"/>
                          </a:ln>
                        </wps:spPr>
                        <wps:bodyPr wrap="square" lIns="0" tIns="0" rIns="0" bIns="0" rtlCol="0">
                          <a:prstTxWarp prst="textNoShape">
                            <a:avLst/>
                          </a:prstTxWarp>
                          <a:noAutofit/>
                        </wps:bodyPr>
                      </wps:wsp>
                      <wps:wsp>
                        <wps:cNvPr id="22" name="Graphic 22"/>
                        <wps:cNvSpPr/>
                        <wps:spPr>
                          <a:xfrm>
                            <a:off x="1403603" y="3047"/>
                            <a:ext cx="6350" cy="1270"/>
                          </a:xfrm>
                          <a:custGeom>
                            <a:avLst/>
                            <a:gdLst/>
                            <a:ahLst/>
                            <a:cxnLst/>
                            <a:rect l="l" t="t" r="r" b="b"/>
                            <a:pathLst>
                              <a:path w="6350">
                                <a:moveTo>
                                  <a:pt x="0" y="0"/>
                                </a:moveTo>
                                <a:lnTo>
                                  <a:pt x="6096" y="0"/>
                                </a:lnTo>
                              </a:path>
                            </a:pathLst>
                          </a:custGeom>
                          <a:ln w="6096">
                            <a:solidFill>
                              <a:srgbClr val="000000"/>
                            </a:solidFill>
                            <a:prstDash val="dot"/>
                          </a:ln>
                        </wps:spPr>
                        <wps:bodyPr wrap="square" lIns="0" tIns="0" rIns="0" bIns="0" rtlCol="0">
                          <a:prstTxWarp prst="textNoShape">
                            <a:avLst/>
                          </a:prstTxWarp>
                          <a:noAutofit/>
                        </wps:bodyPr>
                      </wps:wsp>
                      <wps:wsp>
                        <wps:cNvPr id="23" name="Graphic 23"/>
                        <wps:cNvSpPr/>
                        <wps:spPr>
                          <a:xfrm>
                            <a:off x="1409700" y="3047"/>
                            <a:ext cx="3775075" cy="1270"/>
                          </a:xfrm>
                          <a:custGeom>
                            <a:avLst/>
                            <a:gdLst/>
                            <a:ahLst/>
                            <a:cxnLst/>
                            <a:rect l="l" t="t" r="r" b="b"/>
                            <a:pathLst>
                              <a:path w="3775075">
                                <a:moveTo>
                                  <a:pt x="0" y="0"/>
                                </a:moveTo>
                                <a:lnTo>
                                  <a:pt x="3774948" y="0"/>
                                </a:lnTo>
                              </a:path>
                            </a:pathLst>
                          </a:custGeom>
                          <a:ln w="6096">
                            <a:solidFill>
                              <a:srgbClr val="000000"/>
                            </a:solidFill>
                            <a:prstDash val="dot"/>
                          </a:ln>
                        </wps:spPr>
                        <wps:bodyPr wrap="square" lIns="0" tIns="0" rIns="0" bIns="0" rtlCol="0">
                          <a:prstTxWarp prst="textNoShape">
                            <a:avLst/>
                          </a:prstTxWarp>
                          <a:noAutofit/>
                        </wps:bodyPr>
                      </wps:wsp>
                    </wpg:wgp>
                  </a:graphicData>
                </a:graphic>
              </wp:anchor>
            </w:drawing>
          </mc:Choice>
          <mc:Fallback>
            <w:pict>
              <v:group w14:anchorId="3E2CE2D4" id="Group 20" o:spid="_x0000_s1026" style="position:absolute;margin-left:65.5pt;margin-top:12pt;width:408.25pt;height:.5pt;z-index:-251658206;mso-wrap-distance-left:0;mso-wrap-distance-right:0;mso-position-horizontal-relative:page" coordsize="5184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">
                <v:shape id="Graphic 21" o:spid="_x0000_s1027" style="position:absolute;top:30;width:14128;height:13;visibility:visible;mso-wrap-style:square;v-text-anchor:top" coordsize="14128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" path="m,l1412748,e" filled="f" strokeweight=".48pt">
                  <v:stroke dashstyle="dot"/>
                  <v:path arrowok="t"/>
                </v:shape>
                <v:shape id="Graphic 22" o:spid="_x0000_s1028" style="position:absolute;left:14036;top:30;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" path="m,l6096,e" filled="f" strokeweight=".48pt">
                  <v:stroke dashstyle="dot"/>
                  <v:path arrowok="t"/>
                </v:shape>
                <v:shape id="Graphic 23" o:spid="_x0000_s1029" style="position:absolute;left:14097;top:30;width:37750;height:13;visibility:visible;mso-wrap-style:square;v-text-anchor:top" coordsize="37750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" path="m,l3774948,e" filled="f" strokeweight=".48pt">
                  <v:stroke dashstyle="dot"/>
                  <v:path arrowok="t"/>
                </v:shape>
                <w10:wrap type="topAndBottom" anchorx="page"/>
              </v:group>
            </w:pict>
          </mc:Fallback>
        </mc:AlternateContent>
      </w:r>
    </w:p>
    <w:p w14:paraId="548D3532" w14:textId="77777777" w:rsidR="004C7180" w:rsidRPr="00150EDC" w:rsidRDefault="00CF0754">
      <w:pPr>
        <w:ind w:left="1400"/>
        <w:rPr>
          <w:sz w:val="20"/>
        </w:rPr>
      </w:pPr>
      <w:r w:rsidRPr="00150EDC">
        <w:rPr>
          <w:sz w:val="20"/>
        </w:rPr>
        <w:t>Signed</w:t>
      </w:r>
      <w:r w:rsidRPr="00150EDC">
        <w:rPr>
          <w:spacing w:val="-6"/>
          <w:sz w:val="20"/>
        </w:rPr>
        <w:t xml:space="preserve"> </w:t>
      </w:r>
      <w:r w:rsidRPr="00150EDC">
        <w:rPr>
          <w:sz w:val="20"/>
        </w:rPr>
        <w:t>by</w:t>
      </w:r>
      <w:r w:rsidRPr="00150EDC">
        <w:rPr>
          <w:spacing w:val="-5"/>
          <w:sz w:val="20"/>
        </w:rPr>
        <w:t xml:space="preserve"> </w:t>
      </w:r>
      <w:r w:rsidRPr="00150EDC">
        <w:rPr>
          <w:sz w:val="20"/>
        </w:rPr>
        <w:t>an</w:t>
      </w:r>
      <w:r w:rsidRPr="00150EDC">
        <w:rPr>
          <w:spacing w:val="-5"/>
          <w:sz w:val="20"/>
        </w:rPr>
        <w:t xml:space="preserve"> </w:t>
      </w:r>
      <w:r w:rsidRPr="00150EDC">
        <w:rPr>
          <w:sz w:val="20"/>
        </w:rPr>
        <w:t>authorised</w:t>
      </w:r>
      <w:r w:rsidRPr="00150EDC">
        <w:rPr>
          <w:spacing w:val="-5"/>
          <w:sz w:val="20"/>
        </w:rPr>
        <w:t xml:space="preserve"> </w:t>
      </w:r>
      <w:r w:rsidRPr="00150EDC">
        <w:rPr>
          <w:sz w:val="20"/>
        </w:rPr>
        <w:t>signatory</w:t>
      </w:r>
      <w:r w:rsidRPr="00150EDC">
        <w:rPr>
          <w:spacing w:val="-5"/>
          <w:sz w:val="20"/>
        </w:rPr>
        <w:t xml:space="preserve"> </w:t>
      </w:r>
      <w:r w:rsidRPr="00150EDC">
        <w:rPr>
          <w:sz w:val="20"/>
        </w:rPr>
        <w:t>to</w:t>
      </w:r>
      <w:r w:rsidRPr="00150EDC">
        <w:rPr>
          <w:spacing w:val="-5"/>
          <w:sz w:val="20"/>
        </w:rPr>
        <w:t xml:space="preserve"> </w:t>
      </w:r>
      <w:r w:rsidRPr="00150EDC">
        <w:rPr>
          <w:sz w:val="20"/>
        </w:rPr>
        <w:t>sign</w:t>
      </w:r>
      <w:r w:rsidRPr="00150EDC">
        <w:rPr>
          <w:spacing w:val="-6"/>
          <w:sz w:val="20"/>
        </w:rPr>
        <w:t xml:space="preserve"> </w:t>
      </w:r>
      <w:r w:rsidRPr="00150EDC">
        <w:rPr>
          <w:sz w:val="20"/>
        </w:rPr>
        <w:t>for</w:t>
      </w:r>
      <w:r w:rsidRPr="00150EDC">
        <w:rPr>
          <w:spacing w:val="-3"/>
          <w:sz w:val="20"/>
        </w:rPr>
        <w:t xml:space="preserve"> </w:t>
      </w:r>
      <w:r w:rsidRPr="00150EDC">
        <w:rPr>
          <w:sz w:val="20"/>
        </w:rPr>
        <w:t>and</w:t>
      </w:r>
      <w:r w:rsidRPr="00150EDC">
        <w:rPr>
          <w:spacing w:val="-3"/>
          <w:sz w:val="20"/>
        </w:rPr>
        <w:t xml:space="preserve"> </w:t>
      </w:r>
      <w:r w:rsidRPr="00150EDC">
        <w:rPr>
          <w:sz w:val="20"/>
        </w:rPr>
        <w:t>on</w:t>
      </w:r>
      <w:r w:rsidRPr="00150EDC">
        <w:rPr>
          <w:spacing w:val="-4"/>
          <w:sz w:val="20"/>
        </w:rPr>
        <w:t xml:space="preserve"> </w:t>
      </w:r>
      <w:r w:rsidRPr="00150EDC">
        <w:rPr>
          <w:sz w:val="20"/>
        </w:rPr>
        <w:t>behalf</w:t>
      </w:r>
      <w:r w:rsidRPr="00150EDC">
        <w:rPr>
          <w:spacing w:val="-5"/>
          <w:sz w:val="20"/>
        </w:rPr>
        <w:t xml:space="preserve"> </w:t>
      </w:r>
      <w:r w:rsidRPr="00150EDC">
        <w:rPr>
          <w:sz w:val="20"/>
        </w:rPr>
        <w:t>of</w:t>
      </w:r>
      <w:r w:rsidRPr="00150EDC">
        <w:rPr>
          <w:spacing w:val="-4"/>
          <w:sz w:val="20"/>
        </w:rPr>
        <w:t xml:space="preserve"> </w:t>
      </w:r>
      <w:r w:rsidRPr="00150EDC">
        <w:rPr>
          <w:sz w:val="20"/>
        </w:rPr>
        <w:t>the</w:t>
      </w:r>
      <w:r w:rsidRPr="00150EDC">
        <w:rPr>
          <w:spacing w:val="-4"/>
          <w:sz w:val="20"/>
        </w:rPr>
        <w:t xml:space="preserve"> </w:t>
      </w:r>
      <w:r w:rsidRPr="00150EDC">
        <w:rPr>
          <w:spacing w:val="-2"/>
          <w:sz w:val="20"/>
        </w:rPr>
        <w:t>Supplier</w:t>
      </w:r>
    </w:p>
    <w:p w14:paraId="483EAC1C" w14:textId="77777777" w:rsidR="004C7180" w:rsidRPr="00150EDC" w:rsidRDefault="004C7180">
      <w:pPr>
        <w:pStyle w:val="BodyText"/>
        <w:rPr>
          <w:sz w:val="11"/>
        </w:rPr>
      </w:pPr>
    </w:p>
    <w:tbl>
      <w:tblPr>
        <w:tblW w:w="0" w:type="auto"/>
        <w:tblInd w:w="1357" w:type="dxa"/>
        <w:tblLayout w:type="fixed"/>
        <w:tblCellMar>
          <w:left w:w="0" w:type="dxa"/>
          <w:right w:w="0" w:type="dxa"/>
        </w:tblCellMar>
        <w:tblLook w:val="01E0" w:firstRow="1" w:lastRow="1" w:firstColumn="1" w:lastColumn="1" w:noHBand="0" w:noVBand="0"/>
      </w:tblPr>
      <w:tblGrid>
        <w:gridCol w:w="1755"/>
      </w:tblGrid>
      <w:tr w:rsidR="007D3144" w:rsidRPr="007D3144" w14:paraId="4AD2E5C7" w14:textId="77777777">
        <w:trPr>
          <w:trHeight w:val="351"/>
        </w:trPr>
        <w:tc>
          <w:tcPr>
            <w:tcW w:w="1755" w:type="dxa"/>
          </w:tcPr>
          <w:p w14:paraId="275D8C0F" w14:textId="77777777" w:rsidR="004C7180" w:rsidRPr="00150EDC" w:rsidRDefault="00CF0754">
            <w:pPr>
              <w:pStyle w:val="TableParagraph"/>
              <w:spacing w:before="0" w:line="223" w:lineRule="exact"/>
              <w:ind w:left="50"/>
              <w:rPr>
                <w:sz w:val="20"/>
              </w:rPr>
            </w:pPr>
            <w:r w:rsidRPr="00150EDC">
              <w:rPr>
                <w:spacing w:val="-2"/>
                <w:sz w:val="20"/>
              </w:rPr>
              <w:t>Signature</w:t>
            </w:r>
          </w:p>
        </w:tc>
      </w:tr>
      <w:tr w:rsidR="007D3144" w:rsidRPr="007D3144" w14:paraId="1DD5269C" w14:textId="77777777">
        <w:trPr>
          <w:trHeight w:val="480"/>
        </w:trPr>
        <w:tc>
          <w:tcPr>
            <w:tcW w:w="1755" w:type="dxa"/>
          </w:tcPr>
          <w:p w14:paraId="17C5E454" w14:textId="77777777" w:rsidR="004C7180" w:rsidRPr="00150EDC" w:rsidRDefault="00CF0754">
            <w:pPr>
              <w:pStyle w:val="TableParagraph"/>
              <w:spacing w:before="121" w:line="240" w:lineRule="auto"/>
              <w:ind w:left="50"/>
              <w:rPr>
                <w:sz w:val="20"/>
              </w:rPr>
            </w:pPr>
            <w:r w:rsidRPr="00150EDC">
              <w:rPr>
                <w:spacing w:val="-4"/>
                <w:sz w:val="20"/>
              </w:rPr>
              <w:t>Date</w:t>
            </w:r>
          </w:p>
        </w:tc>
      </w:tr>
      <w:tr w:rsidR="007D3144" w:rsidRPr="007D3144" w14:paraId="797130BA" w14:textId="77777777">
        <w:trPr>
          <w:trHeight w:val="480"/>
        </w:trPr>
        <w:tc>
          <w:tcPr>
            <w:tcW w:w="1755" w:type="dxa"/>
          </w:tcPr>
          <w:p w14:paraId="1536FC13" w14:textId="77777777" w:rsidR="004C7180" w:rsidRPr="00150EDC" w:rsidRDefault="00CF0754">
            <w:pPr>
              <w:pStyle w:val="TableParagraph"/>
              <w:spacing w:before="121" w:line="240" w:lineRule="auto"/>
              <w:ind w:left="50"/>
              <w:rPr>
                <w:sz w:val="20"/>
              </w:rPr>
            </w:pPr>
            <w:r w:rsidRPr="00150EDC">
              <w:rPr>
                <w:sz w:val="20"/>
              </w:rPr>
              <w:t>Name</w:t>
            </w:r>
            <w:r w:rsidRPr="00150EDC">
              <w:rPr>
                <w:spacing w:val="-6"/>
                <w:sz w:val="20"/>
              </w:rPr>
              <w:t xml:space="preserve"> </w:t>
            </w:r>
            <w:r w:rsidRPr="00150EDC">
              <w:rPr>
                <w:sz w:val="20"/>
              </w:rPr>
              <w:t>(in</w:t>
            </w:r>
            <w:r w:rsidRPr="00150EDC">
              <w:rPr>
                <w:spacing w:val="-5"/>
                <w:sz w:val="20"/>
              </w:rPr>
              <w:t xml:space="preserve"> </w:t>
            </w:r>
            <w:r w:rsidRPr="00150EDC">
              <w:rPr>
                <w:spacing w:val="-2"/>
                <w:sz w:val="20"/>
              </w:rPr>
              <w:t>Capitals)</w:t>
            </w:r>
          </w:p>
        </w:tc>
      </w:tr>
      <w:tr w:rsidR="007D3144" w:rsidRPr="007D3144" w14:paraId="4363BC93" w14:textId="77777777">
        <w:trPr>
          <w:trHeight w:val="351"/>
        </w:trPr>
        <w:tc>
          <w:tcPr>
            <w:tcW w:w="1755" w:type="dxa"/>
          </w:tcPr>
          <w:p w14:paraId="066748E2" w14:textId="77777777" w:rsidR="004C7180" w:rsidRPr="00150EDC" w:rsidRDefault="00CF0754">
            <w:pPr>
              <w:pStyle w:val="TableParagraph"/>
              <w:spacing w:before="121" w:line="210" w:lineRule="exact"/>
              <w:ind w:left="50"/>
              <w:rPr>
                <w:sz w:val="20"/>
              </w:rPr>
            </w:pPr>
            <w:r w:rsidRPr="00150EDC">
              <w:rPr>
                <w:spacing w:val="-2"/>
                <w:sz w:val="20"/>
              </w:rPr>
              <w:t>Address</w:t>
            </w:r>
          </w:p>
        </w:tc>
      </w:tr>
    </w:tbl>
    <w:p w14:paraId="64462F43" w14:textId="77777777" w:rsidR="004C7180" w:rsidRPr="00150EDC" w:rsidRDefault="00CF0754">
      <w:pPr>
        <w:pStyle w:val="BodyText"/>
        <w:spacing w:before="3"/>
        <w:rPr>
          <w:sz w:val="19"/>
        </w:rPr>
      </w:pPr>
      <w:r w:rsidRPr="00150EDC">
        <w:rPr>
          <w:noProof/>
          <w:lang w:val="en-GB" w:eastAsia="en-GB"/>
        </w:rPr>
        <mc:AlternateContent>
          <mc:Choice Requires="wps">
            <w:drawing>
              <wp:anchor distT="0" distB="0" distL="0" distR="0" simplePos="0" relativeHeight="251658275" behindDoc="1" locked="0" layoutInCell="1" allowOverlap="1" wp14:anchorId="0B72FB4B" wp14:editId="551F2C89">
                <wp:simplePos x="0" y="0"/>
                <wp:positionH relativeFrom="page">
                  <wp:posOffset>2234183</wp:posOffset>
                </wp:positionH>
                <wp:positionV relativeFrom="paragraph">
                  <wp:posOffset>155880</wp:posOffset>
                </wp:positionV>
                <wp:extent cx="3807460" cy="1270"/>
                <wp:effectExtent l="0" t="0" r="0" b="0"/>
                <wp:wrapTopAndBottom/>
                <wp:docPr id="24" name="Free-form: 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7460" cy="1270"/>
                        </a:xfrm>
                        <a:custGeom>
                          <a:avLst/>
                          <a:gdLst/>
                          <a:ahLst/>
                          <a:cxnLst/>
                          <a:rect l="l" t="t" r="r" b="b"/>
                          <a:pathLst>
                            <a:path w="3807460">
                              <a:moveTo>
                                <a:pt x="0" y="0"/>
                              </a:moveTo>
                              <a:lnTo>
                                <a:pt x="3806952" y="0"/>
                              </a:lnTo>
                            </a:path>
                          </a:pathLst>
                        </a:custGeom>
                        <a:ln w="6096">
                          <a:solidFill>
                            <a:srgbClr val="000000"/>
                          </a:solidFill>
                          <a:prstDash val="dot"/>
                        </a:ln>
                      </wps:spPr>
                      <wps:bodyPr wrap="square" lIns="0" tIns="0" rIns="0" bIns="0" rtlCol="0">
                        <a:prstTxWarp prst="textNoShape">
                          <a:avLst/>
                        </a:prstTxWarp>
                        <a:noAutofit/>
                      </wps:bodyPr>
                    </wps:wsp>
                  </a:graphicData>
                </a:graphic>
              </wp:anchor>
            </w:drawing>
          </mc:Choice>
          <mc:Fallback>
            <w:pict>
              <v:shape w14:anchorId="26A9A24E" id="Free-form: Shape 24" o:spid="_x0000_s1026" style="position:absolute;margin-left:175.9pt;margin-top:12.25pt;width:299.8pt;height:.1pt;z-index:-251658205;visibility:visible;mso-wrap-style:square;mso-wrap-distance-left:0;mso-wrap-distance-top:0;mso-wrap-distance-right:0;mso-wrap-distance-bottom:0;mso-position-horizontal:absolute;mso-position-horizontal-relative:page;mso-position-vertical:absolute;mso-position-vertical-relative:text;v-text-anchor:top" coordsize="3807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" path="m,l3806952,e" filled="f" strokeweight=".48pt">
                <v:stroke dashstyle="dot"/>
                <v:path arrowok="t"/>
                <w10:wrap type="topAndBottom" anchorx="page"/>
              </v:shape>
            </w:pict>
          </mc:Fallback>
        </mc:AlternateContent>
      </w:r>
    </w:p>
    <w:p w14:paraId="739011B3" w14:textId="77777777" w:rsidR="004C7180" w:rsidRPr="00150EDC" w:rsidRDefault="004C7180">
      <w:pPr>
        <w:rPr>
          <w:sz w:val="19"/>
        </w:rPr>
        <w:sectPr w:rsidR="004C7180" w:rsidRPr="00150EDC">
          <w:headerReference w:type="default" r:id="rId26"/>
          <w:footerReference w:type="default" r:id="rId27"/>
          <w:pgSz w:w="11910" w:h="16840"/>
          <w:pgMar w:top="1160" w:right="0" w:bottom="1380" w:left="40" w:header="715" w:footer="1192" w:gutter="0"/>
          <w:cols w:space="720"/>
        </w:sectPr>
      </w:pPr>
    </w:p>
    <w:p w14:paraId="79040399" w14:textId="77777777" w:rsidR="004C7180" w:rsidRPr="00150EDC" w:rsidRDefault="004C7180">
      <w:pPr>
        <w:pStyle w:val="BodyText"/>
        <w:rPr>
          <w:sz w:val="19"/>
        </w:rPr>
      </w:pPr>
    </w:p>
    <w:p w14:paraId="2A0B034A" w14:textId="77777777" w:rsidR="004C7180" w:rsidRPr="00150EDC" w:rsidRDefault="00CF0754">
      <w:pPr>
        <w:pStyle w:val="Heading1"/>
        <w:spacing w:before="27"/>
        <w:ind w:left="1760" w:firstLine="0"/>
        <w:rPr>
          <w:rFonts w:ascii="Calibri"/>
        </w:rPr>
      </w:pPr>
      <w:bookmarkStart w:id="5" w:name="DPS_Joint_Schedule_3_-_Insurance_Require"/>
      <w:bookmarkEnd w:id="5"/>
      <w:r w:rsidRPr="00150EDC">
        <w:rPr>
          <w:rFonts w:ascii="Calibri"/>
        </w:rPr>
        <w:t>Joint</w:t>
      </w:r>
      <w:r w:rsidRPr="00150EDC">
        <w:rPr>
          <w:rFonts w:ascii="Calibri"/>
          <w:spacing w:val="-8"/>
        </w:rPr>
        <w:t xml:space="preserve"> </w:t>
      </w:r>
      <w:r w:rsidRPr="00150EDC">
        <w:rPr>
          <w:rFonts w:ascii="Calibri"/>
        </w:rPr>
        <w:t>Schedule</w:t>
      </w:r>
      <w:r w:rsidRPr="00150EDC">
        <w:rPr>
          <w:rFonts w:ascii="Calibri"/>
          <w:spacing w:val="-2"/>
        </w:rPr>
        <w:t xml:space="preserve"> </w:t>
      </w:r>
      <w:r w:rsidRPr="00150EDC">
        <w:rPr>
          <w:rFonts w:ascii="Calibri"/>
        </w:rPr>
        <w:t>3</w:t>
      </w:r>
      <w:r w:rsidRPr="00150EDC">
        <w:rPr>
          <w:rFonts w:ascii="Calibri"/>
          <w:spacing w:val="-6"/>
        </w:rPr>
        <w:t xml:space="preserve"> </w:t>
      </w:r>
      <w:r w:rsidRPr="00150EDC">
        <w:rPr>
          <w:rFonts w:ascii="Calibri"/>
        </w:rPr>
        <w:t>(Insurance</w:t>
      </w:r>
      <w:r w:rsidRPr="00150EDC">
        <w:rPr>
          <w:rFonts w:ascii="Calibri"/>
          <w:spacing w:val="-1"/>
        </w:rPr>
        <w:t xml:space="preserve"> </w:t>
      </w:r>
      <w:r w:rsidRPr="00150EDC">
        <w:rPr>
          <w:rFonts w:ascii="Calibri"/>
          <w:spacing w:val="-2"/>
        </w:rPr>
        <w:t>Requirements)</w:t>
      </w:r>
    </w:p>
    <w:p w14:paraId="0389E75B" w14:textId="77777777" w:rsidR="004C7180" w:rsidRPr="00150EDC" w:rsidRDefault="00CF0754" w:rsidP="00B320C7">
      <w:pPr>
        <w:pStyle w:val="ListParagraph"/>
        <w:numPr>
          <w:ilvl w:val="0"/>
          <w:numId w:val="100"/>
        </w:numPr>
        <w:tabs>
          <w:tab w:val="left" w:pos="1938"/>
        </w:tabs>
        <w:spacing w:before="139"/>
        <w:ind w:left="1938" w:hanging="358"/>
        <w:rPr>
          <w:b/>
        </w:rPr>
      </w:pPr>
      <w:r w:rsidRPr="00150EDC">
        <w:rPr>
          <w:b/>
        </w:rPr>
        <w:t>The</w:t>
      </w:r>
      <w:r w:rsidRPr="00150EDC">
        <w:rPr>
          <w:b/>
          <w:spacing w:val="-5"/>
        </w:rPr>
        <w:t xml:space="preserve"> </w:t>
      </w:r>
      <w:r w:rsidRPr="00150EDC">
        <w:rPr>
          <w:b/>
        </w:rPr>
        <w:t>insurance</w:t>
      </w:r>
      <w:r w:rsidRPr="00150EDC">
        <w:rPr>
          <w:b/>
          <w:spacing w:val="-4"/>
        </w:rPr>
        <w:t xml:space="preserve"> </w:t>
      </w:r>
      <w:r w:rsidRPr="00150EDC">
        <w:rPr>
          <w:b/>
        </w:rPr>
        <w:t>you</w:t>
      </w:r>
      <w:r w:rsidRPr="00150EDC">
        <w:rPr>
          <w:b/>
          <w:spacing w:val="-4"/>
        </w:rPr>
        <w:t xml:space="preserve"> </w:t>
      </w:r>
      <w:r w:rsidRPr="00150EDC">
        <w:rPr>
          <w:b/>
        </w:rPr>
        <w:t>need</w:t>
      </w:r>
      <w:r w:rsidRPr="00150EDC">
        <w:rPr>
          <w:b/>
          <w:spacing w:val="-2"/>
        </w:rPr>
        <w:t xml:space="preserve"> </w:t>
      </w:r>
      <w:r w:rsidRPr="00150EDC">
        <w:rPr>
          <w:b/>
        </w:rPr>
        <w:t>to</w:t>
      </w:r>
      <w:r w:rsidRPr="00150EDC">
        <w:rPr>
          <w:b/>
          <w:spacing w:val="-3"/>
        </w:rPr>
        <w:t xml:space="preserve"> </w:t>
      </w:r>
      <w:r w:rsidRPr="00150EDC">
        <w:rPr>
          <w:b/>
          <w:spacing w:val="-4"/>
        </w:rPr>
        <w:t>have</w:t>
      </w:r>
    </w:p>
    <w:p w14:paraId="5C7D4DBF" w14:textId="77777777" w:rsidR="004C7180" w:rsidRPr="00150EDC" w:rsidRDefault="004C7180">
      <w:pPr>
        <w:pStyle w:val="BodyText"/>
        <w:spacing w:before="6"/>
        <w:rPr>
          <w:b/>
          <w:sz w:val="20"/>
        </w:rPr>
      </w:pPr>
    </w:p>
    <w:p w14:paraId="4E1C815C" w14:textId="77777777" w:rsidR="004C7180" w:rsidRPr="00150EDC" w:rsidRDefault="00CF0754" w:rsidP="00B320C7">
      <w:pPr>
        <w:pStyle w:val="ListParagraph"/>
        <w:numPr>
          <w:ilvl w:val="1"/>
          <w:numId w:val="100"/>
        </w:numPr>
        <w:tabs>
          <w:tab w:val="left" w:pos="2298"/>
          <w:tab w:val="left" w:pos="2300"/>
        </w:tabs>
        <w:ind w:right="1435"/>
        <w:jc w:val="both"/>
        <w:rPr>
          <w:rFonts w:ascii="Calibri" w:hAnsi="Calibri"/>
        </w:rPr>
      </w:pPr>
      <w:r w:rsidRPr="00150EDC">
        <w:rPr>
          <w:rFonts w:ascii="Calibri" w:hAnsi="Calibri"/>
        </w:rPr>
        <w:t>The</w:t>
      </w:r>
      <w:r w:rsidRPr="00150EDC">
        <w:rPr>
          <w:rFonts w:ascii="Calibri" w:hAnsi="Calibri"/>
          <w:spacing w:val="-1"/>
        </w:rPr>
        <w:t xml:space="preserve"> </w:t>
      </w:r>
      <w:r w:rsidRPr="00150EDC">
        <w:rPr>
          <w:rFonts w:ascii="Calibri" w:hAnsi="Calibri"/>
        </w:rPr>
        <w:t>Supplier</w:t>
      </w:r>
      <w:r w:rsidRPr="00150EDC">
        <w:rPr>
          <w:rFonts w:ascii="Calibri" w:hAnsi="Calibri"/>
          <w:spacing w:val="-1"/>
        </w:rPr>
        <w:t xml:space="preserve"> </w:t>
      </w:r>
      <w:r w:rsidRPr="00150EDC">
        <w:rPr>
          <w:rFonts w:ascii="Calibri" w:hAnsi="Calibri"/>
        </w:rPr>
        <w:t>shall</w:t>
      </w:r>
      <w:r w:rsidRPr="00150EDC">
        <w:rPr>
          <w:rFonts w:ascii="Calibri" w:hAnsi="Calibri"/>
          <w:spacing w:val="-4"/>
        </w:rPr>
        <w:t xml:space="preserve"> </w:t>
      </w:r>
      <w:r w:rsidRPr="00150EDC">
        <w:rPr>
          <w:rFonts w:ascii="Calibri" w:hAnsi="Calibri"/>
        </w:rPr>
        <w:t>take</w:t>
      </w:r>
      <w:r w:rsidRPr="00150EDC">
        <w:rPr>
          <w:rFonts w:ascii="Calibri" w:hAnsi="Calibri"/>
          <w:spacing w:val="-3"/>
        </w:rPr>
        <w:t xml:space="preserve"> </w:t>
      </w:r>
      <w:r w:rsidRPr="00150EDC">
        <w:rPr>
          <w:rFonts w:ascii="Calibri" w:hAnsi="Calibri"/>
        </w:rPr>
        <w:t>out</w:t>
      </w:r>
      <w:r w:rsidRPr="00150EDC">
        <w:rPr>
          <w:rFonts w:ascii="Calibri" w:hAnsi="Calibri"/>
          <w:spacing w:val="-5"/>
        </w:rPr>
        <w:t xml:space="preserve"> </w:t>
      </w:r>
      <w:r w:rsidRPr="00150EDC">
        <w:rPr>
          <w:rFonts w:ascii="Calibri" w:hAnsi="Calibri"/>
        </w:rPr>
        <w:t>and</w:t>
      </w:r>
      <w:r w:rsidRPr="00150EDC">
        <w:rPr>
          <w:rFonts w:ascii="Calibri" w:hAnsi="Calibri"/>
          <w:spacing w:val="-2"/>
        </w:rPr>
        <w:t xml:space="preserve"> </w:t>
      </w:r>
      <w:r w:rsidRPr="00150EDC">
        <w:rPr>
          <w:rFonts w:ascii="Calibri" w:hAnsi="Calibri"/>
        </w:rPr>
        <w:t>maintain,</w:t>
      </w:r>
      <w:r w:rsidRPr="00150EDC">
        <w:rPr>
          <w:rFonts w:ascii="Calibri" w:hAnsi="Calibri"/>
          <w:spacing w:val="-4"/>
        </w:rPr>
        <w:t xml:space="preserve"> </w:t>
      </w:r>
      <w:r w:rsidRPr="00150EDC">
        <w:rPr>
          <w:rFonts w:ascii="Calibri" w:hAnsi="Calibri"/>
        </w:rPr>
        <w:t>or</w:t>
      </w:r>
      <w:r w:rsidRPr="00150EDC">
        <w:rPr>
          <w:rFonts w:ascii="Calibri" w:hAnsi="Calibri"/>
          <w:spacing w:val="-1"/>
        </w:rPr>
        <w:t xml:space="preserve"> </w:t>
      </w:r>
      <w:r w:rsidRPr="00150EDC">
        <w:rPr>
          <w:rFonts w:ascii="Calibri" w:hAnsi="Calibri"/>
        </w:rPr>
        <w:t>procure</w:t>
      </w:r>
      <w:r w:rsidRPr="00150EDC">
        <w:rPr>
          <w:rFonts w:ascii="Calibri" w:hAnsi="Calibri"/>
          <w:spacing w:val="-3"/>
        </w:rPr>
        <w:t xml:space="preserve"> </w:t>
      </w:r>
      <w:r w:rsidRPr="00150EDC">
        <w:rPr>
          <w:rFonts w:ascii="Calibri" w:hAnsi="Calibri"/>
        </w:rPr>
        <w:t>the</w:t>
      </w:r>
      <w:r w:rsidRPr="00150EDC">
        <w:rPr>
          <w:rFonts w:ascii="Calibri" w:hAnsi="Calibri"/>
          <w:spacing w:val="-1"/>
        </w:rPr>
        <w:t xml:space="preserve"> </w:t>
      </w:r>
      <w:r w:rsidRPr="00150EDC">
        <w:rPr>
          <w:rFonts w:ascii="Calibri" w:hAnsi="Calibri"/>
        </w:rPr>
        <w:t>taking</w:t>
      </w:r>
      <w:r w:rsidRPr="00150EDC">
        <w:rPr>
          <w:rFonts w:ascii="Calibri" w:hAnsi="Calibri"/>
          <w:spacing w:val="-5"/>
        </w:rPr>
        <w:t xml:space="preserve"> </w:t>
      </w:r>
      <w:r w:rsidRPr="00150EDC">
        <w:rPr>
          <w:rFonts w:ascii="Calibri" w:hAnsi="Calibri"/>
        </w:rPr>
        <w:t>out</w:t>
      </w:r>
      <w:r w:rsidRPr="00150EDC">
        <w:rPr>
          <w:rFonts w:ascii="Calibri" w:hAnsi="Calibri"/>
          <w:spacing w:val="-3"/>
        </w:rPr>
        <w:t xml:space="preserve"> </w:t>
      </w:r>
      <w:r w:rsidRPr="00150EDC">
        <w:rPr>
          <w:rFonts w:ascii="Calibri" w:hAnsi="Calibri"/>
        </w:rPr>
        <w:t>and</w:t>
      </w:r>
      <w:r w:rsidRPr="00150EDC">
        <w:rPr>
          <w:rFonts w:ascii="Calibri" w:hAnsi="Calibri"/>
          <w:spacing w:val="-5"/>
        </w:rPr>
        <w:t xml:space="preserve"> </w:t>
      </w:r>
      <w:r w:rsidRPr="00150EDC">
        <w:rPr>
          <w:rFonts w:ascii="Calibri" w:hAnsi="Calibri"/>
        </w:rPr>
        <w:t>maintenance</w:t>
      </w:r>
      <w:r w:rsidRPr="00150EDC">
        <w:rPr>
          <w:rFonts w:ascii="Calibri" w:hAnsi="Calibri"/>
          <w:spacing w:val="-3"/>
        </w:rPr>
        <w:t xml:space="preserve"> </w:t>
      </w:r>
      <w:r w:rsidRPr="00150EDC">
        <w:rPr>
          <w:rFonts w:ascii="Calibri" w:hAnsi="Calibri"/>
        </w:rPr>
        <w:t>of</w:t>
      </w:r>
      <w:r w:rsidRPr="00150EDC">
        <w:rPr>
          <w:rFonts w:ascii="Calibri" w:hAnsi="Calibri"/>
          <w:spacing w:val="-3"/>
        </w:rPr>
        <w:t xml:space="preserve"> </w:t>
      </w:r>
      <w:r w:rsidRPr="00150EDC">
        <w:rPr>
          <w:rFonts w:ascii="Calibri" w:hAnsi="Calibri"/>
        </w:rPr>
        <w:t>the insurances as set out in the Annex to this Schedule, any additional insurances required under</w:t>
      </w:r>
      <w:r w:rsidRPr="00150EDC">
        <w:rPr>
          <w:rFonts w:ascii="Calibri" w:hAnsi="Calibri"/>
          <w:spacing w:val="-3"/>
        </w:rPr>
        <w:t xml:space="preserve"> </w:t>
      </w:r>
      <w:r w:rsidRPr="00150EDC">
        <w:rPr>
          <w:rFonts w:ascii="Calibri" w:hAnsi="Calibri"/>
        </w:rPr>
        <w:t>an</w:t>
      </w:r>
      <w:r w:rsidRPr="00150EDC">
        <w:rPr>
          <w:rFonts w:ascii="Calibri" w:hAnsi="Calibri"/>
          <w:spacing w:val="-6"/>
        </w:rPr>
        <w:t xml:space="preserve"> </w:t>
      </w:r>
      <w:r w:rsidRPr="00150EDC">
        <w:rPr>
          <w:rFonts w:ascii="Calibri" w:hAnsi="Calibri"/>
        </w:rPr>
        <w:t>Order</w:t>
      </w:r>
      <w:r w:rsidRPr="00150EDC">
        <w:rPr>
          <w:rFonts w:ascii="Calibri" w:hAnsi="Calibri"/>
          <w:spacing w:val="-5"/>
        </w:rPr>
        <w:t xml:space="preserve"> </w:t>
      </w:r>
      <w:r w:rsidRPr="00150EDC">
        <w:rPr>
          <w:rFonts w:ascii="Calibri" w:hAnsi="Calibri"/>
        </w:rPr>
        <w:t>Contract</w:t>
      </w:r>
      <w:r w:rsidRPr="00150EDC">
        <w:rPr>
          <w:rFonts w:ascii="Calibri" w:hAnsi="Calibri"/>
          <w:spacing w:val="-5"/>
        </w:rPr>
        <w:t xml:space="preserve"> </w:t>
      </w:r>
      <w:r w:rsidRPr="00150EDC">
        <w:rPr>
          <w:rFonts w:ascii="Calibri" w:hAnsi="Calibri"/>
        </w:rPr>
        <w:t>(specified</w:t>
      </w:r>
      <w:r w:rsidRPr="00150EDC">
        <w:rPr>
          <w:rFonts w:ascii="Calibri" w:hAnsi="Calibri"/>
          <w:spacing w:val="-3"/>
        </w:rPr>
        <w:t xml:space="preserve"> </w:t>
      </w:r>
      <w:r w:rsidRPr="00150EDC">
        <w:rPr>
          <w:rFonts w:ascii="Calibri" w:hAnsi="Calibri"/>
        </w:rPr>
        <w:t>in</w:t>
      </w:r>
      <w:r w:rsidRPr="00150EDC">
        <w:rPr>
          <w:rFonts w:ascii="Calibri" w:hAnsi="Calibri"/>
          <w:spacing w:val="-7"/>
        </w:rPr>
        <w:t xml:space="preserve"> </w:t>
      </w:r>
      <w:r w:rsidRPr="00150EDC">
        <w:rPr>
          <w:rFonts w:ascii="Calibri" w:hAnsi="Calibri"/>
        </w:rPr>
        <w:t>the</w:t>
      </w:r>
      <w:r w:rsidRPr="00150EDC">
        <w:rPr>
          <w:rFonts w:ascii="Calibri" w:hAnsi="Calibri"/>
          <w:spacing w:val="-5"/>
        </w:rPr>
        <w:t xml:space="preserve"> </w:t>
      </w:r>
      <w:r w:rsidRPr="00150EDC">
        <w:rPr>
          <w:rFonts w:ascii="Calibri" w:hAnsi="Calibri"/>
        </w:rPr>
        <w:t>applicable</w:t>
      </w:r>
      <w:r w:rsidRPr="00150EDC">
        <w:rPr>
          <w:rFonts w:ascii="Calibri" w:hAnsi="Calibri"/>
          <w:spacing w:val="-6"/>
        </w:rPr>
        <w:t xml:space="preserve"> </w:t>
      </w:r>
      <w:r w:rsidRPr="00150EDC">
        <w:rPr>
          <w:rFonts w:ascii="Calibri" w:hAnsi="Calibri"/>
        </w:rPr>
        <w:t>Order</w:t>
      </w:r>
      <w:r w:rsidRPr="00150EDC">
        <w:rPr>
          <w:rFonts w:ascii="Calibri" w:hAnsi="Calibri"/>
          <w:spacing w:val="-3"/>
        </w:rPr>
        <w:t xml:space="preserve"> </w:t>
      </w:r>
      <w:r w:rsidRPr="00150EDC">
        <w:rPr>
          <w:rFonts w:ascii="Calibri" w:hAnsi="Calibri"/>
        </w:rPr>
        <w:t>Form)</w:t>
      </w:r>
      <w:r w:rsidRPr="00150EDC">
        <w:rPr>
          <w:rFonts w:ascii="Calibri" w:hAnsi="Calibri"/>
          <w:spacing w:val="-3"/>
        </w:rPr>
        <w:t xml:space="preserve"> </w:t>
      </w:r>
      <w:r w:rsidRPr="00150EDC">
        <w:rPr>
          <w:rFonts w:ascii="Calibri" w:hAnsi="Calibri"/>
        </w:rPr>
        <w:t>("</w:t>
      </w:r>
      <w:r w:rsidRPr="00150EDC">
        <w:rPr>
          <w:rFonts w:ascii="Calibri" w:hAnsi="Calibri"/>
          <w:b/>
        </w:rPr>
        <w:t>Additional</w:t>
      </w:r>
      <w:r w:rsidRPr="00150EDC">
        <w:rPr>
          <w:rFonts w:ascii="Calibri" w:hAnsi="Calibri"/>
          <w:b/>
          <w:spacing w:val="-5"/>
        </w:rPr>
        <w:t xml:space="preserve"> </w:t>
      </w:r>
      <w:r w:rsidRPr="00150EDC">
        <w:rPr>
          <w:rFonts w:ascii="Calibri" w:hAnsi="Calibri"/>
          <w:b/>
        </w:rPr>
        <w:t>Insurances</w:t>
      </w:r>
      <w:r w:rsidRPr="00150EDC">
        <w:rPr>
          <w:rFonts w:ascii="Calibri" w:hAnsi="Calibri"/>
        </w:rPr>
        <w:t>") and</w:t>
      </w:r>
      <w:r w:rsidRPr="00150EDC">
        <w:rPr>
          <w:rFonts w:ascii="Calibri" w:hAnsi="Calibri"/>
          <w:spacing w:val="-11"/>
        </w:rPr>
        <w:t xml:space="preserve"> </w:t>
      </w:r>
      <w:r w:rsidRPr="00150EDC">
        <w:rPr>
          <w:rFonts w:ascii="Calibri" w:hAnsi="Calibri"/>
        </w:rPr>
        <w:t>any</w:t>
      </w:r>
      <w:r w:rsidRPr="00150EDC">
        <w:rPr>
          <w:rFonts w:ascii="Calibri" w:hAnsi="Calibri"/>
          <w:spacing w:val="-12"/>
        </w:rPr>
        <w:t xml:space="preserve"> </w:t>
      </w:r>
      <w:r w:rsidRPr="00150EDC">
        <w:rPr>
          <w:rFonts w:ascii="Calibri" w:hAnsi="Calibri"/>
        </w:rPr>
        <w:t>other</w:t>
      </w:r>
      <w:r w:rsidRPr="00150EDC">
        <w:rPr>
          <w:rFonts w:ascii="Calibri" w:hAnsi="Calibri"/>
          <w:spacing w:val="-12"/>
        </w:rPr>
        <w:t xml:space="preserve"> </w:t>
      </w:r>
      <w:r w:rsidRPr="00150EDC">
        <w:rPr>
          <w:rFonts w:ascii="Calibri" w:hAnsi="Calibri"/>
        </w:rPr>
        <w:t>insurances</w:t>
      </w:r>
      <w:r w:rsidRPr="00150EDC">
        <w:rPr>
          <w:rFonts w:ascii="Calibri" w:hAnsi="Calibri"/>
          <w:spacing w:val="-12"/>
        </w:rPr>
        <w:t xml:space="preserve"> </w:t>
      </w:r>
      <w:r w:rsidRPr="00150EDC">
        <w:rPr>
          <w:rFonts w:ascii="Calibri" w:hAnsi="Calibri"/>
        </w:rPr>
        <w:t>as</w:t>
      </w:r>
      <w:r w:rsidRPr="00150EDC">
        <w:rPr>
          <w:rFonts w:ascii="Calibri" w:hAnsi="Calibri"/>
          <w:spacing w:val="-10"/>
        </w:rPr>
        <w:t xml:space="preserve"> </w:t>
      </w:r>
      <w:r w:rsidRPr="00150EDC">
        <w:rPr>
          <w:rFonts w:ascii="Calibri" w:hAnsi="Calibri"/>
        </w:rPr>
        <w:t>may</w:t>
      </w:r>
      <w:r w:rsidRPr="00150EDC">
        <w:rPr>
          <w:rFonts w:ascii="Calibri" w:hAnsi="Calibri"/>
          <w:spacing w:val="-9"/>
        </w:rPr>
        <w:t xml:space="preserve"> </w:t>
      </w:r>
      <w:r w:rsidRPr="00150EDC">
        <w:rPr>
          <w:rFonts w:ascii="Calibri" w:hAnsi="Calibri"/>
        </w:rPr>
        <w:t>be</w:t>
      </w:r>
      <w:r w:rsidRPr="00150EDC">
        <w:rPr>
          <w:rFonts w:ascii="Calibri" w:hAnsi="Calibri"/>
          <w:spacing w:val="-9"/>
        </w:rPr>
        <w:t xml:space="preserve"> </w:t>
      </w:r>
      <w:r w:rsidRPr="00150EDC">
        <w:rPr>
          <w:rFonts w:ascii="Calibri" w:hAnsi="Calibri"/>
        </w:rPr>
        <w:t>required</w:t>
      </w:r>
      <w:r w:rsidRPr="00150EDC">
        <w:rPr>
          <w:rFonts w:ascii="Calibri" w:hAnsi="Calibri"/>
          <w:spacing w:val="-11"/>
        </w:rPr>
        <w:t xml:space="preserve"> </w:t>
      </w:r>
      <w:r w:rsidRPr="00150EDC">
        <w:rPr>
          <w:rFonts w:ascii="Calibri" w:hAnsi="Calibri"/>
        </w:rPr>
        <w:t>by</w:t>
      </w:r>
      <w:r w:rsidRPr="00150EDC">
        <w:rPr>
          <w:rFonts w:ascii="Calibri" w:hAnsi="Calibri"/>
          <w:spacing w:val="-11"/>
        </w:rPr>
        <w:t xml:space="preserve"> </w:t>
      </w:r>
      <w:r w:rsidRPr="00150EDC">
        <w:rPr>
          <w:rFonts w:ascii="Calibri" w:hAnsi="Calibri"/>
        </w:rPr>
        <w:t>applicable</w:t>
      </w:r>
      <w:r w:rsidRPr="00150EDC">
        <w:rPr>
          <w:rFonts w:ascii="Calibri" w:hAnsi="Calibri"/>
          <w:spacing w:val="-10"/>
        </w:rPr>
        <w:t xml:space="preserve"> </w:t>
      </w:r>
      <w:r w:rsidRPr="00150EDC">
        <w:rPr>
          <w:rFonts w:ascii="Calibri" w:hAnsi="Calibri"/>
        </w:rPr>
        <w:t>Law</w:t>
      </w:r>
      <w:r w:rsidRPr="00150EDC">
        <w:rPr>
          <w:rFonts w:ascii="Calibri" w:hAnsi="Calibri"/>
          <w:spacing w:val="-9"/>
        </w:rPr>
        <w:t xml:space="preserve"> </w:t>
      </w:r>
      <w:r w:rsidRPr="00150EDC">
        <w:rPr>
          <w:rFonts w:ascii="Calibri" w:hAnsi="Calibri"/>
        </w:rPr>
        <w:t>(together</w:t>
      </w:r>
      <w:r w:rsidRPr="00150EDC">
        <w:rPr>
          <w:rFonts w:ascii="Calibri" w:hAnsi="Calibri"/>
          <w:spacing w:val="-12"/>
        </w:rPr>
        <w:t xml:space="preserve"> </w:t>
      </w:r>
      <w:r w:rsidRPr="00150EDC">
        <w:rPr>
          <w:rFonts w:ascii="Calibri" w:hAnsi="Calibri"/>
        </w:rPr>
        <w:t>the</w:t>
      </w:r>
      <w:r w:rsidRPr="00150EDC">
        <w:rPr>
          <w:rFonts w:ascii="Calibri" w:hAnsi="Calibri"/>
          <w:spacing w:val="-12"/>
        </w:rPr>
        <w:t xml:space="preserve"> </w:t>
      </w:r>
      <w:r w:rsidRPr="00150EDC">
        <w:rPr>
          <w:rFonts w:ascii="Calibri" w:hAnsi="Calibri"/>
        </w:rPr>
        <w:t>“</w:t>
      </w:r>
      <w:r w:rsidRPr="00150EDC">
        <w:rPr>
          <w:rFonts w:ascii="Calibri" w:hAnsi="Calibri"/>
          <w:b/>
        </w:rPr>
        <w:t>Insurances</w:t>
      </w:r>
      <w:r w:rsidRPr="00150EDC">
        <w:rPr>
          <w:rFonts w:ascii="Calibri" w:hAnsi="Calibri"/>
        </w:rPr>
        <w:t>”). The Supplier shall ensure that each of the Insurances is effective no later than:</w:t>
      </w:r>
    </w:p>
    <w:p w14:paraId="369B929F" w14:textId="77777777" w:rsidR="004C7180" w:rsidRPr="00150EDC" w:rsidRDefault="00CF0754" w:rsidP="00B320C7">
      <w:pPr>
        <w:pStyle w:val="ListParagraph"/>
        <w:numPr>
          <w:ilvl w:val="2"/>
          <w:numId w:val="100"/>
        </w:numPr>
        <w:tabs>
          <w:tab w:val="left" w:pos="3018"/>
          <w:tab w:val="left" w:pos="3020"/>
        </w:tabs>
        <w:spacing w:before="119"/>
        <w:ind w:right="1442"/>
        <w:jc w:val="both"/>
        <w:rPr>
          <w:rFonts w:ascii="Calibri"/>
        </w:rPr>
      </w:pPr>
      <w:r w:rsidRPr="00150EDC">
        <w:rPr>
          <w:rFonts w:ascii="Calibri"/>
        </w:rPr>
        <w:t>the DPS Start Date in respect of those Insurances set out in the Annex to this Schedule and those required by applicable Law; and</w:t>
      </w:r>
    </w:p>
    <w:p w14:paraId="09549C55" w14:textId="77777777" w:rsidR="004C7180" w:rsidRPr="00150EDC" w:rsidRDefault="00CF0754" w:rsidP="00B320C7">
      <w:pPr>
        <w:pStyle w:val="ListParagraph"/>
        <w:numPr>
          <w:ilvl w:val="2"/>
          <w:numId w:val="100"/>
        </w:numPr>
        <w:tabs>
          <w:tab w:val="left" w:pos="3018"/>
        </w:tabs>
        <w:spacing w:before="120"/>
        <w:ind w:left="3018" w:hanging="718"/>
        <w:jc w:val="both"/>
        <w:rPr>
          <w:rFonts w:ascii="Calibri"/>
        </w:rPr>
      </w:pPr>
      <w:r w:rsidRPr="00150EDC">
        <w:rPr>
          <w:rFonts w:ascii="Calibri"/>
        </w:rPr>
        <w:t>the</w:t>
      </w:r>
      <w:r w:rsidRPr="00150EDC">
        <w:rPr>
          <w:rFonts w:ascii="Calibri"/>
          <w:spacing w:val="-3"/>
        </w:rPr>
        <w:t xml:space="preserve"> </w:t>
      </w:r>
      <w:r w:rsidRPr="00150EDC">
        <w:rPr>
          <w:rFonts w:ascii="Calibri"/>
        </w:rPr>
        <w:t>Order</w:t>
      </w:r>
      <w:r w:rsidRPr="00150EDC">
        <w:rPr>
          <w:rFonts w:ascii="Calibri"/>
          <w:spacing w:val="-5"/>
        </w:rPr>
        <w:t xml:space="preserve"> </w:t>
      </w:r>
      <w:r w:rsidRPr="00150EDC">
        <w:rPr>
          <w:rFonts w:ascii="Calibri"/>
        </w:rPr>
        <w:t>Contract</w:t>
      </w:r>
      <w:r w:rsidRPr="00150EDC">
        <w:rPr>
          <w:rFonts w:ascii="Calibri"/>
          <w:spacing w:val="-5"/>
        </w:rPr>
        <w:t xml:space="preserve"> </w:t>
      </w:r>
      <w:r w:rsidRPr="00150EDC">
        <w:rPr>
          <w:rFonts w:ascii="Calibri"/>
        </w:rPr>
        <w:t>Effective</w:t>
      </w:r>
      <w:r w:rsidRPr="00150EDC">
        <w:rPr>
          <w:rFonts w:ascii="Calibri"/>
          <w:spacing w:val="-3"/>
        </w:rPr>
        <w:t xml:space="preserve"> </w:t>
      </w:r>
      <w:r w:rsidRPr="00150EDC">
        <w:rPr>
          <w:rFonts w:ascii="Calibri"/>
        </w:rPr>
        <w:t>Date</w:t>
      </w:r>
      <w:r w:rsidRPr="00150EDC">
        <w:rPr>
          <w:rFonts w:ascii="Calibri"/>
          <w:spacing w:val="-3"/>
        </w:rPr>
        <w:t xml:space="preserve"> </w:t>
      </w:r>
      <w:r w:rsidRPr="00150EDC">
        <w:rPr>
          <w:rFonts w:ascii="Calibri"/>
        </w:rPr>
        <w:t>in</w:t>
      </w:r>
      <w:r w:rsidRPr="00150EDC">
        <w:rPr>
          <w:rFonts w:ascii="Calibri"/>
          <w:spacing w:val="-3"/>
        </w:rPr>
        <w:t xml:space="preserve"> </w:t>
      </w:r>
      <w:r w:rsidRPr="00150EDC">
        <w:rPr>
          <w:rFonts w:ascii="Calibri"/>
        </w:rPr>
        <w:t>respect</w:t>
      </w:r>
      <w:r w:rsidRPr="00150EDC">
        <w:rPr>
          <w:rFonts w:ascii="Calibri"/>
          <w:spacing w:val="-5"/>
        </w:rPr>
        <w:t xml:space="preserve"> </w:t>
      </w:r>
      <w:r w:rsidRPr="00150EDC">
        <w:rPr>
          <w:rFonts w:ascii="Calibri"/>
        </w:rPr>
        <w:t>of</w:t>
      </w:r>
      <w:r w:rsidRPr="00150EDC">
        <w:rPr>
          <w:rFonts w:ascii="Calibri"/>
          <w:spacing w:val="-3"/>
        </w:rPr>
        <w:t xml:space="preserve"> </w:t>
      </w:r>
      <w:r w:rsidRPr="00150EDC">
        <w:rPr>
          <w:rFonts w:ascii="Calibri"/>
        </w:rPr>
        <w:t>the</w:t>
      </w:r>
      <w:r w:rsidRPr="00150EDC">
        <w:rPr>
          <w:rFonts w:ascii="Calibri"/>
          <w:spacing w:val="-5"/>
        </w:rPr>
        <w:t xml:space="preserve"> </w:t>
      </w:r>
      <w:r w:rsidRPr="00150EDC">
        <w:rPr>
          <w:rFonts w:ascii="Calibri"/>
        </w:rPr>
        <w:t>Additional</w:t>
      </w:r>
      <w:r w:rsidRPr="00150EDC">
        <w:rPr>
          <w:rFonts w:ascii="Calibri"/>
          <w:spacing w:val="-2"/>
        </w:rPr>
        <w:t xml:space="preserve"> Insurances.</w:t>
      </w:r>
    </w:p>
    <w:p w14:paraId="0DFE0FB2" w14:textId="77777777" w:rsidR="004C7180" w:rsidRPr="00150EDC" w:rsidRDefault="00CF0754" w:rsidP="00B320C7">
      <w:pPr>
        <w:pStyle w:val="ListParagraph"/>
        <w:numPr>
          <w:ilvl w:val="1"/>
          <w:numId w:val="100"/>
        </w:numPr>
        <w:tabs>
          <w:tab w:val="left" w:pos="2300"/>
        </w:tabs>
        <w:spacing w:before="122"/>
        <w:rPr>
          <w:rFonts w:ascii="Calibri"/>
        </w:rPr>
      </w:pPr>
      <w:r w:rsidRPr="00150EDC">
        <w:rPr>
          <w:rFonts w:ascii="Calibri"/>
        </w:rPr>
        <w:t>The</w:t>
      </w:r>
      <w:r w:rsidRPr="00150EDC">
        <w:rPr>
          <w:rFonts w:ascii="Calibri"/>
          <w:spacing w:val="-4"/>
        </w:rPr>
        <w:t xml:space="preserve"> </w:t>
      </w:r>
      <w:r w:rsidRPr="00150EDC">
        <w:rPr>
          <w:rFonts w:ascii="Calibri"/>
        </w:rPr>
        <w:t>Insurances</w:t>
      </w:r>
      <w:r w:rsidRPr="00150EDC">
        <w:rPr>
          <w:rFonts w:ascii="Calibri"/>
          <w:spacing w:val="-4"/>
        </w:rPr>
        <w:t xml:space="preserve"> </w:t>
      </w:r>
      <w:r w:rsidRPr="00150EDC">
        <w:rPr>
          <w:rFonts w:ascii="Calibri"/>
        </w:rPr>
        <w:t>shall</w:t>
      </w:r>
      <w:r w:rsidRPr="00150EDC">
        <w:rPr>
          <w:rFonts w:ascii="Calibri"/>
          <w:spacing w:val="-3"/>
        </w:rPr>
        <w:t xml:space="preserve"> </w:t>
      </w:r>
      <w:r w:rsidRPr="00150EDC">
        <w:rPr>
          <w:rFonts w:ascii="Calibri"/>
          <w:spacing w:val="-5"/>
        </w:rPr>
        <w:t>be:</w:t>
      </w:r>
    </w:p>
    <w:p w14:paraId="66ACD696" w14:textId="77777777" w:rsidR="004C7180" w:rsidRPr="00150EDC" w:rsidRDefault="00CF0754" w:rsidP="00B320C7">
      <w:pPr>
        <w:pStyle w:val="ListParagraph"/>
        <w:numPr>
          <w:ilvl w:val="2"/>
          <w:numId w:val="100"/>
        </w:numPr>
        <w:tabs>
          <w:tab w:val="left" w:pos="3018"/>
        </w:tabs>
        <w:spacing w:before="118"/>
        <w:ind w:left="3018" w:hanging="718"/>
        <w:jc w:val="both"/>
        <w:rPr>
          <w:rFonts w:ascii="Calibri"/>
        </w:rPr>
      </w:pPr>
      <w:r w:rsidRPr="00150EDC">
        <w:rPr>
          <w:rFonts w:ascii="Calibri"/>
        </w:rPr>
        <w:t>maintained</w:t>
      </w:r>
      <w:r w:rsidRPr="00150EDC">
        <w:rPr>
          <w:rFonts w:ascii="Calibri"/>
          <w:spacing w:val="-5"/>
        </w:rPr>
        <w:t xml:space="preserve"> </w:t>
      </w:r>
      <w:r w:rsidRPr="00150EDC">
        <w:rPr>
          <w:rFonts w:ascii="Calibri"/>
        </w:rPr>
        <w:t>in</w:t>
      </w:r>
      <w:r w:rsidRPr="00150EDC">
        <w:rPr>
          <w:rFonts w:ascii="Calibri"/>
          <w:spacing w:val="-6"/>
        </w:rPr>
        <w:t xml:space="preserve"> </w:t>
      </w:r>
      <w:r w:rsidRPr="00150EDC">
        <w:rPr>
          <w:rFonts w:ascii="Calibri"/>
        </w:rPr>
        <w:t>accordance</w:t>
      </w:r>
      <w:r w:rsidRPr="00150EDC">
        <w:rPr>
          <w:rFonts w:ascii="Calibri"/>
          <w:spacing w:val="-6"/>
        </w:rPr>
        <w:t xml:space="preserve"> </w:t>
      </w:r>
      <w:r w:rsidRPr="00150EDC">
        <w:rPr>
          <w:rFonts w:ascii="Calibri"/>
        </w:rPr>
        <w:t>with</w:t>
      </w:r>
      <w:r w:rsidRPr="00150EDC">
        <w:rPr>
          <w:rFonts w:ascii="Calibri"/>
          <w:spacing w:val="-5"/>
        </w:rPr>
        <w:t xml:space="preserve"> </w:t>
      </w:r>
      <w:r w:rsidRPr="00150EDC">
        <w:rPr>
          <w:rFonts w:ascii="Calibri"/>
        </w:rPr>
        <w:t>Good</w:t>
      </w:r>
      <w:r w:rsidRPr="00150EDC">
        <w:rPr>
          <w:rFonts w:ascii="Calibri"/>
          <w:spacing w:val="-6"/>
        </w:rPr>
        <w:t xml:space="preserve"> </w:t>
      </w:r>
      <w:r w:rsidRPr="00150EDC">
        <w:rPr>
          <w:rFonts w:ascii="Calibri"/>
        </w:rPr>
        <w:t>Industry</w:t>
      </w:r>
      <w:r w:rsidRPr="00150EDC">
        <w:rPr>
          <w:rFonts w:ascii="Calibri"/>
          <w:spacing w:val="-6"/>
        </w:rPr>
        <w:t xml:space="preserve"> </w:t>
      </w:r>
      <w:r w:rsidRPr="00150EDC">
        <w:rPr>
          <w:rFonts w:ascii="Calibri"/>
          <w:spacing w:val="-2"/>
        </w:rPr>
        <w:t>Practice;</w:t>
      </w:r>
    </w:p>
    <w:p w14:paraId="0FB117CE" w14:textId="77777777" w:rsidR="004C7180" w:rsidRPr="00150EDC" w:rsidRDefault="00CF0754" w:rsidP="00B320C7">
      <w:pPr>
        <w:pStyle w:val="ListParagraph"/>
        <w:numPr>
          <w:ilvl w:val="2"/>
          <w:numId w:val="100"/>
        </w:numPr>
        <w:tabs>
          <w:tab w:val="left" w:pos="3018"/>
          <w:tab w:val="left" w:pos="3020"/>
        </w:tabs>
        <w:spacing w:before="120"/>
        <w:ind w:right="1434"/>
        <w:jc w:val="both"/>
        <w:rPr>
          <w:rFonts w:ascii="Calibri"/>
        </w:rPr>
      </w:pPr>
      <w:r w:rsidRPr="00150EDC">
        <w:rPr>
          <w:rFonts w:ascii="Calibri"/>
        </w:rPr>
        <w:t>(so</w:t>
      </w:r>
      <w:r w:rsidRPr="00150EDC">
        <w:rPr>
          <w:rFonts w:ascii="Calibri"/>
          <w:spacing w:val="-13"/>
        </w:rPr>
        <w:t xml:space="preserve"> </w:t>
      </w:r>
      <w:r w:rsidRPr="00150EDC">
        <w:rPr>
          <w:rFonts w:ascii="Calibri"/>
        </w:rPr>
        <w:t>far</w:t>
      </w:r>
      <w:r w:rsidRPr="00150EDC">
        <w:rPr>
          <w:rFonts w:ascii="Calibri"/>
          <w:spacing w:val="-12"/>
        </w:rPr>
        <w:t xml:space="preserve"> </w:t>
      </w:r>
      <w:r w:rsidRPr="00150EDC">
        <w:rPr>
          <w:rFonts w:ascii="Calibri"/>
        </w:rPr>
        <w:t>as</w:t>
      </w:r>
      <w:r w:rsidRPr="00150EDC">
        <w:rPr>
          <w:rFonts w:ascii="Calibri"/>
          <w:spacing w:val="-13"/>
        </w:rPr>
        <w:t xml:space="preserve"> </w:t>
      </w:r>
      <w:r w:rsidRPr="00150EDC">
        <w:rPr>
          <w:rFonts w:ascii="Calibri"/>
        </w:rPr>
        <w:t>is</w:t>
      </w:r>
      <w:r w:rsidRPr="00150EDC">
        <w:rPr>
          <w:rFonts w:ascii="Calibri"/>
          <w:spacing w:val="-12"/>
        </w:rPr>
        <w:t xml:space="preserve"> </w:t>
      </w:r>
      <w:r w:rsidRPr="00150EDC">
        <w:rPr>
          <w:rFonts w:ascii="Calibri"/>
        </w:rPr>
        <w:t>reasonably</w:t>
      </w:r>
      <w:r w:rsidRPr="00150EDC">
        <w:rPr>
          <w:rFonts w:ascii="Calibri"/>
          <w:spacing w:val="-13"/>
        </w:rPr>
        <w:t xml:space="preserve"> </w:t>
      </w:r>
      <w:r w:rsidRPr="00150EDC">
        <w:rPr>
          <w:rFonts w:ascii="Calibri"/>
        </w:rPr>
        <w:t>practicable)</w:t>
      </w:r>
      <w:r w:rsidRPr="00150EDC">
        <w:rPr>
          <w:rFonts w:ascii="Calibri"/>
          <w:spacing w:val="-12"/>
        </w:rPr>
        <w:t xml:space="preserve"> </w:t>
      </w:r>
      <w:r w:rsidRPr="00150EDC">
        <w:rPr>
          <w:rFonts w:ascii="Calibri"/>
        </w:rPr>
        <w:t>on</w:t>
      </w:r>
      <w:r w:rsidRPr="00150EDC">
        <w:rPr>
          <w:rFonts w:ascii="Calibri"/>
          <w:spacing w:val="-13"/>
        </w:rPr>
        <w:t xml:space="preserve"> </w:t>
      </w:r>
      <w:r w:rsidRPr="00150EDC">
        <w:rPr>
          <w:rFonts w:ascii="Calibri"/>
        </w:rPr>
        <w:t>terms</w:t>
      </w:r>
      <w:r w:rsidRPr="00150EDC">
        <w:rPr>
          <w:rFonts w:ascii="Calibri"/>
          <w:spacing w:val="-12"/>
        </w:rPr>
        <w:t xml:space="preserve"> </w:t>
      </w:r>
      <w:r w:rsidRPr="00150EDC">
        <w:rPr>
          <w:rFonts w:ascii="Calibri"/>
        </w:rPr>
        <w:t>no</w:t>
      </w:r>
      <w:r w:rsidRPr="00150EDC">
        <w:rPr>
          <w:rFonts w:ascii="Calibri"/>
          <w:spacing w:val="-12"/>
        </w:rPr>
        <w:t xml:space="preserve"> </w:t>
      </w:r>
      <w:r w:rsidRPr="00150EDC">
        <w:rPr>
          <w:rFonts w:ascii="Calibri"/>
        </w:rPr>
        <w:t>less</w:t>
      </w:r>
      <w:r w:rsidRPr="00150EDC">
        <w:rPr>
          <w:rFonts w:ascii="Calibri"/>
          <w:spacing w:val="-12"/>
        </w:rPr>
        <w:t xml:space="preserve"> </w:t>
      </w:r>
      <w:r w:rsidRPr="00150EDC">
        <w:rPr>
          <w:rFonts w:ascii="Calibri"/>
        </w:rPr>
        <w:t>favourable</w:t>
      </w:r>
      <w:r w:rsidRPr="00150EDC">
        <w:rPr>
          <w:rFonts w:ascii="Calibri"/>
          <w:spacing w:val="-13"/>
        </w:rPr>
        <w:t xml:space="preserve"> </w:t>
      </w:r>
      <w:r w:rsidRPr="00150EDC">
        <w:rPr>
          <w:rFonts w:ascii="Calibri"/>
        </w:rPr>
        <w:t>than</w:t>
      </w:r>
      <w:r w:rsidRPr="00150EDC">
        <w:rPr>
          <w:rFonts w:ascii="Calibri"/>
          <w:spacing w:val="-12"/>
        </w:rPr>
        <w:t xml:space="preserve"> </w:t>
      </w:r>
      <w:r w:rsidRPr="00150EDC">
        <w:rPr>
          <w:rFonts w:ascii="Calibri"/>
        </w:rPr>
        <w:t>those</w:t>
      </w:r>
      <w:r w:rsidRPr="00150EDC">
        <w:rPr>
          <w:rFonts w:ascii="Calibri"/>
          <w:spacing w:val="-12"/>
        </w:rPr>
        <w:t xml:space="preserve"> </w:t>
      </w:r>
      <w:r w:rsidRPr="00150EDC">
        <w:rPr>
          <w:rFonts w:ascii="Calibri"/>
        </w:rPr>
        <w:t>generally available to a prudent contractor in respect of risks insured in the international insurance market from time to time;</w:t>
      </w:r>
    </w:p>
    <w:p w14:paraId="17EAEF1D" w14:textId="77777777" w:rsidR="004C7180" w:rsidRPr="00150EDC" w:rsidRDefault="00CF0754" w:rsidP="00B320C7">
      <w:pPr>
        <w:pStyle w:val="ListParagraph"/>
        <w:numPr>
          <w:ilvl w:val="2"/>
          <w:numId w:val="100"/>
        </w:numPr>
        <w:tabs>
          <w:tab w:val="left" w:pos="3018"/>
          <w:tab w:val="left" w:pos="3020"/>
        </w:tabs>
        <w:spacing w:before="121"/>
        <w:ind w:right="1441"/>
        <w:jc w:val="both"/>
        <w:rPr>
          <w:rFonts w:ascii="Calibri"/>
        </w:rPr>
      </w:pPr>
      <w:r w:rsidRPr="00150EDC">
        <w:rPr>
          <w:rFonts w:ascii="Calibri"/>
        </w:rPr>
        <w:t>taken</w:t>
      </w:r>
      <w:r w:rsidRPr="00150EDC">
        <w:rPr>
          <w:rFonts w:ascii="Calibri"/>
          <w:spacing w:val="-6"/>
        </w:rPr>
        <w:t xml:space="preserve"> </w:t>
      </w:r>
      <w:r w:rsidRPr="00150EDC">
        <w:rPr>
          <w:rFonts w:ascii="Calibri"/>
        </w:rPr>
        <w:t>out</w:t>
      </w:r>
      <w:r w:rsidRPr="00150EDC">
        <w:rPr>
          <w:rFonts w:ascii="Calibri"/>
          <w:spacing w:val="-4"/>
        </w:rPr>
        <w:t xml:space="preserve"> </w:t>
      </w:r>
      <w:r w:rsidRPr="00150EDC">
        <w:rPr>
          <w:rFonts w:ascii="Calibri"/>
        </w:rPr>
        <w:t>and</w:t>
      </w:r>
      <w:r w:rsidRPr="00150EDC">
        <w:rPr>
          <w:rFonts w:ascii="Calibri"/>
          <w:spacing w:val="-6"/>
        </w:rPr>
        <w:t xml:space="preserve"> </w:t>
      </w:r>
      <w:r w:rsidRPr="00150EDC">
        <w:rPr>
          <w:rFonts w:ascii="Calibri"/>
        </w:rPr>
        <w:t>maintained</w:t>
      </w:r>
      <w:r w:rsidRPr="00150EDC">
        <w:rPr>
          <w:rFonts w:ascii="Calibri"/>
          <w:spacing w:val="-5"/>
        </w:rPr>
        <w:t xml:space="preserve"> </w:t>
      </w:r>
      <w:r w:rsidRPr="00150EDC">
        <w:rPr>
          <w:rFonts w:ascii="Calibri"/>
        </w:rPr>
        <w:t>with</w:t>
      </w:r>
      <w:r w:rsidRPr="00150EDC">
        <w:rPr>
          <w:rFonts w:ascii="Calibri"/>
          <w:spacing w:val="-2"/>
        </w:rPr>
        <w:t xml:space="preserve"> </w:t>
      </w:r>
      <w:r w:rsidRPr="00150EDC">
        <w:rPr>
          <w:rFonts w:ascii="Calibri"/>
        </w:rPr>
        <w:t>insurers</w:t>
      </w:r>
      <w:r w:rsidRPr="00150EDC">
        <w:rPr>
          <w:rFonts w:ascii="Calibri"/>
          <w:spacing w:val="-4"/>
        </w:rPr>
        <w:t xml:space="preserve"> </w:t>
      </w:r>
      <w:r w:rsidRPr="00150EDC">
        <w:rPr>
          <w:rFonts w:ascii="Calibri"/>
        </w:rPr>
        <w:t>of</w:t>
      </w:r>
      <w:r w:rsidRPr="00150EDC">
        <w:rPr>
          <w:rFonts w:ascii="Calibri"/>
          <w:spacing w:val="-2"/>
        </w:rPr>
        <w:t xml:space="preserve"> </w:t>
      </w:r>
      <w:r w:rsidRPr="00150EDC">
        <w:rPr>
          <w:rFonts w:ascii="Calibri"/>
        </w:rPr>
        <w:t>good</w:t>
      </w:r>
      <w:r w:rsidRPr="00150EDC">
        <w:rPr>
          <w:rFonts w:ascii="Calibri"/>
          <w:spacing w:val="-3"/>
        </w:rPr>
        <w:t xml:space="preserve"> </w:t>
      </w:r>
      <w:r w:rsidRPr="00150EDC">
        <w:rPr>
          <w:rFonts w:ascii="Calibri"/>
        </w:rPr>
        <w:t>financial</w:t>
      </w:r>
      <w:r w:rsidRPr="00150EDC">
        <w:rPr>
          <w:rFonts w:ascii="Calibri"/>
          <w:spacing w:val="-3"/>
        </w:rPr>
        <w:t xml:space="preserve"> </w:t>
      </w:r>
      <w:r w:rsidRPr="00150EDC">
        <w:rPr>
          <w:rFonts w:ascii="Calibri"/>
        </w:rPr>
        <w:t>standing</w:t>
      </w:r>
      <w:r w:rsidRPr="00150EDC">
        <w:rPr>
          <w:rFonts w:ascii="Calibri"/>
          <w:spacing w:val="-3"/>
        </w:rPr>
        <w:t xml:space="preserve"> </w:t>
      </w:r>
      <w:r w:rsidRPr="00150EDC">
        <w:rPr>
          <w:rFonts w:ascii="Calibri"/>
        </w:rPr>
        <w:t>and</w:t>
      </w:r>
      <w:r w:rsidRPr="00150EDC">
        <w:rPr>
          <w:rFonts w:ascii="Calibri"/>
          <w:spacing w:val="-6"/>
        </w:rPr>
        <w:t xml:space="preserve"> </w:t>
      </w:r>
      <w:r w:rsidRPr="00150EDC">
        <w:rPr>
          <w:rFonts w:ascii="Calibri"/>
        </w:rPr>
        <w:t>good</w:t>
      </w:r>
      <w:r w:rsidRPr="00150EDC">
        <w:rPr>
          <w:rFonts w:ascii="Calibri"/>
          <w:spacing w:val="-3"/>
        </w:rPr>
        <w:t xml:space="preserve"> </w:t>
      </w:r>
      <w:r w:rsidRPr="00150EDC">
        <w:rPr>
          <w:rFonts w:ascii="Calibri"/>
        </w:rPr>
        <w:t>repute in the international insurance market; and</w:t>
      </w:r>
    </w:p>
    <w:p w14:paraId="2AE3E4A2" w14:textId="77777777" w:rsidR="004C7180" w:rsidRPr="00150EDC" w:rsidRDefault="00CF0754" w:rsidP="00B320C7">
      <w:pPr>
        <w:pStyle w:val="ListParagraph"/>
        <w:numPr>
          <w:ilvl w:val="2"/>
          <w:numId w:val="100"/>
        </w:numPr>
        <w:tabs>
          <w:tab w:val="left" w:pos="3018"/>
        </w:tabs>
        <w:spacing w:before="118"/>
        <w:ind w:left="3018" w:hanging="718"/>
        <w:jc w:val="both"/>
        <w:rPr>
          <w:rFonts w:ascii="Calibri"/>
        </w:rPr>
      </w:pPr>
      <w:r w:rsidRPr="00150EDC">
        <w:rPr>
          <w:rFonts w:ascii="Calibri"/>
        </w:rPr>
        <w:t>maintained</w:t>
      </w:r>
      <w:r w:rsidRPr="00150EDC">
        <w:rPr>
          <w:rFonts w:ascii="Calibri"/>
          <w:spacing w:val="-3"/>
        </w:rPr>
        <w:t xml:space="preserve"> </w:t>
      </w:r>
      <w:r w:rsidRPr="00150EDC">
        <w:rPr>
          <w:rFonts w:ascii="Calibri"/>
        </w:rPr>
        <w:t>for</w:t>
      </w:r>
      <w:r w:rsidRPr="00150EDC">
        <w:rPr>
          <w:rFonts w:ascii="Calibri"/>
          <w:spacing w:val="-3"/>
        </w:rPr>
        <w:t xml:space="preserve"> </w:t>
      </w:r>
      <w:r w:rsidRPr="00150EDC">
        <w:rPr>
          <w:rFonts w:ascii="Calibri"/>
        </w:rPr>
        <w:t>at</w:t>
      </w:r>
      <w:r w:rsidRPr="00150EDC">
        <w:rPr>
          <w:rFonts w:ascii="Calibri"/>
          <w:spacing w:val="-3"/>
        </w:rPr>
        <w:t xml:space="preserve"> </w:t>
      </w:r>
      <w:r w:rsidRPr="00150EDC">
        <w:rPr>
          <w:rFonts w:ascii="Calibri"/>
        </w:rPr>
        <w:t>least</w:t>
      </w:r>
      <w:r w:rsidRPr="00150EDC">
        <w:rPr>
          <w:rFonts w:ascii="Calibri"/>
          <w:spacing w:val="-2"/>
        </w:rPr>
        <w:t xml:space="preserve"> </w:t>
      </w:r>
      <w:r w:rsidRPr="00150EDC">
        <w:rPr>
          <w:rFonts w:ascii="Calibri"/>
        </w:rPr>
        <w:t>six</w:t>
      </w:r>
      <w:r w:rsidRPr="00150EDC">
        <w:rPr>
          <w:rFonts w:ascii="Calibri"/>
          <w:spacing w:val="-3"/>
        </w:rPr>
        <w:t xml:space="preserve"> </w:t>
      </w:r>
      <w:r w:rsidRPr="00150EDC">
        <w:rPr>
          <w:rFonts w:ascii="Calibri"/>
        </w:rPr>
        <w:t>(6)</w:t>
      </w:r>
      <w:r w:rsidRPr="00150EDC">
        <w:rPr>
          <w:rFonts w:ascii="Calibri"/>
          <w:spacing w:val="-5"/>
        </w:rPr>
        <w:t xml:space="preserve"> </w:t>
      </w:r>
      <w:r w:rsidRPr="00150EDC">
        <w:rPr>
          <w:rFonts w:ascii="Calibri"/>
        </w:rPr>
        <w:t>years</w:t>
      </w:r>
      <w:r w:rsidRPr="00150EDC">
        <w:rPr>
          <w:rFonts w:ascii="Calibri"/>
          <w:spacing w:val="-5"/>
        </w:rPr>
        <w:t xml:space="preserve"> </w:t>
      </w:r>
      <w:r w:rsidRPr="00150EDC">
        <w:rPr>
          <w:rFonts w:ascii="Calibri"/>
        </w:rPr>
        <w:t>after</w:t>
      </w:r>
      <w:r w:rsidRPr="00150EDC">
        <w:rPr>
          <w:rFonts w:ascii="Calibri"/>
          <w:spacing w:val="-5"/>
        </w:rPr>
        <w:t xml:space="preserve"> </w:t>
      </w:r>
      <w:r w:rsidRPr="00150EDC">
        <w:rPr>
          <w:rFonts w:ascii="Calibri"/>
        </w:rPr>
        <w:t>the</w:t>
      </w:r>
      <w:r w:rsidRPr="00150EDC">
        <w:rPr>
          <w:rFonts w:ascii="Calibri"/>
          <w:spacing w:val="-5"/>
        </w:rPr>
        <w:t xml:space="preserve"> </w:t>
      </w:r>
      <w:r w:rsidRPr="00150EDC">
        <w:rPr>
          <w:rFonts w:ascii="Calibri"/>
        </w:rPr>
        <w:t>End</w:t>
      </w:r>
      <w:r w:rsidRPr="00150EDC">
        <w:rPr>
          <w:rFonts w:ascii="Calibri"/>
          <w:spacing w:val="-4"/>
        </w:rPr>
        <w:t xml:space="preserve"> Date.</w:t>
      </w:r>
    </w:p>
    <w:p w14:paraId="03C6DE11" w14:textId="77777777" w:rsidR="004C7180" w:rsidRPr="00150EDC" w:rsidRDefault="00CF0754" w:rsidP="00B320C7">
      <w:pPr>
        <w:pStyle w:val="ListParagraph"/>
        <w:numPr>
          <w:ilvl w:val="1"/>
          <w:numId w:val="100"/>
        </w:numPr>
        <w:tabs>
          <w:tab w:val="left" w:pos="2298"/>
          <w:tab w:val="left" w:pos="2300"/>
        </w:tabs>
        <w:spacing w:before="121"/>
        <w:ind w:right="1436"/>
        <w:jc w:val="both"/>
        <w:rPr>
          <w:rFonts w:ascii="Calibri"/>
        </w:rPr>
      </w:pPr>
      <w:r w:rsidRPr="00150EDC">
        <w:rPr>
          <w:rFonts w:ascii="Calibri"/>
        </w:rPr>
        <w:t>The Supplier shall ensure that the public and products liability policy contain an indemnity to principals clause under which the Relevant Authority shall be indemnified in respect of claims</w:t>
      </w:r>
      <w:r w:rsidRPr="00150EDC">
        <w:rPr>
          <w:rFonts w:ascii="Calibri"/>
          <w:spacing w:val="-13"/>
        </w:rPr>
        <w:t xml:space="preserve"> </w:t>
      </w:r>
      <w:r w:rsidRPr="00150EDC">
        <w:rPr>
          <w:rFonts w:ascii="Calibri"/>
        </w:rPr>
        <w:t>made</w:t>
      </w:r>
      <w:r w:rsidRPr="00150EDC">
        <w:rPr>
          <w:rFonts w:ascii="Calibri"/>
          <w:spacing w:val="-12"/>
        </w:rPr>
        <w:t xml:space="preserve"> </w:t>
      </w:r>
      <w:r w:rsidRPr="00150EDC">
        <w:rPr>
          <w:rFonts w:ascii="Calibri"/>
        </w:rPr>
        <w:t>against</w:t>
      </w:r>
      <w:r w:rsidRPr="00150EDC">
        <w:rPr>
          <w:rFonts w:ascii="Calibri"/>
          <w:spacing w:val="-11"/>
        </w:rPr>
        <w:t xml:space="preserve"> </w:t>
      </w:r>
      <w:r w:rsidRPr="00150EDC">
        <w:rPr>
          <w:rFonts w:ascii="Calibri"/>
        </w:rPr>
        <w:t>the</w:t>
      </w:r>
      <w:r w:rsidRPr="00150EDC">
        <w:rPr>
          <w:rFonts w:ascii="Calibri"/>
          <w:spacing w:val="-12"/>
        </w:rPr>
        <w:t xml:space="preserve"> </w:t>
      </w:r>
      <w:r w:rsidRPr="00150EDC">
        <w:rPr>
          <w:rFonts w:ascii="Calibri"/>
        </w:rPr>
        <w:t>Relevant</w:t>
      </w:r>
      <w:r w:rsidRPr="00150EDC">
        <w:rPr>
          <w:rFonts w:ascii="Calibri"/>
          <w:spacing w:val="-10"/>
        </w:rPr>
        <w:t xml:space="preserve"> </w:t>
      </w:r>
      <w:r w:rsidRPr="00150EDC">
        <w:rPr>
          <w:rFonts w:ascii="Calibri"/>
        </w:rPr>
        <w:t>Authority</w:t>
      </w:r>
      <w:r w:rsidRPr="00150EDC">
        <w:rPr>
          <w:rFonts w:ascii="Calibri"/>
          <w:spacing w:val="-10"/>
        </w:rPr>
        <w:t xml:space="preserve"> </w:t>
      </w:r>
      <w:r w:rsidRPr="00150EDC">
        <w:rPr>
          <w:rFonts w:ascii="Calibri"/>
        </w:rPr>
        <w:t>in</w:t>
      </w:r>
      <w:r w:rsidRPr="00150EDC">
        <w:rPr>
          <w:rFonts w:ascii="Calibri"/>
          <w:spacing w:val="-12"/>
        </w:rPr>
        <w:t xml:space="preserve"> </w:t>
      </w:r>
      <w:r w:rsidRPr="00150EDC">
        <w:rPr>
          <w:rFonts w:ascii="Calibri"/>
        </w:rPr>
        <w:t>respect</w:t>
      </w:r>
      <w:r w:rsidRPr="00150EDC">
        <w:rPr>
          <w:rFonts w:ascii="Calibri"/>
          <w:spacing w:val="-12"/>
        </w:rPr>
        <w:t xml:space="preserve"> </w:t>
      </w:r>
      <w:r w:rsidRPr="00150EDC">
        <w:rPr>
          <w:rFonts w:ascii="Calibri"/>
        </w:rPr>
        <w:t>of</w:t>
      </w:r>
      <w:r w:rsidRPr="00150EDC">
        <w:rPr>
          <w:rFonts w:ascii="Calibri"/>
          <w:spacing w:val="-11"/>
        </w:rPr>
        <w:t xml:space="preserve"> </w:t>
      </w:r>
      <w:r w:rsidRPr="00150EDC">
        <w:rPr>
          <w:rFonts w:ascii="Calibri"/>
        </w:rPr>
        <w:t>death</w:t>
      </w:r>
      <w:r w:rsidRPr="00150EDC">
        <w:rPr>
          <w:rFonts w:ascii="Calibri"/>
          <w:spacing w:val="-13"/>
        </w:rPr>
        <w:t xml:space="preserve"> </w:t>
      </w:r>
      <w:r w:rsidRPr="00150EDC">
        <w:rPr>
          <w:rFonts w:ascii="Calibri"/>
        </w:rPr>
        <w:t>or</w:t>
      </w:r>
      <w:r w:rsidRPr="00150EDC">
        <w:rPr>
          <w:rFonts w:ascii="Calibri"/>
          <w:spacing w:val="-11"/>
        </w:rPr>
        <w:t xml:space="preserve"> </w:t>
      </w:r>
      <w:r w:rsidRPr="00150EDC">
        <w:rPr>
          <w:rFonts w:ascii="Calibri"/>
        </w:rPr>
        <w:t>bodily</w:t>
      </w:r>
      <w:r w:rsidRPr="00150EDC">
        <w:rPr>
          <w:rFonts w:ascii="Calibri"/>
          <w:spacing w:val="-10"/>
        </w:rPr>
        <w:t xml:space="preserve"> </w:t>
      </w:r>
      <w:r w:rsidRPr="00150EDC">
        <w:rPr>
          <w:rFonts w:ascii="Calibri"/>
        </w:rPr>
        <w:t>injury</w:t>
      </w:r>
      <w:r w:rsidRPr="00150EDC">
        <w:rPr>
          <w:rFonts w:ascii="Calibri"/>
          <w:spacing w:val="-12"/>
        </w:rPr>
        <w:t xml:space="preserve"> </w:t>
      </w:r>
      <w:r w:rsidRPr="00150EDC">
        <w:rPr>
          <w:rFonts w:ascii="Calibri"/>
        </w:rPr>
        <w:t>or</w:t>
      </w:r>
      <w:r w:rsidRPr="00150EDC">
        <w:rPr>
          <w:rFonts w:ascii="Calibri"/>
          <w:spacing w:val="-13"/>
        </w:rPr>
        <w:t xml:space="preserve"> </w:t>
      </w:r>
      <w:r w:rsidRPr="00150EDC">
        <w:rPr>
          <w:rFonts w:ascii="Calibri"/>
        </w:rPr>
        <w:t>third</w:t>
      </w:r>
      <w:r w:rsidRPr="00150EDC">
        <w:rPr>
          <w:rFonts w:ascii="Calibri"/>
          <w:spacing w:val="-11"/>
        </w:rPr>
        <w:t xml:space="preserve"> </w:t>
      </w:r>
      <w:r w:rsidRPr="00150EDC">
        <w:rPr>
          <w:rFonts w:ascii="Calibri"/>
        </w:rPr>
        <w:t>party property damage arising out of or in connection with the Deliverables and for which the Supplier is legally liable.</w:t>
      </w:r>
    </w:p>
    <w:p w14:paraId="7F41E307" w14:textId="77777777" w:rsidR="004C7180" w:rsidRPr="00150EDC" w:rsidRDefault="00CF0754" w:rsidP="00B320C7">
      <w:pPr>
        <w:pStyle w:val="ListParagraph"/>
        <w:numPr>
          <w:ilvl w:val="0"/>
          <w:numId w:val="100"/>
        </w:numPr>
        <w:tabs>
          <w:tab w:val="left" w:pos="1938"/>
        </w:tabs>
        <w:spacing w:before="121"/>
        <w:ind w:left="1938" w:hanging="358"/>
        <w:rPr>
          <w:b/>
        </w:rPr>
      </w:pPr>
      <w:r w:rsidRPr="00150EDC">
        <w:rPr>
          <w:b/>
        </w:rPr>
        <w:t>How</w:t>
      </w:r>
      <w:r w:rsidRPr="00150EDC">
        <w:rPr>
          <w:b/>
          <w:spacing w:val="-2"/>
        </w:rPr>
        <w:t xml:space="preserve"> </w:t>
      </w:r>
      <w:r w:rsidRPr="00150EDC">
        <w:rPr>
          <w:b/>
        </w:rPr>
        <w:t>to</w:t>
      </w:r>
      <w:r w:rsidRPr="00150EDC">
        <w:rPr>
          <w:b/>
          <w:spacing w:val="-6"/>
        </w:rPr>
        <w:t xml:space="preserve"> </w:t>
      </w:r>
      <w:r w:rsidRPr="00150EDC">
        <w:rPr>
          <w:b/>
        </w:rPr>
        <w:t>manage</w:t>
      </w:r>
      <w:r w:rsidRPr="00150EDC">
        <w:rPr>
          <w:b/>
          <w:spacing w:val="-3"/>
        </w:rPr>
        <w:t xml:space="preserve"> </w:t>
      </w:r>
      <w:r w:rsidRPr="00150EDC">
        <w:rPr>
          <w:b/>
        </w:rPr>
        <w:t>the</w:t>
      </w:r>
      <w:r w:rsidRPr="00150EDC">
        <w:rPr>
          <w:b/>
          <w:spacing w:val="-4"/>
        </w:rPr>
        <w:t xml:space="preserve"> </w:t>
      </w:r>
      <w:r w:rsidRPr="00150EDC">
        <w:rPr>
          <w:b/>
          <w:spacing w:val="-2"/>
        </w:rPr>
        <w:t>insurance</w:t>
      </w:r>
    </w:p>
    <w:p w14:paraId="1DAF6DDE" w14:textId="77777777" w:rsidR="004C7180" w:rsidRPr="00150EDC" w:rsidRDefault="004C7180">
      <w:pPr>
        <w:pStyle w:val="BodyText"/>
        <w:spacing w:before="7"/>
        <w:rPr>
          <w:b/>
          <w:sz w:val="20"/>
        </w:rPr>
      </w:pPr>
    </w:p>
    <w:p w14:paraId="6E16ADE5" w14:textId="77777777" w:rsidR="004C7180" w:rsidRPr="00150EDC" w:rsidRDefault="00CF0754" w:rsidP="00B320C7">
      <w:pPr>
        <w:pStyle w:val="ListParagraph"/>
        <w:numPr>
          <w:ilvl w:val="1"/>
          <w:numId w:val="100"/>
        </w:numPr>
        <w:tabs>
          <w:tab w:val="left" w:pos="2300"/>
        </w:tabs>
        <w:rPr>
          <w:rFonts w:ascii="Calibri"/>
        </w:rPr>
      </w:pPr>
      <w:r w:rsidRPr="00150EDC">
        <w:rPr>
          <w:rFonts w:ascii="Calibri"/>
        </w:rPr>
        <w:t>Without</w:t>
      </w:r>
      <w:r w:rsidRPr="00150EDC">
        <w:rPr>
          <w:rFonts w:ascii="Calibri"/>
          <w:spacing w:val="-7"/>
        </w:rPr>
        <w:t xml:space="preserve"> </w:t>
      </w:r>
      <w:r w:rsidRPr="00150EDC">
        <w:rPr>
          <w:rFonts w:ascii="Calibri"/>
        </w:rPr>
        <w:t>limiting</w:t>
      </w:r>
      <w:r w:rsidRPr="00150EDC">
        <w:rPr>
          <w:rFonts w:ascii="Calibri"/>
          <w:spacing w:val="-4"/>
        </w:rPr>
        <w:t xml:space="preserve"> </w:t>
      </w:r>
      <w:r w:rsidRPr="00150EDC">
        <w:rPr>
          <w:rFonts w:ascii="Calibri"/>
        </w:rPr>
        <w:t>the</w:t>
      </w:r>
      <w:r w:rsidRPr="00150EDC">
        <w:rPr>
          <w:rFonts w:ascii="Calibri"/>
          <w:spacing w:val="-4"/>
        </w:rPr>
        <w:t xml:space="preserve"> </w:t>
      </w:r>
      <w:r w:rsidRPr="00150EDC">
        <w:rPr>
          <w:rFonts w:ascii="Calibri"/>
        </w:rPr>
        <w:t>other</w:t>
      </w:r>
      <w:r w:rsidRPr="00150EDC">
        <w:rPr>
          <w:rFonts w:ascii="Calibri"/>
          <w:spacing w:val="-5"/>
        </w:rPr>
        <w:t xml:space="preserve"> </w:t>
      </w:r>
      <w:r w:rsidRPr="00150EDC">
        <w:rPr>
          <w:rFonts w:ascii="Calibri"/>
        </w:rPr>
        <w:t>provisions</w:t>
      </w:r>
      <w:r w:rsidRPr="00150EDC">
        <w:rPr>
          <w:rFonts w:ascii="Calibri"/>
          <w:spacing w:val="-4"/>
        </w:rPr>
        <w:t xml:space="preserve"> </w:t>
      </w:r>
      <w:r w:rsidRPr="00150EDC">
        <w:rPr>
          <w:rFonts w:ascii="Calibri"/>
        </w:rPr>
        <w:t>of</w:t>
      </w:r>
      <w:r w:rsidRPr="00150EDC">
        <w:rPr>
          <w:rFonts w:ascii="Calibri"/>
          <w:spacing w:val="-3"/>
        </w:rPr>
        <w:t xml:space="preserve"> </w:t>
      </w:r>
      <w:r w:rsidRPr="00150EDC">
        <w:rPr>
          <w:rFonts w:ascii="Calibri"/>
        </w:rPr>
        <w:t>this</w:t>
      </w:r>
      <w:r w:rsidRPr="00150EDC">
        <w:rPr>
          <w:rFonts w:ascii="Calibri"/>
          <w:spacing w:val="-6"/>
        </w:rPr>
        <w:t xml:space="preserve"> </w:t>
      </w:r>
      <w:r w:rsidRPr="00150EDC">
        <w:rPr>
          <w:rFonts w:ascii="Calibri"/>
        </w:rPr>
        <w:t>Contract,</w:t>
      </w:r>
      <w:r w:rsidRPr="00150EDC">
        <w:rPr>
          <w:rFonts w:ascii="Calibri"/>
          <w:spacing w:val="-6"/>
        </w:rPr>
        <w:t xml:space="preserve"> </w:t>
      </w:r>
      <w:r w:rsidRPr="00150EDC">
        <w:rPr>
          <w:rFonts w:ascii="Calibri"/>
        </w:rPr>
        <w:t>the</w:t>
      </w:r>
      <w:r w:rsidRPr="00150EDC">
        <w:rPr>
          <w:rFonts w:ascii="Calibri"/>
          <w:spacing w:val="-3"/>
        </w:rPr>
        <w:t xml:space="preserve"> </w:t>
      </w:r>
      <w:r w:rsidRPr="00150EDC">
        <w:rPr>
          <w:rFonts w:ascii="Calibri"/>
        </w:rPr>
        <w:t>Supplier</w:t>
      </w:r>
      <w:r w:rsidRPr="00150EDC">
        <w:rPr>
          <w:rFonts w:ascii="Calibri"/>
          <w:spacing w:val="-2"/>
        </w:rPr>
        <w:t xml:space="preserve"> shall:</w:t>
      </w:r>
    </w:p>
    <w:p w14:paraId="771A18A2" w14:textId="77777777" w:rsidR="004C7180" w:rsidRPr="00150EDC" w:rsidRDefault="00CF0754" w:rsidP="00B320C7">
      <w:pPr>
        <w:pStyle w:val="ListParagraph"/>
        <w:numPr>
          <w:ilvl w:val="2"/>
          <w:numId w:val="100"/>
        </w:numPr>
        <w:tabs>
          <w:tab w:val="left" w:pos="3018"/>
          <w:tab w:val="left" w:pos="3020"/>
        </w:tabs>
        <w:spacing w:before="118"/>
        <w:ind w:right="1438"/>
        <w:jc w:val="both"/>
        <w:rPr>
          <w:rFonts w:ascii="Calibri"/>
        </w:rPr>
      </w:pPr>
      <w:r w:rsidRPr="00150EDC">
        <w:rPr>
          <w:rFonts w:ascii="Calibri"/>
        </w:rPr>
        <w:t>take or procure the taking of all reasonable risk management and risk control measures in relation to Deliverables as it would be reasonable to expect of a prudent</w:t>
      </w:r>
      <w:r w:rsidRPr="00150EDC">
        <w:rPr>
          <w:rFonts w:ascii="Calibri"/>
          <w:spacing w:val="-1"/>
        </w:rPr>
        <w:t xml:space="preserve"> </w:t>
      </w:r>
      <w:r w:rsidRPr="00150EDC">
        <w:rPr>
          <w:rFonts w:ascii="Calibri"/>
        </w:rPr>
        <w:t>contractor</w:t>
      </w:r>
      <w:r w:rsidRPr="00150EDC">
        <w:rPr>
          <w:rFonts w:ascii="Calibri"/>
          <w:spacing w:val="-4"/>
        </w:rPr>
        <w:t xml:space="preserve"> </w:t>
      </w:r>
      <w:r w:rsidRPr="00150EDC">
        <w:rPr>
          <w:rFonts w:ascii="Calibri"/>
        </w:rPr>
        <w:t>acting</w:t>
      </w:r>
      <w:r w:rsidRPr="00150EDC">
        <w:rPr>
          <w:rFonts w:ascii="Calibri"/>
          <w:spacing w:val="-5"/>
        </w:rPr>
        <w:t xml:space="preserve"> </w:t>
      </w:r>
      <w:r w:rsidRPr="00150EDC">
        <w:rPr>
          <w:rFonts w:ascii="Calibri"/>
        </w:rPr>
        <w:t>in</w:t>
      </w:r>
      <w:r w:rsidRPr="00150EDC">
        <w:rPr>
          <w:rFonts w:ascii="Calibri"/>
          <w:spacing w:val="-2"/>
        </w:rPr>
        <w:t xml:space="preserve"> </w:t>
      </w:r>
      <w:r w:rsidRPr="00150EDC">
        <w:rPr>
          <w:rFonts w:ascii="Calibri"/>
        </w:rPr>
        <w:t>accordance</w:t>
      </w:r>
      <w:r w:rsidRPr="00150EDC">
        <w:rPr>
          <w:rFonts w:ascii="Calibri"/>
          <w:spacing w:val="-3"/>
        </w:rPr>
        <w:t xml:space="preserve"> </w:t>
      </w:r>
      <w:r w:rsidRPr="00150EDC">
        <w:rPr>
          <w:rFonts w:ascii="Calibri"/>
        </w:rPr>
        <w:t>with</w:t>
      </w:r>
      <w:r w:rsidRPr="00150EDC">
        <w:rPr>
          <w:rFonts w:ascii="Calibri"/>
          <w:spacing w:val="-2"/>
        </w:rPr>
        <w:t xml:space="preserve"> </w:t>
      </w:r>
      <w:r w:rsidRPr="00150EDC">
        <w:rPr>
          <w:rFonts w:ascii="Calibri"/>
        </w:rPr>
        <w:t>Good</w:t>
      </w:r>
      <w:r w:rsidRPr="00150EDC">
        <w:rPr>
          <w:rFonts w:ascii="Calibri"/>
          <w:spacing w:val="-2"/>
        </w:rPr>
        <w:t xml:space="preserve"> </w:t>
      </w:r>
      <w:r w:rsidRPr="00150EDC">
        <w:rPr>
          <w:rFonts w:ascii="Calibri"/>
        </w:rPr>
        <w:t>Industry</w:t>
      </w:r>
      <w:r w:rsidRPr="00150EDC">
        <w:rPr>
          <w:rFonts w:ascii="Calibri"/>
          <w:spacing w:val="-3"/>
        </w:rPr>
        <w:t xml:space="preserve"> </w:t>
      </w:r>
      <w:r w:rsidRPr="00150EDC">
        <w:rPr>
          <w:rFonts w:ascii="Calibri"/>
        </w:rPr>
        <w:t>Practice,</w:t>
      </w:r>
      <w:r w:rsidRPr="00150EDC">
        <w:rPr>
          <w:rFonts w:ascii="Calibri"/>
          <w:spacing w:val="-4"/>
        </w:rPr>
        <w:t xml:space="preserve"> </w:t>
      </w:r>
      <w:r w:rsidRPr="00150EDC">
        <w:rPr>
          <w:rFonts w:ascii="Calibri"/>
        </w:rPr>
        <w:t>including</w:t>
      </w:r>
      <w:r w:rsidRPr="00150EDC">
        <w:rPr>
          <w:rFonts w:ascii="Calibri"/>
          <w:spacing w:val="-2"/>
        </w:rPr>
        <w:t xml:space="preserve"> </w:t>
      </w:r>
      <w:r w:rsidRPr="00150EDC">
        <w:rPr>
          <w:rFonts w:ascii="Calibri"/>
        </w:rPr>
        <w:t>the investigation and reports of relevant claims to insurers;</w:t>
      </w:r>
    </w:p>
    <w:p w14:paraId="3F2FF52A" w14:textId="77777777" w:rsidR="004C7180" w:rsidRPr="00150EDC" w:rsidRDefault="00CF0754" w:rsidP="00B320C7">
      <w:pPr>
        <w:pStyle w:val="ListParagraph"/>
        <w:numPr>
          <w:ilvl w:val="2"/>
          <w:numId w:val="100"/>
        </w:numPr>
        <w:tabs>
          <w:tab w:val="left" w:pos="3018"/>
          <w:tab w:val="left" w:pos="3020"/>
        </w:tabs>
        <w:spacing w:before="119"/>
        <w:ind w:right="1442"/>
        <w:jc w:val="both"/>
        <w:rPr>
          <w:rFonts w:ascii="Calibri"/>
        </w:rPr>
      </w:pPr>
      <w:r w:rsidRPr="00150EDC">
        <w:rPr>
          <w:rFonts w:ascii="Calibri"/>
        </w:rPr>
        <w:t>promptly notify the insurers in writing of any relevant material fact under any Insurances of which the Supplier is or becomes aware; and</w:t>
      </w:r>
    </w:p>
    <w:p w14:paraId="2DDD1EE8" w14:textId="77777777" w:rsidR="004C7180" w:rsidRPr="00150EDC" w:rsidRDefault="00CF0754" w:rsidP="00B320C7">
      <w:pPr>
        <w:pStyle w:val="ListParagraph"/>
        <w:numPr>
          <w:ilvl w:val="2"/>
          <w:numId w:val="100"/>
        </w:numPr>
        <w:tabs>
          <w:tab w:val="left" w:pos="3018"/>
          <w:tab w:val="left" w:pos="3020"/>
        </w:tabs>
        <w:spacing w:before="120"/>
        <w:ind w:right="1436"/>
        <w:jc w:val="both"/>
        <w:rPr>
          <w:rFonts w:ascii="Calibri"/>
        </w:rPr>
      </w:pPr>
      <w:r w:rsidRPr="00150EDC">
        <w:rPr>
          <w:rFonts w:ascii="Calibri"/>
        </w:rPr>
        <w:t>hold all policies in respect of the Insurances and cause any insurance broker effecting the Insurances to hold any insurance slips and other evidence of placing cover representing any of the Insurances to which it is a party.</w:t>
      </w:r>
    </w:p>
    <w:p w14:paraId="16F76B2C" w14:textId="77777777" w:rsidR="004C7180" w:rsidRPr="00150EDC" w:rsidRDefault="00CF0754" w:rsidP="00B320C7">
      <w:pPr>
        <w:pStyle w:val="ListParagraph"/>
        <w:numPr>
          <w:ilvl w:val="0"/>
          <w:numId w:val="100"/>
        </w:numPr>
        <w:tabs>
          <w:tab w:val="left" w:pos="1938"/>
        </w:tabs>
        <w:spacing w:before="123"/>
        <w:ind w:left="1938" w:hanging="358"/>
        <w:rPr>
          <w:b/>
        </w:rPr>
      </w:pPr>
      <w:r w:rsidRPr="00150EDC">
        <w:rPr>
          <w:b/>
          <w:w w:val="105"/>
        </w:rPr>
        <w:t>What</w:t>
      </w:r>
      <w:r w:rsidRPr="00150EDC">
        <w:rPr>
          <w:b/>
          <w:spacing w:val="-17"/>
          <w:w w:val="105"/>
        </w:rPr>
        <w:t xml:space="preserve"> </w:t>
      </w:r>
      <w:r w:rsidRPr="00150EDC">
        <w:rPr>
          <w:b/>
          <w:w w:val="105"/>
        </w:rPr>
        <w:t>happens</w:t>
      </w:r>
      <w:r w:rsidRPr="00150EDC">
        <w:rPr>
          <w:b/>
          <w:spacing w:val="-15"/>
          <w:w w:val="105"/>
        </w:rPr>
        <w:t xml:space="preserve"> </w:t>
      </w:r>
      <w:r w:rsidRPr="00150EDC">
        <w:rPr>
          <w:b/>
          <w:w w:val="105"/>
        </w:rPr>
        <w:t>if</w:t>
      </w:r>
      <w:r w:rsidRPr="00150EDC">
        <w:rPr>
          <w:b/>
          <w:spacing w:val="-15"/>
          <w:w w:val="105"/>
        </w:rPr>
        <w:t xml:space="preserve"> </w:t>
      </w:r>
      <w:r w:rsidRPr="00150EDC">
        <w:rPr>
          <w:b/>
          <w:w w:val="105"/>
        </w:rPr>
        <w:t>you</w:t>
      </w:r>
      <w:r w:rsidRPr="00150EDC">
        <w:rPr>
          <w:b/>
          <w:spacing w:val="-14"/>
          <w:w w:val="105"/>
        </w:rPr>
        <w:t xml:space="preserve"> </w:t>
      </w:r>
      <w:r w:rsidRPr="00150EDC">
        <w:rPr>
          <w:b/>
          <w:w w:val="115"/>
        </w:rPr>
        <w:t>aren</w:t>
      </w:r>
      <w:r w:rsidRPr="00150EDC">
        <w:rPr>
          <w:rFonts w:ascii="Times New Roman" w:hAnsi="Times New Roman"/>
          <w:w w:val="115"/>
        </w:rPr>
        <w:t>’</w:t>
      </w:r>
      <w:r w:rsidRPr="00150EDC">
        <w:rPr>
          <w:b/>
          <w:w w:val="115"/>
        </w:rPr>
        <w:t>t</w:t>
      </w:r>
      <w:r w:rsidRPr="00150EDC">
        <w:rPr>
          <w:b/>
          <w:spacing w:val="-18"/>
          <w:w w:val="115"/>
        </w:rPr>
        <w:t xml:space="preserve"> </w:t>
      </w:r>
      <w:r w:rsidRPr="00150EDC">
        <w:rPr>
          <w:b/>
          <w:spacing w:val="-2"/>
          <w:w w:val="105"/>
        </w:rPr>
        <w:t>insured</w:t>
      </w:r>
    </w:p>
    <w:p w14:paraId="2CD73600" w14:textId="77777777" w:rsidR="004C7180" w:rsidRPr="00150EDC" w:rsidRDefault="004C7180">
      <w:pPr>
        <w:pStyle w:val="BodyText"/>
        <w:spacing w:before="10"/>
        <w:rPr>
          <w:b/>
          <w:sz w:val="21"/>
        </w:rPr>
      </w:pPr>
    </w:p>
    <w:p w14:paraId="573F6E9F" w14:textId="77777777" w:rsidR="004C7180" w:rsidRPr="00150EDC" w:rsidRDefault="00CF0754" w:rsidP="00B320C7">
      <w:pPr>
        <w:pStyle w:val="ListParagraph"/>
        <w:numPr>
          <w:ilvl w:val="1"/>
          <w:numId w:val="100"/>
        </w:numPr>
        <w:tabs>
          <w:tab w:val="left" w:pos="2298"/>
          <w:tab w:val="left" w:pos="2300"/>
        </w:tabs>
        <w:ind w:right="1441"/>
        <w:jc w:val="both"/>
        <w:rPr>
          <w:rFonts w:ascii="Calibri"/>
        </w:rPr>
      </w:pPr>
      <w:r w:rsidRPr="00150EDC">
        <w:rPr>
          <w:rFonts w:ascii="Calibri"/>
        </w:rPr>
        <w:t>The Supplier shall not take any action or fail to take any action or (insofar as is reasonably within its power) permit anything to occur in relation to it which would entitle any insurer to refuse to pay any claim under any of the Insurances.</w:t>
      </w:r>
    </w:p>
    <w:p w14:paraId="3783B4AF" w14:textId="77777777" w:rsidR="004C7180" w:rsidRPr="00150EDC" w:rsidRDefault="00CF0754" w:rsidP="00B320C7">
      <w:pPr>
        <w:pStyle w:val="ListParagraph"/>
        <w:numPr>
          <w:ilvl w:val="1"/>
          <w:numId w:val="100"/>
        </w:numPr>
        <w:tabs>
          <w:tab w:val="left" w:pos="2298"/>
          <w:tab w:val="left" w:pos="2300"/>
        </w:tabs>
        <w:spacing w:before="122"/>
        <w:ind w:right="1435"/>
        <w:jc w:val="both"/>
        <w:rPr>
          <w:rFonts w:ascii="Calibri"/>
        </w:rPr>
      </w:pPr>
      <w:r w:rsidRPr="00150EDC">
        <w:rPr>
          <w:rFonts w:ascii="Calibri"/>
        </w:rPr>
        <w:t>Where</w:t>
      </w:r>
      <w:r w:rsidRPr="00150EDC">
        <w:rPr>
          <w:rFonts w:ascii="Calibri"/>
          <w:spacing w:val="-11"/>
        </w:rPr>
        <w:t xml:space="preserve"> </w:t>
      </w:r>
      <w:r w:rsidRPr="00150EDC">
        <w:rPr>
          <w:rFonts w:ascii="Calibri"/>
        </w:rPr>
        <w:t>the</w:t>
      </w:r>
      <w:r w:rsidRPr="00150EDC">
        <w:rPr>
          <w:rFonts w:ascii="Calibri"/>
          <w:spacing w:val="-9"/>
        </w:rPr>
        <w:t xml:space="preserve"> </w:t>
      </w:r>
      <w:r w:rsidRPr="00150EDC">
        <w:rPr>
          <w:rFonts w:ascii="Calibri"/>
        </w:rPr>
        <w:t>Supplier</w:t>
      </w:r>
      <w:r w:rsidRPr="00150EDC">
        <w:rPr>
          <w:rFonts w:ascii="Calibri"/>
          <w:spacing w:val="-9"/>
        </w:rPr>
        <w:t xml:space="preserve"> </w:t>
      </w:r>
      <w:r w:rsidRPr="00150EDC">
        <w:rPr>
          <w:rFonts w:ascii="Calibri"/>
        </w:rPr>
        <w:t>has</w:t>
      </w:r>
      <w:r w:rsidRPr="00150EDC">
        <w:rPr>
          <w:rFonts w:ascii="Calibri"/>
          <w:spacing w:val="-11"/>
        </w:rPr>
        <w:t xml:space="preserve"> </w:t>
      </w:r>
      <w:r w:rsidRPr="00150EDC">
        <w:rPr>
          <w:rFonts w:ascii="Calibri"/>
        </w:rPr>
        <w:t>failed</w:t>
      </w:r>
      <w:r w:rsidRPr="00150EDC">
        <w:rPr>
          <w:rFonts w:ascii="Calibri"/>
          <w:spacing w:val="-9"/>
        </w:rPr>
        <w:t xml:space="preserve"> </w:t>
      </w:r>
      <w:r w:rsidRPr="00150EDC">
        <w:rPr>
          <w:rFonts w:ascii="Calibri"/>
        </w:rPr>
        <w:t>to</w:t>
      </w:r>
      <w:r w:rsidRPr="00150EDC">
        <w:rPr>
          <w:rFonts w:ascii="Calibri"/>
          <w:spacing w:val="-8"/>
        </w:rPr>
        <w:t xml:space="preserve"> </w:t>
      </w:r>
      <w:r w:rsidRPr="00150EDC">
        <w:rPr>
          <w:rFonts w:ascii="Calibri"/>
        </w:rPr>
        <w:t>purchase</w:t>
      </w:r>
      <w:r w:rsidRPr="00150EDC">
        <w:rPr>
          <w:rFonts w:ascii="Calibri"/>
          <w:spacing w:val="-11"/>
        </w:rPr>
        <w:t xml:space="preserve"> </w:t>
      </w:r>
      <w:r w:rsidRPr="00150EDC">
        <w:rPr>
          <w:rFonts w:ascii="Calibri"/>
        </w:rPr>
        <w:t>or</w:t>
      </w:r>
      <w:r w:rsidRPr="00150EDC">
        <w:rPr>
          <w:rFonts w:ascii="Calibri"/>
          <w:spacing w:val="-12"/>
        </w:rPr>
        <w:t xml:space="preserve"> </w:t>
      </w:r>
      <w:r w:rsidRPr="00150EDC">
        <w:rPr>
          <w:rFonts w:ascii="Calibri"/>
        </w:rPr>
        <w:t>maintain</w:t>
      </w:r>
      <w:r w:rsidRPr="00150EDC">
        <w:rPr>
          <w:rFonts w:ascii="Calibri"/>
          <w:spacing w:val="-12"/>
        </w:rPr>
        <w:t xml:space="preserve"> </w:t>
      </w:r>
      <w:r w:rsidRPr="00150EDC">
        <w:rPr>
          <w:rFonts w:ascii="Calibri"/>
        </w:rPr>
        <w:t>any</w:t>
      </w:r>
      <w:r w:rsidRPr="00150EDC">
        <w:rPr>
          <w:rFonts w:ascii="Calibri"/>
          <w:spacing w:val="-8"/>
        </w:rPr>
        <w:t xml:space="preserve"> </w:t>
      </w:r>
      <w:r w:rsidRPr="00150EDC">
        <w:rPr>
          <w:rFonts w:ascii="Calibri"/>
        </w:rPr>
        <w:t>of</w:t>
      </w:r>
      <w:r w:rsidRPr="00150EDC">
        <w:rPr>
          <w:rFonts w:ascii="Calibri"/>
          <w:spacing w:val="-12"/>
        </w:rPr>
        <w:t xml:space="preserve"> </w:t>
      </w:r>
      <w:r w:rsidRPr="00150EDC">
        <w:rPr>
          <w:rFonts w:ascii="Calibri"/>
        </w:rPr>
        <w:t>the</w:t>
      </w:r>
      <w:r w:rsidRPr="00150EDC">
        <w:rPr>
          <w:rFonts w:ascii="Calibri"/>
          <w:spacing w:val="-11"/>
        </w:rPr>
        <w:t xml:space="preserve"> </w:t>
      </w:r>
      <w:r w:rsidRPr="00150EDC">
        <w:rPr>
          <w:rFonts w:ascii="Calibri"/>
        </w:rPr>
        <w:t>Insurances</w:t>
      </w:r>
      <w:r w:rsidRPr="00150EDC">
        <w:rPr>
          <w:rFonts w:ascii="Calibri"/>
          <w:spacing w:val="-9"/>
        </w:rPr>
        <w:t xml:space="preserve"> </w:t>
      </w:r>
      <w:r w:rsidRPr="00150EDC">
        <w:rPr>
          <w:rFonts w:ascii="Calibri"/>
        </w:rPr>
        <w:t>in</w:t>
      </w:r>
      <w:r w:rsidRPr="00150EDC">
        <w:rPr>
          <w:rFonts w:ascii="Calibri"/>
          <w:spacing w:val="-12"/>
        </w:rPr>
        <w:t xml:space="preserve"> </w:t>
      </w:r>
      <w:r w:rsidRPr="00150EDC">
        <w:rPr>
          <w:rFonts w:ascii="Calibri"/>
        </w:rPr>
        <w:t>full</w:t>
      </w:r>
      <w:r w:rsidRPr="00150EDC">
        <w:rPr>
          <w:rFonts w:ascii="Calibri"/>
          <w:spacing w:val="-9"/>
        </w:rPr>
        <w:t xml:space="preserve"> </w:t>
      </w:r>
      <w:r w:rsidRPr="00150EDC">
        <w:rPr>
          <w:rFonts w:ascii="Calibri"/>
        </w:rPr>
        <w:t>force</w:t>
      </w:r>
      <w:r w:rsidRPr="00150EDC">
        <w:rPr>
          <w:rFonts w:ascii="Calibri"/>
          <w:spacing w:val="-8"/>
        </w:rPr>
        <w:t xml:space="preserve"> </w:t>
      </w:r>
      <w:r w:rsidRPr="00150EDC">
        <w:rPr>
          <w:rFonts w:ascii="Calibri"/>
        </w:rPr>
        <w:t>and effect, the Relevant Authority may elect (but shall not be obliged) following written notice to the Supplier to purchase the relevant Insurances and recover the reasonable premium</w:t>
      </w:r>
    </w:p>
    <w:p w14:paraId="52B77F21" w14:textId="77777777" w:rsidR="004C7180" w:rsidRPr="00150EDC" w:rsidRDefault="004C7180">
      <w:pPr>
        <w:jc w:val="both"/>
        <w:rPr>
          <w:rFonts w:ascii="Calibri"/>
        </w:rPr>
        <w:sectPr w:rsidR="004C7180" w:rsidRPr="00150EDC">
          <w:headerReference w:type="default" r:id="rId28"/>
          <w:footerReference w:type="default" r:id="rId29"/>
          <w:pgSz w:w="11910" w:h="16840"/>
          <w:pgMar w:top="1180" w:right="0" w:bottom="1420" w:left="40" w:header="751" w:footer="1227" w:gutter="0"/>
          <w:pgNumType w:start="1"/>
          <w:cols w:space="720"/>
        </w:sectPr>
      </w:pPr>
    </w:p>
    <w:p w14:paraId="649501DB" w14:textId="77777777" w:rsidR="004C7180" w:rsidRPr="00150EDC" w:rsidRDefault="004C7180">
      <w:pPr>
        <w:pStyle w:val="BodyText"/>
        <w:spacing w:before="5"/>
        <w:rPr>
          <w:rFonts w:ascii="Calibri"/>
          <w:sz w:val="15"/>
        </w:rPr>
      </w:pPr>
    </w:p>
    <w:p w14:paraId="43752BD7" w14:textId="77777777" w:rsidR="004C7180" w:rsidRPr="00150EDC" w:rsidRDefault="00CF0754">
      <w:pPr>
        <w:spacing w:before="56"/>
        <w:ind w:left="2300" w:right="1459"/>
        <w:rPr>
          <w:rFonts w:ascii="Calibri"/>
        </w:rPr>
      </w:pPr>
      <w:r w:rsidRPr="00150EDC">
        <w:rPr>
          <w:rFonts w:ascii="Calibri"/>
        </w:rPr>
        <w:t>and</w:t>
      </w:r>
      <w:r w:rsidRPr="00150EDC">
        <w:rPr>
          <w:rFonts w:ascii="Calibri"/>
          <w:spacing w:val="40"/>
        </w:rPr>
        <w:t xml:space="preserve"> </w:t>
      </w:r>
      <w:r w:rsidRPr="00150EDC">
        <w:rPr>
          <w:rFonts w:ascii="Calibri"/>
        </w:rPr>
        <w:t>other</w:t>
      </w:r>
      <w:r w:rsidRPr="00150EDC">
        <w:rPr>
          <w:rFonts w:ascii="Calibri"/>
          <w:spacing w:val="40"/>
        </w:rPr>
        <w:t xml:space="preserve"> </w:t>
      </w:r>
      <w:r w:rsidRPr="00150EDC">
        <w:rPr>
          <w:rFonts w:ascii="Calibri"/>
        </w:rPr>
        <w:t>reasonable</w:t>
      </w:r>
      <w:r w:rsidRPr="00150EDC">
        <w:rPr>
          <w:rFonts w:ascii="Calibri"/>
          <w:spacing w:val="40"/>
        </w:rPr>
        <w:t xml:space="preserve"> </w:t>
      </w:r>
      <w:r w:rsidRPr="00150EDC">
        <w:rPr>
          <w:rFonts w:ascii="Calibri"/>
        </w:rPr>
        <w:t>costs</w:t>
      </w:r>
      <w:r w:rsidRPr="00150EDC">
        <w:rPr>
          <w:rFonts w:ascii="Calibri"/>
          <w:spacing w:val="40"/>
        </w:rPr>
        <w:t xml:space="preserve"> </w:t>
      </w:r>
      <w:r w:rsidRPr="00150EDC">
        <w:rPr>
          <w:rFonts w:ascii="Calibri"/>
        </w:rPr>
        <w:t>incurred</w:t>
      </w:r>
      <w:r w:rsidRPr="00150EDC">
        <w:rPr>
          <w:rFonts w:ascii="Calibri"/>
          <w:spacing w:val="40"/>
        </w:rPr>
        <w:t xml:space="preserve"> </w:t>
      </w:r>
      <w:r w:rsidRPr="00150EDC">
        <w:rPr>
          <w:rFonts w:ascii="Calibri"/>
        </w:rPr>
        <w:t>in</w:t>
      </w:r>
      <w:r w:rsidRPr="00150EDC">
        <w:rPr>
          <w:rFonts w:ascii="Calibri"/>
          <w:spacing w:val="40"/>
        </w:rPr>
        <w:t xml:space="preserve"> </w:t>
      </w:r>
      <w:r w:rsidRPr="00150EDC">
        <w:rPr>
          <w:rFonts w:ascii="Calibri"/>
        </w:rPr>
        <w:t>connection</w:t>
      </w:r>
      <w:r w:rsidRPr="00150EDC">
        <w:rPr>
          <w:rFonts w:ascii="Calibri"/>
          <w:spacing w:val="40"/>
        </w:rPr>
        <w:t xml:space="preserve"> </w:t>
      </w:r>
      <w:r w:rsidRPr="00150EDC">
        <w:rPr>
          <w:rFonts w:ascii="Calibri"/>
        </w:rPr>
        <w:t>therewith</w:t>
      </w:r>
      <w:r w:rsidRPr="00150EDC">
        <w:rPr>
          <w:rFonts w:ascii="Calibri"/>
          <w:spacing w:val="40"/>
        </w:rPr>
        <w:t xml:space="preserve"> </w:t>
      </w:r>
      <w:r w:rsidRPr="00150EDC">
        <w:rPr>
          <w:rFonts w:ascii="Calibri"/>
        </w:rPr>
        <w:t>as</w:t>
      </w:r>
      <w:r w:rsidRPr="00150EDC">
        <w:rPr>
          <w:rFonts w:ascii="Calibri"/>
          <w:spacing w:val="40"/>
        </w:rPr>
        <w:t xml:space="preserve"> </w:t>
      </w:r>
      <w:r w:rsidRPr="00150EDC">
        <w:rPr>
          <w:rFonts w:ascii="Calibri"/>
        </w:rPr>
        <w:t>a</w:t>
      </w:r>
      <w:r w:rsidRPr="00150EDC">
        <w:rPr>
          <w:rFonts w:ascii="Calibri"/>
          <w:spacing w:val="40"/>
        </w:rPr>
        <w:t xml:space="preserve"> </w:t>
      </w:r>
      <w:r w:rsidRPr="00150EDC">
        <w:rPr>
          <w:rFonts w:ascii="Calibri"/>
        </w:rPr>
        <w:t>debt</w:t>
      </w:r>
      <w:r w:rsidRPr="00150EDC">
        <w:rPr>
          <w:rFonts w:ascii="Calibri"/>
          <w:spacing w:val="40"/>
        </w:rPr>
        <w:t xml:space="preserve"> </w:t>
      </w:r>
      <w:r w:rsidRPr="00150EDC">
        <w:rPr>
          <w:rFonts w:ascii="Calibri"/>
        </w:rPr>
        <w:t>due</w:t>
      </w:r>
      <w:r w:rsidRPr="00150EDC">
        <w:rPr>
          <w:rFonts w:ascii="Calibri"/>
          <w:spacing w:val="40"/>
        </w:rPr>
        <w:t xml:space="preserve"> </w:t>
      </w:r>
      <w:r w:rsidRPr="00150EDC">
        <w:rPr>
          <w:rFonts w:ascii="Calibri"/>
        </w:rPr>
        <w:t>from</w:t>
      </w:r>
      <w:r w:rsidRPr="00150EDC">
        <w:rPr>
          <w:rFonts w:ascii="Calibri"/>
          <w:spacing w:val="40"/>
        </w:rPr>
        <w:t xml:space="preserve"> </w:t>
      </w:r>
      <w:r w:rsidRPr="00150EDC">
        <w:rPr>
          <w:rFonts w:ascii="Calibri"/>
        </w:rPr>
        <w:t xml:space="preserve">the </w:t>
      </w:r>
      <w:r w:rsidRPr="00150EDC">
        <w:rPr>
          <w:rFonts w:ascii="Calibri"/>
          <w:spacing w:val="-2"/>
        </w:rPr>
        <w:t>Supplier.</w:t>
      </w:r>
    </w:p>
    <w:p w14:paraId="011FA58F" w14:textId="77777777" w:rsidR="004C7180" w:rsidRPr="00150EDC" w:rsidRDefault="00CF0754" w:rsidP="00B320C7">
      <w:pPr>
        <w:pStyle w:val="ListParagraph"/>
        <w:numPr>
          <w:ilvl w:val="0"/>
          <w:numId w:val="100"/>
        </w:numPr>
        <w:tabs>
          <w:tab w:val="left" w:pos="1938"/>
        </w:tabs>
        <w:spacing w:before="122"/>
        <w:ind w:left="1938" w:hanging="358"/>
        <w:rPr>
          <w:b/>
        </w:rPr>
      </w:pPr>
      <w:r w:rsidRPr="00150EDC">
        <w:rPr>
          <w:b/>
        </w:rPr>
        <w:t>Evidence</w:t>
      </w:r>
      <w:r w:rsidRPr="00150EDC">
        <w:rPr>
          <w:b/>
          <w:spacing w:val="-3"/>
        </w:rPr>
        <w:t xml:space="preserve"> </w:t>
      </w:r>
      <w:r w:rsidRPr="00150EDC">
        <w:rPr>
          <w:b/>
        </w:rPr>
        <w:t>of</w:t>
      </w:r>
      <w:r w:rsidRPr="00150EDC">
        <w:rPr>
          <w:b/>
          <w:spacing w:val="-7"/>
        </w:rPr>
        <w:t xml:space="preserve"> </w:t>
      </w:r>
      <w:r w:rsidRPr="00150EDC">
        <w:rPr>
          <w:b/>
        </w:rPr>
        <w:t>insurance</w:t>
      </w:r>
      <w:r w:rsidRPr="00150EDC">
        <w:rPr>
          <w:b/>
          <w:spacing w:val="-4"/>
        </w:rPr>
        <w:t xml:space="preserve"> </w:t>
      </w:r>
      <w:r w:rsidRPr="00150EDC">
        <w:rPr>
          <w:b/>
        </w:rPr>
        <w:t>you</w:t>
      </w:r>
      <w:r w:rsidRPr="00150EDC">
        <w:rPr>
          <w:b/>
          <w:spacing w:val="-3"/>
        </w:rPr>
        <w:t xml:space="preserve"> </w:t>
      </w:r>
      <w:r w:rsidRPr="00150EDC">
        <w:rPr>
          <w:b/>
        </w:rPr>
        <w:t>must</w:t>
      </w:r>
      <w:r w:rsidRPr="00150EDC">
        <w:rPr>
          <w:b/>
          <w:spacing w:val="-1"/>
        </w:rPr>
        <w:t xml:space="preserve"> </w:t>
      </w:r>
      <w:r w:rsidRPr="00150EDC">
        <w:rPr>
          <w:b/>
          <w:spacing w:val="-2"/>
        </w:rPr>
        <w:t>provide</w:t>
      </w:r>
    </w:p>
    <w:p w14:paraId="361F193F" w14:textId="77777777" w:rsidR="004C7180" w:rsidRPr="00150EDC" w:rsidRDefault="004C7180">
      <w:pPr>
        <w:pStyle w:val="BodyText"/>
        <w:spacing w:before="5"/>
        <w:rPr>
          <w:b/>
          <w:sz w:val="20"/>
        </w:rPr>
      </w:pPr>
    </w:p>
    <w:p w14:paraId="62184580" w14:textId="77777777" w:rsidR="004C7180" w:rsidRPr="00150EDC" w:rsidRDefault="00CF0754" w:rsidP="00B320C7">
      <w:pPr>
        <w:pStyle w:val="ListParagraph"/>
        <w:numPr>
          <w:ilvl w:val="1"/>
          <w:numId w:val="100"/>
        </w:numPr>
        <w:tabs>
          <w:tab w:val="left" w:pos="2298"/>
          <w:tab w:val="left" w:pos="2300"/>
        </w:tabs>
        <w:spacing w:before="1"/>
        <w:ind w:right="1433"/>
        <w:jc w:val="both"/>
        <w:rPr>
          <w:rFonts w:ascii="Calibri"/>
        </w:rPr>
      </w:pPr>
      <w:r w:rsidRPr="00150EDC">
        <w:rPr>
          <w:rFonts w:ascii="Calibri"/>
        </w:rPr>
        <w:t>The</w:t>
      </w:r>
      <w:r w:rsidRPr="00150EDC">
        <w:rPr>
          <w:rFonts w:ascii="Calibri"/>
          <w:spacing w:val="-9"/>
        </w:rPr>
        <w:t xml:space="preserve"> </w:t>
      </w:r>
      <w:r w:rsidRPr="00150EDC">
        <w:rPr>
          <w:rFonts w:ascii="Calibri"/>
        </w:rPr>
        <w:t>Supplier</w:t>
      </w:r>
      <w:r w:rsidRPr="00150EDC">
        <w:rPr>
          <w:rFonts w:ascii="Calibri"/>
          <w:spacing w:val="-11"/>
        </w:rPr>
        <w:t xml:space="preserve"> </w:t>
      </w:r>
      <w:r w:rsidRPr="00150EDC">
        <w:rPr>
          <w:rFonts w:ascii="Calibri"/>
        </w:rPr>
        <w:t>shall</w:t>
      </w:r>
      <w:r w:rsidRPr="00150EDC">
        <w:rPr>
          <w:rFonts w:ascii="Calibri"/>
          <w:spacing w:val="-9"/>
        </w:rPr>
        <w:t xml:space="preserve"> </w:t>
      </w:r>
      <w:r w:rsidRPr="00150EDC">
        <w:rPr>
          <w:rFonts w:ascii="Calibri"/>
        </w:rPr>
        <w:t>upon</w:t>
      </w:r>
      <w:r w:rsidRPr="00150EDC">
        <w:rPr>
          <w:rFonts w:ascii="Calibri"/>
          <w:spacing w:val="-10"/>
        </w:rPr>
        <w:t xml:space="preserve"> </w:t>
      </w:r>
      <w:r w:rsidRPr="00150EDC">
        <w:rPr>
          <w:rFonts w:ascii="Calibri"/>
        </w:rPr>
        <w:t>the</w:t>
      </w:r>
      <w:r w:rsidRPr="00150EDC">
        <w:rPr>
          <w:rFonts w:ascii="Calibri"/>
          <w:spacing w:val="-11"/>
        </w:rPr>
        <w:t xml:space="preserve"> </w:t>
      </w:r>
      <w:r w:rsidRPr="00150EDC">
        <w:rPr>
          <w:rFonts w:ascii="Calibri"/>
        </w:rPr>
        <w:t>Start</w:t>
      </w:r>
      <w:r w:rsidRPr="00150EDC">
        <w:rPr>
          <w:rFonts w:ascii="Calibri"/>
          <w:spacing w:val="-12"/>
        </w:rPr>
        <w:t xml:space="preserve"> </w:t>
      </w:r>
      <w:r w:rsidRPr="00150EDC">
        <w:rPr>
          <w:rFonts w:ascii="Calibri"/>
        </w:rPr>
        <w:t>Date</w:t>
      </w:r>
      <w:r w:rsidRPr="00150EDC">
        <w:rPr>
          <w:rFonts w:ascii="Calibri"/>
          <w:spacing w:val="-8"/>
        </w:rPr>
        <w:t xml:space="preserve"> </w:t>
      </w:r>
      <w:r w:rsidRPr="00150EDC">
        <w:rPr>
          <w:rFonts w:ascii="Calibri"/>
        </w:rPr>
        <w:t>and</w:t>
      </w:r>
      <w:r w:rsidRPr="00150EDC">
        <w:rPr>
          <w:rFonts w:ascii="Calibri"/>
          <w:spacing w:val="-12"/>
        </w:rPr>
        <w:t xml:space="preserve"> </w:t>
      </w:r>
      <w:r w:rsidRPr="00150EDC">
        <w:rPr>
          <w:rFonts w:ascii="Calibri"/>
        </w:rPr>
        <w:t>within</w:t>
      </w:r>
      <w:r w:rsidRPr="00150EDC">
        <w:rPr>
          <w:rFonts w:ascii="Calibri"/>
          <w:spacing w:val="-13"/>
        </w:rPr>
        <w:t xml:space="preserve"> </w:t>
      </w:r>
      <w:r w:rsidRPr="00150EDC">
        <w:rPr>
          <w:rFonts w:ascii="Calibri"/>
        </w:rPr>
        <w:t>15</w:t>
      </w:r>
      <w:r w:rsidRPr="00150EDC">
        <w:rPr>
          <w:rFonts w:ascii="Calibri"/>
          <w:spacing w:val="-10"/>
        </w:rPr>
        <w:t xml:space="preserve"> </w:t>
      </w:r>
      <w:r w:rsidRPr="00150EDC">
        <w:rPr>
          <w:rFonts w:ascii="Calibri"/>
        </w:rPr>
        <w:t>Working</w:t>
      </w:r>
      <w:r w:rsidRPr="00150EDC">
        <w:rPr>
          <w:rFonts w:ascii="Calibri"/>
          <w:spacing w:val="-12"/>
        </w:rPr>
        <w:t xml:space="preserve"> </w:t>
      </w:r>
      <w:r w:rsidRPr="00150EDC">
        <w:rPr>
          <w:rFonts w:ascii="Calibri"/>
        </w:rPr>
        <w:t>Days</w:t>
      </w:r>
      <w:r w:rsidRPr="00150EDC">
        <w:rPr>
          <w:rFonts w:ascii="Calibri"/>
          <w:spacing w:val="-9"/>
        </w:rPr>
        <w:t xml:space="preserve"> </w:t>
      </w:r>
      <w:r w:rsidRPr="00150EDC">
        <w:rPr>
          <w:rFonts w:ascii="Calibri"/>
        </w:rPr>
        <w:t>after</w:t>
      </w:r>
      <w:r w:rsidRPr="00150EDC">
        <w:rPr>
          <w:rFonts w:ascii="Calibri"/>
          <w:spacing w:val="-12"/>
        </w:rPr>
        <w:t xml:space="preserve"> </w:t>
      </w:r>
      <w:r w:rsidRPr="00150EDC">
        <w:rPr>
          <w:rFonts w:ascii="Calibri"/>
        </w:rPr>
        <w:t>the</w:t>
      </w:r>
      <w:r w:rsidRPr="00150EDC">
        <w:rPr>
          <w:rFonts w:ascii="Calibri"/>
          <w:spacing w:val="-11"/>
        </w:rPr>
        <w:t xml:space="preserve"> </w:t>
      </w:r>
      <w:r w:rsidRPr="00150EDC">
        <w:rPr>
          <w:rFonts w:ascii="Calibri"/>
        </w:rPr>
        <w:t>renewal</w:t>
      </w:r>
      <w:r w:rsidRPr="00150EDC">
        <w:rPr>
          <w:rFonts w:ascii="Calibri"/>
          <w:spacing w:val="-9"/>
        </w:rPr>
        <w:t xml:space="preserve"> </w:t>
      </w:r>
      <w:r w:rsidRPr="00150EDC">
        <w:rPr>
          <w:rFonts w:ascii="Calibri"/>
        </w:rPr>
        <w:t>of</w:t>
      </w:r>
      <w:r w:rsidRPr="00150EDC">
        <w:rPr>
          <w:rFonts w:ascii="Calibri"/>
          <w:spacing w:val="-12"/>
        </w:rPr>
        <w:t xml:space="preserve"> </w:t>
      </w:r>
      <w:r w:rsidRPr="00150EDC">
        <w:rPr>
          <w:rFonts w:ascii="Calibri"/>
        </w:rPr>
        <w:t>each of the Insurances, provide evidence, in a form satisfactory to the Relevant Authority, that the Insurances are in force and effect and meet in full the requirements of this Schedule.</w:t>
      </w:r>
    </w:p>
    <w:p w14:paraId="582F2CF8" w14:textId="77777777" w:rsidR="004C7180" w:rsidRPr="00150EDC" w:rsidRDefault="00CF0754" w:rsidP="00B320C7">
      <w:pPr>
        <w:pStyle w:val="ListParagraph"/>
        <w:numPr>
          <w:ilvl w:val="0"/>
          <w:numId w:val="100"/>
        </w:numPr>
        <w:tabs>
          <w:tab w:val="left" w:pos="1938"/>
        </w:tabs>
        <w:spacing w:before="119"/>
        <w:ind w:left="1938" w:hanging="358"/>
        <w:rPr>
          <w:b/>
        </w:rPr>
      </w:pPr>
      <w:r w:rsidRPr="00150EDC">
        <w:rPr>
          <w:b/>
        </w:rPr>
        <w:t>Making</w:t>
      </w:r>
      <w:r w:rsidRPr="00150EDC">
        <w:rPr>
          <w:b/>
          <w:spacing w:val="-6"/>
        </w:rPr>
        <w:t xml:space="preserve"> </w:t>
      </w:r>
      <w:r w:rsidRPr="00150EDC">
        <w:rPr>
          <w:b/>
        </w:rPr>
        <w:t>sure</w:t>
      </w:r>
      <w:r w:rsidRPr="00150EDC">
        <w:rPr>
          <w:b/>
          <w:spacing w:val="-4"/>
        </w:rPr>
        <w:t xml:space="preserve"> </w:t>
      </w:r>
      <w:r w:rsidRPr="00150EDC">
        <w:rPr>
          <w:b/>
        </w:rPr>
        <w:t>you</w:t>
      </w:r>
      <w:r w:rsidRPr="00150EDC">
        <w:rPr>
          <w:b/>
          <w:spacing w:val="-2"/>
        </w:rPr>
        <w:t xml:space="preserve"> </w:t>
      </w:r>
      <w:r w:rsidRPr="00150EDC">
        <w:rPr>
          <w:b/>
        </w:rPr>
        <w:t>are</w:t>
      </w:r>
      <w:r w:rsidRPr="00150EDC">
        <w:rPr>
          <w:b/>
          <w:spacing w:val="-4"/>
        </w:rPr>
        <w:t xml:space="preserve"> </w:t>
      </w:r>
      <w:r w:rsidRPr="00150EDC">
        <w:rPr>
          <w:b/>
        </w:rPr>
        <w:t>insured</w:t>
      </w:r>
      <w:r w:rsidRPr="00150EDC">
        <w:rPr>
          <w:b/>
          <w:spacing w:val="-2"/>
        </w:rPr>
        <w:t xml:space="preserve"> </w:t>
      </w:r>
      <w:r w:rsidRPr="00150EDC">
        <w:rPr>
          <w:b/>
        </w:rPr>
        <w:t>to</w:t>
      </w:r>
      <w:r w:rsidRPr="00150EDC">
        <w:rPr>
          <w:b/>
          <w:spacing w:val="-4"/>
        </w:rPr>
        <w:t xml:space="preserve"> </w:t>
      </w:r>
      <w:r w:rsidRPr="00150EDC">
        <w:rPr>
          <w:b/>
        </w:rPr>
        <w:t>the</w:t>
      </w:r>
      <w:r w:rsidRPr="00150EDC">
        <w:rPr>
          <w:b/>
          <w:spacing w:val="-5"/>
        </w:rPr>
        <w:t xml:space="preserve"> </w:t>
      </w:r>
      <w:r w:rsidRPr="00150EDC">
        <w:rPr>
          <w:b/>
        </w:rPr>
        <w:t>required</w:t>
      </w:r>
      <w:r w:rsidRPr="00150EDC">
        <w:rPr>
          <w:b/>
          <w:spacing w:val="-4"/>
        </w:rPr>
        <w:t xml:space="preserve"> </w:t>
      </w:r>
      <w:r w:rsidRPr="00150EDC">
        <w:rPr>
          <w:b/>
          <w:spacing w:val="-2"/>
        </w:rPr>
        <w:t>amount</w:t>
      </w:r>
    </w:p>
    <w:p w14:paraId="24DD0E65" w14:textId="77777777" w:rsidR="004C7180" w:rsidRPr="00150EDC" w:rsidRDefault="004C7180">
      <w:pPr>
        <w:pStyle w:val="BodyText"/>
        <w:spacing w:before="5"/>
        <w:rPr>
          <w:b/>
          <w:sz w:val="20"/>
        </w:rPr>
      </w:pPr>
    </w:p>
    <w:p w14:paraId="4F7E0C89" w14:textId="77777777" w:rsidR="004C7180" w:rsidRPr="00150EDC" w:rsidRDefault="00CF0754" w:rsidP="00B320C7">
      <w:pPr>
        <w:pStyle w:val="ListParagraph"/>
        <w:numPr>
          <w:ilvl w:val="1"/>
          <w:numId w:val="100"/>
        </w:numPr>
        <w:tabs>
          <w:tab w:val="left" w:pos="2298"/>
          <w:tab w:val="left" w:pos="2300"/>
        </w:tabs>
        <w:ind w:right="1438"/>
        <w:jc w:val="both"/>
        <w:rPr>
          <w:rFonts w:ascii="Calibri"/>
        </w:rPr>
      </w:pPr>
      <w:r w:rsidRPr="00150EDC">
        <w:rPr>
          <w:rFonts w:ascii="Calibri"/>
        </w:rPr>
        <w:t>The</w:t>
      </w:r>
      <w:r w:rsidRPr="00150EDC">
        <w:rPr>
          <w:rFonts w:ascii="Calibri"/>
          <w:spacing w:val="-1"/>
        </w:rPr>
        <w:t xml:space="preserve"> </w:t>
      </w:r>
      <w:r w:rsidRPr="00150EDC">
        <w:rPr>
          <w:rFonts w:ascii="Calibri"/>
        </w:rPr>
        <w:t>Supplier</w:t>
      </w:r>
      <w:r w:rsidRPr="00150EDC">
        <w:rPr>
          <w:rFonts w:ascii="Calibri"/>
          <w:spacing w:val="-1"/>
        </w:rPr>
        <w:t xml:space="preserve"> </w:t>
      </w:r>
      <w:r w:rsidRPr="00150EDC">
        <w:rPr>
          <w:rFonts w:ascii="Calibri"/>
        </w:rPr>
        <w:t>shall</w:t>
      </w:r>
      <w:r w:rsidRPr="00150EDC">
        <w:rPr>
          <w:rFonts w:ascii="Calibri"/>
          <w:spacing w:val="-2"/>
        </w:rPr>
        <w:t xml:space="preserve"> </w:t>
      </w:r>
      <w:r w:rsidRPr="00150EDC">
        <w:rPr>
          <w:rFonts w:ascii="Calibri"/>
        </w:rPr>
        <w:t>ensure</w:t>
      </w:r>
      <w:r w:rsidRPr="00150EDC">
        <w:rPr>
          <w:rFonts w:ascii="Calibri"/>
          <w:spacing w:val="-1"/>
        </w:rPr>
        <w:t xml:space="preserve"> </w:t>
      </w:r>
      <w:r w:rsidRPr="00150EDC">
        <w:rPr>
          <w:rFonts w:ascii="Calibri"/>
        </w:rPr>
        <w:t>that</w:t>
      </w:r>
      <w:r w:rsidRPr="00150EDC">
        <w:rPr>
          <w:rFonts w:ascii="Calibri"/>
          <w:spacing w:val="-1"/>
        </w:rPr>
        <w:t xml:space="preserve"> </w:t>
      </w:r>
      <w:r w:rsidRPr="00150EDC">
        <w:rPr>
          <w:rFonts w:ascii="Calibri"/>
        </w:rPr>
        <w:t>any</w:t>
      </w:r>
      <w:r w:rsidRPr="00150EDC">
        <w:rPr>
          <w:rFonts w:ascii="Calibri"/>
          <w:spacing w:val="-1"/>
        </w:rPr>
        <w:t xml:space="preserve"> </w:t>
      </w:r>
      <w:r w:rsidRPr="00150EDC">
        <w:rPr>
          <w:rFonts w:ascii="Calibri"/>
        </w:rPr>
        <w:t>Insurances</w:t>
      </w:r>
      <w:r w:rsidRPr="00150EDC">
        <w:rPr>
          <w:rFonts w:ascii="Calibri"/>
          <w:spacing w:val="-1"/>
        </w:rPr>
        <w:t xml:space="preserve"> </w:t>
      </w:r>
      <w:r w:rsidRPr="00150EDC">
        <w:rPr>
          <w:rFonts w:ascii="Calibri"/>
        </w:rPr>
        <w:t>which</w:t>
      </w:r>
      <w:r w:rsidRPr="00150EDC">
        <w:rPr>
          <w:rFonts w:ascii="Calibri"/>
          <w:spacing w:val="-2"/>
        </w:rPr>
        <w:t xml:space="preserve"> </w:t>
      </w:r>
      <w:r w:rsidRPr="00150EDC">
        <w:rPr>
          <w:rFonts w:ascii="Calibri"/>
        </w:rPr>
        <w:t>are</w:t>
      </w:r>
      <w:r w:rsidRPr="00150EDC">
        <w:rPr>
          <w:rFonts w:ascii="Calibri"/>
          <w:spacing w:val="-1"/>
        </w:rPr>
        <w:t xml:space="preserve"> </w:t>
      </w:r>
      <w:r w:rsidRPr="00150EDC">
        <w:rPr>
          <w:rFonts w:ascii="Calibri"/>
        </w:rPr>
        <w:t>stated</w:t>
      </w:r>
      <w:r w:rsidRPr="00150EDC">
        <w:rPr>
          <w:rFonts w:ascii="Calibri"/>
          <w:spacing w:val="-1"/>
        </w:rPr>
        <w:t xml:space="preserve"> </w:t>
      </w:r>
      <w:r w:rsidRPr="00150EDC">
        <w:rPr>
          <w:rFonts w:ascii="Calibri"/>
        </w:rPr>
        <w:t>to have</w:t>
      </w:r>
      <w:r w:rsidRPr="00150EDC">
        <w:rPr>
          <w:rFonts w:ascii="Calibri"/>
          <w:spacing w:val="-1"/>
        </w:rPr>
        <w:t xml:space="preserve"> </w:t>
      </w:r>
      <w:r w:rsidRPr="00150EDC">
        <w:rPr>
          <w:rFonts w:ascii="Calibri"/>
        </w:rPr>
        <w:t>a</w:t>
      </w:r>
      <w:r w:rsidRPr="00150EDC">
        <w:rPr>
          <w:rFonts w:ascii="Calibri"/>
          <w:spacing w:val="-1"/>
        </w:rPr>
        <w:t xml:space="preserve"> </w:t>
      </w:r>
      <w:r w:rsidRPr="00150EDC">
        <w:rPr>
          <w:rFonts w:ascii="Calibri"/>
        </w:rPr>
        <w:t>minimum limit</w:t>
      </w:r>
      <w:r w:rsidRPr="00150EDC">
        <w:rPr>
          <w:rFonts w:ascii="Calibri"/>
          <w:spacing w:val="-1"/>
        </w:rPr>
        <w:t xml:space="preserve"> </w:t>
      </w:r>
      <w:r w:rsidRPr="00150EDC">
        <w:rPr>
          <w:rFonts w:ascii="Calibri"/>
        </w:rPr>
        <w:t>"in the aggregate" are maintained at all times for the minimum limit of indemnity specified in this Contract and if any claims are made which do not relate to this Contract then the Supplier shall notify the Relevant Authority and provide details of its proposed solution for maintaining the minimum limit of indemnity.</w:t>
      </w:r>
    </w:p>
    <w:p w14:paraId="31B3C76D" w14:textId="77777777" w:rsidR="004C7180" w:rsidRPr="00150EDC" w:rsidRDefault="00CF0754" w:rsidP="00B320C7">
      <w:pPr>
        <w:pStyle w:val="ListParagraph"/>
        <w:numPr>
          <w:ilvl w:val="0"/>
          <w:numId w:val="100"/>
        </w:numPr>
        <w:tabs>
          <w:tab w:val="left" w:pos="1938"/>
        </w:tabs>
        <w:spacing w:before="121"/>
        <w:ind w:left="1938" w:hanging="358"/>
        <w:rPr>
          <w:b/>
        </w:rPr>
      </w:pPr>
      <w:r w:rsidRPr="00150EDC">
        <w:rPr>
          <w:b/>
        </w:rPr>
        <w:t>Cancelled</w:t>
      </w:r>
      <w:r w:rsidRPr="00150EDC">
        <w:rPr>
          <w:b/>
          <w:spacing w:val="-7"/>
        </w:rPr>
        <w:t xml:space="preserve"> </w:t>
      </w:r>
      <w:r w:rsidRPr="00150EDC">
        <w:rPr>
          <w:b/>
          <w:spacing w:val="-2"/>
        </w:rPr>
        <w:t>Insurance</w:t>
      </w:r>
    </w:p>
    <w:p w14:paraId="58F66A67" w14:textId="77777777" w:rsidR="004C7180" w:rsidRPr="00150EDC" w:rsidRDefault="004C7180">
      <w:pPr>
        <w:pStyle w:val="BodyText"/>
        <w:spacing w:before="10"/>
        <w:rPr>
          <w:b/>
          <w:sz w:val="20"/>
        </w:rPr>
      </w:pPr>
    </w:p>
    <w:p w14:paraId="005CC80A" w14:textId="77777777" w:rsidR="004C7180" w:rsidRPr="00150EDC" w:rsidRDefault="00CF0754" w:rsidP="00B320C7">
      <w:pPr>
        <w:pStyle w:val="ListParagraph"/>
        <w:numPr>
          <w:ilvl w:val="1"/>
          <w:numId w:val="100"/>
        </w:numPr>
        <w:tabs>
          <w:tab w:val="left" w:pos="2298"/>
          <w:tab w:val="left" w:pos="2300"/>
        </w:tabs>
        <w:spacing w:line="237" w:lineRule="auto"/>
        <w:ind w:right="1434"/>
        <w:jc w:val="both"/>
        <w:rPr>
          <w:rFonts w:ascii="Calibri"/>
        </w:rPr>
      </w:pPr>
      <w:r w:rsidRPr="00150EDC">
        <w:rPr>
          <w:rFonts w:ascii="Calibri"/>
        </w:rPr>
        <w:t>The</w:t>
      </w:r>
      <w:r w:rsidRPr="00150EDC">
        <w:rPr>
          <w:rFonts w:ascii="Calibri"/>
          <w:spacing w:val="-13"/>
        </w:rPr>
        <w:t xml:space="preserve"> </w:t>
      </w:r>
      <w:r w:rsidRPr="00150EDC">
        <w:rPr>
          <w:rFonts w:ascii="Calibri"/>
        </w:rPr>
        <w:t>Supplier</w:t>
      </w:r>
      <w:r w:rsidRPr="00150EDC">
        <w:rPr>
          <w:rFonts w:ascii="Calibri"/>
          <w:spacing w:val="-12"/>
        </w:rPr>
        <w:t xml:space="preserve"> </w:t>
      </w:r>
      <w:r w:rsidRPr="00150EDC">
        <w:rPr>
          <w:rFonts w:ascii="Calibri"/>
        </w:rPr>
        <w:t>shall</w:t>
      </w:r>
      <w:r w:rsidRPr="00150EDC">
        <w:rPr>
          <w:rFonts w:ascii="Calibri"/>
          <w:spacing w:val="-12"/>
        </w:rPr>
        <w:t xml:space="preserve"> </w:t>
      </w:r>
      <w:r w:rsidRPr="00150EDC">
        <w:rPr>
          <w:rFonts w:ascii="Calibri"/>
        </w:rPr>
        <w:t>notify</w:t>
      </w:r>
      <w:r w:rsidRPr="00150EDC">
        <w:rPr>
          <w:rFonts w:ascii="Calibri"/>
          <w:spacing w:val="-11"/>
        </w:rPr>
        <w:t xml:space="preserve"> </w:t>
      </w:r>
      <w:r w:rsidRPr="00150EDC">
        <w:rPr>
          <w:rFonts w:ascii="Calibri"/>
        </w:rPr>
        <w:t>the</w:t>
      </w:r>
      <w:r w:rsidRPr="00150EDC">
        <w:rPr>
          <w:rFonts w:ascii="Calibri"/>
          <w:spacing w:val="-13"/>
        </w:rPr>
        <w:t xml:space="preserve"> </w:t>
      </w:r>
      <w:r w:rsidRPr="00150EDC">
        <w:rPr>
          <w:rFonts w:ascii="Calibri"/>
        </w:rPr>
        <w:t>Relevant</w:t>
      </w:r>
      <w:r w:rsidRPr="00150EDC">
        <w:rPr>
          <w:rFonts w:ascii="Calibri"/>
          <w:spacing w:val="-11"/>
        </w:rPr>
        <w:t xml:space="preserve"> </w:t>
      </w:r>
      <w:r w:rsidRPr="00150EDC">
        <w:rPr>
          <w:rFonts w:ascii="Calibri"/>
        </w:rPr>
        <w:t>Authority</w:t>
      </w:r>
      <w:r w:rsidRPr="00150EDC">
        <w:rPr>
          <w:rFonts w:ascii="Calibri"/>
          <w:spacing w:val="-11"/>
        </w:rPr>
        <w:t xml:space="preserve"> </w:t>
      </w:r>
      <w:r w:rsidRPr="00150EDC">
        <w:rPr>
          <w:rFonts w:ascii="Calibri"/>
        </w:rPr>
        <w:t>in</w:t>
      </w:r>
      <w:r w:rsidRPr="00150EDC">
        <w:rPr>
          <w:rFonts w:ascii="Calibri"/>
          <w:spacing w:val="-13"/>
        </w:rPr>
        <w:t xml:space="preserve"> </w:t>
      </w:r>
      <w:r w:rsidRPr="00150EDC">
        <w:rPr>
          <w:rFonts w:ascii="Calibri"/>
        </w:rPr>
        <w:t>writing</w:t>
      </w:r>
      <w:r w:rsidRPr="00150EDC">
        <w:rPr>
          <w:rFonts w:ascii="Calibri"/>
          <w:spacing w:val="-11"/>
        </w:rPr>
        <w:t xml:space="preserve"> </w:t>
      </w:r>
      <w:r w:rsidRPr="00150EDC">
        <w:rPr>
          <w:rFonts w:ascii="Calibri"/>
        </w:rPr>
        <w:t>at</w:t>
      </w:r>
      <w:r w:rsidRPr="00150EDC">
        <w:rPr>
          <w:rFonts w:ascii="Calibri"/>
          <w:spacing w:val="-11"/>
        </w:rPr>
        <w:t xml:space="preserve"> </w:t>
      </w:r>
      <w:r w:rsidRPr="00150EDC">
        <w:rPr>
          <w:rFonts w:ascii="Calibri"/>
        </w:rPr>
        <w:t>least</w:t>
      </w:r>
      <w:r w:rsidRPr="00150EDC">
        <w:rPr>
          <w:rFonts w:ascii="Calibri"/>
          <w:spacing w:val="-11"/>
        </w:rPr>
        <w:t xml:space="preserve"> </w:t>
      </w:r>
      <w:r w:rsidRPr="00150EDC">
        <w:rPr>
          <w:rFonts w:ascii="Calibri"/>
        </w:rPr>
        <w:t>five</w:t>
      </w:r>
      <w:r w:rsidRPr="00150EDC">
        <w:rPr>
          <w:rFonts w:ascii="Calibri"/>
          <w:spacing w:val="-13"/>
        </w:rPr>
        <w:t xml:space="preserve"> </w:t>
      </w:r>
      <w:r w:rsidRPr="00150EDC">
        <w:rPr>
          <w:rFonts w:ascii="Calibri"/>
        </w:rPr>
        <w:t>(5)</w:t>
      </w:r>
      <w:r w:rsidRPr="00150EDC">
        <w:rPr>
          <w:rFonts w:ascii="Calibri"/>
          <w:spacing w:val="-2"/>
        </w:rPr>
        <w:t xml:space="preserve"> </w:t>
      </w:r>
      <w:r w:rsidRPr="00150EDC">
        <w:rPr>
          <w:rFonts w:ascii="Calibri"/>
        </w:rPr>
        <w:t>Working</w:t>
      </w:r>
      <w:r w:rsidRPr="00150EDC">
        <w:rPr>
          <w:rFonts w:ascii="Calibri"/>
          <w:spacing w:val="-13"/>
        </w:rPr>
        <w:t xml:space="preserve"> </w:t>
      </w:r>
      <w:r w:rsidRPr="00150EDC">
        <w:rPr>
          <w:rFonts w:ascii="Calibri"/>
        </w:rPr>
        <w:t>Days</w:t>
      </w:r>
      <w:r w:rsidRPr="00150EDC">
        <w:rPr>
          <w:rFonts w:ascii="Calibri"/>
          <w:spacing w:val="-12"/>
        </w:rPr>
        <w:t xml:space="preserve"> </w:t>
      </w:r>
      <w:r w:rsidRPr="00150EDC">
        <w:rPr>
          <w:rFonts w:ascii="Calibri"/>
        </w:rPr>
        <w:t>prior to the cancellation, suspension, termination or non-renewal of any of the Insurances.</w:t>
      </w:r>
    </w:p>
    <w:p w14:paraId="0272DA37" w14:textId="77777777" w:rsidR="004C7180" w:rsidRPr="00150EDC" w:rsidRDefault="00CF0754" w:rsidP="00B320C7">
      <w:pPr>
        <w:pStyle w:val="ListParagraph"/>
        <w:numPr>
          <w:ilvl w:val="1"/>
          <w:numId w:val="100"/>
        </w:numPr>
        <w:tabs>
          <w:tab w:val="left" w:pos="2298"/>
          <w:tab w:val="left" w:pos="2300"/>
        </w:tabs>
        <w:spacing w:before="122"/>
        <w:ind w:right="1436"/>
        <w:jc w:val="both"/>
        <w:rPr>
          <w:rFonts w:ascii="Calibri"/>
        </w:rPr>
      </w:pPr>
      <w:r w:rsidRPr="00150EDC">
        <w:rPr>
          <w:rFonts w:ascii="Calibri"/>
        </w:rPr>
        <w:t>The Supplier shall ensure that nothing is done which would entitle the relevant insurer to cancel,</w:t>
      </w:r>
      <w:r w:rsidRPr="00150EDC">
        <w:rPr>
          <w:rFonts w:ascii="Calibri"/>
          <w:spacing w:val="-1"/>
        </w:rPr>
        <w:t xml:space="preserve"> </w:t>
      </w:r>
      <w:r w:rsidRPr="00150EDC">
        <w:rPr>
          <w:rFonts w:ascii="Calibri"/>
        </w:rPr>
        <w:t>rescind</w:t>
      </w:r>
      <w:r w:rsidRPr="00150EDC">
        <w:rPr>
          <w:rFonts w:ascii="Calibri"/>
          <w:spacing w:val="-5"/>
        </w:rPr>
        <w:t xml:space="preserve"> </w:t>
      </w:r>
      <w:r w:rsidRPr="00150EDC">
        <w:rPr>
          <w:rFonts w:ascii="Calibri"/>
        </w:rPr>
        <w:t>or</w:t>
      </w:r>
      <w:r w:rsidRPr="00150EDC">
        <w:rPr>
          <w:rFonts w:ascii="Calibri"/>
          <w:spacing w:val="-1"/>
        </w:rPr>
        <w:t xml:space="preserve"> </w:t>
      </w:r>
      <w:r w:rsidRPr="00150EDC">
        <w:rPr>
          <w:rFonts w:ascii="Calibri"/>
        </w:rPr>
        <w:t>suspend</w:t>
      </w:r>
      <w:r w:rsidRPr="00150EDC">
        <w:rPr>
          <w:rFonts w:ascii="Calibri"/>
          <w:spacing w:val="-3"/>
        </w:rPr>
        <w:t xml:space="preserve"> </w:t>
      </w:r>
      <w:r w:rsidRPr="00150EDC">
        <w:rPr>
          <w:rFonts w:ascii="Calibri"/>
        </w:rPr>
        <w:t>any</w:t>
      </w:r>
      <w:r w:rsidRPr="00150EDC">
        <w:rPr>
          <w:rFonts w:ascii="Calibri"/>
          <w:spacing w:val="-1"/>
        </w:rPr>
        <w:t xml:space="preserve"> </w:t>
      </w:r>
      <w:r w:rsidRPr="00150EDC">
        <w:rPr>
          <w:rFonts w:ascii="Calibri"/>
        </w:rPr>
        <w:t>insurance or</w:t>
      </w:r>
      <w:r w:rsidRPr="00150EDC">
        <w:rPr>
          <w:rFonts w:ascii="Calibri"/>
          <w:spacing w:val="-1"/>
        </w:rPr>
        <w:t xml:space="preserve"> </w:t>
      </w:r>
      <w:r w:rsidRPr="00150EDC">
        <w:rPr>
          <w:rFonts w:ascii="Calibri"/>
        </w:rPr>
        <w:t>cover,</w:t>
      </w:r>
      <w:r w:rsidRPr="00150EDC">
        <w:rPr>
          <w:rFonts w:ascii="Calibri"/>
          <w:spacing w:val="-1"/>
        </w:rPr>
        <w:t xml:space="preserve"> </w:t>
      </w:r>
      <w:r w:rsidRPr="00150EDC">
        <w:rPr>
          <w:rFonts w:ascii="Calibri"/>
        </w:rPr>
        <w:t>or</w:t>
      </w:r>
      <w:r w:rsidRPr="00150EDC">
        <w:rPr>
          <w:rFonts w:ascii="Calibri"/>
          <w:spacing w:val="-3"/>
        </w:rPr>
        <w:t xml:space="preserve"> </w:t>
      </w:r>
      <w:r w:rsidRPr="00150EDC">
        <w:rPr>
          <w:rFonts w:ascii="Calibri"/>
        </w:rPr>
        <w:t>to treat</w:t>
      </w:r>
      <w:r w:rsidRPr="00150EDC">
        <w:rPr>
          <w:rFonts w:ascii="Calibri"/>
          <w:spacing w:val="-1"/>
        </w:rPr>
        <w:t xml:space="preserve"> </w:t>
      </w:r>
      <w:r w:rsidRPr="00150EDC">
        <w:rPr>
          <w:rFonts w:ascii="Calibri"/>
        </w:rPr>
        <w:t>any</w:t>
      </w:r>
      <w:r w:rsidRPr="00150EDC">
        <w:rPr>
          <w:rFonts w:ascii="Calibri"/>
          <w:spacing w:val="-1"/>
        </w:rPr>
        <w:t xml:space="preserve"> </w:t>
      </w:r>
      <w:r w:rsidRPr="00150EDC">
        <w:rPr>
          <w:rFonts w:ascii="Calibri"/>
        </w:rPr>
        <w:t>insurance, cover</w:t>
      </w:r>
      <w:r w:rsidRPr="00150EDC">
        <w:rPr>
          <w:rFonts w:ascii="Calibri"/>
          <w:spacing w:val="-1"/>
        </w:rPr>
        <w:t xml:space="preserve"> </w:t>
      </w:r>
      <w:r w:rsidRPr="00150EDC">
        <w:rPr>
          <w:rFonts w:ascii="Calibri"/>
        </w:rPr>
        <w:t>or</w:t>
      </w:r>
      <w:r w:rsidRPr="00150EDC">
        <w:rPr>
          <w:rFonts w:ascii="Calibri"/>
          <w:spacing w:val="-1"/>
        </w:rPr>
        <w:t xml:space="preserve"> </w:t>
      </w:r>
      <w:r w:rsidRPr="00150EDC">
        <w:rPr>
          <w:rFonts w:ascii="Calibri"/>
        </w:rPr>
        <w:t>claim as voided in whole or part.</w:t>
      </w:r>
      <w:r w:rsidRPr="00150EDC">
        <w:rPr>
          <w:rFonts w:ascii="Calibri"/>
          <w:spacing w:val="40"/>
        </w:rPr>
        <w:t xml:space="preserve"> </w:t>
      </w:r>
      <w:r w:rsidRPr="00150EDC">
        <w:rPr>
          <w:rFonts w:ascii="Calibri"/>
        </w:rPr>
        <w:t>The Supplier shall use all reasonable endeavours to notify the Relevant</w:t>
      </w:r>
      <w:r w:rsidRPr="00150EDC">
        <w:rPr>
          <w:rFonts w:ascii="Calibri"/>
          <w:spacing w:val="-3"/>
        </w:rPr>
        <w:t xml:space="preserve"> </w:t>
      </w:r>
      <w:r w:rsidRPr="00150EDC">
        <w:rPr>
          <w:rFonts w:ascii="Calibri"/>
        </w:rPr>
        <w:t>Authority</w:t>
      </w:r>
      <w:r w:rsidRPr="00150EDC">
        <w:rPr>
          <w:rFonts w:ascii="Calibri"/>
          <w:spacing w:val="-4"/>
        </w:rPr>
        <w:t xml:space="preserve"> </w:t>
      </w:r>
      <w:r w:rsidRPr="00150EDC">
        <w:rPr>
          <w:rFonts w:ascii="Calibri"/>
        </w:rPr>
        <w:t>(subject</w:t>
      </w:r>
      <w:r w:rsidRPr="00150EDC">
        <w:rPr>
          <w:rFonts w:ascii="Calibri"/>
          <w:spacing w:val="-4"/>
        </w:rPr>
        <w:t xml:space="preserve"> </w:t>
      </w:r>
      <w:r w:rsidRPr="00150EDC">
        <w:rPr>
          <w:rFonts w:ascii="Calibri"/>
        </w:rPr>
        <w:t>to</w:t>
      </w:r>
      <w:r w:rsidRPr="00150EDC">
        <w:rPr>
          <w:rFonts w:ascii="Calibri"/>
          <w:spacing w:val="-4"/>
        </w:rPr>
        <w:t xml:space="preserve"> </w:t>
      </w:r>
      <w:r w:rsidRPr="00150EDC">
        <w:rPr>
          <w:rFonts w:ascii="Calibri"/>
        </w:rPr>
        <w:t>third</w:t>
      </w:r>
      <w:r w:rsidRPr="00150EDC">
        <w:rPr>
          <w:rFonts w:ascii="Calibri"/>
          <w:spacing w:val="-4"/>
        </w:rPr>
        <w:t xml:space="preserve"> </w:t>
      </w:r>
      <w:r w:rsidRPr="00150EDC">
        <w:rPr>
          <w:rFonts w:ascii="Calibri"/>
        </w:rPr>
        <w:t>party</w:t>
      </w:r>
      <w:r w:rsidRPr="00150EDC">
        <w:rPr>
          <w:rFonts w:ascii="Calibri"/>
          <w:spacing w:val="-3"/>
        </w:rPr>
        <w:t xml:space="preserve"> </w:t>
      </w:r>
      <w:r w:rsidRPr="00150EDC">
        <w:rPr>
          <w:rFonts w:ascii="Calibri"/>
        </w:rPr>
        <w:t>confidentiality</w:t>
      </w:r>
      <w:r w:rsidRPr="00150EDC">
        <w:rPr>
          <w:rFonts w:ascii="Calibri"/>
          <w:spacing w:val="-4"/>
        </w:rPr>
        <w:t xml:space="preserve"> </w:t>
      </w:r>
      <w:r w:rsidRPr="00150EDC">
        <w:rPr>
          <w:rFonts w:ascii="Calibri"/>
        </w:rPr>
        <w:t>obligations)</w:t>
      </w:r>
      <w:r w:rsidRPr="00150EDC">
        <w:rPr>
          <w:rFonts w:ascii="Calibri"/>
          <w:spacing w:val="-3"/>
        </w:rPr>
        <w:t xml:space="preserve"> </w:t>
      </w:r>
      <w:r w:rsidRPr="00150EDC">
        <w:rPr>
          <w:rFonts w:ascii="Calibri"/>
        </w:rPr>
        <w:t>as</w:t>
      </w:r>
      <w:r w:rsidRPr="00150EDC">
        <w:rPr>
          <w:rFonts w:ascii="Calibri"/>
          <w:spacing w:val="-3"/>
        </w:rPr>
        <w:t xml:space="preserve"> </w:t>
      </w:r>
      <w:r w:rsidRPr="00150EDC">
        <w:rPr>
          <w:rFonts w:ascii="Calibri"/>
        </w:rPr>
        <w:t>soon</w:t>
      </w:r>
      <w:r w:rsidRPr="00150EDC">
        <w:rPr>
          <w:rFonts w:ascii="Calibri"/>
          <w:spacing w:val="-4"/>
        </w:rPr>
        <w:t xml:space="preserve"> </w:t>
      </w:r>
      <w:r w:rsidRPr="00150EDC">
        <w:rPr>
          <w:rFonts w:ascii="Calibri"/>
        </w:rPr>
        <w:t>as</w:t>
      </w:r>
      <w:r w:rsidRPr="00150EDC">
        <w:rPr>
          <w:rFonts w:ascii="Calibri"/>
          <w:spacing w:val="-3"/>
        </w:rPr>
        <w:t xml:space="preserve"> </w:t>
      </w:r>
      <w:r w:rsidRPr="00150EDC">
        <w:rPr>
          <w:rFonts w:ascii="Calibri"/>
        </w:rPr>
        <w:t>practicable when it becomes aware of any relevant fact, circumstance or matter which has caused, or is reasonably likely to provide grounds to, the relevant insurer to give notice to cancel, rescind,</w:t>
      </w:r>
      <w:r w:rsidRPr="00150EDC">
        <w:rPr>
          <w:rFonts w:ascii="Calibri"/>
          <w:spacing w:val="-2"/>
        </w:rPr>
        <w:t xml:space="preserve"> </w:t>
      </w:r>
      <w:r w:rsidRPr="00150EDC">
        <w:rPr>
          <w:rFonts w:ascii="Calibri"/>
        </w:rPr>
        <w:t>suspend</w:t>
      </w:r>
      <w:r w:rsidRPr="00150EDC">
        <w:rPr>
          <w:rFonts w:ascii="Calibri"/>
          <w:spacing w:val="-6"/>
        </w:rPr>
        <w:t xml:space="preserve"> </w:t>
      </w:r>
      <w:r w:rsidRPr="00150EDC">
        <w:rPr>
          <w:rFonts w:ascii="Calibri"/>
        </w:rPr>
        <w:t>or</w:t>
      </w:r>
      <w:r w:rsidRPr="00150EDC">
        <w:rPr>
          <w:rFonts w:ascii="Calibri"/>
          <w:spacing w:val="-2"/>
        </w:rPr>
        <w:t xml:space="preserve"> </w:t>
      </w:r>
      <w:r w:rsidRPr="00150EDC">
        <w:rPr>
          <w:rFonts w:ascii="Calibri"/>
        </w:rPr>
        <w:t>void</w:t>
      </w:r>
      <w:r w:rsidRPr="00150EDC">
        <w:rPr>
          <w:rFonts w:ascii="Calibri"/>
          <w:spacing w:val="-4"/>
        </w:rPr>
        <w:t xml:space="preserve"> </w:t>
      </w:r>
      <w:r w:rsidRPr="00150EDC">
        <w:rPr>
          <w:rFonts w:ascii="Calibri"/>
        </w:rPr>
        <w:t>any</w:t>
      </w:r>
      <w:r w:rsidRPr="00150EDC">
        <w:rPr>
          <w:rFonts w:ascii="Calibri"/>
          <w:spacing w:val="-2"/>
        </w:rPr>
        <w:t xml:space="preserve"> </w:t>
      </w:r>
      <w:r w:rsidRPr="00150EDC">
        <w:rPr>
          <w:rFonts w:ascii="Calibri"/>
        </w:rPr>
        <w:t>insurance,</w:t>
      </w:r>
      <w:r w:rsidRPr="00150EDC">
        <w:rPr>
          <w:rFonts w:ascii="Calibri"/>
          <w:spacing w:val="-4"/>
        </w:rPr>
        <w:t xml:space="preserve"> </w:t>
      </w:r>
      <w:r w:rsidRPr="00150EDC">
        <w:rPr>
          <w:rFonts w:ascii="Calibri"/>
        </w:rPr>
        <w:t>or</w:t>
      </w:r>
      <w:r w:rsidRPr="00150EDC">
        <w:rPr>
          <w:rFonts w:ascii="Calibri"/>
          <w:spacing w:val="-2"/>
        </w:rPr>
        <w:t xml:space="preserve"> </w:t>
      </w:r>
      <w:r w:rsidRPr="00150EDC">
        <w:rPr>
          <w:rFonts w:ascii="Calibri"/>
        </w:rPr>
        <w:t>any</w:t>
      </w:r>
      <w:r w:rsidRPr="00150EDC">
        <w:rPr>
          <w:rFonts w:ascii="Calibri"/>
          <w:spacing w:val="-2"/>
        </w:rPr>
        <w:t xml:space="preserve"> </w:t>
      </w:r>
      <w:r w:rsidRPr="00150EDC">
        <w:rPr>
          <w:rFonts w:ascii="Calibri"/>
        </w:rPr>
        <w:t>cover</w:t>
      </w:r>
      <w:r w:rsidRPr="00150EDC">
        <w:rPr>
          <w:rFonts w:ascii="Calibri"/>
          <w:spacing w:val="-2"/>
        </w:rPr>
        <w:t xml:space="preserve"> </w:t>
      </w:r>
      <w:r w:rsidRPr="00150EDC">
        <w:rPr>
          <w:rFonts w:ascii="Calibri"/>
        </w:rPr>
        <w:t>or</w:t>
      </w:r>
      <w:r w:rsidRPr="00150EDC">
        <w:rPr>
          <w:rFonts w:ascii="Calibri"/>
          <w:spacing w:val="-2"/>
        </w:rPr>
        <w:t xml:space="preserve"> </w:t>
      </w:r>
      <w:r w:rsidRPr="00150EDC">
        <w:rPr>
          <w:rFonts w:ascii="Calibri"/>
        </w:rPr>
        <w:t>claim</w:t>
      </w:r>
      <w:r w:rsidRPr="00150EDC">
        <w:rPr>
          <w:rFonts w:ascii="Calibri"/>
          <w:spacing w:val="-2"/>
        </w:rPr>
        <w:t xml:space="preserve"> </w:t>
      </w:r>
      <w:r w:rsidRPr="00150EDC">
        <w:rPr>
          <w:rFonts w:ascii="Calibri"/>
        </w:rPr>
        <w:t>under</w:t>
      </w:r>
      <w:r w:rsidRPr="00150EDC">
        <w:rPr>
          <w:rFonts w:ascii="Calibri"/>
          <w:spacing w:val="-2"/>
        </w:rPr>
        <w:t xml:space="preserve"> </w:t>
      </w:r>
      <w:r w:rsidRPr="00150EDC">
        <w:rPr>
          <w:rFonts w:ascii="Calibri"/>
        </w:rPr>
        <w:t>any</w:t>
      </w:r>
      <w:r w:rsidRPr="00150EDC">
        <w:rPr>
          <w:rFonts w:ascii="Calibri"/>
          <w:spacing w:val="-2"/>
        </w:rPr>
        <w:t xml:space="preserve"> </w:t>
      </w:r>
      <w:r w:rsidRPr="00150EDC">
        <w:rPr>
          <w:rFonts w:ascii="Calibri"/>
        </w:rPr>
        <w:t>insurance</w:t>
      </w:r>
      <w:r w:rsidRPr="00150EDC">
        <w:rPr>
          <w:rFonts w:ascii="Calibri"/>
          <w:spacing w:val="-2"/>
        </w:rPr>
        <w:t xml:space="preserve"> </w:t>
      </w:r>
      <w:r w:rsidRPr="00150EDC">
        <w:rPr>
          <w:rFonts w:ascii="Calibri"/>
        </w:rPr>
        <w:t>in</w:t>
      </w:r>
      <w:r w:rsidRPr="00150EDC">
        <w:rPr>
          <w:rFonts w:ascii="Calibri"/>
          <w:spacing w:val="-4"/>
        </w:rPr>
        <w:t xml:space="preserve"> </w:t>
      </w:r>
      <w:r w:rsidRPr="00150EDC">
        <w:rPr>
          <w:rFonts w:ascii="Calibri"/>
        </w:rPr>
        <w:t>whole or in part.</w:t>
      </w:r>
    </w:p>
    <w:p w14:paraId="0B2A1467" w14:textId="77777777" w:rsidR="004C7180" w:rsidRPr="00150EDC" w:rsidRDefault="00CF0754" w:rsidP="00B320C7">
      <w:pPr>
        <w:pStyle w:val="ListParagraph"/>
        <w:numPr>
          <w:ilvl w:val="0"/>
          <w:numId w:val="100"/>
        </w:numPr>
        <w:tabs>
          <w:tab w:val="left" w:pos="1938"/>
        </w:tabs>
        <w:spacing w:before="121"/>
        <w:ind w:left="1938" w:hanging="358"/>
        <w:rPr>
          <w:b/>
        </w:rPr>
      </w:pPr>
      <w:r w:rsidRPr="00150EDC">
        <w:rPr>
          <w:b/>
        </w:rPr>
        <w:t>Insurance</w:t>
      </w:r>
      <w:r w:rsidRPr="00150EDC">
        <w:rPr>
          <w:b/>
          <w:spacing w:val="-4"/>
        </w:rPr>
        <w:t xml:space="preserve"> </w:t>
      </w:r>
      <w:r w:rsidRPr="00150EDC">
        <w:rPr>
          <w:b/>
          <w:spacing w:val="-2"/>
        </w:rPr>
        <w:t>claims</w:t>
      </w:r>
    </w:p>
    <w:p w14:paraId="685D598B" w14:textId="77777777" w:rsidR="004C7180" w:rsidRPr="00150EDC" w:rsidRDefault="004C7180">
      <w:pPr>
        <w:pStyle w:val="BodyText"/>
        <w:spacing w:before="5"/>
        <w:rPr>
          <w:b/>
          <w:sz w:val="20"/>
        </w:rPr>
      </w:pPr>
    </w:p>
    <w:p w14:paraId="604114E7" w14:textId="77777777" w:rsidR="004C7180" w:rsidRPr="00150EDC" w:rsidRDefault="00CF0754" w:rsidP="00B320C7">
      <w:pPr>
        <w:pStyle w:val="ListParagraph"/>
        <w:numPr>
          <w:ilvl w:val="1"/>
          <w:numId w:val="100"/>
        </w:numPr>
        <w:tabs>
          <w:tab w:val="left" w:pos="2298"/>
          <w:tab w:val="left" w:pos="2300"/>
        </w:tabs>
        <w:spacing w:before="1"/>
        <w:ind w:right="1435"/>
        <w:jc w:val="both"/>
        <w:rPr>
          <w:rFonts w:ascii="Calibri"/>
        </w:rPr>
      </w:pPr>
      <w:r w:rsidRPr="00150EDC">
        <w:rPr>
          <w:rFonts w:ascii="Calibri"/>
        </w:rPr>
        <w:t>The Supplier shall promptly</w:t>
      </w:r>
      <w:r w:rsidRPr="00150EDC">
        <w:rPr>
          <w:rFonts w:ascii="Calibri"/>
          <w:spacing w:val="-1"/>
        </w:rPr>
        <w:t xml:space="preserve"> </w:t>
      </w:r>
      <w:r w:rsidRPr="00150EDC">
        <w:rPr>
          <w:rFonts w:ascii="Calibri"/>
        </w:rPr>
        <w:t>notify</w:t>
      </w:r>
      <w:r w:rsidRPr="00150EDC">
        <w:rPr>
          <w:rFonts w:ascii="Calibri"/>
          <w:spacing w:val="-1"/>
        </w:rPr>
        <w:t xml:space="preserve"> </w:t>
      </w:r>
      <w:r w:rsidRPr="00150EDC">
        <w:rPr>
          <w:rFonts w:ascii="Calibri"/>
        </w:rPr>
        <w:t>to insurers</w:t>
      </w:r>
      <w:r w:rsidRPr="00150EDC">
        <w:rPr>
          <w:rFonts w:ascii="Calibri"/>
          <w:spacing w:val="-1"/>
        </w:rPr>
        <w:t xml:space="preserve"> </w:t>
      </w:r>
      <w:r w:rsidRPr="00150EDC">
        <w:rPr>
          <w:rFonts w:ascii="Calibri"/>
        </w:rPr>
        <w:t>any</w:t>
      </w:r>
      <w:r w:rsidRPr="00150EDC">
        <w:rPr>
          <w:rFonts w:ascii="Calibri"/>
          <w:spacing w:val="-1"/>
        </w:rPr>
        <w:t xml:space="preserve"> </w:t>
      </w:r>
      <w:r w:rsidRPr="00150EDC">
        <w:rPr>
          <w:rFonts w:ascii="Calibri"/>
        </w:rPr>
        <w:t>matter arising from,</w:t>
      </w:r>
      <w:r w:rsidRPr="00150EDC">
        <w:rPr>
          <w:rFonts w:ascii="Calibri"/>
          <w:spacing w:val="-1"/>
        </w:rPr>
        <w:t xml:space="preserve"> </w:t>
      </w:r>
      <w:r w:rsidRPr="00150EDC">
        <w:rPr>
          <w:rFonts w:ascii="Calibri"/>
        </w:rPr>
        <w:t>or in</w:t>
      </w:r>
      <w:r w:rsidRPr="00150EDC">
        <w:rPr>
          <w:rFonts w:ascii="Calibri"/>
          <w:spacing w:val="-1"/>
        </w:rPr>
        <w:t xml:space="preserve"> </w:t>
      </w:r>
      <w:r w:rsidRPr="00150EDC">
        <w:rPr>
          <w:rFonts w:ascii="Calibri"/>
        </w:rPr>
        <w:t>relation to, the Deliverables, or each Contract for which it may be entitled to claim under any of the Insurances.</w:t>
      </w:r>
      <w:r w:rsidRPr="00150EDC">
        <w:rPr>
          <w:rFonts w:ascii="Calibri"/>
          <w:spacing w:val="40"/>
        </w:rPr>
        <w:t xml:space="preserve"> </w:t>
      </w:r>
      <w:r w:rsidRPr="00150EDC">
        <w:rPr>
          <w:rFonts w:ascii="Calibri"/>
        </w:rPr>
        <w:t>In the event that the Relevant Authority receives a claim relating to or arising out of a Contract or the Deliverables, the Supplier shall co-operate with the Relevant Authority and assist it in dealing with such claims including without limitation providing information and documentation in a timely manner.</w:t>
      </w:r>
    </w:p>
    <w:p w14:paraId="3BCBDD8D" w14:textId="77777777" w:rsidR="004C7180" w:rsidRPr="00150EDC" w:rsidRDefault="00CF0754" w:rsidP="00B320C7">
      <w:pPr>
        <w:pStyle w:val="ListParagraph"/>
        <w:numPr>
          <w:ilvl w:val="1"/>
          <w:numId w:val="100"/>
        </w:numPr>
        <w:tabs>
          <w:tab w:val="left" w:pos="2298"/>
          <w:tab w:val="left" w:pos="2300"/>
        </w:tabs>
        <w:spacing w:before="120"/>
        <w:ind w:right="1435"/>
        <w:jc w:val="both"/>
        <w:rPr>
          <w:rFonts w:ascii="Calibri"/>
        </w:rPr>
      </w:pPr>
      <w:r w:rsidRPr="00150EDC">
        <w:rPr>
          <w:rFonts w:ascii="Calibri"/>
        </w:rPr>
        <w:t>Except where the Relevant Authority is the claimant party, the Supplier shall give the Relevant Authority notice within twenty (20) Working Days after any insurance claim in excess of 10% of the sum required to be insured pursuant to Paragraph 5.1 relating to or arising out of the provision of the Deliverables or this</w:t>
      </w:r>
      <w:r w:rsidRPr="00150EDC">
        <w:rPr>
          <w:rFonts w:ascii="Calibri"/>
          <w:spacing w:val="-1"/>
        </w:rPr>
        <w:t xml:space="preserve"> </w:t>
      </w:r>
      <w:r w:rsidRPr="00150EDC">
        <w:rPr>
          <w:rFonts w:ascii="Calibri"/>
        </w:rPr>
        <w:t>Contract on any of the Insurances or which,</w:t>
      </w:r>
      <w:r w:rsidRPr="00150EDC">
        <w:rPr>
          <w:rFonts w:ascii="Calibri"/>
          <w:spacing w:val="-1"/>
        </w:rPr>
        <w:t xml:space="preserve"> </w:t>
      </w:r>
      <w:r w:rsidRPr="00150EDC">
        <w:rPr>
          <w:rFonts w:ascii="Calibri"/>
        </w:rPr>
        <w:t>but</w:t>
      </w:r>
      <w:r w:rsidRPr="00150EDC">
        <w:rPr>
          <w:rFonts w:ascii="Calibri"/>
          <w:spacing w:val="-1"/>
        </w:rPr>
        <w:t xml:space="preserve"> </w:t>
      </w:r>
      <w:r w:rsidRPr="00150EDC">
        <w:rPr>
          <w:rFonts w:ascii="Calibri"/>
        </w:rPr>
        <w:t>for</w:t>
      </w:r>
      <w:r w:rsidRPr="00150EDC">
        <w:rPr>
          <w:rFonts w:ascii="Calibri"/>
          <w:spacing w:val="-1"/>
        </w:rPr>
        <w:t xml:space="preserve"> </w:t>
      </w:r>
      <w:r w:rsidRPr="00150EDC">
        <w:rPr>
          <w:rFonts w:ascii="Calibri"/>
        </w:rPr>
        <w:t>the</w:t>
      </w:r>
      <w:r w:rsidRPr="00150EDC">
        <w:rPr>
          <w:rFonts w:ascii="Calibri"/>
          <w:spacing w:val="-1"/>
        </w:rPr>
        <w:t xml:space="preserve"> </w:t>
      </w:r>
      <w:r w:rsidRPr="00150EDC">
        <w:rPr>
          <w:rFonts w:ascii="Calibri"/>
        </w:rPr>
        <w:t>application</w:t>
      </w:r>
      <w:r w:rsidRPr="00150EDC">
        <w:rPr>
          <w:rFonts w:ascii="Calibri"/>
          <w:spacing w:val="-2"/>
        </w:rPr>
        <w:t xml:space="preserve"> </w:t>
      </w:r>
      <w:r w:rsidRPr="00150EDC">
        <w:rPr>
          <w:rFonts w:ascii="Calibri"/>
        </w:rPr>
        <w:t>of</w:t>
      </w:r>
      <w:r w:rsidRPr="00150EDC">
        <w:rPr>
          <w:rFonts w:ascii="Calibri"/>
          <w:spacing w:val="-1"/>
        </w:rPr>
        <w:t xml:space="preserve"> </w:t>
      </w:r>
      <w:r w:rsidRPr="00150EDC">
        <w:rPr>
          <w:rFonts w:ascii="Calibri"/>
        </w:rPr>
        <w:t>the</w:t>
      </w:r>
      <w:r w:rsidRPr="00150EDC">
        <w:rPr>
          <w:rFonts w:ascii="Calibri"/>
          <w:spacing w:val="-1"/>
        </w:rPr>
        <w:t xml:space="preserve"> </w:t>
      </w:r>
      <w:r w:rsidRPr="00150EDC">
        <w:rPr>
          <w:rFonts w:ascii="Calibri"/>
        </w:rPr>
        <w:t>applicable</w:t>
      </w:r>
      <w:r w:rsidRPr="00150EDC">
        <w:rPr>
          <w:rFonts w:ascii="Calibri"/>
          <w:spacing w:val="-1"/>
        </w:rPr>
        <w:t xml:space="preserve"> </w:t>
      </w:r>
      <w:r w:rsidRPr="00150EDC">
        <w:rPr>
          <w:rFonts w:ascii="Calibri"/>
        </w:rPr>
        <w:t>policy</w:t>
      </w:r>
      <w:r w:rsidRPr="00150EDC">
        <w:rPr>
          <w:rFonts w:ascii="Calibri"/>
          <w:spacing w:val="-1"/>
        </w:rPr>
        <w:t xml:space="preserve"> </w:t>
      </w:r>
      <w:r w:rsidRPr="00150EDC">
        <w:rPr>
          <w:rFonts w:ascii="Calibri"/>
        </w:rPr>
        <w:t>excess,</w:t>
      </w:r>
      <w:r w:rsidRPr="00150EDC">
        <w:rPr>
          <w:rFonts w:ascii="Calibri"/>
          <w:spacing w:val="-1"/>
        </w:rPr>
        <w:t xml:space="preserve"> </w:t>
      </w:r>
      <w:r w:rsidRPr="00150EDC">
        <w:rPr>
          <w:rFonts w:ascii="Calibri"/>
        </w:rPr>
        <w:t>would</w:t>
      </w:r>
      <w:r w:rsidRPr="00150EDC">
        <w:rPr>
          <w:rFonts w:ascii="Calibri"/>
          <w:spacing w:val="-3"/>
        </w:rPr>
        <w:t xml:space="preserve"> </w:t>
      </w:r>
      <w:r w:rsidRPr="00150EDC">
        <w:rPr>
          <w:rFonts w:ascii="Calibri"/>
        </w:rPr>
        <w:t>be</w:t>
      </w:r>
      <w:r w:rsidRPr="00150EDC">
        <w:rPr>
          <w:rFonts w:ascii="Calibri"/>
          <w:spacing w:val="-1"/>
        </w:rPr>
        <w:t xml:space="preserve"> </w:t>
      </w:r>
      <w:r w:rsidRPr="00150EDC">
        <w:rPr>
          <w:rFonts w:ascii="Calibri"/>
        </w:rPr>
        <w:t>made</w:t>
      </w:r>
      <w:r w:rsidRPr="00150EDC">
        <w:rPr>
          <w:rFonts w:ascii="Calibri"/>
          <w:spacing w:val="-3"/>
        </w:rPr>
        <w:t xml:space="preserve"> </w:t>
      </w:r>
      <w:r w:rsidRPr="00150EDC">
        <w:rPr>
          <w:rFonts w:ascii="Calibri"/>
        </w:rPr>
        <w:t>on</w:t>
      </w:r>
      <w:r w:rsidRPr="00150EDC">
        <w:rPr>
          <w:rFonts w:ascii="Calibri"/>
          <w:spacing w:val="-4"/>
        </w:rPr>
        <w:t xml:space="preserve"> </w:t>
      </w:r>
      <w:r w:rsidRPr="00150EDC">
        <w:rPr>
          <w:rFonts w:ascii="Calibri"/>
        </w:rPr>
        <w:t>any</w:t>
      </w:r>
      <w:r w:rsidRPr="00150EDC">
        <w:rPr>
          <w:rFonts w:ascii="Calibri"/>
          <w:spacing w:val="-1"/>
        </w:rPr>
        <w:t xml:space="preserve"> </w:t>
      </w:r>
      <w:r w:rsidRPr="00150EDC">
        <w:rPr>
          <w:rFonts w:ascii="Calibri"/>
        </w:rPr>
        <w:t>of</w:t>
      </w:r>
      <w:r w:rsidRPr="00150EDC">
        <w:rPr>
          <w:rFonts w:ascii="Calibri"/>
          <w:spacing w:val="-1"/>
        </w:rPr>
        <w:t xml:space="preserve"> </w:t>
      </w:r>
      <w:r w:rsidRPr="00150EDC">
        <w:rPr>
          <w:rFonts w:ascii="Calibri"/>
        </w:rPr>
        <w:t>the Insurances and (if required</w:t>
      </w:r>
      <w:r w:rsidRPr="00150EDC">
        <w:rPr>
          <w:rFonts w:ascii="Calibri"/>
          <w:spacing w:val="-2"/>
        </w:rPr>
        <w:t xml:space="preserve"> </w:t>
      </w:r>
      <w:r w:rsidRPr="00150EDC">
        <w:rPr>
          <w:rFonts w:ascii="Calibri"/>
        </w:rPr>
        <w:t>by the Relevant Authority)</w:t>
      </w:r>
      <w:r w:rsidRPr="00150EDC">
        <w:rPr>
          <w:rFonts w:ascii="Calibri"/>
          <w:spacing w:val="-1"/>
        </w:rPr>
        <w:t xml:space="preserve"> </w:t>
      </w:r>
      <w:r w:rsidRPr="00150EDC">
        <w:rPr>
          <w:rFonts w:ascii="Calibri"/>
        </w:rPr>
        <w:t>full details of</w:t>
      </w:r>
      <w:r w:rsidRPr="00150EDC">
        <w:rPr>
          <w:rFonts w:ascii="Calibri"/>
          <w:spacing w:val="-1"/>
        </w:rPr>
        <w:t xml:space="preserve"> </w:t>
      </w:r>
      <w:r w:rsidRPr="00150EDC">
        <w:rPr>
          <w:rFonts w:ascii="Calibri"/>
        </w:rPr>
        <w:t>the incident</w:t>
      </w:r>
      <w:r w:rsidRPr="00150EDC">
        <w:rPr>
          <w:rFonts w:ascii="Calibri"/>
          <w:spacing w:val="-1"/>
        </w:rPr>
        <w:t xml:space="preserve"> </w:t>
      </w:r>
      <w:r w:rsidRPr="00150EDC">
        <w:rPr>
          <w:rFonts w:ascii="Calibri"/>
        </w:rPr>
        <w:t>giving rise to the claim.</w:t>
      </w:r>
    </w:p>
    <w:p w14:paraId="16FF38D3" w14:textId="77777777" w:rsidR="004C7180" w:rsidRPr="00150EDC" w:rsidRDefault="00CF0754" w:rsidP="00B320C7">
      <w:pPr>
        <w:pStyle w:val="ListParagraph"/>
        <w:numPr>
          <w:ilvl w:val="1"/>
          <w:numId w:val="100"/>
        </w:numPr>
        <w:tabs>
          <w:tab w:val="left" w:pos="2298"/>
          <w:tab w:val="left" w:pos="2300"/>
        </w:tabs>
        <w:spacing w:before="123" w:line="237" w:lineRule="auto"/>
        <w:ind w:right="1439"/>
        <w:jc w:val="both"/>
        <w:rPr>
          <w:rFonts w:ascii="Calibri"/>
        </w:rPr>
      </w:pPr>
      <w:r w:rsidRPr="00150EDC">
        <w:rPr>
          <w:rFonts w:ascii="Calibri"/>
        </w:rPr>
        <w:t>Where any Insurance requires payment of a premium, the Supplier shall be liable for and shall promptly pay such premium.</w:t>
      </w:r>
    </w:p>
    <w:p w14:paraId="5833BEE2" w14:textId="77777777" w:rsidR="004C7180" w:rsidRPr="00150EDC" w:rsidRDefault="00CF0754" w:rsidP="00B320C7">
      <w:pPr>
        <w:pStyle w:val="ListParagraph"/>
        <w:numPr>
          <w:ilvl w:val="1"/>
          <w:numId w:val="100"/>
        </w:numPr>
        <w:tabs>
          <w:tab w:val="left" w:pos="2298"/>
          <w:tab w:val="left" w:pos="2300"/>
        </w:tabs>
        <w:spacing w:before="123"/>
        <w:ind w:right="1436"/>
        <w:jc w:val="both"/>
        <w:rPr>
          <w:rFonts w:ascii="Calibri"/>
        </w:rPr>
      </w:pPr>
      <w:r w:rsidRPr="00150EDC">
        <w:rPr>
          <w:rFonts w:ascii="Calibri"/>
        </w:rPr>
        <w:t>Where</w:t>
      </w:r>
      <w:r w:rsidRPr="00150EDC">
        <w:rPr>
          <w:rFonts w:ascii="Calibri"/>
          <w:spacing w:val="-4"/>
        </w:rPr>
        <w:t xml:space="preserve"> </w:t>
      </w:r>
      <w:r w:rsidRPr="00150EDC">
        <w:rPr>
          <w:rFonts w:ascii="Calibri"/>
        </w:rPr>
        <w:t>any</w:t>
      </w:r>
      <w:r w:rsidRPr="00150EDC">
        <w:rPr>
          <w:rFonts w:ascii="Calibri"/>
          <w:spacing w:val="-2"/>
        </w:rPr>
        <w:t xml:space="preserve"> </w:t>
      </w:r>
      <w:r w:rsidRPr="00150EDC">
        <w:rPr>
          <w:rFonts w:ascii="Calibri"/>
        </w:rPr>
        <w:t>Insurance</w:t>
      </w:r>
      <w:r w:rsidRPr="00150EDC">
        <w:rPr>
          <w:rFonts w:ascii="Calibri"/>
          <w:spacing w:val="-2"/>
        </w:rPr>
        <w:t xml:space="preserve"> </w:t>
      </w:r>
      <w:r w:rsidRPr="00150EDC">
        <w:rPr>
          <w:rFonts w:ascii="Calibri"/>
        </w:rPr>
        <w:t>is</w:t>
      </w:r>
      <w:r w:rsidRPr="00150EDC">
        <w:rPr>
          <w:rFonts w:ascii="Calibri"/>
          <w:spacing w:val="-5"/>
        </w:rPr>
        <w:t xml:space="preserve"> </w:t>
      </w:r>
      <w:r w:rsidRPr="00150EDC">
        <w:rPr>
          <w:rFonts w:ascii="Calibri"/>
        </w:rPr>
        <w:t>subject</w:t>
      </w:r>
      <w:r w:rsidRPr="00150EDC">
        <w:rPr>
          <w:rFonts w:ascii="Calibri"/>
          <w:spacing w:val="-4"/>
        </w:rPr>
        <w:t xml:space="preserve"> </w:t>
      </w:r>
      <w:r w:rsidRPr="00150EDC">
        <w:rPr>
          <w:rFonts w:ascii="Calibri"/>
        </w:rPr>
        <w:t>to</w:t>
      </w:r>
      <w:r w:rsidRPr="00150EDC">
        <w:rPr>
          <w:rFonts w:ascii="Calibri"/>
          <w:spacing w:val="-3"/>
        </w:rPr>
        <w:t xml:space="preserve"> </w:t>
      </w:r>
      <w:r w:rsidRPr="00150EDC">
        <w:rPr>
          <w:rFonts w:ascii="Calibri"/>
        </w:rPr>
        <w:t>an</w:t>
      </w:r>
      <w:r w:rsidRPr="00150EDC">
        <w:rPr>
          <w:rFonts w:ascii="Calibri"/>
          <w:spacing w:val="-5"/>
        </w:rPr>
        <w:t xml:space="preserve"> </w:t>
      </w:r>
      <w:r w:rsidRPr="00150EDC">
        <w:rPr>
          <w:rFonts w:ascii="Calibri"/>
        </w:rPr>
        <w:t>excess</w:t>
      </w:r>
      <w:r w:rsidRPr="00150EDC">
        <w:rPr>
          <w:rFonts w:ascii="Calibri"/>
          <w:spacing w:val="-4"/>
        </w:rPr>
        <w:t xml:space="preserve"> </w:t>
      </w:r>
      <w:r w:rsidRPr="00150EDC">
        <w:rPr>
          <w:rFonts w:ascii="Calibri"/>
        </w:rPr>
        <w:t>or</w:t>
      </w:r>
      <w:r w:rsidRPr="00150EDC">
        <w:rPr>
          <w:rFonts w:ascii="Calibri"/>
          <w:spacing w:val="-2"/>
        </w:rPr>
        <w:t xml:space="preserve"> </w:t>
      </w:r>
      <w:r w:rsidRPr="00150EDC">
        <w:rPr>
          <w:rFonts w:ascii="Calibri"/>
        </w:rPr>
        <w:t>deductible</w:t>
      </w:r>
      <w:r w:rsidRPr="00150EDC">
        <w:rPr>
          <w:rFonts w:ascii="Calibri"/>
          <w:spacing w:val="-2"/>
        </w:rPr>
        <w:t xml:space="preserve"> </w:t>
      </w:r>
      <w:r w:rsidRPr="00150EDC">
        <w:rPr>
          <w:rFonts w:ascii="Calibri"/>
        </w:rPr>
        <w:t>below</w:t>
      </w:r>
      <w:r w:rsidRPr="00150EDC">
        <w:rPr>
          <w:rFonts w:ascii="Calibri"/>
          <w:spacing w:val="-4"/>
        </w:rPr>
        <w:t xml:space="preserve"> </w:t>
      </w:r>
      <w:r w:rsidRPr="00150EDC">
        <w:rPr>
          <w:rFonts w:ascii="Calibri"/>
        </w:rPr>
        <w:t>which</w:t>
      </w:r>
      <w:r w:rsidRPr="00150EDC">
        <w:rPr>
          <w:rFonts w:ascii="Calibri"/>
          <w:spacing w:val="-4"/>
        </w:rPr>
        <w:t xml:space="preserve"> </w:t>
      </w:r>
      <w:r w:rsidRPr="00150EDC">
        <w:rPr>
          <w:rFonts w:ascii="Calibri"/>
        </w:rPr>
        <w:t>the indemnity</w:t>
      </w:r>
      <w:r w:rsidRPr="00150EDC">
        <w:rPr>
          <w:rFonts w:ascii="Calibri"/>
          <w:spacing w:val="-2"/>
        </w:rPr>
        <w:t xml:space="preserve"> </w:t>
      </w:r>
      <w:r w:rsidRPr="00150EDC">
        <w:rPr>
          <w:rFonts w:ascii="Calibri"/>
        </w:rPr>
        <w:t>from insurers</w:t>
      </w:r>
      <w:r w:rsidRPr="00150EDC">
        <w:rPr>
          <w:rFonts w:ascii="Calibri"/>
          <w:spacing w:val="-2"/>
        </w:rPr>
        <w:t xml:space="preserve"> </w:t>
      </w:r>
      <w:r w:rsidRPr="00150EDC">
        <w:rPr>
          <w:rFonts w:ascii="Calibri"/>
        </w:rPr>
        <w:t>is</w:t>
      </w:r>
      <w:r w:rsidRPr="00150EDC">
        <w:rPr>
          <w:rFonts w:ascii="Calibri"/>
          <w:spacing w:val="-2"/>
        </w:rPr>
        <w:t xml:space="preserve"> </w:t>
      </w:r>
      <w:r w:rsidRPr="00150EDC">
        <w:rPr>
          <w:rFonts w:ascii="Calibri"/>
        </w:rPr>
        <w:t>excluded,</w:t>
      </w:r>
      <w:r w:rsidRPr="00150EDC">
        <w:rPr>
          <w:rFonts w:ascii="Calibri"/>
          <w:spacing w:val="-2"/>
        </w:rPr>
        <w:t xml:space="preserve"> </w:t>
      </w:r>
      <w:r w:rsidRPr="00150EDC">
        <w:rPr>
          <w:rFonts w:ascii="Calibri"/>
        </w:rPr>
        <w:t>the</w:t>
      </w:r>
      <w:r w:rsidRPr="00150EDC">
        <w:rPr>
          <w:rFonts w:ascii="Calibri"/>
          <w:spacing w:val="-2"/>
        </w:rPr>
        <w:t xml:space="preserve"> </w:t>
      </w:r>
      <w:r w:rsidRPr="00150EDC">
        <w:rPr>
          <w:rFonts w:ascii="Calibri"/>
        </w:rPr>
        <w:t>Supplier</w:t>
      </w:r>
      <w:r w:rsidRPr="00150EDC">
        <w:rPr>
          <w:rFonts w:ascii="Calibri"/>
          <w:spacing w:val="-2"/>
        </w:rPr>
        <w:t xml:space="preserve"> </w:t>
      </w:r>
      <w:r w:rsidRPr="00150EDC">
        <w:rPr>
          <w:rFonts w:ascii="Calibri"/>
        </w:rPr>
        <w:t>shall</w:t>
      </w:r>
      <w:r w:rsidRPr="00150EDC">
        <w:rPr>
          <w:rFonts w:ascii="Calibri"/>
          <w:spacing w:val="-3"/>
        </w:rPr>
        <w:t xml:space="preserve"> </w:t>
      </w:r>
      <w:r w:rsidRPr="00150EDC">
        <w:rPr>
          <w:rFonts w:ascii="Calibri"/>
        </w:rPr>
        <w:t>be</w:t>
      </w:r>
      <w:r w:rsidRPr="00150EDC">
        <w:rPr>
          <w:rFonts w:ascii="Calibri"/>
          <w:spacing w:val="-2"/>
        </w:rPr>
        <w:t xml:space="preserve"> </w:t>
      </w:r>
      <w:r w:rsidRPr="00150EDC">
        <w:rPr>
          <w:rFonts w:ascii="Calibri"/>
        </w:rPr>
        <w:t>liable</w:t>
      </w:r>
      <w:r w:rsidRPr="00150EDC">
        <w:rPr>
          <w:rFonts w:ascii="Calibri"/>
          <w:spacing w:val="-2"/>
        </w:rPr>
        <w:t xml:space="preserve"> </w:t>
      </w:r>
      <w:r w:rsidRPr="00150EDC">
        <w:rPr>
          <w:rFonts w:ascii="Calibri"/>
        </w:rPr>
        <w:t>for</w:t>
      </w:r>
      <w:r w:rsidRPr="00150EDC">
        <w:rPr>
          <w:rFonts w:ascii="Calibri"/>
          <w:spacing w:val="-2"/>
        </w:rPr>
        <w:t xml:space="preserve"> </w:t>
      </w:r>
      <w:r w:rsidRPr="00150EDC">
        <w:rPr>
          <w:rFonts w:ascii="Calibri"/>
        </w:rPr>
        <w:t>such</w:t>
      </w:r>
      <w:r w:rsidRPr="00150EDC">
        <w:rPr>
          <w:rFonts w:ascii="Calibri"/>
          <w:spacing w:val="-3"/>
        </w:rPr>
        <w:t xml:space="preserve"> </w:t>
      </w:r>
      <w:r w:rsidRPr="00150EDC">
        <w:rPr>
          <w:rFonts w:ascii="Calibri"/>
        </w:rPr>
        <w:t>excess</w:t>
      </w:r>
      <w:r w:rsidRPr="00150EDC">
        <w:rPr>
          <w:rFonts w:ascii="Calibri"/>
          <w:spacing w:val="-2"/>
        </w:rPr>
        <w:t xml:space="preserve"> </w:t>
      </w:r>
      <w:r w:rsidRPr="00150EDC">
        <w:rPr>
          <w:rFonts w:ascii="Calibri"/>
        </w:rPr>
        <w:t>or</w:t>
      </w:r>
      <w:r w:rsidRPr="00150EDC">
        <w:rPr>
          <w:rFonts w:ascii="Calibri"/>
          <w:spacing w:val="-5"/>
        </w:rPr>
        <w:t xml:space="preserve"> </w:t>
      </w:r>
      <w:r w:rsidRPr="00150EDC">
        <w:rPr>
          <w:rFonts w:ascii="Calibri"/>
        </w:rPr>
        <w:t>deductible.</w:t>
      </w:r>
      <w:r w:rsidRPr="00150EDC">
        <w:rPr>
          <w:rFonts w:ascii="Calibri"/>
          <w:spacing w:val="40"/>
        </w:rPr>
        <w:t xml:space="preserve"> </w:t>
      </w:r>
      <w:r w:rsidRPr="00150EDC">
        <w:rPr>
          <w:rFonts w:ascii="Calibri"/>
        </w:rPr>
        <w:t>The</w:t>
      </w:r>
      <w:r w:rsidRPr="00150EDC">
        <w:rPr>
          <w:rFonts w:ascii="Calibri"/>
          <w:spacing w:val="-2"/>
        </w:rPr>
        <w:t xml:space="preserve"> </w:t>
      </w:r>
      <w:r w:rsidRPr="00150EDC">
        <w:rPr>
          <w:rFonts w:ascii="Calibri"/>
        </w:rPr>
        <w:t>Supplier shall not</w:t>
      </w:r>
      <w:r w:rsidRPr="00150EDC">
        <w:rPr>
          <w:rFonts w:ascii="Calibri"/>
          <w:spacing w:val="-2"/>
        </w:rPr>
        <w:t xml:space="preserve"> </w:t>
      </w:r>
      <w:r w:rsidRPr="00150EDC">
        <w:rPr>
          <w:rFonts w:ascii="Calibri"/>
        </w:rPr>
        <w:t>be</w:t>
      </w:r>
      <w:r w:rsidRPr="00150EDC">
        <w:rPr>
          <w:rFonts w:ascii="Calibri"/>
          <w:spacing w:val="-2"/>
        </w:rPr>
        <w:t xml:space="preserve"> </w:t>
      </w:r>
      <w:r w:rsidRPr="00150EDC">
        <w:rPr>
          <w:rFonts w:ascii="Calibri"/>
        </w:rPr>
        <w:t>entitled</w:t>
      </w:r>
      <w:r w:rsidRPr="00150EDC">
        <w:rPr>
          <w:rFonts w:ascii="Calibri"/>
          <w:spacing w:val="-3"/>
        </w:rPr>
        <w:t xml:space="preserve"> </w:t>
      </w:r>
      <w:r w:rsidRPr="00150EDC">
        <w:rPr>
          <w:rFonts w:ascii="Calibri"/>
        </w:rPr>
        <w:t>to recover from the Relevant Authority</w:t>
      </w:r>
      <w:r w:rsidRPr="00150EDC">
        <w:rPr>
          <w:rFonts w:ascii="Calibri"/>
          <w:spacing w:val="-1"/>
        </w:rPr>
        <w:t xml:space="preserve"> </w:t>
      </w:r>
      <w:r w:rsidRPr="00150EDC">
        <w:rPr>
          <w:rFonts w:ascii="Calibri"/>
        </w:rPr>
        <w:t>any</w:t>
      </w:r>
      <w:r w:rsidRPr="00150EDC">
        <w:rPr>
          <w:rFonts w:ascii="Calibri"/>
          <w:spacing w:val="-1"/>
        </w:rPr>
        <w:t xml:space="preserve"> </w:t>
      </w:r>
      <w:r w:rsidRPr="00150EDC">
        <w:rPr>
          <w:rFonts w:ascii="Calibri"/>
        </w:rPr>
        <w:t>sum</w:t>
      </w:r>
      <w:r w:rsidRPr="00150EDC">
        <w:rPr>
          <w:rFonts w:ascii="Calibri"/>
          <w:spacing w:val="-1"/>
        </w:rPr>
        <w:t xml:space="preserve"> </w:t>
      </w:r>
      <w:r w:rsidRPr="00150EDC">
        <w:rPr>
          <w:rFonts w:ascii="Calibri"/>
        </w:rPr>
        <w:t>paid</w:t>
      </w:r>
      <w:r w:rsidRPr="00150EDC">
        <w:rPr>
          <w:rFonts w:ascii="Calibri"/>
          <w:spacing w:val="-1"/>
        </w:rPr>
        <w:t xml:space="preserve"> </w:t>
      </w:r>
      <w:r w:rsidRPr="00150EDC">
        <w:rPr>
          <w:rFonts w:ascii="Calibri"/>
        </w:rPr>
        <w:t>by</w:t>
      </w:r>
      <w:r w:rsidRPr="00150EDC">
        <w:rPr>
          <w:rFonts w:ascii="Calibri"/>
          <w:spacing w:val="-1"/>
        </w:rPr>
        <w:t xml:space="preserve"> </w:t>
      </w:r>
      <w:r w:rsidRPr="00150EDC">
        <w:rPr>
          <w:rFonts w:ascii="Calibri"/>
        </w:rPr>
        <w:t>way</w:t>
      </w:r>
      <w:r w:rsidRPr="00150EDC">
        <w:rPr>
          <w:rFonts w:ascii="Calibri"/>
          <w:spacing w:val="-1"/>
        </w:rPr>
        <w:t xml:space="preserve"> </w:t>
      </w:r>
      <w:r w:rsidRPr="00150EDC">
        <w:rPr>
          <w:rFonts w:ascii="Calibri"/>
        </w:rPr>
        <w:t>of</w:t>
      </w:r>
      <w:r w:rsidRPr="00150EDC">
        <w:rPr>
          <w:rFonts w:ascii="Calibri"/>
          <w:spacing w:val="-2"/>
        </w:rPr>
        <w:t xml:space="preserve"> </w:t>
      </w:r>
      <w:r w:rsidRPr="00150EDC">
        <w:rPr>
          <w:rFonts w:ascii="Calibri"/>
        </w:rPr>
        <w:t>excess or</w:t>
      </w:r>
      <w:r w:rsidRPr="00150EDC">
        <w:rPr>
          <w:rFonts w:ascii="Calibri"/>
          <w:spacing w:val="-1"/>
        </w:rPr>
        <w:t xml:space="preserve"> </w:t>
      </w:r>
      <w:r w:rsidRPr="00150EDC">
        <w:rPr>
          <w:rFonts w:ascii="Calibri"/>
        </w:rPr>
        <w:t>deductible</w:t>
      </w:r>
      <w:r w:rsidRPr="00150EDC">
        <w:rPr>
          <w:rFonts w:ascii="Calibri"/>
          <w:spacing w:val="-1"/>
        </w:rPr>
        <w:t xml:space="preserve"> </w:t>
      </w:r>
      <w:r w:rsidRPr="00150EDC">
        <w:rPr>
          <w:rFonts w:ascii="Calibri"/>
        </w:rPr>
        <w:t>under</w:t>
      </w:r>
      <w:r w:rsidRPr="00150EDC">
        <w:rPr>
          <w:rFonts w:ascii="Calibri"/>
          <w:spacing w:val="-1"/>
        </w:rPr>
        <w:t xml:space="preserve"> </w:t>
      </w:r>
      <w:r w:rsidRPr="00150EDC">
        <w:rPr>
          <w:rFonts w:ascii="Calibri"/>
        </w:rPr>
        <w:t>the</w:t>
      </w:r>
      <w:r w:rsidRPr="00150EDC">
        <w:rPr>
          <w:rFonts w:ascii="Calibri"/>
          <w:spacing w:val="-1"/>
        </w:rPr>
        <w:t xml:space="preserve"> </w:t>
      </w:r>
      <w:r w:rsidRPr="00150EDC">
        <w:rPr>
          <w:rFonts w:ascii="Calibri"/>
        </w:rPr>
        <w:t>Insurances</w:t>
      </w:r>
      <w:r w:rsidRPr="00150EDC">
        <w:rPr>
          <w:rFonts w:ascii="Calibri"/>
          <w:spacing w:val="-1"/>
        </w:rPr>
        <w:t xml:space="preserve"> </w:t>
      </w:r>
      <w:r w:rsidRPr="00150EDC">
        <w:rPr>
          <w:rFonts w:ascii="Calibri"/>
        </w:rPr>
        <w:t>whether</w:t>
      </w:r>
      <w:r w:rsidRPr="00150EDC">
        <w:rPr>
          <w:rFonts w:ascii="Calibri"/>
          <w:spacing w:val="-1"/>
        </w:rPr>
        <w:t xml:space="preserve"> </w:t>
      </w:r>
      <w:r w:rsidRPr="00150EDC">
        <w:rPr>
          <w:rFonts w:ascii="Calibri"/>
        </w:rPr>
        <w:t>under</w:t>
      </w:r>
      <w:r w:rsidRPr="00150EDC">
        <w:rPr>
          <w:rFonts w:ascii="Calibri"/>
          <w:spacing w:val="-3"/>
        </w:rPr>
        <w:t xml:space="preserve"> </w:t>
      </w:r>
      <w:r w:rsidRPr="00150EDC">
        <w:rPr>
          <w:rFonts w:ascii="Calibri"/>
        </w:rPr>
        <w:t>the</w:t>
      </w:r>
      <w:r w:rsidRPr="00150EDC">
        <w:rPr>
          <w:rFonts w:ascii="Calibri"/>
          <w:spacing w:val="-3"/>
        </w:rPr>
        <w:t xml:space="preserve"> </w:t>
      </w:r>
      <w:r w:rsidRPr="00150EDC">
        <w:rPr>
          <w:rFonts w:ascii="Calibri"/>
        </w:rPr>
        <w:t>terms</w:t>
      </w:r>
      <w:r w:rsidRPr="00150EDC">
        <w:rPr>
          <w:rFonts w:ascii="Calibri"/>
          <w:spacing w:val="-3"/>
        </w:rPr>
        <w:t xml:space="preserve"> </w:t>
      </w:r>
      <w:r w:rsidRPr="00150EDC">
        <w:rPr>
          <w:rFonts w:ascii="Calibri"/>
        </w:rPr>
        <w:t>of</w:t>
      </w:r>
      <w:r w:rsidRPr="00150EDC">
        <w:rPr>
          <w:rFonts w:ascii="Calibri"/>
          <w:spacing w:val="-1"/>
        </w:rPr>
        <w:t xml:space="preserve"> </w:t>
      </w:r>
      <w:r w:rsidRPr="00150EDC">
        <w:rPr>
          <w:rFonts w:ascii="Calibri"/>
        </w:rPr>
        <w:t>this</w:t>
      </w:r>
      <w:r w:rsidRPr="00150EDC">
        <w:rPr>
          <w:rFonts w:ascii="Calibri"/>
          <w:spacing w:val="-4"/>
        </w:rPr>
        <w:t xml:space="preserve"> </w:t>
      </w:r>
      <w:r w:rsidRPr="00150EDC">
        <w:rPr>
          <w:rFonts w:ascii="Calibri"/>
        </w:rPr>
        <w:t>Contract</w:t>
      </w:r>
      <w:r w:rsidRPr="00150EDC">
        <w:rPr>
          <w:rFonts w:ascii="Calibri"/>
          <w:spacing w:val="-3"/>
        </w:rPr>
        <w:t xml:space="preserve"> </w:t>
      </w:r>
      <w:r w:rsidRPr="00150EDC">
        <w:rPr>
          <w:rFonts w:ascii="Calibri"/>
        </w:rPr>
        <w:t>or</w:t>
      </w:r>
      <w:r w:rsidRPr="00150EDC">
        <w:rPr>
          <w:rFonts w:ascii="Calibri"/>
          <w:spacing w:val="-3"/>
        </w:rPr>
        <w:t xml:space="preserve"> </w:t>
      </w:r>
      <w:r w:rsidRPr="00150EDC">
        <w:rPr>
          <w:rFonts w:ascii="Calibri"/>
        </w:rPr>
        <w:t>otherwise.</w:t>
      </w:r>
    </w:p>
    <w:p w14:paraId="542EC1D6" w14:textId="77777777" w:rsidR="004C7180" w:rsidRPr="00150EDC" w:rsidRDefault="004C7180">
      <w:pPr>
        <w:jc w:val="both"/>
        <w:rPr>
          <w:rFonts w:ascii="Calibri"/>
        </w:rPr>
        <w:sectPr w:rsidR="004C7180" w:rsidRPr="00150EDC">
          <w:pgSz w:w="11910" w:h="16840"/>
          <w:pgMar w:top="1180" w:right="0" w:bottom="1420" w:left="40" w:header="751" w:footer="1227" w:gutter="0"/>
          <w:cols w:space="720"/>
        </w:sectPr>
      </w:pPr>
    </w:p>
    <w:p w14:paraId="20CF1180" w14:textId="77777777" w:rsidR="004C7180" w:rsidRPr="00150EDC" w:rsidRDefault="004C7180">
      <w:pPr>
        <w:pStyle w:val="BodyText"/>
        <w:spacing w:before="5"/>
        <w:rPr>
          <w:rFonts w:ascii="Calibri"/>
          <w:sz w:val="15"/>
        </w:rPr>
      </w:pPr>
    </w:p>
    <w:p w14:paraId="42DF1E69" w14:textId="77777777" w:rsidR="004C7180" w:rsidRPr="00150EDC" w:rsidRDefault="00CF0754">
      <w:pPr>
        <w:spacing w:before="56"/>
        <w:ind w:left="1472"/>
        <w:rPr>
          <w:rFonts w:ascii="Calibri"/>
          <w:b/>
        </w:rPr>
      </w:pPr>
      <w:r w:rsidRPr="00150EDC">
        <w:rPr>
          <w:rFonts w:ascii="Calibri"/>
          <w:b/>
        </w:rPr>
        <w:t>ANNEX:</w:t>
      </w:r>
      <w:r w:rsidRPr="00150EDC">
        <w:rPr>
          <w:rFonts w:ascii="Calibri"/>
          <w:b/>
          <w:spacing w:val="-7"/>
        </w:rPr>
        <w:t xml:space="preserve"> </w:t>
      </w:r>
      <w:r w:rsidRPr="00150EDC">
        <w:rPr>
          <w:rFonts w:ascii="Calibri"/>
          <w:b/>
        </w:rPr>
        <w:t>REQUIRED</w:t>
      </w:r>
      <w:r w:rsidRPr="00150EDC">
        <w:rPr>
          <w:rFonts w:ascii="Calibri"/>
          <w:b/>
          <w:spacing w:val="-5"/>
        </w:rPr>
        <w:t xml:space="preserve"> </w:t>
      </w:r>
      <w:r w:rsidRPr="00150EDC">
        <w:rPr>
          <w:rFonts w:ascii="Calibri"/>
          <w:b/>
          <w:spacing w:val="-2"/>
        </w:rPr>
        <w:t>INSURANCES</w:t>
      </w:r>
    </w:p>
    <w:p w14:paraId="049E83DB" w14:textId="77777777" w:rsidR="004C7180" w:rsidRPr="00150EDC" w:rsidRDefault="00CF0754" w:rsidP="00B320C7">
      <w:pPr>
        <w:pStyle w:val="ListParagraph"/>
        <w:numPr>
          <w:ilvl w:val="0"/>
          <w:numId w:val="99"/>
        </w:numPr>
        <w:tabs>
          <w:tab w:val="left" w:pos="1758"/>
          <w:tab w:val="left" w:pos="1760"/>
        </w:tabs>
        <w:spacing w:before="124" w:line="237" w:lineRule="auto"/>
        <w:ind w:right="1440"/>
        <w:rPr>
          <w:rFonts w:ascii="Calibri"/>
        </w:rPr>
      </w:pPr>
      <w:r w:rsidRPr="00150EDC">
        <w:rPr>
          <w:rFonts w:ascii="Calibri"/>
        </w:rPr>
        <w:t>The Supplier shall hold</w:t>
      </w:r>
      <w:r w:rsidRPr="00150EDC">
        <w:rPr>
          <w:rFonts w:ascii="Calibri"/>
          <w:spacing w:val="-1"/>
        </w:rPr>
        <w:t xml:space="preserve"> </w:t>
      </w:r>
      <w:r w:rsidRPr="00150EDC">
        <w:rPr>
          <w:rFonts w:ascii="Calibri"/>
        </w:rPr>
        <w:t>the</w:t>
      </w:r>
      <w:r w:rsidRPr="00150EDC">
        <w:rPr>
          <w:rFonts w:ascii="Calibri"/>
          <w:spacing w:val="-4"/>
        </w:rPr>
        <w:t xml:space="preserve"> </w:t>
      </w:r>
      <w:r w:rsidRPr="00150EDC">
        <w:rPr>
          <w:rFonts w:ascii="Calibri"/>
        </w:rPr>
        <w:t>following</w:t>
      </w:r>
      <w:r w:rsidRPr="00150EDC">
        <w:rPr>
          <w:rFonts w:ascii="Calibri"/>
          <w:spacing w:val="-1"/>
        </w:rPr>
        <w:t xml:space="preserve"> </w:t>
      </w:r>
      <w:r w:rsidRPr="00150EDC">
        <w:rPr>
          <w:rFonts w:ascii="Calibri"/>
        </w:rPr>
        <w:t>insurance</w:t>
      </w:r>
      <w:r w:rsidRPr="00150EDC">
        <w:rPr>
          <w:rFonts w:ascii="Calibri"/>
          <w:spacing w:val="-1"/>
        </w:rPr>
        <w:t xml:space="preserve"> </w:t>
      </w:r>
      <w:r w:rsidRPr="00150EDC">
        <w:rPr>
          <w:rFonts w:ascii="Calibri"/>
        </w:rPr>
        <w:t>cover</w:t>
      </w:r>
      <w:r w:rsidRPr="00150EDC">
        <w:rPr>
          <w:rFonts w:ascii="Calibri"/>
          <w:spacing w:val="-2"/>
        </w:rPr>
        <w:t xml:space="preserve"> </w:t>
      </w:r>
      <w:r w:rsidRPr="00150EDC">
        <w:rPr>
          <w:rFonts w:ascii="Calibri"/>
        </w:rPr>
        <w:t>from</w:t>
      </w:r>
      <w:r w:rsidRPr="00150EDC">
        <w:rPr>
          <w:rFonts w:ascii="Calibri"/>
          <w:spacing w:val="-1"/>
        </w:rPr>
        <w:t xml:space="preserve"> </w:t>
      </w:r>
      <w:r w:rsidRPr="00150EDC">
        <w:rPr>
          <w:rFonts w:ascii="Calibri"/>
        </w:rPr>
        <w:t>the</w:t>
      </w:r>
      <w:r w:rsidRPr="00150EDC">
        <w:rPr>
          <w:rFonts w:ascii="Calibri"/>
          <w:spacing w:val="-2"/>
        </w:rPr>
        <w:t xml:space="preserve"> </w:t>
      </w:r>
      <w:r w:rsidRPr="00150EDC">
        <w:rPr>
          <w:rFonts w:ascii="Calibri"/>
        </w:rPr>
        <w:t>DPS Start</w:t>
      </w:r>
      <w:r w:rsidRPr="00150EDC">
        <w:rPr>
          <w:rFonts w:ascii="Calibri"/>
          <w:spacing w:val="-2"/>
        </w:rPr>
        <w:t xml:space="preserve"> </w:t>
      </w:r>
      <w:r w:rsidRPr="00150EDC">
        <w:rPr>
          <w:rFonts w:ascii="Calibri"/>
        </w:rPr>
        <w:t>Date</w:t>
      </w:r>
      <w:r w:rsidRPr="00150EDC">
        <w:rPr>
          <w:rFonts w:ascii="Calibri"/>
          <w:spacing w:val="-1"/>
        </w:rPr>
        <w:t xml:space="preserve"> </w:t>
      </w:r>
      <w:r w:rsidRPr="00150EDC">
        <w:rPr>
          <w:rFonts w:ascii="Calibri"/>
        </w:rPr>
        <w:t>in</w:t>
      </w:r>
      <w:r w:rsidRPr="00150EDC">
        <w:rPr>
          <w:rFonts w:ascii="Calibri"/>
          <w:spacing w:val="-1"/>
        </w:rPr>
        <w:t xml:space="preserve"> </w:t>
      </w:r>
      <w:r w:rsidRPr="00150EDC">
        <w:rPr>
          <w:rFonts w:ascii="Calibri"/>
        </w:rPr>
        <w:t>accordance with this Schedule:</w:t>
      </w:r>
    </w:p>
    <w:p w14:paraId="503516A4" w14:textId="77777777" w:rsidR="004C7180" w:rsidRPr="00150EDC" w:rsidRDefault="004C7180">
      <w:pPr>
        <w:pStyle w:val="BodyText"/>
        <w:spacing w:before="11"/>
        <w:rPr>
          <w:rFonts w:ascii="Calibri"/>
          <w:sz w:val="19"/>
        </w:rPr>
      </w:pPr>
    </w:p>
    <w:p w14:paraId="1FB26041" w14:textId="77777777" w:rsidR="004C7180" w:rsidRPr="00150EDC" w:rsidRDefault="00CF0754" w:rsidP="00B320C7">
      <w:pPr>
        <w:pStyle w:val="ListParagraph"/>
        <w:numPr>
          <w:ilvl w:val="1"/>
          <w:numId w:val="99"/>
        </w:numPr>
        <w:tabs>
          <w:tab w:val="left" w:pos="2300"/>
        </w:tabs>
        <w:ind w:right="1436"/>
        <w:rPr>
          <w:rFonts w:ascii="Calibri" w:hAnsi="Calibri"/>
        </w:rPr>
      </w:pPr>
      <w:r w:rsidRPr="00150EDC">
        <w:rPr>
          <w:rFonts w:ascii="Calibri" w:hAnsi="Calibri"/>
        </w:rPr>
        <w:t>professional indemnity insurance with cover for a single event or a series</w:t>
      </w:r>
      <w:r w:rsidRPr="00150EDC">
        <w:rPr>
          <w:rFonts w:ascii="Calibri" w:hAnsi="Calibri"/>
          <w:spacing w:val="-2"/>
        </w:rPr>
        <w:t xml:space="preserve"> </w:t>
      </w:r>
      <w:r w:rsidRPr="00150EDC">
        <w:rPr>
          <w:rFonts w:ascii="Calibri" w:hAnsi="Calibri"/>
        </w:rPr>
        <w:t>of related events and in the aggregate of not less than one million pounds (£1,000,000);</w:t>
      </w:r>
    </w:p>
    <w:p w14:paraId="19236CD1" w14:textId="77777777" w:rsidR="004C7180" w:rsidRPr="00150EDC" w:rsidRDefault="00CF0754" w:rsidP="00B320C7">
      <w:pPr>
        <w:pStyle w:val="ListParagraph"/>
        <w:numPr>
          <w:ilvl w:val="1"/>
          <w:numId w:val="99"/>
        </w:numPr>
        <w:tabs>
          <w:tab w:val="left" w:pos="2300"/>
        </w:tabs>
        <w:spacing w:before="124" w:line="237" w:lineRule="auto"/>
        <w:ind w:right="1437"/>
        <w:rPr>
          <w:rFonts w:ascii="Calibri" w:hAnsi="Calibri"/>
        </w:rPr>
      </w:pPr>
      <w:r w:rsidRPr="00150EDC">
        <w:rPr>
          <w:rFonts w:ascii="Calibri" w:hAnsi="Calibri"/>
        </w:rPr>
        <w:t>public</w:t>
      </w:r>
      <w:r w:rsidRPr="00150EDC">
        <w:rPr>
          <w:rFonts w:ascii="Calibri" w:hAnsi="Calibri"/>
          <w:spacing w:val="-6"/>
        </w:rPr>
        <w:t xml:space="preserve"> </w:t>
      </w:r>
      <w:r w:rsidRPr="00150EDC">
        <w:rPr>
          <w:rFonts w:ascii="Calibri" w:hAnsi="Calibri"/>
        </w:rPr>
        <w:t>liability</w:t>
      </w:r>
      <w:r w:rsidRPr="00150EDC">
        <w:rPr>
          <w:rFonts w:ascii="Calibri" w:hAnsi="Calibri"/>
          <w:spacing w:val="-6"/>
        </w:rPr>
        <w:t xml:space="preserve"> </w:t>
      </w:r>
      <w:r w:rsidRPr="00150EDC">
        <w:rPr>
          <w:rFonts w:ascii="Calibri" w:hAnsi="Calibri"/>
        </w:rPr>
        <w:t>insurance</w:t>
      </w:r>
      <w:r w:rsidRPr="00150EDC">
        <w:rPr>
          <w:rFonts w:ascii="Calibri" w:hAnsi="Calibri"/>
          <w:spacing w:val="-6"/>
        </w:rPr>
        <w:t xml:space="preserve"> </w:t>
      </w:r>
      <w:r w:rsidRPr="00150EDC">
        <w:rPr>
          <w:rFonts w:ascii="Calibri" w:hAnsi="Calibri"/>
        </w:rPr>
        <w:t>with</w:t>
      </w:r>
      <w:r w:rsidRPr="00150EDC">
        <w:rPr>
          <w:rFonts w:ascii="Calibri" w:hAnsi="Calibri"/>
          <w:spacing w:val="-7"/>
        </w:rPr>
        <w:t xml:space="preserve"> </w:t>
      </w:r>
      <w:r w:rsidRPr="00150EDC">
        <w:rPr>
          <w:rFonts w:ascii="Calibri" w:hAnsi="Calibri"/>
        </w:rPr>
        <w:t>cover</w:t>
      </w:r>
      <w:r w:rsidRPr="00150EDC">
        <w:rPr>
          <w:rFonts w:ascii="Calibri" w:hAnsi="Calibri"/>
          <w:spacing w:val="-7"/>
        </w:rPr>
        <w:t xml:space="preserve"> </w:t>
      </w:r>
      <w:r w:rsidRPr="00150EDC">
        <w:rPr>
          <w:rFonts w:ascii="Calibri" w:hAnsi="Calibri"/>
        </w:rPr>
        <w:t>for</w:t>
      </w:r>
      <w:r w:rsidRPr="00150EDC">
        <w:rPr>
          <w:rFonts w:ascii="Calibri" w:hAnsi="Calibri"/>
          <w:spacing w:val="-7"/>
        </w:rPr>
        <w:t xml:space="preserve"> </w:t>
      </w:r>
      <w:r w:rsidRPr="00150EDC">
        <w:rPr>
          <w:rFonts w:ascii="Calibri" w:hAnsi="Calibri"/>
        </w:rPr>
        <w:t>a</w:t>
      </w:r>
      <w:r w:rsidRPr="00150EDC">
        <w:rPr>
          <w:rFonts w:ascii="Calibri" w:hAnsi="Calibri"/>
          <w:spacing w:val="-9"/>
        </w:rPr>
        <w:t xml:space="preserve"> </w:t>
      </w:r>
      <w:r w:rsidRPr="00150EDC">
        <w:rPr>
          <w:rFonts w:ascii="Calibri" w:hAnsi="Calibri"/>
        </w:rPr>
        <w:t>single</w:t>
      </w:r>
      <w:r w:rsidRPr="00150EDC">
        <w:rPr>
          <w:rFonts w:ascii="Calibri" w:hAnsi="Calibri"/>
          <w:spacing w:val="-9"/>
        </w:rPr>
        <w:t xml:space="preserve"> </w:t>
      </w:r>
      <w:r w:rsidRPr="00150EDC">
        <w:rPr>
          <w:rFonts w:ascii="Calibri" w:hAnsi="Calibri"/>
        </w:rPr>
        <w:t>event</w:t>
      </w:r>
      <w:r w:rsidRPr="00150EDC">
        <w:rPr>
          <w:rFonts w:ascii="Calibri" w:hAnsi="Calibri"/>
          <w:spacing w:val="-9"/>
        </w:rPr>
        <w:t xml:space="preserve"> </w:t>
      </w:r>
      <w:r w:rsidRPr="00150EDC">
        <w:rPr>
          <w:rFonts w:ascii="Calibri" w:hAnsi="Calibri"/>
        </w:rPr>
        <w:t>or</w:t>
      </w:r>
      <w:r w:rsidRPr="00150EDC">
        <w:rPr>
          <w:rFonts w:ascii="Calibri" w:hAnsi="Calibri"/>
          <w:spacing w:val="-7"/>
        </w:rPr>
        <w:t xml:space="preserve"> </w:t>
      </w:r>
      <w:r w:rsidRPr="00150EDC">
        <w:rPr>
          <w:rFonts w:ascii="Calibri" w:hAnsi="Calibri"/>
        </w:rPr>
        <w:t>a</w:t>
      </w:r>
      <w:r w:rsidRPr="00150EDC">
        <w:rPr>
          <w:rFonts w:ascii="Calibri" w:hAnsi="Calibri"/>
          <w:spacing w:val="-7"/>
        </w:rPr>
        <w:t xml:space="preserve"> </w:t>
      </w:r>
      <w:r w:rsidRPr="00150EDC">
        <w:rPr>
          <w:rFonts w:ascii="Calibri" w:hAnsi="Calibri"/>
        </w:rPr>
        <w:t>series</w:t>
      </w:r>
      <w:r w:rsidRPr="00150EDC">
        <w:rPr>
          <w:rFonts w:ascii="Calibri" w:hAnsi="Calibri"/>
          <w:spacing w:val="-9"/>
        </w:rPr>
        <w:t xml:space="preserve"> </w:t>
      </w:r>
      <w:r w:rsidRPr="00150EDC">
        <w:rPr>
          <w:rFonts w:ascii="Calibri" w:hAnsi="Calibri"/>
        </w:rPr>
        <w:t>of</w:t>
      </w:r>
      <w:r w:rsidRPr="00150EDC">
        <w:rPr>
          <w:rFonts w:ascii="Calibri" w:hAnsi="Calibri"/>
          <w:spacing w:val="-9"/>
        </w:rPr>
        <w:t xml:space="preserve"> </w:t>
      </w:r>
      <w:r w:rsidRPr="00150EDC">
        <w:rPr>
          <w:rFonts w:ascii="Calibri" w:hAnsi="Calibri"/>
        </w:rPr>
        <w:t>related</w:t>
      </w:r>
      <w:r w:rsidRPr="00150EDC">
        <w:rPr>
          <w:rFonts w:ascii="Calibri" w:hAnsi="Calibri"/>
          <w:spacing w:val="-10"/>
        </w:rPr>
        <w:t xml:space="preserve"> </w:t>
      </w:r>
      <w:r w:rsidRPr="00150EDC">
        <w:rPr>
          <w:rFonts w:ascii="Calibri" w:hAnsi="Calibri"/>
        </w:rPr>
        <w:t>events</w:t>
      </w:r>
      <w:r w:rsidRPr="00150EDC">
        <w:rPr>
          <w:rFonts w:ascii="Calibri" w:hAnsi="Calibri"/>
          <w:spacing w:val="-9"/>
        </w:rPr>
        <w:t xml:space="preserve"> </w:t>
      </w:r>
      <w:r w:rsidRPr="00150EDC">
        <w:rPr>
          <w:rFonts w:ascii="Calibri" w:hAnsi="Calibri"/>
        </w:rPr>
        <w:t>and</w:t>
      </w:r>
      <w:r w:rsidRPr="00150EDC">
        <w:rPr>
          <w:rFonts w:ascii="Calibri" w:hAnsi="Calibri"/>
          <w:spacing w:val="-7"/>
        </w:rPr>
        <w:t xml:space="preserve"> </w:t>
      </w:r>
      <w:r w:rsidRPr="00150EDC">
        <w:rPr>
          <w:rFonts w:ascii="Calibri" w:hAnsi="Calibri"/>
        </w:rPr>
        <w:t>in</w:t>
      </w:r>
      <w:r w:rsidRPr="00150EDC">
        <w:rPr>
          <w:rFonts w:ascii="Calibri" w:hAnsi="Calibri"/>
          <w:spacing w:val="-8"/>
        </w:rPr>
        <w:t xml:space="preserve"> </w:t>
      </w:r>
      <w:r w:rsidRPr="00150EDC">
        <w:rPr>
          <w:rFonts w:ascii="Calibri" w:hAnsi="Calibri"/>
        </w:rPr>
        <w:t>the aggregate of not less than one million pounds (£1,000,000); and</w:t>
      </w:r>
    </w:p>
    <w:p w14:paraId="7F12412C" w14:textId="77777777" w:rsidR="004C7180" w:rsidRPr="00150EDC" w:rsidRDefault="00CF0754" w:rsidP="00B320C7">
      <w:pPr>
        <w:pStyle w:val="ListParagraph"/>
        <w:numPr>
          <w:ilvl w:val="1"/>
          <w:numId w:val="99"/>
        </w:numPr>
        <w:tabs>
          <w:tab w:val="left" w:pos="2300"/>
        </w:tabs>
        <w:spacing w:before="122" w:line="283" w:lineRule="exact"/>
        <w:rPr>
          <w:rFonts w:ascii="Calibri" w:hAnsi="Calibri"/>
        </w:rPr>
      </w:pPr>
      <w:r w:rsidRPr="00150EDC">
        <w:rPr>
          <w:rFonts w:ascii="Calibri" w:hAnsi="Calibri"/>
        </w:rPr>
        <w:t>employers’</w:t>
      </w:r>
      <w:r w:rsidRPr="00150EDC">
        <w:rPr>
          <w:rFonts w:ascii="Calibri" w:hAnsi="Calibri"/>
          <w:spacing w:val="-3"/>
        </w:rPr>
        <w:t xml:space="preserve"> </w:t>
      </w:r>
      <w:r w:rsidRPr="00150EDC">
        <w:rPr>
          <w:rFonts w:ascii="Calibri" w:hAnsi="Calibri"/>
        </w:rPr>
        <w:t>liability</w:t>
      </w:r>
      <w:r w:rsidRPr="00150EDC">
        <w:rPr>
          <w:rFonts w:ascii="Calibri" w:hAnsi="Calibri"/>
          <w:spacing w:val="-2"/>
        </w:rPr>
        <w:t xml:space="preserve"> </w:t>
      </w:r>
      <w:r w:rsidRPr="00150EDC">
        <w:rPr>
          <w:rFonts w:ascii="Calibri" w:hAnsi="Calibri"/>
        </w:rPr>
        <w:t>insurance</w:t>
      </w:r>
      <w:r w:rsidRPr="00150EDC">
        <w:rPr>
          <w:rFonts w:ascii="Calibri" w:hAnsi="Calibri"/>
          <w:spacing w:val="-1"/>
        </w:rPr>
        <w:t xml:space="preserve"> </w:t>
      </w:r>
      <w:r w:rsidRPr="00150EDC">
        <w:rPr>
          <w:rFonts w:ascii="Calibri" w:hAnsi="Calibri"/>
        </w:rPr>
        <w:t>with</w:t>
      </w:r>
      <w:r w:rsidRPr="00150EDC">
        <w:rPr>
          <w:rFonts w:ascii="Calibri" w:hAnsi="Calibri"/>
          <w:spacing w:val="-3"/>
        </w:rPr>
        <w:t xml:space="preserve"> </w:t>
      </w:r>
      <w:r w:rsidRPr="00150EDC">
        <w:rPr>
          <w:rFonts w:ascii="Calibri" w:hAnsi="Calibri"/>
        </w:rPr>
        <w:t>cover</w:t>
      </w:r>
      <w:r w:rsidRPr="00150EDC">
        <w:rPr>
          <w:rFonts w:ascii="Calibri" w:hAnsi="Calibri"/>
          <w:spacing w:val="-3"/>
        </w:rPr>
        <w:t xml:space="preserve"> </w:t>
      </w:r>
      <w:r w:rsidRPr="00150EDC">
        <w:rPr>
          <w:rFonts w:ascii="Calibri" w:hAnsi="Calibri"/>
        </w:rPr>
        <w:t>for</w:t>
      </w:r>
      <w:r w:rsidRPr="00150EDC">
        <w:rPr>
          <w:rFonts w:ascii="Calibri" w:hAnsi="Calibri"/>
          <w:spacing w:val="-2"/>
        </w:rPr>
        <w:t xml:space="preserve"> </w:t>
      </w:r>
      <w:r w:rsidRPr="00150EDC">
        <w:rPr>
          <w:rFonts w:ascii="Calibri" w:hAnsi="Calibri"/>
        </w:rPr>
        <w:t>a</w:t>
      </w:r>
      <w:r w:rsidRPr="00150EDC">
        <w:rPr>
          <w:rFonts w:ascii="Calibri" w:hAnsi="Calibri"/>
          <w:spacing w:val="-1"/>
        </w:rPr>
        <w:t xml:space="preserve"> </w:t>
      </w:r>
      <w:r w:rsidRPr="00150EDC">
        <w:rPr>
          <w:rFonts w:ascii="Calibri" w:hAnsi="Calibri"/>
        </w:rPr>
        <w:t>single</w:t>
      </w:r>
      <w:r w:rsidRPr="00150EDC">
        <w:rPr>
          <w:rFonts w:ascii="Calibri" w:hAnsi="Calibri"/>
          <w:spacing w:val="-5"/>
        </w:rPr>
        <w:t xml:space="preserve"> </w:t>
      </w:r>
      <w:r w:rsidRPr="00150EDC">
        <w:rPr>
          <w:rFonts w:ascii="Calibri" w:hAnsi="Calibri"/>
        </w:rPr>
        <w:t>event</w:t>
      </w:r>
      <w:r w:rsidRPr="00150EDC">
        <w:rPr>
          <w:rFonts w:ascii="Calibri" w:hAnsi="Calibri"/>
          <w:spacing w:val="-3"/>
        </w:rPr>
        <w:t xml:space="preserve"> </w:t>
      </w:r>
      <w:r w:rsidRPr="00150EDC">
        <w:rPr>
          <w:rFonts w:ascii="Calibri" w:hAnsi="Calibri"/>
        </w:rPr>
        <w:t>or</w:t>
      </w:r>
      <w:r w:rsidRPr="00150EDC">
        <w:rPr>
          <w:rFonts w:ascii="Calibri" w:hAnsi="Calibri"/>
          <w:spacing w:val="-3"/>
        </w:rPr>
        <w:t xml:space="preserve"> </w:t>
      </w:r>
      <w:r w:rsidRPr="00150EDC">
        <w:rPr>
          <w:rFonts w:ascii="Calibri" w:hAnsi="Calibri"/>
        </w:rPr>
        <w:t>a</w:t>
      </w:r>
      <w:r w:rsidRPr="00150EDC">
        <w:rPr>
          <w:rFonts w:ascii="Calibri" w:hAnsi="Calibri"/>
          <w:spacing w:val="-2"/>
        </w:rPr>
        <w:t xml:space="preserve"> </w:t>
      </w:r>
      <w:r w:rsidRPr="00150EDC">
        <w:rPr>
          <w:rFonts w:ascii="Calibri" w:hAnsi="Calibri"/>
        </w:rPr>
        <w:t>series</w:t>
      </w:r>
      <w:r w:rsidRPr="00150EDC">
        <w:rPr>
          <w:rFonts w:ascii="Calibri" w:hAnsi="Calibri"/>
          <w:spacing w:val="-3"/>
        </w:rPr>
        <w:t xml:space="preserve"> </w:t>
      </w:r>
      <w:r w:rsidRPr="00150EDC">
        <w:rPr>
          <w:rFonts w:ascii="Calibri" w:hAnsi="Calibri"/>
        </w:rPr>
        <w:t>of</w:t>
      </w:r>
      <w:r w:rsidRPr="00150EDC">
        <w:rPr>
          <w:rFonts w:ascii="Calibri" w:hAnsi="Calibri"/>
          <w:spacing w:val="-2"/>
        </w:rPr>
        <w:t xml:space="preserve"> </w:t>
      </w:r>
      <w:r w:rsidRPr="00150EDC">
        <w:rPr>
          <w:rFonts w:ascii="Calibri" w:hAnsi="Calibri"/>
        </w:rPr>
        <w:t>related</w:t>
      </w:r>
      <w:r w:rsidRPr="00150EDC">
        <w:rPr>
          <w:rFonts w:ascii="Calibri" w:hAnsi="Calibri"/>
          <w:spacing w:val="-4"/>
        </w:rPr>
        <w:t xml:space="preserve"> </w:t>
      </w:r>
      <w:r w:rsidRPr="00150EDC">
        <w:rPr>
          <w:rFonts w:ascii="Calibri" w:hAnsi="Calibri"/>
        </w:rPr>
        <w:t>events</w:t>
      </w:r>
      <w:r w:rsidRPr="00150EDC">
        <w:rPr>
          <w:rFonts w:ascii="Calibri" w:hAnsi="Calibri"/>
          <w:spacing w:val="-2"/>
        </w:rPr>
        <w:t xml:space="preserve"> </w:t>
      </w:r>
      <w:r w:rsidRPr="00150EDC">
        <w:rPr>
          <w:rFonts w:ascii="Calibri" w:hAnsi="Calibri"/>
          <w:spacing w:val="-5"/>
        </w:rPr>
        <w:t>and</w:t>
      </w:r>
    </w:p>
    <w:p w14:paraId="7A5B3E79" w14:textId="77777777" w:rsidR="004C7180" w:rsidRPr="00150EDC" w:rsidRDefault="00CF0754">
      <w:pPr>
        <w:spacing w:line="267" w:lineRule="exact"/>
        <w:ind w:left="2300"/>
        <w:rPr>
          <w:rFonts w:ascii="Calibri" w:hAnsi="Calibri"/>
        </w:rPr>
      </w:pPr>
      <w:r w:rsidRPr="00150EDC">
        <w:rPr>
          <w:rFonts w:ascii="Calibri" w:hAnsi="Calibri"/>
        </w:rPr>
        <w:t>in</w:t>
      </w:r>
      <w:r w:rsidRPr="00150EDC">
        <w:rPr>
          <w:rFonts w:ascii="Calibri" w:hAnsi="Calibri"/>
          <w:spacing w:val="-7"/>
        </w:rPr>
        <w:t xml:space="preserve"> </w:t>
      </w:r>
      <w:r w:rsidRPr="00150EDC">
        <w:rPr>
          <w:rFonts w:ascii="Calibri" w:hAnsi="Calibri"/>
        </w:rPr>
        <w:t>the</w:t>
      </w:r>
      <w:r w:rsidRPr="00150EDC">
        <w:rPr>
          <w:rFonts w:ascii="Calibri" w:hAnsi="Calibri"/>
          <w:spacing w:val="-2"/>
        </w:rPr>
        <w:t xml:space="preserve"> </w:t>
      </w:r>
      <w:r w:rsidRPr="00150EDC">
        <w:rPr>
          <w:rFonts w:ascii="Calibri" w:hAnsi="Calibri"/>
        </w:rPr>
        <w:t>aggregate</w:t>
      </w:r>
      <w:r w:rsidRPr="00150EDC">
        <w:rPr>
          <w:rFonts w:ascii="Calibri" w:hAnsi="Calibri"/>
          <w:spacing w:val="-5"/>
        </w:rPr>
        <w:t xml:space="preserve"> </w:t>
      </w:r>
      <w:r w:rsidRPr="00150EDC">
        <w:rPr>
          <w:rFonts w:ascii="Calibri" w:hAnsi="Calibri"/>
        </w:rPr>
        <w:t>of</w:t>
      </w:r>
      <w:r w:rsidRPr="00150EDC">
        <w:rPr>
          <w:rFonts w:ascii="Calibri" w:hAnsi="Calibri"/>
          <w:spacing w:val="-2"/>
        </w:rPr>
        <w:t xml:space="preserve"> </w:t>
      </w:r>
      <w:r w:rsidRPr="00150EDC">
        <w:rPr>
          <w:rFonts w:ascii="Calibri" w:hAnsi="Calibri"/>
        </w:rPr>
        <w:t>not</w:t>
      </w:r>
      <w:r w:rsidRPr="00150EDC">
        <w:rPr>
          <w:rFonts w:ascii="Calibri" w:hAnsi="Calibri"/>
          <w:spacing w:val="-3"/>
        </w:rPr>
        <w:t xml:space="preserve"> </w:t>
      </w:r>
      <w:r w:rsidRPr="00150EDC">
        <w:rPr>
          <w:rFonts w:ascii="Calibri" w:hAnsi="Calibri"/>
        </w:rPr>
        <w:t>less</w:t>
      </w:r>
      <w:r w:rsidRPr="00150EDC">
        <w:rPr>
          <w:rFonts w:ascii="Calibri" w:hAnsi="Calibri"/>
          <w:spacing w:val="-5"/>
        </w:rPr>
        <w:t xml:space="preserve"> </w:t>
      </w:r>
      <w:r w:rsidRPr="00150EDC">
        <w:rPr>
          <w:rFonts w:ascii="Calibri" w:hAnsi="Calibri"/>
        </w:rPr>
        <w:t>than</w:t>
      </w:r>
      <w:r w:rsidRPr="00150EDC">
        <w:rPr>
          <w:rFonts w:ascii="Calibri" w:hAnsi="Calibri"/>
          <w:spacing w:val="-3"/>
        </w:rPr>
        <w:t xml:space="preserve"> </w:t>
      </w:r>
      <w:r w:rsidRPr="00150EDC">
        <w:rPr>
          <w:rFonts w:ascii="Calibri" w:hAnsi="Calibri"/>
        </w:rPr>
        <w:t>five</w:t>
      </w:r>
      <w:r w:rsidRPr="00150EDC">
        <w:rPr>
          <w:rFonts w:ascii="Calibri" w:hAnsi="Calibri"/>
          <w:spacing w:val="-5"/>
        </w:rPr>
        <w:t xml:space="preserve"> </w:t>
      </w:r>
      <w:r w:rsidRPr="00150EDC">
        <w:rPr>
          <w:rFonts w:ascii="Calibri" w:hAnsi="Calibri"/>
        </w:rPr>
        <w:t>million</w:t>
      </w:r>
      <w:r w:rsidRPr="00150EDC">
        <w:rPr>
          <w:rFonts w:ascii="Calibri" w:hAnsi="Calibri"/>
          <w:spacing w:val="-3"/>
        </w:rPr>
        <w:t xml:space="preserve"> </w:t>
      </w:r>
      <w:r w:rsidRPr="00150EDC">
        <w:rPr>
          <w:rFonts w:ascii="Calibri" w:hAnsi="Calibri"/>
        </w:rPr>
        <w:t>pounds</w:t>
      </w:r>
      <w:r w:rsidRPr="00150EDC">
        <w:rPr>
          <w:rFonts w:ascii="Calibri" w:hAnsi="Calibri"/>
          <w:spacing w:val="-2"/>
        </w:rPr>
        <w:t xml:space="preserve"> (£5,000,000).</w:t>
      </w:r>
    </w:p>
    <w:p w14:paraId="1978B427" w14:textId="77777777" w:rsidR="004C7180" w:rsidRPr="00150EDC" w:rsidRDefault="004C7180">
      <w:pPr>
        <w:spacing w:line="267" w:lineRule="exact"/>
        <w:rPr>
          <w:rFonts w:ascii="Calibri" w:hAnsi="Calibri"/>
        </w:rPr>
        <w:sectPr w:rsidR="004C7180" w:rsidRPr="00150EDC">
          <w:pgSz w:w="11910" w:h="16840"/>
          <w:pgMar w:top="1180" w:right="0" w:bottom="1420" w:left="40" w:header="751" w:footer="1227" w:gutter="0"/>
          <w:cols w:space="720"/>
        </w:sectPr>
      </w:pPr>
    </w:p>
    <w:p w14:paraId="46A3E9F3" w14:textId="77777777" w:rsidR="004C7180" w:rsidRPr="00150EDC" w:rsidRDefault="004C7180">
      <w:pPr>
        <w:pStyle w:val="BodyText"/>
        <w:spacing w:before="1"/>
        <w:rPr>
          <w:rFonts w:ascii="Calibri"/>
          <w:sz w:val="15"/>
        </w:rPr>
      </w:pPr>
    </w:p>
    <w:p w14:paraId="1952E872" w14:textId="77777777" w:rsidR="004C7180" w:rsidRPr="00150EDC" w:rsidRDefault="00CF0754">
      <w:pPr>
        <w:pStyle w:val="Heading1"/>
        <w:spacing w:before="88" w:line="276" w:lineRule="auto"/>
        <w:ind w:left="1400" w:right="1459" w:firstLine="0"/>
      </w:pPr>
      <w:bookmarkStart w:id="6" w:name="DPS_Joint_Schedule_4_-_Commercially_Sens"/>
      <w:bookmarkEnd w:id="6"/>
      <w:r w:rsidRPr="00150EDC">
        <w:t>Joint</w:t>
      </w:r>
      <w:r w:rsidRPr="00150EDC">
        <w:rPr>
          <w:spacing w:val="-8"/>
        </w:rPr>
        <w:t xml:space="preserve"> </w:t>
      </w:r>
      <w:r w:rsidRPr="00150EDC">
        <w:t>Schedule</w:t>
      </w:r>
      <w:r w:rsidRPr="00150EDC">
        <w:rPr>
          <w:spacing w:val="-9"/>
        </w:rPr>
        <w:t xml:space="preserve"> </w:t>
      </w:r>
      <w:r w:rsidRPr="00150EDC">
        <w:t>4</w:t>
      </w:r>
      <w:r w:rsidRPr="00150EDC">
        <w:rPr>
          <w:spacing w:val="-9"/>
        </w:rPr>
        <w:t xml:space="preserve"> </w:t>
      </w:r>
      <w:r w:rsidRPr="00150EDC">
        <w:t>(Commercially</w:t>
      </w:r>
      <w:r w:rsidRPr="00150EDC">
        <w:rPr>
          <w:spacing w:val="-9"/>
        </w:rPr>
        <w:t xml:space="preserve"> </w:t>
      </w:r>
      <w:r w:rsidRPr="00150EDC">
        <w:t xml:space="preserve">Sensitive </w:t>
      </w:r>
      <w:r w:rsidRPr="00150EDC">
        <w:rPr>
          <w:spacing w:val="-2"/>
        </w:rPr>
        <w:t>Information)</w:t>
      </w:r>
    </w:p>
    <w:p w14:paraId="1CAC16BD" w14:textId="77777777" w:rsidR="004C7180" w:rsidRPr="00150EDC" w:rsidRDefault="00CF0754" w:rsidP="00B320C7">
      <w:pPr>
        <w:pStyle w:val="Heading4"/>
        <w:numPr>
          <w:ilvl w:val="0"/>
          <w:numId w:val="98"/>
        </w:numPr>
        <w:tabs>
          <w:tab w:val="left" w:pos="1758"/>
        </w:tabs>
        <w:spacing w:before="200"/>
        <w:ind w:left="1758" w:hanging="358"/>
      </w:pPr>
      <w:r w:rsidRPr="00150EDC">
        <w:t>What</w:t>
      </w:r>
      <w:r w:rsidRPr="00150EDC">
        <w:rPr>
          <w:spacing w:val="-4"/>
        </w:rPr>
        <w:t xml:space="preserve"> </w:t>
      </w:r>
      <w:r w:rsidRPr="00150EDC">
        <w:t>is</w:t>
      </w:r>
      <w:r w:rsidRPr="00150EDC">
        <w:rPr>
          <w:spacing w:val="-1"/>
        </w:rPr>
        <w:t xml:space="preserve"> </w:t>
      </w:r>
      <w:r w:rsidRPr="00150EDC">
        <w:t>the</w:t>
      </w:r>
      <w:r w:rsidRPr="00150EDC">
        <w:rPr>
          <w:spacing w:val="-2"/>
        </w:rPr>
        <w:t xml:space="preserve"> </w:t>
      </w:r>
      <w:r w:rsidRPr="00150EDC">
        <w:t>Commercially</w:t>
      </w:r>
      <w:r w:rsidRPr="00150EDC">
        <w:rPr>
          <w:spacing w:val="-3"/>
        </w:rPr>
        <w:t xml:space="preserve"> </w:t>
      </w:r>
      <w:r w:rsidRPr="00150EDC">
        <w:t>Sensitive</w:t>
      </w:r>
      <w:r w:rsidRPr="00150EDC">
        <w:rPr>
          <w:spacing w:val="-3"/>
        </w:rPr>
        <w:t xml:space="preserve"> </w:t>
      </w:r>
      <w:r w:rsidRPr="00150EDC">
        <w:rPr>
          <w:spacing w:val="-2"/>
        </w:rPr>
        <w:t>Information?</w:t>
      </w:r>
    </w:p>
    <w:p w14:paraId="10F1026A" w14:textId="77777777" w:rsidR="004C7180" w:rsidRPr="00150EDC" w:rsidRDefault="00CF0754" w:rsidP="00B320C7">
      <w:pPr>
        <w:pStyle w:val="ListParagraph"/>
        <w:numPr>
          <w:ilvl w:val="1"/>
          <w:numId w:val="98"/>
        </w:numPr>
        <w:tabs>
          <w:tab w:val="left" w:pos="2041"/>
          <w:tab w:val="left" w:pos="2043"/>
        </w:tabs>
        <w:spacing w:before="232"/>
        <w:ind w:right="1435"/>
        <w:jc w:val="both"/>
        <w:rPr>
          <w:sz w:val="24"/>
        </w:rPr>
      </w:pPr>
      <w:r w:rsidRPr="00150EDC">
        <w:rPr>
          <w:sz w:val="24"/>
        </w:rPr>
        <w:t>In this Schedule the Parties have sought to identify the Supplier's Confidential Information</w:t>
      </w:r>
      <w:r w:rsidRPr="00150EDC">
        <w:rPr>
          <w:spacing w:val="-7"/>
          <w:sz w:val="24"/>
        </w:rPr>
        <w:t xml:space="preserve"> </w:t>
      </w:r>
      <w:r w:rsidRPr="00150EDC">
        <w:rPr>
          <w:sz w:val="24"/>
        </w:rPr>
        <w:t>that</w:t>
      </w:r>
      <w:r w:rsidRPr="00150EDC">
        <w:rPr>
          <w:spacing w:val="-7"/>
          <w:sz w:val="24"/>
        </w:rPr>
        <w:t xml:space="preserve"> </w:t>
      </w:r>
      <w:r w:rsidRPr="00150EDC">
        <w:rPr>
          <w:sz w:val="24"/>
        </w:rPr>
        <w:t>is</w:t>
      </w:r>
      <w:r w:rsidRPr="00150EDC">
        <w:rPr>
          <w:spacing w:val="-10"/>
          <w:sz w:val="24"/>
        </w:rPr>
        <w:t xml:space="preserve"> </w:t>
      </w:r>
      <w:r w:rsidRPr="00150EDC">
        <w:rPr>
          <w:sz w:val="24"/>
        </w:rPr>
        <w:t>genuinely</w:t>
      </w:r>
      <w:r w:rsidRPr="00150EDC">
        <w:rPr>
          <w:spacing w:val="-8"/>
          <w:sz w:val="24"/>
        </w:rPr>
        <w:t xml:space="preserve"> </w:t>
      </w:r>
      <w:r w:rsidRPr="00150EDC">
        <w:rPr>
          <w:sz w:val="24"/>
        </w:rPr>
        <w:t>commercially</w:t>
      </w:r>
      <w:r w:rsidRPr="00150EDC">
        <w:rPr>
          <w:spacing w:val="-8"/>
          <w:sz w:val="24"/>
        </w:rPr>
        <w:t xml:space="preserve"> </w:t>
      </w:r>
      <w:r w:rsidRPr="00150EDC">
        <w:rPr>
          <w:sz w:val="24"/>
        </w:rPr>
        <w:t>sensitive</w:t>
      </w:r>
      <w:r w:rsidRPr="00150EDC">
        <w:rPr>
          <w:spacing w:val="-7"/>
          <w:sz w:val="24"/>
        </w:rPr>
        <w:t xml:space="preserve"> </w:t>
      </w:r>
      <w:r w:rsidRPr="00150EDC">
        <w:rPr>
          <w:sz w:val="24"/>
        </w:rPr>
        <w:t>and</w:t>
      </w:r>
      <w:r w:rsidRPr="00150EDC">
        <w:rPr>
          <w:spacing w:val="-7"/>
          <w:sz w:val="24"/>
        </w:rPr>
        <w:t xml:space="preserve"> </w:t>
      </w:r>
      <w:r w:rsidRPr="00150EDC">
        <w:rPr>
          <w:sz w:val="24"/>
        </w:rPr>
        <w:t>the</w:t>
      </w:r>
      <w:r w:rsidRPr="00150EDC">
        <w:rPr>
          <w:spacing w:val="-9"/>
          <w:sz w:val="24"/>
        </w:rPr>
        <w:t xml:space="preserve"> </w:t>
      </w:r>
      <w:r w:rsidRPr="00150EDC">
        <w:rPr>
          <w:sz w:val="24"/>
        </w:rPr>
        <w:t>disclosure</w:t>
      </w:r>
      <w:r w:rsidRPr="00150EDC">
        <w:rPr>
          <w:spacing w:val="-7"/>
          <w:sz w:val="24"/>
        </w:rPr>
        <w:t xml:space="preserve"> </w:t>
      </w:r>
      <w:r w:rsidRPr="00150EDC">
        <w:rPr>
          <w:sz w:val="24"/>
        </w:rPr>
        <w:t>of</w:t>
      </w:r>
      <w:r w:rsidRPr="00150EDC">
        <w:rPr>
          <w:spacing w:val="-10"/>
          <w:sz w:val="24"/>
        </w:rPr>
        <w:t xml:space="preserve"> </w:t>
      </w:r>
      <w:r w:rsidRPr="00150EDC">
        <w:rPr>
          <w:sz w:val="24"/>
        </w:rPr>
        <w:t>which would be the subject of an exemption under the FOIA and the EIRs.</w:t>
      </w:r>
    </w:p>
    <w:p w14:paraId="08F6675D" w14:textId="77777777" w:rsidR="004C7180" w:rsidRPr="00150EDC" w:rsidRDefault="00CF0754" w:rsidP="00B320C7">
      <w:pPr>
        <w:pStyle w:val="ListParagraph"/>
        <w:numPr>
          <w:ilvl w:val="1"/>
          <w:numId w:val="98"/>
        </w:numPr>
        <w:tabs>
          <w:tab w:val="left" w:pos="2041"/>
          <w:tab w:val="left" w:pos="2043"/>
        </w:tabs>
        <w:spacing w:before="120"/>
        <w:ind w:right="1435"/>
        <w:jc w:val="both"/>
        <w:rPr>
          <w:sz w:val="24"/>
        </w:rPr>
      </w:pPr>
      <w:r w:rsidRPr="00150EDC">
        <w:rPr>
          <w:sz w:val="24"/>
        </w:rPr>
        <w:t>Where possible, the Parties have sought to identify when any relevant Information will cease to fall into the category of Information to which this Schedule applies in the table below and in the Order Form (which shall be deemed incorporated into the table below).</w:t>
      </w:r>
    </w:p>
    <w:p w14:paraId="6FE81FDE" w14:textId="77777777" w:rsidR="004C7180" w:rsidRPr="00150EDC" w:rsidRDefault="00CF0754" w:rsidP="00B320C7">
      <w:pPr>
        <w:pStyle w:val="ListParagraph"/>
        <w:numPr>
          <w:ilvl w:val="1"/>
          <w:numId w:val="98"/>
        </w:numPr>
        <w:tabs>
          <w:tab w:val="left" w:pos="2041"/>
          <w:tab w:val="left" w:pos="2043"/>
        </w:tabs>
        <w:spacing w:before="120"/>
        <w:ind w:right="1435"/>
        <w:jc w:val="both"/>
        <w:rPr>
          <w:sz w:val="24"/>
        </w:rPr>
      </w:pPr>
      <w:r w:rsidRPr="00150EDC">
        <w:rPr>
          <w:sz w:val="24"/>
        </w:rPr>
        <w:t>Without prejudice to the Relevant Authority's obligation to disclose Information in accordance with FOIA or Clause 16 (When you can share information), the Relevant Authority will, in its sole discretion, acting reasonably, seek to apply the relevant exemption set out in the FOIA to the following Information:</w:t>
      </w:r>
    </w:p>
    <w:p w14:paraId="371B739F" w14:textId="77777777" w:rsidR="004C7180" w:rsidRPr="00150EDC" w:rsidRDefault="004C7180">
      <w:pPr>
        <w:pStyle w:val="BodyText"/>
        <w:rPr>
          <w:sz w:val="20"/>
        </w:rPr>
      </w:pPr>
    </w:p>
    <w:p w14:paraId="332F6ADC" w14:textId="77777777" w:rsidR="004C7180" w:rsidRPr="00150EDC" w:rsidRDefault="004C7180">
      <w:pPr>
        <w:pStyle w:val="BodyText"/>
        <w:spacing w:before="2"/>
      </w:pPr>
    </w:p>
    <w:tbl>
      <w:tblPr>
        <w:tblW w:w="0" w:type="auto"/>
        <w:tblInd w:w="2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1"/>
        <w:gridCol w:w="1709"/>
        <w:gridCol w:w="3012"/>
        <w:gridCol w:w="2237"/>
      </w:tblGrid>
      <w:tr w:rsidR="007D3144" w:rsidRPr="007D3144" w14:paraId="6405DE11" w14:textId="77777777">
        <w:trPr>
          <w:trHeight w:val="911"/>
        </w:trPr>
        <w:tc>
          <w:tcPr>
            <w:tcW w:w="991" w:type="dxa"/>
          </w:tcPr>
          <w:p w14:paraId="3D235A6E" w14:textId="77777777" w:rsidR="004C7180" w:rsidRPr="00150EDC" w:rsidRDefault="004C7180">
            <w:pPr>
              <w:pStyle w:val="TableParagraph"/>
              <w:spacing w:before="10" w:line="240" w:lineRule="auto"/>
              <w:ind w:left="0"/>
              <w:rPr>
                <w:sz w:val="20"/>
              </w:rPr>
            </w:pPr>
          </w:p>
          <w:p w14:paraId="10510601" w14:textId="77777777" w:rsidR="004C7180" w:rsidRPr="00150EDC" w:rsidRDefault="00CF0754">
            <w:pPr>
              <w:pStyle w:val="TableParagraph"/>
              <w:spacing w:before="0" w:line="240" w:lineRule="auto"/>
              <w:ind w:left="299"/>
              <w:rPr>
                <w:b/>
                <w:sz w:val="24"/>
              </w:rPr>
            </w:pPr>
            <w:r w:rsidRPr="00150EDC">
              <w:rPr>
                <w:b/>
                <w:spacing w:val="-5"/>
                <w:sz w:val="24"/>
              </w:rPr>
              <w:t>No.</w:t>
            </w:r>
          </w:p>
        </w:tc>
        <w:tc>
          <w:tcPr>
            <w:tcW w:w="1709" w:type="dxa"/>
          </w:tcPr>
          <w:p w14:paraId="0F601840" w14:textId="77777777" w:rsidR="004C7180" w:rsidRPr="00150EDC" w:rsidRDefault="004C7180">
            <w:pPr>
              <w:pStyle w:val="TableParagraph"/>
              <w:spacing w:before="10" w:line="240" w:lineRule="auto"/>
              <w:ind w:left="0"/>
              <w:rPr>
                <w:sz w:val="20"/>
              </w:rPr>
            </w:pPr>
          </w:p>
          <w:p w14:paraId="748F1874" w14:textId="77777777" w:rsidR="004C7180" w:rsidRPr="00150EDC" w:rsidRDefault="00CF0754">
            <w:pPr>
              <w:pStyle w:val="TableParagraph"/>
              <w:spacing w:before="0" w:line="240" w:lineRule="auto"/>
              <w:ind w:left="579" w:right="574"/>
              <w:jc w:val="center"/>
              <w:rPr>
                <w:b/>
                <w:sz w:val="24"/>
              </w:rPr>
            </w:pPr>
            <w:r w:rsidRPr="00150EDC">
              <w:rPr>
                <w:b/>
                <w:spacing w:val="-4"/>
                <w:sz w:val="24"/>
              </w:rPr>
              <w:t>Date</w:t>
            </w:r>
          </w:p>
        </w:tc>
        <w:tc>
          <w:tcPr>
            <w:tcW w:w="3012" w:type="dxa"/>
          </w:tcPr>
          <w:p w14:paraId="30AA05BD" w14:textId="77777777" w:rsidR="004C7180" w:rsidRPr="00150EDC" w:rsidRDefault="004C7180">
            <w:pPr>
              <w:pStyle w:val="TableParagraph"/>
              <w:spacing w:before="10" w:line="240" w:lineRule="auto"/>
              <w:ind w:left="0"/>
              <w:rPr>
                <w:sz w:val="20"/>
              </w:rPr>
            </w:pPr>
          </w:p>
          <w:p w14:paraId="05AAF736" w14:textId="77777777" w:rsidR="004C7180" w:rsidRPr="00150EDC" w:rsidRDefault="00CF0754">
            <w:pPr>
              <w:pStyle w:val="TableParagraph"/>
              <w:spacing w:before="0" w:line="240" w:lineRule="auto"/>
              <w:ind w:left="1098" w:right="1091"/>
              <w:jc w:val="center"/>
              <w:rPr>
                <w:b/>
                <w:sz w:val="24"/>
              </w:rPr>
            </w:pPr>
            <w:r w:rsidRPr="00150EDC">
              <w:rPr>
                <w:b/>
                <w:spacing w:val="-2"/>
                <w:sz w:val="24"/>
              </w:rPr>
              <w:t>Item(s)</w:t>
            </w:r>
          </w:p>
        </w:tc>
        <w:tc>
          <w:tcPr>
            <w:tcW w:w="2237" w:type="dxa"/>
          </w:tcPr>
          <w:p w14:paraId="0ADA740A" w14:textId="77777777" w:rsidR="004C7180" w:rsidRPr="00150EDC" w:rsidRDefault="004C7180">
            <w:pPr>
              <w:pStyle w:val="TableParagraph"/>
              <w:spacing w:before="10" w:line="240" w:lineRule="auto"/>
              <w:ind w:left="0"/>
              <w:rPr>
                <w:sz w:val="20"/>
              </w:rPr>
            </w:pPr>
          </w:p>
          <w:p w14:paraId="79A2578E" w14:textId="77777777" w:rsidR="004C7180" w:rsidRPr="00150EDC" w:rsidRDefault="00CF0754">
            <w:pPr>
              <w:pStyle w:val="TableParagraph"/>
              <w:spacing w:before="0" w:line="240" w:lineRule="auto"/>
              <w:ind w:left="357" w:firstLine="122"/>
              <w:rPr>
                <w:b/>
                <w:sz w:val="24"/>
              </w:rPr>
            </w:pPr>
            <w:r w:rsidRPr="00150EDC">
              <w:rPr>
                <w:b/>
                <w:sz w:val="24"/>
              </w:rPr>
              <w:t xml:space="preserve">Duration of </w:t>
            </w:r>
            <w:r w:rsidRPr="00150EDC">
              <w:rPr>
                <w:b/>
                <w:spacing w:val="-2"/>
                <w:sz w:val="24"/>
              </w:rPr>
              <w:t>Confidentiality</w:t>
            </w:r>
          </w:p>
        </w:tc>
      </w:tr>
      <w:tr w:rsidR="007D3144" w:rsidRPr="007D3144" w14:paraId="57EA358F" w14:textId="77777777">
        <w:trPr>
          <w:trHeight w:val="1629"/>
        </w:trPr>
        <w:tc>
          <w:tcPr>
            <w:tcW w:w="991" w:type="dxa"/>
          </w:tcPr>
          <w:p w14:paraId="50251934" w14:textId="77777777" w:rsidR="004C7180" w:rsidRPr="00150EDC" w:rsidRDefault="004C7180">
            <w:pPr>
              <w:pStyle w:val="TableParagraph"/>
              <w:spacing w:before="10" w:line="240" w:lineRule="auto"/>
              <w:ind w:left="0"/>
              <w:rPr>
                <w:sz w:val="20"/>
              </w:rPr>
            </w:pPr>
          </w:p>
          <w:p w14:paraId="3A44B05D" w14:textId="77777777" w:rsidR="004C7180" w:rsidRPr="00150EDC" w:rsidRDefault="00CF0754">
            <w:pPr>
              <w:pStyle w:val="TableParagraph"/>
              <w:spacing w:before="0" w:line="240" w:lineRule="auto"/>
              <w:ind w:left="107"/>
              <w:rPr>
                <w:sz w:val="24"/>
              </w:rPr>
            </w:pPr>
            <w:r w:rsidRPr="00150EDC">
              <w:rPr>
                <w:sz w:val="24"/>
              </w:rPr>
              <w:t>1</w:t>
            </w:r>
          </w:p>
        </w:tc>
        <w:tc>
          <w:tcPr>
            <w:tcW w:w="1709" w:type="dxa"/>
          </w:tcPr>
          <w:p w14:paraId="782EBCC5" w14:textId="77777777" w:rsidR="004C7180" w:rsidRPr="00150EDC" w:rsidRDefault="004C7180">
            <w:pPr>
              <w:pStyle w:val="TableParagraph"/>
              <w:spacing w:before="10" w:line="240" w:lineRule="auto"/>
              <w:ind w:left="0"/>
              <w:rPr>
                <w:sz w:val="20"/>
              </w:rPr>
            </w:pPr>
          </w:p>
          <w:p w14:paraId="340CBB5E" w14:textId="77777777" w:rsidR="004C7180" w:rsidRPr="00150EDC" w:rsidRDefault="00CF0754">
            <w:pPr>
              <w:pStyle w:val="TableParagraph"/>
              <w:spacing w:before="0" w:line="240" w:lineRule="auto"/>
              <w:ind w:left="379"/>
              <w:rPr>
                <w:sz w:val="24"/>
              </w:rPr>
            </w:pPr>
            <w:r w:rsidRPr="00150EDC">
              <w:rPr>
                <w:sz w:val="24"/>
              </w:rPr>
              <w:t>3</w:t>
            </w:r>
            <w:r w:rsidRPr="00150EDC">
              <w:rPr>
                <w:spacing w:val="1"/>
                <w:sz w:val="24"/>
              </w:rPr>
              <w:t xml:space="preserve"> </w:t>
            </w:r>
            <w:r w:rsidRPr="00150EDC">
              <w:rPr>
                <w:spacing w:val="-2"/>
                <w:sz w:val="24"/>
              </w:rPr>
              <w:t>August</w:t>
            </w:r>
          </w:p>
          <w:p w14:paraId="677CCAE8" w14:textId="77777777" w:rsidR="004C7180" w:rsidRPr="00150EDC" w:rsidRDefault="00CF0754">
            <w:pPr>
              <w:pStyle w:val="TableParagraph"/>
              <w:spacing w:before="41" w:line="240" w:lineRule="auto"/>
              <w:ind w:left="657"/>
              <w:rPr>
                <w:sz w:val="24"/>
              </w:rPr>
            </w:pPr>
            <w:r w:rsidRPr="00150EDC">
              <w:rPr>
                <w:spacing w:val="-4"/>
                <w:sz w:val="24"/>
              </w:rPr>
              <w:t>2023</w:t>
            </w:r>
          </w:p>
        </w:tc>
        <w:tc>
          <w:tcPr>
            <w:tcW w:w="3012" w:type="dxa"/>
          </w:tcPr>
          <w:p w14:paraId="3981043E" w14:textId="77777777" w:rsidR="004C7180" w:rsidRPr="00150EDC" w:rsidRDefault="004C7180">
            <w:pPr>
              <w:pStyle w:val="TableParagraph"/>
              <w:spacing w:before="10" w:line="240" w:lineRule="auto"/>
              <w:ind w:left="0"/>
              <w:rPr>
                <w:sz w:val="20"/>
              </w:rPr>
            </w:pPr>
          </w:p>
          <w:p w14:paraId="258C8FD3" w14:textId="77777777" w:rsidR="004C7180" w:rsidRPr="00150EDC" w:rsidRDefault="00CF0754">
            <w:pPr>
              <w:pStyle w:val="TableParagraph"/>
              <w:spacing w:before="0" w:line="276" w:lineRule="auto"/>
              <w:ind w:left="355" w:hanging="238"/>
              <w:rPr>
                <w:sz w:val="24"/>
              </w:rPr>
            </w:pPr>
            <w:r w:rsidRPr="00150EDC">
              <w:rPr>
                <w:sz w:val="24"/>
              </w:rPr>
              <w:t>5</w:t>
            </w:r>
            <w:r w:rsidRPr="00150EDC">
              <w:rPr>
                <w:spacing w:val="-9"/>
                <w:sz w:val="24"/>
              </w:rPr>
              <w:t xml:space="preserve"> </w:t>
            </w:r>
            <w:r w:rsidRPr="00150EDC">
              <w:rPr>
                <w:sz w:val="24"/>
              </w:rPr>
              <w:t>x</w:t>
            </w:r>
            <w:r w:rsidRPr="00150EDC">
              <w:rPr>
                <w:spacing w:val="-10"/>
                <w:sz w:val="24"/>
              </w:rPr>
              <w:t xml:space="preserve"> </w:t>
            </w:r>
            <w:r w:rsidRPr="00150EDC">
              <w:rPr>
                <w:sz w:val="24"/>
              </w:rPr>
              <w:t>Technical</w:t>
            </w:r>
            <w:r w:rsidRPr="00150EDC">
              <w:rPr>
                <w:spacing w:val="-10"/>
                <w:sz w:val="24"/>
              </w:rPr>
              <w:t xml:space="preserve"> </w:t>
            </w:r>
            <w:r w:rsidRPr="00150EDC">
              <w:rPr>
                <w:sz w:val="24"/>
              </w:rPr>
              <w:t>question</w:t>
            </w:r>
            <w:r w:rsidRPr="00150EDC">
              <w:rPr>
                <w:spacing w:val="-10"/>
                <w:sz w:val="24"/>
              </w:rPr>
              <w:t xml:space="preserve"> </w:t>
            </w:r>
            <w:r w:rsidRPr="00150EDC">
              <w:rPr>
                <w:sz w:val="24"/>
              </w:rPr>
              <w:t>bid responses (contains IP</w:t>
            </w:r>
          </w:p>
          <w:p w14:paraId="1C764834" w14:textId="71E35BDE" w:rsidR="004C7180" w:rsidRPr="00150EDC" w:rsidRDefault="00CF0754">
            <w:pPr>
              <w:pStyle w:val="TableParagraph"/>
              <w:spacing w:before="1" w:line="276" w:lineRule="auto"/>
              <w:ind w:left="849" w:hanging="296"/>
              <w:rPr>
                <w:sz w:val="24"/>
              </w:rPr>
            </w:pPr>
            <w:r w:rsidRPr="00150EDC">
              <w:rPr>
                <w:sz w:val="24"/>
              </w:rPr>
              <w:t>and</w:t>
            </w:r>
            <w:r w:rsidRPr="00150EDC">
              <w:rPr>
                <w:spacing w:val="-17"/>
                <w:sz w:val="24"/>
              </w:rPr>
              <w:t xml:space="preserve"> </w:t>
            </w:r>
            <w:r w:rsidRPr="00150EDC">
              <w:rPr>
                <w:sz w:val="24"/>
              </w:rPr>
              <w:t>bespoke</w:t>
            </w:r>
            <w:r w:rsidRPr="00150EDC">
              <w:rPr>
                <w:spacing w:val="-17"/>
                <w:sz w:val="24"/>
              </w:rPr>
              <w:t xml:space="preserve"> </w:t>
            </w:r>
            <w:r w:rsidRPr="00150EDC">
              <w:rPr>
                <w:sz w:val="24"/>
              </w:rPr>
              <w:t xml:space="preserve">Tribal </w:t>
            </w:r>
            <w:r w:rsidRPr="00150EDC">
              <w:rPr>
                <w:spacing w:val="-2"/>
                <w:sz w:val="24"/>
              </w:rPr>
              <w:t>methodology</w:t>
            </w:r>
            <w:r w:rsidR="00475D81" w:rsidRPr="00150EDC">
              <w:rPr>
                <w:spacing w:val="-2"/>
                <w:sz w:val="24"/>
              </w:rPr>
              <w:t>/know how</w:t>
            </w:r>
            <w:r w:rsidRPr="00150EDC">
              <w:rPr>
                <w:spacing w:val="-2"/>
                <w:sz w:val="24"/>
              </w:rPr>
              <w:t>)</w:t>
            </w:r>
          </w:p>
        </w:tc>
        <w:tc>
          <w:tcPr>
            <w:tcW w:w="2237" w:type="dxa"/>
          </w:tcPr>
          <w:p w14:paraId="00BCAF5D" w14:textId="77777777" w:rsidR="004C7180" w:rsidRPr="00150EDC" w:rsidRDefault="004C7180">
            <w:pPr>
              <w:pStyle w:val="TableParagraph"/>
              <w:spacing w:before="10" w:line="240" w:lineRule="auto"/>
              <w:ind w:left="0"/>
              <w:rPr>
                <w:sz w:val="20"/>
              </w:rPr>
            </w:pPr>
          </w:p>
          <w:p w14:paraId="61A0264D" w14:textId="0CE60477" w:rsidR="004C7180" w:rsidRPr="00150EDC" w:rsidRDefault="00475D81">
            <w:pPr>
              <w:pStyle w:val="TableParagraph"/>
              <w:spacing w:before="0" w:line="240" w:lineRule="auto"/>
              <w:ind w:left="709" w:right="698"/>
              <w:jc w:val="center"/>
              <w:rPr>
                <w:sz w:val="24"/>
              </w:rPr>
            </w:pPr>
            <w:r w:rsidRPr="00150EDC">
              <w:rPr>
                <w:sz w:val="24"/>
              </w:rPr>
              <w:t>5</w:t>
            </w:r>
            <w:r w:rsidRPr="00150EDC">
              <w:rPr>
                <w:spacing w:val="1"/>
                <w:sz w:val="24"/>
              </w:rPr>
              <w:t xml:space="preserve"> </w:t>
            </w:r>
            <w:r w:rsidRPr="00150EDC">
              <w:rPr>
                <w:spacing w:val="-2"/>
                <w:sz w:val="24"/>
              </w:rPr>
              <w:t>years</w:t>
            </w:r>
          </w:p>
        </w:tc>
      </w:tr>
      <w:tr w:rsidR="007D3144" w:rsidRPr="007D3144" w14:paraId="7B043876" w14:textId="77777777">
        <w:trPr>
          <w:trHeight w:val="1629"/>
        </w:trPr>
        <w:tc>
          <w:tcPr>
            <w:tcW w:w="991" w:type="dxa"/>
          </w:tcPr>
          <w:p w14:paraId="4F158F3B" w14:textId="77777777" w:rsidR="004C7180" w:rsidRPr="00150EDC" w:rsidRDefault="004C7180">
            <w:pPr>
              <w:pStyle w:val="TableParagraph"/>
              <w:spacing w:before="10" w:line="240" w:lineRule="auto"/>
              <w:ind w:left="0"/>
              <w:rPr>
                <w:sz w:val="20"/>
              </w:rPr>
            </w:pPr>
          </w:p>
          <w:p w14:paraId="0924B3F0" w14:textId="77777777" w:rsidR="004C7180" w:rsidRPr="00150EDC" w:rsidRDefault="00CF0754">
            <w:pPr>
              <w:pStyle w:val="TableParagraph"/>
              <w:spacing w:before="0" w:line="240" w:lineRule="auto"/>
              <w:ind w:left="107"/>
              <w:rPr>
                <w:sz w:val="24"/>
              </w:rPr>
            </w:pPr>
            <w:r w:rsidRPr="00150EDC">
              <w:rPr>
                <w:sz w:val="24"/>
              </w:rPr>
              <w:t>2</w:t>
            </w:r>
          </w:p>
        </w:tc>
        <w:tc>
          <w:tcPr>
            <w:tcW w:w="1709" w:type="dxa"/>
          </w:tcPr>
          <w:p w14:paraId="6017A812" w14:textId="77777777" w:rsidR="004C7180" w:rsidRPr="00150EDC" w:rsidRDefault="004C7180">
            <w:pPr>
              <w:pStyle w:val="TableParagraph"/>
              <w:spacing w:before="10" w:line="240" w:lineRule="auto"/>
              <w:ind w:left="0"/>
              <w:rPr>
                <w:sz w:val="20"/>
              </w:rPr>
            </w:pPr>
          </w:p>
          <w:p w14:paraId="0697A8FD" w14:textId="77777777" w:rsidR="004C7180" w:rsidRPr="00150EDC" w:rsidRDefault="00CF0754">
            <w:pPr>
              <w:pStyle w:val="TableParagraph"/>
              <w:spacing w:before="0" w:line="240" w:lineRule="auto"/>
              <w:ind w:left="379"/>
              <w:rPr>
                <w:sz w:val="24"/>
              </w:rPr>
            </w:pPr>
            <w:r w:rsidRPr="00150EDC">
              <w:rPr>
                <w:sz w:val="24"/>
              </w:rPr>
              <w:t>3</w:t>
            </w:r>
            <w:r w:rsidRPr="00150EDC">
              <w:rPr>
                <w:spacing w:val="1"/>
                <w:sz w:val="24"/>
              </w:rPr>
              <w:t xml:space="preserve"> </w:t>
            </w:r>
            <w:r w:rsidRPr="00150EDC">
              <w:rPr>
                <w:spacing w:val="-2"/>
                <w:sz w:val="24"/>
              </w:rPr>
              <w:t>August</w:t>
            </w:r>
          </w:p>
          <w:p w14:paraId="033A9B59" w14:textId="77777777" w:rsidR="004C7180" w:rsidRPr="00150EDC" w:rsidRDefault="00CF0754">
            <w:pPr>
              <w:pStyle w:val="TableParagraph"/>
              <w:spacing w:before="43" w:line="240" w:lineRule="auto"/>
              <w:ind w:left="657"/>
              <w:rPr>
                <w:sz w:val="24"/>
              </w:rPr>
            </w:pPr>
            <w:r w:rsidRPr="00150EDC">
              <w:rPr>
                <w:spacing w:val="-4"/>
                <w:sz w:val="24"/>
              </w:rPr>
              <w:t>2023</w:t>
            </w:r>
          </w:p>
        </w:tc>
        <w:tc>
          <w:tcPr>
            <w:tcW w:w="3012" w:type="dxa"/>
          </w:tcPr>
          <w:p w14:paraId="7A6669F7" w14:textId="77777777" w:rsidR="004C7180" w:rsidRPr="00150EDC" w:rsidRDefault="004C7180">
            <w:pPr>
              <w:pStyle w:val="TableParagraph"/>
              <w:spacing w:before="10" w:line="240" w:lineRule="auto"/>
              <w:ind w:left="0"/>
              <w:rPr>
                <w:sz w:val="20"/>
              </w:rPr>
            </w:pPr>
          </w:p>
          <w:p w14:paraId="45FC1142" w14:textId="77777777" w:rsidR="004C7180" w:rsidRPr="00150EDC" w:rsidRDefault="00CF0754">
            <w:pPr>
              <w:pStyle w:val="TableParagraph"/>
              <w:spacing w:before="0" w:line="276" w:lineRule="auto"/>
              <w:ind w:left="328" w:firstLine="295"/>
              <w:rPr>
                <w:sz w:val="24"/>
              </w:rPr>
            </w:pPr>
            <w:r w:rsidRPr="00150EDC">
              <w:rPr>
                <w:sz w:val="24"/>
              </w:rPr>
              <w:t>Pricing schedule (contains</w:t>
            </w:r>
            <w:r w:rsidRPr="00150EDC">
              <w:rPr>
                <w:spacing w:val="-13"/>
                <w:sz w:val="24"/>
              </w:rPr>
              <w:t xml:space="preserve"> </w:t>
            </w:r>
            <w:r w:rsidRPr="00150EDC">
              <w:rPr>
                <w:sz w:val="24"/>
              </w:rPr>
              <w:t>day</w:t>
            </w:r>
            <w:r w:rsidRPr="00150EDC">
              <w:rPr>
                <w:spacing w:val="-12"/>
                <w:sz w:val="24"/>
              </w:rPr>
              <w:t xml:space="preserve"> </w:t>
            </w:r>
            <w:r w:rsidRPr="00150EDC">
              <w:rPr>
                <w:sz w:val="24"/>
              </w:rPr>
              <w:t>rates</w:t>
            </w:r>
            <w:r w:rsidRPr="00150EDC">
              <w:rPr>
                <w:spacing w:val="-13"/>
                <w:sz w:val="24"/>
              </w:rPr>
              <w:t xml:space="preserve"> </w:t>
            </w:r>
            <w:r w:rsidRPr="00150EDC">
              <w:rPr>
                <w:sz w:val="24"/>
              </w:rPr>
              <w:t>and commercially sensitive</w:t>
            </w:r>
          </w:p>
          <w:p w14:paraId="722EEA5D" w14:textId="77777777" w:rsidR="004C7180" w:rsidRPr="00150EDC" w:rsidRDefault="00CF0754">
            <w:pPr>
              <w:pStyle w:val="TableParagraph"/>
              <w:spacing w:before="1" w:line="240" w:lineRule="auto"/>
              <w:ind w:left="942"/>
              <w:rPr>
                <w:sz w:val="24"/>
              </w:rPr>
            </w:pPr>
            <w:r w:rsidRPr="00150EDC">
              <w:rPr>
                <w:spacing w:val="-2"/>
                <w:sz w:val="24"/>
              </w:rPr>
              <w:t>information)</w:t>
            </w:r>
          </w:p>
        </w:tc>
        <w:tc>
          <w:tcPr>
            <w:tcW w:w="2237" w:type="dxa"/>
          </w:tcPr>
          <w:p w14:paraId="0CE1E661" w14:textId="77777777" w:rsidR="004C7180" w:rsidRPr="00150EDC" w:rsidRDefault="004C7180">
            <w:pPr>
              <w:pStyle w:val="TableParagraph"/>
              <w:spacing w:before="10" w:line="240" w:lineRule="auto"/>
              <w:ind w:left="0"/>
              <w:rPr>
                <w:sz w:val="20"/>
              </w:rPr>
            </w:pPr>
          </w:p>
          <w:p w14:paraId="514FBCA0" w14:textId="20964B55" w:rsidR="004C7180" w:rsidRPr="00150EDC" w:rsidRDefault="00475D81">
            <w:pPr>
              <w:pStyle w:val="TableParagraph"/>
              <w:spacing w:before="0" w:line="240" w:lineRule="auto"/>
              <w:ind w:left="709" w:right="698"/>
              <w:jc w:val="center"/>
              <w:rPr>
                <w:sz w:val="24"/>
              </w:rPr>
            </w:pPr>
            <w:r w:rsidRPr="00150EDC">
              <w:rPr>
                <w:sz w:val="24"/>
              </w:rPr>
              <w:t>5</w:t>
            </w:r>
            <w:r w:rsidRPr="00150EDC">
              <w:rPr>
                <w:spacing w:val="1"/>
                <w:sz w:val="24"/>
              </w:rPr>
              <w:t xml:space="preserve"> </w:t>
            </w:r>
            <w:r w:rsidRPr="00150EDC">
              <w:rPr>
                <w:spacing w:val="-2"/>
                <w:sz w:val="24"/>
              </w:rPr>
              <w:t>years</w:t>
            </w:r>
          </w:p>
        </w:tc>
      </w:tr>
      <w:tr w:rsidR="007D3144" w:rsidRPr="007D3144" w14:paraId="5B172CB7" w14:textId="77777777">
        <w:trPr>
          <w:trHeight w:val="1629"/>
        </w:trPr>
        <w:tc>
          <w:tcPr>
            <w:tcW w:w="991" w:type="dxa"/>
          </w:tcPr>
          <w:p w14:paraId="3225932B" w14:textId="296547E1" w:rsidR="00322F2C" w:rsidRPr="00150EDC" w:rsidRDefault="00322F2C">
            <w:pPr>
              <w:pStyle w:val="TableParagraph"/>
              <w:spacing w:before="10" w:line="240" w:lineRule="auto"/>
              <w:ind w:left="0"/>
              <w:rPr>
                <w:sz w:val="20"/>
              </w:rPr>
            </w:pPr>
            <w:r w:rsidRPr="00150EDC">
              <w:rPr>
                <w:sz w:val="20"/>
              </w:rPr>
              <w:t>3</w:t>
            </w:r>
          </w:p>
        </w:tc>
        <w:tc>
          <w:tcPr>
            <w:tcW w:w="1709" w:type="dxa"/>
          </w:tcPr>
          <w:p w14:paraId="3A06DFE2" w14:textId="77777777" w:rsidR="00322F2C" w:rsidRPr="00150EDC" w:rsidRDefault="00322F2C" w:rsidP="00322F2C">
            <w:pPr>
              <w:pStyle w:val="TableParagraph"/>
              <w:spacing w:before="0" w:line="240" w:lineRule="auto"/>
              <w:ind w:left="379"/>
              <w:rPr>
                <w:sz w:val="24"/>
              </w:rPr>
            </w:pPr>
            <w:r w:rsidRPr="00150EDC">
              <w:rPr>
                <w:sz w:val="24"/>
              </w:rPr>
              <w:t>3 August</w:t>
            </w:r>
          </w:p>
          <w:p w14:paraId="668BA280" w14:textId="34C7B3AD" w:rsidR="00322F2C" w:rsidRPr="00150EDC" w:rsidRDefault="00322F2C" w:rsidP="006F2372">
            <w:pPr>
              <w:pStyle w:val="TableParagraph"/>
              <w:spacing w:before="0" w:line="240" w:lineRule="auto"/>
              <w:ind w:left="379"/>
              <w:rPr>
                <w:sz w:val="20"/>
              </w:rPr>
            </w:pPr>
            <w:r w:rsidRPr="00150EDC">
              <w:rPr>
                <w:sz w:val="24"/>
              </w:rPr>
              <w:t>2023</w:t>
            </w:r>
          </w:p>
        </w:tc>
        <w:tc>
          <w:tcPr>
            <w:tcW w:w="3012" w:type="dxa"/>
          </w:tcPr>
          <w:p w14:paraId="15E5E617" w14:textId="4BD332E0" w:rsidR="00322F2C" w:rsidRPr="00150EDC" w:rsidRDefault="00322F2C" w:rsidP="001C4DA9">
            <w:pPr>
              <w:pStyle w:val="TableParagraph"/>
              <w:spacing w:before="0" w:line="240" w:lineRule="auto"/>
              <w:ind w:left="709" w:right="698"/>
              <w:jc w:val="center"/>
              <w:rPr>
                <w:sz w:val="24"/>
              </w:rPr>
            </w:pPr>
            <w:r w:rsidRPr="00150EDC">
              <w:rPr>
                <w:sz w:val="24"/>
              </w:rPr>
              <w:t xml:space="preserve">Information </w:t>
            </w:r>
            <w:r w:rsidR="00637F3D" w:rsidRPr="00150EDC">
              <w:rPr>
                <w:sz w:val="24"/>
              </w:rPr>
              <w:t xml:space="preserve">relating to Key Personnel </w:t>
            </w:r>
            <w:r w:rsidR="00B506C7" w:rsidRPr="00150EDC">
              <w:rPr>
                <w:sz w:val="24"/>
              </w:rPr>
              <w:t xml:space="preserve"> which is</w:t>
            </w:r>
            <w:r w:rsidR="007C1EC8" w:rsidRPr="00150EDC">
              <w:rPr>
                <w:sz w:val="24"/>
              </w:rPr>
              <w:t xml:space="preserve"> commercially sensitive </w:t>
            </w:r>
          </w:p>
        </w:tc>
        <w:tc>
          <w:tcPr>
            <w:tcW w:w="2237" w:type="dxa"/>
          </w:tcPr>
          <w:p w14:paraId="2FB8AED0" w14:textId="4390F041" w:rsidR="00322F2C" w:rsidRPr="00150EDC" w:rsidRDefault="00322F2C" w:rsidP="006F2372">
            <w:pPr>
              <w:pStyle w:val="TableParagraph"/>
              <w:spacing w:before="0" w:line="240" w:lineRule="auto"/>
              <w:ind w:left="709" w:right="698"/>
              <w:jc w:val="center"/>
              <w:rPr>
                <w:sz w:val="24"/>
                <w:szCs w:val="24"/>
              </w:rPr>
            </w:pPr>
            <w:r w:rsidRPr="00150EDC">
              <w:rPr>
                <w:sz w:val="24"/>
                <w:szCs w:val="24"/>
              </w:rPr>
              <w:t>5 years</w:t>
            </w:r>
          </w:p>
        </w:tc>
      </w:tr>
    </w:tbl>
    <w:p w14:paraId="6BF70E1C" w14:textId="77777777" w:rsidR="004C7180" w:rsidRPr="00150EDC" w:rsidRDefault="004C7180">
      <w:pPr>
        <w:jc w:val="center"/>
        <w:rPr>
          <w:sz w:val="24"/>
        </w:rPr>
        <w:sectPr w:rsidR="004C7180" w:rsidRPr="00150EDC">
          <w:headerReference w:type="default" r:id="rId30"/>
          <w:footerReference w:type="default" r:id="rId31"/>
          <w:pgSz w:w="11910" w:h="16840"/>
          <w:pgMar w:top="1160" w:right="0" w:bottom="1440" w:left="40" w:header="715" w:footer="1259" w:gutter="0"/>
          <w:cols w:space="720"/>
        </w:sectPr>
      </w:pPr>
    </w:p>
    <w:p w14:paraId="7FE54320" w14:textId="77777777" w:rsidR="004C7180" w:rsidRPr="00150EDC" w:rsidRDefault="004C7180">
      <w:pPr>
        <w:pStyle w:val="BodyText"/>
        <w:spacing w:before="1"/>
        <w:rPr>
          <w:sz w:val="16"/>
        </w:rPr>
      </w:pPr>
    </w:p>
    <w:p w14:paraId="194D25AD" w14:textId="77777777" w:rsidR="004C7180" w:rsidRPr="00150EDC" w:rsidRDefault="00CF0754">
      <w:pPr>
        <w:pStyle w:val="Heading1"/>
        <w:spacing w:before="88"/>
        <w:ind w:left="1416" w:right="1839" w:firstLine="0"/>
        <w:jc w:val="center"/>
      </w:pPr>
      <w:bookmarkStart w:id="7" w:name="DPS_Joint_Schedule_5_-_Corporate_Social_"/>
      <w:bookmarkEnd w:id="7"/>
      <w:r w:rsidRPr="00150EDC">
        <w:t>Joint</w:t>
      </w:r>
      <w:r w:rsidRPr="00150EDC">
        <w:rPr>
          <w:spacing w:val="-9"/>
        </w:rPr>
        <w:t xml:space="preserve"> </w:t>
      </w:r>
      <w:r w:rsidRPr="00150EDC">
        <w:t>Schedule</w:t>
      </w:r>
      <w:r w:rsidRPr="00150EDC">
        <w:rPr>
          <w:spacing w:val="-8"/>
        </w:rPr>
        <w:t xml:space="preserve"> </w:t>
      </w:r>
      <w:r w:rsidRPr="00150EDC">
        <w:t>5</w:t>
      </w:r>
      <w:r w:rsidRPr="00150EDC">
        <w:rPr>
          <w:spacing w:val="-9"/>
        </w:rPr>
        <w:t xml:space="preserve"> </w:t>
      </w:r>
      <w:r w:rsidRPr="00150EDC">
        <w:t>(Corporate</w:t>
      </w:r>
      <w:r w:rsidRPr="00150EDC">
        <w:rPr>
          <w:spacing w:val="-6"/>
        </w:rPr>
        <w:t xml:space="preserve"> </w:t>
      </w:r>
      <w:r w:rsidRPr="00150EDC">
        <w:t>Social</w:t>
      </w:r>
      <w:r w:rsidRPr="00150EDC">
        <w:rPr>
          <w:spacing w:val="-6"/>
        </w:rPr>
        <w:t xml:space="preserve"> </w:t>
      </w:r>
      <w:r w:rsidRPr="00150EDC">
        <w:rPr>
          <w:spacing w:val="-2"/>
        </w:rPr>
        <w:t>Responsibility)</w:t>
      </w:r>
    </w:p>
    <w:p w14:paraId="3FAB2BD9" w14:textId="77777777" w:rsidR="004C7180" w:rsidRPr="00150EDC" w:rsidRDefault="00CF0754" w:rsidP="00B320C7">
      <w:pPr>
        <w:pStyle w:val="Heading4"/>
        <w:numPr>
          <w:ilvl w:val="0"/>
          <w:numId w:val="97"/>
        </w:numPr>
        <w:tabs>
          <w:tab w:val="left" w:pos="1758"/>
        </w:tabs>
        <w:spacing w:before="263"/>
        <w:ind w:left="1758" w:hanging="358"/>
      </w:pPr>
      <w:r w:rsidRPr="00150EDC">
        <w:t>What</w:t>
      </w:r>
      <w:r w:rsidRPr="00150EDC">
        <w:rPr>
          <w:spacing w:val="-3"/>
        </w:rPr>
        <w:t xml:space="preserve"> </w:t>
      </w:r>
      <w:r w:rsidRPr="00150EDC">
        <w:t>we</w:t>
      </w:r>
      <w:r w:rsidRPr="00150EDC">
        <w:rPr>
          <w:spacing w:val="-2"/>
        </w:rPr>
        <w:t xml:space="preserve"> </w:t>
      </w:r>
      <w:r w:rsidRPr="00150EDC">
        <w:t>expect</w:t>
      </w:r>
      <w:r w:rsidRPr="00150EDC">
        <w:rPr>
          <w:spacing w:val="-2"/>
        </w:rPr>
        <w:t xml:space="preserve"> </w:t>
      </w:r>
      <w:r w:rsidRPr="00150EDC">
        <w:t>from</w:t>
      </w:r>
      <w:r w:rsidRPr="00150EDC">
        <w:rPr>
          <w:spacing w:val="-4"/>
        </w:rPr>
        <w:t xml:space="preserve"> </w:t>
      </w:r>
      <w:r w:rsidRPr="00150EDC">
        <w:t>our</w:t>
      </w:r>
      <w:r w:rsidRPr="00150EDC">
        <w:rPr>
          <w:spacing w:val="-2"/>
        </w:rPr>
        <w:t xml:space="preserve"> Suppliers</w:t>
      </w:r>
    </w:p>
    <w:p w14:paraId="24BE010B" w14:textId="77777777" w:rsidR="004C7180" w:rsidRPr="00150EDC" w:rsidRDefault="004C7180">
      <w:pPr>
        <w:pStyle w:val="BodyText"/>
        <w:spacing w:before="9"/>
        <w:rPr>
          <w:b/>
          <w:sz w:val="20"/>
        </w:rPr>
      </w:pPr>
    </w:p>
    <w:p w14:paraId="283ADB57" w14:textId="77777777" w:rsidR="004C7180" w:rsidRPr="00150EDC" w:rsidRDefault="00CF0754" w:rsidP="00B320C7">
      <w:pPr>
        <w:pStyle w:val="ListParagraph"/>
        <w:numPr>
          <w:ilvl w:val="1"/>
          <w:numId w:val="97"/>
        </w:numPr>
        <w:tabs>
          <w:tab w:val="left" w:pos="2300"/>
        </w:tabs>
        <w:spacing w:before="1"/>
        <w:ind w:right="1453"/>
        <w:rPr>
          <w:sz w:val="24"/>
        </w:rPr>
      </w:pPr>
      <w:r w:rsidRPr="00150EDC">
        <w:rPr>
          <w:sz w:val="24"/>
        </w:rPr>
        <w:t xml:space="preserve">In September 2017, HM Government published a Supplier Code of Conduct setting out the standards and behaviours expected of suppliers who work with government. </w:t>
      </w:r>
      <w:r w:rsidRPr="00150EDC">
        <w:rPr>
          <w:spacing w:val="-2"/>
          <w:sz w:val="24"/>
        </w:rPr>
        <w:t>(</w:t>
      </w:r>
      <w:hyperlink r:id="rId32">
        <w:r w:rsidRPr="007D3144">
          <w:rPr>
            <w:spacing w:val="-2"/>
            <w:sz w:val="24"/>
            <w:u w:val="single" w:color="0000FF"/>
          </w:rPr>
          <w:t>https://www.gov.uk/government/uploads/system/uploads/attachment_data/fi</w:t>
        </w:r>
      </w:hyperlink>
      <w:r w:rsidRPr="007D3144">
        <w:rPr>
          <w:spacing w:val="-2"/>
          <w:sz w:val="24"/>
        </w:rPr>
        <w:t xml:space="preserve"> </w:t>
      </w:r>
      <w:hyperlink r:id="rId33">
        <w:r w:rsidRPr="007D3144">
          <w:rPr>
            <w:spacing w:val="-2"/>
            <w:sz w:val="24"/>
            <w:u w:val="single" w:color="0000FF"/>
          </w:rPr>
          <w:t>le/646497/2017-09-</w:t>
        </w:r>
      </w:hyperlink>
    </w:p>
    <w:p w14:paraId="74FD51FF" w14:textId="77777777" w:rsidR="004C7180" w:rsidRPr="00150EDC" w:rsidRDefault="00000000">
      <w:pPr>
        <w:pStyle w:val="BodyText"/>
        <w:ind w:left="2300"/>
      </w:pPr>
      <w:hyperlink r:id="rId34">
        <w:r w:rsidR="00CF0754" w:rsidRPr="007D3144">
          <w:rPr>
            <w:spacing w:val="-2"/>
            <w:u w:val="single" w:color="0000FF"/>
          </w:rPr>
          <w:t>13_Official_Sensitive_Supplier_Code_of_Conduct_September_2017.pdf</w:t>
        </w:r>
      </w:hyperlink>
      <w:r w:rsidR="00CF0754" w:rsidRPr="00150EDC">
        <w:rPr>
          <w:spacing w:val="-2"/>
        </w:rPr>
        <w:t>)</w:t>
      </w:r>
    </w:p>
    <w:p w14:paraId="353FA916" w14:textId="77777777" w:rsidR="004C7180" w:rsidRPr="00150EDC" w:rsidRDefault="00CF0754" w:rsidP="00B320C7">
      <w:pPr>
        <w:pStyle w:val="ListParagraph"/>
        <w:numPr>
          <w:ilvl w:val="1"/>
          <w:numId w:val="97"/>
        </w:numPr>
        <w:tabs>
          <w:tab w:val="left" w:pos="2300"/>
        </w:tabs>
        <w:spacing w:before="120"/>
        <w:ind w:right="1553"/>
        <w:rPr>
          <w:sz w:val="24"/>
        </w:rPr>
      </w:pPr>
      <w:r w:rsidRPr="00150EDC">
        <w:rPr>
          <w:sz w:val="24"/>
        </w:rPr>
        <w:t>CCS</w:t>
      </w:r>
      <w:r w:rsidRPr="00150EDC">
        <w:rPr>
          <w:spacing w:val="-3"/>
          <w:sz w:val="24"/>
        </w:rPr>
        <w:t xml:space="preserve"> </w:t>
      </w:r>
      <w:r w:rsidRPr="00150EDC">
        <w:rPr>
          <w:sz w:val="24"/>
        </w:rPr>
        <w:t>expects</w:t>
      </w:r>
      <w:r w:rsidRPr="00150EDC">
        <w:rPr>
          <w:spacing w:val="-5"/>
          <w:sz w:val="24"/>
        </w:rPr>
        <w:t xml:space="preserve"> </w:t>
      </w:r>
      <w:r w:rsidRPr="00150EDC">
        <w:rPr>
          <w:sz w:val="24"/>
        </w:rPr>
        <w:t>its</w:t>
      </w:r>
      <w:r w:rsidRPr="00150EDC">
        <w:rPr>
          <w:spacing w:val="-3"/>
          <w:sz w:val="24"/>
        </w:rPr>
        <w:t xml:space="preserve"> </w:t>
      </w:r>
      <w:r w:rsidRPr="00150EDC">
        <w:rPr>
          <w:sz w:val="24"/>
        </w:rPr>
        <w:t>suppliers</w:t>
      </w:r>
      <w:r w:rsidRPr="00150EDC">
        <w:rPr>
          <w:spacing w:val="-3"/>
          <w:sz w:val="24"/>
        </w:rPr>
        <w:t xml:space="preserve"> </w:t>
      </w:r>
      <w:r w:rsidRPr="00150EDC">
        <w:rPr>
          <w:sz w:val="24"/>
        </w:rPr>
        <w:t>and</w:t>
      </w:r>
      <w:r w:rsidRPr="00150EDC">
        <w:rPr>
          <w:spacing w:val="-5"/>
          <w:sz w:val="24"/>
        </w:rPr>
        <w:t xml:space="preserve"> </w:t>
      </w:r>
      <w:r w:rsidRPr="00150EDC">
        <w:rPr>
          <w:sz w:val="24"/>
        </w:rPr>
        <w:t>subcontractors</w:t>
      </w:r>
      <w:r w:rsidRPr="00150EDC">
        <w:rPr>
          <w:spacing w:val="-7"/>
          <w:sz w:val="24"/>
        </w:rPr>
        <w:t xml:space="preserve"> </w:t>
      </w:r>
      <w:r w:rsidRPr="00150EDC">
        <w:rPr>
          <w:sz w:val="24"/>
        </w:rPr>
        <w:t>to</w:t>
      </w:r>
      <w:r w:rsidRPr="00150EDC">
        <w:rPr>
          <w:spacing w:val="-5"/>
          <w:sz w:val="24"/>
        </w:rPr>
        <w:t xml:space="preserve"> </w:t>
      </w:r>
      <w:r w:rsidRPr="00150EDC">
        <w:rPr>
          <w:sz w:val="24"/>
        </w:rPr>
        <w:t>meet</w:t>
      </w:r>
      <w:r w:rsidRPr="00150EDC">
        <w:rPr>
          <w:spacing w:val="-3"/>
          <w:sz w:val="24"/>
        </w:rPr>
        <w:t xml:space="preserve"> </w:t>
      </w:r>
      <w:r w:rsidRPr="00150EDC">
        <w:rPr>
          <w:sz w:val="24"/>
        </w:rPr>
        <w:t>the</w:t>
      </w:r>
      <w:r w:rsidRPr="00150EDC">
        <w:rPr>
          <w:spacing w:val="-3"/>
          <w:sz w:val="24"/>
        </w:rPr>
        <w:t xml:space="preserve"> </w:t>
      </w:r>
      <w:r w:rsidRPr="00150EDC">
        <w:rPr>
          <w:sz w:val="24"/>
        </w:rPr>
        <w:t>standards</w:t>
      </w:r>
      <w:r w:rsidRPr="00150EDC">
        <w:rPr>
          <w:spacing w:val="-5"/>
          <w:sz w:val="24"/>
        </w:rPr>
        <w:t xml:space="preserve"> </w:t>
      </w:r>
      <w:r w:rsidRPr="00150EDC">
        <w:rPr>
          <w:sz w:val="24"/>
        </w:rPr>
        <w:t>set</w:t>
      </w:r>
      <w:r w:rsidRPr="00150EDC">
        <w:rPr>
          <w:spacing w:val="-3"/>
          <w:sz w:val="24"/>
        </w:rPr>
        <w:t xml:space="preserve"> </w:t>
      </w:r>
      <w:r w:rsidRPr="00150EDC">
        <w:rPr>
          <w:sz w:val="24"/>
        </w:rPr>
        <w:t>out in that Code. In addition, CCS expects its suppliers and subcontractors to comply with the standards set out in this Schedule.</w:t>
      </w:r>
    </w:p>
    <w:p w14:paraId="664677CC" w14:textId="77777777" w:rsidR="004C7180" w:rsidRPr="00150EDC" w:rsidRDefault="00CF0754" w:rsidP="00B320C7">
      <w:pPr>
        <w:pStyle w:val="ListParagraph"/>
        <w:numPr>
          <w:ilvl w:val="1"/>
          <w:numId w:val="97"/>
        </w:numPr>
        <w:tabs>
          <w:tab w:val="left" w:pos="2300"/>
        </w:tabs>
        <w:spacing w:before="120"/>
        <w:ind w:right="1710"/>
        <w:rPr>
          <w:sz w:val="24"/>
        </w:rPr>
      </w:pPr>
      <w:r w:rsidRPr="00150EDC">
        <w:rPr>
          <w:sz w:val="24"/>
        </w:rPr>
        <w:t>The Supplier acknowledges that the Buyer may have additional requirements in relation to corporate social responsibility.</w:t>
      </w:r>
      <w:r w:rsidRPr="00150EDC">
        <w:rPr>
          <w:spacing w:val="40"/>
          <w:sz w:val="24"/>
        </w:rPr>
        <w:t xml:space="preserve"> </w:t>
      </w:r>
      <w:r w:rsidRPr="00150EDC">
        <w:rPr>
          <w:sz w:val="24"/>
        </w:rPr>
        <w:t>The Buyer expects that the Supplier and its Subcontractors will comply with such corporate</w:t>
      </w:r>
      <w:r w:rsidRPr="00150EDC">
        <w:rPr>
          <w:spacing w:val="-3"/>
          <w:sz w:val="24"/>
        </w:rPr>
        <w:t xml:space="preserve"> </w:t>
      </w:r>
      <w:r w:rsidRPr="00150EDC">
        <w:rPr>
          <w:sz w:val="24"/>
        </w:rPr>
        <w:t>social</w:t>
      </w:r>
      <w:r w:rsidRPr="00150EDC">
        <w:rPr>
          <w:spacing w:val="-3"/>
          <w:sz w:val="24"/>
        </w:rPr>
        <w:t xml:space="preserve"> </w:t>
      </w:r>
      <w:r w:rsidRPr="00150EDC">
        <w:rPr>
          <w:sz w:val="24"/>
        </w:rPr>
        <w:t>responsibility</w:t>
      </w:r>
      <w:r w:rsidRPr="00150EDC">
        <w:rPr>
          <w:spacing w:val="-3"/>
          <w:sz w:val="24"/>
        </w:rPr>
        <w:t xml:space="preserve"> </w:t>
      </w:r>
      <w:r w:rsidRPr="00150EDC">
        <w:rPr>
          <w:sz w:val="24"/>
        </w:rPr>
        <w:t>requirements</w:t>
      </w:r>
      <w:r w:rsidRPr="00150EDC">
        <w:rPr>
          <w:spacing w:val="-3"/>
          <w:sz w:val="24"/>
        </w:rPr>
        <w:t xml:space="preserve"> </w:t>
      </w:r>
      <w:r w:rsidRPr="00150EDC">
        <w:rPr>
          <w:sz w:val="24"/>
        </w:rPr>
        <w:t>as</w:t>
      </w:r>
      <w:r w:rsidRPr="00150EDC">
        <w:rPr>
          <w:spacing w:val="-3"/>
          <w:sz w:val="24"/>
        </w:rPr>
        <w:t xml:space="preserve"> </w:t>
      </w:r>
      <w:r w:rsidRPr="00150EDC">
        <w:rPr>
          <w:sz w:val="24"/>
        </w:rPr>
        <w:t>the</w:t>
      </w:r>
      <w:r w:rsidRPr="00150EDC">
        <w:rPr>
          <w:spacing w:val="-5"/>
          <w:sz w:val="24"/>
        </w:rPr>
        <w:t xml:space="preserve"> </w:t>
      </w:r>
      <w:r w:rsidRPr="00150EDC">
        <w:rPr>
          <w:sz w:val="24"/>
        </w:rPr>
        <w:t>Buyer</w:t>
      </w:r>
      <w:r w:rsidRPr="00150EDC">
        <w:rPr>
          <w:spacing w:val="-6"/>
          <w:sz w:val="24"/>
        </w:rPr>
        <w:t xml:space="preserve"> </w:t>
      </w:r>
      <w:r w:rsidRPr="00150EDC">
        <w:rPr>
          <w:sz w:val="24"/>
        </w:rPr>
        <w:t>may</w:t>
      </w:r>
      <w:r w:rsidRPr="00150EDC">
        <w:rPr>
          <w:spacing w:val="-6"/>
          <w:sz w:val="24"/>
        </w:rPr>
        <w:t xml:space="preserve"> </w:t>
      </w:r>
      <w:r w:rsidRPr="00150EDC">
        <w:rPr>
          <w:sz w:val="24"/>
        </w:rPr>
        <w:t>notify</w:t>
      </w:r>
      <w:r w:rsidRPr="00150EDC">
        <w:rPr>
          <w:spacing w:val="-5"/>
          <w:sz w:val="24"/>
        </w:rPr>
        <w:t xml:space="preserve"> </w:t>
      </w:r>
      <w:r w:rsidRPr="00150EDC">
        <w:rPr>
          <w:sz w:val="24"/>
        </w:rPr>
        <w:t>to</w:t>
      </w:r>
      <w:r w:rsidRPr="00150EDC">
        <w:rPr>
          <w:spacing w:val="-2"/>
          <w:sz w:val="24"/>
        </w:rPr>
        <w:t xml:space="preserve"> </w:t>
      </w:r>
      <w:r w:rsidRPr="00150EDC">
        <w:rPr>
          <w:sz w:val="24"/>
        </w:rPr>
        <w:t>the Supplier from time to time.</w:t>
      </w:r>
    </w:p>
    <w:p w14:paraId="386EBFE6" w14:textId="77777777" w:rsidR="004C7180" w:rsidRPr="00150EDC" w:rsidRDefault="00CF0754" w:rsidP="00B320C7">
      <w:pPr>
        <w:pStyle w:val="Heading4"/>
        <w:numPr>
          <w:ilvl w:val="0"/>
          <w:numId w:val="97"/>
        </w:numPr>
        <w:tabs>
          <w:tab w:val="left" w:pos="1758"/>
        </w:tabs>
        <w:spacing w:before="121"/>
        <w:ind w:left="1758" w:hanging="358"/>
      </w:pPr>
      <w:r w:rsidRPr="00150EDC">
        <w:t>Equality</w:t>
      </w:r>
      <w:r w:rsidRPr="00150EDC">
        <w:rPr>
          <w:spacing w:val="-3"/>
        </w:rPr>
        <w:t xml:space="preserve"> </w:t>
      </w:r>
      <w:r w:rsidRPr="00150EDC">
        <w:t>and</w:t>
      </w:r>
      <w:r w:rsidRPr="00150EDC">
        <w:rPr>
          <w:spacing w:val="-1"/>
        </w:rPr>
        <w:t xml:space="preserve"> </w:t>
      </w:r>
      <w:r w:rsidRPr="00150EDC">
        <w:rPr>
          <w:spacing w:val="-2"/>
        </w:rPr>
        <w:t>Accessibility</w:t>
      </w:r>
    </w:p>
    <w:p w14:paraId="0BC4BEE3" w14:textId="77777777" w:rsidR="004C7180" w:rsidRPr="00150EDC" w:rsidRDefault="004C7180">
      <w:pPr>
        <w:pStyle w:val="BodyText"/>
        <w:spacing w:before="9"/>
        <w:rPr>
          <w:b/>
          <w:sz w:val="20"/>
        </w:rPr>
      </w:pPr>
    </w:p>
    <w:p w14:paraId="15DBC643" w14:textId="77777777" w:rsidR="004C7180" w:rsidRPr="00150EDC" w:rsidRDefault="00CF0754" w:rsidP="00B320C7">
      <w:pPr>
        <w:pStyle w:val="ListParagraph"/>
        <w:numPr>
          <w:ilvl w:val="1"/>
          <w:numId w:val="97"/>
        </w:numPr>
        <w:tabs>
          <w:tab w:val="left" w:pos="2300"/>
        </w:tabs>
        <w:spacing w:before="1"/>
        <w:ind w:right="1699"/>
        <w:rPr>
          <w:sz w:val="24"/>
        </w:rPr>
      </w:pPr>
      <w:r w:rsidRPr="00150EDC">
        <w:rPr>
          <w:sz w:val="24"/>
        </w:rPr>
        <w:t>In addition to legal obligations, the Supplier shall support CCS and the Buyer</w:t>
      </w:r>
      <w:r w:rsidRPr="00150EDC">
        <w:rPr>
          <w:spacing w:val="-3"/>
          <w:sz w:val="24"/>
        </w:rPr>
        <w:t xml:space="preserve"> </w:t>
      </w:r>
      <w:r w:rsidRPr="00150EDC">
        <w:rPr>
          <w:sz w:val="24"/>
        </w:rPr>
        <w:t>in</w:t>
      </w:r>
      <w:r w:rsidRPr="00150EDC">
        <w:rPr>
          <w:spacing w:val="-5"/>
          <w:sz w:val="24"/>
        </w:rPr>
        <w:t xml:space="preserve"> </w:t>
      </w:r>
      <w:r w:rsidRPr="00150EDC">
        <w:rPr>
          <w:sz w:val="24"/>
        </w:rPr>
        <w:t>fulfilling</w:t>
      </w:r>
      <w:r w:rsidRPr="00150EDC">
        <w:rPr>
          <w:spacing w:val="-3"/>
          <w:sz w:val="24"/>
        </w:rPr>
        <w:t xml:space="preserve"> </w:t>
      </w:r>
      <w:r w:rsidRPr="00150EDC">
        <w:rPr>
          <w:sz w:val="24"/>
        </w:rPr>
        <w:t>its</w:t>
      </w:r>
      <w:r w:rsidRPr="00150EDC">
        <w:rPr>
          <w:spacing w:val="-5"/>
          <w:sz w:val="24"/>
        </w:rPr>
        <w:t xml:space="preserve"> </w:t>
      </w:r>
      <w:r w:rsidRPr="00150EDC">
        <w:rPr>
          <w:sz w:val="24"/>
        </w:rPr>
        <w:t>Public</w:t>
      </w:r>
      <w:r w:rsidRPr="00150EDC">
        <w:rPr>
          <w:spacing w:val="-3"/>
          <w:sz w:val="24"/>
        </w:rPr>
        <w:t xml:space="preserve"> </w:t>
      </w:r>
      <w:r w:rsidRPr="00150EDC">
        <w:rPr>
          <w:sz w:val="24"/>
        </w:rPr>
        <w:t>Sector</w:t>
      </w:r>
      <w:r w:rsidRPr="00150EDC">
        <w:rPr>
          <w:spacing w:val="-6"/>
          <w:sz w:val="24"/>
        </w:rPr>
        <w:t xml:space="preserve"> </w:t>
      </w:r>
      <w:r w:rsidRPr="00150EDC">
        <w:rPr>
          <w:sz w:val="24"/>
        </w:rPr>
        <w:t>Equality</w:t>
      </w:r>
      <w:r w:rsidRPr="00150EDC">
        <w:rPr>
          <w:spacing w:val="-3"/>
          <w:sz w:val="24"/>
        </w:rPr>
        <w:t xml:space="preserve"> </w:t>
      </w:r>
      <w:r w:rsidRPr="00150EDC">
        <w:rPr>
          <w:sz w:val="24"/>
        </w:rPr>
        <w:t>duty</w:t>
      </w:r>
      <w:r w:rsidRPr="00150EDC">
        <w:rPr>
          <w:spacing w:val="-3"/>
          <w:sz w:val="24"/>
        </w:rPr>
        <w:t xml:space="preserve"> </w:t>
      </w:r>
      <w:r w:rsidRPr="00150EDC">
        <w:rPr>
          <w:sz w:val="24"/>
        </w:rPr>
        <w:t>under</w:t>
      </w:r>
      <w:r w:rsidRPr="00150EDC">
        <w:rPr>
          <w:spacing w:val="-3"/>
          <w:sz w:val="24"/>
        </w:rPr>
        <w:t xml:space="preserve"> </w:t>
      </w:r>
      <w:r w:rsidRPr="00150EDC">
        <w:rPr>
          <w:sz w:val="24"/>
        </w:rPr>
        <w:t>S149</w:t>
      </w:r>
      <w:r w:rsidRPr="00150EDC">
        <w:rPr>
          <w:spacing w:val="-5"/>
          <w:sz w:val="24"/>
        </w:rPr>
        <w:t xml:space="preserve"> </w:t>
      </w:r>
      <w:r w:rsidRPr="00150EDC">
        <w:rPr>
          <w:sz w:val="24"/>
        </w:rPr>
        <w:t>of</w:t>
      </w:r>
      <w:r w:rsidRPr="00150EDC">
        <w:rPr>
          <w:spacing w:val="-3"/>
          <w:sz w:val="24"/>
        </w:rPr>
        <w:t xml:space="preserve"> </w:t>
      </w:r>
      <w:r w:rsidRPr="00150EDC">
        <w:rPr>
          <w:sz w:val="24"/>
        </w:rPr>
        <w:t>the</w:t>
      </w:r>
      <w:r w:rsidRPr="00150EDC">
        <w:rPr>
          <w:spacing w:val="-5"/>
          <w:sz w:val="24"/>
        </w:rPr>
        <w:t xml:space="preserve"> </w:t>
      </w:r>
      <w:r w:rsidRPr="00150EDC">
        <w:rPr>
          <w:sz w:val="24"/>
        </w:rPr>
        <w:t>Equality Act 2010 by ensuring that it fulfils its obligations under each Contract in a way that seeks to:</w:t>
      </w:r>
    </w:p>
    <w:p w14:paraId="2B51A9DE" w14:textId="77777777" w:rsidR="004C7180" w:rsidRPr="00150EDC" w:rsidRDefault="00CF0754" w:rsidP="00B320C7">
      <w:pPr>
        <w:pStyle w:val="ListParagraph"/>
        <w:numPr>
          <w:ilvl w:val="2"/>
          <w:numId w:val="97"/>
        </w:numPr>
        <w:tabs>
          <w:tab w:val="left" w:pos="3819"/>
          <w:tab w:val="left" w:pos="3822"/>
        </w:tabs>
        <w:spacing w:before="118"/>
        <w:ind w:right="1787"/>
        <w:rPr>
          <w:sz w:val="24"/>
        </w:rPr>
      </w:pPr>
      <w:r w:rsidRPr="00150EDC">
        <w:rPr>
          <w:sz w:val="24"/>
        </w:rPr>
        <w:t>eliminate</w:t>
      </w:r>
      <w:r w:rsidRPr="00150EDC">
        <w:rPr>
          <w:spacing w:val="-5"/>
          <w:sz w:val="24"/>
        </w:rPr>
        <w:t xml:space="preserve"> </w:t>
      </w:r>
      <w:r w:rsidRPr="00150EDC">
        <w:rPr>
          <w:sz w:val="24"/>
        </w:rPr>
        <w:t>discrimination,</w:t>
      </w:r>
      <w:r w:rsidRPr="00150EDC">
        <w:rPr>
          <w:spacing w:val="-5"/>
          <w:sz w:val="24"/>
        </w:rPr>
        <w:t xml:space="preserve"> </w:t>
      </w:r>
      <w:r w:rsidRPr="00150EDC">
        <w:rPr>
          <w:sz w:val="24"/>
        </w:rPr>
        <w:t>harassment</w:t>
      </w:r>
      <w:r w:rsidRPr="00150EDC">
        <w:rPr>
          <w:spacing w:val="-7"/>
          <w:sz w:val="24"/>
        </w:rPr>
        <w:t xml:space="preserve"> </w:t>
      </w:r>
      <w:r w:rsidRPr="00150EDC">
        <w:rPr>
          <w:sz w:val="24"/>
        </w:rPr>
        <w:t>or</w:t>
      </w:r>
      <w:r w:rsidRPr="00150EDC">
        <w:rPr>
          <w:spacing w:val="-5"/>
          <w:sz w:val="24"/>
        </w:rPr>
        <w:t xml:space="preserve"> </w:t>
      </w:r>
      <w:r w:rsidRPr="00150EDC">
        <w:rPr>
          <w:sz w:val="24"/>
        </w:rPr>
        <w:t>victimisation</w:t>
      </w:r>
      <w:r w:rsidRPr="00150EDC">
        <w:rPr>
          <w:spacing w:val="-5"/>
          <w:sz w:val="24"/>
        </w:rPr>
        <w:t xml:space="preserve"> </w:t>
      </w:r>
      <w:r w:rsidRPr="00150EDC">
        <w:rPr>
          <w:sz w:val="24"/>
        </w:rPr>
        <w:t>of</w:t>
      </w:r>
      <w:r w:rsidRPr="00150EDC">
        <w:rPr>
          <w:spacing w:val="-7"/>
          <w:sz w:val="24"/>
        </w:rPr>
        <w:t xml:space="preserve"> </w:t>
      </w:r>
      <w:r w:rsidRPr="00150EDC">
        <w:rPr>
          <w:sz w:val="24"/>
        </w:rPr>
        <w:t>any kind; and</w:t>
      </w:r>
    </w:p>
    <w:p w14:paraId="76EE85F5" w14:textId="77777777" w:rsidR="004C7180" w:rsidRPr="00150EDC" w:rsidRDefault="00CF0754" w:rsidP="00B320C7">
      <w:pPr>
        <w:pStyle w:val="ListParagraph"/>
        <w:numPr>
          <w:ilvl w:val="2"/>
          <w:numId w:val="97"/>
        </w:numPr>
        <w:tabs>
          <w:tab w:val="left" w:pos="3819"/>
          <w:tab w:val="left" w:pos="3822"/>
        </w:tabs>
        <w:spacing w:before="120"/>
        <w:ind w:right="1707"/>
        <w:rPr>
          <w:sz w:val="24"/>
        </w:rPr>
      </w:pPr>
      <w:r w:rsidRPr="00150EDC">
        <w:rPr>
          <w:sz w:val="24"/>
        </w:rPr>
        <w:t>advance</w:t>
      </w:r>
      <w:r w:rsidRPr="00150EDC">
        <w:rPr>
          <w:spacing w:val="-5"/>
          <w:sz w:val="24"/>
        </w:rPr>
        <w:t xml:space="preserve"> </w:t>
      </w:r>
      <w:r w:rsidRPr="00150EDC">
        <w:rPr>
          <w:sz w:val="24"/>
        </w:rPr>
        <w:t>equality</w:t>
      </w:r>
      <w:r w:rsidRPr="00150EDC">
        <w:rPr>
          <w:spacing w:val="-5"/>
          <w:sz w:val="24"/>
        </w:rPr>
        <w:t xml:space="preserve"> </w:t>
      </w:r>
      <w:r w:rsidRPr="00150EDC">
        <w:rPr>
          <w:sz w:val="24"/>
        </w:rPr>
        <w:t>of</w:t>
      </w:r>
      <w:r w:rsidRPr="00150EDC">
        <w:rPr>
          <w:spacing w:val="-7"/>
          <w:sz w:val="24"/>
        </w:rPr>
        <w:t xml:space="preserve"> </w:t>
      </w:r>
      <w:r w:rsidRPr="00150EDC">
        <w:rPr>
          <w:sz w:val="24"/>
        </w:rPr>
        <w:t>opportunity</w:t>
      </w:r>
      <w:r w:rsidRPr="00150EDC">
        <w:rPr>
          <w:spacing w:val="-7"/>
          <w:sz w:val="24"/>
        </w:rPr>
        <w:t xml:space="preserve"> </w:t>
      </w:r>
      <w:r w:rsidRPr="00150EDC">
        <w:rPr>
          <w:sz w:val="24"/>
        </w:rPr>
        <w:t>and</w:t>
      </w:r>
      <w:r w:rsidRPr="00150EDC">
        <w:rPr>
          <w:spacing w:val="-5"/>
          <w:sz w:val="24"/>
        </w:rPr>
        <w:t xml:space="preserve"> </w:t>
      </w:r>
      <w:r w:rsidRPr="00150EDC">
        <w:rPr>
          <w:sz w:val="24"/>
        </w:rPr>
        <w:t>good</w:t>
      </w:r>
      <w:r w:rsidRPr="00150EDC">
        <w:rPr>
          <w:spacing w:val="-5"/>
          <w:sz w:val="24"/>
        </w:rPr>
        <w:t xml:space="preserve"> </w:t>
      </w:r>
      <w:r w:rsidRPr="00150EDC">
        <w:rPr>
          <w:sz w:val="24"/>
        </w:rPr>
        <w:t>relations</w:t>
      </w:r>
      <w:r w:rsidRPr="00150EDC">
        <w:rPr>
          <w:spacing w:val="-5"/>
          <w:sz w:val="24"/>
        </w:rPr>
        <w:t xml:space="preserve"> </w:t>
      </w:r>
      <w:r w:rsidRPr="00150EDC">
        <w:rPr>
          <w:sz w:val="24"/>
        </w:rPr>
        <w:t>between those</w:t>
      </w:r>
      <w:r w:rsidRPr="00150EDC">
        <w:rPr>
          <w:spacing w:val="-3"/>
          <w:sz w:val="24"/>
        </w:rPr>
        <w:t xml:space="preserve"> </w:t>
      </w:r>
      <w:r w:rsidRPr="00150EDC">
        <w:rPr>
          <w:sz w:val="24"/>
        </w:rPr>
        <w:t>with</w:t>
      </w:r>
      <w:r w:rsidRPr="00150EDC">
        <w:rPr>
          <w:spacing w:val="-1"/>
          <w:sz w:val="24"/>
        </w:rPr>
        <w:t xml:space="preserve"> </w:t>
      </w:r>
      <w:r w:rsidRPr="00150EDC">
        <w:rPr>
          <w:sz w:val="24"/>
        </w:rPr>
        <w:t>a</w:t>
      </w:r>
      <w:r w:rsidRPr="00150EDC">
        <w:rPr>
          <w:spacing w:val="-2"/>
          <w:sz w:val="24"/>
        </w:rPr>
        <w:t xml:space="preserve"> </w:t>
      </w:r>
      <w:r w:rsidRPr="00150EDC">
        <w:rPr>
          <w:sz w:val="24"/>
        </w:rPr>
        <w:t>protected</w:t>
      </w:r>
      <w:r w:rsidRPr="00150EDC">
        <w:rPr>
          <w:spacing w:val="-3"/>
          <w:sz w:val="24"/>
        </w:rPr>
        <w:t xml:space="preserve"> </w:t>
      </w:r>
      <w:r w:rsidRPr="00150EDC">
        <w:rPr>
          <w:sz w:val="24"/>
        </w:rPr>
        <w:t>characteristic</w:t>
      </w:r>
      <w:r w:rsidRPr="00150EDC">
        <w:rPr>
          <w:spacing w:val="-1"/>
          <w:sz w:val="24"/>
        </w:rPr>
        <w:t xml:space="preserve"> </w:t>
      </w:r>
      <w:r w:rsidRPr="00150EDC">
        <w:rPr>
          <w:sz w:val="24"/>
        </w:rPr>
        <w:t>(age,</w:t>
      </w:r>
      <w:r w:rsidRPr="00150EDC">
        <w:rPr>
          <w:spacing w:val="-3"/>
          <w:sz w:val="24"/>
        </w:rPr>
        <w:t xml:space="preserve"> </w:t>
      </w:r>
      <w:r w:rsidRPr="00150EDC">
        <w:rPr>
          <w:sz w:val="24"/>
        </w:rPr>
        <w:t>disability,</w:t>
      </w:r>
      <w:r w:rsidRPr="00150EDC">
        <w:rPr>
          <w:spacing w:val="-1"/>
          <w:sz w:val="24"/>
        </w:rPr>
        <w:t xml:space="preserve"> </w:t>
      </w:r>
      <w:r w:rsidRPr="00150EDC">
        <w:rPr>
          <w:sz w:val="24"/>
        </w:rPr>
        <w:t>gender reassignment, pregnancy and maternity, race, religion or belief, sex, sexual orientation, and marriage and civil partnership) and those who do not share it.</w:t>
      </w:r>
    </w:p>
    <w:p w14:paraId="3795FFD1" w14:textId="77777777" w:rsidR="004C7180" w:rsidRPr="00150EDC" w:rsidRDefault="00CF0754" w:rsidP="00B320C7">
      <w:pPr>
        <w:pStyle w:val="Heading4"/>
        <w:numPr>
          <w:ilvl w:val="0"/>
          <w:numId w:val="97"/>
        </w:numPr>
        <w:tabs>
          <w:tab w:val="left" w:pos="1758"/>
        </w:tabs>
        <w:spacing w:before="120"/>
        <w:ind w:left="1758" w:hanging="358"/>
      </w:pPr>
      <w:r w:rsidRPr="00150EDC">
        <w:t>Modern</w:t>
      </w:r>
      <w:r w:rsidRPr="00150EDC">
        <w:rPr>
          <w:spacing w:val="-6"/>
        </w:rPr>
        <w:t xml:space="preserve"> </w:t>
      </w:r>
      <w:r w:rsidRPr="00150EDC">
        <w:t>Slavery,</w:t>
      </w:r>
      <w:r w:rsidRPr="00150EDC">
        <w:rPr>
          <w:spacing w:val="-5"/>
        </w:rPr>
        <w:t xml:space="preserve"> </w:t>
      </w:r>
      <w:r w:rsidRPr="00150EDC">
        <w:t>Child</w:t>
      </w:r>
      <w:r w:rsidRPr="00150EDC">
        <w:rPr>
          <w:spacing w:val="-4"/>
        </w:rPr>
        <w:t xml:space="preserve"> </w:t>
      </w:r>
      <w:r w:rsidRPr="00150EDC">
        <w:t>Labour</w:t>
      </w:r>
      <w:r w:rsidRPr="00150EDC">
        <w:rPr>
          <w:spacing w:val="-3"/>
        </w:rPr>
        <w:t xml:space="preserve"> </w:t>
      </w:r>
      <w:r w:rsidRPr="00150EDC">
        <w:t>and</w:t>
      </w:r>
      <w:r w:rsidRPr="00150EDC">
        <w:rPr>
          <w:spacing w:val="-4"/>
        </w:rPr>
        <w:t xml:space="preserve"> </w:t>
      </w:r>
      <w:r w:rsidRPr="00150EDC">
        <w:t>Inhumane</w:t>
      </w:r>
      <w:r w:rsidRPr="00150EDC">
        <w:rPr>
          <w:spacing w:val="-3"/>
        </w:rPr>
        <w:t xml:space="preserve"> </w:t>
      </w:r>
      <w:r w:rsidRPr="00150EDC">
        <w:rPr>
          <w:spacing w:val="-2"/>
        </w:rPr>
        <w:t>Treatment</w:t>
      </w:r>
    </w:p>
    <w:p w14:paraId="1083B97D" w14:textId="77777777" w:rsidR="004C7180" w:rsidRPr="00150EDC" w:rsidRDefault="004C7180">
      <w:pPr>
        <w:pStyle w:val="BodyText"/>
        <w:spacing w:before="10"/>
        <w:rPr>
          <w:b/>
          <w:sz w:val="20"/>
        </w:rPr>
      </w:pPr>
    </w:p>
    <w:p w14:paraId="286FAB9B" w14:textId="77777777" w:rsidR="004C7180" w:rsidRPr="00150EDC" w:rsidRDefault="00CF0754">
      <w:pPr>
        <w:pStyle w:val="BodyText"/>
        <w:ind w:left="1760" w:right="1459" w:hanging="360"/>
      </w:pPr>
      <w:r w:rsidRPr="00150EDC">
        <w:rPr>
          <w:b/>
        </w:rPr>
        <w:t>"Modern</w:t>
      </w:r>
      <w:r w:rsidRPr="00150EDC">
        <w:rPr>
          <w:b/>
          <w:spacing w:val="-5"/>
        </w:rPr>
        <w:t xml:space="preserve"> </w:t>
      </w:r>
      <w:r w:rsidRPr="00150EDC">
        <w:rPr>
          <w:b/>
        </w:rPr>
        <w:t>Slavery</w:t>
      </w:r>
      <w:r w:rsidRPr="00150EDC">
        <w:rPr>
          <w:b/>
          <w:spacing w:val="-5"/>
        </w:rPr>
        <w:t xml:space="preserve"> </w:t>
      </w:r>
      <w:r w:rsidRPr="00150EDC">
        <w:rPr>
          <w:b/>
        </w:rPr>
        <w:t>Helpline"</w:t>
      </w:r>
      <w:r w:rsidRPr="00150EDC">
        <w:rPr>
          <w:b/>
          <w:spacing w:val="-2"/>
        </w:rPr>
        <w:t xml:space="preserve"> </w:t>
      </w:r>
      <w:r w:rsidRPr="00150EDC">
        <w:t>means</w:t>
      </w:r>
      <w:r w:rsidRPr="00150EDC">
        <w:rPr>
          <w:spacing w:val="-6"/>
        </w:rPr>
        <w:t xml:space="preserve"> </w:t>
      </w:r>
      <w:r w:rsidRPr="00150EDC">
        <w:t>the</w:t>
      </w:r>
      <w:r w:rsidRPr="00150EDC">
        <w:rPr>
          <w:spacing w:val="-6"/>
        </w:rPr>
        <w:t xml:space="preserve"> </w:t>
      </w:r>
      <w:r w:rsidRPr="00150EDC">
        <w:t>mechanism</w:t>
      </w:r>
      <w:r w:rsidRPr="00150EDC">
        <w:rPr>
          <w:spacing w:val="-3"/>
        </w:rPr>
        <w:t xml:space="preserve"> </w:t>
      </w:r>
      <w:r w:rsidRPr="00150EDC">
        <w:t>for</w:t>
      </w:r>
      <w:r w:rsidRPr="00150EDC">
        <w:rPr>
          <w:spacing w:val="-4"/>
        </w:rPr>
        <w:t xml:space="preserve"> </w:t>
      </w:r>
      <w:r w:rsidRPr="00150EDC">
        <w:t>reporting</w:t>
      </w:r>
      <w:r w:rsidRPr="00150EDC">
        <w:rPr>
          <w:spacing w:val="-4"/>
        </w:rPr>
        <w:t xml:space="preserve"> </w:t>
      </w:r>
      <w:r w:rsidRPr="00150EDC">
        <w:t>suspicion,</w:t>
      </w:r>
      <w:r w:rsidRPr="00150EDC">
        <w:rPr>
          <w:spacing w:val="-4"/>
        </w:rPr>
        <w:t xml:space="preserve"> </w:t>
      </w:r>
      <w:r w:rsidRPr="00150EDC">
        <w:t>seeking help or advice and information on the subject of modern slavery</w:t>
      </w:r>
      <w:r w:rsidRPr="00150EDC">
        <w:rPr>
          <w:spacing w:val="-1"/>
        </w:rPr>
        <w:t xml:space="preserve"> </w:t>
      </w:r>
      <w:r w:rsidRPr="00150EDC">
        <w:t xml:space="preserve">available online at </w:t>
      </w:r>
      <w:hyperlink r:id="rId35">
        <w:r w:rsidRPr="007D3144">
          <w:rPr>
            <w:u w:val="single" w:color="0000FF"/>
          </w:rPr>
          <w:t>https://www.modernslaveryhelpline.org/report</w:t>
        </w:r>
      </w:hyperlink>
      <w:r w:rsidRPr="007D3144">
        <w:t xml:space="preserve"> </w:t>
      </w:r>
      <w:r w:rsidRPr="00150EDC">
        <w:t xml:space="preserve">or by telephone on 08000 121 </w:t>
      </w:r>
      <w:r w:rsidRPr="00150EDC">
        <w:rPr>
          <w:spacing w:val="-4"/>
        </w:rPr>
        <w:t>700.</w:t>
      </w:r>
    </w:p>
    <w:p w14:paraId="5F171FD1" w14:textId="77777777" w:rsidR="004C7180" w:rsidRPr="00150EDC" w:rsidRDefault="00CF0754" w:rsidP="00B320C7">
      <w:pPr>
        <w:pStyle w:val="ListParagraph"/>
        <w:numPr>
          <w:ilvl w:val="1"/>
          <w:numId w:val="97"/>
        </w:numPr>
        <w:tabs>
          <w:tab w:val="left" w:pos="2300"/>
        </w:tabs>
        <w:spacing w:before="121"/>
        <w:rPr>
          <w:sz w:val="24"/>
        </w:rPr>
      </w:pPr>
      <w:r w:rsidRPr="00150EDC">
        <w:rPr>
          <w:sz w:val="24"/>
        </w:rPr>
        <w:t>The</w:t>
      </w:r>
      <w:r w:rsidRPr="00150EDC">
        <w:rPr>
          <w:spacing w:val="-1"/>
          <w:sz w:val="24"/>
        </w:rPr>
        <w:t xml:space="preserve"> </w:t>
      </w:r>
      <w:r w:rsidRPr="00150EDC">
        <w:rPr>
          <w:spacing w:val="-2"/>
          <w:sz w:val="24"/>
        </w:rPr>
        <w:t>Supplier:</w:t>
      </w:r>
    </w:p>
    <w:p w14:paraId="152C6BD8" w14:textId="77777777" w:rsidR="004C7180" w:rsidRPr="00150EDC" w:rsidRDefault="00CF0754" w:rsidP="00B320C7">
      <w:pPr>
        <w:pStyle w:val="ListParagraph"/>
        <w:numPr>
          <w:ilvl w:val="2"/>
          <w:numId w:val="97"/>
        </w:numPr>
        <w:tabs>
          <w:tab w:val="left" w:pos="3200"/>
        </w:tabs>
        <w:spacing w:before="120"/>
        <w:ind w:left="3200" w:right="1570" w:hanging="900"/>
        <w:rPr>
          <w:sz w:val="24"/>
        </w:rPr>
      </w:pPr>
      <w:r w:rsidRPr="00150EDC">
        <w:rPr>
          <w:sz w:val="24"/>
        </w:rPr>
        <w:t>shall</w:t>
      </w:r>
      <w:r w:rsidRPr="00150EDC">
        <w:rPr>
          <w:spacing w:val="-4"/>
          <w:sz w:val="24"/>
        </w:rPr>
        <w:t xml:space="preserve"> </w:t>
      </w:r>
      <w:r w:rsidRPr="00150EDC">
        <w:rPr>
          <w:sz w:val="24"/>
        </w:rPr>
        <w:t>not</w:t>
      </w:r>
      <w:r w:rsidRPr="00150EDC">
        <w:rPr>
          <w:spacing w:val="-3"/>
          <w:sz w:val="24"/>
        </w:rPr>
        <w:t xml:space="preserve"> </w:t>
      </w:r>
      <w:r w:rsidRPr="00150EDC">
        <w:rPr>
          <w:sz w:val="24"/>
        </w:rPr>
        <w:t>use,</w:t>
      </w:r>
      <w:r w:rsidRPr="00150EDC">
        <w:rPr>
          <w:spacing w:val="-3"/>
          <w:sz w:val="24"/>
        </w:rPr>
        <w:t xml:space="preserve"> </w:t>
      </w:r>
      <w:r w:rsidRPr="00150EDC">
        <w:rPr>
          <w:sz w:val="24"/>
        </w:rPr>
        <w:t>nor</w:t>
      </w:r>
      <w:r w:rsidRPr="00150EDC">
        <w:rPr>
          <w:spacing w:val="-3"/>
          <w:sz w:val="24"/>
        </w:rPr>
        <w:t xml:space="preserve"> </w:t>
      </w:r>
      <w:r w:rsidRPr="00150EDC">
        <w:rPr>
          <w:sz w:val="24"/>
        </w:rPr>
        <w:t>allow</w:t>
      </w:r>
      <w:r w:rsidRPr="00150EDC">
        <w:rPr>
          <w:spacing w:val="-6"/>
          <w:sz w:val="24"/>
        </w:rPr>
        <w:t xml:space="preserve"> </w:t>
      </w:r>
      <w:r w:rsidRPr="00150EDC">
        <w:rPr>
          <w:sz w:val="24"/>
        </w:rPr>
        <w:t>its</w:t>
      </w:r>
      <w:r w:rsidRPr="00150EDC">
        <w:rPr>
          <w:spacing w:val="-3"/>
          <w:sz w:val="24"/>
        </w:rPr>
        <w:t xml:space="preserve"> </w:t>
      </w:r>
      <w:r w:rsidRPr="00150EDC">
        <w:rPr>
          <w:sz w:val="24"/>
        </w:rPr>
        <w:t>Subcontractors</w:t>
      </w:r>
      <w:r w:rsidRPr="00150EDC">
        <w:rPr>
          <w:spacing w:val="-3"/>
          <w:sz w:val="24"/>
        </w:rPr>
        <w:t xml:space="preserve"> </w:t>
      </w:r>
      <w:r w:rsidRPr="00150EDC">
        <w:rPr>
          <w:sz w:val="24"/>
        </w:rPr>
        <w:t>to</w:t>
      </w:r>
      <w:r w:rsidRPr="00150EDC">
        <w:rPr>
          <w:spacing w:val="-3"/>
          <w:sz w:val="24"/>
        </w:rPr>
        <w:t xml:space="preserve"> </w:t>
      </w:r>
      <w:r w:rsidRPr="00150EDC">
        <w:rPr>
          <w:sz w:val="24"/>
        </w:rPr>
        <w:t>use</w:t>
      </w:r>
      <w:r w:rsidRPr="00150EDC">
        <w:rPr>
          <w:spacing w:val="-3"/>
          <w:sz w:val="24"/>
        </w:rPr>
        <w:t xml:space="preserve"> </w:t>
      </w:r>
      <w:r w:rsidRPr="00150EDC">
        <w:rPr>
          <w:sz w:val="24"/>
        </w:rPr>
        <w:t>forced,</w:t>
      </w:r>
      <w:r w:rsidRPr="00150EDC">
        <w:rPr>
          <w:spacing w:val="-3"/>
          <w:sz w:val="24"/>
        </w:rPr>
        <w:t xml:space="preserve"> </w:t>
      </w:r>
      <w:r w:rsidRPr="00150EDC">
        <w:rPr>
          <w:sz w:val="24"/>
        </w:rPr>
        <w:t>bonded</w:t>
      </w:r>
      <w:r w:rsidRPr="00150EDC">
        <w:rPr>
          <w:spacing w:val="-5"/>
          <w:sz w:val="24"/>
        </w:rPr>
        <w:t xml:space="preserve"> </w:t>
      </w:r>
      <w:r w:rsidRPr="00150EDC">
        <w:rPr>
          <w:sz w:val="24"/>
        </w:rPr>
        <w:t>or involuntary prison labour;</w:t>
      </w:r>
    </w:p>
    <w:p w14:paraId="64320BEB" w14:textId="77777777" w:rsidR="004C7180" w:rsidRPr="00150EDC" w:rsidRDefault="00CF0754" w:rsidP="00B320C7">
      <w:pPr>
        <w:pStyle w:val="ListParagraph"/>
        <w:numPr>
          <w:ilvl w:val="2"/>
          <w:numId w:val="97"/>
        </w:numPr>
        <w:tabs>
          <w:tab w:val="left" w:pos="3200"/>
        </w:tabs>
        <w:spacing w:before="120"/>
        <w:ind w:left="3200" w:right="1677" w:hanging="900"/>
        <w:rPr>
          <w:sz w:val="24"/>
        </w:rPr>
      </w:pPr>
      <w:r w:rsidRPr="00150EDC">
        <w:rPr>
          <w:sz w:val="24"/>
        </w:rPr>
        <w:t>shall</w:t>
      </w:r>
      <w:r w:rsidRPr="00150EDC">
        <w:rPr>
          <w:spacing w:val="-5"/>
          <w:sz w:val="24"/>
        </w:rPr>
        <w:t xml:space="preserve"> </w:t>
      </w:r>
      <w:r w:rsidRPr="00150EDC">
        <w:rPr>
          <w:sz w:val="24"/>
        </w:rPr>
        <w:t>not</w:t>
      </w:r>
      <w:r w:rsidRPr="00150EDC">
        <w:rPr>
          <w:spacing w:val="-4"/>
          <w:sz w:val="24"/>
        </w:rPr>
        <w:t xml:space="preserve"> </w:t>
      </w:r>
      <w:r w:rsidRPr="00150EDC">
        <w:rPr>
          <w:sz w:val="24"/>
        </w:rPr>
        <w:t>require</w:t>
      </w:r>
      <w:r w:rsidRPr="00150EDC">
        <w:rPr>
          <w:spacing w:val="-4"/>
          <w:sz w:val="24"/>
        </w:rPr>
        <w:t xml:space="preserve"> </w:t>
      </w:r>
      <w:r w:rsidRPr="00150EDC">
        <w:rPr>
          <w:sz w:val="24"/>
        </w:rPr>
        <w:t>any</w:t>
      </w:r>
      <w:r w:rsidRPr="00150EDC">
        <w:rPr>
          <w:spacing w:val="-6"/>
          <w:sz w:val="24"/>
        </w:rPr>
        <w:t xml:space="preserve"> </w:t>
      </w:r>
      <w:r w:rsidRPr="00150EDC">
        <w:rPr>
          <w:sz w:val="24"/>
        </w:rPr>
        <w:t>Supplier</w:t>
      </w:r>
      <w:r w:rsidRPr="00150EDC">
        <w:rPr>
          <w:spacing w:val="-4"/>
          <w:sz w:val="24"/>
        </w:rPr>
        <w:t xml:space="preserve"> </w:t>
      </w:r>
      <w:r w:rsidRPr="00150EDC">
        <w:rPr>
          <w:sz w:val="24"/>
        </w:rPr>
        <w:t>Staff</w:t>
      </w:r>
      <w:r w:rsidRPr="00150EDC">
        <w:rPr>
          <w:spacing w:val="-6"/>
          <w:sz w:val="24"/>
        </w:rPr>
        <w:t xml:space="preserve"> </w:t>
      </w:r>
      <w:r w:rsidRPr="00150EDC">
        <w:rPr>
          <w:sz w:val="24"/>
        </w:rPr>
        <w:t>or</w:t>
      </w:r>
      <w:r w:rsidRPr="00150EDC">
        <w:rPr>
          <w:spacing w:val="-4"/>
          <w:sz w:val="24"/>
        </w:rPr>
        <w:t xml:space="preserve"> </w:t>
      </w:r>
      <w:r w:rsidRPr="00150EDC">
        <w:rPr>
          <w:sz w:val="24"/>
        </w:rPr>
        <w:t>Subcontractor</w:t>
      </w:r>
      <w:r w:rsidRPr="00150EDC">
        <w:rPr>
          <w:spacing w:val="-4"/>
          <w:sz w:val="24"/>
        </w:rPr>
        <w:t xml:space="preserve"> </w:t>
      </w:r>
      <w:r w:rsidRPr="00150EDC">
        <w:rPr>
          <w:sz w:val="24"/>
        </w:rPr>
        <w:t>Staff</w:t>
      </w:r>
      <w:r w:rsidRPr="00150EDC">
        <w:rPr>
          <w:spacing w:val="-6"/>
          <w:sz w:val="24"/>
        </w:rPr>
        <w:t xml:space="preserve"> </w:t>
      </w:r>
      <w:r w:rsidRPr="00150EDC">
        <w:rPr>
          <w:sz w:val="24"/>
        </w:rPr>
        <w:t>to</w:t>
      </w:r>
      <w:r w:rsidRPr="00150EDC">
        <w:rPr>
          <w:spacing w:val="-3"/>
          <w:sz w:val="24"/>
        </w:rPr>
        <w:t xml:space="preserve"> </w:t>
      </w:r>
      <w:r w:rsidRPr="00150EDC">
        <w:rPr>
          <w:sz w:val="24"/>
        </w:rPr>
        <w:t>lodge deposits or identify papers with the Employer and shall be free to leave their employer after reasonable notice;</w:t>
      </w:r>
    </w:p>
    <w:p w14:paraId="6F001707" w14:textId="77777777" w:rsidR="004C7180" w:rsidRPr="00150EDC" w:rsidRDefault="00CF0754" w:rsidP="00B320C7">
      <w:pPr>
        <w:pStyle w:val="ListParagraph"/>
        <w:numPr>
          <w:ilvl w:val="2"/>
          <w:numId w:val="97"/>
        </w:numPr>
        <w:tabs>
          <w:tab w:val="left" w:pos="3200"/>
        </w:tabs>
        <w:spacing w:before="120"/>
        <w:ind w:left="3200" w:right="1731" w:hanging="900"/>
        <w:rPr>
          <w:sz w:val="24"/>
        </w:rPr>
      </w:pPr>
      <w:r w:rsidRPr="00150EDC">
        <w:rPr>
          <w:sz w:val="24"/>
        </w:rPr>
        <w:t>warrants and represents that it has not been convicted of any slavery</w:t>
      </w:r>
      <w:r w:rsidRPr="00150EDC">
        <w:rPr>
          <w:spacing w:val="-5"/>
          <w:sz w:val="24"/>
        </w:rPr>
        <w:t xml:space="preserve"> </w:t>
      </w:r>
      <w:r w:rsidRPr="00150EDC">
        <w:rPr>
          <w:sz w:val="24"/>
        </w:rPr>
        <w:t>or</w:t>
      </w:r>
      <w:r w:rsidRPr="00150EDC">
        <w:rPr>
          <w:spacing w:val="-5"/>
          <w:sz w:val="24"/>
        </w:rPr>
        <w:t xml:space="preserve"> </w:t>
      </w:r>
      <w:r w:rsidRPr="00150EDC">
        <w:rPr>
          <w:sz w:val="24"/>
        </w:rPr>
        <w:t>human</w:t>
      </w:r>
      <w:r w:rsidRPr="00150EDC">
        <w:rPr>
          <w:spacing w:val="-5"/>
          <w:sz w:val="24"/>
        </w:rPr>
        <w:t xml:space="preserve"> </w:t>
      </w:r>
      <w:r w:rsidRPr="00150EDC">
        <w:rPr>
          <w:sz w:val="24"/>
        </w:rPr>
        <w:t>trafficking</w:t>
      </w:r>
      <w:r w:rsidRPr="00150EDC">
        <w:rPr>
          <w:spacing w:val="-4"/>
          <w:sz w:val="24"/>
        </w:rPr>
        <w:t xml:space="preserve"> </w:t>
      </w:r>
      <w:r w:rsidRPr="00150EDC">
        <w:rPr>
          <w:sz w:val="24"/>
        </w:rPr>
        <w:t>offences</w:t>
      </w:r>
      <w:r w:rsidRPr="00150EDC">
        <w:rPr>
          <w:spacing w:val="-5"/>
          <w:sz w:val="24"/>
        </w:rPr>
        <w:t xml:space="preserve"> </w:t>
      </w:r>
      <w:r w:rsidRPr="00150EDC">
        <w:rPr>
          <w:sz w:val="24"/>
        </w:rPr>
        <w:t>anywhere</w:t>
      </w:r>
      <w:r w:rsidRPr="00150EDC">
        <w:rPr>
          <w:spacing w:val="-5"/>
          <w:sz w:val="24"/>
        </w:rPr>
        <w:t xml:space="preserve"> </w:t>
      </w:r>
      <w:r w:rsidRPr="00150EDC">
        <w:rPr>
          <w:sz w:val="24"/>
        </w:rPr>
        <w:t>around</w:t>
      </w:r>
      <w:r w:rsidRPr="00150EDC">
        <w:rPr>
          <w:spacing w:val="-5"/>
          <w:sz w:val="24"/>
        </w:rPr>
        <w:t xml:space="preserve"> </w:t>
      </w:r>
      <w:r w:rsidRPr="00150EDC">
        <w:rPr>
          <w:sz w:val="24"/>
        </w:rPr>
        <w:t>the</w:t>
      </w:r>
      <w:r w:rsidRPr="00150EDC">
        <w:rPr>
          <w:spacing w:val="-5"/>
          <w:sz w:val="24"/>
        </w:rPr>
        <w:t xml:space="preserve"> </w:t>
      </w:r>
      <w:r w:rsidRPr="00150EDC">
        <w:rPr>
          <w:sz w:val="24"/>
        </w:rPr>
        <w:t>world.</w:t>
      </w:r>
    </w:p>
    <w:p w14:paraId="71804D85" w14:textId="77777777" w:rsidR="004C7180" w:rsidRPr="00150EDC" w:rsidRDefault="004C7180">
      <w:pPr>
        <w:rPr>
          <w:sz w:val="24"/>
        </w:rPr>
        <w:sectPr w:rsidR="004C7180" w:rsidRPr="00150EDC">
          <w:headerReference w:type="default" r:id="rId36"/>
          <w:footerReference w:type="default" r:id="rId37"/>
          <w:pgSz w:w="11910" w:h="16840"/>
          <w:pgMar w:top="1160" w:right="0" w:bottom="1460" w:left="40" w:header="715" w:footer="1260" w:gutter="0"/>
          <w:cols w:space="720"/>
        </w:sectPr>
      </w:pPr>
    </w:p>
    <w:p w14:paraId="622AC965" w14:textId="77777777" w:rsidR="004C7180" w:rsidRPr="00150EDC" w:rsidRDefault="004C7180">
      <w:pPr>
        <w:pStyle w:val="BodyText"/>
        <w:spacing w:before="8"/>
        <w:rPr>
          <w:sz w:val="15"/>
        </w:rPr>
      </w:pPr>
    </w:p>
    <w:p w14:paraId="1E7D1F0E" w14:textId="77777777" w:rsidR="004C7180" w:rsidRPr="00150EDC" w:rsidRDefault="00CF0754" w:rsidP="00B320C7">
      <w:pPr>
        <w:pStyle w:val="ListParagraph"/>
        <w:numPr>
          <w:ilvl w:val="2"/>
          <w:numId w:val="97"/>
        </w:numPr>
        <w:tabs>
          <w:tab w:val="left" w:pos="3200"/>
        </w:tabs>
        <w:spacing w:before="92"/>
        <w:ind w:left="3200" w:right="1475" w:hanging="900"/>
        <w:rPr>
          <w:sz w:val="24"/>
        </w:rPr>
      </w:pPr>
      <w:r w:rsidRPr="00150EDC">
        <w:rPr>
          <w:sz w:val="24"/>
        </w:rPr>
        <w:t>warrants that to the best of its knowledge it is not currently under investigation, inquiry or enforcement proceedings in relation to any allegation</w:t>
      </w:r>
      <w:r w:rsidRPr="00150EDC">
        <w:rPr>
          <w:spacing w:val="-4"/>
          <w:sz w:val="24"/>
        </w:rPr>
        <w:t xml:space="preserve"> </w:t>
      </w:r>
      <w:r w:rsidRPr="00150EDC">
        <w:rPr>
          <w:sz w:val="24"/>
        </w:rPr>
        <w:t>of</w:t>
      </w:r>
      <w:r w:rsidRPr="00150EDC">
        <w:rPr>
          <w:spacing w:val="-4"/>
          <w:sz w:val="24"/>
        </w:rPr>
        <w:t xml:space="preserve"> </w:t>
      </w:r>
      <w:r w:rsidRPr="00150EDC">
        <w:rPr>
          <w:sz w:val="24"/>
        </w:rPr>
        <w:t>slavery</w:t>
      </w:r>
      <w:r w:rsidRPr="00150EDC">
        <w:rPr>
          <w:spacing w:val="-7"/>
          <w:sz w:val="24"/>
        </w:rPr>
        <w:t xml:space="preserve"> </w:t>
      </w:r>
      <w:r w:rsidRPr="00150EDC">
        <w:rPr>
          <w:sz w:val="24"/>
        </w:rPr>
        <w:t>or</w:t>
      </w:r>
      <w:r w:rsidRPr="00150EDC">
        <w:rPr>
          <w:spacing w:val="-4"/>
          <w:sz w:val="24"/>
        </w:rPr>
        <w:t xml:space="preserve"> </w:t>
      </w:r>
      <w:r w:rsidRPr="00150EDC">
        <w:rPr>
          <w:sz w:val="24"/>
        </w:rPr>
        <w:t>human</w:t>
      </w:r>
      <w:r w:rsidRPr="00150EDC">
        <w:rPr>
          <w:spacing w:val="-6"/>
          <w:sz w:val="24"/>
        </w:rPr>
        <w:t xml:space="preserve"> </w:t>
      </w:r>
      <w:r w:rsidRPr="00150EDC">
        <w:rPr>
          <w:sz w:val="24"/>
        </w:rPr>
        <w:t>trafficking</w:t>
      </w:r>
      <w:r w:rsidRPr="00150EDC">
        <w:rPr>
          <w:spacing w:val="-4"/>
          <w:sz w:val="24"/>
        </w:rPr>
        <w:t xml:space="preserve"> </w:t>
      </w:r>
      <w:r w:rsidRPr="00150EDC">
        <w:rPr>
          <w:sz w:val="24"/>
        </w:rPr>
        <w:t>offences</w:t>
      </w:r>
      <w:r w:rsidRPr="00150EDC">
        <w:rPr>
          <w:spacing w:val="-4"/>
          <w:sz w:val="24"/>
        </w:rPr>
        <w:t xml:space="preserve"> </w:t>
      </w:r>
      <w:r w:rsidRPr="00150EDC">
        <w:rPr>
          <w:sz w:val="24"/>
        </w:rPr>
        <w:t>anywhere</w:t>
      </w:r>
      <w:r w:rsidRPr="00150EDC">
        <w:rPr>
          <w:spacing w:val="-7"/>
          <w:sz w:val="24"/>
        </w:rPr>
        <w:t xml:space="preserve"> </w:t>
      </w:r>
      <w:r w:rsidRPr="00150EDC">
        <w:rPr>
          <w:sz w:val="24"/>
        </w:rPr>
        <w:t>around the world.</w:t>
      </w:r>
    </w:p>
    <w:p w14:paraId="411D1D20" w14:textId="77777777" w:rsidR="004C7180" w:rsidRPr="00150EDC" w:rsidRDefault="00CF0754" w:rsidP="00B320C7">
      <w:pPr>
        <w:pStyle w:val="ListParagraph"/>
        <w:numPr>
          <w:ilvl w:val="2"/>
          <w:numId w:val="97"/>
        </w:numPr>
        <w:tabs>
          <w:tab w:val="left" w:pos="3200"/>
        </w:tabs>
        <w:spacing w:before="120"/>
        <w:ind w:left="3200" w:right="1596" w:hanging="900"/>
        <w:rPr>
          <w:sz w:val="24"/>
        </w:rPr>
      </w:pPr>
      <w:r w:rsidRPr="00150EDC">
        <w:rPr>
          <w:sz w:val="24"/>
        </w:rPr>
        <w:t>shall make reasonable enquires to ensure that its officers, employees</w:t>
      </w:r>
      <w:r w:rsidRPr="00150EDC">
        <w:rPr>
          <w:spacing w:val="-7"/>
          <w:sz w:val="24"/>
        </w:rPr>
        <w:t xml:space="preserve"> </w:t>
      </w:r>
      <w:r w:rsidRPr="00150EDC">
        <w:rPr>
          <w:sz w:val="24"/>
        </w:rPr>
        <w:t>and</w:t>
      </w:r>
      <w:r w:rsidRPr="00150EDC">
        <w:rPr>
          <w:spacing w:val="-4"/>
          <w:sz w:val="24"/>
        </w:rPr>
        <w:t xml:space="preserve"> </w:t>
      </w:r>
      <w:r w:rsidRPr="00150EDC">
        <w:rPr>
          <w:sz w:val="24"/>
        </w:rPr>
        <w:t>Subcontractors</w:t>
      </w:r>
      <w:r w:rsidRPr="00150EDC">
        <w:rPr>
          <w:spacing w:val="-7"/>
          <w:sz w:val="24"/>
        </w:rPr>
        <w:t xml:space="preserve"> </w:t>
      </w:r>
      <w:r w:rsidRPr="00150EDC">
        <w:rPr>
          <w:sz w:val="24"/>
        </w:rPr>
        <w:t>have</w:t>
      </w:r>
      <w:r w:rsidRPr="00150EDC">
        <w:rPr>
          <w:spacing w:val="-6"/>
          <w:sz w:val="24"/>
        </w:rPr>
        <w:t xml:space="preserve"> </w:t>
      </w:r>
      <w:r w:rsidRPr="00150EDC">
        <w:rPr>
          <w:sz w:val="24"/>
        </w:rPr>
        <w:t>not</w:t>
      </w:r>
      <w:r w:rsidRPr="00150EDC">
        <w:rPr>
          <w:spacing w:val="-6"/>
          <w:sz w:val="24"/>
        </w:rPr>
        <w:t xml:space="preserve"> </w:t>
      </w:r>
      <w:r w:rsidRPr="00150EDC">
        <w:rPr>
          <w:sz w:val="24"/>
        </w:rPr>
        <w:t>been</w:t>
      </w:r>
      <w:r w:rsidRPr="00150EDC">
        <w:rPr>
          <w:spacing w:val="-4"/>
          <w:sz w:val="24"/>
        </w:rPr>
        <w:t xml:space="preserve"> </w:t>
      </w:r>
      <w:r w:rsidRPr="00150EDC">
        <w:rPr>
          <w:sz w:val="24"/>
        </w:rPr>
        <w:t>convicted</w:t>
      </w:r>
      <w:r w:rsidRPr="00150EDC">
        <w:rPr>
          <w:spacing w:val="-6"/>
          <w:sz w:val="24"/>
        </w:rPr>
        <w:t xml:space="preserve"> </w:t>
      </w:r>
      <w:r w:rsidRPr="00150EDC">
        <w:rPr>
          <w:sz w:val="24"/>
        </w:rPr>
        <w:t>of</w:t>
      </w:r>
      <w:r w:rsidRPr="00150EDC">
        <w:rPr>
          <w:spacing w:val="-4"/>
          <w:sz w:val="24"/>
        </w:rPr>
        <w:t xml:space="preserve"> </w:t>
      </w:r>
      <w:r w:rsidRPr="00150EDC">
        <w:rPr>
          <w:sz w:val="24"/>
        </w:rPr>
        <w:t>slavery or human trafficking offences anywhere around the world.</w:t>
      </w:r>
    </w:p>
    <w:p w14:paraId="14F32194" w14:textId="77777777" w:rsidR="004C7180" w:rsidRPr="00150EDC" w:rsidRDefault="00CF0754" w:rsidP="00B320C7">
      <w:pPr>
        <w:pStyle w:val="ListParagraph"/>
        <w:numPr>
          <w:ilvl w:val="2"/>
          <w:numId w:val="97"/>
        </w:numPr>
        <w:tabs>
          <w:tab w:val="left" w:pos="3200"/>
        </w:tabs>
        <w:spacing w:before="120"/>
        <w:ind w:left="3200" w:right="1850" w:hanging="900"/>
        <w:rPr>
          <w:sz w:val="24"/>
        </w:rPr>
      </w:pPr>
      <w:r w:rsidRPr="00150EDC">
        <w:rPr>
          <w:sz w:val="24"/>
        </w:rPr>
        <w:t>shall</w:t>
      </w:r>
      <w:r w:rsidRPr="00150EDC">
        <w:rPr>
          <w:spacing w:val="-5"/>
          <w:sz w:val="24"/>
        </w:rPr>
        <w:t xml:space="preserve"> </w:t>
      </w:r>
      <w:r w:rsidRPr="00150EDC">
        <w:rPr>
          <w:sz w:val="24"/>
        </w:rPr>
        <w:t>have</w:t>
      </w:r>
      <w:r w:rsidRPr="00150EDC">
        <w:rPr>
          <w:spacing w:val="-4"/>
          <w:sz w:val="24"/>
        </w:rPr>
        <w:t xml:space="preserve"> </w:t>
      </w:r>
      <w:r w:rsidRPr="00150EDC">
        <w:rPr>
          <w:sz w:val="24"/>
        </w:rPr>
        <w:t>and</w:t>
      </w:r>
      <w:r w:rsidRPr="00150EDC">
        <w:rPr>
          <w:spacing w:val="-6"/>
          <w:sz w:val="24"/>
        </w:rPr>
        <w:t xml:space="preserve"> </w:t>
      </w:r>
      <w:r w:rsidRPr="00150EDC">
        <w:rPr>
          <w:sz w:val="24"/>
        </w:rPr>
        <w:t>maintain</w:t>
      </w:r>
      <w:r w:rsidRPr="00150EDC">
        <w:rPr>
          <w:spacing w:val="-4"/>
          <w:sz w:val="24"/>
        </w:rPr>
        <w:t xml:space="preserve"> </w:t>
      </w:r>
      <w:r w:rsidRPr="00150EDC">
        <w:rPr>
          <w:sz w:val="24"/>
        </w:rPr>
        <w:t>throughout</w:t>
      </w:r>
      <w:r w:rsidRPr="00150EDC">
        <w:rPr>
          <w:spacing w:val="-6"/>
          <w:sz w:val="24"/>
        </w:rPr>
        <w:t xml:space="preserve"> </w:t>
      </w:r>
      <w:r w:rsidRPr="00150EDC">
        <w:rPr>
          <w:sz w:val="24"/>
        </w:rPr>
        <w:t>the</w:t>
      </w:r>
      <w:r w:rsidRPr="00150EDC">
        <w:rPr>
          <w:spacing w:val="-4"/>
          <w:sz w:val="24"/>
        </w:rPr>
        <w:t xml:space="preserve"> </w:t>
      </w:r>
      <w:r w:rsidRPr="00150EDC">
        <w:rPr>
          <w:sz w:val="24"/>
        </w:rPr>
        <w:t>term</w:t>
      </w:r>
      <w:r w:rsidRPr="00150EDC">
        <w:rPr>
          <w:spacing w:val="-5"/>
          <w:sz w:val="24"/>
        </w:rPr>
        <w:t xml:space="preserve"> </w:t>
      </w:r>
      <w:r w:rsidRPr="00150EDC">
        <w:rPr>
          <w:sz w:val="24"/>
        </w:rPr>
        <w:t>of</w:t>
      </w:r>
      <w:r w:rsidRPr="00150EDC">
        <w:rPr>
          <w:spacing w:val="-4"/>
          <w:sz w:val="24"/>
        </w:rPr>
        <w:t xml:space="preserve"> </w:t>
      </w:r>
      <w:r w:rsidRPr="00150EDC">
        <w:rPr>
          <w:sz w:val="24"/>
        </w:rPr>
        <w:t>each</w:t>
      </w:r>
      <w:r w:rsidRPr="00150EDC">
        <w:rPr>
          <w:spacing w:val="-4"/>
          <w:sz w:val="24"/>
        </w:rPr>
        <w:t xml:space="preserve"> </w:t>
      </w:r>
      <w:r w:rsidRPr="00150EDC">
        <w:rPr>
          <w:sz w:val="24"/>
        </w:rPr>
        <w:t>Contract</w:t>
      </w:r>
      <w:r w:rsidRPr="00150EDC">
        <w:rPr>
          <w:spacing w:val="-4"/>
          <w:sz w:val="24"/>
        </w:rPr>
        <w:t xml:space="preserve"> </w:t>
      </w:r>
      <w:r w:rsidRPr="00150EDC">
        <w:rPr>
          <w:sz w:val="24"/>
        </w:rPr>
        <w:t>its own policies and procedures to ensure its compliance with the Modern Slavery Act and include in its contracts with its Subcontractors anti-slavery and human trafficking provisions;</w:t>
      </w:r>
    </w:p>
    <w:p w14:paraId="4E5BF325" w14:textId="77777777" w:rsidR="004C7180" w:rsidRPr="00150EDC" w:rsidRDefault="00CF0754" w:rsidP="00B320C7">
      <w:pPr>
        <w:pStyle w:val="ListParagraph"/>
        <w:numPr>
          <w:ilvl w:val="2"/>
          <w:numId w:val="97"/>
        </w:numPr>
        <w:tabs>
          <w:tab w:val="left" w:pos="3200"/>
        </w:tabs>
        <w:spacing w:before="121"/>
        <w:ind w:left="3200" w:right="1529" w:hanging="900"/>
        <w:rPr>
          <w:sz w:val="24"/>
        </w:rPr>
      </w:pPr>
      <w:r w:rsidRPr="00150EDC">
        <w:rPr>
          <w:sz w:val="24"/>
        </w:rPr>
        <w:t>shall</w:t>
      </w:r>
      <w:r w:rsidRPr="00150EDC">
        <w:rPr>
          <w:spacing w:val="-4"/>
          <w:sz w:val="24"/>
        </w:rPr>
        <w:t xml:space="preserve"> </w:t>
      </w:r>
      <w:r w:rsidRPr="00150EDC">
        <w:rPr>
          <w:sz w:val="24"/>
        </w:rPr>
        <w:t>implement</w:t>
      </w:r>
      <w:r w:rsidRPr="00150EDC">
        <w:rPr>
          <w:spacing w:val="-5"/>
          <w:sz w:val="24"/>
        </w:rPr>
        <w:t xml:space="preserve"> </w:t>
      </w:r>
      <w:r w:rsidRPr="00150EDC">
        <w:rPr>
          <w:sz w:val="24"/>
        </w:rPr>
        <w:t>due</w:t>
      </w:r>
      <w:r w:rsidRPr="00150EDC">
        <w:rPr>
          <w:spacing w:val="-3"/>
          <w:sz w:val="24"/>
        </w:rPr>
        <w:t xml:space="preserve"> </w:t>
      </w:r>
      <w:r w:rsidRPr="00150EDC">
        <w:rPr>
          <w:sz w:val="24"/>
        </w:rPr>
        <w:t>diligence</w:t>
      </w:r>
      <w:r w:rsidRPr="00150EDC">
        <w:rPr>
          <w:spacing w:val="-5"/>
          <w:sz w:val="24"/>
        </w:rPr>
        <w:t xml:space="preserve"> </w:t>
      </w:r>
      <w:r w:rsidRPr="00150EDC">
        <w:rPr>
          <w:sz w:val="24"/>
        </w:rPr>
        <w:t>procedures</w:t>
      </w:r>
      <w:r w:rsidRPr="00150EDC">
        <w:rPr>
          <w:spacing w:val="-5"/>
          <w:sz w:val="24"/>
        </w:rPr>
        <w:t xml:space="preserve"> </w:t>
      </w:r>
      <w:r w:rsidRPr="00150EDC">
        <w:rPr>
          <w:sz w:val="24"/>
        </w:rPr>
        <w:t>to</w:t>
      </w:r>
      <w:r w:rsidRPr="00150EDC">
        <w:rPr>
          <w:spacing w:val="-4"/>
          <w:sz w:val="24"/>
        </w:rPr>
        <w:t xml:space="preserve"> </w:t>
      </w:r>
      <w:r w:rsidRPr="00150EDC">
        <w:rPr>
          <w:sz w:val="24"/>
        </w:rPr>
        <w:t>ensure</w:t>
      </w:r>
      <w:r w:rsidRPr="00150EDC">
        <w:rPr>
          <w:spacing w:val="-3"/>
          <w:sz w:val="24"/>
        </w:rPr>
        <w:t xml:space="preserve"> </w:t>
      </w:r>
      <w:r w:rsidRPr="00150EDC">
        <w:rPr>
          <w:sz w:val="24"/>
        </w:rPr>
        <w:t>that</w:t>
      </w:r>
      <w:r w:rsidRPr="00150EDC">
        <w:rPr>
          <w:spacing w:val="-5"/>
          <w:sz w:val="24"/>
        </w:rPr>
        <w:t xml:space="preserve"> </w:t>
      </w:r>
      <w:r w:rsidRPr="00150EDC">
        <w:rPr>
          <w:sz w:val="24"/>
        </w:rPr>
        <w:t>there</w:t>
      </w:r>
      <w:r w:rsidRPr="00150EDC">
        <w:rPr>
          <w:spacing w:val="-3"/>
          <w:sz w:val="24"/>
        </w:rPr>
        <w:t xml:space="preserve"> </w:t>
      </w:r>
      <w:r w:rsidRPr="00150EDC">
        <w:rPr>
          <w:sz w:val="24"/>
        </w:rPr>
        <w:t>is</w:t>
      </w:r>
      <w:r w:rsidRPr="00150EDC">
        <w:rPr>
          <w:spacing w:val="-3"/>
          <w:sz w:val="24"/>
        </w:rPr>
        <w:t xml:space="preserve"> </w:t>
      </w:r>
      <w:r w:rsidRPr="00150EDC">
        <w:rPr>
          <w:sz w:val="24"/>
        </w:rPr>
        <w:t>no slavery or human trafficking in any part of its supply chain performing obligations under a Contract;</w:t>
      </w:r>
    </w:p>
    <w:p w14:paraId="388BBE1D" w14:textId="77777777" w:rsidR="004C7180" w:rsidRPr="00150EDC" w:rsidRDefault="00CF0754" w:rsidP="00B320C7">
      <w:pPr>
        <w:pStyle w:val="ListParagraph"/>
        <w:numPr>
          <w:ilvl w:val="2"/>
          <w:numId w:val="97"/>
        </w:numPr>
        <w:tabs>
          <w:tab w:val="left" w:pos="3200"/>
        </w:tabs>
        <w:spacing w:before="120"/>
        <w:ind w:left="3200" w:right="1516" w:hanging="900"/>
        <w:rPr>
          <w:sz w:val="24"/>
        </w:rPr>
      </w:pPr>
      <w:r w:rsidRPr="00150EDC">
        <w:rPr>
          <w:sz w:val="24"/>
        </w:rPr>
        <w:t>shall prepare and deliver to CCS, an annual slavery and human trafficking report setting out the steps it has taken to ensure that slavery</w:t>
      </w:r>
      <w:r w:rsidRPr="00150EDC">
        <w:rPr>
          <w:spacing w:val="-4"/>
          <w:sz w:val="24"/>
        </w:rPr>
        <w:t xml:space="preserve"> </w:t>
      </w:r>
      <w:r w:rsidRPr="00150EDC">
        <w:rPr>
          <w:sz w:val="24"/>
        </w:rPr>
        <w:t>and</w:t>
      </w:r>
      <w:r w:rsidRPr="00150EDC">
        <w:rPr>
          <w:spacing w:val="-4"/>
          <w:sz w:val="24"/>
        </w:rPr>
        <w:t xml:space="preserve"> </w:t>
      </w:r>
      <w:r w:rsidRPr="00150EDC">
        <w:rPr>
          <w:sz w:val="24"/>
        </w:rPr>
        <w:t>human</w:t>
      </w:r>
      <w:r w:rsidRPr="00150EDC">
        <w:rPr>
          <w:spacing w:val="-4"/>
          <w:sz w:val="24"/>
        </w:rPr>
        <w:t xml:space="preserve"> </w:t>
      </w:r>
      <w:r w:rsidRPr="00150EDC">
        <w:rPr>
          <w:sz w:val="24"/>
        </w:rPr>
        <w:t>trafficking</w:t>
      </w:r>
      <w:r w:rsidRPr="00150EDC">
        <w:rPr>
          <w:spacing w:val="-3"/>
          <w:sz w:val="24"/>
        </w:rPr>
        <w:t xml:space="preserve"> </w:t>
      </w:r>
      <w:r w:rsidRPr="00150EDC">
        <w:rPr>
          <w:sz w:val="24"/>
        </w:rPr>
        <w:t>is</w:t>
      </w:r>
      <w:r w:rsidRPr="00150EDC">
        <w:rPr>
          <w:spacing w:val="-4"/>
          <w:sz w:val="24"/>
        </w:rPr>
        <w:t xml:space="preserve"> </w:t>
      </w:r>
      <w:r w:rsidRPr="00150EDC">
        <w:rPr>
          <w:sz w:val="24"/>
        </w:rPr>
        <w:t>not</w:t>
      </w:r>
      <w:r w:rsidRPr="00150EDC">
        <w:rPr>
          <w:spacing w:val="-4"/>
          <w:sz w:val="24"/>
        </w:rPr>
        <w:t xml:space="preserve"> </w:t>
      </w:r>
      <w:r w:rsidRPr="00150EDC">
        <w:rPr>
          <w:sz w:val="24"/>
        </w:rPr>
        <w:t>taking</w:t>
      </w:r>
      <w:r w:rsidRPr="00150EDC">
        <w:rPr>
          <w:spacing w:val="-4"/>
          <w:sz w:val="24"/>
        </w:rPr>
        <w:t xml:space="preserve"> </w:t>
      </w:r>
      <w:r w:rsidRPr="00150EDC">
        <w:rPr>
          <w:sz w:val="24"/>
        </w:rPr>
        <w:t>place</w:t>
      </w:r>
      <w:r w:rsidRPr="00150EDC">
        <w:rPr>
          <w:spacing w:val="-4"/>
          <w:sz w:val="24"/>
        </w:rPr>
        <w:t xml:space="preserve"> </w:t>
      </w:r>
      <w:r w:rsidRPr="00150EDC">
        <w:rPr>
          <w:sz w:val="24"/>
        </w:rPr>
        <w:t>in</w:t>
      </w:r>
      <w:r w:rsidRPr="00150EDC">
        <w:rPr>
          <w:spacing w:val="-4"/>
          <w:sz w:val="24"/>
        </w:rPr>
        <w:t xml:space="preserve"> </w:t>
      </w:r>
      <w:r w:rsidRPr="00150EDC">
        <w:rPr>
          <w:sz w:val="24"/>
        </w:rPr>
        <w:t>any</w:t>
      </w:r>
      <w:r w:rsidRPr="00150EDC">
        <w:rPr>
          <w:spacing w:val="-4"/>
          <w:sz w:val="24"/>
        </w:rPr>
        <w:t xml:space="preserve"> </w:t>
      </w:r>
      <w:r w:rsidRPr="00150EDC">
        <w:rPr>
          <w:sz w:val="24"/>
        </w:rPr>
        <w:t>of</w:t>
      </w:r>
      <w:r w:rsidRPr="00150EDC">
        <w:rPr>
          <w:spacing w:val="-4"/>
          <w:sz w:val="24"/>
        </w:rPr>
        <w:t xml:space="preserve"> </w:t>
      </w:r>
      <w:r w:rsidRPr="00150EDC">
        <w:rPr>
          <w:sz w:val="24"/>
        </w:rPr>
        <w:t>its</w:t>
      </w:r>
      <w:r w:rsidRPr="00150EDC">
        <w:rPr>
          <w:spacing w:val="-4"/>
          <w:sz w:val="24"/>
        </w:rPr>
        <w:t xml:space="preserve"> </w:t>
      </w:r>
      <w:r w:rsidRPr="00150EDC">
        <w:rPr>
          <w:sz w:val="24"/>
        </w:rPr>
        <w:t>supply chains or in any part of its business with its annual certification of compliance with Paragraph 3;</w:t>
      </w:r>
    </w:p>
    <w:p w14:paraId="6409390C" w14:textId="77777777" w:rsidR="004C7180" w:rsidRPr="00150EDC" w:rsidRDefault="00CF0754" w:rsidP="00B320C7">
      <w:pPr>
        <w:pStyle w:val="ListParagraph"/>
        <w:numPr>
          <w:ilvl w:val="2"/>
          <w:numId w:val="97"/>
        </w:numPr>
        <w:tabs>
          <w:tab w:val="left" w:pos="3200"/>
        </w:tabs>
        <w:spacing w:before="120"/>
        <w:ind w:left="3200" w:right="1516" w:hanging="900"/>
        <w:rPr>
          <w:sz w:val="24"/>
        </w:rPr>
      </w:pPr>
      <w:r w:rsidRPr="00150EDC">
        <w:rPr>
          <w:sz w:val="24"/>
        </w:rPr>
        <w:t>shall not use, nor allow its employees or Subcontractors to use physical abuse or discipline, the threat of physical abuse, sexual</w:t>
      </w:r>
      <w:r w:rsidRPr="00150EDC">
        <w:rPr>
          <w:spacing w:val="-1"/>
          <w:sz w:val="24"/>
        </w:rPr>
        <w:t xml:space="preserve"> </w:t>
      </w:r>
      <w:r w:rsidRPr="00150EDC">
        <w:rPr>
          <w:sz w:val="24"/>
        </w:rPr>
        <w:t>or other</w:t>
      </w:r>
      <w:r w:rsidRPr="00150EDC">
        <w:rPr>
          <w:spacing w:val="-6"/>
          <w:sz w:val="24"/>
        </w:rPr>
        <w:t xml:space="preserve"> </w:t>
      </w:r>
      <w:r w:rsidRPr="00150EDC">
        <w:rPr>
          <w:sz w:val="24"/>
        </w:rPr>
        <w:t>harassment</w:t>
      </w:r>
      <w:r w:rsidRPr="00150EDC">
        <w:rPr>
          <w:spacing w:val="-3"/>
          <w:sz w:val="24"/>
        </w:rPr>
        <w:t xml:space="preserve"> </w:t>
      </w:r>
      <w:r w:rsidRPr="00150EDC">
        <w:rPr>
          <w:sz w:val="24"/>
        </w:rPr>
        <w:t>and</w:t>
      </w:r>
      <w:r w:rsidRPr="00150EDC">
        <w:rPr>
          <w:spacing w:val="-5"/>
          <w:sz w:val="24"/>
        </w:rPr>
        <w:t xml:space="preserve"> </w:t>
      </w:r>
      <w:r w:rsidRPr="00150EDC">
        <w:rPr>
          <w:sz w:val="24"/>
        </w:rPr>
        <w:t>verbal</w:t>
      </w:r>
      <w:r w:rsidRPr="00150EDC">
        <w:rPr>
          <w:spacing w:val="-3"/>
          <w:sz w:val="24"/>
        </w:rPr>
        <w:t xml:space="preserve"> </w:t>
      </w:r>
      <w:r w:rsidRPr="00150EDC">
        <w:rPr>
          <w:sz w:val="24"/>
        </w:rPr>
        <w:t>abuse</w:t>
      </w:r>
      <w:r w:rsidRPr="00150EDC">
        <w:rPr>
          <w:spacing w:val="-5"/>
          <w:sz w:val="24"/>
        </w:rPr>
        <w:t xml:space="preserve"> </w:t>
      </w:r>
      <w:r w:rsidRPr="00150EDC">
        <w:rPr>
          <w:sz w:val="24"/>
        </w:rPr>
        <w:t>or</w:t>
      </w:r>
      <w:r w:rsidRPr="00150EDC">
        <w:rPr>
          <w:spacing w:val="-3"/>
          <w:sz w:val="24"/>
        </w:rPr>
        <w:t xml:space="preserve"> </w:t>
      </w:r>
      <w:r w:rsidRPr="00150EDC">
        <w:rPr>
          <w:sz w:val="24"/>
        </w:rPr>
        <w:t>other</w:t>
      </w:r>
      <w:r w:rsidRPr="00150EDC">
        <w:rPr>
          <w:spacing w:val="-3"/>
          <w:sz w:val="24"/>
        </w:rPr>
        <w:t xml:space="preserve"> </w:t>
      </w:r>
      <w:r w:rsidRPr="00150EDC">
        <w:rPr>
          <w:sz w:val="24"/>
        </w:rPr>
        <w:t>forms</w:t>
      </w:r>
      <w:r w:rsidRPr="00150EDC">
        <w:rPr>
          <w:spacing w:val="-3"/>
          <w:sz w:val="24"/>
        </w:rPr>
        <w:t xml:space="preserve"> </w:t>
      </w:r>
      <w:r w:rsidRPr="00150EDC">
        <w:rPr>
          <w:sz w:val="24"/>
        </w:rPr>
        <w:t>of</w:t>
      </w:r>
      <w:r w:rsidRPr="00150EDC">
        <w:rPr>
          <w:spacing w:val="-3"/>
          <w:sz w:val="24"/>
        </w:rPr>
        <w:t xml:space="preserve"> </w:t>
      </w:r>
      <w:r w:rsidRPr="00150EDC">
        <w:rPr>
          <w:sz w:val="24"/>
        </w:rPr>
        <w:t>intimidation</w:t>
      </w:r>
      <w:r w:rsidRPr="00150EDC">
        <w:rPr>
          <w:spacing w:val="-5"/>
          <w:sz w:val="24"/>
        </w:rPr>
        <w:t xml:space="preserve"> </w:t>
      </w:r>
      <w:r w:rsidRPr="00150EDC">
        <w:rPr>
          <w:sz w:val="24"/>
        </w:rPr>
        <w:t>of its employees or Subcontractors;</w:t>
      </w:r>
    </w:p>
    <w:p w14:paraId="50DE6B62" w14:textId="77777777" w:rsidR="004C7180" w:rsidRPr="00150EDC" w:rsidRDefault="00CF0754" w:rsidP="00B320C7">
      <w:pPr>
        <w:pStyle w:val="ListParagraph"/>
        <w:numPr>
          <w:ilvl w:val="2"/>
          <w:numId w:val="97"/>
        </w:numPr>
        <w:tabs>
          <w:tab w:val="left" w:pos="3200"/>
        </w:tabs>
        <w:spacing w:before="120"/>
        <w:ind w:left="3200" w:right="2410" w:hanging="900"/>
        <w:rPr>
          <w:sz w:val="24"/>
        </w:rPr>
      </w:pPr>
      <w:r w:rsidRPr="00150EDC">
        <w:rPr>
          <w:sz w:val="24"/>
        </w:rPr>
        <w:t>shall</w:t>
      </w:r>
      <w:r w:rsidRPr="00150EDC">
        <w:rPr>
          <w:spacing w:val="-3"/>
          <w:sz w:val="24"/>
        </w:rPr>
        <w:t xml:space="preserve"> </w:t>
      </w:r>
      <w:r w:rsidRPr="00150EDC">
        <w:rPr>
          <w:sz w:val="24"/>
        </w:rPr>
        <w:t>not</w:t>
      </w:r>
      <w:r w:rsidRPr="00150EDC">
        <w:rPr>
          <w:spacing w:val="-3"/>
          <w:sz w:val="24"/>
        </w:rPr>
        <w:t xml:space="preserve"> </w:t>
      </w:r>
      <w:r w:rsidRPr="00150EDC">
        <w:rPr>
          <w:sz w:val="24"/>
        </w:rPr>
        <w:t>use</w:t>
      </w:r>
      <w:r w:rsidRPr="00150EDC">
        <w:rPr>
          <w:spacing w:val="-4"/>
          <w:sz w:val="24"/>
        </w:rPr>
        <w:t xml:space="preserve"> </w:t>
      </w:r>
      <w:r w:rsidRPr="00150EDC">
        <w:rPr>
          <w:sz w:val="24"/>
        </w:rPr>
        <w:t>or</w:t>
      </w:r>
      <w:r w:rsidRPr="00150EDC">
        <w:rPr>
          <w:spacing w:val="-3"/>
          <w:sz w:val="24"/>
        </w:rPr>
        <w:t xml:space="preserve"> </w:t>
      </w:r>
      <w:r w:rsidRPr="00150EDC">
        <w:rPr>
          <w:sz w:val="24"/>
        </w:rPr>
        <w:t>allow</w:t>
      </w:r>
      <w:r w:rsidRPr="00150EDC">
        <w:rPr>
          <w:spacing w:val="-3"/>
          <w:sz w:val="24"/>
        </w:rPr>
        <w:t xml:space="preserve"> </w:t>
      </w:r>
      <w:r w:rsidRPr="00150EDC">
        <w:rPr>
          <w:sz w:val="24"/>
        </w:rPr>
        <w:t>child</w:t>
      </w:r>
      <w:r w:rsidRPr="00150EDC">
        <w:rPr>
          <w:spacing w:val="-3"/>
          <w:sz w:val="24"/>
        </w:rPr>
        <w:t xml:space="preserve"> </w:t>
      </w:r>
      <w:r w:rsidRPr="00150EDC">
        <w:rPr>
          <w:sz w:val="24"/>
        </w:rPr>
        <w:t>or</w:t>
      </w:r>
      <w:r w:rsidRPr="00150EDC">
        <w:rPr>
          <w:spacing w:val="-3"/>
          <w:sz w:val="24"/>
        </w:rPr>
        <w:t xml:space="preserve"> </w:t>
      </w:r>
      <w:r w:rsidRPr="00150EDC">
        <w:rPr>
          <w:sz w:val="24"/>
        </w:rPr>
        <w:t>slave</w:t>
      </w:r>
      <w:r w:rsidRPr="00150EDC">
        <w:rPr>
          <w:spacing w:val="-4"/>
          <w:sz w:val="24"/>
        </w:rPr>
        <w:t xml:space="preserve"> </w:t>
      </w:r>
      <w:r w:rsidRPr="00150EDC">
        <w:rPr>
          <w:sz w:val="24"/>
        </w:rPr>
        <w:t>labour</w:t>
      </w:r>
      <w:r w:rsidRPr="00150EDC">
        <w:rPr>
          <w:spacing w:val="-3"/>
          <w:sz w:val="24"/>
        </w:rPr>
        <w:t xml:space="preserve"> </w:t>
      </w:r>
      <w:r w:rsidRPr="00150EDC">
        <w:rPr>
          <w:sz w:val="24"/>
        </w:rPr>
        <w:t>to</w:t>
      </w:r>
      <w:r w:rsidRPr="00150EDC">
        <w:rPr>
          <w:spacing w:val="-6"/>
          <w:sz w:val="24"/>
        </w:rPr>
        <w:t xml:space="preserve"> </w:t>
      </w:r>
      <w:r w:rsidRPr="00150EDC">
        <w:rPr>
          <w:sz w:val="24"/>
        </w:rPr>
        <w:t>be</w:t>
      </w:r>
      <w:r w:rsidRPr="00150EDC">
        <w:rPr>
          <w:spacing w:val="-3"/>
          <w:sz w:val="24"/>
        </w:rPr>
        <w:t xml:space="preserve"> </w:t>
      </w:r>
      <w:r w:rsidRPr="00150EDC">
        <w:rPr>
          <w:sz w:val="24"/>
        </w:rPr>
        <w:t>used</w:t>
      </w:r>
      <w:r w:rsidRPr="00150EDC">
        <w:rPr>
          <w:spacing w:val="-4"/>
          <w:sz w:val="24"/>
        </w:rPr>
        <w:t xml:space="preserve"> </w:t>
      </w:r>
      <w:r w:rsidRPr="00150EDC">
        <w:rPr>
          <w:sz w:val="24"/>
        </w:rPr>
        <w:t>by</w:t>
      </w:r>
      <w:r w:rsidRPr="00150EDC">
        <w:rPr>
          <w:spacing w:val="-3"/>
          <w:sz w:val="24"/>
        </w:rPr>
        <w:t xml:space="preserve"> </w:t>
      </w:r>
      <w:r w:rsidRPr="00150EDC">
        <w:rPr>
          <w:sz w:val="24"/>
        </w:rPr>
        <w:t xml:space="preserve">its </w:t>
      </w:r>
      <w:r w:rsidRPr="00150EDC">
        <w:rPr>
          <w:spacing w:val="-2"/>
          <w:sz w:val="24"/>
        </w:rPr>
        <w:t>Subcontractors;</w:t>
      </w:r>
    </w:p>
    <w:p w14:paraId="7FCA6943" w14:textId="77777777" w:rsidR="004C7180" w:rsidRPr="00150EDC" w:rsidRDefault="00CF0754" w:rsidP="00B320C7">
      <w:pPr>
        <w:pStyle w:val="ListParagraph"/>
        <w:numPr>
          <w:ilvl w:val="2"/>
          <w:numId w:val="97"/>
        </w:numPr>
        <w:tabs>
          <w:tab w:val="left" w:pos="3198"/>
          <w:tab w:val="left" w:pos="3200"/>
        </w:tabs>
        <w:spacing w:before="121"/>
        <w:ind w:left="3200" w:right="1729" w:hanging="900"/>
        <w:jc w:val="both"/>
        <w:rPr>
          <w:sz w:val="24"/>
        </w:rPr>
      </w:pPr>
      <w:r w:rsidRPr="00150EDC">
        <w:rPr>
          <w:sz w:val="24"/>
        </w:rPr>
        <w:t>shall</w:t>
      </w:r>
      <w:r w:rsidRPr="00150EDC">
        <w:rPr>
          <w:spacing w:val="-4"/>
          <w:sz w:val="24"/>
        </w:rPr>
        <w:t xml:space="preserve"> </w:t>
      </w:r>
      <w:r w:rsidRPr="00150EDC">
        <w:rPr>
          <w:sz w:val="24"/>
        </w:rPr>
        <w:t>report</w:t>
      </w:r>
      <w:r w:rsidRPr="00150EDC">
        <w:rPr>
          <w:spacing w:val="-6"/>
          <w:sz w:val="24"/>
        </w:rPr>
        <w:t xml:space="preserve"> </w:t>
      </w:r>
      <w:r w:rsidRPr="00150EDC">
        <w:rPr>
          <w:sz w:val="24"/>
        </w:rPr>
        <w:t>the</w:t>
      </w:r>
      <w:r w:rsidRPr="00150EDC">
        <w:rPr>
          <w:spacing w:val="-5"/>
          <w:sz w:val="24"/>
        </w:rPr>
        <w:t xml:space="preserve"> </w:t>
      </w:r>
      <w:r w:rsidRPr="00150EDC">
        <w:rPr>
          <w:sz w:val="24"/>
        </w:rPr>
        <w:t>discovery</w:t>
      </w:r>
      <w:r w:rsidRPr="00150EDC">
        <w:rPr>
          <w:spacing w:val="-3"/>
          <w:sz w:val="24"/>
        </w:rPr>
        <w:t xml:space="preserve"> </w:t>
      </w:r>
      <w:r w:rsidRPr="00150EDC">
        <w:rPr>
          <w:sz w:val="24"/>
        </w:rPr>
        <w:t>or</w:t>
      </w:r>
      <w:r w:rsidRPr="00150EDC">
        <w:rPr>
          <w:spacing w:val="-3"/>
          <w:sz w:val="24"/>
        </w:rPr>
        <w:t xml:space="preserve"> </w:t>
      </w:r>
      <w:r w:rsidRPr="00150EDC">
        <w:rPr>
          <w:sz w:val="24"/>
        </w:rPr>
        <w:t>suspicion</w:t>
      </w:r>
      <w:r w:rsidRPr="00150EDC">
        <w:rPr>
          <w:spacing w:val="-3"/>
          <w:sz w:val="24"/>
        </w:rPr>
        <w:t xml:space="preserve"> </w:t>
      </w:r>
      <w:r w:rsidRPr="00150EDC">
        <w:rPr>
          <w:sz w:val="24"/>
        </w:rPr>
        <w:t>of</w:t>
      </w:r>
      <w:r w:rsidRPr="00150EDC">
        <w:rPr>
          <w:spacing w:val="-5"/>
          <w:sz w:val="24"/>
        </w:rPr>
        <w:t xml:space="preserve"> </w:t>
      </w:r>
      <w:r w:rsidRPr="00150EDC">
        <w:rPr>
          <w:sz w:val="24"/>
        </w:rPr>
        <w:t>any</w:t>
      </w:r>
      <w:r w:rsidRPr="00150EDC">
        <w:rPr>
          <w:spacing w:val="-6"/>
          <w:sz w:val="24"/>
        </w:rPr>
        <w:t xml:space="preserve"> </w:t>
      </w:r>
      <w:r w:rsidRPr="00150EDC">
        <w:rPr>
          <w:sz w:val="24"/>
        </w:rPr>
        <w:t>slavery</w:t>
      </w:r>
      <w:r w:rsidRPr="00150EDC">
        <w:rPr>
          <w:spacing w:val="-3"/>
          <w:sz w:val="24"/>
        </w:rPr>
        <w:t xml:space="preserve"> </w:t>
      </w:r>
      <w:r w:rsidRPr="00150EDC">
        <w:rPr>
          <w:sz w:val="24"/>
        </w:rPr>
        <w:t>or</w:t>
      </w:r>
      <w:r w:rsidRPr="00150EDC">
        <w:rPr>
          <w:spacing w:val="-3"/>
          <w:sz w:val="24"/>
        </w:rPr>
        <w:t xml:space="preserve"> </w:t>
      </w:r>
      <w:r w:rsidRPr="00150EDC">
        <w:rPr>
          <w:sz w:val="24"/>
        </w:rPr>
        <w:t>trafficking by</w:t>
      </w:r>
      <w:r w:rsidRPr="00150EDC">
        <w:rPr>
          <w:spacing w:val="-2"/>
          <w:sz w:val="24"/>
        </w:rPr>
        <w:t xml:space="preserve"> </w:t>
      </w:r>
      <w:r w:rsidRPr="00150EDC">
        <w:rPr>
          <w:sz w:val="24"/>
        </w:rPr>
        <w:t>it</w:t>
      </w:r>
      <w:r w:rsidRPr="00150EDC">
        <w:rPr>
          <w:spacing w:val="-2"/>
          <w:sz w:val="24"/>
        </w:rPr>
        <w:t xml:space="preserve"> </w:t>
      </w:r>
      <w:r w:rsidRPr="00150EDC">
        <w:rPr>
          <w:sz w:val="24"/>
        </w:rPr>
        <w:t>or</w:t>
      </w:r>
      <w:r w:rsidRPr="00150EDC">
        <w:rPr>
          <w:spacing w:val="-2"/>
          <w:sz w:val="24"/>
        </w:rPr>
        <w:t xml:space="preserve"> </w:t>
      </w:r>
      <w:r w:rsidRPr="00150EDC">
        <w:rPr>
          <w:sz w:val="24"/>
        </w:rPr>
        <w:t>its</w:t>
      </w:r>
      <w:r w:rsidRPr="00150EDC">
        <w:rPr>
          <w:spacing w:val="-4"/>
          <w:sz w:val="24"/>
        </w:rPr>
        <w:t xml:space="preserve"> </w:t>
      </w:r>
      <w:r w:rsidRPr="00150EDC">
        <w:rPr>
          <w:sz w:val="24"/>
        </w:rPr>
        <w:t>Subcontractors</w:t>
      </w:r>
      <w:r w:rsidRPr="00150EDC">
        <w:rPr>
          <w:spacing w:val="-2"/>
          <w:sz w:val="24"/>
        </w:rPr>
        <w:t xml:space="preserve"> </w:t>
      </w:r>
      <w:r w:rsidRPr="00150EDC">
        <w:rPr>
          <w:sz w:val="24"/>
        </w:rPr>
        <w:t>to</w:t>
      </w:r>
      <w:r w:rsidRPr="00150EDC">
        <w:rPr>
          <w:spacing w:val="-2"/>
          <w:sz w:val="24"/>
        </w:rPr>
        <w:t xml:space="preserve"> </w:t>
      </w:r>
      <w:r w:rsidRPr="00150EDC">
        <w:rPr>
          <w:sz w:val="24"/>
        </w:rPr>
        <w:t>CCS,</w:t>
      </w:r>
      <w:r w:rsidRPr="00150EDC">
        <w:rPr>
          <w:spacing w:val="-4"/>
          <w:sz w:val="24"/>
        </w:rPr>
        <w:t xml:space="preserve"> </w:t>
      </w:r>
      <w:r w:rsidRPr="00150EDC">
        <w:rPr>
          <w:sz w:val="24"/>
        </w:rPr>
        <w:t>the</w:t>
      </w:r>
      <w:r w:rsidRPr="00150EDC">
        <w:rPr>
          <w:spacing w:val="-4"/>
          <w:sz w:val="24"/>
        </w:rPr>
        <w:t xml:space="preserve"> </w:t>
      </w:r>
      <w:r w:rsidRPr="00150EDC">
        <w:rPr>
          <w:sz w:val="24"/>
        </w:rPr>
        <w:t>Buyer</w:t>
      </w:r>
      <w:r w:rsidRPr="00150EDC">
        <w:rPr>
          <w:spacing w:val="-4"/>
          <w:sz w:val="24"/>
        </w:rPr>
        <w:t xml:space="preserve"> </w:t>
      </w:r>
      <w:r w:rsidRPr="00150EDC">
        <w:rPr>
          <w:sz w:val="24"/>
        </w:rPr>
        <w:t>and</w:t>
      </w:r>
      <w:r w:rsidRPr="00150EDC">
        <w:rPr>
          <w:spacing w:val="-2"/>
          <w:sz w:val="24"/>
        </w:rPr>
        <w:t xml:space="preserve"> </w:t>
      </w:r>
      <w:r w:rsidRPr="00150EDC">
        <w:rPr>
          <w:sz w:val="24"/>
        </w:rPr>
        <w:t>Modern</w:t>
      </w:r>
      <w:r w:rsidRPr="00150EDC">
        <w:rPr>
          <w:spacing w:val="-4"/>
          <w:sz w:val="24"/>
        </w:rPr>
        <w:t xml:space="preserve"> </w:t>
      </w:r>
      <w:r w:rsidRPr="00150EDC">
        <w:rPr>
          <w:sz w:val="24"/>
        </w:rPr>
        <w:t xml:space="preserve">Slavery </w:t>
      </w:r>
      <w:r w:rsidRPr="00150EDC">
        <w:rPr>
          <w:spacing w:val="-2"/>
          <w:sz w:val="24"/>
        </w:rPr>
        <w:t>Helpline.</w:t>
      </w:r>
    </w:p>
    <w:p w14:paraId="1335274E" w14:textId="77777777" w:rsidR="004C7180" w:rsidRPr="00150EDC" w:rsidRDefault="00CF0754" w:rsidP="00B320C7">
      <w:pPr>
        <w:pStyle w:val="Heading4"/>
        <w:numPr>
          <w:ilvl w:val="0"/>
          <w:numId w:val="97"/>
        </w:numPr>
        <w:tabs>
          <w:tab w:val="left" w:pos="1826"/>
        </w:tabs>
        <w:spacing w:before="120"/>
        <w:ind w:left="1826" w:hanging="426"/>
        <w:jc w:val="both"/>
      </w:pPr>
      <w:r w:rsidRPr="00150EDC">
        <w:t>Income</w:t>
      </w:r>
      <w:r w:rsidRPr="00150EDC">
        <w:rPr>
          <w:spacing w:val="-4"/>
        </w:rPr>
        <w:t xml:space="preserve"> </w:t>
      </w:r>
      <w:r w:rsidRPr="00150EDC">
        <w:rPr>
          <w:spacing w:val="-2"/>
        </w:rPr>
        <w:t>Security</w:t>
      </w:r>
    </w:p>
    <w:p w14:paraId="79318777" w14:textId="77777777" w:rsidR="004C7180" w:rsidRPr="00150EDC" w:rsidRDefault="004C7180">
      <w:pPr>
        <w:pStyle w:val="BodyText"/>
        <w:spacing w:before="10"/>
        <w:rPr>
          <w:b/>
          <w:sz w:val="20"/>
        </w:rPr>
      </w:pPr>
    </w:p>
    <w:p w14:paraId="7C26DFE8" w14:textId="77777777" w:rsidR="004C7180" w:rsidRPr="00150EDC" w:rsidRDefault="00CF0754" w:rsidP="00B320C7">
      <w:pPr>
        <w:pStyle w:val="ListParagraph"/>
        <w:numPr>
          <w:ilvl w:val="1"/>
          <w:numId w:val="97"/>
        </w:numPr>
        <w:tabs>
          <w:tab w:val="left" w:pos="2298"/>
        </w:tabs>
        <w:ind w:left="2298" w:hanging="466"/>
        <w:rPr>
          <w:sz w:val="24"/>
        </w:rPr>
      </w:pPr>
      <w:r w:rsidRPr="00150EDC">
        <w:rPr>
          <w:sz w:val="24"/>
        </w:rPr>
        <w:t>The</w:t>
      </w:r>
      <w:r w:rsidRPr="00150EDC">
        <w:rPr>
          <w:spacing w:val="-3"/>
          <w:sz w:val="24"/>
        </w:rPr>
        <w:t xml:space="preserve"> </w:t>
      </w:r>
      <w:r w:rsidRPr="00150EDC">
        <w:rPr>
          <w:sz w:val="24"/>
        </w:rPr>
        <w:t>Supplier</w:t>
      </w:r>
      <w:r w:rsidRPr="00150EDC">
        <w:rPr>
          <w:spacing w:val="-2"/>
          <w:sz w:val="24"/>
        </w:rPr>
        <w:t xml:space="preserve"> shall:</w:t>
      </w:r>
    </w:p>
    <w:p w14:paraId="7A68B4E6" w14:textId="77777777" w:rsidR="004C7180" w:rsidRPr="00150EDC" w:rsidRDefault="00CF0754" w:rsidP="00B320C7">
      <w:pPr>
        <w:pStyle w:val="ListParagraph"/>
        <w:numPr>
          <w:ilvl w:val="2"/>
          <w:numId w:val="97"/>
        </w:numPr>
        <w:tabs>
          <w:tab w:val="left" w:pos="3819"/>
          <w:tab w:val="left" w:pos="3822"/>
        </w:tabs>
        <w:spacing w:before="120"/>
        <w:ind w:right="1493"/>
        <w:rPr>
          <w:sz w:val="24"/>
        </w:rPr>
      </w:pPr>
      <w:r w:rsidRPr="00150EDC">
        <w:rPr>
          <w:sz w:val="24"/>
        </w:rPr>
        <w:t>ensure that all wages and benefits paid for a standard working</w:t>
      </w:r>
      <w:r w:rsidRPr="00150EDC">
        <w:rPr>
          <w:spacing w:val="-4"/>
          <w:sz w:val="24"/>
        </w:rPr>
        <w:t xml:space="preserve"> </w:t>
      </w:r>
      <w:r w:rsidRPr="00150EDC">
        <w:rPr>
          <w:sz w:val="24"/>
        </w:rPr>
        <w:t>week</w:t>
      </w:r>
      <w:r w:rsidRPr="00150EDC">
        <w:rPr>
          <w:spacing w:val="-5"/>
          <w:sz w:val="24"/>
        </w:rPr>
        <w:t xml:space="preserve"> </w:t>
      </w:r>
      <w:r w:rsidRPr="00150EDC">
        <w:rPr>
          <w:sz w:val="24"/>
        </w:rPr>
        <w:t>meet,</w:t>
      </w:r>
      <w:r w:rsidRPr="00150EDC">
        <w:rPr>
          <w:spacing w:val="-5"/>
          <w:sz w:val="24"/>
        </w:rPr>
        <w:t xml:space="preserve"> </w:t>
      </w:r>
      <w:r w:rsidRPr="00150EDC">
        <w:rPr>
          <w:sz w:val="24"/>
        </w:rPr>
        <w:t>at</w:t>
      </w:r>
      <w:r w:rsidRPr="00150EDC">
        <w:rPr>
          <w:spacing w:val="-5"/>
          <w:sz w:val="24"/>
        </w:rPr>
        <w:t xml:space="preserve"> </w:t>
      </w:r>
      <w:r w:rsidRPr="00150EDC">
        <w:rPr>
          <w:sz w:val="24"/>
        </w:rPr>
        <w:t>a</w:t>
      </w:r>
      <w:r w:rsidRPr="00150EDC">
        <w:rPr>
          <w:spacing w:val="-4"/>
          <w:sz w:val="24"/>
        </w:rPr>
        <w:t xml:space="preserve"> </w:t>
      </w:r>
      <w:r w:rsidRPr="00150EDC">
        <w:rPr>
          <w:sz w:val="24"/>
        </w:rPr>
        <w:t>minimum,</w:t>
      </w:r>
      <w:r w:rsidRPr="00150EDC">
        <w:rPr>
          <w:spacing w:val="-5"/>
          <w:sz w:val="24"/>
        </w:rPr>
        <w:t xml:space="preserve"> </w:t>
      </w:r>
      <w:r w:rsidRPr="00150EDC">
        <w:rPr>
          <w:sz w:val="24"/>
        </w:rPr>
        <w:t>national</w:t>
      </w:r>
      <w:r w:rsidRPr="00150EDC">
        <w:rPr>
          <w:spacing w:val="-4"/>
          <w:sz w:val="24"/>
        </w:rPr>
        <w:t xml:space="preserve"> </w:t>
      </w:r>
      <w:r w:rsidRPr="00150EDC">
        <w:rPr>
          <w:sz w:val="24"/>
        </w:rPr>
        <w:t>legal</w:t>
      </w:r>
      <w:r w:rsidRPr="00150EDC">
        <w:rPr>
          <w:spacing w:val="-4"/>
          <w:sz w:val="24"/>
        </w:rPr>
        <w:t xml:space="preserve"> </w:t>
      </w:r>
      <w:r w:rsidRPr="00150EDC">
        <w:rPr>
          <w:sz w:val="24"/>
        </w:rPr>
        <w:t>standards</w:t>
      </w:r>
      <w:r w:rsidRPr="00150EDC">
        <w:rPr>
          <w:spacing w:val="-4"/>
          <w:sz w:val="24"/>
        </w:rPr>
        <w:t xml:space="preserve"> </w:t>
      </w:r>
      <w:r w:rsidRPr="00150EDC">
        <w:rPr>
          <w:sz w:val="24"/>
        </w:rPr>
        <w:t>in the country of employment;</w:t>
      </w:r>
    </w:p>
    <w:p w14:paraId="1DF0D1DE" w14:textId="77777777" w:rsidR="004C7180" w:rsidRPr="00150EDC" w:rsidRDefault="00CF0754" w:rsidP="00B320C7">
      <w:pPr>
        <w:pStyle w:val="ListParagraph"/>
        <w:numPr>
          <w:ilvl w:val="2"/>
          <w:numId w:val="97"/>
        </w:numPr>
        <w:tabs>
          <w:tab w:val="left" w:pos="3819"/>
          <w:tab w:val="left" w:pos="3822"/>
        </w:tabs>
        <w:spacing w:before="120"/>
        <w:ind w:right="1894"/>
        <w:rPr>
          <w:sz w:val="24"/>
        </w:rPr>
      </w:pPr>
      <w:r w:rsidRPr="00150EDC">
        <w:rPr>
          <w:sz w:val="24"/>
        </w:rPr>
        <w:t>ensure</w:t>
      </w:r>
      <w:r w:rsidRPr="00150EDC">
        <w:rPr>
          <w:spacing w:val="-5"/>
          <w:sz w:val="24"/>
        </w:rPr>
        <w:t xml:space="preserve"> </w:t>
      </w:r>
      <w:r w:rsidRPr="00150EDC">
        <w:rPr>
          <w:sz w:val="24"/>
        </w:rPr>
        <w:t>that</w:t>
      </w:r>
      <w:r w:rsidRPr="00150EDC">
        <w:rPr>
          <w:spacing w:val="-3"/>
          <w:sz w:val="24"/>
        </w:rPr>
        <w:t xml:space="preserve"> </w:t>
      </w:r>
      <w:r w:rsidRPr="00150EDC">
        <w:rPr>
          <w:sz w:val="24"/>
        </w:rPr>
        <w:t>all</w:t>
      </w:r>
      <w:r w:rsidRPr="00150EDC">
        <w:rPr>
          <w:spacing w:val="-4"/>
          <w:sz w:val="24"/>
        </w:rPr>
        <w:t xml:space="preserve"> </w:t>
      </w:r>
      <w:r w:rsidRPr="00150EDC">
        <w:rPr>
          <w:sz w:val="24"/>
        </w:rPr>
        <w:t>Supplier</w:t>
      </w:r>
      <w:r w:rsidRPr="00150EDC">
        <w:rPr>
          <w:spacing w:val="-7"/>
          <w:sz w:val="24"/>
        </w:rPr>
        <w:t xml:space="preserve"> </w:t>
      </w:r>
      <w:r w:rsidRPr="00150EDC">
        <w:rPr>
          <w:sz w:val="24"/>
        </w:rPr>
        <w:t>Staff</w:t>
      </w:r>
      <w:r w:rsidRPr="00150EDC">
        <w:rPr>
          <w:spacing w:val="-3"/>
          <w:sz w:val="24"/>
        </w:rPr>
        <w:t xml:space="preserve"> </w:t>
      </w:r>
      <w:r w:rsidRPr="00150EDC">
        <w:rPr>
          <w:sz w:val="24"/>
        </w:rPr>
        <w:t>are</w:t>
      </w:r>
      <w:r w:rsidRPr="00150EDC">
        <w:rPr>
          <w:spacing w:val="-5"/>
          <w:sz w:val="24"/>
        </w:rPr>
        <w:t xml:space="preserve"> </w:t>
      </w:r>
      <w:r w:rsidRPr="00150EDC">
        <w:rPr>
          <w:sz w:val="24"/>
        </w:rPr>
        <w:t>provided</w:t>
      </w:r>
      <w:r w:rsidRPr="00150EDC">
        <w:rPr>
          <w:spacing w:val="-3"/>
          <w:sz w:val="24"/>
        </w:rPr>
        <w:t xml:space="preserve"> </w:t>
      </w:r>
      <w:r w:rsidRPr="00150EDC">
        <w:rPr>
          <w:sz w:val="24"/>
        </w:rPr>
        <w:t>with</w:t>
      </w:r>
      <w:r w:rsidRPr="00150EDC">
        <w:rPr>
          <w:spacing w:val="-5"/>
          <w:sz w:val="24"/>
        </w:rPr>
        <w:t xml:space="preserve"> </w:t>
      </w:r>
      <w:r w:rsidRPr="00150EDC">
        <w:rPr>
          <w:sz w:val="24"/>
        </w:rPr>
        <w:t>written</w:t>
      </w:r>
      <w:r w:rsidRPr="00150EDC">
        <w:rPr>
          <w:spacing w:val="-3"/>
          <w:sz w:val="24"/>
        </w:rPr>
        <w:t xml:space="preserve"> </w:t>
      </w:r>
      <w:r w:rsidRPr="00150EDC">
        <w:rPr>
          <w:sz w:val="24"/>
        </w:rPr>
        <w:t>and understandable Information about their employment conditions in respect of wages before they enter;</w:t>
      </w:r>
    </w:p>
    <w:p w14:paraId="3AB0044C" w14:textId="77777777" w:rsidR="004C7180" w:rsidRPr="00150EDC" w:rsidRDefault="00CF0754" w:rsidP="00B320C7">
      <w:pPr>
        <w:pStyle w:val="ListParagraph"/>
        <w:numPr>
          <w:ilvl w:val="2"/>
          <w:numId w:val="97"/>
        </w:numPr>
        <w:tabs>
          <w:tab w:val="left" w:pos="3819"/>
          <w:tab w:val="left" w:pos="3822"/>
        </w:tabs>
        <w:spacing w:before="121"/>
        <w:ind w:right="1439"/>
        <w:jc w:val="both"/>
        <w:rPr>
          <w:sz w:val="24"/>
        </w:rPr>
      </w:pPr>
      <w:r w:rsidRPr="00150EDC">
        <w:rPr>
          <w:sz w:val="24"/>
        </w:rPr>
        <w:t>ensure that all workers are provided with written and understandable</w:t>
      </w:r>
      <w:r w:rsidRPr="00150EDC">
        <w:rPr>
          <w:spacing w:val="-16"/>
          <w:sz w:val="24"/>
        </w:rPr>
        <w:t xml:space="preserve"> </w:t>
      </w:r>
      <w:r w:rsidRPr="00150EDC">
        <w:rPr>
          <w:sz w:val="24"/>
        </w:rPr>
        <w:t>Information</w:t>
      </w:r>
      <w:r w:rsidRPr="00150EDC">
        <w:rPr>
          <w:spacing w:val="-16"/>
          <w:sz w:val="24"/>
        </w:rPr>
        <w:t xml:space="preserve"> </w:t>
      </w:r>
      <w:r w:rsidRPr="00150EDC">
        <w:rPr>
          <w:sz w:val="24"/>
        </w:rPr>
        <w:t>about</w:t>
      </w:r>
      <w:r w:rsidRPr="00150EDC">
        <w:rPr>
          <w:spacing w:val="-16"/>
          <w:sz w:val="24"/>
        </w:rPr>
        <w:t xml:space="preserve"> </w:t>
      </w:r>
      <w:r w:rsidRPr="00150EDC">
        <w:rPr>
          <w:sz w:val="24"/>
        </w:rPr>
        <w:t>their</w:t>
      </w:r>
      <w:r w:rsidRPr="00150EDC">
        <w:rPr>
          <w:spacing w:val="-15"/>
          <w:sz w:val="24"/>
        </w:rPr>
        <w:t xml:space="preserve"> </w:t>
      </w:r>
      <w:r w:rsidRPr="00150EDC">
        <w:rPr>
          <w:sz w:val="24"/>
        </w:rPr>
        <w:t>employment</w:t>
      </w:r>
      <w:r w:rsidRPr="00150EDC">
        <w:rPr>
          <w:spacing w:val="-14"/>
          <w:sz w:val="24"/>
        </w:rPr>
        <w:t xml:space="preserve"> </w:t>
      </w:r>
      <w:r w:rsidRPr="00150EDC">
        <w:rPr>
          <w:sz w:val="24"/>
        </w:rPr>
        <w:t>conditions in respect of wages before they enter employment and about the particulars of their wages for the pay period concerned each time that they are paid;</w:t>
      </w:r>
    </w:p>
    <w:p w14:paraId="0DA19880" w14:textId="77777777" w:rsidR="004C7180" w:rsidRPr="00150EDC" w:rsidRDefault="00CF0754" w:rsidP="00B320C7">
      <w:pPr>
        <w:pStyle w:val="ListParagraph"/>
        <w:numPr>
          <w:ilvl w:val="2"/>
          <w:numId w:val="97"/>
        </w:numPr>
        <w:tabs>
          <w:tab w:val="left" w:pos="3820"/>
        </w:tabs>
        <w:spacing w:before="120"/>
        <w:ind w:left="3820" w:hanging="718"/>
        <w:jc w:val="both"/>
        <w:rPr>
          <w:sz w:val="24"/>
        </w:rPr>
      </w:pPr>
      <w:r w:rsidRPr="00150EDC">
        <w:rPr>
          <w:sz w:val="24"/>
        </w:rPr>
        <w:t>not</w:t>
      </w:r>
      <w:r w:rsidRPr="00150EDC">
        <w:rPr>
          <w:spacing w:val="-5"/>
          <w:sz w:val="24"/>
        </w:rPr>
        <w:t xml:space="preserve"> </w:t>
      </w:r>
      <w:r w:rsidRPr="00150EDC">
        <w:rPr>
          <w:sz w:val="24"/>
        </w:rPr>
        <w:t>make</w:t>
      </w:r>
      <w:r w:rsidRPr="00150EDC">
        <w:rPr>
          <w:spacing w:val="-1"/>
          <w:sz w:val="24"/>
        </w:rPr>
        <w:t xml:space="preserve"> </w:t>
      </w:r>
      <w:r w:rsidRPr="00150EDC">
        <w:rPr>
          <w:sz w:val="24"/>
        </w:rPr>
        <w:t>deductions</w:t>
      </w:r>
      <w:r w:rsidRPr="00150EDC">
        <w:rPr>
          <w:spacing w:val="-5"/>
          <w:sz w:val="24"/>
        </w:rPr>
        <w:t xml:space="preserve"> </w:t>
      </w:r>
      <w:r w:rsidRPr="00150EDC">
        <w:rPr>
          <w:sz w:val="24"/>
        </w:rPr>
        <w:t>from</w:t>
      </w:r>
      <w:r w:rsidRPr="00150EDC">
        <w:rPr>
          <w:spacing w:val="-1"/>
          <w:sz w:val="24"/>
        </w:rPr>
        <w:t xml:space="preserve"> </w:t>
      </w:r>
      <w:r w:rsidRPr="00150EDC">
        <w:rPr>
          <w:spacing w:val="-2"/>
          <w:sz w:val="24"/>
        </w:rPr>
        <w:t>wages:</w:t>
      </w:r>
    </w:p>
    <w:p w14:paraId="0B642585" w14:textId="77777777" w:rsidR="004C7180" w:rsidRPr="00150EDC" w:rsidRDefault="00CF0754" w:rsidP="00B320C7">
      <w:pPr>
        <w:pStyle w:val="ListParagraph"/>
        <w:numPr>
          <w:ilvl w:val="3"/>
          <w:numId w:val="97"/>
        </w:numPr>
        <w:tabs>
          <w:tab w:val="left" w:pos="4244"/>
        </w:tabs>
        <w:spacing w:before="120"/>
        <w:ind w:left="4244" w:hanging="718"/>
        <w:jc w:val="both"/>
        <w:rPr>
          <w:sz w:val="24"/>
        </w:rPr>
      </w:pPr>
      <w:r w:rsidRPr="00150EDC">
        <w:rPr>
          <w:sz w:val="24"/>
        </w:rPr>
        <w:t>as</w:t>
      </w:r>
      <w:r w:rsidRPr="00150EDC">
        <w:rPr>
          <w:spacing w:val="-3"/>
          <w:sz w:val="24"/>
        </w:rPr>
        <w:t xml:space="preserve"> </w:t>
      </w:r>
      <w:r w:rsidRPr="00150EDC">
        <w:rPr>
          <w:sz w:val="24"/>
        </w:rPr>
        <w:t>a</w:t>
      </w:r>
      <w:r w:rsidRPr="00150EDC">
        <w:rPr>
          <w:spacing w:val="-2"/>
          <w:sz w:val="24"/>
        </w:rPr>
        <w:t xml:space="preserve"> </w:t>
      </w:r>
      <w:r w:rsidRPr="00150EDC">
        <w:rPr>
          <w:sz w:val="24"/>
        </w:rPr>
        <w:t>disciplinary</w:t>
      </w:r>
      <w:r w:rsidRPr="00150EDC">
        <w:rPr>
          <w:spacing w:val="-2"/>
          <w:sz w:val="24"/>
        </w:rPr>
        <w:t xml:space="preserve"> measure</w:t>
      </w:r>
    </w:p>
    <w:p w14:paraId="1C000994" w14:textId="77777777" w:rsidR="004C7180" w:rsidRPr="00150EDC" w:rsidRDefault="004C7180">
      <w:pPr>
        <w:jc w:val="both"/>
        <w:rPr>
          <w:sz w:val="24"/>
        </w:rPr>
        <w:sectPr w:rsidR="004C7180" w:rsidRPr="00150EDC">
          <w:headerReference w:type="default" r:id="rId38"/>
          <w:footerReference w:type="default" r:id="rId39"/>
          <w:pgSz w:w="11910" w:h="16840"/>
          <w:pgMar w:top="1160" w:right="0" w:bottom="1460" w:left="40" w:header="715" w:footer="1260" w:gutter="0"/>
          <w:pgNumType w:start="2"/>
          <w:cols w:space="720"/>
        </w:sectPr>
      </w:pPr>
    </w:p>
    <w:p w14:paraId="487C3753" w14:textId="77777777" w:rsidR="004C7180" w:rsidRPr="00150EDC" w:rsidRDefault="004C7180">
      <w:pPr>
        <w:pStyle w:val="BodyText"/>
        <w:spacing w:before="8"/>
        <w:rPr>
          <w:sz w:val="15"/>
        </w:rPr>
      </w:pPr>
    </w:p>
    <w:p w14:paraId="60634CB5" w14:textId="77777777" w:rsidR="004C7180" w:rsidRPr="00150EDC" w:rsidRDefault="00CF0754" w:rsidP="00B320C7">
      <w:pPr>
        <w:pStyle w:val="ListParagraph"/>
        <w:numPr>
          <w:ilvl w:val="3"/>
          <w:numId w:val="97"/>
        </w:numPr>
        <w:tabs>
          <w:tab w:val="left" w:pos="4247"/>
        </w:tabs>
        <w:spacing w:before="92"/>
        <w:rPr>
          <w:sz w:val="24"/>
        </w:rPr>
      </w:pPr>
      <w:r w:rsidRPr="00150EDC">
        <w:rPr>
          <w:sz w:val="24"/>
        </w:rPr>
        <w:t>except</w:t>
      </w:r>
      <w:r w:rsidRPr="00150EDC">
        <w:rPr>
          <w:spacing w:val="-5"/>
          <w:sz w:val="24"/>
        </w:rPr>
        <w:t xml:space="preserve"> </w:t>
      </w:r>
      <w:r w:rsidRPr="00150EDC">
        <w:rPr>
          <w:sz w:val="24"/>
        </w:rPr>
        <w:t>where</w:t>
      </w:r>
      <w:r w:rsidRPr="00150EDC">
        <w:rPr>
          <w:spacing w:val="-4"/>
          <w:sz w:val="24"/>
        </w:rPr>
        <w:t xml:space="preserve"> </w:t>
      </w:r>
      <w:r w:rsidRPr="00150EDC">
        <w:rPr>
          <w:sz w:val="24"/>
        </w:rPr>
        <w:t>permitted</w:t>
      </w:r>
      <w:r w:rsidRPr="00150EDC">
        <w:rPr>
          <w:spacing w:val="-2"/>
          <w:sz w:val="24"/>
        </w:rPr>
        <w:t xml:space="preserve"> </w:t>
      </w:r>
      <w:r w:rsidRPr="00150EDC">
        <w:rPr>
          <w:sz w:val="24"/>
        </w:rPr>
        <w:t>by</w:t>
      </w:r>
      <w:r w:rsidRPr="00150EDC">
        <w:rPr>
          <w:spacing w:val="-2"/>
          <w:sz w:val="24"/>
        </w:rPr>
        <w:t xml:space="preserve"> </w:t>
      </w:r>
      <w:r w:rsidRPr="00150EDC">
        <w:rPr>
          <w:sz w:val="24"/>
        </w:rPr>
        <w:t>law;</w:t>
      </w:r>
      <w:r w:rsidRPr="00150EDC">
        <w:rPr>
          <w:spacing w:val="-5"/>
          <w:sz w:val="24"/>
        </w:rPr>
        <w:t xml:space="preserve"> or</w:t>
      </w:r>
    </w:p>
    <w:p w14:paraId="5C82A8A0" w14:textId="77777777" w:rsidR="004C7180" w:rsidRPr="00150EDC" w:rsidRDefault="00CF0754" w:rsidP="00B320C7">
      <w:pPr>
        <w:pStyle w:val="ListParagraph"/>
        <w:numPr>
          <w:ilvl w:val="3"/>
          <w:numId w:val="97"/>
        </w:numPr>
        <w:tabs>
          <w:tab w:val="left" w:pos="4247"/>
        </w:tabs>
        <w:spacing w:before="112"/>
        <w:rPr>
          <w:sz w:val="24"/>
        </w:rPr>
      </w:pPr>
      <w:r w:rsidRPr="00150EDC">
        <w:rPr>
          <w:sz w:val="24"/>
        </w:rPr>
        <w:t>without</w:t>
      </w:r>
      <w:r w:rsidRPr="00150EDC">
        <w:rPr>
          <w:spacing w:val="-5"/>
          <w:sz w:val="24"/>
        </w:rPr>
        <w:t xml:space="preserve"> </w:t>
      </w:r>
      <w:r w:rsidRPr="00150EDC">
        <w:rPr>
          <w:sz w:val="24"/>
        </w:rPr>
        <w:t>expressed</w:t>
      </w:r>
      <w:r w:rsidRPr="00150EDC">
        <w:rPr>
          <w:spacing w:val="-5"/>
          <w:sz w:val="24"/>
        </w:rPr>
        <w:t xml:space="preserve"> </w:t>
      </w:r>
      <w:r w:rsidRPr="00150EDC">
        <w:rPr>
          <w:sz w:val="24"/>
        </w:rPr>
        <w:t>permission</w:t>
      </w:r>
      <w:r w:rsidRPr="00150EDC">
        <w:rPr>
          <w:spacing w:val="-4"/>
          <w:sz w:val="24"/>
        </w:rPr>
        <w:t xml:space="preserve"> </w:t>
      </w:r>
      <w:r w:rsidRPr="00150EDC">
        <w:rPr>
          <w:sz w:val="24"/>
        </w:rPr>
        <w:t>of</w:t>
      </w:r>
      <w:r w:rsidRPr="00150EDC">
        <w:rPr>
          <w:spacing w:val="-3"/>
          <w:sz w:val="24"/>
        </w:rPr>
        <w:t xml:space="preserve"> </w:t>
      </w:r>
      <w:r w:rsidRPr="00150EDC">
        <w:rPr>
          <w:sz w:val="24"/>
        </w:rPr>
        <w:t>the</w:t>
      </w:r>
      <w:r w:rsidRPr="00150EDC">
        <w:rPr>
          <w:spacing w:val="-3"/>
          <w:sz w:val="24"/>
        </w:rPr>
        <w:t xml:space="preserve"> </w:t>
      </w:r>
      <w:r w:rsidRPr="00150EDC">
        <w:rPr>
          <w:sz w:val="24"/>
        </w:rPr>
        <w:t>worker</w:t>
      </w:r>
      <w:r w:rsidRPr="00150EDC">
        <w:rPr>
          <w:spacing w:val="-2"/>
          <w:sz w:val="24"/>
        </w:rPr>
        <w:t xml:space="preserve"> concerned;</w:t>
      </w:r>
    </w:p>
    <w:p w14:paraId="1B8BD90B" w14:textId="77777777" w:rsidR="004C7180" w:rsidRPr="00150EDC" w:rsidRDefault="00CF0754" w:rsidP="00B320C7">
      <w:pPr>
        <w:pStyle w:val="ListParagraph"/>
        <w:numPr>
          <w:ilvl w:val="2"/>
          <w:numId w:val="97"/>
        </w:numPr>
        <w:tabs>
          <w:tab w:val="left" w:pos="3819"/>
          <w:tab w:val="left" w:pos="3822"/>
        </w:tabs>
        <w:spacing w:before="112"/>
        <w:ind w:right="1613"/>
        <w:rPr>
          <w:sz w:val="24"/>
        </w:rPr>
      </w:pPr>
      <w:r w:rsidRPr="00150EDC">
        <w:rPr>
          <w:sz w:val="24"/>
        </w:rPr>
        <w:t>record</w:t>
      </w:r>
      <w:r w:rsidRPr="00150EDC">
        <w:rPr>
          <w:spacing w:val="-5"/>
          <w:sz w:val="24"/>
        </w:rPr>
        <w:t xml:space="preserve"> </w:t>
      </w:r>
      <w:r w:rsidRPr="00150EDC">
        <w:rPr>
          <w:sz w:val="24"/>
        </w:rPr>
        <w:t>all</w:t>
      </w:r>
      <w:r w:rsidRPr="00150EDC">
        <w:rPr>
          <w:spacing w:val="-6"/>
          <w:sz w:val="24"/>
        </w:rPr>
        <w:t xml:space="preserve"> </w:t>
      </w:r>
      <w:r w:rsidRPr="00150EDC">
        <w:rPr>
          <w:sz w:val="24"/>
        </w:rPr>
        <w:t>disciplinary</w:t>
      </w:r>
      <w:r w:rsidRPr="00150EDC">
        <w:rPr>
          <w:spacing w:val="-5"/>
          <w:sz w:val="24"/>
        </w:rPr>
        <w:t xml:space="preserve"> </w:t>
      </w:r>
      <w:r w:rsidRPr="00150EDC">
        <w:rPr>
          <w:sz w:val="24"/>
        </w:rPr>
        <w:t>measures</w:t>
      </w:r>
      <w:r w:rsidRPr="00150EDC">
        <w:rPr>
          <w:spacing w:val="-5"/>
          <w:sz w:val="24"/>
        </w:rPr>
        <w:t xml:space="preserve"> </w:t>
      </w:r>
      <w:r w:rsidRPr="00150EDC">
        <w:rPr>
          <w:sz w:val="24"/>
        </w:rPr>
        <w:t>taken</w:t>
      </w:r>
      <w:r w:rsidRPr="00150EDC">
        <w:rPr>
          <w:spacing w:val="-7"/>
          <w:sz w:val="24"/>
        </w:rPr>
        <w:t xml:space="preserve"> </w:t>
      </w:r>
      <w:r w:rsidRPr="00150EDC">
        <w:rPr>
          <w:sz w:val="24"/>
        </w:rPr>
        <w:t>against</w:t>
      </w:r>
      <w:r w:rsidRPr="00150EDC">
        <w:rPr>
          <w:spacing w:val="-5"/>
          <w:sz w:val="24"/>
        </w:rPr>
        <w:t xml:space="preserve"> </w:t>
      </w:r>
      <w:r w:rsidRPr="00150EDC">
        <w:rPr>
          <w:sz w:val="24"/>
        </w:rPr>
        <w:t>Supplier</w:t>
      </w:r>
      <w:r w:rsidRPr="00150EDC">
        <w:rPr>
          <w:spacing w:val="-5"/>
          <w:sz w:val="24"/>
        </w:rPr>
        <w:t xml:space="preserve"> </w:t>
      </w:r>
      <w:r w:rsidRPr="00150EDC">
        <w:rPr>
          <w:sz w:val="24"/>
        </w:rPr>
        <w:t xml:space="preserve">Staff; </w:t>
      </w:r>
      <w:r w:rsidRPr="00150EDC">
        <w:rPr>
          <w:spacing w:val="-4"/>
          <w:sz w:val="24"/>
        </w:rPr>
        <w:t>and</w:t>
      </w:r>
    </w:p>
    <w:p w14:paraId="5F124972" w14:textId="77777777" w:rsidR="004C7180" w:rsidRPr="00150EDC" w:rsidRDefault="00CF0754" w:rsidP="00B320C7">
      <w:pPr>
        <w:pStyle w:val="ListParagraph"/>
        <w:numPr>
          <w:ilvl w:val="2"/>
          <w:numId w:val="97"/>
        </w:numPr>
        <w:tabs>
          <w:tab w:val="left" w:pos="3819"/>
          <w:tab w:val="left" w:pos="3822"/>
        </w:tabs>
        <w:spacing w:before="120"/>
        <w:ind w:right="1482"/>
        <w:rPr>
          <w:sz w:val="24"/>
        </w:rPr>
      </w:pPr>
      <w:r w:rsidRPr="00150EDC">
        <w:rPr>
          <w:sz w:val="24"/>
        </w:rPr>
        <w:t>ensure that Supplier Staff are engaged under a recognised employment</w:t>
      </w:r>
      <w:r w:rsidRPr="00150EDC">
        <w:rPr>
          <w:spacing w:val="-6"/>
          <w:sz w:val="24"/>
        </w:rPr>
        <w:t xml:space="preserve"> </w:t>
      </w:r>
      <w:r w:rsidRPr="00150EDC">
        <w:rPr>
          <w:sz w:val="24"/>
        </w:rPr>
        <w:t>relationship</w:t>
      </w:r>
      <w:r w:rsidRPr="00150EDC">
        <w:rPr>
          <w:spacing w:val="-6"/>
          <w:sz w:val="24"/>
        </w:rPr>
        <w:t xml:space="preserve"> </w:t>
      </w:r>
      <w:r w:rsidRPr="00150EDC">
        <w:rPr>
          <w:sz w:val="24"/>
        </w:rPr>
        <w:t>established</w:t>
      </w:r>
      <w:r w:rsidRPr="00150EDC">
        <w:rPr>
          <w:spacing w:val="-8"/>
          <w:sz w:val="24"/>
        </w:rPr>
        <w:t xml:space="preserve"> </w:t>
      </w:r>
      <w:r w:rsidRPr="00150EDC">
        <w:rPr>
          <w:sz w:val="24"/>
        </w:rPr>
        <w:t>through</w:t>
      </w:r>
      <w:r w:rsidRPr="00150EDC">
        <w:rPr>
          <w:spacing w:val="-10"/>
          <w:sz w:val="24"/>
        </w:rPr>
        <w:t xml:space="preserve"> </w:t>
      </w:r>
      <w:r w:rsidRPr="00150EDC">
        <w:rPr>
          <w:sz w:val="24"/>
        </w:rPr>
        <w:t>national</w:t>
      </w:r>
      <w:r w:rsidRPr="00150EDC">
        <w:rPr>
          <w:spacing w:val="-6"/>
          <w:sz w:val="24"/>
        </w:rPr>
        <w:t xml:space="preserve"> </w:t>
      </w:r>
      <w:r w:rsidRPr="00150EDC">
        <w:rPr>
          <w:sz w:val="24"/>
        </w:rPr>
        <w:t>law</w:t>
      </w:r>
      <w:r w:rsidRPr="00150EDC">
        <w:rPr>
          <w:spacing w:val="-6"/>
          <w:sz w:val="24"/>
        </w:rPr>
        <w:t xml:space="preserve"> </w:t>
      </w:r>
      <w:r w:rsidRPr="00150EDC">
        <w:rPr>
          <w:sz w:val="24"/>
        </w:rPr>
        <w:t xml:space="preserve">and </w:t>
      </w:r>
      <w:r w:rsidRPr="00150EDC">
        <w:rPr>
          <w:spacing w:val="-2"/>
          <w:sz w:val="24"/>
        </w:rPr>
        <w:t>practice.</w:t>
      </w:r>
    </w:p>
    <w:p w14:paraId="5B987B12" w14:textId="77777777" w:rsidR="004C7180" w:rsidRPr="00150EDC" w:rsidRDefault="00CF0754" w:rsidP="00B320C7">
      <w:pPr>
        <w:pStyle w:val="Heading4"/>
        <w:numPr>
          <w:ilvl w:val="0"/>
          <w:numId w:val="97"/>
        </w:numPr>
        <w:tabs>
          <w:tab w:val="left" w:pos="1827"/>
        </w:tabs>
        <w:spacing w:before="120"/>
        <w:ind w:left="1827" w:hanging="427"/>
      </w:pPr>
      <w:r w:rsidRPr="00150EDC">
        <w:t>Working</w:t>
      </w:r>
      <w:r w:rsidRPr="00150EDC">
        <w:rPr>
          <w:spacing w:val="-3"/>
        </w:rPr>
        <w:t xml:space="preserve"> </w:t>
      </w:r>
      <w:r w:rsidRPr="00150EDC">
        <w:rPr>
          <w:spacing w:val="-2"/>
        </w:rPr>
        <w:t>Hours</w:t>
      </w:r>
    </w:p>
    <w:p w14:paraId="03B64785" w14:textId="77777777" w:rsidR="004C7180" w:rsidRPr="00150EDC" w:rsidRDefault="004C7180">
      <w:pPr>
        <w:pStyle w:val="BodyText"/>
        <w:spacing w:before="10"/>
        <w:rPr>
          <w:b/>
          <w:sz w:val="20"/>
        </w:rPr>
      </w:pPr>
    </w:p>
    <w:p w14:paraId="02E274F7" w14:textId="77777777" w:rsidR="004C7180" w:rsidRPr="00150EDC" w:rsidRDefault="00CF0754" w:rsidP="00B320C7">
      <w:pPr>
        <w:pStyle w:val="ListParagraph"/>
        <w:numPr>
          <w:ilvl w:val="1"/>
          <w:numId w:val="97"/>
        </w:numPr>
        <w:tabs>
          <w:tab w:val="left" w:pos="2298"/>
        </w:tabs>
        <w:ind w:left="2298" w:hanging="466"/>
        <w:rPr>
          <w:sz w:val="24"/>
        </w:rPr>
      </w:pPr>
      <w:r w:rsidRPr="00150EDC">
        <w:rPr>
          <w:sz w:val="24"/>
        </w:rPr>
        <w:t>The</w:t>
      </w:r>
      <w:r w:rsidRPr="00150EDC">
        <w:rPr>
          <w:spacing w:val="-3"/>
          <w:sz w:val="24"/>
        </w:rPr>
        <w:t xml:space="preserve"> </w:t>
      </w:r>
      <w:r w:rsidRPr="00150EDC">
        <w:rPr>
          <w:sz w:val="24"/>
        </w:rPr>
        <w:t>Supplier</w:t>
      </w:r>
      <w:r w:rsidRPr="00150EDC">
        <w:rPr>
          <w:spacing w:val="-2"/>
          <w:sz w:val="24"/>
        </w:rPr>
        <w:t xml:space="preserve"> shall:</w:t>
      </w:r>
    </w:p>
    <w:p w14:paraId="44ADCB52" w14:textId="77777777" w:rsidR="004C7180" w:rsidRPr="00150EDC" w:rsidRDefault="00CF0754" w:rsidP="00B320C7">
      <w:pPr>
        <w:pStyle w:val="ListParagraph"/>
        <w:numPr>
          <w:ilvl w:val="2"/>
          <w:numId w:val="97"/>
        </w:numPr>
        <w:tabs>
          <w:tab w:val="left" w:pos="3819"/>
          <w:tab w:val="left" w:pos="3822"/>
        </w:tabs>
        <w:spacing w:before="120"/>
        <w:ind w:right="1785"/>
        <w:rPr>
          <w:sz w:val="24"/>
        </w:rPr>
      </w:pPr>
      <w:r w:rsidRPr="00150EDC">
        <w:rPr>
          <w:sz w:val="24"/>
        </w:rPr>
        <w:t>ensure</w:t>
      </w:r>
      <w:r w:rsidRPr="00150EDC">
        <w:rPr>
          <w:spacing w:val="-5"/>
          <w:sz w:val="24"/>
        </w:rPr>
        <w:t xml:space="preserve"> </w:t>
      </w:r>
      <w:r w:rsidRPr="00150EDC">
        <w:rPr>
          <w:sz w:val="24"/>
        </w:rPr>
        <w:t>that</w:t>
      </w:r>
      <w:r w:rsidRPr="00150EDC">
        <w:rPr>
          <w:spacing w:val="-3"/>
          <w:sz w:val="24"/>
        </w:rPr>
        <w:t xml:space="preserve"> </w:t>
      </w:r>
      <w:r w:rsidRPr="00150EDC">
        <w:rPr>
          <w:sz w:val="24"/>
        </w:rPr>
        <w:t>the</w:t>
      </w:r>
      <w:r w:rsidRPr="00150EDC">
        <w:rPr>
          <w:spacing w:val="-3"/>
          <w:sz w:val="24"/>
        </w:rPr>
        <w:t xml:space="preserve"> </w:t>
      </w:r>
      <w:r w:rsidRPr="00150EDC">
        <w:rPr>
          <w:sz w:val="24"/>
        </w:rPr>
        <w:t>working</w:t>
      </w:r>
      <w:r w:rsidRPr="00150EDC">
        <w:rPr>
          <w:spacing w:val="-3"/>
          <w:sz w:val="24"/>
        </w:rPr>
        <w:t xml:space="preserve"> </w:t>
      </w:r>
      <w:r w:rsidRPr="00150EDC">
        <w:rPr>
          <w:sz w:val="24"/>
        </w:rPr>
        <w:t>hours</w:t>
      </w:r>
      <w:r w:rsidRPr="00150EDC">
        <w:rPr>
          <w:spacing w:val="-3"/>
          <w:sz w:val="24"/>
        </w:rPr>
        <w:t xml:space="preserve"> </w:t>
      </w:r>
      <w:r w:rsidRPr="00150EDC">
        <w:rPr>
          <w:sz w:val="24"/>
        </w:rPr>
        <w:t>of</w:t>
      </w:r>
      <w:r w:rsidRPr="00150EDC">
        <w:rPr>
          <w:spacing w:val="-5"/>
          <w:sz w:val="24"/>
        </w:rPr>
        <w:t xml:space="preserve"> </w:t>
      </w:r>
      <w:r w:rsidRPr="00150EDC">
        <w:rPr>
          <w:sz w:val="24"/>
        </w:rPr>
        <w:t>Supplier</w:t>
      </w:r>
      <w:r w:rsidRPr="00150EDC">
        <w:rPr>
          <w:spacing w:val="-3"/>
          <w:sz w:val="24"/>
        </w:rPr>
        <w:t xml:space="preserve"> </w:t>
      </w:r>
      <w:r w:rsidRPr="00150EDC">
        <w:rPr>
          <w:sz w:val="24"/>
        </w:rPr>
        <w:t>Staff</w:t>
      </w:r>
      <w:r w:rsidRPr="00150EDC">
        <w:rPr>
          <w:spacing w:val="-3"/>
          <w:sz w:val="24"/>
        </w:rPr>
        <w:t xml:space="preserve"> </w:t>
      </w:r>
      <w:r w:rsidRPr="00150EDC">
        <w:rPr>
          <w:sz w:val="24"/>
        </w:rPr>
        <w:t>comply</w:t>
      </w:r>
      <w:r w:rsidRPr="00150EDC">
        <w:rPr>
          <w:spacing w:val="-3"/>
          <w:sz w:val="24"/>
        </w:rPr>
        <w:t xml:space="preserve"> </w:t>
      </w:r>
      <w:r w:rsidRPr="00150EDC">
        <w:rPr>
          <w:sz w:val="24"/>
        </w:rPr>
        <w:t>with national laws, and any collective agreements;</w:t>
      </w:r>
    </w:p>
    <w:p w14:paraId="5A5DED58" w14:textId="77777777" w:rsidR="004C7180" w:rsidRPr="00150EDC" w:rsidRDefault="00CF0754" w:rsidP="00B320C7">
      <w:pPr>
        <w:pStyle w:val="ListParagraph"/>
        <w:numPr>
          <w:ilvl w:val="2"/>
          <w:numId w:val="97"/>
        </w:numPr>
        <w:tabs>
          <w:tab w:val="left" w:pos="3819"/>
          <w:tab w:val="left" w:pos="3822"/>
        </w:tabs>
        <w:spacing w:before="121"/>
        <w:ind w:right="1487"/>
        <w:rPr>
          <w:sz w:val="24"/>
        </w:rPr>
      </w:pPr>
      <w:r w:rsidRPr="00150EDC">
        <w:rPr>
          <w:sz w:val="24"/>
        </w:rPr>
        <w:t>ensure that the working hours of Supplier Staff, excluding overtime, shall be defined by contract, and shall not exceed 48</w:t>
      </w:r>
      <w:r w:rsidRPr="00150EDC">
        <w:rPr>
          <w:spacing w:val="-3"/>
          <w:sz w:val="24"/>
        </w:rPr>
        <w:t xml:space="preserve"> </w:t>
      </w:r>
      <w:r w:rsidRPr="00150EDC">
        <w:rPr>
          <w:sz w:val="24"/>
        </w:rPr>
        <w:t>hours</w:t>
      </w:r>
      <w:r w:rsidRPr="00150EDC">
        <w:rPr>
          <w:spacing w:val="-3"/>
          <w:sz w:val="24"/>
        </w:rPr>
        <w:t xml:space="preserve"> </w:t>
      </w:r>
      <w:r w:rsidRPr="00150EDC">
        <w:rPr>
          <w:sz w:val="24"/>
        </w:rPr>
        <w:t>per</w:t>
      </w:r>
      <w:r w:rsidRPr="00150EDC">
        <w:rPr>
          <w:spacing w:val="-3"/>
          <w:sz w:val="24"/>
        </w:rPr>
        <w:t xml:space="preserve"> </w:t>
      </w:r>
      <w:r w:rsidRPr="00150EDC">
        <w:rPr>
          <w:sz w:val="24"/>
        </w:rPr>
        <w:t>week</w:t>
      </w:r>
      <w:r w:rsidRPr="00150EDC">
        <w:rPr>
          <w:spacing w:val="-5"/>
          <w:sz w:val="24"/>
        </w:rPr>
        <w:t xml:space="preserve"> </w:t>
      </w:r>
      <w:r w:rsidRPr="00150EDC">
        <w:rPr>
          <w:sz w:val="24"/>
        </w:rPr>
        <w:t>unless</w:t>
      </w:r>
      <w:r w:rsidRPr="00150EDC">
        <w:rPr>
          <w:spacing w:val="-3"/>
          <w:sz w:val="24"/>
        </w:rPr>
        <w:t xml:space="preserve"> </w:t>
      </w:r>
      <w:r w:rsidRPr="00150EDC">
        <w:rPr>
          <w:sz w:val="24"/>
        </w:rPr>
        <w:t>the</w:t>
      </w:r>
      <w:r w:rsidRPr="00150EDC">
        <w:rPr>
          <w:spacing w:val="-3"/>
          <w:sz w:val="24"/>
        </w:rPr>
        <w:t xml:space="preserve"> </w:t>
      </w:r>
      <w:r w:rsidRPr="00150EDC">
        <w:rPr>
          <w:sz w:val="24"/>
        </w:rPr>
        <w:t>individual</w:t>
      </w:r>
      <w:r w:rsidRPr="00150EDC">
        <w:rPr>
          <w:spacing w:val="-3"/>
          <w:sz w:val="24"/>
        </w:rPr>
        <w:t xml:space="preserve"> </w:t>
      </w:r>
      <w:r w:rsidRPr="00150EDC">
        <w:rPr>
          <w:sz w:val="24"/>
        </w:rPr>
        <w:t>has</w:t>
      </w:r>
      <w:r w:rsidRPr="00150EDC">
        <w:rPr>
          <w:spacing w:val="-5"/>
          <w:sz w:val="24"/>
        </w:rPr>
        <w:t xml:space="preserve"> </w:t>
      </w:r>
      <w:r w:rsidRPr="00150EDC">
        <w:rPr>
          <w:sz w:val="24"/>
        </w:rPr>
        <w:t>agreed</w:t>
      </w:r>
      <w:r w:rsidRPr="00150EDC">
        <w:rPr>
          <w:spacing w:val="-3"/>
          <w:sz w:val="24"/>
        </w:rPr>
        <w:t xml:space="preserve"> </w:t>
      </w:r>
      <w:r w:rsidRPr="00150EDC">
        <w:rPr>
          <w:sz w:val="24"/>
        </w:rPr>
        <w:t>in</w:t>
      </w:r>
      <w:r w:rsidRPr="00150EDC">
        <w:rPr>
          <w:spacing w:val="-3"/>
          <w:sz w:val="24"/>
        </w:rPr>
        <w:t xml:space="preserve"> </w:t>
      </w:r>
      <w:r w:rsidRPr="00150EDC">
        <w:rPr>
          <w:sz w:val="24"/>
        </w:rPr>
        <w:t>writing;</w:t>
      </w:r>
    </w:p>
    <w:p w14:paraId="606730AB" w14:textId="77777777" w:rsidR="004C7180" w:rsidRPr="00150EDC" w:rsidRDefault="00CF0754" w:rsidP="00B320C7">
      <w:pPr>
        <w:pStyle w:val="ListParagraph"/>
        <w:numPr>
          <w:ilvl w:val="2"/>
          <w:numId w:val="97"/>
        </w:numPr>
        <w:tabs>
          <w:tab w:val="left" w:pos="3819"/>
          <w:tab w:val="left" w:pos="3822"/>
        </w:tabs>
        <w:spacing w:before="120"/>
        <w:ind w:right="1803"/>
        <w:rPr>
          <w:sz w:val="24"/>
        </w:rPr>
      </w:pPr>
      <w:r w:rsidRPr="00150EDC">
        <w:rPr>
          <w:sz w:val="24"/>
        </w:rPr>
        <w:t>ensure</w:t>
      </w:r>
      <w:r w:rsidRPr="00150EDC">
        <w:rPr>
          <w:spacing w:val="-6"/>
          <w:sz w:val="24"/>
        </w:rPr>
        <w:t xml:space="preserve"> </w:t>
      </w:r>
      <w:r w:rsidRPr="00150EDC">
        <w:rPr>
          <w:sz w:val="24"/>
        </w:rPr>
        <w:t>that</w:t>
      </w:r>
      <w:r w:rsidRPr="00150EDC">
        <w:rPr>
          <w:spacing w:val="-4"/>
          <w:sz w:val="24"/>
        </w:rPr>
        <w:t xml:space="preserve"> </w:t>
      </w:r>
      <w:r w:rsidRPr="00150EDC">
        <w:rPr>
          <w:sz w:val="24"/>
        </w:rPr>
        <w:t>use</w:t>
      </w:r>
      <w:r w:rsidRPr="00150EDC">
        <w:rPr>
          <w:spacing w:val="-4"/>
          <w:sz w:val="24"/>
        </w:rPr>
        <w:t xml:space="preserve"> </w:t>
      </w:r>
      <w:r w:rsidRPr="00150EDC">
        <w:rPr>
          <w:sz w:val="24"/>
        </w:rPr>
        <w:t>of</w:t>
      </w:r>
      <w:r w:rsidRPr="00150EDC">
        <w:rPr>
          <w:spacing w:val="-6"/>
          <w:sz w:val="24"/>
        </w:rPr>
        <w:t xml:space="preserve"> </w:t>
      </w:r>
      <w:r w:rsidRPr="00150EDC">
        <w:rPr>
          <w:sz w:val="24"/>
        </w:rPr>
        <w:t>overtime</w:t>
      </w:r>
      <w:r w:rsidRPr="00150EDC">
        <w:rPr>
          <w:spacing w:val="-4"/>
          <w:sz w:val="24"/>
        </w:rPr>
        <w:t xml:space="preserve"> </w:t>
      </w:r>
      <w:r w:rsidRPr="00150EDC">
        <w:rPr>
          <w:sz w:val="24"/>
        </w:rPr>
        <w:t>is</w:t>
      </w:r>
      <w:r w:rsidRPr="00150EDC">
        <w:rPr>
          <w:spacing w:val="-6"/>
          <w:sz w:val="24"/>
        </w:rPr>
        <w:t xml:space="preserve"> </w:t>
      </w:r>
      <w:r w:rsidRPr="00150EDC">
        <w:rPr>
          <w:sz w:val="24"/>
        </w:rPr>
        <w:t>used</w:t>
      </w:r>
      <w:r w:rsidRPr="00150EDC">
        <w:rPr>
          <w:spacing w:val="-6"/>
          <w:sz w:val="24"/>
        </w:rPr>
        <w:t xml:space="preserve"> </w:t>
      </w:r>
      <w:r w:rsidRPr="00150EDC">
        <w:rPr>
          <w:sz w:val="24"/>
        </w:rPr>
        <w:t>responsibly,</w:t>
      </w:r>
      <w:r w:rsidRPr="00150EDC">
        <w:rPr>
          <w:spacing w:val="-4"/>
          <w:sz w:val="24"/>
        </w:rPr>
        <w:t xml:space="preserve"> </w:t>
      </w:r>
      <w:r w:rsidRPr="00150EDC">
        <w:rPr>
          <w:sz w:val="24"/>
        </w:rPr>
        <w:t>taking</w:t>
      </w:r>
      <w:r w:rsidRPr="00150EDC">
        <w:rPr>
          <w:spacing w:val="-4"/>
          <w:sz w:val="24"/>
        </w:rPr>
        <w:t xml:space="preserve"> </w:t>
      </w:r>
      <w:r w:rsidRPr="00150EDC">
        <w:rPr>
          <w:sz w:val="24"/>
        </w:rPr>
        <w:t xml:space="preserve">into </w:t>
      </w:r>
      <w:r w:rsidRPr="00150EDC">
        <w:rPr>
          <w:spacing w:val="-2"/>
          <w:sz w:val="24"/>
        </w:rPr>
        <w:t>account:</w:t>
      </w:r>
    </w:p>
    <w:p w14:paraId="71C2F8F1" w14:textId="77777777" w:rsidR="004C7180" w:rsidRPr="00150EDC" w:rsidRDefault="00CF0754" w:rsidP="00B320C7">
      <w:pPr>
        <w:pStyle w:val="ListParagraph"/>
        <w:numPr>
          <w:ilvl w:val="3"/>
          <w:numId w:val="97"/>
        </w:numPr>
        <w:tabs>
          <w:tab w:val="left" w:pos="4247"/>
        </w:tabs>
        <w:spacing w:before="120"/>
        <w:rPr>
          <w:sz w:val="24"/>
        </w:rPr>
      </w:pPr>
      <w:r w:rsidRPr="00150EDC">
        <w:rPr>
          <w:sz w:val="24"/>
        </w:rPr>
        <w:t>the</w:t>
      </w:r>
      <w:r w:rsidRPr="00150EDC">
        <w:rPr>
          <w:spacing w:val="-2"/>
          <w:sz w:val="24"/>
        </w:rPr>
        <w:t xml:space="preserve"> extent;</w:t>
      </w:r>
    </w:p>
    <w:p w14:paraId="5FD53A2C" w14:textId="77777777" w:rsidR="004C7180" w:rsidRPr="00150EDC" w:rsidRDefault="00CF0754" w:rsidP="00B320C7">
      <w:pPr>
        <w:pStyle w:val="ListParagraph"/>
        <w:numPr>
          <w:ilvl w:val="3"/>
          <w:numId w:val="97"/>
        </w:numPr>
        <w:tabs>
          <w:tab w:val="left" w:pos="4247"/>
        </w:tabs>
        <w:spacing w:before="112"/>
        <w:rPr>
          <w:sz w:val="24"/>
        </w:rPr>
      </w:pPr>
      <w:r w:rsidRPr="00150EDC">
        <w:rPr>
          <w:sz w:val="24"/>
        </w:rPr>
        <w:t>frequency;</w:t>
      </w:r>
      <w:r w:rsidRPr="00150EDC">
        <w:rPr>
          <w:spacing w:val="-8"/>
          <w:sz w:val="24"/>
        </w:rPr>
        <w:t xml:space="preserve"> </w:t>
      </w:r>
      <w:r w:rsidRPr="00150EDC">
        <w:rPr>
          <w:spacing w:val="-5"/>
          <w:sz w:val="24"/>
        </w:rPr>
        <w:t>and</w:t>
      </w:r>
    </w:p>
    <w:p w14:paraId="1225974F" w14:textId="77777777" w:rsidR="004C7180" w:rsidRPr="00150EDC" w:rsidRDefault="00CF0754" w:rsidP="00B320C7">
      <w:pPr>
        <w:pStyle w:val="ListParagraph"/>
        <w:numPr>
          <w:ilvl w:val="3"/>
          <w:numId w:val="97"/>
        </w:numPr>
        <w:tabs>
          <w:tab w:val="left" w:pos="4247"/>
        </w:tabs>
        <w:spacing w:before="111"/>
        <w:rPr>
          <w:sz w:val="24"/>
        </w:rPr>
      </w:pPr>
      <w:r w:rsidRPr="00150EDC">
        <w:rPr>
          <w:sz w:val="24"/>
        </w:rPr>
        <w:t xml:space="preserve">hours </w:t>
      </w:r>
      <w:r w:rsidRPr="00150EDC">
        <w:rPr>
          <w:spacing w:val="-2"/>
          <w:sz w:val="24"/>
        </w:rPr>
        <w:t>worked;</w:t>
      </w:r>
    </w:p>
    <w:p w14:paraId="472A65B3" w14:textId="77777777" w:rsidR="004C7180" w:rsidRPr="00150EDC" w:rsidRDefault="00CF0754">
      <w:pPr>
        <w:pStyle w:val="BodyText"/>
        <w:spacing w:before="112"/>
        <w:ind w:left="2336"/>
      </w:pPr>
      <w:r w:rsidRPr="00150EDC">
        <w:t>by</w:t>
      </w:r>
      <w:r w:rsidRPr="00150EDC">
        <w:rPr>
          <w:spacing w:val="-2"/>
        </w:rPr>
        <w:t xml:space="preserve"> </w:t>
      </w:r>
      <w:r w:rsidRPr="00150EDC">
        <w:t>individuals</w:t>
      </w:r>
      <w:r w:rsidRPr="00150EDC">
        <w:rPr>
          <w:spacing w:val="-2"/>
        </w:rPr>
        <w:t xml:space="preserve"> </w:t>
      </w:r>
      <w:r w:rsidRPr="00150EDC">
        <w:t>and</w:t>
      </w:r>
      <w:r w:rsidRPr="00150EDC">
        <w:rPr>
          <w:spacing w:val="-4"/>
        </w:rPr>
        <w:t xml:space="preserve"> </w:t>
      </w:r>
      <w:r w:rsidRPr="00150EDC">
        <w:t>by</w:t>
      </w:r>
      <w:r w:rsidRPr="00150EDC">
        <w:rPr>
          <w:spacing w:val="-2"/>
        </w:rPr>
        <w:t xml:space="preserve"> </w:t>
      </w:r>
      <w:r w:rsidRPr="00150EDC">
        <w:t>the</w:t>
      </w:r>
      <w:r w:rsidRPr="00150EDC">
        <w:rPr>
          <w:spacing w:val="-1"/>
        </w:rPr>
        <w:t xml:space="preserve"> </w:t>
      </w:r>
      <w:r w:rsidRPr="00150EDC">
        <w:t>Supplier</w:t>
      </w:r>
      <w:r w:rsidRPr="00150EDC">
        <w:rPr>
          <w:spacing w:val="-5"/>
        </w:rPr>
        <w:t xml:space="preserve"> </w:t>
      </w:r>
      <w:r w:rsidRPr="00150EDC">
        <w:t>Staff</w:t>
      </w:r>
      <w:r w:rsidRPr="00150EDC">
        <w:rPr>
          <w:spacing w:val="-2"/>
        </w:rPr>
        <w:t xml:space="preserve"> </w:t>
      </w:r>
      <w:r w:rsidRPr="00150EDC">
        <w:t>as</w:t>
      </w:r>
      <w:r w:rsidRPr="00150EDC">
        <w:rPr>
          <w:spacing w:val="-4"/>
        </w:rPr>
        <w:t xml:space="preserve"> </w:t>
      </w:r>
      <w:r w:rsidRPr="00150EDC">
        <w:t>a</w:t>
      </w:r>
      <w:r w:rsidRPr="00150EDC">
        <w:rPr>
          <w:spacing w:val="-3"/>
        </w:rPr>
        <w:t xml:space="preserve"> </w:t>
      </w:r>
      <w:r w:rsidRPr="00150EDC">
        <w:rPr>
          <w:spacing w:val="-2"/>
        </w:rPr>
        <w:t>whole;</w:t>
      </w:r>
    </w:p>
    <w:p w14:paraId="408C601D" w14:textId="77777777" w:rsidR="004C7180" w:rsidRPr="00150EDC" w:rsidRDefault="00CF0754" w:rsidP="00B320C7">
      <w:pPr>
        <w:pStyle w:val="ListParagraph"/>
        <w:numPr>
          <w:ilvl w:val="1"/>
          <w:numId w:val="97"/>
        </w:numPr>
        <w:tabs>
          <w:tab w:val="left" w:pos="2300"/>
        </w:tabs>
        <w:spacing w:before="121"/>
        <w:ind w:right="1655" w:hanging="617"/>
        <w:rPr>
          <w:sz w:val="24"/>
        </w:rPr>
      </w:pPr>
      <w:r w:rsidRPr="00150EDC">
        <w:rPr>
          <w:sz w:val="24"/>
        </w:rPr>
        <w:t>The</w:t>
      </w:r>
      <w:r w:rsidRPr="00150EDC">
        <w:rPr>
          <w:spacing w:val="-2"/>
          <w:sz w:val="24"/>
        </w:rPr>
        <w:t xml:space="preserve"> </w:t>
      </w:r>
      <w:r w:rsidRPr="00150EDC">
        <w:rPr>
          <w:sz w:val="24"/>
        </w:rPr>
        <w:t>total</w:t>
      </w:r>
      <w:r w:rsidRPr="00150EDC">
        <w:rPr>
          <w:spacing w:val="-2"/>
          <w:sz w:val="24"/>
        </w:rPr>
        <w:t xml:space="preserve"> </w:t>
      </w:r>
      <w:r w:rsidRPr="00150EDC">
        <w:rPr>
          <w:sz w:val="24"/>
        </w:rPr>
        <w:t>hours</w:t>
      </w:r>
      <w:r w:rsidRPr="00150EDC">
        <w:rPr>
          <w:spacing w:val="-2"/>
          <w:sz w:val="24"/>
        </w:rPr>
        <w:t xml:space="preserve"> </w:t>
      </w:r>
      <w:r w:rsidRPr="00150EDC">
        <w:rPr>
          <w:sz w:val="24"/>
        </w:rPr>
        <w:t>worked</w:t>
      </w:r>
      <w:r w:rsidRPr="00150EDC">
        <w:rPr>
          <w:spacing w:val="-4"/>
          <w:sz w:val="24"/>
        </w:rPr>
        <w:t xml:space="preserve"> </w:t>
      </w:r>
      <w:r w:rsidRPr="00150EDC">
        <w:rPr>
          <w:sz w:val="24"/>
        </w:rPr>
        <w:t>in</w:t>
      </w:r>
      <w:r w:rsidRPr="00150EDC">
        <w:rPr>
          <w:spacing w:val="-2"/>
          <w:sz w:val="24"/>
        </w:rPr>
        <w:t xml:space="preserve"> </w:t>
      </w:r>
      <w:r w:rsidRPr="00150EDC">
        <w:rPr>
          <w:sz w:val="24"/>
        </w:rPr>
        <w:t>any</w:t>
      </w:r>
      <w:r w:rsidRPr="00150EDC">
        <w:rPr>
          <w:spacing w:val="-5"/>
          <w:sz w:val="24"/>
        </w:rPr>
        <w:t xml:space="preserve"> </w:t>
      </w:r>
      <w:r w:rsidRPr="00150EDC">
        <w:rPr>
          <w:sz w:val="24"/>
        </w:rPr>
        <w:t>seven</w:t>
      </w:r>
      <w:r w:rsidRPr="00150EDC">
        <w:rPr>
          <w:spacing w:val="-2"/>
          <w:sz w:val="24"/>
        </w:rPr>
        <w:t xml:space="preserve"> </w:t>
      </w:r>
      <w:r w:rsidRPr="00150EDC">
        <w:rPr>
          <w:sz w:val="24"/>
        </w:rPr>
        <w:t>day</w:t>
      </w:r>
      <w:r w:rsidRPr="00150EDC">
        <w:rPr>
          <w:spacing w:val="-2"/>
          <w:sz w:val="24"/>
        </w:rPr>
        <w:t xml:space="preserve"> </w:t>
      </w:r>
      <w:r w:rsidRPr="00150EDC">
        <w:rPr>
          <w:sz w:val="24"/>
        </w:rPr>
        <w:t>period</w:t>
      </w:r>
      <w:r w:rsidRPr="00150EDC">
        <w:rPr>
          <w:spacing w:val="-2"/>
          <w:sz w:val="24"/>
        </w:rPr>
        <w:t xml:space="preserve"> </w:t>
      </w:r>
      <w:r w:rsidRPr="00150EDC">
        <w:rPr>
          <w:sz w:val="24"/>
        </w:rPr>
        <w:t>shall</w:t>
      </w:r>
      <w:r w:rsidRPr="00150EDC">
        <w:rPr>
          <w:spacing w:val="-3"/>
          <w:sz w:val="24"/>
        </w:rPr>
        <w:t xml:space="preserve"> </w:t>
      </w:r>
      <w:r w:rsidRPr="00150EDC">
        <w:rPr>
          <w:sz w:val="24"/>
        </w:rPr>
        <w:t>not</w:t>
      </w:r>
      <w:r w:rsidRPr="00150EDC">
        <w:rPr>
          <w:spacing w:val="-4"/>
          <w:sz w:val="24"/>
        </w:rPr>
        <w:t xml:space="preserve"> </w:t>
      </w:r>
      <w:r w:rsidRPr="00150EDC">
        <w:rPr>
          <w:sz w:val="24"/>
        </w:rPr>
        <w:t>exceed</w:t>
      </w:r>
      <w:r w:rsidRPr="00150EDC">
        <w:rPr>
          <w:spacing w:val="-4"/>
          <w:sz w:val="24"/>
        </w:rPr>
        <w:t xml:space="preserve"> </w:t>
      </w:r>
      <w:r w:rsidRPr="00150EDC">
        <w:rPr>
          <w:sz w:val="24"/>
        </w:rPr>
        <w:t>60</w:t>
      </w:r>
      <w:r w:rsidRPr="00150EDC">
        <w:rPr>
          <w:spacing w:val="-4"/>
          <w:sz w:val="24"/>
        </w:rPr>
        <w:t xml:space="preserve"> </w:t>
      </w:r>
      <w:r w:rsidRPr="00150EDC">
        <w:rPr>
          <w:sz w:val="24"/>
        </w:rPr>
        <w:t>hours, except where covered by Paragraph 5.3 below.</w:t>
      </w:r>
    </w:p>
    <w:p w14:paraId="64501B70" w14:textId="77777777" w:rsidR="004C7180" w:rsidRPr="00150EDC" w:rsidRDefault="00CF0754" w:rsidP="00B320C7">
      <w:pPr>
        <w:pStyle w:val="ListParagraph"/>
        <w:numPr>
          <w:ilvl w:val="1"/>
          <w:numId w:val="97"/>
        </w:numPr>
        <w:tabs>
          <w:tab w:val="left" w:pos="2300"/>
        </w:tabs>
        <w:spacing w:before="120"/>
        <w:ind w:right="2299" w:hanging="617"/>
        <w:rPr>
          <w:sz w:val="24"/>
        </w:rPr>
      </w:pPr>
      <w:r w:rsidRPr="00150EDC">
        <w:rPr>
          <w:sz w:val="24"/>
        </w:rPr>
        <w:t>Working</w:t>
      </w:r>
      <w:r w:rsidRPr="00150EDC">
        <w:rPr>
          <w:spacing w:val="-5"/>
          <w:sz w:val="24"/>
        </w:rPr>
        <w:t xml:space="preserve"> </w:t>
      </w:r>
      <w:r w:rsidRPr="00150EDC">
        <w:rPr>
          <w:sz w:val="24"/>
        </w:rPr>
        <w:t>hours</w:t>
      </w:r>
      <w:r w:rsidRPr="00150EDC">
        <w:rPr>
          <w:spacing w:val="-3"/>
          <w:sz w:val="24"/>
        </w:rPr>
        <w:t xml:space="preserve"> </w:t>
      </w:r>
      <w:r w:rsidRPr="00150EDC">
        <w:rPr>
          <w:sz w:val="24"/>
        </w:rPr>
        <w:t>may</w:t>
      </w:r>
      <w:r w:rsidRPr="00150EDC">
        <w:rPr>
          <w:spacing w:val="-3"/>
          <w:sz w:val="24"/>
        </w:rPr>
        <w:t xml:space="preserve"> </w:t>
      </w:r>
      <w:r w:rsidRPr="00150EDC">
        <w:rPr>
          <w:sz w:val="24"/>
        </w:rPr>
        <w:t>exceed</w:t>
      </w:r>
      <w:r w:rsidRPr="00150EDC">
        <w:rPr>
          <w:spacing w:val="-5"/>
          <w:sz w:val="24"/>
        </w:rPr>
        <w:t xml:space="preserve"> </w:t>
      </w:r>
      <w:r w:rsidRPr="00150EDC">
        <w:rPr>
          <w:sz w:val="24"/>
        </w:rPr>
        <w:t>60</w:t>
      </w:r>
      <w:r w:rsidRPr="00150EDC">
        <w:rPr>
          <w:spacing w:val="-5"/>
          <w:sz w:val="24"/>
        </w:rPr>
        <w:t xml:space="preserve"> </w:t>
      </w:r>
      <w:r w:rsidRPr="00150EDC">
        <w:rPr>
          <w:sz w:val="24"/>
        </w:rPr>
        <w:t>hours</w:t>
      </w:r>
      <w:r w:rsidRPr="00150EDC">
        <w:rPr>
          <w:spacing w:val="-3"/>
          <w:sz w:val="24"/>
        </w:rPr>
        <w:t xml:space="preserve"> </w:t>
      </w:r>
      <w:r w:rsidRPr="00150EDC">
        <w:rPr>
          <w:sz w:val="24"/>
        </w:rPr>
        <w:t>in</w:t>
      </w:r>
      <w:r w:rsidRPr="00150EDC">
        <w:rPr>
          <w:spacing w:val="-3"/>
          <w:sz w:val="24"/>
        </w:rPr>
        <w:t xml:space="preserve"> </w:t>
      </w:r>
      <w:r w:rsidRPr="00150EDC">
        <w:rPr>
          <w:sz w:val="24"/>
        </w:rPr>
        <w:t>any</w:t>
      </w:r>
      <w:r w:rsidRPr="00150EDC">
        <w:rPr>
          <w:spacing w:val="-3"/>
          <w:sz w:val="24"/>
        </w:rPr>
        <w:t xml:space="preserve"> </w:t>
      </w:r>
      <w:r w:rsidRPr="00150EDC">
        <w:rPr>
          <w:sz w:val="24"/>
        </w:rPr>
        <w:t>seven</w:t>
      </w:r>
      <w:r w:rsidRPr="00150EDC">
        <w:rPr>
          <w:spacing w:val="-5"/>
          <w:sz w:val="24"/>
        </w:rPr>
        <w:t xml:space="preserve"> </w:t>
      </w:r>
      <w:r w:rsidRPr="00150EDC">
        <w:rPr>
          <w:sz w:val="24"/>
        </w:rPr>
        <w:t>day</w:t>
      </w:r>
      <w:r w:rsidRPr="00150EDC">
        <w:rPr>
          <w:spacing w:val="-5"/>
          <w:sz w:val="24"/>
        </w:rPr>
        <w:t xml:space="preserve"> </w:t>
      </w:r>
      <w:r w:rsidRPr="00150EDC">
        <w:rPr>
          <w:sz w:val="24"/>
        </w:rPr>
        <w:t>period</w:t>
      </w:r>
      <w:r w:rsidRPr="00150EDC">
        <w:rPr>
          <w:spacing w:val="-5"/>
          <w:sz w:val="24"/>
        </w:rPr>
        <w:t xml:space="preserve"> </w:t>
      </w:r>
      <w:r w:rsidRPr="00150EDC">
        <w:rPr>
          <w:sz w:val="24"/>
        </w:rPr>
        <w:t>only</w:t>
      </w:r>
      <w:r w:rsidRPr="00150EDC">
        <w:rPr>
          <w:spacing w:val="-3"/>
          <w:sz w:val="24"/>
        </w:rPr>
        <w:t xml:space="preserve"> </w:t>
      </w:r>
      <w:r w:rsidRPr="00150EDC">
        <w:rPr>
          <w:sz w:val="24"/>
        </w:rPr>
        <w:t>in exceptional circumstances where all of the following are met:</w:t>
      </w:r>
    </w:p>
    <w:p w14:paraId="70398EE5" w14:textId="77777777" w:rsidR="004C7180" w:rsidRPr="00150EDC" w:rsidRDefault="00CF0754" w:rsidP="00B320C7">
      <w:pPr>
        <w:pStyle w:val="ListParagraph"/>
        <w:numPr>
          <w:ilvl w:val="2"/>
          <w:numId w:val="97"/>
        </w:numPr>
        <w:tabs>
          <w:tab w:val="left" w:pos="3820"/>
        </w:tabs>
        <w:spacing w:before="120"/>
        <w:ind w:left="3820" w:hanging="718"/>
        <w:rPr>
          <w:sz w:val="24"/>
        </w:rPr>
      </w:pPr>
      <w:r w:rsidRPr="00150EDC">
        <w:rPr>
          <w:sz w:val="24"/>
        </w:rPr>
        <w:t>this</w:t>
      </w:r>
      <w:r w:rsidRPr="00150EDC">
        <w:rPr>
          <w:spacing w:val="-2"/>
          <w:sz w:val="24"/>
        </w:rPr>
        <w:t xml:space="preserve"> </w:t>
      </w:r>
      <w:r w:rsidRPr="00150EDC">
        <w:rPr>
          <w:sz w:val="24"/>
        </w:rPr>
        <w:t>is</w:t>
      </w:r>
      <w:r w:rsidRPr="00150EDC">
        <w:rPr>
          <w:spacing w:val="-1"/>
          <w:sz w:val="24"/>
        </w:rPr>
        <w:t xml:space="preserve"> </w:t>
      </w:r>
      <w:r w:rsidRPr="00150EDC">
        <w:rPr>
          <w:sz w:val="24"/>
        </w:rPr>
        <w:t>allowed</w:t>
      </w:r>
      <w:r w:rsidRPr="00150EDC">
        <w:rPr>
          <w:spacing w:val="-2"/>
          <w:sz w:val="24"/>
        </w:rPr>
        <w:t xml:space="preserve"> </w:t>
      </w:r>
      <w:r w:rsidRPr="00150EDC">
        <w:rPr>
          <w:sz w:val="24"/>
        </w:rPr>
        <w:t>by</w:t>
      </w:r>
      <w:r w:rsidRPr="00150EDC">
        <w:rPr>
          <w:spacing w:val="-3"/>
          <w:sz w:val="24"/>
        </w:rPr>
        <w:t xml:space="preserve"> </w:t>
      </w:r>
      <w:r w:rsidRPr="00150EDC">
        <w:rPr>
          <w:sz w:val="24"/>
        </w:rPr>
        <w:t>national</w:t>
      </w:r>
      <w:r w:rsidRPr="00150EDC">
        <w:rPr>
          <w:spacing w:val="-1"/>
          <w:sz w:val="24"/>
        </w:rPr>
        <w:t xml:space="preserve"> </w:t>
      </w:r>
      <w:r w:rsidRPr="00150EDC">
        <w:rPr>
          <w:spacing w:val="-4"/>
          <w:sz w:val="24"/>
        </w:rPr>
        <w:t>law;</w:t>
      </w:r>
    </w:p>
    <w:p w14:paraId="6B2BE704" w14:textId="77777777" w:rsidR="004C7180" w:rsidRPr="00150EDC" w:rsidRDefault="00CF0754" w:rsidP="00B320C7">
      <w:pPr>
        <w:pStyle w:val="ListParagraph"/>
        <w:numPr>
          <w:ilvl w:val="2"/>
          <w:numId w:val="97"/>
        </w:numPr>
        <w:tabs>
          <w:tab w:val="left" w:pos="3819"/>
          <w:tab w:val="left" w:pos="3822"/>
        </w:tabs>
        <w:spacing w:before="120"/>
        <w:ind w:right="1548"/>
        <w:rPr>
          <w:sz w:val="24"/>
        </w:rPr>
      </w:pPr>
      <w:r w:rsidRPr="00150EDC">
        <w:rPr>
          <w:sz w:val="24"/>
        </w:rPr>
        <w:t>this is allowed by a collective agreement freely negotiated with</w:t>
      </w:r>
      <w:r w:rsidRPr="00150EDC">
        <w:rPr>
          <w:spacing w:val="-5"/>
          <w:sz w:val="24"/>
        </w:rPr>
        <w:t xml:space="preserve"> </w:t>
      </w:r>
      <w:r w:rsidRPr="00150EDC">
        <w:rPr>
          <w:sz w:val="24"/>
        </w:rPr>
        <w:t>a</w:t>
      </w:r>
      <w:r w:rsidRPr="00150EDC">
        <w:rPr>
          <w:spacing w:val="-5"/>
          <w:sz w:val="24"/>
        </w:rPr>
        <w:t xml:space="preserve"> </w:t>
      </w:r>
      <w:r w:rsidRPr="00150EDC">
        <w:rPr>
          <w:sz w:val="24"/>
        </w:rPr>
        <w:t>workers’</w:t>
      </w:r>
      <w:r w:rsidRPr="00150EDC">
        <w:rPr>
          <w:spacing w:val="-7"/>
          <w:sz w:val="24"/>
        </w:rPr>
        <w:t xml:space="preserve"> </w:t>
      </w:r>
      <w:r w:rsidRPr="00150EDC">
        <w:rPr>
          <w:sz w:val="24"/>
        </w:rPr>
        <w:t>organisation</w:t>
      </w:r>
      <w:r w:rsidRPr="00150EDC">
        <w:rPr>
          <w:spacing w:val="-6"/>
          <w:sz w:val="24"/>
        </w:rPr>
        <w:t xml:space="preserve"> </w:t>
      </w:r>
      <w:r w:rsidRPr="00150EDC">
        <w:rPr>
          <w:sz w:val="24"/>
        </w:rPr>
        <w:t>representing</w:t>
      </w:r>
      <w:r w:rsidRPr="00150EDC">
        <w:rPr>
          <w:spacing w:val="-8"/>
          <w:sz w:val="24"/>
        </w:rPr>
        <w:t xml:space="preserve"> </w:t>
      </w:r>
      <w:r w:rsidRPr="00150EDC">
        <w:rPr>
          <w:sz w:val="24"/>
        </w:rPr>
        <w:t>a</w:t>
      </w:r>
      <w:r w:rsidRPr="00150EDC">
        <w:rPr>
          <w:spacing w:val="-5"/>
          <w:sz w:val="24"/>
        </w:rPr>
        <w:t xml:space="preserve"> </w:t>
      </w:r>
      <w:r w:rsidRPr="00150EDC">
        <w:rPr>
          <w:sz w:val="24"/>
        </w:rPr>
        <w:t>significant</w:t>
      </w:r>
      <w:r w:rsidRPr="00150EDC">
        <w:rPr>
          <w:spacing w:val="-6"/>
          <w:sz w:val="24"/>
        </w:rPr>
        <w:t xml:space="preserve"> </w:t>
      </w:r>
      <w:r w:rsidRPr="00150EDC">
        <w:rPr>
          <w:sz w:val="24"/>
        </w:rPr>
        <w:t>portion of the workforce;</w:t>
      </w:r>
    </w:p>
    <w:p w14:paraId="0E4A802A" w14:textId="77777777" w:rsidR="004C7180" w:rsidRPr="00150EDC" w:rsidRDefault="00CF0754" w:rsidP="00B320C7">
      <w:pPr>
        <w:pStyle w:val="ListParagraph"/>
        <w:numPr>
          <w:ilvl w:val="2"/>
          <w:numId w:val="97"/>
        </w:numPr>
        <w:tabs>
          <w:tab w:val="left" w:pos="3819"/>
          <w:tab w:val="left" w:pos="3822"/>
        </w:tabs>
        <w:spacing w:before="120"/>
        <w:ind w:right="2080"/>
        <w:rPr>
          <w:sz w:val="24"/>
        </w:rPr>
      </w:pPr>
      <w:r w:rsidRPr="00150EDC">
        <w:rPr>
          <w:sz w:val="24"/>
        </w:rPr>
        <w:t>appropriate</w:t>
      </w:r>
      <w:r w:rsidRPr="00150EDC">
        <w:rPr>
          <w:spacing w:val="-4"/>
          <w:sz w:val="24"/>
        </w:rPr>
        <w:t xml:space="preserve"> </w:t>
      </w:r>
      <w:r w:rsidRPr="00150EDC">
        <w:rPr>
          <w:sz w:val="24"/>
        </w:rPr>
        <w:t>safeguards</w:t>
      </w:r>
      <w:r w:rsidRPr="00150EDC">
        <w:rPr>
          <w:spacing w:val="-5"/>
          <w:sz w:val="24"/>
        </w:rPr>
        <w:t xml:space="preserve"> </w:t>
      </w:r>
      <w:r w:rsidRPr="00150EDC">
        <w:rPr>
          <w:sz w:val="24"/>
        </w:rPr>
        <w:t>are</w:t>
      </w:r>
      <w:r w:rsidRPr="00150EDC">
        <w:rPr>
          <w:spacing w:val="-5"/>
          <w:sz w:val="24"/>
        </w:rPr>
        <w:t xml:space="preserve"> </w:t>
      </w:r>
      <w:r w:rsidRPr="00150EDC">
        <w:rPr>
          <w:sz w:val="24"/>
        </w:rPr>
        <w:t>taken</w:t>
      </w:r>
      <w:r w:rsidRPr="00150EDC">
        <w:rPr>
          <w:spacing w:val="-7"/>
          <w:sz w:val="24"/>
        </w:rPr>
        <w:t xml:space="preserve"> </w:t>
      </w:r>
      <w:r w:rsidRPr="00150EDC">
        <w:rPr>
          <w:sz w:val="24"/>
        </w:rPr>
        <w:t>to</w:t>
      </w:r>
      <w:r w:rsidRPr="00150EDC">
        <w:rPr>
          <w:spacing w:val="-6"/>
          <w:sz w:val="24"/>
        </w:rPr>
        <w:t xml:space="preserve"> </w:t>
      </w:r>
      <w:r w:rsidRPr="00150EDC">
        <w:rPr>
          <w:sz w:val="24"/>
        </w:rPr>
        <w:t>protect</w:t>
      </w:r>
      <w:r w:rsidRPr="00150EDC">
        <w:rPr>
          <w:spacing w:val="-5"/>
          <w:sz w:val="24"/>
        </w:rPr>
        <w:t xml:space="preserve"> </w:t>
      </w:r>
      <w:r w:rsidRPr="00150EDC">
        <w:rPr>
          <w:sz w:val="24"/>
        </w:rPr>
        <w:t>the</w:t>
      </w:r>
      <w:r w:rsidRPr="00150EDC">
        <w:rPr>
          <w:spacing w:val="-5"/>
          <w:sz w:val="24"/>
        </w:rPr>
        <w:t xml:space="preserve"> </w:t>
      </w:r>
      <w:r w:rsidRPr="00150EDC">
        <w:rPr>
          <w:sz w:val="24"/>
        </w:rPr>
        <w:t>workers’ health and safety; and</w:t>
      </w:r>
    </w:p>
    <w:p w14:paraId="5B237A89" w14:textId="77777777" w:rsidR="004C7180" w:rsidRPr="00150EDC" w:rsidRDefault="00CF0754" w:rsidP="00B320C7">
      <w:pPr>
        <w:pStyle w:val="ListParagraph"/>
        <w:numPr>
          <w:ilvl w:val="2"/>
          <w:numId w:val="97"/>
        </w:numPr>
        <w:tabs>
          <w:tab w:val="left" w:pos="3819"/>
          <w:tab w:val="left" w:pos="3822"/>
        </w:tabs>
        <w:spacing w:before="120"/>
        <w:ind w:right="1453"/>
        <w:rPr>
          <w:sz w:val="24"/>
        </w:rPr>
      </w:pPr>
      <w:r w:rsidRPr="00150EDC">
        <w:rPr>
          <w:sz w:val="24"/>
        </w:rPr>
        <w:t>the</w:t>
      </w:r>
      <w:r w:rsidRPr="00150EDC">
        <w:rPr>
          <w:spacing w:val="-7"/>
          <w:sz w:val="24"/>
        </w:rPr>
        <w:t xml:space="preserve"> </w:t>
      </w:r>
      <w:r w:rsidRPr="00150EDC">
        <w:rPr>
          <w:sz w:val="24"/>
        </w:rPr>
        <w:t>employer</w:t>
      </w:r>
      <w:r w:rsidRPr="00150EDC">
        <w:rPr>
          <w:spacing w:val="-5"/>
          <w:sz w:val="24"/>
        </w:rPr>
        <w:t xml:space="preserve"> </w:t>
      </w:r>
      <w:r w:rsidRPr="00150EDC">
        <w:rPr>
          <w:sz w:val="24"/>
        </w:rPr>
        <w:t>can</w:t>
      </w:r>
      <w:r w:rsidRPr="00150EDC">
        <w:rPr>
          <w:spacing w:val="-5"/>
          <w:sz w:val="24"/>
        </w:rPr>
        <w:t xml:space="preserve"> </w:t>
      </w:r>
      <w:r w:rsidRPr="00150EDC">
        <w:rPr>
          <w:sz w:val="24"/>
        </w:rPr>
        <w:t>demonstrate</w:t>
      </w:r>
      <w:r w:rsidRPr="00150EDC">
        <w:rPr>
          <w:spacing w:val="-5"/>
          <w:sz w:val="24"/>
        </w:rPr>
        <w:t xml:space="preserve"> </w:t>
      </w:r>
      <w:r w:rsidRPr="00150EDC">
        <w:rPr>
          <w:sz w:val="24"/>
        </w:rPr>
        <w:t>that</w:t>
      </w:r>
      <w:r w:rsidRPr="00150EDC">
        <w:rPr>
          <w:spacing w:val="-7"/>
          <w:sz w:val="24"/>
        </w:rPr>
        <w:t xml:space="preserve"> </w:t>
      </w:r>
      <w:r w:rsidRPr="00150EDC">
        <w:rPr>
          <w:sz w:val="24"/>
        </w:rPr>
        <w:t>exceptional</w:t>
      </w:r>
      <w:r w:rsidRPr="00150EDC">
        <w:rPr>
          <w:spacing w:val="-5"/>
          <w:sz w:val="24"/>
        </w:rPr>
        <w:t xml:space="preserve"> </w:t>
      </w:r>
      <w:r w:rsidRPr="00150EDC">
        <w:rPr>
          <w:sz w:val="24"/>
        </w:rPr>
        <w:t xml:space="preserve">circumstances apply such as unexpected production peaks, accidents or </w:t>
      </w:r>
      <w:r w:rsidRPr="00150EDC">
        <w:rPr>
          <w:spacing w:val="-2"/>
          <w:sz w:val="24"/>
        </w:rPr>
        <w:t>emergencies.</w:t>
      </w:r>
    </w:p>
    <w:p w14:paraId="7B20CB35" w14:textId="77777777" w:rsidR="004C7180" w:rsidRPr="00150EDC" w:rsidRDefault="00CF0754" w:rsidP="00B320C7">
      <w:pPr>
        <w:pStyle w:val="ListParagraph"/>
        <w:numPr>
          <w:ilvl w:val="1"/>
          <w:numId w:val="97"/>
        </w:numPr>
        <w:tabs>
          <w:tab w:val="left" w:pos="2300"/>
        </w:tabs>
        <w:spacing w:before="121"/>
        <w:ind w:right="1742" w:hanging="617"/>
        <w:rPr>
          <w:sz w:val="24"/>
        </w:rPr>
      </w:pPr>
      <w:r w:rsidRPr="00150EDC">
        <w:rPr>
          <w:sz w:val="24"/>
        </w:rPr>
        <w:t>All Supplier Staff shall be provided with at least one (1) day off in every seven</w:t>
      </w:r>
      <w:r w:rsidRPr="00150EDC">
        <w:rPr>
          <w:spacing w:val="-2"/>
          <w:sz w:val="24"/>
        </w:rPr>
        <w:t xml:space="preserve"> </w:t>
      </w:r>
      <w:r w:rsidRPr="00150EDC">
        <w:rPr>
          <w:sz w:val="24"/>
        </w:rPr>
        <w:t>(7)</w:t>
      </w:r>
      <w:r w:rsidRPr="00150EDC">
        <w:rPr>
          <w:spacing w:val="-5"/>
          <w:sz w:val="24"/>
        </w:rPr>
        <w:t xml:space="preserve"> </w:t>
      </w:r>
      <w:r w:rsidRPr="00150EDC">
        <w:rPr>
          <w:sz w:val="24"/>
        </w:rPr>
        <w:t>day</w:t>
      </w:r>
      <w:r w:rsidRPr="00150EDC">
        <w:rPr>
          <w:spacing w:val="-4"/>
          <w:sz w:val="24"/>
        </w:rPr>
        <w:t xml:space="preserve"> </w:t>
      </w:r>
      <w:r w:rsidRPr="00150EDC">
        <w:rPr>
          <w:sz w:val="24"/>
        </w:rPr>
        <w:t>period</w:t>
      </w:r>
      <w:r w:rsidRPr="00150EDC">
        <w:rPr>
          <w:spacing w:val="-4"/>
          <w:sz w:val="24"/>
        </w:rPr>
        <w:t xml:space="preserve"> </w:t>
      </w:r>
      <w:r w:rsidRPr="00150EDC">
        <w:rPr>
          <w:sz w:val="24"/>
        </w:rPr>
        <w:t>or,</w:t>
      </w:r>
      <w:r w:rsidRPr="00150EDC">
        <w:rPr>
          <w:spacing w:val="-1"/>
          <w:sz w:val="24"/>
        </w:rPr>
        <w:t xml:space="preserve"> </w:t>
      </w:r>
      <w:r w:rsidRPr="00150EDC">
        <w:rPr>
          <w:sz w:val="24"/>
        </w:rPr>
        <w:t>where</w:t>
      </w:r>
      <w:r w:rsidRPr="00150EDC">
        <w:rPr>
          <w:spacing w:val="-1"/>
          <w:sz w:val="24"/>
        </w:rPr>
        <w:t xml:space="preserve"> </w:t>
      </w:r>
      <w:r w:rsidRPr="00150EDC">
        <w:rPr>
          <w:sz w:val="24"/>
        </w:rPr>
        <w:t>allowed</w:t>
      </w:r>
      <w:r w:rsidRPr="00150EDC">
        <w:rPr>
          <w:spacing w:val="-1"/>
          <w:sz w:val="24"/>
        </w:rPr>
        <w:t xml:space="preserve"> </w:t>
      </w:r>
      <w:r w:rsidRPr="00150EDC">
        <w:rPr>
          <w:sz w:val="24"/>
        </w:rPr>
        <w:t>by</w:t>
      </w:r>
      <w:r w:rsidRPr="00150EDC">
        <w:rPr>
          <w:spacing w:val="-4"/>
          <w:sz w:val="24"/>
        </w:rPr>
        <w:t xml:space="preserve"> </w:t>
      </w:r>
      <w:r w:rsidRPr="00150EDC">
        <w:rPr>
          <w:sz w:val="24"/>
        </w:rPr>
        <w:t>national</w:t>
      </w:r>
      <w:r w:rsidRPr="00150EDC">
        <w:rPr>
          <w:spacing w:val="-1"/>
          <w:sz w:val="24"/>
        </w:rPr>
        <w:t xml:space="preserve"> </w:t>
      </w:r>
      <w:r w:rsidRPr="00150EDC">
        <w:rPr>
          <w:sz w:val="24"/>
        </w:rPr>
        <w:t>law,</w:t>
      </w:r>
      <w:r w:rsidRPr="00150EDC">
        <w:rPr>
          <w:spacing w:val="-3"/>
          <w:sz w:val="24"/>
        </w:rPr>
        <w:t xml:space="preserve"> </w:t>
      </w:r>
      <w:r w:rsidRPr="00150EDC">
        <w:rPr>
          <w:sz w:val="24"/>
        </w:rPr>
        <w:t>two</w:t>
      </w:r>
      <w:r w:rsidRPr="00150EDC">
        <w:rPr>
          <w:spacing w:val="-1"/>
          <w:sz w:val="24"/>
        </w:rPr>
        <w:t xml:space="preserve"> </w:t>
      </w:r>
      <w:r w:rsidRPr="00150EDC">
        <w:rPr>
          <w:sz w:val="24"/>
        </w:rPr>
        <w:t>(2)</w:t>
      </w:r>
      <w:r w:rsidRPr="00150EDC">
        <w:rPr>
          <w:spacing w:val="-2"/>
          <w:sz w:val="24"/>
        </w:rPr>
        <w:t xml:space="preserve"> </w:t>
      </w:r>
      <w:r w:rsidRPr="00150EDC">
        <w:rPr>
          <w:sz w:val="24"/>
        </w:rPr>
        <w:t>days</w:t>
      </w:r>
      <w:r w:rsidRPr="00150EDC">
        <w:rPr>
          <w:spacing w:val="-5"/>
          <w:sz w:val="24"/>
        </w:rPr>
        <w:t xml:space="preserve"> </w:t>
      </w:r>
      <w:r w:rsidRPr="00150EDC">
        <w:rPr>
          <w:sz w:val="24"/>
        </w:rPr>
        <w:t>off</w:t>
      </w:r>
      <w:r w:rsidRPr="00150EDC">
        <w:rPr>
          <w:spacing w:val="-2"/>
          <w:sz w:val="24"/>
        </w:rPr>
        <w:t xml:space="preserve"> </w:t>
      </w:r>
      <w:r w:rsidRPr="00150EDC">
        <w:rPr>
          <w:sz w:val="24"/>
        </w:rPr>
        <w:t>in every fourteen (14) day period.</w:t>
      </w:r>
    </w:p>
    <w:p w14:paraId="3420B09B" w14:textId="77777777" w:rsidR="004C7180" w:rsidRPr="00150EDC" w:rsidRDefault="004C7180">
      <w:pPr>
        <w:rPr>
          <w:sz w:val="24"/>
        </w:rPr>
        <w:sectPr w:rsidR="004C7180" w:rsidRPr="00150EDC">
          <w:pgSz w:w="11910" w:h="16840"/>
          <w:pgMar w:top="1160" w:right="0" w:bottom="1460" w:left="40" w:header="715" w:footer="1260" w:gutter="0"/>
          <w:cols w:space="720"/>
        </w:sectPr>
      </w:pPr>
    </w:p>
    <w:p w14:paraId="652409FD" w14:textId="77777777" w:rsidR="004C7180" w:rsidRPr="00150EDC" w:rsidRDefault="004C7180">
      <w:pPr>
        <w:pStyle w:val="BodyText"/>
        <w:spacing w:before="8"/>
        <w:rPr>
          <w:sz w:val="15"/>
        </w:rPr>
      </w:pPr>
    </w:p>
    <w:p w14:paraId="32A02D64" w14:textId="77777777" w:rsidR="004C7180" w:rsidRPr="00150EDC" w:rsidRDefault="00CF0754" w:rsidP="00B320C7">
      <w:pPr>
        <w:pStyle w:val="Heading4"/>
        <w:numPr>
          <w:ilvl w:val="0"/>
          <w:numId w:val="97"/>
        </w:numPr>
        <w:tabs>
          <w:tab w:val="left" w:pos="1827"/>
        </w:tabs>
        <w:spacing w:before="92"/>
        <w:ind w:left="1827" w:hanging="427"/>
      </w:pPr>
      <w:r w:rsidRPr="00150EDC">
        <w:rPr>
          <w:spacing w:val="-2"/>
        </w:rPr>
        <w:t>Sustainability</w:t>
      </w:r>
    </w:p>
    <w:p w14:paraId="45FA202E" w14:textId="77777777" w:rsidR="004C7180" w:rsidRPr="00150EDC" w:rsidRDefault="004C7180">
      <w:pPr>
        <w:pStyle w:val="BodyText"/>
        <w:spacing w:before="10"/>
        <w:rPr>
          <w:b/>
          <w:sz w:val="20"/>
        </w:rPr>
      </w:pPr>
    </w:p>
    <w:p w14:paraId="27B17029" w14:textId="77777777" w:rsidR="004C7180" w:rsidRPr="00150EDC" w:rsidRDefault="00CF0754" w:rsidP="00B320C7">
      <w:pPr>
        <w:pStyle w:val="ListParagraph"/>
        <w:numPr>
          <w:ilvl w:val="1"/>
          <w:numId w:val="97"/>
        </w:numPr>
        <w:tabs>
          <w:tab w:val="left" w:pos="2442"/>
        </w:tabs>
        <w:ind w:left="2442" w:right="2048" w:hanging="615"/>
        <w:rPr>
          <w:sz w:val="24"/>
        </w:rPr>
      </w:pPr>
      <w:r w:rsidRPr="00150EDC">
        <w:rPr>
          <w:sz w:val="24"/>
        </w:rPr>
        <w:t>The</w:t>
      </w:r>
      <w:r w:rsidRPr="00150EDC">
        <w:rPr>
          <w:spacing w:val="-4"/>
          <w:sz w:val="24"/>
        </w:rPr>
        <w:t xml:space="preserve"> </w:t>
      </w:r>
      <w:r w:rsidRPr="00150EDC">
        <w:rPr>
          <w:sz w:val="24"/>
        </w:rPr>
        <w:t>supplier</w:t>
      </w:r>
      <w:r w:rsidRPr="00150EDC">
        <w:rPr>
          <w:spacing w:val="-4"/>
          <w:sz w:val="24"/>
        </w:rPr>
        <w:t xml:space="preserve"> </w:t>
      </w:r>
      <w:r w:rsidRPr="00150EDC">
        <w:rPr>
          <w:sz w:val="24"/>
        </w:rPr>
        <w:t>shall</w:t>
      </w:r>
      <w:r w:rsidRPr="00150EDC">
        <w:rPr>
          <w:spacing w:val="-5"/>
          <w:sz w:val="24"/>
        </w:rPr>
        <w:t xml:space="preserve"> </w:t>
      </w:r>
      <w:r w:rsidRPr="00150EDC">
        <w:rPr>
          <w:sz w:val="24"/>
        </w:rPr>
        <w:t>meet</w:t>
      </w:r>
      <w:r w:rsidRPr="00150EDC">
        <w:rPr>
          <w:spacing w:val="-4"/>
          <w:sz w:val="24"/>
        </w:rPr>
        <w:t xml:space="preserve"> </w:t>
      </w:r>
      <w:r w:rsidRPr="00150EDC">
        <w:rPr>
          <w:sz w:val="24"/>
        </w:rPr>
        <w:t>the</w:t>
      </w:r>
      <w:r w:rsidRPr="00150EDC">
        <w:rPr>
          <w:spacing w:val="-6"/>
          <w:sz w:val="24"/>
        </w:rPr>
        <w:t xml:space="preserve"> </w:t>
      </w:r>
      <w:r w:rsidRPr="00150EDC">
        <w:rPr>
          <w:sz w:val="24"/>
        </w:rPr>
        <w:t>applicable</w:t>
      </w:r>
      <w:r w:rsidRPr="00150EDC">
        <w:rPr>
          <w:spacing w:val="-6"/>
          <w:sz w:val="24"/>
        </w:rPr>
        <w:t xml:space="preserve"> </w:t>
      </w:r>
      <w:r w:rsidRPr="00150EDC">
        <w:rPr>
          <w:sz w:val="24"/>
        </w:rPr>
        <w:t>Government</w:t>
      </w:r>
      <w:r w:rsidRPr="00150EDC">
        <w:rPr>
          <w:spacing w:val="-6"/>
          <w:sz w:val="24"/>
        </w:rPr>
        <w:t xml:space="preserve"> </w:t>
      </w:r>
      <w:r w:rsidRPr="00150EDC">
        <w:rPr>
          <w:sz w:val="24"/>
        </w:rPr>
        <w:t>Buying</w:t>
      </w:r>
      <w:r w:rsidRPr="00150EDC">
        <w:rPr>
          <w:spacing w:val="-5"/>
          <w:sz w:val="24"/>
        </w:rPr>
        <w:t xml:space="preserve"> </w:t>
      </w:r>
      <w:r w:rsidRPr="00150EDC">
        <w:rPr>
          <w:sz w:val="24"/>
        </w:rPr>
        <w:t>Standards applicable to Deliverables which can be found online at:</w:t>
      </w:r>
    </w:p>
    <w:p w14:paraId="5D289A80" w14:textId="77777777" w:rsidR="004C7180" w:rsidRPr="00150EDC" w:rsidRDefault="00000000">
      <w:pPr>
        <w:pStyle w:val="BodyText"/>
        <w:spacing w:before="120"/>
        <w:ind w:left="2802" w:right="1682" w:hanging="360"/>
      </w:pPr>
      <w:hyperlink r:id="rId40">
        <w:r w:rsidR="00CF0754" w:rsidRPr="007D3144">
          <w:rPr>
            <w:spacing w:val="-2"/>
            <w:u w:val="single" w:color="0000FF"/>
          </w:rPr>
          <w:t>https://www.gov.uk/government/collections/sustainable-procurement-the-</w:t>
        </w:r>
      </w:hyperlink>
      <w:r w:rsidR="00CF0754" w:rsidRPr="007D3144">
        <w:rPr>
          <w:spacing w:val="-2"/>
        </w:rPr>
        <w:t xml:space="preserve"> </w:t>
      </w:r>
      <w:hyperlink r:id="rId41">
        <w:r w:rsidR="00CF0754" w:rsidRPr="007D3144">
          <w:rPr>
            <w:spacing w:val="-2"/>
            <w:u w:val="single" w:color="0000FF"/>
          </w:rPr>
          <w:t>government-buying-standards-gbs</w:t>
        </w:r>
      </w:hyperlink>
    </w:p>
    <w:p w14:paraId="79BC16E2" w14:textId="77777777" w:rsidR="004C7180" w:rsidRPr="00150EDC" w:rsidRDefault="004C7180">
      <w:pPr>
        <w:sectPr w:rsidR="004C7180" w:rsidRPr="00150EDC">
          <w:pgSz w:w="11910" w:h="16840"/>
          <w:pgMar w:top="1160" w:right="0" w:bottom="1460" w:left="40" w:header="715" w:footer="1260" w:gutter="0"/>
          <w:cols w:space="720"/>
        </w:sectPr>
      </w:pPr>
    </w:p>
    <w:p w14:paraId="3FC6DC01" w14:textId="77777777" w:rsidR="004C7180" w:rsidRPr="00150EDC" w:rsidRDefault="004C7180">
      <w:pPr>
        <w:pStyle w:val="BodyText"/>
        <w:spacing w:before="1"/>
        <w:rPr>
          <w:sz w:val="16"/>
        </w:rPr>
      </w:pPr>
    </w:p>
    <w:p w14:paraId="4AF2EE9A" w14:textId="77777777" w:rsidR="004C7180" w:rsidRPr="00150EDC" w:rsidRDefault="00CF0754">
      <w:pPr>
        <w:pStyle w:val="Heading1"/>
        <w:spacing w:before="88"/>
        <w:ind w:left="1400" w:firstLine="0"/>
      </w:pPr>
      <w:bookmarkStart w:id="8" w:name="DPS_Joint_Schedule_6_-_Key_Subcontractor"/>
      <w:bookmarkEnd w:id="8"/>
      <w:r w:rsidRPr="00150EDC">
        <w:t>Joint</w:t>
      </w:r>
      <w:r w:rsidRPr="00150EDC">
        <w:rPr>
          <w:spacing w:val="-10"/>
        </w:rPr>
        <w:t xml:space="preserve"> </w:t>
      </w:r>
      <w:r w:rsidRPr="00150EDC">
        <w:t>Schedule</w:t>
      </w:r>
      <w:r w:rsidRPr="00150EDC">
        <w:rPr>
          <w:spacing w:val="-9"/>
        </w:rPr>
        <w:t xml:space="preserve"> </w:t>
      </w:r>
      <w:r w:rsidRPr="00150EDC">
        <w:t>6</w:t>
      </w:r>
      <w:r w:rsidRPr="00150EDC">
        <w:rPr>
          <w:spacing w:val="-10"/>
        </w:rPr>
        <w:t xml:space="preserve"> </w:t>
      </w:r>
      <w:r w:rsidRPr="00150EDC">
        <w:t>(Key</w:t>
      </w:r>
      <w:r w:rsidRPr="00150EDC">
        <w:rPr>
          <w:spacing w:val="-10"/>
        </w:rPr>
        <w:t xml:space="preserve"> </w:t>
      </w:r>
      <w:r w:rsidRPr="00150EDC">
        <w:rPr>
          <w:spacing w:val="-2"/>
        </w:rPr>
        <w:t>Subcontractors)</w:t>
      </w:r>
    </w:p>
    <w:p w14:paraId="64B8546C" w14:textId="77777777" w:rsidR="004C7180" w:rsidRPr="00150EDC" w:rsidRDefault="00CF0754" w:rsidP="00B320C7">
      <w:pPr>
        <w:pStyle w:val="Heading4"/>
        <w:numPr>
          <w:ilvl w:val="0"/>
          <w:numId w:val="96"/>
        </w:numPr>
        <w:tabs>
          <w:tab w:val="left" w:pos="1758"/>
        </w:tabs>
        <w:spacing w:before="263"/>
        <w:ind w:left="1758" w:hanging="358"/>
      </w:pPr>
      <w:r w:rsidRPr="00150EDC">
        <w:t>Restrictions</w:t>
      </w:r>
      <w:r w:rsidRPr="00150EDC">
        <w:rPr>
          <w:spacing w:val="-4"/>
        </w:rPr>
        <w:t xml:space="preserve"> </w:t>
      </w:r>
      <w:r w:rsidRPr="00150EDC">
        <w:t>on</w:t>
      </w:r>
      <w:r w:rsidRPr="00150EDC">
        <w:rPr>
          <w:spacing w:val="-6"/>
        </w:rPr>
        <w:t xml:space="preserve"> </w:t>
      </w:r>
      <w:r w:rsidRPr="00150EDC">
        <w:t>certain</w:t>
      </w:r>
      <w:r w:rsidRPr="00150EDC">
        <w:rPr>
          <w:spacing w:val="-3"/>
        </w:rPr>
        <w:t xml:space="preserve"> </w:t>
      </w:r>
      <w:r w:rsidRPr="00150EDC">
        <w:rPr>
          <w:spacing w:val="-2"/>
        </w:rPr>
        <w:t>subcontractors</w:t>
      </w:r>
    </w:p>
    <w:p w14:paraId="0E8BA235" w14:textId="77777777" w:rsidR="004C7180" w:rsidRPr="00150EDC" w:rsidRDefault="004C7180">
      <w:pPr>
        <w:pStyle w:val="BodyText"/>
        <w:spacing w:before="9"/>
        <w:rPr>
          <w:b/>
          <w:sz w:val="20"/>
        </w:rPr>
      </w:pPr>
    </w:p>
    <w:p w14:paraId="1DDA7F1B" w14:textId="77777777" w:rsidR="004C7180" w:rsidRPr="00150EDC" w:rsidRDefault="00CF0754" w:rsidP="00B320C7">
      <w:pPr>
        <w:pStyle w:val="ListParagraph"/>
        <w:numPr>
          <w:ilvl w:val="1"/>
          <w:numId w:val="96"/>
        </w:numPr>
        <w:tabs>
          <w:tab w:val="left" w:pos="2300"/>
        </w:tabs>
        <w:spacing w:before="1"/>
        <w:ind w:right="2307"/>
        <w:rPr>
          <w:sz w:val="24"/>
        </w:rPr>
      </w:pPr>
      <w:r w:rsidRPr="00150EDC">
        <w:rPr>
          <w:sz w:val="24"/>
        </w:rPr>
        <w:t>The</w:t>
      </w:r>
      <w:r w:rsidRPr="00150EDC">
        <w:rPr>
          <w:spacing w:val="-3"/>
          <w:sz w:val="24"/>
        </w:rPr>
        <w:t xml:space="preserve"> </w:t>
      </w:r>
      <w:r w:rsidRPr="00150EDC">
        <w:rPr>
          <w:sz w:val="24"/>
        </w:rPr>
        <w:t>Supplier</w:t>
      </w:r>
      <w:r w:rsidRPr="00150EDC">
        <w:rPr>
          <w:spacing w:val="-3"/>
          <w:sz w:val="24"/>
        </w:rPr>
        <w:t xml:space="preserve"> </w:t>
      </w:r>
      <w:r w:rsidRPr="00150EDC">
        <w:rPr>
          <w:sz w:val="24"/>
        </w:rPr>
        <w:t>is</w:t>
      </w:r>
      <w:r w:rsidRPr="00150EDC">
        <w:rPr>
          <w:spacing w:val="-5"/>
          <w:sz w:val="24"/>
        </w:rPr>
        <w:t xml:space="preserve"> </w:t>
      </w:r>
      <w:r w:rsidRPr="00150EDC">
        <w:rPr>
          <w:sz w:val="24"/>
        </w:rPr>
        <w:t>entitled</w:t>
      </w:r>
      <w:r w:rsidRPr="00150EDC">
        <w:rPr>
          <w:spacing w:val="-5"/>
          <w:sz w:val="24"/>
        </w:rPr>
        <w:t xml:space="preserve"> </w:t>
      </w:r>
      <w:r w:rsidRPr="00150EDC">
        <w:rPr>
          <w:sz w:val="24"/>
        </w:rPr>
        <w:t>to</w:t>
      </w:r>
      <w:r w:rsidRPr="00150EDC">
        <w:rPr>
          <w:spacing w:val="-3"/>
          <w:sz w:val="24"/>
        </w:rPr>
        <w:t xml:space="preserve"> </w:t>
      </w:r>
      <w:r w:rsidRPr="00150EDC">
        <w:rPr>
          <w:sz w:val="24"/>
        </w:rPr>
        <w:t>sub-contract</w:t>
      </w:r>
      <w:r w:rsidRPr="00150EDC">
        <w:rPr>
          <w:spacing w:val="-3"/>
          <w:sz w:val="24"/>
        </w:rPr>
        <w:t xml:space="preserve"> </w:t>
      </w:r>
      <w:r w:rsidRPr="00150EDC">
        <w:rPr>
          <w:sz w:val="24"/>
        </w:rPr>
        <w:t>its</w:t>
      </w:r>
      <w:r w:rsidRPr="00150EDC">
        <w:rPr>
          <w:spacing w:val="-5"/>
          <w:sz w:val="24"/>
        </w:rPr>
        <w:t xml:space="preserve"> </w:t>
      </w:r>
      <w:r w:rsidRPr="00150EDC">
        <w:rPr>
          <w:sz w:val="24"/>
        </w:rPr>
        <w:t>obligations</w:t>
      </w:r>
      <w:r w:rsidRPr="00150EDC">
        <w:rPr>
          <w:spacing w:val="-3"/>
          <w:sz w:val="24"/>
        </w:rPr>
        <w:t xml:space="preserve"> </w:t>
      </w:r>
      <w:r w:rsidRPr="00150EDC">
        <w:rPr>
          <w:sz w:val="24"/>
        </w:rPr>
        <w:t>under</w:t>
      </w:r>
      <w:r w:rsidRPr="00150EDC">
        <w:rPr>
          <w:spacing w:val="-3"/>
          <w:sz w:val="24"/>
        </w:rPr>
        <w:t xml:space="preserve"> </w:t>
      </w:r>
      <w:r w:rsidRPr="00150EDC">
        <w:rPr>
          <w:sz w:val="24"/>
        </w:rPr>
        <w:t>the</w:t>
      </w:r>
      <w:r w:rsidRPr="00150EDC">
        <w:rPr>
          <w:spacing w:val="-3"/>
          <w:sz w:val="24"/>
        </w:rPr>
        <w:t xml:space="preserve"> </w:t>
      </w:r>
      <w:r w:rsidRPr="00150EDC">
        <w:rPr>
          <w:sz w:val="24"/>
        </w:rPr>
        <w:t>DPS Contract to the Key Subcontractors identified on the Platform.</w:t>
      </w:r>
    </w:p>
    <w:p w14:paraId="624AFCF5" w14:textId="77777777" w:rsidR="004C7180" w:rsidRPr="00150EDC" w:rsidRDefault="00CF0754" w:rsidP="00B320C7">
      <w:pPr>
        <w:pStyle w:val="ListParagraph"/>
        <w:numPr>
          <w:ilvl w:val="1"/>
          <w:numId w:val="96"/>
        </w:numPr>
        <w:tabs>
          <w:tab w:val="left" w:pos="2300"/>
        </w:tabs>
        <w:spacing w:before="120"/>
        <w:ind w:right="1760"/>
        <w:rPr>
          <w:sz w:val="24"/>
        </w:rPr>
      </w:pPr>
      <w:r w:rsidRPr="00150EDC">
        <w:rPr>
          <w:sz w:val="24"/>
        </w:rPr>
        <w:t>The Supplier is entitled to sub-contract its obligations under an Order Contract</w:t>
      </w:r>
      <w:r w:rsidRPr="00150EDC">
        <w:rPr>
          <w:spacing w:val="-4"/>
          <w:sz w:val="24"/>
        </w:rPr>
        <w:t xml:space="preserve"> </w:t>
      </w:r>
      <w:r w:rsidRPr="00150EDC">
        <w:rPr>
          <w:sz w:val="24"/>
        </w:rPr>
        <w:t>to</w:t>
      </w:r>
      <w:r w:rsidRPr="00150EDC">
        <w:rPr>
          <w:spacing w:val="-4"/>
          <w:sz w:val="24"/>
        </w:rPr>
        <w:t xml:space="preserve"> </w:t>
      </w:r>
      <w:r w:rsidRPr="00150EDC">
        <w:rPr>
          <w:sz w:val="24"/>
        </w:rPr>
        <w:t>Key</w:t>
      </w:r>
      <w:r w:rsidRPr="00150EDC">
        <w:rPr>
          <w:spacing w:val="-4"/>
          <w:sz w:val="24"/>
        </w:rPr>
        <w:t xml:space="preserve"> </w:t>
      </w:r>
      <w:r w:rsidRPr="00150EDC">
        <w:rPr>
          <w:sz w:val="24"/>
        </w:rPr>
        <w:t>Subcontractors</w:t>
      </w:r>
      <w:r w:rsidRPr="00150EDC">
        <w:rPr>
          <w:spacing w:val="-4"/>
          <w:sz w:val="24"/>
        </w:rPr>
        <w:t xml:space="preserve"> </w:t>
      </w:r>
      <w:r w:rsidRPr="00150EDC">
        <w:rPr>
          <w:sz w:val="24"/>
        </w:rPr>
        <w:t>listed</w:t>
      </w:r>
      <w:r w:rsidRPr="00150EDC">
        <w:rPr>
          <w:spacing w:val="-4"/>
          <w:sz w:val="24"/>
        </w:rPr>
        <w:t xml:space="preserve"> </w:t>
      </w:r>
      <w:r w:rsidRPr="00150EDC">
        <w:rPr>
          <w:sz w:val="24"/>
        </w:rPr>
        <w:t>on</w:t>
      </w:r>
      <w:r w:rsidRPr="00150EDC">
        <w:rPr>
          <w:spacing w:val="-4"/>
          <w:sz w:val="24"/>
        </w:rPr>
        <w:t xml:space="preserve"> </w:t>
      </w:r>
      <w:r w:rsidRPr="00150EDC">
        <w:rPr>
          <w:sz w:val="24"/>
        </w:rPr>
        <w:t>the</w:t>
      </w:r>
      <w:r w:rsidRPr="00150EDC">
        <w:rPr>
          <w:spacing w:val="-5"/>
          <w:sz w:val="24"/>
        </w:rPr>
        <w:t xml:space="preserve"> </w:t>
      </w:r>
      <w:r w:rsidRPr="00150EDC">
        <w:rPr>
          <w:sz w:val="24"/>
        </w:rPr>
        <w:t>Platform</w:t>
      </w:r>
      <w:r w:rsidRPr="00150EDC">
        <w:rPr>
          <w:spacing w:val="-3"/>
          <w:sz w:val="24"/>
        </w:rPr>
        <w:t xml:space="preserve"> </w:t>
      </w:r>
      <w:r w:rsidRPr="00150EDC">
        <w:rPr>
          <w:sz w:val="24"/>
        </w:rPr>
        <w:t>who</w:t>
      </w:r>
      <w:r w:rsidRPr="00150EDC">
        <w:rPr>
          <w:spacing w:val="-5"/>
          <w:sz w:val="24"/>
        </w:rPr>
        <w:t xml:space="preserve"> </w:t>
      </w:r>
      <w:r w:rsidRPr="00150EDC">
        <w:rPr>
          <w:sz w:val="24"/>
        </w:rPr>
        <w:t>are</w:t>
      </w:r>
      <w:r w:rsidRPr="00150EDC">
        <w:rPr>
          <w:spacing w:val="-4"/>
          <w:sz w:val="24"/>
        </w:rPr>
        <w:t xml:space="preserve"> </w:t>
      </w:r>
      <w:r w:rsidRPr="00150EDC">
        <w:rPr>
          <w:sz w:val="24"/>
        </w:rPr>
        <w:t>specifically nominated in the Order Form.</w:t>
      </w:r>
    </w:p>
    <w:p w14:paraId="71D72E26" w14:textId="77777777" w:rsidR="004C7180" w:rsidRPr="00150EDC" w:rsidRDefault="00CF0754" w:rsidP="00B320C7">
      <w:pPr>
        <w:pStyle w:val="ListParagraph"/>
        <w:numPr>
          <w:ilvl w:val="1"/>
          <w:numId w:val="96"/>
        </w:numPr>
        <w:tabs>
          <w:tab w:val="left" w:pos="2300"/>
        </w:tabs>
        <w:spacing w:before="120"/>
        <w:ind w:right="1465"/>
        <w:rPr>
          <w:sz w:val="24"/>
        </w:rPr>
      </w:pPr>
      <w:r w:rsidRPr="00150EDC">
        <w:rPr>
          <w:sz w:val="24"/>
        </w:rPr>
        <w:t>Where during the Contract Period the Supplier wishes to enter into a new Key Sub-contract or replace a Key Subcontractor, it must obtain the prior written consent of CCS and the Buyer and the Supplier shall, at the time of requesting such consent, provide CCS and the Buyer with the information detailed</w:t>
      </w:r>
      <w:r w:rsidRPr="00150EDC">
        <w:rPr>
          <w:spacing w:val="-2"/>
          <w:sz w:val="24"/>
        </w:rPr>
        <w:t xml:space="preserve"> </w:t>
      </w:r>
      <w:r w:rsidRPr="00150EDC">
        <w:rPr>
          <w:sz w:val="24"/>
        </w:rPr>
        <w:t>in</w:t>
      </w:r>
      <w:r w:rsidRPr="00150EDC">
        <w:rPr>
          <w:spacing w:val="-4"/>
          <w:sz w:val="24"/>
        </w:rPr>
        <w:t xml:space="preserve"> </w:t>
      </w:r>
      <w:r w:rsidRPr="00150EDC">
        <w:rPr>
          <w:sz w:val="24"/>
        </w:rPr>
        <w:t>Paragraph</w:t>
      </w:r>
      <w:r w:rsidRPr="00150EDC">
        <w:rPr>
          <w:spacing w:val="-1"/>
          <w:sz w:val="24"/>
        </w:rPr>
        <w:t xml:space="preserve"> </w:t>
      </w:r>
      <w:r w:rsidRPr="00150EDC">
        <w:rPr>
          <w:sz w:val="24"/>
        </w:rPr>
        <w:t>1.4.</w:t>
      </w:r>
      <w:r w:rsidRPr="00150EDC">
        <w:rPr>
          <w:spacing w:val="40"/>
          <w:sz w:val="24"/>
        </w:rPr>
        <w:t xml:space="preserve"> </w:t>
      </w:r>
      <w:r w:rsidRPr="00150EDC">
        <w:rPr>
          <w:sz w:val="24"/>
        </w:rPr>
        <w:t>The</w:t>
      </w:r>
      <w:r w:rsidRPr="00150EDC">
        <w:rPr>
          <w:spacing w:val="-4"/>
          <w:sz w:val="24"/>
        </w:rPr>
        <w:t xml:space="preserve"> </w:t>
      </w:r>
      <w:r w:rsidRPr="00150EDC">
        <w:rPr>
          <w:sz w:val="24"/>
        </w:rPr>
        <w:t>decision</w:t>
      </w:r>
      <w:r w:rsidRPr="00150EDC">
        <w:rPr>
          <w:spacing w:val="-2"/>
          <w:sz w:val="24"/>
        </w:rPr>
        <w:t xml:space="preserve"> </w:t>
      </w:r>
      <w:r w:rsidRPr="00150EDC">
        <w:rPr>
          <w:sz w:val="24"/>
        </w:rPr>
        <w:t>of</w:t>
      </w:r>
      <w:r w:rsidRPr="00150EDC">
        <w:rPr>
          <w:spacing w:val="-4"/>
          <w:sz w:val="24"/>
        </w:rPr>
        <w:t xml:space="preserve"> </w:t>
      </w:r>
      <w:r w:rsidRPr="00150EDC">
        <w:rPr>
          <w:sz w:val="24"/>
        </w:rPr>
        <w:t>CCS</w:t>
      </w:r>
      <w:r w:rsidRPr="00150EDC">
        <w:rPr>
          <w:spacing w:val="-2"/>
          <w:sz w:val="24"/>
        </w:rPr>
        <w:t xml:space="preserve"> </w:t>
      </w:r>
      <w:r w:rsidRPr="00150EDC">
        <w:rPr>
          <w:sz w:val="24"/>
        </w:rPr>
        <w:t>and</w:t>
      </w:r>
      <w:r w:rsidRPr="00150EDC">
        <w:rPr>
          <w:spacing w:val="-4"/>
          <w:sz w:val="24"/>
        </w:rPr>
        <w:t xml:space="preserve"> </w:t>
      </w:r>
      <w:r w:rsidRPr="00150EDC">
        <w:rPr>
          <w:sz w:val="24"/>
        </w:rPr>
        <w:t>the</w:t>
      </w:r>
      <w:r w:rsidRPr="00150EDC">
        <w:rPr>
          <w:spacing w:val="-2"/>
          <w:sz w:val="24"/>
        </w:rPr>
        <w:t xml:space="preserve"> </w:t>
      </w:r>
      <w:r w:rsidRPr="00150EDC">
        <w:rPr>
          <w:sz w:val="24"/>
        </w:rPr>
        <w:t>Buyer</w:t>
      </w:r>
      <w:r w:rsidRPr="00150EDC">
        <w:rPr>
          <w:spacing w:val="-2"/>
          <w:sz w:val="24"/>
        </w:rPr>
        <w:t xml:space="preserve"> </w:t>
      </w:r>
      <w:r w:rsidRPr="00150EDC">
        <w:rPr>
          <w:sz w:val="24"/>
        </w:rPr>
        <w:t>to</w:t>
      </w:r>
      <w:r w:rsidRPr="00150EDC">
        <w:rPr>
          <w:spacing w:val="-4"/>
          <w:sz w:val="24"/>
        </w:rPr>
        <w:t xml:space="preserve"> </w:t>
      </w:r>
      <w:r w:rsidRPr="00150EDC">
        <w:rPr>
          <w:sz w:val="24"/>
        </w:rPr>
        <w:t>consent</w:t>
      </w:r>
      <w:r w:rsidRPr="00150EDC">
        <w:rPr>
          <w:spacing w:val="-2"/>
          <w:sz w:val="24"/>
        </w:rPr>
        <w:t xml:space="preserve"> </w:t>
      </w:r>
      <w:r w:rsidRPr="00150EDC">
        <w:rPr>
          <w:sz w:val="24"/>
        </w:rPr>
        <w:t>or not will not be unreasonably withheld or delayed.</w:t>
      </w:r>
      <w:r w:rsidRPr="00150EDC">
        <w:rPr>
          <w:spacing w:val="40"/>
          <w:sz w:val="24"/>
        </w:rPr>
        <w:t xml:space="preserve"> </w:t>
      </w:r>
      <w:r w:rsidRPr="00150EDC">
        <w:rPr>
          <w:sz w:val="24"/>
        </w:rPr>
        <w:t>Where CCS consents to the appointment of a new Key Subcontractor then they will be added to the Platform.</w:t>
      </w:r>
      <w:r w:rsidRPr="00150EDC">
        <w:rPr>
          <w:spacing w:val="40"/>
          <w:sz w:val="24"/>
        </w:rPr>
        <w:t xml:space="preserve"> </w:t>
      </w:r>
      <w:r w:rsidRPr="00150EDC">
        <w:rPr>
          <w:sz w:val="24"/>
        </w:rPr>
        <w:t>Where the Buyer consents to the appointment of a new Key Subcontractor then they will be added to the Key Subcontractor section of the Order Form.</w:t>
      </w:r>
      <w:r w:rsidRPr="00150EDC">
        <w:rPr>
          <w:spacing w:val="40"/>
          <w:sz w:val="24"/>
        </w:rPr>
        <w:t xml:space="preserve"> </w:t>
      </w:r>
      <w:r w:rsidRPr="00150EDC">
        <w:rPr>
          <w:sz w:val="24"/>
        </w:rPr>
        <w:t>CCS</w:t>
      </w:r>
      <w:r w:rsidRPr="00150EDC">
        <w:rPr>
          <w:spacing w:val="-1"/>
          <w:sz w:val="24"/>
        </w:rPr>
        <w:t xml:space="preserve"> </w:t>
      </w:r>
      <w:r w:rsidRPr="00150EDC">
        <w:rPr>
          <w:sz w:val="24"/>
        </w:rPr>
        <w:t>and</w:t>
      </w:r>
      <w:r w:rsidRPr="00150EDC">
        <w:rPr>
          <w:spacing w:val="-1"/>
          <w:sz w:val="24"/>
        </w:rPr>
        <w:t xml:space="preserve"> </w:t>
      </w:r>
      <w:r w:rsidRPr="00150EDC">
        <w:rPr>
          <w:sz w:val="24"/>
        </w:rPr>
        <w:t>the</w:t>
      </w:r>
      <w:r w:rsidRPr="00150EDC">
        <w:rPr>
          <w:spacing w:val="-1"/>
          <w:sz w:val="24"/>
        </w:rPr>
        <w:t xml:space="preserve"> </w:t>
      </w:r>
      <w:r w:rsidRPr="00150EDC">
        <w:rPr>
          <w:sz w:val="24"/>
        </w:rPr>
        <w:t>Buyer may reasonably withhold their</w:t>
      </w:r>
      <w:r w:rsidRPr="00150EDC">
        <w:rPr>
          <w:spacing w:val="-1"/>
          <w:sz w:val="24"/>
        </w:rPr>
        <w:t xml:space="preserve"> </w:t>
      </w:r>
      <w:r w:rsidRPr="00150EDC">
        <w:rPr>
          <w:sz w:val="24"/>
        </w:rPr>
        <w:t>consent to the appointment of a Key Subcontractor if it considers that:</w:t>
      </w:r>
    </w:p>
    <w:p w14:paraId="67125E44" w14:textId="77777777" w:rsidR="004C7180" w:rsidRPr="00150EDC" w:rsidRDefault="00CF0754" w:rsidP="00B320C7">
      <w:pPr>
        <w:pStyle w:val="ListParagraph"/>
        <w:numPr>
          <w:ilvl w:val="2"/>
          <w:numId w:val="96"/>
        </w:numPr>
        <w:tabs>
          <w:tab w:val="left" w:pos="3150"/>
        </w:tabs>
        <w:spacing w:before="121"/>
        <w:ind w:right="1461"/>
        <w:rPr>
          <w:sz w:val="24"/>
        </w:rPr>
      </w:pPr>
      <w:r w:rsidRPr="00150EDC">
        <w:rPr>
          <w:sz w:val="24"/>
        </w:rPr>
        <w:t>the</w:t>
      </w:r>
      <w:r w:rsidRPr="00150EDC">
        <w:rPr>
          <w:spacing w:val="-5"/>
          <w:sz w:val="24"/>
        </w:rPr>
        <w:t xml:space="preserve"> </w:t>
      </w:r>
      <w:r w:rsidRPr="00150EDC">
        <w:rPr>
          <w:sz w:val="24"/>
        </w:rPr>
        <w:t>appointment</w:t>
      </w:r>
      <w:r w:rsidRPr="00150EDC">
        <w:rPr>
          <w:spacing w:val="-3"/>
          <w:sz w:val="24"/>
        </w:rPr>
        <w:t xml:space="preserve"> </w:t>
      </w:r>
      <w:r w:rsidRPr="00150EDC">
        <w:rPr>
          <w:sz w:val="24"/>
        </w:rPr>
        <w:t>of</w:t>
      </w:r>
      <w:r w:rsidRPr="00150EDC">
        <w:rPr>
          <w:spacing w:val="-3"/>
          <w:sz w:val="24"/>
        </w:rPr>
        <w:t xml:space="preserve"> </w:t>
      </w:r>
      <w:r w:rsidRPr="00150EDC">
        <w:rPr>
          <w:sz w:val="24"/>
        </w:rPr>
        <w:t>a</w:t>
      </w:r>
      <w:r w:rsidRPr="00150EDC">
        <w:rPr>
          <w:spacing w:val="-5"/>
          <w:sz w:val="24"/>
        </w:rPr>
        <w:t xml:space="preserve"> </w:t>
      </w:r>
      <w:r w:rsidRPr="00150EDC">
        <w:rPr>
          <w:sz w:val="24"/>
        </w:rPr>
        <w:t>proposed</w:t>
      </w:r>
      <w:r w:rsidRPr="00150EDC">
        <w:rPr>
          <w:spacing w:val="-3"/>
          <w:sz w:val="24"/>
        </w:rPr>
        <w:t xml:space="preserve"> </w:t>
      </w:r>
      <w:r w:rsidRPr="00150EDC">
        <w:rPr>
          <w:sz w:val="24"/>
        </w:rPr>
        <w:t>Key</w:t>
      </w:r>
      <w:r w:rsidRPr="00150EDC">
        <w:rPr>
          <w:spacing w:val="-6"/>
          <w:sz w:val="24"/>
        </w:rPr>
        <w:t xml:space="preserve"> </w:t>
      </w:r>
      <w:r w:rsidRPr="00150EDC">
        <w:rPr>
          <w:sz w:val="24"/>
        </w:rPr>
        <w:t>Subcontractor</w:t>
      </w:r>
      <w:r w:rsidRPr="00150EDC">
        <w:rPr>
          <w:spacing w:val="-6"/>
          <w:sz w:val="24"/>
        </w:rPr>
        <w:t xml:space="preserve"> </w:t>
      </w:r>
      <w:r w:rsidRPr="00150EDC">
        <w:rPr>
          <w:sz w:val="24"/>
        </w:rPr>
        <w:t>may</w:t>
      </w:r>
      <w:r w:rsidRPr="00150EDC">
        <w:rPr>
          <w:spacing w:val="-5"/>
          <w:sz w:val="24"/>
        </w:rPr>
        <w:t xml:space="preserve"> </w:t>
      </w:r>
      <w:r w:rsidRPr="00150EDC">
        <w:rPr>
          <w:sz w:val="24"/>
        </w:rPr>
        <w:t>prejudice</w:t>
      </w:r>
      <w:r w:rsidRPr="00150EDC">
        <w:rPr>
          <w:spacing w:val="-5"/>
          <w:sz w:val="24"/>
        </w:rPr>
        <w:t xml:space="preserve"> </w:t>
      </w:r>
      <w:r w:rsidRPr="00150EDC">
        <w:rPr>
          <w:sz w:val="24"/>
        </w:rPr>
        <w:t>the provision of the Deliverables or may be contrary to its interests;</w:t>
      </w:r>
    </w:p>
    <w:p w14:paraId="46B73749" w14:textId="77777777" w:rsidR="004C7180" w:rsidRPr="00150EDC" w:rsidRDefault="00CF0754" w:rsidP="00B320C7">
      <w:pPr>
        <w:pStyle w:val="ListParagraph"/>
        <w:numPr>
          <w:ilvl w:val="2"/>
          <w:numId w:val="96"/>
        </w:numPr>
        <w:tabs>
          <w:tab w:val="left" w:pos="3150"/>
        </w:tabs>
        <w:spacing w:before="117"/>
        <w:ind w:right="2100"/>
        <w:rPr>
          <w:sz w:val="24"/>
        </w:rPr>
      </w:pPr>
      <w:r w:rsidRPr="00150EDC">
        <w:rPr>
          <w:sz w:val="24"/>
        </w:rPr>
        <w:t>the proposed Key Subcontractor is unreliable and/or has not provided</w:t>
      </w:r>
      <w:r w:rsidRPr="00150EDC">
        <w:rPr>
          <w:spacing w:val="-6"/>
          <w:sz w:val="24"/>
        </w:rPr>
        <w:t xml:space="preserve"> </w:t>
      </w:r>
      <w:r w:rsidRPr="00150EDC">
        <w:rPr>
          <w:sz w:val="24"/>
        </w:rPr>
        <w:t>reliable</w:t>
      </w:r>
      <w:r w:rsidRPr="00150EDC">
        <w:rPr>
          <w:spacing w:val="-6"/>
          <w:sz w:val="24"/>
        </w:rPr>
        <w:t xml:space="preserve"> </w:t>
      </w:r>
      <w:r w:rsidRPr="00150EDC">
        <w:rPr>
          <w:sz w:val="24"/>
        </w:rPr>
        <w:t>goods</w:t>
      </w:r>
      <w:r w:rsidRPr="00150EDC">
        <w:rPr>
          <w:spacing w:val="-4"/>
          <w:sz w:val="24"/>
        </w:rPr>
        <w:t xml:space="preserve"> </w:t>
      </w:r>
      <w:r w:rsidRPr="00150EDC">
        <w:rPr>
          <w:sz w:val="24"/>
        </w:rPr>
        <w:t>and</w:t>
      </w:r>
      <w:r w:rsidRPr="00150EDC">
        <w:rPr>
          <w:spacing w:val="-6"/>
          <w:sz w:val="24"/>
        </w:rPr>
        <w:t xml:space="preserve"> </w:t>
      </w:r>
      <w:r w:rsidRPr="00150EDC">
        <w:rPr>
          <w:sz w:val="24"/>
        </w:rPr>
        <w:t>or</w:t>
      </w:r>
      <w:r w:rsidRPr="00150EDC">
        <w:rPr>
          <w:spacing w:val="-4"/>
          <w:sz w:val="24"/>
        </w:rPr>
        <w:t xml:space="preserve"> </w:t>
      </w:r>
      <w:r w:rsidRPr="00150EDC">
        <w:rPr>
          <w:sz w:val="24"/>
        </w:rPr>
        <w:t>reasonable</w:t>
      </w:r>
      <w:r w:rsidRPr="00150EDC">
        <w:rPr>
          <w:spacing w:val="-4"/>
          <w:sz w:val="24"/>
        </w:rPr>
        <w:t xml:space="preserve"> </w:t>
      </w:r>
      <w:r w:rsidRPr="00150EDC">
        <w:rPr>
          <w:sz w:val="24"/>
        </w:rPr>
        <w:t>services</w:t>
      </w:r>
      <w:r w:rsidRPr="00150EDC">
        <w:rPr>
          <w:spacing w:val="-4"/>
          <w:sz w:val="24"/>
        </w:rPr>
        <w:t xml:space="preserve"> </w:t>
      </w:r>
      <w:r w:rsidRPr="00150EDC">
        <w:rPr>
          <w:sz w:val="24"/>
        </w:rPr>
        <w:t>to</w:t>
      </w:r>
      <w:r w:rsidRPr="00150EDC">
        <w:rPr>
          <w:spacing w:val="-4"/>
          <w:sz w:val="24"/>
        </w:rPr>
        <w:t xml:space="preserve"> </w:t>
      </w:r>
      <w:r w:rsidRPr="00150EDC">
        <w:rPr>
          <w:sz w:val="24"/>
        </w:rPr>
        <w:t>its</w:t>
      </w:r>
      <w:r w:rsidRPr="00150EDC">
        <w:rPr>
          <w:spacing w:val="-4"/>
          <w:sz w:val="24"/>
        </w:rPr>
        <w:t xml:space="preserve"> </w:t>
      </w:r>
      <w:r w:rsidRPr="00150EDC">
        <w:rPr>
          <w:sz w:val="24"/>
        </w:rPr>
        <w:t>other customers; and/or</w:t>
      </w:r>
    </w:p>
    <w:p w14:paraId="7DD0CA86" w14:textId="77777777" w:rsidR="004C7180" w:rsidRPr="00150EDC" w:rsidRDefault="00CF0754" w:rsidP="00B320C7">
      <w:pPr>
        <w:pStyle w:val="ListParagraph"/>
        <w:numPr>
          <w:ilvl w:val="2"/>
          <w:numId w:val="96"/>
        </w:numPr>
        <w:tabs>
          <w:tab w:val="left" w:pos="3149"/>
        </w:tabs>
        <w:spacing w:before="121"/>
        <w:ind w:left="3149" w:hanging="849"/>
        <w:rPr>
          <w:sz w:val="24"/>
        </w:rPr>
      </w:pPr>
      <w:r w:rsidRPr="00150EDC">
        <w:rPr>
          <w:sz w:val="24"/>
        </w:rPr>
        <w:t>the</w:t>
      </w:r>
      <w:r w:rsidRPr="00150EDC">
        <w:rPr>
          <w:spacing w:val="-7"/>
          <w:sz w:val="24"/>
        </w:rPr>
        <w:t xml:space="preserve"> </w:t>
      </w:r>
      <w:r w:rsidRPr="00150EDC">
        <w:rPr>
          <w:sz w:val="24"/>
        </w:rPr>
        <w:t>proposed</w:t>
      </w:r>
      <w:r w:rsidRPr="00150EDC">
        <w:rPr>
          <w:spacing w:val="-4"/>
          <w:sz w:val="24"/>
        </w:rPr>
        <w:t xml:space="preserve"> </w:t>
      </w:r>
      <w:r w:rsidRPr="00150EDC">
        <w:rPr>
          <w:sz w:val="24"/>
        </w:rPr>
        <w:t>Key</w:t>
      </w:r>
      <w:r w:rsidRPr="00150EDC">
        <w:rPr>
          <w:spacing w:val="-5"/>
          <w:sz w:val="24"/>
        </w:rPr>
        <w:t xml:space="preserve"> </w:t>
      </w:r>
      <w:r w:rsidRPr="00150EDC">
        <w:rPr>
          <w:sz w:val="24"/>
        </w:rPr>
        <w:t>Subcontractor</w:t>
      </w:r>
      <w:r w:rsidRPr="00150EDC">
        <w:rPr>
          <w:spacing w:val="-2"/>
          <w:sz w:val="24"/>
        </w:rPr>
        <w:t xml:space="preserve"> </w:t>
      </w:r>
      <w:r w:rsidRPr="00150EDC">
        <w:rPr>
          <w:sz w:val="24"/>
        </w:rPr>
        <w:t>employs</w:t>
      </w:r>
      <w:r w:rsidRPr="00150EDC">
        <w:rPr>
          <w:spacing w:val="-5"/>
          <w:sz w:val="24"/>
        </w:rPr>
        <w:t xml:space="preserve"> </w:t>
      </w:r>
      <w:r w:rsidRPr="00150EDC">
        <w:rPr>
          <w:sz w:val="24"/>
        </w:rPr>
        <w:t>unfit</w:t>
      </w:r>
      <w:r w:rsidRPr="00150EDC">
        <w:rPr>
          <w:spacing w:val="-2"/>
          <w:sz w:val="24"/>
        </w:rPr>
        <w:t xml:space="preserve"> persons.</w:t>
      </w:r>
    </w:p>
    <w:p w14:paraId="4DF6832B" w14:textId="77777777" w:rsidR="004C7180" w:rsidRPr="00150EDC" w:rsidRDefault="00CF0754" w:rsidP="00B320C7">
      <w:pPr>
        <w:pStyle w:val="ListParagraph"/>
        <w:numPr>
          <w:ilvl w:val="1"/>
          <w:numId w:val="96"/>
        </w:numPr>
        <w:tabs>
          <w:tab w:val="left" w:pos="2300"/>
        </w:tabs>
        <w:spacing w:before="120"/>
        <w:ind w:right="1510"/>
        <w:rPr>
          <w:sz w:val="24"/>
        </w:rPr>
      </w:pPr>
      <w:r w:rsidRPr="00150EDC">
        <w:rPr>
          <w:sz w:val="24"/>
        </w:rPr>
        <w:t>The</w:t>
      </w:r>
      <w:r w:rsidRPr="00150EDC">
        <w:rPr>
          <w:spacing w:val="-3"/>
          <w:sz w:val="24"/>
        </w:rPr>
        <w:t xml:space="preserve"> </w:t>
      </w:r>
      <w:r w:rsidRPr="00150EDC">
        <w:rPr>
          <w:sz w:val="24"/>
        </w:rPr>
        <w:t>Supplier</w:t>
      </w:r>
      <w:r w:rsidRPr="00150EDC">
        <w:rPr>
          <w:spacing w:val="-3"/>
          <w:sz w:val="24"/>
        </w:rPr>
        <w:t xml:space="preserve"> </w:t>
      </w:r>
      <w:r w:rsidRPr="00150EDC">
        <w:rPr>
          <w:sz w:val="24"/>
        </w:rPr>
        <w:t>shall</w:t>
      </w:r>
      <w:r w:rsidRPr="00150EDC">
        <w:rPr>
          <w:spacing w:val="-4"/>
          <w:sz w:val="24"/>
        </w:rPr>
        <w:t xml:space="preserve"> </w:t>
      </w:r>
      <w:r w:rsidRPr="00150EDC">
        <w:rPr>
          <w:sz w:val="24"/>
        </w:rPr>
        <w:t>provide</w:t>
      </w:r>
      <w:r w:rsidRPr="00150EDC">
        <w:rPr>
          <w:spacing w:val="-2"/>
          <w:sz w:val="24"/>
        </w:rPr>
        <w:t xml:space="preserve"> </w:t>
      </w:r>
      <w:r w:rsidRPr="00150EDC">
        <w:rPr>
          <w:sz w:val="24"/>
        </w:rPr>
        <w:t>CCS</w:t>
      </w:r>
      <w:r w:rsidRPr="00150EDC">
        <w:rPr>
          <w:spacing w:val="-3"/>
          <w:sz w:val="24"/>
        </w:rPr>
        <w:t xml:space="preserve"> </w:t>
      </w:r>
      <w:r w:rsidRPr="00150EDC">
        <w:rPr>
          <w:sz w:val="24"/>
        </w:rPr>
        <w:t>and</w:t>
      </w:r>
      <w:r w:rsidRPr="00150EDC">
        <w:rPr>
          <w:spacing w:val="-3"/>
          <w:sz w:val="24"/>
        </w:rPr>
        <w:t xml:space="preserve"> </w:t>
      </w:r>
      <w:r w:rsidRPr="00150EDC">
        <w:rPr>
          <w:sz w:val="24"/>
        </w:rPr>
        <w:t>the</w:t>
      </w:r>
      <w:r w:rsidRPr="00150EDC">
        <w:rPr>
          <w:spacing w:val="-5"/>
          <w:sz w:val="24"/>
        </w:rPr>
        <w:t xml:space="preserve"> </w:t>
      </w:r>
      <w:r w:rsidRPr="00150EDC">
        <w:rPr>
          <w:sz w:val="24"/>
        </w:rPr>
        <w:t>Buyer</w:t>
      </w:r>
      <w:r w:rsidRPr="00150EDC">
        <w:rPr>
          <w:spacing w:val="-7"/>
          <w:sz w:val="24"/>
        </w:rPr>
        <w:t xml:space="preserve"> </w:t>
      </w:r>
      <w:r w:rsidRPr="00150EDC">
        <w:rPr>
          <w:sz w:val="24"/>
        </w:rPr>
        <w:t>with</w:t>
      </w:r>
      <w:r w:rsidRPr="00150EDC">
        <w:rPr>
          <w:spacing w:val="-3"/>
          <w:sz w:val="24"/>
        </w:rPr>
        <w:t xml:space="preserve"> </w:t>
      </w:r>
      <w:r w:rsidRPr="00150EDC">
        <w:rPr>
          <w:sz w:val="24"/>
        </w:rPr>
        <w:t>the</w:t>
      </w:r>
      <w:r w:rsidRPr="00150EDC">
        <w:rPr>
          <w:spacing w:val="-3"/>
          <w:sz w:val="24"/>
        </w:rPr>
        <w:t xml:space="preserve"> </w:t>
      </w:r>
      <w:r w:rsidRPr="00150EDC">
        <w:rPr>
          <w:sz w:val="24"/>
        </w:rPr>
        <w:t>following</w:t>
      </w:r>
      <w:r w:rsidRPr="00150EDC">
        <w:rPr>
          <w:spacing w:val="-3"/>
          <w:sz w:val="24"/>
        </w:rPr>
        <w:t xml:space="preserve"> </w:t>
      </w:r>
      <w:r w:rsidRPr="00150EDC">
        <w:rPr>
          <w:sz w:val="24"/>
        </w:rPr>
        <w:t>information in respect of the proposed Key Subcontractor:</w:t>
      </w:r>
    </w:p>
    <w:p w14:paraId="0512F8A5" w14:textId="77777777" w:rsidR="004C7180" w:rsidRPr="00150EDC" w:rsidRDefault="00CF0754" w:rsidP="00B320C7">
      <w:pPr>
        <w:pStyle w:val="ListParagraph"/>
        <w:numPr>
          <w:ilvl w:val="2"/>
          <w:numId w:val="96"/>
        </w:numPr>
        <w:tabs>
          <w:tab w:val="left" w:pos="3111"/>
        </w:tabs>
        <w:spacing w:before="120"/>
        <w:ind w:left="3111" w:right="2167" w:hanging="812"/>
        <w:rPr>
          <w:sz w:val="24"/>
        </w:rPr>
      </w:pPr>
      <w:r w:rsidRPr="00150EDC">
        <w:rPr>
          <w:sz w:val="24"/>
        </w:rPr>
        <w:t>the</w:t>
      </w:r>
      <w:r w:rsidRPr="00150EDC">
        <w:rPr>
          <w:spacing w:val="-6"/>
          <w:sz w:val="24"/>
        </w:rPr>
        <w:t xml:space="preserve"> </w:t>
      </w:r>
      <w:r w:rsidRPr="00150EDC">
        <w:rPr>
          <w:sz w:val="24"/>
        </w:rPr>
        <w:t>proposed</w:t>
      </w:r>
      <w:r w:rsidRPr="00150EDC">
        <w:rPr>
          <w:spacing w:val="-6"/>
          <w:sz w:val="24"/>
        </w:rPr>
        <w:t xml:space="preserve"> </w:t>
      </w:r>
      <w:r w:rsidRPr="00150EDC">
        <w:rPr>
          <w:sz w:val="24"/>
        </w:rPr>
        <w:t>Key</w:t>
      </w:r>
      <w:r w:rsidRPr="00150EDC">
        <w:rPr>
          <w:spacing w:val="-6"/>
          <w:sz w:val="24"/>
        </w:rPr>
        <w:t xml:space="preserve"> </w:t>
      </w:r>
      <w:r w:rsidRPr="00150EDC">
        <w:rPr>
          <w:sz w:val="24"/>
        </w:rPr>
        <w:t>Subcontractor’s</w:t>
      </w:r>
      <w:r w:rsidRPr="00150EDC">
        <w:rPr>
          <w:spacing w:val="-5"/>
          <w:sz w:val="24"/>
        </w:rPr>
        <w:t xml:space="preserve"> </w:t>
      </w:r>
      <w:r w:rsidRPr="00150EDC">
        <w:rPr>
          <w:sz w:val="24"/>
        </w:rPr>
        <w:t>name,</w:t>
      </w:r>
      <w:r w:rsidRPr="00150EDC">
        <w:rPr>
          <w:spacing w:val="-6"/>
          <w:sz w:val="24"/>
        </w:rPr>
        <w:t xml:space="preserve"> </w:t>
      </w:r>
      <w:r w:rsidRPr="00150EDC">
        <w:rPr>
          <w:sz w:val="24"/>
        </w:rPr>
        <w:t>registered</w:t>
      </w:r>
      <w:r w:rsidRPr="00150EDC">
        <w:rPr>
          <w:spacing w:val="-5"/>
          <w:sz w:val="24"/>
        </w:rPr>
        <w:t xml:space="preserve"> </w:t>
      </w:r>
      <w:r w:rsidRPr="00150EDC">
        <w:rPr>
          <w:sz w:val="24"/>
        </w:rPr>
        <w:t>office</w:t>
      </w:r>
      <w:r w:rsidRPr="00150EDC">
        <w:rPr>
          <w:spacing w:val="-6"/>
          <w:sz w:val="24"/>
        </w:rPr>
        <w:t xml:space="preserve"> </w:t>
      </w:r>
      <w:r w:rsidRPr="00150EDC">
        <w:rPr>
          <w:sz w:val="24"/>
        </w:rPr>
        <w:t>and company registration number;</w:t>
      </w:r>
    </w:p>
    <w:p w14:paraId="43D97442" w14:textId="77777777" w:rsidR="004C7180" w:rsidRPr="00150EDC" w:rsidRDefault="00CF0754" w:rsidP="00B320C7">
      <w:pPr>
        <w:pStyle w:val="ListParagraph"/>
        <w:numPr>
          <w:ilvl w:val="2"/>
          <w:numId w:val="96"/>
        </w:numPr>
        <w:tabs>
          <w:tab w:val="left" w:pos="3111"/>
        </w:tabs>
        <w:spacing w:before="120"/>
        <w:ind w:left="3111" w:right="2068" w:hanging="812"/>
        <w:rPr>
          <w:sz w:val="24"/>
        </w:rPr>
      </w:pPr>
      <w:r w:rsidRPr="00150EDC">
        <w:rPr>
          <w:sz w:val="24"/>
        </w:rPr>
        <w:t>the</w:t>
      </w:r>
      <w:r w:rsidRPr="00150EDC">
        <w:rPr>
          <w:spacing w:val="-4"/>
          <w:sz w:val="24"/>
        </w:rPr>
        <w:t xml:space="preserve"> </w:t>
      </w:r>
      <w:r w:rsidRPr="00150EDC">
        <w:rPr>
          <w:sz w:val="24"/>
        </w:rPr>
        <w:t>scope/description</w:t>
      </w:r>
      <w:r w:rsidRPr="00150EDC">
        <w:rPr>
          <w:spacing w:val="-6"/>
          <w:sz w:val="24"/>
        </w:rPr>
        <w:t xml:space="preserve"> </w:t>
      </w:r>
      <w:r w:rsidRPr="00150EDC">
        <w:rPr>
          <w:sz w:val="24"/>
        </w:rPr>
        <w:t>of</w:t>
      </w:r>
      <w:r w:rsidRPr="00150EDC">
        <w:rPr>
          <w:spacing w:val="-4"/>
          <w:sz w:val="24"/>
        </w:rPr>
        <w:t xml:space="preserve"> </w:t>
      </w:r>
      <w:r w:rsidRPr="00150EDC">
        <w:rPr>
          <w:sz w:val="24"/>
        </w:rPr>
        <w:t>any</w:t>
      </w:r>
      <w:r w:rsidRPr="00150EDC">
        <w:rPr>
          <w:spacing w:val="-4"/>
          <w:sz w:val="24"/>
        </w:rPr>
        <w:t xml:space="preserve"> </w:t>
      </w:r>
      <w:r w:rsidRPr="00150EDC">
        <w:rPr>
          <w:sz w:val="24"/>
        </w:rPr>
        <w:t>Deliverables</w:t>
      </w:r>
      <w:r w:rsidRPr="00150EDC">
        <w:rPr>
          <w:spacing w:val="-6"/>
          <w:sz w:val="24"/>
        </w:rPr>
        <w:t xml:space="preserve"> </w:t>
      </w:r>
      <w:r w:rsidRPr="00150EDC">
        <w:rPr>
          <w:sz w:val="24"/>
        </w:rPr>
        <w:t>to</w:t>
      </w:r>
      <w:r w:rsidRPr="00150EDC">
        <w:rPr>
          <w:spacing w:val="-3"/>
          <w:sz w:val="24"/>
        </w:rPr>
        <w:t xml:space="preserve"> </w:t>
      </w:r>
      <w:r w:rsidRPr="00150EDC">
        <w:rPr>
          <w:sz w:val="24"/>
        </w:rPr>
        <w:t>be</w:t>
      </w:r>
      <w:r w:rsidRPr="00150EDC">
        <w:rPr>
          <w:spacing w:val="-4"/>
          <w:sz w:val="24"/>
        </w:rPr>
        <w:t xml:space="preserve"> </w:t>
      </w:r>
      <w:r w:rsidRPr="00150EDC">
        <w:rPr>
          <w:sz w:val="24"/>
        </w:rPr>
        <w:t>provided</w:t>
      </w:r>
      <w:r w:rsidRPr="00150EDC">
        <w:rPr>
          <w:spacing w:val="-6"/>
          <w:sz w:val="24"/>
        </w:rPr>
        <w:t xml:space="preserve"> </w:t>
      </w:r>
      <w:r w:rsidRPr="00150EDC">
        <w:rPr>
          <w:sz w:val="24"/>
        </w:rPr>
        <w:t>by</w:t>
      </w:r>
      <w:r w:rsidRPr="00150EDC">
        <w:rPr>
          <w:spacing w:val="-4"/>
          <w:sz w:val="24"/>
        </w:rPr>
        <w:t xml:space="preserve"> </w:t>
      </w:r>
      <w:r w:rsidRPr="00150EDC">
        <w:rPr>
          <w:sz w:val="24"/>
        </w:rPr>
        <w:t>the proposed Key Subcontractor;</w:t>
      </w:r>
    </w:p>
    <w:p w14:paraId="084DE92A" w14:textId="77777777" w:rsidR="004C7180" w:rsidRPr="00150EDC" w:rsidRDefault="00CF0754" w:rsidP="00B320C7">
      <w:pPr>
        <w:pStyle w:val="ListParagraph"/>
        <w:numPr>
          <w:ilvl w:val="2"/>
          <w:numId w:val="96"/>
        </w:numPr>
        <w:tabs>
          <w:tab w:val="left" w:pos="3111"/>
        </w:tabs>
        <w:spacing w:before="120"/>
        <w:ind w:left="3111" w:right="1487" w:hanging="812"/>
        <w:rPr>
          <w:sz w:val="24"/>
        </w:rPr>
      </w:pPr>
      <w:r w:rsidRPr="00150EDC">
        <w:rPr>
          <w:sz w:val="24"/>
        </w:rPr>
        <w:t>where</w:t>
      </w:r>
      <w:r w:rsidRPr="00150EDC">
        <w:rPr>
          <w:spacing w:val="-3"/>
          <w:sz w:val="24"/>
        </w:rPr>
        <w:t xml:space="preserve"> </w:t>
      </w:r>
      <w:r w:rsidRPr="00150EDC">
        <w:rPr>
          <w:sz w:val="24"/>
        </w:rPr>
        <w:t>the</w:t>
      </w:r>
      <w:r w:rsidRPr="00150EDC">
        <w:rPr>
          <w:spacing w:val="-3"/>
          <w:sz w:val="24"/>
        </w:rPr>
        <w:t xml:space="preserve"> </w:t>
      </w:r>
      <w:r w:rsidRPr="00150EDC">
        <w:rPr>
          <w:sz w:val="24"/>
        </w:rPr>
        <w:t>proposed</w:t>
      </w:r>
      <w:r w:rsidRPr="00150EDC">
        <w:rPr>
          <w:spacing w:val="-5"/>
          <w:sz w:val="24"/>
        </w:rPr>
        <w:t xml:space="preserve"> </w:t>
      </w:r>
      <w:r w:rsidRPr="00150EDC">
        <w:rPr>
          <w:sz w:val="24"/>
        </w:rPr>
        <w:t>Key</w:t>
      </w:r>
      <w:r w:rsidRPr="00150EDC">
        <w:rPr>
          <w:spacing w:val="-3"/>
          <w:sz w:val="24"/>
        </w:rPr>
        <w:t xml:space="preserve"> </w:t>
      </w:r>
      <w:r w:rsidRPr="00150EDC">
        <w:rPr>
          <w:sz w:val="24"/>
        </w:rPr>
        <w:t>Subcontractor</w:t>
      </w:r>
      <w:r w:rsidRPr="00150EDC">
        <w:rPr>
          <w:spacing w:val="-3"/>
          <w:sz w:val="24"/>
        </w:rPr>
        <w:t xml:space="preserve"> </w:t>
      </w:r>
      <w:r w:rsidRPr="00150EDC">
        <w:rPr>
          <w:sz w:val="24"/>
        </w:rPr>
        <w:t>is</w:t>
      </w:r>
      <w:r w:rsidRPr="00150EDC">
        <w:rPr>
          <w:spacing w:val="-5"/>
          <w:sz w:val="24"/>
        </w:rPr>
        <w:t xml:space="preserve"> </w:t>
      </w:r>
      <w:r w:rsidRPr="00150EDC">
        <w:rPr>
          <w:sz w:val="24"/>
        </w:rPr>
        <w:t>an</w:t>
      </w:r>
      <w:r w:rsidRPr="00150EDC">
        <w:rPr>
          <w:spacing w:val="-5"/>
          <w:sz w:val="24"/>
        </w:rPr>
        <w:t xml:space="preserve"> </w:t>
      </w:r>
      <w:r w:rsidRPr="00150EDC">
        <w:rPr>
          <w:sz w:val="24"/>
        </w:rPr>
        <w:t>Affiliate</w:t>
      </w:r>
      <w:r w:rsidRPr="00150EDC">
        <w:rPr>
          <w:spacing w:val="-5"/>
          <w:sz w:val="24"/>
        </w:rPr>
        <w:t xml:space="preserve"> </w:t>
      </w:r>
      <w:r w:rsidRPr="00150EDC">
        <w:rPr>
          <w:sz w:val="24"/>
        </w:rPr>
        <w:t>of</w:t>
      </w:r>
      <w:r w:rsidRPr="00150EDC">
        <w:rPr>
          <w:spacing w:val="-3"/>
          <w:sz w:val="24"/>
        </w:rPr>
        <w:t xml:space="preserve"> </w:t>
      </w:r>
      <w:r w:rsidRPr="00150EDC">
        <w:rPr>
          <w:sz w:val="24"/>
        </w:rPr>
        <w:t>the</w:t>
      </w:r>
      <w:r w:rsidRPr="00150EDC">
        <w:rPr>
          <w:spacing w:val="-5"/>
          <w:sz w:val="24"/>
        </w:rPr>
        <w:t xml:space="preserve"> </w:t>
      </w:r>
      <w:r w:rsidRPr="00150EDC">
        <w:rPr>
          <w:sz w:val="24"/>
        </w:rPr>
        <w:t>Supplier, evidence that demonstrates to the reasonable satisfaction of the CCS and the Buyer that the proposed Key Sub-Contract has been agreed on "arm’s-length" terms;</w:t>
      </w:r>
    </w:p>
    <w:p w14:paraId="2FF693ED" w14:textId="77777777" w:rsidR="004C7180" w:rsidRPr="00150EDC" w:rsidRDefault="00CF0754" w:rsidP="00B320C7">
      <w:pPr>
        <w:pStyle w:val="ListParagraph"/>
        <w:numPr>
          <w:ilvl w:val="2"/>
          <w:numId w:val="96"/>
        </w:numPr>
        <w:tabs>
          <w:tab w:val="left" w:pos="3111"/>
        </w:tabs>
        <w:spacing w:before="121"/>
        <w:ind w:left="3111" w:right="1659" w:hanging="812"/>
        <w:rPr>
          <w:sz w:val="24"/>
        </w:rPr>
      </w:pPr>
      <w:r w:rsidRPr="00150EDC">
        <w:rPr>
          <w:sz w:val="24"/>
        </w:rPr>
        <w:t>for</w:t>
      </w:r>
      <w:r w:rsidRPr="00150EDC">
        <w:rPr>
          <w:spacing w:val="-4"/>
          <w:sz w:val="24"/>
        </w:rPr>
        <w:t xml:space="preserve"> </w:t>
      </w:r>
      <w:r w:rsidRPr="00150EDC">
        <w:rPr>
          <w:sz w:val="24"/>
        </w:rPr>
        <w:t>CCS,</w:t>
      </w:r>
      <w:r w:rsidRPr="00150EDC">
        <w:rPr>
          <w:spacing w:val="-4"/>
          <w:sz w:val="24"/>
        </w:rPr>
        <w:t xml:space="preserve"> </w:t>
      </w:r>
      <w:r w:rsidRPr="00150EDC">
        <w:rPr>
          <w:sz w:val="24"/>
        </w:rPr>
        <w:t>the</w:t>
      </w:r>
      <w:r w:rsidRPr="00150EDC">
        <w:rPr>
          <w:spacing w:val="-4"/>
          <w:sz w:val="24"/>
        </w:rPr>
        <w:t xml:space="preserve"> </w:t>
      </w:r>
      <w:r w:rsidRPr="00150EDC">
        <w:rPr>
          <w:sz w:val="24"/>
        </w:rPr>
        <w:t>Key</w:t>
      </w:r>
      <w:r w:rsidRPr="00150EDC">
        <w:rPr>
          <w:spacing w:val="-4"/>
          <w:sz w:val="24"/>
        </w:rPr>
        <w:t xml:space="preserve"> </w:t>
      </w:r>
      <w:r w:rsidRPr="00150EDC">
        <w:rPr>
          <w:sz w:val="24"/>
        </w:rPr>
        <w:t>Sub-Contract</w:t>
      </w:r>
      <w:r w:rsidRPr="00150EDC">
        <w:rPr>
          <w:spacing w:val="-6"/>
          <w:sz w:val="24"/>
        </w:rPr>
        <w:t xml:space="preserve"> </w:t>
      </w:r>
      <w:r w:rsidRPr="00150EDC">
        <w:rPr>
          <w:sz w:val="24"/>
        </w:rPr>
        <w:t>price</w:t>
      </w:r>
      <w:r w:rsidRPr="00150EDC">
        <w:rPr>
          <w:spacing w:val="-4"/>
          <w:sz w:val="24"/>
        </w:rPr>
        <w:t xml:space="preserve"> </w:t>
      </w:r>
      <w:r w:rsidRPr="00150EDC">
        <w:rPr>
          <w:sz w:val="24"/>
        </w:rPr>
        <w:t>expressed</w:t>
      </w:r>
      <w:r w:rsidRPr="00150EDC">
        <w:rPr>
          <w:spacing w:val="-4"/>
          <w:sz w:val="24"/>
        </w:rPr>
        <w:t xml:space="preserve"> </w:t>
      </w:r>
      <w:r w:rsidRPr="00150EDC">
        <w:rPr>
          <w:sz w:val="24"/>
        </w:rPr>
        <w:t>as</w:t>
      </w:r>
      <w:r w:rsidRPr="00150EDC">
        <w:rPr>
          <w:spacing w:val="-6"/>
          <w:sz w:val="24"/>
        </w:rPr>
        <w:t xml:space="preserve"> </w:t>
      </w:r>
      <w:r w:rsidRPr="00150EDC">
        <w:rPr>
          <w:sz w:val="24"/>
        </w:rPr>
        <w:t>a</w:t>
      </w:r>
      <w:r w:rsidRPr="00150EDC">
        <w:rPr>
          <w:spacing w:val="-5"/>
          <w:sz w:val="24"/>
        </w:rPr>
        <w:t xml:space="preserve"> </w:t>
      </w:r>
      <w:r w:rsidRPr="00150EDC">
        <w:rPr>
          <w:sz w:val="24"/>
        </w:rPr>
        <w:t>percentage</w:t>
      </w:r>
      <w:r w:rsidRPr="00150EDC">
        <w:rPr>
          <w:spacing w:val="-4"/>
          <w:sz w:val="24"/>
        </w:rPr>
        <w:t xml:space="preserve"> </w:t>
      </w:r>
      <w:r w:rsidRPr="00150EDC">
        <w:rPr>
          <w:sz w:val="24"/>
        </w:rPr>
        <w:t>of the total projected DPS Price over the DPS Contract Period;</w:t>
      </w:r>
    </w:p>
    <w:p w14:paraId="2195B042" w14:textId="77777777" w:rsidR="004C7180" w:rsidRPr="00150EDC" w:rsidRDefault="00CF0754" w:rsidP="00B320C7">
      <w:pPr>
        <w:pStyle w:val="ListParagraph"/>
        <w:numPr>
          <w:ilvl w:val="2"/>
          <w:numId w:val="96"/>
        </w:numPr>
        <w:tabs>
          <w:tab w:val="left" w:pos="3111"/>
        </w:tabs>
        <w:spacing w:before="120"/>
        <w:ind w:left="3111" w:right="1753" w:hanging="812"/>
        <w:rPr>
          <w:sz w:val="24"/>
        </w:rPr>
      </w:pPr>
      <w:r w:rsidRPr="00150EDC">
        <w:rPr>
          <w:sz w:val="24"/>
        </w:rPr>
        <w:t>for the Buyer, the Key Sub-Contract price expressed as a percentage</w:t>
      </w:r>
      <w:r w:rsidRPr="00150EDC">
        <w:rPr>
          <w:spacing w:val="-4"/>
          <w:sz w:val="24"/>
        </w:rPr>
        <w:t xml:space="preserve"> </w:t>
      </w:r>
      <w:r w:rsidRPr="00150EDC">
        <w:rPr>
          <w:sz w:val="24"/>
        </w:rPr>
        <w:t>of</w:t>
      </w:r>
      <w:r w:rsidRPr="00150EDC">
        <w:rPr>
          <w:spacing w:val="-6"/>
          <w:sz w:val="24"/>
        </w:rPr>
        <w:t xml:space="preserve"> </w:t>
      </w:r>
      <w:r w:rsidRPr="00150EDC">
        <w:rPr>
          <w:sz w:val="24"/>
        </w:rPr>
        <w:t>the</w:t>
      </w:r>
      <w:r w:rsidRPr="00150EDC">
        <w:rPr>
          <w:spacing w:val="-4"/>
          <w:sz w:val="24"/>
        </w:rPr>
        <w:t xml:space="preserve"> </w:t>
      </w:r>
      <w:r w:rsidRPr="00150EDC">
        <w:rPr>
          <w:sz w:val="24"/>
        </w:rPr>
        <w:t>total</w:t>
      </w:r>
      <w:r w:rsidRPr="00150EDC">
        <w:rPr>
          <w:spacing w:val="-7"/>
          <w:sz w:val="24"/>
        </w:rPr>
        <w:t xml:space="preserve"> </w:t>
      </w:r>
      <w:r w:rsidRPr="00150EDC">
        <w:rPr>
          <w:sz w:val="24"/>
        </w:rPr>
        <w:t>projected</w:t>
      </w:r>
      <w:r w:rsidRPr="00150EDC">
        <w:rPr>
          <w:spacing w:val="-4"/>
          <w:sz w:val="24"/>
        </w:rPr>
        <w:t xml:space="preserve"> </w:t>
      </w:r>
      <w:r w:rsidRPr="00150EDC">
        <w:rPr>
          <w:sz w:val="24"/>
        </w:rPr>
        <w:t>Charges</w:t>
      </w:r>
      <w:r w:rsidRPr="00150EDC">
        <w:rPr>
          <w:spacing w:val="-4"/>
          <w:sz w:val="24"/>
        </w:rPr>
        <w:t xml:space="preserve"> </w:t>
      </w:r>
      <w:r w:rsidRPr="00150EDC">
        <w:rPr>
          <w:sz w:val="24"/>
        </w:rPr>
        <w:t>over</w:t>
      </w:r>
      <w:r w:rsidRPr="00150EDC">
        <w:rPr>
          <w:spacing w:val="-4"/>
          <w:sz w:val="24"/>
        </w:rPr>
        <w:t xml:space="preserve"> </w:t>
      </w:r>
      <w:r w:rsidRPr="00150EDC">
        <w:rPr>
          <w:sz w:val="24"/>
        </w:rPr>
        <w:t>the</w:t>
      </w:r>
      <w:r w:rsidRPr="00150EDC">
        <w:rPr>
          <w:spacing w:val="-4"/>
          <w:sz w:val="24"/>
        </w:rPr>
        <w:t xml:space="preserve"> </w:t>
      </w:r>
      <w:r w:rsidRPr="00150EDC">
        <w:rPr>
          <w:sz w:val="24"/>
        </w:rPr>
        <w:t>Order</w:t>
      </w:r>
      <w:r w:rsidRPr="00150EDC">
        <w:rPr>
          <w:spacing w:val="-4"/>
          <w:sz w:val="24"/>
        </w:rPr>
        <w:t xml:space="preserve"> </w:t>
      </w:r>
      <w:r w:rsidRPr="00150EDC">
        <w:rPr>
          <w:sz w:val="24"/>
        </w:rPr>
        <w:t>Contract Period; and</w:t>
      </w:r>
    </w:p>
    <w:p w14:paraId="0697A08F" w14:textId="77777777" w:rsidR="004C7180" w:rsidRPr="00150EDC" w:rsidRDefault="00CF0754" w:rsidP="00B320C7">
      <w:pPr>
        <w:pStyle w:val="ListParagraph"/>
        <w:numPr>
          <w:ilvl w:val="2"/>
          <w:numId w:val="96"/>
        </w:numPr>
        <w:tabs>
          <w:tab w:val="left" w:pos="3111"/>
        </w:tabs>
        <w:spacing w:before="120"/>
        <w:ind w:left="3111" w:right="2111" w:hanging="812"/>
        <w:rPr>
          <w:sz w:val="24"/>
        </w:rPr>
      </w:pPr>
      <w:r w:rsidRPr="00150EDC">
        <w:rPr>
          <w:sz w:val="24"/>
        </w:rPr>
        <w:t>(where</w:t>
      </w:r>
      <w:r w:rsidRPr="00150EDC">
        <w:rPr>
          <w:spacing w:val="-5"/>
          <w:sz w:val="24"/>
        </w:rPr>
        <w:t xml:space="preserve"> </w:t>
      </w:r>
      <w:r w:rsidRPr="00150EDC">
        <w:rPr>
          <w:sz w:val="24"/>
        </w:rPr>
        <w:t>applicable)</w:t>
      </w:r>
      <w:r w:rsidRPr="00150EDC">
        <w:rPr>
          <w:spacing w:val="-5"/>
          <w:sz w:val="24"/>
        </w:rPr>
        <w:t xml:space="preserve"> </w:t>
      </w:r>
      <w:r w:rsidRPr="00150EDC">
        <w:rPr>
          <w:sz w:val="24"/>
        </w:rPr>
        <w:t>Credit</w:t>
      </w:r>
      <w:r w:rsidRPr="00150EDC">
        <w:rPr>
          <w:spacing w:val="-5"/>
          <w:sz w:val="24"/>
        </w:rPr>
        <w:t xml:space="preserve"> </w:t>
      </w:r>
      <w:r w:rsidRPr="00150EDC">
        <w:rPr>
          <w:sz w:val="24"/>
        </w:rPr>
        <w:t>Rating</w:t>
      </w:r>
      <w:r w:rsidRPr="00150EDC">
        <w:rPr>
          <w:spacing w:val="-5"/>
          <w:sz w:val="24"/>
        </w:rPr>
        <w:t xml:space="preserve"> </w:t>
      </w:r>
      <w:r w:rsidRPr="00150EDC">
        <w:rPr>
          <w:sz w:val="24"/>
        </w:rPr>
        <w:t>Threshold</w:t>
      </w:r>
      <w:r w:rsidRPr="00150EDC">
        <w:rPr>
          <w:spacing w:val="-5"/>
          <w:sz w:val="24"/>
        </w:rPr>
        <w:t xml:space="preserve"> </w:t>
      </w:r>
      <w:r w:rsidRPr="00150EDC">
        <w:rPr>
          <w:sz w:val="24"/>
        </w:rPr>
        <w:t>(as</w:t>
      </w:r>
      <w:r w:rsidRPr="00150EDC">
        <w:rPr>
          <w:spacing w:val="-5"/>
          <w:sz w:val="24"/>
        </w:rPr>
        <w:t xml:space="preserve"> </w:t>
      </w:r>
      <w:r w:rsidRPr="00150EDC">
        <w:rPr>
          <w:sz w:val="24"/>
        </w:rPr>
        <w:t>defined</w:t>
      </w:r>
      <w:r w:rsidRPr="00150EDC">
        <w:rPr>
          <w:spacing w:val="-5"/>
          <w:sz w:val="24"/>
        </w:rPr>
        <w:t xml:space="preserve"> </w:t>
      </w:r>
      <w:r w:rsidRPr="00150EDC">
        <w:rPr>
          <w:sz w:val="24"/>
        </w:rPr>
        <w:t>in</w:t>
      </w:r>
      <w:r w:rsidRPr="00150EDC">
        <w:rPr>
          <w:spacing w:val="-7"/>
          <w:sz w:val="24"/>
        </w:rPr>
        <w:t xml:space="preserve"> </w:t>
      </w:r>
      <w:r w:rsidRPr="00150EDC">
        <w:rPr>
          <w:sz w:val="24"/>
        </w:rPr>
        <w:t>Joint Schedule 7 (Financial Distress)) of the Key Subcontractor.</w:t>
      </w:r>
    </w:p>
    <w:p w14:paraId="01F7337E" w14:textId="77777777" w:rsidR="004C7180" w:rsidRPr="00150EDC" w:rsidRDefault="004C7180">
      <w:pPr>
        <w:rPr>
          <w:sz w:val="24"/>
        </w:rPr>
        <w:sectPr w:rsidR="004C7180" w:rsidRPr="00150EDC">
          <w:headerReference w:type="default" r:id="rId42"/>
          <w:footerReference w:type="default" r:id="rId43"/>
          <w:pgSz w:w="11910" w:h="16840"/>
          <w:pgMar w:top="1160" w:right="0" w:bottom="1420" w:left="40" w:header="715" w:footer="1224" w:gutter="0"/>
          <w:pgNumType w:start="1"/>
          <w:cols w:space="720"/>
        </w:sectPr>
      </w:pPr>
    </w:p>
    <w:p w14:paraId="037F1C54" w14:textId="77777777" w:rsidR="004C7180" w:rsidRPr="00150EDC" w:rsidRDefault="004C7180">
      <w:pPr>
        <w:pStyle w:val="BodyText"/>
        <w:spacing w:before="8"/>
        <w:rPr>
          <w:sz w:val="15"/>
        </w:rPr>
      </w:pPr>
    </w:p>
    <w:p w14:paraId="3E6E74CC" w14:textId="77777777" w:rsidR="004C7180" w:rsidRPr="00150EDC" w:rsidRDefault="00CF0754" w:rsidP="00B320C7">
      <w:pPr>
        <w:pStyle w:val="ListParagraph"/>
        <w:numPr>
          <w:ilvl w:val="1"/>
          <w:numId w:val="96"/>
        </w:numPr>
        <w:tabs>
          <w:tab w:val="left" w:pos="2300"/>
        </w:tabs>
        <w:spacing w:before="92"/>
        <w:ind w:right="2091"/>
        <w:rPr>
          <w:sz w:val="24"/>
        </w:rPr>
      </w:pPr>
      <w:r w:rsidRPr="00150EDC">
        <w:rPr>
          <w:sz w:val="24"/>
        </w:rPr>
        <w:t>If</w:t>
      </w:r>
      <w:r w:rsidRPr="00150EDC">
        <w:rPr>
          <w:spacing w:val="-3"/>
          <w:sz w:val="24"/>
        </w:rPr>
        <w:t xml:space="preserve"> </w:t>
      </w:r>
      <w:r w:rsidRPr="00150EDC">
        <w:rPr>
          <w:sz w:val="24"/>
        </w:rPr>
        <w:t>requested</w:t>
      </w:r>
      <w:r w:rsidRPr="00150EDC">
        <w:rPr>
          <w:spacing w:val="-3"/>
          <w:sz w:val="24"/>
        </w:rPr>
        <w:t xml:space="preserve"> </w:t>
      </w:r>
      <w:r w:rsidRPr="00150EDC">
        <w:rPr>
          <w:sz w:val="24"/>
        </w:rPr>
        <w:t>by</w:t>
      </w:r>
      <w:r w:rsidRPr="00150EDC">
        <w:rPr>
          <w:spacing w:val="-6"/>
          <w:sz w:val="24"/>
        </w:rPr>
        <w:t xml:space="preserve"> </w:t>
      </w:r>
      <w:r w:rsidRPr="00150EDC">
        <w:rPr>
          <w:sz w:val="24"/>
        </w:rPr>
        <w:t>CCS</w:t>
      </w:r>
      <w:r w:rsidRPr="00150EDC">
        <w:rPr>
          <w:spacing w:val="-3"/>
          <w:sz w:val="24"/>
        </w:rPr>
        <w:t xml:space="preserve"> </w:t>
      </w:r>
      <w:r w:rsidRPr="00150EDC">
        <w:rPr>
          <w:sz w:val="24"/>
        </w:rPr>
        <w:t>and/or</w:t>
      </w:r>
      <w:r w:rsidRPr="00150EDC">
        <w:rPr>
          <w:spacing w:val="-3"/>
          <w:sz w:val="24"/>
        </w:rPr>
        <w:t xml:space="preserve"> </w:t>
      </w:r>
      <w:r w:rsidRPr="00150EDC">
        <w:rPr>
          <w:sz w:val="24"/>
        </w:rPr>
        <w:t>the</w:t>
      </w:r>
      <w:r w:rsidRPr="00150EDC">
        <w:rPr>
          <w:spacing w:val="-5"/>
          <w:sz w:val="24"/>
        </w:rPr>
        <w:t xml:space="preserve"> </w:t>
      </w:r>
      <w:r w:rsidRPr="00150EDC">
        <w:rPr>
          <w:sz w:val="24"/>
        </w:rPr>
        <w:t>Buyer,</w:t>
      </w:r>
      <w:r w:rsidRPr="00150EDC">
        <w:rPr>
          <w:spacing w:val="-3"/>
          <w:sz w:val="24"/>
        </w:rPr>
        <w:t xml:space="preserve"> </w:t>
      </w:r>
      <w:r w:rsidRPr="00150EDC">
        <w:rPr>
          <w:sz w:val="24"/>
        </w:rPr>
        <w:t>within</w:t>
      </w:r>
      <w:r w:rsidRPr="00150EDC">
        <w:rPr>
          <w:spacing w:val="-5"/>
          <w:sz w:val="24"/>
        </w:rPr>
        <w:t xml:space="preserve"> </w:t>
      </w:r>
      <w:r w:rsidRPr="00150EDC">
        <w:rPr>
          <w:sz w:val="24"/>
        </w:rPr>
        <w:t>ten</w:t>
      </w:r>
      <w:r w:rsidRPr="00150EDC">
        <w:rPr>
          <w:spacing w:val="-3"/>
          <w:sz w:val="24"/>
        </w:rPr>
        <w:t xml:space="preserve"> </w:t>
      </w:r>
      <w:r w:rsidRPr="00150EDC">
        <w:rPr>
          <w:sz w:val="24"/>
        </w:rPr>
        <w:t>(10) Working</w:t>
      </w:r>
      <w:r w:rsidRPr="00150EDC">
        <w:rPr>
          <w:spacing w:val="-3"/>
          <w:sz w:val="24"/>
        </w:rPr>
        <w:t xml:space="preserve"> </w:t>
      </w:r>
      <w:r w:rsidRPr="00150EDC">
        <w:rPr>
          <w:sz w:val="24"/>
        </w:rPr>
        <w:t>Days</w:t>
      </w:r>
      <w:r w:rsidRPr="00150EDC">
        <w:rPr>
          <w:spacing w:val="-5"/>
          <w:sz w:val="24"/>
        </w:rPr>
        <w:t xml:space="preserve"> </w:t>
      </w:r>
      <w:r w:rsidRPr="00150EDC">
        <w:rPr>
          <w:sz w:val="24"/>
        </w:rPr>
        <w:t>of receipt of the information provided by the Supplier pursuant to Paragraph 1.4, the Supplier shall also provide:</w:t>
      </w:r>
    </w:p>
    <w:p w14:paraId="2E837C02" w14:textId="77777777" w:rsidR="004C7180" w:rsidRPr="00150EDC" w:rsidRDefault="00CF0754" w:rsidP="00B320C7">
      <w:pPr>
        <w:pStyle w:val="ListParagraph"/>
        <w:numPr>
          <w:ilvl w:val="2"/>
          <w:numId w:val="96"/>
        </w:numPr>
        <w:tabs>
          <w:tab w:val="left" w:pos="3018"/>
        </w:tabs>
        <w:spacing w:before="120"/>
        <w:ind w:left="3018" w:hanging="718"/>
        <w:rPr>
          <w:sz w:val="24"/>
        </w:rPr>
      </w:pPr>
      <w:r w:rsidRPr="00150EDC">
        <w:rPr>
          <w:sz w:val="24"/>
        </w:rPr>
        <w:t>a</w:t>
      </w:r>
      <w:r w:rsidRPr="00150EDC">
        <w:rPr>
          <w:spacing w:val="-2"/>
          <w:sz w:val="24"/>
        </w:rPr>
        <w:t xml:space="preserve"> </w:t>
      </w:r>
      <w:r w:rsidRPr="00150EDC">
        <w:rPr>
          <w:sz w:val="24"/>
        </w:rPr>
        <w:t>copy</w:t>
      </w:r>
      <w:r w:rsidRPr="00150EDC">
        <w:rPr>
          <w:spacing w:val="-4"/>
          <w:sz w:val="24"/>
        </w:rPr>
        <w:t xml:space="preserve"> </w:t>
      </w:r>
      <w:r w:rsidRPr="00150EDC">
        <w:rPr>
          <w:sz w:val="24"/>
        </w:rPr>
        <w:t>of</w:t>
      </w:r>
      <w:r w:rsidRPr="00150EDC">
        <w:rPr>
          <w:spacing w:val="-3"/>
          <w:sz w:val="24"/>
        </w:rPr>
        <w:t xml:space="preserve"> </w:t>
      </w:r>
      <w:r w:rsidRPr="00150EDC">
        <w:rPr>
          <w:sz w:val="24"/>
        </w:rPr>
        <w:t>the</w:t>
      </w:r>
      <w:r w:rsidRPr="00150EDC">
        <w:rPr>
          <w:spacing w:val="-4"/>
          <w:sz w:val="24"/>
        </w:rPr>
        <w:t xml:space="preserve"> </w:t>
      </w:r>
      <w:r w:rsidRPr="00150EDC">
        <w:rPr>
          <w:sz w:val="24"/>
        </w:rPr>
        <w:t>proposed</w:t>
      </w:r>
      <w:r w:rsidRPr="00150EDC">
        <w:rPr>
          <w:spacing w:val="-3"/>
          <w:sz w:val="24"/>
        </w:rPr>
        <w:t xml:space="preserve"> </w:t>
      </w:r>
      <w:r w:rsidRPr="00150EDC">
        <w:rPr>
          <w:sz w:val="24"/>
        </w:rPr>
        <w:t>Key</w:t>
      </w:r>
      <w:r w:rsidRPr="00150EDC">
        <w:rPr>
          <w:spacing w:val="-1"/>
          <w:sz w:val="24"/>
        </w:rPr>
        <w:t xml:space="preserve"> </w:t>
      </w:r>
      <w:r w:rsidRPr="00150EDC">
        <w:rPr>
          <w:sz w:val="24"/>
        </w:rPr>
        <w:t>Sub-Contract;</w:t>
      </w:r>
      <w:r w:rsidRPr="00150EDC">
        <w:rPr>
          <w:spacing w:val="-3"/>
          <w:sz w:val="24"/>
        </w:rPr>
        <w:t xml:space="preserve"> </w:t>
      </w:r>
      <w:r w:rsidRPr="00150EDC">
        <w:rPr>
          <w:spacing w:val="-5"/>
          <w:sz w:val="24"/>
        </w:rPr>
        <w:t>and</w:t>
      </w:r>
    </w:p>
    <w:p w14:paraId="05393558" w14:textId="77777777" w:rsidR="004C7180" w:rsidRPr="00150EDC" w:rsidRDefault="00CF0754" w:rsidP="00B320C7">
      <w:pPr>
        <w:pStyle w:val="ListParagraph"/>
        <w:numPr>
          <w:ilvl w:val="2"/>
          <w:numId w:val="96"/>
        </w:numPr>
        <w:tabs>
          <w:tab w:val="left" w:pos="3018"/>
          <w:tab w:val="left" w:pos="3020"/>
        </w:tabs>
        <w:spacing w:before="120"/>
        <w:ind w:left="3020" w:right="2026" w:hanging="720"/>
        <w:rPr>
          <w:sz w:val="24"/>
        </w:rPr>
      </w:pPr>
      <w:r w:rsidRPr="00150EDC">
        <w:rPr>
          <w:sz w:val="24"/>
        </w:rPr>
        <w:t>any</w:t>
      </w:r>
      <w:r w:rsidRPr="00150EDC">
        <w:rPr>
          <w:spacing w:val="-3"/>
          <w:sz w:val="24"/>
        </w:rPr>
        <w:t xml:space="preserve"> </w:t>
      </w:r>
      <w:r w:rsidRPr="00150EDC">
        <w:rPr>
          <w:sz w:val="24"/>
        </w:rPr>
        <w:t>further</w:t>
      </w:r>
      <w:r w:rsidRPr="00150EDC">
        <w:rPr>
          <w:spacing w:val="-3"/>
          <w:sz w:val="24"/>
        </w:rPr>
        <w:t xml:space="preserve"> </w:t>
      </w:r>
      <w:r w:rsidRPr="00150EDC">
        <w:rPr>
          <w:sz w:val="24"/>
        </w:rPr>
        <w:t>information</w:t>
      </w:r>
      <w:r w:rsidRPr="00150EDC">
        <w:rPr>
          <w:spacing w:val="-5"/>
          <w:sz w:val="24"/>
        </w:rPr>
        <w:t xml:space="preserve"> </w:t>
      </w:r>
      <w:r w:rsidRPr="00150EDC">
        <w:rPr>
          <w:sz w:val="24"/>
        </w:rPr>
        <w:t>reasonably</w:t>
      </w:r>
      <w:r w:rsidRPr="00150EDC">
        <w:rPr>
          <w:spacing w:val="-3"/>
          <w:sz w:val="24"/>
        </w:rPr>
        <w:t xml:space="preserve"> </w:t>
      </w:r>
      <w:r w:rsidRPr="00150EDC">
        <w:rPr>
          <w:sz w:val="24"/>
        </w:rPr>
        <w:t>requested</w:t>
      </w:r>
      <w:r w:rsidRPr="00150EDC">
        <w:rPr>
          <w:spacing w:val="-7"/>
          <w:sz w:val="24"/>
        </w:rPr>
        <w:t xml:space="preserve"> </w:t>
      </w:r>
      <w:r w:rsidRPr="00150EDC">
        <w:rPr>
          <w:sz w:val="24"/>
        </w:rPr>
        <w:t>by</w:t>
      </w:r>
      <w:r w:rsidRPr="00150EDC">
        <w:rPr>
          <w:spacing w:val="-3"/>
          <w:sz w:val="24"/>
        </w:rPr>
        <w:t xml:space="preserve"> </w:t>
      </w:r>
      <w:r w:rsidRPr="00150EDC">
        <w:rPr>
          <w:sz w:val="24"/>
        </w:rPr>
        <w:t>CCS</w:t>
      </w:r>
      <w:r w:rsidRPr="00150EDC">
        <w:rPr>
          <w:spacing w:val="-3"/>
          <w:sz w:val="24"/>
        </w:rPr>
        <w:t xml:space="preserve"> </w:t>
      </w:r>
      <w:r w:rsidRPr="00150EDC">
        <w:rPr>
          <w:sz w:val="24"/>
        </w:rPr>
        <w:t>and/or</w:t>
      </w:r>
      <w:r w:rsidRPr="00150EDC">
        <w:rPr>
          <w:spacing w:val="-6"/>
          <w:sz w:val="24"/>
        </w:rPr>
        <w:t xml:space="preserve"> </w:t>
      </w:r>
      <w:r w:rsidRPr="00150EDC">
        <w:rPr>
          <w:sz w:val="24"/>
        </w:rPr>
        <w:t xml:space="preserve">the </w:t>
      </w:r>
      <w:r w:rsidRPr="00150EDC">
        <w:rPr>
          <w:spacing w:val="-2"/>
          <w:sz w:val="24"/>
        </w:rPr>
        <w:t>Buyer.</w:t>
      </w:r>
    </w:p>
    <w:p w14:paraId="7EC0118F" w14:textId="77777777" w:rsidR="004C7180" w:rsidRPr="00150EDC" w:rsidRDefault="00CF0754" w:rsidP="00B320C7">
      <w:pPr>
        <w:pStyle w:val="ListParagraph"/>
        <w:numPr>
          <w:ilvl w:val="1"/>
          <w:numId w:val="96"/>
        </w:numPr>
        <w:tabs>
          <w:tab w:val="left" w:pos="2300"/>
        </w:tabs>
        <w:spacing w:before="120"/>
        <w:ind w:right="1648"/>
        <w:rPr>
          <w:sz w:val="24"/>
        </w:rPr>
      </w:pPr>
      <w:r w:rsidRPr="00150EDC">
        <w:rPr>
          <w:sz w:val="24"/>
        </w:rPr>
        <w:t>The</w:t>
      </w:r>
      <w:r w:rsidRPr="00150EDC">
        <w:rPr>
          <w:spacing w:val="-3"/>
          <w:sz w:val="24"/>
        </w:rPr>
        <w:t xml:space="preserve"> </w:t>
      </w:r>
      <w:r w:rsidRPr="00150EDC">
        <w:rPr>
          <w:sz w:val="24"/>
        </w:rPr>
        <w:t>Supplier</w:t>
      </w:r>
      <w:r w:rsidRPr="00150EDC">
        <w:rPr>
          <w:spacing w:val="-3"/>
          <w:sz w:val="24"/>
        </w:rPr>
        <w:t xml:space="preserve"> </w:t>
      </w:r>
      <w:r w:rsidRPr="00150EDC">
        <w:rPr>
          <w:sz w:val="24"/>
        </w:rPr>
        <w:t>shall</w:t>
      </w:r>
      <w:r w:rsidRPr="00150EDC">
        <w:rPr>
          <w:spacing w:val="-4"/>
          <w:sz w:val="24"/>
        </w:rPr>
        <w:t xml:space="preserve"> </w:t>
      </w:r>
      <w:r w:rsidRPr="00150EDC">
        <w:rPr>
          <w:sz w:val="24"/>
        </w:rPr>
        <w:t>ensure</w:t>
      </w:r>
      <w:r w:rsidRPr="00150EDC">
        <w:rPr>
          <w:spacing w:val="-3"/>
          <w:sz w:val="24"/>
        </w:rPr>
        <w:t xml:space="preserve"> </w:t>
      </w:r>
      <w:r w:rsidRPr="00150EDC">
        <w:rPr>
          <w:sz w:val="24"/>
        </w:rPr>
        <w:t>that</w:t>
      </w:r>
      <w:r w:rsidRPr="00150EDC">
        <w:rPr>
          <w:spacing w:val="-3"/>
          <w:sz w:val="24"/>
        </w:rPr>
        <w:t xml:space="preserve"> </w:t>
      </w:r>
      <w:r w:rsidRPr="00150EDC">
        <w:rPr>
          <w:sz w:val="24"/>
        </w:rPr>
        <w:t>each</w:t>
      </w:r>
      <w:r w:rsidRPr="00150EDC">
        <w:rPr>
          <w:spacing w:val="-5"/>
          <w:sz w:val="24"/>
        </w:rPr>
        <w:t xml:space="preserve"> </w:t>
      </w:r>
      <w:r w:rsidRPr="00150EDC">
        <w:rPr>
          <w:sz w:val="24"/>
        </w:rPr>
        <w:t>new</w:t>
      </w:r>
      <w:r w:rsidRPr="00150EDC">
        <w:rPr>
          <w:spacing w:val="-6"/>
          <w:sz w:val="24"/>
        </w:rPr>
        <w:t xml:space="preserve"> </w:t>
      </w:r>
      <w:r w:rsidRPr="00150EDC">
        <w:rPr>
          <w:sz w:val="24"/>
        </w:rPr>
        <w:t>or</w:t>
      </w:r>
      <w:r w:rsidRPr="00150EDC">
        <w:rPr>
          <w:spacing w:val="-3"/>
          <w:sz w:val="24"/>
        </w:rPr>
        <w:t xml:space="preserve"> </w:t>
      </w:r>
      <w:r w:rsidRPr="00150EDC">
        <w:rPr>
          <w:sz w:val="24"/>
        </w:rPr>
        <w:t>replacement</w:t>
      </w:r>
      <w:r w:rsidRPr="00150EDC">
        <w:rPr>
          <w:spacing w:val="-3"/>
          <w:sz w:val="24"/>
        </w:rPr>
        <w:t xml:space="preserve"> </w:t>
      </w:r>
      <w:r w:rsidRPr="00150EDC">
        <w:rPr>
          <w:sz w:val="24"/>
        </w:rPr>
        <w:t>Key</w:t>
      </w:r>
      <w:r w:rsidRPr="00150EDC">
        <w:rPr>
          <w:spacing w:val="-3"/>
          <w:sz w:val="24"/>
        </w:rPr>
        <w:t xml:space="preserve"> </w:t>
      </w:r>
      <w:r w:rsidRPr="00150EDC">
        <w:rPr>
          <w:sz w:val="24"/>
        </w:rPr>
        <w:t>Sub-Contract shall include:</w:t>
      </w:r>
    </w:p>
    <w:p w14:paraId="296E9BAE" w14:textId="77777777" w:rsidR="004C7180" w:rsidRPr="00150EDC" w:rsidRDefault="00CF0754" w:rsidP="00B320C7">
      <w:pPr>
        <w:pStyle w:val="ListParagraph"/>
        <w:numPr>
          <w:ilvl w:val="2"/>
          <w:numId w:val="96"/>
        </w:numPr>
        <w:tabs>
          <w:tab w:val="left" w:pos="3111"/>
        </w:tabs>
        <w:spacing w:before="120"/>
        <w:ind w:left="3111" w:right="1563" w:hanging="812"/>
        <w:rPr>
          <w:sz w:val="24"/>
        </w:rPr>
      </w:pPr>
      <w:r w:rsidRPr="00150EDC">
        <w:rPr>
          <w:sz w:val="24"/>
        </w:rPr>
        <w:t>provisions</w:t>
      </w:r>
      <w:r w:rsidRPr="00150EDC">
        <w:rPr>
          <w:spacing w:val="-4"/>
          <w:sz w:val="24"/>
        </w:rPr>
        <w:t xml:space="preserve"> </w:t>
      </w:r>
      <w:r w:rsidRPr="00150EDC">
        <w:rPr>
          <w:sz w:val="24"/>
        </w:rPr>
        <w:t>which</w:t>
      </w:r>
      <w:r w:rsidRPr="00150EDC">
        <w:rPr>
          <w:spacing w:val="-5"/>
          <w:sz w:val="24"/>
        </w:rPr>
        <w:t xml:space="preserve"> </w:t>
      </w:r>
      <w:r w:rsidRPr="00150EDC">
        <w:rPr>
          <w:sz w:val="24"/>
        </w:rPr>
        <w:t>will</w:t>
      </w:r>
      <w:r w:rsidRPr="00150EDC">
        <w:rPr>
          <w:spacing w:val="-4"/>
          <w:sz w:val="24"/>
        </w:rPr>
        <w:t xml:space="preserve"> </w:t>
      </w:r>
      <w:r w:rsidRPr="00150EDC">
        <w:rPr>
          <w:sz w:val="24"/>
        </w:rPr>
        <w:t>enable</w:t>
      </w:r>
      <w:r w:rsidRPr="00150EDC">
        <w:rPr>
          <w:spacing w:val="-5"/>
          <w:sz w:val="24"/>
        </w:rPr>
        <w:t xml:space="preserve"> </w:t>
      </w:r>
      <w:r w:rsidRPr="00150EDC">
        <w:rPr>
          <w:sz w:val="24"/>
        </w:rPr>
        <w:t>the</w:t>
      </w:r>
      <w:r w:rsidRPr="00150EDC">
        <w:rPr>
          <w:spacing w:val="-5"/>
          <w:sz w:val="24"/>
        </w:rPr>
        <w:t xml:space="preserve"> </w:t>
      </w:r>
      <w:r w:rsidRPr="00150EDC">
        <w:rPr>
          <w:sz w:val="24"/>
        </w:rPr>
        <w:t>Supplier</w:t>
      </w:r>
      <w:r w:rsidRPr="00150EDC">
        <w:rPr>
          <w:spacing w:val="-4"/>
          <w:sz w:val="24"/>
        </w:rPr>
        <w:t xml:space="preserve"> </w:t>
      </w:r>
      <w:r w:rsidRPr="00150EDC">
        <w:rPr>
          <w:sz w:val="24"/>
        </w:rPr>
        <w:t>to</w:t>
      </w:r>
      <w:r w:rsidRPr="00150EDC">
        <w:rPr>
          <w:spacing w:val="-4"/>
          <w:sz w:val="24"/>
        </w:rPr>
        <w:t xml:space="preserve"> </w:t>
      </w:r>
      <w:r w:rsidRPr="00150EDC">
        <w:rPr>
          <w:sz w:val="24"/>
        </w:rPr>
        <w:t>discharge</w:t>
      </w:r>
      <w:r w:rsidRPr="00150EDC">
        <w:rPr>
          <w:spacing w:val="-4"/>
          <w:sz w:val="24"/>
        </w:rPr>
        <w:t xml:space="preserve"> </w:t>
      </w:r>
      <w:r w:rsidRPr="00150EDC">
        <w:rPr>
          <w:sz w:val="24"/>
        </w:rPr>
        <w:t>its</w:t>
      </w:r>
      <w:r w:rsidRPr="00150EDC">
        <w:rPr>
          <w:spacing w:val="-5"/>
          <w:sz w:val="24"/>
        </w:rPr>
        <w:t xml:space="preserve"> </w:t>
      </w:r>
      <w:r w:rsidRPr="00150EDC">
        <w:rPr>
          <w:sz w:val="24"/>
        </w:rPr>
        <w:t>obligations under the Contracts;</w:t>
      </w:r>
    </w:p>
    <w:p w14:paraId="13571816" w14:textId="77777777" w:rsidR="004C7180" w:rsidRPr="00150EDC" w:rsidRDefault="00CF0754" w:rsidP="00B320C7">
      <w:pPr>
        <w:pStyle w:val="ListParagraph"/>
        <w:numPr>
          <w:ilvl w:val="2"/>
          <w:numId w:val="96"/>
        </w:numPr>
        <w:tabs>
          <w:tab w:val="left" w:pos="3111"/>
        </w:tabs>
        <w:spacing w:before="121"/>
        <w:ind w:left="3111" w:right="1629" w:hanging="812"/>
        <w:rPr>
          <w:sz w:val="24"/>
        </w:rPr>
      </w:pPr>
      <w:r w:rsidRPr="00150EDC">
        <w:rPr>
          <w:sz w:val="24"/>
        </w:rPr>
        <w:t>a right under CRTPA for CCS and the Buyer to enforce any provisions</w:t>
      </w:r>
      <w:r w:rsidRPr="00150EDC">
        <w:rPr>
          <w:spacing w:val="-4"/>
          <w:sz w:val="24"/>
        </w:rPr>
        <w:t xml:space="preserve"> </w:t>
      </w:r>
      <w:r w:rsidRPr="00150EDC">
        <w:rPr>
          <w:sz w:val="24"/>
        </w:rPr>
        <w:t>under</w:t>
      </w:r>
      <w:r w:rsidRPr="00150EDC">
        <w:rPr>
          <w:spacing w:val="-4"/>
          <w:sz w:val="24"/>
        </w:rPr>
        <w:t xml:space="preserve"> </w:t>
      </w:r>
      <w:r w:rsidRPr="00150EDC">
        <w:rPr>
          <w:sz w:val="24"/>
        </w:rPr>
        <w:t>the</w:t>
      </w:r>
      <w:r w:rsidRPr="00150EDC">
        <w:rPr>
          <w:spacing w:val="-6"/>
          <w:sz w:val="24"/>
        </w:rPr>
        <w:t xml:space="preserve"> </w:t>
      </w:r>
      <w:r w:rsidRPr="00150EDC">
        <w:rPr>
          <w:sz w:val="24"/>
        </w:rPr>
        <w:t>Key</w:t>
      </w:r>
      <w:r w:rsidRPr="00150EDC">
        <w:rPr>
          <w:spacing w:val="-4"/>
          <w:sz w:val="24"/>
        </w:rPr>
        <w:t xml:space="preserve"> </w:t>
      </w:r>
      <w:r w:rsidRPr="00150EDC">
        <w:rPr>
          <w:sz w:val="24"/>
        </w:rPr>
        <w:t>Sub-Contract</w:t>
      </w:r>
      <w:r w:rsidRPr="00150EDC">
        <w:rPr>
          <w:spacing w:val="-6"/>
          <w:sz w:val="24"/>
        </w:rPr>
        <w:t xml:space="preserve"> </w:t>
      </w:r>
      <w:r w:rsidRPr="00150EDC">
        <w:rPr>
          <w:sz w:val="24"/>
        </w:rPr>
        <w:t>which</w:t>
      </w:r>
      <w:r w:rsidRPr="00150EDC">
        <w:rPr>
          <w:spacing w:val="-6"/>
          <w:sz w:val="24"/>
        </w:rPr>
        <w:t xml:space="preserve"> </w:t>
      </w:r>
      <w:r w:rsidRPr="00150EDC">
        <w:rPr>
          <w:sz w:val="24"/>
        </w:rPr>
        <w:t>confer</w:t>
      </w:r>
      <w:r w:rsidRPr="00150EDC">
        <w:rPr>
          <w:spacing w:val="-4"/>
          <w:sz w:val="24"/>
        </w:rPr>
        <w:t xml:space="preserve"> </w:t>
      </w:r>
      <w:r w:rsidRPr="00150EDC">
        <w:rPr>
          <w:sz w:val="24"/>
        </w:rPr>
        <w:t>a</w:t>
      </w:r>
      <w:r w:rsidRPr="00150EDC">
        <w:rPr>
          <w:spacing w:val="-4"/>
          <w:sz w:val="24"/>
        </w:rPr>
        <w:t xml:space="preserve"> </w:t>
      </w:r>
      <w:r w:rsidRPr="00150EDC">
        <w:rPr>
          <w:sz w:val="24"/>
        </w:rPr>
        <w:t>benefit</w:t>
      </w:r>
      <w:r w:rsidRPr="00150EDC">
        <w:rPr>
          <w:spacing w:val="-4"/>
          <w:sz w:val="24"/>
        </w:rPr>
        <w:t xml:space="preserve"> </w:t>
      </w:r>
      <w:r w:rsidRPr="00150EDC">
        <w:rPr>
          <w:sz w:val="24"/>
        </w:rPr>
        <w:t>upon CCS and the Buyer respectively;</w:t>
      </w:r>
    </w:p>
    <w:p w14:paraId="0F43CE79" w14:textId="77777777" w:rsidR="004C7180" w:rsidRPr="00150EDC" w:rsidRDefault="00CF0754" w:rsidP="00B320C7">
      <w:pPr>
        <w:pStyle w:val="ListParagraph"/>
        <w:numPr>
          <w:ilvl w:val="2"/>
          <w:numId w:val="96"/>
        </w:numPr>
        <w:tabs>
          <w:tab w:val="left" w:pos="3111"/>
        </w:tabs>
        <w:spacing w:before="120"/>
        <w:ind w:left="3111" w:right="1888" w:hanging="812"/>
        <w:rPr>
          <w:sz w:val="24"/>
        </w:rPr>
      </w:pPr>
      <w:r w:rsidRPr="00150EDC">
        <w:rPr>
          <w:sz w:val="24"/>
        </w:rPr>
        <w:t>a</w:t>
      </w:r>
      <w:r w:rsidRPr="00150EDC">
        <w:rPr>
          <w:spacing w:val="-2"/>
          <w:sz w:val="24"/>
        </w:rPr>
        <w:t xml:space="preserve"> </w:t>
      </w:r>
      <w:r w:rsidRPr="00150EDC">
        <w:rPr>
          <w:sz w:val="24"/>
        </w:rPr>
        <w:t>provision</w:t>
      </w:r>
      <w:r w:rsidRPr="00150EDC">
        <w:rPr>
          <w:spacing w:val="-4"/>
          <w:sz w:val="24"/>
        </w:rPr>
        <w:t xml:space="preserve"> </w:t>
      </w:r>
      <w:r w:rsidRPr="00150EDC">
        <w:rPr>
          <w:sz w:val="24"/>
        </w:rPr>
        <w:t>enabling</w:t>
      </w:r>
      <w:r w:rsidRPr="00150EDC">
        <w:rPr>
          <w:spacing w:val="-4"/>
          <w:sz w:val="24"/>
        </w:rPr>
        <w:t xml:space="preserve"> </w:t>
      </w:r>
      <w:r w:rsidRPr="00150EDC">
        <w:rPr>
          <w:sz w:val="24"/>
        </w:rPr>
        <w:t>CCS</w:t>
      </w:r>
      <w:r w:rsidRPr="00150EDC">
        <w:rPr>
          <w:spacing w:val="-2"/>
          <w:sz w:val="24"/>
        </w:rPr>
        <w:t xml:space="preserve"> </w:t>
      </w:r>
      <w:r w:rsidRPr="00150EDC">
        <w:rPr>
          <w:sz w:val="24"/>
        </w:rPr>
        <w:t>and</w:t>
      </w:r>
      <w:r w:rsidRPr="00150EDC">
        <w:rPr>
          <w:spacing w:val="-4"/>
          <w:sz w:val="24"/>
        </w:rPr>
        <w:t xml:space="preserve"> </w:t>
      </w:r>
      <w:r w:rsidRPr="00150EDC">
        <w:rPr>
          <w:sz w:val="24"/>
        </w:rPr>
        <w:t>the</w:t>
      </w:r>
      <w:r w:rsidRPr="00150EDC">
        <w:rPr>
          <w:spacing w:val="-2"/>
          <w:sz w:val="24"/>
        </w:rPr>
        <w:t xml:space="preserve"> </w:t>
      </w:r>
      <w:r w:rsidRPr="00150EDC">
        <w:rPr>
          <w:sz w:val="24"/>
        </w:rPr>
        <w:t>Buyer</w:t>
      </w:r>
      <w:r w:rsidRPr="00150EDC">
        <w:rPr>
          <w:spacing w:val="-2"/>
          <w:sz w:val="24"/>
        </w:rPr>
        <w:t xml:space="preserve"> </w:t>
      </w:r>
      <w:r w:rsidRPr="00150EDC">
        <w:rPr>
          <w:sz w:val="24"/>
        </w:rPr>
        <w:t>to</w:t>
      </w:r>
      <w:r w:rsidRPr="00150EDC">
        <w:rPr>
          <w:spacing w:val="-4"/>
          <w:sz w:val="24"/>
        </w:rPr>
        <w:t xml:space="preserve"> </w:t>
      </w:r>
      <w:r w:rsidRPr="00150EDC">
        <w:rPr>
          <w:sz w:val="24"/>
        </w:rPr>
        <w:t>enforce</w:t>
      </w:r>
      <w:r w:rsidRPr="00150EDC">
        <w:rPr>
          <w:spacing w:val="-2"/>
          <w:sz w:val="24"/>
        </w:rPr>
        <w:t xml:space="preserve"> </w:t>
      </w:r>
      <w:r w:rsidRPr="00150EDC">
        <w:rPr>
          <w:sz w:val="24"/>
        </w:rPr>
        <w:t>the</w:t>
      </w:r>
      <w:r w:rsidRPr="00150EDC">
        <w:rPr>
          <w:spacing w:val="-4"/>
          <w:sz w:val="24"/>
        </w:rPr>
        <w:t xml:space="preserve"> </w:t>
      </w:r>
      <w:r w:rsidRPr="00150EDC">
        <w:rPr>
          <w:sz w:val="24"/>
        </w:rPr>
        <w:t>Key</w:t>
      </w:r>
      <w:r w:rsidRPr="00150EDC">
        <w:rPr>
          <w:spacing w:val="-4"/>
          <w:sz w:val="24"/>
        </w:rPr>
        <w:t xml:space="preserve"> </w:t>
      </w:r>
      <w:r w:rsidRPr="00150EDC">
        <w:rPr>
          <w:sz w:val="24"/>
        </w:rPr>
        <w:t>Sub- Contract as if it were the Supplier;</w:t>
      </w:r>
    </w:p>
    <w:p w14:paraId="3754C090" w14:textId="77777777" w:rsidR="004C7180" w:rsidRPr="00150EDC" w:rsidRDefault="00CF0754" w:rsidP="00B320C7">
      <w:pPr>
        <w:pStyle w:val="ListParagraph"/>
        <w:numPr>
          <w:ilvl w:val="2"/>
          <w:numId w:val="96"/>
        </w:numPr>
        <w:tabs>
          <w:tab w:val="left" w:pos="3111"/>
        </w:tabs>
        <w:spacing w:before="120"/>
        <w:ind w:left="3111" w:right="2017" w:hanging="812"/>
        <w:rPr>
          <w:sz w:val="24"/>
        </w:rPr>
      </w:pPr>
      <w:r w:rsidRPr="00150EDC">
        <w:rPr>
          <w:sz w:val="24"/>
        </w:rPr>
        <w:t>a</w:t>
      </w:r>
      <w:r w:rsidRPr="00150EDC">
        <w:rPr>
          <w:spacing w:val="-4"/>
          <w:sz w:val="24"/>
        </w:rPr>
        <w:t xml:space="preserve"> </w:t>
      </w:r>
      <w:r w:rsidRPr="00150EDC">
        <w:rPr>
          <w:sz w:val="24"/>
        </w:rPr>
        <w:t>provision</w:t>
      </w:r>
      <w:r w:rsidRPr="00150EDC">
        <w:rPr>
          <w:spacing w:val="-6"/>
          <w:sz w:val="24"/>
        </w:rPr>
        <w:t xml:space="preserve"> </w:t>
      </w:r>
      <w:r w:rsidRPr="00150EDC">
        <w:rPr>
          <w:sz w:val="24"/>
        </w:rPr>
        <w:t>enabling</w:t>
      </w:r>
      <w:r w:rsidRPr="00150EDC">
        <w:rPr>
          <w:spacing w:val="-6"/>
          <w:sz w:val="24"/>
        </w:rPr>
        <w:t xml:space="preserve"> </w:t>
      </w:r>
      <w:r w:rsidRPr="00150EDC">
        <w:rPr>
          <w:sz w:val="24"/>
        </w:rPr>
        <w:t>the</w:t>
      </w:r>
      <w:r w:rsidRPr="00150EDC">
        <w:rPr>
          <w:spacing w:val="-4"/>
          <w:sz w:val="24"/>
        </w:rPr>
        <w:t xml:space="preserve"> </w:t>
      </w:r>
      <w:r w:rsidRPr="00150EDC">
        <w:rPr>
          <w:sz w:val="24"/>
        </w:rPr>
        <w:t>Supplier</w:t>
      </w:r>
      <w:r w:rsidRPr="00150EDC">
        <w:rPr>
          <w:spacing w:val="-4"/>
          <w:sz w:val="24"/>
        </w:rPr>
        <w:t xml:space="preserve"> </w:t>
      </w:r>
      <w:r w:rsidRPr="00150EDC">
        <w:rPr>
          <w:sz w:val="24"/>
        </w:rPr>
        <w:t>to</w:t>
      </w:r>
      <w:r w:rsidRPr="00150EDC">
        <w:rPr>
          <w:spacing w:val="-6"/>
          <w:sz w:val="24"/>
        </w:rPr>
        <w:t xml:space="preserve"> </w:t>
      </w:r>
      <w:r w:rsidRPr="00150EDC">
        <w:rPr>
          <w:sz w:val="24"/>
        </w:rPr>
        <w:t>assign,</w:t>
      </w:r>
      <w:r w:rsidRPr="00150EDC">
        <w:rPr>
          <w:spacing w:val="-4"/>
          <w:sz w:val="24"/>
        </w:rPr>
        <w:t xml:space="preserve"> </w:t>
      </w:r>
      <w:r w:rsidRPr="00150EDC">
        <w:rPr>
          <w:sz w:val="24"/>
        </w:rPr>
        <w:t>novate</w:t>
      </w:r>
      <w:r w:rsidRPr="00150EDC">
        <w:rPr>
          <w:spacing w:val="-5"/>
          <w:sz w:val="24"/>
        </w:rPr>
        <w:t xml:space="preserve"> </w:t>
      </w:r>
      <w:r w:rsidRPr="00150EDC">
        <w:rPr>
          <w:sz w:val="24"/>
        </w:rPr>
        <w:t>or</w:t>
      </w:r>
      <w:r w:rsidRPr="00150EDC">
        <w:rPr>
          <w:spacing w:val="-4"/>
          <w:sz w:val="24"/>
        </w:rPr>
        <w:t xml:space="preserve"> </w:t>
      </w:r>
      <w:r w:rsidRPr="00150EDC">
        <w:rPr>
          <w:sz w:val="24"/>
        </w:rPr>
        <w:t>otherwise transfer any of its rights and/or obligations under the Key Sub- Contract to CCS and/or the Buyer;</w:t>
      </w:r>
    </w:p>
    <w:p w14:paraId="496C2E87" w14:textId="77777777" w:rsidR="004C7180" w:rsidRPr="00150EDC" w:rsidRDefault="00CF0754" w:rsidP="00B320C7">
      <w:pPr>
        <w:pStyle w:val="ListParagraph"/>
        <w:numPr>
          <w:ilvl w:val="2"/>
          <w:numId w:val="96"/>
        </w:numPr>
        <w:tabs>
          <w:tab w:val="left" w:pos="3111"/>
        </w:tabs>
        <w:spacing w:before="120"/>
        <w:ind w:left="3111" w:right="1885" w:hanging="812"/>
        <w:rPr>
          <w:sz w:val="24"/>
        </w:rPr>
      </w:pPr>
      <w:r w:rsidRPr="00150EDC">
        <w:rPr>
          <w:sz w:val="24"/>
        </w:rPr>
        <w:t>obligations</w:t>
      </w:r>
      <w:r w:rsidRPr="00150EDC">
        <w:rPr>
          <w:spacing w:val="-4"/>
          <w:sz w:val="24"/>
        </w:rPr>
        <w:t xml:space="preserve"> </w:t>
      </w:r>
      <w:r w:rsidRPr="00150EDC">
        <w:rPr>
          <w:sz w:val="24"/>
        </w:rPr>
        <w:t>no</w:t>
      </w:r>
      <w:r w:rsidRPr="00150EDC">
        <w:rPr>
          <w:spacing w:val="-4"/>
          <w:sz w:val="24"/>
        </w:rPr>
        <w:t xml:space="preserve"> </w:t>
      </w:r>
      <w:r w:rsidRPr="00150EDC">
        <w:rPr>
          <w:sz w:val="24"/>
        </w:rPr>
        <w:t>less</w:t>
      </w:r>
      <w:r w:rsidRPr="00150EDC">
        <w:rPr>
          <w:spacing w:val="-6"/>
          <w:sz w:val="24"/>
        </w:rPr>
        <w:t xml:space="preserve"> </w:t>
      </w:r>
      <w:r w:rsidRPr="00150EDC">
        <w:rPr>
          <w:sz w:val="24"/>
        </w:rPr>
        <w:t>onerous</w:t>
      </w:r>
      <w:r w:rsidRPr="00150EDC">
        <w:rPr>
          <w:spacing w:val="-4"/>
          <w:sz w:val="24"/>
        </w:rPr>
        <w:t xml:space="preserve"> </w:t>
      </w:r>
      <w:r w:rsidRPr="00150EDC">
        <w:rPr>
          <w:sz w:val="24"/>
        </w:rPr>
        <w:t>on</w:t>
      </w:r>
      <w:r w:rsidRPr="00150EDC">
        <w:rPr>
          <w:spacing w:val="-6"/>
          <w:sz w:val="24"/>
        </w:rPr>
        <w:t xml:space="preserve"> </w:t>
      </w:r>
      <w:r w:rsidRPr="00150EDC">
        <w:rPr>
          <w:sz w:val="24"/>
        </w:rPr>
        <w:t>the</w:t>
      </w:r>
      <w:r w:rsidRPr="00150EDC">
        <w:rPr>
          <w:spacing w:val="-4"/>
          <w:sz w:val="24"/>
        </w:rPr>
        <w:t xml:space="preserve"> </w:t>
      </w:r>
      <w:r w:rsidRPr="00150EDC">
        <w:rPr>
          <w:sz w:val="24"/>
        </w:rPr>
        <w:t>Key</w:t>
      </w:r>
      <w:r w:rsidRPr="00150EDC">
        <w:rPr>
          <w:spacing w:val="-4"/>
          <w:sz w:val="24"/>
        </w:rPr>
        <w:t xml:space="preserve"> </w:t>
      </w:r>
      <w:r w:rsidRPr="00150EDC">
        <w:rPr>
          <w:sz w:val="24"/>
        </w:rPr>
        <w:t>Subcontractor</w:t>
      </w:r>
      <w:r w:rsidRPr="00150EDC">
        <w:rPr>
          <w:spacing w:val="-4"/>
          <w:sz w:val="24"/>
        </w:rPr>
        <w:t xml:space="preserve"> </w:t>
      </w:r>
      <w:r w:rsidRPr="00150EDC">
        <w:rPr>
          <w:sz w:val="24"/>
        </w:rPr>
        <w:t>than</w:t>
      </w:r>
      <w:r w:rsidRPr="00150EDC">
        <w:rPr>
          <w:spacing w:val="-4"/>
          <w:sz w:val="24"/>
        </w:rPr>
        <w:t xml:space="preserve"> </w:t>
      </w:r>
      <w:r w:rsidRPr="00150EDC">
        <w:rPr>
          <w:sz w:val="24"/>
        </w:rPr>
        <w:t>those imposed on the Supplier under the DPS Contract in respect of:</w:t>
      </w:r>
    </w:p>
    <w:p w14:paraId="5641BF31" w14:textId="77777777" w:rsidR="004C7180" w:rsidRPr="00150EDC" w:rsidRDefault="00CF0754" w:rsidP="00B320C7">
      <w:pPr>
        <w:pStyle w:val="ListParagraph"/>
        <w:numPr>
          <w:ilvl w:val="3"/>
          <w:numId w:val="96"/>
        </w:numPr>
        <w:tabs>
          <w:tab w:val="left" w:pos="3952"/>
          <w:tab w:val="left" w:pos="3964"/>
        </w:tabs>
        <w:spacing w:before="127" w:line="232" w:lineRule="auto"/>
        <w:ind w:right="1612" w:hanging="853"/>
        <w:rPr>
          <w:sz w:val="24"/>
        </w:rPr>
      </w:pPr>
      <w:r w:rsidRPr="00150EDC">
        <w:rPr>
          <w:sz w:val="24"/>
        </w:rPr>
        <w:t>the</w:t>
      </w:r>
      <w:r w:rsidRPr="00150EDC">
        <w:rPr>
          <w:spacing w:val="-6"/>
          <w:sz w:val="24"/>
        </w:rPr>
        <w:t xml:space="preserve"> </w:t>
      </w:r>
      <w:r w:rsidRPr="00150EDC">
        <w:rPr>
          <w:sz w:val="24"/>
        </w:rPr>
        <w:t>data</w:t>
      </w:r>
      <w:r w:rsidRPr="00150EDC">
        <w:rPr>
          <w:spacing w:val="-4"/>
          <w:sz w:val="24"/>
        </w:rPr>
        <w:t xml:space="preserve"> </w:t>
      </w:r>
      <w:r w:rsidRPr="00150EDC">
        <w:rPr>
          <w:sz w:val="24"/>
        </w:rPr>
        <w:t>protection</w:t>
      </w:r>
      <w:r w:rsidRPr="00150EDC">
        <w:rPr>
          <w:spacing w:val="-4"/>
          <w:sz w:val="24"/>
        </w:rPr>
        <w:t xml:space="preserve"> </w:t>
      </w:r>
      <w:r w:rsidRPr="00150EDC">
        <w:rPr>
          <w:sz w:val="24"/>
        </w:rPr>
        <w:t>requirements</w:t>
      </w:r>
      <w:r w:rsidRPr="00150EDC">
        <w:rPr>
          <w:spacing w:val="-4"/>
          <w:sz w:val="24"/>
        </w:rPr>
        <w:t xml:space="preserve"> </w:t>
      </w:r>
      <w:r w:rsidRPr="00150EDC">
        <w:rPr>
          <w:sz w:val="24"/>
        </w:rPr>
        <w:t>set</w:t>
      </w:r>
      <w:r w:rsidRPr="00150EDC">
        <w:rPr>
          <w:spacing w:val="-4"/>
          <w:sz w:val="24"/>
        </w:rPr>
        <w:t xml:space="preserve"> </w:t>
      </w:r>
      <w:r w:rsidRPr="00150EDC">
        <w:rPr>
          <w:sz w:val="24"/>
        </w:rPr>
        <w:t>out</w:t>
      </w:r>
      <w:r w:rsidRPr="00150EDC">
        <w:rPr>
          <w:spacing w:val="-4"/>
          <w:sz w:val="24"/>
        </w:rPr>
        <w:t xml:space="preserve"> </w:t>
      </w:r>
      <w:r w:rsidRPr="00150EDC">
        <w:rPr>
          <w:sz w:val="24"/>
        </w:rPr>
        <w:t>in</w:t>
      </w:r>
      <w:r w:rsidRPr="00150EDC">
        <w:rPr>
          <w:spacing w:val="-4"/>
          <w:sz w:val="24"/>
        </w:rPr>
        <w:t xml:space="preserve"> </w:t>
      </w:r>
      <w:r w:rsidRPr="00150EDC">
        <w:rPr>
          <w:sz w:val="24"/>
        </w:rPr>
        <w:t>Clause 14</w:t>
      </w:r>
      <w:r w:rsidRPr="00150EDC">
        <w:rPr>
          <w:spacing w:val="-4"/>
          <w:sz w:val="24"/>
        </w:rPr>
        <w:t xml:space="preserve"> </w:t>
      </w:r>
      <w:r w:rsidRPr="00150EDC">
        <w:rPr>
          <w:sz w:val="24"/>
        </w:rPr>
        <w:t xml:space="preserve">(Data </w:t>
      </w:r>
      <w:r w:rsidRPr="00150EDC">
        <w:rPr>
          <w:spacing w:val="-2"/>
          <w:sz w:val="24"/>
        </w:rPr>
        <w:t>protection);</w:t>
      </w:r>
    </w:p>
    <w:p w14:paraId="3350A5F3" w14:textId="77777777" w:rsidR="004C7180" w:rsidRPr="00150EDC" w:rsidRDefault="00CF0754" w:rsidP="00B320C7">
      <w:pPr>
        <w:pStyle w:val="ListParagraph"/>
        <w:numPr>
          <w:ilvl w:val="3"/>
          <w:numId w:val="96"/>
        </w:numPr>
        <w:tabs>
          <w:tab w:val="left" w:pos="3952"/>
          <w:tab w:val="left" w:pos="3964"/>
        </w:tabs>
        <w:spacing w:before="129" w:line="232" w:lineRule="auto"/>
        <w:ind w:right="1685" w:hanging="853"/>
        <w:rPr>
          <w:sz w:val="24"/>
        </w:rPr>
      </w:pPr>
      <w:r w:rsidRPr="00150EDC">
        <w:rPr>
          <w:sz w:val="24"/>
        </w:rPr>
        <w:t>the</w:t>
      </w:r>
      <w:r w:rsidRPr="00150EDC">
        <w:rPr>
          <w:spacing w:val="-5"/>
          <w:sz w:val="24"/>
        </w:rPr>
        <w:t xml:space="preserve"> </w:t>
      </w:r>
      <w:r w:rsidRPr="00150EDC">
        <w:rPr>
          <w:sz w:val="24"/>
        </w:rPr>
        <w:t>FOIA</w:t>
      </w:r>
      <w:r w:rsidRPr="00150EDC">
        <w:rPr>
          <w:spacing w:val="-4"/>
          <w:sz w:val="24"/>
        </w:rPr>
        <w:t xml:space="preserve"> </w:t>
      </w:r>
      <w:r w:rsidRPr="00150EDC">
        <w:rPr>
          <w:sz w:val="24"/>
        </w:rPr>
        <w:t>and</w:t>
      </w:r>
      <w:r w:rsidRPr="00150EDC">
        <w:rPr>
          <w:spacing w:val="-6"/>
          <w:sz w:val="24"/>
        </w:rPr>
        <w:t xml:space="preserve"> </w:t>
      </w:r>
      <w:r w:rsidRPr="00150EDC">
        <w:rPr>
          <w:sz w:val="24"/>
        </w:rPr>
        <w:t>other</w:t>
      </w:r>
      <w:r w:rsidRPr="00150EDC">
        <w:rPr>
          <w:spacing w:val="-5"/>
          <w:sz w:val="24"/>
        </w:rPr>
        <w:t xml:space="preserve"> </w:t>
      </w:r>
      <w:r w:rsidRPr="00150EDC">
        <w:rPr>
          <w:sz w:val="24"/>
        </w:rPr>
        <w:t>access</w:t>
      </w:r>
      <w:r w:rsidRPr="00150EDC">
        <w:rPr>
          <w:spacing w:val="-5"/>
          <w:sz w:val="24"/>
        </w:rPr>
        <w:t xml:space="preserve"> </w:t>
      </w:r>
      <w:r w:rsidRPr="00150EDC">
        <w:rPr>
          <w:sz w:val="24"/>
        </w:rPr>
        <w:t>request</w:t>
      </w:r>
      <w:r w:rsidRPr="00150EDC">
        <w:rPr>
          <w:spacing w:val="-5"/>
          <w:sz w:val="24"/>
        </w:rPr>
        <w:t xml:space="preserve"> </w:t>
      </w:r>
      <w:r w:rsidRPr="00150EDC">
        <w:rPr>
          <w:sz w:val="24"/>
        </w:rPr>
        <w:t>requirements</w:t>
      </w:r>
      <w:r w:rsidRPr="00150EDC">
        <w:rPr>
          <w:spacing w:val="-5"/>
          <w:sz w:val="24"/>
        </w:rPr>
        <w:t xml:space="preserve"> </w:t>
      </w:r>
      <w:r w:rsidRPr="00150EDC">
        <w:rPr>
          <w:sz w:val="24"/>
        </w:rPr>
        <w:t>set</w:t>
      </w:r>
      <w:r w:rsidRPr="00150EDC">
        <w:rPr>
          <w:spacing w:val="-5"/>
          <w:sz w:val="24"/>
        </w:rPr>
        <w:t xml:space="preserve"> </w:t>
      </w:r>
      <w:r w:rsidRPr="00150EDC">
        <w:rPr>
          <w:sz w:val="24"/>
        </w:rPr>
        <w:t>out</w:t>
      </w:r>
      <w:r w:rsidRPr="00150EDC">
        <w:rPr>
          <w:spacing w:val="-5"/>
          <w:sz w:val="24"/>
        </w:rPr>
        <w:t xml:space="preserve"> </w:t>
      </w:r>
      <w:r w:rsidRPr="00150EDC">
        <w:rPr>
          <w:sz w:val="24"/>
        </w:rPr>
        <w:t>in Clause 16 (When you can share information);</w:t>
      </w:r>
    </w:p>
    <w:p w14:paraId="37FB2B60" w14:textId="77777777" w:rsidR="004C7180" w:rsidRPr="00150EDC" w:rsidRDefault="00CF0754" w:rsidP="00B320C7">
      <w:pPr>
        <w:pStyle w:val="ListParagraph"/>
        <w:numPr>
          <w:ilvl w:val="3"/>
          <w:numId w:val="96"/>
        </w:numPr>
        <w:tabs>
          <w:tab w:val="left" w:pos="3952"/>
          <w:tab w:val="left" w:pos="3964"/>
        </w:tabs>
        <w:spacing w:before="128" w:line="232" w:lineRule="auto"/>
        <w:ind w:right="2392" w:hanging="853"/>
        <w:rPr>
          <w:sz w:val="24"/>
        </w:rPr>
      </w:pPr>
      <w:r w:rsidRPr="00150EDC">
        <w:rPr>
          <w:sz w:val="24"/>
        </w:rPr>
        <w:t>the</w:t>
      </w:r>
      <w:r w:rsidRPr="00150EDC">
        <w:rPr>
          <w:spacing w:val="-5"/>
          <w:sz w:val="24"/>
        </w:rPr>
        <w:t xml:space="preserve"> </w:t>
      </w:r>
      <w:r w:rsidRPr="00150EDC">
        <w:rPr>
          <w:sz w:val="24"/>
        </w:rPr>
        <w:t>obligation</w:t>
      </w:r>
      <w:r w:rsidRPr="00150EDC">
        <w:rPr>
          <w:spacing w:val="-5"/>
          <w:sz w:val="24"/>
        </w:rPr>
        <w:t xml:space="preserve"> </w:t>
      </w:r>
      <w:r w:rsidRPr="00150EDC">
        <w:rPr>
          <w:sz w:val="24"/>
        </w:rPr>
        <w:t>not</w:t>
      </w:r>
      <w:r w:rsidRPr="00150EDC">
        <w:rPr>
          <w:spacing w:val="-5"/>
          <w:sz w:val="24"/>
        </w:rPr>
        <w:t xml:space="preserve"> </w:t>
      </w:r>
      <w:r w:rsidRPr="00150EDC">
        <w:rPr>
          <w:sz w:val="24"/>
        </w:rPr>
        <w:t>to</w:t>
      </w:r>
      <w:r w:rsidRPr="00150EDC">
        <w:rPr>
          <w:spacing w:val="-4"/>
          <w:sz w:val="24"/>
        </w:rPr>
        <w:t xml:space="preserve"> </w:t>
      </w:r>
      <w:r w:rsidRPr="00150EDC">
        <w:rPr>
          <w:sz w:val="24"/>
        </w:rPr>
        <w:t>embarrass</w:t>
      </w:r>
      <w:r w:rsidRPr="00150EDC">
        <w:rPr>
          <w:spacing w:val="-3"/>
          <w:sz w:val="24"/>
        </w:rPr>
        <w:t xml:space="preserve"> </w:t>
      </w:r>
      <w:r w:rsidRPr="00150EDC">
        <w:rPr>
          <w:sz w:val="24"/>
        </w:rPr>
        <w:t>CCS</w:t>
      </w:r>
      <w:r w:rsidRPr="00150EDC">
        <w:rPr>
          <w:spacing w:val="-5"/>
          <w:sz w:val="24"/>
        </w:rPr>
        <w:t xml:space="preserve"> </w:t>
      </w:r>
      <w:r w:rsidRPr="00150EDC">
        <w:rPr>
          <w:sz w:val="24"/>
        </w:rPr>
        <w:t>or</w:t>
      </w:r>
      <w:r w:rsidRPr="00150EDC">
        <w:rPr>
          <w:spacing w:val="-3"/>
          <w:sz w:val="24"/>
        </w:rPr>
        <w:t xml:space="preserve"> </w:t>
      </w:r>
      <w:r w:rsidRPr="00150EDC">
        <w:rPr>
          <w:sz w:val="24"/>
        </w:rPr>
        <w:t>the</w:t>
      </w:r>
      <w:r w:rsidRPr="00150EDC">
        <w:rPr>
          <w:spacing w:val="-5"/>
          <w:sz w:val="24"/>
        </w:rPr>
        <w:t xml:space="preserve"> </w:t>
      </w:r>
      <w:r w:rsidRPr="00150EDC">
        <w:rPr>
          <w:sz w:val="24"/>
        </w:rPr>
        <w:t>Buyer</w:t>
      </w:r>
      <w:r w:rsidRPr="00150EDC">
        <w:rPr>
          <w:spacing w:val="-3"/>
          <w:sz w:val="24"/>
        </w:rPr>
        <w:t xml:space="preserve"> </w:t>
      </w:r>
      <w:r w:rsidRPr="00150EDC">
        <w:rPr>
          <w:sz w:val="24"/>
        </w:rPr>
        <w:t>or otherwise bring CCS or the Buyer into disrepute;</w:t>
      </w:r>
    </w:p>
    <w:p w14:paraId="39BBE262" w14:textId="77777777" w:rsidR="004C7180" w:rsidRPr="00150EDC" w:rsidRDefault="00CF0754" w:rsidP="00B320C7">
      <w:pPr>
        <w:pStyle w:val="ListParagraph"/>
        <w:numPr>
          <w:ilvl w:val="3"/>
          <w:numId w:val="96"/>
        </w:numPr>
        <w:tabs>
          <w:tab w:val="left" w:pos="3952"/>
          <w:tab w:val="left" w:pos="3964"/>
        </w:tabs>
        <w:spacing w:before="124" w:line="237" w:lineRule="auto"/>
        <w:ind w:right="2268" w:hanging="853"/>
        <w:jc w:val="both"/>
        <w:rPr>
          <w:sz w:val="24"/>
        </w:rPr>
      </w:pPr>
      <w:r w:rsidRPr="00150EDC">
        <w:rPr>
          <w:sz w:val="24"/>
        </w:rPr>
        <w:t>the keeping of records</w:t>
      </w:r>
      <w:r w:rsidRPr="00150EDC">
        <w:rPr>
          <w:spacing w:val="-5"/>
          <w:sz w:val="24"/>
        </w:rPr>
        <w:t xml:space="preserve"> </w:t>
      </w:r>
      <w:r w:rsidRPr="00150EDC">
        <w:rPr>
          <w:sz w:val="24"/>
        </w:rPr>
        <w:t>in respect</w:t>
      </w:r>
      <w:r w:rsidRPr="00150EDC">
        <w:rPr>
          <w:spacing w:val="-2"/>
          <w:sz w:val="24"/>
        </w:rPr>
        <w:t xml:space="preserve"> </w:t>
      </w:r>
      <w:r w:rsidRPr="00150EDC">
        <w:rPr>
          <w:sz w:val="24"/>
        </w:rPr>
        <w:t>of</w:t>
      </w:r>
      <w:r w:rsidRPr="00150EDC">
        <w:rPr>
          <w:spacing w:val="-2"/>
          <w:sz w:val="24"/>
        </w:rPr>
        <w:t xml:space="preserve"> </w:t>
      </w:r>
      <w:r w:rsidRPr="00150EDC">
        <w:rPr>
          <w:sz w:val="24"/>
        </w:rPr>
        <w:t>the</w:t>
      </w:r>
      <w:r w:rsidRPr="00150EDC">
        <w:rPr>
          <w:spacing w:val="-2"/>
          <w:sz w:val="24"/>
        </w:rPr>
        <w:t xml:space="preserve"> </w:t>
      </w:r>
      <w:r w:rsidRPr="00150EDC">
        <w:rPr>
          <w:sz w:val="24"/>
        </w:rPr>
        <w:t>goods</w:t>
      </w:r>
      <w:r w:rsidRPr="00150EDC">
        <w:rPr>
          <w:spacing w:val="-3"/>
          <w:sz w:val="24"/>
        </w:rPr>
        <w:t xml:space="preserve"> </w:t>
      </w:r>
      <w:r w:rsidRPr="00150EDC">
        <w:rPr>
          <w:sz w:val="24"/>
        </w:rPr>
        <w:t>and/or services</w:t>
      </w:r>
      <w:r w:rsidRPr="00150EDC">
        <w:rPr>
          <w:spacing w:val="-6"/>
          <w:sz w:val="24"/>
        </w:rPr>
        <w:t xml:space="preserve"> </w:t>
      </w:r>
      <w:r w:rsidRPr="00150EDC">
        <w:rPr>
          <w:sz w:val="24"/>
        </w:rPr>
        <w:t>being</w:t>
      </w:r>
      <w:r w:rsidRPr="00150EDC">
        <w:rPr>
          <w:spacing w:val="-6"/>
          <w:sz w:val="24"/>
        </w:rPr>
        <w:t xml:space="preserve"> </w:t>
      </w:r>
      <w:r w:rsidRPr="00150EDC">
        <w:rPr>
          <w:sz w:val="24"/>
        </w:rPr>
        <w:t>provided</w:t>
      </w:r>
      <w:r w:rsidRPr="00150EDC">
        <w:rPr>
          <w:spacing w:val="-6"/>
          <w:sz w:val="24"/>
        </w:rPr>
        <w:t xml:space="preserve"> </w:t>
      </w:r>
      <w:r w:rsidRPr="00150EDC">
        <w:rPr>
          <w:sz w:val="24"/>
        </w:rPr>
        <w:t>under</w:t>
      </w:r>
      <w:r w:rsidRPr="00150EDC">
        <w:rPr>
          <w:spacing w:val="-6"/>
          <w:sz w:val="24"/>
        </w:rPr>
        <w:t xml:space="preserve"> </w:t>
      </w:r>
      <w:r w:rsidRPr="00150EDC">
        <w:rPr>
          <w:sz w:val="24"/>
        </w:rPr>
        <w:t>the</w:t>
      </w:r>
      <w:r w:rsidRPr="00150EDC">
        <w:rPr>
          <w:spacing w:val="-7"/>
          <w:sz w:val="24"/>
        </w:rPr>
        <w:t xml:space="preserve"> </w:t>
      </w:r>
      <w:r w:rsidRPr="00150EDC">
        <w:rPr>
          <w:sz w:val="24"/>
        </w:rPr>
        <w:t>Key</w:t>
      </w:r>
      <w:r w:rsidRPr="00150EDC">
        <w:rPr>
          <w:spacing w:val="-6"/>
          <w:sz w:val="24"/>
        </w:rPr>
        <w:t xml:space="preserve"> </w:t>
      </w:r>
      <w:r w:rsidRPr="00150EDC">
        <w:rPr>
          <w:sz w:val="24"/>
        </w:rPr>
        <w:t>Sub-Contract, including the maintenance of Open Book Data; and</w:t>
      </w:r>
    </w:p>
    <w:p w14:paraId="77E8A1A4" w14:textId="77777777" w:rsidR="004C7180" w:rsidRPr="00150EDC" w:rsidRDefault="00CF0754" w:rsidP="00B320C7">
      <w:pPr>
        <w:pStyle w:val="ListParagraph"/>
        <w:numPr>
          <w:ilvl w:val="3"/>
          <w:numId w:val="96"/>
        </w:numPr>
        <w:tabs>
          <w:tab w:val="left" w:pos="3952"/>
          <w:tab w:val="left" w:pos="3964"/>
        </w:tabs>
        <w:spacing w:before="125" w:line="232" w:lineRule="auto"/>
        <w:ind w:right="1813" w:hanging="853"/>
        <w:jc w:val="both"/>
        <w:rPr>
          <w:sz w:val="24"/>
        </w:rPr>
      </w:pPr>
      <w:r w:rsidRPr="00150EDC">
        <w:rPr>
          <w:sz w:val="24"/>
        </w:rPr>
        <w:t>the</w:t>
      </w:r>
      <w:r w:rsidRPr="00150EDC">
        <w:rPr>
          <w:spacing w:val="-4"/>
          <w:sz w:val="24"/>
        </w:rPr>
        <w:t xml:space="preserve"> </w:t>
      </w:r>
      <w:r w:rsidRPr="00150EDC">
        <w:rPr>
          <w:sz w:val="24"/>
        </w:rPr>
        <w:t>conduct</w:t>
      </w:r>
      <w:r w:rsidRPr="00150EDC">
        <w:rPr>
          <w:spacing w:val="-6"/>
          <w:sz w:val="24"/>
        </w:rPr>
        <w:t xml:space="preserve"> </w:t>
      </w:r>
      <w:r w:rsidRPr="00150EDC">
        <w:rPr>
          <w:sz w:val="24"/>
        </w:rPr>
        <w:t>of</w:t>
      </w:r>
      <w:r w:rsidRPr="00150EDC">
        <w:rPr>
          <w:spacing w:val="-4"/>
          <w:sz w:val="24"/>
        </w:rPr>
        <w:t xml:space="preserve"> </w:t>
      </w:r>
      <w:r w:rsidRPr="00150EDC">
        <w:rPr>
          <w:sz w:val="24"/>
        </w:rPr>
        <w:t>audits</w:t>
      </w:r>
      <w:r w:rsidRPr="00150EDC">
        <w:rPr>
          <w:spacing w:val="-4"/>
          <w:sz w:val="24"/>
        </w:rPr>
        <w:t xml:space="preserve"> </w:t>
      </w:r>
      <w:r w:rsidRPr="00150EDC">
        <w:rPr>
          <w:sz w:val="24"/>
        </w:rPr>
        <w:t>set</w:t>
      </w:r>
      <w:r w:rsidRPr="00150EDC">
        <w:rPr>
          <w:spacing w:val="-4"/>
          <w:sz w:val="24"/>
        </w:rPr>
        <w:t xml:space="preserve"> </w:t>
      </w:r>
      <w:r w:rsidRPr="00150EDC">
        <w:rPr>
          <w:sz w:val="24"/>
        </w:rPr>
        <w:t>out</w:t>
      </w:r>
      <w:r w:rsidRPr="00150EDC">
        <w:rPr>
          <w:spacing w:val="-4"/>
          <w:sz w:val="24"/>
        </w:rPr>
        <w:t xml:space="preserve"> </w:t>
      </w:r>
      <w:r w:rsidRPr="00150EDC">
        <w:rPr>
          <w:sz w:val="24"/>
        </w:rPr>
        <w:t>in</w:t>
      </w:r>
      <w:r w:rsidRPr="00150EDC">
        <w:rPr>
          <w:spacing w:val="-4"/>
          <w:sz w:val="24"/>
        </w:rPr>
        <w:t xml:space="preserve"> </w:t>
      </w:r>
      <w:r w:rsidRPr="00150EDC">
        <w:rPr>
          <w:sz w:val="24"/>
        </w:rPr>
        <w:t>Clause</w:t>
      </w:r>
      <w:r w:rsidRPr="00150EDC">
        <w:rPr>
          <w:spacing w:val="-1"/>
          <w:sz w:val="24"/>
        </w:rPr>
        <w:t xml:space="preserve"> </w:t>
      </w:r>
      <w:r w:rsidRPr="00150EDC">
        <w:rPr>
          <w:sz w:val="24"/>
        </w:rPr>
        <w:t>6</w:t>
      </w:r>
      <w:r w:rsidRPr="00150EDC">
        <w:rPr>
          <w:spacing w:val="-4"/>
          <w:sz w:val="24"/>
        </w:rPr>
        <w:t xml:space="preserve"> </w:t>
      </w:r>
      <w:r w:rsidRPr="00150EDC">
        <w:rPr>
          <w:sz w:val="24"/>
        </w:rPr>
        <w:t>(Record</w:t>
      </w:r>
      <w:r w:rsidRPr="00150EDC">
        <w:rPr>
          <w:spacing w:val="-4"/>
          <w:sz w:val="24"/>
        </w:rPr>
        <w:t xml:space="preserve"> </w:t>
      </w:r>
      <w:r w:rsidRPr="00150EDC">
        <w:rPr>
          <w:sz w:val="24"/>
        </w:rPr>
        <w:t>keeping and reporting);</w:t>
      </w:r>
    </w:p>
    <w:p w14:paraId="328DFAD4" w14:textId="77777777" w:rsidR="004C7180" w:rsidRPr="00150EDC" w:rsidRDefault="00CF0754" w:rsidP="00B320C7">
      <w:pPr>
        <w:pStyle w:val="ListParagraph"/>
        <w:numPr>
          <w:ilvl w:val="2"/>
          <w:numId w:val="96"/>
        </w:numPr>
        <w:tabs>
          <w:tab w:val="left" w:pos="3018"/>
          <w:tab w:val="left" w:pos="3020"/>
        </w:tabs>
        <w:spacing w:before="121"/>
        <w:ind w:left="3020" w:right="1691" w:hanging="720"/>
        <w:rPr>
          <w:sz w:val="24"/>
        </w:rPr>
      </w:pPr>
      <w:r w:rsidRPr="00150EDC">
        <w:rPr>
          <w:sz w:val="24"/>
        </w:rPr>
        <w:t>provisions enabling the Supplier to terminate the Key Sub-Contract on notice on terms no more onerous on the Supplier than those imposed</w:t>
      </w:r>
      <w:r w:rsidRPr="00150EDC">
        <w:rPr>
          <w:spacing w:val="-5"/>
          <w:sz w:val="24"/>
        </w:rPr>
        <w:t xml:space="preserve"> </w:t>
      </w:r>
      <w:r w:rsidRPr="00150EDC">
        <w:rPr>
          <w:sz w:val="24"/>
        </w:rPr>
        <w:t>on</w:t>
      </w:r>
      <w:r w:rsidRPr="00150EDC">
        <w:rPr>
          <w:spacing w:val="-3"/>
          <w:sz w:val="24"/>
        </w:rPr>
        <w:t xml:space="preserve"> </w:t>
      </w:r>
      <w:r w:rsidRPr="00150EDC">
        <w:rPr>
          <w:sz w:val="24"/>
        </w:rPr>
        <w:t>CCS</w:t>
      </w:r>
      <w:r w:rsidRPr="00150EDC">
        <w:rPr>
          <w:spacing w:val="-5"/>
          <w:sz w:val="24"/>
        </w:rPr>
        <w:t xml:space="preserve"> </w:t>
      </w:r>
      <w:r w:rsidRPr="00150EDC">
        <w:rPr>
          <w:sz w:val="24"/>
        </w:rPr>
        <w:t>and</w:t>
      </w:r>
      <w:r w:rsidRPr="00150EDC">
        <w:rPr>
          <w:spacing w:val="-5"/>
          <w:sz w:val="24"/>
        </w:rPr>
        <w:t xml:space="preserve"> </w:t>
      </w:r>
      <w:r w:rsidRPr="00150EDC">
        <w:rPr>
          <w:sz w:val="24"/>
        </w:rPr>
        <w:t>the</w:t>
      </w:r>
      <w:r w:rsidRPr="00150EDC">
        <w:rPr>
          <w:spacing w:val="-3"/>
          <w:sz w:val="24"/>
        </w:rPr>
        <w:t xml:space="preserve"> </w:t>
      </w:r>
      <w:r w:rsidRPr="00150EDC">
        <w:rPr>
          <w:sz w:val="24"/>
        </w:rPr>
        <w:t>Buyer</w:t>
      </w:r>
      <w:r w:rsidRPr="00150EDC">
        <w:rPr>
          <w:spacing w:val="-3"/>
          <w:sz w:val="24"/>
        </w:rPr>
        <w:t xml:space="preserve"> </w:t>
      </w:r>
      <w:r w:rsidRPr="00150EDC">
        <w:rPr>
          <w:sz w:val="24"/>
        </w:rPr>
        <w:t>under</w:t>
      </w:r>
      <w:r w:rsidRPr="00150EDC">
        <w:rPr>
          <w:spacing w:val="-3"/>
          <w:sz w:val="24"/>
        </w:rPr>
        <w:t xml:space="preserve"> </w:t>
      </w:r>
      <w:r w:rsidRPr="00150EDC">
        <w:rPr>
          <w:sz w:val="24"/>
        </w:rPr>
        <w:t>Clauses 10.4</w:t>
      </w:r>
      <w:r w:rsidRPr="00150EDC">
        <w:rPr>
          <w:spacing w:val="-3"/>
          <w:sz w:val="24"/>
        </w:rPr>
        <w:t xml:space="preserve"> </w:t>
      </w:r>
      <w:r w:rsidRPr="00150EDC">
        <w:rPr>
          <w:sz w:val="24"/>
        </w:rPr>
        <w:t>(When</w:t>
      </w:r>
      <w:r w:rsidRPr="00150EDC">
        <w:rPr>
          <w:spacing w:val="-3"/>
          <w:sz w:val="24"/>
        </w:rPr>
        <w:t xml:space="preserve"> </w:t>
      </w:r>
      <w:r w:rsidRPr="00150EDC">
        <w:rPr>
          <w:sz w:val="24"/>
        </w:rPr>
        <w:t>CCS</w:t>
      </w:r>
      <w:r w:rsidRPr="00150EDC">
        <w:rPr>
          <w:spacing w:val="-6"/>
          <w:sz w:val="24"/>
        </w:rPr>
        <w:t xml:space="preserve"> </w:t>
      </w:r>
      <w:r w:rsidRPr="00150EDC">
        <w:rPr>
          <w:sz w:val="24"/>
        </w:rPr>
        <w:t>or the Buyer can end this contract) and 10.5 (What happens if the contract ends) of this Contract; and</w:t>
      </w:r>
    </w:p>
    <w:p w14:paraId="0BDC6060" w14:textId="77777777" w:rsidR="004C7180" w:rsidRPr="00150EDC" w:rsidRDefault="00CF0754" w:rsidP="00B320C7">
      <w:pPr>
        <w:pStyle w:val="ListParagraph"/>
        <w:numPr>
          <w:ilvl w:val="2"/>
          <w:numId w:val="96"/>
        </w:numPr>
        <w:tabs>
          <w:tab w:val="left" w:pos="3018"/>
          <w:tab w:val="left" w:pos="3020"/>
        </w:tabs>
        <w:spacing w:before="121"/>
        <w:ind w:left="3020" w:right="1472" w:hanging="720"/>
        <w:rPr>
          <w:sz w:val="24"/>
        </w:rPr>
      </w:pPr>
      <w:r w:rsidRPr="00150EDC">
        <w:rPr>
          <w:sz w:val="24"/>
        </w:rPr>
        <w:t>a provision restricting the ability of the Key Subcontractor to sub- contract</w:t>
      </w:r>
      <w:r w:rsidRPr="00150EDC">
        <w:rPr>
          <w:spacing w:val="-5"/>
          <w:sz w:val="24"/>
        </w:rPr>
        <w:t xml:space="preserve"> </w:t>
      </w:r>
      <w:r w:rsidRPr="00150EDC">
        <w:rPr>
          <w:sz w:val="24"/>
        </w:rPr>
        <w:t>all</w:t>
      </w:r>
      <w:r w:rsidRPr="00150EDC">
        <w:rPr>
          <w:spacing w:val="-4"/>
          <w:sz w:val="24"/>
        </w:rPr>
        <w:t xml:space="preserve"> </w:t>
      </w:r>
      <w:r w:rsidRPr="00150EDC">
        <w:rPr>
          <w:sz w:val="24"/>
        </w:rPr>
        <w:t>or</w:t>
      </w:r>
      <w:r w:rsidRPr="00150EDC">
        <w:rPr>
          <w:spacing w:val="-3"/>
          <w:sz w:val="24"/>
        </w:rPr>
        <w:t xml:space="preserve"> </w:t>
      </w:r>
      <w:r w:rsidRPr="00150EDC">
        <w:rPr>
          <w:sz w:val="24"/>
        </w:rPr>
        <w:t>any</w:t>
      </w:r>
      <w:r w:rsidRPr="00150EDC">
        <w:rPr>
          <w:spacing w:val="-3"/>
          <w:sz w:val="24"/>
        </w:rPr>
        <w:t xml:space="preserve"> </w:t>
      </w:r>
      <w:r w:rsidRPr="00150EDC">
        <w:rPr>
          <w:sz w:val="24"/>
        </w:rPr>
        <w:t>part</w:t>
      </w:r>
      <w:r w:rsidRPr="00150EDC">
        <w:rPr>
          <w:spacing w:val="-6"/>
          <w:sz w:val="24"/>
        </w:rPr>
        <w:t xml:space="preserve"> </w:t>
      </w:r>
      <w:r w:rsidRPr="00150EDC">
        <w:rPr>
          <w:sz w:val="24"/>
        </w:rPr>
        <w:t>of</w:t>
      </w:r>
      <w:r w:rsidRPr="00150EDC">
        <w:rPr>
          <w:spacing w:val="-3"/>
          <w:sz w:val="24"/>
        </w:rPr>
        <w:t xml:space="preserve"> </w:t>
      </w:r>
      <w:r w:rsidRPr="00150EDC">
        <w:rPr>
          <w:sz w:val="24"/>
        </w:rPr>
        <w:t>the</w:t>
      </w:r>
      <w:r w:rsidRPr="00150EDC">
        <w:rPr>
          <w:spacing w:val="-3"/>
          <w:sz w:val="24"/>
        </w:rPr>
        <w:t xml:space="preserve"> </w:t>
      </w:r>
      <w:r w:rsidRPr="00150EDC">
        <w:rPr>
          <w:sz w:val="24"/>
        </w:rPr>
        <w:t>provision</w:t>
      </w:r>
      <w:r w:rsidRPr="00150EDC">
        <w:rPr>
          <w:spacing w:val="-3"/>
          <w:sz w:val="24"/>
        </w:rPr>
        <w:t xml:space="preserve"> </w:t>
      </w:r>
      <w:r w:rsidRPr="00150EDC">
        <w:rPr>
          <w:sz w:val="24"/>
        </w:rPr>
        <w:t>of</w:t>
      </w:r>
      <w:r w:rsidRPr="00150EDC">
        <w:rPr>
          <w:spacing w:val="-3"/>
          <w:sz w:val="24"/>
        </w:rPr>
        <w:t xml:space="preserve"> </w:t>
      </w:r>
      <w:r w:rsidRPr="00150EDC">
        <w:rPr>
          <w:sz w:val="24"/>
        </w:rPr>
        <w:t>the</w:t>
      </w:r>
      <w:r w:rsidRPr="00150EDC">
        <w:rPr>
          <w:spacing w:val="-5"/>
          <w:sz w:val="24"/>
        </w:rPr>
        <w:t xml:space="preserve"> </w:t>
      </w:r>
      <w:r w:rsidRPr="00150EDC">
        <w:rPr>
          <w:sz w:val="24"/>
        </w:rPr>
        <w:t>Deliverables</w:t>
      </w:r>
      <w:r w:rsidRPr="00150EDC">
        <w:rPr>
          <w:spacing w:val="-3"/>
          <w:sz w:val="24"/>
        </w:rPr>
        <w:t xml:space="preserve"> </w:t>
      </w:r>
      <w:r w:rsidRPr="00150EDC">
        <w:rPr>
          <w:sz w:val="24"/>
        </w:rPr>
        <w:t>provided</w:t>
      </w:r>
      <w:r w:rsidRPr="00150EDC">
        <w:rPr>
          <w:spacing w:val="-5"/>
          <w:sz w:val="24"/>
        </w:rPr>
        <w:t xml:space="preserve"> </w:t>
      </w:r>
      <w:r w:rsidRPr="00150EDC">
        <w:rPr>
          <w:sz w:val="24"/>
        </w:rPr>
        <w:t>to the Supplier under the Key Sub-Contract without first seeking the written consent of CCS and the Buyer.</w:t>
      </w:r>
    </w:p>
    <w:p w14:paraId="2069EFAF" w14:textId="77777777" w:rsidR="004C7180" w:rsidRPr="00150EDC" w:rsidRDefault="004C7180">
      <w:pPr>
        <w:rPr>
          <w:sz w:val="24"/>
        </w:rPr>
        <w:sectPr w:rsidR="004C7180" w:rsidRPr="00150EDC">
          <w:pgSz w:w="11910" w:h="16840"/>
          <w:pgMar w:top="1160" w:right="0" w:bottom="1420" w:left="40" w:header="715" w:footer="1224" w:gutter="0"/>
          <w:cols w:space="720"/>
        </w:sectPr>
      </w:pPr>
    </w:p>
    <w:p w14:paraId="1B1CD7E1" w14:textId="77777777" w:rsidR="004C7180" w:rsidRPr="00150EDC" w:rsidRDefault="004C7180">
      <w:pPr>
        <w:pStyle w:val="BodyText"/>
        <w:spacing w:before="10"/>
        <w:rPr>
          <w:sz w:val="15"/>
        </w:rPr>
      </w:pPr>
    </w:p>
    <w:p w14:paraId="3C929B45" w14:textId="77777777" w:rsidR="004C7180" w:rsidRPr="00150EDC" w:rsidRDefault="00CF0754">
      <w:pPr>
        <w:pStyle w:val="Heading1"/>
        <w:spacing w:before="88"/>
        <w:ind w:left="1400" w:firstLine="0"/>
      </w:pPr>
      <w:bookmarkStart w:id="9" w:name="DPS_Joint_Schedule_9_-_Minimum_Standards"/>
      <w:bookmarkEnd w:id="9"/>
      <w:r w:rsidRPr="00150EDC">
        <w:t>Joint</w:t>
      </w:r>
      <w:r w:rsidRPr="00150EDC">
        <w:rPr>
          <w:spacing w:val="-8"/>
        </w:rPr>
        <w:t xml:space="preserve"> </w:t>
      </w:r>
      <w:r w:rsidRPr="00150EDC">
        <w:t>Schedule</w:t>
      </w:r>
      <w:r w:rsidRPr="00150EDC">
        <w:rPr>
          <w:spacing w:val="-7"/>
        </w:rPr>
        <w:t xml:space="preserve"> </w:t>
      </w:r>
      <w:r w:rsidRPr="00150EDC">
        <w:t>9</w:t>
      </w:r>
      <w:r w:rsidRPr="00150EDC">
        <w:rPr>
          <w:spacing w:val="-8"/>
        </w:rPr>
        <w:t xml:space="preserve"> </w:t>
      </w:r>
      <w:r w:rsidRPr="00150EDC">
        <w:t>(Minimum</w:t>
      </w:r>
      <w:r w:rsidRPr="00150EDC">
        <w:rPr>
          <w:spacing w:val="-9"/>
        </w:rPr>
        <w:t xml:space="preserve"> </w:t>
      </w:r>
      <w:r w:rsidRPr="00150EDC">
        <w:t>Standards</w:t>
      </w:r>
      <w:r w:rsidRPr="00150EDC">
        <w:rPr>
          <w:spacing w:val="-7"/>
        </w:rPr>
        <w:t xml:space="preserve"> </w:t>
      </w:r>
      <w:r w:rsidRPr="00150EDC">
        <w:t>of</w:t>
      </w:r>
      <w:r w:rsidRPr="00150EDC">
        <w:rPr>
          <w:spacing w:val="-6"/>
        </w:rPr>
        <w:t xml:space="preserve"> </w:t>
      </w:r>
      <w:r w:rsidRPr="00150EDC">
        <w:rPr>
          <w:spacing w:val="-2"/>
        </w:rPr>
        <w:t>Reliability)</w:t>
      </w:r>
    </w:p>
    <w:p w14:paraId="5F5B794F" w14:textId="77777777" w:rsidR="004C7180" w:rsidRPr="00150EDC" w:rsidRDefault="00CF0754" w:rsidP="00B320C7">
      <w:pPr>
        <w:pStyle w:val="Heading4"/>
        <w:numPr>
          <w:ilvl w:val="0"/>
          <w:numId w:val="95"/>
        </w:numPr>
        <w:tabs>
          <w:tab w:val="left" w:pos="1710"/>
        </w:tabs>
        <w:spacing w:before="120"/>
        <w:ind w:left="1710" w:hanging="310"/>
        <w:jc w:val="both"/>
      </w:pPr>
      <w:r w:rsidRPr="00150EDC">
        <w:rPr>
          <w:spacing w:val="-2"/>
        </w:rPr>
        <w:t>Standards</w:t>
      </w:r>
    </w:p>
    <w:p w14:paraId="5349C455" w14:textId="77777777" w:rsidR="004C7180" w:rsidRPr="00150EDC" w:rsidRDefault="00CF0754" w:rsidP="00B320C7">
      <w:pPr>
        <w:pStyle w:val="ListParagraph"/>
        <w:numPr>
          <w:ilvl w:val="1"/>
          <w:numId w:val="95"/>
        </w:numPr>
        <w:tabs>
          <w:tab w:val="left" w:pos="1760"/>
          <w:tab w:val="left" w:pos="1839"/>
        </w:tabs>
        <w:spacing w:before="123"/>
        <w:ind w:right="1436" w:hanging="360"/>
        <w:jc w:val="both"/>
        <w:rPr>
          <w:sz w:val="24"/>
        </w:rPr>
      </w:pPr>
      <w:r w:rsidRPr="00150EDC">
        <w:rPr>
          <w:rFonts w:ascii="Times New Roman" w:hAnsi="Times New Roman"/>
          <w:b/>
          <w:sz w:val="24"/>
        </w:rPr>
        <w:tab/>
      </w:r>
      <w:r w:rsidRPr="00150EDC">
        <w:rPr>
          <w:sz w:val="24"/>
        </w:rPr>
        <w:t xml:space="preserve">No Order Contract with an anticipated contract value in excess of £20 million (excluding VAT) shall be awarded to the Supplier if it does not show that it meets the minimum standards of reliability as set out in the OJEU Notice </w:t>
      </w:r>
      <w:r w:rsidRPr="00150EDC">
        <w:rPr>
          <w:b/>
          <w:sz w:val="24"/>
        </w:rPr>
        <w:t xml:space="preserve">(“Minimum Standards of Reliability”) </w:t>
      </w:r>
      <w:r w:rsidRPr="00150EDC">
        <w:rPr>
          <w:sz w:val="24"/>
        </w:rPr>
        <w:t xml:space="preserve">at the time of the proposed award of that Order </w:t>
      </w:r>
      <w:r w:rsidRPr="00150EDC">
        <w:rPr>
          <w:spacing w:val="-2"/>
          <w:sz w:val="24"/>
        </w:rPr>
        <w:t>Contract.</w:t>
      </w:r>
    </w:p>
    <w:p w14:paraId="4FFDDBA7" w14:textId="77777777" w:rsidR="004C7180" w:rsidRPr="00150EDC" w:rsidRDefault="00CF0754" w:rsidP="00B320C7">
      <w:pPr>
        <w:pStyle w:val="ListParagraph"/>
        <w:numPr>
          <w:ilvl w:val="1"/>
          <w:numId w:val="95"/>
        </w:numPr>
        <w:tabs>
          <w:tab w:val="left" w:pos="1802"/>
        </w:tabs>
        <w:spacing w:before="120"/>
        <w:ind w:left="1400" w:right="2024" w:firstLine="0"/>
        <w:jc w:val="both"/>
        <w:rPr>
          <w:sz w:val="24"/>
        </w:rPr>
      </w:pPr>
      <w:r w:rsidRPr="00150EDC">
        <w:rPr>
          <w:sz w:val="24"/>
        </w:rPr>
        <w:t>CCS</w:t>
      </w:r>
      <w:r w:rsidRPr="00150EDC">
        <w:rPr>
          <w:spacing w:val="-4"/>
          <w:sz w:val="24"/>
        </w:rPr>
        <w:t xml:space="preserve"> </w:t>
      </w:r>
      <w:r w:rsidRPr="00150EDC">
        <w:rPr>
          <w:sz w:val="24"/>
        </w:rPr>
        <w:t>shall</w:t>
      </w:r>
      <w:r w:rsidRPr="00150EDC">
        <w:rPr>
          <w:spacing w:val="-5"/>
          <w:sz w:val="24"/>
        </w:rPr>
        <w:t xml:space="preserve"> </w:t>
      </w:r>
      <w:r w:rsidRPr="00150EDC">
        <w:rPr>
          <w:sz w:val="24"/>
        </w:rPr>
        <w:t>assess</w:t>
      </w:r>
      <w:r w:rsidRPr="00150EDC">
        <w:rPr>
          <w:spacing w:val="-4"/>
          <w:sz w:val="24"/>
        </w:rPr>
        <w:t xml:space="preserve"> </w:t>
      </w:r>
      <w:r w:rsidRPr="00150EDC">
        <w:rPr>
          <w:sz w:val="24"/>
        </w:rPr>
        <w:t>the</w:t>
      </w:r>
      <w:r w:rsidRPr="00150EDC">
        <w:rPr>
          <w:spacing w:val="-4"/>
          <w:sz w:val="24"/>
        </w:rPr>
        <w:t xml:space="preserve"> </w:t>
      </w:r>
      <w:r w:rsidRPr="00150EDC">
        <w:rPr>
          <w:sz w:val="24"/>
        </w:rPr>
        <w:t>Supplier’s</w:t>
      </w:r>
      <w:r w:rsidRPr="00150EDC">
        <w:rPr>
          <w:spacing w:val="-4"/>
          <w:sz w:val="24"/>
        </w:rPr>
        <w:t xml:space="preserve"> </w:t>
      </w:r>
      <w:r w:rsidRPr="00150EDC">
        <w:rPr>
          <w:sz w:val="24"/>
        </w:rPr>
        <w:t>compliance</w:t>
      </w:r>
      <w:r w:rsidRPr="00150EDC">
        <w:rPr>
          <w:spacing w:val="-4"/>
          <w:sz w:val="24"/>
        </w:rPr>
        <w:t xml:space="preserve"> </w:t>
      </w:r>
      <w:r w:rsidRPr="00150EDC">
        <w:rPr>
          <w:sz w:val="24"/>
        </w:rPr>
        <w:t>with</w:t>
      </w:r>
      <w:r w:rsidRPr="00150EDC">
        <w:rPr>
          <w:spacing w:val="-4"/>
          <w:sz w:val="24"/>
        </w:rPr>
        <w:t xml:space="preserve"> </w:t>
      </w:r>
      <w:r w:rsidRPr="00150EDC">
        <w:rPr>
          <w:sz w:val="24"/>
        </w:rPr>
        <w:t>the</w:t>
      </w:r>
      <w:r w:rsidRPr="00150EDC">
        <w:rPr>
          <w:spacing w:val="-4"/>
          <w:sz w:val="24"/>
        </w:rPr>
        <w:t xml:space="preserve"> </w:t>
      </w:r>
      <w:r w:rsidRPr="00150EDC">
        <w:rPr>
          <w:sz w:val="24"/>
        </w:rPr>
        <w:t>Minimum</w:t>
      </w:r>
      <w:r w:rsidRPr="00150EDC">
        <w:rPr>
          <w:spacing w:val="-4"/>
          <w:sz w:val="24"/>
        </w:rPr>
        <w:t xml:space="preserve"> </w:t>
      </w:r>
      <w:r w:rsidRPr="00150EDC">
        <w:rPr>
          <w:sz w:val="24"/>
        </w:rPr>
        <w:t>Standards</w:t>
      </w:r>
      <w:r w:rsidRPr="00150EDC">
        <w:rPr>
          <w:spacing w:val="-4"/>
          <w:sz w:val="24"/>
        </w:rPr>
        <w:t xml:space="preserve"> </w:t>
      </w:r>
      <w:r w:rsidRPr="00150EDC">
        <w:rPr>
          <w:sz w:val="24"/>
        </w:rPr>
        <w:t xml:space="preserve">of </w:t>
      </w:r>
      <w:r w:rsidRPr="00150EDC">
        <w:rPr>
          <w:spacing w:val="-2"/>
          <w:sz w:val="24"/>
        </w:rPr>
        <w:t>Reliability:</w:t>
      </w:r>
    </w:p>
    <w:p w14:paraId="58E06949" w14:textId="77777777" w:rsidR="004C7180" w:rsidRPr="00150EDC" w:rsidRDefault="00CF0754" w:rsidP="00B320C7">
      <w:pPr>
        <w:pStyle w:val="ListParagraph"/>
        <w:numPr>
          <w:ilvl w:val="2"/>
          <w:numId w:val="95"/>
        </w:numPr>
        <w:tabs>
          <w:tab w:val="left" w:pos="2720"/>
        </w:tabs>
        <w:spacing w:before="120"/>
        <w:ind w:left="2720" w:hanging="600"/>
        <w:jc w:val="both"/>
        <w:rPr>
          <w:sz w:val="24"/>
        </w:rPr>
      </w:pPr>
      <w:r w:rsidRPr="00150EDC">
        <w:rPr>
          <w:sz w:val="24"/>
        </w:rPr>
        <w:t>upon</w:t>
      </w:r>
      <w:r w:rsidRPr="00150EDC">
        <w:rPr>
          <w:spacing w:val="-6"/>
          <w:sz w:val="24"/>
        </w:rPr>
        <w:t xml:space="preserve"> </w:t>
      </w:r>
      <w:r w:rsidRPr="00150EDC">
        <w:rPr>
          <w:sz w:val="24"/>
        </w:rPr>
        <w:t>the</w:t>
      </w:r>
      <w:r w:rsidRPr="00150EDC">
        <w:rPr>
          <w:spacing w:val="-3"/>
          <w:sz w:val="24"/>
        </w:rPr>
        <w:t xml:space="preserve"> </w:t>
      </w:r>
      <w:r w:rsidRPr="00150EDC">
        <w:rPr>
          <w:sz w:val="24"/>
        </w:rPr>
        <w:t>request</w:t>
      </w:r>
      <w:r w:rsidRPr="00150EDC">
        <w:rPr>
          <w:spacing w:val="-4"/>
          <w:sz w:val="24"/>
        </w:rPr>
        <w:t xml:space="preserve"> </w:t>
      </w:r>
      <w:r w:rsidRPr="00150EDC">
        <w:rPr>
          <w:sz w:val="24"/>
        </w:rPr>
        <w:t>of</w:t>
      </w:r>
      <w:r w:rsidRPr="00150EDC">
        <w:rPr>
          <w:spacing w:val="-1"/>
          <w:sz w:val="24"/>
        </w:rPr>
        <w:t xml:space="preserve"> </w:t>
      </w:r>
      <w:r w:rsidRPr="00150EDC">
        <w:rPr>
          <w:sz w:val="24"/>
        </w:rPr>
        <w:t>any</w:t>
      </w:r>
      <w:r w:rsidRPr="00150EDC">
        <w:rPr>
          <w:spacing w:val="-2"/>
          <w:sz w:val="24"/>
        </w:rPr>
        <w:t xml:space="preserve"> </w:t>
      </w:r>
      <w:r w:rsidRPr="00150EDC">
        <w:rPr>
          <w:sz w:val="24"/>
        </w:rPr>
        <w:t>Buyer;</w:t>
      </w:r>
      <w:r w:rsidRPr="00150EDC">
        <w:rPr>
          <w:spacing w:val="-4"/>
          <w:sz w:val="24"/>
        </w:rPr>
        <w:t xml:space="preserve"> </w:t>
      </w:r>
      <w:r w:rsidRPr="00150EDC">
        <w:rPr>
          <w:spacing w:val="-5"/>
          <w:sz w:val="24"/>
        </w:rPr>
        <w:t>or</w:t>
      </w:r>
    </w:p>
    <w:p w14:paraId="34340AA2" w14:textId="77777777" w:rsidR="004C7180" w:rsidRPr="00150EDC" w:rsidRDefault="00CF0754" w:rsidP="00B320C7">
      <w:pPr>
        <w:pStyle w:val="ListParagraph"/>
        <w:numPr>
          <w:ilvl w:val="2"/>
          <w:numId w:val="95"/>
        </w:numPr>
        <w:tabs>
          <w:tab w:val="left" w:pos="2732"/>
        </w:tabs>
        <w:spacing w:before="121"/>
        <w:ind w:left="2120" w:right="1444" w:firstLine="0"/>
        <w:jc w:val="both"/>
        <w:rPr>
          <w:sz w:val="24"/>
        </w:rPr>
      </w:pPr>
      <w:r w:rsidRPr="00150EDC">
        <w:rPr>
          <w:sz w:val="24"/>
        </w:rPr>
        <w:t>whenever it considers (in its absolute discretion) that it is appropriate to do so.</w:t>
      </w:r>
    </w:p>
    <w:p w14:paraId="4B88BF05" w14:textId="77777777" w:rsidR="004C7180" w:rsidRPr="00150EDC" w:rsidRDefault="00CF0754" w:rsidP="00B320C7">
      <w:pPr>
        <w:pStyle w:val="ListParagraph"/>
        <w:numPr>
          <w:ilvl w:val="1"/>
          <w:numId w:val="95"/>
        </w:numPr>
        <w:tabs>
          <w:tab w:val="left" w:pos="1826"/>
        </w:tabs>
        <w:spacing w:before="120"/>
        <w:ind w:left="1400" w:right="1434" w:firstLine="0"/>
        <w:jc w:val="both"/>
        <w:rPr>
          <w:sz w:val="24"/>
        </w:rPr>
      </w:pPr>
      <w:r w:rsidRPr="00150EDC">
        <w:rPr>
          <w:sz w:val="24"/>
        </w:rPr>
        <w:t>In the event that the Supplier does not demonstrate that it meets the Minimum Standards</w:t>
      </w:r>
      <w:r w:rsidRPr="00150EDC">
        <w:rPr>
          <w:spacing w:val="-10"/>
          <w:sz w:val="24"/>
        </w:rPr>
        <w:t xml:space="preserve"> </w:t>
      </w:r>
      <w:r w:rsidRPr="00150EDC">
        <w:rPr>
          <w:sz w:val="24"/>
        </w:rPr>
        <w:t>of</w:t>
      </w:r>
      <w:r w:rsidRPr="00150EDC">
        <w:rPr>
          <w:spacing w:val="-8"/>
          <w:sz w:val="24"/>
        </w:rPr>
        <w:t xml:space="preserve"> </w:t>
      </w:r>
      <w:r w:rsidRPr="00150EDC">
        <w:rPr>
          <w:sz w:val="24"/>
        </w:rPr>
        <w:t>Reliability</w:t>
      </w:r>
      <w:r w:rsidRPr="00150EDC">
        <w:rPr>
          <w:spacing w:val="-8"/>
          <w:sz w:val="24"/>
        </w:rPr>
        <w:t xml:space="preserve"> </w:t>
      </w:r>
      <w:r w:rsidRPr="00150EDC">
        <w:rPr>
          <w:sz w:val="24"/>
        </w:rPr>
        <w:t>in</w:t>
      </w:r>
      <w:r w:rsidRPr="00150EDC">
        <w:rPr>
          <w:spacing w:val="-8"/>
          <w:sz w:val="24"/>
        </w:rPr>
        <w:t xml:space="preserve"> </w:t>
      </w:r>
      <w:r w:rsidRPr="00150EDC">
        <w:rPr>
          <w:sz w:val="24"/>
        </w:rPr>
        <w:t>an</w:t>
      </w:r>
      <w:r w:rsidRPr="00150EDC">
        <w:rPr>
          <w:spacing w:val="-9"/>
          <w:sz w:val="24"/>
        </w:rPr>
        <w:t xml:space="preserve"> </w:t>
      </w:r>
      <w:r w:rsidRPr="00150EDC">
        <w:rPr>
          <w:sz w:val="24"/>
        </w:rPr>
        <w:t>assessment</w:t>
      </w:r>
      <w:r w:rsidRPr="00150EDC">
        <w:rPr>
          <w:spacing w:val="-8"/>
          <w:sz w:val="24"/>
        </w:rPr>
        <w:t xml:space="preserve"> </w:t>
      </w:r>
      <w:r w:rsidRPr="00150EDC">
        <w:rPr>
          <w:sz w:val="24"/>
        </w:rPr>
        <w:t>carried</w:t>
      </w:r>
      <w:r w:rsidRPr="00150EDC">
        <w:rPr>
          <w:spacing w:val="-8"/>
          <w:sz w:val="24"/>
        </w:rPr>
        <w:t xml:space="preserve"> </w:t>
      </w:r>
      <w:r w:rsidRPr="00150EDC">
        <w:rPr>
          <w:sz w:val="24"/>
        </w:rPr>
        <w:t>out</w:t>
      </w:r>
      <w:r w:rsidRPr="00150EDC">
        <w:rPr>
          <w:spacing w:val="-10"/>
          <w:sz w:val="24"/>
        </w:rPr>
        <w:t xml:space="preserve"> </w:t>
      </w:r>
      <w:r w:rsidRPr="00150EDC">
        <w:rPr>
          <w:sz w:val="24"/>
        </w:rPr>
        <w:t>pursuant</w:t>
      </w:r>
      <w:r w:rsidRPr="00150EDC">
        <w:rPr>
          <w:spacing w:val="-10"/>
          <w:sz w:val="24"/>
        </w:rPr>
        <w:t xml:space="preserve"> </w:t>
      </w:r>
      <w:r w:rsidRPr="00150EDC">
        <w:rPr>
          <w:sz w:val="24"/>
        </w:rPr>
        <w:t>to</w:t>
      </w:r>
      <w:r w:rsidRPr="00150EDC">
        <w:rPr>
          <w:spacing w:val="-8"/>
          <w:sz w:val="24"/>
        </w:rPr>
        <w:t xml:space="preserve"> </w:t>
      </w:r>
      <w:r w:rsidRPr="00150EDC">
        <w:rPr>
          <w:sz w:val="24"/>
        </w:rPr>
        <w:t>Paragraph</w:t>
      </w:r>
      <w:r w:rsidRPr="00150EDC">
        <w:rPr>
          <w:spacing w:val="-1"/>
          <w:sz w:val="24"/>
        </w:rPr>
        <w:t xml:space="preserve"> </w:t>
      </w:r>
      <w:r w:rsidRPr="00150EDC">
        <w:rPr>
          <w:sz w:val="24"/>
        </w:rPr>
        <w:t>1.2,</w:t>
      </w:r>
      <w:r w:rsidRPr="00150EDC">
        <w:rPr>
          <w:spacing w:val="-8"/>
          <w:sz w:val="24"/>
        </w:rPr>
        <w:t xml:space="preserve"> </w:t>
      </w:r>
      <w:r w:rsidRPr="00150EDC">
        <w:rPr>
          <w:sz w:val="24"/>
        </w:rPr>
        <w:t>CCS shall so notify the Supplier (and any Buyer in writing) and the CCS reserves the right to terminate its DPS Contract for material Default under Clause 10.4 (When CCS or the Buyer can end this contract).</w:t>
      </w:r>
    </w:p>
    <w:p w14:paraId="5814F84F" w14:textId="77777777" w:rsidR="004C7180" w:rsidRPr="00150EDC" w:rsidRDefault="004C7180">
      <w:pPr>
        <w:jc w:val="both"/>
        <w:rPr>
          <w:sz w:val="24"/>
        </w:rPr>
        <w:sectPr w:rsidR="004C7180" w:rsidRPr="00150EDC">
          <w:headerReference w:type="default" r:id="rId44"/>
          <w:footerReference w:type="default" r:id="rId45"/>
          <w:pgSz w:w="11910" w:h="16840"/>
          <w:pgMar w:top="1160" w:right="0" w:bottom="1380" w:left="40" w:header="715" w:footer="1190" w:gutter="0"/>
          <w:cols w:space="720"/>
        </w:sectPr>
      </w:pPr>
    </w:p>
    <w:p w14:paraId="3786D234" w14:textId="77777777" w:rsidR="004C7180" w:rsidRPr="00150EDC" w:rsidRDefault="004C7180">
      <w:pPr>
        <w:pStyle w:val="BodyText"/>
        <w:spacing w:before="10"/>
        <w:rPr>
          <w:sz w:val="27"/>
        </w:rPr>
      </w:pPr>
    </w:p>
    <w:p w14:paraId="4A3AF71F" w14:textId="77777777" w:rsidR="004C7180" w:rsidRPr="00150EDC" w:rsidRDefault="00CF0754">
      <w:pPr>
        <w:pStyle w:val="Heading1"/>
        <w:spacing w:before="89"/>
        <w:ind w:left="1400" w:firstLine="0"/>
      </w:pPr>
      <w:bookmarkStart w:id="10" w:name="DPS_Joint_Schedule_10_-_Rectification_Pl"/>
      <w:bookmarkEnd w:id="10"/>
      <w:r w:rsidRPr="00150EDC">
        <w:t>Joint</w:t>
      </w:r>
      <w:r w:rsidRPr="00150EDC">
        <w:rPr>
          <w:spacing w:val="-7"/>
        </w:rPr>
        <w:t xml:space="preserve"> </w:t>
      </w:r>
      <w:r w:rsidRPr="00150EDC">
        <w:t>Schedule</w:t>
      </w:r>
      <w:r w:rsidRPr="00150EDC">
        <w:rPr>
          <w:spacing w:val="-4"/>
        </w:rPr>
        <w:t xml:space="preserve"> </w:t>
      </w:r>
      <w:r w:rsidRPr="00150EDC">
        <w:t>10</w:t>
      </w:r>
      <w:r w:rsidRPr="00150EDC">
        <w:rPr>
          <w:spacing w:val="-5"/>
        </w:rPr>
        <w:t xml:space="preserve"> </w:t>
      </w:r>
      <w:r w:rsidRPr="00150EDC">
        <w:t>(Rectification</w:t>
      </w:r>
      <w:r w:rsidRPr="00150EDC">
        <w:rPr>
          <w:spacing w:val="-3"/>
        </w:rPr>
        <w:t xml:space="preserve"> </w:t>
      </w:r>
      <w:r w:rsidRPr="00150EDC">
        <w:rPr>
          <w:spacing w:val="-2"/>
        </w:rPr>
        <w:t>Plan)</w:t>
      </w:r>
    </w:p>
    <w:p w14:paraId="53273F1F" w14:textId="77777777" w:rsidR="004C7180" w:rsidRPr="00150EDC" w:rsidRDefault="004C7180">
      <w:pPr>
        <w:pStyle w:val="BodyText"/>
        <w:spacing w:before="8"/>
        <w:rPr>
          <w:b/>
          <w:sz w:val="16"/>
        </w:rPr>
      </w:pPr>
    </w:p>
    <w:tbl>
      <w:tblPr>
        <w:tblW w:w="0" w:type="auto"/>
        <w:tblInd w:w="132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2976"/>
        <w:gridCol w:w="3083"/>
        <w:gridCol w:w="997"/>
        <w:gridCol w:w="2045"/>
      </w:tblGrid>
      <w:tr w:rsidR="007D3144" w:rsidRPr="007D3144" w14:paraId="13BCABB2" w14:textId="77777777">
        <w:trPr>
          <w:trHeight w:val="916"/>
        </w:trPr>
        <w:tc>
          <w:tcPr>
            <w:tcW w:w="9101" w:type="dxa"/>
            <w:gridSpan w:val="4"/>
            <w:shd w:val="clear" w:color="auto" w:fill="D9D9D9"/>
          </w:tcPr>
          <w:p w14:paraId="23AD6074" w14:textId="77777777" w:rsidR="004C7180" w:rsidRPr="00150EDC" w:rsidRDefault="004C7180">
            <w:pPr>
              <w:pStyle w:val="TableParagraph"/>
              <w:spacing w:before="0" w:line="240" w:lineRule="auto"/>
              <w:ind w:left="0"/>
              <w:rPr>
                <w:b/>
                <w:sz w:val="26"/>
              </w:rPr>
            </w:pPr>
          </w:p>
          <w:p w14:paraId="4D5A13F6" w14:textId="77777777" w:rsidR="004C7180" w:rsidRPr="00150EDC" w:rsidRDefault="00CF0754">
            <w:pPr>
              <w:pStyle w:val="TableParagraph"/>
              <w:spacing w:before="159" w:line="240" w:lineRule="auto"/>
              <w:ind w:left="2268" w:right="2255"/>
              <w:jc w:val="center"/>
              <w:rPr>
                <w:b/>
                <w:sz w:val="24"/>
              </w:rPr>
            </w:pPr>
            <w:r w:rsidRPr="00150EDC">
              <w:rPr>
                <w:b/>
                <w:sz w:val="24"/>
              </w:rPr>
              <w:t>Request</w:t>
            </w:r>
            <w:r w:rsidRPr="00150EDC">
              <w:rPr>
                <w:b/>
                <w:spacing w:val="-7"/>
                <w:sz w:val="24"/>
              </w:rPr>
              <w:t xml:space="preserve"> </w:t>
            </w:r>
            <w:r w:rsidRPr="00150EDC">
              <w:rPr>
                <w:b/>
                <w:sz w:val="24"/>
              </w:rPr>
              <w:t>for</w:t>
            </w:r>
            <w:r w:rsidRPr="00150EDC">
              <w:rPr>
                <w:b/>
                <w:spacing w:val="-3"/>
                <w:sz w:val="24"/>
              </w:rPr>
              <w:t xml:space="preserve"> </w:t>
            </w:r>
            <w:r w:rsidRPr="007D3144">
              <w:rPr>
                <w:b/>
                <w:sz w:val="24"/>
                <w:shd w:val="clear" w:color="auto" w:fill="FFFF00"/>
              </w:rPr>
              <w:t>[Revised]</w:t>
            </w:r>
            <w:r w:rsidRPr="007D3144">
              <w:rPr>
                <w:b/>
                <w:spacing w:val="-5"/>
                <w:sz w:val="24"/>
              </w:rPr>
              <w:t xml:space="preserve"> </w:t>
            </w:r>
            <w:r w:rsidRPr="007D3144">
              <w:rPr>
                <w:b/>
                <w:sz w:val="24"/>
              </w:rPr>
              <w:t>Rectification</w:t>
            </w:r>
            <w:r w:rsidRPr="007D3144">
              <w:rPr>
                <w:b/>
                <w:spacing w:val="-3"/>
                <w:sz w:val="24"/>
              </w:rPr>
              <w:t xml:space="preserve"> </w:t>
            </w:r>
            <w:r w:rsidRPr="007D3144">
              <w:rPr>
                <w:b/>
                <w:spacing w:val="-4"/>
                <w:sz w:val="24"/>
              </w:rPr>
              <w:t>Plan</w:t>
            </w:r>
          </w:p>
        </w:tc>
      </w:tr>
      <w:tr w:rsidR="007D3144" w:rsidRPr="007D3144" w14:paraId="47CD1F22" w14:textId="77777777">
        <w:trPr>
          <w:trHeight w:val="870"/>
        </w:trPr>
        <w:tc>
          <w:tcPr>
            <w:tcW w:w="2976" w:type="dxa"/>
          </w:tcPr>
          <w:p w14:paraId="481391A6" w14:textId="77777777" w:rsidR="004C7180" w:rsidRPr="00150EDC" w:rsidRDefault="00CF0754">
            <w:pPr>
              <w:pStyle w:val="TableParagraph"/>
              <w:spacing w:before="0" w:line="240" w:lineRule="auto"/>
              <w:ind w:left="115"/>
              <w:rPr>
                <w:sz w:val="24"/>
              </w:rPr>
            </w:pPr>
            <w:r w:rsidRPr="00150EDC">
              <w:rPr>
                <w:sz w:val="24"/>
              </w:rPr>
              <w:t>Details</w:t>
            </w:r>
            <w:r w:rsidRPr="00150EDC">
              <w:rPr>
                <w:spacing w:val="-1"/>
                <w:sz w:val="24"/>
              </w:rPr>
              <w:t xml:space="preserve"> </w:t>
            </w:r>
            <w:r w:rsidRPr="00150EDC">
              <w:rPr>
                <w:sz w:val="24"/>
              </w:rPr>
              <w:t>of</w:t>
            </w:r>
            <w:r w:rsidRPr="00150EDC">
              <w:rPr>
                <w:spacing w:val="-2"/>
                <w:sz w:val="24"/>
              </w:rPr>
              <w:t xml:space="preserve"> </w:t>
            </w:r>
            <w:r w:rsidRPr="00150EDC">
              <w:rPr>
                <w:sz w:val="24"/>
              </w:rPr>
              <w:t>the</w:t>
            </w:r>
            <w:r w:rsidRPr="00150EDC">
              <w:rPr>
                <w:spacing w:val="-1"/>
                <w:sz w:val="24"/>
              </w:rPr>
              <w:t xml:space="preserve"> </w:t>
            </w:r>
            <w:r w:rsidRPr="00150EDC">
              <w:rPr>
                <w:spacing w:val="-2"/>
                <w:sz w:val="24"/>
              </w:rPr>
              <w:t>Default:</w:t>
            </w:r>
          </w:p>
        </w:tc>
        <w:tc>
          <w:tcPr>
            <w:tcW w:w="6125" w:type="dxa"/>
            <w:gridSpan w:val="3"/>
          </w:tcPr>
          <w:p w14:paraId="31C759CF" w14:textId="77777777" w:rsidR="004C7180" w:rsidRPr="00150EDC" w:rsidRDefault="00CF0754">
            <w:pPr>
              <w:pStyle w:val="TableParagraph"/>
              <w:spacing w:before="0" w:line="259" w:lineRule="auto"/>
              <w:ind w:left="115" w:right="161"/>
              <w:rPr>
                <w:sz w:val="24"/>
              </w:rPr>
            </w:pPr>
            <w:r w:rsidRPr="007D3144">
              <w:rPr>
                <w:sz w:val="24"/>
                <w:shd w:val="clear" w:color="auto" w:fill="FFFF00"/>
              </w:rPr>
              <w:t>[</w:t>
            </w:r>
            <w:r w:rsidRPr="007D3144">
              <w:rPr>
                <w:b/>
                <w:sz w:val="24"/>
                <w:shd w:val="clear" w:color="auto" w:fill="FFFF00"/>
              </w:rPr>
              <w:t>Guidance:</w:t>
            </w:r>
            <w:r w:rsidRPr="007D3144">
              <w:rPr>
                <w:b/>
                <w:spacing w:val="-7"/>
                <w:sz w:val="24"/>
              </w:rPr>
              <w:t xml:space="preserve"> </w:t>
            </w:r>
            <w:r w:rsidRPr="007D3144">
              <w:rPr>
                <w:sz w:val="24"/>
              </w:rPr>
              <w:t>Explain</w:t>
            </w:r>
            <w:r w:rsidRPr="007D3144">
              <w:rPr>
                <w:spacing w:val="-7"/>
                <w:sz w:val="24"/>
              </w:rPr>
              <w:t xml:space="preserve"> </w:t>
            </w:r>
            <w:r w:rsidRPr="007D3144">
              <w:rPr>
                <w:sz w:val="24"/>
              </w:rPr>
              <w:t>the</w:t>
            </w:r>
            <w:r w:rsidRPr="007D3144">
              <w:rPr>
                <w:spacing w:val="-5"/>
                <w:sz w:val="24"/>
              </w:rPr>
              <w:t xml:space="preserve"> </w:t>
            </w:r>
            <w:r w:rsidRPr="007D3144">
              <w:rPr>
                <w:sz w:val="24"/>
              </w:rPr>
              <w:t>Default,</w:t>
            </w:r>
            <w:r w:rsidRPr="007D3144">
              <w:rPr>
                <w:spacing w:val="-5"/>
                <w:sz w:val="24"/>
              </w:rPr>
              <w:t xml:space="preserve"> </w:t>
            </w:r>
            <w:r w:rsidRPr="007D3144">
              <w:rPr>
                <w:sz w:val="24"/>
              </w:rPr>
              <w:t>with</w:t>
            </w:r>
            <w:r w:rsidRPr="007D3144">
              <w:rPr>
                <w:spacing w:val="-7"/>
                <w:sz w:val="24"/>
              </w:rPr>
              <w:t xml:space="preserve"> </w:t>
            </w:r>
            <w:r w:rsidRPr="007D3144">
              <w:rPr>
                <w:sz w:val="24"/>
              </w:rPr>
              <w:t>clear</w:t>
            </w:r>
            <w:r w:rsidRPr="007D3144">
              <w:rPr>
                <w:spacing w:val="-7"/>
                <w:sz w:val="24"/>
              </w:rPr>
              <w:t xml:space="preserve"> </w:t>
            </w:r>
            <w:r w:rsidRPr="007D3144">
              <w:rPr>
                <w:sz w:val="24"/>
              </w:rPr>
              <w:t>schedule and clause references as appropriate]</w:t>
            </w:r>
          </w:p>
        </w:tc>
      </w:tr>
      <w:tr w:rsidR="007D3144" w:rsidRPr="007D3144" w14:paraId="51E9A739" w14:textId="77777777">
        <w:trPr>
          <w:trHeight w:val="1053"/>
        </w:trPr>
        <w:tc>
          <w:tcPr>
            <w:tcW w:w="2976" w:type="dxa"/>
          </w:tcPr>
          <w:p w14:paraId="23303963" w14:textId="77777777" w:rsidR="004C7180" w:rsidRPr="00150EDC" w:rsidRDefault="00CF0754">
            <w:pPr>
              <w:pStyle w:val="TableParagraph"/>
              <w:spacing w:before="0" w:line="259" w:lineRule="auto"/>
              <w:ind w:left="115"/>
              <w:rPr>
                <w:sz w:val="24"/>
              </w:rPr>
            </w:pPr>
            <w:r w:rsidRPr="00150EDC">
              <w:rPr>
                <w:sz w:val="24"/>
              </w:rPr>
              <w:t>Deadline</w:t>
            </w:r>
            <w:r w:rsidRPr="00150EDC">
              <w:rPr>
                <w:spacing w:val="-13"/>
                <w:sz w:val="24"/>
              </w:rPr>
              <w:t xml:space="preserve"> </w:t>
            </w:r>
            <w:r w:rsidRPr="00150EDC">
              <w:rPr>
                <w:sz w:val="24"/>
              </w:rPr>
              <w:t>for</w:t>
            </w:r>
            <w:r w:rsidRPr="00150EDC">
              <w:rPr>
                <w:spacing w:val="-13"/>
                <w:sz w:val="24"/>
              </w:rPr>
              <w:t xml:space="preserve"> </w:t>
            </w:r>
            <w:r w:rsidRPr="00150EDC">
              <w:rPr>
                <w:sz w:val="24"/>
              </w:rPr>
              <w:t>receiving</w:t>
            </w:r>
            <w:r w:rsidRPr="00150EDC">
              <w:rPr>
                <w:spacing w:val="-11"/>
                <w:sz w:val="24"/>
              </w:rPr>
              <w:t xml:space="preserve"> </w:t>
            </w:r>
            <w:r w:rsidRPr="00150EDC">
              <w:rPr>
                <w:sz w:val="24"/>
              </w:rPr>
              <w:t xml:space="preserve">the </w:t>
            </w:r>
            <w:r w:rsidRPr="007D3144">
              <w:rPr>
                <w:sz w:val="24"/>
                <w:shd w:val="clear" w:color="auto" w:fill="FFFF00"/>
              </w:rPr>
              <w:t>[Revised]</w:t>
            </w:r>
            <w:r w:rsidRPr="007D3144">
              <w:rPr>
                <w:sz w:val="24"/>
              </w:rPr>
              <w:t xml:space="preserve"> Rectification </w:t>
            </w:r>
            <w:r w:rsidRPr="007D3144">
              <w:rPr>
                <w:spacing w:val="-2"/>
                <w:sz w:val="24"/>
              </w:rPr>
              <w:t>Plan:</w:t>
            </w:r>
          </w:p>
        </w:tc>
        <w:tc>
          <w:tcPr>
            <w:tcW w:w="6125" w:type="dxa"/>
            <w:gridSpan w:val="3"/>
          </w:tcPr>
          <w:p w14:paraId="0C16633C" w14:textId="77777777" w:rsidR="004C7180" w:rsidRPr="00150EDC" w:rsidRDefault="00CF0754">
            <w:pPr>
              <w:pStyle w:val="TableParagraph"/>
              <w:spacing w:before="0" w:line="240" w:lineRule="auto"/>
              <w:ind w:left="115"/>
              <w:rPr>
                <w:sz w:val="24"/>
              </w:rPr>
            </w:pPr>
            <w:r w:rsidRPr="007D3144">
              <w:rPr>
                <w:sz w:val="24"/>
                <w:shd w:val="clear" w:color="auto" w:fill="FFFF00"/>
              </w:rPr>
              <w:t>[</w:t>
            </w:r>
            <w:r w:rsidRPr="007D3144">
              <w:rPr>
                <w:b/>
                <w:sz w:val="24"/>
                <w:shd w:val="clear" w:color="auto" w:fill="FFFF00"/>
              </w:rPr>
              <w:t>add</w:t>
            </w:r>
            <w:r w:rsidRPr="007D3144">
              <w:rPr>
                <w:b/>
                <w:spacing w:val="-3"/>
                <w:sz w:val="24"/>
              </w:rPr>
              <w:t xml:space="preserve"> </w:t>
            </w:r>
            <w:r w:rsidRPr="007D3144">
              <w:rPr>
                <w:sz w:val="24"/>
              </w:rPr>
              <w:t>date</w:t>
            </w:r>
            <w:r w:rsidRPr="007D3144">
              <w:rPr>
                <w:spacing w:val="-1"/>
                <w:sz w:val="24"/>
              </w:rPr>
              <w:t xml:space="preserve"> </w:t>
            </w:r>
            <w:r w:rsidRPr="007D3144">
              <w:rPr>
                <w:sz w:val="24"/>
              </w:rPr>
              <w:t>(minimum</w:t>
            </w:r>
            <w:r w:rsidRPr="007D3144">
              <w:rPr>
                <w:spacing w:val="-3"/>
                <w:sz w:val="24"/>
              </w:rPr>
              <w:t xml:space="preserve"> </w:t>
            </w:r>
            <w:r w:rsidRPr="007D3144">
              <w:rPr>
                <w:sz w:val="24"/>
              </w:rPr>
              <w:t>10</w:t>
            </w:r>
            <w:r w:rsidRPr="007D3144">
              <w:rPr>
                <w:spacing w:val="-2"/>
                <w:sz w:val="24"/>
              </w:rPr>
              <w:t xml:space="preserve"> </w:t>
            </w:r>
            <w:r w:rsidRPr="007D3144">
              <w:rPr>
                <w:sz w:val="24"/>
              </w:rPr>
              <w:t>days</w:t>
            </w:r>
            <w:r w:rsidRPr="007D3144">
              <w:rPr>
                <w:spacing w:val="-4"/>
                <w:sz w:val="24"/>
              </w:rPr>
              <w:t xml:space="preserve"> </w:t>
            </w:r>
            <w:r w:rsidRPr="007D3144">
              <w:rPr>
                <w:sz w:val="24"/>
              </w:rPr>
              <w:t xml:space="preserve">from </w:t>
            </w:r>
            <w:r w:rsidRPr="007D3144">
              <w:rPr>
                <w:spacing w:val="-2"/>
                <w:sz w:val="24"/>
              </w:rPr>
              <w:t>request)]</w:t>
            </w:r>
          </w:p>
        </w:tc>
      </w:tr>
      <w:tr w:rsidR="007D3144" w:rsidRPr="007D3144" w14:paraId="7A3C7D1E" w14:textId="77777777">
        <w:trPr>
          <w:trHeight w:val="491"/>
        </w:trPr>
        <w:tc>
          <w:tcPr>
            <w:tcW w:w="2976" w:type="dxa"/>
          </w:tcPr>
          <w:p w14:paraId="0BC118EA" w14:textId="77777777" w:rsidR="004C7180" w:rsidRPr="00150EDC" w:rsidRDefault="00CF0754">
            <w:pPr>
              <w:pStyle w:val="TableParagraph"/>
              <w:spacing w:before="0" w:line="240" w:lineRule="auto"/>
              <w:ind w:left="115"/>
              <w:rPr>
                <w:sz w:val="24"/>
              </w:rPr>
            </w:pPr>
            <w:r w:rsidRPr="00150EDC">
              <w:rPr>
                <w:sz w:val="24"/>
              </w:rPr>
              <w:t>Signed</w:t>
            </w:r>
            <w:r w:rsidRPr="00150EDC">
              <w:rPr>
                <w:spacing w:val="-2"/>
                <w:sz w:val="24"/>
              </w:rPr>
              <w:t xml:space="preserve"> </w:t>
            </w:r>
            <w:r w:rsidRPr="00150EDC">
              <w:rPr>
                <w:sz w:val="24"/>
              </w:rPr>
              <w:t>by</w:t>
            </w:r>
            <w:r w:rsidRPr="00150EDC">
              <w:rPr>
                <w:spacing w:val="-4"/>
                <w:sz w:val="24"/>
              </w:rPr>
              <w:t xml:space="preserve"> </w:t>
            </w:r>
            <w:r w:rsidRPr="007D3144">
              <w:rPr>
                <w:sz w:val="24"/>
                <w:shd w:val="clear" w:color="auto" w:fill="FFFF00"/>
              </w:rPr>
              <w:t>[Buyer]</w:t>
            </w:r>
            <w:r w:rsidRPr="007D3144">
              <w:rPr>
                <w:spacing w:val="-2"/>
                <w:sz w:val="24"/>
              </w:rPr>
              <w:t xml:space="preserve"> </w:t>
            </w:r>
            <w:r w:rsidRPr="007D3144">
              <w:rPr>
                <w:spacing w:val="-10"/>
                <w:sz w:val="24"/>
              </w:rPr>
              <w:t>:</w:t>
            </w:r>
          </w:p>
        </w:tc>
        <w:tc>
          <w:tcPr>
            <w:tcW w:w="3083" w:type="dxa"/>
          </w:tcPr>
          <w:p w14:paraId="09E58F5E" w14:textId="77777777" w:rsidR="004C7180" w:rsidRPr="00150EDC" w:rsidRDefault="004C7180">
            <w:pPr>
              <w:pStyle w:val="TableParagraph"/>
              <w:spacing w:before="0" w:line="240" w:lineRule="auto"/>
              <w:ind w:left="0"/>
              <w:rPr>
                <w:rFonts w:ascii="Times New Roman"/>
              </w:rPr>
            </w:pPr>
          </w:p>
        </w:tc>
        <w:tc>
          <w:tcPr>
            <w:tcW w:w="997" w:type="dxa"/>
          </w:tcPr>
          <w:p w14:paraId="46B9D221" w14:textId="77777777" w:rsidR="004C7180" w:rsidRPr="00150EDC" w:rsidRDefault="00CF0754">
            <w:pPr>
              <w:pStyle w:val="TableParagraph"/>
              <w:spacing w:before="0" w:line="240" w:lineRule="auto"/>
              <w:ind w:left="161"/>
              <w:rPr>
                <w:sz w:val="24"/>
              </w:rPr>
            </w:pPr>
            <w:r w:rsidRPr="00150EDC">
              <w:rPr>
                <w:spacing w:val="-2"/>
                <w:sz w:val="24"/>
              </w:rPr>
              <w:t>Date:</w:t>
            </w:r>
          </w:p>
        </w:tc>
        <w:tc>
          <w:tcPr>
            <w:tcW w:w="2045" w:type="dxa"/>
          </w:tcPr>
          <w:p w14:paraId="61BF12AE" w14:textId="77777777" w:rsidR="004C7180" w:rsidRPr="00150EDC" w:rsidRDefault="004C7180">
            <w:pPr>
              <w:pStyle w:val="TableParagraph"/>
              <w:spacing w:before="0" w:line="240" w:lineRule="auto"/>
              <w:ind w:left="0"/>
              <w:rPr>
                <w:rFonts w:ascii="Times New Roman"/>
              </w:rPr>
            </w:pPr>
          </w:p>
        </w:tc>
      </w:tr>
      <w:tr w:rsidR="007D3144" w:rsidRPr="007D3144" w14:paraId="6B2D204C" w14:textId="77777777">
        <w:trPr>
          <w:trHeight w:val="491"/>
        </w:trPr>
        <w:tc>
          <w:tcPr>
            <w:tcW w:w="9101" w:type="dxa"/>
            <w:gridSpan w:val="4"/>
            <w:shd w:val="clear" w:color="auto" w:fill="D9D9D9"/>
          </w:tcPr>
          <w:p w14:paraId="7D98D4EA" w14:textId="77777777" w:rsidR="004C7180" w:rsidRPr="00150EDC" w:rsidRDefault="00CF0754">
            <w:pPr>
              <w:pStyle w:val="TableParagraph"/>
              <w:spacing w:before="0" w:line="240" w:lineRule="auto"/>
              <w:ind w:left="2265" w:right="2255"/>
              <w:jc w:val="center"/>
              <w:rPr>
                <w:b/>
                <w:sz w:val="24"/>
              </w:rPr>
            </w:pPr>
            <w:r w:rsidRPr="00150EDC">
              <w:rPr>
                <w:b/>
                <w:sz w:val="24"/>
              </w:rPr>
              <w:t>Supplier</w:t>
            </w:r>
            <w:r w:rsidRPr="00150EDC">
              <w:rPr>
                <w:b/>
                <w:spacing w:val="-7"/>
                <w:sz w:val="24"/>
              </w:rPr>
              <w:t xml:space="preserve"> </w:t>
            </w:r>
            <w:r w:rsidRPr="007D3144">
              <w:rPr>
                <w:b/>
                <w:sz w:val="24"/>
                <w:shd w:val="clear" w:color="auto" w:fill="FFFF00"/>
              </w:rPr>
              <w:t>[Revised]</w:t>
            </w:r>
            <w:r w:rsidRPr="007D3144">
              <w:rPr>
                <w:b/>
                <w:spacing w:val="-5"/>
                <w:sz w:val="24"/>
              </w:rPr>
              <w:t xml:space="preserve"> </w:t>
            </w:r>
            <w:r w:rsidRPr="007D3144">
              <w:rPr>
                <w:b/>
                <w:sz w:val="24"/>
              </w:rPr>
              <w:t>Rectification</w:t>
            </w:r>
            <w:r w:rsidRPr="007D3144">
              <w:rPr>
                <w:b/>
                <w:spacing w:val="-7"/>
                <w:sz w:val="24"/>
              </w:rPr>
              <w:t xml:space="preserve"> </w:t>
            </w:r>
            <w:r w:rsidRPr="007D3144">
              <w:rPr>
                <w:b/>
                <w:spacing w:val="-4"/>
                <w:sz w:val="24"/>
              </w:rPr>
              <w:t>Plan</w:t>
            </w:r>
          </w:p>
        </w:tc>
      </w:tr>
      <w:tr w:rsidR="007D3144" w:rsidRPr="007D3144" w14:paraId="008A7D6E" w14:textId="77777777">
        <w:trPr>
          <w:trHeight w:val="491"/>
        </w:trPr>
        <w:tc>
          <w:tcPr>
            <w:tcW w:w="2976" w:type="dxa"/>
          </w:tcPr>
          <w:p w14:paraId="3D3CF739" w14:textId="77777777" w:rsidR="004C7180" w:rsidRPr="00150EDC" w:rsidRDefault="00CF0754">
            <w:pPr>
              <w:pStyle w:val="TableParagraph"/>
              <w:spacing w:before="0" w:line="240" w:lineRule="auto"/>
              <w:ind w:left="115"/>
              <w:rPr>
                <w:sz w:val="24"/>
              </w:rPr>
            </w:pPr>
            <w:r w:rsidRPr="00150EDC">
              <w:rPr>
                <w:sz w:val="24"/>
              </w:rPr>
              <w:t>Cause</w:t>
            </w:r>
            <w:r w:rsidRPr="00150EDC">
              <w:rPr>
                <w:spacing w:val="-2"/>
                <w:sz w:val="24"/>
              </w:rPr>
              <w:t xml:space="preserve"> </w:t>
            </w:r>
            <w:r w:rsidRPr="00150EDC">
              <w:rPr>
                <w:sz w:val="24"/>
              </w:rPr>
              <w:t>of the</w:t>
            </w:r>
            <w:r w:rsidRPr="00150EDC">
              <w:rPr>
                <w:spacing w:val="1"/>
                <w:sz w:val="24"/>
              </w:rPr>
              <w:t xml:space="preserve"> </w:t>
            </w:r>
            <w:r w:rsidRPr="00150EDC">
              <w:rPr>
                <w:spacing w:val="-2"/>
                <w:sz w:val="24"/>
              </w:rPr>
              <w:t>Default</w:t>
            </w:r>
          </w:p>
        </w:tc>
        <w:tc>
          <w:tcPr>
            <w:tcW w:w="6125" w:type="dxa"/>
            <w:gridSpan w:val="3"/>
          </w:tcPr>
          <w:p w14:paraId="66E52A09" w14:textId="77777777" w:rsidR="004C7180" w:rsidRPr="00150EDC" w:rsidRDefault="00CF0754">
            <w:pPr>
              <w:pStyle w:val="TableParagraph"/>
              <w:spacing w:before="0" w:line="240" w:lineRule="auto"/>
              <w:ind w:left="115"/>
              <w:rPr>
                <w:sz w:val="24"/>
              </w:rPr>
            </w:pPr>
            <w:r w:rsidRPr="007D3144">
              <w:rPr>
                <w:sz w:val="24"/>
                <w:shd w:val="clear" w:color="auto" w:fill="FFFF00"/>
              </w:rPr>
              <w:t>[</w:t>
            </w:r>
            <w:r w:rsidRPr="007D3144">
              <w:rPr>
                <w:b/>
                <w:sz w:val="24"/>
                <w:shd w:val="clear" w:color="auto" w:fill="FFFF00"/>
              </w:rPr>
              <w:t>add</w:t>
            </w:r>
            <w:r w:rsidRPr="007D3144">
              <w:rPr>
                <w:b/>
                <w:spacing w:val="-1"/>
                <w:sz w:val="24"/>
              </w:rPr>
              <w:t xml:space="preserve"> </w:t>
            </w:r>
            <w:r w:rsidRPr="007D3144">
              <w:rPr>
                <w:spacing w:val="-2"/>
                <w:sz w:val="24"/>
              </w:rPr>
              <w:t>cause]</w:t>
            </w:r>
          </w:p>
        </w:tc>
      </w:tr>
      <w:tr w:rsidR="007D3144" w:rsidRPr="007D3144" w14:paraId="488A371E" w14:textId="77777777">
        <w:trPr>
          <w:trHeight w:val="827"/>
        </w:trPr>
        <w:tc>
          <w:tcPr>
            <w:tcW w:w="2976" w:type="dxa"/>
          </w:tcPr>
          <w:p w14:paraId="5BFA967D" w14:textId="77777777" w:rsidR="004C7180" w:rsidRPr="00150EDC" w:rsidRDefault="00CF0754">
            <w:pPr>
              <w:pStyle w:val="TableParagraph"/>
              <w:spacing w:before="2" w:line="259" w:lineRule="auto"/>
              <w:ind w:left="115"/>
              <w:rPr>
                <w:sz w:val="24"/>
              </w:rPr>
            </w:pPr>
            <w:r w:rsidRPr="00150EDC">
              <w:rPr>
                <w:sz w:val="24"/>
              </w:rPr>
              <w:t>Anticipated</w:t>
            </w:r>
            <w:r w:rsidRPr="00150EDC">
              <w:rPr>
                <w:spacing w:val="-17"/>
                <w:sz w:val="24"/>
              </w:rPr>
              <w:t xml:space="preserve"> </w:t>
            </w:r>
            <w:r w:rsidRPr="00150EDC">
              <w:rPr>
                <w:sz w:val="24"/>
              </w:rPr>
              <w:t xml:space="preserve">impact </w:t>
            </w:r>
            <w:r w:rsidRPr="00150EDC">
              <w:rPr>
                <w:spacing w:val="-2"/>
                <w:sz w:val="24"/>
              </w:rPr>
              <w:t>assessment:</w:t>
            </w:r>
          </w:p>
        </w:tc>
        <w:tc>
          <w:tcPr>
            <w:tcW w:w="6125" w:type="dxa"/>
            <w:gridSpan w:val="3"/>
          </w:tcPr>
          <w:p w14:paraId="376C15B9" w14:textId="77777777" w:rsidR="004C7180" w:rsidRPr="00150EDC" w:rsidRDefault="00CF0754">
            <w:pPr>
              <w:pStyle w:val="TableParagraph"/>
              <w:spacing w:before="2" w:line="240" w:lineRule="auto"/>
              <w:ind w:left="115"/>
              <w:rPr>
                <w:sz w:val="24"/>
              </w:rPr>
            </w:pPr>
            <w:r w:rsidRPr="007D3144">
              <w:rPr>
                <w:sz w:val="24"/>
                <w:shd w:val="clear" w:color="auto" w:fill="FFFF00"/>
              </w:rPr>
              <w:t>[</w:t>
            </w:r>
            <w:r w:rsidRPr="007D3144">
              <w:rPr>
                <w:b/>
                <w:sz w:val="24"/>
                <w:shd w:val="clear" w:color="auto" w:fill="FFFF00"/>
              </w:rPr>
              <w:t>add</w:t>
            </w:r>
            <w:r w:rsidRPr="007D3144">
              <w:rPr>
                <w:b/>
                <w:spacing w:val="-1"/>
                <w:sz w:val="24"/>
                <w:shd w:val="clear" w:color="auto" w:fill="FFFF00"/>
              </w:rPr>
              <w:t xml:space="preserve"> </w:t>
            </w:r>
            <w:r w:rsidRPr="007D3144">
              <w:rPr>
                <w:spacing w:val="-2"/>
                <w:sz w:val="24"/>
              </w:rPr>
              <w:t>impact]</w:t>
            </w:r>
          </w:p>
        </w:tc>
      </w:tr>
      <w:tr w:rsidR="007D3144" w:rsidRPr="007D3144" w14:paraId="36A6784C" w14:textId="77777777">
        <w:trPr>
          <w:trHeight w:val="469"/>
        </w:trPr>
        <w:tc>
          <w:tcPr>
            <w:tcW w:w="2976" w:type="dxa"/>
          </w:tcPr>
          <w:p w14:paraId="79715CBA" w14:textId="77777777" w:rsidR="004C7180" w:rsidRPr="00150EDC" w:rsidRDefault="00CF0754">
            <w:pPr>
              <w:pStyle w:val="TableParagraph"/>
              <w:spacing w:before="0" w:line="240" w:lineRule="auto"/>
              <w:ind w:left="115"/>
              <w:rPr>
                <w:sz w:val="24"/>
              </w:rPr>
            </w:pPr>
            <w:r w:rsidRPr="00150EDC">
              <w:rPr>
                <w:sz w:val="24"/>
              </w:rPr>
              <w:t>Actual</w:t>
            </w:r>
            <w:r w:rsidRPr="00150EDC">
              <w:rPr>
                <w:spacing w:val="-4"/>
                <w:sz w:val="24"/>
              </w:rPr>
              <w:t xml:space="preserve"> </w:t>
            </w:r>
            <w:r w:rsidRPr="00150EDC">
              <w:rPr>
                <w:sz w:val="24"/>
              </w:rPr>
              <w:t>effect</w:t>
            </w:r>
            <w:r w:rsidRPr="00150EDC">
              <w:rPr>
                <w:spacing w:val="1"/>
                <w:sz w:val="24"/>
              </w:rPr>
              <w:t xml:space="preserve"> </w:t>
            </w:r>
            <w:r w:rsidRPr="00150EDC">
              <w:rPr>
                <w:sz w:val="24"/>
              </w:rPr>
              <w:t>of</w:t>
            </w:r>
            <w:r w:rsidRPr="00150EDC">
              <w:rPr>
                <w:spacing w:val="-2"/>
                <w:sz w:val="24"/>
              </w:rPr>
              <w:t xml:space="preserve"> Default:</w:t>
            </w:r>
          </w:p>
        </w:tc>
        <w:tc>
          <w:tcPr>
            <w:tcW w:w="6125" w:type="dxa"/>
            <w:gridSpan w:val="3"/>
          </w:tcPr>
          <w:p w14:paraId="0CFF3BD1" w14:textId="77777777" w:rsidR="004C7180" w:rsidRPr="00150EDC" w:rsidRDefault="00CF0754">
            <w:pPr>
              <w:pStyle w:val="TableParagraph"/>
              <w:spacing w:before="0" w:line="240" w:lineRule="auto"/>
              <w:ind w:left="115"/>
              <w:rPr>
                <w:sz w:val="24"/>
              </w:rPr>
            </w:pPr>
            <w:r w:rsidRPr="007D3144">
              <w:rPr>
                <w:sz w:val="24"/>
                <w:shd w:val="clear" w:color="auto" w:fill="FFFF00"/>
              </w:rPr>
              <w:t>[</w:t>
            </w:r>
            <w:r w:rsidRPr="007D3144">
              <w:rPr>
                <w:b/>
                <w:sz w:val="24"/>
                <w:shd w:val="clear" w:color="auto" w:fill="FFFF00"/>
              </w:rPr>
              <w:t>add</w:t>
            </w:r>
            <w:r w:rsidRPr="007D3144">
              <w:rPr>
                <w:b/>
                <w:spacing w:val="-1"/>
                <w:sz w:val="24"/>
                <w:shd w:val="clear" w:color="auto" w:fill="FFFF00"/>
              </w:rPr>
              <w:t xml:space="preserve"> </w:t>
            </w:r>
            <w:r w:rsidRPr="007D3144">
              <w:rPr>
                <w:spacing w:val="-2"/>
                <w:sz w:val="24"/>
              </w:rPr>
              <w:t>effect]</w:t>
            </w:r>
          </w:p>
        </w:tc>
      </w:tr>
      <w:tr w:rsidR="007D3144" w:rsidRPr="007D3144" w14:paraId="781A86F9" w14:textId="77777777">
        <w:trPr>
          <w:trHeight w:val="458"/>
        </w:trPr>
        <w:tc>
          <w:tcPr>
            <w:tcW w:w="2976" w:type="dxa"/>
            <w:vMerge w:val="restart"/>
          </w:tcPr>
          <w:p w14:paraId="2B61DE5E" w14:textId="77777777" w:rsidR="004C7180" w:rsidRPr="00150EDC" w:rsidRDefault="00CF0754">
            <w:pPr>
              <w:pStyle w:val="TableParagraph"/>
              <w:spacing w:before="0" w:line="259" w:lineRule="auto"/>
              <w:ind w:left="115"/>
              <w:rPr>
                <w:sz w:val="24"/>
              </w:rPr>
            </w:pPr>
            <w:r w:rsidRPr="00150EDC">
              <w:rPr>
                <w:sz w:val="24"/>
              </w:rPr>
              <w:t>Steps</w:t>
            </w:r>
            <w:r w:rsidRPr="00150EDC">
              <w:rPr>
                <w:spacing w:val="-11"/>
                <w:sz w:val="24"/>
              </w:rPr>
              <w:t xml:space="preserve"> </w:t>
            </w:r>
            <w:r w:rsidRPr="00150EDC">
              <w:rPr>
                <w:sz w:val="24"/>
              </w:rPr>
              <w:t>to</w:t>
            </w:r>
            <w:r w:rsidRPr="00150EDC">
              <w:rPr>
                <w:spacing w:val="-10"/>
                <w:sz w:val="24"/>
              </w:rPr>
              <w:t xml:space="preserve"> </w:t>
            </w:r>
            <w:r w:rsidRPr="00150EDC">
              <w:rPr>
                <w:sz w:val="24"/>
              </w:rPr>
              <w:t>be</w:t>
            </w:r>
            <w:r w:rsidRPr="00150EDC">
              <w:rPr>
                <w:spacing w:val="-8"/>
                <w:sz w:val="24"/>
              </w:rPr>
              <w:t xml:space="preserve"> </w:t>
            </w:r>
            <w:r w:rsidRPr="00150EDC">
              <w:rPr>
                <w:sz w:val="24"/>
              </w:rPr>
              <w:t>taken</w:t>
            </w:r>
            <w:r w:rsidRPr="00150EDC">
              <w:rPr>
                <w:spacing w:val="-8"/>
                <w:sz w:val="24"/>
              </w:rPr>
              <w:t xml:space="preserve"> </w:t>
            </w:r>
            <w:r w:rsidRPr="00150EDC">
              <w:rPr>
                <w:sz w:val="24"/>
              </w:rPr>
              <w:t xml:space="preserve">to </w:t>
            </w:r>
            <w:r w:rsidRPr="00150EDC">
              <w:rPr>
                <w:spacing w:val="-2"/>
                <w:sz w:val="24"/>
              </w:rPr>
              <w:t>rectification:</w:t>
            </w:r>
          </w:p>
        </w:tc>
        <w:tc>
          <w:tcPr>
            <w:tcW w:w="3083" w:type="dxa"/>
          </w:tcPr>
          <w:p w14:paraId="649C7F0F" w14:textId="77777777" w:rsidR="004C7180" w:rsidRPr="00150EDC" w:rsidRDefault="00CF0754">
            <w:pPr>
              <w:pStyle w:val="TableParagraph"/>
              <w:spacing w:before="0" w:line="240" w:lineRule="auto"/>
              <w:ind w:left="115"/>
              <w:rPr>
                <w:b/>
                <w:sz w:val="24"/>
              </w:rPr>
            </w:pPr>
            <w:r w:rsidRPr="00150EDC">
              <w:rPr>
                <w:b/>
                <w:spacing w:val="-2"/>
                <w:sz w:val="24"/>
              </w:rPr>
              <w:t>Steps</w:t>
            </w:r>
          </w:p>
        </w:tc>
        <w:tc>
          <w:tcPr>
            <w:tcW w:w="3042" w:type="dxa"/>
            <w:gridSpan w:val="2"/>
          </w:tcPr>
          <w:p w14:paraId="62C34427" w14:textId="77777777" w:rsidR="004C7180" w:rsidRPr="00150EDC" w:rsidRDefault="00CF0754">
            <w:pPr>
              <w:pStyle w:val="TableParagraph"/>
              <w:spacing w:before="0" w:line="240" w:lineRule="auto"/>
              <w:ind w:left="92"/>
              <w:rPr>
                <w:b/>
                <w:sz w:val="24"/>
              </w:rPr>
            </w:pPr>
            <w:r w:rsidRPr="00150EDC">
              <w:rPr>
                <w:b/>
                <w:spacing w:val="-2"/>
                <w:sz w:val="24"/>
              </w:rPr>
              <w:t>Timescale</w:t>
            </w:r>
          </w:p>
        </w:tc>
      </w:tr>
      <w:tr w:rsidR="007D3144" w:rsidRPr="007D3144" w14:paraId="7F2B6277" w14:textId="77777777">
        <w:trPr>
          <w:trHeight w:val="457"/>
        </w:trPr>
        <w:tc>
          <w:tcPr>
            <w:tcW w:w="2976" w:type="dxa"/>
            <w:vMerge/>
            <w:tcBorders>
              <w:top w:val="nil"/>
            </w:tcBorders>
          </w:tcPr>
          <w:p w14:paraId="2CB8F37F" w14:textId="77777777" w:rsidR="004C7180" w:rsidRPr="007D3144" w:rsidRDefault="004C7180">
            <w:pPr>
              <w:rPr>
                <w:sz w:val="2"/>
                <w:szCs w:val="2"/>
              </w:rPr>
            </w:pPr>
          </w:p>
        </w:tc>
        <w:tc>
          <w:tcPr>
            <w:tcW w:w="3083" w:type="dxa"/>
          </w:tcPr>
          <w:p w14:paraId="4E621E7C" w14:textId="77777777" w:rsidR="004C7180" w:rsidRPr="00150EDC" w:rsidRDefault="00CF0754">
            <w:pPr>
              <w:pStyle w:val="TableParagraph"/>
              <w:spacing w:before="0" w:line="240" w:lineRule="auto"/>
              <w:ind w:left="115"/>
              <w:rPr>
                <w:sz w:val="24"/>
              </w:rPr>
            </w:pPr>
            <w:r w:rsidRPr="00150EDC">
              <w:rPr>
                <w:spacing w:val="-5"/>
                <w:sz w:val="24"/>
              </w:rPr>
              <w:t>1.</w:t>
            </w:r>
          </w:p>
        </w:tc>
        <w:tc>
          <w:tcPr>
            <w:tcW w:w="3042" w:type="dxa"/>
            <w:gridSpan w:val="2"/>
          </w:tcPr>
          <w:p w14:paraId="2538629A" w14:textId="77777777" w:rsidR="004C7180" w:rsidRPr="00150EDC" w:rsidRDefault="00CF0754">
            <w:pPr>
              <w:pStyle w:val="TableParagraph"/>
              <w:spacing w:before="0" w:line="240" w:lineRule="auto"/>
              <w:ind w:left="92"/>
              <w:rPr>
                <w:sz w:val="24"/>
              </w:rPr>
            </w:pPr>
            <w:r w:rsidRPr="007D3144">
              <w:rPr>
                <w:spacing w:val="-2"/>
                <w:sz w:val="24"/>
                <w:shd w:val="clear" w:color="auto" w:fill="FFFF00"/>
              </w:rPr>
              <w:t>[date]</w:t>
            </w:r>
          </w:p>
        </w:tc>
      </w:tr>
      <w:tr w:rsidR="007D3144" w:rsidRPr="007D3144" w14:paraId="473D1309" w14:textId="77777777">
        <w:trPr>
          <w:trHeight w:val="458"/>
        </w:trPr>
        <w:tc>
          <w:tcPr>
            <w:tcW w:w="2976" w:type="dxa"/>
            <w:vMerge/>
            <w:tcBorders>
              <w:top w:val="nil"/>
            </w:tcBorders>
          </w:tcPr>
          <w:p w14:paraId="3E6D7C19" w14:textId="77777777" w:rsidR="004C7180" w:rsidRPr="007D3144" w:rsidRDefault="004C7180">
            <w:pPr>
              <w:rPr>
                <w:sz w:val="2"/>
                <w:szCs w:val="2"/>
              </w:rPr>
            </w:pPr>
          </w:p>
        </w:tc>
        <w:tc>
          <w:tcPr>
            <w:tcW w:w="3083" w:type="dxa"/>
          </w:tcPr>
          <w:p w14:paraId="093E9125" w14:textId="77777777" w:rsidR="004C7180" w:rsidRPr="00150EDC" w:rsidRDefault="00CF0754">
            <w:pPr>
              <w:pStyle w:val="TableParagraph"/>
              <w:spacing w:before="0" w:line="240" w:lineRule="auto"/>
              <w:ind w:left="115"/>
              <w:rPr>
                <w:sz w:val="24"/>
              </w:rPr>
            </w:pPr>
            <w:r w:rsidRPr="00150EDC">
              <w:rPr>
                <w:spacing w:val="-5"/>
                <w:sz w:val="24"/>
              </w:rPr>
              <w:t>2.</w:t>
            </w:r>
          </w:p>
        </w:tc>
        <w:tc>
          <w:tcPr>
            <w:tcW w:w="3042" w:type="dxa"/>
            <w:gridSpan w:val="2"/>
          </w:tcPr>
          <w:p w14:paraId="4052E58C" w14:textId="77777777" w:rsidR="004C7180" w:rsidRPr="00150EDC" w:rsidRDefault="00CF0754">
            <w:pPr>
              <w:pStyle w:val="TableParagraph"/>
              <w:spacing w:before="0" w:line="240" w:lineRule="auto"/>
              <w:ind w:left="92"/>
              <w:rPr>
                <w:sz w:val="24"/>
              </w:rPr>
            </w:pPr>
            <w:r w:rsidRPr="007D3144">
              <w:rPr>
                <w:spacing w:val="-2"/>
                <w:sz w:val="24"/>
                <w:shd w:val="clear" w:color="auto" w:fill="FFFF00"/>
              </w:rPr>
              <w:t>[date]</w:t>
            </w:r>
          </w:p>
        </w:tc>
      </w:tr>
      <w:tr w:rsidR="007D3144" w:rsidRPr="007D3144" w14:paraId="4A26BA84" w14:textId="77777777">
        <w:trPr>
          <w:trHeight w:val="457"/>
        </w:trPr>
        <w:tc>
          <w:tcPr>
            <w:tcW w:w="2976" w:type="dxa"/>
            <w:vMerge/>
            <w:tcBorders>
              <w:top w:val="nil"/>
            </w:tcBorders>
          </w:tcPr>
          <w:p w14:paraId="0D101EAF" w14:textId="77777777" w:rsidR="004C7180" w:rsidRPr="007D3144" w:rsidRDefault="004C7180">
            <w:pPr>
              <w:rPr>
                <w:sz w:val="2"/>
                <w:szCs w:val="2"/>
              </w:rPr>
            </w:pPr>
          </w:p>
        </w:tc>
        <w:tc>
          <w:tcPr>
            <w:tcW w:w="3083" w:type="dxa"/>
          </w:tcPr>
          <w:p w14:paraId="3E75CDF5" w14:textId="77777777" w:rsidR="004C7180" w:rsidRPr="00150EDC" w:rsidRDefault="00CF0754">
            <w:pPr>
              <w:pStyle w:val="TableParagraph"/>
              <w:spacing w:before="0" w:line="240" w:lineRule="auto"/>
              <w:ind w:left="115"/>
              <w:rPr>
                <w:sz w:val="24"/>
              </w:rPr>
            </w:pPr>
            <w:r w:rsidRPr="00150EDC">
              <w:rPr>
                <w:spacing w:val="-5"/>
                <w:sz w:val="24"/>
              </w:rPr>
              <w:t>3.</w:t>
            </w:r>
          </w:p>
        </w:tc>
        <w:tc>
          <w:tcPr>
            <w:tcW w:w="3042" w:type="dxa"/>
            <w:gridSpan w:val="2"/>
          </w:tcPr>
          <w:p w14:paraId="486AF430" w14:textId="77777777" w:rsidR="004C7180" w:rsidRPr="00150EDC" w:rsidRDefault="00CF0754">
            <w:pPr>
              <w:pStyle w:val="TableParagraph"/>
              <w:spacing w:before="0" w:line="240" w:lineRule="auto"/>
              <w:ind w:left="92"/>
              <w:rPr>
                <w:sz w:val="24"/>
              </w:rPr>
            </w:pPr>
            <w:r w:rsidRPr="007D3144">
              <w:rPr>
                <w:spacing w:val="-2"/>
                <w:sz w:val="24"/>
                <w:shd w:val="clear" w:color="auto" w:fill="FFFF00"/>
              </w:rPr>
              <w:t>[date]</w:t>
            </w:r>
          </w:p>
        </w:tc>
      </w:tr>
      <w:tr w:rsidR="007D3144" w:rsidRPr="007D3144" w14:paraId="510D2A03" w14:textId="77777777">
        <w:trPr>
          <w:trHeight w:val="457"/>
        </w:trPr>
        <w:tc>
          <w:tcPr>
            <w:tcW w:w="2976" w:type="dxa"/>
            <w:vMerge/>
            <w:tcBorders>
              <w:top w:val="nil"/>
            </w:tcBorders>
          </w:tcPr>
          <w:p w14:paraId="4ACE3511" w14:textId="77777777" w:rsidR="004C7180" w:rsidRPr="007D3144" w:rsidRDefault="004C7180">
            <w:pPr>
              <w:rPr>
                <w:sz w:val="2"/>
                <w:szCs w:val="2"/>
              </w:rPr>
            </w:pPr>
          </w:p>
        </w:tc>
        <w:tc>
          <w:tcPr>
            <w:tcW w:w="3083" w:type="dxa"/>
          </w:tcPr>
          <w:p w14:paraId="63D6A238" w14:textId="77777777" w:rsidR="004C7180" w:rsidRPr="00150EDC" w:rsidRDefault="00CF0754">
            <w:pPr>
              <w:pStyle w:val="TableParagraph"/>
              <w:spacing w:before="0" w:line="240" w:lineRule="auto"/>
              <w:ind w:left="115"/>
              <w:rPr>
                <w:sz w:val="24"/>
              </w:rPr>
            </w:pPr>
            <w:r w:rsidRPr="00150EDC">
              <w:rPr>
                <w:spacing w:val="-5"/>
                <w:sz w:val="24"/>
              </w:rPr>
              <w:t>4.</w:t>
            </w:r>
          </w:p>
        </w:tc>
        <w:tc>
          <w:tcPr>
            <w:tcW w:w="3042" w:type="dxa"/>
            <w:gridSpan w:val="2"/>
          </w:tcPr>
          <w:p w14:paraId="3C1A1E67" w14:textId="77777777" w:rsidR="004C7180" w:rsidRPr="00150EDC" w:rsidRDefault="00CF0754">
            <w:pPr>
              <w:pStyle w:val="TableParagraph"/>
              <w:spacing w:before="0" w:line="240" w:lineRule="auto"/>
              <w:ind w:left="92"/>
              <w:rPr>
                <w:sz w:val="24"/>
              </w:rPr>
            </w:pPr>
            <w:r w:rsidRPr="007D3144">
              <w:rPr>
                <w:spacing w:val="-2"/>
                <w:sz w:val="24"/>
                <w:shd w:val="clear" w:color="auto" w:fill="FFFF00"/>
              </w:rPr>
              <w:t>[date]</w:t>
            </w:r>
          </w:p>
        </w:tc>
      </w:tr>
      <w:tr w:rsidR="007D3144" w:rsidRPr="007D3144" w14:paraId="03609942" w14:textId="77777777">
        <w:trPr>
          <w:trHeight w:val="458"/>
        </w:trPr>
        <w:tc>
          <w:tcPr>
            <w:tcW w:w="2976" w:type="dxa"/>
            <w:vMerge/>
            <w:tcBorders>
              <w:top w:val="nil"/>
            </w:tcBorders>
          </w:tcPr>
          <w:p w14:paraId="011191B5" w14:textId="77777777" w:rsidR="004C7180" w:rsidRPr="007D3144" w:rsidRDefault="004C7180">
            <w:pPr>
              <w:rPr>
                <w:sz w:val="2"/>
                <w:szCs w:val="2"/>
              </w:rPr>
            </w:pPr>
          </w:p>
        </w:tc>
        <w:tc>
          <w:tcPr>
            <w:tcW w:w="3083" w:type="dxa"/>
          </w:tcPr>
          <w:p w14:paraId="1A0F6D5A" w14:textId="77777777" w:rsidR="004C7180" w:rsidRPr="00150EDC" w:rsidRDefault="00CF0754">
            <w:pPr>
              <w:pStyle w:val="TableParagraph"/>
              <w:spacing w:before="0" w:line="240" w:lineRule="auto"/>
              <w:ind w:left="115"/>
              <w:rPr>
                <w:sz w:val="24"/>
              </w:rPr>
            </w:pPr>
            <w:r w:rsidRPr="007D3144">
              <w:rPr>
                <w:spacing w:val="-5"/>
                <w:sz w:val="24"/>
                <w:shd w:val="clear" w:color="auto" w:fill="FFFF00"/>
              </w:rPr>
              <w:t>[…]</w:t>
            </w:r>
          </w:p>
        </w:tc>
        <w:tc>
          <w:tcPr>
            <w:tcW w:w="3042" w:type="dxa"/>
            <w:gridSpan w:val="2"/>
          </w:tcPr>
          <w:p w14:paraId="5CE2C9B2" w14:textId="77777777" w:rsidR="004C7180" w:rsidRPr="00150EDC" w:rsidRDefault="00CF0754">
            <w:pPr>
              <w:pStyle w:val="TableParagraph"/>
              <w:spacing w:before="0" w:line="240" w:lineRule="auto"/>
              <w:ind w:left="92"/>
              <w:rPr>
                <w:sz w:val="24"/>
              </w:rPr>
            </w:pPr>
            <w:r w:rsidRPr="007D3144">
              <w:rPr>
                <w:spacing w:val="-2"/>
                <w:sz w:val="24"/>
                <w:shd w:val="clear" w:color="auto" w:fill="FFFF00"/>
              </w:rPr>
              <w:t>[date]</w:t>
            </w:r>
          </w:p>
        </w:tc>
      </w:tr>
      <w:tr w:rsidR="007D3144" w:rsidRPr="007D3144" w14:paraId="2FB66F46" w14:textId="77777777">
        <w:trPr>
          <w:trHeight w:val="825"/>
        </w:trPr>
        <w:tc>
          <w:tcPr>
            <w:tcW w:w="2976" w:type="dxa"/>
          </w:tcPr>
          <w:p w14:paraId="2BE41DD8" w14:textId="77777777" w:rsidR="004C7180" w:rsidRPr="00150EDC" w:rsidRDefault="00CF0754">
            <w:pPr>
              <w:pStyle w:val="TableParagraph"/>
              <w:spacing w:before="0" w:line="259" w:lineRule="auto"/>
              <w:ind w:left="115"/>
              <w:rPr>
                <w:sz w:val="24"/>
              </w:rPr>
            </w:pPr>
            <w:r w:rsidRPr="00150EDC">
              <w:rPr>
                <w:sz w:val="24"/>
              </w:rPr>
              <w:t>Timescale</w:t>
            </w:r>
            <w:r w:rsidRPr="00150EDC">
              <w:rPr>
                <w:spacing w:val="-17"/>
                <w:sz w:val="24"/>
              </w:rPr>
              <w:t xml:space="preserve"> </w:t>
            </w:r>
            <w:r w:rsidRPr="00150EDC">
              <w:rPr>
                <w:sz w:val="24"/>
              </w:rPr>
              <w:t>for</w:t>
            </w:r>
            <w:r w:rsidRPr="00150EDC">
              <w:rPr>
                <w:spacing w:val="-17"/>
                <w:sz w:val="24"/>
              </w:rPr>
              <w:t xml:space="preserve"> </w:t>
            </w:r>
            <w:r w:rsidRPr="00150EDC">
              <w:rPr>
                <w:sz w:val="24"/>
              </w:rPr>
              <w:t>complete Rectification of Default</w:t>
            </w:r>
          </w:p>
        </w:tc>
        <w:tc>
          <w:tcPr>
            <w:tcW w:w="6125" w:type="dxa"/>
            <w:gridSpan w:val="3"/>
          </w:tcPr>
          <w:p w14:paraId="6959A907" w14:textId="77777777" w:rsidR="004C7180" w:rsidRPr="00150EDC" w:rsidRDefault="00CF0754">
            <w:pPr>
              <w:pStyle w:val="TableParagraph"/>
              <w:spacing w:before="0" w:line="240" w:lineRule="auto"/>
              <w:ind w:left="115"/>
              <w:rPr>
                <w:sz w:val="24"/>
              </w:rPr>
            </w:pPr>
            <w:r w:rsidRPr="007D3144">
              <w:rPr>
                <w:sz w:val="24"/>
                <w:shd w:val="clear" w:color="auto" w:fill="FFFF00"/>
              </w:rPr>
              <w:t>[X]</w:t>
            </w:r>
            <w:r w:rsidRPr="007D3144">
              <w:rPr>
                <w:spacing w:val="-5"/>
                <w:sz w:val="24"/>
              </w:rPr>
              <w:t xml:space="preserve"> </w:t>
            </w:r>
            <w:r w:rsidRPr="007D3144">
              <w:rPr>
                <w:sz w:val="24"/>
              </w:rPr>
              <w:t>Working</w:t>
            </w:r>
            <w:r w:rsidRPr="007D3144">
              <w:rPr>
                <w:spacing w:val="1"/>
                <w:sz w:val="24"/>
              </w:rPr>
              <w:t xml:space="preserve"> </w:t>
            </w:r>
            <w:r w:rsidRPr="007D3144">
              <w:rPr>
                <w:spacing w:val="-4"/>
                <w:sz w:val="24"/>
              </w:rPr>
              <w:t>Days</w:t>
            </w:r>
          </w:p>
        </w:tc>
      </w:tr>
      <w:tr w:rsidR="007D3144" w:rsidRPr="007D3144" w14:paraId="20AF4175" w14:textId="77777777">
        <w:trPr>
          <w:trHeight w:val="458"/>
        </w:trPr>
        <w:tc>
          <w:tcPr>
            <w:tcW w:w="2976" w:type="dxa"/>
            <w:vMerge w:val="restart"/>
          </w:tcPr>
          <w:p w14:paraId="04D7A255" w14:textId="77777777" w:rsidR="004C7180" w:rsidRPr="00150EDC" w:rsidRDefault="00CF0754">
            <w:pPr>
              <w:pStyle w:val="TableParagraph"/>
              <w:spacing w:before="2" w:line="259" w:lineRule="auto"/>
              <w:ind w:left="115"/>
              <w:rPr>
                <w:sz w:val="24"/>
              </w:rPr>
            </w:pPr>
            <w:r w:rsidRPr="00150EDC">
              <w:rPr>
                <w:sz w:val="24"/>
              </w:rPr>
              <w:t>Steps</w:t>
            </w:r>
            <w:r w:rsidRPr="00150EDC">
              <w:rPr>
                <w:spacing w:val="-13"/>
                <w:sz w:val="24"/>
              </w:rPr>
              <w:t xml:space="preserve"> </w:t>
            </w:r>
            <w:r w:rsidRPr="00150EDC">
              <w:rPr>
                <w:sz w:val="24"/>
              </w:rPr>
              <w:t>taken</w:t>
            </w:r>
            <w:r w:rsidRPr="00150EDC">
              <w:rPr>
                <w:spacing w:val="-11"/>
                <w:sz w:val="24"/>
              </w:rPr>
              <w:t xml:space="preserve"> </w:t>
            </w:r>
            <w:r w:rsidRPr="00150EDC">
              <w:rPr>
                <w:sz w:val="24"/>
              </w:rPr>
              <w:t>to</w:t>
            </w:r>
            <w:r w:rsidRPr="00150EDC">
              <w:rPr>
                <w:spacing w:val="-11"/>
                <w:sz w:val="24"/>
              </w:rPr>
              <w:t xml:space="preserve"> </w:t>
            </w:r>
            <w:r w:rsidRPr="00150EDC">
              <w:rPr>
                <w:sz w:val="24"/>
              </w:rPr>
              <w:t>prevent recurrence of Default</w:t>
            </w:r>
          </w:p>
        </w:tc>
        <w:tc>
          <w:tcPr>
            <w:tcW w:w="3083" w:type="dxa"/>
          </w:tcPr>
          <w:p w14:paraId="5F7B3872" w14:textId="77777777" w:rsidR="004C7180" w:rsidRPr="00150EDC" w:rsidRDefault="00CF0754">
            <w:pPr>
              <w:pStyle w:val="TableParagraph"/>
              <w:spacing w:before="2" w:line="240" w:lineRule="auto"/>
              <w:ind w:left="115"/>
              <w:rPr>
                <w:b/>
                <w:sz w:val="24"/>
              </w:rPr>
            </w:pPr>
            <w:r w:rsidRPr="00150EDC">
              <w:rPr>
                <w:b/>
                <w:spacing w:val="-2"/>
                <w:sz w:val="24"/>
              </w:rPr>
              <w:t>Steps</w:t>
            </w:r>
          </w:p>
        </w:tc>
        <w:tc>
          <w:tcPr>
            <w:tcW w:w="3042" w:type="dxa"/>
            <w:gridSpan w:val="2"/>
          </w:tcPr>
          <w:p w14:paraId="153155A4" w14:textId="77777777" w:rsidR="004C7180" w:rsidRPr="00150EDC" w:rsidRDefault="00CF0754">
            <w:pPr>
              <w:pStyle w:val="TableParagraph"/>
              <w:spacing w:before="2" w:line="240" w:lineRule="auto"/>
              <w:ind w:left="92"/>
              <w:rPr>
                <w:b/>
                <w:sz w:val="24"/>
              </w:rPr>
            </w:pPr>
            <w:r w:rsidRPr="00150EDC">
              <w:rPr>
                <w:b/>
                <w:spacing w:val="-2"/>
                <w:sz w:val="24"/>
              </w:rPr>
              <w:t>Timescale</w:t>
            </w:r>
          </w:p>
        </w:tc>
      </w:tr>
      <w:tr w:rsidR="007D3144" w:rsidRPr="007D3144" w14:paraId="682ED64A" w14:textId="77777777">
        <w:trPr>
          <w:trHeight w:val="458"/>
        </w:trPr>
        <w:tc>
          <w:tcPr>
            <w:tcW w:w="2976" w:type="dxa"/>
            <w:vMerge/>
            <w:tcBorders>
              <w:top w:val="nil"/>
            </w:tcBorders>
          </w:tcPr>
          <w:p w14:paraId="7E6EE6EA" w14:textId="77777777" w:rsidR="004C7180" w:rsidRPr="007D3144" w:rsidRDefault="004C7180">
            <w:pPr>
              <w:rPr>
                <w:sz w:val="2"/>
                <w:szCs w:val="2"/>
              </w:rPr>
            </w:pPr>
          </w:p>
        </w:tc>
        <w:tc>
          <w:tcPr>
            <w:tcW w:w="3083" w:type="dxa"/>
          </w:tcPr>
          <w:p w14:paraId="7F9D8ECC" w14:textId="77777777" w:rsidR="004C7180" w:rsidRPr="00150EDC" w:rsidRDefault="00CF0754">
            <w:pPr>
              <w:pStyle w:val="TableParagraph"/>
              <w:spacing w:before="2" w:line="240" w:lineRule="auto"/>
              <w:ind w:left="115"/>
              <w:rPr>
                <w:sz w:val="24"/>
              </w:rPr>
            </w:pPr>
            <w:r w:rsidRPr="00150EDC">
              <w:rPr>
                <w:spacing w:val="-5"/>
                <w:sz w:val="24"/>
              </w:rPr>
              <w:t>1.</w:t>
            </w:r>
          </w:p>
        </w:tc>
        <w:tc>
          <w:tcPr>
            <w:tcW w:w="3042" w:type="dxa"/>
            <w:gridSpan w:val="2"/>
          </w:tcPr>
          <w:p w14:paraId="5A7C289C" w14:textId="77777777" w:rsidR="004C7180" w:rsidRPr="00150EDC" w:rsidRDefault="00CF0754">
            <w:pPr>
              <w:pStyle w:val="TableParagraph"/>
              <w:spacing w:before="2" w:line="240" w:lineRule="auto"/>
              <w:ind w:left="92"/>
              <w:rPr>
                <w:sz w:val="24"/>
              </w:rPr>
            </w:pPr>
            <w:r w:rsidRPr="007D3144">
              <w:rPr>
                <w:spacing w:val="-2"/>
                <w:sz w:val="24"/>
                <w:shd w:val="clear" w:color="auto" w:fill="FFFF00"/>
              </w:rPr>
              <w:t>[date]</w:t>
            </w:r>
          </w:p>
        </w:tc>
      </w:tr>
      <w:tr w:rsidR="007D3144" w:rsidRPr="007D3144" w14:paraId="2E81EA10" w14:textId="77777777">
        <w:trPr>
          <w:trHeight w:val="457"/>
        </w:trPr>
        <w:tc>
          <w:tcPr>
            <w:tcW w:w="2976" w:type="dxa"/>
            <w:vMerge/>
            <w:tcBorders>
              <w:top w:val="nil"/>
            </w:tcBorders>
          </w:tcPr>
          <w:p w14:paraId="67DFCB1E" w14:textId="77777777" w:rsidR="004C7180" w:rsidRPr="007D3144" w:rsidRDefault="004C7180">
            <w:pPr>
              <w:rPr>
                <w:sz w:val="2"/>
                <w:szCs w:val="2"/>
              </w:rPr>
            </w:pPr>
          </w:p>
        </w:tc>
        <w:tc>
          <w:tcPr>
            <w:tcW w:w="3083" w:type="dxa"/>
          </w:tcPr>
          <w:p w14:paraId="0F802FDE" w14:textId="77777777" w:rsidR="004C7180" w:rsidRPr="00150EDC" w:rsidRDefault="00CF0754">
            <w:pPr>
              <w:pStyle w:val="TableParagraph"/>
              <w:spacing w:before="0" w:line="240" w:lineRule="auto"/>
              <w:ind w:left="115"/>
              <w:rPr>
                <w:sz w:val="24"/>
              </w:rPr>
            </w:pPr>
            <w:r w:rsidRPr="00150EDC">
              <w:rPr>
                <w:spacing w:val="-5"/>
                <w:sz w:val="24"/>
              </w:rPr>
              <w:t>2.</w:t>
            </w:r>
          </w:p>
        </w:tc>
        <w:tc>
          <w:tcPr>
            <w:tcW w:w="3042" w:type="dxa"/>
            <w:gridSpan w:val="2"/>
          </w:tcPr>
          <w:p w14:paraId="43B915B0" w14:textId="77777777" w:rsidR="004C7180" w:rsidRPr="00150EDC" w:rsidRDefault="00CF0754">
            <w:pPr>
              <w:pStyle w:val="TableParagraph"/>
              <w:spacing w:before="0" w:line="240" w:lineRule="auto"/>
              <w:ind w:left="92"/>
              <w:rPr>
                <w:sz w:val="24"/>
              </w:rPr>
            </w:pPr>
            <w:r w:rsidRPr="007D3144">
              <w:rPr>
                <w:spacing w:val="-2"/>
                <w:sz w:val="24"/>
                <w:shd w:val="clear" w:color="auto" w:fill="FFFF00"/>
              </w:rPr>
              <w:t>[date]</w:t>
            </w:r>
          </w:p>
        </w:tc>
      </w:tr>
      <w:tr w:rsidR="007D3144" w:rsidRPr="007D3144" w14:paraId="03E99B71" w14:textId="77777777">
        <w:trPr>
          <w:trHeight w:val="458"/>
        </w:trPr>
        <w:tc>
          <w:tcPr>
            <w:tcW w:w="2976" w:type="dxa"/>
            <w:vMerge/>
            <w:tcBorders>
              <w:top w:val="nil"/>
            </w:tcBorders>
          </w:tcPr>
          <w:p w14:paraId="48FD3B95" w14:textId="77777777" w:rsidR="004C7180" w:rsidRPr="007D3144" w:rsidRDefault="004C7180">
            <w:pPr>
              <w:rPr>
                <w:sz w:val="2"/>
                <w:szCs w:val="2"/>
              </w:rPr>
            </w:pPr>
          </w:p>
        </w:tc>
        <w:tc>
          <w:tcPr>
            <w:tcW w:w="3083" w:type="dxa"/>
          </w:tcPr>
          <w:p w14:paraId="35E39FD1" w14:textId="77777777" w:rsidR="004C7180" w:rsidRPr="00150EDC" w:rsidRDefault="00CF0754">
            <w:pPr>
              <w:pStyle w:val="TableParagraph"/>
              <w:spacing w:before="0" w:line="240" w:lineRule="auto"/>
              <w:ind w:left="115"/>
              <w:rPr>
                <w:sz w:val="24"/>
              </w:rPr>
            </w:pPr>
            <w:r w:rsidRPr="00150EDC">
              <w:rPr>
                <w:spacing w:val="-5"/>
                <w:sz w:val="24"/>
              </w:rPr>
              <w:t>3.</w:t>
            </w:r>
          </w:p>
        </w:tc>
        <w:tc>
          <w:tcPr>
            <w:tcW w:w="3042" w:type="dxa"/>
            <w:gridSpan w:val="2"/>
          </w:tcPr>
          <w:p w14:paraId="7876E2D9" w14:textId="77777777" w:rsidR="004C7180" w:rsidRPr="00150EDC" w:rsidRDefault="00CF0754">
            <w:pPr>
              <w:pStyle w:val="TableParagraph"/>
              <w:spacing w:before="0" w:line="240" w:lineRule="auto"/>
              <w:ind w:left="92"/>
              <w:rPr>
                <w:sz w:val="24"/>
              </w:rPr>
            </w:pPr>
            <w:r w:rsidRPr="007D3144">
              <w:rPr>
                <w:spacing w:val="-2"/>
                <w:sz w:val="24"/>
                <w:shd w:val="clear" w:color="auto" w:fill="FFFF00"/>
              </w:rPr>
              <w:t>[date]</w:t>
            </w:r>
          </w:p>
        </w:tc>
      </w:tr>
      <w:tr w:rsidR="007D3144" w:rsidRPr="007D3144" w14:paraId="53CFB289" w14:textId="77777777">
        <w:trPr>
          <w:trHeight w:val="458"/>
        </w:trPr>
        <w:tc>
          <w:tcPr>
            <w:tcW w:w="2976" w:type="dxa"/>
            <w:vMerge/>
            <w:tcBorders>
              <w:top w:val="nil"/>
            </w:tcBorders>
          </w:tcPr>
          <w:p w14:paraId="33FCF43A" w14:textId="77777777" w:rsidR="004C7180" w:rsidRPr="007D3144" w:rsidRDefault="004C7180">
            <w:pPr>
              <w:rPr>
                <w:sz w:val="2"/>
                <w:szCs w:val="2"/>
              </w:rPr>
            </w:pPr>
          </w:p>
        </w:tc>
        <w:tc>
          <w:tcPr>
            <w:tcW w:w="3083" w:type="dxa"/>
          </w:tcPr>
          <w:p w14:paraId="0A321510" w14:textId="77777777" w:rsidR="004C7180" w:rsidRPr="00150EDC" w:rsidRDefault="00CF0754">
            <w:pPr>
              <w:pStyle w:val="TableParagraph"/>
              <w:spacing w:before="0" w:line="240" w:lineRule="auto"/>
              <w:ind w:left="115"/>
              <w:rPr>
                <w:sz w:val="24"/>
              </w:rPr>
            </w:pPr>
            <w:r w:rsidRPr="00150EDC">
              <w:rPr>
                <w:spacing w:val="-5"/>
                <w:sz w:val="24"/>
              </w:rPr>
              <w:t>4.</w:t>
            </w:r>
          </w:p>
        </w:tc>
        <w:tc>
          <w:tcPr>
            <w:tcW w:w="3042" w:type="dxa"/>
            <w:gridSpan w:val="2"/>
          </w:tcPr>
          <w:p w14:paraId="3E5EBEEF" w14:textId="77777777" w:rsidR="004C7180" w:rsidRPr="00150EDC" w:rsidRDefault="00CF0754">
            <w:pPr>
              <w:pStyle w:val="TableParagraph"/>
              <w:spacing w:before="0" w:line="240" w:lineRule="auto"/>
              <w:ind w:left="92"/>
              <w:rPr>
                <w:sz w:val="24"/>
              </w:rPr>
            </w:pPr>
            <w:r w:rsidRPr="007D3144">
              <w:rPr>
                <w:spacing w:val="-2"/>
                <w:sz w:val="24"/>
                <w:shd w:val="clear" w:color="auto" w:fill="FFFF00"/>
              </w:rPr>
              <w:t>[date]</w:t>
            </w:r>
          </w:p>
        </w:tc>
      </w:tr>
      <w:tr w:rsidR="007D3144" w:rsidRPr="007D3144" w14:paraId="1CECF7B7" w14:textId="77777777">
        <w:trPr>
          <w:trHeight w:val="457"/>
        </w:trPr>
        <w:tc>
          <w:tcPr>
            <w:tcW w:w="2976" w:type="dxa"/>
            <w:vMerge/>
            <w:tcBorders>
              <w:top w:val="nil"/>
            </w:tcBorders>
          </w:tcPr>
          <w:p w14:paraId="62011832" w14:textId="77777777" w:rsidR="004C7180" w:rsidRPr="007D3144" w:rsidRDefault="004C7180">
            <w:pPr>
              <w:rPr>
                <w:sz w:val="2"/>
                <w:szCs w:val="2"/>
              </w:rPr>
            </w:pPr>
          </w:p>
        </w:tc>
        <w:tc>
          <w:tcPr>
            <w:tcW w:w="3083" w:type="dxa"/>
          </w:tcPr>
          <w:p w14:paraId="5F0A1B9E" w14:textId="77777777" w:rsidR="004C7180" w:rsidRPr="00150EDC" w:rsidRDefault="00CF0754">
            <w:pPr>
              <w:pStyle w:val="TableParagraph"/>
              <w:spacing w:before="0" w:line="240" w:lineRule="auto"/>
              <w:ind w:left="115"/>
              <w:rPr>
                <w:sz w:val="24"/>
              </w:rPr>
            </w:pPr>
            <w:r w:rsidRPr="007D3144">
              <w:rPr>
                <w:spacing w:val="-5"/>
                <w:sz w:val="24"/>
                <w:shd w:val="clear" w:color="auto" w:fill="FFFF00"/>
              </w:rPr>
              <w:t>[…]</w:t>
            </w:r>
          </w:p>
        </w:tc>
        <w:tc>
          <w:tcPr>
            <w:tcW w:w="3042" w:type="dxa"/>
            <w:gridSpan w:val="2"/>
          </w:tcPr>
          <w:p w14:paraId="21D253FE" w14:textId="77777777" w:rsidR="004C7180" w:rsidRPr="00150EDC" w:rsidRDefault="00CF0754">
            <w:pPr>
              <w:pStyle w:val="TableParagraph"/>
              <w:spacing w:before="0" w:line="240" w:lineRule="auto"/>
              <w:ind w:left="92"/>
              <w:rPr>
                <w:sz w:val="24"/>
              </w:rPr>
            </w:pPr>
            <w:r w:rsidRPr="007D3144">
              <w:rPr>
                <w:spacing w:val="-2"/>
                <w:sz w:val="24"/>
                <w:shd w:val="clear" w:color="auto" w:fill="FFFF00"/>
              </w:rPr>
              <w:t>[date]</w:t>
            </w:r>
          </w:p>
        </w:tc>
      </w:tr>
    </w:tbl>
    <w:p w14:paraId="49E7E30C" w14:textId="77777777" w:rsidR="004C7180" w:rsidRPr="00150EDC" w:rsidRDefault="004C7180">
      <w:pPr>
        <w:rPr>
          <w:sz w:val="24"/>
        </w:rPr>
        <w:sectPr w:rsidR="004C7180" w:rsidRPr="00150EDC">
          <w:headerReference w:type="default" r:id="rId46"/>
          <w:footerReference w:type="default" r:id="rId47"/>
          <w:pgSz w:w="11910" w:h="16840"/>
          <w:pgMar w:top="1160" w:right="0" w:bottom="1680" w:left="40" w:header="715" w:footer="1495" w:gutter="0"/>
          <w:cols w:space="720"/>
        </w:sectPr>
      </w:pPr>
    </w:p>
    <w:p w14:paraId="5FFE2CB5" w14:textId="77777777" w:rsidR="004C7180" w:rsidRPr="00150EDC" w:rsidRDefault="004C7180">
      <w:pPr>
        <w:pStyle w:val="BodyText"/>
        <w:rPr>
          <w:b/>
          <w:sz w:val="20"/>
        </w:rPr>
      </w:pPr>
    </w:p>
    <w:p w14:paraId="3506046E" w14:textId="77777777" w:rsidR="004C7180" w:rsidRPr="00150EDC" w:rsidRDefault="004C7180">
      <w:pPr>
        <w:pStyle w:val="BodyText"/>
        <w:spacing w:before="6"/>
        <w:rPr>
          <w:b/>
          <w:sz w:val="15"/>
        </w:rPr>
      </w:pPr>
    </w:p>
    <w:tbl>
      <w:tblPr>
        <w:tblW w:w="0" w:type="auto"/>
        <w:tblInd w:w="132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2976"/>
        <w:gridCol w:w="3060"/>
        <w:gridCol w:w="984"/>
        <w:gridCol w:w="2081"/>
      </w:tblGrid>
      <w:tr w:rsidR="007D3144" w:rsidRPr="007D3144" w14:paraId="3C56F9A6" w14:textId="77777777">
        <w:trPr>
          <w:trHeight w:val="993"/>
        </w:trPr>
        <w:tc>
          <w:tcPr>
            <w:tcW w:w="2976" w:type="dxa"/>
          </w:tcPr>
          <w:p w14:paraId="42E4C049" w14:textId="77777777" w:rsidR="004C7180" w:rsidRPr="00150EDC" w:rsidRDefault="004C7180">
            <w:pPr>
              <w:pStyle w:val="TableParagraph"/>
              <w:spacing w:before="0" w:line="240" w:lineRule="auto"/>
              <w:ind w:left="0"/>
              <w:rPr>
                <w:b/>
                <w:sz w:val="26"/>
              </w:rPr>
            </w:pPr>
          </w:p>
          <w:p w14:paraId="5CB17F91" w14:textId="77777777" w:rsidR="004C7180" w:rsidRPr="00150EDC" w:rsidRDefault="00CF0754">
            <w:pPr>
              <w:pStyle w:val="TableParagraph"/>
              <w:spacing w:before="159" w:line="240" w:lineRule="auto"/>
              <w:ind w:left="115"/>
              <w:rPr>
                <w:sz w:val="24"/>
              </w:rPr>
            </w:pPr>
            <w:r w:rsidRPr="00150EDC">
              <w:rPr>
                <w:sz w:val="24"/>
              </w:rPr>
              <w:t>Signed</w:t>
            </w:r>
            <w:r w:rsidRPr="00150EDC">
              <w:rPr>
                <w:spacing w:val="-1"/>
                <w:sz w:val="24"/>
              </w:rPr>
              <w:t xml:space="preserve"> </w:t>
            </w:r>
            <w:r w:rsidRPr="00150EDC">
              <w:rPr>
                <w:sz w:val="24"/>
              </w:rPr>
              <w:t>by</w:t>
            </w:r>
            <w:r w:rsidRPr="00150EDC">
              <w:rPr>
                <w:spacing w:val="-2"/>
                <w:sz w:val="24"/>
              </w:rPr>
              <w:t xml:space="preserve"> </w:t>
            </w:r>
            <w:r w:rsidRPr="00150EDC">
              <w:rPr>
                <w:sz w:val="24"/>
              </w:rPr>
              <w:t>the</w:t>
            </w:r>
            <w:r w:rsidRPr="00150EDC">
              <w:rPr>
                <w:spacing w:val="-2"/>
                <w:sz w:val="24"/>
              </w:rPr>
              <w:t xml:space="preserve"> Supplier:</w:t>
            </w:r>
          </w:p>
        </w:tc>
        <w:tc>
          <w:tcPr>
            <w:tcW w:w="3060" w:type="dxa"/>
          </w:tcPr>
          <w:p w14:paraId="2077CFB8" w14:textId="77777777" w:rsidR="004C7180" w:rsidRPr="00150EDC" w:rsidRDefault="004C7180">
            <w:pPr>
              <w:pStyle w:val="TableParagraph"/>
              <w:spacing w:before="0" w:line="240" w:lineRule="auto"/>
              <w:ind w:left="0"/>
              <w:rPr>
                <w:rFonts w:ascii="Times New Roman"/>
              </w:rPr>
            </w:pPr>
          </w:p>
        </w:tc>
        <w:tc>
          <w:tcPr>
            <w:tcW w:w="984" w:type="dxa"/>
          </w:tcPr>
          <w:p w14:paraId="2F688ADB" w14:textId="77777777" w:rsidR="004C7180" w:rsidRPr="00150EDC" w:rsidRDefault="004C7180">
            <w:pPr>
              <w:pStyle w:val="TableParagraph"/>
              <w:spacing w:before="0" w:line="240" w:lineRule="auto"/>
              <w:ind w:left="0"/>
              <w:rPr>
                <w:b/>
                <w:sz w:val="26"/>
              </w:rPr>
            </w:pPr>
          </w:p>
          <w:p w14:paraId="58A3B233" w14:textId="77777777" w:rsidR="004C7180" w:rsidRPr="00150EDC" w:rsidRDefault="00CF0754">
            <w:pPr>
              <w:pStyle w:val="TableParagraph"/>
              <w:spacing w:before="159" w:line="240" w:lineRule="auto"/>
              <w:ind w:left="115"/>
              <w:rPr>
                <w:sz w:val="24"/>
              </w:rPr>
            </w:pPr>
            <w:r w:rsidRPr="00150EDC">
              <w:rPr>
                <w:spacing w:val="-2"/>
                <w:sz w:val="24"/>
              </w:rPr>
              <w:t>Date:</w:t>
            </w:r>
          </w:p>
        </w:tc>
        <w:tc>
          <w:tcPr>
            <w:tcW w:w="2081" w:type="dxa"/>
          </w:tcPr>
          <w:p w14:paraId="1AF822AD" w14:textId="77777777" w:rsidR="004C7180" w:rsidRPr="00150EDC" w:rsidRDefault="004C7180">
            <w:pPr>
              <w:pStyle w:val="TableParagraph"/>
              <w:spacing w:before="0" w:line="240" w:lineRule="auto"/>
              <w:ind w:left="0"/>
              <w:rPr>
                <w:rFonts w:ascii="Times New Roman"/>
              </w:rPr>
            </w:pPr>
          </w:p>
        </w:tc>
      </w:tr>
      <w:tr w:rsidR="007D3144" w:rsidRPr="007D3144" w14:paraId="6F61A606" w14:textId="77777777">
        <w:trPr>
          <w:trHeight w:val="491"/>
        </w:trPr>
        <w:tc>
          <w:tcPr>
            <w:tcW w:w="9101" w:type="dxa"/>
            <w:gridSpan w:val="4"/>
            <w:shd w:val="clear" w:color="auto" w:fill="D9D9D9"/>
          </w:tcPr>
          <w:p w14:paraId="6FB434FC" w14:textId="77777777" w:rsidR="004C7180" w:rsidRPr="00150EDC" w:rsidRDefault="00CF0754">
            <w:pPr>
              <w:pStyle w:val="TableParagraph"/>
              <w:spacing w:before="0" w:line="240" w:lineRule="auto"/>
              <w:ind w:left="2263" w:right="2255"/>
              <w:jc w:val="center"/>
              <w:rPr>
                <w:sz w:val="24"/>
              </w:rPr>
            </w:pPr>
            <w:r w:rsidRPr="00150EDC">
              <w:rPr>
                <w:b/>
                <w:sz w:val="24"/>
              </w:rPr>
              <w:t>Review</w:t>
            </w:r>
            <w:r w:rsidRPr="00150EDC">
              <w:rPr>
                <w:b/>
                <w:spacing w:val="-4"/>
                <w:sz w:val="24"/>
              </w:rPr>
              <w:t xml:space="preserve"> </w:t>
            </w:r>
            <w:r w:rsidRPr="00150EDC">
              <w:rPr>
                <w:b/>
                <w:sz w:val="24"/>
              </w:rPr>
              <w:t>of</w:t>
            </w:r>
            <w:r w:rsidRPr="00150EDC">
              <w:rPr>
                <w:b/>
                <w:spacing w:val="-2"/>
                <w:sz w:val="24"/>
              </w:rPr>
              <w:t xml:space="preserve"> </w:t>
            </w:r>
            <w:r w:rsidRPr="00150EDC">
              <w:rPr>
                <w:b/>
                <w:sz w:val="24"/>
              </w:rPr>
              <w:t>Rectification</w:t>
            </w:r>
            <w:r w:rsidRPr="00150EDC">
              <w:rPr>
                <w:b/>
                <w:spacing w:val="-1"/>
                <w:sz w:val="24"/>
              </w:rPr>
              <w:t xml:space="preserve"> </w:t>
            </w:r>
            <w:r w:rsidRPr="00150EDC">
              <w:rPr>
                <w:b/>
                <w:sz w:val="24"/>
              </w:rPr>
              <w:t>Plan</w:t>
            </w:r>
            <w:r w:rsidRPr="00150EDC">
              <w:rPr>
                <w:b/>
                <w:spacing w:val="-2"/>
                <w:sz w:val="24"/>
              </w:rPr>
              <w:t xml:space="preserve"> </w:t>
            </w:r>
            <w:r w:rsidRPr="007D3144">
              <w:rPr>
                <w:spacing w:val="-2"/>
                <w:sz w:val="24"/>
                <w:shd w:val="clear" w:color="auto" w:fill="FFFF00"/>
              </w:rPr>
              <w:t>[Buyer]</w:t>
            </w:r>
          </w:p>
        </w:tc>
      </w:tr>
      <w:tr w:rsidR="007D3144" w:rsidRPr="007D3144" w14:paraId="458B2D8F" w14:textId="77777777">
        <w:trPr>
          <w:trHeight w:val="770"/>
        </w:trPr>
        <w:tc>
          <w:tcPr>
            <w:tcW w:w="2976" w:type="dxa"/>
          </w:tcPr>
          <w:p w14:paraId="102B2566" w14:textId="77777777" w:rsidR="004C7180" w:rsidRPr="00150EDC" w:rsidRDefault="00CF0754">
            <w:pPr>
              <w:pStyle w:val="TableParagraph"/>
              <w:spacing w:before="0" w:line="240" w:lineRule="auto"/>
              <w:ind w:left="115"/>
              <w:rPr>
                <w:sz w:val="24"/>
              </w:rPr>
            </w:pPr>
            <w:r w:rsidRPr="00150EDC">
              <w:rPr>
                <w:sz w:val="24"/>
              </w:rPr>
              <w:t>Outcome</w:t>
            </w:r>
            <w:r w:rsidRPr="00150EDC">
              <w:rPr>
                <w:spacing w:val="-1"/>
                <w:sz w:val="24"/>
              </w:rPr>
              <w:t xml:space="preserve"> </w:t>
            </w:r>
            <w:r w:rsidRPr="00150EDC">
              <w:rPr>
                <w:sz w:val="24"/>
              </w:rPr>
              <w:t>of</w:t>
            </w:r>
            <w:r w:rsidRPr="00150EDC">
              <w:rPr>
                <w:spacing w:val="2"/>
                <w:sz w:val="24"/>
              </w:rPr>
              <w:t xml:space="preserve"> </w:t>
            </w:r>
            <w:r w:rsidRPr="00150EDC">
              <w:rPr>
                <w:spacing w:val="-2"/>
                <w:sz w:val="24"/>
              </w:rPr>
              <w:t>review</w:t>
            </w:r>
          </w:p>
        </w:tc>
        <w:tc>
          <w:tcPr>
            <w:tcW w:w="6125" w:type="dxa"/>
            <w:gridSpan w:val="3"/>
          </w:tcPr>
          <w:p w14:paraId="62467F36" w14:textId="77777777" w:rsidR="004C7180" w:rsidRPr="00150EDC" w:rsidRDefault="00CF0754">
            <w:pPr>
              <w:pStyle w:val="TableParagraph"/>
              <w:spacing w:before="0" w:line="259" w:lineRule="auto"/>
              <w:ind w:left="115" w:right="161"/>
              <w:rPr>
                <w:sz w:val="24"/>
              </w:rPr>
            </w:pPr>
            <w:r w:rsidRPr="007D3144">
              <w:rPr>
                <w:sz w:val="24"/>
                <w:shd w:val="clear" w:color="auto" w:fill="FFFF00"/>
              </w:rPr>
              <w:t>[Plan</w:t>
            </w:r>
            <w:r w:rsidRPr="007D3144">
              <w:rPr>
                <w:spacing w:val="-9"/>
                <w:sz w:val="24"/>
                <w:shd w:val="clear" w:color="auto" w:fill="FFFF00"/>
              </w:rPr>
              <w:t xml:space="preserve"> </w:t>
            </w:r>
            <w:r w:rsidRPr="007D3144">
              <w:rPr>
                <w:sz w:val="24"/>
                <w:shd w:val="clear" w:color="auto" w:fill="FFFF00"/>
              </w:rPr>
              <w:t>Accepted]</w:t>
            </w:r>
            <w:r w:rsidRPr="007D3144">
              <w:rPr>
                <w:spacing w:val="-7"/>
                <w:sz w:val="24"/>
                <w:shd w:val="clear" w:color="auto" w:fill="FFFF00"/>
              </w:rPr>
              <w:t xml:space="preserve"> </w:t>
            </w:r>
            <w:r w:rsidRPr="007D3144">
              <w:rPr>
                <w:sz w:val="24"/>
                <w:shd w:val="clear" w:color="auto" w:fill="FFFF00"/>
              </w:rPr>
              <w:t>[Plan</w:t>
            </w:r>
            <w:r w:rsidRPr="007D3144">
              <w:rPr>
                <w:spacing w:val="-9"/>
                <w:sz w:val="24"/>
                <w:shd w:val="clear" w:color="auto" w:fill="FFFF00"/>
              </w:rPr>
              <w:t xml:space="preserve"> </w:t>
            </w:r>
            <w:r w:rsidRPr="007D3144">
              <w:rPr>
                <w:sz w:val="24"/>
                <w:shd w:val="clear" w:color="auto" w:fill="FFFF00"/>
              </w:rPr>
              <w:t>Rejected]</w:t>
            </w:r>
            <w:r w:rsidRPr="007D3144">
              <w:rPr>
                <w:spacing w:val="-7"/>
                <w:sz w:val="24"/>
                <w:shd w:val="clear" w:color="auto" w:fill="FFFF00"/>
              </w:rPr>
              <w:t xml:space="preserve"> </w:t>
            </w:r>
            <w:r w:rsidRPr="007D3144">
              <w:rPr>
                <w:sz w:val="24"/>
                <w:shd w:val="clear" w:color="auto" w:fill="FFFF00"/>
              </w:rPr>
              <w:t>[Revised</w:t>
            </w:r>
            <w:r w:rsidRPr="007D3144">
              <w:rPr>
                <w:spacing w:val="-7"/>
                <w:sz w:val="24"/>
                <w:shd w:val="clear" w:color="auto" w:fill="FFFF00"/>
              </w:rPr>
              <w:t xml:space="preserve"> </w:t>
            </w:r>
            <w:r w:rsidRPr="007D3144">
              <w:rPr>
                <w:sz w:val="24"/>
                <w:shd w:val="clear" w:color="auto" w:fill="FFFF00"/>
              </w:rPr>
              <w:t>Plan</w:t>
            </w:r>
            <w:r w:rsidRPr="007D3144">
              <w:rPr>
                <w:sz w:val="24"/>
              </w:rPr>
              <w:t xml:space="preserve"> </w:t>
            </w:r>
            <w:r w:rsidRPr="007D3144">
              <w:rPr>
                <w:spacing w:val="-2"/>
                <w:sz w:val="24"/>
                <w:shd w:val="clear" w:color="auto" w:fill="FFFF00"/>
              </w:rPr>
              <w:t>Requested]</w:t>
            </w:r>
          </w:p>
        </w:tc>
      </w:tr>
      <w:tr w:rsidR="007D3144" w:rsidRPr="007D3144" w14:paraId="032BFDD1" w14:textId="77777777">
        <w:trPr>
          <w:trHeight w:val="767"/>
        </w:trPr>
        <w:tc>
          <w:tcPr>
            <w:tcW w:w="2976" w:type="dxa"/>
          </w:tcPr>
          <w:p w14:paraId="075F92DB" w14:textId="77777777" w:rsidR="004C7180" w:rsidRPr="00150EDC" w:rsidRDefault="00CF0754">
            <w:pPr>
              <w:pStyle w:val="TableParagraph"/>
              <w:spacing w:before="0" w:line="259" w:lineRule="auto"/>
              <w:ind w:left="115"/>
              <w:rPr>
                <w:sz w:val="24"/>
              </w:rPr>
            </w:pPr>
            <w:r w:rsidRPr="00150EDC">
              <w:rPr>
                <w:sz w:val="24"/>
              </w:rPr>
              <w:t>Reasons</w:t>
            </w:r>
            <w:r w:rsidRPr="00150EDC">
              <w:rPr>
                <w:spacing w:val="-14"/>
                <w:sz w:val="24"/>
              </w:rPr>
              <w:t xml:space="preserve"> </w:t>
            </w:r>
            <w:r w:rsidRPr="00150EDC">
              <w:rPr>
                <w:sz w:val="24"/>
              </w:rPr>
              <w:t>for</w:t>
            </w:r>
            <w:r w:rsidRPr="00150EDC">
              <w:rPr>
                <w:spacing w:val="-13"/>
                <w:sz w:val="24"/>
              </w:rPr>
              <w:t xml:space="preserve"> </w:t>
            </w:r>
            <w:r w:rsidRPr="00150EDC">
              <w:rPr>
                <w:sz w:val="24"/>
              </w:rPr>
              <w:t>Rejection</w:t>
            </w:r>
            <w:r w:rsidRPr="00150EDC">
              <w:rPr>
                <w:spacing w:val="-13"/>
                <w:sz w:val="24"/>
              </w:rPr>
              <w:t xml:space="preserve"> </w:t>
            </w:r>
            <w:r w:rsidRPr="00150EDC">
              <w:rPr>
                <w:sz w:val="24"/>
              </w:rPr>
              <w:t xml:space="preserve">(if </w:t>
            </w:r>
            <w:r w:rsidRPr="00150EDC">
              <w:rPr>
                <w:spacing w:val="-2"/>
                <w:sz w:val="24"/>
              </w:rPr>
              <w:t>applicable)</w:t>
            </w:r>
          </w:p>
        </w:tc>
        <w:tc>
          <w:tcPr>
            <w:tcW w:w="6125" w:type="dxa"/>
            <w:gridSpan w:val="3"/>
          </w:tcPr>
          <w:p w14:paraId="78918F1B" w14:textId="77777777" w:rsidR="004C7180" w:rsidRPr="00150EDC" w:rsidRDefault="00CF0754">
            <w:pPr>
              <w:pStyle w:val="TableParagraph"/>
              <w:spacing w:before="0" w:line="240" w:lineRule="auto"/>
              <w:ind w:left="115"/>
              <w:rPr>
                <w:sz w:val="24"/>
              </w:rPr>
            </w:pPr>
            <w:r w:rsidRPr="007D3144">
              <w:rPr>
                <w:sz w:val="24"/>
                <w:shd w:val="clear" w:color="auto" w:fill="FFFF00"/>
              </w:rPr>
              <w:t>[</w:t>
            </w:r>
            <w:r w:rsidRPr="007D3144">
              <w:rPr>
                <w:b/>
                <w:sz w:val="24"/>
                <w:shd w:val="clear" w:color="auto" w:fill="FFFF00"/>
              </w:rPr>
              <w:t>add</w:t>
            </w:r>
            <w:r w:rsidRPr="007D3144">
              <w:rPr>
                <w:b/>
                <w:spacing w:val="-1"/>
                <w:sz w:val="24"/>
                <w:shd w:val="clear" w:color="auto" w:fill="FFFF00"/>
              </w:rPr>
              <w:t xml:space="preserve"> </w:t>
            </w:r>
            <w:r w:rsidRPr="007D3144">
              <w:rPr>
                <w:spacing w:val="-2"/>
                <w:sz w:val="24"/>
              </w:rPr>
              <w:t>reasons]</w:t>
            </w:r>
          </w:p>
        </w:tc>
      </w:tr>
      <w:tr w:rsidR="007D3144" w:rsidRPr="007D3144" w14:paraId="7214E414" w14:textId="77777777">
        <w:trPr>
          <w:trHeight w:val="288"/>
        </w:trPr>
        <w:tc>
          <w:tcPr>
            <w:tcW w:w="2976" w:type="dxa"/>
            <w:tcBorders>
              <w:bottom w:val="nil"/>
            </w:tcBorders>
          </w:tcPr>
          <w:p w14:paraId="49B4E9E8" w14:textId="77777777" w:rsidR="004C7180" w:rsidRPr="00150EDC" w:rsidRDefault="00CF0754">
            <w:pPr>
              <w:pStyle w:val="TableParagraph"/>
              <w:spacing w:before="2" w:line="266" w:lineRule="exact"/>
              <w:ind w:left="115"/>
              <w:rPr>
                <w:sz w:val="24"/>
              </w:rPr>
            </w:pPr>
            <w:r w:rsidRPr="00150EDC">
              <w:rPr>
                <w:sz w:val="24"/>
              </w:rPr>
              <w:t>Signed</w:t>
            </w:r>
            <w:r w:rsidRPr="00150EDC">
              <w:rPr>
                <w:spacing w:val="-1"/>
                <w:sz w:val="24"/>
              </w:rPr>
              <w:t xml:space="preserve"> </w:t>
            </w:r>
            <w:r w:rsidRPr="00150EDC">
              <w:rPr>
                <w:sz w:val="24"/>
              </w:rPr>
              <w:t>by</w:t>
            </w:r>
            <w:r w:rsidRPr="00150EDC">
              <w:rPr>
                <w:spacing w:val="-2"/>
                <w:sz w:val="24"/>
              </w:rPr>
              <w:t xml:space="preserve"> </w:t>
            </w:r>
            <w:r w:rsidRPr="00150EDC">
              <w:rPr>
                <w:sz w:val="24"/>
              </w:rPr>
              <w:t>an</w:t>
            </w:r>
            <w:r w:rsidRPr="00150EDC">
              <w:rPr>
                <w:spacing w:val="-2"/>
                <w:sz w:val="24"/>
              </w:rPr>
              <w:t xml:space="preserve"> authorised</w:t>
            </w:r>
          </w:p>
        </w:tc>
        <w:tc>
          <w:tcPr>
            <w:tcW w:w="3060" w:type="dxa"/>
            <w:tcBorders>
              <w:bottom w:val="nil"/>
            </w:tcBorders>
          </w:tcPr>
          <w:p w14:paraId="3C7E3EDA" w14:textId="77777777" w:rsidR="004C7180" w:rsidRPr="00150EDC" w:rsidRDefault="00CF0754">
            <w:pPr>
              <w:pStyle w:val="TableParagraph"/>
              <w:spacing w:before="2" w:line="266" w:lineRule="exact"/>
              <w:ind w:left="115"/>
              <w:rPr>
                <w:sz w:val="24"/>
              </w:rPr>
            </w:pPr>
            <w:r w:rsidRPr="007D3144">
              <w:rPr>
                <w:spacing w:val="-2"/>
                <w:sz w:val="24"/>
                <w:shd w:val="clear" w:color="auto" w:fill="FFFF00"/>
              </w:rPr>
              <w:t>Signature:</w:t>
            </w:r>
          </w:p>
        </w:tc>
        <w:tc>
          <w:tcPr>
            <w:tcW w:w="984" w:type="dxa"/>
            <w:tcBorders>
              <w:bottom w:val="nil"/>
            </w:tcBorders>
          </w:tcPr>
          <w:p w14:paraId="523E0C4F" w14:textId="77777777" w:rsidR="004C7180" w:rsidRPr="00150EDC" w:rsidRDefault="00CF0754">
            <w:pPr>
              <w:pStyle w:val="TableParagraph"/>
              <w:spacing w:before="2" w:line="266" w:lineRule="exact"/>
              <w:ind w:left="115"/>
              <w:rPr>
                <w:sz w:val="24"/>
              </w:rPr>
            </w:pPr>
            <w:r w:rsidRPr="00150EDC">
              <w:rPr>
                <w:spacing w:val="-2"/>
                <w:sz w:val="24"/>
              </w:rPr>
              <w:t>Date:</w:t>
            </w:r>
          </w:p>
        </w:tc>
        <w:tc>
          <w:tcPr>
            <w:tcW w:w="2081" w:type="dxa"/>
            <w:vMerge w:val="restart"/>
          </w:tcPr>
          <w:p w14:paraId="316B07BE" w14:textId="77777777" w:rsidR="004C7180" w:rsidRPr="00150EDC" w:rsidRDefault="004C7180">
            <w:pPr>
              <w:pStyle w:val="TableParagraph"/>
              <w:spacing w:before="0" w:line="240" w:lineRule="auto"/>
              <w:ind w:left="0"/>
              <w:rPr>
                <w:rFonts w:ascii="Times New Roman"/>
              </w:rPr>
            </w:pPr>
          </w:p>
        </w:tc>
      </w:tr>
      <w:tr w:rsidR="007D3144" w:rsidRPr="007D3144" w14:paraId="3345A80A" w14:textId="77777777">
        <w:trPr>
          <w:trHeight w:val="287"/>
        </w:trPr>
        <w:tc>
          <w:tcPr>
            <w:tcW w:w="2976" w:type="dxa"/>
            <w:tcBorders>
              <w:top w:val="nil"/>
              <w:bottom w:val="nil"/>
            </w:tcBorders>
          </w:tcPr>
          <w:p w14:paraId="267ECE3A" w14:textId="77777777" w:rsidR="004C7180" w:rsidRPr="00150EDC" w:rsidRDefault="00CF0754">
            <w:pPr>
              <w:pStyle w:val="TableParagraph"/>
              <w:spacing w:before="2" w:line="266" w:lineRule="exact"/>
              <w:ind w:left="115"/>
              <w:rPr>
                <w:sz w:val="24"/>
              </w:rPr>
            </w:pPr>
            <w:r w:rsidRPr="00150EDC">
              <w:rPr>
                <w:sz w:val="24"/>
              </w:rPr>
              <w:t>signatory</w:t>
            </w:r>
            <w:r w:rsidRPr="00150EDC">
              <w:rPr>
                <w:spacing w:val="-2"/>
                <w:sz w:val="24"/>
              </w:rPr>
              <w:t xml:space="preserve"> </w:t>
            </w:r>
            <w:r w:rsidRPr="00150EDC">
              <w:rPr>
                <w:sz w:val="24"/>
              </w:rPr>
              <w:t>for</w:t>
            </w:r>
            <w:r w:rsidRPr="00150EDC">
              <w:rPr>
                <w:spacing w:val="-1"/>
                <w:sz w:val="24"/>
              </w:rPr>
              <w:t xml:space="preserve"> </w:t>
            </w:r>
            <w:r w:rsidRPr="00150EDC">
              <w:rPr>
                <w:sz w:val="24"/>
              </w:rPr>
              <w:t>and</w:t>
            </w:r>
            <w:r w:rsidRPr="00150EDC">
              <w:rPr>
                <w:spacing w:val="-2"/>
                <w:sz w:val="24"/>
              </w:rPr>
              <w:t xml:space="preserve"> </w:t>
            </w:r>
            <w:r w:rsidRPr="00150EDC">
              <w:rPr>
                <w:spacing w:val="-5"/>
                <w:sz w:val="24"/>
              </w:rPr>
              <w:t>on</w:t>
            </w:r>
          </w:p>
        </w:tc>
        <w:tc>
          <w:tcPr>
            <w:tcW w:w="3060" w:type="dxa"/>
            <w:tcBorders>
              <w:top w:val="nil"/>
              <w:bottom w:val="nil"/>
            </w:tcBorders>
          </w:tcPr>
          <w:p w14:paraId="69BA3D64" w14:textId="77777777" w:rsidR="004C7180" w:rsidRPr="00150EDC" w:rsidRDefault="004C7180">
            <w:pPr>
              <w:pStyle w:val="TableParagraph"/>
              <w:spacing w:before="0" w:line="240" w:lineRule="auto"/>
              <w:ind w:left="0"/>
              <w:rPr>
                <w:rFonts w:ascii="Times New Roman"/>
                <w:sz w:val="20"/>
              </w:rPr>
            </w:pPr>
          </w:p>
        </w:tc>
        <w:tc>
          <w:tcPr>
            <w:tcW w:w="984" w:type="dxa"/>
            <w:tcBorders>
              <w:top w:val="nil"/>
              <w:bottom w:val="nil"/>
            </w:tcBorders>
          </w:tcPr>
          <w:p w14:paraId="28D2199E" w14:textId="77777777" w:rsidR="004C7180" w:rsidRPr="00150EDC" w:rsidRDefault="004C7180">
            <w:pPr>
              <w:pStyle w:val="TableParagraph"/>
              <w:spacing w:before="0" w:line="240" w:lineRule="auto"/>
              <w:ind w:left="0"/>
              <w:rPr>
                <w:rFonts w:ascii="Times New Roman"/>
                <w:sz w:val="20"/>
              </w:rPr>
            </w:pPr>
          </w:p>
        </w:tc>
        <w:tc>
          <w:tcPr>
            <w:tcW w:w="2081" w:type="dxa"/>
            <w:vMerge/>
            <w:tcBorders>
              <w:top w:val="nil"/>
            </w:tcBorders>
          </w:tcPr>
          <w:p w14:paraId="1F2D98A5" w14:textId="77777777" w:rsidR="004C7180" w:rsidRPr="007D3144" w:rsidRDefault="004C7180">
            <w:pPr>
              <w:rPr>
                <w:sz w:val="2"/>
                <w:szCs w:val="2"/>
              </w:rPr>
            </w:pPr>
          </w:p>
        </w:tc>
      </w:tr>
      <w:tr w:rsidR="007D3144" w:rsidRPr="007D3144" w14:paraId="7A05D2C9" w14:textId="77777777">
        <w:trPr>
          <w:trHeight w:val="287"/>
        </w:trPr>
        <w:tc>
          <w:tcPr>
            <w:tcW w:w="2976" w:type="dxa"/>
            <w:tcBorders>
              <w:top w:val="nil"/>
              <w:bottom w:val="nil"/>
            </w:tcBorders>
          </w:tcPr>
          <w:p w14:paraId="124C6705" w14:textId="77777777" w:rsidR="004C7180" w:rsidRPr="00150EDC" w:rsidRDefault="00CF0754">
            <w:pPr>
              <w:pStyle w:val="TableParagraph"/>
              <w:spacing w:before="2" w:line="266" w:lineRule="exact"/>
              <w:ind w:left="115"/>
              <w:rPr>
                <w:sz w:val="24"/>
              </w:rPr>
            </w:pPr>
            <w:r w:rsidRPr="00150EDC">
              <w:rPr>
                <w:sz w:val="24"/>
              </w:rPr>
              <w:t>behalf</w:t>
            </w:r>
            <w:r w:rsidRPr="00150EDC">
              <w:rPr>
                <w:spacing w:val="-1"/>
                <w:sz w:val="24"/>
              </w:rPr>
              <w:t xml:space="preserve"> </w:t>
            </w:r>
            <w:r w:rsidRPr="00150EDC">
              <w:rPr>
                <w:sz w:val="24"/>
              </w:rPr>
              <w:t>of</w:t>
            </w:r>
            <w:r w:rsidRPr="00150EDC">
              <w:rPr>
                <w:spacing w:val="-2"/>
                <w:sz w:val="24"/>
              </w:rPr>
              <w:t xml:space="preserve"> </w:t>
            </w:r>
            <w:r w:rsidRPr="00150EDC">
              <w:rPr>
                <w:sz w:val="24"/>
              </w:rPr>
              <w:t>The</w:t>
            </w:r>
            <w:r w:rsidRPr="00150EDC">
              <w:rPr>
                <w:spacing w:val="-2"/>
                <w:sz w:val="24"/>
              </w:rPr>
              <w:t xml:space="preserve"> Secretary</w:t>
            </w:r>
          </w:p>
        </w:tc>
        <w:tc>
          <w:tcPr>
            <w:tcW w:w="3060" w:type="dxa"/>
            <w:tcBorders>
              <w:top w:val="nil"/>
              <w:bottom w:val="nil"/>
            </w:tcBorders>
          </w:tcPr>
          <w:p w14:paraId="1818E710" w14:textId="77777777" w:rsidR="004C7180" w:rsidRPr="00150EDC" w:rsidRDefault="004C7180">
            <w:pPr>
              <w:pStyle w:val="TableParagraph"/>
              <w:spacing w:before="0" w:line="240" w:lineRule="auto"/>
              <w:ind w:left="0"/>
              <w:rPr>
                <w:rFonts w:ascii="Times New Roman"/>
                <w:sz w:val="20"/>
              </w:rPr>
            </w:pPr>
          </w:p>
        </w:tc>
        <w:tc>
          <w:tcPr>
            <w:tcW w:w="984" w:type="dxa"/>
            <w:tcBorders>
              <w:top w:val="nil"/>
              <w:bottom w:val="nil"/>
            </w:tcBorders>
          </w:tcPr>
          <w:p w14:paraId="0E6505CA" w14:textId="77777777" w:rsidR="004C7180" w:rsidRPr="00150EDC" w:rsidRDefault="004C7180">
            <w:pPr>
              <w:pStyle w:val="TableParagraph"/>
              <w:spacing w:before="0" w:line="240" w:lineRule="auto"/>
              <w:ind w:left="0"/>
              <w:rPr>
                <w:rFonts w:ascii="Times New Roman"/>
                <w:sz w:val="20"/>
              </w:rPr>
            </w:pPr>
          </w:p>
        </w:tc>
        <w:tc>
          <w:tcPr>
            <w:tcW w:w="2081" w:type="dxa"/>
            <w:vMerge/>
            <w:tcBorders>
              <w:top w:val="nil"/>
            </w:tcBorders>
          </w:tcPr>
          <w:p w14:paraId="549BD9F8" w14:textId="77777777" w:rsidR="004C7180" w:rsidRPr="007D3144" w:rsidRDefault="004C7180">
            <w:pPr>
              <w:rPr>
                <w:sz w:val="2"/>
                <w:szCs w:val="2"/>
              </w:rPr>
            </w:pPr>
          </w:p>
        </w:tc>
      </w:tr>
      <w:tr w:rsidR="007D3144" w:rsidRPr="007D3144" w14:paraId="10C5DFF1" w14:textId="77777777">
        <w:trPr>
          <w:trHeight w:val="378"/>
        </w:trPr>
        <w:tc>
          <w:tcPr>
            <w:tcW w:w="2976" w:type="dxa"/>
            <w:tcBorders>
              <w:top w:val="nil"/>
              <w:bottom w:val="nil"/>
            </w:tcBorders>
          </w:tcPr>
          <w:p w14:paraId="4C74651A" w14:textId="77777777" w:rsidR="004C7180" w:rsidRPr="00150EDC" w:rsidRDefault="00CF0754">
            <w:pPr>
              <w:pStyle w:val="TableParagraph"/>
              <w:spacing w:before="2" w:line="240" w:lineRule="auto"/>
              <w:ind w:left="115"/>
              <w:rPr>
                <w:sz w:val="24"/>
              </w:rPr>
            </w:pPr>
            <w:r w:rsidRPr="00150EDC">
              <w:rPr>
                <w:sz w:val="24"/>
              </w:rPr>
              <w:t>of State</w:t>
            </w:r>
            <w:r w:rsidRPr="00150EDC">
              <w:rPr>
                <w:spacing w:val="-2"/>
                <w:sz w:val="24"/>
              </w:rPr>
              <w:t xml:space="preserve"> </w:t>
            </w:r>
            <w:r w:rsidRPr="00150EDC">
              <w:rPr>
                <w:sz w:val="24"/>
              </w:rPr>
              <w:t>for</w:t>
            </w:r>
            <w:r w:rsidRPr="00150EDC">
              <w:rPr>
                <w:spacing w:val="-1"/>
                <w:sz w:val="24"/>
              </w:rPr>
              <w:t xml:space="preserve"> </w:t>
            </w:r>
            <w:r w:rsidRPr="00150EDC">
              <w:rPr>
                <w:spacing w:val="-2"/>
                <w:sz w:val="24"/>
              </w:rPr>
              <w:t>Education:</w:t>
            </w:r>
          </w:p>
        </w:tc>
        <w:tc>
          <w:tcPr>
            <w:tcW w:w="3060" w:type="dxa"/>
            <w:tcBorders>
              <w:top w:val="nil"/>
              <w:bottom w:val="nil"/>
            </w:tcBorders>
          </w:tcPr>
          <w:p w14:paraId="2857687E" w14:textId="77777777" w:rsidR="004C7180" w:rsidRPr="00150EDC" w:rsidRDefault="004C7180">
            <w:pPr>
              <w:pStyle w:val="TableParagraph"/>
              <w:spacing w:before="0" w:line="240" w:lineRule="auto"/>
              <w:ind w:left="0"/>
              <w:rPr>
                <w:rFonts w:ascii="Times New Roman"/>
              </w:rPr>
            </w:pPr>
          </w:p>
        </w:tc>
        <w:tc>
          <w:tcPr>
            <w:tcW w:w="984" w:type="dxa"/>
            <w:tcBorders>
              <w:top w:val="nil"/>
              <w:bottom w:val="nil"/>
            </w:tcBorders>
          </w:tcPr>
          <w:p w14:paraId="3C507FA4" w14:textId="77777777" w:rsidR="004C7180" w:rsidRPr="00150EDC" w:rsidRDefault="004C7180">
            <w:pPr>
              <w:pStyle w:val="TableParagraph"/>
              <w:spacing w:before="0" w:line="240" w:lineRule="auto"/>
              <w:ind w:left="0"/>
              <w:rPr>
                <w:rFonts w:ascii="Times New Roman"/>
              </w:rPr>
            </w:pPr>
          </w:p>
        </w:tc>
        <w:tc>
          <w:tcPr>
            <w:tcW w:w="2081" w:type="dxa"/>
            <w:vMerge/>
            <w:tcBorders>
              <w:top w:val="nil"/>
            </w:tcBorders>
          </w:tcPr>
          <w:p w14:paraId="773D968F" w14:textId="77777777" w:rsidR="004C7180" w:rsidRPr="007D3144" w:rsidRDefault="004C7180">
            <w:pPr>
              <w:rPr>
                <w:sz w:val="2"/>
                <w:szCs w:val="2"/>
              </w:rPr>
            </w:pPr>
          </w:p>
        </w:tc>
      </w:tr>
      <w:tr w:rsidR="007D3144" w:rsidRPr="007D3144" w14:paraId="0E699F5D" w14:textId="77777777">
        <w:trPr>
          <w:trHeight w:val="1009"/>
        </w:trPr>
        <w:tc>
          <w:tcPr>
            <w:tcW w:w="2976" w:type="dxa"/>
            <w:tcBorders>
              <w:top w:val="nil"/>
            </w:tcBorders>
          </w:tcPr>
          <w:p w14:paraId="122CDAEC" w14:textId="77777777" w:rsidR="004C7180" w:rsidRPr="00150EDC" w:rsidRDefault="004C7180">
            <w:pPr>
              <w:pStyle w:val="TableParagraph"/>
              <w:spacing w:before="0" w:line="240" w:lineRule="auto"/>
              <w:ind w:left="0"/>
              <w:rPr>
                <w:rFonts w:ascii="Times New Roman"/>
              </w:rPr>
            </w:pPr>
          </w:p>
        </w:tc>
        <w:tc>
          <w:tcPr>
            <w:tcW w:w="3060" w:type="dxa"/>
            <w:tcBorders>
              <w:top w:val="nil"/>
            </w:tcBorders>
          </w:tcPr>
          <w:p w14:paraId="5DD75651" w14:textId="77777777" w:rsidR="004C7180" w:rsidRPr="00150EDC" w:rsidRDefault="00CF0754">
            <w:pPr>
              <w:pStyle w:val="TableParagraph"/>
              <w:spacing w:before="93" w:line="240" w:lineRule="auto"/>
              <w:ind w:left="115"/>
              <w:rPr>
                <w:sz w:val="24"/>
              </w:rPr>
            </w:pPr>
            <w:r w:rsidRPr="007D3144">
              <w:rPr>
                <w:sz w:val="24"/>
                <w:shd w:val="clear" w:color="auto" w:fill="FFFF00"/>
              </w:rPr>
              <w:t>Name</w:t>
            </w:r>
            <w:r w:rsidRPr="007D3144">
              <w:rPr>
                <w:spacing w:val="-1"/>
                <w:sz w:val="24"/>
                <w:shd w:val="clear" w:color="auto" w:fill="FFFF00"/>
              </w:rPr>
              <w:t xml:space="preserve"> </w:t>
            </w:r>
            <w:r w:rsidRPr="007D3144">
              <w:rPr>
                <w:sz w:val="24"/>
                <w:shd w:val="clear" w:color="auto" w:fill="FFFF00"/>
              </w:rPr>
              <w:t>(in</w:t>
            </w:r>
            <w:r w:rsidRPr="007D3144">
              <w:rPr>
                <w:spacing w:val="-1"/>
                <w:sz w:val="24"/>
                <w:shd w:val="clear" w:color="auto" w:fill="FFFF00"/>
              </w:rPr>
              <w:t xml:space="preserve"> </w:t>
            </w:r>
            <w:r w:rsidRPr="007D3144">
              <w:rPr>
                <w:spacing w:val="-2"/>
                <w:sz w:val="24"/>
                <w:shd w:val="clear" w:color="auto" w:fill="FFFF00"/>
              </w:rPr>
              <w:t>Capitals):</w:t>
            </w:r>
          </w:p>
        </w:tc>
        <w:tc>
          <w:tcPr>
            <w:tcW w:w="984" w:type="dxa"/>
            <w:tcBorders>
              <w:top w:val="nil"/>
            </w:tcBorders>
          </w:tcPr>
          <w:p w14:paraId="29173F50" w14:textId="77777777" w:rsidR="004C7180" w:rsidRPr="00150EDC" w:rsidRDefault="004C7180">
            <w:pPr>
              <w:pStyle w:val="TableParagraph"/>
              <w:spacing w:before="0" w:line="240" w:lineRule="auto"/>
              <w:ind w:left="0"/>
              <w:rPr>
                <w:rFonts w:ascii="Times New Roman"/>
              </w:rPr>
            </w:pPr>
          </w:p>
        </w:tc>
        <w:tc>
          <w:tcPr>
            <w:tcW w:w="2081" w:type="dxa"/>
            <w:vMerge/>
            <w:tcBorders>
              <w:top w:val="nil"/>
            </w:tcBorders>
          </w:tcPr>
          <w:p w14:paraId="7BE4AA63" w14:textId="77777777" w:rsidR="004C7180" w:rsidRPr="007D3144" w:rsidRDefault="004C7180">
            <w:pPr>
              <w:rPr>
                <w:sz w:val="2"/>
                <w:szCs w:val="2"/>
              </w:rPr>
            </w:pPr>
          </w:p>
        </w:tc>
      </w:tr>
    </w:tbl>
    <w:p w14:paraId="05136EF5" w14:textId="77777777" w:rsidR="004C7180" w:rsidRPr="00150EDC" w:rsidRDefault="004C7180">
      <w:pPr>
        <w:rPr>
          <w:sz w:val="2"/>
          <w:szCs w:val="2"/>
        </w:rPr>
        <w:sectPr w:rsidR="004C7180" w:rsidRPr="00150EDC">
          <w:pgSz w:w="11910" w:h="16840"/>
          <w:pgMar w:top="1160" w:right="0" w:bottom="1680" w:left="40" w:header="715" w:footer="1495" w:gutter="0"/>
          <w:cols w:space="720"/>
        </w:sectPr>
      </w:pPr>
    </w:p>
    <w:p w14:paraId="55945B02" w14:textId="02ECD6D1" w:rsidR="004C7180" w:rsidRPr="00150EDC" w:rsidRDefault="004C7180">
      <w:pPr>
        <w:pStyle w:val="BodyText"/>
        <w:spacing w:before="9"/>
        <w:rPr>
          <w:b/>
          <w:sz w:val="9"/>
        </w:rPr>
      </w:pPr>
    </w:p>
    <w:p w14:paraId="377449CC" w14:textId="77777777" w:rsidR="004C7180" w:rsidRPr="00150EDC" w:rsidRDefault="00CF0754">
      <w:pPr>
        <w:pStyle w:val="Heading3"/>
        <w:spacing w:before="92"/>
      </w:pPr>
      <w:bookmarkStart w:id="11" w:name="DPS_Joint_Schedule_11_-_Processing_Data_"/>
      <w:bookmarkEnd w:id="11"/>
      <w:r w:rsidRPr="00150EDC">
        <w:t>Joint</w:t>
      </w:r>
      <w:r w:rsidRPr="00150EDC">
        <w:rPr>
          <w:spacing w:val="-2"/>
        </w:rPr>
        <w:t xml:space="preserve"> </w:t>
      </w:r>
      <w:r w:rsidRPr="00150EDC">
        <w:t>Schedule</w:t>
      </w:r>
      <w:r w:rsidRPr="00150EDC">
        <w:rPr>
          <w:spacing w:val="-3"/>
        </w:rPr>
        <w:t xml:space="preserve"> </w:t>
      </w:r>
      <w:r w:rsidRPr="00150EDC">
        <w:t>11</w:t>
      </w:r>
      <w:r w:rsidRPr="00150EDC">
        <w:rPr>
          <w:spacing w:val="-3"/>
        </w:rPr>
        <w:t xml:space="preserve"> </w:t>
      </w:r>
      <w:r w:rsidRPr="00150EDC">
        <w:t>(Processing</w:t>
      </w:r>
      <w:r w:rsidRPr="00150EDC">
        <w:rPr>
          <w:spacing w:val="-1"/>
        </w:rPr>
        <w:t xml:space="preserve"> </w:t>
      </w:r>
      <w:r w:rsidRPr="00150EDC">
        <w:rPr>
          <w:spacing w:val="-4"/>
        </w:rPr>
        <w:t>Data)</w:t>
      </w:r>
    </w:p>
    <w:p w14:paraId="033FEA6F" w14:textId="77777777" w:rsidR="004C7180" w:rsidRPr="00150EDC" w:rsidRDefault="004C7180">
      <w:pPr>
        <w:pStyle w:val="BodyText"/>
        <w:spacing w:before="8"/>
        <w:rPr>
          <w:b/>
          <w:sz w:val="32"/>
        </w:rPr>
      </w:pPr>
    </w:p>
    <w:p w14:paraId="46115733" w14:textId="77777777" w:rsidR="004C7180" w:rsidRPr="00150EDC" w:rsidRDefault="00CF0754">
      <w:pPr>
        <w:ind w:left="1044"/>
        <w:rPr>
          <w:b/>
          <w:sz w:val="18"/>
        </w:rPr>
      </w:pPr>
      <w:r w:rsidRPr="00150EDC">
        <w:rPr>
          <w:b/>
          <w:spacing w:val="-2"/>
          <w:sz w:val="18"/>
        </w:rPr>
        <w:t>Definitions</w:t>
      </w:r>
    </w:p>
    <w:p w14:paraId="224B262F" w14:textId="77777777" w:rsidR="004C7180" w:rsidRPr="00150EDC" w:rsidRDefault="004C7180">
      <w:pPr>
        <w:pStyle w:val="BodyText"/>
        <w:spacing w:before="5"/>
        <w:rPr>
          <w:b/>
          <w:sz w:val="18"/>
        </w:rPr>
      </w:pPr>
    </w:p>
    <w:p w14:paraId="38049DB6" w14:textId="77777777" w:rsidR="004C7180" w:rsidRPr="00150EDC" w:rsidRDefault="00CF0754" w:rsidP="00B320C7">
      <w:pPr>
        <w:pStyle w:val="ListParagraph"/>
        <w:numPr>
          <w:ilvl w:val="0"/>
          <w:numId w:val="94"/>
        </w:numPr>
        <w:tabs>
          <w:tab w:val="left" w:pos="1575"/>
          <w:tab w:val="left" w:pos="1578"/>
        </w:tabs>
        <w:spacing w:before="1"/>
        <w:ind w:right="4017"/>
        <w:jc w:val="both"/>
        <w:rPr>
          <w:sz w:val="18"/>
        </w:rPr>
      </w:pPr>
      <w:r w:rsidRPr="00150EDC">
        <w:rPr>
          <w:sz w:val="18"/>
        </w:rPr>
        <w:t>In this Schedule, the following words shall have the following meanings and they shall supplement Joint Schedule 1 (Definitions):</w:t>
      </w:r>
    </w:p>
    <w:p w14:paraId="24231148" w14:textId="77777777" w:rsidR="004C7180" w:rsidRPr="00150EDC" w:rsidRDefault="004C7180">
      <w:pPr>
        <w:pStyle w:val="BodyText"/>
        <w:spacing w:before="5"/>
        <w:rPr>
          <w:sz w:val="8"/>
        </w:rPr>
      </w:pPr>
    </w:p>
    <w:tbl>
      <w:tblPr>
        <w:tblW w:w="0" w:type="auto"/>
        <w:tblInd w:w="1002" w:type="dxa"/>
        <w:tblLayout w:type="fixed"/>
        <w:tblCellMar>
          <w:left w:w="0" w:type="dxa"/>
          <w:right w:w="0" w:type="dxa"/>
        </w:tblCellMar>
        <w:tblLook w:val="01E0" w:firstRow="1" w:lastRow="1" w:firstColumn="1" w:lastColumn="1" w:noHBand="0" w:noVBand="0"/>
      </w:tblPr>
      <w:tblGrid>
        <w:gridCol w:w="1391"/>
        <w:gridCol w:w="5343"/>
      </w:tblGrid>
      <w:tr w:rsidR="004569EE" w:rsidRPr="007D3144" w14:paraId="291C58FD" w14:textId="77777777">
        <w:trPr>
          <w:trHeight w:val="917"/>
        </w:trPr>
        <w:tc>
          <w:tcPr>
            <w:tcW w:w="1391" w:type="dxa"/>
          </w:tcPr>
          <w:p w14:paraId="705AB98A" w14:textId="77777777" w:rsidR="004C7180" w:rsidRPr="00150EDC" w:rsidRDefault="00CF0754">
            <w:pPr>
              <w:pStyle w:val="TableParagraph"/>
              <w:spacing w:before="0" w:line="276" w:lineRule="auto"/>
              <w:ind w:left="50"/>
              <w:rPr>
                <w:b/>
                <w:sz w:val="18"/>
              </w:rPr>
            </w:pPr>
            <w:r w:rsidRPr="00150EDC">
              <w:rPr>
                <w:b/>
                <w:spacing w:val="-2"/>
                <w:sz w:val="18"/>
              </w:rPr>
              <w:t>“Processor Personnel”</w:t>
            </w:r>
          </w:p>
        </w:tc>
        <w:tc>
          <w:tcPr>
            <w:tcW w:w="5343" w:type="dxa"/>
          </w:tcPr>
          <w:p w14:paraId="638CE0C9" w14:textId="77777777" w:rsidR="004C7180" w:rsidRPr="00150EDC" w:rsidRDefault="00CF0754">
            <w:pPr>
              <w:pStyle w:val="TableParagraph"/>
              <w:spacing w:before="0" w:line="276" w:lineRule="auto"/>
              <w:ind w:left="363" w:right="48"/>
              <w:jc w:val="both"/>
              <w:rPr>
                <w:sz w:val="18"/>
              </w:rPr>
            </w:pPr>
            <w:r w:rsidRPr="00150EDC">
              <w:rPr>
                <w:sz w:val="18"/>
              </w:rPr>
              <w:t>all directors, officers, employees, agents, consultants and suppliers of the Processor and/or of any Subprocessor engaged</w:t>
            </w:r>
            <w:r w:rsidRPr="00150EDC">
              <w:rPr>
                <w:spacing w:val="78"/>
                <w:sz w:val="18"/>
              </w:rPr>
              <w:t xml:space="preserve"> </w:t>
            </w:r>
            <w:r w:rsidRPr="00150EDC">
              <w:rPr>
                <w:sz w:val="18"/>
              </w:rPr>
              <w:t>in</w:t>
            </w:r>
            <w:r w:rsidRPr="00150EDC">
              <w:rPr>
                <w:spacing w:val="79"/>
                <w:sz w:val="18"/>
              </w:rPr>
              <w:t xml:space="preserve"> </w:t>
            </w:r>
            <w:r w:rsidRPr="00150EDC">
              <w:rPr>
                <w:sz w:val="18"/>
              </w:rPr>
              <w:t>the</w:t>
            </w:r>
            <w:r w:rsidRPr="00150EDC">
              <w:rPr>
                <w:spacing w:val="79"/>
                <w:sz w:val="18"/>
              </w:rPr>
              <w:t xml:space="preserve"> </w:t>
            </w:r>
            <w:r w:rsidRPr="00150EDC">
              <w:rPr>
                <w:sz w:val="18"/>
              </w:rPr>
              <w:t>performance</w:t>
            </w:r>
            <w:r w:rsidRPr="00150EDC">
              <w:rPr>
                <w:spacing w:val="79"/>
                <w:sz w:val="18"/>
              </w:rPr>
              <w:t xml:space="preserve"> </w:t>
            </w:r>
            <w:r w:rsidRPr="00150EDC">
              <w:rPr>
                <w:sz w:val="18"/>
              </w:rPr>
              <w:t>of</w:t>
            </w:r>
            <w:r w:rsidRPr="00150EDC">
              <w:rPr>
                <w:spacing w:val="79"/>
                <w:sz w:val="18"/>
              </w:rPr>
              <w:t xml:space="preserve"> </w:t>
            </w:r>
            <w:r w:rsidRPr="00150EDC">
              <w:rPr>
                <w:sz w:val="18"/>
              </w:rPr>
              <w:t>its</w:t>
            </w:r>
            <w:r w:rsidRPr="00150EDC">
              <w:rPr>
                <w:spacing w:val="78"/>
                <w:sz w:val="18"/>
              </w:rPr>
              <w:t xml:space="preserve"> </w:t>
            </w:r>
            <w:r w:rsidRPr="00150EDC">
              <w:rPr>
                <w:sz w:val="18"/>
              </w:rPr>
              <w:t>obligations</w:t>
            </w:r>
            <w:r w:rsidRPr="00150EDC">
              <w:rPr>
                <w:spacing w:val="77"/>
                <w:sz w:val="18"/>
              </w:rPr>
              <w:t xml:space="preserve"> </w:t>
            </w:r>
            <w:r w:rsidRPr="00150EDC">
              <w:rPr>
                <w:sz w:val="18"/>
              </w:rPr>
              <w:t>under</w:t>
            </w:r>
            <w:r w:rsidRPr="00150EDC">
              <w:rPr>
                <w:spacing w:val="79"/>
                <w:sz w:val="18"/>
              </w:rPr>
              <w:t xml:space="preserve"> </w:t>
            </w:r>
            <w:r w:rsidRPr="00150EDC">
              <w:rPr>
                <w:spacing w:val="-10"/>
                <w:sz w:val="18"/>
              </w:rPr>
              <w:t>a</w:t>
            </w:r>
          </w:p>
          <w:p w14:paraId="2E987063" w14:textId="77777777" w:rsidR="004C7180" w:rsidRPr="00150EDC" w:rsidRDefault="00CF0754">
            <w:pPr>
              <w:pStyle w:val="TableParagraph"/>
              <w:spacing w:before="0" w:line="187" w:lineRule="exact"/>
              <w:ind w:left="363"/>
              <w:rPr>
                <w:sz w:val="18"/>
              </w:rPr>
            </w:pPr>
            <w:r w:rsidRPr="00150EDC">
              <w:rPr>
                <w:spacing w:val="-2"/>
                <w:sz w:val="18"/>
              </w:rPr>
              <w:t>Contract;</w:t>
            </w:r>
          </w:p>
        </w:tc>
      </w:tr>
    </w:tbl>
    <w:p w14:paraId="3F8E9F47" w14:textId="77777777" w:rsidR="004C7180" w:rsidRPr="00150EDC" w:rsidRDefault="004C7180">
      <w:pPr>
        <w:pStyle w:val="BodyText"/>
        <w:spacing w:before="3"/>
        <w:rPr>
          <w:sz w:val="17"/>
        </w:rPr>
      </w:pPr>
    </w:p>
    <w:p w14:paraId="5D813790" w14:textId="77777777" w:rsidR="004C7180" w:rsidRPr="00150EDC" w:rsidRDefault="00CF0754">
      <w:pPr>
        <w:ind w:left="1044"/>
        <w:rPr>
          <w:b/>
          <w:sz w:val="18"/>
        </w:rPr>
      </w:pPr>
      <w:r w:rsidRPr="00150EDC">
        <w:rPr>
          <w:b/>
          <w:sz w:val="18"/>
        </w:rPr>
        <w:t>Status</w:t>
      </w:r>
      <w:r w:rsidRPr="00150EDC">
        <w:rPr>
          <w:b/>
          <w:spacing w:val="-4"/>
          <w:sz w:val="18"/>
        </w:rPr>
        <w:t xml:space="preserve"> </w:t>
      </w:r>
      <w:r w:rsidRPr="00150EDC">
        <w:rPr>
          <w:b/>
          <w:sz w:val="18"/>
        </w:rPr>
        <w:t>of</w:t>
      </w:r>
      <w:r w:rsidRPr="00150EDC">
        <w:rPr>
          <w:b/>
          <w:spacing w:val="-1"/>
          <w:sz w:val="18"/>
        </w:rPr>
        <w:t xml:space="preserve"> </w:t>
      </w:r>
      <w:r w:rsidRPr="00150EDC">
        <w:rPr>
          <w:b/>
          <w:sz w:val="18"/>
        </w:rPr>
        <w:t>the</w:t>
      </w:r>
      <w:r w:rsidRPr="00150EDC">
        <w:rPr>
          <w:b/>
          <w:spacing w:val="-1"/>
          <w:sz w:val="18"/>
        </w:rPr>
        <w:t xml:space="preserve"> </w:t>
      </w:r>
      <w:r w:rsidRPr="00150EDC">
        <w:rPr>
          <w:b/>
          <w:spacing w:val="-2"/>
          <w:sz w:val="18"/>
        </w:rPr>
        <w:t>Controller</w:t>
      </w:r>
    </w:p>
    <w:p w14:paraId="413D882C" w14:textId="77777777" w:rsidR="004C7180" w:rsidRPr="00150EDC" w:rsidRDefault="004C7180">
      <w:pPr>
        <w:pStyle w:val="BodyText"/>
        <w:spacing w:before="6"/>
        <w:rPr>
          <w:b/>
          <w:sz w:val="18"/>
        </w:rPr>
      </w:pPr>
    </w:p>
    <w:p w14:paraId="709DD94C" w14:textId="77777777" w:rsidR="004C7180" w:rsidRPr="00150EDC" w:rsidRDefault="00CF0754" w:rsidP="00B320C7">
      <w:pPr>
        <w:pStyle w:val="ListParagraph"/>
        <w:numPr>
          <w:ilvl w:val="0"/>
          <w:numId w:val="94"/>
        </w:numPr>
        <w:tabs>
          <w:tab w:val="left" w:pos="1575"/>
          <w:tab w:val="left" w:pos="1578"/>
        </w:tabs>
        <w:ind w:right="4018"/>
        <w:jc w:val="both"/>
        <w:rPr>
          <w:sz w:val="18"/>
        </w:rPr>
      </w:pPr>
      <w:r w:rsidRPr="00150EDC">
        <w:rPr>
          <w:sz w:val="18"/>
        </w:rPr>
        <w:t>The Parties acknowledge that for the purposes of the Data Protection Legislation, the nature of the activity carried out by each of them in relation to their respective obligations under a Contract dictates the status of each party under the DPA 2018. A Party may act as:</w:t>
      </w:r>
    </w:p>
    <w:p w14:paraId="72A6263A" w14:textId="77777777" w:rsidR="004C7180" w:rsidRPr="00150EDC" w:rsidRDefault="004C7180">
      <w:pPr>
        <w:pStyle w:val="BodyText"/>
        <w:spacing w:before="8"/>
        <w:rPr>
          <w:sz w:val="18"/>
        </w:rPr>
      </w:pPr>
    </w:p>
    <w:p w14:paraId="6B157561" w14:textId="77777777" w:rsidR="004C7180" w:rsidRPr="00150EDC" w:rsidRDefault="00CF0754" w:rsidP="00B320C7">
      <w:pPr>
        <w:pStyle w:val="ListParagraph"/>
        <w:numPr>
          <w:ilvl w:val="1"/>
          <w:numId w:val="94"/>
        </w:numPr>
        <w:tabs>
          <w:tab w:val="left" w:pos="1654"/>
        </w:tabs>
        <w:rPr>
          <w:sz w:val="18"/>
        </w:rPr>
      </w:pPr>
      <w:r w:rsidRPr="00150EDC">
        <w:rPr>
          <w:sz w:val="18"/>
        </w:rPr>
        <w:t>“Controller”</w:t>
      </w:r>
      <w:r w:rsidRPr="00150EDC">
        <w:rPr>
          <w:spacing w:val="-2"/>
          <w:sz w:val="18"/>
        </w:rPr>
        <w:t xml:space="preserve"> </w:t>
      </w:r>
      <w:r w:rsidRPr="00150EDC">
        <w:rPr>
          <w:sz w:val="18"/>
        </w:rPr>
        <w:t>in</w:t>
      </w:r>
      <w:r w:rsidRPr="00150EDC">
        <w:rPr>
          <w:spacing w:val="-1"/>
          <w:sz w:val="18"/>
        </w:rPr>
        <w:t xml:space="preserve"> </w:t>
      </w:r>
      <w:r w:rsidRPr="00150EDC">
        <w:rPr>
          <w:sz w:val="18"/>
        </w:rPr>
        <w:t>respect</w:t>
      </w:r>
      <w:r w:rsidRPr="00150EDC">
        <w:rPr>
          <w:spacing w:val="-5"/>
          <w:sz w:val="18"/>
        </w:rPr>
        <w:t xml:space="preserve"> </w:t>
      </w:r>
      <w:r w:rsidRPr="00150EDC">
        <w:rPr>
          <w:sz w:val="18"/>
        </w:rPr>
        <w:t>of</w:t>
      </w:r>
      <w:r w:rsidRPr="00150EDC">
        <w:rPr>
          <w:spacing w:val="-1"/>
          <w:sz w:val="18"/>
        </w:rPr>
        <w:t xml:space="preserve"> </w:t>
      </w:r>
      <w:r w:rsidRPr="00150EDC">
        <w:rPr>
          <w:sz w:val="18"/>
        </w:rPr>
        <w:t>the</w:t>
      </w:r>
      <w:r w:rsidRPr="00150EDC">
        <w:rPr>
          <w:spacing w:val="-1"/>
          <w:sz w:val="18"/>
        </w:rPr>
        <w:t xml:space="preserve"> </w:t>
      </w:r>
      <w:r w:rsidRPr="00150EDC">
        <w:rPr>
          <w:sz w:val="18"/>
        </w:rPr>
        <w:t>other</w:t>
      </w:r>
      <w:r w:rsidRPr="00150EDC">
        <w:rPr>
          <w:spacing w:val="-4"/>
          <w:sz w:val="18"/>
        </w:rPr>
        <w:t xml:space="preserve"> </w:t>
      </w:r>
      <w:r w:rsidRPr="00150EDC">
        <w:rPr>
          <w:sz w:val="18"/>
        </w:rPr>
        <w:t>Party</w:t>
      </w:r>
      <w:r w:rsidRPr="00150EDC">
        <w:rPr>
          <w:spacing w:val="-2"/>
          <w:sz w:val="18"/>
        </w:rPr>
        <w:t xml:space="preserve"> </w:t>
      </w:r>
      <w:r w:rsidRPr="00150EDC">
        <w:rPr>
          <w:sz w:val="18"/>
        </w:rPr>
        <w:t>who</w:t>
      </w:r>
      <w:r w:rsidRPr="00150EDC">
        <w:rPr>
          <w:spacing w:val="-3"/>
          <w:sz w:val="18"/>
        </w:rPr>
        <w:t xml:space="preserve"> </w:t>
      </w:r>
      <w:r w:rsidRPr="00150EDC">
        <w:rPr>
          <w:sz w:val="18"/>
        </w:rPr>
        <w:t>is</w:t>
      </w:r>
      <w:r w:rsidRPr="00150EDC">
        <w:rPr>
          <w:spacing w:val="-1"/>
          <w:sz w:val="18"/>
        </w:rPr>
        <w:t xml:space="preserve"> </w:t>
      </w:r>
      <w:r w:rsidRPr="00150EDC">
        <w:rPr>
          <w:spacing w:val="-2"/>
          <w:sz w:val="18"/>
        </w:rPr>
        <w:t>“Processor”;</w:t>
      </w:r>
    </w:p>
    <w:p w14:paraId="31450340" w14:textId="77777777" w:rsidR="004C7180" w:rsidRPr="00150EDC" w:rsidRDefault="004C7180">
      <w:pPr>
        <w:pStyle w:val="BodyText"/>
        <w:spacing w:before="5"/>
        <w:rPr>
          <w:sz w:val="18"/>
        </w:rPr>
      </w:pPr>
    </w:p>
    <w:p w14:paraId="3F9A6F37" w14:textId="77777777" w:rsidR="004C7180" w:rsidRPr="00150EDC" w:rsidRDefault="00CF0754" w:rsidP="00B320C7">
      <w:pPr>
        <w:pStyle w:val="ListParagraph"/>
        <w:numPr>
          <w:ilvl w:val="1"/>
          <w:numId w:val="94"/>
        </w:numPr>
        <w:tabs>
          <w:tab w:val="left" w:pos="1654"/>
        </w:tabs>
        <w:spacing w:before="1"/>
        <w:rPr>
          <w:sz w:val="18"/>
        </w:rPr>
      </w:pPr>
      <w:r w:rsidRPr="00150EDC">
        <w:rPr>
          <w:sz w:val="18"/>
        </w:rPr>
        <w:t>“Processor”</w:t>
      </w:r>
      <w:r w:rsidRPr="00150EDC">
        <w:rPr>
          <w:spacing w:val="-2"/>
          <w:sz w:val="18"/>
        </w:rPr>
        <w:t xml:space="preserve"> </w:t>
      </w:r>
      <w:r w:rsidRPr="00150EDC">
        <w:rPr>
          <w:sz w:val="18"/>
        </w:rPr>
        <w:t>in</w:t>
      </w:r>
      <w:r w:rsidRPr="00150EDC">
        <w:rPr>
          <w:spacing w:val="-1"/>
          <w:sz w:val="18"/>
        </w:rPr>
        <w:t xml:space="preserve"> </w:t>
      </w:r>
      <w:r w:rsidRPr="00150EDC">
        <w:rPr>
          <w:sz w:val="18"/>
        </w:rPr>
        <w:t>respect</w:t>
      </w:r>
      <w:r w:rsidRPr="00150EDC">
        <w:rPr>
          <w:spacing w:val="-3"/>
          <w:sz w:val="18"/>
        </w:rPr>
        <w:t xml:space="preserve"> </w:t>
      </w:r>
      <w:r w:rsidRPr="00150EDC">
        <w:rPr>
          <w:sz w:val="18"/>
        </w:rPr>
        <w:t>of</w:t>
      </w:r>
      <w:r w:rsidRPr="00150EDC">
        <w:rPr>
          <w:spacing w:val="-1"/>
          <w:sz w:val="18"/>
        </w:rPr>
        <w:t xml:space="preserve"> </w:t>
      </w:r>
      <w:r w:rsidRPr="00150EDC">
        <w:rPr>
          <w:sz w:val="18"/>
        </w:rPr>
        <w:t>the other</w:t>
      </w:r>
      <w:r w:rsidRPr="00150EDC">
        <w:rPr>
          <w:spacing w:val="-4"/>
          <w:sz w:val="18"/>
        </w:rPr>
        <w:t xml:space="preserve"> </w:t>
      </w:r>
      <w:r w:rsidRPr="00150EDC">
        <w:rPr>
          <w:sz w:val="18"/>
        </w:rPr>
        <w:t>Party</w:t>
      </w:r>
      <w:r w:rsidRPr="00150EDC">
        <w:rPr>
          <w:spacing w:val="-2"/>
          <w:sz w:val="18"/>
        </w:rPr>
        <w:t xml:space="preserve"> </w:t>
      </w:r>
      <w:r w:rsidRPr="00150EDC">
        <w:rPr>
          <w:sz w:val="18"/>
        </w:rPr>
        <w:t>who</w:t>
      </w:r>
      <w:r w:rsidRPr="00150EDC">
        <w:rPr>
          <w:spacing w:val="-3"/>
          <w:sz w:val="18"/>
        </w:rPr>
        <w:t xml:space="preserve"> </w:t>
      </w:r>
      <w:r w:rsidRPr="00150EDC">
        <w:rPr>
          <w:sz w:val="18"/>
        </w:rPr>
        <w:t>is</w:t>
      </w:r>
      <w:r w:rsidRPr="00150EDC">
        <w:rPr>
          <w:spacing w:val="-1"/>
          <w:sz w:val="18"/>
        </w:rPr>
        <w:t xml:space="preserve"> </w:t>
      </w:r>
      <w:r w:rsidRPr="00150EDC">
        <w:rPr>
          <w:spacing w:val="-2"/>
          <w:sz w:val="18"/>
        </w:rPr>
        <w:t>“Controller”;</w:t>
      </w:r>
    </w:p>
    <w:p w14:paraId="22A956F7" w14:textId="77777777" w:rsidR="004C7180" w:rsidRPr="00150EDC" w:rsidRDefault="004C7180">
      <w:pPr>
        <w:pStyle w:val="BodyText"/>
        <w:spacing w:before="3"/>
        <w:rPr>
          <w:sz w:val="18"/>
        </w:rPr>
      </w:pPr>
    </w:p>
    <w:p w14:paraId="557A0E3B" w14:textId="77777777" w:rsidR="004C7180" w:rsidRPr="00150EDC" w:rsidRDefault="00CF0754" w:rsidP="00B320C7">
      <w:pPr>
        <w:pStyle w:val="ListParagraph"/>
        <w:numPr>
          <w:ilvl w:val="1"/>
          <w:numId w:val="94"/>
        </w:numPr>
        <w:tabs>
          <w:tab w:val="left" w:pos="1654"/>
        </w:tabs>
        <w:rPr>
          <w:sz w:val="18"/>
        </w:rPr>
      </w:pPr>
      <w:r w:rsidRPr="00150EDC">
        <w:rPr>
          <w:sz w:val="18"/>
        </w:rPr>
        <w:t>“Joint</w:t>
      </w:r>
      <w:r w:rsidRPr="00150EDC">
        <w:rPr>
          <w:spacing w:val="-2"/>
          <w:sz w:val="18"/>
        </w:rPr>
        <w:t xml:space="preserve"> </w:t>
      </w:r>
      <w:r w:rsidRPr="00150EDC">
        <w:rPr>
          <w:sz w:val="18"/>
        </w:rPr>
        <w:t>Controller”</w:t>
      </w:r>
      <w:r w:rsidRPr="00150EDC">
        <w:rPr>
          <w:spacing w:val="-3"/>
          <w:sz w:val="18"/>
        </w:rPr>
        <w:t xml:space="preserve"> </w:t>
      </w:r>
      <w:r w:rsidRPr="00150EDC">
        <w:rPr>
          <w:sz w:val="18"/>
        </w:rPr>
        <w:t>with</w:t>
      </w:r>
      <w:r w:rsidRPr="00150EDC">
        <w:rPr>
          <w:spacing w:val="-3"/>
          <w:sz w:val="18"/>
        </w:rPr>
        <w:t xml:space="preserve"> </w:t>
      </w:r>
      <w:r w:rsidRPr="00150EDC">
        <w:rPr>
          <w:sz w:val="18"/>
        </w:rPr>
        <w:t>the</w:t>
      </w:r>
      <w:r w:rsidRPr="00150EDC">
        <w:rPr>
          <w:spacing w:val="-2"/>
          <w:sz w:val="18"/>
        </w:rPr>
        <w:t xml:space="preserve"> </w:t>
      </w:r>
      <w:r w:rsidRPr="00150EDC">
        <w:rPr>
          <w:sz w:val="18"/>
        </w:rPr>
        <w:t>other</w:t>
      </w:r>
      <w:r w:rsidRPr="00150EDC">
        <w:rPr>
          <w:spacing w:val="-4"/>
          <w:sz w:val="18"/>
        </w:rPr>
        <w:t xml:space="preserve"> </w:t>
      </w:r>
      <w:r w:rsidRPr="00150EDC">
        <w:rPr>
          <w:spacing w:val="-2"/>
          <w:sz w:val="18"/>
        </w:rPr>
        <w:t>Party;</w:t>
      </w:r>
    </w:p>
    <w:p w14:paraId="4680D8BB" w14:textId="77777777" w:rsidR="004C7180" w:rsidRPr="00150EDC" w:rsidRDefault="004C7180">
      <w:pPr>
        <w:pStyle w:val="BodyText"/>
        <w:spacing w:before="6"/>
        <w:rPr>
          <w:sz w:val="18"/>
        </w:rPr>
      </w:pPr>
    </w:p>
    <w:p w14:paraId="58075BF8" w14:textId="77777777" w:rsidR="004C7180" w:rsidRPr="00150EDC" w:rsidRDefault="00CF0754" w:rsidP="00B320C7">
      <w:pPr>
        <w:pStyle w:val="ListParagraph"/>
        <w:numPr>
          <w:ilvl w:val="1"/>
          <w:numId w:val="94"/>
        </w:numPr>
        <w:tabs>
          <w:tab w:val="left" w:pos="1651"/>
          <w:tab w:val="left" w:pos="1654"/>
        </w:tabs>
        <w:ind w:right="4018"/>
        <w:jc w:val="both"/>
        <w:rPr>
          <w:sz w:val="18"/>
        </w:rPr>
      </w:pPr>
      <w:r w:rsidRPr="00150EDC">
        <w:rPr>
          <w:sz w:val="18"/>
        </w:rPr>
        <w:t xml:space="preserve">“Independent Controller” of the Personal Data where the other Party is also </w:t>
      </w:r>
      <w:r w:rsidRPr="00150EDC">
        <w:rPr>
          <w:spacing w:val="-2"/>
          <w:sz w:val="18"/>
        </w:rPr>
        <w:t>“Controller”,</w:t>
      </w:r>
    </w:p>
    <w:p w14:paraId="2D60115C" w14:textId="77777777" w:rsidR="004C7180" w:rsidRPr="00150EDC" w:rsidRDefault="004C7180">
      <w:pPr>
        <w:pStyle w:val="BodyText"/>
        <w:spacing w:before="6"/>
        <w:rPr>
          <w:sz w:val="18"/>
        </w:rPr>
      </w:pPr>
    </w:p>
    <w:p w14:paraId="5986CF36" w14:textId="77777777" w:rsidR="004C7180" w:rsidRPr="00150EDC" w:rsidRDefault="00CF0754">
      <w:pPr>
        <w:spacing w:line="276" w:lineRule="auto"/>
        <w:ind w:left="1654" w:right="4072"/>
        <w:rPr>
          <w:sz w:val="18"/>
        </w:rPr>
      </w:pPr>
      <w:r w:rsidRPr="00150EDC">
        <w:rPr>
          <w:sz w:val="18"/>
        </w:rPr>
        <w:t>in respect of certain Personal Data under a Contract and shall specify in Annex</w:t>
      </w:r>
      <w:r w:rsidRPr="00150EDC">
        <w:rPr>
          <w:spacing w:val="-2"/>
          <w:sz w:val="18"/>
        </w:rPr>
        <w:t xml:space="preserve"> </w:t>
      </w:r>
      <w:r w:rsidRPr="00150EDC">
        <w:rPr>
          <w:sz w:val="18"/>
        </w:rPr>
        <w:t xml:space="preserve">1 </w:t>
      </w:r>
      <w:r w:rsidRPr="00150EDC">
        <w:rPr>
          <w:i/>
          <w:sz w:val="18"/>
        </w:rPr>
        <w:t>(Processing</w:t>
      </w:r>
      <w:r w:rsidRPr="00150EDC">
        <w:rPr>
          <w:i/>
          <w:spacing w:val="-1"/>
          <w:sz w:val="18"/>
        </w:rPr>
        <w:t xml:space="preserve"> </w:t>
      </w:r>
      <w:r w:rsidRPr="00150EDC">
        <w:rPr>
          <w:i/>
          <w:sz w:val="18"/>
        </w:rPr>
        <w:t>Personal Data)</w:t>
      </w:r>
      <w:r w:rsidRPr="00150EDC">
        <w:rPr>
          <w:i/>
          <w:spacing w:val="-1"/>
          <w:sz w:val="18"/>
        </w:rPr>
        <w:t xml:space="preserve"> </w:t>
      </w:r>
      <w:r w:rsidRPr="00150EDC">
        <w:rPr>
          <w:sz w:val="18"/>
        </w:rPr>
        <w:t>which scenario they</w:t>
      </w:r>
      <w:r w:rsidRPr="00150EDC">
        <w:rPr>
          <w:spacing w:val="-2"/>
          <w:sz w:val="18"/>
        </w:rPr>
        <w:t xml:space="preserve"> </w:t>
      </w:r>
      <w:r w:rsidRPr="00150EDC">
        <w:rPr>
          <w:sz w:val="18"/>
        </w:rPr>
        <w:t>think shall</w:t>
      </w:r>
      <w:r w:rsidRPr="00150EDC">
        <w:rPr>
          <w:spacing w:val="-2"/>
          <w:sz w:val="18"/>
        </w:rPr>
        <w:t xml:space="preserve"> </w:t>
      </w:r>
      <w:r w:rsidRPr="00150EDC">
        <w:rPr>
          <w:sz w:val="18"/>
        </w:rPr>
        <w:t>apply in each situation.</w:t>
      </w:r>
    </w:p>
    <w:p w14:paraId="23C82DD3" w14:textId="77777777" w:rsidR="004C7180" w:rsidRPr="00150EDC" w:rsidRDefault="00CF0754">
      <w:pPr>
        <w:spacing w:before="93"/>
        <w:ind w:left="1044"/>
        <w:rPr>
          <w:b/>
          <w:sz w:val="18"/>
        </w:rPr>
      </w:pPr>
      <w:r w:rsidRPr="00150EDC">
        <w:rPr>
          <w:b/>
          <w:sz w:val="18"/>
        </w:rPr>
        <w:t>Where</w:t>
      </w:r>
      <w:r w:rsidRPr="00150EDC">
        <w:rPr>
          <w:b/>
          <w:spacing w:val="-2"/>
          <w:sz w:val="18"/>
        </w:rPr>
        <w:t xml:space="preserve"> </w:t>
      </w:r>
      <w:r w:rsidRPr="00150EDC">
        <w:rPr>
          <w:b/>
          <w:sz w:val="18"/>
        </w:rPr>
        <w:t>one</w:t>
      </w:r>
      <w:r w:rsidRPr="00150EDC">
        <w:rPr>
          <w:b/>
          <w:spacing w:val="-2"/>
          <w:sz w:val="18"/>
        </w:rPr>
        <w:t xml:space="preserve"> </w:t>
      </w:r>
      <w:r w:rsidRPr="00150EDC">
        <w:rPr>
          <w:b/>
          <w:sz w:val="18"/>
        </w:rPr>
        <w:t>Party</w:t>
      </w:r>
      <w:r w:rsidRPr="00150EDC">
        <w:rPr>
          <w:b/>
          <w:spacing w:val="-2"/>
          <w:sz w:val="18"/>
        </w:rPr>
        <w:t xml:space="preserve"> </w:t>
      </w:r>
      <w:r w:rsidRPr="00150EDC">
        <w:rPr>
          <w:b/>
          <w:sz w:val="18"/>
        </w:rPr>
        <w:t>is</w:t>
      </w:r>
      <w:r w:rsidRPr="00150EDC">
        <w:rPr>
          <w:b/>
          <w:spacing w:val="-1"/>
          <w:sz w:val="18"/>
        </w:rPr>
        <w:t xml:space="preserve"> </w:t>
      </w:r>
      <w:r w:rsidRPr="00150EDC">
        <w:rPr>
          <w:b/>
          <w:sz w:val="18"/>
        </w:rPr>
        <w:t>Controller</w:t>
      </w:r>
      <w:r w:rsidRPr="00150EDC">
        <w:rPr>
          <w:b/>
          <w:spacing w:val="-3"/>
          <w:sz w:val="18"/>
        </w:rPr>
        <w:t xml:space="preserve"> </w:t>
      </w:r>
      <w:r w:rsidRPr="00150EDC">
        <w:rPr>
          <w:b/>
          <w:sz w:val="18"/>
        </w:rPr>
        <w:t>and</w:t>
      </w:r>
      <w:r w:rsidRPr="00150EDC">
        <w:rPr>
          <w:b/>
          <w:spacing w:val="-3"/>
          <w:sz w:val="18"/>
        </w:rPr>
        <w:t xml:space="preserve"> </w:t>
      </w:r>
      <w:r w:rsidRPr="00150EDC">
        <w:rPr>
          <w:b/>
          <w:sz w:val="18"/>
        </w:rPr>
        <w:t>the</w:t>
      </w:r>
      <w:r w:rsidRPr="00150EDC">
        <w:rPr>
          <w:b/>
          <w:spacing w:val="-1"/>
          <w:sz w:val="18"/>
        </w:rPr>
        <w:t xml:space="preserve"> </w:t>
      </w:r>
      <w:r w:rsidRPr="00150EDC">
        <w:rPr>
          <w:b/>
          <w:sz w:val="18"/>
        </w:rPr>
        <w:t>other</w:t>
      </w:r>
      <w:r w:rsidRPr="00150EDC">
        <w:rPr>
          <w:b/>
          <w:spacing w:val="-3"/>
          <w:sz w:val="18"/>
        </w:rPr>
        <w:t xml:space="preserve"> </w:t>
      </w:r>
      <w:r w:rsidRPr="00150EDC">
        <w:rPr>
          <w:b/>
          <w:sz w:val="18"/>
        </w:rPr>
        <w:t>Party</w:t>
      </w:r>
      <w:r w:rsidRPr="00150EDC">
        <w:rPr>
          <w:b/>
          <w:spacing w:val="-2"/>
          <w:sz w:val="18"/>
        </w:rPr>
        <w:t xml:space="preserve"> </w:t>
      </w:r>
      <w:r w:rsidRPr="00150EDC">
        <w:rPr>
          <w:b/>
          <w:sz w:val="18"/>
        </w:rPr>
        <w:t>its</w:t>
      </w:r>
      <w:r w:rsidRPr="00150EDC">
        <w:rPr>
          <w:b/>
          <w:spacing w:val="-3"/>
          <w:sz w:val="18"/>
        </w:rPr>
        <w:t xml:space="preserve"> </w:t>
      </w:r>
      <w:r w:rsidRPr="00150EDC">
        <w:rPr>
          <w:b/>
          <w:spacing w:val="-2"/>
          <w:sz w:val="18"/>
        </w:rPr>
        <w:t>Processor</w:t>
      </w:r>
    </w:p>
    <w:p w14:paraId="5192BE02" w14:textId="77777777" w:rsidR="004C7180" w:rsidRPr="00150EDC" w:rsidRDefault="004C7180">
      <w:pPr>
        <w:pStyle w:val="BodyText"/>
        <w:spacing w:before="5"/>
        <w:rPr>
          <w:b/>
          <w:sz w:val="18"/>
        </w:rPr>
      </w:pPr>
    </w:p>
    <w:p w14:paraId="05904213" w14:textId="77777777" w:rsidR="004C7180" w:rsidRPr="00150EDC" w:rsidRDefault="00CF0754" w:rsidP="00B320C7">
      <w:pPr>
        <w:pStyle w:val="ListParagraph"/>
        <w:numPr>
          <w:ilvl w:val="0"/>
          <w:numId w:val="94"/>
        </w:numPr>
        <w:tabs>
          <w:tab w:val="left" w:pos="1575"/>
          <w:tab w:val="left" w:pos="1578"/>
        </w:tabs>
        <w:ind w:right="4019"/>
        <w:jc w:val="both"/>
        <w:rPr>
          <w:sz w:val="18"/>
        </w:rPr>
      </w:pPr>
      <w:r w:rsidRPr="00150EDC">
        <w:rPr>
          <w:sz w:val="18"/>
        </w:rPr>
        <w:t xml:space="preserve">Where a Party is a Processor, the only Processing that it is authorised to do is listed in Annex 1 </w:t>
      </w:r>
      <w:r w:rsidRPr="00150EDC">
        <w:rPr>
          <w:i/>
          <w:sz w:val="18"/>
        </w:rPr>
        <w:t>(Processing Personal Data</w:t>
      </w:r>
      <w:r w:rsidRPr="00150EDC">
        <w:rPr>
          <w:sz w:val="18"/>
        </w:rPr>
        <w:t>) by the Controller.</w:t>
      </w:r>
    </w:p>
    <w:p w14:paraId="0A43833C" w14:textId="77777777" w:rsidR="004C7180" w:rsidRPr="00150EDC" w:rsidRDefault="004C7180">
      <w:pPr>
        <w:pStyle w:val="BodyText"/>
        <w:spacing w:before="4"/>
        <w:rPr>
          <w:sz w:val="18"/>
        </w:rPr>
      </w:pPr>
    </w:p>
    <w:p w14:paraId="5B0E4E57" w14:textId="77777777" w:rsidR="004C7180" w:rsidRPr="00150EDC" w:rsidRDefault="00CF0754" w:rsidP="00B320C7">
      <w:pPr>
        <w:pStyle w:val="ListParagraph"/>
        <w:numPr>
          <w:ilvl w:val="0"/>
          <w:numId w:val="94"/>
        </w:numPr>
        <w:tabs>
          <w:tab w:val="left" w:pos="1575"/>
          <w:tab w:val="left" w:pos="1578"/>
        </w:tabs>
        <w:spacing w:before="1"/>
        <w:ind w:right="4017"/>
        <w:jc w:val="both"/>
        <w:rPr>
          <w:sz w:val="18"/>
        </w:rPr>
      </w:pPr>
      <w:r w:rsidRPr="00150EDC">
        <w:rPr>
          <w:sz w:val="18"/>
        </w:rPr>
        <w:t>The Processor shall notify the Controller immediately if it considers that any of the Controller’s instructions infringe the Data Protection Legislation.</w:t>
      </w:r>
    </w:p>
    <w:p w14:paraId="4EE04CA0" w14:textId="77777777" w:rsidR="004C7180" w:rsidRPr="00150EDC" w:rsidRDefault="004C7180">
      <w:pPr>
        <w:pStyle w:val="BodyText"/>
        <w:spacing w:before="6"/>
        <w:rPr>
          <w:sz w:val="18"/>
        </w:rPr>
      </w:pPr>
    </w:p>
    <w:p w14:paraId="0DE87AFB" w14:textId="77777777" w:rsidR="004C7180" w:rsidRPr="00150EDC" w:rsidRDefault="00CF0754" w:rsidP="00B320C7">
      <w:pPr>
        <w:pStyle w:val="ListParagraph"/>
        <w:numPr>
          <w:ilvl w:val="0"/>
          <w:numId w:val="94"/>
        </w:numPr>
        <w:tabs>
          <w:tab w:val="left" w:pos="1575"/>
          <w:tab w:val="left" w:pos="1578"/>
        </w:tabs>
        <w:ind w:right="4017"/>
        <w:jc w:val="both"/>
        <w:rPr>
          <w:sz w:val="18"/>
        </w:rPr>
      </w:pPr>
      <w:r w:rsidRPr="00150EDC">
        <w:rPr>
          <w:sz w:val="18"/>
        </w:rPr>
        <w:t>The Processor shall provide all reasonable assistance to the Controller in the preparation of any Data Protection Impact Assessment prior to commencing any Processing.</w:t>
      </w:r>
      <w:r w:rsidRPr="00150EDC">
        <w:rPr>
          <w:spacing w:val="40"/>
          <w:sz w:val="18"/>
        </w:rPr>
        <w:t xml:space="preserve"> </w:t>
      </w:r>
      <w:r w:rsidRPr="00150EDC">
        <w:rPr>
          <w:sz w:val="18"/>
        </w:rPr>
        <w:t xml:space="preserve">Such assistance may, at the discretion of the Controller, </w:t>
      </w:r>
      <w:r w:rsidRPr="00150EDC">
        <w:rPr>
          <w:spacing w:val="-2"/>
          <w:sz w:val="18"/>
        </w:rPr>
        <w:t>include:</w:t>
      </w:r>
    </w:p>
    <w:p w14:paraId="2AC2B565" w14:textId="77777777" w:rsidR="004C7180" w:rsidRPr="00150EDC" w:rsidRDefault="00CF0754" w:rsidP="00B320C7">
      <w:pPr>
        <w:pStyle w:val="ListParagraph"/>
        <w:numPr>
          <w:ilvl w:val="1"/>
          <w:numId w:val="94"/>
        </w:numPr>
        <w:tabs>
          <w:tab w:val="left" w:pos="1651"/>
          <w:tab w:val="left" w:pos="1654"/>
        </w:tabs>
        <w:spacing w:before="94"/>
        <w:ind w:right="4015"/>
        <w:jc w:val="both"/>
        <w:rPr>
          <w:sz w:val="18"/>
        </w:rPr>
      </w:pPr>
      <w:r w:rsidRPr="00150EDC">
        <w:rPr>
          <w:sz w:val="18"/>
        </w:rPr>
        <w:t xml:space="preserve">a systematic description of the envisaged Processing and the purpose of the </w:t>
      </w:r>
      <w:r w:rsidRPr="00150EDC">
        <w:rPr>
          <w:spacing w:val="-2"/>
          <w:sz w:val="18"/>
        </w:rPr>
        <w:t>Processing;</w:t>
      </w:r>
    </w:p>
    <w:p w14:paraId="0AB59EBD" w14:textId="77777777" w:rsidR="004C7180" w:rsidRPr="00150EDC" w:rsidRDefault="00CF0754" w:rsidP="00B320C7">
      <w:pPr>
        <w:pStyle w:val="ListParagraph"/>
        <w:numPr>
          <w:ilvl w:val="1"/>
          <w:numId w:val="94"/>
        </w:numPr>
        <w:tabs>
          <w:tab w:val="left" w:pos="1651"/>
          <w:tab w:val="left" w:pos="1654"/>
        </w:tabs>
        <w:spacing w:before="92"/>
        <w:ind w:right="4018"/>
        <w:jc w:val="both"/>
        <w:rPr>
          <w:sz w:val="18"/>
        </w:rPr>
      </w:pPr>
      <w:r w:rsidRPr="00150EDC">
        <w:rPr>
          <w:sz w:val="18"/>
        </w:rPr>
        <w:t>an assessment of the necessity and proportionality of the Processing in relation to the Deliverables;</w:t>
      </w:r>
    </w:p>
    <w:p w14:paraId="7497713A" w14:textId="77777777" w:rsidR="004C7180" w:rsidRPr="00150EDC" w:rsidRDefault="00CF0754">
      <w:pPr>
        <w:spacing w:before="94"/>
        <w:ind w:left="1044"/>
        <w:rPr>
          <w:sz w:val="15"/>
        </w:rPr>
      </w:pPr>
      <w:r w:rsidRPr="00150EDC">
        <w:rPr>
          <w:sz w:val="15"/>
        </w:rPr>
        <w:t>DPS</w:t>
      </w:r>
      <w:r w:rsidRPr="00150EDC">
        <w:rPr>
          <w:spacing w:val="-3"/>
          <w:sz w:val="15"/>
        </w:rPr>
        <w:t xml:space="preserve"> </w:t>
      </w:r>
      <w:r w:rsidRPr="00150EDC">
        <w:rPr>
          <w:sz w:val="15"/>
        </w:rPr>
        <w:t xml:space="preserve">Ref: </w:t>
      </w:r>
      <w:r w:rsidRPr="00150EDC">
        <w:rPr>
          <w:spacing w:val="-2"/>
          <w:sz w:val="15"/>
        </w:rPr>
        <w:t>RM6322</w:t>
      </w:r>
    </w:p>
    <w:p w14:paraId="70DFC397" w14:textId="77777777" w:rsidR="004C7180" w:rsidRPr="00150EDC" w:rsidRDefault="00CF0754">
      <w:pPr>
        <w:tabs>
          <w:tab w:val="left" w:pos="7660"/>
        </w:tabs>
        <w:spacing w:before="26"/>
        <w:ind w:left="1044"/>
        <w:rPr>
          <w:sz w:val="15"/>
        </w:rPr>
      </w:pPr>
      <w:r w:rsidRPr="00150EDC">
        <w:rPr>
          <w:noProof/>
          <w:lang w:val="en-GB" w:eastAsia="en-GB"/>
        </w:rPr>
        <mc:AlternateContent>
          <mc:Choice Requires="wps">
            <w:drawing>
              <wp:anchor distT="0" distB="0" distL="0" distR="0" simplePos="0" relativeHeight="251658254" behindDoc="1" locked="0" layoutInCell="1" allowOverlap="1" wp14:anchorId="5605F4E3" wp14:editId="3D907FD5">
                <wp:simplePos x="0" y="0"/>
                <wp:positionH relativeFrom="page">
                  <wp:posOffset>4921821</wp:posOffset>
                </wp:positionH>
                <wp:positionV relativeFrom="paragraph">
                  <wp:posOffset>16308</wp:posOffset>
                </wp:positionV>
                <wp:extent cx="53340" cy="110489"/>
                <wp:effectExtent l="0" t="0" r="0" b="0"/>
                <wp:wrapNone/>
                <wp:docPr id="50" name="Free-form: 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 cy="110489"/>
                        </a:xfrm>
                        <a:custGeom>
                          <a:avLst/>
                          <a:gdLst/>
                          <a:ahLst/>
                          <a:cxnLst/>
                          <a:rect l="l" t="t" r="r" b="b"/>
                          <a:pathLst>
                            <a:path w="53340" h="110489">
                              <a:moveTo>
                                <a:pt x="52806" y="0"/>
                              </a:moveTo>
                              <a:lnTo>
                                <a:pt x="0" y="0"/>
                              </a:lnTo>
                              <a:lnTo>
                                <a:pt x="0" y="110210"/>
                              </a:lnTo>
                              <a:lnTo>
                                <a:pt x="52806" y="110210"/>
                              </a:lnTo>
                              <a:lnTo>
                                <a:pt x="52806" y="0"/>
                              </a:lnTo>
                              <a:close/>
                            </a:path>
                          </a:pathLst>
                        </a:custGeom>
                        <a:solidFill>
                          <a:srgbClr val="E6E6E6"/>
                        </a:solidFill>
                      </wps:spPr>
                      <wps:bodyPr wrap="square" lIns="0" tIns="0" rIns="0" bIns="0" rtlCol="0">
                        <a:prstTxWarp prst="textNoShape">
                          <a:avLst/>
                        </a:prstTxWarp>
                        <a:noAutofit/>
                      </wps:bodyPr>
                    </wps:wsp>
                  </a:graphicData>
                </a:graphic>
              </wp:anchor>
            </w:drawing>
          </mc:Choice>
          <mc:Fallback>
            <w:pict>
              <v:shape w14:anchorId="47C8E585" id="Free-form: Shape 50" o:spid="_x0000_s1026" style="position:absolute;margin-left:387.55pt;margin-top:1.3pt;width:4.2pt;height:8.7pt;z-index:-251658226;visibility:visible;mso-wrap-style:square;mso-wrap-distance-left:0;mso-wrap-distance-top:0;mso-wrap-distance-right:0;mso-wrap-distance-bottom:0;mso-position-horizontal:absolute;mso-position-horizontal-relative:page;mso-position-vertical:absolute;mso-position-vertical-relative:text;v-text-anchor:top" coordsize="53340,110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" path="m52806,l,,,110210r52806,l52806,xe" fillcolor="#e6e6e6" stroked="f">
                <v:path arrowok="t"/>
                <w10:wrap anchorx="page"/>
              </v:shape>
            </w:pict>
          </mc:Fallback>
        </mc:AlternateContent>
      </w:r>
      <w:r w:rsidRPr="00150EDC">
        <w:rPr>
          <w:sz w:val="15"/>
        </w:rPr>
        <w:t>Project</w:t>
      </w:r>
      <w:r w:rsidRPr="00150EDC">
        <w:rPr>
          <w:spacing w:val="-4"/>
          <w:sz w:val="15"/>
        </w:rPr>
        <w:t xml:space="preserve"> </w:t>
      </w:r>
      <w:r w:rsidRPr="00150EDC">
        <w:rPr>
          <w:sz w:val="15"/>
        </w:rPr>
        <w:t>Version:</w:t>
      </w:r>
      <w:r w:rsidRPr="00150EDC">
        <w:rPr>
          <w:spacing w:val="-3"/>
          <w:sz w:val="15"/>
        </w:rPr>
        <w:t xml:space="preserve"> </w:t>
      </w:r>
      <w:r w:rsidRPr="00150EDC">
        <w:rPr>
          <w:spacing w:val="-4"/>
          <w:sz w:val="15"/>
        </w:rPr>
        <w:t>v1.0</w:t>
      </w:r>
      <w:r w:rsidRPr="00150EDC">
        <w:rPr>
          <w:sz w:val="15"/>
        </w:rPr>
        <w:tab/>
        <w:t>-</w:t>
      </w:r>
      <w:r w:rsidRPr="00150EDC">
        <w:rPr>
          <w:spacing w:val="-5"/>
          <w:sz w:val="15"/>
        </w:rPr>
        <w:t>1-</w:t>
      </w:r>
    </w:p>
    <w:p w14:paraId="535F6C12" w14:textId="77777777" w:rsidR="004C7180" w:rsidRPr="00150EDC" w:rsidRDefault="004C7180">
      <w:pPr>
        <w:rPr>
          <w:sz w:val="15"/>
        </w:rPr>
        <w:sectPr w:rsidR="004C7180" w:rsidRPr="00150EDC">
          <w:headerReference w:type="default" r:id="rId48"/>
          <w:footerReference w:type="default" r:id="rId49"/>
          <w:pgSz w:w="11910" w:h="16840"/>
          <w:pgMar w:top="2940" w:right="0" w:bottom="2720" w:left="40" w:header="2612" w:footer="2535" w:gutter="0"/>
          <w:cols w:space="720"/>
        </w:sectPr>
      </w:pPr>
    </w:p>
    <w:p w14:paraId="0EC1BDE4" w14:textId="0E40B08D" w:rsidR="004C7180" w:rsidRPr="00150EDC" w:rsidRDefault="004C7180">
      <w:pPr>
        <w:pStyle w:val="BodyText"/>
        <w:spacing w:before="7"/>
        <w:rPr>
          <w:sz w:val="9"/>
        </w:rPr>
      </w:pPr>
    </w:p>
    <w:p w14:paraId="399E9504" w14:textId="77777777" w:rsidR="004C7180" w:rsidRPr="00150EDC" w:rsidRDefault="00CF0754" w:rsidP="00B320C7">
      <w:pPr>
        <w:pStyle w:val="ListParagraph"/>
        <w:numPr>
          <w:ilvl w:val="1"/>
          <w:numId w:val="94"/>
        </w:numPr>
        <w:tabs>
          <w:tab w:val="left" w:pos="1654"/>
        </w:tabs>
        <w:spacing w:before="95"/>
        <w:rPr>
          <w:sz w:val="18"/>
        </w:rPr>
      </w:pPr>
      <w:r w:rsidRPr="00150EDC">
        <w:rPr>
          <w:sz w:val="18"/>
        </w:rPr>
        <w:t>an</w:t>
      </w:r>
      <w:r w:rsidRPr="00150EDC">
        <w:rPr>
          <w:spacing w:val="-1"/>
          <w:sz w:val="18"/>
        </w:rPr>
        <w:t xml:space="preserve"> </w:t>
      </w:r>
      <w:r w:rsidRPr="00150EDC">
        <w:rPr>
          <w:sz w:val="18"/>
        </w:rPr>
        <w:t>assessment</w:t>
      </w:r>
      <w:r w:rsidRPr="00150EDC">
        <w:rPr>
          <w:spacing w:val="-3"/>
          <w:sz w:val="18"/>
        </w:rPr>
        <w:t xml:space="preserve"> </w:t>
      </w:r>
      <w:r w:rsidRPr="00150EDC">
        <w:rPr>
          <w:sz w:val="18"/>
        </w:rPr>
        <w:t>of</w:t>
      </w:r>
      <w:r w:rsidRPr="00150EDC">
        <w:rPr>
          <w:spacing w:val="-3"/>
          <w:sz w:val="18"/>
        </w:rPr>
        <w:t xml:space="preserve"> </w:t>
      </w:r>
      <w:r w:rsidRPr="00150EDC">
        <w:rPr>
          <w:sz w:val="18"/>
        </w:rPr>
        <w:t>the</w:t>
      </w:r>
      <w:r w:rsidRPr="00150EDC">
        <w:rPr>
          <w:spacing w:val="-2"/>
          <w:sz w:val="18"/>
        </w:rPr>
        <w:t xml:space="preserve"> </w:t>
      </w:r>
      <w:r w:rsidRPr="00150EDC">
        <w:rPr>
          <w:sz w:val="18"/>
        </w:rPr>
        <w:t>risks</w:t>
      </w:r>
      <w:r w:rsidRPr="00150EDC">
        <w:rPr>
          <w:spacing w:val="-2"/>
          <w:sz w:val="18"/>
        </w:rPr>
        <w:t xml:space="preserve"> </w:t>
      </w:r>
      <w:r w:rsidRPr="00150EDC">
        <w:rPr>
          <w:sz w:val="18"/>
        </w:rPr>
        <w:t>to</w:t>
      </w:r>
      <w:r w:rsidRPr="00150EDC">
        <w:rPr>
          <w:spacing w:val="-1"/>
          <w:sz w:val="18"/>
        </w:rPr>
        <w:t xml:space="preserve"> </w:t>
      </w:r>
      <w:r w:rsidRPr="00150EDC">
        <w:rPr>
          <w:sz w:val="18"/>
        </w:rPr>
        <w:t>the</w:t>
      </w:r>
      <w:r w:rsidRPr="00150EDC">
        <w:rPr>
          <w:spacing w:val="-1"/>
          <w:sz w:val="18"/>
        </w:rPr>
        <w:t xml:space="preserve"> </w:t>
      </w:r>
      <w:r w:rsidRPr="00150EDC">
        <w:rPr>
          <w:sz w:val="18"/>
        </w:rPr>
        <w:t>rights</w:t>
      </w:r>
      <w:r w:rsidRPr="00150EDC">
        <w:rPr>
          <w:spacing w:val="-4"/>
          <w:sz w:val="18"/>
        </w:rPr>
        <w:t xml:space="preserve"> </w:t>
      </w:r>
      <w:r w:rsidRPr="00150EDC">
        <w:rPr>
          <w:sz w:val="18"/>
        </w:rPr>
        <w:t>and freedoms</w:t>
      </w:r>
      <w:r w:rsidRPr="00150EDC">
        <w:rPr>
          <w:spacing w:val="-4"/>
          <w:sz w:val="18"/>
        </w:rPr>
        <w:t xml:space="preserve"> </w:t>
      </w:r>
      <w:r w:rsidRPr="00150EDC">
        <w:rPr>
          <w:sz w:val="18"/>
        </w:rPr>
        <w:t>of</w:t>
      </w:r>
      <w:r w:rsidRPr="00150EDC">
        <w:rPr>
          <w:spacing w:val="-1"/>
          <w:sz w:val="18"/>
        </w:rPr>
        <w:t xml:space="preserve"> </w:t>
      </w:r>
      <w:r w:rsidRPr="00150EDC">
        <w:rPr>
          <w:sz w:val="18"/>
        </w:rPr>
        <w:t>Data</w:t>
      </w:r>
      <w:r w:rsidRPr="00150EDC">
        <w:rPr>
          <w:spacing w:val="-1"/>
          <w:sz w:val="18"/>
        </w:rPr>
        <w:t xml:space="preserve"> </w:t>
      </w:r>
      <w:r w:rsidRPr="00150EDC">
        <w:rPr>
          <w:sz w:val="18"/>
        </w:rPr>
        <w:t xml:space="preserve">Subjects; </w:t>
      </w:r>
      <w:r w:rsidRPr="00150EDC">
        <w:rPr>
          <w:spacing w:val="-5"/>
          <w:sz w:val="18"/>
        </w:rPr>
        <w:t>and</w:t>
      </w:r>
    </w:p>
    <w:p w14:paraId="13C79558" w14:textId="77777777" w:rsidR="004C7180" w:rsidRPr="00150EDC" w:rsidRDefault="00CF0754" w:rsidP="00B320C7">
      <w:pPr>
        <w:pStyle w:val="ListParagraph"/>
        <w:numPr>
          <w:ilvl w:val="1"/>
          <w:numId w:val="94"/>
        </w:numPr>
        <w:tabs>
          <w:tab w:val="left" w:pos="1651"/>
          <w:tab w:val="left" w:pos="1654"/>
        </w:tabs>
        <w:spacing w:before="92"/>
        <w:ind w:right="4017"/>
        <w:jc w:val="both"/>
        <w:rPr>
          <w:sz w:val="18"/>
        </w:rPr>
      </w:pPr>
      <w:r w:rsidRPr="00150EDC">
        <w:rPr>
          <w:sz w:val="18"/>
        </w:rPr>
        <w:t>the measures envisaged to address the risks, including safeguards, security measures and mechanisms to ensure the protection of Personal Data.</w:t>
      </w:r>
    </w:p>
    <w:p w14:paraId="6AB9111B" w14:textId="77777777" w:rsidR="004C7180" w:rsidRPr="00150EDC" w:rsidRDefault="004C7180">
      <w:pPr>
        <w:pStyle w:val="BodyText"/>
        <w:spacing w:before="6"/>
        <w:rPr>
          <w:sz w:val="18"/>
        </w:rPr>
      </w:pPr>
    </w:p>
    <w:p w14:paraId="58D2253B" w14:textId="77777777" w:rsidR="004C7180" w:rsidRPr="00150EDC" w:rsidRDefault="00CF0754" w:rsidP="00B320C7">
      <w:pPr>
        <w:pStyle w:val="ListParagraph"/>
        <w:numPr>
          <w:ilvl w:val="0"/>
          <w:numId w:val="94"/>
        </w:numPr>
        <w:tabs>
          <w:tab w:val="left" w:pos="1575"/>
          <w:tab w:val="left" w:pos="1578"/>
        </w:tabs>
        <w:ind w:right="4017"/>
        <w:jc w:val="both"/>
        <w:rPr>
          <w:sz w:val="18"/>
        </w:rPr>
      </w:pPr>
      <w:r w:rsidRPr="00150EDC">
        <w:rPr>
          <w:sz w:val="18"/>
        </w:rPr>
        <w:t>The Processor shall, in relation to any Personal Data Processed in connection with its obligations under the Contract:</w:t>
      </w:r>
    </w:p>
    <w:p w14:paraId="10EB1BE8" w14:textId="77777777" w:rsidR="004C7180" w:rsidRPr="00150EDC" w:rsidRDefault="00CF0754" w:rsidP="00B320C7">
      <w:pPr>
        <w:pStyle w:val="ListParagraph"/>
        <w:numPr>
          <w:ilvl w:val="1"/>
          <w:numId w:val="94"/>
        </w:numPr>
        <w:tabs>
          <w:tab w:val="left" w:pos="1651"/>
          <w:tab w:val="left" w:pos="1654"/>
        </w:tabs>
        <w:spacing w:before="92"/>
        <w:ind w:right="4018"/>
        <w:jc w:val="both"/>
        <w:rPr>
          <w:sz w:val="18"/>
        </w:rPr>
      </w:pPr>
      <w:r w:rsidRPr="00150EDC">
        <w:rPr>
          <w:sz w:val="18"/>
        </w:rPr>
        <w:t xml:space="preserve">Process that Personal Data only in accordance with Annex 1 </w:t>
      </w:r>
      <w:r w:rsidRPr="00150EDC">
        <w:rPr>
          <w:i/>
          <w:sz w:val="18"/>
        </w:rPr>
        <w:t>(Processing Personal Data</w:t>
      </w:r>
      <w:r w:rsidRPr="00150EDC">
        <w:rPr>
          <w:sz w:val="18"/>
        </w:rPr>
        <w:t>), unless the Processor is required to do otherwise by Law. If it is so required the Processor shall notify the Controller before Processing the Personal Data unless prohibited by Law;</w:t>
      </w:r>
    </w:p>
    <w:p w14:paraId="269A5419" w14:textId="77777777" w:rsidR="004C7180" w:rsidRPr="00150EDC" w:rsidRDefault="00CF0754" w:rsidP="00B320C7">
      <w:pPr>
        <w:pStyle w:val="ListParagraph"/>
        <w:numPr>
          <w:ilvl w:val="1"/>
          <w:numId w:val="94"/>
        </w:numPr>
        <w:tabs>
          <w:tab w:val="left" w:pos="1651"/>
          <w:tab w:val="left" w:pos="1654"/>
        </w:tabs>
        <w:spacing w:before="95"/>
        <w:ind w:right="4017"/>
        <w:jc w:val="both"/>
        <w:rPr>
          <w:sz w:val="18"/>
        </w:rPr>
      </w:pPr>
      <w:r w:rsidRPr="00150EDC">
        <w:rPr>
          <w:sz w:val="18"/>
        </w:rPr>
        <w:t>ensure that it has in place Protective Measures, including in the case of the Supplier the measures set out in Clause</w:t>
      </w:r>
      <w:r w:rsidRPr="00150EDC">
        <w:rPr>
          <w:spacing w:val="-1"/>
          <w:sz w:val="18"/>
        </w:rPr>
        <w:t xml:space="preserve"> </w:t>
      </w:r>
      <w:r w:rsidRPr="00150EDC">
        <w:rPr>
          <w:sz w:val="18"/>
        </w:rPr>
        <w:t>14.3 of the Core Terms</w:t>
      </w:r>
      <w:r w:rsidRPr="00150EDC">
        <w:rPr>
          <w:i/>
          <w:sz w:val="18"/>
        </w:rPr>
        <w:t xml:space="preserve">, </w:t>
      </w:r>
      <w:r w:rsidRPr="00150EDC">
        <w:rPr>
          <w:sz w:val="18"/>
        </w:rPr>
        <w:t>which</w:t>
      </w:r>
      <w:r w:rsidRPr="00150EDC">
        <w:rPr>
          <w:spacing w:val="40"/>
          <w:sz w:val="18"/>
        </w:rPr>
        <w:t xml:space="preserve"> </w:t>
      </w:r>
      <w:r w:rsidRPr="00150EDC">
        <w:rPr>
          <w:sz w:val="18"/>
        </w:rPr>
        <w:t>the Controller may reasonably reject (but failure to reject shall not amount to approval</w:t>
      </w:r>
      <w:r w:rsidRPr="00150EDC">
        <w:rPr>
          <w:spacing w:val="-6"/>
          <w:sz w:val="18"/>
        </w:rPr>
        <w:t xml:space="preserve"> </w:t>
      </w:r>
      <w:r w:rsidRPr="00150EDC">
        <w:rPr>
          <w:sz w:val="18"/>
        </w:rPr>
        <w:t>by</w:t>
      </w:r>
      <w:r w:rsidRPr="00150EDC">
        <w:rPr>
          <w:spacing w:val="-7"/>
          <w:sz w:val="18"/>
        </w:rPr>
        <w:t xml:space="preserve"> </w:t>
      </w:r>
      <w:r w:rsidRPr="00150EDC">
        <w:rPr>
          <w:sz w:val="18"/>
        </w:rPr>
        <w:t>the</w:t>
      </w:r>
      <w:r w:rsidRPr="00150EDC">
        <w:rPr>
          <w:spacing w:val="-6"/>
          <w:sz w:val="18"/>
        </w:rPr>
        <w:t xml:space="preserve"> </w:t>
      </w:r>
      <w:r w:rsidRPr="00150EDC">
        <w:rPr>
          <w:sz w:val="18"/>
        </w:rPr>
        <w:t>Controller</w:t>
      </w:r>
      <w:r w:rsidRPr="00150EDC">
        <w:rPr>
          <w:spacing w:val="-6"/>
          <w:sz w:val="18"/>
        </w:rPr>
        <w:t xml:space="preserve"> </w:t>
      </w:r>
      <w:r w:rsidRPr="00150EDC">
        <w:rPr>
          <w:sz w:val="18"/>
        </w:rPr>
        <w:t>of</w:t>
      </w:r>
      <w:r w:rsidRPr="00150EDC">
        <w:rPr>
          <w:spacing w:val="-5"/>
          <w:sz w:val="18"/>
        </w:rPr>
        <w:t xml:space="preserve"> </w:t>
      </w:r>
      <w:r w:rsidRPr="00150EDC">
        <w:rPr>
          <w:sz w:val="18"/>
        </w:rPr>
        <w:t>the</w:t>
      </w:r>
      <w:r w:rsidRPr="00150EDC">
        <w:rPr>
          <w:spacing w:val="-5"/>
          <w:sz w:val="18"/>
        </w:rPr>
        <w:t xml:space="preserve"> </w:t>
      </w:r>
      <w:r w:rsidRPr="00150EDC">
        <w:rPr>
          <w:sz w:val="18"/>
        </w:rPr>
        <w:t>adequacy</w:t>
      </w:r>
      <w:r w:rsidRPr="00150EDC">
        <w:rPr>
          <w:spacing w:val="-7"/>
          <w:sz w:val="18"/>
        </w:rPr>
        <w:t xml:space="preserve"> </w:t>
      </w:r>
      <w:r w:rsidRPr="00150EDC">
        <w:rPr>
          <w:sz w:val="18"/>
        </w:rPr>
        <w:t>of</w:t>
      </w:r>
      <w:r w:rsidRPr="00150EDC">
        <w:rPr>
          <w:spacing w:val="-9"/>
          <w:sz w:val="18"/>
        </w:rPr>
        <w:t xml:space="preserve"> </w:t>
      </w:r>
      <w:r w:rsidRPr="00150EDC">
        <w:rPr>
          <w:sz w:val="18"/>
        </w:rPr>
        <w:t>the</w:t>
      </w:r>
      <w:r w:rsidRPr="00150EDC">
        <w:rPr>
          <w:spacing w:val="-6"/>
          <w:sz w:val="18"/>
        </w:rPr>
        <w:t xml:space="preserve"> </w:t>
      </w:r>
      <w:r w:rsidRPr="00150EDC">
        <w:rPr>
          <w:sz w:val="18"/>
        </w:rPr>
        <w:t>Protective</w:t>
      </w:r>
      <w:r w:rsidRPr="00150EDC">
        <w:rPr>
          <w:spacing w:val="-5"/>
          <w:sz w:val="18"/>
        </w:rPr>
        <w:t xml:space="preserve"> </w:t>
      </w:r>
      <w:r w:rsidRPr="00150EDC">
        <w:rPr>
          <w:sz w:val="18"/>
        </w:rPr>
        <w:t>Measures)</w:t>
      </w:r>
      <w:r w:rsidRPr="00150EDC">
        <w:rPr>
          <w:spacing w:val="-6"/>
          <w:sz w:val="18"/>
        </w:rPr>
        <w:t xml:space="preserve"> </w:t>
      </w:r>
      <w:r w:rsidRPr="00150EDC">
        <w:rPr>
          <w:sz w:val="18"/>
        </w:rPr>
        <w:t>having taken account of the:</w:t>
      </w:r>
    </w:p>
    <w:p w14:paraId="0998FB22" w14:textId="77777777" w:rsidR="004C7180" w:rsidRPr="00150EDC" w:rsidRDefault="00CF0754" w:rsidP="00B320C7">
      <w:pPr>
        <w:pStyle w:val="ListParagraph"/>
        <w:numPr>
          <w:ilvl w:val="2"/>
          <w:numId w:val="94"/>
        </w:numPr>
        <w:tabs>
          <w:tab w:val="left" w:pos="2646"/>
        </w:tabs>
        <w:spacing w:before="95"/>
        <w:ind w:hanging="533"/>
        <w:rPr>
          <w:sz w:val="18"/>
        </w:rPr>
      </w:pPr>
      <w:r w:rsidRPr="00150EDC">
        <w:rPr>
          <w:sz w:val="18"/>
        </w:rPr>
        <w:t>nature</w:t>
      </w:r>
      <w:r w:rsidRPr="00150EDC">
        <w:rPr>
          <w:spacing w:val="-3"/>
          <w:sz w:val="18"/>
        </w:rPr>
        <w:t xml:space="preserve"> </w:t>
      </w:r>
      <w:r w:rsidRPr="00150EDC">
        <w:rPr>
          <w:sz w:val="18"/>
        </w:rPr>
        <w:t>of</w:t>
      </w:r>
      <w:r w:rsidRPr="00150EDC">
        <w:rPr>
          <w:spacing w:val="-2"/>
          <w:sz w:val="18"/>
        </w:rPr>
        <w:t xml:space="preserve"> </w:t>
      </w:r>
      <w:r w:rsidRPr="00150EDC">
        <w:rPr>
          <w:sz w:val="18"/>
        </w:rPr>
        <w:t>the</w:t>
      </w:r>
      <w:r w:rsidRPr="00150EDC">
        <w:rPr>
          <w:spacing w:val="-2"/>
          <w:sz w:val="18"/>
        </w:rPr>
        <w:t xml:space="preserve"> </w:t>
      </w:r>
      <w:r w:rsidRPr="00150EDC">
        <w:rPr>
          <w:sz w:val="18"/>
        </w:rPr>
        <w:t xml:space="preserve">data to be </w:t>
      </w:r>
      <w:r w:rsidRPr="00150EDC">
        <w:rPr>
          <w:spacing w:val="-2"/>
          <w:sz w:val="18"/>
        </w:rPr>
        <w:t>protected;</w:t>
      </w:r>
    </w:p>
    <w:p w14:paraId="4CE6F5BB" w14:textId="77777777" w:rsidR="004C7180" w:rsidRPr="00150EDC" w:rsidRDefault="00CF0754" w:rsidP="00B320C7">
      <w:pPr>
        <w:pStyle w:val="ListParagraph"/>
        <w:numPr>
          <w:ilvl w:val="2"/>
          <w:numId w:val="94"/>
        </w:numPr>
        <w:tabs>
          <w:tab w:val="left" w:pos="2646"/>
        </w:tabs>
        <w:spacing w:before="91"/>
        <w:ind w:hanging="533"/>
        <w:rPr>
          <w:sz w:val="18"/>
        </w:rPr>
      </w:pPr>
      <w:r w:rsidRPr="00150EDC">
        <w:rPr>
          <w:sz w:val="18"/>
        </w:rPr>
        <w:t>harm</w:t>
      </w:r>
      <w:r w:rsidRPr="00150EDC">
        <w:rPr>
          <w:spacing w:val="-3"/>
          <w:sz w:val="18"/>
        </w:rPr>
        <w:t xml:space="preserve"> </w:t>
      </w:r>
      <w:r w:rsidRPr="00150EDC">
        <w:rPr>
          <w:sz w:val="18"/>
        </w:rPr>
        <w:t>that</w:t>
      </w:r>
      <w:r w:rsidRPr="00150EDC">
        <w:rPr>
          <w:spacing w:val="-1"/>
          <w:sz w:val="18"/>
        </w:rPr>
        <w:t xml:space="preserve"> </w:t>
      </w:r>
      <w:r w:rsidRPr="00150EDC">
        <w:rPr>
          <w:sz w:val="18"/>
        </w:rPr>
        <w:t>might</w:t>
      </w:r>
      <w:r w:rsidRPr="00150EDC">
        <w:rPr>
          <w:spacing w:val="-2"/>
          <w:sz w:val="18"/>
        </w:rPr>
        <w:t xml:space="preserve"> </w:t>
      </w:r>
      <w:r w:rsidRPr="00150EDC">
        <w:rPr>
          <w:sz w:val="18"/>
        </w:rPr>
        <w:t>result</w:t>
      </w:r>
      <w:r w:rsidRPr="00150EDC">
        <w:rPr>
          <w:spacing w:val="-2"/>
          <w:sz w:val="18"/>
        </w:rPr>
        <w:t xml:space="preserve"> </w:t>
      </w:r>
      <w:r w:rsidRPr="00150EDC">
        <w:rPr>
          <w:sz w:val="18"/>
        </w:rPr>
        <w:t>from</w:t>
      </w:r>
      <w:r w:rsidRPr="00150EDC">
        <w:rPr>
          <w:spacing w:val="-1"/>
          <w:sz w:val="18"/>
        </w:rPr>
        <w:t xml:space="preserve"> </w:t>
      </w:r>
      <w:r w:rsidRPr="00150EDC">
        <w:rPr>
          <w:sz w:val="18"/>
        </w:rPr>
        <w:t>a</w:t>
      </w:r>
      <w:r w:rsidRPr="00150EDC">
        <w:rPr>
          <w:spacing w:val="-3"/>
          <w:sz w:val="18"/>
        </w:rPr>
        <w:t xml:space="preserve"> </w:t>
      </w:r>
      <w:r w:rsidRPr="00150EDC">
        <w:rPr>
          <w:sz w:val="18"/>
        </w:rPr>
        <w:t>Personal</w:t>
      </w:r>
      <w:r w:rsidRPr="00150EDC">
        <w:rPr>
          <w:spacing w:val="-2"/>
          <w:sz w:val="18"/>
        </w:rPr>
        <w:t xml:space="preserve"> </w:t>
      </w:r>
      <w:r w:rsidRPr="00150EDC">
        <w:rPr>
          <w:sz w:val="18"/>
        </w:rPr>
        <w:t>Data</w:t>
      </w:r>
      <w:r w:rsidRPr="00150EDC">
        <w:rPr>
          <w:spacing w:val="-1"/>
          <w:sz w:val="18"/>
        </w:rPr>
        <w:t xml:space="preserve"> </w:t>
      </w:r>
      <w:r w:rsidRPr="00150EDC">
        <w:rPr>
          <w:spacing w:val="-2"/>
          <w:sz w:val="18"/>
        </w:rPr>
        <w:t>Breach;</w:t>
      </w:r>
    </w:p>
    <w:p w14:paraId="536DF17B" w14:textId="77777777" w:rsidR="004C7180" w:rsidRPr="00150EDC" w:rsidRDefault="00CF0754" w:rsidP="00B320C7">
      <w:pPr>
        <w:pStyle w:val="ListParagraph"/>
        <w:numPr>
          <w:ilvl w:val="2"/>
          <w:numId w:val="94"/>
        </w:numPr>
        <w:tabs>
          <w:tab w:val="left" w:pos="2646"/>
        </w:tabs>
        <w:spacing w:before="91"/>
        <w:ind w:hanging="533"/>
        <w:rPr>
          <w:sz w:val="18"/>
        </w:rPr>
      </w:pPr>
      <w:r w:rsidRPr="00150EDC">
        <w:rPr>
          <w:sz w:val="18"/>
        </w:rPr>
        <w:t>state</w:t>
      </w:r>
      <w:r w:rsidRPr="00150EDC">
        <w:rPr>
          <w:spacing w:val="-5"/>
          <w:sz w:val="18"/>
        </w:rPr>
        <w:t xml:space="preserve"> </w:t>
      </w:r>
      <w:r w:rsidRPr="00150EDC">
        <w:rPr>
          <w:sz w:val="18"/>
        </w:rPr>
        <w:t>of</w:t>
      </w:r>
      <w:r w:rsidRPr="00150EDC">
        <w:rPr>
          <w:spacing w:val="-3"/>
          <w:sz w:val="18"/>
        </w:rPr>
        <w:t xml:space="preserve"> </w:t>
      </w:r>
      <w:r w:rsidRPr="00150EDC">
        <w:rPr>
          <w:sz w:val="18"/>
        </w:rPr>
        <w:t>technological</w:t>
      </w:r>
      <w:r w:rsidRPr="00150EDC">
        <w:rPr>
          <w:spacing w:val="-3"/>
          <w:sz w:val="18"/>
        </w:rPr>
        <w:t xml:space="preserve"> </w:t>
      </w:r>
      <w:r w:rsidRPr="00150EDC">
        <w:rPr>
          <w:sz w:val="18"/>
        </w:rPr>
        <w:t>development;</w:t>
      </w:r>
      <w:r w:rsidRPr="00150EDC">
        <w:rPr>
          <w:spacing w:val="-4"/>
          <w:sz w:val="18"/>
        </w:rPr>
        <w:t xml:space="preserve"> </w:t>
      </w:r>
      <w:r w:rsidRPr="00150EDC">
        <w:rPr>
          <w:spacing w:val="-5"/>
          <w:sz w:val="18"/>
        </w:rPr>
        <w:t>and</w:t>
      </w:r>
    </w:p>
    <w:p w14:paraId="3BD5E0C3" w14:textId="77777777" w:rsidR="004C7180" w:rsidRPr="00150EDC" w:rsidRDefault="00CF0754" w:rsidP="00B320C7">
      <w:pPr>
        <w:pStyle w:val="ListParagraph"/>
        <w:numPr>
          <w:ilvl w:val="2"/>
          <w:numId w:val="94"/>
        </w:numPr>
        <w:tabs>
          <w:tab w:val="left" w:pos="2646"/>
        </w:tabs>
        <w:spacing w:before="92"/>
        <w:ind w:hanging="533"/>
        <w:rPr>
          <w:sz w:val="18"/>
        </w:rPr>
      </w:pPr>
      <w:r w:rsidRPr="00150EDC">
        <w:rPr>
          <w:sz w:val="18"/>
        </w:rPr>
        <w:t>cost</w:t>
      </w:r>
      <w:r w:rsidRPr="00150EDC">
        <w:rPr>
          <w:spacing w:val="-2"/>
          <w:sz w:val="18"/>
        </w:rPr>
        <w:t xml:space="preserve"> </w:t>
      </w:r>
      <w:r w:rsidRPr="00150EDC">
        <w:rPr>
          <w:sz w:val="18"/>
        </w:rPr>
        <w:t>of</w:t>
      </w:r>
      <w:r w:rsidRPr="00150EDC">
        <w:rPr>
          <w:spacing w:val="-3"/>
          <w:sz w:val="18"/>
        </w:rPr>
        <w:t xml:space="preserve"> </w:t>
      </w:r>
      <w:r w:rsidRPr="00150EDC">
        <w:rPr>
          <w:sz w:val="18"/>
        </w:rPr>
        <w:t>implementing</w:t>
      </w:r>
      <w:r w:rsidRPr="00150EDC">
        <w:rPr>
          <w:spacing w:val="-1"/>
          <w:sz w:val="18"/>
        </w:rPr>
        <w:t xml:space="preserve"> </w:t>
      </w:r>
      <w:r w:rsidRPr="00150EDC">
        <w:rPr>
          <w:sz w:val="18"/>
        </w:rPr>
        <w:t>any</w:t>
      </w:r>
      <w:r w:rsidRPr="00150EDC">
        <w:rPr>
          <w:spacing w:val="-2"/>
          <w:sz w:val="18"/>
        </w:rPr>
        <w:t xml:space="preserve"> measures;</w:t>
      </w:r>
    </w:p>
    <w:p w14:paraId="171C73F5" w14:textId="77777777" w:rsidR="004C7180" w:rsidRPr="00150EDC" w:rsidRDefault="00CF0754" w:rsidP="00B320C7">
      <w:pPr>
        <w:pStyle w:val="ListParagraph"/>
        <w:numPr>
          <w:ilvl w:val="1"/>
          <w:numId w:val="94"/>
        </w:numPr>
        <w:tabs>
          <w:tab w:val="left" w:pos="1654"/>
        </w:tabs>
        <w:spacing w:before="89"/>
        <w:rPr>
          <w:sz w:val="18"/>
        </w:rPr>
      </w:pPr>
      <w:r w:rsidRPr="00150EDC">
        <w:rPr>
          <w:sz w:val="18"/>
        </w:rPr>
        <w:t>ensure</w:t>
      </w:r>
      <w:r w:rsidRPr="00150EDC">
        <w:rPr>
          <w:spacing w:val="-5"/>
          <w:sz w:val="18"/>
        </w:rPr>
        <w:t xml:space="preserve"> </w:t>
      </w:r>
      <w:r w:rsidRPr="00150EDC">
        <w:rPr>
          <w:sz w:val="18"/>
        </w:rPr>
        <w:t xml:space="preserve">that </w:t>
      </w:r>
      <w:r w:rsidRPr="00150EDC">
        <w:rPr>
          <w:spacing w:val="-10"/>
          <w:sz w:val="18"/>
        </w:rPr>
        <w:t>:</w:t>
      </w:r>
    </w:p>
    <w:p w14:paraId="39992CAF" w14:textId="77777777" w:rsidR="004C7180" w:rsidRPr="00150EDC" w:rsidRDefault="00CF0754" w:rsidP="00B320C7">
      <w:pPr>
        <w:pStyle w:val="ListParagraph"/>
        <w:numPr>
          <w:ilvl w:val="2"/>
          <w:numId w:val="94"/>
        </w:numPr>
        <w:tabs>
          <w:tab w:val="left" w:pos="2643"/>
          <w:tab w:val="left" w:pos="2646"/>
        </w:tabs>
        <w:spacing w:before="91"/>
        <w:ind w:right="4018"/>
        <w:jc w:val="both"/>
        <w:rPr>
          <w:sz w:val="18"/>
        </w:rPr>
      </w:pPr>
      <w:r w:rsidRPr="00150EDC">
        <w:rPr>
          <w:sz w:val="18"/>
        </w:rPr>
        <w:t>the</w:t>
      </w:r>
      <w:r w:rsidRPr="00150EDC">
        <w:rPr>
          <w:spacing w:val="-2"/>
          <w:sz w:val="18"/>
        </w:rPr>
        <w:t xml:space="preserve"> </w:t>
      </w:r>
      <w:r w:rsidRPr="00150EDC">
        <w:rPr>
          <w:sz w:val="18"/>
        </w:rPr>
        <w:t>Processor</w:t>
      </w:r>
      <w:r w:rsidRPr="00150EDC">
        <w:rPr>
          <w:spacing w:val="-1"/>
          <w:sz w:val="18"/>
        </w:rPr>
        <w:t xml:space="preserve"> </w:t>
      </w:r>
      <w:r w:rsidRPr="00150EDC">
        <w:rPr>
          <w:sz w:val="18"/>
        </w:rPr>
        <w:t>Personnel</w:t>
      </w:r>
      <w:r w:rsidRPr="00150EDC">
        <w:rPr>
          <w:spacing w:val="-1"/>
          <w:sz w:val="18"/>
        </w:rPr>
        <w:t xml:space="preserve"> </w:t>
      </w:r>
      <w:r w:rsidRPr="00150EDC">
        <w:rPr>
          <w:sz w:val="18"/>
        </w:rPr>
        <w:t>do</w:t>
      </w:r>
      <w:r w:rsidRPr="00150EDC">
        <w:rPr>
          <w:spacing w:val="-2"/>
          <w:sz w:val="18"/>
        </w:rPr>
        <w:t xml:space="preserve"> </w:t>
      </w:r>
      <w:r w:rsidRPr="00150EDC">
        <w:rPr>
          <w:sz w:val="18"/>
        </w:rPr>
        <w:t>not</w:t>
      </w:r>
      <w:r w:rsidRPr="00150EDC">
        <w:rPr>
          <w:spacing w:val="-2"/>
          <w:sz w:val="18"/>
        </w:rPr>
        <w:t xml:space="preserve"> </w:t>
      </w:r>
      <w:r w:rsidRPr="00150EDC">
        <w:rPr>
          <w:sz w:val="18"/>
        </w:rPr>
        <w:t>Process</w:t>
      </w:r>
      <w:r w:rsidRPr="00150EDC">
        <w:rPr>
          <w:spacing w:val="-3"/>
          <w:sz w:val="18"/>
        </w:rPr>
        <w:t xml:space="preserve"> </w:t>
      </w:r>
      <w:r w:rsidRPr="00150EDC">
        <w:rPr>
          <w:sz w:val="18"/>
        </w:rPr>
        <w:t>Personal</w:t>
      </w:r>
      <w:r w:rsidRPr="00150EDC">
        <w:rPr>
          <w:spacing w:val="-3"/>
          <w:sz w:val="18"/>
        </w:rPr>
        <w:t xml:space="preserve"> </w:t>
      </w:r>
      <w:r w:rsidRPr="00150EDC">
        <w:rPr>
          <w:sz w:val="18"/>
        </w:rPr>
        <w:t>Data</w:t>
      </w:r>
      <w:r w:rsidRPr="00150EDC">
        <w:rPr>
          <w:spacing w:val="-2"/>
          <w:sz w:val="18"/>
        </w:rPr>
        <w:t xml:space="preserve"> </w:t>
      </w:r>
      <w:r w:rsidRPr="00150EDC">
        <w:rPr>
          <w:sz w:val="18"/>
        </w:rPr>
        <w:t>except</w:t>
      </w:r>
      <w:r w:rsidRPr="00150EDC">
        <w:rPr>
          <w:spacing w:val="-2"/>
          <w:sz w:val="18"/>
        </w:rPr>
        <w:t xml:space="preserve"> </w:t>
      </w:r>
      <w:r w:rsidRPr="00150EDC">
        <w:rPr>
          <w:sz w:val="18"/>
        </w:rPr>
        <w:t xml:space="preserve">in accordance with the Contract (and in particular Annex 1 </w:t>
      </w:r>
      <w:r w:rsidRPr="00150EDC">
        <w:rPr>
          <w:i/>
          <w:sz w:val="18"/>
        </w:rPr>
        <w:t>(Processing Personal Data</w:t>
      </w:r>
      <w:r w:rsidRPr="00150EDC">
        <w:rPr>
          <w:sz w:val="18"/>
        </w:rPr>
        <w:t>));</w:t>
      </w:r>
    </w:p>
    <w:p w14:paraId="445415A2" w14:textId="77777777" w:rsidR="004C7180" w:rsidRPr="00150EDC" w:rsidRDefault="00CF0754" w:rsidP="00B320C7">
      <w:pPr>
        <w:pStyle w:val="ListParagraph"/>
        <w:numPr>
          <w:ilvl w:val="2"/>
          <w:numId w:val="94"/>
        </w:numPr>
        <w:tabs>
          <w:tab w:val="left" w:pos="2644"/>
          <w:tab w:val="left" w:pos="2646"/>
        </w:tabs>
        <w:spacing w:before="94"/>
        <w:ind w:right="4017"/>
        <w:jc w:val="both"/>
        <w:rPr>
          <w:sz w:val="18"/>
        </w:rPr>
      </w:pPr>
      <w:r w:rsidRPr="00150EDC">
        <w:rPr>
          <w:sz w:val="18"/>
        </w:rPr>
        <w:t>it takes all reasonable steps to ensure the reliability and integrity of any Processor Personnel who have access to the Personal Data and ensure that they:</w:t>
      </w:r>
    </w:p>
    <w:p w14:paraId="68CEBC72" w14:textId="77777777" w:rsidR="004C7180" w:rsidRPr="00150EDC" w:rsidRDefault="00CF0754" w:rsidP="00B320C7">
      <w:pPr>
        <w:pStyle w:val="ListParagraph"/>
        <w:numPr>
          <w:ilvl w:val="3"/>
          <w:numId w:val="94"/>
        </w:numPr>
        <w:tabs>
          <w:tab w:val="left" w:pos="3179"/>
          <w:tab w:val="left" w:pos="3181"/>
        </w:tabs>
        <w:spacing w:before="93"/>
        <w:ind w:right="4016"/>
        <w:jc w:val="both"/>
        <w:rPr>
          <w:sz w:val="18"/>
        </w:rPr>
      </w:pPr>
      <w:r w:rsidRPr="00150EDC">
        <w:rPr>
          <w:sz w:val="18"/>
        </w:rPr>
        <w:t>are</w:t>
      </w:r>
      <w:r w:rsidRPr="00150EDC">
        <w:rPr>
          <w:spacing w:val="-4"/>
          <w:sz w:val="18"/>
        </w:rPr>
        <w:t xml:space="preserve"> </w:t>
      </w:r>
      <w:r w:rsidRPr="00150EDC">
        <w:rPr>
          <w:sz w:val="18"/>
        </w:rPr>
        <w:t>aware</w:t>
      </w:r>
      <w:r w:rsidRPr="00150EDC">
        <w:rPr>
          <w:spacing w:val="-6"/>
          <w:sz w:val="18"/>
        </w:rPr>
        <w:t xml:space="preserve"> </w:t>
      </w:r>
      <w:r w:rsidRPr="00150EDC">
        <w:rPr>
          <w:sz w:val="18"/>
        </w:rPr>
        <w:t>of</w:t>
      </w:r>
      <w:r w:rsidRPr="00150EDC">
        <w:rPr>
          <w:spacing w:val="-4"/>
          <w:sz w:val="18"/>
        </w:rPr>
        <w:t xml:space="preserve"> </w:t>
      </w:r>
      <w:r w:rsidRPr="00150EDC">
        <w:rPr>
          <w:sz w:val="18"/>
        </w:rPr>
        <w:t>and</w:t>
      </w:r>
      <w:r w:rsidRPr="00150EDC">
        <w:rPr>
          <w:spacing w:val="-4"/>
          <w:sz w:val="18"/>
        </w:rPr>
        <w:t xml:space="preserve"> </w:t>
      </w:r>
      <w:r w:rsidRPr="00150EDC">
        <w:rPr>
          <w:sz w:val="18"/>
        </w:rPr>
        <w:t>comply</w:t>
      </w:r>
      <w:r w:rsidRPr="00150EDC">
        <w:rPr>
          <w:spacing w:val="-4"/>
          <w:sz w:val="18"/>
        </w:rPr>
        <w:t xml:space="preserve"> </w:t>
      </w:r>
      <w:r w:rsidRPr="00150EDC">
        <w:rPr>
          <w:sz w:val="18"/>
        </w:rPr>
        <w:t>with</w:t>
      </w:r>
      <w:r w:rsidRPr="00150EDC">
        <w:rPr>
          <w:spacing w:val="-4"/>
          <w:sz w:val="18"/>
        </w:rPr>
        <w:t xml:space="preserve"> </w:t>
      </w:r>
      <w:r w:rsidRPr="00150EDC">
        <w:rPr>
          <w:sz w:val="18"/>
        </w:rPr>
        <w:t>the</w:t>
      </w:r>
      <w:r w:rsidRPr="00150EDC">
        <w:rPr>
          <w:spacing w:val="-4"/>
          <w:sz w:val="18"/>
        </w:rPr>
        <w:t xml:space="preserve"> </w:t>
      </w:r>
      <w:r w:rsidRPr="00150EDC">
        <w:rPr>
          <w:sz w:val="18"/>
        </w:rPr>
        <w:t>Processor’s</w:t>
      </w:r>
      <w:r w:rsidRPr="00150EDC">
        <w:rPr>
          <w:spacing w:val="-6"/>
          <w:sz w:val="18"/>
        </w:rPr>
        <w:t xml:space="preserve"> </w:t>
      </w:r>
      <w:r w:rsidRPr="00150EDC">
        <w:rPr>
          <w:sz w:val="18"/>
        </w:rPr>
        <w:t>duties</w:t>
      </w:r>
      <w:r w:rsidRPr="00150EDC">
        <w:rPr>
          <w:spacing w:val="-6"/>
          <w:sz w:val="18"/>
        </w:rPr>
        <w:t xml:space="preserve"> </w:t>
      </w:r>
      <w:r w:rsidRPr="00150EDC">
        <w:rPr>
          <w:sz w:val="18"/>
        </w:rPr>
        <w:t>under this Joint Schedule 11, Clauses</w:t>
      </w:r>
      <w:r w:rsidRPr="00150EDC">
        <w:rPr>
          <w:spacing w:val="-3"/>
          <w:sz w:val="18"/>
        </w:rPr>
        <w:t xml:space="preserve"> </w:t>
      </w:r>
      <w:r w:rsidRPr="00150EDC">
        <w:rPr>
          <w:sz w:val="18"/>
        </w:rPr>
        <w:t>14 (</w:t>
      </w:r>
      <w:r w:rsidRPr="00150EDC">
        <w:rPr>
          <w:i/>
          <w:sz w:val="18"/>
        </w:rPr>
        <w:t>Data protection</w:t>
      </w:r>
      <w:r w:rsidRPr="00150EDC">
        <w:rPr>
          <w:sz w:val="18"/>
        </w:rPr>
        <w:t>), 15 (</w:t>
      </w:r>
      <w:r w:rsidRPr="00150EDC">
        <w:rPr>
          <w:i/>
          <w:sz w:val="18"/>
        </w:rPr>
        <w:t>What you must keep confidential</w:t>
      </w:r>
      <w:r w:rsidRPr="00150EDC">
        <w:rPr>
          <w:sz w:val="18"/>
        </w:rPr>
        <w:t>) and 16 (</w:t>
      </w:r>
      <w:r w:rsidRPr="00150EDC">
        <w:rPr>
          <w:i/>
          <w:sz w:val="18"/>
        </w:rPr>
        <w:t>When you can share information</w:t>
      </w:r>
      <w:r w:rsidRPr="00150EDC">
        <w:rPr>
          <w:sz w:val="18"/>
        </w:rPr>
        <w:t>);</w:t>
      </w:r>
    </w:p>
    <w:p w14:paraId="5E203E06" w14:textId="77777777" w:rsidR="004C7180" w:rsidRPr="00150EDC" w:rsidRDefault="00CF0754" w:rsidP="00B320C7">
      <w:pPr>
        <w:pStyle w:val="ListParagraph"/>
        <w:numPr>
          <w:ilvl w:val="3"/>
          <w:numId w:val="94"/>
        </w:numPr>
        <w:tabs>
          <w:tab w:val="left" w:pos="3179"/>
          <w:tab w:val="left" w:pos="3181"/>
        </w:tabs>
        <w:spacing w:before="94"/>
        <w:ind w:right="4018"/>
        <w:jc w:val="both"/>
        <w:rPr>
          <w:sz w:val="18"/>
        </w:rPr>
      </w:pPr>
      <w:r w:rsidRPr="00150EDC">
        <w:rPr>
          <w:sz w:val="18"/>
        </w:rPr>
        <w:t>are subject</w:t>
      </w:r>
      <w:r w:rsidRPr="00150EDC">
        <w:rPr>
          <w:spacing w:val="-1"/>
          <w:sz w:val="18"/>
        </w:rPr>
        <w:t xml:space="preserve"> </w:t>
      </w:r>
      <w:r w:rsidRPr="00150EDC">
        <w:rPr>
          <w:sz w:val="18"/>
        </w:rPr>
        <w:t>to appropriate confidentiality</w:t>
      </w:r>
      <w:r w:rsidRPr="00150EDC">
        <w:rPr>
          <w:spacing w:val="-1"/>
          <w:sz w:val="18"/>
        </w:rPr>
        <w:t xml:space="preserve"> </w:t>
      </w:r>
      <w:r w:rsidRPr="00150EDC">
        <w:rPr>
          <w:sz w:val="18"/>
        </w:rPr>
        <w:t>undertakings</w:t>
      </w:r>
      <w:r w:rsidRPr="00150EDC">
        <w:rPr>
          <w:spacing w:val="-3"/>
          <w:sz w:val="18"/>
        </w:rPr>
        <w:t xml:space="preserve"> </w:t>
      </w:r>
      <w:r w:rsidRPr="00150EDC">
        <w:rPr>
          <w:sz w:val="18"/>
        </w:rPr>
        <w:t>with the Processor or any Subprocessor;</w:t>
      </w:r>
    </w:p>
    <w:p w14:paraId="15F85981" w14:textId="77777777" w:rsidR="004C7180" w:rsidRPr="00150EDC" w:rsidRDefault="00CF0754" w:rsidP="00B320C7">
      <w:pPr>
        <w:pStyle w:val="ListParagraph"/>
        <w:numPr>
          <w:ilvl w:val="3"/>
          <w:numId w:val="94"/>
        </w:numPr>
        <w:tabs>
          <w:tab w:val="left" w:pos="3179"/>
          <w:tab w:val="left" w:pos="3181"/>
        </w:tabs>
        <w:spacing w:before="92"/>
        <w:ind w:right="4016"/>
        <w:jc w:val="both"/>
        <w:rPr>
          <w:sz w:val="18"/>
        </w:rPr>
      </w:pPr>
      <w:r w:rsidRPr="00150EDC">
        <w:rPr>
          <w:sz w:val="18"/>
        </w:rPr>
        <w:t>are</w:t>
      </w:r>
      <w:r w:rsidRPr="00150EDC">
        <w:rPr>
          <w:spacing w:val="-10"/>
          <w:sz w:val="18"/>
        </w:rPr>
        <w:t xml:space="preserve"> </w:t>
      </w:r>
      <w:r w:rsidRPr="00150EDC">
        <w:rPr>
          <w:sz w:val="18"/>
        </w:rPr>
        <w:t>informed</w:t>
      </w:r>
      <w:r w:rsidRPr="00150EDC">
        <w:rPr>
          <w:spacing w:val="-10"/>
          <w:sz w:val="18"/>
        </w:rPr>
        <w:t xml:space="preserve"> </w:t>
      </w:r>
      <w:r w:rsidRPr="00150EDC">
        <w:rPr>
          <w:sz w:val="18"/>
        </w:rPr>
        <w:t>of</w:t>
      </w:r>
      <w:r w:rsidRPr="00150EDC">
        <w:rPr>
          <w:spacing w:val="-11"/>
          <w:sz w:val="18"/>
        </w:rPr>
        <w:t xml:space="preserve"> </w:t>
      </w:r>
      <w:r w:rsidRPr="00150EDC">
        <w:rPr>
          <w:sz w:val="18"/>
        </w:rPr>
        <w:t>the</w:t>
      </w:r>
      <w:r w:rsidRPr="00150EDC">
        <w:rPr>
          <w:spacing w:val="-11"/>
          <w:sz w:val="18"/>
        </w:rPr>
        <w:t xml:space="preserve"> </w:t>
      </w:r>
      <w:r w:rsidRPr="00150EDC">
        <w:rPr>
          <w:sz w:val="18"/>
        </w:rPr>
        <w:t>confidential</w:t>
      </w:r>
      <w:r w:rsidRPr="00150EDC">
        <w:rPr>
          <w:spacing w:val="-10"/>
          <w:sz w:val="18"/>
        </w:rPr>
        <w:t xml:space="preserve"> </w:t>
      </w:r>
      <w:r w:rsidRPr="00150EDC">
        <w:rPr>
          <w:sz w:val="18"/>
        </w:rPr>
        <w:t>nature</w:t>
      </w:r>
      <w:r w:rsidRPr="00150EDC">
        <w:rPr>
          <w:spacing w:val="-10"/>
          <w:sz w:val="18"/>
        </w:rPr>
        <w:t xml:space="preserve"> </w:t>
      </w:r>
      <w:r w:rsidRPr="00150EDC">
        <w:rPr>
          <w:sz w:val="18"/>
        </w:rPr>
        <w:t>of</w:t>
      </w:r>
      <w:r w:rsidRPr="00150EDC">
        <w:rPr>
          <w:spacing w:val="-10"/>
          <w:sz w:val="18"/>
        </w:rPr>
        <w:t xml:space="preserve"> </w:t>
      </w:r>
      <w:r w:rsidRPr="00150EDC">
        <w:rPr>
          <w:sz w:val="18"/>
        </w:rPr>
        <w:t>the</w:t>
      </w:r>
      <w:r w:rsidRPr="00150EDC">
        <w:rPr>
          <w:spacing w:val="-10"/>
          <w:sz w:val="18"/>
        </w:rPr>
        <w:t xml:space="preserve"> </w:t>
      </w:r>
      <w:r w:rsidRPr="00150EDC">
        <w:rPr>
          <w:sz w:val="18"/>
        </w:rPr>
        <w:t>Personal</w:t>
      </w:r>
      <w:r w:rsidRPr="00150EDC">
        <w:rPr>
          <w:spacing w:val="-10"/>
          <w:sz w:val="18"/>
        </w:rPr>
        <w:t xml:space="preserve"> </w:t>
      </w:r>
      <w:r w:rsidRPr="00150EDC">
        <w:rPr>
          <w:sz w:val="18"/>
        </w:rPr>
        <w:t>Data and</w:t>
      </w:r>
      <w:r w:rsidRPr="00150EDC">
        <w:rPr>
          <w:spacing w:val="-2"/>
          <w:sz w:val="18"/>
        </w:rPr>
        <w:t xml:space="preserve"> </w:t>
      </w:r>
      <w:r w:rsidRPr="00150EDC">
        <w:rPr>
          <w:sz w:val="18"/>
        </w:rPr>
        <w:t>do</w:t>
      </w:r>
      <w:r w:rsidRPr="00150EDC">
        <w:rPr>
          <w:spacing w:val="-2"/>
          <w:sz w:val="18"/>
        </w:rPr>
        <w:t xml:space="preserve"> </w:t>
      </w:r>
      <w:r w:rsidRPr="00150EDC">
        <w:rPr>
          <w:sz w:val="18"/>
        </w:rPr>
        <w:t>not</w:t>
      </w:r>
      <w:r w:rsidRPr="00150EDC">
        <w:rPr>
          <w:spacing w:val="-4"/>
          <w:sz w:val="18"/>
        </w:rPr>
        <w:t xml:space="preserve"> </w:t>
      </w:r>
      <w:r w:rsidRPr="00150EDC">
        <w:rPr>
          <w:sz w:val="18"/>
        </w:rPr>
        <w:t>publish,</w:t>
      </w:r>
      <w:r w:rsidRPr="00150EDC">
        <w:rPr>
          <w:spacing w:val="-2"/>
          <w:sz w:val="18"/>
        </w:rPr>
        <w:t xml:space="preserve"> </w:t>
      </w:r>
      <w:r w:rsidRPr="00150EDC">
        <w:rPr>
          <w:sz w:val="18"/>
        </w:rPr>
        <w:t>disclose</w:t>
      </w:r>
      <w:r w:rsidRPr="00150EDC">
        <w:rPr>
          <w:spacing w:val="-2"/>
          <w:sz w:val="18"/>
        </w:rPr>
        <w:t xml:space="preserve"> </w:t>
      </w:r>
      <w:r w:rsidRPr="00150EDC">
        <w:rPr>
          <w:sz w:val="18"/>
        </w:rPr>
        <w:t>or</w:t>
      </w:r>
      <w:r w:rsidRPr="00150EDC">
        <w:rPr>
          <w:spacing w:val="-3"/>
          <w:sz w:val="18"/>
        </w:rPr>
        <w:t xml:space="preserve"> </w:t>
      </w:r>
      <w:r w:rsidRPr="00150EDC">
        <w:rPr>
          <w:sz w:val="18"/>
        </w:rPr>
        <w:t>divulge</w:t>
      </w:r>
      <w:r w:rsidRPr="00150EDC">
        <w:rPr>
          <w:spacing w:val="-2"/>
          <w:sz w:val="18"/>
        </w:rPr>
        <w:t xml:space="preserve"> </w:t>
      </w:r>
      <w:r w:rsidRPr="00150EDC">
        <w:rPr>
          <w:sz w:val="18"/>
        </w:rPr>
        <w:t>any</w:t>
      </w:r>
      <w:r w:rsidRPr="00150EDC">
        <w:rPr>
          <w:spacing w:val="-3"/>
          <w:sz w:val="18"/>
        </w:rPr>
        <w:t xml:space="preserve"> </w:t>
      </w:r>
      <w:r w:rsidRPr="00150EDC">
        <w:rPr>
          <w:sz w:val="18"/>
        </w:rPr>
        <w:t>of</w:t>
      </w:r>
      <w:r w:rsidRPr="00150EDC">
        <w:rPr>
          <w:spacing w:val="-4"/>
          <w:sz w:val="18"/>
        </w:rPr>
        <w:t xml:space="preserve"> </w:t>
      </w:r>
      <w:r w:rsidRPr="00150EDC">
        <w:rPr>
          <w:sz w:val="18"/>
        </w:rPr>
        <w:t>the</w:t>
      </w:r>
      <w:r w:rsidRPr="00150EDC">
        <w:rPr>
          <w:spacing w:val="-2"/>
          <w:sz w:val="18"/>
        </w:rPr>
        <w:t xml:space="preserve"> </w:t>
      </w:r>
      <w:r w:rsidRPr="00150EDC">
        <w:rPr>
          <w:sz w:val="18"/>
        </w:rPr>
        <w:t>Personal Data</w:t>
      </w:r>
      <w:r w:rsidRPr="00150EDC">
        <w:rPr>
          <w:spacing w:val="-7"/>
          <w:sz w:val="18"/>
        </w:rPr>
        <w:t xml:space="preserve"> </w:t>
      </w:r>
      <w:r w:rsidRPr="00150EDC">
        <w:rPr>
          <w:sz w:val="18"/>
        </w:rPr>
        <w:t>to</w:t>
      </w:r>
      <w:r w:rsidRPr="00150EDC">
        <w:rPr>
          <w:spacing w:val="-9"/>
          <w:sz w:val="18"/>
        </w:rPr>
        <w:t xml:space="preserve"> </w:t>
      </w:r>
      <w:r w:rsidRPr="00150EDC">
        <w:rPr>
          <w:sz w:val="18"/>
        </w:rPr>
        <w:t>any</w:t>
      </w:r>
      <w:r w:rsidRPr="00150EDC">
        <w:rPr>
          <w:spacing w:val="-8"/>
          <w:sz w:val="18"/>
        </w:rPr>
        <w:t xml:space="preserve"> </w:t>
      </w:r>
      <w:r w:rsidRPr="00150EDC">
        <w:rPr>
          <w:sz w:val="18"/>
        </w:rPr>
        <w:t>third</w:t>
      </w:r>
      <w:r w:rsidRPr="00150EDC">
        <w:rPr>
          <w:spacing w:val="-9"/>
          <w:sz w:val="18"/>
        </w:rPr>
        <w:t xml:space="preserve"> </w:t>
      </w:r>
      <w:r w:rsidRPr="00150EDC">
        <w:rPr>
          <w:sz w:val="18"/>
        </w:rPr>
        <w:t>party</w:t>
      </w:r>
      <w:r w:rsidRPr="00150EDC">
        <w:rPr>
          <w:spacing w:val="-10"/>
          <w:sz w:val="18"/>
        </w:rPr>
        <w:t xml:space="preserve"> </w:t>
      </w:r>
      <w:r w:rsidRPr="00150EDC">
        <w:rPr>
          <w:sz w:val="18"/>
        </w:rPr>
        <w:t>unless</w:t>
      </w:r>
      <w:r w:rsidRPr="00150EDC">
        <w:rPr>
          <w:spacing w:val="-8"/>
          <w:sz w:val="18"/>
        </w:rPr>
        <w:t xml:space="preserve"> </w:t>
      </w:r>
      <w:r w:rsidRPr="00150EDC">
        <w:rPr>
          <w:sz w:val="18"/>
        </w:rPr>
        <w:t>directed</w:t>
      </w:r>
      <w:r w:rsidRPr="00150EDC">
        <w:rPr>
          <w:spacing w:val="-7"/>
          <w:sz w:val="18"/>
        </w:rPr>
        <w:t xml:space="preserve"> </w:t>
      </w:r>
      <w:r w:rsidRPr="00150EDC">
        <w:rPr>
          <w:sz w:val="18"/>
        </w:rPr>
        <w:t>in</w:t>
      </w:r>
      <w:r w:rsidRPr="00150EDC">
        <w:rPr>
          <w:spacing w:val="-7"/>
          <w:sz w:val="18"/>
        </w:rPr>
        <w:t xml:space="preserve"> </w:t>
      </w:r>
      <w:r w:rsidRPr="00150EDC">
        <w:rPr>
          <w:sz w:val="18"/>
        </w:rPr>
        <w:t>writing</w:t>
      </w:r>
      <w:r w:rsidRPr="00150EDC">
        <w:rPr>
          <w:spacing w:val="-7"/>
          <w:sz w:val="18"/>
        </w:rPr>
        <w:t xml:space="preserve"> </w:t>
      </w:r>
      <w:r w:rsidRPr="00150EDC">
        <w:rPr>
          <w:sz w:val="18"/>
        </w:rPr>
        <w:t>to</w:t>
      </w:r>
      <w:r w:rsidRPr="00150EDC">
        <w:rPr>
          <w:spacing w:val="-9"/>
          <w:sz w:val="18"/>
        </w:rPr>
        <w:t xml:space="preserve"> </w:t>
      </w:r>
      <w:r w:rsidRPr="00150EDC">
        <w:rPr>
          <w:sz w:val="18"/>
        </w:rPr>
        <w:t>do</w:t>
      </w:r>
      <w:r w:rsidRPr="00150EDC">
        <w:rPr>
          <w:spacing w:val="-7"/>
          <w:sz w:val="18"/>
        </w:rPr>
        <w:t xml:space="preserve"> </w:t>
      </w:r>
      <w:r w:rsidRPr="00150EDC">
        <w:rPr>
          <w:sz w:val="18"/>
        </w:rPr>
        <w:t>so</w:t>
      </w:r>
      <w:r w:rsidRPr="00150EDC">
        <w:rPr>
          <w:spacing w:val="-9"/>
          <w:sz w:val="18"/>
        </w:rPr>
        <w:t xml:space="preserve"> </w:t>
      </w:r>
      <w:r w:rsidRPr="00150EDC">
        <w:rPr>
          <w:sz w:val="18"/>
        </w:rPr>
        <w:t xml:space="preserve">by the Controller or as otherwise permitted by the Contract; </w:t>
      </w:r>
      <w:r w:rsidRPr="00150EDC">
        <w:rPr>
          <w:spacing w:val="-4"/>
          <w:sz w:val="18"/>
        </w:rPr>
        <w:t>and</w:t>
      </w:r>
    </w:p>
    <w:p w14:paraId="738E5DDC" w14:textId="77777777" w:rsidR="004C7180" w:rsidRPr="00150EDC" w:rsidRDefault="00CF0754" w:rsidP="00B320C7">
      <w:pPr>
        <w:pStyle w:val="ListParagraph"/>
        <w:numPr>
          <w:ilvl w:val="3"/>
          <w:numId w:val="94"/>
        </w:numPr>
        <w:tabs>
          <w:tab w:val="left" w:pos="3179"/>
          <w:tab w:val="left" w:pos="3181"/>
        </w:tabs>
        <w:spacing w:before="95"/>
        <w:ind w:right="4017"/>
        <w:jc w:val="both"/>
        <w:rPr>
          <w:sz w:val="18"/>
        </w:rPr>
      </w:pPr>
      <w:r w:rsidRPr="00150EDC">
        <w:rPr>
          <w:sz w:val="18"/>
        </w:rPr>
        <w:t>have undergone adequate training in the use, care, protection and handling of Personal Data;</w:t>
      </w:r>
    </w:p>
    <w:p w14:paraId="37B3C35F" w14:textId="77777777" w:rsidR="004C7180" w:rsidRPr="00150EDC" w:rsidRDefault="00CF0754" w:rsidP="00B320C7">
      <w:pPr>
        <w:pStyle w:val="ListParagraph"/>
        <w:numPr>
          <w:ilvl w:val="1"/>
          <w:numId w:val="94"/>
        </w:numPr>
        <w:tabs>
          <w:tab w:val="left" w:pos="1651"/>
          <w:tab w:val="left" w:pos="1654"/>
        </w:tabs>
        <w:spacing w:before="93"/>
        <w:ind w:right="4018"/>
        <w:jc w:val="both"/>
        <w:rPr>
          <w:sz w:val="18"/>
          <w:szCs w:val="18"/>
        </w:rPr>
      </w:pPr>
      <w:r w:rsidRPr="00150EDC">
        <w:rPr>
          <w:sz w:val="18"/>
          <w:szCs w:val="18"/>
        </w:rPr>
        <w:t xml:space="preserve">not transfer Personal Data outside of the UK or EU unless the prior written consent of the Controller has been obtained and the following conditions are </w:t>
      </w:r>
      <w:r w:rsidRPr="00150EDC">
        <w:rPr>
          <w:spacing w:val="-2"/>
          <w:sz w:val="18"/>
          <w:szCs w:val="18"/>
        </w:rPr>
        <w:t>fulfilled:</w:t>
      </w:r>
    </w:p>
    <w:p w14:paraId="065AF67F" w14:textId="77777777" w:rsidR="004C7180" w:rsidRPr="00150EDC" w:rsidRDefault="004C7180">
      <w:pPr>
        <w:pStyle w:val="BodyText"/>
        <w:spacing w:before="11"/>
        <w:rPr>
          <w:sz w:val="26"/>
        </w:rPr>
      </w:pPr>
    </w:p>
    <w:p w14:paraId="6AAF1796" w14:textId="77777777" w:rsidR="004C7180" w:rsidRPr="00150EDC" w:rsidRDefault="00CF0754">
      <w:pPr>
        <w:spacing w:before="95"/>
        <w:ind w:left="1044"/>
        <w:rPr>
          <w:sz w:val="15"/>
        </w:rPr>
      </w:pPr>
      <w:r w:rsidRPr="00150EDC">
        <w:rPr>
          <w:sz w:val="15"/>
        </w:rPr>
        <w:t>DPS</w:t>
      </w:r>
      <w:r w:rsidRPr="00150EDC">
        <w:rPr>
          <w:spacing w:val="-3"/>
          <w:sz w:val="15"/>
        </w:rPr>
        <w:t xml:space="preserve"> </w:t>
      </w:r>
      <w:r w:rsidRPr="00150EDC">
        <w:rPr>
          <w:sz w:val="15"/>
        </w:rPr>
        <w:t xml:space="preserve">Ref: </w:t>
      </w:r>
      <w:r w:rsidRPr="00150EDC">
        <w:rPr>
          <w:spacing w:val="-2"/>
          <w:sz w:val="15"/>
        </w:rPr>
        <w:t>RM6322</w:t>
      </w:r>
    </w:p>
    <w:p w14:paraId="5A28D133" w14:textId="77777777" w:rsidR="004C7180" w:rsidRPr="00150EDC" w:rsidRDefault="00CF0754">
      <w:pPr>
        <w:tabs>
          <w:tab w:val="left" w:pos="7660"/>
        </w:tabs>
        <w:spacing w:before="26"/>
        <w:ind w:left="1044"/>
        <w:rPr>
          <w:sz w:val="15"/>
        </w:rPr>
      </w:pPr>
      <w:r w:rsidRPr="00150EDC">
        <w:rPr>
          <w:noProof/>
          <w:lang w:val="en-GB" w:eastAsia="en-GB"/>
        </w:rPr>
        <mc:AlternateContent>
          <mc:Choice Requires="wps">
            <w:drawing>
              <wp:anchor distT="0" distB="0" distL="0" distR="0" simplePos="0" relativeHeight="251658255" behindDoc="1" locked="0" layoutInCell="1" allowOverlap="1" wp14:anchorId="1140606F" wp14:editId="6DC04F33">
                <wp:simplePos x="0" y="0"/>
                <wp:positionH relativeFrom="page">
                  <wp:posOffset>4921821</wp:posOffset>
                </wp:positionH>
                <wp:positionV relativeFrom="paragraph">
                  <wp:posOffset>16308</wp:posOffset>
                </wp:positionV>
                <wp:extent cx="53340" cy="110489"/>
                <wp:effectExtent l="0" t="0" r="0" b="0"/>
                <wp:wrapNone/>
                <wp:docPr id="52" name="Free-form: 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 cy="110489"/>
                        </a:xfrm>
                        <a:custGeom>
                          <a:avLst/>
                          <a:gdLst/>
                          <a:ahLst/>
                          <a:cxnLst/>
                          <a:rect l="l" t="t" r="r" b="b"/>
                          <a:pathLst>
                            <a:path w="53340" h="110489">
                              <a:moveTo>
                                <a:pt x="52806" y="0"/>
                              </a:moveTo>
                              <a:lnTo>
                                <a:pt x="0" y="0"/>
                              </a:lnTo>
                              <a:lnTo>
                                <a:pt x="0" y="110210"/>
                              </a:lnTo>
                              <a:lnTo>
                                <a:pt x="52806" y="110210"/>
                              </a:lnTo>
                              <a:lnTo>
                                <a:pt x="52806" y="0"/>
                              </a:lnTo>
                              <a:close/>
                            </a:path>
                          </a:pathLst>
                        </a:custGeom>
                        <a:solidFill>
                          <a:srgbClr val="E6E6E6"/>
                        </a:solidFill>
                      </wps:spPr>
                      <wps:bodyPr wrap="square" lIns="0" tIns="0" rIns="0" bIns="0" rtlCol="0">
                        <a:prstTxWarp prst="textNoShape">
                          <a:avLst/>
                        </a:prstTxWarp>
                        <a:noAutofit/>
                      </wps:bodyPr>
                    </wps:wsp>
                  </a:graphicData>
                </a:graphic>
              </wp:anchor>
            </w:drawing>
          </mc:Choice>
          <mc:Fallback>
            <w:pict>
              <v:shape w14:anchorId="16170D99" id="Free-form: Shape 52" o:spid="_x0000_s1026" style="position:absolute;margin-left:387.55pt;margin-top:1.3pt;width:4.2pt;height:8.7pt;z-index:-251658225;visibility:visible;mso-wrap-style:square;mso-wrap-distance-left:0;mso-wrap-distance-top:0;mso-wrap-distance-right:0;mso-wrap-distance-bottom:0;mso-position-horizontal:absolute;mso-position-horizontal-relative:page;mso-position-vertical:absolute;mso-position-vertical-relative:text;v-text-anchor:top" coordsize="53340,110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" path="m52806,l,,,110210r52806,l52806,xe" fillcolor="#e6e6e6" stroked="f">
                <v:path arrowok="t"/>
                <w10:wrap anchorx="page"/>
              </v:shape>
            </w:pict>
          </mc:Fallback>
        </mc:AlternateContent>
      </w:r>
      <w:r w:rsidRPr="00150EDC">
        <w:rPr>
          <w:sz w:val="15"/>
        </w:rPr>
        <w:t>Project</w:t>
      </w:r>
      <w:r w:rsidRPr="00150EDC">
        <w:rPr>
          <w:spacing w:val="-4"/>
          <w:sz w:val="15"/>
        </w:rPr>
        <w:t xml:space="preserve"> </w:t>
      </w:r>
      <w:r w:rsidRPr="00150EDC">
        <w:rPr>
          <w:sz w:val="15"/>
        </w:rPr>
        <w:t>Version:</w:t>
      </w:r>
      <w:r w:rsidRPr="00150EDC">
        <w:rPr>
          <w:spacing w:val="-3"/>
          <w:sz w:val="15"/>
        </w:rPr>
        <w:t xml:space="preserve"> </w:t>
      </w:r>
      <w:r w:rsidRPr="00150EDC">
        <w:rPr>
          <w:spacing w:val="-4"/>
          <w:sz w:val="15"/>
        </w:rPr>
        <w:t>v1.0</w:t>
      </w:r>
      <w:r w:rsidRPr="00150EDC">
        <w:rPr>
          <w:sz w:val="15"/>
        </w:rPr>
        <w:tab/>
        <w:t>-</w:t>
      </w:r>
      <w:r w:rsidRPr="00150EDC">
        <w:rPr>
          <w:spacing w:val="-5"/>
          <w:sz w:val="15"/>
        </w:rPr>
        <w:t>2-</w:t>
      </w:r>
    </w:p>
    <w:p w14:paraId="6AEE6718" w14:textId="77777777" w:rsidR="004C7180" w:rsidRPr="00150EDC" w:rsidRDefault="004C7180">
      <w:pPr>
        <w:rPr>
          <w:sz w:val="15"/>
        </w:rPr>
        <w:sectPr w:rsidR="004C7180" w:rsidRPr="00150EDC">
          <w:pgSz w:w="11910" w:h="16840"/>
          <w:pgMar w:top="2940" w:right="0" w:bottom="2720" w:left="40" w:header="2612" w:footer="2535" w:gutter="0"/>
          <w:cols w:space="720"/>
        </w:sectPr>
      </w:pPr>
    </w:p>
    <w:p w14:paraId="56F5EE31" w14:textId="62C1D4E2" w:rsidR="004C7180" w:rsidRPr="00150EDC" w:rsidRDefault="004C7180">
      <w:pPr>
        <w:pStyle w:val="BodyText"/>
        <w:spacing w:before="7"/>
        <w:rPr>
          <w:sz w:val="9"/>
        </w:rPr>
      </w:pPr>
    </w:p>
    <w:p w14:paraId="33BFABFD" w14:textId="77777777" w:rsidR="004C7180" w:rsidRPr="00150EDC" w:rsidRDefault="00CF0754" w:rsidP="00B320C7">
      <w:pPr>
        <w:pStyle w:val="ListParagraph"/>
        <w:numPr>
          <w:ilvl w:val="2"/>
          <w:numId w:val="94"/>
        </w:numPr>
        <w:tabs>
          <w:tab w:val="left" w:pos="2643"/>
          <w:tab w:val="left" w:pos="2646"/>
        </w:tabs>
        <w:spacing w:before="95"/>
        <w:ind w:right="4016"/>
        <w:jc w:val="both"/>
        <w:rPr>
          <w:sz w:val="18"/>
        </w:rPr>
      </w:pPr>
      <w:r w:rsidRPr="00150EDC">
        <w:rPr>
          <w:sz w:val="18"/>
        </w:rPr>
        <w:t>the Controller or the Processor has provided appropriate safeguards</w:t>
      </w:r>
      <w:r w:rsidRPr="00150EDC">
        <w:rPr>
          <w:spacing w:val="-1"/>
          <w:sz w:val="18"/>
        </w:rPr>
        <w:t xml:space="preserve"> </w:t>
      </w:r>
      <w:r w:rsidRPr="00150EDC">
        <w:rPr>
          <w:sz w:val="18"/>
        </w:rPr>
        <w:t>in</w:t>
      </w:r>
      <w:r w:rsidRPr="00150EDC">
        <w:rPr>
          <w:spacing w:val="-2"/>
          <w:sz w:val="18"/>
        </w:rPr>
        <w:t xml:space="preserve"> </w:t>
      </w:r>
      <w:r w:rsidRPr="00150EDC">
        <w:rPr>
          <w:sz w:val="18"/>
        </w:rPr>
        <w:t>relation to the</w:t>
      </w:r>
      <w:r w:rsidRPr="00150EDC">
        <w:rPr>
          <w:spacing w:val="-2"/>
          <w:sz w:val="18"/>
        </w:rPr>
        <w:t xml:space="preserve"> </w:t>
      </w:r>
      <w:r w:rsidRPr="00150EDC">
        <w:rPr>
          <w:sz w:val="18"/>
        </w:rPr>
        <w:t>transfer</w:t>
      </w:r>
      <w:r w:rsidRPr="00150EDC">
        <w:rPr>
          <w:spacing w:val="-1"/>
          <w:sz w:val="18"/>
        </w:rPr>
        <w:t xml:space="preserve"> </w:t>
      </w:r>
      <w:r w:rsidRPr="00150EDC">
        <w:rPr>
          <w:sz w:val="18"/>
        </w:rPr>
        <w:t>(whether</w:t>
      </w:r>
      <w:r w:rsidRPr="00150EDC">
        <w:rPr>
          <w:spacing w:val="-1"/>
          <w:sz w:val="18"/>
        </w:rPr>
        <w:t xml:space="preserve"> </w:t>
      </w:r>
      <w:r w:rsidRPr="00150EDC">
        <w:rPr>
          <w:sz w:val="18"/>
        </w:rPr>
        <w:t xml:space="preserve">in accordance with UK GDPR Article 46 or LED Article 37) as determined by the </w:t>
      </w:r>
      <w:r w:rsidRPr="00150EDC">
        <w:rPr>
          <w:spacing w:val="-2"/>
          <w:sz w:val="18"/>
        </w:rPr>
        <w:t>Controller;</w:t>
      </w:r>
    </w:p>
    <w:p w14:paraId="5B35C8BF" w14:textId="77777777" w:rsidR="004C7180" w:rsidRPr="00150EDC" w:rsidRDefault="00CF0754" w:rsidP="00B320C7">
      <w:pPr>
        <w:pStyle w:val="ListParagraph"/>
        <w:numPr>
          <w:ilvl w:val="2"/>
          <w:numId w:val="94"/>
        </w:numPr>
        <w:tabs>
          <w:tab w:val="left" w:pos="2644"/>
          <w:tab w:val="left" w:pos="2646"/>
        </w:tabs>
        <w:spacing w:before="94"/>
        <w:ind w:right="4018"/>
        <w:jc w:val="both"/>
        <w:rPr>
          <w:sz w:val="18"/>
        </w:rPr>
      </w:pPr>
      <w:r w:rsidRPr="00150EDC">
        <w:rPr>
          <w:sz w:val="18"/>
        </w:rPr>
        <w:t xml:space="preserve">the Data Subject has enforceable rights and effective legal </w:t>
      </w:r>
      <w:r w:rsidRPr="00150EDC">
        <w:rPr>
          <w:spacing w:val="-2"/>
          <w:sz w:val="18"/>
        </w:rPr>
        <w:t>remedies;</w:t>
      </w:r>
    </w:p>
    <w:p w14:paraId="39633E4C" w14:textId="77777777" w:rsidR="004C7180" w:rsidRPr="00150EDC" w:rsidRDefault="00CF0754" w:rsidP="00B320C7">
      <w:pPr>
        <w:pStyle w:val="ListParagraph"/>
        <w:numPr>
          <w:ilvl w:val="2"/>
          <w:numId w:val="94"/>
        </w:numPr>
        <w:tabs>
          <w:tab w:val="left" w:pos="2643"/>
          <w:tab w:val="left" w:pos="2646"/>
        </w:tabs>
        <w:spacing w:before="93"/>
        <w:ind w:right="4016"/>
        <w:jc w:val="both"/>
        <w:rPr>
          <w:sz w:val="18"/>
        </w:rPr>
      </w:pPr>
      <w:r w:rsidRPr="00150EDC">
        <w:rPr>
          <w:sz w:val="18"/>
        </w:rPr>
        <w:t>the Processor complies with its obligations under the Data Protection</w:t>
      </w:r>
      <w:r w:rsidRPr="00150EDC">
        <w:rPr>
          <w:spacing w:val="-11"/>
          <w:sz w:val="18"/>
        </w:rPr>
        <w:t xml:space="preserve"> </w:t>
      </w:r>
      <w:r w:rsidRPr="00150EDC">
        <w:rPr>
          <w:sz w:val="18"/>
        </w:rPr>
        <w:t>Legislation</w:t>
      </w:r>
      <w:r w:rsidRPr="00150EDC">
        <w:rPr>
          <w:spacing w:val="-13"/>
          <w:sz w:val="18"/>
        </w:rPr>
        <w:t xml:space="preserve"> </w:t>
      </w:r>
      <w:r w:rsidRPr="00150EDC">
        <w:rPr>
          <w:sz w:val="18"/>
        </w:rPr>
        <w:t>by</w:t>
      </w:r>
      <w:r w:rsidRPr="00150EDC">
        <w:rPr>
          <w:spacing w:val="-10"/>
          <w:sz w:val="18"/>
        </w:rPr>
        <w:t xml:space="preserve"> </w:t>
      </w:r>
      <w:r w:rsidRPr="00150EDC">
        <w:rPr>
          <w:sz w:val="18"/>
        </w:rPr>
        <w:t>providing</w:t>
      </w:r>
      <w:r w:rsidRPr="00150EDC">
        <w:rPr>
          <w:spacing w:val="-11"/>
          <w:sz w:val="18"/>
        </w:rPr>
        <w:t xml:space="preserve"> </w:t>
      </w:r>
      <w:r w:rsidRPr="00150EDC">
        <w:rPr>
          <w:sz w:val="18"/>
        </w:rPr>
        <w:t>an</w:t>
      </w:r>
      <w:r w:rsidRPr="00150EDC">
        <w:rPr>
          <w:spacing w:val="-11"/>
          <w:sz w:val="18"/>
        </w:rPr>
        <w:t xml:space="preserve"> </w:t>
      </w:r>
      <w:r w:rsidRPr="00150EDC">
        <w:rPr>
          <w:sz w:val="18"/>
        </w:rPr>
        <w:t>adequate</w:t>
      </w:r>
      <w:r w:rsidRPr="00150EDC">
        <w:rPr>
          <w:spacing w:val="-9"/>
          <w:sz w:val="18"/>
        </w:rPr>
        <w:t xml:space="preserve"> </w:t>
      </w:r>
      <w:r w:rsidRPr="00150EDC">
        <w:rPr>
          <w:sz w:val="18"/>
        </w:rPr>
        <w:t>level</w:t>
      </w:r>
      <w:r w:rsidRPr="00150EDC">
        <w:rPr>
          <w:spacing w:val="-12"/>
          <w:sz w:val="18"/>
        </w:rPr>
        <w:t xml:space="preserve"> </w:t>
      </w:r>
      <w:r w:rsidRPr="00150EDC">
        <w:rPr>
          <w:sz w:val="18"/>
        </w:rPr>
        <w:t>of</w:t>
      </w:r>
      <w:r w:rsidRPr="00150EDC">
        <w:rPr>
          <w:spacing w:val="-11"/>
          <w:sz w:val="18"/>
        </w:rPr>
        <w:t xml:space="preserve"> </w:t>
      </w:r>
      <w:r w:rsidRPr="00150EDC">
        <w:rPr>
          <w:sz w:val="18"/>
        </w:rPr>
        <w:t>protection to any Personal Data that is transferred (or, if it is not so bound, uses its best endeavours to assist the Controller in meeting its obligations); and</w:t>
      </w:r>
    </w:p>
    <w:p w14:paraId="2F59CD91" w14:textId="77777777" w:rsidR="004C7180" w:rsidRPr="00150EDC" w:rsidRDefault="00CF0754" w:rsidP="00B320C7">
      <w:pPr>
        <w:pStyle w:val="ListParagraph"/>
        <w:numPr>
          <w:ilvl w:val="2"/>
          <w:numId w:val="94"/>
        </w:numPr>
        <w:tabs>
          <w:tab w:val="left" w:pos="2644"/>
          <w:tab w:val="left" w:pos="2646"/>
        </w:tabs>
        <w:spacing w:before="95"/>
        <w:ind w:right="4017"/>
        <w:jc w:val="both"/>
        <w:rPr>
          <w:sz w:val="18"/>
        </w:rPr>
      </w:pPr>
      <w:r w:rsidRPr="00150EDC">
        <w:rPr>
          <w:sz w:val="18"/>
        </w:rPr>
        <w:t>the Processor complies with any reasonable instructions notified to</w:t>
      </w:r>
      <w:r w:rsidRPr="00150EDC">
        <w:rPr>
          <w:spacing w:val="-5"/>
          <w:sz w:val="18"/>
        </w:rPr>
        <w:t xml:space="preserve"> </w:t>
      </w:r>
      <w:r w:rsidRPr="00150EDC">
        <w:rPr>
          <w:sz w:val="18"/>
        </w:rPr>
        <w:t>it</w:t>
      </w:r>
      <w:r w:rsidRPr="00150EDC">
        <w:rPr>
          <w:spacing w:val="-5"/>
          <w:sz w:val="18"/>
        </w:rPr>
        <w:t xml:space="preserve"> </w:t>
      </w:r>
      <w:r w:rsidRPr="00150EDC">
        <w:rPr>
          <w:sz w:val="18"/>
        </w:rPr>
        <w:t>in</w:t>
      </w:r>
      <w:r w:rsidRPr="00150EDC">
        <w:rPr>
          <w:spacing w:val="-5"/>
          <w:sz w:val="18"/>
        </w:rPr>
        <w:t xml:space="preserve"> </w:t>
      </w:r>
      <w:r w:rsidRPr="00150EDC">
        <w:rPr>
          <w:sz w:val="18"/>
        </w:rPr>
        <w:t>advance</w:t>
      </w:r>
      <w:r w:rsidRPr="00150EDC">
        <w:rPr>
          <w:spacing w:val="-6"/>
          <w:sz w:val="18"/>
        </w:rPr>
        <w:t xml:space="preserve"> </w:t>
      </w:r>
      <w:r w:rsidRPr="00150EDC">
        <w:rPr>
          <w:sz w:val="18"/>
        </w:rPr>
        <w:t>by</w:t>
      </w:r>
      <w:r w:rsidRPr="00150EDC">
        <w:rPr>
          <w:spacing w:val="-5"/>
          <w:sz w:val="18"/>
        </w:rPr>
        <w:t xml:space="preserve"> </w:t>
      </w:r>
      <w:r w:rsidRPr="00150EDC">
        <w:rPr>
          <w:sz w:val="18"/>
        </w:rPr>
        <w:t>the</w:t>
      </w:r>
      <w:r w:rsidRPr="00150EDC">
        <w:rPr>
          <w:spacing w:val="-6"/>
          <w:sz w:val="18"/>
        </w:rPr>
        <w:t xml:space="preserve"> </w:t>
      </w:r>
      <w:r w:rsidRPr="00150EDC">
        <w:rPr>
          <w:sz w:val="18"/>
        </w:rPr>
        <w:t>Controller</w:t>
      </w:r>
      <w:r w:rsidRPr="00150EDC">
        <w:rPr>
          <w:spacing w:val="-6"/>
          <w:sz w:val="18"/>
        </w:rPr>
        <w:t xml:space="preserve"> </w:t>
      </w:r>
      <w:r w:rsidRPr="00150EDC">
        <w:rPr>
          <w:sz w:val="18"/>
        </w:rPr>
        <w:t>with</w:t>
      </w:r>
      <w:r w:rsidRPr="00150EDC">
        <w:rPr>
          <w:spacing w:val="-5"/>
          <w:sz w:val="18"/>
        </w:rPr>
        <w:t xml:space="preserve"> </w:t>
      </w:r>
      <w:r w:rsidRPr="00150EDC">
        <w:rPr>
          <w:sz w:val="18"/>
        </w:rPr>
        <w:t>respect</w:t>
      </w:r>
      <w:r w:rsidRPr="00150EDC">
        <w:rPr>
          <w:spacing w:val="-7"/>
          <w:sz w:val="18"/>
        </w:rPr>
        <w:t xml:space="preserve"> </w:t>
      </w:r>
      <w:r w:rsidRPr="00150EDC">
        <w:rPr>
          <w:sz w:val="18"/>
        </w:rPr>
        <w:t>to</w:t>
      </w:r>
      <w:r w:rsidRPr="00150EDC">
        <w:rPr>
          <w:spacing w:val="-5"/>
          <w:sz w:val="18"/>
        </w:rPr>
        <w:t xml:space="preserve"> </w:t>
      </w:r>
      <w:r w:rsidRPr="00150EDC">
        <w:rPr>
          <w:sz w:val="18"/>
        </w:rPr>
        <w:t>the</w:t>
      </w:r>
      <w:r w:rsidRPr="00150EDC">
        <w:rPr>
          <w:spacing w:val="-6"/>
          <w:sz w:val="18"/>
        </w:rPr>
        <w:t xml:space="preserve"> </w:t>
      </w:r>
      <w:r w:rsidRPr="00150EDC">
        <w:rPr>
          <w:sz w:val="18"/>
        </w:rPr>
        <w:t>Processing</w:t>
      </w:r>
      <w:r w:rsidRPr="00150EDC">
        <w:rPr>
          <w:spacing w:val="-5"/>
          <w:sz w:val="18"/>
        </w:rPr>
        <w:t xml:space="preserve"> </w:t>
      </w:r>
      <w:r w:rsidRPr="00150EDC">
        <w:rPr>
          <w:sz w:val="18"/>
        </w:rPr>
        <w:t>of the Personal Data; and</w:t>
      </w:r>
    </w:p>
    <w:p w14:paraId="232FF2FE" w14:textId="77777777" w:rsidR="004C7180" w:rsidRPr="00150EDC" w:rsidRDefault="00CF0754" w:rsidP="00B320C7">
      <w:pPr>
        <w:pStyle w:val="ListParagraph"/>
        <w:numPr>
          <w:ilvl w:val="1"/>
          <w:numId w:val="94"/>
        </w:numPr>
        <w:tabs>
          <w:tab w:val="left" w:pos="1651"/>
          <w:tab w:val="left" w:pos="1654"/>
        </w:tabs>
        <w:spacing w:before="93"/>
        <w:ind w:right="4017"/>
        <w:jc w:val="both"/>
        <w:rPr>
          <w:sz w:val="18"/>
        </w:rPr>
      </w:pPr>
      <w:r w:rsidRPr="00150EDC">
        <w:rPr>
          <w:sz w:val="18"/>
        </w:rPr>
        <w:t>at the written direction of the Controller, delete or return Personal Data (and any copies of it) to the Controller on termination of the Contract unless the Processor is required by Law to retain the Personal Data.</w:t>
      </w:r>
    </w:p>
    <w:p w14:paraId="0189C069" w14:textId="77777777" w:rsidR="004C7180" w:rsidRPr="00150EDC" w:rsidRDefault="004C7180">
      <w:pPr>
        <w:pStyle w:val="BodyText"/>
        <w:spacing w:before="5"/>
        <w:rPr>
          <w:sz w:val="18"/>
        </w:rPr>
      </w:pPr>
    </w:p>
    <w:p w14:paraId="1CA73039" w14:textId="77777777" w:rsidR="004C7180" w:rsidRPr="00150EDC" w:rsidRDefault="00CF0754" w:rsidP="00B320C7">
      <w:pPr>
        <w:pStyle w:val="ListParagraph"/>
        <w:numPr>
          <w:ilvl w:val="0"/>
          <w:numId w:val="94"/>
        </w:numPr>
        <w:tabs>
          <w:tab w:val="left" w:pos="1575"/>
          <w:tab w:val="left" w:pos="1578"/>
        </w:tabs>
        <w:spacing w:before="1"/>
        <w:ind w:right="4019"/>
        <w:jc w:val="both"/>
        <w:rPr>
          <w:sz w:val="18"/>
        </w:rPr>
      </w:pPr>
      <w:r w:rsidRPr="00150EDC">
        <w:rPr>
          <w:sz w:val="18"/>
        </w:rPr>
        <w:t>Subject</w:t>
      </w:r>
      <w:r w:rsidRPr="00150EDC">
        <w:rPr>
          <w:spacing w:val="-1"/>
          <w:sz w:val="18"/>
        </w:rPr>
        <w:t xml:space="preserve"> </w:t>
      </w:r>
      <w:r w:rsidRPr="00150EDC">
        <w:rPr>
          <w:sz w:val="18"/>
        </w:rPr>
        <w:t>to</w:t>
      </w:r>
      <w:r w:rsidRPr="00150EDC">
        <w:rPr>
          <w:spacing w:val="-1"/>
          <w:sz w:val="18"/>
        </w:rPr>
        <w:t xml:space="preserve"> </w:t>
      </w:r>
      <w:r w:rsidRPr="00150EDC">
        <w:rPr>
          <w:sz w:val="18"/>
        </w:rPr>
        <w:t>paragraph</w:t>
      </w:r>
      <w:r w:rsidRPr="00150EDC">
        <w:rPr>
          <w:spacing w:val="-1"/>
          <w:sz w:val="18"/>
        </w:rPr>
        <w:t xml:space="preserve"> </w:t>
      </w:r>
      <w:r w:rsidRPr="00150EDC">
        <w:rPr>
          <w:sz w:val="18"/>
        </w:rPr>
        <w:t>7</w:t>
      </w:r>
      <w:r w:rsidRPr="00150EDC">
        <w:rPr>
          <w:spacing w:val="-1"/>
          <w:sz w:val="18"/>
        </w:rPr>
        <w:t xml:space="preserve"> </w:t>
      </w:r>
      <w:r w:rsidRPr="00150EDC">
        <w:rPr>
          <w:sz w:val="18"/>
        </w:rPr>
        <w:t>of</w:t>
      </w:r>
      <w:r w:rsidRPr="00150EDC">
        <w:rPr>
          <w:spacing w:val="-1"/>
          <w:sz w:val="18"/>
        </w:rPr>
        <w:t xml:space="preserve"> </w:t>
      </w:r>
      <w:r w:rsidRPr="00150EDC">
        <w:rPr>
          <w:sz w:val="18"/>
        </w:rPr>
        <w:t>this Joint</w:t>
      </w:r>
      <w:r w:rsidRPr="00150EDC">
        <w:rPr>
          <w:spacing w:val="-1"/>
          <w:sz w:val="18"/>
        </w:rPr>
        <w:t xml:space="preserve"> </w:t>
      </w:r>
      <w:r w:rsidRPr="00150EDC">
        <w:rPr>
          <w:sz w:val="18"/>
        </w:rPr>
        <w:t>Schedule</w:t>
      </w:r>
      <w:r w:rsidRPr="00150EDC">
        <w:rPr>
          <w:spacing w:val="-1"/>
          <w:sz w:val="18"/>
        </w:rPr>
        <w:t xml:space="preserve"> </w:t>
      </w:r>
      <w:r w:rsidRPr="00150EDC">
        <w:rPr>
          <w:sz w:val="18"/>
        </w:rPr>
        <w:t>11,</w:t>
      </w:r>
      <w:r w:rsidRPr="00150EDC">
        <w:rPr>
          <w:spacing w:val="-1"/>
          <w:sz w:val="18"/>
        </w:rPr>
        <w:t xml:space="preserve"> </w:t>
      </w:r>
      <w:r w:rsidRPr="00150EDC">
        <w:rPr>
          <w:sz w:val="18"/>
        </w:rPr>
        <w:t>the</w:t>
      </w:r>
      <w:r w:rsidRPr="00150EDC">
        <w:rPr>
          <w:spacing w:val="-1"/>
          <w:sz w:val="18"/>
        </w:rPr>
        <w:t xml:space="preserve"> </w:t>
      </w:r>
      <w:r w:rsidRPr="00150EDC">
        <w:rPr>
          <w:sz w:val="18"/>
        </w:rPr>
        <w:t>Processor shall</w:t>
      </w:r>
      <w:r w:rsidRPr="00150EDC">
        <w:rPr>
          <w:spacing w:val="-2"/>
          <w:sz w:val="18"/>
        </w:rPr>
        <w:t xml:space="preserve"> </w:t>
      </w:r>
      <w:r w:rsidRPr="00150EDC">
        <w:rPr>
          <w:sz w:val="18"/>
        </w:rPr>
        <w:t>notify</w:t>
      </w:r>
      <w:r w:rsidRPr="00150EDC">
        <w:rPr>
          <w:spacing w:val="-2"/>
          <w:sz w:val="18"/>
        </w:rPr>
        <w:t xml:space="preserve"> </w:t>
      </w:r>
      <w:r w:rsidRPr="00150EDC">
        <w:rPr>
          <w:sz w:val="18"/>
        </w:rPr>
        <w:t>the Controller immediately if in relation to it Processing Personal Data under or in connection with the Contract it:</w:t>
      </w:r>
    </w:p>
    <w:p w14:paraId="54F1B766" w14:textId="77777777" w:rsidR="004C7180" w:rsidRPr="00150EDC" w:rsidRDefault="00CF0754" w:rsidP="00B320C7">
      <w:pPr>
        <w:pStyle w:val="ListParagraph"/>
        <w:numPr>
          <w:ilvl w:val="1"/>
          <w:numId w:val="94"/>
        </w:numPr>
        <w:tabs>
          <w:tab w:val="left" w:pos="1651"/>
          <w:tab w:val="left" w:pos="1654"/>
        </w:tabs>
        <w:spacing w:before="93"/>
        <w:ind w:right="4017"/>
        <w:jc w:val="both"/>
        <w:rPr>
          <w:sz w:val="18"/>
        </w:rPr>
      </w:pPr>
      <w:r w:rsidRPr="00150EDC">
        <w:rPr>
          <w:sz w:val="18"/>
        </w:rPr>
        <w:t xml:space="preserve">receives a Data Subject Access Request (or purported Data Subject Access </w:t>
      </w:r>
      <w:r w:rsidRPr="00150EDC">
        <w:rPr>
          <w:spacing w:val="-2"/>
          <w:sz w:val="18"/>
        </w:rPr>
        <w:t>Request);</w:t>
      </w:r>
    </w:p>
    <w:p w14:paraId="5815AE57" w14:textId="77777777" w:rsidR="004C7180" w:rsidRPr="00150EDC" w:rsidRDefault="00CF0754" w:rsidP="00B320C7">
      <w:pPr>
        <w:pStyle w:val="ListParagraph"/>
        <w:numPr>
          <w:ilvl w:val="1"/>
          <w:numId w:val="94"/>
        </w:numPr>
        <w:tabs>
          <w:tab w:val="left" w:pos="1651"/>
        </w:tabs>
        <w:spacing w:before="92"/>
        <w:ind w:left="1651" w:hanging="531"/>
        <w:jc w:val="both"/>
        <w:rPr>
          <w:sz w:val="18"/>
        </w:rPr>
      </w:pPr>
      <w:r w:rsidRPr="00150EDC">
        <w:rPr>
          <w:sz w:val="18"/>
        </w:rPr>
        <w:t>receives</w:t>
      </w:r>
      <w:r w:rsidRPr="00150EDC">
        <w:rPr>
          <w:spacing w:val="-5"/>
          <w:sz w:val="18"/>
        </w:rPr>
        <w:t xml:space="preserve"> </w:t>
      </w:r>
      <w:r w:rsidRPr="00150EDC">
        <w:rPr>
          <w:sz w:val="18"/>
        </w:rPr>
        <w:t>a</w:t>
      </w:r>
      <w:r w:rsidRPr="00150EDC">
        <w:rPr>
          <w:spacing w:val="-1"/>
          <w:sz w:val="18"/>
        </w:rPr>
        <w:t xml:space="preserve"> </w:t>
      </w:r>
      <w:r w:rsidRPr="00150EDC">
        <w:rPr>
          <w:sz w:val="18"/>
        </w:rPr>
        <w:t>request</w:t>
      </w:r>
      <w:r w:rsidRPr="00150EDC">
        <w:rPr>
          <w:spacing w:val="-2"/>
          <w:sz w:val="18"/>
        </w:rPr>
        <w:t xml:space="preserve"> </w:t>
      </w:r>
      <w:r w:rsidRPr="00150EDC">
        <w:rPr>
          <w:sz w:val="18"/>
        </w:rPr>
        <w:t>to</w:t>
      </w:r>
      <w:r w:rsidRPr="00150EDC">
        <w:rPr>
          <w:spacing w:val="-2"/>
          <w:sz w:val="18"/>
        </w:rPr>
        <w:t xml:space="preserve"> </w:t>
      </w:r>
      <w:r w:rsidRPr="00150EDC">
        <w:rPr>
          <w:sz w:val="18"/>
        </w:rPr>
        <w:t>rectify,</w:t>
      </w:r>
      <w:r w:rsidRPr="00150EDC">
        <w:rPr>
          <w:spacing w:val="-1"/>
          <w:sz w:val="18"/>
        </w:rPr>
        <w:t xml:space="preserve"> </w:t>
      </w:r>
      <w:r w:rsidRPr="00150EDC">
        <w:rPr>
          <w:sz w:val="18"/>
        </w:rPr>
        <w:t>block</w:t>
      </w:r>
      <w:r w:rsidRPr="00150EDC">
        <w:rPr>
          <w:spacing w:val="-3"/>
          <w:sz w:val="18"/>
        </w:rPr>
        <w:t xml:space="preserve"> </w:t>
      </w:r>
      <w:r w:rsidRPr="00150EDC">
        <w:rPr>
          <w:sz w:val="18"/>
        </w:rPr>
        <w:t>or</w:t>
      </w:r>
      <w:r w:rsidRPr="00150EDC">
        <w:rPr>
          <w:spacing w:val="-2"/>
          <w:sz w:val="18"/>
        </w:rPr>
        <w:t xml:space="preserve"> </w:t>
      </w:r>
      <w:r w:rsidRPr="00150EDC">
        <w:rPr>
          <w:sz w:val="18"/>
        </w:rPr>
        <w:t>erase</w:t>
      </w:r>
      <w:r w:rsidRPr="00150EDC">
        <w:rPr>
          <w:spacing w:val="-2"/>
          <w:sz w:val="18"/>
        </w:rPr>
        <w:t xml:space="preserve"> </w:t>
      </w:r>
      <w:r w:rsidRPr="00150EDC">
        <w:rPr>
          <w:sz w:val="18"/>
        </w:rPr>
        <w:t>any</w:t>
      </w:r>
      <w:r w:rsidRPr="00150EDC">
        <w:rPr>
          <w:spacing w:val="-2"/>
          <w:sz w:val="18"/>
        </w:rPr>
        <w:t xml:space="preserve"> </w:t>
      </w:r>
      <w:r w:rsidRPr="00150EDC">
        <w:rPr>
          <w:sz w:val="18"/>
        </w:rPr>
        <w:t>Personal</w:t>
      </w:r>
      <w:r w:rsidRPr="00150EDC">
        <w:rPr>
          <w:spacing w:val="-2"/>
          <w:sz w:val="18"/>
        </w:rPr>
        <w:t xml:space="preserve"> Data;</w:t>
      </w:r>
    </w:p>
    <w:p w14:paraId="52CE1F83" w14:textId="77777777" w:rsidR="004C7180" w:rsidRPr="00150EDC" w:rsidRDefault="00CF0754" w:rsidP="00B320C7">
      <w:pPr>
        <w:pStyle w:val="ListParagraph"/>
        <w:numPr>
          <w:ilvl w:val="1"/>
          <w:numId w:val="94"/>
        </w:numPr>
        <w:tabs>
          <w:tab w:val="left" w:pos="1652"/>
          <w:tab w:val="left" w:pos="1654"/>
        </w:tabs>
        <w:spacing w:before="91"/>
        <w:ind w:right="4016"/>
        <w:jc w:val="both"/>
        <w:rPr>
          <w:sz w:val="18"/>
        </w:rPr>
      </w:pPr>
      <w:r w:rsidRPr="00150EDC">
        <w:rPr>
          <w:sz w:val="18"/>
        </w:rPr>
        <w:t>receives any other request, complaint or communication relating to either Party's obligations under the Data Protection Legislation;</w:t>
      </w:r>
    </w:p>
    <w:p w14:paraId="489BD19C" w14:textId="77777777" w:rsidR="004C7180" w:rsidRPr="00150EDC" w:rsidRDefault="00CF0754" w:rsidP="00B320C7">
      <w:pPr>
        <w:pStyle w:val="ListParagraph"/>
        <w:numPr>
          <w:ilvl w:val="1"/>
          <w:numId w:val="94"/>
        </w:numPr>
        <w:tabs>
          <w:tab w:val="left" w:pos="1651"/>
          <w:tab w:val="left" w:pos="1654"/>
        </w:tabs>
        <w:spacing w:before="93"/>
        <w:ind w:right="4017"/>
        <w:jc w:val="both"/>
        <w:rPr>
          <w:sz w:val="18"/>
        </w:rPr>
      </w:pPr>
      <w:r w:rsidRPr="00150EDC">
        <w:rPr>
          <w:sz w:val="18"/>
        </w:rPr>
        <w:t xml:space="preserve">receives any communication from the Information Commissioner or any other regulatory authority in connection with Personal Data Processed under the </w:t>
      </w:r>
      <w:r w:rsidRPr="00150EDC">
        <w:rPr>
          <w:spacing w:val="-2"/>
          <w:sz w:val="18"/>
        </w:rPr>
        <w:t>Contract;</w:t>
      </w:r>
    </w:p>
    <w:p w14:paraId="1CC53287" w14:textId="77777777" w:rsidR="004C7180" w:rsidRPr="00150EDC" w:rsidRDefault="00CF0754" w:rsidP="00B320C7">
      <w:pPr>
        <w:pStyle w:val="ListParagraph"/>
        <w:numPr>
          <w:ilvl w:val="1"/>
          <w:numId w:val="94"/>
        </w:numPr>
        <w:tabs>
          <w:tab w:val="left" w:pos="1651"/>
          <w:tab w:val="left" w:pos="1654"/>
        </w:tabs>
        <w:spacing w:before="93"/>
        <w:ind w:right="4018"/>
        <w:jc w:val="both"/>
        <w:rPr>
          <w:sz w:val="18"/>
        </w:rPr>
      </w:pPr>
      <w:r w:rsidRPr="00150EDC">
        <w:rPr>
          <w:sz w:val="18"/>
        </w:rPr>
        <w:t>receives a request from any third Party</w:t>
      </w:r>
      <w:r w:rsidRPr="00150EDC">
        <w:rPr>
          <w:spacing w:val="-1"/>
          <w:sz w:val="18"/>
        </w:rPr>
        <w:t xml:space="preserve"> </w:t>
      </w:r>
      <w:r w:rsidRPr="00150EDC">
        <w:rPr>
          <w:sz w:val="18"/>
        </w:rPr>
        <w:t>for</w:t>
      </w:r>
      <w:r w:rsidRPr="00150EDC">
        <w:rPr>
          <w:spacing w:val="-1"/>
          <w:sz w:val="18"/>
        </w:rPr>
        <w:t xml:space="preserve"> </w:t>
      </w:r>
      <w:r w:rsidRPr="00150EDC">
        <w:rPr>
          <w:sz w:val="18"/>
        </w:rPr>
        <w:t xml:space="preserve">disclosure of Personal Data where compliance with such request is required or purported to be required by Law; </w:t>
      </w:r>
      <w:r w:rsidRPr="00150EDC">
        <w:rPr>
          <w:spacing w:val="-6"/>
          <w:sz w:val="18"/>
        </w:rPr>
        <w:t>or</w:t>
      </w:r>
    </w:p>
    <w:p w14:paraId="54302B40" w14:textId="77777777" w:rsidR="004C7180" w:rsidRPr="00150EDC" w:rsidRDefault="00CF0754" w:rsidP="00B320C7">
      <w:pPr>
        <w:pStyle w:val="ListParagraph"/>
        <w:numPr>
          <w:ilvl w:val="1"/>
          <w:numId w:val="94"/>
        </w:numPr>
        <w:tabs>
          <w:tab w:val="left" w:pos="1651"/>
        </w:tabs>
        <w:spacing w:before="93"/>
        <w:ind w:left="1651" w:hanging="531"/>
        <w:jc w:val="both"/>
        <w:rPr>
          <w:sz w:val="18"/>
        </w:rPr>
      </w:pPr>
      <w:r w:rsidRPr="00150EDC">
        <w:rPr>
          <w:sz w:val="18"/>
        </w:rPr>
        <w:t>becomes</w:t>
      </w:r>
      <w:r w:rsidRPr="00150EDC">
        <w:rPr>
          <w:spacing w:val="-4"/>
          <w:sz w:val="18"/>
        </w:rPr>
        <w:t xml:space="preserve"> </w:t>
      </w:r>
      <w:r w:rsidRPr="00150EDC">
        <w:rPr>
          <w:sz w:val="18"/>
        </w:rPr>
        <w:t>aware</w:t>
      </w:r>
      <w:r w:rsidRPr="00150EDC">
        <w:rPr>
          <w:spacing w:val="-2"/>
          <w:sz w:val="18"/>
        </w:rPr>
        <w:t xml:space="preserve"> </w:t>
      </w:r>
      <w:r w:rsidRPr="00150EDC">
        <w:rPr>
          <w:sz w:val="18"/>
        </w:rPr>
        <w:t>of</w:t>
      </w:r>
      <w:r w:rsidRPr="00150EDC">
        <w:rPr>
          <w:spacing w:val="-1"/>
          <w:sz w:val="18"/>
        </w:rPr>
        <w:t xml:space="preserve"> </w:t>
      </w:r>
      <w:r w:rsidRPr="00150EDC">
        <w:rPr>
          <w:sz w:val="18"/>
        </w:rPr>
        <w:t>a</w:t>
      </w:r>
      <w:r w:rsidRPr="00150EDC">
        <w:rPr>
          <w:spacing w:val="-2"/>
          <w:sz w:val="18"/>
        </w:rPr>
        <w:t xml:space="preserve"> </w:t>
      </w:r>
      <w:r w:rsidRPr="00150EDC">
        <w:rPr>
          <w:sz w:val="18"/>
        </w:rPr>
        <w:t>Personal</w:t>
      </w:r>
      <w:r w:rsidRPr="00150EDC">
        <w:rPr>
          <w:spacing w:val="-2"/>
          <w:sz w:val="18"/>
        </w:rPr>
        <w:t xml:space="preserve"> </w:t>
      </w:r>
      <w:r w:rsidRPr="00150EDC">
        <w:rPr>
          <w:sz w:val="18"/>
        </w:rPr>
        <w:t xml:space="preserve">Data </w:t>
      </w:r>
      <w:r w:rsidRPr="00150EDC">
        <w:rPr>
          <w:spacing w:val="-2"/>
          <w:sz w:val="18"/>
        </w:rPr>
        <w:t>Breach.</w:t>
      </w:r>
    </w:p>
    <w:p w14:paraId="56F817A8" w14:textId="77777777" w:rsidR="004C7180" w:rsidRPr="00150EDC" w:rsidRDefault="004C7180">
      <w:pPr>
        <w:pStyle w:val="BodyText"/>
        <w:spacing w:before="5"/>
        <w:rPr>
          <w:sz w:val="18"/>
        </w:rPr>
      </w:pPr>
    </w:p>
    <w:p w14:paraId="06B066F8" w14:textId="77777777" w:rsidR="004C7180" w:rsidRPr="00150EDC" w:rsidRDefault="00CF0754" w:rsidP="00B320C7">
      <w:pPr>
        <w:pStyle w:val="ListParagraph"/>
        <w:numPr>
          <w:ilvl w:val="0"/>
          <w:numId w:val="94"/>
        </w:numPr>
        <w:tabs>
          <w:tab w:val="left" w:pos="1575"/>
          <w:tab w:val="left" w:pos="1578"/>
        </w:tabs>
        <w:spacing w:before="1"/>
        <w:ind w:right="4018"/>
        <w:jc w:val="both"/>
        <w:rPr>
          <w:sz w:val="18"/>
        </w:rPr>
      </w:pPr>
      <w:r w:rsidRPr="00150EDC">
        <w:rPr>
          <w:sz w:val="18"/>
        </w:rPr>
        <w:t>The Processor’s obligation to notify under paragraph 6 of this Joint Schedule 11 shall include the provision of further information to the Controller, as details become available.</w:t>
      </w:r>
    </w:p>
    <w:p w14:paraId="386AF0E4" w14:textId="77777777" w:rsidR="004C7180" w:rsidRPr="00150EDC" w:rsidRDefault="004C7180">
      <w:pPr>
        <w:pStyle w:val="BodyText"/>
        <w:spacing w:before="7"/>
        <w:rPr>
          <w:sz w:val="18"/>
        </w:rPr>
      </w:pPr>
    </w:p>
    <w:p w14:paraId="79A82887" w14:textId="77777777" w:rsidR="004C7180" w:rsidRPr="00150EDC" w:rsidRDefault="00CF0754" w:rsidP="00B320C7">
      <w:pPr>
        <w:pStyle w:val="ListParagraph"/>
        <w:numPr>
          <w:ilvl w:val="0"/>
          <w:numId w:val="94"/>
        </w:numPr>
        <w:tabs>
          <w:tab w:val="left" w:pos="1575"/>
          <w:tab w:val="left" w:pos="1578"/>
        </w:tabs>
        <w:ind w:right="4017"/>
        <w:jc w:val="both"/>
        <w:rPr>
          <w:sz w:val="18"/>
        </w:rPr>
      </w:pPr>
      <w:r w:rsidRPr="00150EDC">
        <w:rPr>
          <w:sz w:val="18"/>
        </w:rPr>
        <w:t>Taking into account the nature of the Processing, the Processor shall provide the</w:t>
      </w:r>
      <w:r w:rsidRPr="00150EDC">
        <w:rPr>
          <w:spacing w:val="-8"/>
          <w:sz w:val="18"/>
        </w:rPr>
        <w:t xml:space="preserve"> </w:t>
      </w:r>
      <w:r w:rsidRPr="00150EDC">
        <w:rPr>
          <w:sz w:val="18"/>
        </w:rPr>
        <w:t>Controller</w:t>
      </w:r>
      <w:r w:rsidRPr="00150EDC">
        <w:rPr>
          <w:spacing w:val="-9"/>
          <w:sz w:val="18"/>
        </w:rPr>
        <w:t xml:space="preserve"> </w:t>
      </w:r>
      <w:r w:rsidRPr="00150EDC">
        <w:rPr>
          <w:sz w:val="18"/>
        </w:rPr>
        <w:t>with</w:t>
      </w:r>
      <w:r w:rsidRPr="00150EDC">
        <w:rPr>
          <w:spacing w:val="-8"/>
          <w:sz w:val="18"/>
        </w:rPr>
        <w:t xml:space="preserve"> </w:t>
      </w:r>
      <w:r w:rsidRPr="00150EDC">
        <w:rPr>
          <w:sz w:val="18"/>
        </w:rPr>
        <w:t>assistance</w:t>
      </w:r>
      <w:r w:rsidRPr="00150EDC">
        <w:rPr>
          <w:spacing w:val="-8"/>
          <w:sz w:val="18"/>
        </w:rPr>
        <w:t xml:space="preserve"> </w:t>
      </w:r>
      <w:r w:rsidRPr="00150EDC">
        <w:rPr>
          <w:sz w:val="18"/>
        </w:rPr>
        <w:t>in</w:t>
      </w:r>
      <w:r w:rsidRPr="00150EDC">
        <w:rPr>
          <w:spacing w:val="-8"/>
          <w:sz w:val="18"/>
        </w:rPr>
        <w:t xml:space="preserve"> </w:t>
      </w:r>
      <w:r w:rsidRPr="00150EDC">
        <w:rPr>
          <w:sz w:val="18"/>
        </w:rPr>
        <w:t>relation</w:t>
      </w:r>
      <w:r w:rsidRPr="00150EDC">
        <w:rPr>
          <w:spacing w:val="-8"/>
          <w:sz w:val="18"/>
        </w:rPr>
        <w:t xml:space="preserve"> </w:t>
      </w:r>
      <w:r w:rsidRPr="00150EDC">
        <w:rPr>
          <w:sz w:val="18"/>
        </w:rPr>
        <w:t>to</w:t>
      </w:r>
      <w:r w:rsidRPr="00150EDC">
        <w:rPr>
          <w:spacing w:val="-10"/>
          <w:sz w:val="18"/>
        </w:rPr>
        <w:t xml:space="preserve"> </w:t>
      </w:r>
      <w:r w:rsidRPr="00150EDC">
        <w:rPr>
          <w:sz w:val="18"/>
        </w:rPr>
        <w:t>either</w:t>
      </w:r>
      <w:r w:rsidRPr="00150EDC">
        <w:rPr>
          <w:spacing w:val="-9"/>
          <w:sz w:val="18"/>
        </w:rPr>
        <w:t xml:space="preserve"> </w:t>
      </w:r>
      <w:r w:rsidRPr="00150EDC">
        <w:rPr>
          <w:sz w:val="18"/>
        </w:rPr>
        <w:t>Party's</w:t>
      </w:r>
      <w:r w:rsidRPr="00150EDC">
        <w:rPr>
          <w:spacing w:val="-9"/>
          <w:sz w:val="18"/>
        </w:rPr>
        <w:t xml:space="preserve"> </w:t>
      </w:r>
      <w:r w:rsidRPr="00150EDC">
        <w:rPr>
          <w:sz w:val="18"/>
        </w:rPr>
        <w:t>obligations</w:t>
      </w:r>
      <w:r w:rsidRPr="00150EDC">
        <w:rPr>
          <w:spacing w:val="-11"/>
          <w:sz w:val="18"/>
        </w:rPr>
        <w:t xml:space="preserve"> </w:t>
      </w:r>
      <w:r w:rsidRPr="00150EDC">
        <w:rPr>
          <w:sz w:val="18"/>
        </w:rPr>
        <w:t>under</w:t>
      </w:r>
      <w:r w:rsidRPr="00150EDC">
        <w:rPr>
          <w:spacing w:val="-9"/>
          <w:sz w:val="18"/>
        </w:rPr>
        <w:t xml:space="preserve"> </w:t>
      </w:r>
      <w:r w:rsidRPr="00150EDC">
        <w:rPr>
          <w:sz w:val="18"/>
        </w:rPr>
        <w:t>Data Protection Legislation and any complaint, communication or request made under</w:t>
      </w:r>
      <w:r w:rsidRPr="00150EDC">
        <w:rPr>
          <w:spacing w:val="-2"/>
          <w:sz w:val="18"/>
        </w:rPr>
        <w:t xml:space="preserve"> </w:t>
      </w:r>
      <w:r w:rsidRPr="00150EDC">
        <w:rPr>
          <w:sz w:val="18"/>
        </w:rPr>
        <w:t>paragraph</w:t>
      </w:r>
      <w:r w:rsidRPr="00150EDC">
        <w:rPr>
          <w:spacing w:val="-1"/>
          <w:sz w:val="18"/>
        </w:rPr>
        <w:t xml:space="preserve"> </w:t>
      </w:r>
      <w:r w:rsidRPr="00150EDC">
        <w:rPr>
          <w:sz w:val="18"/>
        </w:rPr>
        <w:t>6</w:t>
      </w:r>
      <w:r w:rsidRPr="00150EDC">
        <w:rPr>
          <w:spacing w:val="-3"/>
          <w:sz w:val="18"/>
        </w:rPr>
        <w:t xml:space="preserve"> </w:t>
      </w:r>
      <w:r w:rsidRPr="00150EDC">
        <w:rPr>
          <w:sz w:val="18"/>
        </w:rPr>
        <w:t>of</w:t>
      </w:r>
      <w:r w:rsidRPr="00150EDC">
        <w:rPr>
          <w:spacing w:val="-1"/>
          <w:sz w:val="18"/>
        </w:rPr>
        <w:t xml:space="preserve"> </w:t>
      </w:r>
      <w:r w:rsidRPr="00150EDC">
        <w:rPr>
          <w:sz w:val="18"/>
        </w:rPr>
        <w:t>this</w:t>
      </w:r>
      <w:r w:rsidRPr="00150EDC">
        <w:rPr>
          <w:spacing w:val="-2"/>
          <w:sz w:val="18"/>
        </w:rPr>
        <w:t xml:space="preserve"> </w:t>
      </w:r>
      <w:r w:rsidRPr="00150EDC">
        <w:rPr>
          <w:sz w:val="18"/>
        </w:rPr>
        <w:t>Joint</w:t>
      </w:r>
      <w:r w:rsidRPr="00150EDC">
        <w:rPr>
          <w:spacing w:val="-1"/>
          <w:sz w:val="18"/>
        </w:rPr>
        <w:t xml:space="preserve"> </w:t>
      </w:r>
      <w:r w:rsidRPr="00150EDC">
        <w:rPr>
          <w:sz w:val="18"/>
        </w:rPr>
        <w:t>Schedule</w:t>
      </w:r>
      <w:r w:rsidRPr="00150EDC">
        <w:rPr>
          <w:spacing w:val="-1"/>
          <w:sz w:val="18"/>
        </w:rPr>
        <w:t xml:space="preserve"> </w:t>
      </w:r>
      <w:r w:rsidRPr="00150EDC">
        <w:rPr>
          <w:sz w:val="18"/>
        </w:rPr>
        <w:t>11</w:t>
      </w:r>
      <w:r w:rsidRPr="00150EDC">
        <w:rPr>
          <w:spacing w:val="-1"/>
          <w:sz w:val="18"/>
        </w:rPr>
        <w:t xml:space="preserve"> </w:t>
      </w:r>
      <w:r w:rsidRPr="00150EDC">
        <w:rPr>
          <w:sz w:val="18"/>
        </w:rPr>
        <w:t>(and</w:t>
      </w:r>
      <w:r w:rsidRPr="00150EDC">
        <w:rPr>
          <w:spacing w:val="-1"/>
          <w:sz w:val="18"/>
        </w:rPr>
        <w:t xml:space="preserve"> </w:t>
      </w:r>
      <w:r w:rsidRPr="00150EDC">
        <w:rPr>
          <w:sz w:val="18"/>
        </w:rPr>
        <w:t>insofar</w:t>
      </w:r>
      <w:r w:rsidRPr="00150EDC">
        <w:rPr>
          <w:spacing w:val="-2"/>
          <w:sz w:val="18"/>
        </w:rPr>
        <w:t xml:space="preserve"> </w:t>
      </w:r>
      <w:r w:rsidRPr="00150EDC">
        <w:rPr>
          <w:sz w:val="18"/>
        </w:rPr>
        <w:t>as</w:t>
      </w:r>
      <w:r w:rsidRPr="00150EDC">
        <w:rPr>
          <w:spacing w:val="-2"/>
          <w:sz w:val="18"/>
        </w:rPr>
        <w:t xml:space="preserve"> </w:t>
      </w:r>
      <w:r w:rsidRPr="00150EDC">
        <w:rPr>
          <w:sz w:val="18"/>
        </w:rPr>
        <w:t>possible</w:t>
      </w:r>
      <w:r w:rsidRPr="00150EDC">
        <w:rPr>
          <w:spacing w:val="-3"/>
          <w:sz w:val="18"/>
        </w:rPr>
        <w:t xml:space="preserve"> </w:t>
      </w:r>
      <w:r w:rsidRPr="00150EDC">
        <w:rPr>
          <w:sz w:val="18"/>
        </w:rPr>
        <w:t>within</w:t>
      </w:r>
      <w:r w:rsidRPr="00150EDC">
        <w:rPr>
          <w:spacing w:val="-1"/>
          <w:sz w:val="18"/>
        </w:rPr>
        <w:t xml:space="preserve"> </w:t>
      </w:r>
      <w:r w:rsidRPr="00150EDC">
        <w:rPr>
          <w:sz w:val="18"/>
        </w:rPr>
        <w:t xml:space="preserve">the timescales reasonably required by the Controller) including by immediately </w:t>
      </w:r>
      <w:r w:rsidRPr="00150EDC">
        <w:rPr>
          <w:spacing w:val="-2"/>
          <w:sz w:val="18"/>
        </w:rPr>
        <w:t>providing:</w:t>
      </w:r>
    </w:p>
    <w:p w14:paraId="4327AABE" w14:textId="77777777" w:rsidR="004C7180" w:rsidRPr="00150EDC" w:rsidRDefault="004C7180">
      <w:pPr>
        <w:pStyle w:val="BodyText"/>
        <w:spacing w:before="8"/>
        <w:rPr>
          <w:sz w:val="29"/>
        </w:rPr>
      </w:pPr>
    </w:p>
    <w:p w14:paraId="63CE23D9" w14:textId="77777777" w:rsidR="004C7180" w:rsidRPr="00150EDC" w:rsidRDefault="00CF0754">
      <w:pPr>
        <w:spacing w:before="95"/>
        <w:ind w:left="1044"/>
        <w:rPr>
          <w:sz w:val="15"/>
        </w:rPr>
      </w:pPr>
      <w:r w:rsidRPr="00150EDC">
        <w:rPr>
          <w:sz w:val="15"/>
        </w:rPr>
        <w:t>DPS</w:t>
      </w:r>
      <w:r w:rsidRPr="00150EDC">
        <w:rPr>
          <w:spacing w:val="-3"/>
          <w:sz w:val="15"/>
        </w:rPr>
        <w:t xml:space="preserve"> </w:t>
      </w:r>
      <w:r w:rsidRPr="00150EDC">
        <w:rPr>
          <w:sz w:val="15"/>
        </w:rPr>
        <w:t xml:space="preserve">Ref: </w:t>
      </w:r>
      <w:r w:rsidRPr="00150EDC">
        <w:rPr>
          <w:spacing w:val="-2"/>
          <w:sz w:val="15"/>
        </w:rPr>
        <w:t>RM6322</w:t>
      </w:r>
    </w:p>
    <w:p w14:paraId="76421A17" w14:textId="77777777" w:rsidR="004C7180" w:rsidRPr="00150EDC" w:rsidRDefault="00CF0754">
      <w:pPr>
        <w:tabs>
          <w:tab w:val="left" w:pos="7660"/>
        </w:tabs>
        <w:spacing w:before="27"/>
        <w:ind w:left="1044"/>
        <w:rPr>
          <w:sz w:val="15"/>
        </w:rPr>
      </w:pPr>
      <w:r w:rsidRPr="00150EDC">
        <w:rPr>
          <w:noProof/>
          <w:lang w:val="en-GB" w:eastAsia="en-GB"/>
        </w:rPr>
        <mc:AlternateContent>
          <mc:Choice Requires="wps">
            <w:drawing>
              <wp:anchor distT="0" distB="0" distL="0" distR="0" simplePos="0" relativeHeight="251658256" behindDoc="1" locked="0" layoutInCell="1" allowOverlap="1" wp14:anchorId="76FE8536" wp14:editId="1D49520B">
                <wp:simplePos x="0" y="0"/>
                <wp:positionH relativeFrom="page">
                  <wp:posOffset>4921821</wp:posOffset>
                </wp:positionH>
                <wp:positionV relativeFrom="paragraph">
                  <wp:posOffset>16943</wp:posOffset>
                </wp:positionV>
                <wp:extent cx="53340" cy="110489"/>
                <wp:effectExtent l="0" t="0" r="0" b="0"/>
                <wp:wrapNone/>
                <wp:docPr id="54" name="Free-form: 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 cy="110489"/>
                        </a:xfrm>
                        <a:custGeom>
                          <a:avLst/>
                          <a:gdLst/>
                          <a:ahLst/>
                          <a:cxnLst/>
                          <a:rect l="l" t="t" r="r" b="b"/>
                          <a:pathLst>
                            <a:path w="53340" h="110489">
                              <a:moveTo>
                                <a:pt x="52806" y="0"/>
                              </a:moveTo>
                              <a:lnTo>
                                <a:pt x="0" y="0"/>
                              </a:lnTo>
                              <a:lnTo>
                                <a:pt x="0" y="110210"/>
                              </a:lnTo>
                              <a:lnTo>
                                <a:pt x="52806" y="110210"/>
                              </a:lnTo>
                              <a:lnTo>
                                <a:pt x="52806" y="0"/>
                              </a:lnTo>
                              <a:close/>
                            </a:path>
                          </a:pathLst>
                        </a:custGeom>
                        <a:solidFill>
                          <a:srgbClr val="E6E6E6"/>
                        </a:solidFill>
                      </wps:spPr>
                      <wps:bodyPr wrap="square" lIns="0" tIns="0" rIns="0" bIns="0" rtlCol="0">
                        <a:prstTxWarp prst="textNoShape">
                          <a:avLst/>
                        </a:prstTxWarp>
                        <a:noAutofit/>
                      </wps:bodyPr>
                    </wps:wsp>
                  </a:graphicData>
                </a:graphic>
              </wp:anchor>
            </w:drawing>
          </mc:Choice>
          <mc:Fallback>
            <w:pict>
              <v:shape w14:anchorId="330FB5E7" id="Free-form: Shape 54" o:spid="_x0000_s1026" style="position:absolute;margin-left:387.55pt;margin-top:1.35pt;width:4.2pt;height:8.7pt;z-index:-251658224;visibility:visible;mso-wrap-style:square;mso-wrap-distance-left:0;mso-wrap-distance-top:0;mso-wrap-distance-right:0;mso-wrap-distance-bottom:0;mso-position-horizontal:absolute;mso-position-horizontal-relative:page;mso-position-vertical:absolute;mso-position-vertical-relative:text;v-text-anchor:top" coordsize="53340,110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" path="m52806,l,,,110210r52806,l52806,xe" fillcolor="#e6e6e6" stroked="f">
                <v:path arrowok="t"/>
                <w10:wrap anchorx="page"/>
              </v:shape>
            </w:pict>
          </mc:Fallback>
        </mc:AlternateContent>
      </w:r>
      <w:r w:rsidRPr="00150EDC">
        <w:rPr>
          <w:sz w:val="15"/>
        </w:rPr>
        <w:t>Project</w:t>
      </w:r>
      <w:r w:rsidRPr="00150EDC">
        <w:rPr>
          <w:spacing w:val="-4"/>
          <w:sz w:val="15"/>
        </w:rPr>
        <w:t xml:space="preserve"> </w:t>
      </w:r>
      <w:r w:rsidRPr="00150EDC">
        <w:rPr>
          <w:sz w:val="15"/>
        </w:rPr>
        <w:t>Version:</w:t>
      </w:r>
      <w:r w:rsidRPr="00150EDC">
        <w:rPr>
          <w:spacing w:val="-3"/>
          <w:sz w:val="15"/>
        </w:rPr>
        <w:t xml:space="preserve"> </w:t>
      </w:r>
      <w:r w:rsidRPr="00150EDC">
        <w:rPr>
          <w:spacing w:val="-4"/>
          <w:sz w:val="15"/>
        </w:rPr>
        <w:t>v1.0</w:t>
      </w:r>
      <w:r w:rsidRPr="00150EDC">
        <w:rPr>
          <w:sz w:val="15"/>
        </w:rPr>
        <w:tab/>
        <w:t>-</w:t>
      </w:r>
      <w:r w:rsidRPr="00150EDC">
        <w:rPr>
          <w:spacing w:val="-5"/>
          <w:sz w:val="15"/>
        </w:rPr>
        <w:t>3-</w:t>
      </w:r>
    </w:p>
    <w:p w14:paraId="60EFD186" w14:textId="77777777" w:rsidR="004C7180" w:rsidRPr="00150EDC" w:rsidRDefault="004C7180">
      <w:pPr>
        <w:rPr>
          <w:sz w:val="15"/>
        </w:rPr>
        <w:sectPr w:rsidR="004C7180" w:rsidRPr="00150EDC">
          <w:pgSz w:w="11910" w:h="16840"/>
          <w:pgMar w:top="2940" w:right="0" w:bottom="2720" w:left="40" w:header="2612" w:footer="2535" w:gutter="0"/>
          <w:cols w:space="720"/>
        </w:sectPr>
      </w:pPr>
    </w:p>
    <w:p w14:paraId="6B45F48B" w14:textId="21CDB519" w:rsidR="004C7180" w:rsidRPr="00150EDC" w:rsidRDefault="004C7180">
      <w:pPr>
        <w:pStyle w:val="BodyText"/>
        <w:spacing w:before="7"/>
        <w:rPr>
          <w:sz w:val="9"/>
        </w:rPr>
      </w:pPr>
    </w:p>
    <w:p w14:paraId="75C363CA" w14:textId="77777777" w:rsidR="004C7180" w:rsidRPr="00150EDC" w:rsidRDefault="00CF0754" w:rsidP="00B320C7">
      <w:pPr>
        <w:pStyle w:val="ListParagraph"/>
        <w:numPr>
          <w:ilvl w:val="1"/>
          <w:numId w:val="94"/>
        </w:numPr>
        <w:tabs>
          <w:tab w:val="left" w:pos="1651"/>
          <w:tab w:val="left" w:pos="1654"/>
        </w:tabs>
        <w:spacing w:before="95"/>
        <w:ind w:right="4016"/>
        <w:jc w:val="both"/>
        <w:rPr>
          <w:sz w:val="18"/>
        </w:rPr>
      </w:pPr>
      <w:r w:rsidRPr="00150EDC">
        <w:rPr>
          <w:sz w:val="18"/>
        </w:rPr>
        <w:t xml:space="preserve">the Controller with full details and copies of the complaint, communication or </w:t>
      </w:r>
      <w:r w:rsidRPr="00150EDC">
        <w:rPr>
          <w:spacing w:val="-2"/>
          <w:sz w:val="18"/>
        </w:rPr>
        <w:t>request;</w:t>
      </w:r>
    </w:p>
    <w:p w14:paraId="63D840C7" w14:textId="77777777" w:rsidR="004C7180" w:rsidRPr="00150EDC" w:rsidRDefault="00CF0754" w:rsidP="00B320C7">
      <w:pPr>
        <w:pStyle w:val="ListParagraph"/>
        <w:numPr>
          <w:ilvl w:val="1"/>
          <w:numId w:val="94"/>
        </w:numPr>
        <w:tabs>
          <w:tab w:val="left" w:pos="1651"/>
          <w:tab w:val="left" w:pos="1654"/>
        </w:tabs>
        <w:spacing w:before="93"/>
        <w:ind w:right="4017"/>
        <w:jc w:val="both"/>
        <w:rPr>
          <w:sz w:val="18"/>
        </w:rPr>
      </w:pPr>
      <w:r w:rsidRPr="00150EDC">
        <w:rPr>
          <w:sz w:val="18"/>
        </w:rPr>
        <w:t>such assistance as is reasonably requested by the Controller to enable it to comply</w:t>
      </w:r>
      <w:r w:rsidRPr="00150EDC">
        <w:rPr>
          <w:spacing w:val="-5"/>
          <w:sz w:val="18"/>
        </w:rPr>
        <w:t xml:space="preserve"> </w:t>
      </w:r>
      <w:r w:rsidRPr="00150EDC">
        <w:rPr>
          <w:sz w:val="18"/>
        </w:rPr>
        <w:t>with</w:t>
      </w:r>
      <w:r w:rsidRPr="00150EDC">
        <w:rPr>
          <w:spacing w:val="-5"/>
          <w:sz w:val="18"/>
        </w:rPr>
        <w:t xml:space="preserve"> </w:t>
      </w:r>
      <w:r w:rsidRPr="00150EDC">
        <w:rPr>
          <w:sz w:val="18"/>
        </w:rPr>
        <w:t>a</w:t>
      </w:r>
      <w:r w:rsidRPr="00150EDC">
        <w:rPr>
          <w:spacing w:val="-5"/>
          <w:sz w:val="18"/>
        </w:rPr>
        <w:t xml:space="preserve"> </w:t>
      </w:r>
      <w:r w:rsidRPr="00150EDC">
        <w:rPr>
          <w:sz w:val="18"/>
        </w:rPr>
        <w:t>Data</w:t>
      </w:r>
      <w:r w:rsidRPr="00150EDC">
        <w:rPr>
          <w:spacing w:val="-5"/>
          <w:sz w:val="18"/>
        </w:rPr>
        <w:t xml:space="preserve"> </w:t>
      </w:r>
      <w:r w:rsidRPr="00150EDC">
        <w:rPr>
          <w:sz w:val="18"/>
        </w:rPr>
        <w:t>Subject</w:t>
      </w:r>
      <w:r w:rsidRPr="00150EDC">
        <w:rPr>
          <w:spacing w:val="-5"/>
          <w:sz w:val="18"/>
        </w:rPr>
        <w:t xml:space="preserve"> </w:t>
      </w:r>
      <w:r w:rsidRPr="00150EDC">
        <w:rPr>
          <w:sz w:val="18"/>
        </w:rPr>
        <w:t>Access</w:t>
      </w:r>
      <w:r w:rsidRPr="00150EDC">
        <w:rPr>
          <w:spacing w:val="-5"/>
          <w:sz w:val="18"/>
        </w:rPr>
        <w:t xml:space="preserve"> </w:t>
      </w:r>
      <w:r w:rsidRPr="00150EDC">
        <w:rPr>
          <w:sz w:val="18"/>
        </w:rPr>
        <w:t>Request</w:t>
      </w:r>
      <w:r w:rsidRPr="00150EDC">
        <w:rPr>
          <w:spacing w:val="-7"/>
          <w:sz w:val="18"/>
        </w:rPr>
        <w:t xml:space="preserve"> </w:t>
      </w:r>
      <w:r w:rsidRPr="00150EDC">
        <w:rPr>
          <w:sz w:val="18"/>
        </w:rPr>
        <w:t>within</w:t>
      </w:r>
      <w:r w:rsidRPr="00150EDC">
        <w:rPr>
          <w:spacing w:val="-5"/>
          <w:sz w:val="18"/>
        </w:rPr>
        <w:t xml:space="preserve"> </w:t>
      </w:r>
      <w:r w:rsidRPr="00150EDC">
        <w:rPr>
          <w:sz w:val="18"/>
        </w:rPr>
        <w:t>the</w:t>
      </w:r>
      <w:r w:rsidRPr="00150EDC">
        <w:rPr>
          <w:spacing w:val="-5"/>
          <w:sz w:val="18"/>
        </w:rPr>
        <w:t xml:space="preserve"> </w:t>
      </w:r>
      <w:r w:rsidRPr="00150EDC">
        <w:rPr>
          <w:sz w:val="18"/>
        </w:rPr>
        <w:t>relevant</w:t>
      </w:r>
      <w:r w:rsidRPr="00150EDC">
        <w:rPr>
          <w:spacing w:val="-5"/>
          <w:sz w:val="18"/>
        </w:rPr>
        <w:t xml:space="preserve"> </w:t>
      </w:r>
      <w:r w:rsidRPr="00150EDC">
        <w:rPr>
          <w:sz w:val="18"/>
        </w:rPr>
        <w:t>timescales</w:t>
      </w:r>
      <w:r w:rsidRPr="00150EDC">
        <w:rPr>
          <w:spacing w:val="-5"/>
          <w:sz w:val="18"/>
        </w:rPr>
        <w:t xml:space="preserve"> </w:t>
      </w:r>
      <w:r w:rsidRPr="00150EDC">
        <w:rPr>
          <w:sz w:val="18"/>
        </w:rPr>
        <w:t>set out in the Data Protection Legislation;</w:t>
      </w:r>
    </w:p>
    <w:p w14:paraId="7A3A10FE" w14:textId="77777777" w:rsidR="004C7180" w:rsidRPr="00150EDC" w:rsidRDefault="00CF0754" w:rsidP="00B320C7">
      <w:pPr>
        <w:pStyle w:val="ListParagraph"/>
        <w:numPr>
          <w:ilvl w:val="1"/>
          <w:numId w:val="94"/>
        </w:numPr>
        <w:tabs>
          <w:tab w:val="left" w:pos="1652"/>
          <w:tab w:val="left" w:pos="1654"/>
        </w:tabs>
        <w:spacing w:before="93"/>
        <w:ind w:right="4018"/>
        <w:jc w:val="both"/>
        <w:rPr>
          <w:sz w:val="18"/>
        </w:rPr>
      </w:pPr>
      <w:r w:rsidRPr="00150EDC">
        <w:rPr>
          <w:sz w:val="18"/>
        </w:rPr>
        <w:t>the Controller, at its request, with any Personal Data it holds in relation to a Data Subject;</w:t>
      </w:r>
    </w:p>
    <w:p w14:paraId="20AAE666" w14:textId="77777777" w:rsidR="004C7180" w:rsidRPr="00150EDC" w:rsidRDefault="00CF0754" w:rsidP="00B320C7">
      <w:pPr>
        <w:pStyle w:val="ListParagraph"/>
        <w:numPr>
          <w:ilvl w:val="1"/>
          <w:numId w:val="94"/>
        </w:numPr>
        <w:tabs>
          <w:tab w:val="left" w:pos="1651"/>
          <w:tab w:val="left" w:pos="1654"/>
        </w:tabs>
        <w:spacing w:before="92"/>
        <w:ind w:right="4017"/>
        <w:jc w:val="both"/>
        <w:rPr>
          <w:sz w:val="18"/>
        </w:rPr>
      </w:pPr>
      <w:r w:rsidRPr="00150EDC">
        <w:rPr>
          <w:sz w:val="18"/>
        </w:rPr>
        <w:t>assistance</w:t>
      </w:r>
      <w:r w:rsidRPr="00150EDC">
        <w:rPr>
          <w:spacing w:val="-10"/>
          <w:sz w:val="18"/>
        </w:rPr>
        <w:t xml:space="preserve"> </w:t>
      </w:r>
      <w:r w:rsidRPr="00150EDC">
        <w:rPr>
          <w:sz w:val="18"/>
        </w:rPr>
        <w:t>as</w:t>
      </w:r>
      <w:r w:rsidRPr="00150EDC">
        <w:rPr>
          <w:spacing w:val="-11"/>
          <w:sz w:val="18"/>
        </w:rPr>
        <w:t xml:space="preserve"> </w:t>
      </w:r>
      <w:r w:rsidRPr="00150EDC">
        <w:rPr>
          <w:sz w:val="18"/>
        </w:rPr>
        <w:t>requested</w:t>
      </w:r>
      <w:r w:rsidRPr="00150EDC">
        <w:rPr>
          <w:spacing w:val="-10"/>
          <w:sz w:val="18"/>
        </w:rPr>
        <w:t xml:space="preserve"> </w:t>
      </w:r>
      <w:r w:rsidRPr="00150EDC">
        <w:rPr>
          <w:sz w:val="18"/>
        </w:rPr>
        <w:t>by</w:t>
      </w:r>
      <w:r w:rsidRPr="00150EDC">
        <w:rPr>
          <w:spacing w:val="-11"/>
          <w:sz w:val="18"/>
        </w:rPr>
        <w:t xml:space="preserve"> </w:t>
      </w:r>
      <w:r w:rsidRPr="00150EDC">
        <w:rPr>
          <w:sz w:val="18"/>
        </w:rPr>
        <w:t>the</w:t>
      </w:r>
      <w:r w:rsidRPr="00150EDC">
        <w:rPr>
          <w:spacing w:val="-10"/>
          <w:sz w:val="18"/>
        </w:rPr>
        <w:t xml:space="preserve"> </w:t>
      </w:r>
      <w:r w:rsidRPr="00150EDC">
        <w:rPr>
          <w:sz w:val="18"/>
        </w:rPr>
        <w:t>Controller</w:t>
      </w:r>
      <w:r w:rsidRPr="00150EDC">
        <w:rPr>
          <w:spacing w:val="-11"/>
          <w:sz w:val="18"/>
        </w:rPr>
        <w:t xml:space="preserve"> </w:t>
      </w:r>
      <w:r w:rsidRPr="00150EDC">
        <w:rPr>
          <w:sz w:val="18"/>
        </w:rPr>
        <w:t>following</w:t>
      </w:r>
      <w:r w:rsidRPr="00150EDC">
        <w:rPr>
          <w:spacing w:val="-10"/>
          <w:sz w:val="18"/>
        </w:rPr>
        <w:t xml:space="preserve"> </w:t>
      </w:r>
      <w:r w:rsidRPr="00150EDC">
        <w:rPr>
          <w:sz w:val="18"/>
        </w:rPr>
        <w:t>any</w:t>
      </w:r>
      <w:r w:rsidRPr="00150EDC">
        <w:rPr>
          <w:spacing w:val="-11"/>
          <w:sz w:val="18"/>
        </w:rPr>
        <w:t xml:space="preserve"> </w:t>
      </w:r>
      <w:r w:rsidRPr="00150EDC">
        <w:rPr>
          <w:sz w:val="18"/>
        </w:rPr>
        <w:t>Personal</w:t>
      </w:r>
      <w:r w:rsidRPr="00150EDC">
        <w:rPr>
          <w:spacing w:val="-11"/>
          <w:sz w:val="18"/>
        </w:rPr>
        <w:t xml:space="preserve"> </w:t>
      </w:r>
      <w:r w:rsidRPr="00150EDC">
        <w:rPr>
          <w:sz w:val="18"/>
        </w:rPr>
        <w:t>Data</w:t>
      </w:r>
      <w:r w:rsidRPr="00150EDC">
        <w:rPr>
          <w:spacing w:val="-10"/>
          <w:sz w:val="18"/>
        </w:rPr>
        <w:t xml:space="preserve"> </w:t>
      </w:r>
      <w:r w:rsidRPr="00150EDC">
        <w:rPr>
          <w:sz w:val="18"/>
        </w:rPr>
        <w:t xml:space="preserve">Breach; </w:t>
      </w:r>
      <w:r w:rsidRPr="00150EDC">
        <w:rPr>
          <w:spacing w:val="-2"/>
          <w:sz w:val="18"/>
        </w:rPr>
        <w:t>and/or</w:t>
      </w:r>
    </w:p>
    <w:p w14:paraId="57558FED" w14:textId="77777777" w:rsidR="004C7180" w:rsidRPr="00150EDC" w:rsidRDefault="00CF0754" w:rsidP="00B320C7">
      <w:pPr>
        <w:pStyle w:val="ListParagraph"/>
        <w:numPr>
          <w:ilvl w:val="1"/>
          <w:numId w:val="94"/>
        </w:numPr>
        <w:tabs>
          <w:tab w:val="left" w:pos="1651"/>
          <w:tab w:val="left" w:pos="1654"/>
        </w:tabs>
        <w:spacing w:before="92"/>
        <w:ind w:right="4017"/>
        <w:jc w:val="both"/>
        <w:rPr>
          <w:sz w:val="18"/>
        </w:rPr>
      </w:pPr>
      <w:r w:rsidRPr="00150EDC">
        <w:rPr>
          <w:sz w:val="18"/>
        </w:rPr>
        <w:t>assistance</w:t>
      </w:r>
      <w:r w:rsidRPr="00150EDC">
        <w:rPr>
          <w:spacing w:val="-5"/>
          <w:sz w:val="18"/>
        </w:rPr>
        <w:t xml:space="preserve"> </w:t>
      </w:r>
      <w:r w:rsidRPr="00150EDC">
        <w:rPr>
          <w:sz w:val="18"/>
        </w:rPr>
        <w:t>as</w:t>
      </w:r>
      <w:r w:rsidRPr="00150EDC">
        <w:rPr>
          <w:spacing w:val="-5"/>
          <w:sz w:val="18"/>
        </w:rPr>
        <w:t xml:space="preserve"> </w:t>
      </w:r>
      <w:r w:rsidRPr="00150EDC">
        <w:rPr>
          <w:sz w:val="18"/>
        </w:rPr>
        <w:t>requested</w:t>
      </w:r>
      <w:r w:rsidRPr="00150EDC">
        <w:rPr>
          <w:spacing w:val="-5"/>
          <w:sz w:val="18"/>
        </w:rPr>
        <w:t xml:space="preserve"> </w:t>
      </w:r>
      <w:r w:rsidRPr="00150EDC">
        <w:rPr>
          <w:sz w:val="18"/>
        </w:rPr>
        <w:t>by</w:t>
      </w:r>
      <w:r w:rsidRPr="00150EDC">
        <w:rPr>
          <w:spacing w:val="-5"/>
          <w:sz w:val="18"/>
        </w:rPr>
        <w:t xml:space="preserve"> </w:t>
      </w:r>
      <w:r w:rsidRPr="00150EDC">
        <w:rPr>
          <w:sz w:val="18"/>
        </w:rPr>
        <w:t>the</w:t>
      </w:r>
      <w:r w:rsidRPr="00150EDC">
        <w:rPr>
          <w:spacing w:val="-5"/>
          <w:sz w:val="18"/>
        </w:rPr>
        <w:t xml:space="preserve"> </w:t>
      </w:r>
      <w:r w:rsidRPr="00150EDC">
        <w:rPr>
          <w:sz w:val="18"/>
        </w:rPr>
        <w:t>Controller</w:t>
      </w:r>
      <w:r w:rsidRPr="00150EDC">
        <w:rPr>
          <w:spacing w:val="-6"/>
          <w:sz w:val="18"/>
        </w:rPr>
        <w:t xml:space="preserve"> </w:t>
      </w:r>
      <w:r w:rsidRPr="00150EDC">
        <w:rPr>
          <w:sz w:val="18"/>
        </w:rPr>
        <w:t>with</w:t>
      </w:r>
      <w:r w:rsidRPr="00150EDC">
        <w:rPr>
          <w:spacing w:val="-5"/>
          <w:sz w:val="18"/>
        </w:rPr>
        <w:t xml:space="preserve"> </w:t>
      </w:r>
      <w:r w:rsidRPr="00150EDC">
        <w:rPr>
          <w:sz w:val="18"/>
        </w:rPr>
        <w:t>respect</w:t>
      </w:r>
      <w:r w:rsidRPr="00150EDC">
        <w:rPr>
          <w:spacing w:val="-5"/>
          <w:sz w:val="18"/>
        </w:rPr>
        <w:t xml:space="preserve"> </w:t>
      </w:r>
      <w:r w:rsidRPr="00150EDC">
        <w:rPr>
          <w:sz w:val="18"/>
        </w:rPr>
        <w:t>to</w:t>
      </w:r>
      <w:r w:rsidRPr="00150EDC">
        <w:rPr>
          <w:spacing w:val="-5"/>
          <w:sz w:val="18"/>
        </w:rPr>
        <w:t xml:space="preserve"> </w:t>
      </w:r>
      <w:r w:rsidRPr="00150EDC">
        <w:rPr>
          <w:sz w:val="18"/>
        </w:rPr>
        <w:t>any</w:t>
      </w:r>
      <w:r w:rsidRPr="00150EDC">
        <w:rPr>
          <w:spacing w:val="-5"/>
          <w:sz w:val="18"/>
        </w:rPr>
        <w:t xml:space="preserve"> </w:t>
      </w:r>
      <w:r w:rsidRPr="00150EDC">
        <w:rPr>
          <w:sz w:val="18"/>
        </w:rPr>
        <w:t>request</w:t>
      </w:r>
      <w:r w:rsidRPr="00150EDC">
        <w:rPr>
          <w:spacing w:val="-7"/>
          <w:sz w:val="18"/>
        </w:rPr>
        <w:t xml:space="preserve"> </w:t>
      </w:r>
      <w:r w:rsidRPr="00150EDC">
        <w:rPr>
          <w:sz w:val="18"/>
        </w:rPr>
        <w:t>from</w:t>
      </w:r>
      <w:r w:rsidRPr="00150EDC">
        <w:rPr>
          <w:spacing w:val="-4"/>
          <w:sz w:val="18"/>
        </w:rPr>
        <w:t xml:space="preserve"> </w:t>
      </w:r>
      <w:r w:rsidRPr="00150EDC">
        <w:rPr>
          <w:sz w:val="18"/>
        </w:rPr>
        <w:t>the Information Commissioner’s Office, or any consultation by the Controller with the Information Commissioner's Office.</w:t>
      </w:r>
    </w:p>
    <w:p w14:paraId="087F4BC5" w14:textId="77777777" w:rsidR="004C7180" w:rsidRPr="00150EDC" w:rsidRDefault="004C7180">
      <w:pPr>
        <w:pStyle w:val="BodyText"/>
        <w:spacing w:before="8"/>
        <w:rPr>
          <w:sz w:val="18"/>
        </w:rPr>
      </w:pPr>
    </w:p>
    <w:p w14:paraId="168A81C9" w14:textId="77777777" w:rsidR="004C7180" w:rsidRPr="00150EDC" w:rsidRDefault="00CF0754" w:rsidP="00B320C7">
      <w:pPr>
        <w:pStyle w:val="ListParagraph"/>
        <w:numPr>
          <w:ilvl w:val="0"/>
          <w:numId w:val="94"/>
        </w:numPr>
        <w:tabs>
          <w:tab w:val="left" w:pos="1575"/>
          <w:tab w:val="left" w:pos="1578"/>
        </w:tabs>
        <w:ind w:right="4017"/>
        <w:jc w:val="both"/>
        <w:rPr>
          <w:sz w:val="18"/>
        </w:rPr>
      </w:pPr>
      <w:r w:rsidRPr="00150EDC">
        <w:rPr>
          <w:sz w:val="18"/>
        </w:rPr>
        <w:t>The Processor shall maintain complete and accurate records and information to demonstrate its compliance with this Joint Schedule 11. This requirement does not apply where the Processor employs fewer than 250 staff, unless:</w:t>
      </w:r>
    </w:p>
    <w:p w14:paraId="5AA1BEDB" w14:textId="77777777" w:rsidR="004C7180" w:rsidRPr="00150EDC" w:rsidRDefault="00CF0754" w:rsidP="00B320C7">
      <w:pPr>
        <w:pStyle w:val="ListParagraph"/>
        <w:numPr>
          <w:ilvl w:val="1"/>
          <w:numId w:val="94"/>
        </w:numPr>
        <w:tabs>
          <w:tab w:val="left" w:pos="1651"/>
        </w:tabs>
        <w:spacing w:before="93"/>
        <w:ind w:left="1651" w:hanging="531"/>
        <w:jc w:val="both"/>
        <w:rPr>
          <w:sz w:val="18"/>
        </w:rPr>
      </w:pPr>
      <w:r w:rsidRPr="00150EDC">
        <w:rPr>
          <w:sz w:val="18"/>
        </w:rPr>
        <w:t>the</w:t>
      </w:r>
      <w:r w:rsidRPr="00150EDC">
        <w:rPr>
          <w:spacing w:val="-2"/>
          <w:sz w:val="18"/>
        </w:rPr>
        <w:t xml:space="preserve"> </w:t>
      </w:r>
      <w:r w:rsidRPr="00150EDC">
        <w:rPr>
          <w:sz w:val="18"/>
        </w:rPr>
        <w:t>Controller</w:t>
      </w:r>
      <w:r w:rsidRPr="00150EDC">
        <w:rPr>
          <w:spacing w:val="-3"/>
          <w:sz w:val="18"/>
        </w:rPr>
        <w:t xml:space="preserve"> </w:t>
      </w:r>
      <w:r w:rsidRPr="00150EDC">
        <w:rPr>
          <w:sz w:val="18"/>
        </w:rPr>
        <w:t>determines</w:t>
      </w:r>
      <w:r w:rsidRPr="00150EDC">
        <w:rPr>
          <w:spacing w:val="-3"/>
          <w:sz w:val="18"/>
        </w:rPr>
        <w:t xml:space="preserve"> </w:t>
      </w:r>
      <w:r w:rsidRPr="00150EDC">
        <w:rPr>
          <w:sz w:val="18"/>
        </w:rPr>
        <w:t>that</w:t>
      </w:r>
      <w:r w:rsidRPr="00150EDC">
        <w:rPr>
          <w:spacing w:val="-2"/>
          <w:sz w:val="18"/>
        </w:rPr>
        <w:t xml:space="preserve"> </w:t>
      </w:r>
      <w:r w:rsidRPr="00150EDC">
        <w:rPr>
          <w:sz w:val="18"/>
        </w:rPr>
        <w:t>the</w:t>
      </w:r>
      <w:r w:rsidRPr="00150EDC">
        <w:rPr>
          <w:spacing w:val="-1"/>
          <w:sz w:val="18"/>
        </w:rPr>
        <w:t xml:space="preserve"> </w:t>
      </w:r>
      <w:r w:rsidRPr="00150EDC">
        <w:rPr>
          <w:sz w:val="18"/>
        </w:rPr>
        <w:t>Processing</w:t>
      </w:r>
      <w:r w:rsidRPr="00150EDC">
        <w:rPr>
          <w:spacing w:val="-6"/>
          <w:sz w:val="18"/>
        </w:rPr>
        <w:t xml:space="preserve"> </w:t>
      </w:r>
      <w:r w:rsidRPr="00150EDC">
        <w:rPr>
          <w:sz w:val="18"/>
        </w:rPr>
        <w:t>is</w:t>
      </w:r>
      <w:r w:rsidRPr="00150EDC">
        <w:rPr>
          <w:spacing w:val="-3"/>
          <w:sz w:val="18"/>
        </w:rPr>
        <w:t xml:space="preserve"> </w:t>
      </w:r>
      <w:r w:rsidRPr="00150EDC">
        <w:rPr>
          <w:sz w:val="18"/>
        </w:rPr>
        <w:t>not</w:t>
      </w:r>
      <w:r w:rsidRPr="00150EDC">
        <w:rPr>
          <w:spacing w:val="-3"/>
          <w:sz w:val="18"/>
        </w:rPr>
        <w:t xml:space="preserve"> </w:t>
      </w:r>
      <w:r w:rsidRPr="00150EDC">
        <w:rPr>
          <w:spacing w:val="-2"/>
          <w:sz w:val="18"/>
        </w:rPr>
        <w:t>occasional;</w:t>
      </w:r>
    </w:p>
    <w:p w14:paraId="0A23B24D" w14:textId="77777777" w:rsidR="004C7180" w:rsidRPr="00150EDC" w:rsidRDefault="00CF0754" w:rsidP="00B320C7">
      <w:pPr>
        <w:pStyle w:val="ListParagraph"/>
        <w:numPr>
          <w:ilvl w:val="1"/>
          <w:numId w:val="94"/>
        </w:numPr>
        <w:tabs>
          <w:tab w:val="left" w:pos="1651"/>
          <w:tab w:val="left" w:pos="1654"/>
        </w:tabs>
        <w:spacing w:before="91"/>
        <w:ind w:right="4017"/>
        <w:jc w:val="both"/>
        <w:rPr>
          <w:sz w:val="18"/>
        </w:rPr>
      </w:pPr>
      <w:r w:rsidRPr="00150EDC">
        <w:rPr>
          <w:sz w:val="18"/>
        </w:rPr>
        <w:t>the Controller determines the Processing includes special categories of data as referred to in Article 9(1) of the UK GDPR or Personal Data relating to criminal convictions</w:t>
      </w:r>
      <w:r w:rsidRPr="00150EDC">
        <w:rPr>
          <w:spacing w:val="-2"/>
          <w:sz w:val="18"/>
        </w:rPr>
        <w:t xml:space="preserve"> </w:t>
      </w:r>
      <w:r w:rsidRPr="00150EDC">
        <w:rPr>
          <w:sz w:val="18"/>
        </w:rPr>
        <w:t>and offences referred to</w:t>
      </w:r>
      <w:r w:rsidRPr="00150EDC">
        <w:rPr>
          <w:spacing w:val="-1"/>
          <w:sz w:val="18"/>
        </w:rPr>
        <w:t xml:space="preserve"> </w:t>
      </w:r>
      <w:r w:rsidRPr="00150EDC">
        <w:rPr>
          <w:sz w:val="18"/>
        </w:rPr>
        <w:t>in Article 10 of the UK</w:t>
      </w:r>
      <w:r w:rsidRPr="00150EDC">
        <w:rPr>
          <w:spacing w:val="-1"/>
          <w:sz w:val="18"/>
        </w:rPr>
        <w:t xml:space="preserve"> </w:t>
      </w:r>
      <w:r w:rsidRPr="00150EDC">
        <w:rPr>
          <w:sz w:val="18"/>
        </w:rPr>
        <w:t>GDPR; or</w:t>
      </w:r>
    </w:p>
    <w:p w14:paraId="167BE62D" w14:textId="77777777" w:rsidR="004C7180" w:rsidRPr="00150EDC" w:rsidRDefault="00CF0754" w:rsidP="00B320C7">
      <w:pPr>
        <w:pStyle w:val="ListParagraph"/>
        <w:numPr>
          <w:ilvl w:val="1"/>
          <w:numId w:val="94"/>
        </w:numPr>
        <w:tabs>
          <w:tab w:val="left" w:pos="1652"/>
          <w:tab w:val="left" w:pos="1654"/>
        </w:tabs>
        <w:spacing w:before="92"/>
        <w:ind w:right="4018"/>
        <w:jc w:val="both"/>
        <w:rPr>
          <w:sz w:val="18"/>
        </w:rPr>
      </w:pPr>
      <w:r w:rsidRPr="00150EDC">
        <w:rPr>
          <w:sz w:val="18"/>
        </w:rPr>
        <w:t>the Controller determines that the Processing is likely to result in a risk to the rights and freedoms of Data Subjects.</w:t>
      </w:r>
    </w:p>
    <w:p w14:paraId="2A3A1AA6" w14:textId="77777777" w:rsidR="004C7180" w:rsidRPr="00150EDC" w:rsidRDefault="004C7180">
      <w:pPr>
        <w:pStyle w:val="BodyText"/>
        <w:spacing w:before="6"/>
        <w:rPr>
          <w:sz w:val="18"/>
        </w:rPr>
      </w:pPr>
    </w:p>
    <w:p w14:paraId="121D2507" w14:textId="77777777" w:rsidR="004C7180" w:rsidRPr="00150EDC" w:rsidRDefault="00CF0754" w:rsidP="00B320C7">
      <w:pPr>
        <w:pStyle w:val="ListParagraph"/>
        <w:numPr>
          <w:ilvl w:val="0"/>
          <w:numId w:val="94"/>
        </w:numPr>
        <w:tabs>
          <w:tab w:val="left" w:pos="1575"/>
          <w:tab w:val="left" w:pos="1578"/>
        </w:tabs>
        <w:ind w:right="4020"/>
        <w:jc w:val="both"/>
        <w:rPr>
          <w:sz w:val="18"/>
        </w:rPr>
      </w:pPr>
      <w:r w:rsidRPr="00150EDC">
        <w:rPr>
          <w:sz w:val="18"/>
        </w:rPr>
        <w:t>The Processor shall allow for audits of its Data Processing activity by the Controller or the Controller’s designated auditor.</w:t>
      </w:r>
    </w:p>
    <w:p w14:paraId="03224567" w14:textId="77777777" w:rsidR="004C7180" w:rsidRPr="00150EDC" w:rsidRDefault="004C7180">
      <w:pPr>
        <w:pStyle w:val="BodyText"/>
        <w:spacing w:before="6"/>
        <w:rPr>
          <w:sz w:val="18"/>
        </w:rPr>
      </w:pPr>
    </w:p>
    <w:p w14:paraId="54CD3B50" w14:textId="77777777" w:rsidR="004C7180" w:rsidRPr="00150EDC" w:rsidRDefault="00CF0754" w:rsidP="00B320C7">
      <w:pPr>
        <w:pStyle w:val="ListParagraph"/>
        <w:numPr>
          <w:ilvl w:val="0"/>
          <w:numId w:val="94"/>
        </w:numPr>
        <w:tabs>
          <w:tab w:val="left" w:pos="1575"/>
          <w:tab w:val="left" w:pos="1578"/>
        </w:tabs>
        <w:spacing w:before="1"/>
        <w:ind w:right="4019"/>
        <w:jc w:val="both"/>
        <w:rPr>
          <w:sz w:val="18"/>
        </w:rPr>
      </w:pPr>
      <w:r w:rsidRPr="00150EDC">
        <w:rPr>
          <w:sz w:val="18"/>
        </w:rPr>
        <w:t>The Parties shall designate a Data Protection Officer if required by the Data Protection Legislation.</w:t>
      </w:r>
    </w:p>
    <w:p w14:paraId="60693D10" w14:textId="77777777" w:rsidR="004C7180" w:rsidRPr="00150EDC" w:rsidRDefault="004C7180">
      <w:pPr>
        <w:pStyle w:val="BodyText"/>
        <w:spacing w:before="4"/>
        <w:rPr>
          <w:sz w:val="18"/>
        </w:rPr>
      </w:pPr>
    </w:p>
    <w:p w14:paraId="405866DB" w14:textId="77777777" w:rsidR="004C7180" w:rsidRPr="00150EDC" w:rsidRDefault="00CF0754" w:rsidP="00B320C7">
      <w:pPr>
        <w:pStyle w:val="ListParagraph"/>
        <w:numPr>
          <w:ilvl w:val="0"/>
          <w:numId w:val="94"/>
        </w:numPr>
        <w:tabs>
          <w:tab w:val="left" w:pos="1578"/>
        </w:tabs>
        <w:ind w:right="4019"/>
        <w:rPr>
          <w:sz w:val="18"/>
        </w:rPr>
      </w:pPr>
      <w:r w:rsidRPr="00150EDC">
        <w:rPr>
          <w:sz w:val="18"/>
        </w:rPr>
        <w:t>Before</w:t>
      </w:r>
      <w:r w:rsidRPr="00150EDC">
        <w:rPr>
          <w:spacing w:val="-4"/>
          <w:sz w:val="18"/>
        </w:rPr>
        <w:t xml:space="preserve"> </w:t>
      </w:r>
      <w:r w:rsidRPr="00150EDC">
        <w:rPr>
          <w:sz w:val="18"/>
        </w:rPr>
        <w:t>allowing</w:t>
      </w:r>
      <w:r w:rsidRPr="00150EDC">
        <w:rPr>
          <w:spacing w:val="-2"/>
          <w:sz w:val="18"/>
        </w:rPr>
        <w:t xml:space="preserve"> </w:t>
      </w:r>
      <w:r w:rsidRPr="00150EDC">
        <w:rPr>
          <w:sz w:val="18"/>
        </w:rPr>
        <w:t>any</w:t>
      </w:r>
      <w:r w:rsidRPr="00150EDC">
        <w:rPr>
          <w:spacing w:val="-4"/>
          <w:sz w:val="18"/>
        </w:rPr>
        <w:t xml:space="preserve"> </w:t>
      </w:r>
      <w:r w:rsidRPr="00150EDC">
        <w:rPr>
          <w:sz w:val="18"/>
        </w:rPr>
        <w:t>Subprocessor</w:t>
      </w:r>
      <w:r w:rsidRPr="00150EDC">
        <w:rPr>
          <w:spacing w:val="-3"/>
          <w:sz w:val="18"/>
        </w:rPr>
        <w:t xml:space="preserve"> </w:t>
      </w:r>
      <w:r w:rsidRPr="00150EDC">
        <w:rPr>
          <w:sz w:val="18"/>
        </w:rPr>
        <w:t>to</w:t>
      </w:r>
      <w:r w:rsidRPr="00150EDC">
        <w:rPr>
          <w:spacing w:val="-4"/>
          <w:sz w:val="18"/>
        </w:rPr>
        <w:t xml:space="preserve"> </w:t>
      </w:r>
      <w:r w:rsidRPr="00150EDC">
        <w:rPr>
          <w:sz w:val="18"/>
        </w:rPr>
        <w:t>Process</w:t>
      </w:r>
      <w:r w:rsidRPr="00150EDC">
        <w:rPr>
          <w:spacing w:val="-4"/>
          <w:sz w:val="18"/>
        </w:rPr>
        <w:t xml:space="preserve"> </w:t>
      </w:r>
      <w:r w:rsidRPr="00150EDC">
        <w:rPr>
          <w:sz w:val="18"/>
        </w:rPr>
        <w:t>any</w:t>
      </w:r>
      <w:r w:rsidRPr="00150EDC">
        <w:rPr>
          <w:spacing w:val="-4"/>
          <w:sz w:val="18"/>
        </w:rPr>
        <w:t xml:space="preserve"> </w:t>
      </w:r>
      <w:r w:rsidRPr="00150EDC">
        <w:rPr>
          <w:sz w:val="18"/>
        </w:rPr>
        <w:t>Personal</w:t>
      </w:r>
      <w:r w:rsidRPr="00150EDC">
        <w:rPr>
          <w:spacing w:val="-3"/>
          <w:sz w:val="18"/>
        </w:rPr>
        <w:t xml:space="preserve"> </w:t>
      </w:r>
      <w:r w:rsidRPr="00150EDC">
        <w:rPr>
          <w:sz w:val="18"/>
        </w:rPr>
        <w:t>Data</w:t>
      </w:r>
      <w:r w:rsidRPr="00150EDC">
        <w:rPr>
          <w:spacing w:val="-2"/>
          <w:sz w:val="18"/>
        </w:rPr>
        <w:t xml:space="preserve"> </w:t>
      </w:r>
      <w:r w:rsidRPr="00150EDC">
        <w:rPr>
          <w:sz w:val="18"/>
        </w:rPr>
        <w:t>related</w:t>
      </w:r>
      <w:r w:rsidRPr="00150EDC">
        <w:rPr>
          <w:spacing w:val="-4"/>
          <w:sz w:val="18"/>
        </w:rPr>
        <w:t xml:space="preserve"> </w:t>
      </w:r>
      <w:r w:rsidRPr="00150EDC">
        <w:rPr>
          <w:sz w:val="18"/>
        </w:rPr>
        <w:t>to</w:t>
      </w:r>
      <w:r w:rsidRPr="00150EDC">
        <w:rPr>
          <w:spacing w:val="-4"/>
          <w:sz w:val="18"/>
        </w:rPr>
        <w:t xml:space="preserve"> </w:t>
      </w:r>
      <w:r w:rsidRPr="00150EDC">
        <w:rPr>
          <w:sz w:val="18"/>
        </w:rPr>
        <w:t>the Contract, the Processor must:</w:t>
      </w:r>
    </w:p>
    <w:p w14:paraId="1A6EA372" w14:textId="77777777" w:rsidR="004C7180" w:rsidRPr="00150EDC" w:rsidRDefault="00CF0754" w:rsidP="00B320C7">
      <w:pPr>
        <w:pStyle w:val="ListParagraph"/>
        <w:numPr>
          <w:ilvl w:val="1"/>
          <w:numId w:val="94"/>
        </w:numPr>
        <w:tabs>
          <w:tab w:val="left" w:pos="1654"/>
        </w:tabs>
        <w:spacing w:before="92"/>
        <w:rPr>
          <w:sz w:val="18"/>
        </w:rPr>
      </w:pPr>
      <w:r w:rsidRPr="00150EDC">
        <w:rPr>
          <w:sz w:val="18"/>
        </w:rPr>
        <w:t>notify</w:t>
      </w:r>
      <w:r w:rsidRPr="00150EDC">
        <w:rPr>
          <w:spacing w:val="-5"/>
          <w:sz w:val="18"/>
        </w:rPr>
        <w:t xml:space="preserve"> </w:t>
      </w:r>
      <w:r w:rsidRPr="00150EDC">
        <w:rPr>
          <w:sz w:val="18"/>
        </w:rPr>
        <w:t>the</w:t>
      </w:r>
      <w:r w:rsidRPr="00150EDC">
        <w:rPr>
          <w:spacing w:val="-2"/>
          <w:sz w:val="18"/>
        </w:rPr>
        <w:t xml:space="preserve"> </w:t>
      </w:r>
      <w:r w:rsidRPr="00150EDC">
        <w:rPr>
          <w:sz w:val="18"/>
        </w:rPr>
        <w:t>Controller</w:t>
      </w:r>
      <w:r w:rsidRPr="00150EDC">
        <w:rPr>
          <w:spacing w:val="-2"/>
          <w:sz w:val="18"/>
        </w:rPr>
        <w:t xml:space="preserve"> </w:t>
      </w:r>
      <w:r w:rsidRPr="00150EDC">
        <w:rPr>
          <w:sz w:val="18"/>
        </w:rPr>
        <w:t>in</w:t>
      </w:r>
      <w:r w:rsidRPr="00150EDC">
        <w:rPr>
          <w:spacing w:val="-4"/>
          <w:sz w:val="18"/>
        </w:rPr>
        <w:t xml:space="preserve"> </w:t>
      </w:r>
      <w:r w:rsidRPr="00150EDC">
        <w:rPr>
          <w:sz w:val="18"/>
        </w:rPr>
        <w:t>writing</w:t>
      </w:r>
      <w:r w:rsidRPr="00150EDC">
        <w:rPr>
          <w:spacing w:val="-2"/>
          <w:sz w:val="18"/>
        </w:rPr>
        <w:t xml:space="preserve"> </w:t>
      </w:r>
      <w:r w:rsidRPr="00150EDC">
        <w:rPr>
          <w:sz w:val="18"/>
        </w:rPr>
        <w:t>of</w:t>
      </w:r>
      <w:r w:rsidRPr="00150EDC">
        <w:rPr>
          <w:spacing w:val="-1"/>
          <w:sz w:val="18"/>
        </w:rPr>
        <w:t xml:space="preserve"> </w:t>
      </w:r>
      <w:r w:rsidRPr="00150EDC">
        <w:rPr>
          <w:sz w:val="18"/>
        </w:rPr>
        <w:t>the</w:t>
      </w:r>
      <w:r w:rsidRPr="00150EDC">
        <w:rPr>
          <w:spacing w:val="-2"/>
          <w:sz w:val="18"/>
        </w:rPr>
        <w:t xml:space="preserve"> </w:t>
      </w:r>
      <w:r w:rsidRPr="00150EDC">
        <w:rPr>
          <w:sz w:val="18"/>
        </w:rPr>
        <w:t>intended</w:t>
      </w:r>
      <w:r w:rsidRPr="00150EDC">
        <w:rPr>
          <w:spacing w:val="-3"/>
          <w:sz w:val="18"/>
        </w:rPr>
        <w:t xml:space="preserve"> </w:t>
      </w:r>
      <w:r w:rsidRPr="00150EDC">
        <w:rPr>
          <w:sz w:val="18"/>
        </w:rPr>
        <w:t>Subprocessor</w:t>
      </w:r>
      <w:r w:rsidRPr="00150EDC">
        <w:rPr>
          <w:spacing w:val="-5"/>
          <w:sz w:val="18"/>
        </w:rPr>
        <w:t xml:space="preserve"> </w:t>
      </w:r>
      <w:r w:rsidRPr="00150EDC">
        <w:rPr>
          <w:sz w:val="18"/>
        </w:rPr>
        <w:t>and</w:t>
      </w:r>
      <w:r w:rsidRPr="00150EDC">
        <w:rPr>
          <w:spacing w:val="-3"/>
          <w:sz w:val="18"/>
        </w:rPr>
        <w:t xml:space="preserve"> </w:t>
      </w:r>
      <w:r w:rsidRPr="00150EDC">
        <w:rPr>
          <w:spacing w:val="-2"/>
          <w:sz w:val="18"/>
        </w:rPr>
        <w:t>Processing;</w:t>
      </w:r>
    </w:p>
    <w:p w14:paraId="2181159F" w14:textId="77777777" w:rsidR="004C7180" w:rsidRPr="00150EDC" w:rsidRDefault="00CF0754" w:rsidP="00B320C7">
      <w:pPr>
        <w:pStyle w:val="ListParagraph"/>
        <w:numPr>
          <w:ilvl w:val="1"/>
          <w:numId w:val="94"/>
        </w:numPr>
        <w:tabs>
          <w:tab w:val="left" w:pos="1654"/>
        </w:tabs>
        <w:spacing w:before="92"/>
        <w:rPr>
          <w:sz w:val="18"/>
        </w:rPr>
      </w:pPr>
      <w:r w:rsidRPr="00150EDC">
        <w:rPr>
          <w:sz w:val="18"/>
        </w:rPr>
        <w:t>obtain</w:t>
      </w:r>
      <w:r w:rsidRPr="00150EDC">
        <w:rPr>
          <w:spacing w:val="-2"/>
          <w:sz w:val="18"/>
        </w:rPr>
        <w:t xml:space="preserve"> </w:t>
      </w:r>
      <w:r w:rsidRPr="00150EDC">
        <w:rPr>
          <w:sz w:val="18"/>
        </w:rPr>
        <w:t>the</w:t>
      </w:r>
      <w:r w:rsidRPr="00150EDC">
        <w:rPr>
          <w:spacing w:val="-1"/>
          <w:sz w:val="18"/>
        </w:rPr>
        <w:t xml:space="preserve"> </w:t>
      </w:r>
      <w:r w:rsidRPr="00150EDC">
        <w:rPr>
          <w:sz w:val="18"/>
        </w:rPr>
        <w:t>written</w:t>
      </w:r>
      <w:r w:rsidRPr="00150EDC">
        <w:rPr>
          <w:spacing w:val="-2"/>
          <w:sz w:val="18"/>
        </w:rPr>
        <w:t xml:space="preserve"> </w:t>
      </w:r>
      <w:r w:rsidRPr="00150EDC">
        <w:rPr>
          <w:sz w:val="18"/>
        </w:rPr>
        <w:t>consent</w:t>
      </w:r>
      <w:r w:rsidRPr="00150EDC">
        <w:rPr>
          <w:spacing w:val="-3"/>
          <w:sz w:val="18"/>
        </w:rPr>
        <w:t xml:space="preserve"> </w:t>
      </w:r>
      <w:r w:rsidRPr="00150EDC">
        <w:rPr>
          <w:sz w:val="18"/>
        </w:rPr>
        <w:t>of</w:t>
      </w:r>
      <w:r w:rsidRPr="00150EDC">
        <w:rPr>
          <w:spacing w:val="-1"/>
          <w:sz w:val="18"/>
        </w:rPr>
        <w:t xml:space="preserve"> </w:t>
      </w:r>
      <w:r w:rsidRPr="00150EDC">
        <w:rPr>
          <w:sz w:val="18"/>
        </w:rPr>
        <w:t>the</w:t>
      </w:r>
      <w:r w:rsidRPr="00150EDC">
        <w:rPr>
          <w:spacing w:val="-1"/>
          <w:sz w:val="18"/>
        </w:rPr>
        <w:t xml:space="preserve"> </w:t>
      </w:r>
      <w:r w:rsidRPr="00150EDC">
        <w:rPr>
          <w:spacing w:val="-2"/>
          <w:sz w:val="18"/>
        </w:rPr>
        <w:t>Controller;</w:t>
      </w:r>
    </w:p>
    <w:p w14:paraId="702739FE" w14:textId="77777777" w:rsidR="004C7180" w:rsidRPr="00150EDC" w:rsidRDefault="00CF0754" w:rsidP="00B320C7">
      <w:pPr>
        <w:pStyle w:val="ListParagraph"/>
        <w:numPr>
          <w:ilvl w:val="1"/>
          <w:numId w:val="94"/>
        </w:numPr>
        <w:tabs>
          <w:tab w:val="left" w:pos="1652"/>
          <w:tab w:val="left" w:pos="1654"/>
        </w:tabs>
        <w:spacing w:before="91"/>
        <w:ind w:right="4017"/>
        <w:jc w:val="both"/>
        <w:rPr>
          <w:sz w:val="18"/>
        </w:rPr>
      </w:pPr>
      <w:r w:rsidRPr="00150EDC">
        <w:rPr>
          <w:sz w:val="18"/>
        </w:rPr>
        <w:t>enter into a written agreement with the Subprocessor which give effect to the terms set out in this Joint Schedule 11 such that they apply to the Subprocessor; and</w:t>
      </w:r>
    </w:p>
    <w:p w14:paraId="2BE8BF2F" w14:textId="77777777" w:rsidR="004C7180" w:rsidRPr="00150EDC" w:rsidRDefault="00CF0754" w:rsidP="00B320C7">
      <w:pPr>
        <w:pStyle w:val="ListParagraph"/>
        <w:numPr>
          <w:ilvl w:val="1"/>
          <w:numId w:val="94"/>
        </w:numPr>
        <w:tabs>
          <w:tab w:val="left" w:pos="1651"/>
          <w:tab w:val="left" w:pos="1654"/>
        </w:tabs>
        <w:spacing w:before="93"/>
        <w:ind w:right="4016"/>
        <w:jc w:val="both"/>
        <w:rPr>
          <w:sz w:val="18"/>
        </w:rPr>
      </w:pPr>
      <w:r w:rsidRPr="00150EDC">
        <w:rPr>
          <w:sz w:val="18"/>
        </w:rPr>
        <w:t>provide the Controller with such information regarding the Subprocessor as the Controller may reasonably require.</w:t>
      </w:r>
    </w:p>
    <w:p w14:paraId="1AFB35EF" w14:textId="77777777" w:rsidR="004C7180" w:rsidRPr="00150EDC" w:rsidRDefault="004C7180">
      <w:pPr>
        <w:pStyle w:val="BodyText"/>
        <w:spacing w:before="7"/>
        <w:rPr>
          <w:sz w:val="18"/>
        </w:rPr>
      </w:pPr>
    </w:p>
    <w:p w14:paraId="3250CCB8" w14:textId="77777777" w:rsidR="004C7180" w:rsidRPr="00150EDC" w:rsidRDefault="00CF0754" w:rsidP="00B320C7">
      <w:pPr>
        <w:pStyle w:val="ListParagraph"/>
        <w:numPr>
          <w:ilvl w:val="0"/>
          <w:numId w:val="94"/>
        </w:numPr>
        <w:tabs>
          <w:tab w:val="left" w:pos="1578"/>
        </w:tabs>
        <w:ind w:right="4019"/>
        <w:rPr>
          <w:sz w:val="18"/>
        </w:rPr>
      </w:pPr>
      <w:r w:rsidRPr="00150EDC">
        <w:rPr>
          <w:sz w:val="18"/>
        </w:rPr>
        <w:t>The</w:t>
      </w:r>
      <w:r w:rsidRPr="00150EDC">
        <w:rPr>
          <w:spacing w:val="22"/>
          <w:sz w:val="18"/>
        </w:rPr>
        <w:t xml:space="preserve"> </w:t>
      </w:r>
      <w:r w:rsidRPr="00150EDC">
        <w:rPr>
          <w:sz w:val="18"/>
        </w:rPr>
        <w:t>Processor</w:t>
      </w:r>
      <w:r w:rsidRPr="00150EDC">
        <w:rPr>
          <w:spacing w:val="20"/>
          <w:sz w:val="18"/>
        </w:rPr>
        <w:t xml:space="preserve"> </w:t>
      </w:r>
      <w:r w:rsidRPr="00150EDC">
        <w:rPr>
          <w:sz w:val="18"/>
        </w:rPr>
        <w:t>shall</w:t>
      </w:r>
      <w:r w:rsidRPr="00150EDC">
        <w:rPr>
          <w:spacing w:val="20"/>
          <w:sz w:val="18"/>
        </w:rPr>
        <w:t xml:space="preserve"> </w:t>
      </w:r>
      <w:r w:rsidRPr="00150EDC">
        <w:rPr>
          <w:sz w:val="18"/>
        </w:rPr>
        <w:t>remain</w:t>
      </w:r>
      <w:r w:rsidRPr="00150EDC">
        <w:rPr>
          <w:spacing w:val="22"/>
          <w:sz w:val="18"/>
        </w:rPr>
        <w:t xml:space="preserve"> </w:t>
      </w:r>
      <w:r w:rsidRPr="00150EDC">
        <w:rPr>
          <w:sz w:val="18"/>
        </w:rPr>
        <w:t>fully</w:t>
      </w:r>
      <w:r w:rsidRPr="00150EDC">
        <w:rPr>
          <w:spacing w:val="21"/>
          <w:sz w:val="18"/>
        </w:rPr>
        <w:t xml:space="preserve"> </w:t>
      </w:r>
      <w:r w:rsidRPr="00150EDC">
        <w:rPr>
          <w:sz w:val="18"/>
        </w:rPr>
        <w:t>liable</w:t>
      </w:r>
      <w:r w:rsidRPr="00150EDC">
        <w:rPr>
          <w:spacing w:val="20"/>
          <w:sz w:val="18"/>
        </w:rPr>
        <w:t xml:space="preserve"> </w:t>
      </w:r>
      <w:r w:rsidRPr="00150EDC">
        <w:rPr>
          <w:sz w:val="18"/>
        </w:rPr>
        <w:t>for</w:t>
      </w:r>
      <w:r w:rsidRPr="00150EDC">
        <w:rPr>
          <w:spacing w:val="20"/>
          <w:sz w:val="18"/>
        </w:rPr>
        <w:t xml:space="preserve"> </w:t>
      </w:r>
      <w:r w:rsidRPr="00150EDC">
        <w:rPr>
          <w:sz w:val="18"/>
        </w:rPr>
        <w:t>all</w:t>
      </w:r>
      <w:r w:rsidRPr="00150EDC">
        <w:rPr>
          <w:spacing w:val="20"/>
          <w:sz w:val="18"/>
        </w:rPr>
        <w:t xml:space="preserve"> </w:t>
      </w:r>
      <w:r w:rsidRPr="00150EDC">
        <w:rPr>
          <w:sz w:val="18"/>
        </w:rPr>
        <w:t>acts</w:t>
      </w:r>
      <w:r w:rsidRPr="00150EDC">
        <w:rPr>
          <w:spacing w:val="21"/>
          <w:sz w:val="18"/>
        </w:rPr>
        <w:t xml:space="preserve"> </w:t>
      </w:r>
      <w:r w:rsidRPr="00150EDC">
        <w:rPr>
          <w:sz w:val="18"/>
        </w:rPr>
        <w:t>or</w:t>
      </w:r>
      <w:r w:rsidRPr="00150EDC">
        <w:rPr>
          <w:spacing w:val="20"/>
          <w:sz w:val="18"/>
        </w:rPr>
        <w:t xml:space="preserve"> </w:t>
      </w:r>
      <w:r w:rsidRPr="00150EDC">
        <w:rPr>
          <w:sz w:val="18"/>
        </w:rPr>
        <w:t>omissions</w:t>
      </w:r>
      <w:r w:rsidRPr="00150EDC">
        <w:rPr>
          <w:spacing w:val="21"/>
          <w:sz w:val="18"/>
        </w:rPr>
        <w:t xml:space="preserve"> </w:t>
      </w:r>
      <w:r w:rsidRPr="00150EDC">
        <w:rPr>
          <w:sz w:val="18"/>
        </w:rPr>
        <w:t>of any</w:t>
      </w:r>
      <w:r w:rsidRPr="00150EDC">
        <w:rPr>
          <w:spacing w:val="21"/>
          <w:sz w:val="18"/>
        </w:rPr>
        <w:t xml:space="preserve"> </w:t>
      </w:r>
      <w:r w:rsidRPr="00150EDC">
        <w:rPr>
          <w:sz w:val="18"/>
        </w:rPr>
        <w:t>of</w:t>
      </w:r>
      <w:r w:rsidRPr="00150EDC">
        <w:rPr>
          <w:spacing w:val="21"/>
          <w:sz w:val="18"/>
        </w:rPr>
        <w:t xml:space="preserve"> </w:t>
      </w:r>
      <w:r w:rsidRPr="00150EDC">
        <w:rPr>
          <w:sz w:val="18"/>
        </w:rPr>
        <w:t xml:space="preserve">its </w:t>
      </w:r>
      <w:r w:rsidRPr="00150EDC">
        <w:rPr>
          <w:spacing w:val="-2"/>
          <w:sz w:val="18"/>
        </w:rPr>
        <w:t>Subprocessors.</w:t>
      </w:r>
    </w:p>
    <w:p w14:paraId="60CA7FD7" w14:textId="77777777" w:rsidR="004C7180" w:rsidRPr="00150EDC" w:rsidRDefault="004C7180">
      <w:pPr>
        <w:pStyle w:val="BodyText"/>
        <w:spacing w:before="6"/>
        <w:rPr>
          <w:sz w:val="18"/>
        </w:rPr>
      </w:pPr>
    </w:p>
    <w:p w14:paraId="53974281" w14:textId="77777777" w:rsidR="004C7180" w:rsidRPr="00150EDC" w:rsidRDefault="00CF0754" w:rsidP="00B320C7">
      <w:pPr>
        <w:pStyle w:val="ListParagraph"/>
        <w:numPr>
          <w:ilvl w:val="0"/>
          <w:numId w:val="94"/>
        </w:numPr>
        <w:tabs>
          <w:tab w:val="left" w:pos="1575"/>
          <w:tab w:val="left" w:pos="1578"/>
        </w:tabs>
        <w:ind w:right="4017"/>
        <w:jc w:val="both"/>
        <w:rPr>
          <w:sz w:val="18"/>
        </w:rPr>
      </w:pPr>
      <w:r w:rsidRPr="00150EDC">
        <w:rPr>
          <w:sz w:val="18"/>
        </w:rPr>
        <w:t>The Relevant Authority may, at any time on not less than thirty (30) Working Days’ notice, revise this Joint Schedule 11 by replacing it with any applicable controller</w:t>
      </w:r>
      <w:r w:rsidRPr="00150EDC">
        <w:rPr>
          <w:spacing w:val="27"/>
          <w:sz w:val="18"/>
        </w:rPr>
        <w:t xml:space="preserve"> </w:t>
      </w:r>
      <w:r w:rsidRPr="00150EDC">
        <w:rPr>
          <w:sz w:val="18"/>
        </w:rPr>
        <w:t>to</w:t>
      </w:r>
      <w:r w:rsidRPr="00150EDC">
        <w:rPr>
          <w:spacing w:val="28"/>
          <w:sz w:val="18"/>
        </w:rPr>
        <w:t xml:space="preserve"> </w:t>
      </w:r>
      <w:r w:rsidRPr="00150EDC">
        <w:rPr>
          <w:sz w:val="18"/>
        </w:rPr>
        <w:t>processor</w:t>
      </w:r>
      <w:r w:rsidRPr="00150EDC">
        <w:rPr>
          <w:spacing w:val="25"/>
          <w:sz w:val="18"/>
        </w:rPr>
        <w:t xml:space="preserve"> </w:t>
      </w:r>
      <w:r w:rsidRPr="00150EDC">
        <w:rPr>
          <w:sz w:val="18"/>
        </w:rPr>
        <w:t>standard</w:t>
      </w:r>
      <w:r w:rsidRPr="00150EDC">
        <w:rPr>
          <w:spacing w:val="28"/>
          <w:sz w:val="18"/>
        </w:rPr>
        <w:t xml:space="preserve"> </w:t>
      </w:r>
      <w:r w:rsidRPr="00150EDC">
        <w:rPr>
          <w:sz w:val="18"/>
        </w:rPr>
        <w:t>clauses</w:t>
      </w:r>
      <w:r w:rsidRPr="00150EDC">
        <w:rPr>
          <w:spacing w:val="27"/>
          <w:sz w:val="18"/>
        </w:rPr>
        <w:t xml:space="preserve"> </w:t>
      </w:r>
      <w:r w:rsidRPr="00150EDC">
        <w:rPr>
          <w:sz w:val="18"/>
        </w:rPr>
        <w:t>or</w:t>
      </w:r>
      <w:r w:rsidRPr="00150EDC">
        <w:rPr>
          <w:spacing w:val="25"/>
          <w:sz w:val="18"/>
        </w:rPr>
        <w:t xml:space="preserve"> </w:t>
      </w:r>
      <w:r w:rsidRPr="00150EDC">
        <w:rPr>
          <w:sz w:val="18"/>
        </w:rPr>
        <w:t>similar</w:t>
      </w:r>
      <w:r w:rsidRPr="00150EDC">
        <w:rPr>
          <w:spacing w:val="27"/>
          <w:sz w:val="18"/>
        </w:rPr>
        <w:t xml:space="preserve"> </w:t>
      </w:r>
      <w:r w:rsidRPr="00150EDC">
        <w:rPr>
          <w:sz w:val="18"/>
        </w:rPr>
        <w:t>terms</w:t>
      </w:r>
      <w:r w:rsidRPr="00150EDC">
        <w:rPr>
          <w:spacing w:val="27"/>
          <w:sz w:val="18"/>
        </w:rPr>
        <w:t xml:space="preserve"> </w:t>
      </w:r>
      <w:r w:rsidRPr="00150EDC">
        <w:rPr>
          <w:sz w:val="18"/>
        </w:rPr>
        <w:t>forming</w:t>
      </w:r>
      <w:r w:rsidRPr="00150EDC">
        <w:rPr>
          <w:spacing w:val="26"/>
          <w:sz w:val="18"/>
        </w:rPr>
        <w:t xml:space="preserve"> </w:t>
      </w:r>
      <w:r w:rsidRPr="00150EDC">
        <w:rPr>
          <w:sz w:val="18"/>
        </w:rPr>
        <w:t>part</w:t>
      </w:r>
      <w:r w:rsidRPr="00150EDC">
        <w:rPr>
          <w:spacing w:val="28"/>
          <w:sz w:val="18"/>
        </w:rPr>
        <w:t xml:space="preserve"> </w:t>
      </w:r>
      <w:r w:rsidRPr="00150EDC">
        <w:rPr>
          <w:sz w:val="18"/>
        </w:rPr>
        <w:t>of</w:t>
      </w:r>
      <w:r w:rsidRPr="00150EDC">
        <w:rPr>
          <w:spacing w:val="28"/>
          <w:sz w:val="18"/>
        </w:rPr>
        <w:t xml:space="preserve"> </w:t>
      </w:r>
      <w:r w:rsidRPr="00150EDC">
        <w:rPr>
          <w:sz w:val="18"/>
        </w:rPr>
        <w:t>an</w:t>
      </w:r>
    </w:p>
    <w:p w14:paraId="6CDF422D" w14:textId="77777777" w:rsidR="004C7180" w:rsidRPr="00150EDC" w:rsidRDefault="00CF0754">
      <w:pPr>
        <w:spacing w:before="127"/>
        <w:ind w:left="1044"/>
        <w:rPr>
          <w:sz w:val="15"/>
        </w:rPr>
      </w:pPr>
      <w:r w:rsidRPr="00150EDC">
        <w:rPr>
          <w:sz w:val="15"/>
        </w:rPr>
        <w:t>DPS</w:t>
      </w:r>
      <w:r w:rsidRPr="00150EDC">
        <w:rPr>
          <w:spacing w:val="-3"/>
          <w:sz w:val="15"/>
        </w:rPr>
        <w:t xml:space="preserve"> </w:t>
      </w:r>
      <w:r w:rsidRPr="00150EDC">
        <w:rPr>
          <w:sz w:val="15"/>
        </w:rPr>
        <w:t xml:space="preserve">Ref: </w:t>
      </w:r>
      <w:r w:rsidRPr="00150EDC">
        <w:rPr>
          <w:spacing w:val="-2"/>
          <w:sz w:val="15"/>
        </w:rPr>
        <w:t>RM6322</w:t>
      </w:r>
    </w:p>
    <w:p w14:paraId="4BFAA717" w14:textId="77777777" w:rsidR="004C7180" w:rsidRPr="00150EDC" w:rsidRDefault="00CF0754">
      <w:pPr>
        <w:tabs>
          <w:tab w:val="left" w:pos="7660"/>
        </w:tabs>
        <w:spacing w:before="26"/>
        <w:ind w:left="1044"/>
        <w:rPr>
          <w:sz w:val="15"/>
        </w:rPr>
      </w:pPr>
      <w:r w:rsidRPr="00150EDC">
        <w:rPr>
          <w:noProof/>
          <w:lang w:val="en-GB" w:eastAsia="en-GB"/>
        </w:rPr>
        <mc:AlternateContent>
          <mc:Choice Requires="wps">
            <w:drawing>
              <wp:anchor distT="0" distB="0" distL="0" distR="0" simplePos="0" relativeHeight="251658257" behindDoc="1" locked="0" layoutInCell="1" allowOverlap="1" wp14:anchorId="033D83F5" wp14:editId="69FBF02B">
                <wp:simplePos x="0" y="0"/>
                <wp:positionH relativeFrom="page">
                  <wp:posOffset>4921821</wp:posOffset>
                </wp:positionH>
                <wp:positionV relativeFrom="paragraph">
                  <wp:posOffset>16308</wp:posOffset>
                </wp:positionV>
                <wp:extent cx="53340" cy="110489"/>
                <wp:effectExtent l="0" t="0" r="0" b="0"/>
                <wp:wrapNone/>
                <wp:docPr id="56" name="Free-form: 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 cy="110489"/>
                        </a:xfrm>
                        <a:custGeom>
                          <a:avLst/>
                          <a:gdLst/>
                          <a:ahLst/>
                          <a:cxnLst/>
                          <a:rect l="l" t="t" r="r" b="b"/>
                          <a:pathLst>
                            <a:path w="53340" h="110489">
                              <a:moveTo>
                                <a:pt x="52806" y="0"/>
                              </a:moveTo>
                              <a:lnTo>
                                <a:pt x="0" y="0"/>
                              </a:lnTo>
                              <a:lnTo>
                                <a:pt x="0" y="110210"/>
                              </a:lnTo>
                              <a:lnTo>
                                <a:pt x="52806" y="110210"/>
                              </a:lnTo>
                              <a:lnTo>
                                <a:pt x="52806" y="0"/>
                              </a:lnTo>
                              <a:close/>
                            </a:path>
                          </a:pathLst>
                        </a:custGeom>
                        <a:solidFill>
                          <a:srgbClr val="E6E6E6"/>
                        </a:solidFill>
                      </wps:spPr>
                      <wps:bodyPr wrap="square" lIns="0" tIns="0" rIns="0" bIns="0" rtlCol="0">
                        <a:prstTxWarp prst="textNoShape">
                          <a:avLst/>
                        </a:prstTxWarp>
                        <a:noAutofit/>
                      </wps:bodyPr>
                    </wps:wsp>
                  </a:graphicData>
                </a:graphic>
              </wp:anchor>
            </w:drawing>
          </mc:Choice>
          <mc:Fallback>
            <w:pict>
              <v:shape w14:anchorId="4C441859" id="Free-form: Shape 56" o:spid="_x0000_s1026" style="position:absolute;margin-left:387.55pt;margin-top:1.3pt;width:4.2pt;height:8.7pt;z-index:-251658223;visibility:visible;mso-wrap-style:square;mso-wrap-distance-left:0;mso-wrap-distance-top:0;mso-wrap-distance-right:0;mso-wrap-distance-bottom:0;mso-position-horizontal:absolute;mso-position-horizontal-relative:page;mso-position-vertical:absolute;mso-position-vertical-relative:text;v-text-anchor:top" coordsize="53340,110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" path="m52806,l,,,110210r52806,l52806,xe" fillcolor="#e6e6e6" stroked="f">
                <v:path arrowok="t"/>
                <w10:wrap anchorx="page"/>
              </v:shape>
            </w:pict>
          </mc:Fallback>
        </mc:AlternateContent>
      </w:r>
      <w:r w:rsidRPr="00150EDC">
        <w:rPr>
          <w:sz w:val="15"/>
        </w:rPr>
        <w:t>Project</w:t>
      </w:r>
      <w:r w:rsidRPr="00150EDC">
        <w:rPr>
          <w:spacing w:val="-4"/>
          <w:sz w:val="15"/>
        </w:rPr>
        <w:t xml:space="preserve"> </w:t>
      </w:r>
      <w:r w:rsidRPr="00150EDC">
        <w:rPr>
          <w:sz w:val="15"/>
        </w:rPr>
        <w:t>Version:</w:t>
      </w:r>
      <w:r w:rsidRPr="00150EDC">
        <w:rPr>
          <w:spacing w:val="-3"/>
          <w:sz w:val="15"/>
        </w:rPr>
        <w:t xml:space="preserve"> </w:t>
      </w:r>
      <w:r w:rsidRPr="00150EDC">
        <w:rPr>
          <w:spacing w:val="-4"/>
          <w:sz w:val="15"/>
        </w:rPr>
        <w:t>v1.0</w:t>
      </w:r>
      <w:r w:rsidRPr="00150EDC">
        <w:rPr>
          <w:sz w:val="15"/>
        </w:rPr>
        <w:tab/>
        <w:t>-</w:t>
      </w:r>
      <w:r w:rsidRPr="00150EDC">
        <w:rPr>
          <w:spacing w:val="-5"/>
          <w:sz w:val="15"/>
        </w:rPr>
        <w:t>4-</w:t>
      </w:r>
    </w:p>
    <w:p w14:paraId="69E9092D" w14:textId="77777777" w:rsidR="004C7180" w:rsidRPr="00150EDC" w:rsidRDefault="004C7180">
      <w:pPr>
        <w:rPr>
          <w:sz w:val="15"/>
        </w:rPr>
        <w:sectPr w:rsidR="004C7180" w:rsidRPr="00150EDC">
          <w:pgSz w:w="11910" w:h="16840"/>
          <w:pgMar w:top="2940" w:right="0" w:bottom="2720" w:left="40" w:header="2612" w:footer="2535" w:gutter="0"/>
          <w:cols w:space="720"/>
        </w:sectPr>
      </w:pPr>
    </w:p>
    <w:p w14:paraId="2C11EBCD" w14:textId="4F65AB55" w:rsidR="004C7180" w:rsidRPr="00150EDC" w:rsidRDefault="004C7180">
      <w:pPr>
        <w:pStyle w:val="BodyText"/>
        <w:spacing w:before="7"/>
        <w:rPr>
          <w:sz w:val="9"/>
        </w:rPr>
      </w:pPr>
    </w:p>
    <w:p w14:paraId="468FD2E4" w14:textId="77777777" w:rsidR="004C7180" w:rsidRPr="00150EDC" w:rsidRDefault="00CF0754">
      <w:pPr>
        <w:spacing w:before="95"/>
        <w:ind w:left="1578" w:right="4072"/>
        <w:rPr>
          <w:sz w:val="18"/>
        </w:rPr>
      </w:pPr>
      <w:r w:rsidRPr="00150EDC">
        <w:rPr>
          <w:sz w:val="18"/>
        </w:rPr>
        <w:t>applicable</w:t>
      </w:r>
      <w:r w:rsidRPr="00150EDC">
        <w:rPr>
          <w:spacing w:val="40"/>
          <w:sz w:val="18"/>
        </w:rPr>
        <w:t xml:space="preserve"> </w:t>
      </w:r>
      <w:r w:rsidRPr="00150EDC">
        <w:rPr>
          <w:sz w:val="18"/>
        </w:rPr>
        <w:t>certification</w:t>
      </w:r>
      <w:r w:rsidRPr="00150EDC">
        <w:rPr>
          <w:spacing w:val="40"/>
          <w:sz w:val="18"/>
        </w:rPr>
        <w:t xml:space="preserve"> </w:t>
      </w:r>
      <w:r w:rsidRPr="00150EDC">
        <w:rPr>
          <w:sz w:val="18"/>
        </w:rPr>
        <w:t>scheme</w:t>
      </w:r>
      <w:r w:rsidRPr="00150EDC">
        <w:rPr>
          <w:spacing w:val="40"/>
          <w:sz w:val="18"/>
        </w:rPr>
        <w:t xml:space="preserve"> </w:t>
      </w:r>
      <w:r w:rsidRPr="00150EDC">
        <w:rPr>
          <w:sz w:val="18"/>
        </w:rPr>
        <w:t>(which</w:t>
      </w:r>
      <w:r w:rsidRPr="00150EDC">
        <w:rPr>
          <w:spacing w:val="40"/>
          <w:sz w:val="18"/>
        </w:rPr>
        <w:t xml:space="preserve"> </w:t>
      </w:r>
      <w:r w:rsidRPr="00150EDC">
        <w:rPr>
          <w:sz w:val="18"/>
        </w:rPr>
        <w:t>shall</w:t>
      </w:r>
      <w:r w:rsidRPr="00150EDC">
        <w:rPr>
          <w:spacing w:val="40"/>
          <w:sz w:val="18"/>
        </w:rPr>
        <w:t xml:space="preserve"> </w:t>
      </w:r>
      <w:r w:rsidRPr="00150EDC">
        <w:rPr>
          <w:sz w:val="18"/>
        </w:rPr>
        <w:t>apply</w:t>
      </w:r>
      <w:r w:rsidRPr="00150EDC">
        <w:rPr>
          <w:spacing w:val="40"/>
          <w:sz w:val="18"/>
        </w:rPr>
        <w:t xml:space="preserve"> </w:t>
      </w:r>
      <w:r w:rsidRPr="00150EDC">
        <w:rPr>
          <w:sz w:val="18"/>
        </w:rPr>
        <w:t>when</w:t>
      </w:r>
      <w:r w:rsidRPr="00150EDC">
        <w:rPr>
          <w:spacing w:val="40"/>
          <w:sz w:val="18"/>
        </w:rPr>
        <w:t xml:space="preserve"> </w:t>
      </w:r>
      <w:r w:rsidRPr="00150EDC">
        <w:rPr>
          <w:sz w:val="18"/>
        </w:rPr>
        <w:t>incorporated</w:t>
      </w:r>
      <w:r w:rsidRPr="00150EDC">
        <w:rPr>
          <w:spacing w:val="40"/>
          <w:sz w:val="18"/>
        </w:rPr>
        <w:t xml:space="preserve"> </w:t>
      </w:r>
      <w:r w:rsidRPr="00150EDC">
        <w:rPr>
          <w:sz w:val="18"/>
        </w:rPr>
        <w:t>by</w:t>
      </w:r>
      <w:r w:rsidRPr="00150EDC">
        <w:rPr>
          <w:spacing w:val="40"/>
          <w:sz w:val="18"/>
        </w:rPr>
        <w:t xml:space="preserve"> </w:t>
      </w:r>
      <w:r w:rsidRPr="00150EDC">
        <w:rPr>
          <w:sz w:val="18"/>
        </w:rPr>
        <w:t>attachment to the Contract).</w:t>
      </w:r>
    </w:p>
    <w:p w14:paraId="169A503E" w14:textId="77777777" w:rsidR="004C7180" w:rsidRPr="00150EDC" w:rsidRDefault="004C7180">
      <w:pPr>
        <w:pStyle w:val="BodyText"/>
        <w:spacing w:before="7"/>
        <w:rPr>
          <w:sz w:val="18"/>
        </w:rPr>
      </w:pPr>
    </w:p>
    <w:p w14:paraId="39052514" w14:textId="77777777" w:rsidR="004C7180" w:rsidRPr="00150EDC" w:rsidRDefault="00CF0754" w:rsidP="00B320C7">
      <w:pPr>
        <w:pStyle w:val="ListParagraph"/>
        <w:numPr>
          <w:ilvl w:val="0"/>
          <w:numId w:val="94"/>
        </w:numPr>
        <w:tabs>
          <w:tab w:val="left" w:pos="1575"/>
          <w:tab w:val="left" w:pos="1578"/>
        </w:tabs>
        <w:ind w:right="4016"/>
        <w:jc w:val="both"/>
        <w:rPr>
          <w:sz w:val="18"/>
        </w:rPr>
      </w:pPr>
      <w:r w:rsidRPr="00150EDC">
        <w:rPr>
          <w:sz w:val="18"/>
        </w:rPr>
        <w:t>The Parties agree to take account of any guidance issued by the Information Commissioner’s</w:t>
      </w:r>
      <w:r w:rsidRPr="00150EDC">
        <w:rPr>
          <w:spacing w:val="-2"/>
          <w:sz w:val="18"/>
        </w:rPr>
        <w:t xml:space="preserve"> </w:t>
      </w:r>
      <w:r w:rsidRPr="00150EDC">
        <w:rPr>
          <w:sz w:val="18"/>
        </w:rPr>
        <w:t>Office.</w:t>
      </w:r>
      <w:r w:rsidRPr="00150EDC">
        <w:rPr>
          <w:spacing w:val="-1"/>
          <w:sz w:val="18"/>
        </w:rPr>
        <w:t xml:space="preserve"> </w:t>
      </w:r>
      <w:r w:rsidRPr="00150EDC">
        <w:rPr>
          <w:sz w:val="18"/>
        </w:rPr>
        <w:t>The</w:t>
      </w:r>
      <w:r w:rsidRPr="00150EDC">
        <w:rPr>
          <w:spacing w:val="-1"/>
          <w:sz w:val="18"/>
        </w:rPr>
        <w:t xml:space="preserve"> </w:t>
      </w:r>
      <w:r w:rsidRPr="00150EDC">
        <w:rPr>
          <w:sz w:val="18"/>
        </w:rPr>
        <w:t>Relevant</w:t>
      </w:r>
      <w:r w:rsidRPr="00150EDC">
        <w:rPr>
          <w:spacing w:val="-1"/>
          <w:sz w:val="18"/>
        </w:rPr>
        <w:t xml:space="preserve"> </w:t>
      </w:r>
      <w:r w:rsidRPr="00150EDC">
        <w:rPr>
          <w:sz w:val="18"/>
        </w:rPr>
        <w:t>Authority</w:t>
      </w:r>
      <w:r w:rsidRPr="00150EDC">
        <w:rPr>
          <w:spacing w:val="-2"/>
          <w:sz w:val="18"/>
        </w:rPr>
        <w:t xml:space="preserve"> </w:t>
      </w:r>
      <w:r w:rsidRPr="00150EDC">
        <w:rPr>
          <w:sz w:val="18"/>
        </w:rPr>
        <w:t>may</w:t>
      </w:r>
      <w:r w:rsidRPr="00150EDC">
        <w:rPr>
          <w:spacing w:val="-2"/>
          <w:sz w:val="18"/>
        </w:rPr>
        <w:t xml:space="preserve"> </w:t>
      </w:r>
      <w:r w:rsidRPr="00150EDC">
        <w:rPr>
          <w:sz w:val="18"/>
        </w:rPr>
        <w:t>on</w:t>
      </w:r>
      <w:r w:rsidRPr="00150EDC">
        <w:rPr>
          <w:spacing w:val="-1"/>
          <w:sz w:val="18"/>
        </w:rPr>
        <w:t xml:space="preserve"> </w:t>
      </w:r>
      <w:r w:rsidRPr="00150EDC">
        <w:rPr>
          <w:sz w:val="18"/>
        </w:rPr>
        <w:t>not</w:t>
      </w:r>
      <w:r w:rsidRPr="00150EDC">
        <w:rPr>
          <w:spacing w:val="-1"/>
          <w:sz w:val="18"/>
        </w:rPr>
        <w:t xml:space="preserve"> </w:t>
      </w:r>
      <w:r w:rsidRPr="00150EDC">
        <w:rPr>
          <w:sz w:val="18"/>
        </w:rPr>
        <w:t>less</w:t>
      </w:r>
      <w:r w:rsidRPr="00150EDC">
        <w:rPr>
          <w:spacing w:val="-2"/>
          <w:sz w:val="18"/>
        </w:rPr>
        <w:t xml:space="preserve"> </w:t>
      </w:r>
      <w:r w:rsidRPr="00150EDC">
        <w:rPr>
          <w:sz w:val="18"/>
        </w:rPr>
        <w:t>than</w:t>
      </w:r>
      <w:r w:rsidRPr="00150EDC">
        <w:rPr>
          <w:spacing w:val="-3"/>
          <w:sz w:val="18"/>
        </w:rPr>
        <w:t xml:space="preserve"> </w:t>
      </w:r>
      <w:r w:rsidRPr="00150EDC">
        <w:rPr>
          <w:sz w:val="18"/>
        </w:rPr>
        <w:t>thirty</w:t>
      </w:r>
      <w:r w:rsidRPr="00150EDC">
        <w:rPr>
          <w:spacing w:val="-2"/>
          <w:sz w:val="18"/>
        </w:rPr>
        <w:t xml:space="preserve"> </w:t>
      </w:r>
      <w:r w:rsidRPr="00150EDC">
        <w:rPr>
          <w:sz w:val="18"/>
        </w:rPr>
        <w:t>(30) Working Days’ notice to the Supplier amend the Contract to ensure that it complies with any guidance issued by the Information Commissioner’s Office.</w:t>
      </w:r>
    </w:p>
    <w:p w14:paraId="156C3FD8" w14:textId="77777777" w:rsidR="004C7180" w:rsidRPr="00150EDC" w:rsidRDefault="004C7180">
      <w:pPr>
        <w:pStyle w:val="BodyText"/>
        <w:rPr>
          <w:sz w:val="20"/>
        </w:rPr>
      </w:pPr>
    </w:p>
    <w:p w14:paraId="74D9F132" w14:textId="77777777" w:rsidR="004C7180" w:rsidRPr="00150EDC" w:rsidRDefault="004C7180">
      <w:pPr>
        <w:pStyle w:val="BodyText"/>
        <w:rPr>
          <w:sz w:val="20"/>
        </w:rPr>
      </w:pPr>
    </w:p>
    <w:p w14:paraId="6807000D" w14:textId="77777777" w:rsidR="004C7180" w:rsidRPr="00150EDC" w:rsidRDefault="004C7180">
      <w:pPr>
        <w:pStyle w:val="BodyText"/>
        <w:rPr>
          <w:sz w:val="20"/>
        </w:rPr>
      </w:pPr>
    </w:p>
    <w:p w14:paraId="6F99DA59" w14:textId="77777777" w:rsidR="004C7180" w:rsidRPr="00150EDC" w:rsidRDefault="004C7180">
      <w:pPr>
        <w:pStyle w:val="BodyText"/>
        <w:rPr>
          <w:sz w:val="20"/>
        </w:rPr>
      </w:pPr>
    </w:p>
    <w:p w14:paraId="7C5A6A2F" w14:textId="77777777" w:rsidR="004C7180" w:rsidRPr="00150EDC" w:rsidRDefault="004C7180">
      <w:pPr>
        <w:pStyle w:val="BodyText"/>
        <w:rPr>
          <w:sz w:val="20"/>
        </w:rPr>
      </w:pPr>
    </w:p>
    <w:p w14:paraId="33A895F8" w14:textId="77777777" w:rsidR="004C7180" w:rsidRPr="00150EDC" w:rsidRDefault="004C7180">
      <w:pPr>
        <w:pStyle w:val="BodyText"/>
        <w:rPr>
          <w:sz w:val="20"/>
        </w:rPr>
      </w:pPr>
    </w:p>
    <w:p w14:paraId="658E1F89" w14:textId="77777777" w:rsidR="004C7180" w:rsidRPr="00150EDC" w:rsidRDefault="004C7180">
      <w:pPr>
        <w:pStyle w:val="BodyText"/>
        <w:rPr>
          <w:sz w:val="20"/>
        </w:rPr>
      </w:pPr>
    </w:p>
    <w:p w14:paraId="185CBFCF" w14:textId="77777777" w:rsidR="004C7180" w:rsidRPr="00150EDC" w:rsidRDefault="004C7180">
      <w:pPr>
        <w:pStyle w:val="BodyText"/>
        <w:rPr>
          <w:sz w:val="20"/>
        </w:rPr>
      </w:pPr>
    </w:p>
    <w:p w14:paraId="39373766" w14:textId="77777777" w:rsidR="004C7180" w:rsidRPr="00150EDC" w:rsidRDefault="004C7180">
      <w:pPr>
        <w:pStyle w:val="BodyText"/>
        <w:rPr>
          <w:sz w:val="20"/>
        </w:rPr>
      </w:pPr>
    </w:p>
    <w:p w14:paraId="16551DAC" w14:textId="77777777" w:rsidR="004C7180" w:rsidRPr="00150EDC" w:rsidRDefault="004C7180">
      <w:pPr>
        <w:pStyle w:val="BodyText"/>
        <w:rPr>
          <w:sz w:val="20"/>
        </w:rPr>
      </w:pPr>
    </w:p>
    <w:p w14:paraId="5A600C40" w14:textId="77777777" w:rsidR="004C7180" w:rsidRPr="00150EDC" w:rsidRDefault="004C7180">
      <w:pPr>
        <w:pStyle w:val="BodyText"/>
        <w:rPr>
          <w:sz w:val="20"/>
        </w:rPr>
      </w:pPr>
    </w:p>
    <w:p w14:paraId="31C2D901" w14:textId="77777777" w:rsidR="004C7180" w:rsidRPr="00150EDC" w:rsidRDefault="004C7180">
      <w:pPr>
        <w:pStyle w:val="BodyText"/>
        <w:rPr>
          <w:sz w:val="20"/>
        </w:rPr>
      </w:pPr>
    </w:p>
    <w:p w14:paraId="1B0BC878" w14:textId="77777777" w:rsidR="004C7180" w:rsidRPr="00150EDC" w:rsidRDefault="004C7180">
      <w:pPr>
        <w:pStyle w:val="BodyText"/>
        <w:rPr>
          <w:sz w:val="20"/>
        </w:rPr>
      </w:pPr>
    </w:p>
    <w:p w14:paraId="2E16538D" w14:textId="77777777" w:rsidR="004C7180" w:rsidRPr="00150EDC" w:rsidRDefault="004C7180">
      <w:pPr>
        <w:pStyle w:val="BodyText"/>
        <w:rPr>
          <w:sz w:val="20"/>
        </w:rPr>
      </w:pPr>
    </w:p>
    <w:p w14:paraId="2990054A" w14:textId="77777777" w:rsidR="004C7180" w:rsidRPr="00150EDC" w:rsidRDefault="004C7180">
      <w:pPr>
        <w:pStyle w:val="BodyText"/>
        <w:rPr>
          <w:sz w:val="20"/>
        </w:rPr>
      </w:pPr>
    </w:p>
    <w:p w14:paraId="1527C326" w14:textId="77777777" w:rsidR="004C7180" w:rsidRPr="00150EDC" w:rsidRDefault="004C7180">
      <w:pPr>
        <w:pStyle w:val="BodyText"/>
        <w:rPr>
          <w:sz w:val="20"/>
        </w:rPr>
      </w:pPr>
    </w:p>
    <w:p w14:paraId="3176456C" w14:textId="77777777" w:rsidR="004C7180" w:rsidRPr="00150EDC" w:rsidRDefault="004C7180">
      <w:pPr>
        <w:pStyle w:val="BodyText"/>
        <w:rPr>
          <w:sz w:val="20"/>
        </w:rPr>
      </w:pPr>
    </w:p>
    <w:p w14:paraId="2152180D" w14:textId="77777777" w:rsidR="004C7180" w:rsidRPr="00150EDC" w:rsidRDefault="004C7180">
      <w:pPr>
        <w:pStyle w:val="BodyText"/>
        <w:rPr>
          <w:sz w:val="20"/>
        </w:rPr>
      </w:pPr>
    </w:p>
    <w:p w14:paraId="65718010" w14:textId="77777777" w:rsidR="004C7180" w:rsidRPr="00150EDC" w:rsidRDefault="004C7180">
      <w:pPr>
        <w:pStyle w:val="BodyText"/>
        <w:rPr>
          <w:sz w:val="20"/>
        </w:rPr>
      </w:pPr>
    </w:p>
    <w:p w14:paraId="4E4AE1BE" w14:textId="77777777" w:rsidR="004C7180" w:rsidRPr="00150EDC" w:rsidRDefault="004C7180">
      <w:pPr>
        <w:pStyle w:val="BodyText"/>
        <w:rPr>
          <w:sz w:val="20"/>
        </w:rPr>
      </w:pPr>
    </w:p>
    <w:p w14:paraId="29C32080" w14:textId="77777777" w:rsidR="004C7180" w:rsidRPr="00150EDC" w:rsidRDefault="004C7180">
      <w:pPr>
        <w:pStyle w:val="BodyText"/>
        <w:rPr>
          <w:sz w:val="20"/>
        </w:rPr>
      </w:pPr>
    </w:p>
    <w:p w14:paraId="3DC2863F" w14:textId="77777777" w:rsidR="004C7180" w:rsidRPr="00150EDC" w:rsidRDefault="004C7180">
      <w:pPr>
        <w:pStyle w:val="BodyText"/>
        <w:rPr>
          <w:sz w:val="20"/>
        </w:rPr>
      </w:pPr>
    </w:p>
    <w:p w14:paraId="6AA4FE1E" w14:textId="77777777" w:rsidR="004C7180" w:rsidRPr="00150EDC" w:rsidRDefault="004C7180">
      <w:pPr>
        <w:pStyle w:val="BodyText"/>
        <w:rPr>
          <w:sz w:val="20"/>
        </w:rPr>
      </w:pPr>
    </w:p>
    <w:p w14:paraId="56B5BFEE" w14:textId="77777777" w:rsidR="004C7180" w:rsidRPr="00150EDC" w:rsidRDefault="004C7180">
      <w:pPr>
        <w:pStyle w:val="BodyText"/>
        <w:rPr>
          <w:sz w:val="20"/>
        </w:rPr>
      </w:pPr>
    </w:p>
    <w:p w14:paraId="1590F10B" w14:textId="77777777" w:rsidR="004C7180" w:rsidRPr="00150EDC" w:rsidRDefault="004C7180">
      <w:pPr>
        <w:pStyle w:val="BodyText"/>
        <w:rPr>
          <w:sz w:val="20"/>
        </w:rPr>
      </w:pPr>
    </w:p>
    <w:p w14:paraId="747BF5D4" w14:textId="77777777" w:rsidR="004C7180" w:rsidRPr="00150EDC" w:rsidRDefault="004C7180">
      <w:pPr>
        <w:pStyle w:val="BodyText"/>
        <w:rPr>
          <w:sz w:val="20"/>
        </w:rPr>
      </w:pPr>
    </w:p>
    <w:p w14:paraId="5292C71E" w14:textId="77777777" w:rsidR="004C7180" w:rsidRPr="00150EDC" w:rsidRDefault="004C7180">
      <w:pPr>
        <w:pStyle w:val="BodyText"/>
        <w:rPr>
          <w:sz w:val="20"/>
        </w:rPr>
      </w:pPr>
    </w:p>
    <w:p w14:paraId="63EDA289" w14:textId="77777777" w:rsidR="004C7180" w:rsidRPr="00150EDC" w:rsidRDefault="004C7180">
      <w:pPr>
        <w:pStyle w:val="BodyText"/>
        <w:rPr>
          <w:sz w:val="20"/>
        </w:rPr>
      </w:pPr>
    </w:p>
    <w:p w14:paraId="2E815D67" w14:textId="77777777" w:rsidR="004C7180" w:rsidRPr="00150EDC" w:rsidRDefault="004C7180">
      <w:pPr>
        <w:pStyle w:val="BodyText"/>
        <w:rPr>
          <w:sz w:val="20"/>
        </w:rPr>
      </w:pPr>
    </w:p>
    <w:p w14:paraId="33E90705" w14:textId="77777777" w:rsidR="004C7180" w:rsidRPr="00150EDC" w:rsidRDefault="004C7180">
      <w:pPr>
        <w:pStyle w:val="BodyText"/>
        <w:rPr>
          <w:sz w:val="20"/>
        </w:rPr>
      </w:pPr>
    </w:p>
    <w:p w14:paraId="0DBF130D" w14:textId="77777777" w:rsidR="004C7180" w:rsidRPr="00150EDC" w:rsidRDefault="004C7180">
      <w:pPr>
        <w:pStyle w:val="BodyText"/>
        <w:rPr>
          <w:sz w:val="20"/>
        </w:rPr>
      </w:pPr>
    </w:p>
    <w:p w14:paraId="764A9117" w14:textId="77777777" w:rsidR="004C7180" w:rsidRPr="00150EDC" w:rsidRDefault="004C7180">
      <w:pPr>
        <w:pStyle w:val="BodyText"/>
        <w:rPr>
          <w:sz w:val="20"/>
        </w:rPr>
      </w:pPr>
    </w:p>
    <w:p w14:paraId="25AD287A" w14:textId="77777777" w:rsidR="004C7180" w:rsidRPr="00150EDC" w:rsidRDefault="004C7180">
      <w:pPr>
        <w:pStyle w:val="BodyText"/>
        <w:rPr>
          <w:sz w:val="20"/>
        </w:rPr>
      </w:pPr>
    </w:p>
    <w:p w14:paraId="7EF69361" w14:textId="77777777" w:rsidR="004C7180" w:rsidRPr="00150EDC" w:rsidRDefault="004C7180">
      <w:pPr>
        <w:pStyle w:val="BodyText"/>
        <w:rPr>
          <w:sz w:val="20"/>
        </w:rPr>
      </w:pPr>
    </w:p>
    <w:p w14:paraId="5480DFE1" w14:textId="77777777" w:rsidR="004C7180" w:rsidRPr="00150EDC" w:rsidRDefault="004C7180">
      <w:pPr>
        <w:pStyle w:val="BodyText"/>
        <w:rPr>
          <w:sz w:val="20"/>
        </w:rPr>
      </w:pPr>
    </w:p>
    <w:p w14:paraId="6F19AD73" w14:textId="77777777" w:rsidR="004C7180" w:rsidRPr="00150EDC" w:rsidRDefault="004C7180">
      <w:pPr>
        <w:pStyle w:val="BodyText"/>
        <w:rPr>
          <w:sz w:val="20"/>
        </w:rPr>
      </w:pPr>
    </w:p>
    <w:p w14:paraId="47201880" w14:textId="77777777" w:rsidR="004C7180" w:rsidRPr="00150EDC" w:rsidRDefault="004C7180">
      <w:pPr>
        <w:pStyle w:val="BodyText"/>
        <w:rPr>
          <w:sz w:val="20"/>
        </w:rPr>
      </w:pPr>
    </w:p>
    <w:p w14:paraId="3558CCEE" w14:textId="77777777" w:rsidR="004C7180" w:rsidRPr="00150EDC" w:rsidRDefault="004C7180">
      <w:pPr>
        <w:pStyle w:val="BodyText"/>
        <w:rPr>
          <w:sz w:val="20"/>
        </w:rPr>
      </w:pPr>
    </w:p>
    <w:p w14:paraId="2ABA858D" w14:textId="77777777" w:rsidR="004C7180" w:rsidRPr="00150EDC" w:rsidRDefault="004C7180">
      <w:pPr>
        <w:pStyle w:val="BodyText"/>
        <w:spacing w:before="7"/>
        <w:rPr>
          <w:sz w:val="17"/>
        </w:rPr>
      </w:pPr>
    </w:p>
    <w:p w14:paraId="50A249D0" w14:textId="77777777" w:rsidR="004C7180" w:rsidRPr="00150EDC" w:rsidRDefault="00CF0754">
      <w:pPr>
        <w:spacing w:before="96"/>
        <w:ind w:left="1044"/>
        <w:rPr>
          <w:sz w:val="15"/>
        </w:rPr>
      </w:pPr>
      <w:r w:rsidRPr="00150EDC">
        <w:rPr>
          <w:sz w:val="15"/>
        </w:rPr>
        <w:t>DPS</w:t>
      </w:r>
      <w:r w:rsidRPr="00150EDC">
        <w:rPr>
          <w:spacing w:val="-3"/>
          <w:sz w:val="15"/>
        </w:rPr>
        <w:t xml:space="preserve"> </w:t>
      </w:r>
      <w:r w:rsidRPr="00150EDC">
        <w:rPr>
          <w:sz w:val="15"/>
        </w:rPr>
        <w:t xml:space="preserve">Ref: </w:t>
      </w:r>
      <w:r w:rsidRPr="00150EDC">
        <w:rPr>
          <w:spacing w:val="-2"/>
          <w:sz w:val="15"/>
        </w:rPr>
        <w:t>RM6322</w:t>
      </w:r>
    </w:p>
    <w:p w14:paraId="7CF6975C" w14:textId="77777777" w:rsidR="004C7180" w:rsidRPr="00150EDC" w:rsidRDefault="00CF0754">
      <w:pPr>
        <w:tabs>
          <w:tab w:val="left" w:pos="7660"/>
        </w:tabs>
        <w:spacing w:before="26"/>
        <w:ind w:left="1044"/>
        <w:rPr>
          <w:sz w:val="15"/>
        </w:rPr>
      </w:pPr>
      <w:r w:rsidRPr="00150EDC">
        <w:rPr>
          <w:noProof/>
          <w:lang w:val="en-GB" w:eastAsia="en-GB"/>
        </w:rPr>
        <mc:AlternateContent>
          <mc:Choice Requires="wps">
            <w:drawing>
              <wp:anchor distT="0" distB="0" distL="0" distR="0" simplePos="0" relativeHeight="251658258" behindDoc="1" locked="0" layoutInCell="1" allowOverlap="1" wp14:anchorId="4F387476" wp14:editId="43D8B2D0">
                <wp:simplePos x="0" y="0"/>
                <wp:positionH relativeFrom="page">
                  <wp:posOffset>4921821</wp:posOffset>
                </wp:positionH>
                <wp:positionV relativeFrom="paragraph">
                  <wp:posOffset>16308</wp:posOffset>
                </wp:positionV>
                <wp:extent cx="53340" cy="110489"/>
                <wp:effectExtent l="0" t="0" r="0" b="0"/>
                <wp:wrapNone/>
                <wp:docPr id="58" name="Free-form: 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 cy="110489"/>
                        </a:xfrm>
                        <a:custGeom>
                          <a:avLst/>
                          <a:gdLst/>
                          <a:ahLst/>
                          <a:cxnLst/>
                          <a:rect l="l" t="t" r="r" b="b"/>
                          <a:pathLst>
                            <a:path w="53340" h="110489">
                              <a:moveTo>
                                <a:pt x="52806" y="0"/>
                              </a:moveTo>
                              <a:lnTo>
                                <a:pt x="0" y="0"/>
                              </a:lnTo>
                              <a:lnTo>
                                <a:pt x="0" y="110210"/>
                              </a:lnTo>
                              <a:lnTo>
                                <a:pt x="52806" y="110210"/>
                              </a:lnTo>
                              <a:lnTo>
                                <a:pt x="52806" y="0"/>
                              </a:lnTo>
                              <a:close/>
                            </a:path>
                          </a:pathLst>
                        </a:custGeom>
                        <a:solidFill>
                          <a:srgbClr val="E6E6E6"/>
                        </a:solidFill>
                      </wps:spPr>
                      <wps:bodyPr wrap="square" lIns="0" tIns="0" rIns="0" bIns="0" rtlCol="0">
                        <a:prstTxWarp prst="textNoShape">
                          <a:avLst/>
                        </a:prstTxWarp>
                        <a:noAutofit/>
                      </wps:bodyPr>
                    </wps:wsp>
                  </a:graphicData>
                </a:graphic>
              </wp:anchor>
            </w:drawing>
          </mc:Choice>
          <mc:Fallback>
            <w:pict>
              <v:shape w14:anchorId="10EF2D53" id="Free-form: Shape 58" o:spid="_x0000_s1026" style="position:absolute;margin-left:387.55pt;margin-top:1.3pt;width:4.2pt;height:8.7pt;z-index:-251658222;visibility:visible;mso-wrap-style:square;mso-wrap-distance-left:0;mso-wrap-distance-top:0;mso-wrap-distance-right:0;mso-wrap-distance-bottom:0;mso-position-horizontal:absolute;mso-position-horizontal-relative:page;mso-position-vertical:absolute;mso-position-vertical-relative:text;v-text-anchor:top" coordsize="53340,110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" path="m52806,l,,,110210r52806,l52806,xe" fillcolor="#e6e6e6" stroked="f">
                <v:path arrowok="t"/>
                <w10:wrap anchorx="page"/>
              </v:shape>
            </w:pict>
          </mc:Fallback>
        </mc:AlternateContent>
      </w:r>
      <w:r w:rsidRPr="00150EDC">
        <w:rPr>
          <w:sz w:val="15"/>
        </w:rPr>
        <w:t>Project</w:t>
      </w:r>
      <w:r w:rsidRPr="00150EDC">
        <w:rPr>
          <w:spacing w:val="-4"/>
          <w:sz w:val="15"/>
        </w:rPr>
        <w:t xml:space="preserve"> </w:t>
      </w:r>
      <w:r w:rsidRPr="00150EDC">
        <w:rPr>
          <w:sz w:val="15"/>
        </w:rPr>
        <w:t>Version:</w:t>
      </w:r>
      <w:r w:rsidRPr="00150EDC">
        <w:rPr>
          <w:spacing w:val="-3"/>
          <w:sz w:val="15"/>
        </w:rPr>
        <w:t xml:space="preserve"> </w:t>
      </w:r>
      <w:r w:rsidRPr="00150EDC">
        <w:rPr>
          <w:spacing w:val="-4"/>
          <w:sz w:val="15"/>
        </w:rPr>
        <w:t>v1.0</w:t>
      </w:r>
      <w:r w:rsidRPr="00150EDC">
        <w:rPr>
          <w:sz w:val="15"/>
        </w:rPr>
        <w:tab/>
        <w:t>-</w:t>
      </w:r>
      <w:r w:rsidRPr="00150EDC">
        <w:rPr>
          <w:spacing w:val="-5"/>
          <w:sz w:val="15"/>
        </w:rPr>
        <w:t>5-</w:t>
      </w:r>
    </w:p>
    <w:p w14:paraId="1B19ACB8" w14:textId="77777777" w:rsidR="004C7180" w:rsidRPr="00150EDC" w:rsidRDefault="004C7180">
      <w:pPr>
        <w:rPr>
          <w:sz w:val="15"/>
        </w:rPr>
        <w:sectPr w:rsidR="004C7180" w:rsidRPr="00150EDC">
          <w:pgSz w:w="11910" w:h="16840"/>
          <w:pgMar w:top="2940" w:right="0" w:bottom="2720" w:left="40" w:header="2612" w:footer="2535" w:gutter="0"/>
          <w:cols w:space="720"/>
        </w:sectPr>
      </w:pPr>
    </w:p>
    <w:p w14:paraId="4303D1E8" w14:textId="7DDE4EDC" w:rsidR="004C7180" w:rsidRPr="00150EDC" w:rsidRDefault="004C7180">
      <w:pPr>
        <w:pStyle w:val="BodyText"/>
        <w:spacing w:before="7"/>
        <w:rPr>
          <w:sz w:val="9"/>
        </w:rPr>
      </w:pPr>
    </w:p>
    <w:p w14:paraId="04987A91" w14:textId="1D1F726E" w:rsidR="004C7180" w:rsidRPr="00150EDC" w:rsidRDefault="00CF0754">
      <w:pPr>
        <w:spacing w:before="95"/>
        <w:ind w:left="1044"/>
        <w:rPr>
          <w:b/>
          <w:sz w:val="18"/>
          <w:szCs w:val="18"/>
        </w:rPr>
      </w:pPr>
      <w:bookmarkStart w:id="12" w:name="Annex_1_-_Processing_Personal_Data"/>
      <w:bookmarkEnd w:id="12"/>
      <w:r w:rsidRPr="06B80851">
        <w:rPr>
          <w:b/>
          <w:sz w:val="18"/>
          <w:szCs w:val="18"/>
        </w:rPr>
        <w:t>Annex</w:t>
      </w:r>
      <w:r w:rsidRPr="06B80851">
        <w:rPr>
          <w:b/>
          <w:spacing w:val="-2"/>
          <w:sz w:val="18"/>
          <w:szCs w:val="18"/>
        </w:rPr>
        <w:t xml:space="preserve"> </w:t>
      </w:r>
      <w:r w:rsidRPr="06B80851">
        <w:rPr>
          <w:b/>
          <w:sz w:val="18"/>
          <w:szCs w:val="18"/>
        </w:rPr>
        <w:t>1</w:t>
      </w:r>
      <w:r w:rsidRPr="06B80851">
        <w:rPr>
          <w:b/>
          <w:spacing w:val="-1"/>
          <w:sz w:val="18"/>
          <w:szCs w:val="18"/>
        </w:rPr>
        <w:t xml:space="preserve"> </w:t>
      </w:r>
      <w:r w:rsidRPr="06B80851">
        <w:rPr>
          <w:b/>
          <w:sz w:val="18"/>
          <w:szCs w:val="18"/>
        </w:rPr>
        <w:t>-</w:t>
      </w:r>
      <w:r w:rsidRPr="06B80851">
        <w:rPr>
          <w:b/>
          <w:spacing w:val="-2"/>
          <w:sz w:val="18"/>
          <w:szCs w:val="18"/>
        </w:rPr>
        <w:t xml:space="preserve"> </w:t>
      </w:r>
      <w:r w:rsidRPr="06B80851">
        <w:rPr>
          <w:b/>
          <w:sz w:val="18"/>
          <w:szCs w:val="18"/>
        </w:rPr>
        <w:t>Processing</w:t>
      </w:r>
      <w:r w:rsidRPr="06B80851">
        <w:rPr>
          <w:b/>
          <w:spacing w:val="-4"/>
          <w:sz w:val="18"/>
          <w:szCs w:val="18"/>
        </w:rPr>
        <w:t xml:space="preserve"> </w:t>
      </w:r>
      <w:r w:rsidRPr="06B80851">
        <w:rPr>
          <w:b/>
          <w:sz w:val="18"/>
          <w:szCs w:val="18"/>
        </w:rPr>
        <w:t>Personal</w:t>
      </w:r>
      <w:r w:rsidRPr="06B80851">
        <w:rPr>
          <w:b/>
          <w:spacing w:val="-1"/>
          <w:sz w:val="18"/>
          <w:szCs w:val="18"/>
        </w:rPr>
        <w:t xml:space="preserve"> </w:t>
      </w:r>
      <w:r w:rsidRPr="06B80851">
        <w:rPr>
          <w:b/>
          <w:spacing w:val="-4"/>
          <w:sz w:val="18"/>
          <w:szCs w:val="18"/>
        </w:rPr>
        <w:t>Data</w:t>
      </w:r>
    </w:p>
    <w:p w14:paraId="68A2B283" w14:textId="77777777" w:rsidR="004C7180" w:rsidRPr="00150EDC" w:rsidRDefault="004C7180">
      <w:pPr>
        <w:pStyle w:val="BodyText"/>
        <w:spacing w:before="9"/>
        <w:rPr>
          <w:b/>
          <w:sz w:val="15"/>
        </w:rPr>
      </w:pPr>
    </w:p>
    <w:p w14:paraId="44A74161" w14:textId="77777777" w:rsidR="004C7180" w:rsidRPr="00150EDC" w:rsidRDefault="00CF0754">
      <w:pPr>
        <w:spacing w:before="1" w:line="276" w:lineRule="auto"/>
        <w:ind w:left="1044" w:right="4072"/>
        <w:rPr>
          <w:sz w:val="18"/>
        </w:rPr>
      </w:pPr>
      <w:r w:rsidRPr="00150EDC">
        <w:rPr>
          <w:sz w:val="18"/>
        </w:rPr>
        <w:t>This Annex shall be completed by the Controller, who may take account of the view of the Processors,</w:t>
      </w:r>
      <w:r w:rsidRPr="00150EDC">
        <w:rPr>
          <w:spacing w:val="-1"/>
          <w:sz w:val="18"/>
        </w:rPr>
        <w:t xml:space="preserve"> </w:t>
      </w:r>
      <w:r w:rsidRPr="00150EDC">
        <w:rPr>
          <w:sz w:val="18"/>
        </w:rPr>
        <w:t>however</w:t>
      </w:r>
      <w:r w:rsidRPr="00150EDC">
        <w:rPr>
          <w:spacing w:val="-1"/>
          <w:sz w:val="18"/>
        </w:rPr>
        <w:t xml:space="preserve"> </w:t>
      </w:r>
      <w:r w:rsidRPr="00150EDC">
        <w:rPr>
          <w:sz w:val="18"/>
        </w:rPr>
        <w:t>the final decision</w:t>
      </w:r>
      <w:r w:rsidRPr="00150EDC">
        <w:rPr>
          <w:spacing w:val="-2"/>
          <w:sz w:val="18"/>
        </w:rPr>
        <w:t xml:space="preserve"> </w:t>
      </w:r>
      <w:r w:rsidRPr="00150EDC">
        <w:rPr>
          <w:sz w:val="18"/>
        </w:rPr>
        <w:t>as to</w:t>
      </w:r>
      <w:r w:rsidRPr="00150EDC">
        <w:rPr>
          <w:spacing w:val="-2"/>
          <w:sz w:val="18"/>
        </w:rPr>
        <w:t xml:space="preserve"> </w:t>
      </w:r>
      <w:r w:rsidRPr="00150EDC">
        <w:rPr>
          <w:sz w:val="18"/>
        </w:rPr>
        <w:t>the</w:t>
      </w:r>
      <w:r w:rsidRPr="00150EDC">
        <w:rPr>
          <w:spacing w:val="-1"/>
          <w:sz w:val="18"/>
        </w:rPr>
        <w:t xml:space="preserve"> </w:t>
      </w:r>
      <w:r w:rsidRPr="00150EDC">
        <w:rPr>
          <w:sz w:val="18"/>
        </w:rPr>
        <w:t>content of</w:t>
      </w:r>
      <w:r w:rsidRPr="00150EDC">
        <w:rPr>
          <w:spacing w:val="-1"/>
          <w:sz w:val="18"/>
        </w:rPr>
        <w:t xml:space="preserve"> </w:t>
      </w:r>
      <w:r w:rsidRPr="00150EDC">
        <w:rPr>
          <w:sz w:val="18"/>
        </w:rPr>
        <w:t>this</w:t>
      </w:r>
      <w:r w:rsidRPr="00150EDC">
        <w:rPr>
          <w:spacing w:val="-1"/>
          <w:sz w:val="18"/>
        </w:rPr>
        <w:t xml:space="preserve"> </w:t>
      </w:r>
      <w:r w:rsidRPr="00150EDC">
        <w:rPr>
          <w:sz w:val="18"/>
        </w:rPr>
        <w:t>Annex shall</w:t>
      </w:r>
      <w:r w:rsidRPr="00150EDC">
        <w:rPr>
          <w:spacing w:val="-1"/>
          <w:sz w:val="18"/>
        </w:rPr>
        <w:t xml:space="preserve"> </w:t>
      </w:r>
      <w:r w:rsidRPr="00150EDC">
        <w:rPr>
          <w:sz w:val="18"/>
        </w:rPr>
        <w:t>be with the Relevant Authority at its absolute discretion.</w:t>
      </w:r>
    </w:p>
    <w:p w14:paraId="5F83EE65" w14:textId="77777777" w:rsidR="004C7180" w:rsidRPr="00150EDC" w:rsidRDefault="00CF0754" w:rsidP="00B320C7">
      <w:pPr>
        <w:pStyle w:val="ListParagraph"/>
        <w:numPr>
          <w:ilvl w:val="1"/>
          <w:numId w:val="93"/>
        </w:numPr>
        <w:tabs>
          <w:tab w:val="left" w:pos="1587"/>
        </w:tabs>
        <w:spacing w:before="153"/>
        <w:rPr>
          <w:sz w:val="18"/>
        </w:rPr>
      </w:pPr>
      <w:r w:rsidRPr="00150EDC">
        <w:rPr>
          <w:sz w:val="18"/>
        </w:rPr>
        <w:t>The</w:t>
      </w:r>
      <w:r w:rsidRPr="00150EDC">
        <w:rPr>
          <w:spacing w:val="30"/>
          <w:sz w:val="18"/>
        </w:rPr>
        <w:t xml:space="preserve"> </w:t>
      </w:r>
      <w:r w:rsidRPr="00150EDC">
        <w:rPr>
          <w:sz w:val="18"/>
        </w:rPr>
        <w:t>contact</w:t>
      </w:r>
      <w:r w:rsidRPr="00150EDC">
        <w:rPr>
          <w:spacing w:val="30"/>
          <w:sz w:val="18"/>
        </w:rPr>
        <w:t xml:space="preserve"> </w:t>
      </w:r>
      <w:r w:rsidRPr="00150EDC">
        <w:rPr>
          <w:sz w:val="18"/>
        </w:rPr>
        <w:t>details</w:t>
      </w:r>
      <w:r w:rsidRPr="00150EDC">
        <w:rPr>
          <w:spacing w:val="31"/>
          <w:sz w:val="18"/>
        </w:rPr>
        <w:t xml:space="preserve"> </w:t>
      </w:r>
      <w:r w:rsidRPr="00150EDC">
        <w:rPr>
          <w:sz w:val="18"/>
        </w:rPr>
        <w:t>of</w:t>
      </w:r>
      <w:r w:rsidRPr="00150EDC">
        <w:rPr>
          <w:spacing w:val="30"/>
          <w:sz w:val="18"/>
        </w:rPr>
        <w:t xml:space="preserve"> </w:t>
      </w:r>
      <w:r w:rsidRPr="00150EDC">
        <w:rPr>
          <w:sz w:val="18"/>
        </w:rPr>
        <w:t>the</w:t>
      </w:r>
      <w:r w:rsidRPr="00150EDC">
        <w:rPr>
          <w:spacing w:val="30"/>
          <w:sz w:val="18"/>
        </w:rPr>
        <w:t xml:space="preserve"> </w:t>
      </w:r>
      <w:r w:rsidRPr="00150EDC">
        <w:rPr>
          <w:sz w:val="18"/>
        </w:rPr>
        <w:t>Relevant</w:t>
      </w:r>
      <w:r w:rsidRPr="00150EDC">
        <w:rPr>
          <w:spacing w:val="31"/>
          <w:sz w:val="18"/>
        </w:rPr>
        <w:t xml:space="preserve"> </w:t>
      </w:r>
      <w:r w:rsidRPr="00150EDC">
        <w:rPr>
          <w:sz w:val="18"/>
        </w:rPr>
        <w:t>Authority’s</w:t>
      </w:r>
      <w:r w:rsidRPr="00150EDC">
        <w:rPr>
          <w:spacing w:val="31"/>
          <w:sz w:val="18"/>
        </w:rPr>
        <w:t xml:space="preserve"> </w:t>
      </w:r>
      <w:r w:rsidRPr="00150EDC">
        <w:rPr>
          <w:sz w:val="18"/>
        </w:rPr>
        <w:t>Data</w:t>
      </w:r>
      <w:r w:rsidRPr="00150EDC">
        <w:rPr>
          <w:spacing w:val="30"/>
          <w:sz w:val="18"/>
        </w:rPr>
        <w:t xml:space="preserve"> </w:t>
      </w:r>
      <w:r w:rsidRPr="00150EDC">
        <w:rPr>
          <w:sz w:val="18"/>
        </w:rPr>
        <w:t>Protection</w:t>
      </w:r>
      <w:r w:rsidRPr="00150EDC">
        <w:rPr>
          <w:spacing w:val="30"/>
          <w:sz w:val="18"/>
        </w:rPr>
        <w:t xml:space="preserve"> </w:t>
      </w:r>
      <w:r w:rsidRPr="00150EDC">
        <w:rPr>
          <w:sz w:val="18"/>
        </w:rPr>
        <w:t>Officer</w:t>
      </w:r>
      <w:r w:rsidRPr="00150EDC">
        <w:rPr>
          <w:spacing w:val="32"/>
          <w:sz w:val="18"/>
        </w:rPr>
        <w:t xml:space="preserve"> </w:t>
      </w:r>
      <w:r w:rsidRPr="00150EDC">
        <w:rPr>
          <w:spacing w:val="-4"/>
          <w:sz w:val="18"/>
        </w:rPr>
        <w:t>are:</w:t>
      </w:r>
    </w:p>
    <w:p w14:paraId="635D6F75" w14:textId="77777777" w:rsidR="004C7180" w:rsidRPr="00150EDC" w:rsidRDefault="00CF0754">
      <w:pPr>
        <w:spacing w:before="1"/>
        <w:ind w:left="1587"/>
        <w:rPr>
          <w:b/>
          <w:sz w:val="18"/>
        </w:rPr>
      </w:pPr>
      <w:r w:rsidRPr="00150EDC">
        <w:rPr>
          <w:b/>
          <w:sz w:val="18"/>
        </w:rPr>
        <w:t>Emma</w:t>
      </w:r>
      <w:r w:rsidRPr="00150EDC">
        <w:rPr>
          <w:b/>
          <w:spacing w:val="-1"/>
          <w:sz w:val="18"/>
        </w:rPr>
        <w:t xml:space="preserve"> </w:t>
      </w:r>
      <w:r w:rsidRPr="00150EDC">
        <w:rPr>
          <w:b/>
          <w:sz w:val="18"/>
        </w:rPr>
        <w:t>Wharram,</w:t>
      </w:r>
      <w:r w:rsidRPr="00150EDC">
        <w:rPr>
          <w:b/>
          <w:spacing w:val="-1"/>
          <w:sz w:val="18"/>
        </w:rPr>
        <w:t xml:space="preserve"> </w:t>
      </w:r>
      <w:hyperlink r:id="rId50">
        <w:r w:rsidRPr="00150EDC">
          <w:rPr>
            <w:b/>
            <w:spacing w:val="-2"/>
            <w:sz w:val="18"/>
          </w:rPr>
          <w:t>emma.wharram@education.gov.uk</w:t>
        </w:r>
      </w:hyperlink>
    </w:p>
    <w:p w14:paraId="1289C262" w14:textId="139A4938" w:rsidR="004C7180" w:rsidRPr="00150EDC" w:rsidRDefault="00CF0754" w:rsidP="00B320C7">
      <w:pPr>
        <w:pStyle w:val="ListParagraph"/>
        <w:numPr>
          <w:ilvl w:val="1"/>
          <w:numId w:val="93"/>
        </w:numPr>
        <w:tabs>
          <w:tab w:val="left" w:pos="1587"/>
        </w:tabs>
        <w:spacing w:before="1"/>
        <w:ind w:right="4018"/>
        <w:rPr>
          <w:sz w:val="18"/>
        </w:rPr>
      </w:pPr>
      <w:r w:rsidRPr="00150EDC">
        <w:rPr>
          <w:sz w:val="18"/>
        </w:rPr>
        <w:t>The</w:t>
      </w:r>
      <w:r w:rsidRPr="00150EDC">
        <w:rPr>
          <w:spacing w:val="-10"/>
          <w:sz w:val="18"/>
        </w:rPr>
        <w:t xml:space="preserve"> </w:t>
      </w:r>
      <w:r w:rsidRPr="00150EDC">
        <w:rPr>
          <w:sz w:val="18"/>
        </w:rPr>
        <w:t>contact</w:t>
      </w:r>
      <w:r w:rsidRPr="00150EDC">
        <w:rPr>
          <w:spacing w:val="-12"/>
          <w:sz w:val="18"/>
        </w:rPr>
        <w:t xml:space="preserve"> </w:t>
      </w:r>
      <w:r w:rsidRPr="00150EDC">
        <w:rPr>
          <w:sz w:val="18"/>
        </w:rPr>
        <w:t>details</w:t>
      </w:r>
      <w:r w:rsidRPr="00150EDC">
        <w:rPr>
          <w:spacing w:val="-13"/>
          <w:sz w:val="18"/>
        </w:rPr>
        <w:t xml:space="preserve"> </w:t>
      </w:r>
      <w:r w:rsidRPr="00150EDC">
        <w:rPr>
          <w:sz w:val="18"/>
        </w:rPr>
        <w:t>of</w:t>
      </w:r>
      <w:r w:rsidRPr="00150EDC">
        <w:rPr>
          <w:spacing w:val="-12"/>
          <w:sz w:val="18"/>
        </w:rPr>
        <w:t xml:space="preserve"> </w:t>
      </w:r>
      <w:r w:rsidRPr="00150EDC">
        <w:rPr>
          <w:sz w:val="18"/>
        </w:rPr>
        <w:t>the</w:t>
      </w:r>
      <w:r w:rsidRPr="00150EDC">
        <w:rPr>
          <w:spacing w:val="-12"/>
          <w:sz w:val="18"/>
        </w:rPr>
        <w:t xml:space="preserve"> </w:t>
      </w:r>
      <w:r w:rsidRPr="00150EDC">
        <w:rPr>
          <w:sz w:val="18"/>
        </w:rPr>
        <w:t>Supplier’s</w:t>
      </w:r>
      <w:r w:rsidRPr="00150EDC">
        <w:rPr>
          <w:spacing w:val="-11"/>
          <w:sz w:val="18"/>
        </w:rPr>
        <w:t xml:space="preserve"> </w:t>
      </w:r>
      <w:r w:rsidRPr="00150EDC">
        <w:rPr>
          <w:sz w:val="18"/>
        </w:rPr>
        <w:t>Data</w:t>
      </w:r>
      <w:r w:rsidRPr="00150EDC">
        <w:rPr>
          <w:spacing w:val="-12"/>
          <w:sz w:val="18"/>
        </w:rPr>
        <w:t xml:space="preserve"> </w:t>
      </w:r>
      <w:r w:rsidRPr="00150EDC">
        <w:rPr>
          <w:sz w:val="18"/>
        </w:rPr>
        <w:t>Protection</w:t>
      </w:r>
      <w:r w:rsidRPr="00150EDC">
        <w:rPr>
          <w:spacing w:val="-12"/>
          <w:sz w:val="18"/>
        </w:rPr>
        <w:t xml:space="preserve"> </w:t>
      </w:r>
      <w:r w:rsidRPr="00150EDC">
        <w:rPr>
          <w:sz w:val="18"/>
        </w:rPr>
        <w:t>Officer</w:t>
      </w:r>
      <w:r w:rsidRPr="00150EDC">
        <w:rPr>
          <w:spacing w:val="-13"/>
          <w:sz w:val="18"/>
        </w:rPr>
        <w:t xml:space="preserve"> </w:t>
      </w:r>
      <w:r w:rsidRPr="00150EDC">
        <w:rPr>
          <w:sz w:val="18"/>
        </w:rPr>
        <w:t>are:</w:t>
      </w:r>
      <w:r w:rsidRPr="00150EDC">
        <w:rPr>
          <w:spacing w:val="-12"/>
          <w:sz w:val="18"/>
        </w:rPr>
        <w:t xml:space="preserve"> </w:t>
      </w:r>
      <w:r w:rsidR="00D76C22" w:rsidRPr="007D3144">
        <w:rPr>
          <w:spacing w:val="-2"/>
          <w:sz w:val="18"/>
        </w:rPr>
        <w:t xml:space="preserve">Paul Duller, </w:t>
      </w:r>
      <w:hyperlink r:id="rId51" w:history="1">
        <w:r w:rsidR="00D76C22" w:rsidRPr="007D3144">
          <w:rPr>
            <w:rStyle w:val="Hyperlink"/>
            <w:color w:val="auto"/>
            <w:spacing w:val="-2"/>
            <w:sz w:val="18"/>
          </w:rPr>
          <w:t>paul.duller@tribalgroup.com</w:t>
        </w:r>
      </w:hyperlink>
      <w:r w:rsidR="00D76C22" w:rsidRPr="007D3144">
        <w:rPr>
          <w:spacing w:val="-2"/>
          <w:sz w:val="18"/>
        </w:rPr>
        <w:t xml:space="preserve"> </w:t>
      </w:r>
    </w:p>
    <w:p w14:paraId="49F2EC23" w14:textId="77777777" w:rsidR="004C7180" w:rsidRPr="00150EDC" w:rsidRDefault="00CF0754" w:rsidP="00B320C7">
      <w:pPr>
        <w:pStyle w:val="ListParagraph"/>
        <w:numPr>
          <w:ilvl w:val="1"/>
          <w:numId w:val="93"/>
        </w:numPr>
        <w:tabs>
          <w:tab w:val="left" w:pos="1587"/>
        </w:tabs>
        <w:spacing w:before="2"/>
        <w:ind w:right="4018"/>
        <w:rPr>
          <w:sz w:val="18"/>
        </w:rPr>
      </w:pPr>
      <w:r w:rsidRPr="00150EDC">
        <w:rPr>
          <w:sz w:val="18"/>
        </w:rPr>
        <w:t>The</w:t>
      </w:r>
      <w:r w:rsidRPr="00150EDC">
        <w:rPr>
          <w:spacing w:val="-2"/>
          <w:sz w:val="18"/>
        </w:rPr>
        <w:t xml:space="preserve"> </w:t>
      </w:r>
      <w:r w:rsidRPr="00150EDC">
        <w:rPr>
          <w:sz w:val="18"/>
        </w:rPr>
        <w:t>Processor</w:t>
      </w:r>
      <w:r w:rsidRPr="00150EDC">
        <w:rPr>
          <w:spacing w:val="-3"/>
          <w:sz w:val="18"/>
        </w:rPr>
        <w:t xml:space="preserve"> </w:t>
      </w:r>
      <w:r w:rsidRPr="00150EDC">
        <w:rPr>
          <w:sz w:val="18"/>
        </w:rPr>
        <w:t>shall</w:t>
      </w:r>
      <w:r w:rsidRPr="00150EDC">
        <w:rPr>
          <w:spacing w:val="-3"/>
          <w:sz w:val="18"/>
        </w:rPr>
        <w:t xml:space="preserve"> </w:t>
      </w:r>
      <w:r w:rsidRPr="00150EDC">
        <w:rPr>
          <w:sz w:val="18"/>
        </w:rPr>
        <w:t>comply</w:t>
      </w:r>
      <w:r w:rsidRPr="00150EDC">
        <w:rPr>
          <w:spacing w:val="-3"/>
          <w:sz w:val="18"/>
        </w:rPr>
        <w:t xml:space="preserve"> </w:t>
      </w:r>
      <w:r w:rsidRPr="00150EDC">
        <w:rPr>
          <w:sz w:val="18"/>
        </w:rPr>
        <w:t>with</w:t>
      </w:r>
      <w:r w:rsidRPr="00150EDC">
        <w:rPr>
          <w:spacing w:val="-2"/>
          <w:sz w:val="18"/>
        </w:rPr>
        <w:t xml:space="preserve"> </w:t>
      </w:r>
      <w:r w:rsidRPr="00150EDC">
        <w:rPr>
          <w:sz w:val="18"/>
        </w:rPr>
        <w:t>any</w:t>
      </w:r>
      <w:r w:rsidRPr="00150EDC">
        <w:rPr>
          <w:spacing w:val="-3"/>
          <w:sz w:val="18"/>
        </w:rPr>
        <w:t xml:space="preserve"> </w:t>
      </w:r>
      <w:r w:rsidRPr="00150EDC">
        <w:rPr>
          <w:sz w:val="18"/>
        </w:rPr>
        <w:t>further</w:t>
      </w:r>
      <w:r w:rsidRPr="00150EDC">
        <w:rPr>
          <w:spacing w:val="-3"/>
          <w:sz w:val="18"/>
        </w:rPr>
        <w:t xml:space="preserve"> </w:t>
      </w:r>
      <w:r w:rsidRPr="00150EDC">
        <w:rPr>
          <w:sz w:val="18"/>
        </w:rPr>
        <w:t>written</w:t>
      </w:r>
      <w:r w:rsidRPr="00150EDC">
        <w:rPr>
          <w:spacing w:val="-2"/>
          <w:sz w:val="18"/>
        </w:rPr>
        <w:t xml:space="preserve"> </w:t>
      </w:r>
      <w:r w:rsidRPr="00150EDC">
        <w:rPr>
          <w:sz w:val="18"/>
        </w:rPr>
        <w:t>instructions</w:t>
      </w:r>
      <w:r w:rsidRPr="00150EDC">
        <w:rPr>
          <w:spacing w:val="-3"/>
          <w:sz w:val="18"/>
        </w:rPr>
        <w:t xml:space="preserve"> </w:t>
      </w:r>
      <w:r w:rsidRPr="00150EDC">
        <w:rPr>
          <w:sz w:val="18"/>
        </w:rPr>
        <w:t>with</w:t>
      </w:r>
      <w:r w:rsidRPr="00150EDC">
        <w:rPr>
          <w:spacing w:val="-2"/>
          <w:sz w:val="18"/>
        </w:rPr>
        <w:t xml:space="preserve"> </w:t>
      </w:r>
      <w:r w:rsidRPr="00150EDC">
        <w:rPr>
          <w:sz w:val="18"/>
        </w:rPr>
        <w:t>respect</w:t>
      </w:r>
      <w:r w:rsidRPr="00150EDC">
        <w:rPr>
          <w:spacing w:val="-2"/>
          <w:sz w:val="18"/>
        </w:rPr>
        <w:t xml:space="preserve"> </w:t>
      </w:r>
      <w:r w:rsidRPr="00150EDC">
        <w:rPr>
          <w:sz w:val="18"/>
        </w:rPr>
        <w:t>to Processing by the Controller.</w:t>
      </w:r>
    </w:p>
    <w:p w14:paraId="0759DFF2" w14:textId="77777777" w:rsidR="004C7180" w:rsidRPr="00150EDC" w:rsidRDefault="00CF0754" w:rsidP="00B320C7">
      <w:pPr>
        <w:pStyle w:val="ListParagraph"/>
        <w:numPr>
          <w:ilvl w:val="1"/>
          <w:numId w:val="93"/>
        </w:numPr>
        <w:tabs>
          <w:tab w:val="left" w:pos="1587"/>
        </w:tabs>
        <w:spacing w:before="2"/>
        <w:rPr>
          <w:sz w:val="18"/>
        </w:rPr>
      </w:pPr>
      <w:r w:rsidRPr="00150EDC">
        <w:rPr>
          <w:sz w:val="18"/>
        </w:rPr>
        <w:t>Any</w:t>
      </w:r>
      <w:r w:rsidRPr="00150EDC">
        <w:rPr>
          <w:spacing w:val="-5"/>
          <w:sz w:val="18"/>
        </w:rPr>
        <w:t xml:space="preserve"> </w:t>
      </w:r>
      <w:r w:rsidRPr="00150EDC">
        <w:rPr>
          <w:sz w:val="18"/>
        </w:rPr>
        <w:t>such</w:t>
      </w:r>
      <w:r w:rsidRPr="00150EDC">
        <w:rPr>
          <w:spacing w:val="-1"/>
          <w:sz w:val="18"/>
        </w:rPr>
        <w:t xml:space="preserve"> </w:t>
      </w:r>
      <w:r w:rsidRPr="00150EDC">
        <w:rPr>
          <w:sz w:val="18"/>
        </w:rPr>
        <w:t>further</w:t>
      </w:r>
      <w:r w:rsidRPr="00150EDC">
        <w:rPr>
          <w:spacing w:val="-3"/>
          <w:sz w:val="18"/>
        </w:rPr>
        <w:t xml:space="preserve"> </w:t>
      </w:r>
      <w:r w:rsidRPr="00150EDC">
        <w:rPr>
          <w:sz w:val="18"/>
        </w:rPr>
        <w:t>instructions</w:t>
      </w:r>
      <w:r w:rsidRPr="00150EDC">
        <w:rPr>
          <w:spacing w:val="-2"/>
          <w:sz w:val="18"/>
        </w:rPr>
        <w:t xml:space="preserve"> </w:t>
      </w:r>
      <w:r w:rsidRPr="00150EDC">
        <w:rPr>
          <w:sz w:val="18"/>
        </w:rPr>
        <w:t>shall</w:t>
      </w:r>
      <w:r w:rsidRPr="00150EDC">
        <w:rPr>
          <w:spacing w:val="-3"/>
          <w:sz w:val="18"/>
        </w:rPr>
        <w:t xml:space="preserve"> </w:t>
      </w:r>
      <w:r w:rsidRPr="00150EDC">
        <w:rPr>
          <w:sz w:val="18"/>
        </w:rPr>
        <w:t>be</w:t>
      </w:r>
      <w:r w:rsidRPr="00150EDC">
        <w:rPr>
          <w:spacing w:val="-1"/>
          <w:sz w:val="18"/>
        </w:rPr>
        <w:t xml:space="preserve"> </w:t>
      </w:r>
      <w:r w:rsidRPr="00150EDC">
        <w:rPr>
          <w:sz w:val="18"/>
        </w:rPr>
        <w:t>incorporated</w:t>
      </w:r>
      <w:r w:rsidRPr="00150EDC">
        <w:rPr>
          <w:spacing w:val="-4"/>
          <w:sz w:val="18"/>
        </w:rPr>
        <w:t xml:space="preserve"> </w:t>
      </w:r>
      <w:r w:rsidRPr="00150EDC">
        <w:rPr>
          <w:sz w:val="18"/>
        </w:rPr>
        <w:t>into</w:t>
      </w:r>
      <w:r w:rsidRPr="00150EDC">
        <w:rPr>
          <w:spacing w:val="-3"/>
          <w:sz w:val="18"/>
        </w:rPr>
        <w:t xml:space="preserve"> </w:t>
      </w:r>
      <w:r w:rsidRPr="00150EDC">
        <w:rPr>
          <w:sz w:val="18"/>
        </w:rPr>
        <w:t>this</w:t>
      </w:r>
      <w:r w:rsidRPr="00150EDC">
        <w:rPr>
          <w:spacing w:val="-2"/>
          <w:sz w:val="18"/>
        </w:rPr>
        <w:t xml:space="preserve"> Annex.</w:t>
      </w:r>
    </w:p>
    <w:p w14:paraId="1DF1099A" w14:textId="77777777" w:rsidR="004C7180" w:rsidRPr="00150EDC" w:rsidRDefault="004C7180">
      <w:pPr>
        <w:pStyle w:val="BodyText"/>
        <w:rPr>
          <w:sz w:val="20"/>
        </w:rPr>
      </w:pPr>
    </w:p>
    <w:p w14:paraId="430A25BF" w14:textId="55229C30" w:rsidR="004C7180" w:rsidRPr="00150EDC" w:rsidRDefault="00CF0754">
      <w:pPr>
        <w:pStyle w:val="BodyText"/>
        <w:spacing w:before="10"/>
        <w:rPr>
          <w:sz w:val="11"/>
        </w:rPr>
      </w:pPr>
      <w:r w:rsidRPr="00150EDC">
        <w:rPr>
          <w:noProof/>
          <w:lang w:val="en-GB" w:eastAsia="en-GB"/>
        </w:rPr>
        <mc:AlternateContent>
          <mc:Choice Requires="wps">
            <w:drawing>
              <wp:anchor distT="0" distB="0" distL="0" distR="0" simplePos="0" relativeHeight="251658273" behindDoc="1" locked="0" layoutInCell="1" allowOverlap="1" wp14:anchorId="4973C0AE" wp14:editId="78B3BA02">
                <wp:simplePos x="0" y="0"/>
                <wp:positionH relativeFrom="page">
                  <wp:posOffset>633730</wp:posOffset>
                </wp:positionH>
                <wp:positionV relativeFrom="paragraph">
                  <wp:posOffset>101997</wp:posOffset>
                </wp:positionV>
                <wp:extent cx="4638675" cy="4575175"/>
                <wp:effectExtent l="0" t="0" r="0" b="0"/>
                <wp:wrapTopAndBottom/>
                <wp:docPr id="2051272671" name="Text Box 2051272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8675" cy="4575175"/>
                        </a:xfrm>
                        <a:prstGeom prst="rect">
                          <a:avLst/>
                        </a:prstGeom>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5"/>
                              <w:gridCol w:w="83"/>
                              <w:gridCol w:w="5268"/>
                              <w:gridCol w:w="240"/>
                            </w:tblGrid>
                            <w:tr w:rsidR="004C7180" w14:paraId="4507AD3F" w14:textId="7B40BEDD">
                              <w:trPr>
                                <w:trHeight w:val="523"/>
                              </w:trPr>
                              <w:tc>
                                <w:tcPr>
                                  <w:tcW w:w="1705" w:type="dxa"/>
                                  <w:shd w:val="clear" w:color="auto" w:fill="BEBEBE"/>
                                </w:tcPr>
                                <w:p w14:paraId="7FA394C9" w14:textId="7F023D4F" w:rsidR="004C7180" w:rsidRDefault="00CF0754">
                                  <w:pPr>
                                    <w:pStyle w:val="TableParagraph"/>
                                    <w:spacing w:before="68" w:line="240" w:lineRule="auto"/>
                                    <w:ind w:left="85"/>
                                    <w:rPr>
                                      <w:b/>
                                      <w:sz w:val="18"/>
                                    </w:rPr>
                                  </w:pPr>
                                  <w:r>
                                    <w:rPr>
                                      <w:b/>
                                      <w:spacing w:val="-2"/>
                                      <w:sz w:val="18"/>
                                    </w:rPr>
                                    <w:t>Description</w:t>
                                  </w:r>
                                </w:p>
                              </w:tc>
                              <w:tc>
                                <w:tcPr>
                                  <w:tcW w:w="5591" w:type="dxa"/>
                                  <w:gridSpan w:val="3"/>
                                  <w:shd w:val="clear" w:color="auto" w:fill="BEBEBE"/>
                                </w:tcPr>
                                <w:p w14:paraId="418FCF12" w14:textId="064E0C76" w:rsidR="004C7180" w:rsidRDefault="00CF0754">
                                  <w:pPr>
                                    <w:pStyle w:val="TableParagraph"/>
                                    <w:spacing w:before="68" w:line="240" w:lineRule="auto"/>
                                    <w:ind w:left="2485" w:right="2478"/>
                                    <w:jc w:val="center"/>
                                    <w:rPr>
                                      <w:b/>
                                      <w:sz w:val="18"/>
                                    </w:rPr>
                                  </w:pPr>
                                  <w:r>
                                    <w:rPr>
                                      <w:b/>
                                      <w:spacing w:val="-2"/>
                                      <w:sz w:val="18"/>
                                    </w:rPr>
                                    <w:t>Details</w:t>
                                  </w:r>
                                </w:p>
                              </w:tc>
                            </w:tr>
                            <w:tr w:rsidR="004C7180" w14:paraId="3A561E73" w14:textId="6732036D">
                              <w:trPr>
                                <w:trHeight w:val="208"/>
                              </w:trPr>
                              <w:tc>
                                <w:tcPr>
                                  <w:tcW w:w="1705" w:type="dxa"/>
                                  <w:vMerge w:val="restart"/>
                                  <w:tcBorders>
                                    <w:bottom w:val="nil"/>
                                  </w:tcBorders>
                                </w:tcPr>
                                <w:p w14:paraId="528E1D35" w14:textId="3B03877E" w:rsidR="004C7180" w:rsidRDefault="00CF0754">
                                  <w:pPr>
                                    <w:pStyle w:val="TableParagraph"/>
                                    <w:spacing w:before="1" w:line="276" w:lineRule="auto"/>
                                    <w:ind w:left="85" w:right="69"/>
                                    <w:rPr>
                                      <w:sz w:val="18"/>
                                    </w:rPr>
                                  </w:pPr>
                                  <w:r>
                                    <w:rPr>
                                      <w:sz w:val="18"/>
                                    </w:rPr>
                                    <w:t>Identity of Controller</w:t>
                                  </w:r>
                                  <w:r>
                                    <w:rPr>
                                      <w:spacing w:val="-15"/>
                                      <w:sz w:val="18"/>
                                    </w:rPr>
                                    <w:t xml:space="preserve"> </w:t>
                                  </w:r>
                                  <w:r>
                                    <w:rPr>
                                      <w:sz w:val="18"/>
                                    </w:rPr>
                                    <w:t>for</w:t>
                                  </w:r>
                                  <w:r>
                                    <w:rPr>
                                      <w:spacing w:val="-12"/>
                                      <w:sz w:val="18"/>
                                    </w:rPr>
                                    <w:t xml:space="preserve"> </w:t>
                                  </w:r>
                                  <w:r>
                                    <w:rPr>
                                      <w:sz w:val="18"/>
                                    </w:rPr>
                                    <w:t>each Category of Personal Data</w:t>
                                  </w:r>
                                </w:p>
                              </w:tc>
                              <w:tc>
                                <w:tcPr>
                                  <w:tcW w:w="83" w:type="dxa"/>
                                  <w:tcBorders>
                                    <w:bottom w:val="nil"/>
                                    <w:right w:val="single" w:sz="2" w:space="0" w:color="D13438"/>
                                  </w:tcBorders>
                                  <w:shd w:val="clear" w:color="auto" w:fill="F8DCDD"/>
                                </w:tcPr>
                                <w:p w14:paraId="3103537F" w14:textId="1171C75D" w:rsidR="004C7180" w:rsidRPr="00B41FA8" w:rsidRDefault="004C7180" w:rsidP="00B320C7">
                                  <w:pPr>
                                    <w:pStyle w:val="TableParagraph"/>
                                    <w:numPr>
                                      <w:ilvl w:val="0"/>
                                      <w:numId w:val="188"/>
                                    </w:numPr>
                                    <w:spacing w:before="0" w:line="276" w:lineRule="auto"/>
                                    <w:rPr>
                                      <w:spacing w:val="-2"/>
                                      <w:sz w:val="18"/>
                                    </w:rPr>
                                  </w:pPr>
                                </w:p>
                              </w:tc>
                              <w:tc>
                                <w:tcPr>
                                  <w:tcW w:w="5268" w:type="dxa"/>
                                  <w:tcBorders>
                                    <w:left w:val="single" w:sz="2" w:space="0" w:color="D13438"/>
                                    <w:bottom w:val="nil"/>
                                    <w:right w:val="nil"/>
                                  </w:tcBorders>
                                  <w:shd w:val="clear" w:color="auto" w:fill="F8DCDD"/>
                                </w:tcPr>
                                <w:p w14:paraId="67A6EF6C" w14:textId="3B6EBFC2" w:rsidR="004C7180" w:rsidRPr="00AC09F7" w:rsidRDefault="00CF0754" w:rsidP="00B41FA8">
                                  <w:pPr>
                                    <w:pStyle w:val="TableParagraph"/>
                                    <w:spacing w:before="1" w:line="276" w:lineRule="auto"/>
                                    <w:ind w:right="-15"/>
                                    <w:rPr>
                                      <w:spacing w:val="-2"/>
                                      <w:sz w:val="18"/>
                                    </w:rPr>
                                  </w:pPr>
                                  <w:r w:rsidRPr="00AC09F7">
                                    <w:rPr>
                                      <w:spacing w:val="-2"/>
                                      <w:sz w:val="18"/>
                                    </w:rPr>
                                    <w:t>The Relevant Authority is Controller</w:t>
                                  </w:r>
                                  <w:r w:rsidR="00B41FA8" w:rsidRPr="00AC09F7">
                                    <w:rPr>
                                      <w:spacing w:val="-2"/>
                                      <w:sz w:val="18"/>
                                    </w:rPr>
                                    <w:t>,</w:t>
                                  </w:r>
                                  <w:r w:rsidRPr="00AC09F7">
                                    <w:rPr>
                                      <w:spacing w:val="-2"/>
                                      <w:sz w:val="18"/>
                                    </w:rPr>
                                    <w:t xml:space="preserve"> and the Supplier is Processor</w:t>
                                  </w:r>
                                </w:p>
                              </w:tc>
                              <w:tc>
                                <w:tcPr>
                                  <w:tcW w:w="240" w:type="dxa"/>
                                  <w:tcBorders>
                                    <w:left w:val="nil"/>
                                    <w:bottom w:val="nil"/>
                                  </w:tcBorders>
                                  <w:shd w:val="clear" w:color="auto" w:fill="F1F1F1"/>
                                </w:tcPr>
                                <w:p w14:paraId="0A3BFC99" w14:textId="22D8834E" w:rsidR="004C7180" w:rsidRDefault="004C7180">
                                  <w:pPr>
                                    <w:pStyle w:val="TableParagraph"/>
                                    <w:spacing w:before="0" w:line="240" w:lineRule="auto"/>
                                    <w:ind w:left="0"/>
                                    <w:rPr>
                                      <w:rFonts w:ascii="Times New Roman"/>
                                      <w:sz w:val="14"/>
                                    </w:rPr>
                                  </w:pPr>
                                </w:p>
                              </w:tc>
                            </w:tr>
                            <w:tr w:rsidR="004C7180" w14:paraId="71AC13FD" w14:textId="60726FE8">
                              <w:trPr>
                                <w:trHeight w:val="1202"/>
                              </w:trPr>
                              <w:tc>
                                <w:tcPr>
                                  <w:tcW w:w="1705" w:type="dxa"/>
                                  <w:vMerge/>
                                  <w:tcBorders>
                                    <w:top w:val="nil"/>
                                    <w:bottom w:val="nil"/>
                                  </w:tcBorders>
                                </w:tcPr>
                                <w:p w14:paraId="14DAE358" w14:textId="04BA605E" w:rsidR="004C7180" w:rsidRDefault="004C7180">
                                  <w:pPr>
                                    <w:rPr>
                                      <w:sz w:val="2"/>
                                      <w:szCs w:val="2"/>
                                    </w:rPr>
                                  </w:pPr>
                                </w:p>
                              </w:tc>
                              <w:tc>
                                <w:tcPr>
                                  <w:tcW w:w="5591" w:type="dxa"/>
                                  <w:gridSpan w:val="3"/>
                                  <w:tcBorders>
                                    <w:top w:val="nil"/>
                                    <w:bottom w:val="nil"/>
                                  </w:tcBorders>
                                </w:tcPr>
                                <w:p w14:paraId="2C5057F9" w14:textId="7D0F9B9C" w:rsidR="004C7180" w:rsidRPr="00B41FA8" w:rsidRDefault="004C7180" w:rsidP="00B41FA8">
                                  <w:pPr>
                                    <w:pStyle w:val="TableParagraph"/>
                                    <w:spacing w:before="0" w:line="276" w:lineRule="auto"/>
                                    <w:rPr>
                                      <w:spacing w:val="-2"/>
                                      <w:sz w:val="18"/>
                                    </w:rPr>
                                  </w:pPr>
                                </w:p>
                                <w:p w14:paraId="214BBD5B" w14:textId="345949D6" w:rsidR="004C7180" w:rsidRPr="00B41FA8" w:rsidRDefault="00CF0754" w:rsidP="00B41FA8">
                                  <w:pPr>
                                    <w:pStyle w:val="TableParagraph"/>
                                    <w:spacing w:before="0" w:line="276" w:lineRule="auto"/>
                                    <w:ind w:right="162"/>
                                    <w:rPr>
                                      <w:spacing w:val="-2"/>
                                      <w:sz w:val="18"/>
                                    </w:rPr>
                                  </w:pPr>
                                  <w:r w:rsidRPr="00B41FA8">
                                    <w:rPr>
                                      <w:spacing w:val="-2"/>
                                      <w:sz w:val="18"/>
                                    </w:rPr>
                                    <w:t>The Parties acknowledge that in accordance with paragraph 2 to paragraph 15 and for the purposes of the Data Protection Legislation, the Relevant Authority is the Controller and the Supplier is the Processor of the following Personal Data:</w:t>
                                  </w:r>
                                </w:p>
                              </w:tc>
                            </w:tr>
                            <w:tr w:rsidR="004C7180" w14:paraId="42B8A705" w14:textId="01568135">
                              <w:trPr>
                                <w:trHeight w:val="4135"/>
                              </w:trPr>
                              <w:tc>
                                <w:tcPr>
                                  <w:tcW w:w="1705" w:type="dxa"/>
                                  <w:tcBorders>
                                    <w:top w:val="nil"/>
                                  </w:tcBorders>
                                </w:tcPr>
                                <w:p w14:paraId="7187B922" w14:textId="213BF6F8" w:rsidR="004C7180" w:rsidRDefault="004C7180">
                                  <w:pPr>
                                    <w:pStyle w:val="TableParagraph"/>
                                    <w:spacing w:before="0" w:line="240" w:lineRule="auto"/>
                                    <w:ind w:left="0"/>
                                    <w:rPr>
                                      <w:rFonts w:ascii="Times New Roman"/>
                                      <w:sz w:val="16"/>
                                    </w:rPr>
                                  </w:pPr>
                                </w:p>
                              </w:tc>
                              <w:tc>
                                <w:tcPr>
                                  <w:tcW w:w="5591" w:type="dxa"/>
                                  <w:gridSpan w:val="3"/>
                                  <w:tcBorders>
                                    <w:top w:val="nil"/>
                                  </w:tcBorders>
                                </w:tcPr>
                                <w:p w14:paraId="7ED640AA" w14:textId="0BBDB8D1" w:rsidR="004C7180" w:rsidRPr="00B41FA8" w:rsidRDefault="00CF0754" w:rsidP="00B320C7">
                                  <w:pPr>
                                    <w:pStyle w:val="TableParagraph"/>
                                    <w:numPr>
                                      <w:ilvl w:val="0"/>
                                      <w:numId w:val="188"/>
                                    </w:numPr>
                                    <w:spacing w:before="0" w:line="276" w:lineRule="auto"/>
                                    <w:rPr>
                                      <w:spacing w:val="-2"/>
                                      <w:sz w:val="18"/>
                                    </w:rPr>
                                  </w:pPr>
                                  <w:r w:rsidRPr="00B41FA8">
                                    <w:rPr>
                                      <w:spacing w:val="-2"/>
                                      <w:sz w:val="18"/>
                                    </w:rPr>
                                    <w:t>Names and contact details of Multiply RCT participants – email addresses and phone numbers</w:t>
                                  </w:r>
                                </w:p>
                                <w:p w14:paraId="7C7BA893" w14:textId="39E49369" w:rsidR="004C7180" w:rsidRPr="00B41FA8" w:rsidRDefault="00CF0754" w:rsidP="00B320C7">
                                  <w:pPr>
                                    <w:pStyle w:val="TableParagraph"/>
                                    <w:numPr>
                                      <w:ilvl w:val="0"/>
                                      <w:numId w:val="188"/>
                                    </w:numPr>
                                    <w:spacing w:before="0" w:line="276" w:lineRule="auto"/>
                                    <w:rPr>
                                      <w:spacing w:val="-2"/>
                                      <w:sz w:val="18"/>
                                    </w:rPr>
                                  </w:pPr>
                                  <w:r w:rsidRPr="00B41FA8">
                                    <w:rPr>
                                      <w:spacing w:val="-2"/>
                                      <w:sz w:val="18"/>
                                    </w:rPr>
                                    <w:t>Profile of Multiply RCT participants – age, gender, ethnicity, health/disability status, employment status, prior qualifications, location, pre/post numeracy levels</w:t>
                                  </w:r>
                                </w:p>
                                <w:p w14:paraId="2EFF021E" w14:textId="02319121" w:rsidR="004C7180" w:rsidRPr="00B41FA8" w:rsidRDefault="00CF0754" w:rsidP="00B320C7">
                                  <w:pPr>
                                    <w:pStyle w:val="TableParagraph"/>
                                    <w:numPr>
                                      <w:ilvl w:val="0"/>
                                      <w:numId w:val="188"/>
                                    </w:numPr>
                                    <w:spacing w:before="0" w:line="276" w:lineRule="auto"/>
                                    <w:rPr>
                                      <w:spacing w:val="-2"/>
                                      <w:sz w:val="18"/>
                                    </w:rPr>
                                  </w:pPr>
                                  <w:r w:rsidRPr="00B41FA8">
                                    <w:rPr>
                                      <w:spacing w:val="-2"/>
                                      <w:sz w:val="18"/>
                                    </w:rPr>
                                    <w:t>Details of participants’ engagement with Multiply RCT programmes – dates of engagement / participation, nature of engagement / participation, attainment</w:t>
                                  </w:r>
                                </w:p>
                                <w:p w14:paraId="08011656" w14:textId="3D99CA8D" w:rsidR="004C7180" w:rsidRPr="00B41FA8" w:rsidRDefault="00CF0754" w:rsidP="00B320C7">
                                  <w:pPr>
                                    <w:pStyle w:val="TableParagraph"/>
                                    <w:numPr>
                                      <w:ilvl w:val="0"/>
                                      <w:numId w:val="188"/>
                                    </w:numPr>
                                    <w:spacing w:before="0" w:line="276" w:lineRule="auto"/>
                                    <w:rPr>
                                      <w:spacing w:val="-2"/>
                                      <w:sz w:val="18"/>
                                    </w:rPr>
                                  </w:pPr>
                                  <w:r w:rsidRPr="00B41FA8">
                                    <w:rPr>
                                      <w:spacing w:val="-2"/>
                                      <w:sz w:val="18"/>
                                    </w:rPr>
                                    <w:t>Names and contact details of staff delivering Multiply RCT programmes – email addresses and phone numbers</w:t>
                                  </w:r>
                                </w:p>
                                <w:p w14:paraId="2CC2A820" w14:textId="1205BDFE" w:rsidR="004C7180" w:rsidRDefault="00CF0754" w:rsidP="00B320C7">
                                  <w:pPr>
                                    <w:pStyle w:val="TableParagraph"/>
                                    <w:numPr>
                                      <w:ilvl w:val="0"/>
                                      <w:numId w:val="188"/>
                                    </w:numPr>
                                    <w:spacing w:before="0" w:line="276" w:lineRule="auto"/>
                                    <w:rPr>
                                      <w:sz w:val="18"/>
                                    </w:rPr>
                                  </w:pPr>
                                  <w:r w:rsidRPr="00B41FA8">
                                    <w:rPr>
                                      <w:spacing w:val="-2"/>
                                      <w:sz w:val="18"/>
                                    </w:rPr>
                                    <w:t>Names and contact details (email addresses and phone numbers) of staff representing local authorities and learning providers, to contact them for recruitment to Multiply RCTs</w:t>
                                  </w:r>
                                </w:p>
                              </w:tc>
                            </w:tr>
                            <w:tr w:rsidR="004C7180" w14:paraId="5CBFA57C" w14:textId="3A5E8F3A">
                              <w:trPr>
                                <w:trHeight w:val="1098"/>
                              </w:trPr>
                              <w:tc>
                                <w:tcPr>
                                  <w:tcW w:w="1705" w:type="dxa"/>
                                </w:tcPr>
                                <w:p w14:paraId="40EC4B06" w14:textId="4A0F4FFD" w:rsidR="004C7180" w:rsidRDefault="00CF0754">
                                  <w:pPr>
                                    <w:pStyle w:val="TableParagraph"/>
                                    <w:spacing w:before="0" w:line="276" w:lineRule="auto"/>
                                    <w:ind w:left="85"/>
                                    <w:rPr>
                                      <w:sz w:val="18"/>
                                    </w:rPr>
                                  </w:pPr>
                                  <w:r>
                                    <w:rPr>
                                      <w:sz w:val="18"/>
                                    </w:rPr>
                                    <w:t>Duration</w:t>
                                  </w:r>
                                  <w:r>
                                    <w:rPr>
                                      <w:spacing w:val="-15"/>
                                      <w:sz w:val="18"/>
                                    </w:rPr>
                                    <w:t xml:space="preserve"> </w:t>
                                  </w:r>
                                  <w:r>
                                    <w:rPr>
                                      <w:sz w:val="18"/>
                                    </w:rPr>
                                    <w:t>of</w:t>
                                  </w:r>
                                  <w:r>
                                    <w:rPr>
                                      <w:spacing w:val="-12"/>
                                      <w:sz w:val="18"/>
                                    </w:rPr>
                                    <w:t xml:space="preserve"> </w:t>
                                  </w:r>
                                  <w:r>
                                    <w:rPr>
                                      <w:sz w:val="18"/>
                                    </w:rPr>
                                    <w:t xml:space="preserve">the </w:t>
                                  </w:r>
                                  <w:r>
                                    <w:rPr>
                                      <w:spacing w:val="-2"/>
                                      <w:sz w:val="18"/>
                                    </w:rPr>
                                    <w:t>Processing</w:t>
                                  </w:r>
                                </w:p>
                              </w:tc>
                              <w:tc>
                                <w:tcPr>
                                  <w:tcW w:w="5591" w:type="dxa"/>
                                  <w:gridSpan w:val="3"/>
                                </w:tcPr>
                                <w:p w14:paraId="440707B6" w14:textId="22DD7680" w:rsidR="004C7180" w:rsidRDefault="00CF0754" w:rsidP="00B41FA8">
                                  <w:pPr>
                                    <w:pStyle w:val="TableParagraph"/>
                                    <w:spacing w:before="0" w:line="276" w:lineRule="auto"/>
                                    <w:ind w:left="85"/>
                                    <w:rPr>
                                      <w:sz w:val="18"/>
                                    </w:rPr>
                                  </w:pPr>
                                  <w:r w:rsidRPr="00B41FA8">
                                    <w:rPr>
                                      <w:spacing w:val="-2"/>
                                      <w:sz w:val="18"/>
                                    </w:rPr>
                                    <w:t xml:space="preserve">Throughout the duration of the </w:t>
                                  </w:r>
                                  <w:r w:rsidR="00ED75D4" w:rsidRPr="00B41FA8">
                                    <w:rPr>
                                      <w:spacing w:val="-2"/>
                                      <w:sz w:val="18"/>
                                    </w:rPr>
                                    <w:t>C</w:t>
                                  </w:r>
                                  <w:r w:rsidRPr="00B41FA8">
                                    <w:rPr>
                                      <w:spacing w:val="-2"/>
                                      <w:sz w:val="18"/>
                                    </w:rPr>
                                    <w:t>ontract</w:t>
                                  </w:r>
                                </w:p>
                              </w:tc>
                            </w:tr>
                          </w:tbl>
                          <w:p w14:paraId="3F3C741E" w14:textId="77777777" w:rsidR="004C7180" w:rsidRDefault="004C7180">
                            <w:pPr>
                              <w:pStyle w:val="BodyText"/>
                            </w:pPr>
                          </w:p>
                        </w:txbxContent>
                      </wps:txbx>
                      <wps:bodyPr wrap="square" lIns="0" tIns="0" rIns="0" bIns="0" rtlCol="0">
                        <a:noAutofit/>
                      </wps:bodyPr>
                    </wps:wsp>
                  </a:graphicData>
                </a:graphic>
              </wp:anchor>
            </w:drawing>
          </mc:Choice>
          <mc:Fallback>
            <w:pict>
              <v:shapetype w14:anchorId="4973C0AE" id="_x0000_t202" coordsize="21600,21600" o:spt="202" path="m,l,21600r21600,l21600,xe">
                <v:stroke joinstyle="miter"/>
                <v:path gradientshapeok="t" o:connecttype="rect"/>
              </v:shapetype>
              <v:shape id="Text Box 2051272671" o:spid="_x0000_s1026" type="#_x0000_t202" style="position:absolute;margin-left:49.9pt;margin-top:8.05pt;width:365.25pt;height:360.25pt;z-index:-25165820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5"/>
                        <w:gridCol w:w="83"/>
                        <w:gridCol w:w="5268"/>
                        <w:gridCol w:w="240"/>
                      </w:tblGrid>
                      <w:tr w:rsidR="004C7180" w14:paraId="4507AD3F" w14:textId="7B40BEDD">
                        <w:trPr>
                          <w:trHeight w:val="523"/>
                        </w:trPr>
                        <w:tc>
                          <w:tcPr>
                            <w:tcW w:w="1705" w:type="dxa"/>
                            <w:shd w:val="clear" w:color="auto" w:fill="BEBEBE"/>
                          </w:tcPr>
                          <w:p w14:paraId="7FA394C9" w14:textId="7F023D4F" w:rsidR="004C7180" w:rsidRDefault="00CF0754">
                            <w:pPr>
                              <w:pStyle w:val="TableParagraph"/>
                              <w:spacing w:before="68" w:line="240" w:lineRule="auto"/>
                              <w:ind w:left="85"/>
                              <w:rPr>
                                <w:b/>
                                <w:sz w:val="18"/>
                              </w:rPr>
                            </w:pPr>
                            <w:r>
                              <w:rPr>
                                <w:b/>
                                <w:spacing w:val="-2"/>
                                <w:sz w:val="18"/>
                              </w:rPr>
                              <w:t>Description</w:t>
                            </w:r>
                          </w:p>
                        </w:tc>
                        <w:tc>
                          <w:tcPr>
                            <w:tcW w:w="5591" w:type="dxa"/>
                            <w:gridSpan w:val="3"/>
                            <w:shd w:val="clear" w:color="auto" w:fill="BEBEBE"/>
                          </w:tcPr>
                          <w:p w14:paraId="418FCF12" w14:textId="064E0C76" w:rsidR="004C7180" w:rsidRDefault="00CF0754">
                            <w:pPr>
                              <w:pStyle w:val="TableParagraph"/>
                              <w:spacing w:before="68" w:line="240" w:lineRule="auto"/>
                              <w:ind w:left="2485" w:right="2478"/>
                              <w:jc w:val="center"/>
                              <w:rPr>
                                <w:b/>
                                <w:sz w:val="18"/>
                              </w:rPr>
                            </w:pPr>
                            <w:r>
                              <w:rPr>
                                <w:b/>
                                <w:spacing w:val="-2"/>
                                <w:sz w:val="18"/>
                              </w:rPr>
                              <w:t>Details</w:t>
                            </w:r>
                          </w:p>
                        </w:tc>
                      </w:tr>
                      <w:tr w:rsidR="004C7180" w14:paraId="3A561E73" w14:textId="6732036D">
                        <w:trPr>
                          <w:trHeight w:val="208"/>
                        </w:trPr>
                        <w:tc>
                          <w:tcPr>
                            <w:tcW w:w="1705" w:type="dxa"/>
                            <w:vMerge w:val="restart"/>
                            <w:tcBorders>
                              <w:bottom w:val="nil"/>
                            </w:tcBorders>
                          </w:tcPr>
                          <w:p w14:paraId="528E1D35" w14:textId="3B03877E" w:rsidR="004C7180" w:rsidRDefault="00CF0754">
                            <w:pPr>
                              <w:pStyle w:val="TableParagraph"/>
                              <w:spacing w:before="1" w:line="276" w:lineRule="auto"/>
                              <w:ind w:left="85" w:right="69"/>
                              <w:rPr>
                                <w:sz w:val="18"/>
                              </w:rPr>
                            </w:pPr>
                            <w:r>
                              <w:rPr>
                                <w:sz w:val="18"/>
                              </w:rPr>
                              <w:t>Identity of Controller</w:t>
                            </w:r>
                            <w:r>
                              <w:rPr>
                                <w:spacing w:val="-15"/>
                                <w:sz w:val="18"/>
                              </w:rPr>
                              <w:t xml:space="preserve"> </w:t>
                            </w:r>
                            <w:r>
                              <w:rPr>
                                <w:sz w:val="18"/>
                              </w:rPr>
                              <w:t>for</w:t>
                            </w:r>
                            <w:r>
                              <w:rPr>
                                <w:spacing w:val="-12"/>
                                <w:sz w:val="18"/>
                              </w:rPr>
                              <w:t xml:space="preserve"> </w:t>
                            </w:r>
                            <w:r>
                              <w:rPr>
                                <w:sz w:val="18"/>
                              </w:rPr>
                              <w:t>each Category of Personal Data</w:t>
                            </w:r>
                          </w:p>
                        </w:tc>
                        <w:tc>
                          <w:tcPr>
                            <w:tcW w:w="83" w:type="dxa"/>
                            <w:tcBorders>
                              <w:bottom w:val="nil"/>
                              <w:right w:val="single" w:sz="2" w:space="0" w:color="D13438"/>
                            </w:tcBorders>
                            <w:shd w:val="clear" w:color="auto" w:fill="F8DCDD"/>
                          </w:tcPr>
                          <w:p w14:paraId="3103537F" w14:textId="1171C75D" w:rsidR="004C7180" w:rsidRPr="00B41FA8" w:rsidRDefault="004C7180" w:rsidP="00B320C7">
                            <w:pPr>
                              <w:pStyle w:val="TableParagraph"/>
                              <w:numPr>
                                <w:ilvl w:val="0"/>
                                <w:numId w:val="188"/>
                              </w:numPr>
                              <w:spacing w:before="0" w:line="276" w:lineRule="auto"/>
                              <w:rPr>
                                <w:spacing w:val="-2"/>
                                <w:sz w:val="18"/>
                              </w:rPr>
                            </w:pPr>
                          </w:p>
                        </w:tc>
                        <w:tc>
                          <w:tcPr>
                            <w:tcW w:w="5268" w:type="dxa"/>
                            <w:tcBorders>
                              <w:left w:val="single" w:sz="2" w:space="0" w:color="D13438"/>
                              <w:bottom w:val="nil"/>
                              <w:right w:val="nil"/>
                            </w:tcBorders>
                            <w:shd w:val="clear" w:color="auto" w:fill="F8DCDD"/>
                          </w:tcPr>
                          <w:p w14:paraId="67A6EF6C" w14:textId="3B6EBFC2" w:rsidR="004C7180" w:rsidRPr="00AC09F7" w:rsidRDefault="00CF0754" w:rsidP="00B41FA8">
                            <w:pPr>
                              <w:pStyle w:val="TableParagraph"/>
                              <w:spacing w:before="1" w:line="276" w:lineRule="auto"/>
                              <w:ind w:right="-15"/>
                              <w:rPr>
                                <w:spacing w:val="-2"/>
                                <w:sz w:val="18"/>
                              </w:rPr>
                            </w:pPr>
                            <w:r w:rsidRPr="00AC09F7">
                              <w:rPr>
                                <w:spacing w:val="-2"/>
                                <w:sz w:val="18"/>
                              </w:rPr>
                              <w:t>The Relevant Authority is Controller</w:t>
                            </w:r>
                            <w:r w:rsidR="00B41FA8" w:rsidRPr="00AC09F7">
                              <w:rPr>
                                <w:spacing w:val="-2"/>
                                <w:sz w:val="18"/>
                              </w:rPr>
                              <w:t>,</w:t>
                            </w:r>
                            <w:r w:rsidRPr="00AC09F7">
                              <w:rPr>
                                <w:spacing w:val="-2"/>
                                <w:sz w:val="18"/>
                              </w:rPr>
                              <w:t xml:space="preserve"> and the Supplier is Processor</w:t>
                            </w:r>
                          </w:p>
                        </w:tc>
                        <w:tc>
                          <w:tcPr>
                            <w:tcW w:w="240" w:type="dxa"/>
                            <w:tcBorders>
                              <w:left w:val="nil"/>
                              <w:bottom w:val="nil"/>
                            </w:tcBorders>
                            <w:shd w:val="clear" w:color="auto" w:fill="F1F1F1"/>
                          </w:tcPr>
                          <w:p w14:paraId="0A3BFC99" w14:textId="22D8834E" w:rsidR="004C7180" w:rsidRDefault="004C7180">
                            <w:pPr>
                              <w:pStyle w:val="TableParagraph"/>
                              <w:spacing w:before="0" w:line="240" w:lineRule="auto"/>
                              <w:ind w:left="0"/>
                              <w:rPr>
                                <w:rFonts w:ascii="Times New Roman"/>
                                <w:sz w:val="14"/>
                              </w:rPr>
                            </w:pPr>
                          </w:p>
                        </w:tc>
                      </w:tr>
                      <w:tr w:rsidR="004C7180" w14:paraId="71AC13FD" w14:textId="60726FE8">
                        <w:trPr>
                          <w:trHeight w:val="1202"/>
                        </w:trPr>
                        <w:tc>
                          <w:tcPr>
                            <w:tcW w:w="1705" w:type="dxa"/>
                            <w:vMerge/>
                            <w:tcBorders>
                              <w:top w:val="nil"/>
                              <w:bottom w:val="nil"/>
                            </w:tcBorders>
                          </w:tcPr>
                          <w:p w14:paraId="14DAE358" w14:textId="04BA605E" w:rsidR="004C7180" w:rsidRDefault="004C7180">
                            <w:pPr>
                              <w:rPr>
                                <w:sz w:val="2"/>
                                <w:szCs w:val="2"/>
                              </w:rPr>
                            </w:pPr>
                          </w:p>
                        </w:tc>
                        <w:tc>
                          <w:tcPr>
                            <w:tcW w:w="5591" w:type="dxa"/>
                            <w:gridSpan w:val="3"/>
                            <w:tcBorders>
                              <w:top w:val="nil"/>
                              <w:bottom w:val="nil"/>
                            </w:tcBorders>
                          </w:tcPr>
                          <w:p w14:paraId="2C5057F9" w14:textId="7D0F9B9C" w:rsidR="004C7180" w:rsidRPr="00B41FA8" w:rsidRDefault="004C7180" w:rsidP="00B41FA8">
                            <w:pPr>
                              <w:pStyle w:val="TableParagraph"/>
                              <w:spacing w:before="0" w:line="276" w:lineRule="auto"/>
                              <w:rPr>
                                <w:spacing w:val="-2"/>
                                <w:sz w:val="18"/>
                              </w:rPr>
                            </w:pPr>
                          </w:p>
                          <w:p w14:paraId="214BBD5B" w14:textId="345949D6" w:rsidR="004C7180" w:rsidRPr="00B41FA8" w:rsidRDefault="00CF0754" w:rsidP="00B41FA8">
                            <w:pPr>
                              <w:pStyle w:val="TableParagraph"/>
                              <w:spacing w:before="0" w:line="276" w:lineRule="auto"/>
                              <w:ind w:right="162"/>
                              <w:rPr>
                                <w:spacing w:val="-2"/>
                                <w:sz w:val="18"/>
                              </w:rPr>
                            </w:pPr>
                            <w:r w:rsidRPr="00B41FA8">
                              <w:rPr>
                                <w:spacing w:val="-2"/>
                                <w:sz w:val="18"/>
                              </w:rPr>
                              <w:t>The Parties acknowledge that in accordance with paragraph 2 to paragraph 15 and for the purposes of the Data Protection Legislation, the Relevant Authority is the Controller and the Supplier is the Processor of the following Personal Data:</w:t>
                            </w:r>
                          </w:p>
                        </w:tc>
                      </w:tr>
                      <w:tr w:rsidR="004C7180" w14:paraId="42B8A705" w14:textId="01568135">
                        <w:trPr>
                          <w:trHeight w:val="4135"/>
                        </w:trPr>
                        <w:tc>
                          <w:tcPr>
                            <w:tcW w:w="1705" w:type="dxa"/>
                            <w:tcBorders>
                              <w:top w:val="nil"/>
                            </w:tcBorders>
                          </w:tcPr>
                          <w:p w14:paraId="7187B922" w14:textId="213BF6F8" w:rsidR="004C7180" w:rsidRDefault="004C7180">
                            <w:pPr>
                              <w:pStyle w:val="TableParagraph"/>
                              <w:spacing w:before="0" w:line="240" w:lineRule="auto"/>
                              <w:ind w:left="0"/>
                              <w:rPr>
                                <w:rFonts w:ascii="Times New Roman"/>
                                <w:sz w:val="16"/>
                              </w:rPr>
                            </w:pPr>
                          </w:p>
                        </w:tc>
                        <w:tc>
                          <w:tcPr>
                            <w:tcW w:w="5591" w:type="dxa"/>
                            <w:gridSpan w:val="3"/>
                            <w:tcBorders>
                              <w:top w:val="nil"/>
                            </w:tcBorders>
                          </w:tcPr>
                          <w:p w14:paraId="7ED640AA" w14:textId="0BBDB8D1" w:rsidR="004C7180" w:rsidRPr="00B41FA8" w:rsidRDefault="00CF0754" w:rsidP="00B320C7">
                            <w:pPr>
                              <w:pStyle w:val="TableParagraph"/>
                              <w:numPr>
                                <w:ilvl w:val="0"/>
                                <w:numId w:val="188"/>
                              </w:numPr>
                              <w:spacing w:before="0" w:line="276" w:lineRule="auto"/>
                              <w:rPr>
                                <w:spacing w:val="-2"/>
                                <w:sz w:val="18"/>
                              </w:rPr>
                            </w:pPr>
                            <w:r w:rsidRPr="00B41FA8">
                              <w:rPr>
                                <w:spacing w:val="-2"/>
                                <w:sz w:val="18"/>
                              </w:rPr>
                              <w:t>Names and contact details of Multiply RCT participants – email addresses and phone numbers</w:t>
                            </w:r>
                          </w:p>
                          <w:p w14:paraId="7C7BA893" w14:textId="39E49369" w:rsidR="004C7180" w:rsidRPr="00B41FA8" w:rsidRDefault="00CF0754" w:rsidP="00B320C7">
                            <w:pPr>
                              <w:pStyle w:val="TableParagraph"/>
                              <w:numPr>
                                <w:ilvl w:val="0"/>
                                <w:numId w:val="188"/>
                              </w:numPr>
                              <w:spacing w:before="0" w:line="276" w:lineRule="auto"/>
                              <w:rPr>
                                <w:spacing w:val="-2"/>
                                <w:sz w:val="18"/>
                              </w:rPr>
                            </w:pPr>
                            <w:r w:rsidRPr="00B41FA8">
                              <w:rPr>
                                <w:spacing w:val="-2"/>
                                <w:sz w:val="18"/>
                              </w:rPr>
                              <w:t>Profile of Multiply RCT participants – age, gender, ethnicity, health/disability status, employment status, prior qualifications, location, pre/post numeracy levels</w:t>
                            </w:r>
                          </w:p>
                          <w:p w14:paraId="2EFF021E" w14:textId="02319121" w:rsidR="004C7180" w:rsidRPr="00B41FA8" w:rsidRDefault="00CF0754" w:rsidP="00B320C7">
                            <w:pPr>
                              <w:pStyle w:val="TableParagraph"/>
                              <w:numPr>
                                <w:ilvl w:val="0"/>
                                <w:numId w:val="188"/>
                              </w:numPr>
                              <w:spacing w:before="0" w:line="276" w:lineRule="auto"/>
                              <w:rPr>
                                <w:spacing w:val="-2"/>
                                <w:sz w:val="18"/>
                              </w:rPr>
                            </w:pPr>
                            <w:r w:rsidRPr="00B41FA8">
                              <w:rPr>
                                <w:spacing w:val="-2"/>
                                <w:sz w:val="18"/>
                              </w:rPr>
                              <w:t>Details of participants’ engagement with Multiply RCT programmes – dates of engagement / participation, nature of engagement / participation, attainment</w:t>
                            </w:r>
                          </w:p>
                          <w:p w14:paraId="08011656" w14:textId="3D99CA8D" w:rsidR="004C7180" w:rsidRPr="00B41FA8" w:rsidRDefault="00CF0754" w:rsidP="00B320C7">
                            <w:pPr>
                              <w:pStyle w:val="TableParagraph"/>
                              <w:numPr>
                                <w:ilvl w:val="0"/>
                                <w:numId w:val="188"/>
                              </w:numPr>
                              <w:spacing w:before="0" w:line="276" w:lineRule="auto"/>
                              <w:rPr>
                                <w:spacing w:val="-2"/>
                                <w:sz w:val="18"/>
                              </w:rPr>
                            </w:pPr>
                            <w:r w:rsidRPr="00B41FA8">
                              <w:rPr>
                                <w:spacing w:val="-2"/>
                                <w:sz w:val="18"/>
                              </w:rPr>
                              <w:t>Names and contact details of staff delivering Multiply RCT programmes – email addresses and phone numbers</w:t>
                            </w:r>
                          </w:p>
                          <w:p w14:paraId="2CC2A820" w14:textId="1205BDFE" w:rsidR="004C7180" w:rsidRDefault="00CF0754" w:rsidP="00B320C7">
                            <w:pPr>
                              <w:pStyle w:val="TableParagraph"/>
                              <w:numPr>
                                <w:ilvl w:val="0"/>
                                <w:numId w:val="188"/>
                              </w:numPr>
                              <w:spacing w:before="0" w:line="276" w:lineRule="auto"/>
                              <w:rPr>
                                <w:sz w:val="18"/>
                              </w:rPr>
                            </w:pPr>
                            <w:r w:rsidRPr="00B41FA8">
                              <w:rPr>
                                <w:spacing w:val="-2"/>
                                <w:sz w:val="18"/>
                              </w:rPr>
                              <w:t>Names and contact details (email addresses and phone numbers) of staff representing local authorities and learning providers, to contact them for recruitment to Multiply RCTs</w:t>
                            </w:r>
                          </w:p>
                        </w:tc>
                      </w:tr>
                      <w:tr w:rsidR="004C7180" w14:paraId="5CBFA57C" w14:textId="3A5E8F3A">
                        <w:trPr>
                          <w:trHeight w:val="1098"/>
                        </w:trPr>
                        <w:tc>
                          <w:tcPr>
                            <w:tcW w:w="1705" w:type="dxa"/>
                          </w:tcPr>
                          <w:p w14:paraId="40EC4B06" w14:textId="4A0F4FFD" w:rsidR="004C7180" w:rsidRDefault="00CF0754">
                            <w:pPr>
                              <w:pStyle w:val="TableParagraph"/>
                              <w:spacing w:before="0" w:line="276" w:lineRule="auto"/>
                              <w:ind w:left="85"/>
                              <w:rPr>
                                <w:sz w:val="18"/>
                              </w:rPr>
                            </w:pPr>
                            <w:r>
                              <w:rPr>
                                <w:sz w:val="18"/>
                              </w:rPr>
                              <w:t>Duration</w:t>
                            </w:r>
                            <w:r>
                              <w:rPr>
                                <w:spacing w:val="-15"/>
                                <w:sz w:val="18"/>
                              </w:rPr>
                              <w:t xml:space="preserve"> </w:t>
                            </w:r>
                            <w:r>
                              <w:rPr>
                                <w:sz w:val="18"/>
                              </w:rPr>
                              <w:t>of</w:t>
                            </w:r>
                            <w:r>
                              <w:rPr>
                                <w:spacing w:val="-12"/>
                                <w:sz w:val="18"/>
                              </w:rPr>
                              <w:t xml:space="preserve"> </w:t>
                            </w:r>
                            <w:r>
                              <w:rPr>
                                <w:sz w:val="18"/>
                              </w:rPr>
                              <w:t xml:space="preserve">the </w:t>
                            </w:r>
                            <w:r>
                              <w:rPr>
                                <w:spacing w:val="-2"/>
                                <w:sz w:val="18"/>
                              </w:rPr>
                              <w:t>Processing</w:t>
                            </w:r>
                          </w:p>
                        </w:tc>
                        <w:tc>
                          <w:tcPr>
                            <w:tcW w:w="5591" w:type="dxa"/>
                            <w:gridSpan w:val="3"/>
                          </w:tcPr>
                          <w:p w14:paraId="440707B6" w14:textId="22DD7680" w:rsidR="004C7180" w:rsidRDefault="00CF0754" w:rsidP="00B41FA8">
                            <w:pPr>
                              <w:pStyle w:val="TableParagraph"/>
                              <w:spacing w:before="0" w:line="276" w:lineRule="auto"/>
                              <w:ind w:left="85"/>
                              <w:rPr>
                                <w:sz w:val="18"/>
                              </w:rPr>
                            </w:pPr>
                            <w:r w:rsidRPr="00B41FA8">
                              <w:rPr>
                                <w:spacing w:val="-2"/>
                                <w:sz w:val="18"/>
                              </w:rPr>
                              <w:t xml:space="preserve">Throughout the duration of the </w:t>
                            </w:r>
                            <w:r w:rsidR="00ED75D4" w:rsidRPr="00B41FA8">
                              <w:rPr>
                                <w:spacing w:val="-2"/>
                                <w:sz w:val="18"/>
                              </w:rPr>
                              <w:t>C</w:t>
                            </w:r>
                            <w:r w:rsidRPr="00B41FA8">
                              <w:rPr>
                                <w:spacing w:val="-2"/>
                                <w:sz w:val="18"/>
                              </w:rPr>
                              <w:t>ontract</w:t>
                            </w:r>
                          </w:p>
                        </w:tc>
                      </w:tr>
                    </w:tbl>
                    <w:p w14:paraId="3F3C741E" w14:textId="77777777" w:rsidR="004C7180" w:rsidRDefault="004C7180">
                      <w:pPr>
                        <w:pStyle w:val="BodyText"/>
                      </w:pPr>
                    </w:p>
                  </w:txbxContent>
                </v:textbox>
                <w10:wrap type="topAndBottom" anchorx="page"/>
              </v:shape>
            </w:pict>
          </mc:Fallback>
        </mc:AlternateContent>
      </w:r>
    </w:p>
    <w:p w14:paraId="7756F131" w14:textId="77777777" w:rsidR="004C7180" w:rsidRPr="00150EDC" w:rsidRDefault="004C7180">
      <w:pPr>
        <w:pStyle w:val="BodyText"/>
        <w:spacing w:before="2"/>
        <w:rPr>
          <w:sz w:val="16"/>
        </w:rPr>
      </w:pPr>
    </w:p>
    <w:p w14:paraId="5D6FD8B7" w14:textId="77777777" w:rsidR="004C7180" w:rsidRPr="00150EDC" w:rsidRDefault="00CF0754">
      <w:pPr>
        <w:ind w:left="1044"/>
        <w:rPr>
          <w:sz w:val="15"/>
        </w:rPr>
      </w:pPr>
      <w:r w:rsidRPr="00150EDC">
        <w:rPr>
          <w:noProof/>
          <w:lang w:val="en-GB" w:eastAsia="en-GB"/>
        </w:rPr>
        <mc:AlternateContent>
          <mc:Choice Requires="wps">
            <w:drawing>
              <wp:anchor distT="0" distB="0" distL="0" distR="0" simplePos="0" relativeHeight="251658246" behindDoc="0" locked="0" layoutInCell="1" allowOverlap="1" wp14:anchorId="092DD7CF" wp14:editId="3EBCC60A">
                <wp:simplePos x="0" y="0"/>
                <wp:positionH relativeFrom="page">
                  <wp:posOffset>5049255</wp:posOffset>
                </wp:positionH>
                <wp:positionV relativeFrom="paragraph">
                  <wp:posOffset>-1264242</wp:posOffset>
                </wp:positionV>
                <wp:extent cx="252729" cy="74930"/>
                <wp:effectExtent l="0" t="0" r="0" b="0"/>
                <wp:wrapNone/>
                <wp:docPr id="1698625802" name="Free-form: Shape 16986258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729" cy="74930"/>
                        </a:xfrm>
                        <a:custGeom>
                          <a:avLst/>
                          <a:gdLst/>
                          <a:ahLst/>
                          <a:cxnLst/>
                          <a:rect l="l" t="t" r="r" b="b"/>
                          <a:pathLst>
                            <a:path w="252729" h="74930">
                              <a:moveTo>
                                <a:pt x="252577" y="0"/>
                              </a:moveTo>
                              <a:lnTo>
                                <a:pt x="0" y="74625"/>
                              </a:lnTo>
                            </a:path>
                          </a:pathLst>
                        </a:custGeom>
                        <a:ln w="1143">
                          <a:solidFill>
                            <a:srgbClr val="D13438"/>
                          </a:solidFill>
                          <a:prstDash val="dot"/>
                        </a:ln>
                      </wps:spPr>
                      <wps:bodyPr wrap="square" lIns="0" tIns="0" rIns="0" bIns="0" rtlCol="0">
                        <a:prstTxWarp prst="textNoShape">
                          <a:avLst/>
                        </a:prstTxWarp>
                        <a:noAutofit/>
                      </wps:bodyPr>
                    </wps:wsp>
                  </a:graphicData>
                </a:graphic>
              </wp:anchor>
            </w:drawing>
          </mc:Choice>
          <mc:Fallback>
            <w:pict>
              <v:shape w14:anchorId="53DE6EF6" id="Free-form: Shape 1698625802" o:spid="_x0000_s1026" style="position:absolute;margin-left:397.6pt;margin-top:-99.55pt;width:19.9pt;height:5.9pt;z-index:251658246;visibility:visible;mso-wrap-style:square;mso-wrap-distance-left:0;mso-wrap-distance-top:0;mso-wrap-distance-right:0;mso-wrap-distance-bottom:0;mso-position-horizontal:absolute;mso-position-horizontal-relative:page;mso-position-vertical:absolute;mso-position-vertical-relative:text;v-text-anchor:top" coordsize="252729,74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" path="m252577,l,74625e" filled="f" strokecolor="#d13438" strokeweight=".09pt">
                <v:stroke dashstyle="dot"/>
                <v:path arrowok="t"/>
                <w10:wrap anchorx="page"/>
              </v:shape>
            </w:pict>
          </mc:Fallback>
        </mc:AlternateContent>
      </w:r>
      <w:r w:rsidRPr="00150EDC">
        <w:rPr>
          <w:sz w:val="15"/>
        </w:rPr>
        <w:t>DPS</w:t>
      </w:r>
      <w:r w:rsidRPr="00150EDC">
        <w:rPr>
          <w:spacing w:val="-3"/>
          <w:sz w:val="15"/>
        </w:rPr>
        <w:t xml:space="preserve"> </w:t>
      </w:r>
      <w:r w:rsidRPr="00150EDC">
        <w:rPr>
          <w:sz w:val="15"/>
        </w:rPr>
        <w:t xml:space="preserve">Ref: </w:t>
      </w:r>
      <w:r w:rsidRPr="00150EDC">
        <w:rPr>
          <w:spacing w:val="-2"/>
          <w:sz w:val="15"/>
        </w:rPr>
        <w:t>RM6322</w:t>
      </w:r>
    </w:p>
    <w:p w14:paraId="26D9BE52" w14:textId="77777777" w:rsidR="004C7180" w:rsidRPr="00150EDC" w:rsidRDefault="00CF0754">
      <w:pPr>
        <w:tabs>
          <w:tab w:val="left" w:pos="7660"/>
        </w:tabs>
        <w:spacing w:before="27"/>
        <w:ind w:left="1044"/>
        <w:rPr>
          <w:sz w:val="15"/>
        </w:rPr>
      </w:pPr>
      <w:r w:rsidRPr="00150EDC">
        <w:rPr>
          <w:sz w:val="15"/>
        </w:rPr>
        <w:t>Project</w:t>
      </w:r>
      <w:r w:rsidRPr="00150EDC">
        <w:rPr>
          <w:spacing w:val="-4"/>
          <w:sz w:val="15"/>
        </w:rPr>
        <w:t xml:space="preserve"> </w:t>
      </w:r>
      <w:r w:rsidRPr="00150EDC">
        <w:rPr>
          <w:sz w:val="15"/>
        </w:rPr>
        <w:t>Version:</w:t>
      </w:r>
      <w:r w:rsidRPr="00150EDC">
        <w:rPr>
          <w:spacing w:val="-3"/>
          <w:sz w:val="15"/>
        </w:rPr>
        <w:t xml:space="preserve"> </w:t>
      </w:r>
      <w:r w:rsidRPr="00150EDC">
        <w:rPr>
          <w:spacing w:val="-4"/>
          <w:sz w:val="15"/>
        </w:rPr>
        <w:t>v1.0</w:t>
      </w:r>
      <w:r w:rsidRPr="00150EDC">
        <w:rPr>
          <w:sz w:val="15"/>
        </w:rPr>
        <w:tab/>
        <w:t>-</w:t>
      </w:r>
      <w:r w:rsidRPr="007D3144">
        <w:rPr>
          <w:spacing w:val="-5"/>
          <w:sz w:val="15"/>
          <w:shd w:val="clear" w:color="auto" w:fill="E6E6E6"/>
        </w:rPr>
        <w:t>6</w:t>
      </w:r>
      <w:r w:rsidRPr="007D3144">
        <w:rPr>
          <w:spacing w:val="-5"/>
          <w:sz w:val="15"/>
        </w:rPr>
        <w:t>-</w:t>
      </w:r>
    </w:p>
    <w:p w14:paraId="0A672177" w14:textId="77777777" w:rsidR="004C7180" w:rsidRPr="00150EDC" w:rsidRDefault="004C7180">
      <w:pPr>
        <w:rPr>
          <w:sz w:val="15"/>
        </w:rPr>
        <w:sectPr w:rsidR="004C7180" w:rsidRPr="00150EDC">
          <w:pgSz w:w="11910" w:h="16840"/>
          <w:pgMar w:top="2940" w:right="0" w:bottom="2720" w:left="40" w:header="2612" w:footer="2535" w:gutter="0"/>
          <w:cols w:space="720"/>
        </w:sectPr>
      </w:pPr>
    </w:p>
    <w:p w14:paraId="317B8542" w14:textId="4110BCC4" w:rsidR="004C7180" w:rsidRPr="00150EDC" w:rsidRDefault="004C7180">
      <w:pPr>
        <w:pStyle w:val="BodyText"/>
        <w:spacing w:before="9"/>
        <w:rPr>
          <w:sz w:val="17"/>
        </w:rPr>
      </w:pP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5"/>
        <w:gridCol w:w="5402"/>
        <w:gridCol w:w="191"/>
      </w:tblGrid>
      <w:tr w:rsidR="004569EE" w:rsidRPr="007D3144" w14:paraId="6A0F6EBB" w14:textId="77777777">
        <w:trPr>
          <w:trHeight w:val="8653"/>
        </w:trPr>
        <w:tc>
          <w:tcPr>
            <w:tcW w:w="1705" w:type="dxa"/>
          </w:tcPr>
          <w:p w14:paraId="6AB40333" w14:textId="77777777" w:rsidR="004C7180" w:rsidRPr="00150EDC" w:rsidRDefault="00CF0754">
            <w:pPr>
              <w:pStyle w:val="TableParagraph"/>
              <w:spacing w:before="0" w:line="278" w:lineRule="auto"/>
              <w:ind w:left="85"/>
              <w:rPr>
                <w:sz w:val="18"/>
              </w:rPr>
            </w:pPr>
            <w:r w:rsidRPr="00150EDC">
              <w:rPr>
                <w:sz w:val="18"/>
              </w:rPr>
              <w:t>Nature and purposes</w:t>
            </w:r>
            <w:r w:rsidRPr="00150EDC">
              <w:rPr>
                <w:spacing w:val="-15"/>
                <w:sz w:val="18"/>
              </w:rPr>
              <w:t xml:space="preserve"> </w:t>
            </w:r>
            <w:r w:rsidRPr="00150EDC">
              <w:rPr>
                <w:sz w:val="18"/>
              </w:rPr>
              <w:t>of</w:t>
            </w:r>
            <w:r w:rsidRPr="00150EDC">
              <w:rPr>
                <w:spacing w:val="-12"/>
                <w:sz w:val="18"/>
              </w:rPr>
              <w:t xml:space="preserve"> </w:t>
            </w:r>
            <w:r w:rsidRPr="00150EDC">
              <w:rPr>
                <w:sz w:val="18"/>
              </w:rPr>
              <w:t xml:space="preserve">the </w:t>
            </w:r>
            <w:r w:rsidRPr="00150EDC">
              <w:rPr>
                <w:spacing w:val="-2"/>
                <w:sz w:val="18"/>
              </w:rPr>
              <w:t>Processing</w:t>
            </w:r>
          </w:p>
        </w:tc>
        <w:tc>
          <w:tcPr>
            <w:tcW w:w="5593" w:type="dxa"/>
            <w:gridSpan w:val="2"/>
          </w:tcPr>
          <w:p w14:paraId="16EBADA5" w14:textId="77777777" w:rsidR="004C7180" w:rsidRPr="00150EDC" w:rsidRDefault="00CF0754">
            <w:pPr>
              <w:pStyle w:val="TableParagraph"/>
              <w:spacing w:before="0" w:line="276" w:lineRule="auto"/>
              <w:ind w:left="85" w:right="127"/>
              <w:rPr>
                <w:sz w:val="18"/>
              </w:rPr>
            </w:pPr>
            <w:r w:rsidRPr="00150EDC">
              <w:rPr>
                <w:sz w:val="18"/>
              </w:rPr>
              <w:t>The nature of the Processing means any operation such as collection, recording, organisation, structuring, storage, adaptation or alteration, retrieval, consultation, use, disclosure by</w:t>
            </w:r>
            <w:r w:rsidRPr="00150EDC">
              <w:rPr>
                <w:spacing w:val="40"/>
                <w:sz w:val="18"/>
              </w:rPr>
              <w:t xml:space="preserve"> </w:t>
            </w:r>
            <w:r w:rsidRPr="00150EDC">
              <w:rPr>
                <w:sz w:val="18"/>
              </w:rPr>
              <w:t>transmission, dissemination or otherwise making available, alignment</w:t>
            </w:r>
            <w:r w:rsidRPr="00150EDC">
              <w:rPr>
                <w:spacing w:val="-2"/>
                <w:sz w:val="18"/>
              </w:rPr>
              <w:t xml:space="preserve"> </w:t>
            </w:r>
            <w:r w:rsidRPr="00150EDC">
              <w:rPr>
                <w:sz w:val="18"/>
              </w:rPr>
              <w:t>or</w:t>
            </w:r>
            <w:r w:rsidRPr="00150EDC">
              <w:rPr>
                <w:spacing w:val="-1"/>
                <w:sz w:val="18"/>
              </w:rPr>
              <w:t xml:space="preserve"> </w:t>
            </w:r>
            <w:r w:rsidRPr="00150EDC">
              <w:rPr>
                <w:sz w:val="18"/>
              </w:rPr>
              <w:t>combination,</w:t>
            </w:r>
            <w:r w:rsidRPr="00150EDC">
              <w:rPr>
                <w:spacing w:val="-1"/>
                <w:sz w:val="18"/>
              </w:rPr>
              <w:t xml:space="preserve"> </w:t>
            </w:r>
            <w:r w:rsidRPr="00150EDC">
              <w:rPr>
                <w:sz w:val="18"/>
              </w:rPr>
              <w:t>restriction,</w:t>
            </w:r>
            <w:r w:rsidRPr="00150EDC">
              <w:rPr>
                <w:spacing w:val="-2"/>
                <w:sz w:val="18"/>
              </w:rPr>
              <w:t xml:space="preserve"> </w:t>
            </w:r>
            <w:r w:rsidRPr="00150EDC">
              <w:rPr>
                <w:sz w:val="18"/>
              </w:rPr>
              <w:t>erasure</w:t>
            </w:r>
            <w:r w:rsidRPr="00150EDC">
              <w:rPr>
                <w:spacing w:val="-2"/>
                <w:sz w:val="18"/>
              </w:rPr>
              <w:t xml:space="preserve"> </w:t>
            </w:r>
            <w:r w:rsidRPr="00150EDC">
              <w:rPr>
                <w:sz w:val="18"/>
              </w:rPr>
              <w:t>or</w:t>
            </w:r>
            <w:r w:rsidRPr="00150EDC">
              <w:rPr>
                <w:spacing w:val="-1"/>
                <w:sz w:val="18"/>
              </w:rPr>
              <w:t xml:space="preserve"> </w:t>
            </w:r>
            <w:r w:rsidRPr="00150EDC">
              <w:rPr>
                <w:sz w:val="18"/>
              </w:rPr>
              <w:t>destruction</w:t>
            </w:r>
            <w:r w:rsidRPr="00150EDC">
              <w:rPr>
                <w:spacing w:val="-2"/>
                <w:sz w:val="18"/>
              </w:rPr>
              <w:t xml:space="preserve"> </w:t>
            </w:r>
            <w:r w:rsidRPr="00150EDC">
              <w:rPr>
                <w:sz w:val="18"/>
              </w:rPr>
              <w:t>of</w:t>
            </w:r>
            <w:r w:rsidRPr="00150EDC">
              <w:rPr>
                <w:spacing w:val="-1"/>
                <w:sz w:val="18"/>
              </w:rPr>
              <w:t xml:space="preserve"> </w:t>
            </w:r>
            <w:r w:rsidRPr="00150EDC">
              <w:rPr>
                <w:sz w:val="18"/>
              </w:rPr>
              <w:t>data (whether or not by automated means) etc.</w:t>
            </w:r>
          </w:p>
          <w:p w14:paraId="1A533E42" w14:textId="3EF7BF7D" w:rsidR="004C7180" w:rsidRPr="00150EDC" w:rsidRDefault="00CF0754" w:rsidP="00B41FA8">
            <w:pPr>
              <w:pStyle w:val="TableParagraph"/>
              <w:spacing w:before="157" w:line="276" w:lineRule="auto"/>
              <w:ind w:left="85"/>
              <w:rPr>
                <w:sz w:val="18"/>
              </w:rPr>
            </w:pPr>
            <w:r w:rsidRPr="00150EDC">
              <w:rPr>
                <w:sz w:val="18"/>
              </w:rPr>
              <w:t>The</w:t>
            </w:r>
            <w:r w:rsidRPr="00150EDC">
              <w:rPr>
                <w:spacing w:val="-2"/>
                <w:sz w:val="18"/>
              </w:rPr>
              <w:t xml:space="preserve"> </w:t>
            </w:r>
            <w:r w:rsidRPr="00150EDC">
              <w:rPr>
                <w:sz w:val="18"/>
              </w:rPr>
              <w:t>purpose</w:t>
            </w:r>
            <w:r w:rsidRPr="00150EDC">
              <w:rPr>
                <w:spacing w:val="-4"/>
                <w:sz w:val="18"/>
              </w:rPr>
              <w:t xml:space="preserve"> </w:t>
            </w:r>
            <w:r w:rsidRPr="00150EDC">
              <w:rPr>
                <w:sz w:val="18"/>
              </w:rPr>
              <w:t>might</w:t>
            </w:r>
            <w:r w:rsidRPr="00150EDC">
              <w:rPr>
                <w:spacing w:val="-2"/>
                <w:sz w:val="18"/>
              </w:rPr>
              <w:t xml:space="preserve"> </w:t>
            </w:r>
            <w:r w:rsidRPr="00150EDC">
              <w:rPr>
                <w:sz w:val="18"/>
              </w:rPr>
              <w:t>include:</w:t>
            </w:r>
            <w:r w:rsidRPr="00150EDC">
              <w:rPr>
                <w:spacing w:val="-4"/>
                <w:sz w:val="18"/>
              </w:rPr>
              <w:t xml:space="preserve"> </w:t>
            </w:r>
            <w:r w:rsidRPr="00150EDC">
              <w:rPr>
                <w:sz w:val="18"/>
              </w:rPr>
              <w:t>employment</w:t>
            </w:r>
            <w:r w:rsidRPr="00150EDC">
              <w:rPr>
                <w:spacing w:val="-2"/>
                <w:sz w:val="18"/>
              </w:rPr>
              <w:t xml:space="preserve"> </w:t>
            </w:r>
            <w:r w:rsidRPr="00150EDC">
              <w:rPr>
                <w:sz w:val="18"/>
              </w:rPr>
              <w:t>processing,</w:t>
            </w:r>
            <w:r w:rsidRPr="00150EDC">
              <w:rPr>
                <w:spacing w:val="-2"/>
                <w:sz w:val="18"/>
              </w:rPr>
              <w:t xml:space="preserve"> </w:t>
            </w:r>
            <w:r w:rsidRPr="00150EDC">
              <w:rPr>
                <w:sz w:val="18"/>
              </w:rPr>
              <w:t>statutory obligation, recruitment assessment etc</w:t>
            </w:r>
            <w:r w:rsidR="00B41FA8">
              <w:rPr>
                <w:sz w:val="18"/>
              </w:rPr>
              <w:t xml:space="preserve">. </w:t>
            </w:r>
            <w:r w:rsidRPr="00B41FA8">
              <w:rPr>
                <w:spacing w:val="-2"/>
                <w:sz w:val="18"/>
              </w:rPr>
              <w:t xml:space="preserve">The </w:t>
            </w:r>
            <w:r w:rsidR="00ED75D4" w:rsidRPr="00B41FA8">
              <w:rPr>
                <w:spacing w:val="-2"/>
                <w:sz w:val="18"/>
              </w:rPr>
              <w:t>S</w:t>
            </w:r>
            <w:r w:rsidRPr="00B41FA8">
              <w:rPr>
                <w:spacing w:val="-2"/>
                <w:sz w:val="18"/>
              </w:rPr>
              <w:t>upplier will:</w:t>
            </w:r>
          </w:p>
          <w:p w14:paraId="06881823" w14:textId="77777777" w:rsidR="004C7180" w:rsidRPr="00B41FA8" w:rsidRDefault="004C7180" w:rsidP="00B41FA8">
            <w:pPr>
              <w:pStyle w:val="TableParagraph"/>
              <w:spacing w:before="0" w:line="276" w:lineRule="auto"/>
              <w:ind w:right="162"/>
              <w:rPr>
                <w:spacing w:val="-2"/>
                <w:sz w:val="18"/>
              </w:rPr>
            </w:pPr>
          </w:p>
          <w:p w14:paraId="2E12A5FF" w14:textId="77777777" w:rsidR="004C7180" w:rsidRPr="00B41FA8" w:rsidRDefault="00CF0754" w:rsidP="00B320C7">
            <w:pPr>
              <w:pStyle w:val="TableParagraph"/>
              <w:numPr>
                <w:ilvl w:val="0"/>
                <w:numId w:val="189"/>
              </w:numPr>
              <w:spacing w:before="0" w:line="276" w:lineRule="auto"/>
              <w:ind w:right="162"/>
              <w:rPr>
                <w:spacing w:val="-2"/>
                <w:sz w:val="18"/>
              </w:rPr>
            </w:pPr>
            <w:r w:rsidRPr="00B41FA8">
              <w:rPr>
                <w:spacing w:val="-2"/>
                <w:sz w:val="18"/>
              </w:rPr>
              <w:t>Receive, by secure means, lists of named contacts from local authorities, stakeholders, providers and involved employers for the purposes of enabling contact with these individuals to recruit them to the trials</w:t>
            </w:r>
          </w:p>
          <w:p w14:paraId="1C76F2B8" w14:textId="77777777" w:rsidR="004C7180" w:rsidRPr="00B41FA8" w:rsidRDefault="00CF0754" w:rsidP="00B320C7">
            <w:pPr>
              <w:pStyle w:val="TableParagraph"/>
              <w:numPr>
                <w:ilvl w:val="0"/>
                <w:numId w:val="189"/>
              </w:numPr>
              <w:spacing w:before="0" w:line="276" w:lineRule="auto"/>
              <w:ind w:right="162"/>
              <w:rPr>
                <w:spacing w:val="-2"/>
                <w:sz w:val="18"/>
              </w:rPr>
            </w:pPr>
            <w:r w:rsidRPr="00B41FA8">
              <w:rPr>
                <w:spacing w:val="-2"/>
                <w:sz w:val="18"/>
              </w:rPr>
              <w:t>Receive, by secure means, personal data from the RCT evaluation supplier about potential participants for the trials for the purposes of enabling contact with these individuals to recruit them to the trials</w:t>
            </w:r>
          </w:p>
          <w:p w14:paraId="1A4A3079" w14:textId="77777777" w:rsidR="004C7180" w:rsidRPr="00B41FA8" w:rsidRDefault="00CF0754" w:rsidP="00B320C7">
            <w:pPr>
              <w:pStyle w:val="TableParagraph"/>
              <w:numPr>
                <w:ilvl w:val="0"/>
                <w:numId w:val="189"/>
              </w:numPr>
              <w:spacing w:before="0" w:line="276" w:lineRule="auto"/>
              <w:ind w:right="162"/>
              <w:rPr>
                <w:spacing w:val="-2"/>
                <w:sz w:val="18"/>
              </w:rPr>
            </w:pPr>
            <w:r w:rsidRPr="00B41FA8">
              <w:rPr>
                <w:spacing w:val="-2"/>
                <w:sz w:val="18"/>
              </w:rPr>
              <w:t>Receive, by secure means, personal data from learning providers about actual participants of the trials for the purposes of monitoring the extent to which recruitment criteria have been met</w:t>
            </w:r>
          </w:p>
          <w:p w14:paraId="2B324B34" w14:textId="77777777" w:rsidR="004C7180" w:rsidRPr="00B41FA8" w:rsidRDefault="00CF0754" w:rsidP="00B320C7">
            <w:pPr>
              <w:pStyle w:val="TableParagraph"/>
              <w:numPr>
                <w:ilvl w:val="0"/>
                <w:numId w:val="189"/>
              </w:numPr>
              <w:spacing w:before="0" w:line="276" w:lineRule="auto"/>
              <w:ind w:right="162"/>
              <w:rPr>
                <w:spacing w:val="-2"/>
                <w:sz w:val="18"/>
              </w:rPr>
            </w:pPr>
            <w:r w:rsidRPr="00B41FA8">
              <w:rPr>
                <w:spacing w:val="-2"/>
                <w:sz w:val="18"/>
              </w:rPr>
              <w:t>Store these personal data securely for the duration of the project, using secure systems and limited access for authorised team members</w:t>
            </w:r>
          </w:p>
          <w:p w14:paraId="437BDB0A" w14:textId="77777777" w:rsidR="004C7180" w:rsidRPr="00B41FA8" w:rsidRDefault="00CF0754" w:rsidP="00B320C7">
            <w:pPr>
              <w:pStyle w:val="TableParagraph"/>
              <w:numPr>
                <w:ilvl w:val="0"/>
                <w:numId w:val="189"/>
              </w:numPr>
              <w:spacing w:before="0" w:line="276" w:lineRule="auto"/>
              <w:ind w:right="162"/>
              <w:rPr>
                <w:spacing w:val="-2"/>
                <w:sz w:val="18"/>
              </w:rPr>
            </w:pPr>
            <w:r w:rsidRPr="00B41FA8">
              <w:rPr>
                <w:spacing w:val="-2"/>
                <w:sz w:val="18"/>
              </w:rPr>
              <w:t>Contact relevant target groups to secure their participation in the trials</w:t>
            </w:r>
          </w:p>
          <w:p w14:paraId="018EDD9D" w14:textId="77777777" w:rsidR="004C7180" w:rsidRPr="00B41FA8" w:rsidRDefault="00CF0754" w:rsidP="00B320C7">
            <w:pPr>
              <w:pStyle w:val="TableParagraph"/>
              <w:numPr>
                <w:ilvl w:val="0"/>
                <w:numId w:val="189"/>
              </w:numPr>
              <w:spacing w:before="0" w:line="276" w:lineRule="auto"/>
              <w:ind w:right="162"/>
              <w:rPr>
                <w:spacing w:val="-2"/>
                <w:sz w:val="18"/>
              </w:rPr>
            </w:pPr>
            <w:r w:rsidRPr="00B41FA8">
              <w:rPr>
                <w:spacing w:val="-2"/>
                <w:sz w:val="18"/>
              </w:rPr>
              <w:t>Destruction of all personal data, including written and electronically stored notes and write ups, is scheduled for 12 months after final approval of the final research report to be published.</w:t>
            </w:r>
          </w:p>
          <w:p w14:paraId="60D86E61" w14:textId="77777777" w:rsidR="004C7180" w:rsidRPr="00150EDC" w:rsidRDefault="00CF0754" w:rsidP="00B41FA8">
            <w:pPr>
              <w:pStyle w:val="TableParagraph"/>
              <w:spacing w:before="157" w:line="276" w:lineRule="auto"/>
              <w:ind w:left="85"/>
              <w:rPr>
                <w:sz w:val="18"/>
              </w:rPr>
            </w:pPr>
            <w:r w:rsidRPr="00B41FA8">
              <w:rPr>
                <w:sz w:val="18"/>
              </w:rPr>
              <w:t>The purpose for collecting and processing personal data shall be</w:t>
            </w:r>
            <w:r w:rsidRPr="007D3144">
              <w:rPr>
                <w:sz w:val="18"/>
              </w:rPr>
              <w:t xml:space="preserve"> </w:t>
            </w:r>
            <w:r w:rsidRPr="00B41FA8">
              <w:rPr>
                <w:sz w:val="18"/>
              </w:rPr>
              <w:t>‘public task’. All research will be consented to, and participants wil</w:t>
            </w:r>
            <w:r w:rsidRPr="007D3144">
              <w:rPr>
                <w:sz w:val="18"/>
              </w:rPr>
              <w:t xml:space="preserve">l </w:t>
            </w:r>
            <w:r w:rsidRPr="00B41FA8">
              <w:rPr>
                <w:sz w:val="18"/>
              </w:rPr>
              <w:t>be able to opt out.</w:t>
            </w:r>
          </w:p>
        </w:tc>
      </w:tr>
      <w:tr w:rsidR="004569EE" w:rsidRPr="007D3144" w14:paraId="126CC5D5" w14:textId="77777777">
        <w:trPr>
          <w:trHeight w:val="1452"/>
        </w:trPr>
        <w:tc>
          <w:tcPr>
            <w:tcW w:w="1705" w:type="dxa"/>
            <w:vMerge w:val="restart"/>
          </w:tcPr>
          <w:p w14:paraId="6D17EC06" w14:textId="77777777" w:rsidR="004C7180" w:rsidRPr="00150EDC" w:rsidRDefault="00CF0754">
            <w:pPr>
              <w:pStyle w:val="TableParagraph"/>
              <w:spacing w:before="0" w:line="276" w:lineRule="auto"/>
              <w:ind w:left="85"/>
              <w:rPr>
                <w:sz w:val="18"/>
              </w:rPr>
            </w:pPr>
            <w:r w:rsidRPr="00150EDC">
              <w:rPr>
                <w:sz w:val="18"/>
              </w:rPr>
              <w:t>Type</w:t>
            </w:r>
            <w:r w:rsidRPr="00150EDC">
              <w:rPr>
                <w:spacing w:val="-15"/>
                <w:sz w:val="18"/>
              </w:rPr>
              <w:t xml:space="preserve"> </w:t>
            </w:r>
            <w:r w:rsidRPr="00150EDC">
              <w:rPr>
                <w:sz w:val="18"/>
              </w:rPr>
              <w:t>of</w:t>
            </w:r>
            <w:r w:rsidRPr="00150EDC">
              <w:rPr>
                <w:spacing w:val="-12"/>
                <w:sz w:val="18"/>
              </w:rPr>
              <w:t xml:space="preserve"> </w:t>
            </w:r>
            <w:r w:rsidRPr="00150EDC">
              <w:rPr>
                <w:sz w:val="18"/>
              </w:rPr>
              <w:t xml:space="preserve">Personal </w:t>
            </w:r>
            <w:r w:rsidRPr="00150EDC">
              <w:rPr>
                <w:spacing w:val="-4"/>
                <w:sz w:val="18"/>
              </w:rPr>
              <w:t>Data</w:t>
            </w:r>
          </w:p>
        </w:tc>
        <w:tc>
          <w:tcPr>
            <w:tcW w:w="5593" w:type="dxa"/>
            <w:gridSpan w:val="2"/>
            <w:tcBorders>
              <w:bottom w:val="nil"/>
            </w:tcBorders>
          </w:tcPr>
          <w:p w14:paraId="49C69831" w14:textId="77777777" w:rsidR="004C7180" w:rsidRPr="00B41FA8" w:rsidRDefault="00CF0754" w:rsidP="00B320C7">
            <w:pPr>
              <w:pStyle w:val="TableParagraph"/>
              <w:numPr>
                <w:ilvl w:val="0"/>
                <w:numId w:val="189"/>
              </w:numPr>
              <w:spacing w:before="0" w:line="276" w:lineRule="auto"/>
              <w:ind w:right="162"/>
              <w:rPr>
                <w:spacing w:val="-2"/>
                <w:sz w:val="18"/>
              </w:rPr>
            </w:pPr>
            <w:r w:rsidRPr="00B41FA8">
              <w:rPr>
                <w:spacing w:val="-2"/>
                <w:sz w:val="18"/>
              </w:rPr>
              <w:t>Names, addresses / postcodes, email addresses and phone numbers of individuals participating in Multiply RCT programmes</w:t>
            </w:r>
          </w:p>
          <w:p w14:paraId="62C96CEF" w14:textId="77777777" w:rsidR="004C7180" w:rsidRPr="00B41FA8" w:rsidRDefault="00CF0754" w:rsidP="00B320C7">
            <w:pPr>
              <w:pStyle w:val="TableParagraph"/>
              <w:numPr>
                <w:ilvl w:val="0"/>
                <w:numId w:val="189"/>
              </w:numPr>
              <w:spacing w:before="1" w:line="273" w:lineRule="auto"/>
              <w:ind w:right="162"/>
              <w:rPr>
                <w:spacing w:val="-2"/>
                <w:sz w:val="18"/>
              </w:rPr>
            </w:pPr>
            <w:r w:rsidRPr="00B41FA8">
              <w:rPr>
                <w:spacing w:val="-2"/>
                <w:sz w:val="18"/>
              </w:rPr>
              <w:t>Demographic and profile information of individuals participating in Multiply RCT programmes – DOB/age,</w:t>
            </w:r>
          </w:p>
          <w:p w14:paraId="6465048F" w14:textId="513C0A92" w:rsidR="004C7180" w:rsidRPr="00B41FA8" w:rsidRDefault="00CF0754" w:rsidP="00B320C7">
            <w:pPr>
              <w:pStyle w:val="TableParagraph"/>
              <w:numPr>
                <w:ilvl w:val="0"/>
                <w:numId w:val="189"/>
              </w:numPr>
              <w:spacing w:before="2" w:line="240" w:lineRule="auto"/>
              <w:ind w:right="162"/>
              <w:rPr>
                <w:spacing w:val="-2"/>
                <w:sz w:val="18"/>
                <w:szCs w:val="18"/>
              </w:rPr>
            </w:pPr>
            <w:r w:rsidRPr="06B80851">
              <w:rPr>
                <w:spacing w:val="-2"/>
                <w:sz w:val="18"/>
                <w:szCs w:val="18"/>
              </w:rPr>
              <w:t>gender, ethnicity, health/disability status, employment status,</w:t>
            </w:r>
            <w:r w:rsidR="00B41FA8">
              <w:t xml:space="preserve"> </w:t>
            </w:r>
            <w:r w:rsidR="00B41FA8" w:rsidRPr="06B80851">
              <w:rPr>
                <w:spacing w:val="-2"/>
                <w:sz w:val="18"/>
                <w:szCs w:val="18"/>
              </w:rPr>
              <w:t>prior qualifications, pre/post numeracy level assessments</w:t>
            </w:r>
          </w:p>
        </w:tc>
      </w:tr>
      <w:tr w:rsidR="004569EE" w:rsidRPr="007D3144" w14:paraId="311B7FEE" w14:textId="77777777" w:rsidTr="06B80851">
        <w:trPr>
          <w:trHeight w:val="234"/>
        </w:trPr>
        <w:tc>
          <w:tcPr>
            <w:tcW w:w="1705" w:type="dxa"/>
            <w:vMerge/>
          </w:tcPr>
          <w:p w14:paraId="71EE34B9" w14:textId="77777777" w:rsidR="004C7180" w:rsidRPr="007D3144" w:rsidRDefault="004C7180">
            <w:pPr>
              <w:rPr>
                <w:sz w:val="2"/>
                <w:szCs w:val="2"/>
              </w:rPr>
            </w:pPr>
          </w:p>
        </w:tc>
        <w:tc>
          <w:tcPr>
            <w:tcW w:w="5402" w:type="dxa"/>
            <w:tcBorders>
              <w:top w:val="nil"/>
              <w:right w:val="single" w:sz="36" w:space="0" w:color="FFFFFF" w:themeColor="background1"/>
            </w:tcBorders>
          </w:tcPr>
          <w:p w14:paraId="5A698DD3" w14:textId="74202CCB" w:rsidR="004C7180" w:rsidRPr="00B41FA8" w:rsidRDefault="004C7180" w:rsidP="00B41FA8">
            <w:pPr>
              <w:pStyle w:val="TableParagraph"/>
              <w:spacing w:before="0" w:line="276" w:lineRule="auto"/>
              <w:ind w:left="0" w:right="162"/>
              <w:rPr>
                <w:spacing w:val="-2"/>
                <w:sz w:val="18"/>
              </w:rPr>
            </w:pPr>
          </w:p>
        </w:tc>
        <w:tc>
          <w:tcPr>
            <w:tcW w:w="191" w:type="dxa"/>
            <w:tcBorders>
              <w:top w:val="nil"/>
              <w:left w:val="single" w:sz="36" w:space="0" w:color="FFFFFF" w:themeColor="background1"/>
            </w:tcBorders>
            <w:shd w:val="clear" w:color="auto" w:fill="F1F1F1"/>
          </w:tcPr>
          <w:p w14:paraId="1E72B1CB" w14:textId="77777777" w:rsidR="004C7180" w:rsidRPr="00B41FA8" w:rsidRDefault="004C7180" w:rsidP="00B320C7">
            <w:pPr>
              <w:pStyle w:val="TableParagraph"/>
              <w:numPr>
                <w:ilvl w:val="0"/>
                <w:numId w:val="189"/>
              </w:numPr>
              <w:spacing w:before="0" w:line="276" w:lineRule="auto"/>
              <w:ind w:right="162"/>
              <w:rPr>
                <w:spacing w:val="-2"/>
                <w:sz w:val="18"/>
              </w:rPr>
            </w:pPr>
          </w:p>
        </w:tc>
      </w:tr>
    </w:tbl>
    <w:p w14:paraId="7AA4460A" w14:textId="77777777" w:rsidR="004C7180" w:rsidRPr="00150EDC" w:rsidRDefault="004C7180">
      <w:pPr>
        <w:rPr>
          <w:sz w:val="15"/>
        </w:rPr>
        <w:sectPr w:rsidR="004C7180" w:rsidRPr="00150EDC">
          <w:pgSz w:w="11910" w:h="16840"/>
          <w:pgMar w:top="2940" w:right="0" w:bottom="2720" w:left="40" w:header="2612" w:footer="2535" w:gutter="0"/>
          <w:cols w:space="720"/>
        </w:sectPr>
      </w:pPr>
    </w:p>
    <w:p w14:paraId="0B1FDA48" w14:textId="1BE192F8" w:rsidR="004C7180" w:rsidRPr="00150EDC" w:rsidRDefault="004C7180">
      <w:pPr>
        <w:pStyle w:val="BodyText"/>
        <w:spacing w:before="9"/>
        <w:rPr>
          <w:sz w:val="17"/>
        </w:rPr>
      </w:pP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5"/>
        <w:gridCol w:w="5592"/>
      </w:tblGrid>
      <w:tr w:rsidR="004569EE" w:rsidRPr="007D3144" w14:paraId="0EBD1FA4" w14:textId="77777777" w:rsidTr="53A8FEE9">
        <w:trPr>
          <w:trHeight w:val="1116"/>
        </w:trPr>
        <w:tc>
          <w:tcPr>
            <w:tcW w:w="1705" w:type="dxa"/>
          </w:tcPr>
          <w:p w14:paraId="6005BE51" w14:textId="77777777" w:rsidR="004C7180" w:rsidRPr="00150EDC" w:rsidRDefault="004C7180">
            <w:pPr>
              <w:pStyle w:val="TableParagraph"/>
              <w:spacing w:before="0" w:line="240" w:lineRule="auto"/>
              <w:ind w:left="0"/>
              <w:rPr>
                <w:rFonts w:ascii="Times New Roman"/>
                <w:sz w:val="16"/>
              </w:rPr>
            </w:pPr>
          </w:p>
        </w:tc>
        <w:tc>
          <w:tcPr>
            <w:tcW w:w="5592" w:type="dxa"/>
          </w:tcPr>
          <w:p w14:paraId="5763122D" w14:textId="77777777" w:rsidR="004C7180" w:rsidRPr="00150EDC" w:rsidRDefault="00CF0754" w:rsidP="00B320C7">
            <w:pPr>
              <w:pStyle w:val="TableParagraph"/>
              <w:numPr>
                <w:ilvl w:val="0"/>
                <w:numId w:val="190"/>
              </w:numPr>
              <w:spacing w:before="1" w:line="276" w:lineRule="auto"/>
              <w:rPr>
                <w:sz w:val="18"/>
              </w:rPr>
            </w:pPr>
            <w:r w:rsidRPr="00130A24">
              <w:rPr>
                <w:sz w:val="18"/>
              </w:rPr>
              <w:t>Names and email addresses of those involved in the design,</w:t>
            </w:r>
            <w:r w:rsidRPr="007D3144">
              <w:rPr>
                <w:sz w:val="18"/>
              </w:rPr>
              <w:t xml:space="preserve"> </w:t>
            </w:r>
            <w:r w:rsidRPr="00130A24">
              <w:rPr>
                <w:sz w:val="18"/>
              </w:rPr>
              <w:t>development, implementation, management and delivery of</w:t>
            </w:r>
            <w:r w:rsidRPr="007D3144">
              <w:rPr>
                <w:sz w:val="18"/>
              </w:rPr>
              <w:t xml:space="preserve"> </w:t>
            </w:r>
            <w:r w:rsidRPr="00130A24">
              <w:rPr>
                <w:sz w:val="18"/>
              </w:rPr>
              <w:t>Multiply RCT programmes – including from DfE, loca</w:t>
            </w:r>
            <w:r w:rsidRPr="007D3144">
              <w:rPr>
                <w:sz w:val="18"/>
              </w:rPr>
              <w:t xml:space="preserve">l </w:t>
            </w:r>
            <w:r w:rsidRPr="00130A24">
              <w:rPr>
                <w:sz w:val="18"/>
              </w:rPr>
              <w:t>authorities, learning providers and other DfE suppliers</w:t>
            </w:r>
          </w:p>
        </w:tc>
      </w:tr>
      <w:tr w:rsidR="004569EE" w:rsidRPr="007D3144" w14:paraId="6001BFA4" w14:textId="77777777" w:rsidTr="53A8FEE9">
        <w:trPr>
          <w:trHeight w:val="1172"/>
        </w:trPr>
        <w:tc>
          <w:tcPr>
            <w:tcW w:w="1705" w:type="dxa"/>
          </w:tcPr>
          <w:p w14:paraId="0873A183" w14:textId="77777777" w:rsidR="004C7180" w:rsidRPr="00150EDC" w:rsidRDefault="00CF0754">
            <w:pPr>
              <w:pStyle w:val="TableParagraph"/>
              <w:spacing w:before="0" w:line="278" w:lineRule="auto"/>
              <w:ind w:left="85"/>
              <w:rPr>
                <w:sz w:val="18"/>
              </w:rPr>
            </w:pPr>
            <w:r w:rsidRPr="00150EDC">
              <w:rPr>
                <w:sz w:val="18"/>
              </w:rPr>
              <w:t>Categories</w:t>
            </w:r>
            <w:r w:rsidRPr="00150EDC">
              <w:rPr>
                <w:spacing w:val="-15"/>
                <w:sz w:val="18"/>
              </w:rPr>
              <w:t xml:space="preserve"> </w:t>
            </w:r>
            <w:r w:rsidRPr="00150EDC">
              <w:rPr>
                <w:sz w:val="18"/>
              </w:rPr>
              <w:t>of</w:t>
            </w:r>
            <w:r w:rsidRPr="00150EDC">
              <w:rPr>
                <w:spacing w:val="-12"/>
                <w:sz w:val="18"/>
              </w:rPr>
              <w:t xml:space="preserve"> </w:t>
            </w:r>
            <w:r w:rsidRPr="00150EDC">
              <w:rPr>
                <w:sz w:val="18"/>
              </w:rPr>
              <w:t xml:space="preserve">Data </w:t>
            </w:r>
            <w:r w:rsidRPr="00150EDC">
              <w:rPr>
                <w:spacing w:val="-2"/>
                <w:sz w:val="18"/>
              </w:rPr>
              <w:t>Subject</w:t>
            </w:r>
          </w:p>
        </w:tc>
        <w:tc>
          <w:tcPr>
            <w:tcW w:w="5592" w:type="dxa"/>
          </w:tcPr>
          <w:p w14:paraId="5707C447" w14:textId="77777777" w:rsidR="004C7180" w:rsidRPr="00150EDC" w:rsidRDefault="00CF0754" w:rsidP="00130A24">
            <w:pPr>
              <w:pStyle w:val="TableParagraph"/>
              <w:spacing w:before="1" w:line="276" w:lineRule="auto"/>
              <w:ind w:left="85"/>
              <w:rPr>
                <w:sz w:val="18"/>
              </w:rPr>
            </w:pPr>
            <w:r w:rsidRPr="00130A24">
              <w:rPr>
                <w:sz w:val="18"/>
              </w:rPr>
              <w:t>Multiply and AEB learners, employers, providers, LA stakeholders</w:t>
            </w:r>
          </w:p>
        </w:tc>
      </w:tr>
      <w:tr w:rsidR="004569EE" w:rsidRPr="007D3144" w14:paraId="3E2F3FA3" w14:textId="77777777" w:rsidTr="53A8FEE9">
        <w:trPr>
          <w:trHeight w:val="2929"/>
        </w:trPr>
        <w:tc>
          <w:tcPr>
            <w:tcW w:w="1705" w:type="dxa"/>
          </w:tcPr>
          <w:p w14:paraId="3E21ED57" w14:textId="77777777" w:rsidR="004C7180" w:rsidRPr="00150EDC" w:rsidRDefault="00CF0754">
            <w:pPr>
              <w:pStyle w:val="TableParagraph"/>
              <w:spacing w:before="1" w:line="276" w:lineRule="auto"/>
              <w:ind w:left="85"/>
              <w:rPr>
                <w:sz w:val="18"/>
              </w:rPr>
            </w:pPr>
            <w:r w:rsidRPr="00150EDC">
              <w:rPr>
                <w:sz w:val="18"/>
              </w:rPr>
              <w:t>Plan</w:t>
            </w:r>
            <w:r w:rsidRPr="00150EDC">
              <w:rPr>
                <w:spacing w:val="-10"/>
                <w:sz w:val="18"/>
              </w:rPr>
              <w:t xml:space="preserve"> </w:t>
            </w:r>
            <w:r w:rsidRPr="00150EDC">
              <w:rPr>
                <w:sz w:val="18"/>
              </w:rPr>
              <w:t>for</w:t>
            </w:r>
            <w:r w:rsidRPr="00150EDC">
              <w:rPr>
                <w:spacing w:val="-11"/>
                <w:sz w:val="18"/>
              </w:rPr>
              <w:t xml:space="preserve"> </w:t>
            </w:r>
            <w:r w:rsidRPr="00150EDC">
              <w:rPr>
                <w:sz w:val="18"/>
              </w:rPr>
              <w:t>return</w:t>
            </w:r>
            <w:r w:rsidRPr="00150EDC">
              <w:rPr>
                <w:spacing w:val="-11"/>
                <w:sz w:val="18"/>
              </w:rPr>
              <w:t xml:space="preserve"> </w:t>
            </w:r>
            <w:r w:rsidRPr="00150EDC">
              <w:rPr>
                <w:sz w:val="18"/>
              </w:rPr>
              <w:t xml:space="preserve">and destruction of the data once the Processing is </w:t>
            </w:r>
            <w:r w:rsidRPr="00150EDC">
              <w:rPr>
                <w:spacing w:val="-2"/>
                <w:sz w:val="18"/>
              </w:rPr>
              <w:t>complete</w:t>
            </w:r>
          </w:p>
          <w:p w14:paraId="369AF8A0" w14:textId="77777777" w:rsidR="004C7180" w:rsidRPr="00150EDC" w:rsidRDefault="00CF0754">
            <w:pPr>
              <w:pStyle w:val="TableParagraph"/>
              <w:spacing w:before="155" w:line="240" w:lineRule="auto"/>
              <w:ind w:left="85"/>
              <w:rPr>
                <w:sz w:val="18"/>
              </w:rPr>
            </w:pPr>
            <w:r w:rsidRPr="00150EDC">
              <w:rPr>
                <w:spacing w:val="-2"/>
                <w:sz w:val="18"/>
              </w:rPr>
              <w:t>UNLESS</w:t>
            </w:r>
          </w:p>
          <w:p w14:paraId="7240D9AE" w14:textId="77777777" w:rsidR="004C7180" w:rsidRPr="00150EDC" w:rsidRDefault="00CF0754">
            <w:pPr>
              <w:pStyle w:val="TableParagraph"/>
              <w:spacing w:before="32" w:line="278" w:lineRule="auto"/>
              <w:ind w:left="85" w:right="69"/>
              <w:rPr>
                <w:sz w:val="18"/>
              </w:rPr>
            </w:pPr>
            <w:r w:rsidRPr="00150EDC">
              <w:rPr>
                <w:sz w:val="18"/>
              </w:rPr>
              <w:t>requirement</w:t>
            </w:r>
            <w:r w:rsidRPr="00150EDC">
              <w:rPr>
                <w:spacing w:val="-13"/>
                <w:sz w:val="18"/>
              </w:rPr>
              <w:t xml:space="preserve"> </w:t>
            </w:r>
            <w:r w:rsidRPr="00150EDC">
              <w:rPr>
                <w:sz w:val="18"/>
              </w:rPr>
              <w:t>under Union or Member State law to preserve that</w:t>
            </w:r>
            <w:r w:rsidRPr="00150EDC">
              <w:rPr>
                <w:spacing w:val="-1"/>
                <w:sz w:val="18"/>
              </w:rPr>
              <w:t xml:space="preserve"> </w:t>
            </w:r>
            <w:r w:rsidRPr="00150EDC">
              <w:rPr>
                <w:sz w:val="18"/>
              </w:rPr>
              <w:t>type of data</w:t>
            </w:r>
          </w:p>
        </w:tc>
        <w:tc>
          <w:tcPr>
            <w:tcW w:w="5592" w:type="dxa"/>
          </w:tcPr>
          <w:p w14:paraId="3CEBD3F5" w14:textId="77777777" w:rsidR="004C7180" w:rsidRPr="00130A24" w:rsidRDefault="00CF0754">
            <w:pPr>
              <w:pStyle w:val="TableParagraph"/>
              <w:spacing w:before="1" w:line="276" w:lineRule="auto"/>
              <w:ind w:left="85"/>
              <w:rPr>
                <w:sz w:val="18"/>
              </w:rPr>
            </w:pPr>
            <w:r w:rsidRPr="00130A24">
              <w:rPr>
                <w:sz w:val="18"/>
              </w:rPr>
              <w:t>Destruction of all personal data, including written and electronically stored notes and write ups, is scheduled for 12 months after final approval of the final research report to be published.</w:t>
            </w:r>
          </w:p>
        </w:tc>
      </w:tr>
    </w:tbl>
    <w:p w14:paraId="35A91DB1" w14:textId="77777777" w:rsidR="004C7180" w:rsidRPr="00150EDC" w:rsidRDefault="004C7180">
      <w:pPr>
        <w:pStyle w:val="BodyText"/>
        <w:rPr>
          <w:sz w:val="20"/>
        </w:rPr>
      </w:pPr>
    </w:p>
    <w:p w14:paraId="33E4E219" w14:textId="77777777" w:rsidR="004C7180" w:rsidRPr="00150EDC" w:rsidRDefault="004C7180">
      <w:pPr>
        <w:pStyle w:val="BodyText"/>
        <w:rPr>
          <w:sz w:val="20"/>
        </w:rPr>
      </w:pPr>
    </w:p>
    <w:p w14:paraId="6EC2A7E7" w14:textId="77777777" w:rsidR="004C7180" w:rsidRPr="00150EDC" w:rsidRDefault="004C7180">
      <w:pPr>
        <w:pStyle w:val="BodyText"/>
        <w:rPr>
          <w:sz w:val="20"/>
        </w:rPr>
      </w:pPr>
    </w:p>
    <w:p w14:paraId="3CB04C6B" w14:textId="77777777" w:rsidR="004C7180" w:rsidRPr="00150EDC" w:rsidRDefault="004C7180">
      <w:pPr>
        <w:pStyle w:val="BodyText"/>
        <w:rPr>
          <w:sz w:val="20"/>
        </w:rPr>
      </w:pPr>
    </w:p>
    <w:p w14:paraId="52707651" w14:textId="77777777" w:rsidR="004C7180" w:rsidRPr="00150EDC" w:rsidRDefault="004C7180">
      <w:pPr>
        <w:pStyle w:val="BodyText"/>
        <w:rPr>
          <w:sz w:val="20"/>
        </w:rPr>
      </w:pPr>
    </w:p>
    <w:p w14:paraId="3F77EC46" w14:textId="77777777" w:rsidR="004C7180" w:rsidRPr="00150EDC" w:rsidRDefault="004C7180">
      <w:pPr>
        <w:pStyle w:val="BodyText"/>
        <w:rPr>
          <w:sz w:val="20"/>
        </w:rPr>
      </w:pPr>
    </w:p>
    <w:p w14:paraId="76B01404" w14:textId="77777777" w:rsidR="004C7180" w:rsidRPr="00150EDC" w:rsidRDefault="004C7180">
      <w:pPr>
        <w:pStyle w:val="BodyText"/>
        <w:rPr>
          <w:sz w:val="20"/>
        </w:rPr>
      </w:pPr>
    </w:p>
    <w:p w14:paraId="5BFCCE72" w14:textId="77777777" w:rsidR="004C7180" w:rsidRPr="00150EDC" w:rsidRDefault="004C7180">
      <w:pPr>
        <w:pStyle w:val="BodyText"/>
        <w:rPr>
          <w:sz w:val="20"/>
        </w:rPr>
      </w:pPr>
    </w:p>
    <w:p w14:paraId="0C88C1F6" w14:textId="77777777" w:rsidR="004C7180" w:rsidRPr="00150EDC" w:rsidRDefault="004C7180">
      <w:pPr>
        <w:pStyle w:val="BodyText"/>
        <w:rPr>
          <w:sz w:val="20"/>
        </w:rPr>
      </w:pPr>
    </w:p>
    <w:p w14:paraId="7585A5F9" w14:textId="77777777" w:rsidR="004C7180" w:rsidRPr="00150EDC" w:rsidRDefault="004C7180">
      <w:pPr>
        <w:pStyle w:val="BodyText"/>
        <w:rPr>
          <w:sz w:val="20"/>
        </w:rPr>
      </w:pPr>
    </w:p>
    <w:p w14:paraId="233D36B9" w14:textId="77777777" w:rsidR="004C7180" w:rsidRPr="00150EDC" w:rsidRDefault="004C7180">
      <w:pPr>
        <w:pStyle w:val="BodyText"/>
        <w:rPr>
          <w:sz w:val="20"/>
        </w:rPr>
      </w:pPr>
    </w:p>
    <w:p w14:paraId="7E691505" w14:textId="77777777" w:rsidR="004C7180" w:rsidRPr="00150EDC" w:rsidRDefault="004C7180">
      <w:pPr>
        <w:pStyle w:val="BodyText"/>
        <w:rPr>
          <w:sz w:val="20"/>
        </w:rPr>
      </w:pPr>
    </w:p>
    <w:p w14:paraId="20585B67" w14:textId="77777777" w:rsidR="004C7180" w:rsidRPr="00150EDC" w:rsidRDefault="004C7180">
      <w:pPr>
        <w:pStyle w:val="BodyText"/>
        <w:rPr>
          <w:sz w:val="20"/>
        </w:rPr>
      </w:pPr>
    </w:p>
    <w:p w14:paraId="78B7382F" w14:textId="77777777" w:rsidR="004C7180" w:rsidRPr="00150EDC" w:rsidRDefault="004C7180">
      <w:pPr>
        <w:pStyle w:val="BodyText"/>
        <w:rPr>
          <w:sz w:val="20"/>
        </w:rPr>
      </w:pPr>
    </w:p>
    <w:p w14:paraId="27F36500" w14:textId="77777777" w:rsidR="004C7180" w:rsidRPr="00150EDC" w:rsidRDefault="004C7180">
      <w:pPr>
        <w:pStyle w:val="BodyText"/>
        <w:rPr>
          <w:sz w:val="20"/>
        </w:rPr>
      </w:pPr>
    </w:p>
    <w:p w14:paraId="3F7689A4" w14:textId="77777777" w:rsidR="004C7180" w:rsidRPr="00150EDC" w:rsidRDefault="004C7180">
      <w:pPr>
        <w:pStyle w:val="BodyText"/>
        <w:rPr>
          <w:sz w:val="20"/>
        </w:rPr>
      </w:pPr>
    </w:p>
    <w:p w14:paraId="418B2DD9" w14:textId="77777777" w:rsidR="004C7180" w:rsidRPr="00150EDC" w:rsidRDefault="004C7180">
      <w:pPr>
        <w:pStyle w:val="BodyText"/>
        <w:rPr>
          <w:sz w:val="20"/>
        </w:rPr>
      </w:pPr>
    </w:p>
    <w:p w14:paraId="136AAC6F" w14:textId="77777777" w:rsidR="004C7180" w:rsidRPr="00150EDC" w:rsidRDefault="004C7180">
      <w:pPr>
        <w:pStyle w:val="BodyText"/>
        <w:rPr>
          <w:sz w:val="20"/>
        </w:rPr>
      </w:pPr>
    </w:p>
    <w:p w14:paraId="7E65E68D" w14:textId="77777777" w:rsidR="004C7180" w:rsidRPr="00150EDC" w:rsidRDefault="004C7180">
      <w:pPr>
        <w:pStyle w:val="BodyText"/>
        <w:rPr>
          <w:sz w:val="20"/>
        </w:rPr>
      </w:pPr>
    </w:p>
    <w:p w14:paraId="264AB353" w14:textId="77777777" w:rsidR="004C7180" w:rsidRPr="00150EDC" w:rsidRDefault="004C7180">
      <w:pPr>
        <w:pStyle w:val="BodyText"/>
        <w:rPr>
          <w:sz w:val="20"/>
        </w:rPr>
      </w:pPr>
    </w:p>
    <w:p w14:paraId="1ACE339F" w14:textId="77777777" w:rsidR="004C7180" w:rsidRPr="00150EDC" w:rsidRDefault="004C7180">
      <w:pPr>
        <w:pStyle w:val="BodyText"/>
        <w:rPr>
          <w:sz w:val="20"/>
        </w:rPr>
      </w:pPr>
    </w:p>
    <w:p w14:paraId="739F24A3" w14:textId="77777777" w:rsidR="004C7180" w:rsidRPr="00150EDC" w:rsidRDefault="004C7180">
      <w:pPr>
        <w:pStyle w:val="BodyText"/>
        <w:spacing w:before="1"/>
        <w:rPr>
          <w:sz w:val="27"/>
        </w:rPr>
      </w:pPr>
    </w:p>
    <w:p w14:paraId="3B4D852A" w14:textId="77777777" w:rsidR="004C7180" w:rsidRPr="00150EDC" w:rsidRDefault="00CF0754">
      <w:pPr>
        <w:spacing w:before="96"/>
        <w:ind w:left="1044"/>
        <w:rPr>
          <w:sz w:val="15"/>
        </w:rPr>
      </w:pPr>
      <w:r w:rsidRPr="00150EDC">
        <w:rPr>
          <w:sz w:val="15"/>
        </w:rPr>
        <w:t>DPS</w:t>
      </w:r>
      <w:r w:rsidRPr="00150EDC">
        <w:rPr>
          <w:spacing w:val="-3"/>
          <w:sz w:val="15"/>
        </w:rPr>
        <w:t xml:space="preserve"> </w:t>
      </w:r>
      <w:r w:rsidRPr="00150EDC">
        <w:rPr>
          <w:sz w:val="15"/>
        </w:rPr>
        <w:t xml:space="preserve">Ref: </w:t>
      </w:r>
      <w:r w:rsidRPr="00150EDC">
        <w:rPr>
          <w:spacing w:val="-2"/>
          <w:sz w:val="15"/>
        </w:rPr>
        <w:t>RM6322</w:t>
      </w:r>
    </w:p>
    <w:p w14:paraId="27FA7127" w14:textId="77777777" w:rsidR="004C7180" w:rsidRPr="00150EDC" w:rsidRDefault="00CF0754">
      <w:pPr>
        <w:tabs>
          <w:tab w:val="left" w:pos="7660"/>
        </w:tabs>
        <w:spacing w:before="26"/>
        <w:ind w:left="1044"/>
        <w:rPr>
          <w:sz w:val="15"/>
        </w:rPr>
      </w:pPr>
      <w:r w:rsidRPr="00150EDC">
        <w:rPr>
          <w:noProof/>
          <w:lang w:val="en-GB" w:eastAsia="en-GB"/>
        </w:rPr>
        <mc:AlternateContent>
          <mc:Choice Requires="wps">
            <w:drawing>
              <wp:anchor distT="0" distB="0" distL="0" distR="0" simplePos="0" relativeHeight="251658259" behindDoc="1" locked="0" layoutInCell="1" allowOverlap="1" wp14:anchorId="79BBD4F5" wp14:editId="35E5BFED">
                <wp:simplePos x="0" y="0"/>
                <wp:positionH relativeFrom="page">
                  <wp:posOffset>4921821</wp:posOffset>
                </wp:positionH>
                <wp:positionV relativeFrom="paragraph">
                  <wp:posOffset>16308</wp:posOffset>
                </wp:positionV>
                <wp:extent cx="53340" cy="110489"/>
                <wp:effectExtent l="0" t="0" r="0" b="0"/>
                <wp:wrapNone/>
                <wp:docPr id="73" name="Free-form: 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 cy="110489"/>
                        </a:xfrm>
                        <a:custGeom>
                          <a:avLst/>
                          <a:gdLst/>
                          <a:ahLst/>
                          <a:cxnLst/>
                          <a:rect l="l" t="t" r="r" b="b"/>
                          <a:pathLst>
                            <a:path w="53340" h="110489">
                              <a:moveTo>
                                <a:pt x="52806" y="0"/>
                              </a:moveTo>
                              <a:lnTo>
                                <a:pt x="0" y="0"/>
                              </a:lnTo>
                              <a:lnTo>
                                <a:pt x="0" y="110210"/>
                              </a:lnTo>
                              <a:lnTo>
                                <a:pt x="52806" y="110210"/>
                              </a:lnTo>
                              <a:lnTo>
                                <a:pt x="52806" y="0"/>
                              </a:lnTo>
                              <a:close/>
                            </a:path>
                          </a:pathLst>
                        </a:custGeom>
                        <a:solidFill>
                          <a:srgbClr val="E6E6E6"/>
                        </a:solidFill>
                      </wps:spPr>
                      <wps:bodyPr wrap="square" lIns="0" tIns="0" rIns="0" bIns="0" rtlCol="0">
                        <a:prstTxWarp prst="textNoShape">
                          <a:avLst/>
                        </a:prstTxWarp>
                        <a:noAutofit/>
                      </wps:bodyPr>
                    </wps:wsp>
                  </a:graphicData>
                </a:graphic>
              </wp:anchor>
            </w:drawing>
          </mc:Choice>
          <mc:Fallback>
            <w:pict>
              <v:shape w14:anchorId="794013C7" id="Free-form: Shape 73" o:spid="_x0000_s1026" style="position:absolute;margin-left:387.55pt;margin-top:1.3pt;width:4.2pt;height:8.7pt;z-index:-251658221;visibility:visible;mso-wrap-style:square;mso-wrap-distance-left:0;mso-wrap-distance-top:0;mso-wrap-distance-right:0;mso-wrap-distance-bottom:0;mso-position-horizontal:absolute;mso-position-horizontal-relative:page;mso-position-vertical:absolute;mso-position-vertical-relative:text;v-text-anchor:top" coordsize="53340,110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" path="m52806,l,,,110210r52806,l52806,xe" fillcolor="#e6e6e6" stroked="f">
                <v:path arrowok="t"/>
                <w10:wrap anchorx="page"/>
              </v:shape>
            </w:pict>
          </mc:Fallback>
        </mc:AlternateContent>
      </w:r>
      <w:r w:rsidRPr="00150EDC">
        <w:rPr>
          <w:sz w:val="15"/>
        </w:rPr>
        <w:t>Project</w:t>
      </w:r>
      <w:r w:rsidRPr="00150EDC">
        <w:rPr>
          <w:spacing w:val="-4"/>
          <w:sz w:val="15"/>
        </w:rPr>
        <w:t xml:space="preserve"> </w:t>
      </w:r>
      <w:r w:rsidRPr="00150EDC">
        <w:rPr>
          <w:sz w:val="15"/>
        </w:rPr>
        <w:t>Version:</w:t>
      </w:r>
      <w:r w:rsidRPr="00150EDC">
        <w:rPr>
          <w:spacing w:val="-3"/>
          <w:sz w:val="15"/>
        </w:rPr>
        <w:t xml:space="preserve"> </w:t>
      </w:r>
      <w:r w:rsidRPr="00150EDC">
        <w:rPr>
          <w:spacing w:val="-4"/>
          <w:sz w:val="15"/>
        </w:rPr>
        <w:t>v1.0</w:t>
      </w:r>
      <w:r w:rsidRPr="00150EDC">
        <w:rPr>
          <w:sz w:val="15"/>
        </w:rPr>
        <w:tab/>
        <w:t>-</w:t>
      </w:r>
      <w:r w:rsidRPr="00150EDC">
        <w:rPr>
          <w:spacing w:val="-5"/>
          <w:sz w:val="15"/>
        </w:rPr>
        <w:t>8-</w:t>
      </w:r>
    </w:p>
    <w:p w14:paraId="4DD3B74A" w14:textId="77777777" w:rsidR="004C7180" w:rsidRPr="00150EDC" w:rsidRDefault="004C7180">
      <w:pPr>
        <w:rPr>
          <w:sz w:val="15"/>
        </w:rPr>
        <w:sectPr w:rsidR="004C7180" w:rsidRPr="00150EDC">
          <w:pgSz w:w="11910" w:h="16840"/>
          <w:pgMar w:top="2940" w:right="0" w:bottom="2720" w:left="40" w:header="2612" w:footer="2535" w:gutter="0"/>
          <w:cols w:space="720"/>
        </w:sectPr>
      </w:pPr>
    </w:p>
    <w:p w14:paraId="4E2B6EB8" w14:textId="77777777" w:rsidR="004C7180" w:rsidRPr="00150EDC" w:rsidRDefault="004C7180">
      <w:pPr>
        <w:pStyle w:val="BodyText"/>
        <w:spacing w:before="10"/>
        <w:rPr>
          <w:sz w:val="15"/>
        </w:rPr>
      </w:pPr>
    </w:p>
    <w:p w14:paraId="734364B4" w14:textId="77777777" w:rsidR="004C7180" w:rsidRPr="00150EDC" w:rsidRDefault="00CF0754">
      <w:pPr>
        <w:pStyle w:val="Heading1"/>
        <w:spacing w:before="88"/>
        <w:ind w:left="1400" w:firstLine="0"/>
      </w:pPr>
      <w:bookmarkStart w:id="13" w:name="DPS_Joint_Schedule_12_-_Supply_Chain_Vis"/>
      <w:bookmarkEnd w:id="13"/>
      <w:r w:rsidRPr="00150EDC">
        <w:t>Joint</w:t>
      </w:r>
      <w:r w:rsidRPr="00150EDC">
        <w:rPr>
          <w:spacing w:val="-8"/>
        </w:rPr>
        <w:t xml:space="preserve"> </w:t>
      </w:r>
      <w:r w:rsidRPr="00150EDC">
        <w:t>Schedule</w:t>
      </w:r>
      <w:r w:rsidRPr="00150EDC">
        <w:rPr>
          <w:spacing w:val="-7"/>
        </w:rPr>
        <w:t xml:space="preserve"> </w:t>
      </w:r>
      <w:r w:rsidRPr="00150EDC">
        <w:t>12</w:t>
      </w:r>
      <w:r w:rsidRPr="00150EDC">
        <w:rPr>
          <w:spacing w:val="-6"/>
        </w:rPr>
        <w:t xml:space="preserve"> </w:t>
      </w:r>
      <w:r w:rsidRPr="00150EDC">
        <w:t>(Supply</w:t>
      </w:r>
      <w:r w:rsidRPr="00150EDC">
        <w:rPr>
          <w:spacing w:val="-10"/>
        </w:rPr>
        <w:t xml:space="preserve"> </w:t>
      </w:r>
      <w:r w:rsidRPr="00150EDC">
        <w:t>Chain</w:t>
      </w:r>
      <w:r w:rsidRPr="00150EDC">
        <w:rPr>
          <w:spacing w:val="-5"/>
        </w:rPr>
        <w:t xml:space="preserve"> </w:t>
      </w:r>
      <w:r w:rsidRPr="00150EDC">
        <w:rPr>
          <w:spacing w:val="-2"/>
        </w:rPr>
        <w:t>Visibility)</w:t>
      </w:r>
    </w:p>
    <w:p w14:paraId="7B7B41C0" w14:textId="77777777" w:rsidR="004C7180" w:rsidRPr="00150EDC" w:rsidRDefault="00CF0754" w:rsidP="00B320C7">
      <w:pPr>
        <w:pStyle w:val="Heading4"/>
        <w:numPr>
          <w:ilvl w:val="2"/>
          <w:numId w:val="93"/>
        </w:numPr>
        <w:tabs>
          <w:tab w:val="left" w:pos="2120"/>
        </w:tabs>
        <w:spacing w:before="261"/>
      </w:pPr>
      <w:r w:rsidRPr="00150EDC">
        <w:rPr>
          <w:spacing w:val="-2"/>
        </w:rPr>
        <w:t>Definitions</w:t>
      </w:r>
    </w:p>
    <w:p w14:paraId="42966666" w14:textId="77777777" w:rsidR="004C7180" w:rsidRPr="00150EDC" w:rsidRDefault="004C7180">
      <w:pPr>
        <w:pStyle w:val="BodyText"/>
        <w:spacing w:before="3"/>
        <w:rPr>
          <w:b/>
          <w:sz w:val="31"/>
        </w:rPr>
      </w:pPr>
    </w:p>
    <w:p w14:paraId="1EE33671" w14:textId="77777777" w:rsidR="004C7180" w:rsidRPr="00150EDC" w:rsidRDefault="00CF0754" w:rsidP="00B320C7">
      <w:pPr>
        <w:pStyle w:val="ListParagraph"/>
        <w:numPr>
          <w:ilvl w:val="3"/>
          <w:numId w:val="93"/>
        </w:numPr>
        <w:tabs>
          <w:tab w:val="left" w:pos="2085"/>
          <w:tab w:val="left" w:pos="2120"/>
        </w:tabs>
        <w:spacing w:line="276" w:lineRule="auto"/>
        <w:ind w:right="1781" w:hanging="437"/>
        <w:rPr>
          <w:sz w:val="24"/>
        </w:rPr>
      </w:pPr>
      <w:r w:rsidRPr="00150EDC">
        <w:rPr>
          <w:sz w:val="24"/>
        </w:rPr>
        <w:t>In</w:t>
      </w:r>
      <w:r w:rsidRPr="00150EDC">
        <w:rPr>
          <w:spacing w:val="-3"/>
          <w:sz w:val="24"/>
        </w:rPr>
        <w:t xml:space="preserve"> </w:t>
      </w:r>
      <w:r w:rsidRPr="00150EDC">
        <w:rPr>
          <w:sz w:val="24"/>
        </w:rPr>
        <w:t>this</w:t>
      </w:r>
      <w:r w:rsidRPr="00150EDC">
        <w:rPr>
          <w:spacing w:val="-3"/>
          <w:sz w:val="24"/>
        </w:rPr>
        <w:t xml:space="preserve"> </w:t>
      </w:r>
      <w:r w:rsidRPr="00150EDC">
        <w:rPr>
          <w:sz w:val="24"/>
        </w:rPr>
        <w:t>Schedule,</w:t>
      </w:r>
      <w:r w:rsidRPr="00150EDC">
        <w:rPr>
          <w:spacing w:val="-3"/>
          <w:sz w:val="24"/>
        </w:rPr>
        <w:t xml:space="preserve"> </w:t>
      </w:r>
      <w:r w:rsidRPr="00150EDC">
        <w:rPr>
          <w:sz w:val="24"/>
        </w:rPr>
        <w:t>the</w:t>
      </w:r>
      <w:r w:rsidRPr="00150EDC">
        <w:rPr>
          <w:spacing w:val="-3"/>
          <w:sz w:val="24"/>
        </w:rPr>
        <w:t xml:space="preserve"> </w:t>
      </w:r>
      <w:r w:rsidRPr="00150EDC">
        <w:rPr>
          <w:sz w:val="24"/>
        </w:rPr>
        <w:t>following</w:t>
      </w:r>
      <w:r w:rsidRPr="00150EDC">
        <w:rPr>
          <w:spacing w:val="-5"/>
          <w:sz w:val="24"/>
        </w:rPr>
        <w:t xml:space="preserve"> </w:t>
      </w:r>
      <w:r w:rsidRPr="00150EDC">
        <w:rPr>
          <w:sz w:val="24"/>
        </w:rPr>
        <w:t>words</w:t>
      </w:r>
      <w:r w:rsidRPr="00150EDC">
        <w:rPr>
          <w:spacing w:val="-3"/>
          <w:sz w:val="24"/>
        </w:rPr>
        <w:t xml:space="preserve"> </w:t>
      </w:r>
      <w:r w:rsidRPr="00150EDC">
        <w:rPr>
          <w:sz w:val="24"/>
        </w:rPr>
        <w:t>shall</w:t>
      </w:r>
      <w:r w:rsidRPr="00150EDC">
        <w:rPr>
          <w:spacing w:val="-4"/>
          <w:sz w:val="24"/>
        </w:rPr>
        <w:t xml:space="preserve"> </w:t>
      </w:r>
      <w:r w:rsidRPr="00150EDC">
        <w:rPr>
          <w:sz w:val="24"/>
        </w:rPr>
        <w:t>have</w:t>
      </w:r>
      <w:r w:rsidRPr="00150EDC">
        <w:rPr>
          <w:spacing w:val="-5"/>
          <w:sz w:val="24"/>
        </w:rPr>
        <w:t xml:space="preserve"> </w:t>
      </w:r>
      <w:r w:rsidRPr="00150EDC">
        <w:rPr>
          <w:sz w:val="24"/>
        </w:rPr>
        <w:t>the</w:t>
      </w:r>
      <w:r w:rsidRPr="00150EDC">
        <w:rPr>
          <w:spacing w:val="-3"/>
          <w:sz w:val="24"/>
        </w:rPr>
        <w:t xml:space="preserve"> </w:t>
      </w:r>
      <w:r w:rsidRPr="00150EDC">
        <w:rPr>
          <w:sz w:val="24"/>
        </w:rPr>
        <w:t>following</w:t>
      </w:r>
      <w:r w:rsidRPr="00150EDC">
        <w:rPr>
          <w:spacing w:val="-5"/>
          <w:sz w:val="24"/>
        </w:rPr>
        <w:t xml:space="preserve"> </w:t>
      </w:r>
      <w:r w:rsidRPr="00150EDC">
        <w:rPr>
          <w:sz w:val="24"/>
        </w:rPr>
        <w:t>meanings</w:t>
      </w:r>
      <w:r w:rsidRPr="00150EDC">
        <w:rPr>
          <w:spacing w:val="-6"/>
          <w:sz w:val="24"/>
        </w:rPr>
        <w:t xml:space="preserve"> </w:t>
      </w:r>
      <w:r w:rsidRPr="00150EDC">
        <w:rPr>
          <w:sz w:val="24"/>
        </w:rPr>
        <w:t>and they shall supplement Joint Schedule 1 (Definitions):</w:t>
      </w:r>
    </w:p>
    <w:p w14:paraId="0DAC494C" w14:textId="77777777" w:rsidR="004C7180" w:rsidRPr="00150EDC" w:rsidRDefault="004C7180">
      <w:pPr>
        <w:pStyle w:val="BodyText"/>
        <w:spacing w:before="6"/>
        <w:rPr>
          <w:sz w:val="28"/>
        </w:rPr>
      </w:pPr>
    </w:p>
    <w:tbl>
      <w:tblPr>
        <w:tblW w:w="0" w:type="auto"/>
        <w:tblInd w:w="1993" w:type="dxa"/>
        <w:tblLayout w:type="fixed"/>
        <w:tblCellMar>
          <w:left w:w="0" w:type="dxa"/>
          <w:right w:w="0" w:type="dxa"/>
        </w:tblCellMar>
        <w:tblLook w:val="01E0" w:firstRow="1" w:lastRow="1" w:firstColumn="1" w:lastColumn="1" w:noHBand="0" w:noVBand="0"/>
      </w:tblPr>
      <w:tblGrid>
        <w:gridCol w:w="3284"/>
        <w:gridCol w:w="4799"/>
      </w:tblGrid>
      <w:tr w:rsidR="004569EE" w:rsidRPr="007D3144" w14:paraId="32199DF6" w14:textId="77777777">
        <w:trPr>
          <w:trHeight w:val="668"/>
        </w:trPr>
        <w:tc>
          <w:tcPr>
            <w:tcW w:w="3284" w:type="dxa"/>
          </w:tcPr>
          <w:p w14:paraId="25849D96" w14:textId="77777777" w:rsidR="004C7180" w:rsidRPr="00150EDC" w:rsidRDefault="00CF0754">
            <w:pPr>
              <w:pStyle w:val="TableParagraph"/>
              <w:spacing w:before="0" w:line="268" w:lineRule="exact"/>
              <w:ind w:left="50"/>
              <w:rPr>
                <w:b/>
                <w:sz w:val="24"/>
              </w:rPr>
            </w:pPr>
            <w:r w:rsidRPr="00150EDC">
              <w:rPr>
                <w:b/>
                <w:sz w:val="24"/>
              </w:rPr>
              <w:t>"Contracts</w:t>
            </w:r>
            <w:r w:rsidRPr="00150EDC">
              <w:rPr>
                <w:b/>
                <w:spacing w:val="-10"/>
                <w:sz w:val="24"/>
              </w:rPr>
              <w:t xml:space="preserve"> </w:t>
            </w:r>
            <w:r w:rsidRPr="00150EDC">
              <w:rPr>
                <w:b/>
                <w:spacing w:val="-2"/>
                <w:sz w:val="24"/>
              </w:rPr>
              <w:t>Finder"</w:t>
            </w:r>
          </w:p>
        </w:tc>
        <w:tc>
          <w:tcPr>
            <w:tcW w:w="4799" w:type="dxa"/>
          </w:tcPr>
          <w:p w14:paraId="6B9E4713" w14:textId="77777777" w:rsidR="004C7180" w:rsidRPr="00150EDC" w:rsidRDefault="00CF0754">
            <w:pPr>
              <w:pStyle w:val="TableParagraph"/>
              <w:tabs>
                <w:tab w:val="left" w:pos="653"/>
                <w:tab w:val="left" w:pos="2361"/>
                <w:tab w:val="left" w:pos="3653"/>
                <w:tab w:val="left" w:pos="4466"/>
              </w:tabs>
              <w:spacing w:before="0" w:line="240" w:lineRule="auto"/>
              <w:ind w:left="107" w:right="51"/>
              <w:rPr>
                <w:sz w:val="24"/>
              </w:rPr>
            </w:pPr>
            <w:r w:rsidRPr="00150EDC">
              <w:rPr>
                <w:spacing w:val="-4"/>
                <w:sz w:val="24"/>
              </w:rPr>
              <w:t>the</w:t>
            </w:r>
            <w:r w:rsidRPr="00150EDC">
              <w:rPr>
                <w:sz w:val="24"/>
              </w:rPr>
              <w:tab/>
            </w:r>
            <w:r w:rsidRPr="00150EDC">
              <w:rPr>
                <w:spacing w:val="-2"/>
                <w:sz w:val="24"/>
              </w:rPr>
              <w:t>Government’s</w:t>
            </w:r>
            <w:r w:rsidRPr="00150EDC">
              <w:rPr>
                <w:sz w:val="24"/>
              </w:rPr>
              <w:tab/>
            </w:r>
            <w:r w:rsidRPr="00150EDC">
              <w:rPr>
                <w:spacing w:val="-2"/>
                <w:sz w:val="24"/>
              </w:rPr>
              <w:t>publishing</w:t>
            </w:r>
            <w:r w:rsidRPr="00150EDC">
              <w:rPr>
                <w:sz w:val="24"/>
              </w:rPr>
              <w:tab/>
            </w:r>
            <w:r w:rsidRPr="00150EDC">
              <w:rPr>
                <w:spacing w:val="-2"/>
                <w:sz w:val="24"/>
              </w:rPr>
              <w:t>portal</w:t>
            </w:r>
            <w:r w:rsidRPr="00150EDC">
              <w:rPr>
                <w:sz w:val="24"/>
              </w:rPr>
              <w:tab/>
            </w:r>
            <w:r w:rsidRPr="00150EDC">
              <w:rPr>
                <w:spacing w:val="-4"/>
                <w:sz w:val="24"/>
              </w:rPr>
              <w:t xml:space="preserve">for </w:t>
            </w:r>
            <w:r w:rsidRPr="00150EDC">
              <w:rPr>
                <w:sz w:val="24"/>
              </w:rPr>
              <w:t>public sector procurement opportunities;</w:t>
            </w:r>
          </w:p>
        </w:tc>
      </w:tr>
      <w:tr w:rsidR="004569EE" w:rsidRPr="007D3144" w14:paraId="3EF84164" w14:textId="77777777">
        <w:trPr>
          <w:trHeight w:val="1896"/>
        </w:trPr>
        <w:tc>
          <w:tcPr>
            <w:tcW w:w="3284" w:type="dxa"/>
          </w:tcPr>
          <w:p w14:paraId="1BCDBC2A" w14:textId="77777777" w:rsidR="004C7180" w:rsidRPr="00150EDC" w:rsidRDefault="00CF0754">
            <w:pPr>
              <w:pStyle w:val="TableParagraph"/>
              <w:spacing w:before="116" w:line="240" w:lineRule="auto"/>
              <w:ind w:left="50"/>
              <w:rPr>
                <w:b/>
                <w:sz w:val="24"/>
              </w:rPr>
            </w:pPr>
            <w:r w:rsidRPr="00150EDC">
              <w:rPr>
                <w:b/>
                <w:spacing w:val="-2"/>
                <w:sz w:val="24"/>
              </w:rPr>
              <w:t>"SME"</w:t>
            </w:r>
          </w:p>
        </w:tc>
        <w:tc>
          <w:tcPr>
            <w:tcW w:w="4799" w:type="dxa"/>
          </w:tcPr>
          <w:p w14:paraId="3EB849E9" w14:textId="77777777" w:rsidR="004C7180" w:rsidRPr="00150EDC" w:rsidRDefault="00CF0754">
            <w:pPr>
              <w:pStyle w:val="TableParagraph"/>
              <w:spacing w:before="116" w:line="240" w:lineRule="auto"/>
              <w:ind w:left="107" w:right="49"/>
              <w:jc w:val="both"/>
              <w:rPr>
                <w:sz w:val="24"/>
              </w:rPr>
            </w:pPr>
            <w:r w:rsidRPr="00150EDC">
              <w:rPr>
                <w:sz w:val="24"/>
              </w:rPr>
              <w:t>an enterprise falling within the category of micro, small and medium sized enterprises defined by the Commission Recommendation</w:t>
            </w:r>
            <w:r w:rsidRPr="00150EDC">
              <w:rPr>
                <w:spacing w:val="-17"/>
                <w:sz w:val="24"/>
              </w:rPr>
              <w:t xml:space="preserve"> </w:t>
            </w:r>
            <w:r w:rsidRPr="00150EDC">
              <w:rPr>
                <w:sz w:val="24"/>
              </w:rPr>
              <w:t>of</w:t>
            </w:r>
            <w:r w:rsidRPr="00150EDC">
              <w:rPr>
                <w:spacing w:val="-17"/>
                <w:sz w:val="24"/>
              </w:rPr>
              <w:t xml:space="preserve"> </w:t>
            </w:r>
            <w:r w:rsidRPr="00150EDC">
              <w:rPr>
                <w:sz w:val="24"/>
              </w:rPr>
              <w:t>6</w:t>
            </w:r>
            <w:r w:rsidRPr="00150EDC">
              <w:rPr>
                <w:spacing w:val="-16"/>
                <w:sz w:val="24"/>
              </w:rPr>
              <w:t xml:space="preserve"> </w:t>
            </w:r>
            <w:r w:rsidRPr="00150EDC">
              <w:rPr>
                <w:sz w:val="24"/>
              </w:rPr>
              <w:t>May</w:t>
            </w:r>
            <w:r w:rsidRPr="00150EDC">
              <w:rPr>
                <w:spacing w:val="-17"/>
                <w:sz w:val="24"/>
              </w:rPr>
              <w:t xml:space="preserve"> </w:t>
            </w:r>
            <w:r w:rsidRPr="00150EDC">
              <w:rPr>
                <w:sz w:val="24"/>
              </w:rPr>
              <w:t>2003</w:t>
            </w:r>
            <w:r w:rsidRPr="00150EDC">
              <w:rPr>
                <w:spacing w:val="-17"/>
                <w:sz w:val="24"/>
              </w:rPr>
              <w:t xml:space="preserve"> </w:t>
            </w:r>
            <w:r w:rsidRPr="00150EDC">
              <w:rPr>
                <w:sz w:val="24"/>
              </w:rPr>
              <w:t>concerning the definition of micro, small and medium sized enterprises;</w:t>
            </w:r>
          </w:p>
        </w:tc>
      </w:tr>
      <w:tr w:rsidR="004569EE" w:rsidRPr="007D3144" w14:paraId="0771B521" w14:textId="77777777">
        <w:trPr>
          <w:trHeight w:val="792"/>
        </w:trPr>
        <w:tc>
          <w:tcPr>
            <w:tcW w:w="3284" w:type="dxa"/>
          </w:tcPr>
          <w:p w14:paraId="54F179AF" w14:textId="77777777" w:rsidR="004C7180" w:rsidRPr="00150EDC" w:rsidRDefault="00CF0754">
            <w:pPr>
              <w:pStyle w:val="TableParagraph"/>
              <w:spacing w:before="116" w:line="240" w:lineRule="auto"/>
              <w:ind w:left="50"/>
              <w:rPr>
                <w:b/>
                <w:sz w:val="24"/>
              </w:rPr>
            </w:pPr>
            <w:r w:rsidRPr="00150EDC">
              <w:rPr>
                <w:b/>
                <w:sz w:val="24"/>
              </w:rPr>
              <w:t>“Supply</w:t>
            </w:r>
            <w:r w:rsidRPr="00150EDC">
              <w:rPr>
                <w:b/>
                <w:spacing w:val="25"/>
                <w:sz w:val="24"/>
              </w:rPr>
              <w:t xml:space="preserve"> </w:t>
            </w:r>
            <w:r w:rsidRPr="00150EDC">
              <w:rPr>
                <w:b/>
                <w:sz w:val="24"/>
              </w:rPr>
              <w:t>Chain</w:t>
            </w:r>
            <w:r w:rsidRPr="00150EDC">
              <w:rPr>
                <w:b/>
                <w:spacing w:val="23"/>
                <w:sz w:val="24"/>
              </w:rPr>
              <w:t xml:space="preserve"> </w:t>
            </w:r>
            <w:r w:rsidRPr="00150EDC">
              <w:rPr>
                <w:b/>
                <w:sz w:val="24"/>
              </w:rPr>
              <w:t>Information Report Template”</w:t>
            </w:r>
          </w:p>
        </w:tc>
        <w:tc>
          <w:tcPr>
            <w:tcW w:w="4799" w:type="dxa"/>
          </w:tcPr>
          <w:p w14:paraId="4ED61F0A" w14:textId="77777777" w:rsidR="004C7180" w:rsidRPr="00150EDC" w:rsidRDefault="00CF0754">
            <w:pPr>
              <w:pStyle w:val="TableParagraph"/>
              <w:spacing w:before="116" w:line="240" w:lineRule="auto"/>
              <w:ind w:left="107"/>
              <w:rPr>
                <w:sz w:val="24"/>
              </w:rPr>
            </w:pPr>
            <w:r w:rsidRPr="00150EDC">
              <w:rPr>
                <w:sz w:val="24"/>
              </w:rPr>
              <w:t>the document at Annex 1 of this Schedule 12; and</w:t>
            </w:r>
          </w:p>
        </w:tc>
      </w:tr>
      <w:tr w:rsidR="004569EE" w:rsidRPr="007D3144" w14:paraId="1E71E4AD" w14:textId="77777777">
        <w:trPr>
          <w:trHeight w:val="1220"/>
        </w:trPr>
        <w:tc>
          <w:tcPr>
            <w:tcW w:w="3284" w:type="dxa"/>
          </w:tcPr>
          <w:p w14:paraId="303E5515" w14:textId="77777777" w:rsidR="004C7180" w:rsidRPr="00150EDC" w:rsidRDefault="00CF0754">
            <w:pPr>
              <w:pStyle w:val="TableParagraph"/>
              <w:spacing w:before="116" w:line="240" w:lineRule="auto"/>
              <w:ind w:left="50"/>
              <w:rPr>
                <w:b/>
                <w:sz w:val="24"/>
              </w:rPr>
            </w:pPr>
            <w:r w:rsidRPr="00150EDC">
              <w:rPr>
                <w:b/>
                <w:spacing w:val="-2"/>
                <w:sz w:val="24"/>
              </w:rPr>
              <w:t>"VCSE"</w:t>
            </w:r>
          </w:p>
        </w:tc>
        <w:tc>
          <w:tcPr>
            <w:tcW w:w="4799" w:type="dxa"/>
          </w:tcPr>
          <w:p w14:paraId="6252D2E7" w14:textId="77777777" w:rsidR="004C7180" w:rsidRPr="00150EDC" w:rsidRDefault="00CF0754">
            <w:pPr>
              <w:pStyle w:val="TableParagraph"/>
              <w:spacing w:before="96" w:line="270" w:lineRule="atLeast"/>
              <w:ind w:left="107" w:right="48"/>
              <w:jc w:val="both"/>
              <w:rPr>
                <w:sz w:val="24"/>
              </w:rPr>
            </w:pPr>
            <w:r w:rsidRPr="00150EDC">
              <w:rPr>
                <w:sz w:val="24"/>
              </w:rPr>
              <w:t>a non-governmental organisation that is value-driven</w:t>
            </w:r>
            <w:r w:rsidRPr="00150EDC">
              <w:rPr>
                <w:spacing w:val="-4"/>
                <w:sz w:val="24"/>
              </w:rPr>
              <w:t xml:space="preserve"> </w:t>
            </w:r>
            <w:r w:rsidRPr="00150EDC">
              <w:rPr>
                <w:sz w:val="24"/>
              </w:rPr>
              <w:t>and</w:t>
            </w:r>
            <w:r w:rsidRPr="00150EDC">
              <w:rPr>
                <w:spacing w:val="-4"/>
                <w:sz w:val="24"/>
              </w:rPr>
              <w:t xml:space="preserve"> </w:t>
            </w:r>
            <w:r w:rsidRPr="00150EDC">
              <w:rPr>
                <w:sz w:val="24"/>
              </w:rPr>
              <w:t>which</w:t>
            </w:r>
            <w:r w:rsidRPr="00150EDC">
              <w:rPr>
                <w:spacing w:val="-2"/>
                <w:sz w:val="24"/>
              </w:rPr>
              <w:t xml:space="preserve"> </w:t>
            </w:r>
            <w:r w:rsidRPr="00150EDC">
              <w:rPr>
                <w:sz w:val="24"/>
              </w:rPr>
              <w:t>principally</w:t>
            </w:r>
            <w:r w:rsidRPr="00150EDC">
              <w:rPr>
                <w:spacing w:val="-3"/>
                <w:sz w:val="24"/>
              </w:rPr>
              <w:t xml:space="preserve"> </w:t>
            </w:r>
            <w:r w:rsidRPr="00150EDC">
              <w:rPr>
                <w:sz w:val="24"/>
              </w:rPr>
              <w:t>reinvests its</w:t>
            </w:r>
            <w:r w:rsidRPr="00150EDC">
              <w:rPr>
                <w:spacing w:val="-17"/>
                <w:sz w:val="24"/>
              </w:rPr>
              <w:t xml:space="preserve"> </w:t>
            </w:r>
            <w:r w:rsidRPr="00150EDC">
              <w:rPr>
                <w:sz w:val="24"/>
              </w:rPr>
              <w:t>surpluses</w:t>
            </w:r>
            <w:r w:rsidRPr="00150EDC">
              <w:rPr>
                <w:spacing w:val="-16"/>
                <w:sz w:val="24"/>
              </w:rPr>
              <w:t xml:space="preserve"> </w:t>
            </w:r>
            <w:r w:rsidRPr="00150EDC">
              <w:rPr>
                <w:sz w:val="24"/>
              </w:rPr>
              <w:t>to</w:t>
            </w:r>
            <w:r w:rsidRPr="00150EDC">
              <w:rPr>
                <w:spacing w:val="-15"/>
                <w:sz w:val="24"/>
              </w:rPr>
              <w:t xml:space="preserve"> </w:t>
            </w:r>
            <w:r w:rsidRPr="00150EDC">
              <w:rPr>
                <w:sz w:val="24"/>
              </w:rPr>
              <w:t>further</w:t>
            </w:r>
            <w:r w:rsidRPr="00150EDC">
              <w:rPr>
                <w:spacing w:val="-17"/>
                <w:sz w:val="24"/>
              </w:rPr>
              <w:t xml:space="preserve"> </w:t>
            </w:r>
            <w:r w:rsidRPr="00150EDC">
              <w:rPr>
                <w:sz w:val="24"/>
              </w:rPr>
              <w:t>social,</w:t>
            </w:r>
            <w:r w:rsidRPr="00150EDC">
              <w:rPr>
                <w:spacing w:val="-15"/>
                <w:sz w:val="24"/>
              </w:rPr>
              <w:t xml:space="preserve"> </w:t>
            </w:r>
            <w:r w:rsidRPr="00150EDC">
              <w:rPr>
                <w:sz w:val="24"/>
              </w:rPr>
              <w:t>environmental or cultural objectives.</w:t>
            </w:r>
          </w:p>
        </w:tc>
      </w:tr>
    </w:tbl>
    <w:p w14:paraId="125E84E3" w14:textId="77777777" w:rsidR="004C7180" w:rsidRPr="00150EDC" w:rsidRDefault="004C7180">
      <w:pPr>
        <w:pStyle w:val="BodyText"/>
        <w:rPr>
          <w:sz w:val="26"/>
        </w:rPr>
      </w:pPr>
    </w:p>
    <w:p w14:paraId="4F1CA93E" w14:textId="77777777" w:rsidR="004C7180" w:rsidRPr="00150EDC" w:rsidRDefault="004C7180">
      <w:pPr>
        <w:pStyle w:val="BodyText"/>
        <w:spacing w:before="4"/>
        <w:rPr>
          <w:sz w:val="29"/>
        </w:rPr>
      </w:pPr>
    </w:p>
    <w:p w14:paraId="199592E2" w14:textId="77777777" w:rsidR="004C7180" w:rsidRPr="00150EDC" w:rsidRDefault="00CF0754" w:rsidP="00B320C7">
      <w:pPr>
        <w:pStyle w:val="Heading4"/>
        <w:numPr>
          <w:ilvl w:val="2"/>
          <w:numId w:val="93"/>
        </w:numPr>
        <w:tabs>
          <w:tab w:val="left" w:pos="2120"/>
        </w:tabs>
      </w:pPr>
      <w:r w:rsidRPr="00150EDC">
        <w:t>Visibility</w:t>
      </w:r>
      <w:r w:rsidRPr="00150EDC">
        <w:rPr>
          <w:spacing w:val="-4"/>
        </w:rPr>
        <w:t xml:space="preserve"> </w:t>
      </w:r>
      <w:r w:rsidRPr="00150EDC">
        <w:t>of</w:t>
      </w:r>
      <w:r w:rsidRPr="00150EDC">
        <w:rPr>
          <w:spacing w:val="-3"/>
        </w:rPr>
        <w:t xml:space="preserve"> </w:t>
      </w:r>
      <w:r w:rsidRPr="00150EDC">
        <w:t>Sub-Contract</w:t>
      </w:r>
      <w:r w:rsidRPr="00150EDC">
        <w:rPr>
          <w:spacing w:val="-3"/>
        </w:rPr>
        <w:t xml:space="preserve"> </w:t>
      </w:r>
      <w:r w:rsidRPr="00150EDC">
        <w:t>Opportunities</w:t>
      </w:r>
      <w:r w:rsidRPr="00150EDC">
        <w:rPr>
          <w:spacing w:val="-5"/>
        </w:rPr>
        <w:t xml:space="preserve"> </w:t>
      </w:r>
      <w:r w:rsidRPr="00150EDC">
        <w:t>in</w:t>
      </w:r>
      <w:r w:rsidRPr="00150EDC">
        <w:rPr>
          <w:spacing w:val="-5"/>
        </w:rPr>
        <w:t xml:space="preserve"> </w:t>
      </w:r>
      <w:r w:rsidRPr="00150EDC">
        <w:t>the</w:t>
      </w:r>
      <w:r w:rsidRPr="00150EDC">
        <w:rPr>
          <w:spacing w:val="-3"/>
        </w:rPr>
        <w:t xml:space="preserve"> </w:t>
      </w:r>
      <w:r w:rsidRPr="00150EDC">
        <w:t>Supply</w:t>
      </w:r>
      <w:r w:rsidRPr="00150EDC">
        <w:rPr>
          <w:spacing w:val="-3"/>
        </w:rPr>
        <w:t xml:space="preserve"> </w:t>
      </w:r>
      <w:r w:rsidRPr="00150EDC">
        <w:rPr>
          <w:spacing w:val="-2"/>
        </w:rPr>
        <w:t>Chain</w:t>
      </w:r>
    </w:p>
    <w:p w14:paraId="1A309609" w14:textId="77777777" w:rsidR="004C7180" w:rsidRPr="00150EDC" w:rsidRDefault="004C7180">
      <w:pPr>
        <w:pStyle w:val="BodyText"/>
        <w:spacing w:before="1"/>
        <w:rPr>
          <w:b/>
          <w:sz w:val="31"/>
        </w:rPr>
      </w:pPr>
    </w:p>
    <w:p w14:paraId="54F89802" w14:textId="77777777" w:rsidR="004C7180" w:rsidRPr="00150EDC" w:rsidRDefault="00CF0754" w:rsidP="00B320C7">
      <w:pPr>
        <w:pStyle w:val="ListParagraph"/>
        <w:numPr>
          <w:ilvl w:val="3"/>
          <w:numId w:val="93"/>
        </w:numPr>
        <w:tabs>
          <w:tab w:val="left" w:pos="2461"/>
        </w:tabs>
        <w:spacing w:before="1"/>
        <w:ind w:left="2461" w:hanging="701"/>
        <w:rPr>
          <w:sz w:val="24"/>
        </w:rPr>
      </w:pPr>
      <w:r w:rsidRPr="00150EDC">
        <w:rPr>
          <w:sz w:val="24"/>
        </w:rPr>
        <w:t>The</w:t>
      </w:r>
      <w:r w:rsidRPr="00150EDC">
        <w:rPr>
          <w:spacing w:val="-4"/>
          <w:sz w:val="24"/>
        </w:rPr>
        <w:t xml:space="preserve"> </w:t>
      </w:r>
      <w:r w:rsidRPr="00150EDC">
        <w:rPr>
          <w:sz w:val="24"/>
        </w:rPr>
        <w:t>Supplier</w:t>
      </w:r>
      <w:r w:rsidRPr="00150EDC">
        <w:rPr>
          <w:spacing w:val="-3"/>
          <w:sz w:val="24"/>
        </w:rPr>
        <w:t xml:space="preserve"> </w:t>
      </w:r>
      <w:r w:rsidRPr="00150EDC">
        <w:rPr>
          <w:spacing w:val="-2"/>
          <w:sz w:val="24"/>
        </w:rPr>
        <w:t>shall:</w:t>
      </w:r>
    </w:p>
    <w:p w14:paraId="5FEC5C2B" w14:textId="77777777" w:rsidR="004C7180" w:rsidRPr="00150EDC" w:rsidRDefault="004C7180">
      <w:pPr>
        <w:pStyle w:val="BodyText"/>
        <w:spacing w:before="3"/>
        <w:rPr>
          <w:sz w:val="31"/>
        </w:rPr>
      </w:pPr>
    </w:p>
    <w:p w14:paraId="0998B67D" w14:textId="77777777" w:rsidR="004C7180" w:rsidRPr="00150EDC" w:rsidRDefault="00CF0754" w:rsidP="00B320C7">
      <w:pPr>
        <w:pStyle w:val="ListParagraph"/>
        <w:numPr>
          <w:ilvl w:val="4"/>
          <w:numId w:val="93"/>
        </w:numPr>
        <w:tabs>
          <w:tab w:val="left" w:pos="2478"/>
          <w:tab w:val="left" w:pos="2480"/>
        </w:tabs>
        <w:spacing w:line="276" w:lineRule="auto"/>
        <w:ind w:right="1663"/>
        <w:rPr>
          <w:sz w:val="24"/>
        </w:rPr>
      </w:pPr>
      <w:r w:rsidRPr="00150EDC">
        <w:rPr>
          <w:sz w:val="24"/>
        </w:rPr>
        <w:t>subject</w:t>
      </w:r>
      <w:r w:rsidRPr="00150EDC">
        <w:rPr>
          <w:spacing w:val="-1"/>
          <w:sz w:val="24"/>
        </w:rPr>
        <w:t xml:space="preserve"> </w:t>
      </w:r>
      <w:r w:rsidRPr="00150EDC">
        <w:rPr>
          <w:sz w:val="24"/>
        </w:rPr>
        <w:t>to Paragraph</w:t>
      </w:r>
      <w:r w:rsidRPr="00150EDC">
        <w:rPr>
          <w:spacing w:val="-1"/>
          <w:sz w:val="24"/>
        </w:rPr>
        <w:t xml:space="preserve"> </w:t>
      </w:r>
      <w:r w:rsidRPr="00150EDC">
        <w:rPr>
          <w:sz w:val="24"/>
        </w:rPr>
        <w:t>2.3, advertise</w:t>
      </w:r>
      <w:r w:rsidRPr="00150EDC">
        <w:rPr>
          <w:spacing w:val="-1"/>
          <w:sz w:val="24"/>
        </w:rPr>
        <w:t xml:space="preserve"> </w:t>
      </w:r>
      <w:r w:rsidRPr="00150EDC">
        <w:rPr>
          <w:sz w:val="24"/>
        </w:rPr>
        <w:t>on Contracts Finder</w:t>
      </w:r>
      <w:r w:rsidRPr="00150EDC">
        <w:rPr>
          <w:spacing w:val="-2"/>
          <w:sz w:val="24"/>
        </w:rPr>
        <w:t xml:space="preserve"> </w:t>
      </w:r>
      <w:r w:rsidRPr="00150EDC">
        <w:rPr>
          <w:sz w:val="24"/>
        </w:rPr>
        <w:t>all Sub-Contract opportunities arising from or in connection with the provision of the Deliverables</w:t>
      </w:r>
      <w:r w:rsidRPr="00150EDC">
        <w:rPr>
          <w:spacing w:val="-3"/>
          <w:sz w:val="24"/>
        </w:rPr>
        <w:t xml:space="preserve"> </w:t>
      </w:r>
      <w:r w:rsidRPr="00150EDC">
        <w:rPr>
          <w:sz w:val="24"/>
        </w:rPr>
        <w:t>above</w:t>
      </w:r>
      <w:r w:rsidRPr="00150EDC">
        <w:rPr>
          <w:spacing w:val="-5"/>
          <w:sz w:val="24"/>
        </w:rPr>
        <w:t xml:space="preserve"> </w:t>
      </w:r>
      <w:r w:rsidRPr="00150EDC">
        <w:rPr>
          <w:sz w:val="24"/>
        </w:rPr>
        <w:t>a</w:t>
      </w:r>
      <w:r w:rsidRPr="00150EDC">
        <w:rPr>
          <w:spacing w:val="-4"/>
          <w:sz w:val="24"/>
        </w:rPr>
        <w:t xml:space="preserve"> </w:t>
      </w:r>
      <w:r w:rsidRPr="00150EDC">
        <w:rPr>
          <w:sz w:val="24"/>
        </w:rPr>
        <w:t>minimum</w:t>
      </w:r>
      <w:r w:rsidRPr="00150EDC">
        <w:rPr>
          <w:spacing w:val="-4"/>
          <w:sz w:val="24"/>
        </w:rPr>
        <w:t xml:space="preserve"> </w:t>
      </w:r>
      <w:r w:rsidRPr="00150EDC">
        <w:rPr>
          <w:sz w:val="24"/>
        </w:rPr>
        <w:t>threshold</w:t>
      </w:r>
      <w:r w:rsidRPr="00150EDC">
        <w:rPr>
          <w:spacing w:val="-5"/>
          <w:sz w:val="24"/>
        </w:rPr>
        <w:t xml:space="preserve"> </w:t>
      </w:r>
      <w:r w:rsidRPr="00150EDC">
        <w:rPr>
          <w:sz w:val="24"/>
        </w:rPr>
        <w:t>of</w:t>
      </w:r>
      <w:r w:rsidRPr="00150EDC">
        <w:rPr>
          <w:spacing w:val="-5"/>
          <w:sz w:val="24"/>
        </w:rPr>
        <w:t xml:space="preserve"> </w:t>
      </w:r>
      <w:r w:rsidRPr="00150EDC">
        <w:rPr>
          <w:sz w:val="24"/>
        </w:rPr>
        <w:t>£25,000</w:t>
      </w:r>
      <w:r w:rsidRPr="00150EDC">
        <w:rPr>
          <w:spacing w:val="-5"/>
          <w:sz w:val="24"/>
        </w:rPr>
        <w:t xml:space="preserve"> </w:t>
      </w:r>
      <w:r w:rsidRPr="00150EDC">
        <w:rPr>
          <w:sz w:val="24"/>
        </w:rPr>
        <w:t>that</w:t>
      </w:r>
      <w:r w:rsidRPr="00150EDC">
        <w:rPr>
          <w:spacing w:val="-3"/>
          <w:sz w:val="24"/>
        </w:rPr>
        <w:t xml:space="preserve"> </w:t>
      </w:r>
      <w:r w:rsidRPr="00150EDC">
        <w:rPr>
          <w:sz w:val="24"/>
        </w:rPr>
        <w:t>arise</w:t>
      </w:r>
      <w:r w:rsidRPr="00150EDC">
        <w:rPr>
          <w:spacing w:val="-5"/>
          <w:sz w:val="24"/>
        </w:rPr>
        <w:t xml:space="preserve"> </w:t>
      </w:r>
      <w:r w:rsidRPr="00150EDC">
        <w:rPr>
          <w:sz w:val="24"/>
        </w:rPr>
        <w:t>during</w:t>
      </w:r>
      <w:r w:rsidRPr="00150EDC">
        <w:rPr>
          <w:spacing w:val="-3"/>
          <w:sz w:val="24"/>
        </w:rPr>
        <w:t xml:space="preserve"> </w:t>
      </w:r>
      <w:r w:rsidRPr="00150EDC">
        <w:rPr>
          <w:sz w:val="24"/>
        </w:rPr>
        <w:t>the Contract Period;</w:t>
      </w:r>
    </w:p>
    <w:p w14:paraId="429D9D38" w14:textId="77777777" w:rsidR="004C7180" w:rsidRPr="00150EDC" w:rsidRDefault="00CF0754" w:rsidP="00B320C7">
      <w:pPr>
        <w:pStyle w:val="ListParagraph"/>
        <w:numPr>
          <w:ilvl w:val="4"/>
          <w:numId w:val="93"/>
        </w:numPr>
        <w:tabs>
          <w:tab w:val="left" w:pos="2478"/>
          <w:tab w:val="left" w:pos="2480"/>
        </w:tabs>
        <w:spacing w:line="278" w:lineRule="auto"/>
        <w:ind w:right="1580"/>
        <w:rPr>
          <w:sz w:val="24"/>
        </w:rPr>
      </w:pPr>
      <w:r w:rsidRPr="00150EDC">
        <w:rPr>
          <w:sz w:val="24"/>
        </w:rPr>
        <w:t>within</w:t>
      </w:r>
      <w:r w:rsidRPr="00150EDC">
        <w:rPr>
          <w:spacing w:val="-3"/>
          <w:sz w:val="24"/>
        </w:rPr>
        <w:t xml:space="preserve"> </w:t>
      </w:r>
      <w:r w:rsidRPr="00150EDC">
        <w:rPr>
          <w:sz w:val="24"/>
        </w:rPr>
        <w:t>90</w:t>
      </w:r>
      <w:r w:rsidRPr="00150EDC">
        <w:rPr>
          <w:spacing w:val="-5"/>
          <w:sz w:val="24"/>
        </w:rPr>
        <w:t xml:space="preserve"> </w:t>
      </w:r>
      <w:r w:rsidRPr="00150EDC">
        <w:rPr>
          <w:sz w:val="24"/>
        </w:rPr>
        <w:t>days</w:t>
      </w:r>
      <w:r w:rsidRPr="00150EDC">
        <w:rPr>
          <w:spacing w:val="-5"/>
          <w:sz w:val="24"/>
        </w:rPr>
        <w:t xml:space="preserve"> </w:t>
      </w:r>
      <w:r w:rsidRPr="00150EDC">
        <w:rPr>
          <w:sz w:val="24"/>
        </w:rPr>
        <w:t>of</w:t>
      </w:r>
      <w:r w:rsidRPr="00150EDC">
        <w:rPr>
          <w:spacing w:val="-5"/>
          <w:sz w:val="24"/>
        </w:rPr>
        <w:t xml:space="preserve"> </w:t>
      </w:r>
      <w:r w:rsidRPr="00150EDC">
        <w:rPr>
          <w:sz w:val="24"/>
        </w:rPr>
        <w:t>awarding</w:t>
      </w:r>
      <w:r w:rsidRPr="00150EDC">
        <w:rPr>
          <w:spacing w:val="-5"/>
          <w:sz w:val="24"/>
        </w:rPr>
        <w:t xml:space="preserve"> </w:t>
      </w:r>
      <w:r w:rsidRPr="00150EDC">
        <w:rPr>
          <w:sz w:val="24"/>
        </w:rPr>
        <w:t>a</w:t>
      </w:r>
      <w:r w:rsidRPr="00150EDC">
        <w:rPr>
          <w:spacing w:val="-3"/>
          <w:sz w:val="24"/>
        </w:rPr>
        <w:t xml:space="preserve"> </w:t>
      </w:r>
      <w:r w:rsidRPr="00150EDC">
        <w:rPr>
          <w:sz w:val="24"/>
        </w:rPr>
        <w:t>Sub-Contract</w:t>
      </w:r>
      <w:r w:rsidRPr="00150EDC">
        <w:rPr>
          <w:spacing w:val="-3"/>
          <w:sz w:val="24"/>
        </w:rPr>
        <w:t xml:space="preserve"> </w:t>
      </w:r>
      <w:r w:rsidRPr="00150EDC">
        <w:rPr>
          <w:sz w:val="24"/>
        </w:rPr>
        <w:t>to</w:t>
      </w:r>
      <w:r w:rsidRPr="00150EDC">
        <w:rPr>
          <w:spacing w:val="-4"/>
          <w:sz w:val="24"/>
        </w:rPr>
        <w:t xml:space="preserve"> </w:t>
      </w:r>
      <w:r w:rsidRPr="00150EDC">
        <w:rPr>
          <w:sz w:val="24"/>
        </w:rPr>
        <w:t>a</w:t>
      </w:r>
      <w:r w:rsidRPr="00150EDC">
        <w:rPr>
          <w:spacing w:val="-2"/>
          <w:sz w:val="24"/>
        </w:rPr>
        <w:t xml:space="preserve"> </w:t>
      </w:r>
      <w:r w:rsidRPr="00150EDC">
        <w:rPr>
          <w:sz w:val="24"/>
        </w:rPr>
        <w:t>Subcontractor,</w:t>
      </w:r>
      <w:r w:rsidRPr="00150EDC">
        <w:rPr>
          <w:spacing w:val="-3"/>
          <w:sz w:val="24"/>
        </w:rPr>
        <w:t xml:space="preserve"> </w:t>
      </w:r>
      <w:r w:rsidRPr="00150EDC">
        <w:rPr>
          <w:sz w:val="24"/>
        </w:rPr>
        <w:t>update</w:t>
      </w:r>
      <w:r w:rsidRPr="00150EDC">
        <w:rPr>
          <w:spacing w:val="-2"/>
          <w:sz w:val="24"/>
        </w:rPr>
        <w:t xml:space="preserve"> </w:t>
      </w:r>
      <w:r w:rsidRPr="00150EDC">
        <w:rPr>
          <w:sz w:val="24"/>
        </w:rPr>
        <w:t>the notice on Contract Finder with details of the successful Subcontractor;</w:t>
      </w:r>
    </w:p>
    <w:p w14:paraId="33A555F2" w14:textId="77777777" w:rsidR="004C7180" w:rsidRPr="00150EDC" w:rsidRDefault="00CF0754" w:rsidP="00B320C7">
      <w:pPr>
        <w:pStyle w:val="ListParagraph"/>
        <w:numPr>
          <w:ilvl w:val="4"/>
          <w:numId w:val="93"/>
        </w:numPr>
        <w:tabs>
          <w:tab w:val="left" w:pos="2478"/>
          <w:tab w:val="left" w:pos="2480"/>
        </w:tabs>
        <w:spacing w:line="276" w:lineRule="auto"/>
        <w:ind w:right="1909"/>
        <w:rPr>
          <w:sz w:val="24"/>
        </w:rPr>
      </w:pPr>
      <w:r w:rsidRPr="00150EDC">
        <w:rPr>
          <w:sz w:val="24"/>
        </w:rPr>
        <w:t>monitor the number, type and value of the Sub-Contract opportunities placed</w:t>
      </w:r>
      <w:r w:rsidRPr="00150EDC">
        <w:rPr>
          <w:spacing w:val="-5"/>
          <w:sz w:val="24"/>
        </w:rPr>
        <w:t xml:space="preserve"> </w:t>
      </w:r>
      <w:r w:rsidRPr="00150EDC">
        <w:rPr>
          <w:sz w:val="24"/>
        </w:rPr>
        <w:t>on</w:t>
      </w:r>
      <w:r w:rsidRPr="00150EDC">
        <w:rPr>
          <w:spacing w:val="-3"/>
          <w:sz w:val="24"/>
        </w:rPr>
        <w:t xml:space="preserve"> </w:t>
      </w:r>
      <w:r w:rsidRPr="00150EDC">
        <w:rPr>
          <w:sz w:val="24"/>
        </w:rPr>
        <w:t>Contracts</w:t>
      </w:r>
      <w:r w:rsidRPr="00150EDC">
        <w:rPr>
          <w:spacing w:val="-3"/>
          <w:sz w:val="24"/>
        </w:rPr>
        <w:t xml:space="preserve"> </w:t>
      </w:r>
      <w:r w:rsidRPr="00150EDC">
        <w:rPr>
          <w:sz w:val="24"/>
        </w:rPr>
        <w:t>Finder</w:t>
      </w:r>
      <w:r w:rsidRPr="00150EDC">
        <w:rPr>
          <w:spacing w:val="-3"/>
          <w:sz w:val="24"/>
        </w:rPr>
        <w:t xml:space="preserve"> </w:t>
      </w:r>
      <w:r w:rsidRPr="00150EDC">
        <w:rPr>
          <w:sz w:val="24"/>
        </w:rPr>
        <w:t>advertised</w:t>
      </w:r>
      <w:r w:rsidRPr="00150EDC">
        <w:rPr>
          <w:spacing w:val="-3"/>
          <w:sz w:val="24"/>
        </w:rPr>
        <w:t xml:space="preserve"> </w:t>
      </w:r>
      <w:r w:rsidRPr="00150EDC">
        <w:rPr>
          <w:sz w:val="24"/>
        </w:rPr>
        <w:t>and</w:t>
      </w:r>
      <w:r w:rsidRPr="00150EDC">
        <w:rPr>
          <w:spacing w:val="-5"/>
          <w:sz w:val="24"/>
        </w:rPr>
        <w:t xml:space="preserve"> </w:t>
      </w:r>
      <w:r w:rsidRPr="00150EDC">
        <w:rPr>
          <w:sz w:val="24"/>
        </w:rPr>
        <w:t>awarded</w:t>
      </w:r>
      <w:r w:rsidRPr="00150EDC">
        <w:rPr>
          <w:spacing w:val="-3"/>
          <w:sz w:val="24"/>
        </w:rPr>
        <w:t xml:space="preserve"> </w:t>
      </w:r>
      <w:r w:rsidRPr="00150EDC">
        <w:rPr>
          <w:sz w:val="24"/>
        </w:rPr>
        <w:t>in</w:t>
      </w:r>
      <w:r w:rsidRPr="00150EDC">
        <w:rPr>
          <w:spacing w:val="-5"/>
          <w:sz w:val="24"/>
        </w:rPr>
        <w:t xml:space="preserve"> </w:t>
      </w:r>
      <w:r w:rsidRPr="00150EDC">
        <w:rPr>
          <w:sz w:val="24"/>
        </w:rPr>
        <w:t>its</w:t>
      </w:r>
      <w:r w:rsidRPr="00150EDC">
        <w:rPr>
          <w:spacing w:val="-3"/>
          <w:sz w:val="24"/>
        </w:rPr>
        <w:t xml:space="preserve"> </w:t>
      </w:r>
      <w:r w:rsidRPr="00150EDC">
        <w:rPr>
          <w:sz w:val="24"/>
        </w:rPr>
        <w:t>supply</w:t>
      </w:r>
      <w:r w:rsidRPr="00150EDC">
        <w:rPr>
          <w:spacing w:val="-3"/>
          <w:sz w:val="24"/>
        </w:rPr>
        <w:t xml:space="preserve"> </w:t>
      </w:r>
      <w:r w:rsidRPr="00150EDC">
        <w:rPr>
          <w:sz w:val="24"/>
        </w:rPr>
        <w:t>chain during the Contract Period;</w:t>
      </w:r>
    </w:p>
    <w:p w14:paraId="68DEEE44" w14:textId="77777777" w:rsidR="004C7180" w:rsidRPr="00150EDC" w:rsidRDefault="00CF0754" w:rsidP="00B320C7">
      <w:pPr>
        <w:pStyle w:val="ListParagraph"/>
        <w:numPr>
          <w:ilvl w:val="4"/>
          <w:numId w:val="93"/>
        </w:numPr>
        <w:tabs>
          <w:tab w:val="left" w:pos="2478"/>
          <w:tab w:val="left" w:pos="2480"/>
        </w:tabs>
        <w:spacing w:line="276" w:lineRule="auto"/>
        <w:ind w:right="2064"/>
        <w:rPr>
          <w:sz w:val="24"/>
        </w:rPr>
      </w:pPr>
      <w:r w:rsidRPr="00150EDC">
        <w:rPr>
          <w:sz w:val="24"/>
        </w:rPr>
        <w:t>provide</w:t>
      </w:r>
      <w:r w:rsidRPr="00150EDC">
        <w:rPr>
          <w:spacing w:val="-4"/>
          <w:sz w:val="24"/>
        </w:rPr>
        <w:t xml:space="preserve"> </w:t>
      </w:r>
      <w:r w:rsidRPr="00150EDC">
        <w:rPr>
          <w:sz w:val="24"/>
        </w:rPr>
        <w:t>reports</w:t>
      </w:r>
      <w:r w:rsidRPr="00150EDC">
        <w:rPr>
          <w:spacing w:val="-7"/>
          <w:sz w:val="24"/>
        </w:rPr>
        <w:t xml:space="preserve"> </w:t>
      </w:r>
      <w:r w:rsidRPr="00150EDC">
        <w:rPr>
          <w:sz w:val="24"/>
        </w:rPr>
        <w:t>on</w:t>
      </w:r>
      <w:r w:rsidRPr="00150EDC">
        <w:rPr>
          <w:spacing w:val="-4"/>
          <w:sz w:val="24"/>
        </w:rPr>
        <w:t xml:space="preserve"> </w:t>
      </w:r>
      <w:r w:rsidRPr="00150EDC">
        <w:rPr>
          <w:sz w:val="24"/>
        </w:rPr>
        <w:t>the</w:t>
      </w:r>
      <w:r w:rsidRPr="00150EDC">
        <w:rPr>
          <w:spacing w:val="-4"/>
          <w:sz w:val="24"/>
        </w:rPr>
        <w:t xml:space="preserve"> </w:t>
      </w:r>
      <w:r w:rsidRPr="00150EDC">
        <w:rPr>
          <w:sz w:val="24"/>
        </w:rPr>
        <w:t>information</w:t>
      </w:r>
      <w:r w:rsidRPr="00150EDC">
        <w:rPr>
          <w:spacing w:val="-4"/>
          <w:sz w:val="24"/>
        </w:rPr>
        <w:t xml:space="preserve"> </w:t>
      </w:r>
      <w:r w:rsidRPr="00150EDC">
        <w:rPr>
          <w:sz w:val="24"/>
        </w:rPr>
        <w:t>at</w:t>
      </w:r>
      <w:r w:rsidRPr="00150EDC">
        <w:rPr>
          <w:spacing w:val="-6"/>
          <w:sz w:val="24"/>
        </w:rPr>
        <w:t xml:space="preserve"> </w:t>
      </w:r>
      <w:r w:rsidRPr="00150EDC">
        <w:rPr>
          <w:sz w:val="24"/>
        </w:rPr>
        <w:t>Paragraph</w:t>
      </w:r>
      <w:r w:rsidRPr="00150EDC">
        <w:rPr>
          <w:spacing w:val="-4"/>
          <w:sz w:val="24"/>
        </w:rPr>
        <w:t xml:space="preserve"> </w:t>
      </w:r>
      <w:r w:rsidRPr="00150EDC">
        <w:rPr>
          <w:sz w:val="24"/>
        </w:rPr>
        <w:t>2.1.3</w:t>
      </w:r>
      <w:r w:rsidRPr="00150EDC">
        <w:rPr>
          <w:spacing w:val="-5"/>
          <w:sz w:val="24"/>
        </w:rPr>
        <w:t xml:space="preserve"> </w:t>
      </w:r>
      <w:r w:rsidRPr="00150EDC">
        <w:rPr>
          <w:sz w:val="24"/>
        </w:rPr>
        <w:t>to</w:t>
      </w:r>
      <w:r w:rsidRPr="00150EDC">
        <w:rPr>
          <w:spacing w:val="-3"/>
          <w:sz w:val="24"/>
        </w:rPr>
        <w:t xml:space="preserve"> </w:t>
      </w:r>
      <w:r w:rsidRPr="00150EDC">
        <w:rPr>
          <w:sz w:val="24"/>
        </w:rPr>
        <w:t>the</w:t>
      </w:r>
      <w:r w:rsidRPr="00150EDC">
        <w:rPr>
          <w:spacing w:val="-4"/>
          <w:sz w:val="24"/>
        </w:rPr>
        <w:t xml:space="preserve"> </w:t>
      </w:r>
      <w:r w:rsidRPr="00150EDC">
        <w:rPr>
          <w:sz w:val="24"/>
        </w:rPr>
        <w:t>Relevant Authority in the format and frequency as reasonably specified by the Relevant Authority; and</w:t>
      </w:r>
    </w:p>
    <w:p w14:paraId="4B67A03D" w14:textId="77777777" w:rsidR="004C7180" w:rsidRPr="00150EDC" w:rsidRDefault="00CF0754" w:rsidP="00B320C7">
      <w:pPr>
        <w:pStyle w:val="ListParagraph"/>
        <w:numPr>
          <w:ilvl w:val="4"/>
          <w:numId w:val="93"/>
        </w:numPr>
        <w:tabs>
          <w:tab w:val="left" w:pos="2478"/>
          <w:tab w:val="left" w:pos="2480"/>
        </w:tabs>
        <w:spacing w:line="278" w:lineRule="auto"/>
        <w:ind w:right="2743"/>
        <w:rPr>
          <w:sz w:val="24"/>
        </w:rPr>
      </w:pPr>
      <w:r w:rsidRPr="00150EDC">
        <w:rPr>
          <w:sz w:val="24"/>
        </w:rPr>
        <w:t>promote</w:t>
      </w:r>
      <w:r w:rsidRPr="00150EDC">
        <w:rPr>
          <w:spacing w:val="-4"/>
          <w:sz w:val="24"/>
        </w:rPr>
        <w:t xml:space="preserve"> </w:t>
      </w:r>
      <w:r w:rsidRPr="00150EDC">
        <w:rPr>
          <w:sz w:val="24"/>
        </w:rPr>
        <w:t>Contracts</w:t>
      </w:r>
      <w:r w:rsidRPr="00150EDC">
        <w:rPr>
          <w:spacing w:val="-6"/>
          <w:sz w:val="24"/>
        </w:rPr>
        <w:t xml:space="preserve"> </w:t>
      </w:r>
      <w:r w:rsidRPr="00150EDC">
        <w:rPr>
          <w:sz w:val="24"/>
        </w:rPr>
        <w:t>Finder</w:t>
      </w:r>
      <w:r w:rsidRPr="00150EDC">
        <w:rPr>
          <w:spacing w:val="-4"/>
          <w:sz w:val="24"/>
        </w:rPr>
        <w:t xml:space="preserve"> </w:t>
      </w:r>
      <w:r w:rsidRPr="00150EDC">
        <w:rPr>
          <w:sz w:val="24"/>
        </w:rPr>
        <w:t>to</w:t>
      </w:r>
      <w:r w:rsidRPr="00150EDC">
        <w:rPr>
          <w:spacing w:val="-4"/>
          <w:sz w:val="24"/>
        </w:rPr>
        <w:t xml:space="preserve"> </w:t>
      </w:r>
      <w:r w:rsidRPr="00150EDC">
        <w:rPr>
          <w:sz w:val="24"/>
        </w:rPr>
        <w:t>its</w:t>
      </w:r>
      <w:r w:rsidRPr="00150EDC">
        <w:rPr>
          <w:spacing w:val="-6"/>
          <w:sz w:val="24"/>
        </w:rPr>
        <w:t xml:space="preserve"> </w:t>
      </w:r>
      <w:r w:rsidRPr="00150EDC">
        <w:rPr>
          <w:sz w:val="24"/>
        </w:rPr>
        <w:t>suppliers</w:t>
      </w:r>
      <w:r w:rsidRPr="00150EDC">
        <w:rPr>
          <w:spacing w:val="-4"/>
          <w:sz w:val="24"/>
        </w:rPr>
        <w:t xml:space="preserve"> </w:t>
      </w:r>
      <w:r w:rsidRPr="00150EDC">
        <w:rPr>
          <w:sz w:val="24"/>
        </w:rPr>
        <w:t>and</w:t>
      </w:r>
      <w:r w:rsidRPr="00150EDC">
        <w:rPr>
          <w:spacing w:val="-6"/>
          <w:sz w:val="24"/>
        </w:rPr>
        <w:t xml:space="preserve"> </w:t>
      </w:r>
      <w:r w:rsidRPr="00150EDC">
        <w:rPr>
          <w:sz w:val="24"/>
        </w:rPr>
        <w:t>encourage</w:t>
      </w:r>
      <w:r w:rsidRPr="00150EDC">
        <w:rPr>
          <w:spacing w:val="-4"/>
          <w:sz w:val="24"/>
        </w:rPr>
        <w:t xml:space="preserve"> </w:t>
      </w:r>
      <w:r w:rsidRPr="00150EDC">
        <w:rPr>
          <w:sz w:val="24"/>
        </w:rPr>
        <w:t>those organisations to register on Contracts Finder.</w:t>
      </w:r>
    </w:p>
    <w:p w14:paraId="617B0F76" w14:textId="77777777" w:rsidR="004C7180" w:rsidRPr="00150EDC" w:rsidRDefault="004C7180">
      <w:pPr>
        <w:spacing w:line="278" w:lineRule="auto"/>
        <w:rPr>
          <w:sz w:val="24"/>
        </w:rPr>
        <w:sectPr w:rsidR="004C7180" w:rsidRPr="00150EDC">
          <w:headerReference w:type="default" r:id="rId52"/>
          <w:footerReference w:type="default" r:id="rId53"/>
          <w:pgSz w:w="11910" w:h="16840"/>
          <w:pgMar w:top="1200" w:right="0" w:bottom="1680" w:left="40" w:header="715" w:footer="1490" w:gutter="0"/>
          <w:pgNumType w:start="1"/>
          <w:cols w:space="720"/>
        </w:sectPr>
      </w:pPr>
    </w:p>
    <w:p w14:paraId="490D10C3" w14:textId="77777777" w:rsidR="004C7180" w:rsidRPr="00150EDC" w:rsidRDefault="004C7180">
      <w:pPr>
        <w:pStyle w:val="BodyText"/>
        <w:rPr>
          <w:sz w:val="20"/>
        </w:rPr>
      </w:pPr>
    </w:p>
    <w:p w14:paraId="1548DC17" w14:textId="77777777" w:rsidR="004C7180" w:rsidRPr="00150EDC" w:rsidRDefault="004C7180">
      <w:pPr>
        <w:pStyle w:val="BodyText"/>
        <w:spacing w:before="1"/>
        <w:rPr>
          <w:sz w:val="23"/>
        </w:rPr>
      </w:pPr>
    </w:p>
    <w:p w14:paraId="27300A44" w14:textId="77777777" w:rsidR="004C7180" w:rsidRPr="00150EDC" w:rsidRDefault="00CF0754" w:rsidP="00B320C7">
      <w:pPr>
        <w:pStyle w:val="ListParagraph"/>
        <w:numPr>
          <w:ilvl w:val="3"/>
          <w:numId w:val="93"/>
        </w:numPr>
        <w:tabs>
          <w:tab w:val="left" w:pos="2394"/>
        </w:tabs>
        <w:spacing w:before="92" w:line="276" w:lineRule="auto"/>
        <w:ind w:left="2394" w:right="1443" w:hanging="634"/>
        <w:rPr>
          <w:sz w:val="24"/>
        </w:rPr>
      </w:pPr>
      <w:r w:rsidRPr="00150EDC">
        <w:rPr>
          <w:sz w:val="24"/>
        </w:rPr>
        <w:t>Each</w:t>
      </w:r>
      <w:r w:rsidRPr="00150EDC">
        <w:rPr>
          <w:spacing w:val="-4"/>
          <w:sz w:val="24"/>
        </w:rPr>
        <w:t xml:space="preserve"> </w:t>
      </w:r>
      <w:r w:rsidRPr="00150EDC">
        <w:rPr>
          <w:sz w:val="24"/>
        </w:rPr>
        <w:t>advert</w:t>
      </w:r>
      <w:r w:rsidRPr="00150EDC">
        <w:rPr>
          <w:spacing w:val="-5"/>
          <w:sz w:val="24"/>
        </w:rPr>
        <w:t xml:space="preserve"> </w:t>
      </w:r>
      <w:r w:rsidRPr="00150EDC">
        <w:rPr>
          <w:sz w:val="24"/>
        </w:rPr>
        <w:t>referred</w:t>
      </w:r>
      <w:r w:rsidRPr="00150EDC">
        <w:rPr>
          <w:spacing w:val="-4"/>
          <w:sz w:val="24"/>
        </w:rPr>
        <w:t xml:space="preserve"> </w:t>
      </w:r>
      <w:r w:rsidRPr="00150EDC">
        <w:rPr>
          <w:sz w:val="24"/>
        </w:rPr>
        <w:t>to</w:t>
      </w:r>
      <w:r w:rsidRPr="00150EDC">
        <w:rPr>
          <w:spacing w:val="-4"/>
          <w:sz w:val="24"/>
        </w:rPr>
        <w:t xml:space="preserve"> </w:t>
      </w:r>
      <w:r w:rsidRPr="00150EDC">
        <w:rPr>
          <w:sz w:val="24"/>
        </w:rPr>
        <w:t>at</w:t>
      </w:r>
      <w:r w:rsidRPr="00150EDC">
        <w:rPr>
          <w:spacing w:val="-2"/>
          <w:sz w:val="24"/>
        </w:rPr>
        <w:t xml:space="preserve"> </w:t>
      </w:r>
      <w:r w:rsidRPr="00150EDC">
        <w:rPr>
          <w:sz w:val="24"/>
        </w:rPr>
        <w:t>Paragraph</w:t>
      </w:r>
      <w:r w:rsidRPr="00150EDC">
        <w:rPr>
          <w:spacing w:val="-4"/>
          <w:sz w:val="24"/>
        </w:rPr>
        <w:t xml:space="preserve"> </w:t>
      </w:r>
      <w:r w:rsidRPr="00150EDC">
        <w:rPr>
          <w:sz w:val="24"/>
        </w:rPr>
        <w:t>2.1.1</w:t>
      </w:r>
      <w:r w:rsidRPr="00150EDC">
        <w:rPr>
          <w:spacing w:val="-2"/>
          <w:sz w:val="24"/>
        </w:rPr>
        <w:t xml:space="preserve"> </w:t>
      </w:r>
      <w:r w:rsidRPr="00150EDC">
        <w:rPr>
          <w:sz w:val="24"/>
        </w:rPr>
        <w:t>of</w:t>
      </w:r>
      <w:r w:rsidRPr="00150EDC">
        <w:rPr>
          <w:spacing w:val="-2"/>
          <w:sz w:val="24"/>
        </w:rPr>
        <w:t xml:space="preserve"> </w:t>
      </w:r>
      <w:r w:rsidRPr="00150EDC">
        <w:rPr>
          <w:sz w:val="24"/>
        </w:rPr>
        <w:t>this</w:t>
      </w:r>
      <w:r w:rsidRPr="00150EDC">
        <w:rPr>
          <w:spacing w:val="-2"/>
          <w:sz w:val="24"/>
        </w:rPr>
        <w:t xml:space="preserve"> </w:t>
      </w:r>
      <w:r w:rsidRPr="00150EDC">
        <w:rPr>
          <w:sz w:val="24"/>
        </w:rPr>
        <w:t>Schedule</w:t>
      </w:r>
      <w:r w:rsidRPr="00150EDC">
        <w:rPr>
          <w:spacing w:val="-4"/>
          <w:sz w:val="24"/>
        </w:rPr>
        <w:t xml:space="preserve"> </w:t>
      </w:r>
      <w:r w:rsidRPr="00150EDC">
        <w:rPr>
          <w:sz w:val="24"/>
        </w:rPr>
        <w:t>12</w:t>
      </w:r>
      <w:r w:rsidRPr="00150EDC">
        <w:rPr>
          <w:spacing w:val="-4"/>
          <w:sz w:val="24"/>
        </w:rPr>
        <w:t xml:space="preserve"> </w:t>
      </w:r>
      <w:r w:rsidRPr="00150EDC">
        <w:rPr>
          <w:sz w:val="24"/>
        </w:rPr>
        <w:t>shall</w:t>
      </w:r>
      <w:r w:rsidRPr="00150EDC">
        <w:rPr>
          <w:spacing w:val="-5"/>
          <w:sz w:val="24"/>
        </w:rPr>
        <w:t xml:space="preserve"> </w:t>
      </w:r>
      <w:r w:rsidRPr="00150EDC">
        <w:rPr>
          <w:sz w:val="24"/>
        </w:rPr>
        <w:t>provide a full and detailed description of the Sub-Contract opportunity with each of the mandatory fields being completed on Contracts Finder by the Supplier.</w:t>
      </w:r>
    </w:p>
    <w:p w14:paraId="7906971C" w14:textId="77777777" w:rsidR="004C7180" w:rsidRPr="00150EDC" w:rsidRDefault="004C7180">
      <w:pPr>
        <w:pStyle w:val="BodyText"/>
        <w:spacing w:before="7"/>
        <w:rPr>
          <w:sz w:val="27"/>
        </w:rPr>
      </w:pPr>
    </w:p>
    <w:p w14:paraId="0CE00729" w14:textId="77777777" w:rsidR="004C7180" w:rsidRPr="00150EDC" w:rsidRDefault="00CF0754" w:rsidP="00B320C7">
      <w:pPr>
        <w:pStyle w:val="ListParagraph"/>
        <w:numPr>
          <w:ilvl w:val="3"/>
          <w:numId w:val="93"/>
        </w:numPr>
        <w:tabs>
          <w:tab w:val="left" w:pos="2394"/>
        </w:tabs>
        <w:spacing w:line="276" w:lineRule="auto"/>
        <w:ind w:left="2394" w:right="1678" w:hanging="634"/>
        <w:rPr>
          <w:sz w:val="24"/>
        </w:rPr>
      </w:pPr>
      <w:r w:rsidRPr="00150EDC">
        <w:rPr>
          <w:sz w:val="24"/>
        </w:rPr>
        <w:t>The</w:t>
      </w:r>
      <w:r w:rsidRPr="00150EDC">
        <w:rPr>
          <w:spacing w:val="-3"/>
          <w:sz w:val="24"/>
        </w:rPr>
        <w:t xml:space="preserve"> </w:t>
      </w:r>
      <w:r w:rsidRPr="00150EDC">
        <w:rPr>
          <w:sz w:val="24"/>
        </w:rPr>
        <w:t>obligation</w:t>
      </w:r>
      <w:r w:rsidRPr="00150EDC">
        <w:rPr>
          <w:spacing w:val="-3"/>
          <w:sz w:val="24"/>
        </w:rPr>
        <w:t xml:space="preserve"> </w:t>
      </w:r>
      <w:r w:rsidRPr="00150EDC">
        <w:rPr>
          <w:sz w:val="24"/>
        </w:rPr>
        <w:t>on</w:t>
      </w:r>
      <w:r w:rsidRPr="00150EDC">
        <w:rPr>
          <w:spacing w:val="-3"/>
          <w:sz w:val="24"/>
        </w:rPr>
        <w:t xml:space="preserve"> </w:t>
      </w:r>
      <w:r w:rsidRPr="00150EDC">
        <w:rPr>
          <w:sz w:val="24"/>
        </w:rPr>
        <w:t>the</w:t>
      </w:r>
      <w:r w:rsidRPr="00150EDC">
        <w:rPr>
          <w:spacing w:val="-4"/>
          <w:sz w:val="24"/>
        </w:rPr>
        <w:t xml:space="preserve"> </w:t>
      </w:r>
      <w:r w:rsidRPr="00150EDC">
        <w:rPr>
          <w:sz w:val="24"/>
        </w:rPr>
        <w:t>Supplier</w:t>
      </w:r>
      <w:r w:rsidRPr="00150EDC">
        <w:rPr>
          <w:spacing w:val="-3"/>
          <w:sz w:val="24"/>
        </w:rPr>
        <w:t xml:space="preserve"> </w:t>
      </w:r>
      <w:r w:rsidRPr="00150EDC">
        <w:rPr>
          <w:sz w:val="24"/>
        </w:rPr>
        <w:t>set</w:t>
      </w:r>
      <w:r w:rsidRPr="00150EDC">
        <w:rPr>
          <w:spacing w:val="-3"/>
          <w:sz w:val="24"/>
        </w:rPr>
        <w:t xml:space="preserve"> </w:t>
      </w:r>
      <w:r w:rsidRPr="00150EDC">
        <w:rPr>
          <w:sz w:val="24"/>
        </w:rPr>
        <w:t>out</w:t>
      </w:r>
      <w:r w:rsidRPr="00150EDC">
        <w:rPr>
          <w:spacing w:val="-4"/>
          <w:sz w:val="24"/>
        </w:rPr>
        <w:t xml:space="preserve"> </w:t>
      </w:r>
      <w:r w:rsidRPr="00150EDC">
        <w:rPr>
          <w:sz w:val="24"/>
        </w:rPr>
        <w:t>at</w:t>
      </w:r>
      <w:r w:rsidRPr="00150EDC">
        <w:rPr>
          <w:spacing w:val="-3"/>
          <w:sz w:val="24"/>
        </w:rPr>
        <w:t xml:space="preserve"> </w:t>
      </w:r>
      <w:r w:rsidRPr="00150EDC">
        <w:rPr>
          <w:sz w:val="24"/>
        </w:rPr>
        <w:t>Paragraph</w:t>
      </w:r>
      <w:r w:rsidRPr="00150EDC">
        <w:rPr>
          <w:spacing w:val="-3"/>
          <w:sz w:val="24"/>
        </w:rPr>
        <w:t xml:space="preserve"> </w:t>
      </w:r>
      <w:r w:rsidRPr="00150EDC">
        <w:rPr>
          <w:sz w:val="24"/>
        </w:rPr>
        <w:t>2.1</w:t>
      </w:r>
      <w:r w:rsidRPr="00150EDC">
        <w:rPr>
          <w:spacing w:val="-3"/>
          <w:sz w:val="24"/>
        </w:rPr>
        <w:t xml:space="preserve"> </w:t>
      </w:r>
      <w:r w:rsidRPr="00150EDC">
        <w:rPr>
          <w:sz w:val="24"/>
        </w:rPr>
        <w:t>shall</w:t>
      </w:r>
      <w:r w:rsidRPr="00150EDC">
        <w:rPr>
          <w:spacing w:val="-3"/>
          <w:sz w:val="24"/>
        </w:rPr>
        <w:t xml:space="preserve"> </w:t>
      </w:r>
      <w:r w:rsidRPr="00150EDC">
        <w:rPr>
          <w:sz w:val="24"/>
        </w:rPr>
        <w:t>only</w:t>
      </w:r>
      <w:r w:rsidRPr="00150EDC">
        <w:rPr>
          <w:spacing w:val="-5"/>
          <w:sz w:val="24"/>
        </w:rPr>
        <w:t xml:space="preserve"> </w:t>
      </w:r>
      <w:r w:rsidRPr="00150EDC">
        <w:rPr>
          <w:sz w:val="24"/>
        </w:rPr>
        <w:t>apply</w:t>
      </w:r>
      <w:r w:rsidRPr="00150EDC">
        <w:rPr>
          <w:spacing w:val="-3"/>
          <w:sz w:val="24"/>
        </w:rPr>
        <w:t xml:space="preserve"> </w:t>
      </w:r>
      <w:r w:rsidRPr="00150EDC">
        <w:rPr>
          <w:sz w:val="24"/>
        </w:rPr>
        <w:t>in respect of Sub-Contract opportunities arising after the Effective Date.</w:t>
      </w:r>
    </w:p>
    <w:p w14:paraId="097F5849" w14:textId="77777777" w:rsidR="004C7180" w:rsidRPr="00150EDC" w:rsidRDefault="004C7180">
      <w:pPr>
        <w:pStyle w:val="BodyText"/>
        <w:spacing w:before="7"/>
        <w:rPr>
          <w:sz w:val="27"/>
        </w:rPr>
      </w:pPr>
    </w:p>
    <w:p w14:paraId="756A9852" w14:textId="77777777" w:rsidR="004C7180" w:rsidRPr="00150EDC" w:rsidRDefault="00CF0754" w:rsidP="00B320C7">
      <w:pPr>
        <w:pStyle w:val="ListParagraph"/>
        <w:numPr>
          <w:ilvl w:val="3"/>
          <w:numId w:val="93"/>
        </w:numPr>
        <w:tabs>
          <w:tab w:val="left" w:pos="2394"/>
        </w:tabs>
        <w:spacing w:before="1" w:line="276" w:lineRule="auto"/>
        <w:ind w:left="2394" w:right="2181" w:hanging="634"/>
        <w:rPr>
          <w:sz w:val="24"/>
        </w:rPr>
      </w:pPr>
      <w:r w:rsidRPr="00150EDC">
        <w:rPr>
          <w:sz w:val="24"/>
        </w:rPr>
        <w:t>Notwithstanding Paragraph 2.1, the Authority may by giving its prior Approval,</w:t>
      </w:r>
      <w:r w:rsidRPr="00150EDC">
        <w:rPr>
          <w:spacing w:val="-3"/>
          <w:sz w:val="24"/>
        </w:rPr>
        <w:t xml:space="preserve"> </w:t>
      </w:r>
      <w:r w:rsidRPr="00150EDC">
        <w:rPr>
          <w:sz w:val="24"/>
        </w:rPr>
        <w:t>agree</w:t>
      </w:r>
      <w:r w:rsidRPr="00150EDC">
        <w:rPr>
          <w:spacing w:val="-3"/>
          <w:sz w:val="24"/>
        </w:rPr>
        <w:t xml:space="preserve"> </w:t>
      </w:r>
      <w:r w:rsidRPr="00150EDC">
        <w:rPr>
          <w:sz w:val="24"/>
        </w:rPr>
        <w:t>that</w:t>
      </w:r>
      <w:r w:rsidRPr="00150EDC">
        <w:rPr>
          <w:spacing w:val="-5"/>
          <w:sz w:val="24"/>
        </w:rPr>
        <w:t xml:space="preserve"> </w:t>
      </w:r>
      <w:r w:rsidRPr="00150EDC">
        <w:rPr>
          <w:sz w:val="24"/>
        </w:rPr>
        <w:t>a</w:t>
      </w:r>
      <w:r w:rsidRPr="00150EDC">
        <w:rPr>
          <w:spacing w:val="-4"/>
          <w:sz w:val="24"/>
        </w:rPr>
        <w:t xml:space="preserve"> </w:t>
      </w:r>
      <w:r w:rsidRPr="00150EDC">
        <w:rPr>
          <w:sz w:val="24"/>
        </w:rPr>
        <w:t>Sub-Contract</w:t>
      </w:r>
      <w:r w:rsidRPr="00150EDC">
        <w:rPr>
          <w:spacing w:val="-3"/>
          <w:sz w:val="24"/>
        </w:rPr>
        <w:t xml:space="preserve"> </w:t>
      </w:r>
      <w:r w:rsidRPr="00150EDC">
        <w:rPr>
          <w:sz w:val="24"/>
        </w:rPr>
        <w:t>opportunity</w:t>
      </w:r>
      <w:r w:rsidRPr="00150EDC">
        <w:rPr>
          <w:spacing w:val="-3"/>
          <w:sz w:val="24"/>
        </w:rPr>
        <w:t xml:space="preserve"> </w:t>
      </w:r>
      <w:r w:rsidRPr="00150EDC">
        <w:rPr>
          <w:sz w:val="24"/>
        </w:rPr>
        <w:t>is</w:t>
      </w:r>
      <w:r w:rsidRPr="00150EDC">
        <w:rPr>
          <w:spacing w:val="-3"/>
          <w:sz w:val="24"/>
        </w:rPr>
        <w:t xml:space="preserve"> </w:t>
      </w:r>
      <w:r w:rsidRPr="00150EDC">
        <w:rPr>
          <w:sz w:val="24"/>
        </w:rPr>
        <w:t>not</w:t>
      </w:r>
      <w:r w:rsidRPr="00150EDC">
        <w:rPr>
          <w:spacing w:val="-3"/>
          <w:sz w:val="24"/>
        </w:rPr>
        <w:t xml:space="preserve"> </w:t>
      </w:r>
      <w:r w:rsidRPr="00150EDC">
        <w:rPr>
          <w:sz w:val="24"/>
        </w:rPr>
        <w:t>required</w:t>
      </w:r>
      <w:r w:rsidRPr="00150EDC">
        <w:rPr>
          <w:spacing w:val="-1"/>
          <w:sz w:val="24"/>
        </w:rPr>
        <w:t xml:space="preserve"> </w:t>
      </w:r>
      <w:r w:rsidRPr="00150EDC">
        <w:rPr>
          <w:sz w:val="24"/>
        </w:rPr>
        <w:t>to</w:t>
      </w:r>
      <w:r w:rsidRPr="00150EDC">
        <w:rPr>
          <w:spacing w:val="-4"/>
          <w:sz w:val="24"/>
        </w:rPr>
        <w:t xml:space="preserve"> </w:t>
      </w:r>
      <w:r w:rsidRPr="00150EDC">
        <w:rPr>
          <w:sz w:val="24"/>
        </w:rPr>
        <w:t>be advertised by the Supplier on Contracts Finder.</w:t>
      </w:r>
    </w:p>
    <w:p w14:paraId="15627DA6" w14:textId="77777777" w:rsidR="004C7180" w:rsidRPr="00150EDC" w:rsidRDefault="004C7180">
      <w:pPr>
        <w:pStyle w:val="BodyText"/>
        <w:spacing w:before="7"/>
        <w:rPr>
          <w:sz w:val="27"/>
        </w:rPr>
      </w:pPr>
    </w:p>
    <w:p w14:paraId="7E7B0685" w14:textId="77777777" w:rsidR="004C7180" w:rsidRPr="00150EDC" w:rsidRDefault="00CF0754" w:rsidP="00B320C7">
      <w:pPr>
        <w:pStyle w:val="Heading4"/>
        <w:numPr>
          <w:ilvl w:val="2"/>
          <w:numId w:val="93"/>
        </w:numPr>
        <w:tabs>
          <w:tab w:val="left" w:pos="2120"/>
        </w:tabs>
      </w:pPr>
      <w:r w:rsidRPr="00150EDC">
        <w:t>Visibility</w:t>
      </w:r>
      <w:r w:rsidRPr="00150EDC">
        <w:rPr>
          <w:spacing w:val="-5"/>
        </w:rPr>
        <w:t xml:space="preserve"> </w:t>
      </w:r>
      <w:r w:rsidRPr="00150EDC">
        <w:t>of</w:t>
      </w:r>
      <w:r w:rsidRPr="00150EDC">
        <w:rPr>
          <w:spacing w:val="-4"/>
        </w:rPr>
        <w:t xml:space="preserve"> </w:t>
      </w:r>
      <w:r w:rsidRPr="00150EDC">
        <w:t>Supply</w:t>
      </w:r>
      <w:r w:rsidRPr="00150EDC">
        <w:rPr>
          <w:spacing w:val="-6"/>
        </w:rPr>
        <w:t xml:space="preserve"> </w:t>
      </w:r>
      <w:r w:rsidRPr="00150EDC">
        <w:t>Chain</w:t>
      </w:r>
      <w:r w:rsidRPr="00150EDC">
        <w:rPr>
          <w:spacing w:val="-5"/>
        </w:rPr>
        <w:t xml:space="preserve"> </w:t>
      </w:r>
      <w:r w:rsidRPr="00150EDC">
        <w:rPr>
          <w:spacing w:val="-2"/>
        </w:rPr>
        <w:t>Spend</w:t>
      </w:r>
    </w:p>
    <w:p w14:paraId="50B60584" w14:textId="77777777" w:rsidR="004C7180" w:rsidRPr="00150EDC" w:rsidRDefault="004C7180">
      <w:pPr>
        <w:pStyle w:val="BodyText"/>
        <w:spacing w:before="1"/>
        <w:rPr>
          <w:b/>
          <w:sz w:val="31"/>
        </w:rPr>
      </w:pPr>
    </w:p>
    <w:p w14:paraId="71FE73B0" w14:textId="77777777" w:rsidR="004C7180" w:rsidRPr="00150EDC" w:rsidRDefault="00CF0754" w:rsidP="00B320C7">
      <w:pPr>
        <w:pStyle w:val="ListParagraph"/>
        <w:numPr>
          <w:ilvl w:val="3"/>
          <w:numId w:val="93"/>
        </w:numPr>
        <w:tabs>
          <w:tab w:val="left" w:pos="2394"/>
        </w:tabs>
        <w:spacing w:line="276" w:lineRule="auto"/>
        <w:ind w:left="2394" w:right="1805" w:hanging="569"/>
        <w:rPr>
          <w:sz w:val="24"/>
        </w:rPr>
      </w:pPr>
      <w:r w:rsidRPr="00150EDC">
        <w:rPr>
          <w:sz w:val="24"/>
        </w:rPr>
        <w:t>In</w:t>
      </w:r>
      <w:r w:rsidRPr="00150EDC">
        <w:rPr>
          <w:spacing w:val="-2"/>
          <w:sz w:val="24"/>
        </w:rPr>
        <w:t xml:space="preserve"> </w:t>
      </w:r>
      <w:r w:rsidRPr="00150EDC">
        <w:rPr>
          <w:sz w:val="24"/>
        </w:rPr>
        <w:t>addition</w:t>
      </w:r>
      <w:r w:rsidRPr="00150EDC">
        <w:rPr>
          <w:spacing w:val="-4"/>
          <w:sz w:val="24"/>
        </w:rPr>
        <w:t xml:space="preserve"> </w:t>
      </w:r>
      <w:r w:rsidRPr="00150EDC">
        <w:rPr>
          <w:sz w:val="24"/>
        </w:rPr>
        <w:t>to</w:t>
      </w:r>
      <w:r w:rsidRPr="00150EDC">
        <w:rPr>
          <w:spacing w:val="-5"/>
          <w:sz w:val="24"/>
        </w:rPr>
        <w:t xml:space="preserve"> </w:t>
      </w:r>
      <w:r w:rsidRPr="00150EDC">
        <w:rPr>
          <w:sz w:val="24"/>
        </w:rPr>
        <w:t>any</w:t>
      </w:r>
      <w:r w:rsidRPr="00150EDC">
        <w:rPr>
          <w:spacing w:val="-5"/>
          <w:sz w:val="24"/>
        </w:rPr>
        <w:t xml:space="preserve"> </w:t>
      </w:r>
      <w:r w:rsidRPr="00150EDC">
        <w:rPr>
          <w:sz w:val="24"/>
        </w:rPr>
        <w:t>other</w:t>
      </w:r>
      <w:r w:rsidRPr="00150EDC">
        <w:rPr>
          <w:spacing w:val="-7"/>
          <w:sz w:val="24"/>
        </w:rPr>
        <w:t xml:space="preserve"> </w:t>
      </w:r>
      <w:r w:rsidRPr="00150EDC">
        <w:rPr>
          <w:sz w:val="24"/>
        </w:rPr>
        <w:t>management</w:t>
      </w:r>
      <w:r w:rsidRPr="00150EDC">
        <w:rPr>
          <w:spacing w:val="-5"/>
          <w:sz w:val="24"/>
        </w:rPr>
        <w:t xml:space="preserve"> </w:t>
      </w:r>
      <w:r w:rsidRPr="00150EDC">
        <w:rPr>
          <w:sz w:val="24"/>
        </w:rPr>
        <w:t>information</w:t>
      </w:r>
      <w:r w:rsidRPr="00150EDC">
        <w:rPr>
          <w:spacing w:val="-3"/>
          <w:sz w:val="24"/>
        </w:rPr>
        <w:t xml:space="preserve"> </w:t>
      </w:r>
      <w:r w:rsidRPr="00150EDC">
        <w:rPr>
          <w:sz w:val="24"/>
        </w:rPr>
        <w:t>requirements</w:t>
      </w:r>
      <w:r w:rsidRPr="00150EDC">
        <w:rPr>
          <w:spacing w:val="-5"/>
          <w:sz w:val="24"/>
        </w:rPr>
        <w:t xml:space="preserve"> </w:t>
      </w:r>
      <w:r w:rsidRPr="00150EDC">
        <w:rPr>
          <w:sz w:val="24"/>
        </w:rPr>
        <w:t>set</w:t>
      </w:r>
      <w:r w:rsidRPr="00150EDC">
        <w:rPr>
          <w:spacing w:val="-5"/>
          <w:sz w:val="24"/>
        </w:rPr>
        <w:t xml:space="preserve"> </w:t>
      </w:r>
      <w:r w:rsidRPr="00150EDC">
        <w:rPr>
          <w:sz w:val="24"/>
        </w:rPr>
        <w:t>out</w:t>
      </w:r>
      <w:r w:rsidRPr="00150EDC">
        <w:rPr>
          <w:spacing w:val="-3"/>
          <w:sz w:val="24"/>
        </w:rPr>
        <w:t xml:space="preserve"> </w:t>
      </w:r>
      <w:r w:rsidRPr="00150EDC">
        <w:rPr>
          <w:sz w:val="24"/>
        </w:rPr>
        <w:t>in the Contract, the Supplier agrees and acknowledges that it shall, at no charge, provide timely, full, accurate and complete SME management</w:t>
      </w:r>
    </w:p>
    <w:p w14:paraId="49A925DE" w14:textId="77777777" w:rsidR="004C7180" w:rsidRPr="00150EDC" w:rsidRDefault="00CF0754">
      <w:pPr>
        <w:pStyle w:val="BodyText"/>
        <w:spacing w:before="1" w:line="276" w:lineRule="auto"/>
        <w:ind w:left="2394" w:right="1459"/>
      </w:pPr>
      <w:r w:rsidRPr="00150EDC">
        <w:t>information</w:t>
      </w:r>
      <w:r w:rsidRPr="00150EDC">
        <w:rPr>
          <w:spacing w:val="-4"/>
        </w:rPr>
        <w:t xml:space="preserve"> </w:t>
      </w:r>
      <w:r w:rsidRPr="00150EDC">
        <w:t>reports</w:t>
      </w:r>
      <w:r w:rsidRPr="00150EDC">
        <w:rPr>
          <w:spacing w:val="-4"/>
        </w:rPr>
        <w:t xml:space="preserve"> </w:t>
      </w:r>
      <w:r w:rsidRPr="00150EDC">
        <w:t>(the</w:t>
      </w:r>
      <w:r w:rsidRPr="00150EDC">
        <w:rPr>
          <w:spacing w:val="-4"/>
        </w:rPr>
        <w:t xml:space="preserve"> </w:t>
      </w:r>
      <w:r w:rsidRPr="00150EDC">
        <w:t>“SME</w:t>
      </w:r>
      <w:r w:rsidRPr="00150EDC">
        <w:rPr>
          <w:spacing w:val="-4"/>
        </w:rPr>
        <w:t xml:space="preserve"> </w:t>
      </w:r>
      <w:r w:rsidRPr="00150EDC">
        <w:t>Management</w:t>
      </w:r>
      <w:r w:rsidRPr="00150EDC">
        <w:rPr>
          <w:spacing w:val="-4"/>
        </w:rPr>
        <w:t xml:space="preserve"> </w:t>
      </w:r>
      <w:r w:rsidRPr="00150EDC">
        <w:t>Information</w:t>
      </w:r>
      <w:r w:rsidRPr="00150EDC">
        <w:rPr>
          <w:spacing w:val="-4"/>
        </w:rPr>
        <w:t xml:space="preserve"> </w:t>
      </w:r>
      <w:r w:rsidRPr="00150EDC">
        <w:t>Reports”)</w:t>
      </w:r>
      <w:r w:rsidRPr="00150EDC">
        <w:rPr>
          <w:spacing w:val="-4"/>
        </w:rPr>
        <w:t xml:space="preserve"> </w:t>
      </w:r>
      <w:r w:rsidRPr="00150EDC">
        <w:t>to</w:t>
      </w:r>
      <w:r w:rsidRPr="00150EDC">
        <w:rPr>
          <w:spacing w:val="-4"/>
        </w:rPr>
        <w:t xml:space="preserve"> </w:t>
      </w:r>
      <w:r w:rsidRPr="00150EDC">
        <w:t>the Relevant Authority which incorporates the data described in the Supply Chain Information Report Template which is:</w:t>
      </w:r>
    </w:p>
    <w:p w14:paraId="791E8418" w14:textId="77777777" w:rsidR="004C7180" w:rsidRPr="00150EDC" w:rsidRDefault="00CF0754" w:rsidP="00B320C7">
      <w:pPr>
        <w:pStyle w:val="ListParagraph"/>
        <w:numPr>
          <w:ilvl w:val="0"/>
          <w:numId w:val="92"/>
        </w:numPr>
        <w:tabs>
          <w:tab w:val="left" w:pos="2840"/>
        </w:tabs>
        <w:spacing w:before="200"/>
        <w:rPr>
          <w:sz w:val="24"/>
        </w:rPr>
      </w:pPr>
      <w:r w:rsidRPr="00150EDC">
        <w:rPr>
          <w:sz w:val="24"/>
        </w:rPr>
        <w:t>the</w:t>
      </w:r>
      <w:r w:rsidRPr="00150EDC">
        <w:rPr>
          <w:spacing w:val="-10"/>
          <w:sz w:val="24"/>
        </w:rPr>
        <w:t xml:space="preserve"> </w:t>
      </w:r>
      <w:r w:rsidRPr="00150EDC">
        <w:rPr>
          <w:sz w:val="24"/>
        </w:rPr>
        <w:t>total</w:t>
      </w:r>
      <w:r w:rsidRPr="00150EDC">
        <w:rPr>
          <w:spacing w:val="-10"/>
          <w:sz w:val="24"/>
        </w:rPr>
        <w:t xml:space="preserve"> </w:t>
      </w:r>
      <w:r w:rsidRPr="00150EDC">
        <w:rPr>
          <w:sz w:val="24"/>
        </w:rPr>
        <w:t>contract</w:t>
      </w:r>
      <w:r w:rsidRPr="00150EDC">
        <w:rPr>
          <w:spacing w:val="-9"/>
          <w:sz w:val="24"/>
        </w:rPr>
        <w:t xml:space="preserve"> </w:t>
      </w:r>
      <w:r w:rsidRPr="00150EDC">
        <w:rPr>
          <w:sz w:val="24"/>
        </w:rPr>
        <w:t>revenue</w:t>
      </w:r>
      <w:r w:rsidRPr="00150EDC">
        <w:rPr>
          <w:spacing w:val="-10"/>
          <w:sz w:val="24"/>
        </w:rPr>
        <w:t xml:space="preserve"> </w:t>
      </w:r>
      <w:r w:rsidRPr="00150EDC">
        <w:rPr>
          <w:sz w:val="24"/>
        </w:rPr>
        <w:t>received</w:t>
      </w:r>
      <w:r w:rsidRPr="00150EDC">
        <w:rPr>
          <w:spacing w:val="-11"/>
          <w:sz w:val="24"/>
        </w:rPr>
        <w:t xml:space="preserve"> </w:t>
      </w:r>
      <w:r w:rsidRPr="00150EDC">
        <w:rPr>
          <w:sz w:val="24"/>
        </w:rPr>
        <w:t>directly</w:t>
      </w:r>
      <w:r w:rsidRPr="00150EDC">
        <w:rPr>
          <w:spacing w:val="-10"/>
          <w:sz w:val="24"/>
        </w:rPr>
        <w:t xml:space="preserve"> </w:t>
      </w:r>
      <w:r w:rsidRPr="00150EDC">
        <w:rPr>
          <w:sz w:val="24"/>
        </w:rPr>
        <w:t>on</w:t>
      </w:r>
      <w:r w:rsidRPr="00150EDC">
        <w:rPr>
          <w:spacing w:val="-11"/>
          <w:sz w:val="24"/>
        </w:rPr>
        <w:t xml:space="preserve"> </w:t>
      </w:r>
      <w:r w:rsidRPr="00150EDC">
        <w:rPr>
          <w:sz w:val="24"/>
        </w:rPr>
        <w:t>the</w:t>
      </w:r>
      <w:r w:rsidRPr="00150EDC">
        <w:rPr>
          <w:spacing w:val="-10"/>
          <w:sz w:val="24"/>
        </w:rPr>
        <w:t xml:space="preserve"> </w:t>
      </w:r>
      <w:r w:rsidRPr="00150EDC">
        <w:rPr>
          <w:spacing w:val="-2"/>
          <w:sz w:val="24"/>
        </w:rPr>
        <w:t>Contract;</w:t>
      </w:r>
    </w:p>
    <w:p w14:paraId="22BE93BE" w14:textId="77777777" w:rsidR="004C7180" w:rsidRPr="00150EDC" w:rsidRDefault="00CF0754" w:rsidP="00B320C7">
      <w:pPr>
        <w:pStyle w:val="ListParagraph"/>
        <w:numPr>
          <w:ilvl w:val="0"/>
          <w:numId w:val="92"/>
        </w:numPr>
        <w:tabs>
          <w:tab w:val="left" w:pos="2840"/>
        </w:tabs>
        <w:spacing w:before="137" w:line="362" w:lineRule="auto"/>
        <w:ind w:right="2501"/>
        <w:rPr>
          <w:sz w:val="24"/>
        </w:rPr>
      </w:pPr>
      <w:r w:rsidRPr="00150EDC">
        <w:rPr>
          <w:sz w:val="24"/>
        </w:rPr>
        <w:t>the</w:t>
      </w:r>
      <w:r w:rsidRPr="00150EDC">
        <w:rPr>
          <w:spacing w:val="-5"/>
          <w:sz w:val="24"/>
        </w:rPr>
        <w:t xml:space="preserve"> </w:t>
      </w:r>
      <w:r w:rsidRPr="00150EDC">
        <w:rPr>
          <w:sz w:val="24"/>
        </w:rPr>
        <w:t>total</w:t>
      </w:r>
      <w:r w:rsidRPr="00150EDC">
        <w:rPr>
          <w:spacing w:val="-5"/>
          <w:sz w:val="24"/>
        </w:rPr>
        <w:t xml:space="preserve"> </w:t>
      </w:r>
      <w:r w:rsidRPr="00150EDC">
        <w:rPr>
          <w:sz w:val="24"/>
        </w:rPr>
        <w:t>value</w:t>
      </w:r>
      <w:r w:rsidRPr="00150EDC">
        <w:rPr>
          <w:spacing w:val="-6"/>
          <w:sz w:val="24"/>
        </w:rPr>
        <w:t xml:space="preserve"> </w:t>
      </w:r>
      <w:r w:rsidRPr="00150EDC">
        <w:rPr>
          <w:sz w:val="24"/>
        </w:rPr>
        <w:t>of</w:t>
      </w:r>
      <w:r w:rsidRPr="00150EDC">
        <w:rPr>
          <w:spacing w:val="-5"/>
          <w:sz w:val="24"/>
        </w:rPr>
        <w:t xml:space="preserve"> </w:t>
      </w:r>
      <w:r w:rsidRPr="00150EDC">
        <w:rPr>
          <w:sz w:val="24"/>
        </w:rPr>
        <w:t>sub-contracted</w:t>
      </w:r>
      <w:r w:rsidRPr="00150EDC">
        <w:rPr>
          <w:spacing w:val="-5"/>
          <w:sz w:val="24"/>
        </w:rPr>
        <w:t xml:space="preserve"> </w:t>
      </w:r>
      <w:r w:rsidRPr="00150EDC">
        <w:rPr>
          <w:sz w:val="24"/>
        </w:rPr>
        <w:t>revenues</w:t>
      </w:r>
      <w:r w:rsidRPr="00150EDC">
        <w:rPr>
          <w:spacing w:val="-5"/>
          <w:sz w:val="24"/>
        </w:rPr>
        <w:t xml:space="preserve"> </w:t>
      </w:r>
      <w:r w:rsidRPr="00150EDC">
        <w:rPr>
          <w:sz w:val="24"/>
        </w:rPr>
        <w:t>under</w:t>
      </w:r>
      <w:r w:rsidRPr="00150EDC">
        <w:rPr>
          <w:spacing w:val="-5"/>
          <w:sz w:val="24"/>
        </w:rPr>
        <w:t xml:space="preserve"> </w:t>
      </w:r>
      <w:r w:rsidRPr="00150EDC">
        <w:rPr>
          <w:sz w:val="24"/>
        </w:rPr>
        <w:t>the</w:t>
      </w:r>
      <w:r w:rsidRPr="00150EDC">
        <w:rPr>
          <w:spacing w:val="-5"/>
          <w:sz w:val="24"/>
        </w:rPr>
        <w:t xml:space="preserve"> </w:t>
      </w:r>
      <w:r w:rsidRPr="00150EDC">
        <w:rPr>
          <w:sz w:val="24"/>
        </w:rPr>
        <w:t>Contract (including revenues for non-SMEs/non-VCSEs); and</w:t>
      </w:r>
    </w:p>
    <w:p w14:paraId="04369FCB" w14:textId="77777777" w:rsidR="004C7180" w:rsidRPr="00150EDC" w:rsidRDefault="00CF0754" w:rsidP="00B320C7">
      <w:pPr>
        <w:pStyle w:val="ListParagraph"/>
        <w:numPr>
          <w:ilvl w:val="0"/>
          <w:numId w:val="92"/>
        </w:numPr>
        <w:tabs>
          <w:tab w:val="left" w:pos="2839"/>
        </w:tabs>
        <w:spacing w:line="271" w:lineRule="exact"/>
        <w:ind w:left="2839" w:hanging="359"/>
        <w:rPr>
          <w:sz w:val="24"/>
        </w:rPr>
      </w:pPr>
      <w:r w:rsidRPr="00150EDC">
        <w:rPr>
          <w:sz w:val="24"/>
        </w:rPr>
        <w:t>the</w:t>
      </w:r>
      <w:r w:rsidRPr="00150EDC">
        <w:rPr>
          <w:spacing w:val="-10"/>
          <w:sz w:val="24"/>
        </w:rPr>
        <w:t xml:space="preserve"> </w:t>
      </w:r>
      <w:r w:rsidRPr="00150EDC">
        <w:rPr>
          <w:sz w:val="24"/>
        </w:rPr>
        <w:t>total</w:t>
      </w:r>
      <w:r w:rsidRPr="00150EDC">
        <w:rPr>
          <w:spacing w:val="-9"/>
          <w:sz w:val="24"/>
        </w:rPr>
        <w:t xml:space="preserve"> </w:t>
      </w:r>
      <w:r w:rsidRPr="00150EDC">
        <w:rPr>
          <w:sz w:val="24"/>
        </w:rPr>
        <w:t>value</w:t>
      </w:r>
      <w:r w:rsidRPr="00150EDC">
        <w:rPr>
          <w:spacing w:val="-10"/>
          <w:sz w:val="24"/>
        </w:rPr>
        <w:t xml:space="preserve"> </w:t>
      </w:r>
      <w:r w:rsidRPr="00150EDC">
        <w:rPr>
          <w:sz w:val="24"/>
        </w:rPr>
        <w:t>of</w:t>
      </w:r>
      <w:r w:rsidRPr="00150EDC">
        <w:rPr>
          <w:spacing w:val="-10"/>
          <w:sz w:val="24"/>
        </w:rPr>
        <w:t xml:space="preserve"> </w:t>
      </w:r>
      <w:r w:rsidRPr="00150EDC">
        <w:rPr>
          <w:sz w:val="24"/>
        </w:rPr>
        <w:t>sub-contracted</w:t>
      </w:r>
      <w:r w:rsidRPr="00150EDC">
        <w:rPr>
          <w:spacing w:val="-9"/>
          <w:sz w:val="24"/>
        </w:rPr>
        <w:t xml:space="preserve"> </w:t>
      </w:r>
      <w:r w:rsidRPr="00150EDC">
        <w:rPr>
          <w:sz w:val="24"/>
        </w:rPr>
        <w:t>revenues</w:t>
      </w:r>
      <w:r w:rsidRPr="00150EDC">
        <w:rPr>
          <w:spacing w:val="-9"/>
          <w:sz w:val="24"/>
        </w:rPr>
        <w:t xml:space="preserve"> </w:t>
      </w:r>
      <w:r w:rsidRPr="00150EDC">
        <w:rPr>
          <w:sz w:val="24"/>
        </w:rPr>
        <w:t>to</w:t>
      </w:r>
      <w:r w:rsidRPr="00150EDC">
        <w:rPr>
          <w:spacing w:val="-12"/>
          <w:sz w:val="24"/>
        </w:rPr>
        <w:t xml:space="preserve"> </w:t>
      </w:r>
      <w:r w:rsidRPr="00150EDC">
        <w:rPr>
          <w:sz w:val="24"/>
        </w:rPr>
        <w:t>SMEs</w:t>
      </w:r>
      <w:r w:rsidRPr="00150EDC">
        <w:rPr>
          <w:spacing w:val="-9"/>
          <w:sz w:val="24"/>
        </w:rPr>
        <w:t xml:space="preserve"> </w:t>
      </w:r>
      <w:r w:rsidRPr="00150EDC">
        <w:rPr>
          <w:sz w:val="24"/>
        </w:rPr>
        <w:t>and</w:t>
      </w:r>
      <w:r w:rsidRPr="00150EDC">
        <w:rPr>
          <w:spacing w:val="-9"/>
          <w:sz w:val="24"/>
        </w:rPr>
        <w:t xml:space="preserve"> </w:t>
      </w:r>
      <w:r w:rsidRPr="00150EDC">
        <w:rPr>
          <w:spacing w:val="-2"/>
          <w:sz w:val="24"/>
        </w:rPr>
        <w:t>VCSEs.</w:t>
      </w:r>
    </w:p>
    <w:p w14:paraId="3E9CD1F6" w14:textId="77777777" w:rsidR="004C7180" w:rsidRPr="00150EDC" w:rsidRDefault="004C7180">
      <w:pPr>
        <w:pStyle w:val="BodyText"/>
        <w:rPr>
          <w:sz w:val="26"/>
        </w:rPr>
      </w:pPr>
    </w:p>
    <w:p w14:paraId="212FB272" w14:textId="77777777" w:rsidR="004C7180" w:rsidRPr="00150EDC" w:rsidRDefault="004C7180">
      <w:pPr>
        <w:pStyle w:val="BodyText"/>
        <w:rPr>
          <w:sz w:val="22"/>
        </w:rPr>
      </w:pPr>
    </w:p>
    <w:p w14:paraId="3DDD7E5B" w14:textId="77777777" w:rsidR="004C7180" w:rsidRPr="00150EDC" w:rsidRDefault="00CF0754" w:rsidP="00B320C7">
      <w:pPr>
        <w:pStyle w:val="ListParagraph"/>
        <w:numPr>
          <w:ilvl w:val="3"/>
          <w:numId w:val="93"/>
        </w:numPr>
        <w:tabs>
          <w:tab w:val="left" w:pos="2394"/>
        </w:tabs>
        <w:spacing w:line="276" w:lineRule="auto"/>
        <w:ind w:left="2394" w:right="1642" w:hanging="634"/>
        <w:rPr>
          <w:sz w:val="24"/>
        </w:rPr>
      </w:pPr>
      <w:r w:rsidRPr="00150EDC">
        <w:rPr>
          <w:sz w:val="24"/>
        </w:rPr>
        <w:t>The SME Management Information Reports shall be provided by the Supplier</w:t>
      </w:r>
      <w:r w:rsidRPr="00150EDC">
        <w:rPr>
          <w:spacing w:val="-3"/>
          <w:sz w:val="24"/>
        </w:rPr>
        <w:t xml:space="preserve"> </w:t>
      </w:r>
      <w:r w:rsidRPr="00150EDC">
        <w:rPr>
          <w:sz w:val="24"/>
        </w:rPr>
        <w:t>in</w:t>
      </w:r>
      <w:r w:rsidRPr="00150EDC">
        <w:rPr>
          <w:spacing w:val="-5"/>
          <w:sz w:val="24"/>
        </w:rPr>
        <w:t xml:space="preserve"> </w:t>
      </w:r>
      <w:r w:rsidRPr="00150EDC">
        <w:rPr>
          <w:sz w:val="24"/>
        </w:rPr>
        <w:t>the</w:t>
      </w:r>
      <w:r w:rsidRPr="00150EDC">
        <w:rPr>
          <w:spacing w:val="-3"/>
          <w:sz w:val="24"/>
        </w:rPr>
        <w:t xml:space="preserve"> </w:t>
      </w:r>
      <w:r w:rsidRPr="00150EDC">
        <w:rPr>
          <w:sz w:val="24"/>
        </w:rPr>
        <w:t>correct</w:t>
      </w:r>
      <w:r w:rsidRPr="00150EDC">
        <w:rPr>
          <w:spacing w:val="-5"/>
          <w:sz w:val="24"/>
        </w:rPr>
        <w:t xml:space="preserve"> </w:t>
      </w:r>
      <w:r w:rsidRPr="00150EDC">
        <w:rPr>
          <w:sz w:val="24"/>
        </w:rPr>
        <w:t>format</w:t>
      </w:r>
      <w:r w:rsidRPr="00150EDC">
        <w:rPr>
          <w:spacing w:val="-3"/>
          <w:sz w:val="24"/>
        </w:rPr>
        <w:t xml:space="preserve"> </w:t>
      </w:r>
      <w:r w:rsidRPr="00150EDC">
        <w:rPr>
          <w:sz w:val="24"/>
        </w:rPr>
        <w:t>as</w:t>
      </w:r>
      <w:r w:rsidRPr="00150EDC">
        <w:rPr>
          <w:spacing w:val="-3"/>
          <w:sz w:val="24"/>
        </w:rPr>
        <w:t xml:space="preserve"> </w:t>
      </w:r>
      <w:r w:rsidRPr="00150EDC">
        <w:rPr>
          <w:sz w:val="24"/>
        </w:rPr>
        <w:t>required</w:t>
      </w:r>
      <w:r w:rsidRPr="00150EDC">
        <w:rPr>
          <w:spacing w:val="-5"/>
          <w:sz w:val="24"/>
        </w:rPr>
        <w:t xml:space="preserve"> </w:t>
      </w:r>
      <w:r w:rsidRPr="00150EDC">
        <w:rPr>
          <w:sz w:val="24"/>
        </w:rPr>
        <w:t>by</w:t>
      </w:r>
      <w:r w:rsidRPr="00150EDC">
        <w:rPr>
          <w:spacing w:val="-3"/>
          <w:sz w:val="24"/>
        </w:rPr>
        <w:t xml:space="preserve"> </w:t>
      </w:r>
      <w:r w:rsidRPr="00150EDC">
        <w:rPr>
          <w:sz w:val="24"/>
        </w:rPr>
        <w:t>the</w:t>
      </w:r>
      <w:r w:rsidRPr="00150EDC">
        <w:rPr>
          <w:spacing w:val="-3"/>
          <w:sz w:val="24"/>
        </w:rPr>
        <w:t xml:space="preserve"> </w:t>
      </w:r>
      <w:r w:rsidRPr="00150EDC">
        <w:rPr>
          <w:sz w:val="24"/>
        </w:rPr>
        <w:t>Supply</w:t>
      </w:r>
      <w:r w:rsidRPr="00150EDC">
        <w:rPr>
          <w:spacing w:val="-3"/>
          <w:sz w:val="24"/>
        </w:rPr>
        <w:t xml:space="preserve"> </w:t>
      </w:r>
      <w:r w:rsidRPr="00150EDC">
        <w:rPr>
          <w:sz w:val="24"/>
        </w:rPr>
        <w:t>Chain</w:t>
      </w:r>
      <w:r w:rsidRPr="00150EDC">
        <w:rPr>
          <w:spacing w:val="-5"/>
          <w:sz w:val="24"/>
        </w:rPr>
        <w:t xml:space="preserve"> </w:t>
      </w:r>
      <w:r w:rsidRPr="00150EDC">
        <w:rPr>
          <w:sz w:val="24"/>
        </w:rPr>
        <w:t>Information Report</w:t>
      </w:r>
      <w:r w:rsidRPr="00150EDC">
        <w:rPr>
          <w:spacing w:val="-1"/>
          <w:sz w:val="24"/>
        </w:rPr>
        <w:t xml:space="preserve"> </w:t>
      </w:r>
      <w:r w:rsidRPr="00150EDC">
        <w:rPr>
          <w:sz w:val="24"/>
        </w:rPr>
        <w:t>Template</w:t>
      </w:r>
      <w:r w:rsidRPr="00150EDC">
        <w:rPr>
          <w:spacing w:val="-2"/>
          <w:sz w:val="24"/>
        </w:rPr>
        <w:t xml:space="preserve"> </w:t>
      </w:r>
      <w:r w:rsidRPr="00150EDC">
        <w:rPr>
          <w:sz w:val="24"/>
        </w:rPr>
        <w:t>and</w:t>
      </w:r>
      <w:r w:rsidRPr="00150EDC">
        <w:rPr>
          <w:spacing w:val="-1"/>
          <w:sz w:val="24"/>
        </w:rPr>
        <w:t xml:space="preserve"> </w:t>
      </w:r>
      <w:r w:rsidRPr="00150EDC">
        <w:rPr>
          <w:sz w:val="24"/>
        </w:rPr>
        <w:t>any</w:t>
      </w:r>
      <w:r w:rsidRPr="00150EDC">
        <w:rPr>
          <w:spacing w:val="-1"/>
          <w:sz w:val="24"/>
        </w:rPr>
        <w:t xml:space="preserve"> </w:t>
      </w:r>
      <w:r w:rsidRPr="00150EDC">
        <w:rPr>
          <w:sz w:val="24"/>
        </w:rPr>
        <w:t>guidance</w:t>
      </w:r>
      <w:r w:rsidRPr="00150EDC">
        <w:rPr>
          <w:spacing w:val="-1"/>
          <w:sz w:val="24"/>
        </w:rPr>
        <w:t xml:space="preserve"> </w:t>
      </w:r>
      <w:r w:rsidRPr="00150EDC">
        <w:rPr>
          <w:sz w:val="24"/>
        </w:rPr>
        <w:t>issued</w:t>
      </w:r>
      <w:r w:rsidRPr="00150EDC">
        <w:rPr>
          <w:spacing w:val="-1"/>
          <w:sz w:val="24"/>
        </w:rPr>
        <w:t xml:space="preserve"> </w:t>
      </w:r>
      <w:r w:rsidRPr="00150EDC">
        <w:rPr>
          <w:sz w:val="24"/>
        </w:rPr>
        <w:t>by</w:t>
      </w:r>
      <w:r w:rsidRPr="00150EDC">
        <w:rPr>
          <w:spacing w:val="-6"/>
          <w:sz w:val="24"/>
        </w:rPr>
        <w:t xml:space="preserve"> </w:t>
      </w:r>
      <w:r w:rsidRPr="00150EDC">
        <w:rPr>
          <w:sz w:val="24"/>
        </w:rPr>
        <w:t>the</w:t>
      </w:r>
      <w:r w:rsidRPr="00150EDC">
        <w:rPr>
          <w:spacing w:val="-1"/>
          <w:sz w:val="24"/>
        </w:rPr>
        <w:t xml:space="preserve"> </w:t>
      </w:r>
      <w:r w:rsidRPr="00150EDC">
        <w:rPr>
          <w:sz w:val="24"/>
        </w:rPr>
        <w:t>Relevant</w:t>
      </w:r>
      <w:r w:rsidRPr="00150EDC">
        <w:rPr>
          <w:spacing w:val="-3"/>
          <w:sz w:val="24"/>
        </w:rPr>
        <w:t xml:space="preserve"> </w:t>
      </w:r>
      <w:r w:rsidRPr="00150EDC">
        <w:rPr>
          <w:sz w:val="24"/>
        </w:rPr>
        <w:t>Authority</w:t>
      </w:r>
      <w:r w:rsidRPr="00150EDC">
        <w:rPr>
          <w:spacing w:val="-3"/>
          <w:sz w:val="24"/>
        </w:rPr>
        <w:t xml:space="preserve"> </w:t>
      </w:r>
      <w:r w:rsidRPr="00150EDC">
        <w:rPr>
          <w:sz w:val="24"/>
        </w:rPr>
        <w:t>from time to time. The Supplier agrees that it shall use the Supply Chain Information Report Template to provide the information detailed at Paragraph 3.1(a) –(c) and acknowledges that the template may be changed from time to time (including the data required and/or format) by the Relevant Authority issuing a replacement version. The Relevant Authority agrees to give at least thirty (30) days’ notice in writing of any such change and shall specify the date from which it must be used.</w:t>
      </w:r>
    </w:p>
    <w:p w14:paraId="754532B6" w14:textId="77777777" w:rsidR="004C7180" w:rsidRPr="00150EDC" w:rsidRDefault="004C7180">
      <w:pPr>
        <w:pStyle w:val="BodyText"/>
        <w:spacing w:before="8"/>
        <w:rPr>
          <w:sz w:val="27"/>
        </w:rPr>
      </w:pPr>
    </w:p>
    <w:p w14:paraId="7AB75F28" w14:textId="77777777" w:rsidR="004C7180" w:rsidRPr="00150EDC" w:rsidRDefault="00CF0754" w:rsidP="00B320C7">
      <w:pPr>
        <w:pStyle w:val="ListParagraph"/>
        <w:numPr>
          <w:ilvl w:val="3"/>
          <w:numId w:val="93"/>
        </w:numPr>
        <w:tabs>
          <w:tab w:val="left" w:pos="2394"/>
        </w:tabs>
        <w:spacing w:line="276" w:lineRule="auto"/>
        <w:ind w:left="2394" w:right="1696" w:hanging="569"/>
        <w:rPr>
          <w:sz w:val="24"/>
        </w:rPr>
      </w:pPr>
      <w:r w:rsidRPr="00150EDC">
        <w:rPr>
          <w:sz w:val="24"/>
        </w:rPr>
        <w:t>The Supplier further agrees and acknowledges that it may not make any amendment</w:t>
      </w:r>
      <w:r w:rsidRPr="00150EDC">
        <w:rPr>
          <w:spacing w:val="-4"/>
          <w:sz w:val="24"/>
        </w:rPr>
        <w:t xml:space="preserve"> </w:t>
      </w:r>
      <w:r w:rsidRPr="00150EDC">
        <w:rPr>
          <w:sz w:val="24"/>
        </w:rPr>
        <w:t>to</w:t>
      </w:r>
      <w:r w:rsidRPr="00150EDC">
        <w:rPr>
          <w:spacing w:val="-4"/>
          <w:sz w:val="24"/>
        </w:rPr>
        <w:t xml:space="preserve"> </w:t>
      </w:r>
      <w:r w:rsidRPr="00150EDC">
        <w:rPr>
          <w:sz w:val="24"/>
        </w:rPr>
        <w:t>the</w:t>
      </w:r>
      <w:r w:rsidRPr="00150EDC">
        <w:rPr>
          <w:spacing w:val="-4"/>
          <w:sz w:val="24"/>
        </w:rPr>
        <w:t xml:space="preserve"> </w:t>
      </w:r>
      <w:r w:rsidRPr="00150EDC">
        <w:rPr>
          <w:sz w:val="24"/>
        </w:rPr>
        <w:t>Supply</w:t>
      </w:r>
      <w:r w:rsidRPr="00150EDC">
        <w:rPr>
          <w:spacing w:val="-4"/>
          <w:sz w:val="24"/>
        </w:rPr>
        <w:t xml:space="preserve"> </w:t>
      </w:r>
      <w:r w:rsidRPr="00150EDC">
        <w:rPr>
          <w:sz w:val="24"/>
        </w:rPr>
        <w:t>Chain</w:t>
      </w:r>
      <w:r w:rsidRPr="00150EDC">
        <w:rPr>
          <w:spacing w:val="-6"/>
          <w:sz w:val="24"/>
        </w:rPr>
        <w:t xml:space="preserve"> </w:t>
      </w:r>
      <w:r w:rsidRPr="00150EDC">
        <w:rPr>
          <w:sz w:val="24"/>
        </w:rPr>
        <w:t>Information</w:t>
      </w:r>
      <w:r w:rsidRPr="00150EDC">
        <w:rPr>
          <w:spacing w:val="-6"/>
          <w:sz w:val="24"/>
        </w:rPr>
        <w:t xml:space="preserve"> </w:t>
      </w:r>
      <w:r w:rsidRPr="00150EDC">
        <w:rPr>
          <w:sz w:val="24"/>
        </w:rPr>
        <w:t>Report</w:t>
      </w:r>
      <w:r w:rsidRPr="00150EDC">
        <w:rPr>
          <w:spacing w:val="-4"/>
          <w:sz w:val="24"/>
        </w:rPr>
        <w:t xml:space="preserve"> </w:t>
      </w:r>
      <w:r w:rsidRPr="00150EDC">
        <w:rPr>
          <w:sz w:val="24"/>
        </w:rPr>
        <w:t>Template</w:t>
      </w:r>
      <w:r w:rsidRPr="00150EDC">
        <w:rPr>
          <w:spacing w:val="-3"/>
          <w:sz w:val="24"/>
        </w:rPr>
        <w:t xml:space="preserve"> </w:t>
      </w:r>
      <w:r w:rsidRPr="00150EDC">
        <w:rPr>
          <w:sz w:val="24"/>
        </w:rPr>
        <w:t>without</w:t>
      </w:r>
      <w:r w:rsidRPr="00150EDC">
        <w:rPr>
          <w:spacing w:val="-4"/>
          <w:sz w:val="24"/>
        </w:rPr>
        <w:t xml:space="preserve"> </w:t>
      </w:r>
      <w:r w:rsidRPr="00150EDC">
        <w:rPr>
          <w:sz w:val="24"/>
        </w:rPr>
        <w:t>the prior Approval of the Authority.</w:t>
      </w:r>
    </w:p>
    <w:p w14:paraId="67CA8939" w14:textId="77777777" w:rsidR="004C7180" w:rsidRPr="00150EDC" w:rsidRDefault="004C7180">
      <w:pPr>
        <w:spacing w:line="276" w:lineRule="auto"/>
        <w:rPr>
          <w:sz w:val="24"/>
        </w:rPr>
        <w:sectPr w:rsidR="004C7180" w:rsidRPr="00150EDC">
          <w:pgSz w:w="11910" w:h="16840"/>
          <w:pgMar w:top="1200" w:right="0" w:bottom="1680" w:left="40" w:header="715" w:footer="1490" w:gutter="0"/>
          <w:cols w:space="720"/>
        </w:sectPr>
      </w:pPr>
    </w:p>
    <w:p w14:paraId="5FFF4E1C" w14:textId="77777777" w:rsidR="004C7180" w:rsidRPr="00150EDC" w:rsidRDefault="004C7180">
      <w:pPr>
        <w:pStyle w:val="BodyText"/>
        <w:spacing w:before="6"/>
        <w:rPr>
          <w:sz w:val="15"/>
        </w:rPr>
      </w:pPr>
    </w:p>
    <w:p w14:paraId="6064726B" w14:textId="77777777" w:rsidR="004C7180" w:rsidRPr="00150EDC" w:rsidRDefault="00CF0754">
      <w:pPr>
        <w:spacing w:before="92"/>
        <w:ind w:left="1416" w:right="1094"/>
        <w:jc w:val="center"/>
        <w:rPr>
          <w:b/>
          <w:sz w:val="24"/>
        </w:rPr>
      </w:pPr>
      <w:r w:rsidRPr="00150EDC">
        <w:rPr>
          <w:b/>
          <w:sz w:val="24"/>
        </w:rPr>
        <w:t>Annex</w:t>
      </w:r>
      <w:r w:rsidRPr="00150EDC">
        <w:rPr>
          <w:b/>
          <w:spacing w:val="-6"/>
          <w:sz w:val="24"/>
        </w:rPr>
        <w:t xml:space="preserve"> </w:t>
      </w:r>
      <w:r w:rsidRPr="00150EDC">
        <w:rPr>
          <w:b/>
          <w:spacing w:val="-10"/>
          <w:sz w:val="24"/>
        </w:rPr>
        <w:t>1</w:t>
      </w:r>
    </w:p>
    <w:p w14:paraId="08866271" w14:textId="77777777" w:rsidR="004C7180" w:rsidRPr="00150EDC" w:rsidRDefault="004C7180">
      <w:pPr>
        <w:pStyle w:val="BodyText"/>
        <w:spacing w:before="10"/>
        <w:rPr>
          <w:b/>
          <w:sz w:val="20"/>
        </w:rPr>
      </w:pPr>
    </w:p>
    <w:p w14:paraId="267B4E49" w14:textId="77777777" w:rsidR="004C7180" w:rsidRPr="00150EDC" w:rsidRDefault="00CF0754">
      <w:pPr>
        <w:ind w:left="1416" w:right="1100"/>
        <w:jc w:val="center"/>
        <w:rPr>
          <w:b/>
          <w:sz w:val="24"/>
        </w:rPr>
      </w:pPr>
      <w:r w:rsidRPr="00150EDC">
        <w:rPr>
          <w:b/>
          <w:sz w:val="24"/>
        </w:rPr>
        <w:t>Supply</w:t>
      </w:r>
      <w:r w:rsidRPr="00150EDC">
        <w:rPr>
          <w:b/>
          <w:spacing w:val="-4"/>
          <w:sz w:val="24"/>
        </w:rPr>
        <w:t xml:space="preserve"> </w:t>
      </w:r>
      <w:r w:rsidRPr="00150EDC">
        <w:rPr>
          <w:b/>
          <w:sz w:val="24"/>
        </w:rPr>
        <w:t>Chain</w:t>
      </w:r>
      <w:r w:rsidRPr="00150EDC">
        <w:rPr>
          <w:b/>
          <w:spacing w:val="-4"/>
          <w:sz w:val="24"/>
        </w:rPr>
        <w:t xml:space="preserve"> </w:t>
      </w:r>
      <w:r w:rsidRPr="00150EDC">
        <w:rPr>
          <w:b/>
          <w:sz w:val="24"/>
        </w:rPr>
        <w:t>Information</w:t>
      </w:r>
      <w:r w:rsidRPr="00150EDC">
        <w:rPr>
          <w:b/>
          <w:spacing w:val="-4"/>
          <w:sz w:val="24"/>
        </w:rPr>
        <w:t xml:space="preserve"> </w:t>
      </w:r>
      <w:r w:rsidRPr="00150EDC">
        <w:rPr>
          <w:b/>
          <w:sz w:val="24"/>
        </w:rPr>
        <w:t>Report</w:t>
      </w:r>
      <w:r w:rsidRPr="00150EDC">
        <w:rPr>
          <w:b/>
          <w:spacing w:val="-4"/>
          <w:sz w:val="24"/>
        </w:rPr>
        <w:t xml:space="preserve"> </w:t>
      </w:r>
      <w:r w:rsidRPr="00150EDC">
        <w:rPr>
          <w:b/>
          <w:spacing w:val="-2"/>
          <w:sz w:val="24"/>
        </w:rPr>
        <w:t>template</w:t>
      </w:r>
    </w:p>
    <w:p w14:paraId="63771A10" w14:textId="77777777" w:rsidR="004C7180" w:rsidRPr="00150EDC" w:rsidRDefault="004C7180">
      <w:pPr>
        <w:pStyle w:val="BodyText"/>
        <w:rPr>
          <w:b/>
          <w:sz w:val="20"/>
        </w:rPr>
      </w:pPr>
    </w:p>
    <w:p w14:paraId="6B2FC5F4" w14:textId="77777777" w:rsidR="004C7180" w:rsidRPr="00150EDC" w:rsidRDefault="004C7180">
      <w:pPr>
        <w:pStyle w:val="BodyText"/>
        <w:rPr>
          <w:b/>
          <w:sz w:val="20"/>
        </w:rPr>
      </w:pPr>
    </w:p>
    <w:p w14:paraId="22CA224B" w14:textId="77777777" w:rsidR="004C7180" w:rsidRPr="00150EDC" w:rsidRDefault="004C7180">
      <w:pPr>
        <w:pStyle w:val="BodyText"/>
        <w:rPr>
          <w:b/>
          <w:sz w:val="20"/>
        </w:rPr>
      </w:pPr>
    </w:p>
    <w:p w14:paraId="3F926C71" w14:textId="77777777" w:rsidR="004C7180" w:rsidRPr="00150EDC" w:rsidRDefault="004C7180">
      <w:pPr>
        <w:pStyle w:val="BodyText"/>
        <w:rPr>
          <w:b/>
          <w:sz w:val="20"/>
        </w:rPr>
      </w:pPr>
    </w:p>
    <w:p w14:paraId="6F56F2AE" w14:textId="77777777" w:rsidR="004C7180" w:rsidRPr="00150EDC" w:rsidRDefault="00CF0754">
      <w:pPr>
        <w:pStyle w:val="BodyText"/>
        <w:spacing w:before="1"/>
        <w:rPr>
          <w:b/>
          <w:sz w:val="28"/>
        </w:rPr>
      </w:pPr>
      <w:r w:rsidRPr="00150EDC">
        <w:rPr>
          <w:noProof/>
          <w:lang w:val="en-GB" w:eastAsia="en-GB"/>
        </w:rPr>
        <w:drawing>
          <wp:anchor distT="0" distB="0" distL="0" distR="0" simplePos="0" relativeHeight="251658276" behindDoc="1" locked="0" layoutInCell="1" allowOverlap="1" wp14:anchorId="4A00C9EE" wp14:editId="1B4F7958">
            <wp:simplePos x="0" y="0"/>
            <wp:positionH relativeFrom="page">
              <wp:posOffset>941860</wp:posOffset>
            </wp:positionH>
            <wp:positionV relativeFrom="paragraph">
              <wp:posOffset>220327</wp:posOffset>
            </wp:positionV>
            <wp:extent cx="1435531" cy="713231"/>
            <wp:effectExtent l="0" t="0" r="0" b="0"/>
            <wp:wrapTopAndBottom/>
            <wp:docPr id="77"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54" cstate="print"/>
                    <a:stretch>
                      <a:fillRect/>
                    </a:stretch>
                  </pic:blipFill>
                  <pic:spPr>
                    <a:xfrm>
                      <a:off x="0" y="0"/>
                      <a:ext cx="1435531" cy="713231"/>
                    </a:xfrm>
                    <a:prstGeom prst="rect">
                      <a:avLst/>
                    </a:prstGeom>
                  </pic:spPr>
                </pic:pic>
              </a:graphicData>
            </a:graphic>
          </wp:anchor>
        </w:drawing>
      </w:r>
    </w:p>
    <w:p w14:paraId="75A8EFEC" w14:textId="77777777" w:rsidR="004C7180" w:rsidRPr="00150EDC" w:rsidRDefault="004C7180">
      <w:pPr>
        <w:rPr>
          <w:sz w:val="28"/>
        </w:rPr>
        <w:sectPr w:rsidR="004C7180" w:rsidRPr="00150EDC">
          <w:pgSz w:w="11910" w:h="16840"/>
          <w:pgMar w:top="1200" w:right="0" w:bottom="1680" w:left="40" w:header="715" w:footer="1490" w:gutter="0"/>
          <w:cols w:space="720"/>
        </w:sectPr>
      </w:pPr>
    </w:p>
    <w:p w14:paraId="6D093488" w14:textId="77777777" w:rsidR="004C7180" w:rsidRPr="00150EDC" w:rsidRDefault="004C7180">
      <w:pPr>
        <w:pStyle w:val="BodyText"/>
        <w:rPr>
          <w:b/>
          <w:sz w:val="20"/>
        </w:rPr>
      </w:pPr>
    </w:p>
    <w:p w14:paraId="153132BB" w14:textId="77777777" w:rsidR="004C7180" w:rsidRPr="00150EDC" w:rsidRDefault="004C7180">
      <w:pPr>
        <w:pStyle w:val="BodyText"/>
        <w:rPr>
          <w:b/>
          <w:sz w:val="20"/>
        </w:rPr>
      </w:pPr>
    </w:p>
    <w:p w14:paraId="1B73E403" w14:textId="77777777" w:rsidR="004C7180" w:rsidRPr="00150EDC" w:rsidRDefault="004C7180">
      <w:pPr>
        <w:pStyle w:val="BodyText"/>
        <w:rPr>
          <w:b/>
          <w:sz w:val="20"/>
        </w:rPr>
      </w:pPr>
    </w:p>
    <w:p w14:paraId="47FF03C8" w14:textId="77777777" w:rsidR="004C7180" w:rsidRPr="00150EDC" w:rsidRDefault="00CF0754">
      <w:pPr>
        <w:pStyle w:val="Heading1"/>
        <w:spacing w:before="237"/>
        <w:ind w:left="1400" w:firstLine="0"/>
      </w:pPr>
      <w:bookmarkStart w:id="14" w:name="Binder7.pdf"/>
      <w:bookmarkStart w:id="15" w:name="DPS_Order_Schedule_1_Transparency_Report"/>
      <w:bookmarkEnd w:id="14"/>
      <w:bookmarkEnd w:id="15"/>
      <w:r w:rsidRPr="00150EDC">
        <w:t>Order</w:t>
      </w:r>
      <w:r w:rsidRPr="00150EDC">
        <w:rPr>
          <w:spacing w:val="-8"/>
        </w:rPr>
        <w:t xml:space="preserve"> </w:t>
      </w:r>
      <w:r w:rsidRPr="00150EDC">
        <w:t>Schedule</w:t>
      </w:r>
      <w:r w:rsidRPr="00150EDC">
        <w:rPr>
          <w:spacing w:val="-5"/>
        </w:rPr>
        <w:t xml:space="preserve"> </w:t>
      </w:r>
      <w:r w:rsidRPr="00150EDC">
        <w:t>1</w:t>
      </w:r>
      <w:r w:rsidRPr="00150EDC">
        <w:rPr>
          <w:spacing w:val="-6"/>
        </w:rPr>
        <w:t xml:space="preserve"> </w:t>
      </w:r>
      <w:r w:rsidRPr="00150EDC">
        <w:t>(Transparency</w:t>
      </w:r>
      <w:r w:rsidRPr="00150EDC">
        <w:rPr>
          <w:spacing w:val="-5"/>
        </w:rPr>
        <w:t xml:space="preserve"> </w:t>
      </w:r>
      <w:r w:rsidRPr="00150EDC">
        <w:rPr>
          <w:spacing w:val="-2"/>
        </w:rPr>
        <w:t>Reports)</w:t>
      </w:r>
    </w:p>
    <w:p w14:paraId="1D40EE71" w14:textId="77777777" w:rsidR="004C7180" w:rsidRPr="00150EDC" w:rsidRDefault="00CF0754" w:rsidP="00B320C7">
      <w:pPr>
        <w:pStyle w:val="ListParagraph"/>
        <w:numPr>
          <w:ilvl w:val="1"/>
          <w:numId w:val="91"/>
        </w:numPr>
        <w:tabs>
          <w:tab w:val="left" w:pos="1760"/>
          <w:tab w:val="left" w:pos="1802"/>
        </w:tabs>
        <w:spacing w:before="241" w:line="276" w:lineRule="auto"/>
        <w:ind w:right="1523" w:hanging="360"/>
        <w:rPr>
          <w:sz w:val="24"/>
        </w:rPr>
      </w:pPr>
      <w:r w:rsidRPr="00150EDC">
        <w:rPr>
          <w:rFonts w:ascii="Times New Roman"/>
          <w:sz w:val="24"/>
        </w:rPr>
        <w:tab/>
      </w:r>
      <w:r w:rsidRPr="00150EDC">
        <w:rPr>
          <w:sz w:val="24"/>
        </w:rPr>
        <w:t xml:space="preserve">The Supplier recognises that the Buyer is subject to PPN 01/17 (Updates to transparency principles v1.1 </w:t>
      </w:r>
      <w:r w:rsidRPr="00150EDC">
        <w:rPr>
          <w:spacing w:val="-2"/>
          <w:sz w:val="24"/>
        </w:rPr>
        <w:t>(</w:t>
      </w:r>
      <w:hyperlink r:id="rId55">
        <w:r w:rsidRPr="007D3144">
          <w:rPr>
            <w:spacing w:val="-2"/>
            <w:sz w:val="24"/>
            <w:u w:val="single" w:color="0000FF"/>
          </w:rPr>
          <w:t>https://www.gov.uk/government/publications/procurement-policy-note-0117-</w:t>
        </w:r>
      </w:hyperlink>
      <w:r w:rsidRPr="007D3144">
        <w:rPr>
          <w:spacing w:val="-2"/>
          <w:sz w:val="24"/>
        </w:rPr>
        <w:t xml:space="preserve"> </w:t>
      </w:r>
      <w:hyperlink r:id="rId56">
        <w:r w:rsidRPr="007D3144">
          <w:rPr>
            <w:sz w:val="24"/>
            <w:u w:val="single" w:color="0000FF"/>
          </w:rPr>
          <w:t>update-to-transparency-principles</w:t>
        </w:r>
      </w:hyperlink>
      <w:r w:rsidRPr="00150EDC">
        <w:rPr>
          <w:sz w:val="24"/>
        </w:rPr>
        <w:t>).</w:t>
      </w:r>
      <w:r w:rsidRPr="00150EDC">
        <w:rPr>
          <w:spacing w:val="-3"/>
          <w:sz w:val="24"/>
        </w:rPr>
        <w:t xml:space="preserve"> </w:t>
      </w:r>
      <w:r w:rsidRPr="00150EDC">
        <w:rPr>
          <w:sz w:val="24"/>
        </w:rPr>
        <w:t>The</w:t>
      </w:r>
      <w:r w:rsidRPr="00150EDC">
        <w:rPr>
          <w:spacing w:val="-5"/>
          <w:sz w:val="24"/>
        </w:rPr>
        <w:t xml:space="preserve"> </w:t>
      </w:r>
      <w:r w:rsidRPr="00150EDC">
        <w:rPr>
          <w:sz w:val="24"/>
        </w:rPr>
        <w:t>Supplier</w:t>
      </w:r>
      <w:r w:rsidRPr="00150EDC">
        <w:rPr>
          <w:spacing w:val="-5"/>
          <w:sz w:val="24"/>
        </w:rPr>
        <w:t xml:space="preserve"> </w:t>
      </w:r>
      <w:r w:rsidRPr="00150EDC">
        <w:rPr>
          <w:sz w:val="24"/>
        </w:rPr>
        <w:t>shall</w:t>
      </w:r>
      <w:r w:rsidRPr="00150EDC">
        <w:rPr>
          <w:spacing w:val="-4"/>
          <w:sz w:val="24"/>
        </w:rPr>
        <w:t xml:space="preserve"> </w:t>
      </w:r>
      <w:r w:rsidRPr="00150EDC">
        <w:rPr>
          <w:sz w:val="24"/>
        </w:rPr>
        <w:t>comply</w:t>
      </w:r>
      <w:r w:rsidRPr="00150EDC">
        <w:rPr>
          <w:spacing w:val="-4"/>
          <w:sz w:val="24"/>
        </w:rPr>
        <w:t xml:space="preserve"> </w:t>
      </w:r>
      <w:r w:rsidRPr="00150EDC">
        <w:rPr>
          <w:sz w:val="24"/>
        </w:rPr>
        <w:t>with</w:t>
      </w:r>
      <w:r w:rsidRPr="00150EDC">
        <w:rPr>
          <w:spacing w:val="-8"/>
          <w:sz w:val="24"/>
        </w:rPr>
        <w:t xml:space="preserve"> </w:t>
      </w:r>
      <w:r w:rsidRPr="00150EDC">
        <w:rPr>
          <w:sz w:val="24"/>
        </w:rPr>
        <w:t>the</w:t>
      </w:r>
      <w:r w:rsidRPr="00150EDC">
        <w:rPr>
          <w:spacing w:val="-5"/>
          <w:sz w:val="24"/>
        </w:rPr>
        <w:t xml:space="preserve"> </w:t>
      </w:r>
      <w:r w:rsidRPr="00150EDC">
        <w:rPr>
          <w:sz w:val="24"/>
        </w:rPr>
        <w:t>provisions of this Schedule in order to assist the Buyer with its compliance with its obligations under that PPN.</w:t>
      </w:r>
    </w:p>
    <w:p w14:paraId="5F083645" w14:textId="77777777" w:rsidR="004C7180" w:rsidRPr="00150EDC" w:rsidRDefault="004C7180">
      <w:pPr>
        <w:pStyle w:val="BodyText"/>
        <w:spacing w:before="7"/>
        <w:rPr>
          <w:sz w:val="27"/>
        </w:rPr>
      </w:pPr>
    </w:p>
    <w:p w14:paraId="5916F15F" w14:textId="77777777" w:rsidR="004C7180" w:rsidRPr="00150EDC" w:rsidRDefault="00CF0754" w:rsidP="00B320C7">
      <w:pPr>
        <w:pStyle w:val="ListParagraph"/>
        <w:numPr>
          <w:ilvl w:val="1"/>
          <w:numId w:val="91"/>
        </w:numPr>
        <w:tabs>
          <w:tab w:val="left" w:pos="1758"/>
          <w:tab w:val="left" w:pos="1760"/>
        </w:tabs>
        <w:spacing w:before="1" w:line="276" w:lineRule="auto"/>
        <w:ind w:right="1460" w:hanging="360"/>
        <w:rPr>
          <w:sz w:val="24"/>
        </w:rPr>
      </w:pPr>
      <w:r w:rsidRPr="00150EDC">
        <w:rPr>
          <w:sz w:val="24"/>
        </w:rPr>
        <w:t>Without prejudice to the Supplier's reporting requirements set out in the DPS Contract,</w:t>
      </w:r>
      <w:r w:rsidRPr="00150EDC">
        <w:rPr>
          <w:spacing w:val="-1"/>
          <w:sz w:val="24"/>
        </w:rPr>
        <w:t xml:space="preserve"> </w:t>
      </w:r>
      <w:r w:rsidRPr="00150EDC">
        <w:rPr>
          <w:sz w:val="24"/>
        </w:rPr>
        <w:t>within</w:t>
      </w:r>
      <w:r w:rsidRPr="00150EDC">
        <w:rPr>
          <w:spacing w:val="-1"/>
          <w:sz w:val="24"/>
        </w:rPr>
        <w:t xml:space="preserve"> </w:t>
      </w:r>
      <w:r w:rsidRPr="00150EDC">
        <w:rPr>
          <w:sz w:val="24"/>
        </w:rPr>
        <w:t>three</w:t>
      </w:r>
      <w:r w:rsidRPr="00150EDC">
        <w:rPr>
          <w:spacing w:val="-1"/>
          <w:sz w:val="24"/>
        </w:rPr>
        <w:t xml:space="preserve"> </w:t>
      </w:r>
      <w:r w:rsidRPr="00150EDC">
        <w:rPr>
          <w:sz w:val="24"/>
        </w:rPr>
        <w:t>(3)</w:t>
      </w:r>
      <w:r w:rsidRPr="00150EDC">
        <w:rPr>
          <w:spacing w:val="-3"/>
          <w:sz w:val="24"/>
        </w:rPr>
        <w:t xml:space="preserve"> </w:t>
      </w:r>
      <w:r w:rsidRPr="00150EDC">
        <w:rPr>
          <w:sz w:val="24"/>
        </w:rPr>
        <w:t>Months</w:t>
      </w:r>
      <w:r w:rsidRPr="00150EDC">
        <w:rPr>
          <w:spacing w:val="-4"/>
          <w:sz w:val="24"/>
        </w:rPr>
        <w:t xml:space="preserve"> </w:t>
      </w:r>
      <w:r w:rsidRPr="00150EDC">
        <w:rPr>
          <w:sz w:val="24"/>
        </w:rPr>
        <w:t>of</w:t>
      </w:r>
      <w:r w:rsidRPr="00150EDC">
        <w:rPr>
          <w:spacing w:val="-4"/>
          <w:sz w:val="24"/>
        </w:rPr>
        <w:t xml:space="preserve"> </w:t>
      </w:r>
      <w:r w:rsidRPr="00150EDC">
        <w:rPr>
          <w:sz w:val="24"/>
        </w:rPr>
        <w:t>the</w:t>
      </w:r>
      <w:r w:rsidRPr="00150EDC">
        <w:rPr>
          <w:spacing w:val="-3"/>
          <w:sz w:val="24"/>
        </w:rPr>
        <w:t xml:space="preserve"> </w:t>
      </w:r>
      <w:r w:rsidRPr="00150EDC">
        <w:rPr>
          <w:sz w:val="24"/>
        </w:rPr>
        <w:t>Start</w:t>
      </w:r>
      <w:r w:rsidRPr="00150EDC">
        <w:rPr>
          <w:spacing w:val="-6"/>
          <w:sz w:val="24"/>
        </w:rPr>
        <w:t xml:space="preserve"> </w:t>
      </w:r>
      <w:r w:rsidRPr="00150EDC">
        <w:rPr>
          <w:sz w:val="24"/>
        </w:rPr>
        <w:t>Date</w:t>
      </w:r>
      <w:r w:rsidRPr="00150EDC">
        <w:rPr>
          <w:spacing w:val="-1"/>
          <w:sz w:val="24"/>
        </w:rPr>
        <w:t xml:space="preserve"> </w:t>
      </w:r>
      <w:r w:rsidRPr="00150EDC">
        <w:rPr>
          <w:sz w:val="24"/>
        </w:rPr>
        <w:t>the</w:t>
      </w:r>
      <w:r w:rsidRPr="00150EDC">
        <w:rPr>
          <w:spacing w:val="-1"/>
          <w:sz w:val="24"/>
        </w:rPr>
        <w:t xml:space="preserve"> </w:t>
      </w:r>
      <w:r w:rsidRPr="00150EDC">
        <w:rPr>
          <w:sz w:val="24"/>
        </w:rPr>
        <w:t>Supplier</w:t>
      </w:r>
      <w:r w:rsidRPr="00150EDC">
        <w:rPr>
          <w:spacing w:val="-3"/>
          <w:sz w:val="24"/>
        </w:rPr>
        <w:t xml:space="preserve"> </w:t>
      </w:r>
      <w:r w:rsidRPr="00150EDC">
        <w:rPr>
          <w:sz w:val="24"/>
        </w:rPr>
        <w:t>shall</w:t>
      </w:r>
      <w:r w:rsidRPr="00150EDC">
        <w:rPr>
          <w:spacing w:val="-5"/>
          <w:sz w:val="24"/>
        </w:rPr>
        <w:t xml:space="preserve"> </w:t>
      </w:r>
      <w:r w:rsidRPr="00150EDC">
        <w:rPr>
          <w:sz w:val="24"/>
        </w:rPr>
        <w:t>submit</w:t>
      </w:r>
      <w:r w:rsidRPr="00150EDC">
        <w:rPr>
          <w:spacing w:val="-1"/>
          <w:sz w:val="24"/>
        </w:rPr>
        <w:t xml:space="preserve"> </w:t>
      </w:r>
      <w:r w:rsidRPr="00150EDC">
        <w:rPr>
          <w:sz w:val="24"/>
        </w:rPr>
        <w:t>to</w:t>
      </w:r>
      <w:r w:rsidRPr="00150EDC">
        <w:rPr>
          <w:spacing w:val="-3"/>
          <w:sz w:val="24"/>
        </w:rPr>
        <w:t xml:space="preserve"> </w:t>
      </w:r>
      <w:r w:rsidRPr="00150EDC">
        <w:rPr>
          <w:sz w:val="24"/>
        </w:rPr>
        <w:t>the Buyer for Approval (such Approval not to be unreasonably withheld or delayed) draft Transparency Reports consistent with the content requirements and format set out in the Annex of this Schedule.</w:t>
      </w:r>
    </w:p>
    <w:p w14:paraId="6036B076" w14:textId="77777777" w:rsidR="004C7180" w:rsidRPr="00150EDC" w:rsidRDefault="004C7180">
      <w:pPr>
        <w:pStyle w:val="BodyText"/>
        <w:spacing w:before="5"/>
        <w:rPr>
          <w:sz w:val="27"/>
        </w:rPr>
      </w:pPr>
    </w:p>
    <w:p w14:paraId="2D1C8EBD" w14:textId="77777777" w:rsidR="004C7180" w:rsidRPr="00150EDC" w:rsidRDefault="00CF0754" w:rsidP="00B320C7">
      <w:pPr>
        <w:pStyle w:val="ListParagraph"/>
        <w:numPr>
          <w:ilvl w:val="1"/>
          <w:numId w:val="91"/>
        </w:numPr>
        <w:tabs>
          <w:tab w:val="left" w:pos="1760"/>
          <w:tab w:val="left" w:pos="1802"/>
        </w:tabs>
        <w:spacing w:line="276" w:lineRule="auto"/>
        <w:ind w:right="1562" w:hanging="360"/>
        <w:rPr>
          <w:sz w:val="24"/>
        </w:rPr>
      </w:pPr>
      <w:r w:rsidRPr="00150EDC">
        <w:rPr>
          <w:rFonts w:ascii="Times New Roman"/>
          <w:sz w:val="24"/>
        </w:rPr>
        <w:tab/>
      </w:r>
      <w:r w:rsidRPr="00150EDC">
        <w:rPr>
          <w:sz w:val="24"/>
        </w:rPr>
        <w:t>If the Buyer rejects any proposed Transparency Report submitted by the Supplier, the Supplier shall submit a revised version of the relevant report for further Approval within five (5) days of receipt of any notice of rejection, taking account of any recommendations for revision and improvement to the report provided</w:t>
      </w:r>
      <w:r w:rsidRPr="00150EDC">
        <w:rPr>
          <w:spacing w:val="-3"/>
          <w:sz w:val="24"/>
        </w:rPr>
        <w:t xml:space="preserve"> </w:t>
      </w:r>
      <w:r w:rsidRPr="00150EDC">
        <w:rPr>
          <w:sz w:val="24"/>
        </w:rPr>
        <w:t>by</w:t>
      </w:r>
      <w:r w:rsidRPr="00150EDC">
        <w:rPr>
          <w:spacing w:val="-2"/>
          <w:sz w:val="24"/>
        </w:rPr>
        <w:t xml:space="preserve"> </w:t>
      </w:r>
      <w:r w:rsidRPr="00150EDC">
        <w:rPr>
          <w:sz w:val="24"/>
        </w:rPr>
        <w:t>the</w:t>
      </w:r>
      <w:r w:rsidRPr="00150EDC">
        <w:rPr>
          <w:spacing w:val="-3"/>
          <w:sz w:val="24"/>
        </w:rPr>
        <w:t xml:space="preserve"> </w:t>
      </w:r>
      <w:r w:rsidRPr="00150EDC">
        <w:rPr>
          <w:sz w:val="24"/>
        </w:rPr>
        <w:t>Buyer.</w:t>
      </w:r>
      <w:r w:rsidRPr="00150EDC">
        <w:rPr>
          <w:spacing w:val="-4"/>
          <w:sz w:val="24"/>
        </w:rPr>
        <w:t xml:space="preserve"> </w:t>
      </w:r>
      <w:r w:rsidRPr="00150EDC">
        <w:rPr>
          <w:sz w:val="24"/>
        </w:rPr>
        <w:t>If</w:t>
      </w:r>
      <w:r w:rsidRPr="00150EDC">
        <w:rPr>
          <w:spacing w:val="-1"/>
          <w:sz w:val="24"/>
        </w:rPr>
        <w:t xml:space="preserve"> </w:t>
      </w:r>
      <w:r w:rsidRPr="00150EDC">
        <w:rPr>
          <w:sz w:val="24"/>
        </w:rPr>
        <w:t>the</w:t>
      </w:r>
      <w:r w:rsidRPr="00150EDC">
        <w:rPr>
          <w:spacing w:val="-1"/>
          <w:sz w:val="24"/>
        </w:rPr>
        <w:t xml:space="preserve"> </w:t>
      </w:r>
      <w:r w:rsidRPr="00150EDC">
        <w:rPr>
          <w:sz w:val="24"/>
        </w:rPr>
        <w:t>Parties</w:t>
      </w:r>
      <w:r w:rsidRPr="00150EDC">
        <w:rPr>
          <w:spacing w:val="-2"/>
          <w:sz w:val="24"/>
        </w:rPr>
        <w:t xml:space="preserve"> </w:t>
      </w:r>
      <w:r w:rsidRPr="00150EDC">
        <w:rPr>
          <w:sz w:val="24"/>
        </w:rPr>
        <w:t>fail</w:t>
      </w:r>
      <w:r w:rsidRPr="00150EDC">
        <w:rPr>
          <w:spacing w:val="-2"/>
          <w:sz w:val="24"/>
        </w:rPr>
        <w:t xml:space="preserve"> </w:t>
      </w:r>
      <w:r w:rsidRPr="00150EDC">
        <w:rPr>
          <w:sz w:val="24"/>
        </w:rPr>
        <w:t>to</w:t>
      </w:r>
      <w:r w:rsidRPr="00150EDC">
        <w:rPr>
          <w:spacing w:val="-3"/>
          <w:sz w:val="24"/>
        </w:rPr>
        <w:t xml:space="preserve"> </w:t>
      </w:r>
      <w:r w:rsidRPr="00150EDC">
        <w:rPr>
          <w:sz w:val="24"/>
        </w:rPr>
        <w:t>agree</w:t>
      </w:r>
      <w:r w:rsidRPr="00150EDC">
        <w:rPr>
          <w:spacing w:val="-1"/>
          <w:sz w:val="24"/>
        </w:rPr>
        <w:t xml:space="preserve"> </w:t>
      </w:r>
      <w:r w:rsidRPr="00150EDC">
        <w:rPr>
          <w:sz w:val="24"/>
        </w:rPr>
        <w:t>on</w:t>
      </w:r>
      <w:r w:rsidRPr="00150EDC">
        <w:rPr>
          <w:spacing w:val="-3"/>
          <w:sz w:val="24"/>
        </w:rPr>
        <w:t xml:space="preserve"> </w:t>
      </w:r>
      <w:r w:rsidRPr="00150EDC">
        <w:rPr>
          <w:sz w:val="24"/>
        </w:rPr>
        <w:t>a</w:t>
      </w:r>
      <w:r w:rsidRPr="00150EDC">
        <w:rPr>
          <w:spacing w:val="-3"/>
          <w:sz w:val="24"/>
        </w:rPr>
        <w:t xml:space="preserve"> </w:t>
      </w:r>
      <w:r w:rsidRPr="00150EDC">
        <w:rPr>
          <w:sz w:val="24"/>
        </w:rPr>
        <w:t>draft</w:t>
      </w:r>
      <w:r w:rsidRPr="00150EDC">
        <w:rPr>
          <w:spacing w:val="-1"/>
          <w:sz w:val="24"/>
        </w:rPr>
        <w:t xml:space="preserve"> </w:t>
      </w:r>
      <w:r w:rsidRPr="00150EDC">
        <w:rPr>
          <w:sz w:val="24"/>
        </w:rPr>
        <w:t>Transparency</w:t>
      </w:r>
      <w:r w:rsidRPr="00150EDC">
        <w:rPr>
          <w:spacing w:val="-2"/>
          <w:sz w:val="24"/>
        </w:rPr>
        <w:t xml:space="preserve"> </w:t>
      </w:r>
      <w:r w:rsidRPr="00150EDC">
        <w:rPr>
          <w:sz w:val="24"/>
        </w:rPr>
        <w:t>Report the Buyer shall determine what should be included. Any other disagreement in connection with Transparency Reports shall be treated as a Dispute.</w:t>
      </w:r>
    </w:p>
    <w:p w14:paraId="3B9CA368" w14:textId="77777777" w:rsidR="004C7180" w:rsidRPr="00150EDC" w:rsidRDefault="004C7180">
      <w:pPr>
        <w:pStyle w:val="BodyText"/>
        <w:spacing w:before="7"/>
        <w:rPr>
          <w:sz w:val="27"/>
        </w:rPr>
      </w:pPr>
    </w:p>
    <w:p w14:paraId="03358FD9" w14:textId="77777777" w:rsidR="004C7180" w:rsidRPr="00150EDC" w:rsidRDefault="00CF0754" w:rsidP="00B320C7">
      <w:pPr>
        <w:pStyle w:val="ListParagraph"/>
        <w:numPr>
          <w:ilvl w:val="1"/>
          <w:numId w:val="91"/>
        </w:numPr>
        <w:tabs>
          <w:tab w:val="left" w:pos="1759"/>
          <w:tab w:val="left" w:pos="1801"/>
        </w:tabs>
        <w:spacing w:before="1" w:line="276" w:lineRule="auto"/>
        <w:ind w:left="1759" w:right="1854" w:hanging="360"/>
        <w:rPr>
          <w:sz w:val="24"/>
        </w:rPr>
      </w:pPr>
      <w:r w:rsidRPr="00150EDC">
        <w:rPr>
          <w:rFonts w:ascii="Times New Roman"/>
          <w:sz w:val="24"/>
        </w:rPr>
        <w:tab/>
      </w:r>
      <w:r w:rsidRPr="00150EDC">
        <w:rPr>
          <w:sz w:val="24"/>
        </w:rPr>
        <w:t>The Supplier shall provide accurate and up-to-date versions of each Transparency</w:t>
      </w:r>
      <w:r w:rsidRPr="00150EDC">
        <w:rPr>
          <w:spacing w:val="-3"/>
          <w:sz w:val="24"/>
        </w:rPr>
        <w:t xml:space="preserve"> </w:t>
      </w:r>
      <w:r w:rsidRPr="00150EDC">
        <w:rPr>
          <w:sz w:val="24"/>
        </w:rPr>
        <w:t>Report</w:t>
      </w:r>
      <w:r w:rsidRPr="00150EDC">
        <w:rPr>
          <w:spacing w:val="-2"/>
          <w:sz w:val="24"/>
        </w:rPr>
        <w:t xml:space="preserve"> </w:t>
      </w:r>
      <w:r w:rsidRPr="00150EDC">
        <w:rPr>
          <w:sz w:val="24"/>
        </w:rPr>
        <w:t>to</w:t>
      </w:r>
      <w:r w:rsidRPr="00150EDC">
        <w:rPr>
          <w:spacing w:val="-2"/>
          <w:sz w:val="24"/>
        </w:rPr>
        <w:t xml:space="preserve"> </w:t>
      </w:r>
      <w:r w:rsidRPr="00150EDC">
        <w:rPr>
          <w:sz w:val="24"/>
        </w:rPr>
        <w:t>the</w:t>
      </w:r>
      <w:r w:rsidRPr="00150EDC">
        <w:rPr>
          <w:spacing w:val="-2"/>
          <w:sz w:val="24"/>
        </w:rPr>
        <w:t xml:space="preserve"> </w:t>
      </w:r>
      <w:r w:rsidRPr="00150EDC">
        <w:rPr>
          <w:sz w:val="24"/>
        </w:rPr>
        <w:t>Buyer</w:t>
      </w:r>
      <w:r w:rsidRPr="00150EDC">
        <w:rPr>
          <w:spacing w:val="-4"/>
          <w:sz w:val="24"/>
        </w:rPr>
        <w:t xml:space="preserve"> </w:t>
      </w:r>
      <w:r w:rsidRPr="00150EDC">
        <w:rPr>
          <w:sz w:val="24"/>
        </w:rPr>
        <w:t>at</w:t>
      </w:r>
      <w:r w:rsidRPr="00150EDC">
        <w:rPr>
          <w:spacing w:val="-4"/>
          <w:sz w:val="24"/>
        </w:rPr>
        <w:t xml:space="preserve"> </w:t>
      </w:r>
      <w:r w:rsidRPr="00150EDC">
        <w:rPr>
          <w:sz w:val="24"/>
        </w:rPr>
        <w:t>the</w:t>
      </w:r>
      <w:r w:rsidRPr="00150EDC">
        <w:rPr>
          <w:spacing w:val="-2"/>
          <w:sz w:val="24"/>
        </w:rPr>
        <w:t xml:space="preserve"> </w:t>
      </w:r>
      <w:r w:rsidRPr="00150EDC">
        <w:rPr>
          <w:sz w:val="24"/>
        </w:rPr>
        <w:t>frequency</w:t>
      </w:r>
      <w:r w:rsidRPr="00150EDC">
        <w:rPr>
          <w:spacing w:val="-3"/>
          <w:sz w:val="24"/>
        </w:rPr>
        <w:t xml:space="preserve"> </w:t>
      </w:r>
      <w:r w:rsidRPr="00150EDC">
        <w:rPr>
          <w:sz w:val="24"/>
        </w:rPr>
        <w:t>referred</w:t>
      </w:r>
      <w:r w:rsidRPr="00150EDC">
        <w:rPr>
          <w:spacing w:val="-4"/>
          <w:sz w:val="24"/>
        </w:rPr>
        <w:t xml:space="preserve"> </w:t>
      </w:r>
      <w:r w:rsidRPr="00150EDC">
        <w:rPr>
          <w:sz w:val="24"/>
        </w:rPr>
        <w:t>to</w:t>
      </w:r>
      <w:r w:rsidRPr="00150EDC">
        <w:rPr>
          <w:spacing w:val="-2"/>
          <w:sz w:val="24"/>
        </w:rPr>
        <w:t xml:space="preserve"> </w:t>
      </w:r>
      <w:r w:rsidRPr="00150EDC">
        <w:rPr>
          <w:sz w:val="24"/>
        </w:rPr>
        <w:t>in</w:t>
      </w:r>
      <w:r w:rsidRPr="00150EDC">
        <w:rPr>
          <w:spacing w:val="-4"/>
          <w:sz w:val="24"/>
        </w:rPr>
        <w:t xml:space="preserve"> </w:t>
      </w:r>
      <w:r w:rsidRPr="00150EDC">
        <w:rPr>
          <w:sz w:val="24"/>
        </w:rPr>
        <w:t>the</w:t>
      </w:r>
      <w:r w:rsidRPr="00150EDC">
        <w:rPr>
          <w:spacing w:val="-2"/>
          <w:sz w:val="24"/>
        </w:rPr>
        <w:t xml:space="preserve"> </w:t>
      </w:r>
      <w:r w:rsidRPr="00150EDC">
        <w:rPr>
          <w:sz w:val="24"/>
        </w:rPr>
        <w:t>Annex</w:t>
      </w:r>
      <w:r w:rsidRPr="00150EDC">
        <w:rPr>
          <w:spacing w:val="-4"/>
          <w:sz w:val="24"/>
        </w:rPr>
        <w:t xml:space="preserve"> </w:t>
      </w:r>
      <w:r w:rsidRPr="00150EDC">
        <w:rPr>
          <w:sz w:val="24"/>
        </w:rPr>
        <w:t>of this Schedule.</w:t>
      </w:r>
    </w:p>
    <w:p w14:paraId="38DC1AC0" w14:textId="77777777" w:rsidR="004C7180" w:rsidRPr="00150EDC" w:rsidRDefault="004C7180">
      <w:pPr>
        <w:spacing w:line="276" w:lineRule="auto"/>
        <w:rPr>
          <w:sz w:val="24"/>
        </w:rPr>
        <w:sectPr w:rsidR="004C7180" w:rsidRPr="00150EDC">
          <w:headerReference w:type="default" r:id="rId57"/>
          <w:footerReference w:type="default" r:id="rId58"/>
          <w:pgSz w:w="11910" w:h="16840"/>
          <w:pgMar w:top="1460" w:right="0" w:bottom="1460" w:left="40" w:header="751" w:footer="1262" w:gutter="0"/>
          <w:pgNumType w:start="1"/>
          <w:cols w:space="720"/>
        </w:sectPr>
      </w:pPr>
    </w:p>
    <w:p w14:paraId="6EFB03F4" w14:textId="77777777" w:rsidR="004C7180" w:rsidRPr="00150EDC" w:rsidRDefault="004C7180">
      <w:pPr>
        <w:pStyle w:val="BodyText"/>
        <w:rPr>
          <w:sz w:val="20"/>
        </w:rPr>
      </w:pPr>
    </w:p>
    <w:p w14:paraId="2ED38E12" w14:textId="77777777" w:rsidR="004C7180" w:rsidRPr="00150EDC" w:rsidRDefault="004C7180">
      <w:pPr>
        <w:pStyle w:val="BodyText"/>
        <w:rPr>
          <w:sz w:val="20"/>
        </w:rPr>
      </w:pPr>
    </w:p>
    <w:p w14:paraId="04FE07B5" w14:textId="77777777" w:rsidR="004C7180" w:rsidRPr="00150EDC" w:rsidRDefault="004C7180">
      <w:pPr>
        <w:pStyle w:val="BodyText"/>
        <w:rPr>
          <w:sz w:val="20"/>
        </w:rPr>
      </w:pPr>
    </w:p>
    <w:p w14:paraId="207A62F4" w14:textId="77777777" w:rsidR="004C7180" w:rsidRPr="00150EDC" w:rsidRDefault="00CF0754">
      <w:pPr>
        <w:pStyle w:val="Heading1"/>
        <w:spacing w:before="218"/>
        <w:ind w:left="1400" w:firstLine="0"/>
      </w:pPr>
      <w:r w:rsidRPr="00150EDC">
        <w:t>Annex</w:t>
      </w:r>
      <w:r w:rsidRPr="00150EDC">
        <w:rPr>
          <w:spacing w:val="-6"/>
        </w:rPr>
        <w:t xml:space="preserve"> </w:t>
      </w:r>
      <w:r w:rsidRPr="00150EDC">
        <w:t>A:</w:t>
      </w:r>
      <w:r w:rsidRPr="00150EDC">
        <w:rPr>
          <w:spacing w:val="-4"/>
        </w:rPr>
        <w:t xml:space="preserve"> </w:t>
      </w:r>
      <w:r w:rsidRPr="00150EDC">
        <w:t>List</w:t>
      </w:r>
      <w:r w:rsidRPr="00150EDC">
        <w:rPr>
          <w:spacing w:val="-5"/>
        </w:rPr>
        <w:t xml:space="preserve"> </w:t>
      </w:r>
      <w:r w:rsidRPr="00150EDC">
        <w:t>of</w:t>
      </w:r>
      <w:r w:rsidRPr="00150EDC">
        <w:rPr>
          <w:spacing w:val="-4"/>
        </w:rPr>
        <w:t xml:space="preserve"> </w:t>
      </w:r>
      <w:r w:rsidRPr="00150EDC">
        <w:t>Transparency</w:t>
      </w:r>
      <w:r w:rsidRPr="00150EDC">
        <w:rPr>
          <w:spacing w:val="-4"/>
        </w:rPr>
        <w:t xml:space="preserve"> </w:t>
      </w:r>
      <w:r w:rsidRPr="00150EDC">
        <w:rPr>
          <w:spacing w:val="-2"/>
        </w:rPr>
        <w:t>Reports</w:t>
      </w:r>
    </w:p>
    <w:p w14:paraId="1232E6F6" w14:textId="77777777" w:rsidR="004C7180" w:rsidRPr="00150EDC" w:rsidRDefault="004C7180">
      <w:pPr>
        <w:pStyle w:val="BodyText"/>
        <w:spacing w:before="10"/>
        <w:rPr>
          <w:b/>
          <w:sz w:val="20"/>
        </w:rPr>
      </w:pPr>
    </w:p>
    <w:tbl>
      <w:tblPr>
        <w:tblW w:w="0" w:type="auto"/>
        <w:tblInd w:w="1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7"/>
        <w:gridCol w:w="2410"/>
        <w:gridCol w:w="1936"/>
        <w:gridCol w:w="2248"/>
      </w:tblGrid>
      <w:tr w:rsidR="004569EE" w:rsidRPr="007D3144" w14:paraId="071875D1" w14:textId="77777777" w:rsidTr="006F2372">
        <w:trPr>
          <w:trHeight w:val="316"/>
        </w:trPr>
        <w:tc>
          <w:tcPr>
            <w:tcW w:w="2397" w:type="dxa"/>
          </w:tcPr>
          <w:p w14:paraId="45D3274F" w14:textId="77777777" w:rsidR="004C7180" w:rsidRPr="00150EDC" w:rsidRDefault="00CF0754">
            <w:pPr>
              <w:pStyle w:val="TableParagraph"/>
              <w:spacing w:before="0" w:line="240" w:lineRule="auto"/>
              <w:ind w:left="115"/>
              <w:rPr>
                <w:b/>
                <w:sz w:val="24"/>
              </w:rPr>
            </w:pPr>
            <w:r w:rsidRPr="00150EDC">
              <w:rPr>
                <w:b/>
                <w:spacing w:val="-2"/>
                <w:sz w:val="24"/>
              </w:rPr>
              <w:t>Title</w:t>
            </w:r>
          </w:p>
        </w:tc>
        <w:tc>
          <w:tcPr>
            <w:tcW w:w="2410" w:type="dxa"/>
          </w:tcPr>
          <w:p w14:paraId="5097E787" w14:textId="77777777" w:rsidR="004C7180" w:rsidRPr="00150EDC" w:rsidRDefault="00CF0754">
            <w:pPr>
              <w:pStyle w:val="TableParagraph"/>
              <w:spacing w:before="0" w:line="240" w:lineRule="auto"/>
              <w:ind w:left="115"/>
              <w:rPr>
                <w:b/>
                <w:sz w:val="24"/>
              </w:rPr>
            </w:pPr>
            <w:r w:rsidRPr="00150EDC">
              <w:rPr>
                <w:b/>
                <w:spacing w:val="-2"/>
                <w:sz w:val="24"/>
              </w:rPr>
              <w:t>Content</w:t>
            </w:r>
          </w:p>
        </w:tc>
        <w:tc>
          <w:tcPr>
            <w:tcW w:w="1936" w:type="dxa"/>
          </w:tcPr>
          <w:p w14:paraId="6E99FA1C" w14:textId="77777777" w:rsidR="004C7180" w:rsidRPr="00150EDC" w:rsidRDefault="00CF0754">
            <w:pPr>
              <w:pStyle w:val="TableParagraph"/>
              <w:spacing w:before="0" w:line="240" w:lineRule="auto"/>
              <w:ind w:left="113"/>
              <w:rPr>
                <w:b/>
                <w:sz w:val="24"/>
              </w:rPr>
            </w:pPr>
            <w:r w:rsidRPr="00150EDC">
              <w:rPr>
                <w:b/>
                <w:spacing w:val="-2"/>
                <w:sz w:val="24"/>
              </w:rPr>
              <w:t>Format</w:t>
            </w:r>
          </w:p>
        </w:tc>
        <w:tc>
          <w:tcPr>
            <w:tcW w:w="2248" w:type="dxa"/>
          </w:tcPr>
          <w:p w14:paraId="241CFCBC" w14:textId="77777777" w:rsidR="004C7180" w:rsidRPr="00150EDC" w:rsidRDefault="00CF0754">
            <w:pPr>
              <w:pStyle w:val="TableParagraph"/>
              <w:spacing w:before="0" w:line="240" w:lineRule="auto"/>
              <w:ind w:left="116"/>
              <w:rPr>
                <w:b/>
                <w:sz w:val="24"/>
              </w:rPr>
            </w:pPr>
            <w:r w:rsidRPr="00150EDC">
              <w:rPr>
                <w:b/>
                <w:spacing w:val="-2"/>
                <w:sz w:val="24"/>
              </w:rPr>
              <w:t>Frequency</w:t>
            </w:r>
          </w:p>
        </w:tc>
      </w:tr>
      <w:tr w:rsidR="004569EE" w:rsidRPr="007D3144" w14:paraId="440DD70F" w14:textId="77777777" w:rsidTr="006F2372">
        <w:trPr>
          <w:trHeight w:val="2222"/>
        </w:trPr>
        <w:tc>
          <w:tcPr>
            <w:tcW w:w="2397" w:type="dxa"/>
          </w:tcPr>
          <w:p w14:paraId="506C8B45" w14:textId="77777777" w:rsidR="004C7180" w:rsidRPr="00150EDC" w:rsidRDefault="00CF0754">
            <w:pPr>
              <w:pStyle w:val="TableParagraph"/>
              <w:spacing w:before="0" w:line="240" w:lineRule="auto"/>
              <w:ind w:left="115"/>
              <w:rPr>
                <w:sz w:val="24"/>
              </w:rPr>
            </w:pPr>
            <w:r w:rsidRPr="00150EDC">
              <w:rPr>
                <w:spacing w:val="-2"/>
                <w:sz w:val="24"/>
              </w:rPr>
              <w:t>Performance</w:t>
            </w:r>
          </w:p>
        </w:tc>
        <w:tc>
          <w:tcPr>
            <w:tcW w:w="2410" w:type="dxa"/>
          </w:tcPr>
          <w:p w14:paraId="6F27C6AE" w14:textId="74550783" w:rsidR="004C7180" w:rsidRPr="00150EDC" w:rsidRDefault="00CF0754">
            <w:pPr>
              <w:pStyle w:val="TableParagraph"/>
              <w:spacing w:before="0" w:line="276" w:lineRule="auto"/>
              <w:ind w:left="115" w:right="142"/>
              <w:rPr>
                <w:sz w:val="24"/>
              </w:rPr>
            </w:pPr>
            <w:r w:rsidRPr="00150EDC">
              <w:rPr>
                <w:spacing w:val="-2"/>
                <w:sz w:val="24"/>
              </w:rPr>
              <w:t>Supplier performanc</w:t>
            </w:r>
            <w:r w:rsidRPr="00150EDC">
              <w:rPr>
                <w:sz w:val="24"/>
              </w:rPr>
              <w:t>e against the top 1 KPI</w:t>
            </w:r>
            <w:r w:rsidRPr="00150EDC">
              <w:rPr>
                <w:spacing w:val="-17"/>
                <w:sz w:val="24"/>
              </w:rPr>
              <w:t xml:space="preserve"> </w:t>
            </w:r>
            <w:r w:rsidRPr="00150EDC">
              <w:rPr>
                <w:sz w:val="24"/>
              </w:rPr>
              <w:t>and</w:t>
            </w:r>
            <w:r w:rsidRPr="00150EDC">
              <w:rPr>
                <w:spacing w:val="-17"/>
                <w:sz w:val="24"/>
              </w:rPr>
              <w:t xml:space="preserve"> </w:t>
            </w:r>
            <w:r w:rsidRPr="00150EDC">
              <w:rPr>
                <w:sz w:val="24"/>
              </w:rPr>
              <w:t xml:space="preserve">the </w:t>
            </w:r>
            <w:r w:rsidRPr="00150EDC">
              <w:rPr>
                <w:spacing w:val="-2"/>
                <w:sz w:val="24"/>
              </w:rPr>
              <w:t>Social</w:t>
            </w:r>
          </w:p>
          <w:p w14:paraId="63FE01A3" w14:textId="77777777" w:rsidR="004C7180" w:rsidRPr="00150EDC" w:rsidRDefault="00CF0754">
            <w:pPr>
              <w:pStyle w:val="TableParagraph"/>
              <w:spacing w:before="1" w:line="240" w:lineRule="auto"/>
              <w:ind w:left="115"/>
              <w:rPr>
                <w:sz w:val="24"/>
              </w:rPr>
            </w:pPr>
            <w:r w:rsidRPr="00150EDC">
              <w:rPr>
                <w:sz w:val="24"/>
              </w:rPr>
              <w:t>Value</w:t>
            </w:r>
            <w:r w:rsidRPr="00150EDC">
              <w:rPr>
                <w:spacing w:val="-2"/>
                <w:sz w:val="24"/>
              </w:rPr>
              <w:t xml:space="preserve"> </w:t>
            </w:r>
            <w:r w:rsidRPr="00150EDC">
              <w:rPr>
                <w:spacing w:val="-4"/>
                <w:sz w:val="24"/>
              </w:rPr>
              <w:t>KPI.</w:t>
            </w:r>
          </w:p>
        </w:tc>
        <w:tc>
          <w:tcPr>
            <w:tcW w:w="1936" w:type="dxa"/>
          </w:tcPr>
          <w:p w14:paraId="2291B0F2" w14:textId="77777777" w:rsidR="004C7180" w:rsidRPr="00150EDC" w:rsidRDefault="00CF0754">
            <w:pPr>
              <w:pStyle w:val="TableParagraph"/>
              <w:spacing w:before="0" w:line="278" w:lineRule="auto"/>
              <w:ind w:left="113" w:right="159"/>
              <w:rPr>
                <w:sz w:val="24"/>
              </w:rPr>
            </w:pPr>
            <w:r w:rsidRPr="00150EDC">
              <w:rPr>
                <w:sz w:val="24"/>
              </w:rPr>
              <w:t>Supplier</w:t>
            </w:r>
            <w:r w:rsidRPr="00150EDC">
              <w:rPr>
                <w:spacing w:val="-17"/>
                <w:sz w:val="24"/>
              </w:rPr>
              <w:t xml:space="preserve"> </w:t>
            </w:r>
            <w:r w:rsidRPr="00150EDC">
              <w:rPr>
                <w:sz w:val="24"/>
              </w:rPr>
              <w:t xml:space="preserve">to </w:t>
            </w:r>
            <w:r w:rsidRPr="00150EDC">
              <w:rPr>
                <w:spacing w:val="-2"/>
                <w:sz w:val="24"/>
              </w:rPr>
              <w:t>propose</w:t>
            </w:r>
          </w:p>
        </w:tc>
        <w:tc>
          <w:tcPr>
            <w:tcW w:w="2248" w:type="dxa"/>
          </w:tcPr>
          <w:p w14:paraId="4A3DE883" w14:textId="77777777" w:rsidR="004C7180" w:rsidRPr="00150EDC" w:rsidRDefault="00CF0754">
            <w:pPr>
              <w:pStyle w:val="TableParagraph"/>
              <w:spacing w:before="0" w:line="240" w:lineRule="auto"/>
              <w:ind w:left="116"/>
              <w:rPr>
                <w:sz w:val="24"/>
              </w:rPr>
            </w:pPr>
            <w:r w:rsidRPr="00150EDC">
              <w:rPr>
                <w:spacing w:val="-2"/>
                <w:sz w:val="24"/>
              </w:rPr>
              <w:t>Quarterly</w:t>
            </w:r>
          </w:p>
        </w:tc>
      </w:tr>
      <w:tr w:rsidR="004569EE" w:rsidRPr="007D3144" w14:paraId="27572675" w14:textId="77777777" w:rsidTr="006F2372">
        <w:trPr>
          <w:trHeight w:val="2538"/>
        </w:trPr>
        <w:tc>
          <w:tcPr>
            <w:tcW w:w="2397" w:type="dxa"/>
          </w:tcPr>
          <w:p w14:paraId="620042BF" w14:textId="77777777" w:rsidR="004C7180" w:rsidRPr="00150EDC" w:rsidRDefault="00CF0754">
            <w:pPr>
              <w:pStyle w:val="TableParagraph"/>
              <w:spacing w:before="0" w:line="240" w:lineRule="auto"/>
              <w:ind w:left="115"/>
              <w:rPr>
                <w:sz w:val="24"/>
              </w:rPr>
            </w:pPr>
            <w:r w:rsidRPr="00150EDC">
              <w:rPr>
                <w:sz w:val="24"/>
              </w:rPr>
              <w:t xml:space="preserve">Key </w:t>
            </w:r>
            <w:r w:rsidRPr="00150EDC">
              <w:rPr>
                <w:spacing w:val="-2"/>
                <w:sz w:val="24"/>
              </w:rPr>
              <w:t>Subcontractors</w:t>
            </w:r>
          </w:p>
        </w:tc>
        <w:tc>
          <w:tcPr>
            <w:tcW w:w="2410" w:type="dxa"/>
          </w:tcPr>
          <w:p w14:paraId="3F0D9398" w14:textId="4C0F7CB7" w:rsidR="004C7180" w:rsidRPr="00150EDC" w:rsidRDefault="00CF0754">
            <w:pPr>
              <w:pStyle w:val="TableParagraph"/>
              <w:spacing w:before="0" w:line="276" w:lineRule="auto"/>
              <w:ind w:left="115" w:right="117"/>
              <w:rPr>
                <w:sz w:val="24"/>
              </w:rPr>
            </w:pPr>
            <w:r w:rsidRPr="00150EDC">
              <w:rPr>
                <w:spacing w:val="-4"/>
                <w:sz w:val="24"/>
              </w:rPr>
              <w:t xml:space="preserve">Key </w:t>
            </w:r>
            <w:r w:rsidRPr="00150EDC">
              <w:rPr>
                <w:spacing w:val="-2"/>
                <w:sz w:val="24"/>
              </w:rPr>
              <w:t>Subcontract</w:t>
            </w:r>
            <w:r w:rsidRPr="00150EDC">
              <w:rPr>
                <w:spacing w:val="-4"/>
                <w:sz w:val="24"/>
              </w:rPr>
              <w:t>ors</w:t>
            </w:r>
            <w:r w:rsidRPr="00150EDC">
              <w:rPr>
                <w:spacing w:val="40"/>
                <w:sz w:val="24"/>
              </w:rPr>
              <w:t xml:space="preserve"> </w:t>
            </w:r>
            <w:r w:rsidRPr="00150EDC">
              <w:rPr>
                <w:spacing w:val="-2"/>
                <w:sz w:val="24"/>
              </w:rPr>
              <w:t xml:space="preserve">involved, </w:t>
            </w:r>
            <w:r w:rsidRPr="00150EDC">
              <w:rPr>
                <w:sz w:val="24"/>
              </w:rPr>
              <w:t xml:space="preserve">their role and level of </w:t>
            </w:r>
            <w:r w:rsidRPr="00150EDC">
              <w:rPr>
                <w:spacing w:val="-2"/>
                <w:sz w:val="24"/>
              </w:rPr>
              <w:t>dependency</w:t>
            </w:r>
          </w:p>
          <w:p w14:paraId="06E411E1" w14:textId="77777777" w:rsidR="004C7180" w:rsidRPr="00150EDC" w:rsidRDefault="00CF0754">
            <w:pPr>
              <w:pStyle w:val="TableParagraph"/>
              <w:spacing w:before="1" w:line="240" w:lineRule="auto"/>
              <w:ind w:left="115"/>
              <w:rPr>
                <w:sz w:val="24"/>
              </w:rPr>
            </w:pPr>
            <w:r w:rsidRPr="00150EDC">
              <w:rPr>
                <w:sz w:val="24"/>
              </w:rPr>
              <w:t>on</w:t>
            </w:r>
            <w:r w:rsidRPr="00150EDC">
              <w:rPr>
                <w:spacing w:val="1"/>
                <w:sz w:val="24"/>
              </w:rPr>
              <w:t xml:space="preserve"> </w:t>
            </w:r>
            <w:r w:rsidRPr="00150EDC">
              <w:rPr>
                <w:spacing w:val="-4"/>
                <w:sz w:val="24"/>
              </w:rPr>
              <w:t>them</w:t>
            </w:r>
          </w:p>
        </w:tc>
        <w:tc>
          <w:tcPr>
            <w:tcW w:w="1936" w:type="dxa"/>
          </w:tcPr>
          <w:p w14:paraId="768E882D" w14:textId="77777777" w:rsidR="004C7180" w:rsidRPr="00150EDC" w:rsidRDefault="00CF0754">
            <w:pPr>
              <w:pStyle w:val="TableParagraph"/>
              <w:spacing w:before="0" w:line="278" w:lineRule="auto"/>
              <w:ind w:left="113" w:right="159"/>
              <w:rPr>
                <w:sz w:val="24"/>
              </w:rPr>
            </w:pPr>
            <w:r w:rsidRPr="00150EDC">
              <w:rPr>
                <w:sz w:val="24"/>
              </w:rPr>
              <w:t>Supplier</w:t>
            </w:r>
            <w:r w:rsidRPr="00150EDC">
              <w:rPr>
                <w:spacing w:val="-17"/>
                <w:sz w:val="24"/>
              </w:rPr>
              <w:t xml:space="preserve"> </w:t>
            </w:r>
            <w:r w:rsidRPr="00150EDC">
              <w:rPr>
                <w:sz w:val="24"/>
              </w:rPr>
              <w:t xml:space="preserve">to </w:t>
            </w:r>
            <w:r w:rsidRPr="00150EDC">
              <w:rPr>
                <w:spacing w:val="-2"/>
                <w:sz w:val="24"/>
              </w:rPr>
              <w:t>propose</w:t>
            </w:r>
          </w:p>
        </w:tc>
        <w:tc>
          <w:tcPr>
            <w:tcW w:w="2248" w:type="dxa"/>
          </w:tcPr>
          <w:p w14:paraId="550B2354" w14:textId="77777777" w:rsidR="004C7180" w:rsidRPr="00150EDC" w:rsidRDefault="00CF0754">
            <w:pPr>
              <w:pStyle w:val="TableParagraph"/>
              <w:spacing w:before="0" w:line="276" w:lineRule="auto"/>
              <w:ind w:left="116" w:right="4"/>
              <w:rPr>
                <w:sz w:val="24"/>
              </w:rPr>
            </w:pPr>
            <w:r w:rsidRPr="00150EDC">
              <w:rPr>
                <w:spacing w:val="-2"/>
                <w:sz w:val="24"/>
              </w:rPr>
              <w:t xml:space="preserve">Contract Commencement </w:t>
            </w:r>
            <w:r w:rsidRPr="00150EDC">
              <w:rPr>
                <w:sz w:val="24"/>
              </w:rPr>
              <w:t xml:space="preserve">and reviewed </w:t>
            </w:r>
            <w:r w:rsidRPr="00150EDC">
              <w:rPr>
                <w:spacing w:val="-2"/>
                <w:sz w:val="24"/>
              </w:rPr>
              <w:t>annually.</w:t>
            </w:r>
          </w:p>
        </w:tc>
      </w:tr>
    </w:tbl>
    <w:p w14:paraId="556B2148" w14:textId="77777777" w:rsidR="004C7180" w:rsidRPr="00150EDC" w:rsidRDefault="004C7180">
      <w:pPr>
        <w:spacing w:line="276" w:lineRule="auto"/>
        <w:rPr>
          <w:sz w:val="24"/>
        </w:rPr>
        <w:sectPr w:rsidR="004C7180" w:rsidRPr="00150EDC">
          <w:pgSz w:w="11910" w:h="16840"/>
          <w:pgMar w:top="1460" w:right="0" w:bottom="1460" w:left="40" w:header="751" w:footer="1262" w:gutter="0"/>
          <w:cols w:space="720"/>
        </w:sectPr>
      </w:pPr>
    </w:p>
    <w:p w14:paraId="09E8ABA4" w14:textId="77777777" w:rsidR="004C7180" w:rsidRPr="00150EDC" w:rsidRDefault="004C7180">
      <w:pPr>
        <w:pStyle w:val="BodyText"/>
        <w:rPr>
          <w:b/>
          <w:sz w:val="20"/>
        </w:rPr>
      </w:pPr>
    </w:p>
    <w:p w14:paraId="3E0D55F2" w14:textId="77777777" w:rsidR="004C7180" w:rsidRPr="00150EDC" w:rsidRDefault="004C7180">
      <w:pPr>
        <w:pStyle w:val="BodyText"/>
        <w:rPr>
          <w:b/>
          <w:sz w:val="20"/>
        </w:rPr>
      </w:pPr>
    </w:p>
    <w:p w14:paraId="20A6F491" w14:textId="77777777" w:rsidR="004C7180" w:rsidRPr="00150EDC" w:rsidRDefault="00CF0754">
      <w:pPr>
        <w:spacing w:before="223"/>
        <w:ind w:left="1400"/>
        <w:rPr>
          <w:b/>
          <w:sz w:val="36"/>
        </w:rPr>
      </w:pPr>
      <w:bookmarkStart w:id="16" w:name="DPS_Order_Schedule_2_-_Staff_Transfer_v1"/>
      <w:bookmarkEnd w:id="16"/>
      <w:r w:rsidRPr="00150EDC">
        <w:rPr>
          <w:b/>
          <w:sz w:val="36"/>
        </w:rPr>
        <w:t>Order</w:t>
      </w:r>
      <w:r w:rsidRPr="00150EDC">
        <w:rPr>
          <w:b/>
          <w:spacing w:val="-6"/>
          <w:sz w:val="36"/>
        </w:rPr>
        <w:t xml:space="preserve"> </w:t>
      </w:r>
      <w:r w:rsidRPr="00150EDC">
        <w:rPr>
          <w:b/>
          <w:sz w:val="36"/>
        </w:rPr>
        <w:t>Schedule</w:t>
      </w:r>
      <w:r w:rsidRPr="00150EDC">
        <w:rPr>
          <w:b/>
          <w:spacing w:val="-4"/>
          <w:sz w:val="36"/>
        </w:rPr>
        <w:t xml:space="preserve"> </w:t>
      </w:r>
      <w:r w:rsidRPr="00150EDC">
        <w:rPr>
          <w:b/>
          <w:sz w:val="36"/>
        </w:rPr>
        <w:t>2</w:t>
      </w:r>
      <w:r w:rsidRPr="00150EDC">
        <w:rPr>
          <w:b/>
          <w:spacing w:val="-4"/>
          <w:sz w:val="36"/>
        </w:rPr>
        <w:t xml:space="preserve"> </w:t>
      </w:r>
      <w:r w:rsidRPr="00150EDC">
        <w:rPr>
          <w:b/>
          <w:sz w:val="36"/>
        </w:rPr>
        <w:t>(Staff</w:t>
      </w:r>
      <w:r w:rsidRPr="00150EDC">
        <w:rPr>
          <w:b/>
          <w:spacing w:val="-2"/>
          <w:sz w:val="36"/>
        </w:rPr>
        <w:t xml:space="preserve"> Transfer)</w:t>
      </w:r>
    </w:p>
    <w:p w14:paraId="40011560" w14:textId="77777777" w:rsidR="004C7180" w:rsidRPr="00150EDC" w:rsidRDefault="00CF0754" w:rsidP="00B320C7">
      <w:pPr>
        <w:pStyle w:val="Heading4"/>
        <w:numPr>
          <w:ilvl w:val="0"/>
          <w:numId w:val="90"/>
        </w:numPr>
        <w:tabs>
          <w:tab w:val="left" w:pos="2119"/>
        </w:tabs>
        <w:spacing w:before="241"/>
        <w:ind w:left="2119" w:hanging="719"/>
        <w:jc w:val="left"/>
      </w:pPr>
      <w:r w:rsidRPr="00150EDC">
        <w:rPr>
          <w:spacing w:val="-2"/>
        </w:rPr>
        <w:t>Definitions</w:t>
      </w:r>
    </w:p>
    <w:p w14:paraId="049DCE48" w14:textId="77777777" w:rsidR="004C7180" w:rsidRPr="00150EDC" w:rsidRDefault="004C7180">
      <w:pPr>
        <w:pStyle w:val="BodyText"/>
        <w:spacing w:before="10"/>
        <w:rPr>
          <w:b/>
          <w:sz w:val="20"/>
        </w:rPr>
      </w:pPr>
    </w:p>
    <w:p w14:paraId="34FF61CB" w14:textId="77777777" w:rsidR="004C7180" w:rsidRPr="00150EDC" w:rsidRDefault="00CF0754" w:rsidP="00B320C7">
      <w:pPr>
        <w:pStyle w:val="ListParagraph"/>
        <w:numPr>
          <w:ilvl w:val="1"/>
          <w:numId w:val="90"/>
        </w:numPr>
        <w:tabs>
          <w:tab w:val="left" w:pos="2120"/>
        </w:tabs>
        <w:ind w:right="1436"/>
        <w:rPr>
          <w:sz w:val="24"/>
        </w:rPr>
      </w:pPr>
      <w:r w:rsidRPr="00150EDC">
        <w:rPr>
          <w:sz w:val="24"/>
        </w:rPr>
        <w:t>In this Schedule, the following words have the following meanings and they</w:t>
      </w:r>
      <w:r w:rsidRPr="00150EDC">
        <w:rPr>
          <w:spacing w:val="80"/>
          <w:sz w:val="24"/>
        </w:rPr>
        <w:t xml:space="preserve"> </w:t>
      </w:r>
      <w:r w:rsidRPr="00150EDC">
        <w:rPr>
          <w:sz w:val="24"/>
        </w:rPr>
        <w:t>shall supplement Joint Schedule 1</w:t>
      </w:r>
      <w:r w:rsidRPr="00150EDC">
        <w:rPr>
          <w:spacing w:val="40"/>
          <w:sz w:val="24"/>
        </w:rPr>
        <w:t xml:space="preserve"> </w:t>
      </w:r>
      <w:r w:rsidRPr="00150EDC">
        <w:rPr>
          <w:sz w:val="24"/>
        </w:rPr>
        <w:t>(Definitions):</w:t>
      </w:r>
    </w:p>
    <w:p w14:paraId="44578715" w14:textId="77777777" w:rsidR="004C7180" w:rsidRPr="00150EDC" w:rsidRDefault="004C7180">
      <w:pPr>
        <w:pStyle w:val="BodyText"/>
        <w:spacing w:before="1"/>
        <w:rPr>
          <w:sz w:val="11"/>
        </w:rPr>
      </w:pPr>
    </w:p>
    <w:tbl>
      <w:tblPr>
        <w:tblW w:w="0" w:type="auto"/>
        <w:tblInd w:w="2063" w:type="dxa"/>
        <w:tblLayout w:type="fixed"/>
        <w:tblCellMar>
          <w:left w:w="0" w:type="dxa"/>
          <w:right w:w="0" w:type="dxa"/>
        </w:tblCellMar>
        <w:tblLook w:val="01E0" w:firstRow="1" w:lastRow="1" w:firstColumn="1" w:lastColumn="1" w:noHBand="0" w:noVBand="0"/>
      </w:tblPr>
      <w:tblGrid>
        <w:gridCol w:w="2146"/>
        <w:gridCol w:w="6051"/>
      </w:tblGrid>
      <w:tr w:rsidR="004569EE" w:rsidRPr="007D3144" w14:paraId="5CC59F2B" w14:textId="77777777">
        <w:trPr>
          <w:trHeight w:val="2106"/>
        </w:trPr>
        <w:tc>
          <w:tcPr>
            <w:tcW w:w="2146" w:type="dxa"/>
          </w:tcPr>
          <w:p w14:paraId="6CE5FE67" w14:textId="77777777" w:rsidR="004C7180" w:rsidRPr="00150EDC" w:rsidRDefault="00CF0754">
            <w:pPr>
              <w:pStyle w:val="TableParagraph"/>
              <w:spacing w:before="0" w:line="240" w:lineRule="auto"/>
              <w:ind w:left="50"/>
              <w:rPr>
                <w:b/>
                <w:sz w:val="24"/>
              </w:rPr>
            </w:pPr>
            <w:r w:rsidRPr="00150EDC">
              <w:rPr>
                <w:b/>
                <w:sz w:val="24"/>
              </w:rPr>
              <w:t>“Acquired</w:t>
            </w:r>
            <w:r w:rsidRPr="00150EDC">
              <w:rPr>
                <w:b/>
                <w:spacing w:val="-17"/>
                <w:sz w:val="24"/>
              </w:rPr>
              <w:t xml:space="preserve"> </w:t>
            </w:r>
            <w:r w:rsidRPr="00150EDC">
              <w:rPr>
                <w:b/>
                <w:sz w:val="24"/>
              </w:rPr>
              <w:t xml:space="preserve">Rights </w:t>
            </w:r>
            <w:r w:rsidRPr="00150EDC">
              <w:rPr>
                <w:b/>
                <w:spacing w:val="-2"/>
                <w:sz w:val="24"/>
              </w:rPr>
              <w:t>Directive”</w:t>
            </w:r>
          </w:p>
        </w:tc>
        <w:tc>
          <w:tcPr>
            <w:tcW w:w="6051" w:type="dxa"/>
          </w:tcPr>
          <w:p w14:paraId="4E5DA416" w14:textId="77777777" w:rsidR="004C7180" w:rsidRPr="00150EDC" w:rsidRDefault="00CF0754">
            <w:pPr>
              <w:pStyle w:val="TableParagraph"/>
              <w:spacing w:before="0" w:line="240" w:lineRule="auto"/>
              <w:ind w:left="284" w:right="50" w:hanging="171"/>
              <w:jc w:val="both"/>
              <w:rPr>
                <w:sz w:val="24"/>
              </w:rPr>
            </w:pPr>
            <w:r w:rsidRPr="00150EDC">
              <w:t>1</w:t>
            </w:r>
            <w:r w:rsidRPr="00150EDC">
              <w:rPr>
                <w:spacing w:val="-16"/>
              </w:rPr>
              <w:t xml:space="preserve"> </w:t>
            </w:r>
            <w:r w:rsidRPr="00150EDC">
              <w:rPr>
                <w:sz w:val="24"/>
              </w:rPr>
              <w:t>the European Council Directive 77/187/EEC on the approximation of laws of European member states relating</w:t>
            </w:r>
            <w:r w:rsidRPr="00150EDC">
              <w:rPr>
                <w:spacing w:val="-11"/>
                <w:sz w:val="24"/>
              </w:rPr>
              <w:t xml:space="preserve"> </w:t>
            </w:r>
            <w:r w:rsidRPr="00150EDC">
              <w:rPr>
                <w:sz w:val="24"/>
              </w:rPr>
              <w:t>to</w:t>
            </w:r>
            <w:r w:rsidRPr="00150EDC">
              <w:rPr>
                <w:spacing w:val="-11"/>
                <w:sz w:val="24"/>
              </w:rPr>
              <w:t xml:space="preserve"> </w:t>
            </w:r>
            <w:r w:rsidRPr="00150EDC">
              <w:rPr>
                <w:sz w:val="24"/>
              </w:rPr>
              <w:t>the</w:t>
            </w:r>
            <w:r w:rsidRPr="00150EDC">
              <w:rPr>
                <w:spacing w:val="-11"/>
                <w:sz w:val="24"/>
              </w:rPr>
              <w:t xml:space="preserve"> </w:t>
            </w:r>
            <w:r w:rsidRPr="00150EDC">
              <w:rPr>
                <w:sz w:val="24"/>
              </w:rPr>
              <w:t>safeguarding</w:t>
            </w:r>
            <w:r w:rsidRPr="00150EDC">
              <w:rPr>
                <w:spacing w:val="-11"/>
                <w:sz w:val="24"/>
              </w:rPr>
              <w:t xml:space="preserve"> </w:t>
            </w:r>
            <w:r w:rsidRPr="00150EDC">
              <w:rPr>
                <w:sz w:val="24"/>
              </w:rPr>
              <w:t>of</w:t>
            </w:r>
            <w:r w:rsidRPr="00150EDC">
              <w:rPr>
                <w:spacing w:val="-12"/>
                <w:sz w:val="24"/>
              </w:rPr>
              <w:t xml:space="preserve"> </w:t>
            </w:r>
            <w:r w:rsidRPr="00150EDC">
              <w:rPr>
                <w:sz w:val="24"/>
              </w:rPr>
              <w:t>employees’</w:t>
            </w:r>
            <w:r w:rsidRPr="00150EDC">
              <w:rPr>
                <w:spacing w:val="-13"/>
                <w:sz w:val="24"/>
              </w:rPr>
              <w:t xml:space="preserve"> </w:t>
            </w:r>
            <w:r w:rsidRPr="00150EDC">
              <w:rPr>
                <w:sz w:val="24"/>
              </w:rPr>
              <w:t>rights</w:t>
            </w:r>
            <w:r w:rsidRPr="00150EDC">
              <w:rPr>
                <w:spacing w:val="-12"/>
                <w:sz w:val="24"/>
              </w:rPr>
              <w:t xml:space="preserve"> </w:t>
            </w:r>
            <w:r w:rsidRPr="00150EDC">
              <w:rPr>
                <w:sz w:val="24"/>
              </w:rPr>
              <w:t>in</w:t>
            </w:r>
            <w:r w:rsidRPr="00150EDC">
              <w:rPr>
                <w:spacing w:val="-11"/>
                <w:sz w:val="24"/>
              </w:rPr>
              <w:t xml:space="preserve"> </w:t>
            </w:r>
            <w:r w:rsidRPr="00150EDC">
              <w:rPr>
                <w:sz w:val="24"/>
              </w:rPr>
              <w:t>the event</w:t>
            </w:r>
            <w:r w:rsidRPr="00150EDC">
              <w:rPr>
                <w:spacing w:val="-15"/>
                <w:sz w:val="24"/>
              </w:rPr>
              <w:t xml:space="preserve"> </w:t>
            </w:r>
            <w:r w:rsidRPr="00150EDC">
              <w:rPr>
                <w:sz w:val="24"/>
              </w:rPr>
              <w:t>of</w:t>
            </w:r>
            <w:r w:rsidRPr="00150EDC">
              <w:rPr>
                <w:spacing w:val="-15"/>
                <w:sz w:val="24"/>
              </w:rPr>
              <w:t xml:space="preserve"> </w:t>
            </w:r>
            <w:r w:rsidRPr="00150EDC">
              <w:rPr>
                <w:sz w:val="24"/>
              </w:rPr>
              <w:t>transfers</w:t>
            </w:r>
            <w:r w:rsidRPr="00150EDC">
              <w:rPr>
                <w:spacing w:val="-14"/>
                <w:sz w:val="24"/>
              </w:rPr>
              <w:t xml:space="preserve"> </w:t>
            </w:r>
            <w:r w:rsidRPr="00150EDC">
              <w:rPr>
                <w:sz w:val="24"/>
              </w:rPr>
              <w:t>of</w:t>
            </w:r>
            <w:r w:rsidRPr="00150EDC">
              <w:rPr>
                <w:spacing w:val="-15"/>
                <w:sz w:val="24"/>
              </w:rPr>
              <w:t xml:space="preserve"> </w:t>
            </w:r>
            <w:r w:rsidRPr="00150EDC">
              <w:rPr>
                <w:sz w:val="24"/>
              </w:rPr>
              <w:t>undertakings,</w:t>
            </w:r>
            <w:r w:rsidRPr="00150EDC">
              <w:rPr>
                <w:spacing w:val="-13"/>
                <w:sz w:val="24"/>
              </w:rPr>
              <w:t xml:space="preserve"> </w:t>
            </w:r>
            <w:r w:rsidRPr="00150EDC">
              <w:rPr>
                <w:sz w:val="24"/>
              </w:rPr>
              <w:t>businesses</w:t>
            </w:r>
            <w:r w:rsidRPr="00150EDC">
              <w:rPr>
                <w:spacing w:val="-16"/>
                <w:sz w:val="24"/>
              </w:rPr>
              <w:t xml:space="preserve"> </w:t>
            </w:r>
            <w:r w:rsidRPr="00150EDC">
              <w:rPr>
                <w:sz w:val="24"/>
              </w:rPr>
              <w:t>or</w:t>
            </w:r>
            <w:r w:rsidRPr="00150EDC">
              <w:rPr>
                <w:spacing w:val="-14"/>
                <w:sz w:val="24"/>
              </w:rPr>
              <w:t xml:space="preserve"> </w:t>
            </w:r>
            <w:r w:rsidRPr="00150EDC">
              <w:rPr>
                <w:sz w:val="24"/>
              </w:rPr>
              <w:t>parts of undertakings or businesses, as amended or re- enacted from time to time;</w:t>
            </w:r>
          </w:p>
          <w:p w14:paraId="796CC4C4" w14:textId="77777777" w:rsidR="004C7180" w:rsidRPr="00150EDC" w:rsidRDefault="00CF0754">
            <w:pPr>
              <w:pStyle w:val="TableParagraph"/>
              <w:spacing w:before="131" w:line="240" w:lineRule="auto"/>
              <w:ind w:left="114"/>
            </w:pPr>
            <w:r w:rsidRPr="00150EDC">
              <w:t>2</w:t>
            </w:r>
          </w:p>
        </w:tc>
      </w:tr>
      <w:tr w:rsidR="004569EE" w:rsidRPr="007D3144" w14:paraId="4D949389" w14:textId="77777777">
        <w:trPr>
          <w:trHeight w:val="3080"/>
        </w:trPr>
        <w:tc>
          <w:tcPr>
            <w:tcW w:w="2146" w:type="dxa"/>
          </w:tcPr>
          <w:p w14:paraId="24781A27" w14:textId="77777777" w:rsidR="004C7180" w:rsidRPr="00150EDC" w:rsidRDefault="00CF0754">
            <w:pPr>
              <w:pStyle w:val="TableParagraph"/>
              <w:spacing w:before="58" w:line="240" w:lineRule="auto"/>
              <w:ind w:left="50"/>
              <w:rPr>
                <w:b/>
                <w:sz w:val="24"/>
              </w:rPr>
            </w:pPr>
            <w:r w:rsidRPr="00150EDC">
              <w:rPr>
                <w:b/>
                <w:spacing w:val="-2"/>
                <w:sz w:val="24"/>
              </w:rPr>
              <w:t>"Employee Liability"</w:t>
            </w:r>
          </w:p>
        </w:tc>
        <w:tc>
          <w:tcPr>
            <w:tcW w:w="6051" w:type="dxa"/>
          </w:tcPr>
          <w:p w14:paraId="2E90025E" w14:textId="77777777" w:rsidR="004C7180" w:rsidRPr="00150EDC" w:rsidRDefault="00CF0754">
            <w:pPr>
              <w:pStyle w:val="TableParagraph"/>
              <w:spacing w:before="58" w:line="240" w:lineRule="auto"/>
              <w:ind w:left="284" w:right="48" w:hanging="171"/>
              <w:jc w:val="both"/>
              <w:rPr>
                <w:sz w:val="24"/>
              </w:rPr>
            </w:pPr>
            <w:r w:rsidRPr="00150EDC">
              <w:rPr>
                <w:b/>
              </w:rPr>
              <w:t>3</w:t>
            </w:r>
            <w:r w:rsidRPr="00150EDC">
              <w:rPr>
                <w:b/>
                <w:spacing w:val="-16"/>
              </w:rPr>
              <w:t xml:space="preserve"> </w:t>
            </w:r>
            <w:r w:rsidRPr="00150EDC">
              <w:rPr>
                <w:sz w:val="24"/>
              </w:rPr>
              <w:t>all claims, actions, proceedings, orders, demands, complaints, investigations (save for any claims for personal injury which are covered by insurance) and any</w:t>
            </w:r>
            <w:r w:rsidRPr="00150EDC">
              <w:rPr>
                <w:spacing w:val="-1"/>
                <w:sz w:val="24"/>
              </w:rPr>
              <w:t xml:space="preserve"> </w:t>
            </w:r>
            <w:r w:rsidRPr="00150EDC">
              <w:rPr>
                <w:sz w:val="24"/>
              </w:rPr>
              <w:t>award,</w:t>
            </w:r>
            <w:r w:rsidRPr="00150EDC">
              <w:rPr>
                <w:spacing w:val="-1"/>
                <w:sz w:val="24"/>
              </w:rPr>
              <w:t xml:space="preserve"> </w:t>
            </w:r>
            <w:r w:rsidRPr="00150EDC">
              <w:rPr>
                <w:sz w:val="24"/>
              </w:rPr>
              <w:t>compensation,</w:t>
            </w:r>
            <w:r w:rsidRPr="00150EDC">
              <w:rPr>
                <w:spacing w:val="-1"/>
                <w:sz w:val="24"/>
              </w:rPr>
              <w:t xml:space="preserve"> </w:t>
            </w:r>
            <w:r w:rsidRPr="00150EDC">
              <w:rPr>
                <w:sz w:val="24"/>
              </w:rPr>
              <w:t>damages,</w:t>
            </w:r>
            <w:r w:rsidRPr="00150EDC">
              <w:rPr>
                <w:spacing w:val="-1"/>
                <w:sz w:val="24"/>
              </w:rPr>
              <w:t xml:space="preserve"> </w:t>
            </w:r>
            <w:r w:rsidRPr="00150EDC">
              <w:rPr>
                <w:sz w:val="24"/>
              </w:rPr>
              <w:t>tribunal</w:t>
            </w:r>
            <w:r w:rsidRPr="00150EDC">
              <w:rPr>
                <w:spacing w:val="-4"/>
                <w:sz w:val="24"/>
              </w:rPr>
              <w:t xml:space="preserve"> </w:t>
            </w:r>
            <w:r w:rsidRPr="00150EDC">
              <w:rPr>
                <w:sz w:val="24"/>
              </w:rPr>
              <w:t xml:space="preserve">awards, fine, loss, order, penalty, disbursement, payment made by way of settlement and costs, expenses and legal costs reasonably incurred in connection with a claim or investigation including in relation to the </w:t>
            </w:r>
            <w:r w:rsidRPr="00150EDC">
              <w:rPr>
                <w:spacing w:val="-2"/>
                <w:sz w:val="24"/>
              </w:rPr>
              <w:t>following:</w:t>
            </w:r>
          </w:p>
          <w:p w14:paraId="65B78C77" w14:textId="77777777" w:rsidR="004C7180" w:rsidRPr="00150EDC" w:rsidRDefault="00CF0754">
            <w:pPr>
              <w:pStyle w:val="TableParagraph"/>
              <w:numPr>
                <w:ilvl w:val="0"/>
                <w:numId w:val="1"/>
              </w:numPr>
              <w:tabs>
                <w:tab w:val="left" w:pos="832"/>
                <w:tab w:val="left" w:pos="834"/>
              </w:tabs>
              <w:spacing w:before="100" w:line="270" w:lineRule="atLeast"/>
              <w:ind w:right="54"/>
              <w:jc w:val="both"/>
              <w:rPr>
                <w:sz w:val="24"/>
              </w:rPr>
            </w:pPr>
            <w:r w:rsidRPr="00150EDC">
              <w:rPr>
                <w:sz w:val="24"/>
              </w:rPr>
              <w:t>redundancy payments including contractual or enhanced</w:t>
            </w:r>
            <w:r w:rsidRPr="00150EDC">
              <w:rPr>
                <w:spacing w:val="40"/>
                <w:sz w:val="24"/>
              </w:rPr>
              <w:t xml:space="preserve"> </w:t>
            </w:r>
            <w:r w:rsidRPr="00150EDC">
              <w:rPr>
                <w:sz w:val="24"/>
              </w:rPr>
              <w:t>redundancy</w:t>
            </w:r>
            <w:r w:rsidRPr="00150EDC">
              <w:rPr>
                <w:spacing w:val="40"/>
                <w:sz w:val="24"/>
              </w:rPr>
              <w:t xml:space="preserve"> </w:t>
            </w:r>
            <w:r w:rsidRPr="00150EDC">
              <w:rPr>
                <w:sz w:val="24"/>
              </w:rPr>
              <w:t>costs,</w:t>
            </w:r>
            <w:r w:rsidRPr="00150EDC">
              <w:rPr>
                <w:spacing w:val="40"/>
                <w:sz w:val="24"/>
              </w:rPr>
              <w:t xml:space="preserve"> </w:t>
            </w:r>
            <w:r w:rsidRPr="00150EDC">
              <w:rPr>
                <w:sz w:val="24"/>
              </w:rPr>
              <w:t>termination</w:t>
            </w:r>
            <w:r w:rsidRPr="00150EDC">
              <w:rPr>
                <w:spacing w:val="40"/>
                <w:sz w:val="24"/>
              </w:rPr>
              <w:t xml:space="preserve"> </w:t>
            </w:r>
            <w:r w:rsidRPr="00150EDC">
              <w:rPr>
                <w:sz w:val="24"/>
              </w:rPr>
              <w:t>costs</w:t>
            </w:r>
          </w:p>
        </w:tc>
      </w:tr>
      <w:tr w:rsidR="004569EE" w:rsidRPr="007D3144" w14:paraId="42CD2717" w14:textId="77777777">
        <w:trPr>
          <w:trHeight w:val="1032"/>
        </w:trPr>
        <w:tc>
          <w:tcPr>
            <w:tcW w:w="2146" w:type="dxa"/>
          </w:tcPr>
          <w:p w14:paraId="57ECD499" w14:textId="77777777" w:rsidR="004C7180" w:rsidRPr="00150EDC" w:rsidRDefault="004C7180">
            <w:pPr>
              <w:pStyle w:val="TableParagraph"/>
              <w:spacing w:before="0" w:line="240" w:lineRule="auto"/>
              <w:ind w:left="0"/>
              <w:rPr>
                <w:rFonts w:ascii="Times New Roman"/>
              </w:rPr>
            </w:pPr>
          </w:p>
        </w:tc>
        <w:tc>
          <w:tcPr>
            <w:tcW w:w="6051" w:type="dxa"/>
          </w:tcPr>
          <w:p w14:paraId="33A4C5A7" w14:textId="77777777" w:rsidR="004C7180" w:rsidRPr="00150EDC" w:rsidRDefault="00CF0754">
            <w:pPr>
              <w:pStyle w:val="TableParagraph"/>
              <w:spacing w:before="20" w:line="240" w:lineRule="auto"/>
              <w:ind w:left="834"/>
              <w:rPr>
                <w:sz w:val="24"/>
              </w:rPr>
            </w:pPr>
            <w:r w:rsidRPr="00150EDC">
              <w:rPr>
                <w:sz w:val="24"/>
              </w:rPr>
              <w:t>and</w:t>
            </w:r>
            <w:r w:rsidRPr="00150EDC">
              <w:rPr>
                <w:spacing w:val="-1"/>
                <w:sz w:val="24"/>
              </w:rPr>
              <w:t xml:space="preserve"> </w:t>
            </w:r>
            <w:r w:rsidRPr="00150EDC">
              <w:rPr>
                <w:sz w:val="24"/>
              </w:rPr>
              <w:t xml:space="preserve">notice </w:t>
            </w:r>
            <w:r w:rsidRPr="00150EDC">
              <w:rPr>
                <w:spacing w:val="-2"/>
                <w:sz w:val="24"/>
              </w:rPr>
              <w:t>payments;</w:t>
            </w:r>
          </w:p>
          <w:p w14:paraId="533F69DD" w14:textId="77777777" w:rsidR="004C7180" w:rsidRPr="00150EDC" w:rsidRDefault="00CF0754">
            <w:pPr>
              <w:pStyle w:val="TableParagraph"/>
              <w:tabs>
                <w:tab w:val="left" w:pos="834"/>
                <w:tab w:val="left" w:pos="1780"/>
                <w:tab w:val="left" w:pos="2963"/>
                <w:tab w:val="left" w:pos="3450"/>
                <w:tab w:val="left" w:pos="5008"/>
              </w:tabs>
              <w:spacing w:before="120" w:line="240" w:lineRule="auto"/>
              <w:ind w:left="834" w:right="52" w:hanging="545"/>
              <w:rPr>
                <w:sz w:val="24"/>
              </w:rPr>
            </w:pPr>
            <w:r w:rsidRPr="00150EDC">
              <w:rPr>
                <w:spacing w:val="-6"/>
                <w:sz w:val="24"/>
              </w:rPr>
              <w:t>b)</w:t>
            </w:r>
            <w:r w:rsidRPr="00150EDC">
              <w:rPr>
                <w:sz w:val="24"/>
              </w:rPr>
              <w:tab/>
            </w:r>
            <w:r w:rsidRPr="00150EDC">
              <w:rPr>
                <w:spacing w:val="-2"/>
                <w:sz w:val="24"/>
              </w:rPr>
              <w:t>unfair,</w:t>
            </w:r>
            <w:r w:rsidRPr="00150EDC">
              <w:rPr>
                <w:sz w:val="24"/>
              </w:rPr>
              <w:tab/>
            </w:r>
            <w:r w:rsidRPr="00150EDC">
              <w:rPr>
                <w:spacing w:val="-2"/>
                <w:sz w:val="24"/>
              </w:rPr>
              <w:t>wrongful</w:t>
            </w:r>
            <w:r w:rsidRPr="00150EDC">
              <w:rPr>
                <w:sz w:val="24"/>
              </w:rPr>
              <w:tab/>
            </w:r>
            <w:r w:rsidRPr="00150EDC">
              <w:rPr>
                <w:spacing w:val="-6"/>
                <w:sz w:val="24"/>
              </w:rPr>
              <w:t>or</w:t>
            </w:r>
            <w:r w:rsidRPr="00150EDC">
              <w:rPr>
                <w:sz w:val="24"/>
              </w:rPr>
              <w:tab/>
            </w:r>
            <w:r w:rsidRPr="00150EDC">
              <w:rPr>
                <w:spacing w:val="-2"/>
                <w:sz w:val="24"/>
              </w:rPr>
              <w:t>constructive</w:t>
            </w:r>
            <w:r w:rsidRPr="00150EDC">
              <w:rPr>
                <w:sz w:val="24"/>
              </w:rPr>
              <w:tab/>
            </w:r>
            <w:r w:rsidRPr="00150EDC">
              <w:rPr>
                <w:spacing w:val="-2"/>
                <w:sz w:val="24"/>
              </w:rPr>
              <w:t>dismissal compensation;</w:t>
            </w:r>
          </w:p>
        </w:tc>
      </w:tr>
      <w:tr w:rsidR="004569EE" w:rsidRPr="007D3144" w14:paraId="1AF57832" w14:textId="77777777">
        <w:trPr>
          <w:trHeight w:val="1497"/>
        </w:trPr>
        <w:tc>
          <w:tcPr>
            <w:tcW w:w="2146" w:type="dxa"/>
          </w:tcPr>
          <w:p w14:paraId="53617518" w14:textId="77777777" w:rsidR="004C7180" w:rsidRPr="00150EDC" w:rsidRDefault="004C7180">
            <w:pPr>
              <w:pStyle w:val="TableParagraph"/>
              <w:spacing w:before="0" w:line="240" w:lineRule="auto"/>
              <w:ind w:left="0"/>
              <w:rPr>
                <w:rFonts w:ascii="Times New Roman"/>
              </w:rPr>
            </w:pPr>
          </w:p>
        </w:tc>
        <w:tc>
          <w:tcPr>
            <w:tcW w:w="6051" w:type="dxa"/>
          </w:tcPr>
          <w:p w14:paraId="5CD60E75" w14:textId="77777777" w:rsidR="004C7180" w:rsidRPr="00150EDC" w:rsidRDefault="00CF0754">
            <w:pPr>
              <w:pStyle w:val="TableParagraph"/>
              <w:spacing w:before="56" w:line="240" w:lineRule="auto"/>
              <w:ind w:left="834" w:right="53" w:hanging="545"/>
              <w:jc w:val="both"/>
              <w:rPr>
                <w:sz w:val="24"/>
              </w:rPr>
            </w:pPr>
            <w:r w:rsidRPr="00150EDC">
              <w:rPr>
                <w:sz w:val="24"/>
              </w:rPr>
              <w:t>c)</w:t>
            </w:r>
            <w:r w:rsidRPr="00150EDC">
              <w:rPr>
                <w:spacing w:val="80"/>
                <w:sz w:val="24"/>
              </w:rPr>
              <w:t xml:space="preserve">  </w:t>
            </w:r>
            <w:r w:rsidRPr="00150EDC">
              <w:rPr>
                <w:sz w:val="24"/>
              </w:rPr>
              <w:t>compensation</w:t>
            </w:r>
            <w:r w:rsidRPr="00150EDC">
              <w:rPr>
                <w:spacing w:val="80"/>
                <w:sz w:val="24"/>
              </w:rPr>
              <w:t xml:space="preserve"> </w:t>
            </w:r>
            <w:r w:rsidRPr="00150EDC">
              <w:rPr>
                <w:sz w:val="24"/>
              </w:rPr>
              <w:t>for</w:t>
            </w:r>
            <w:r w:rsidRPr="00150EDC">
              <w:rPr>
                <w:spacing w:val="80"/>
                <w:sz w:val="24"/>
              </w:rPr>
              <w:t xml:space="preserve"> </w:t>
            </w:r>
            <w:r w:rsidRPr="00150EDC">
              <w:rPr>
                <w:sz w:val="24"/>
              </w:rPr>
              <w:t>discrimination</w:t>
            </w:r>
            <w:r w:rsidRPr="00150EDC">
              <w:rPr>
                <w:spacing w:val="80"/>
                <w:sz w:val="24"/>
              </w:rPr>
              <w:t xml:space="preserve"> </w:t>
            </w:r>
            <w:r w:rsidRPr="00150EDC">
              <w:rPr>
                <w:sz w:val="24"/>
              </w:rPr>
              <w:t>on</w:t>
            </w:r>
            <w:r w:rsidRPr="00150EDC">
              <w:rPr>
                <w:spacing w:val="80"/>
                <w:sz w:val="24"/>
              </w:rPr>
              <w:t xml:space="preserve"> </w:t>
            </w:r>
            <w:r w:rsidRPr="00150EDC">
              <w:rPr>
                <w:sz w:val="24"/>
              </w:rPr>
              <w:t>grounds</w:t>
            </w:r>
            <w:r w:rsidRPr="00150EDC">
              <w:rPr>
                <w:spacing w:val="40"/>
                <w:sz w:val="24"/>
              </w:rPr>
              <w:t xml:space="preserve"> </w:t>
            </w:r>
            <w:r w:rsidRPr="00150EDC">
              <w:rPr>
                <w:sz w:val="24"/>
              </w:rPr>
              <w:t>of</w:t>
            </w:r>
            <w:r w:rsidRPr="00150EDC">
              <w:rPr>
                <w:spacing w:val="40"/>
                <w:sz w:val="24"/>
              </w:rPr>
              <w:t xml:space="preserve"> </w:t>
            </w:r>
            <w:r w:rsidRPr="00150EDC">
              <w:rPr>
                <w:sz w:val="24"/>
              </w:rPr>
              <w:t>sex, race, disability, age, religion or belief, gender reassignment, marriage or civil partnership, pregnancy and maternity</w:t>
            </w:r>
            <w:r w:rsidRPr="00150EDC">
              <w:rPr>
                <w:spacing w:val="40"/>
                <w:sz w:val="24"/>
              </w:rPr>
              <w:t xml:space="preserve"> </w:t>
            </w:r>
            <w:r w:rsidRPr="00150EDC">
              <w:rPr>
                <w:sz w:val="24"/>
              </w:rPr>
              <w:t>or sexual orientation or claims for equal pay;</w:t>
            </w:r>
          </w:p>
        </w:tc>
      </w:tr>
      <w:tr w:rsidR="004569EE" w:rsidRPr="007D3144" w14:paraId="6CECB4E9" w14:textId="77777777">
        <w:trPr>
          <w:trHeight w:val="671"/>
        </w:trPr>
        <w:tc>
          <w:tcPr>
            <w:tcW w:w="2146" w:type="dxa"/>
          </w:tcPr>
          <w:p w14:paraId="5610D9E6" w14:textId="77777777" w:rsidR="004C7180" w:rsidRPr="00150EDC" w:rsidRDefault="004C7180">
            <w:pPr>
              <w:pStyle w:val="TableParagraph"/>
              <w:spacing w:before="0" w:line="240" w:lineRule="auto"/>
              <w:ind w:left="0"/>
              <w:rPr>
                <w:rFonts w:ascii="Times New Roman"/>
              </w:rPr>
            </w:pPr>
          </w:p>
        </w:tc>
        <w:tc>
          <w:tcPr>
            <w:tcW w:w="6051" w:type="dxa"/>
          </w:tcPr>
          <w:p w14:paraId="5F842E2F" w14:textId="77777777" w:rsidR="004C7180" w:rsidRPr="00150EDC" w:rsidRDefault="00CF0754">
            <w:pPr>
              <w:pStyle w:val="TableParagraph"/>
              <w:tabs>
                <w:tab w:val="left" w:pos="834"/>
              </w:tabs>
              <w:spacing w:before="56" w:line="240" w:lineRule="auto"/>
              <w:ind w:left="834" w:right="53" w:hanging="545"/>
              <w:rPr>
                <w:sz w:val="24"/>
              </w:rPr>
            </w:pPr>
            <w:r w:rsidRPr="00150EDC">
              <w:rPr>
                <w:spacing w:val="-6"/>
                <w:sz w:val="24"/>
              </w:rPr>
              <w:t>d)</w:t>
            </w:r>
            <w:r w:rsidRPr="00150EDC">
              <w:rPr>
                <w:sz w:val="24"/>
              </w:rPr>
              <w:tab/>
              <w:t>compensation</w:t>
            </w:r>
            <w:r w:rsidRPr="00150EDC">
              <w:rPr>
                <w:spacing w:val="40"/>
                <w:sz w:val="24"/>
              </w:rPr>
              <w:t xml:space="preserve"> </w:t>
            </w:r>
            <w:r w:rsidRPr="00150EDC">
              <w:rPr>
                <w:sz w:val="24"/>
              </w:rPr>
              <w:t>for</w:t>
            </w:r>
            <w:r w:rsidRPr="00150EDC">
              <w:rPr>
                <w:spacing w:val="40"/>
                <w:sz w:val="24"/>
              </w:rPr>
              <w:t xml:space="preserve"> </w:t>
            </w:r>
            <w:r w:rsidRPr="00150EDC">
              <w:rPr>
                <w:sz w:val="24"/>
              </w:rPr>
              <w:t>less</w:t>
            </w:r>
            <w:r w:rsidRPr="00150EDC">
              <w:rPr>
                <w:spacing w:val="40"/>
                <w:sz w:val="24"/>
              </w:rPr>
              <w:t xml:space="preserve"> </w:t>
            </w:r>
            <w:r w:rsidRPr="00150EDC">
              <w:rPr>
                <w:sz w:val="24"/>
              </w:rPr>
              <w:t>favourable</w:t>
            </w:r>
            <w:r w:rsidRPr="00150EDC">
              <w:rPr>
                <w:spacing w:val="40"/>
                <w:sz w:val="24"/>
              </w:rPr>
              <w:t xml:space="preserve"> </w:t>
            </w:r>
            <w:r w:rsidRPr="00150EDC">
              <w:rPr>
                <w:sz w:val="24"/>
              </w:rPr>
              <w:t>treatment</w:t>
            </w:r>
            <w:r w:rsidRPr="00150EDC">
              <w:rPr>
                <w:spacing w:val="40"/>
                <w:sz w:val="24"/>
              </w:rPr>
              <w:t xml:space="preserve"> </w:t>
            </w:r>
            <w:r w:rsidRPr="00150EDC">
              <w:rPr>
                <w:sz w:val="24"/>
              </w:rPr>
              <w:t>of part-time workers or fixed term employees;</w:t>
            </w:r>
          </w:p>
        </w:tc>
      </w:tr>
      <w:tr w:rsidR="004569EE" w:rsidRPr="007D3144" w14:paraId="6F24A866" w14:textId="77777777">
        <w:trPr>
          <w:trHeight w:val="884"/>
        </w:trPr>
        <w:tc>
          <w:tcPr>
            <w:tcW w:w="2146" w:type="dxa"/>
          </w:tcPr>
          <w:p w14:paraId="4FE547CE" w14:textId="77777777" w:rsidR="004C7180" w:rsidRPr="00150EDC" w:rsidRDefault="004C7180">
            <w:pPr>
              <w:pStyle w:val="TableParagraph"/>
              <w:spacing w:before="0" w:line="240" w:lineRule="auto"/>
              <w:ind w:left="0"/>
              <w:rPr>
                <w:rFonts w:ascii="Times New Roman"/>
              </w:rPr>
            </w:pPr>
          </w:p>
        </w:tc>
        <w:tc>
          <w:tcPr>
            <w:tcW w:w="6051" w:type="dxa"/>
          </w:tcPr>
          <w:p w14:paraId="2A0078BD" w14:textId="77777777" w:rsidR="004C7180" w:rsidRPr="00150EDC" w:rsidRDefault="00CF0754">
            <w:pPr>
              <w:pStyle w:val="TableParagraph"/>
              <w:spacing w:before="36" w:line="270" w:lineRule="atLeast"/>
              <w:ind w:left="834" w:right="52" w:hanging="545"/>
              <w:jc w:val="both"/>
              <w:rPr>
                <w:sz w:val="24"/>
              </w:rPr>
            </w:pPr>
            <w:r w:rsidRPr="00150EDC">
              <w:rPr>
                <w:sz w:val="24"/>
              </w:rPr>
              <w:t>e)</w:t>
            </w:r>
            <w:r w:rsidRPr="00150EDC">
              <w:rPr>
                <w:spacing w:val="40"/>
                <w:sz w:val="24"/>
              </w:rPr>
              <w:t xml:space="preserve"> </w:t>
            </w:r>
            <w:r w:rsidRPr="00150EDC">
              <w:rPr>
                <w:sz w:val="24"/>
              </w:rPr>
              <w:t>outstanding employment debts and unlawful deduction of wages including any PAYE and National Insurance Contributions;</w:t>
            </w:r>
          </w:p>
        </w:tc>
      </w:tr>
    </w:tbl>
    <w:p w14:paraId="6C5D44AB" w14:textId="77777777" w:rsidR="004C7180" w:rsidRPr="00150EDC" w:rsidRDefault="004C7180">
      <w:pPr>
        <w:spacing w:line="270" w:lineRule="atLeast"/>
        <w:jc w:val="both"/>
        <w:rPr>
          <w:sz w:val="24"/>
        </w:rPr>
        <w:sectPr w:rsidR="004C7180" w:rsidRPr="00150EDC">
          <w:headerReference w:type="default" r:id="rId59"/>
          <w:footerReference w:type="default" r:id="rId60"/>
          <w:pgSz w:w="11910" w:h="16840"/>
          <w:pgMar w:top="1380" w:right="0" w:bottom="1380" w:left="40" w:header="715" w:footer="1192" w:gutter="0"/>
          <w:pgNumType w:start="1"/>
          <w:cols w:space="720"/>
        </w:sectPr>
      </w:pPr>
    </w:p>
    <w:p w14:paraId="51203873" w14:textId="77777777" w:rsidR="004C7180" w:rsidRPr="00150EDC" w:rsidRDefault="004C7180">
      <w:pPr>
        <w:pStyle w:val="BodyText"/>
        <w:spacing w:before="2"/>
      </w:pPr>
    </w:p>
    <w:tbl>
      <w:tblPr>
        <w:tblW w:w="0" w:type="auto"/>
        <w:tblInd w:w="2065" w:type="dxa"/>
        <w:tblLayout w:type="fixed"/>
        <w:tblCellMar>
          <w:left w:w="0" w:type="dxa"/>
          <w:right w:w="0" w:type="dxa"/>
        </w:tblCellMar>
        <w:tblLook w:val="01E0" w:firstRow="1" w:lastRow="1" w:firstColumn="1" w:lastColumn="1" w:noHBand="0" w:noVBand="0"/>
      </w:tblPr>
      <w:tblGrid>
        <w:gridCol w:w="2056"/>
        <w:gridCol w:w="6138"/>
      </w:tblGrid>
      <w:tr w:rsidR="004569EE" w:rsidRPr="007D3144" w14:paraId="357A97AF" w14:textId="77777777">
        <w:trPr>
          <w:trHeight w:val="609"/>
        </w:trPr>
        <w:tc>
          <w:tcPr>
            <w:tcW w:w="2056" w:type="dxa"/>
          </w:tcPr>
          <w:p w14:paraId="5C227602" w14:textId="77777777" w:rsidR="004C7180" w:rsidRPr="00150EDC" w:rsidRDefault="004C7180">
            <w:pPr>
              <w:pStyle w:val="TableParagraph"/>
              <w:spacing w:before="0" w:line="240" w:lineRule="auto"/>
              <w:ind w:left="0"/>
              <w:rPr>
                <w:rFonts w:ascii="Times New Roman"/>
              </w:rPr>
            </w:pPr>
          </w:p>
        </w:tc>
        <w:tc>
          <w:tcPr>
            <w:tcW w:w="6138" w:type="dxa"/>
          </w:tcPr>
          <w:p w14:paraId="31160996" w14:textId="77777777" w:rsidR="004C7180" w:rsidRPr="00150EDC" w:rsidRDefault="00CF0754">
            <w:pPr>
              <w:pStyle w:val="TableParagraph"/>
              <w:tabs>
                <w:tab w:val="left" w:pos="921"/>
              </w:tabs>
              <w:spacing w:before="0" w:line="240" w:lineRule="auto"/>
              <w:ind w:left="922" w:right="51" w:hanging="545"/>
              <w:rPr>
                <w:sz w:val="24"/>
              </w:rPr>
            </w:pPr>
            <w:r w:rsidRPr="00150EDC">
              <w:rPr>
                <w:spacing w:val="-6"/>
                <w:sz w:val="24"/>
              </w:rPr>
              <w:t>f)</w:t>
            </w:r>
            <w:r w:rsidRPr="00150EDC">
              <w:rPr>
                <w:sz w:val="24"/>
              </w:rPr>
              <w:tab/>
              <w:t>employment</w:t>
            </w:r>
            <w:r w:rsidRPr="00150EDC">
              <w:rPr>
                <w:spacing w:val="36"/>
                <w:sz w:val="24"/>
              </w:rPr>
              <w:t xml:space="preserve"> </w:t>
            </w:r>
            <w:r w:rsidRPr="00150EDC">
              <w:rPr>
                <w:sz w:val="24"/>
              </w:rPr>
              <w:t>claims</w:t>
            </w:r>
            <w:r w:rsidRPr="00150EDC">
              <w:rPr>
                <w:spacing w:val="35"/>
                <w:sz w:val="24"/>
              </w:rPr>
              <w:t xml:space="preserve"> </w:t>
            </w:r>
            <w:r w:rsidRPr="00150EDC">
              <w:rPr>
                <w:sz w:val="24"/>
              </w:rPr>
              <w:t>whether</w:t>
            </w:r>
            <w:r w:rsidRPr="00150EDC">
              <w:rPr>
                <w:spacing w:val="34"/>
                <w:sz w:val="24"/>
              </w:rPr>
              <w:t xml:space="preserve"> </w:t>
            </w:r>
            <w:r w:rsidRPr="00150EDC">
              <w:rPr>
                <w:sz w:val="24"/>
              </w:rPr>
              <w:t>in</w:t>
            </w:r>
            <w:r w:rsidRPr="00150EDC">
              <w:rPr>
                <w:spacing w:val="36"/>
                <w:sz w:val="24"/>
              </w:rPr>
              <w:t xml:space="preserve"> </w:t>
            </w:r>
            <w:r w:rsidRPr="00150EDC">
              <w:rPr>
                <w:sz w:val="24"/>
              </w:rPr>
              <w:t>tort,</w:t>
            </w:r>
            <w:r w:rsidRPr="00150EDC">
              <w:rPr>
                <w:spacing w:val="36"/>
                <w:sz w:val="24"/>
              </w:rPr>
              <w:t xml:space="preserve"> </w:t>
            </w:r>
            <w:r w:rsidRPr="00150EDC">
              <w:rPr>
                <w:sz w:val="24"/>
              </w:rPr>
              <w:t>contract</w:t>
            </w:r>
            <w:r w:rsidRPr="00150EDC">
              <w:rPr>
                <w:spacing w:val="36"/>
                <w:sz w:val="24"/>
              </w:rPr>
              <w:t xml:space="preserve"> </w:t>
            </w:r>
            <w:r w:rsidRPr="00150EDC">
              <w:rPr>
                <w:sz w:val="24"/>
              </w:rPr>
              <w:t>or statute or otherwise;</w:t>
            </w:r>
          </w:p>
        </w:tc>
      </w:tr>
      <w:tr w:rsidR="004569EE" w:rsidRPr="007D3144" w14:paraId="3DDCBDCD" w14:textId="77777777">
        <w:trPr>
          <w:trHeight w:val="1837"/>
        </w:trPr>
        <w:tc>
          <w:tcPr>
            <w:tcW w:w="2056" w:type="dxa"/>
          </w:tcPr>
          <w:p w14:paraId="3B19E666" w14:textId="77777777" w:rsidR="004C7180" w:rsidRPr="00150EDC" w:rsidRDefault="004C7180">
            <w:pPr>
              <w:pStyle w:val="TableParagraph"/>
              <w:spacing w:before="0" w:line="240" w:lineRule="auto"/>
              <w:ind w:left="0"/>
              <w:rPr>
                <w:rFonts w:ascii="Times New Roman"/>
              </w:rPr>
            </w:pPr>
          </w:p>
        </w:tc>
        <w:tc>
          <w:tcPr>
            <w:tcW w:w="6138" w:type="dxa"/>
          </w:tcPr>
          <w:p w14:paraId="6BA89804" w14:textId="77777777" w:rsidR="004C7180" w:rsidRPr="00150EDC" w:rsidRDefault="00CF0754">
            <w:pPr>
              <w:pStyle w:val="TableParagraph"/>
              <w:spacing w:before="56" w:line="237" w:lineRule="auto"/>
              <w:ind w:left="922" w:right="50" w:hanging="545"/>
              <w:jc w:val="both"/>
              <w:rPr>
                <w:sz w:val="24"/>
              </w:rPr>
            </w:pPr>
            <w:r w:rsidRPr="00150EDC">
              <w:rPr>
                <w:rFonts w:ascii="Calibri"/>
                <w:sz w:val="24"/>
              </w:rPr>
              <w:t>g)</w:t>
            </w:r>
            <w:r w:rsidRPr="00150EDC">
              <w:rPr>
                <w:rFonts w:ascii="Calibri"/>
                <w:spacing w:val="80"/>
                <w:w w:val="150"/>
                <w:sz w:val="24"/>
              </w:rPr>
              <w:t xml:space="preserve"> </w:t>
            </w:r>
            <w:r w:rsidRPr="00150EDC">
              <w:rPr>
                <w:sz w:val="24"/>
              </w:rPr>
              <w:t>any</w:t>
            </w:r>
            <w:r w:rsidRPr="00150EDC">
              <w:rPr>
                <w:spacing w:val="40"/>
                <w:sz w:val="24"/>
              </w:rPr>
              <w:t xml:space="preserve"> </w:t>
            </w:r>
            <w:r w:rsidRPr="00150EDC">
              <w:rPr>
                <w:sz w:val="24"/>
              </w:rPr>
              <w:t>investigation</w:t>
            </w:r>
            <w:r w:rsidRPr="00150EDC">
              <w:rPr>
                <w:spacing w:val="40"/>
                <w:sz w:val="24"/>
              </w:rPr>
              <w:t xml:space="preserve"> </w:t>
            </w:r>
            <w:r w:rsidRPr="00150EDC">
              <w:rPr>
                <w:sz w:val="24"/>
              </w:rPr>
              <w:t>relating</w:t>
            </w:r>
            <w:r w:rsidRPr="00150EDC">
              <w:rPr>
                <w:spacing w:val="80"/>
                <w:w w:val="150"/>
                <w:sz w:val="24"/>
              </w:rPr>
              <w:t xml:space="preserve"> </w:t>
            </w:r>
            <w:r w:rsidRPr="00150EDC">
              <w:rPr>
                <w:sz w:val="24"/>
              </w:rPr>
              <w:t>to</w:t>
            </w:r>
            <w:r w:rsidRPr="00150EDC">
              <w:rPr>
                <w:spacing w:val="80"/>
                <w:w w:val="150"/>
                <w:sz w:val="24"/>
              </w:rPr>
              <w:t xml:space="preserve"> </w:t>
            </w:r>
            <w:r w:rsidRPr="00150EDC">
              <w:rPr>
                <w:sz w:val="24"/>
              </w:rPr>
              <w:t xml:space="preserve">employment matters by the Equality and Human Rights Commission or other enforcement, regulatory or supervisory body and of implementing any requirements which may arise from such </w:t>
            </w:r>
            <w:r w:rsidRPr="00150EDC">
              <w:rPr>
                <w:spacing w:val="-2"/>
                <w:sz w:val="24"/>
              </w:rPr>
              <w:t>investigation;</w:t>
            </w:r>
          </w:p>
        </w:tc>
      </w:tr>
      <w:tr w:rsidR="004569EE" w:rsidRPr="007D3144" w14:paraId="2F4E61EE" w14:textId="77777777">
        <w:trPr>
          <w:trHeight w:val="1896"/>
        </w:trPr>
        <w:tc>
          <w:tcPr>
            <w:tcW w:w="2056" w:type="dxa"/>
          </w:tcPr>
          <w:p w14:paraId="586A2E20" w14:textId="77777777" w:rsidR="004C7180" w:rsidRPr="00150EDC" w:rsidRDefault="00CF0754">
            <w:pPr>
              <w:pStyle w:val="TableParagraph"/>
              <w:spacing w:before="116" w:line="240" w:lineRule="auto"/>
              <w:ind w:left="50" w:right="43"/>
              <w:rPr>
                <w:b/>
                <w:sz w:val="24"/>
              </w:rPr>
            </w:pPr>
            <w:r w:rsidRPr="00150EDC">
              <w:rPr>
                <w:b/>
                <w:spacing w:val="-2"/>
                <w:sz w:val="24"/>
              </w:rPr>
              <w:t>"Former Supplier"</w:t>
            </w:r>
          </w:p>
        </w:tc>
        <w:tc>
          <w:tcPr>
            <w:tcW w:w="6138" w:type="dxa"/>
          </w:tcPr>
          <w:p w14:paraId="7C78547E" w14:textId="77777777" w:rsidR="004C7180" w:rsidRPr="00150EDC" w:rsidRDefault="00CF0754">
            <w:pPr>
              <w:pStyle w:val="TableParagraph"/>
              <w:spacing w:before="116" w:line="240" w:lineRule="auto"/>
              <w:ind w:left="202" w:right="49"/>
              <w:jc w:val="both"/>
              <w:rPr>
                <w:sz w:val="24"/>
              </w:rPr>
            </w:pPr>
            <w:r w:rsidRPr="00150EDC">
              <w:rPr>
                <w:sz w:val="24"/>
              </w:rPr>
              <w:t xml:space="preserve">a supplier supplying services to the Buyer before the Relevant Transfer Date that are the same as or substantially similar to the Services (or any part of the Services) and shall include any Subcontractor of such supplier (or any Subcontractor of any such </w:t>
            </w:r>
            <w:r w:rsidRPr="00150EDC">
              <w:rPr>
                <w:spacing w:val="-2"/>
                <w:sz w:val="24"/>
              </w:rPr>
              <w:t>Subcontractor);</w:t>
            </w:r>
          </w:p>
        </w:tc>
      </w:tr>
      <w:tr w:rsidR="004569EE" w:rsidRPr="007D3144" w14:paraId="46CEAFDF" w14:textId="77777777">
        <w:trPr>
          <w:trHeight w:val="3537"/>
        </w:trPr>
        <w:tc>
          <w:tcPr>
            <w:tcW w:w="2056" w:type="dxa"/>
          </w:tcPr>
          <w:p w14:paraId="6D0FC08C" w14:textId="77777777" w:rsidR="004C7180" w:rsidRPr="00150EDC" w:rsidRDefault="00CF0754">
            <w:pPr>
              <w:pStyle w:val="TableParagraph"/>
              <w:spacing w:before="116" w:line="240" w:lineRule="auto"/>
              <w:ind w:left="50"/>
              <w:rPr>
                <w:b/>
                <w:sz w:val="24"/>
              </w:rPr>
            </w:pPr>
            <w:r w:rsidRPr="00150EDC">
              <w:rPr>
                <w:b/>
                <w:sz w:val="24"/>
              </w:rPr>
              <w:t>"New</w:t>
            </w:r>
            <w:r w:rsidRPr="00150EDC">
              <w:rPr>
                <w:b/>
                <w:spacing w:val="-1"/>
                <w:sz w:val="24"/>
              </w:rPr>
              <w:t xml:space="preserve"> </w:t>
            </w:r>
            <w:r w:rsidRPr="00150EDC">
              <w:rPr>
                <w:b/>
                <w:sz w:val="24"/>
              </w:rPr>
              <w:t>Fair</w:t>
            </w:r>
            <w:r w:rsidRPr="00150EDC">
              <w:rPr>
                <w:b/>
                <w:spacing w:val="-1"/>
                <w:sz w:val="24"/>
              </w:rPr>
              <w:t xml:space="preserve"> </w:t>
            </w:r>
            <w:r w:rsidRPr="00150EDC">
              <w:rPr>
                <w:b/>
                <w:spacing w:val="-2"/>
                <w:sz w:val="24"/>
              </w:rPr>
              <w:t>Deal"</w:t>
            </w:r>
          </w:p>
        </w:tc>
        <w:tc>
          <w:tcPr>
            <w:tcW w:w="6138" w:type="dxa"/>
          </w:tcPr>
          <w:p w14:paraId="105AB9F1" w14:textId="77777777" w:rsidR="004C7180" w:rsidRPr="00150EDC" w:rsidRDefault="00CF0754">
            <w:pPr>
              <w:pStyle w:val="TableParagraph"/>
              <w:spacing w:before="116" w:line="240" w:lineRule="auto"/>
              <w:ind w:left="202" w:right="51"/>
              <w:jc w:val="both"/>
              <w:rPr>
                <w:sz w:val="24"/>
              </w:rPr>
            </w:pPr>
            <w:r w:rsidRPr="00150EDC">
              <w:rPr>
                <w:sz w:val="24"/>
              </w:rPr>
              <w:t>the</w:t>
            </w:r>
            <w:r w:rsidRPr="00150EDC">
              <w:rPr>
                <w:spacing w:val="-17"/>
                <w:sz w:val="24"/>
              </w:rPr>
              <w:t xml:space="preserve"> </w:t>
            </w:r>
            <w:r w:rsidRPr="00150EDC">
              <w:rPr>
                <w:sz w:val="24"/>
              </w:rPr>
              <w:t>revised</w:t>
            </w:r>
            <w:r w:rsidRPr="00150EDC">
              <w:rPr>
                <w:spacing w:val="-15"/>
                <w:sz w:val="24"/>
              </w:rPr>
              <w:t xml:space="preserve"> </w:t>
            </w:r>
            <w:r w:rsidRPr="00150EDC">
              <w:rPr>
                <w:sz w:val="24"/>
              </w:rPr>
              <w:t>Fair</w:t>
            </w:r>
            <w:r w:rsidRPr="00150EDC">
              <w:rPr>
                <w:spacing w:val="-17"/>
                <w:sz w:val="24"/>
              </w:rPr>
              <w:t xml:space="preserve"> </w:t>
            </w:r>
            <w:r w:rsidRPr="00150EDC">
              <w:rPr>
                <w:sz w:val="24"/>
              </w:rPr>
              <w:t>Deal</w:t>
            </w:r>
            <w:r w:rsidRPr="00150EDC">
              <w:rPr>
                <w:spacing w:val="-17"/>
                <w:sz w:val="24"/>
              </w:rPr>
              <w:t xml:space="preserve"> </w:t>
            </w:r>
            <w:r w:rsidRPr="00150EDC">
              <w:rPr>
                <w:sz w:val="24"/>
              </w:rPr>
              <w:t>position</w:t>
            </w:r>
            <w:r w:rsidRPr="00150EDC">
              <w:rPr>
                <w:spacing w:val="-14"/>
                <w:sz w:val="24"/>
              </w:rPr>
              <w:t xml:space="preserve"> </w:t>
            </w:r>
            <w:r w:rsidRPr="00150EDC">
              <w:rPr>
                <w:sz w:val="24"/>
              </w:rPr>
              <w:t>set</w:t>
            </w:r>
            <w:r w:rsidRPr="00150EDC">
              <w:rPr>
                <w:spacing w:val="-17"/>
                <w:sz w:val="24"/>
              </w:rPr>
              <w:t xml:space="preserve"> </w:t>
            </w:r>
            <w:r w:rsidRPr="00150EDC">
              <w:rPr>
                <w:sz w:val="24"/>
              </w:rPr>
              <w:t>out</w:t>
            </w:r>
            <w:r w:rsidRPr="00150EDC">
              <w:rPr>
                <w:spacing w:val="-17"/>
                <w:sz w:val="24"/>
              </w:rPr>
              <w:t xml:space="preserve"> </w:t>
            </w:r>
            <w:r w:rsidRPr="00150EDC">
              <w:rPr>
                <w:sz w:val="24"/>
              </w:rPr>
              <w:t>in</w:t>
            </w:r>
            <w:r w:rsidRPr="00150EDC">
              <w:rPr>
                <w:spacing w:val="-14"/>
                <w:sz w:val="24"/>
              </w:rPr>
              <w:t xml:space="preserve"> </w:t>
            </w:r>
            <w:r w:rsidRPr="00150EDC">
              <w:rPr>
                <w:sz w:val="24"/>
              </w:rPr>
              <w:t>the</w:t>
            </w:r>
            <w:r w:rsidRPr="00150EDC">
              <w:rPr>
                <w:spacing w:val="-15"/>
                <w:sz w:val="24"/>
              </w:rPr>
              <w:t xml:space="preserve"> </w:t>
            </w:r>
            <w:r w:rsidRPr="00150EDC">
              <w:rPr>
                <w:sz w:val="24"/>
              </w:rPr>
              <w:t>HM</w:t>
            </w:r>
            <w:r w:rsidRPr="00150EDC">
              <w:rPr>
                <w:spacing w:val="-17"/>
                <w:sz w:val="24"/>
              </w:rPr>
              <w:t xml:space="preserve"> </w:t>
            </w:r>
            <w:r w:rsidRPr="00150EDC">
              <w:rPr>
                <w:sz w:val="24"/>
              </w:rPr>
              <w:t>Treasury guidance:</w:t>
            </w:r>
            <w:r w:rsidRPr="00150EDC">
              <w:rPr>
                <w:spacing w:val="40"/>
                <w:sz w:val="24"/>
              </w:rPr>
              <w:t xml:space="preserve"> </w:t>
            </w:r>
            <w:r w:rsidRPr="00150EDC">
              <w:rPr>
                <w:sz w:val="24"/>
              </w:rPr>
              <w:t>"</w:t>
            </w:r>
            <w:r w:rsidRPr="00150EDC">
              <w:rPr>
                <w:i/>
                <w:sz w:val="24"/>
              </w:rPr>
              <w:t>Fair Deal for Staff Pensions: Staff Transfer from Central Government</w:t>
            </w:r>
            <w:r w:rsidRPr="00150EDC">
              <w:rPr>
                <w:sz w:val="24"/>
              </w:rPr>
              <w:t>" issued in October</w:t>
            </w:r>
            <w:r w:rsidRPr="00150EDC">
              <w:rPr>
                <w:spacing w:val="-4"/>
                <w:sz w:val="24"/>
              </w:rPr>
              <w:t xml:space="preserve"> </w:t>
            </w:r>
            <w:r w:rsidRPr="00150EDC">
              <w:rPr>
                <w:sz w:val="24"/>
              </w:rPr>
              <w:t xml:space="preserve">2013 </w:t>
            </w:r>
            <w:r w:rsidRPr="00150EDC">
              <w:rPr>
                <w:spacing w:val="-2"/>
                <w:sz w:val="24"/>
              </w:rPr>
              <w:t>including:</w:t>
            </w:r>
          </w:p>
          <w:p w14:paraId="039C086E" w14:textId="77777777" w:rsidR="004C7180" w:rsidRPr="00150EDC" w:rsidRDefault="00CF0754" w:rsidP="00B320C7">
            <w:pPr>
              <w:pStyle w:val="TableParagraph"/>
              <w:numPr>
                <w:ilvl w:val="0"/>
                <w:numId w:val="89"/>
              </w:numPr>
              <w:tabs>
                <w:tab w:val="left" w:pos="1707"/>
                <w:tab w:val="left" w:pos="1709"/>
              </w:tabs>
              <w:spacing w:before="120" w:line="240" w:lineRule="auto"/>
              <w:ind w:right="50"/>
              <w:jc w:val="both"/>
              <w:rPr>
                <w:sz w:val="24"/>
              </w:rPr>
            </w:pPr>
            <w:r w:rsidRPr="00150EDC">
              <w:rPr>
                <w:sz w:val="24"/>
              </w:rPr>
              <w:t>any amendments to that document immediately prior to the Relevant Transfer Date; and</w:t>
            </w:r>
          </w:p>
          <w:p w14:paraId="13FC0814" w14:textId="77777777" w:rsidR="004C7180" w:rsidRPr="00150EDC" w:rsidRDefault="00CF0754" w:rsidP="00B320C7">
            <w:pPr>
              <w:pStyle w:val="TableParagraph"/>
              <w:numPr>
                <w:ilvl w:val="0"/>
                <w:numId w:val="89"/>
              </w:numPr>
              <w:tabs>
                <w:tab w:val="left" w:pos="1706"/>
                <w:tab w:val="left" w:pos="1709"/>
              </w:tabs>
              <w:spacing w:before="120" w:line="240" w:lineRule="auto"/>
              <w:ind w:right="50"/>
              <w:jc w:val="both"/>
              <w:rPr>
                <w:sz w:val="24"/>
              </w:rPr>
            </w:pPr>
            <w:r w:rsidRPr="00150EDC">
              <w:rPr>
                <w:sz w:val="24"/>
              </w:rPr>
              <w:t>any similar pension protection in accordance with the Annexes D1-D3 inclusive to Part D of this Schedule as notified to the Supplier by the Buyer;</w:t>
            </w:r>
          </w:p>
        </w:tc>
      </w:tr>
      <w:tr w:rsidR="004569EE" w:rsidRPr="007D3144" w14:paraId="35C50A7F" w14:textId="77777777">
        <w:trPr>
          <w:trHeight w:val="1743"/>
        </w:trPr>
        <w:tc>
          <w:tcPr>
            <w:tcW w:w="2056" w:type="dxa"/>
          </w:tcPr>
          <w:p w14:paraId="023DD83B" w14:textId="77777777" w:rsidR="004C7180" w:rsidRPr="00150EDC" w:rsidRDefault="00CF0754">
            <w:pPr>
              <w:pStyle w:val="TableParagraph"/>
              <w:spacing w:before="137" w:line="240" w:lineRule="auto"/>
              <w:ind w:left="50"/>
              <w:rPr>
                <w:b/>
                <w:sz w:val="24"/>
              </w:rPr>
            </w:pPr>
            <w:r w:rsidRPr="00150EDC">
              <w:rPr>
                <w:b/>
                <w:sz w:val="24"/>
              </w:rPr>
              <w:t>“Old</w:t>
            </w:r>
            <w:r w:rsidRPr="00150EDC">
              <w:rPr>
                <w:b/>
                <w:spacing w:val="-1"/>
                <w:sz w:val="24"/>
              </w:rPr>
              <w:t xml:space="preserve"> </w:t>
            </w:r>
            <w:r w:rsidRPr="00150EDC">
              <w:rPr>
                <w:b/>
                <w:sz w:val="24"/>
              </w:rPr>
              <w:t xml:space="preserve">Fair </w:t>
            </w:r>
            <w:r w:rsidRPr="00150EDC">
              <w:rPr>
                <w:b/>
                <w:spacing w:val="-2"/>
                <w:sz w:val="24"/>
              </w:rPr>
              <w:t>Deal”</w:t>
            </w:r>
          </w:p>
        </w:tc>
        <w:tc>
          <w:tcPr>
            <w:tcW w:w="6138" w:type="dxa"/>
          </w:tcPr>
          <w:p w14:paraId="199CF739" w14:textId="77777777" w:rsidR="004C7180" w:rsidRPr="00150EDC" w:rsidRDefault="00CF0754">
            <w:pPr>
              <w:pStyle w:val="TableParagraph"/>
              <w:spacing w:before="137" w:line="240" w:lineRule="auto"/>
              <w:ind w:left="202" w:right="51"/>
              <w:jc w:val="both"/>
              <w:rPr>
                <w:sz w:val="24"/>
              </w:rPr>
            </w:pPr>
            <w:r w:rsidRPr="00150EDC">
              <w:rPr>
                <w:sz w:val="24"/>
              </w:rPr>
              <w:t>HM Treasury Guidance “</w:t>
            </w:r>
            <w:r w:rsidRPr="00150EDC">
              <w:rPr>
                <w:i/>
                <w:sz w:val="24"/>
              </w:rPr>
              <w:t>Staff Transfers from Central Government: A Fair Deal for Staff Pensions</w:t>
            </w:r>
            <w:r w:rsidRPr="00150EDC">
              <w:rPr>
                <w:sz w:val="24"/>
              </w:rPr>
              <w:t>” issued in June 1999 including the supplementary guidance “</w:t>
            </w:r>
            <w:r w:rsidRPr="00150EDC">
              <w:rPr>
                <w:i/>
                <w:sz w:val="24"/>
              </w:rPr>
              <w:t>Fair Deal for Staff pensions: Procurement of Bulk Transfer Agreements and Related Issues</w:t>
            </w:r>
            <w:r w:rsidRPr="00150EDC">
              <w:rPr>
                <w:sz w:val="24"/>
              </w:rPr>
              <w:t>” issued in June 2004;</w:t>
            </w:r>
          </w:p>
        </w:tc>
      </w:tr>
      <w:tr w:rsidR="004569EE" w:rsidRPr="007D3144" w14:paraId="13BD2CCB" w14:textId="77777777">
        <w:trPr>
          <w:trHeight w:val="1722"/>
        </w:trPr>
        <w:tc>
          <w:tcPr>
            <w:tcW w:w="2056" w:type="dxa"/>
          </w:tcPr>
          <w:p w14:paraId="63306ADF" w14:textId="77777777" w:rsidR="004C7180" w:rsidRPr="00150EDC" w:rsidRDefault="00CF0754">
            <w:pPr>
              <w:pStyle w:val="TableParagraph"/>
              <w:spacing w:before="218" w:line="240" w:lineRule="auto"/>
              <w:ind w:left="50" w:right="43"/>
              <w:rPr>
                <w:b/>
                <w:sz w:val="24"/>
              </w:rPr>
            </w:pPr>
            <w:r w:rsidRPr="00150EDC">
              <w:rPr>
                <w:b/>
                <w:spacing w:val="-2"/>
                <w:sz w:val="24"/>
              </w:rPr>
              <w:t>"Partial Termination"</w:t>
            </w:r>
          </w:p>
        </w:tc>
        <w:tc>
          <w:tcPr>
            <w:tcW w:w="6138" w:type="dxa"/>
          </w:tcPr>
          <w:p w14:paraId="5380EAD1" w14:textId="77777777" w:rsidR="004C7180" w:rsidRPr="00150EDC" w:rsidRDefault="00CF0754">
            <w:pPr>
              <w:pStyle w:val="TableParagraph"/>
              <w:spacing w:before="218" w:line="240" w:lineRule="auto"/>
              <w:ind w:left="202" w:right="48"/>
              <w:jc w:val="both"/>
              <w:rPr>
                <w:sz w:val="24"/>
              </w:rPr>
            </w:pPr>
            <w:r w:rsidRPr="00150EDC">
              <w:rPr>
                <w:sz w:val="24"/>
              </w:rPr>
              <w:t>the partial termination of the relevant Contract to the extent that it relates to the provision of any part of the Services as further provided for in Clause</w:t>
            </w:r>
            <w:r w:rsidRPr="00150EDC">
              <w:rPr>
                <w:spacing w:val="-2"/>
                <w:sz w:val="24"/>
              </w:rPr>
              <w:t xml:space="preserve"> </w:t>
            </w:r>
            <w:r w:rsidRPr="00150EDC">
              <w:rPr>
                <w:sz w:val="24"/>
              </w:rPr>
              <w:t>10.4 (When CCS or the Buyer can end this contract) or</w:t>
            </w:r>
            <w:r w:rsidRPr="00150EDC">
              <w:rPr>
                <w:spacing w:val="-4"/>
                <w:sz w:val="24"/>
              </w:rPr>
              <w:t xml:space="preserve"> </w:t>
            </w:r>
            <w:r w:rsidRPr="00150EDC">
              <w:rPr>
                <w:sz w:val="24"/>
              </w:rPr>
              <w:t>10.6 (When the Supplier can end the contract);</w:t>
            </w:r>
          </w:p>
        </w:tc>
      </w:tr>
      <w:tr w:rsidR="004569EE" w:rsidRPr="007D3144" w14:paraId="424C2DCB" w14:textId="77777777">
        <w:trPr>
          <w:trHeight w:val="791"/>
        </w:trPr>
        <w:tc>
          <w:tcPr>
            <w:tcW w:w="2056" w:type="dxa"/>
          </w:tcPr>
          <w:p w14:paraId="5B6C2B8E" w14:textId="77777777" w:rsidR="004C7180" w:rsidRPr="00150EDC" w:rsidRDefault="00CF0754">
            <w:pPr>
              <w:pStyle w:val="TableParagraph"/>
              <w:spacing w:before="116" w:line="240" w:lineRule="auto"/>
              <w:ind w:left="50" w:right="43"/>
              <w:rPr>
                <w:b/>
                <w:sz w:val="24"/>
              </w:rPr>
            </w:pPr>
            <w:r w:rsidRPr="00150EDC">
              <w:rPr>
                <w:b/>
                <w:spacing w:val="-2"/>
                <w:sz w:val="24"/>
              </w:rPr>
              <w:t>"Relevant Transfer"</w:t>
            </w:r>
          </w:p>
        </w:tc>
        <w:tc>
          <w:tcPr>
            <w:tcW w:w="6138" w:type="dxa"/>
          </w:tcPr>
          <w:p w14:paraId="5FCFCF2F" w14:textId="77777777" w:rsidR="004C7180" w:rsidRPr="00150EDC" w:rsidRDefault="00CF0754">
            <w:pPr>
              <w:pStyle w:val="TableParagraph"/>
              <w:spacing w:before="116" w:line="240" w:lineRule="auto"/>
              <w:ind w:left="202" w:right="51"/>
              <w:rPr>
                <w:sz w:val="24"/>
              </w:rPr>
            </w:pPr>
            <w:r w:rsidRPr="00150EDC">
              <w:rPr>
                <w:sz w:val="24"/>
              </w:rPr>
              <w:t>a</w:t>
            </w:r>
            <w:r w:rsidRPr="00150EDC">
              <w:rPr>
                <w:spacing w:val="40"/>
                <w:sz w:val="24"/>
              </w:rPr>
              <w:t xml:space="preserve"> </w:t>
            </w:r>
            <w:r w:rsidRPr="00150EDC">
              <w:rPr>
                <w:sz w:val="24"/>
              </w:rPr>
              <w:t>transfer</w:t>
            </w:r>
            <w:r w:rsidRPr="00150EDC">
              <w:rPr>
                <w:spacing w:val="40"/>
                <w:sz w:val="24"/>
              </w:rPr>
              <w:t xml:space="preserve"> </w:t>
            </w:r>
            <w:r w:rsidRPr="00150EDC">
              <w:rPr>
                <w:sz w:val="24"/>
              </w:rPr>
              <w:t>of</w:t>
            </w:r>
            <w:r w:rsidRPr="00150EDC">
              <w:rPr>
                <w:spacing w:val="40"/>
                <w:sz w:val="24"/>
              </w:rPr>
              <w:t xml:space="preserve"> </w:t>
            </w:r>
            <w:r w:rsidRPr="00150EDC">
              <w:rPr>
                <w:sz w:val="24"/>
              </w:rPr>
              <w:t>employment</w:t>
            </w:r>
            <w:r w:rsidRPr="00150EDC">
              <w:rPr>
                <w:spacing w:val="40"/>
                <w:sz w:val="24"/>
              </w:rPr>
              <w:t xml:space="preserve"> </w:t>
            </w:r>
            <w:r w:rsidRPr="00150EDC">
              <w:rPr>
                <w:sz w:val="24"/>
              </w:rPr>
              <w:t>to</w:t>
            </w:r>
            <w:r w:rsidRPr="00150EDC">
              <w:rPr>
                <w:spacing w:val="40"/>
                <w:sz w:val="24"/>
              </w:rPr>
              <w:t xml:space="preserve"> </w:t>
            </w:r>
            <w:r w:rsidRPr="00150EDC">
              <w:rPr>
                <w:sz w:val="24"/>
              </w:rPr>
              <w:t>which</w:t>
            </w:r>
            <w:r w:rsidRPr="00150EDC">
              <w:rPr>
                <w:spacing w:val="40"/>
                <w:sz w:val="24"/>
              </w:rPr>
              <w:t xml:space="preserve"> </w:t>
            </w:r>
            <w:r w:rsidRPr="00150EDC">
              <w:rPr>
                <w:sz w:val="24"/>
              </w:rPr>
              <w:t>the</w:t>
            </w:r>
            <w:r w:rsidRPr="00150EDC">
              <w:rPr>
                <w:spacing w:val="40"/>
                <w:sz w:val="24"/>
              </w:rPr>
              <w:t xml:space="preserve"> </w:t>
            </w:r>
            <w:r w:rsidRPr="00150EDC">
              <w:rPr>
                <w:sz w:val="24"/>
              </w:rPr>
              <w:t>Employment Regulations applies;</w:t>
            </w:r>
          </w:p>
        </w:tc>
      </w:tr>
      <w:tr w:rsidR="004569EE" w:rsidRPr="007D3144" w14:paraId="0541FE75" w14:textId="77777777">
        <w:trPr>
          <w:trHeight w:val="1220"/>
        </w:trPr>
        <w:tc>
          <w:tcPr>
            <w:tcW w:w="2056" w:type="dxa"/>
          </w:tcPr>
          <w:p w14:paraId="7F8597EA" w14:textId="77777777" w:rsidR="004C7180" w:rsidRPr="00150EDC" w:rsidRDefault="00CF0754">
            <w:pPr>
              <w:pStyle w:val="TableParagraph"/>
              <w:spacing w:before="116" w:line="240" w:lineRule="auto"/>
              <w:ind w:left="50" w:right="43"/>
              <w:rPr>
                <w:b/>
                <w:sz w:val="24"/>
              </w:rPr>
            </w:pPr>
            <w:r w:rsidRPr="00150EDC">
              <w:rPr>
                <w:b/>
                <w:spacing w:val="-2"/>
                <w:sz w:val="24"/>
              </w:rPr>
              <w:t xml:space="preserve">"Relevant </w:t>
            </w:r>
            <w:r w:rsidRPr="00150EDC">
              <w:rPr>
                <w:b/>
                <w:sz w:val="24"/>
              </w:rPr>
              <w:t>Transfer</w:t>
            </w:r>
            <w:r w:rsidRPr="00150EDC">
              <w:rPr>
                <w:b/>
                <w:spacing w:val="-17"/>
                <w:sz w:val="24"/>
              </w:rPr>
              <w:t xml:space="preserve"> </w:t>
            </w:r>
            <w:r w:rsidRPr="00150EDC">
              <w:rPr>
                <w:b/>
                <w:sz w:val="24"/>
              </w:rPr>
              <w:t>Date"</w:t>
            </w:r>
          </w:p>
        </w:tc>
        <w:tc>
          <w:tcPr>
            <w:tcW w:w="6138" w:type="dxa"/>
          </w:tcPr>
          <w:p w14:paraId="4321DDAD" w14:textId="77777777" w:rsidR="004C7180" w:rsidRPr="00150EDC" w:rsidRDefault="00CF0754">
            <w:pPr>
              <w:pStyle w:val="TableParagraph"/>
              <w:spacing w:before="96" w:line="270" w:lineRule="atLeast"/>
              <w:ind w:left="202" w:right="50"/>
              <w:jc w:val="both"/>
              <w:rPr>
                <w:sz w:val="24"/>
              </w:rPr>
            </w:pPr>
            <w:r w:rsidRPr="00150EDC">
              <w:rPr>
                <w:sz w:val="24"/>
              </w:rPr>
              <w:t>in relation to a Relevant Transfer, the date upon which the Relevant Transfer takes place. For the purposes of Part</w:t>
            </w:r>
            <w:r w:rsidRPr="00150EDC">
              <w:rPr>
                <w:spacing w:val="-3"/>
                <w:sz w:val="24"/>
              </w:rPr>
              <w:t xml:space="preserve"> </w:t>
            </w:r>
            <w:r w:rsidRPr="00150EDC">
              <w:rPr>
                <w:sz w:val="24"/>
              </w:rPr>
              <w:t>D: Pensions and its Annexes, where the Supplier or</w:t>
            </w:r>
            <w:r w:rsidRPr="00150EDC">
              <w:rPr>
                <w:spacing w:val="12"/>
                <w:sz w:val="24"/>
              </w:rPr>
              <w:t xml:space="preserve"> </w:t>
            </w:r>
            <w:r w:rsidRPr="00150EDC">
              <w:rPr>
                <w:sz w:val="24"/>
              </w:rPr>
              <w:t>a</w:t>
            </w:r>
            <w:r w:rsidRPr="00150EDC">
              <w:rPr>
                <w:spacing w:val="17"/>
                <w:sz w:val="24"/>
              </w:rPr>
              <w:t xml:space="preserve"> </w:t>
            </w:r>
            <w:r w:rsidRPr="00150EDC">
              <w:rPr>
                <w:sz w:val="24"/>
              </w:rPr>
              <w:t>Subcontractor</w:t>
            </w:r>
            <w:r w:rsidRPr="00150EDC">
              <w:rPr>
                <w:spacing w:val="15"/>
                <w:sz w:val="24"/>
              </w:rPr>
              <w:t xml:space="preserve"> </w:t>
            </w:r>
            <w:r w:rsidRPr="00150EDC">
              <w:rPr>
                <w:sz w:val="24"/>
              </w:rPr>
              <w:t>was</w:t>
            </w:r>
            <w:r w:rsidRPr="00150EDC">
              <w:rPr>
                <w:spacing w:val="16"/>
                <w:sz w:val="24"/>
              </w:rPr>
              <w:t xml:space="preserve"> </w:t>
            </w:r>
            <w:r w:rsidRPr="00150EDC">
              <w:rPr>
                <w:sz w:val="24"/>
              </w:rPr>
              <w:t>the</w:t>
            </w:r>
            <w:r w:rsidRPr="00150EDC">
              <w:rPr>
                <w:spacing w:val="16"/>
                <w:sz w:val="24"/>
              </w:rPr>
              <w:t xml:space="preserve"> </w:t>
            </w:r>
            <w:r w:rsidRPr="00150EDC">
              <w:rPr>
                <w:sz w:val="24"/>
              </w:rPr>
              <w:t>Former</w:t>
            </w:r>
            <w:r w:rsidRPr="00150EDC">
              <w:rPr>
                <w:spacing w:val="15"/>
                <w:sz w:val="24"/>
              </w:rPr>
              <w:t xml:space="preserve"> </w:t>
            </w:r>
            <w:r w:rsidRPr="00150EDC">
              <w:rPr>
                <w:sz w:val="24"/>
              </w:rPr>
              <w:t>Supplier</w:t>
            </w:r>
            <w:r w:rsidRPr="00150EDC">
              <w:rPr>
                <w:spacing w:val="13"/>
                <w:sz w:val="24"/>
              </w:rPr>
              <w:t xml:space="preserve"> </w:t>
            </w:r>
            <w:r w:rsidRPr="00150EDC">
              <w:rPr>
                <w:sz w:val="24"/>
              </w:rPr>
              <w:t>and</w:t>
            </w:r>
            <w:r w:rsidRPr="00150EDC">
              <w:rPr>
                <w:spacing w:val="17"/>
                <w:sz w:val="24"/>
              </w:rPr>
              <w:t xml:space="preserve"> </w:t>
            </w:r>
            <w:r w:rsidRPr="00150EDC">
              <w:rPr>
                <w:spacing w:val="-2"/>
                <w:sz w:val="24"/>
              </w:rPr>
              <w:t>there</w:t>
            </w:r>
          </w:p>
        </w:tc>
      </w:tr>
    </w:tbl>
    <w:p w14:paraId="4FCB825B" w14:textId="77777777" w:rsidR="004C7180" w:rsidRPr="00150EDC" w:rsidRDefault="004C7180">
      <w:pPr>
        <w:spacing w:line="270" w:lineRule="atLeast"/>
        <w:jc w:val="both"/>
        <w:rPr>
          <w:sz w:val="24"/>
        </w:rPr>
        <w:sectPr w:rsidR="004C7180" w:rsidRPr="00150EDC">
          <w:pgSz w:w="11910" w:h="16840"/>
          <w:pgMar w:top="1380" w:right="0" w:bottom="1380" w:left="40" w:header="715" w:footer="1192" w:gutter="0"/>
          <w:cols w:space="720"/>
        </w:sectPr>
      </w:pPr>
    </w:p>
    <w:p w14:paraId="4D54AB35" w14:textId="77777777" w:rsidR="004C7180" w:rsidRPr="00150EDC" w:rsidRDefault="004C7180">
      <w:pPr>
        <w:pStyle w:val="BodyText"/>
        <w:spacing w:before="5"/>
        <w:rPr>
          <w:sz w:val="15"/>
        </w:rPr>
      </w:pPr>
    </w:p>
    <w:p w14:paraId="4438FB67" w14:textId="77777777" w:rsidR="004C7180" w:rsidRPr="00150EDC" w:rsidRDefault="004C7180">
      <w:pPr>
        <w:rPr>
          <w:sz w:val="15"/>
        </w:rPr>
        <w:sectPr w:rsidR="004C7180" w:rsidRPr="00150EDC">
          <w:pgSz w:w="11910" w:h="16840"/>
          <w:pgMar w:top="1380" w:right="0" w:bottom="1380" w:left="40" w:header="715" w:footer="1192" w:gutter="0"/>
          <w:cols w:space="720"/>
        </w:sectPr>
      </w:pPr>
    </w:p>
    <w:p w14:paraId="59116E84" w14:textId="77777777" w:rsidR="004C7180" w:rsidRPr="00150EDC" w:rsidRDefault="004C7180">
      <w:pPr>
        <w:pStyle w:val="BodyText"/>
        <w:rPr>
          <w:sz w:val="26"/>
        </w:rPr>
      </w:pPr>
    </w:p>
    <w:p w14:paraId="0CC99E77" w14:textId="77777777" w:rsidR="004C7180" w:rsidRPr="00150EDC" w:rsidRDefault="004C7180">
      <w:pPr>
        <w:pStyle w:val="BodyText"/>
        <w:rPr>
          <w:sz w:val="26"/>
        </w:rPr>
      </w:pPr>
    </w:p>
    <w:p w14:paraId="2DD0ECE9" w14:textId="77777777" w:rsidR="004C7180" w:rsidRPr="00150EDC" w:rsidRDefault="004C7180">
      <w:pPr>
        <w:pStyle w:val="BodyText"/>
        <w:rPr>
          <w:sz w:val="26"/>
        </w:rPr>
      </w:pPr>
    </w:p>
    <w:p w14:paraId="431D6A88" w14:textId="77777777" w:rsidR="004C7180" w:rsidRPr="00150EDC" w:rsidRDefault="004C7180">
      <w:pPr>
        <w:pStyle w:val="BodyText"/>
        <w:rPr>
          <w:sz w:val="26"/>
        </w:rPr>
      </w:pPr>
    </w:p>
    <w:p w14:paraId="5A8CAC9C" w14:textId="77777777" w:rsidR="004C7180" w:rsidRPr="00150EDC" w:rsidRDefault="004C7180">
      <w:pPr>
        <w:pStyle w:val="BodyText"/>
        <w:rPr>
          <w:sz w:val="26"/>
        </w:rPr>
      </w:pPr>
    </w:p>
    <w:p w14:paraId="61C6C844" w14:textId="77777777" w:rsidR="004C7180" w:rsidRPr="00150EDC" w:rsidRDefault="00CF0754">
      <w:pPr>
        <w:pStyle w:val="Heading4"/>
        <w:spacing w:before="217"/>
        <w:ind w:left="2108"/>
      </w:pPr>
      <w:r w:rsidRPr="00150EDC">
        <w:rPr>
          <w:spacing w:val="-2"/>
        </w:rPr>
        <w:t>"Staffing Information"</w:t>
      </w:r>
    </w:p>
    <w:p w14:paraId="21FDD29D" w14:textId="77777777" w:rsidR="004C7180" w:rsidRPr="00150EDC" w:rsidRDefault="00CF0754">
      <w:pPr>
        <w:pStyle w:val="BodyText"/>
        <w:spacing w:before="92"/>
        <w:ind w:left="734" w:right="1664"/>
        <w:jc w:val="both"/>
      </w:pPr>
      <w:r w:rsidRPr="00150EDC">
        <w:br w:type="column"/>
      </w:r>
      <w:r w:rsidRPr="00150EDC">
        <w:t xml:space="preserve">is no Relevant Transfer of the Fair Deal Employees because they remain continuously employed by the Supplier (or Subcontractor), references to the Relevant Transfer Date shall become references to the Start </w:t>
      </w:r>
      <w:r w:rsidRPr="00150EDC">
        <w:rPr>
          <w:spacing w:val="-2"/>
        </w:rPr>
        <w:t>Date;</w:t>
      </w:r>
    </w:p>
    <w:p w14:paraId="218598D2" w14:textId="77777777" w:rsidR="004C7180" w:rsidRPr="00150EDC" w:rsidRDefault="004C7180">
      <w:pPr>
        <w:pStyle w:val="BodyText"/>
        <w:spacing w:before="10"/>
        <w:rPr>
          <w:sz w:val="20"/>
        </w:rPr>
      </w:pPr>
    </w:p>
    <w:p w14:paraId="1D446438" w14:textId="77777777" w:rsidR="004C7180" w:rsidRPr="00150EDC" w:rsidRDefault="00CF0754">
      <w:pPr>
        <w:pStyle w:val="BodyText"/>
        <w:ind w:left="734" w:right="1665"/>
        <w:jc w:val="both"/>
      </w:pPr>
      <w:r w:rsidRPr="00150EDC">
        <w:t xml:space="preserve">in relation to all persons identified on the Supplier's Provisional Supplier Personnel List or Supplier's Final Supplier Personnel List, as the case may be, such information as the Buyer may reasonably request (subject to all applicable provisions of the Data Protection Legislation), but including in an anonymised </w:t>
      </w:r>
      <w:r w:rsidRPr="00150EDC">
        <w:rPr>
          <w:spacing w:val="-2"/>
        </w:rPr>
        <w:t>format:</w:t>
      </w:r>
    </w:p>
    <w:p w14:paraId="63C56719" w14:textId="77777777" w:rsidR="004C7180" w:rsidRPr="00150EDC" w:rsidRDefault="00CF0754" w:rsidP="00B320C7">
      <w:pPr>
        <w:pStyle w:val="ListParagraph"/>
        <w:numPr>
          <w:ilvl w:val="0"/>
          <w:numId w:val="88"/>
        </w:numPr>
        <w:tabs>
          <w:tab w:val="left" w:pos="1452"/>
          <w:tab w:val="left" w:pos="1454"/>
        </w:tabs>
        <w:spacing w:before="121"/>
        <w:ind w:right="1665"/>
        <w:jc w:val="both"/>
        <w:rPr>
          <w:sz w:val="24"/>
        </w:rPr>
      </w:pPr>
      <w:r w:rsidRPr="00150EDC">
        <w:rPr>
          <w:sz w:val="24"/>
        </w:rPr>
        <w:t>their ages, dates of commencement of employment</w:t>
      </w:r>
      <w:r w:rsidRPr="00150EDC">
        <w:rPr>
          <w:spacing w:val="-17"/>
          <w:sz w:val="24"/>
        </w:rPr>
        <w:t xml:space="preserve"> </w:t>
      </w:r>
      <w:r w:rsidRPr="00150EDC">
        <w:rPr>
          <w:sz w:val="24"/>
        </w:rPr>
        <w:t>or</w:t>
      </w:r>
      <w:r w:rsidRPr="00150EDC">
        <w:rPr>
          <w:spacing w:val="-17"/>
          <w:sz w:val="24"/>
        </w:rPr>
        <w:t xml:space="preserve"> </w:t>
      </w:r>
      <w:r w:rsidRPr="00150EDC">
        <w:rPr>
          <w:sz w:val="24"/>
        </w:rPr>
        <w:t>engagement,</w:t>
      </w:r>
      <w:r w:rsidRPr="00150EDC">
        <w:rPr>
          <w:spacing w:val="-16"/>
          <w:sz w:val="24"/>
        </w:rPr>
        <w:t xml:space="preserve"> </w:t>
      </w:r>
      <w:r w:rsidRPr="00150EDC">
        <w:rPr>
          <w:sz w:val="24"/>
        </w:rPr>
        <w:t>gender</w:t>
      </w:r>
      <w:r w:rsidRPr="00150EDC">
        <w:rPr>
          <w:spacing w:val="-17"/>
          <w:sz w:val="24"/>
        </w:rPr>
        <w:t xml:space="preserve"> </w:t>
      </w:r>
      <w:r w:rsidRPr="00150EDC">
        <w:rPr>
          <w:sz w:val="24"/>
        </w:rPr>
        <w:t>and</w:t>
      </w:r>
      <w:r w:rsidRPr="00150EDC">
        <w:rPr>
          <w:spacing w:val="-17"/>
          <w:sz w:val="24"/>
        </w:rPr>
        <w:t xml:space="preserve"> </w:t>
      </w:r>
      <w:r w:rsidRPr="00150EDC">
        <w:rPr>
          <w:sz w:val="24"/>
        </w:rPr>
        <w:t>place</w:t>
      </w:r>
      <w:r w:rsidRPr="00150EDC">
        <w:rPr>
          <w:spacing w:val="-17"/>
          <w:sz w:val="24"/>
        </w:rPr>
        <w:t xml:space="preserve"> </w:t>
      </w:r>
      <w:r w:rsidRPr="00150EDC">
        <w:rPr>
          <w:sz w:val="24"/>
        </w:rPr>
        <w:t xml:space="preserve">of </w:t>
      </w:r>
      <w:r w:rsidRPr="00150EDC">
        <w:rPr>
          <w:spacing w:val="-2"/>
          <w:sz w:val="24"/>
        </w:rPr>
        <w:t>work;</w:t>
      </w:r>
    </w:p>
    <w:p w14:paraId="2711111C" w14:textId="77777777" w:rsidR="004C7180" w:rsidRPr="00150EDC" w:rsidRDefault="004C7180">
      <w:pPr>
        <w:pStyle w:val="BodyText"/>
        <w:spacing w:before="10"/>
        <w:rPr>
          <w:sz w:val="20"/>
        </w:rPr>
      </w:pPr>
    </w:p>
    <w:p w14:paraId="54CA2FA5" w14:textId="77777777" w:rsidR="004C7180" w:rsidRPr="00150EDC" w:rsidRDefault="00CF0754" w:rsidP="00B320C7">
      <w:pPr>
        <w:pStyle w:val="ListParagraph"/>
        <w:numPr>
          <w:ilvl w:val="0"/>
          <w:numId w:val="88"/>
        </w:numPr>
        <w:tabs>
          <w:tab w:val="left" w:pos="1452"/>
          <w:tab w:val="left" w:pos="1454"/>
        </w:tabs>
        <w:ind w:right="1667"/>
        <w:jc w:val="both"/>
        <w:rPr>
          <w:sz w:val="24"/>
        </w:rPr>
      </w:pPr>
      <w:r w:rsidRPr="00150EDC">
        <w:rPr>
          <w:sz w:val="24"/>
        </w:rPr>
        <w:t>details of whether they are employed, self- employed contractors or consultants, agency workers or otherwise;</w:t>
      </w:r>
    </w:p>
    <w:p w14:paraId="6B92A9ED" w14:textId="77777777" w:rsidR="004C7180" w:rsidRPr="00150EDC" w:rsidRDefault="004C7180">
      <w:pPr>
        <w:pStyle w:val="BodyText"/>
        <w:spacing w:before="10"/>
        <w:rPr>
          <w:sz w:val="20"/>
        </w:rPr>
      </w:pPr>
    </w:p>
    <w:p w14:paraId="748DD2E5" w14:textId="77777777" w:rsidR="004C7180" w:rsidRPr="00150EDC" w:rsidRDefault="00CF0754" w:rsidP="00B320C7">
      <w:pPr>
        <w:pStyle w:val="ListParagraph"/>
        <w:numPr>
          <w:ilvl w:val="0"/>
          <w:numId w:val="88"/>
        </w:numPr>
        <w:tabs>
          <w:tab w:val="left" w:pos="1387"/>
          <w:tab w:val="left" w:pos="1389"/>
        </w:tabs>
        <w:ind w:left="1389" w:right="1665" w:hanging="656"/>
        <w:jc w:val="both"/>
        <w:rPr>
          <w:sz w:val="24"/>
        </w:rPr>
      </w:pPr>
      <w:r w:rsidRPr="00150EDC">
        <w:rPr>
          <w:sz w:val="24"/>
        </w:rPr>
        <w:t>the</w:t>
      </w:r>
      <w:r w:rsidRPr="00150EDC">
        <w:rPr>
          <w:spacing w:val="-17"/>
          <w:sz w:val="24"/>
        </w:rPr>
        <w:t xml:space="preserve"> </w:t>
      </w:r>
      <w:r w:rsidRPr="00150EDC">
        <w:rPr>
          <w:sz w:val="24"/>
        </w:rPr>
        <w:t>identity</w:t>
      </w:r>
      <w:r w:rsidRPr="00150EDC">
        <w:rPr>
          <w:spacing w:val="-17"/>
          <w:sz w:val="24"/>
        </w:rPr>
        <w:t xml:space="preserve"> </w:t>
      </w:r>
      <w:r w:rsidRPr="00150EDC">
        <w:rPr>
          <w:sz w:val="24"/>
        </w:rPr>
        <w:t>of</w:t>
      </w:r>
      <w:r w:rsidRPr="00150EDC">
        <w:rPr>
          <w:spacing w:val="-16"/>
          <w:sz w:val="24"/>
        </w:rPr>
        <w:t xml:space="preserve"> </w:t>
      </w:r>
      <w:r w:rsidRPr="00150EDC">
        <w:rPr>
          <w:sz w:val="24"/>
        </w:rPr>
        <w:t>the</w:t>
      </w:r>
      <w:r w:rsidRPr="00150EDC">
        <w:rPr>
          <w:spacing w:val="-17"/>
          <w:sz w:val="24"/>
        </w:rPr>
        <w:t xml:space="preserve"> </w:t>
      </w:r>
      <w:r w:rsidRPr="00150EDC">
        <w:rPr>
          <w:sz w:val="24"/>
        </w:rPr>
        <w:t>employer</w:t>
      </w:r>
      <w:r w:rsidRPr="00150EDC">
        <w:rPr>
          <w:spacing w:val="-17"/>
          <w:sz w:val="24"/>
        </w:rPr>
        <w:t xml:space="preserve"> </w:t>
      </w:r>
      <w:r w:rsidRPr="00150EDC">
        <w:rPr>
          <w:sz w:val="24"/>
        </w:rPr>
        <w:t>or</w:t>
      </w:r>
      <w:r w:rsidRPr="00150EDC">
        <w:rPr>
          <w:spacing w:val="-17"/>
          <w:sz w:val="24"/>
        </w:rPr>
        <w:t xml:space="preserve"> </w:t>
      </w:r>
      <w:r w:rsidRPr="00150EDC">
        <w:rPr>
          <w:sz w:val="24"/>
        </w:rPr>
        <w:t>relevant</w:t>
      </w:r>
      <w:r w:rsidRPr="00150EDC">
        <w:rPr>
          <w:spacing w:val="-16"/>
          <w:sz w:val="24"/>
        </w:rPr>
        <w:t xml:space="preserve"> </w:t>
      </w:r>
      <w:r w:rsidRPr="00150EDC">
        <w:rPr>
          <w:sz w:val="24"/>
        </w:rPr>
        <w:t xml:space="preserve">contracting </w:t>
      </w:r>
      <w:r w:rsidRPr="00150EDC">
        <w:rPr>
          <w:spacing w:val="-2"/>
          <w:sz w:val="24"/>
        </w:rPr>
        <w:t>Party;</w:t>
      </w:r>
    </w:p>
    <w:p w14:paraId="7FE0874F" w14:textId="77777777" w:rsidR="004C7180" w:rsidRPr="00150EDC" w:rsidRDefault="004C7180">
      <w:pPr>
        <w:pStyle w:val="BodyText"/>
        <w:spacing w:before="10"/>
        <w:rPr>
          <w:sz w:val="20"/>
        </w:rPr>
      </w:pPr>
    </w:p>
    <w:p w14:paraId="63B3E618" w14:textId="77777777" w:rsidR="004C7180" w:rsidRPr="00150EDC" w:rsidRDefault="00CF0754" w:rsidP="00B320C7">
      <w:pPr>
        <w:pStyle w:val="ListParagraph"/>
        <w:numPr>
          <w:ilvl w:val="0"/>
          <w:numId w:val="88"/>
        </w:numPr>
        <w:tabs>
          <w:tab w:val="left" w:pos="1452"/>
          <w:tab w:val="left" w:pos="1454"/>
        </w:tabs>
        <w:ind w:right="1665"/>
        <w:jc w:val="both"/>
        <w:rPr>
          <w:sz w:val="24"/>
        </w:rPr>
      </w:pPr>
      <w:r w:rsidRPr="00150EDC">
        <w:rPr>
          <w:sz w:val="24"/>
        </w:rPr>
        <w:t>their relevant contractual notice periods and any other terms relating to termination of employment, including redundancy procedures, and redundancy payments;</w:t>
      </w:r>
    </w:p>
    <w:p w14:paraId="078F256D" w14:textId="77777777" w:rsidR="004C7180" w:rsidRPr="00150EDC" w:rsidRDefault="004C7180">
      <w:pPr>
        <w:pStyle w:val="BodyText"/>
        <w:spacing w:before="10"/>
        <w:rPr>
          <w:sz w:val="20"/>
        </w:rPr>
      </w:pPr>
    </w:p>
    <w:p w14:paraId="199B7FFF" w14:textId="77777777" w:rsidR="004C7180" w:rsidRPr="00150EDC" w:rsidRDefault="00CF0754" w:rsidP="00B320C7">
      <w:pPr>
        <w:pStyle w:val="ListParagraph"/>
        <w:numPr>
          <w:ilvl w:val="0"/>
          <w:numId w:val="88"/>
        </w:numPr>
        <w:tabs>
          <w:tab w:val="left" w:pos="1452"/>
          <w:tab w:val="left" w:pos="1454"/>
        </w:tabs>
        <w:ind w:right="1668"/>
        <w:jc w:val="both"/>
        <w:rPr>
          <w:sz w:val="24"/>
        </w:rPr>
      </w:pPr>
      <w:r w:rsidRPr="00150EDC">
        <w:rPr>
          <w:sz w:val="24"/>
        </w:rPr>
        <w:t>their</w:t>
      </w:r>
      <w:r w:rsidRPr="00150EDC">
        <w:rPr>
          <w:spacing w:val="-3"/>
          <w:sz w:val="24"/>
        </w:rPr>
        <w:t xml:space="preserve"> </w:t>
      </w:r>
      <w:r w:rsidRPr="00150EDC">
        <w:rPr>
          <w:sz w:val="24"/>
        </w:rPr>
        <w:t>wages,</w:t>
      </w:r>
      <w:r w:rsidRPr="00150EDC">
        <w:rPr>
          <w:spacing w:val="-4"/>
          <w:sz w:val="24"/>
        </w:rPr>
        <w:t xml:space="preserve"> </w:t>
      </w:r>
      <w:r w:rsidRPr="00150EDC">
        <w:rPr>
          <w:sz w:val="24"/>
        </w:rPr>
        <w:t>salaries,</w:t>
      </w:r>
      <w:r w:rsidRPr="00150EDC">
        <w:rPr>
          <w:spacing w:val="-7"/>
          <w:sz w:val="24"/>
        </w:rPr>
        <w:t xml:space="preserve"> </w:t>
      </w:r>
      <w:r w:rsidRPr="00150EDC">
        <w:rPr>
          <w:sz w:val="24"/>
        </w:rPr>
        <w:t>bonuses</w:t>
      </w:r>
      <w:r w:rsidRPr="00150EDC">
        <w:rPr>
          <w:spacing w:val="-5"/>
          <w:sz w:val="24"/>
        </w:rPr>
        <w:t xml:space="preserve"> </w:t>
      </w:r>
      <w:r w:rsidRPr="00150EDC">
        <w:rPr>
          <w:sz w:val="24"/>
        </w:rPr>
        <w:t>and</w:t>
      </w:r>
      <w:r w:rsidRPr="00150EDC">
        <w:rPr>
          <w:spacing w:val="-4"/>
          <w:sz w:val="24"/>
        </w:rPr>
        <w:t xml:space="preserve"> </w:t>
      </w:r>
      <w:r w:rsidRPr="00150EDC">
        <w:rPr>
          <w:sz w:val="24"/>
        </w:rPr>
        <w:t>profit</w:t>
      </w:r>
      <w:r w:rsidRPr="00150EDC">
        <w:rPr>
          <w:spacing w:val="-2"/>
          <w:sz w:val="24"/>
        </w:rPr>
        <w:t xml:space="preserve"> </w:t>
      </w:r>
      <w:r w:rsidRPr="00150EDC">
        <w:rPr>
          <w:sz w:val="24"/>
        </w:rPr>
        <w:t>sharing arrangements as applicable;</w:t>
      </w:r>
    </w:p>
    <w:p w14:paraId="7D8A125B" w14:textId="77777777" w:rsidR="004C7180" w:rsidRPr="00150EDC" w:rsidRDefault="004C7180">
      <w:pPr>
        <w:pStyle w:val="BodyText"/>
        <w:spacing w:before="10"/>
        <w:rPr>
          <w:sz w:val="20"/>
        </w:rPr>
      </w:pPr>
    </w:p>
    <w:p w14:paraId="34EF1A28" w14:textId="77777777" w:rsidR="004C7180" w:rsidRPr="00150EDC" w:rsidRDefault="00CF0754" w:rsidP="00B320C7">
      <w:pPr>
        <w:pStyle w:val="ListParagraph"/>
        <w:numPr>
          <w:ilvl w:val="0"/>
          <w:numId w:val="88"/>
        </w:numPr>
        <w:tabs>
          <w:tab w:val="left" w:pos="1452"/>
          <w:tab w:val="left" w:pos="1454"/>
        </w:tabs>
        <w:ind w:right="1667"/>
        <w:jc w:val="both"/>
        <w:rPr>
          <w:sz w:val="24"/>
        </w:rPr>
      </w:pPr>
      <w:r w:rsidRPr="00150EDC">
        <w:rPr>
          <w:sz w:val="24"/>
        </w:rPr>
        <w:t>details of other employment-related benefits, including (without limitation) medical insurance, life assurance, pension or other retirement benefit schemes, share option schemes and company car schedules applicable to them;</w:t>
      </w:r>
    </w:p>
    <w:p w14:paraId="53CB35FD" w14:textId="77777777" w:rsidR="004C7180" w:rsidRPr="00150EDC" w:rsidRDefault="004C7180">
      <w:pPr>
        <w:pStyle w:val="BodyText"/>
        <w:spacing w:before="8"/>
        <w:rPr>
          <w:sz w:val="20"/>
        </w:rPr>
      </w:pPr>
    </w:p>
    <w:p w14:paraId="35E3135C" w14:textId="77777777" w:rsidR="004C7180" w:rsidRPr="00150EDC" w:rsidRDefault="00CF0754" w:rsidP="00B320C7">
      <w:pPr>
        <w:pStyle w:val="ListParagraph"/>
        <w:numPr>
          <w:ilvl w:val="0"/>
          <w:numId w:val="88"/>
        </w:numPr>
        <w:tabs>
          <w:tab w:val="left" w:pos="1452"/>
          <w:tab w:val="left" w:pos="1454"/>
        </w:tabs>
        <w:ind w:right="1666"/>
        <w:jc w:val="both"/>
        <w:rPr>
          <w:sz w:val="24"/>
        </w:rPr>
      </w:pPr>
      <w:r w:rsidRPr="00150EDC">
        <w:rPr>
          <w:sz w:val="24"/>
        </w:rPr>
        <w:t>any outstanding or potential contractual, statutory or other liabilities in respect of such individuals</w:t>
      </w:r>
      <w:r w:rsidRPr="00150EDC">
        <w:rPr>
          <w:spacing w:val="-15"/>
          <w:sz w:val="24"/>
        </w:rPr>
        <w:t xml:space="preserve"> </w:t>
      </w:r>
      <w:r w:rsidRPr="00150EDC">
        <w:rPr>
          <w:sz w:val="24"/>
        </w:rPr>
        <w:t>(including</w:t>
      </w:r>
      <w:r w:rsidRPr="00150EDC">
        <w:rPr>
          <w:spacing w:val="-14"/>
          <w:sz w:val="24"/>
        </w:rPr>
        <w:t xml:space="preserve"> </w:t>
      </w:r>
      <w:r w:rsidRPr="00150EDC">
        <w:rPr>
          <w:sz w:val="24"/>
        </w:rPr>
        <w:t>in</w:t>
      </w:r>
      <w:r w:rsidRPr="00150EDC">
        <w:rPr>
          <w:spacing w:val="-16"/>
          <w:sz w:val="24"/>
        </w:rPr>
        <w:t xml:space="preserve"> </w:t>
      </w:r>
      <w:r w:rsidRPr="00150EDC">
        <w:rPr>
          <w:sz w:val="24"/>
        </w:rPr>
        <w:t>respect</w:t>
      </w:r>
      <w:r w:rsidRPr="00150EDC">
        <w:rPr>
          <w:spacing w:val="-16"/>
          <w:sz w:val="24"/>
        </w:rPr>
        <w:t xml:space="preserve"> </w:t>
      </w:r>
      <w:r w:rsidRPr="00150EDC">
        <w:rPr>
          <w:sz w:val="24"/>
        </w:rPr>
        <w:t>of</w:t>
      </w:r>
      <w:r w:rsidRPr="00150EDC">
        <w:rPr>
          <w:spacing w:val="-16"/>
          <w:sz w:val="24"/>
        </w:rPr>
        <w:t xml:space="preserve"> </w:t>
      </w:r>
      <w:r w:rsidRPr="00150EDC">
        <w:rPr>
          <w:sz w:val="24"/>
        </w:rPr>
        <w:t>personal</w:t>
      </w:r>
      <w:r w:rsidRPr="00150EDC">
        <w:rPr>
          <w:spacing w:val="-15"/>
          <w:sz w:val="24"/>
        </w:rPr>
        <w:t xml:space="preserve"> </w:t>
      </w:r>
      <w:r w:rsidRPr="00150EDC">
        <w:rPr>
          <w:sz w:val="24"/>
        </w:rPr>
        <w:t xml:space="preserve">injury </w:t>
      </w:r>
      <w:r w:rsidRPr="00150EDC">
        <w:rPr>
          <w:spacing w:val="-2"/>
          <w:sz w:val="24"/>
        </w:rPr>
        <w:t>claims);</w:t>
      </w:r>
    </w:p>
    <w:p w14:paraId="636A9234" w14:textId="77777777" w:rsidR="004C7180" w:rsidRPr="00150EDC" w:rsidRDefault="004C7180">
      <w:pPr>
        <w:pStyle w:val="BodyText"/>
        <w:spacing w:before="10"/>
        <w:rPr>
          <w:sz w:val="20"/>
        </w:rPr>
      </w:pPr>
    </w:p>
    <w:p w14:paraId="0A77B04F" w14:textId="77777777" w:rsidR="004C7180" w:rsidRPr="00150EDC" w:rsidRDefault="00CF0754" w:rsidP="00B320C7">
      <w:pPr>
        <w:pStyle w:val="ListParagraph"/>
        <w:numPr>
          <w:ilvl w:val="0"/>
          <w:numId w:val="88"/>
        </w:numPr>
        <w:tabs>
          <w:tab w:val="left" w:pos="1452"/>
          <w:tab w:val="left" w:pos="1454"/>
        </w:tabs>
        <w:ind w:right="1667"/>
        <w:jc w:val="both"/>
        <w:rPr>
          <w:sz w:val="24"/>
        </w:rPr>
      </w:pPr>
      <w:r w:rsidRPr="00150EDC">
        <w:rPr>
          <w:sz w:val="24"/>
        </w:rPr>
        <w:t>details of any such individuals on long term sickness absence, parental leave, maternity leave or other authorised long term absence;</w:t>
      </w:r>
    </w:p>
    <w:p w14:paraId="2CB36AE4" w14:textId="77777777" w:rsidR="004C7180" w:rsidRPr="00150EDC" w:rsidRDefault="004C7180">
      <w:pPr>
        <w:pStyle w:val="BodyText"/>
        <w:spacing w:before="10"/>
        <w:rPr>
          <w:sz w:val="20"/>
        </w:rPr>
      </w:pPr>
    </w:p>
    <w:p w14:paraId="7A187C66" w14:textId="77777777" w:rsidR="004C7180" w:rsidRPr="00150EDC" w:rsidRDefault="00CF0754" w:rsidP="00B320C7">
      <w:pPr>
        <w:pStyle w:val="ListParagraph"/>
        <w:numPr>
          <w:ilvl w:val="0"/>
          <w:numId w:val="88"/>
        </w:numPr>
        <w:tabs>
          <w:tab w:val="left" w:pos="1452"/>
          <w:tab w:val="left" w:pos="1454"/>
        </w:tabs>
        <w:ind w:right="1664"/>
        <w:jc w:val="both"/>
        <w:rPr>
          <w:sz w:val="24"/>
        </w:rPr>
      </w:pPr>
      <w:r w:rsidRPr="00150EDC">
        <w:rPr>
          <w:sz w:val="24"/>
        </w:rPr>
        <w:t>copies of all relevant documents and materials relating to such information, including copies of</w:t>
      </w:r>
    </w:p>
    <w:p w14:paraId="18695183" w14:textId="77777777" w:rsidR="004C7180" w:rsidRPr="00150EDC" w:rsidRDefault="004C7180">
      <w:pPr>
        <w:jc w:val="both"/>
        <w:rPr>
          <w:sz w:val="24"/>
        </w:rPr>
        <w:sectPr w:rsidR="004C7180" w:rsidRPr="00150EDC">
          <w:type w:val="continuous"/>
          <w:pgSz w:w="11910" w:h="16840"/>
          <w:pgMar w:top="1140" w:right="0" w:bottom="280" w:left="40" w:header="715" w:footer="1192" w:gutter="0"/>
          <w:cols w:num="2" w:space="720" w:equalWidth="0">
            <w:col w:w="3542" w:space="40"/>
            <w:col w:w="8288"/>
          </w:cols>
        </w:sectPr>
      </w:pPr>
    </w:p>
    <w:p w14:paraId="1B68DD31" w14:textId="77777777" w:rsidR="004C7180" w:rsidRPr="00150EDC" w:rsidRDefault="004C7180">
      <w:pPr>
        <w:pStyle w:val="BodyText"/>
        <w:spacing w:before="5"/>
        <w:rPr>
          <w:sz w:val="15"/>
        </w:rPr>
      </w:pPr>
    </w:p>
    <w:p w14:paraId="20FA6909" w14:textId="77777777" w:rsidR="004C7180" w:rsidRPr="00150EDC" w:rsidRDefault="004C7180">
      <w:pPr>
        <w:rPr>
          <w:sz w:val="15"/>
        </w:rPr>
        <w:sectPr w:rsidR="004C7180" w:rsidRPr="00150EDC">
          <w:pgSz w:w="11910" w:h="16840"/>
          <w:pgMar w:top="1380" w:right="0" w:bottom="1380" w:left="40" w:header="715" w:footer="1192" w:gutter="0"/>
          <w:cols w:space="720"/>
        </w:sectPr>
      </w:pPr>
    </w:p>
    <w:p w14:paraId="419C35A4" w14:textId="77777777" w:rsidR="004C7180" w:rsidRPr="00150EDC" w:rsidRDefault="004C7180">
      <w:pPr>
        <w:pStyle w:val="BodyText"/>
        <w:rPr>
          <w:sz w:val="26"/>
        </w:rPr>
      </w:pPr>
    </w:p>
    <w:p w14:paraId="20C2B756" w14:textId="77777777" w:rsidR="004C7180" w:rsidRPr="00150EDC" w:rsidRDefault="004C7180">
      <w:pPr>
        <w:pStyle w:val="BodyText"/>
        <w:rPr>
          <w:sz w:val="26"/>
        </w:rPr>
      </w:pPr>
    </w:p>
    <w:p w14:paraId="69002127" w14:textId="77777777" w:rsidR="004C7180" w:rsidRPr="00150EDC" w:rsidRDefault="004C7180">
      <w:pPr>
        <w:pStyle w:val="BodyText"/>
        <w:rPr>
          <w:sz w:val="26"/>
        </w:rPr>
      </w:pPr>
    </w:p>
    <w:p w14:paraId="4504B6E0" w14:textId="77777777" w:rsidR="004C7180" w:rsidRPr="00150EDC" w:rsidRDefault="004C7180">
      <w:pPr>
        <w:pStyle w:val="BodyText"/>
        <w:rPr>
          <w:sz w:val="26"/>
        </w:rPr>
      </w:pPr>
    </w:p>
    <w:p w14:paraId="60E883D1" w14:textId="77777777" w:rsidR="004C7180" w:rsidRPr="00150EDC" w:rsidRDefault="004C7180">
      <w:pPr>
        <w:pStyle w:val="BodyText"/>
        <w:rPr>
          <w:sz w:val="26"/>
        </w:rPr>
      </w:pPr>
    </w:p>
    <w:p w14:paraId="5315DDF7" w14:textId="77777777" w:rsidR="004C7180" w:rsidRPr="00150EDC" w:rsidRDefault="004C7180">
      <w:pPr>
        <w:pStyle w:val="BodyText"/>
        <w:rPr>
          <w:sz w:val="26"/>
        </w:rPr>
      </w:pPr>
    </w:p>
    <w:p w14:paraId="08F11BEF" w14:textId="77777777" w:rsidR="004C7180" w:rsidRPr="00150EDC" w:rsidRDefault="004C7180">
      <w:pPr>
        <w:pStyle w:val="BodyText"/>
        <w:spacing w:before="9"/>
        <w:rPr>
          <w:sz w:val="37"/>
        </w:rPr>
      </w:pPr>
    </w:p>
    <w:p w14:paraId="24C95314" w14:textId="77777777" w:rsidR="004C7180" w:rsidRPr="00150EDC" w:rsidRDefault="00CF0754">
      <w:pPr>
        <w:pStyle w:val="Heading4"/>
        <w:ind w:left="2108"/>
      </w:pPr>
      <w:r w:rsidRPr="00150EDC">
        <w:t>"Supplier's</w:t>
      </w:r>
      <w:r w:rsidRPr="00150EDC">
        <w:rPr>
          <w:spacing w:val="40"/>
        </w:rPr>
        <w:t xml:space="preserve"> </w:t>
      </w:r>
      <w:r w:rsidRPr="00150EDC">
        <w:t xml:space="preserve">Final </w:t>
      </w:r>
      <w:r w:rsidRPr="00150EDC">
        <w:rPr>
          <w:spacing w:val="-2"/>
        </w:rPr>
        <w:t xml:space="preserve">Supplier </w:t>
      </w:r>
      <w:r w:rsidRPr="00150EDC">
        <w:t>Personnel List"</w:t>
      </w:r>
    </w:p>
    <w:p w14:paraId="5A84E308" w14:textId="77777777" w:rsidR="004C7180" w:rsidRPr="00150EDC" w:rsidRDefault="004C7180">
      <w:pPr>
        <w:pStyle w:val="BodyText"/>
        <w:spacing w:before="10"/>
        <w:rPr>
          <w:b/>
          <w:sz w:val="20"/>
        </w:rPr>
      </w:pPr>
    </w:p>
    <w:p w14:paraId="37068FA9" w14:textId="77777777" w:rsidR="004C7180" w:rsidRPr="00150EDC" w:rsidRDefault="00CF0754">
      <w:pPr>
        <w:ind w:left="2108"/>
        <w:rPr>
          <w:b/>
          <w:sz w:val="24"/>
        </w:rPr>
      </w:pPr>
      <w:r w:rsidRPr="00150EDC">
        <w:rPr>
          <w:b/>
          <w:spacing w:val="-2"/>
          <w:sz w:val="24"/>
        </w:rPr>
        <w:t xml:space="preserve">"Supplier's Provisional Supplier </w:t>
      </w:r>
      <w:r w:rsidRPr="00150EDC">
        <w:rPr>
          <w:b/>
          <w:sz w:val="24"/>
        </w:rPr>
        <w:t>Personnel</w:t>
      </w:r>
      <w:r w:rsidRPr="00150EDC">
        <w:rPr>
          <w:b/>
          <w:spacing w:val="-17"/>
          <w:sz w:val="24"/>
        </w:rPr>
        <w:t xml:space="preserve"> </w:t>
      </w:r>
      <w:r w:rsidRPr="00150EDC">
        <w:rPr>
          <w:b/>
          <w:sz w:val="24"/>
        </w:rPr>
        <w:t>List"</w:t>
      </w:r>
    </w:p>
    <w:p w14:paraId="11C21380" w14:textId="77777777" w:rsidR="004C7180" w:rsidRPr="00150EDC" w:rsidRDefault="00CF0754">
      <w:pPr>
        <w:pStyle w:val="BodyText"/>
        <w:spacing w:before="92"/>
        <w:ind w:left="908" w:right="1664"/>
        <w:jc w:val="both"/>
      </w:pPr>
      <w:r w:rsidRPr="00150EDC">
        <w:br w:type="column"/>
      </w:r>
      <w:r w:rsidRPr="00150EDC">
        <w:t>relevant contracts of employment (or relevant standard</w:t>
      </w:r>
      <w:r w:rsidRPr="00150EDC">
        <w:rPr>
          <w:spacing w:val="-3"/>
        </w:rPr>
        <w:t xml:space="preserve"> </w:t>
      </w:r>
      <w:r w:rsidRPr="00150EDC">
        <w:t>contracts</w:t>
      </w:r>
      <w:r w:rsidRPr="00150EDC">
        <w:rPr>
          <w:spacing w:val="-4"/>
        </w:rPr>
        <w:t xml:space="preserve"> </w:t>
      </w:r>
      <w:r w:rsidRPr="00150EDC">
        <w:t>if</w:t>
      </w:r>
      <w:r w:rsidRPr="00150EDC">
        <w:rPr>
          <w:spacing w:val="-5"/>
        </w:rPr>
        <w:t xml:space="preserve"> </w:t>
      </w:r>
      <w:r w:rsidRPr="00150EDC">
        <w:t>applied</w:t>
      </w:r>
      <w:r w:rsidRPr="00150EDC">
        <w:rPr>
          <w:spacing w:val="-5"/>
        </w:rPr>
        <w:t xml:space="preserve"> </w:t>
      </w:r>
      <w:r w:rsidRPr="00150EDC">
        <w:t>generally</w:t>
      </w:r>
      <w:r w:rsidRPr="00150EDC">
        <w:rPr>
          <w:spacing w:val="-4"/>
        </w:rPr>
        <w:t xml:space="preserve"> </w:t>
      </w:r>
      <w:r w:rsidRPr="00150EDC">
        <w:t>in</w:t>
      </w:r>
      <w:r w:rsidRPr="00150EDC">
        <w:rPr>
          <w:spacing w:val="-3"/>
        </w:rPr>
        <w:t xml:space="preserve"> </w:t>
      </w:r>
      <w:r w:rsidRPr="00150EDC">
        <w:t>respect of such employees); and</w:t>
      </w:r>
    </w:p>
    <w:p w14:paraId="5D72C574" w14:textId="77777777" w:rsidR="004C7180" w:rsidRPr="00150EDC" w:rsidRDefault="004C7180">
      <w:pPr>
        <w:pStyle w:val="BodyText"/>
        <w:spacing w:before="10"/>
        <w:rPr>
          <w:sz w:val="20"/>
        </w:rPr>
      </w:pPr>
    </w:p>
    <w:p w14:paraId="170DD693" w14:textId="77777777" w:rsidR="004C7180" w:rsidRPr="00150EDC" w:rsidRDefault="00CF0754" w:rsidP="00B320C7">
      <w:pPr>
        <w:pStyle w:val="ListParagraph"/>
        <w:numPr>
          <w:ilvl w:val="0"/>
          <w:numId w:val="88"/>
        </w:numPr>
        <w:tabs>
          <w:tab w:val="left" w:pos="906"/>
          <w:tab w:val="left" w:pos="908"/>
        </w:tabs>
        <w:ind w:left="908" w:right="1665"/>
        <w:jc w:val="both"/>
        <w:rPr>
          <w:sz w:val="24"/>
        </w:rPr>
      </w:pPr>
      <w:r w:rsidRPr="00150EDC">
        <w:rPr>
          <w:sz w:val="24"/>
        </w:rPr>
        <w:t>any</w:t>
      </w:r>
      <w:r w:rsidRPr="00150EDC">
        <w:rPr>
          <w:spacing w:val="-15"/>
          <w:sz w:val="24"/>
        </w:rPr>
        <w:t xml:space="preserve"> </w:t>
      </w:r>
      <w:r w:rsidRPr="00150EDC">
        <w:rPr>
          <w:sz w:val="24"/>
        </w:rPr>
        <w:t>other</w:t>
      </w:r>
      <w:r w:rsidRPr="00150EDC">
        <w:rPr>
          <w:spacing w:val="-15"/>
          <w:sz w:val="24"/>
        </w:rPr>
        <w:t xml:space="preserve"> </w:t>
      </w:r>
      <w:r w:rsidRPr="00150EDC">
        <w:rPr>
          <w:sz w:val="24"/>
        </w:rPr>
        <w:t>"employee</w:t>
      </w:r>
      <w:r w:rsidRPr="00150EDC">
        <w:rPr>
          <w:spacing w:val="-14"/>
          <w:sz w:val="24"/>
        </w:rPr>
        <w:t xml:space="preserve"> </w:t>
      </w:r>
      <w:r w:rsidRPr="00150EDC">
        <w:rPr>
          <w:sz w:val="24"/>
        </w:rPr>
        <w:t>liability</w:t>
      </w:r>
      <w:r w:rsidRPr="00150EDC">
        <w:rPr>
          <w:spacing w:val="-15"/>
          <w:sz w:val="24"/>
        </w:rPr>
        <w:t xml:space="preserve"> </w:t>
      </w:r>
      <w:r w:rsidRPr="00150EDC">
        <w:rPr>
          <w:sz w:val="24"/>
        </w:rPr>
        <w:t>information"</w:t>
      </w:r>
      <w:r w:rsidRPr="00150EDC">
        <w:rPr>
          <w:spacing w:val="-13"/>
          <w:sz w:val="24"/>
        </w:rPr>
        <w:t xml:space="preserve"> </w:t>
      </w:r>
      <w:r w:rsidRPr="00150EDC">
        <w:rPr>
          <w:sz w:val="24"/>
        </w:rPr>
        <w:t>as</w:t>
      </w:r>
      <w:r w:rsidRPr="00150EDC">
        <w:rPr>
          <w:spacing w:val="-15"/>
          <w:sz w:val="24"/>
        </w:rPr>
        <w:t xml:space="preserve"> </w:t>
      </w:r>
      <w:r w:rsidRPr="00150EDC">
        <w:rPr>
          <w:sz w:val="24"/>
        </w:rPr>
        <w:t>such term is defined in regulation 11 of the Employment Regulations;</w:t>
      </w:r>
    </w:p>
    <w:p w14:paraId="08ED7A4E" w14:textId="77777777" w:rsidR="004C7180" w:rsidRPr="00150EDC" w:rsidRDefault="004C7180">
      <w:pPr>
        <w:pStyle w:val="BodyText"/>
        <w:spacing w:before="10"/>
        <w:rPr>
          <w:sz w:val="20"/>
        </w:rPr>
      </w:pPr>
    </w:p>
    <w:p w14:paraId="1979BEF5" w14:textId="77777777" w:rsidR="004C7180" w:rsidRPr="00150EDC" w:rsidRDefault="00CF0754">
      <w:pPr>
        <w:pStyle w:val="BodyText"/>
        <w:spacing w:before="1"/>
        <w:ind w:left="188" w:right="1666"/>
        <w:jc w:val="both"/>
      </w:pPr>
      <w:r w:rsidRPr="00150EDC">
        <w:t>a</w:t>
      </w:r>
      <w:r w:rsidRPr="00150EDC">
        <w:rPr>
          <w:spacing w:val="-14"/>
        </w:rPr>
        <w:t xml:space="preserve"> </w:t>
      </w:r>
      <w:r w:rsidRPr="00150EDC">
        <w:t>list</w:t>
      </w:r>
      <w:r w:rsidRPr="00150EDC">
        <w:rPr>
          <w:spacing w:val="-14"/>
        </w:rPr>
        <w:t xml:space="preserve"> </w:t>
      </w:r>
      <w:r w:rsidRPr="00150EDC">
        <w:t>provided</w:t>
      </w:r>
      <w:r w:rsidRPr="00150EDC">
        <w:rPr>
          <w:spacing w:val="-14"/>
        </w:rPr>
        <w:t xml:space="preserve"> </w:t>
      </w:r>
      <w:r w:rsidRPr="00150EDC">
        <w:t>by</w:t>
      </w:r>
      <w:r w:rsidRPr="00150EDC">
        <w:rPr>
          <w:spacing w:val="-15"/>
        </w:rPr>
        <w:t xml:space="preserve"> </w:t>
      </w:r>
      <w:r w:rsidRPr="00150EDC">
        <w:t>the</w:t>
      </w:r>
      <w:r w:rsidRPr="00150EDC">
        <w:rPr>
          <w:spacing w:val="-14"/>
        </w:rPr>
        <w:t xml:space="preserve"> </w:t>
      </w:r>
      <w:r w:rsidRPr="00150EDC">
        <w:t>Supplier</w:t>
      </w:r>
      <w:r w:rsidRPr="00150EDC">
        <w:rPr>
          <w:spacing w:val="-16"/>
        </w:rPr>
        <w:t xml:space="preserve"> </w:t>
      </w:r>
      <w:r w:rsidRPr="00150EDC">
        <w:t>of</w:t>
      </w:r>
      <w:r w:rsidRPr="00150EDC">
        <w:rPr>
          <w:spacing w:val="-14"/>
        </w:rPr>
        <w:t xml:space="preserve"> </w:t>
      </w:r>
      <w:r w:rsidRPr="00150EDC">
        <w:t>all</w:t>
      </w:r>
      <w:r w:rsidRPr="00150EDC">
        <w:rPr>
          <w:spacing w:val="-15"/>
        </w:rPr>
        <w:t xml:space="preserve"> </w:t>
      </w:r>
      <w:r w:rsidRPr="00150EDC">
        <w:t>Supplier</w:t>
      </w:r>
      <w:r w:rsidRPr="00150EDC">
        <w:rPr>
          <w:spacing w:val="-16"/>
        </w:rPr>
        <w:t xml:space="preserve"> </w:t>
      </w:r>
      <w:r w:rsidRPr="00150EDC">
        <w:t>Staff</w:t>
      </w:r>
      <w:r w:rsidRPr="00150EDC">
        <w:rPr>
          <w:spacing w:val="-14"/>
        </w:rPr>
        <w:t xml:space="preserve"> </w:t>
      </w:r>
      <w:r w:rsidRPr="00150EDC">
        <w:t>whose will transfer under the Employment Regulations on the Service Transfer Date;</w:t>
      </w:r>
    </w:p>
    <w:p w14:paraId="6E9F6E74" w14:textId="77777777" w:rsidR="004C7180" w:rsidRPr="00150EDC" w:rsidRDefault="004C7180">
      <w:pPr>
        <w:pStyle w:val="BodyText"/>
        <w:spacing w:before="9"/>
        <w:rPr>
          <w:sz w:val="20"/>
        </w:rPr>
      </w:pPr>
    </w:p>
    <w:p w14:paraId="755D53D8" w14:textId="77777777" w:rsidR="004C7180" w:rsidRPr="00150EDC" w:rsidRDefault="00CF0754">
      <w:pPr>
        <w:pStyle w:val="BodyText"/>
        <w:spacing w:before="1"/>
        <w:ind w:left="222" w:right="1665"/>
        <w:jc w:val="both"/>
      </w:pPr>
      <w:r w:rsidRPr="00150EDC">
        <w:t>a list prepared and updated by the Supplier of all Supplier Staff who are at the date of the list</w:t>
      </w:r>
      <w:r w:rsidRPr="00150EDC">
        <w:rPr>
          <w:spacing w:val="40"/>
        </w:rPr>
        <w:t xml:space="preserve"> </w:t>
      </w:r>
      <w:r w:rsidRPr="00150EDC">
        <w:t>wholly or mainly engaged in or assigned to the provision of the Services</w:t>
      </w:r>
      <w:r w:rsidRPr="00150EDC">
        <w:rPr>
          <w:spacing w:val="-1"/>
        </w:rPr>
        <w:t xml:space="preserve"> </w:t>
      </w:r>
      <w:r w:rsidRPr="00150EDC">
        <w:t>or</w:t>
      </w:r>
      <w:r w:rsidRPr="00150EDC">
        <w:rPr>
          <w:spacing w:val="-1"/>
        </w:rPr>
        <w:t xml:space="preserve"> </w:t>
      </w:r>
      <w:r w:rsidRPr="00150EDC">
        <w:t>any</w:t>
      </w:r>
      <w:r w:rsidRPr="00150EDC">
        <w:rPr>
          <w:spacing w:val="-1"/>
        </w:rPr>
        <w:t xml:space="preserve"> </w:t>
      </w:r>
      <w:r w:rsidRPr="00150EDC">
        <w:t>relevant part</w:t>
      </w:r>
      <w:r w:rsidRPr="00150EDC">
        <w:rPr>
          <w:spacing w:val="-2"/>
        </w:rPr>
        <w:t xml:space="preserve"> </w:t>
      </w:r>
      <w:r w:rsidRPr="00150EDC">
        <w:t>of the Services</w:t>
      </w:r>
      <w:r w:rsidRPr="00150EDC">
        <w:rPr>
          <w:spacing w:val="-1"/>
        </w:rPr>
        <w:t xml:space="preserve"> </w:t>
      </w:r>
      <w:r w:rsidRPr="00150EDC">
        <w:t>which it is envisaged as at the date of such list will no longer be provided by the Supplier;</w:t>
      </w:r>
    </w:p>
    <w:p w14:paraId="1866817A" w14:textId="77777777" w:rsidR="004C7180" w:rsidRPr="00150EDC" w:rsidRDefault="004C7180">
      <w:pPr>
        <w:jc w:val="both"/>
        <w:sectPr w:rsidR="004C7180" w:rsidRPr="00150EDC">
          <w:type w:val="continuous"/>
          <w:pgSz w:w="11910" w:h="16840"/>
          <w:pgMar w:top="1140" w:right="0" w:bottom="280" w:left="40" w:header="715" w:footer="1192" w:gutter="0"/>
          <w:cols w:num="2" w:space="720" w:equalWidth="0">
            <w:col w:w="4088" w:space="40"/>
            <w:col w:w="7742"/>
          </w:cols>
        </w:sectPr>
      </w:pPr>
    </w:p>
    <w:p w14:paraId="2F81F07A" w14:textId="77777777" w:rsidR="004C7180" w:rsidRPr="00150EDC" w:rsidRDefault="004C7180">
      <w:pPr>
        <w:pStyle w:val="BodyText"/>
        <w:spacing w:before="9"/>
        <w:rPr>
          <w:sz w:val="12"/>
        </w:rPr>
      </w:pPr>
    </w:p>
    <w:p w14:paraId="26F332EB" w14:textId="77777777" w:rsidR="004C7180" w:rsidRPr="00150EDC" w:rsidRDefault="00CF0754">
      <w:pPr>
        <w:pStyle w:val="BodyText"/>
        <w:tabs>
          <w:tab w:val="left" w:pos="4315"/>
        </w:tabs>
        <w:spacing w:before="93"/>
        <w:ind w:left="4316" w:right="1665" w:hanging="2208"/>
        <w:jc w:val="both"/>
      </w:pPr>
      <w:r w:rsidRPr="00150EDC">
        <w:rPr>
          <w:b/>
          <w:spacing w:val="-2"/>
        </w:rPr>
        <w:t>"Term"</w:t>
      </w:r>
      <w:r w:rsidRPr="00150EDC">
        <w:rPr>
          <w:b/>
        </w:rPr>
        <w:tab/>
      </w:r>
      <w:r w:rsidRPr="00150EDC">
        <w:t>the</w:t>
      </w:r>
      <w:r w:rsidRPr="00150EDC">
        <w:rPr>
          <w:spacing w:val="-14"/>
        </w:rPr>
        <w:t xml:space="preserve"> </w:t>
      </w:r>
      <w:r w:rsidRPr="00150EDC">
        <w:t>period</w:t>
      </w:r>
      <w:r w:rsidRPr="00150EDC">
        <w:rPr>
          <w:spacing w:val="-12"/>
        </w:rPr>
        <w:t xml:space="preserve"> </w:t>
      </w:r>
      <w:r w:rsidRPr="00150EDC">
        <w:t>commencing</w:t>
      </w:r>
      <w:r w:rsidRPr="00150EDC">
        <w:rPr>
          <w:spacing w:val="-12"/>
        </w:rPr>
        <w:t xml:space="preserve"> </w:t>
      </w:r>
      <w:r w:rsidRPr="00150EDC">
        <w:t>on</w:t>
      </w:r>
      <w:r w:rsidRPr="00150EDC">
        <w:rPr>
          <w:spacing w:val="-14"/>
        </w:rPr>
        <w:t xml:space="preserve"> </w:t>
      </w:r>
      <w:r w:rsidRPr="00150EDC">
        <w:t>the</w:t>
      </w:r>
      <w:r w:rsidRPr="00150EDC">
        <w:rPr>
          <w:spacing w:val="-14"/>
        </w:rPr>
        <w:t xml:space="preserve"> </w:t>
      </w:r>
      <w:r w:rsidRPr="00150EDC">
        <w:t>Start</w:t>
      </w:r>
      <w:r w:rsidRPr="00150EDC">
        <w:rPr>
          <w:spacing w:val="-14"/>
        </w:rPr>
        <w:t xml:space="preserve"> </w:t>
      </w:r>
      <w:r w:rsidRPr="00150EDC">
        <w:t>Date</w:t>
      </w:r>
      <w:r w:rsidRPr="00150EDC">
        <w:rPr>
          <w:spacing w:val="-14"/>
        </w:rPr>
        <w:t xml:space="preserve"> </w:t>
      </w:r>
      <w:r w:rsidRPr="00150EDC">
        <w:t>and</w:t>
      </w:r>
      <w:r w:rsidRPr="00150EDC">
        <w:rPr>
          <w:spacing w:val="-14"/>
        </w:rPr>
        <w:t xml:space="preserve"> </w:t>
      </w:r>
      <w:r w:rsidRPr="00150EDC">
        <w:t>ending</w:t>
      </w:r>
      <w:r w:rsidRPr="00150EDC">
        <w:rPr>
          <w:spacing w:val="-12"/>
        </w:rPr>
        <w:t xml:space="preserve"> </w:t>
      </w:r>
      <w:r w:rsidRPr="00150EDC">
        <w:t>on the expiry of the Initial Period or any Extension Period or on earlier termination of the relevant Contract;</w:t>
      </w:r>
    </w:p>
    <w:p w14:paraId="5AF5167E" w14:textId="77777777" w:rsidR="004C7180" w:rsidRPr="00150EDC" w:rsidRDefault="004C7180">
      <w:pPr>
        <w:pStyle w:val="BodyText"/>
        <w:spacing w:before="10"/>
        <w:rPr>
          <w:sz w:val="12"/>
        </w:rPr>
      </w:pPr>
    </w:p>
    <w:p w14:paraId="076CD7AA" w14:textId="77777777" w:rsidR="004C7180" w:rsidRPr="00150EDC" w:rsidRDefault="004C7180">
      <w:pPr>
        <w:rPr>
          <w:sz w:val="12"/>
        </w:rPr>
        <w:sectPr w:rsidR="004C7180" w:rsidRPr="00150EDC">
          <w:type w:val="continuous"/>
          <w:pgSz w:w="11910" w:h="16840"/>
          <w:pgMar w:top="1140" w:right="0" w:bottom="280" w:left="40" w:header="715" w:footer="1192" w:gutter="0"/>
          <w:cols w:space="720"/>
        </w:sectPr>
      </w:pPr>
    </w:p>
    <w:p w14:paraId="759A39D8" w14:textId="77777777" w:rsidR="004C7180" w:rsidRPr="00150EDC" w:rsidRDefault="00CF0754">
      <w:pPr>
        <w:spacing w:before="92"/>
        <w:ind w:left="2108" w:right="111"/>
        <w:rPr>
          <w:b/>
          <w:sz w:val="24"/>
        </w:rPr>
      </w:pPr>
      <w:r w:rsidRPr="00150EDC">
        <w:rPr>
          <w:b/>
          <w:spacing w:val="-2"/>
          <w:sz w:val="24"/>
        </w:rPr>
        <w:t>"Transferring Buyer Employees"</w:t>
      </w:r>
    </w:p>
    <w:p w14:paraId="38AA104D" w14:textId="77777777" w:rsidR="004C7180" w:rsidRPr="00150EDC" w:rsidRDefault="004C7180">
      <w:pPr>
        <w:pStyle w:val="BodyText"/>
        <w:spacing w:before="10"/>
        <w:rPr>
          <w:b/>
          <w:sz w:val="20"/>
        </w:rPr>
      </w:pPr>
    </w:p>
    <w:p w14:paraId="6F402520" w14:textId="77777777" w:rsidR="004C7180" w:rsidRPr="00150EDC" w:rsidRDefault="00CF0754">
      <w:pPr>
        <w:ind w:left="2108" w:right="111"/>
        <w:rPr>
          <w:b/>
          <w:sz w:val="24"/>
        </w:rPr>
      </w:pPr>
      <w:r w:rsidRPr="00150EDC">
        <w:rPr>
          <w:b/>
          <w:spacing w:val="-2"/>
          <w:sz w:val="24"/>
        </w:rPr>
        <w:t xml:space="preserve">"Transferring </w:t>
      </w:r>
      <w:r w:rsidRPr="00150EDC">
        <w:rPr>
          <w:b/>
          <w:sz w:val="24"/>
        </w:rPr>
        <w:t>Former</w:t>
      </w:r>
      <w:r w:rsidRPr="00150EDC">
        <w:rPr>
          <w:b/>
          <w:spacing w:val="80"/>
          <w:sz w:val="24"/>
        </w:rPr>
        <w:t xml:space="preserve"> </w:t>
      </w:r>
      <w:r w:rsidRPr="00150EDC">
        <w:rPr>
          <w:b/>
          <w:sz w:val="24"/>
        </w:rPr>
        <w:t xml:space="preserve">Supplier </w:t>
      </w:r>
      <w:r w:rsidRPr="00150EDC">
        <w:rPr>
          <w:b/>
          <w:spacing w:val="-2"/>
          <w:sz w:val="24"/>
        </w:rPr>
        <w:t>Employees"</w:t>
      </w:r>
    </w:p>
    <w:p w14:paraId="0ADD1D96" w14:textId="77777777" w:rsidR="004C7180" w:rsidRPr="00150EDC" w:rsidRDefault="004C7180">
      <w:pPr>
        <w:pStyle w:val="BodyText"/>
        <w:spacing w:before="10"/>
        <w:rPr>
          <w:b/>
          <w:sz w:val="20"/>
        </w:rPr>
      </w:pPr>
    </w:p>
    <w:p w14:paraId="5FC4B8C4" w14:textId="77777777" w:rsidR="004C7180" w:rsidRPr="00150EDC" w:rsidRDefault="00CF0754" w:rsidP="00B320C7">
      <w:pPr>
        <w:pStyle w:val="ListParagraph"/>
        <w:numPr>
          <w:ilvl w:val="0"/>
          <w:numId w:val="90"/>
        </w:numPr>
        <w:tabs>
          <w:tab w:val="left" w:pos="2119"/>
        </w:tabs>
        <w:ind w:left="2119" w:hanging="719"/>
        <w:jc w:val="left"/>
        <w:rPr>
          <w:b/>
          <w:sz w:val="24"/>
        </w:rPr>
      </w:pPr>
      <w:r w:rsidRPr="00150EDC">
        <w:rPr>
          <w:b/>
          <w:spacing w:val="-2"/>
          <w:sz w:val="24"/>
        </w:rPr>
        <w:t>INTERPRETATION</w:t>
      </w:r>
    </w:p>
    <w:p w14:paraId="18F116AA" w14:textId="77777777" w:rsidR="004C7180" w:rsidRPr="00150EDC" w:rsidRDefault="00CF0754">
      <w:pPr>
        <w:pStyle w:val="BodyText"/>
        <w:spacing w:before="92"/>
        <w:ind w:left="45" w:right="1664"/>
        <w:jc w:val="both"/>
      </w:pPr>
      <w:r w:rsidRPr="00150EDC">
        <w:br w:type="column"/>
      </w:r>
      <w:r w:rsidRPr="00150EDC">
        <w:t>those</w:t>
      </w:r>
      <w:r w:rsidRPr="00150EDC">
        <w:rPr>
          <w:spacing w:val="-14"/>
        </w:rPr>
        <w:t xml:space="preserve"> </w:t>
      </w:r>
      <w:r w:rsidRPr="00150EDC">
        <w:t>employees</w:t>
      </w:r>
      <w:r w:rsidRPr="00150EDC">
        <w:rPr>
          <w:spacing w:val="-13"/>
        </w:rPr>
        <w:t xml:space="preserve"> </w:t>
      </w:r>
      <w:r w:rsidRPr="00150EDC">
        <w:t>of</w:t>
      </w:r>
      <w:r w:rsidRPr="00150EDC">
        <w:rPr>
          <w:spacing w:val="-12"/>
        </w:rPr>
        <w:t xml:space="preserve"> </w:t>
      </w:r>
      <w:r w:rsidRPr="00150EDC">
        <w:t>the</w:t>
      </w:r>
      <w:r w:rsidRPr="00150EDC">
        <w:rPr>
          <w:spacing w:val="-14"/>
        </w:rPr>
        <w:t xml:space="preserve"> </w:t>
      </w:r>
      <w:r w:rsidRPr="00150EDC">
        <w:t>Buyer</w:t>
      </w:r>
      <w:r w:rsidRPr="00150EDC">
        <w:rPr>
          <w:spacing w:val="-13"/>
        </w:rPr>
        <w:t xml:space="preserve"> </w:t>
      </w:r>
      <w:r w:rsidRPr="00150EDC">
        <w:t>to</w:t>
      </w:r>
      <w:r w:rsidRPr="00150EDC">
        <w:rPr>
          <w:spacing w:val="-12"/>
        </w:rPr>
        <w:t xml:space="preserve"> </w:t>
      </w:r>
      <w:r w:rsidRPr="00150EDC">
        <w:t>whom</w:t>
      </w:r>
      <w:r w:rsidRPr="00150EDC">
        <w:rPr>
          <w:spacing w:val="-11"/>
        </w:rPr>
        <w:t xml:space="preserve"> </w:t>
      </w:r>
      <w:r w:rsidRPr="00150EDC">
        <w:t>the</w:t>
      </w:r>
      <w:r w:rsidRPr="00150EDC">
        <w:rPr>
          <w:spacing w:val="-12"/>
        </w:rPr>
        <w:t xml:space="preserve"> </w:t>
      </w:r>
      <w:r w:rsidRPr="00150EDC">
        <w:t>Employment Regulations will apply on the Relevant Transfer Date;</w:t>
      </w:r>
    </w:p>
    <w:p w14:paraId="73FF3AF7" w14:textId="77777777" w:rsidR="004C7180" w:rsidRPr="00150EDC" w:rsidRDefault="004C7180">
      <w:pPr>
        <w:pStyle w:val="BodyText"/>
        <w:rPr>
          <w:sz w:val="26"/>
        </w:rPr>
      </w:pPr>
    </w:p>
    <w:p w14:paraId="21861350" w14:textId="77777777" w:rsidR="004C7180" w:rsidRPr="00150EDC" w:rsidRDefault="00CF0754">
      <w:pPr>
        <w:pStyle w:val="BodyText"/>
        <w:spacing w:before="217"/>
        <w:ind w:left="45" w:right="1664"/>
        <w:jc w:val="both"/>
      </w:pPr>
      <w:r w:rsidRPr="00150EDC">
        <w:t>in</w:t>
      </w:r>
      <w:r w:rsidRPr="00150EDC">
        <w:rPr>
          <w:spacing w:val="-4"/>
        </w:rPr>
        <w:t xml:space="preserve"> </w:t>
      </w:r>
      <w:r w:rsidRPr="00150EDC">
        <w:t>relation</w:t>
      </w:r>
      <w:r w:rsidRPr="00150EDC">
        <w:rPr>
          <w:spacing w:val="-7"/>
        </w:rPr>
        <w:t xml:space="preserve"> </w:t>
      </w:r>
      <w:r w:rsidRPr="00150EDC">
        <w:t>to</w:t>
      </w:r>
      <w:r w:rsidRPr="00150EDC">
        <w:rPr>
          <w:spacing w:val="-7"/>
        </w:rPr>
        <w:t xml:space="preserve"> </w:t>
      </w:r>
      <w:r w:rsidRPr="00150EDC">
        <w:t>a</w:t>
      </w:r>
      <w:r w:rsidRPr="00150EDC">
        <w:rPr>
          <w:spacing w:val="-7"/>
        </w:rPr>
        <w:t xml:space="preserve"> </w:t>
      </w:r>
      <w:r w:rsidRPr="00150EDC">
        <w:t>Former</w:t>
      </w:r>
      <w:r w:rsidRPr="00150EDC">
        <w:rPr>
          <w:spacing w:val="-8"/>
        </w:rPr>
        <w:t xml:space="preserve"> </w:t>
      </w:r>
      <w:r w:rsidRPr="00150EDC">
        <w:t>Supplier,</w:t>
      </w:r>
      <w:r w:rsidRPr="00150EDC">
        <w:rPr>
          <w:spacing w:val="-7"/>
        </w:rPr>
        <w:t xml:space="preserve"> </w:t>
      </w:r>
      <w:r w:rsidRPr="00150EDC">
        <w:t>those</w:t>
      </w:r>
      <w:r w:rsidRPr="00150EDC">
        <w:rPr>
          <w:spacing w:val="-7"/>
        </w:rPr>
        <w:t xml:space="preserve"> </w:t>
      </w:r>
      <w:r w:rsidRPr="00150EDC">
        <w:t>employees</w:t>
      </w:r>
      <w:r w:rsidRPr="00150EDC">
        <w:rPr>
          <w:spacing w:val="-8"/>
        </w:rPr>
        <w:t xml:space="preserve"> </w:t>
      </w:r>
      <w:r w:rsidRPr="00150EDC">
        <w:t>of</w:t>
      </w:r>
      <w:r w:rsidRPr="00150EDC">
        <w:rPr>
          <w:spacing w:val="-7"/>
        </w:rPr>
        <w:t xml:space="preserve"> </w:t>
      </w:r>
      <w:r w:rsidRPr="00150EDC">
        <w:t>the Former Supplier to whom the Employment Regulations will apply on the Relevant Transfer Date.</w:t>
      </w:r>
    </w:p>
    <w:p w14:paraId="2F9FA806" w14:textId="77777777" w:rsidR="004C7180" w:rsidRPr="00150EDC" w:rsidRDefault="004C7180">
      <w:pPr>
        <w:jc w:val="both"/>
        <w:sectPr w:rsidR="004C7180" w:rsidRPr="00150EDC">
          <w:type w:val="continuous"/>
          <w:pgSz w:w="11910" w:h="16840"/>
          <w:pgMar w:top="1140" w:right="0" w:bottom="280" w:left="40" w:header="715" w:footer="1192" w:gutter="0"/>
          <w:cols w:num="2" w:space="720" w:equalWidth="0">
            <w:col w:w="4231" w:space="40"/>
            <w:col w:w="7599"/>
          </w:cols>
        </w:sectPr>
      </w:pPr>
    </w:p>
    <w:p w14:paraId="1AFDBE5B" w14:textId="77777777" w:rsidR="004C7180" w:rsidRPr="00150EDC" w:rsidRDefault="004C7180">
      <w:pPr>
        <w:pStyle w:val="BodyText"/>
        <w:spacing w:before="10"/>
        <w:rPr>
          <w:sz w:val="12"/>
        </w:rPr>
      </w:pPr>
    </w:p>
    <w:p w14:paraId="137C6A2D" w14:textId="77777777" w:rsidR="004C7180" w:rsidRPr="00150EDC" w:rsidRDefault="00CF0754" w:rsidP="00B320C7">
      <w:pPr>
        <w:pStyle w:val="ListParagraph"/>
        <w:numPr>
          <w:ilvl w:val="1"/>
          <w:numId w:val="90"/>
        </w:numPr>
        <w:tabs>
          <w:tab w:val="left" w:pos="2117"/>
          <w:tab w:val="left" w:pos="2120"/>
        </w:tabs>
        <w:spacing w:before="92"/>
        <w:ind w:right="1433"/>
        <w:jc w:val="both"/>
        <w:rPr>
          <w:sz w:val="24"/>
        </w:rPr>
      </w:pPr>
      <w:r w:rsidRPr="00150EDC">
        <w:rPr>
          <w:sz w:val="24"/>
        </w:rPr>
        <w:t xml:space="preserve">Where a provision in this Schedule imposes any obligation on the Supplier including (without limit) to comply with a requirement or provide an indemnity, undertaking or warranty, the Supplier shall procure that each of its Subcontractors shall comply with such obligation and provide such indemnity, undertaking or warranty to CCS, the Buyer, Former Supplier, Replacement Supplier or Replacement Subcontractor, as the case may be and where the Subcontractor fails to satisfy any claims under such indemnities the Supplier will be liable for satisfying any such claim as if it had provided the indemnity </w:t>
      </w:r>
      <w:r w:rsidRPr="00150EDC">
        <w:rPr>
          <w:spacing w:val="-2"/>
          <w:sz w:val="24"/>
        </w:rPr>
        <w:t>itself.</w:t>
      </w:r>
    </w:p>
    <w:p w14:paraId="2701EDE8" w14:textId="77777777" w:rsidR="004C7180" w:rsidRPr="00150EDC" w:rsidRDefault="00CF0754" w:rsidP="00B320C7">
      <w:pPr>
        <w:pStyle w:val="ListParagraph"/>
        <w:numPr>
          <w:ilvl w:val="1"/>
          <w:numId w:val="90"/>
        </w:numPr>
        <w:tabs>
          <w:tab w:val="left" w:pos="2117"/>
          <w:tab w:val="left" w:pos="2120"/>
        </w:tabs>
        <w:spacing w:before="118"/>
        <w:ind w:right="1432"/>
        <w:jc w:val="both"/>
        <w:rPr>
          <w:sz w:val="24"/>
        </w:rPr>
      </w:pPr>
      <w:r w:rsidRPr="00150EDC">
        <w:rPr>
          <w:sz w:val="24"/>
        </w:rPr>
        <w:t>The provisions of Paragraphs 2.1 and 2.6 of Part A, Paragraph 3.1 of Part B, Paragraphs</w:t>
      </w:r>
      <w:r w:rsidRPr="00150EDC">
        <w:rPr>
          <w:spacing w:val="-4"/>
          <w:sz w:val="24"/>
        </w:rPr>
        <w:t xml:space="preserve"> </w:t>
      </w:r>
      <w:r w:rsidRPr="00150EDC">
        <w:rPr>
          <w:sz w:val="24"/>
        </w:rPr>
        <w:t>1.5,</w:t>
      </w:r>
      <w:r w:rsidRPr="00150EDC">
        <w:rPr>
          <w:spacing w:val="-1"/>
          <w:sz w:val="24"/>
        </w:rPr>
        <w:t xml:space="preserve"> </w:t>
      </w:r>
      <w:r w:rsidRPr="00150EDC">
        <w:rPr>
          <w:sz w:val="24"/>
        </w:rPr>
        <w:t>1.7</w:t>
      </w:r>
      <w:r w:rsidRPr="00150EDC">
        <w:rPr>
          <w:spacing w:val="-3"/>
          <w:sz w:val="24"/>
        </w:rPr>
        <w:t xml:space="preserve"> </w:t>
      </w:r>
      <w:r w:rsidRPr="00150EDC">
        <w:rPr>
          <w:sz w:val="24"/>
        </w:rPr>
        <w:t>and</w:t>
      </w:r>
      <w:r w:rsidRPr="00150EDC">
        <w:rPr>
          <w:spacing w:val="-1"/>
          <w:sz w:val="24"/>
        </w:rPr>
        <w:t xml:space="preserve"> </w:t>
      </w:r>
      <w:r w:rsidRPr="00150EDC">
        <w:rPr>
          <w:sz w:val="24"/>
        </w:rPr>
        <w:t>1.9</w:t>
      </w:r>
      <w:r w:rsidRPr="00150EDC">
        <w:rPr>
          <w:spacing w:val="-1"/>
          <w:sz w:val="24"/>
        </w:rPr>
        <w:t xml:space="preserve"> </w:t>
      </w:r>
      <w:r w:rsidRPr="00150EDC">
        <w:rPr>
          <w:sz w:val="24"/>
        </w:rPr>
        <w:t>of</w:t>
      </w:r>
      <w:r w:rsidRPr="00150EDC">
        <w:rPr>
          <w:spacing w:val="-1"/>
          <w:sz w:val="24"/>
        </w:rPr>
        <w:t xml:space="preserve"> </w:t>
      </w:r>
      <w:r w:rsidRPr="00150EDC">
        <w:rPr>
          <w:sz w:val="24"/>
        </w:rPr>
        <w:t>Part</w:t>
      </w:r>
      <w:r w:rsidRPr="00150EDC">
        <w:rPr>
          <w:spacing w:val="-1"/>
          <w:sz w:val="24"/>
        </w:rPr>
        <w:t xml:space="preserve"> </w:t>
      </w:r>
      <w:r w:rsidRPr="00150EDC">
        <w:rPr>
          <w:sz w:val="24"/>
        </w:rPr>
        <w:t>C,</w:t>
      </w:r>
      <w:r w:rsidRPr="00150EDC">
        <w:rPr>
          <w:spacing w:val="-4"/>
          <w:sz w:val="24"/>
        </w:rPr>
        <w:t xml:space="preserve"> </w:t>
      </w:r>
      <w:r w:rsidRPr="00150EDC">
        <w:rPr>
          <w:sz w:val="24"/>
        </w:rPr>
        <w:t>Part</w:t>
      </w:r>
      <w:r w:rsidRPr="00150EDC">
        <w:rPr>
          <w:spacing w:val="-1"/>
          <w:sz w:val="24"/>
        </w:rPr>
        <w:t xml:space="preserve"> </w:t>
      </w:r>
      <w:r w:rsidRPr="00150EDC">
        <w:rPr>
          <w:sz w:val="24"/>
        </w:rPr>
        <w:t>D</w:t>
      </w:r>
      <w:r w:rsidRPr="00150EDC">
        <w:rPr>
          <w:spacing w:val="-7"/>
          <w:sz w:val="24"/>
        </w:rPr>
        <w:t xml:space="preserve"> </w:t>
      </w:r>
      <w:r w:rsidRPr="00150EDC">
        <w:rPr>
          <w:sz w:val="24"/>
        </w:rPr>
        <w:t>and</w:t>
      </w:r>
      <w:r w:rsidRPr="00150EDC">
        <w:rPr>
          <w:spacing w:val="-3"/>
          <w:sz w:val="24"/>
        </w:rPr>
        <w:t xml:space="preserve"> </w:t>
      </w:r>
      <w:r w:rsidRPr="00150EDC">
        <w:rPr>
          <w:sz w:val="24"/>
        </w:rPr>
        <w:t>Paragraphs</w:t>
      </w:r>
      <w:r w:rsidRPr="00150EDC">
        <w:rPr>
          <w:spacing w:val="-4"/>
          <w:sz w:val="24"/>
        </w:rPr>
        <w:t xml:space="preserve"> </w:t>
      </w:r>
      <w:r w:rsidRPr="00150EDC">
        <w:rPr>
          <w:sz w:val="24"/>
        </w:rPr>
        <w:t>1.4,</w:t>
      </w:r>
      <w:r w:rsidRPr="00150EDC">
        <w:rPr>
          <w:spacing w:val="-4"/>
          <w:sz w:val="24"/>
        </w:rPr>
        <w:t xml:space="preserve"> </w:t>
      </w:r>
      <w:r w:rsidRPr="00150EDC">
        <w:rPr>
          <w:sz w:val="24"/>
        </w:rPr>
        <w:t>2.3</w:t>
      </w:r>
      <w:r w:rsidRPr="00150EDC">
        <w:rPr>
          <w:spacing w:val="-1"/>
          <w:sz w:val="24"/>
        </w:rPr>
        <w:t xml:space="preserve"> </w:t>
      </w:r>
      <w:r w:rsidRPr="00150EDC">
        <w:rPr>
          <w:sz w:val="24"/>
        </w:rPr>
        <w:t>and</w:t>
      </w:r>
      <w:r w:rsidRPr="00150EDC">
        <w:rPr>
          <w:spacing w:val="-3"/>
          <w:sz w:val="24"/>
        </w:rPr>
        <w:t xml:space="preserve"> </w:t>
      </w:r>
      <w:r w:rsidRPr="00150EDC">
        <w:rPr>
          <w:sz w:val="24"/>
        </w:rPr>
        <w:t>2.8 of</w:t>
      </w:r>
      <w:r w:rsidRPr="00150EDC">
        <w:rPr>
          <w:spacing w:val="-7"/>
          <w:sz w:val="24"/>
        </w:rPr>
        <w:t xml:space="preserve"> </w:t>
      </w:r>
      <w:r w:rsidRPr="00150EDC">
        <w:rPr>
          <w:sz w:val="24"/>
        </w:rPr>
        <w:t>Part</w:t>
      </w:r>
      <w:r w:rsidRPr="00150EDC">
        <w:rPr>
          <w:spacing w:val="-9"/>
          <w:sz w:val="24"/>
        </w:rPr>
        <w:t xml:space="preserve"> </w:t>
      </w:r>
      <w:r w:rsidRPr="00150EDC">
        <w:rPr>
          <w:sz w:val="24"/>
        </w:rPr>
        <w:t>E</w:t>
      </w:r>
      <w:r w:rsidRPr="00150EDC">
        <w:rPr>
          <w:spacing w:val="-8"/>
          <w:sz w:val="24"/>
        </w:rPr>
        <w:t xml:space="preserve"> </w:t>
      </w:r>
      <w:r w:rsidRPr="00150EDC">
        <w:rPr>
          <w:sz w:val="24"/>
        </w:rPr>
        <w:t>of</w:t>
      </w:r>
      <w:r w:rsidRPr="00150EDC">
        <w:rPr>
          <w:spacing w:val="-7"/>
          <w:sz w:val="24"/>
        </w:rPr>
        <w:t xml:space="preserve"> </w:t>
      </w:r>
      <w:r w:rsidRPr="00150EDC">
        <w:rPr>
          <w:sz w:val="24"/>
        </w:rPr>
        <w:t>this</w:t>
      </w:r>
      <w:r w:rsidRPr="00150EDC">
        <w:rPr>
          <w:spacing w:val="-8"/>
          <w:sz w:val="24"/>
        </w:rPr>
        <w:t xml:space="preserve"> </w:t>
      </w:r>
      <w:r w:rsidRPr="00150EDC">
        <w:rPr>
          <w:sz w:val="24"/>
        </w:rPr>
        <w:t>Schedule</w:t>
      </w:r>
      <w:r w:rsidRPr="00150EDC">
        <w:rPr>
          <w:spacing w:val="-7"/>
          <w:sz w:val="24"/>
        </w:rPr>
        <w:t xml:space="preserve"> </w:t>
      </w:r>
      <w:r w:rsidRPr="00150EDC">
        <w:rPr>
          <w:sz w:val="24"/>
        </w:rPr>
        <w:t>(together</w:t>
      </w:r>
      <w:r w:rsidRPr="00150EDC">
        <w:rPr>
          <w:spacing w:val="-8"/>
          <w:sz w:val="24"/>
        </w:rPr>
        <w:t xml:space="preserve"> </w:t>
      </w:r>
      <w:r w:rsidRPr="00150EDC">
        <w:rPr>
          <w:sz w:val="24"/>
        </w:rPr>
        <w:t>“Third</w:t>
      </w:r>
      <w:r w:rsidRPr="00150EDC">
        <w:rPr>
          <w:spacing w:val="-7"/>
          <w:sz w:val="24"/>
        </w:rPr>
        <w:t xml:space="preserve"> </w:t>
      </w:r>
      <w:r w:rsidRPr="00150EDC">
        <w:rPr>
          <w:sz w:val="24"/>
        </w:rPr>
        <w:t>Party</w:t>
      </w:r>
      <w:r w:rsidRPr="00150EDC">
        <w:rPr>
          <w:spacing w:val="-8"/>
          <w:sz w:val="24"/>
        </w:rPr>
        <w:t xml:space="preserve"> </w:t>
      </w:r>
      <w:r w:rsidRPr="00150EDC">
        <w:rPr>
          <w:sz w:val="24"/>
        </w:rPr>
        <w:t>Provisions”)</w:t>
      </w:r>
      <w:r w:rsidRPr="00150EDC">
        <w:rPr>
          <w:spacing w:val="-8"/>
          <w:sz w:val="24"/>
        </w:rPr>
        <w:t xml:space="preserve"> </w:t>
      </w:r>
      <w:r w:rsidRPr="00150EDC">
        <w:rPr>
          <w:sz w:val="24"/>
        </w:rPr>
        <w:t>confer</w:t>
      </w:r>
      <w:r w:rsidRPr="00150EDC">
        <w:rPr>
          <w:spacing w:val="-10"/>
          <w:sz w:val="24"/>
        </w:rPr>
        <w:t xml:space="preserve"> </w:t>
      </w:r>
      <w:r w:rsidRPr="00150EDC">
        <w:rPr>
          <w:sz w:val="24"/>
        </w:rPr>
        <w:t>benefits</w:t>
      </w:r>
      <w:r w:rsidRPr="00150EDC">
        <w:rPr>
          <w:spacing w:val="-8"/>
          <w:sz w:val="24"/>
        </w:rPr>
        <w:t xml:space="preserve"> </w:t>
      </w:r>
      <w:r w:rsidRPr="00150EDC">
        <w:rPr>
          <w:sz w:val="24"/>
        </w:rPr>
        <w:t>on third</w:t>
      </w:r>
      <w:r w:rsidRPr="00150EDC">
        <w:rPr>
          <w:spacing w:val="-7"/>
          <w:sz w:val="24"/>
        </w:rPr>
        <w:t xml:space="preserve"> </w:t>
      </w:r>
      <w:r w:rsidRPr="00150EDC">
        <w:rPr>
          <w:sz w:val="24"/>
        </w:rPr>
        <w:t>parties</w:t>
      </w:r>
      <w:r w:rsidRPr="00150EDC">
        <w:rPr>
          <w:spacing w:val="-8"/>
          <w:sz w:val="24"/>
        </w:rPr>
        <w:t xml:space="preserve"> </w:t>
      </w:r>
      <w:r w:rsidRPr="00150EDC">
        <w:rPr>
          <w:sz w:val="24"/>
        </w:rPr>
        <w:t>(each</w:t>
      </w:r>
      <w:r w:rsidRPr="00150EDC">
        <w:rPr>
          <w:spacing w:val="-7"/>
          <w:sz w:val="24"/>
        </w:rPr>
        <w:t xml:space="preserve"> </w:t>
      </w:r>
      <w:r w:rsidRPr="00150EDC">
        <w:rPr>
          <w:sz w:val="24"/>
        </w:rPr>
        <w:t>such</w:t>
      </w:r>
      <w:r w:rsidRPr="00150EDC">
        <w:rPr>
          <w:spacing w:val="-7"/>
          <w:sz w:val="24"/>
        </w:rPr>
        <w:t xml:space="preserve"> </w:t>
      </w:r>
      <w:r w:rsidRPr="00150EDC">
        <w:rPr>
          <w:sz w:val="24"/>
        </w:rPr>
        <w:t>person</w:t>
      </w:r>
      <w:r w:rsidRPr="00150EDC">
        <w:rPr>
          <w:spacing w:val="-7"/>
          <w:sz w:val="24"/>
        </w:rPr>
        <w:t xml:space="preserve"> </w:t>
      </w:r>
      <w:r w:rsidRPr="00150EDC">
        <w:rPr>
          <w:sz w:val="24"/>
        </w:rPr>
        <w:t>a</w:t>
      </w:r>
      <w:r w:rsidRPr="00150EDC">
        <w:rPr>
          <w:spacing w:val="-9"/>
          <w:sz w:val="24"/>
        </w:rPr>
        <w:t xml:space="preserve"> </w:t>
      </w:r>
      <w:r w:rsidRPr="00150EDC">
        <w:rPr>
          <w:sz w:val="24"/>
        </w:rPr>
        <w:t>“Third</w:t>
      </w:r>
      <w:r w:rsidRPr="00150EDC">
        <w:rPr>
          <w:spacing w:val="-7"/>
          <w:sz w:val="24"/>
        </w:rPr>
        <w:t xml:space="preserve"> </w:t>
      </w:r>
      <w:r w:rsidRPr="00150EDC">
        <w:rPr>
          <w:sz w:val="24"/>
        </w:rPr>
        <w:t>Party</w:t>
      </w:r>
      <w:r w:rsidRPr="00150EDC">
        <w:rPr>
          <w:spacing w:val="-10"/>
          <w:sz w:val="24"/>
        </w:rPr>
        <w:t xml:space="preserve"> </w:t>
      </w:r>
      <w:r w:rsidRPr="00150EDC">
        <w:rPr>
          <w:sz w:val="24"/>
        </w:rPr>
        <w:t>Beneficiary”)</w:t>
      </w:r>
      <w:r w:rsidRPr="00150EDC">
        <w:rPr>
          <w:spacing w:val="-8"/>
          <w:sz w:val="24"/>
        </w:rPr>
        <w:t xml:space="preserve"> </w:t>
      </w:r>
      <w:r w:rsidRPr="00150EDC">
        <w:rPr>
          <w:sz w:val="24"/>
        </w:rPr>
        <w:t>and</w:t>
      </w:r>
      <w:r w:rsidRPr="00150EDC">
        <w:rPr>
          <w:spacing w:val="-9"/>
          <w:sz w:val="24"/>
        </w:rPr>
        <w:t xml:space="preserve"> </w:t>
      </w:r>
      <w:r w:rsidRPr="00150EDC">
        <w:rPr>
          <w:sz w:val="24"/>
        </w:rPr>
        <w:t>are</w:t>
      </w:r>
      <w:r w:rsidRPr="00150EDC">
        <w:rPr>
          <w:spacing w:val="-7"/>
          <w:sz w:val="24"/>
        </w:rPr>
        <w:t xml:space="preserve"> </w:t>
      </w:r>
      <w:r w:rsidRPr="00150EDC">
        <w:rPr>
          <w:sz w:val="24"/>
        </w:rPr>
        <w:t>intended</w:t>
      </w:r>
      <w:r w:rsidRPr="00150EDC">
        <w:rPr>
          <w:spacing w:val="-9"/>
          <w:sz w:val="24"/>
        </w:rPr>
        <w:t xml:space="preserve"> </w:t>
      </w:r>
      <w:r w:rsidRPr="00150EDC">
        <w:rPr>
          <w:sz w:val="24"/>
        </w:rPr>
        <w:t>to be enforceable by Third Party Beneficiaries by virtue of the CRTPA.</w:t>
      </w:r>
    </w:p>
    <w:p w14:paraId="1010A18B" w14:textId="77777777" w:rsidR="004C7180" w:rsidRPr="00150EDC" w:rsidRDefault="00CF0754" w:rsidP="00B320C7">
      <w:pPr>
        <w:pStyle w:val="ListParagraph"/>
        <w:numPr>
          <w:ilvl w:val="1"/>
          <w:numId w:val="90"/>
        </w:numPr>
        <w:tabs>
          <w:tab w:val="left" w:pos="2117"/>
          <w:tab w:val="left" w:pos="2120"/>
        </w:tabs>
        <w:spacing w:before="120"/>
        <w:ind w:right="1433"/>
        <w:jc w:val="both"/>
        <w:rPr>
          <w:sz w:val="24"/>
        </w:rPr>
      </w:pPr>
      <w:r w:rsidRPr="00150EDC">
        <w:rPr>
          <w:sz w:val="24"/>
        </w:rPr>
        <w:t>Subject to Paragraph 2.2 above, a person who is not a Party to this Order Contract</w:t>
      </w:r>
      <w:r w:rsidRPr="00150EDC">
        <w:rPr>
          <w:spacing w:val="40"/>
          <w:sz w:val="24"/>
        </w:rPr>
        <w:t xml:space="preserve"> </w:t>
      </w:r>
      <w:r w:rsidRPr="00150EDC">
        <w:rPr>
          <w:sz w:val="24"/>
        </w:rPr>
        <w:t>has</w:t>
      </w:r>
      <w:r w:rsidRPr="00150EDC">
        <w:rPr>
          <w:spacing w:val="40"/>
          <w:sz w:val="24"/>
        </w:rPr>
        <w:t xml:space="preserve"> </w:t>
      </w:r>
      <w:r w:rsidRPr="00150EDC">
        <w:rPr>
          <w:sz w:val="24"/>
        </w:rPr>
        <w:t>no</w:t>
      </w:r>
      <w:r w:rsidRPr="00150EDC">
        <w:rPr>
          <w:spacing w:val="40"/>
          <w:sz w:val="24"/>
        </w:rPr>
        <w:t xml:space="preserve"> </w:t>
      </w:r>
      <w:r w:rsidRPr="00150EDC">
        <w:rPr>
          <w:sz w:val="24"/>
        </w:rPr>
        <w:t>right</w:t>
      </w:r>
      <w:r w:rsidRPr="00150EDC">
        <w:rPr>
          <w:spacing w:val="40"/>
          <w:sz w:val="24"/>
        </w:rPr>
        <w:t xml:space="preserve"> </w:t>
      </w:r>
      <w:r w:rsidRPr="00150EDC">
        <w:rPr>
          <w:sz w:val="24"/>
        </w:rPr>
        <w:t>under</w:t>
      </w:r>
      <w:r w:rsidRPr="00150EDC">
        <w:rPr>
          <w:spacing w:val="40"/>
          <w:sz w:val="24"/>
        </w:rPr>
        <w:t xml:space="preserve"> </w:t>
      </w:r>
      <w:r w:rsidRPr="00150EDC">
        <w:rPr>
          <w:sz w:val="24"/>
        </w:rPr>
        <w:t>the</w:t>
      </w:r>
      <w:r w:rsidRPr="00150EDC">
        <w:rPr>
          <w:spacing w:val="40"/>
          <w:sz w:val="24"/>
        </w:rPr>
        <w:t xml:space="preserve"> </w:t>
      </w:r>
      <w:r w:rsidRPr="00150EDC">
        <w:rPr>
          <w:sz w:val="24"/>
        </w:rPr>
        <w:t>CRTPA</w:t>
      </w:r>
      <w:r w:rsidRPr="00150EDC">
        <w:rPr>
          <w:spacing w:val="40"/>
          <w:sz w:val="24"/>
        </w:rPr>
        <w:t xml:space="preserve"> </w:t>
      </w:r>
      <w:r w:rsidRPr="00150EDC">
        <w:rPr>
          <w:sz w:val="24"/>
        </w:rPr>
        <w:t>to</w:t>
      </w:r>
      <w:r w:rsidRPr="00150EDC">
        <w:rPr>
          <w:spacing w:val="40"/>
          <w:sz w:val="24"/>
        </w:rPr>
        <w:t xml:space="preserve"> </w:t>
      </w:r>
      <w:r w:rsidRPr="00150EDC">
        <w:rPr>
          <w:sz w:val="24"/>
        </w:rPr>
        <w:t>enforce</w:t>
      </w:r>
      <w:r w:rsidRPr="00150EDC">
        <w:rPr>
          <w:spacing w:val="40"/>
          <w:sz w:val="24"/>
        </w:rPr>
        <w:t xml:space="preserve"> </w:t>
      </w:r>
      <w:r w:rsidRPr="00150EDC">
        <w:rPr>
          <w:sz w:val="24"/>
        </w:rPr>
        <w:t>any</w:t>
      </w:r>
      <w:r w:rsidRPr="00150EDC">
        <w:rPr>
          <w:spacing w:val="40"/>
          <w:sz w:val="24"/>
        </w:rPr>
        <w:t xml:space="preserve"> </w:t>
      </w:r>
      <w:r w:rsidRPr="00150EDC">
        <w:rPr>
          <w:sz w:val="24"/>
        </w:rPr>
        <w:t>term</w:t>
      </w:r>
      <w:r w:rsidRPr="00150EDC">
        <w:rPr>
          <w:spacing w:val="40"/>
          <w:sz w:val="24"/>
        </w:rPr>
        <w:t xml:space="preserve"> </w:t>
      </w:r>
      <w:r w:rsidRPr="00150EDC">
        <w:rPr>
          <w:sz w:val="24"/>
        </w:rPr>
        <w:t>of</w:t>
      </w:r>
      <w:r w:rsidRPr="00150EDC">
        <w:rPr>
          <w:spacing w:val="40"/>
          <w:sz w:val="24"/>
        </w:rPr>
        <w:t xml:space="preserve"> </w:t>
      </w:r>
      <w:r w:rsidRPr="00150EDC">
        <w:rPr>
          <w:sz w:val="24"/>
        </w:rPr>
        <w:t>this</w:t>
      </w:r>
      <w:r w:rsidRPr="00150EDC">
        <w:rPr>
          <w:spacing w:val="40"/>
          <w:sz w:val="24"/>
        </w:rPr>
        <w:t xml:space="preserve"> </w:t>
      </w:r>
      <w:r w:rsidRPr="00150EDC">
        <w:rPr>
          <w:sz w:val="24"/>
        </w:rPr>
        <w:t>Order</w:t>
      </w:r>
    </w:p>
    <w:p w14:paraId="6912172D" w14:textId="77777777" w:rsidR="004C7180" w:rsidRPr="00150EDC" w:rsidRDefault="004C7180">
      <w:pPr>
        <w:jc w:val="both"/>
        <w:rPr>
          <w:sz w:val="24"/>
        </w:rPr>
        <w:sectPr w:rsidR="004C7180" w:rsidRPr="00150EDC">
          <w:type w:val="continuous"/>
          <w:pgSz w:w="11910" w:h="16840"/>
          <w:pgMar w:top="1140" w:right="0" w:bottom="280" w:left="40" w:header="715" w:footer="1192" w:gutter="0"/>
          <w:cols w:space="720"/>
        </w:sectPr>
      </w:pPr>
    </w:p>
    <w:p w14:paraId="761016B3" w14:textId="77777777" w:rsidR="004C7180" w:rsidRPr="00150EDC" w:rsidRDefault="004C7180">
      <w:pPr>
        <w:pStyle w:val="BodyText"/>
        <w:spacing w:before="5"/>
        <w:rPr>
          <w:sz w:val="15"/>
        </w:rPr>
      </w:pPr>
    </w:p>
    <w:p w14:paraId="6243CCCF" w14:textId="77777777" w:rsidR="004C7180" w:rsidRPr="00150EDC" w:rsidRDefault="00CF0754">
      <w:pPr>
        <w:pStyle w:val="BodyText"/>
        <w:spacing w:before="92"/>
        <w:ind w:left="2120" w:right="1434"/>
        <w:jc w:val="both"/>
      </w:pPr>
      <w:r w:rsidRPr="00150EDC">
        <w:t>Contract</w:t>
      </w:r>
      <w:r w:rsidRPr="00150EDC">
        <w:rPr>
          <w:spacing w:val="-11"/>
        </w:rPr>
        <w:t xml:space="preserve"> </w:t>
      </w:r>
      <w:r w:rsidRPr="00150EDC">
        <w:t>but</w:t>
      </w:r>
      <w:r w:rsidRPr="00150EDC">
        <w:rPr>
          <w:spacing w:val="-11"/>
        </w:rPr>
        <w:t xml:space="preserve"> </w:t>
      </w:r>
      <w:r w:rsidRPr="00150EDC">
        <w:t>this</w:t>
      </w:r>
      <w:r w:rsidRPr="00150EDC">
        <w:rPr>
          <w:spacing w:val="-9"/>
        </w:rPr>
        <w:t xml:space="preserve"> </w:t>
      </w:r>
      <w:r w:rsidRPr="00150EDC">
        <w:t>does</w:t>
      </w:r>
      <w:r w:rsidRPr="00150EDC">
        <w:rPr>
          <w:spacing w:val="-12"/>
        </w:rPr>
        <w:t xml:space="preserve"> </w:t>
      </w:r>
      <w:r w:rsidRPr="00150EDC">
        <w:t>not</w:t>
      </w:r>
      <w:r w:rsidRPr="00150EDC">
        <w:rPr>
          <w:spacing w:val="-9"/>
        </w:rPr>
        <w:t xml:space="preserve"> </w:t>
      </w:r>
      <w:r w:rsidRPr="00150EDC">
        <w:t>affect</w:t>
      </w:r>
      <w:r w:rsidRPr="00150EDC">
        <w:rPr>
          <w:spacing w:val="-9"/>
        </w:rPr>
        <w:t xml:space="preserve"> </w:t>
      </w:r>
      <w:r w:rsidRPr="00150EDC">
        <w:t>any</w:t>
      </w:r>
      <w:r w:rsidRPr="00150EDC">
        <w:rPr>
          <w:spacing w:val="-12"/>
        </w:rPr>
        <w:t xml:space="preserve"> </w:t>
      </w:r>
      <w:r w:rsidRPr="00150EDC">
        <w:t>right</w:t>
      </w:r>
      <w:r w:rsidRPr="00150EDC">
        <w:rPr>
          <w:spacing w:val="-11"/>
        </w:rPr>
        <w:t xml:space="preserve"> </w:t>
      </w:r>
      <w:r w:rsidRPr="00150EDC">
        <w:t>or</w:t>
      </w:r>
      <w:r w:rsidRPr="00150EDC">
        <w:rPr>
          <w:spacing w:val="-10"/>
        </w:rPr>
        <w:t xml:space="preserve"> </w:t>
      </w:r>
      <w:r w:rsidRPr="00150EDC">
        <w:t>remedy</w:t>
      </w:r>
      <w:r w:rsidRPr="00150EDC">
        <w:rPr>
          <w:spacing w:val="-9"/>
        </w:rPr>
        <w:t xml:space="preserve"> </w:t>
      </w:r>
      <w:r w:rsidRPr="00150EDC">
        <w:t>of</w:t>
      </w:r>
      <w:r w:rsidRPr="00150EDC">
        <w:rPr>
          <w:spacing w:val="-9"/>
        </w:rPr>
        <w:t xml:space="preserve"> </w:t>
      </w:r>
      <w:r w:rsidRPr="00150EDC">
        <w:t>any</w:t>
      </w:r>
      <w:r w:rsidRPr="00150EDC">
        <w:rPr>
          <w:spacing w:val="-12"/>
        </w:rPr>
        <w:t xml:space="preserve"> </w:t>
      </w:r>
      <w:r w:rsidRPr="00150EDC">
        <w:t>person</w:t>
      </w:r>
      <w:r w:rsidRPr="00150EDC">
        <w:rPr>
          <w:spacing w:val="-8"/>
        </w:rPr>
        <w:t xml:space="preserve"> </w:t>
      </w:r>
      <w:r w:rsidRPr="00150EDC">
        <w:t>which</w:t>
      </w:r>
      <w:r w:rsidRPr="00150EDC">
        <w:rPr>
          <w:spacing w:val="-8"/>
        </w:rPr>
        <w:t xml:space="preserve"> </w:t>
      </w:r>
      <w:r w:rsidRPr="00150EDC">
        <w:t>exists or is available otherwise than pursuant to that Act.</w:t>
      </w:r>
    </w:p>
    <w:p w14:paraId="5E14FDBC" w14:textId="77777777" w:rsidR="004C7180" w:rsidRPr="00150EDC" w:rsidRDefault="00CF0754" w:rsidP="00B320C7">
      <w:pPr>
        <w:pStyle w:val="ListParagraph"/>
        <w:numPr>
          <w:ilvl w:val="1"/>
          <w:numId w:val="90"/>
        </w:numPr>
        <w:tabs>
          <w:tab w:val="left" w:pos="2117"/>
          <w:tab w:val="left" w:pos="2120"/>
        </w:tabs>
        <w:spacing w:before="120"/>
        <w:ind w:right="1435"/>
        <w:jc w:val="both"/>
        <w:rPr>
          <w:sz w:val="24"/>
        </w:rPr>
      </w:pPr>
      <w:r w:rsidRPr="00150EDC">
        <w:rPr>
          <w:sz w:val="24"/>
        </w:rPr>
        <w:t>No</w:t>
      </w:r>
      <w:r w:rsidRPr="00150EDC">
        <w:rPr>
          <w:spacing w:val="-1"/>
          <w:sz w:val="24"/>
        </w:rPr>
        <w:t xml:space="preserve"> </w:t>
      </w:r>
      <w:r w:rsidRPr="00150EDC">
        <w:rPr>
          <w:sz w:val="24"/>
        </w:rPr>
        <w:t>Third</w:t>
      </w:r>
      <w:r w:rsidRPr="00150EDC">
        <w:rPr>
          <w:spacing w:val="-1"/>
          <w:sz w:val="24"/>
        </w:rPr>
        <w:t xml:space="preserve"> </w:t>
      </w:r>
      <w:r w:rsidRPr="00150EDC">
        <w:rPr>
          <w:sz w:val="24"/>
        </w:rPr>
        <w:t>Party</w:t>
      </w:r>
      <w:r w:rsidRPr="00150EDC">
        <w:rPr>
          <w:spacing w:val="-2"/>
          <w:sz w:val="24"/>
        </w:rPr>
        <w:t xml:space="preserve"> </w:t>
      </w:r>
      <w:r w:rsidRPr="00150EDC">
        <w:rPr>
          <w:sz w:val="24"/>
        </w:rPr>
        <w:t>Beneficiary</w:t>
      </w:r>
      <w:r w:rsidRPr="00150EDC">
        <w:rPr>
          <w:spacing w:val="-2"/>
          <w:sz w:val="24"/>
        </w:rPr>
        <w:t xml:space="preserve"> </w:t>
      </w:r>
      <w:r w:rsidRPr="00150EDC">
        <w:rPr>
          <w:sz w:val="24"/>
        </w:rPr>
        <w:t>may</w:t>
      </w:r>
      <w:r w:rsidRPr="00150EDC">
        <w:rPr>
          <w:spacing w:val="-2"/>
          <w:sz w:val="24"/>
        </w:rPr>
        <w:t xml:space="preserve"> </w:t>
      </w:r>
      <w:r w:rsidRPr="00150EDC">
        <w:rPr>
          <w:sz w:val="24"/>
        </w:rPr>
        <w:t>enforce,</w:t>
      </w:r>
      <w:r w:rsidRPr="00150EDC">
        <w:rPr>
          <w:spacing w:val="-4"/>
          <w:sz w:val="24"/>
        </w:rPr>
        <w:t xml:space="preserve"> </w:t>
      </w:r>
      <w:r w:rsidRPr="00150EDC">
        <w:rPr>
          <w:sz w:val="24"/>
        </w:rPr>
        <w:t>or</w:t>
      </w:r>
      <w:r w:rsidRPr="00150EDC">
        <w:rPr>
          <w:spacing w:val="-3"/>
          <w:sz w:val="24"/>
        </w:rPr>
        <w:t xml:space="preserve"> </w:t>
      </w:r>
      <w:r w:rsidRPr="00150EDC">
        <w:rPr>
          <w:sz w:val="24"/>
        </w:rPr>
        <w:t>take</w:t>
      </w:r>
      <w:r w:rsidRPr="00150EDC">
        <w:rPr>
          <w:spacing w:val="-1"/>
          <w:sz w:val="24"/>
        </w:rPr>
        <w:t xml:space="preserve"> </w:t>
      </w:r>
      <w:r w:rsidRPr="00150EDC">
        <w:rPr>
          <w:sz w:val="24"/>
        </w:rPr>
        <w:t>any</w:t>
      </w:r>
      <w:r w:rsidRPr="00150EDC">
        <w:rPr>
          <w:spacing w:val="-2"/>
          <w:sz w:val="24"/>
        </w:rPr>
        <w:t xml:space="preserve"> </w:t>
      </w:r>
      <w:r w:rsidRPr="00150EDC">
        <w:rPr>
          <w:sz w:val="24"/>
        </w:rPr>
        <w:t>step</w:t>
      </w:r>
      <w:r w:rsidRPr="00150EDC">
        <w:rPr>
          <w:spacing w:val="-1"/>
          <w:sz w:val="24"/>
        </w:rPr>
        <w:t xml:space="preserve"> </w:t>
      </w:r>
      <w:r w:rsidRPr="00150EDC">
        <w:rPr>
          <w:sz w:val="24"/>
        </w:rPr>
        <w:t>to</w:t>
      </w:r>
      <w:r w:rsidRPr="00150EDC">
        <w:rPr>
          <w:spacing w:val="-3"/>
          <w:sz w:val="24"/>
        </w:rPr>
        <w:t xml:space="preserve"> </w:t>
      </w:r>
      <w:r w:rsidRPr="00150EDC">
        <w:rPr>
          <w:sz w:val="24"/>
        </w:rPr>
        <w:t>enforce,</w:t>
      </w:r>
      <w:r w:rsidRPr="00150EDC">
        <w:rPr>
          <w:spacing w:val="-4"/>
          <w:sz w:val="24"/>
        </w:rPr>
        <w:t xml:space="preserve"> </w:t>
      </w:r>
      <w:r w:rsidRPr="00150EDC">
        <w:rPr>
          <w:sz w:val="24"/>
        </w:rPr>
        <w:t>any</w:t>
      </w:r>
      <w:r w:rsidRPr="00150EDC">
        <w:rPr>
          <w:spacing w:val="-2"/>
          <w:sz w:val="24"/>
        </w:rPr>
        <w:t xml:space="preserve"> </w:t>
      </w:r>
      <w:r w:rsidRPr="00150EDC">
        <w:rPr>
          <w:sz w:val="24"/>
        </w:rPr>
        <w:t>Third Party Provision without the prior written consent of the Buyer, which may, if given, be given on and subject to such terms as the Buyer may determine.</w:t>
      </w:r>
    </w:p>
    <w:p w14:paraId="6656FBA6" w14:textId="77777777" w:rsidR="004C7180" w:rsidRPr="00150EDC" w:rsidRDefault="00CF0754" w:rsidP="00B320C7">
      <w:pPr>
        <w:pStyle w:val="ListParagraph"/>
        <w:numPr>
          <w:ilvl w:val="1"/>
          <w:numId w:val="90"/>
        </w:numPr>
        <w:tabs>
          <w:tab w:val="left" w:pos="2117"/>
          <w:tab w:val="left" w:pos="2120"/>
        </w:tabs>
        <w:spacing w:before="120"/>
        <w:ind w:right="1434"/>
        <w:jc w:val="both"/>
        <w:rPr>
          <w:sz w:val="24"/>
        </w:rPr>
      </w:pPr>
      <w:r w:rsidRPr="00150EDC">
        <w:rPr>
          <w:sz w:val="24"/>
        </w:rPr>
        <w:t>Any amendments or modifications to this Order Contract may be made, and any</w:t>
      </w:r>
      <w:r w:rsidRPr="00150EDC">
        <w:rPr>
          <w:spacing w:val="-3"/>
          <w:sz w:val="24"/>
        </w:rPr>
        <w:t xml:space="preserve"> </w:t>
      </w:r>
      <w:r w:rsidRPr="00150EDC">
        <w:rPr>
          <w:sz w:val="24"/>
        </w:rPr>
        <w:t>rights</w:t>
      </w:r>
      <w:r w:rsidRPr="00150EDC">
        <w:rPr>
          <w:spacing w:val="-3"/>
          <w:sz w:val="24"/>
        </w:rPr>
        <w:t xml:space="preserve"> </w:t>
      </w:r>
      <w:r w:rsidRPr="00150EDC">
        <w:rPr>
          <w:sz w:val="24"/>
        </w:rPr>
        <w:t>created</w:t>
      </w:r>
      <w:r w:rsidRPr="00150EDC">
        <w:rPr>
          <w:spacing w:val="-2"/>
          <w:sz w:val="24"/>
        </w:rPr>
        <w:t xml:space="preserve"> </w:t>
      </w:r>
      <w:r w:rsidRPr="00150EDC">
        <w:rPr>
          <w:sz w:val="24"/>
        </w:rPr>
        <w:t>under</w:t>
      </w:r>
      <w:r w:rsidRPr="00150EDC">
        <w:rPr>
          <w:spacing w:val="-4"/>
          <w:sz w:val="24"/>
        </w:rPr>
        <w:t xml:space="preserve"> </w:t>
      </w:r>
      <w:r w:rsidRPr="00150EDC">
        <w:rPr>
          <w:sz w:val="24"/>
        </w:rPr>
        <w:t>Paragraph</w:t>
      </w:r>
      <w:r w:rsidRPr="00150EDC">
        <w:rPr>
          <w:spacing w:val="-4"/>
          <w:sz w:val="24"/>
        </w:rPr>
        <w:t xml:space="preserve"> </w:t>
      </w:r>
      <w:r w:rsidRPr="00150EDC">
        <w:rPr>
          <w:sz w:val="24"/>
        </w:rPr>
        <w:t>2.2</w:t>
      </w:r>
      <w:r w:rsidRPr="00150EDC">
        <w:rPr>
          <w:spacing w:val="-4"/>
          <w:sz w:val="24"/>
        </w:rPr>
        <w:t xml:space="preserve"> </w:t>
      </w:r>
      <w:r w:rsidRPr="00150EDC">
        <w:rPr>
          <w:sz w:val="24"/>
        </w:rPr>
        <w:t>above</w:t>
      </w:r>
      <w:r w:rsidRPr="00150EDC">
        <w:rPr>
          <w:spacing w:val="-4"/>
          <w:sz w:val="24"/>
        </w:rPr>
        <w:t xml:space="preserve"> </w:t>
      </w:r>
      <w:r w:rsidRPr="00150EDC">
        <w:rPr>
          <w:sz w:val="24"/>
        </w:rPr>
        <w:t>may</w:t>
      </w:r>
      <w:r w:rsidRPr="00150EDC">
        <w:rPr>
          <w:spacing w:val="-5"/>
          <w:sz w:val="24"/>
        </w:rPr>
        <w:t xml:space="preserve"> </w:t>
      </w:r>
      <w:r w:rsidRPr="00150EDC">
        <w:rPr>
          <w:sz w:val="24"/>
        </w:rPr>
        <w:t>be</w:t>
      </w:r>
      <w:r w:rsidRPr="00150EDC">
        <w:rPr>
          <w:spacing w:val="-4"/>
          <w:sz w:val="24"/>
        </w:rPr>
        <w:t xml:space="preserve"> </w:t>
      </w:r>
      <w:r w:rsidRPr="00150EDC">
        <w:rPr>
          <w:sz w:val="24"/>
        </w:rPr>
        <w:t>altered</w:t>
      </w:r>
      <w:r w:rsidRPr="00150EDC">
        <w:rPr>
          <w:spacing w:val="-4"/>
          <w:sz w:val="24"/>
        </w:rPr>
        <w:t xml:space="preserve"> </w:t>
      </w:r>
      <w:r w:rsidRPr="00150EDC">
        <w:rPr>
          <w:sz w:val="24"/>
        </w:rPr>
        <w:t>or</w:t>
      </w:r>
      <w:r w:rsidRPr="00150EDC">
        <w:rPr>
          <w:spacing w:val="-4"/>
          <w:sz w:val="24"/>
        </w:rPr>
        <w:t xml:space="preserve"> </w:t>
      </w:r>
      <w:r w:rsidRPr="00150EDC">
        <w:rPr>
          <w:sz w:val="24"/>
        </w:rPr>
        <w:t>extinguished, by the Parties without the consent of any Third Party Beneficiary.</w:t>
      </w:r>
    </w:p>
    <w:p w14:paraId="3200EDCA" w14:textId="77777777" w:rsidR="004C7180" w:rsidRPr="00150EDC" w:rsidRDefault="00CF0754" w:rsidP="00B320C7">
      <w:pPr>
        <w:pStyle w:val="Heading4"/>
        <w:numPr>
          <w:ilvl w:val="0"/>
          <w:numId w:val="90"/>
        </w:numPr>
        <w:tabs>
          <w:tab w:val="left" w:pos="2119"/>
        </w:tabs>
        <w:spacing w:before="121"/>
        <w:ind w:left="2119" w:hanging="719"/>
        <w:jc w:val="both"/>
      </w:pPr>
      <w:r w:rsidRPr="00150EDC">
        <w:t>Which</w:t>
      </w:r>
      <w:r w:rsidRPr="00150EDC">
        <w:rPr>
          <w:spacing w:val="-3"/>
        </w:rPr>
        <w:t xml:space="preserve"> </w:t>
      </w:r>
      <w:r w:rsidRPr="00150EDC">
        <w:t>parts</w:t>
      </w:r>
      <w:r w:rsidRPr="00150EDC">
        <w:rPr>
          <w:spacing w:val="-1"/>
        </w:rPr>
        <w:t xml:space="preserve"> </w:t>
      </w:r>
      <w:r w:rsidRPr="00150EDC">
        <w:t>of</w:t>
      </w:r>
      <w:r w:rsidRPr="00150EDC">
        <w:rPr>
          <w:spacing w:val="-4"/>
        </w:rPr>
        <w:t xml:space="preserve"> </w:t>
      </w:r>
      <w:r w:rsidRPr="00150EDC">
        <w:t>this</w:t>
      </w:r>
      <w:r w:rsidRPr="00150EDC">
        <w:rPr>
          <w:spacing w:val="-1"/>
        </w:rPr>
        <w:t xml:space="preserve"> </w:t>
      </w:r>
      <w:r w:rsidRPr="00150EDC">
        <w:t>Schedule</w:t>
      </w:r>
      <w:r w:rsidRPr="00150EDC">
        <w:rPr>
          <w:spacing w:val="-3"/>
        </w:rPr>
        <w:t xml:space="preserve"> </w:t>
      </w:r>
      <w:r w:rsidRPr="00150EDC">
        <w:rPr>
          <w:spacing w:val="-4"/>
        </w:rPr>
        <w:t>apply</w:t>
      </w:r>
    </w:p>
    <w:p w14:paraId="68AF3A18" w14:textId="77777777" w:rsidR="004C7180" w:rsidRPr="00150EDC" w:rsidRDefault="004C7180">
      <w:pPr>
        <w:pStyle w:val="BodyText"/>
        <w:spacing w:before="9"/>
        <w:rPr>
          <w:b/>
          <w:sz w:val="20"/>
        </w:rPr>
      </w:pPr>
    </w:p>
    <w:p w14:paraId="25549126" w14:textId="77777777" w:rsidR="004C7180" w:rsidRPr="00150EDC" w:rsidRDefault="00CF0754">
      <w:pPr>
        <w:pStyle w:val="BodyText"/>
        <w:spacing w:before="1"/>
        <w:ind w:left="1416" w:right="1677"/>
        <w:jc w:val="center"/>
      </w:pPr>
      <w:r w:rsidRPr="00150EDC">
        <w:t>Only</w:t>
      </w:r>
      <w:r w:rsidRPr="00150EDC">
        <w:rPr>
          <w:spacing w:val="-5"/>
        </w:rPr>
        <w:t xml:space="preserve"> </w:t>
      </w:r>
      <w:r w:rsidRPr="00150EDC">
        <w:t>the</w:t>
      </w:r>
      <w:r w:rsidRPr="00150EDC">
        <w:rPr>
          <w:spacing w:val="-1"/>
        </w:rPr>
        <w:t xml:space="preserve"> </w:t>
      </w:r>
      <w:r w:rsidRPr="00150EDC">
        <w:t>following</w:t>
      </w:r>
      <w:r w:rsidRPr="00150EDC">
        <w:rPr>
          <w:spacing w:val="-1"/>
        </w:rPr>
        <w:t xml:space="preserve"> </w:t>
      </w:r>
      <w:r w:rsidRPr="00150EDC">
        <w:t>parts</w:t>
      </w:r>
      <w:r w:rsidRPr="00150EDC">
        <w:rPr>
          <w:spacing w:val="-3"/>
        </w:rPr>
        <w:t xml:space="preserve"> </w:t>
      </w:r>
      <w:r w:rsidRPr="00150EDC">
        <w:t>of</w:t>
      </w:r>
      <w:r w:rsidRPr="00150EDC">
        <w:rPr>
          <w:spacing w:val="-1"/>
        </w:rPr>
        <w:t xml:space="preserve"> </w:t>
      </w:r>
      <w:r w:rsidRPr="00150EDC">
        <w:t>this</w:t>
      </w:r>
      <w:r w:rsidRPr="00150EDC">
        <w:rPr>
          <w:spacing w:val="-2"/>
        </w:rPr>
        <w:t xml:space="preserve"> </w:t>
      </w:r>
      <w:r w:rsidRPr="00150EDC">
        <w:t>Schedule</w:t>
      </w:r>
      <w:r w:rsidRPr="00150EDC">
        <w:rPr>
          <w:spacing w:val="-2"/>
        </w:rPr>
        <w:t xml:space="preserve"> </w:t>
      </w:r>
      <w:r w:rsidRPr="00150EDC">
        <w:t>shall</w:t>
      </w:r>
      <w:r w:rsidRPr="00150EDC">
        <w:rPr>
          <w:spacing w:val="-2"/>
        </w:rPr>
        <w:t xml:space="preserve"> </w:t>
      </w:r>
      <w:r w:rsidRPr="00150EDC">
        <w:t>apply</w:t>
      </w:r>
      <w:r w:rsidRPr="00150EDC">
        <w:rPr>
          <w:spacing w:val="-4"/>
        </w:rPr>
        <w:t xml:space="preserve"> </w:t>
      </w:r>
      <w:r w:rsidRPr="00150EDC">
        <w:t>to</w:t>
      </w:r>
      <w:r w:rsidRPr="00150EDC">
        <w:rPr>
          <w:spacing w:val="-2"/>
        </w:rPr>
        <w:t xml:space="preserve"> </w:t>
      </w:r>
      <w:r w:rsidRPr="00150EDC">
        <w:t>this</w:t>
      </w:r>
      <w:r w:rsidRPr="00150EDC">
        <w:rPr>
          <w:spacing w:val="-2"/>
        </w:rPr>
        <w:t xml:space="preserve"> </w:t>
      </w:r>
      <w:r w:rsidRPr="00150EDC">
        <w:t>Call</w:t>
      </w:r>
      <w:r w:rsidRPr="00150EDC">
        <w:rPr>
          <w:spacing w:val="-2"/>
        </w:rPr>
        <w:t xml:space="preserve"> </w:t>
      </w:r>
      <w:r w:rsidRPr="00150EDC">
        <w:t>Off</w:t>
      </w:r>
      <w:r w:rsidRPr="00150EDC">
        <w:rPr>
          <w:spacing w:val="-4"/>
        </w:rPr>
        <w:t xml:space="preserve"> </w:t>
      </w:r>
      <w:r w:rsidRPr="00150EDC">
        <w:rPr>
          <w:spacing w:val="-2"/>
        </w:rPr>
        <w:t>Contract:</w:t>
      </w:r>
    </w:p>
    <w:p w14:paraId="38511DE5" w14:textId="77777777" w:rsidR="004C7180" w:rsidRPr="00150EDC" w:rsidRDefault="004C7180">
      <w:pPr>
        <w:pStyle w:val="BodyText"/>
        <w:spacing w:before="9"/>
        <w:rPr>
          <w:sz w:val="20"/>
        </w:rPr>
      </w:pPr>
    </w:p>
    <w:p w14:paraId="1AF4B1C9" w14:textId="77777777" w:rsidR="004C7180" w:rsidRPr="00150EDC" w:rsidRDefault="00CF0754" w:rsidP="00B320C7">
      <w:pPr>
        <w:pStyle w:val="ListParagraph"/>
        <w:numPr>
          <w:ilvl w:val="0"/>
          <w:numId w:val="87"/>
        </w:numPr>
        <w:tabs>
          <w:tab w:val="left" w:pos="2839"/>
        </w:tabs>
        <w:spacing w:before="1"/>
        <w:ind w:left="2839" w:hanging="359"/>
        <w:rPr>
          <w:sz w:val="24"/>
        </w:rPr>
      </w:pPr>
      <w:r w:rsidRPr="00150EDC">
        <w:rPr>
          <w:sz w:val="24"/>
        </w:rPr>
        <w:t>Part</w:t>
      </w:r>
      <w:r w:rsidRPr="00150EDC">
        <w:rPr>
          <w:spacing w:val="-1"/>
          <w:sz w:val="24"/>
        </w:rPr>
        <w:t xml:space="preserve"> </w:t>
      </w:r>
      <w:r w:rsidRPr="00150EDC">
        <w:rPr>
          <w:sz w:val="24"/>
        </w:rPr>
        <w:t>C</w:t>
      </w:r>
      <w:r w:rsidRPr="00150EDC">
        <w:rPr>
          <w:spacing w:val="-2"/>
          <w:sz w:val="24"/>
        </w:rPr>
        <w:t xml:space="preserve"> </w:t>
      </w:r>
      <w:r w:rsidRPr="00150EDC">
        <w:rPr>
          <w:sz w:val="24"/>
        </w:rPr>
        <w:t>(No Staff</w:t>
      </w:r>
      <w:r w:rsidRPr="00150EDC">
        <w:rPr>
          <w:spacing w:val="-1"/>
          <w:sz w:val="24"/>
        </w:rPr>
        <w:t xml:space="preserve"> </w:t>
      </w:r>
      <w:r w:rsidRPr="00150EDC">
        <w:rPr>
          <w:sz w:val="24"/>
        </w:rPr>
        <w:t>Transfer</w:t>
      </w:r>
      <w:r w:rsidRPr="00150EDC">
        <w:rPr>
          <w:spacing w:val="-3"/>
          <w:sz w:val="24"/>
        </w:rPr>
        <w:t xml:space="preserve"> </w:t>
      </w:r>
      <w:r w:rsidRPr="00150EDC">
        <w:rPr>
          <w:sz w:val="24"/>
        </w:rPr>
        <w:t>on the</w:t>
      </w:r>
      <w:r w:rsidRPr="00150EDC">
        <w:rPr>
          <w:spacing w:val="-3"/>
          <w:sz w:val="24"/>
        </w:rPr>
        <w:t xml:space="preserve"> </w:t>
      </w:r>
      <w:r w:rsidRPr="00150EDC">
        <w:rPr>
          <w:sz w:val="24"/>
        </w:rPr>
        <w:t xml:space="preserve">Start </w:t>
      </w:r>
      <w:r w:rsidRPr="00150EDC">
        <w:rPr>
          <w:spacing w:val="-2"/>
          <w:sz w:val="24"/>
        </w:rPr>
        <w:t>Date)</w:t>
      </w:r>
    </w:p>
    <w:p w14:paraId="38552C75" w14:textId="77777777" w:rsidR="004C7180" w:rsidRPr="00150EDC" w:rsidRDefault="00CF0754" w:rsidP="00B320C7">
      <w:pPr>
        <w:pStyle w:val="ListParagraph"/>
        <w:numPr>
          <w:ilvl w:val="0"/>
          <w:numId w:val="87"/>
        </w:numPr>
        <w:tabs>
          <w:tab w:val="left" w:pos="2839"/>
        </w:tabs>
        <w:ind w:left="2839" w:hanging="359"/>
        <w:rPr>
          <w:sz w:val="24"/>
        </w:rPr>
      </w:pPr>
      <w:r w:rsidRPr="00150EDC">
        <w:rPr>
          <w:sz w:val="24"/>
        </w:rPr>
        <w:t>Part</w:t>
      </w:r>
      <w:r w:rsidRPr="00150EDC">
        <w:rPr>
          <w:spacing w:val="-1"/>
          <w:sz w:val="24"/>
        </w:rPr>
        <w:t xml:space="preserve"> </w:t>
      </w:r>
      <w:r w:rsidRPr="00150EDC">
        <w:rPr>
          <w:sz w:val="24"/>
        </w:rPr>
        <w:t>E (Staff</w:t>
      </w:r>
      <w:r w:rsidRPr="00150EDC">
        <w:rPr>
          <w:spacing w:val="-4"/>
          <w:sz w:val="24"/>
        </w:rPr>
        <w:t xml:space="preserve"> </w:t>
      </w:r>
      <w:r w:rsidRPr="00150EDC">
        <w:rPr>
          <w:sz w:val="24"/>
        </w:rPr>
        <w:t>Transfer</w:t>
      </w:r>
      <w:r w:rsidRPr="00150EDC">
        <w:rPr>
          <w:spacing w:val="-2"/>
          <w:sz w:val="24"/>
        </w:rPr>
        <w:t xml:space="preserve"> </w:t>
      </w:r>
      <w:r w:rsidRPr="00150EDC">
        <w:rPr>
          <w:sz w:val="24"/>
        </w:rPr>
        <w:t xml:space="preserve">on </w:t>
      </w:r>
      <w:r w:rsidRPr="00150EDC">
        <w:rPr>
          <w:spacing w:val="-4"/>
          <w:sz w:val="24"/>
        </w:rPr>
        <w:t>Exit)</w:t>
      </w:r>
    </w:p>
    <w:p w14:paraId="36976670" w14:textId="77777777" w:rsidR="004C7180" w:rsidRPr="00150EDC" w:rsidRDefault="004C7180">
      <w:pPr>
        <w:rPr>
          <w:sz w:val="24"/>
        </w:rPr>
        <w:sectPr w:rsidR="004C7180" w:rsidRPr="00150EDC">
          <w:pgSz w:w="11910" w:h="16840"/>
          <w:pgMar w:top="1380" w:right="0" w:bottom="1380" w:left="40" w:header="715" w:footer="1192" w:gutter="0"/>
          <w:cols w:space="720"/>
        </w:sectPr>
      </w:pPr>
    </w:p>
    <w:p w14:paraId="694199AC" w14:textId="77777777" w:rsidR="004C7180" w:rsidRPr="00150EDC" w:rsidRDefault="004C7180">
      <w:pPr>
        <w:pStyle w:val="BodyText"/>
        <w:spacing w:before="9"/>
        <w:rPr>
          <w:sz w:val="15"/>
        </w:rPr>
      </w:pPr>
    </w:p>
    <w:p w14:paraId="14B1442A" w14:textId="77777777" w:rsidR="004C7180" w:rsidRPr="00150EDC" w:rsidRDefault="00CF0754">
      <w:pPr>
        <w:pStyle w:val="Heading1"/>
        <w:spacing w:before="89"/>
        <w:ind w:left="1400" w:firstLine="0"/>
      </w:pPr>
      <w:bookmarkStart w:id="17" w:name="Part_C:_No_Staff_Transfer_on_the_Start_D"/>
      <w:bookmarkEnd w:id="17"/>
      <w:r w:rsidRPr="00150EDC">
        <w:t>Part</w:t>
      </w:r>
      <w:r w:rsidRPr="00150EDC">
        <w:rPr>
          <w:spacing w:val="-5"/>
        </w:rPr>
        <w:t xml:space="preserve"> </w:t>
      </w:r>
      <w:r w:rsidRPr="00150EDC">
        <w:t>C:</w:t>
      </w:r>
      <w:r w:rsidRPr="00150EDC">
        <w:rPr>
          <w:spacing w:val="-2"/>
        </w:rPr>
        <w:t xml:space="preserve"> </w:t>
      </w:r>
      <w:r w:rsidRPr="00150EDC">
        <w:t>No</w:t>
      </w:r>
      <w:r w:rsidRPr="00150EDC">
        <w:rPr>
          <w:spacing w:val="-1"/>
        </w:rPr>
        <w:t xml:space="preserve"> </w:t>
      </w:r>
      <w:r w:rsidRPr="00150EDC">
        <w:t>Staff</w:t>
      </w:r>
      <w:r w:rsidRPr="00150EDC">
        <w:rPr>
          <w:spacing w:val="-4"/>
        </w:rPr>
        <w:t xml:space="preserve"> </w:t>
      </w:r>
      <w:r w:rsidRPr="00150EDC">
        <w:t>Transfer</w:t>
      </w:r>
      <w:r w:rsidRPr="00150EDC">
        <w:rPr>
          <w:spacing w:val="-3"/>
        </w:rPr>
        <w:t xml:space="preserve"> </w:t>
      </w:r>
      <w:r w:rsidRPr="00150EDC">
        <w:t>on</w:t>
      </w:r>
      <w:r w:rsidRPr="00150EDC">
        <w:rPr>
          <w:spacing w:val="-2"/>
        </w:rPr>
        <w:t xml:space="preserve"> </w:t>
      </w:r>
      <w:r w:rsidRPr="00150EDC">
        <w:t>the</w:t>
      </w:r>
      <w:r w:rsidRPr="00150EDC">
        <w:rPr>
          <w:spacing w:val="-3"/>
        </w:rPr>
        <w:t xml:space="preserve"> </w:t>
      </w:r>
      <w:r w:rsidRPr="00150EDC">
        <w:t>Start</w:t>
      </w:r>
      <w:r w:rsidRPr="00150EDC">
        <w:rPr>
          <w:spacing w:val="-2"/>
        </w:rPr>
        <w:t xml:space="preserve"> </w:t>
      </w:r>
      <w:r w:rsidRPr="00150EDC">
        <w:rPr>
          <w:spacing w:val="-4"/>
        </w:rPr>
        <w:t>Date</w:t>
      </w:r>
    </w:p>
    <w:p w14:paraId="6F90A937" w14:textId="77777777" w:rsidR="004C7180" w:rsidRPr="00150EDC" w:rsidRDefault="00CF0754" w:rsidP="00B320C7">
      <w:pPr>
        <w:pStyle w:val="Heading4"/>
        <w:numPr>
          <w:ilvl w:val="0"/>
          <w:numId w:val="86"/>
        </w:numPr>
        <w:tabs>
          <w:tab w:val="left" w:pos="1757"/>
        </w:tabs>
        <w:spacing w:before="238"/>
        <w:ind w:hanging="357"/>
        <w:jc w:val="both"/>
      </w:pPr>
      <w:r w:rsidRPr="00150EDC">
        <w:t>What</w:t>
      </w:r>
      <w:r w:rsidRPr="00150EDC">
        <w:rPr>
          <w:spacing w:val="-3"/>
        </w:rPr>
        <w:t xml:space="preserve"> </w:t>
      </w:r>
      <w:r w:rsidRPr="00150EDC">
        <w:t>happens</w:t>
      </w:r>
      <w:r w:rsidRPr="00150EDC">
        <w:rPr>
          <w:spacing w:val="-1"/>
        </w:rPr>
        <w:t xml:space="preserve"> </w:t>
      </w:r>
      <w:r w:rsidRPr="00150EDC">
        <w:t>if</w:t>
      </w:r>
      <w:r w:rsidRPr="00150EDC">
        <w:rPr>
          <w:spacing w:val="-2"/>
        </w:rPr>
        <w:t xml:space="preserve"> </w:t>
      </w:r>
      <w:r w:rsidRPr="00150EDC">
        <w:t>there</w:t>
      </w:r>
      <w:r w:rsidRPr="00150EDC">
        <w:rPr>
          <w:spacing w:val="-1"/>
        </w:rPr>
        <w:t xml:space="preserve"> </w:t>
      </w:r>
      <w:r w:rsidRPr="00150EDC">
        <w:t>is</w:t>
      </w:r>
      <w:r w:rsidRPr="00150EDC">
        <w:rPr>
          <w:spacing w:val="-2"/>
        </w:rPr>
        <w:t xml:space="preserve"> </w:t>
      </w:r>
      <w:r w:rsidRPr="00150EDC">
        <w:t>a</w:t>
      </w:r>
      <w:r w:rsidRPr="00150EDC">
        <w:rPr>
          <w:spacing w:val="-1"/>
        </w:rPr>
        <w:t xml:space="preserve"> </w:t>
      </w:r>
      <w:r w:rsidRPr="00150EDC">
        <w:t>staff</w:t>
      </w:r>
      <w:r w:rsidRPr="00150EDC">
        <w:rPr>
          <w:spacing w:val="-2"/>
        </w:rPr>
        <w:t xml:space="preserve"> transfer</w:t>
      </w:r>
    </w:p>
    <w:p w14:paraId="1BB89865" w14:textId="77777777" w:rsidR="004C7180" w:rsidRPr="00150EDC" w:rsidRDefault="004C7180">
      <w:pPr>
        <w:pStyle w:val="BodyText"/>
        <w:spacing w:before="10"/>
        <w:rPr>
          <w:b/>
          <w:sz w:val="20"/>
        </w:rPr>
      </w:pPr>
    </w:p>
    <w:p w14:paraId="13BB2672" w14:textId="77777777" w:rsidR="004C7180" w:rsidRPr="00150EDC" w:rsidRDefault="00CF0754" w:rsidP="00B320C7">
      <w:pPr>
        <w:pStyle w:val="ListParagraph"/>
        <w:numPr>
          <w:ilvl w:val="1"/>
          <w:numId w:val="86"/>
        </w:numPr>
        <w:tabs>
          <w:tab w:val="left" w:pos="2116"/>
          <w:tab w:val="left" w:pos="2119"/>
        </w:tabs>
        <w:ind w:left="2119" w:right="1434"/>
        <w:jc w:val="both"/>
        <w:rPr>
          <w:sz w:val="24"/>
        </w:rPr>
      </w:pPr>
      <w:r w:rsidRPr="00150EDC">
        <w:rPr>
          <w:sz w:val="24"/>
        </w:rPr>
        <w:t>The Buyer and the Supplier agree that the commencement of the provision of the Services or of any part of the Services will not be a Relevant Transfer in relation to any employees of the Buyer and/or any Former Supplier.</w:t>
      </w:r>
    </w:p>
    <w:p w14:paraId="0DBEAF65" w14:textId="77777777" w:rsidR="004C7180" w:rsidRPr="00150EDC" w:rsidRDefault="00CF0754" w:rsidP="00B320C7">
      <w:pPr>
        <w:pStyle w:val="ListParagraph"/>
        <w:numPr>
          <w:ilvl w:val="1"/>
          <w:numId w:val="86"/>
        </w:numPr>
        <w:tabs>
          <w:tab w:val="left" w:pos="2116"/>
          <w:tab w:val="left" w:pos="2119"/>
        </w:tabs>
        <w:spacing w:before="120"/>
        <w:ind w:left="2119" w:right="1432"/>
        <w:jc w:val="both"/>
        <w:rPr>
          <w:sz w:val="24"/>
        </w:rPr>
      </w:pPr>
      <w:r w:rsidRPr="00150EDC">
        <w:rPr>
          <w:sz w:val="24"/>
        </w:rPr>
        <w:t>If any employee of the Buyer and/or a Former Supplier claims, or it is determined</w:t>
      </w:r>
      <w:r w:rsidRPr="00150EDC">
        <w:rPr>
          <w:spacing w:val="-1"/>
          <w:sz w:val="24"/>
        </w:rPr>
        <w:t xml:space="preserve"> </w:t>
      </w:r>
      <w:r w:rsidRPr="00150EDC">
        <w:rPr>
          <w:sz w:val="24"/>
        </w:rPr>
        <w:t>in</w:t>
      </w:r>
      <w:r w:rsidRPr="00150EDC">
        <w:rPr>
          <w:spacing w:val="-1"/>
          <w:sz w:val="24"/>
        </w:rPr>
        <w:t xml:space="preserve"> </w:t>
      </w:r>
      <w:r w:rsidRPr="00150EDC">
        <w:rPr>
          <w:sz w:val="24"/>
        </w:rPr>
        <w:t>relation</w:t>
      </w:r>
      <w:r w:rsidRPr="00150EDC">
        <w:rPr>
          <w:spacing w:val="-1"/>
          <w:sz w:val="24"/>
        </w:rPr>
        <w:t xml:space="preserve"> </w:t>
      </w:r>
      <w:r w:rsidRPr="00150EDC">
        <w:rPr>
          <w:sz w:val="24"/>
        </w:rPr>
        <w:t>to</w:t>
      </w:r>
      <w:r w:rsidRPr="00150EDC">
        <w:rPr>
          <w:spacing w:val="-1"/>
          <w:sz w:val="24"/>
        </w:rPr>
        <w:t xml:space="preserve"> </w:t>
      </w:r>
      <w:r w:rsidRPr="00150EDC">
        <w:rPr>
          <w:sz w:val="24"/>
        </w:rPr>
        <w:t>any</w:t>
      </w:r>
      <w:r w:rsidRPr="00150EDC">
        <w:rPr>
          <w:spacing w:val="-2"/>
          <w:sz w:val="24"/>
        </w:rPr>
        <w:t xml:space="preserve"> </w:t>
      </w:r>
      <w:r w:rsidRPr="00150EDC">
        <w:rPr>
          <w:sz w:val="24"/>
        </w:rPr>
        <w:t>employee</w:t>
      </w:r>
      <w:r w:rsidRPr="00150EDC">
        <w:rPr>
          <w:spacing w:val="-3"/>
          <w:sz w:val="24"/>
        </w:rPr>
        <w:t xml:space="preserve"> </w:t>
      </w:r>
      <w:r w:rsidRPr="00150EDC">
        <w:rPr>
          <w:sz w:val="24"/>
        </w:rPr>
        <w:t>of</w:t>
      </w:r>
      <w:r w:rsidRPr="00150EDC">
        <w:rPr>
          <w:spacing w:val="-1"/>
          <w:sz w:val="24"/>
        </w:rPr>
        <w:t xml:space="preserve"> </w:t>
      </w:r>
      <w:r w:rsidRPr="00150EDC">
        <w:rPr>
          <w:sz w:val="24"/>
        </w:rPr>
        <w:t>the</w:t>
      </w:r>
      <w:r w:rsidRPr="00150EDC">
        <w:rPr>
          <w:spacing w:val="-3"/>
          <w:sz w:val="24"/>
        </w:rPr>
        <w:t xml:space="preserve"> </w:t>
      </w:r>
      <w:r w:rsidRPr="00150EDC">
        <w:rPr>
          <w:sz w:val="24"/>
        </w:rPr>
        <w:t>Buyer</w:t>
      </w:r>
      <w:r w:rsidRPr="00150EDC">
        <w:rPr>
          <w:spacing w:val="-3"/>
          <w:sz w:val="24"/>
        </w:rPr>
        <w:t xml:space="preserve"> </w:t>
      </w:r>
      <w:r w:rsidRPr="00150EDC">
        <w:rPr>
          <w:sz w:val="24"/>
        </w:rPr>
        <w:t>and/or</w:t>
      </w:r>
      <w:r w:rsidRPr="00150EDC">
        <w:rPr>
          <w:spacing w:val="-3"/>
          <w:sz w:val="24"/>
        </w:rPr>
        <w:t xml:space="preserve"> </w:t>
      </w:r>
      <w:r w:rsidRPr="00150EDC">
        <w:rPr>
          <w:sz w:val="24"/>
        </w:rPr>
        <w:t>a</w:t>
      </w:r>
      <w:r w:rsidRPr="00150EDC">
        <w:rPr>
          <w:spacing w:val="-1"/>
          <w:sz w:val="24"/>
        </w:rPr>
        <w:t xml:space="preserve"> </w:t>
      </w:r>
      <w:r w:rsidRPr="00150EDC">
        <w:rPr>
          <w:sz w:val="24"/>
        </w:rPr>
        <w:t>Former</w:t>
      </w:r>
      <w:r w:rsidRPr="00150EDC">
        <w:rPr>
          <w:spacing w:val="-5"/>
          <w:sz w:val="24"/>
        </w:rPr>
        <w:t xml:space="preserve"> </w:t>
      </w:r>
      <w:r w:rsidRPr="00150EDC">
        <w:rPr>
          <w:sz w:val="24"/>
        </w:rPr>
        <w:t>Supplier, that</w:t>
      </w:r>
      <w:r w:rsidRPr="00150EDC">
        <w:rPr>
          <w:spacing w:val="-13"/>
          <w:sz w:val="24"/>
        </w:rPr>
        <w:t xml:space="preserve"> </w:t>
      </w:r>
      <w:r w:rsidRPr="00150EDC">
        <w:rPr>
          <w:sz w:val="24"/>
        </w:rPr>
        <w:t>his/her</w:t>
      </w:r>
      <w:r w:rsidRPr="00150EDC">
        <w:rPr>
          <w:spacing w:val="-12"/>
          <w:sz w:val="24"/>
        </w:rPr>
        <w:t xml:space="preserve"> </w:t>
      </w:r>
      <w:r w:rsidRPr="00150EDC">
        <w:rPr>
          <w:sz w:val="24"/>
        </w:rPr>
        <w:t>contract</w:t>
      </w:r>
      <w:r w:rsidRPr="00150EDC">
        <w:rPr>
          <w:spacing w:val="-13"/>
          <w:sz w:val="24"/>
        </w:rPr>
        <w:t xml:space="preserve"> </w:t>
      </w:r>
      <w:r w:rsidRPr="00150EDC">
        <w:rPr>
          <w:sz w:val="24"/>
        </w:rPr>
        <w:t>of</w:t>
      </w:r>
      <w:r w:rsidRPr="00150EDC">
        <w:rPr>
          <w:spacing w:val="-16"/>
          <w:sz w:val="24"/>
        </w:rPr>
        <w:t xml:space="preserve"> </w:t>
      </w:r>
      <w:r w:rsidRPr="00150EDC">
        <w:rPr>
          <w:sz w:val="24"/>
        </w:rPr>
        <w:t>employment</w:t>
      </w:r>
      <w:r w:rsidRPr="00150EDC">
        <w:rPr>
          <w:spacing w:val="-13"/>
          <w:sz w:val="24"/>
        </w:rPr>
        <w:t xml:space="preserve"> </w:t>
      </w:r>
      <w:r w:rsidRPr="00150EDC">
        <w:rPr>
          <w:sz w:val="24"/>
        </w:rPr>
        <w:t>has</w:t>
      </w:r>
      <w:r w:rsidRPr="00150EDC">
        <w:rPr>
          <w:spacing w:val="-14"/>
          <w:sz w:val="24"/>
        </w:rPr>
        <w:t xml:space="preserve"> </w:t>
      </w:r>
      <w:r w:rsidRPr="00150EDC">
        <w:rPr>
          <w:sz w:val="24"/>
        </w:rPr>
        <w:t>been</w:t>
      </w:r>
      <w:r w:rsidRPr="00150EDC">
        <w:rPr>
          <w:spacing w:val="-15"/>
          <w:sz w:val="24"/>
        </w:rPr>
        <w:t xml:space="preserve"> </w:t>
      </w:r>
      <w:r w:rsidRPr="00150EDC">
        <w:rPr>
          <w:sz w:val="24"/>
        </w:rPr>
        <w:t>transferred</w:t>
      </w:r>
      <w:r w:rsidRPr="00150EDC">
        <w:rPr>
          <w:spacing w:val="-13"/>
          <w:sz w:val="24"/>
        </w:rPr>
        <w:t xml:space="preserve"> </w:t>
      </w:r>
      <w:r w:rsidRPr="00150EDC">
        <w:rPr>
          <w:sz w:val="24"/>
        </w:rPr>
        <w:t>from</w:t>
      </w:r>
      <w:r w:rsidRPr="00150EDC">
        <w:rPr>
          <w:spacing w:val="-12"/>
          <w:sz w:val="24"/>
        </w:rPr>
        <w:t xml:space="preserve"> </w:t>
      </w:r>
      <w:r w:rsidRPr="00150EDC">
        <w:rPr>
          <w:sz w:val="24"/>
        </w:rPr>
        <w:t>the</w:t>
      </w:r>
      <w:r w:rsidRPr="00150EDC">
        <w:rPr>
          <w:spacing w:val="-13"/>
          <w:sz w:val="24"/>
        </w:rPr>
        <w:t xml:space="preserve"> </w:t>
      </w:r>
      <w:r w:rsidRPr="00150EDC">
        <w:rPr>
          <w:sz w:val="24"/>
        </w:rPr>
        <w:t>Buyer</w:t>
      </w:r>
      <w:r w:rsidRPr="00150EDC">
        <w:rPr>
          <w:spacing w:val="-12"/>
          <w:sz w:val="24"/>
        </w:rPr>
        <w:t xml:space="preserve"> </w:t>
      </w:r>
      <w:r w:rsidRPr="00150EDC">
        <w:rPr>
          <w:sz w:val="24"/>
        </w:rPr>
        <w:t>and/or the Former Supplier to the Supplier and/or any Subcontractor pursuant to the Employment Regulations or the Acquired Rights Directive then:</w:t>
      </w:r>
    </w:p>
    <w:p w14:paraId="675B7035" w14:textId="77777777" w:rsidR="004C7180" w:rsidRPr="00150EDC" w:rsidRDefault="00CF0754" w:rsidP="00B320C7">
      <w:pPr>
        <w:pStyle w:val="ListParagraph"/>
        <w:numPr>
          <w:ilvl w:val="2"/>
          <w:numId w:val="86"/>
        </w:numPr>
        <w:tabs>
          <w:tab w:val="left" w:pos="3612"/>
        </w:tabs>
        <w:spacing w:before="120"/>
        <w:ind w:right="1435"/>
        <w:jc w:val="both"/>
        <w:rPr>
          <w:sz w:val="24"/>
        </w:rPr>
      </w:pPr>
      <w:r w:rsidRPr="00150EDC">
        <w:rPr>
          <w:sz w:val="24"/>
        </w:rPr>
        <w:t>the Supplier shall, and shall procure that the relevant Subcontractor shall, within 5</w:t>
      </w:r>
      <w:r w:rsidRPr="00150EDC">
        <w:rPr>
          <w:spacing w:val="-5"/>
          <w:sz w:val="24"/>
        </w:rPr>
        <w:t xml:space="preserve"> </w:t>
      </w:r>
      <w:r w:rsidRPr="00150EDC">
        <w:rPr>
          <w:sz w:val="24"/>
        </w:rPr>
        <w:t>Working Days of becoming aware of</w:t>
      </w:r>
      <w:r w:rsidRPr="00150EDC">
        <w:rPr>
          <w:spacing w:val="-6"/>
          <w:sz w:val="24"/>
        </w:rPr>
        <w:t xml:space="preserve"> </w:t>
      </w:r>
      <w:r w:rsidRPr="00150EDC">
        <w:rPr>
          <w:sz w:val="24"/>
        </w:rPr>
        <w:t>that</w:t>
      </w:r>
      <w:r w:rsidRPr="00150EDC">
        <w:rPr>
          <w:spacing w:val="-6"/>
          <w:sz w:val="24"/>
        </w:rPr>
        <w:t xml:space="preserve"> </w:t>
      </w:r>
      <w:r w:rsidRPr="00150EDC">
        <w:rPr>
          <w:sz w:val="24"/>
        </w:rPr>
        <w:t>fact,</w:t>
      </w:r>
      <w:r w:rsidRPr="00150EDC">
        <w:rPr>
          <w:spacing w:val="-9"/>
          <w:sz w:val="24"/>
        </w:rPr>
        <w:t xml:space="preserve"> </w:t>
      </w:r>
      <w:r w:rsidRPr="00150EDC">
        <w:rPr>
          <w:sz w:val="24"/>
        </w:rPr>
        <w:t>notify</w:t>
      </w:r>
      <w:r w:rsidRPr="00150EDC">
        <w:rPr>
          <w:spacing w:val="-7"/>
          <w:sz w:val="24"/>
        </w:rPr>
        <w:t xml:space="preserve"> </w:t>
      </w:r>
      <w:r w:rsidRPr="00150EDC">
        <w:rPr>
          <w:sz w:val="24"/>
        </w:rPr>
        <w:t>the</w:t>
      </w:r>
      <w:r w:rsidRPr="00150EDC">
        <w:rPr>
          <w:spacing w:val="-6"/>
          <w:sz w:val="24"/>
        </w:rPr>
        <w:t xml:space="preserve"> </w:t>
      </w:r>
      <w:r w:rsidRPr="00150EDC">
        <w:rPr>
          <w:sz w:val="24"/>
        </w:rPr>
        <w:t>Buyer</w:t>
      </w:r>
      <w:r w:rsidRPr="00150EDC">
        <w:rPr>
          <w:spacing w:val="-7"/>
          <w:sz w:val="24"/>
        </w:rPr>
        <w:t xml:space="preserve"> </w:t>
      </w:r>
      <w:r w:rsidRPr="00150EDC">
        <w:rPr>
          <w:sz w:val="24"/>
        </w:rPr>
        <w:t>in</w:t>
      </w:r>
      <w:r w:rsidRPr="00150EDC">
        <w:rPr>
          <w:spacing w:val="-6"/>
          <w:sz w:val="24"/>
        </w:rPr>
        <w:t xml:space="preserve"> </w:t>
      </w:r>
      <w:r w:rsidRPr="00150EDC">
        <w:rPr>
          <w:sz w:val="24"/>
        </w:rPr>
        <w:t>writing</w:t>
      </w:r>
      <w:r w:rsidRPr="00150EDC">
        <w:rPr>
          <w:spacing w:val="-6"/>
          <w:sz w:val="24"/>
        </w:rPr>
        <w:t xml:space="preserve"> </w:t>
      </w:r>
      <w:r w:rsidRPr="00150EDC">
        <w:rPr>
          <w:sz w:val="24"/>
        </w:rPr>
        <w:t>and,</w:t>
      </w:r>
      <w:r w:rsidRPr="00150EDC">
        <w:rPr>
          <w:spacing w:val="-6"/>
          <w:sz w:val="24"/>
        </w:rPr>
        <w:t xml:space="preserve"> </w:t>
      </w:r>
      <w:r w:rsidRPr="00150EDC">
        <w:rPr>
          <w:sz w:val="24"/>
        </w:rPr>
        <w:t>where</w:t>
      </w:r>
      <w:r w:rsidRPr="00150EDC">
        <w:rPr>
          <w:spacing w:val="-6"/>
          <w:sz w:val="24"/>
        </w:rPr>
        <w:t xml:space="preserve"> </w:t>
      </w:r>
      <w:r w:rsidRPr="00150EDC">
        <w:rPr>
          <w:sz w:val="24"/>
        </w:rPr>
        <w:t>required</w:t>
      </w:r>
      <w:r w:rsidRPr="00150EDC">
        <w:rPr>
          <w:spacing w:val="-6"/>
          <w:sz w:val="24"/>
        </w:rPr>
        <w:t xml:space="preserve"> </w:t>
      </w:r>
      <w:r w:rsidRPr="00150EDC">
        <w:rPr>
          <w:sz w:val="24"/>
        </w:rPr>
        <w:t>by</w:t>
      </w:r>
      <w:r w:rsidRPr="00150EDC">
        <w:rPr>
          <w:spacing w:val="-7"/>
          <w:sz w:val="24"/>
        </w:rPr>
        <w:t xml:space="preserve"> </w:t>
      </w:r>
      <w:r w:rsidRPr="00150EDC">
        <w:rPr>
          <w:sz w:val="24"/>
        </w:rPr>
        <w:t>the Buyer, notify the Former Supplier in writing; and</w:t>
      </w:r>
    </w:p>
    <w:p w14:paraId="39EC9C23" w14:textId="77777777" w:rsidR="004C7180" w:rsidRPr="00150EDC" w:rsidRDefault="00CF0754" w:rsidP="00B320C7">
      <w:pPr>
        <w:pStyle w:val="ListParagraph"/>
        <w:numPr>
          <w:ilvl w:val="2"/>
          <w:numId w:val="86"/>
        </w:numPr>
        <w:tabs>
          <w:tab w:val="left" w:pos="3612"/>
        </w:tabs>
        <w:spacing w:before="120"/>
        <w:ind w:right="1435"/>
        <w:jc w:val="both"/>
        <w:rPr>
          <w:sz w:val="24"/>
        </w:rPr>
      </w:pPr>
      <w:r w:rsidRPr="00150EDC">
        <w:rPr>
          <w:sz w:val="24"/>
        </w:rPr>
        <w:t>the</w:t>
      </w:r>
      <w:r w:rsidRPr="00150EDC">
        <w:rPr>
          <w:spacing w:val="-2"/>
          <w:sz w:val="24"/>
        </w:rPr>
        <w:t xml:space="preserve"> </w:t>
      </w:r>
      <w:r w:rsidRPr="00150EDC">
        <w:rPr>
          <w:sz w:val="24"/>
        </w:rPr>
        <w:t>Buyer</w:t>
      </w:r>
      <w:r w:rsidRPr="00150EDC">
        <w:rPr>
          <w:spacing w:val="-4"/>
          <w:sz w:val="24"/>
        </w:rPr>
        <w:t xml:space="preserve"> </w:t>
      </w:r>
      <w:r w:rsidRPr="00150EDC">
        <w:rPr>
          <w:sz w:val="24"/>
        </w:rPr>
        <w:t>and/or</w:t>
      </w:r>
      <w:r w:rsidRPr="00150EDC">
        <w:rPr>
          <w:spacing w:val="-1"/>
          <w:sz w:val="24"/>
        </w:rPr>
        <w:t xml:space="preserve"> </w:t>
      </w:r>
      <w:r w:rsidRPr="00150EDC">
        <w:rPr>
          <w:sz w:val="24"/>
        </w:rPr>
        <w:t>the Former</w:t>
      </w:r>
      <w:r w:rsidRPr="00150EDC">
        <w:rPr>
          <w:spacing w:val="-1"/>
          <w:sz w:val="24"/>
        </w:rPr>
        <w:t xml:space="preserve"> </w:t>
      </w:r>
      <w:r w:rsidRPr="00150EDC">
        <w:rPr>
          <w:sz w:val="24"/>
        </w:rPr>
        <w:t>Supplier</w:t>
      </w:r>
      <w:r w:rsidRPr="00150EDC">
        <w:rPr>
          <w:spacing w:val="-1"/>
          <w:sz w:val="24"/>
        </w:rPr>
        <w:t xml:space="preserve"> </w:t>
      </w:r>
      <w:r w:rsidRPr="00150EDC">
        <w:rPr>
          <w:sz w:val="24"/>
        </w:rPr>
        <w:t>may</w:t>
      </w:r>
      <w:r w:rsidRPr="00150EDC">
        <w:rPr>
          <w:spacing w:val="-1"/>
          <w:sz w:val="24"/>
        </w:rPr>
        <w:t xml:space="preserve"> </w:t>
      </w:r>
      <w:r w:rsidRPr="00150EDC">
        <w:rPr>
          <w:sz w:val="24"/>
        </w:rPr>
        <w:t>offer</w:t>
      </w:r>
      <w:r w:rsidRPr="00150EDC">
        <w:rPr>
          <w:spacing w:val="-1"/>
          <w:sz w:val="24"/>
        </w:rPr>
        <w:t xml:space="preserve"> </w:t>
      </w:r>
      <w:r w:rsidRPr="00150EDC">
        <w:rPr>
          <w:sz w:val="24"/>
        </w:rPr>
        <w:t>(or</w:t>
      </w:r>
      <w:r w:rsidRPr="00150EDC">
        <w:rPr>
          <w:spacing w:val="-1"/>
          <w:sz w:val="24"/>
        </w:rPr>
        <w:t xml:space="preserve"> </w:t>
      </w:r>
      <w:r w:rsidRPr="00150EDC">
        <w:rPr>
          <w:sz w:val="24"/>
        </w:rPr>
        <w:t>may</w:t>
      </w:r>
      <w:r w:rsidRPr="00150EDC">
        <w:rPr>
          <w:spacing w:val="-3"/>
          <w:sz w:val="24"/>
        </w:rPr>
        <w:t xml:space="preserve"> </w:t>
      </w:r>
      <w:r w:rsidRPr="00150EDC">
        <w:rPr>
          <w:sz w:val="24"/>
        </w:rPr>
        <w:t>procure that a third party may offer) employment to such person within 15</w:t>
      </w:r>
      <w:r w:rsidRPr="00150EDC">
        <w:rPr>
          <w:spacing w:val="-2"/>
          <w:sz w:val="24"/>
        </w:rPr>
        <w:t xml:space="preserve"> </w:t>
      </w:r>
      <w:r w:rsidRPr="00150EDC">
        <w:rPr>
          <w:sz w:val="24"/>
        </w:rPr>
        <w:t>Working Days of the notification from the Supplier or the Subcontractor (as appropriate) or take such other reasonable steps as the Buyer or Former Supplier (as the case may be) it considers appropriate to deal with the matter provided always that such steps are in compliance with applicable Law.</w:t>
      </w:r>
    </w:p>
    <w:p w14:paraId="452EC05C" w14:textId="77777777" w:rsidR="004C7180" w:rsidRPr="00150EDC" w:rsidRDefault="00CF0754" w:rsidP="00B320C7">
      <w:pPr>
        <w:pStyle w:val="ListParagraph"/>
        <w:numPr>
          <w:ilvl w:val="1"/>
          <w:numId w:val="86"/>
        </w:numPr>
        <w:tabs>
          <w:tab w:val="left" w:pos="2116"/>
          <w:tab w:val="left" w:pos="2119"/>
        </w:tabs>
        <w:spacing w:before="121"/>
        <w:ind w:left="2119" w:right="1432"/>
        <w:jc w:val="both"/>
        <w:rPr>
          <w:sz w:val="24"/>
        </w:rPr>
      </w:pPr>
      <w:r w:rsidRPr="00150EDC">
        <w:rPr>
          <w:sz w:val="24"/>
        </w:rPr>
        <w:t>If an offer referred to in Paragraph</w:t>
      </w:r>
      <w:r w:rsidRPr="00150EDC">
        <w:rPr>
          <w:spacing w:val="-3"/>
          <w:sz w:val="24"/>
        </w:rPr>
        <w:t xml:space="preserve"> </w:t>
      </w:r>
      <w:r w:rsidRPr="00150EDC">
        <w:rPr>
          <w:sz w:val="24"/>
        </w:rPr>
        <w:t>1.2.2 is accepted (or if the situation has otherwise been resolved by the Buyer and/or the Former Supplier),, the Supplier shall, or shall procure that the Subcontractor shall, immediately release the person from his/her employment or alleged employment.</w:t>
      </w:r>
    </w:p>
    <w:p w14:paraId="2D965480" w14:textId="77777777" w:rsidR="004C7180" w:rsidRPr="00150EDC" w:rsidRDefault="00CF0754" w:rsidP="00B320C7">
      <w:pPr>
        <w:pStyle w:val="ListParagraph"/>
        <w:numPr>
          <w:ilvl w:val="1"/>
          <w:numId w:val="86"/>
        </w:numPr>
        <w:tabs>
          <w:tab w:val="left" w:pos="2116"/>
        </w:tabs>
        <w:spacing w:before="120"/>
        <w:ind w:left="2116" w:hanging="717"/>
        <w:jc w:val="both"/>
        <w:rPr>
          <w:sz w:val="24"/>
        </w:rPr>
      </w:pPr>
      <w:r w:rsidRPr="00150EDC">
        <w:rPr>
          <w:sz w:val="24"/>
        </w:rPr>
        <w:t>If</w:t>
      </w:r>
      <w:r w:rsidRPr="00150EDC">
        <w:rPr>
          <w:spacing w:val="-3"/>
          <w:sz w:val="24"/>
        </w:rPr>
        <w:t xml:space="preserve"> </w:t>
      </w:r>
      <w:r w:rsidRPr="00150EDC">
        <w:rPr>
          <w:sz w:val="24"/>
        </w:rPr>
        <w:t>by</w:t>
      </w:r>
      <w:r w:rsidRPr="00150EDC">
        <w:rPr>
          <w:spacing w:val="-2"/>
          <w:sz w:val="24"/>
        </w:rPr>
        <w:t xml:space="preserve"> </w:t>
      </w:r>
      <w:r w:rsidRPr="00150EDC">
        <w:rPr>
          <w:sz w:val="24"/>
        </w:rPr>
        <w:t>the</w:t>
      </w:r>
      <w:r w:rsidRPr="00150EDC">
        <w:rPr>
          <w:spacing w:val="-3"/>
          <w:sz w:val="24"/>
        </w:rPr>
        <w:t xml:space="preserve"> </w:t>
      </w:r>
      <w:r w:rsidRPr="00150EDC">
        <w:rPr>
          <w:sz w:val="24"/>
        </w:rPr>
        <w:t>end</w:t>
      </w:r>
      <w:r w:rsidRPr="00150EDC">
        <w:rPr>
          <w:spacing w:val="-1"/>
          <w:sz w:val="24"/>
        </w:rPr>
        <w:t xml:space="preserve"> </w:t>
      </w:r>
      <w:r w:rsidRPr="00150EDC">
        <w:rPr>
          <w:sz w:val="24"/>
        </w:rPr>
        <w:t>of</w:t>
      </w:r>
      <w:r w:rsidRPr="00150EDC">
        <w:rPr>
          <w:spacing w:val="-4"/>
          <w:sz w:val="24"/>
        </w:rPr>
        <w:t xml:space="preserve"> </w:t>
      </w:r>
      <w:r w:rsidRPr="00150EDC">
        <w:rPr>
          <w:sz w:val="24"/>
        </w:rPr>
        <w:t>the</w:t>
      </w:r>
      <w:r w:rsidRPr="00150EDC">
        <w:rPr>
          <w:spacing w:val="-1"/>
          <w:sz w:val="24"/>
        </w:rPr>
        <w:t xml:space="preserve"> </w:t>
      </w:r>
      <w:r w:rsidRPr="00150EDC">
        <w:rPr>
          <w:sz w:val="24"/>
        </w:rPr>
        <w:t>15</w:t>
      </w:r>
      <w:r w:rsidRPr="00150EDC">
        <w:rPr>
          <w:spacing w:val="-2"/>
          <w:sz w:val="24"/>
        </w:rPr>
        <w:t xml:space="preserve"> </w:t>
      </w:r>
      <w:r w:rsidRPr="00150EDC">
        <w:rPr>
          <w:sz w:val="24"/>
        </w:rPr>
        <w:t>Working</w:t>
      </w:r>
      <w:r w:rsidRPr="00150EDC">
        <w:rPr>
          <w:spacing w:val="-1"/>
          <w:sz w:val="24"/>
        </w:rPr>
        <w:t xml:space="preserve"> </w:t>
      </w:r>
      <w:r w:rsidRPr="00150EDC">
        <w:rPr>
          <w:sz w:val="24"/>
        </w:rPr>
        <w:t>Day</w:t>
      </w:r>
      <w:r w:rsidRPr="00150EDC">
        <w:rPr>
          <w:spacing w:val="-2"/>
          <w:sz w:val="24"/>
        </w:rPr>
        <w:t xml:space="preserve"> </w:t>
      </w:r>
      <w:r w:rsidRPr="00150EDC">
        <w:rPr>
          <w:sz w:val="24"/>
        </w:rPr>
        <w:t>period</w:t>
      </w:r>
      <w:r w:rsidRPr="00150EDC">
        <w:rPr>
          <w:spacing w:val="-1"/>
          <w:sz w:val="24"/>
        </w:rPr>
        <w:t xml:space="preserve"> </w:t>
      </w:r>
      <w:r w:rsidRPr="00150EDC">
        <w:rPr>
          <w:sz w:val="24"/>
        </w:rPr>
        <w:t>referred</w:t>
      </w:r>
      <w:r w:rsidRPr="00150EDC">
        <w:rPr>
          <w:spacing w:val="-1"/>
          <w:sz w:val="24"/>
        </w:rPr>
        <w:t xml:space="preserve"> </w:t>
      </w:r>
      <w:r w:rsidRPr="00150EDC">
        <w:rPr>
          <w:sz w:val="24"/>
        </w:rPr>
        <w:t>to</w:t>
      </w:r>
      <w:r w:rsidRPr="00150EDC">
        <w:rPr>
          <w:spacing w:val="-3"/>
          <w:sz w:val="24"/>
        </w:rPr>
        <w:t xml:space="preserve"> </w:t>
      </w:r>
      <w:r w:rsidRPr="00150EDC">
        <w:rPr>
          <w:sz w:val="24"/>
        </w:rPr>
        <w:t>in</w:t>
      </w:r>
      <w:r w:rsidRPr="00150EDC">
        <w:rPr>
          <w:spacing w:val="-1"/>
          <w:sz w:val="24"/>
        </w:rPr>
        <w:t xml:space="preserve"> </w:t>
      </w:r>
      <w:r w:rsidRPr="00150EDC">
        <w:rPr>
          <w:sz w:val="24"/>
        </w:rPr>
        <w:t>Paragraph</w:t>
      </w:r>
      <w:r w:rsidRPr="00150EDC">
        <w:rPr>
          <w:spacing w:val="-3"/>
          <w:sz w:val="24"/>
        </w:rPr>
        <w:t xml:space="preserve"> </w:t>
      </w:r>
      <w:r w:rsidRPr="00150EDC">
        <w:rPr>
          <w:spacing w:val="-2"/>
          <w:sz w:val="24"/>
        </w:rPr>
        <w:t>1.2.2:</w:t>
      </w:r>
    </w:p>
    <w:p w14:paraId="7B348C7C" w14:textId="77777777" w:rsidR="004C7180" w:rsidRPr="00150EDC" w:rsidRDefault="00CF0754" w:rsidP="00B320C7">
      <w:pPr>
        <w:pStyle w:val="ListParagraph"/>
        <w:numPr>
          <w:ilvl w:val="2"/>
          <w:numId w:val="86"/>
        </w:numPr>
        <w:tabs>
          <w:tab w:val="left" w:pos="3679"/>
        </w:tabs>
        <w:spacing w:before="120"/>
        <w:ind w:left="3679" w:hanging="1147"/>
        <w:rPr>
          <w:sz w:val="24"/>
        </w:rPr>
      </w:pPr>
      <w:r w:rsidRPr="00150EDC">
        <w:rPr>
          <w:sz w:val="24"/>
        </w:rPr>
        <w:t>no</w:t>
      </w:r>
      <w:r w:rsidRPr="00150EDC">
        <w:rPr>
          <w:spacing w:val="-1"/>
          <w:sz w:val="24"/>
        </w:rPr>
        <w:t xml:space="preserve"> </w:t>
      </w:r>
      <w:r w:rsidRPr="00150EDC">
        <w:rPr>
          <w:sz w:val="24"/>
        </w:rPr>
        <w:t>such</w:t>
      </w:r>
      <w:r w:rsidRPr="00150EDC">
        <w:rPr>
          <w:spacing w:val="-3"/>
          <w:sz w:val="24"/>
        </w:rPr>
        <w:t xml:space="preserve"> </w:t>
      </w:r>
      <w:r w:rsidRPr="00150EDC">
        <w:rPr>
          <w:sz w:val="24"/>
        </w:rPr>
        <w:t>offer</w:t>
      </w:r>
      <w:r w:rsidRPr="00150EDC">
        <w:rPr>
          <w:spacing w:val="-5"/>
          <w:sz w:val="24"/>
        </w:rPr>
        <w:t xml:space="preserve"> </w:t>
      </w:r>
      <w:r w:rsidRPr="00150EDC">
        <w:rPr>
          <w:sz w:val="24"/>
        </w:rPr>
        <w:t>of employment</w:t>
      </w:r>
      <w:r w:rsidRPr="00150EDC">
        <w:rPr>
          <w:spacing w:val="-1"/>
          <w:sz w:val="24"/>
        </w:rPr>
        <w:t xml:space="preserve"> </w:t>
      </w:r>
      <w:r w:rsidRPr="00150EDC">
        <w:rPr>
          <w:sz w:val="24"/>
        </w:rPr>
        <w:t>has</w:t>
      </w:r>
      <w:r w:rsidRPr="00150EDC">
        <w:rPr>
          <w:spacing w:val="-2"/>
          <w:sz w:val="24"/>
        </w:rPr>
        <w:t xml:space="preserve"> </w:t>
      </w:r>
      <w:r w:rsidRPr="00150EDC">
        <w:rPr>
          <w:sz w:val="24"/>
        </w:rPr>
        <w:t>been</w:t>
      </w:r>
      <w:r w:rsidRPr="00150EDC">
        <w:rPr>
          <w:spacing w:val="-2"/>
          <w:sz w:val="24"/>
        </w:rPr>
        <w:t xml:space="preserve"> </w:t>
      </w:r>
      <w:r w:rsidRPr="00150EDC">
        <w:rPr>
          <w:spacing w:val="-4"/>
          <w:sz w:val="24"/>
        </w:rPr>
        <w:t>made;</w:t>
      </w:r>
    </w:p>
    <w:p w14:paraId="29FE7705" w14:textId="77777777" w:rsidR="004C7180" w:rsidRPr="00150EDC" w:rsidRDefault="00CF0754" w:rsidP="00B320C7">
      <w:pPr>
        <w:pStyle w:val="ListParagraph"/>
        <w:numPr>
          <w:ilvl w:val="2"/>
          <w:numId w:val="86"/>
        </w:numPr>
        <w:tabs>
          <w:tab w:val="left" w:pos="3612"/>
        </w:tabs>
        <w:spacing w:before="120"/>
        <w:rPr>
          <w:sz w:val="24"/>
        </w:rPr>
      </w:pPr>
      <w:r w:rsidRPr="00150EDC">
        <w:rPr>
          <w:sz w:val="24"/>
        </w:rPr>
        <w:t>such</w:t>
      </w:r>
      <w:r w:rsidRPr="00150EDC">
        <w:rPr>
          <w:spacing w:val="-1"/>
          <w:sz w:val="24"/>
        </w:rPr>
        <w:t xml:space="preserve"> </w:t>
      </w:r>
      <w:r w:rsidRPr="00150EDC">
        <w:rPr>
          <w:sz w:val="24"/>
        </w:rPr>
        <w:t>offer</w:t>
      </w:r>
      <w:r w:rsidRPr="00150EDC">
        <w:rPr>
          <w:spacing w:val="-2"/>
          <w:sz w:val="24"/>
        </w:rPr>
        <w:t xml:space="preserve"> </w:t>
      </w:r>
      <w:r w:rsidRPr="00150EDC">
        <w:rPr>
          <w:sz w:val="24"/>
        </w:rPr>
        <w:t>has</w:t>
      </w:r>
      <w:r w:rsidRPr="00150EDC">
        <w:rPr>
          <w:spacing w:val="-2"/>
          <w:sz w:val="24"/>
        </w:rPr>
        <w:t xml:space="preserve"> </w:t>
      </w:r>
      <w:r w:rsidRPr="00150EDC">
        <w:rPr>
          <w:sz w:val="24"/>
        </w:rPr>
        <w:t>been made</w:t>
      </w:r>
      <w:r w:rsidRPr="00150EDC">
        <w:rPr>
          <w:spacing w:val="-2"/>
          <w:sz w:val="24"/>
        </w:rPr>
        <w:t xml:space="preserve"> </w:t>
      </w:r>
      <w:r w:rsidRPr="00150EDC">
        <w:rPr>
          <w:sz w:val="24"/>
        </w:rPr>
        <w:t>but</w:t>
      </w:r>
      <w:r w:rsidRPr="00150EDC">
        <w:rPr>
          <w:spacing w:val="-4"/>
          <w:sz w:val="24"/>
        </w:rPr>
        <w:t xml:space="preserve"> </w:t>
      </w:r>
      <w:r w:rsidRPr="00150EDC">
        <w:rPr>
          <w:sz w:val="24"/>
        </w:rPr>
        <w:t>not accepted;</w:t>
      </w:r>
      <w:r w:rsidRPr="00150EDC">
        <w:rPr>
          <w:spacing w:val="-3"/>
          <w:sz w:val="24"/>
        </w:rPr>
        <w:t xml:space="preserve"> </w:t>
      </w:r>
      <w:r w:rsidRPr="00150EDC">
        <w:rPr>
          <w:spacing w:val="-5"/>
          <w:sz w:val="24"/>
        </w:rPr>
        <w:t>or</w:t>
      </w:r>
    </w:p>
    <w:p w14:paraId="2228CBF7" w14:textId="77777777" w:rsidR="004C7180" w:rsidRPr="00150EDC" w:rsidRDefault="00CF0754" w:rsidP="00B320C7">
      <w:pPr>
        <w:pStyle w:val="ListParagraph"/>
        <w:numPr>
          <w:ilvl w:val="2"/>
          <w:numId w:val="86"/>
        </w:numPr>
        <w:tabs>
          <w:tab w:val="left" w:pos="3612"/>
        </w:tabs>
        <w:spacing w:before="120"/>
        <w:rPr>
          <w:sz w:val="24"/>
        </w:rPr>
      </w:pPr>
      <w:r w:rsidRPr="00150EDC">
        <w:rPr>
          <w:sz w:val="24"/>
        </w:rPr>
        <w:t>the</w:t>
      </w:r>
      <w:r w:rsidRPr="00150EDC">
        <w:rPr>
          <w:spacing w:val="-2"/>
          <w:sz w:val="24"/>
        </w:rPr>
        <w:t xml:space="preserve"> </w:t>
      </w:r>
      <w:r w:rsidRPr="00150EDC">
        <w:rPr>
          <w:sz w:val="24"/>
        </w:rPr>
        <w:t>situation</w:t>
      </w:r>
      <w:r w:rsidRPr="00150EDC">
        <w:rPr>
          <w:spacing w:val="-2"/>
          <w:sz w:val="24"/>
        </w:rPr>
        <w:t xml:space="preserve"> </w:t>
      </w:r>
      <w:r w:rsidRPr="00150EDC">
        <w:rPr>
          <w:sz w:val="24"/>
        </w:rPr>
        <w:t>has</w:t>
      </w:r>
      <w:r w:rsidRPr="00150EDC">
        <w:rPr>
          <w:spacing w:val="-3"/>
          <w:sz w:val="24"/>
        </w:rPr>
        <w:t xml:space="preserve"> </w:t>
      </w:r>
      <w:r w:rsidRPr="00150EDC">
        <w:rPr>
          <w:sz w:val="24"/>
        </w:rPr>
        <w:t>not</w:t>
      </w:r>
      <w:r w:rsidRPr="00150EDC">
        <w:rPr>
          <w:spacing w:val="-2"/>
          <w:sz w:val="24"/>
        </w:rPr>
        <w:t xml:space="preserve"> </w:t>
      </w:r>
      <w:r w:rsidRPr="00150EDC">
        <w:rPr>
          <w:sz w:val="24"/>
        </w:rPr>
        <w:t>otherwise</w:t>
      </w:r>
      <w:r w:rsidRPr="00150EDC">
        <w:rPr>
          <w:spacing w:val="-2"/>
          <w:sz w:val="24"/>
        </w:rPr>
        <w:t xml:space="preserve"> </w:t>
      </w:r>
      <w:r w:rsidRPr="00150EDC">
        <w:rPr>
          <w:sz w:val="24"/>
        </w:rPr>
        <w:t>been</w:t>
      </w:r>
      <w:r w:rsidRPr="00150EDC">
        <w:rPr>
          <w:spacing w:val="-1"/>
          <w:sz w:val="24"/>
        </w:rPr>
        <w:t xml:space="preserve"> </w:t>
      </w:r>
      <w:r w:rsidRPr="00150EDC">
        <w:rPr>
          <w:spacing w:val="-2"/>
          <w:sz w:val="24"/>
        </w:rPr>
        <w:t>resolved;</w:t>
      </w:r>
    </w:p>
    <w:p w14:paraId="122591B5" w14:textId="77777777" w:rsidR="004C7180" w:rsidRPr="00150EDC" w:rsidRDefault="00CF0754">
      <w:pPr>
        <w:pStyle w:val="BodyText"/>
        <w:spacing w:before="120"/>
        <w:ind w:left="2532" w:right="1459" w:hanging="1080"/>
      </w:pPr>
      <w:r w:rsidRPr="00150EDC">
        <w:t>the Supplier may within 5</w:t>
      </w:r>
      <w:r w:rsidRPr="00150EDC">
        <w:rPr>
          <w:spacing w:val="-1"/>
        </w:rPr>
        <w:t xml:space="preserve"> </w:t>
      </w:r>
      <w:r w:rsidRPr="00150EDC">
        <w:t>Working Days give notice to terminate the employment or alleged employment of such person.</w:t>
      </w:r>
    </w:p>
    <w:p w14:paraId="46539177" w14:textId="77777777" w:rsidR="004C7180" w:rsidRPr="00150EDC" w:rsidRDefault="004C7180">
      <w:pPr>
        <w:pStyle w:val="BodyText"/>
        <w:rPr>
          <w:sz w:val="26"/>
        </w:rPr>
      </w:pPr>
    </w:p>
    <w:p w14:paraId="0F004B5D" w14:textId="77777777" w:rsidR="004C7180" w:rsidRPr="00150EDC" w:rsidRDefault="00CF0754" w:rsidP="00B320C7">
      <w:pPr>
        <w:pStyle w:val="ListParagraph"/>
        <w:numPr>
          <w:ilvl w:val="1"/>
          <w:numId w:val="86"/>
        </w:numPr>
        <w:tabs>
          <w:tab w:val="left" w:pos="2116"/>
          <w:tab w:val="left" w:pos="2119"/>
        </w:tabs>
        <w:spacing w:before="217"/>
        <w:ind w:left="2119" w:right="1435"/>
        <w:jc w:val="both"/>
        <w:rPr>
          <w:sz w:val="24"/>
        </w:rPr>
      </w:pPr>
      <w:r w:rsidRPr="00150EDC">
        <w:rPr>
          <w:sz w:val="24"/>
        </w:rPr>
        <w:t>Subject</w:t>
      </w:r>
      <w:r w:rsidRPr="00150EDC">
        <w:rPr>
          <w:spacing w:val="-4"/>
          <w:sz w:val="24"/>
        </w:rPr>
        <w:t xml:space="preserve"> </w:t>
      </w:r>
      <w:r w:rsidRPr="00150EDC">
        <w:rPr>
          <w:sz w:val="24"/>
        </w:rPr>
        <w:t>to</w:t>
      </w:r>
      <w:r w:rsidRPr="00150EDC">
        <w:rPr>
          <w:spacing w:val="-3"/>
          <w:sz w:val="24"/>
        </w:rPr>
        <w:t xml:space="preserve"> </w:t>
      </w:r>
      <w:r w:rsidRPr="00150EDC">
        <w:rPr>
          <w:sz w:val="24"/>
        </w:rPr>
        <w:t>the</w:t>
      </w:r>
      <w:r w:rsidRPr="00150EDC">
        <w:rPr>
          <w:spacing w:val="-3"/>
          <w:sz w:val="24"/>
        </w:rPr>
        <w:t xml:space="preserve"> </w:t>
      </w:r>
      <w:r w:rsidRPr="00150EDC">
        <w:rPr>
          <w:sz w:val="24"/>
        </w:rPr>
        <w:t>Supplier</w:t>
      </w:r>
      <w:r w:rsidRPr="00150EDC">
        <w:rPr>
          <w:spacing w:val="-3"/>
          <w:sz w:val="24"/>
        </w:rPr>
        <w:t xml:space="preserve"> </w:t>
      </w:r>
      <w:r w:rsidRPr="00150EDC">
        <w:rPr>
          <w:sz w:val="24"/>
        </w:rPr>
        <w:t>and/or</w:t>
      </w:r>
      <w:r w:rsidRPr="00150EDC">
        <w:rPr>
          <w:spacing w:val="-5"/>
          <w:sz w:val="24"/>
        </w:rPr>
        <w:t xml:space="preserve"> </w:t>
      </w:r>
      <w:r w:rsidRPr="00150EDC">
        <w:rPr>
          <w:sz w:val="24"/>
        </w:rPr>
        <w:t>the</w:t>
      </w:r>
      <w:r w:rsidRPr="00150EDC">
        <w:rPr>
          <w:spacing w:val="-3"/>
          <w:sz w:val="24"/>
        </w:rPr>
        <w:t xml:space="preserve"> </w:t>
      </w:r>
      <w:r w:rsidRPr="00150EDC">
        <w:rPr>
          <w:sz w:val="24"/>
        </w:rPr>
        <w:t>relevant</w:t>
      </w:r>
      <w:r w:rsidRPr="00150EDC">
        <w:rPr>
          <w:spacing w:val="-4"/>
          <w:sz w:val="24"/>
        </w:rPr>
        <w:t xml:space="preserve"> </w:t>
      </w:r>
      <w:r w:rsidRPr="00150EDC">
        <w:rPr>
          <w:sz w:val="24"/>
        </w:rPr>
        <w:t>Subcontractor</w:t>
      </w:r>
      <w:r w:rsidRPr="00150EDC">
        <w:rPr>
          <w:spacing w:val="-5"/>
          <w:sz w:val="24"/>
        </w:rPr>
        <w:t xml:space="preserve"> </w:t>
      </w:r>
      <w:r w:rsidRPr="00150EDC">
        <w:rPr>
          <w:sz w:val="24"/>
        </w:rPr>
        <w:t>acting</w:t>
      </w:r>
      <w:r w:rsidRPr="00150EDC">
        <w:rPr>
          <w:spacing w:val="-3"/>
          <w:sz w:val="24"/>
        </w:rPr>
        <w:t xml:space="preserve"> </w:t>
      </w:r>
      <w:r w:rsidRPr="00150EDC">
        <w:rPr>
          <w:sz w:val="24"/>
        </w:rPr>
        <w:t>in</w:t>
      </w:r>
      <w:r w:rsidRPr="00150EDC">
        <w:rPr>
          <w:spacing w:val="-3"/>
          <w:sz w:val="24"/>
        </w:rPr>
        <w:t xml:space="preserve"> </w:t>
      </w:r>
      <w:r w:rsidRPr="00150EDC">
        <w:rPr>
          <w:sz w:val="24"/>
        </w:rPr>
        <w:t>accordance with the provisions of Paragraphs</w:t>
      </w:r>
      <w:r w:rsidRPr="00150EDC">
        <w:rPr>
          <w:spacing w:val="-4"/>
          <w:sz w:val="24"/>
        </w:rPr>
        <w:t xml:space="preserve"> </w:t>
      </w:r>
      <w:r w:rsidRPr="00150EDC">
        <w:rPr>
          <w:sz w:val="24"/>
        </w:rPr>
        <w:t>1.2 to</w:t>
      </w:r>
      <w:r w:rsidRPr="00150EDC">
        <w:rPr>
          <w:spacing w:val="-2"/>
          <w:sz w:val="24"/>
        </w:rPr>
        <w:t xml:space="preserve"> </w:t>
      </w:r>
      <w:r w:rsidRPr="00150EDC">
        <w:rPr>
          <w:sz w:val="24"/>
        </w:rPr>
        <w:t>1.4</w:t>
      </w:r>
      <w:r w:rsidRPr="00150EDC">
        <w:rPr>
          <w:spacing w:val="40"/>
          <w:sz w:val="24"/>
        </w:rPr>
        <w:t xml:space="preserve"> </w:t>
      </w:r>
      <w:r w:rsidRPr="00150EDC">
        <w:rPr>
          <w:sz w:val="24"/>
        </w:rPr>
        <w:t>and in accordance with all applicable employment procedures set out in applicable Law and subject also to Paragraph 1.8 the Buyer shall:</w:t>
      </w:r>
    </w:p>
    <w:p w14:paraId="1957ED0E" w14:textId="77777777" w:rsidR="004C7180" w:rsidRPr="00150EDC" w:rsidRDefault="00CF0754" w:rsidP="00B320C7">
      <w:pPr>
        <w:pStyle w:val="ListParagraph"/>
        <w:numPr>
          <w:ilvl w:val="2"/>
          <w:numId w:val="86"/>
        </w:numPr>
        <w:tabs>
          <w:tab w:val="left" w:pos="3612"/>
        </w:tabs>
        <w:spacing w:before="120"/>
        <w:ind w:right="1435"/>
        <w:jc w:val="both"/>
        <w:rPr>
          <w:sz w:val="24"/>
        </w:rPr>
      </w:pPr>
      <w:r w:rsidRPr="00150EDC">
        <w:rPr>
          <w:sz w:val="24"/>
        </w:rPr>
        <w:t>indemnify</w:t>
      </w:r>
      <w:r w:rsidRPr="00150EDC">
        <w:rPr>
          <w:spacing w:val="-9"/>
          <w:sz w:val="24"/>
        </w:rPr>
        <w:t xml:space="preserve"> </w:t>
      </w:r>
      <w:r w:rsidRPr="00150EDC">
        <w:rPr>
          <w:sz w:val="24"/>
        </w:rPr>
        <w:t>the</w:t>
      </w:r>
      <w:r w:rsidRPr="00150EDC">
        <w:rPr>
          <w:spacing w:val="-10"/>
          <w:sz w:val="24"/>
        </w:rPr>
        <w:t xml:space="preserve"> </w:t>
      </w:r>
      <w:r w:rsidRPr="00150EDC">
        <w:rPr>
          <w:sz w:val="24"/>
        </w:rPr>
        <w:t>Supplier</w:t>
      </w:r>
      <w:r w:rsidRPr="00150EDC">
        <w:rPr>
          <w:spacing w:val="-10"/>
          <w:sz w:val="24"/>
        </w:rPr>
        <w:t xml:space="preserve"> </w:t>
      </w:r>
      <w:r w:rsidRPr="00150EDC">
        <w:rPr>
          <w:sz w:val="24"/>
        </w:rPr>
        <w:t>and/or</w:t>
      </w:r>
      <w:r w:rsidRPr="00150EDC">
        <w:rPr>
          <w:spacing w:val="-9"/>
          <w:sz w:val="24"/>
        </w:rPr>
        <w:t xml:space="preserve"> </w:t>
      </w:r>
      <w:r w:rsidRPr="00150EDC">
        <w:rPr>
          <w:sz w:val="24"/>
        </w:rPr>
        <w:t>the</w:t>
      </w:r>
      <w:r w:rsidRPr="00150EDC">
        <w:rPr>
          <w:spacing w:val="-8"/>
          <w:sz w:val="24"/>
        </w:rPr>
        <w:t xml:space="preserve"> </w:t>
      </w:r>
      <w:r w:rsidRPr="00150EDC">
        <w:rPr>
          <w:sz w:val="24"/>
        </w:rPr>
        <w:t>relevant</w:t>
      </w:r>
      <w:r w:rsidRPr="00150EDC">
        <w:rPr>
          <w:spacing w:val="-8"/>
          <w:sz w:val="24"/>
        </w:rPr>
        <w:t xml:space="preserve"> </w:t>
      </w:r>
      <w:r w:rsidRPr="00150EDC">
        <w:rPr>
          <w:sz w:val="24"/>
        </w:rPr>
        <w:t>Subcontractor</w:t>
      </w:r>
      <w:r w:rsidRPr="00150EDC">
        <w:rPr>
          <w:spacing w:val="-9"/>
          <w:sz w:val="24"/>
        </w:rPr>
        <w:t xml:space="preserve"> </w:t>
      </w:r>
      <w:r w:rsidRPr="00150EDC">
        <w:rPr>
          <w:sz w:val="24"/>
        </w:rPr>
        <w:t>against all Employee Liabilities arising out of the termination of the employment of any of the Buyer's employees referred to in Paragraph</w:t>
      </w:r>
      <w:r w:rsidRPr="00150EDC">
        <w:rPr>
          <w:spacing w:val="-5"/>
          <w:sz w:val="24"/>
        </w:rPr>
        <w:t xml:space="preserve"> </w:t>
      </w:r>
      <w:r w:rsidRPr="00150EDC">
        <w:rPr>
          <w:sz w:val="24"/>
        </w:rPr>
        <w:t>1.2</w:t>
      </w:r>
      <w:r w:rsidRPr="00150EDC">
        <w:rPr>
          <w:spacing w:val="-12"/>
          <w:sz w:val="24"/>
        </w:rPr>
        <w:t xml:space="preserve"> </w:t>
      </w:r>
      <w:r w:rsidRPr="00150EDC">
        <w:rPr>
          <w:sz w:val="24"/>
        </w:rPr>
        <w:t>made</w:t>
      </w:r>
      <w:r w:rsidRPr="00150EDC">
        <w:rPr>
          <w:spacing w:val="-9"/>
          <w:sz w:val="24"/>
        </w:rPr>
        <w:t xml:space="preserve"> </w:t>
      </w:r>
      <w:r w:rsidRPr="00150EDC">
        <w:rPr>
          <w:sz w:val="24"/>
        </w:rPr>
        <w:t>pursuant</w:t>
      </w:r>
      <w:r w:rsidRPr="00150EDC">
        <w:rPr>
          <w:spacing w:val="-12"/>
          <w:sz w:val="24"/>
        </w:rPr>
        <w:t xml:space="preserve"> </w:t>
      </w:r>
      <w:r w:rsidRPr="00150EDC">
        <w:rPr>
          <w:sz w:val="24"/>
        </w:rPr>
        <w:t>to</w:t>
      </w:r>
      <w:r w:rsidRPr="00150EDC">
        <w:rPr>
          <w:spacing w:val="-9"/>
          <w:sz w:val="24"/>
        </w:rPr>
        <w:t xml:space="preserve"> </w:t>
      </w:r>
      <w:r w:rsidRPr="00150EDC">
        <w:rPr>
          <w:sz w:val="24"/>
        </w:rPr>
        <w:t>the</w:t>
      </w:r>
      <w:r w:rsidRPr="00150EDC">
        <w:rPr>
          <w:spacing w:val="-9"/>
          <w:sz w:val="24"/>
        </w:rPr>
        <w:t xml:space="preserve"> </w:t>
      </w:r>
      <w:r w:rsidRPr="00150EDC">
        <w:rPr>
          <w:sz w:val="24"/>
        </w:rPr>
        <w:t>provisions</w:t>
      </w:r>
      <w:r w:rsidRPr="00150EDC">
        <w:rPr>
          <w:spacing w:val="-10"/>
          <w:sz w:val="24"/>
        </w:rPr>
        <w:t xml:space="preserve"> </w:t>
      </w:r>
      <w:r w:rsidRPr="00150EDC">
        <w:rPr>
          <w:sz w:val="24"/>
        </w:rPr>
        <w:t>of</w:t>
      </w:r>
      <w:r w:rsidRPr="00150EDC">
        <w:rPr>
          <w:spacing w:val="-10"/>
          <w:sz w:val="24"/>
        </w:rPr>
        <w:t xml:space="preserve"> </w:t>
      </w:r>
      <w:r w:rsidRPr="00150EDC">
        <w:rPr>
          <w:sz w:val="24"/>
        </w:rPr>
        <w:t>Paragraph</w:t>
      </w:r>
      <w:r w:rsidRPr="00150EDC">
        <w:rPr>
          <w:spacing w:val="-3"/>
          <w:sz w:val="24"/>
        </w:rPr>
        <w:t xml:space="preserve"> </w:t>
      </w:r>
      <w:r w:rsidRPr="00150EDC">
        <w:rPr>
          <w:sz w:val="24"/>
        </w:rPr>
        <w:t>1.4 provided</w:t>
      </w:r>
      <w:r w:rsidRPr="00150EDC">
        <w:rPr>
          <w:spacing w:val="80"/>
          <w:sz w:val="24"/>
        </w:rPr>
        <w:t xml:space="preserve"> </w:t>
      </w:r>
      <w:r w:rsidRPr="00150EDC">
        <w:rPr>
          <w:sz w:val="24"/>
        </w:rPr>
        <w:t>that</w:t>
      </w:r>
      <w:r w:rsidRPr="00150EDC">
        <w:rPr>
          <w:spacing w:val="80"/>
          <w:sz w:val="24"/>
        </w:rPr>
        <w:t xml:space="preserve"> </w:t>
      </w:r>
      <w:r w:rsidRPr="00150EDC">
        <w:rPr>
          <w:sz w:val="24"/>
        </w:rPr>
        <w:t>the</w:t>
      </w:r>
      <w:r w:rsidRPr="00150EDC">
        <w:rPr>
          <w:spacing w:val="80"/>
          <w:sz w:val="24"/>
        </w:rPr>
        <w:t xml:space="preserve"> </w:t>
      </w:r>
      <w:r w:rsidRPr="00150EDC">
        <w:rPr>
          <w:sz w:val="24"/>
        </w:rPr>
        <w:t>Supplier</w:t>
      </w:r>
      <w:r w:rsidRPr="00150EDC">
        <w:rPr>
          <w:spacing w:val="80"/>
          <w:sz w:val="24"/>
        </w:rPr>
        <w:t xml:space="preserve"> </w:t>
      </w:r>
      <w:r w:rsidRPr="00150EDC">
        <w:rPr>
          <w:sz w:val="24"/>
        </w:rPr>
        <w:t>takes,</w:t>
      </w:r>
      <w:r w:rsidRPr="00150EDC">
        <w:rPr>
          <w:spacing w:val="80"/>
          <w:sz w:val="24"/>
        </w:rPr>
        <w:t xml:space="preserve"> </w:t>
      </w:r>
      <w:r w:rsidRPr="00150EDC">
        <w:rPr>
          <w:sz w:val="24"/>
        </w:rPr>
        <w:t>or</w:t>
      </w:r>
      <w:r w:rsidRPr="00150EDC">
        <w:rPr>
          <w:spacing w:val="80"/>
          <w:sz w:val="24"/>
        </w:rPr>
        <w:t xml:space="preserve"> </w:t>
      </w:r>
      <w:r w:rsidRPr="00150EDC">
        <w:rPr>
          <w:sz w:val="24"/>
        </w:rPr>
        <w:t>shall</w:t>
      </w:r>
      <w:r w:rsidRPr="00150EDC">
        <w:rPr>
          <w:spacing w:val="80"/>
          <w:sz w:val="24"/>
        </w:rPr>
        <w:t xml:space="preserve"> </w:t>
      </w:r>
      <w:r w:rsidRPr="00150EDC">
        <w:rPr>
          <w:sz w:val="24"/>
        </w:rPr>
        <w:t>procure</w:t>
      </w:r>
      <w:r w:rsidRPr="00150EDC">
        <w:rPr>
          <w:spacing w:val="80"/>
          <w:sz w:val="24"/>
        </w:rPr>
        <w:t xml:space="preserve"> </w:t>
      </w:r>
      <w:r w:rsidRPr="00150EDC">
        <w:rPr>
          <w:sz w:val="24"/>
        </w:rPr>
        <w:t>that</w:t>
      </w:r>
      <w:r w:rsidRPr="00150EDC">
        <w:rPr>
          <w:spacing w:val="80"/>
          <w:sz w:val="24"/>
        </w:rPr>
        <w:t xml:space="preserve"> </w:t>
      </w:r>
      <w:r w:rsidRPr="00150EDC">
        <w:rPr>
          <w:sz w:val="24"/>
        </w:rPr>
        <w:t>the</w:t>
      </w:r>
    </w:p>
    <w:p w14:paraId="5D2DE363" w14:textId="77777777" w:rsidR="004C7180" w:rsidRPr="00150EDC" w:rsidRDefault="004C7180">
      <w:pPr>
        <w:jc w:val="both"/>
        <w:rPr>
          <w:sz w:val="24"/>
        </w:rPr>
        <w:sectPr w:rsidR="004C7180" w:rsidRPr="00150EDC">
          <w:pgSz w:w="11910" w:h="16840"/>
          <w:pgMar w:top="1380" w:right="0" w:bottom="1380" w:left="40" w:header="715" w:footer="1192" w:gutter="0"/>
          <w:cols w:space="720"/>
        </w:sectPr>
      </w:pPr>
    </w:p>
    <w:p w14:paraId="44793ABC" w14:textId="77777777" w:rsidR="004C7180" w:rsidRPr="00150EDC" w:rsidRDefault="004C7180">
      <w:pPr>
        <w:pStyle w:val="BodyText"/>
        <w:spacing w:before="5"/>
        <w:rPr>
          <w:sz w:val="15"/>
        </w:rPr>
      </w:pPr>
    </w:p>
    <w:p w14:paraId="79CF1C1B" w14:textId="77777777" w:rsidR="004C7180" w:rsidRPr="00150EDC" w:rsidRDefault="00CF0754">
      <w:pPr>
        <w:pStyle w:val="BodyText"/>
        <w:spacing w:before="92"/>
        <w:ind w:left="3612" w:right="1438"/>
        <w:jc w:val="both"/>
      </w:pPr>
      <w:r w:rsidRPr="00150EDC">
        <w:t>Subcontractor takes, all reasonable steps to minimise any such Employee Liabilities; and</w:t>
      </w:r>
    </w:p>
    <w:p w14:paraId="19762189" w14:textId="77777777" w:rsidR="004C7180" w:rsidRPr="00150EDC" w:rsidRDefault="00CF0754" w:rsidP="00B320C7">
      <w:pPr>
        <w:pStyle w:val="ListParagraph"/>
        <w:numPr>
          <w:ilvl w:val="2"/>
          <w:numId w:val="86"/>
        </w:numPr>
        <w:tabs>
          <w:tab w:val="left" w:pos="3612"/>
        </w:tabs>
        <w:spacing w:before="120"/>
        <w:ind w:right="1434"/>
        <w:jc w:val="both"/>
        <w:rPr>
          <w:sz w:val="24"/>
        </w:rPr>
      </w:pPr>
      <w:r w:rsidRPr="00150EDC">
        <w:rPr>
          <w:sz w:val="24"/>
        </w:rPr>
        <w:t>procure</w:t>
      </w:r>
      <w:r w:rsidRPr="00150EDC">
        <w:rPr>
          <w:spacing w:val="-7"/>
          <w:sz w:val="24"/>
        </w:rPr>
        <w:t xml:space="preserve"> </w:t>
      </w:r>
      <w:r w:rsidRPr="00150EDC">
        <w:rPr>
          <w:sz w:val="24"/>
        </w:rPr>
        <w:t>that</w:t>
      </w:r>
      <w:r w:rsidRPr="00150EDC">
        <w:rPr>
          <w:spacing w:val="-7"/>
          <w:sz w:val="24"/>
        </w:rPr>
        <w:t xml:space="preserve"> </w:t>
      </w:r>
      <w:r w:rsidRPr="00150EDC">
        <w:rPr>
          <w:sz w:val="24"/>
        </w:rPr>
        <w:t>the</w:t>
      </w:r>
      <w:r w:rsidRPr="00150EDC">
        <w:rPr>
          <w:spacing w:val="-7"/>
          <w:sz w:val="24"/>
        </w:rPr>
        <w:t xml:space="preserve"> </w:t>
      </w:r>
      <w:r w:rsidRPr="00150EDC">
        <w:rPr>
          <w:sz w:val="24"/>
        </w:rPr>
        <w:t>Former</w:t>
      </w:r>
      <w:r w:rsidRPr="00150EDC">
        <w:rPr>
          <w:spacing w:val="-8"/>
          <w:sz w:val="24"/>
        </w:rPr>
        <w:t xml:space="preserve"> </w:t>
      </w:r>
      <w:r w:rsidRPr="00150EDC">
        <w:rPr>
          <w:sz w:val="24"/>
        </w:rPr>
        <w:t>Supplier</w:t>
      </w:r>
      <w:r w:rsidRPr="00150EDC">
        <w:rPr>
          <w:spacing w:val="-8"/>
          <w:sz w:val="24"/>
        </w:rPr>
        <w:t xml:space="preserve"> </w:t>
      </w:r>
      <w:r w:rsidRPr="00150EDC">
        <w:rPr>
          <w:sz w:val="24"/>
        </w:rPr>
        <w:t>indemnifies</w:t>
      </w:r>
      <w:r w:rsidRPr="00150EDC">
        <w:rPr>
          <w:spacing w:val="-8"/>
          <w:sz w:val="24"/>
        </w:rPr>
        <w:t xml:space="preserve"> </w:t>
      </w:r>
      <w:r w:rsidRPr="00150EDC">
        <w:rPr>
          <w:sz w:val="24"/>
        </w:rPr>
        <w:t>the</w:t>
      </w:r>
      <w:r w:rsidRPr="00150EDC">
        <w:rPr>
          <w:spacing w:val="-7"/>
          <w:sz w:val="24"/>
        </w:rPr>
        <w:t xml:space="preserve"> </w:t>
      </w:r>
      <w:r w:rsidRPr="00150EDC">
        <w:rPr>
          <w:sz w:val="24"/>
        </w:rPr>
        <w:t>Supplier</w:t>
      </w:r>
      <w:r w:rsidRPr="00150EDC">
        <w:rPr>
          <w:spacing w:val="-8"/>
          <w:sz w:val="24"/>
        </w:rPr>
        <w:t xml:space="preserve"> </w:t>
      </w:r>
      <w:r w:rsidRPr="00150EDC">
        <w:rPr>
          <w:sz w:val="24"/>
        </w:rPr>
        <w:t>and/or any Subcontractor against all Employee Liabilities arising out of termination of the employment of the employees of the Former Supplier referred to in Paragraph</w:t>
      </w:r>
      <w:r w:rsidRPr="00150EDC">
        <w:rPr>
          <w:spacing w:val="-3"/>
          <w:sz w:val="24"/>
        </w:rPr>
        <w:t xml:space="preserve"> </w:t>
      </w:r>
      <w:r w:rsidRPr="00150EDC">
        <w:rPr>
          <w:sz w:val="24"/>
        </w:rPr>
        <w:t>1.2 made pursuant to the provisions of Paragraph</w:t>
      </w:r>
      <w:r w:rsidRPr="00150EDC">
        <w:rPr>
          <w:spacing w:val="-2"/>
          <w:sz w:val="24"/>
        </w:rPr>
        <w:t xml:space="preserve"> </w:t>
      </w:r>
      <w:r w:rsidRPr="00150EDC">
        <w:rPr>
          <w:sz w:val="24"/>
        </w:rPr>
        <w:t>1.4 provided that the Supplier takes, or shall procure that the relevant Subcontractor takes, all reasonable steps to minimise any such Employee Liabilities.</w:t>
      </w:r>
    </w:p>
    <w:p w14:paraId="63F143A2" w14:textId="77777777" w:rsidR="004C7180" w:rsidRPr="00150EDC" w:rsidRDefault="00CF0754" w:rsidP="00B320C7">
      <w:pPr>
        <w:pStyle w:val="ListParagraph"/>
        <w:numPr>
          <w:ilvl w:val="1"/>
          <w:numId w:val="86"/>
        </w:numPr>
        <w:tabs>
          <w:tab w:val="left" w:pos="2116"/>
          <w:tab w:val="left" w:pos="2119"/>
        </w:tabs>
        <w:spacing w:before="121"/>
        <w:ind w:left="2119" w:right="1433"/>
        <w:jc w:val="both"/>
        <w:rPr>
          <w:sz w:val="24"/>
        </w:rPr>
      </w:pPr>
      <w:r w:rsidRPr="00150EDC">
        <w:rPr>
          <w:sz w:val="24"/>
        </w:rPr>
        <w:t>If any such person as is described in Paragraph</w:t>
      </w:r>
      <w:r w:rsidRPr="00150EDC">
        <w:rPr>
          <w:spacing w:val="-1"/>
          <w:sz w:val="24"/>
        </w:rPr>
        <w:t xml:space="preserve"> </w:t>
      </w:r>
      <w:r w:rsidRPr="00150EDC">
        <w:rPr>
          <w:sz w:val="24"/>
        </w:rPr>
        <w:t>1.2 is neither re employed by the Buyer and/or the Former Supplier as appropriate nor dismissed by the Supplier and/or any Subcontractor within the 15</w:t>
      </w:r>
      <w:r w:rsidRPr="00150EDC">
        <w:rPr>
          <w:spacing w:val="-4"/>
          <w:sz w:val="24"/>
        </w:rPr>
        <w:t xml:space="preserve"> </w:t>
      </w:r>
      <w:r w:rsidRPr="00150EDC">
        <w:rPr>
          <w:sz w:val="24"/>
        </w:rPr>
        <w:t>Working Day period referred to in Paragraph</w:t>
      </w:r>
      <w:r w:rsidRPr="00150EDC">
        <w:rPr>
          <w:spacing w:val="-1"/>
          <w:sz w:val="24"/>
        </w:rPr>
        <w:t xml:space="preserve"> </w:t>
      </w:r>
      <w:r w:rsidRPr="00150EDC">
        <w:rPr>
          <w:sz w:val="24"/>
        </w:rPr>
        <w:t>1.4 such person shall be treated as having transferred to the Supplier and/or the Subcontractor (as appropriate) and the Supplier shall, or shall</w:t>
      </w:r>
      <w:r w:rsidRPr="00150EDC">
        <w:rPr>
          <w:spacing w:val="-10"/>
          <w:sz w:val="24"/>
        </w:rPr>
        <w:t xml:space="preserve"> </w:t>
      </w:r>
      <w:r w:rsidRPr="00150EDC">
        <w:rPr>
          <w:sz w:val="24"/>
        </w:rPr>
        <w:t>procure</w:t>
      </w:r>
      <w:r w:rsidRPr="00150EDC">
        <w:rPr>
          <w:spacing w:val="-8"/>
          <w:sz w:val="24"/>
        </w:rPr>
        <w:t xml:space="preserve"> </w:t>
      </w:r>
      <w:r w:rsidRPr="00150EDC">
        <w:rPr>
          <w:sz w:val="24"/>
        </w:rPr>
        <w:t>that</w:t>
      </w:r>
      <w:r w:rsidRPr="00150EDC">
        <w:rPr>
          <w:spacing w:val="-9"/>
          <w:sz w:val="24"/>
        </w:rPr>
        <w:t xml:space="preserve"> </w:t>
      </w:r>
      <w:r w:rsidRPr="00150EDC">
        <w:rPr>
          <w:sz w:val="24"/>
        </w:rPr>
        <w:t>the</w:t>
      </w:r>
      <w:r w:rsidRPr="00150EDC">
        <w:rPr>
          <w:spacing w:val="-8"/>
          <w:sz w:val="24"/>
        </w:rPr>
        <w:t xml:space="preserve"> </w:t>
      </w:r>
      <w:r w:rsidRPr="00150EDC">
        <w:rPr>
          <w:sz w:val="24"/>
        </w:rPr>
        <w:t>Subcontractor</w:t>
      </w:r>
      <w:r w:rsidRPr="00150EDC">
        <w:rPr>
          <w:spacing w:val="-10"/>
          <w:sz w:val="24"/>
        </w:rPr>
        <w:t xml:space="preserve"> </w:t>
      </w:r>
      <w:r w:rsidRPr="00150EDC">
        <w:rPr>
          <w:sz w:val="24"/>
        </w:rPr>
        <w:t>shall,</w:t>
      </w:r>
      <w:r w:rsidRPr="00150EDC">
        <w:rPr>
          <w:spacing w:val="-9"/>
          <w:sz w:val="24"/>
        </w:rPr>
        <w:t xml:space="preserve"> </w:t>
      </w:r>
      <w:r w:rsidRPr="00150EDC">
        <w:rPr>
          <w:sz w:val="24"/>
        </w:rPr>
        <w:t>comply</w:t>
      </w:r>
      <w:r w:rsidRPr="00150EDC">
        <w:rPr>
          <w:spacing w:val="-9"/>
          <w:sz w:val="24"/>
        </w:rPr>
        <w:t xml:space="preserve"> </w:t>
      </w:r>
      <w:r w:rsidRPr="00150EDC">
        <w:rPr>
          <w:sz w:val="24"/>
        </w:rPr>
        <w:t>with</w:t>
      </w:r>
      <w:r w:rsidRPr="00150EDC">
        <w:rPr>
          <w:spacing w:val="-8"/>
          <w:sz w:val="24"/>
        </w:rPr>
        <w:t xml:space="preserve"> </w:t>
      </w:r>
      <w:r w:rsidRPr="00150EDC">
        <w:rPr>
          <w:sz w:val="24"/>
        </w:rPr>
        <w:t>such</w:t>
      </w:r>
      <w:r w:rsidRPr="00150EDC">
        <w:rPr>
          <w:spacing w:val="-9"/>
          <w:sz w:val="24"/>
        </w:rPr>
        <w:t xml:space="preserve"> </w:t>
      </w:r>
      <w:r w:rsidRPr="00150EDC">
        <w:rPr>
          <w:sz w:val="24"/>
        </w:rPr>
        <w:t>obligations</w:t>
      </w:r>
      <w:r w:rsidRPr="00150EDC">
        <w:rPr>
          <w:spacing w:val="-9"/>
          <w:sz w:val="24"/>
        </w:rPr>
        <w:t xml:space="preserve"> </w:t>
      </w:r>
      <w:r w:rsidRPr="00150EDC">
        <w:rPr>
          <w:sz w:val="24"/>
        </w:rPr>
        <w:t>as</w:t>
      </w:r>
      <w:r w:rsidRPr="00150EDC">
        <w:rPr>
          <w:spacing w:val="-12"/>
          <w:sz w:val="24"/>
        </w:rPr>
        <w:t xml:space="preserve"> </w:t>
      </w:r>
      <w:r w:rsidRPr="00150EDC">
        <w:rPr>
          <w:sz w:val="24"/>
        </w:rPr>
        <w:t>may be imposed upon it under Law.</w:t>
      </w:r>
    </w:p>
    <w:p w14:paraId="39BC86E7" w14:textId="77777777" w:rsidR="004C7180" w:rsidRPr="00150EDC" w:rsidRDefault="00CF0754" w:rsidP="00B320C7">
      <w:pPr>
        <w:pStyle w:val="ListParagraph"/>
        <w:numPr>
          <w:ilvl w:val="1"/>
          <w:numId w:val="86"/>
        </w:numPr>
        <w:tabs>
          <w:tab w:val="left" w:pos="2116"/>
          <w:tab w:val="left" w:pos="2119"/>
        </w:tabs>
        <w:spacing w:before="120"/>
        <w:ind w:left="2119" w:right="1431"/>
        <w:jc w:val="both"/>
        <w:rPr>
          <w:sz w:val="24"/>
        </w:rPr>
      </w:pPr>
      <w:r w:rsidRPr="00150EDC">
        <w:rPr>
          <w:sz w:val="24"/>
        </w:rPr>
        <w:t>Where</w:t>
      </w:r>
      <w:r w:rsidRPr="00150EDC">
        <w:rPr>
          <w:spacing w:val="-15"/>
          <w:sz w:val="24"/>
        </w:rPr>
        <w:t xml:space="preserve"> </w:t>
      </w:r>
      <w:r w:rsidRPr="00150EDC">
        <w:rPr>
          <w:sz w:val="24"/>
        </w:rPr>
        <w:t>any</w:t>
      </w:r>
      <w:r w:rsidRPr="00150EDC">
        <w:rPr>
          <w:spacing w:val="-14"/>
          <w:sz w:val="24"/>
        </w:rPr>
        <w:t xml:space="preserve"> </w:t>
      </w:r>
      <w:r w:rsidRPr="00150EDC">
        <w:rPr>
          <w:sz w:val="24"/>
        </w:rPr>
        <w:t>person</w:t>
      </w:r>
      <w:r w:rsidRPr="00150EDC">
        <w:rPr>
          <w:spacing w:val="-13"/>
          <w:sz w:val="24"/>
        </w:rPr>
        <w:t xml:space="preserve"> </w:t>
      </w:r>
      <w:r w:rsidRPr="00150EDC">
        <w:rPr>
          <w:sz w:val="24"/>
        </w:rPr>
        <w:t>remains</w:t>
      </w:r>
      <w:r w:rsidRPr="00150EDC">
        <w:rPr>
          <w:spacing w:val="-14"/>
          <w:sz w:val="24"/>
        </w:rPr>
        <w:t xml:space="preserve"> </w:t>
      </w:r>
      <w:r w:rsidRPr="00150EDC">
        <w:rPr>
          <w:sz w:val="24"/>
        </w:rPr>
        <w:t>employed</w:t>
      </w:r>
      <w:r w:rsidRPr="00150EDC">
        <w:rPr>
          <w:spacing w:val="-13"/>
          <w:sz w:val="24"/>
        </w:rPr>
        <w:t xml:space="preserve"> </w:t>
      </w:r>
      <w:r w:rsidRPr="00150EDC">
        <w:rPr>
          <w:sz w:val="24"/>
        </w:rPr>
        <w:t>by</w:t>
      </w:r>
      <w:r w:rsidRPr="00150EDC">
        <w:rPr>
          <w:spacing w:val="-14"/>
          <w:sz w:val="24"/>
        </w:rPr>
        <w:t xml:space="preserve"> </w:t>
      </w:r>
      <w:r w:rsidRPr="00150EDC">
        <w:rPr>
          <w:sz w:val="24"/>
        </w:rPr>
        <w:t>the</w:t>
      </w:r>
      <w:r w:rsidRPr="00150EDC">
        <w:rPr>
          <w:spacing w:val="-13"/>
          <w:sz w:val="24"/>
        </w:rPr>
        <w:t xml:space="preserve"> </w:t>
      </w:r>
      <w:r w:rsidRPr="00150EDC">
        <w:rPr>
          <w:sz w:val="24"/>
        </w:rPr>
        <w:t>Supplier</w:t>
      </w:r>
      <w:r w:rsidRPr="00150EDC">
        <w:rPr>
          <w:spacing w:val="-15"/>
          <w:sz w:val="24"/>
        </w:rPr>
        <w:t xml:space="preserve"> </w:t>
      </w:r>
      <w:r w:rsidRPr="00150EDC">
        <w:rPr>
          <w:sz w:val="24"/>
        </w:rPr>
        <w:t>and/or</w:t>
      </w:r>
      <w:r w:rsidRPr="00150EDC">
        <w:rPr>
          <w:spacing w:val="-15"/>
          <w:sz w:val="24"/>
        </w:rPr>
        <w:t xml:space="preserve"> </w:t>
      </w:r>
      <w:r w:rsidRPr="00150EDC">
        <w:rPr>
          <w:sz w:val="24"/>
        </w:rPr>
        <w:t>any</w:t>
      </w:r>
      <w:r w:rsidRPr="00150EDC">
        <w:rPr>
          <w:spacing w:val="-14"/>
          <w:sz w:val="24"/>
        </w:rPr>
        <w:t xml:space="preserve"> </w:t>
      </w:r>
      <w:r w:rsidRPr="00150EDC">
        <w:rPr>
          <w:sz w:val="24"/>
        </w:rPr>
        <w:t>Subcontractor pursuant</w:t>
      </w:r>
      <w:r w:rsidRPr="00150EDC">
        <w:rPr>
          <w:spacing w:val="-12"/>
          <w:sz w:val="24"/>
        </w:rPr>
        <w:t xml:space="preserve"> </w:t>
      </w:r>
      <w:r w:rsidRPr="00150EDC">
        <w:rPr>
          <w:sz w:val="24"/>
        </w:rPr>
        <w:t>to</w:t>
      </w:r>
      <w:r w:rsidRPr="00150EDC">
        <w:rPr>
          <w:spacing w:val="-12"/>
          <w:sz w:val="24"/>
        </w:rPr>
        <w:t xml:space="preserve"> </w:t>
      </w:r>
      <w:r w:rsidRPr="00150EDC">
        <w:rPr>
          <w:sz w:val="24"/>
        </w:rPr>
        <w:t>Paragraph</w:t>
      </w:r>
      <w:r w:rsidRPr="00150EDC">
        <w:rPr>
          <w:spacing w:val="-5"/>
          <w:sz w:val="24"/>
        </w:rPr>
        <w:t xml:space="preserve"> </w:t>
      </w:r>
      <w:r w:rsidRPr="00150EDC">
        <w:rPr>
          <w:sz w:val="24"/>
        </w:rPr>
        <w:t>1.6,</w:t>
      </w:r>
      <w:r w:rsidRPr="00150EDC">
        <w:rPr>
          <w:spacing w:val="-14"/>
          <w:sz w:val="24"/>
        </w:rPr>
        <w:t xml:space="preserve"> </w:t>
      </w:r>
      <w:r w:rsidRPr="00150EDC">
        <w:rPr>
          <w:sz w:val="24"/>
        </w:rPr>
        <w:t>all</w:t>
      </w:r>
      <w:r w:rsidRPr="00150EDC">
        <w:rPr>
          <w:spacing w:val="-13"/>
          <w:sz w:val="24"/>
        </w:rPr>
        <w:t xml:space="preserve"> </w:t>
      </w:r>
      <w:r w:rsidRPr="00150EDC">
        <w:rPr>
          <w:sz w:val="24"/>
        </w:rPr>
        <w:t>Employee</w:t>
      </w:r>
      <w:r w:rsidRPr="00150EDC">
        <w:rPr>
          <w:spacing w:val="-14"/>
          <w:sz w:val="24"/>
        </w:rPr>
        <w:t xml:space="preserve"> </w:t>
      </w:r>
      <w:r w:rsidRPr="00150EDC">
        <w:rPr>
          <w:sz w:val="24"/>
        </w:rPr>
        <w:t>Liabilities</w:t>
      </w:r>
      <w:r w:rsidRPr="00150EDC">
        <w:rPr>
          <w:spacing w:val="-13"/>
          <w:sz w:val="24"/>
        </w:rPr>
        <w:t xml:space="preserve"> </w:t>
      </w:r>
      <w:r w:rsidRPr="00150EDC">
        <w:rPr>
          <w:sz w:val="24"/>
        </w:rPr>
        <w:t>in</w:t>
      </w:r>
      <w:r w:rsidRPr="00150EDC">
        <w:rPr>
          <w:spacing w:val="-12"/>
          <w:sz w:val="24"/>
        </w:rPr>
        <w:t xml:space="preserve"> </w:t>
      </w:r>
      <w:r w:rsidRPr="00150EDC">
        <w:rPr>
          <w:sz w:val="24"/>
        </w:rPr>
        <w:t>relation</w:t>
      </w:r>
      <w:r w:rsidRPr="00150EDC">
        <w:rPr>
          <w:spacing w:val="-14"/>
          <w:sz w:val="24"/>
        </w:rPr>
        <w:t xml:space="preserve"> </w:t>
      </w:r>
      <w:r w:rsidRPr="00150EDC">
        <w:rPr>
          <w:sz w:val="24"/>
        </w:rPr>
        <w:t>to</w:t>
      </w:r>
      <w:r w:rsidRPr="00150EDC">
        <w:rPr>
          <w:spacing w:val="-12"/>
          <w:sz w:val="24"/>
        </w:rPr>
        <w:t xml:space="preserve"> </w:t>
      </w:r>
      <w:r w:rsidRPr="00150EDC">
        <w:rPr>
          <w:sz w:val="24"/>
        </w:rPr>
        <w:t>such</w:t>
      </w:r>
      <w:r w:rsidRPr="00150EDC">
        <w:rPr>
          <w:spacing w:val="-14"/>
          <w:sz w:val="24"/>
        </w:rPr>
        <w:t xml:space="preserve"> </w:t>
      </w:r>
      <w:r w:rsidRPr="00150EDC">
        <w:rPr>
          <w:sz w:val="24"/>
        </w:rPr>
        <w:t>employee shall remain with the Supplier and/or the Subcontractor and the Supplier shall indemnify the Buyer and any Former Supplier, and shall procure that the Subcontractor</w:t>
      </w:r>
      <w:r w:rsidRPr="00150EDC">
        <w:rPr>
          <w:spacing w:val="-3"/>
          <w:sz w:val="24"/>
        </w:rPr>
        <w:t xml:space="preserve"> </w:t>
      </w:r>
      <w:r w:rsidRPr="00150EDC">
        <w:rPr>
          <w:sz w:val="24"/>
        </w:rPr>
        <w:t>shall</w:t>
      </w:r>
      <w:r w:rsidRPr="00150EDC">
        <w:rPr>
          <w:spacing w:val="-2"/>
          <w:sz w:val="24"/>
        </w:rPr>
        <w:t xml:space="preserve"> </w:t>
      </w:r>
      <w:r w:rsidRPr="00150EDC">
        <w:rPr>
          <w:sz w:val="24"/>
        </w:rPr>
        <w:t>indemnify</w:t>
      </w:r>
      <w:r w:rsidRPr="00150EDC">
        <w:rPr>
          <w:spacing w:val="-4"/>
          <w:sz w:val="24"/>
        </w:rPr>
        <w:t xml:space="preserve"> </w:t>
      </w:r>
      <w:r w:rsidRPr="00150EDC">
        <w:rPr>
          <w:sz w:val="24"/>
        </w:rPr>
        <w:t>the</w:t>
      </w:r>
      <w:r w:rsidRPr="00150EDC">
        <w:rPr>
          <w:spacing w:val="-3"/>
          <w:sz w:val="24"/>
        </w:rPr>
        <w:t xml:space="preserve"> </w:t>
      </w:r>
      <w:r w:rsidRPr="00150EDC">
        <w:rPr>
          <w:sz w:val="24"/>
        </w:rPr>
        <w:t>Buyer</w:t>
      </w:r>
      <w:r w:rsidRPr="00150EDC">
        <w:rPr>
          <w:spacing w:val="-5"/>
          <w:sz w:val="24"/>
        </w:rPr>
        <w:t xml:space="preserve"> </w:t>
      </w:r>
      <w:r w:rsidRPr="00150EDC">
        <w:rPr>
          <w:sz w:val="24"/>
        </w:rPr>
        <w:t>and</w:t>
      </w:r>
      <w:r w:rsidRPr="00150EDC">
        <w:rPr>
          <w:spacing w:val="-3"/>
          <w:sz w:val="24"/>
        </w:rPr>
        <w:t xml:space="preserve"> </w:t>
      </w:r>
      <w:r w:rsidRPr="00150EDC">
        <w:rPr>
          <w:sz w:val="24"/>
        </w:rPr>
        <w:t>any</w:t>
      </w:r>
      <w:r w:rsidRPr="00150EDC">
        <w:rPr>
          <w:spacing w:val="-2"/>
          <w:sz w:val="24"/>
        </w:rPr>
        <w:t xml:space="preserve"> </w:t>
      </w:r>
      <w:r w:rsidRPr="00150EDC">
        <w:rPr>
          <w:sz w:val="24"/>
        </w:rPr>
        <w:t>Former</w:t>
      </w:r>
      <w:r w:rsidRPr="00150EDC">
        <w:rPr>
          <w:spacing w:val="-5"/>
          <w:sz w:val="24"/>
        </w:rPr>
        <w:t xml:space="preserve"> </w:t>
      </w:r>
      <w:r w:rsidRPr="00150EDC">
        <w:rPr>
          <w:sz w:val="24"/>
        </w:rPr>
        <w:t>Supplier,</w:t>
      </w:r>
      <w:r w:rsidRPr="00150EDC">
        <w:rPr>
          <w:spacing w:val="-1"/>
          <w:sz w:val="24"/>
        </w:rPr>
        <w:t xml:space="preserve"> </w:t>
      </w:r>
      <w:r w:rsidRPr="00150EDC">
        <w:rPr>
          <w:sz w:val="24"/>
        </w:rPr>
        <w:t>against</w:t>
      </w:r>
      <w:r w:rsidRPr="00150EDC">
        <w:rPr>
          <w:spacing w:val="-4"/>
          <w:sz w:val="24"/>
        </w:rPr>
        <w:t xml:space="preserve"> </w:t>
      </w:r>
      <w:r w:rsidRPr="00150EDC">
        <w:rPr>
          <w:sz w:val="24"/>
        </w:rPr>
        <w:t>any Employee Liabilities that either of them may incur in respect of any such employees of the Supplier and/or employees of the Subcontractor.</w:t>
      </w:r>
    </w:p>
    <w:p w14:paraId="109018B9" w14:textId="77777777" w:rsidR="004C7180" w:rsidRPr="00150EDC" w:rsidRDefault="004C7180">
      <w:pPr>
        <w:pStyle w:val="BodyText"/>
        <w:rPr>
          <w:sz w:val="26"/>
        </w:rPr>
      </w:pPr>
    </w:p>
    <w:p w14:paraId="03112BA8" w14:textId="77777777" w:rsidR="004C7180" w:rsidRPr="00150EDC" w:rsidRDefault="00CF0754" w:rsidP="00B320C7">
      <w:pPr>
        <w:pStyle w:val="ListParagraph"/>
        <w:numPr>
          <w:ilvl w:val="1"/>
          <w:numId w:val="86"/>
        </w:numPr>
        <w:tabs>
          <w:tab w:val="left" w:pos="2117"/>
        </w:tabs>
        <w:spacing w:before="207"/>
        <w:ind w:left="2117" w:hanging="717"/>
        <w:jc w:val="both"/>
        <w:rPr>
          <w:sz w:val="24"/>
        </w:rPr>
      </w:pPr>
      <w:r w:rsidRPr="00150EDC">
        <w:rPr>
          <w:sz w:val="24"/>
        </w:rPr>
        <w:t>The</w:t>
      </w:r>
      <w:r w:rsidRPr="00150EDC">
        <w:rPr>
          <w:spacing w:val="-3"/>
          <w:sz w:val="24"/>
        </w:rPr>
        <w:t xml:space="preserve"> </w:t>
      </w:r>
      <w:r w:rsidRPr="00150EDC">
        <w:rPr>
          <w:sz w:val="24"/>
        </w:rPr>
        <w:t>indemnities</w:t>
      </w:r>
      <w:r w:rsidRPr="00150EDC">
        <w:rPr>
          <w:spacing w:val="-4"/>
          <w:sz w:val="24"/>
        </w:rPr>
        <w:t xml:space="preserve"> </w:t>
      </w:r>
      <w:r w:rsidRPr="00150EDC">
        <w:rPr>
          <w:sz w:val="24"/>
        </w:rPr>
        <w:t>in</w:t>
      </w:r>
      <w:r w:rsidRPr="00150EDC">
        <w:rPr>
          <w:spacing w:val="-5"/>
          <w:sz w:val="24"/>
        </w:rPr>
        <w:t xml:space="preserve"> </w:t>
      </w:r>
      <w:r w:rsidRPr="00150EDC">
        <w:rPr>
          <w:sz w:val="24"/>
        </w:rPr>
        <w:t>Paragraph</w:t>
      </w:r>
      <w:r w:rsidRPr="00150EDC">
        <w:rPr>
          <w:spacing w:val="-2"/>
          <w:sz w:val="24"/>
        </w:rPr>
        <w:t xml:space="preserve"> </w:t>
      </w:r>
      <w:r w:rsidRPr="00150EDC">
        <w:rPr>
          <w:spacing w:val="-4"/>
          <w:sz w:val="24"/>
        </w:rPr>
        <w:t>1.5:</w:t>
      </w:r>
    </w:p>
    <w:p w14:paraId="44C47338" w14:textId="77777777" w:rsidR="004C7180" w:rsidRPr="00150EDC" w:rsidRDefault="00CF0754" w:rsidP="00B320C7">
      <w:pPr>
        <w:pStyle w:val="ListParagraph"/>
        <w:numPr>
          <w:ilvl w:val="2"/>
          <w:numId w:val="86"/>
        </w:numPr>
        <w:tabs>
          <w:tab w:val="left" w:pos="3611"/>
        </w:tabs>
        <w:spacing w:before="120"/>
        <w:ind w:left="3611" w:hanging="1079"/>
        <w:jc w:val="both"/>
        <w:rPr>
          <w:sz w:val="24"/>
        </w:rPr>
      </w:pPr>
      <w:r w:rsidRPr="00150EDC">
        <w:rPr>
          <w:sz w:val="24"/>
        </w:rPr>
        <w:t>shall</w:t>
      </w:r>
      <w:r w:rsidRPr="00150EDC">
        <w:rPr>
          <w:spacing w:val="-2"/>
          <w:sz w:val="24"/>
        </w:rPr>
        <w:t xml:space="preserve"> </w:t>
      </w:r>
      <w:r w:rsidRPr="00150EDC">
        <w:rPr>
          <w:sz w:val="24"/>
        </w:rPr>
        <w:t>not</w:t>
      </w:r>
      <w:r w:rsidRPr="00150EDC">
        <w:rPr>
          <w:spacing w:val="-1"/>
          <w:sz w:val="24"/>
        </w:rPr>
        <w:t xml:space="preserve"> </w:t>
      </w:r>
      <w:r w:rsidRPr="00150EDC">
        <w:rPr>
          <w:sz w:val="24"/>
        </w:rPr>
        <w:t>apply</w:t>
      </w:r>
      <w:r w:rsidRPr="00150EDC">
        <w:rPr>
          <w:spacing w:val="-2"/>
          <w:sz w:val="24"/>
        </w:rPr>
        <w:t xml:space="preserve"> </w:t>
      </w:r>
      <w:r w:rsidRPr="00150EDC">
        <w:rPr>
          <w:spacing w:val="-5"/>
          <w:sz w:val="24"/>
        </w:rPr>
        <w:t>to:</w:t>
      </w:r>
    </w:p>
    <w:p w14:paraId="3F85051C" w14:textId="77777777" w:rsidR="004C7180" w:rsidRPr="00150EDC" w:rsidRDefault="00CF0754" w:rsidP="00B320C7">
      <w:pPr>
        <w:pStyle w:val="ListParagraph"/>
        <w:numPr>
          <w:ilvl w:val="3"/>
          <w:numId w:val="86"/>
        </w:numPr>
        <w:tabs>
          <w:tab w:val="left" w:pos="4347"/>
        </w:tabs>
        <w:spacing w:before="120"/>
        <w:ind w:hanging="1147"/>
        <w:jc w:val="both"/>
        <w:rPr>
          <w:sz w:val="24"/>
        </w:rPr>
      </w:pPr>
      <w:r w:rsidRPr="00150EDC">
        <w:rPr>
          <w:sz w:val="24"/>
        </w:rPr>
        <w:t>any</w:t>
      </w:r>
      <w:r w:rsidRPr="00150EDC">
        <w:rPr>
          <w:spacing w:val="-2"/>
          <w:sz w:val="24"/>
        </w:rPr>
        <w:t xml:space="preserve"> </w:t>
      </w:r>
      <w:r w:rsidRPr="00150EDC">
        <w:rPr>
          <w:sz w:val="24"/>
        </w:rPr>
        <w:t xml:space="preserve">claim </w:t>
      </w:r>
      <w:r w:rsidRPr="00150EDC">
        <w:rPr>
          <w:spacing w:val="-4"/>
          <w:sz w:val="24"/>
        </w:rPr>
        <w:t>for:</w:t>
      </w:r>
    </w:p>
    <w:p w14:paraId="6D21E4E0" w14:textId="77777777" w:rsidR="004C7180" w:rsidRPr="00150EDC" w:rsidRDefault="00CF0754" w:rsidP="00B320C7">
      <w:pPr>
        <w:pStyle w:val="ListParagraph"/>
        <w:numPr>
          <w:ilvl w:val="4"/>
          <w:numId w:val="86"/>
        </w:numPr>
        <w:tabs>
          <w:tab w:val="left" w:pos="4886"/>
          <w:tab w:val="left" w:pos="5369"/>
        </w:tabs>
        <w:spacing w:before="120"/>
        <w:ind w:right="1434" w:hanging="992"/>
        <w:jc w:val="both"/>
        <w:rPr>
          <w:sz w:val="24"/>
        </w:rPr>
      </w:pPr>
      <w:r w:rsidRPr="00150EDC">
        <w:rPr>
          <w:sz w:val="24"/>
        </w:rPr>
        <w:t>discrimination,</w:t>
      </w:r>
      <w:r w:rsidRPr="00150EDC">
        <w:rPr>
          <w:spacing w:val="-12"/>
          <w:sz w:val="24"/>
        </w:rPr>
        <w:t xml:space="preserve"> </w:t>
      </w:r>
      <w:r w:rsidRPr="00150EDC">
        <w:rPr>
          <w:sz w:val="24"/>
        </w:rPr>
        <w:t>including</w:t>
      </w:r>
      <w:r w:rsidRPr="00150EDC">
        <w:rPr>
          <w:spacing w:val="-12"/>
          <w:sz w:val="24"/>
        </w:rPr>
        <w:t xml:space="preserve"> </w:t>
      </w:r>
      <w:r w:rsidRPr="00150EDC">
        <w:rPr>
          <w:sz w:val="24"/>
        </w:rPr>
        <w:t>on</w:t>
      </w:r>
      <w:r w:rsidRPr="00150EDC">
        <w:rPr>
          <w:spacing w:val="-12"/>
          <w:sz w:val="24"/>
        </w:rPr>
        <w:t xml:space="preserve"> </w:t>
      </w:r>
      <w:r w:rsidRPr="00150EDC">
        <w:rPr>
          <w:sz w:val="24"/>
        </w:rPr>
        <w:t>the</w:t>
      </w:r>
      <w:r w:rsidRPr="00150EDC">
        <w:rPr>
          <w:spacing w:val="-12"/>
          <w:sz w:val="24"/>
        </w:rPr>
        <w:t xml:space="preserve"> </w:t>
      </w:r>
      <w:r w:rsidRPr="00150EDC">
        <w:rPr>
          <w:sz w:val="24"/>
        </w:rPr>
        <w:t>grounds</w:t>
      </w:r>
      <w:r w:rsidRPr="00150EDC">
        <w:rPr>
          <w:spacing w:val="-15"/>
          <w:sz w:val="24"/>
        </w:rPr>
        <w:t xml:space="preserve"> </w:t>
      </w:r>
      <w:r w:rsidRPr="00150EDC">
        <w:rPr>
          <w:sz w:val="24"/>
        </w:rPr>
        <w:t>of</w:t>
      </w:r>
      <w:r w:rsidRPr="00150EDC">
        <w:rPr>
          <w:spacing w:val="-10"/>
          <w:sz w:val="24"/>
        </w:rPr>
        <w:t xml:space="preserve"> </w:t>
      </w:r>
      <w:r w:rsidRPr="00150EDC">
        <w:rPr>
          <w:sz w:val="24"/>
        </w:rPr>
        <w:t>sex,</w:t>
      </w:r>
      <w:r w:rsidRPr="00150EDC">
        <w:rPr>
          <w:spacing w:val="-12"/>
          <w:sz w:val="24"/>
        </w:rPr>
        <w:t xml:space="preserve"> </w:t>
      </w:r>
      <w:r w:rsidRPr="00150EDC">
        <w:rPr>
          <w:sz w:val="24"/>
        </w:rPr>
        <w:t>race, disability, age, gender reassignment, marriage or civil partnership, pregnancy and maternity or sexual orientation, religion or belief; or</w:t>
      </w:r>
    </w:p>
    <w:p w14:paraId="4856602F" w14:textId="77777777" w:rsidR="004C7180" w:rsidRPr="00150EDC" w:rsidRDefault="00CF0754" w:rsidP="00B320C7">
      <w:pPr>
        <w:pStyle w:val="ListParagraph"/>
        <w:numPr>
          <w:ilvl w:val="4"/>
          <w:numId w:val="86"/>
        </w:numPr>
        <w:tabs>
          <w:tab w:val="left" w:pos="5369"/>
        </w:tabs>
        <w:spacing w:before="120"/>
        <w:ind w:right="1436" w:hanging="992"/>
        <w:jc w:val="both"/>
        <w:rPr>
          <w:sz w:val="24"/>
        </w:rPr>
      </w:pPr>
      <w:r w:rsidRPr="00150EDC">
        <w:rPr>
          <w:sz w:val="24"/>
        </w:rPr>
        <w:t xml:space="preserve">equal pay or compensation for less favourable treatment of part-time workers or fixed-term </w:t>
      </w:r>
      <w:r w:rsidRPr="00150EDC">
        <w:rPr>
          <w:spacing w:val="-2"/>
          <w:sz w:val="24"/>
        </w:rPr>
        <w:t>employees,</w:t>
      </w:r>
    </w:p>
    <w:p w14:paraId="34B4B9D3" w14:textId="77777777" w:rsidR="004C7180" w:rsidRPr="00150EDC" w:rsidRDefault="00CF0754">
      <w:pPr>
        <w:pStyle w:val="BodyText"/>
        <w:spacing w:before="121"/>
        <w:ind w:left="4375" w:right="1433" w:hanging="1080"/>
        <w:jc w:val="both"/>
      </w:pPr>
      <w:r w:rsidRPr="00150EDC">
        <w:t>in</w:t>
      </w:r>
      <w:r w:rsidRPr="00150EDC">
        <w:rPr>
          <w:spacing w:val="-6"/>
        </w:rPr>
        <w:t xml:space="preserve"> </w:t>
      </w:r>
      <w:r w:rsidRPr="00150EDC">
        <w:t>any</w:t>
      </w:r>
      <w:r w:rsidRPr="00150EDC">
        <w:rPr>
          <w:spacing w:val="-7"/>
        </w:rPr>
        <w:t xml:space="preserve"> </w:t>
      </w:r>
      <w:r w:rsidRPr="00150EDC">
        <w:t>case</w:t>
      </w:r>
      <w:r w:rsidRPr="00150EDC">
        <w:rPr>
          <w:spacing w:val="-6"/>
        </w:rPr>
        <w:t xml:space="preserve"> </w:t>
      </w:r>
      <w:r w:rsidRPr="00150EDC">
        <w:t>in</w:t>
      </w:r>
      <w:r w:rsidRPr="00150EDC">
        <w:rPr>
          <w:spacing w:val="-6"/>
        </w:rPr>
        <w:t xml:space="preserve"> </w:t>
      </w:r>
      <w:r w:rsidRPr="00150EDC">
        <w:t>relation</w:t>
      </w:r>
      <w:r w:rsidRPr="00150EDC">
        <w:rPr>
          <w:spacing w:val="-6"/>
        </w:rPr>
        <w:t xml:space="preserve"> </w:t>
      </w:r>
      <w:r w:rsidRPr="00150EDC">
        <w:t>to</w:t>
      </w:r>
      <w:r w:rsidRPr="00150EDC">
        <w:rPr>
          <w:spacing w:val="-6"/>
        </w:rPr>
        <w:t xml:space="preserve"> </w:t>
      </w:r>
      <w:r w:rsidRPr="00150EDC">
        <w:t>any</w:t>
      </w:r>
      <w:r w:rsidRPr="00150EDC">
        <w:rPr>
          <w:spacing w:val="-7"/>
        </w:rPr>
        <w:t xml:space="preserve"> </w:t>
      </w:r>
      <w:r w:rsidRPr="00150EDC">
        <w:t>alleged</w:t>
      </w:r>
      <w:r w:rsidRPr="00150EDC">
        <w:rPr>
          <w:spacing w:val="-6"/>
        </w:rPr>
        <w:t xml:space="preserve"> </w:t>
      </w:r>
      <w:r w:rsidRPr="00150EDC">
        <w:t>act</w:t>
      </w:r>
      <w:r w:rsidRPr="00150EDC">
        <w:rPr>
          <w:spacing w:val="-6"/>
        </w:rPr>
        <w:t xml:space="preserve"> </w:t>
      </w:r>
      <w:r w:rsidRPr="00150EDC">
        <w:t>or</w:t>
      </w:r>
      <w:r w:rsidRPr="00150EDC">
        <w:rPr>
          <w:spacing w:val="-7"/>
        </w:rPr>
        <w:t xml:space="preserve"> </w:t>
      </w:r>
      <w:r w:rsidRPr="00150EDC">
        <w:t>omission</w:t>
      </w:r>
      <w:r w:rsidRPr="00150EDC">
        <w:rPr>
          <w:spacing w:val="-6"/>
        </w:rPr>
        <w:t xml:space="preserve"> </w:t>
      </w:r>
      <w:r w:rsidRPr="00150EDC">
        <w:t>of</w:t>
      </w:r>
      <w:r w:rsidRPr="00150EDC">
        <w:rPr>
          <w:spacing w:val="-6"/>
        </w:rPr>
        <w:t xml:space="preserve"> </w:t>
      </w:r>
      <w:r w:rsidRPr="00150EDC">
        <w:t>the</w:t>
      </w:r>
      <w:r w:rsidRPr="00150EDC">
        <w:rPr>
          <w:spacing w:val="-6"/>
        </w:rPr>
        <w:t xml:space="preserve"> </w:t>
      </w:r>
      <w:r w:rsidRPr="00150EDC">
        <w:t>Supplier and/or Subcontractor; or</w:t>
      </w:r>
    </w:p>
    <w:p w14:paraId="1449A9D3" w14:textId="77777777" w:rsidR="004C7180" w:rsidRPr="00150EDC" w:rsidRDefault="00CF0754" w:rsidP="00B320C7">
      <w:pPr>
        <w:pStyle w:val="ListParagraph"/>
        <w:numPr>
          <w:ilvl w:val="3"/>
          <w:numId w:val="86"/>
        </w:numPr>
        <w:tabs>
          <w:tab w:val="left" w:pos="4279"/>
        </w:tabs>
        <w:spacing w:before="120"/>
        <w:ind w:left="4279" w:right="1437" w:hanging="1080"/>
        <w:jc w:val="both"/>
        <w:rPr>
          <w:sz w:val="24"/>
        </w:rPr>
      </w:pPr>
      <w:r w:rsidRPr="00150EDC">
        <w:rPr>
          <w:sz w:val="24"/>
        </w:rPr>
        <w:t>any claim that the termination of employment was unfair because</w:t>
      </w:r>
      <w:r w:rsidRPr="00150EDC">
        <w:rPr>
          <w:spacing w:val="-2"/>
          <w:sz w:val="24"/>
        </w:rPr>
        <w:t xml:space="preserve"> </w:t>
      </w:r>
      <w:r w:rsidRPr="00150EDC">
        <w:rPr>
          <w:sz w:val="24"/>
        </w:rPr>
        <w:t>the</w:t>
      </w:r>
      <w:r w:rsidRPr="00150EDC">
        <w:rPr>
          <w:spacing w:val="-2"/>
          <w:sz w:val="24"/>
        </w:rPr>
        <w:t xml:space="preserve"> </w:t>
      </w:r>
      <w:r w:rsidRPr="00150EDC">
        <w:rPr>
          <w:sz w:val="24"/>
        </w:rPr>
        <w:t>Supplier</w:t>
      </w:r>
      <w:r w:rsidRPr="00150EDC">
        <w:rPr>
          <w:spacing w:val="-3"/>
          <w:sz w:val="24"/>
        </w:rPr>
        <w:t xml:space="preserve"> </w:t>
      </w:r>
      <w:r w:rsidRPr="00150EDC">
        <w:rPr>
          <w:sz w:val="24"/>
        </w:rPr>
        <w:t>and/or</w:t>
      </w:r>
      <w:r w:rsidRPr="00150EDC">
        <w:rPr>
          <w:spacing w:val="-3"/>
          <w:sz w:val="24"/>
        </w:rPr>
        <w:t xml:space="preserve"> </w:t>
      </w:r>
      <w:r w:rsidRPr="00150EDC">
        <w:rPr>
          <w:sz w:val="24"/>
        </w:rPr>
        <w:t>any</w:t>
      </w:r>
      <w:r w:rsidRPr="00150EDC">
        <w:rPr>
          <w:spacing w:val="-3"/>
          <w:sz w:val="24"/>
        </w:rPr>
        <w:t xml:space="preserve"> </w:t>
      </w:r>
      <w:r w:rsidRPr="00150EDC">
        <w:rPr>
          <w:sz w:val="24"/>
        </w:rPr>
        <w:t>Subcontractor</w:t>
      </w:r>
      <w:r w:rsidRPr="00150EDC">
        <w:rPr>
          <w:spacing w:val="-1"/>
          <w:sz w:val="24"/>
        </w:rPr>
        <w:t xml:space="preserve"> </w:t>
      </w:r>
      <w:r w:rsidRPr="00150EDC">
        <w:rPr>
          <w:sz w:val="24"/>
        </w:rPr>
        <w:t>neglected to follow a fair dismissal procedure; and</w:t>
      </w:r>
    </w:p>
    <w:p w14:paraId="6904B2C8" w14:textId="77777777" w:rsidR="004C7180" w:rsidRPr="00150EDC" w:rsidRDefault="00CF0754" w:rsidP="00B320C7">
      <w:pPr>
        <w:pStyle w:val="ListParagraph"/>
        <w:numPr>
          <w:ilvl w:val="2"/>
          <w:numId w:val="86"/>
        </w:numPr>
        <w:tabs>
          <w:tab w:val="left" w:pos="3612"/>
          <w:tab w:val="left" w:pos="3677"/>
        </w:tabs>
        <w:spacing w:before="120"/>
        <w:ind w:right="1434"/>
        <w:jc w:val="both"/>
        <w:rPr>
          <w:sz w:val="24"/>
        </w:rPr>
      </w:pPr>
      <w:r w:rsidRPr="00150EDC">
        <w:rPr>
          <w:rFonts w:ascii="Times New Roman"/>
          <w:sz w:val="24"/>
        </w:rPr>
        <w:tab/>
      </w:r>
      <w:r w:rsidRPr="00150EDC">
        <w:rPr>
          <w:sz w:val="24"/>
        </w:rPr>
        <w:t>shall</w:t>
      </w:r>
      <w:r w:rsidRPr="00150EDC">
        <w:rPr>
          <w:spacing w:val="40"/>
          <w:sz w:val="24"/>
        </w:rPr>
        <w:t xml:space="preserve"> </w:t>
      </w:r>
      <w:r w:rsidRPr="00150EDC">
        <w:rPr>
          <w:sz w:val="24"/>
        </w:rPr>
        <w:t>apply</w:t>
      </w:r>
      <w:r w:rsidRPr="00150EDC">
        <w:rPr>
          <w:spacing w:val="40"/>
          <w:sz w:val="24"/>
        </w:rPr>
        <w:t xml:space="preserve"> </w:t>
      </w:r>
      <w:r w:rsidRPr="00150EDC">
        <w:rPr>
          <w:sz w:val="24"/>
        </w:rPr>
        <w:t>only</w:t>
      </w:r>
      <w:r w:rsidRPr="00150EDC">
        <w:rPr>
          <w:spacing w:val="40"/>
          <w:sz w:val="24"/>
        </w:rPr>
        <w:t xml:space="preserve"> </w:t>
      </w:r>
      <w:r w:rsidRPr="00150EDC">
        <w:rPr>
          <w:sz w:val="24"/>
        </w:rPr>
        <w:t>where</w:t>
      </w:r>
      <w:r w:rsidRPr="00150EDC">
        <w:rPr>
          <w:spacing w:val="40"/>
          <w:sz w:val="24"/>
        </w:rPr>
        <w:t xml:space="preserve"> </w:t>
      </w:r>
      <w:r w:rsidRPr="00150EDC">
        <w:rPr>
          <w:sz w:val="24"/>
        </w:rPr>
        <w:t>the</w:t>
      </w:r>
      <w:r w:rsidRPr="00150EDC">
        <w:rPr>
          <w:spacing w:val="40"/>
          <w:sz w:val="24"/>
        </w:rPr>
        <w:t xml:space="preserve"> </w:t>
      </w:r>
      <w:r w:rsidRPr="00150EDC">
        <w:rPr>
          <w:sz w:val="24"/>
        </w:rPr>
        <w:t>notification</w:t>
      </w:r>
      <w:r w:rsidRPr="00150EDC">
        <w:rPr>
          <w:spacing w:val="40"/>
          <w:sz w:val="24"/>
        </w:rPr>
        <w:t xml:space="preserve"> </w:t>
      </w:r>
      <w:r w:rsidRPr="00150EDC">
        <w:rPr>
          <w:sz w:val="24"/>
        </w:rPr>
        <w:t>referred</w:t>
      </w:r>
      <w:r w:rsidRPr="00150EDC">
        <w:rPr>
          <w:spacing w:val="40"/>
          <w:sz w:val="24"/>
        </w:rPr>
        <w:t xml:space="preserve"> </w:t>
      </w:r>
      <w:r w:rsidRPr="00150EDC">
        <w:rPr>
          <w:sz w:val="24"/>
        </w:rPr>
        <w:t>to</w:t>
      </w:r>
      <w:r w:rsidRPr="00150EDC">
        <w:rPr>
          <w:spacing w:val="40"/>
          <w:sz w:val="24"/>
        </w:rPr>
        <w:t xml:space="preserve"> </w:t>
      </w:r>
      <w:r w:rsidRPr="00150EDC">
        <w:rPr>
          <w:sz w:val="24"/>
        </w:rPr>
        <w:t>in Paragraph</w:t>
      </w:r>
      <w:r w:rsidRPr="00150EDC">
        <w:rPr>
          <w:spacing w:val="-3"/>
          <w:sz w:val="24"/>
        </w:rPr>
        <w:t xml:space="preserve"> </w:t>
      </w:r>
      <w:r w:rsidRPr="00150EDC">
        <w:rPr>
          <w:sz w:val="24"/>
        </w:rPr>
        <w:t>1.2.1 is made by the Supplier and/or any Subcontractor to the Buyer and, if applicable, Former Supplier within 6 months of the Start Date.</w:t>
      </w:r>
    </w:p>
    <w:p w14:paraId="744B8628" w14:textId="77777777" w:rsidR="004C7180" w:rsidRPr="00150EDC" w:rsidRDefault="004C7180">
      <w:pPr>
        <w:jc w:val="both"/>
        <w:rPr>
          <w:sz w:val="24"/>
        </w:rPr>
        <w:sectPr w:rsidR="004C7180" w:rsidRPr="00150EDC">
          <w:pgSz w:w="11910" w:h="16840"/>
          <w:pgMar w:top="1380" w:right="0" w:bottom="1380" w:left="40" w:header="715" w:footer="1192" w:gutter="0"/>
          <w:cols w:space="720"/>
        </w:sectPr>
      </w:pPr>
    </w:p>
    <w:p w14:paraId="1066B521" w14:textId="77777777" w:rsidR="004C7180" w:rsidRPr="00150EDC" w:rsidRDefault="004C7180">
      <w:pPr>
        <w:pStyle w:val="BodyText"/>
        <w:spacing w:before="5"/>
        <w:rPr>
          <w:sz w:val="15"/>
        </w:rPr>
      </w:pPr>
    </w:p>
    <w:p w14:paraId="4F3F6B8F" w14:textId="77777777" w:rsidR="004C7180" w:rsidRPr="00150EDC" w:rsidRDefault="00CF0754" w:rsidP="00B320C7">
      <w:pPr>
        <w:pStyle w:val="ListParagraph"/>
        <w:numPr>
          <w:ilvl w:val="1"/>
          <w:numId w:val="86"/>
        </w:numPr>
        <w:tabs>
          <w:tab w:val="left" w:pos="2117"/>
          <w:tab w:val="left" w:pos="2120"/>
        </w:tabs>
        <w:spacing w:before="92"/>
        <w:ind w:right="1431"/>
        <w:jc w:val="both"/>
        <w:rPr>
          <w:sz w:val="24"/>
        </w:rPr>
      </w:pPr>
      <w:r w:rsidRPr="00150EDC">
        <w:rPr>
          <w:sz w:val="24"/>
        </w:rPr>
        <w:t>If the Supplier and/or the Subcontractor does not comply with Paragraph</w:t>
      </w:r>
      <w:r w:rsidRPr="00150EDC">
        <w:rPr>
          <w:spacing w:val="-3"/>
          <w:sz w:val="24"/>
        </w:rPr>
        <w:t xml:space="preserve"> </w:t>
      </w:r>
      <w:r w:rsidRPr="00150EDC">
        <w:rPr>
          <w:sz w:val="24"/>
        </w:rPr>
        <w:t>1.2, all Employee Liabilities in relation to such employees shall remain with the Supplier and/or the Subcontractor and the Supplier shall (i) comply with the provisions of Part</w:t>
      </w:r>
      <w:r w:rsidRPr="00150EDC">
        <w:rPr>
          <w:spacing w:val="-2"/>
          <w:sz w:val="24"/>
        </w:rPr>
        <w:t xml:space="preserve"> </w:t>
      </w:r>
      <w:r w:rsidRPr="00150EDC">
        <w:rPr>
          <w:sz w:val="24"/>
        </w:rPr>
        <w:t>D: Pensions of this Schedule, and (ii) indemnify the Buyer and any Former Supplier against any Employee Liabilities that either of them may incur in respect of any such employees</w:t>
      </w:r>
      <w:r w:rsidRPr="00150EDC">
        <w:rPr>
          <w:spacing w:val="-2"/>
          <w:sz w:val="24"/>
        </w:rPr>
        <w:t xml:space="preserve"> </w:t>
      </w:r>
      <w:r w:rsidRPr="00150EDC">
        <w:rPr>
          <w:sz w:val="24"/>
        </w:rPr>
        <w:t>of the Supplier and/or employees of the Subcontractor.</w:t>
      </w:r>
    </w:p>
    <w:p w14:paraId="4F0E2C1C" w14:textId="77777777" w:rsidR="004C7180" w:rsidRPr="00150EDC" w:rsidRDefault="00CF0754" w:rsidP="00B320C7">
      <w:pPr>
        <w:pStyle w:val="Heading4"/>
        <w:numPr>
          <w:ilvl w:val="0"/>
          <w:numId w:val="86"/>
        </w:numPr>
        <w:tabs>
          <w:tab w:val="left" w:pos="2119"/>
        </w:tabs>
        <w:spacing w:before="120"/>
        <w:ind w:left="2119" w:hanging="719"/>
        <w:jc w:val="both"/>
      </w:pPr>
      <w:r w:rsidRPr="00150EDC">
        <w:t>Limits</w:t>
      </w:r>
      <w:r w:rsidRPr="00150EDC">
        <w:rPr>
          <w:spacing w:val="-2"/>
        </w:rPr>
        <w:t xml:space="preserve"> </w:t>
      </w:r>
      <w:r w:rsidRPr="00150EDC">
        <w:t>on</w:t>
      </w:r>
      <w:r w:rsidRPr="00150EDC">
        <w:rPr>
          <w:spacing w:val="-2"/>
        </w:rPr>
        <w:t xml:space="preserve"> </w:t>
      </w:r>
      <w:r w:rsidRPr="00150EDC">
        <w:t>the</w:t>
      </w:r>
      <w:r w:rsidRPr="00150EDC">
        <w:rPr>
          <w:spacing w:val="-2"/>
        </w:rPr>
        <w:t xml:space="preserve"> </w:t>
      </w:r>
      <w:r w:rsidRPr="00150EDC">
        <w:t>Former</w:t>
      </w:r>
      <w:r w:rsidRPr="00150EDC">
        <w:rPr>
          <w:spacing w:val="-7"/>
        </w:rPr>
        <w:t xml:space="preserve"> </w:t>
      </w:r>
      <w:r w:rsidRPr="00150EDC">
        <w:t>Supplier’s</w:t>
      </w:r>
      <w:r w:rsidRPr="00150EDC">
        <w:rPr>
          <w:spacing w:val="-1"/>
        </w:rPr>
        <w:t xml:space="preserve"> </w:t>
      </w:r>
      <w:r w:rsidRPr="00150EDC">
        <w:rPr>
          <w:spacing w:val="-2"/>
        </w:rPr>
        <w:t>obligations</w:t>
      </w:r>
    </w:p>
    <w:p w14:paraId="6DBEFBDF" w14:textId="77777777" w:rsidR="004C7180" w:rsidRPr="00150EDC" w:rsidRDefault="004C7180">
      <w:pPr>
        <w:pStyle w:val="BodyText"/>
        <w:spacing w:before="10"/>
        <w:rPr>
          <w:b/>
          <w:sz w:val="20"/>
        </w:rPr>
      </w:pPr>
    </w:p>
    <w:p w14:paraId="52D181B6" w14:textId="77777777" w:rsidR="004C7180" w:rsidRPr="00150EDC" w:rsidRDefault="00CF0754">
      <w:pPr>
        <w:pStyle w:val="BodyText"/>
        <w:spacing w:before="1"/>
        <w:ind w:left="1757" w:right="1433"/>
        <w:jc w:val="both"/>
      </w:pPr>
      <w:r w:rsidRPr="00150EDC">
        <w:t>Where in this Part</w:t>
      </w:r>
      <w:r w:rsidRPr="00150EDC">
        <w:rPr>
          <w:spacing w:val="-1"/>
        </w:rPr>
        <w:t xml:space="preserve"> </w:t>
      </w:r>
      <w:r w:rsidRPr="00150EDC">
        <w:t>C the Buyer accepts an obligation to procure that a Former Supplier does or does</w:t>
      </w:r>
      <w:r w:rsidRPr="00150EDC">
        <w:rPr>
          <w:spacing w:val="-2"/>
        </w:rPr>
        <w:t xml:space="preserve"> </w:t>
      </w:r>
      <w:r w:rsidRPr="00150EDC">
        <w:t>not do something, such obligation shall be limited so that it extends only to the extent that the Buyer's contract with the Former Supplier contains a contractual right in that regard which the Buyer may enforce, or otherwise so that it requires only</w:t>
      </w:r>
      <w:r w:rsidRPr="00150EDC">
        <w:rPr>
          <w:spacing w:val="-1"/>
        </w:rPr>
        <w:t xml:space="preserve"> </w:t>
      </w:r>
      <w:r w:rsidRPr="00150EDC">
        <w:t>that the Buyer must use reasonable endeavours to procure that the Former Supplier does or does not act accordingly.</w:t>
      </w:r>
    </w:p>
    <w:p w14:paraId="4A6A0BF1" w14:textId="77777777" w:rsidR="004C7180" w:rsidRPr="00150EDC" w:rsidRDefault="004C7180">
      <w:pPr>
        <w:jc w:val="both"/>
        <w:sectPr w:rsidR="004C7180" w:rsidRPr="00150EDC">
          <w:pgSz w:w="11910" w:h="16840"/>
          <w:pgMar w:top="1380" w:right="0" w:bottom="1380" w:left="40" w:header="715" w:footer="1192" w:gutter="0"/>
          <w:cols w:space="720"/>
        </w:sectPr>
      </w:pPr>
    </w:p>
    <w:p w14:paraId="6158FACF" w14:textId="77777777" w:rsidR="004C7180" w:rsidRPr="00150EDC" w:rsidRDefault="004C7180">
      <w:pPr>
        <w:pStyle w:val="BodyText"/>
        <w:rPr>
          <w:sz w:val="20"/>
        </w:rPr>
      </w:pPr>
    </w:p>
    <w:p w14:paraId="2D9AC45F" w14:textId="77777777" w:rsidR="004C7180" w:rsidRPr="00150EDC" w:rsidRDefault="004C7180">
      <w:pPr>
        <w:pStyle w:val="BodyText"/>
        <w:rPr>
          <w:sz w:val="20"/>
        </w:rPr>
      </w:pPr>
    </w:p>
    <w:p w14:paraId="256C3CF1" w14:textId="77777777" w:rsidR="004C7180" w:rsidRPr="00150EDC" w:rsidRDefault="004C7180">
      <w:pPr>
        <w:pStyle w:val="BodyText"/>
        <w:rPr>
          <w:sz w:val="20"/>
        </w:rPr>
      </w:pPr>
    </w:p>
    <w:p w14:paraId="446AA784" w14:textId="77777777" w:rsidR="004C7180" w:rsidRPr="00150EDC" w:rsidRDefault="00CF0754">
      <w:pPr>
        <w:pStyle w:val="Heading1"/>
        <w:spacing w:before="233"/>
        <w:ind w:left="1399" w:firstLine="0"/>
      </w:pPr>
      <w:r w:rsidRPr="00150EDC">
        <w:t>Part</w:t>
      </w:r>
      <w:r w:rsidRPr="00150EDC">
        <w:rPr>
          <w:spacing w:val="-3"/>
        </w:rPr>
        <w:t xml:space="preserve"> </w:t>
      </w:r>
      <w:r w:rsidRPr="00150EDC">
        <w:t>E:</w:t>
      </w:r>
      <w:r w:rsidRPr="00150EDC">
        <w:rPr>
          <w:spacing w:val="-3"/>
        </w:rPr>
        <w:t xml:space="preserve"> </w:t>
      </w:r>
      <w:r w:rsidRPr="00150EDC">
        <w:t>Staff</w:t>
      </w:r>
      <w:r w:rsidRPr="00150EDC">
        <w:rPr>
          <w:spacing w:val="-2"/>
        </w:rPr>
        <w:t xml:space="preserve"> </w:t>
      </w:r>
      <w:r w:rsidRPr="00150EDC">
        <w:t>Transfer</w:t>
      </w:r>
      <w:r w:rsidRPr="00150EDC">
        <w:rPr>
          <w:spacing w:val="-4"/>
        </w:rPr>
        <w:t xml:space="preserve"> </w:t>
      </w:r>
      <w:r w:rsidRPr="00150EDC">
        <w:t>on</w:t>
      </w:r>
      <w:r w:rsidRPr="00150EDC">
        <w:rPr>
          <w:spacing w:val="-1"/>
        </w:rPr>
        <w:t xml:space="preserve"> </w:t>
      </w:r>
      <w:r w:rsidRPr="00150EDC">
        <w:rPr>
          <w:spacing w:val="-4"/>
        </w:rPr>
        <w:t>Exit</w:t>
      </w:r>
    </w:p>
    <w:p w14:paraId="4AA9551C" w14:textId="77777777" w:rsidR="004C7180" w:rsidRPr="00150EDC" w:rsidRDefault="00CF0754" w:rsidP="00B320C7">
      <w:pPr>
        <w:pStyle w:val="Heading4"/>
        <w:numPr>
          <w:ilvl w:val="0"/>
          <w:numId w:val="85"/>
        </w:numPr>
        <w:tabs>
          <w:tab w:val="left" w:pos="1757"/>
        </w:tabs>
        <w:spacing w:before="121"/>
        <w:ind w:hanging="357"/>
      </w:pPr>
      <w:r w:rsidRPr="00150EDC">
        <w:t>Obligations</w:t>
      </w:r>
      <w:r w:rsidRPr="00150EDC">
        <w:rPr>
          <w:spacing w:val="-3"/>
        </w:rPr>
        <w:t xml:space="preserve"> </w:t>
      </w:r>
      <w:r w:rsidRPr="00150EDC">
        <w:t>before</w:t>
      </w:r>
      <w:r w:rsidRPr="00150EDC">
        <w:rPr>
          <w:spacing w:val="-2"/>
        </w:rPr>
        <w:t xml:space="preserve"> </w:t>
      </w:r>
      <w:r w:rsidRPr="00150EDC">
        <w:t>a</w:t>
      </w:r>
      <w:r w:rsidRPr="00150EDC">
        <w:rPr>
          <w:spacing w:val="-4"/>
        </w:rPr>
        <w:t xml:space="preserve"> </w:t>
      </w:r>
      <w:r w:rsidRPr="00150EDC">
        <w:t>Staff</w:t>
      </w:r>
      <w:r w:rsidRPr="00150EDC">
        <w:rPr>
          <w:spacing w:val="-4"/>
        </w:rPr>
        <w:t xml:space="preserve"> </w:t>
      </w:r>
      <w:r w:rsidRPr="00150EDC">
        <w:rPr>
          <w:spacing w:val="-2"/>
        </w:rPr>
        <w:t>Transfer</w:t>
      </w:r>
    </w:p>
    <w:p w14:paraId="5D32EB10" w14:textId="77777777" w:rsidR="004C7180" w:rsidRPr="00150EDC" w:rsidRDefault="004C7180">
      <w:pPr>
        <w:pStyle w:val="BodyText"/>
        <w:spacing w:before="10"/>
        <w:rPr>
          <w:b/>
          <w:sz w:val="20"/>
        </w:rPr>
      </w:pPr>
    </w:p>
    <w:p w14:paraId="0570A121" w14:textId="77777777" w:rsidR="004C7180" w:rsidRPr="00150EDC" w:rsidRDefault="00CF0754" w:rsidP="00B320C7">
      <w:pPr>
        <w:pStyle w:val="ListParagraph"/>
        <w:numPr>
          <w:ilvl w:val="1"/>
          <w:numId w:val="85"/>
        </w:numPr>
        <w:tabs>
          <w:tab w:val="left" w:pos="2119"/>
        </w:tabs>
        <w:ind w:left="2119"/>
        <w:rPr>
          <w:sz w:val="24"/>
        </w:rPr>
      </w:pPr>
      <w:r w:rsidRPr="00150EDC">
        <w:rPr>
          <w:sz w:val="24"/>
        </w:rPr>
        <w:t>The</w:t>
      </w:r>
      <w:r w:rsidRPr="00150EDC">
        <w:rPr>
          <w:spacing w:val="-3"/>
          <w:sz w:val="24"/>
        </w:rPr>
        <w:t xml:space="preserve"> </w:t>
      </w:r>
      <w:r w:rsidRPr="00150EDC">
        <w:rPr>
          <w:sz w:val="24"/>
        </w:rPr>
        <w:t>Supplier</w:t>
      </w:r>
      <w:r w:rsidRPr="00150EDC">
        <w:rPr>
          <w:spacing w:val="-5"/>
          <w:sz w:val="24"/>
        </w:rPr>
        <w:t xml:space="preserve"> </w:t>
      </w:r>
      <w:r w:rsidRPr="00150EDC">
        <w:rPr>
          <w:sz w:val="24"/>
        </w:rPr>
        <w:t>agrees</w:t>
      </w:r>
      <w:r w:rsidRPr="00150EDC">
        <w:rPr>
          <w:spacing w:val="-3"/>
          <w:sz w:val="24"/>
        </w:rPr>
        <w:t xml:space="preserve"> </w:t>
      </w:r>
      <w:r w:rsidRPr="00150EDC">
        <w:rPr>
          <w:sz w:val="24"/>
        </w:rPr>
        <w:t>that</w:t>
      </w:r>
      <w:r w:rsidRPr="00150EDC">
        <w:rPr>
          <w:spacing w:val="-1"/>
          <w:sz w:val="24"/>
        </w:rPr>
        <w:t xml:space="preserve"> </w:t>
      </w:r>
      <w:r w:rsidRPr="00150EDC">
        <w:rPr>
          <w:sz w:val="24"/>
        </w:rPr>
        <w:t>within</w:t>
      </w:r>
      <w:r w:rsidRPr="00150EDC">
        <w:rPr>
          <w:spacing w:val="-3"/>
          <w:sz w:val="24"/>
        </w:rPr>
        <w:t xml:space="preserve"> </w:t>
      </w:r>
      <w:r w:rsidRPr="00150EDC">
        <w:rPr>
          <w:sz w:val="24"/>
        </w:rPr>
        <w:t>20</w:t>
      </w:r>
      <w:r w:rsidRPr="00150EDC">
        <w:rPr>
          <w:spacing w:val="-3"/>
          <w:sz w:val="24"/>
        </w:rPr>
        <w:t xml:space="preserve"> </w:t>
      </w:r>
      <w:r w:rsidRPr="00150EDC">
        <w:rPr>
          <w:sz w:val="24"/>
        </w:rPr>
        <w:t>Working</w:t>
      </w:r>
      <w:r w:rsidRPr="00150EDC">
        <w:rPr>
          <w:spacing w:val="-1"/>
          <w:sz w:val="24"/>
        </w:rPr>
        <w:t xml:space="preserve"> </w:t>
      </w:r>
      <w:r w:rsidRPr="00150EDC">
        <w:rPr>
          <w:sz w:val="24"/>
        </w:rPr>
        <w:t>Days</w:t>
      </w:r>
      <w:r w:rsidRPr="00150EDC">
        <w:rPr>
          <w:spacing w:val="-2"/>
          <w:sz w:val="24"/>
        </w:rPr>
        <w:t xml:space="preserve"> </w:t>
      </w:r>
      <w:r w:rsidRPr="00150EDC">
        <w:rPr>
          <w:sz w:val="24"/>
        </w:rPr>
        <w:t>of</w:t>
      </w:r>
      <w:r w:rsidRPr="00150EDC">
        <w:rPr>
          <w:spacing w:val="-3"/>
          <w:sz w:val="24"/>
        </w:rPr>
        <w:t xml:space="preserve"> </w:t>
      </w:r>
      <w:r w:rsidRPr="00150EDC">
        <w:rPr>
          <w:sz w:val="24"/>
        </w:rPr>
        <w:t>the</w:t>
      </w:r>
      <w:r w:rsidRPr="00150EDC">
        <w:rPr>
          <w:spacing w:val="-3"/>
          <w:sz w:val="24"/>
        </w:rPr>
        <w:t xml:space="preserve"> </w:t>
      </w:r>
      <w:r w:rsidRPr="00150EDC">
        <w:rPr>
          <w:sz w:val="24"/>
        </w:rPr>
        <w:t>earliest</w:t>
      </w:r>
      <w:r w:rsidRPr="00150EDC">
        <w:rPr>
          <w:spacing w:val="-3"/>
          <w:sz w:val="24"/>
        </w:rPr>
        <w:t xml:space="preserve"> </w:t>
      </w:r>
      <w:r w:rsidRPr="00150EDC">
        <w:rPr>
          <w:spacing w:val="-5"/>
          <w:sz w:val="24"/>
        </w:rPr>
        <w:t>of:</w:t>
      </w:r>
    </w:p>
    <w:p w14:paraId="4CE21A12" w14:textId="77777777" w:rsidR="004C7180" w:rsidRPr="00150EDC" w:rsidRDefault="00CF0754" w:rsidP="00B320C7">
      <w:pPr>
        <w:pStyle w:val="ListParagraph"/>
        <w:numPr>
          <w:ilvl w:val="2"/>
          <w:numId w:val="85"/>
        </w:numPr>
        <w:tabs>
          <w:tab w:val="left" w:pos="3612"/>
        </w:tabs>
        <w:spacing w:before="120"/>
        <w:ind w:right="1435"/>
        <w:rPr>
          <w:sz w:val="24"/>
        </w:rPr>
      </w:pPr>
      <w:r w:rsidRPr="00150EDC">
        <w:rPr>
          <w:sz w:val="24"/>
        </w:rPr>
        <w:t>receipt of a notification from the Buyer of a Service Transfer or intended Service Transfer;</w:t>
      </w:r>
    </w:p>
    <w:p w14:paraId="190F0F64" w14:textId="77777777" w:rsidR="004C7180" w:rsidRPr="00150EDC" w:rsidRDefault="00CF0754" w:rsidP="00B320C7">
      <w:pPr>
        <w:pStyle w:val="ListParagraph"/>
        <w:numPr>
          <w:ilvl w:val="2"/>
          <w:numId w:val="85"/>
        </w:numPr>
        <w:tabs>
          <w:tab w:val="left" w:pos="3612"/>
        </w:tabs>
        <w:spacing w:before="120"/>
        <w:ind w:right="1433"/>
        <w:rPr>
          <w:sz w:val="24"/>
        </w:rPr>
      </w:pPr>
      <w:r w:rsidRPr="00150EDC">
        <w:rPr>
          <w:sz w:val="24"/>
        </w:rPr>
        <w:t>receipt of the giving of notice of early termination or any Partial Termination of the relevant Contract;</w:t>
      </w:r>
    </w:p>
    <w:p w14:paraId="71CE238D" w14:textId="77777777" w:rsidR="004C7180" w:rsidRPr="00150EDC" w:rsidRDefault="00CF0754" w:rsidP="00B320C7">
      <w:pPr>
        <w:pStyle w:val="ListParagraph"/>
        <w:numPr>
          <w:ilvl w:val="2"/>
          <w:numId w:val="85"/>
        </w:numPr>
        <w:tabs>
          <w:tab w:val="left" w:pos="3612"/>
        </w:tabs>
        <w:spacing w:before="120"/>
        <w:rPr>
          <w:sz w:val="24"/>
        </w:rPr>
      </w:pPr>
      <w:r w:rsidRPr="00150EDC">
        <w:rPr>
          <w:sz w:val="24"/>
        </w:rPr>
        <w:t>the</w:t>
      </w:r>
      <w:r w:rsidRPr="00150EDC">
        <w:rPr>
          <w:spacing w:val="-3"/>
          <w:sz w:val="24"/>
        </w:rPr>
        <w:t xml:space="preserve"> </w:t>
      </w:r>
      <w:r w:rsidRPr="00150EDC">
        <w:rPr>
          <w:sz w:val="24"/>
        </w:rPr>
        <w:t>date which</w:t>
      </w:r>
      <w:r w:rsidRPr="00150EDC">
        <w:rPr>
          <w:spacing w:val="-1"/>
          <w:sz w:val="24"/>
        </w:rPr>
        <w:t xml:space="preserve"> </w:t>
      </w:r>
      <w:r w:rsidRPr="00150EDC">
        <w:rPr>
          <w:sz w:val="24"/>
        </w:rPr>
        <w:t>is</w:t>
      </w:r>
      <w:r w:rsidRPr="00150EDC">
        <w:rPr>
          <w:spacing w:val="-3"/>
          <w:sz w:val="24"/>
        </w:rPr>
        <w:t xml:space="preserve"> </w:t>
      </w:r>
      <w:r w:rsidRPr="00150EDC">
        <w:rPr>
          <w:sz w:val="24"/>
        </w:rPr>
        <w:t>12</w:t>
      </w:r>
      <w:r w:rsidRPr="00150EDC">
        <w:rPr>
          <w:spacing w:val="-1"/>
          <w:sz w:val="24"/>
        </w:rPr>
        <w:t xml:space="preserve"> </w:t>
      </w:r>
      <w:r w:rsidRPr="00150EDC">
        <w:rPr>
          <w:sz w:val="24"/>
        </w:rPr>
        <w:t>Months</w:t>
      </w:r>
      <w:r w:rsidRPr="00150EDC">
        <w:rPr>
          <w:spacing w:val="-3"/>
          <w:sz w:val="24"/>
        </w:rPr>
        <w:t xml:space="preserve"> </w:t>
      </w:r>
      <w:r w:rsidRPr="00150EDC">
        <w:rPr>
          <w:sz w:val="24"/>
        </w:rPr>
        <w:t>before the</w:t>
      </w:r>
      <w:r w:rsidRPr="00150EDC">
        <w:rPr>
          <w:spacing w:val="-3"/>
          <w:sz w:val="24"/>
        </w:rPr>
        <w:t xml:space="preserve"> </w:t>
      </w:r>
      <w:r w:rsidRPr="00150EDC">
        <w:rPr>
          <w:sz w:val="24"/>
        </w:rPr>
        <w:t>end of</w:t>
      </w:r>
      <w:r w:rsidRPr="00150EDC">
        <w:rPr>
          <w:spacing w:val="-1"/>
          <w:sz w:val="24"/>
        </w:rPr>
        <w:t xml:space="preserve"> </w:t>
      </w:r>
      <w:r w:rsidRPr="00150EDC">
        <w:rPr>
          <w:sz w:val="24"/>
        </w:rPr>
        <w:t>the</w:t>
      </w:r>
      <w:r w:rsidRPr="00150EDC">
        <w:rPr>
          <w:spacing w:val="-2"/>
          <w:sz w:val="24"/>
        </w:rPr>
        <w:t xml:space="preserve"> </w:t>
      </w:r>
      <w:r w:rsidRPr="00150EDC">
        <w:rPr>
          <w:sz w:val="24"/>
        </w:rPr>
        <w:t xml:space="preserve">Term; </w:t>
      </w:r>
      <w:r w:rsidRPr="00150EDC">
        <w:rPr>
          <w:spacing w:val="-5"/>
          <w:sz w:val="24"/>
        </w:rPr>
        <w:t>and</w:t>
      </w:r>
    </w:p>
    <w:p w14:paraId="0C36C938" w14:textId="77777777" w:rsidR="004C7180" w:rsidRPr="00150EDC" w:rsidRDefault="00CF0754" w:rsidP="00B320C7">
      <w:pPr>
        <w:pStyle w:val="ListParagraph"/>
        <w:numPr>
          <w:ilvl w:val="2"/>
          <w:numId w:val="85"/>
        </w:numPr>
        <w:tabs>
          <w:tab w:val="left" w:pos="3612"/>
        </w:tabs>
        <w:spacing w:before="120"/>
        <w:ind w:right="1434"/>
        <w:jc w:val="both"/>
        <w:rPr>
          <w:sz w:val="24"/>
        </w:rPr>
      </w:pPr>
      <w:r w:rsidRPr="00150EDC">
        <w:rPr>
          <w:sz w:val="24"/>
        </w:rPr>
        <w:t>receipt</w:t>
      </w:r>
      <w:r w:rsidRPr="00150EDC">
        <w:rPr>
          <w:spacing w:val="-17"/>
          <w:sz w:val="24"/>
        </w:rPr>
        <w:t xml:space="preserve"> </w:t>
      </w:r>
      <w:r w:rsidRPr="00150EDC">
        <w:rPr>
          <w:sz w:val="24"/>
        </w:rPr>
        <w:t>of</w:t>
      </w:r>
      <w:r w:rsidRPr="00150EDC">
        <w:rPr>
          <w:spacing w:val="-16"/>
          <w:sz w:val="24"/>
        </w:rPr>
        <w:t xml:space="preserve"> </w:t>
      </w:r>
      <w:r w:rsidRPr="00150EDC">
        <w:rPr>
          <w:sz w:val="24"/>
        </w:rPr>
        <w:t>a</w:t>
      </w:r>
      <w:r w:rsidRPr="00150EDC">
        <w:rPr>
          <w:spacing w:val="-14"/>
          <w:sz w:val="24"/>
        </w:rPr>
        <w:t xml:space="preserve"> </w:t>
      </w:r>
      <w:r w:rsidRPr="00150EDC">
        <w:rPr>
          <w:sz w:val="24"/>
        </w:rPr>
        <w:t>written</w:t>
      </w:r>
      <w:r w:rsidRPr="00150EDC">
        <w:rPr>
          <w:spacing w:val="-14"/>
          <w:sz w:val="24"/>
        </w:rPr>
        <w:t xml:space="preserve"> </w:t>
      </w:r>
      <w:r w:rsidRPr="00150EDC">
        <w:rPr>
          <w:sz w:val="24"/>
        </w:rPr>
        <w:t>request</w:t>
      </w:r>
      <w:r w:rsidRPr="00150EDC">
        <w:rPr>
          <w:spacing w:val="-17"/>
          <w:sz w:val="24"/>
        </w:rPr>
        <w:t xml:space="preserve"> </w:t>
      </w:r>
      <w:r w:rsidRPr="00150EDC">
        <w:rPr>
          <w:sz w:val="24"/>
        </w:rPr>
        <w:t>of</w:t>
      </w:r>
      <w:r w:rsidRPr="00150EDC">
        <w:rPr>
          <w:spacing w:val="-16"/>
          <w:sz w:val="24"/>
        </w:rPr>
        <w:t xml:space="preserve"> </w:t>
      </w:r>
      <w:r w:rsidRPr="00150EDC">
        <w:rPr>
          <w:sz w:val="24"/>
        </w:rPr>
        <w:t>the</w:t>
      </w:r>
      <w:r w:rsidRPr="00150EDC">
        <w:rPr>
          <w:spacing w:val="-14"/>
          <w:sz w:val="24"/>
        </w:rPr>
        <w:t xml:space="preserve"> </w:t>
      </w:r>
      <w:r w:rsidRPr="00150EDC">
        <w:rPr>
          <w:sz w:val="24"/>
        </w:rPr>
        <w:t>Buyer</w:t>
      </w:r>
      <w:r w:rsidRPr="00150EDC">
        <w:rPr>
          <w:spacing w:val="-17"/>
          <w:sz w:val="24"/>
        </w:rPr>
        <w:t xml:space="preserve"> </w:t>
      </w:r>
      <w:r w:rsidRPr="00150EDC">
        <w:rPr>
          <w:sz w:val="24"/>
        </w:rPr>
        <w:t>at</w:t>
      </w:r>
      <w:r w:rsidRPr="00150EDC">
        <w:rPr>
          <w:spacing w:val="-16"/>
          <w:sz w:val="24"/>
        </w:rPr>
        <w:t xml:space="preserve"> </w:t>
      </w:r>
      <w:r w:rsidRPr="00150EDC">
        <w:rPr>
          <w:sz w:val="24"/>
        </w:rPr>
        <w:t>any</w:t>
      </w:r>
      <w:r w:rsidRPr="00150EDC">
        <w:rPr>
          <w:spacing w:val="-15"/>
          <w:sz w:val="24"/>
        </w:rPr>
        <w:t xml:space="preserve"> </w:t>
      </w:r>
      <w:r w:rsidRPr="00150EDC">
        <w:rPr>
          <w:sz w:val="24"/>
        </w:rPr>
        <w:t>time</w:t>
      </w:r>
      <w:r w:rsidRPr="00150EDC">
        <w:rPr>
          <w:spacing w:val="-14"/>
          <w:sz w:val="24"/>
        </w:rPr>
        <w:t xml:space="preserve"> </w:t>
      </w:r>
      <w:r w:rsidRPr="00150EDC">
        <w:rPr>
          <w:sz w:val="24"/>
        </w:rPr>
        <w:t>(provided</w:t>
      </w:r>
      <w:r w:rsidRPr="00150EDC">
        <w:rPr>
          <w:spacing w:val="-16"/>
          <w:sz w:val="24"/>
        </w:rPr>
        <w:t xml:space="preserve"> </w:t>
      </w:r>
      <w:r w:rsidRPr="00150EDC">
        <w:rPr>
          <w:sz w:val="24"/>
        </w:rPr>
        <w:t>that the</w:t>
      </w:r>
      <w:r w:rsidRPr="00150EDC">
        <w:rPr>
          <w:spacing w:val="-1"/>
          <w:sz w:val="24"/>
        </w:rPr>
        <w:t xml:space="preserve"> </w:t>
      </w:r>
      <w:r w:rsidRPr="00150EDC">
        <w:rPr>
          <w:sz w:val="24"/>
        </w:rPr>
        <w:t>Buyer</w:t>
      </w:r>
      <w:r w:rsidRPr="00150EDC">
        <w:rPr>
          <w:spacing w:val="-3"/>
          <w:sz w:val="24"/>
        </w:rPr>
        <w:t xml:space="preserve"> </w:t>
      </w:r>
      <w:r w:rsidRPr="00150EDC">
        <w:rPr>
          <w:sz w:val="24"/>
        </w:rPr>
        <w:t>shall</w:t>
      </w:r>
      <w:r w:rsidRPr="00150EDC">
        <w:rPr>
          <w:spacing w:val="-2"/>
          <w:sz w:val="24"/>
        </w:rPr>
        <w:t xml:space="preserve"> </w:t>
      </w:r>
      <w:r w:rsidRPr="00150EDC">
        <w:rPr>
          <w:sz w:val="24"/>
        </w:rPr>
        <w:t>only</w:t>
      </w:r>
      <w:r w:rsidRPr="00150EDC">
        <w:rPr>
          <w:spacing w:val="-2"/>
          <w:sz w:val="24"/>
        </w:rPr>
        <w:t xml:space="preserve"> </w:t>
      </w:r>
      <w:r w:rsidRPr="00150EDC">
        <w:rPr>
          <w:sz w:val="24"/>
        </w:rPr>
        <w:t>be</w:t>
      </w:r>
      <w:r w:rsidRPr="00150EDC">
        <w:rPr>
          <w:spacing w:val="-3"/>
          <w:sz w:val="24"/>
        </w:rPr>
        <w:t xml:space="preserve"> </w:t>
      </w:r>
      <w:r w:rsidRPr="00150EDC">
        <w:rPr>
          <w:sz w:val="24"/>
        </w:rPr>
        <w:t>entitled</w:t>
      </w:r>
      <w:r w:rsidRPr="00150EDC">
        <w:rPr>
          <w:spacing w:val="-3"/>
          <w:sz w:val="24"/>
        </w:rPr>
        <w:t xml:space="preserve"> </w:t>
      </w:r>
      <w:r w:rsidRPr="00150EDC">
        <w:rPr>
          <w:sz w:val="24"/>
        </w:rPr>
        <w:t>to</w:t>
      </w:r>
      <w:r w:rsidRPr="00150EDC">
        <w:rPr>
          <w:spacing w:val="-3"/>
          <w:sz w:val="24"/>
        </w:rPr>
        <w:t xml:space="preserve"> </w:t>
      </w:r>
      <w:r w:rsidRPr="00150EDC">
        <w:rPr>
          <w:sz w:val="24"/>
        </w:rPr>
        <w:t>make</w:t>
      </w:r>
      <w:r w:rsidRPr="00150EDC">
        <w:rPr>
          <w:spacing w:val="-3"/>
          <w:sz w:val="24"/>
        </w:rPr>
        <w:t xml:space="preserve"> </w:t>
      </w:r>
      <w:r w:rsidRPr="00150EDC">
        <w:rPr>
          <w:sz w:val="24"/>
        </w:rPr>
        <w:t>one</w:t>
      </w:r>
      <w:r w:rsidRPr="00150EDC">
        <w:rPr>
          <w:spacing w:val="-1"/>
          <w:sz w:val="24"/>
        </w:rPr>
        <w:t xml:space="preserve"> </w:t>
      </w:r>
      <w:r w:rsidRPr="00150EDC">
        <w:rPr>
          <w:sz w:val="24"/>
        </w:rPr>
        <w:t>such</w:t>
      </w:r>
      <w:r w:rsidRPr="00150EDC">
        <w:rPr>
          <w:spacing w:val="-1"/>
          <w:sz w:val="24"/>
        </w:rPr>
        <w:t xml:space="preserve"> </w:t>
      </w:r>
      <w:r w:rsidRPr="00150EDC">
        <w:rPr>
          <w:sz w:val="24"/>
        </w:rPr>
        <w:t>request</w:t>
      </w:r>
      <w:r w:rsidRPr="00150EDC">
        <w:rPr>
          <w:spacing w:val="-1"/>
          <w:sz w:val="24"/>
        </w:rPr>
        <w:t xml:space="preserve"> </w:t>
      </w:r>
      <w:r w:rsidRPr="00150EDC">
        <w:rPr>
          <w:sz w:val="24"/>
        </w:rPr>
        <w:t>in</w:t>
      </w:r>
      <w:r w:rsidRPr="00150EDC">
        <w:rPr>
          <w:spacing w:val="-3"/>
          <w:sz w:val="24"/>
        </w:rPr>
        <w:t xml:space="preserve"> </w:t>
      </w:r>
      <w:r w:rsidRPr="00150EDC">
        <w:rPr>
          <w:sz w:val="24"/>
        </w:rPr>
        <w:t>any 6 Month period),</w:t>
      </w:r>
    </w:p>
    <w:p w14:paraId="2CD21986" w14:textId="77777777" w:rsidR="004C7180" w:rsidRPr="00150EDC" w:rsidRDefault="00CF0754">
      <w:pPr>
        <w:pStyle w:val="BodyText"/>
        <w:spacing w:before="120"/>
        <w:ind w:left="2391" w:right="1435"/>
        <w:jc w:val="both"/>
      </w:pPr>
      <w:r w:rsidRPr="00150EDC">
        <w:t>it</w:t>
      </w:r>
      <w:r w:rsidRPr="00150EDC">
        <w:rPr>
          <w:spacing w:val="-11"/>
        </w:rPr>
        <w:t xml:space="preserve"> </w:t>
      </w:r>
      <w:r w:rsidRPr="00150EDC">
        <w:t>shall</w:t>
      </w:r>
      <w:r w:rsidRPr="00150EDC">
        <w:rPr>
          <w:spacing w:val="-14"/>
        </w:rPr>
        <w:t xml:space="preserve"> </w:t>
      </w:r>
      <w:r w:rsidRPr="00150EDC">
        <w:t>provide</w:t>
      </w:r>
      <w:r w:rsidRPr="00150EDC">
        <w:rPr>
          <w:spacing w:val="-13"/>
        </w:rPr>
        <w:t xml:space="preserve"> </w:t>
      </w:r>
      <w:r w:rsidRPr="00150EDC">
        <w:t>in</w:t>
      </w:r>
      <w:r w:rsidRPr="00150EDC">
        <w:rPr>
          <w:spacing w:val="-13"/>
        </w:rPr>
        <w:t xml:space="preserve"> </w:t>
      </w:r>
      <w:r w:rsidRPr="00150EDC">
        <w:t>a</w:t>
      </w:r>
      <w:r w:rsidRPr="00150EDC">
        <w:rPr>
          <w:spacing w:val="-11"/>
        </w:rPr>
        <w:t xml:space="preserve"> </w:t>
      </w:r>
      <w:r w:rsidRPr="00150EDC">
        <w:t>suitably</w:t>
      </w:r>
      <w:r w:rsidRPr="00150EDC">
        <w:rPr>
          <w:spacing w:val="-12"/>
        </w:rPr>
        <w:t xml:space="preserve"> </w:t>
      </w:r>
      <w:r w:rsidRPr="00150EDC">
        <w:t>anonymised</w:t>
      </w:r>
      <w:r w:rsidRPr="00150EDC">
        <w:rPr>
          <w:spacing w:val="-11"/>
        </w:rPr>
        <w:t xml:space="preserve"> </w:t>
      </w:r>
      <w:r w:rsidRPr="00150EDC">
        <w:t>format</w:t>
      </w:r>
      <w:r w:rsidRPr="00150EDC">
        <w:rPr>
          <w:spacing w:val="-12"/>
        </w:rPr>
        <w:t xml:space="preserve"> </w:t>
      </w:r>
      <w:r w:rsidRPr="00150EDC">
        <w:t>so</w:t>
      </w:r>
      <w:r w:rsidRPr="00150EDC">
        <w:rPr>
          <w:spacing w:val="-13"/>
        </w:rPr>
        <w:t xml:space="preserve"> </w:t>
      </w:r>
      <w:r w:rsidRPr="00150EDC">
        <w:t>as</w:t>
      </w:r>
      <w:r w:rsidRPr="00150EDC">
        <w:rPr>
          <w:spacing w:val="-14"/>
        </w:rPr>
        <w:t xml:space="preserve"> </w:t>
      </w:r>
      <w:r w:rsidRPr="00150EDC">
        <w:t>to</w:t>
      </w:r>
      <w:r w:rsidRPr="00150EDC">
        <w:rPr>
          <w:spacing w:val="-13"/>
        </w:rPr>
        <w:t xml:space="preserve"> </w:t>
      </w:r>
      <w:r w:rsidRPr="00150EDC">
        <w:t>comply</w:t>
      </w:r>
      <w:r w:rsidRPr="00150EDC">
        <w:rPr>
          <w:spacing w:val="-14"/>
        </w:rPr>
        <w:t xml:space="preserve"> </w:t>
      </w:r>
      <w:r w:rsidRPr="00150EDC">
        <w:t>with</w:t>
      </w:r>
      <w:r w:rsidRPr="00150EDC">
        <w:rPr>
          <w:spacing w:val="-13"/>
        </w:rPr>
        <w:t xml:space="preserve"> </w:t>
      </w:r>
      <w:r w:rsidRPr="00150EDC">
        <w:t>the</w:t>
      </w:r>
      <w:r w:rsidRPr="00150EDC">
        <w:rPr>
          <w:spacing w:val="-11"/>
        </w:rPr>
        <w:t xml:space="preserve"> </w:t>
      </w:r>
      <w:r w:rsidRPr="00150EDC">
        <w:t>Data Protection Legislation, the Supplier's Provisional Supplier Personnel List, together</w:t>
      </w:r>
      <w:r w:rsidRPr="00150EDC">
        <w:rPr>
          <w:spacing w:val="-7"/>
        </w:rPr>
        <w:t xml:space="preserve"> </w:t>
      </w:r>
      <w:r w:rsidRPr="00150EDC">
        <w:t>with</w:t>
      </w:r>
      <w:r w:rsidRPr="00150EDC">
        <w:rPr>
          <w:spacing w:val="-5"/>
        </w:rPr>
        <w:t xml:space="preserve"> </w:t>
      </w:r>
      <w:r w:rsidRPr="00150EDC">
        <w:t>the</w:t>
      </w:r>
      <w:r w:rsidRPr="00150EDC">
        <w:rPr>
          <w:spacing w:val="-5"/>
        </w:rPr>
        <w:t xml:space="preserve"> </w:t>
      </w:r>
      <w:r w:rsidRPr="00150EDC">
        <w:t>Staffing</w:t>
      </w:r>
      <w:r w:rsidRPr="00150EDC">
        <w:rPr>
          <w:spacing w:val="-5"/>
        </w:rPr>
        <w:t xml:space="preserve"> </w:t>
      </w:r>
      <w:r w:rsidRPr="00150EDC">
        <w:t>Information</w:t>
      </w:r>
      <w:r w:rsidRPr="00150EDC">
        <w:rPr>
          <w:spacing w:val="-5"/>
        </w:rPr>
        <w:t xml:space="preserve"> </w:t>
      </w:r>
      <w:r w:rsidRPr="00150EDC">
        <w:t>in</w:t>
      </w:r>
      <w:r w:rsidRPr="00150EDC">
        <w:rPr>
          <w:spacing w:val="-5"/>
        </w:rPr>
        <w:t xml:space="preserve"> </w:t>
      </w:r>
      <w:r w:rsidRPr="00150EDC">
        <w:t>relation</w:t>
      </w:r>
      <w:r w:rsidRPr="00150EDC">
        <w:rPr>
          <w:spacing w:val="-5"/>
        </w:rPr>
        <w:t xml:space="preserve"> </w:t>
      </w:r>
      <w:r w:rsidRPr="00150EDC">
        <w:t>to</w:t>
      </w:r>
      <w:r w:rsidRPr="00150EDC">
        <w:rPr>
          <w:spacing w:val="-5"/>
        </w:rPr>
        <w:t xml:space="preserve"> </w:t>
      </w:r>
      <w:r w:rsidRPr="00150EDC">
        <w:t>the</w:t>
      </w:r>
      <w:r w:rsidRPr="00150EDC">
        <w:rPr>
          <w:spacing w:val="-5"/>
        </w:rPr>
        <w:t xml:space="preserve"> </w:t>
      </w:r>
      <w:r w:rsidRPr="00150EDC">
        <w:t>Supplier's</w:t>
      </w:r>
      <w:r w:rsidRPr="00150EDC">
        <w:rPr>
          <w:spacing w:val="-6"/>
        </w:rPr>
        <w:t xml:space="preserve"> </w:t>
      </w:r>
      <w:r w:rsidRPr="00150EDC">
        <w:t>Provisional Supplier</w:t>
      </w:r>
      <w:r w:rsidRPr="00150EDC">
        <w:rPr>
          <w:spacing w:val="-17"/>
        </w:rPr>
        <w:t xml:space="preserve"> </w:t>
      </w:r>
      <w:r w:rsidRPr="00150EDC">
        <w:t>Personnel</w:t>
      </w:r>
      <w:r w:rsidRPr="00150EDC">
        <w:rPr>
          <w:spacing w:val="-17"/>
        </w:rPr>
        <w:t xml:space="preserve"> </w:t>
      </w:r>
      <w:r w:rsidRPr="00150EDC">
        <w:t>List</w:t>
      </w:r>
      <w:r w:rsidRPr="00150EDC">
        <w:rPr>
          <w:spacing w:val="-16"/>
        </w:rPr>
        <w:t xml:space="preserve"> </w:t>
      </w:r>
      <w:r w:rsidRPr="00150EDC">
        <w:t>and</w:t>
      </w:r>
      <w:r w:rsidRPr="00150EDC">
        <w:rPr>
          <w:spacing w:val="-16"/>
        </w:rPr>
        <w:t xml:space="preserve"> </w:t>
      </w:r>
      <w:r w:rsidRPr="00150EDC">
        <w:t>it</w:t>
      </w:r>
      <w:r w:rsidRPr="00150EDC">
        <w:rPr>
          <w:spacing w:val="-14"/>
        </w:rPr>
        <w:t xml:space="preserve"> </w:t>
      </w:r>
      <w:r w:rsidRPr="00150EDC">
        <w:t>shall</w:t>
      </w:r>
      <w:r w:rsidRPr="00150EDC">
        <w:rPr>
          <w:spacing w:val="-15"/>
        </w:rPr>
        <w:t xml:space="preserve"> </w:t>
      </w:r>
      <w:r w:rsidRPr="00150EDC">
        <w:t>provide</w:t>
      </w:r>
      <w:r w:rsidRPr="00150EDC">
        <w:rPr>
          <w:spacing w:val="-16"/>
        </w:rPr>
        <w:t xml:space="preserve"> </w:t>
      </w:r>
      <w:r w:rsidRPr="00150EDC">
        <w:t>an</w:t>
      </w:r>
      <w:r w:rsidRPr="00150EDC">
        <w:rPr>
          <w:spacing w:val="-16"/>
        </w:rPr>
        <w:t xml:space="preserve"> </w:t>
      </w:r>
      <w:r w:rsidRPr="00150EDC">
        <w:t>updated</w:t>
      </w:r>
      <w:r w:rsidRPr="00150EDC">
        <w:rPr>
          <w:spacing w:val="-16"/>
        </w:rPr>
        <w:t xml:space="preserve"> </w:t>
      </w:r>
      <w:r w:rsidRPr="00150EDC">
        <w:t>Supplier's</w:t>
      </w:r>
      <w:r w:rsidRPr="00150EDC">
        <w:rPr>
          <w:spacing w:val="-15"/>
        </w:rPr>
        <w:t xml:space="preserve"> </w:t>
      </w:r>
      <w:r w:rsidRPr="00150EDC">
        <w:t>Provisional Supplier</w:t>
      </w:r>
      <w:r w:rsidRPr="00150EDC">
        <w:rPr>
          <w:spacing w:val="-11"/>
        </w:rPr>
        <w:t xml:space="preserve"> </w:t>
      </w:r>
      <w:r w:rsidRPr="00150EDC">
        <w:t>Personnel</w:t>
      </w:r>
      <w:r w:rsidRPr="00150EDC">
        <w:rPr>
          <w:spacing w:val="-8"/>
        </w:rPr>
        <w:t xml:space="preserve"> </w:t>
      </w:r>
      <w:r w:rsidRPr="00150EDC">
        <w:t>List</w:t>
      </w:r>
      <w:r w:rsidRPr="00150EDC">
        <w:rPr>
          <w:spacing w:val="-7"/>
        </w:rPr>
        <w:t xml:space="preserve"> </w:t>
      </w:r>
      <w:r w:rsidRPr="00150EDC">
        <w:t>at</w:t>
      </w:r>
      <w:r w:rsidRPr="00150EDC">
        <w:rPr>
          <w:spacing w:val="-10"/>
        </w:rPr>
        <w:t xml:space="preserve"> </w:t>
      </w:r>
      <w:r w:rsidRPr="00150EDC">
        <w:t>such</w:t>
      </w:r>
      <w:r w:rsidRPr="00150EDC">
        <w:rPr>
          <w:spacing w:val="-7"/>
        </w:rPr>
        <w:t xml:space="preserve"> </w:t>
      </w:r>
      <w:r w:rsidRPr="00150EDC">
        <w:t>intervals</w:t>
      </w:r>
      <w:r w:rsidRPr="00150EDC">
        <w:rPr>
          <w:spacing w:val="-10"/>
        </w:rPr>
        <w:t xml:space="preserve"> </w:t>
      </w:r>
      <w:r w:rsidRPr="00150EDC">
        <w:t>as</w:t>
      </w:r>
      <w:r w:rsidRPr="00150EDC">
        <w:rPr>
          <w:spacing w:val="-10"/>
        </w:rPr>
        <w:t xml:space="preserve"> </w:t>
      </w:r>
      <w:r w:rsidRPr="00150EDC">
        <w:t>are</w:t>
      </w:r>
      <w:r w:rsidRPr="00150EDC">
        <w:rPr>
          <w:spacing w:val="-7"/>
        </w:rPr>
        <w:t xml:space="preserve"> </w:t>
      </w:r>
      <w:r w:rsidRPr="00150EDC">
        <w:t>reasonably</w:t>
      </w:r>
      <w:r w:rsidRPr="00150EDC">
        <w:rPr>
          <w:spacing w:val="-8"/>
        </w:rPr>
        <w:t xml:space="preserve"> </w:t>
      </w:r>
      <w:r w:rsidRPr="00150EDC">
        <w:t>requested</w:t>
      </w:r>
      <w:r w:rsidRPr="00150EDC">
        <w:rPr>
          <w:spacing w:val="-7"/>
        </w:rPr>
        <w:t xml:space="preserve"> </w:t>
      </w:r>
      <w:r w:rsidRPr="00150EDC">
        <w:t>by</w:t>
      </w:r>
      <w:r w:rsidRPr="00150EDC">
        <w:rPr>
          <w:spacing w:val="-10"/>
        </w:rPr>
        <w:t xml:space="preserve"> </w:t>
      </w:r>
      <w:r w:rsidRPr="00150EDC">
        <w:t xml:space="preserve">the </w:t>
      </w:r>
      <w:r w:rsidRPr="00150EDC">
        <w:rPr>
          <w:spacing w:val="-2"/>
        </w:rPr>
        <w:t>Buyer.</w:t>
      </w:r>
    </w:p>
    <w:p w14:paraId="1329FBA8" w14:textId="77777777" w:rsidR="004C7180" w:rsidRPr="00150EDC" w:rsidRDefault="004C7180">
      <w:pPr>
        <w:pStyle w:val="BodyText"/>
        <w:spacing w:before="10"/>
        <w:rPr>
          <w:sz w:val="20"/>
        </w:rPr>
      </w:pPr>
    </w:p>
    <w:p w14:paraId="4CA80491" w14:textId="77777777" w:rsidR="004C7180" w:rsidRPr="00150EDC" w:rsidRDefault="00CF0754" w:rsidP="00B320C7">
      <w:pPr>
        <w:pStyle w:val="ListParagraph"/>
        <w:numPr>
          <w:ilvl w:val="1"/>
          <w:numId w:val="85"/>
        </w:numPr>
        <w:tabs>
          <w:tab w:val="left" w:pos="2117"/>
          <w:tab w:val="left" w:pos="2120"/>
        </w:tabs>
        <w:ind w:right="1433"/>
        <w:jc w:val="both"/>
        <w:rPr>
          <w:sz w:val="24"/>
        </w:rPr>
      </w:pPr>
      <w:r w:rsidRPr="00150EDC">
        <w:rPr>
          <w:sz w:val="24"/>
        </w:rPr>
        <w:t>At least</w:t>
      </w:r>
      <w:r w:rsidRPr="00150EDC">
        <w:rPr>
          <w:spacing w:val="-1"/>
          <w:sz w:val="24"/>
        </w:rPr>
        <w:t xml:space="preserve"> </w:t>
      </w:r>
      <w:r w:rsidRPr="00150EDC">
        <w:rPr>
          <w:sz w:val="24"/>
        </w:rPr>
        <w:t>20</w:t>
      </w:r>
      <w:r w:rsidRPr="00150EDC">
        <w:rPr>
          <w:spacing w:val="-4"/>
          <w:sz w:val="24"/>
        </w:rPr>
        <w:t xml:space="preserve"> </w:t>
      </w:r>
      <w:r w:rsidRPr="00150EDC">
        <w:rPr>
          <w:sz w:val="24"/>
        </w:rPr>
        <w:t>Working</w:t>
      </w:r>
      <w:r w:rsidRPr="00150EDC">
        <w:rPr>
          <w:spacing w:val="-1"/>
          <w:sz w:val="24"/>
        </w:rPr>
        <w:t xml:space="preserve"> </w:t>
      </w:r>
      <w:r w:rsidRPr="00150EDC">
        <w:rPr>
          <w:sz w:val="24"/>
        </w:rPr>
        <w:t>Days prior to the</w:t>
      </w:r>
      <w:r w:rsidRPr="00150EDC">
        <w:rPr>
          <w:spacing w:val="-1"/>
          <w:sz w:val="24"/>
        </w:rPr>
        <w:t xml:space="preserve"> </w:t>
      </w:r>
      <w:r w:rsidRPr="00150EDC">
        <w:rPr>
          <w:sz w:val="24"/>
        </w:rPr>
        <w:t>Service Transfer Date,</w:t>
      </w:r>
      <w:r w:rsidRPr="00150EDC">
        <w:rPr>
          <w:spacing w:val="-1"/>
          <w:sz w:val="24"/>
        </w:rPr>
        <w:t xml:space="preserve"> </w:t>
      </w:r>
      <w:r w:rsidRPr="00150EDC">
        <w:rPr>
          <w:sz w:val="24"/>
        </w:rPr>
        <w:t>the</w:t>
      </w:r>
      <w:r w:rsidRPr="00150EDC">
        <w:rPr>
          <w:spacing w:val="-1"/>
          <w:sz w:val="24"/>
        </w:rPr>
        <w:t xml:space="preserve"> </w:t>
      </w:r>
      <w:r w:rsidRPr="00150EDC">
        <w:rPr>
          <w:sz w:val="24"/>
        </w:rPr>
        <w:t>Supplier shall provide to the Buyer or at the direction of the Buyer to any Replacement Supplier</w:t>
      </w:r>
      <w:r w:rsidRPr="00150EDC">
        <w:rPr>
          <w:spacing w:val="-17"/>
          <w:sz w:val="24"/>
        </w:rPr>
        <w:t xml:space="preserve"> </w:t>
      </w:r>
      <w:r w:rsidRPr="00150EDC">
        <w:rPr>
          <w:sz w:val="24"/>
        </w:rPr>
        <w:t>and/or</w:t>
      </w:r>
      <w:r w:rsidRPr="00150EDC">
        <w:rPr>
          <w:spacing w:val="-17"/>
          <w:sz w:val="24"/>
        </w:rPr>
        <w:t xml:space="preserve"> </w:t>
      </w:r>
      <w:r w:rsidRPr="00150EDC">
        <w:rPr>
          <w:sz w:val="24"/>
        </w:rPr>
        <w:t>any</w:t>
      </w:r>
      <w:r w:rsidRPr="00150EDC">
        <w:rPr>
          <w:spacing w:val="-16"/>
          <w:sz w:val="24"/>
        </w:rPr>
        <w:t xml:space="preserve"> </w:t>
      </w:r>
      <w:r w:rsidRPr="00150EDC">
        <w:rPr>
          <w:sz w:val="24"/>
        </w:rPr>
        <w:t>Replacement</w:t>
      </w:r>
      <w:r w:rsidRPr="00150EDC">
        <w:rPr>
          <w:spacing w:val="-17"/>
          <w:sz w:val="24"/>
        </w:rPr>
        <w:t xml:space="preserve"> </w:t>
      </w:r>
      <w:r w:rsidRPr="00150EDC">
        <w:rPr>
          <w:sz w:val="24"/>
        </w:rPr>
        <w:t>Subcontractor</w:t>
      </w:r>
      <w:r w:rsidRPr="00150EDC">
        <w:rPr>
          <w:spacing w:val="-17"/>
          <w:sz w:val="24"/>
        </w:rPr>
        <w:t xml:space="preserve"> </w:t>
      </w:r>
      <w:r w:rsidRPr="00150EDC">
        <w:rPr>
          <w:sz w:val="24"/>
        </w:rPr>
        <w:t>(i)</w:t>
      </w:r>
      <w:r w:rsidRPr="00150EDC">
        <w:rPr>
          <w:spacing w:val="-17"/>
          <w:sz w:val="24"/>
        </w:rPr>
        <w:t xml:space="preserve"> </w:t>
      </w:r>
      <w:r w:rsidRPr="00150EDC">
        <w:rPr>
          <w:sz w:val="24"/>
        </w:rPr>
        <w:t>the</w:t>
      </w:r>
      <w:r w:rsidRPr="00150EDC">
        <w:rPr>
          <w:spacing w:val="-16"/>
          <w:sz w:val="24"/>
        </w:rPr>
        <w:t xml:space="preserve"> </w:t>
      </w:r>
      <w:r w:rsidRPr="00150EDC">
        <w:rPr>
          <w:sz w:val="24"/>
        </w:rPr>
        <w:t>Supplier's</w:t>
      </w:r>
      <w:r w:rsidRPr="00150EDC">
        <w:rPr>
          <w:spacing w:val="-17"/>
          <w:sz w:val="24"/>
        </w:rPr>
        <w:t xml:space="preserve"> </w:t>
      </w:r>
      <w:r w:rsidRPr="00150EDC">
        <w:rPr>
          <w:sz w:val="24"/>
        </w:rPr>
        <w:t>Final</w:t>
      </w:r>
      <w:r w:rsidRPr="00150EDC">
        <w:rPr>
          <w:spacing w:val="-17"/>
          <w:sz w:val="24"/>
        </w:rPr>
        <w:t xml:space="preserve"> </w:t>
      </w:r>
      <w:r w:rsidRPr="00150EDC">
        <w:rPr>
          <w:sz w:val="24"/>
        </w:rPr>
        <w:t>Supplier Personnel List, which</w:t>
      </w:r>
      <w:r w:rsidRPr="00150EDC">
        <w:rPr>
          <w:spacing w:val="-1"/>
          <w:sz w:val="24"/>
        </w:rPr>
        <w:t xml:space="preserve"> </w:t>
      </w:r>
      <w:r w:rsidRPr="00150EDC">
        <w:rPr>
          <w:sz w:val="24"/>
        </w:rPr>
        <w:t>shall identify the basis upon which they are Transferring Supplier</w:t>
      </w:r>
      <w:r w:rsidRPr="00150EDC">
        <w:rPr>
          <w:spacing w:val="-11"/>
          <w:sz w:val="24"/>
        </w:rPr>
        <w:t xml:space="preserve"> </w:t>
      </w:r>
      <w:r w:rsidRPr="00150EDC">
        <w:rPr>
          <w:sz w:val="24"/>
        </w:rPr>
        <w:t>Employees</w:t>
      </w:r>
      <w:r w:rsidRPr="00150EDC">
        <w:rPr>
          <w:spacing w:val="-13"/>
          <w:sz w:val="24"/>
        </w:rPr>
        <w:t xml:space="preserve"> </w:t>
      </w:r>
      <w:r w:rsidRPr="00150EDC">
        <w:rPr>
          <w:sz w:val="24"/>
        </w:rPr>
        <w:t>and</w:t>
      </w:r>
      <w:r w:rsidRPr="00150EDC">
        <w:rPr>
          <w:spacing w:val="-9"/>
          <w:sz w:val="24"/>
        </w:rPr>
        <w:t xml:space="preserve"> </w:t>
      </w:r>
      <w:r w:rsidRPr="00150EDC">
        <w:rPr>
          <w:sz w:val="24"/>
        </w:rPr>
        <w:t>(ii)</w:t>
      </w:r>
      <w:r w:rsidRPr="00150EDC">
        <w:rPr>
          <w:spacing w:val="-11"/>
          <w:sz w:val="24"/>
        </w:rPr>
        <w:t xml:space="preserve"> </w:t>
      </w:r>
      <w:r w:rsidRPr="00150EDC">
        <w:rPr>
          <w:sz w:val="24"/>
        </w:rPr>
        <w:t>the</w:t>
      </w:r>
      <w:r w:rsidRPr="00150EDC">
        <w:rPr>
          <w:spacing w:val="-9"/>
          <w:sz w:val="24"/>
        </w:rPr>
        <w:t xml:space="preserve"> </w:t>
      </w:r>
      <w:r w:rsidRPr="00150EDC">
        <w:rPr>
          <w:sz w:val="24"/>
        </w:rPr>
        <w:t>Staffing</w:t>
      </w:r>
      <w:r w:rsidRPr="00150EDC">
        <w:rPr>
          <w:spacing w:val="-9"/>
          <w:sz w:val="24"/>
        </w:rPr>
        <w:t xml:space="preserve"> </w:t>
      </w:r>
      <w:r w:rsidRPr="00150EDC">
        <w:rPr>
          <w:sz w:val="24"/>
        </w:rPr>
        <w:t>Information</w:t>
      </w:r>
      <w:r w:rsidRPr="00150EDC">
        <w:rPr>
          <w:spacing w:val="-9"/>
          <w:sz w:val="24"/>
        </w:rPr>
        <w:t xml:space="preserve"> </w:t>
      </w:r>
      <w:r w:rsidRPr="00150EDC">
        <w:rPr>
          <w:sz w:val="24"/>
        </w:rPr>
        <w:t>in</w:t>
      </w:r>
      <w:r w:rsidRPr="00150EDC">
        <w:rPr>
          <w:spacing w:val="-9"/>
          <w:sz w:val="24"/>
        </w:rPr>
        <w:t xml:space="preserve"> </w:t>
      </w:r>
      <w:r w:rsidRPr="00150EDC">
        <w:rPr>
          <w:sz w:val="24"/>
        </w:rPr>
        <w:t>relation</w:t>
      </w:r>
      <w:r w:rsidRPr="00150EDC">
        <w:rPr>
          <w:spacing w:val="-9"/>
          <w:sz w:val="24"/>
        </w:rPr>
        <w:t xml:space="preserve"> </w:t>
      </w:r>
      <w:r w:rsidRPr="00150EDC">
        <w:rPr>
          <w:sz w:val="24"/>
        </w:rPr>
        <w:t>to</w:t>
      </w:r>
      <w:r w:rsidRPr="00150EDC">
        <w:rPr>
          <w:spacing w:val="-12"/>
          <w:sz w:val="24"/>
        </w:rPr>
        <w:t xml:space="preserve"> </w:t>
      </w:r>
      <w:r w:rsidRPr="00150EDC">
        <w:rPr>
          <w:sz w:val="24"/>
        </w:rPr>
        <w:t>the</w:t>
      </w:r>
      <w:r w:rsidRPr="00150EDC">
        <w:rPr>
          <w:spacing w:val="-9"/>
          <w:sz w:val="24"/>
        </w:rPr>
        <w:t xml:space="preserve"> </w:t>
      </w:r>
      <w:r w:rsidRPr="00150EDC">
        <w:rPr>
          <w:sz w:val="24"/>
        </w:rPr>
        <w:t>Supplier’s Final Supplier Personnel List (insofar as such information has not previously been provided).</w:t>
      </w:r>
    </w:p>
    <w:p w14:paraId="64C412C7" w14:textId="77777777" w:rsidR="004C7180" w:rsidRPr="00150EDC" w:rsidRDefault="00CF0754" w:rsidP="00B320C7">
      <w:pPr>
        <w:pStyle w:val="ListParagraph"/>
        <w:numPr>
          <w:ilvl w:val="1"/>
          <w:numId w:val="85"/>
        </w:numPr>
        <w:tabs>
          <w:tab w:val="left" w:pos="2117"/>
          <w:tab w:val="left" w:pos="2120"/>
        </w:tabs>
        <w:spacing w:before="120"/>
        <w:ind w:right="1434"/>
        <w:jc w:val="both"/>
        <w:rPr>
          <w:sz w:val="24"/>
        </w:rPr>
      </w:pPr>
      <w:r w:rsidRPr="00150EDC">
        <w:rPr>
          <w:sz w:val="24"/>
        </w:rPr>
        <w:t>The Buyer shall be permitted to use and disclose information provided by the Supplier under Paragraphs</w:t>
      </w:r>
      <w:r w:rsidRPr="00150EDC">
        <w:rPr>
          <w:spacing w:val="-1"/>
          <w:sz w:val="24"/>
        </w:rPr>
        <w:t xml:space="preserve"> </w:t>
      </w:r>
      <w:r w:rsidRPr="00150EDC">
        <w:rPr>
          <w:sz w:val="24"/>
        </w:rPr>
        <w:t>1.1 and</w:t>
      </w:r>
      <w:r w:rsidRPr="00150EDC">
        <w:rPr>
          <w:spacing w:val="-2"/>
          <w:sz w:val="24"/>
        </w:rPr>
        <w:t xml:space="preserve"> </w:t>
      </w:r>
      <w:r w:rsidRPr="00150EDC">
        <w:rPr>
          <w:sz w:val="24"/>
        </w:rPr>
        <w:t>1.2 for the purpose of informing any prospective Replacement Supplier and/or Replacement Subcontractor.</w:t>
      </w:r>
    </w:p>
    <w:p w14:paraId="51114FE8" w14:textId="77777777" w:rsidR="004C7180" w:rsidRPr="00150EDC" w:rsidRDefault="00CF0754" w:rsidP="00B320C7">
      <w:pPr>
        <w:pStyle w:val="ListParagraph"/>
        <w:numPr>
          <w:ilvl w:val="1"/>
          <w:numId w:val="85"/>
        </w:numPr>
        <w:tabs>
          <w:tab w:val="left" w:pos="2117"/>
          <w:tab w:val="left" w:pos="2120"/>
        </w:tabs>
        <w:spacing w:before="118"/>
        <w:ind w:right="1434"/>
        <w:jc w:val="both"/>
        <w:rPr>
          <w:sz w:val="24"/>
        </w:rPr>
      </w:pPr>
      <w:r w:rsidRPr="00150EDC">
        <w:rPr>
          <w:sz w:val="24"/>
        </w:rPr>
        <w:t>The</w:t>
      </w:r>
      <w:r w:rsidRPr="00150EDC">
        <w:rPr>
          <w:spacing w:val="-11"/>
          <w:sz w:val="24"/>
        </w:rPr>
        <w:t xml:space="preserve"> </w:t>
      </w:r>
      <w:r w:rsidRPr="00150EDC">
        <w:rPr>
          <w:sz w:val="24"/>
        </w:rPr>
        <w:t>Supplier</w:t>
      </w:r>
      <w:r w:rsidRPr="00150EDC">
        <w:rPr>
          <w:spacing w:val="-12"/>
          <w:sz w:val="24"/>
        </w:rPr>
        <w:t xml:space="preserve"> </w:t>
      </w:r>
      <w:r w:rsidRPr="00150EDC">
        <w:rPr>
          <w:sz w:val="24"/>
        </w:rPr>
        <w:t>warrants,</w:t>
      </w:r>
      <w:r w:rsidRPr="00150EDC">
        <w:rPr>
          <w:spacing w:val="-13"/>
          <w:sz w:val="24"/>
        </w:rPr>
        <w:t xml:space="preserve"> </w:t>
      </w:r>
      <w:r w:rsidRPr="00150EDC">
        <w:rPr>
          <w:sz w:val="24"/>
        </w:rPr>
        <w:t>for</w:t>
      </w:r>
      <w:r w:rsidRPr="00150EDC">
        <w:rPr>
          <w:spacing w:val="-12"/>
          <w:sz w:val="24"/>
        </w:rPr>
        <w:t xml:space="preserve"> </w:t>
      </w:r>
      <w:r w:rsidRPr="00150EDC">
        <w:rPr>
          <w:sz w:val="24"/>
        </w:rPr>
        <w:t>the</w:t>
      </w:r>
      <w:r w:rsidRPr="00150EDC">
        <w:rPr>
          <w:spacing w:val="-13"/>
          <w:sz w:val="24"/>
        </w:rPr>
        <w:t xml:space="preserve"> </w:t>
      </w:r>
      <w:r w:rsidRPr="00150EDC">
        <w:rPr>
          <w:sz w:val="24"/>
        </w:rPr>
        <w:t>benefit</w:t>
      </w:r>
      <w:r w:rsidRPr="00150EDC">
        <w:rPr>
          <w:spacing w:val="-11"/>
          <w:sz w:val="24"/>
        </w:rPr>
        <w:t xml:space="preserve"> </w:t>
      </w:r>
      <w:r w:rsidRPr="00150EDC">
        <w:rPr>
          <w:sz w:val="24"/>
        </w:rPr>
        <w:t>of</w:t>
      </w:r>
      <w:r w:rsidRPr="00150EDC">
        <w:rPr>
          <w:spacing w:val="-11"/>
          <w:sz w:val="24"/>
        </w:rPr>
        <w:t xml:space="preserve"> </w:t>
      </w:r>
      <w:r w:rsidRPr="00150EDC">
        <w:rPr>
          <w:sz w:val="24"/>
        </w:rPr>
        <w:t>The</w:t>
      </w:r>
      <w:r w:rsidRPr="00150EDC">
        <w:rPr>
          <w:spacing w:val="-11"/>
          <w:sz w:val="24"/>
        </w:rPr>
        <w:t xml:space="preserve"> </w:t>
      </w:r>
      <w:r w:rsidRPr="00150EDC">
        <w:rPr>
          <w:sz w:val="24"/>
        </w:rPr>
        <w:t>Buyer,</w:t>
      </w:r>
      <w:r w:rsidRPr="00150EDC">
        <w:rPr>
          <w:spacing w:val="-11"/>
          <w:sz w:val="24"/>
        </w:rPr>
        <w:t xml:space="preserve"> </w:t>
      </w:r>
      <w:r w:rsidRPr="00150EDC">
        <w:rPr>
          <w:sz w:val="24"/>
        </w:rPr>
        <w:t>any</w:t>
      </w:r>
      <w:r w:rsidRPr="00150EDC">
        <w:rPr>
          <w:spacing w:val="-12"/>
          <w:sz w:val="24"/>
        </w:rPr>
        <w:t xml:space="preserve"> </w:t>
      </w:r>
      <w:r w:rsidRPr="00150EDC">
        <w:rPr>
          <w:sz w:val="24"/>
        </w:rPr>
        <w:t>Replacement</w:t>
      </w:r>
      <w:r w:rsidRPr="00150EDC">
        <w:rPr>
          <w:spacing w:val="-13"/>
          <w:sz w:val="24"/>
        </w:rPr>
        <w:t xml:space="preserve"> </w:t>
      </w:r>
      <w:r w:rsidRPr="00150EDC">
        <w:rPr>
          <w:sz w:val="24"/>
        </w:rPr>
        <w:t>Supplier, and any Replacement Subcontractor that all information provided pursuant to Paragraphs</w:t>
      </w:r>
      <w:r w:rsidRPr="00150EDC">
        <w:rPr>
          <w:spacing w:val="-5"/>
          <w:sz w:val="24"/>
        </w:rPr>
        <w:t xml:space="preserve"> </w:t>
      </w:r>
      <w:r w:rsidRPr="00150EDC">
        <w:rPr>
          <w:sz w:val="24"/>
        </w:rPr>
        <w:t>1.1 and</w:t>
      </w:r>
      <w:r w:rsidRPr="00150EDC">
        <w:rPr>
          <w:spacing w:val="-4"/>
          <w:sz w:val="24"/>
        </w:rPr>
        <w:t xml:space="preserve"> </w:t>
      </w:r>
      <w:r w:rsidRPr="00150EDC">
        <w:rPr>
          <w:sz w:val="24"/>
        </w:rPr>
        <w:t>1.2 shall be true and accurate in all material respects at the time of providing the information.</w:t>
      </w:r>
    </w:p>
    <w:p w14:paraId="20335B8A" w14:textId="77777777" w:rsidR="004C7180" w:rsidRPr="00150EDC" w:rsidRDefault="00CF0754" w:rsidP="00B320C7">
      <w:pPr>
        <w:pStyle w:val="ListParagraph"/>
        <w:numPr>
          <w:ilvl w:val="1"/>
          <w:numId w:val="85"/>
        </w:numPr>
        <w:tabs>
          <w:tab w:val="left" w:pos="2117"/>
          <w:tab w:val="left" w:pos="2120"/>
        </w:tabs>
        <w:spacing w:before="120"/>
        <w:ind w:right="1434"/>
        <w:jc w:val="both"/>
        <w:rPr>
          <w:sz w:val="24"/>
        </w:rPr>
      </w:pPr>
      <w:r w:rsidRPr="00150EDC">
        <w:rPr>
          <w:sz w:val="24"/>
        </w:rPr>
        <w:t>From</w:t>
      </w:r>
      <w:r w:rsidRPr="00150EDC">
        <w:rPr>
          <w:spacing w:val="40"/>
          <w:sz w:val="24"/>
        </w:rPr>
        <w:t xml:space="preserve"> </w:t>
      </w:r>
      <w:r w:rsidRPr="00150EDC">
        <w:rPr>
          <w:sz w:val="24"/>
        </w:rPr>
        <w:t>the</w:t>
      </w:r>
      <w:r w:rsidRPr="00150EDC">
        <w:rPr>
          <w:spacing w:val="40"/>
          <w:sz w:val="24"/>
        </w:rPr>
        <w:t xml:space="preserve"> </w:t>
      </w:r>
      <w:r w:rsidRPr="00150EDC">
        <w:rPr>
          <w:sz w:val="24"/>
        </w:rPr>
        <w:t>date</w:t>
      </w:r>
      <w:r w:rsidRPr="00150EDC">
        <w:rPr>
          <w:spacing w:val="40"/>
          <w:sz w:val="24"/>
        </w:rPr>
        <w:t xml:space="preserve"> </w:t>
      </w:r>
      <w:r w:rsidRPr="00150EDC">
        <w:rPr>
          <w:sz w:val="24"/>
        </w:rPr>
        <w:t>of</w:t>
      </w:r>
      <w:r w:rsidRPr="00150EDC">
        <w:rPr>
          <w:spacing w:val="40"/>
          <w:sz w:val="24"/>
        </w:rPr>
        <w:t xml:space="preserve"> </w:t>
      </w:r>
      <w:r w:rsidRPr="00150EDC">
        <w:rPr>
          <w:sz w:val="24"/>
        </w:rPr>
        <w:t>the</w:t>
      </w:r>
      <w:r w:rsidRPr="00150EDC">
        <w:rPr>
          <w:spacing w:val="40"/>
          <w:sz w:val="24"/>
        </w:rPr>
        <w:t xml:space="preserve"> </w:t>
      </w:r>
      <w:r w:rsidRPr="00150EDC">
        <w:rPr>
          <w:sz w:val="24"/>
        </w:rPr>
        <w:t>earliest</w:t>
      </w:r>
      <w:r w:rsidRPr="00150EDC">
        <w:rPr>
          <w:spacing w:val="40"/>
          <w:sz w:val="24"/>
        </w:rPr>
        <w:t xml:space="preserve"> </w:t>
      </w:r>
      <w:r w:rsidRPr="00150EDC">
        <w:rPr>
          <w:sz w:val="24"/>
        </w:rPr>
        <w:t>event</w:t>
      </w:r>
      <w:r w:rsidRPr="00150EDC">
        <w:rPr>
          <w:spacing w:val="40"/>
          <w:sz w:val="24"/>
        </w:rPr>
        <w:t xml:space="preserve"> </w:t>
      </w:r>
      <w:r w:rsidRPr="00150EDC">
        <w:rPr>
          <w:sz w:val="24"/>
        </w:rPr>
        <w:t>referred</w:t>
      </w:r>
      <w:r w:rsidRPr="00150EDC">
        <w:rPr>
          <w:spacing w:val="40"/>
          <w:sz w:val="24"/>
        </w:rPr>
        <w:t xml:space="preserve"> </w:t>
      </w:r>
      <w:r w:rsidRPr="00150EDC">
        <w:rPr>
          <w:sz w:val="24"/>
        </w:rPr>
        <w:t>to</w:t>
      </w:r>
      <w:r w:rsidRPr="00150EDC">
        <w:rPr>
          <w:spacing w:val="40"/>
          <w:sz w:val="24"/>
        </w:rPr>
        <w:t xml:space="preserve"> </w:t>
      </w:r>
      <w:r w:rsidRPr="00150EDC">
        <w:rPr>
          <w:sz w:val="24"/>
        </w:rPr>
        <w:t>in</w:t>
      </w:r>
      <w:r w:rsidRPr="00150EDC">
        <w:rPr>
          <w:spacing w:val="40"/>
          <w:sz w:val="24"/>
        </w:rPr>
        <w:t xml:space="preserve"> </w:t>
      </w:r>
      <w:r w:rsidRPr="00150EDC">
        <w:rPr>
          <w:sz w:val="24"/>
        </w:rPr>
        <w:t>Paragraph</w:t>
      </w:r>
      <w:r w:rsidRPr="00150EDC">
        <w:rPr>
          <w:spacing w:val="-1"/>
          <w:sz w:val="24"/>
        </w:rPr>
        <w:t xml:space="preserve"> </w:t>
      </w:r>
      <w:r w:rsidRPr="00150EDC">
        <w:rPr>
          <w:sz w:val="24"/>
        </w:rPr>
        <w:t>1.1.1,</w:t>
      </w:r>
      <w:r w:rsidRPr="00150EDC">
        <w:rPr>
          <w:spacing w:val="40"/>
          <w:sz w:val="24"/>
        </w:rPr>
        <w:t xml:space="preserve"> </w:t>
      </w:r>
      <w:r w:rsidRPr="00150EDC">
        <w:rPr>
          <w:sz w:val="24"/>
        </w:rPr>
        <w:t>1.1.2 and</w:t>
      </w:r>
      <w:r w:rsidRPr="00150EDC">
        <w:rPr>
          <w:spacing w:val="-4"/>
          <w:sz w:val="24"/>
        </w:rPr>
        <w:t xml:space="preserve"> </w:t>
      </w:r>
      <w:r w:rsidRPr="00150EDC">
        <w:rPr>
          <w:sz w:val="24"/>
        </w:rPr>
        <w:t>1.1.3,</w:t>
      </w:r>
      <w:r w:rsidRPr="00150EDC">
        <w:rPr>
          <w:spacing w:val="-6"/>
          <w:sz w:val="24"/>
        </w:rPr>
        <w:t xml:space="preserve"> </w:t>
      </w:r>
      <w:r w:rsidRPr="00150EDC">
        <w:rPr>
          <w:sz w:val="24"/>
        </w:rPr>
        <w:t>the</w:t>
      </w:r>
      <w:r w:rsidRPr="00150EDC">
        <w:rPr>
          <w:spacing w:val="-8"/>
          <w:sz w:val="24"/>
        </w:rPr>
        <w:t xml:space="preserve"> </w:t>
      </w:r>
      <w:r w:rsidRPr="00150EDC">
        <w:rPr>
          <w:sz w:val="24"/>
        </w:rPr>
        <w:t>Supplier</w:t>
      </w:r>
      <w:r w:rsidRPr="00150EDC">
        <w:rPr>
          <w:spacing w:val="-7"/>
          <w:sz w:val="24"/>
        </w:rPr>
        <w:t xml:space="preserve"> </w:t>
      </w:r>
      <w:r w:rsidRPr="00150EDC">
        <w:rPr>
          <w:sz w:val="24"/>
        </w:rPr>
        <w:t>agrees</w:t>
      </w:r>
      <w:r w:rsidRPr="00150EDC">
        <w:rPr>
          <w:spacing w:val="-9"/>
          <w:sz w:val="24"/>
        </w:rPr>
        <w:t xml:space="preserve"> </w:t>
      </w:r>
      <w:r w:rsidRPr="00150EDC">
        <w:rPr>
          <w:sz w:val="24"/>
        </w:rPr>
        <w:t>that</w:t>
      </w:r>
      <w:r w:rsidRPr="00150EDC">
        <w:rPr>
          <w:spacing w:val="-6"/>
          <w:sz w:val="24"/>
        </w:rPr>
        <w:t xml:space="preserve"> </w:t>
      </w:r>
      <w:r w:rsidRPr="00150EDC">
        <w:rPr>
          <w:sz w:val="24"/>
        </w:rPr>
        <w:t>it</w:t>
      </w:r>
      <w:r w:rsidRPr="00150EDC">
        <w:rPr>
          <w:spacing w:val="-6"/>
          <w:sz w:val="24"/>
        </w:rPr>
        <w:t xml:space="preserve"> </w:t>
      </w:r>
      <w:r w:rsidRPr="00150EDC">
        <w:rPr>
          <w:sz w:val="24"/>
        </w:rPr>
        <w:t>shall</w:t>
      </w:r>
      <w:r w:rsidRPr="00150EDC">
        <w:rPr>
          <w:spacing w:val="-7"/>
          <w:sz w:val="24"/>
        </w:rPr>
        <w:t xml:space="preserve"> </w:t>
      </w:r>
      <w:r w:rsidRPr="00150EDC">
        <w:rPr>
          <w:sz w:val="24"/>
        </w:rPr>
        <w:t>not,</w:t>
      </w:r>
      <w:r w:rsidRPr="00150EDC">
        <w:rPr>
          <w:spacing w:val="-6"/>
          <w:sz w:val="24"/>
        </w:rPr>
        <w:t xml:space="preserve"> </w:t>
      </w:r>
      <w:r w:rsidRPr="00150EDC">
        <w:rPr>
          <w:sz w:val="24"/>
        </w:rPr>
        <w:t>and</w:t>
      </w:r>
      <w:r w:rsidRPr="00150EDC">
        <w:rPr>
          <w:spacing w:val="-8"/>
          <w:sz w:val="24"/>
        </w:rPr>
        <w:t xml:space="preserve"> </w:t>
      </w:r>
      <w:r w:rsidRPr="00150EDC">
        <w:rPr>
          <w:sz w:val="24"/>
        </w:rPr>
        <w:t>agrees</w:t>
      </w:r>
      <w:r w:rsidRPr="00150EDC">
        <w:rPr>
          <w:spacing w:val="-7"/>
          <w:sz w:val="24"/>
        </w:rPr>
        <w:t xml:space="preserve"> </w:t>
      </w:r>
      <w:r w:rsidRPr="00150EDC">
        <w:rPr>
          <w:sz w:val="24"/>
        </w:rPr>
        <w:t>to</w:t>
      </w:r>
      <w:r w:rsidRPr="00150EDC">
        <w:rPr>
          <w:spacing w:val="-6"/>
          <w:sz w:val="24"/>
        </w:rPr>
        <w:t xml:space="preserve"> </w:t>
      </w:r>
      <w:r w:rsidRPr="00150EDC">
        <w:rPr>
          <w:sz w:val="24"/>
        </w:rPr>
        <w:t>procure</w:t>
      </w:r>
      <w:r w:rsidRPr="00150EDC">
        <w:rPr>
          <w:spacing w:val="-6"/>
          <w:sz w:val="24"/>
        </w:rPr>
        <w:t xml:space="preserve"> </w:t>
      </w:r>
      <w:r w:rsidRPr="00150EDC">
        <w:rPr>
          <w:sz w:val="24"/>
        </w:rPr>
        <w:t>that</w:t>
      </w:r>
      <w:r w:rsidRPr="00150EDC">
        <w:rPr>
          <w:spacing w:val="-6"/>
          <w:sz w:val="24"/>
        </w:rPr>
        <w:t xml:space="preserve"> </w:t>
      </w:r>
      <w:r w:rsidRPr="00150EDC">
        <w:rPr>
          <w:sz w:val="24"/>
        </w:rPr>
        <w:t>each Subcontractor</w:t>
      </w:r>
      <w:r w:rsidRPr="00150EDC">
        <w:rPr>
          <w:spacing w:val="-11"/>
          <w:sz w:val="24"/>
        </w:rPr>
        <w:t xml:space="preserve"> </w:t>
      </w:r>
      <w:r w:rsidRPr="00150EDC">
        <w:rPr>
          <w:sz w:val="24"/>
        </w:rPr>
        <w:t>shall</w:t>
      </w:r>
      <w:r w:rsidRPr="00150EDC">
        <w:rPr>
          <w:spacing w:val="-11"/>
          <w:sz w:val="24"/>
        </w:rPr>
        <w:t xml:space="preserve"> </w:t>
      </w:r>
      <w:r w:rsidRPr="00150EDC">
        <w:rPr>
          <w:sz w:val="24"/>
        </w:rPr>
        <w:t>not,</w:t>
      </w:r>
      <w:r w:rsidRPr="00150EDC">
        <w:rPr>
          <w:spacing w:val="-10"/>
          <w:sz w:val="24"/>
        </w:rPr>
        <w:t xml:space="preserve"> </w:t>
      </w:r>
      <w:r w:rsidRPr="00150EDC">
        <w:rPr>
          <w:sz w:val="24"/>
        </w:rPr>
        <w:t>assign</w:t>
      </w:r>
      <w:r w:rsidRPr="00150EDC">
        <w:rPr>
          <w:spacing w:val="-11"/>
          <w:sz w:val="24"/>
        </w:rPr>
        <w:t xml:space="preserve"> </w:t>
      </w:r>
      <w:r w:rsidRPr="00150EDC">
        <w:rPr>
          <w:sz w:val="24"/>
        </w:rPr>
        <w:t>any</w:t>
      </w:r>
      <w:r w:rsidRPr="00150EDC">
        <w:rPr>
          <w:spacing w:val="-12"/>
          <w:sz w:val="24"/>
        </w:rPr>
        <w:t xml:space="preserve"> </w:t>
      </w:r>
      <w:r w:rsidRPr="00150EDC">
        <w:rPr>
          <w:sz w:val="24"/>
        </w:rPr>
        <w:t>person</w:t>
      </w:r>
      <w:r w:rsidRPr="00150EDC">
        <w:rPr>
          <w:spacing w:val="-9"/>
          <w:sz w:val="24"/>
        </w:rPr>
        <w:t xml:space="preserve"> </w:t>
      </w:r>
      <w:r w:rsidRPr="00150EDC">
        <w:rPr>
          <w:sz w:val="24"/>
        </w:rPr>
        <w:t>to</w:t>
      </w:r>
      <w:r w:rsidRPr="00150EDC">
        <w:rPr>
          <w:spacing w:val="-11"/>
          <w:sz w:val="24"/>
        </w:rPr>
        <w:t xml:space="preserve"> </w:t>
      </w:r>
      <w:r w:rsidRPr="00150EDC">
        <w:rPr>
          <w:sz w:val="24"/>
        </w:rPr>
        <w:t>the</w:t>
      </w:r>
      <w:r w:rsidRPr="00150EDC">
        <w:rPr>
          <w:spacing w:val="-9"/>
          <w:sz w:val="24"/>
        </w:rPr>
        <w:t xml:space="preserve"> </w:t>
      </w:r>
      <w:r w:rsidRPr="00150EDC">
        <w:rPr>
          <w:sz w:val="24"/>
        </w:rPr>
        <w:t>provision</w:t>
      </w:r>
      <w:r w:rsidRPr="00150EDC">
        <w:rPr>
          <w:spacing w:val="-9"/>
          <w:sz w:val="24"/>
        </w:rPr>
        <w:t xml:space="preserve"> </w:t>
      </w:r>
      <w:r w:rsidRPr="00150EDC">
        <w:rPr>
          <w:sz w:val="24"/>
        </w:rPr>
        <w:t>of</w:t>
      </w:r>
      <w:r w:rsidRPr="00150EDC">
        <w:rPr>
          <w:spacing w:val="-11"/>
          <w:sz w:val="24"/>
        </w:rPr>
        <w:t xml:space="preserve"> </w:t>
      </w:r>
      <w:r w:rsidRPr="00150EDC">
        <w:rPr>
          <w:sz w:val="24"/>
        </w:rPr>
        <w:t>the</w:t>
      </w:r>
      <w:r w:rsidRPr="00150EDC">
        <w:rPr>
          <w:spacing w:val="-9"/>
          <w:sz w:val="24"/>
        </w:rPr>
        <w:t xml:space="preserve"> </w:t>
      </w:r>
      <w:r w:rsidRPr="00150EDC">
        <w:rPr>
          <w:sz w:val="24"/>
        </w:rPr>
        <w:t>Services</w:t>
      </w:r>
      <w:r w:rsidRPr="00150EDC">
        <w:rPr>
          <w:spacing w:val="-10"/>
          <w:sz w:val="24"/>
        </w:rPr>
        <w:t xml:space="preserve"> </w:t>
      </w:r>
      <w:r w:rsidRPr="00150EDC">
        <w:rPr>
          <w:sz w:val="24"/>
        </w:rPr>
        <w:t>who is not listed on the Supplier’s Provisional</w:t>
      </w:r>
      <w:r w:rsidRPr="00150EDC">
        <w:rPr>
          <w:spacing w:val="-1"/>
          <w:sz w:val="24"/>
        </w:rPr>
        <w:t xml:space="preserve"> </w:t>
      </w:r>
      <w:r w:rsidRPr="00150EDC">
        <w:rPr>
          <w:sz w:val="24"/>
        </w:rPr>
        <w:t>Supplier Personnel</w:t>
      </w:r>
      <w:r w:rsidRPr="00150EDC">
        <w:rPr>
          <w:spacing w:val="-1"/>
          <w:sz w:val="24"/>
        </w:rPr>
        <w:t xml:space="preserve"> </w:t>
      </w:r>
      <w:r w:rsidRPr="00150EDC">
        <w:rPr>
          <w:sz w:val="24"/>
        </w:rPr>
        <w:t>List and shall not without</w:t>
      </w:r>
      <w:r w:rsidRPr="00150EDC">
        <w:rPr>
          <w:spacing w:val="-9"/>
          <w:sz w:val="24"/>
        </w:rPr>
        <w:t xml:space="preserve"> </w:t>
      </w:r>
      <w:r w:rsidRPr="00150EDC">
        <w:rPr>
          <w:sz w:val="24"/>
        </w:rPr>
        <w:t>the</w:t>
      </w:r>
      <w:r w:rsidRPr="00150EDC">
        <w:rPr>
          <w:spacing w:val="-8"/>
          <w:sz w:val="24"/>
        </w:rPr>
        <w:t xml:space="preserve"> </w:t>
      </w:r>
      <w:r w:rsidRPr="00150EDC">
        <w:rPr>
          <w:sz w:val="24"/>
        </w:rPr>
        <w:t>approval</w:t>
      </w:r>
      <w:r w:rsidRPr="00150EDC">
        <w:rPr>
          <w:spacing w:val="-10"/>
          <w:sz w:val="24"/>
        </w:rPr>
        <w:t xml:space="preserve"> </w:t>
      </w:r>
      <w:r w:rsidRPr="00150EDC">
        <w:rPr>
          <w:sz w:val="24"/>
        </w:rPr>
        <w:t>of</w:t>
      </w:r>
      <w:r w:rsidRPr="00150EDC">
        <w:rPr>
          <w:spacing w:val="-11"/>
          <w:sz w:val="24"/>
        </w:rPr>
        <w:t xml:space="preserve"> </w:t>
      </w:r>
      <w:r w:rsidRPr="00150EDC">
        <w:rPr>
          <w:sz w:val="24"/>
        </w:rPr>
        <w:t>the</w:t>
      </w:r>
      <w:r w:rsidRPr="00150EDC">
        <w:rPr>
          <w:spacing w:val="-8"/>
          <w:sz w:val="24"/>
        </w:rPr>
        <w:t xml:space="preserve"> </w:t>
      </w:r>
      <w:r w:rsidRPr="00150EDC">
        <w:rPr>
          <w:sz w:val="24"/>
        </w:rPr>
        <w:t>Buyer</w:t>
      </w:r>
      <w:r w:rsidRPr="00150EDC">
        <w:rPr>
          <w:spacing w:val="-10"/>
          <w:sz w:val="24"/>
        </w:rPr>
        <w:t xml:space="preserve"> </w:t>
      </w:r>
      <w:r w:rsidRPr="00150EDC">
        <w:rPr>
          <w:sz w:val="24"/>
        </w:rPr>
        <w:t>(not</w:t>
      </w:r>
      <w:r w:rsidRPr="00150EDC">
        <w:rPr>
          <w:spacing w:val="-9"/>
          <w:sz w:val="24"/>
        </w:rPr>
        <w:t xml:space="preserve"> </w:t>
      </w:r>
      <w:r w:rsidRPr="00150EDC">
        <w:rPr>
          <w:sz w:val="24"/>
        </w:rPr>
        <w:t>to</w:t>
      </w:r>
      <w:r w:rsidRPr="00150EDC">
        <w:rPr>
          <w:spacing w:val="-8"/>
          <w:sz w:val="24"/>
        </w:rPr>
        <w:t xml:space="preserve"> </w:t>
      </w:r>
      <w:r w:rsidRPr="00150EDC">
        <w:rPr>
          <w:sz w:val="24"/>
        </w:rPr>
        <w:t>be</w:t>
      </w:r>
      <w:r w:rsidRPr="00150EDC">
        <w:rPr>
          <w:spacing w:val="-11"/>
          <w:sz w:val="24"/>
        </w:rPr>
        <w:t xml:space="preserve"> </w:t>
      </w:r>
      <w:r w:rsidRPr="00150EDC">
        <w:rPr>
          <w:sz w:val="24"/>
        </w:rPr>
        <w:t>unreasonably</w:t>
      </w:r>
      <w:r w:rsidRPr="00150EDC">
        <w:rPr>
          <w:spacing w:val="-9"/>
          <w:sz w:val="24"/>
        </w:rPr>
        <w:t xml:space="preserve"> </w:t>
      </w:r>
      <w:r w:rsidRPr="00150EDC">
        <w:rPr>
          <w:sz w:val="24"/>
        </w:rPr>
        <w:t>withheld</w:t>
      </w:r>
      <w:r w:rsidRPr="00150EDC">
        <w:rPr>
          <w:spacing w:val="-8"/>
          <w:sz w:val="24"/>
        </w:rPr>
        <w:t xml:space="preserve"> </w:t>
      </w:r>
      <w:r w:rsidRPr="00150EDC">
        <w:rPr>
          <w:sz w:val="24"/>
        </w:rPr>
        <w:t>or</w:t>
      </w:r>
      <w:r w:rsidRPr="00150EDC">
        <w:rPr>
          <w:spacing w:val="-10"/>
          <w:sz w:val="24"/>
        </w:rPr>
        <w:t xml:space="preserve"> </w:t>
      </w:r>
      <w:r w:rsidRPr="00150EDC">
        <w:rPr>
          <w:sz w:val="24"/>
        </w:rPr>
        <w:t>delayed):</w:t>
      </w:r>
    </w:p>
    <w:p w14:paraId="6D4B71F4" w14:textId="77777777" w:rsidR="004C7180" w:rsidRPr="00150EDC" w:rsidRDefault="00CF0754">
      <w:pPr>
        <w:spacing w:before="120"/>
        <w:ind w:left="1400"/>
        <w:rPr>
          <w:sz w:val="24"/>
        </w:rPr>
      </w:pPr>
      <w:r w:rsidRPr="00150EDC">
        <w:rPr>
          <w:sz w:val="24"/>
        </w:rPr>
        <w:t>:</w:t>
      </w:r>
    </w:p>
    <w:p w14:paraId="025FA005" w14:textId="77777777" w:rsidR="004C7180" w:rsidRPr="00150EDC" w:rsidRDefault="00CF0754" w:rsidP="00B320C7">
      <w:pPr>
        <w:pStyle w:val="ListParagraph"/>
        <w:numPr>
          <w:ilvl w:val="2"/>
          <w:numId w:val="85"/>
        </w:numPr>
        <w:tabs>
          <w:tab w:val="left" w:pos="3612"/>
        </w:tabs>
        <w:spacing w:before="120"/>
        <w:ind w:right="1434"/>
        <w:rPr>
          <w:sz w:val="24"/>
        </w:rPr>
      </w:pPr>
      <w:r w:rsidRPr="00150EDC">
        <w:rPr>
          <w:sz w:val="24"/>
        </w:rPr>
        <w:t>replace</w:t>
      </w:r>
      <w:r w:rsidRPr="00150EDC">
        <w:rPr>
          <w:spacing w:val="40"/>
          <w:sz w:val="24"/>
        </w:rPr>
        <w:t xml:space="preserve"> </w:t>
      </w:r>
      <w:r w:rsidRPr="00150EDC">
        <w:rPr>
          <w:sz w:val="24"/>
        </w:rPr>
        <w:t>or</w:t>
      </w:r>
      <w:r w:rsidRPr="00150EDC">
        <w:rPr>
          <w:spacing w:val="40"/>
          <w:sz w:val="24"/>
        </w:rPr>
        <w:t xml:space="preserve"> </w:t>
      </w:r>
      <w:r w:rsidRPr="00150EDC">
        <w:rPr>
          <w:sz w:val="24"/>
        </w:rPr>
        <w:t>re-deploy</w:t>
      </w:r>
      <w:r w:rsidRPr="00150EDC">
        <w:rPr>
          <w:spacing w:val="40"/>
          <w:sz w:val="24"/>
        </w:rPr>
        <w:t xml:space="preserve"> </w:t>
      </w:r>
      <w:r w:rsidRPr="00150EDC">
        <w:rPr>
          <w:sz w:val="24"/>
        </w:rPr>
        <w:t>any</w:t>
      </w:r>
      <w:r w:rsidRPr="00150EDC">
        <w:rPr>
          <w:spacing w:val="40"/>
          <w:sz w:val="24"/>
        </w:rPr>
        <w:t xml:space="preserve"> </w:t>
      </w:r>
      <w:r w:rsidRPr="00150EDC">
        <w:rPr>
          <w:sz w:val="24"/>
        </w:rPr>
        <w:t>Supplier</w:t>
      </w:r>
      <w:r w:rsidRPr="00150EDC">
        <w:rPr>
          <w:spacing w:val="40"/>
          <w:sz w:val="24"/>
        </w:rPr>
        <w:t xml:space="preserve"> </w:t>
      </w:r>
      <w:r w:rsidRPr="00150EDC">
        <w:rPr>
          <w:sz w:val="24"/>
        </w:rPr>
        <w:t>Staff</w:t>
      </w:r>
      <w:r w:rsidRPr="00150EDC">
        <w:rPr>
          <w:spacing w:val="40"/>
          <w:sz w:val="24"/>
        </w:rPr>
        <w:t xml:space="preserve"> </w:t>
      </w:r>
      <w:r w:rsidRPr="00150EDC">
        <w:rPr>
          <w:sz w:val="24"/>
        </w:rPr>
        <w:t>listed</w:t>
      </w:r>
      <w:r w:rsidRPr="00150EDC">
        <w:rPr>
          <w:spacing w:val="40"/>
          <w:sz w:val="24"/>
        </w:rPr>
        <w:t xml:space="preserve"> </w:t>
      </w:r>
      <w:r w:rsidRPr="00150EDC">
        <w:rPr>
          <w:sz w:val="24"/>
        </w:rPr>
        <w:t>on</w:t>
      </w:r>
      <w:r w:rsidRPr="00150EDC">
        <w:rPr>
          <w:spacing w:val="40"/>
          <w:sz w:val="24"/>
        </w:rPr>
        <w:t xml:space="preserve"> </w:t>
      </w:r>
      <w:r w:rsidRPr="00150EDC">
        <w:rPr>
          <w:sz w:val="24"/>
        </w:rPr>
        <w:t>the</w:t>
      </w:r>
      <w:r w:rsidRPr="00150EDC">
        <w:rPr>
          <w:spacing w:val="40"/>
          <w:sz w:val="24"/>
        </w:rPr>
        <w:t xml:space="preserve"> </w:t>
      </w:r>
      <w:r w:rsidRPr="00150EDC">
        <w:rPr>
          <w:sz w:val="24"/>
        </w:rPr>
        <w:t>Supplier Provisional</w:t>
      </w:r>
      <w:r w:rsidRPr="00150EDC">
        <w:rPr>
          <w:spacing w:val="80"/>
          <w:sz w:val="24"/>
        </w:rPr>
        <w:t xml:space="preserve"> </w:t>
      </w:r>
      <w:r w:rsidRPr="00150EDC">
        <w:rPr>
          <w:sz w:val="24"/>
        </w:rPr>
        <w:t>Supplier</w:t>
      </w:r>
      <w:r w:rsidRPr="00150EDC">
        <w:rPr>
          <w:spacing w:val="80"/>
          <w:sz w:val="24"/>
        </w:rPr>
        <w:t xml:space="preserve"> </w:t>
      </w:r>
      <w:r w:rsidRPr="00150EDC">
        <w:rPr>
          <w:sz w:val="24"/>
        </w:rPr>
        <w:t>Personnel</w:t>
      </w:r>
      <w:r w:rsidRPr="00150EDC">
        <w:rPr>
          <w:spacing w:val="80"/>
          <w:sz w:val="24"/>
        </w:rPr>
        <w:t xml:space="preserve"> </w:t>
      </w:r>
      <w:r w:rsidRPr="00150EDC">
        <w:rPr>
          <w:sz w:val="24"/>
        </w:rPr>
        <w:t>List</w:t>
      </w:r>
      <w:r w:rsidRPr="00150EDC">
        <w:rPr>
          <w:spacing w:val="80"/>
          <w:sz w:val="24"/>
        </w:rPr>
        <w:t xml:space="preserve"> </w:t>
      </w:r>
      <w:r w:rsidRPr="00150EDC">
        <w:rPr>
          <w:sz w:val="24"/>
        </w:rPr>
        <w:t>other</w:t>
      </w:r>
      <w:r w:rsidRPr="00150EDC">
        <w:rPr>
          <w:spacing w:val="75"/>
          <w:w w:val="150"/>
          <w:sz w:val="24"/>
        </w:rPr>
        <w:t xml:space="preserve"> </w:t>
      </w:r>
      <w:r w:rsidRPr="00150EDC">
        <w:rPr>
          <w:sz w:val="24"/>
        </w:rPr>
        <w:t>than</w:t>
      </w:r>
      <w:r w:rsidRPr="00150EDC">
        <w:rPr>
          <w:spacing w:val="80"/>
          <w:sz w:val="24"/>
        </w:rPr>
        <w:t xml:space="preserve"> </w:t>
      </w:r>
      <w:r w:rsidRPr="00150EDC">
        <w:rPr>
          <w:sz w:val="24"/>
        </w:rPr>
        <w:t>where</w:t>
      </w:r>
      <w:r w:rsidRPr="00150EDC">
        <w:rPr>
          <w:spacing w:val="80"/>
          <w:sz w:val="24"/>
        </w:rPr>
        <w:t xml:space="preserve"> </w:t>
      </w:r>
      <w:r w:rsidRPr="00150EDC">
        <w:rPr>
          <w:sz w:val="24"/>
        </w:rPr>
        <w:t>any</w:t>
      </w:r>
    </w:p>
    <w:p w14:paraId="298A9564" w14:textId="77777777" w:rsidR="004C7180" w:rsidRPr="00150EDC" w:rsidRDefault="004C7180">
      <w:pPr>
        <w:rPr>
          <w:sz w:val="24"/>
        </w:rPr>
        <w:sectPr w:rsidR="004C7180" w:rsidRPr="00150EDC">
          <w:pgSz w:w="11910" w:h="16840"/>
          <w:pgMar w:top="1380" w:right="0" w:bottom="1380" w:left="40" w:header="715" w:footer="1192" w:gutter="0"/>
          <w:cols w:space="720"/>
        </w:sectPr>
      </w:pPr>
    </w:p>
    <w:p w14:paraId="4491F24D" w14:textId="77777777" w:rsidR="004C7180" w:rsidRPr="00150EDC" w:rsidRDefault="004C7180">
      <w:pPr>
        <w:pStyle w:val="BodyText"/>
        <w:spacing w:before="5"/>
        <w:rPr>
          <w:sz w:val="15"/>
        </w:rPr>
      </w:pPr>
    </w:p>
    <w:p w14:paraId="2E093DB4" w14:textId="77777777" w:rsidR="004C7180" w:rsidRPr="00150EDC" w:rsidRDefault="00CF0754">
      <w:pPr>
        <w:pStyle w:val="BodyText"/>
        <w:spacing w:before="92"/>
        <w:ind w:left="3612" w:right="1434"/>
        <w:jc w:val="both"/>
      </w:pPr>
      <w:r w:rsidRPr="00150EDC">
        <w:t>replacement is of equivalent grade, skills, experience and expertise and is employed on the same terms and conditions of employment as the person he/she replaces</w:t>
      </w:r>
    </w:p>
    <w:p w14:paraId="3390F20A" w14:textId="77777777" w:rsidR="004C7180" w:rsidRPr="00150EDC" w:rsidRDefault="00CF0754" w:rsidP="00B320C7">
      <w:pPr>
        <w:pStyle w:val="ListParagraph"/>
        <w:numPr>
          <w:ilvl w:val="2"/>
          <w:numId w:val="85"/>
        </w:numPr>
        <w:tabs>
          <w:tab w:val="left" w:pos="3612"/>
        </w:tabs>
        <w:spacing w:before="120"/>
        <w:ind w:right="1436"/>
        <w:jc w:val="both"/>
        <w:rPr>
          <w:sz w:val="24"/>
        </w:rPr>
      </w:pPr>
      <w:r w:rsidRPr="00150EDC">
        <w:rPr>
          <w:sz w:val="24"/>
        </w:rPr>
        <w:t>make, promise, propose, permit or implement any material changes to the terms and conditions of employment of the Supplier Staff (including pensions and any payments connected with the termination of employment);</w:t>
      </w:r>
    </w:p>
    <w:p w14:paraId="5AA246B1" w14:textId="77777777" w:rsidR="004C7180" w:rsidRPr="00150EDC" w:rsidRDefault="00CF0754" w:rsidP="00B320C7">
      <w:pPr>
        <w:pStyle w:val="ListParagraph"/>
        <w:numPr>
          <w:ilvl w:val="2"/>
          <w:numId w:val="85"/>
        </w:numPr>
        <w:tabs>
          <w:tab w:val="left" w:pos="3612"/>
        </w:tabs>
        <w:spacing w:before="120"/>
        <w:ind w:right="1435"/>
        <w:jc w:val="both"/>
        <w:rPr>
          <w:sz w:val="24"/>
        </w:rPr>
      </w:pPr>
      <w:r w:rsidRPr="00150EDC">
        <w:rPr>
          <w:sz w:val="24"/>
        </w:rPr>
        <w:t>increase</w:t>
      </w:r>
      <w:r w:rsidRPr="00150EDC">
        <w:rPr>
          <w:spacing w:val="-9"/>
          <w:sz w:val="24"/>
        </w:rPr>
        <w:t xml:space="preserve"> </w:t>
      </w:r>
      <w:r w:rsidRPr="00150EDC">
        <w:rPr>
          <w:sz w:val="24"/>
        </w:rPr>
        <w:t>the</w:t>
      </w:r>
      <w:r w:rsidRPr="00150EDC">
        <w:rPr>
          <w:spacing w:val="-9"/>
          <w:sz w:val="24"/>
        </w:rPr>
        <w:t xml:space="preserve"> </w:t>
      </w:r>
      <w:r w:rsidRPr="00150EDC">
        <w:rPr>
          <w:sz w:val="24"/>
        </w:rPr>
        <w:t>proportion</w:t>
      </w:r>
      <w:r w:rsidRPr="00150EDC">
        <w:rPr>
          <w:spacing w:val="-9"/>
          <w:sz w:val="24"/>
        </w:rPr>
        <w:t xml:space="preserve"> </w:t>
      </w:r>
      <w:r w:rsidRPr="00150EDC">
        <w:rPr>
          <w:sz w:val="24"/>
        </w:rPr>
        <w:t>of</w:t>
      </w:r>
      <w:r w:rsidRPr="00150EDC">
        <w:rPr>
          <w:spacing w:val="-10"/>
          <w:sz w:val="24"/>
        </w:rPr>
        <w:t xml:space="preserve"> </w:t>
      </w:r>
      <w:r w:rsidRPr="00150EDC">
        <w:rPr>
          <w:sz w:val="24"/>
        </w:rPr>
        <w:t>working</w:t>
      </w:r>
      <w:r w:rsidRPr="00150EDC">
        <w:rPr>
          <w:spacing w:val="-9"/>
          <w:sz w:val="24"/>
        </w:rPr>
        <w:t xml:space="preserve"> </w:t>
      </w:r>
      <w:r w:rsidRPr="00150EDC">
        <w:rPr>
          <w:sz w:val="24"/>
        </w:rPr>
        <w:t>time</w:t>
      </w:r>
      <w:r w:rsidRPr="00150EDC">
        <w:rPr>
          <w:spacing w:val="-9"/>
          <w:sz w:val="24"/>
        </w:rPr>
        <w:t xml:space="preserve"> </w:t>
      </w:r>
      <w:r w:rsidRPr="00150EDC">
        <w:rPr>
          <w:sz w:val="24"/>
        </w:rPr>
        <w:t>spent</w:t>
      </w:r>
      <w:r w:rsidRPr="00150EDC">
        <w:rPr>
          <w:spacing w:val="-12"/>
          <w:sz w:val="24"/>
        </w:rPr>
        <w:t xml:space="preserve"> </w:t>
      </w:r>
      <w:r w:rsidRPr="00150EDC">
        <w:rPr>
          <w:sz w:val="24"/>
        </w:rPr>
        <w:t>on</w:t>
      </w:r>
      <w:r w:rsidRPr="00150EDC">
        <w:rPr>
          <w:spacing w:val="-9"/>
          <w:sz w:val="24"/>
        </w:rPr>
        <w:t xml:space="preserve"> </w:t>
      </w:r>
      <w:r w:rsidRPr="00150EDC">
        <w:rPr>
          <w:sz w:val="24"/>
        </w:rPr>
        <w:t>the</w:t>
      </w:r>
      <w:r w:rsidRPr="00150EDC">
        <w:rPr>
          <w:spacing w:val="-9"/>
          <w:sz w:val="24"/>
        </w:rPr>
        <w:t xml:space="preserve"> </w:t>
      </w:r>
      <w:r w:rsidRPr="00150EDC">
        <w:rPr>
          <w:sz w:val="24"/>
        </w:rPr>
        <w:t>Services</w:t>
      </w:r>
      <w:r w:rsidRPr="00150EDC">
        <w:rPr>
          <w:spacing w:val="-8"/>
          <w:sz w:val="24"/>
        </w:rPr>
        <w:t xml:space="preserve"> </w:t>
      </w:r>
      <w:r w:rsidRPr="00150EDC">
        <w:rPr>
          <w:sz w:val="24"/>
        </w:rPr>
        <w:t>(or the</w:t>
      </w:r>
      <w:r w:rsidRPr="00150EDC">
        <w:rPr>
          <w:spacing w:val="-17"/>
          <w:sz w:val="24"/>
        </w:rPr>
        <w:t xml:space="preserve"> </w:t>
      </w:r>
      <w:r w:rsidRPr="00150EDC">
        <w:rPr>
          <w:sz w:val="24"/>
        </w:rPr>
        <w:t>relevant</w:t>
      </w:r>
      <w:r w:rsidRPr="00150EDC">
        <w:rPr>
          <w:spacing w:val="-17"/>
          <w:sz w:val="24"/>
        </w:rPr>
        <w:t xml:space="preserve"> </w:t>
      </w:r>
      <w:r w:rsidRPr="00150EDC">
        <w:rPr>
          <w:sz w:val="24"/>
        </w:rPr>
        <w:t>part</w:t>
      </w:r>
      <w:r w:rsidRPr="00150EDC">
        <w:rPr>
          <w:spacing w:val="-16"/>
          <w:sz w:val="24"/>
        </w:rPr>
        <w:t xml:space="preserve"> </w:t>
      </w:r>
      <w:r w:rsidRPr="00150EDC">
        <w:rPr>
          <w:sz w:val="24"/>
        </w:rPr>
        <w:t>of</w:t>
      </w:r>
      <w:r w:rsidRPr="00150EDC">
        <w:rPr>
          <w:spacing w:val="-17"/>
          <w:sz w:val="24"/>
        </w:rPr>
        <w:t xml:space="preserve"> </w:t>
      </w:r>
      <w:r w:rsidRPr="00150EDC">
        <w:rPr>
          <w:sz w:val="24"/>
        </w:rPr>
        <w:t>the</w:t>
      </w:r>
      <w:r w:rsidRPr="00150EDC">
        <w:rPr>
          <w:spacing w:val="-17"/>
          <w:sz w:val="24"/>
        </w:rPr>
        <w:t xml:space="preserve"> </w:t>
      </w:r>
      <w:r w:rsidRPr="00150EDC">
        <w:rPr>
          <w:sz w:val="24"/>
        </w:rPr>
        <w:t>Services)</w:t>
      </w:r>
      <w:r w:rsidRPr="00150EDC">
        <w:rPr>
          <w:spacing w:val="-17"/>
          <w:sz w:val="24"/>
        </w:rPr>
        <w:t xml:space="preserve"> </w:t>
      </w:r>
      <w:r w:rsidRPr="00150EDC">
        <w:rPr>
          <w:sz w:val="24"/>
        </w:rPr>
        <w:t>by</w:t>
      </w:r>
      <w:r w:rsidRPr="00150EDC">
        <w:rPr>
          <w:spacing w:val="-16"/>
          <w:sz w:val="24"/>
        </w:rPr>
        <w:t xml:space="preserve"> </w:t>
      </w:r>
      <w:r w:rsidRPr="00150EDC">
        <w:rPr>
          <w:sz w:val="24"/>
        </w:rPr>
        <w:t>any</w:t>
      </w:r>
      <w:r w:rsidRPr="00150EDC">
        <w:rPr>
          <w:spacing w:val="-17"/>
          <w:sz w:val="24"/>
        </w:rPr>
        <w:t xml:space="preserve"> </w:t>
      </w:r>
      <w:r w:rsidRPr="00150EDC">
        <w:rPr>
          <w:sz w:val="24"/>
        </w:rPr>
        <w:t>of</w:t>
      </w:r>
      <w:r w:rsidRPr="00150EDC">
        <w:rPr>
          <w:spacing w:val="-17"/>
          <w:sz w:val="24"/>
        </w:rPr>
        <w:t xml:space="preserve"> </w:t>
      </w:r>
      <w:r w:rsidRPr="00150EDC">
        <w:rPr>
          <w:sz w:val="24"/>
        </w:rPr>
        <w:t>the</w:t>
      </w:r>
      <w:r w:rsidRPr="00150EDC">
        <w:rPr>
          <w:spacing w:val="-16"/>
          <w:sz w:val="24"/>
        </w:rPr>
        <w:t xml:space="preserve"> </w:t>
      </w:r>
      <w:r w:rsidRPr="00150EDC">
        <w:rPr>
          <w:sz w:val="24"/>
        </w:rPr>
        <w:t>Supplier</w:t>
      </w:r>
      <w:r w:rsidRPr="00150EDC">
        <w:rPr>
          <w:spacing w:val="-17"/>
          <w:sz w:val="24"/>
        </w:rPr>
        <w:t xml:space="preserve"> </w:t>
      </w:r>
      <w:r w:rsidRPr="00150EDC">
        <w:rPr>
          <w:sz w:val="24"/>
        </w:rPr>
        <w:t>Staff</w:t>
      </w:r>
      <w:r w:rsidRPr="00150EDC">
        <w:rPr>
          <w:spacing w:val="-17"/>
          <w:sz w:val="24"/>
        </w:rPr>
        <w:t xml:space="preserve"> </w:t>
      </w:r>
      <w:r w:rsidRPr="00150EDC">
        <w:rPr>
          <w:sz w:val="24"/>
        </w:rPr>
        <w:t xml:space="preserve">save for fulfilling assignments and projects previously scheduled and </w:t>
      </w:r>
      <w:r w:rsidRPr="00150EDC">
        <w:rPr>
          <w:spacing w:val="-2"/>
          <w:sz w:val="24"/>
        </w:rPr>
        <w:t>agreed;</w:t>
      </w:r>
    </w:p>
    <w:p w14:paraId="1E7EE512" w14:textId="77777777" w:rsidR="004C7180" w:rsidRPr="00150EDC" w:rsidRDefault="00CF0754" w:rsidP="00B320C7">
      <w:pPr>
        <w:pStyle w:val="ListParagraph"/>
        <w:numPr>
          <w:ilvl w:val="2"/>
          <w:numId w:val="85"/>
        </w:numPr>
        <w:tabs>
          <w:tab w:val="left" w:pos="3612"/>
        </w:tabs>
        <w:spacing w:before="121"/>
        <w:ind w:right="1434"/>
        <w:jc w:val="both"/>
        <w:rPr>
          <w:sz w:val="24"/>
        </w:rPr>
      </w:pPr>
      <w:r w:rsidRPr="00150EDC">
        <w:rPr>
          <w:sz w:val="24"/>
        </w:rPr>
        <w:t>introduce any</w:t>
      </w:r>
      <w:r w:rsidRPr="00150EDC">
        <w:rPr>
          <w:spacing w:val="-3"/>
          <w:sz w:val="24"/>
        </w:rPr>
        <w:t xml:space="preserve"> </w:t>
      </w:r>
      <w:r w:rsidRPr="00150EDC">
        <w:rPr>
          <w:sz w:val="24"/>
        </w:rPr>
        <w:t>new</w:t>
      </w:r>
      <w:r w:rsidRPr="00150EDC">
        <w:rPr>
          <w:spacing w:val="-1"/>
          <w:sz w:val="24"/>
        </w:rPr>
        <w:t xml:space="preserve"> </w:t>
      </w:r>
      <w:r w:rsidRPr="00150EDC">
        <w:rPr>
          <w:sz w:val="24"/>
        </w:rPr>
        <w:t>contractual</w:t>
      </w:r>
      <w:r w:rsidRPr="00150EDC">
        <w:rPr>
          <w:spacing w:val="-1"/>
          <w:sz w:val="24"/>
        </w:rPr>
        <w:t xml:space="preserve"> </w:t>
      </w:r>
      <w:r w:rsidRPr="00150EDC">
        <w:rPr>
          <w:sz w:val="24"/>
        </w:rPr>
        <w:t>or</w:t>
      </w:r>
      <w:r w:rsidRPr="00150EDC">
        <w:rPr>
          <w:spacing w:val="-1"/>
          <w:sz w:val="24"/>
        </w:rPr>
        <w:t xml:space="preserve"> </w:t>
      </w:r>
      <w:r w:rsidRPr="00150EDC">
        <w:rPr>
          <w:sz w:val="24"/>
        </w:rPr>
        <w:t>customary</w:t>
      </w:r>
      <w:r w:rsidRPr="00150EDC">
        <w:rPr>
          <w:spacing w:val="-1"/>
          <w:sz w:val="24"/>
        </w:rPr>
        <w:t xml:space="preserve"> </w:t>
      </w:r>
      <w:r w:rsidRPr="00150EDC">
        <w:rPr>
          <w:sz w:val="24"/>
        </w:rPr>
        <w:t>practice concerning the making of any lump sum payment on the termination of employment of any employees listed on the Supplier's Provisional Supplier Personnel List;</w:t>
      </w:r>
    </w:p>
    <w:p w14:paraId="0526A52E" w14:textId="77777777" w:rsidR="004C7180" w:rsidRPr="00150EDC" w:rsidRDefault="00CF0754" w:rsidP="00B320C7">
      <w:pPr>
        <w:pStyle w:val="ListParagraph"/>
        <w:numPr>
          <w:ilvl w:val="2"/>
          <w:numId w:val="85"/>
        </w:numPr>
        <w:tabs>
          <w:tab w:val="left" w:pos="3612"/>
        </w:tabs>
        <w:spacing w:before="120"/>
        <w:ind w:right="1434"/>
        <w:jc w:val="both"/>
        <w:rPr>
          <w:sz w:val="24"/>
        </w:rPr>
      </w:pPr>
      <w:r w:rsidRPr="00150EDC">
        <w:rPr>
          <w:sz w:val="24"/>
        </w:rPr>
        <w:t>increase or reduce the total number of employees so engaged, or deploy any other person to perform the Services (or the relevant part of the Services);</w:t>
      </w:r>
    </w:p>
    <w:p w14:paraId="369B8DAF" w14:textId="77777777" w:rsidR="004C7180" w:rsidRPr="00150EDC" w:rsidRDefault="00CF0754" w:rsidP="00B320C7">
      <w:pPr>
        <w:pStyle w:val="ListParagraph"/>
        <w:numPr>
          <w:ilvl w:val="2"/>
          <w:numId w:val="85"/>
        </w:numPr>
        <w:tabs>
          <w:tab w:val="left" w:pos="3612"/>
        </w:tabs>
        <w:spacing w:before="120"/>
        <w:ind w:right="1433"/>
        <w:jc w:val="both"/>
        <w:rPr>
          <w:sz w:val="24"/>
        </w:rPr>
      </w:pPr>
      <w:r w:rsidRPr="00150EDC">
        <w:rPr>
          <w:sz w:val="24"/>
        </w:rPr>
        <w:t>terminate</w:t>
      </w:r>
      <w:r w:rsidRPr="00150EDC">
        <w:rPr>
          <w:spacing w:val="-16"/>
          <w:sz w:val="24"/>
        </w:rPr>
        <w:t xml:space="preserve"> </w:t>
      </w:r>
      <w:r w:rsidRPr="00150EDC">
        <w:rPr>
          <w:sz w:val="24"/>
        </w:rPr>
        <w:t>or</w:t>
      </w:r>
      <w:r w:rsidRPr="00150EDC">
        <w:rPr>
          <w:spacing w:val="-16"/>
          <w:sz w:val="24"/>
        </w:rPr>
        <w:t xml:space="preserve"> </w:t>
      </w:r>
      <w:r w:rsidRPr="00150EDC">
        <w:rPr>
          <w:sz w:val="24"/>
        </w:rPr>
        <w:t>give</w:t>
      </w:r>
      <w:r w:rsidRPr="00150EDC">
        <w:rPr>
          <w:spacing w:val="-16"/>
          <w:sz w:val="24"/>
        </w:rPr>
        <w:t xml:space="preserve"> </w:t>
      </w:r>
      <w:r w:rsidRPr="00150EDC">
        <w:rPr>
          <w:sz w:val="24"/>
        </w:rPr>
        <w:t>notice</w:t>
      </w:r>
      <w:r w:rsidRPr="00150EDC">
        <w:rPr>
          <w:spacing w:val="-14"/>
          <w:sz w:val="24"/>
        </w:rPr>
        <w:t xml:space="preserve"> </w:t>
      </w:r>
      <w:r w:rsidRPr="00150EDC">
        <w:rPr>
          <w:sz w:val="24"/>
        </w:rPr>
        <w:t>to</w:t>
      </w:r>
      <w:r w:rsidRPr="00150EDC">
        <w:rPr>
          <w:spacing w:val="-16"/>
          <w:sz w:val="24"/>
        </w:rPr>
        <w:t xml:space="preserve"> </w:t>
      </w:r>
      <w:r w:rsidRPr="00150EDC">
        <w:rPr>
          <w:sz w:val="24"/>
        </w:rPr>
        <w:t>terminate</w:t>
      </w:r>
      <w:r w:rsidRPr="00150EDC">
        <w:rPr>
          <w:spacing w:val="-14"/>
          <w:sz w:val="24"/>
        </w:rPr>
        <w:t xml:space="preserve"> </w:t>
      </w:r>
      <w:r w:rsidRPr="00150EDC">
        <w:rPr>
          <w:sz w:val="24"/>
        </w:rPr>
        <w:t>the</w:t>
      </w:r>
      <w:r w:rsidRPr="00150EDC">
        <w:rPr>
          <w:spacing w:val="-16"/>
          <w:sz w:val="24"/>
        </w:rPr>
        <w:t xml:space="preserve"> </w:t>
      </w:r>
      <w:r w:rsidRPr="00150EDC">
        <w:rPr>
          <w:sz w:val="24"/>
        </w:rPr>
        <w:t>employment</w:t>
      </w:r>
      <w:r w:rsidRPr="00150EDC">
        <w:rPr>
          <w:spacing w:val="-17"/>
          <w:sz w:val="24"/>
        </w:rPr>
        <w:t xml:space="preserve"> </w:t>
      </w:r>
      <w:r w:rsidRPr="00150EDC">
        <w:rPr>
          <w:sz w:val="24"/>
        </w:rPr>
        <w:t>or</w:t>
      </w:r>
      <w:r w:rsidRPr="00150EDC">
        <w:rPr>
          <w:spacing w:val="-16"/>
          <w:sz w:val="24"/>
        </w:rPr>
        <w:t xml:space="preserve"> </w:t>
      </w:r>
      <w:r w:rsidRPr="00150EDC">
        <w:rPr>
          <w:sz w:val="24"/>
        </w:rPr>
        <w:t>contracts of any persons on the Supplier's Provisional Supplier Personnel List save by due disciplinary process;</w:t>
      </w:r>
    </w:p>
    <w:p w14:paraId="0897405A" w14:textId="77777777" w:rsidR="004C7180" w:rsidRPr="00150EDC" w:rsidRDefault="00CF0754">
      <w:pPr>
        <w:pStyle w:val="BodyText"/>
        <w:spacing w:before="120"/>
        <w:ind w:left="2120" w:right="1431" w:hanging="720"/>
        <w:jc w:val="both"/>
      </w:pPr>
      <w:r w:rsidRPr="00150EDC">
        <w:t>and shall promptly notify, and procure that each Subcontractor shall promptly notify, the Buyer or, at the direction of the Buyer, any Replacement Supplier and any Replacement Subcontractor of any notice to terminate employment given by the Supplier or relevant Subcontractor or received from any persons listed on the Supplier's Provisional Supplier Personnel List regardless of when such notice takes effect.</w:t>
      </w:r>
    </w:p>
    <w:p w14:paraId="2D8C8501" w14:textId="77777777" w:rsidR="004C7180" w:rsidRPr="00150EDC" w:rsidRDefault="00CF0754" w:rsidP="00B320C7">
      <w:pPr>
        <w:pStyle w:val="ListParagraph"/>
        <w:numPr>
          <w:ilvl w:val="1"/>
          <w:numId w:val="85"/>
        </w:numPr>
        <w:tabs>
          <w:tab w:val="left" w:pos="2117"/>
          <w:tab w:val="left" w:pos="2120"/>
        </w:tabs>
        <w:spacing w:before="120"/>
        <w:ind w:right="1434"/>
        <w:jc w:val="both"/>
        <w:rPr>
          <w:sz w:val="24"/>
        </w:rPr>
      </w:pPr>
      <w:r w:rsidRPr="00150EDC">
        <w:rPr>
          <w:sz w:val="24"/>
        </w:rPr>
        <w:t>On</w:t>
      </w:r>
      <w:r w:rsidRPr="00150EDC">
        <w:rPr>
          <w:spacing w:val="-11"/>
          <w:sz w:val="24"/>
        </w:rPr>
        <w:t xml:space="preserve"> </w:t>
      </w:r>
      <w:r w:rsidRPr="00150EDC">
        <w:rPr>
          <w:sz w:val="24"/>
        </w:rPr>
        <w:t>or</w:t>
      </w:r>
      <w:r w:rsidRPr="00150EDC">
        <w:rPr>
          <w:spacing w:val="-12"/>
          <w:sz w:val="24"/>
        </w:rPr>
        <w:t xml:space="preserve"> </w:t>
      </w:r>
      <w:r w:rsidRPr="00150EDC">
        <w:rPr>
          <w:sz w:val="24"/>
        </w:rPr>
        <w:t>around</w:t>
      </w:r>
      <w:r w:rsidRPr="00150EDC">
        <w:rPr>
          <w:spacing w:val="-13"/>
          <w:sz w:val="24"/>
        </w:rPr>
        <w:t xml:space="preserve"> </w:t>
      </w:r>
      <w:r w:rsidRPr="00150EDC">
        <w:rPr>
          <w:sz w:val="24"/>
        </w:rPr>
        <w:t>each</w:t>
      </w:r>
      <w:r w:rsidRPr="00150EDC">
        <w:rPr>
          <w:spacing w:val="-11"/>
          <w:sz w:val="24"/>
        </w:rPr>
        <w:t xml:space="preserve"> </w:t>
      </w:r>
      <w:r w:rsidRPr="00150EDC">
        <w:rPr>
          <w:sz w:val="24"/>
        </w:rPr>
        <w:t>anniversary</w:t>
      </w:r>
      <w:r w:rsidRPr="00150EDC">
        <w:rPr>
          <w:spacing w:val="-12"/>
          <w:sz w:val="24"/>
        </w:rPr>
        <w:t xml:space="preserve"> </w:t>
      </w:r>
      <w:r w:rsidRPr="00150EDC">
        <w:rPr>
          <w:sz w:val="24"/>
        </w:rPr>
        <w:t>of</w:t>
      </w:r>
      <w:r w:rsidRPr="00150EDC">
        <w:rPr>
          <w:spacing w:val="-11"/>
          <w:sz w:val="24"/>
        </w:rPr>
        <w:t xml:space="preserve"> </w:t>
      </w:r>
      <w:r w:rsidRPr="00150EDC">
        <w:rPr>
          <w:sz w:val="24"/>
        </w:rPr>
        <w:t>the</w:t>
      </w:r>
      <w:r w:rsidRPr="00150EDC">
        <w:rPr>
          <w:spacing w:val="-11"/>
          <w:sz w:val="24"/>
        </w:rPr>
        <w:t xml:space="preserve"> </w:t>
      </w:r>
      <w:r w:rsidRPr="00150EDC">
        <w:rPr>
          <w:sz w:val="24"/>
        </w:rPr>
        <w:t>Start</w:t>
      </w:r>
      <w:r w:rsidRPr="00150EDC">
        <w:rPr>
          <w:spacing w:val="-11"/>
          <w:sz w:val="24"/>
        </w:rPr>
        <w:t xml:space="preserve"> </w:t>
      </w:r>
      <w:r w:rsidRPr="00150EDC">
        <w:rPr>
          <w:sz w:val="24"/>
        </w:rPr>
        <w:t>Date</w:t>
      </w:r>
      <w:r w:rsidRPr="00150EDC">
        <w:rPr>
          <w:spacing w:val="-11"/>
          <w:sz w:val="24"/>
        </w:rPr>
        <w:t xml:space="preserve"> </w:t>
      </w:r>
      <w:r w:rsidRPr="00150EDC">
        <w:rPr>
          <w:sz w:val="24"/>
        </w:rPr>
        <w:t>and</w:t>
      </w:r>
      <w:r w:rsidRPr="00150EDC">
        <w:rPr>
          <w:spacing w:val="-11"/>
          <w:sz w:val="24"/>
        </w:rPr>
        <w:t xml:space="preserve"> </w:t>
      </w:r>
      <w:r w:rsidRPr="00150EDC">
        <w:rPr>
          <w:sz w:val="24"/>
        </w:rPr>
        <w:t>up</w:t>
      </w:r>
      <w:r w:rsidRPr="00150EDC">
        <w:rPr>
          <w:spacing w:val="-11"/>
          <w:sz w:val="24"/>
        </w:rPr>
        <w:t xml:space="preserve"> </w:t>
      </w:r>
      <w:r w:rsidRPr="00150EDC">
        <w:rPr>
          <w:sz w:val="24"/>
        </w:rPr>
        <w:t>to</w:t>
      </w:r>
      <w:r w:rsidRPr="00150EDC">
        <w:rPr>
          <w:spacing w:val="-13"/>
          <w:sz w:val="24"/>
        </w:rPr>
        <w:t xml:space="preserve"> </w:t>
      </w:r>
      <w:r w:rsidRPr="00150EDC">
        <w:rPr>
          <w:sz w:val="24"/>
        </w:rPr>
        <w:t>four</w:t>
      </w:r>
      <w:r w:rsidRPr="00150EDC">
        <w:rPr>
          <w:spacing w:val="-12"/>
          <w:sz w:val="24"/>
        </w:rPr>
        <w:t xml:space="preserve"> </w:t>
      </w:r>
      <w:r w:rsidRPr="00150EDC">
        <w:rPr>
          <w:sz w:val="24"/>
        </w:rPr>
        <w:t>times</w:t>
      </w:r>
      <w:r w:rsidRPr="00150EDC">
        <w:rPr>
          <w:spacing w:val="-14"/>
          <w:sz w:val="24"/>
        </w:rPr>
        <w:t xml:space="preserve"> </w:t>
      </w:r>
      <w:r w:rsidRPr="00150EDC">
        <w:rPr>
          <w:sz w:val="24"/>
        </w:rPr>
        <w:t>during</w:t>
      </w:r>
      <w:r w:rsidRPr="00150EDC">
        <w:rPr>
          <w:spacing w:val="-11"/>
          <w:sz w:val="24"/>
        </w:rPr>
        <w:t xml:space="preserve"> </w:t>
      </w:r>
      <w:r w:rsidRPr="00150EDC">
        <w:rPr>
          <w:sz w:val="24"/>
        </w:rPr>
        <w:t>the last 12</w:t>
      </w:r>
      <w:r w:rsidRPr="00150EDC">
        <w:rPr>
          <w:spacing w:val="-2"/>
          <w:sz w:val="24"/>
        </w:rPr>
        <w:t xml:space="preserve"> </w:t>
      </w:r>
      <w:r w:rsidRPr="00150EDC">
        <w:rPr>
          <w:sz w:val="24"/>
        </w:rPr>
        <w:t>Months of the Term, the Buyer may make written requests to the Supplier for information relating to the manner in which the Services are organised.</w:t>
      </w:r>
      <w:r w:rsidRPr="00150EDC">
        <w:rPr>
          <w:spacing w:val="40"/>
          <w:sz w:val="24"/>
        </w:rPr>
        <w:t xml:space="preserve"> </w:t>
      </w:r>
      <w:r w:rsidRPr="00150EDC">
        <w:rPr>
          <w:sz w:val="24"/>
        </w:rPr>
        <w:t>Within</w:t>
      </w:r>
      <w:r w:rsidRPr="00150EDC">
        <w:rPr>
          <w:spacing w:val="-3"/>
          <w:sz w:val="24"/>
        </w:rPr>
        <w:t xml:space="preserve"> </w:t>
      </w:r>
      <w:r w:rsidRPr="00150EDC">
        <w:rPr>
          <w:sz w:val="24"/>
        </w:rPr>
        <w:t>20</w:t>
      </w:r>
      <w:r w:rsidRPr="00150EDC">
        <w:rPr>
          <w:spacing w:val="-6"/>
          <w:sz w:val="24"/>
        </w:rPr>
        <w:t xml:space="preserve"> </w:t>
      </w:r>
      <w:r w:rsidRPr="00150EDC">
        <w:rPr>
          <w:sz w:val="24"/>
        </w:rPr>
        <w:t>Working</w:t>
      </w:r>
      <w:r w:rsidRPr="00150EDC">
        <w:rPr>
          <w:spacing w:val="-3"/>
          <w:sz w:val="24"/>
        </w:rPr>
        <w:t xml:space="preserve"> </w:t>
      </w:r>
      <w:r w:rsidRPr="00150EDC">
        <w:rPr>
          <w:sz w:val="24"/>
        </w:rPr>
        <w:t>Days</w:t>
      </w:r>
      <w:r w:rsidRPr="00150EDC">
        <w:rPr>
          <w:spacing w:val="-4"/>
          <w:sz w:val="24"/>
        </w:rPr>
        <w:t xml:space="preserve"> </w:t>
      </w:r>
      <w:r w:rsidRPr="00150EDC">
        <w:rPr>
          <w:sz w:val="24"/>
        </w:rPr>
        <w:t>of</w:t>
      </w:r>
      <w:r w:rsidRPr="00150EDC">
        <w:rPr>
          <w:spacing w:val="-4"/>
          <w:sz w:val="24"/>
        </w:rPr>
        <w:t xml:space="preserve"> </w:t>
      </w:r>
      <w:r w:rsidRPr="00150EDC">
        <w:rPr>
          <w:sz w:val="24"/>
        </w:rPr>
        <w:t>receipt</w:t>
      </w:r>
      <w:r w:rsidRPr="00150EDC">
        <w:rPr>
          <w:spacing w:val="-4"/>
          <w:sz w:val="24"/>
        </w:rPr>
        <w:t xml:space="preserve"> </w:t>
      </w:r>
      <w:r w:rsidRPr="00150EDC">
        <w:rPr>
          <w:sz w:val="24"/>
        </w:rPr>
        <w:t>of</w:t>
      </w:r>
      <w:r w:rsidRPr="00150EDC">
        <w:rPr>
          <w:spacing w:val="-4"/>
          <w:sz w:val="24"/>
        </w:rPr>
        <w:t xml:space="preserve"> </w:t>
      </w:r>
      <w:r w:rsidRPr="00150EDC">
        <w:rPr>
          <w:sz w:val="24"/>
        </w:rPr>
        <w:t>a</w:t>
      </w:r>
      <w:r w:rsidRPr="00150EDC">
        <w:rPr>
          <w:spacing w:val="-3"/>
          <w:sz w:val="24"/>
        </w:rPr>
        <w:t xml:space="preserve"> </w:t>
      </w:r>
      <w:r w:rsidRPr="00150EDC">
        <w:rPr>
          <w:sz w:val="24"/>
        </w:rPr>
        <w:t>written</w:t>
      </w:r>
      <w:r w:rsidRPr="00150EDC">
        <w:rPr>
          <w:spacing w:val="-3"/>
          <w:sz w:val="24"/>
        </w:rPr>
        <w:t xml:space="preserve"> </w:t>
      </w:r>
      <w:r w:rsidRPr="00150EDC">
        <w:rPr>
          <w:sz w:val="24"/>
        </w:rPr>
        <w:t>request</w:t>
      </w:r>
      <w:r w:rsidRPr="00150EDC">
        <w:rPr>
          <w:spacing w:val="-4"/>
          <w:sz w:val="24"/>
        </w:rPr>
        <w:t xml:space="preserve"> </w:t>
      </w:r>
      <w:r w:rsidRPr="00150EDC">
        <w:rPr>
          <w:sz w:val="24"/>
        </w:rPr>
        <w:t>the</w:t>
      </w:r>
      <w:r w:rsidRPr="00150EDC">
        <w:rPr>
          <w:spacing w:val="-3"/>
          <w:sz w:val="24"/>
        </w:rPr>
        <w:t xml:space="preserve"> </w:t>
      </w:r>
      <w:r w:rsidRPr="00150EDC">
        <w:rPr>
          <w:sz w:val="24"/>
        </w:rPr>
        <w:t>Supplier shall provide, and shall procure that each Subcontractor shall provide, to the Buyersuch information as the Buyer may reasonably require relating to the manner in which the Services are organised, which shall include:</w:t>
      </w:r>
    </w:p>
    <w:p w14:paraId="02D735B5" w14:textId="77777777" w:rsidR="004C7180" w:rsidRPr="00150EDC" w:rsidRDefault="00CF0754" w:rsidP="00B320C7">
      <w:pPr>
        <w:pStyle w:val="ListParagraph"/>
        <w:numPr>
          <w:ilvl w:val="2"/>
          <w:numId w:val="85"/>
        </w:numPr>
        <w:tabs>
          <w:tab w:val="left" w:pos="3611"/>
        </w:tabs>
        <w:spacing w:before="118"/>
        <w:ind w:left="3611" w:hanging="1079"/>
        <w:jc w:val="both"/>
        <w:rPr>
          <w:sz w:val="24"/>
        </w:rPr>
      </w:pPr>
      <w:r w:rsidRPr="00150EDC">
        <w:rPr>
          <w:sz w:val="24"/>
        </w:rPr>
        <w:t>the</w:t>
      </w:r>
      <w:r w:rsidRPr="00150EDC">
        <w:rPr>
          <w:spacing w:val="-6"/>
          <w:sz w:val="24"/>
        </w:rPr>
        <w:t xml:space="preserve"> </w:t>
      </w:r>
      <w:r w:rsidRPr="00150EDC">
        <w:rPr>
          <w:sz w:val="24"/>
        </w:rPr>
        <w:t>numbers</w:t>
      </w:r>
      <w:r w:rsidRPr="00150EDC">
        <w:rPr>
          <w:spacing w:val="-4"/>
          <w:sz w:val="24"/>
        </w:rPr>
        <w:t xml:space="preserve"> </w:t>
      </w:r>
      <w:r w:rsidRPr="00150EDC">
        <w:rPr>
          <w:sz w:val="24"/>
        </w:rPr>
        <w:t>of</w:t>
      </w:r>
      <w:r w:rsidRPr="00150EDC">
        <w:rPr>
          <w:spacing w:val="-5"/>
          <w:sz w:val="24"/>
        </w:rPr>
        <w:t xml:space="preserve"> </w:t>
      </w:r>
      <w:r w:rsidRPr="00150EDC">
        <w:rPr>
          <w:sz w:val="24"/>
        </w:rPr>
        <w:t>employees</w:t>
      </w:r>
      <w:r w:rsidRPr="00150EDC">
        <w:rPr>
          <w:spacing w:val="-2"/>
          <w:sz w:val="24"/>
        </w:rPr>
        <w:t xml:space="preserve"> </w:t>
      </w:r>
      <w:r w:rsidRPr="00150EDC">
        <w:rPr>
          <w:sz w:val="24"/>
        </w:rPr>
        <w:t>engaged</w:t>
      </w:r>
      <w:r w:rsidRPr="00150EDC">
        <w:rPr>
          <w:spacing w:val="-2"/>
          <w:sz w:val="24"/>
        </w:rPr>
        <w:t xml:space="preserve"> </w:t>
      </w:r>
      <w:r w:rsidRPr="00150EDC">
        <w:rPr>
          <w:sz w:val="24"/>
        </w:rPr>
        <w:t>in</w:t>
      </w:r>
      <w:r w:rsidRPr="00150EDC">
        <w:rPr>
          <w:spacing w:val="-3"/>
          <w:sz w:val="24"/>
        </w:rPr>
        <w:t xml:space="preserve"> </w:t>
      </w:r>
      <w:r w:rsidRPr="00150EDC">
        <w:rPr>
          <w:sz w:val="24"/>
        </w:rPr>
        <w:t>providing</w:t>
      </w:r>
      <w:r w:rsidRPr="00150EDC">
        <w:rPr>
          <w:spacing w:val="-2"/>
          <w:sz w:val="24"/>
        </w:rPr>
        <w:t xml:space="preserve"> </w:t>
      </w:r>
      <w:r w:rsidRPr="00150EDC">
        <w:rPr>
          <w:sz w:val="24"/>
        </w:rPr>
        <w:t>the</w:t>
      </w:r>
      <w:r w:rsidRPr="00150EDC">
        <w:rPr>
          <w:spacing w:val="-1"/>
          <w:sz w:val="24"/>
        </w:rPr>
        <w:t xml:space="preserve"> </w:t>
      </w:r>
      <w:r w:rsidRPr="00150EDC">
        <w:rPr>
          <w:spacing w:val="-2"/>
          <w:sz w:val="24"/>
        </w:rPr>
        <w:t>Services;</w:t>
      </w:r>
    </w:p>
    <w:p w14:paraId="15341907" w14:textId="77777777" w:rsidR="004C7180" w:rsidRPr="00150EDC" w:rsidRDefault="00CF0754" w:rsidP="00B320C7">
      <w:pPr>
        <w:pStyle w:val="ListParagraph"/>
        <w:numPr>
          <w:ilvl w:val="2"/>
          <w:numId w:val="85"/>
        </w:numPr>
        <w:tabs>
          <w:tab w:val="left" w:pos="3612"/>
        </w:tabs>
        <w:spacing w:before="120"/>
        <w:ind w:right="1438"/>
        <w:jc w:val="both"/>
        <w:rPr>
          <w:sz w:val="24"/>
        </w:rPr>
      </w:pPr>
      <w:r w:rsidRPr="00150EDC">
        <w:rPr>
          <w:sz w:val="24"/>
        </w:rPr>
        <w:t>the percentage of time spent by each employee engaged in providing the Services;</w:t>
      </w:r>
    </w:p>
    <w:p w14:paraId="0AB0E4D6" w14:textId="77777777" w:rsidR="004C7180" w:rsidRPr="00150EDC" w:rsidRDefault="00CF0754" w:rsidP="00B320C7">
      <w:pPr>
        <w:pStyle w:val="ListParagraph"/>
        <w:numPr>
          <w:ilvl w:val="2"/>
          <w:numId w:val="85"/>
        </w:numPr>
        <w:tabs>
          <w:tab w:val="left" w:pos="3612"/>
        </w:tabs>
        <w:spacing w:before="120"/>
        <w:ind w:right="1434"/>
        <w:jc w:val="both"/>
        <w:rPr>
          <w:sz w:val="24"/>
        </w:rPr>
      </w:pPr>
      <w:r w:rsidRPr="00150EDC">
        <w:rPr>
          <w:sz w:val="24"/>
        </w:rPr>
        <w:t>the extent to which each employee qualifies for membership of any of the Statutory Schemes or any Broadly Comparable scheme set up pursuant to the provisions of</w:t>
      </w:r>
      <w:r w:rsidRPr="00150EDC">
        <w:rPr>
          <w:spacing w:val="-1"/>
          <w:sz w:val="24"/>
        </w:rPr>
        <w:t xml:space="preserve"> </w:t>
      </w:r>
      <w:r w:rsidRPr="00150EDC">
        <w:rPr>
          <w:sz w:val="24"/>
        </w:rPr>
        <w:t>any of the Annexes to Part D (Pensions) (as appropriate); and</w:t>
      </w:r>
    </w:p>
    <w:p w14:paraId="3F478E34" w14:textId="77777777" w:rsidR="004C7180" w:rsidRPr="00150EDC" w:rsidRDefault="00CF0754" w:rsidP="00B320C7">
      <w:pPr>
        <w:pStyle w:val="ListParagraph"/>
        <w:numPr>
          <w:ilvl w:val="2"/>
          <w:numId w:val="85"/>
        </w:numPr>
        <w:tabs>
          <w:tab w:val="left" w:pos="3612"/>
        </w:tabs>
        <w:spacing w:before="120"/>
        <w:ind w:right="1438"/>
        <w:jc w:val="both"/>
        <w:rPr>
          <w:sz w:val="24"/>
        </w:rPr>
      </w:pPr>
      <w:r w:rsidRPr="00150EDC">
        <w:rPr>
          <w:sz w:val="24"/>
        </w:rPr>
        <w:t>a description of the nature of the work undertaken by each employee by location.</w:t>
      </w:r>
    </w:p>
    <w:p w14:paraId="37273E07" w14:textId="77777777" w:rsidR="004C7180" w:rsidRPr="00150EDC" w:rsidRDefault="004C7180">
      <w:pPr>
        <w:jc w:val="both"/>
        <w:rPr>
          <w:sz w:val="24"/>
        </w:rPr>
        <w:sectPr w:rsidR="004C7180" w:rsidRPr="00150EDC">
          <w:pgSz w:w="11910" w:h="16840"/>
          <w:pgMar w:top="1380" w:right="0" w:bottom="1380" w:left="40" w:header="715" w:footer="1192" w:gutter="0"/>
          <w:cols w:space="720"/>
        </w:sectPr>
      </w:pPr>
    </w:p>
    <w:p w14:paraId="778363E9" w14:textId="77777777" w:rsidR="004C7180" w:rsidRPr="00150EDC" w:rsidRDefault="004C7180">
      <w:pPr>
        <w:pStyle w:val="BodyText"/>
        <w:spacing w:before="5"/>
        <w:rPr>
          <w:sz w:val="15"/>
        </w:rPr>
      </w:pPr>
    </w:p>
    <w:p w14:paraId="069CEBE4" w14:textId="77777777" w:rsidR="004C7180" w:rsidRPr="00150EDC" w:rsidRDefault="00CF0754" w:rsidP="00B320C7">
      <w:pPr>
        <w:pStyle w:val="ListParagraph"/>
        <w:numPr>
          <w:ilvl w:val="1"/>
          <w:numId w:val="85"/>
        </w:numPr>
        <w:tabs>
          <w:tab w:val="left" w:pos="2117"/>
          <w:tab w:val="left" w:pos="2120"/>
        </w:tabs>
        <w:spacing w:before="92"/>
        <w:ind w:right="1431"/>
        <w:jc w:val="both"/>
        <w:rPr>
          <w:sz w:val="24"/>
        </w:rPr>
      </w:pPr>
      <w:r w:rsidRPr="00150EDC">
        <w:rPr>
          <w:sz w:val="24"/>
        </w:rPr>
        <w:t>The Supplier shall provide, and shall procure that each Subcontractor shall provide, all reasonable cooperation and assistance to the Buyer, any Replacement Supplier and/or any Replacement Subcontractor to ensure the smooth</w:t>
      </w:r>
      <w:r w:rsidRPr="00150EDC">
        <w:rPr>
          <w:spacing w:val="-17"/>
          <w:sz w:val="24"/>
        </w:rPr>
        <w:t xml:space="preserve"> </w:t>
      </w:r>
      <w:r w:rsidRPr="00150EDC">
        <w:rPr>
          <w:sz w:val="24"/>
        </w:rPr>
        <w:t>transfer</w:t>
      </w:r>
      <w:r w:rsidRPr="00150EDC">
        <w:rPr>
          <w:spacing w:val="-17"/>
          <w:sz w:val="24"/>
        </w:rPr>
        <w:t xml:space="preserve"> </w:t>
      </w:r>
      <w:r w:rsidRPr="00150EDC">
        <w:rPr>
          <w:sz w:val="24"/>
        </w:rPr>
        <w:t>of</w:t>
      </w:r>
      <w:r w:rsidRPr="00150EDC">
        <w:rPr>
          <w:spacing w:val="-16"/>
          <w:sz w:val="24"/>
        </w:rPr>
        <w:t xml:space="preserve"> </w:t>
      </w:r>
      <w:r w:rsidRPr="00150EDC">
        <w:rPr>
          <w:sz w:val="24"/>
        </w:rPr>
        <w:t>the</w:t>
      </w:r>
      <w:r w:rsidRPr="00150EDC">
        <w:rPr>
          <w:spacing w:val="-17"/>
          <w:sz w:val="24"/>
        </w:rPr>
        <w:t xml:space="preserve"> </w:t>
      </w:r>
      <w:r w:rsidRPr="00150EDC">
        <w:rPr>
          <w:sz w:val="24"/>
        </w:rPr>
        <w:t>Transferring</w:t>
      </w:r>
      <w:r w:rsidRPr="00150EDC">
        <w:rPr>
          <w:spacing w:val="-17"/>
          <w:sz w:val="24"/>
        </w:rPr>
        <w:t xml:space="preserve"> </w:t>
      </w:r>
      <w:r w:rsidRPr="00150EDC">
        <w:rPr>
          <w:sz w:val="24"/>
        </w:rPr>
        <w:t>Supplier</w:t>
      </w:r>
      <w:r w:rsidRPr="00150EDC">
        <w:rPr>
          <w:spacing w:val="-17"/>
          <w:sz w:val="24"/>
        </w:rPr>
        <w:t xml:space="preserve"> </w:t>
      </w:r>
      <w:r w:rsidRPr="00150EDC">
        <w:rPr>
          <w:sz w:val="24"/>
        </w:rPr>
        <w:t>Employees</w:t>
      </w:r>
      <w:r w:rsidRPr="00150EDC">
        <w:rPr>
          <w:spacing w:val="-16"/>
          <w:sz w:val="24"/>
        </w:rPr>
        <w:t xml:space="preserve"> </w:t>
      </w:r>
      <w:r w:rsidRPr="00150EDC">
        <w:rPr>
          <w:sz w:val="24"/>
        </w:rPr>
        <w:t>on</w:t>
      </w:r>
      <w:r w:rsidRPr="00150EDC">
        <w:rPr>
          <w:spacing w:val="-17"/>
          <w:sz w:val="24"/>
        </w:rPr>
        <w:t xml:space="preserve"> </w:t>
      </w:r>
      <w:r w:rsidRPr="00150EDC">
        <w:rPr>
          <w:sz w:val="24"/>
        </w:rPr>
        <w:t>the</w:t>
      </w:r>
      <w:r w:rsidRPr="00150EDC">
        <w:rPr>
          <w:spacing w:val="-17"/>
          <w:sz w:val="24"/>
        </w:rPr>
        <w:t xml:space="preserve"> </w:t>
      </w:r>
      <w:r w:rsidRPr="00150EDC">
        <w:rPr>
          <w:sz w:val="24"/>
        </w:rPr>
        <w:t>Service</w:t>
      </w:r>
      <w:r w:rsidRPr="00150EDC">
        <w:rPr>
          <w:spacing w:val="-16"/>
          <w:sz w:val="24"/>
        </w:rPr>
        <w:t xml:space="preserve"> </w:t>
      </w:r>
      <w:r w:rsidRPr="00150EDC">
        <w:rPr>
          <w:sz w:val="24"/>
        </w:rPr>
        <w:t>Transfer Date including providing sufficient information in advance of the Service Transfer Date to ensure that all necessary payroll arrangements can be made to enable the Transferring Supplier Employees to be paid as appropriate. Without prejudice to the generality of the foregoing, within 5</w:t>
      </w:r>
      <w:r w:rsidRPr="00150EDC">
        <w:rPr>
          <w:spacing w:val="-3"/>
          <w:sz w:val="24"/>
        </w:rPr>
        <w:t xml:space="preserve"> </w:t>
      </w:r>
      <w:r w:rsidRPr="00150EDC">
        <w:rPr>
          <w:sz w:val="24"/>
        </w:rPr>
        <w:t>Working Days following the Service Transfer Date, the Supplier shall provide, and shall procure that each Subcontractor shall provide, to the Buyer or, at the direction of the Buyer, to any Replacement Supplier and/or any Replacement Subcontractor (as appropriate), in respect of each person on the Supplier's Final Supplier Personnel List who is a Transferring Supplier Employee:</w:t>
      </w:r>
    </w:p>
    <w:p w14:paraId="4D124240" w14:textId="77777777" w:rsidR="004C7180" w:rsidRPr="00150EDC" w:rsidRDefault="00CF0754" w:rsidP="00B320C7">
      <w:pPr>
        <w:pStyle w:val="ListParagraph"/>
        <w:numPr>
          <w:ilvl w:val="2"/>
          <w:numId w:val="85"/>
        </w:numPr>
        <w:tabs>
          <w:tab w:val="left" w:pos="3612"/>
        </w:tabs>
        <w:spacing w:before="121"/>
        <w:rPr>
          <w:sz w:val="24"/>
        </w:rPr>
      </w:pPr>
      <w:r w:rsidRPr="00150EDC">
        <w:rPr>
          <w:sz w:val="24"/>
        </w:rPr>
        <w:t>the</w:t>
      </w:r>
      <w:r w:rsidRPr="00150EDC">
        <w:rPr>
          <w:spacing w:val="-2"/>
          <w:sz w:val="24"/>
        </w:rPr>
        <w:t xml:space="preserve"> </w:t>
      </w:r>
      <w:r w:rsidRPr="00150EDC">
        <w:rPr>
          <w:sz w:val="24"/>
        </w:rPr>
        <w:t>most</w:t>
      </w:r>
      <w:r w:rsidRPr="00150EDC">
        <w:rPr>
          <w:spacing w:val="-3"/>
          <w:sz w:val="24"/>
        </w:rPr>
        <w:t xml:space="preserve"> </w:t>
      </w:r>
      <w:r w:rsidRPr="00150EDC">
        <w:rPr>
          <w:sz w:val="24"/>
        </w:rPr>
        <w:t>recent</w:t>
      </w:r>
      <w:r w:rsidRPr="00150EDC">
        <w:rPr>
          <w:spacing w:val="-3"/>
          <w:sz w:val="24"/>
        </w:rPr>
        <w:t xml:space="preserve"> </w:t>
      </w:r>
      <w:r w:rsidRPr="00150EDC">
        <w:rPr>
          <w:sz w:val="24"/>
        </w:rPr>
        <w:t>month's</w:t>
      </w:r>
      <w:r w:rsidRPr="00150EDC">
        <w:rPr>
          <w:spacing w:val="-1"/>
          <w:sz w:val="24"/>
        </w:rPr>
        <w:t xml:space="preserve"> </w:t>
      </w:r>
      <w:r w:rsidRPr="00150EDC">
        <w:rPr>
          <w:sz w:val="24"/>
        </w:rPr>
        <w:t>copy</w:t>
      </w:r>
      <w:r w:rsidRPr="00150EDC">
        <w:rPr>
          <w:spacing w:val="-3"/>
          <w:sz w:val="24"/>
        </w:rPr>
        <w:t xml:space="preserve"> </w:t>
      </w:r>
      <w:r w:rsidRPr="00150EDC">
        <w:rPr>
          <w:sz w:val="24"/>
        </w:rPr>
        <w:t>pay</w:t>
      </w:r>
      <w:r w:rsidRPr="00150EDC">
        <w:rPr>
          <w:spacing w:val="-1"/>
          <w:sz w:val="24"/>
        </w:rPr>
        <w:t xml:space="preserve"> </w:t>
      </w:r>
      <w:r w:rsidRPr="00150EDC">
        <w:rPr>
          <w:sz w:val="24"/>
        </w:rPr>
        <w:t>slip</w:t>
      </w:r>
      <w:r w:rsidRPr="00150EDC">
        <w:rPr>
          <w:spacing w:val="-2"/>
          <w:sz w:val="24"/>
        </w:rPr>
        <w:t xml:space="preserve"> </w:t>
      </w:r>
      <w:r w:rsidRPr="00150EDC">
        <w:rPr>
          <w:spacing w:val="-4"/>
          <w:sz w:val="24"/>
        </w:rPr>
        <w:t>data;</w:t>
      </w:r>
    </w:p>
    <w:p w14:paraId="50846279" w14:textId="77777777" w:rsidR="004C7180" w:rsidRPr="00150EDC" w:rsidRDefault="00CF0754" w:rsidP="00B320C7">
      <w:pPr>
        <w:pStyle w:val="ListParagraph"/>
        <w:numPr>
          <w:ilvl w:val="2"/>
          <w:numId w:val="85"/>
        </w:numPr>
        <w:tabs>
          <w:tab w:val="left" w:pos="3612"/>
        </w:tabs>
        <w:spacing w:before="120"/>
        <w:rPr>
          <w:sz w:val="24"/>
        </w:rPr>
      </w:pPr>
      <w:r w:rsidRPr="00150EDC">
        <w:rPr>
          <w:sz w:val="24"/>
        </w:rPr>
        <w:t>details</w:t>
      </w:r>
      <w:r w:rsidRPr="00150EDC">
        <w:rPr>
          <w:spacing w:val="-6"/>
          <w:sz w:val="24"/>
        </w:rPr>
        <w:t xml:space="preserve"> </w:t>
      </w:r>
      <w:r w:rsidRPr="00150EDC">
        <w:rPr>
          <w:sz w:val="24"/>
        </w:rPr>
        <w:t>of cumulative</w:t>
      </w:r>
      <w:r w:rsidRPr="00150EDC">
        <w:rPr>
          <w:spacing w:val="-3"/>
          <w:sz w:val="24"/>
        </w:rPr>
        <w:t xml:space="preserve"> </w:t>
      </w:r>
      <w:r w:rsidRPr="00150EDC">
        <w:rPr>
          <w:sz w:val="24"/>
        </w:rPr>
        <w:t>pay</w:t>
      </w:r>
      <w:r w:rsidRPr="00150EDC">
        <w:rPr>
          <w:spacing w:val="-2"/>
          <w:sz w:val="24"/>
        </w:rPr>
        <w:t xml:space="preserve"> </w:t>
      </w:r>
      <w:r w:rsidRPr="00150EDC">
        <w:rPr>
          <w:sz w:val="24"/>
        </w:rPr>
        <w:t>for</w:t>
      </w:r>
      <w:r w:rsidRPr="00150EDC">
        <w:rPr>
          <w:spacing w:val="-2"/>
          <w:sz w:val="24"/>
        </w:rPr>
        <w:t xml:space="preserve"> </w:t>
      </w:r>
      <w:r w:rsidRPr="00150EDC">
        <w:rPr>
          <w:sz w:val="24"/>
        </w:rPr>
        <w:t>tax</w:t>
      </w:r>
      <w:r w:rsidRPr="00150EDC">
        <w:rPr>
          <w:spacing w:val="-2"/>
          <w:sz w:val="24"/>
        </w:rPr>
        <w:t xml:space="preserve"> </w:t>
      </w:r>
      <w:r w:rsidRPr="00150EDC">
        <w:rPr>
          <w:sz w:val="24"/>
        </w:rPr>
        <w:t>and</w:t>
      </w:r>
      <w:r w:rsidRPr="00150EDC">
        <w:rPr>
          <w:spacing w:val="-2"/>
          <w:sz w:val="24"/>
        </w:rPr>
        <w:t xml:space="preserve"> </w:t>
      </w:r>
      <w:r w:rsidRPr="00150EDC">
        <w:rPr>
          <w:sz w:val="24"/>
        </w:rPr>
        <w:t>pension</w:t>
      </w:r>
      <w:r w:rsidRPr="00150EDC">
        <w:rPr>
          <w:spacing w:val="-2"/>
          <w:sz w:val="24"/>
        </w:rPr>
        <w:t xml:space="preserve"> purposes;</w:t>
      </w:r>
    </w:p>
    <w:p w14:paraId="01C291E7" w14:textId="77777777" w:rsidR="004C7180" w:rsidRPr="00150EDC" w:rsidRDefault="00CF0754" w:rsidP="00B320C7">
      <w:pPr>
        <w:pStyle w:val="ListParagraph"/>
        <w:numPr>
          <w:ilvl w:val="2"/>
          <w:numId w:val="85"/>
        </w:numPr>
        <w:tabs>
          <w:tab w:val="left" w:pos="3612"/>
        </w:tabs>
        <w:spacing w:before="120"/>
        <w:rPr>
          <w:sz w:val="24"/>
        </w:rPr>
      </w:pPr>
      <w:r w:rsidRPr="00150EDC">
        <w:rPr>
          <w:sz w:val="24"/>
        </w:rPr>
        <w:t>details</w:t>
      </w:r>
      <w:r w:rsidRPr="00150EDC">
        <w:rPr>
          <w:spacing w:val="-6"/>
          <w:sz w:val="24"/>
        </w:rPr>
        <w:t xml:space="preserve"> </w:t>
      </w:r>
      <w:r w:rsidRPr="00150EDC">
        <w:rPr>
          <w:sz w:val="24"/>
        </w:rPr>
        <w:t>of</w:t>
      </w:r>
      <w:r w:rsidRPr="00150EDC">
        <w:rPr>
          <w:spacing w:val="-1"/>
          <w:sz w:val="24"/>
        </w:rPr>
        <w:t xml:space="preserve"> </w:t>
      </w:r>
      <w:r w:rsidRPr="00150EDC">
        <w:rPr>
          <w:sz w:val="24"/>
        </w:rPr>
        <w:t>cumulative</w:t>
      </w:r>
      <w:r w:rsidRPr="00150EDC">
        <w:rPr>
          <w:spacing w:val="-1"/>
          <w:sz w:val="24"/>
        </w:rPr>
        <w:t xml:space="preserve"> </w:t>
      </w:r>
      <w:r w:rsidRPr="00150EDC">
        <w:rPr>
          <w:sz w:val="24"/>
        </w:rPr>
        <w:t>tax</w:t>
      </w:r>
      <w:r w:rsidRPr="00150EDC">
        <w:rPr>
          <w:spacing w:val="-1"/>
          <w:sz w:val="24"/>
        </w:rPr>
        <w:t xml:space="preserve"> </w:t>
      </w:r>
      <w:r w:rsidRPr="00150EDC">
        <w:rPr>
          <w:spacing w:val="-4"/>
          <w:sz w:val="24"/>
        </w:rPr>
        <w:t>paid;</w:t>
      </w:r>
    </w:p>
    <w:p w14:paraId="20640B82" w14:textId="77777777" w:rsidR="004C7180" w:rsidRPr="00150EDC" w:rsidRDefault="00CF0754" w:rsidP="00B320C7">
      <w:pPr>
        <w:pStyle w:val="ListParagraph"/>
        <w:numPr>
          <w:ilvl w:val="2"/>
          <w:numId w:val="85"/>
        </w:numPr>
        <w:tabs>
          <w:tab w:val="left" w:pos="3612"/>
        </w:tabs>
        <w:spacing w:before="120"/>
        <w:rPr>
          <w:sz w:val="24"/>
        </w:rPr>
      </w:pPr>
      <w:r w:rsidRPr="00150EDC">
        <w:rPr>
          <w:sz w:val="24"/>
        </w:rPr>
        <w:t xml:space="preserve">tax </w:t>
      </w:r>
      <w:r w:rsidRPr="00150EDC">
        <w:rPr>
          <w:spacing w:val="-2"/>
          <w:sz w:val="24"/>
        </w:rPr>
        <w:t>code;</w:t>
      </w:r>
    </w:p>
    <w:p w14:paraId="391A43BC" w14:textId="77777777" w:rsidR="004C7180" w:rsidRPr="00150EDC" w:rsidRDefault="00CF0754" w:rsidP="00B320C7">
      <w:pPr>
        <w:pStyle w:val="ListParagraph"/>
        <w:numPr>
          <w:ilvl w:val="2"/>
          <w:numId w:val="85"/>
        </w:numPr>
        <w:tabs>
          <w:tab w:val="left" w:pos="3612"/>
        </w:tabs>
        <w:spacing w:before="120"/>
        <w:rPr>
          <w:sz w:val="24"/>
        </w:rPr>
      </w:pPr>
      <w:r w:rsidRPr="00150EDC">
        <w:rPr>
          <w:sz w:val="24"/>
        </w:rPr>
        <w:t>details</w:t>
      </w:r>
      <w:r w:rsidRPr="00150EDC">
        <w:rPr>
          <w:spacing w:val="-4"/>
          <w:sz w:val="24"/>
        </w:rPr>
        <w:t xml:space="preserve"> </w:t>
      </w:r>
      <w:r w:rsidRPr="00150EDC">
        <w:rPr>
          <w:sz w:val="24"/>
        </w:rPr>
        <w:t>of</w:t>
      </w:r>
      <w:r w:rsidRPr="00150EDC">
        <w:rPr>
          <w:spacing w:val="-1"/>
          <w:sz w:val="24"/>
        </w:rPr>
        <w:t xml:space="preserve"> </w:t>
      </w:r>
      <w:r w:rsidRPr="00150EDC">
        <w:rPr>
          <w:sz w:val="24"/>
        </w:rPr>
        <w:t>any</w:t>
      </w:r>
      <w:r w:rsidRPr="00150EDC">
        <w:rPr>
          <w:spacing w:val="-2"/>
          <w:sz w:val="24"/>
        </w:rPr>
        <w:t xml:space="preserve"> </w:t>
      </w:r>
      <w:r w:rsidRPr="00150EDC">
        <w:rPr>
          <w:sz w:val="24"/>
        </w:rPr>
        <w:t>voluntary</w:t>
      </w:r>
      <w:r w:rsidRPr="00150EDC">
        <w:rPr>
          <w:spacing w:val="-3"/>
          <w:sz w:val="24"/>
        </w:rPr>
        <w:t xml:space="preserve"> </w:t>
      </w:r>
      <w:r w:rsidRPr="00150EDC">
        <w:rPr>
          <w:sz w:val="24"/>
        </w:rPr>
        <w:t>deductions</w:t>
      </w:r>
      <w:r w:rsidRPr="00150EDC">
        <w:rPr>
          <w:spacing w:val="-4"/>
          <w:sz w:val="24"/>
        </w:rPr>
        <w:t xml:space="preserve"> </w:t>
      </w:r>
      <w:r w:rsidRPr="00150EDC">
        <w:rPr>
          <w:sz w:val="24"/>
        </w:rPr>
        <w:t>from pay;</w:t>
      </w:r>
      <w:r w:rsidRPr="00150EDC">
        <w:rPr>
          <w:spacing w:val="-3"/>
          <w:sz w:val="24"/>
        </w:rPr>
        <w:t xml:space="preserve"> </w:t>
      </w:r>
      <w:r w:rsidRPr="00150EDC">
        <w:rPr>
          <w:spacing w:val="-5"/>
          <w:sz w:val="24"/>
        </w:rPr>
        <w:t>and</w:t>
      </w:r>
    </w:p>
    <w:p w14:paraId="3FA5550B" w14:textId="77777777" w:rsidR="004C7180" w:rsidRPr="00150EDC" w:rsidRDefault="00CF0754" w:rsidP="00B320C7">
      <w:pPr>
        <w:pStyle w:val="ListParagraph"/>
        <w:numPr>
          <w:ilvl w:val="2"/>
          <w:numId w:val="85"/>
        </w:numPr>
        <w:tabs>
          <w:tab w:val="left" w:pos="3612"/>
        </w:tabs>
        <w:spacing w:before="120"/>
        <w:rPr>
          <w:sz w:val="24"/>
        </w:rPr>
      </w:pPr>
      <w:r w:rsidRPr="00150EDC">
        <w:rPr>
          <w:sz w:val="24"/>
        </w:rPr>
        <w:t>bank/building</w:t>
      </w:r>
      <w:r w:rsidRPr="00150EDC">
        <w:rPr>
          <w:spacing w:val="-3"/>
          <w:sz w:val="24"/>
        </w:rPr>
        <w:t xml:space="preserve"> </w:t>
      </w:r>
      <w:r w:rsidRPr="00150EDC">
        <w:rPr>
          <w:sz w:val="24"/>
        </w:rPr>
        <w:t>society</w:t>
      </w:r>
      <w:r w:rsidRPr="00150EDC">
        <w:rPr>
          <w:spacing w:val="-3"/>
          <w:sz w:val="24"/>
        </w:rPr>
        <w:t xml:space="preserve"> </w:t>
      </w:r>
      <w:r w:rsidRPr="00150EDC">
        <w:rPr>
          <w:sz w:val="24"/>
        </w:rPr>
        <w:t>account</w:t>
      </w:r>
      <w:r w:rsidRPr="00150EDC">
        <w:rPr>
          <w:spacing w:val="-5"/>
          <w:sz w:val="24"/>
        </w:rPr>
        <w:t xml:space="preserve"> </w:t>
      </w:r>
      <w:r w:rsidRPr="00150EDC">
        <w:rPr>
          <w:sz w:val="24"/>
        </w:rPr>
        <w:t>details</w:t>
      </w:r>
      <w:r w:rsidRPr="00150EDC">
        <w:rPr>
          <w:spacing w:val="-3"/>
          <w:sz w:val="24"/>
        </w:rPr>
        <w:t xml:space="preserve"> </w:t>
      </w:r>
      <w:r w:rsidRPr="00150EDC">
        <w:rPr>
          <w:sz w:val="24"/>
        </w:rPr>
        <w:t>for</w:t>
      </w:r>
      <w:r w:rsidRPr="00150EDC">
        <w:rPr>
          <w:spacing w:val="-5"/>
          <w:sz w:val="24"/>
        </w:rPr>
        <w:t xml:space="preserve"> </w:t>
      </w:r>
      <w:r w:rsidRPr="00150EDC">
        <w:rPr>
          <w:sz w:val="24"/>
        </w:rPr>
        <w:t>payroll</w:t>
      </w:r>
      <w:r w:rsidRPr="00150EDC">
        <w:rPr>
          <w:spacing w:val="-3"/>
          <w:sz w:val="24"/>
        </w:rPr>
        <w:t xml:space="preserve"> </w:t>
      </w:r>
      <w:r w:rsidRPr="00150EDC">
        <w:rPr>
          <w:spacing w:val="-2"/>
          <w:sz w:val="24"/>
        </w:rPr>
        <w:t>purposes.</w:t>
      </w:r>
    </w:p>
    <w:p w14:paraId="44BC675B" w14:textId="77777777" w:rsidR="004C7180" w:rsidRPr="00150EDC" w:rsidRDefault="00CF0754" w:rsidP="00B320C7">
      <w:pPr>
        <w:pStyle w:val="Heading4"/>
        <w:numPr>
          <w:ilvl w:val="0"/>
          <w:numId w:val="85"/>
        </w:numPr>
        <w:tabs>
          <w:tab w:val="left" w:pos="2119"/>
        </w:tabs>
        <w:spacing w:before="120"/>
        <w:ind w:left="2119" w:hanging="719"/>
      </w:pPr>
      <w:r w:rsidRPr="00150EDC">
        <w:t>Staff</w:t>
      </w:r>
      <w:r w:rsidRPr="00150EDC">
        <w:rPr>
          <w:spacing w:val="-3"/>
        </w:rPr>
        <w:t xml:space="preserve"> </w:t>
      </w:r>
      <w:r w:rsidRPr="00150EDC">
        <w:t>Transfer</w:t>
      </w:r>
      <w:r w:rsidRPr="00150EDC">
        <w:rPr>
          <w:spacing w:val="-2"/>
        </w:rPr>
        <w:t xml:space="preserve"> </w:t>
      </w:r>
      <w:r w:rsidRPr="00150EDC">
        <w:t>when</w:t>
      </w:r>
      <w:r w:rsidRPr="00150EDC">
        <w:rPr>
          <w:spacing w:val="-2"/>
        </w:rPr>
        <w:t xml:space="preserve"> </w:t>
      </w:r>
      <w:r w:rsidRPr="00150EDC">
        <w:t>the</w:t>
      </w:r>
      <w:r w:rsidRPr="00150EDC">
        <w:rPr>
          <w:spacing w:val="-1"/>
        </w:rPr>
        <w:t xml:space="preserve"> </w:t>
      </w:r>
      <w:r w:rsidRPr="00150EDC">
        <w:t>contract</w:t>
      </w:r>
      <w:r w:rsidRPr="00150EDC">
        <w:rPr>
          <w:spacing w:val="-4"/>
        </w:rPr>
        <w:t xml:space="preserve"> ends</w:t>
      </w:r>
    </w:p>
    <w:p w14:paraId="0AD5D82B" w14:textId="77777777" w:rsidR="004C7180" w:rsidRPr="00150EDC" w:rsidRDefault="004C7180">
      <w:pPr>
        <w:pStyle w:val="BodyText"/>
        <w:spacing w:before="10"/>
        <w:rPr>
          <w:b/>
          <w:sz w:val="20"/>
        </w:rPr>
      </w:pPr>
    </w:p>
    <w:p w14:paraId="48D28F62" w14:textId="77777777" w:rsidR="004C7180" w:rsidRPr="00150EDC" w:rsidRDefault="00CF0754" w:rsidP="00B320C7">
      <w:pPr>
        <w:pStyle w:val="ListParagraph"/>
        <w:numPr>
          <w:ilvl w:val="1"/>
          <w:numId w:val="85"/>
        </w:numPr>
        <w:tabs>
          <w:tab w:val="left" w:pos="2117"/>
          <w:tab w:val="left" w:pos="2120"/>
        </w:tabs>
        <w:ind w:right="1431"/>
        <w:jc w:val="both"/>
        <w:rPr>
          <w:sz w:val="24"/>
        </w:rPr>
      </w:pPr>
      <w:r w:rsidRPr="00150EDC">
        <w:rPr>
          <w:sz w:val="24"/>
        </w:rPr>
        <w:t>The Buyer and the Supplier acknowledge that subsequent to the commencement of the provision of the Services, the identity of the provider of the Services (or any part of the Services) may change (whether as a result of termination or Partial Termination of the relevant Contract or otherwise) resulting</w:t>
      </w:r>
      <w:r w:rsidRPr="00150EDC">
        <w:rPr>
          <w:spacing w:val="-7"/>
          <w:sz w:val="24"/>
        </w:rPr>
        <w:t xml:space="preserve"> </w:t>
      </w:r>
      <w:r w:rsidRPr="00150EDC">
        <w:rPr>
          <w:sz w:val="24"/>
        </w:rPr>
        <w:t>in</w:t>
      </w:r>
      <w:r w:rsidRPr="00150EDC">
        <w:rPr>
          <w:spacing w:val="-7"/>
          <w:sz w:val="24"/>
        </w:rPr>
        <w:t xml:space="preserve"> </w:t>
      </w:r>
      <w:r w:rsidRPr="00150EDC">
        <w:rPr>
          <w:sz w:val="24"/>
        </w:rPr>
        <w:t>the</w:t>
      </w:r>
      <w:r w:rsidRPr="00150EDC">
        <w:rPr>
          <w:spacing w:val="-9"/>
          <w:sz w:val="24"/>
        </w:rPr>
        <w:t xml:space="preserve"> </w:t>
      </w:r>
      <w:r w:rsidRPr="00150EDC">
        <w:rPr>
          <w:sz w:val="24"/>
        </w:rPr>
        <w:t>Services</w:t>
      </w:r>
      <w:r w:rsidRPr="00150EDC">
        <w:rPr>
          <w:spacing w:val="-8"/>
          <w:sz w:val="24"/>
        </w:rPr>
        <w:t xml:space="preserve"> </w:t>
      </w:r>
      <w:r w:rsidRPr="00150EDC">
        <w:rPr>
          <w:sz w:val="24"/>
        </w:rPr>
        <w:t>being</w:t>
      </w:r>
      <w:r w:rsidRPr="00150EDC">
        <w:rPr>
          <w:spacing w:val="-9"/>
          <w:sz w:val="24"/>
        </w:rPr>
        <w:t xml:space="preserve"> </w:t>
      </w:r>
      <w:r w:rsidRPr="00150EDC">
        <w:rPr>
          <w:sz w:val="24"/>
        </w:rPr>
        <w:t>undertaken</w:t>
      </w:r>
      <w:r w:rsidRPr="00150EDC">
        <w:rPr>
          <w:spacing w:val="-9"/>
          <w:sz w:val="24"/>
        </w:rPr>
        <w:t xml:space="preserve"> </w:t>
      </w:r>
      <w:r w:rsidRPr="00150EDC">
        <w:rPr>
          <w:sz w:val="24"/>
        </w:rPr>
        <w:t>by</w:t>
      </w:r>
      <w:r w:rsidRPr="00150EDC">
        <w:rPr>
          <w:spacing w:val="-10"/>
          <w:sz w:val="24"/>
        </w:rPr>
        <w:t xml:space="preserve"> </w:t>
      </w:r>
      <w:r w:rsidRPr="00150EDC">
        <w:rPr>
          <w:sz w:val="24"/>
        </w:rPr>
        <w:t>a</w:t>
      </w:r>
      <w:r w:rsidRPr="00150EDC">
        <w:rPr>
          <w:spacing w:val="-7"/>
          <w:sz w:val="24"/>
        </w:rPr>
        <w:t xml:space="preserve"> </w:t>
      </w:r>
      <w:r w:rsidRPr="00150EDC">
        <w:rPr>
          <w:sz w:val="24"/>
        </w:rPr>
        <w:t>Replacement</w:t>
      </w:r>
      <w:r w:rsidRPr="00150EDC">
        <w:rPr>
          <w:spacing w:val="-7"/>
          <w:sz w:val="24"/>
        </w:rPr>
        <w:t xml:space="preserve"> </w:t>
      </w:r>
      <w:r w:rsidRPr="00150EDC">
        <w:rPr>
          <w:sz w:val="24"/>
        </w:rPr>
        <w:t>Supplier</w:t>
      </w:r>
      <w:r w:rsidRPr="00150EDC">
        <w:rPr>
          <w:spacing w:val="-8"/>
          <w:sz w:val="24"/>
        </w:rPr>
        <w:t xml:space="preserve"> </w:t>
      </w:r>
      <w:r w:rsidRPr="00150EDC">
        <w:rPr>
          <w:sz w:val="24"/>
        </w:rPr>
        <w:t>and/or</w:t>
      </w:r>
      <w:r w:rsidRPr="00150EDC">
        <w:rPr>
          <w:spacing w:val="-11"/>
          <w:sz w:val="24"/>
        </w:rPr>
        <w:t xml:space="preserve"> </w:t>
      </w:r>
      <w:r w:rsidRPr="00150EDC">
        <w:rPr>
          <w:sz w:val="24"/>
        </w:rPr>
        <w:t>a Replacement</w:t>
      </w:r>
      <w:r w:rsidRPr="00150EDC">
        <w:rPr>
          <w:spacing w:val="-17"/>
          <w:sz w:val="24"/>
        </w:rPr>
        <w:t xml:space="preserve"> </w:t>
      </w:r>
      <w:r w:rsidRPr="00150EDC">
        <w:rPr>
          <w:sz w:val="24"/>
        </w:rPr>
        <w:t>Subcontractor.</w:t>
      </w:r>
      <w:r w:rsidRPr="00150EDC">
        <w:rPr>
          <w:spacing w:val="32"/>
          <w:sz w:val="24"/>
        </w:rPr>
        <w:t xml:space="preserve"> </w:t>
      </w:r>
      <w:r w:rsidRPr="00150EDC">
        <w:rPr>
          <w:sz w:val="24"/>
        </w:rPr>
        <w:t>Such</w:t>
      </w:r>
      <w:r w:rsidRPr="00150EDC">
        <w:rPr>
          <w:spacing w:val="-16"/>
          <w:sz w:val="24"/>
        </w:rPr>
        <w:t xml:space="preserve"> </w:t>
      </w:r>
      <w:r w:rsidRPr="00150EDC">
        <w:rPr>
          <w:sz w:val="24"/>
        </w:rPr>
        <w:t>change</w:t>
      </w:r>
      <w:r w:rsidRPr="00150EDC">
        <w:rPr>
          <w:spacing w:val="-16"/>
          <w:sz w:val="24"/>
        </w:rPr>
        <w:t xml:space="preserve"> </w:t>
      </w:r>
      <w:r w:rsidRPr="00150EDC">
        <w:rPr>
          <w:sz w:val="24"/>
        </w:rPr>
        <w:t>in</w:t>
      </w:r>
      <w:r w:rsidRPr="00150EDC">
        <w:rPr>
          <w:spacing w:val="-16"/>
          <w:sz w:val="24"/>
        </w:rPr>
        <w:t xml:space="preserve"> </w:t>
      </w:r>
      <w:r w:rsidRPr="00150EDC">
        <w:rPr>
          <w:sz w:val="24"/>
        </w:rPr>
        <w:t>the</w:t>
      </w:r>
      <w:r w:rsidRPr="00150EDC">
        <w:rPr>
          <w:spacing w:val="-16"/>
          <w:sz w:val="24"/>
        </w:rPr>
        <w:t xml:space="preserve"> </w:t>
      </w:r>
      <w:r w:rsidRPr="00150EDC">
        <w:rPr>
          <w:sz w:val="24"/>
        </w:rPr>
        <w:t>identity</w:t>
      </w:r>
      <w:r w:rsidRPr="00150EDC">
        <w:rPr>
          <w:spacing w:val="-17"/>
          <w:sz w:val="24"/>
        </w:rPr>
        <w:t xml:space="preserve"> </w:t>
      </w:r>
      <w:r w:rsidRPr="00150EDC">
        <w:rPr>
          <w:sz w:val="24"/>
        </w:rPr>
        <w:t>of</w:t>
      </w:r>
      <w:r w:rsidRPr="00150EDC">
        <w:rPr>
          <w:spacing w:val="-17"/>
          <w:sz w:val="24"/>
        </w:rPr>
        <w:t xml:space="preserve"> </w:t>
      </w:r>
      <w:r w:rsidRPr="00150EDC">
        <w:rPr>
          <w:sz w:val="24"/>
        </w:rPr>
        <w:t>the</w:t>
      </w:r>
      <w:r w:rsidRPr="00150EDC">
        <w:rPr>
          <w:spacing w:val="-15"/>
          <w:sz w:val="24"/>
        </w:rPr>
        <w:t xml:space="preserve"> </w:t>
      </w:r>
      <w:r w:rsidRPr="00150EDC">
        <w:rPr>
          <w:sz w:val="24"/>
        </w:rPr>
        <w:t>supplier</w:t>
      </w:r>
      <w:r w:rsidRPr="00150EDC">
        <w:rPr>
          <w:spacing w:val="-17"/>
          <w:sz w:val="24"/>
        </w:rPr>
        <w:t xml:space="preserve"> </w:t>
      </w:r>
      <w:r w:rsidRPr="00150EDC">
        <w:rPr>
          <w:sz w:val="24"/>
        </w:rPr>
        <w:t>of</w:t>
      </w:r>
      <w:r w:rsidRPr="00150EDC">
        <w:rPr>
          <w:spacing w:val="-16"/>
          <w:sz w:val="24"/>
        </w:rPr>
        <w:t xml:space="preserve"> </w:t>
      </w:r>
      <w:r w:rsidRPr="00150EDC">
        <w:rPr>
          <w:sz w:val="24"/>
        </w:rPr>
        <w:t>such services may constitute a Relevant Transfer to which the Employment Regulations</w:t>
      </w:r>
      <w:r w:rsidRPr="00150EDC">
        <w:rPr>
          <w:spacing w:val="-9"/>
          <w:sz w:val="24"/>
        </w:rPr>
        <w:t xml:space="preserve"> </w:t>
      </w:r>
      <w:r w:rsidRPr="00150EDC">
        <w:rPr>
          <w:sz w:val="24"/>
        </w:rPr>
        <w:t>and/or</w:t>
      </w:r>
      <w:r w:rsidRPr="00150EDC">
        <w:rPr>
          <w:spacing w:val="-10"/>
          <w:sz w:val="24"/>
        </w:rPr>
        <w:t xml:space="preserve"> </w:t>
      </w:r>
      <w:r w:rsidRPr="00150EDC">
        <w:rPr>
          <w:sz w:val="24"/>
        </w:rPr>
        <w:t>the</w:t>
      </w:r>
      <w:r w:rsidRPr="00150EDC">
        <w:rPr>
          <w:spacing w:val="-11"/>
          <w:sz w:val="24"/>
        </w:rPr>
        <w:t xml:space="preserve"> </w:t>
      </w:r>
      <w:r w:rsidRPr="00150EDC">
        <w:rPr>
          <w:sz w:val="24"/>
        </w:rPr>
        <w:t>Acquired</w:t>
      </w:r>
      <w:r w:rsidRPr="00150EDC">
        <w:rPr>
          <w:spacing w:val="-11"/>
          <w:sz w:val="24"/>
        </w:rPr>
        <w:t xml:space="preserve"> </w:t>
      </w:r>
      <w:r w:rsidRPr="00150EDC">
        <w:rPr>
          <w:sz w:val="24"/>
        </w:rPr>
        <w:t>Rights</w:t>
      </w:r>
      <w:r w:rsidRPr="00150EDC">
        <w:rPr>
          <w:spacing w:val="-9"/>
          <w:sz w:val="24"/>
        </w:rPr>
        <w:t xml:space="preserve"> </w:t>
      </w:r>
      <w:r w:rsidRPr="00150EDC">
        <w:rPr>
          <w:sz w:val="24"/>
        </w:rPr>
        <w:t>Directive</w:t>
      </w:r>
      <w:r w:rsidRPr="00150EDC">
        <w:rPr>
          <w:spacing w:val="-8"/>
          <w:sz w:val="24"/>
        </w:rPr>
        <w:t xml:space="preserve"> </w:t>
      </w:r>
      <w:r w:rsidRPr="00150EDC">
        <w:rPr>
          <w:sz w:val="24"/>
        </w:rPr>
        <w:t>will</w:t>
      </w:r>
      <w:r w:rsidRPr="00150EDC">
        <w:rPr>
          <w:spacing w:val="-10"/>
          <w:sz w:val="24"/>
        </w:rPr>
        <w:t xml:space="preserve"> </w:t>
      </w:r>
      <w:r w:rsidRPr="00150EDC">
        <w:rPr>
          <w:sz w:val="24"/>
        </w:rPr>
        <w:t>apply.</w:t>
      </w:r>
      <w:r w:rsidRPr="00150EDC">
        <w:rPr>
          <w:spacing w:val="40"/>
          <w:sz w:val="24"/>
        </w:rPr>
        <w:t xml:space="preserve"> </w:t>
      </w:r>
      <w:r w:rsidRPr="00150EDC">
        <w:rPr>
          <w:sz w:val="24"/>
        </w:rPr>
        <w:t>The</w:t>
      </w:r>
      <w:r w:rsidRPr="00150EDC">
        <w:rPr>
          <w:spacing w:val="-8"/>
          <w:sz w:val="24"/>
        </w:rPr>
        <w:t xml:space="preserve"> </w:t>
      </w:r>
      <w:r w:rsidRPr="00150EDC">
        <w:rPr>
          <w:sz w:val="24"/>
        </w:rPr>
        <w:t>Buyer</w:t>
      </w:r>
      <w:r w:rsidRPr="00150EDC">
        <w:rPr>
          <w:spacing w:val="-10"/>
          <w:sz w:val="24"/>
        </w:rPr>
        <w:t xml:space="preserve"> </w:t>
      </w:r>
      <w:r w:rsidRPr="00150EDC">
        <w:rPr>
          <w:sz w:val="24"/>
        </w:rPr>
        <w:t>and</w:t>
      </w:r>
      <w:r w:rsidRPr="00150EDC">
        <w:rPr>
          <w:spacing w:val="-11"/>
          <w:sz w:val="24"/>
        </w:rPr>
        <w:t xml:space="preserve"> </w:t>
      </w:r>
      <w:r w:rsidRPr="00150EDC">
        <w:rPr>
          <w:sz w:val="24"/>
        </w:rPr>
        <w:t>the Supplier</w:t>
      </w:r>
      <w:r w:rsidRPr="00150EDC">
        <w:rPr>
          <w:spacing w:val="-17"/>
          <w:sz w:val="24"/>
        </w:rPr>
        <w:t xml:space="preserve"> </w:t>
      </w:r>
      <w:r w:rsidRPr="00150EDC">
        <w:rPr>
          <w:sz w:val="24"/>
        </w:rPr>
        <w:t>agree</w:t>
      </w:r>
      <w:r w:rsidRPr="00150EDC">
        <w:rPr>
          <w:spacing w:val="-17"/>
          <w:sz w:val="24"/>
        </w:rPr>
        <w:t xml:space="preserve"> </w:t>
      </w:r>
      <w:r w:rsidRPr="00150EDC">
        <w:rPr>
          <w:sz w:val="24"/>
        </w:rPr>
        <w:t>that,</w:t>
      </w:r>
      <w:r w:rsidRPr="00150EDC">
        <w:rPr>
          <w:spacing w:val="-16"/>
          <w:sz w:val="24"/>
        </w:rPr>
        <w:t xml:space="preserve"> </w:t>
      </w:r>
      <w:r w:rsidRPr="00150EDC">
        <w:rPr>
          <w:sz w:val="24"/>
        </w:rPr>
        <w:t>as</w:t>
      </w:r>
      <w:r w:rsidRPr="00150EDC">
        <w:rPr>
          <w:spacing w:val="-17"/>
          <w:sz w:val="24"/>
        </w:rPr>
        <w:t xml:space="preserve"> </w:t>
      </w:r>
      <w:r w:rsidRPr="00150EDC">
        <w:rPr>
          <w:sz w:val="24"/>
        </w:rPr>
        <w:t>a</w:t>
      </w:r>
      <w:r w:rsidRPr="00150EDC">
        <w:rPr>
          <w:spacing w:val="-16"/>
          <w:sz w:val="24"/>
        </w:rPr>
        <w:t xml:space="preserve"> </w:t>
      </w:r>
      <w:r w:rsidRPr="00150EDC">
        <w:rPr>
          <w:sz w:val="24"/>
        </w:rPr>
        <w:t>result</w:t>
      </w:r>
      <w:r w:rsidRPr="00150EDC">
        <w:rPr>
          <w:spacing w:val="-16"/>
          <w:sz w:val="24"/>
        </w:rPr>
        <w:t xml:space="preserve"> </w:t>
      </w:r>
      <w:r w:rsidRPr="00150EDC">
        <w:rPr>
          <w:sz w:val="24"/>
        </w:rPr>
        <w:t>of</w:t>
      </w:r>
      <w:r w:rsidRPr="00150EDC">
        <w:rPr>
          <w:spacing w:val="-17"/>
          <w:sz w:val="24"/>
        </w:rPr>
        <w:t xml:space="preserve"> </w:t>
      </w:r>
      <w:r w:rsidRPr="00150EDC">
        <w:rPr>
          <w:sz w:val="24"/>
        </w:rPr>
        <w:t>the</w:t>
      </w:r>
      <w:r w:rsidRPr="00150EDC">
        <w:rPr>
          <w:spacing w:val="-17"/>
          <w:sz w:val="24"/>
        </w:rPr>
        <w:t xml:space="preserve"> </w:t>
      </w:r>
      <w:r w:rsidRPr="00150EDC">
        <w:rPr>
          <w:sz w:val="24"/>
        </w:rPr>
        <w:t>operation</w:t>
      </w:r>
      <w:r w:rsidRPr="00150EDC">
        <w:rPr>
          <w:spacing w:val="-15"/>
          <w:sz w:val="24"/>
        </w:rPr>
        <w:t xml:space="preserve"> </w:t>
      </w:r>
      <w:r w:rsidRPr="00150EDC">
        <w:rPr>
          <w:sz w:val="24"/>
        </w:rPr>
        <w:t>of</w:t>
      </w:r>
      <w:r w:rsidRPr="00150EDC">
        <w:rPr>
          <w:spacing w:val="-16"/>
          <w:sz w:val="24"/>
        </w:rPr>
        <w:t xml:space="preserve"> </w:t>
      </w:r>
      <w:r w:rsidRPr="00150EDC">
        <w:rPr>
          <w:sz w:val="24"/>
        </w:rPr>
        <w:t>the</w:t>
      </w:r>
      <w:r w:rsidRPr="00150EDC">
        <w:rPr>
          <w:spacing w:val="-15"/>
          <w:sz w:val="24"/>
        </w:rPr>
        <w:t xml:space="preserve"> </w:t>
      </w:r>
      <w:r w:rsidRPr="00150EDC">
        <w:rPr>
          <w:sz w:val="24"/>
        </w:rPr>
        <w:t>Employment</w:t>
      </w:r>
      <w:r w:rsidRPr="00150EDC">
        <w:rPr>
          <w:spacing w:val="-16"/>
          <w:sz w:val="24"/>
        </w:rPr>
        <w:t xml:space="preserve"> </w:t>
      </w:r>
      <w:r w:rsidRPr="00150EDC">
        <w:rPr>
          <w:sz w:val="24"/>
        </w:rPr>
        <w:t>Regulations, where a Relevant Transfer occurs, the contracts of employment between the Supplier and the Transferring Supplier Employees (except in relation to any contract terms disapplied through operation of regulation</w:t>
      </w:r>
      <w:r w:rsidRPr="00150EDC">
        <w:rPr>
          <w:spacing w:val="-1"/>
          <w:sz w:val="24"/>
        </w:rPr>
        <w:t xml:space="preserve"> </w:t>
      </w:r>
      <w:r w:rsidRPr="00150EDC">
        <w:rPr>
          <w:sz w:val="24"/>
        </w:rPr>
        <w:t>10(2) of the Employment Regulations) will have effect on and from the Service Transfer Date as if originally made between the Replacement Supplier and/or a Replacement Subcontractor (as the case may</w:t>
      </w:r>
      <w:r w:rsidRPr="00150EDC">
        <w:rPr>
          <w:spacing w:val="-2"/>
          <w:sz w:val="24"/>
        </w:rPr>
        <w:t xml:space="preserve"> </w:t>
      </w:r>
      <w:r w:rsidRPr="00150EDC">
        <w:rPr>
          <w:sz w:val="24"/>
        </w:rPr>
        <w:t>be) and each such Transferring Supplier Employee.</w:t>
      </w:r>
    </w:p>
    <w:p w14:paraId="50D3916B" w14:textId="77777777" w:rsidR="004C7180" w:rsidRPr="00150EDC" w:rsidRDefault="00CF0754" w:rsidP="00B320C7">
      <w:pPr>
        <w:pStyle w:val="ListParagraph"/>
        <w:numPr>
          <w:ilvl w:val="1"/>
          <w:numId w:val="85"/>
        </w:numPr>
        <w:tabs>
          <w:tab w:val="left" w:pos="2117"/>
          <w:tab w:val="left" w:pos="2120"/>
        </w:tabs>
        <w:spacing w:before="118"/>
        <w:ind w:right="1432"/>
        <w:jc w:val="both"/>
        <w:rPr>
          <w:sz w:val="24"/>
        </w:rPr>
      </w:pPr>
      <w:r w:rsidRPr="00150EDC">
        <w:rPr>
          <w:sz w:val="24"/>
        </w:rPr>
        <w:t>The Supplier shall, and shall procure that each Subcontractor shall,</w:t>
      </w:r>
      <w:r w:rsidRPr="00150EDC">
        <w:rPr>
          <w:spacing w:val="40"/>
          <w:sz w:val="24"/>
        </w:rPr>
        <w:t xml:space="preserve"> </w:t>
      </w:r>
      <w:r w:rsidRPr="00150EDC">
        <w:rPr>
          <w:sz w:val="24"/>
        </w:rPr>
        <w:t>comply with</w:t>
      </w:r>
      <w:r w:rsidRPr="00150EDC">
        <w:rPr>
          <w:spacing w:val="-7"/>
          <w:sz w:val="24"/>
        </w:rPr>
        <w:t xml:space="preserve"> </w:t>
      </w:r>
      <w:r w:rsidRPr="00150EDC">
        <w:rPr>
          <w:sz w:val="24"/>
        </w:rPr>
        <w:t>all</w:t>
      </w:r>
      <w:r w:rsidRPr="00150EDC">
        <w:rPr>
          <w:spacing w:val="-8"/>
          <w:sz w:val="24"/>
        </w:rPr>
        <w:t xml:space="preserve"> </w:t>
      </w:r>
      <w:r w:rsidRPr="00150EDC">
        <w:rPr>
          <w:sz w:val="24"/>
        </w:rPr>
        <w:t>its</w:t>
      </w:r>
      <w:r w:rsidRPr="00150EDC">
        <w:rPr>
          <w:spacing w:val="-10"/>
          <w:sz w:val="24"/>
        </w:rPr>
        <w:t xml:space="preserve"> </w:t>
      </w:r>
      <w:r w:rsidRPr="00150EDC">
        <w:rPr>
          <w:sz w:val="24"/>
        </w:rPr>
        <w:t>obligations</w:t>
      </w:r>
      <w:r w:rsidRPr="00150EDC">
        <w:rPr>
          <w:spacing w:val="-10"/>
          <w:sz w:val="24"/>
        </w:rPr>
        <w:t xml:space="preserve"> </w:t>
      </w:r>
      <w:r w:rsidRPr="00150EDC">
        <w:rPr>
          <w:sz w:val="24"/>
        </w:rPr>
        <w:t>in</w:t>
      </w:r>
      <w:r w:rsidRPr="00150EDC">
        <w:rPr>
          <w:spacing w:val="-7"/>
          <w:sz w:val="24"/>
        </w:rPr>
        <w:t xml:space="preserve"> </w:t>
      </w:r>
      <w:r w:rsidRPr="00150EDC">
        <w:rPr>
          <w:sz w:val="24"/>
        </w:rPr>
        <w:t>respect</w:t>
      </w:r>
      <w:r w:rsidRPr="00150EDC">
        <w:rPr>
          <w:spacing w:val="-10"/>
          <w:sz w:val="24"/>
        </w:rPr>
        <w:t xml:space="preserve"> </w:t>
      </w:r>
      <w:r w:rsidRPr="00150EDC">
        <w:rPr>
          <w:sz w:val="24"/>
        </w:rPr>
        <w:t>of</w:t>
      </w:r>
      <w:r w:rsidRPr="00150EDC">
        <w:rPr>
          <w:spacing w:val="-7"/>
          <w:sz w:val="24"/>
        </w:rPr>
        <w:t xml:space="preserve"> </w:t>
      </w:r>
      <w:r w:rsidRPr="00150EDC">
        <w:rPr>
          <w:sz w:val="24"/>
        </w:rPr>
        <w:t>the</w:t>
      </w:r>
      <w:r w:rsidRPr="00150EDC">
        <w:rPr>
          <w:spacing w:val="-9"/>
          <w:sz w:val="24"/>
        </w:rPr>
        <w:t xml:space="preserve"> </w:t>
      </w:r>
      <w:r w:rsidRPr="00150EDC">
        <w:rPr>
          <w:sz w:val="24"/>
        </w:rPr>
        <w:t>Transferring</w:t>
      </w:r>
      <w:r w:rsidRPr="00150EDC">
        <w:rPr>
          <w:spacing w:val="-7"/>
          <w:sz w:val="24"/>
        </w:rPr>
        <w:t xml:space="preserve"> </w:t>
      </w:r>
      <w:r w:rsidRPr="00150EDC">
        <w:rPr>
          <w:sz w:val="24"/>
        </w:rPr>
        <w:t>Supplier</w:t>
      </w:r>
      <w:r w:rsidRPr="00150EDC">
        <w:rPr>
          <w:spacing w:val="-11"/>
          <w:sz w:val="24"/>
        </w:rPr>
        <w:t xml:space="preserve"> </w:t>
      </w:r>
      <w:r w:rsidRPr="00150EDC">
        <w:rPr>
          <w:sz w:val="24"/>
        </w:rPr>
        <w:t>Employees</w:t>
      </w:r>
      <w:r w:rsidRPr="00150EDC">
        <w:rPr>
          <w:spacing w:val="-10"/>
          <w:sz w:val="24"/>
        </w:rPr>
        <w:t xml:space="preserve"> </w:t>
      </w:r>
      <w:r w:rsidRPr="00150EDC">
        <w:rPr>
          <w:sz w:val="24"/>
        </w:rPr>
        <w:t>arising under</w:t>
      </w:r>
      <w:r w:rsidRPr="00150EDC">
        <w:rPr>
          <w:spacing w:val="-17"/>
          <w:sz w:val="24"/>
        </w:rPr>
        <w:t xml:space="preserve"> </w:t>
      </w:r>
      <w:r w:rsidRPr="00150EDC">
        <w:rPr>
          <w:sz w:val="24"/>
        </w:rPr>
        <w:t>the</w:t>
      </w:r>
      <w:r w:rsidRPr="00150EDC">
        <w:rPr>
          <w:spacing w:val="-17"/>
          <w:sz w:val="24"/>
        </w:rPr>
        <w:t xml:space="preserve"> </w:t>
      </w:r>
      <w:r w:rsidRPr="00150EDC">
        <w:rPr>
          <w:sz w:val="24"/>
        </w:rPr>
        <w:t>Employment</w:t>
      </w:r>
      <w:r w:rsidRPr="00150EDC">
        <w:rPr>
          <w:spacing w:val="-16"/>
          <w:sz w:val="24"/>
        </w:rPr>
        <w:t xml:space="preserve"> </w:t>
      </w:r>
      <w:r w:rsidRPr="00150EDC">
        <w:rPr>
          <w:sz w:val="24"/>
        </w:rPr>
        <w:t>Regulations</w:t>
      </w:r>
      <w:r w:rsidRPr="00150EDC">
        <w:rPr>
          <w:spacing w:val="-17"/>
          <w:sz w:val="24"/>
        </w:rPr>
        <w:t xml:space="preserve"> </w:t>
      </w:r>
      <w:r w:rsidRPr="00150EDC">
        <w:rPr>
          <w:sz w:val="24"/>
        </w:rPr>
        <w:t>in</w:t>
      </w:r>
      <w:r w:rsidRPr="00150EDC">
        <w:rPr>
          <w:spacing w:val="-17"/>
          <w:sz w:val="24"/>
        </w:rPr>
        <w:t xml:space="preserve"> </w:t>
      </w:r>
      <w:r w:rsidRPr="00150EDC">
        <w:rPr>
          <w:sz w:val="24"/>
        </w:rPr>
        <w:t>respect</w:t>
      </w:r>
      <w:r w:rsidRPr="00150EDC">
        <w:rPr>
          <w:spacing w:val="-17"/>
          <w:sz w:val="24"/>
        </w:rPr>
        <w:t xml:space="preserve"> </w:t>
      </w:r>
      <w:r w:rsidRPr="00150EDC">
        <w:rPr>
          <w:sz w:val="24"/>
        </w:rPr>
        <w:t>of</w:t>
      </w:r>
      <w:r w:rsidRPr="00150EDC">
        <w:rPr>
          <w:spacing w:val="-16"/>
          <w:sz w:val="24"/>
        </w:rPr>
        <w:t xml:space="preserve"> </w:t>
      </w:r>
      <w:r w:rsidRPr="00150EDC">
        <w:rPr>
          <w:sz w:val="24"/>
        </w:rPr>
        <w:t>the</w:t>
      </w:r>
      <w:r w:rsidRPr="00150EDC">
        <w:rPr>
          <w:spacing w:val="-17"/>
          <w:sz w:val="24"/>
        </w:rPr>
        <w:t xml:space="preserve"> </w:t>
      </w:r>
      <w:r w:rsidRPr="00150EDC">
        <w:rPr>
          <w:sz w:val="24"/>
        </w:rPr>
        <w:t>period</w:t>
      </w:r>
      <w:r w:rsidRPr="00150EDC">
        <w:rPr>
          <w:spacing w:val="-17"/>
          <w:sz w:val="24"/>
        </w:rPr>
        <w:t xml:space="preserve"> </w:t>
      </w:r>
      <w:r w:rsidRPr="00150EDC">
        <w:rPr>
          <w:sz w:val="24"/>
        </w:rPr>
        <w:t>up</w:t>
      </w:r>
      <w:r w:rsidRPr="00150EDC">
        <w:rPr>
          <w:spacing w:val="-16"/>
          <w:sz w:val="24"/>
        </w:rPr>
        <w:t xml:space="preserve"> </w:t>
      </w:r>
      <w:r w:rsidRPr="00150EDC">
        <w:rPr>
          <w:sz w:val="24"/>
        </w:rPr>
        <w:t>to</w:t>
      </w:r>
      <w:r w:rsidRPr="00150EDC">
        <w:rPr>
          <w:spacing w:val="-17"/>
          <w:sz w:val="24"/>
        </w:rPr>
        <w:t xml:space="preserve"> </w:t>
      </w:r>
      <w:r w:rsidRPr="00150EDC">
        <w:rPr>
          <w:sz w:val="24"/>
        </w:rPr>
        <w:t>(and</w:t>
      </w:r>
      <w:r w:rsidRPr="00150EDC">
        <w:rPr>
          <w:spacing w:val="-17"/>
          <w:sz w:val="24"/>
        </w:rPr>
        <w:t xml:space="preserve"> </w:t>
      </w:r>
      <w:r w:rsidRPr="00150EDC">
        <w:rPr>
          <w:sz w:val="24"/>
        </w:rPr>
        <w:t>including) the Service Transfer Date and shall perform and discharge, and procure that each</w:t>
      </w:r>
      <w:r w:rsidRPr="00150EDC">
        <w:rPr>
          <w:spacing w:val="-8"/>
          <w:sz w:val="24"/>
        </w:rPr>
        <w:t xml:space="preserve"> </w:t>
      </w:r>
      <w:r w:rsidRPr="00150EDC">
        <w:rPr>
          <w:sz w:val="24"/>
        </w:rPr>
        <w:t>Subcontractor</w:t>
      </w:r>
      <w:r w:rsidRPr="00150EDC">
        <w:rPr>
          <w:spacing w:val="-10"/>
          <w:sz w:val="24"/>
        </w:rPr>
        <w:t xml:space="preserve"> </w:t>
      </w:r>
      <w:r w:rsidRPr="00150EDC">
        <w:rPr>
          <w:sz w:val="24"/>
        </w:rPr>
        <w:t>shall</w:t>
      </w:r>
      <w:r w:rsidRPr="00150EDC">
        <w:rPr>
          <w:spacing w:val="-10"/>
          <w:sz w:val="24"/>
        </w:rPr>
        <w:t xml:space="preserve"> </w:t>
      </w:r>
      <w:r w:rsidRPr="00150EDC">
        <w:rPr>
          <w:sz w:val="24"/>
        </w:rPr>
        <w:t>perform</w:t>
      </w:r>
      <w:r w:rsidRPr="00150EDC">
        <w:rPr>
          <w:spacing w:val="-10"/>
          <w:sz w:val="24"/>
        </w:rPr>
        <w:t xml:space="preserve"> </w:t>
      </w:r>
      <w:r w:rsidRPr="00150EDC">
        <w:rPr>
          <w:sz w:val="24"/>
        </w:rPr>
        <w:t>and</w:t>
      </w:r>
      <w:r w:rsidRPr="00150EDC">
        <w:rPr>
          <w:spacing w:val="-11"/>
          <w:sz w:val="24"/>
        </w:rPr>
        <w:t xml:space="preserve"> </w:t>
      </w:r>
      <w:r w:rsidRPr="00150EDC">
        <w:rPr>
          <w:sz w:val="24"/>
        </w:rPr>
        <w:t>discharge,</w:t>
      </w:r>
      <w:r w:rsidRPr="00150EDC">
        <w:rPr>
          <w:spacing w:val="-9"/>
          <w:sz w:val="24"/>
        </w:rPr>
        <w:t xml:space="preserve"> </w:t>
      </w:r>
      <w:r w:rsidRPr="00150EDC">
        <w:rPr>
          <w:sz w:val="24"/>
        </w:rPr>
        <w:t>all</w:t>
      </w:r>
      <w:r w:rsidRPr="00150EDC">
        <w:rPr>
          <w:spacing w:val="-10"/>
          <w:sz w:val="24"/>
        </w:rPr>
        <w:t xml:space="preserve"> </w:t>
      </w:r>
      <w:r w:rsidRPr="00150EDC">
        <w:rPr>
          <w:sz w:val="24"/>
        </w:rPr>
        <w:t>its</w:t>
      </w:r>
      <w:r w:rsidRPr="00150EDC">
        <w:rPr>
          <w:spacing w:val="-9"/>
          <w:sz w:val="24"/>
        </w:rPr>
        <w:t xml:space="preserve"> </w:t>
      </w:r>
      <w:r w:rsidRPr="00150EDC">
        <w:rPr>
          <w:sz w:val="24"/>
        </w:rPr>
        <w:t>obligations</w:t>
      </w:r>
      <w:r w:rsidRPr="00150EDC">
        <w:rPr>
          <w:spacing w:val="-9"/>
          <w:sz w:val="24"/>
        </w:rPr>
        <w:t xml:space="preserve"> </w:t>
      </w:r>
      <w:r w:rsidRPr="00150EDC">
        <w:rPr>
          <w:sz w:val="24"/>
        </w:rPr>
        <w:t>in</w:t>
      </w:r>
      <w:r w:rsidRPr="00150EDC">
        <w:rPr>
          <w:spacing w:val="-11"/>
          <w:sz w:val="24"/>
        </w:rPr>
        <w:t xml:space="preserve"> </w:t>
      </w:r>
      <w:r w:rsidRPr="00150EDC">
        <w:rPr>
          <w:sz w:val="24"/>
        </w:rPr>
        <w:t>respect</w:t>
      </w:r>
      <w:r w:rsidRPr="00150EDC">
        <w:rPr>
          <w:spacing w:val="-9"/>
          <w:sz w:val="24"/>
        </w:rPr>
        <w:t xml:space="preserve"> </w:t>
      </w:r>
      <w:r w:rsidRPr="00150EDC">
        <w:rPr>
          <w:sz w:val="24"/>
        </w:rPr>
        <w:t>of all the Transferring Supplier Employees arising in respect of the period up to (and</w:t>
      </w:r>
      <w:r w:rsidRPr="00150EDC">
        <w:rPr>
          <w:spacing w:val="-5"/>
          <w:sz w:val="24"/>
        </w:rPr>
        <w:t xml:space="preserve"> </w:t>
      </w:r>
      <w:r w:rsidRPr="00150EDC">
        <w:rPr>
          <w:sz w:val="24"/>
        </w:rPr>
        <w:t>including)</w:t>
      </w:r>
      <w:r w:rsidRPr="00150EDC">
        <w:rPr>
          <w:spacing w:val="-7"/>
          <w:sz w:val="24"/>
        </w:rPr>
        <w:t xml:space="preserve"> </w:t>
      </w:r>
      <w:r w:rsidRPr="00150EDC">
        <w:rPr>
          <w:sz w:val="24"/>
        </w:rPr>
        <w:t>the</w:t>
      </w:r>
      <w:r w:rsidRPr="00150EDC">
        <w:rPr>
          <w:spacing w:val="-8"/>
          <w:sz w:val="24"/>
        </w:rPr>
        <w:t xml:space="preserve"> </w:t>
      </w:r>
      <w:r w:rsidRPr="00150EDC">
        <w:rPr>
          <w:sz w:val="24"/>
        </w:rPr>
        <w:t>Service</w:t>
      </w:r>
      <w:r w:rsidRPr="00150EDC">
        <w:rPr>
          <w:spacing w:val="-5"/>
          <w:sz w:val="24"/>
        </w:rPr>
        <w:t xml:space="preserve"> </w:t>
      </w:r>
      <w:r w:rsidRPr="00150EDC">
        <w:rPr>
          <w:sz w:val="24"/>
        </w:rPr>
        <w:t>Transfer</w:t>
      </w:r>
      <w:r w:rsidRPr="00150EDC">
        <w:rPr>
          <w:spacing w:val="-7"/>
          <w:sz w:val="24"/>
        </w:rPr>
        <w:t xml:space="preserve"> </w:t>
      </w:r>
      <w:r w:rsidRPr="00150EDC">
        <w:rPr>
          <w:sz w:val="24"/>
        </w:rPr>
        <w:t>Date</w:t>
      </w:r>
      <w:r w:rsidRPr="00150EDC">
        <w:rPr>
          <w:spacing w:val="-5"/>
          <w:sz w:val="24"/>
        </w:rPr>
        <w:t xml:space="preserve"> </w:t>
      </w:r>
      <w:r w:rsidRPr="00150EDC">
        <w:rPr>
          <w:sz w:val="24"/>
        </w:rPr>
        <w:t>(including</w:t>
      </w:r>
      <w:r w:rsidRPr="00150EDC">
        <w:rPr>
          <w:spacing w:val="-8"/>
          <w:sz w:val="24"/>
        </w:rPr>
        <w:t xml:space="preserve"> </w:t>
      </w:r>
      <w:r w:rsidRPr="00150EDC">
        <w:rPr>
          <w:sz w:val="24"/>
        </w:rPr>
        <w:t>(without</w:t>
      </w:r>
      <w:r w:rsidRPr="00150EDC">
        <w:rPr>
          <w:spacing w:val="-8"/>
          <w:sz w:val="24"/>
        </w:rPr>
        <w:t xml:space="preserve"> </w:t>
      </w:r>
      <w:r w:rsidRPr="00150EDC">
        <w:rPr>
          <w:sz w:val="24"/>
        </w:rPr>
        <w:t>limit)</w:t>
      </w:r>
      <w:r w:rsidRPr="00150EDC">
        <w:rPr>
          <w:spacing w:val="-9"/>
          <w:sz w:val="24"/>
        </w:rPr>
        <w:t xml:space="preserve"> </w:t>
      </w:r>
      <w:r w:rsidRPr="00150EDC">
        <w:rPr>
          <w:sz w:val="24"/>
        </w:rPr>
        <w:t>the</w:t>
      </w:r>
      <w:r w:rsidRPr="00150EDC">
        <w:rPr>
          <w:spacing w:val="-5"/>
          <w:sz w:val="24"/>
        </w:rPr>
        <w:t xml:space="preserve"> </w:t>
      </w:r>
      <w:r w:rsidRPr="00150EDC">
        <w:rPr>
          <w:sz w:val="24"/>
        </w:rPr>
        <w:t>payment of all remuneration, benefits, entitlements, and outgoings, all wages, accrued</w:t>
      </w:r>
    </w:p>
    <w:p w14:paraId="5F7EA883" w14:textId="77777777" w:rsidR="004C7180" w:rsidRPr="00150EDC" w:rsidRDefault="004C7180">
      <w:pPr>
        <w:jc w:val="both"/>
        <w:rPr>
          <w:sz w:val="24"/>
        </w:rPr>
        <w:sectPr w:rsidR="004C7180" w:rsidRPr="00150EDC">
          <w:pgSz w:w="11910" w:h="16840"/>
          <w:pgMar w:top="1380" w:right="0" w:bottom="1380" w:left="40" w:header="715" w:footer="1192" w:gutter="0"/>
          <w:cols w:space="720"/>
        </w:sectPr>
      </w:pPr>
    </w:p>
    <w:p w14:paraId="19137FFC" w14:textId="77777777" w:rsidR="004C7180" w:rsidRPr="00150EDC" w:rsidRDefault="004C7180">
      <w:pPr>
        <w:pStyle w:val="BodyText"/>
        <w:spacing w:before="5"/>
        <w:rPr>
          <w:sz w:val="15"/>
        </w:rPr>
      </w:pPr>
    </w:p>
    <w:p w14:paraId="1C21AA96" w14:textId="77777777" w:rsidR="004C7180" w:rsidRPr="00150EDC" w:rsidRDefault="00CF0754">
      <w:pPr>
        <w:pStyle w:val="BodyText"/>
        <w:spacing w:before="92"/>
        <w:ind w:left="2120" w:right="1431"/>
        <w:jc w:val="both"/>
      </w:pPr>
      <w:r w:rsidRPr="00150EDC">
        <w:t>but untaken holiday pay, bonuses, commissions, payments ofPAYE, national insurance contributions and pension contributions and all such sums due as</w:t>
      </w:r>
      <w:r w:rsidRPr="00150EDC">
        <w:rPr>
          <w:spacing w:val="-1"/>
        </w:rPr>
        <w:t xml:space="preserve"> </w:t>
      </w:r>
      <w:r w:rsidRPr="00150EDC">
        <w:t>a result of any Fair Deal Employees' participation in the Schemes which in any case</w:t>
      </w:r>
      <w:r w:rsidRPr="00150EDC">
        <w:rPr>
          <w:spacing w:val="-1"/>
        </w:rPr>
        <w:t xml:space="preserve"> </w:t>
      </w:r>
      <w:r w:rsidRPr="00150EDC">
        <w:t>are</w:t>
      </w:r>
      <w:r w:rsidRPr="00150EDC">
        <w:rPr>
          <w:spacing w:val="-3"/>
        </w:rPr>
        <w:t xml:space="preserve"> </w:t>
      </w:r>
      <w:r w:rsidRPr="00150EDC">
        <w:t>attributable</w:t>
      </w:r>
      <w:r w:rsidRPr="00150EDC">
        <w:rPr>
          <w:spacing w:val="-1"/>
        </w:rPr>
        <w:t xml:space="preserve"> </w:t>
      </w:r>
      <w:r w:rsidRPr="00150EDC">
        <w:t>in</w:t>
      </w:r>
      <w:r w:rsidRPr="00150EDC">
        <w:rPr>
          <w:spacing w:val="-3"/>
        </w:rPr>
        <w:t xml:space="preserve"> </w:t>
      </w:r>
      <w:r w:rsidRPr="00150EDC">
        <w:t>whole</w:t>
      </w:r>
      <w:r w:rsidRPr="00150EDC">
        <w:rPr>
          <w:spacing w:val="-1"/>
        </w:rPr>
        <w:t xml:space="preserve"> </w:t>
      </w:r>
      <w:r w:rsidRPr="00150EDC">
        <w:t>or</w:t>
      </w:r>
      <w:r w:rsidRPr="00150EDC">
        <w:rPr>
          <w:spacing w:val="-3"/>
        </w:rPr>
        <w:t xml:space="preserve"> </w:t>
      </w:r>
      <w:r w:rsidRPr="00150EDC">
        <w:t>in</w:t>
      </w:r>
      <w:r w:rsidRPr="00150EDC">
        <w:rPr>
          <w:spacing w:val="-1"/>
        </w:rPr>
        <w:t xml:space="preserve"> </w:t>
      </w:r>
      <w:r w:rsidRPr="00150EDC">
        <w:t>part</w:t>
      </w:r>
      <w:r w:rsidRPr="00150EDC">
        <w:rPr>
          <w:spacing w:val="-1"/>
        </w:rPr>
        <w:t xml:space="preserve"> </w:t>
      </w:r>
      <w:r w:rsidRPr="00150EDC">
        <w:t>to</w:t>
      </w:r>
      <w:r w:rsidRPr="00150EDC">
        <w:rPr>
          <w:spacing w:val="-1"/>
        </w:rPr>
        <w:t xml:space="preserve"> </w:t>
      </w:r>
      <w:r w:rsidRPr="00150EDC">
        <w:t>the</w:t>
      </w:r>
      <w:r w:rsidRPr="00150EDC">
        <w:rPr>
          <w:spacing w:val="-3"/>
        </w:rPr>
        <w:t xml:space="preserve"> </w:t>
      </w:r>
      <w:r w:rsidRPr="00150EDC">
        <w:t>period</w:t>
      </w:r>
      <w:r w:rsidRPr="00150EDC">
        <w:rPr>
          <w:spacing w:val="-1"/>
        </w:rPr>
        <w:t xml:space="preserve"> </w:t>
      </w:r>
      <w:r w:rsidRPr="00150EDC">
        <w:t>ending</w:t>
      </w:r>
      <w:r w:rsidRPr="00150EDC">
        <w:rPr>
          <w:spacing w:val="-1"/>
        </w:rPr>
        <w:t xml:space="preserve"> </w:t>
      </w:r>
      <w:r w:rsidRPr="00150EDC">
        <w:t>on</w:t>
      </w:r>
      <w:r w:rsidRPr="00150EDC">
        <w:rPr>
          <w:spacing w:val="-1"/>
        </w:rPr>
        <w:t xml:space="preserve"> </w:t>
      </w:r>
      <w:r w:rsidRPr="00150EDC">
        <w:t>(and</w:t>
      </w:r>
      <w:r w:rsidRPr="00150EDC">
        <w:rPr>
          <w:spacing w:val="-3"/>
        </w:rPr>
        <w:t xml:space="preserve"> </w:t>
      </w:r>
      <w:r w:rsidRPr="00150EDC">
        <w:t>including) the</w:t>
      </w:r>
      <w:r w:rsidRPr="00150EDC">
        <w:rPr>
          <w:spacing w:val="-15"/>
        </w:rPr>
        <w:t xml:space="preserve"> </w:t>
      </w:r>
      <w:r w:rsidRPr="00150EDC">
        <w:t>Service</w:t>
      </w:r>
      <w:r w:rsidRPr="00150EDC">
        <w:rPr>
          <w:spacing w:val="-13"/>
        </w:rPr>
        <w:t xml:space="preserve"> </w:t>
      </w:r>
      <w:r w:rsidRPr="00150EDC">
        <w:t>Transfer</w:t>
      </w:r>
      <w:r w:rsidRPr="00150EDC">
        <w:rPr>
          <w:spacing w:val="-17"/>
        </w:rPr>
        <w:t xml:space="preserve"> </w:t>
      </w:r>
      <w:r w:rsidRPr="00150EDC">
        <w:t>Date)</w:t>
      </w:r>
      <w:r w:rsidRPr="00150EDC">
        <w:rPr>
          <w:spacing w:val="-17"/>
        </w:rPr>
        <w:t xml:space="preserve"> </w:t>
      </w:r>
      <w:r w:rsidRPr="00150EDC">
        <w:t>and</w:t>
      </w:r>
      <w:r w:rsidRPr="00150EDC">
        <w:rPr>
          <w:spacing w:val="-15"/>
        </w:rPr>
        <w:t xml:space="preserve"> </w:t>
      </w:r>
      <w:r w:rsidRPr="00150EDC">
        <w:t>any</w:t>
      </w:r>
      <w:r w:rsidRPr="00150EDC">
        <w:rPr>
          <w:spacing w:val="-16"/>
        </w:rPr>
        <w:t xml:space="preserve"> </w:t>
      </w:r>
      <w:r w:rsidRPr="00150EDC">
        <w:t>necessary</w:t>
      </w:r>
      <w:r w:rsidRPr="00150EDC">
        <w:rPr>
          <w:spacing w:val="-14"/>
        </w:rPr>
        <w:t xml:space="preserve"> </w:t>
      </w:r>
      <w:r w:rsidRPr="00150EDC">
        <w:t>apportionments</w:t>
      </w:r>
      <w:r w:rsidRPr="00150EDC">
        <w:rPr>
          <w:spacing w:val="-16"/>
        </w:rPr>
        <w:t xml:space="preserve"> </w:t>
      </w:r>
      <w:r w:rsidRPr="00150EDC">
        <w:t>in</w:t>
      </w:r>
      <w:r w:rsidRPr="00150EDC">
        <w:rPr>
          <w:spacing w:val="-13"/>
        </w:rPr>
        <w:t xml:space="preserve"> </w:t>
      </w:r>
      <w:r w:rsidRPr="00150EDC">
        <w:t>respect</w:t>
      </w:r>
      <w:r w:rsidRPr="00150EDC">
        <w:rPr>
          <w:spacing w:val="-16"/>
        </w:rPr>
        <w:t xml:space="preserve"> </w:t>
      </w:r>
      <w:r w:rsidRPr="00150EDC">
        <w:t>of</w:t>
      </w:r>
      <w:r w:rsidRPr="00150EDC">
        <w:rPr>
          <w:spacing w:val="-16"/>
        </w:rPr>
        <w:t xml:space="preserve"> </w:t>
      </w:r>
      <w:r w:rsidRPr="00150EDC">
        <w:t>any periodic payments shall be made between: (i) the Supplier and/or the Subcontractor (as appropriate); and (ii) the Replacement Supplier and/or Replacement Subcontractor.</w:t>
      </w:r>
    </w:p>
    <w:p w14:paraId="5299ED45" w14:textId="77777777" w:rsidR="004C7180" w:rsidRPr="00150EDC" w:rsidRDefault="00CF0754" w:rsidP="00B320C7">
      <w:pPr>
        <w:pStyle w:val="ListParagraph"/>
        <w:numPr>
          <w:ilvl w:val="1"/>
          <w:numId w:val="85"/>
        </w:numPr>
        <w:tabs>
          <w:tab w:val="left" w:pos="2117"/>
          <w:tab w:val="left" w:pos="2120"/>
        </w:tabs>
        <w:spacing w:before="121"/>
        <w:ind w:right="1433"/>
        <w:jc w:val="both"/>
        <w:rPr>
          <w:sz w:val="24"/>
        </w:rPr>
      </w:pPr>
      <w:r w:rsidRPr="00150EDC">
        <w:rPr>
          <w:sz w:val="24"/>
        </w:rPr>
        <w:t>Subject to Paragraph</w:t>
      </w:r>
      <w:r w:rsidRPr="00150EDC">
        <w:rPr>
          <w:spacing w:val="-3"/>
          <w:sz w:val="24"/>
        </w:rPr>
        <w:t xml:space="preserve"> </w:t>
      </w:r>
      <w:r w:rsidRPr="00150EDC">
        <w:rPr>
          <w:sz w:val="24"/>
        </w:rPr>
        <w:t>2.4, the Supplier shall indemnify the Buyer and/or the Replacement Supplier and/or any Replacement Subcontractor against any Employee Liabilities arising from or as a result of:</w:t>
      </w:r>
    </w:p>
    <w:p w14:paraId="7630536B" w14:textId="77777777" w:rsidR="004C7180" w:rsidRPr="00150EDC" w:rsidRDefault="00CF0754" w:rsidP="00B320C7">
      <w:pPr>
        <w:pStyle w:val="ListParagraph"/>
        <w:numPr>
          <w:ilvl w:val="2"/>
          <w:numId w:val="85"/>
        </w:numPr>
        <w:tabs>
          <w:tab w:val="left" w:pos="3612"/>
          <w:tab w:val="left" w:pos="3677"/>
        </w:tabs>
        <w:spacing w:before="120"/>
        <w:ind w:right="1434"/>
        <w:jc w:val="both"/>
        <w:rPr>
          <w:sz w:val="24"/>
        </w:rPr>
      </w:pPr>
      <w:r w:rsidRPr="00150EDC">
        <w:rPr>
          <w:rFonts w:ascii="Times New Roman"/>
          <w:sz w:val="24"/>
        </w:rPr>
        <w:tab/>
      </w:r>
      <w:r w:rsidRPr="00150EDC">
        <w:rPr>
          <w:sz w:val="24"/>
        </w:rPr>
        <w:t>any act or omission of the Supplier or any Subcontractor in respect of any Transferring Supplier Employee or any appropriate employee representative (as defined in the Employment</w:t>
      </w:r>
      <w:r w:rsidRPr="00150EDC">
        <w:rPr>
          <w:spacing w:val="-17"/>
          <w:sz w:val="24"/>
        </w:rPr>
        <w:t xml:space="preserve"> </w:t>
      </w:r>
      <w:r w:rsidRPr="00150EDC">
        <w:rPr>
          <w:sz w:val="24"/>
        </w:rPr>
        <w:t>Regulations)</w:t>
      </w:r>
      <w:r w:rsidRPr="00150EDC">
        <w:rPr>
          <w:spacing w:val="-17"/>
          <w:sz w:val="24"/>
        </w:rPr>
        <w:t xml:space="preserve"> </w:t>
      </w:r>
      <w:r w:rsidRPr="00150EDC">
        <w:rPr>
          <w:sz w:val="24"/>
        </w:rPr>
        <w:t>of</w:t>
      </w:r>
      <w:r w:rsidRPr="00150EDC">
        <w:rPr>
          <w:spacing w:val="-16"/>
          <w:sz w:val="24"/>
        </w:rPr>
        <w:t xml:space="preserve"> </w:t>
      </w:r>
      <w:r w:rsidRPr="00150EDC">
        <w:rPr>
          <w:sz w:val="24"/>
        </w:rPr>
        <w:t>any</w:t>
      </w:r>
      <w:r w:rsidRPr="00150EDC">
        <w:rPr>
          <w:spacing w:val="-17"/>
          <w:sz w:val="24"/>
        </w:rPr>
        <w:t xml:space="preserve"> </w:t>
      </w:r>
      <w:r w:rsidRPr="00150EDC">
        <w:rPr>
          <w:sz w:val="24"/>
        </w:rPr>
        <w:t>Transferring</w:t>
      </w:r>
      <w:r w:rsidRPr="00150EDC">
        <w:rPr>
          <w:spacing w:val="-17"/>
          <w:sz w:val="24"/>
        </w:rPr>
        <w:t xml:space="preserve"> </w:t>
      </w:r>
      <w:r w:rsidRPr="00150EDC">
        <w:rPr>
          <w:sz w:val="24"/>
        </w:rPr>
        <w:t>Supplier</w:t>
      </w:r>
      <w:r w:rsidRPr="00150EDC">
        <w:rPr>
          <w:spacing w:val="-17"/>
          <w:sz w:val="24"/>
        </w:rPr>
        <w:t xml:space="preserve"> </w:t>
      </w:r>
      <w:r w:rsidRPr="00150EDC">
        <w:rPr>
          <w:sz w:val="24"/>
        </w:rPr>
        <w:t>Employee whether occurring before, on or after the Service Transfer Date;</w:t>
      </w:r>
    </w:p>
    <w:p w14:paraId="36FD2A88" w14:textId="77777777" w:rsidR="004C7180" w:rsidRPr="00150EDC" w:rsidRDefault="00CF0754" w:rsidP="00B320C7">
      <w:pPr>
        <w:pStyle w:val="ListParagraph"/>
        <w:numPr>
          <w:ilvl w:val="2"/>
          <w:numId w:val="85"/>
        </w:numPr>
        <w:tabs>
          <w:tab w:val="left" w:pos="3612"/>
        </w:tabs>
        <w:spacing w:before="120"/>
        <w:ind w:right="1435"/>
        <w:jc w:val="both"/>
        <w:rPr>
          <w:sz w:val="24"/>
        </w:rPr>
      </w:pPr>
      <w:r w:rsidRPr="00150EDC">
        <w:rPr>
          <w:sz w:val="24"/>
        </w:rPr>
        <w:t xml:space="preserve">the breach or non-observance by the Supplier or any Subcontractor occurring on or before the Service Transfer Date </w:t>
      </w:r>
      <w:r w:rsidRPr="00150EDC">
        <w:rPr>
          <w:spacing w:val="-4"/>
          <w:sz w:val="24"/>
        </w:rPr>
        <w:t>of:</w:t>
      </w:r>
    </w:p>
    <w:p w14:paraId="29556439" w14:textId="77777777" w:rsidR="004C7180" w:rsidRPr="00150EDC" w:rsidRDefault="00CF0754" w:rsidP="00B320C7">
      <w:pPr>
        <w:pStyle w:val="ListParagraph"/>
        <w:numPr>
          <w:ilvl w:val="3"/>
          <w:numId w:val="85"/>
        </w:numPr>
        <w:tabs>
          <w:tab w:val="left" w:pos="4803"/>
        </w:tabs>
        <w:spacing w:before="122" w:line="237" w:lineRule="auto"/>
        <w:ind w:right="1432"/>
        <w:jc w:val="both"/>
        <w:rPr>
          <w:rFonts w:ascii="Trebuchet MS"/>
          <w:sz w:val="24"/>
        </w:rPr>
      </w:pPr>
      <w:r w:rsidRPr="00150EDC">
        <w:rPr>
          <w:sz w:val="24"/>
        </w:rPr>
        <w:t>any collective agreement applicable to the Transferring Supplier Employees; and/or</w:t>
      </w:r>
    </w:p>
    <w:p w14:paraId="4BF296C1" w14:textId="77777777" w:rsidR="004C7180" w:rsidRPr="00150EDC" w:rsidRDefault="004C7180">
      <w:pPr>
        <w:pStyle w:val="BodyText"/>
        <w:spacing w:before="10"/>
        <w:rPr>
          <w:sz w:val="20"/>
        </w:rPr>
      </w:pPr>
    </w:p>
    <w:p w14:paraId="348E3EDC" w14:textId="77777777" w:rsidR="004C7180" w:rsidRPr="00150EDC" w:rsidRDefault="00CF0754" w:rsidP="00B320C7">
      <w:pPr>
        <w:pStyle w:val="ListParagraph"/>
        <w:numPr>
          <w:ilvl w:val="3"/>
          <w:numId w:val="85"/>
        </w:numPr>
        <w:tabs>
          <w:tab w:val="left" w:pos="4803"/>
        </w:tabs>
        <w:ind w:right="1434"/>
        <w:jc w:val="both"/>
        <w:rPr>
          <w:rFonts w:ascii="Trebuchet MS"/>
          <w:sz w:val="24"/>
        </w:rPr>
      </w:pPr>
      <w:bookmarkStart w:id="18" w:name="(b)_any_other_custom_or_practice_with_a_"/>
      <w:bookmarkEnd w:id="18"/>
      <w:r w:rsidRPr="00150EDC">
        <w:rPr>
          <w:sz w:val="24"/>
        </w:rPr>
        <w:t>any</w:t>
      </w:r>
      <w:r w:rsidRPr="00150EDC">
        <w:rPr>
          <w:spacing w:val="-17"/>
          <w:sz w:val="24"/>
        </w:rPr>
        <w:t xml:space="preserve"> </w:t>
      </w:r>
      <w:r w:rsidRPr="00150EDC">
        <w:rPr>
          <w:sz w:val="24"/>
        </w:rPr>
        <w:t>other</w:t>
      </w:r>
      <w:r w:rsidRPr="00150EDC">
        <w:rPr>
          <w:spacing w:val="-17"/>
          <w:sz w:val="24"/>
        </w:rPr>
        <w:t xml:space="preserve"> </w:t>
      </w:r>
      <w:r w:rsidRPr="00150EDC">
        <w:rPr>
          <w:sz w:val="24"/>
        </w:rPr>
        <w:t>custom</w:t>
      </w:r>
      <w:r w:rsidRPr="00150EDC">
        <w:rPr>
          <w:spacing w:val="-16"/>
          <w:sz w:val="24"/>
        </w:rPr>
        <w:t xml:space="preserve"> </w:t>
      </w:r>
      <w:r w:rsidRPr="00150EDC">
        <w:rPr>
          <w:sz w:val="24"/>
        </w:rPr>
        <w:t>or</w:t>
      </w:r>
      <w:r w:rsidRPr="00150EDC">
        <w:rPr>
          <w:spacing w:val="-17"/>
          <w:sz w:val="24"/>
        </w:rPr>
        <w:t xml:space="preserve"> </w:t>
      </w:r>
      <w:r w:rsidRPr="00150EDC">
        <w:rPr>
          <w:sz w:val="24"/>
        </w:rPr>
        <w:t>practice</w:t>
      </w:r>
      <w:r w:rsidRPr="00150EDC">
        <w:rPr>
          <w:spacing w:val="-17"/>
          <w:sz w:val="24"/>
        </w:rPr>
        <w:t xml:space="preserve"> </w:t>
      </w:r>
      <w:r w:rsidRPr="00150EDC">
        <w:rPr>
          <w:sz w:val="24"/>
        </w:rPr>
        <w:t>with</w:t>
      </w:r>
      <w:r w:rsidRPr="00150EDC">
        <w:rPr>
          <w:spacing w:val="-17"/>
          <w:sz w:val="24"/>
        </w:rPr>
        <w:t xml:space="preserve"> </w:t>
      </w:r>
      <w:r w:rsidRPr="00150EDC">
        <w:rPr>
          <w:sz w:val="24"/>
        </w:rPr>
        <w:t>a</w:t>
      </w:r>
      <w:r w:rsidRPr="00150EDC">
        <w:rPr>
          <w:spacing w:val="-16"/>
          <w:sz w:val="24"/>
        </w:rPr>
        <w:t xml:space="preserve"> </w:t>
      </w:r>
      <w:r w:rsidRPr="00150EDC">
        <w:rPr>
          <w:sz w:val="24"/>
        </w:rPr>
        <w:t>trade</w:t>
      </w:r>
      <w:r w:rsidRPr="00150EDC">
        <w:rPr>
          <w:spacing w:val="-17"/>
          <w:sz w:val="24"/>
        </w:rPr>
        <w:t xml:space="preserve"> </w:t>
      </w:r>
      <w:r w:rsidRPr="00150EDC">
        <w:rPr>
          <w:sz w:val="24"/>
        </w:rPr>
        <w:t>union</w:t>
      </w:r>
      <w:r w:rsidRPr="00150EDC">
        <w:rPr>
          <w:spacing w:val="-17"/>
          <w:sz w:val="24"/>
        </w:rPr>
        <w:t xml:space="preserve"> </w:t>
      </w:r>
      <w:r w:rsidRPr="00150EDC">
        <w:rPr>
          <w:sz w:val="24"/>
        </w:rPr>
        <w:t>or</w:t>
      </w:r>
      <w:r w:rsidRPr="00150EDC">
        <w:rPr>
          <w:spacing w:val="-16"/>
          <w:sz w:val="24"/>
        </w:rPr>
        <w:t xml:space="preserve"> </w:t>
      </w:r>
      <w:r w:rsidRPr="00150EDC">
        <w:rPr>
          <w:sz w:val="24"/>
        </w:rPr>
        <w:t>staff association in respect of any Transferring Supplier Employees which the Supplier or any Subcontractor is contractually bound to honour;</w:t>
      </w:r>
    </w:p>
    <w:p w14:paraId="500E421B" w14:textId="77777777" w:rsidR="004C7180" w:rsidRPr="00150EDC" w:rsidRDefault="004C7180">
      <w:pPr>
        <w:pStyle w:val="BodyText"/>
        <w:spacing w:before="8"/>
        <w:rPr>
          <w:sz w:val="20"/>
        </w:rPr>
      </w:pPr>
    </w:p>
    <w:p w14:paraId="4E0AEAE3" w14:textId="77777777" w:rsidR="004C7180" w:rsidRPr="00150EDC" w:rsidRDefault="00CF0754" w:rsidP="00B320C7">
      <w:pPr>
        <w:pStyle w:val="ListParagraph"/>
        <w:numPr>
          <w:ilvl w:val="2"/>
          <w:numId w:val="85"/>
        </w:numPr>
        <w:tabs>
          <w:tab w:val="left" w:pos="3612"/>
        </w:tabs>
        <w:ind w:right="1435"/>
        <w:jc w:val="both"/>
        <w:rPr>
          <w:sz w:val="24"/>
        </w:rPr>
      </w:pPr>
      <w:r w:rsidRPr="00150EDC">
        <w:rPr>
          <w:sz w:val="24"/>
        </w:rPr>
        <w:t>any claim by any trade union or other body or person representing any Transferring Supplier Employees arising from or connected with any failure by the Supplier or a Subcontractor to comply with any legal obligation to such trade union, body or person arising on or before the Service Transfer Date;</w:t>
      </w:r>
    </w:p>
    <w:p w14:paraId="13E1E195" w14:textId="77777777" w:rsidR="004C7180" w:rsidRPr="00150EDC" w:rsidRDefault="00CF0754" w:rsidP="00B320C7">
      <w:pPr>
        <w:pStyle w:val="ListParagraph"/>
        <w:numPr>
          <w:ilvl w:val="2"/>
          <w:numId w:val="85"/>
        </w:numPr>
        <w:tabs>
          <w:tab w:val="left" w:pos="3612"/>
        </w:tabs>
        <w:spacing w:before="120"/>
        <w:ind w:right="1436"/>
        <w:jc w:val="both"/>
        <w:rPr>
          <w:sz w:val="24"/>
        </w:rPr>
      </w:pPr>
      <w:r w:rsidRPr="00150EDC">
        <w:rPr>
          <w:sz w:val="24"/>
        </w:rPr>
        <w:t xml:space="preserve">any proceeding, claim or demand by HMRC or other statutory authority in respect of any financial obligation including, but not limited to, PAYE and primary and secondary national insurance </w:t>
      </w:r>
      <w:r w:rsidRPr="00150EDC">
        <w:rPr>
          <w:spacing w:val="-2"/>
          <w:sz w:val="24"/>
        </w:rPr>
        <w:t>contributions:</w:t>
      </w:r>
    </w:p>
    <w:p w14:paraId="5B97BFCF" w14:textId="77777777" w:rsidR="004C7180" w:rsidRPr="00150EDC" w:rsidRDefault="00CF0754" w:rsidP="00B320C7">
      <w:pPr>
        <w:pStyle w:val="ListParagraph"/>
        <w:numPr>
          <w:ilvl w:val="3"/>
          <w:numId w:val="85"/>
        </w:numPr>
        <w:tabs>
          <w:tab w:val="left" w:pos="4803"/>
        </w:tabs>
        <w:spacing w:before="120"/>
        <w:ind w:right="1433"/>
        <w:jc w:val="both"/>
        <w:rPr>
          <w:sz w:val="24"/>
        </w:rPr>
      </w:pPr>
      <w:r w:rsidRPr="00150EDC">
        <w:rPr>
          <w:sz w:val="24"/>
        </w:rPr>
        <w:t>in relation to any Transferring Supplier Employee, to the extent that the proceeding, claim or demand by HMRC or other statutory authority relates</w:t>
      </w:r>
      <w:r w:rsidRPr="00150EDC">
        <w:rPr>
          <w:spacing w:val="-2"/>
          <w:sz w:val="24"/>
        </w:rPr>
        <w:t xml:space="preserve"> </w:t>
      </w:r>
      <w:r w:rsidRPr="00150EDC">
        <w:rPr>
          <w:sz w:val="24"/>
        </w:rPr>
        <w:t>to financial obligations</w:t>
      </w:r>
      <w:r w:rsidRPr="00150EDC">
        <w:rPr>
          <w:spacing w:val="-16"/>
          <w:sz w:val="24"/>
        </w:rPr>
        <w:t xml:space="preserve"> </w:t>
      </w:r>
      <w:r w:rsidRPr="00150EDC">
        <w:rPr>
          <w:sz w:val="24"/>
        </w:rPr>
        <w:t>arising</w:t>
      </w:r>
      <w:r w:rsidRPr="00150EDC">
        <w:rPr>
          <w:spacing w:val="-15"/>
          <w:sz w:val="24"/>
        </w:rPr>
        <w:t xml:space="preserve"> </w:t>
      </w:r>
      <w:r w:rsidRPr="00150EDC">
        <w:rPr>
          <w:sz w:val="24"/>
        </w:rPr>
        <w:t>on</w:t>
      </w:r>
      <w:r w:rsidRPr="00150EDC">
        <w:rPr>
          <w:spacing w:val="-15"/>
          <w:sz w:val="24"/>
        </w:rPr>
        <w:t xml:space="preserve"> </w:t>
      </w:r>
      <w:r w:rsidRPr="00150EDC">
        <w:rPr>
          <w:sz w:val="24"/>
        </w:rPr>
        <w:t>and</w:t>
      </w:r>
      <w:r w:rsidRPr="00150EDC">
        <w:rPr>
          <w:spacing w:val="-15"/>
          <w:sz w:val="24"/>
        </w:rPr>
        <w:t xml:space="preserve"> </w:t>
      </w:r>
      <w:r w:rsidRPr="00150EDC">
        <w:rPr>
          <w:sz w:val="24"/>
        </w:rPr>
        <w:t>before</w:t>
      </w:r>
      <w:r w:rsidRPr="00150EDC">
        <w:rPr>
          <w:spacing w:val="-13"/>
          <w:sz w:val="24"/>
        </w:rPr>
        <w:t xml:space="preserve"> </w:t>
      </w:r>
      <w:r w:rsidRPr="00150EDC">
        <w:rPr>
          <w:sz w:val="24"/>
        </w:rPr>
        <w:t>the</w:t>
      </w:r>
      <w:r w:rsidRPr="00150EDC">
        <w:rPr>
          <w:spacing w:val="-15"/>
          <w:sz w:val="24"/>
        </w:rPr>
        <w:t xml:space="preserve"> </w:t>
      </w:r>
      <w:r w:rsidRPr="00150EDC">
        <w:rPr>
          <w:sz w:val="24"/>
        </w:rPr>
        <w:t>Service</w:t>
      </w:r>
      <w:r w:rsidRPr="00150EDC">
        <w:rPr>
          <w:spacing w:val="-15"/>
          <w:sz w:val="24"/>
        </w:rPr>
        <w:t xml:space="preserve"> </w:t>
      </w:r>
      <w:r w:rsidRPr="00150EDC">
        <w:rPr>
          <w:sz w:val="24"/>
        </w:rPr>
        <w:t>Transfer Date; and</w:t>
      </w:r>
    </w:p>
    <w:p w14:paraId="67A64841" w14:textId="77777777" w:rsidR="004C7180" w:rsidRPr="00150EDC" w:rsidRDefault="004C7180">
      <w:pPr>
        <w:jc w:val="both"/>
        <w:rPr>
          <w:sz w:val="24"/>
        </w:rPr>
        <w:sectPr w:rsidR="004C7180" w:rsidRPr="00150EDC">
          <w:pgSz w:w="11910" w:h="16840"/>
          <w:pgMar w:top="1380" w:right="0" w:bottom="1380" w:left="40" w:header="715" w:footer="1192" w:gutter="0"/>
          <w:cols w:space="720"/>
        </w:sectPr>
      </w:pPr>
    </w:p>
    <w:p w14:paraId="712EE091" w14:textId="77777777" w:rsidR="004C7180" w:rsidRPr="00150EDC" w:rsidRDefault="004C7180">
      <w:pPr>
        <w:pStyle w:val="BodyText"/>
        <w:spacing w:before="8"/>
        <w:rPr>
          <w:sz w:val="14"/>
        </w:rPr>
      </w:pPr>
    </w:p>
    <w:p w14:paraId="2E6A1DA7" w14:textId="77777777" w:rsidR="004C7180" w:rsidRPr="00150EDC" w:rsidRDefault="00CF0754" w:rsidP="00B320C7">
      <w:pPr>
        <w:pStyle w:val="ListParagraph"/>
        <w:numPr>
          <w:ilvl w:val="3"/>
          <w:numId w:val="85"/>
        </w:numPr>
        <w:tabs>
          <w:tab w:val="left" w:pos="4803"/>
        </w:tabs>
        <w:spacing w:before="101"/>
        <w:ind w:right="1432"/>
        <w:jc w:val="both"/>
        <w:rPr>
          <w:sz w:val="24"/>
        </w:rPr>
      </w:pPr>
      <w:r w:rsidRPr="00150EDC">
        <w:rPr>
          <w:sz w:val="24"/>
        </w:rPr>
        <w:t>in</w:t>
      </w:r>
      <w:r w:rsidRPr="00150EDC">
        <w:rPr>
          <w:spacing w:val="-10"/>
          <w:sz w:val="24"/>
        </w:rPr>
        <w:t xml:space="preserve"> </w:t>
      </w:r>
      <w:r w:rsidRPr="00150EDC">
        <w:rPr>
          <w:sz w:val="24"/>
        </w:rPr>
        <w:t>relation</w:t>
      </w:r>
      <w:r w:rsidRPr="00150EDC">
        <w:rPr>
          <w:spacing w:val="-12"/>
          <w:sz w:val="24"/>
        </w:rPr>
        <w:t xml:space="preserve"> </w:t>
      </w:r>
      <w:r w:rsidRPr="00150EDC">
        <w:rPr>
          <w:sz w:val="24"/>
        </w:rPr>
        <w:t>to</w:t>
      </w:r>
      <w:r w:rsidRPr="00150EDC">
        <w:rPr>
          <w:spacing w:val="-12"/>
          <w:sz w:val="24"/>
        </w:rPr>
        <w:t xml:space="preserve"> </w:t>
      </w:r>
      <w:r w:rsidRPr="00150EDC">
        <w:rPr>
          <w:sz w:val="24"/>
        </w:rPr>
        <w:t>any</w:t>
      </w:r>
      <w:r w:rsidRPr="00150EDC">
        <w:rPr>
          <w:spacing w:val="-13"/>
          <w:sz w:val="24"/>
        </w:rPr>
        <w:t xml:space="preserve"> </w:t>
      </w:r>
      <w:r w:rsidRPr="00150EDC">
        <w:rPr>
          <w:sz w:val="24"/>
        </w:rPr>
        <w:t>employee</w:t>
      </w:r>
      <w:r w:rsidRPr="00150EDC">
        <w:rPr>
          <w:spacing w:val="-10"/>
          <w:sz w:val="24"/>
        </w:rPr>
        <w:t xml:space="preserve"> </w:t>
      </w:r>
      <w:r w:rsidRPr="00150EDC">
        <w:rPr>
          <w:sz w:val="24"/>
        </w:rPr>
        <w:t>who</w:t>
      </w:r>
      <w:r w:rsidRPr="00150EDC">
        <w:rPr>
          <w:spacing w:val="-10"/>
          <w:sz w:val="24"/>
        </w:rPr>
        <w:t xml:space="preserve"> </w:t>
      </w:r>
      <w:r w:rsidRPr="00150EDC">
        <w:rPr>
          <w:sz w:val="24"/>
        </w:rPr>
        <w:t>is</w:t>
      </w:r>
      <w:r w:rsidRPr="00150EDC">
        <w:rPr>
          <w:spacing w:val="-11"/>
          <w:sz w:val="24"/>
        </w:rPr>
        <w:t xml:space="preserve"> </w:t>
      </w:r>
      <w:r w:rsidRPr="00150EDC">
        <w:rPr>
          <w:sz w:val="24"/>
        </w:rPr>
        <w:t>not</w:t>
      </w:r>
      <w:r w:rsidRPr="00150EDC">
        <w:rPr>
          <w:spacing w:val="-11"/>
          <w:sz w:val="24"/>
        </w:rPr>
        <w:t xml:space="preserve"> </w:t>
      </w:r>
      <w:r w:rsidRPr="00150EDC">
        <w:rPr>
          <w:sz w:val="24"/>
        </w:rPr>
        <w:t>identified</w:t>
      </w:r>
      <w:r w:rsidRPr="00150EDC">
        <w:rPr>
          <w:spacing w:val="-10"/>
          <w:sz w:val="24"/>
        </w:rPr>
        <w:t xml:space="preserve"> </w:t>
      </w:r>
      <w:r w:rsidRPr="00150EDC">
        <w:rPr>
          <w:sz w:val="24"/>
        </w:rPr>
        <w:t>in</w:t>
      </w:r>
      <w:r w:rsidRPr="00150EDC">
        <w:rPr>
          <w:spacing w:val="-10"/>
          <w:sz w:val="24"/>
        </w:rPr>
        <w:t xml:space="preserve"> </w:t>
      </w:r>
      <w:r w:rsidRPr="00150EDC">
        <w:rPr>
          <w:sz w:val="24"/>
        </w:rPr>
        <w:t>the Supplier’s Final Supplier Personnel List, and in respect of whom it is later alleged or determined that the</w:t>
      </w:r>
      <w:r w:rsidRPr="00150EDC">
        <w:rPr>
          <w:spacing w:val="-15"/>
          <w:sz w:val="24"/>
        </w:rPr>
        <w:t xml:space="preserve"> </w:t>
      </w:r>
      <w:r w:rsidRPr="00150EDC">
        <w:rPr>
          <w:sz w:val="24"/>
        </w:rPr>
        <w:t>Employment</w:t>
      </w:r>
      <w:r w:rsidRPr="00150EDC">
        <w:rPr>
          <w:spacing w:val="-13"/>
          <w:sz w:val="24"/>
        </w:rPr>
        <w:t xml:space="preserve"> </w:t>
      </w:r>
      <w:r w:rsidRPr="00150EDC">
        <w:rPr>
          <w:sz w:val="24"/>
        </w:rPr>
        <w:t>Regulations</w:t>
      </w:r>
      <w:r w:rsidRPr="00150EDC">
        <w:rPr>
          <w:spacing w:val="-16"/>
          <w:sz w:val="24"/>
        </w:rPr>
        <w:t xml:space="preserve"> </w:t>
      </w:r>
      <w:r w:rsidRPr="00150EDC">
        <w:rPr>
          <w:sz w:val="24"/>
        </w:rPr>
        <w:t>applied</w:t>
      </w:r>
      <w:r w:rsidRPr="00150EDC">
        <w:rPr>
          <w:spacing w:val="-15"/>
          <w:sz w:val="24"/>
        </w:rPr>
        <w:t xml:space="preserve"> </w:t>
      </w:r>
      <w:r w:rsidRPr="00150EDC">
        <w:rPr>
          <w:sz w:val="24"/>
        </w:rPr>
        <w:t>so</w:t>
      </w:r>
      <w:r w:rsidRPr="00150EDC">
        <w:rPr>
          <w:spacing w:val="-15"/>
          <w:sz w:val="24"/>
        </w:rPr>
        <w:t xml:space="preserve"> </w:t>
      </w:r>
      <w:r w:rsidRPr="00150EDC">
        <w:rPr>
          <w:sz w:val="24"/>
        </w:rPr>
        <w:t>as</w:t>
      </w:r>
      <w:r w:rsidRPr="00150EDC">
        <w:rPr>
          <w:spacing w:val="-16"/>
          <w:sz w:val="24"/>
        </w:rPr>
        <w:t xml:space="preserve"> </w:t>
      </w:r>
      <w:r w:rsidRPr="00150EDC">
        <w:rPr>
          <w:sz w:val="24"/>
        </w:rPr>
        <w:t>to</w:t>
      </w:r>
      <w:r w:rsidRPr="00150EDC">
        <w:rPr>
          <w:spacing w:val="-17"/>
          <w:sz w:val="24"/>
        </w:rPr>
        <w:t xml:space="preserve"> </w:t>
      </w:r>
      <w:r w:rsidRPr="00150EDC">
        <w:rPr>
          <w:sz w:val="24"/>
        </w:rPr>
        <w:t>transfer his/her employment from the Supplier to the Buyer and/or Replacement Supplier and/or any Replacement Subcontractor, to the extent that the proceeding, claim or demand by HMRC or other statutory authority relates to financial obligations arising on or before the Service Transfer Date;</w:t>
      </w:r>
    </w:p>
    <w:p w14:paraId="380056A0" w14:textId="77777777" w:rsidR="004C7180" w:rsidRPr="00150EDC" w:rsidRDefault="004C7180">
      <w:pPr>
        <w:pStyle w:val="BodyText"/>
        <w:spacing w:before="7"/>
        <w:rPr>
          <w:sz w:val="20"/>
        </w:rPr>
      </w:pPr>
    </w:p>
    <w:p w14:paraId="0008127E" w14:textId="77777777" w:rsidR="004C7180" w:rsidRPr="00150EDC" w:rsidRDefault="00CF0754" w:rsidP="00B320C7">
      <w:pPr>
        <w:pStyle w:val="ListParagraph"/>
        <w:numPr>
          <w:ilvl w:val="2"/>
          <w:numId w:val="85"/>
        </w:numPr>
        <w:tabs>
          <w:tab w:val="left" w:pos="3612"/>
        </w:tabs>
        <w:ind w:right="1433"/>
        <w:jc w:val="both"/>
        <w:rPr>
          <w:sz w:val="24"/>
        </w:rPr>
      </w:pPr>
      <w:r w:rsidRPr="00150EDC">
        <w:rPr>
          <w:sz w:val="24"/>
        </w:rPr>
        <w:t>a failure of the Supplier or any Subcontractor to discharge or procure</w:t>
      </w:r>
      <w:r w:rsidRPr="00150EDC">
        <w:rPr>
          <w:spacing w:val="-12"/>
          <w:sz w:val="24"/>
        </w:rPr>
        <w:t xml:space="preserve"> </w:t>
      </w:r>
      <w:r w:rsidRPr="00150EDC">
        <w:rPr>
          <w:sz w:val="24"/>
        </w:rPr>
        <w:t>the</w:t>
      </w:r>
      <w:r w:rsidRPr="00150EDC">
        <w:rPr>
          <w:spacing w:val="-14"/>
          <w:sz w:val="24"/>
        </w:rPr>
        <w:t xml:space="preserve"> </w:t>
      </w:r>
      <w:r w:rsidRPr="00150EDC">
        <w:rPr>
          <w:sz w:val="24"/>
        </w:rPr>
        <w:t>discharge</w:t>
      </w:r>
      <w:r w:rsidRPr="00150EDC">
        <w:rPr>
          <w:spacing w:val="-14"/>
          <w:sz w:val="24"/>
        </w:rPr>
        <w:t xml:space="preserve"> </w:t>
      </w:r>
      <w:r w:rsidRPr="00150EDC">
        <w:rPr>
          <w:sz w:val="24"/>
        </w:rPr>
        <w:t>of</w:t>
      </w:r>
      <w:r w:rsidRPr="00150EDC">
        <w:rPr>
          <w:spacing w:val="-12"/>
          <w:sz w:val="24"/>
        </w:rPr>
        <w:t xml:space="preserve"> </w:t>
      </w:r>
      <w:r w:rsidRPr="00150EDC">
        <w:rPr>
          <w:sz w:val="24"/>
        </w:rPr>
        <w:t>all</w:t>
      </w:r>
      <w:r w:rsidRPr="00150EDC">
        <w:rPr>
          <w:spacing w:val="-13"/>
          <w:sz w:val="24"/>
        </w:rPr>
        <w:t xml:space="preserve"> </w:t>
      </w:r>
      <w:r w:rsidRPr="00150EDC">
        <w:rPr>
          <w:sz w:val="24"/>
        </w:rPr>
        <w:t>wages,</w:t>
      </w:r>
      <w:r w:rsidRPr="00150EDC">
        <w:rPr>
          <w:spacing w:val="-14"/>
          <w:sz w:val="24"/>
        </w:rPr>
        <w:t xml:space="preserve"> </w:t>
      </w:r>
      <w:r w:rsidRPr="00150EDC">
        <w:rPr>
          <w:sz w:val="24"/>
        </w:rPr>
        <w:t>salaries</w:t>
      </w:r>
      <w:r w:rsidRPr="00150EDC">
        <w:rPr>
          <w:spacing w:val="-15"/>
          <w:sz w:val="24"/>
        </w:rPr>
        <w:t xml:space="preserve"> </w:t>
      </w:r>
      <w:r w:rsidRPr="00150EDC">
        <w:rPr>
          <w:sz w:val="24"/>
        </w:rPr>
        <w:t>and</w:t>
      </w:r>
      <w:r w:rsidRPr="00150EDC">
        <w:rPr>
          <w:spacing w:val="-12"/>
          <w:sz w:val="24"/>
        </w:rPr>
        <w:t xml:space="preserve"> </w:t>
      </w:r>
      <w:r w:rsidRPr="00150EDC">
        <w:rPr>
          <w:sz w:val="24"/>
        </w:rPr>
        <w:t>all</w:t>
      </w:r>
      <w:r w:rsidRPr="00150EDC">
        <w:rPr>
          <w:spacing w:val="-15"/>
          <w:sz w:val="24"/>
        </w:rPr>
        <w:t xml:space="preserve"> </w:t>
      </w:r>
      <w:r w:rsidRPr="00150EDC">
        <w:rPr>
          <w:sz w:val="24"/>
        </w:rPr>
        <w:t>other</w:t>
      </w:r>
      <w:r w:rsidRPr="00150EDC">
        <w:rPr>
          <w:spacing w:val="-13"/>
          <w:sz w:val="24"/>
        </w:rPr>
        <w:t xml:space="preserve"> </w:t>
      </w:r>
      <w:r w:rsidRPr="00150EDC">
        <w:rPr>
          <w:sz w:val="24"/>
        </w:rPr>
        <w:t>benefits and</w:t>
      </w:r>
      <w:r w:rsidRPr="00150EDC">
        <w:rPr>
          <w:spacing w:val="-17"/>
          <w:sz w:val="24"/>
        </w:rPr>
        <w:t xml:space="preserve"> </w:t>
      </w:r>
      <w:r w:rsidRPr="00150EDC">
        <w:rPr>
          <w:sz w:val="24"/>
        </w:rPr>
        <w:t>all</w:t>
      </w:r>
      <w:r w:rsidRPr="00150EDC">
        <w:rPr>
          <w:spacing w:val="-17"/>
          <w:sz w:val="24"/>
        </w:rPr>
        <w:t xml:space="preserve"> </w:t>
      </w:r>
      <w:r w:rsidRPr="00150EDC">
        <w:rPr>
          <w:sz w:val="24"/>
        </w:rPr>
        <w:t>PAYE</w:t>
      </w:r>
      <w:r w:rsidRPr="00150EDC">
        <w:rPr>
          <w:spacing w:val="-16"/>
          <w:sz w:val="24"/>
        </w:rPr>
        <w:t xml:space="preserve"> </w:t>
      </w:r>
      <w:r w:rsidRPr="00150EDC">
        <w:rPr>
          <w:sz w:val="24"/>
        </w:rPr>
        <w:t>tax</w:t>
      </w:r>
      <w:r w:rsidRPr="00150EDC">
        <w:rPr>
          <w:spacing w:val="-17"/>
          <w:sz w:val="24"/>
        </w:rPr>
        <w:t xml:space="preserve"> </w:t>
      </w:r>
      <w:r w:rsidRPr="00150EDC">
        <w:rPr>
          <w:sz w:val="24"/>
        </w:rPr>
        <w:t>deductions</w:t>
      </w:r>
      <w:r w:rsidRPr="00150EDC">
        <w:rPr>
          <w:spacing w:val="-17"/>
          <w:sz w:val="24"/>
        </w:rPr>
        <w:t xml:space="preserve"> </w:t>
      </w:r>
      <w:r w:rsidRPr="00150EDC">
        <w:rPr>
          <w:sz w:val="24"/>
        </w:rPr>
        <w:t>and</w:t>
      </w:r>
      <w:r w:rsidRPr="00150EDC">
        <w:rPr>
          <w:spacing w:val="-17"/>
          <w:sz w:val="24"/>
        </w:rPr>
        <w:t xml:space="preserve"> </w:t>
      </w:r>
      <w:r w:rsidRPr="00150EDC">
        <w:rPr>
          <w:sz w:val="24"/>
        </w:rPr>
        <w:t>national</w:t>
      </w:r>
      <w:r w:rsidRPr="00150EDC">
        <w:rPr>
          <w:spacing w:val="-16"/>
          <w:sz w:val="24"/>
        </w:rPr>
        <w:t xml:space="preserve"> </w:t>
      </w:r>
      <w:r w:rsidRPr="00150EDC">
        <w:rPr>
          <w:sz w:val="24"/>
        </w:rPr>
        <w:t>insurance</w:t>
      </w:r>
      <w:r w:rsidRPr="00150EDC">
        <w:rPr>
          <w:spacing w:val="-17"/>
          <w:sz w:val="24"/>
        </w:rPr>
        <w:t xml:space="preserve"> </w:t>
      </w:r>
      <w:r w:rsidRPr="00150EDC">
        <w:rPr>
          <w:sz w:val="24"/>
        </w:rPr>
        <w:t>contributions relating</w:t>
      </w:r>
      <w:r w:rsidRPr="00150EDC">
        <w:rPr>
          <w:spacing w:val="-1"/>
          <w:sz w:val="24"/>
        </w:rPr>
        <w:t xml:space="preserve"> </w:t>
      </w:r>
      <w:r w:rsidRPr="00150EDC">
        <w:rPr>
          <w:sz w:val="24"/>
        </w:rPr>
        <w:t>to</w:t>
      </w:r>
      <w:r w:rsidRPr="00150EDC">
        <w:rPr>
          <w:spacing w:val="-1"/>
          <w:sz w:val="24"/>
        </w:rPr>
        <w:t xml:space="preserve"> </w:t>
      </w:r>
      <w:r w:rsidRPr="00150EDC">
        <w:rPr>
          <w:sz w:val="24"/>
        </w:rPr>
        <w:t>the</w:t>
      </w:r>
      <w:r w:rsidRPr="00150EDC">
        <w:rPr>
          <w:spacing w:val="-1"/>
          <w:sz w:val="24"/>
        </w:rPr>
        <w:t xml:space="preserve"> </w:t>
      </w:r>
      <w:r w:rsidRPr="00150EDC">
        <w:rPr>
          <w:sz w:val="24"/>
        </w:rPr>
        <w:t>Transferring</w:t>
      </w:r>
      <w:r w:rsidRPr="00150EDC">
        <w:rPr>
          <w:spacing w:val="-1"/>
          <w:sz w:val="24"/>
        </w:rPr>
        <w:t xml:space="preserve"> </w:t>
      </w:r>
      <w:r w:rsidRPr="00150EDC">
        <w:rPr>
          <w:sz w:val="24"/>
        </w:rPr>
        <w:t>Supplier</w:t>
      </w:r>
      <w:r w:rsidRPr="00150EDC">
        <w:rPr>
          <w:spacing w:val="-2"/>
          <w:sz w:val="24"/>
        </w:rPr>
        <w:t xml:space="preserve"> </w:t>
      </w:r>
      <w:r w:rsidRPr="00150EDC">
        <w:rPr>
          <w:sz w:val="24"/>
        </w:rPr>
        <w:t>Employees</w:t>
      </w:r>
      <w:r w:rsidRPr="00150EDC">
        <w:rPr>
          <w:spacing w:val="-2"/>
          <w:sz w:val="24"/>
        </w:rPr>
        <w:t xml:space="preserve"> </w:t>
      </w:r>
      <w:r w:rsidRPr="00150EDC">
        <w:rPr>
          <w:sz w:val="24"/>
        </w:rPr>
        <w:t>in</w:t>
      </w:r>
      <w:r w:rsidRPr="00150EDC">
        <w:rPr>
          <w:spacing w:val="-1"/>
          <w:sz w:val="24"/>
        </w:rPr>
        <w:t xml:space="preserve"> </w:t>
      </w:r>
      <w:r w:rsidRPr="00150EDC">
        <w:rPr>
          <w:sz w:val="24"/>
        </w:rPr>
        <w:t>respect</w:t>
      </w:r>
      <w:r w:rsidRPr="00150EDC">
        <w:rPr>
          <w:spacing w:val="-3"/>
          <w:sz w:val="24"/>
        </w:rPr>
        <w:t xml:space="preserve"> </w:t>
      </w:r>
      <w:r w:rsidRPr="00150EDC">
        <w:rPr>
          <w:sz w:val="24"/>
        </w:rPr>
        <w:t>of</w:t>
      </w:r>
      <w:r w:rsidRPr="00150EDC">
        <w:rPr>
          <w:spacing w:val="-1"/>
          <w:sz w:val="24"/>
        </w:rPr>
        <w:t xml:space="preserve"> </w:t>
      </w:r>
      <w:r w:rsidRPr="00150EDC">
        <w:rPr>
          <w:sz w:val="24"/>
        </w:rPr>
        <w:t>the period up to (and including) the Service Transfer Date);</w:t>
      </w:r>
    </w:p>
    <w:p w14:paraId="50BA217F" w14:textId="77777777" w:rsidR="004C7180" w:rsidRPr="00150EDC" w:rsidRDefault="00CF0754" w:rsidP="00B320C7">
      <w:pPr>
        <w:pStyle w:val="ListParagraph"/>
        <w:numPr>
          <w:ilvl w:val="2"/>
          <w:numId w:val="85"/>
        </w:numPr>
        <w:tabs>
          <w:tab w:val="left" w:pos="3612"/>
        </w:tabs>
        <w:spacing w:before="121"/>
        <w:ind w:right="1433"/>
        <w:jc w:val="both"/>
        <w:rPr>
          <w:sz w:val="24"/>
        </w:rPr>
      </w:pPr>
      <w:r w:rsidRPr="00150EDC">
        <w:rPr>
          <w:sz w:val="24"/>
        </w:rPr>
        <w:t>any claim made by or in respect of any person employed or formerly employed by the Supplier or any Subcontractor other than</w:t>
      </w:r>
      <w:r w:rsidRPr="00150EDC">
        <w:rPr>
          <w:spacing w:val="-17"/>
          <w:sz w:val="24"/>
        </w:rPr>
        <w:t xml:space="preserve"> </w:t>
      </w:r>
      <w:r w:rsidRPr="00150EDC">
        <w:rPr>
          <w:sz w:val="24"/>
        </w:rPr>
        <w:t>a</w:t>
      </w:r>
      <w:r w:rsidRPr="00150EDC">
        <w:rPr>
          <w:spacing w:val="-15"/>
          <w:sz w:val="24"/>
        </w:rPr>
        <w:t xml:space="preserve"> </w:t>
      </w:r>
      <w:r w:rsidRPr="00150EDC">
        <w:rPr>
          <w:sz w:val="24"/>
        </w:rPr>
        <w:t>Transferring</w:t>
      </w:r>
      <w:r w:rsidRPr="00150EDC">
        <w:rPr>
          <w:spacing w:val="-17"/>
          <w:sz w:val="24"/>
        </w:rPr>
        <w:t xml:space="preserve"> </w:t>
      </w:r>
      <w:r w:rsidRPr="00150EDC">
        <w:rPr>
          <w:sz w:val="24"/>
        </w:rPr>
        <w:t>Supplier</w:t>
      </w:r>
      <w:r w:rsidRPr="00150EDC">
        <w:rPr>
          <w:spacing w:val="-17"/>
          <w:sz w:val="24"/>
        </w:rPr>
        <w:t xml:space="preserve"> </w:t>
      </w:r>
      <w:r w:rsidRPr="00150EDC">
        <w:rPr>
          <w:sz w:val="24"/>
        </w:rPr>
        <w:t>Employee</w:t>
      </w:r>
      <w:r w:rsidRPr="00150EDC">
        <w:rPr>
          <w:spacing w:val="-14"/>
          <w:sz w:val="24"/>
        </w:rPr>
        <w:t xml:space="preserve"> </w:t>
      </w:r>
      <w:r w:rsidRPr="00150EDC">
        <w:rPr>
          <w:sz w:val="24"/>
        </w:rPr>
        <w:t>identified</w:t>
      </w:r>
      <w:r w:rsidRPr="00150EDC">
        <w:rPr>
          <w:spacing w:val="-15"/>
          <w:sz w:val="24"/>
        </w:rPr>
        <w:t xml:space="preserve"> </w:t>
      </w:r>
      <w:r w:rsidRPr="00150EDC">
        <w:rPr>
          <w:sz w:val="24"/>
        </w:rPr>
        <w:t>in</w:t>
      </w:r>
      <w:r w:rsidRPr="00150EDC">
        <w:rPr>
          <w:spacing w:val="-17"/>
          <w:sz w:val="24"/>
        </w:rPr>
        <w:t xml:space="preserve"> </w:t>
      </w:r>
      <w:r w:rsidRPr="00150EDC">
        <w:rPr>
          <w:sz w:val="24"/>
        </w:rPr>
        <w:t>the</w:t>
      </w:r>
      <w:r w:rsidRPr="00150EDC">
        <w:rPr>
          <w:spacing w:val="-17"/>
          <w:sz w:val="24"/>
        </w:rPr>
        <w:t xml:space="preserve"> </w:t>
      </w:r>
      <w:r w:rsidRPr="00150EDC">
        <w:rPr>
          <w:sz w:val="24"/>
        </w:rPr>
        <w:t>Supplier’s Final Supplier Personnel List for whom it is alleged the Buyer and/or the Replacement Supplier and/or any Replacement Subcontractor may be liable by virtue of the relevant Contract and/or the Employment Regulations and/or the Acquired Rights Directive; and</w:t>
      </w:r>
    </w:p>
    <w:p w14:paraId="0FA3E80C" w14:textId="77777777" w:rsidR="004C7180" w:rsidRPr="00150EDC" w:rsidRDefault="00CF0754" w:rsidP="00B320C7">
      <w:pPr>
        <w:pStyle w:val="ListParagraph"/>
        <w:numPr>
          <w:ilvl w:val="2"/>
          <w:numId w:val="85"/>
        </w:numPr>
        <w:tabs>
          <w:tab w:val="left" w:pos="3612"/>
        </w:tabs>
        <w:spacing w:before="120"/>
        <w:ind w:right="1433"/>
        <w:jc w:val="both"/>
        <w:rPr>
          <w:sz w:val="24"/>
        </w:rPr>
      </w:pPr>
      <w:r w:rsidRPr="00150EDC">
        <w:rPr>
          <w:sz w:val="24"/>
        </w:rPr>
        <w:t>any claim made by or in respect of a Transferring Supplier Employee or any appropriate employee representative (as defined in the Employment Regulations) of any Transferring Supplier</w:t>
      </w:r>
      <w:r w:rsidRPr="00150EDC">
        <w:rPr>
          <w:spacing w:val="-12"/>
          <w:sz w:val="24"/>
        </w:rPr>
        <w:t xml:space="preserve"> </w:t>
      </w:r>
      <w:r w:rsidRPr="00150EDC">
        <w:rPr>
          <w:sz w:val="24"/>
        </w:rPr>
        <w:t>Employee</w:t>
      </w:r>
      <w:r w:rsidRPr="00150EDC">
        <w:rPr>
          <w:spacing w:val="-9"/>
          <w:sz w:val="24"/>
        </w:rPr>
        <w:t xml:space="preserve"> </w:t>
      </w:r>
      <w:r w:rsidRPr="00150EDC">
        <w:rPr>
          <w:sz w:val="24"/>
        </w:rPr>
        <w:t>relating</w:t>
      </w:r>
      <w:r w:rsidRPr="00150EDC">
        <w:rPr>
          <w:spacing w:val="-11"/>
          <w:sz w:val="24"/>
        </w:rPr>
        <w:t xml:space="preserve"> </w:t>
      </w:r>
      <w:r w:rsidRPr="00150EDC">
        <w:rPr>
          <w:sz w:val="24"/>
        </w:rPr>
        <w:t>to</w:t>
      </w:r>
      <w:r w:rsidRPr="00150EDC">
        <w:rPr>
          <w:spacing w:val="-11"/>
          <w:sz w:val="24"/>
        </w:rPr>
        <w:t xml:space="preserve"> </w:t>
      </w:r>
      <w:r w:rsidRPr="00150EDC">
        <w:rPr>
          <w:sz w:val="24"/>
        </w:rPr>
        <w:t>any</w:t>
      </w:r>
      <w:r w:rsidRPr="00150EDC">
        <w:rPr>
          <w:spacing w:val="-10"/>
          <w:sz w:val="24"/>
        </w:rPr>
        <w:t xml:space="preserve"> </w:t>
      </w:r>
      <w:r w:rsidRPr="00150EDC">
        <w:rPr>
          <w:sz w:val="24"/>
        </w:rPr>
        <w:t>act</w:t>
      </w:r>
      <w:r w:rsidRPr="00150EDC">
        <w:rPr>
          <w:spacing w:val="-10"/>
          <w:sz w:val="24"/>
        </w:rPr>
        <w:t xml:space="preserve"> </w:t>
      </w:r>
      <w:r w:rsidRPr="00150EDC">
        <w:rPr>
          <w:sz w:val="24"/>
        </w:rPr>
        <w:t>or</w:t>
      </w:r>
      <w:r w:rsidRPr="00150EDC">
        <w:rPr>
          <w:spacing w:val="-12"/>
          <w:sz w:val="24"/>
        </w:rPr>
        <w:t xml:space="preserve"> </w:t>
      </w:r>
      <w:r w:rsidRPr="00150EDC">
        <w:rPr>
          <w:sz w:val="24"/>
        </w:rPr>
        <w:t>omission</w:t>
      </w:r>
      <w:r w:rsidRPr="00150EDC">
        <w:rPr>
          <w:spacing w:val="-9"/>
          <w:sz w:val="24"/>
        </w:rPr>
        <w:t xml:space="preserve"> </w:t>
      </w:r>
      <w:r w:rsidRPr="00150EDC">
        <w:rPr>
          <w:sz w:val="24"/>
        </w:rPr>
        <w:t>of</w:t>
      </w:r>
      <w:r w:rsidRPr="00150EDC">
        <w:rPr>
          <w:spacing w:val="-11"/>
          <w:sz w:val="24"/>
        </w:rPr>
        <w:t xml:space="preserve"> </w:t>
      </w:r>
      <w:r w:rsidRPr="00150EDC">
        <w:rPr>
          <w:sz w:val="24"/>
        </w:rPr>
        <w:t>the</w:t>
      </w:r>
      <w:r w:rsidRPr="00150EDC">
        <w:rPr>
          <w:spacing w:val="-9"/>
          <w:sz w:val="24"/>
        </w:rPr>
        <w:t xml:space="preserve"> </w:t>
      </w:r>
      <w:r w:rsidRPr="00150EDC">
        <w:rPr>
          <w:sz w:val="24"/>
        </w:rPr>
        <w:t>Supplier or any Subcontractor in relation to its obligations under regulation 13 of the Employment Regulations, except to the extent</w:t>
      </w:r>
      <w:r w:rsidRPr="00150EDC">
        <w:rPr>
          <w:spacing w:val="-5"/>
          <w:sz w:val="24"/>
        </w:rPr>
        <w:t xml:space="preserve"> </w:t>
      </w:r>
      <w:r w:rsidRPr="00150EDC">
        <w:rPr>
          <w:sz w:val="24"/>
        </w:rPr>
        <w:t>that</w:t>
      </w:r>
      <w:r w:rsidRPr="00150EDC">
        <w:rPr>
          <w:spacing w:val="-7"/>
          <w:sz w:val="24"/>
        </w:rPr>
        <w:t xml:space="preserve"> </w:t>
      </w:r>
      <w:r w:rsidRPr="00150EDC">
        <w:rPr>
          <w:sz w:val="24"/>
        </w:rPr>
        <w:t>the</w:t>
      </w:r>
      <w:r w:rsidRPr="00150EDC">
        <w:rPr>
          <w:spacing w:val="-4"/>
          <w:sz w:val="24"/>
        </w:rPr>
        <w:t xml:space="preserve"> </w:t>
      </w:r>
      <w:r w:rsidRPr="00150EDC">
        <w:rPr>
          <w:sz w:val="24"/>
        </w:rPr>
        <w:t>liability</w:t>
      </w:r>
      <w:r w:rsidRPr="00150EDC">
        <w:rPr>
          <w:spacing w:val="-8"/>
          <w:sz w:val="24"/>
        </w:rPr>
        <w:t xml:space="preserve"> </w:t>
      </w:r>
      <w:r w:rsidRPr="00150EDC">
        <w:rPr>
          <w:sz w:val="24"/>
        </w:rPr>
        <w:t>arises</w:t>
      </w:r>
      <w:r w:rsidRPr="00150EDC">
        <w:rPr>
          <w:spacing w:val="-5"/>
          <w:sz w:val="24"/>
        </w:rPr>
        <w:t xml:space="preserve"> </w:t>
      </w:r>
      <w:r w:rsidRPr="00150EDC">
        <w:rPr>
          <w:sz w:val="24"/>
        </w:rPr>
        <w:t>from</w:t>
      </w:r>
      <w:r w:rsidRPr="00150EDC">
        <w:rPr>
          <w:spacing w:val="-4"/>
          <w:sz w:val="24"/>
        </w:rPr>
        <w:t xml:space="preserve"> </w:t>
      </w:r>
      <w:r w:rsidRPr="00150EDC">
        <w:rPr>
          <w:sz w:val="24"/>
        </w:rPr>
        <w:t>the</w:t>
      </w:r>
      <w:r w:rsidRPr="00150EDC">
        <w:rPr>
          <w:spacing w:val="-7"/>
          <w:sz w:val="24"/>
        </w:rPr>
        <w:t xml:space="preserve"> </w:t>
      </w:r>
      <w:r w:rsidRPr="00150EDC">
        <w:rPr>
          <w:sz w:val="24"/>
        </w:rPr>
        <w:t>failure</w:t>
      </w:r>
      <w:r w:rsidRPr="00150EDC">
        <w:rPr>
          <w:spacing w:val="-7"/>
          <w:sz w:val="24"/>
        </w:rPr>
        <w:t xml:space="preserve"> </w:t>
      </w:r>
      <w:r w:rsidRPr="00150EDC">
        <w:rPr>
          <w:sz w:val="24"/>
        </w:rPr>
        <w:t>by</w:t>
      </w:r>
      <w:r w:rsidRPr="00150EDC">
        <w:rPr>
          <w:spacing w:val="-5"/>
          <w:sz w:val="24"/>
        </w:rPr>
        <w:t xml:space="preserve"> </w:t>
      </w:r>
      <w:r w:rsidRPr="00150EDC">
        <w:rPr>
          <w:sz w:val="24"/>
        </w:rPr>
        <w:t>the</w:t>
      </w:r>
      <w:r w:rsidRPr="00150EDC">
        <w:rPr>
          <w:spacing w:val="-4"/>
          <w:sz w:val="24"/>
        </w:rPr>
        <w:t xml:space="preserve"> </w:t>
      </w:r>
      <w:r w:rsidRPr="00150EDC">
        <w:rPr>
          <w:sz w:val="24"/>
        </w:rPr>
        <w:t>Buyer</w:t>
      </w:r>
      <w:r w:rsidRPr="00150EDC">
        <w:rPr>
          <w:spacing w:val="-8"/>
          <w:sz w:val="24"/>
        </w:rPr>
        <w:t xml:space="preserve"> </w:t>
      </w:r>
      <w:r w:rsidRPr="00150EDC">
        <w:rPr>
          <w:sz w:val="24"/>
        </w:rPr>
        <w:t>and/or Replacement Supplier to comply with regulation</w:t>
      </w:r>
      <w:r w:rsidRPr="00150EDC">
        <w:rPr>
          <w:spacing w:val="-4"/>
          <w:sz w:val="24"/>
        </w:rPr>
        <w:t xml:space="preserve"> </w:t>
      </w:r>
      <w:r w:rsidRPr="00150EDC">
        <w:rPr>
          <w:sz w:val="24"/>
        </w:rPr>
        <w:t>13(4) of the Employment Regulations.</w:t>
      </w:r>
    </w:p>
    <w:p w14:paraId="1E09CC7C" w14:textId="77777777" w:rsidR="004C7180" w:rsidRPr="00150EDC" w:rsidRDefault="004C7180">
      <w:pPr>
        <w:pStyle w:val="BodyText"/>
        <w:rPr>
          <w:sz w:val="26"/>
        </w:rPr>
      </w:pPr>
    </w:p>
    <w:p w14:paraId="78F66665" w14:textId="77777777" w:rsidR="004C7180" w:rsidRPr="00150EDC" w:rsidRDefault="00CF0754" w:rsidP="00B320C7">
      <w:pPr>
        <w:pStyle w:val="ListParagraph"/>
        <w:numPr>
          <w:ilvl w:val="1"/>
          <w:numId w:val="85"/>
        </w:numPr>
        <w:tabs>
          <w:tab w:val="left" w:pos="2116"/>
          <w:tab w:val="left" w:pos="2119"/>
        </w:tabs>
        <w:spacing w:before="217"/>
        <w:ind w:left="2119" w:right="1432"/>
        <w:jc w:val="both"/>
        <w:rPr>
          <w:sz w:val="24"/>
        </w:rPr>
      </w:pPr>
      <w:r w:rsidRPr="00150EDC">
        <w:rPr>
          <w:sz w:val="24"/>
        </w:rPr>
        <w:t>The indemnities in Paragraph 2.3 shall not apply to the extent that the Employee Liabilities arise or are attributable to an act or omission of the Replacement Supplier and/or any Replacement Subcontractor whether occurring or having its origin before, on or after the Service Transfer Date including any Employee Liabilities:</w:t>
      </w:r>
    </w:p>
    <w:p w14:paraId="1FC3171F" w14:textId="77777777" w:rsidR="004C7180" w:rsidRPr="00150EDC" w:rsidRDefault="00CF0754" w:rsidP="00B320C7">
      <w:pPr>
        <w:pStyle w:val="ListParagraph"/>
        <w:numPr>
          <w:ilvl w:val="2"/>
          <w:numId w:val="85"/>
        </w:numPr>
        <w:tabs>
          <w:tab w:val="left" w:pos="3612"/>
          <w:tab w:val="left" w:pos="3677"/>
        </w:tabs>
        <w:spacing w:before="120"/>
        <w:ind w:right="1433"/>
        <w:jc w:val="both"/>
        <w:rPr>
          <w:sz w:val="24"/>
        </w:rPr>
      </w:pPr>
      <w:r w:rsidRPr="00150EDC">
        <w:rPr>
          <w:rFonts w:ascii="Times New Roman"/>
          <w:sz w:val="24"/>
        </w:rPr>
        <w:tab/>
      </w:r>
      <w:r w:rsidRPr="00150EDC">
        <w:rPr>
          <w:sz w:val="24"/>
        </w:rPr>
        <w:t>arising out of the resignation of any Transferring Supplier Employee before the Service Transfer Date on account of substantial detrimental changes to his/her working conditions proposed</w:t>
      </w:r>
      <w:r w:rsidRPr="00150EDC">
        <w:rPr>
          <w:spacing w:val="-8"/>
          <w:sz w:val="24"/>
        </w:rPr>
        <w:t xml:space="preserve"> </w:t>
      </w:r>
      <w:r w:rsidRPr="00150EDC">
        <w:rPr>
          <w:sz w:val="24"/>
        </w:rPr>
        <w:t>by</w:t>
      </w:r>
      <w:r w:rsidRPr="00150EDC">
        <w:rPr>
          <w:spacing w:val="-6"/>
          <w:sz w:val="24"/>
        </w:rPr>
        <w:t xml:space="preserve"> </w:t>
      </w:r>
      <w:r w:rsidRPr="00150EDC">
        <w:rPr>
          <w:sz w:val="24"/>
        </w:rPr>
        <w:t>the</w:t>
      </w:r>
      <w:r w:rsidRPr="00150EDC">
        <w:rPr>
          <w:spacing w:val="-5"/>
          <w:sz w:val="24"/>
        </w:rPr>
        <w:t xml:space="preserve"> </w:t>
      </w:r>
      <w:r w:rsidRPr="00150EDC">
        <w:rPr>
          <w:sz w:val="24"/>
        </w:rPr>
        <w:t>Replacement</w:t>
      </w:r>
      <w:r w:rsidRPr="00150EDC">
        <w:rPr>
          <w:spacing w:val="-8"/>
          <w:sz w:val="24"/>
        </w:rPr>
        <w:t xml:space="preserve"> </w:t>
      </w:r>
      <w:r w:rsidRPr="00150EDC">
        <w:rPr>
          <w:sz w:val="24"/>
        </w:rPr>
        <w:t>Supplier</w:t>
      </w:r>
      <w:r w:rsidRPr="00150EDC">
        <w:rPr>
          <w:spacing w:val="-7"/>
          <w:sz w:val="24"/>
        </w:rPr>
        <w:t xml:space="preserve"> </w:t>
      </w:r>
      <w:r w:rsidRPr="00150EDC">
        <w:rPr>
          <w:sz w:val="24"/>
        </w:rPr>
        <w:t>and/or</w:t>
      </w:r>
      <w:r w:rsidRPr="00150EDC">
        <w:rPr>
          <w:spacing w:val="-7"/>
          <w:sz w:val="24"/>
        </w:rPr>
        <w:t xml:space="preserve"> </w:t>
      </w:r>
      <w:r w:rsidRPr="00150EDC">
        <w:rPr>
          <w:sz w:val="24"/>
        </w:rPr>
        <w:t>any</w:t>
      </w:r>
      <w:r w:rsidRPr="00150EDC">
        <w:rPr>
          <w:spacing w:val="-6"/>
          <w:sz w:val="24"/>
        </w:rPr>
        <w:t xml:space="preserve"> </w:t>
      </w:r>
      <w:r w:rsidRPr="00150EDC">
        <w:rPr>
          <w:sz w:val="24"/>
        </w:rPr>
        <w:t>Replacement Subcontractor to occur in the period on or after the Service Transfer Date); or</w:t>
      </w:r>
    </w:p>
    <w:p w14:paraId="1A5ABF6E" w14:textId="77777777" w:rsidR="004C7180" w:rsidRPr="00150EDC" w:rsidRDefault="004C7180">
      <w:pPr>
        <w:jc w:val="both"/>
        <w:rPr>
          <w:sz w:val="24"/>
        </w:rPr>
        <w:sectPr w:rsidR="004C7180" w:rsidRPr="00150EDC">
          <w:pgSz w:w="11910" w:h="16840"/>
          <w:pgMar w:top="1380" w:right="0" w:bottom="1380" w:left="40" w:header="715" w:footer="1192" w:gutter="0"/>
          <w:cols w:space="720"/>
        </w:sectPr>
      </w:pPr>
    </w:p>
    <w:p w14:paraId="266E9729" w14:textId="77777777" w:rsidR="004C7180" w:rsidRPr="00150EDC" w:rsidRDefault="004C7180">
      <w:pPr>
        <w:pStyle w:val="BodyText"/>
        <w:spacing w:before="5"/>
        <w:rPr>
          <w:sz w:val="15"/>
        </w:rPr>
      </w:pPr>
    </w:p>
    <w:p w14:paraId="7BA9BC35" w14:textId="77777777" w:rsidR="004C7180" w:rsidRPr="00150EDC" w:rsidRDefault="00CF0754" w:rsidP="00B320C7">
      <w:pPr>
        <w:pStyle w:val="ListParagraph"/>
        <w:numPr>
          <w:ilvl w:val="2"/>
          <w:numId w:val="85"/>
        </w:numPr>
        <w:tabs>
          <w:tab w:val="left" w:pos="3612"/>
        </w:tabs>
        <w:spacing w:before="92"/>
        <w:ind w:right="1435"/>
        <w:jc w:val="both"/>
        <w:rPr>
          <w:sz w:val="24"/>
        </w:rPr>
      </w:pPr>
      <w:r w:rsidRPr="00150EDC">
        <w:rPr>
          <w:sz w:val="24"/>
        </w:rPr>
        <w:t>arising from the Replacement Supplier’s failure, and/or Replacement Subcontractor’s failure, to comply with its obligations under the Employment Regulations.</w:t>
      </w:r>
    </w:p>
    <w:p w14:paraId="39A645EC" w14:textId="77777777" w:rsidR="004C7180" w:rsidRPr="00150EDC" w:rsidRDefault="004C7180">
      <w:pPr>
        <w:pStyle w:val="BodyText"/>
        <w:rPr>
          <w:sz w:val="26"/>
        </w:rPr>
      </w:pPr>
    </w:p>
    <w:p w14:paraId="3AD55490" w14:textId="77777777" w:rsidR="004C7180" w:rsidRPr="00150EDC" w:rsidRDefault="00CF0754" w:rsidP="00B320C7">
      <w:pPr>
        <w:pStyle w:val="ListParagraph"/>
        <w:numPr>
          <w:ilvl w:val="1"/>
          <w:numId w:val="85"/>
        </w:numPr>
        <w:tabs>
          <w:tab w:val="left" w:pos="2117"/>
          <w:tab w:val="left" w:pos="2120"/>
        </w:tabs>
        <w:spacing w:before="210"/>
        <w:ind w:right="1432"/>
        <w:jc w:val="both"/>
        <w:rPr>
          <w:sz w:val="24"/>
        </w:rPr>
      </w:pPr>
      <w:r w:rsidRPr="00150EDC">
        <w:rPr>
          <w:sz w:val="24"/>
        </w:rPr>
        <w:t>If</w:t>
      </w:r>
      <w:r w:rsidRPr="00150EDC">
        <w:rPr>
          <w:spacing w:val="-11"/>
          <w:sz w:val="24"/>
        </w:rPr>
        <w:t xml:space="preserve"> </w:t>
      </w:r>
      <w:r w:rsidRPr="00150EDC">
        <w:rPr>
          <w:sz w:val="24"/>
        </w:rPr>
        <w:t>any</w:t>
      </w:r>
      <w:r w:rsidRPr="00150EDC">
        <w:rPr>
          <w:spacing w:val="-12"/>
          <w:sz w:val="24"/>
        </w:rPr>
        <w:t xml:space="preserve"> </w:t>
      </w:r>
      <w:r w:rsidRPr="00150EDC">
        <w:rPr>
          <w:sz w:val="24"/>
        </w:rPr>
        <w:t>person</w:t>
      </w:r>
      <w:r w:rsidRPr="00150EDC">
        <w:rPr>
          <w:spacing w:val="-13"/>
          <w:sz w:val="24"/>
        </w:rPr>
        <w:t xml:space="preserve"> </w:t>
      </w:r>
      <w:r w:rsidRPr="00150EDC">
        <w:rPr>
          <w:sz w:val="24"/>
        </w:rPr>
        <w:t>who</w:t>
      </w:r>
      <w:r w:rsidRPr="00150EDC">
        <w:rPr>
          <w:spacing w:val="-13"/>
          <w:sz w:val="24"/>
        </w:rPr>
        <w:t xml:space="preserve"> </w:t>
      </w:r>
      <w:r w:rsidRPr="00150EDC">
        <w:rPr>
          <w:sz w:val="24"/>
        </w:rPr>
        <w:t>is</w:t>
      </w:r>
      <w:r w:rsidRPr="00150EDC">
        <w:rPr>
          <w:spacing w:val="-12"/>
          <w:sz w:val="24"/>
        </w:rPr>
        <w:t xml:space="preserve"> </w:t>
      </w:r>
      <w:r w:rsidRPr="00150EDC">
        <w:rPr>
          <w:sz w:val="24"/>
        </w:rPr>
        <w:t>not</w:t>
      </w:r>
      <w:r w:rsidRPr="00150EDC">
        <w:rPr>
          <w:spacing w:val="-11"/>
          <w:sz w:val="24"/>
        </w:rPr>
        <w:t xml:space="preserve"> </w:t>
      </w:r>
      <w:r w:rsidRPr="00150EDC">
        <w:rPr>
          <w:sz w:val="24"/>
        </w:rPr>
        <w:t>identified</w:t>
      </w:r>
      <w:r w:rsidRPr="00150EDC">
        <w:rPr>
          <w:spacing w:val="-13"/>
          <w:sz w:val="24"/>
        </w:rPr>
        <w:t xml:space="preserve"> </w:t>
      </w:r>
      <w:r w:rsidRPr="00150EDC">
        <w:rPr>
          <w:sz w:val="24"/>
        </w:rPr>
        <w:t>in</w:t>
      </w:r>
      <w:r w:rsidRPr="00150EDC">
        <w:rPr>
          <w:spacing w:val="-13"/>
          <w:sz w:val="24"/>
        </w:rPr>
        <w:t xml:space="preserve"> </w:t>
      </w:r>
      <w:r w:rsidRPr="00150EDC">
        <w:rPr>
          <w:sz w:val="24"/>
        </w:rPr>
        <w:t>the</w:t>
      </w:r>
      <w:r w:rsidRPr="00150EDC">
        <w:rPr>
          <w:spacing w:val="-13"/>
          <w:sz w:val="24"/>
        </w:rPr>
        <w:t xml:space="preserve"> </w:t>
      </w:r>
      <w:r w:rsidRPr="00150EDC">
        <w:rPr>
          <w:sz w:val="24"/>
        </w:rPr>
        <w:t>Supplier's</w:t>
      </w:r>
      <w:r w:rsidRPr="00150EDC">
        <w:rPr>
          <w:spacing w:val="-12"/>
          <w:sz w:val="24"/>
        </w:rPr>
        <w:t xml:space="preserve"> </w:t>
      </w:r>
      <w:r w:rsidRPr="00150EDC">
        <w:rPr>
          <w:sz w:val="24"/>
        </w:rPr>
        <w:t>Final</w:t>
      </w:r>
      <w:r w:rsidRPr="00150EDC">
        <w:rPr>
          <w:spacing w:val="-12"/>
          <w:sz w:val="24"/>
        </w:rPr>
        <w:t xml:space="preserve"> </w:t>
      </w:r>
      <w:r w:rsidRPr="00150EDC">
        <w:rPr>
          <w:sz w:val="24"/>
        </w:rPr>
        <w:t>Supplier</w:t>
      </w:r>
      <w:r w:rsidRPr="00150EDC">
        <w:rPr>
          <w:spacing w:val="-15"/>
          <w:sz w:val="24"/>
        </w:rPr>
        <w:t xml:space="preserve"> </w:t>
      </w:r>
      <w:r w:rsidRPr="00150EDC">
        <w:rPr>
          <w:sz w:val="24"/>
        </w:rPr>
        <w:t>Employee</w:t>
      </w:r>
      <w:r w:rsidRPr="00150EDC">
        <w:rPr>
          <w:spacing w:val="-13"/>
          <w:sz w:val="24"/>
        </w:rPr>
        <w:t xml:space="preserve"> </w:t>
      </w:r>
      <w:r w:rsidRPr="00150EDC">
        <w:rPr>
          <w:sz w:val="24"/>
        </w:rPr>
        <w:t>List claims, or it is determined in relation to any employees of the Supplier, that his/her contract of employment has been transferred from the Supplier to the Replacement Supplier and/or Replacement Subcontractor pursuant to the Employment Regulations or the Acquired Rights Directive, then:</w:t>
      </w:r>
    </w:p>
    <w:p w14:paraId="2519EC62" w14:textId="77777777" w:rsidR="004C7180" w:rsidRPr="00150EDC" w:rsidRDefault="00CF0754" w:rsidP="00B320C7">
      <w:pPr>
        <w:pStyle w:val="ListParagraph"/>
        <w:numPr>
          <w:ilvl w:val="2"/>
          <w:numId w:val="85"/>
        </w:numPr>
        <w:tabs>
          <w:tab w:val="left" w:pos="3612"/>
        </w:tabs>
        <w:spacing w:before="120"/>
        <w:ind w:right="1433"/>
        <w:jc w:val="both"/>
        <w:rPr>
          <w:sz w:val="24"/>
        </w:rPr>
      </w:pPr>
      <w:r w:rsidRPr="00150EDC">
        <w:rPr>
          <w:sz w:val="24"/>
        </w:rPr>
        <w:t>the Buyer shall procure that the Replacement Supplier and/or Replacement Subcontractor will, within 5</w:t>
      </w:r>
      <w:r w:rsidRPr="00150EDC">
        <w:rPr>
          <w:spacing w:val="-4"/>
          <w:sz w:val="24"/>
        </w:rPr>
        <w:t xml:space="preserve"> </w:t>
      </w:r>
      <w:r w:rsidRPr="00150EDC">
        <w:rPr>
          <w:sz w:val="24"/>
        </w:rPr>
        <w:t>Working Days of becoming</w:t>
      </w:r>
      <w:r w:rsidRPr="00150EDC">
        <w:rPr>
          <w:spacing w:val="-4"/>
          <w:sz w:val="24"/>
        </w:rPr>
        <w:t xml:space="preserve"> </w:t>
      </w:r>
      <w:r w:rsidRPr="00150EDC">
        <w:rPr>
          <w:sz w:val="24"/>
        </w:rPr>
        <w:t>aware</w:t>
      </w:r>
      <w:r w:rsidRPr="00150EDC">
        <w:rPr>
          <w:spacing w:val="-4"/>
          <w:sz w:val="24"/>
        </w:rPr>
        <w:t xml:space="preserve"> </w:t>
      </w:r>
      <w:r w:rsidRPr="00150EDC">
        <w:rPr>
          <w:sz w:val="24"/>
        </w:rPr>
        <w:t>of</w:t>
      </w:r>
      <w:r w:rsidRPr="00150EDC">
        <w:rPr>
          <w:spacing w:val="-5"/>
          <w:sz w:val="24"/>
        </w:rPr>
        <w:t xml:space="preserve"> </w:t>
      </w:r>
      <w:r w:rsidRPr="00150EDC">
        <w:rPr>
          <w:sz w:val="24"/>
        </w:rPr>
        <w:t>that</w:t>
      </w:r>
      <w:r w:rsidRPr="00150EDC">
        <w:rPr>
          <w:spacing w:val="-2"/>
          <w:sz w:val="24"/>
        </w:rPr>
        <w:t xml:space="preserve"> </w:t>
      </w:r>
      <w:r w:rsidRPr="00150EDC">
        <w:rPr>
          <w:sz w:val="24"/>
        </w:rPr>
        <w:t>fact,</w:t>
      </w:r>
      <w:r w:rsidRPr="00150EDC">
        <w:rPr>
          <w:spacing w:val="-2"/>
          <w:sz w:val="24"/>
        </w:rPr>
        <w:t xml:space="preserve"> </w:t>
      </w:r>
      <w:r w:rsidRPr="00150EDC">
        <w:rPr>
          <w:sz w:val="24"/>
        </w:rPr>
        <w:t>notify</w:t>
      </w:r>
      <w:r w:rsidRPr="00150EDC">
        <w:rPr>
          <w:spacing w:val="-5"/>
          <w:sz w:val="24"/>
        </w:rPr>
        <w:t xml:space="preserve"> </w:t>
      </w:r>
      <w:r w:rsidRPr="00150EDC">
        <w:rPr>
          <w:sz w:val="24"/>
        </w:rPr>
        <w:t>the</w:t>
      </w:r>
      <w:r w:rsidRPr="00150EDC">
        <w:rPr>
          <w:spacing w:val="-4"/>
          <w:sz w:val="24"/>
        </w:rPr>
        <w:t xml:space="preserve"> </w:t>
      </w:r>
      <w:r w:rsidRPr="00150EDC">
        <w:rPr>
          <w:sz w:val="24"/>
        </w:rPr>
        <w:t>Buyer</w:t>
      </w:r>
      <w:r w:rsidRPr="00150EDC">
        <w:rPr>
          <w:spacing w:val="-6"/>
          <w:sz w:val="24"/>
        </w:rPr>
        <w:t xml:space="preserve"> </w:t>
      </w:r>
      <w:r w:rsidRPr="00150EDC">
        <w:rPr>
          <w:sz w:val="24"/>
        </w:rPr>
        <w:t>and</w:t>
      </w:r>
      <w:r w:rsidRPr="00150EDC">
        <w:rPr>
          <w:spacing w:val="-4"/>
          <w:sz w:val="24"/>
        </w:rPr>
        <w:t xml:space="preserve"> </w:t>
      </w:r>
      <w:r w:rsidRPr="00150EDC">
        <w:rPr>
          <w:sz w:val="24"/>
        </w:rPr>
        <w:t>the</w:t>
      </w:r>
      <w:r w:rsidRPr="00150EDC">
        <w:rPr>
          <w:spacing w:val="-2"/>
          <w:sz w:val="24"/>
        </w:rPr>
        <w:t xml:space="preserve"> </w:t>
      </w:r>
      <w:r w:rsidRPr="00150EDC">
        <w:rPr>
          <w:sz w:val="24"/>
        </w:rPr>
        <w:t>Supplier</w:t>
      </w:r>
      <w:r w:rsidRPr="00150EDC">
        <w:rPr>
          <w:spacing w:val="-4"/>
          <w:sz w:val="24"/>
        </w:rPr>
        <w:t xml:space="preserve"> </w:t>
      </w:r>
      <w:r w:rsidRPr="00150EDC">
        <w:rPr>
          <w:sz w:val="24"/>
        </w:rPr>
        <w:t>in writing; and</w:t>
      </w:r>
    </w:p>
    <w:p w14:paraId="6E8E3DCC" w14:textId="77777777" w:rsidR="004C7180" w:rsidRPr="00150EDC" w:rsidRDefault="00CF0754" w:rsidP="00B320C7">
      <w:pPr>
        <w:pStyle w:val="ListParagraph"/>
        <w:numPr>
          <w:ilvl w:val="2"/>
          <w:numId w:val="85"/>
        </w:numPr>
        <w:tabs>
          <w:tab w:val="left" w:pos="3612"/>
        </w:tabs>
        <w:spacing w:before="120"/>
        <w:ind w:right="1435"/>
        <w:jc w:val="both"/>
        <w:rPr>
          <w:sz w:val="24"/>
        </w:rPr>
      </w:pPr>
      <w:r w:rsidRPr="00150EDC">
        <w:rPr>
          <w:sz w:val="24"/>
        </w:rPr>
        <w:t>the</w:t>
      </w:r>
      <w:r w:rsidRPr="00150EDC">
        <w:rPr>
          <w:spacing w:val="-6"/>
          <w:sz w:val="24"/>
        </w:rPr>
        <w:t xml:space="preserve"> </w:t>
      </w:r>
      <w:r w:rsidRPr="00150EDC">
        <w:rPr>
          <w:sz w:val="24"/>
        </w:rPr>
        <w:t>Supplier</w:t>
      </w:r>
      <w:r w:rsidRPr="00150EDC">
        <w:rPr>
          <w:spacing w:val="-10"/>
          <w:sz w:val="24"/>
        </w:rPr>
        <w:t xml:space="preserve"> </w:t>
      </w:r>
      <w:r w:rsidRPr="00150EDC">
        <w:rPr>
          <w:sz w:val="24"/>
        </w:rPr>
        <w:t>may</w:t>
      </w:r>
      <w:r w:rsidRPr="00150EDC">
        <w:rPr>
          <w:spacing w:val="-9"/>
          <w:sz w:val="24"/>
        </w:rPr>
        <w:t xml:space="preserve"> </w:t>
      </w:r>
      <w:r w:rsidRPr="00150EDC">
        <w:rPr>
          <w:sz w:val="24"/>
        </w:rPr>
        <w:t>offer</w:t>
      </w:r>
      <w:r w:rsidRPr="00150EDC">
        <w:rPr>
          <w:spacing w:val="-7"/>
          <w:sz w:val="24"/>
        </w:rPr>
        <w:t xml:space="preserve"> </w:t>
      </w:r>
      <w:r w:rsidRPr="00150EDC">
        <w:rPr>
          <w:sz w:val="24"/>
        </w:rPr>
        <w:t>(or</w:t>
      </w:r>
      <w:r w:rsidRPr="00150EDC">
        <w:rPr>
          <w:spacing w:val="-7"/>
          <w:sz w:val="24"/>
        </w:rPr>
        <w:t xml:space="preserve"> </w:t>
      </w:r>
      <w:r w:rsidRPr="00150EDC">
        <w:rPr>
          <w:sz w:val="24"/>
        </w:rPr>
        <w:t>may</w:t>
      </w:r>
      <w:r w:rsidRPr="00150EDC">
        <w:rPr>
          <w:spacing w:val="-7"/>
          <w:sz w:val="24"/>
        </w:rPr>
        <w:t xml:space="preserve"> </w:t>
      </w:r>
      <w:r w:rsidRPr="00150EDC">
        <w:rPr>
          <w:sz w:val="24"/>
        </w:rPr>
        <w:t>procure</w:t>
      </w:r>
      <w:r w:rsidRPr="00150EDC">
        <w:rPr>
          <w:spacing w:val="-6"/>
          <w:sz w:val="24"/>
        </w:rPr>
        <w:t xml:space="preserve"> </w:t>
      </w:r>
      <w:r w:rsidRPr="00150EDC">
        <w:rPr>
          <w:sz w:val="24"/>
        </w:rPr>
        <w:t>that</w:t>
      </w:r>
      <w:r w:rsidRPr="00150EDC">
        <w:rPr>
          <w:spacing w:val="-9"/>
          <w:sz w:val="24"/>
        </w:rPr>
        <w:t xml:space="preserve"> </w:t>
      </w:r>
      <w:r w:rsidRPr="00150EDC">
        <w:rPr>
          <w:sz w:val="24"/>
        </w:rPr>
        <w:t>a</w:t>
      </w:r>
      <w:r w:rsidRPr="00150EDC">
        <w:rPr>
          <w:spacing w:val="-8"/>
          <w:sz w:val="24"/>
        </w:rPr>
        <w:t xml:space="preserve"> </w:t>
      </w:r>
      <w:r w:rsidRPr="00150EDC">
        <w:rPr>
          <w:sz w:val="24"/>
        </w:rPr>
        <w:t>Subcontractor</w:t>
      </w:r>
      <w:r w:rsidRPr="00150EDC">
        <w:rPr>
          <w:spacing w:val="-7"/>
          <w:sz w:val="24"/>
        </w:rPr>
        <w:t xml:space="preserve"> </w:t>
      </w:r>
      <w:r w:rsidRPr="00150EDC">
        <w:rPr>
          <w:sz w:val="24"/>
        </w:rPr>
        <w:t>may offer)</w:t>
      </w:r>
      <w:r w:rsidRPr="00150EDC">
        <w:rPr>
          <w:spacing w:val="-12"/>
          <w:sz w:val="24"/>
        </w:rPr>
        <w:t xml:space="preserve"> </w:t>
      </w:r>
      <w:r w:rsidRPr="00150EDC">
        <w:rPr>
          <w:sz w:val="24"/>
        </w:rPr>
        <w:t>employment</w:t>
      </w:r>
      <w:r w:rsidRPr="00150EDC">
        <w:rPr>
          <w:spacing w:val="-13"/>
          <w:sz w:val="24"/>
        </w:rPr>
        <w:t xml:space="preserve"> </w:t>
      </w:r>
      <w:r w:rsidRPr="00150EDC">
        <w:rPr>
          <w:sz w:val="24"/>
        </w:rPr>
        <w:t>to</w:t>
      </w:r>
      <w:r w:rsidRPr="00150EDC">
        <w:rPr>
          <w:spacing w:val="-10"/>
          <w:sz w:val="24"/>
        </w:rPr>
        <w:t xml:space="preserve"> </w:t>
      </w:r>
      <w:r w:rsidRPr="00150EDC">
        <w:rPr>
          <w:sz w:val="24"/>
        </w:rPr>
        <w:t>such</w:t>
      </w:r>
      <w:r w:rsidRPr="00150EDC">
        <w:rPr>
          <w:spacing w:val="-13"/>
          <w:sz w:val="24"/>
        </w:rPr>
        <w:t xml:space="preserve"> </w:t>
      </w:r>
      <w:r w:rsidRPr="00150EDC">
        <w:rPr>
          <w:sz w:val="24"/>
        </w:rPr>
        <w:t>person,</w:t>
      </w:r>
      <w:r w:rsidRPr="00150EDC">
        <w:rPr>
          <w:spacing w:val="-13"/>
          <w:sz w:val="24"/>
        </w:rPr>
        <w:t xml:space="preserve"> </w:t>
      </w:r>
      <w:r w:rsidRPr="00150EDC">
        <w:rPr>
          <w:sz w:val="24"/>
        </w:rPr>
        <w:t>or</w:t>
      </w:r>
      <w:r w:rsidRPr="00150EDC">
        <w:rPr>
          <w:spacing w:val="-12"/>
          <w:sz w:val="24"/>
        </w:rPr>
        <w:t xml:space="preserve"> </w:t>
      </w:r>
      <w:r w:rsidRPr="00150EDC">
        <w:rPr>
          <w:sz w:val="24"/>
        </w:rPr>
        <w:t>take</w:t>
      </w:r>
      <w:r w:rsidRPr="00150EDC">
        <w:rPr>
          <w:spacing w:val="-10"/>
          <w:sz w:val="24"/>
        </w:rPr>
        <w:t xml:space="preserve"> </w:t>
      </w:r>
      <w:r w:rsidRPr="00150EDC">
        <w:rPr>
          <w:sz w:val="24"/>
        </w:rPr>
        <w:t>such</w:t>
      </w:r>
      <w:r w:rsidRPr="00150EDC">
        <w:rPr>
          <w:spacing w:val="-10"/>
          <w:sz w:val="24"/>
        </w:rPr>
        <w:t xml:space="preserve"> </w:t>
      </w:r>
      <w:r w:rsidRPr="00150EDC">
        <w:rPr>
          <w:sz w:val="24"/>
        </w:rPr>
        <w:t>other</w:t>
      </w:r>
      <w:r w:rsidRPr="00150EDC">
        <w:rPr>
          <w:spacing w:val="-12"/>
          <w:sz w:val="24"/>
        </w:rPr>
        <w:t xml:space="preserve"> </w:t>
      </w:r>
      <w:r w:rsidRPr="00150EDC">
        <w:rPr>
          <w:sz w:val="24"/>
        </w:rPr>
        <w:t>reasonable steps as it considered appropriate to deal the matter provided always</w:t>
      </w:r>
      <w:r w:rsidRPr="00150EDC">
        <w:rPr>
          <w:spacing w:val="80"/>
          <w:sz w:val="24"/>
        </w:rPr>
        <w:t xml:space="preserve"> </w:t>
      </w:r>
      <w:r w:rsidRPr="00150EDC">
        <w:rPr>
          <w:sz w:val="24"/>
        </w:rPr>
        <w:t>that</w:t>
      </w:r>
      <w:r w:rsidRPr="00150EDC">
        <w:rPr>
          <w:spacing w:val="80"/>
          <w:sz w:val="24"/>
        </w:rPr>
        <w:t xml:space="preserve"> </w:t>
      </w:r>
      <w:r w:rsidRPr="00150EDC">
        <w:rPr>
          <w:sz w:val="24"/>
        </w:rPr>
        <w:t>such</w:t>
      </w:r>
      <w:r w:rsidRPr="00150EDC">
        <w:rPr>
          <w:spacing w:val="80"/>
          <w:sz w:val="24"/>
        </w:rPr>
        <w:t xml:space="preserve"> </w:t>
      </w:r>
      <w:r w:rsidRPr="00150EDC">
        <w:rPr>
          <w:sz w:val="24"/>
        </w:rPr>
        <w:t>steps</w:t>
      </w:r>
      <w:r w:rsidRPr="00150EDC">
        <w:rPr>
          <w:spacing w:val="80"/>
          <w:sz w:val="24"/>
        </w:rPr>
        <w:t xml:space="preserve"> </w:t>
      </w:r>
      <w:r w:rsidRPr="00150EDC">
        <w:rPr>
          <w:sz w:val="24"/>
        </w:rPr>
        <w:t>are</w:t>
      </w:r>
      <w:r w:rsidRPr="00150EDC">
        <w:rPr>
          <w:spacing w:val="80"/>
          <w:sz w:val="24"/>
        </w:rPr>
        <w:t xml:space="preserve"> </w:t>
      </w:r>
      <w:r w:rsidRPr="00150EDC">
        <w:rPr>
          <w:sz w:val="24"/>
        </w:rPr>
        <w:t>in</w:t>
      </w:r>
      <w:r w:rsidRPr="00150EDC">
        <w:rPr>
          <w:spacing w:val="80"/>
          <w:sz w:val="24"/>
        </w:rPr>
        <w:t xml:space="preserve"> </w:t>
      </w:r>
      <w:r w:rsidRPr="00150EDC">
        <w:rPr>
          <w:sz w:val="24"/>
        </w:rPr>
        <w:t>compliance</w:t>
      </w:r>
      <w:r w:rsidRPr="00150EDC">
        <w:rPr>
          <w:spacing w:val="80"/>
          <w:sz w:val="24"/>
        </w:rPr>
        <w:t xml:space="preserve"> </w:t>
      </w:r>
      <w:r w:rsidRPr="00150EDC">
        <w:rPr>
          <w:sz w:val="24"/>
        </w:rPr>
        <w:t>with</w:t>
      </w:r>
      <w:r w:rsidRPr="00150EDC">
        <w:rPr>
          <w:spacing w:val="80"/>
          <w:sz w:val="24"/>
        </w:rPr>
        <w:t xml:space="preserve"> </w:t>
      </w:r>
      <w:r w:rsidRPr="00150EDC">
        <w:rPr>
          <w:sz w:val="24"/>
        </w:rPr>
        <w:t>Law, within15</w:t>
      </w:r>
      <w:r w:rsidRPr="00150EDC">
        <w:rPr>
          <w:spacing w:val="-6"/>
          <w:sz w:val="24"/>
        </w:rPr>
        <w:t xml:space="preserve"> </w:t>
      </w:r>
      <w:r w:rsidRPr="00150EDC">
        <w:rPr>
          <w:sz w:val="24"/>
        </w:rPr>
        <w:t>Working</w:t>
      </w:r>
      <w:r w:rsidRPr="00150EDC">
        <w:rPr>
          <w:spacing w:val="-13"/>
          <w:sz w:val="24"/>
        </w:rPr>
        <w:t xml:space="preserve"> </w:t>
      </w:r>
      <w:r w:rsidRPr="00150EDC">
        <w:rPr>
          <w:sz w:val="24"/>
        </w:rPr>
        <w:t>Days</w:t>
      </w:r>
      <w:r w:rsidRPr="00150EDC">
        <w:rPr>
          <w:spacing w:val="-15"/>
          <w:sz w:val="24"/>
        </w:rPr>
        <w:t xml:space="preserve"> </w:t>
      </w:r>
      <w:r w:rsidRPr="00150EDC">
        <w:rPr>
          <w:sz w:val="24"/>
        </w:rPr>
        <w:t>of</w:t>
      </w:r>
      <w:r w:rsidRPr="00150EDC">
        <w:rPr>
          <w:spacing w:val="-14"/>
          <w:sz w:val="24"/>
        </w:rPr>
        <w:t xml:space="preserve"> </w:t>
      </w:r>
      <w:r w:rsidRPr="00150EDC">
        <w:rPr>
          <w:sz w:val="24"/>
        </w:rPr>
        <w:t>receipt</w:t>
      </w:r>
      <w:r w:rsidRPr="00150EDC">
        <w:rPr>
          <w:spacing w:val="-14"/>
          <w:sz w:val="24"/>
        </w:rPr>
        <w:t xml:space="preserve"> </w:t>
      </w:r>
      <w:r w:rsidRPr="00150EDC">
        <w:rPr>
          <w:sz w:val="24"/>
        </w:rPr>
        <w:t>of</w:t>
      </w:r>
      <w:r w:rsidRPr="00150EDC">
        <w:rPr>
          <w:spacing w:val="-14"/>
          <w:sz w:val="24"/>
        </w:rPr>
        <w:t xml:space="preserve"> </w:t>
      </w:r>
      <w:r w:rsidRPr="00150EDC">
        <w:rPr>
          <w:sz w:val="24"/>
        </w:rPr>
        <w:t>notice</w:t>
      </w:r>
      <w:r w:rsidRPr="00150EDC">
        <w:rPr>
          <w:spacing w:val="-13"/>
          <w:sz w:val="24"/>
        </w:rPr>
        <w:t xml:space="preserve"> </w:t>
      </w:r>
      <w:r w:rsidRPr="00150EDC">
        <w:rPr>
          <w:sz w:val="24"/>
        </w:rPr>
        <w:t>from</w:t>
      </w:r>
      <w:r w:rsidRPr="00150EDC">
        <w:rPr>
          <w:spacing w:val="-14"/>
          <w:sz w:val="24"/>
        </w:rPr>
        <w:t xml:space="preserve"> </w:t>
      </w:r>
      <w:r w:rsidRPr="00150EDC">
        <w:rPr>
          <w:sz w:val="24"/>
        </w:rPr>
        <w:t>the</w:t>
      </w:r>
      <w:r w:rsidRPr="00150EDC">
        <w:rPr>
          <w:spacing w:val="-14"/>
          <w:sz w:val="24"/>
        </w:rPr>
        <w:t xml:space="preserve"> </w:t>
      </w:r>
      <w:r w:rsidRPr="00150EDC">
        <w:rPr>
          <w:sz w:val="24"/>
        </w:rPr>
        <w:t>Replacement Supplier and/or Replacement Subcontractor.</w:t>
      </w:r>
    </w:p>
    <w:p w14:paraId="61E59EEA" w14:textId="77777777" w:rsidR="004C7180" w:rsidRPr="00150EDC" w:rsidRDefault="00CF0754" w:rsidP="00B320C7">
      <w:pPr>
        <w:pStyle w:val="ListParagraph"/>
        <w:numPr>
          <w:ilvl w:val="1"/>
          <w:numId w:val="85"/>
        </w:numPr>
        <w:tabs>
          <w:tab w:val="left" w:pos="2117"/>
          <w:tab w:val="left" w:pos="2120"/>
        </w:tabs>
        <w:spacing w:before="121"/>
        <w:ind w:right="1433"/>
        <w:jc w:val="both"/>
        <w:rPr>
          <w:sz w:val="24"/>
        </w:rPr>
      </w:pPr>
      <w:r w:rsidRPr="00150EDC">
        <w:rPr>
          <w:sz w:val="24"/>
        </w:rPr>
        <w:t>If such offer of is accepted, or if the situation has otherwise been resolved by the Supplier or a Subcontractor, Buyer shall procure that the Replacement Supplier shall, or procure that the and/or Replacement Subcontractor shall, immediately</w:t>
      </w:r>
      <w:r w:rsidRPr="00150EDC">
        <w:rPr>
          <w:spacing w:val="-17"/>
          <w:sz w:val="24"/>
        </w:rPr>
        <w:t xml:space="preserve"> </w:t>
      </w:r>
      <w:r w:rsidRPr="00150EDC">
        <w:rPr>
          <w:sz w:val="24"/>
        </w:rPr>
        <w:t>release</w:t>
      </w:r>
      <w:r w:rsidRPr="00150EDC">
        <w:rPr>
          <w:spacing w:val="-17"/>
          <w:sz w:val="24"/>
        </w:rPr>
        <w:t xml:space="preserve"> </w:t>
      </w:r>
      <w:r w:rsidRPr="00150EDC">
        <w:rPr>
          <w:sz w:val="24"/>
        </w:rPr>
        <w:t>or</w:t>
      </w:r>
      <w:r w:rsidRPr="00150EDC">
        <w:rPr>
          <w:spacing w:val="-16"/>
          <w:sz w:val="24"/>
        </w:rPr>
        <w:t xml:space="preserve"> </w:t>
      </w:r>
      <w:r w:rsidRPr="00150EDC">
        <w:rPr>
          <w:sz w:val="24"/>
        </w:rPr>
        <w:t>procure</w:t>
      </w:r>
      <w:r w:rsidRPr="00150EDC">
        <w:rPr>
          <w:spacing w:val="-17"/>
          <w:sz w:val="24"/>
        </w:rPr>
        <w:t xml:space="preserve"> </w:t>
      </w:r>
      <w:r w:rsidRPr="00150EDC">
        <w:rPr>
          <w:sz w:val="24"/>
        </w:rPr>
        <w:t>the</w:t>
      </w:r>
      <w:r w:rsidRPr="00150EDC">
        <w:rPr>
          <w:spacing w:val="-17"/>
          <w:sz w:val="24"/>
        </w:rPr>
        <w:t xml:space="preserve"> </w:t>
      </w:r>
      <w:r w:rsidRPr="00150EDC">
        <w:rPr>
          <w:sz w:val="24"/>
        </w:rPr>
        <w:t>release</w:t>
      </w:r>
      <w:r w:rsidRPr="00150EDC">
        <w:rPr>
          <w:spacing w:val="-17"/>
          <w:sz w:val="24"/>
        </w:rPr>
        <w:t xml:space="preserve"> </w:t>
      </w:r>
      <w:r w:rsidRPr="00150EDC">
        <w:rPr>
          <w:sz w:val="24"/>
        </w:rPr>
        <w:t>the</w:t>
      </w:r>
      <w:r w:rsidRPr="00150EDC">
        <w:rPr>
          <w:spacing w:val="-16"/>
          <w:sz w:val="24"/>
        </w:rPr>
        <w:t xml:space="preserve"> </w:t>
      </w:r>
      <w:r w:rsidRPr="00150EDC">
        <w:rPr>
          <w:sz w:val="24"/>
        </w:rPr>
        <w:t>person</w:t>
      </w:r>
      <w:r w:rsidRPr="00150EDC">
        <w:rPr>
          <w:spacing w:val="-17"/>
          <w:sz w:val="24"/>
        </w:rPr>
        <w:t xml:space="preserve"> </w:t>
      </w:r>
      <w:r w:rsidRPr="00150EDC">
        <w:rPr>
          <w:sz w:val="24"/>
        </w:rPr>
        <w:t>from</w:t>
      </w:r>
      <w:r w:rsidRPr="00150EDC">
        <w:rPr>
          <w:spacing w:val="-17"/>
          <w:sz w:val="24"/>
        </w:rPr>
        <w:t xml:space="preserve"> </w:t>
      </w:r>
      <w:r w:rsidRPr="00150EDC">
        <w:rPr>
          <w:sz w:val="24"/>
        </w:rPr>
        <w:t>his/her</w:t>
      </w:r>
      <w:r w:rsidRPr="00150EDC">
        <w:rPr>
          <w:spacing w:val="-16"/>
          <w:sz w:val="24"/>
        </w:rPr>
        <w:t xml:space="preserve"> </w:t>
      </w:r>
      <w:r w:rsidRPr="00150EDC">
        <w:rPr>
          <w:sz w:val="24"/>
        </w:rPr>
        <w:t>employment or alleged employment;</w:t>
      </w:r>
    </w:p>
    <w:p w14:paraId="410E4EC0" w14:textId="77777777" w:rsidR="004C7180" w:rsidRPr="00150EDC" w:rsidRDefault="00CF0754" w:rsidP="00B320C7">
      <w:pPr>
        <w:pStyle w:val="ListParagraph"/>
        <w:numPr>
          <w:ilvl w:val="1"/>
          <w:numId w:val="85"/>
        </w:numPr>
        <w:tabs>
          <w:tab w:val="left" w:pos="2117"/>
        </w:tabs>
        <w:spacing w:before="117"/>
        <w:ind w:left="2117" w:hanging="717"/>
        <w:jc w:val="both"/>
        <w:rPr>
          <w:sz w:val="24"/>
        </w:rPr>
      </w:pPr>
      <w:r w:rsidRPr="00150EDC">
        <w:rPr>
          <w:sz w:val="24"/>
        </w:rPr>
        <w:t>If</w:t>
      </w:r>
      <w:r w:rsidRPr="00150EDC">
        <w:rPr>
          <w:spacing w:val="-3"/>
          <w:sz w:val="24"/>
        </w:rPr>
        <w:t xml:space="preserve"> </w:t>
      </w:r>
      <w:r w:rsidRPr="00150EDC">
        <w:rPr>
          <w:sz w:val="24"/>
        </w:rPr>
        <w:t>after</w:t>
      </w:r>
      <w:r w:rsidRPr="00150EDC">
        <w:rPr>
          <w:spacing w:val="-3"/>
          <w:sz w:val="24"/>
        </w:rPr>
        <w:t xml:space="preserve"> </w:t>
      </w:r>
      <w:r w:rsidRPr="00150EDC">
        <w:rPr>
          <w:sz w:val="24"/>
        </w:rPr>
        <w:t>the</w:t>
      </w:r>
      <w:r w:rsidRPr="00150EDC">
        <w:rPr>
          <w:spacing w:val="-1"/>
          <w:sz w:val="24"/>
        </w:rPr>
        <w:t xml:space="preserve"> </w:t>
      </w:r>
      <w:r w:rsidRPr="00150EDC">
        <w:rPr>
          <w:sz w:val="24"/>
        </w:rPr>
        <w:t>15</w:t>
      </w:r>
      <w:r w:rsidRPr="00150EDC">
        <w:rPr>
          <w:spacing w:val="-2"/>
          <w:sz w:val="24"/>
        </w:rPr>
        <w:t xml:space="preserve"> </w:t>
      </w:r>
      <w:r w:rsidRPr="00150EDC">
        <w:rPr>
          <w:sz w:val="24"/>
        </w:rPr>
        <w:t>Working</w:t>
      </w:r>
      <w:r w:rsidRPr="00150EDC">
        <w:rPr>
          <w:spacing w:val="-3"/>
          <w:sz w:val="24"/>
        </w:rPr>
        <w:t xml:space="preserve"> </w:t>
      </w:r>
      <w:r w:rsidRPr="00150EDC">
        <w:rPr>
          <w:sz w:val="24"/>
        </w:rPr>
        <w:t>Day</w:t>
      </w:r>
      <w:r w:rsidRPr="00150EDC">
        <w:rPr>
          <w:spacing w:val="-2"/>
          <w:sz w:val="24"/>
        </w:rPr>
        <w:t xml:space="preserve"> </w:t>
      </w:r>
      <w:r w:rsidRPr="00150EDC">
        <w:rPr>
          <w:sz w:val="24"/>
        </w:rPr>
        <w:t>period</w:t>
      </w:r>
      <w:r w:rsidRPr="00150EDC">
        <w:rPr>
          <w:spacing w:val="-2"/>
          <w:sz w:val="24"/>
        </w:rPr>
        <w:t xml:space="preserve"> </w:t>
      </w:r>
      <w:r w:rsidRPr="00150EDC">
        <w:rPr>
          <w:sz w:val="24"/>
        </w:rPr>
        <w:t>specified</w:t>
      </w:r>
      <w:r w:rsidRPr="00150EDC">
        <w:rPr>
          <w:spacing w:val="-1"/>
          <w:sz w:val="24"/>
        </w:rPr>
        <w:t xml:space="preserve"> </w:t>
      </w:r>
      <w:r w:rsidRPr="00150EDC">
        <w:rPr>
          <w:sz w:val="24"/>
        </w:rPr>
        <w:t>in</w:t>
      </w:r>
      <w:r w:rsidRPr="00150EDC">
        <w:rPr>
          <w:spacing w:val="-3"/>
          <w:sz w:val="24"/>
        </w:rPr>
        <w:t xml:space="preserve"> </w:t>
      </w:r>
      <w:r w:rsidRPr="00150EDC">
        <w:rPr>
          <w:sz w:val="24"/>
        </w:rPr>
        <w:t>Paragraph</w:t>
      </w:r>
      <w:r w:rsidRPr="00150EDC">
        <w:rPr>
          <w:spacing w:val="-3"/>
          <w:sz w:val="24"/>
        </w:rPr>
        <w:t xml:space="preserve"> </w:t>
      </w:r>
      <w:r w:rsidRPr="00150EDC">
        <w:rPr>
          <w:sz w:val="24"/>
        </w:rPr>
        <w:t>2.5.2</w:t>
      </w:r>
      <w:r w:rsidRPr="00150EDC">
        <w:rPr>
          <w:spacing w:val="-3"/>
          <w:sz w:val="24"/>
        </w:rPr>
        <w:t xml:space="preserve"> </w:t>
      </w:r>
      <w:r w:rsidRPr="00150EDC">
        <w:rPr>
          <w:sz w:val="24"/>
        </w:rPr>
        <w:t>has</w:t>
      </w:r>
      <w:r w:rsidRPr="00150EDC">
        <w:rPr>
          <w:spacing w:val="-3"/>
          <w:sz w:val="24"/>
        </w:rPr>
        <w:t xml:space="preserve"> </w:t>
      </w:r>
      <w:r w:rsidRPr="00150EDC">
        <w:rPr>
          <w:spacing w:val="-2"/>
          <w:sz w:val="24"/>
        </w:rPr>
        <w:t>elapsed:</w:t>
      </w:r>
    </w:p>
    <w:p w14:paraId="5CEFEA20" w14:textId="77777777" w:rsidR="004C7180" w:rsidRPr="00150EDC" w:rsidRDefault="00CF0754" w:rsidP="00B320C7">
      <w:pPr>
        <w:pStyle w:val="ListParagraph"/>
        <w:numPr>
          <w:ilvl w:val="2"/>
          <w:numId w:val="85"/>
        </w:numPr>
        <w:tabs>
          <w:tab w:val="left" w:pos="3612"/>
        </w:tabs>
        <w:spacing w:before="120"/>
        <w:rPr>
          <w:sz w:val="24"/>
        </w:rPr>
      </w:pPr>
      <w:r w:rsidRPr="00150EDC">
        <w:rPr>
          <w:sz w:val="24"/>
        </w:rPr>
        <w:t>no</w:t>
      </w:r>
      <w:r w:rsidRPr="00150EDC">
        <w:rPr>
          <w:spacing w:val="-2"/>
          <w:sz w:val="24"/>
        </w:rPr>
        <w:t xml:space="preserve"> </w:t>
      </w:r>
      <w:r w:rsidRPr="00150EDC">
        <w:rPr>
          <w:sz w:val="24"/>
        </w:rPr>
        <w:t>such</w:t>
      </w:r>
      <w:r w:rsidRPr="00150EDC">
        <w:rPr>
          <w:spacing w:val="-1"/>
          <w:sz w:val="24"/>
        </w:rPr>
        <w:t xml:space="preserve"> </w:t>
      </w:r>
      <w:r w:rsidRPr="00150EDC">
        <w:rPr>
          <w:sz w:val="24"/>
        </w:rPr>
        <w:t>offer</w:t>
      </w:r>
      <w:r w:rsidRPr="00150EDC">
        <w:rPr>
          <w:spacing w:val="-3"/>
          <w:sz w:val="24"/>
        </w:rPr>
        <w:t xml:space="preserve"> </w:t>
      </w:r>
      <w:r w:rsidRPr="00150EDC">
        <w:rPr>
          <w:sz w:val="24"/>
        </w:rPr>
        <w:t>has</w:t>
      </w:r>
      <w:r w:rsidRPr="00150EDC">
        <w:rPr>
          <w:spacing w:val="-2"/>
          <w:sz w:val="24"/>
        </w:rPr>
        <w:t xml:space="preserve"> </w:t>
      </w:r>
      <w:r w:rsidRPr="00150EDC">
        <w:rPr>
          <w:sz w:val="24"/>
        </w:rPr>
        <w:t>been</w:t>
      </w:r>
      <w:r w:rsidRPr="00150EDC">
        <w:rPr>
          <w:spacing w:val="-3"/>
          <w:sz w:val="24"/>
        </w:rPr>
        <w:t xml:space="preserve"> </w:t>
      </w:r>
      <w:r w:rsidRPr="00150EDC">
        <w:rPr>
          <w:spacing w:val="-2"/>
          <w:sz w:val="24"/>
        </w:rPr>
        <w:t>made:</w:t>
      </w:r>
    </w:p>
    <w:p w14:paraId="7AF5A750" w14:textId="77777777" w:rsidR="004C7180" w:rsidRPr="00150EDC" w:rsidRDefault="00CF0754" w:rsidP="00B320C7">
      <w:pPr>
        <w:pStyle w:val="ListParagraph"/>
        <w:numPr>
          <w:ilvl w:val="2"/>
          <w:numId w:val="85"/>
        </w:numPr>
        <w:tabs>
          <w:tab w:val="left" w:pos="3612"/>
        </w:tabs>
        <w:spacing w:before="120"/>
        <w:rPr>
          <w:sz w:val="24"/>
        </w:rPr>
      </w:pPr>
      <w:r w:rsidRPr="00150EDC">
        <w:rPr>
          <w:sz w:val="24"/>
        </w:rPr>
        <w:t>such</w:t>
      </w:r>
      <w:r w:rsidRPr="00150EDC">
        <w:rPr>
          <w:spacing w:val="-1"/>
          <w:sz w:val="24"/>
        </w:rPr>
        <w:t xml:space="preserve"> </w:t>
      </w:r>
      <w:r w:rsidRPr="00150EDC">
        <w:rPr>
          <w:sz w:val="24"/>
        </w:rPr>
        <w:t>offer</w:t>
      </w:r>
      <w:r w:rsidRPr="00150EDC">
        <w:rPr>
          <w:spacing w:val="-2"/>
          <w:sz w:val="24"/>
        </w:rPr>
        <w:t xml:space="preserve"> </w:t>
      </w:r>
      <w:r w:rsidRPr="00150EDC">
        <w:rPr>
          <w:sz w:val="24"/>
        </w:rPr>
        <w:t>has</w:t>
      </w:r>
      <w:r w:rsidRPr="00150EDC">
        <w:rPr>
          <w:spacing w:val="-2"/>
          <w:sz w:val="24"/>
        </w:rPr>
        <w:t xml:space="preserve"> </w:t>
      </w:r>
      <w:r w:rsidRPr="00150EDC">
        <w:rPr>
          <w:sz w:val="24"/>
        </w:rPr>
        <w:t>been made</w:t>
      </w:r>
      <w:r w:rsidRPr="00150EDC">
        <w:rPr>
          <w:spacing w:val="-2"/>
          <w:sz w:val="24"/>
        </w:rPr>
        <w:t xml:space="preserve"> </w:t>
      </w:r>
      <w:r w:rsidRPr="00150EDC">
        <w:rPr>
          <w:sz w:val="24"/>
        </w:rPr>
        <w:t>but</w:t>
      </w:r>
      <w:r w:rsidRPr="00150EDC">
        <w:rPr>
          <w:spacing w:val="-4"/>
          <w:sz w:val="24"/>
        </w:rPr>
        <w:t xml:space="preserve"> </w:t>
      </w:r>
      <w:r w:rsidRPr="00150EDC">
        <w:rPr>
          <w:sz w:val="24"/>
        </w:rPr>
        <w:t>not accepted;</w:t>
      </w:r>
      <w:r w:rsidRPr="00150EDC">
        <w:rPr>
          <w:spacing w:val="-3"/>
          <w:sz w:val="24"/>
        </w:rPr>
        <w:t xml:space="preserve"> </w:t>
      </w:r>
      <w:r w:rsidRPr="00150EDC">
        <w:rPr>
          <w:spacing w:val="-5"/>
          <w:sz w:val="24"/>
        </w:rPr>
        <w:t>or</w:t>
      </w:r>
    </w:p>
    <w:p w14:paraId="3D209229" w14:textId="77777777" w:rsidR="004C7180" w:rsidRPr="00150EDC" w:rsidRDefault="00CF0754" w:rsidP="00B320C7">
      <w:pPr>
        <w:pStyle w:val="ListParagraph"/>
        <w:numPr>
          <w:ilvl w:val="2"/>
          <w:numId w:val="85"/>
        </w:numPr>
        <w:tabs>
          <w:tab w:val="left" w:pos="3612"/>
        </w:tabs>
        <w:spacing w:before="120"/>
        <w:rPr>
          <w:sz w:val="24"/>
        </w:rPr>
      </w:pPr>
      <w:r w:rsidRPr="00150EDC">
        <w:rPr>
          <w:sz w:val="24"/>
        </w:rPr>
        <w:t>the</w:t>
      </w:r>
      <w:r w:rsidRPr="00150EDC">
        <w:rPr>
          <w:spacing w:val="-2"/>
          <w:sz w:val="24"/>
        </w:rPr>
        <w:t xml:space="preserve"> </w:t>
      </w:r>
      <w:r w:rsidRPr="00150EDC">
        <w:rPr>
          <w:sz w:val="24"/>
        </w:rPr>
        <w:t>situation</w:t>
      </w:r>
      <w:r w:rsidRPr="00150EDC">
        <w:rPr>
          <w:spacing w:val="-2"/>
          <w:sz w:val="24"/>
        </w:rPr>
        <w:t xml:space="preserve"> </w:t>
      </w:r>
      <w:r w:rsidRPr="00150EDC">
        <w:rPr>
          <w:sz w:val="24"/>
        </w:rPr>
        <w:t>has</w:t>
      </w:r>
      <w:r w:rsidRPr="00150EDC">
        <w:rPr>
          <w:spacing w:val="-2"/>
          <w:sz w:val="24"/>
        </w:rPr>
        <w:t xml:space="preserve"> </w:t>
      </w:r>
      <w:r w:rsidRPr="00150EDC">
        <w:rPr>
          <w:sz w:val="24"/>
        </w:rPr>
        <w:t>not</w:t>
      </w:r>
      <w:r w:rsidRPr="00150EDC">
        <w:rPr>
          <w:spacing w:val="-2"/>
          <w:sz w:val="24"/>
        </w:rPr>
        <w:t xml:space="preserve"> </w:t>
      </w:r>
      <w:r w:rsidRPr="00150EDC">
        <w:rPr>
          <w:sz w:val="24"/>
        </w:rPr>
        <w:t>otherwise</w:t>
      </w:r>
      <w:r w:rsidRPr="00150EDC">
        <w:rPr>
          <w:spacing w:val="-2"/>
          <w:sz w:val="24"/>
        </w:rPr>
        <w:t xml:space="preserve"> </w:t>
      </w:r>
      <w:r w:rsidRPr="00150EDC">
        <w:rPr>
          <w:sz w:val="24"/>
        </w:rPr>
        <w:t>been</w:t>
      </w:r>
      <w:r w:rsidRPr="00150EDC">
        <w:rPr>
          <w:spacing w:val="-1"/>
          <w:sz w:val="24"/>
        </w:rPr>
        <w:t xml:space="preserve"> </w:t>
      </w:r>
      <w:r w:rsidRPr="00150EDC">
        <w:rPr>
          <w:spacing w:val="-2"/>
          <w:sz w:val="24"/>
        </w:rPr>
        <w:t>resolved</w:t>
      </w:r>
    </w:p>
    <w:p w14:paraId="25941087" w14:textId="77777777" w:rsidR="004C7180" w:rsidRPr="00150EDC" w:rsidRDefault="00CF0754">
      <w:pPr>
        <w:pStyle w:val="BodyText"/>
        <w:spacing w:before="120"/>
        <w:ind w:left="2393" w:right="1432" w:hanging="1080"/>
        <w:jc w:val="both"/>
      </w:pPr>
      <w:r w:rsidRPr="00150EDC">
        <w:t>the Buyer shall advise the Replacement Supplier and/or Replacement Subcontractor (as appropriate) that it may within 5</w:t>
      </w:r>
      <w:r w:rsidRPr="00150EDC">
        <w:rPr>
          <w:spacing w:val="-4"/>
        </w:rPr>
        <w:t xml:space="preserve"> </w:t>
      </w:r>
      <w:r w:rsidRPr="00150EDC">
        <w:t>Working Days give notice to terminate the employment or alleged employment of such person;</w:t>
      </w:r>
    </w:p>
    <w:p w14:paraId="3C4AD885" w14:textId="77777777" w:rsidR="004C7180" w:rsidRPr="00150EDC" w:rsidRDefault="00CF0754" w:rsidP="00B320C7">
      <w:pPr>
        <w:pStyle w:val="ListParagraph"/>
        <w:numPr>
          <w:ilvl w:val="1"/>
          <w:numId w:val="85"/>
        </w:numPr>
        <w:tabs>
          <w:tab w:val="left" w:pos="2117"/>
          <w:tab w:val="left" w:pos="2120"/>
        </w:tabs>
        <w:spacing w:before="120"/>
        <w:ind w:right="1432"/>
        <w:jc w:val="both"/>
        <w:rPr>
          <w:sz w:val="24"/>
        </w:rPr>
      </w:pPr>
      <w:r w:rsidRPr="00150EDC">
        <w:rPr>
          <w:sz w:val="24"/>
        </w:rPr>
        <w:t>Subject to the Replacement Supplier's and/or Replacement Subcontractor acting in accordance with the provisions of Paragraphs</w:t>
      </w:r>
      <w:r w:rsidRPr="00150EDC">
        <w:rPr>
          <w:spacing w:val="-4"/>
          <w:sz w:val="24"/>
        </w:rPr>
        <w:t xml:space="preserve"> </w:t>
      </w:r>
      <w:r w:rsidRPr="00150EDC">
        <w:rPr>
          <w:sz w:val="24"/>
        </w:rPr>
        <w:t>2.5 to 2.7 and in accordance with all applicable proper employment procedures set out in applicable</w:t>
      </w:r>
      <w:r w:rsidRPr="00150EDC">
        <w:rPr>
          <w:spacing w:val="-4"/>
          <w:sz w:val="24"/>
        </w:rPr>
        <w:t xml:space="preserve"> </w:t>
      </w:r>
      <w:r w:rsidRPr="00150EDC">
        <w:rPr>
          <w:sz w:val="24"/>
        </w:rPr>
        <w:t>Law</w:t>
      </w:r>
      <w:r w:rsidRPr="00150EDC">
        <w:rPr>
          <w:spacing w:val="-6"/>
          <w:sz w:val="24"/>
        </w:rPr>
        <w:t xml:space="preserve"> </w:t>
      </w:r>
      <w:r w:rsidRPr="00150EDC">
        <w:rPr>
          <w:sz w:val="24"/>
        </w:rPr>
        <w:t>and</w:t>
      </w:r>
      <w:r w:rsidRPr="00150EDC">
        <w:rPr>
          <w:spacing w:val="-7"/>
          <w:sz w:val="24"/>
        </w:rPr>
        <w:t xml:space="preserve"> </w:t>
      </w:r>
      <w:r w:rsidRPr="00150EDC">
        <w:rPr>
          <w:sz w:val="24"/>
        </w:rPr>
        <w:t>subject</w:t>
      </w:r>
      <w:r w:rsidRPr="00150EDC">
        <w:rPr>
          <w:spacing w:val="-5"/>
          <w:sz w:val="24"/>
        </w:rPr>
        <w:t xml:space="preserve"> </w:t>
      </w:r>
      <w:r w:rsidRPr="00150EDC">
        <w:rPr>
          <w:sz w:val="24"/>
        </w:rPr>
        <w:t>to</w:t>
      </w:r>
      <w:r w:rsidRPr="00150EDC">
        <w:rPr>
          <w:spacing w:val="-7"/>
          <w:sz w:val="24"/>
        </w:rPr>
        <w:t xml:space="preserve"> </w:t>
      </w:r>
      <w:r w:rsidRPr="00150EDC">
        <w:rPr>
          <w:sz w:val="24"/>
        </w:rPr>
        <w:t>Paragraph</w:t>
      </w:r>
      <w:r w:rsidRPr="00150EDC">
        <w:rPr>
          <w:spacing w:val="-7"/>
          <w:sz w:val="24"/>
        </w:rPr>
        <w:t xml:space="preserve"> </w:t>
      </w:r>
      <w:r w:rsidRPr="00150EDC">
        <w:rPr>
          <w:sz w:val="24"/>
        </w:rPr>
        <w:t>2.9</w:t>
      </w:r>
      <w:r w:rsidRPr="00150EDC">
        <w:rPr>
          <w:spacing w:val="-7"/>
          <w:sz w:val="24"/>
        </w:rPr>
        <w:t xml:space="preserve"> </w:t>
      </w:r>
      <w:r w:rsidRPr="00150EDC">
        <w:rPr>
          <w:sz w:val="24"/>
        </w:rPr>
        <w:t>below,</w:t>
      </w:r>
      <w:r w:rsidRPr="00150EDC">
        <w:rPr>
          <w:spacing w:val="-7"/>
          <w:sz w:val="24"/>
        </w:rPr>
        <w:t xml:space="preserve"> </w:t>
      </w:r>
      <w:r w:rsidRPr="00150EDC">
        <w:rPr>
          <w:sz w:val="24"/>
        </w:rPr>
        <w:t>the</w:t>
      </w:r>
      <w:r w:rsidRPr="00150EDC">
        <w:rPr>
          <w:spacing w:val="-7"/>
          <w:sz w:val="24"/>
        </w:rPr>
        <w:t xml:space="preserve"> </w:t>
      </w:r>
      <w:r w:rsidRPr="00150EDC">
        <w:rPr>
          <w:sz w:val="24"/>
        </w:rPr>
        <w:t>Supplier</w:t>
      </w:r>
      <w:r w:rsidRPr="00150EDC">
        <w:rPr>
          <w:spacing w:val="-6"/>
          <w:sz w:val="24"/>
        </w:rPr>
        <w:t xml:space="preserve"> </w:t>
      </w:r>
      <w:r w:rsidRPr="00150EDC">
        <w:rPr>
          <w:sz w:val="24"/>
        </w:rPr>
        <w:t>will</w:t>
      </w:r>
      <w:r w:rsidRPr="00150EDC">
        <w:rPr>
          <w:spacing w:val="-6"/>
          <w:sz w:val="24"/>
        </w:rPr>
        <w:t xml:space="preserve"> </w:t>
      </w:r>
      <w:r w:rsidRPr="00150EDC">
        <w:rPr>
          <w:sz w:val="24"/>
        </w:rPr>
        <w:t>indemnify the Replacement Supplier and/or Replacement Subcontractor against all Employee Liabilities arising out of the termination of the employment of any of the</w:t>
      </w:r>
      <w:r w:rsidRPr="00150EDC">
        <w:rPr>
          <w:spacing w:val="-11"/>
          <w:sz w:val="24"/>
        </w:rPr>
        <w:t xml:space="preserve"> </w:t>
      </w:r>
      <w:r w:rsidRPr="00150EDC">
        <w:rPr>
          <w:sz w:val="24"/>
        </w:rPr>
        <w:t>Supplier's</w:t>
      </w:r>
      <w:r w:rsidRPr="00150EDC">
        <w:rPr>
          <w:spacing w:val="40"/>
          <w:sz w:val="24"/>
        </w:rPr>
        <w:t xml:space="preserve"> </w:t>
      </w:r>
      <w:r w:rsidRPr="00150EDC">
        <w:rPr>
          <w:sz w:val="24"/>
        </w:rPr>
        <w:t>employees</w:t>
      </w:r>
      <w:r w:rsidRPr="00150EDC">
        <w:rPr>
          <w:spacing w:val="-12"/>
          <w:sz w:val="24"/>
        </w:rPr>
        <w:t xml:space="preserve"> </w:t>
      </w:r>
      <w:r w:rsidRPr="00150EDC">
        <w:rPr>
          <w:sz w:val="24"/>
        </w:rPr>
        <w:t>pursuant</w:t>
      </w:r>
      <w:r w:rsidRPr="00150EDC">
        <w:rPr>
          <w:spacing w:val="-11"/>
          <w:sz w:val="24"/>
        </w:rPr>
        <w:t xml:space="preserve"> </w:t>
      </w:r>
      <w:r w:rsidRPr="00150EDC">
        <w:rPr>
          <w:sz w:val="24"/>
        </w:rPr>
        <w:t>to</w:t>
      </w:r>
      <w:r w:rsidRPr="00150EDC">
        <w:rPr>
          <w:spacing w:val="-11"/>
          <w:sz w:val="24"/>
        </w:rPr>
        <w:t xml:space="preserve"> </w:t>
      </w:r>
      <w:r w:rsidRPr="00150EDC">
        <w:rPr>
          <w:sz w:val="24"/>
        </w:rPr>
        <w:t>the</w:t>
      </w:r>
      <w:r w:rsidRPr="00150EDC">
        <w:rPr>
          <w:spacing w:val="-13"/>
          <w:sz w:val="24"/>
        </w:rPr>
        <w:t xml:space="preserve"> </w:t>
      </w:r>
      <w:r w:rsidRPr="00150EDC">
        <w:rPr>
          <w:sz w:val="24"/>
        </w:rPr>
        <w:t>provisions</w:t>
      </w:r>
      <w:r w:rsidRPr="00150EDC">
        <w:rPr>
          <w:spacing w:val="-12"/>
          <w:sz w:val="24"/>
        </w:rPr>
        <w:t xml:space="preserve"> </w:t>
      </w:r>
      <w:r w:rsidRPr="00150EDC">
        <w:rPr>
          <w:sz w:val="24"/>
        </w:rPr>
        <w:t>of</w:t>
      </w:r>
      <w:r w:rsidRPr="00150EDC">
        <w:rPr>
          <w:spacing w:val="-11"/>
          <w:sz w:val="24"/>
        </w:rPr>
        <w:t xml:space="preserve"> </w:t>
      </w:r>
      <w:r w:rsidRPr="00150EDC">
        <w:rPr>
          <w:sz w:val="24"/>
        </w:rPr>
        <w:t>Paragraph</w:t>
      </w:r>
      <w:r w:rsidRPr="00150EDC">
        <w:rPr>
          <w:spacing w:val="-5"/>
          <w:sz w:val="24"/>
        </w:rPr>
        <w:t xml:space="preserve"> </w:t>
      </w:r>
      <w:r w:rsidRPr="00150EDC">
        <w:rPr>
          <w:sz w:val="24"/>
        </w:rPr>
        <w:t>2.7</w:t>
      </w:r>
      <w:r w:rsidRPr="00150EDC">
        <w:rPr>
          <w:spacing w:val="-11"/>
          <w:sz w:val="24"/>
        </w:rPr>
        <w:t xml:space="preserve"> </w:t>
      </w:r>
      <w:r w:rsidRPr="00150EDC">
        <w:rPr>
          <w:sz w:val="24"/>
        </w:rPr>
        <w:t xml:space="preserve">provided that the Replacement Supplier takes, or shall procure that the Replacement Subcontractor takes, all reasonable steps to minimise any such Employee </w:t>
      </w:r>
      <w:r w:rsidRPr="00150EDC">
        <w:rPr>
          <w:spacing w:val="-2"/>
          <w:sz w:val="24"/>
        </w:rPr>
        <w:t>Liabilities.</w:t>
      </w:r>
    </w:p>
    <w:p w14:paraId="1E61391D" w14:textId="77777777" w:rsidR="004C7180" w:rsidRPr="00150EDC" w:rsidRDefault="00CF0754" w:rsidP="00B320C7">
      <w:pPr>
        <w:pStyle w:val="ListParagraph"/>
        <w:numPr>
          <w:ilvl w:val="1"/>
          <w:numId w:val="85"/>
        </w:numPr>
        <w:tabs>
          <w:tab w:val="left" w:pos="2117"/>
        </w:tabs>
        <w:spacing w:before="121"/>
        <w:ind w:left="2117" w:hanging="717"/>
        <w:jc w:val="both"/>
        <w:rPr>
          <w:sz w:val="24"/>
        </w:rPr>
      </w:pPr>
      <w:r w:rsidRPr="00150EDC">
        <w:rPr>
          <w:sz w:val="24"/>
        </w:rPr>
        <w:t>The</w:t>
      </w:r>
      <w:r w:rsidRPr="00150EDC">
        <w:rPr>
          <w:spacing w:val="-2"/>
          <w:sz w:val="24"/>
        </w:rPr>
        <w:t xml:space="preserve"> </w:t>
      </w:r>
      <w:r w:rsidRPr="00150EDC">
        <w:rPr>
          <w:sz w:val="24"/>
        </w:rPr>
        <w:t>indemnity</w:t>
      </w:r>
      <w:r w:rsidRPr="00150EDC">
        <w:rPr>
          <w:spacing w:val="-3"/>
          <w:sz w:val="24"/>
        </w:rPr>
        <w:t xml:space="preserve"> </w:t>
      </w:r>
      <w:r w:rsidRPr="00150EDC">
        <w:rPr>
          <w:sz w:val="24"/>
        </w:rPr>
        <w:t>in</w:t>
      </w:r>
      <w:r w:rsidRPr="00150EDC">
        <w:rPr>
          <w:spacing w:val="-4"/>
          <w:sz w:val="24"/>
        </w:rPr>
        <w:t xml:space="preserve"> </w:t>
      </w:r>
      <w:r w:rsidRPr="00150EDC">
        <w:rPr>
          <w:sz w:val="24"/>
        </w:rPr>
        <w:t>Paragraph</w:t>
      </w:r>
      <w:r w:rsidRPr="00150EDC">
        <w:rPr>
          <w:spacing w:val="-4"/>
          <w:sz w:val="24"/>
        </w:rPr>
        <w:t xml:space="preserve"> 2.8:</w:t>
      </w:r>
    </w:p>
    <w:p w14:paraId="12D8DC5D" w14:textId="77777777" w:rsidR="004C7180" w:rsidRPr="00150EDC" w:rsidRDefault="00CF0754" w:rsidP="00B320C7">
      <w:pPr>
        <w:pStyle w:val="ListParagraph"/>
        <w:numPr>
          <w:ilvl w:val="2"/>
          <w:numId w:val="85"/>
        </w:numPr>
        <w:tabs>
          <w:tab w:val="left" w:pos="3677"/>
        </w:tabs>
        <w:spacing w:before="120"/>
        <w:ind w:left="3677" w:hanging="1145"/>
        <w:jc w:val="both"/>
        <w:rPr>
          <w:sz w:val="24"/>
        </w:rPr>
      </w:pPr>
      <w:r w:rsidRPr="00150EDC">
        <w:rPr>
          <w:sz w:val="24"/>
        </w:rPr>
        <w:t>shall</w:t>
      </w:r>
      <w:r w:rsidRPr="00150EDC">
        <w:rPr>
          <w:spacing w:val="-2"/>
          <w:sz w:val="24"/>
        </w:rPr>
        <w:t xml:space="preserve"> </w:t>
      </w:r>
      <w:r w:rsidRPr="00150EDC">
        <w:rPr>
          <w:sz w:val="24"/>
        </w:rPr>
        <w:t>not</w:t>
      </w:r>
      <w:r w:rsidRPr="00150EDC">
        <w:rPr>
          <w:spacing w:val="-1"/>
          <w:sz w:val="24"/>
        </w:rPr>
        <w:t xml:space="preserve"> </w:t>
      </w:r>
      <w:r w:rsidRPr="00150EDC">
        <w:rPr>
          <w:sz w:val="24"/>
        </w:rPr>
        <w:t>apply</w:t>
      </w:r>
      <w:r w:rsidRPr="00150EDC">
        <w:rPr>
          <w:spacing w:val="-1"/>
          <w:sz w:val="24"/>
        </w:rPr>
        <w:t xml:space="preserve"> </w:t>
      </w:r>
      <w:r w:rsidRPr="00150EDC">
        <w:rPr>
          <w:spacing w:val="-5"/>
          <w:sz w:val="24"/>
        </w:rPr>
        <w:t>to:</w:t>
      </w:r>
    </w:p>
    <w:p w14:paraId="248A928F" w14:textId="77777777" w:rsidR="004C7180" w:rsidRPr="00150EDC" w:rsidRDefault="004C7180">
      <w:pPr>
        <w:jc w:val="both"/>
        <w:rPr>
          <w:sz w:val="24"/>
        </w:rPr>
        <w:sectPr w:rsidR="004C7180" w:rsidRPr="00150EDC">
          <w:pgSz w:w="11910" w:h="16840"/>
          <w:pgMar w:top="1380" w:right="0" w:bottom="1380" w:left="40" w:header="715" w:footer="1192" w:gutter="0"/>
          <w:cols w:space="720"/>
        </w:sectPr>
      </w:pPr>
    </w:p>
    <w:p w14:paraId="73254952" w14:textId="77777777" w:rsidR="004C7180" w:rsidRPr="00150EDC" w:rsidRDefault="004C7180">
      <w:pPr>
        <w:pStyle w:val="BodyText"/>
        <w:spacing w:before="5"/>
        <w:rPr>
          <w:sz w:val="15"/>
        </w:rPr>
      </w:pPr>
    </w:p>
    <w:p w14:paraId="787AB2AA" w14:textId="77777777" w:rsidR="004C7180" w:rsidRPr="00150EDC" w:rsidRDefault="00CF0754" w:rsidP="00B320C7">
      <w:pPr>
        <w:pStyle w:val="ListParagraph"/>
        <w:numPr>
          <w:ilvl w:val="3"/>
          <w:numId w:val="85"/>
        </w:numPr>
        <w:tabs>
          <w:tab w:val="left" w:pos="4279"/>
        </w:tabs>
        <w:spacing w:before="92"/>
        <w:ind w:left="4279" w:hanging="1079"/>
        <w:jc w:val="both"/>
        <w:rPr>
          <w:sz w:val="24"/>
        </w:rPr>
      </w:pPr>
      <w:r w:rsidRPr="00150EDC">
        <w:rPr>
          <w:sz w:val="24"/>
        </w:rPr>
        <w:t>any</w:t>
      </w:r>
      <w:r w:rsidRPr="00150EDC">
        <w:rPr>
          <w:spacing w:val="-2"/>
          <w:sz w:val="24"/>
        </w:rPr>
        <w:t xml:space="preserve"> </w:t>
      </w:r>
      <w:r w:rsidRPr="00150EDC">
        <w:rPr>
          <w:sz w:val="24"/>
        </w:rPr>
        <w:t xml:space="preserve">claim </w:t>
      </w:r>
      <w:r w:rsidRPr="00150EDC">
        <w:rPr>
          <w:spacing w:val="-4"/>
          <w:sz w:val="24"/>
        </w:rPr>
        <w:t>for:</w:t>
      </w:r>
    </w:p>
    <w:p w14:paraId="162528E9" w14:textId="77777777" w:rsidR="004C7180" w:rsidRPr="00150EDC" w:rsidRDefault="00CF0754" w:rsidP="00B320C7">
      <w:pPr>
        <w:pStyle w:val="ListParagraph"/>
        <w:numPr>
          <w:ilvl w:val="4"/>
          <w:numId w:val="85"/>
        </w:numPr>
        <w:tabs>
          <w:tab w:val="left" w:pos="5718"/>
          <w:tab w:val="left" w:pos="5720"/>
        </w:tabs>
        <w:spacing w:before="120"/>
        <w:ind w:right="1433"/>
        <w:jc w:val="both"/>
        <w:rPr>
          <w:sz w:val="24"/>
        </w:rPr>
      </w:pPr>
      <w:r w:rsidRPr="00150EDC">
        <w:rPr>
          <w:sz w:val="24"/>
        </w:rPr>
        <w:t>discrimination, including on the grounds of sex, race, disability, age, gender reassignment, marriage or civil partnership, pregnancy and maternity or sexual orientation, religion or belief; or</w:t>
      </w:r>
    </w:p>
    <w:p w14:paraId="2A9F1D95" w14:textId="77777777" w:rsidR="004C7180" w:rsidRPr="00150EDC" w:rsidRDefault="004C7180">
      <w:pPr>
        <w:pStyle w:val="BodyText"/>
        <w:spacing w:before="10"/>
        <w:rPr>
          <w:sz w:val="20"/>
        </w:rPr>
      </w:pPr>
    </w:p>
    <w:p w14:paraId="353E93AD" w14:textId="77777777" w:rsidR="004C7180" w:rsidRPr="00150EDC" w:rsidRDefault="00CF0754" w:rsidP="00B320C7">
      <w:pPr>
        <w:pStyle w:val="ListParagraph"/>
        <w:numPr>
          <w:ilvl w:val="4"/>
          <w:numId w:val="85"/>
        </w:numPr>
        <w:tabs>
          <w:tab w:val="left" w:pos="5718"/>
          <w:tab w:val="left" w:pos="5720"/>
        </w:tabs>
        <w:ind w:right="1433"/>
        <w:jc w:val="both"/>
        <w:rPr>
          <w:sz w:val="24"/>
        </w:rPr>
      </w:pPr>
      <w:r w:rsidRPr="00150EDC">
        <w:rPr>
          <w:sz w:val="24"/>
        </w:rPr>
        <w:t>equal pay or compensation for less favourable treatment of part-time workers or fixed-term employees,</w:t>
      </w:r>
    </w:p>
    <w:p w14:paraId="3CB436AE" w14:textId="77777777" w:rsidR="004C7180" w:rsidRPr="00150EDC" w:rsidRDefault="004C7180">
      <w:pPr>
        <w:pStyle w:val="BodyText"/>
        <w:spacing w:before="10"/>
        <w:rPr>
          <w:sz w:val="20"/>
        </w:rPr>
      </w:pPr>
    </w:p>
    <w:p w14:paraId="68A27B17" w14:textId="77777777" w:rsidR="004C7180" w:rsidRPr="00150EDC" w:rsidRDefault="00CF0754">
      <w:pPr>
        <w:pStyle w:val="BodyText"/>
        <w:spacing w:before="1"/>
        <w:ind w:left="4999" w:right="1434" w:hanging="720"/>
        <w:jc w:val="both"/>
      </w:pPr>
      <w:r w:rsidRPr="00150EDC">
        <w:t>In</w:t>
      </w:r>
      <w:r w:rsidRPr="00150EDC">
        <w:rPr>
          <w:spacing w:val="-11"/>
        </w:rPr>
        <w:t xml:space="preserve"> </w:t>
      </w:r>
      <w:r w:rsidRPr="00150EDC">
        <w:t>any</w:t>
      </w:r>
      <w:r w:rsidRPr="00150EDC">
        <w:rPr>
          <w:spacing w:val="-12"/>
        </w:rPr>
        <w:t xml:space="preserve"> </w:t>
      </w:r>
      <w:r w:rsidRPr="00150EDC">
        <w:t>case</w:t>
      </w:r>
      <w:r w:rsidRPr="00150EDC">
        <w:rPr>
          <w:spacing w:val="-11"/>
        </w:rPr>
        <w:t xml:space="preserve"> </w:t>
      </w:r>
      <w:r w:rsidRPr="00150EDC">
        <w:t>in</w:t>
      </w:r>
      <w:r w:rsidRPr="00150EDC">
        <w:rPr>
          <w:spacing w:val="-11"/>
        </w:rPr>
        <w:t xml:space="preserve"> </w:t>
      </w:r>
      <w:r w:rsidRPr="00150EDC">
        <w:t>relation</w:t>
      </w:r>
      <w:r w:rsidRPr="00150EDC">
        <w:rPr>
          <w:spacing w:val="-11"/>
        </w:rPr>
        <w:t xml:space="preserve"> </w:t>
      </w:r>
      <w:r w:rsidRPr="00150EDC">
        <w:t>to</w:t>
      </w:r>
      <w:r w:rsidRPr="00150EDC">
        <w:rPr>
          <w:spacing w:val="-9"/>
        </w:rPr>
        <w:t xml:space="preserve"> </w:t>
      </w:r>
      <w:r w:rsidRPr="00150EDC">
        <w:t>any</w:t>
      </w:r>
      <w:r w:rsidRPr="00150EDC">
        <w:rPr>
          <w:spacing w:val="-12"/>
        </w:rPr>
        <w:t xml:space="preserve"> </w:t>
      </w:r>
      <w:r w:rsidRPr="00150EDC">
        <w:t>alleged</w:t>
      </w:r>
      <w:r w:rsidRPr="00150EDC">
        <w:rPr>
          <w:spacing w:val="-11"/>
        </w:rPr>
        <w:t xml:space="preserve"> </w:t>
      </w:r>
      <w:r w:rsidRPr="00150EDC">
        <w:t>act</w:t>
      </w:r>
      <w:r w:rsidRPr="00150EDC">
        <w:rPr>
          <w:spacing w:val="-11"/>
        </w:rPr>
        <w:t xml:space="preserve"> </w:t>
      </w:r>
      <w:r w:rsidRPr="00150EDC">
        <w:t>or</w:t>
      </w:r>
      <w:r w:rsidRPr="00150EDC">
        <w:rPr>
          <w:spacing w:val="-12"/>
        </w:rPr>
        <w:t xml:space="preserve"> </w:t>
      </w:r>
      <w:r w:rsidRPr="00150EDC">
        <w:t>omission</w:t>
      </w:r>
      <w:r w:rsidRPr="00150EDC">
        <w:rPr>
          <w:spacing w:val="-9"/>
        </w:rPr>
        <w:t xml:space="preserve"> </w:t>
      </w:r>
      <w:r w:rsidRPr="00150EDC">
        <w:t>of</w:t>
      </w:r>
      <w:r w:rsidRPr="00150EDC">
        <w:rPr>
          <w:spacing w:val="-10"/>
        </w:rPr>
        <w:t xml:space="preserve"> </w:t>
      </w:r>
      <w:r w:rsidRPr="00150EDC">
        <w:t>the Replacement Supplier and/or Replacement Subcontractor, or</w:t>
      </w:r>
    </w:p>
    <w:p w14:paraId="3C58FEF1" w14:textId="77777777" w:rsidR="004C7180" w:rsidRPr="00150EDC" w:rsidRDefault="004C7180">
      <w:pPr>
        <w:pStyle w:val="BodyText"/>
        <w:spacing w:before="9"/>
        <w:rPr>
          <w:sz w:val="20"/>
        </w:rPr>
      </w:pPr>
    </w:p>
    <w:p w14:paraId="3D39385F" w14:textId="77777777" w:rsidR="004C7180" w:rsidRPr="00150EDC" w:rsidRDefault="00CF0754" w:rsidP="00B320C7">
      <w:pPr>
        <w:pStyle w:val="ListParagraph"/>
        <w:numPr>
          <w:ilvl w:val="3"/>
          <w:numId w:val="85"/>
        </w:numPr>
        <w:tabs>
          <w:tab w:val="left" w:pos="4279"/>
        </w:tabs>
        <w:spacing w:before="1"/>
        <w:ind w:left="4279" w:right="1434" w:hanging="1080"/>
        <w:jc w:val="both"/>
        <w:rPr>
          <w:sz w:val="24"/>
        </w:rPr>
      </w:pPr>
      <w:r w:rsidRPr="00150EDC">
        <w:rPr>
          <w:sz w:val="24"/>
        </w:rPr>
        <w:t>any claim that the termination of employment was unfair because the Replacement Supplier and/or Replacement Subcontractor neglected to follow a fair dismissal procedure; and</w:t>
      </w:r>
    </w:p>
    <w:p w14:paraId="57345FAA" w14:textId="77777777" w:rsidR="004C7180" w:rsidRPr="00150EDC" w:rsidRDefault="00CF0754" w:rsidP="00B320C7">
      <w:pPr>
        <w:pStyle w:val="ListParagraph"/>
        <w:numPr>
          <w:ilvl w:val="2"/>
          <w:numId w:val="85"/>
        </w:numPr>
        <w:tabs>
          <w:tab w:val="left" w:pos="3612"/>
        </w:tabs>
        <w:spacing w:before="120"/>
        <w:ind w:right="1435"/>
        <w:jc w:val="both"/>
        <w:rPr>
          <w:sz w:val="24"/>
        </w:rPr>
      </w:pPr>
      <w:r w:rsidRPr="00150EDC">
        <w:rPr>
          <w:sz w:val="24"/>
        </w:rPr>
        <w:t>shall</w:t>
      </w:r>
      <w:r w:rsidRPr="00150EDC">
        <w:rPr>
          <w:spacing w:val="40"/>
          <w:sz w:val="24"/>
        </w:rPr>
        <w:t xml:space="preserve"> </w:t>
      </w:r>
      <w:r w:rsidRPr="00150EDC">
        <w:rPr>
          <w:sz w:val="24"/>
        </w:rPr>
        <w:t>apply</w:t>
      </w:r>
      <w:r w:rsidRPr="00150EDC">
        <w:rPr>
          <w:spacing w:val="40"/>
          <w:sz w:val="24"/>
        </w:rPr>
        <w:t xml:space="preserve"> </w:t>
      </w:r>
      <w:r w:rsidRPr="00150EDC">
        <w:rPr>
          <w:sz w:val="24"/>
        </w:rPr>
        <w:t>only</w:t>
      </w:r>
      <w:r w:rsidRPr="00150EDC">
        <w:rPr>
          <w:spacing w:val="40"/>
          <w:sz w:val="24"/>
        </w:rPr>
        <w:t xml:space="preserve"> </w:t>
      </w:r>
      <w:r w:rsidRPr="00150EDC">
        <w:rPr>
          <w:sz w:val="24"/>
        </w:rPr>
        <w:t>where</w:t>
      </w:r>
      <w:r w:rsidRPr="00150EDC">
        <w:rPr>
          <w:spacing w:val="40"/>
          <w:sz w:val="24"/>
        </w:rPr>
        <w:t xml:space="preserve"> </w:t>
      </w:r>
      <w:r w:rsidRPr="00150EDC">
        <w:rPr>
          <w:sz w:val="24"/>
        </w:rPr>
        <w:t>the</w:t>
      </w:r>
      <w:r w:rsidRPr="00150EDC">
        <w:rPr>
          <w:spacing w:val="40"/>
          <w:sz w:val="24"/>
        </w:rPr>
        <w:t xml:space="preserve"> </w:t>
      </w:r>
      <w:r w:rsidRPr="00150EDC">
        <w:rPr>
          <w:sz w:val="24"/>
        </w:rPr>
        <w:t>notification</w:t>
      </w:r>
      <w:r w:rsidRPr="00150EDC">
        <w:rPr>
          <w:spacing w:val="40"/>
          <w:sz w:val="24"/>
        </w:rPr>
        <w:t xml:space="preserve"> </w:t>
      </w:r>
      <w:r w:rsidRPr="00150EDC">
        <w:rPr>
          <w:sz w:val="24"/>
        </w:rPr>
        <w:t>referred</w:t>
      </w:r>
      <w:r w:rsidRPr="00150EDC">
        <w:rPr>
          <w:spacing w:val="40"/>
          <w:sz w:val="24"/>
        </w:rPr>
        <w:t xml:space="preserve"> </w:t>
      </w:r>
      <w:r w:rsidRPr="00150EDC">
        <w:rPr>
          <w:sz w:val="24"/>
        </w:rPr>
        <w:t>to</w:t>
      </w:r>
      <w:r w:rsidRPr="00150EDC">
        <w:rPr>
          <w:spacing w:val="40"/>
          <w:sz w:val="24"/>
        </w:rPr>
        <w:t xml:space="preserve"> </w:t>
      </w:r>
      <w:r w:rsidRPr="00150EDC">
        <w:rPr>
          <w:sz w:val="24"/>
        </w:rPr>
        <w:t>in Paragraph</w:t>
      </w:r>
      <w:r w:rsidRPr="00150EDC">
        <w:rPr>
          <w:spacing w:val="-4"/>
          <w:sz w:val="24"/>
        </w:rPr>
        <w:t xml:space="preserve"> </w:t>
      </w:r>
      <w:r w:rsidRPr="00150EDC">
        <w:rPr>
          <w:sz w:val="24"/>
        </w:rPr>
        <w:t>2.5.1 is made by the Replacement Supplier and/or Replacement Subcontractor to the Supplier within 6</w:t>
      </w:r>
      <w:r w:rsidRPr="00150EDC">
        <w:rPr>
          <w:spacing w:val="-4"/>
          <w:sz w:val="24"/>
        </w:rPr>
        <w:t xml:space="preserve"> </w:t>
      </w:r>
      <w:r w:rsidRPr="00150EDC">
        <w:rPr>
          <w:sz w:val="24"/>
        </w:rPr>
        <w:t>months of the Service Transfer Date..</w:t>
      </w:r>
    </w:p>
    <w:p w14:paraId="0F46DDB8" w14:textId="77777777" w:rsidR="004C7180" w:rsidRPr="00150EDC" w:rsidRDefault="00CF0754" w:rsidP="00B320C7">
      <w:pPr>
        <w:pStyle w:val="ListParagraph"/>
        <w:numPr>
          <w:ilvl w:val="1"/>
          <w:numId w:val="85"/>
        </w:numPr>
        <w:tabs>
          <w:tab w:val="left" w:pos="2117"/>
          <w:tab w:val="left" w:pos="2120"/>
        </w:tabs>
        <w:spacing w:before="120"/>
        <w:ind w:right="1433"/>
        <w:jc w:val="both"/>
        <w:rPr>
          <w:sz w:val="24"/>
        </w:rPr>
      </w:pPr>
      <w:r w:rsidRPr="00150EDC">
        <w:rPr>
          <w:sz w:val="24"/>
        </w:rPr>
        <w:t>If any such person as is described in Paragraph</w:t>
      </w:r>
      <w:r w:rsidRPr="00150EDC">
        <w:rPr>
          <w:spacing w:val="-1"/>
          <w:sz w:val="24"/>
        </w:rPr>
        <w:t xml:space="preserve"> </w:t>
      </w:r>
      <w:r w:rsidRPr="00150EDC">
        <w:rPr>
          <w:sz w:val="24"/>
        </w:rPr>
        <w:t>2.5 is neither re-employed by the Supplier or any Subcontractor nor dismissed by the Replacement Supplier and/or Replacement Subcontractor within the time scales set out in Paragraphs</w:t>
      </w:r>
      <w:r w:rsidRPr="00150EDC">
        <w:rPr>
          <w:spacing w:val="-5"/>
          <w:sz w:val="24"/>
        </w:rPr>
        <w:t xml:space="preserve"> </w:t>
      </w:r>
      <w:r w:rsidRPr="00150EDC">
        <w:rPr>
          <w:sz w:val="24"/>
        </w:rPr>
        <w:t>2.5</w:t>
      </w:r>
      <w:r w:rsidRPr="00150EDC">
        <w:rPr>
          <w:spacing w:val="-1"/>
          <w:sz w:val="24"/>
        </w:rPr>
        <w:t xml:space="preserve"> </w:t>
      </w:r>
      <w:r w:rsidRPr="00150EDC">
        <w:rPr>
          <w:sz w:val="24"/>
        </w:rPr>
        <w:t>to</w:t>
      </w:r>
      <w:r w:rsidRPr="00150EDC">
        <w:rPr>
          <w:spacing w:val="-1"/>
          <w:sz w:val="24"/>
        </w:rPr>
        <w:t xml:space="preserve"> </w:t>
      </w:r>
      <w:r w:rsidRPr="00150EDC">
        <w:rPr>
          <w:sz w:val="24"/>
        </w:rPr>
        <w:t>2.7,</w:t>
      </w:r>
      <w:r w:rsidRPr="00150EDC">
        <w:rPr>
          <w:spacing w:val="-1"/>
          <w:sz w:val="24"/>
        </w:rPr>
        <w:t xml:space="preserve"> </w:t>
      </w:r>
      <w:r w:rsidRPr="00150EDC">
        <w:rPr>
          <w:sz w:val="24"/>
        </w:rPr>
        <w:t>such</w:t>
      </w:r>
      <w:r w:rsidRPr="00150EDC">
        <w:rPr>
          <w:spacing w:val="-1"/>
          <w:sz w:val="24"/>
        </w:rPr>
        <w:t xml:space="preserve"> </w:t>
      </w:r>
      <w:r w:rsidRPr="00150EDC">
        <w:rPr>
          <w:sz w:val="24"/>
        </w:rPr>
        <w:t>person</w:t>
      </w:r>
      <w:r w:rsidRPr="00150EDC">
        <w:rPr>
          <w:spacing w:val="-1"/>
          <w:sz w:val="24"/>
        </w:rPr>
        <w:t xml:space="preserve"> </w:t>
      </w:r>
      <w:r w:rsidRPr="00150EDC">
        <w:rPr>
          <w:sz w:val="24"/>
        </w:rPr>
        <w:t>shall be</w:t>
      </w:r>
      <w:r w:rsidRPr="00150EDC">
        <w:rPr>
          <w:spacing w:val="-1"/>
          <w:sz w:val="24"/>
        </w:rPr>
        <w:t xml:space="preserve"> </w:t>
      </w:r>
      <w:r w:rsidRPr="00150EDC">
        <w:rPr>
          <w:sz w:val="24"/>
        </w:rPr>
        <w:t>treated</w:t>
      </w:r>
      <w:r w:rsidRPr="00150EDC">
        <w:rPr>
          <w:spacing w:val="-1"/>
          <w:sz w:val="24"/>
        </w:rPr>
        <w:t xml:space="preserve"> </w:t>
      </w:r>
      <w:r w:rsidRPr="00150EDC">
        <w:rPr>
          <w:sz w:val="24"/>
        </w:rPr>
        <w:t>as a</w:t>
      </w:r>
      <w:r w:rsidRPr="00150EDC">
        <w:rPr>
          <w:spacing w:val="-1"/>
          <w:sz w:val="24"/>
        </w:rPr>
        <w:t xml:space="preserve"> </w:t>
      </w:r>
      <w:r w:rsidRPr="00150EDC">
        <w:rPr>
          <w:sz w:val="24"/>
        </w:rPr>
        <w:t>Transferring Supplier Employee. .</w:t>
      </w:r>
    </w:p>
    <w:p w14:paraId="2CB490F8" w14:textId="77777777" w:rsidR="004C7180" w:rsidRPr="00150EDC" w:rsidRDefault="00CF0754" w:rsidP="00B320C7">
      <w:pPr>
        <w:pStyle w:val="ListParagraph"/>
        <w:numPr>
          <w:ilvl w:val="1"/>
          <w:numId w:val="85"/>
        </w:numPr>
        <w:tabs>
          <w:tab w:val="left" w:pos="2116"/>
          <w:tab w:val="left" w:pos="2119"/>
        </w:tabs>
        <w:spacing w:before="120"/>
        <w:ind w:left="2119" w:right="1433"/>
        <w:jc w:val="both"/>
        <w:rPr>
          <w:sz w:val="24"/>
        </w:rPr>
      </w:pPr>
      <w:r w:rsidRPr="00150EDC">
        <w:rPr>
          <w:sz w:val="24"/>
        </w:rPr>
        <w:t>The Supplier shall comply, and shall procure that each Subcontractor shall comply, with all its obligations under the Employment Regulations and shall perform</w:t>
      </w:r>
      <w:r w:rsidRPr="00150EDC">
        <w:rPr>
          <w:spacing w:val="-17"/>
          <w:sz w:val="24"/>
        </w:rPr>
        <w:t xml:space="preserve"> </w:t>
      </w:r>
      <w:r w:rsidRPr="00150EDC">
        <w:rPr>
          <w:sz w:val="24"/>
        </w:rPr>
        <w:t>and</w:t>
      </w:r>
      <w:r w:rsidRPr="00150EDC">
        <w:rPr>
          <w:spacing w:val="-17"/>
          <w:sz w:val="24"/>
        </w:rPr>
        <w:t xml:space="preserve"> </w:t>
      </w:r>
      <w:r w:rsidRPr="00150EDC">
        <w:rPr>
          <w:sz w:val="24"/>
        </w:rPr>
        <w:t>discharge,</w:t>
      </w:r>
      <w:r w:rsidRPr="00150EDC">
        <w:rPr>
          <w:spacing w:val="-16"/>
          <w:sz w:val="24"/>
        </w:rPr>
        <w:t xml:space="preserve"> </w:t>
      </w:r>
      <w:r w:rsidRPr="00150EDC">
        <w:rPr>
          <w:sz w:val="24"/>
        </w:rPr>
        <w:t>and</w:t>
      </w:r>
      <w:r w:rsidRPr="00150EDC">
        <w:rPr>
          <w:spacing w:val="-17"/>
          <w:sz w:val="24"/>
        </w:rPr>
        <w:t xml:space="preserve"> </w:t>
      </w:r>
      <w:r w:rsidRPr="00150EDC">
        <w:rPr>
          <w:sz w:val="24"/>
        </w:rPr>
        <w:t>shall</w:t>
      </w:r>
      <w:r w:rsidRPr="00150EDC">
        <w:rPr>
          <w:spacing w:val="-17"/>
          <w:sz w:val="24"/>
        </w:rPr>
        <w:t xml:space="preserve"> </w:t>
      </w:r>
      <w:r w:rsidRPr="00150EDC">
        <w:rPr>
          <w:sz w:val="24"/>
        </w:rPr>
        <w:t>procure</w:t>
      </w:r>
      <w:r w:rsidRPr="00150EDC">
        <w:rPr>
          <w:spacing w:val="-17"/>
          <w:sz w:val="24"/>
        </w:rPr>
        <w:t xml:space="preserve"> </w:t>
      </w:r>
      <w:r w:rsidRPr="00150EDC">
        <w:rPr>
          <w:sz w:val="24"/>
        </w:rPr>
        <w:t>that</w:t>
      </w:r>
      <w:r w:rsidRPr="00150EDC">
        <w:rPr>
          <w:spacing w:val="-16"/>
          <w:sz w:val="24"/>
        </w:rPr>
        <w:t xml:space="preserve"> </w:t>
      </w:r>
      <w:r w:rsidRPr="00150EDC">
        <w:rPr>
          <w:sz w:val="24"/>
        </w:rPr>
        <w:t>each</w:t>
      </w:r>
      <w:r w:rsidRPr="00150EDC">
        <w:rPr>
          <w:spacing w:val="-17"/>
          <w:sz w:val="24"/>
        </w:rPr>
        <w:t xml:space="preserve"> </w:t>
      </w:r>
      <w:r w:rsidRPr="00150EDC">
        <w:rPr>
          <w:sz w:val="24"/>
        </w:rPr>
        <w:t>Subcontractor</w:t>
      </w:r>
      <w:r w:rsidRPr="00150EDC">
        <w:rPr>
          <w:spacing w:val="-17"/>
          <w:sz w:val="24"/>
        </w:rPr>
        <w:t xml:space="preserve"> </w:t>
      </w:r>
      <w:r w:rsidRPr="00150EDC">
        <w:rPr>
          <w:sz w:val="24"/>
        </w:rPr>
        <w:t>shall</w:t>
      </w:r>
      <w:r w:rsidRPr="00150EDC">
        <w:rPr>
          <w:spacing w:val="-16"/>
          <w:sz w:val="24"/>
        </w:rPr>
        <w:t xml:space="preserve"> </w:t>
      </w:r>
      <w:r w:rsidRPr="00150EDC">
        <w:rPr>
          <w:sz w:val="24"/>
        </w:rPr>
        <w:t>perform and discharge, all its obligations in respect of any person identified in the Supplier’s Final Supplier Personnel List before and on the Service Transfer Date (including the payment of all remuneration, benefits, entitlements and outgoings,</w:t>
      </w:r>
      <w:r w:rsidRPr="00150EDC">
        <w:rPr>
          <w:spacing w:val="-14"/>
          <w:sz w:val="24"/>
        </w:rPr>
        <w:t xml:space="preserve"> </w:t>
      </w:r>
      <w:r w:rsidRPr="00150EDC">
        <w:rPr>
          <w:sz w:val="24"/>
        </w:rPr>
        <w:t>all</w:t>
      </w:r>
      <w:r w:rsidRPr="00150EDC">
        <w:rPr>
          <w:spacing w:val="-13"/>
          <w:sz w:val="24"/>
        </w:rPr>
        <w:t xml:space="preserve"> </w:t>
      </w:r>
      <w:r w:rsidRPr="00150EDC">
        <w:rPr>
          <w:sz w:val="24"/>
        </w:rPr>
        <w:t>wages,</w:t>
      </w:r>
      <w:r w:rsidRPr="00150EDC">
        <w:rPr>
          <w:spacing w:val="-12"/>
          <w:sz w:val="24"/>
        </w:rPr>
        <w:t xml:space="preserve"> </w:t>
      </w:r>
      <w:r w:rsidRPr="00150EDC">
        <w:rPr>
          <w:sz w:val="24"/>
        </w:rPr>
        <w:t>accrued</w:t>
      </w:r>
      <w:r w:rsidRPr="00150EDC">
        <w:rPr>
          <w:spacing w:val="-12"/>
          <w:sz w:val="24"/>
        </w:rPr>
        <w:t xml:space="preserve"> </w:t>
      </w:r>
      <w:r w:rsidRPr="00150EDC">
        <w:rPr>
          <w:sz w:val="24"/>
        </w:rPr>
        <w:t>but</w:t>
      </w:r>
      <w:r w:rsidRPr="00150EDC">
        <w:rPr>
          <w:spacing w:val="-14"/>
          <w:sz w:val="24"/>
        </w:rPr>
        <w:t xml:space="preserve"> </w:t>
      </w:r>
      <w:r w:rsidRPr="00150EDC">
        <w:rPr>
          <w:sz w:val="24"/>
        </w:rPr>
        <w:t>untaken</w:t>
      </w:r>
      <w:r w:rsidRPr="00150EDC">
        <w:rPr>
          <w:spacing w:val="-14"/>
          <w:sz w:val="24"/>
        </w:rPr>
        <w:t xml:space="preserve"> </w:t>
      </w:r>
      <w:r w:rsidRPr="00150EDC">
        <w:rPr>
          <w:sz w:val="24"/>
        </w:rPr>
        <w:t>holiday</w:t>
      </w:r>
      <w:r w:rsidRPr="00150EDC">
        <w:rPr>
          <w:spacing w:val="-13"/>
          <w:sz w:val="24"/>
        </w:rPr>
        <w:t xml:space="preserve"> </w:t>
      </w:r>
      <w:r w:rsidRPr="00150EDC">
        <w:rPr>
          <w:sz w:val="24"/>
        </w:rPr>
        <w:t>pay,</w:t>
      </w:r>
      <w:r w:rsidRPr="00150EDC">
        <w:rPr>
          <w:spacing w:val="-12"/>
          <w:sz w:val="24"/>
        </w:rPr>
        <w:t xml:space="preserve"> </w:t>
      </w:r>
      <w:r w:rsidRPr="00150EDC">
        <w:rPr>
          <w:sz w:val="24"/>
        </w:rPr>
        <w:t>bonuses,</w:t>
      </w:r>
      <w:r w:rsidRPr="00150EDC">
        <w:rPr>
          <w:spacing w:val="-12"/>
          <w:sz w:val="24"/>
        </w:rPr>
        <w:t xml:space="preserve"> </w:t>
      </w:r>
      <w:r w:rsidRPr="00150EDC">
        <w:rPr>
          <w:sz w:val="24"/>
        </w:rPr>
        <w:t>commissions, payments</w:t>
      </w:r>
      <w:r w:rsidRPr="00150EDC">
        <w:rPr>
          <w:spacing w:val="-9"/>
          <w:sz w:val="24"/>
        </w:rPr>
        <w:t xml:space="preserve"> </w:t>
      </w:r>
      <w:r w:rsidRPr="00150EDC">
        <w:rPr>
          <w:sz w:val="24"/>
        </w:rPr>
        <w:t>of</w:t>
      </w:r>
      <w:r w:rsidRPr="00150EDC">
        <w:rPr>
          <w:spacing w:val="-8"/>
          <w:sz w:val="24"/>
        </w:rPr>
        <w:t xml:space="preserve"> </w:t>
      </w:r>
      <w:r w:rsidRPr="00150EDC">
        <w:rPr>
          <w:sz w:val="24"/>
        </w:rPr>
        <w:t>PAYE,</w:t>
      </w:r>
      <w:r w:rsidRPr="00150EDC">
        <w:rPr>
          <w:spacing w:val="-6"/>
          <w:sz w:val="24"/>
        </w:rPr>
        <w:t xml:space="preserve"> </w:t>
      </w:r>
      <w:r w:rsidRPr="00150EDC">
        <w:rPr>
          <w:sz w:val="24"/>
        </w:rPr>
        <w:t>national</w:t>
      </w:r>
      <w:r w:rsidRPr="00150EDC">
        <w:rPr>
          <w:spacing w:val="-7"/>
          <w:sz w:val="24"/>
        </w:rPr>
        <w:t xml:space="preserve"> </w:t>
      </w:r>
      <w:r w:rsidRPr="00150EDC">
        <w:rPr>
          <w:sz w:val="24"/>
        </w:rPr>
        <w:t>insurance</w:t>
      </w:r>
      <w:r w:rsidRPr="00150EDC">
        <w:rPr>
          <w:spacing w:val="-5"/>
          <w:sz w:val="24"/>
        </w:rPr>
        <w:t xml:space="preserve"> </w:t>
      </w:r>
      <w:r w:rsidRPr="00150EDC">
        <w:rPr>
          <w:sz w:val="24"/>
        </w:rPr>
        <w:t>contributions</w:t>
      </w:r>
      <w:r w:rsidRPr="00150EDC">
        <w:rPr>
          <w:spacing w:val="-6"/>
          <w:sz w:val="24"/>
        </w:rPr>
        <w:t xml:space="preserve"> </w:t>
      </w:r>
      <w:r w:rsidRPr="00150EDC">
        <w:rPr>
          <w:sz w:val="24"/>
        </w:rPr>
        <w:t>and</w:t>
      </w:r>
      <w:r w:rsidRPr="00150EDC">
        <w:rPr>
          <w:spacing w:val="-5"/>
          <w:sz w:val="24"/>
        </w:rPr>
        <w:t xml:space="preserve"> </w:t>
      </w:r>
      <w:r w:rsidRPr="00150EDC">
        <w:rPr>
          <w:sz w:val="24"/>
        </w:rPr>
        <w:t>pension</w:t>
      </w:r>
      <w:r w:rsidRPr="00150EDC">
        <w:rPr>
          <w:spacing w:val="-5"/>
          <w:sz w:val="24"/>
        </w:rPr>
        <w:t xml:space="preserve"> </w:t>
      </w:r>
      <w:r w:rsidRPr="00150EDC">
        <w:rPr>
          <w:sz w:val="24"/>
        </w:rPr>
        <w:t>contributions and</w:t>
      </w:r>
      <w:r w:rsidRPr="00150EDC">
        <w:rPr>
          <w:spacing w:val="-3"/>
          <w:sz w:val="24"/>
        </w:rPr>
        <w:t xml:space="preserve"> </w:t>
      </w:r>
      <w:r w:rsidRPr="00150EDC">
        <w:rPr>
          <w:sz w:val="24"/>
        </w:rPr>
        <w:t>such</w:t>
      </w:r>
      <w:r w:rsidRPr="00150EDC">
        <w:rPr>
          <w:spacing w:val="-3"/>
          <w:sz w:val="24"/>
        </w:rPr>
        <w:t xml:space="preserve"> </w:t>
      </w:r>
      <w:r w:rsidRPr="00150EDC">
        <w:rPr>
          <w:sz w:val="24"/>
        </w:rPr>
        <w:t>sums</w:t>
      </w:r>
      <w:r w:rsidRPr="00150EDC">
        <w:rPr>
          <w:spacing w:val="-4"/>
          <w:sz w:val="24"/>
        </w:rPr>
        <w:t xml:space="preserve"> </w:t>
      </w:r>
      <w:r w:rsidRPr="00150EDC">
        <w:rPr>
          <w:sz w:val="24"/>
        </w:rPr>
        <w:t>due</w:t>
      </w:r>
      <w:r w:rsidRPr="00150EDC">
        <w:rPr>
          <w:spacing w:val="-3"/>
          <w:sz w:val="24"/>
        </w:rPr>
        <w:t xml:space="preserve"> </w:t>
      </w:r>
      <w:r w:rsidRPr="00150EDC">
        <w:rPr>
          <w:sz w:val="24"/>
        </w:rPr>
        <w:t>as</w:t>
      </w:r>
      <w:r w:rsidRPr="00150EDC">
        <w:rPr>
          <w:spacing w:val="-7"/>
          <w:sz w:val="24"/>
        </w:rPr>
        <w:t xml:space="preserve"> </w:t>
      </w:r>
      <w:r w:rsidRPr="00150EDC">
        <w:rPr>
          <w:sz w:val="24"/>
        </w:rPr>
        <w:t>a</w:t>
      </w:r>
      <w:r w:rsidRPr="00150EDC">
        <w:rPr>
          <w:spacing w:val="-3"/>
          <w:sz w:val="24"/>
        </w:rPr>
        <w:t xml:space="preserve"> </w:t>
      </w:r>
      <w:r w:rsidRPr="00150EDC">
        <w:rPr>
          <w:sz w:val="24"/>
        </w:rPr>
        <w:t>result</w:t>
      </w:r>
      <w:r w:rsidRPr="00150EDC">
        <w:rPr>
          <w:spacing w:val="-4"/>
          <w:sz w:val="24"/>
        </w:rPr>
        <w:t xml:space="preserve"> </w:t>
      </w:r>
      <w:r w:rsidRPr="00150EDC">
        <w:rPr>
          <w:sz w:val="24"/>
        </w:rPr>
        <w:t>of</w:t>
      </w:r>
      <w:r w:rsidRPr="00150EDC">
        <w:rPr>
          <w:spacing w:val="-6"/>
          <w:sz w:val="24"/>
        </w:rPr>
        <w:t xml:space="preserve"> </w:t>
      </w:r>
      <w:r w:rsidRPr="00150EDC">
        <w:rPr>
          <w:sz w:val="24"/>
        </w:rPr>
        <w:t>any</w:t>
      </w:r>
      <w:r w:rsidRPr="00150EDC">
        <w:rPr>
          <w:spacing w:val="-4"/>
          <w:sz w:val="24"/>
        </w:rPr>
        <w:t xml:space="preserve"> </w:t>
      </w:r>
      <w:r w:rsidRPr="00150EDC">
        <w:rPr>
          <w:sz w:val="24"/>
        </w:rPr>
        <w:t>Fair</w:t>
      </w:r>
      <w:r w:rsidRPr="00150EDC">
        <w:rPr>
          <w:spacing w:val="-5"/>
          <w:sz w:val="24"/>
        </w:rPr>
        <w:t xml:space="preserve"> </w:t>
      </w:r>
      <w:r w:rsidRPr="00150EDC">
        <w:rPr>
          <w:sz w:val="24"/>
        </w:rPr>
        <w:t>Deal</w:t>
      </w:r>
      <w:r w:rsidRPr="00150EDC">
        <w:rPr>
          <w:spacing w:val="-5"/>
          <w:sz w:val="24"/>
        </w:rPr>
        <w:t xml:space="preserve"> </w:t>
      </w:r>
      <w:r w:rsidRPr="00150EDC">
        <w:rPr>
          <w:sz w:val="24"/>
        </w:rPr>
        <w:t>Employees'</w:t>
      </w:r>
      <w:r w:rsidRPr="00150EDC">
        <w:rPr>
          <w:spacing w:val="-7"/>
          <w:sz w:val="24"/>
        </w:rPr>
        <w:t xml:space="preserve"> </w:t>
      </w:r>
      <w:r w:rsidRPr="00150EDC">
        <w:rPr>
          <w:sz w:val="24"/>
        </w:rPr>
        <w:t>participation</w:t>
      </w:r>
      <w:r w:rsidRPr="00150EDC">
        <w:rPr>
          <w:spacing w:val="-3"/>
          <w:sz w:val="24"/>
        </w:rPr>
        <w:t xml:space="preserve"> </w:t>
      </w:r>
      <w:r w:rsidRPr="00150EDC">
        <w:rPr>
          <w:sz w:val="24"/>
        </w:rPr>
        <w:t>in</w:t>
      </w:r>
      <w:r w:rsidRPr="00150EDC">
        <w:rPr>
          <w:spacing w:val="-3"/>
          <w:sz w:val="24"/>
        </w:rPr>
        <w:t xml:space="preserve"> </w:t>
      </w:r>
      <w:r w:rsidRPr="00150EDC">
        <w:rPr>
          <w:sz w:val="24"/>
        </w:rPr>
        <w:t>the Schemes</w:t>
      </w:r>
      <w:r w:rsidRPr="00150EDC">
        <w:rPr>
          <w:spacing w:val="-17"/>
          <w:sz w:val="24"/>
        </w:rPr>
        <w:t xml:space="preserve"> </w:t>
      </w:r>
      <w:r w:rsidRPr="00150EDC">
        <w:rPr>
          <w:sz w:val="24"/>
        </w:rPr>
        <w:t>and</w:t>
      </w:r>
      <w:r w:rsidRPr="00150EDC">
        <w:rPr>
          <w:spacing w:val="-16"/>
          <w:sz w:val="24"/>
        </w:rPr>
        <w:t xml:space="preserve"> </w:t>
      </w:r>
      <w:r w:rsidRPr="00150EDC">
        <w:rPr>
          <w:sz w:val="24"/>
        </w:rPr>
        <w:t>any</w:t>
      </w:r>
      <w:r w:rsidRPr="00150EDC">
        <w:rPr>
          <w:spacing w:val="-15"/>
          <w:sz w:val="24"/>
        </w:rPr>
        <w:t xml:space="preserve"> </w:t>
      </w:r>
      <w:r w:rsidRPr="00150EDC">
        <w:rPr>
          <w:sz w:val="24"/>
        </w:rPr>
        <w:t>requirement</w:t>
      </w:r>
      <w:r w:rsidRPr="00150EDC">
        <w:rPr>
          <w:spacing w:val="-14"/>
          <w:sz w:val="24"/>
        </w:rPr>
        <w:t xml:space="preserve"> </w:t>
      </w:r>
      <w:r w:rsidRPr="00150EDC">
        <w:rPr>
          <w:sz w:val="24"/>
        </w:rPr>
        <w:t>to</w:t>
      </w:r>
      <w:r w:rsidRPr="00150EDC">
        <w:rPr>
          <w:spacing w:val="-14"/>
          <w:sz w:val="24"/>
        </w:rPr>
        <w:t xml:space="preserve"> </w:t>
      </w:r>
      <w:r w:rsidRPr="00150EDC">
        <w:rPr>
          <w:sz w:val="24"/>
        </w:rPr>
        <w:t>set</w:t>
      </w:r>
      <w:r w:rsidRPr="00150EDC">
        <w:rPr>
          <w:spacing w:val="-17"/>
          <w:sz w:val="24"/>
        </w:rPr>
        <w:t xml:space="preserve"> </w:t>
      </w:r>
      <w:r w:rsidRPr="00150EDC">
        <w:rPr>
          <w:sz w:val="24"/>
        </w:rPr>
        <w:t>up</w:t>
      </w:r>
      <w:r w:rsidRPr="00150EDC">
        <w:rPr>
          <w:spacing w:val="-16"/>
          <w:sz w:val="24"/>
        </w:rPr>
        <w:t xml:space="preserve"> </w:t>
      </w:r>
      <w:r w:rsidRPr="00150EDC">
        <w:rPr>
          <w:sz w:val="24"/>
        </w:rPr>
        <w:t>a</w:t>
      </w:r>
      <w:r w:rsidRPr="00150EDC">
        <w:rPr>
          <w:spacing w:val="-16"/>
          <w:sz w:val="24"/>
        </w:rPr>
        <w:t xml:space="preserve"> </w:t>
      </w:r>
      <w:r w:rsidRPr="00150EDC">
        <w:rPr>
          <w:sz w:val="24"/>
        </w:rPr>
        <w:t>broadly</w:t>
      </w:r>
      <w:r w:rsidRPr="00150EDC">
        <w:rPr>
          <w:spacing w:val="-15"/>
          <w:sz w:val="24"/>
        </w:rPr>
        <w:t xml:space="preserve"> </w:t>
      </w:r>
      <w:r w:rsidRPr="00150EDC">
        <w:rPr>
          <w:sz w:val="24"/>
        </w:rPr>
        <w:t>comparable</w:t>
      </w:r>
      <w:r w:rsidRPr="00150EDC">
        <w:rPr>
          <w:spacing w:val="-16"/>
          <w:sz w:val="24"/>
        </w:rPr>
        <w:t xml:space="preserve"> </w:t>
      </w:r>
      <w:r w:rsidRPr="00150EDC">
        <w:rPr>
          <w:sz w:val="24"/>
        </w:rPr>
        <w:t>pension</w:t>
      </w:r>
      <w:r w:rsidRPr="00150EDC">
        <w:rPr>
          <w:spacing w:val="-14"/>
          <w:sz w:val="24"/>
        </w:rPr>
        <w:t xml:space="preserve"> </w:t>
      </w:r>
      <w:r w:rsidRPr="00150EDC">
        <w:rPr>
          <w:sz w:val="24"/>
        </w:rPr>
        <w:t>scheme which</w:t>
      </w:r>
      <w:r w:rsidRPr="00150EDC">
        <w:rPr>
          <w:spacing w:val="-6"/>
          <w:sz w:val="24"/>
        </w:rPr>
        <w:t xml:space="preserve"> </w:t>
      </w:r>
      <w:r w:rsidRPr="00150EDC">
        <w:rPr>
          <w:sz w:val="24"/>
        </w:rPr>
        <w:t>in</w:t>
      </w:r>
      <w:r w:rsidRPr="00150EDC">
        <w:rPr>
          <w:spacing w:val="-6"/>
          <w:sz w:val="24"/>
        </w:rPr>
        <w:t xml:space="preserve"> </w:t>
      </w:r>
      <w:r w:rsidRPr="00150EDC">
        <w:rPr>
          <w:sz w:val="24"/>
        </w:rPr>
        <w:t>any</w:t>
      </w:r>
      <w:r w:rsidRPr="00150EDC">
        <w:rPr>
          <w:spacing w:val="-7"/>
          <w:sz w:val="24"/>
        </w:rPr>
        <w:t xml:space="preserve"> </w:t>
      </w:r>
      <w:r w:rsidRPr="00150EDC">
        <w:rPr>
          <w:sz w:val="24"/>
        </w:rPr>
        <w:t>case</w:t>
      </w:r>
      <w:r w:rsidRPr="00150EDC">
        <w:rPr>
          <w:spacing w:val="-6"/>
          <w:sz w:val="24"/>
        </w:rPr>
        <w:t xml:space="preserve"> </w:t>
      </w:r>
      <w:r w:rsidRPr="00150EDC">
        <w:rPr>
          <w:sz w:val="24"/>
        </w:rPr>
        <w:t>are</w:t>
      </w:r>
      <w:r w:rsidRPr="00150EDC">
        <w:rPr>
          <w:spacing w:val="-8"/>
          <w:sz w:val="24"/>
        </w:rPr>
        <w:t xml:space="preserve"> </w:t>
      </w:r>
      <w:r w:rsidRPr="00150EDC">
        <w:rPr>
          <w:sz w:val="24"/>
        </w:rPr>
        <w:t>attributable</w:t>
      </w:r>
      <w:r w:rsidRPr="00150EDC">
        <w:rPr>
          <w:spacing w:val="-6"/>
          <w:sz w:val="24"/>
        </w:rPr>
        <w:t xml:space="preserve"> </w:t>
      </w:r>
      <w:r w:rsidRPr="00150EDC">
        <w:rPr>
          <w:sz w:val="24"/>
        </w:rPr>
        <w:t>in</w:t>
      </w:r>
      <w:r w:rsidRPr="00150EDC">
        <w:rPr>
          <w:spacing w:val="-6"/>
          <w:sz w:val="24"/>
        </w:rPr>
        <w:t xml:space="preserve"> </w:t>
      </w:r>
      <w:r w:rsidRPr="00150EDC">
        <w:rPr>
          <w:sz w:val="24"/>
        </w:rPr>
        <w:t>whole</w:t>
      </w:r>
      <w:r w:rsidRPr="00150EDC">
        <w:rPr>
          <w:spacing w:val="-6"/>
          <w:sz w:val="24"/>
        </w:rPr>
        <w:t xml:space="preserve"> </w:t>
      </w:r>
      <w:r w:rsidRPr="00150EDC">
        <w:rPr>
          <w:sz w:val="24"/>
        </w:rPr>
        <w:t>or</w:t>
      </w:r>
      <w:r w:rsidRPr="00150EDC">
        <w:rPr>
          <w:spacing w:val="-7"/>
          <w:sz w:val="24"/>
        </w:rPr>
        <w:t xml:space="preserve"> </w:t>
      </w:r>
      <w:r w:rsidRPr="00150EDC">
        <w:rPr>
          <w:sz w:val="24"/>
        </w:rPr>
        <w:t>in</w:t>
      </w:r>
      <w:r w:rsidRPr="00150EDC">
        <w:rPr>
          <w:spacing w:val="-6"/>
          <w:sz w:val="24"/>
        </w:rPr>
        <w:t xml:space="preserve"> </w:t>
      </w:r>
      <w:r w:rsidRPr="00150EDC">
        <w:rPr>
          <w:sz w:val="24"/>
        </w:rPr>
        <w:t>part</w:t>
      </w:r>
      <w:r w:rsidRPr="00150EDC">
        <w:rPr>
          <w:spacing w:val="-6"/>
          <w:sz w:val="24"/>
        </w:rPr>
        <w:t xml:space="preserve"> </w:t>
      </w:r>
      <w:r w:rsidRPr="00150EDC">
        <w:rPr>
          <w:sz w:val="24"/>
        </w:rPr>
        <w:t>in</w:t>
      </w:r>
      <w:r w:rsidRPr="00150EDC">
        <w:rPr>
          <w:spacing w:val="-6"/>
          <w:sz w:val="24"/>
        </w:rPr>
        <w:t xml:space="preserve"> </w:t>
      </w:r>
      <w:r w:rsidRPr="00150EDC">
        <w:rPr>
          <w:sz w:val="24"/>
        </w:rPr>
        <w:t>respect</w:t>
      </w:r>
      <w:r w:rsidRPr="00150EDC">
        <w:rPr>
          <w:spacing w:val="-6"/>
          <w:sz w:val="24"/>
        </w:rPr>
        <w:t xml:space="preserve"> </w:t>
      </w:r>
      <w:r w:rsidRPr="00150EDC">
        <w:rPr>
          <w:sz w:val="24"/>
        </w:rPr>
        <w:t>of</w:t>
      </w:r>
      <w:r w:rsidRPr="00150EDC">
        <w:rPr>
          <w:spacing w:val="-6"/>
          <w:sz w:val="24"/>
        </w:rPr>
        <w:t xml:space="preserve"> </w:t>
      </w:r>
      <w:r w:rsidRPr="00150EDC">
        <w:rPr>
          <w:sz w:val="24"/>
        </w:rPr>
        <w:t>the</w:t>
      </w:r>
      <w:r w:rsidRPr="00150EDC">
        <w:rPr>
          <w:spacing w:val="-6"/>
          <w:sz w:val="24"/>
        </w:rPr>
        <w:t xml:space="preserve"> </w:t>
      </w:r>
      <w:r w:rsidRPr="00150EDC">
        <w:rPr>
          <w:sz w:val="24"/>
        </w:rPr>
        <w:t>period</w:t>
      </w:r>
      <w:r w:rsidRPr="00150EDC">
        <w:rPr>
          <w:spacing w:val="-6"/>
          <w:sz w:val="24"/>
        </w:rPr>
        <w:t xml:space="preserve"> </w:t>
      </w:r>
      <w:r w:rsidRPr="00150EDC">
        <w:rPr>
          <w:sz w:val="24"/>
        </w:rPr>
        <w:t>up to (and including) the Service Transfer Date) and any necessary apportionments in respect of any periodic payments shall be made between:</w:t>
      </w:r>
    </w:p>
    <w:p w14:paraId="262A4B9E" w14:textId="77777777" w:rsidR="004C7180" w:rsidRPr="00150EDC" w:rsidRDefault="00CF0754" w:rsidP="00B320C7">
      <w:pPr>
        <w:pStyle w:val="ListParagraph"/>
        <w:numPr>
          <w:ilvl w:val="0"/>
          <w:numId w:val="84"/>
        </w:numPr>
        <w:tabs>
          <w:tab w:val="left" w:pos="2815"/>
        </w:tabs>
        <w:spacing w:before="118"/>
        <w:ind w:left="2815" w:hanging="708"/>
        <w:jc w:val="both"/>
        <w:rPr>
          <w:sz w:val="24"/>
        </w:rPr>
      </w:pPr>
      <w:bookmarkStart w:id="19" w:name="(b)_the_Supplier_and/or_any_Subcontracto"/>
      <w:bookmarkEnd w:id="19"/>
      <w:r w:rsidRPr="00150EDC">
        <w:rPr>
          <w:sz w:val="24"/>
        </w:rPr>
        <w:t>the</w:t>
      </w:r>
      <w:r w:rsidRPr="00150EDC">
        <w:rPr>
          <w:spacing w:val="-3"/>
          <w:sz w:val="24"/>
        </w:rPr>
        <w:t xml:space="preserve"> </w:t>
      </w:r>
      <w:r w:rsidRPr="00150EDC">
        <w:rPr>
          <w:sz w:val="24"/>
        </w:rPr>
        <w:t>Supplier</w:t>
      </w:r>
      <w:r w:rsidRPr="00150EDC">
        <w:rPr>
          <w:spacing w:val="-4"/>
          <w:sz w:val="24"/>
        </w:rPr>
        <w:t xml:space="preserve"> </w:t>
      </w:r>
      <w:r w:rsidRPr="00150EDC">
        <w:rPr>
          <w:sz w:val="24"/>
        </w:rPr>
        <w:t>and/or</w:t>
      </w:r>
      <w:r w:rsidRPr="00150EDC">
        <w:rPr>
          <w:spacing w:val="-6"/>
          <w:sz w:val="24"/>
        </w:rPr>
        <w:t xml:space="preserve"> </w:t>
      </w:r>
      <w:r w:rsidRPr="00150EDC">
        <w:rPr>
          <w:sz w:val="24"/>
        </w:rPr>
        <w:t>any</w:t>
      </w:r>
      <w:r w:rsidRPr="00150EDC">
        <w:rPr>
          <w:spacing w:val="-3"/>
          <w:sz w:val="24"/>
        </w:rPr>
        <w:t xml:space="preserve"> </w:t>
      </w:r>
      <w:r w:rsidRPr="00150EDC">
        <w:rPr>
          <w:sz w:val="24"/>
        </w:rPr>
        <w:t>Subcontractor;</w:t>
      </w:r>
      <w:r w:rsidRPr="00150EDC">
        <w:rPr>
          <w:spacing w:val="-2"/>
          <w:sz w:val="24"/>
        </w:rPr>
        <w:t xml:space="preserve"> </w:t>
      </w:r>
      <w:r w:rsidRPr="00150EDC">
        <w:rPr>
          <w:spacing w:val="-5"/>
          <w:sz w:val="24"/>
        </w:rPr>
        <w:t>and</w:t>
      </w:r>
    </w:p>
    <w:p w14:paraId="3FA3B7DA" w14:textId="77777777" w:rsidR="004C7180" w:rsidRPr="00150EDC" w:rsidRDefault="004C7180">
      <w:pPr>
        <w:pStyle w:val="BodyText"/>
        <w:spacing w:before="10"/>
        <w:rPr>
          <w:sz w:val="20"/>
        </w:rPr>
      </w:pPr>
    </w:p>
    <w:p w14:paraId="06D0FCAB" w14:textId="77777777" w:rsidR="004C7180" w:rsidRPr="00150EDC" w:rsidRDefault="00CF0754" w:rsidP="00B320C7">
      <w:pPr>
        <w:pStyle w:val="ListParagraph"/>
        <w:numPr>
          <w:ilvl w:val="0"/>
          <w:numId w:val="84"/>
        </w:numPr>
        <w:tabs>
          <w:tab w:val="left" w:pos="2816"/>
        </w:tabs>
        <w:ind w:left="2816" w:hanging="709"/>
        <w:jc w:val="both"/>
        <w:rPr>
          <w:sz w:val="24"/>
        </w:rPr>
      </w:pPr>
      <w:bookmarkStart w:id="20" w:name="(c)_the_Replacement_Supplier_and/or_the_"/>
      <w:bookmarkEnd w:id="20"/>
      <w:r w:rsidRPr="00150EDC">
        <w:rPr>
          <w:sz w:val="24"/>
        </w:rPr>
        <w:t>the</w:t>
      </w:r>
      <w:r w:rsidRPr="00150EDC">
        <w:rPr>
          <w:spacing w:val="-5"/>
          <w:sz w:val="24"/>
        </w:rPr>
        <w:t xml:space="preserve"> </w:t>
      </w:r>
      <w:r w:rsidRPr="00150EDC">
        <w:rPr>
          <w:sz w:val="24"/>
        </w:rPr>
        <w:t>Replacement</w:t>
      </w:r>
      <w:r w:rsidRPr="00150EDC">
        <w:rPr>
          <w:spacing w:val="-3"/>
          <w:sz w:val="24"/>
        </w:rPr>
        <w:t xml:space="preserve"> </w:t>
      </w:r>
      <w:r w:rsidRPr="00150EDC">
        <w:rPr>
          <w:sz w:val="24"/>
        </w:rPr>
        <w:t>Supplier</w:t>
      </w:r>
      <w:r w:rsidRPr="00150EDC">
        <w:rPr>
          <w:spacing w:val="-4"/>
          <w:sz w:val="24"/>
        </w:rPr>
        <w:t xml:space="preserve"> </w:t>
      </w:r>
      <w:r w:rsidRPr="00150EDC">
        <w:rPr>
          <w:sz w:val="24"/>
        </w:rPr>
        <w:t>and/or</w:t>
      </w:r>
      <w:r w:rsidRPr="00150EDC">
        <w:rPr>
          <w:spacing w:val="-4"/>
          <w:sz w:val="24"/>
        </w:rPr>
        <w:t xml:space="preserve"> </w:t>
      </w:r>
      <w:r w:rsidRPr="00150EDC">
        <w:rPr>
          <w:sz w:val="24"/>
        </w:rPr>
        <w:t>the</w:t>
      </w:r>
      <w:r w:rsidRPr="00150EDC">
        <w:rPr>
          <w:spacing w:val="-5"/>
          <w:sz w:val="24"/>
        </w:rPr>
        <w:t xml:space="preserve"> </w:t>
      </w:r>
      <w:r w:rsidRPr="00150EDC">
        <w:rPr>
          <w:sz w:val="24"/>
        </w:rPr>
        <w:t>Replacement</w:t>
      </w:r>
      <w:r w:rsidRPr="00150EDC">
        <w:rPr>
          <w:spacing w:val="-2"/>
          <w:sz w:val="24"/>
        </w:rPr>
        <w:t xml:space="preserve"> Subcontractor.</w:t>
      </w:r>
    </w:p>
    <w:p w14:paraId="1A79D0C3" w14:textId="77777777" w:rsidR="004C7180" w:rsidRPr="00150EDC" w:rsidRDefault="004C7180">
      <w:pPr>
        <w:jc w:val="both"/>
        <w:rPr>
          <w:sz w:val="24"/>
        </w:rPr>
        <w:sectPr w:rsidR="004C7180" w:rsidRPr="00150EDC">
          <w:pgSz w:w="11910" w:h="16840"/>
          <w:pgMar w:top="1380" w:right="0" w:bottom="1380" w:left="40" w:header="715" w:footer="1192" w:gutter="0"/>
          <w:cols w:space="720"/>
        </w:sectPr>
      </w:pPr>
    </w:p>
    <w:p w14:paraId="4E4A9BDC" w14:textId="77777777" w:rsidR="004C7180" w:rsidRPr="00150EDC" w:rsidRDefault="004C7180">
      <w:pPr>
        <w:pStyle w:val="BodyText"/>
        <w:spacing w:before="5"/>
        <w:rPr>
          <w:sz w:val="15"/>
        </w:rPr>
      </w:pPr>
    </w:p>
    <w:p w14:paraId="1F4A2AA7" w14:textId="77777777" w:rsidR="004C7180" w:rsidRPr="00150EDC" w:rsidRDefault="00CF0754" w:rsidP="00B320C7">
      <w:pPr>
        <w:pStyle w:val="ListParagraph"/>
        <w:numPr>
          <w:ilvl w:val="1"/>
          <w:numId w:val="85"/>
        </w:numPr>
        <w:tabs>
          <w:tab w:val="left" w:pos="2117"/>
          <w:tab w:val="left" w:pos="2120"/>
        </w:tabs>
        <w:spacing w:before="92"/>
        <w:ind w:right="1433"/>
        <w:jc w:val="both"/>
        <w:rPr>
          <w:sz w:val="24"/>
        </w:rPr>
      </w:pPr>
      <w:r w:rsidRPr="00150EDC">
        <w:rPr>
          <w:sz w:val="24"/>
        </w:rPr>
        <w:t>The Supplier shall, and shall procure that each Subcontractor shall,</w:t>
      </w:r>
      <w:r w:rsidRPr="00150EDC">
        <w:rPr>
          <w:spacing w:val="40"/>
          <w:sz w:val="24"/>
        </w:rPr>
        <w:t xml:space="preserve"> </w:t>
      </w:r>
      <w:r w:rsidRPr="00150EDC">
        <w:rPr>
          <w:sz w:val="24"/>
        </w:rPr>
        <w:t>promptly provide the Buyer and any Replacement Supplier and/or Replacement Subcontractor,</w:t>
      </w:r>
      <w:r w:rsidRPr="00150EDC">
        <w:rPr>
          <w:spacing w:val="-6"/>
          <w:sz w:val="24"/>
        </w:rPr>
        <w:t xml:space="preserve"> </w:t>
      </w:r>
      <w:r w:rsidRPr="00150EDC">
        <w:rPr>
          <w:sz w:val="24"/>
        </w:rPr>
        <w:t>in</w:t>
      </w:r>
      <w:r w:rsidRPr="00150EDC">
        <w:rPr>
          <w:spacing w:val="-7"/>
          <w:sz w:val="24"/>
        </w:rPr>
        <w:t xml:space="preserve"> </w:t>
      </w:r>
      <w:r w:rsidRPr="00150EDC">
        <w:rPr>
          <w:sz w:val="24"/>
        </w:rPr>
        <w:t>writing</w:t>
      </w:r>
      <w:r w:rsidRPr="00150EDC">
        <w:rPr>
          <w:spacing w:val="-5"/>
          <w:sz w:val="24"/>
        </w:rPr>
        <w:t xml:space="preserve"> </w:t>
      </w:r>
      <w:r w:rsidRPr="00150EDC">
        <w:rPr>
          <w:sz w:val="24"/>
        </w:rPr>
        <w:t>such</w:t>
      </w:r>
      <w:r w:rsidRPr="00150EDC">
        <w:rPr>
          <w:spacing w:val="-5"/>
          <w:sz w:val="24"/>
        </w:rPr>
        <w:t xml:space="preserve"> </w:t>
      </w:r>
      <w:r w:rsidRPr="00150EDC">
        <w:rPr>
          <w:sz w:val="24"/>
        </w:rPr>
        <w:t>information</w:t>
      </w:r>
      <w:r w:rsidRPr="00150EDC">
        <w:rPr>
          <w:spacing w:val="-7"/>
          <w:sz w:val="24"/>
        </w:rPr>
        <w:t xml:space="preserve"> </w:t>
      </w:r>
      <w:r w:rsidRPr="00150EDC">
        <w:rPr>
          <w:sz w:val="24"/>
        </w:rPr>
        <w:t>as</w:t>
      </w:r>
      <w:r w:rsidRPr="00150EDC">
        <w:rPr>
          <w:spacing w:val="-6"/>
          <w:sz w:val="24"/>
        </w:rPr>
        <w:t xml:space="preserve"> </w:t>
      </w:r>
      <w:r w:rsidRPr="00150EDC">
        <w:rPr>
          <w:sz w:val="24"/>
        </w:rPr>
        <w:t>is</w:t>
      </w:r>
      <w:r w:rsidRPr="00150EDC">
        <w:rPr>
          <w:spacing w:val="-6"/>
          <w:sz w:val="24"/>
        </w:rPr>
        <w:t xml:space="preserve"> </w:t>
      </w:r>
      <w:r w:rsidRPr="00150EDC">
        <w:rPr>
          <w:sz w:val="24"/>
        </w:rPr>
        <w:t>necessary</w:t>
      </w:r>
      <w:r w:rsidRPr="00150EDC">
        <w:rPr>
          <w:spacing w:val="-6"/>
          <w:sz w:val="24"/>
        </w:rPr>
        <w:t xml:space="preserve"> </w:t>
      </w:r>
      <w:r w:rsidRPr="00150EDC">
        <w:rPr>
          <w:sz w:val="24"/>
        </w:rPr>
        <w:t>to</w:t>
      </w:r>
      <w:r w:rsidRPr="00150EDC">
        <w:rPr>
          <w:spacing w:val="-5"/>
          <w:sz w:val="24"/>
        </w:rPr>
        <w:t xml:space="preserve"> </w:t>
      </w:r>
      <w:r w:rsidRPr="00150EDC">
        <w:rPr>
          <w:sz w:val="24"/>
        </w:rPr>
        <w:t>enable</w:t>
      </w:r>
      <w:r w:rsidRPr="00150EDC">
        <w:rPr>
          <w:spacing w:val="-7"/>
          <w:sz w:val="24"/>
        </w:rPr>
        <w:t xml:space="preserve"> </w:t>
      </w:r>
      <w:r w:rsidRPr="00150EDC">
        <w:rPr>
          <w:sz w:val="24"/>
        </w:rPr>
        <w:t>the</w:t>
      </w:r>
      <w:r w:rsidRPr="00150EDC">
        <w:rPr>
          <w:spacing w:val="-7"/>
          <w:sz w:val="24"/>
        </w:rPr>
        <w:t xml:space="preserve"> </w:t>
      </w:r>
      <w:r w:rsidRPr="00150EDC">
        <w:rPr>
          <w:sz w:val="24"/>
        </w:rPr>
        <w:t>Buyer, the</w:t>
      </w:r>
      <w:r w:rsidRPr="00150EDC">
        <w:rPr>
          <w:spacing w:val="-8"/>
          <w:sz w:val="24"/>
        </w:rPr>
        <w:t xml:space="preserve"> </w:t>
      </w:r>
      <w:r w:rsidRPr="00150EDC">
        <w:rPr>
          <w:sz w:val="24"/>
        </w:rPr>
        <w:t>Replacement</w:t>
      </w:r>
      <w:r w:rsidRPr="00150EDC">
        <w:rPr>
          <w:spacing w:val="-11"/>
          <w:sz w:val="24"/>
        </w:rPr>
        <w:t xml:space="preserve"> </w:t>
      </w:r>
      <w:r w:rsidRPr="00150EDC">
        <w:rPr>
          <w:sz w:val="24"/>
        </w:rPr>
        <w:t>Supplier</w:t>
      </w:r>
      <w:r w:rsidRPr="00150EDC">
        <w:rPr>
          <w:spacing w:val="-9"/>
          <w:sz w:val="24"/>
        </w:rPr>
        <w:t xml:space="preserve"> </w:t>
      </w:r>
      <w:r w:rsidRPr="00150EDC">
        <w:rPr>
          <w:sz w:val="24"/>
        </w:rPr>
        <w:t>and/or</w:t>
      </w:r>
      <w:r w:rsidRPr="00150EDC">
        <w:rPr>
          <w:spacing w:val="-9"/>
          <w:sz w:val="24"/>
        </w:rPr>
        <w:t xml:space="preserve"> </w:t>
      </w:r>
      <w:r w:rsidRPr="00150EDC">
        <w:rPr>
          <w:sz w:val="24"/>
        </w:rPr>
        <w:t>Replacement</w:t>
      </w:r>
      <w:r w:rsidRPr="00150EDC">
        <w:rPr>
          <w:spacing w:val="-8"/>
          <w:sz w:val="24"/>
        </w:rPr>
        <w:t xml:space="preserve"> </w:t>
      </w:r>
      <w:r w:rsidRPr="00150EDC">
        <w:rPr>
          <w:sz w:val="24"/>
        </w:rPr>
        <w:t>Subcontractor</w:t>
      </w:r>
      <w:r w:rsidRPr="00150EDC">
        <w:rPr>
          <w:spacing w:val="-9"/>
          <w:sz w:val="24"/>
        </w:rPr>
        <w:t xml:space="preserve"> </w:t>
      </w:r>
      <w:r w:rsidRPr="00150EDC">
        <w:rPr>
          <w:sz w:val="24"/>
        </w:rPr>
        <w:t>to</w:t>
      </w:r>
      <w:r w:rsidRPr="00150EDC">
        <w:rPr>
          <w:spacing w:val="-8"/>
          <w:sz w:val="24"/>
        </w:rPr>
        <w:t xml:space="preserve"> </w:t>
      </w:r>
      <w:r w:rsidRPr="00150EDC">
        <w:rPr>
          <w:sz w:val="24"/>
        </w:rPr>
        <w:t>carry</w:t>
      </w:r>
      <w:r w:rsidRPr="00150EDC">
        <w:rPr>
          <w:spacing w:val="-9"/>
          <w:sz w:val="24"/>
        </w:rPr>
        <w:t xml:space="preserve"> </w:t>
      </w:r>
      <w:r w:rsidRPr="00150EDC">
        <w:rPr>
          <w:sz w:val="24"/>
        </w:rPr>
        <w:t>out</w:t>
      </w:r>
      <w:r w:rsidRPr="00150EDC">
        <w:rPr>
          <w:spacing w:val="-8"/>
          <w:sz w:val="24"/>
        </w:rPr>
        <w:t xml:space="preserve"> </w:t>
      </w:r>
      <w:r w:rsidRPr="00150EDC">
        <w:rPr>
          <w:sz w:val="24"/>
        </w:rPr>
        <w:t>their respective duties under regulation</w:t>
      </w:r>
      <w:r w:rsidRPr="00150EDC">
        <w:rPr>
          <w:spacing w:val="-4"/>
          <w:sz w:val="24"/>
        </w:rPr>
        <w:t xml:space="preserve"> </w:t>
      </w:r>
      <w:r w:rsidRPr="00150EDC">
        <w:rPr>
          <w:sz w:val="24"/>
        </w:rPr>
        <w:t>13 of the Employment Regulations. The Buyer shall procure that the Replacement Supplier and/or Replacement Subcontractor, shall promptly provide to the Supplier and each Subcontractor in writing such information as is necessary to enable the Supplier and each Subcontractor to carry out their respective duties under regulation</w:t>
      </w:r>
      <w:r w:rsidRPr="00150EDC">
        <w:rPr>
          <w:spacing w:val="-3"/>
          <w:sz w:val="24"/>
        </w:rPr>
        <w:t xml:space="preserve"> </w:t>
      </w:r>
      <w:r w:rsidRPr="00150EDC">
        <w:rPr>
          <w:sz w:val="24"/>
        </w:rPr>
        <w:t>13 of the Employment Regulations.</w:t>
      </w:r>
    </w:p>
    <w:p w14:paraId="7B531970" w14:textId="77777777" w:rsidR="004C7180" w:rsidRPr="00150EDC" w:rsidRDefault="00CF0754" w:rsidP="00B320C7">
      <w:pPr>
        <w:pStyle w:val="ListParagraph"/>
        <w:numPr>
          <w:ilvl w:val="1"/>
          <w:numId w:val="85"/>
        </w:numPr>
        <w:tabs>
          <w:tab w:val="left" w:pos="2116"/>
          <w:tab w:val="left" w:pos="2119"/>
        </w:tabs>
        <w:spacing w:before="121"/>
        <w:ind w:left="2119" w:right="1434"/>
        <w:jc w:val="both"/>
        <w:rPr>
          <w:sz w:val="24"/>
        </w:rPr>
      </w:pPr>
      <w:r w:rsidRPr="00150EDC">
        <w:rPr>
          <w:sz w:val="24"/>
        </w:rPr>
        <w:t>Subject to Paragraph</w:t>
      </w:r>
      <w:r w:rsidRPr="00150EDC">
        <w:rPr>
          <w:spacing w:val="-3"/>
          <w:sz w:val="24"/>
        </w:rPr>
        <w:t xml:space="preserve"> </w:t>
      </w:r>
      <w:r w:rsidRPr="00150EDC">
        <w:rPr>
          <w:sz w:val="24"/>
        </w:rPr>
        <w:t>2.14, the Buyer shall procure that the Replacement Supplier indemnifies the Supplier on its own behalf and on behalf of any Replacement Subcontractor and its Subcontractors against any Employee Liabilities arising from or as a result of:</w:t>
      </w:r>
    </w:p>
    <w:p w14:paraId="3E03D68C" w14:textId="77777777" w:rsidR="004C7180" w:rsidRPr="00150EDC" w:rsidRDefault="00CF0754" w:rsidP="00B320C7">
      <w:pPr>
        <w:pStyle w:val="ListParagraph"/>
        <w:numPr>
          <w:ilvl w:val="2"/>
          <w:numId w:val="85"/>
        </w:numPr>
        <w:tabs>
          <w:tab w:val="left" w:pos="3612"/>
          <w:tab w:val="left" w:pos="3675"/>
        </w:tabs>
        <w:spacing w:before="120"/>
        <w:ind w:right="1433"/>
        <w:jc w:val="both"/>
        <w:rPr>
          <w:sz w:val="24"/>
        </w:rPr>
      </w:pPr>
      <w:r w:rsidRPr="00150EDC">
        <w:rPr>
          <w:rFonts w:ascii="Times New Roman" w:hAnsi="Times New Roman"/>
          <w:sz w:val="24"/>
        </w:rPr>
        <w:tab/>
      </w:r>
      <w:r w:rsidRPr="00150EDC">
        <w:rPr>
          <w:sz w:val="24"/>
        </w:rPr>
        <w:t>any act or omission of the Replacement Supplier and/or Replacement Subcontractor in respect of any Transferring Supplier</w:t>
      </w:r>
      <w:r w:rsidRPr="00150EDC">
        <w:rPr>
          <w:spacing w:val="-17"/>
          <w:sz w:val="24"/>
        </w:rPr>
        <w:t xml:space="preserve"> </w:t>
      </w:r>
      <w:r w:rsidRPr="00150EDC">
        <w:rPr>
          <w:sz w:val="24"/>
        </w:rPr>
        <w:t>Employee</w:t>
      </w:r>
      <w:r w:rsidRPr="00150EDC">
        <w:rPr>
          <w:spacing w:val="-17"/>
          <w:sz w:val="24"/>
        </w:rPr>
        <w:t xml:space="preserve"> </w:t>
      </w:r>
      <w:r w:rsidRPr="00150EDC">
        <w:rPr>
          <w:sz w:val="24"/>
        </w:rPr>
        <w:t>in</w:t>
      </w:r>
      <w:r w:rsidRPr="00150EDC">
        <w:rPr>
          <w:spacing w:val="-15"/>
          <w:sz w:val="24"/>
        </w:rPr>
        <w:t xml:space="preserve"> </w:t>
      </w:r>
      <w:r w:rsidRPr="00150EDC">
        <w:rPr>
          <w:sz w:val="24"/>
        </w:rPr>
        <w:t>the</w:t>
      </w:r>
      <w:r w:rsidRPr="00150EDC">
        <w:rPr>
          <w:spacing w:val="-15"/>
          <w:sz w:val="24"/>
        </w:rPr>
        <w:t xml:space="preserve"> </w:t>
      </w:r>
      <w:r w:rsidRPr="00150EDC">
        <w:rPr>
          <w:sz w:val="24"/>
        </w:rPr>
        <w:t>Supplier’s</w:t>
      </w:r>
      <w:r w:rsidRPr="00150EDC">
        <w:rPr>
          <w:spacing w:val="-15"/>
          <w:sz w:val="24"/>
        </w:rPr>
        <w:t xml:space="preserve"> </w:t>
      </w:r>
      <w:r w:rsidRPr="00150EDC">
        <w:rPr>
          <w:sz w:val="24"/>
        </w:rPr>
        <w:t>Final</w:t>
      </w:r>
      <w:r w:rsidRPr="00150EDC">
        <w:rPr>
          <w:spacing w:val="-15"/>
          <w:sz w:val="24"/>
        </w:rPr>
        <w:t xml:space="preserve"> </w:t>
      </w:r>
      <w:r w:rsidRPr="00150EDC">
        <w:rPr>
          <w:sz w:val="24"/>
        </w:rPr>
        <w:t>Supplier</w:t>
      </w:r>
      <w:r w:rsidRPr="00150EDC">
        <w:rPr>
          <w:spacing w:val="-16"/>
          <w:sz w:val="24"/>
        </w:rPr>
        <w:t xml:space="preserve"> </w:t>
      </w:r>
      <w:r w:rsidRPr="00150EDC">
        <w:rPr>
          <w:sz w:val="24"/>
        </w:rPr>
        <w:t>Personnel</w:t>
      </w:r>
      <w:r w:rsidRPr="00150EDC">
        <w:rPr>
          <w:spacing w:val="-17"/>
          <w:sz w:val="24"/>
        </w:rPr>
        <w:t xml:space="preserve"> </w:t>
      </w:r>
      <w:r w:rsidRPr="00150EDC">
        <w:rPr>
          <w:sz w:val="24"/>
        </w:rPr>
        <w:t xml:space="preserve">List or any appropriate employee representative (as defined in the Employment Regulations) of any such Transferring Supplier </w:t>
      </w:r>
      <w:r w:rsidRPr="00150EDC">
        <w:rPr>
          <w:spacing w:val="-2"/>
          <w:sz w:val="24"/>
        </w:rPr>
        <w:t>Employee;</w:t>
      </w:r>
    </w:p>
    <w:p w14:paraId="344A9240" w14:textId="77777777" w:rsidR="004C7180" w:rsidRPr="00150EDC" w:rsidRDefault="00CF0754" w:rsidP="00B320C7">
      <w:pPr>
        <w:pStyle w:val="ListParagraph"/>
        <w:numPr>
          <w:ilvl w:val="2"/>
          <w:numId w:val="85"/>
        </w:numPr>
        <w:tabs>
          <w:tab w:val="left" w:pos="3608"/>
          <w:tab w:val="left" w:pos="3612"/>
        </w:tabs>
        <w:spacing w:before="120"/>
        <w:ind w:right="1435"/>
        <w:jc w:val="both"/>
        <w:rPr>
          <w:sz w:val="24"/>
        </w:rPr>
      </w:pPr>
      <w:r w:rsidRPr="00150EDC">
        <w:rPr>
          <w:sz w:val="24"/>
        </w:rPr>
        <w:t>the breach or non-observance by the Replacement Supplier and/or Replacement Subcontractor on or after the Service Transfer Date of:</w:t>
      </w:r>
    </w:p>
    <w:p w14:paraId="2BD96F7A" w14:textId="77777777" w:rsidR="004C7180" w:rsidRPr="00150EDC" w:rsidRDefault="00CF0754" w:rsidP="00B320C7">
      <w:pPr>
        <w:pStyle w:val="ListParagraph"/>
        <w:numPr>
          <w:ilvl w:val="3"/>
          <w:numId w:val="85"/>
        </w:numPr>
        <w:tabs>
          <w:tab w:val="left" w:pos="4803"/>
        </w:tabs>
        <w:spacing w:before="120"/>
        <w:ind w:right="1432"/>
        <w:jc w:val="both"/>
        <w:rPr>
          <w:rFonts w:ascii="Trebuchet MS" w:hAnsi="Trebuchet MS"/>
          <w:sz w:val="24"/>
        </w:rPr>
      </w:pPr>
      <w:bookmarkStart w:id="21" w:name="(a)_any_collective_agreement_applicable_"/>
      <w:bookmarkEnd w:id="21"/>
      <w:r w:rsidRPr="00150EDC">
        <w:rPr>
          <w:sz w:val="24"/>
        </w:rPr>
        <w:t>any collective agreement applicable to the Transferring Supplier Employees identified in the Supplier’s Final Supplier Personnel List; and/or</w:t>
      </w:r>
    </w:p>
    <w:p w14:paraId="4F966712" w14:textId="77777777" w:rsidR="004C7180" w:rsidRPr="00150EDC" w:rsidRDefault="004C7180">
      <w:pPr>
        <w:pStyle w:val="BodyText"/>
        <w:spacing w:before="7"/>
        <w:rPr>
          <w:sz w:val="20"/>
        </w:rPr>
      </w:pPr>
    </w:p>
    <w:p w14:paraId="57FD0FE1" w14:textId="77777777" w:rsidR="004C7180" w:rsidRPr="00150EDC" w:rsidRDefault="00CF0754" w:rsidP="00B320C7">
      <w:pPr>
        <w:pStyle w:val="ListParagraph"/>
        <w:numPr>
          <w:ilvl w:val="3"/>
          <w:numId w:val="85"/>
        </w:numPr>
        <w:tabs>
          <w:tab w:val="left" w:pos="4803"/>
        </w:tabs>
        <w:ind w:right="1432"/>
        <w:jc w:val="both"/>
        <w:rPr>
          <w:rFonts w:ascii="Trebuchet MS" w:hAnsi="Trebuchet MS"/>
          <w:sz w:val="24"/>
        </w:rPr>
      </w:pPr>
      <w:bookmarkStart w:id="22" w:name="(b)_any_custom_or_practice_in_respect_of"/>
      <w:bookmarkEnd w:id="22"/>
      <w:r w:rsidRPr="00150EDC">
        <w:rPr>
          <w:sz w:val="24"/>
        </w:rPr>
        <w:t>any</w:t>
      </w:r>
      <w:r w:rsidRPr="00150EDC">
        <w:rPr>
          <w:spacing w:val="-1"/>
          <w:sz w:val="24"/>
        </w:rPr>
        <w:t xml:space="preserve"> </w:t>
      </w:r>
      <w:r w:rsidRPr="00150EDC">
        <w:rPr>
          <w:sz w:val="24"/>
        </w:rPr>
        <w:t>custom or</w:t>
      </w:r>
      <w:r w:rsidRPr="00150EDC">
        <w:rPr>
          <w:spacing w:val="-1"/>
          <w:sz w:val="24"/>
        </w:rPr>
        <w:t xml:space="preserve"> </w:t>
      </w:r>
      <w:r w:rsidRPr="00150EDC">
        <w:rPr>
          <w:sz w:val="24"/>
        </w:rPr>
        <w:t>practice</w:t>
      </w:r>
      <w:r w:rsidRPr="00150EDC">
        <w:rPr>
          <w:spacing w:val="-2"/>
          <w:sz w:val="24"/>
        </w:rPr>
        <w:t xml:space="preserve"> </w:t>
      </w:r>
      <w:r w:rsidRPr="00150EDC">
        <w:rPr>
          <w:sz w:val="24"/>
        </w:rPr>
        <w:t>in respect</w:t>
      </w:r>
      <w:r w:rsidRPr="00150EDC">
        <w:rPr>
          <w:spacing w:val="-2"/>
          <w:sz w:val="24"/>
        </w:rPr>
        <w:t xml:space="preserve"> </w:t>
      </w:r>
      <w:r w:rsidRPr="00150EDC">
        <w:rPr>
          <w:sz w:val="24"/>
        </w:rPr>
        <w:t>of</w:t>
      </w:r>
      <w:r w:rsidRPr="00150EDC">
        <w:rPr>
          <w:spacing w:val="-2"/>
          <w:sz w:val="24"/>
        </w:rPr>
        <w:t xml:space="preserve"> </w:t>
      </w:r>
      <w:r w:rsidRPr="00150EDC">
        <w:rPr>
          <w:sz w:val="24"/>
        </w:rPr>
        <w:t>any</w:t>
      </w:r>
      <w:r w:rsidRPr="00150EDC">
        <w:rPr>
          <w:spacing w:val="-1"/>
          <w:sz w:val="24"/>
        </w:rPr>
        <w:t xml:space="preserve"> </w:t>
      </w:r>
      <w:r w:rsidRPr="00150EDC">
        <w:rPr>
          <w:sz w:val="24"/>
        </w:rPr>
        <w:t>Transferring Supplier Employees identified in the Supplier’s Final Supplier Personnel List which the Replacement Supplier and/or Replacement Subcontractor is contractually bound to honour;</w:t>
      </w:r>
    </w:p>
    <w:p w14:paraId="22570B9F" w14:textId="77777777" w:rsidR="004C7180" w:rsidRPr="00150EDC" w:rsidRDefault="004C7180">
      <w:pPr>
        <w:pStyle w:val="BodyText"/>
        <w:spacing w:before="8"/>
        <w:rPr>
          <w:sz w:val="20"/>
        </w:rPr>
      </w:pPr>
    </w:p>
    <w:p w14:paraId="0065A749" w14:textId="77777777" w:rsidR="004C7180" w:rsidRPr="00150EDC" w:rsidRDefault="00CF0754" w:rsidP="00B320C7">
      <w:pPr>
        <w:pStyle w:val="ListParagraph"/>
        <w:numPr>
          <w:ilvl w:val="2"/>
          <w:numId w:val="85"/>
        </w:numPr>
        <w:tabs>
          <w:tab w:val="left" w:pos="3608"/>
          <w:tab w:val="left" w:pos="3612"/>
        </w:tabs>
        <w:ind w:right="1433"/>
        <w:jc w:val="both"/>
        <w:rPr>
          <w:sz w:val="24"/>
        </w:rPr>
      </w:pPr>
      <w:r w:rsidRPr="00150EDC">
        <w:rPr>
          <w:sz w:val="24"/>
        </w:rPr>
        <w:t>any claim by any trade union or other body or person representing any Transferring Supplier Employees identified in the Supplier’s Final Supplier Personnel List arising from or connected with any failure by the Replacement Supplier and/or Replacement Subcontractor to comply with any legal obligation to</w:t>
      </w:r>
      <w:r w:rsidRPr="00150EDC">
        <w:rPr>
          <w:spacing w:val="-17"/>
          <w:sz w:val="24"/>
        </w:rPr>
        <w:t xml:space="preserve"> </w:t>
      </w:r>
      <w:r w:rsidRPr="00150EDC">
        <w:rPr>
          <w:sz w:val="24"/>
        </w:rPr>
        <w:t>such</w:t>
      </w:r>
      <w:r w:rsidRPr="00150EDC">
        <w:rPr>
          <w:spacing w:val="-16"/>
          <w:sz w:val="24"/>
        </w:rPr>
        <w:t xml:space="preserve"> </w:t>
      </w:r>
      <w:r w:rsidRPr="00150EDC">
        <w:rPr>
          <w:sz w:val="24"/>
        </w:rPr>
        <w:t>trade</w:t>
      </w:r>
      <w:r w:rsidRPr="00150EDC">
        <w:rPr>
          <w:spacing w:val="-17"/>
          <w:sz w:val="24"/>
        </w:rPr>
        <w:t xml:space="preserve"> </w:t>
      </w:r>
      <w:r w:rsidRPr="00150EDC">
        <w:rPr>
          <w:sz w:val="24"/>
        </w:rPr>
        <w:t>union,</w:t>
      </w:r>
      <w:r w:rsidRPr="00150EDC">
        <w:rPr>
          <w:spacing w:val="-16"/>
          <w:sz w:val="24"/>
        </w:rPr>
        <w:t xml:space="preserve"> </w:t>
      </w:r>
      <w:r w:rsidRPr="00150EDC">
        <w:rPr>
          <w:sz w:val="24"/>
        </w:rPr>
        <w:t>body</w:t>
      </w:r>
      <w:r w:rsidRPr="00150EDC">
        <w:rPr>
          <w:spacing w:val="-16"/>
          <w:sz w:val="24"/>
        </w:rPr>
        <w:t xml:space="preserve"> </w:t>
      </w:r>
      <w:r w:rsidRPr="00150EDC">
        <w:rPr>
          <w:sz w:val="24"/>
        </w:rPr>
        <w:t>or</w:t>
      </w:r>
      <w:r w:rsidRPr="00150EDC">
        <w:rPr>
          <w:spacing w:val="-17"/>
          <w:sz w:val="24"/>
        </w:rPr>
        <w:t xml:space="preserve"> </w:t>
      </w:r>
      <w:r w:rsidRPr="00150EDC">
        <w:rPr>
          <w:sz w:val="24"/>
        </w:rPr>
        <w:t>person</w:t>
      </w:r>
      <w:r w:rsidRPr="00150EDC">
        <w:rPr>
          <w:spacing w:val="-15"/>
          <w:sz w:val="24"/>
        </w:rPr>
        <w:t xml:space="preserve"> </w:t>
      </w:r>
      <w:r w:rsidRPr="00150EDC">
        <w:rPr>
          <w:sz w:val="24"/>
        </w:rPr>
        <w:t>arising</w:t>
      </w:r>
      <w:r w:rsidRPr="00150EDC">
        <w:rPr>
          <w:spacing w:val="-15"/>
          <w:sz w:val="24"/>
        </w:rPr>
        <w:t xml:space="preserve"> </w:t>
      </w:r>
      <w:r w:rsidRPr="00150EDC">
        <w:rPr>
          <w:sz w:val="24"/>
        </w:rPr>
        <w:t>on</w:t>
      </w:r>
      <w:r w:rsidRPr="00150EDC">
        <w:rPr>
          <w:spacing w:val="-17"/>
          <w:sz w:val="24"/>
        </w:rPr>
        <w:t xml:space="preserve"> </w:t>
      </w:r>
      <w:r w:rsidRPr="00150EDC">
        <w:rPr>
          <w:sz w:val="24"/>
        </w:rPr>
        <w:t>or</w:t>
      </w:r>
      <w:r w:rsidRPr="00150EDC">
        <w:rPr>
          <w:spacing w:val="-17"/>
          <w:sz w:val="24"/>
        </w:rPr>
        <w:t xml:space="preserve"> </w:t>
      </w:r>
      <w:r w:rsidRPr="00150EDC">
        <w:rPr>
          <w:sz w:val="24"/>
        </w:rPr>
        <w:t>after</w:t>
      </w:r>
      <w:r w:rsidRPr="00150EDC">
        <w:rPr>
          <w:spacing w:val="-16"/>
          <w:sz w:val="24"/>
        </w:rPr>
        <w:t xml:space="preserve"> </w:t>
      </w:r>
      <w:r w:rsidRPr="00150EDC">
        <w:rPr>
          <w:sz w:val="24"/>
        </w:rPr>
        <w:t>the</w:t>
      </w:r>
      <w:r w:rsidRPr="00150EDC">
        <w:rPr>
          <w:spacing w:val="-15"/>
          <w:sz w:val="24"/>
        </w:rPr>
        <w:t xml:space="preserve"> </w:t>
      </w:r>
      <w:r w:rsidRPr="00150EDC">
        <w:rPr>
          <w:sz w:val="24"/>
        </w:rPr>
        <w:t>Service Transfer Date;</w:t>
      </w:r>
    </w:p>
    <w:p w14:paraId="56CF4ACC" w14:textId="77777777" w:rsidR="004C7180" w:rsidRPr="00150EDC" w:rsidRDefault="00CF0754" w:rsidP="00B320C7">
      <w:pPr>
        <w:pStyle w:val="ListParagraph"/>
        <w:numPr>
          <w:ilvl w:val="2"/>
          <w:numId w:val="85"/>
        </w:numPr>
        <w:tabs>
          <w:tab w:val="left" w:pos="3608"/>
          <w:tab w:val="left" w:pos="3612"/>
        </w:tabs>
        <w:spacing w:before="120"/>
        <w:ind w:right="1434"/>
        <w:jc w:val="both"/>
        <w:rPr>
          <w:sz w:val="24"/>
        </w:rPr>
      </w:pPr>
      <w:r w:rsidRPr="00150EDC">
        <w:rPr>
          <w:sz w:val="24"/>
        </w:rPr>
        <w:t>any proposal by the Replacement Supplier and/or Replacement Subcontractor</w:t>
      </w:r>
      <w:r w:rsidRPr="00150EDC">
        <w:rPr>
          <w:spacing w:val="-17"/>
          <w:sz w:val="24"/>
        </w:rPr>
        <w:t xml:space="preserve"> </w:t>
      </w:r>
      <w:r w:rsidRPr="00150EDC">
        <w:rPr>
          <w:sz w:val="24"/>
        </w:rPr>
        <w:t>to</w:t>
      </w:r>
      <w:r w:rsidRPr="00150EDC">
        <w:rPr>
          <w:spacing w:val="-17"/>
          <w:sz w:val="24"/>
        </w:rPr>
        <w:t xml:space="preserve"> </w:t>
      </w:r>
      <w:r w:rsidRPr="00150EDC">
        <w:rPr>
          <w:sz w:val="24"/>
        </w:rPr>
        <w:t>change</w:t>
      </w:r>
      <w:r w:rsidRPr="00150EDC">
        <w:rPr>
          <w:spacing w:val="-16"/>
          <w:sz w:val="24"/>
        </w:rPr>
        <w:t xml:space="preserve"> </w:t>
      </w:r>
      <w:r w:rsidRPr="00150EDC">
        <w:rPr>
          <w:sz w:val="24"/>
        </w:rPr>
        <w:t>the</w:t>
      </w:r>
      <w:r w:rsidRPr="00150EDC">
        <w:rPr>
          <w:spacing w:val="-17"/>
          <w:sz w:val="24"/>
        </w:rPr>
        <w:t xml:space="preserve"> </w:t>
      </w:r>
      <w:r w:rsidRPr="00150EDC">
        <w:rPr>
          <w:sz w:val="24"/>
        </w:rPr>
        <w:t>terms</w:t>
      </w:r>
      <w:r w:rsidRPr="00150EDC">
        <w:rPr>
          <w:spacing w:val="-17"/>
          <w:sz w:val="24"/>
        </w:rPr>
        <w:t xml:space="preserve"> </w:t>
      </w:r>
      <w:r w:rsidRPr="00150EDC">
        <w:rPr>
          <w:sz w:val="24"/>
        </w:rPr>
        <w:t>and</w:t>
      </w:r>
      <w:r w:rsidRPr="00150EDC">
        <w:rPr>
          <w:spacing w:val="-17"/>
          <w:sz w:val="24"/>
        </w:rPr>
        <w:t xml:space="preserve"> </w:t>
      </w:r>
      <w:r w:rsidRPr="00150EDC">
        <w:rPr>
          <w:sz w:val="24"/>
        </w:rPr>
        <w:t>conditions</w:t>
      </w:r>
      <w:r w:rsidRPr="00150EDC">
        <w:rPr>
          <w:spacing w:val="-16"/>
          <w:sz w:val="24"/>
        </w:rPr>
        <w:t xml:space="preserve"> </w:t>
      </w:r>
      <w:r w:rsidRPr="00150EDC">
        <w:rPr>
          <w:sz w:val="24"/>
        </w:rPr>
        <w:t>of</w:t>
      </w:r>
      <w:r w:rsidRPr="00150EDC">
        <w:rPr>
          <w:spacing w:val="-17"/>
          <w:sz w:val="24"/>
        </w:rPr>
        <w:t xml:space="preserve"> </w:t>
      </w:r>
      <w:r w:rsidRPr="00150EDC">
        <w:rPr>
          <w:sz w:val="24"/>
        </w:rPr>
        <w:t>employment or working conditions of any Transferring Supplier Employees identified in the Supplier’s Final Supplier Personnel List on or after their transfer to the Replacement Supplier or Replacement Subcontractor (as the case may be) on the Service Transfer Date,</w:t>
      </w:r>
      <w:r w:rsidRPr="00150EDC">
        <w:rPr>
          <w:spacing w:val="19"/>
          <w:sz w:val="24"/>
        </w:rPr>
        <w:t xml:space="preserve"> </w:t>
      </w:r>
      <w:r w:rsidRPr="00150EDC">
        <w:rPr>
          <w:sz w:val="24"/>
        </w:rPr>
        <w:t>or</w:t>
      </w:r>
      <w:r w:rsidRPr="00150EDC">
        <w:rPr>
          <w:spacing w:val="21"/>
          <w:sz w:val="24"/>
        </w:rPr>
        <w:t xml:space="preserve"> </w:t>
      </w:r>
      <w:r w:rsidRPr="00150EDC">
        <w:rPr>
          <w:sz w:val="24"/>
        </w:rPr>
        <w:t>to</w:t>
      </w:r>
      <w:r w:rsidRPr="00150EDC">
        <w:rPr>
          <w:spacing w:val="21"/>
          <w:sz w:val="24"/>
        </w:rPr>
        <w:t xml:space="preserve"> </w:t>
      </w:r>
      <w:r w:rsidRPr="00150EDC">
        <w:rPr>
          <w:sz w:val="24"/>
        </w:rPr>
        <w:t>change</w:t>
      </w:r>
      <w:r w:rsidRPr="00150EDC">
        <w:rPr>
          <w:spacing w:val="23"/>
          <w:sz w:val="24"/>
        </w:rPr>
        <w:t xml:space="preserve"> </w:t>
      </w:r>
      <w:r w:rsidRPr="00150EDC">
        <w:rPr>
          <w:sz w:val="24"/>
        </w:rPr>
        <w:t>the</w:t>
      </w:r>
      <w:r w:rsidRPr="00150EDC">
        <w:rPr>
          <w:spacing w:val="23"/>
          <w:sz w:val="24"/>
        </w:rPr>
        <w:t xml:space="preserve"> </w:t>
      </w:r>
      <w:r w:rsidRPr="00150EDC">
        <w:rPr>
          <w:sz w:val="24"/>
        </w:rPr>
        <w:t>terms</w:t>
      </w:r>
      <w:r w:rsidRPr="00150EDC">
        <w:rPr>
          <w:spacing w:val="20"/>
          <w:sz w:val="24"/>
        </w:rPr>
        <w:t xml:space="preserve"> </w:t>
      </w:r>
      <w:r w:rsidRPr="00150EDC">
        <w:rPr>
          <w:sz w:val="24"/>
        </w:rPr>
        <w:t>and</w:t>
      </w:r>
      <w:r w:rsidRPr="00150EDC">
        <w:rPr>
          <w:spacing w:val="21"/>
          <w:sz w:val="24"/>
        </w:rPr>
        <w:t xml:space="preserve"> </w:t>
      </w:r>
      <w:r w:rsidRPr="00150EDC">
        <w:rPr>
          <w:sz w:val="24"/>
        </w:rPr>
        <w:t>conditions</w:t>
      </w:r>
      <w:r w:rsidRPr="00150EDC">
        <w:rPr>
          <w:spacing w:val="22"/>
          <w:sz w:val="24"/>
        </w:rPr>
        <w:t xml:space="preserve"> </w:t>
      </w:r>
      <w:r w:rsidRPr="00150EDC">
        <w:rPr>
          <w:sz w:val="24"/>
        </w:rPr>
        <w:t>of</w:t>
      </w:r>
      <w:r w:rsidRPr="00150EDC">
        <w:rPr>
          <w:spacing w:val="20"/>
          <w:sz w:val="24"/>
        </w:rPr>
        <w:t xml:space="preserve"> </w:t>
      </w:r>
      <w:r w:rsidRPr="00150EDC">
        <w:rPr>
          <w:sz w:val="24"/>
        </w:rPr>
        <w:t>employment</w:t>
      </w:r>
      <w:r w:rsidRPr="00150EDC">
        <w:rPr>
          <w:spacing w:val="20"/>
          <w:sz w:val="24"/>
        </w:rPr>
        <w:t xml:space="preserve"> </w:t>
      </w:r>
      <w:r w:rsidRPr="00150EDC">
        <w:rPr>
          <w:spacing w:val="-5"/>
          <w:sz w:val="24"/>
        </w:rPr>
        <w:t>or</w:t>
      </w:r>
    </w:p>
    <w:p w14:paraId="6975658D" w14:textId="77777777" w:rsidR="004C7180" w:rsidRPr="00150EDC" w:rsidRDefault="004C7180">
      <w:pPr>
        <w:jc w:val="both"/>
        <w:rPr>
          <w:sz w:val="24"/>
        </w:rPr>
        <w:sectPr w:rsidR="004C7180" w:rsidRPr="00150EDC">
          <w:pgSz w:w="11910" w:h="16840"/>
          <w:pgMar w:top="1380" w:right="0" w:bottom="1380" w:left="40" w:header="715" w:footer="1192" w:gutter="0"/>
          <w:cols w:space="720"/>
        </w:sectPr>
      </w:pPr>
    </w:p>
    <w:p w14:paraId="57C5BA99" w14:textId="77777777" w:rsidR="004C7180" w:rsidRPr="00150EDC" w:rsidRDefault="004C7180">
      <w:pPr>
        <w:pStyle w:val="BodyText"/>
        <w:spacing w:before="5"/>
        <w:rPr>
          <w:sz w:val="15"/>
        </w:rPr>
      </w:pPr>
    </w:p>
    <w:p w14:paraId="57945A65" w14:textId="77777777" w:rsidR="004C7180" w:rsidRPr="00150EDC" w:rsidRDefault="00CF0754">
      <w:pPr>
        <w:pStyle w:val="BodyText"/>
        <w:spacing w:before="92"/>
        <w:ind w:left="3612" w:right="1434"/>
        <w:jc w:val="both"/>
      </w:pPr>
      <w:r w:rsidRPr="00150EDC">
        <w:t>working</w:t>
      </w:r>
      <w:r w:rsidRPr="00150EDC">
        <w:rPr>
          <w:spacing w:val="-9"/>
        </w:rPr>
        <w:t xml:space="preserve"> </w:t>
      </w:r>
      <w:r w:rsidRPr="00150EDC">
        <w:t>conditions</w:t>
      </w:r>
      <w:r w:rsidRPr="00150EDC">
        <w:rPr>
          <w:spacing w:val="-13"/>
        </w:rPr>
        <w:t xml:space="preserve"> </w:t>
      </w:r>
      <w:r w:rsidRPr="00150EDC">
        <w:t>of</w:t>
      </w:r>
      <w:r w:rsidRPr="00150EDC">
        <w:rPr>
          <w:spacing w:val="-12"/>
        </w:rPr>
        <w:t xml:space="preserve"> </w:t>
      </w:r>
      <w:r w:rsidRPr="00150EDC">
        <w:t>any</w:t>
      </w:r>
      <w:r w:rsidRPr="00150EDC">
        <w:rPr>
          <w:spacing w:val="-10"/>
        </w:rPr>
        <w:t xml:space="preserve"> </w:t>
      </w:r>
      <w:r w:rsidRPr="00150EDC">
        <w:t>person</w:t>
      </w:r>
      <w:r w:rsidRPr="00150EDC">
        <w:rPr>
          <w:spacing w:val="-12"/>
        </w:rPr>
        <w:t xml:space="preserve"> </w:t>
      </w:r>
      <w:r w:rsidRPr="00150EDC">
        <w:t>identified</w:t>
      </w:r>
      <w:r w:rsidRPr="00150EDC">
        <w:rPr>
          <w:spacing w:val="-12"/>
        </w:rPr>
        <w:t xml:space="preserve"> </w:t>
      </w:r>
      <w:r w:rsidRPr="00150EDC">
        <w:t>in</w:t>
      </w:r>
      <w:r w:rsidRPr="00150EDC">
        <w:rPr>
          <w:spacing w:val="-12"/>
        </w:rPr>
        <w:t xml:space="preserve"> </w:t>
      </w:r>
      <w:r w:rsidRPr="00150EDC">
        <w:t>the</w:t>
      </w:r>
      <w:r w:rsidRPr="00150EDC">
        <w:rPr>
          <w:spacing w:val="-12"/>
        </w:rPr>
        <w:t xml:space="preserve"> </w:t>
      </w:r>
      <w:r w:rsidRPr="00150EDC">
        <w:t>Supplier’s</w:t>
      </w:r>
      <w:r w:rsidRPr="00150EDC">
        <w:rPr>
          <w:spacing w:val="-10"/>
        </w:rPr>
        <w:t xml:space="preserve"> </w:t>
      </w:r>
      <w:r w:rsidRPr="00150EDC">
        <w:t>Final Supplier Personnel List who would have been a Transferring Supplier Employee but for their resignation (or decision to treat their employment as terminated under regulation 4(9) of the Employment</w:t>
      </w:r>
      <w:r w:rsidRPr="00150EDC">
        <w:rPr>
          <w:spacing w:val="-5"/>
        </w:rPr>
        <w:t xml:space="preserve"> </w:t>
      </w:r>
      <w:r w:rsidRPr="00150EDC">
        <w:t>Regulations)</w:t>
      </w:r>
      <w:r w:rsidRPr="00150EDC">
        <w:rPr>
          <w:spacing w:val="-4"/>
        </w:rPr>
        <w:t xml:space="preserve"> </w:t>
      </w:r>
      <w:r w:rsidRPr="00150EDC">
        <w:t>before</w:t>
      </w:r>
      <w:r w:rsidRPr="00150EDC">
        <w:rPr>
          <w:spacing w:val="-4"/>
        </w:rPr>
        <w:t xml:space="preserve"> </w:t>
      </w:r>
      <w:r w:rsidRPr="00150EDC">
        <w:t>the</w:t>
      </w:r>
      <w:r w:rsidRPr="00150EDC">
        <w:rPr>
          <w:spacing w:val="-4"/>
        </w:rPr>
        <w:t xml:space="preserve"> </w:t>
      </w:r>
      <w:r w:rsidRPr="00150EDC">
        <w:t>Service</w:t>
      </w:r>
      <w:r w:rsidRPr="00150EDC">
        <w:rPr>
          <w:spacing w:val="-4"/>
        </w:rPr>
        <w:t xml:space="preserve"> </w:t>
      </w:r>
      <w:r w:rsidRPr="00150EDC">
        <w:t>Transfer</w:t>
      </w:r>
      <w:r w:rsidRPr="00150EDC">
        <w:rPr>
          <w:spacing w:val="-4"/>
        </w:rPr>
        <w:t xml:space="preserve"> </w:t>
      </w:r>
      <w:r w:rsidRPr="00150EDC">
        <w:t>Date</w:t>
      </w:r>
      <w:r w:rsidRPr="00150EDC">
        <w:rPr>
          <w:spacing w:val="-4"/>
        </w:rPr>
        <w:t xml:space="preserve"> </w:t>
      </w:r>
      <w:r w:rsidRPr="00150EDC">
        <w:t>as</w:t>
      </w:r>
      <w:r w:rsidRPr="00150EDC">
        <w:rPr>
          <w:spacing w:val="-5"/>
        </w:rPr>
        <w:t xml:space="preserve"> </w:t>
      </w:r>
      <w:r w:rsidRPr="00150EDC">
        <w:t>a result of or for a reason connected to such proposed changes;</w:t>
      </w:r>
    </w:p>
    <w:p w14:paraId="715CB439" w14:textId="77777777" w:rsidR="004C7180" w:rsidRPr="00150EDC" w:rsidRDefault="00CF0754" w:rsidP="00B320C7">
      <w:pPr>
        <w:pStyle w:val="ListParagraph"/>
        <w:numPr>
          <w:ilvl w:val="2"/>
          <w:numId w:val="85"/>
        </w:numPr>
        <w:tabs>
          <w:tab w:val="left" w:pos="3608"/>
          <w:tab w:val="left" w:pos="3612"/>
        </w:tabs>
        <w:spacing w:before="120"/>
        <w:ind w:right="1434"/>
        <w:jc w:val="both"/>
        <w:rPr>
          <w:sz w:val="24"/>
        </w:rPr>
      </w:pPr>
      <w:r w:rsidRPr="00150EDC">
        <w:rPr>
          <w:sz w:val="24"/>
        </w:rPr>
        <w:t>any statement communicated to or action undertaken by the Replacement Supplier or Replacement Subcontractor to, or in respect of, any Transferring Supplier Employee identified in the Supplier’s</w:t>
      </w:r>
      <w:r w:rsidRPr="00150EDC">
        <w:rPr>
          <w:spacing w:val="-3"/>
          <w:sz w:val="24"/>
        </w:rPr>
        <w:t xml:space="preserve"> </w:t>
      </w:r>
      <w:r w:rsidRPr="00150EDC">
        <w:rPr>
          <w:sz w:val="24"/>
        </w:rPr>
        <w:t>Final</w:t>
      </w:r>
      <w:r w:rsidRPr="00150EDC">
        <w:rPr>
          <w:spacing w:val="-3"/>
          <w:sz w:val="24"/>
        </w:rPr>
        <w:t xml:space="preserve"> </w:t>
      </w:r>
      <w:r w:rsidRPr="00150EDC">
        <w:rPr>
          <w:sz w:val="24"/>
        </w:rPr>
        <w:t>Supplier</w:t>
      </w:r>
      <w:r w:rsidRPr="00150EDC">
        <w:rPr>
          <w:spacing w:val="-4"/>
          <w:sz w:val="24"/>
        </w:rPr>
        <w:t xml:space="preserve"> </w:t>
      </w:r>
      <w:r w:rsidRPr="00150EDC">
        <w:rPr>
          <w:sz w:val="24"/>
        </w:rPr>
        <w:t>Personnel</w:t>
      </w:r>
      <w:r w:rsidRPr="00150EDC">
        <w:rPr>
          <w:spacing w:val="-3"/>
          <w:sz w:val="24"/>
        </w:rPr>
        <w:t xml:space="preserve"> </w:t>
      </w:r>
      <w:r w:rsidRPr="00150EDC">
        <w:rPr>
          <w:sz w:val="24"/>
        </w:rPr>
        <w:t>List</w:t>
      </w:r>
      <w:r w:rsidRPr="00150EDC">
        <w:rPr>
          <w:spacing w:val="-2"/>
          <w:sz w:val="24"/>
        </w:rPr>
        <w:t xml:space="preserve"> </w:t>
      </w:r>
      <w:r w:rsidRPr="00150EDC">
        <w:rPr>
          <w:sz w:val="24"/>
        </w:rPr>
        <w:t>on</w:t>
      </w:r>
      <w:r w:rsidRPr="00150EDC">
        <w:rPr>
          <w:spacing w:val="-4"/>
          <w:sz w:val="24"/>
        </w:rPr>
        <w:t xml:space="preserve"> </w:t>
      </w:r>
      <w:r w:rsidRPr="00150EDC">
        <w:rPr>
          <w:sz w:val="24"/>
        </w:rPr>
        <w:t>or</w:t>
      </w:r>
      <w:r w:rsidRPr="00150EDC">
        <w:rPr>
          <w:spacing w:val="-4"/>
          <w:sz w:val="24"/>
        </w:rPr>
        <w:t xml:space="preserve"> </w:t>
      </w:r>
      <w:r w:rsidRPr="00150EDC">
        <w:rPr>
          <w:sz w:val="24"/>
        </w:rPr>
        <w:t>before</w:t>
      </w:r>
      <w:r w:rsidRPr="00150EDC">
        <w:rPr>
          <w:spacing w:val="-2"/>
          <w:sz w:val="24"/>
        </w:rPr>
        <w:t xml:space="preserve"> </w:t>
      </w:r>
      <w:r w:rsidRPr="00150EDC">
        <w:rPr>
          <w:sz w:val="24"/>
        </w:rPr>
        <w:t>the</w:t>
      </w:r>
      <w:r w:rsidRPr="00150EDC">
        <w:rPr>
          <w:spacing w:val="-2"/>
          <w:sz w:val="24"/>
        </w:rPr>
        <w:t xml:space="preserve"> </w:t>
      </w:r>
      <w:r w:rsidRPr="00150EDC">
        <w:rPr>
          <w:sz w:val="24"/>
        </w:rPr>
        <w:t>Service Transfer Date regarding the Relevant Transfer which has not been agreed in advance with the Supplier in writing;</w:t>
      </w:r>
    </w:p>
    <w:p w14:paraId="0C7ADF41" w14:textId="77777777" w:rsidR="004C7180" w:rsidRPr="00150EDC" w:rsidRDefault="00CF0754" w:rsidP="00B320C7">
      <w:pPr>
        <w:pStyle w:val="ListParagraph"/>
        <w:numPr>
          <w:ilvl w:val="2"/>
          <w:numId w:val="85"/>
        </w:numPr>
        <w:tabs>
          <w:tab w:val="left" w:pos="3608"/>
          <w:tab w:val="left" w:pos="3612"/>
        </w:tabs>
        <w:spacing w:before="121"/>
        <w:ind w:right="1436"/>
        <w:jc w:val="both"/>
        <w:rPr>
          <w:sz w:val="24"/>
        </w:rPr>
      </w:pPr>
      <w:r w:rsidRPr="00150EDC">
        <w:rPr>
          <w:sz w:val="24"/>
        </w:rPr>
        <w:t xml:space="preserve">any proceeding, claim or demand by HMRC or other statutory authority in respect of any financial obligation including, but not limited to, PAYE and primary and secondary national insurance </w:t>
      </w:r>
      <w:r w:rsidRPr="00150EDC">
        <w:rPr>
          <w:spacing w:val="-2"/>
          <w:sz w:val="24"/>
        </w:rPr>
        <w:t>contributions:</w:t>
      </w:r>
    </w:p>
    <w:p w14:paraId="60D36D7E" w14:textId="77777777" w:rsidR="004C7180" w:rsidRPr="00150EDC" w:rsidRDefault="00CF0754" w:rsidP="00B320C7">
      <w:pPr>
        <w:pStyle w:val="ListParagraph"/>
        <w:numPr>
          <w:ilvl w:val="3"/>
          <w:numId w:val="85"/>
        </w:numPr>
        <w:tabs>
          <w:tab w:val="left" w:pos="4944"/>
        </w:tabs>
        <w:spacing w:before="119"/>
        <w:ind w:left="4944" w:right="1433" w:hanging="1277"/>
        <w:jc w:val="both"/>
        <w:rPr>
          <w:rFonts w:ascii="Trebuchet MS" w:hAnsi="Trebuchet MS"/>
          <w:sz w:val="24"/>
        </w:rPr>
      </w:pPr>
      <w:bookmarkStart w:id="23" w:name="(a)_in_relation_to_any_Transferring_Supp"/>
      <w:bookmarkEnd w:id="23"/>
      <w:r w:rsidRPr="00150EDC">
        <w:rPr>
          <w:sz w:val="24"/>
        </w:rPr>
        <w:t>in relation to any Transferring Supplier Employee identified in the Supplier’s Final Supplier Personnel List, to the extent that the proceeding, claim or demand by HMRC or other statutory authority relates to financial obligations arising after the Service Transfer Date; and</w:t>
      </w:r>
    </w:p>
    <w:p w14:paraId="2A1C7369" w14:textId="77777777" w:rsidR="004C7180" w:rsidRPr="00150EDC" w:rsidRDefault="004C7180">
      <w:pPr>
        <w:pStyle w:val="BodyText"/>
        <w:spacing w:before="8"/>
        <w:rPr>
          <w:sz w:val="20"/>
        </w:rPr>
      </w:pPr>
    </w:p>
    <w:p w14:paraId="2084478E" w14:textId="77777777" w:rsidR="004C7180" w:rsidRPr="00150EDC" w:rsidRDefault="00CF0754" w:rsidP="00B320C7">
      <w:pPr>
        <w:pStyle w:val="ListParagraph"/>
        <w:numPr>
          <w:ilvl w:val="3"/>
          <w:numId w:val="85"/>
        </w:numPr>
        <w:tabs>
          <w:tab w:val="left" w:pos="4944"/>
        </w:tabs>
        <w:ind w:left="4944" w:right="1433" w:hanging="1277"/>
        <w:jc w:val="both"/>
        <w:rPr>
          <w:rFonts w:ascii="Trebuchet MS" w:hAnsi="Trebuchet MS"/>
          <w:sz w:val="24"/>
        </w:rPr>
      </w:pPr>
      <w:bookmarkStart w:id="24" w:name="(b)_in_relation_to_any_employee_who_is_n"/>
      <w:bookmarkEnd w:id="24"/>
      <w:r w:rsidRPr="00150EDC">
        <w:rPr>
          <w:sz w:val="24"/>
        </w:rPr>
        <w:t>in</w:t>
      </w:r>
      <w:r w:rsidRPr="00150EDC">
        <w:rPr>
          <w:spacing w:val="-13"/>
          <w:sz w:val="24"/>
        </w:rPr>
        <w:t xml:space="preserve"> </w:t>
      </w:r>
      <w:r w:rsidRPr="00150EDC">
        <w:rPr>
          <w:sz w:val="24"/>
        </w:rPr>
        <w:t>relation</w:t>
      </w:r>
      <w:r w:rsidRPr="00150EDC">
        <w:rPr>
          <w:spacing w:val="-15"/>
          <w:sz w:val="24"/>
        </w:rPr>
        <w:t xml:space="preserve"> </w:t>
      </w:r>
      <w:r w:rsidRPr="00150EDC">
        <w:rPr>
          <w:sz w:val="24"/>
        </w:rPr>
        <w:t>to</w:t>
      </w:r>
      <w:r w:rsidRPr="00150EDC">
        <w:rPr>
          <w:spacing w:val="-15"/>
          <w:sz w:val="24"/>
        </w:rPr>
        <w:t xml:space="preserve"> </w:t>
      </w:r>
      <w:r w:rsidRPr="00150EDC">
        <w:rPr>
          <w:sz w:val="24"/>
        </w:rPr>
        <w:t>any</w:t>
      </w:r>
      <w:r w:rsidRPr="00150EDC">
        <w:rPr>
          <w:spacing w:val="-16"/>
          <w:sz w:val="24"/>
        </w:rPr>
        <w:t xml:space="preserve"> </w:t>
      </w:r>
      <w:r w:rsidRPr="00150EDC">
        <w:rPr>
          <w:sz w:val="24"/>
        </w:rPr>
        <w:t>employee</w:t>
      </w:r>
      <w:r w:rsidRPr="00150EDC">
        <w:rPr>
          <w:spacing w:val="-13"/>
          <w:sz w:val="24"/>
        </w:rPr>
        <w:t xml:space="preserve"> </w:t>
      </w:r>
      <w:r w:rsidRPr="00150EDC">
        <w:rPr>
          <w:sz w:val="24"/>
        </w:rPr>
        <w:t>who</w:t>
      </w:r>
      <w:r w:rsidRPr="00150EDC">
        <w:rPr>
          <w:spacing w:val="-13"/>
          <w:sz w:val="24"/>
        </w:rPr>
        <w:t xml:space="preserve"> </w:t>
      </w:r>
      <w:r w:rsidRPr="00150EDC">
        <w:rPr>
          <w:sz w:val="24"/>
        </w:rPr>
        <w:t>is</w:t>
      </w:r>
      <w:r w:rsidRPr="00150EDC">
        <w:rPr>
          <w:spacing w:val="-16"/>
          <w:sz w:val="24"/>
        </w:rPr>
        <w:t xml:space="preserve"> </w:t>
      </w:r>
      <w:r w:rsidRPr="00150EDC">
        <w:rPr>
          <w:sz w:val="24"/>
        </w:rPr>
        <w:t>not</w:t>
      </w:r>
      <w:r w:rsidRPr="00150EDC">
        <w:rPr>
          <w:spacing w:val="-15"/>
          <w:sz w:val="24"/>
        </w:rPr>
        <w:t xml:space="preserve"> </w:t>
      </w:r>
      <w:r w:rsidRPr="00150EDC">
        <w:rPr>
          <w:sz w:val="24"/>
        </w:rPr>
        <w:t>a</w:t>
      </w:r>
      <w:r w:rsidRPr="00150EDC">
        <w:rPr>
          <w:spacing w:val="-13"/>
          <w:sz w:val="24"/>
        </w:rPr>
        <w:t xml:space="preserve"> </w:t>
      </w:r>
      <w:r w:rsidRPr="00150EDC">
        <w:rPr>
          <w:sz w:val="24"/>
        </w:rPr>
        <w:t>Transferring Supplier Employee identified in the Supplier’s Final Supplier</w:t>
      </w:r>
      <w:r w:rsidRPr="00150EDC">
        <w:rPr>
          <w:spacing w:val="-8"/>
          <w:sz w:val="24"/>
        </w:rPr>
        <w:t xml:space="preserve"> </w:t>
      </w:r>
      <w:r w:rsidRPr="00150EDC">
        <w:rPr>
          <w:sz w:val="24"/>
        </w:rPr>
        <w:t>Personnel</w:t>
      </w:r>
      <w:r w:rsidRPr="00150EDC">
        <w:rPr>
          <w:spacing w:val="-8"/>
          <w:sz w:val="24"/>
        </w:rPr>
        <w:t xml:space="preserve"> </w:t>
      </w:r>
      <w:r w:rsidRPr="00150EDC">
        <w:rPr>
          <w:sz w:val="24"/>
        </w:rPr>
        <w:t>List,</w:t>
      </w:r>
      <w:r w:rsidRPr="00150EDC">
        <w:rPr>
          <w:spacing w:val="-6"/>
          <w:sz w:val="24"/>
        </w:rPr>
        <w:t xml:space="preserve"> </w:t>
      </w:r>
      <w:r w:rsidRPr="00150EDC">
        <w:rPr>
          <w:sz w:val="24"/>
        </w:rPr>
        <w:t>and</w:t>
      </w:r>
      <w:r w:rsidRPr="00150EDC">
        <w:rPr>
          <w:spacing w:val="-7"/>
          <w:sz w:val="24"/>
        </w:rPr>
        <w:t xml:space="preserve"> </w:t>
      </w:r>
      <w:r w:rsidRPr="00150EDC">
        <w:rPr>
          <w:sz w:val="24"/>
        </w:rPr>
        <w:t>in</w:t>
      </w:r>
      <w:r w:rsidRPr="00150EDC">
        <w:rPr>
          <w:spacing w:val="-5"/>
          <w:sz w:val="24"/>
        </w:rPr>
        <w:t xml:space="preserve"> </w:t>
      </w:r>
      <w:r w:rsidRPr="00150EDC">
        <w:rPr>
          <w:sz w:val="24"/>
        </w:rPr>
        <w:t>respect</w:t>
      </w:r>
      <w:r w:rsidRPr="00150EDC">
        <w:rPr>
          <w:spacing w:val="-7"/>
          <w:sz w:val="24"/>
        </w:rPr>
        <w:t xml:space="preserve"> </w:t>
      </w:r>
      <w:r w:rsidRPr="00150EDC">
        <w:rPr>
          <w:sz w:val="24"/>
        </w:rPr>
        <w:t>of</w:t>
      </w:r>
      <w:r w:rsidRPr="00150EDC">
        <w:rPr>
          <w:spacing w:val="-7"/>
          <w:sz w:val="24"/>
        </w:rPr>
        <w:t xml:space="preserve"> </w:t>
      </w:r>
      <w:r w:rsidRPr="00150EDC">
        <w:rPr>
          <w:sz w:val="24"/>
        </w:rPr>
        <w:t>whom</w:t>
      </w:r>
      <w:r w:rsidRPr="00150EDC">
        <w:rPr>
          <w:spacing w:val="-6"/>
          <w:sz w:val="24"/>
        </w:rPr>
        <w:t xml:space="preserve"> </w:t>
      </w:r>
      <w:r w:rsidRPr="00150EDC">
        <w:rPr>
          <w:sz w:val="24"/>
        </w:rPr>
        <w:t>it</w:t>
      </w:r>
      <w:r w:rsidRPr="00150EDC">
        <w:rPr>
          <w:spacing w:val="-6"/>
          <w:sz w:val="24"/>
        </w:rPr>
        <w:t xml:space="preserve"> </w:t>
      </w:r>
      <w:r w:rsidRPr="00150EDC">
        <w:rPr>
          <w:sz w:val="24"/>
        </w:rPr>
        <w:t>is later alleged or determined that the Employment Regulations applied so as to transfer his/her employment from the Supplier or Subcontractor, to the Replacement Supplier or Replacement Subcontractor to the extent that the proceeding, claim or demand by HMRC or other statutory authority</w:t>
      </w:r>
      <w:r w:rsidRPr="00150EDC">
        <w:rPr>
          <w:spacing w:val="-1"/>
          <w:sz w:val="24"/>
        </w:rPr>
        <w:t xml:space="preserve"> </w:t>
      </w:r>
      <w:r w:rsidRPr="00150EDC">
        <w:rPr>
          <w:sz w:val="24"/>
        </w:rPr>
        <w:t>relates</w:t>
      </w:r>
      <w:r w:rsidRPr="00150EDC">
        <w:rPr>
          <w:spacing w:val="-1"/>
          <w:sz w:val="24"/>
        </w:rPr>
        <w:t xml:space="preserve"> </w:t>
      </w:r>
      <w:r w:rsidRPr="00150EDC">
        <w:rPr>
          <w:sz w:val="24"/>
        </w:rPr>
        <w:t>to financial</w:t>
      </w:r>
      <w:r w:rsidRPr="00150EDC">
        <w:rPr>
          <w:spacing w:val="-2"/>
          <w:sz w:val="24"/>
        </w:rPr>
        <w:t xml:space="preserve"> </w:t>
      </w:r>
      <w:r w:rsidRPr="00150EDC">
        <w:rPr>
          <w:sz w:val="24"/>
        </w:rPr>
        <w:t>obligations</w:t>
      </w:r>
      <w:r w:rsidRPr="00150EDC">
        <w:rPr>
          <w:spacing w:val="-1"/>
          <w:sz w:val="24"/>
        </w:rPr>
        <w:t xml:space="preserve"> </w:t>
      </w:r>
      <w:r w:rsidRPr="00150EDC">
        <w:rPr>
          <w:sz w:val="24"/>
        </w:rPr>
        <w:t>arising after the Service Transfer Date;</w:t>
      </w:r>
    </w:p>
    <w:p w14:paraId="0DB9E636" w14:textId="77777777" w:rsidR="004C7180" w:rsidRPr="00150EDC" w:rsidRDefault="004C7180">
      <w:pPr>
        <w:pStyle w:val="BodyText"/>
        <w:spacing w:before="8"/>
        <w:rPr>
          <w:sz w:val="20"/>
        </w:rPr>
      </w:pPr>
    </w:p>
    <w:p w14:paraId="2FC14E01" w14:textId="77777777" w:rsidR="004C7180" w:rsidRPr="00150EDC" w:rsidRDefault="00CF0754" w:rsidP="00B320C7">
      <w:pPr>
        <w:pStyle w:val="ListParagraph"/>
        <w:numPr>
          <w:ilvl w:val="2"/>
          <w:numId w:val="85"/>
        </w:numPr>
        <w:tabs>
          <w:tab w:val="left" w:pos="3608"/>
          <w:tab w:val="left" w:pos="3612"/>
        </w:tabs>
        <w:ind w:right="1434"/>
        <w:jc w:val="both"/>
        <w:rPr>
          <w:sz w:val="24"/>
        </w:rPr>
      </w:pPr>
      <w:r w:rsidRPr="00150EDC">
        <w:rPr>
          <w:sz w:val="24"/>
        </w:rPr>
        <w:t>a failure of the Replacement Supplier or Replacement Subcontractor</w:t>
      </w:r>
      <w:r w:rsidRPr="00150EDC">
        <w:rPr>
          <w:spacing w:val="-17"/>
          <w:sz w:val="24"/>
        </w:rPr>
        <w:t xml:space="preserve"> </w:t>
      </w:r>
      <w:r w:rsidRPr="00150EDC">
        <w:rPr>
          <w:sz w:val="24"/>
        </w:rPr>
        <w:t>to</w:t>
      </w:r>
      <w:r w:rsidRPr="00150EDC">
        <w:rPr>
          <w:spacing w:val="-17"/>
          <w:sz w:val="24"/>
        </w:rPr>
        <w:t xml:space="preserve"> </w:t>
      </w:r>
      <w:r w:rsidRPr="00150EDC">
        <w:rPr>
          <w:sz w:val="24"/>
        </w:rPr>
        <w:t>discharge</w:t>
      </w:r>
      <w:r w:rsidRPr="00150EDC">
        <w:rPr>
          <w:spacing w:val="-16"/>
          <w:sz w:val="24"/>
        </w:rPr>
        <w:t xml:space="preserve"> </w:t>
      </w:r>
      <w:r w:rsidRPr="00150EDC">
        <w:rPr>
          <w:sz w:val="24"/>
        </w:rPr>
        <w:t>or</w:t>
      </w:r>
      <w:r w:rsidRPr="00150EDC">
        <w:rPr>
          <w:spacing w:val="-17"/>
          <w:sz w:val="24"/>
        </w:rPr>
        <w:t xml:space="preserve"> </w:t>
      </w:r>
      <w:r w:rsidRPr="00150EDC">
        <w:rPr>
          <w:sz w:val="24"/>
        </w:rPr>
        <w:t>procure</w:t>
      </w:r>
      <w:r w:rsidRPr="00150EDC">
        <w:rPr>
          <w:spacing w:val="-17"/>
          <w:sz w:val="24"/>
        </w:rPr>
        <w:t xml:space="preserve"> </w:t>
      </w:r>
      <w:r w:rsidRPr="00150EDC">
        <w:rPr>
          <w:sz w:val="24"/>
        </w:rPr>
        <w:t>the</w:t>
      </w:r>
      <w:r w:rsidRPr="00150EDC">
        <w:rPr>
          <w:spacing w:val="-17"/>
          <w:sz w:val="24"/>
        </w:rPr>
        <w:t xml:space="preserve"> </w:t>
      </w:r>
      <w:r w:rsidRPr="00150EDC">
        <w:rPr>
          <w:sz w:val="24"/>
        </w:rPr>
        <w:t>discharge</w:t>
      </w:r>
      <w:r w:rsidRPr="00150EDC">
        <w:rPr>
          <w:spacing w:val="-16"/>
          <w:sz w:val="24"/>
        </w:rPr>
        <w:t xml:space="preserve"> </w:t>
      </w:r>
      <w:r w:rsidRPr="00150EDC">
        <w:rPr>
          <w:sz w:val="24"/>
        </w:rPr>
        <w:t>of</w:t>
      </w:r>
      <w:r w:rsidRPr="00150EDC">
        <w:rPr>
          <w:spacing w:val="-17"/>
          <w:sz w:val="24"/>
        </w:rPr>
        <w:t xml:space="preserve"> </w:t>
      </w:r>
      <w:r w:rsidRPr="00150EDC">
        <w:rPr>
          <w:sz w:val="24"/>
        </w:rPr>
        <w:t>all</w:t>
      </w:r>
      <w:r w:rsidRPr="00150EDC">
        <w:rPr>
          <w:spacing w:val="-17"/>
          <w:sz w:val="24"/>
        </w:rPr>
        <w:t xml:space="preserve"> </w:t>
      </w:r>
      <w:r w:rsidRPr="00150EDC">
        <w:rPr>
          <w:sz w:val="24"/>
        </w:rPr>
        <w:t>wages, salaries and all other benefits and all PAYE tax deductions and national insurance contributions relating to the Transferring Supplier Employees identified in the Supplier’s Final Supplier Personnel List in respect of the period from (and including) the Service Transfer Date; and</w:t>
      </w:r>
    </w:p>
    <w:p w14:paraId="25DA5288" w14:textId="77777777" w:rsidR="004C7180" w:rsidRPr="00150EDC" w:rsidRDefault="00CF0754" w:rsidP="00B320C7">
      <w:pPr>
        <w:pStyle w:val="ListParagraph"/>
        <w:numPr>
          <w:ilvl w:val="2"/>
          <w:numId w:val="85"/>
        </w:numPr>
        <w:tabs>
          <w:tab w:val="left" w:pos="3608"/>
          <w:tab w:val="left" w:pos="3612"/>
        </w:tabs>
        <w:spacing w:before="120"/>
        <w:ind w:right="1435"/>
        <w:jc w:val="both"/>
        <w:rPr>
          <w:sz w:val="24"/>
        </w:rPr>
      </w:pPr>
      <w:r w:rsidRPr="00150EDC">
        <w:rPr>
          <w:sz w:val="24"/>
        </w:rPr>
        <w:t>any claim made by or in respect of a Transferring Supplier Employee identified in the Supplier’s Final Supplier Personnel List or any appropriate employee representative (as defined in the Employment Regulations) of any such Transferring Supplier Employee</w:t>
      </w:r>
      <w:r w:rsidRPr="00150EDC">
        <w:rPr>
          <w:spacing w:val="33"/>
          <w:sz w:val="24"/>
        </w:rPr>
        <w:t xml:space="preserve"> </w:t>
      </w:r>
      <w:r w:rsidRPr="00150EDC">
        <w:rPr>
          <w:sz w:val="24"/>
        </w:rPr>
        <w:t>relating</w:t>
      </w:r>
      <w:r w:rsidRPr="00150EDC">
        <w:rPr>
          <w:spacing w:val="36"/>
          <w:sz w:val="24"/>
        </w:rPr>
        <w:t xml:space="preserve"> </w:t>
      </w:r>
      <w:r w:rsidRPr="00150EDC">
        <w:rPr>
          <w:sz w:val="24"/>
        </w:rPr>
        <w:t>to</w:t>
      </w:r>
      <w:r w:rsidRPr="00150EDC">
        <w:rPr>
          <w:spacing w:val="33"/>
          <w:sz w:val="24"/>
        </w:rPr>
        <w:t xml:space="preserve"> </w:t>
      </w:r>
      <w:r w:rsidRPr="00150EDC">
        <w:rPr>
          <w:sz w:val="24"/>
        </w:rPr>
        <w:t>any</w:t>
      </w:r>
      <w:r w:rsidRPr="00150EDC">
        <w:rPr>
          <w:spacing w:val="32"/>
          <w:sz w:val="24"/>
        </w:rPr>
        <w:t xml:space="preserve"> </w:t>
      </w:r>
      <w:r w:rsidRPr="00150EDC">
        <w:rPr>
          <w:sz w:val="24"/>
        </w:rPr>
        <w:t>act</w:t>
      </w:r>
      <w:r w:rsidRPr="00150EDC">
        <w:rPr>
          <w:spacing w:val="35"/>
          <w:sz w:val="24"/>
        </w:rPr>
        <w:t xml:space="preserve"> </w:t>
      </w:r>
      <w:r w:rsidRPr="00150EDC">
        <w:rPr>
          <w:sz w:val="24"/>
        </w:rPr>
        <w:t>or</w:t>
      </w:r>
      <w:r w:rsidRPr="00150EDC">
        <w:rPr>
          <w:spacing w:val="32"/>
          <w:sz w:val="24"/>
        </w:rPr>
        <w:t xml:space="preserve"> </w:t>
      </w:r>
      <w:r w:rsidRPr="00150EDC">
        <w:rPr>
          <w:sz w:val="24"/>
        </w:rPr>
        <w:t>omission</w:t>
      </w:r>
      <w:r w:rsidRPr="00150EDC">
        <w:rPr>
          <w:spacing w:val="33"/>
          <w:sz w:val="24"/>
        </w:rPr>
        <w:t xml:space="preserve"> </w:t>
      </w:r>
      <w:r w:rsidRPr="00150EDC">
        <w:rPr>
          <w:sz w:val="24"/>
        </w:rPr>
        <w:t>of</w:t>
      </w:r>
      <w:r w:rsidRPr="00150EDC">
        <w:rPr>
          <w:spacing w:val="35"/>
          <w:sz w:val="24"/>
        </w:rPr>
        <w:t xml:space="preserve"> </w:t>
      </w:r>
      <w:r w:rsidRPr="00150EDC">
        <w:rPr>
          <w:sz w:val="24"/>
        </w:rPr>
        <w:t>the</w:t>
      </w:r>
      <w:r w:rsidRPr="00150EDC">
        <w:rPr>
          <w:spacing w:val="36"/>
          <w:sz w:val="24"/>
        </w:rPr>
        <w:t xml:space="preserve"> </w:t>
      </w:r>
      <w:r w:rsidRPr="00150EDC">
        <w:rPr>
          <w:sz w:val="24"/>
        </w:rPr>
        <w:t>Replacement</w:t>
      </w:r>
    </w:p>
    <w:p w14:paraId="439D00E6" w14:textId="77777777" w:rsidR="004C7180" w:rsidRPr="00150EDC" w:rsidRDefault="004C7180">
      <w:pPr>
        <w:jc w:val="both"/>
        <w:rPr>
          <w:sz w:val="24"/>
        </w:rPr>
        <w:sectPr w:rsidR="004C7180" w:rsidRPr="00150EDC">
          <w:pgSz w:w="11910" w:h="16840"/>
          <w:pgMar w:top="1380" w:right="0" w:bottom="1380" w:left="40" w:header="715" w:footer="1192" w:gutter="0"/>
          <w:cols w:space="720"/>
        </w:sectPr>
      </w:pPr>
    </w:p>
    <w:p w14:paraId="79385B0E" w14:textId="77777777" w:rsidR="004C7180" w:rsidRPr="00150EDC" w:rsidRDefault="004C7180">
      <w:pPr>
        <w:pStyle w:val="BodyText"/>
        <w:spacing w:before="5"/>
        <w:rPr>
          <w:sz w:val="15"/>
        </w:rPr>
      </w:pPr>
    </w:p>
    <w:p w14:paraId="020A30AF" w14:textId="77777777" w:rsidR="004C7180" w:rsidRPr="00150EDC" w:rsidRDefault="00CF0754">
      <w:pPr>
        <w:pStyle w:val="BodyText"/>
        <w:spacing w:before="92"/>
        <w:ind w:left="3612" w:right="1323"/>
      </w:pPr>
      <w:r w:rsidRPr="00150EDC">
        <w:t>Supplier</w:t>
      </w:r>
      <w:r w:rsidRPr="00150EDC">
        <w:rPr>
          <w:spacing w:val="-2"/>
        </w:rPr>
        <w:t xml:space="preserve"> </w:t>
      </w:r>
      <w:r w:rsidRPr="00150EDC">
        <w:t>or</w:t>
      </w:r>
      <w:r w:rsidRPr="00150EDC">
        <w:rPr>
          <w:spacing w:val="-2"/>
        </w:rPr>
        <w:t xml:space="preserve"> </w:t>
      </w:r>
      <w:r w:rsidRPr="00150EDC">
        <w:t>Replacement</w:t>
      </w:r>
      <w:r w:rsidRPr="00150EDC">
        <w:rPr>
          <w:spacing w:val="-1"/>
        </w:rPr>
        <w:t xml:space="preserve"> </w:t>
      </w:r>
      <w:r w:rsidRPr="00150EDC">
        <w:t>Subcontractor</w:t>
      </w:r>
      <w:r w:rsidRPr="00150EDC">
        <w:rPr>
          <w:spacing w:val="-2"/>
        </w:rPr>
        <w:t xml:space="preserve"> </w:t>
      </w:r>
      <w:r w:rsidRPr="00150EDC">
        <w:t>in</w:t>
      </w:r>
      <w:r w:rsidRPr="00150EDC">
        <w:rPr>
          <w:spacing w:val="-1"/>
        </w:rPr>
        <w:t xml:space="preserve"> </w:t>
      </w:r>
      <w:r w:rsidRPr="00150EDC">
        <w:t>relation</w:t>
      </w:r>
      <w:r w:rsidRPr="00150EDC">
        <w:rPr>
          <w:spacing w:val="-1"/>
        </w:rPr>
        <w:t xml:space="preserve"> </w:t>
      </w:r>
      <w:r w:rsidRPr="00150EDC">
        <w:t>to</w:t>
      </w:r>
      <w:r w:rsidRPr="00150EDC">
        <w:rPr>
          <w:spacing w:val="-1"/>
        </w:rPr>
        <w:t xml:space="preserve"> </w:t>
      </w:r>
      <w:r w:rsidRPr="00150EDC">
        <w:t>obligations under regulation 13 of the Employment Regulations.</w:t>
      </w:r>
    </w:p>
    <w:p w14:paraId="5BFA6225" w14:textId="77777777" w:rsidR="004C7180" w:rsidRPr="00150EDC" w:rsidRDefault="004C7180">
      <w:pPr>
        <w:pStyle w:val="BodyText"/>
        <w:rPr>
          <w:sz w:val="26"/>
        </w:rPr>
      </w:pPr>
    </w:p>
    <w:p w14:paraId="2F94049B" w14:textId="77777777" w:rsidR="004C7180" w:rsidRPr="00150EDC" w:rsidRDefault="00CF0754" w:rsidP="00B320C7">
      <w:pPr>
        <w:pStyle w:val="ListParagraph"/>
        <w:numPr>
          <w:ilvl w:val="1"/>
          <w:numId w:val="85"/>
        </w:numPr>
        <w:tabs>
          <w:tab w:val="left" w:pos="1754"/>
          <w:tab w:val="left" w:pos="1757"/>
        </w:tabs>
        <w:spacing w:before="217"/>
        <w:ind w:left="1757" w:right="1431"/>
        <w:jc w:val="both"/>
        <w:rPr>
          <w:sz w:val="24"/>
        </w:rPr>
      </w:pPr>
      <w:r w:rsidRPr="00150EDC">
        <w:rPr>
          <w:sz w:val="24"/>
        </w:rPr>
        <w:t>The</w:t>
      </w:r>
      <w:r w:rsidRPr="00150EDC">
        <w:rPr>
          <w:spacing w:val="-1"/>
          <w:sz w:val="24"/>
        </w:rPr>
        <w:t xml:space="preserve"> </w:t>
      </w:r>
      <w:r w:rsidRPr="00150EDC">
        <w:rPr>
          <w:sz w:val="24"/>
        </w:rPr>
        <w:t>indemnities</w:t>
      </w:r>
      <w:r w:rsidRPr="00150EDC">
        <w:rPr>
          <w:spacing w:val="-2"/>
          <w:sz w:val="24"/>
        </w:rPr>
        <w:t xml:space="preserve"> </w:t>
      </w:r>
      <w:r w:rsidRPr="00150EDC">
        <w:rPr>
          <w:sz w:val="24"/>
        </w:rPr>
        <w:t>in</w:t>
      </w:r>
      <w:r w:rsidRPr="00150EDC">
        <w:rPr>
          <w:spacing w:val="-1"/>
          <w:sz w:val="24"/>
        </w:rPr>
        <w:t xml:space="preserve"> </w:t>
      </w:r>
      <w:r w:rsidRPr="00150EDC">
        <w:rPr>
          <w:sz w:val="24"/>
        </w:rPr>
        <w:t>Paragraph</w:t>
      </w:r>
      <w:r w:rsidRPr="00150EDC">
        <w:rPr>
          <w:spacing w:val="-1"/>
          <w:sz w:val="24"/>
        </w:rPr>
        <w:t xml:space="preserve"> </w:t>
      </w:r>
      <w:r w:rsidRPr="00150EDC">
        <w:rPr>
          <w:sz w:val="24"/>
        </w:rPr>
        <w:t>2.13</w:t>
      </w:r>
      <w:r w:rsidRPr="00150EDC">
        <w:rPr>
          <w:spacing w:val="-1"/>
          <w:sz w:val="24"/>
        </w:rPr>
        <w:t xml:space="preserve"> </w:t>
      </w:r>
      <w:r w:rsidRPr="00150EDC">
        <w:rPr>
          <w:sz w:val="24"/>
        </w:rPr>
        <w:t>shall</w:t>
      </w:r>
      <w:r w:rsidRPr="00150EDC">
        <w:rPr>
          <w:spacing w:val="-2"/>
          <w:sz w:val="24"/>
        </w:rPr>
        <w:t xml:space="preserve"> </w:t>
      </w:r>
      <w:r w:rsidRPr="00150EDC">
        <w:rPr>
          <w:sz w:val="24"/>
        </w:rPr>
        <w:t>not</w:t>
      </w:r>
      <w:r w:rsidRPr="00150EDC">
        <w:rPr>
          <w:spacing w:val="-1"/>
          <w:sz w:val="24"/>
        </w:rPr>
        <w:t xml:space="preserve"> </w:t>
      </w:r>
      <w:r w:rsidRPr="00150EDC">
        <w:rPr>
          <w:sz w:val="24"/>
        </w:rPr>
        <w:t>apply</w:t>
      </w:r>
      <w:r w:rsidRPr="00150EDC">
        <w:rPr>
          <w:spacing w:val="-2"/>
          <w:sz w:val="24"/>
        </w:rPr>
        <w:t xml:space="preserve"> </w:t>
      </w:r>
      <w:r w:rsidRPr="00150EDC">
        <w:rPr>
          <w:sz w:val="24"/>
        </w:rPr>
        <w:t>to</w:t>
      </w:r>
      <w:r w:rsidRPr="00150EDC">
        <w:rPr>
          <w:spacing w:val="-1"/>
          <w:sz w:val="24"/>
        </w:rPr>
        <w:t xml:space="preserve"> </w:t>
      </w:r>
      <w:r w:rsidRPr="00150EDC">
        <w:rPr>
          <w:sz w:val="24"/>
        </w:rPr>
        <w:t>the</w:t>
      </w:r>
      <w:r w:rsidRPr="00150EDC">
        <w:rPr>
          <w:spacing w:val="-1"/>
          <w:sz w:val="24"/>
        </w:rPr>
        <w:t xml:space="preserve"> </w:t>
      </w:r>
      <w:r w:rsidRPr="00150EDC">
        <w:rPr>
          <w:sz w:val="24"/>
        </w:rPr>
        <w:t>extent</w:t>
      </w:r>
      <w:r w:rsidRPr="00150EDC">
        <w:rPr>
          <w:spacing w:val="-1"/>
          <w:sz w:val="24"/>
        </w:rPr>
        <w:t xml:space="preserve"> </w:t>
      </w:r>
      <w:r w:rsidRPr="00150EDC">
        <w:rPr>
          <w:sz w:val="24"/>
        </w:rPr>
        <w:t>that</w:t>
      </w:r>
      <w:r w:rsidRPr="00150EDC">
        <w:rPr>
          <w:spacing w:val="-1"/>
          <w:sz w:val="24"/>
        </w:rPr>
        <w:t xml:space="preserve"> </w:t>
      </w:r>
      <w:r w:rsidRPr="00150EDC">
        <w:rPr>
          <w:sz w:val="24"/>
        </w:rPr>
        <w:t>the</w:t>
      </w:r>
      <w:r w:rsidRPr="00150EDC">
        <w:rPr>
          <w:spacing w:val="-1"/>
          <w:sz w:val="24"/>
        </w:rPr>
        <w:t xml:space="preserve"> </w:t>
      </w:r>
      <w:r w:rsidRPr="00150EDC">
        <w:rPr>
          <w:sz w:val="24"/>
        </w:rPr>
        <w:t>Employee Liabilities arise or are attributable to</w:t>
      </w:r>
      <w:r w:rsidRPr="00150EDC">
        <w:rPr>
          <w:spacing w:val="-1"/>
          <w:sz w:val="24"/>
        </w:rPr>
        <w:t xml:space="preserve"> </w:t>
      </w:r>
      <w:r w:rsidRPr="00150EDC">
        <w:rPr>
          <w:sz w:val="24"/>
        </w:rPr>
        <w:t>an act or omission of the Supplier and/or any Subcontractor (as applicable) whether occurring or having its origin before, on or after</w:t>
      </w:r>
      <w:r w:rsidRPr="00150EDC">
        <w:rPr>
          <w:spacing w:val="-8"/>
          <w:sz w:val="24"/>
        </w:rPr>
        <w:t xml:space="preserve"> </w:t>
      </w:r>
      <w:r w:rsidRPr="00150EDC">
        <w:rPr>
          <w:sz w:val="24"/>
        </w:rPr>
        <w:t>the</w:t>
      </w:r>
      <w:r w:rsidRPr="00150EDC">
        <w:rPr>
          <w:spacing w:val="-9"/>
          <w:sz w:val="24"/>
        </w:rPr>
        <w:t xml:space="preserve"> </w:t>
      </w:r>
      <w:r w:rsidRPr="00150EDC">
        <w:rPr>
          <w:sz w:val="24"/>
        </w:rPr>
        <w:t>Service</w:t>
      </w:r>
      <w:r w:rsidRPr="00150EDC">
        <w:rPr>
          <w:spacing w:val="-7"/>
          <w:sz w:val="24"/>
        </w:rPr>
        <w:t xml:space="preserve"> </w:t>
      </w:r>
      <w:r w:rsidRPr="00150EDC">
        <w:rPr>
          <w:sz w:val="24"/>
        </w:rPr>
        <w:t>Transfer</w:t>
      </w:r>
      <w:r w:rsidRPr="00150EDC">
        <w:rPr>
          <w:spacing w:val="-8"/>
          <w:sz w:val="24"/>
        </w:rPr>
        <w:t xml:space="preserve"> </w:t>
      </w:r>
      <w:r w:rsidRPr="00150EDC">
        <w:rPr>
          <w:sz w:val="24"/>
        </w:rPr>
        <w:t>Date,</w:t>
      </w:r>
      <w:r w:rsidRPr="00150EDC">
        <w:rPr>
          <w:spacing w:val="-7"/>
          <w:sz w:val="24"/>
        </w:rPr>
        <w:t xml:space="preserve"> </w:t>
      </w:r>
      <w:r w:rsidRPr="00150EDC">
        <w:rPr>
          <w:sz w:val="24"/>
        </w:rPr>
        <w:t>including</w:t>
      </w:r>
      <w:r w:rsidRPr="00150EDC">
        <w:rPr>
          <w:spacing w:val="-9"/>
          <w:sz w:val="24"/>
        </w:rPr>
        <w:t xml:space="preserve"> </w:t>
      </w:r>
      <w:r w:rsidRPr="00150EDC">
        <w:rPr>
          <w:sz w:val="24"/>
        </w:rPr>
        <w:t>any</w:t>
      </w:r>
      <w:r w:rsidRPr="00150EDC">
        <w:rPr>
          <w:spacing w:val="-10"/>
          <w:sz w:val="24"/>
        </w:rPr>
        <w:t xml:space="preserve"> </w:t>
      </w:r>
      <w:r w:rsidRPr="00150EDC">
        <w:rPr>
          <w:sz w:val="24"/>
        </w:rPr>
        <w:t>Employee</w:t>
      </w:r>
      <w:r w:rsidRPr="00150EDC">
        <w:rPr>
          <w:spacing w:val="-9"/>
          <w:sz w:val="24"/>
        </w:rPr>
        <w:t xml:space="preserve"> </w:t>
      </w:r>
      <w:r w:rsidRPr="00150EDC">
        <w:rPr>
          <w:sz w:val="24"/>
        </w:rPr>
        <w:t>Liabilities</w:t>
      </w:r>
      <w:r w:rsidRPr="00150EDC">
        <w:rPr>
          <w:spacing w:val="-8"/>
          <w:sz w:val="24"/>
        </w:rPr>
        <w:t xml:space="preserve"> </w:t>
      </w:r>
      <w:r w:rsidRPr="00150EDC">
        <w:rPr>
          <w:sz w:val="24"/>
        </w:rPr>
        <w:t>arising</w:t>
      </w:r>
      <w:r w:rsidRPr="00150EDC">
        <w:rPr>
          <w:spacing w:val="-7"/>
          <w:sz w:val="24"/>
        </w:rPr>
        <w:t xml:space="preserve"> </w:t>
      </w:r>
      <w:r w:rsidRPr="00150EDC">
        <w:rPr>
          <w:sz w:val="24"/>
        </w:rPr>
        <w:t>from</w:t>
      </w:r>
      <w:r w:rsidRPr="00150EDC">
        <w:rPr>
          <w:spacing w:val="-6"/>
          <w:sz w:val="24"/>
        </w:rPr>
        <w:t xml:space="preserve"> </w:t>
      </w:r>
      <w:r w:rsidRPr="00150EDC">
        <w:rPr>
          <w:sz w:val="24"/>
        </w:rPr>
        <w:t>the failure by the Supplier and/or any Subcontractor (as applicable) to comply with its obligations under the Employment Regulations.</w:t>
      </w:r>
    </w:p>
    <w:p w14:paraId="5C816CA6" w14:textId="77777777" w:rsidR="004C7180" w:rsidRPr="00150EDC" w:rsidRDefault="004C7180">
      <w:pPr>
        <w:jc w:val="both"/>
        <w:rPr>
          <w:sz w:val="24"/>
        </w:rPr>
        <w:sectPr w:rsidR="004C7180" w:rsidRPr="00150EDC">
          <w:pgSz w:w="11910" w:h="16840"/>
          <w:pgMar w:top="1380" w:right="0" w:bottom="1380" w:left="40" w:header="715" w:footer="1192" w:gutter="0"/>
          <w:cols w:space="720"/>
        </w:sectPr>
      </w:pPr>
    </w:p>
    <w:p w14:paraId="6C31FAF0" w14:textId="77777777" w:rsidR="004C7180" w:rsidRPr="00150EDC" w:rsidRDefault="004C7180">
      <w:pPr>
        <w:pStyle w:val="BodyText"/>
        <w:rPr>
          <w:sz w:val="20"/>
        </w:rPr>
      </w:pPr>
    </w:p>
    <w:p w14:paraId="5474B2D6" w14:textId="77777777" w:rsidR="004C7180" w:rsidRPr="00150EDC" w:rsidRDefault="004C7180">
      <w:pPr>
        <w:pStyle w:val="BodyText"/>
        <w:rPr>
          <w:sz w:val="20"/>
        </w:rPr>
      </w:pPr>
    </w:p>
    <w:p w14:paraId="1BFD9A14" w14:textId="77777777" w:rsidR="004C7180" w:rsidRPr="00150EDC" w:rsidRDefault="00CF0754">
      <w:pPr>
        <w:pStyle w:val="Heading1"/>
        <w:spacing w:before="221"/>
        <w:ind w:left="1400" w:firstLine="0"/>
      </w:pPr>
      <w:bookmarkStart w:id="25" w:name="DPS_Order_Schedule_3_-_Continuous_Improv"/>
      <w:bookmarkEnd w:id="25"/>
      <w:r w:rsidRPr="00150EDC">
        <w:t>Order</w:t>
      </w:r>
      <w:r w:rsidRPr="00150EDC">
        <w:rPr>
          <w:spacing w:val="-6"/>
        </w:rPr>
        <w:t xml:space="preserve"> </w:t>
      </w:r>
      <w:r w:rsidRPr="00150EDC">
        <w:t>Schedule</w:t>
      </w:r>
      <w:r w:rsidRPr="00150EDC">
        <w:rPr>
          <w:spacing w:val="-4"/>
        </w:rPr>
        <w:t xml:space="preserve"> </w:t>
      </w:r>
      <w:r w:rsidRPr="00150EDC">
        <w:t>3</w:t>
      </w:r>
      <w:r w:rsidRPr="00150EDC">
        <w:rPr>
          <w:spacing w:val="-4"/>
        </w:rPr>
        <w:t xml:space="preserve"> </w:t>
      </w:r>
      <w:r w:rsidRPr="00150EDC">
        <w:t>(Continuous</w:t>
      </w:r>
      <w:r w:rsidRPr="00150EDC">
        <w:rPr>
          <w:spacing w:val="-4"/>
        </w:rPr>
        <w:t xml:space="preserve"> </w:t>
      </w:r>
      <w:r w:rsidRPr="00150EDC">
        <w:rPr>
          <w:spacing w:val="-2"/>
        </w:rPr>
        <w:t>Improvement)</w:t>
      </w:r>
    </w:p>
    <w:p w14:paraId="6B0CBF0A" w14:textId="77777777" w:rsidR="004C7180" w:rsidRPr="00150EDC" w:rsidRDefault="00CF0754" w:rsidP="00B320C7">
      <w:pPr>
        <w:pStyle w:val="Heading4"/>
        <w:numPr>
          <w:ilvl w:val="0"/>
          <w:numId w:val="83"/>
        </w:numPr>
        <w:tabs>
          <w:tab w:val="left" w:pos="1759"/>
        </w:tabs>
        <w:spacing w:before="123"/>
        <w:ind w:left="1759" w:hanging="359"/>
      </w:pPr>
      <w:r w:rsidRPr="00150EDC">
        <w:t>Buyer’s</w:t>
      </w:r>
      <w:r w:rsidRPr="00150EDC">
        <w:rPr>
          <w:spacing w:val="-1"/>
        </w:rPr>
        <w:t xml:space="preserve"> </w:t>
      </w:r>
      <w:r w:rsidRPr="00150EDC">
        <w:rPr>
          <w:spacing w:val="-2"/>
        </w:rPr>
        <w:t>Rights</w:t>
      </w:r>
    </w:p>
    <w:p w14:paraId="6309D14D" w14:textId="77777777" w:rsidR="004C7180" w:rsidRPr="00150EDC" w:rsidRDefault="004C7180">
      <w:pPr>
        <w:pStyle w:val="BodyText"/>
        <w:spacing w:before="10"/>
        <w:rPr>
          <w:b/>
          <w:sz w:val="20"/>
        </w:rPr>
      </w:pPr>
    </w:p>
    <w:p w14:paraId="0AAF5BC1" w14:textId="77777777" w:rsidR="004C7180" w:rsidRPr="00150EDC" w:rsidRDefault="00CF0754" w:rsidP="00B320C7">
      <w:pPr>
        <w:pStyle w:val="ListParagraph"/>
        <w:numPr>
          <w:ilvl w:val="1"/>
          <w:numId w:val="83"/>
        </w:numPr>
        <w:tabs>
          <w:tab w:val="left" w:pos="2041"/>
          <w:tab w:val="left" w:pos="2043"/>
        </w:tabs>
        <w:ind w:right="1440"/>
        <w:rPr>
          <w:sz w:val="24"/>
        </w:rPr>
      </w:pPr>
      <w:r w:rsidRPr="00150EDC">
        <w:rPr>
          <w:sz w:val="24"/>
        </w:rPr>
        <w:t>The</w:t>
      </w:r>
      <w:r w:rsidRPr="00150EDC">
        <w:rPr>
          <w:spacing w:val="-2"/>
          <w:sz w:val="24"/>
        </w:rPr>
        <w:t xml:space="preserve"> </w:t>
      </w:r>
      <w:r w:rsidRPr="00150EDC">
        <w:rPr>
          <w:sz w:val="24"/>
        </w:rPr>
        <w:t>Buyer</w:t>
      </w:r>
      <w:r w:rsidRPr="00150EDC">
        <w:rPr>
          <w:spacing w:val="-4"/>
          <w:sz w:val="24"/>
        </w:rPr>
        <w:t xml:space="preserve"> </w:t>
      </w:r>
      <w:r w:rsidRPr="00150EDC">
        <w:rPr>
          <w:sz w:val="24"/>
        </w:rPr>
        <w:t>and</w:t>
      </w:r>
      <w:r w:rsidRPr="00150EDC">
        <w:rPr>
          <w:spacing w:val="-2"/>
          <w:sz w:val="24"/>
        </w:rPr>
        <w:t xml:space="preserve"> </w:t>
      </w:r>
      <w:r w:rsidRPr="00150EDC">
        <w:rPr>
          <w:sz w:val="24"/>
        </w:rPr>
        <w:t>the</w:t>
      </w:r>
      <w:r w:rsidRPr="00150EDC">
        <w:rPr>
          <w:spacing w:val="-4"/>
          <w:sz w:val="24"/>
        </w:rPr>
        <w:t xml:space="preserve"> </w:t>
      </w:r>
      <w:r w:rsidRPr="00150EDC">
        <w:rPr>
          <w:sz w:val="24"/>
        </w:rPr>
        <w:t>Supplier</w:t>
      </w:r>
      <w:r w:rsidRPr="00150EDC">
        <w:rPr>
          <w:spacing w:val="-4"/>
          <w:sz w:val="24"/>
        </w:rPr>
        <w:t xml:space="preserve"> </w:t>
      </w:r>
      <w:r w:rsidRPr="00150EDC">
        <w:rPr>
          <w:sz w:val="24"/>
        </w:rPr>
        <w:t>recognise</w:t>
      </w:r>
      <w:r w:rsidRPr="00150EDC">
        <w:rPr>
          <w:spacing w:val="-2"/>
          <w:sz w:val="24"/>
        </w:rPr>
        <w:t xml:space="preserve"> </w:t>
      </w:r>
      <w:r w:rsidRPr="00150EDC">
        <w:rPr>
          <w:sz w:val="24"/>
        </w:rPr>
        <w:t>that,</w:t>
      </w:r>
      <w:r w:rsidRPr="00150EDC">
        <w:rPr>
          <w:spacing w:val="-5"/>
          <w:sz w:val="24"/>
        </w:rPr>
        <w:t xml:space="preserve"> </w:t>
      </w:r>
      <w:r w:rsidRPr="00150EDC">
        <w:rPr>
          <w:sz w:val="24"/>
        </w:rPr>
        <w:t>where</w:t>
      </w:r>
      <w:r w:rsidRPr="00150EDC">
        <w:rPr>
          <w:spacing w:val="-2"/>
          <w:sz w:val="24"/>
        </w:rPr>
        <w:t xml:space="preserve"> </w:t>
      </w:r>
      <w:r w:rsidRPr="00150EDC">
        <w:rPr>
          <w:sz w:val="24"/>
        </w:rPr>
        <w:t>specified</w:t>
      </w:r>
      <w:r w:rsidRPr="00150EDC">
        <w:rPr>
          <w:spacing w:val="-2"/>
          <w:sz w:val="24"/>
        </w:rPr>
        <w:t xml:space="preserve"> </w:t>
      </w:r>
      <w:r w:rsidRPr="00150EDC">
        <w:rPr>
          <w:sz w:val="24"/>
        </w:rPr>
        <w:t>in</w:t>
      </w:r>
      <w:r w:rsidRPr="00150EDC">
        <w:rPr>
          <w:spacing w:val="-4"/>
          <w:sz w:val="24"/>
        </w:rPr>
        <w:t xml:space="preserve"> </w:t>
      </w:r>
      <w:r w:rsidRPr="00150EDC">
        <w:rPr>
          <w:sz w:val="24"/>
        </w:rPr>
        <w:t>DPS</w:t>
      </w:r>
      <w:r w:rsidRPr="00150EDC">
        <w:rPr>
          <w:spacing w:val="-2"/>
          <w:sz w:val="24"/>
        </w:rPr>
        <w:t xml:space="preserve"> </w:t>
      </w:r>
      <w:r w:rsidRPr="00150EDC">
        <w:rPr>
          <w:sz w:val="24"/>
        </w:rPr>
        <w:t>Schedule</w:t>
      </w:r>
      <w:r w:rsidRPr="00150EDC">
        <w:rPr>
          <w:spacing w:val="-4"/>
          <w:sz w:val="24"/>
        </w:rPr>
        <w:t xml:space="preserve"> </w:t>
      </w:r>
      <w:r w:rsidRPr="00150EDC">
        <w:rPr>
          <w:sz w:val="24"/>
        </w:rPr>
        <w:t>4 (DPS Management), the Buyer may give CCS the right to enforce the Buyer's rights under this Schedule.</w:t>
      </w:r>
    </w:p>
    <w:p w14:paraId="045FBA5B" w14:textId="77777777" w:rsidR="004C7180" w:rsidRPr="00150EDC" w:rsidRDefault="00CF0754" w:rsidP="00B320C7">
      <w:pPr>
        <w:pStyle w:val="Heading4"/>
        <w:numPr>
          <w:ilvl w:val="0"/>
          <w:numId w:val="83"/>
        </w:numPr>
        <w:tabs>
          <w:tab w:val="left" w:pos="1758"/>
        </w:tabs>
        <w:spacing w:before="120"/>
        <w:ind w:left="1758" w:hanging="359"/>
      </w:pPr>
      <w:r w:rsidRPr="00150EDC">
        <w:t>Supplier’s</w:t>
      </w:r>
      <w:r w:rsidRPr="00150EDC">
        <w:rPr>
          <w:spacing w:val="-4"/>
        </w:rPr>
        <w:t xml:space="preserve"> </w:t>
      </w:r>
      <w:r w:rsidRPr="00150EDC">
        <w:rPr>
          <w:spacing w:val="-2"/>
        </w:rPr>
        <w:t>Obligations</w:t>
      </w:r>
    </w:p>
    <w:p w14:paraId="677CF439" w14:textId="77777777" w:rsidR="004C7180" w:rsidRPr="00150EDC" w:rsidRDefault="004C7180">
      <w:pPr>
        <w:pStyle w:val="BodyText"/>
        <w:spacing w:before="10"/>
        <w:rPr>
          <w:b/>
          <w:sz w:val="20"/>
        </w:rPr>
      </w:pPr>
    </w:p>
    <w:p w14:paraId="3FB20D44" w14:textId="77777777" w:rsidR="004C7180" w:rsidRPr="00150EDC" w:rsidRDefault="00CF0754" w:rsidP="00B320C7">
      <w:pPr>
        <w:pStyle w:val="ListParagraph"/>
        <w:numPr>
          <w:ilvl w:val="1"/>
          <w:numId w:val="83"/>
        </w:numPr>
        <w:tabs>
          <w:tab w:val="left" w:pos="2041"/>
          <w:tab w:val="left" w:pos="2043"/>
        </w:tabs>
        <w:ind w:right="1665"/>
        <w:rPr>
          <w:sz w:val="24"/>
        </w:rPr>
      </w:pPr>
      <w:r w:rsidRPr="00150EDC">
        <w:rPr>
          <w:sz w:val="24"/>
        </w:rPr>
        <w:t>The Supplier must, throughout the Contract Period, identify new or potential improvements</w:t>
      </w:r>
      <w:r w:rsidRPr="00150EDC">
        <w:rPr>
          <w:spacing w:val="-3"/>
          <w:sz w:val="24"/>
        </w:rPr>
        <w:t xml:space="preserve"> </w:t>
      </w:r>
      <w:r w:rsidRPr="00150EDC">
        <w:rPr>
          <w:sz w:val="24"/>
        </w:rPr>
        <w:t>to</w:t>
      </w:r>
      <w:r w:rsidRPr="00150EDC">
        <w:rPr>
          <w:spacing w:val="-2"/>
          <w:sz w:val="24"/>
        </w:rPr>
        <w:t xml:space="preserve"> </w:t>
      </w:r>
      <w:r w:rsidRPr="00150EDC">
        <w:rPr>
          <w:sz w:val="24"/>
        </w:rPr>
        <w:t>the</w:t>
      </w:r>
      <w:r w:rsidRPr="00150EDC">
        <w:rPr>
          <w:spacing w:val="-4"/>
          <w:sz w:val="24"/>
        </w:rPr>
        <w:t xml:space="preserve"> </w:t>
      </w:r>
      <w:r w:rsidRPr="00150EDC">
        <w:rPr>
          <w:sz w:val="24"/>
        </w:rPr>
        <w:t>provision</w:t>
      </w:r>
      <w:r w:rsidRPr="00150EDC">
        <w:rPr>
          <w:spacing w:val="-2"/>
          <w:sz w:val="24"/>
        </w:rPr>
        <w:t xml:space="preserve"> </w:t>
      </w:r>
      <w:r w:rsidRPr="00150EDC">
        <w:rPr>
          <w:sz w:val="24"/>
        </w:rPr>
        <w:t>of</w:t>
      </w:r>
      <w:r w:rsidRPr="00150EDC">
        <w:rPr>
          <w:spacing w:val="-2"/>
          <w:sz w:val="24"/>
        </w:rPr>
        <w:t xml:space="preserve"> </w:t>
      </w:r>
      <w:r w:rsidRPr="00150EDC">
        <w:rPr>
          <w:sz w:val="24"/>
        </w:rPr>
        <w:t>the</w:t>
      </w:r>
      <w:r w:rsidRPr="00150EDC">
        <w:rPr>
          <w:spacing w:val="-2"/>
          <w:sz w:val="24"/>
        </w:rPr>
        <w:t xml:space="preserve"> </w:t>
      </w:r>
      <w:r w:rsidRPr="00150EDC">
        <w:rPr>
          <w:sz w:val="24"/>
        </w:rPr>
        <w:t>Deliverables</w:t>
      </w:r>
      <w:r w:rsidRPr="00150EDC">
        <w:rPr>
          <w:spacing w:val="-3"/>
          <w:sz w:val="24"/>
        </w:rPr>
        <w:t xml:space="preserve"> </w:t>
      </w:r>
      <w:r w:rsidRPr="00150EDC">
        <w:rPr>
          <w:sz w:val="24"/>
        </w:rPr>
        <w:t>with</w:t>
      </w:r>
      <w:r w:rsidRPr="00150EDC">
        <w:rPr>
          <w:spacing w:val="-4"/>
          <w:sz w:val="24"/>
        </w:rPr>
        <w:t xml:space="preserve"> </w:t>
      </w:r>
      <w:r w:rsidRPr="00150EDC">
        <w:rPr>
          <w:sz w:val="24"/>
        </w:rPr>
        <w:t>a</w:t>
      </w:r>
      <w:r w:rsidRPr="00150EDC">
        <w:rPr>
          <w:spacing w:val="-2"/>
          <w:sz w:val="24"/>
        </w:rPr>
        <w:t xml:space="preserve"> </w:t>
      </w:r>
      <w:r w:rsidRPr="00150EDC">
        <w:rPr>
          <w:sz w:val="24"/>
        </w:rPr>
        <w:t>view</w:t>
      </w:r>
      <w:r w:rsidRPr="00150EDC">
        <w:rPr>
          <w:spacing w:val="-3"/>
          <w:sz w:val="24"/>
        </w:rPr>
        <w:t xml:space="preserve"> </w:t>
      </w:r>
      <w:r w:rsidRPr="00150EDC">
        <w:rPr>
          <w:sz w:val="24"/>
        </w:rPr>
        <w:t>to</w:t>
      </w:r>
      <w:r w:rsidRPr="00150EDC">
        <w:rPr>
          <w:spacing w:val="-4"/>
          <w:sz w:val="24"/>
        </w:rPr>
        <w:t xml:space="preserve"> </w:t>
      </w:r>
      <w:r w:rsidRPr="00150EDC">
        <w:rPr>
          <w:sz w:val="24"/>
        </w:rPr>
        <w:t>reducing</w:t>
      </w:r>
      <w:r w:rsidRPr="00150EDC">
        <w:rPr>
          <w:spacing w:val="-2"/>
          <w:sz w:val="24"/>
        </w:rPr>
        <w:t xml:space="preserve"> </w:t>
      </w:r>
      <w:r w:rsidRPr="00150EDC">
        <w:rPr>
          <w:sz w:val="24"/>
        </w:rPr>
        <w:t>the Buyer’s costs (including the Charges) and/or improving the quality and efficiency of the Deliverables and their supply to the Buyer.</w:t>
      </w:r>
    </w:p>
    <w:p w14:paraId="2CB3CC63" w14:textId="77777777" w:rsidR="004C7180" w:rsidRPr="00150EDC" w:rsidRDefault="00CF0754" w:rsidP="00B320C7">
      <w:pPr>
        <w:pStyle w:val="ListParagraph"/>
        <w:numPr>
          <w:ilvl w:val="1"/>
          <w:numId w:val="83"/>
        </w:numPr>
        <w:tabs>
          <w:tab w:val="left" w:pos="2041"/>
          <w:tab w:val="left" w:pos="2043"/>
        </w:tabs>
        <w:spacing w:before="120"/>
        <w:ind w:right="1490"/>
        <w:rPr>
          <w:sz w:val="24"/>
        </w:rPr>
      </w:pPr>
      <w:r w:rsidRPr="00150EDC">
        <w:rPr>
          <w:sz w:val="24"/>
        </w:rPr>
        <w:t>The Supplier must adopt a policy of continuous improvement in relation to the Deliverables, which must include regular reviews with the Buyer of the Deliverables and the way it provides them, with a view</w:t>
      </w:r>
      <w:r w:rsidRPr="00150EDC">
        <w:rPr>
          <w:spacing w:val="-1"/>
          <w:sz w:val="24"/>
        </w:rPr>
        <w:t xml:space="preserve"> </w:t>
      </w:r>
      <w:r w:rsidRPr="00150EDC">
        <w:rPr>
          <w:sz w:val="24"/>
        </w:rPr>
        <w:t>to reducing the Buyer's costs</w:t>
      </w:r>
      <w:r w:rsidRPr="00150EDC">
        <w:rPr>
          <w:spacing w:val="-3"/>
          <w:sz w:val="24"/>
        </w:rPr>
        <w:t xml:space="preserve"> </w:t>
      </w:r>
      <w:r w:rsidRPr="00150EDC">
        <w:rPr>
          <w:sz w:val="24"/>
        </w:rPr>
        <w:t>(including</w:t>
      </w:r>
      <w:r w:rsidRPr="00150EDC">
        <w:rPr>
          <w:spacing w:val="-2"/>
          <w:sz w:val="24"/>
        </w:rPr>
        <w:t xml:space="preserve"> </w:t>
      </w:r>
      <w:r w:rsidRPr="00150EDC">
        <w:rPr>
          <w:sz w:val="24"/>
        </w:rPr>
        <w:t>the</w:t>
      </w:r>
      <w:r w:rsidRPr="00150EDC">
        <w:rPr>
          <w:spacing w:val="-2"/>
          <w:sz w:val="24"/>
        </w:rPr>
        <w:t xml:space="preserve"> </w:t>
      </w:r>
      <w:r w:rsidRPr="00150EDC">
        <w:rPr>
          <w:sz w:val="24"/>
        </w:rPr>
        <w:t>Charges)</w:t>
      </w:r>
      <w:r w:rsidRPr="00150EDC">
        <w:rPr>
          <w:spacing w:val="-4"/>
          <w:sz w:val="24"/>
        </w:rPr>
        <w:t xml:space="preserve"> </w:t>
      </w:r>
      <w:r w:rsidRPr="00150EDC">
        <w:rPr>
          <w:sz w:val="24"/>
        </w:rPr>
        <w:t>and/or</w:t>
      </w:r>
      <w:r w:rsidRPr="00150EDC">
        <w:rPr>
          <w:spacing w:val="-4"/>
          <w:sz w:val="24"/>
        </w:rPr>
        <w:t xml:space="preserve"> </w:t>
      </w:r>
      <w:r w:rsidRPr="00150EDC">
        <w:rPr>
          <w:sz w:val="24"/>
        </w:rPr>
        <w:t>improving</w:t>
      </w:r>
      <w:r w:rsidRPr="00150EDC">
        <w:rPr>
          <w:spacing w:val="-2"/>
          <w:sz w:val="24"/>
        </w:rPr>
        <w:t xml:space="preserve"> </w:t>
      </w:r>
      <w:r w:rsidRPr="00150EDC">
        <w:rPr>
          <w:sz w:val="24"/>
        </w:rPr>
        <w:t>the</w:t>
      </w:r>
      <w:r w:rsidRPr="00150EDC">
        <w:rPr>
          <w:spacing w:val="-2"/>
          <w:sz w:val="24"/>
        </w:rPr>
        <w:t xml:space="preserve"> </w:t>
      </w:r>
      <w:r w:rsidRPr="00150EDC">
        <w:rPr>
          <w:sz w:val="24"/>
        </w:rPr>
        <w:t>quality</w:t>
      </w:r>
      <w:r w:rsidRPr="00150EDC">
        <w:rPr>
          <w:spacing w:val="-3"/>
          <w:sz w:val="24"/>
        </w:rPr>
        <w:t xml:space="preserve"> </w:t>
      </w:r>
      <w:r w:rsidRPr="00150EDC">
        <w:rPr>
          <w:sz w:val="24"/>
        </w:rPr>
        <w:t>and</w:t>
      </w:r>
      <w:r w:rsidRPr="00150EDC">
        <w:rPr>
          <w:spacing w:val="-4"/>
          <w:sz w:val="24"/>
        </w:rPr>
        <w:t xml:space="preserve"> </w:t>
      </w:r>
      <w:r w:rsidRPr="00150EDC">
        <w:rPr>
          <w:sz w:val="24"/>
        </w:rPr>
        <w:t>efficiency</w:t>
      </w:r>
      <w:r w:rsidRPr="00150EDC">
        <w:rPr>
          <w:spacing w:val="-3"/>
          <w:sz w:val="24"/>
        </w:rPr>
        <w:t xml:space="preserve"> </w:t>
      </w:r>
      <w:r w:rsidRPr="00150EDC">
        <w:rPr>
          <w:sz w:val="24"/>
        </w:rPr>
        <w:t>of</w:t>
      </w:r>
      <w:r w:rsidRPr="00150EDC">
        <w:rPr>
          <w:spacing w:val="-5"/>
          <w:sz w:val="24"/>
        </w:rPr>
        <w:t xml:space="preserve"> </w:t>
      </w:r>
      <w:r w:rsidRPr="00150EDC">
        <w:rPr>
          <w:sz w:val="24"/>
        </w:rPr>
        <w:t>the Deliverables.</w:t>
      </w:r>
      <w:r w:rsidRPr="00150EDC">
        <w:rPr>
          <w:spacing w:val="40"/>
          <w:sz w:val="24"/>
        </w:rPr>
        <w:t xml:space="preserve"> </w:t>
      </w:r>
      <w:r w:rsidRPr="00150EDC">
        <w:rPr>
          <w:sz w:val="24"/>
        </w:rPr>
        <w:t>The Supplier and the Buyer must provide each other with any information relevant to meeting this objective.</w:t>
      </w:r>
    </w:p>
    <w:p w14:paraId="08B4ADE9" w14:textId="77777777" w:rsidR="004C7180" w:rsidRPr="00150EDC" w:rsidRDefault="00CF0754" w:rsidP="00B320C7">
      <w:pPr>
        <w:pStyle w:val="ListParagraph"/>
        <w:numPr>
          <w:ilvl w:val="1"/>
          <w:numId w:val="83"/>
        </w:numPr>
        <w:tabs>
          <w:tab w:val="left" w:pos="2041"/>
          <w:tab w:val="left" w:pos="2043"/>
        </w:tabs>
        <w:spacing w:before="120"/>
        <w:ind w:right="1705"/>
        <w:rPr>
          <w:sz w:val="24"/>
        </w:rPr>
      </w:pPr>
      <w:r w:rsidRPr="00150EDC">
        <w:rPr>
          <w:sz w:val="24"/>
        </w:rPr>
        <w:t>In addition to Paragraph 2.1, the Supplier shall produce at the start of each Contract Year a plan for improving the provision of Deliverables and/or reducing the Charges (without adversely affecting the performance of this Contract) during that Contract Year (</w:t>
      </w:r>
      <w:r w:rsidRPr="00150EDC">
        <w:rPr>
          <w:b/>
          <w:sz w:val="24"/>
        </w:rPr>
        <w:t>"Continuous Improvement Plan"</w:t>
      </w:r>
      <w:r w:rsidRPr="00150EDC">
        <w:rPr>
          <w:sz w:val="24"/>
        </w:rPr>
        <w:t>) for the</w:t>
      </w:r>
      <w:r w:rsidRPr="00150EDC">
        <w:rPr>
          <w:spacing w:val="-2"/>
          <w:sz w:val="24"/>
        </w:rPr>
        <w:t xml:space="preserve"> </w:t>
      </w:r>
      <w:r w:rsidRPr="00150EDC">
        <w:rPr>
          <w:sz w:val="24"/>
        </w:rPr>
        <w:t>Buyer's</w:t>
      </w:r>
      <w:r w:rsidRPr="00150EDC">
        <w:rPr>
          <w:spacing w:val="-3"/>
          <w:sz w:val="24"/>
        </w:rPr>
        <w:t xml:space="preserve"> </w:t>
      </w:r>
      <w:r w:rsidRPr="00150EDC">
        <w:rPr>
          <w:sz w:val="24"/>
        </w:rPr>
        <w:t>Approval.</w:t>
      </w:r>
      <w:r w:rsidRPr="00150EDC">
        <w:rPr>
          <w:spacing w:val="40"/>
          <w:sz w:val="24"/>
        </w:rPr>
        <w:t xml:space="preserve"> </w:t>
      </w:r>
      <w:r w:rsidRPr="00150EDC">
        <w:rPr>
          <w:sz w:val="24"/>
        </w:rPr>
        <w:t>The</w:t>
      </w:r>
      <w:r w:rsidRPr="00150EDC">
        <w:rPr>
          <w:spacing w:val="-2"/>
          <w:sz w:val="24"/>
        </w:rPr>
        <w:t xml:space="preserve"> </w:t>
      </w:r>
      <w:r w:rsidRPr="00150EDC">
        <w:rPr>
          <w:sz w:val="24"/>
        </w:rPr>
        <w:t>Continuous</w:t>
      </w:r>
      <w:r w:rsidRPr="00150EDC">
        <w:rPr>
          <w:spacing w:val="-3"/>
          <w:sz w:val="24"/>
        </w:rPr>
        <w:t xml:space="preserve"> </w:t>
      </w:r>
      <w:r w:rsidRPr="00150EDC">
        <w:rPr>
          <w:sz w:val="24"/>
        </w:rPr>
        <w:t>Improvement</w:t>
      </w:r>
      <w:r w:rsidRPr="00150EDC">
        <w:rPr>
          <w:spacing w:val="-5"/>
          <w:sz w:val="24"/>
        </w:rPr>
        <w:t xml:space="preserve"> </w:t>
      </w:r>
      <w:r w:rsidRPr="00150EDC">
        <w:rPr>
          <w:sz w:val="24"/>
        </w:rPr>
        <w:t>Plan</w:t>
      </w:r>
      <w:r w:rsidRPr="00150EDC">
        <w:rPr>
          <w:spacing w:val="-4"/>
          <w:sz w:val="24"/>
        </w:rPr>
        <w:t xml:space="preserve"> </w:t>
      </w:r>
      <w:r w:rsidRPr="00150EDC">
        <w:rPr>
          <w:sz w:val="24"/>
        </w:rPr>
        <w:t>must</w:t>
      </w:r>
      <w:r w:rsidRPr="00150EDC">
        <w:rPr>
          <w:spacing w:val="-3"/>
          <w:sz w:val="24"/>
        </w:rPr>
        <w:t xml:space="preserve"> </w:t>
      </w:r>
      <w:r w:rsidRPr="00150EDC">
        <w:rPr>
          <w:sz w:val="24"/>
        </w:rPr>
        <w:t>include,</w:t>
      </w:r>
      <w:r w:rsidRPr="00150EDC">
        <w:rPr>
          <w:spacing w:val="-5"/>
          <w:sz w:val="24"/>
        </w:rPr>
        <w:t xml:space="preserve"> </w:t>
      </w:r>
      <w:r w:rsidRPr="00150EDC">
        <w:rPr>
          <w:sz w:val="24"/>
        </w:rPr>
        <w:t>as</w:t>
      </w:r>
      <w:r w:rsidRPr="00150EDC">
        <w:rPr>
          <w:spacing w:val="-5"/>
          <w:sz w:val="24"/>
        </w:rPr>
        <w:t xml:space="preserve"> </w:t>
      </w:r>
      <w:r w:rsidRPr="00150EDC">
        <w:rPr>
          <w:sz w:val="24"/>
        </w:rPr>
        <w:t>a minimum, proposals:</w:t>
      </w:r>
    </w:p>
    <w:p w14:paraId="1680831D" w14:textId="77777777" w:rsidR="004C7180" w:rsidRPr="00150EDC" w:rsidRDefault="00CF0754" w:rsidP="00B320C7">
      <w:pPr>
        <w:pStyle w:val="ListParagraph"/>
        <w:numPr>
          <w:ilvl w:val="2"/>
          <w:numId w:val="83"/>
        </w:numPr>
        <w:tabs>
          <w:tab w:val="left" w:pos="3819"/>
          <w:tab w:val="left" w:pos="3821"/>
        </w:tabs>
        <w:spacing w:before="120"/>
        <w:ind w:right="2184"/>
        <w:rPr>
          <w:sz w:val="24"/>
        </w:rPr>
      </w:pPr>
      <w:r w:rsidRPr="00150EDC">
        <w:rPr>
          <w:sz w:val="24"/>
        </w:rPr>
        <w:t>identifying</w:t>
      </w:r>
      <w:r w:rsidRPr="00150EDC">
        <w:rPr>
          <w:spacing w:val="-4"/>
          <w:sz w:val="24"/>
        </w:rPr>
        <w:t xml:space="preserve"> </w:t>
      </w:r>
      <w:r w:rsidRPr="00150EDC">
        <w:rPr>
          <w:sz w:val="24"/>
        </w:rPr>
        <w:t>the</w:t>
      </w:r>
      <w:r w:rsidRPr="00150EDC">
        <w:rPr>
          <w:spacing w:val="-4"/>
          <w:sz w:val="24"/>
        </w:rPr>
        <w:t xml:space="preserve"> </w:t>
      </w:r>
      <w:r w:rsidRPr="00150EDC">
        <w:rPr>
          <w:sz w:val="24"/>
        </w:rPr>
        <w:t>emergence</w:t>
      </w:r>
      <w:r w:rsidRPr="00150EDC">
        <w:rPr>
          <w:spacing w:val="-4"/>
          <w:sz w:val="24"/>
        </w:rPr>
        <w:t xml:space="preserve"> </w:t>
      </w:r>
      <w:r w:rsidRPr="00150EDC">
        <w:rPr>
          <w:sz w:val="24"/>
        </w:rPr>
        <w:t>of</w:t>
      </w:r>
      <w:r w:rsidRPr="00150EDC">
        <w:rPr>
          <w:spacing w:val="-4"/>
          <w:sz w:val="24"/>
        </w:rPr>
        <w:t xml:space="preserve"> </w:t>
      </w:r>
      <w:r w:rsidRPr="00150EDC">
        <w:rPr>
          <w:sz w:val="24"/>
        </w:rPr>
        <w:t>relevant</w:t>
      </w:r>
      <w:r w:rsidRPr="00150EDC">
        <w:rPr>
          <w:spacing w:val="-7"/>
          <w:sz w:val="24"/>
        </w:rPr>
        <w:t xml:space="preserve"> </w:t>
      </w:r>
      <w:r w:rsidRPr="00150EDC">
        <w:rPr>
          <w:sz w:val="24"/>
        </w:rPr>
        <w:t>new</w:t>
      </w:r>
      <w:r w:rsidRPr="00150EDC">
        <w:rPr>
          <w:spacing w:val="-5"/>
          <w:sz w:val="24"/>
        </w:rPr>
        <w:t xml:space="preserve"> </w:t>
      </w:r>
      <w:r w:rsidRPr="00150EDC">
        <w:rPr>
          <w:sz w:val="24"/>
        </w:rPr>
        <w:t>and</w:t>
      </w:r>
      <w:r w:rsidRPr="00150EDC">
        <w:rPr>
          <w:spacing w:val="-4"/>
          <w:sz w:val="24"/>
        </w:rPr>
        <w:t xml:space="preserve"> </w:t>
      </w:r>
      <w:r w:rsidRPr="00150EDC">
        <w:rPr>
          <w:sz w:val="24"/>
        </w:rPr>
        <w:t xml:space="preserve">evolving </w:t>
      </w:r>
      <w:r w:rsidRPr="00150EDC">
        <w:rPr>
          <w:spacing w:val="-2"/>
          <w:sz w:val="24"/>
        </w:rPr>
        <w:t>technologies;</w:t>
      </w:r>
    </w:p>
    <w:p w14:paraId="5B329D3D" w14:textId="77777777" w:rsidR="004C7180" w:rsidRPr="00150EDC" w:rsidRDefault="00CF0754" w:rsidP="00B320C7">
      <w:pPr>
        <w:pStyle w:val="ListParagraph"/>
        <w:numPr>
          <w:ilvl w:val="2"/>
          <w:numId w:val="83"/>
        </w:numPr>
        <w:tabs>
          <w:tab w:val="left" w:pos="3819"/>
          <w:tab w:val="left" w:pos="3821"/>
        </w:tabs>
        <w:spacing w:before="120"/>
        <w:ind w:right="1714"/>
        <w:rPr>
          <w:sz w:val="24"/>
        </w:rPr>
      </w:pPr>
      <w:r w:rsidRPr="00150EDC">
        <w:rPr>
          <w:sz w:val="24"/>
        </w:rPr>
        <w:t>changes</w:t>
      </w:r>
      <w:r w:rsidRPr="00150EDC">
        <w:rPr>
          <w:spacing w:val="-3"/>
          <w:sz w:val="24"/>
        </w:rPr>
        <w:t xml:space="preserve"> </w:t>
      </w:r>
      <w:r w:rsidRPr="00150EDC">
        <w:rPr>
          <w:sz w:val="24"/>
        </w:rPr>
        <w:t>in</w:t>
      </w:r>
      <w:r w:rsidRPr="00150EDC">
        <w:rPr>
          <w:spacing w:val="-4"/>
          <w:sz w:val="24"/>
        </w:rPr>
        <w:t xml:space="preserve"> </w:t>
      </w:r>
      <w:r w:rsidRPr="00150EDC">
        <w:rPr>
          <w:sz w:val="24"/>
        </w:rPr>
        <w:t>business</w:t>
      </w:r>
      <w:r w:rsidRPr="00150EDC">
        <w:rPr>
          <w:spacing w:val="-3"/>
          <w:sz w:val="24"/>
        </w:rPr>
        <w:t xml:space="preserve"> </w:t>
      </w:r>
      <w:r w:rsidRPr="00150EDC">
        <w:rPr>
          <w:sz w:val="24"/>
        </w:rPr>
        <w:t>processes</w:t>
      </w:r>
      <w:r w:rsidRPr="00150EDC">
        <w:rPr>
          <w:spacing w:val="-5"/>
          <w:sz w:val="24"/>
        </w:rPr>
        <w:t xml:space="preserve"> </w:t>
      </w:r>
      <w:r w:rsidRPr="00150EDC">
        <w:rPr>
          <w:sz w:val="24"/>
        </w:rPr>
        <w:t>of</w:t>
      </w:r>
      <w:r w:rsidRPr="00150EDC">
        <w:rPr>
          <w:spacing w:val="-2"/>
          <w:sz w:val="24"/>
        </w:rPr>
        <w:t xml:space="preserve"> </w:t>
      </w:r>
      <w:r w:rsidRPr="00150EDC">
        <w:rPr>
          <w:sz w:val="24"/>
        </w:rPr>
        <w:t>the</w:t>
      </w:r>
      <w:r w:rsidRPr="00150EDC">
        <w:rPr>
          <w:spacing w:val="-4"/>
          <w:sz w:val="24"/>
        </w:rPr>
        <w:t xml:space="preserve"> </w:t>
      </w:r>
      <w:r w:rsidRPr="00150EDC">
        <w:rPr>
          <w:sz w:val="24"/>
        </w:rPr>
        <w:t>Supplier</w:t>
      </w:r>
      <w:r w:rsidRPr="00150EDC">
        <w:rPr>
          <w:spacing w:val="-4"/>
          <w:sz w:val="24"/>
        </w:rPr>
        <w:t xml:space="preserve"> </w:t>
      </w:r>
      <w:r w:rsidRPr="00150EDC">
        <w:rPr>
          <w:sz w:val="24"/>
        </w:rPr>
        <w:t>or</w:t>
      </w:r>
      <w:r w:rsidRPr="00150EDC">
        <w:rPr>
          <w:spacing w:val="-4"/>
          <w:sz w:val="24"/>
        </w:rPr>
        <w:t xml:space="preserve"> </w:t>
      </w:r>
      <w:r w:rsidRPr="00150EDC">
        <w:rPr>
          <w:sz w:val="24"/>
        </w:rPr>
        <w:t>the</w:t>
      </w:r>
      <w:r w:rsidRPr="00150EDC">
        <w:rPr>
          <w:spacing w:val="-4"/>
          <w:sz w:val="24"/>
        </w:rPr>
        <w:t xml:space="preserve"> </w:t>
      </w:r>
      <w:r w:rsidRPr="00150EDC">
        <w:rPr>
          <w:sz w:val="24"/>
        </w:rPr>
        <w:t>Buyer and</w:t>
      </w:r>
      <w:r w:rsidRPr="00150EDC">
        <w:rPr>
          <w:spacing w:val="-3"/>
          <w:sz w:val="24"/>
        </w:rPr>
        <w:t xml:space="preserve"> </w:t>
      </w:r>
      <w:r w:rsidRPr="00150EDC">
        <w:rPr>
          <w:sz w:val="24"/>
        </w:rPr>
        <w:t>ways</w:t>
      </w:r>
      <w:r w:rsidRPr="00150EDC">
        <w:rPr>
          <w:spacing w:val="-4"/>
          <w:sz w:val="24"/>
        </w:rPr>
        <w:t xml:space="preserve"> </w:t>
      </w:r>
      <w:r w:rsidRPr="00150EDC">
        <w:rPr>
          <w:sz w:val="24"/>
        </w:rPr>
        <w:t>of</w:t>
      </w:r>
      <w:r w:rsidRPr="00150EDC">
        <w:rPr>
          <w:spacing w:val="-6"/>
          <w:sz w:val="24"/>
        </w:rPr>
        <w:t xml:space="preserve"> </w:t>
      </w:r>
      <w:r w:rsidRPr="00150EDC">
        <w:rPr>
          <w:sz w:val="24"/>
        </w:rPr>
        <w:t>working</w:t>
      </w:r>
      <w:r w:rsidRPr="00150EDC">
        <w:rPr>
          <w:spacing w:val="-3"/>
          <w:sz w:val="24"/>
        </w:rPr>
        <w:t xml:space="preserve"> </w:t>
      </w:r>
      <w:r w:rsidRPr="00150EDC">
        <w:rPr>
          <w:sz w:val="24"/>
        </w:rPr>
        <w:t>that</w:t>
      </w:r>
      <w:r w:rsidRPr="00150EDC">
        <w:rPr>
          <w:spacing w:val="-3"/>
          <w:sz w:val="24"/>
        </w:rPr>
        <w:t xml:space="preserve"> </w:t>
      </w:r>
      <w:r w:rsidRPr="00150EDC">
        <w:rPr>
          <w:sz w:val="24"/>
        </w:rPr>
        <w:t>would</w:t>
      </w:r>
      <w:r w:rsidRPr="00150EDC">
        <w:rPr>
          <w:spacing w:val="-3"/>
          <w:sz w:val="24"/>
        </w:rPr>
        <w:t xml:space="preserve"> </w:t>
      </w:r>
      <w:r w:rsidRPr="00150EDC">
        <w:rPr>
          <w:sz w:val="24"/>
        </w:rPr>
        <w:t>provide</w:t>
      </w:r>
      <w:r w:rsidRPr="00150EDC">
        <w:rPr>
          <w:spacing w:val="-3"/>
          <w:sz w:val="24"/>
        </w:rPr>
        <w:t xml:space="preserve"> </w:t>
      </w:r>
      <w:r w:rsidRPr="00150EDC">
        <w:rPr>
          <w:sz w:val="24"/>
        </w:rPr>
        <w:t>cost</w:t>
      </w:r>
      <w:r w:rsidRPr="00150EDC">
        <w:rPr>
          <w:spacing w:val="-3"/>
          <w:sz w:val="24"/>
        </w:rPr>
        <w:t xml:space="preserve"> </w:t>
      </w:r>
      <w:r w:rsidRPr="00150EDC">
        <w:rPr>
          <w:sz w:val="24"/>
        </w:rPr>
        <w:t>savings</w:t>
      </w:r>
      <w:r w:rsidRPr="00150EDC">
        <w:rPr>
          <w:spacing w:val="-6"/>
          <w:sz w:val="24"/>
        </w:rPr>
        <w:t xml:space="preserve"> </w:t>
      </w:r>
      <w:r w:rsidRPr="00150EDC">
        <w:rPr>
          <w:sz w:val="24"/>
        </w:rPr>
        <w:t>and/or enhanced benefits to the Buyer (such as methods of interaction, supply chain efficiencies, reduction in energy consumption and methods of sale);</w:t>
      </w:r>
    </w:p>
    <w:p w14:paraId="3FC725B8" w14:textId="77777777" w:rsidR="004C7180" w:rsidRPr="00150EDC" w:rsidRDefault="00CF0754" w:rsidP="00B320C7">
      <w:pPr>
        <w:pStyle w:val="ListParagraph"/>
        <w:numPr>
          <w:ilvl w:val="2"/>
          <w:numId w:val="83"/>
        </w:numPr>
        <w:tabs>
          <w:tab w:val="left" w:pos="3819"/>
          <w:tab w:val="left" w:pos="3821"/>
        </w:tabs>
        <w:spacing w:before="118"/>
        <w:ind w:right="1585"/>
        <w:rPr>
          <w:sz w:val="24"/>
        </w:rPr>
      </w:pPr>
      <w:r w:rsidRPr="00150EDC">
        <w:rPr>
          <w:sz w:val="24"/>
        </w:rPr>
        <w:t>new or potential improvements to the provision of the Deliverables including the quality, responsiveness, procedures, benchmarking methods, likely performance mechanisms</w:t>
      </w:r>
      <w:r w:rsidRPr="00150EDC">
        <w:rPr>
          <w:spacing w:val="-5"/>
          <w:sz w:val="24"/>
        </w:rPr>
        <w:t xml:space="preserve"> </w:t>
      </w:r>
      <w:r w:rsidRPr="00150EDC">
        <w:rPr>
          <w:sz w:val="24"/>
        </w:rPr>
        <w:t>and</w:t>
      </w:r>
      <w:r w:rsidRPr="00150EDC">
        <w:rPr>
          <w:spacing w:val="-4"/>
          <w:sz w:val="24"/>
        </w:rPr>
        <w:t xml:space="preserve"> </w:t>
      </w:r>
      <w:r w:rsidRPr="00150EDC">
        <w:rPr>
          <w:sz w:val="24"/>
        </w:rPr>
        <w:t>customer</w:t>
      </w:r>
      <w:r w:rsidRPr="00150EDC">
        <w:rPr>
          <w:spacing w:val="-6"/>
          <w:sz w:val="24"/>
        </w:rPr>
        <w:t xml:space="preserve"> </w:t>
      </w:r>
      <w:r w:rsidRPr="00150EDC">
        <w:rPr>
          <w:sz w:val="24"/>
        </w:rPr>
        <w:t>support</w:t>
      </w:r>
      <w:r w:rsidRPr="00150EDC">
        <w:rPr>
          <w:spacing w:val="-4"/>
          <w:sz w:val="24"/>
        </w:rPr>
        <w:t xml:space="preserve"> </w:t>
      </w:r>
      <w:r w:rsidRPr="00150EDC">
        <w:rPr>
          <w:sz w:val="24"/>
        </w:rPr>
        <w:t>services</w:t>
      </w:r>
      <w:r w:rsidRPr="00150EDC">
        <w:rPr>
          <w:spacing w:val="-5"/>
          <w:sz w:val="24"/>
        </w:rPr>
        <w:t xml:space="preserve"> </w:t>
      </w:r>
      <w:r w:rsidRPr="00150EDC">
        <w:rPr>
          <w:sz w:val="24"/>
        </w:rPr>
        <w:t>in</w:t>
      </w:r>
      <w:r w:rsidRPr="00150EDC">
        <w:rPr>
          <w:spacing w:val="-4"/>
          <w:sz w:val="24"/>
        </w:rPr>
        <w:t xml:space="preserve"> </w:t>
      </w:r>
      <w:r w:rsidRPr="00150EDC">
        <w:rPr>
          <w:sz w:val="24"/>
        </w:rPr>
        <w:t>relation</w:t>
      </w:r>
      <w:r w:rsidRPr="00150EDC">
        <w:rPr>
          <w:spacing w:val="-4"/>
          <w:sz w:val="24"/>
        </w:rPr>
        <w:t xml:space="preserve"> </w:t>
      </w:r>
      <w:r w:rsidRPr="00150EDC">
        <w:rPr>
          <w:sz w:val="24"/>
        </w:rPr>
        <w:t>to</w:t>
      </w:r>
      <w:r w:rsidRPr="00150EDC">
        <w:rPr>
          <w:spacing w:val="-6"/>
          <w:sz w:val="24"/>
        </w:rPr>
        <w:t xml:space="preserve"> </w:t>
      </w:r>
      <w:r w:rsidRPr="00150EDC">
        <w:rPr>
          <w:sz w:val="24"/>
        </w:rPr>
        <w:t>the Deliverables; and</w:t>
      </w:r>
    </w:p>
    <w:p w14:paraId="55FEE7A6" w14:textId="77777777" w:rsidR="004C7180" w:rsidRPr="00150EDC" w:rsidRDefault="00CF0754" w:rsidP="00B320C7">
      <w:pPr>
        <w:pStyle w:val="ListParagraph"/>
        <w:numPr>
          <w:ilvl w:val="2"/>
          <w:numId w:val="83"/>
        </w:numPr>
        <w:tabs>
          <w:tab w:val="left" w:pos="3819"/>
          <w:tab w:val="left" w:pos="3821"/>
        </w:tabs>
        <w:spacing w:before="120"/>
        <w:ind w:right="1557"/>
        <w:rPr>
          <w:sz w:val="24"/>
        </w:rPr>
      </w:pPr>
      <w:r w:rsidRPr="00150EDC">
        <w:rPr>
          <w:sz w:val="24"/>
        </w:rPr>
        <w:t>measuring and reducing the sustainability impacts of the Supplier's operations and supply-chains relating to the Deliverables,</w:t>
      </w:r>
      <w:r w:rsidRPr="00150EDC">
        <w:rPr>
          <w:spacing w:val="-7"/>
          <w:sz w:val="24"/>
        </w:rPr>
        <w:t xml:space="preserve"> </w:t>
      </w:r>
      <w:r w:rsidRPr="00150EDC">
        <w:rPr>
          <w:sz w:val="24"/>
        </w:rPr>
        <w:t>and</w:t>
      </w:r>
      <w:r w:rsidRPr="00150EDC">
        <w:rPr>
          <w:spacing w:val="-4"/>
          <w:sz w:val="24"/>
        </w:rPr>
        <w:t xml:space="preserve"> </w:t>
      </w:r>
      <w:r w:rsidRPr="00150EDC">
        <w:rPr>
          <w:sz w:val="24"/>
        </w:rPr>
        <w:t>identifying</w:t>
      </w:r>
      <w:r w:rsidRPr="00150EDC">
        <w:rPr>
          <w:spacing w:val="-4"/>
          <w:sz w:val="24"/>
        </w:rPr>
        <w:t xml:space="preserve"> </w:t>
      </w:r>
      <w:r w:rsidRPr="00150EDC">
        <w:rPr>
          <w:sz w:val="24"/>
        </w:rPr>
        <w:t>opportunities</w:t>
      </w:r>
      <w:r w:rsidRPr="00150EDC">
        <w:rPr>
          <w:spacing w:val="-7"/>
          <w:sz w:val="24"/>
        </w:rPr>
        <w:t xml:space="preserve"> </w:t>
      </w:r>
      <w:r w:rsidRPr="00150EDC">
        <w:rPr>
          <w:sz w:val="24"/>
        </w:rPr>
        <w:t>to</w:t>
      </w:r>
      <w:r w:rsidRPr="00150EDC">
        <w:rPr>
          <w:spacing w:val="-6"/>
          <w:sz w:val="24"/>
        </w:rPr>
        <w:t xml:space="preserve"> </w:t>
      </w:r>
      <w:r w:rsidRPr="00150EDC">
        <w:rPr>
          <w:sz w:val="24"/>
        </w:rPr>
        <w:t>assist</w:t>
      </w:r>
      <w:r w:rsidRPr="00150EDC">
        <w:rPr>
          <w:spacing w:val="-4"/>
          <w:sz w:val="24"/>
        </w:rPr>
        <w:t xml:space="preserve"> </w:t>
      </w:r>
      <w:r w:rsidRPr="00150EDC">
        <w:rPr>
          <w:sz w:val="24"/>
        </w:rPr>
        <w:t>the</w:t>
      </w:r>
      <w:r w:rsidRPr="00150EDC">
        <w:rPr>
          <w:spacing w:val="-4"/>
          <w:sz w:val="24"/>
        </w:rPr>
        <w:t xml:space="preserve"> </w:t>
      </w:r>
      <w:r w:rsidRPr="00150EDC">
        <w:rPr>
          <w:sz w:val="24"/>
        </w:rPr>
        <w:t>Buyer in meeting their sustainability objectives.</w:t>
      </w:r>
    </w:p>
    <w:p w14:paraId="2F09A30C" w14:textId="77777777" w:rsidR="004C7180" w:rsidRPr="00150EDC" w:rsidRDefault="00CF0754" w:rsidP="00B320C7">
      <w:pPr>
        <w:pStyle w:val="ListParagraph"/>
        <w:numPr>
          <w:ilvl w:val="1"/>
          <w:numId w:val="83"/>
        </w:numPr>
        <w:tabs>
          <w:tab w:val="left" w:pos="2041"/>
          <w:tab w:val="left" w:pos="2043"/>
        </w:tabs>
        <w:spacing w:before="115"/>
        <w:ind w:right="1703"/>
        <w:rPr>
          <w:sz w:val="24"/>
        </w:rPr>
      </w:pPr>
      <w:r w:rsidRPr="00150EDC">
        <w:rPr>
          <w:sz w:val="24"/>
        </w:rPr>
        <w:t>The</w:t>
      </w:r>
      <w:r w:rsidRPr="00150EDC">
        <w:rPr>
          <w:spacing w:val="-2"/>
          <w:sz w:val="24"/>
        </w:rPr>
        <w:t xml:space="preserve"> </w:t>
      </w:r>
      <w:r w:rsidRPr="00150EDC">
        <w:rPr>
          <w:sz w:val="24"/>
        </w:rPr>
        <w:t>initial</w:t>
      </w:r>
      <w:r w:rsidRPr="00150EDC">
        <w:rPr>
          <w:spacing w:val="-2"/>
          <w:sz w:val="24"/>
        </w:rPr>
        <w:t xml:space="preserve"> </w:t>
      </w:r>
      <w:r w:rsidRPr="00150EDC">
        <w:rPr>
          <w:sz w:val="24"/>
        </w:rPr>
        <w:t>Continuous</w:t>
      </w:r>
      <w:r w:rsidRPr="00150EDC">
        <w:rPr>
          <w:spacing w:val="-4"/>
          <w:sz w:val="24"/>
        </w:rPr>
        <w:t xml:space="preserve"> </w:t>
      </w:r>
      <w:r w:rsidRPr="00150EDC">
        <w:rPr>
          <w:sz w:val="24"/>
        </w:rPr>
        <w:t>Improvement</w:t>
      </w:r>
      <w:r w:rsidRPr="00150EDC">
        <w:rPr>
          <w:spacing w:val="-4"/>
          <w:sz w:val="24"/>
        </w:rPr>
        <w:t xml:space="preserve"> </w:t>
      </w:r>
      <w:r w:rsidRPr="00150EDC">
        <w:rPr>
          <w:sz w:val="24"/>
        </w:rPr>
        <w:t>Plan</w:t>
      </w:r>
      <w:r w:rsidRPr="00150EDC">
        <w:rPr>
          <w:spacing w:val="-3"/>
          <w:sz w:val="24"/>
        </w:rPr>
        <w:t xml:space="preserve"> </w:t>
      </w:r>
      <w:r w:rsidRPr="00150EDC">
        <w:rPr>
          <w:sz w:val="24"/>
        </w:rPr>
        <w:t>for</w:t>
      </w:r>
      <w:r w:rsidRPr="00150EDC">
        <w:rPr>
          <w:spacing w:val="-3"/>
          <w:sz w:val="24"/>
        </w:rPr>
        <w:t xml:space="preserve"> </w:t>
      </w:r>
      <w:r w:rsidRPr="00150EDC">
        <w:rPr>
          <w:sz w:val="24"/>
        </w:rPr>
        <w:t>the</w:t>
      </w:r>
      <w:r w:rsidRPr="00150EDC">
        <w:rPr>
          <w:spacing w:val="-2"/>
          <w:sz w:val="24"/>
        </w:rPr>
        <w:t xml:space="preserve"> </w:t>
      </w:r>
      <w:r w:rsidRPr="00150EDC">
        <w:rPr>
          <w:sz w:val="24"/>
        </w:rPr>
        <w:t>first</w:t>
      </w:r>
      <w:r w:rsidRPr="00150EDC">
        <w:rPr>
          <w:spacing w:val="-2"/>
          <w:sz w:val="24"/>
        </w:rPr>
        <w:t xml:space="preserve"> </w:t>
      </w:r>
      <w:r w:rsidRPr="00150EDC">
        <w:rPr>
          <w:sz w:val="24"/>
        </w:rPr>
        <w:t>(1</w:t>
      </w:r>
      <w:r w:rsidRPr="00150EDC">
        <w:rPr>
          <w:position w:val="8"/>
          <w:sz w:val="16"/>
        </w:rPr>
        <w:t>st</w:t>
      </w:r>
      <w:r w:rsidRPr="00150EDC">
        <w:rPr>
          <w:sz w:val="24"/>
        </w:rPr>
        <w:t>)</w:t>
      </w:r>
      <w:r w:rsidRPr="00150EDC">
        <w:rPr>
          <w:spacing w:val="-3"/>
          <w:sz w:val="24"/>
        </w:rPr>
        <w:t xml:space="preserve"> </w:t>
      </w:r>
      <w:r w:rsidRPr="00150EDC">
        <w:rPr>
          <w:sz w:val="24"/>
        </w:rPr>
        <w:t>Contract</w:t>
      </w:r>
      <w:r w:rsidRPr="00150EDC">
        <w:rPr>
          <w:spacing w:val="-4"/>
          <w:sz w:val="24"/>
        </w:rPr>
        <w:t xml:space="preserve"> </w:t>
      </w:r>
      <w:r w:rsidRPr="00150EDC">
        <w:rPr>
          <w:sz w:val="24"/>
        </w:rPr>
        <w:t>Year</w:t>
      </w:r>
      <w:r w:rsidRPr="00150EDC">
        <w:rPr>
          <w:spacing w:val="-3"/>
          <w:sz w:val="24"/>
        </w:rPr>
        <w:t xml:space="preserve"> </w:t>
      </w:r>
      <w:r w:rsidRPr="00150EDC">
        <w:rPr>
          <w:sz w:val="24"/>
        </w:rPr>
        <w:t>shall be submitted by the Supplier to the Buyer for Approval within one hundred</w:t>
      </w:r>
    </w:p>
    <w:p w14:paraId="1FC0D1BD" w14:textId="77777777" w:rsidR="004C7180" w:rsidRPr="00150EDC" w:rsidRDefault="004C7180">
      <w:pPr>
        <w:rPr>
          <w:sz w:val="24"/>
        </w:rPr>
        <w:sectPr w:rsidR="004C7180" w:rsidRPr="00150EDC">
          <w:headerReference w:type="default" r:id="rId61"/>
          <w:footerReference w:type="default" r:id="rId62"/>
          <w:pgSz w:w="11910" w:h="16840"/>
          <w:pgMar w:top="1380" w:right="0" w:bottom="1380" w:left="40" w:header="715" w:footer="1192" w:gutter="0"/>
          <w:pgNumType w:start="1"/>
          <w:cols w:space="720"/>
        </w:sectPr>
      </w:pPr>
    </w:p>
    <w:p w14:paraId="433AF2FC" w14:textId="77777777" w:rsidR="004C7180" w:rsidRPr="00150EDC" w:rsidRDefault="004C7180">
      <w:pPr>
        <w:pStyle w:val="BodyText"/>
        <w:spacing w:before="5"/>
        <w:rPr>
          <w:sz w:val="15"/>
        </w:rPr>
      </w:pPr>
    </w:p>
    <w:p w14:paraId="478897A5" w14:textId="77777777" w:rsidR="004C7180" w:rsidRPr="00150EDC" w:rsidRDefault="00CF0754">
      <w:pPr>
        <w:pStyle w:val="BodyText"/>
        <w:spacing w:before="92"/>
        <w:ind w:left="2043" w:right="1558"/>
      </w:pPr>
      <w:r w:rsidRPr="00150EDC">
        <w:t>(100)</w:t>
      </w:r>
      <w:r w:rsidRPr="00150EDC">
        <w:rPr>
          <w:spacing w:val="-3"/>
        </w:rPr>
        <w:t xml:space="preserve"> </w:t>
      </w:r>
      <w:r w:rsidRPr="00150EDC">
        <w:t>Working</w:t>
      </w:r>
      <w:r w:rsidRPr="00150EDC">
        <w:rPr>
          <w:spacing w:val="-1"/>
        </w:rPr>
        <w:t xml:space="preserve"> </w:t>
      </w:r>
      <w:r w:rsidRPr="00150EDC">
        <w:t>Days</w:t>
      </w:r>
      <w:r w:rsidRPr="00150EDC">
        <w:rPr>
          <w:spacing w:val="-4"/>
        </w:rPr>
        <w:t xml:space="preserve"> </w:t>
      </w:r>
      <w:r w:rsidRPr="00150EDC">
        <w:t>of</w:t>
      </w:r>
      <w:r w:rsidRPr="00150EDC">
        <w:rPr>
          <w:spacing w:val="-4"/>
        </w:rPr>
        <w:t xml:space="preserve"> </w:t>
      </w:r>
      <w:r w:rsidRPr="00150EDC">
        <w:t>the</w:t>
      </w:r>
      <w:r w:rsidRPr="00150EDC">
        <w:rPr>
          <w:spacing w:val="-1"/>
        </w:rPr>
        <w:t xml:space="preserve"> </w:t>
      </w:r>
      <w:r w:rsidRPr="00150EDC">
        <w:t>first</w:t>
      </w:r>
      <w:r w:rsidRPr="00150EDC">
        <w:rPr>
          <w:spacing w:val="-4"/>
        </w:rPr>
        <w:t xml:space="preserve"> </w:t>
      </w:r>
      <w:r w:rsidRPr="00150EDC">
        <w:t>Order</w:t>
      </w:r>
      <w:r w:rsidRPr="00150EDC">
        <w:rPr>
          <w:spacing w:val="-3"/>
        </w:rPr>
        <w:t xml:space="preserve"> </w:t>
      </w:r>
      <w:r w:rsidRPr="00150EDC">
        <w:t>or</w:t>
      </w:r>
      <w:r w:rsidRPr="00150EDC">
        <w:rPr>
          <w:spacing w:val="-3"/>
        </w:rPr>
        <w:t xml:space="preserve"> </w:t>
      </w:r>
      <w:r w:rsidRPr="00150EDC">
        <w:t>six</w:t>
      </w:r>
      <w:r w:rsidRPr="00150EDC">
        <w:rPr>
          <w:spacing w:val="-2"/>
        </w:rPr>
        <w:t xml:space="preserve"> </w:t>
      </w:r>
      <w:r w:rsidRPr="00150EDC">
        <w:t>(6)</w:t>
      </w:r>
      <w:r w:rsidRPr="00150EDC">
        <w:rPr>
          <w:spacing w:val="-3"/>
        </w:rPr>
        <w:t xml:space="preserve"> </w:t>
      </w:r>
      <w:r w:rsidRPr="00150EDC">
        <w:t>Months</w:t>
      </w:r>
      <w:r w:rsidRPr="00150EDC">
        <w:rPr>
          <w:spacing w:val="-2"/>
        </w:rPr>
        <w:t xml:space="preserve"> </w:t>
      </w:r>
      <w:r w:rsidRPr="00150EDC">
        <w:t>following</w:t>
      </w:r>
      <w:r w:rsidRPr="00150EDC">
        <w:rPr>
          <w:spacing w:val="-1"/>
        </w:rPr>
        <w:t xml:space="preserve"> </w:t>
      </w:r>
      <w:r w:rsidRPr="00150EDC">
        <w:t>the</w:t>
      </w:r>
      <w:r w:rsidRPr="00150EDC">
        <w:rPr>
          <w:spacing w:val="-3"/>
        </w:rPr>
        <w:t xml:space="preserve"> </w:t>
      </w:r>
      <w:r w:rsidRPr="00150EDC">
        <w:t>Start Date, whichever is earlier.</w:t>
      </w:r>
    </w:p>
    <w:p w14:paraId="5E2E7692" w14:textId="77777777" w:rsidR="004C7180" w:rsidRPr="00150EDC" w:rsidRDefault="00CF0754" w:rsidP="00B320C7">
      <w:pPr>
        <w:pStyle w:val="ListParagraph"/>
        <w:numPr>
          <w:ilvl w:val="1"/>
          <w:numId w:val="83"/>
        </w:numPr>
        <w:tabs>
          <w:tab w:val="left" w:pos="2041"/>
          <w:tab w:val="left" w:pos="2043"/>
        </w:tabs>
        <w:spacing w:before="120"/>
        <w:ind w:right="1507"/>
        <w:rPr>
          <w:sz w:val="24"/>
        </w:rPr>
      </w:pPr>
      <w:r w:rsidRPr="00150EDC">
        <w:rPr>
          <w:sz w:val="24"/>
        </w:rPr>
        <w:t>The Buyer shall notify the Supplier of its Approval or rejection of the proposed Continuous Improvement Plan or any updates to it within twenty (20) Working Days</w:t>
      </w:r>
      <w:r w:rsidRPr="00150EDC">
        <w:rPr>
          <w:spacing w:val="-3"/>
          <w:sz w:val="24"/>
        </w:rPr>
        <w:t xml:space="preserve"> </w:t>
      </w:r>
      <w:r w:rsidRPr="00150EDC">
        <w:rPr>
          <w:sz w:val="24"/>
        </w:rPr>
        <w:t>of</w:t>
      </w:r>
      <w:r w:rsidRPr="00150EDC">
        <w:rPr>
          <w:spacing w:val="-2"/>
          <w:sz w:val="24"/>
        </w:rPr>
        <w:t xml:space="preserve"> </w:t>
      </w:r>
      <w:r w:rsidRPr="00150EDC">
        <w:rPr>
          <w:sz w:val="24"/>
        </w:rPr>
        <w:t>receipt.</w:t>
      </w:r>
      <w:r w:rsidRPr="00150EDC">
        <w:rPr>
          <w:spacing w:val="40"/>
          <w:sz w:val="24"/>
        </w:rPr>
        <w:t xml:space="preserve"> </w:t>
      </w:r>
      <w:r w:rsidRPr="00150EDC">
        <w:rPr>
          <w:sz w:val="24"/>
        </w:rPr>
        <w:t>If</w:t>
      </w:r>
      <w:r w:rsidRPr="00150EDC">
        <w:rPr>
          <w:spacing w:val="-2"/>
          <w:sz w:val="24"/>
        </w:rPr>
        <w:t xml:space="preserve"> </w:t>
      </w:r>
      <w:r w:rsidRPr="00150EDC">
        <w:rPr>
          <w:sz w:val="24"/>
        </w:rPr>
        <w:t>it</w:t>
      </w:r>
      <w:r w:rsidRPr="00150EDC">
        <w:rPr>
          <w:spacing w:val="-4"/>
          <w:sz w:val="24"/>
        </w:rPr>
        <w:t xml:space="preserve"> </w:t>
      </w:r>
      <w:r w:rsidRPr="00150EDC">
        <w:rPr>
          <w:sz w:val="24"/>
        </w:rPr>
        <w:t>is</w:t>
      </w:r>
      <w:r w:rsidRPr="00150EDC">
        <w:rPr>
          <w:spacing w:val="-3"/>
          <w:sz w:val="24"/>
        </w:rPr>
        <w:t xml:space="preserve"> </w:t>
      </w:r>
      <w:r w:rsidRPr="00150EDC">
        <w:rPr>
          <w:sz w:val="24"/>
        </w:rPr>
        <w:t>rejected</w:t>
      </w:r>
      <w:r w:rsidRPr="00150EDC">
        <w:rPr>
          <w:spacing w:val="-4"/>
          <w:sz w:val="24"/>
        </w:rPr>
        <w:t xml:space="preserve"> </w:t>
      </w:r>
      <w:r w:rsidRPr="00150EDC">
        <w:rPr>
          <w:sz w:val="24"/>
        </w:rPr>
        <w:t>then</w:t>
      </w:r>
      <w:r w:rsidRPr="00150EDC">
        <w:rPr>
          <w:spacing w:val="-2"/>
          <w:sz w:val="24"/>
        </w:rPr>
        <w:t xml:space="preserve"> </w:t>
      </w:r>
      <w:r w:rsidRPr="00150EDC">
        <w:rPr>
          <w:sz w:val="24"/>
        </w:rPr>
        <w:t>the</w:t>
      </w:r>
      <w:r w:rsidRPr="00150EDC">
        <w:rPr>
          <w:spacing w:val="-2"/>
          <w:sz w:val="24"/>
        </w:rPr>
        <w:t xml:space="preserve"> </w:t>
      </w:r>
      <w:r w:rsidRPr="00150EDC">
        <w:rPr>
          <w:sz w:val="24"/>
        </w:rPr>
        <w:t>Supplier</w:t>
      </w:r>
      <w:r w:rsidRPr="00150EDC">
        <w:rPr>
          <w:spacing w:val="-4"/>
          <w:sz w:val="24"/>
        </w:rPr>
        <w:t xml:space="preserve"> </w:t>
      </w:r>
      <w:r w:rsidRPr="00150EDC">
        <w:rPr>
          <w:sz w:val="24"/>
        </w:rPr>
        <w:t>shall,</w:t>
      </w:r>
      <w:r w:rsidRPr="00150EDC">
        <w:rPr>
          <w:spacing w:val="-2"/>
          <w:sz w:val="24"/>
        </w:rPr>
        <w:t xml:space="preserve"> </w:t>
      </w:r>
      <w:r w:rsidRPr="00150EDC">
        <w:rPr>
          <w:sz w:val="24"/>
        </w:rPr>
        <w:t>within</w:t>
      </w:r>
      <w:r w:rsidRPr="00150EDC">
        <w:rPr>
          <w:spacing w:val="-2"/>
          <w:sz w:val="24"/>
        </w:rPr>
        <w:t xml:space="preserve"> </w:t>
      </w:r>
      <w:r w:rsidRPr="00150EDC">
        <w:rPr>
          <w:sz w:val="24"/>
        </w:rPr>
        <w:t>ten</w:t>
      </w:r>
      <w:r w:rsidRPr="00150EDC">
        <w:rPr>
          <w:spacing w:val="-2"/>
          <w:sz w:val="24"/>
        </w:rPr>
        <w:t xml:space="preserve"> </w:t>
      </w:r>
      <w:r w:rsidRPr="00150EDC">
        <w:rPr>
          <w:sz w:val="24"/>
        </w:rPr>
        <w:t>(10)</w:t>
      </w:r>
      <w:r w:rsidRPr="00150EDC">
        <w:rPr>
          <w:spacing w:val="-4"/>
          <w:sz w:val="24"/>
        </w:rPr>
        <w:t xml:space="preserve"> </w:t>
      </w:r>
      <w:r w:rsidRPr="00150EDC">
        <w:rPr>
          <w:sz w:val="24"/>
        </w:rPr>
        <w:t>Working Days of receipt of notice of rejection, submit a revised Continuous Improvement Plan reflecting the changes required.</w:t>
      </w:r>
      <w:r w:rsidRPr="00150EDC">
        <w:rPr>
          <w:spacing w:val="40"/>
          <w:sz w:val="24"/>
        </w:rPr>
        <w:t xml:space="preserve"> </w:t>
      </w:r>
      <w:r w:rsidRPr="00150EDC">
        <w:rPr>
          <w:sz w:val="24"/>
        </w:rPr>
        <w:t>Once Approved, it becomes the Continuous Improvement Plan for the purposes of this Contract.</w:t>
      </w:r>
    </w:p>
    <w:p w14:paraId="3787B2E1" w14:textId="77777777" w:rsidR="004C7180" w:rsidRPr="00150EDC" w:rsidRDefault="00CF0754" w:rsidP="00B320C7">
      <w:pPr>
        <w:pStyle w:val="ListParagraph"/>
        <w:numPr>
          <w:ilvl w:val="1"/>
          <w:numId w:val="83"/>
        </w:numPr>
        <w:tabs>
          <w:tab w:val="left" w:pos="2041"/>
          <w:tab w:val="left" w:pos="2043"/>
        </w:tabs>
        <w:spacing w:before="121"/>
        <w:ind w:right="1853"/>
        <w:rPr>
          <w:sz w:val="24"/>
        </w:rPr>
      </w:pPr>
      <w:r w:rsidRPr="00150EDC">
        <w:rPr>
          <w:sz w:val="24"/>
        </w:rPr>
        <w:t>The Supplier must provide sufficient information with each suggested improvement</w:t>
      </w:r>
      <w:r w:rsidRPr="00150EDC">
        <w:rPr>
          <w:spacing w:val="-3"/>
          <w:sz w:val="24"/>
        </w:rPr>
        <w:t xml:space="preserve"> </w:t>
      </w:r>
      <w:r w:rsidRPr="00150EDC">
        <w:rPr>
          <w:sz w:val="24"/>
        </w:rPr>
        <w:t>to</w:t>
      </w:r>
      <w:r w:rsidRPr="00150EDC">
        <w:rPr>
          <w:spacing w:val="-3"/>
          <w:sz w:val="24"/>
        </w:rPr>
        <w:t xml:space="preserve"> </w:t>
      </w:r>
      <w:r w:rsidRPr="00150EDC">
        <w:rPr>
          <w:sz w:val="24"/>
        </w:rPr>
        <w:t>enable</w:t>
      </w:r>
      <w:r w:rsidRPr="00150EDC">
        <w:rPr>
          <w:spacing w:val="-5"/>
          <w:sz w:val="24"/>
        </w:rPr>
        <w:t xml:space="preserve"> </w:t>
      </w:r>
      <w:r w:rsidRPr="00150EDC">
        <w:rPr>
          <w:sz w:val="24"/>
        </w:rPr>
        <w:t>a</w:t>
      </w:r>
      <w:r w:rsidRPr="00150EDC">
        <w:rPr>
          <w:spacing w:val="-3"/>
          <w:sz w:val="24"/>
        </w:rPr>
        <w:t xml:space="preserve"> </w:t>
      </w:r>
      <w:r w:rsidRPr="00150EDC">
        <w:rPr>
          <w:sz w:val="24"/>
        </w:rPr>
        <w:t>decision</w:t>
      </w:r>
      <w:r w:rsidRPr="00150EDC">
        <w:rPr>
          <w:spacing w:val="-3"/>
          <w:sz w:val="24"/>
        </w:rPr>
        <w:t xml:space="preserve"> </w:t>
      </w:r>
      <w:r w:rsidRPr="00150EDC">
        <w:rPr>
          <w:sz w:val="24"/>
        </w:rPr>
        <w:t>on</w:t>
      </w:r>
      <w:r w:rsidRPr="00150EDC">
        <w:rPr>
          <w:spacing w:val="-3"/>
          <w:sz w:val="24"/>
        </w:rPr>
        <w:t xml:space="preserve"> </w:t>
      </w:r>
      <w:r w:rsidRPr="00150EDC">
        <w:rPr>
          <w:sz w:val="24"/>
        </w:rPr>
        <w:t>whether</w:t>
      </w:r>
      <w:r w:rsidRPr="00150EDC">
        <w:rPr>
          <w:spacing w:val="-5"/>
          <w:sz w:val="24"/>
        </w:rPr>
        <w:t xml:space="preserve"> </w:t>
      </w:r>
      <w:r w:rsidRPr="00150EDC">
        <w:rPr>
          <w:sz w:val="24"/>
        </w:rPr>
        <w:t>to</w:t>
      </w:r>
      <w:r w:rsidRPr="00150EDC">
        <w:rPr>
          <w:spacing w:val="-3"/>
          <w:sz w:val="24"/>
        </w:rPr>
        <w:t xml:space="preserve"> </w:t>
      </w:r>
      <w:r w:rsidRPr="00150EDC">
        <w:rPr>
          <w:sz w:val="24"/>
        </w:rPr>
        <w:t>implement</w:t>
      </w:r>
      <w:r w:rsidRPr="00150EDC">
        <w:rPr>
          <w:spacing w:val="-3"/>
          <w:sz w:val="24"/>
        </w:rPr>
        <w:t xml:space="preserve"> </w:t>
      </w:r>
      <w:r w:rsidRPr="00150EDC">
        <w:rPr>
          <w:sz w:val="24"/>
        </w:rPr>
        <w:t>it.</w:t>
      </w:r>
      <w:r w:rsidRPr="00150EDC">
        <w:rPr>
          <w:spacing w:val="-3"/>
          <w:sz w:val="24"/>
        </w:rPr>
        <w:t xml:space="preserve"> </w:t>
      </w:r>
      <w:r w:rsidRPr="00150EDC">
        <w:rPr>
          <w:sz w:val="24"/>
        </w:rPr>
        <w:t>The</w:t>
      </w:r>
      <w:r w:rsidRPr="00150EDC">
        <w:rPr>
          <w:spacing w:val="-5"/>
          <w:sz w:val="24"/>
        </w:rPr>
        <w:t xml:space="preserve"> </w:t>
      </w:r>
      <w:r w:rsidRPr="00150EDC">
        <w:rPr>
          <w:sz w:val="24"/>
        </w:rPr>
        <w:t>Supplier shall provide any further information as requested.</w:t>
      </w:r>
    </w:p>
    <w:p w14:paraId="6BE63488" w14:textId="77777777" w:rsidR="004C7180" w:rsidRPr="00150EDC" w:rsidRDefault="00CF0754" w:rsidP="00B320C7">
      <w:pPr>
        <w:pStyle w:val="ListParagraph"/>
        <w:numPr>
          <w:ilvl w:val="1"/>
          <w:numId w:val="83"/>
        </w:numPr>
        <w:tabs>
          <w:tab w:val="left" w:pos="2041"/>
          <w:tab w:val="left" w:pos="2043"/>
        </w:tabs>
        <w:spacing w:before="120"/>
        <w:ind w:right="1641"/>
        <w:rPr>
          <w:sz w:val="24"/>
        </w:rPr>
      </w:pPr>
      <w:r w:rsidRPr="00150EDC">
        <w:rPr>
          <w:sz w:val="24"/>
        </w:rPr>
        <w:t>If</w:t>
      </w:r>
      <w:r w:rsidRPr="00150EDC">
        <w:rPr>
          <w:spacing w:val="-2"/>
          <w:sz w:val="24"/>
        </w:rPr>
        <w:t xml:space="preserve"> </w:t>
      </w:r>
      <w:r w:rsidRPr="00150EDC">
        <w:rPr>
          <w:sz w:val="24"/>
        </w:rPr>
        <w:t>the</w:t>
      </w:r>
      <w:r w:rsidRPr="00150EDC">
        <w:rPr>
          <w:spacing w:val="-2"/>
          <w:sz w:val="24"/>
        </w:rPr>
        <w:t xml:space="preserve"> </w:t>
      </w:r>
      <w:r w:rsidRPr="00150EDC">
        <w:rPr>
          <w:sz w:val="24"/>
        </w:rPr>
        <w:t>Buyer</w:t>
      </w:r>
      <w:r w:rsidRPr="00150EDC">
        <w:rPr>
          <w:spacing w:val="-4"/>
          <w:sz w:val="24"/>
        </w:rPr>
        <w:t xml:space="preserve"> </w:t>
      </w:r>
      <w:r w:rsidRPr="00150EDC">
        <w:rPr>
          <w:sz w:val="24"/>
        </w:rPr>
        <w:t>wishes</w:t>
      </w:r>
      <w:r w:rsidRPr="00150EDC">
        <w:rPr>
          <w:spacing w:val="-5"/>
          <w:sz w:val="24"/>
        </w:rPr>
        <w:t xml:space="preserve"> </w:t>
      </w:r>
      <w:r w:rsidRPr="00150EDC">
        <w:rPr>
          <w:sz w:val="24"/>
        </w:rPr>
        <w:t>to</w:t>
      </w:r>
      <w:r w:rsidRPr="00150EDC">
        <w:rPr>
          <w:spacing w:val="-2"/>
          <w:sz w:val="24"/>
        </w:rPr>
        <w:t xml:space="preserve"> </w:t>
      </w:r>
      <w:r w:rsidRPr="00150EDC">
        <w:rPr>
          <w:sz w:val="24"/>
        </w:rPr>
        <w:t>incorporate</w:t>
      </w:r>
      <w:r w:rsidRPr="00150EDC">
        <w:rPr>
          <w:spacing w:val="-2"/>
          <w:sz w:val="24"/>
        </w:rPr>
        <w:t xml:space="preserve"> </w:t>
      </w:r>
      <w:r w:rsidRPr="00150EDC">
        <w:rPr>
          <w:sz w:val="24"/>
        </w:rPr>
        <w:t>any</w:t>
      </w:r>
      <w:r w:rsidRPr="00150EDC">
        <w:rPr>
          <w:spacing w:val="-3"/>
          <w:sz w:val="24"/>
        </w:rPr>
        <w:t xml:space="preserve"> </w:t>
      </w:r>
      <w:r w:rsidRPr="00150EDC">
        <w:rPr>
          <w:sz w:val="24"/>
        </w:rPr>
        <w:t>improvement</w:t>
      </w:r>
      <w:r w:rsidRPr="00150EDC">
        <w:rPr>
          <w:spacing w:val="-2"/>
          <w:sz w:val="24"/>
        </w:rPr>
        <w:t xml:space="preserve"> </w:t>
      </w:r>
      <w:r w:rsidRPr="00150EDC">
        <w:rPr>
          <w:sz w:val="24"/>
        </w:rPr>
        <w:t>into</w:t>
      </w:r>
      <w:r w:rsidRPr="00150EDC">
        <w:rPr>
          <w:spacing w:val="-2"/>
          <w:sz w:val="24"/>
        </w:rPr>
        <w:t xml:space="preserve"> </w:t>
      </w:r>
      <w:r w:rsidRPr="00150EDC">
        <w:rPr>
          <w:sz w:val="24"/>
        </w:rPr>
        <w:t>this</w:t>
      </w:r>
      <w:r w:rsidRPr="00150EDC">
        <w:rPr>
          <w:spacing w:val="-3"/>
          <w:sz w:val="24"/>
        </w:rPr>
        <w:t xml:space="preserve"> </w:t>
      </w:r>
      <w:r w:rsidRPr="00150EDC">
        <w:rPr>
          <w:sz w:val="24"/>
        </w:rPr>
        <w:t>Contract,</w:t>
      </w:r>
      <w:r w:rsidRPr="00150EDC">
        <w:rPr>
          <w:spacing w:val="-2"/>
          <w:sz w:val="24"/>
        </w:rPr>
        <w:t xml:space="preserve"> </w:t>
      </w:r>
      <w:r w:rsidRPr="00150EDC">
        <w:rPr>
          <w:sz w:val="24"/>
        </w:rPr>
        <w:t>it</w:t>
      </w:r>
      <w:r w:rsidRPr="00150EDC">
        <w:rPr>
          <w:spacing w:val="-5"/>
          <w:sz w:val="24"/>
        </w:rPr>
        <w:t xml:space="preserve"> </w:t>
      </w:r>
      <w:r w:rsidRPr="00150EDC">
        <w:rPr>
          <w:sz w:val="24"/>
        </w:rPr>
        <w:t xml:space="preserve">must request a Variation in accordance with the Variation Procedure and the Supplier must implement such Variation at no additional cost to the Buyer or </w:t>
      </w:r>
      <w:r w:rsidRPr="00150EDC">
        <w:rPr>
          <w:spacing w:val="-4"/>
          <w:sz w:val="24"/>
        </w:rPr>
        <w:t>CCS.</w:t>
      </w:r>
    </w:p>
    <w:p w14:paraId="797A3A97" w14:textId="77777777" w:rsidR="004C7180" w:rsidRPr="00150EDC" w:rsidRDefault="00CF0754" w:rsidP="00B320C7">
      <w:pPr>
        <w:pStyle w:val="ListParagraph"/>
        <w:numPr>
          <w:ilvl w:val="1"/>
          <w:numId w:val="83"/>
        </w:numPr>
        <w:tabs>
          <w:tab w:val="left" w:pos="2041"/>
          <w:tab w:val="left" w:pos="2043"/>
        </w:tabs>
        <w:spacing w:before="120"/>
        <w:ind w:right="2693"/>
        <w:rPr>
          <w:sz w:val="24"/>
        </w:rPr>
      </w:pPr>
      <w:r w:rsidRPr="00150EDC">
        <w:rPr>
          <w:sz w:val="24"/>
        </w:rPr>
        <w:t>Once</w:t>
      </w:r>
      <w:r w:rsidRPr="00150EDC">
        <w:rPr>
          <w:spacing w:val="-2"/>
          <w:sz w:val="24"/>
        </w:rPr>
        <w:t xml:space="preserve"> </w:t>
      </w:r>
      <w:r w:rsidRPr="00150EDC">
        <w:rPr>
          <w:sz w:val="24"/>
        </w:rPr>
        <w:t>the</w:t>
      </w:r>
      <w:r w:rsidRPr="00150EDC">
        <w:rPr>
          <w:spacing w:val="-4"/>
          <w:sz w:val="24"/>
        </w:rPr>
        <w:t xml:space="preserve"> </w:t>
      </w:r>
      <w:r w:rsidRPr="00150EDC">
        <w:rPr>
          <w:sz w:val="24"/>
        </w:rPr>
        <w:t>first</w:t>
      </w:r>
      <w:r w:rsidRPr="00150EDC">
        <w:rPr>
          <w:spacing w:val="-2"/>
          <w:sz w:val="24"/>
        </w:rPr>
        <w:t xml:space="preserve"> </w:t>
      </w:r>
      <w:r w:rsidRPr="00150EDC">
        <w:rPr>
          <w:sz w:val="24"/>
        </w:rPr>
        <w:t>Continuous</w:t>
      </w:r>
      <w:r w:rsidRPr="00150EDC">
        <w:rPr>
          <w:spacing w:val="-3"/>
          <w:sz w:val="24"/>
        </w:rPr>
        <w:t xml:space="preserve"> </w:t>
      </w:r>
      <w:r w:rsidRPr="00150EDC">
        <w:rPr>
          <w:sz w:val="24"/>
        </w:rPr>
        <w:t>Improvement</w:t>
      </w:r>
      <w:r w:rsidRPr="00150EDC">
        <w:rPr>
          <w:spacing w:val="-5"/>
          <w:sz w:val="24"/>
        </w:rPr>
        <w:t xml:space="preserve"> </w:t>
      </w:r>
      <w:r w:rsidRPr="00150EDC">
        <w:rPr>
          <w:sz w:val="24"/>
        </w:rPr>
        <w:t>Plan</w:t>
      </w:r>
      <w:r w:rsidRPr="00150EDC">
        <w:rPr>
          <w:spacing w:val="-4"/>
          <w:sz w:val="24"/>
        </w:rPr>
        <w:t xml:space="preserve"> </w:t>
      </w:r>
      <w:r w:rsidRPr="00150EDC">
        <w:rPr>
          <w:sz w:val="24"/>
        </w:rPr>
        <w:t>has</w:t>
      </w:r>
      <w:r w:rsidRPr="00150EDC">
        <w:rPr>
          <w:spacing w:val="-3"/>
          <w:sz w:val="24"/>
        </w:rPr>
        <w:t xml:space="preserve"> </w:t>
      </w:r>
      <w:r w:rsidRPr="00150EDC">
        <w:rPr>
          <w:sz w:val="24"/>
        </w:rPr>
        <w:t>been</w:t>
      </w:r>
      <w:r w:rsidRPr="00150EDC">
        <w:rPr>
          <w:spacing w:val="-4"/>
          <w:sz w:val="24"/>
        </w:rPr>
        <w:t xml:space="preserve"> </w:t>
      </w:r>
      <w:r w:rsidRPr="00150EDC">
        <w:rPr>
          <w:sz w:val="24"/>
        </w:rPr>
        <w:t>Approved</w:t>
      </w:r>
      <w:r w:rsidRPr="00150EDC">
        <w:rPr>
          <w:spacing w:val="-2"/>
          <w:sz w:val="24"/>
        </w:rPr>
        <w:t xml:space="preserve"> </w:t>
      </w:r>
      <w:r w:rsidRPr="00150EDC">
        <w:rPr>
          <w:sz w:val="24"/>
        </w:rPr>
        <w:t>in accordance with Paragraph 2.5:</w:t>
      </w:r>
    </w:p>
    <w:p w14:paraId="6126B65A" w14:textId="77777777" w:rsidR="004C7180" w:rsidRPr="00150EDC" w:rsidRDefault="00CF0754" w:rsidP="00B320C7">
      <w:pPr>
        <w:pStyle w:val="ListParagraph"/>
        <w:numPr>
          <w:ilvl w:val="2"/>
          <w:numId w:val="83"/>
        </w:numPr>
        <w:tabs>
          <w:tab w:val="left" w:pos="3819"/>
          <w:tab w:val="left" w:pos="3821"/>
        </w:tabs>
        <w:spacing w:before="120"/>
        <w:ind w:right="1862"/>
        <w:rPr>
          <w:sz w:val="24"/>
        </w:rPr>
      </w:pPr>
      <w:r w:rsidRPr="00150EDC">
        <w:rPr>
          <w:sz w:val="24"/>
        </w:rPr>
        <w:t>the Supplier shall use all reasonable endeavours to implement</w:t>
      </w:r>
      <w:r w:rsidRPr="00150EDC">
        <w:rPr>
          <w:spacing w:val="-3"/>
          <w:sz w:val="24"/>
        </w:rPr>
        <w:t xml:space="preserve"> </w:t>
      </w:r>
      <w:r w:rsidRPr="00150EDC">
        <w:rPr>
          <w:sz w:val="24"/>
        </w:rPr>
        <w:t>any</w:t>
      </w:r>
      <w:r w:rsidRPr="00150EDC">
        <w:rPr>
          <w:spacing w:val="-4"/>
          <w:sz w:val="24"/>
        </w:rPr>
        <w:t xml:space="preserve"> </w:t>
      </w:r>
      <w:r w:rsidRPr="00150EDC">
        <w:rPr>
          <w:sz w:val="24"/>
        </w:rPr>
        <w:t>agreed</w:t>
      </w:r>
      <w:r w:rsidRPr="00150EDC">
        <w:rPr>
          <w:spacing w:val="-8"/>
          <w:sz w:val="24"/>
        </w:rPr>
        <w:t xml:space="preserve"> </w:t>
      </w:r>
      <w:r w:rsidRPr="00150EDC">
        <w:rPr>
          <w:sz w:val="24"/>
        </w:rPr>
        <w:t>deliverables</w:t>
      </w:r>
      <w:r w:rsidRPr="00150EDC">
        <w:rPr>
          <w:spacing w:val="-6"/>
          <w:sz w:val="24"/>
        </w:rPr>
        <w:t xml:space="preserve"> </w:t>
      </w:r>
      <w:r w:rsidRPr="00150EDC">
        <w:rPr>
          <w:sz w:val="24"/>
        </w:rPr>
        <w:t>in</w:t>
      </w:r>
      <w:r w:rsidRPr="00150EDC">
        <w:rPr>
          <w:spacing w:val="-3"/>
          <w:sz w:val="24"/>
        </w:rPr>
        <w:t xml:space="preserve"> </w:t>
      </w:r>
      <w:r w:rsidRPr="00150EDC">
        <w:rPr>
          <w:sz w:val="24"/>
        </w:rPr>
        <w:t>accordance</w:t>
      </w:r>
      <w:r w:rsidRPr="00150EDC">
        <w:rPr>
          <w:spacing w:val="-3"/>
          <w:sz w:val="24"/>
        </w:rPr>
        <w:t xml:space="preserve"> </w:t>
      </w:r>
      <w:r w:rsidRPr="00150EDC">
        <w:rPr>
          <w:sz w:val="24"/>
        </w:rPr>
        <w:t>with</w:t>
      </w:r>
      <w:r w:rsidRPr="00150EDC">
        <w:rPr>
          <w:spacing w:val="-5"/>
          <w:sz w:val="24"/>
        </w:rPr>
        <w:t xml:space="preserve"> </w:t>
      </w:r>
      <w:r w:rsidRPr="00150EDC">
        <w:rPr>
          <w:sz w:val="24"/>
        </w:rPr>
        <w:t>the Continuous Improvement Plan; and</w:t>
      </w:r>
    </w:p>
    <w:p w14:paraId="252E9282" w14:textId="77777777" w:rsidR="004C7180" w:rsidRPr="00150EDC" w:rsidRDefault="00CF0754" w:rsidP="00B320C7">
      <w:pPr>
        <w:pStyle w:val="ListParagraph"/>
        <w:numPr>
          <w:ilvl w:val="2"/>
          <w:numId w:val="83"/>
        </w:numPr>
        <w:tabs>
          <w:tab w:val="left" w:pos="3819"/>
          <w:tab w:val="left" w:pos="3821"/>
        </w:tabs>
        <w:spacing w:before="120"/>
        <w:ind w:right="1457"/>
        <w:rPr>
          <w:sz w:val="24"/>
        </w:rPr>
      </w:pPr>
      <w:r w:rsidRPr="00150EDC">
        <w:rPr>
          <w:sz w:val="24"/>
        </w:rPr>
        <w:t>the Parties agree to meet as soon as reasonably possible following the start of each quarter (or as otherwise agreed between</w:t>
      </w:r>
      <w:r w:rsidRPr="00150EDC">
        <w:rPr>
          <w:spacing w:val="-3"/>
          <w:sz w:val="24"/>
        </w:rPr>
        <w:t xml:space="preserve"> </w:t>
      </w:r>
      <w:r w:rsidRPr="00150EDC">
        <w:rPr>
          <w:sz w:val="24"/>
        </w:rPr>
        <w:t>the</w:t>
      </w:r>
      <w:r w:rsidRPr="00150EDC">
        <w:rPr>
          <w:spacing w:val="-5"/>
          <w:sz w:val="24"/>
        </w:rPr>
        <w:t xml:space="preserve"> </w:t>
      </w:r>
      <w:r w:rsidRPr="00150EDC">
        <w:rPr>
          <w:sz w:val="24"/>
        </w:rPr>
        <w:t>Parties)</w:t>
      </w:r>
      <w:r w:rsidRPr="00150EDC">
        <w:rPr>
          <w:spacing w:val="-5"/>
          <w:sz w:val="24"/>
        </w:rPr>
        <w:t xml:space="preserve"> </w:t>
      </w:r>
      <w:r w:rsidRPr="00150EDC">
        <w:rPr>
          <w:sz w:val="24"/>
        </w:rPr>
        <w:t>to</w:t>
      </w:r>
      <w:r w:rsidRPr="00150EDC">
        <w:rPr>
          <w:spacing w:val="-3"/>
          <w:sz w:val="24"/>
        </w:rPr>
        <w:t xml:space="preserve"> </w:t>
      </w:r>
      <w:r w:rsidRPr="00150EDC">
        <w:rPr>
          <w:sz w:val="24"/>
        </w:rPr>
        <w:t>review</w:t>
      </w:r>
      <w:r w:rsidRPr="00150EDC">
        <w:rPr>
          <w:spacing w:val="-4"/>
          <w:sz w:val="24"/>
        </w:rPr>
        <w:t xml:space="preserve"> </w:t>
      </w:r>
      <w:r w:rsidRPr="00150EDC">
        <w:rPr>
          <w:sz w:val="24"/>
        </w:rPr>
        <w:t>the</w:t>
      </w:r>
      <w:r w:rsidRPr="00150EDC">
        <w:rPr>
          <w:spacing w:val="-3"/>
          <w:sz w:val="24"/>
        </w:rPr>
        <w:t xml:space="preserve"> </w:t>
      </w:r>
      <w:r w:rsidRPr="00150EDC">
        <w:rPr>
          <w:sz w:val="24"/>
        </w:rPr>
        <w:t>Supplier's</w:t>
      </w:r>
      <w:r w:rsidRPr="00150EDC">
        <w:rPr>
          <w:spacing w:val="-6"/>
          <w:sz w:val="24"/>
        </w:rPr>
        <w:t xml:space="preserve"> </w:t>
      </w:r>
      <w:r w:rsidRPr="00150EDC">
        <w:rPr>
          <w:sz w:val="24"/>
        </w:rPr>
        <w:t>progress</w:t>
      </w:r>
      <w:r w:rsidRPr="00150EDC">
        <w:rPr>
          <w:spacing w:val="-6"/>
          <w:sz w:val="24"/>
        </w:rPr>
        <w:t xml:space="preserve"> </w:t>
      </w:r>
      <w:r w:rsidRPr="00150EDC">
        <w:rPr>
          <w:sz w:val="24"/>
        </w:rPr>
        <w:t>against the Continuous Improvement Plan.</w:t>
      </w:r>
    </w:p>
    <w:p w14:paraId="06B749B7" w14:textId="77777777" w:rsidR="004C7180" w:rsidRPr="00150EDC" w:rsidRDefault="00CF0754" w:rsidP="00B320C7">
      <w:pPr>
        <w:pStyle w:val="ListParagraph"/>
        <w:numPr>
          <w:ilvl w:val="1"/>
          <w:numId w:val="83"/>
        </w:numPr>
        <w:tabs>
          <w:tab w:val="left" w:pos="2041"/>
          <w:tab w:val="left" w:pos="2043"/>
        </w:tabs>
        <w:spacing w:before="122" w:line="237" w:lineRule="auto"/>
        <w:ind w:right="1732"/>
        <w:rPr>
          <w:sz w:val="24"/>
        </w:rPr>
      </w:pPr>
      <w:r w:rsidRPr="00150EDC">
        <w:rPr>
          <w:sz w:val="24"/>
        </w:rPr>
        <w:t>The Supplier shall update the Continuous Improvement Plan as and when required but at least once every Contract Year (after the first (1</w:t>
      </w:r>
      <w:r w:rsidRPr="00150EDC">
        <w:rPr>
          <w:position w:val="8"/>
          <w:sz w:val="16"/>
        </w:rPr>
        <w:t>st</w:t>
      </w:r>
      <w:r w:rsidRPr="00150EDC">
        <w:rPr>
          <w:sz w:val="24"/>
        </w:rPr>
        <w:t>) Contract Year)</w:t>
      </w:r>
      <w:r w:rsidRPr="00150EDC">
        <w:rPr>
          <w:spacing w:val="-5"/>
          <w:sz w:val="24"/>
        </w:rPr>
        <w:t xml:space="preserve"> </w:t>
      </w:r>
      <w:r w:rsidRPr="00150EDC">
        <w:rPr>
          <w:sz w:val="24"/>
        </w:rPr>
        <w:t>in</w:t>
      </w:r>
      <w:r w:rsidRPr="00150EDC">
        <w:rPr>
          <w:spacing w:val="-3"/>
          <w:sz w:val="24"/>
        </w:rPr>
        <w:t xml:space="preserve"> </w:t>
      </w:r>
      <w:r w:rsidRPr="00150EDC">
        <w:rPr>
          <w:sz w:val="24"/>
        </w:rPr>
        <w:t>accordance</w:t>
      </w:r>
      <w:r w:rsidRPr="00150EDC">
        <w:rPr>
          <w:spacing w:val="-3"/>
          <w:sz w:val="24"/>
        </w:rPr>
        <w:t xml:space="preserve"> </w:t>
      </w:r>
      <w:r w:rsidRPr="00150EDC">
        <w:rPr>
          <w:sz w:val="24"/>
        </w:rPr>
        <w:t>with</w:t>
      </w:r>
      <w:r w:rsidRPr="00150EDC">
        <w:rPr>
          <w:spacing w:val="-3"/>
          <w:sz w:val="24"/>
        </w:rPr>
        <w:t xml:space="preserve"> </w:t>
      </w:r>
      <w:r w:rsidRPr="00150EDC">
        <w:rPr>
          <w:sz w:val="24"/>
        </w:rPr>
        <w:t>the</w:t>
      </w:r>
      <w:r w:rsidRPr="00150EDC">
        <w:rPr>
          <w:spacing w:val="-3"/>
          <w:sz w:val="24"/>
        </w:rPr>
        <w:t xml:space="preserve"> </w:t>
      </w:r>
      <w:r w:rsidRPr="00150EDC">
        <w:rPr>
          <w:sz w:val="24"/>
        </w:rPr>
        <w:t>procedure</w:t>
      </w:r>
      <w:r w:rsidRPr="00150EDC">
        <w:rPr>
          <w:spacing w:val="-3"/>
          <w:sz w:val="24"/>
        </w:rPr>
        <w:t xml:space="preserve"> </w:t>
      </w:r>
      <w:r w:rsidRPr="00150EDC">
        <w:rPr>
          <w:sz w:val="24"/>
        </w:rPr>
        <w:t>and</w:t>
      </w:r>
      <w:r w:rsidRPr="00150EDC">
        <w:rPr>
          <w:spacing w:val="-3"/>
          <w:sz w:val="24"/>
        </w:rPr>
        <w:t xml:space="preserve"> </w:t>
      </w:r>
      <w:r w:rsidRPr="00150EDC">
        <w:rPr>
          <w:sz w:val="24"/>
        </w:rPr>
        <w:t>timescales</w:t>
      </w:r>
      <w:r w:rsidRPr="00150EDC">
        <w:rPr>
          <w:spacing w:val="-4"/>
          <w:sz w:val="24"/>
        </w:rPr>
        <w:t xml:space="preserve"> </w:t>
      </w:r>
      <w:r w:rsidRPr="00150EDC">
        <w:rPr>
          <w:sz w:val="24"/>
        </w:rPr>
        <w:t>set</w:t>
      </w:r>
      <w:r w:rsidRPr="00150EDC">
        <w:rPr>
          <w:spacing w:val="-6"/>
          <w:sz w:val="24"/>
        </w:rPr>
        <w:t xml:space="preserve"> </w:t>
      </w:r>
      <w:r w:rsidRPr="00150EDC">
        <w:rPr>
          <w:sz w:val="24"/>
        </w:rPr>
        <w:t>out</w:t>
      </w:r>
      <w:r w:rsidRPr="00150EDC">
        <w:rPr>
          <w:spacing w:val="-3"/>
          <w:sz w:val="24"/>
        </w:rPr>
        <w:t xml:space="preserve"> </w:t>
      </w:r>
      <w:r w:rsidRPr="00150EDC">
        <w:rPr>
          <w:sz w:val="24"/>
        </w:rPr>
        <w:t>in</w:t>
      </w:r>
      <w:r w:rsidRPr="00150EDC">
        <w:rPr>
          <w:spacing w:val="-3"/>
          <w:sz w:val="24"/>
        </w:rPr>
        <w:t xml:space="preserve"> </w:t>
      </w:r>
      <w:r w:rsidRPr="00150EDC">
        <w:rPr>
          <w:sz w:val="24"/>
        </w:rPr>
        <w:t xml:space="preserve">Paragraph </w:t>
      </w:r>
      <w:r w:rsidRPr="00150EDC">
        <w:rPr>
          <w:spacing w:val="-4"/>
          <w:sz w:val="24"/>
        </w:rPr>
        <w:t>2.3.</w:t>
      </w:r>
    </w:p>
    <w:p w14:paraId="4093A5B5" w14:textId="77777777" w:rsidR="004C7180" w:rsidRPr="00150EDC" w:rsidRDefault="00CF0754" w:rsidP="00B320C7">
      <w:pPr>
        <w:pStyle w:val="ListParagraph"/>
        <w:numPr>
          <w:ilvl w:val="1"/>
          <w:numId w:val="83"/>
        </w:numPr>
        <w:tabs>
          <w:tab w:val="left" w:pos="2043"/>
          <w:tab w:val="left" w:pos="2532"/>
        </w:tabs>
        <w:spacing w:before="124"/>
        <w:ind w:right="1480"/>
        <w:rPr>
          <w:sz w:val="24"/>
        </w:rPr>
      </w:pPr>
      <w:r w:rsidRPr="00150EDC">
        <w:rPr>
          <w:sz w:val="24"/>
        </w:rPr>
        <w:t>All costs relating to the compilation or updating of the Continuous Improvement</w:t>
      </w:r>
      <w:r w:rsidRPr="00150EDC">
        <w:rPr>
          <w:spacing w:val="-5"/>
          <w:sz w:val="24"/>
        </w:rPr>
        <w:t xml:space="preserve"> </w:t>
      </w:r>
      <w:r w:rsidRPr="00150EDC">
        <w:rPr>
          <w:sz w:val="24"/>
        </w:rPr>
        <w:t>Plan</w:t>
      </w:r>
      <w:r w:rsidRPr="00150EDC">
        <w:rPr>
          <w:spacing w:val="-4"/>
          <w:sz w:val="24"/>
        </w:rPr>
        <w:t xml:space="preserve"> </w:t>
      </w:r>
      <w:r w:rsidRPr="00150EDC">
        <w:rPr>
          <w:sz w:val="24"/>
        </w:rPr>
        <w:t>and</w:t>
      </w:r>
      <w:r w:rsidRPr="00150EDC">
        <w:rPr>
          <w:spacing w:val="-5"/>
          <w:sz w:val="24"/>
        </w:rPr>
        <w:t xml:space="preserve"> </w:t>
      </w:r>
      <w:r w:rsidRPr="00150EDC">
        <w:rPr>
          <w:sz w:val="24"/>
        </w:rPr>
        <w:t>the</w:t>
      </w:r>
      <w:r w:rsidRPr="00150EDC">
        <w:rPr>
          <w:spacing w:val="-2"/>
          <w:sz w:val="24"/>
        </w:rPr>
        <w:t xml:space="preserve"> </w:t>
      </w:r>
      <w:r w:rsidRPr="00150EDC">
        <w:rPr>
          <w:sz w:val="24"/>
        </w:rPr>
        <w:t>costs</w:t>
      </w:r>
      <w:r w:rsidRPr="00150EDC">
        <w:rPr>
          <w:spacing w:val="-5"/>
          <w:sz w:val="24"/>
        </w:rPr>
        <w:t xml:space="preserve"> </w:t>
      </w:r>
      <w:r w:rsidRPr="00150EDC">
        <w:rPr>
          <w:sz w:val="24"/>
        </w:rPr>
        <w:t>arising</w:t>
      </w:r>
      <w:r w:rsidRPr="00150EDC">
        <w:rPr>
          <w:spacing w:val="-2"/>
          <w:sz w:val="24"/>
        </w:rPr>
        <w:t xml:space="preserve"> </w:t>
      </w:r>
      <w:r w:rsidRPr="00150EDC">
        <w:rPr>
          <w:sz w:val="24"/>
        </w:rPr>
        <w:t>from</w:t>
      </w:r>
      <w:r w:rsidRPr="00150EDC">
        <w:rPr>
          <w:spacing w:val="-4"/>
          <w:sz w:val="24"/>
        </w:rPr>
        <w:t xml:space="preserve"> </w:t>
      </w:r>
      <w:r w:rsidRPr="00150EDC">
        <w:rPr>
          <w:sz w:val="24"/>
        </w:rPr>
        <w:t>any</w:t>
      </w:r>
      <w:r w:rsidRPr="00150EDC">
        <w:rPr>
          <w:spacing w:val="-3"/>
          <w:sz w:val="24"/>
        </w:rPr>
        <w:t xml:space="preserve"> </w:t>
      </w:r>
      <w:r w:rsidRPr="00150EDC">
        <w:rPr>
          <w:sz w:val="24"/>
        </w:rPr>
        <w:t>improvement</w:t>
      </w:r>
      <w:r w:rsidRPr="00150EDC">
        <w:rPr>
          <w:spacing w:val="-5"/>
          <w:sz w:val="24"/>
        </w:rPr>
        <w:t xml:space="preserve"> </w:t>
      </w:r>
      <w:r w:rsidRPr="00150EDC">
        <w:rPr>
          <w:sz w:val="24"/>
        </w:rPr>
        <w:t>made</w:t>
      </w:r>
      <w:r w:rsidRPr="00150EDC">
        <w:rPr>
          <w:spacing w:val="-2"/>
          <w:sz w:val="24"/>
        </w:rPr>
        <w:t xml:space="preserve"> </w:t>
      </w:r>
      <w:r w:rsidRPr="00150EDC">
        <w:rPr>
          <w:sz w:val="24"/>
        </w:rPr>
        <w:t>pursuant to it and the costs of implementing any improvement, shall have no effect on and are included in the Charges.</w:t>
      </w:r>
    </w:p>
    <w:p w14:paraId="7B48DB61" w14:textId="77777777" w:rsidR="004C7180" w:rsidRPr="00150EDC" w:rsidRDefault="00CF0754" w:rsidP="00B320C7">
      <w:pPr>
        <w:pStyle w:val="ListParagraph"/>
        <w:numPr>
          <w:ilvl w:val="1"/>
          <w:numId w:val="83"/>
        </w:numPr>
        <w:tabs>
          <w:tab w:val="left" w:pos="2043"/>
          <w:tab w:val="left" w:pos="2532"/>
        </w:tabs>
        <w:spacing w:before="118"/>
        <w:ind w:right="1492"/>
        <w:rPr>
          <w:sz w:val="24"/>
        </w:rPr>
      </w:pPr>
      <w:r w:rsidRPr="00150EDC">
        <w:rPr>
          <w:sz w:val="24"/>
        </w:rPr>
        <w:t>Should the Supplier's costs in providing the Deliverables to the Buyer be reduced as a result of any changes implemented, all of the cost savings shall be</w:t>
      </w:r>
      <w:r w:rsidRPr="00150EDC">
        <w:rPr>
          <w:spacing w:val="-1"/>
          <w:sz w:val="24"/>
        </w:rPr>
        <w:t xml:space="preserve"> </w:t>
      </w:r>
      <w:r w:rsidRPr="00150EDC">
        <w:rPr>
          <w:sz w:val="24"/>
        </w:rPr>
        <w:t>passed</w:t>
      </w:r>
      <w:r w:rsidRPr="00150EDC">
        <w:rPr>
          <w:spacing w:val="-3"/>
          <w:sz w:val="24"/>
        </w:rPr>
        <w:t xml:space="preserve"> </w:t>
      </w:r>
      <w:r w:rsidRPr="00150EDC">
        <w:rPr>
          <w:sz w:val="24"/>
        </w:rPr>
        <w:t>on</w:t>
      </w:r>
      <w:r w:rsidRPr="00150EDC">
        <w:rPr>
          <w:spacing w:val="-3"/>
          <w:sz w:val="24"/>
        </w:rPr>
        <w:t xml:space="preserve"> </w:t>
      </w:r>
      <w:r w:rsidRPr="00150EDC">
        <w:rPr>
          <w:sz w:val="24"/>
        </w:rPr>
        <w:t>to</w:t>
      </w:r>
      <w:r w:rsidRPr="00150EDC">
        <w:rPr>
          <w:spacing w:val="-3"/>
          <w:sz w:val="24"/>
        </w:rPr>
        <w:t xml:space="preserve"> </w:t>
      </w:r>
      <w:r w:rsidRPr="00150EDC">
        <w:rPr>
          <w:sz w:val="24"/>
        </w:rPr>
        <w:t>the</w:t>
      </w:r>
      <w:r w:rsidRPr="00150EDC">
        <w:rPr>
          <w:spacing w:val="-3"/>
          <w:sz w:val="24"/>
        </w:rPr>
        <w:t xml:space="preserve"> </w:t>
      </w:r>
      <w:r w:rsidRPr="00150EDC">
        <w:rPr>
          <w:sz w:val="24"/>
        </w:rPr>
        <w:t>Buyer</w:t>
      </w:r>
      <w:r w:rsidRPr="00150EDC">
        <w:rPr>
          <w:spacing w:val="-3"/>
          <w:sz w:val="24"/>
        </w:rPr>
        <w:t xml:space="preserve"> </w:t>
      </w:r>
      <w:r w:rsidRPr="00150EDC">
        <w:rPr>
          <w:sz w:val="24"/>
        </w:rPr>
        <w:t>by</w:t>
      </w:r>
      <w:r w:rsidRPr="00150EDC">
        <w:rPr>
          <w:spacing w:val="-2"/>
          <w:sz w:val="24"/>
        </w:rPr>
        <w:t xml:space="preserve"> </w:t>
      </w:r>
      <w:r w:rsidRPr="00150EDC">
        <w:rPr>
          <w:sz w:val="24"/>
        </w:rPr>
        <w:t>way</w:t>
      </w:r>
      <w:r w:rsidRPr="00150EDC">
        <w:rPr>
          <w:spacing w:val="-4"/>
          <w:sz w:val="24"/>
        </w:rPr>
        <w:t xml:space="preserve"> </w:t>
      </w:r>
      <w:r w:rsidRPr="00150EDC">
        <w:rPr>
          <w:sz w:val="24"/>
        </w:rPr>
        <w:t>of</w:t>
      </w:r>
      <w:r w:rsidRPr="00150EDC">
        <w:rPr>
          <w:spacing w:val="-4"/>
          <w:sz w:val="24"/>
        </w:rPr>
        <w:t xml:space="preserve"> </w:t>
      </w:r>
      <w:r w:rsidRPr="00150EDC">
        <w:rPr>
          <w:sz w:val="24"/>
        </w:rPr>
        <w:t>a</w:t>
      </w:r>
      <w:r w:rsidRPr="00150EDC">
        <w:rPr>
          <w:spacing w:val="-1"/>
          <w:sz w:val="24"/>
        </w:rPr>
        <w:t xml:space="preserve"> </w:t>
      </w:r>
      <w:r w:rsidRPr="00150EDC">
        <w:rPr>
          <w:sz w:val="24"/>
        </w:rPr>
        <w:t>consequential</w:t>
      </w:r>
      <w:r w:rsidRPr="00150EDC">
        <w:rPr>
          <w:spacing w:val="-2"/>
          <w:sz w:val="24"/>
        </w:rPr>
        <w:t xml:space="preserve"> </w:t>
      </w:r>
      <w:r w:rsidRPr="00150EDC">
        <w:rPr>
          <w:sz w:val="24"/>
        </w:rPr>
        <w:t>and</w:t>
      </w:r>
      <w:r w:rsidRPr="00150EDC">
        <w:rPr>
          <w:spacing w:val="-1"/>
          <w:sz w:val="24"/>
        </w:rPr>
        <w:t xml:space="preserve"> </w:t>
      </w:r>
      <w:r w:rsidRPr="00150EDC">
        <w:rPr>
          <w:sz w:val="24"/>
        </w:rPr>
        <w:t>immediate</w:t>
      </w:r>
      <w:r w:rsidRPr="00150EDC">
        <w:rPr>
          <w:spacing w:val="-1"/>
          <w:sz w:val="24"/>
        </w:rPr>
        <w:t xml:space="preserve"> </w:t>
      </w:r>
      <w:r w:rsidRPr="00150EDC">
        <w:rPr>
          <w:sz w:val="24"/>
        </w:rPr>
        <w:t>reduction in the Charges for the Deliverables.</w:t>
      </w:r>
    </w:p>
    <w:p w14:paraId="35151525" w14:textId="77777777" w:rsidR="004C7180" w:rsidRPr="00150EDC" w:rsidRDefault="00CF0754" w:rsidP="00B320C7">
      <w:pPr>
        <w:pStyle w:val="ListParagraph"/>
        <w:numPr>
          <w:ilvl w:val="1"/>
          <w:numId w:val="83"/>
        </w:numPr>
        <w:tabs>
          <w:tab w:val="left" w:pos="2043"/>
          <w:tab w:val="left" w:pos="2532"/>
        </w:tabs>
        <w:spacing w:before="120"/>
        <w:ind w:right="1481"/>
        <w:rPr>
          <w:sz w:val="24"/>
        </w:rPr>
      </w:pPr>
      <w:r w:rsidRPr="00150EDC">
        <w:rPr>
          <w:sz w:val="24"/>
        </w:rPr>
        <w:t>At any</w:t>
      </w:r>
      <w:r w:rsidRPr="00150EDC">
        <w:rPr>
          <w:spacing w:val="-1"/>
          <w:sz w:val="24"/>
        </w:rPr>
        <w:t xml:space="preserve"> </w:t>
      </w:r>
      <w:r w:rsidRPr="00150EDC">
        <w:rPr>
          <w:sz w:val="24"/>
        </w:rPr>
        <w:t>time during the Contract</w:t>
      </w:r>
      <w:r w:rsidRPr="00150EDC">
        <w:rPr>
          <w:spacing w:val="-1"/>
          <w:sz w:val="24"/>
        </w:rPr>
        <w:t xml:space="preserve"> </w:t>
      </w:r>
      <w:r w:rsidRPr="00150EDC">
        <w:rPr>
          <w:sz w:val="24"/>
        </w:rPr>
        <w:t>Period of the Order Contract, the Supplier may make a proposal for gainshare. If the Buyer deems gainshare to be applicable</w:t>
      </w:r>
      <w:r w:rsidRPr="00150EDC">
        <w:rPr>
          <w:spacing w:val="-2"/>
          <w:sz w:val="24"/>
        </w:rPr>
        <w:t xml:space="preserve"> </w:t>
      </w:r>
      <w:r w:rsidRPr="00150EDC">
        <w:rPr>
          <w:sz w:val="24"/>
        </w:rPr>
        <w:t>then</w:t>
      </w:r>
      <w:r w:rsidRPr="00150EDC">
        <w:rPr>
          <w:spacing w:val="-4"/>
          <w:sz w:val="24"/>
        </w:rPr>
        <w:t xml:space="preserve"> </w:t>
      </w:r>
      <w:r w:rsidRPr="00150EDC">
        <w:rPr>
          <w:sz w:val="24"/>
        </w:rPr>
        <w:t>the</w:t>
      </w:r>
      <w:r w:rsidRPr="00150EDC">
        <w:rPr>
          <w:spacing w:val="-4"/>
          <w:sz w:val="24"/>
        </w:rPr>
        <w:t xml:space="preserve"> </w:t>
      </w:r>
      <w:r w:rsidRPr="00150EDC">
        <w:rPr>
          <w:sz w:val="24"/>
        </w:rPr>
        <w:t>Supplier</w:t>
      </w:r>
      <w:r w:rsidRPr="00150EDC">
        <w:rPr>
          <w:spacing w:val="-4"/>
          <w:sz w:val="24"/>
        </w:rPr>
        <w:t xml:space="preserve"> </w:t>
      </w:r>
      <w:r w:rsidRPr="00150EDC">
        <w:rPr>
          <w:sz w:val="24"/>
        </w:rPr>
        <w:t>shall</w:t>
      </w:r>
      <w:r w:rsidRPr="00150EDC">
        <w:rPr>
          <w:spacing w:val="-6"/>
          <w:sz w:val="24"/>
        </w:rPr>
        <w:t xml:space="preserve"> </w:t>
      </w:r>
      <w:r w:rsidRPr="00150EDC">
        <w:rPr>
          <w:sz w:val="24"/>
        </w:rPr>
        <w:t>update</w:t>
      </w:r>
      <w:r w:rsidRPr="00150EDC">
        <w:rPr>
          <w:spacing w:val="-4"/>
          <w:sz w:val="24"/>
        </w:rPr>
        <w:t xml:space="preserve"> </w:t>
      </w:r>
      <w:r w:rsidRPr="00150EDC">
        <w:rPr>
          <w:sz w:val="24"/>
        </w:rPr>
        <w:t>the</w:t>
      </w:r>
      <w:r w:rsidRPr="00150EDC">
        <w:rPr>
          <w:spacing w:val="-7"/>
          <w:sz w:val="24"/>
        </w:rPr>
        <w:t xml:space="preserve"> </w:t>
      </w:r>
      <w:r w:rsidRPr="00150EDC">
        <w:rPr>
          <w:sz w:val="24"/>
        </w:rPr>
        <w:t>Continuous</w:t>
      </w:r>
      <w:r w:rsidRPr="00150EDC">
        <w:rPr>
          <w:spacing w:val="-3"/>
          <w:sz w:val="24"/>
        </w:rPr>
        <w:t xml:space="preserve"> </w:t>
      </w:r>
      <w:r w:rsidRPr="00150EDC">
        <w:rPr>
          <w:sz w:val="24"/>
        </w:rPr>
        <w:t>Improvement</w:t>
      </w:r>
      <w:r w:rsidRPr="00150EDC">
        <w:rPr>
          <w:spacing w:val="-2"/>
          <w:sz w:val="24"/>
        </w:rPr>
        <w:t xml:space="preserve"> </w:t>
      </w:r>
      <w:r w:rsidRPr="00150EDC">
        <w:rPr>
          <w:sz w:val="24"/>
        </w:rPr>
        <w:t>Plan</w:t>
      </w:r>
      <w:r w:rsidRPr="00150EDC">
        <w:rPr>
          <w:spacing w:val="-2"/>
          <w:sz w:val="24"/>
        </w:rPr>
        <w:t xml:space="preserve"> </w:t>
      </w:r>
      <w:r w:rsidRPr="00150EDC">
        <w:rPr>
          <w:sz w:val="24"/>
        </w:rPr>
        <w:t>so as to include details of the way in which the proposal shall be implemented in accordance with an agreed gainshare ratio.</w:t>
      </w:r>
    </w:p>
    <w:p w14:paraId="04D8FE7E" w14:textId="77777777" w:rsidR="004C7180" w:rsidRPr="00150EDC" w:rsidRDefault="004C7180">
      <w:pPr>
        <w:rPr>
          <w:sz w:val="24"/>
        </w:rPr>
        <w:sectPr w:rsidR="004C7180" w:rsidRPr="00150EDC">
          <w:pgSz w:w="11910" w:h="16840"/>
          <w:pgMar w:top="1380" w:right="0" w:bottom="1380" w:left="40" w:header="715" w:footer="1192" w:gutter="0"/>
          <w:cols w:space="720"/>
        </w:sectPr>
      </w:pPr>
    </w:p>
    <w:p w14:paraId="13A7D748" w14:textId="77777777" w:rsidR="004C7180" w:rsidRPr="00150EDC" w:rsidRDefault="004C7180">
      <w:pPr>
        <w:pStyle w:val="BodyText"/>
        <w:rPr>
          <w:sz w:val="20"/>
        </w:rPr>
      </w:pPr>
    </w:p>
    <w:p w14:paraId="28FA9EC7" w14:textId="77777777" w:rsidR="004C7180" w:rsidRPr="00150EDC" w:rsidRDefault="004C7180">
      <w:pPr>
        <w:pStyle w:val="BodyText"/>
        <w:rPr>
          <w:sz w:val="20"/>
        </w:rPr>
      </w:pPr>
    </w:p>
    <w:p w14:paraId="31AA05EB" w14:textId="77777777" w:rsidR="004C7180" w:rsidRPr="00150EDC" w:rsidRDefault="004C7180">
      <w:pPr>
        <w:pStyle w:val="BodyText"/>
        <w:rPr>
          <w:sz w:val="20"/>
        </w:rPr>
      </w:pPr>
    </w:p>
    <w:p w14:paraId="62B1E91A" w14:textId="77777777" w:rsidR="004C7180" w:rsidRPr="00150EDC" w:rsidRDefault="004C7180">
      <w:pPr>
        <w:pStyle w:val="BodyText"/>
        <w:spacing w:before="4"/>
        <w:rPr>
          <w:sz w:val="17"/>
        </w:rPr>
      </w:pPr>
    </w:p>
    <w:p w14:paraId="5E487764" w14:textId="77777777" w:rsidR="004C7180" w:rsidRPr="00150EDC" w:rsidRDefault="00CF0754">
      <w:pPr>
        <w:pStyle w:val="Heading1"/>
        <w:spacing w:before="89"/>
        <w:ind w:left="1400" w:firstLine="0"/>
        <w:jc w:val="both"/>
      </w:pPr>
      <w:bookmarkStart w:id="26" w:name="DPS_Order_Schedule_4_-_Order_Tender_v1.0"/>
      <w:bookmarkEnd w:id="26"/>
      <w:r w:rsidRPr="00150EDC">
        <w:t>Order</w:t>
      </w:r>
      <w:r w:rsidRPr="00150EDC">
        <w:rPr>
          <w:spacing w:val="-6"/>
        </w:rPr>
        <w:t xml:space="preserve"> </w:t>
      </w:r>
      <w:r w:rsidRPr="00150EDC">
        <w:t>Schedule</w:t>
      </w:r>
      <w:r w:rsidRPr="00150EDC">
        <w:rPr>
          <w:spacing w:val="-4"/>
        </w:rPr>
        <w:t xml:space="preserve"> </w:t>
      </w:r>
      <w:r w:rsidRPr="00150EDC">
        <w:t>4</w:t>
      </w:r>
      <w:r w:rsidRPr="00150EDC">
        <w:rPr>
          <w:spacing w:val="-4"/>
        </w:rPr>
        <w:t xml:space="preserve"> </w:t>
      </w:r>
      <w:r w:rsidRPr="00150EDC">
        <w:t>(Order</w:t>
      </w:r>
      <w:r w:rsidRPr="00150EDC">
        <w:rPr>
          <w:spacing w:val="-3"/>
        </w:rPr>
        <w:t xml:space="preserve"> </w:t>
      </w:r>
      <w:r w:rsidRPr="00150EDC">
        <w:rPr>
          <w:spacing w:val="-2"/>
        </w:rPr>
        <w:t>Tender)</w:t>
      </w:r>
    </w:p>
    <w:p w14:paraId="1D191537" w14:textId="77777777" w:rsidR="004C7180" w:rsidRPr="00150EDC" w:rsidRDefault="00CF0754" w:rsidP="00B320C7">
      <w:pPr>
        <w:pStyle w:val="ListParagraph"/>
        <w:numPr>
          <w:ilvl w:val="0"/>
          <w:numId w:val="82"/>
        </w:numPr>
        <w:tabs>
          <w:tab w:val="left" w:pos="1667"/>
        </w:tabs>
        <w:spacing w:before="262"/>
        <w:ind w:left="1667" w:hanging="267"/>
        <w:rPr>
          <w:sz w:val="24"/>
        </w:rPr>
      </w:pPr>
      <w:r w:rsidRPr="00150EDC">
        <w:rPr>
          <w:sz w:val="24"/>
        </w:rPr>
        <w:t>Relevant</w:t>
      </w:r>
      <w:r w:rsidRPr="00150EDC">
        <w:rPr>
          <w:spacing w:val="-6"/>
          <w:sz w:val="24"/>
        </w:rPr>
        <w:t xml:space="preserve"> </w:t>
      </w:r>
      <w:r w:rsidRPr="00150EDC">
        <w:rPr>
          <w:sz w:val="24"/>
        </w:rPr>
        <w:t>knowledge,</w:t>
      </w:r>
      <w:r w:rsidRPr="00150EDC">
        <w:rPr>
          <w:spacing w:val="-4"/>
          <w:sz w:val="24"/>
        </w:rPr>
        <w:t xml:space="preserve"> </w:t>
      </w:r>
      <w:r w:rsidRPr="00150EDC">
        <w:rPr>
          <w:sz w:val="24"/>
        </w:rPr>
        <w:t>capability,</w:t>
      </w:r>
      <w:r w:rsidRPr="00150EDC">
        <w:rPr>
          <w:spacing w:val="-3"/>
          <w:sz w:val="24"/>
        </w:rPr>
        <w:t xml:space="preserve"> </w:t>
      </w:r>
      <w:r w:rsidRPr="00150EDC">
        <w:rPr>
          <w:sz w:val="24"/>
        </w:rPr>
        <w:t>capacity</w:t>
      </w:r>
      <w:r w:rsidRPr="00150EDC">
        <w:rPr>
          <w:spacing w:val="-7"/>
          <w:sz w:val="24"/>
        </w:rPr>
        <w:t xml:space="preserve"> </w:t>
      </w:r>
      <w:r w:rsidRPr="00150EDC">
        <w:rPr>
          <w:sz w:val="24"/>
        </w:rPr>
        <w:t>and</w:t>
      </w:r>
      <w:r w:rsidRPr="00150EDC">
        <w:rPr>
          <w:spacing w:val="-3"/>
          <w:sz w:val="24"/>
        </w:rPr>
        <w:t xml:space="preserve"> </w:t>
      </w:r>
      <w:r w:rsidRPr="00150EDC">
        <w:rPr>
          <w:sz w:val="24"/>
        </w:rPr>
        <w:t>experience</w:t>
      </w:r>
      <w:r w:rsidRPr="00150EDC">
        <w:rPr>
          <w:spacing w:val="-4"/>
          <w:sz w:val="24"/>
        </w:rPr>
        <w:t xml:space="preserve"> </w:t>
      </w:r>
      <w:r w:rsidRPr="00150EDC">
        <w:rPr>
          <w:sz w:val="24"/>
        </w:rPr>
        <w:t>for</w:t>
      </w:r>
      <w:r w:rsidRPr="00150EDC">
        <w:rPr>
          <w:spacing w:val="-5"/>
          <w:sz w:val="24"/>
        </w:rPr>
        <w:t xml:space="preserve"> </w:t>
      </w:r>
      <w:r w:rsidRPr="00150EDC">
        <w:rPr>
          <w:spacing w:val="-2"/>
          <w:sz w:val="24"/>
        </w:rPr>
        <w:t>delivery:</w:t>
      </w:r>
    </w:p>
    <w:p w14:paraId="664FA94F" w14:textId="77777777" w:rsidR="004C7180" w:rsidRPr="00150EDC" w:rsidRDefault="004C7180">
      <w:pPr>
        <w:pStyle w:val="BodyText"/>
        <w:spacing w:before="1"/>
        <w:rPr>
          <w:sz w:val="21"/>
        </w:rPr>
      </w:pPr>
    </w:p>
    <w:p w14:paraId="191F1CBC" w14:textId="77777777" w:rsidR="004C7180" w:rsidRPr="00150EDC" w:rsidRDefault="00CF0754">
      <w:pPr>
        <w:ind w:left="1400"/>
        <w:jc w:val="both"/>
        <w:rPr>
          <w:b/>
          <w:sz w:val="24"/>
        </w:rPr>
      </w:pPr>
      <w:r w:rsidRPr="007D3144">
        <w:rPr>
          <w:b/>
          <w:sz w:val="24"/>
        </w:rPr>
        <w:t>Experienced</w:t>
      </w:r>
      <w:r w:rsidRPr="007D3144">
        <w:rPr>
          <w:b/>
          <w:spacing w:val="-3"/>
          <w:sz w:val="24"/>
        </w:rPr>
        <w:t xml:space="preserve"> </w:t>
      </w:r>
      <w:r w:rsidRPr="007D3144">
        <w:rPr>
          <w:b/>
          <w:sz w:val="24"/>
        </w:rPr>
        <w:t>delivery</w:t>
      </w:r>
      <w:r w:rsidRPr="007D3144">
        <w:rPr>
          <w:b/>
          <w:spacing w:val="-2"/>
          <w:sz w:val="24"/>
        </w:rPr>
        <w:t xml:space="preserve"> </w:t>
      </w:r>
      <w:r w:rsidRPr="007D3144">
        <w:rPr>
          <w:b/>
          <w:spacing w:val="-4"/>
          <w:sz w:val="24"/>
        </w:rPr>
        <w:t>team</w:t>
      </w:r>
    </w:p>
    <w:p w14:paraId="599E1463" w14:textId="77777777" w:rsidR="004C7180" w:rsidRPr="00150EDC" w:rsidRDefault="00CF0754">
      <w:pPr>
        <w:pStyle w:val="BodyText"/>
        <w:spacing w:before="161" w:line="276" w:lineRule="auto"/>
        <w:ind w:left="1400" w:right="1436"/>
        <w:jc w:val="both"/>
      </w:pPr>
      <w:r w:rsidRPr="007D3144">
        <w:t>Tribal Group is an AIM-listed £84m turnover company, with 1000+ employees. We have</w:t>
      </w:r>
      <w:r w:rsidRPr="007D3144">
        <w:rPr>
          <w:spacing w:val="-17"/>
        </w:rPr>
        <w:t xml:space="preserve"> </w:t>
      </w:r>
      <w:r w:rsidRPr="007D3144">
        <w:t>20+</w:t>
      </w:r>
      <w:r w:rsidRPr="007D3144">
        <w:rPr>
          <w:spacing w:val="-16"/>
        </w:rPr>
        <w:t xml:space="preserve"> </w:t>
      </w:r>
      <w:r w:rsidRPr="007D3144">
        <w:t>years’</w:t>
      </w:r>
      <w:r w:rsidRPr="007D3144">
        <w:rPr>
          <w:spacing w:val="-15"/>
        </w:rPr>
        <w:t xml:space="preserve"> </w:t>
      </w:r>
      <w:r w:rsidRPr="007D3144">
        <w:t>experience</w:t>
      </w:r>
      <w:r w:rsidRPr="007D3144">
        <w:rPr>
          <w:spacing w:val="-16"/>
        </w:rPr>
        <w:t xml:space="preserve"> </w:t>
      </w:r>
      <w:r w:rsidRPr="007D3144">
        <w:t>of</w:t>
      </w:r>
      <w:r w:rsidRPr="007D3144">
        <w:rPr>
          <w:spacing w:val="-15"/>
        </w:rPr>
        <w:t xml:space="preserve"> </w:t>
      </w:r>
      <w:r w:rsidRPr="007D3144">
        <w:t>successfully</w:t>
      </w:r>
      <w:r w:rsidRPr="007D3144">
        <w:rPr>
          <w:spacing w:val="-15"/>
        </w:rPr>
        <w:t xml:space="preserve"> </w:t>
      </w:r>
      <w:r w:rsidRPr="007D3144">
        <w:t>working</w:t>
      </w:r>
      <w:r w:rsidRPr="007D3144">
        <w:rPr>
          <w:spacing w:val="-14"/>
        </w:rPr>
        <w:t xml:space="preserve"> </w:t>
      </w:r>
      <w:r w:rsidRPr="007D3144">
        <w:t>with</w:t>
      </w:r>
      <w:r w:rsidRPr="007D3144">
        <w:rPr>
          <w:spacing w:val="-14"/>
        </w:rPr>
        <w:t xml:space="preserve"> </w:t>
      </w:r>
      <w:r w:rsidRPr="007D3144">
        <w:t>the</w:t>
      </w:r>
      <w:r w:rsidRPr="007D3144">
        <w:rPr>
          <w:spacing w:val="-14"/>
        </w:rPr>
        <w:t xml:space="preserve"> </w:t>
      </w:r>
      <w:r w:rsidRPr="007D3144">
        <w:t>Department</w:t>
      </w:r>
      <w:r w:rsidRPr="007D3144">
        <w:rPr>
          <w:spacing w:val="-14"/>
        </w:rPr>
        <w:t xml:space="preserve"> </w:t>
      </w:r>
      <w:r w:rsidRPr="007D3144">
        <w:t>for</w:t>
      </w:r>
      <w:r w:rsidRPr="007D3144">
        <w:rPr>
          <w:spacing w:val="-17"/>
        </w:rPr>
        <w:t xml:space="preserve"> </w:t>
      </w:r>
      <w:r w:rsidRPr="007D3144">
        <w:t>Education (DfE) to deliver large-scale, long-term education interventions, e.g.:</w:t>
      </w:r>
    </w:p>
    <w:p w14:paraId="20810DBB" w14:textId="77777777" w:rsidR="004C7180" w:rsidRPr="00150EDC" w:rsidRDefault="00CF0754" w:rsidP="00B320C7">
      <w:pPr>
        <w:pStyle w:val="ListParagraph"/>
        <w:numPr>
          <w:ilvl w:val="1"/>
          <w:numId w:val="82"/>
        </w:numPr>
        <w:tabs>
          <w:tab w:val="left" w:pos="2119"/>
        </w:tabs>
        <w:spacing w:before="121" w:line="276" w:lineRule="auto"/>
        <w:ind w:left="2119" w:right="1439"/>
        <w:rPr>
          <w:sz w:val="24"/>
        </w:rPr>
      </w:pPr>
      <w:r w:rsidRPr="007D3144">
        <w:rPr>
          <w:sz w:val="24"/>
        </w:rPr>
        <w:t>National</w:t>
      </w:r>
      <w:r w:rsidRPr="007D3144">
        <w:rPr>
          <w:spacing w:val="40"/>
          <w:sz w:val="24"/>
        </w:rPr>
        <w:t xml:space="preserve"> </w:t>
      </w:r>
      <w:r w:rsidRPr="007D3144">
        <w:rPr>
          <w:sz w:val="24"/>
        </w:rPr>
        <w:t>Centre</w:t>
      </w:r>
      <w:r w:rsidRPr="007D3144">
        <w:rPr>
          <w:spacing w:val="40"/>
          <w:sz w:val="24"/>
        </w:rPr>
        <w:t xml:space="preserve"> </w:t>
      </w:r>
      <w:r w:rsidRPr="007D3144">
        <w:rPr>
          <w:sz w:val="24"/>
        </w:rPr>
        <w:t>for</w:t>
      </w:r>
      <w:r w:rsidRPr="007D3144">
        <w:rPr>
          <w:spacing w:val="40"/>
          <w:sz w:val="24"/>
        </w:rPr>
        <w:t xml:space="preserve"> </w:t>
      </w:r>
      <w:r w:rsidRPr="007D3144">
        <w:rPr>
          <w:sz w:val="24"/>
        </w:rPr>
        <w:t>Excellence</w:t>
      </w:r>
      <w:r w:rsidRPr="007D3144">
        <w:rPr>
          <w:spacing w:val="40"/>
          <w:sz w:val="24"/>
        </w:rPr>
        <w:t xml:space="preserve"> </w:t>
      </w:r>
      <w:r w:rsidRPr="007D3144">
        <w:rPr>
          <w:sz w:val="24"/>
        </w:rPr>
        <w:t>in</w:t>
      </w:r>
      <w:r w:rsidRPr="007D3144">
        <w:rPr>
          <w:spacing w:val="40"/>
          <w:sz w:val="24"/>
        </w:rPr>
        <w:t xml:space="preserve"> </w:t>
      </w:r>
      <w:r w:rsidRPr="007D3144">
        <w:rPr>
          <w:sz w:val="24"/>
        </w:rPr>
        <w:t>the</w:t>
      </w:r>
      <w:r w:rsidRPr="007D3144">
        <w:rPr>
          <w:spacing w:val="40"/>
          <w:sz w:val="24"/>
        </w:rPr>
        <w:t xml:space="preserve"> </w:t>
      </w:r>
      <w:r w:rsidRPr="007D3144">
        <w:rPr>
          <w:sz w:val="24"/>
        </w:rPr>
        <w:t>Teaching</w:t>
      </w:r>
      <w:r w:rsidRPr="007D3144">
        <w:rPr>
          <w:spacing w:val="40"/>
          <w:sz w:val="24"/>
        </w:rPr>
        <w:t xml:space="preserve"> </w:t>
      </w:r>
      <w:r w:rsidRPr="007D3144">
        <w:rPr>
          <w:sz w:val="24"/>
        </w:rPr>
        <w:t>of</w:t>
      </w:r>
      <w:r w:rsidRPr="007D3144">
        <w:rPr>
          <w:spacing w:val="40"/>
          <w:sz w:val="24"/>
        </w:rPr>
        <w:t xml:space="preserve"> </w:t>
      </w:r>
      <w:r w:rsidRPr="007D3144">
        <w:rPr>
          <w:sz w:val="24"/>
        </w:rPr>
        <w:t>Mathematics</w:t>
      </w:r>
      <w:r w:rsidRPr="007D3144">
        <w:rPr>
          <w:spacing w:val="40"/>
          <w:sz w:val="24"/>
        </w:rPr>
        <w:t xml:space="preserve"> </w:t>
      </w:r>
      <w:r w:rsidRPr="007D3144">
        <w:rPr>
          <w:sz w:val="24"/>
        </w:rPr>
        <w:t>(NCETM) (£9.5m): raising numeracy levels via 40 regional maths hubs.</w:t>
      </w:r>
    </w:p>
    <w:p w14:paraId="11F88AC4" w14:textId="77777777" w:rsidR="004C7180" w:rsidRPr="00150EDC" w:rsidRDefault="00CF0754" w:rsidP="00B320C7">
      <w:pPr>
        <w:pStyle w:val="ListParagraph"/>
        <w:numPr>
          <w:ilvl w:val="1"/>
          <w:numId w:val="82"/>
        </w:numPr>
        <w:tabs>
          <w:tab w:val="left" w:pos="2119"/>
        </w:tabs>
        <w:spacing w:line="276" w:lineRule="auto"/>
        <w:ind w:left="2119" w:right="1436"/>
        <w:rPr>
          <w:sz w:val="24"/>
        </w:rPr>
      </w:pPr>
      <w:r w:rsidRPr="007D3144">
        <w:rPr>
          <w:sz w:val="24"/>
        </w:rPr>
        <w:t>Advanced</w:t>
      </w:r>
      <w:r w:rsidRPr="007D3144">
        <w:rPr>
          <w:spacing w:val="40"/>
          <w:sz w:val="24"/>
        </w:rPr>
        <w:t xml:space="preserve"> </w:t>
      </w:r>
      <w:r w:rsidRPr="007D3144">
        <w:rPr>
          <w:sz w:val="24"/>
        </w:rPr>
        <w:t>Mathematics</w:t>
      </w:r>
      <w:r w:rsidRPr="007D3144">
        <w:rPr>
          <w:spacing w:val="40"/>
          <w:sz w:val="24"/>
        </w:rPr>
        <w:t xml:space="preserve"> </w:t>
      </w:r>
      <w:r w:rsidRPr="007D3144">
        <w:rPr>
          <w:sz w:val="24"/>
        </w:rPr>
        <w:t>Support</w:t>
      </w:r>
      <w:r w:rsidRPr="007D3144">
        <w:rPr>
          <w:spacing w:val="40"/>
          <w:sz w:val="24"/>
        </w:rPr>
        <w:t xml:space="preserve"> </w:t>
      </w:r>
      <w:r w:rsidRPr="007D3144">
        <w:rPr>
          <w:sz w:val="24"/>
        </w:rPr>
        <w:t>Programme</w:t>
      </w:r>
      <w:r w:rsidRPr="007D3144">
        <w:rPr>
          <w:spacing w:val="40"/>
          <w:sz w:val="24"/>
        </w:rPr>
        <w:t xml:space="preserve"> </w:t>
      </w:r>
      <w:r w:rsidRPr="007D3144">
        <w:rPr>
          <w:sz w:val="24"/>
        </w:rPr>
        <w:t>(AMSP)</w:t>
      </w:r>
      <w:r w:rsidRPr="007D3144">
        <w:rPr>
          <w:spacing w:val="40"/>
          <w:sz w:val="24"/>
        </w:rPr>
        <w:t xml:space="preserve"> </w:t>
      </w:r>
      <w:r w:rsidRPr="007D3144">
        <w:rPr>
          <w:sz w:val="24"/>
        </w:rPr>
        <w:t>(£2.2m):</w:t>
      </w:r>
      <w:r w:rsidRPr="007D3144">
        <w:rPr>
          <w:spacing w:val="40"/>
          <w:sz w:val="24"/>
        </w:rPr>
        <w:t xml:space="preserve"> </w:t>
      </w:r>
      <w:r w:rsidRPr="007D3144">
        <w:rPr>
          <w:sz w:val="24"/>
        </w:rPr>
        <w:t>delivered</w:t>
      </w:r>
      <w:r w:rsidRPr="007D3144">
        <w:rPr>
          <w:spacing w:val="40"/>
          <w:sz w:val="24"/>
        </w:rPr>
        <w:t xml:space="preserve"> </w:t>
      </w:r>
      <w:r w:rsidRPr="007D3144">
        <w:rPr>
          <w:sz w:val="24"/>
        </w:rPr>
        <w:t>in partnership with MEI to increase participation in advanced maths.</w:t>
      </w:r>
    </w:p>
    <w:p w14:paraId="06F02DCA" w14:textId="77777777" w:rsidR="004C7180" w:rsidRPr="00150EDC" w:rsidRDefault="00CF0754" w:rsidP="00B320C7">
      <w:pPr>
        <w:pStyle w:val="ListParagraph"/>
        <w:numPr>
          <w:ilvl w:val="1"/>
          <w:numId w:val="82"/>
        </w:numPr>
        <w:tabs>
          <w:tab w:val="left" w:pos="2120"/>
        </w:tabs>
        <w:spacing w:line="276" w:lineRule="auto"/>
        <w:ind w:right="1435"/>
        <w:rPr>
          <w:sz w:val="24"/>
        </w:rPr>
      </w:pPr>
      <w:r w:rsidRPr="007D3144">
        <w:rPr>
          <w:sz w:val="24"/>
        </w:rPr>
        <w:t>National Tutoring Programme (NTP) (£2.4m): quality assurance of 68 tuition partners (TPs).</w:t>
      </w:r>
    </w:p>
    <w:p w14:paraId="471954C8" w14:textId="77777777" w:rsidR="004C7180" w:rsidRPr="00150EDC" w:rsidRDefault="00CF0754" w:rsidP="00B320C7">
      <w:pPr>
        <w:pStyle w:val="ListParagraph"/>
        <w:numPr>
          <w:ilvl w:val="1"/>
          <w:numId w:val="82"/>
        </w:numPr>
        <w:tabs>
          <w:tab w:val="left" w:pos="2119"/>
        </w:tabs>
        <w:spacing w:line="276" w:lineRule="auto"/>
        <w:ind w:left="2119" w:right="1435"/>
        <w:rPr>
          <w:sz w:val="24"/>
        </w:rPr>
      </w:pPr>
      <w:r w:rsidRPr="007D3144">
        <w:rPr>
          <w:sz w:val="24"/>
        </w:rPr>
        <w:t>National Professional Qualifications (NPQ) Quality Assurance£5.5m): quality assure and continuously improve NPQ provision.</w:t>
      </w:r>
    </w:p>
    <w:p w14:paraId="31D6518D" w14:textId="77777777" w:rsidR="004C7180" w:rsidRPr="00150EDC" w:rsidRDefault="00CF0754">
      <w:pPr>
        <w:pStyle w:val="BodyText"/>
        <w:spacing w:line="276" w:lineRule="auto"/>
        <w:ind w:left="1399" w:right="1433"/>
        <w:jc w:val="both"/>
      </w:pPr>
      <w:r w:rsidRPr="007D3144">
        <w:t>Appendix 2.1.1a details our delivery team which includes individuals</w:t>
      </w:r>
      <w:r w:rsidRPr="007D3144">
        <w:rPr>
          <w:spacing w:val="-2"/>
        </w:rPr>
        <w:t xml:space="preserve"> </w:t>
      </w:r>
      <w:r w:rsidRPr="007D3144">
        <w:t xml:space="preserve">directly involved in the above programmes, together with experience and knowledge of wider </w:t>
      </w:r>
      <w:r w:rsidRPr="007D3144">
        <w:rPr>
          <w:spacing w:val="-2"/>
        </w:rPr>
        <w:t>interventions.</w:t>
      </w:r>
    </w:p>
    <w:p w14:paraId="06036059" w14:textId="77777777" w:rsidR="004C7180" w:rsidRPr="00150EDC" w:rsidRDefault="00CF0754">
      <w:pPr>
        <w:spacing w:before="118"/>
        <w:ind w:left="1400"/>
        <w:jc w:val="both"/>
        <w:rPr>
          <w:b/>
          <w:sz w:val="24"/>
        </w:rPr>
      </w:pPr>
      <w:r w:rsidRPr="007D3144">
        <w:rPr>
          <w:b/>
          <w:sz w:val="24"/>
        </w:rPr>
        <w:t>Meeting</w:t>
      </w:r>
      <w:r w:rsidRPr="007D3144">
        <w:rPr>
          <w:b/>
          <w:spacing w:val="-3"/>
          <w:sz w:val="24"/>
        </w:rPr>
        <w:t xml:space="preserve"> </w:t>
      </w:r>
      <w:r w:rsidRPr="007D3144">
        <w:rPr>
          <w:b/>
          <w:sz w:val="24"/>
        </w:rPr>
        <w:t>policy</w:t>
      </w:r>
      <w:r w:rsidRPr="007D3144">
        <w:rPr>
          <w:b/>
          <w:spacing w:val="-3"/>
          <w:sz w:val="24"/>
        </w:rPr>
        <w:t xml:space="preserve"> </w:t>
      </w:r>
      <w:r w:rsidRPr="007D3144">
        <w:rPr>
          <w:b/>
          <w:spacing w:val="-4"/>
          <w:sz w:val="24"/>
        </w:rPr>
        <w:t>aims</w:t>
      </w:r>
    </w:p>
    <w:p w14:paraId="4A93ECCE" w14:textId="77777777" w:rsidR="004C7180" w:rsidRPr="00150EDC" w:rsidRDefault="00CF0754">
      <w:pPr>
        <w:pStyle w:val="BodyText"/>
        <w:spacing w:before="161" w:line="276" w:lineRule="auto"/>
        <w:ind w:left="1400" w:right="1432"/>
        <w:jc w:val="both"/>
      </w:pPr>
      <w:r w:rsidRPr="007D3144">
        <w:t>Through a detailed literature research review, our ongoing partnership with MEI, and our Adult Numeracy Advisory Group’s experience, we understand Multiply’s overall objective</w:t>
      </w:r>
      <w:r w:rsidRPr="007D3144">
        <w:rPr>
          <w:spacing w:val="-3"/>
        </w:rPr>
        <w:t xml:space="preserve"> </w:t>
      </w:r>
      <w:r w:rsidRPr="007D3144">
        <w:t>is</w:t>
      </w:r>
      <w:r w:rsidRPr="007D3144">
        <w:rPr>
          <w:spacing w:val="-4"/>
        </w:rPr>
        <w:t xml:space="preserve"> </w:t>
      </w:r>
      <w:r w:rsidRPr="007D3144">
        <w:t>to</w:t>
      </w:r>
      <w:r w:rsidRPr="007D3144">
        <w:rPr>
          <w:spacing w:val="-3"/>
        </w:rPr>
        <w:t xml:space="preserve"> </w:t>
      </w:r>
      <w:r w:rsidRPr="007D3144">
        <w:t>increase</w:t>
      </w:r>
      <w:r w:rsidRPr="007D3144">
        <w:rPr>
          <w:spacing w:val="-6"/>
        </w:rPr>
        <w:t xml:space="preserve"> </w:t>
      </w:r>
      <w:r w:rsidRPr="007D3144">
        <w:t>the</w:t>
      </w:r>
      <w:r w:rsidRPr="007D3144">
        <w:rPr>
          <w:spacing w:val="-3"/>
        </w:rPr>
        <w:t xml:space="preserve"> </w:t>
      </w:r>
      <w:r w:rsidRPr="007D3144">
        <w:t>levels</w:t>
      </w:r>
      <w:r w:rsidRPr="007D3144">
        <w:rPr>
          <w:spacing w:val="-4"/>
        </w:rPr>
        <w:t xml:space="preserve"> </w:t>
      </w:r>
      <w:r w:rsidRPr="007D3144">
        <w:t>of</w:t>
      </w:r>
      <w:r w:rsidRPr="007D3144">
        <w:rPr>
          <w:spacing w:val="-4"/>
        </w:rPr>
        <w:t xml:space="preserve"> </w:t>
      </w:r>
      <w:r w:rsidRPr="007D3144">
        <w:t>functional</w:t>
      </w:r>
      <w:r w:rsidRPr="007D3144">
        <w:rPr>
          <w:spacing w:val="-7"/>
        </w:rPr>
        <w:t xml:space="preserve"> </w:t>
      </w:r>
      <w:r w:rsidRPr="007D3144">
        <w:t>numeracy</w:t>
      </w:r>
      <w:r w:rsidRPr="007D3144">
        <w:rPr>
          <w:spacing w:val="-4"/>
        </w:rPr>
        <w:t xml:space="preserve"> </w:t>
      </w:r>
      <w:r w:rsidRPr="007D3144">
        <w:t>in</w:t>
      </w:r>
      <w:r w:rsidRPr="007D3144">
        <w:rPr>
          <w:spacing w:val="-3"/>
        </w:rPr>
        <w:t xml:space="preserve"> </w:t>
      </w:r>
      <w:r w:rsidRPr="007D3144">
        <w:t>the</w:t>
      </w:r>
      <w:r w:rsidRPr="007D3144">
        <w:rPr>
          <w:spacing w:val="-3"/>
        </w:rPr>
        <w:t xml:space="preserve"> </w:t>
      </w:r>
      <w:r w:rsidRPr="007D3144">
        <w:t>UK’s</w:t>
      </w:r>
      <w:r w:rsidRPr="007D3144">
        <w:rPr>
          <w:spacing w:val="-4"/>
        </w:rPr>
        <w:t xml:space="preserve"> </w:t>
      </w:r>
      <w:r w:rsidRPr="007D3144">
        <w:t>adult</w:t>
      </w:r>
      <w:r w:rsidRPr="007D3144">
        <w:rPr>
          <w:spacing w:val="-4"/>
        </w:rPr>
        <w:t xml:space="preserve"> </w:t>
      </w:r>
      <w:r w:rsidRPr="007D3144">
        <w:t>population, as well as strengthening the evidence base around what works to improve adult numeracy. Specifically, we recognise the aim to engage more of the 10m adults in England without a Level 2 Maths qualification (or equivalent functional skills) in numeracy</w:t>
      </w:r>
      <w:r w:rsidRPr="007D3144">
        <w:rPr>
          <w:spacing w:val="-15"/>
        </w:rPr>
        <w:t xml:space="preserve"> </w:t>
      </w:r>
      <w:r w:rsidRPr="007D3144">
        <w:t>training,</w:t>
      </w:r>
      <w:r w:rsidRPr="007D3144">
        <w:rPr>
          <w:spacing w:val="-14"/>
        </w:rPr>
        <w:t xml:space="preserve"> </w:t>
      </w:r>
      <w:r w:rsidRPr="007D3144">
        <w:t>so</w:t>
      </w:r>
      <w:r w:rsidRPr="007D3144">
        <w:rPr>
          <w:spacing w:val="-14"/>
        </w:rPr>
        <w:t xml:space="preserve"> </w:t>
      </w:r>
      <w:r w:rsidRPr="007D3144">
        <w:t>they</w:t>
      </w:r>
      <w:r w:rsidRPr="007D3144">
        <w:rPr>
          <w:spacing w:val="-15"/>
        </w:rPr>
        <w:t xml:space="preserve"> </w:t>
      </w:r>
      <w:r w:rsidRPr="007D3144">
        <w:t>can</w:t>
      </w:r>
      <w:r w:rsidRPr="007D3144">
        <w:rPr>
          <w:spacing w:val="-16"/>
        </w:rPr>
        <w:t xml:space="preserve"> </w:t>
      </w:r>
      <w:r w:rsidRPr="007D3144">
        <w:t>achieve</w:t>
      </w:r>
      <w:r w:rsidRPr="007D3144">
        <w:rPr>
          <w:spacing w:val="-14"/>
        </w:rPr>
        <w:t xml:space="preserve"> </w:t>
      </w:r>
      <w:r w:rsidRPr="007D3144">
        <w:t>better</w:t>
      </w:r>
      <w:r w:rsidRPr="007D3144">
        <w:rPr>
          <w:spacing w:val="-17"/>
        </w:rPr>
        <w:t xml:space="preserve"> </w:t>
      </w:r>
      <w:r w:rsidRPr="007D3144">
        <w:t>numeracy,</w:t>
      </w:r>
      <w:r w:rsidRPr="007D3144">
        <w:rPr>
          <w:spacing w:val="-13"/>
        </w:rPr>
        <w:t xml:space="preserve"> </w:t>
      </w:r>
      <w:r w:rsidRPr="007D3144">
        <w:t>enhanced</w:t>
      </w:r>
      <w:r w:rsidRPr="007D3144">
        <w:rPr>
          <w:spacing w:val="-14"/>
        </w:rPr>
        <w:t xml:space="preserve"> </w:t>
      </w:r>
      <w:r w:rsidRPr="007D3144">
        <w:t>qualifications,</w:t>
      </w:r>
      <w:r w:rsidRPr="007D3144">
        <w:rPr>
          <w:spacing w:val="-14"/>
        </w:rPr>
        <w:t xml:space="preserve"> </w:t>
      </w:r>
      <w:r w:rsidRPr="007D3144">
        <w:t>and better jobs.</w:t>
      </w:r>
    </w:p>
    <w:p w14:paraId="27F076B3" w14:textId="77777777" w:rsidR="004C7180" w:rsidRPr="00150EDC" w:rsidRDefault="00CF0754">
      <w:pPr>
        <w:pStyle w:val="BodyText"/>
        <w:spacing w:before="120" w:line="276" w:lineRule="auto"/>
        <w:ind w:left="1399" w:right="1434"/>
        <w:jc w:val="both"/>
      </w:pPr>
      <w:r w:rsidRPr="007D3144">
        <w:t>We</w:t>
      </w:r>
      <w:r w:rsidRPr="007D3144">
        <w:rPr>
          <w:spacing w:val="-10"/>
        </w:rPr>
        <w:t xml:space="preserve"> </w:t>
      </w:r>
      <w:r w:rsidRPr="007D3144">
        <w:t>have</w:t>
      </w:r>
      <w:r w:rsidRPr="007D3144">
        <w:rPr>
          <w:spacing w:val="-10"/>
        </w:rPr>
        <w:t xml:space="preserve"> </w:t>
      </w:r>
      <w:r w:rsidRPr="007D3144">
        <w:t>organisational</w:t>
      </w:r>
      <w:r w:rsidRPr="007D3144">
        <w:rPr>
          <w:spacing w:val="-9"/>
        </w:rPr>
        <w:t xml:space="preserve"> </w:t>
      </w:r>
      <w:r w:rsidRPr="007D3144">
        <w:t>and</w:t>
      </w:r>
      <w:r w:rsidRPr="007D3144">
        <w:rPr>
          <w:spacing w:val="-8"/>
        </w:rPr>
        <w:t xml:space="preserve"> </w:t>
      </w:r>
      <w:r w:rsidRPr="007D3144">
        <w:t>individual</w:t>
      </w:r>
      <w:r w:rsidRPr="007D3144">
        <w:rPr>
          <w:spacing w:val="-9"/>
        </w:rPr>
        <w:t xml:space="preserve"> </w:t>
      </w:r>
      <w:r w:rsidRPr="007D3144">
        <w:t>delivery</w:t>
      </w:r>
      <w:r w:rsidRPr="007D3144">
        <w:rPr>
          <w:spacing w:val="-9"/>
        </w:rPr>
        <w:t xml:space="preserve"> </w:t>
      </w:r>
      <w:r w:rsidRPr="007D3144">
        <w:t>team</w:t>
      </w:r>
      <w:r w:rsidRPr="007D3144">
        <w:rPr>
          <w:spacing w:val="-11"/>
        </w:rPr>
        <w:t xml:space="preserve"> </w:t>
      </w:r>
      <w:r w:rsidRPr="007D3144">
        <w:t>member</w:t>
      </w:r>
      <w:r w:rsidRPr="007D3144">
        <w:rPr>
          <w:spacing w:val="-9"/>
        </w:rPr>
        <w:t xml:space="preserve"> </w:t>
      </w:r>
      <w:r w:rsidRPr="007D3144">
        <w:t>experience</w:t>
      </w:r>
      <w:r w:rsidRPr="007D3144">
        <w:rPr>
          <w:spacing w:val="-10"/>
        </w:rPr>
        <w:t xml:space="preserve"> </w:t>
      </w:r>
      <w:r w:rsidRPr="007D3144">
        <w:t>of</w:t>
      </w:r>
      <w:r w:rsidRPr="007D3144">
        <w:rPr>
          <w:spacing w:val="-11"/>
        </w:rPr>
        <w:t xml:space="preserve"> </w:t>
      </w:r>
      <w:r w:rsidRPr="007D3144">
        <w:t>delivering transformational interventions, for example through NCETM and AMSP, working in partnership with schools, sixth forms and FE colleges, as well as organisations like MEI.</w:t>
      </w:r>
      <w:r w:rsidRPr="007D3144">
        <w:rPr>
          <w:spacing w:val="-6"/>
        </w:rPr>
        <w:t xml:space="preserve"> </w:t>
      </w:r>
      <w:r w:rsidRPr="007D3144">
        <w:t>Through</w:t>
      </w:r>
      <w:r w:rsidRPr="007D3144">
        <w:rPr>
          <w:spacing w:val="-5"/>
        </w:rPr>
        <w:t xml:space="preserve"> </w:t>
      </w:r>
      <w:r w:rsidRPr="007D3144">
        <w:t>these</w:t>
      </w:r>
      <w:r w:rsidRPr="007D3144">
        <w:rPr>
          <w:spacing w:val="-8"/>
        </w:rPr>
        <w:t xml:space="preserve"> </w:t>
      </w:r>
      <w:r w:rsidRPr="007D3144">
        <w:t>interventions</w:t>
      </w:r>
      <w:r w:rsidRPr="007D3144">
        <w:rPr>
          <w:spacing w:val="-6"/>
        </w:rPr>
        <w:t xml:space="preserve"> </w:t>
      </w:r>
      <w:r w:rsidRPr="007D3144">
        <w:t>we</w:t>
      </w:r>
      <w:r w:rsidRPr="007D3144">
        <w:rPr>
          <w:spacing w:val="-8"/>
        </w:rPr>
        <w:t xml:space="preserve"> </w:t>
      </w:r>
      <w:r w:rsidRPr="007D3144">
        <w:t>have</w:t>
      </w:r>
      <w:r w:rsidRPr="007D3144">
        <w:rPr>
          <w:spacing w:val="-8"/>
        </w:rPr>
        <w:t xml:space="preserve"> </w:t>
      </w:r>
      <w:r w:rsidRPr="007D3144">
        <w:t>developed</w:t>
      </w:r>
      <w:r w:rsidRPr="007D3144">
        <w:rPr>
          <w:spacing w:val="-8"/>
        </w:rPr>
        <w:t xml:space="preserve"> </w:t>
      </w:r>
      <w:r w:rsidRPr="007D3144">
        <w:t>extensive</w:t>
      </w:r>
      <w:r w:rsidRPr="007D3144">
        <w:rPr>
          <w:spacing w:val="-5"/>
        </w:rPr>
        <w:t xml:space="preserve"> </w:t>
      </w:r>
      <w:r w:rsidRPr="007D3144">
        <w:t>insight</w:t>
      </w:r>
      <w:r w:rsidRPr="007D3144">
        <w:rPr>
          <w:spacing w:val="-8"/>
        </w:rPr>
        <w:t xml:space="preserve"> </w:t>
      </w:r>
      <w:r w:rsidRPr="007D3144">
        <w:t>into</w:t>
      </w:r>
      <w:r w:rsidRPr="007D3144">
        <w:rPr>
          <w:spacing w:val="-8"/>
        </w:rPr>
        <w:t xml:space="preserve"> </w:t>
      </w:r>
      <w:r w:rsidRPr="007D3144">
        <w:t>functional maths and the wider UK numeracy landscape, including the development of learning resources and maths mastery pedagogy. We have experience of developing resources</w:t>
      </w:r>
      <w:r w:rsidRPr="007D3144">
        <w:rPr>
          <w:spacing w:val="-5"/>
        </w:rPr>
        <w:t xml:space="preserve"> </w:t>
      </w:r>
      <w:r w:rsidRPr="007D3144">
        <w:t>to</w:t>
      </w:r>
      <w:r w:rsidRPr="007D3144">
        <w:rPr>
          <w:spacing w:val="-4"/>
        </w:rPr>
        <w:t xml:space="preserve"> </w:t>
      </w:r>
      <w:r w:rsidRPr="007D3144">
        <w:t>support</w:t>
      </w:r>
      <w:r w:rsidRPr="007D3144">
        <w:rPr>
          <w:spacing w:val="-5"/>
        </w:rPr>
        <w:t xml:space="preserve"> </w:t>
      </w:r>
      <w:r w:rsidRPr="007D3144">
        <w:t>individuals</w:t>
      </w:r>
      <w:r w:rsidRPr="007D3144">
        <w:rPr>
          <w:spacing w:val="-5"/>
        </w:rPr>
        <w:t xml:space="preserve"> </w:t>
      </w:r>
      <w:r w:rsidRPr="007D3144">
        <w:t>to</w:t>
      </w:r>
      <w:r w:rsidRPr="007D3144">
        <w:rPr>
          <w:spacing w:val="-4"/>
        </w:rPr>
        <w:t xml:space="preserve"> </w:t>
      </w:r>
      <w:r w:rsidRPr="007D3144">
        <w:t>work</w:t>
      </w:r>
      <w:r w:rsidRPr="007D3144">
        <w:rPr>
          <w:spacing w:val="-5"/>
        </w:rPr>
        <w:t xml:space="preserve"> </w:t>
      </w:r>
      <w:r w:rsidRPr="007D3144">
        <w:t>towards</w:t>
      </w:r>
      <w:r w:rsidRPr="007D3144">
        <w:rPr>
          <w:spacing w:val="-5"/>
        </w:rPr>
        <w:t xml:space="preserve"> </w:t>
      </w:r>
      <w:r w:rsidRPr="007D3144">
        <w:t>the</w:t>
      </w:r>
      <w:r w:rsidRPr="007D3144">
        <w:rPr>
          <w:spacing w:val="-4"/>
        </w:rPr>
        <w:t xml:space="preserve"> </w:t>
      </w:r>
      <w:r w:rsidRPr="007D3144">
        <w:t>GCSE</w:t>
      </w:r>
      <w:r w:rsidRPr="007D3144">
        <w:rPr>
          <w:spacing w:val="-5"/>
        </w:rPr>
        <w:t xml:space="preserve"> </w:t>
      </w:r>
      <w:r w:rsidRPr="007D3144">
        <w:t>by</w:t>
      </w:r>
      <w:r w:rsidRPr="007D3144">
        <w:rPr>
          <w:spacing w:val="-5"/>
        </w:rPr>
        <w:t xml:space="preserve"> </w:t>
      </w:r>
      <w:r w:rsidRPr="007D3144">
        <w:t>taking</w:t>
      </w:r>
      <w:r w:rsidRPr="007D3144">
        <w:rPr>
          <w:spacing w:val="-7"/>
        </w:rPr>
        <w:t xml:space="preserve"> </w:t>
      </w:r>
      <w:r w:rsidRPr="007D3144">
        <w:t>‘stepping-stone’ qualifications such as Functional Skills Level 1/2 and Entry Level 1/2/3.</w:t>
      </w:r>
    </w:p>
    <w:p w14:paraId="4F067F07" w14:textId="77777777" w:rsidR="004C7180" w:rsidRPr="00150EDC" w:rsidRDefault="00CF0754">
      <w:pPr>
        <w:spacing w:before="121"/>
        <w:ind w:left="1400"/>
        <w:jc w:val="both"/>
        <w:rPr>
          <w:b/>
          <w:sz w:val="24"/>
        </w:rPr>
      </w:pPr>
      <w:r w:rsidRPr="007D3144">
        <w:rPr>
          <w:b/>
          <w:sz w:val="24"/>
        </w:rPr>
        <w:t>Target</w:t>
      </w:r>
      <w:r w:rsidRPr="007D3144">
        <w:rPr>
          <w:b/>
          <w:spacing w:val="-2"/>
          <w:sz w:val="24"/>
        </w:rPr>
        <w:t xml:space="preserve"> population</w:t>
      </w:r>
    </w:p>
    <w:p w14:paraId="47440CC1" w14:textId="77777777" w:rsidR="004C7180" w:rsidRPr="00150EDC" w:rsidRDefault="004C7180">
      <w:pPr>
        <w:jc w:val="both"/>
        <w:rPr>
          <w:sz w:val="24"/>
        </w:rPr>
        <w:sectPr w:rsidR="004C7180" w:rsidRPr="00150EDC">
          <w:headerReference w:type="default" r:id="rId63"/>
          <w:footerReference w:type="default" r:id="rId64"/>
          <w:pgSz w:w="11910" w:h="16840"/>
          <w:pgMar w:top="1460" w:right="0" w:bottom="1420" w:left="40" w:header="712" w:footer="1224" w:gutter="0"/>
          <w:pgNumType w:start="1"/>
          <w:cols w:space="720"/>
        </w:sectPr>
      </w:pPr>
    </w:p>
    <w:p w14:paraId="18AA2075" w14:textId="77777777" w:rsidR="004C7180" w:rsidRPr="00150EDC" w:rsidRDefault="004C7180">
      <w:pPr>
        <w:pStyle w:val="BodyText"/>
        <w:spacing w:before="4"/>
        <w:rPr>
          <w:b/>
          <w:sz w:val="18"/>
        </w:rPr>
      </w:pPr>
    </w:p>
    <w:p w14:paraId="51ABE1E6" w14:textId="77777777" w:rsidR="004C7180" w:rsidRPr="00150EDC" w:rsidRDefault="00CF0754">
      <w:pPr>
        <w:pStyle w:val="BodyText"/>
        <w:spacing w:before="93" w:line="276" w:lineRule="auto"/>
        <w:ind w:left="1400" w:right="1432"/>
        <w:jc w:val="both"/>
      </w:pPr>
      <w:r w:rsidRPr="007D3144">
        <w:t>We have a clear understanding of the target</w:t>
      </w:r>
      <w:r w:rsidRPr="007D3144">
        <w:rPr>
          <w:spacing w:val="-1"/>
        </w:rPr>
        <w:t xml:space="preserve"> </w:t>
      </w:r>
      <w:r w:rsidRPr="007D3144">
        <w:t>population for the RCTs, drawing on the experience</w:t>
      </w:r>
      <w:r w:rsidRPr="007D3144">
        <w:rPr>
          <w:spacing w:val="-11"/>
        </w:rPr>
        <w:t xml:space="preserve"> </w:t>
      </w:r>
      <w:r w:rsidRPr="007D3144">
        <w:t>of</w:t>
      </w:r>
      <w:r w:rsidRPr="007D3144">
        <w:rPr>
          <w:spacing w:val="-13"/>
        </w:rPr>
        <w:t xml:space="preserve"> </w:t>
      </w:r>
      <w:r w:rsidRPr="007D3144">
        <w:t>our</w:t>
      </w:r>
      <w:r w:rsidRPr="007D3144">
        <w:rPr>
          <w:spacing w:val="-12"/>
        </w:rPr>
        <w:t xml:space="preserve"> </w:t>
      </w:r>
      <w:r w:rsidRPr="007D3144">
        <w:t>Adult</w:t>
      </w:r>
      <w:r w:rsidRPr="007D3144">
        <w:rPr>
          <w:spacing w:val="-13"/>
        </w:rPr>
        <w:t xml:space="preserve"> </w:t>
      </w:r>
      <w:r w:rsidRPr="007D3144">
        <w:t>Numeracy</w:t>
      </w:r>
      <w:r w:rsidRPr="007D3144">
        <w:rPr>
          <w:spacing w:val="-14"/>
        </w:rPr>
        <w:t xml:space="preserve"> </w:t>
      </w:r>
      <w:r w:rsidRPr="007D3144">
        <w:t>Advisory</w:t>
      </w:r>
      <w:r w:rsidRPr="007D3144">
        <w:rPr>
          <w:spacing w:val="-12"/>
        </w:rPr>
        <w:t xml:space="preserve"> </w:t>
      </w:r>
      <w:r w:rsidRPr="007D3144">
        <w:t>Group</w:t>
      </w:r>
      <w:r w:rsidRPr="007D3144">
        <w:rPr>
          <w:spacing w:val="-13"/>
        </w:rPr>
        <w:t xml:space="preserve"> </w:t>
      </w:r>
      <w:r w:rsidRPr="007D3144">
        <w:t>and</w:t>
      </w:r>
      <w:r w:rsidRPr="007D3144">
        <w:rPr>
          <w:spacing w:val="-11"/>
        </w:rPr>
        <w:t xml:space="preserve"> </w:t>
      </w:r>
      <w:r w:rsidRPr="007D3144">
        <w:t>MEI</w:t>
      </w:r>
      <w:r w:rsidRPr="007D3144">
        <w:rPr>
          <w:spacing w:val="-11"/>
        </w:rPr>
        <w:t xml:space="preserve"> </w:t>
      </w:r>
      <w:r w:rsidRPr="007D3144">
        <w:t>partnership</w:t>
      </w:r>
      <w:r w:rsidRPr="007D3144">
        <w:rPr>
          <w:spacing w:val="-11"/>
        </w:rPr>
        <w:t xml:space="preserve"> </w:t>
      </w:r>
      <w:r w:rsidRPr="007D3144">
        <w:t>to</w:t>
      </w:r>
      <w:r w:rsidRPr="007D3144">
        <w:rPr>
          <w:spacing w:val="-11"/>
        </w:rPr>
        <w:t xml:space="preserve"> </w:t>
      </w:r>
      <w:r w:rsidRPr="007D3144">
        <w:t>identify</w:t>
      </w:r>
      <w:r w:rsidRPr="007D3144">
        <w:rPr>
          <w:spacing w:val="-14"/>
        </w:rPr>
        <w:t xml:space="preserve"> </w:t>
      </w:r>
      <w:r w:rsidRPr="007D3144">
        <w:t>and engage with these cohorts, including:</w:t>
      </w:r>
    </w:p>
    <w:p w14:paraId="4A0613A3" w14:textId="77777777" w:rsidR="004C7180" w:rsidRPr="00150EDC" w:rsidRDefault="00CF0754" w:rsidP="00B320C7">
      <w:pPr>
        <w:pStyle w:val="ListParagraph"/>
        <w:numPr>
          <w:ilvl w:val="1"/>
          <w:numId w:val="82"/>
        </w:numPr>
        <w:tabs>
          <w:tab w:val="left" w:pos="2120"/>
        </w:tabs>
        <w:spacing w:before="118" w:line="278" w:lineRule="auto"/>
        <w:ind w:right="1436"/>
        <w:rPr>
          <w:sz w:val="24"/>
        </w:rPr>
      </w:pPr>
      <w:r w:rsidRPr="007D3144">
        <w:rPr>
          <w:sz w:val="24"/>
        </w:rPr>
        <w:t>Not</w:t>
      </w:r>
      <w:r w:rsidRPr="007D3144">
        <w:rPr>
          <w:spacing w:val="40"/>
          <w:sz w:val="24"/>
        </w:rPr>
        <w:t xml:space="preserve"> </w:t>
      </w:r>
      <w:r w:rsidRPr="007D3144">
        <w:rPr>
          <w:sz w:val="24"/>
        </w:rPr>
        <w:t>in</w:t>
      </w:r>
      <w:r w:rsidRPr="007D3144">
        <w:rPr>
          <w:spacing w:val="40"/>
          <w:sz w:val="24"/>
        </w:rPr>
        <w:t xml:space="preserve"> </w:t>
      </w:r>
      <w:r w:rsidRPr="007D3144">
        <w:rPr>
          <w:sz w:val="24"/>
        </w:rPr>
        <w:t>education,</w:t>
      </w:r>
      <w:r w:rsidRPr="007D3144">
        <w:rPr>
          <w:spacing w:val="40"/>
          <w:sz w:val="24"/>
        </w:rPr>
        <w:t xml:space="preserve"> </w:t>
      </w:r>
      <w:r w:rsidRPr="007D3144">
        <w:rPr>
          <w:sz w:val="24"/>
        </w:rPr>
        <w:t>employment</w:t>
      </w:r>
      <w:r w:rsidRPr="007D3144">
        <w:rPr>
          <w:spacing w:val="40"/>
          <w:sz w:val="24"/>
        </w:rPr>
        <w:t xml:space="preserve"> </w:t>
      </w:r>
      <w:r w:rsidRPr="007D3144">
        <w:rPr>
          <w:sz w:val="24"/>
        </w:rPr>
        <w:t>and</w:t>
      </w:r>
      <w:r w:rsidRPr="007D3144">
        <w:rPr>
          <w:spacing w:val="40"/>
          <w:sz w:val="24"/>
        </w:rPr>
        <w:t xml:space="preserve"> </w:t>
      </w:r>
      <w:r w:rsidRPr="007D3144">
        <w:rPr>
          <w:sz w:val="24"/>
        </w:rPr>
        <w:t>training</w:t>
      </w:r>
      <w:r w:rsidRPr="007D3144">
        <w:rPr>
          <w:spacing w:val="40"/>
          <w:sz w:val="24"/>
        </w:rPr>
        <w:t xml:space="preserve"> </w:t>
      </w:r>
      <w:r w:rsidRPr="007D3144">
        <w:rPr>
          <w:sz w:val="24"/>
        </w:rPr>
        <w:t>(including</w:t>
      </w:r>
      <w:r w:rsidRPr="007D3144">
        <w:rPr>
          <w:spacing w:val="40"/>
          <w:sz w:val="24"/>
        </w:rPr>
        <w:t xml:space="preserve"> </w:t>
      </w:r>
      <w:r w:rsidRPr="007D3144">
        <w:rPr>
          <w:sz w:val="24"/>
        </w:rPr>
        <w:t>economically</w:t>
      </w:r>
      <w:r w:rsidRPr="007D3144">
        <w:rPr>
          <w:spacing w:val="40"/>
          <w:sz w:val="24"/>
        </w:rPr>
        <w:t xml:space="preserve"> </w:t>
      </w:r>
      <w:r w:rsidRPr="007D3144">
        <w:rPr>
          <w:sz w:val="24"/>
        </w:rPr>
        <w:t xml:space="preserve">inactive </w:t>
      </w:r>
      <w:r w:rsidRPr="007D3144">
        <w:rPr>
          <w:spacing w:val="-2"/>
          <w:sz w:val="24"/>
        </w:rPr>
        <w:t>individuals)</w:t>
      </w:r>
    </w:p>
    <w:p w14:paraId="662C414F" w14:textId="77777777" w:rsidR="004C7180" w:rsidRPr="00150EDC" w:rsidRDefault="00CF0754" w:rsidP="00B320C7">
      <w:pPr>
        <w:pStyle w:val="ListParagraph"/>
        <w:numPr>
          <w:ilvl w:val="1"/>
          <w:numId w:val="82"/>
        </w:numPr>
        <w:tabs>
          <w:tab w:val="left" w:pos="2119"/>
        </w:tabs>
        <w:spacing w:line="272" w:lineRule="exact"/>
        <w:ind w:left="2119" w:hanging="359"/>
        <w:rPr>
          <w:sz w:val="24"/>
        </w:rPr>
      </w:pPr>
      <w:r w:rsidRPr="007D3144">
        <w:rPr>
          <w:sz w:val="24"/>
        </w:rPr>
        <w:t>In</w:t>
      </w:r>
      <w:r w:rsidRPr="007D3144">
        <w:rPr>
          <w:spacing w:val="-1"/>
          <w:sz w:val="24"/>
        </w:rPr>
        <w:t xml:space="preserve"> </w:t>
      </w:r>
      <w:r w:rsidRPr="007D3144">
        <w:rPr>
          <w:spacing w:val="-2"/>
          <w:sz w:val="24"/>
        </w:rPr>
        <w:t>employment</w:t>
      </w:r>
    </w:p>
    <w:p w14:paraId="4AD25F85" w14:textId="77777777" w:rsidR="004C7180" w:rsidRPr="00150EDC" w:rsidRDefault="00CF0754" w:rsidP="00B320C7">
      <w:pPr>
        <w:pStyle w:val="ListParagraph"/>
        <w:numPr>
          <w:ilvl w:val="1"/>
          <w:numId w:val="82"/>
        </w:numPr>
        <w:tabs>
          <w:tab w:val="left" w:pos="2119"/>
        </w:tabs>
        <w:spacing w:before="41"/>
        <w:ind w:left="2119" w:hanging="359"/>
        <w:rPr>
          <w:sz w:val="24"/>
        </w:rPr>
      </w:pPr>
      <w:r w:rsidRPr="007D3144">
        <w:rPr>
          <w:sz w:val="24"/>
        </w:rPr>
        <w:t>At</w:t>
      </w:r>
      <w:r w:rsidRPr="007D3144">
        <w:rPr>
          <w:spacing w:val="-1"/>
          <w:sz w:val="24"/>
        </w:rPr>
        <w:t xml:space="preserve"> </w:t>
      </w:r>
      <w:r w:rsidRPr="007D3144">
        <w:rPr>
          <w:sz w:val="24"/>
        </w:rPr>
        <w:t>risk</w:t>
      </w:r>
      <w:r w:rsidRPr="007D3144">
        <w:rPr>
          <w:spacing w:val="-1"/>
          <w:sz w:val="24"/>
        </w:rPr>
        <w:t xml:space="preserve"> </w:t>
      </w:r>
      <w:r w:rsidRPr="007D3144">
        <w:rPr>
          <w:sz w:val="24"/>
        </w:rPr>
        <w:t>from</w:t>
      </w:r>
      <w:r w:rsidRPr="007D3144">
        <w:rPr>
          <w:spacing w:val="-2"/>
          <w:sz w:val="24"/>
        </w:rPr>
        <w:t xml:space="preserve"> </w:t>
      </w:r>
      <w:r w:rsidRPr="007D3144">
        <w:rPr>
          <w:sz w:val="24"/>
        </w:rPr>
        <w:t>social</w:t>
      </w:r>
      <w:r w:rsidRPr="007D3144">
        <w:rPr>
          <w:spacing w:val="-3"/>
          <w:sz w:val="24"/>
        </w:rPr>
        <w:t xml:space="preserve"> </w:t>
      </w:r>
      <w:r w:rsidRPr="007D3144">
        <w:rPr>
          <w:sz w:val="24"/>
        </w:rPr>
        <w:t>and</w:t>
      </w:r>
      <w:r w:rsidRPr="007D3144">
        <w:rPr>
          <w:spacing w:val="-2"/>
          <w:sz w:val="24"/>
        </w:rPr>
        <w:t xml:space="preserve"> </w:t>
      </w:r>
      <w:r w:rsidRPr="007D3144">
        <w:rPr>
          <w:sz w:val="24"/>
        </w:rPr>
        <w:t>digital</w:t>
      </w:r>
      <w:r w:rsidRPr="007D3144">
        <w:rPr>
          <w:spacing w:val="-1"/>
          <w:sz w:val="24"/>
        </w:rPr>
        <w:t xml:space="preserve"> </w:t>
      </w:r>
      <w:r w:rsidRPr="007D3144">
        <w:rPr>
          <w:spacing w:val="-2"/>
          <w:sz w:val="24"/>
        </w:rPr>
        <w:t>exclusion</w:t>
      </w:r>
    </w:p>
    <w:p w14:paraId="03A759C5" w14:textId="77777777" w:rsidR="004C7180" w:rsidRPr="00150EDC" w:rsidRDefault="00CF0754" w:rsidP="00B320C7">
      <w:pPr>
        <w:pStyle w:val="ListParagraph"/>
        <w:numPr>
          <w:ilvl w:val="1"/>
          <w:numId w:val="82"/>
        </w:numPr>
        <w:tabs>
          <w:tab w:val="left" w:pos="2118"/>
        </w:tabs>
        <w:spacing w:before="41"/>
        <w:ind w:left="2118" w:hanging="359"/>
        <w:rPr>
          <w:sz w:val="24"/>
        </w:rPr>
      </w:pPr>
      <w:r w:rsidRPr="007D3144">
        <w:rPr>
          <w:sz w:val="24"/>
        </w:rPr>
        <w:t>Individuals</w:t>
      </w:r>
      <w:r w:rsidRPr="007D3144">
        <w:rPr>
          <w:spacing w:val="-3"/>
          <w:sz w:val="24"/>
        </w:rPr>
        <w:t xml:space="preserve"> </w:t>
      </w:r>
      <w:r w:rsidRPr="007D3144">
        <w:rPr>
          <w:sz w:val="24"/>
        </w:rPr>
        <w:t>whose</w:t>
      </w:r>
      <w:r w:rsidRPr="007D3144">
        <w:rPr>
          <w:spacing w:val="-2"/>
          <w:sz w:val="24"/>
        </w:rPr>
        <w:t xml:space="preserve"> </w:t>
      </w:r>
      <w:r w:rsidRPr="007D3144">
        <w:rPr>
          <w:sz w:val="24"/>
        </w:rPr>
        <w:t>first</w:t>
      </w:r>
      <w:r w:rsidRPr="007D3144">
        <w:rPr>
          <w:spacing w:val="-5"/>
          <w:sz w:val="24"/>
        </w:rPr>
        <w:t xml:space="preserve"> </w:t>
      </w:r>
      <w:r w:rsidRPr="007D3144">
        <w:rPr>
          <w:sz w:val="24"/>
        </w:rPr>
        <w:t>language</w:t>
      </w:r>
      <w:r w:rsidRPr="007D3144">
        <w:rPr>
          <w:spacing w:val="-4"/>
          <w:sz w:val="24"/>
        </w:rPr>
        <w:t xml:space="preserve"> </w:t>
      </w:r>
      <w:r w:rsidRPr="007D3144">
        <w:rPr>
          <w:sz w:val="24"/>
        </w:rPr>
        <w:t>is</w:t>
      </w:r>
      <w:r w:rsidRPr="007D3144">
        <w:rPr>
          <w:spacing w:val="-3"/>
          <w:sz w:val="24"/>
        </w:rPr>
        <w:t xml:space="preserve"> </w:t>
      </w:r>
      <w:r w:rsidRPr="007D3144">
        <w:rPr>
          <w:sz w:val="24"/>
        </w:rPr>
        <w:t>not</w:t>
      </w:r>
      <w:r w:rsidRPr="007D3144">
        <w:rPr>
          <w:spacing w:val="-1"/>
          <w:sz w:val="24"/>
        </w:rPr>
        <w:t xml:space="preserve"> </w:t>
      </w:r>
      <w:r w:rsidRPr="007D3144">
        <w:rPr>
          <w:spacing w:val="-2"/>
          <w:sz w:val="24"/>
        </w:rPr>
        <w:t>English.</w:t>
      </w:r>
    </w:p>
    <w:p w14:paraId="462B95FC" w14:textId="77777777" w:rsidR="004C7180" w:rsidRPr="00150EDC" w:rsidRDefault="00CF0754">
      <w:pPr>
        <w:pStyle w:val="BodyText"/>
        <w:spacing w:before="43" w:line="276" w:lineRule="auto"/>
        <w:ind w:left="1400" w:right="1432"/>
        <w:jc w:val="both"/>
      </w:pPr>
      <w:r w:rsidRPr="007D3144">
        <w:t>Through our existing programmes working with local authorities, further/adult education</w:t>
      </w:r>
      <w:r w:rsidRPr="007D3144">
        <w:rPr>
          <w:spacing w:val="-14"/>
        </w:rPr>
        <w:t xml:space="preserve"> </w:t>
      </w:r>
      <w:r w:rsidRPr="007D3144">
        <w:t>colleges,</w:t>
      </w:r>
      <w:r w:rsidRPr="007D3144">
        <w:rPr>
          <w:spacing w:val="-14"/>
        </w:rPr>
        <w:t xml:space="preserve"> </w:t>
      </w:r>
      <w:r w:rsidRPr="007D3144">
        <w:t>and</w:t>
      </w:r>
      <w:r w:rsidRPr="007D3144">
        <w:rPr>
          <w:spacing w:val="-12"/>
        </w:rPr>
        <w:t xml:space="preserve"> </w:t>
      </w:r>
      <w:r w:rsidRPr="007D3144">
        <w:t>close</w:t>
      </w:r>
      <w:r w:rsidRPr="007D3144">
        <w:rPr>
          <w:spacing w:val="-14"/>
        </w:rPr>
        <w:t xml:space="preserve"> </w:t>
      </w:r>
      <w:r w:rsidRPr="007D3144">
        <w:t>working</w:t>
      </w:r>
      <w:r w:rsidRPr="007D3144">
        <w:rPr>
          <w:spacing w:val="-12"/>
        </w:rPr>
        <w:t xml:space="preserve"> </w:t>
      </w:r>
      <w:r w:rsidRPr="007D3144">
        <w:t>with</w:t>
      </w:r>
      <w:r w:rsidRPr="007D3144">
        <w:rPr>
          <w:spacing w:val="-12"/>
        </w:rPr>
        <w:t xml:space="preserve"> </w:t>
      </w:r>
      <w:r w:rsidRPr="007D3144">
        <w:t>organisations</w:t>
      </w:r>
      <w:r w:rsidRPr="007D3144">
        <w:rPr>
          <w:spacing w:val="-15"/>
        </w:rPr>
        <w:t xml:space="preserve"> </w:t>
      </w:r>
      <w:r w:rsidRPr="007D3144">
        <w:t>e.g.</w:t>
      </w:r>
      <w:r w:rsidRPr="007D3144">
        <w:rPr>
          <w:spacing w:val="-12"/>
        </w:rPr>
        <w:t xml:space="preserve"> </w:t>
      </w:r>
      <w:r w:rsidRPr="007D3144">
        <w:t>Association</w:t>
      </w:r>
      <w:r w:rsidRPr="007D3144">
        <w:rPr>
          <w:spacing w:val="-14"/>
        </w:rPr>
        <w:t xml:space="preserve"> </w:t>
      </w:r>
      <w:r w:rsidRPr="007D3144">
        <w:t>of</w:t>
      </w:r>
      <w:r w:rsidRPr="007D3144">
        <w:rPr>
          <w:spacing w:val="-12"/>
        </w:rPr>
        <w:t xml:space="preserve"> </w:t>
      </w:r>
      <w:r w:rsidRPr="007D3144">
        <w:t>Teachers of Mathematics, we are experienced in identifying effective channels to engage with specific</w:t>
      </w:r>
      <w:r w:rsidRPr="007D3144">
        <w:rPr>
          <w:spacing w:val="-4"/>
        </w:rPr>
        <w:t xml:space="preserve"> </w:t>
      </w:r>
      <w:r w:rsidRPr="007D3144">
        <w:t>target</w:t>
      </w:r>
      <w:r w:rsidRPr="007D3144">
        <w:rPr>
          <w:spacing w:val="-4"/>
        </w:rPr>
        <w:t xml:space="preserve"> </w:t>
      </w:r>
      <w:r w:rsidRPr="007D3144">
        <w:t>groups.</w:t>
      </w:r>
      <w:r w:rsidRPr="007D3144">
        <w:rPr>
          <w:spacing w:val="-6"/>
        </w:rPr>
        <w:t xml:space="preserve"> </w:t>
      </w:r>
      <w:r w:rsidRPr="007D3144">
        <w:t>Proposals</w:t>
      </w:r>
      <w:r w:rsidRPr="007D3144">
        <w:rPr>
          <w:spacing w:val="-4"/>
        </w:rPr>
        <w:t xml:space="preserve"> </w:t>
      </w:r>
      <w:r w:rsidRPr="007D3144">
        <w:t>at</w:t>
      </w:r>
      <w:r w:rsidRPr="007D3144">
        <w:rPr>
          <w:spacing w:val="-4"/>
        </w:rPr>
        <w:t xml:space="preserve"> </w:t>
      </w:r>
      <w:r w:rsidRPr="007D3144">
        <w:t>this</w:t>
      </w:r>
      <w:r w:rsidRPr="007D3144">
        <w:rPr>
          <w:spacing w:val="-4"/>
        </w:rPr>
        <w:t xml:space="preserve"> </w:t>
      </w:r>
      <w:r w:rsidRPr="007D3144">
        <w:t>stage</w:t>
      </w:r>
      <w:r w:rsidRPr="007D3144">
        <w:rPr>
          <w:spacing w:val="-6"/>
        </w:rPr>
        <w:t xml:space="preserve"> </w:t>
      </w:r>
      <w:r w:rsidRPr="007D3144">
        <w:t>will</w:t>
      </w:r>
      <w:r w:rsidRPr="007D3144">
        <w:rPr>
          <w:spacing w:val="-5"/>
        </w:rPr>
        <w:t xml:space="preserve"> </w:t>
      </w:r>
      <w:r w:rsidRPr="007D3144">
        <w:t>include</w:t>
      </w:r>
      <w:r w:rsidRPr="007D3144">
        <w:rPr>
          <w:spacing w:val="-4"/>
        </w:rPr>
        <w:t xml:space="preserve"> </w:t>
      </w:r>
      <w:r w:rsidRPr="007D3144">
        <w:t>large-scale,</w:t>
      </w:r>
      <w:r w:rsidRPr="007D3144">
        <w:rPr>
          <w:spacing w:val="-4"/>
        </w:rPr>
        <w:t xml:space="preserve"> </w:t>
      </w:r>
      <w:r w:rsidRPr="007D3144">
        <w:t>targeted</w:t>
      </w:r>
      <w:r w:rsidRPr="007D3144">
        <w:rPr>
          <w:spacing w:val="-4"/>
        </w:rPr>
        <w:t xml:space="preserve"> </w:t>
      </w:r>
      <w:r w:rsidRPr="007D3144">
        <w:t>media campaigns, community marketing, learning champions, and messaging based interventions (e.g. SMS/WhatsApp).</w:t>
      </w:r>
    </w:p>
    <w:p w14:paraId="1125BFF6" w14:textId="77777777" w:rsidR="004C7180" w:rsidRPr="00150EDC" w:rsidRDefault="00CF0754">
      <w:pPr>
        <w:spacing w:before="119"/>
        <w:ind w:left="1400"/>
        <w:jc w:val="both"/>
        <w:rPr>
          <w:b/>
          <w:sz w:val="24"/>
        </w:rPr>
      </w:pPr>
      <w:r w:rsidRPr="007D3144">
        <w:rPr>
          <w:b/>
          <w:sz w:val="24"/>
        </w:rPr>
        <w:t>Implementing</w:t>
      </w:r>
      <w:r w:rsidRPr="007D3144">
        <w:rPr>
          <w:b/>
          <w:spacing w:val="-6"/>
          <w:sz w:val="24"/>
        </w:rPr>
        <w:t xml:space="preserve"> </w:t>
      </w:r>
      <w:r w:rsidRPr="007D3144">
        <w:rPr>
          <w:b/>
          <w:sz w:val="24"/>
        </w:rPr>
        <w:t>randomised</w:t>
      </w:r>
      <w:r w:rsidRPr="007D3144">
        <w:rPr>
          <w:b/>
          <w:spacing w:val="-7"/>
          <w:sz w:val="24"/>
        </w:rPr>
        <w:t xml:space="preserve"> </w:t>
      </w:r>
      <w:r w:rsidRPr="007D3144">
        <w:rPr>
          <w:b/>
          <w:sz w:val="24"/>
        </w:rPr>
        <w:t>control</w:t>
      </w:r>
      <w:r w:rsidRPr="007D3144">
        <w:rPr>
          <w:b/>
          <w:spacing w:val="-3"/>
          <w:sz w:val="24"/>
        </w:rPr>
        <w:t xml:space="preserve"> </w:t>
      </w:r>
      <w:r w:rsidRPr="007D3144">
        <w:rPr>
          <w:b/>
          <w:sz w:val="24"/>
        </w:rPr>
        <w:t>trials</w:t>
      </w:r>
      <w:r w:rsidRPr="007D3144">
        <w:rPr>
          <w:b/>
          <w:spacing w:val="-4"/>
          <w:sz w:val="24"/>
        </w:rPr>
        <w:t xml:space="preserve"> </w:t>
      </w:r>
      <w:r w:rsidRPr="007D3144">
        <w:rPr>
          <w:b/>
          <w:spacing w:val="-2"/>
          <w:sz w:val="24"/>
        </w:rPr>
        <w:t>(RCTs)</w:t>
      </w:r>
    </w:p>
    <w:p w14:paraId="70420AEB" w14:textId="77777777" w:rsidR="004C7180" w:rsidRPr="00150EDC" w:rsidRDefault="00CF0754">
      <w:pPr>
        <w:pStyle w:val="BodyText"/>
        <w:spacing w:before="161" w:line="276" w:lineRule="auto"/>
        <w:ind w:left="1399" w:right="1433"/>
        <w:jc w:val="both"/>
      </w:pPr>
      <w:r w:rsidRPr="007D3144">
        <w:t>We recognise that the RCTs play a critical role within the Multiply theory of change, initially piloting promising products/approaches to improving adult numeracy, and building on the successful pilots to enable large-scale, high impact interventions. A core</w:t>
      </w:r>
      <w:r w:rsidRPr="007D3144">
        <w:rPr>
          <w:spacing w:val="-9"/>
        </w:rPr>
        <w:t xml:space="preserve"> </w:t>
      </w:r>
      <w:r w:rsidRPr="007D3144">
        <w:t>outcome</w:t>
      </w:r>
      <w:r w:rsidRPr="007D3144">
        <w:rPr>
          <w:spacing w:val="-12"/>
        </w:rPr>
        <w:t xml:space="preserve"> </w:t>
      </w:r>
      <w:r w:rsidRPr="007D3144">
        <w:t>of</w:t>
      </w:r>
      <w:r w:rsidRPr="007D3144">
        <w:rPr>
          <w:spacing w:val="-10"/>
        </w:rPr>
        <w:t xml:space="preserve"> </w:t>
      </w:r>
      <w:r w:rsidRPr="007D3144">
        <w:t>the</w:t>
      </w:r>
      <w:r w:rsidRPr="007D3144">
        <w:rPr>
          <w:spacing w:val="-9"/>
        </w:rPr>
        <w:t xml:space="preserve"> </w:t>
      </w:r>
      <w:r w:rsidRPr="007D3144">
        <w:t>initial</w:t>
      </w:r>
      <w:r w:rsidRPr="007D3144">
        <w:rPr>
          <w:spacing w:val="-11"/>
        </w:rPr>
        <w:t xml:space="preserve"> </w:t>
      </w:r>
      <w:r w:rsidRPr="007D3144">
        <w:t>trials</w:t>
      </w:r>
      <w:r w:rsidRPr="007D3144">
        <w:rPr>
          <w:spacing w:val="-10"/>
        </w:rPr>
        <w:t xml:space="preserve"> </w:t>
      </w:r>
      <w:r w:rsidRPr="007D3144">
        <w:t>will</w:t>
      </w:r>
      <w:r w:rsidRPr="007D3144">
        <w:rPr>
          <w:spacing w:val="-11"/>
        </w:rPr>
        <w:t xml:space="preserve"> </w:t>
      </w:r>
      <w:r w:rsidRPr="007D3144">
        <w:t>be</w:t>
      </w:r>
      <w:r w:rsidRPr="007D3144">
        <w:rPr>
          <w:spacing w:val="-9"/>
        </w:rPr>
        <w:t xml:space="preserve"> </w:t>
      </w:r>
      <w:r w:rsidRPr="007D3144">
        <w:t>to</w:t>
      </w:r>
      <w:r w:rsidRPr="007D3144">
        <w:rPr>
          <w:spacing w:val="-12"/>
        </w:rPr>
        <w:t xml:space="preserve"> </w:t>
      </w:r>
      <w:r w:rsidRPr="007D3144">
        <w:t>generate</w:t>
      </w:r>
      <w:r w:rsidRPr="007D3144">
        <w:rPr>
          <w:spacing w:val="-9"/>
        </w:rPr>
        <w:t xml:space="preserve"> </w:t>
      </w:r>
      <w:r w:rsidRPr="007D3144">
        <w:t>new,</w:t>
      </w:r>
      <w:r w:rsidRPr="007D3144">
        <w:rPr>
          <w:spacing w:val="-10"/>
        </w:rPr>
        <w:t xml:space="preserve"> </w:t>
      </w:r>
      <w:r w:rsidRPr="007D3144">
        <w:t>high-quality</w:t>
      </w:r>
      <w:r w:rsidRPr="007D3144">
        <w:rPr>
          <w:spacing w:val="-10"/>
        </w:rPr>
        <w:t xml:space="preserve"> </w:t>
      </w:r>
      <w:r w:rsidRPr="007D3144">
        <w:t>evidence</w:t>
      </w:r>
      <w:r w:rsidRPr="007D3144">
        <w:rPr>
          <w:spacing w:val="-9"/>
        </w:rPr>
        <w:t xml:space="preserve"> </w:t>
      </w:r>
      <w:r w:rsidRPr="007D3144">
        <w:t>on</w:t>
      </w:r>
      <w:r w:rsidRPr="007D3144">
        <w:rPr>
          <w:spacing w:val="-9"/>
        </w:rPr>
        <w:t xml:space="preserve"> </w:t>
      </w:r>
      <w:r w:rsidRPr="007D3144">
        <w:t>what works in adult numeracy, providing meaningful data to fill evidence</w:t>
      </w:r>
      <w:r w:rsidRPr="007D3144">
        <w:rPr>
          <w:spacing w:val="-1"/>
        </w:rPr>
        <w:t xml:space="preserve"> </w:t>
      </w:r>
      <w:r w:rsidRPr="007D3144">
        <w:t>gaps. This in turn will</w:t>
      </w:r>
      <w:r w:rsidRPr="007D3144">
        <w:rPr>
          <w:spacing w:val="-13"/>
        </w:rPr>
        <w:t xml:space="preserve"> </w:t>
      </w:r>
      <w:r w:rsidRPr="007D3144">
        <w:t>directly</w:t>
      </w:r>
      <w:r w:rsidRPr="007D3144">
        <w:rPr>
          <w:spacing w:val="-13"/>
        </w:rPr>
        <w:t xml:space="preserve"> </w:t>
      </w:r>
      <w:r w:rsidRPr="007D3144">
        <w:t>support</w:t>
      </w:r>
      <w:r w:rsidRPr="007D3144">
        <w:rPr>
          <w:spacing w:val="-12"/>
        </w:rPr>
        <w:t xml:space="preserve"> </w:t>
      </w:r>
      <w:r w:rsidRPr="007D3144">
        <w:t>Multiply</w:t>
      </w:r>
      <w:r w:rsidRPr="007D3144">
        <w:rPr>
          <w:spacing w:val="-13"/>
        </w:rPr>
        <w:t xml:space="preserve"> </w:t>
      </w:r>
      <w:r w:rsidRPr="007D3144">
        <w:t>delivery</w:t>
      </w:r>
      <w:r w:rsidRPr="007D3144">
        <w:rPr>
          <w:spacing w:val="-13"/>
        </w:rPr>
        <w:t xml:space="preserve"> </w:t>
      </w:r>
      <w:r w:rsidRPr="007D3144">
        <w:t>in</w:t>
      </w:r>
      <w:r w:rsidRPr="007D3144">
        <w:rPr>
          <w:spacing w:val="-12"/>
        </w:rPr>
        <w:t xml:space="preserve"> </w:t>
      </w:r>
      <w:r w:rsidRPr="007D3144">
        <w:t>local</w:t>
      </w:r>
      <w:r w:rsidRPr="007D3144">
        <w:rPr>
          <w:spacing w:val="-13"/>
        </w:rPr>
        <w:t xml:space="preserve"> </w:t>
      </w:r>
      <w:r w:rsidRPr="007D3144">
        <w:t>authorities</w:t>
      </w:r>
      <w:r w:rsidRPr="007D3144">
        <w:rPr>
          <w:spacing w:val="-13"/>
        </w:rPr>
        <w:t xml:space="preserve"> </w:t>
      </w:r>
      <w:r w:rsidRPr="007D3144">
        <w:t>improving</w:t>
      </w:r>
      <w:r w:rsidRPr="007D3144">
        <w:rPr>
          <w:spacing w:val="-12"/>
        </w:rPr>
        <w:t xml:space="preserve"> </w:t>
      </w:r>
      <w:r w:rsidRPr="007D3144">
        <w:t>its</w:t>
      </w:r>
      <w:r w:rsidRPr="007D3144">
        <w:rPr>
          <w:spacing w:val="-15"/>
        </w:rPr>
        <w:t xml:space="preserve"> </w:t>
      </w:r>
      <w:r w:rsidRPr="007D3144">
        <w:t>effectiveness</w:t>
      </w:r>
      <w:r w:rsidRPr="007D3144">
        <w:rPr>
          <w:spacing w:val="-15"/>
        </w:rPr>
        <w:t xml:space="preserve"> </w:t>
      </w:r>
      <w:r w:rsidRPr="007D3144">
        <w:t xml:space="preserve">and learner outcomes. Within the Tribal leadership team and Adult Numeracy Advisory Group we have direct experience of both designing RCT evaluations and </w:t>
      </w:r>
      <w:r w:rsidRPr="00150EDC">
        <w:t>implementing new pilot products evaluated via an RCT, including a £1m girls’ education 2-year RCT evaluated by IPA/J-PAL, and designing the pilot of the FCDO ‘What Works’ Hub for Global Education. We will apply this experience to ensure the objectives of the Multiply RCTs are achieved.</w:t>
      </w:r>
    </w:p>
    <w:p w14:paraId="30A9CF4F" w14:textId="77777777" w:rsidR="004C7180" w:rsidRPr="00150EDC" w:rsidRDefault="00CF0754">
      <w:pPr>
        <w:spacing w:before="120"/>
        <w:ind w:left="1400"/>
        <w:jc w:val="both"/>
        <w:rPr>
          <w:b/>
          <w:sz w:val="24"/>
        </w:rPr>
      </w:pPr>
      <w:r w:rsidRPr="007D3144">
        <w:rPr>
          <w:b/>
          <w:sz w:val="24"/>
        </w:rPr>
        <w:t>Effectively</w:t>
      </w:r>
      <w:r w:rsidRPr="007D3144">
        <w:rPr>
          <w:b/>
          <w:spacing w:val="-3"/>
          <w:sz w:val="24"/>
        </w:rPr>
        <w:t xml:space="preserve"> </w:t>
      </w:r>
      <w:r w:rsidRPr="007D3144">
        <w:rPr>
          <w:b/>
          <w:sz w:val="24"/>
        </w:rPr>
        <w:t>managing</w:t>
      </w:r>
      <w:r w:rsidRPr="007D3144">
        <w:rPr>
          <w:b/>
          <w:spacing w:val="-5"/>
          <w:sz w:val="24"/>
        </w:rPr>
        <w:t xml:space="preserve"> </w:t>
      </w:r>
      <w:r w:rsidRPr="007D3144">
        <w:rPr>
          <w:b/>
          <w:sz w:val="24"/>
        </w:rPr>
        <w:t>intervention</w:t>
      </w:r>
      <w:r w:rsidRPr="007D3144">
        <w:rPr>
          <w:b/>
          <w:spacing w:val="-3"/>
          <w:sz w:val="24"/>
        </w:rPr>
        <w:t xml:space="preserve"> </w:t>
      </w:r>
      <w:r w:rsidRPr="007D3144">
        <w:rPr>
          <w:b/>
          <w:spacing w:val="-2"/>
          <w:sz w:val="24"/>
        </w:rPr>
        <w:t>delivery</w:t>
      </w:r>
    </w:p>
    <w:p w14:paraId="7D82DFF0" w14:textId="77777777" w:rsidR="004C7180" w:rsidRPr="00150EDC" w:rsidRDefault="00CF0754">
      <w:pPr>
        <w:pStyle w:val="BodyText"/>
        <w:spacing w:before="161" w:line="276" w:lineRule="auto"/>
        <w:ind w:left="1400" w:right="1435"/>
        <w:jc w:val="both"/>
      </w:pPr>
      <w:r w:rsidRPr="007D3144">
        <w:t>Our team is experienced in managing large-scale intervention delivery for DfE. E.g., our capability in coordinating and quality assuring large volumes of downstream delivery</w:t>
      </w:r>
      <w:r w:rsidRPr="007D3144">
        <w:rPr>
          <w:spacing w:val="-17"/>
        </w:rPr>
        <w:t xml:space="preserve"> </w:t>
      </w:r>
      <w:r w:rsidRPr="007D3144">
        <w:t>providers</w:t>
      </w:r>
      <w:r w:rsidRPr="007D3144">
        <w:rPr>
          <w:spacing w:val="-17"/>
        </w:rPr>
        <w:t xml:space="preserve"> </w:t>
      </w:r>
      <w:r w:rsidRPr="007D3144">
        <w:t>is</w:t>
      </w:r>
      <w:r w:rsidRPr="007D3144">
        <w:rPr>
          <w:spacing w:val="-16"/>
        </w:rPr>
        <w:t xml:space="preserve"> </w:t>
      </w:r>
      <w:r w:rsidRPr="007D3144">
        <w:t>evidenced</w:t>
      </w:r>
      <w:r w:rsidRPr="007D3144">
        <w:rPr>
          <w:spacing w:val="-17"/>
        </w:rPr>
        <w:t xml:space="preserve"> </w:t>
      </w:r>
      <w:r w:rsidRPr="007D3144">
        <w:t>through</w:t>
      </w:r>
      <w:r w:rsidRPr="007D3144">
        <w:rPr>
          <w:spacing w:val="-17"/>
        </w:rPr>
        <w:t xml:space="preserve"> </w:t>
      </w:r>
      <w:r w:rsidRPr="007D3144">
        <w:t>NTP</w:t>
      </w:r>
      <w:r w:rsidRPr="007D3144">
        <w:rPr>
          <w:spacing w:val="-17"/>
        </w:rPr>
        <w:t xml:space="preserve"> </w:t>
      </w:r>
      <w:r w:rsidRPr="007D3144">
        <w:t>and</w:t>
      </w:r>
      <w:r w:rsidRPr="007D3144">
        <w:rPr>
          <w:spacing w:val="-16"/>
        </w:rPr>
        <w:t xml:space="preserve"> </w:t>
      </w:r>
      <w:r w:rsidRPr="007D3144">
        <w:t>NPQ</w:t>
      </w:r>
      <w:r w:rsidRPr="00150EDC">
        <w:t>,</w:t>
      </w:r>
      <w:r w:rsidRPr="00150EDC">
        <w:rPr>
          <w:spacing w:val="-17"/>
        </w:rPr>
        <w:t xml:space="preserve"> </w:t>
      </w:r>
      <w:r w:rsidRPr="00150EDC">
        <w:t>both</w:t>
      </w:r>
      <w:r w:rsidRPr="00150EDC">
        <w:rPr>
          <w:spacing w:val="-17"/>
        </w:rPr>
        <w:t xml:space="preserve"> </w:t>
      </w:r>
      <w:r w:rsidRPr="00150EDC">
        <w:t>of</w:t>
      </w:r>
      <w:r w:rsidRPr="00150EDC">
        <w:rPr>
          <w:spacing w:val="-16"/>
        </w:rPr>
        <w:t xml:space="preserve"> </w:t>
      </w:r>
      <w:r w:rsidRPr="00150EDC">
        <w:t>which</w:t>
      </w:r>
      <w:r w:rsidRPr="00150EDC">
        <w:rPr>
          <w:spacing w:val="-17"/>
        </w:rPr>
        <w:t xml:space="preserve"> </w:t>
      </w:r>
      <w:r w:rsidRPr="00150EDC">
        <w:t>raise</w:t>
      </w:r>
      <w:r w:rsidRPr="00150EDC">
        <w:rPr>
          <w:spacing w:val="-17"/>
        </w:rPr>
        <w:t xml:space="preserve"> </w:t>
      </w:r>
      <w:r w:rsidRPr="00150EDC">
        <w:t>the</w:t>
      </w:r>
      <w:r w:rsidRPr="00150EDC">
        <w:rPr>
          <w:spacing w:val="-16"/>
        </w:rPr>
        <w:t xml:space="preserve"> </w:t>
      </w:r>
      <w:r w:rsidRPr="00150EDC">
        <w:t xml:space="preserve">learning quality delivered by providers to learners. Our role within </w:t>
      </w:r>
      <w:r w:rsidRPr="007D3144">
        <w:t xml:space="preserve">NTP </w:t>
      </w:r>
      <w:r w:rsidRPr="00150EDC">
        <w:t>includes:</w:t>
      </w:r>
    </w:p>
    <w:p w14:paraId="20D5FD04" w14:textId="77777777" w:rsidR="004C7180" w:rsidRPr="00150EDC" w:rsidRDefault="00CF0754" w:rsidP="00B320C7">
      <w:pPr>
        <w:pStyle w:val="ListParagraph"/>
        <w:numPr>
          <w:ilvl w:val="0"/>
          <w:numId w:val="81"/>
        </w:numPr>
        <w:tabs>
          <w:tab w:val="left" w:pos="2119"/>
        </w:tabs>
        <w:spacing w:before="120"/>
        <w:ind w:left="2119" w:hanging="359"/>
        <w:jc w:val="both"/>
        <w:rPr>
          <w:sz w:val="24"/>
        </w:rPr>
      </w:pPr>
      <w:r w:rsidRPr="00150EDC">
        <w:rPr>
          <w:sz w:val="24"/>
        </w:rPr>
        <w:t>Developing</w:t>
      </w:r>
      <w:r w:rsidRPr="00150EDC">
        <w:rPr>
          <w:spacing w:val="-3"/>
          <w:sz w:val="24"/>
        </w:rPr>
        <w:t xml:space="preserve"> </w:t>
      </w:r>
      <w:r w:rsidRPr="00150EDC">
        <w:rPr>
          <w:sz w:val="24"/>
        </w:rPr>
        <w:t>and</w:t>
      </w:r>
      <w:r w:rsidRPr="00150EDC">
        <w:rPr>
          <w:spacing w:val="-4"/>
          <w:sz w:val="24"/>
        </w:rPr>
        <w:t xml:space="preserve"> </w:t>
      </w:r>
      <w:r w:rsidRPr="00150EDC">
        <w:rPr>
          <w:sz w:val="24"/>
        </w:rPr>
        <w:t>agreeing</w:t>
      </w:r>
      <w:r w:rsidRPr="00150EDC">
        <w:rPr>
          <w:spacing w:val="-3"/>
          <w:sz w:val="24"/>
        </w:rPr>
        <w:t xml:space="preserve"> </w:t>
      </w:r>
      <w:r w:rsidRPr="00150EDC">
        <w:rPr>
          <w:sz w:val="24"/>
        </w:rPr>
        <w:t>quality</w:t>
      </w:r>
      <w:r w:rsidRPr="00150EDC">
        <w:rPr>
          <w:spacing w:val="-4"/>
          <w:sz w:val="24"/>
        </w:rPr>
        <w:t xml:space="preserve"> </w:t>
      </w:r>
      <w:r w:rsidRPr="00150EDC">
        <w:rPr>
          <w:sz w:val="24"/>
        </w:rPr>
        <w:t>criteria</w:t>
      </w:r>
      <w:r w:rsidRPr="00150EDC">
        <w:rPr>
          <w:spacing w:val="-2"/>
          <w:sz w:val="24"/>
        </w:rPr>
        <w:t xml:space="preserve"> </w:t>
      </w:r>
      <w:r w:rsidRPr="00150EDC">
        <w:rPr>
          <w:sz w:val="24"/>
        </w:rPr>
        <w:t>for</w:t>
      </w:r>
      <w:r w:rsidRPr="00150EDC">
        <w:rPr>
          <w:spacing w:val="-4"/>
          <w:sz w:val="24"/>
        </w:rPr>
        <w:t xml:space="preserve"> </w:t>
      </w:r>
      <w:r w:rsidRPr="00150EDC">
        <w:rPr>
          <w:spacing w:val="-5"/>
          <w:sz w:val="24"/>
        </w:rPr>
        <w:t>TPs</w:t>
      </w:r>
    </w:p>
    <w:p w14:paraId="4C583B9F" w14:textId="77777777" w:rsidR="004C7180" w:rsidRPr="00150EDC" w:rsidRDefault="00CF0754" w:rsidP="00B320C7">
      <w:pPr>
        <w:pStyle w:val="ListParagraph"/>
        <w:numPr>
          <w:ilvl w:val="0"/>
          <w:numId w:val="81"/>
        </w:numPr>
        <w:tabs>
          <w:tab w:val="left" w:pos="2119"/>
        </w:tabs>
        <w:spacing w:before="43"/>
        <w:ind w:left="2119" w:hanging="359"/>
        <w:jc w:val="both"/>
        <w:rPr>
          <w:sz w:val="24"/>
        </w:rPr>
      </w:pPr>
      <w:r w:rsidRPr="00150EDC">
        <w:rPr>
          <w:sz w:val="24"/>
        </w:rPr>
        <w:t>Designing/implementing</w:t>
      </w:r>
      <w:r w:rsidRPr="00150EDC">
        <w:rPr>
          <w:spacing w:val="-2"/>
          <w:sz w:val="24"/>
        </w:rPr>
        <w:t xml:space="preserve"> </w:t>
      </w:r>
      <w:r w:rsidRPr="00150EDC">
        <w:rPr>
          <w:sz w:val="24"/>
        </w:rPr>
        <w:t>process</w:t>
      </w:r>
      <w:r w:rsidRPr="00150EDC">
        <w:rPr>
          <w:spacing w:val="-4"/>
          <w:sz w:val="24"/>
        </w:rPr>
        <w:t xml:space="preserve"> </w:t>
      </w:r>
      <w:r w:rsidRPr="00150EDC">
        <w:rPr>
          <w:sz w:val="24"/>
        </w:rPr>
        <w:t>for</w:t>
      </w:r>
      <w:r w:rsidRPr="00150EDC">
        <w:rPr>
          <w:spacing w:val="-5"/>
          <w:sz w:val="24"/>
        </w:rPr>
        <w:t xml:space="preserve"> </w:t>
      </w:r>
      <w:r w:rsidRPr="00150EDC">
        <w:rPr>
          <w:sz w:val="24"/>
        </w:rPr>
        <w:t>ongoing</w:t>
      </w:r>
      <w:r w:rsidRPr="00150EDC">
        <w:rPr>
          <w:spacing w:val="-4"/>
          <w:sz w:val="24"/>
        </w:rPr>
        <w:t xml:space="preserve"> </w:t>
      </w:r>
      <w:r w:rsidRPr="00150EDC">
        <w:rPr>
          <w:sz w:val="24"/>
        </w:rPr>
        <w:t>quality</w:t>
      </w:r>
      <w:r w:rsidRPr="00150EDC">
        <w:rPr>
          <w:spacing w:val="-4"/>
          <w:sz w:val="24"/>
        </w:rPr>
        <w:t xml:space="preserve"> </w:t>
      </w:r>
      <w:r w:rsidRPr="00150EDC">
        <w:rPr>
          <w:sz w:val="24"/>
        </w:rPr>
        <w:t>assurance</w:t>
      </w:r>
      <w:r w:rsidRPr="00150EDC">
        <w:rPr>
          <w:spacing w:val="-1"/>
          <w:sz w:val="24"/>
        </w:rPr>
        <w:t xml:space="preserve"> </w:t>
      </w:r>
      <w:r w:rsidRPr="00150EDC">
        <w:rPr>
          <w:sz w:val="24"/>
        </w:rPr>
        <w:t>of</w:t>
      </w:r>
      <w:r w:rsidRPr="00150EDC">
        <w:rPr>
          <w:spacing w:val="-2"/>
          <w:sz w:val="24"/>
        </w:rPr>
        <w:t xml:space="preserve"> </w:t>
      </w:r>
      <w:r w:rsidRPr="00150EDC">
        <w:rPr>
          <w:sz w:val="24"/>
        </w:rPr>
        <w:t>all</w:t>
      </w:r>
      <w:r w:rsidRPr="00150EDC">
        <w:rPr>
          <w:spacing w:val="-5"/>
          <w:sz w:val="24"/>
        </w:rPr>
        <w:t xml:space="preserve"> </w:t>
      </w:r>
      <w:r w:rsidRPr="00150EDC">
        <w:rPr>
          <w:sz w:val="24"/>
        </w:rPr>
        <w:t>68</w:t>
      </w:r>
      <w:r w:rsidRPr="00150EDC">
        <w:rPr>
          <w:spacing w:val="-1"/>
          <w:sz w:val="24"/>
        </w:rPr>
        <w:t xml:space="preserve"> </w:t>
      </w:r>
      <w:r w:rsidRPr="00150EDC">
        <w:rPr>
          <w:spacing w:val="-5"/>
          <w:sz w:val="24"/>
        </w:rPr>
        <w:t>TPs</w:t>
      </w:r>
    </w:p>
    <w:p w14:paraId="6FF4334D" w14:textId="77777777" w:rsidR="004C7180" w:rsidRPr="00150EDC" w:rsidRDefault="00CF0754" w:rsidP="00B320C7">
      <w:pPr>
        <w:pStyle w:val="ListParagraph"/>
        <w:numPr>
          <w:ilvl w:val="0"/>
          <w:numId w:val="81"/>
        </w:numPr>
        <w:tabs>
          <w:tab w:val="left" w:pos="2120"/>
        </w:tabs>
        <w:spacing w:before="41" w:line="276" w:lineRule="auto"/>
        <w:ind w:right="1435"/>
        <w:jc w:val="both"/>
        <w:rPr>
          <w:sz w:val="24"/>
        </w:rPr>
      </w:pPr>
      <w:r w:rsidRPr="00150EDC">
        <w:rPr>
          <w:sz w:val="24"/>
        </w:rPr>
        <w:t>Designing/implementing application</w:t>
      </w:r>
      <w:r w:rsidRPr="00150EDC">
        <w:rPr>
          <w:spacing w:val="-2"/>
          <w:sz w:val="24"/>
        </w:rPr>
        <w:t xml:space="preserve"> </w:t>
      </w:r>
      <w:r w:rsidRPr="00150EDC">
        <w:rPr>
          <w:sz w:val="24"/>
        </w:rPr>
        <w:t>and admission process enabling</w:t>
      </w:r>
      <w:r w:rsidRPr="00150EDC">
        <w:rPr>
          <w:spacing w:val="-2"/>
          <w:sz w:val="24"/>
        </w:rPr>
        <w:t xml:space="preserve"> </w:t>
      </w:r>
      <w:r w:rsidRPr="00150EDC">
        <w:rPr>
          <w:sz w:val="24"/>
        </w:rPr>
        <w:t>new</w:t>
      </w:r>
      <w:r w:rsidRPr="00150EDC">
        <w:rPr>
          <w:spacing w:val="-1"/>
          <w:sz w:val="24"/>
        </w:rPr>
        <w:t xml:space="preserve"> </w:t>
      </w:r>
      <w:r w:rsidRPr="00150EDC">
        <w:rPr>
          <w:sz w:val="24"/>
        </w:rPr>
        <w:t xml:space="preserve">TPs </w:t>
      </w:r>
      <w:r w:rsidRPr="00150EDC">
        <w:rPr>
          <w:spacing w:val="-2"/>
          <w:sz w:val="24"/>
        </w:rPr>
        <w:t>registration</w:t>
      </w:r>
    </w:p>
    <w:p w14:paraId="06610A6F" w14:textId="77777777" w:rsidR="004C7180" w:rsidRPr="00150EDC" w:rsidRDefault="00CF0754" w:rsidP="00B320C7">
      <w:pPr>
        <w:pStyle w:val="ListParagraph"/>
        <w:numPr>
          <w:ilvl w:val="0"/>
          <w:numId w:val="81"/>
        </w:numPr>
        <w:tabs>
          <w:tab w:val="left" w:pos="2120"/>
        </w:tabs>
        <w:spacing w:line="276" w:lineRule="auto"/>
        <w:ind w:right="1436"/>
        <w:jc w:val="both"/>
        <w:rPr>
          <w:sz w:val="24"/>
        </w:rPr>
      </w:pPr>
      <w:r w:rsidRPr="00150EDC">
        <w:rPr>
          <w:sz w:val="24"/>
        </w:rPr>
        <w:t>Designing/managing</w:t>
      </w:r>
      <w:r w:rsidRPr="00150EDC">
        <w:rPr>
          <w:spacing w:val="-6"/>
          <w:sz w:val="24"/>
        </w:rPr>
        <w:t xml:space="preserve"> </w:t>
      </w:r>
      <w:r w:rsidRPr="00150EDC">
        <w:rPr>
          <w:sz w:val="24"/>
        </w:rPr>
        <w:t>online</w:t>
      </w:r>
      <w:r w:rsidRPr="00150EDC">
        <w:rPr>
          <w:spacing w:val="-6"/>
          <w:sz w:val="24"/>
        </w:rPr>
        <w:t xml:space="preserve"> </w:t>
      </w:r>
      <w:r w:rsidRPr="00150EDC">
        <w:rPr>
          <w:sz w:val="24"/>
        </w:rPr>
        <w:t>portal</w:t>
      </w:r>
      <w:r w:rsidRPr="00150EDC">
        <w:rPr>
          <w:spacing w:val="-8"/>
          <w:sz w:val="24"/>
        </w:rPr>
        <w:t xml:space="preserve"> </w:t>
      </w:r>
      <w:r w:rsidRPr="00150EDC">
        <w:rPr>
          <w:sz w:val="24"/>
        </w:rPr>
        <w:t>through</w:t>
      </w:r>
      <w:r w:rsidRPr="00150EDC">
        <w:rPr>
          <w:spacing w:val="-6"/>
          <w:sz w:val="24"/>
        </w:rPr>
        <w:t xml:space="preserve"> </w:t>
      </w:r>
      <w:r w:rsidRPr="00150EDC">
        <w:rPr>
          <w:sz w:val="24"/>
        </w:rPr>
        <w:t>which</w:t>
      </w:r>
      <w:r w:rsidRPr="00150EDC">
        <w:rPr>
          <w:spacing w:val="-4"/>
          <w:sz w:val="24"/>
        </w:rPr>
        <w:t xml:space="preserve"> </w:t>
      </w:r>
      <w:r w:rsidRPr="00150EDC">
        <w:rPr>
          <w:sz w:val="24"/>
        </w:rPr>
        <w:t>organisations</w:t>
      </w:r>
      <w:r w:rsidRPr="00150EDC">
        <w:rPr>
          <w:spacing w:val="-5"/>
          <w:sz w:val="24"/>
        </w:rPr>
        <w:t xml:space="preserve"> </w:t>
      </w:r>
      <w:r w:rsidRPr="00150EDC">
        <w:rPr>
          <w:sz w:val="24"/>
        </w:rPr>
        <w:t>submit</w:t>
      </w:r>
      <w:r w:rsidRPr="00150EDC">
        <w:rPr>
          <w:spacing w:val="-4"/>
          <w:sz w:val="24"/>
        </w:rPr>
        <w:t xml:space="preserve"> </w:t>
      </w:r>
      <w:r w:rsidRPr="00150EDC">
        <w:rPr>
          <w:sz w:val="24"/>
        </w:rPr>
        <w:t>ongoing programme data</w:t>
      </w:r>
    </w:p>
    <w:p w14:paraId="53DA08BC" w14:textId="77777777" w:rsidR="004C7180" w:rsidRPr="00150EDC" w:rsidRDefault="004C7180">
      <w:pPr>
        <w:spacing w:line="276" w:lineRule="auto"/>
        <w:jc w:val="both"/>
        <w:rPr>
          <w:sz w:val="24"/>
        </w:rPr>
        <w:sectPr w:rsidR="004C7180" w:rsidRPr="00150EDC">
          <w:pgSz w:w="11910" w:h="16840"/>
          <w:pgMar w:top="1460" w:right="0" w:bottom="1420" w:left="40" w:header="712" w:footer="1224" w:gutter="0"/>
          <w:cols w:space="720"/>
        </w:sectPr>
      </w:pPr>
    </w:p>
    <w:p w14:paraId="6E8DE7EA" w14:textId="77777777" w:rsidR="004C7180" w:rsidRPr="00150EDC" w:rsidRDefault="004C7180">
      <w:pPr>
        <w:pStyle w:val="BodyText"/>
        <w:spacing w:before="4"/>
        <w:rPr>
          <w:sz w:val="18"/>
        </w:rPr>
      </w:pPr>
    </w:p>
    <w:p w14:paraId="5506F11F" w14:textId="77777777" w:rsidR="004C7180" w:rsidRPr="00150EDC" w:rsidRDefault="00CF0754" w:rsidP="00B320C7">
      <w:pPr>
        <w:pStyle w:val="ListParagraph"/>
        <w:numPr>
          <w:ilvl w:val="0"/>
          <w:numId w:val="81"/>
        </w:numPr>
        <w:tabs>
          <w:tab w:val="left" w:pos="2120"/>
        </w:tabs>
        <w:spacing w:before="93" w:line="276" w:lineRule="auto"/>
        <w:ind w:right="1434"/>
        <w:rPr>
          <w:sz w:val="24"/>
        </w:rPr>
      </w:pPr>
      <w:r w:rsidRPr="00150EDC">
        <w:rPr>
          <w:sz w:val="24"/>
        </w:rPr>
        <w:t>Designing/implementing</w:t>
      </w:r>
      <w:r w:rsidRPr="00150EDC">
        <w:rPr>
          <w:spacing w:val="40"/>
          <w:sz w:val="24"/>
        </w:rPr>
        <w:t xml:space="preserve"> </w:t>
      </w:r>
      <w:r w:rsidRPr="00150EDC">
        <w:rPr>
          <w:sz w:val="24"/>
        </w:rPr>
        <w:t>process</w:t>
      </w:r>
      <w:r w:rsidRPr="00150EDC">
        <w:rPr>
          <w:spacing w:val="40"/>
          <w:sz w:val="24"/>
        </w:rPr>
        <w:t xml:space="preserve"> </w:t>
      </w:r>
      <w:r w:rsidRPr="00150EDC">
        <w:rPr>
          <w:sz w:val="24"/>
        </w:rPr>
        <w:t>for</w:t>
      </w:r>
      <w:r w:rsidRPr="00150EDC">
        <w:rPr>
          <w:spacing w:val="40"/>
          <w:sz w:val="24"/>
        </w:rPr>
        <w:t xml:space="preserve"> </w:t>
      </w:r>
      <w:r w:rsidRPr="00150EDC">
        <w:rPr>
          <w:sz w:val="24"/>
        </w:rPr>
        <w:t>underperforming</w:t>
      </w:r>
      <w:r w:rsidRPr="00150EDC">
        <w:rPr>
          <w:spacing w:val="40"/>
          <w:sz w:val="24"/>
        </w:rPr>
        <w:t xml:space="preserve"> </w:t>
      </w:r>
      <w:r w:rsidRPr="00150EDC">
        <w:rPr>
          <w:sz w:val="24"/>
        </w:rPr>
        <w:t>TP</w:t>
      </w:r>
      <w:r w:rsidRPr="00150EDC">
        <w:rPr>
          <w:spacing w:val="40"/>
          <w:sz w:val="24"/>
        </w:rPr>
        <w:t xml:space="preserve"> </w:t>
      </w:r>
      <w:r w:rsidRPr="00150EDC">
        <w:rPr>
          <w:sz w:val="24"/>
        </w:rPr>
        <w:t>identification</w:t>
      </w:r>
      <w:r w:rsidRPr="00150EDC">
        <w:rPr>
          <w:spacing w:val="40"/>
          <w:sz w:val="24"/>
        </w:rPr>
        <w:t xml:space="preserve"> </w:t>
      </w:r>
      <w:r w:rsidRPr="00150EDC">
        <w:rPr>
          <w:sz w:val="24"/>
        </w:rPr>
        <w:t xml:space="preserve">and </w:t>
      </w:r>
      <w:r w:rsidRPr="00150EDC">
        <w:rPr>
          <w:spacing w:val="-2"/>
          <w:sz w:val="24"/>
        </w:rPr>
        <w:t>mitigation</w:t>
      </w:r>
    </w:p>
    <w:p w14:paraId="065D0882" w14:textId="77777777" w:rsidR="004C7180" w:rsidRPr="00150EDC" w:rsidRDefault="00CF0754" w:rsidP="00B320C7">
      <w:pPr>
        <w:pStyle w:val="ListParagraph"/>
        <w:numPr>
          <w:ilvl w:val="0"/>
          <w:numId w:val="81"/>
        </w:numPr>
        <w:tabs>
          <w:tab w:val="left" w:pos="2119"/>
        </w:tabs>
        <w:spacing w:line="275" w:lineRule="exact"/>
        <w:ind w:left="2119" w:hanging="359"/>
        <w:rPr>
          <w:sz w:val="24"/>
        </w:rPr>
      </w:pPr>
      <w:r w:rsidRPr="00150EDC">
        <w:rPr>
          <w:sz w:val="24"/>
        </w:rPr>
        <w:t>Providing</w:t>
      </w:r>
      <w:r w:rsidRPr="00150EDC">
        <w:rPr>
          <w:spacing w:val="-4"/>
          <w:sz w:val="24"/>
        </w:rPr>
        <w:t xml:space="preserve"> </w:t>
      </w:r>
      <w:r w:rsidRPr="00150EDC">
        <w:rPr>
          <w:sz w:val="24"/>
        </w:rPr>
        <w:t>relevant</w:t>
      </w:r>
      <w:r w:rsidRPr="00150EDC">
        <w:rPr>
          <w:spacing w:val="-4"/>
          <w:sz w:val="24"/>
        </w:rPr>
        <w:t xml:space="preserve"> </w:t>
      </w:r>
      <w:r w:rsidRPr="00150EDC">
        <w:rPr>
          <w:sz w:val="24"/>
        </w:rPr>
        <w:t>management</w:t>
      </w:r>
      <w:r w:rsidRPr="00150EDC">
        <w:rPr>
          <w:spacing w:val="-2"/>
          <w:sz w:val="24"/>
        </w:rPr>
        <w:t xml:space="preserve"> </w:t>
      </w:r>
      <w:r w:rsidRPr="00150EDC">
        <w:rPr>
          <w:sz w:val="24"/>
        </w:rPr>
        <w:t>information</w:t>
      </w:r>
      <w:r w:rsidRPr="00150EDC">
        <w:rPr>
          <w:spacing w:val="-3"/>
          <w:sz w:val="24"/>
        </w:rPr>
        <w:t xml:space="preserve"> </w:t>
      </w:r>
      <w:r w:rsidRPr="00150EDC">
        <w:rPr>
          <w:sz w:val="24"/>
        </w:rPr>
        <w:t>to</w:t>
      </w:r>
      <w:r w:rsidRPr="00150EDC">
        <w:rPr>
          <w:spacing w:val="-3"/>
          <w:sz w:val="24"/>
        </w:rPr>
        <w:t xml:space="preserve"> </w:t>
      </w:r>
      <w:r w:rsidRPr="00150EDC">
        <w:rPr>
          <w:sz w:val="24"/>
        </w:rPr>
        <w:t>DfE</w:t>
      </w:r>
      <w:r w:rsidRPr="00150EDC">
        <w:rPr>
          <w:spacing w:val="-2"/>
          <w:sz w:val="24"/>
        </w:rPr>
        <w:t xml:space="preserve"> </w:t>
      </w:r>
      <w:r w:rsidRPr="00150EDC">
        <w:rPr>
          <w:sz w:val="24"/>
        </w:rPr>
        <w:t>and</w:t>
      </w:r>
      <w:r w:rsidRPr="00150EDC">
        <w:rPr>
          <w:spacing w:val="-1"/>
          <w:sz w:val="24"/>
        </w:rPr>
        <w:t xml:space="preserve"> </w:t>
      </w:r>
      <w:r w:rsidRPr="00150EDC">
        <w:rPr>
          <w:sz w:val="24"/>
        </w:rPr>
        <w:t>other</w:t>
      </w:r>
      <w:r w:rsidRPr="00150EDC">
        <w:rPr>
          <w:spacing w:val="-3"/>
          <w:sz w:val="24"/>
        </w:rPr>
        <w:t xml:space="preserve"> </w:t>
      </w:r>
      <w:r w:rsidRPr="00150EDC">
        <w:rPr>
          <w:spacing w:val="-2"/>
          <w:sz w:val="24"/>
        </w:rPr>
        <w:t>stakeholders</w:t>
      </w:r>
    </w:p>
    <w:p w14:paraId="3A1C1953" w14:textId="77777777" w:rsidR="004C7180" w:rsidRPr="00150EDC" w:rsidRDefault="004C7180">
      <w:pPr>
        <w:pStyle w:val="BodyText"/>
        <w:rPr>
          <w:sz w:val="26"/>
        </w:rPr>
      </w:pPr>
    </w:p>
    <w:p w14:paraId="63046489" w14:textId="77777777" w:rsidR="004C7180" w:rsidRPr="00150EDC" w:rsidRDefault="00CF0754">
      <w:pPr>
        <w:spacing w:before="171"/>
        <w:ind w:left="1400"/>
        <w:jc w:val="both"/>
        <w:rPr>
          <w:b/>
          <w:sz w:val="24"/>
        </w:rPr>
      </w:pPr>
      <w:r w:rsidRPr="007D3144">
        <w:rPr>
          <w:b/>
          <w:sz w:val="24"/>
        </w:rPr>
        <w:t>Effective</w:t>
      </w:r>
      <w:r w:rsidRPr="007D3144">
        <w:rPr>
          <w:b/>
          <w:spacing w:val="-3"/>
          <w:sz w:val="24"/>
        </w:rPr>
        <w:t xml:space="preserve"> </w:t>
      </w:r>
      <w:r w:rsidRPr="007D3144">
        <w:rPr>
          <w:b/>
          <w:sz w:val="24"/>
        </w:rPr>
        <w:t>fund</w:t>
      </w:r>
      <w:r w:rsidRPr="007D3144">
        <w:rPr>
          <w:b/>
          <w:spacing w:val="-2"/>
          <w:sz w:val="24"/>
        </w:rPr>
        <w:t xml:space="preserve"> distribution</w:t>
      </w:r>
    </w:p>
    <w:p w14:paraId="3A91BE60" w14:textId="77777777" w:rsidR="004C7180" w:rsidRPr="00150EDC" w:rsidRDefault="00CF0754">
      <w:pPr>
        <w:pStyle w:val="BodyText"/>
        <w:spacing w:before="161" w:line="276" w:lineRule="auto"/>
        <w:ind w:left="1400" w:right="1433"/>
        <w:jc w:val="both"/>
      </w:pPr>
      <w:r w:rsidRPr="00150EDC">
        <w:t xml:space="preserve">We have extensive experience in fund distribution and payment processing. E.g. through </w:t>
      </w:r>
      <w:r w:rsidRPr="007D3144">
        <w:t xml:space="preserve">NCETM </w:t>
      </w:r>
      <w:r w:rsidRPr="00150EDC">
        <w:t>Maths Hub Network Fund (MHNF) we were responsible for distributing £1,151,934 in 2021/22 AY for:</w:t>
      </w:r>
    </w:p>
    <w:p w14:paraId="04414437" w14:textId="77777777" w:rsidR="004C7180" w:rsidRPr="00150EDC" w:rsidRDefault="00CF0754" w:rsidP="00B320C7">
      <w:pPr>
        <w:pStyle w:val="ListParagraph"/>
        <w:numPr>
          <w:ilvl w:val="1"/>
          <w:numId w:val="81"/>
        </w:numPr>
        <w:tabs>
          <w:tab w:val="left" w:pos="2120"/>
        </w:tabs>
        <w:spacing w:before="121" w:line="276" w:lineRule="auto"/>
        <w:ind w:right="1435"/>
        <w:rPr>
          <w:sz w:val="24"/>
        </w:rPr>
      </w:pPr>
      <w:r w:rsidRPr="00150EDC">
        <w:rPr>
          <w:sz w:val="24"/>
        </w:rPr>
        <w:t>Staffing salaries (primary and secondary</w:t>
      </w:r>
      <w:r w:rsidRPr="00150EDC">
        <w:rPr>
          <w:spacing w:val="-2"/>
          <w:sz w:val="24"/>
        </w:rPr>
        <w:t xml:space="preserve"> </w:t>
      </w:r>
      <w:r w:rsidRPr="00150EDC">
        <w:rPr>
          <w:sz w:val="24"/>
        </w:rPr>
        <w:t>leads and</w:t>
      </w:r>
      <w:r w:rsidRPr="00150EDC">
        <w:rPr>
          <w:spacing w:val="-2"/>
          <w:sz w:val="24"/>
        </w:rPr>
        <w:t xml:space="preserve"> </w:t>
      </w:r>
      <w:r w:rsidRPr="00150EDC">
        <w:rPr>
          <w:sz w:val="24"/>
        </w:rPr>
        <w:t>an</w:t>
      </w:r>
      <w:r w:rsidRPr="00150EDC">
        <w:rPr>
          <w:spacing w:val="-2"/>
          <w:sz w:val="24"/>
        </w:rPr>
        <w:t xml:space="preserve"> </w:t>
      </w:r>
      <w:r w:rsidRPr="00150EDC">
        <w:rPr>
          <w:sz w:val="24"/>
        </w:rPr>
        <w:t>administrative function) for 40 providers</w:t>
      </w:r>
    </w:p>
    <w:p w14:paraId="56E2B591" w14:textId="77777777" w:rsidR="004C7180" w:rsidRPr="00150EDC" w:rsidRDefault="00CF0754" w:rsidP="00B320C7">
      <w:pPr>
        <w:pStyle w:val="ListParagraph"/>
        <w:numPr>
          <w:ilvl w:val="1"/>
          <w:numId w:val="81"/>
        </w:numPr>
        <w:tabs>
          <w:tab w:val="left" w:pos="2119"/>
        </w:tabs>
        <w:spacing w:line="275" w:lineRule="exact"/>
        <w:ind w:left="2119" w:hanging="359"/>
        <w:rPr>
          <w:sz w:val="24"/>
        </w:rPr>
      </w:pPr>
      <w:r w:rsidRPr="00150EDC">
        <w:rPr>
          <w:sz w:val="24"/>
        </w:rPr>
        <w:t>Costs</w:t>
      </w:r>
      <w:r w:rsidRPr="00150EDC">
        <w:rPr>
          <w:spacing w:val="-4"/>
          <w:sz w:val="24"/>
        </w:rPr>
        <w:t xml:space="preserve"> </w:t>
      </w:r>
      <w:r w:rsidRPr="00150EDC">
        <w:rPr>
          <w:sz w:val="24"/>
        </w:rPr>
        <w:t>related</w:t>
      </w:r>
      <w:r w:rsidRPr="00150EDC">
        <w:rPr>
          <w:spacing w:val="-2"/>
          <w:sz w:val="24"/>
        </w:rPr>
        <w:t xml:space="preserve"> </w:t>
      </w:r>
      <w:r w:rsidRPr="00150EDC">
        <w:rPr>
          <w:sz w:val="24"/>
        </w:rPr>
        <w:t>to</w:t>
      </w:r>
      <w:r w:rsidRPr="00150EDC">
        <w:rPr>
          <w:spacing w:val="-3"/>
          <w:sz w:val="24"/>
        </w:rPr>
        <w:t xml:space="preserve"> </w:t>
      </w:r>
      <w:r w:rsidRPr="00150EDC">
        <w:rPr>
          <w:sz w:val="24"/>
        </w:rPr>
        <w:t>each</w:t>
      </w:r>
      <w:r w:rsidRPr="00150EDC">
        <w:rPr>
          <w:spacing w:val="-5"/>
          <w:sz w:val="24"/>
        </w:rPr>
        <w:t xml:space="preserve"> </w:t>
      </w:r>
      <w:r w:rsidRPr="00150EDC">
        <w:rPr>
          <w:sz w:val="24"/>
        </w:rPr>
        <w:t>providers’</w:t>
      </w:r>
      <w:r w:rsidRPr="00150EDC">
        <w:rPr>
          <w:spacing w:val="-3"/>
          <w:sz w:val="24"/>
        </w:rPr>
        <w:t xml:space="preserve"> </w:t>
      </w:r>
      <w:r w:rsidRPr="00150EDC">
        <w:rPr>
          <w:sz w:val="24"/>
        </w:rPr>
        <w:t>agreed</w:t>
      </w:r>
      <w:r w:rsidRPr="00150EDC">
        <w:rPr>
          <w:spacing w:val="-2"/>
          <w:sz w:val="24"/>
        </w:rPr>
        <w:t xml:space="preserve"> </w:t>
      </w:r>
      <w:r w:rsidRPr="00150EDC">
        <w:rPr>
          <w:sz w:val="24"/>
        </w:rPr>
        <w:t>reach</w:t>
      </w:r>
      <w:r w:rsidRPr="00150EDC">
        <w:rPr>
          <w:spacing w:val="-3"/>
          <w:sz w:val="24"/>
        </w:rPr>
        <w:t xml:space="preserve"> </w:t>
      </w:r>
      <w:r w:rsidRPr="00150EDC">
        <w:rPr>
          <w:sz w:val="24"/>
        </w:rPr>
        <w:t>and</w:t>
      </w:r>
      <w:r w:rsidRPr="00150EDC">
        <w:rPr>
          <w:spacing w:val="-2"/>
          <w:sz w:val="24"/>
        </w:rPr>
        <w:t xml:space="preserve"> </w:t>
      </w:r>
      <w:r w:rsidRPr="00150EDC">
        <w:rPr>
          <w:sz w:val="24"/>
        </w:rPr>
        <w:t>engagement</w:t>
      </w:r>
      <w:r w:rsidRPr="00150EDC">
        <w:rPr>
          <w:spacing w:val="-2"/>
          <w:sz w:val="24"/>
        </w:rPr>
        <w:t xml:space="preserve"> </w:t>
      </w:r>
      <w:r w:rsidRPr="00150EDC">
        <w:rPr>
          <w:spacing w:val="-4"/>
          <w:sz w:val="24"/>
        </w:rPr>
        <w:t>plan</w:t>
      </w:r>
    </w:p>
    <w:p w14:paraId="525C4F5F" w14:textId="77777777" w:rsidR="004C7180" w:rsidRPr="00150EDC" w:rsidRDefault="00CF0754" w:rsidP="00B320C7">
      <w:pPr>
        <w:pStyle w:val="ListParagraph"/>
        <w:numPr>
          <w:ilvl w:val="1"/>
          <w:numId w:val="81"/>
        </w:numPr>
        <w:tabs>
          <w:tab w:val="left" w:pos="2119"/>
        </w:tabs>
        <w:spacing w:before="43"/>
        <w:ind w:left="2119" w:hanging="359"/>
        <w:rPr>
          <w:sz w:val="24"/>
        </w:rPr>
      </w:pPr>
      <w:r w:rsidRPr="00150EDC">
        <w:rPr>
          <w:sz w:val="24"/>
        </w:rPr>
        <w:t>Charges</w:t>
      </w:r>
      <w:r w:rsidRPr="00150EDC">
        <w:rPr>
          <w:spacing w:val="-5"/>
          <w:sz w:val="24"/>
        </w:rPr>
        <w:t xml:space="preserve"> </w:t>
      </w:r>
      <w:r w:rsidRPr="00150EDC">
        <w:rPr>
          <w:sz w:val="24"/>
        </w:rPr>
        <w:t>for</w:t>
      </w:r>
      <w:r w:rsidRPr="00150EDC">
        <w:rPr>
          <w:spacing w:val="-4"/>
          <w:sz w:val="24"/>
        </w:rPr>
        <w:t xml:space="preserve"> </w:t>
      </w:r>
      <w:r w:rsidRPr="00150EDC">
        <w:rPr>
          <w:sz w:val="24"/>
        </w:rPr>
        <w:t>marketing</w:t>
      </w:r>
      <w:r w:rsidRPr="00150EDC">
        <w:rPr>
          <w:spacing w:val="-3"/>
          <w:sz w:val="24"/>
        </w:rPr>
        <w:t xml:space="preserve"> </w:t>
      </w:r>
      <w:r w:rsidRPr="00150EDC">
        <w:rPr>
          <w:sz w:val="24"/>
        </w:rPr>
        <w:t>materials</w:t>
      </w:r>
      <w:r w:rsidRPr="00150EDC">
        <w:rPr>
          <w:spacing w:val="-3"/>
          <w:sz w:val="24"/>
        </w:rPr>
        <w:t xml:space="preserve"> </w:t>
      </w:r>
      <w:r w:rsidRPr="00150EDC">
        <w:rPr>
          <w:sz w:val="24"/>
        </w:rPr>
        <w:t>using</w:t>
      </w:r>
      <w:r w:rsidRPr="00150EDC">
        <w:rPr>
          <w:spacing w:val="-3"/>
          <w:sz w:val="24"/>
        </w:rPr>
        <w:t xml:space="preserve"> </w:t>
      </w:r>
      <w:r w:rsidRPr="00150EDC">
        <w:rPr>
          <w:sz w:val="24"/>
        </w:rPr>
        <w:t>NCETM</w:t>
      </w:r>
      <w:r w:rsidRPr="00150EDC">
        <w:rPr>
          <w:spacing w:val="-3"/>
          <w:sz w:val="24"/>
        </w:rPr>
        <w:t xml:space="preserve"> </w:t>
      </w:r>
      <w:r w:rsidRPr="00150EDC">
        <w:rPr>
          <w:spacing w:val="-2"/>
          <w:sz w:val="24"/>
        </w:rPr>
        <w:t>branding</w:t>
      </w:r>
    </w:p>
    <w:p w14:paraId="3A5DC53B" w14:textId="77777777" w:rsidR="004C7180" w:rsidRPr="00150EDC" w:rsidRDefault="00CF0754" w:rsidP="00B320C7">
      <w:pPr>
        <w:pStyle w:val="ListParagraph"/>
        <w:numPr>
          <w:ilvl w:val="1"/>
          <w:numId w:val="81"/>
        </w:numPr>
        <w:tabs>
          <w:tab w:val="left" w:pos="2119"/>
        </w:tabs>
        <w:spacing w:before="41"/>
        <w:ind w:left="2119" w:hanging="359"/>
        <w:rPr>
          <w:sz w:val="24"/>
        </w:rPr>
      </w:pPr>
      <w:r w:rsidRPr="00150EDC">
        <w:rPr>
          <w:sz w:val="24"/>
        </w:rPr>
        <w:t>Event</w:t>
      </w:r>
      <w:r w:rsidRPr="00150EDC">
        <w:rPr>
          <w:spacing w:val="3"/>
          <w:sz w:val="24"/>
        </w:rPr>
        <w:t xml:space="preserve"> </w:t>
      </w:r>
      <w:r w:rsidRPr="00150EDC">
        <w:rPr>
          <w:spacing w:val="-4"/>
          <w:sz w:val="24"/>
        </w:rPr>
        <w:t>costs</w:t>
      </w:r>
    </w:p>
    <w:p w14:paraId="3A643A7B" w14:textId="77777777" w:rsidR="004C7180" w:rsidRPr="00150EDC" w:rsidRDefault="00CF0754">
      <w:pPr>
        <w:pStyle w:val="BodyText"/>
        <w:spacing w:before="40" w:line="276" w:lineRule="auto"/>
        <w:ind w:left="1400" w:right="1433"/>
        <w:jc w:val="both"/>
      </w:pPr>
      <w:r w:rsidRPr="00150EDC">
        <w:t>Our</w:t>
      </w:r>
      <w:r w:rsidRPr="00150EDC">
        <w:rPr>
          <w:spacing w:val="-17"/>
        </w:rPr>
        <w:t xml:space="preserve"> </w:t>
      </w:r>
      <w:r w:rsidRPr="00150EDC">
        <w:t>grants/finance</w:t>
      </w:r>
      <w:r w:rsidRPr="00150EDC">
        <w:rPr>
          <w:spacing w:val="-17"/>
        </w:rPr>
        <w:t xml:space="preserve"> </w:t>
      </w:r>
      <w:r w:rsidRPr="00150EDC">
        <w:t>team</w:t>
      </w:r>
      <w:r w:rsidRPr="00150EDC">
        <w:rPr>
          <w:spacing w:val="-16"/>
        </w:rPr>
        <w:t xml:space="preserve"> </w:t>
      </w:r>
      <w:r w:rsidRPr="00150EDC">
        <w:t>assessed</w:t>
      </w:r>
      <w:r w:rsidRPr="00150EDC">
        <w:rPr>
          <w:spacing w:val="-17"/>
        </w:rPr>
        <w:t xml:space="preserve"> </w:t>
      </w:r>
      <w:r w:rsidRPr="00150EDC">
        <w:t>submissions</w:t>
      </w:r>
      <w:r w:rsidRPr="00150EDC">
        <w:rPr>
          <w:spacing w:val="-17"/>
        </w:rPr>
        <w:t xml:space="preserve"> </w:t>
      </w:r>
      <w:r w:rsidRPr="00150EDC">
        <w:t>for</w:t>
      </w:r>
      <w:r w:rsidRPr="00150EDC">
        <w:rPr>
          <w:spacing w:val="-17"/>
        </w:rPr>
        <w:t xml:space="preserve"> </w:t>
      </w:r>
      <w:r w:rsidRPr="00150EDC">
        <w:t>payment,</w:t>
      </w:r>
      <w:r w:rsidRPr="00150EDC">
        <w:rPr>
          <w:spacing w:val="-16"/>
        </w:rPr>
        <w:t xml:space="preserve"> </w:t>
      </w:r>
      <w:r w:rsidRPr="00150EDC">
        <w:t>reviewing</w:t>
      </w:r>
      <w:r w:rsidRPr="00150EDC">
        <w:rPr>
          <w:spacing w:val="-17"/>
        </w:rPr>
        <w:t xml:space="preserve"> </w:t>
      </w:r>
      <w:r w:rsidRPr="00150EDC">
        <w:t>against</w:t>
      </w:r>
      <w:r w:rsidRPr="00150EDC">
        <w:rPr>
          <w:spacing w:val="-17"/>
        </w:rPr>
        <w:t xml:space="preserve"> </w:t>
      </w:r>
      <w:r w:rsidRPr="00150EDC">
        <w:t>annual planning and expenditure guidelines, and delivery plan requirements, and assessing for potential fraud risk. Detailed reports were also provided to DfE including cost breakdown and remaining projected spend for the year.</w:t>
      </w:r>
    </w:p>
    <w:p w14:paraId="3224568D" w14:textId="77777777" w:rsidR="004C7180" w:rsidRPr="00150EDC" w:rsidRDefault="00CF0754">
      <w:pPr>
        <w:pStyle w:val="BodyText"/>
        <w:spacing w:before="121" w:line="276" w:lineRule="auto"/>
        <w:ind w:left="1400" w:right="1435"/>
        <w:jc w:val="both"/>
      </w:pPr>
      <w:r w:rsidRPr="00150EDC">
        <w:t>In</w:t>
      </w:r>
      <w:r w:rsidRPr="00150EDC">
        <w:rPr>
          <w:spacing w:val="-12"/>
        </w:rPr>
        <w:t xml:space="preserve"> </w:t>
      </w:r>
      <w:r w:rsidRPr="00150EDC">
        <w:t>addition</w:t>
      </w:r>
      <w:r w:rsidRPr="00150EDC">
        <w:rPr>
          <w:spacing w:val="-12"/>
        </w:rPr>
        <w:t xml:space="preserve"> </w:t>
      </w:r>
      <w:r w:rsidRPr="00150EDC">
        <w:t>to</w:t>
      </w:r>
      <w:r w:rsidRPr="00150EDC">
        <w:rPr>
          <w:spacing w:val="-12"/>
        </w:rPr>
        <w:t xml:space="preserve"> </w:t>
      </w:r>
      <w:r w:rsidRPr="00150EDC">
        <w:t>project</w:t>
      </w:r>
      <w:r w:rsidRPr="00150EDC">
        <w:rPr>
          <w:spacing w:val="-12"/>
        </w:rPr>
        <w:t xml:space="preserve"> </w:t>
      </w:r>
      <w:r w:rsidRPr="00150EDC">
        <w:t>grant</w:t>
      </w:r>
      <w:r w:rsidRPr="00150EDC">
        <w:rPr>
          <w:spacing w:val="-12"/>
        </w:rPr>
        <w:t xml:space="preserve"> </w:t>
      </w:r>
      <w:r w:rsidRPr="00150EDC">
        <w:t>funding,</w:t>
      </w:r>
      <w:r w:rsidRPr="00150EDC">
        <w:rPr>
          <w:spacing w:val="-10"/>
        </w:rPr>
        <w:t xml:space="preserve"> </w:t>
      </w:r>
      <w:r w:rsidRPr="00150EDC">
        <w:t>Tribal</w:t>
      </w:r>
      <w:r w:rsidRPr="00150EDC">
        <w:rPr>
          <w:spacing w:val="-11"/>
        </w:rPr>
        <w:t xml:space="preserve"> </w:t>
      </w:r>
      <w:r w:rsidRPr="00150EDC">
        <w:t>has</w:t>
      </w:r>
      <w:r w:rsidRPr="00150EDC">
        <w:rPr>
          <w:spacing w:val="-13"/>
        </w:rPr>
        <w:t xml:space="preserve"> </w:t>
      </w:r>
      <w:r w:rsidRPr="00150EDC">
        <w:t>extensive</w:t>
      </w:r>
      <w:r w:rsidRPr="00150EDC">
        <w:rPr>
          <w:spacing w:val="-12"/>
        </w:rPr>
        <w:t xml:space="preserve"> </w:t>
      </w:r>
      <w:r w:rsidRPr="00150EDC">
        <w:t>experience</w:t>
      </w:r>
      <w:r w:rsidRPr="00150EDC">
        <w:rPr>
          <w:spacing w:val="-12"/>
        </w:rPr>
        <w:t xml:space="preserve"> </w:t>
      </w:r>
      <w:r w:rsidRPr="00150EDC">
        <w:t>of</w:t>
      </w:r>
      <w:r w:rsidRPr="00150EDC">
        <w:rPr>
          <w:spacing w:val="-12"/>
        </w:rPr>
        <w:t xml:space="preserve"> </w:t>
      </w:r>
      <w:r w:rsidRPr="00150EDC">
        <w:t>managing</w:t>
      </w:r>
      <w:r w:rsidRPr="00150EDC">
        <w:rPr>
          <w:spacing w:val="-9"/>
        </w:rPr>
        <w:t xml:space="preserve"> </w:t>
      </w:r>
      <w:r w:rsidRPr="00150EDC">
        <w:t>large volumes of payments (e.g. in June 2023 our payments processing team successfully processed and paid invoices to 2,237 suppliers over the month).</w:t>
      </w:r>
    </w:p>
    <w:p w14:paraId="37193F35" w14:textId="77777777" w:rsidR="004C7180" w:rsidRPr="00150EDC" w:rsidRDefault="00CF0754">
      <w:pPr>
        <w:spacing w:before="120"/>
        <w:ind w:left="1400"/>
        <w:jc w:val="both"/>
        <w:rPr>
          <w:b/>
          <w:sz w:val="24"/>
        </w:rPr>
      </w:pPr>
      <w:r w:rsidRPr="007D3144">
        <w:rPr>
          <w:b/>
          <w:sz w:val="24"/>
        </w:rPr>
        <w:t xml:space="preserve">Team </w:t>
      </w:r>
      <w:r w:rsidRPr="007D3144">
        <w:rPr>
          <w:b/>
          <w:spacing w:val="-2"/>
          <w:sz w:val="24"/>
        </w:rPr>
        <w:t>structure</w:t>
      </w:r>
    </w:p>
    <w:p w14:paraId="5E9AA1E1" w14:textId="77777777" w:rsidR="004C7180" w:rsidRPr="00150EDC" w:rsidRDefault="00CF0754">
      <w:pPr>
        <w:pStyle w:val="BodyText"/>
        <w:spacing w:before="161" w:line="276" w:lineRule="auto"/>
        <w:ind w:left="1400" w:right="1435"/>
        <w:jc w:val="both"/>
      </w:pPr>
      <w:r w:rsidRPr="00150EDC">
        <w:t>Our team structure (</w:t>
      </w:r>
      <w:r w:rsidRPr="007D3144">
        <w:t>Appendix 2.1.1a</w:t>
      </w:r>
      <w:r w:rsidRPr="00150EDC">
        <w:t>) enables resources to be flexed to meet the provisional Multiply RCT timeline and peaks in activity, such as the initial onboarding of providers. Key to providing flexibility will be:</w:t>
      </w:r>
    </w:p>
    <w:p w14:paraId="6D411578" w14:textId="77777777" w:rsidR="004C7180" w:rsidRPr="00150EDC" w:rsidRDefault="00CF0754" w:rsidP="00B320C7">
      <w:pPr>
        <w:pStyle w:val="ListParagraph"/>
        <w:numPr>
          <w:ilvl w:val="1"/>
          <w:numId w:val="81"/>
        </w:numPr>
        <w:tabs>
          <w:tab w:val="left" w:pos="2120"/>
        </w:tabs>
        <w:spacing w:before="121" w:line="276" w:lineRule="auto"/>
        <w:ind w:right="1434"/>
        <w:jc w:val="both"/>
        <w:rPr>
          <w:sz w:val="24"/>
        </w:rPr>
      </w:pPr>
      <w:r w:rsidRPr="00150EDC">
        <w:rPr>
          <w:sz w:val="24"/>
        </w:rPr>
        <w:t>Our</w:t>
      </w:r>
      <w:r w:rsidRPr="00150EDC">
        <w:rPr>
          <w:spacing w:val="-10"/>
          <w:sz w:val="24"/>
        </w:rPr>
        <w:t xml:space="preserve"> </w:t>
      </w:r>
      <w:r w:rsidRPr="00150EDC">
        <w:rPr>
          <w:sz w:val="24"/>
        </w:rPr>
        <w:t>9</w:t>
      </w:r>
      <w:r w:rsidRPr="00150EDC">
        <w:rPr>
          <w:spacing w:val="-11"/>
          <w:sz w:val="24"/>
        </w:rPr>
        <w:t xml:space="preserve"> </w:t>
      </w:r>
      <w:r w:rsidRPr="00150EDC">
        <w:rPr>
          <w:sz w:val="24"/>
        </w:rPr>
        <w:t>project</w:t>
      </w:r>
      <w:r w:rsidRPr="00150EDC">
        <w:rPr>
          <w:spacing w:val="-9"/>
          <w:sz w:val="24"/>
        </w:rPr>
        <w:t xml:space="preserve"> </w:t>
      </w:r>
      <w:r w:rsidRPr="00150EDC">
        <w:rPr>
          <w:sz w:val="24"/>
        </w:rPr>
        <w:t>staff</w:t>
      </w:r>
      <w:r w:rsidRPr="00150EDC">
        <w:rPr>
          <w:spacing w:val="-11"/>
          <w:sz w:val="24"/>
        </w:rPr>
        <w:t xml:space="preserve"> </w:t>
      </w:r>
      <w:r w:rsidRPr="00150EDC">
        <w:rPr>
          <w:sz w:val="24"/>
        </w:rPr>
        <w:t>will</w:t>
      </w:r>
      <w:r w:rsidRPr="00150EDC">
        <w:rPr>
          <w:spacing w:val="-10"/>
          <w:sz w:val="24"/>
        </w:rPr>
        <w:t xml:space="preserve"> </w:t>
      </w:r>
      <w:r w:rsidRPr="00150EDC">
        <w:rPr>
          <w:sz w:val="24"/>
        </w:rPr>
        <w:t>be</w:t>
      </w:r>
      <w:r w:rsidRPr="00150EDC">
        <w:rPr>
          <w:spacing w:val="-11"/>
          <w:sz w:val="24"/>
        </w:rPr>
        <w:t xml:space="preserve"> </w:t>
      </w:r>
      <w:r w:rsidRPr="00150EDC">
        <w:rPr>
          <w:sz w:val="24"/>
        </w:rPr>
        <w:t>on</w:t>
      </w:r>
      <w:r w:rsidRPr="00150EDC">
        <w:rPr>
          <w:spacing w:val="-11"/>
          <w:sz w:val="24"/>
        </w:rPr>
        <w:t xml:space="preserve"> </w:t>
      </w:r>
      <w:r w:rsidRPr="00150EDC">
        <w:rPr>
          <w:sz w:val="24"/>
        </w:rPr>
        <w:t>flexible</w:t>
      </w:r>
      <w:r w:rsidRPr="00150EDC">
        <w:rPr>
          <w:spacing w:val="-11"/>
          <w:sz w:val="24"/>
        </w:rPr>
        <w:t xml:space="preserve"> </w:t>
      </w:r>
      <w:r w:rsidRPr="00150EDC">
        <w:rPr>
          <w:sz w:val="24"/>
        </w:rPr>
        <w:t>contracts</w:t>
      </w:r>
      <w:r w:rsidRPr="00150EDC">
        <w:rPr>
          <w:spacing w:val="-12"/>
          <w:sz w:val="24"/>
        </w:rPr>
        <w:t xml:space="preserve"> </w:t>
      </w:r>
      <w:r w:rsidRPr="00150EDC">
        <w:rPr>
          <w:sz w:val="24"/>
        </w:rPr>
        <w:t>allowing</w:t>
      </w:r>
      <w:r w:rsidRPr="00150EDC">
        <w:rPr>
          <w:spacing w:val="-11"/>
          <w:sz w:val="24"/>
        </w:rPr>
        <w:t xml:space="preserve"> </w:t>
      </w:r>
      <w:r w:rsidRPr="00150EDC">
        <w:rPr>
          <w:sz w:val="24"/>
        </w:rPr>
        <w:t>3-5</w:t>
      </w:r>
      <w:r w:rsidRPr="00150EDC">
        <w:rPr>
          <w:spacing w:val="-11"/>
          <w:sz w:val="24"/>
        </w:rPr>
        <w:t xml:space="preserve"> </w:t>
      </w:r>
      <w:r w:rsidRPr="00150EDC">
        <w:rPr>
          <w:sz w:val="24"/>
        </w:rPr>
        <w:t>days’</w:t>
      </w:r>
      <w:r w:rsidRPr="00150EDC">
        <w:rPr>
          <w:spacing w:val="-12"/>
          <w:sz w:val="24"/>
        </w:rPr>
        <w:t xml:space="preserve"> </w:t>
      </w:r>
      <w:r w:rsidRPr="00150EDC">
        <w:rPr>
          <w:sz w:val="24"/>
        </w:rPr>
        <w:t>work</w:t>
      </w:r>
      <w:r w:rsidRPr="00150EDC">
        <w:rPr>
          <w:spacing w:val="-9"/>
          <w:sz w:val="24"/>
        </w:rPr>
        <w:t xml:space="preserve"> </w:t>
      </w:r>
      <w:r w:rsidRPr="00150EDC">
        <w:rPr>
          <w:sz w:val="24"/>
        </w:rPr>
        <w:t>per</w:t>
      </w:r>
      <w:r w:rsidRPr="00150EDC">
        <w:rPr>
          <w:spacing w:val="-10"/>
          <w:sz w:val="24"/>
        </w:rPr>
        <w:t xml:space="preserve"> </w:t>
      </w:r>
      <w:r w:rsidRPr="00150EDC">
        <w:rPr>
          <w:sz w:val="24"/>
        </w:rPr>
        <w:t>week depending on needs (when not working on Multiply RCTs, staff will support other projects within Tribal)</w:t>
      </w:r>
    </w:p>
    <w:p w14:paraId="74E18989" w14:textId="77777777" w:rsidR="004C7180" w:rsidRPr="00150EDC" w:rsidRDefault="00CF0754" w:rsidP="00B320C7">
      <w:pPr>
        <w:pStyle w:val="ListParagraph"/>
        <w:numPr>
          <w:ilvl w:val="1"/>
          <w:numId w:val="81"/>
        </w:numPr>
        <w:tabs>
          <w:tab w:val="left" w:pos="2120"/>
        </w:tabs>
        <w:spacing w:line="276" w:lineRule="auto"/>
        <w:ind w:right="1435"/>
        <w:jc w:val="both"/>
        <w:rPr>
          <w:sz w:val="24"/>
        </w:rPr>
      </w:pPr>
      <w:r w:rsidRPr="00150EDC">
        <w:rPr>
          <w:sz w:val="24"/>
        </w:rPr>
        <w:t>Additional Procurement Officer and Compliance Officer within Tribal central resources who will provide additional capacity on-demand, e.g. setting up the initial provider framework</w:t>
      </w:r>
    </w:p>
    <w:p w14:paraId="0B66512C" w14:textId="77777777" w:rsidR="004C7180" w:rsidRPr="00150EDC" w:rsidRDefault="00CF0754" w:rsidP="00B320C7">
      <w:pPr>
        <w:pStyle w:val="ListParagraph"/>
        <w:numPr>
          <w:ilvl w:val="1"/>
          <w:numId w:val="81"/>
        </w:numPr>
        <w:tabs>
          <w:tab w:val="left" w:pos="2119"/>
        </w:tabs>
        <w:spacing w:line="276" w:lineRule="auto"/>
        <w:ind w:left="2119" w:right="1432"/>
        <w:jc w:val="both"/>
        <w:rPr>
          <w:sz w:val="24"/>
        </w:rPr>
      </w:pPr>
      <w:r w:rsidRPr="00150EDC">
        <w:rPr>
          <w:sz w:val="24"/>
        </w:rPr>
        <w:t>Project Manager Apprentice, and Finance/Compliance Apprentice providing cost-effective additional capacity, while developing these individuals for future full-time roles.</w:t>
      </w:r>
    </w:p>
    <w:p w14:paraId="6F44B6F6" w14:textId="77777777" w:rsidR="004C7180" w:rsidRPr="00150EDC" w:rsidRDefault="00CF0754" w:rsidP="00B320C7">
      <w:pPr>
        <w:pStyle w:val="ListParagraph"/>
        <w:numPr>
          <w:ilvl w:val="1"/>
          <w:numId w:val="81"/>
        </w:numPr>
        <w:tabs>
          <w:tab w:val="left" w:pos="2119"/>
        </w:tabs>
        <w:spacing w:line="276" w:lineRule="auto"/>
        <w:ind w:left="2119" w:right="1436"/>
        <w:jc w:val="both"/>
        <w:rPr>
          <w:sz w:val="24"/>
        </w:rPr>
      </w:pPr>
      <w:r w:rsidRPr="00150EDC">
        <w:rPr>
          <w:sz w:val="24"/>
        </w:rPr>
        <w:t>Tribal's wide pool of Associates and other projects gives us access to dozens of additional skilled staff who can be flexibly deployed on-demand</w:t>
      </w:r>
    </w:p>
    <w:p w14:paraId="3A2BDB20" w14:textId="77777777" w:rsidR="004C7180" w:rsidRPr="00150EDC" w:rsidRDefault="00CF0754">
      <w:pPr>
        <w:pStyle w:val="BodyText"/>
        <w:spacing w:line="276" w:lineRule="auto"/>
        <w:ind w:left="1399" w:right="1434"/>
        <w:jc w:val="both"/>
      </w:pPr>
      <w:r w:rsidRPr="007D3144">
        <w:t>The delivery team is supported by our corporate resources, including our payment processing team with flexible capacity to manage invoicing and distribution of funds based on the proposed trial numbers.</w:t>
      </w:r>
    </w:p>
    <w:p w14:paraId="3F8239DC" w14:textId="77777777" w:rsidR="004C7180" w:rsidRPr="00150EDC" w:rsidRDefault="004C7180">
      <w:pPr>
        <w:spacing w:line="276" w:lineRule="auto"/>
        <w:jc w:val="both"/>
        <w:sectPr w:rsidR="004C7180" w:rsidRPr="00150EDC">
          <w:pgSz w:w="11910" w:h="16840"/>
          <w:pgMar w:top="1460" w:right="0" w:bottom="1420" w:left="40" w:header="712" w:footer="1224" w:gutter="0"/>
          <w:cols w:space="720"/>
        </w:sectPr>
      </w:pPr>
    </w:p>
    <w:p w14:paraId="01F28198" w14:textId="77777777" w:rsidR="004C7180" w:rsidRPr="00150EDC" w:rsidRDefault="004C7180">
      <w:pPr>
        <w:pStyle w:val="BodyText"/>
        <w:rPr>
          <w:sz w:val="20"/>
        </w:rPr>
      </w:pPr>
    </w:p>
    <w:p w14:paraId="4F62616F" w14:textId="77777777" w:rsidR="004C7180" w:rsidRPr="00150EDC" w:rsidRDefault="004C7180">
      <w:pPr>
        <w:pStyle w:val="BodyText"/>
        <w:rPr>
          <w:sz w:val="20"/>
        </w:rPr>
      </w:pPr>
    </w:p>
    <w:p w14:paraId="0C40C888" w14:textId="77777777" w:rsidR="004C7180" w:rsidRPr="00150EDC" w:rsidRDefault="004C7180">
      <w:pPr>
        <w:pStyle w:val="BodyText"/>
        <w:rPr>
          <w:sz w:val="20"/>
        </w:rPr>
      </w:pPr>
    </w:p>
    <w:p w14:paraId="2C59AE6C" w14:textId="77777777" w:rsidR="004C7180" w:rsidRPr="00150EDC" w:rsidRDefault="004C7180">
      <w:pPr>
        <w:pStyle w:val="BodyText"/>
        <w:rPr>
          <w:sz w:val="20"/>
        </w:rPr>
      </w:pPr>
    </w:p>
    <w:p w14:paraId="078534BD" w14:textId="77777777" w:rsidR="004C7180" w:rsidRPr="00150EDC" w:rsidRDefault="004C7180">
      <w:pPr>
        <w:pStyle w:val="BodyText"/>
        <w:rPr>
          <w:sz w:val="20"/>
        </w:rPr>
      </w:pPr>
    </w:p>
    <w:p w14:paraId="1C44DF6C" w14:textId="77777777" w:rsidR="004C7180" w:rsidRPr="00150EDC" w:rsidRDefault="004C7180">
      <w:pPr>
        <w:pStyle w:val="BodyText"/>
        <w:rPr>
          <w:sz w:val="20"/>
        </w:rPr>
      </w:pPr>
    </w:p>
    <w:p w14:paraId="193C04E2" w14:textId="77777777" w:rsidR="004C7180" w:rsidRPr="00150EDC" w:rsidRDefault="004C7180">
      <w:pPr>
        <w:pStyle w:val="BodyText"/>
        <w:spacing w:before="7"/>
        <w:rPr>
          <w:sz w:val="20"/>
        </w:rPr>
      </w:pPr>
    </w:p>
    <w:p w14:paraId="2E9412FE" w14:textId="77777777" w:rsidR="004C7180" w:rsidRPr="00150EDC" w:rsidRDefault="00CF0754">
      <w:pPr>
        <w:pStyle w:val="BodyText"/>
        <w:spacing w:before="51"/>
        <w:ind w:left="1400"/>
        <w:rPr>
          <w:rFonts w:ascii="Calibri Light"/>
        </w:rPr>
      </w:pPr>
      <w:bookmarkStart w:id="27" w:name="Appendix_2.1.1.A__(Attachment_for_Q.2.1."/>
      <w:bookmarkEnd w:id="27"/>
      <w:r w:rsidRPr="007D3144">
        <w:rPr>
          <w:rFonts w:ascii="Calibri Light"/>
        </w:rPr>
        <w:t>Appendix 2.1.1.A</w:t>
      </w:r>
      <w:r w:rsidRPr="007D3144">
        <w:rPr>
          <w:rFonts w:ascii="Calibri Light"/>
          <w:spacing w:val="53"/>
        </w:rPr>
        <w:t xml:space="preserve"> </w:t>
      </w:r>
      <w:r w:rsidRPr="007D3144">
        <w:rPr>
          <w:rFonts w:ascii="Calibri Light"/>
        </w:rPr>
        <w:t>(Attachment</w:t>
      </w:r>
      <w:r w:rsidRPr="007D3144">
        <w:rPr>
          <w:rFonts w:ascii="Calibri Light"/>
          <w:spacing w:val="1"/>
        </w:rPr>
        <w:t xml:space="preserve"> </w:t>
      </w:r>
      <w:r w:rsidRPr="007D3144">
        <w:rPr>
          <w:rFonts w:ascii="Calibri Light"/>
        </w:rPr>
        <w:t>for</w:t>
      </w:r>
      <w:r w:rsidRPr="007D3144">
        <w:rPr>
          <w:rFonts w:ascii="Calibri Light"/>
          <w:spacing w:val="-2"/>
        </w:rPr>
        <w:t xml:space="preserve"> </w:t>
      </w:r>
      <w:r w:rsidRPr="007D3144">
        <w:rPr>
          <w:rFonts w:ascii="Calibri Light"/>
        </w:rPr>
        <w:t>Q.2.1.1)</w:t>
      </w:r>
      <w:r w:rsidRPr="007D3144">
        <w:rPr>
          <w:rFonts w:ascii="Calibri Light"/>
          <w:spacing w:val="39"/>
        </w:rPr>
        <w:t xml:space="preserve">  </w:t>
      </w:r>
      <w:r w:rsidRPr="007D3144">
        <w:rPr>
          <w:rFonts w:ascii="Calibri Light"/>
        </w:rPr>
        <w:t>Supplier:</w:t>
      </w:r>
      <w:r w:rsidRPr="007D3144">
        <w:rPr>
          <w:rFonts w:ascii="Calibri Light"/>
          <w:spacing w:val="27"/>
        </w:rPr>
        <w:t xml:space="preserve">  </w:t>
      </w:r>
      <w:r w:rsidRPr="007D3144">
        <w:rPr>
          <w:rFonts w:ascii="Calibri Light"/>
          <w:spacing w:val="-2"/>
        </w:rPr>
        <w:t>Tribal</w:t>
      </w:r>
    </w:p>
    <w:p w14:paraId="01A9594B" w14:textId="77777777" w:rsidR="004C7180" w:rsidRPr="00150EDC" w:rsidRDefault="004C7180">
      <w:pPr>
        <w:pStyle w:val="BodyText"/>
        <w:spacing w:before="3"/>
        <w:rPr>
          <w:rFonts w:ascii="Calibri Light"/>
          <w:sz w:val="32"/>
        </w:rPr>
      </w:pPr>
    </w:p>
    <w:p w14:paraId="58D33C81" w14:textId="77777777" w:rsidR="004C7180" w:rsidRPr="00150EDC" w:rsidRDefault="00CF0754">
      <w:pPr>
        <w:ind w:left="1400"/>
        <w:rPr>
          <w:rFonts w:ascii="Calibri Light"/>
          <w:sz w:val="25"/>
        </w:rPr>
      </w:pPr>
      <w:bookmarkStart w:id="28" w:name="Organisation_chart"/>
      <w:bookmarkEnd w:id="28"/>
      <w:r w:rsidRPr="007D3144">
        <w:rPr>
          <w:rFonts w:ascii="Calibri Light"/>
          <w:sz w:val="25"/>
        </w:rPr>
        <w:t>Organisation</w:t>
      </w:r>
      <w:r w:rsidRPr="007D3144">
        <w:rPr>
          <w:rFonts w:ascii="Calibri Light"/>
          <w:spacing w:val="-13"/>
          <w:sz w:val="25"/>
        </w:rPr>
        <w:t xml:space="preserve"> </w:t>
      </w:r>
      <w:r w:rsidRPr="007D3144">
        <w:rPr>
          <w:rFonts w:ascii="Calibri Light"/>
          <w:spacing w:val="-2"/>
          <w:sz w:val="25"/>
        </w:rPr>
        <w:t>chart</w:t>
      </w:r>
    </w:p>
    <w:p w14:paraId="3AC50BCA" w14:textId="77777777" w:rsidR="004C7180" w:rsidRPr="00150EDC" w:rsidRDefault="004C7180">
      <w:pPr>
        <w:pStyle w:val="BodyText"/>
        <w:spacing w:before="5"/>
        <w:rPr>
          <w:rFonts w:ascii="Calibri Light"/>
          <w:sz w:val="30"/>
        </w:rPr>
      </w:pPr>
    </w:p>
    <w:p w14:paraId="34620B0B" w14:textId="77777777" w:rsidR="004C7180" w:rsidRPr="00150EDC" w:rsidRDefault="00CF0754">
      <w:pPr>
        <w:spacing w:before="1"/>
        <w:ind w:left="1400"/>
        <w:rPr>
          <w:rFonts w:ascii="Calibri Light"/>
          <w:sz w:val="25"/>
        </w:rPr>
      </w:pPr>
      <w:bookmarkStart w:id="29" w:name="Summary_of_team_members_and_role_titles"/>
      <w:bookmarkEnd w:id="29"/>
      <w:r w:rsidRPr="007D3144">
        <w:rPr>
          <w:rFonts w:ascii="Calibri Light"/>
          <w:sz w:val="25"/>
        </w:rPr>
        <w:t>Summary</w:t>
      </w:r>
      <w:r w:rsidRPr="007D3144">
        <w:rPr>
          <w:rFonts w:ascii="Calibri Light"/>
          <w:spacing w:val="-6"/>
          <w:sz w:val="25"/>
        </w:rPr>
        <w:t xml:space="preserve"> </w:t>
      </w:r>
      <w:r w:rsidRPr="007D3144">
        <w:rPr>
          <w:rFonts w:ascii="Calibri Light"/>
          <w:sz w:val="25"/>
        </w:rPr>
        <w:t>of</w:t>
      </w:r>
      <w:r w:rsidRPr="007D3144">
        <w:rPr>
          <w:rFonts w:ascii="Calibri Light"/>
          <w:spacing w:val="-6"/>
          <w:sz w:val="25"/>
        </w:rPr>
        <w:t xml:space="preserve"> </w:t>
      </w:r>
      <w:r w:rsidRPr="007D3144">
        <w:rPr>
          <w:rFonts w:ascii="Calibri Light"/>
          <w:sz w:val="25"/>
        </w:rPr>
        <w:t>team</w:t>
      </w:r>
      <w:r w:rsidRPr="007D3144">
        <w:rPr>
          <w:rFonts w:ascii="Calibri Light"/>
          <w:spacing w:val="-6"/>
          <w:sz w:val="25"/>
        </w:rPr>
        <w:t xml:space="preserve"> </w:t>
      </w:r>
      <w:r w:rsidRPr="007D3144">
        <w:rPr>
          <w:rFonts w:ascii="Calibri Light"/>
          <w:sz w:val="25"/>
        </w:rPr>
        <w:t>members</w:t>
      </w:r>
      <w:r w:rsidRPr="007D3144">
        <w:rPr>
          <w:rFonts w:ascii="Calibri Light"/>
          <w:spacing w:val="-6"/>
          <w:sz w:val="25"/>
        </w:rPr>
        <w:t xml:space="preserve"> </w:t>
      </w:r>
      <w:r w:rsidRPr="007D3144">
        <w:rPr>
          <w:rFonts w:ascii="Calibri Light"/>
          <w:sz w:val="25"/>
        </w:rPr>
        <w:t>and</w:t>
      </w:r>
      <w:r w:rsidRPr="007D3144">
        <w:rPr>
          <w:rFonts w:ascii="Calibri Light"/>
          <w:spacing w:val="-5"/>
          <w:sz w:val="25"/>
        </w:rPr>
        <w:t xml:space="preserve"> </w:t>
      </w:r>
      <w:r w:rsidRPr="007D3144">
        <w:rPr>
          <w:rFonts w:ascii="Calibri Light"/>
          <w:sz w:val="25"/>
        </w:rPr>
        <w:t>role</w:t>
      </w:r>
      <w:r w:rsidRPr="007D3144">
        <w:rPr>
          <w:rFonts w:ascii="Calibri Light"/>
          <w:spacing w:val="-6"/>
          <w:sz w:val="25"/>
        </w:rPr>
        <w:t xml:space="preserve"> </w:t>
      </w:r>
      <w:r w:rsidRPr="007D3144">
        <w:rPr>
          <w:rFonts w:ascii="Calibri Light"/>
          <w:spacing w:val="-2"/>
          <w:sz w:val="25"/>
        </w:rPr>
        <w:t>titles</w:t>
      </w:r>
    </w:p>
    <w:p w14:paraId="304E637D" w14:textId="77777777" w:rsidR="004C7180" w:rsidRPr="00150EDC" w:rsidRDefault="004C7180">
      <w:pPr>
        <w:pStyle w:val="BodyText"/>
        <w:spacing w:before="6"/>
        <w:rPr>
          <w:rFonts w:ascii="Calibri Light"/>
          <w:sz w:val="28"/>
        </w:rPr>
      </w:pPr>
    </w:p>
    <w:tbl>
      <w:tblPr>
        <w:tblW w:w="0" w:type="auto"/>
        <w:tblInd w:w="1426" w:type="dxa"/>
        <w:tblLayout w:type="fixed"/>
        <w:tblCellMar>
          <w:left w:w="0" w:type="dxa"/>
          <w:right w:w="0" w:type="dxa"/>
        </w:tblCellMar>
        <w:tblLook w:val="01E0" w:firstRow="1" w:lastRow="1" w:firstColumn="1" w:lastColumn="1" w:noHBand="0" w:noVBand="0"/>
      </w:tblPr>
      <w:tblGrid>
        <w:gridCol w:w="2995"/>
        <w:gridCol w:w="3006"/>
        <w:gridCol w:w="2994"/>
      </w:tblGrid>
      <w:tr w:rsidR="004569EE" w:rsidRPr="007D3144" w14:paraId="07DEE3BB" w14:textId="77777777" w:rsidTr="006F2372">
        <w:trPr>
          <w:trHeight w:val="667"/>
          <w:tblHeader/>
        </w:trPr>
        <w:tc>
          <w:tcPr>
            <w:tcW w:w="2995" w:type="dxa"/>
            <w:tcBorders>
              <w:bottom w:val="single" w:sz="12" w:space="0" w:color="FFFFFF"/>
            </w:tcBorders>
            <w:shd w:val="clear" w:color="auto" w:fill="4471C4"/>
          </w:tcPr>
          <w:p w14:paraId="4A4B789E" w14:textId="77777777" w:rsidR="004C7180" w:rsidRPr="00150EDC" w:rsidRDefault="00CF0754">
            <w:pPr>
              <w:pStyle w:val="TableParagraph"/>
              <w:spacing w:before="0" w:line="240" w:lineRule="auto"/>
              <w:ind w:left="98"/>
              <w:rPr>
                <w:b/>
                <w:sz w:val="24"/>
              </w:rPr>
            </w:pPr>
            <w:r w:rsidRPr="007D3144">
              <w:rPr>
                <w:b/>
                <w:spacing w:val="-4"/>
                <w:sz w:val="24"/>
              </w:rPr>
              <w:t>Role</w:t>
            </w:r>
          </w:p>
        </w:tc>
        <w:tc>
          <w:tcPr>
            <w:tcW w:w="3006" w:type="dxa"/>
            <w:tcBorders>
              <w:bottom w:val="single" w:sz="12" w:space="0" w:color="FFFFFF"/>
            </w:tcBorders>
            <w:shd w:val="clear" w:color="auto" w:fill="4471C4"/>
          </w:tcPr>
          <w:p w14:paraId="4C5F26CE" w14:textId="77777777" w:rsidR="004C7180" w:rsidRPr="00150EDC" w:rsidRDefault="00CF0754">
            <w:pPr>
              <w:pStyle w:val="TableParagraph"/>
              <w:tabs>
                <w:tab w:val="left" w:pos="1497"/>
                <w:tab w:val="left" w:pos="2285"/>
              </w:tabs>
              <w:spacing w:before="0" w:line="240" w:lineRule="auto"/>
              <w:ind w:left="108" w:right="105"/>
              <w:rPr>
                <w:b/>
                <w:sz w:val="24"/>
              </w:rPr>
            </w:pPr>
            <w:r w:rsidRPr="007D3144">
              <w:rPr>
                <w:b/>
                <w:spacing w:val="-2"/>
                <w:sz w:val="24"/>
              </w:rPr>
              <w:t>Capacity</w:t>
            </w:r>
            <w:r w:rsidRPr="007D3144">
              <w:rPr>
                <w:b/>
                <w:sz w:val="24"/>
              </w:rPr>
              <w:tab/>
            </w:r>
            <w:r w:rsidRPr="007D3144">
              <w:rPr>
                <w:b/>
                <w:spacing w:val="-4"/>
                <w:sz w:val="24"/>
              </w:rPr>
              <w:t>(for</w:t>
            </w:r>
            <w:r w:rsidRPr="007D3144">
              <w:rPr>
                <w:b/>
                <w:sz w:val="24"/>
              </w:rPr>
              <w:tab/>
            </w:r>
            <w:r w:rsidRPr="007D3144">
              <w:rPr>
                <w:b/>
                <w:spacing w:val="-4"/>
                <w:sz w:val="24"/>
              </w:rPr>
              <w:t xml:space="preserve">11-15 </w:t>
            </w:r>
            <w:r w:rsidRPr="007D3144">
              <w:rPr>
                <w:b/>
                <w:spacing w:val="-2"/>
                <w:sz w:val="24"/>
              </w:rPr>
              <w:t>trials)</w:t>
            </w:r>
          </w:p>
        </w:tc>
        <w:tc>
          <w:tcPr>
            <w:tcW w:w="2994" w:type="dxa"/>
            <w:tcBorders>
              <w:bottom w:val="single" w:sz="12" w:space="0" w:color="FFFFFF"/>
            </w:tcBorders>
            <w:shd w:val="clear" w:color="auto" w:fill="4471C4"/>
          </w:tcPr>
          <w:p w14:paraId="79608BC4" w14:textId="77777777" w:rsidR="004C7180" w:rsidRPr="00150EDC" w:rsidRDefault="00CF0754">
            <w:pPr>
              <w:pStyle w:val="TableParagraph"/>
              <w:tabs>
                <w:tab w:val="left" w:pos="1789"/>
              </w:tabs>
              <w:spacing w:before="0" w:line="240" w:lineRule="auto"/>
              <w:ind w:left="107" w:right="94"/>
              <w:rPr>
                <w:b/>
                <w:sz w:val="24"/>
              </w:rPr>
            </w:pPr>
            <w:r w:rsidRPr="007D3144">
              <w:rPr>
                <w:b/>
                <w:spacing w:val="-2"/>
                <w:sz w:val="24"/>
              </w:rPr>
              <w:t>Knowledge,</w:t>
            </w:r>
            <w:r w:rsidRPr="007D3144">
              <w:rPr>
                <w:b/>
                <w:sz w:val="24"/>
              </w:rPr>
              <w:tab/>
            </w:r>
            <w:r w:rsidRPr="007D3144">
              <w:rPr>
                <w:b/>
                <w:spacing w:val="-2"/>
                <w:sz w:val="24"/>
              </w:rPr>
              <w:t xml:space="preserve">capability </w:t>
            </w:r>
            <w:r w:rsidRPr="007D3144">
              <w:rPr>
                <w:b/>
                <w:sz w:val="24"/>
              </w:rPr>
              <w:t>and experience</w:t>
            </w:r>
          </w:p>
        </w:tc>
      </w:tr>
      <w:tr w:rsidR="004569EE" w:rsidRPr="007D3144" w14:paraId="63762FEB" w14:textId="77777777">
        <w:trPr>
          <w:trHeight w:val="6463"/>
        </w:trPr>
        <w:tc>
          <w:tcPr>
            <w:tcW w:w="2995" w:type="dxa"/>
            <w:tcBorders>
              <w:top w:val="single" w:sz="12" w:space="0" w:color="FFFFFF"/>
              <w:bottom w:val="single" w:sz="8" w:space="0" w:color="FFFFFF"/>
              <w:right w:val="single" w:sz="8" w:space="0" w:color="FFFFFF"/>
            </w:tcBorders>
            <w:shd w:val="clear" w:color="auto" w:fill="4471C4"/>
          </w:tcPr>
          <w:p w14:paraId="0CD3246D" w14:textId="77777777" w:rsidR="004C7180" w:rsidRPr="00150EDC" w:rsidRDefault="00CF0754">
            <w:pPr>
              <w:pStyle w:val="TableParagraph"/>
              <w:spacing w:before="0" w:line="272" w:lineRule="exact"/>
              <w:ind w:left="98"/>
              <w:rPr>
                <w:b/>
                <w:sz w:val="24"/>
              </w:rPr>
            </w:pPr>
            <w:r w:rsidRPr="007D3144">
              <w:rPr>
                <w:b/>
                <w:sz w:val="24"/>
              </w:rPr>
              <w:t>Project</w:t>
            </w:r>
            <w:r w:rsidRPr="007D3144">
              <w:rPr>
                <w:b/>
                <w:spacing w:val="-2"/>
                <w:sz w:val="24"/>
              </w:rPr>
              <w:t xml:space="preserve"> Director</w:t>
            </w:r>
          </w:p>
          <w:p w14:paraId="1B291283" w14:textId="77777777" w:rsidR="004C7180" w:rsidRPr="00150EDC" w:rsidRDefault="00CF0754">
            <w:pPr>
              <w:pStyle w:val="TableParagraph"/>
              <w:spacing w:before="120" w:line="240" w:lineRule="auto"/>
              <w:ind w:left="98"/>
              <w:rPr>
                <w:b/>
                <w:sz w:val="24"/>
              </w:rPr>
            </w:pPr>
            <w:r w:rsidRPr="007D3144">
              <w:rPr>
                <w:b/>
                <w:sz w:val="24"/>
              </w:rPr>
              <w:t>Dr</w:t>
            </w:r>
            <w:r w:rsidRPr="007D3144">
              <w:rPr>
                <w:b/>
                <w:spacing w:val="-2"/>
                <w:sz w:val="24"/>
              </w:rPr>
              <w:t xml:space="preserve"> </w:t>
            </w:r>
            <w:r w:rsidRPr="007D3144">
              <w:rPr>
                <w:b/>
                <w:sz w:val="24"/>
              </w:rPr>
              <w:t>Jennifer</w:t>
            </w:r>
            <w:r w:rsidRPr="007D3144">
              <w:rPr>
                <w:b/>
                <w:spacing w:val="-2"/>
                <w:sz w:val="24"/>
              </w:rPr>
              <w:t xml:space="preserve"> Shearman</w:t>
            </w:r>
          </w:p>
        </w:tc>
        <w:tc>
          <w:tcPr>
            <w:tcW w:w="3006" w:type="dxa"/>
            <w:tcBorders>
              <w:top w:val="single" w:sz="12" w:space="0" w:color="FFFFFF"/>
              <w:left w:val="single" w:sz="8" w:space="0" w:color="FFFFFF"/>
              <w:bottom w:val="single" w:sz="8" w:space="0" w:color="FFFFFF"/>
            </w:tcBorders>
            <w:shd w:val="clear" w:color="auto" w:fill="B4C5E7"/>
          </w:tcPr>
          <w:p w14:paraId="11B7E5D0" w14:textId="77777777" w:rsidR="004C7180" w:rsidRPr="00150EDC" w:rsidRDefault="00CF0754">
            <w:pPr>
              <w:pStyle w:val="TableParagraph"/>
              <w:spacing w:before="0" w:line="240" w:lineRule="auto"/>
              <w:ind w:left="98" w:right="218"/>
              <w:rPr>
                <w:sz w:val="24"/>
              </w:rPr>
            </w:pPr>
            <w:r w:rsidRPr="007D3144">
              <w:rPr>
                <w:sz w:val="24"/>
              </w:rPr>
              <w:t>5</w:t>
            </w:r>
            <w:r w:rsidRPr="007D3144">
              <w:rPr>
                <w:spacing w:val="-11"/>
                <w:sz w:val="24"/>
              </w:rPr>
              <w:t xml:space="preserve"> </w:t>
            </w:r>
            <w:r w:rsidRPr="007D3144">
              <w:rPr>
                <w:sz w:val="24"/>
              </w:rPr>
              <w:t>days/week</w:t>
            </w:r>
            <w:r w:rsidRPr="007D3144">
              <w:rPr>
                <w:spacing w:val="-13"/>
                <w:sz w:val="24"/>
              </w:rPr>
              <w:t xml:space="preserve"> </w:t>
            </w:r>
            <w:r w:rsidRPr="007D3144">
              <w:rPr>
                <w:sz w:val="24"/>
              </w:rPr>
              <w:t>or</w:t>
            </w:r>
            <w:r w:rsidRPr="007D3144">
              <w:rPr>
                <w:spacing w:val="-12"/>
                <w:sz w:val="24"/>
              </w:rPr>
              <w:t xml:space="preserve"> </w:t>
            </w:r>
            <w:r w:rsidRPr="007D3144">
              <w:rPr>
                <w:sz w:val="24"/>
              </w:rPr>
              <w:t xml:space="preserve">100% </w:t>
            </w:r>
            <w:r w:rsidRPr="007D3144">
              <w:rPr>
                <w:spacing w:val="-4"/>
                <w:sz w:val="24"/>
              </w:rPr>
              <w:t>FTE</w:t>
            </w:r>
          </w:p>
        </w:tc>
        <w:tc>
          <w:tcPr>
            <w:tcW w:w="2994" w:type="dxa"/>
            <w:tcBorders>
              <w:top w:val="single" w:sz="12" w:space="0" w:color="FFFFFF"/>
              <w:bottom w:val="single" w:sz="8" w:space="0" w:color="FFFFFF"/>
            </w:tcBorders>
            <w:shd w:val="clear" w:color="auto" w:fill="B4C5E7"/>
          </w:tcPr>
          <w:p w14:paraId="56F81535" w14:textId="77777777" w:rsidR="004C7180" w:rsidRPr="00150EDC" w:rsidRDefault="00CF0754">
            <w:pPr>
              <w:pStyle w:val="TableParagraph"/>
              <w:spacing w:before="0" w:line="240" w:lineRule="auto"/>
              <w:ind w:left="107" w:right="91"/>
              <w:jc w:val="both"/>
              <w:rPr>
                <w:sz w:val="24"/>
              </w:rPr>
            </w:pPr>
            <w:r w:rsidRPr="007D3144">
              <w:rPr>
                <w:sz w:val="24"/>
              </w:rPr>
              <w:t>Over 6 years leading the evaluation process for DfE’s National Centre for Excellence in the Teaching of Mathematics (NCETM) Jennifer has been instrumental to the impact</w:t>
            </w:r>
            <w:r w:rsidRPr="007D3144">
              <w:rPr>
                <w:spacing w:val="-7"/>
                <w:sz w:val="24"/>
              </w:rPr>
              <w:t xml:space="preserve"> </w:t>
            </w:r>
            <w:r w:rsidRPr="007D3144">
              <w:rPr>
                <w:sz w:val="24"/>
              </w:rPr>
              <w:t>of</w:t>
            </w:r>
            <w:r w:rsidRPr="007D3144">
              <w:rPr>
                <w:spacing w:val="-7"/>
                <w:sz w:val="24"/>
              </w:rPr>
              <w:t xml:space="preserve"> </w:t>
            </w:r>
            <w:r w:rsidRPr="007D3144">
              <w:rPr>
                <w:sz w:val="24"/>
              </w:rPr>
              <w:t>this</w:t>
            </w:r>
            <w:r w:rsidRPr="007D3144">
              <w:rPr>
                <w:spacing w:val="-6"/>
                <w:sz w:val="24"/>
              </w:rPr>
              <w:t xml:space="preserve"> </w:t>
            </w:r>
            <w:r w:rsidRPr="007D3144">
              <w:rPr>
                <w:sz w:val="24"/>
              </w:rPr>
              <w:t xml:space="preserve">programme, which has led to a DFE further DfE programme </w:t>
            </w:r>
            <w:r w:rsidRPr="007D3144">
              <w:rPr>
                <w:spacing w:val="-2"/>
                <w:sz w:val="24"/>
              </w:rPr>
              <w:t>extension.</w:t>
            </w:r>
          </w:p>
          <w:p w14:paraId="06527863" w14:textId="77777777" w:rsidR="004C7180" w:rsidRPr="00150EDC" w:rsidRDefault="00CF0754" w:rsidP="00B320C7">
            <w:pPr>
              <w:pStyle w:val="TableParagraph"/>
              <w:numPr>
                <w:ilvl w:val="0"/>
                <w:numId w:val="80"/>
              </w:numPr>
              <w:tabs>
                <w:tab w:val="left" w:pos="826"/>
                <w:tab w:val="left" w:pos="2043"/>
              </w:tabs>
              <w:spacing w:before="116" w:line="240" w:lineRule="auto"/>
              <w:ind w:left="826" w:hanging="359"/>
              <w:rPr>
                <w:sz w:val="24"/>
              </w:rPr>
            </w:pPr>
            <w:r w:rsidRPr="007D3144">
              <w:rPr>
                <w:spacing w:val="-5"/>
                <w:sz w:val="24"/>
              </w:rPr>
              <w:t>DfE</w:t>
            </w:r>
            <w:r w:rsidRPr="007D3144">
              <w:rPr>
                <w:sz w:val="24"/>
              </w:rPr>
              <w:tab/>
            </w:r>
            <w:r w:rsidRPr="007D3144">
              <w:rPr>
                <w:spacing w:val="-4"/>
                <w:sz w:val="24"/>
              </w:rPr>
              <w:t>NCETM</w:t>
            </w:r>
          </w:p>
          <w:p w14:paraId="24E1112F" w14:textId="77777777" w:rsidR="004C7180" w:rsidRPr="00150EDC" w:rsidRDefault="00CF0754">
            <w:pPr>
              <w:pStyle w:val="TableParagraph"/>
              <w:tabs>
                <w:tab w:val="left" w:pos="2617"/>
              </w:tabs>
              <w:spacing w:before="0" w:line="240" w:lineRule="auto"/>
              <w:ind w:left="827" w:right="92"/>
              <w:jc w:val="both"/>
              <w:rPr>
                <w:sz w:val="24"/>
              </w:rPr>
            </w:pPr>
            <w:r w:rsidRPr="007D3144">
              <w:rPr>
                <w:spacing w:val="-2"/>
                <w:sz w:val="24"/>
              </w:rPr>
              <w:t>Director</w:t>
            </w:r>
            <w:r w:rsidRPr="007D3144">
              <w:rPr>
                <w:sz w:val="24"/>
              </w:rPr>
              <w:tab/>
            </w:r>
            <w:r w:rsidRPr="007D3144">
              <w:rPr>
                <w:spacing w:val="-4"/>
                <w:sz w:val="24"/>
              </w:rPr>
              <w:t xml:space="preserve">for </w:t>
            </w:r>
            <w:r w:rsidRPr="007D3144">
              <w:rPr>
                <w:spacing w:val="-2"/>
                <w:sz w:val="24"/>
              </w:rPr>
              <w:t>Evaluation</w:t>
            </w:r>
          </w:p>
          <w:p w14:paraId="695CF9C9" w14:textId="77777777" w:rsidR="004C7180" w:rsidRPr="00150EDC" w:rsidRDefault="00CF0754" w:rsidP="00B320C7">
            <w:pPr>
              <w:pStyle w:val="TableParagraph"/>
              <w:numPr>
                <w:ilvl w:val="0"/>
                <w:numId w:val="80"/>
              </w:numPr>
              <w:tabs>
                <w:tab w:val="left" w:pos="827"/>
                <w:tab w:val="left" w:pos="2711"/>
              </w:tabs>
              <w:spacing w:before="0" w:line="240" w:lineRule="auto"/>
              <w:ind w:right="94"/>
              <w:jc w:val="both"/>
              <w:rPr>
                <w:sz w:val="24"/>
              </w:rPr>
            </w:pPr>
            <w:r w:rsidRPr="007D3144">
              <w:rPr>
                <w:spacing w:val="-2"/>
                <w:sz w:val="24"/>
              </w:rPr>
              <w:t>Doctorate</w:t>
            </w:r>
            <w:r w:rsidRPr="007D3144">
              <w:rPr>
                <w:sz w:val="24"/>
              </w:rPr>
              <w:tab/>
            </w:r>
            <w:r w:rsidRPr="007D3144">
              <w:rPr>
                <w:spacing w:val="-6"/>
                <w:sz w:val="24"/>
              </w:rPr>
              <w:t xml:space="preserve">in </w:t>
            </w:r>
            <w:r w:rsidRPr="007D3144">
              <w:rPr>
                <w:spacing w:val="-2"/>
                <w:sz w:val="24"/>
              </w:rPr>
              <w:t>Education</w:t>
            </w:r>
          </w:p>
          <w:p w14:paraId="2EE77953" w14:textId="77777777" w:rsidR="004C7180" w:rsidRPr="00150EDC" w:rsidRDefault="00CF0754" w:rsidP="00B320C7">
            <w:pPr>
              <w:pStyle w:val="TableParagraph"/>
              <w:numPr>
                <w:ilvl w:val="0"/>
                <w:numId w:val="80"/>
              </w:numPr>
              <w:tabs>
                <w:tab w:val="left" w:pos="827"/>
                <w:tab w:val="left" w:pos="2391"/>
              </w:tabs>
              <w:spacing w:before="0" w:line="240" w:lineRule="auto"/>
              <w:ind w:right="92"/>
              <w:jc w:val="both"/>
              <w:rPr>
                <w:sz w:val="24"/>
              </w:rPr>
            </w:pPr>
            <w:r w:rsidRPr="007D3144">
              <w:rPr>
                <w:sz w:val="24"/>
              </w:rPr>
              <w:t xml:space="preserve">Kent and Medway </w:t>
            </w:r>
            <w:r w:rsidRPr="007D3144">
              <w:rPr>
                <w:spacing w:val="-2"/>
                <w:sz w:val="24"/>
              </w:rPr>
              <w:t>Maths</w:t>
            </w:r>
            <w:r w:rsidRPr="007D3144">
              <w:rPr>
                <w:sz w:val="24"/>
              </w:rPr>
              <w:tab/>
            </w:r>
            <w:r w:rsidRPr="007D3144">
              <w:rPr>
                <w:spacing w:val="-4"/>
                <w:sz w:val="24"/>
              </w:rPr>
              <w:t>Hub,</w:t>
            </w:r>
          </w:p>
          <w:p w14:paraId="01262ED0" w14:textId="77777777" w:rsidR="004C7180" w:rsidRPr="00150EDC" w:rsidRDefault="00CF0754">
            <w:pPr>
              <w:pStyle w:val="TableParagraph"/>
              <w:spacing w:before="0" w:line="240" w:lineRule="auto"/>
              <w:ind w:left="827" w:right="94"/>
              <w:jc w:val="both"/>
              <w:rPr>
                <w:sz w:val="24"/>
              </w:rPr>
            </w:pPr>
            <w:r w:rsidRPr="007D3144">
              <w:rPr>
                <w:sz w:val="24"/>
              </w:rPr>
              <w:t xml:space="preserve">Strategic Board </w:t>
            </w:r>
            <w:r w:rsidRPr="007D3144">
              <w:rPr>
                <w:spacing w:val="-2"/>
                <w:sz w:val="24"/>
              </w:rPr>
              <w:t>member</w:t>
            </w:r>
          </w:p>
          <w:p w14:paraId="30DE83E2" w14:textId="77777777" w:rsidR="004C7180" w:rsidRPr="00150EDC" w:rsidRDefault="00CF0754" w:rsidP="00B320C7">
            <w:pPr>
              <w:pStyle w:val="TableParagraph"/>
              <w:numPr>
                <w:ilvl w:val="0"/>
                <w:numId w:val="80"/>
              </w:numPr>
              <w:tabs>
                <w:tab w:val="left" w:pos="827"/>
                <w:tab w:val="left" w:pos="1844"/>
              </w:tabs>
              <w:spacing w:before="0" w:line="270" w:lineRule="atLeast"/>
              <w:ind w:right="93"/>
              <w:jc w:val="both"/>
              <w:rPr>
                <w:sz w:val="24"/>
              </w:rPr>
            </w:pPr>
            <w:r w:rsidRPr="007D3144">
              <w:rPr>
                <w:sz w:val="24"/>
              </w:rPr>
              <w:t xml:space="preserve">Chartered College </w:t>
            </w:r>
            <w:r w:rsidRPr="007D3144">
              <w:rPr>
                <w:spacing w:val="-6"/>
                <w:sz w:val="24"/>
              </w:rPr>
              <w:t>of</w:t>
            </w:r>
            <w:r w:rsidRPr="007D3144">
              <w:rPr>
                <w:sz w:val="24"/>
              </w:rPr>
              <w:tab/>
            </w:r>
            <w:r w:rsidRPr="007D3144">
              <w:rPr>
                <w:spacing w:val="-2"/>
                <w:sz w:val="24"/>
              </w:rPr>
              <w:t xml:space="preserve">Teaching, </w:t>
            </w:r>
            <w:r w:rsidRPr="007D3144">
              <w:rPr>
                <w:sz w:val="24"/>
              </w:rPr>
              <w:t>Founding Fellow</w:t>
            </w:r>
          </w:p>
        </w:tc>
      </w:tr>
      <w:tr w:rsidR="004569EE" w:rsidRPr="007D3144" w14:paraId="6C2B804A" w14:textId="77777777">
        <w:trPr>
          <w:trHeight w:val="2483"/>
        </w:trPr>
        <w:tc>
          <w:tcPr>
            <w:tcW w:w="2995" w:type="dxa"/>
            <w:tcBorders>
              <w:top w:val="single" w:sz="8" w:space="0" w:color="FFFFFF"/>
              <w:right w:val="single" w:sz="8" w:space="0" w:color="FFFFFF"/>
            </w:tcBorders>
            <w:shd w:val="clear" w:color="auto" w:fill="4471C4"/>
          </w:tcPr>
          <w:p w14:paraId="48194644" w14:textId="77777777" w:rsidR="004C7180" w:rsidRPr="00150EDC" w:rsidRDefault="00CF0754">
            <w:pPr>
              <w:pStyle w:val="TableParagraph"/>
              <w:spacing w:before="0" w:line="343" w:lineRule="auto"/>
              <w:ind w:left="98" w:right="536"/>
              <w:rPr>
                <w:b/>
                <w:sz w:val="24"/>
              </w:rPr>
            </w:pPr>
            <w:r w:rsidRPr="007D3144">
              <w:rPr>
                <w:b/>
                <w:sz w:val="24"/>
              </w:rPr>
              <w:t>Project</w:t>
            </w:r>
            <w:r w:rsidRPr="007D3144">
              <w:rPr>
                <w:b/>
                <w:spacing w:val="-17"/>
                <w:sz w:val="24"/>
              </w:rPr>
              <w:t xml:space="preserve"> </w:t>
            </w:r>
            <w:r w:rsidRPr="007D3144">
              <w:rPr>
                <w:b/>
                <w:sz w:val="24"/>
              </w:rPr>
              <w:t>Manager Kate Hunt</w:t>
            </w:r>
          </w:p>
        </w:tc>
        <w:tc>
          <w:tcPr>
            <w:tcW w:w="3006" w:type="dxa"/>
            <w:tcBorders>
              <w:top w:val="single" w:sz="8" w:space="0" w:color="FFFFFF"/>
              <w:left w:val="single" w:sz="8" w:space="0" w:color="FFFFFF"/>
            </w:tcBorders>
            <w:shd w:val="clear" w:color="auto" w:fill="D9E1F3"/>
          </w:tcPr>
          <w:p w14:paraId="0CA9727A" w14:textId="77777777" w:rsidR="004C7180" w:rsidRPr="00150EDC" w:rsidRDefault="00CF0754">
            <w:pPr>
              <w:pStyle w:val="TableParagraph"/>
              <w:spacing w:before="0" w:line="240" w:lineRule="auto"/>
              <w:ind w:left="98" w:right="218"/>
              <w:rPr>
                <w:sz w:val="24"/>
              </w:rPr>
            </w:pPr>
            <w:r w:rsidRPr="007D3144">
              <w:rPr>
                <w:sz w:val="24"/>
              </w:rPr>
              <w:t>5</w:t>
            </w:r>
            <w:r w:rsidRPr="007D3144">
              <w:rPr>
                <w:spacing w:val="-11"/>
                <w:sz w:val="24"/>
              </w:rPr>
              <w:t xml:space="preserve"> </w:t>
            </w:r>
            <w:r w:rsidRPr="007D3144">
              <w:rPr>
                <w:sz w:val="24"/>
              </w:rPr>
              <w:t>days/week</w:t>
            </w:r>
            <w:r w:rsidRPr="007D3144">
              <w:rPr>
                <w:spacing w:val="-13"/>
                <w:sz w:val="24"/>
              </w:rPr>
              <w:t xml:space="preserve"> </w:t>
            </w:r>
            <w:r w:rsidRPr="007D3144">
              <w:rPr>
                <w:sz w:val="24"/>
              </w:rPr>
              <w:t>or</w:t>
            </w:r>
            <w:r w:rsidRPr="007D3144">
              <w:rPr>
                <w:spacing w:val="-12"/>
                <w:sz w:val="24"/>
              </w:rPr>
              <w:t xml:space="preserve"> </w:t>
            </w:r>
            <w:r w:rsidRPr="007D3144">
              <w:rPr>
                <w:sz w:val="24"/>
              </w:rPr>
              <w:t xml:space="preserve">100% </w:t>
            </w:r>
            <w:r w:rsidRPr="007D3144">
              <w:rPr>
                <w:spacing w:val="-4"/>
                <w:sz w:val="24"/>
              </w:rPr>
              <w:t>FTE</w:t>
            </w:r>
          </w:p>
        </w:tc>
        <w:tc>
          <w:tcPr>
            <w:tcW w:w="2994" w:type="dxa"/>
            <w:tcBorders>
              <w:top w:val="single" w:sz="8" w:space="0" w:color="FFFFFF"/>
            </w:tcBorders>
            <w:shd w:val="clear" w:color="auto" w:fill="D9E1F3"/>
          </w:tcPr>
          <w:p w14:paraId="5B9968A4" w14:textId="77777777" w:rsidR="004C7180" w:rsidRPr="00150EDC" w:rsidRDefault="00CF0754">
            <w:pPr>
              <w:pStyle w:val="TableParagraph"/>
              <w:tabs>
                <w:tab w:val="left" w:pos="2043"/>
              </w:tabs>
              <w:spacing w:before="0" w:line="240" w:lineRule="auto"/>
              <w:ind w:left="107" w:right="93"/>
              <w:jc w:val="both"/>
              <w:rPr>
                <w:sz w:val="24"/>
              </w:rPr>
            </w:pPr>
            <w:r w:rsidRPr="007D3144">
              <w:rPr>
                <w:sz w:val="24"/>
              </w:rPr>
              <w:t xml:space="preserve">Over five years’ experience as a project manager within Tribal Group, drafting project </w:t>
            </w:r>
            <w:r w:rsidRPr="007D3144">
              <w:rPr>
                <w:spacing w:val="-5"/>
                <w:sz w:val="24"/>
              </w:rPr>
              <w:t>and</w:t>
            </w:r>
            <w:r w:rsidRPr="007D3144">
              <w:rPr>
                <w:sz w:val="24"/>
              </w:rPr>
              <w:tab/>
            </w:r>
            <w:r w:rsidRPr="007D3144">
              <w:rPr>
                <w:spacing w:val="-2"/>
                <w:sz w:val="24"/>
              </w:rPr>
              <w:t>contract</w:t>
            </w:r>
          </w:p>
          <w:p w14:paraId="27504FDE" w14:textId="77777777" w:rsidR="004C7180" w:rsidRPr="00150EDC" w:rsidRDefault="00CF0754">
            <w:pPr>
              <w:pStyle w:val="TableParagraph"/>
              <w:tabs>
                <w:tab w:val="left" w:pos="2615"/>
              </w:tabs>
              <w:spacing w:before="0" w:line="240" w:lineRule="auto"/>
              <w:ind w:left="107"/>
              <w:jc w:val="both"/>
              <w:rPr>
                <w:sz w:val="24"/>
              </w:rPr>
            </w:pPr>
            <w:r w:rsidRPr="007D3144">
              <w:rPr>
                <w:spacing w:val="-2"/>
                <w:sz w:val="24"/>
              </w:rPr>
              <w:t>specifications</w:t>
            </w:r>
            <w:r w:rsidRPr="007D3144">
              <w:rPr>
                <w:sz w:val="24"/>
              </w:rPr>
              <w:tab/>
            </w:r>
            <w:r w:rsidRPr="007D3144">
              <w:rPr>
                <w:spacing w:val="-5"/>
                <w:sz w:val="24"/>
              </w:rPr>
              <w:t>for</w:t>
            </w:r>
          </w:p>
          <w:p w14:paraId="4F14CDE4" w14:textId="77777777" w:rsidR="004C7180" w:rsidRPr="00150EDC" w:rsidRDefault="00CF0754">
            <w:pPr>
              <w:pStyle w:val="TableParagraph"/>
              <w:spacing w:before="0" w:line="270" w:lineRule="atLeast"/>
              <w:ind w:left="107" w:right="93"/>
              <w:jc w:val="both"/>
              <w:rPr>
                <w:sz w:val="24"/>
              </w:rPr>
            </w:pPr>
            <w:r w:rsidRPr="007D3144">
              <w:rPr>
                <w:sz w:val="24"/>
              </w:rPr>
              <w:t>commissioned work, collating and analysing project</w:t>
            </w:r>
            <w:r w:rsidRPr="007D3144">
              <w:rPr>
                <w:spacing w:val="68"/>
                <w:sz w:val="24"/>
              </w:rPr>
              <w:t xml:space="preserve">   </w:t>
            </w:r>
            <w:r w:rsidRPr="007D3144">
              <w:rPr>
                <w:sz w:val="24"/>
              </w:rPr>
              <w:t>contract</w:t>
            </w:r>
            <w:r w:rsidRPr="007D3144">
              <w:rPr>
                <w:spacing w:val="67"/>
                <w:sz w:val="24"/>
              </w:rPr>
              <w:t xml:space="preserve">   </w:t>
            </w:r>
            <w:r w:rsidRPr="007D3144">
              <w:rPr>
                <w:spacing w:val="-5"/>
                <w:sz w:val="24"/>
              </w:rPr>
              <w:t>and</w:t>
            </w:r>
          </w:p>
        </w:tc>
      </w:tr>
    </w:tbl>
    <w:p w14:paraId="5BE57644" w14:textId="77777777" w:rsidR="004C7180" w:rsidRPr="00150EDC" w:rsidRDefault="004C7180">
      <w:pPr>
        <w:spacing w:line="270" w:lineRule="atLeast"/>
        <w:jc w:val="both"/>
        <w:rPr>
          <w:sz w:val="24"/>
        </w:rPr>
        <w:sectPr w:rsidR="004C7180" w:rsidRPr="00150EDC">
          <w:pgSz w:w="11910" w:h="16840"/>
          <w:pgMar w:top="1460" w:right="0" w:bottom="1420" w:left="40" w:header="712" w:footer="1224" w:gutter="0"/>
          <w:cols w:space="720"/>
        </w:sectPr>
      </w:pPr>
    </w:p>
    <w:p w14:paraId="0CF6F163" w14:textId="77777777" w:rsidR="004C7180" w:rsidRPr="00150EDC" w:rsidRDefault="004C7180">
      <w:pPr>
        <w:pStyle w:val="BodyText"/>
        <w:spacing w:before="5"/>
        <w:rPr>
          <w:rFonts w:ascii="Calibri Light"/>
          <w:sz w:val="26"/>
        </w:rPr>
      </w:pPr>
    </w:p>
    <w:tbl>
      <w:tblPr>
        <w:tblW w:w="0" w:type="auto"/>
        <w:tblCellSpacing w:w="10" w:type="dxa"/>
        <w:tblInd w:w="1437" w:type="dxa"/>
        <w:tblLayout w:type="fixed"/>
        <w:tblCellMar>
          <w:left w:w="0" w:type="dxa"/>
          <w:right w:w="0" w:type="dxa"/>
        </w:tblCellMar>
        <w:tblLook w:val="01E0" w:firstRow="1" w:lastRow="1" w:firstColumn="1" w:lastColumn="1" w:noHBand="0" w:noVBand="0"/>
      </w:tblPr>
      <w:tblGrid>
        <w:gridCol w:w="3015"/>
        <w:gridCol w:w="3005"/>
        <w:gridCol w:w="3014"/>
      </w:tblGrid>
      <w:tr w:rsidR="004569EE" w:rsidRPr="007D3144" w14:paraId="7BAAB900" w14:textId="77777777">
        <w:trPr>
          <w:trHeight w:val="8951"/>
          <w:tblCellSpacing w:w="10" w:type="dxa"/>
        </w:trPr>
        <w:tc>
          <w:tcPr>
            <w:tcW w:w="2985" w:type="dxa"/>
            <w:tcBorders>
              <w:top w:val="nil"/>
              <w:left w:val="nil"/>
            </w:tcBorders>
            <w:shd w:val="clear" w:color="auto" w:fill="4471C4"/>
          </w:tcPr>
          <w:p w14:paraId="78971EE8" w14:textId="77777777" w:rsidR="004C7180" w:rsidRPr="00150EDC" w:rsidRDefault="004C7180">
            <w:pPr>
              <w:pStyle w:val="TableParagraph"/>
              <w:spacing w:before="0" w:line="240" w:lineRule="auto"/>
              <w:ind w:left="0"/>
              <w:rPr>
                <w:rFonts w:ascii="Times New Roman"/>
              </w:rPr>
            </w:pPr>
          </w:p>
        </w:tc>
        <w:tc>
          <w:tcPr>
            <w:tcW w:w="2985" w:type="dxa"/>
            <w:tcBorders>
              <w:top w:val="nil"/>
              <w:right w:val="nil"/>
            </w:tcBorders>
            <w:shd w:val="clear" w:color="auto" w:fill="D9E1F3"/>
          </w:tcPr>
          <w:p w14:paraId="5889901C" w14:textId="77777777" w:rsidR="004C7180" w:rsidRPr="00150EDC" w:rsidRDefault="004C7180">
            <w:pPr>
              <w:pStyle w:val="TableParagraph"/>
              <w:spacing w:before="0" w:line="240" w:lineRule="auto"/>
              <w:ind w:left="0"/>
              <w:rPr>
                <w:rFonts w:ascii="Times New Roman"/>
              </w:rPr>
            </w:pPr>
          </w:p>
        </w:tc>
        <w:tc>
          <w:tcPr>
            <w:tcW w:w="2984" w:type="dxa"/>
            <w:tcBorders>
              <w:top w:val="nil"/>
              <w:left w:val="nil"/>
              <w:right w:val="nil"/>
            </w:tcBorders>
            <w:shd w:val="clear" w:color="auto" w:fill="D9E1F3"/>
          </w:tcPr>
          <w:p w14:paraId="306A5651" w14:textId="77777777" w:rsidR="004C7180" w:rsidRPr="00150EDC" w:rsidRDefault="00CF0754">
            <w:pPr>
              <w:pStyle w:val="TableParagraph"/>
              <w:spacing w:before="0" w:line="240" w:lineRule="auto"/>
              <w:ind w:left="96" w:right="92"/>
              <w:jc w:val="both"/>
              <w:rPr>
                <w:sz w:val="24"/>
              </w:rPr>
            </w:pPr>
            <w:r w:rsidRPr="007D3144">
              <w:rPr>
                <w:sz w:val="24"/>
              </w:rPr>
              <w:t>performance data, and ensuring</w:t>
            </w:r>
            <w:r w:rsidRPr="007D3144">
              <w:rPr>
                <w:spacing w:val="-2"/>
                <w:sz w:val="24"/>
              </w:rPr>
              <w:t xml:space="preserve"> </w:t>
            </w:r>
            <w:r w:rsidRPr="007D3144">
              <w:rPr>
                <w:sz w:val="24"/>
              </w:rPr>
              <w:t>data</w:t>
            </w:r>
            <w:r w:rsidRPr="007D3144">
              <w:rPr>
                <w:spacing w:val="-2"/>
                <w:sz w:val="24"/>
              </w:rPr>
              <w:t xml:space="preserve"> </w:t>
            </w:r>
            <w:r w:rsidRPr="007D3144">
              <w:rPr>
                <w:sz w:val="24"/>
              </w:rPr>
              <w:t>is</w:t>
            </w:r>
            <w:r w:rsidRPr="007D3144">
              <w:rPr>
                <w:spacing w:val="-3"/>
                <w:sz w:val="24"/>
              </w:rPr>
              <w:t xml:space="preserve"> </w:t>
            </w:r>
            <w:r w:rsidRPr="007D3144">
              <w:rPr>
                <w:sz w:val="24"/>
              </w:rPr>
              <w:t xml:space="preserve">managed in accordance with GDPR requirements. Recent projects and experience </w:t>
            </w:r>
            <w:r w:rsidRPr="007D3144">
              <w:rPr>
                <w:spacing w:val="-2"/>
                <w:sz w:val="24"/>
              </w:rPr>
              <w:t>include:</w:t>
            </w:r>
          </w:p>
          <w:p w14:paraId="7A7E3A96" w14:textId="77777777" w:rsidR="004C7180" w:rsidRPr="00150EDC" w:rsidRDefault="00CF0754" w:rsidP="00B320C7">
            <w:pPr>
              <w:pStyle w:val="TableParagraph"/>
              <w:numPr>
                <w:ilvl w:val="0"/>
                <w:numId w:val="79"/>
              </w:numPr>
              <w:tabs>
                <w:tab w:val="left" w:pos="816"/>
                <w:tab w:val="left" w:pos="2006"/>
                <w:tab w:val="left" w:pos="2607"/>
              </w:tabs>
              <w:spacing w:before="120" w:line="240" w:lineRule="auto"/>
              <w:ind w:right="91"/>
              <w:rPr>
                <w:sz w:val="24"/>
              </w:rPr>
            </w:pPr>
            <w:r w:rsidRPr="007D3144">
              <w:rPr>
                <w:spacing w:val="-4"/>
                <w:sz w:val="24"/>
              </w:rPr>
              <w:t>The</w:t>
            </w:r>
            <w:r w:rsidRPr="007D3144">
              <w:rPr>
                <w:sz w:val="24"/>
              </w:rPr>
              <w:tab/>
            </w:r>
            <w:r w:rsidRPr="007D3144">
              <w:rPr>
                <w:spacing w:val="-2"/>
                <w:sz w:val="24"/>
              </w:rPr>
              <w:t>National Centre</w:t>
            </w:r>
            <w:r w:rsidRPr="007D3144">
              <w:rPr>
                <w:sz w:val="24"/>
              </w:rPr>
              <w:tab/>
            </w:r>
            <w:r w:rsidRPr="007D3144">
              <w:rPr>
                <w:sz w:val="24"/>
              </w:rPr>
              <w:tab/>
            </w:r>
            <w:r w:rsidRPr="007D3144">
              <w:rPr>
                <w:spacing w:val="-4"/>
                <w:sz w:val="24"/>
              </w:rPr>
              <w:t>for</w:t>
            </w:r>
          </w:p>
          <w:p w14:paraId="579A928A" w14:textId="77777777" w:rsidR="004C7180" w:rsidRPr="00150EDC" w:rsidRDefault="00CF0754">
            <w:pPr>
              <w:pStyle w:val="TableParagraph"/>
              <w:tabs>
                <w:tab w:val="left" w:pos="2482"/>
                <w:tab w:val="left" w:pos="2686"/>
              </w:tabs>
              <w:spacing w:before="0" w:line="240" w:lineRule="auto"/>
              <w:ind w:left="816" w:right="93"/>
              <w:rPr>
                <w:sz w:val="24"/>
              </w:rPr>
            </w:pPr>
            <w:r w:rsidRPr="007D3144">
              <w:rPr>
                <w:sz w:val="24"/>
              </w:rPr>
              <w:t>Excellence</w:t>
            </w:r>
            <w:r w:rsidRPr="007D3144">
              <w:rPr>
                <w:spacing w:val="80"/>
                <w:sz w:val="24"/>
              </w:rPr>
              <w:t xml:space="preserve"> </w:t>
            </w:r>
            <w:r w:rsidRPr="007D3144">
              <w:rPr>
                <w:sz w:val="24"/>
              </w:rPr>
              <w:t>in</w:t>
            </w:r>
            <w:r w:rsidRPr="007D3144">
              <w:rPr>
                <w:spacing w:val="80"/>
                <w:sz w:val="24"/>
              </w:rPr>
              <w:t xml:space="preserve"> </w:t>
            </w:r>
            <w:r w:rsidRPr="007D3144">
              <w:rPr>
                <w:sz w:val="24"/>
              </w:rPr>
              <w:t xml:space="preserve">the </w:t>
            </w:r>
            <w:r w:rsidRPr="007D3144">
              <w:rPr>
                <w:spacing w:val="-2"/>
                <w:sz w:val="24"/>
              </w:rPr>
              <w:t>Teaching</w:t>
            </w:r>
            <w:r w:rsidRPr="007D3144">
              <w:rPr>
                <w:sz w:val="24"/>
              </w:rPr>
              <w:tab/>
            </w:r>
            <w:r w:rsidRPr="007D3144">
              <w:rPr>
                <w:sz w:val="24"/>
              </w:rPr>
              <w:tab/>
            </w:r>
            <w:r w:rsidRPr="007D3144">
              <w:rPr>
                <w:spacing w:val="-6"/>
                <w:sz w:val="24"/>
              </w:rPr>
              <w:t xml:space="preserve">of </w:t>
            </w:r>
            <w:r w:rsidRPr="007D3144">
              <w:rPr>
                <w:spacing w:val="-2"/>
                <w:sz w:val="24"/>
              </w:rPr>
              <w:t>Mathematics (NCETM)</w:t>
            </w:r>
            <w:r w:rsidRPr="007D3144">
              <w:rPr>
                <w:sz w:val="24"/>
              </w:rPr>
              <w:tab/>
            </w:r>
            <w:r w:rsidRPr="007D3144">
              <w:rPr>
                <w:spacing w:val="-4"/>
                <w:sz w:val="24"/>
              </w:rPr>
              <w:t xml:space="preserve">and </w:t>
            </w:r>
            <w:r w:rsidRPr="007D3144">
              <w:rPr>
                <w:sz w:val="24"/>
              </w:rPr>
              <w:t>Maths Hubs</w:t>
            </w:r>
          </w:p>
          <w:p w14:paraId="5FF49052" w14:textId="77777777" w:rsidR="004C7180" w:rsidRPr="00150EDC" w:rsidRDefault="00CF0754" w:rsidP="00B320C7">
            <w:pPr>
              <w:pStyle w:val="TableParagraph"/>
              <w:numPr>
                <w:ilvl w:val="0"/>
                <w:numId w:val="79"/>
              </w:numPr>
              <w:tabs>
                <w:tab w:val="left" w:pos="816"/>
                <w:tab w:val="left" w:pos="1418"/>
                <w:tab w:val="left" w:pos="1966"/>
                <w:tab w:val="left" w:pos="2607"/>
              </w:tabs>
              <w:spacing w:before="0" w:line="240" w:lineRule="auto"/>
              <w:ind w:right="92"/>
              <w:rPr>
                <w:sz w:val="24"/>
              </w:rPr>
            </w:pPr>
            <w:r w:rsidRPr="007D3144">
              <w:rPr>
                <w:spacing w:val="-2"/>
                <w:sz w:val="24"/>
              </w:rPr>
              <w:t>Manage</w:t>
            </w:r>
            <w:r w:rsidRPr="007D3144">
              <w:rPr>
                <w:sz w:val="24"/>
              </w:rPr>
              <w:tab/>
            </w:r>
            <w:r w:rsidRPr="007D3144">
              <w:rPr>
                <w:spacing w:val="-4"/>
                <w:sz w:val="24"/>
              </w:rPr>
              <w:t>risk</w:t>
            </w:r>
            <w:r w:rsidRPr="007D3144">
              <w:rPr>
                <w:sz w:val="24"/>
              </w:rPr>
              <w:tab/>
            </w:r>
            <w:r w:rsidRPr="007D3144">
              <w:rPr>
                <w:spacing w:val="-57"/>
                <w:sz w:val="24"/>
              </w:rPr>
              <w:t xml:space="preserve"> </w:t>
            </w:r>
            <w:r w:rsidRPr="007D3144">
              <w:rPr>
                <w:spacing w:val="-2"/>
                <w:sz w:val="24"/>
              </w:rPr>
              <w:t xml:space="preserve">on </w:t>
            </w:r>
            <w:r w:rsidRPr="007D3144">
              <w:rPr>
                <w:sz w:val="24"/>
              </w:rPr>
              <w:t>operational</w:t>
            </w:r>
            <w:r w:rsidRPr="007D3144">
              <w:rPr>
                <w:spacing w:val="-17"/>
                <w:sz w:val="24"/>
              </w:rPr>
              <w:t xml:space="preserve"> </w:t>
            </w:r>
            <w:r w:rsidRPr="007D3144">
              <w:rPr>
                <w:sz w:val="24"/>
              </w:rPr>
              <w:t>delivery of</w:t>
            </w:r>
            <w:r w:rsidRPr="007D3144">
              <w:rPr>
                <w:spacing w:val="29"/>
                <w:sz w:val="24"/>
              </w:rPr>
              <w:t xml:space="preserve"> </w:t>
            </w:r>
            <w:r w:rsidRPr="007D3144">
              <w:rPr>
                <w:sz w:val="24"/>
              </w:rPr>
              <w:t>the</w:t>
            </w:r>
            <w:r w:rsidRPr="007D3144">
              <w:rPr>
                <w:spacing w:val="29"/>
                <w:sz w:val="24"/>
              </w:rPr>
              <w:t xml:space="preserve"> </w:t>
            </w:r>
            <w:r w:rsidRPr="007D3144">
              <w:rPr>
                <w:sz w:val="24"/>
              </w:rPr>
              <w:t>Maths</w:t>
            </w:r>
            <w:r w:rsidRPr="007D3144">
              <w:rPr>
                <w:spacing w:val="28"/>
                <w:sz w:val="24"/>
              </w:rPr>
              <w:t xml:space="preserve"> </w:t>
            </w:r>
            <w:r w:rsidRPr="007D3144">
              <w:rPr>
                <w:sz w:val="24"/>
              </w:rPr>
              <w:t xml:space="preserve">Hubs </w:t>
            </w:r>
            <w:r w:rsidRPr="007D3144">
              <w:rPr>
                <w:spacing w:val="-4"/>
                <w:sz w:val="24"/>
              </w:rPr>
              <w:t>and</w:t>
            </w:r>
            <w:r w:rsidRPr="007D3144">
              <w:rPr>
                <w:sz w:val="24"/>
              </w:rPr>
              <w:tab/>
            </w:r>
            <w:r w:rsidRPr="007D3144">
              <w:rPr>
                <w:spacing w:val="-2"/>
                <w:sz w:val="24"/>
              </w:rPr>
              <w:t>Teaching</w:t>
            </w:r>
            <w:r w:rsidRPr="007D3144">
              <w:rPr>
                <w:sz w:val="24"/>
              </w:rPr>
              <w:tab/>
            </w:r>
            <w:r w:rsidRPr="007D3144">
              <w:rPr>
                <w:spacing w:val="-4"/>
                <w:sz w:val="24"/>
              </w:rPr>
              <w:t xml:space="preserve">for </w:t>
            </w:r>
            <w:r w:rsidRPr="007D3144">
              <w:rPr>
                <w:spacing w:val="-2"/>
                <w:sz w:val="24"/>
              </w:rPr>
              <w:t xml:space="preserve">Mastery </w:t>
            </w:r>
            <w:r w:rsidRPr="007D3144">
              <w:rPr>
                <w:sz w:val="24"/>
              </w:rPr>
              <w:t>Programme plans</w:t>
            </w:r>
          </w:p>
          <w:p w14:paraId="445191F9" w14:textId="77777777" w:rsidR="004C7180" w:rsidRPr="00150EDC" w:rsidRDefault="00CF0754" w:rsidP="00B320C7">
            <w:pPr>
              <w:pStyle w:val="TableParagraph"/>
              <w:numPr>
                <w:ilvl w:val="0"/>
                <w:numId w:val="79"/>
              </w:numPr>
              <w:tabs>
                <w:tab w:val="left" w:pos="816"/>
                <w:tab w:val="left" w:pos="2607"/>
              </w:tabs>
              <w:spacing w:before="1" w:line="240" w:lineRule="auto"/>
              <w:ind w:right="91"/>
              <w:rPr>
                <w:sz w:val="24"/>
              </w:rPr>
            </w:pPr>
            <w:r w:rsidRPr="007D3144">
              <w:rPr>
                <w:sz w:val="24"/>
              </w:rPr>
              <w:t>Drafting</w:t>
            </w:r>
            <w:r w:rsidRPr="007D3144">
              <w:rPr>
                <w:spacing w:val="-17"/>
                <w:sz w:val="24"/>
              </w:rPr>
              <w:t xml:space="preserve"> </w:t>
            </w:r>
            <w:r w:rsidRPr="007D3144">
              <w:rPr>
                <w:sz w:val="24"/>
              </w:rPr>
              <w:t>project</w:t>
            </w:r>
            <w:r w:rsidRPr="007D3144">
              <w:rPr>
                <w:spacing w:val="-17"/>
                <w:sz w:val="24"/>
              </w:rPr>
              <w:t xml:space="preserve"> </w:t>
            </w:r>
            <w:r w:rsidRPr="007D3144">
              <w:rPr>
                <w:sz w:val="24"/>
              </w:rPr>
              <w:t xml:space="preserve">and </w:t>
            </w:r>
            <w:r w:rsidRPr="007D3144">
              <w:rPr>
                <w:spacing w:val="-2"/>
                <w:sz w:val="24"/>
              </w:rPr>
              <w:t>contract specifications</w:t>
            </w:r>
            <w:r w:rsidRPr="007D3144">
              <w:rPr>
                <w:sz w:val="24"/>
              </w:rPr>
              <w:tab/>
            </w:r>
            <w:r w:rsidRPr="007D3144">
              <w:rPr>
                <w:spacing w:val="-4"/>
                <w:sz w:val="24"/>
              </w:rPr>
              <w:t xml:space="preserve">for </w:t>
            </w:r>
            <w:r w:rsidRPr="007D3144">
              <w:rPr>
                <w:spacing w:val="-2"/>
                <w:sz w:val="24"/>
              </w:rPr>
              <w:t>commissioned</w:t>
            </w:r>
            <w:r w:rsidRPr="007D3144">
              <w:rPr>
                <w:spacing w:val="80"/>
                <w:sz w:val="24"/>
              </w:rPr>
              <w:t xml:space="preserve"> </w:t>
            </w:r>
            <w:r w:rsidRPr="007D3144">
              <w:rPr>
                <w:spacing w:val="-4"/>
                <w:sz w:val="24"/>
              </w:rPr>
              <w:t>work</w:t>
            </w:r>
          </w:p>
          <w:p w14:paraId="0859E4C9" w14:textId="77777777" w:rsidR="004C7180" w:rsidRPr="00150EDC" w:rsidRDefault="00CF0754" w:rsidP="00B320C7">
            <w:pPr>
              <w:pStyle w:val="TableParagraph"/>
              <w:numPr>
                <w:ilvl w:val="0"/>
                <w:numId w:val="79"/>
              </w:numPr>
              <w:tabs>
                <w:tab w:val="left" w:pos="816"/>
                <w:tab w:val="left" w:pos="1699"/>
                <w:tab w:val="left" w:pos="2006"/>
                <w:tab w:val="left" w:pos="2487"/>
                <w:tab w:val="left" w:pos="2607"/>
              </w:tabs>
              <w:spacing w:before="0" w:line="270" w:lineRule="atLeast"/>
              <w:ind w:right="92"/>
              <w:rPr>
                <w:sz w:val="24"/>
              </w:rPr>
            </w:pPr>
            <w:r w:rsidRPr="007D3144">
              <w:rPr>
                <w:sz w:val="24"/>
              </w:rPr>
              <w:t>Monitor</w:t>
            </w:r>
            <w:r w:rsidRPr="007D3144">
              <w:rPr>
                <w:spacing w:val="36"/>
                <w:sz w:val="24"/>
              </w:rPr>
              <w:t xml:space="preserve"> </w:t>
            </w:r>
            <w:r w:rsidRPr="007D3144">
              <w:rPr>
                <w:sz w:val="24"/>
              </w:rPr>
              <w:t>and</w:t>
            </w:r>
            <w:r w:rsidRPr="007D3144">
              <w:rPr>
                <w:spacing w:val="38"/>
                <w:sz w:val="24"/>
              </w:rPr>
              <w:t xml:space="preserve"> </w:t>
            </w:r>
            <w:r w:rsidRPr="007D3144">
              <w:rPr>
                <w:sz w:val="24"/>
              </w:rPr>
              <w:t>report on</w:t>
            </w:r>
            <w:r w:rsidRPr="007D3144">
              <w:rPr>
                <w:spacing w:val="40"/>
                <w:sz w:val="24"/>
              </w:rPr>
              <w:t xml:space="preserve"> </w:t>
            </w:r>
            <w:r w:rsidRPr="007D3144">
              <w:rPr>
                <w:sz w:val="24"/>
              </w:rPr>
              <w:t>the</w:t>
            </w:r>
            <w:r w:rsidRPr="007D3144">
              <w:rPr>
                <w:spacing w:val="40"/>
                <w:sz w:val="24"/>
              </w:rPr>
              <w:t xml:space="preserve"> </w:t>
            </w:r>
            <w:r w:rsidRPr="007D3144">
              <w:rPr>
                <w:sz w:val="24"/>
              </w:rPr>
              <w:t xml:space="preserve">operational </w:t>
            </w:r>
            <w:r w:rsidRPr="007D3144">
              <w:rPr>
                <w:spacing w:val="-4"/>
                <w:sz w:val="24"/>
              </w:rPr>
              <w:t>and</w:t>
            </w:r>
            <w:r w:rsidRPr="007D3144">
              <w:rPr>
                <w:sz w:val="24"/>
              </w:rPr>
              <w:tab/>
            </w:r>
            <w:r w:rsidRPr="007D3144">
              <w:rPr>
                <w:sz w:val="24"/>
              </w:rPr>
              <w:tab/>
            </w:r>
            <w:r w:rsidRPr="007D3144">
              <w:rPr>
                <w:spacing w:val="-2"/>
                <w:sz w:val="24"/>
              </w:rPr>
              <w:t xml:space="preserve">financial </w:t>
            </w:r>
            <w:r w:rsidRPr="007D3144">
              <w:rPr>
                <w:sz w:val="24"/>
              </w:rPr>
              <w:t xml:space="preserve">performance of the </w:t>
            </w:r>
            <w:r w:rsidRPr="007D3144">
              <w:rPr>
                <w:spacing w:val="-2"/>
                <w:sz w:val="24"/>
              </w:rPr>
              <w:t>Maths</w:t>
            </w:r>
            <w:r w:rsidRPr="007D3144">
              <w:rPr>
                <w:sz w:val="24"/>
              </w:rPr>
              <w:tab/>
            </w:r>
            <w:r w:rsidRPr="007D3144">
              <w:rPr>
                <w:spacing w:val="-4"/>
                <w:sz w:val="24"/>
              </w:rPr>
              <w:t>Hubs</w:t>
            </w:r>
            <w:r w:rsidRPr="007D3144">
              <w:rPr>
                <w:sz w:val="24"/>
              </w:rPr>
              <w:tab/>
            </w:r>
            <w:r w:rsidRPr="007D3144">
              <w:rPr>
                <w:spacing w:val="-4"/>
                <w:sz w:val="24"/>
              </w:rPr>
              <w:t xml:space="preserve">and </w:t>
            </w:r>
            <w:r w:rsidRPr="007D3144">
              <w:rPr>
                <w:spacing w:val="-2"/>
                <w:sz w:val="24"/>
              </w:rPr>
              <w:t>Teaching</w:t>
            </w:r>
            <w:r w:rsidRPr="007D3144">
              <w:rPr>
                <w:sz w:val="24"/>
              </w:rPr>
              <w:tab/>
            </w:r>
            <w:r w:rsidRPr="007D3144">
              <w:rPr>
                <w:sz w:val="24"/>
              </w:rPr>
              <w:tab/>
            </w:r>
            <w:r w:rsidRPr="007D3144">
              <w:rPr>
                <w:sz w:val="24"/>
              </w:rPr>
              <w:tab/>
            </w:r>
            <w:r w:rsidRPr="007D3144">
              <w:rPr>
                <w:spacing w:val="-4"/>
                <w:sz w:val="24"/>
              </w:rPr>
              <w:t xml:space="preserve">for </w:t>
            </w:r>
            <w:r w:rsidRPr="007D3144">
              <w:rPr>
                <w:spacing w:val="-2"/>
                <w:sz w:val="24"/>
              </w:rPr>
              <w:t>Mastery programmes</w:t>
            </w:r>
          </w:p>
        </w:tc>
      </w:tr>
      <w:tr w:rsidR="004569EE" w:rsidRPr="007D3144" w14:paraId="62689809" w14:textId="77777777">
        <w:trPr>
          <w:trHeight w:val="4258"/>
          <w:tblCellSpacing w:w="10" w:type="dxa"/>
        </w:trPr>
        <w:tc>
          <w:tcPr>
            <w:tcW w:w="2985" w:type="dxa"/>
            <w:tcBorders>
              <w:left w:val="nil"/>
              <w:bottom w:val="nil"/>
            </w:tcBorders>
            <w:shd w:val="clear" w:color="auto" w:fill="4471C4"/>
          </w:tcPr>
          <w:p w14:paraId="5F8827DD" w14:textId="77777777" w:rsidR="004C7180" w:rsidRPr="00150EDC" w:rsidRDefault="00CF0754">
            <w:pPr>
              <w:pStyle w:val="TableParagraph"/>
              <w:spacing w:before="0" w:line="343" w:lineRule="auto"/>
              <w:ind w:left="98" w:right="176"/>
              <w:rPr>
                <w:b/>
                <w:sz w:val="24"/>
              </w:rPr>
            </w:pPr>
            <w:r w:rsidRPr="007D3144">
              <w:rPr>
                <w:b/>
                <w:sz w:val="24"/>
              </w:rPr>
              <w:t>Finance</w:t>
            </w:r>
            <w:r w:rsidRPr="007D3144">
              <w:rPr>
                <w:b/>
                <w:spacing w:val="-17"/>
                <w:sz w:val="24"/>
              </w:rPr>
              <w:t xml:space="preserve"> </w:t>
            </w:r>
            <w:r w:rsidRPr="007D3144">
              <w:rPr>
                <w:b/>
                <w:sz w:val="24"/>
              </w:rPr>
              <w:t>Manager Rachel York</w:t>
            </w:r>
          </w:p>
        </w:tc>
        <w:tc>
          <w:tcPr>
            <w:tcW w:w="2985" w:type="dxa"/>
            <w:tcBorders>
              <w:bottom w:val="nil"/>
              <w:right w:val="nil"/>
            </w:tcBorders>
            <w:shd w:val="clear" w:color="auto" w:fill="B4C5E7"/>
          </w:tcPr>
          <w:p w14:paraId="056E34A9" w14:textId="77777777" w:rsidR="004C7180" w:rsidRPr="00150EDC" w:rsidRDefault="00CF0754">
            <w:pPr>
              <w:pStyle w:val="TableParagraph"/>
              <w:spacing w:before="0" w:line="240" w:lineRule="auto"/>
              <w:ind w:left="97" w:right="207"/>
              <w:rPr>
                <w:sz w:val="24"/>
              </w:rPr>
            </w:pPr>
            <w:r w:rsidRPr="007D3144">
              <w:rPr>
                <w:sz w:val="24"/>
              </w:rPr>
              <w:t>5</w:t>
            </w:r>
            <w:r w:rsidRPr="007D3144">
              <w:rPr>
                <w:spacing w:val="-10"/>
                <w:sz w:val="24"/>
              </w:rPr>
              <w:t xml:space="preserve"> </w:t>
            </w:r>
            <w:r w:rsidRPr="007D3144">
              <w:rPr>
                <w:sz w:val="24"/>
              </w:rPr>
              <w:t>days/week</w:t>
            </w:r>
            <w:r w:rsidRPr="007D3144">
              <w:rPr>
                <w:spacing w:val="-13"/>
                <w:sz w:val="24"/>
              </w:rPr>
              <w:t xml:space="preserve"> </w:t>
            </w:r>
            <w:r w:rsidRPr="007D3144">
              <w:rPr>
                <w:sz w:val="24"/>
              </w:rPr>
              <w:t>or</w:t>
            </w:r>
            <w:r w:rsidRPr="007D3144">
              <w:rPr>
                <w:spacing w:val="-12"/>
                <w:sz w:val="24"/>
              </w:rPr>
              <w:t xml:space="preserve"> </w:t>
            </w:r>
            <w:r w:rsidRPr="007D3144">
              <w:rPr>
                <w:sz w:val="24"/>
              </w:rPr>
              <w:t xml:space="preserve">100% </w:t>
            </w:r>
            <w:r w:rsidRPr="007D3144">
              <w:rPr>
                <w:spacing w:val="-4"/>
                <w:sz w:val="24"/>
              </w:rPr>
              <w:t>FTE</w:t>
            </w:r>
          </w:p>
        </w:tc>
        <w:tc>
          <w:tcPr>
            <w:tcW w:w="2984" w:type="dxa"/>
            <w:tcBorders>
              <w:left w:val="nil"/>
              <w:bottom w:val="nil"/>
              <w:right w:val="nil"/>
            </w:tcBorders>
            <w:shd w:val="clear" w:color="auto" w:fill="B4C5E7"/>
          </w:tcPr>
          <w:p w14:paraId="6FE6F608" w14:textId="77777777" w:rsidR="004C7180" w:rsidRPr="00150EDC" w:rsidRDefault="00CF0754">
            <w:pPr>
              <w:pStyle w:val="TableParagraph"/>
              <w:spacing w:before="0" w:line="240" w:lineRule="auto"/>
              <w:ind w:left="96" w:right="92"/>
              <w:jc w:val="both"/>
              <w:rPr>
                <w:sz w:val="24"/>
              </w:rPr>
            </w:pPr>
            <w:r w:rsidRPr="007D3144">
              <w:rPr>
                <w:sz w:val="24"/>
              </w:rPr>
              <w:t>Over four years’ experience working within Tribal Group, Rachel is experienced in budget monitoring, processing payments, invoices and expense claims. Projects she</w:t>
            </w:r>
            <w:r w:rsidRPr="007D3144">
              <w:rPr>
                <w:spacing w:val="-15"/>
                <w:sz w:val="24"/>
              </w:rPr>
              <w:t xml:space="preserve"> </w:t>
            </w:r>
            <w:r w:rsidRPr="007D3144">
              <w:rPr>
                <w:sz w:val="24"/>
              </w:rPr>
              <w:t>has</w:t>
            </w:r>
            <w:r w:rsidRPr="007D3144">
              <w:rPr>
                <w:spacing w:val="-17"/>
                <w:sz w:val="24"/>
              </w:rPr>
              <w:t xml:space="preserve"> </w:t>
            </w:r>
            <w:r w:rsidRPr="007D3144">
              <w:rPr>
                <w:sz w:val="24"/>
              </w:rPr>
              <w:t>directly</w:t>
            </w:r>
            <w:r w:rsidRPr="007D3144">
              <w:rPr>
                <w:spacing w:val="-15"/>
                <w:sz w:val="24"/>
              </w:rPr>
              <w:t xml:space="preserve"> </w:t>
            </w:r>
            <w:r w:rsidRPr="007D3144">
              <w:rPr>
                <w:sz w:val="24"/>
              </w:rPr>
              <w:t>supported that are relevant to the RCTs include:</w:t>
            </w:r>
          </w:p>
          <w:p w14:paraId="0A798B6B" w14:textId="77777777" w:rsidR="004C7180" w:rsidRPr="00150EDC" w:rsidRDefault="00CF0754" w:rsidP="00B320C7">
            <w:pPr>
              <w:pStyle w:val="TableParagraph"/>
              <w:numPr>
                <w:ilvl w:val="0"/>
                <w:numId w:val="78"/>
              </w:numPr>
              <w:tabs>
                <w:tab w:val="left" w:pos="816"/>
                <w:tab w:val="left" w:pos="2006"/>
                <w:tab w:val="left" w:pos="2607"/>
              </w:tabs>
              <w:spacing w:before="119" w:line="240" w:lineRule="auto"/>
              <w:ind w:right="91"/>
              <w:jc w:val="both"/>
              <w:rPr>
                <w:sz w:val="24"/>
              </w:rPr>
            </w:pPr>
            <w:r w:rsidRPr="007D3144">
              <w:rPr>
                <w:spacing w:val="-4"/>
                <w:sz w:val="24"/>
              </w:rPr>
              <w:t>The</w:t>
            </w:r>
            <w:r w:rsidRPr="007D3144">
              <w:rPr>
                <w:sz w:val="24"/>
              </w:rPr>
              <w:tab/>
            </w:r>
            <w:r w:rsidRPr="007D3144">
              <w:rPr>
                <w:spacing w:val="-2"/>
                <w:sz w:val="24"/>
              </w:rPr>
              <w:t>National Centre</w:t>
            </w:r>
            <w:r w:rsidRPr="007D3144">
              <w:rPr>
                <w:sz w:val="24"/>
              </w:rPr>
              <w:tab/>
            </w:r>
            <w:r w:rsidRPr="007D3144">
              <w:rPr>
                <w:sz w:val="24"/>
              </w:rPr>
              <w:tab/>
            </w:r>
            <w:r w:rsidRPr="007D3144">
              <w:rPr>
                <w:spacing w:val="-4"/>
                <w:sz w:val="24"/>
              </w:rPr>
              <w:t>for</w:t>
            </w:r>
          </w:p>
          <w:p w14:paraId="73E63ABF" w14:textId="77777777" w:rsidR="004C7180" w:rsidRPr="00150EDC" w:rsidRDefault="00CF0754">
            <w:pPr>
              <w:pStyle w:val="TableParagraph"/>
              <w:tabs>
                <w:tab w:val="left" w:pos="2686"/>
              </w:tabs>
              <w:spacing w:before="0" w:line="270" w:lineRule="atLeast"/>
              <w:ind w:left="816" w:right="93"/>
              <w:jc w:val="both"/>
              <w:rPr>
                <w:sz w:val="24"/>
              </w:rPr>
            </w:pPr>
            <w:r w:rsidRPr="007D3144">
              <w:rPr>
                <w:sz w:val="24"/>
              </w:rPr>
              <w:t xml:space="preserve">Excellence in the </w:t>
            </w:r>
            <w:r w:rsidRPr="007D3144">
              <w:rPr>
                <w:spacing w:val="-2"/>
                <w:sz w:val="24"/>
              </w:rPr>
              <w:t>Teaching</w:t>
            </w:r>
            <w:r w:rsidRPr="007D3144">
              <w:rPr>
                <w:sz w:val="24"/>
              </w:rPr>
              <w:tab/>
            </w:r>
            <w:r w:rsidRPr="007D3144">
              <w:rPr>
                <w:spacing w:val="-6"/>
                <w:sz w:val="24"/>
              </w:rPr>
              <w:t xml:space="preserve">of </w:t>
            </w:r>
            <w:r w:rsidRPr="007D3144">
              <w:rPr>
                <w:spacing w:val="-2"/>
                <w:sz w:val="24"/>
              </w:rPr>
              <w:t>Mathematics</w:t>
            </w:r>
          </w:p>
        </w:tc>
      </w:tr>
    </w:tbl>
    <w:p w14:paraId="619D8BC7" w14:textId="77777777" w:rsidR="004C7180" w:rsidRPr="00150EDC" w:rsidRDefault="004C7180">
      <w:pPr>
        <w:spacing w:line="270" w:lineRule="atLeast"/>
        <w:jc w:val="both"/>
        <w:rPr>
          <w:sz w:val="24"/>
        </w:rPr>
        <w:sectPr w:rsidR="004C7180" w:rsidRPr="00150EDC">
          <w:pgSz w:w="11910" w:h="16840"/>
          <w:pgMar w:top="1460" w:right="0" w:bottom="1420" w:left="40" w:header="712" w:footer="1224" w:gutter="0"/>
          <w:cols w:space="720"/>
        </w:sectPr>
      </w:pPr>
    </w:p>
    <w:p w14:paraId="74082A74" w14:textId="77777777" w:rsidR="004C7180" w:rsidRPr="00150EDC" w:rsidRDefault="004C7180">
      <w:pPr>
        <w:pStyle w:val="BodyText"/>
        <w:spacing w:before="5"/>
        <w:rPr>
          <w:rFonts w:ascii="Calibri Light"/>
          <w:sz w:val="26"/>
        </w:rPr>
      </w:pPr>
    </w:p>
    <w:tbl>
      <w:tblPr>
        <w:tblW w:w="0" w:type="auto"/>
        <w:tblCellSpacing w:w="10" w:type="dxa"/>
        <w:tblInd w:w="1437" w:type="dxa"/>
        <w:tblLayout w:type="fixed"/>
        <w:tblCellMar>
          <w:left w:w="0" w:type="dxa"/>
          <w:right w:w="0" w:type="dxa"/>
        </w:tblCellMar>
        <w:tblLook w:val="01E0" w:firstRow="1" w:lastRow="1" w:firstColumn="1" w:lastColumn="1" w:noHBand="0" w:noVBand="0"/>
      </w:tblPr>
      <w:tblGrid>
        <w:gridCol w:w="3015"/>
        <w:gridCol w:w="3005"/>
        <w:gridCol w:w="3014"/>
      </w:tblGrid>
      <w:tr w:rsidR="004569EE" w:rsidRPr="007D3144" w14:paraId="15B18B5E" w14:textId="77777777">
        <w:trPr>
          <w:trHeight w:val="5243"/>
          <w:tblCellSpacing w:w="10" w:type="dxa"/>
        </w:trPr>
        <w:tc>
          <w:tcPr>
            <w:tcW w:w="2985" w:type="dxa"/>
            <w:tcBorders>
              <w:top w:val="nil"/>
              <w:left w:val="nil"/>
            </w:tcBorders>
            <w:shd w:val="clear" w:color="auto" w:fill="4471C4"/>
          </w:tcPr>
          <w:p w14:paraId="7851AA2F" w14:textId="77777777" w:rsidR="004C7180" w:rsidRPr="00150EDC" w:rsidRDefault="004C7180">
            <w:pPr>
              <w:pStyle w:val="TableParagraph"/>
              <w:spacing w:before="0" w:line="240" w:lineRule="auto"/>
              <w:ind w:left="0"/>
              <w:rPr>
                <w:rFonts w:ascii="Times New Roman"/>
              </w:rPr>
            </w:pPr>
          </w:p>
        </w:tc>
        <w:tc>
          <w:tcPr>
            <w:tcW w:w="2985" w:type="dxa"/>
            <w:tcBorders>
              <w:top w:val="nil"/>
              <w:right w:val="nil"/>
            </w:tcBorders>
            <w:shd w:val="clear" w:color="auto" w:fill="B4C5E7"/>
          </w:tcPr>
          <w:p w14:paraId="6FFACBA0" w14:textId="77777777" w:rsidR="004C7180" w:rsidRPr="00150EDC" w:rsidRDefault="004C7180">
            <w:pPr>
              <w:pStyle w:val="TableParagraph"/>
              <w:spacing w:before="0" w:line="240" w:lineRule="auto"/>
              <w:ind w:left="0"/>
              <w:rPr>
                <w:rFonts w:ascii="Times New Roman"/>
              </w:rPr>
            </w:pPr>
          </w:p>
        </w:tc>
        <w:tc>
          <w:tcPr>
            <w:tcW w:w="2984" w:type="dxa"/>
            <w:tcBorders>
              <w:top w:val="nil"/>
              <w:left w:val="nil"/>
              <w:right w:val="nil"/>
            </w:tcBorders>
            <w:shd w:val="clear" w:color="auto" w:fill="B4C5E7"/>
          </w:tcPr>
          <w:p w14:paraId="0362B164" w14:textId="77777777" w:rsidR="004C7180" w:rsidRPr="00150EDC" w:rsidRDefault="00CF0754">
            <w:pPr>
              <w:pStyle w:val="TableParagraph"/>
              <w:tabs>
                <w:tab w:val="left" w:pos="2482"/>
              </w:tabs>
              <w:spacing w:before="0" w:line="240" w:lineRule="auto"/>
              <w:ind w:left="816" w:right="97"/>
              <w:rPr>
                <w:sz w:val="24"/>
              </w:rPr>
            </w:pPr>
            <w:r w:rsidRPr="007D3144">
              <w:rPr>
                <w:spacing w:val="-2"/>
                <w:sz w:val="24"/>
              </w:rPr>
              <w:t>(NCETM)</w:t>
            </w:r>
            <w:r w:rsidRPr="007D3144">
              <w:rPr>
                <w:sz w:val="24"/>
              </w:rPr>
              <w:tab/>
            </w:r>
            <w:r w:rsidRPr="007D3144">
              <w:rPr>
                <w:spacing w:val="-4"/>
                <w:sz w:val="24"/>
              </w:rPr>
              <w:t xml:space="preserve">and </w:t>
            </w:r>
            <w:r w:rsidRPr="007D3144">
              <w:rPr>
                <w:sz w:val="24"/>
              </w:rPr>
              <w:t>Maths Hubs</w:t>
            </w:r>
          </w:p>
          <w:p w14:paraId="7C3BEAF8" w14:textId="77777777" w:rsidR="004C7180" w:rsidRPr="00150EDC" w:rsidRDefault="00CF0754" w:rsidP="00B320C7">
            <w:pPr>
              <w:pStyle w:val="TableParagraph"/>
              <w:numPr>
                <w:ilvl w:val="0"/>
                <w:numId w:val="77"/>
              </w:numPr>
              <w:tabs>
                <w:tab w:val="left" w:pos="816"/>
                <w:tab w:val="left" w:pos="1990"/>
                <w:tab w:val="left" w:pos="2273"/>
                <w:tab w:val="left" w:pos="2486"/>
              </w:tabs>
              <w:spacing w:before="0" w:line="240" w:lineRule="auto"/>
              <w:ind w:right="92"/>
              <w:rPr>
                <w:sz w:val="24"/>
              </w:rPr>
            </w:pPr>
            <w:r w:rsidRPr="007D3144">
              <w:rPr>
                <w:sz w:val="24"/>
              </w:rPr>
              <w:t>Providing</w:t>
            </w:r>
            <w:r w:rsidRPr="007D3144">
              <w:rPr>
                <w:spacing w:val="7"/>
                <w:sz w:val="24"/>
              </w:rPr>
              <w:t xml:space="preserve"> </w:t>
            </w:r>
            <w:r w:rsidRPr="007D3144">
              <w:rPr>
                <w:sz w:val="24"/>
              </w:rPr>
              <w:t xml:space="preserve">Financial </w:t>
            </w:r>
            <w:r w:rsidRPr="007D3144">
              <w:rPr>
                <w:spacing w:val="-2"/>
                <w:sz w:val="24"/>
              </w:rPr>
              <w:t>Management monitoring</w:t>
            </w:r>
            <w:r w:rsidRPr="007D3144">
              <w:rPr>
                <w:sz w:val="24"/>
              </w:rPr>
              <w:tab/>
            </w:r>
            <w:r w:rsidRPr="007D3144">
              <w:rPr>
                <w:sz w:val="24"/>
              </w:rPr>
              <w:tab/>
            </w:r>
            <w:r w:rsidRPr="007D3144">
              <w:rPr>
                <w:sz w:val="24"/>
              </w:rPr>
              <w:tab/>
            </w:r>
            <w:r w:rsidRPr="007D3144">
              <w:rPr>
                <w:spacing w:val="-4"/>
                <w:sz w:val="24"/>
              </w:rPr>
              <w:t xml:space="preserve">and </w:t>
            </w:r>
            <w:r w:rsidRPr="007D3144">
              <w:rPr>
                <w:sz w:val="24"/>
              </w:rPr>
              <w:t>guidance</w:t>
            </w:r>
            <w:r w:rsidRPr="007D3144">
              <w:rPr>
                <w:spacing w:val="-4"/>
                <w:sz w:val="24"/>
              </w:rPr>
              <w:t xml:space="preserve"> </w:t>
            </w:r>
            <w:r w:rsidRPr="007D3144">
              <w:rPr>
                <w:sz w:val="24"/>
              </w:rPr>
              <w:t>to</w:t>
            </w:r>
            <w:r w:rsidRPr="007D3144">
              <w:rPr>
                <w:spacing w:val="-4"/>
                <w:sz w:val="24"/>
              </w:rPr>
              <w:t xml:space="preserve"> </w:t>
            </w:r>
            <w:r w:rsidRPr="007D3144">
              <w:rPr>
                <w:sz w:val="24"/>
              </w:rPr>
              <w:t xml:space="preserve">ensure </w:t>
            </w:r>
            <w:r w:rsidRPr="007D3144">
              <w:rPr>
                <w:spacing w:val="-2"/>
                <w:sz w:val="24"/>
              </w:rPr>
              <w:t>NCETM</w:t>
            </w:r>
            <w:r w:rsidRPr="007D3144">
              <w:rPr>
                <w:sz w:val="24"/>
              </w:rPr>
              <w:tab/>
            </w:r>
            <w:r w:rsidRPr="007D3144">
              <w:rPr>
                <w:spacing w:val="-2"/>
                <w:sz w:val="24"/>
              </w:rPr>
              <w:t>finances remain</w:t>
            </w:r>
            <w:r w:rsidRPr="007D3144">
              <w:rPr>
                <w:sz w:val="24"/>
              </w:rPr>
              <w:tab/>
            </w:r>
            <w:r w:rsidRPr="007D3144">
              <w:rPr>
                <w:sz w:val="24"/>
              </w:rPr>
              <w:tab/>
            </w:r>
            <w:r w:rsidRPr="007D3144">
              <w:rPr>
                <w:spacing w:val="-2"/>
                <w:sz w:val="24"/>
              </w:rPr>
              <w:t>within parameters</w:t>
            </w:r>
          </w:p>
          <w:p w14:paraId="21B21B4A" w14:textId="77777777" w:rsidR="004C7180" w:rsidRPr="00150EDC" w:rsidRDefault="00CF0754" w:rsidP="00B320C7">
            <w:pPr>
              <w:pStyle w:val="TableParagraph"/>
              <w:numPr>
                <w:ilvl w:val="0"/>
                <w:numId w:val="77"/>
              </w:numPr>
              <w:tabs>
                <w:tab w:val="left" w:pos="816"/>
                <w:tab w:val="left" w:pos="2607"/>
              </w:tabs>
              <w:spacing w:before="0" w:line="240" w:lineRule="auto"/>
              <w:ind w:right="91"/>
              <w:rPr>
                <w:sz w:val="24"/>
              </w:rPr>
            </w:pPr>
            <w:r w:rsidRPr="007D3144">
              <w:rPr>
                <w:spacing w:val="-2"/>
                <w:sz w:val="24"/>
              </w:rPr>
              <w:t>Produce management information</w:t>
            </w:r>
            <w:r w:rsidRPr="007D3144">
              <w:rPr>
                <w:sz w:val="24"/>
              </w:rPr>
              <w:tab/>
            </w:r>
            <w:r w:rsidRPr="007D3144">
              <w:rPr>
                <w:spacing w:val="-4"/>
                <w:sz w:val="24"/>
              </w:rPr>
              <w:t xml:space="preserve">for </w:t>
            </w:r>
            <w:r w:rsidRPr="007D3144">
              <w:rPr>
                <w:sz w:val="24"/>
              </w:rPr>
              <w:t>senior</w:t>
            </w:r>
            <w:r w:rsidRPr="007D3144">
              <w:rPr>
                <w:spacing w:val="31"/>
                <w:sz w:val="24"/>
              </w:rPr>
              <w:t xml:space="preserve"> </w:t>
            </w:r>
            <w:r w:rsidRPr="007D3144">
              <w:rPr>
                <w:sz w:val="24"/>
              </w:rPr>
              <w:t>leaders</w:t>
            </w:r>
            <w:r w:rsidRPr="007D3144">
              <w:rPr>
                <w:spacing w:val="30"/>
                <w:sz w:val="24"/>
              </w:rPr>
              <w:t xml:space="preserve"> </w:t>
            </w:r>
            <w:r w:rsidRPr="007D3144">
              <w:rPr>
                <w:sz w:val="24"/>
              </w:rPr>
              <w:t>and contract managers</w:t>
            </w:r>
          </w:p>
          <w:p w14:paraId="48CDAEA3" w14:textId="77777777" w:rsidR="004C7180" w:rsidRPr="00150EDC" w:rsidRDefault="00CF0754" w:rsidP="00B320C7">
            <w:pPr>
              <w:pStyle w:val="TableParagraph"/>
              <w:numPr>
                <w:ilvl w:val="0"/>
                <w:numId w:val="77"/>
              </w:numPr>
              <w:tabs>
                <w:tab w:val="left" w:pos="816"/>
              </w:tabs>
              <w:spacing w:before="0" w:line="270" w:lineRule="atLeast"/>
              <w:ind w:right="92"/>
              <w:jc w:val="both"/>
              <w:rPr>
                <w:sz w:val="24"/>
              </w:rPr>
            </w:pPr>
            <w:r w:rsidRPr="007D3144">
              <w:rPr>
                <w:sz w:val="24"/>
              </w:rPr>
              <w:t xml:space="preserve">National Childbirth Trust as a Senior Administrator and Education Office </w:t>
            </w:r>
            <w:r w:rsidRPr="007D3144">
              <w:rPr>
                <w:spacing w:val="-2"/>
                <w:sz w:val="24"/>
              </w:rPr>
              <w:t>Manager</w:t>
            </w:r>
          </w:p>
        </w:tc>
      </w:tr>
      <w:tr w:rsidR="004569EE" w:rsidRPr="007D3144" w14:paraId="31232330" w14:textId="77777777">
        <w:trPr>
          <w:trHeight w:val="7847"/>
          <w:tblCellSpacing w:w="10" w:type="dxa"/>
        </w:trPr>
        <w:tc>
          <w:tcPr>
            <w:tcW w:w="2985" w:type="dxa"/>
            <w:tcBorders>
              <w:left w:val="nil"/>
              <w:bottom w:val="nil"/>
            </w:tcBorders>
            <w:shd w:val="clear" w:color="auto" w:fill="4471C4"/>
          </w:tcPr>
          <w:p w14:paraId="573C5B0E" w14:textId="77777777" w:rsidR="004C7180" w:rsidRPr="00150EDC" w:rsidRDefault="00CF0754">
            <w:pPr>
              <w:pStyle w:val="TableParagraph"/>
              <w:spacing w:before="0" w:line="240" w:lineRule="auto"/>
              <w:ind w:left="98" w:right="176"/>
              <w:rPr>
                <w:b/>
                <w:sz w:val="24"/>
              </w:rPr>
            </w:pPr>
            <w:r w:rsidRPr="007D3144">
              <w:rPr>
                <w:b/>
                <w:sz w:val="24"/>
              </w:rPr>
              <w:t>Assistant</w:t>
            </w:r>
            <w:r w:rsidRPr="007D3144">
              <w:rPr>
                <w:b/>
                <w:spacing w:val="-17"/>
                <w:sz w:val="24"/>
              </w:rPr>
              <w:t xml:space="preserve"> </w:t>
            </w:r>
            <w:r w:rsidRPr="007D3144">
              <w:rPr>
                <w:b/>
                <w:sz w:val="24"/>
              </w:rPr>
              <w:t xml:space="preserve">Project </w:t>
            </w:r>
            <w:r w:rsidRPr="007D3144">
              <w:rPr>
                <w:b/>
                <w:spacing w:val="-2"/>
                <w:sz w:val="24"/>
              </w:rPr>
              <w:t>Manager</w:t>
            </w:r>
          </w:p>
          <w:p w14:paraId="417E13FC" w14:textId="77777777" w:rsidR="004C7180" w:rsidRPr="00150EDC" w:rsidRDefault="00CF0754">
            <w:pPr>
              <w:pStyle w:val="TableParagraph"/>
              <w:spacing w:before="120" w:line="240" w:lineRule="auto"/>
              <w:ind w:left="98"/>
              <w:rPr>
                <w:b/>
                <w:sz w:val="24"/>
              </w:rPr>
            </w:pPr>
            <w:r w:rsidRPr="007D3144">
              <w:rPr>
                <w:b/>
                <w:sz w:val="24"/>
              </w:rPr>
              <w:t>Laura</w:t>
            </w:r>
            <w:r w:rsidRPr="007D3144">
              <w:rPr>
                <w:b/>
                <w:spacing w:val="-1"/>
                <w:sz w:val="24"/>
              </w:rPr>
              <w:t xml:space="preserve"> </w:t>
            </w:r>
            <w:r w:rsidRPr="007D3144">
              <w:rPr>
                <w:b/>
                <w:spacing w:val="-2"/>
                <w:sz w:val="24"/>
              </w:rPr>
              <w:t>Gorniak</w:t>
            </w:r>
          </w:p>
        </w:tc>
        <w:tc>
          <w:tcPr>
            <w:tcW w:w="2985" w:type="dxa"/>
            <w:tcBorders>
              <w:bottom w:val="nil"/>
              <w:right w:val="nil"/>
            </w:tcBorders>
            <w:shd w:val="clear" w:color="auto" w:fill="D9E1F3"/>
          </w:tcPr>
          <w:p w14:paraId="1CD1739B" w14:textId="77777777" w:rsidR="004C7180" w:rsidRPr="00150EDC" w:rsidRDefault="00CF0754">
            <w:pPr>
              <w:pStyle w:val="TableParagraph"/>
              <w:spacing w:before="0" w:line="240" w:lineRule="auto"/>
              <w:ind w:left="97" w:right="207"/>
              <w:rPr>
                <w:sz w:val="24"/>
              </w:rPr>
            </w:pPr>
            <w:r w:rsidRPr="007D3144">
              <w:rPr>
                <w:sz w:val="24"/>
              </w:rPr>
              <w:t>5</w:t>
            </w:r>
            <w:r w:rsidRPr="007D3144">
              <w:rPr>
                <w:spacing w:val="-10"/>
                <w:sz w:val="24"/>
              </w:rPr>
              <w:t xml:space="preserve"> </w:t>
            </w:r>
            <w:r w:rsidRPr="007D3144">
              <w:rPr>
                <w:sz w:val="24"/>
              </w:rPr>
              <w:t>days/week</w:t>
            </w:r>
            <w:r w:rsidRPr="007D3144">
              <w:rPr>
                <w:spacing w:val="-13"/>
                <w:sz w:val="24"/>
              </w:rPr>
              <w:t xml:space="preserve"> </w:t>
            </w:r>
            <w:r w:rsidRPr="007D3144">
              <w:rPr>
                <w:sz w:val="24"/>
              </w:rPr>
              <w:t>or</w:t>
            </w:r>
            <w:r w:rsidRPr="007D3144">
              <w:rPr>
                <w:spacing w:val="-12"/>
                <w:sz w:val="24"/>
              </w:rPr>
              <w:t xml:space="preserve"> </w:t>
            </w:r>
            <w:r w:rsidRPr="007D3144">
              <w:rPr>
                <w:sz w:val="24"/>
              </w:rPr>
              <w:t xml:space="preserve">100% </w:t>
            </w:r>
            <w:r w:rsidRPr="007D3144">
              <w:rPr>
                <w:spacing w:val="-4"/>
                <w:sz w:val="24"/>
              </w:rPr>
              <w:t>FTE</w:t>
            </w:r>
          </w:p>
        </w:tc>
        <w:tc>
          <w:tcPr>
            <w:tcW w:w="2984" w:type="dxa"/>
            <w:tcBorders>
              <w:left w:val="nil"/>
              <w:bottom w:val="nil"/>
              <w:right w:val="nil"/>
            </w:tcBorders>
            <w:shd w:val="clear" w:color="auto" w:fill="D9E1F3"/>
          </w:tcPr>
          <w:p w14:paraId="2A4CB89B" w14:textId="77777777" w:rsidR="004C7180" w:rsidRPr="00150EDC" w:rsidRDefault="00CF0754">
            <w:pPr>
              <w:pStyle w:val="TableParagraph"/>
              <w:tabs>
                <w:tab w:val="left" w:pos="2006"/>
              </w:tabs>
              <w:spacing w:before="0" w:line="240" w:lineRule="auto"/>
              <w:ind w:left="96" w:right="92"/>
              <w:jc w:val="both"/>
              <w:rPr>
                <w:sz w:val="24"/>
              </w:rPr>
            </w:pPr>
            <w:r w:rsidRPr="007D3144">
              <w:rPr>
                <w:sz w:val="24"/>
              </w:rPr>
              <w:t>Laura has over five years’ experience with Tribal Group as a project coordinator and manager. She has a strong track record in data entry, managing</w:t>
            </w:r>
            <w:r w:rsidRPr="007D3144">
              <w:rPr>
                <w:spacing w:val="-17"/>
                <w:sz w:val="24"/>
              </w:rPr>
              <w:t xml:space="preserve"> </w:t>
            </w:r>
            <w:r w:rsidRPr="007D3144">
              <w:rPr>
                <w:sz w:val="24"/>
              </w:rPr>
              <w:t>project</w:t>
            </w:r>
            <w:r w:rsidRPr="007D3144">
              <w:rPr>
                <w:spacing w:val="-17"/>
                <w:sz w:val="24"/>
              </w:rPr>
              <w:t xml:space="preserve"> </w:t>
            </w:r>
            <w:r w:rsidRPr="007D3144">
              <w:rPr>
                <w:sz w:val="24"/>
              </w:rPr>
              <w:t xml:space="preserve">finances </w:t>
            </w:r>
            <w:r w:rsidRPr="007D3144">
              <w:rPr>
                <w:spacing w:val="-5"/>
                <w:sz w:val="24"/>
              </w:rPr>
              <w:t>and</w:t>
            </w:r>
            <w:r w:rsidRPr="007D3144">
              <w:rPr>
                <w:sz w:val="24"/>
              </w:rPr>
              <w:tab/>
            </w:r>
            <w:r w:rsidRPr="007D3144">
              <w:rPr>
                <w:spacing w:val="-2"/>
                <w:sz w:val="24"/>
              </w:rPr>
              <w:t>financial</w:t>
            </w:r>
          </w:p>
          <w:p w14:paraId="5C52EE18" w14:textId="77777777" w:rsidR="004C7180" w:rsidRPr="00150EDC" w:rsidRDefault="00CF0754">
            <w:pPr>
              <w:pStyle w:val="TableParagraph"/>
              <w:tabs>
                <w:tab w:val="left" w:pos="2328"/>
              </w:tabs>
              <w:spacing w:before="0" w:line="240" w:lineRule="auto"/>
              <w:ind w:left="96" w:right="93"/>
              <w:jc w:val="both"/>
              <w:rPr>
                <w:sz w:val="24"/>
              </w:rPr>
            </w:pPr>
            <w:r w:rsidRPr="007D3144">
              <w:rPr>
                <w:spacing w:val="-2"/>
                <w:sz w:val="24"/>
              </w:rPr>
              <w:t>administrative</w:t>
            </w:r>
            <w:r w:rsidRPr="007D3144">
              <w:rPr>
                <w:sz w:val="24"/>
              </w:rPr>
              <w:tab/>
            </w:r>
            <w:r w:rsidRPr="007D3144">
              <w:rPr>
                <w:spacing w:val="-2"/>
                <w:sz w:val="24"/>
              </w:rPr>
              <w:t xml:space="preserve">tasks </w:t>
            </w:r>
            <w:r w:rsidRPr="007D3144">
              <w:rPr>
                <w:sz w:val="24"/>
              </w:rPr>
              <w:t>including liaising with the accounts payable team with regard to invoice queries. Recent projects and experience include:</w:t>
            </w:r>
          </w:p>
          <w:p w14:paraId="7484FC1C" w14:textId="77777777" w:rsidR="004C7180" w:rsidRPr="00150EDC" w:rsidRDefault="00CF0754" w:rsidP="00B320C7">
            <w:pPr>
              <w:pStyle w:val="TableParagraph"/>
              <w:numPr>
                <w:ilvl w:val="0"/>
                <w:numId w:val="76"/>
              </w:numPr>
              <w:tabs>
                <w:tab w:val="left" w:pos="816"/>
              </w:tabs>
              <w:spacing w:before="120" w:line="240" w:lineRule="auto"/>
              <w:ind w:right="91"/>
              <w:rPr>
                <w:sz w:val="24"/>
              </w:rPr>
            </w:pPr>
            <w:r w:rsidRPr="007D3144">
              <w:rPr>
                <w:sz w:val="24"/>
              </w:rPr>
              <w:t>Project</w:t>
            </w:r>
            <w:r w:rsidRPr="007D3144">
              <w:rPr>
                <w:spacing w:val="-17"/>
                <w:sz w:val="24"/>
              </w:rPr>
              <w:t xml:space="preserve"> </w:t>
            </w:r>
            <w:r w:rsidRPr="007D3144">
              <w:rPr>
                <w:sz w:val="24"/>
              </w:rPr>
              <w:t>Coordinator for Tribal Group</w:t>
            </w:r>
          </w:p>
          <w:p w14:paraId="2CC8C5DE" w14:textId="77777777" w:rsidR="004C7180" w:rsidRPr="00150EDC" w:rsidRDefault="00CF0754" w:rsidP="00B320C7">
            <w:pPr>
              <w:pStyle w:val="TableParagraph"/>
              <w:numPr>
                <w:ilvl w:val="0"/>
                <w:numId w:val="76"/>
              </w:numPr>
              <w:tabs>
                <w:tab w:val="left" w:pos="816"/>
                <w:tab w:val="left" w:pos="1778"/>
                <w:tab w:val="left" w:pos="1894"/>
                <w:tab w:val="left" w:pos="2407"/>
                <w:tab w:val="left" w:pos="2486"/>
                <w:tab w:val="left" w:pos="2554"/>
              </w:tabs>
              <w:spacing w:before="0" w:line="240" w:lineRule="auto"/>
              <w:ind w:right="94"/>
              <w:rPr>
                <w:sz w:val="24"/>
              </w:rPr>
            </w:pPr>
            <w:r w:rsidRPr="007D3144">
              <w:rPr>
                <w:spacing w:val="-2"/>
                <w:sz w:val="24"/>
              </w:rPr>
              <w:t>Coordinating</w:t>
            </w:r>
            <w:r w:rsidRPr="007D3144">
              <w:rPr>
                <w:sz w:val="24"/>
              </w:rPr>
              <w:tab/>
            </w:r>
            <w:r w:rsidRPr="007D3144">
              <w:rPr>
                <w:sz w:val="24"/>
              </w:rPr>
              <w:tab/>
            </w:r>
            <w:r w:rsidRPr="007D3144">
              <w:rPr>
                <w:sz w:val="24"/>
              </w:rPr>
              <w:tab/>
            </w:r>
            <w:r w:rsidRPr="007D3144">
              <w:rPr>
                <w:spacing w:val="-4"/>
                <w:sz w:val="24"/>
              </w:rPr>
              <w:t xml:space="preserve">the </w:t>
            </w:r>
            <w:r w:rsidRPr="007D3144">
              <w:rPr>
                <w:spacing w:val="-2"/>
                <w:sz w:val="24"/>
              </w:rPr>
              <w:t>Associate</w:t>
            </w:r>
            <w:r w:rsidRPr="007D3144">
              <w:rPr>
                <w:sz w:val="24"/>
              </w:rPr>
              <w:tab/>
            </w:r>
            <w:r w:rsidRPr="007D3144">
              <w:rPr>
                <w:sz w:val="24"/>
              </w:rPr>
              <w:tab/>
            </w:r>
            <w:r w:rsidRPr="007D3144">
              <w:rPr>
                <w:sz w:val="24"/>
              </w:rPr>
              <w:tab/>
            </w:r>
            <w:r w:rsidRPr="007D3144">
              <w:rPr>
                <w:spacing w:val="-4"/>
                <w:sz w:val="24"/>
              </w:rPr>
              <w:t xml:space="preserve">and </w:t>
            </w:r>
            <w:r w:rsidRPr="007D3144">
              <w:rPr>
                <w:spacing w:val="-2"/>
                <w:sz w:val="24"/>
              </w:rPr>
              <w:t>Subcontractor commissioning process</w:t>
            </w:r>
            <w:r w:rsidRPr="007D3144">
              <w:rPr>
                <w:sz w:val="24"/>
              </w:rPr>
              <w:tab/>
            </w:r>
            <w:r w:rsidRPr="007D3144">
              <w:rPr>
                <w:sz w:val="24"/>
              </w:rPr>
              <w:tab/>
            </w:r>
            <w:r w:rsidRPr="007D3144">
              <w:rPr>
                <w:spacing w:val="-4"/>
                <w:sz w:val="24"/>
              </w:rPr>
              <w:t>for</w:t>
            </w:r>
            <w:r w:rsidRPr="007D3144">
              <w:rPr>
                <w:sz w:val="24"/>
              </w:rPr>
              <w:tab/>
            </w:r>
            <w:r w:rsidRPr="007D3144">
              <w:rPr>
                <w:spacing w:val="-4"/>
                <w:sz w:val="24"/>
              </w:rPr>
              <w:t xml:space="preserve">DFE </w:t>
            </w:r>
            <w:r w:rsidRPr="007D3144">
              <w:rPr>
                <w:spacing w:val="-2"/>
                <w:sz w:val="24"/>
              </w:rPr>
              <w:t>National Professional Qualifications quality</w:t>
            </w:r>
            <w:r w:rsidRPr="007D3144">
              <w:rPr>
                <w:sz w:val="24"/>
              </w:rPr>
              <w:tab/>
            </w:r>
            <w:r w:rsidRPr="007D3144">
              <w:rPr>
                <w:spacing w:val="-2"/>
                <w:sz w:val="24"/>
              </w:rPr>
              <w:t>assurance project</w:t>
            </w:r>
          </w:p>
          <w:p w14:paraId="2D5BADB1" w14:textId="77777777" w:rsidR="004C7180" w:rsidRPr="00150EDC" w:rsidRDefault="00CF0754" w:rsidP="00B320C7">
            <w:pPr>
              <w:pStyle w:val="TableParagraph"/>
              <w:numPr>
                <w:ilvl w:val="0"/>
                <w:numId w:val="76"/>
              </w:numPr>
              <w:tabs>
                <w:tab w:val="left" w:pos="816"/>
                <w:tab w:val="left" w:pos="2167"/>
              </w:tabs>
              <w:spacing w:before="0" w:line="270" w:lineRule="atLeast"/>
              <w:ind w:right="93"/>
              <w:rPr>
                <w:sz w:val="24"/>
              </w:rPr>
            </w:pPr>
            <w:r w:rsidRPr="007D3144">
              <w:rPr>
                <w:spacing w:val="-2"/>
                <w:sz w:val="24"/>
              </w:rPr>
              <w:t>Stock</w:t>
            </w:r>
            <w:r w:rsidRPr="007D3144">
              <w:rPr>
                <w:sz w:val="24"/>
              </w:rPr>
              <w:tab/>
            </w:r>
            <w:r w:rsidRPr="007D3144">
              <w:rPr>
                <w:spacing w:val="-2"/>
                <w:sz w:val="24"/>
              </w:rPr>
              <w:t>control administrator</w:t>
            </w:r>
          </w:p>
        </w:tc>
      </w:tr>
    </w:tbl>
    <w:p w14:paraId="2C09B1A5" w14:textId="77777777" w:rsidR="004C7180" w:rsidRPr="00150EDC" w:rsidRDefault="004C7180">
      <w:pPr>
        <w:spacing w:line="270" w:lineRule="atLeast"/>
        <w:rPr>
          <w:sz w:val="24"/>
        </w:rPr>
        <w:sectPr w:rsidR="004C7180" w:rsidRPr="00150EDC">
          <w:pgSz w:w="11910" w:h="16840"/>
          <w:pgMar w:top="1460" w:right="0" w:bottom="1420" w:left="40" w:header="712" w:footer="1224" w:gutter="0"/>
          <w:cols w:space="720"/>
        </w:sectPr>
      </w:pPr>
    </w:p>
    <w:p w14:paraId="0AF0CC2E" w14:textId="77777777" w:rsidR="004C7180" w:rsidRPr="00150EDC" w:rsidRDefault="004C7180">
      <w:pPr>
        <w:pStyle w:val="BodyText"/>
        <w:spacing w:before="5"/>
        <w:rPr>
          <w:rFonts w:ascii="Calibri Light"/>
          <w:sz w:val="26"/>
        </w:rPr>
      </w:pPr>
    </w:p>
    <w:tbl>
      <w:tblPr>
        <w:tblW w:w="0" w:type="auto"/>
        <w:tblCellSpacing w:w="10" w:type="dxa"/>
        <w:tblInd w:w="1437" w:type="dxa"/>
        <w:tblLayout w:type="fixed"/>
        <w:tblCellMar>
          <w:left w:w="0" w:type="dxa"/>
          <w:right w:w="0" w:type="dxa"/>
        </w:tblCellMar>
        <w:tblLook w:val="01E0" w:firstRow="1" w:lastRow="1" w:firstColumn="1" w:lastColumn="1" w:noHBand="0" w:noVBand="0"/>
      </w:tblPr>
      <w:tblGrid>
        <w:gridCol w:w="3015"/>
        <w:gridCol w:w="3005"/>
        <w:gridCol w:w="3014"/>
      </w:tblGrid>
      <w:tr w:rsidR="004569EE" w:rsidRPr="007D3144" w14:paraId="17A4EF82" w14:textId="77777777">
        <w:trPr>
          <w:trHeight w:val="551"/>
          <w:tblCellSpacing w:w="10" w:type="dxa"/>
        </w:trPr>
        <w:tc>
          <w:tcPr>
            <w:tcW w:w="2985" w:type="dxa"/>
            <w:tcBorders>
              <w:top w:val="nil"/>
              <w:left w:val="nil"/>
            </w:tcBorders>
            <w:shd w:val="clear" w:color="auto" w:fill="4471C4"/>
          </w:tcPr>
          <w:p w14:paraId="52D5ADE4" w14:textId="77777777" w:rsidR="004C7180" w:rsidRPr="00150EDC" w:rsidRDefault="004C7180">
            <w:pPr>
              <w:pStyle w:val="TableParagraph"/>
              <w:spacing w:before="0" w:line="240" w:lineRule="auto"/>
              <w:ind w:left="0"/>
              <w:rPr>
                <w:rFonts w:ascii="Times New Roman"/>
              </w:rPr>
            </w:pPr>
          </w:p>
        </w:tc>
        <w:tc>
          <w:tcPr>
            <w:tcW w:w="2985" w:type="dxa"/>
            <w:tcBorders>
              <w:top w:val="nil"/>
              <w:right w:val="nil"/>
            </w:tcBorders>
            <w:shd w:val="clear" w:color="auto" w:fill="D9E1F3"/>
          </w:tcPr>
          <w:p w14:paraId="6A7CF1F8" w14:textId="77777777" w:rsidR="004C7180" w:rsidRPr="00150EDC" w:rsidRDefault="004C7180">
            <w:pPr>
              <w:pStyle w:val="TableParagraph"/>
              <w:spacing w:before="0" w:line="240" w:lineRule="auto"/>
              <w:ind w:left="0"/>
              <w:rPr>
                <w:rFonts w:ascii="Times New Roman"/>
              </w:rPr>
            </w:pPr>
          </w:p>
        </w:tc>
        <w:tc>
          <w:tcPr>
            <w:tcW w:w="2984" w:type="dxa"/>
            <w:tcBorders>
              <w:top w:val="nil"/>
              <w:left w:val="nil"/>
              <w:right w:val="nil"/>
            </w:tcBorders>
            <w:shd w:val="clear" w:color="auto" w:fill="D9E1F3"/>
          </w:tcPr>
          <w:p w14:paraId="565BB7BF" w14:textId="77777777" w:rsidR="004C7180" w:rsidRPr="00150EDC" w:rsidRDefault="00CF0754" w:rsidP="00B320C7">
            <w:pPr>
              <w:pStyle w:val="TableParagraph"/>
              <w:numPr>
                <w:ilvl w:val="0"/>
                <w:numId w:val="75"/>
              </w:numPr>
              <w:tabs>
                <w:tab w:val="left" w:pos="816"/>
              </w:tabs>
              <w:spacing w:before="0" w:line="270" w:lineRule="atLeast"/>
              <w:ind w:right="92"/>
              <w:rPr>
                <w:sz w:val="24"/>
              </w:rPr>
            </w:pPr>
            <w:r w:rsidRPr="007D3144">
              <w:rPr>
                <w:sz w:val="24"/>
              </w:rPr>
              <w:t>Quality</w:t>
            </w:r>
            <w:r w:rsidRPr="007D3144">
              <w:rPr>
                <w:spacing w:val="40"/>
                <w:sz w:val="24"/>
              </w:rPr>
              <w:t xml:space="preserve"> </w:t>
            </w:r>
            <w:r w:rsidRPr="007D3144">
              <w:rPr>
                <w:sz w:val="24"/>
              </w:rPr>
              <w:t>Auditor</w:t>
            </w:r>
            <w:r w:rsidRPr="007D3144">
              <w:rPr>
                <w:spacing w:val="40"/>
                <w:sz w:val="24"/>
              </w:rPr>
              <w:t xml:space="preserve"> </w:t>
            </w:r>
            <w:r w:rsidRPr="007D3144">
              <w:rPr>
                <w:sz w:val="24"/>
              </w:rPr>
              <w:t xml:space="preserve">for </w:t>
            </w:r>
            <w:r w:rsidRPr="007D3144">
              <w:rPr>
                <w:spacing w:val="-2"/>
                <w:sz w:val="24"/>
              </w:rPr>
              <w:t>Manufacturing</w:t>
            </w:r>
          </w:p>
        </w:tc>
      </w:tr>
      <w:tr w:rsidR="004569EE" w:rsidRPr="007D3144" w14:paraId="6B92B30B" w14:textId="77777777">
        <w:trPr>
          <w:trHeight w:val="9779"/>
          <w:tblCellSpacing w:w="10" w:type="dxa"/>
        </w:trPr>
        <w:tc>
          <w:tcPr>
            <w:tcW w:w="2985" w:type="dxa"/>
            <w:tcBorders>
              <w:left w:val="nil"/>
            </w:tcBorders>
            <w:shd w:val="clear" w:color="auto" w:fill="4471C4"/>
          </w:tcPr>
          <w:p w14:paraId="2D850EE4" w14:textId="77777777" w:rsidR="004C7180" w:rsidRPr="00150EDC" w:rsidRDefault="00CF0754">
            <w:pPr>
              <w:pStyle w:val="TableParagraph"/>
              <w:spacing w:before="0" w:line="343" w:lineRule="auto"/>
              <w:ind w:left="98" w:right="323"/>
              <w:rPr>
                <w:b/>
                <w:sz w:val="24"/>
              </w:rPr>
            </w:pPr>
            <w:r w:rsidRPr="007D3144">
              <w:rPr>
                <w:b/>
                <w:sz w:val="24"/>
              </w:rPr>
              <w:t>Contracts</w:t>
            </w:r>
            <w:r w:rsidRPr="007D3144">
              <w:rPr>
                <w:b/>
                <w:spacing w:val="-17"/>
                <w:sz w:val="24"/>
              </w:rPr>
              <w:t xml:space="preserve"> </w:t>
            </w:r>
            <w:r w:rsidRPr="007D3144">
              <w:rPr>
                <w:b/>
                <w:sz w:val="24"/>
              </w:rPr>
              <w:t>Coordinator Victoria Allen</w:t>
            </w:r>
          </w:p>
        </w:tc>
        <w:tc>
          <w:tcPr>
            <w:tcW w:w="2985" w:type="dxa"/>
            <w:tcBorders>
              <w:right w:val="nil"/>
            </w:tcBorders>
            <w:shd w:val="clear" w:color="auto" w:fill="B4C5E7"/>
          </w:tcPr>
          <w:p w14:paraId="6499114D" w14:textId="77777777" w:rsidR="004C7180" w:rsidRPr="00150EDC" w:rsidRDefault="00CF0754">
            <w:pPr>
              <w:pStyle w:val="TableParagraph"/>
              <w:spacing w:before="0" w:line="240" w:lineRule="auto"/>
              <w:ind w:left="97" w:right="207"/>
              <w:rPr>
                <w:sz w:val="24"/>
              </w:rPr>
            </w:pPr>
            <w:r w:rsidRPr="007D3144">
              <w:rPr>
                <w:sz w:val="24"/>
              </w:rPr>
              <w:t>5</w:t>
            </w:r>
            <w:r w:rsidRPr="007D3144">
              <w:rPr>
                <w:spacing w:val="-10"/>
                <w:sz w:val="24"/>
              </w:rPr>
              <w:t xml:space="preserve"> </w:t>
            </w:r>
            <w:r w:rsidRPr="007D3144">
              <w:rPr>
                <w:sz w:val="24"/>
              </w:rPr>
              <w:t>days/week</w:t>
            </w:r>
            <w:r w:rsidRPr="007D3144">
              <w:rPr>
                <w:spacing w:val="-13"/>
                <w:sz w:val="24"/>
              </w:rPr>
              <w:t xml:space="preserve"> </w:t>
            </w:r>
            <w:r w:rsidRPr="007D3144">
              <w:rPr>
                <w:sz w:val="24"/>
              </w:rPr>
              <w:t>or</w:t>
            </w:r>
            <w:r w:rsidRPr="007D3144">
              <w:rPr>
                <w:spacing w:val="-12"/>
                <w:sz w:val="24"/>
              </w:rPr>
              <w:t xml:space="preserve"> </w:t>
            </w:r>
            <w:r w:rsidRPr="007D3144">
              <w:rPr>
                <w:sz w:val="24"/>
              </w:rPr>
              <w:t xml:space="preserve">100% </w:t>
            </w:r>
            <w:r w:rsidRPr="007D3144">
              <w:rPr>
                <w:spacing w:val="-4"/>
                <w:sz w:val="24"/>
              </w:rPr>
              <w:t>FTE</w:t>
            </w:r>
          </w:p>
        </w:tc>
        <w:tc>
          <w:tcPr>
            <w:tcW w:w="2984" w:type="dxa"/>
            <w:tcBorders>
              <w:left w:val="nil"/>
              <w:right w:val="nil"/>
            </w:tcBorders>
            <w:shd w:val="clear" w:color="auto" w:fill="B4C5E7"/>
          </w:tcPr>
          <w:p w14:paraId="5F3993F5" w14:textId="77777777" w:rsidR="004C7180" w:rsidRPr="00150EDC" w:rsidRDefault="00CF0754">
            <w:pPr>
              <w:pStyle w:val="TableParagraph"/>
              <w:tabs>
                <w:tab w:val="left" w:pos="1834"/>
              </w:tabs>
              <w:spacing w:before="0" w:line="240" w:lineRule="auto"/>
              <w:ind w:left="96" w:right="91"/>
              <w:jc w:val="both"/>
              <w:rPr>
                <w:sz w:val="24"/>
              </w:rPr>
            </w:pPr>
            <w:r w:rsidRPr="007D3144">
              <w:rPr>
                <w:sz w:val="24"/>
              </w:rPr>
              <w:t xml:space="preserve">Victoria has over four years’ experience with Tribal Group, prior to which she worked as a communication executive and marketing project consultant. She is skilled at using Microsoft Office based programs, CRM software, procurement </w:t>
            </w:r>
            <w:r w:rsidRPr="007D3144">
              <w:rPr>
                <w:spacing w:val="-4"/>
                <w:sz w:val="24"/>
              </w:rPr>
              <w:t>and</w:t>
            </w:r>
            <w:r w:rsidRPr="007D3144">
              <w:rPr>
                <w:sz w:val="24"/>
              </w:rPr>
              <w:tab/>
            </w:r>
            <w:r w:rsidRPr="007D3144">
              <w:rPr>
                <w:spacing w:val="-2"/>
                <w:sz w:val="24"/>
              </w:rPr>
              <w:t xml:space="preserve">document </w:t>
            </w:r>
            <w:r w:rsidRPr="007D3144">
              <w:rPr>
                <w:sz w:val="24"/>
              </w:rPr>
              <w:t xml:space="preserve">management systems, and an excellent communicator in all media. Recent relevant projects and experience </w:t>
            </w:r>
            <w:r w:rsidRPr="007D3144">
              <w:rPr>
                <w:spacing w:val="-2"/>
                <w:sz w:val="24"/>
              </w:rPr>
              <w:t>include:</w:t>
            </w:r>
          </w:p>
          <w:p w14:paraId="3EEE07CE" w14:textId="77777777" w:rsidR="004C7180" w:rsidRPr="00150EDC" w:rsidRDefault="00CF0754" w:rsidP="00B320C7">
            <w:pPr>
              <w:pStyle w:val="TableParagraph"/>
              <w:numPr>
                <w:ilvl w:val="0"/>
                <w:numId w:val="74"/>
              </w:numPr>
              <w:tabs>
                <w:tab w:val="left" w:pos="816"/>
              </w:tabs>
              <w:spacing w:before="120" w:line="240" w:lineRule="auto"/>
              <w:ind w:right="93"/>
              <w:jc w:val="both"/>
              <w:rPr>
                <w:sz w:val="24"/>
              </w:rPr>
            </w:pPr>
            <w:r w:rsidRPr="007D3144">
              <w:rPr>
                <w:sz w:val="24"/>
              </w:rPr>
              <w:t>NCETM Business Support Officer</w:t>
            </w:r>
          </w:p>
          <w:p w14:paraId="4CAE2F98" w14:textId="77777777" w:rsidR="004C7180" w:rsidRPr="00150EDC" w:rsidRDefault="00CF0754" w:rsidP="00B320C7">
            <w:pPr>
              <w:pStyle w:val="TableParagraph"/>
              <w:numPr>
                <w:ilvl w:val="0"/>
                <w:numId w:val="74"/>
              </w:numPr>
              <w:tabs>
                <w:tab w:val="left" w:pos="816"/>
                <w:tab w:val="left" w:pos="2004"/>
                <w:tab w:val="left" w:pos="2700"/>
                <w:tab w:val="left" w:pos="2808"/>
              </w:tabs>
              <w:spacing w:before="0" w:line="240" w:lineRule="auto"/>
              <w:ind w:right="93"/>
              <w:rPr>
                <w:sz w:val="24"/>
              </w:rPr>
            </w:pPr>
            <w:r w:rsidRPr="007D3144">
              <w:rPr>
                <w:spacing w:val="-4"/>
                <w:sz w:val="24"/>
              </w:rPr>
              <w:t>OCR</w:t>
            </w:r>
            <w:r w:rsidRPr="007D3144">
              <w:rPr>
                <w:sz w:val="24"/>
              </w:rPr>
              <w:tab/>
            </w:r>
            <w:r w:rsidRPr="007D3144">
              <w:rPr>
                <w:spacing w:val="-2"/>
                <w:sz w:val="24"/>
              </w:rPr>
              <w:t>National Certificate</w:t>
            </w:r>
            <w:r w:rsidRPr="007D3144">
              <w:rPr>
                <w:sz w:val="24"/>
              </w:rPr>
              <w:tab/>
            </w:r>
            <w:r w:rsidRPr="007D3144">
              <w:rPr>
                <w:sz w:val="24"/>
              </w:rPr>
              <w:tab/>
            </w:r>
            <w:r w:rsidRPr="007D3144">
              <w:rPr>
                <w:spacing w:val="-6"/>
                <w:sz w:val="24"/>
              </w:rPr>
              <w:t xml:space="preserve">in </w:t>
            </w:r>
            <w:r w:rsidRPr="007D3144">
              <w:rPr>
                <w:spacing w:val="-2"/>
                <w:sz w:val="24"/>
              </w:rPr>
              <w:t>Business: Advanced Administration</w:t>
            </w:r>
            <w:r w:rsidRPr="007D3144">
              <w:rPr>
                <w:sz w:val="24"/>
              </w:rPr>
              <w:tab/>
            </w:r>
            <w:r w:rsidRPr="007D3144">
              <w:rPr>
                <w:sz w:val="24"/>
              </w:rPr>
              <w:tab/>
            </w:r>
            <w:r w:rsidRPr="007D3144">
              <w:rPr>
                <w:spacing w:val="-10"/>
                <w:sz w:val="24"/>
              </w:rPr>
              <w:t xml:space="preserve">- </w:t>
            </w:r>
            <w:r w:rsidRPr="007D3144">
              <w:rPr>
                <w:sz w:val="24"/>
              </w:rPr>
              <w:t>Level 3</w:t>
            </w:r>
          </w:p>
          <w:p w14:paraId="5164B82E" w14:textId="77777777" w:rsidR="004C7180" w:rsidRPr="00150EDC" w:rsidRDefault="00CF0754" w:rsidP="00B320C7">
            <w:pPr>
              <w:pStyle w:val="TableParagraph"/>
              <w:numPr>
                <w:ilvl w:val="0"/>
                <w:numId w:val="74"/>
              </w:numPr>
              <w:tabs>
                <w:tab w:val="left" w:pos="816"/>
              </w:tabs>
              <w:spacing w:before="0" w:line="240" w:lineRule="auto"/>
              <w:ind w:right="93"/>
              <w:jc w:val="both"/>
              <w:rPr>
                <w:sz w:val="24"/>
              </w:rPr>
            </w:pPr>
            <w:r w:rsidRPr="007D3144">
              <w:rPr>
                <w:sz w:val="24"/>
              </w:rPr>
              <w:t>Annual regulatory security training, including</w:t>
            </w:r>
            <w:r w:rsidRPr="007D3144">
              <w:rPr>
                <w:spacing w:val="80"/>
                <w:w w:val="150"/>
                <w:sz w:val="24"/>
              </w:rPr>
              <w:t xml:space="preserve">   </w:t>
            </w:r>
            <w:r w:rsidRPr="007D3144">
              <w:rPr>
                <w:sz w:val="24"/>
              </w:rPr>
              <w:t>data</w:t>
            </w:r>
          </w:p>
          <w:p w14:paraId="1FFA8E03" w14:textId="77777777" w:rsidR="004C7180" w:rsidRPr="00150EDC" w:rsidRDefault="00CF0754">
            <w:pPr>
              <w:pStyle w:val="TableParagraph"/>
              <w:spacing w:before="0" w:line="240" w:lineRule="auto"/>
              <w:ind w:left="816" w:right="94"/>
              <w:jc w:val="both"/>
              <w:rPr>
                <w:sz w:val="24"/>
              </w:rPr>
            </w:pPr>
            <w:r w:rsidRPr="007D3144">
              <w:rPr>
                <w:sz w:val="24"/>
              </w:rPr>
              <w:t xml:space="preserve">protection and </w:t>
            </w:r>
            <w:r w:rsidRPr="007D3144">
              <w:rPr>
                <w:spacing w:val="-2"/>
                <w:sz w:val="24"/>
              </w:rPr>
              <w:t>security</w:t>
            </w:r>
          </w:p>
          <w:p w14:paraId="6A26BFA3" w14:textId="77777777" w:rsidR="004C7180" w:rsidRPr="00150EDC" w:rsidRDefault="00CF0754" w:rsidP="00B320C7">
            <w:pPr>
              <w:pStyle w:val="TableParagraph"/>
              <w:numPr>
                <w:ilvl w:val="0"/>
                <w:numId w:val="74"/>
              </w:numPr>
              <w:tabs>
                <w:tab w:val="left" w:pos="816"/>
                <w:tab w:val="left" w:pos="2487"/>
                <w:tab w:val="left" w:pos="2607"/>
              </w:tabs>
              <w:spacing w:before="0" w:line="270" w:lineRule="atLeast"/>
              <w:ind w:right="91"/>
              <w:rPr>
                <w:sz w:val="24"/>
              </w:rPr>
            </w:pPr>
            <w:r w:rsidRPr="007D3144">
              <w:rPr>
                <w:spacing w:val="-2"/>
                <w:sz w:val="24"/>
              </w:rPr>
              <w:t>Development</w:t>
            </w:r>
            <w:r w:rsidRPr="007D3144">
              <w:rPr>
                <w:sz w:val="24"/>
              </w:rPr>
              <w:tab/>
            </w:r>
            <w:r w:rsidRPr="007D3144">
              <w:rPr>
                <w:spacing w:val="-4"/>
                <w:sz w:val="24"/>
              </w:rPr>
              <w:t xml:space="preserve">and </w:t>
            </w:r>
            <w:r w:rsidRPr="007D3144">
              <w:rPr>
                <w:spacing w:val="-2"/>
                <w:sz w:val="24"/>
              </w:rPr>
              <w:t>practical</w:t>
            </w:r>
            <w:r w:rsidRPr="007D3144">
              <w:rPr>
                <w:spacing w:val="80"/>
                <w:sz w:val="24"/>
              </w:rPr>
              <w:t xml:space="preserve"> </w:t>
            </w:r>
            <w:r w:rsidRPr="007D3144">
              <w:rPr>
                <w:spacing w:val="-2"/>
                <w:sz w:val="24"/>
              </w:rPr>
              <w:t>workshops</w:t>
            </w:r>
            <w:r w:rsidRPr="007D3144">
              <w:rPr>
                <w:sz w:val="24"/>
              </w:rPr>
              <w:tab/>
            </w:r>
            <w:r w:rsidRPr="007D3144">
              <w:rPr>
                <w:sz w:val="24"/>
              </w:rPr>
              <w:tab/>
            </w:r>
            <w:r w:rsidRPr="007D3144">
              <w:rPr>
                <w:spacing w:val="-4"/>
                <w:sz w:val="24"/>
              </w:rPr>
              <w:t xml:space="preserve">for </w:t>
            </w:r>
            <w:r w:rsidRPr="007D3144">
              <w:rPr>
                <w:sz w:val="24"/>
              </w:rPr>
              <w:t>working</w:t>
            </w:r>
            <w:r w:rsidRPr="007D3144">
              <w:rPr>
                <w:spacing w:val="80"/>
                <w:sz w:val="24"/>
              </w:rPr>
              <w:t xml:space="preserve"> </w:t>
            </w:r>
            <w:r w:rsidRPr="007D3144">
              <w:rPr>
                <w:sz w:val="24"/>
              </w:rPr>
              <w:t>within</w:t>
            </w:r>
            <w:r w:rsidRPr="007D3144">
              <w:rPr>
                <w:spacing w:val="80"/>
                <w:sz w:val="24"/>
              </w:rPr>
              <w:t xml:space="preserve"> </w:t>
            </w:r>
            <w:r w:rsidRPr="007D3144">
              <w:rPr>
                <w:sz w:val="24"/>
              </w:rPr>
              <w:t>an agile environment</w:t>
            </w:r>
          </w:p>
        </w:tc>
      </w:tr>
      <w:tr w:rsidR="004569EE" w:rsidRPr="007D3144" w14:paraId="06316E23" w14:textId="77777777">
        <w:trPr>
          <w:trHeight w:val="2759"/>
          <w:tblCellSpacing w:w="10" w:type="dxa"/>
        </w:trPr>
        <w:tc>
          <w:tcPr>
            <w:tcW w:w="2985" w:type="dxa"/>
            <w:tcBorders>
              <w:left w:val="nil"/>
              <w:bottom w:val="nil"/>
            </w:tcBorders>
            <w:shd w:val="clear" w:color="auto" w:fill="4471C4"/>
          </w:tcPr>
          <w:p w14:paraId="75EB9D3C" w14:textId="77777777" w:rsidR="004C7180" w:rsidRPr="00150EDC" w:rsidRDefault="00CF0754">
            <w:pPr>
              <w:pStyle w:val="TableParagraph"/>
              <w:spacing w:before="0" w:line="343" w:lineRule="auto"/>
              <w:ind w:left="98" w:right="323"/>
              <w:rPr>
                <w:b/>
                <w:sz w:val="24"/>
              </w:rPr>
            </w:pPr>
            <w:r w:rsidRPr="007D3144">
              <w:rPr>
                <w:b/>
                <w:sz w:val="24"/>
              </w:rPr>
              <w:t>Procurement</w:t>
            </w:r>
            <w:r w:rsidRPr="007D3144">
              <w:rPr>
                <w:b/>
                <w:spacing w:val="-17"/>
                <w:sz w:val="24"/>
              </w:rPr>
              <w:t xml:space="preserve"> </w:t>
            </w:r>
            <w:r w:rsidRPr="007D3144">
              <w:rPr>
                <w:b/>
                <w:sz w:val="24"/>
              </w:rPr>
              <w:t>Officer Will Carney</w:t>
            </w:r>
          </w:p>
        </w:tc>
        <w:tc>
          <w:tcPr>
            <w:tcW w:w="2985" w:type="dxa"/>
            <w:tcBorders>
              <w:bottom w:val="nil"/>
              <w:right w:val="nil"/>
            </w:tcBorders>
            <w:shd w:val="clear" w:color="auto" w:fill="D9E1F3"/>
          </w:tcPr>
          <w:p w14:paraId="6AFC0AE5" w14:textId="77777777" w:rsidR="004C7180" w:rsidRPr="00150EDC" w:rsidRDefault="00CF0754">
            <w:pPr>
              <w:pStyle w:val="TableParagraph"/>
              <w:spacing w:before="0" w:line="240" w:lineRule="auto"/>
              <w:ind w:left="97" w:right="207"/>
              <w:rPr>
                <w:sz w:val="24"/>
              </w:rPr>
            </w:pPr>
            <w:r w:rsidRPr="007D3144">
              <w:rPr>
                <w:sz w:val="24"/>
              </w:rPr>
              <w:t>5</w:t>
            </w:r>
            <w:r w:rsidRPr="007D3144">
              <w:rPr>
                <w:spacing w:val="-10"/>
                <w:sz w:val="24"/>
              </w:rPr>
              <w:t xml:space="preserve"> </w:t>
            </w:r>
            <w:r w:rsidRPr="007D3144">
              <w:rPr>
                <w:sz w:val="24"/>
              </w:rPr>
              <w:t>days/week</w:t>
            </w:r>
            <w:r w:rsidRPr="007D3144">
              <w:rPr>
                <w:spacing w:val="-13"/>
                <w:sz w:val="24"/>
              </w:rPr>
              <w:t xml:space="preserve"> </w:t>
            </w:r>
            <w:r w:rsidRPr="007D3144">
              <w:rPr>
                <w:sz w:val="24"/>
              </w:rPr>
              <w:t>or</w:t>
            </w:r>
            <w:r w:rsidRPr="007D3144">
              <w:rPr>
                <w:spacing w:val="-12"/>
                <w:sz w:val="24"/>
              </w:rPr>
              <w:t xml:space="preserve"> </w:t>
            </w:r>
            <w:r w:rsidRPr="007D3144">
              <w:rPr>
                <w:sz w:val="24"/>
              </w:rPr>
              <w:t xml:space="preserve">100% </w:t>
            </w:r>
            <w:r w:rsidRPr="007D3144">
              <w:rPr>
                <w:spacing w:val="-4"/>
                <w:sz w:val="24"/>
              </w:rPr>
              <w:t>FTE</w:t>
            </w:r>
          </w:p>
        </w:tc>
        <w:tc>
          <w:tcPr>
            <w:tcW w:w="2984" w:type="dxa"/>
            <w:tcBorders>
              <w:left w:val="nil"/>
              <w:bottom w:val="nil"/>
              <w:right w:val="nil"/>
            </w:tcBorders>
            <w:shd w:val="clear" w:color="auto" w:fill="D9E1F3"/>
          </w:tcPr>
          <w:p w14:paraId="623AD605" w14:textId="77777777" w:rsidR="004C7180" w:rsidRPr="00150EDC" w:rsidRDefault="00CF0754">
            <w:pPr>
              <w:pStyle w:val="TableParagraph"/>
              <w:spacing w:before="0" w:line="276" w:lineRule="exact"/>
              <w:ind w:left="96"/>
              <w:rPr>
                <w:sz w:val="24"/>
              </w:rPr>
            </w:pPr>
            <w:r w:rsidRPr="007D3144">
              <w:rPr>
                <w:sz w:val="24"/>
              </w:rPr>
              <w:t>Will’s current business support</w:t>
            </w:r>
            <w:r w:rsidRPr="007D3144">
              <w:rPr>
                <w:spacing w:val="-17"/>
                <w:sz w:val="24"/>
              </w:rPr>
              <w:t xml:space="preserve"> </w:t>
            </w:r>
            <w:r w:rsidRPr="007D3144">
              <w:rPr>
                <w:sz w:val="24"/>
              </w:rPr>
              <w:t>administrator</w:t>
            </w:r>
            <w:r w:rsidRPr="007D3144">
              <w:rPr>
                <w:spacing w:val="-17"/>
                <w:sz w:val="24"/>
              </w:rPr>
              <w:t xml:space="preserve"> </w:t>
            </w:r>
            <w:r w:rsidRPr="007D3144">
              <w:rPr>
                <w:sz w:val="24"/>
              </w:rPr>
              <w:t>role focuses on finance and contracts for the NCETM project. This includes responsibility for all associate contracts and their subsequent invoice processing, and financial data validation for the 40</w:t>
            </w:r>
          </w:p>
        </w:tc>
      </w:tr>
    </w:tbl>
    <w:p w14:paraId="315AF2E8" w14:textId="77777777" w:rsidR="004C7180" w:rsidRPr="00150EDC" w:rsidRDefault="004C7180">
      <w:pPr>
        <w:spacing w:line="276" w:lineRule="exact"/>
        <w:rPr>
          <w:sz w:val="24"/>
        </w:rPr>
        <w:sectPr w:rsidR="004C7180" w:rsidRPr="00150EDC">
          <w:pgSz w:w="11910" w:h="16840"/>
          <w:pgMar w:top="1460" w:right="0" w:bottom="1420" w:left="40" w:header="712" w:footer="1224" w:gutter="0"/>
          <w:cols w:space="720"/>
        </w:sectPr>
      </w:pPr>
    </w:p>
    <w:p w14:paraId="09257EFC" w14:textId="77777777" w:rsidR="004C7180" w:rsidRPr="00150EDC" w:rsidRDefault="004C7180">
      <w:pPr>
        <w:pStyle w:val="BodyText"/>
        <w:spacing w:before="5"/>
        <w:rPr>
          <w:rFonts w:ascii="Calibri Light"/>
          <w:sz w:val="26"/>
        </w:rPr>
      </w:pPr>
    </w:p>
    <w:tbl>
      <w:tblPr>
        <w:tblW w:w="0" w:type="auto"/>
        <w:tblInd w:w="1426" w:type="dxa"/>
        <w:tblLayout w:type="fixed"/>
        <w:tblCellMar>
          <w:left w:w="0" w:type="dxa"/>
          <w:right w:w="0" w:type="dxa"/>
        </w:tblCellMar>
        <w:tblLook w:val="01E0" w:firstRow="1" w:lastRow="1" w:firstColumn="1" w:lastColumn="1" w:noHBand="0" w:noVBand="0"/>
      </w:tblPr>
      <w:tblGrid>
        <w:gridCol w:w="2995"/>
        <w:gridCol w:w="3006"/>
        <w:gridCol w:w="2994"/>
      </w:tblGrid>
      <w:tr w:rsidR="004569EE" w:rsidRPr="007D3144" w14:paraId="047925DD" w14:textId="77777777">
        <w:trPr>
          <w:trHeight w:val="2759"/>
        </w:trPr>
        <w:tc>
          <w:tcPr>
            <w:tcW w:w="2995" w:type="dxa"/>
            <w:tcBorders>
              <w:bottom w:val="single" w:sz="8" w:space="0" w:color="FFFFFF"/>
              <w:right w:val="single" w:sz="8" w:space="0" w:color="FFFFFF"/>
            </w:tcBorders>
            <w:shd w:val="clear" w:color="auto" w:fill="4471C4"/>
          </w:tcPr>
          <w:p w14:paraId="7E852EB5" w14:textId="77777777" w:rsidR="004C7180" w:rsidRPr="00150EDC" w:rsidRDefault="004C7180">
            <w:pPr>
              <w:pStyle w:val="TableParagraph"/>
              <w:spacing w:before="0" w:line="240" w:lineRule="auto"/>
              <w:ind w:left="0"/>
              <w:rPr>
                <w:rFonts w:ascii="Times New Roman"/>
              </w:rPr>
            </w:pPr>
          </w:p>
        </w:tc>
        <w:tc>
          <w:tcPr>
            <w:tcW w:w="3006" w:type="dxa"/>
            <w:tcBorders>
              <w:left w:val="single" w:sz="8" w:space="0" w:color="FFFFFF"/>
              <w:bottom w:val="single" w:sz="8" w:space="0" w:color="FFFFFF"/>
              <w:right w:val="single" w:sz="12" w:space="0" w:color="FFFFFF"/>
            </w:tcBorders>
            <w:shd w:val="clear" w:color="auto" w:fill="D9E1F3"/>
          </w:tcPr>
          <w:p w14:paraId="565DD98D" w14:textId="77777777" w:rsidR="004C7180" w:rsidRPr="00150EDC" w:rsidRDefault="004C7180">
            <w:pPr>
              <w:pStyle w:val="TableParagraph"/>
              <w:spacing w:before="0" w:line="240" w:lineRule="auto"/>
              <w:ind w:left="0"/>
              <w:rPr>
                <w:rFonts w:ascii="Times New Roman"/>
              </w:rPr>
            </w:pPr>
          </w:p>
        </w:tc>
        <w:tc>
          <w:tcPr>
            <w:tcW w:w="2994" w:type="dxa"/>
            <w:tcBorders>
              <w:left w:val="single" w:sz="12" w:space="0" w:color="FFFFFF"/>
              <w:bottom w:val="single" w:sz="8" w:space="0" w:color="FFFFFF"/>
            </w:tcBorders>
            <w:shd w:val="clear" w:color="auto" w:fill="D9E1F3"/>
          </w:tcPr>
          <w:p w14:paraId="696FE38A" w14:textId="77777777" w:rsidR="004C7180" w:rsidRPr="00150EDC" w:rsidRDefault="00CF0754">
            <w:pPr>
              <w:pStyle w:val="TableParagraph"/>
              <w:spacing w:before="0" w:line="270" w:lineRule="atLeast"/>
              <w:ind w:left="92" w:right="119"/>
              <w:rPr>
                <w:sz w:val="24"/>
              </w:rPr>
            </w:pPr>
            <w:r w:rsidRPr="007D3144">
              <w:rPr>
                <w:sz w:val="24"/>
              </w:rPr>
              <w:t>nation-wide Maths Hubs. He</w:t>
            </w:r>
            <w:r w:rsidRPr="007D3144">
              <w:rPr>
                <w:spacing w:val="-11"/>
                <w:sz w:val="24"/>
              </w:rPr>
              <w:t xml:space="preserve"> </w:t>
            </w:r>
            <w:r w:rsidRPr="007D3144">
              <w:rPr>
                <w:sz w:val="24"/>
              </w:rPr>
              <w:t>also</w:t>
            </w:r>
            <w:r w:rsidRPr="007D3144">
              <w:rPr>
                <w:spacing w:val="-13"/>
                <w:sz w:val="24"/>
              </w:rPr>
              <w:t xml:space="preserve"> </w:t>
            </w:r>
            <w:r w:rsidRPr="007D3144">
              <w:rPr>
                <w:sz w:val="24"/>
              </w:rPr>
              <w:t>provides</w:t>
            </w:r>
            <w:r w:rsidRPr="007D3144">
              <w:rPr>
                <w:spacing w:val="-14"/>
                <w:sz w:val="24"/>
              </w:rPr>
              <w:t xml:space="preserve"> </w:t>
            </w:r>
            <w:r w:rsidRPr="007D3144">
              <w:rPr>
                <w:sz w:val="24"/>
              </w:rPr>
              <w:t>ongoing communication with directors and project leads, overseeing the Maths Hubs’ expenditure and live income, as well as being a first point of contact for financial and project queries.</w:t>
            </w:r>
          </w:p>
        </w:tc>
      </w:tr>
      <w:tr w:rsidR="004569EE" w:rsidRPr="007D3144" w14:paraId="1967477F" w14:textId="77777777">
        <w:trPr>
          <w:trHeight w:val="279"/>
        </w:trPr>
        <w:tc>
          <w:tcPr>
            <w:tcW w:w="2995" w:type="dxa"/>
            <w:tcBorders>
              <w:top w:val="single" w:sz="8" w:space="0" w:color="FFFFFF"/>
              <w:right w:val="single" w:sz="8" w:space="0" w:color="FFFFFF"/>
            </w:tcBorders>
            <w:shd w:val="clear" w:color="auto" w:fill="4471C4"/>
          </w:tcPr>
          <w:p w14:paraId="36AE4502" w14:textId="77777777" w:rsidR="004C7180" w:rsidRPr="00150EDC" w:rsidRDefault="00CF0754">
            <w:pPr>
              <w:pStyle w:val="TableParagraph"/>
              <w:spacing w:before="0" w:line="260" w:lineRule="exact"/>
              <w:ind w:left="98"/>
              <w:rPr>
                <w:b/>
                <w:sz w:val="24"/>
              </w:rPr>
            </w:pPr>
            <w:r w:rsidRPr="007D3144">
              <w:rPr>
                <w:b/>
                <w:sz w:val="24"/>
              </w:rPr>
              <w:t>Compliance</w:t>
            </w:r>
            <w:r w:rsidRPr="007D3144">
              <w:rPr>
                <w:b/>
                <w:spacing w:val="-4"/>
                <w:sz w:val="24"/>
              </w:rPr>
              <w:t xml:space="preserve"> </w:t>
            </w:r>
            <w:r w:rsidRPr="007D3144">
              <w:rPr>
                <w:b/>
                <w:spacing w:val="-2"/>
                <w:sz w:val="24"/>
              </w:rPr>
              <w:t>Officer</w:t>
            </w:r>
          </w:p>
        </w:tc>
        <w:tc>
          <w:tcPr>
            <w:tcW w:w="3006" w:type="dxa"/>
            <w:tcBorders>
              <w:top w:val="single" w:sz="8" w:space="0" w:color="FFFFFF"/>
              <w:left w:val="single" w:sz="8" w:space="0" w:color="FFFFFF"/>
              <w:right w:val="single" w:sz="12" w:space="0" w:color="FFFFFF"/>
            </w:tcBorders>
            <w:shd w:val="clear" w:color="auto" w:fill="B4C5E7"/>
          </w:tcPr>
          <w:p w14:paraId="569A40A1" w14:textId="77777777" w:rsidR="004C7180" w:rsidRPr="00150EDC" w:rsidRDefault="00CF0754">
            <w:pPr>
              <w:pStyle w:val="TableParagraph"/>
              <w:spacing w:before="0" w:line="260" w:lineRule="exact"/>
              <w:ind w:left="98"/>
              <w:rPr>
                <w:sz w:val="24"/>
              </w:rPr>
            </w:pPr>
            <w:r w:rsidRPr="007D3144">
              <w:rPr>
                <w:sz w:val="24"/>
              </w:rPr>
              <w:t>5</w:t>
            </w:r>
            <w:r w:rsidRPr="007D3144">
              <w:rPr>
                <w:spacing w:val="-3"/>
                <w:sz w:val="24"/>
              </w:rPr>
              <w:t xml:space="preserve"> </w:t>
            </w:r>
            <w:r w:rsidRPr="007D3144">
              <w:rPr>
                <w:sz w:val="24"/>
              </w:rPr>
              <w:t>days/week</w:t>
            </w:r>
            <w:r w:rsidRPr="007D3144">
              <w:rPr>
                <w:spacing w:val="-3"/>
                <w:sz w:val="24"/>
              </w:rPr>
              <w:t xml:space="preserve"> </w:t>
            </w:r>
            <w:r w:rsidRPr="007D3144">
              <w:rPr>
                <w:sz w:val="24"/>
              </w:rPr>
              <w:t>or</w:t>
            </w:r>
            <w:r w:rsidRPr="007D3144">
              <w:rPr>
                <w:spacing w:val="-2"/>
                <w:sz w:val="24"/>
              </w:rPr>
              <w:t xml:space="preserve"> </w:t>
            </w:r>
            <w:r w:rsidRPr="007D3144">
              <w:rPr>
                <w:spacing w:val="-4"/>
                <w:sz w:val="24"/>
              </w:rPr>
              <w:t>100%</w:t>
            </w:r>
          </w:p>
        </w:tc>
        <w:tc>
          <w:tcPr>
            <w:tcW w:w="2994" w:type="dxa"/>
            <w:tcBorders>
              <w:top w:val="single" w:sz="8" w:space="0" w:color="FFFFFF"/>
              <w:left w:val="single" w:sz="12" w:space="0" w:color="FFFFFF"/>
            </w:tcBorders>
            <w:shd w:val="clear" w:color="auto" w:fill="B4C5E7"/>
          </w:tcPr>
          <w:p w14:paraId="76AE57B2" w14:textId="77777777" w:rsidR="004C7180" w:rsidRPr="00150EDC" w:rsidRDefault="00CF0754">
            <w:pPr>
              <w:pStyle w:val="TableParagraph"/>
              <w:spacing w:before="0" w:line="260" w:lineRule="exact"/>
              <w:ind w:left="92"/>
              <w:rPr>
                <w:sz w:val="24"/>
              </w:rPr>
            </w:pPr>
            <w:r w:rsidRPr="007D3144">
              <w:rPr>
                <w:sz w:val="24"/>
              </w:rPr>
              <w:t>Masooma</w:t>
            </w:r>
            <w:r w:rsidRPr="007D3144">
              <w:rPr>
                <w:spacing w:val="77"/>
                <w:sz w:val="24"/>
              </w:rPr>
              <w:t xml:space="preserve"> </w:t>
            </w:r>
            <w:r w:rsidRPr="007D3144">
              <w:rPr>
                <w:sz w:val="24"/>
              </w:rPr>
              <w:t>has</w:t>
            </w:r>
            <w:r w:rsidRPr="007D3144">
              <w:rPr>
                <w:spacing w:val="78"/>
                <w:sz w:val="24"/>
              </w:rPr>
              <w:t xml:space="preserve"> </w:t>
            </w:r>
            <w:r w:rsidRPr="007D3144">
              <w:rPr>
                <w:sz w:val="24"/>
              </w:rPr>
              <w:t>15</w:t>
            </w:r>
            <w:r w:rsidRPr="007D3144">
              <w:rPr>
                <w:spacing w:val="78"/>
                <w:sz w:val="24"/>
              </w:rPr>
              <w:t xml:space="preserve"> </w:t>
            </w:r>
            <w:r w:rsidRPr="007D3144">
              <w:rPr>
                <w:spacing w:val="-2"/>
                <w:sz w:val="24"/>
              </w:rPr>
              <w:t>years’</w:t>
            </w:r>
          </w:p>
        </w:tc>
      </w:tr>
      <w:tr w:rsidR="004569EE" w:rsidRPr="007D3144" w14:paraId="0BC4B881" w14:textId="77777777">
        <w:trPr>
          <w:trHeight w:val="552"/>
        </w:trPr>
        <w:tc>
          <w:tcPr>
            <w:tcW w:w="2995" w:type="dxa"/>
            <w:tcBorders>
              <w:right w:val="single" w:sz="8" w:space="0" w:color="FFFFFF"/>
            </w:tcBorders>
            <w:shd w:val="clear" w:color="auto" w:fill="4471C4"/>
          </w:tcPr>
          <w:p w14:paraId="2A2E821E" w14:textId="77777777" w:rsidR="004C7180" w:rsidRPr="00150EDC" w:rsidRDefault="00CF0754">
            <w:pPr>
              <w:pStyle w:val="TableParagraph"/>
              <w:spacing w:before="116" w:line="240" w:lineRule="auto"/>
              <w:ind w:left="98"/>
              <w:rPr>
                <w:b/>
                <w:sz w:val="24"/>
              </w:rPr>
            </w:pPr>
            <w:r w:rsidRPr="007D3144">
              <w:rPr>
                <w:b/>
                <w:sz w:val="24"/>
              </w:rPr>
              <w:t>Masooma</w:t>
            </w:r>
            <w:r w:rsidRPr="007D3144">
              <w:rPr>
                <w:b/>
                <w:spacing w:val="-2"/>
                <w:sz w:val="24"/>
              </w:rPr>
              <w:t xml:space="preserve"> Fadhul</w:t>
            </w:r>
          </w:p>
        </w:tc>
        <w:tc>
          <w:tcPr>
            <w:tcW w:w="3006" w:type="dxa"/>
            <w:tcBorders>
              <w:left w:val="single" w:sz="8" w:space="0" w:color="FFFFFF"/>
              <w:right w:val="single" w:sz="12" w:space="0" w:color="FFFFFF"/>
            </w:tcBorders>
            <w:shd w:val="clear" w:color="auto" w:fill="B4C5E7"/>
          </w:tcPr>
          <w:p w14:paraId="55428E77" w14:textId="77777777" w:rsidR="004C7180" w:rsidRPr="00150EDC" w:rsidRDefault="00CF0754">
            <w:pPr>
              <w:pStyle w:val="TableParagraph"/>
              <w:spacing w:before="0" w:line="272" w:lineRule="exact"/>
              <w:ind w:left="98"/>
              <w:rPr>
                <w:sz w:val="24"/>
              </w:rPr>
            </w:pPr>
            <w:r w:rsidRPr="007D3144">
              <w:rPr>
                <w:spacing w:val="-5"/>
                <w:sz w:val="24"/>
              </w:rPr>
              <w:t>FTE</w:t>
            </w:r>
          </w:p>
        </w:tc>
        <w:tc>
          <w:tcPr>
            <w:tcW w:w="2994" w:type="dxa"/>
            <w:tcBorders>
              <w:left w:val="single" w:sz="12" w:space="0" w:color="FFFFFF"/>
            </w:tcBorders>
            <w:shd w:val="clear" w:color="auto" w:fill="B4C5E7"/>
          </w:tcPr>
          <w:p w14:paraId="756055B3" w14:textId="77777777" w:rsidR="004C7180" w:rsidRPr="00150EDC" w:rsidRDefault="00CF0754">
            <w:pPr>
              <w:pStyle w:val="TableParagraph"/>
              <w:tabs>
                <w:tab w:val="left" w:pos="1803"/>
              </w:tabs>
              <w:spacing w:before="0" w:line="276" w:lineRule="exact"/>
              <w:ind w:left="92" w:right="93"/>
              <w:rPr>
                <w:sz w:val="24"/>
              </w:rPr>
            </w:pPr>
            <w:r w:rsidRPr="007D3144">
              <w:rPr>
                <w:spacing w:val="-2"/>
                <w:sz w:val="24"/>
              </w:rPr>
              <w:t>experience</w:t>
            </w:r>
            <w:r w:rsidRPr="007D3144">
              <w:rPr>
                <w:sz w:val="24"/>
              </w:rPr>
              <w:tab/>
            </w:r>
            <w:r w:rsidRPr="007D3144">
              <w:rPr>
                <w:spacing w:val="-2"/>
                <w:sz w:val="24"/>
              </w:rPr>
              <w:t xml:space="preserve">inspecting </w:t>
            </w:r>
            <w:r w:rsidRPr="007D3144">
              <w:rPr>
                <w:sz w:val="24"/>
              </w:rPr>
              <w:t>public</w:t>
            </w:r>
            <w:r w:rsidRPr="007D3144">
              <w:rPr>
                <w:spacing w:val="7"/>
                <w:sz w:val="24"/>
              </w:rPr>
              <w:t xml:space="preserve"> </w:t>
            </w:r>
            <w:r w:rsidRPr="007D3144">
              <w:rPr>
                <w:sz w:val="24"/>
              </w:rPr>
              <w:t>and</w:t>
            </w:r>
            <w:r w:rsidRPr="007D3144">
              <w:rPr>
                <w:spacing w:val="6"/>
                <w:sz w:val="24"/>
              </w:rPr>
              <w:t xml:space="preserve"> </w:t>
            </w:r>
            <w:r w:rsidRPr="007D3144">
              <w:rPr>
                <w:sz w:val="24"/>
              </w:rPr>
              <w:t>private</w:t>
            </w:r>
            <w:r w:rsidRPr="007D3144">
              <w:rPr>
                <w:spacing w:val="9"/>
                <w:sz w:val="24"/>
              </w:rPr>
              <w:t xml:space="preserve"> </w:t>
            </w:r>
            <w:r w:rsidRPr="007D3144">
              <w:rPr>
                <w:spacing w:val="-2"/>
                <w:sz w:val="24"/>
              </w:rPr>
              <w:t>schools</w:t>
            </w:r>
          </w:p>
        </w:tc>
      </w:tr>
      <w:tr w:rsidR="004569EE" w:rsidRPr="007D3144" w14:paraId="071F23FA" w14:textId="77777777">
        <w:trPr>
          <w:trHeight w:val="275"/>
        </w:trPr>
        <w:tc>
          <w:tcPr>
            <w:tcW w:w="2995" w:type="dxa"/>
            <w:tcBorders>
              <w:right w:val="single" w:sz="8" w:space="0" w:color="FFFFFF"/>
            </w:tcBorders>
            <w:shd w:val="clear" w:color="auto" w:fill="4471C4"/>
          </w:tcPr>
          <w:p w14:paraId="14E6E5BD" w14:textId="77777777" w:rsidR="004C7180" w:rsidRPr="00150EDC" w:rsidRDefault="004C7180">
            <w:pPr>
              <w:pStyle w:val="TableParagraph"/>
              <w:spacing w:before="0" w:line="240" w:lineRule="auto"/>
              <w:ind w:left="0"/>
              <w:rPr>
                <w:rFonts w:ascii="Times New Roman"/>
                <w:sz w:val="20"/>
              </w:rPr>
            </w:pPr>
          </w:p>
        </w:tc>
        <w:tc>
          <w:tcPr>
            <w:tcW w:w="3006" w:type="dxa"/>
            <w:tcBorders>
              <w:left w:val="single" w:sz="8" w:space="0" w:color="FFFFFF"/>
              <w:right w:val="single" w:sz="12" w:space="0" w:color="FFFFFF"/>
            </w:tcBorders>
            <w:shd w:val="clear" w:color="auto" w:fill="B4C5E7"/>
          </w:tcPr>
          <w:p w14:paraId="790831F6" w14:textId="77777777" w:rsidR="004C7180" w:rsidRPr="00150EDC" w:rsidRDefault="004C7180">
            <w:pPr>
              <w:pStyle w:val="TableParagraph"/>
              <w:spacing w:before="0" w:line="240" w:lineRule="auto"/>
              <w:ind w:left="0"/>
              <w:rPr>
                <w:rFonts w:ascii="Times New Roman"/>
                <w:sz w:val="20"/>
              </w:rPr>
            </w:pPr>
          </w:p>
        </w:tc>
        <w:tc>
          <w:tcPr>
            <w:tcW w:w="2994" w:type="dxa"/>
            <w:tcBorders>
              <w:left w:val="single" w:sz="12" w:space="0" w:color="FFFFFF"/>
            </w:tcBorders>
            <w:shd w:val="clear" w:color="auto" w:fill="B4C5E7"/>
          </w:tcPr>
          <w:p w14:paraId="4A71B44F" w14:textId="77777777" w:rsidR="004C7180" w:rsidRPr="00150EDC" w:rsidRDefault="00CF0754">
            <w:pPr>
              <w:pStyle w:val="TableParagraph"/>
              <w:tabs>
                <w:tab w:val="left" w:pos="783"/>
                <w:tab w:val="left" w:pos="1683"/>
              </w:tabs>
              <w:spacing w:before="0" w:line="256" w:lineRule="exact"/>
              <w:ind w:left="92"/>
              <w:rPr>
                <w:sz w:val="24"/>
              </w:rPr>
            </w:pPr>
            <w:r w:rsidRPr="007D3144">
              <w:rPr>
                <w:spacing w:val="-5"/>
                <w:sz w:val="24"/>
              </w:rPr>
              <w:t>and</w:t>
            </w:r>
            <w:r w:rsidRPr="007D3144">
              <w:rPr>
                <w:sz w:val="24"/>
              </w:rPr>
              <w:tab/>
            </w:r>
            <w:r w:rsidRPr="007D3144">
              <w:rPr>
                <w:spacing w:val="-4"/>
                <w:sz w:val="24"/>
              </w:rPr>
              <w:t>TVET</w:t>
            </w:r>
            <w:r w:rsidRPr="007D3144">
              <w:rPr>
                <w:sz w:val="24"/>
              </w:rPr>
              <w:tab/>
            </w:r>
            <w:r w:rsidRPr="007D3144">
              <w:rPr>
                <w:spacing w:val="-2"/>
                <w:sz w:val="24"/>
              </w:rPr>
              <w:t>institutions.</w:t>
            </w:r>
          </w:p>
        </w:tc>
      </w:tr>
      <w:tr w:rsidR="004569EE" w:rsidRPr="007D3144" w14:paraId="0DA4E761" w14:textId="77777777">
        <w:trPr>
          <w:trHeight w:val="275"/>
        </w:trPr>
        <w:tc>
          <w:tcPr>
            <w:tcW w:w="2995" w:type="dxa"/>
            <w:tcBorders>
              <w:right w:val="single" w:sz="8" w:space="0" w:color="FFFFFF"/>
            </w:tcBorders>
            <w:shd w:val="clear" w:color="auto" w:fill="4471C4"/>
          </w:tcPr>
          <w:p w14:paraId="50B3E92A" w14:textId="77777777" w:rsidR="004C7180" w:rsidRPr="00150EDC" w:rsidRDefault="004C7180">
            <w:pPr>
              <w:pStyle w:val="TableParagraph"/>
              <w:spacing w:before="0" w:line="240" w:lineRule="auto"/>
              <w:ind w:left="0"/>
              <w:rPr>
                <w:rFonts w:ascii="Times New Roman"/>
                <w:sz w:val="20"/>
              </w:rPr>
            </w:pPr>
          </w:p>
        </w:tc>
        <w:tc>
          <w:tcPr>
            <w:tcW w:w="3006" w:type="dxa"/>
            <w:tcBorders>
              <w:left w:val="single" w:sz="8" w:space="0" w:color="FFFFFF"/>
              <w:right w:val="single" w:sz="12" w:space="0" w:color="FFFFFF"/>
            </w:tcBorders>
            <w:shd w:val="clear" w:color="auto" w:fill="B4C5E7"/>
          </w:tcPr>
          <w:p w14:paraId="2104C4B4" w14:textId="77777777" w:rsidR="004C7180" w:rsidRPr="00150EDC" w:rsidRDefault="004C7180">
            <w:pPr>
              <w:pStyle w:val="TableParagraph"/>
              <w:spacing w:before="0" w:line="240" w:lineRule="auto"/>
              <w:ind w:left="0"/>
              <w:rPr>
                <w:rFonts w:ascii="Times New Roman"/>
                <w:sz w:val="20"/>
              </w:rPr>
            </w:pPr>
          </w:p>
        </w:tc>
        <w:tc>
          <w:tcPr>
            <w:tcW w:w="2994" w:type="dxa"/>
            <w:tcBorders>
              <w:left w:val="single" w:sz="12" w:space="0" w:color="FFFFFF"/>
            </w:tcBorders>
            <w:shd w:val="clear" w:color="auto" w:fill="B4C5E7"/>
          </w:tcPr>
          <w:p w14:paraId="4EFAFC11" w14:textId="77777777" w:rsidR="004C7180" w:rsidRPr="00150EDC" w:rsidRDefault="00CF0754">
            <w:pPr>
              <w:pStyle w:val="TableParagraph"/>
              <w:tabs>
                <w:tab w:val="left" w:pos="1172"/>
                <w:tab w:val="left" w:pos="1928"/>
                <w:tab w:val="left" w:pos="2547"/>
              </w:tabs>
              <w:spacing w:before="0" w:line="256" w:lineRule="exact"/>
              <w:ind w:left="92"/>
              <w:rPr>
                <w:sz w:val="24"/>
              </w:rPr>
            </w:pPr>
            <w:r w:rsidRPr="007D3144">
              <w:rPr>
                <w:spacing w:val="-2"/>
                <w:sz w:val="24"/>
              </w:rPr>
              <w:t>Specific</w:t>
            </w:r>
            <w:r w:rsidRPr="007D3144">
              <w:rPr>
                <w:sz w:val="24"/>
              </w:rPr>
              <w:tab/>
            </w:r>
            <w:r w:rsidRPr="007D3144">
              <w:rPr>
                <w:spacing w:val="-2"/>
                <w:sz w:val="24"/>
              </w:rPr>
              <w:t>skills</w:t>
            </w:r>
            <w:r w:rsidRPr="007D3144">
              <w:rPr>
                <w:sz w:val="24"/>
              </w:rPr>
              <w:tab/>
            </w:r>
            <w:r w:rsidRPr="007D3144">
              <w:rPr>
                <w:spacing w:val="-5"/>
                <w:sz w:val="24"/>
              </w:rPr>
              <w:t>she</w:t>
            </w:r>
            <w:r w:rsidRPr="007D3144">
              <w:rPr>
                <w:sz w:val="24"/>
              </w:rPr>
              <w:tab/>
            </w:r>
            <w:r w:rsidRPr="007D3144">
              <w:rPr>
                <w:spacing w:val="-4"/>
                <w:sz w:val="24"/>
              </w:rPr>
              <w:t>will</w:t>
            </w:r>
          </w:p>
        </w:tc>
      </w:tr>
      <w:tr w:rsidR="004569EE" w:rsidRPr="007D3144" w14:paraId="16A60992" w14:textId="77777777">
        <w:trPr>
          <w:trHeight w:val="276"/>
        </w:trPr>
        <w:tc>
          <w:tcPr>
            <w:tcW w:w="2995" w:type="dxa"/>
            <w:tcBorders>
              <w:right w:val="single" w:sz="8" w:space="0" w:color="FFFFFF"/>
            </w:tcBorders>
            <w:shd w:val="clear" w:color="auto" w:fill="4471C4"/>
          </w:tcPr>
          <w:p w14:paraId="0A4D277E" w14:textId="77777777" w:rsidR="004C7180" w:rsidRPr="00150EDC" w:rsidRDefault="004C7180">
            <w:pPr>
              <w:pStyle w:val="TableParagraph"/>
              <w:spacing w:before="0" w:line="240" w:lineRule="auto"/>
              <w:ind w:left="0"/>
              <w:rPr>
                <w:rFonts w:ascii="Times New Roman"/>
                <w:sz w:val="20"/>
              </w:rPr>
            </w:pPr>
          </w:p>
        </w:tc>
        <w:tc>
          <w:tcPr>
            <w:tcW w:w="3006" w:type="dxa"/>
            <w:tcBorders>
              <w:left w:val="single" w:sz="8" w:space="0" w:color="FFFFFF"/>
              <w:right w:val="single" w:sz="12" w:space="0" w:color="FFFFFF"/>
            </w:tcBorders>
            <w:shd w:val="clear" w:color="auto" w:fill="B4C5E7"/>
          </w:tcPr>
          <w:p w14:paraId="4CF0C98A" w14:textId="77777777" w:rsidR="004C7180" w:rsidRPr="00150EDC" w:rsidRDefault="004C7180">
            <w:pPr>
              <w:pStyle w:val="TableParagraph"/>
              <w:spacing w:before="0" w:line="240" w:lineRule="auto"/>
              <w:ind w:left="0"/>
              <w:rPr>
                <w:rFonts w:ascii="Times New Roman"/>
                <w:sz w:val="20"/>
              </w:rPr>
            </w:pPr>
          </w:p>
        </w:tc>
        <w:tc>
          <w:tcPr>
            <w:tcW w:w="2994" w:type="dxa"/>
            <w:tcBorders>
              <w:left w:val="single" w:sz="12" w:space="0" w:color="FFFFFF"/>
            </w:tcBorders>
            <w:shd w:val="clear" w:color="auto" w:fill="B4C5E7"/>
          </w:tcPr>
          <w:p w14:paraId="4C7098E3" w14:textId="77777777" w:rsidR="004C7180" w:rsidRPr="00150EDC" w:rsidRDefault="00CF0754">
            <w:pPr>
              <w:pStyle w:val="TableParagraph"/>
              <w:tabs>
                <w:tab w:val="left" w:pos="917"/>
                <w:tab w:val="left" w:pos="1407"/>
                <w:tab w:val="left" w:pos="2028"/>
              </w:tabs>
              <w:spacing w:before="0" w:line="256" w:lineRule="exact"/>
              <w:ind w:left="92"/>
              <w:rPr>
                <w:sz w:val="24"/>
              </w:rPr>
            </w:pPr>
            <w:r w:rsidRPr="007D3144">
              <w:rPr>
                <w:spacing w:val="-2"/>
                <w:sz w:val="24"/>
              </w:rPr>
              <w:t>bring</w:t>
            </w:r>
            <w:r w:rsidRPr="007D3144">
              <w:rPr>
                <w:sz w:val="24"/>
              </w:rPr>
              <w:tab/>
            </w:r>
            <w:r w:rsidRPr="007D3144">
              <w:rPr>
                <w:spacing w:val="-5"/>
                <w:sz w:val="24"/>
              </w:rPr>
              <w:t>to</w:t>
            </w:r>
            <w:r w:rsidRPr="007D3144">
              <w:rPr>
                <w:sz w:val="24"/>
              </w:rPr>
              <w:tab/>
            </w:r>
            <w:r w:rsidRPr="007D3144">
              <w:rPr>
                <w:spacing w:val="-5"/>
                <w:sz w:val="24"/>
              </w:rPr>
              <w:t>the</w:t>
            </w:r>
            <w:r w:rsidRPr="007D3144">
              <w:rPr>
                <w:sz w:val="24"/>
              </w:rPr>
              <w:tab/>
            </w:r>
            <w:r w:rsidRPr="007D3144">
              <w:rPr>
                <w:spacing w:val="-2"/>
                <w:sz w:val="24"/>
              </w:rPr>
              <w:t>contract</w:t>
            </w:r>
          </w:p>
        </w:tc>
      </w:tr>
      <w:tr w:rsidR="004569EE" w:rsidRPr="007D3144" w14:paraId="4AD9C185" w14:textId="77777777">
        <w:trPr>
          <w:trHeight w:val="335"/>
        </w:trPr>
        <w:tc>
          <w:tcPr>
            <w:tcW w:w="2995" w:type="dxa"/>
            <w:tcBorders>
              <w:right w:val="single" w:sz="8" w:space="0" w:color="FFFFFF"/>
            </w:tcBorders>
            <w:shd w:val="clear" w:color="auto" w:fill="4471C4"/>
          </w:tcPr>
          <w:p w14:paraId="7AC9D5FD" w14:textId="77777777" w:rsidR="004C7180" w:rsidRPr="00150EDC" w:rsidRDefault="004C7180">
            <w:pPr>
              <w:pStyle w:val="TableParagraph"/>
              <w:spacing w:before="0" w:line="240" w:lineRule="auto"/>
              <w:ind w:left="0"/>
              <w:rPr>
                <w:rFonts w:ascii="Times New Roman"/>
              </w:rPr>
            </w:pPr>
          </w:p>
        </w:tc>
        <w:tc>
          <w:tcPr>
            <w:tcW w:w="3006" w:type="dxa"/>
            <w:tcBorders>
              <w:left w:val="single" w:sz="8" w:space="0" w:color="FFFFFF"/>
              <w:right w:val="single" w:sz="12" w:space="0" w:color="FFFFFF"/>
            </w:tcBorders>
            <w:shd w:val="clear" w:color="auto" w:fill="B4C5E7"/>
          </w:tcPr>
          <w:p w14:paraId="2C2354B4" w14:textId="77777777" w:rsidR="004C7180" w:rsidRPr="00150EDC" w:rsidRDefault="004C7180">
            <w:pPr>
              <w:pStyle w:val="TableParagraph"/>
              <w:spacing w:before="0" w:line="240" w:lineRule="auto"/>
              <w:ind w:left="0"/>
              <w:rPr>
                <w:rFonts w:ascii="Times New Roman"/>
              </w:rPr>
            </w:pPr>
          </w:p>
        </w:tc>
        <w:tc>
          <w:tcPr>
            <w:tcW w:w="2994" w:type="dxa"/>
            <w:tcBorders>
              <w:left w:val="single" w:sz="12" w:space="0" w:color="FFFFFF"/>
            </w:tcBorders>
            <w:shd w:val="clear" w:color="auto" w:fill="B4C5E7"/>
          </w:tcPr>
          <w:p w14:paraId="627558BA" w14:textId="77777777" w:rsidR="004C7180" w:rsidRPr="00150EDC" w:rsidRDefault="00CF0754">
            <w:pPr>
              <w:pStyle w:val="TableParagraph"/>
              <w:spacing w:before="0" w:line="272" w:lineRule="exact"/>
              <w:ind w:left="92"/>
              <w:rPr>
                <w:sz w:val="24"/>
              </w:rPr>
            </w:pPr>
            <w:r w:rsidRPr="007D3144">
              <w:rPr>
                <w:spacing w:val="-2"/>
                <w:sz w:val="24"/>
              </w:rPr>
              <w:t>include:</w:t>
            </w:r>
          </w:p>
        </w:tc>
      </w:tr>
      <w:tr w:rsidR="004569EE" w:rsidRPr="007D3144" w14:paraId="1D2444C2" w14:textId="77777777">
        <w:trPr>
          <w:trHeight w:val="336"/>
        </w:trPr>
        <w:tc>
          <w:tcPr>
            <w:tcW w:w="2995" w:type="dxa"/>
            <w:tcBorders>
              <w:right w:val="single" w:sz="8" w:space="0" w:color="FFFFFF"/>
            </w:tcBorders>
            <w:shd w:val="clear" w:color="auto" w:fill="4471C4"/>
          </w:tcPr>
          <w:p w14:paraId="1EE1DF03" w14:textId="77777777" w:rsidR="004C7180" w:rsidRPr="00150EDC" w:rsidRDefault="004C7180">
            <w:pPr>
              <w:pStyle w:val="TableParagraph"/>
              <w:spacing w:before="0" w:line="240" w:lineRule="auto"/>
              <w:ind w:left="0"/>
              <w:rPr>
                <w:rFonts w:ascii="Times New Roman"/>
              </w:rPr>
            </w:pPr>
          </w:p>
        </w:tc>
        <w:tc>
          <w:tcPr>
            <w:tcW w:w="3006" w:type="dxa"/>
            <w:tcBorders>
              <w:left w:val="single" w:sz="8" w:space="0" w:color="FFFFFF"/>
              <w:right w:val="single" w:sz="12" w:space="0" w:color="FFFFFF"/>
            </w:tcBorders>
            <w:shd w:val="clear" w:color="auto" w:fill="B4C5E7"/>
          </w:tcPr>
          <w:p w14:paraId="5A354BCE" w14:textId="77777777" w:rsidR="004C7180" w:rsidRPr="00150EDC" w:rsidRDefault="004C7180">
            <w:pPr>
              <w:pStyle w:val="TableParagraph"/>
              <w:spacing w:before="0" w:line="240" w:lineRule="auto"/>
              <w:ind w:left="0"/>
              <w:rPr>
                <w:rFonts w:ascii="Times New Roman"/>
              </w:rPr>
            </w:pPr>
          </w:p>
        </w:tc>
        <w:tc>
          <w:tcPr>
            <w:tcW w:w="2994" w:type="dxa"/>
            <w:tcBorders>
              <w:left w:val="single" w:sz="12" w:space="0" w:color="FFFFFF"/>
            </w:tcBorders>
            <w:shd w:val="clear" w:color="auto" w:fill="B4C5E7"/>
          </w:tcPr>
          <w:p w14:paraId="49AA163F" w14:textId="77777777" w:rsidR="004C7180" w:rsidRPr="00150EDC" w:rsidRDefault="00CF0754" w:rsidP="00B320C7">
            <w:pPr>
              <w:pStyle w:val="TableParagraph"/>
              <w:numPr>
                <w:ilvl w:val="0"/>
                <w:numId w:val="73"/>
              </w:numPr>
              <w:tabs>
                <w:tab w:val="left" w:pos="359"/>
                <w:tab w:val="right" w:pos="2430"/>
              </w:tabs>
              <w:spacing w:before="56" w:line="260" w:lineRule="exact"/>
              <w:ind w:left="359" w:right="94" w:hanging="359"/>
              <w:jc w:val="right"/>
              <w:rPr>
                <w:sz w:val="24"/>
              </w:rPr>
            </w:pPr>
            <w:r w:rsidRPr="007D3144">
              <w:rPr>
                <w:spacing w:val="-5"/>
                <w:sz w:val="24"/>
              </w:rPr>
              <w:t>ISO</w:t>
            </w:r>
            <w:r w:rsidRPr="007D3144">
              <w:rPr>
                <w:sz w:val="24"/>
              </w:rPr>
              <w:tab/>
            </w:r>
            <w:r w:rsidRPr="007D3144">
              <w:rPr>
                <w:spacing w:val="-2"/>
                <w:sz w:val="24"/>
              </w:rPr>
              <w:t>9001:2015</w:t>
            </w:r>
          </w:p>
        </w:tc>
      </w:tr>
      <w:tr w:rsidR="004569EE" w:rsidRPr="007D3144" w14:paraId="0929EDFF" w14:textId="77777777">
        <w:trPr>
          <w:trHeight w:val="275"/>
        </w:trPr>
        <w:tc>
          <w:tcPr>
            <w:tcW w:w="2995" w:type="dxa"/>
            <w:tcBorders>
              <w:right w:val="single" w:sz="8" w:space="0" w:color="FFFFFF"/>
            </w:tcBorders>
            <w:shd w:val="clear" w:color="auto" w:fill="4471C4"/>
          </w:tcPr>
          <w:p w14:paraId="136E8019" w14:textId="77777777" w:rsidR="004C7180" w:rsidRPr="00150EDC" w:rsidRDefault="004C7180">
            <w:pPr>
              <w:pStyle w:val="TableParagraph"/>
              <w:spacing w:before="0" w:line="240" w:lineRule="auto"/>
              <w:ind w:left="0"/>
              <w:rPr>
                <w:rFonts w:ascii="Times New Roman"/>
                <w:sz w:val="20"/>
              </w:rPr>
            </w:pPr>
          </w:p>
        </w:tc>
        <w:tc>
          <w:tcPr>
            <w:tcW w:w="3006" w:type="dxa"/>
            <w:tcBorders>
              <w:left w:val="single" w:sz="8" w:space="0" w:color="FFFFFF"/>
              <w:right w:val="single" w:sz="12" w:space="0" w:color="FFFFFF"/>
            </w:tcBorders>
            <w:shd w:val="clear" w:color="auto" w:fill="B4C5E7"/>
          </w:tcPr>
          <w:p w14:paraId="11350CB6" w14:textId="77777777" w:rsidR="004C7180" w:rsidRPr="00150EDC" w:rsidRDefault="004C7180">
            <w:pPr>
              <w:pStyle w:val="TableParagraph"/>
              <w:spacing w:before="0" w:line="240" w:lineRule="auto"/>
              <w:ind w:left="0"/>
              <w:rPr>
                <w:rFonts w:ascii="Times New Roman"/>
                <w:sz w:val="20"/>
              </w:rPr>
            </w:pPr>
          </w:p>
        </w:tc>
        <w:tc>
          <w:tcPr>
            <w:tcW w:w="2994" w:type="dxa"/>
            <w:tcBorders>
              <w:left w:val="single" w:sz="12" w:space="0" w:color="FFFFFF"/>
            </w:tcBorders>
            <w:shd w:val="clear" w:color="auto" w:fill="B4C5E7"/>
          </w:tcPr>
          <w:p w14:paraId="3B355C7D" w14:textId="77777777" w:rsidR="004C7180" w:rsidRPr="00150EDC" w:rsidRDefault="00CF0754">
            <w:pPr>
              <w:pStyle w:val="TableParagraph"/>
              <w:spacing w:before="0" w:line="256" w:lineRule="exact"/>
              <w:ind w:left="812"/>
              <w:rPr>
                <w:sz w:val="24"/>
              </w:rPr>
            </w:pPr>
            <w:r w:rsidRPr="007D3144">
              <w:rPr>
                <w:spacing w:val="-2"/>
                <w:sz w:val="24"/>
              </w:rPr>
              <w:t>Quality</w:t>
            </w:r>
          </w:p>
        </w:tc>
      </w:tr>
      <w:tr w:rsidR="004569EE" w:rsidRPr="007D3144" w14:paraId="22A7DE1E" w14:textId="77777777">
        <w:trPr>
          <w:trHeight w:val="276"/>
        </w:trPr>
        <w:tc>
          <w:tcPr>
            <w:tcW w:w="2995" w:type="dxa"/>
            <w:tcBorders>
              <w:right w:val="single" w:sz="8" w:space="0" w:color="FFFFFF"/>
            </w:tcBorders>
            <w:shd w:val="clear" w:color="auto" w:fill="4471C4"/>
          </w:tcPr>
          <w:p w14:paraId="289C0729" w14:textId="77777777" w:rsidR="004C7180" w:rsidRPr="00150EDC" w:rsidRDefault="004C7180">
            <w:pPr>
              <w:pStyle w:val="TableParagraph"/>
              <w:spacing w:before="0" w:line="240" w:lineRule="auto"/>
              <w:ind w:left="0"/>
              <w:rPr>
                <w:rFonts w:ascii="Times New Roman"/>
                <w:sz w:val="20"/>
              </w:rPr>
            </w:pPr>
          </w:p>
        </w:tc>
        <w:tc>
          <w:tcPr>
            <w:tcW w:w="3006" w:type="dxa"/>
            <w:tcBorders>
              <w:left w:val="single" w:sz="8" w:space="0" w:color="FFFFFF"/>
              <w:right w:val="single" w:sz="12" w:space="0" w:color="FFFFFF"/>
            </w:tcBorders>
            <w:shd w:val="clear" w:color="auto" w:fill="B4C5E7"/>
          </w:tcPr>
          <w:p w14:paraId="04CB7A3A" w14:textId="77777777" w:rsidR="004C7180" w:rsidRPr="00150EDC" w:rsidRDefault="004C7180">
            <w:pPr>
              <w:pStyle w:val="TableParagraph"/>
              <w:spacing w:before="0" w:line="240" w:lineRule="auto"/>
              <w:ind w:left="0"/>
              <w:rPr>
                <w:rFonts w:ascii="Times New Roman"/>
                <w:sz w:val="20"/>
              </w:rPr>
            </w:pPr>
          </w:p>
        </w:tc>
        <w:tc>
          <w:tcPr>
            <w:tcW w:w="2994" w:type="dxa"/>
            <w:tcBorders>
              <w:left w:val="single" w:sz="12" w:space="0" w:color="FFFFFF"/>
            </w:tcBorders>
            <w:shd w:val="clear" w:color="auto" w:fill="B4C5E7"/>
          </w:tcPr>
          <w:p w14:paraId="0D1CBDBE" w14:textId="77777777" w:rsidR="004C7180" w:rsidRPr="00150EDC" w:rsidRDefault="00CF0754">
            <w:pPr>
              <w:pStyle w:val="TableParagraph"/>
              <w:spacing w:before="0" w:line="256" w:lineRule="exact"/>
              <w:ind w:left="812"/>
              <w:rPr>
                <w:sz w:val="24"/>
              </w:rPr>
            </w:pPr>
            <w:r w:rsidRPr="007D3144">
              <w:rPr>
                <w:spacing w:val="-2"/>
                <w:sz w:val="24"/>
              </w:rPr>
              <w:t>Management</w:t>
            </w:r>
          </w:p>
        </w:tc>
      </w:tr>
      <w:tr w:rsidR="004569EE" w:rsidRPr="007D3144" w14:paraId="5C80DBA2" w14:textId="77777777">
        <w:trPr>
          <w:trHeight w:val="275"/>
        </w:trPr>
        <w:tc>
          <w:tcPr>
            <w:tcW w:w="2995" w:type="dxa"/>
            <w:tcBorders>
              <w:right w:val="single" w:sz="8" w:space="0" w:color="FFFFFF"/>
            </w:tcBorders>
            <w:shd w:val="clear" w:color="auto" w:fill="4471C4"/>
          </w:tcPr>
          <w:p w14:paraId="1D00F24D" w14:textId="77777777" w:rsidR="004C7180" w:rsidRPr="00150EDC" w:rsidRDefault="004C7180">
            <w:pPr>
              <w:pStyle w:val="TableParagraph"/>
              <w:spacing w:before="0" w:line="240" w:lineRule="auto"/>
              <w:ind w:left="0"/>
              <w:rPr>
                <w:rFonts w:ascii="Times New Roman"/>
                <w:sz w:val="20"/>
              </w:rPr>
            </w:pPr>
          </w:p>
        </w:tc>
        <w:tc>
          <w:tcPr>
            <w:tcW w:w="3006" w:type="dxa"/>
            <w:tcBorders>
              <w:left w:val="single" w:sz="8" w:space="0" w:color="FFFFFF"/>
              <w:right w:val="single" w:sz="12" w:space="0" w:color="FFFFFF"/>
            </w:tcBorders>
            <w:shd w:val="clear" w:color="auto" w:fill="B4C5E7"/>
          </w:tcPr>
          <w:p w14:paraId="485C3FCD" w14:textId="77777777" w:rsidR="004C7180" w:rsidRPr="00150EDC" w:rsidRDefault="004C7180">
            <w:pPr>
              <w:pStyle w:val="TableParagraph"/>
              <w:spacing w:before="0" w:line="240" w:lineRule="auto"/>
              <w:ind w:left="0"/>
              <w:rPr>
                <w:rFonts w:ascii="Times New Roman"/>
                <w:sz w:val="20"/>
              </w:rPr>
            </w:pPr>
          </w:p>
        </w:tc>
        <w:tc>
          <w:tcPr>
            <w:tcW w:w="2994" w:type="dxa"/>
            <w:tcBorders>
              <w:left w:val="single" w:sz="12" w:space="0" w:color="FFFFFF"/>
            </w:tcBorders>
            <w:shd w:val="clear" w:color="auto" w:fill="B4C5E7"/>
          </w:tcPr>
          <w:p w14:paraId="16086E6C" w14:textId="77777777" w:rsidR="004C7180" w:rsidRPr="00150EDC" w:rsidRDefault="00CF0754">
            <w:pPr>
              <w:pStyle w:val="TableParagraph"/>
              <w:tabs>
                <w:tab w:val="left" w:pos="1535"/>
              </w:tabs>
              <w:spacing w:before="0" w:line="256" w:lineRule="exact"/>
              <w:ind w:left="0" w:right="96"/>
              <w:jc w:val="right"/>
              <w:rPr>
                <w:sz w:val="24"/>
              </w:rPr>
            </w:pPr>
            <w:r w:rsidRPr="007D3144">
              <w:rPr>
                <w:spacing w:val="-2"/>
                <w:sz w:val="24"/>
              </w:rPr>
              <w:t>System</w:t>
            </w:r>
            <w:r w:rsidRPr="007D3144">
              <w:rPr>
                <w:sz w:val="24"/>
              </w:rPr>
              <w:tab/>
            </w:r>
            <w:r w:rsidRPr="007D3144">
              <w:rPr>
                <w:spacing w:val="-4"/>
                <w:sz w:val="24"/>
              </w:rPr>
              <w:t>Lead</w:t>
            </w:r>
          </w:p>
        </w:tc>
      </w:tr>
      <w:tr w:rsidR="004569EE" w:rsidRPr="007D3144" w14:paraId="00F744AE" w14:textId="77777777">
        <w:trPr>
          <w:trHeight w:val="275"/>
        </w:trPr>
        <w:tc>
          <w:tcPr>
            <w:tcW w:w="2995" w:type="dxa"/>
            <w:tcBorders>
              <w:right w:val="single" w:sz="8" w:space="0" w:color="FFFFFF"/>
            </w:tcBorders>
            <w:shd w:val="clear" w:color="auto" w:fill="4471C4"/>
          </w:tcPr>
          <w:p w14:paraId="5676AABF" w14:textId="77777777" w:rsidR="004C7180" w:rsidRPr="00150EDC" w:rsidRDefault="004C7180">
            <w:pPr>
              <w:pStyle w:val="TableParagraph"/>
              <w:spacing w:before="0" w:line="240" w:lineRule="auto"/>
              <w:ind w:left="0"/>
              <w:rPr>
                <w:rFonts w:ascii="Times New Roman"/>
                <w:sz w:val="20"/>
              </w:rPr>
            </w:pPr>
          </w:p>
        </w:tc>
        <w:tc>
          <w:tcPr>
            <w:tcW w:w="3006" w:type="dxa"/>
            <w:tcBorders>
              <w:left w:val="single" w:sz="8" w:space="0" w:color="FFFFFF"/>
              <w:right w:val="single" w:sz="12" w:space="0" w:color="FFFFFF"/>
            </w:tcBorders>
            <w:shd w:val="clear" w:color="auto" w:fill="B4C5E7"/>
          </w:tcPr>
          <w:p w14:paraId="21813383" w14:textId="77777777" w:rsidR="004C7180" w:rsidRPr="00150EDC" w:rsidRDefault="004C7180">
            <w:pPr>
              <w:pStyle w:val="TableParagraph"/>
              <w:spacing w:before="0" w:line="240" w:lineRule="auto"/>
              <w:ind w:left="0"/>
              <w:rPr>
                <w:rFonts w:ascii="Times New Roman"/>
                <w:sz w:val="20"/>
              </w:rPr>
            </w:pPr>
          </w:p>
        </w:tc>
        <w:tc>
          <w:tcPr>
            <w:tcW w:w="2994" w:type="dxa"/>
            <w:tcBorders>
              <w:left w:val="single" w:sz="12" w:space="0" w:color="FFFFFF"/>
            </w:tcBorders>
            <w:shd w:val="clear" w:color="auto" w:fill="B4C5E7"/>
          </w:tcPr>
          <w:p w14:paraId="74A1DF0F" w14:textId="77777777" w:rsidR="004C7180" w:rsidRPr="00150EDC" w:rsidRDefault="00CF0754">
            <w:pPr>
              <w:pStyle w:val="TableParagraph"/>
              <w:spacing w:before="0" w:line="256" w:lineRule="exact"/>
              <w:ind w:left="0" w:right="93"/>
              <w:jc w:val="right"/>
              <w:rPr>
                <w:sz w:val="24"/>
              </w:rPr>
            </w:pPr>
            <w:r w:rsidRPr="007D3144">
              <w:rPr>
                <w:sz w:val="24"/>
              </w:rPr>
              <w:t>Auditor</w:t>
            </w:r>
            <w:r w:rsidRPr="007D3144">
              <w:rPr>
                <w:spacing w:val="17"/>
                <w:sz w:val="24"/>
              </w:rPr>
              <w:t xml:space="preserve"> </w:t>
            </w:r>
            <w:r w:rsidRPr="007D3144">
              <w:rPr>
                <w:sz w:val="24"/>
              </w:rPr>
              <w:t>(ID</w:t>
            </w:r>
            <w:r w:rsidRPr="007D3144">
              <w:rPr>
                <w:spacing w:val="17"/>
                <w:sz w:val="24"/>
              </w:rPr>
              <w:t xml:space="preserve"> </w:t>
            </w:r>
            <w:r w:rsidRPr="007D3144">
              <w:rPr>
                <w:sz w:val="24"/>
              </w:rPr>
              <w:t>42009</w:t>
            </w:r>
            <w:r w:rsidRPr="007D3144">
              <w:rPr>
                <w:spacing w:val="18"/>
                <w:sz w:val="24"/>
              </w:rPr>
              <w:t xml:space="preserve"> </w:t>
            </w:r>
            <w:r w:rsidRPr="007D3144">
              <w:rPr>
                <w:spacing w:val="-10"/>
                <w:sz w:val="24"/>
              </w:rPr>
              <w:t>|</w:t>
            </w:r>
          </w:p>
        </w:tc>
      </w:tr>
      <w:tr w:rsidR="004569EE" w:rsidRPr="007D3144" w14:paraId="71AB7D97" w14:textId="77777777">
        <w:trPr>
          <w:trHeight w:val="276"/>
        </w:trPr>
        <w:tc>
          <w:tcPr>
            <w:tcW w:w="2995" w:type="dxa"/>
            <w:tcBorders>
              <w:right w:val="single" w:sz="8" w:space="0" w:color="FFFFFF"/>
            </w:tcBorders>
            <w:shd w:val="clear" w:color="auto" w:fill="4471C4"/>
          </w:tcPr>
          <w:p w14:paraId="29126F00" w14:textId="77777777" w:rsidR="004C7180" w:rsidRPr="00150EDC" w:rsidRDefault="004C7180">
            <w:pPr>
              <w:pStyle w:val="TableParagraph"/>
              <w:spacing w:before="0" w:line="240" w:lineRule="auto"/>
              <w:ind w:left="0"/>
              <w:rPr>
                <w:rFonts w:ascii="Times New Roman"/>
                <w:sz w:val="20"/>
              </w:rPr>
            </w:pPr>
          </w:p>
        </w:tc>
        <w:tc>
          <w:tcPr>
            <w:tcW w:w="3006" w:type="dxa"/>
            <w:tcBorders>
              <w:left w:val="single" w:sz="8" w:space="0" w:color="FFFFFF"/>
              <w:right w:val="single" w:sz="12" w:space="0" w:color="FFFFFF"/>
            </w:tcBorders>
            <w:shd w:val="clear" w:color="auto" w:fill="B4C5E7"/>
          </w:tcPr>
          <w:p w14:paraId="433917C9" w14:textId="77777777" w:rsidR="004C7180" w:rsidRPr="00150EDC" w:rsidRDefault="004C7180">
            <w:pPr>
              <w:pStyle w:val="TableParagraph"/>
              <w:spacing w:before="0" w:line="240" w:lineRule="auto"/>
              <w:ind w:left="0"/>
              <w:rPr>
                <w:rFonts w:ascii="Times New Roman"/>
                <w:sz w:val="20"/>
              </w:rPr>
            </w:pPr>
          </w:p>
        </w:tc>
        <w:tc>
          <w:tcPr>
            <w:tcW w:w="2994" w:type="dxa"/>
            <w:tcBorders>
              <w:left w:val="single" w:sz="12" w:space="0" w:color="FFFFFF"/>
            </w:tcBorders>
            <w:shd w:val="clear" w:color="auto" w:fill="B4C5E7"/>
          </w:tcPr>
          <w:p w14:paraId="005255A0" w14:textId="77777777" w:rsidR="004C7180" w:rsidRPr="00150EDC" w:rsidRDefault="00CF0754">
            <w:pPr>
              <w:pStyle w:val="TableParagraph"/>
              <w:spacing w:before="0" w:line="256" w:lineRule="exact"/>
              <w:ind w:left="812"/>
              <w:rPr>
                <w:sz w:val="24"/>
              </w:rPr>
            </w:pPr>
            <w:r w:rsidRPr="007D3144">
              <w:rPr>
                <w:spacing w:val="-2"/>
                <w:sz w:val="24"/>
              </w:rPr>
              <w:t>02255)</w:t>
            </w:r>
          </w:p>
        </w:tc>
      </w:tr>
      <w:tr w:rsidR="004569EE" w:rsidRPr="007D3144" w14:paraId="467A8C8F" w14:textId="77777777">
        <w:trPr>
          <w:trHeight w:val="275"/>
        </w:trPr>
        <w:tc>
          <w:tcPr>
            <w:tcW w:w="2995" w:type="dxa"/>
            <w:tcBorders>
              <w:right w:val="single" w:sz="8" w:space="0" w:color="FFFFFF"/>
            </w:tcBorders>
            <w:shd w:val="clear" w:color="auto" w:fill="4471C4"/>
          </w:tcPr>
          <w:p w14:paraId="5AFDF8F9" w14:textId="77777777" w:rsidR="004C7180" w:rsidRPr="00150EDC" w:rsidRDefault="004C7180">
            <w:pPr>
              <w:pStyle w:val="TableParagraph"/>
              <w:spacing w:before="0" w:line="240" w:lineRule="auto"/>
              <w:ind w:left="0"/>
              <w:rPr>
                <w:rFonts w:ascii="Times New Roman"/>
                <w:sz w:val="20"/>
              </w:rPr>
            </w:pPr>
          </w:p>
        </w:tc>
        <w:tc>
          <w:tcPr>
            <w:tcW w:w="3006" w:type="dxa"/>
            <w:tcBorders>
              <w:left w:val="single" w:sz="8" w:space="0" w:color="FFFFFF"/>
              <w:right w:val="single" w:sz="12" w:space="0" w:color="FFFFFF"/>
            </w:tcBorders>
            <w:shd w:val="clear" w:color="auto" w:fill="B4C5E7"/>
          </w:tcPr>
          <w:p w14:paraId="5C455F11" w14:textId="77777777" w:rsidR="004C7180" w:rsidRPr="00150EDC" w:rsidRDefault="004C7180">
            <w:pPr>
              <w:pStyle w:val="TableParagraph"/>
              <w:spacing w:before="0" w:line="240" w:lineRule="auto"/>
              <w:ind w:left="0"/>
              <w:rPr>
                <w:rFonts w:ascii="Times New Roman"/>
                <w:sz w:val="20"/>
              </w:rPr>
            </w:pPr>
          </w:p>
        </w:tc>
        <w:tc>
          <w:tcPr>
            <w:tcW w:w="2994" w:type="dxa"/>
            <w:tcBorders>
              <w:left w:val="single" w:sz="12" w:space="0" w:color="FFFFFF"/>
            </w:tcBorders>
            <w:shd w:val="clear" w:color="auto" w:fill="B4C5E7"/>
          </w:tcPr>
          <w:p w14:paraId="6C5CFD9E" w14:textId="77777777" w:rsidR="004C7180" w:rsidRPr="00150EDC" w:rsidRDefault="00CF0754" w:rsidP="00B320C7">
            <w:pPr>
              <w:pStyle w:val="TableParagraph"/>
              <w:numPr>
                <w:ilvl w:val="0"/>
                <w:numId w:val="72"/>
              </w:numPr>
              <w:tabs>
                <w:tab w:val="left" w:pos="811"/>
              </w:tabs>
              <w:spacing w:before="0" w:line="256" w:lineRule="exact"/>
              <w:ind w:left="811" w:hanging="359"/>
              <w:rPr>
                <w:sz w:val="24"/>
              </w:rPr>
            </w:pPr>
            <w:r w:rsidRPr="007D3144">
              <w:rPr>
                <w:spacing w:val="-2"/>
                <w:sz w:val="24"/>
              </w:rPr>
              <w:t>Reviewer</w:t>
            </w:r>
          </w:p>
        </w:tc>
      </w:tr>
      <w:tr w:rsidR="004569EE" w:rsidRPr="007D3144" w14:paraId="185CCD2F" w14:textId="77777777">
        <w:trPr>
          <w:trHeight w:val="276"/>
        </w:trPr>
        <w:tc>
          <w:tcPr>
            <w:tcW w:w="2995" w:type="dxa"/>
            <w:tcBorders>
              <w:right w:val="single" w:sz="8" w:space="0" w:color="FFFFFF"/>
            </w:tcBorders>
            <w:shd w:val="clear" w:color="auto" w:fill="4471C4"/>
          </w:tcPr>
          <w:p w14:paraId="666F3505" w14:textId="77777777" w:rsidR="004C7180" w:rsidRPr="00150EDC" w:rsidRDefault="004C7180">
            <w:pPr>
              <w:pStyle w:val="TableParagraph"/>
              <w:spacing w:before="0" w:line="240" w:lineRule="auto"/>
              <w:ind w:left="0"/>
              <w:rPr>
                <w:rFonts w:ascii="Times New Roman"/>
                <w:sz w:val="20"/>
              </w:rPr>
            </w:pPr>
          </w:p>
        </w:tc>
        <w:tc>
          <w:tcPr>
            <w:tcW w:w="3006" w:type="dxa"/>
            <w:tcBorders>
              <w:left w:val="single" w:sz="8" w:space="0" w:color="FFFFFF"/>
              <w:right w:val="single" w:sz="12" w:space="0" w:color="FFFFFF"/>
            </w:tcBorders>
            <w:shd w:val="clear" w:color="auto" w:fill="B4C5E7"/>
          </w:tcPr>
          <w:p w14:paraId="5351F04F" w14:textId="77777777" w:rsidR="004C7180" w:rsidRPr="00150EDC" w:rsidRDefault="004C7180">
            <w:pPr>
              <w:pStyle w:val="TableParagraph"/>
              <w:spacing w:before="0" w:line="240" w:lineRule="auto"/>
              <w:ind w:left="0"/>
              <w:rPr>
                <w:rFonts w:ascii="Times New Roman"/>
                <w:sz w:val="20"/>
              </w:rPr>
            </w:pPr>
          </w:p>
        </w:tc>
        <w:tc>
          <w:tcPr>
            <w:tcW w:w="2994" w:type="dxa"/>
            <w:tcBorders>
              <w:left w:val="single" w:sz="12" w:space="0" w:color="FFFFFF"/>
            </w:tcBorders>
            <w:shd w:val="clear" w:color="auto" w:fill="B4C5E7"/>
          </w:tcPr>
          <w:p w14:paraId="097CEB55" w14:textId="77777777" w:rsidR="004C7180" w:rsidRPr="00150EDC" w:rsidRDefault="00CF0754">
            <w:pPr>
              <w:pStyle w:val="TableParagraph"/>
              <w:spacing w:before="0" w:line="256" w:lineRule="exact"/>
              <w:ind w:left="812"/>
              <w:rPr>
                <w:sz w:val="24"/>
              </w:rPr>
            </w:pPr>
            <w:r w:rsidRPr="007D3144">
              <w:rPr>
                <w:spacing w:val="-2"/>
                <w:sz w:val="24"/>
              </w:rPr>
              <w:t>Competence</w:t>
            </w:r>
          </w:p>
        </w:tc>
      </w:tr>
      <w:tr w:rsidR="004569EE" w:rsidRPr="007D3144" w14:paraId="3C2ECF5E" w14:textId="77777777">
        <w:trPr>
          <w:trHeight w:val="275"/>
        </w:trPr>
        <w:tc>
          <w:tcPr>
            <w:tcW w:w="2995" w:type="dxa"/>
            <w:tcBorders>
              <w:right w:val="single" w:sz="8" w:space="0" w:color="FFFFFF"/>
            </w:tcBorders>
            <w:shd w:val="clear" w:color="auto" w:fill="4471C4"/>
          </w:tcPr>
          <w:p w14:paraId="3B384B7B" w14:textId="77777777" w:rsidR="004C7180" w:rsidRPr="00150EDC" w:rsidRDefault="004C7180">
            <w:pPr>
              <w:pStyle w:val="TableParagraph"/>
              <w:spacing w:before="0" w:line="240" w:lineRule="auto"/>
              <w:ind w:left="0"/>
              <w:rPr>
                <w:rFonts w:ascii="Times New Roman"/>
                <w:sz w:val="20"/>
              </w:rPr>
            </w:pPr>
          </w:p>
        </w:tc>
        <w:tc>
          <w:tcPr>
            <w:tcW w:w="3006" w:type="dxa"/>
            <w:tcBorders>
              <w:left w:val="single" w:sz="8" w:space="0" w:color="FFFFFF"/>
              <w:right w:val="single" w:sz="12" w:space="0" w:color="FFFFFF"/>
            </w:tcBorders>
            <w:shd w:val="clear" w:color="auto" w:fill="B4C5E7"/>
          </w:tcPr>
          <w:p w14:paraId="79B48B7E" w14:textId="77777777" w:rsidR="004C7180" w:rsidRPr="00150EDC" w:rsidRDefault="004C7180">
            <w:pPr>
              <w:pStyle w:val="TableParagraph"/>
              <w:spacing w:before="0" w:line="240" w:lineRule="auto"/>
              <w:ind w:left="0"/>
              <w:rPr>
                <w:rFonts w:ascii="Times New Roman"/>
                <w:sz w:val="20"/>
              </w:rPr>
            </w:pPr>
          </w:p>
        </w:tc>
        <w:tc>
          <w:tcPr>
            <w:tcW w:w="2994" w:type="dxa"/>
            <w:tcBorders>
              <w:left w:val="single" w:sz="12" w:space="0" w:color="FFFFFF"/>
            </w:tcBorders>
            <w:shd w:val="clear" w:color="auto" w:fill="B4C5E7"/>
          </w:tcPr>
          <w:p w14:paraId="1E584A80" w14:textId="77777777" w:rsidR="004C7180" w:rsidRPr="00150EDC" w:rsidRDefault="00CF0754">
            <w:pPr>
              <w:pStyle w:val="TableParagraph"/>
              <w:tabs>
                <w:tab w:val="left" w:pos="1538"/>
              </w:tabs>
              <w:spacing w:before="0" w:line="256" w:lineRule="exact"/>
              <w:ind w:left="0" w:right="93"/>
              <w:jc w:val="right"/>
              <w:rPr>
                <w:sz w:val="24"/>
              </w:rPr>
            </w:pPr>
            <w:r w:rsidRPr="007D3144">
              <w:rPr>
                <w:spacing w:val="-2"/>
                <w:sz w:val="24"/>
              </w:rPr>
              <w:t>Quality</w:t>
            </w:r>
            <w:r w:rsidRPr="007D3144">
              <w:rPr>
                <w:sz w:val="24"/>
              </w:rPr>
              <w:tab/>
            </w:r>
            <w:r w:rsidRPr="007D3144">
              <w:rPr>
                <w:spacing w:val="-4"/>
                <w:sz w:val="24"/>
              </w:rPr>
              <w:t>Mark</w:t>
            </w:r>
          </w:p>
        </w:tc>
      </w:tr>
      <w:tr w:rsidR="004569EE" w:rsidRPr="007D3144" w14:paraId="6F1EA3C1" w14:textId="77777777">
        <w:trPr>
          <w:trHeight w:val="275"/>
        </w:trPr>
        <w:tc>
          <w:tcPr>
            <w:tcW w:w="2995" w:type="dxa"/>
            <w:tcBorders>
              <w:right w:val="single" w:sz="8" w:space="0" w:color="FFFFFF"/>
            </w:tcBorders>
            <w:shd w:val="clear" w:color="auto" w:fill="4471C4"/>
          </w:tcPr>
          <w:p w14:paraId="6AD60BD5" w14:textId="77777777" w:rsidR="004C7180" w:rsidRPr="00150EDC" w:rsidRDefault="004C7180">
            <w:pPr>
              <w:pStyle w:val="TableParagraph"/>
              <w:spacing w:before="0" w:line="240" w:lineRule="auto"/>
              <w:ind w:left="0"/>
              <w:rPr>
                <w:rFonts w:ascii="Times New Roman"/>
                <w:sz w:val="20"/>
              </w:rPr>
            </w:pPr>
          </w:p>
        </w:tc>
        <w:tc>
          <w:tcPr>
            <w:tcW w:w="3006" w:type="dxa"/>
            <w:tcBorders>
              <w:left w:val="single" w:sz="8" w:space="0" w:color="FFFFFF"/>
              <w:right w:val="single" w:sz="12" w:space="0" w:color="FFFFFF"/>
            </w:tcBorders>
            <w:shd w:val="clear" w:color="auto" w:fill="B4C5E7"/>
          </w:tcPr>
          <w:p w14:paraId="3090DD8C" w14:textId="77777777" w:rsidR="004C7180" w:rsidRPr="00150EDC" w:rsidRDefault="004C7180">
            <w:pPr>
              <w:pStyle w:val="TableParagraph"/>
              <w:spacing w:before="0" w:line="240" w:lineRule="auto"/>
              <w:ind w:left="0"/>
              <w:rPr>
                <w:rFonts w:ascii="Times New Roman"/>
                <w:sz w:val="20"/>
              </w:rPr>
            </w:pPr>
          </w:p>
        </w:tc>
        <w:tc>
          <w:tcPr>
            <w:tcW w:w="2994" w:type="dxa"/>
            <w:tcBorders>
              <w:left w:val="single" w:sz="12" w:space="0" w:color="FFFFFF"/>
            </w:tcBorders>
            <w:shd w:val="clear" w:color="auto" w:fill="B4C5E7"/>
          </w:tcPr>
          <w:p w14:paraId="408FFE61" w14:textId="77777777" w:rsidR="004C7180" w:rsidRPr="00150EDC" w:rsidRDefault="00CF0754">
            <w:pPr>
              <w:pStyle w:val="TableParagraph"/>
              <w:spacing w:before="0" w:line="256" w:lineRule="exact"/>
              <w:ind w:left="0" w:right="95"/>
              <w:jc w:val="right"/>
              <w:rPr>
                <w:sz w:val="24"/>
              </w:rPr>
            </w:pPr>
            <w:r w:rsidRPr="007D3144">
              <w:rPr>
                <w:sz w:val="24"/>
              </w:rPr>
              <w:t>Certificate</w:t>
            </w:r>
            <w:r w:rsidRPr="007D3144">
              <w:rPr>
                <w:spacing w:val="26"/>
                <w:sz w:val="24"/>
              </w:rPr>
              <w:t xml:space="preserve"> </w:t>
            </w:r>
            <w:r w:rsidRPr="007D3144">
              <w:rPr>
                <w:spacing w:val="-2"/>
                <w:sz w:val="24"/>
              </w:rPr>
              <w:t>(RCQM)</w:t>
            </w:r>
          </w:p>
        </w:tc>
      </w:tr>
      <w:tr w:rsidR="004569EE" w:rsidRPr="007D3144" w14:paraId="528E12B8" w14:textId="77777777">
        <w:trPr>
          <w:trHeight w:val="276"/>
        </w:trPr>
        <w:tc>
          <w:tcPr>
            <w:tcW w:w="2995" w:type="dxa"/>
            <w:tcBorders>
              <w:right w:val="single" w:sz="8" w:space="0" w:color="FFFFFF"/>
            </w:tcBorders>
            <w:shd w:val="clear" w:color="auto" w:fill="4471C4"/>
          </w:tcPr>
          <w:p w14:paraId="057D1F20" w14:textId="77777777" w:rsidR="004C7180" w:rsidRPr="00150EDC" w:rsidRDefault="004C7180">
            <w:pPr>
              <w:pStyle w:val="TableParagraph"/>
              <w:spacing w:before="0" w:line="240" w:lineRule="auto"/>
              <w:ind w:left="0"/>
              <w:rPr>
                <w:rFonts w:ascii="Times New Roman"/>
                <w:sz w:val="20"/>
              </w:rPr>
            </w:pPr>
          </w:p>
        </w:tc>
        <w:tc>
          <w:tcPr>
            <w:tcW w:w="3006" w:type="dxa"/>
            <w:tcBorders>
              <w:left w:val="single" w:sz="8" w:space="0" w:color="FFFFFF"/>
              <w:right w:val="single" w:sz="12" w:space="0" w:color="FFFFFF"/>
            </w:tcBorders>
            <w:shd w:val="clear" w:color="auto" w:fill="B4C5E7"/>
          </w:tcPr>
          <w:p w14:paraId="2C1FB36B" w14:textId="77777777" w:rsidR="004C7180" w:rsidRPr="00150EDC" w:rsidRDefault="004C7180">
            <w:pPr>
              <w:pStyle w:val="TableParagraph"/>
              <w:spacing w:before="0" w:line="240" w:lineRule="auto"/>
              <w:ind w:left="0"/>
              <w:rPr>
                <w:rFonts w:ascii="Times New Roman"/>
                <w:sz w:val="20"/>
              </w:rPr>
            </w:pPr>
          </w:p>
        </w:tc>
        <w:tc>
          <w:tcPr>
            <w:tcW w:w="2994" w:type="dxa"/>
            <w:tcBorders>
              <w:left w:val="single" w:sz="12" w:space="0" w:color="FFFFFF"/>
            </w:tcBorders>
            <w:shd w:val="clear" w:color="auto" w:fill="B4C5E7"/>
          </w:tcPr>
          <w:p w14:paraId="5732CA77" w14:textId="77777777" w:rsidR="004C7180" w:rsidRPr="00150EDC" w:rsidRDefault="00CF0754">
            <w:pPr>
              <w:pStyle w:val="TableParagraph"/>
              <w:tabs>
                <w:tab w:val="left" w:pos="1000"/>
              </w:tabs>
              <w:spacing w:before="0" w:line="256" w:lineRule="exact"/>
              <w:ind w:left="0" w:right="94"/>
              <w:jc w:val="right"/>
              <w:rPr>
                <w:sz w:val="24"/>
              </w:rPr>
            </w:pPr>
            <w:r w:rsidRPr="007D3144">
              <w:rPr>
                <w:spacing w:val="-10"/>
                <w:sz w:val="24"/>
              </w:rPr>
              <w:t>-</w:t>
            </w:r>
            <w:r w:rsidRPr="007D3144">
              <w:rPr>
                <w:sz w:val="24"/>
              </w:rPr>
              <w:tab/>
            </w:r>
            <w:r w:rsidRPr="007D3144">
              <w:rPr>
                <w:spacing w:val="-2"/>
                <w:sz w:val="24"/>
              </w:rPr>
              <w:t>Education</w:t>
            </w:r>
          </w:p>
        </w:tc>
      </w:tr>
      <w:tr w:rsidR="004569EE" w:rsidRPr="007D3144" w14:paraId="1C40FE83" w14:textId="77777777">
        <w:trPr>
          <w:trHeight w:val="275"/>
        </w:trPr>
        <w:tc>
          <w:tcPr>
            <w:tcW w:w="2995" w:type="dxa"/>
            <w:tcBorders>
              <w:right w:val="single" w:sz="8" w:space="0" w:color="FFFFFF"/>
            </w:tcBorders>
            <w:shd w:val="clear" w:color="auto" w:fill="4471C4"/>
          </w:tcPr>
          <w:p w14:paraId="2F70EE5E" w14:textId="77777777" w:rsidR="004C7180" w:rsidRPr="00150EDC" w:rsidRDefault="004C7180">
            <w:pPr>
              <w:pStyle w:val="TableParagraph"/>
              <w:spacing w:before="0" w:line="240" w:lineRule="auto"/>
              <w:ind w:left="0"/>
              <w:rPr>
                <w:rFonts w:ascii="Times New Roman"/>
                <w:sz w:val="20"/>
              </w:rPr>
            </w:pPr>
          </w:p>
        </w:tc>
        <w:tc>
          <w:tcPr>
            <w:tcW w:w="3006" w:type="dxa"/>
            <w:tcBorders>
              <w:left w:val="single" w:sz="8" w:space="0" w:color="FFFFFF"/>
              <w:right w:val="single" w:sz="12" w:space="0" w:color="FFFFFF"/>
            </w:tcBorders>
            <w:shd w:val="clear" w:color="auto" w:fill="B4C5E7"/>
          </w:tcPr>
          <w:p w14:paraId="1A75579B" w14:textId="77777777" w:rsidR="004C7180" w:rsidRPr="00150EDC" w:rsidRDefault="004C7180">
            <w:pPr>
              <w:pStyle w:val="TableParagraph"/>
              <w:spacing w:before="0" w:line="240" w:lineRule="auto"/>
              <w:ind w:left="0"/>
              <w:rPr>
                <w:rFonts w:ascii="Times New Roman"/>
                <w:sz w:val="20"/>
              </w:rPr>
            </w:pPr>
          </w:p>
        </w:tc>
        <w:tc>
          <w:tcPr>
            <w:tcW w:w="2994" w:type="dxa"/>
            <w:tcBorders>
              <w:left w:val="single" w:sz="12" w:space="0" w:color="FFFFFF"/>
            </w:tcBorders>
            <w:shd w:val="clear" w:color="auto" w:fill="B4C5E7"/>
          </w:tcPr>
          <w:p w14:paraId="22AE856A" w14:textId="77777777" w:rsidR="004C7180" w:rsidRPr="00150EDC" w:rsidRDefault="00CF0754">
            <w:pPr>
              <w:pStyle w:val="TableParagraph"/>
              <w:spacing w:before="0" w:line="256" w:lineRule="exact"/>
              <w:ind w:left="812"/>
              <w:rPr>
                <w:sz w:val="24"/>
              </w:rPr>
            </w:pPr>
            <w:r w:rsidRPr="007D3144">
              <w:rPr>
                <w:spacing w:val="-2"/>
                <w:sz w:val="24"/>
              </w:rPr>
              <w:t>Development</w:t>
            </w:r>
          </w:p>
        </w:tc>
      </w:tr>
      <w:tr w:rsidR="004569EE" w:rsidRPr="007D3144" w14:paraId="6D087072" w14:textId="77777777">
        <w:trPr>
          <w:trHeight w:val="276"/>
        </w:trPr>
        <w:tc>
          <w:tcPr>
            <w:tcW w:w="2995" w:type="dxa"/>
            <w:tcBorders>
              <w:right w:val="single" w:sz="8" w:space="0" w:color="FFFFFF"/>
            </w:tcBorders>
            <w:shd w:val="clear" w:color="auto" w:fill="4471C4"/>
          </w:tcPr>
          <w:p w14:paraId="0470BA9D" w14:textId="77777777" w:rsidR="004C7180" w:rsidRPr="00150EDC" w:rsidRDefault="004C7180">
            <w:pPr>
              <w:pStyle w:val="TableParagraph"/>
              <w:spacing w:before="0" w:line="240" w:lineRule="auto"/>
              <w:ind w:left="0"/>
              <w:rPr>
                <w:rFonts w:ascii="Times New Roman"/>
                <w:sz w:val="20"/>
              </w:rPr>
            </w:pPr>
          </w:p>
        </w:tc>
        <w:tc>
          <w:tcPr>
            <w:tcW w:w="3006" w:type="dxa"/>
            <w:tcBorders>
              <w:left w:val="single" w:sz="8" w:space="0" w:color="FFFFFF"/>
              <w:right w:val="single" w:sz="12" w:space="0" w:color="FFFFFF"/>
            </w:tcBorders>
            <w:shd w:val="clear" w:color="auto" w:fill="B4C5E7"/>
          </w:tcPr>
          <w:p w14:paraId="73B3D666" w14:textId="77777777" w:rsidR="004C7180" w:rsidRPr="00150EDC" w:rsidRDefault="004C7180">
            <w:pPr>
              <w:pStyle w:val="TableParagraph"/>
              <w:spacing w:before="0" w:line="240" w:lineRule="auto"/>
              <w:ind w:left="0"/>
              <w:rPr>
                <w:rFonts w:ascii="Times New Roman"/>
                <w:sz w:val="20"/>
              </w:rPr>
            </w:pPr>
          </w:p>
        </w:tc>
        <w:tc>
          <w:tcPr>
            <w:tcW w:w="2994" w:type="dxa"/>
            <w:tcBorders>
              <w:left w:val="single" w:sz="12" w:space="0" w:color="FFFFFF"/>
            </w:tcBorders>
            <w:shd w:val="clear" w:color="auto" w:fill="B4C5E7"/>
          </w:tcPr>
          <w:p w14:paraId="5534FE31" w14:textId="77777777" w:rsidR="004C7180" w:rsidRPr="00150EDC" w:rsidRDefault="00CF0754">
            <w:pPr>
              <w:pStyle w:val="TableParagraph"/>
              <w:spacing w:before="0" w:line="256" w:lineRule="exact"/>
              <w:ind w:left="812"/>
              <w:rPr>
                <w:sz w:val="24"/>
              </w:rPr>
            </w:pPr>
            <w:r w:rsidRPr="007D3144">
              <w:rPr>
                <w:sz w:val="24"/>
              </w:rPr>
              <w:t>Trust,</w:t>
            </w:r>
            <w:r w:rsidRPr="007D3144">
              <w:rPr>
                <w:spacing w:val="-3"/>
                <w:sz w:val="24"/>
              </w:rPr>
              <w:t xml:space="preserve"> </w:t>
            </w:r>
            <w:r w:rsidRPr="007D3144">
              <w:rPr>
                <w:spacing w:val="-5"/>
                <w:sz w:val="24"/>
              </w:rPr>
              <w:t>UK</w:t>
            </w:r>
          </w:p>
        </w:tc>
      </w:tr>
      <w:tr w:rsidR="004569EE" w:rsidRPr="007D3144" w14:paraId="131FE7D2" w14:textId="77777777">
        <w:trPr>
          <w:trHeight w:val="275"/>
        </w:trPr>
        <w:tc>
          <w:tcPr>
            <w:tcW w:w="2995" w:type="dxa"/>
            <w:tcBorders>
              <w:right w:val="single" w:sz="8" w:space="0" w:color="FFFFFF"/>
            </w:tcBorders>
            <w:shd w:val="clear" w:color="auto" w:fill="4471C4"/>
          </w:tcPr>
          <w:p w14:paraId="77CEACAA" w14:textId="77777777" w:rsidR="004C7180" w:rsidRPr="00150EDC" w:rsidRDefault="004C7180">
            <w:pPr>
              <w:pStyle w:val="TableParagraph"/>
              <w:spacing w:before="0" w:line="240" w:lineRule="auto"/>
              <w:ind w:left="0"/>
              <w:rPr>
                <w:rFonts w:ascii="Times New Roman"/>
                <w:sz w:val="20"/>
              </w:rPr>
            </w:pPr>
          </w:p>
        </w:tc>
        <w:tc>
          <w:tcPr>
            <w:tcW w:w="3006" w:type="dxa"/>
            <w:tcBorders>
              <w:left w:val="single" w:sz="8" w:space="0" w:color="FFFFFF"/>
              <w:right w:val="single" w:sz="12" w:space="0" w:color="FFFFFF"/>
            </w:tcBorders>
            <w:shd w:val="clear" w:color="auto" w:fill="B4C5E7"/>
          </w:tcPr>
          <w:p w14:paraId="4EC2DB49" w14:textId="77777777" w:rsidR="004C7180" w:rsidRPr="00150EDC" w:rsidRDefault="004C7180">
            <w:pPr>
              <w:pStyle w:val="TableParagraph"/>
              <w:spacing w:before="0" w:line="240" w:lineRule="auto"/>
              <w:ind w:left="0"/>
              <w:rPr>
                <w:rFonts w:ascii="Times New Roman"/>
                <w:sz w:val="20"/>
              </w:rPr>
            </w:pPr>
          </w:p>
        </w:tc>
        <w:tc>
          <w:tcPr>
            <w:tcW w:w="2994" w:type="dxa"/>
            <w:tcBorders>
              <w:left w:val="single" w:sz="12" w:space="0" w:color="FFFFFF"/>
            </w:tcBorders>
            <w:shd w:val="clear" w:color="auto" w:fill="B4C5E7"/>
          </w:tcPr>
          <w:p w14:paraId="24635E28" w14:textId="77777777" w:rsidR="004C7180" w:rsidRPr="00150EDC" w:rsidRDefault="00CF0754" w:rsidP="00B320C7">
            <w:pPr>
              <w:pStyle w:val="TableParagraph"/>
              <w:numPr>
                <w:ilvl w:val="0"/>
                <w:numId w:val="71"/>
              </w:numPr>
              <w:tabs>
                <w:tab w:val="left" w:pos="359"/>
                <w:tab w:val="right" w:pos="2430"/>
              </w:tabs>
              <w:spacing w:before="0" w:line="256" w:lineRule="exact"/>
              <w:ind w:left="359" w:right="94" w:hanging="359"/>
              <w:jc w:val="right"/>
              <w:rPr>
                <w:sz w:val="24"/>
              </w:rPr>
            </w:pPr>
            <w:r w:rsidRPr="007D3144">
              <w:rPr>
                <w:spacing w:val="-5"/>
                <w:sz w:val="24"/>
              </w:rPr>
              <w:t>ISO</w:t>
            </w:r>
            <w:r w:rsidRPr="007D3144">
              <w:rPr>
                <w:sz w:val="24"/>
              </w:rPr>
              <w:tab/>
            </w:r>
            <w:r w:rsidRPr="007D3144">
              <w:rPr>
                <w:spacing w:val="-2"/>
                <w:sz w:val="24"/>
              </w:rPr>
              <w:t>9001:2008</w:t>
            </w:r>
          </w:p>
        </w:tc>
      </w:tr>
      <w:tr w:rsidR="004569EE" w:rsidRPr="007D3144" w14:paraId="350DF944" w14:textId="77777777">
        <w:trPr>
          <w:trHeight w:val="275"/>
        </w:trPr>
        <w:tc>
          <w:tcPr>
            <w:tcW w:w="2995" w:type="dxa"/>
            <w:tcBorders>
              <w:right w:val="single" w:sz="8" w:space="0" w:color="FFFFFF"/>
            </w:tcBorders>
            <w:shd w:val="clear" w:color="auto" w:fill="4471C4"/>
          </w:tcPr>
          <w:p w14:paraId="4A0D1B1C" w14:textId="77777777" w:rsidR="004C7180" w:rsidRPr="00150EDC" w:rsidRDefault="004C7180">
            <w:pPr>
              <w:pStyle w:val="TableParagraph"/>
              <w:spacing w:before="0" w:line="240" w:lineRule="auto"/>
              <w:ind w:left="0"/>
              <w:rPr>
                <w:rFonts w:ascii="Times New Roman"/>
                <w:sz w:val="20"/>
              </w:rPr>
            </w:pPr>
          </w:p>
        </w:tc>
        <w:tc>
          <w:tcPr>
            <w:tcW w:w="3006" w:type="dxa"/>
            <w:tcBorders>
              <w:left w:val="single" w:sz="8" w:space="0" w:color="FFFFFF"/>
              <w:right w:val="single" w:sz="12" w:space="0" w:color="FFFFFF"/>
            </w:tcBorders>
            <w:shd w:val="clear" w:color="auto" w:fill="B4C5E7"/>
          </w:tcPr>
          <w:p w14:paraId="73D5E75F" w14:textId="77777777" w:rsidR="004C7180" w:rsidRPr="00150EDC" w:rsidRDefault="004C7180">
            <w:pPr>
              <w:pStyle w:val="TableParagraph"/>
              <w:spacing w:before="0" w:line="240" w:lineRule="auto"/>
              <w:ind w:left="0"/>
              <w:rPr>
                <w:rFonts w:ascii="Times New Roman"/>
                <w:sz w:val="20"/>
              </w:rPr>
            </w:pPr>
          </w:p>
        </w:tc>
        <w:tc>
          <w:tcPr>
            <w:tcW w:w="2994" w:type="dxa"/>
            <w:tcBorders>
              <w:left w:val="single" w:sz="12" w:space="0" w:color="FFFFFF"/>
            </w:tcBorders>
            <w:shd w:val="clear" w:color="auto" w:fill="B4C5E7"/>
          </w:tcPr>
          <w:p w14:paraId="701A1E6C" w14:textId="77777777" w:rsidR="004C7180" w:rsidRPr="00150EDC" w:rsidRDefault="00CF0754">
            <w:pPr>
              <w:pStyle w:val="TableParagraph"/>
              <w:tabs>
                <w:tab w:val="left" w:pos="1310"/>
              </w:tabs>
              <w:spacing w:before="0" w:line="256" w:lineRule="exact"/>
              <w:ind w:left="0" w:right="91"/>
              <w:jc w:val="right"/>
              <w:rPr>
                <w:sz w:val="24"/>
              </w:rPr>
            </w:pPr>
            <w:r w:rsidRPr="007D3144">
              <w:rPr>
                <w:spacing w:val="-2"/>
                <w:sz w:val="24"/>
              </w:rPr>
              <w:t>Internal</w:t>
            </w:r>
            <w:r w:rsidRPr="007D3144">
              <w:rPr>
                <w:sz w:val="24"/>
              </w:rPr>
              <w:tab/>
            </w:r>
            <w:r w:rsidRPr="007D3144">
              <w:rPr>
                <w:spacing w:val="-2"/>
                <w:sz w:val="24"/>
              </w:rPr>
              <w:t>Auditor</w:t>
            </w:r>
          </w:p>
        </w:tc>
      </w:tr>
      <w:tr w:rsidR="004569EE" w:rsidRPr="007D3144" w14:paraId="48899C56" w14:textId="77777777">
        <w:trPr>
          <w:trHeight w:val="276"/>
        </w:trPr>
        <w:tc>
          <w:tcPr>
            <w:tcW w:w="2995" w:type="dxa"/>
            <w:tcBorders>
              <w:right w:val="single" w:sz="8" w:space="0" w:color="FFFFFF"/>
            </w:tcBorders>
            <w:shd w:val="clear" w:color="auto" w:fill="4471C4"/>
          </w:tcPr>
          <w:p w14:paraId="74206C0F" w14:textId="77777777" w:rsidR="004C7180" w:rsidRPr="00150EDC" w:rsidRDefault="004C7180">
            <w:pPr>
              <w:pStyle w:val="TableParagraph"/>
              <w:spacing w:before="0" w:line="240" w:lineRule="auto"/>
              <w:ind w:left="0"/>
              <w:rPr>
                <w:rFonts w:ascii="Times New Roman"/>
                <w:sz w:val="20"/>
              </w:rPr>
            </w:pPr>
          </w:p>
        </w:tc>
        <w:tc>
          <w:tcPr>
            <w:tcW w:w="3006" w:type="dxa"/>
            <w:tcBorders>
              <w:left w:val="single" w:sz="8" w:space="0" w:color="FFFFFF"/>
              <w:right w:val="single" w:sz="12" w:space="0" w:color="FFFFFF"/>
            </w:tcBorders>
            <w:shd w:val="clear" w:color="auto" w:fill="B4C5E7"/>
          </w:tcPr>
          <w:p w14:paraId="1ADE6ACC" w14:textId="77777777" w:rsidR="004C7180" w:rsidRPr="00150EDC" w:rsidRDefault="004C7180">
            <w:pPr>
              <w:pStyle w:val="TableParagraph"/>
              <w:spacing w:before="0" w:line="240" w:lineRule="auto"/>
              <w:ind w:left="0"/>
              <w:rPr>
                <w:rFonts w:ascii="Times New Roman"/>
                <w:sz w:val="20"/>
              </w:rPr>
            </w:pPr>
          </w:p>
        </w:tc>
        <w:tc>
          <w:tcPr>
            <w:tcW w:w="2994" w:type="dxa"/>
            <w:tcBorders>
              <w:left w:val="single" w:sz="12" w:space="0" w:color="FFFFFF"/>
            </w:tcBorders>
            <w:shd w:val="clear" w:color="auto" w:fill="B4C5E7"/>
          </w:tcPr>
          <w:p w14:paraId="61B3C496" w14:textId="77777777" w:rsidR="004C7180" w:rsidRPr="00150EDC" w:rsidRDefault="00CF0754">
            <w:pPr>
              <w:pStyle w:val="TableParagraph"/>
              <w:tabs>
                <w:tab w:val="left" w:pos="1351"/>
              </w:tabs>
              <w:spacing w:before="0" w:line="256" w:lineRule="exact"/>
              <w:ind w:left="0" w:right="94"/>
              <w:jc w:val="right"/>
              <w:rPr>
                <w:sz w:val="24"/>
              </w:rPr>
            </w:pPr>
            <w:r w:rsidRPr="007D3144">
              <w:rPr>
                <w:spacing w:val="-2"/>
                <w:sz w:val="24"/>
              </w:rPr>
              <w:t>Training</w:t>
            </w:r>
            <w:r w:rsidRPr="007D3144">
              <w:rPr>
                <w:sz w:val="24"/>
              </w:rPr>
              <w:tab/>
            </w:r>
            <w:r w:rsidRPr="007D3144">
              <w:rPr>
                <w:spacing w:val="-2"/>
                <w:sz w:val="24"/>
              </w:rPr>
              <w:t>course</w:t>
            </w:r>
          </w:p>
        </w:tc>
      </w:tr>
      <w:tr w:rsidR="004569EE" w:rsidRPr="007D3144" w14:paraId="45576E9D" w14:textId="77777777">
        <w:trPr>
          <w:trHeight w:val="275"/>
        </w:trPr>
        <w:tc>
          <w:tcPr>
            <w:tcW w:w="2995" w:type="dxa"/>
            <w:tcBorders>
              <w:right w:val="single" w:sz="8" w:space="0" w:color="FFFFFF"/>
            </w:tcBorders>
            <w:shd w:val="clear" w:color="auto" w:fill="4471C4"/>
          </w:tcPr>
          <w:p w14:paraId="623F7405" w14:textId="77777777" w:rsidR="004C7180" w:rsidRPr="00150EDC" w:rsidRDefault="004C7180">
            <w:pPr>
              <w:pStyle w:val="TableParagraph"/>
              <w:spacing w:before="0" w:line="240" w:lineRule="auto"/>
              <w:ind w:left="0"/>
              <w:rPr>
                <w:rFonts w:ascii="Times New Roman"/>
                <w:sz w:val="20"/>
              </w:rPr>
            </w:pPr>
          </w:p>
        </w:tc>
        <w:tc>
          <w:tcPr>
            <w:tcW w:w="3006" w:type="dxa"/>
            <w:tcBorders>
              <w:left w:val="single" w:sz="8" w:space="0" w:color="FFFFFF"/>
              <w:right w:val="single" w:sz="12" w:space="0" w:color="FFFFFF"/>
            </w:tcBorders>
            <w:shd w:val="clear" w:color="auto" w:fill="B4C5E7"/>
          </w:tcPr>
          <w:p w14:paraId="3752C96C" w14:textId="77777777" w:rsidR="004C7180" w:rsidRPr="00150EDC" w:rsidRDefault="004C7180">
            <w:pPr>
              <w:pStyle w:val="TableParagraph"/>
              <w:spacing w:before="0" w:line="240" w:lineRule="auto"/>
              <w:ind w:left="0"/>
              <w:rPr>
                <w:rFonts w:ascii="Times New Roman"/>
                <w:sz w:val="20"/>
              </w:rPr>
            </w:pPr>
          </w:p>
        </w:tc>
        <w:tc>
          <w:tcPr>
            <w:tcW w:w="2994" w:type="dxa"/>
            <w:tcBorders>
              <w:left w:val="single" w:sz="12" w:space="0" w:color="FFFFFF"/>
            </w:tcBorders>
            <w:shd w:val="clear" w:color="auto" w:fill="B4C5E7"/>
          </w:tcPr>
          <w:p w14:paraId="7E05F365" w14:textId="77777777" w:rsidR="004C7180" w:rsidRPr="00150EDC" w:rsidRDefault="00CF0754">
            <w:pPr>
              <w:pStyle w:val="TableParagraph"/>
              <w:spacing w:before="0" w:line="256" w:lineRule="exact"/>
              <w:ind w:left="812"/>
              <w:rPr>
                <w:sz w:val="24"/>
              </w:rPr>
            </w:pPr>
            <w:r w:rsidRPr="007D3144">
              <w:rPr>
                <w:spacing w:val="-2"/>
                <w:sz w:val="24"/>
              </w:rPr>
              <w:t>(Certificate</w:t>
            </w:r>
          </w:p>
        </w:tc>
      </w:tr>
      <w:tr w:rsidR="004569EE" w:rsidRPr="007D3144" w14:paraId="379A8662" w14:textId="77777777">
        <w:trPr>
          <w:trHeight w:val="276"/>
        </w:trPr>
        <w:tc>
          <w:tcPr>
            <w:tcW w:w="2995" w:type="dxa"/>
            <w:tcBorders>
              <w:right w:val="single" w:sz="8" w:space="0" w:color="FFFFFF"/>
            </w:tcBorders>
            <w:shd w:val="clear" w:color="auto" w:fill="4471C4"/>
          </w:tcPr>
          <w:p w14:paraId="463B5FDE" w14:textId="77777777" w:rsidR="004C7180" w:rsidRPr="00150EDC" w:rsidRDefault="004C7180">
            <w:pPr>
              <w:pStyle w:val="TableParagraph"/>
              <w:spacing w:before="0" w:line="240" w:lineRule="auto"/>
              <w:ind w:left="0"/>
              <w:rPr>
                <w:rFonts w:ascii="Times New Roman"/>
                <w:sz w:val="20"/>
              </w:rPr>
            </w:pPr>
          </w:p>
        </w:tc>
        <w:tc>
          <w:tcPr>
            <w:tcW w:w="3006" w:type="dxa"/>
            <w:tcBorders>
              <w:left w:val="single" w:sz="8" w:space="0" w:color="FFFFFF"/>
              <w:right w:val="single" w:sz="12" w:space="0" w:color="FFFFFF"/>
            </w:tcBorders>
            <w:shd w:val="clear" w:color="auto" w:fill="B4C5E7"/>
          </w:tcPr>
          <w:p w14:paraId="6ED99186" w14:textId="77777777" w:rsidR="004C7180" w:rsidRPr="00150EDC" w:rsidRDefault="004C7180">
            <w:pPr>
              <w:pStyle w:val="TableParagraph"/>
              <w:spacing w:before="0" w:line="240" w:lineRule="auto"/>
              <w:ind w:left="0"/>
              <w:rPr>
                <w:rFonts w:ascii="Times New Roman"/>
                <w:sz w:val="20"/>
              </w:rPr>
            </w:pPr>
          </w:p>
        </w:tc>
        <w:tc>
          <w:tcPr>
            <w:tcW w:w="2994" w:type="dxa"/>
            <w:tcBorders>
              <w:left w:val="single" w:sz="12" w:space="0" w:color="FFFFFF"/>
            </w:tcBorders>
            <w:shd w:val="clear" w:color="auto" w:fill="B4C5E7"/>
          </w:tcPr>
          <w:p w14:paraId="2BB0C5A1" w14:textId="77777777" w:rsidR="004C7180" w:rsidRPr="00150EDC" w:rsidRDefault="00CF0754">
            <w:pPr>
              <w:pStyle w:val="TableParagraph"/>
              <w:tabs>
                <w:tab w:val="left" w:pos="1523"/>
              </w:tabs>
              <w:spacing w:before="0" w:line="256" w:lineRule="exact"/>
              <w:ind w:left="0" w:right="95"/>
              <w:jc w:val="right"/>
              <w:rPr>
                <w:sz w:val="24"/>
              </w:rPr>
            </w:pPr>
            <w:r w:rsidRPr="007D3144">
              <w:rPr>
                <w:spacing w:val="-2"/>
                <w:sz w:val="24"/>
              </w:rPr>
              <w:t>Number:</w:t>
            </w:r>
            <w:r w:rsidRPr="007D3144">
              <w:rPr>
                <w:sz w:val="24"/>
              </w:rPr>
              <w:tab/>
            </w:r>
            <w:r w:rsidRPr="007D3144">
              <w:rPr>
                <w:spacing w:val="-5"/>
                <w:sz w:val="24"/>
              </w:rPr>
              <w:t>QMS</w:t>
            </w:r>
          </w:p>
        </w:tc>
      </w:tr>
      <w:tr w:rsidR="004569EE" w:rsidRPr="007D3144" w14:paraId="729753EB" w14:textId="77777777">
        <w:trPr>
          <w:trHeight w:val="271"/>
        </w:trPr>
        <w:tc>
          <w:tcPr>
            <w:tcW w:w="2995" w:type="dxa"/>
            <w:tcBorders>
              <w:bottom w:val="single" w:sz="8" w:space="0" w:color="FFFFFF"/>
              <w:right w:val="single" w:sz="8" w:space="0" w:color="FFFFFF"/>
            </w:tcBorders>
            <w:shd w:val="clear" w:color="auto" w:fill="4471C4"/>
          </w:tcPr>
          <w:p w14:paraId="3E222FB9" w14:textId="77777777" w:rsidR="004C7180" w:rsidRPr="00150EDC" w:rsidRDefault="004C7180">
            <w:pPr>
              <w:pStyle w:val="TableParagraph"/>
              <w:spacing w:before="0" w:line="240" w:lineRule="auto"/>
              <w:ind w:left="0"/>
              <w:rPr>
                <w:rFonts w:ascii="Times New Roman"/>
                <w:sz w:val="20"/>
              </w:rPr>
            </w:pPr>
          </w:p>
        </w:tc>
        <w:tc>
          <w:tcPr>
            <w:tcW w:w="3006" w:type="dxa"/>
            <w:tcBorders>
              <w:left w:val="single" w:sz="8" w:space="0" w:color="FFFFFF"/>
              <w:bottom w:val="single" w:sz="8" w:space="0" w:color="FFFFFF"/>
              <w:right w:val="single" w:sz="12" w:space="0" w:color="FFFFFF"/>
            </w:tcBorders>
            <w:shd w:val="clear" w:color="auto" w:fill="B4C5E7"/>
          </w:tcPr>
          <w:p w14:paraId="408DA90B" w14:textId="77777777" w:rsidR="004C7180" w:rsidRPr="00150EDC" w:rsidRDefault="004C7180">
            <w:pPr>
              <w:pStyle w:val="TableParagraph"/>
              <w:spacing w:before="0" w:line="240" w:lineRule="auto"/>
              <w:ind w:left="0"/>
              <w:rPr>
                <w:rFonts w:ascii="Times New Roman"/>
                <w:sz w:val="20"/>
              </w:rPr>
            </w:pPr>
          </w:p>
        </w:tc>
        <w:tc>
          <w:tcPr>
            <w:tcW w:w="2994" w:type="dxa"/>
            <w:tcBorders>
              <w:left w:val="single" w:sz="12" w:space="0" w:color="FFFFFF"/>
              <w:bottom w:val="single" w:sz="8" w:space="0" w:color="FFFFFF"/>
            </w:tcBorders>
            <w:shd w:val="clear" w:color="auto" w:fill="B4C5E7"/>
          </w:tcPr>
          <w:p w14:paraId="159AE6DC" w14:textId="77777777" w:rsidR="004C7180" w:rsidRPr="00150EDC" w:rsidRDefault="00CF0754">
            <w:pPr>
              <w:pStyle w:val="TableParagraph"/>
              <w:spacing w:before="0" w:line="251" w:lineRule="exact"/>
              <w:ind w:left="812"/>
              <w:rPr>
                <w:sz w:val="24"/>
              </w:rPr>
            </w:pPr>
            <w:r w:rsidRPr="007D3144">
              <w:rPr>
                <w:spacing w:val="-2"/>
                <w:sz w:val="24"/>
              </w:rPr>
              <w:t>1314295)</w:t>
            </w:r>
          </w:p>
        </w:tc>
      </w:tr>
      <w:tr w:rsidR="004569EE" w:rsidRPr="007D3144" w14:paraId="083F8551" w14:textId="77777777">
        <w:trPr>
          <w:trHeight w:val="2879"/>
        </w:trPr>
        <w:tc>
          <w:tcPr>
            <w:tcW w:w="2995" w:type="dxa"/>
            <w:tcBorders>
              <w:top w:val="single" w:sz="8" w:space="0" w:color="FFFFFF"/>
              <w:right w:val="single" w:sz="8" w:space="0" w:color="FFFFFF"/>
            </w:tcBorders>
            <w:shd w:val="clear" w:color="auto" w:fill="4471C4"/>
          </w:tcPr>
          <w:p w14:paraId="327B61F2" w14:textId="77777777" w:rsidR="004C7180" w:rsidRPr="00150EDC" w:rsidRDefault="00CF0754">
            <w:pPr>
              <w:pStyle w:val="TableParagraph"/>
              <w:spacing w:before="0" w:line="240" w:lineRule="auto"/>
              <w:ind w:left="98"/>
              <w:rPr>
                <w:b/>
                <w:sz w:val="24"/>
              </w:rPr>
            </w:pPr>
            <w:r w:rsidRPr="007D3144">
              <w:rPr>
                <w:b/>
                <w:sz w:val="24"/>
              </w:rPr>
              <w:t>Project</w:t>
            </w:r>
            <w:r w:rsidRPr="007D3144">
              <w:rPr>
                <w:b/>
                <w:spacing w:val="-17"/>
                <w:sz w:val="24"/>
              </w:rPr>
              <w:t xml:space="preserve"> </w:t>
            </w:r>
            <w:r w:rsidRPr="007D3144">
              <w:rPr>
                <w:b/>
                <w:sz w:val="24"/>
              </w:rPr>
              <w:t xml:space="preserve">Manager </w:t>
            </w:r>
            <w:r w:rsidRPr="007D3144">
              <w:rPr>
                <w:b/>
                <w:spacing w:val="-2"/>
                <w:sz w:val="24"/>
              </w:rPr>
              <w:t>Apprentice</w:t>
            </w:r>
          </w:p>
          <w:p w14:paraId="42695941" w14:textId="77777777" w:rsidR="004C7180" w:rsidRPr="00150EDC" w:rsidRDefault="00CF0754">
            <w:pPr>
              <w:pStyle w:val="TableParagraph"/>
              <w:spacing w:before="120" w:line="240" w:lineRule="auto"/>
              <w:ind w:left="98"/>
              <w:rPr>
                <w:b/>
                <w:sz w:val="24"/>
              </w:rPr>
            </w:pPr>
            <w:r w:rsidRPr="007D3144">
              <w:rPr>
                <w:b/>
                <w:sz w:val="24"/>
              </w:rPr>
              <w:t>New</w:t>
            </w:r>
            <w:r w:rsidRPr="007D3144">
              <w:rPr>
                <w:b/>
                <w:spacing w:val="-3"/>
                <w:sz w:val="24"/>
              </w:rPr>
              <w:t xml:space="preserve"> </w:t>
            </w:r>
            <w:r w:rsidRPr="007D3144">
              <w:rPr>
                <w:b/>
                <w:sz w:val="24"/>
              </w:rPr>
              <w:t>staff</w:t>
            </w:r>
            <w:r w:rsidRPr="007D3144">
              <w:rPr>
                <w:b/>
                <w:spacing w:val="-1"/>
                <w:sz w:val="24"/>
              </w:rPr>
              <w:t xml:space="preserve"> </w:t>
            </w:r>
            <w:r w:rsidRPr="007D3144">
              <w:rPr>
                <w:b/>
                <w:spacing w:val="-4"/>
                <w:sz w:val="24"/>
              </w:rPr>
              <w:t>hire</w:t>
            </w:r>
          </w:p>
        </w:tc>
        <w:tc>
          <w:tcPr>
            <w:tcW w:w="3006" w:type="dxa"/>
            <w:tcBorders>
              <w:top w:val="single" w:sz="8" w:space="0" w:color="FFFFFF"/>
              <w:left w:val="single" w:sz="8" w:space="0" w:color="FFFFFF"/>
              <w:right w:val="single" w:sz="12" w:space="0" w:color="FFFFFF"/>
            </w:tcBorders>
            <w:shd w:val="clear" w:color="auto" w:fill="D9E1F3"/>
          </w:tcPr>
          <w:p w14:paraId="5E91F25F" w14:textId="77777777" w:rsidR="004C7180" w:rsidRPr="00150EDC" w:rsidRDefault="00CF0754">
            <w:pPr>
              <w:pStyle w:val="TableParagraph"/>
              <w:spacing w:before="0" w:line="240" w:lineRule="auto"/>
              <w:ind w:left="98"/>
              <w:rPr>
                <w:sz w:val="24"/>
              </w:rPr>
            </w:pPr>
            <w:r w:rsidRPr="007D3144">
              <w:rPr>
                <w:sz w:val="24"/>
              </w:rPr>
              <w:t>5</w:t>
            </w:r>
            <w:r w:rsidRPr="007D3144">
              <w:rPr>
                <w:spacing w:val="-17"/>
                <w:sz w:val="24"/>
              </w:rPr>
              <w:t xml:space="preserve"> </w:t>
            </w:r>
            <w:r w:rsidRPr="007D3144">
              <w:rPr>
                <w:sz w:val="24"/>
              </w:rPr>
              <w:t>days/week</w:t>
            </w:r>
            <w:r w:rsidRPr="007D3144">
              <w:rPr>
                <w:spacing w:val="-17"/>
                <w:sz w:val="24"/>
              </w:rPr>
              <w:t xml:space="preserve"> </w:t>
            </w:r>
            <w:r w:rsidRPr="007D3144">
              <w:rPr>
                <w:sz w:val="24"/>
              </w:rPr>
              <w:t xml:space="preserve">(including </w:t>
            </w:r>
            <w:r w:rsidRPr="007D3144">
              <w:rPr>
                <w:spacing w:val="-2"/>
                <w:sz w:val="24"/>
              </w:rPr>
              <w:t>training)</w:t>
            </w:r>
          </w:p>
        </w:tc>
        <w:tc>
          <w:tcPr>
            <w:tcW w:w="2994" w:type="dxa"/>
            <w:tcBorders>
              <w:top w:val="single" w:sz="8" w:space="0" w:color="FFFFFF"/>
              <w:left w:val="single" w:sz="12" w:space="0" w:color="FFFFFF"/>
            </w:tcBorders>
            <w:shd w:val="clear" w:color="auto" w:fill="D9E1F3"/>
          </w:tcPr>
          <w:p w14:paraId="200C0599" w14:textId="77777777" w:rsidR="004C7180" w:rsidRPr="00150EDC" w:rsidRDefault="00CF0754">
            <w:pPr>
              <w:pStyle w:val="TableParagraph"/>
              <w:tabs>
                <w:tab w:val="left" w:pos="1949"/>
                <w:tab w:val="left" w:pos="2081"/>
              </w:tabs>
              <w:spacing w:before="0" w:line="240" w:lineRule="auto"/>
              <w:ind w:left="92" w:right="92"/>
              <w:jc w:val="both"/>
              <w:rPr>
                <w:sz w:val="24"/>
              </w:rPr>
            </w:pPr>
            <w:r w:rsidRPr="007D3144">
              <w:rPr>
                <w:sz w:val="24"/>
              </w:rPr>
              <w:t xml:space="preserve">New entry level staff </w:t>
            </w:r>
            <w:r w:rsidRPr="007D3144">
              <w:rPr>
                <w:spacing w:val="-2"/>
                <w:sz w:val="24"/>
              </w:rPr>
              <w:t>member</w:t>
            </w:r>
            <w:r w:rsidRPr="007D3144">
              <w:rPr>
                <w:sz w:val="24"/>
              </w:rPr>
              <w:tab/>
            </w:r>
            <w:r w:rsidRPr="007D3144">
              <w:rPr>
                <w:spacing w:val="-2"/>
                <w:sz w:val="24"/>
              </w:rPr>
              <w:t xml:space="preserve">recruited </w:t>
            </w:r>
            <w:r w:rsidRPr="007D3144">
              <w:rPr>
                <w:sz w:val="24"/>
              </w:rPr>
              <w:t xml:space="preserve">specifically from under- </w:t>
            </w:r>
            <w:r w:rsidRPr="007D3144">
              <w:rPr>
                <w:spacing w:val="-2"/>
                <w:sz w:val="24"/>
              </w:rPr>
              <w:t>represented</w:t>
            </w:r>
            <w:r w:rsidRPr="007D3144">
              <w:rPr>
                <w:sz w:val="24"/>
              </w:rPr>
              <w:tab/>
            </w:r>
            <w:r w:rsidRPr="007D3144">
              <w:rPr>
                <w:sz w:val="24"/>
              </w:rPr>
              <w:tab/>
            </w:r>
            <w:r w:rsidRPr="007D3144">
              <w:rPr>
                <w:spacing w:val="-2"/>
                <w:sz w:val="24"/>
              </w:rPr>
              <w:t xml:space="preserve">groups, </w:t>
            </w:r>
            <w:r w:rsidRPr="007D3144">
              <w:rPr>
                <w:sz w:val="24"/>
              </w:rPr>
              <w:t>who’s in-work progress will be supported and championed through formal and informal training and mentoring during this project.</w:t>
            </w:r>
          </w:p>
        </w:tc>
      </w:tr>
    </w:tbl>
    <w:p w14:paraId="07EA39E3" w14:textId="77777777" w:rsidR="004C7180" w:rsidRPr="00150EDC" w:rsidRDefault="004C7180">
      <w:pPr>
        <w:jc w:val="both"/>
        <w:rPr>
          <w:sz w:val="24"/>
        </w:rPr>
        <w:sectPr w:rsidR="004C7180" w:rsidRPr="00150EDC">
          <w:pgSz w:w="11910" w:h="16840"/>
          <w:pgMar w:top="1460" w:right="0" w:bottom="1420" w:left="40" w:header="712" w:footer="1224" w:gutter="0"/>
          <w:cols w:space="720"/>
        </w:sectPr>
      </w:pPr>
    </w:p>
    <w:p w14:paraId="3FBB7B8D" w14:textId="77777777" w:rsidR="004C7180" w:rsidRPr="00150EDC" w:rsidRDefault="004C7180">
      <w:pPr>
        <w:pStyle w:val="BodyText"/>
        <w:spacing w:before="5"/>
        <w:rPr>
          <w:rFonts w:ascii="Calibri Light"/>
          <w:sz w:val="26"/>
        </w:rPr>
      </w:pPr>
    </w:p>
    <w:tbl>
      <w:tblPr>
        <w:tblW w:w="0" w:type="auto"/>
        <w:tblCellSpacing w:w="10" w:type="dxa"/>
        <w:tblInd w:w="1437" w:type="dxa"/>
        <w:tblLayout w:type="fixed"/>
        <w:tblCellMar>
          <w:left w:w="0" w:type="dxa"/>
          <w:right w:w="0" w:type="dxa"/>
        </w:tblCellMar>
        <w:tblLook w:val="01E0" w:firstRow="1" w:lastRow="1" w:firstColumn="1" w:lastColumn="1" w:noHBand="0" w:noVBand="0"/>
      </w:tblPr>
      <w:tblGrid>
        <w:gridCol w:w="3015"/>
        <w:gridCol w:w="3005"/>
        <w:gridCol w:w="3014"/>
      </w:tblGrid>
      <w:tr w:rsidR="004569EE" w:rsidRPr="007D3144" w14:paraId="6493C2DF" w14:textId="77777777">
        <w:trPr>
          <w:trHeight w:val="2880"/>
          <w:tblCellSpacing w:w="10" w:type="dxa"/>
        </w:trPr>
        <w:tc>
          <w:tcPr>
            <w:tcW w:w="2985" w:type="dxa"/>
            <w:tcBorders>
              <w:right w:val="nil"/>
            </w:tcBorders>
            <w:shd w:val="clear" w:color="auto" w:fill="4471C4"/>
          </w:tcPr>
          <w:p w14:paraId="167FB202" w14:textId="77777777" w:rsidR="004C7180" w:rsidRPr="00150EDC" w:rsidRDefault="00CF0754">
            <w:pPr>
              <w:pStyle w:val="TableParagraph"/>
              <w:spacing w:before="0" w:line="240" w:lineRule="auto"/>
              <w:ind w:left="98"/>
              <w:rPr>
                <w:b/>
                <w:sz w:val="24"/>
              </w:rPr>
            </w:pPr>
            <w:r w:rsidRPr="007D3144">
              <w:rPr>
                <w:b/>
                <w:sz w:val="24"/>
              </w:rPr>
              <w:t>Finance</w:t>
            </w:r>
            <w:r w:rsidRPr="007D3144">
              <w:rPr>
                <w:b/>
                <w:spacing w:val="-17"/>
                <w:sz w:val="24"/>
              </w:rPr>
              <w:t xml:space="preserve"> </w:t>
            </w:r>
            <w:r w:rsidRPr="007D3144">
              <w:rPr>
                <w:b/>
                <w:sz w:val="24"/>
              </w:rPr>
              <w:t>&amp;</w:t>
            </w:r>
            <w:r w:rsidRPr="007D3144">
              <w:rPr>
                <w:b/>
                <w:spacing w:val="-17"/>
                <w:sz w:val="24"/>
              </w:rPr>
              <w:t xml:space="preserve"> </w:t>
            </w:r>
            <w:r w:rsidRPr="007D3144">
              <w:rPr>
                <w:b/>
                <w:sz w:val="24"/>
              </w:rPr>
              <w:t xml:space="preserve">Compliance </w:t>
            </w:r>
            <w:r w:rsidRPr="007D3144">
              <w:rPr>
                <w:b/>
                <w:spacing w:val="-2"/>
                <w:sz w:val="24"/>
              </w:rPr>
              <w:t>Apprentice</w:t>
            </w:r>
          </w:p>
          <w:p w14:paraId="3BDCABC7" w14:textId="77777777" w:rsidR="004C7180" w:rsidRPr="00150EDC" w:rsidRDefault="00CF0754">
            <w:pPr>
              <w:pStyle w:val="TableParagraph"/>
              <w:spacing w:before="120" w:line="240" w:lineRule="auto"/>
              <w:ind w:left="98"/>
              <w:rPr>
                <w:b/>
                <w:sz w:val="24"/>
              </w:rPr>
            </w:pPr>
            <w:r w:rsidRPr="007D3144">
              <w:rPr>
                <w:b/>
                <w:sz w:val="24"/>
              </w:rPr>
              <w:t>New</w:t>
            </w:r>
            <w:r w:rsidRPr="007D3144">
              <w:rPr>
                <w:b/>
                <w:spacing w:val="-1"/>
                <w:sz w:val="24"/>
              </w:rPr>
              <w:t xml:space="preserve"> </w:t>
            </w:r>
            <w:r w:rsidRPr="007D3144">
              <w:rPr>
                <w:b/>
                <w:sz w:val="24"/>
              </w:rPr>
              <w:t>staff</w:t>
            </w:r>
            <w:r w:rsidRPr="007D3144">
              <w:rPr>
                <w:b/>
                <w:spacing w:val="-2"/>
                <w:sz w:val="24"/>
              </w:rPr>
              <w:t xml:space="preserve"> </w:t>
            </w:r>
            <w:r w:rsidRPr="007D3144">
              <w:rPr>
                <w:b/>
                <w:spacing w:val="-4"/>
                <w:sz w:val="24"/>
              </w:rPr>
              <w:t>hire</w:t>
            </w:r>
          </w:p>
        </w:tc>
        <w:tc>
          <w:tcPr>
            <w:tcW w:w="2985" w:type="dxa"/>
            <w:tcBorders>
              <w:left w:val="nil"/>
              <w:right w:val="nil"/>
            </w:tcBorders>
            <w:shd w:val="clear" w:color="auto" w:fill="B4C5E7"/>
          </w:tcPr>
          <w:p w14:paraId="1BB6BBD9" w14:textId="77777777" w:rsidR="004C7180" w:rsidRPr="00150EDC" w:rsidRDefault="00CF0754">
            <w:pPr>
              <w:pStyle w:val="TableParagraph"/>
              <w:spacing w:before="0" w:line="240" w:lineRule="auto"/>
              <w:ind w:left="97"/>
              <w:rPr>
                <w:sz w:val="24"/>
              </w:rPr>
            </w:pPr>
            <w:r w:rsidRPr="007D3144">
              <w:rPr>
                <w:sz w:val="24"/>
              </w:rPr>
              <w:t>5</w:t>
            </w:r>
            <w:r w:rsidRPr="007D3144">
              <w:rPr>
                <w:spacing w:val="-17"/>
                <w:sz w:val="24"/>
              </w:rPr>
              <w:t xml:space="preserve"> </w:t>
            </w:r>
            <w:r w:rsidRPr="007D3144">
              <w:rPr>
                <w:sz w:val="24"/>
              </w:rPr>
              <w:t>days/week</w:t>
            </w:r>
            <w:r w:rsidRPr="007D3144">
              <w:rPr>
                <w:spacing w:val="-17"/>
                <w:sz w:val="24"/>
              </w:rPr>
              <w:t xml:space="preserve"> </w:t>
            </w:r>
            <w:r w:rsidRPr="007D3144">
              <w:rPr>
                <w:sz w:val="24"/>
              </w:rPr>
              <w:t xml:space="preserve">(including </w:t>
            </w:r>
            <w:r w:rsidRPr="007D3144">
              <w:rPr>
                <w:spacing w:val="-2"/>
                <w:sz w:val="24"/>
              </w:rPr>
              <w:t>training)</w:t>
            </w:r>
          </w:p>
        </w:tc>
        <w:tc>
          <w:tcPr>
            <w:tcW w:w="2984" w:type="dxa"/>
            <w:tcBorders>
              <w:left w:val="nil"/>
            </w:tcBorders>
            <w:shd w:val="clear" w:color="auto" w:fill="B4C5E7"/>
          </w:tcPr>
          <w:p w14:paraId="4C514368" w14:textId="77777777" w:rsidR="004C7180" w:rsidRPr="00150EDC" w:rsidRDefault="00CF0754">
            <w:pPr>
              <w:pStyle w:val="TableParagraph"/>
              <w:tabs>
                <w:tab w:val="left" w:pos="1954"/>
                <w:tab w:val="left" w:pos="2086"/>
              </w:tabs>
              <w:spacing w:before="0" w:line="240" w:lineRule="auto"/>
              <w:ind w:left="96" w:right="92"/>
              <w:jc w:val="both"/>
              <w:rPr>
                <w:sz w:val="24"/>
              </w:rPr>
            </w:pPr>
            <w:r w:rsidRPr="007D3144">
              <w:rPr>
                <w:sz w:val="24"/>
              </w:rPr>
              <w:t xml:space="preserve">New entry level staff </w:t>
            </w:r>
            <w:r w:rsidRPr="007D3144">
              <w:rPr>
                <w:spacing w:val="-2"/>
                <w:sz w:val="24"/>
              </w:rPr>
              <w:t>member</w:t>
            </w:r>
            <w:r w:rsidRPr="007D3144">
              <w:rPr>
                <w:sz w:val="24"/>
              </w:rPr>
              <w:tab/>
            </w:r>
            <w:r w:rsidRPr="007D3144">
              <w:rPr>
                <w:spacing w:val="-2"/>
                <w:sz w:val="24"/>
              </w:rPr>
              <w:t xml:space="preserve">recruited </w:t>
            </w:r>
            <w:r w:rsidRPr="007D3144">
              <w:rPr>
                <w:sz w:val="24"/>
              </w:rPr>
              <w:t xml:space="preserve">specifically from under- </w:t>
            </w:r>
            <w:r w:rsidRPr="007D3144">
              <w:rPr>
                <w:spacing w:val="-2"/>
                <w:sz w:val="24"/>
              </w:rPr>
              <w:t>represented</w:t>
            </w:r>
            <w:r w:rsidRPr="007D3144">
              <w:rPr>
                <w:sz w:val="24"/>
              </w:rPr>
              <w:tab/>
            </w:r>
            <w:r w:rsidRPr="007D3144">
              <w:rPr>
                <w:sz w:val="24"/>
              </w:rPr>
              <w:tab/>
            </w:r>
            <w:r w:rsidRPr="007D3144">
              <w:rPr>
                <w:spacing w:val="-2"/>
                <w:sz w:val="24"/>
              </w:rPr>
              <w:t xml:space="preserve">groups, </w:t>
            </w:r>
            <w:r w:rsidRPr="007D3144">
              <w:rPr>
                <w:sz w:val="24"/>
              </w:rPr>
              <w:t>who’s in-work progress will be supported and championed through formal and informal training and mentoring during this project.</w:t>
            </w:r>
          </w:p>
        </w:tc>
      </w:tr>
    </w:tbl>
    <w:p w14:paraId="13A7D9E7" w14:textId="77777777" w:rsidR="004C7180" w:rsidRPr="00150EDC" w:rsidRDefault="004C7180">
      <w:pPr>
        <w:pStyle w:val="BodyText"/>
        <w:spacing w:before="5"/>
        <w:rPr>
          <w:rFonts w:ascii="Calibri Light"/>
          <w:sz w:val="19"/>
        </w:rPr>
      </w:pPr>
    </w:p>
    <w:p w14:paraId="295F342F" w14:textId="77777777" w:rsidR="004C7180" w:rsidRPr="00150EDC" w:rsidRDefault="00CF0754" w:rsidP="00B320C7">
      <w:pPr>
        <w:pStyle w:val="ListParagraph"/>
        <w:numPr>
          <w:ilvl w:val="0"/>
          <w:numId w:val="82"/>
        </w:numPr>
        <w:tabs>
          <w:tab w:val="left" w:pos="1667"/>
        </w:tabs>
        <w:spacing w:before="92"/>
        <w:ind w:left="1667" w:hanging="267"/>
        <w:rPr>
          <w:sz w:val="24"/>
        </w:rPr>
      </w:pPr>
      <w:r w:rsidRPr="00150EDC">
        <w:rPr>
          <w:sz w:val="24"/>
        </w:rPr>
        <w:t>Project</w:t>
      </w:r>
      <w:r w:rsidRPr="00150EDC">
        <w:rPr>
          <w:spacing w:val="-5"/>
          <w:sz w:val="24"/>
        </w:rPr>
        <w:t xml:space="preserve"> </w:t>
      </w:r>
      <w:r w:rsidRPr="00150EDC">
        <w:rPr>
          <w:sz w:val="24"/>
        </w:rPr>
        <w:t>portfolio</w:t>
      </w:r>
      <w:r w:rsidRPr="00150EDC">
        <w:rPr>
          <w:spacing w:val="-6"/>
          <w:sz w:val="24"/>
        </w:rPr>
        <w:t xml:space="preserve"> </w:t>
      </w:r>
      <w:r w:rsidRPr="00150EDC">
        <w:rPr>
          <w:spacing w:val="-2"/>
          <w:sz w:val="24"/>
        </w:rPr>
        <w:t>management:</w:t>
      </w:r>
    </w:p>
    <w:p w14:paraId="4461AA91" w14:textId="77777777" w:rsidR="004C7180" w:rsidRPr="00150EDC" w:rsidRDefault="004C7180">
      <w:pPr>
        <w:pStyle w:val="BodyText"/>
        <w:spacing w:before="10"/>
        <w:rPr>
          <w:sz w:val="20"/>
        </w:rPr>
      </w:pPr>
    </w:p>
    <w:p w14:paraId="71D95F0E" w14:textId="77777777" w:rsidR="004C7180" w:rsidRPr="00150EDC" w:rsidRDefault="00CF0754">
      <w:pPr>
        <w:ind w:left="1400"/>
        <w:rPr>
          <w:b/>
          <w:sz w:val="24"/>
        </w:rPr>
      </w:pPr>
      <w:r w:rsidRPr="007D3144">
        <w:rPr>
          <w:b/>
          <w:spacing w:val="-2"/>
          <w:sz w:val="24"/>
        </w:rPr>
        <w:t>Overview</w:t>
      </w:r>
    </w:p>
    <w:p w14:paraId="3B2088E2" w14:textId="77777777" w:rsidR="004C7180" w:rsidRPr="00150EDC" w:rsidRDefault="00CF0754">
      <w:pPr>
        <w:pStyle w:val="BodyText"/>
        <w:spacing w:before="43" w:line="276" w:lineRule="auto"/>
        <w:ind w:left="1400" w:right="1435"/>
        <w:jc w:val="both"/>
      </w:pPr>
      <w:r w:rsidRPr="007D3144">
        <w:t>We have 20+ years’ experience successfully delivering large-scale interventions of similar scope and complexity to the Multiply Randomised Controlled Trials (RCTs), including projects with multiple stakeholders and competing deadlines:</w:t>
      </w:r>
    </w:p>
    <w:p w14:paraId="6A30160C" w14:textId="77777777" w:rsidR="004C7180" w:rsidRPr="00150EDC" w:rsidRDefault="00CF0754" w:rsidP="00B320C7">
      <w:pPr>
        <w:pStyle w:val="ListParagraph"/>
        <w:numPr>
          <w:ilvl w:val="1"/>
          <w:numId w:val="82"/>
        </w:numPr>
        <w:tabs>
          <w:tab w:val="left" w:pos="2120"/>
        </w:tabs>
        <w:spacing w:before="119" w:line="276" w:lineRule="auto"/>
        <w:ind w:right="1433"/>
        <w:jc w:val="both"/>
        <w:rPr>
          <w:sz w:val="24"/>
        </w:rPr>
      </w:pPr>
      <w:r w:rsidRPr="007D3144">
        <w:rPr>
          <w:b/>
          <w:sz w:val="24"/>
        </w:rPr>
        <w:t xml:space="preserve">National Centre for Excellence in the Teaching of Mathematics (NCETM). </w:t>
      </w:r>
      <w:r w:rsidRPr="007D3144">
        <w:rPr>
          <w:sz w:val="24"/>
        </w:rPr>
        <w:t>We are the consortium leader for the NCETM programme which aims to raise levels of achievement of mathematics in schools, sixth-form colleges and further</w:t>
      </w:r>
      <w:r w:rsidRPr="007D3144">
        <w:rPr>
          <w:spacing w:val="-17"/>
          <w:sz w:val="24"/>
        </w:rPr>
        <w:t xml:space="preserve"> </w:t>
      </w:r>
      <w:r w:rsidRPr="007D3144">
        <w:rPr>
          <w:sz w:val="24"/>
        </w:rPr>
        <w:t>education</w:t>
      </w:r>
      <w:r w:rsidRPr="007D3144">
        <w:rPr>
          <w:spacing w:val="-17"/>
          <w:sz w:val="24"/>
        </w:rPr>
        <w:t xml:space="preserve"> </w:t>
      </w:r>
      <w:r w:rsidRPr="007D3144">
        <w:rPr>
          <w:sz w:val="24"/>
        </w:rPr>
        <w:t>establishments.</w:t>
      </w:r>
      <w:r w:rsidRPr="007D3144">
        <w:rPr>
          <w:spacing w:val="-16"/>
          <w:sz w:val="24"/>
        </w:rPr>
        <w:t xml:space="preserve"> </w:t>
      </w:r>
      <w:r w:rsidRPr="007D3144">
        <w:rPr>
          <w:sz w:val="24"/>
        </w:rPr>
        <w:t>NCETM</w:t>
      </w:r>
      <w:r w:rsidRPr="007D3144">
        <w:rPr>
          <w:spacing w:val="-17"/>
          <w:sz w:val="24"/>
        </w:rPr>
        <w:t xml:space="preserve"> </w:t>
      </w:r>
      <w:r w:rsidRPr="007D3144">
        <w:rPr>
          <w:sz w:val="24"/>
        </w:rPr>
        <w:t>provides</w:t>
      </w:r>
      <w:r w:rsidRPr="007D3144">
        <w:rPr>
          <w:spacing w:val="-17"/>
          <w:sz w:val="24"/>
        </w:rPr>
        <w:t xml:space="preserve"> </w:t>
      </w:r>
      <w:r w:rsidRPr="007D3144">
        <w:rPr>
          <w:sz w:val="24"/>
        </w:rPr>
        <w:t>support</w:t>
      </w:r>
      <w:r w:rsidRPr="007D3144">
        <w:rPr>
          <w:spacing w:val="-17"/>
          <w:sz w:val="24"/>
        </w:rPr>
        <w:t xml:space="preserve"> </w:t>
      </w:r>
      <w:r w:rsidRPr="007D3144">
        <w:rPr>
          <w:sz w:val="24"/>
        </w:rPr>
        <w:t>through</w:t>
      </w:r>
      <w:r w:rsidRPr="007D3144">
        <w:rPr>
          <w:spacing w:val="-16"/>
          <w:sz w:val="24"/>
        </w:rPr>
        <w:t xml:space="preserve"> </w:t>
      </w:r>
      <w:r w:rsidRPr="007D3144">
        <w:rPr>
          <w:sz w:val="24"/>
        </w:rPr>
        <w:t>40</w:t>
      </w:r>
      <w:r w:rsidRPr="007D3144">
        <w:rPr>
          <w:spacing w:val="-17"/>
          <w:sz w:val="24"/>
        </w:rPr>
        <w:t xml:space="preserve"> </w:t>
      </w:r>
      <w:r w:rsidRPr="007D3144">
        <w:rPr>
          <w:sz w:val="24"/>
        </w:rPr>
        <w:t>regional Maths Hubs (which historically also were grant-managed via Tribal), which promote</w:t>
      </w:r>
      <w:r w:rsidRPr="007D3144">
        <w:rPr>
          <w:spacing w:val="-17"/>
          <w:sz w:val="24"/>
        </w:rPr>
        <w:t xml:space="preserve"> </w:t>
      </w:r>
      <w:r w:rsidRPr="007D3144">
        <w:rPr>
          <w:sz w:val="24"/>
        </w:rPr>
        <w:t>a</w:t>
      </w:r>
      <w:r w:rsidRPr="007D3144">
        <w:rPr>
          <w:spacing w:val="-17"/>
          <w:sz w:val="24"/>
        </w:rPr>
        <w:t xml:space="preserve"> </w:t>
      </w:r>
      <w:r w:rsidRPr="007D3144">
        <w:rPr>
          <w:sz w:val="24"/>
        </w:rPr>
        <w:t>maths</w:t>
      </w:r>
      <w:r w:rsidRPr="007D3144">
        <w:rPr>
          <w:spacing w:val="-16"/>
          <w:sz w:val="24"/>
        </w:rPr>
        <w:t xml:space="preserve"> </w:t>
      </w:r>
      <w:r w:rsidRPr="007D3144">
        <w:rPr>
          <w:sz w:val="24"/>
        </w:rPr>
        <w:t>mastery</w:t>
      </w:r>
      <w:r w:rsidRPr="007D3144">
        <w:rPr>
          <w:spacing w:val="-17"/>
          <w:sz w:val="24"/>
        </w:rPr>
        <w:t xml:space="preserve"> </w:t>
      </w:r>
      <w:r w:rsidRPr="007D3144">
        <w:rPr>
          <w:sz w:val="24"/>
        </w:rPr>
        <w:t>teaching</w:t>
      </w:r>
      <w:r w:rsidRPr="007D3144">
        <w:rPr>
          <w:spacing w:val="-17"/>
          <w:sz w:val="24"/>
        </w:rPr>
        <w:t xml:space="preserve"> </w:t>
      </w:r>
      <w:r w:rsidRPr="007D3144">
        <w:rPr>
          <w:sz w:val="24"/>
        </w:rPr>
        <w:t>approach</w:t>
      </w:r>
      <w:r w:rsidRPr="007D3144">
        <w:rPr>
          <w:spacing w:val="-17"/>
          <w:sz w:val="24"/>
        </w:rPr>
        <w:t xml:space="preserve"> </w:t>
      </w:r>
      <w:r w:rsidRPr="007D3144">
        <w:rPr>
          <w:sz w:val="24"/>
        </w:rPr>
        <w:t>to</w:t>
      </w:r>
      <w:r w:rsidRPr="007D3144">
        <w:rPr>
          <w:spacing w:val="-16"/>
          <w:sz w:val="24"/>
        </w:rPr>
        <w:t xml:space="preserve"> </w:t>
      </w:r>
      <w:r w:rsidRPr="007D3144">
        <w:rPr>
          <w:sz w:val="24"/>
        </w:rPr>
        <w:t>help</w:t>
      </w:r>
      <w:r w:rsidRPr="007D3144">
        <w:rPr>
          <w:spacing w:val="-17"/>
          <w:sz w:val="24"/>
        </w:rPr>
        <w:t xml:space="preserve"> </w:t>
      </w:r>
      <w:r w:rsidRPr="007D3144">
        <w:rPr>
          <w:sz w:val="24"/>
        </w:rPr>
        <w:t>learners</w:t>
      </w:r>
      <w:r w:rsidRPr="007D3144">
        <w:rPr>
          <w:spacing w:val="-17"/>
          <w:sz w:val="24"/>
        </w:rPr>
        <w:t xml:space="preserve"> </w:t>
      </w:r>
      <w:r w:rsidRPr="007D3144">
        <w:rPr>
          <w:sz w:val="24"/>
        </w:rPr>
        <w:t>develop</w:t>
      </w:r>
      <w:r w:rsidRPr="007D3144">
        <w:rPr>
          <w:spacing w:val="-16"/>
          <w:sz w:val="24"/>
        </w:rPr>
        <w:t xml:space="preserve"> </w:t>
      </w:r>
      <w:r w:rsidRPr="007D3144">
        <w:rPr>
          <w:sz w:val="24"/>
        </w:rPr>
        <w:t>deep</w:t>
      </w:r>
      <w:r w:rsidRPr="007D3144">
        <w:rPr>
          <w:spacing w:val="-15"/>
          <w:sz w:val="24"/>
        </w:rPr>
        <w:t xml:space="preserve"> </w:t>
      </w:r>
      <w:r w:rsidRPr="007D3144">
        <w:rPr>
          <w:sz w:val="24"/>
        </w:rPr>
        <w:t>and lasting procedural and conceptual mathematical understanding. Specifically, this</w:t>
      </w:r>
      <w:r w:rsidRPr="007D3144">
        <w:rPr>
          <w:spacing w:val="-3"/>
          <w:sz w:val="24"/>
        </w:rPr>
        <w:t xml:space="preserve"> </w:t>
      </w:r>
      <w:r w:rsidRPr="007D3144">
        <w:rPr>
          <w:sz w:val="24"/>
        </w:rPr>
        <w:t>involves</w:t>
      </w:r>
      <w:r w:rsidRPr="007D3144">
        <w:rPr>
          <w:spacing w:val="-3"/>
          <w:sz w:val="24"/>
        </w:rPr>
        <w:t xml:space="preserve"> </w:t>
      </w:r>
      <w:r w:rsidRPr="007D3144">
        <w:rPr>
          <w:sz w:val="24"/>
        </w:rPr>
        <w:t>working</w:t>
      </w:r>
      <w:r w:rsidRPr="007D3144">
        <w:rPr>
          <w:spacing w:val="-2"/>
          <w:sz w:val="24"/>
        </w:rPr>
        <w:t xml:space="preserve"> </w:t>
      </w:r>
      <w:r w:rsidRPr="007D3144">
        <w:rPr>
          <w:sz w:val="24"/>
        </w:rPr>
        <w:t>with</w:t>
      </w:r>
      <w:r w:rsidRPr="007D3144">
        <w:rPr>
          <w:spacing w:val="-2"/>
          <w:sz w:val="24"/>
        </w:rPr>
        <w:t xml:space="preserve"> </w:t>
      </w:r>
      <w:r w:rsidRPr="007D3144">
        <w:rPr>
          <w:sz w:val="24"/>
        </w:rPr>
        <w:t>stakeholders</w:t>
      </w:r>
      <w:r w:rsidRPr="007D3144">
        <w:rPr>
          <w:spacing w:val="-3"/>
          <w:sz w:val="24"/>
        </w:rPr>
        <w:t xml:space="preserve"> </w:t>
      </w:r>
      <w:r w:rsidRPr="007D3144">
        <w:rPr>
          <w:sz w:val="24"/>
        </w:rPr>
        <w:t>including</w:t>
      </w:r>
      <w:r w:rsidRPr="007D3144">
        <w:rPr>
          <w:spacing w:val="-2"/>
          <w:sz w:val="24"/>
        </w:rPr>
        <w:t xml:space="preserve"> </w:t>
      </w:r>
      <w:r w:rsidRPr="007D3144">
        <w:rPr>
          <w:sz w:val="24"/>
        </w:rPr>
        <w:t>the</w:t>
      </w:r>
      <w:r w:rsidRPr="007D3144">
        <w:rPr>
          <w:spacing w:val="-2"/>
          <w:sz w:val="24"/>
        </w:rPr>
        <w:t xml:space="preserve"> </w:t>
      </w:r>
      <w:r w:rsidRPr="007D3144">
        <w:rPr>
          <w:sz w:val="24"/>
        </w:rPr>
        <w:t>DfE</w:t>
      </w:r>
      <w:r w:rsidRPr="007D3144">
        <w:rPr>
          <w:spacing w:val="-2"/>
          <w:sz w:val="24"/>
        </w:rPr>
        <w:t xml:space="preserve"> </w:t>
      </w:r>
      <w:r w:rsidRPr="007D3144">
        <w:rPr>
          <w:sz w:val="24"/>
        </w:rPr>
        <w:t>and</w:t>
      </w:r>
      <w:r w:rsidRPr="007D3144">
        <w:rPr>
          <w:spacing w:val="-2"/>
          <w:sz w:val="24"/>
        </w:rPr>
        <w:t xml:space="preserve"> </w:t>
      </w:r>
      <w:r w:rsidRPr="007D3144">
        <w:rPr>
          <w:sz w:val="24"/>
        </w:rPr>
        <w:t>National</w:t>
      </w:r>
      <w:r w:rsidRPr="007D3144">
        <w:rPr>
          <w:spacing w:val="-3"/>
          <w:sz w:val="24"/>
        </w:rPr>
        <w:t xml:space="preserve"> </w:t>
      </w:r>
      <w:r w:rsidRPr="007D3144">
        <w:rPr>
          <w:sz w:val="24"/>
        </w:rPr>
        <w:t>College for Teaching Leadership as part of the selection process to identify schools/colleges</w:t>
      </w:r>
      <w:r w:rsidRPr="007D3144">
        <w:rPr>
          <w:spacing w:val="-10"/>
          <w:sz w:val="24"/>
        </w:rPr>
        <w:t xml:space="preserve"> </w:t>
      </w:r>
      <w:r w:rsidRPr="007D3144">
        <w:rPr>
          <w:sz w:val="24"/>
        </w:rPr>
        <w:t>to</w:t>
      </w:r>
      <w:r w:rsidRPr="007D3144">
        <w:rPr>
          <w:spacing w:val="-7"/>
          <w:sz w:val="24"/>
        </w:rPr>
        <w:t xml:space="preserve"> </w:t>
      </w:r>
      <w:r w:rsidRPr="007D3144">
        <w:rPr>
          <w:sz w:val="24"/>
        </w:rPr>
        <w:t>lead</w:t>
      </w:r>
      <w:r w:rsidRPr="007D3144">
        <w:rPr>
          <w:spacing w:val="-7"/>
          <w:sz w:val="24"/>
        </w:rPr>
        <w:t xml:space="preserve"> </w:t>
      </w:r>
      <w:r w:rsidRPr="007D3144">
        <w:rPr>
          <w:sz w:val="24"/>
        </w:rPr>
        <w:t>each</w:t>
      </w:r>
      <w:r w:rsidRPr="007D3144">
        <w:rPr>
          <w:spacing w:val="-7"/>
          <w:sz w:val="24"/>
        </w:rPr>
        <w:t xml:space="preserve"> </w:t>
      </w:r>
      <w:r w:rsidRPr="007D3144">
        <w:rPr>
          <w:sz w:val="24"/>
        </w:rPr>
        <w:t>hub.</w:t>
      </w:r>
      <w:r w:rsidRPr="007D3144">
        <w:rPr>
          <w:spacing w:val="-10"/>
          <w:sz w:val="24"/>
        </w:rPr>
        <w:t xml:space="preserve"> </w:t>
      </w:r>
      <w:r w:rsidRPr="007D3144">
        <w:rPr>
          <w:sz w:val="24"/>
        </w:rPr>
        <w:t>We</w:t>
      </w:r>
      <w:r w:rsidRPr="007D3144">
        <w:rPr>
          <w:spacing w:val="-9"/>
          <w:sz w:val="24"/>
        </w:rPr>
        <w:t xml:space="preserve"> </w:t>
      </w:r>
      <w:r w:rsidRPr="007D3144">
        <w:rPr>
          <w:sz w:val="24"/>
        </w:rPr>
        <w:t>also</w:t>
      </w:r>
      <w:r w:rsidRPr="007D3144">
        <w:rPr>
          <w:spacing w:val="-9"/>
          <w:sz w:val="24"/>
        </w:rPr>
        <w:t xml:space="preserve"> </w:t>
      </w:r>
      <w:r w:rsidRPr="007D3144">
        <w:rPr>
          <w:sz w:val="24"/>
        </w:rPr>
        <w:t>manage</w:t>
      </w:r>
      <w:r w:rsidRPr="007D3144">
        <w:rPr>
          <w:spacing w:val="-7"/>
          <w:sz w:val="24"/>
        </w:rPr>
        <w:t xml:space="preserve"> </w:t>
      </w:r>
      <w:r w:rsidRPr="007D3144">
        <w:rPr>
          <w:sz w:val="24"/>
        </w:rPr>
        <w:t>ongoing</w:t>
      </w:r>
      <w:r w:rsidRPr="007D3144">
        <w:rPr>
          <w:spacing w:val="-9"/>
          <w:sz w:val="24"/>
        </w:rPr>
        <w:t xml:space="preserve"> </w:t>
      </w:r>
      <w:r w:rsidRPr="007D3144">
        <w:rPr>
          <w:sz w:val="24"/>
        </w:rPr>
        <w:t>engagement</w:t>
      </w:r>
      <w:r w:rsidRPr="007D3144">
        <w:rPr>
          <w:spacing w:val="-7"/>
          <w:sz w:val="24"/>
        </w:rPr>
        <w:t xml:space="preserve"> </w:t>
      </w:r>
      <w:r w:rsidRPr="007D3144">
        <w:rPr>
          <w:sz w:val="24"/>
        </w:rPr>
        <w:t>with the 40 hub leads and strategic partners including delivering annual training to 140</w:t>
      </w:r>
      <w:r w:rsidRPr="007D3144">
        <w:rPr>
          <w:spacing w:val="-17"/>
          <w:sz w:val="24"/>
        </w:rPr>
        <w:t xml:space="preserve"> </w:t>
      </w:r>
      <w:r w:rsidRPr="007D3144">
        <w:rPr>
          <w:sz w:val="24"/>
        </w:rPr>
        <w:t>Mastery</w:t>
      </w:r>
      <w:r w:rsidRPr="007D3144">
        <w:rPr>
          <w:spacing w:val="-17"/>
          <w:sz w:val="24"/>
        </w:rPr>
        <w:t xml:space="preserve"> </w:t>
      </w:r>
      <w:r w:rsidRPr="007D3144">
        <w:rPr>
          <w:sz w:val="24"/>
        </w:rPr>
        <w:t>Specialists</w:t>
      </w:r>
      <w:r w:rsidRPr="007D3144">
        <w:rPr>
          <w:spacing w:val="-15"/>
          <w:sz w:val="24"/>
        </w:rPr>
        <w:t xml:space="preserve"> </w:t>
      </w:r>
      <w:r w:rsidRPr="007D3144">
        <w:rPr>
          <w:sz w:val="24"/>
        </w:rPr>
        <w:t>in</w:t>
      </w:r>
      <w:r w:rsidRPr="007D3144">
        <w:rPr>
          <w:spacing w:val="-14"/>
          <w:sz w:val="24"/>
        </w:rPr>
        <w:t xml:space="preserve"> </w:t>
      </w:r>
      <w:r w:rsidRPr="007D3144">
        <w:rPr>
          <w:sz w:val="24"/>
        </w:rPr>
        <w:t>the</w:t>
      </w:r>
      <w:r w:rsidRPr="007D3144">
        <w:rPr>
          <w:spacing w:val="-16"/>
          <w:sz w:val="24"/>
        </w:rPr>
        <w:t xml:space="preserve"> </w:t>
      </w:r>
      <w:r w:rsidRPr="007D3144">
        <w:rPr>
          <w:sz w:val="24"/>
        </w:rPr>
        <w:t>Shanghai</w:t>
      </w:r>
      <w:r w:rsidRPr="007D3144">
        <w:rPr>
          <w:spacing w:val="-17"/>
          <w:sz w:val="24"/>
        </w:rPr>
        <w:t xml:space="preserve"> </w:t>
      </w:r>
      <w:r w:rsidRPr="007D3144">
        <w:rPr>
          <w:sz w:val="24"/>
        </w:rPr>
        <w:t>approach</w:t>
      </w:r>
      <w:r w:rsidRPr="007D3144">
        <w:rPr>
          <w:spacing w:val="-16"/>
          <w:sz w:val="24"/>
        </w:rPr>
        <w:t xml:space="preserve"> </w:t>
      </w:r>
      <w:r w:rsidRPr="007D3144">
        <w:rPr>
          <w:sz w:val="24"/>
        </w:rPr>
        <w:t>(involving</w:t>
      </w:r>
      <w:r w:rsidRPr="007D3144">
        <w:rPr>
          <w:spacing w:val="-16"/>
          <w:sz w:val="24"/>
        </w:rPr>
        <w:t xml:space="preserve"> </w:t>
      </w:r>
      <w:r w:rsidRPr="007D3144">
        <w:rPr>
          <w:sz w:val="24"/>
        </w:rPr>
        <w:t>close</w:t>
      </w:r>
      <w:r w:rsidRPr="007D3144">
        <w:rPr>
          <w:spacing w:val="-16"/>
          <w:sz w:val="24"/>
        </w:rPr>
        <w:t xml:space="preserve"> </w:t>
      </w:r>
      <w:r w:rsidRPr="007D3144">
        <w:rPr>
          <w:sz w:val="24"/>
        </w:rPr>
        <w:t>working</w:t>
      </w:r>
      <w:r w:rsidRPr="007D3144">
        <w:rPr>
          <w:spacing w:val="-14"/>
          <w:sz w:val="24"/>
        </w:rPr>
        <w:t xml:space="preserve"> </w:t>
      </w:r>
      <w:r w:rsidRPr="007D3144">
        <w:rPr>
          <w:sz w:val="24"/>
        </w:rPr>
        <w:t>with the</w:t>
      </w:r>
      <w:r w:rsidRPr="007D3144">
        <w:rPr>
          <w:spacing w:val="-1"/>
          <w:sz w:val="24"/>
        </w:rPr>
        <w:t xml:space="preserve"> </w:t>
      </w:r>
      <w:r w:rsidRPr="007D3144">
        <w:rPr>
          <w:sz w:val="24"/>
        </w:rPr>
        <w:t>England-Shanghai</w:t>
      </w:r>
      <w:r w:rsidRPr="007D3144">
        <w:rPr>
          <w:spacing w:val="-4"/>
          <w:sz w:val="24"/>
        </w:rPr>
        <w:t xml:space="preserve"> </w:t>
      </w:r>
      <w:r w:rsidRPr="007D3144">
        <w:rPr>
          <w:sz w:val="24"/>
        </w:rPr>
        <w:t>teacher</w:t>
      </w:r>
      <w:r w:rsidRPr="007D3144">
        <w:rPr>
          <w:spacing w:val="-2"/>
          <w:sz w:val="24"/>
        </w:rPr>
        <w:t xml:space="preserve"> </w:t>
      </w:r>
      <w:r w:rsidRPr="007D3144">
        <w:rPr>
          <w:sz w:val="24"/>
        </w:rPr>
        <w:t>exchanges),</w:t>
      </w:r>
      <w:r w:rsidRPr="007D3144">
        <w:rPr>
          <w:spacing w:val="-1"/>
          <w:sz w:val="24"/>
        </w:rPr>
        <w:t xml:space="preserve"> </w:t>
      </w:r>
      <w:r w:rsidRPr="007D3144">
        <w:rPr>
          <w:sz w:val="24"/>
        </w:rPr>
        <w:t>and</w:t>
      </w:r>
      <w:r w:rsidRPr="007D3144">
        <w:rPr>
          <w:spacing w:val="-1"/>
          <w:sz w:val="24"/>
        </w:rPr>
        <w:t xml:space="preserve"> </w:t>
      </w:r>
      <w:r w:rsidRPr="007D3144">
        <w:rPr>
          <w:sz w:val="24"/>
        </w:rPr>
        <w:t>ongoing</w:t>
      </w:r>
      <w:r w:rsidRPr="007D3144">
        <w:rPr>
          <w:spacing w:val="-1"/>
          <w:sz w:val="24"/>
        </w:rPr>
        <w:t xml:space="preserve"> </w:t>
      </w:r>
      <w:r w:rsidRPr="007D3144">
        <w:rPr>
          <w:sz w:val="24"/>
        </w:rPr>
        <w:t>strategic</w:t>
      </w:r>
      <w:r w:rsidRPr="007D3144">
        <w:rPr>
          <w:spacing w:val="-4"/>
          <w:sz w:val="24"/>
        </w:rPr>
        <w:t xml:space="preserve"> </w:t>
      </w:r>
      <w:r w:rsidRPr="007D3144">
        <w:rPr>
          <w:sz w:val="24"/>
        </w:rPr>
        <w:t>oversight</w:t>
      </w:r>
      <w:r w:rsidRPr="007D3144">
        <w:rPr>
          <w:spacing w:val="-1"/>
          <w:sz w:val="24"/>
        </w:rPr>
        <w:t xml:space="preserve"> </w:t>
      </w:r>
      <w:r w:rsidRPr="007D3144">
        <w:rPr>
          <w:sz w:val="24"/>
        </w:rPr>
        <w:t>of personal development for mathematics teachers.</w:t>
      </w:r>
    </w:p>
    <w:p w14:paraId="51CAC34B" w14:textId="77777777" w:rsidR="004C7180" w:rsidRPr="00150EDC" w:rsidRDefault="00CF0754" w:rsidP="00B320C7">
      <w:pPr>
        <w:pStyle w:val="ListParagraph"/>
        <w:numPr>
          <w:ilvl w:val="1"/>
          <w:numId w:val="82"/>
        </w:numPr>
        <w:tabs>
          <w:tab w:val="left" w:pos="2119"/>
        </w:tabs>
        <w:spacing w:before="1" w:line="276" w:lineRule="auto"/>
        <w:ind w:left="2119" w:right="1432"/>
        <w:jc w:val="both"/>
        <w:rPr>
          <w:sz w:val="24"/>
        </w:rPr>
      </w:pPr>
      <w:r w:rsidRPr="007D3144">
        <w:rPr>
          <w:b/>
          <w:sz w:val="24"/>
        </w:rPr>
        <w:t xml:space="preserve">National Tutoring Programme. </w:t>
      </w:r>
      <w:r w:rsidRPr="007D3144">
        <w:rPr>
          <w:sz w:val="24"/>
        </w:rPr>
        <w:t>In 2022, we were awarded the contract to provide quality assurance of tuition partners for the National Tutoring Programme (NTP) who supply tutors directly to schools. This is a high-profile programme</w:t>
      </w:r>
      <w:r w:rsidRPr="007D3144">
        <w:rPr>
          <w:spacing w:val="-17"/>
          <w:sz w:val="24"/>
        </w:rPr>
        <w:t xml:space="preserve"> </w:t>
      </w:r>
      <w:r w:rsidRPr="007D3144">
        <w:rPr>
          <w:sz w:val="24"/>
        </w:rPr>
        <w:t>aiming</w:t>
      </w:r>
      <w:r w:rsidRPr="007D3144">
        <w:rPr>
          <w:spacing w:val="-17"/>
          <w:sz w:val="24"/>
        </w:rPr>
        <w:t xml:space="preserve"> </w:t>
      </w:r>
      <w:r w:rsidRPr="007D3144">
        <w:rPr>
          <w:sz w:val="24"/>
        </w:rPr>
        <w:t>to</w:t>
      </w:r>
      <w:r w:rsidRPr="007D3144">
        <w:rPr>
          <w:spacing w:val="-16"/>
          <w:sz w:val="24"/>
        </w:rPr>
        <w:t xml:space="preserve"> </w:t>
      </w:r>
      <w:r w:rsidRPr="007D3144">
        <w:rPr>
          <w:sz w:val="24"/>
        </w:rPr>
        <w:t>provide</w:t>
      </w:r>
      <w:r w:rsidRPr="007D3144">
        <w:rPr>
          <w:spacing w:val="-17"/>
          <w:sz w:val="24"/>
        </w:rPr>
        <w:t xml:space="preserve"> </w:t>
      </w:r>
      <w:r w:rsidRPr="007D3144">
        <w:rPr>
          <w:sz w:val="24"/>
        </w:rPr>
        <w:t>post-pandemic</w:t>
      </w:r>
      <w:r w:rsidRPr="007D3144">
        <w:rPr>
          <w:spacing w:val="-17"/>
          <w:sz w:val="24"/>
        </w:rPr>
        <w:t xml:space="preserve"> </w:t>
      </w:r>
      <w:r w:rsidRPr="007D3144">
        <w:rPr>
          <w:sz w:val="24"/>
        </w:rPr>
        <w:t>catch-up</w:t>
      </w:r>
      <w:r w:rsidRPr="007D3144">
        <w:rPr>
          <w:spacing w:val="-17"/>
          <w:sz w:val="24"/>
        </w:rPr>
        <w:t xml:space="preserve"> </w:t>
      </w:r>
      <w:r w:rsidRPr="007D3144">
        <w:rPr>
          <w:sz w:val="24"/>
        </w:rPr>
        <w:t>learning</w:t>
      </w:r>
      <w:r w:rsidRPr="007D3144">
        <w:rPr>
          <w:spacing w:val="-16"/>
          <w:sz w:val="24"/>
        </w:rPr>
        <w:t xml:space="preserve"> </w:t>
      </w:r>
      <w:r w:rsidRPr="007D3144">
        <w:rPr>
          <w:sz w:val="24"/>
        </w:rPr>
        <w:t>to</w:t>
      </w:r>
      <w:r w:rsidRPr="007D3144">
        <w:rPr>
          <w:spacing w:val="-17"/>
          <w:sz w:val="24"/>
        </w:rPr>
        <w:t xml:space="preserve"> </w:t>
      </w:r>
      <w:r w:rsidRPr="007D3144">
        <w:rPr>
          <w:sz w:val="24"/>
        </w:rPr>
        <w:t>students,</w:t>
      </w:r>
      <w:r w:rsidRPr="007D3144">
        <w:rPr>
          <w:spacing w:val="-17"/>
          <w:sz w:val="24"/>
        </w:rPr>
        <w:t xml:space="preserve"> </w:t>
      </w:r>
      <w:r w:rsidRPr="007D3144">
        <w:rPr>
          <w:sz w:val="24"/>
        </w:rPr>
        <w:t>and in particular those from disadvantaged backgrounds (a key target population for this contract). We manage a range of stakeholders, including 68 individual tuition</w:t>
      </w:r>
      <w:r w:rsidRPr="007D3144">
        <w:rPr>
          <w:spacing w:val="-10"/>
          <w:sz w:val="24"/>
        </w:rPr>
        <w:t xml:space="preserve"> </w:t>
      </w:r>
      <w:r w:rsidRPr="007D3144">
        <w:rPr>
          <w:sz w:val="24"/>
        </w:rPr>
        <w:t>providers,</w:t>
      </w:r>
      <w:r w:rsidRPr="007D3144">
        <w:rPr>
          <w:spacing w:val="-11"/>
          <w:sz w:val="24"/>
        </w:rPr>
        <w:t xml:space="preserve"> </w:t>
      </w:r>
      <w:r w:rsidRPr="007D3144">
        <w:rPr>
          <w:sz w:val="24"/>
        </w:rPr>
        <w:t>and</w:t>
      </w:r>
      <w:r w:rsidRPr="007D3144">
        <w:rPr>
          <w:spacing w:val="-10"/>
          <w:sz w:val="24"/>
        </w:rPr>
        <w:t xml:space="preserve"> </w:t>
      </w:r>
      <w:r w:rsidRPr="007D3144">
        <w:rPr>
          <w:sz w:val="24"/>
        </w:rPr>
        <w:t>subcontractors</w:t>
      </w:r>
      <w:r w:rsidRPr="007D3144">
        <w:rPr>
          <w:spacing w:val="-11"/>
          <w:sz w:val="24"/>
        </w:rPr>
        <w:t xml:space="preserve"> </w:t>
      </w:r>
      <w:r w:rsidRPr="007D3144">
        <w:rPr>
          <w:sz w:val="24"/>
        </w:rPr>
        <w:t>commissioned</w:t>
      </w:r>
      <w:r w:rsidRPr="007D3144">
        <w:rPr>
          <w:spacing w:val="-10"/>
          <w:sz w:val="24"/>
        </w:rPr>
        <w:t xml:space="preserve"> </w:t>
      </w:r>
      <w:r w:rsidRPr="007D3144">
        <w:rPr>
          <w:sz w:val="24"/>
        </w:rPr>
        <w:t>to</w:t>
      </w:r>
      <w:r w:rsidRPr="007D3144">
        <w:rPr>
          <w:spacing w:val="-10"/>
          <w:sz w:val="24"/>
        </w:rPr>
        <w:t xml:space="preserve"> </w:t>
      </w:r>
      <w:r w:rsidRPr="007D3144">
        <w:rPr>
          <w:sz w:val="24"/>
        </w:rPr>
        <w:t>provide</w:t>
      </w:r>
      <w:r w:rsidRPr="007D3144">
        <w:rPr>
          <w:spacing w:val="-10"/>
          <w:sz w:val="24"/>
        </w:rPr>
        <w:t xml:space="preserve"> </w:t>
      </w:r>
      <w:r w:rsidRPr="007D3144">
        <w:rPr>
          <w:sz w:val="24"/>
        </w:rPr>
        <w:t>expert</w:t>
      </w:r>
      <w:r w:rsidRPr="007D3144">
        <w:rPr>
          <w:spacing w:val="-11"/>
          <w:sz w:val="24"/>
        </w:rPr>
        <w:t xml:space="preserve"> </w:t>
      </w:r>
      <w:r w:rsidRPr="007D3144">
        <w:rPr>
          <w:sz w:val="24"/>
        </w:rPr>
        <w:t>input</w:t>
      </w:r>
      <w:r w:rsidRPr="007D3144">
        <w:rPr>
          <w:spacing w:val="-11"/>
          <w:sz w:val="24"/>
        </w:rPr>
        <w:t xml:space="preserve"> </w:t>
      </w:r>
      <w:r w:rsidRPr="007D3144">
        <w:rPr>
          <w:sz w:val="24"/>
        </w:rPr>
        <w:t>into developing the quality assurance framework, learning strategy and thought leadership pieces to promote awareness, as well as DfE.</w:t>
      </w:r>
    </w:p>
    <w:p w14:paraId="6AB2F487" w14:textId="77777777" w:rsidR="004C7180" w:rsidRPr="00150EDC" w:rsidRDefault="004C7180">
      <w:pPr>
        <w:spacing w:line="276" w:lineRule="auto"/>
        <w:jc w:val="both"/>
        <w:rPr>
          <w:sz w:val="24"/>
        </w:rPr>
        <w:sectPr w:rsidR="004C7180" w:rsidRPr="00150EDC">
          <w:pgSz w:w="11910" w:h="16840"/>
          <w:pgMar w:top="1460" w:right="0" w:bottom="1420" w:left="40" w:header="712" w:footer="1224" w:gutter="0"/>
          <w:cols w:space="720"/>
        </w:sectPr>
      </w:pPr>
    </w:p>
    <w:p w14:paraId="6E5BC88A" w14:textId="77777777" w:rsidR="004C7180" w:rsidRPr="00150EDC" w:rsidRDefault="004C7180">
      <w:pPr>
        <w:pStyle w:val="BodyText"/>
        <w:spacing w:before="4"/>
        <w:rPr>
          <w:sz w:val="18"/>
        </w:rPr>
      </w:pPr>
    </w:p>
    <w:p w14:paraId="52294CBE" w14:textId="77777777" w:rsidR="004C7180" w:rsidRPr="00150EDC" w:rsidRDefault="00CF0754">
      <w:pPr>
        <w:pStyle w:val="BodyText"/>
        <w:spacing w:before="93" w:line="276" w:lineRule="auto"/>
        <w:ind w:left="1400" w:right="1435"/>
        <w:jc w:val="both"/>
      </w:pPr>
      <w:r w:rsidRPr="007D3144">
        <w:t>This experience of rapidly establishing and coordinating sizeable delivery supply chains, contract-managing large volumes of learning providers, and quality assuring providers’ downstream delivery informs our delivery approach for the Multiply RCTs.</w:t>
      </w:r>
    </w:p>
    <w:p w14:paraId="1572038C" w14:textId="77777777" w:rsidR="004C7180" w:rsidRPr="00150EDC" w:rsidRDefault="004C7180">
      <w:pPr>
        <w:pStyle w:val="BodyText"/>
        <w:rPr>
          <w:sz w:val="26"/>
        </w:rPr>
      </w:pPr>
    </w:p>
    <w:p w14:paraId="51FEC243" w14:textId="77777777" w:rsidR="004C7180" w:rsidRPr="00150EDC" w:rsidRDefault="004C7180">
      <w:pPr>
        <w:pStyle w:val="BodyText"/>
        <w:spacing w:before="7"/>
        <w:rPr>
          <w:sz w:val="21"/>
        </w:rPr>
      </w:pPr>
    </w:p>
    <w:p w14:paraId="356F6B38" w14:textId="77777777" w:rsidR="004C7180" w:rsidRPr="00150EDC" w:rsidRDefault="00CF0754">
      <w:pPr>
        <w:ind w:left="1400"/>
        <w:jc w:val="both"/>
        <w:rPr>
          <w:b/>
          <w:sz w:val="24"/>
        </w:rPr>
      </w:pPr>
      <w:r w:rsidRPr="007D3144">
        <w:rPr>
          <w:b/>
          <w:sz w:val="24"/>
        </w:rPr>
        <w:t>Planning</w:t>
      </w:r>
      <w:r w:rsidRPr="007D3144">
        <w:rPr>
          <w:b/>
          <w:spacing w:val="-3"/>
          <w:sz w:val="24"/>
        </w:rPr>
        <w:t xml:space="preserve"> </w:t>
      </w:r>
      <w:r w:rsidRPr="007D3144">
        <w:rPr>
          <w:b/>
          <w:sz w:val="24"/>
        </w:rPr>
        <w:t>and</w:t>
      </w:r>
      <w:r w:rsidRPr="007D3144">
        <w:rPr>
          <w:b/>
          <w:spacing w:val="-4"/>
          <w:sz w:val="24"/>
        </w:rPr>
        <w:t xml:space="preserve"> </w:t>
      </w:r>
      <w:r w:rsidRPr="007D3144">
        <w:rPr>
          <w:b/>
          <w:spacing w:val="-2"/>
          <w:sz w:val="24"/>
        </w:rPr>
        <w:t>implementation</w:t>
      </w:r>
    </w:p>
    <w:p w14:paraId="0E7105E2" w14:textId="77777777" w:rsidR="004C7180" w:rsidRPr="00150EDC" w:rsidRDefault="00CF0754">
      <w:pPr>
        <w:pStyle w:val="BodyText"/>
        <w:spacing w:before="161" w:line="276" w:lineRule="auto"/>
        <w:ind w:left="1400" w:right="1437"/>
        <w:jc w:val="both"/>
      </w:pPr>
      <w:r w:rsidRPr="007D3144">
        <w:t>The Project Director will oversee our structured approach to planning and implementing</w:t>
      </w:r>
      <w:r w:rsidRPr="007D3144">
        <w:rPr>
          <w:spacing w:val="-11"/>
        </w:rPr>
        <w:t xml:space="preserve"> </w:t>
      </w:r>
      <w:r w:rsidRPr="007D3144">
        <w:t>the</w:t>
      </w:r>
      <w:r w:rsidRPr="007D3144">
        <w:rPr>
          <w:spacing w:val="-11"/>
        </w:rPr>
        <w:t xml:space="preserve"> </w:t>
      </w:r>
      <w:r w:rsidRPr="007D3144">
        <w:t>Multiply</w:t>
      </w:r>
      <w:r w:rsidRPr="007D3144">
        <w:rPr>
          <w:spacing w:val="-9"/>
        </w:rPr>
        <w:t xml:space="preserve"> </w:t>
      </w:r>
      <w:r w:rsidRPr="007D3144">
        <w:t>RCTs</w:t>
      </w:r>
      <w:r w:rsidRPr="007D3144">
        <w:rPr>
          <w:spacing w:val="-10"/>
        </w:rPr>
        <w:t xml:space="preserve"> </w:t>
      </w:r>
      <w:r w:rsidRPr="007D3144">
        <w:t>and</w:t>
      </w:r>
      <w:r w:rsidRPr="007D3144">
        <w:rPr>
          <w:spacing w:val="-11"/>
        </w:rPr>
        <w:t xml:space="preserve"> </w:t>
      </w:r>
      <w:r w:rsidRPr="007D3144">
        <w:t>ongoing</w:t>
      </w:r>
      <w:r w:rsidRPr="007D3144">
        <w:rPr>
          <w:spacing w:val="-13"/>
        </w:rPr>
        <w:t xml:space="preserve"> </w:t>
      </w:r>
      <w:r w:rsidRPr="007D3144">
        <w:t>trial</w:t>
      </w:r>
      <w:r w:rsidRPr="007D3144">
        <w:rPr>
          <w:spacing w:val="-10"/>
        </w:rPr>
        <w:t xml:space="preserve"> </w:t>
      </w:r>
      <w:r w:rsidRPr="007D3144">
        <w:t>portfolio</w:t>
      </w:r>
      <w:r w:rsidRPr="007D3144">
        <w:rPr>
          <w:spacing w:val="-11"/>
        </w:rPr>
        <w:t xml:space="preserve"> </w:t>
      </w:r>
      <w:r w:rsidRPr="007D3144">
        <w:t>management.</w:t>
      </w:r>
      <w:r w:rsidRPr="007D3144">
        <w:rPr>
          <w:spacing w:val="-11"/>
        </w:rPr>
        <w:t xml:space="preserve"> </w:t>
      </w:r>
      <w:r w:rsidRPr="007D3144">
        <w:t>Activities</w:t>
      </w:r>
      <w:r w:rsidRPr="007D3144">
        <w:rPr>
          <w:spacing w:val="-9"/>
        </w:rPr>
        <w:t xml:space="preserve"> </w:t>
      </w:r>
      <w:r w:rsidRPr="007D3144">
        <w:t xml:space="preserve">will </w:t>
      </w:r>
      <w:r w:rsidRPr="007D3144">
        <w:rPr>
          <w:spacing w:val="-2"/>
        </w:rPr>
        <w:t>include:</w:t>
      </w:r>
    </w:p>
    <w:p w14:paraId="20FB6DF8" w14:textId="77777777" w:rsidR="004C7180" w:rsidRPr="00150EDC" w:rsidRDefault="00CF0754">
      <w:pPr>
        <w:spacing w:before="121"/>
        <w:ind w:left="1400"/>
        <w:jc w:val="both"/>
        <w:rPr>
          <w:i/>
          <w:sz w:val="24"/>
        </w:rPr>
      </w:pPr>
      <w:r w:rsidRPr="007D3144">
        <w:rPr>
          <w:i/>
          <w:sz w:val="24"/>
        </w:rPr>
        <w:t>Delivery</w:t>
      </w:r>
      <w:r w:rsidRPr="007D3144">
        <w:rPr>
          <w:i/>
          <w:spacing w:val="-4"/>
          <w:sz w:val="24"/>
        </w:rPr>
        <w:t xml:space="preserve"> </w:t>
      </w:r>
      <w:r w:rsidRPr="007D3144">
        <w:rPr>
          <w:i/>
          <w:spacing w:val="-2"/>
          <w:sz w:val="24"/>
        </w:rPr>
        <w:t>programme</w:t>
      </w:r>
    </w:p>
    <w:p w14:paraId="68B685C7" w14:textId="77777777" w:rsidR="004C7180" w:rsidRPr="00150EDC" w:rsidRDefault="00CF0754">
      <w:pPr>
        <w:pStyle w:val="BodyText"/>
        <w:spacing w:before="160" w:line="276" w:lineRule="auto"/>
        <w:ind w:left="1400" w:right="1433"/>
        <w:jc w:val="both"/>
      </w:pPr>
      <w:r w:rsidRPr="007D3144">
        <w:t>We will work collaboratively with the evaluation supplier, appropriate product developer</w:t>
      </w:r>
      <w:r w:rsidRPr="007D3144">
        <w:rPr>
          <w:spacing w:val="-1"/>
        </w:rPr>
        <w:t xml:space="preserve"> </w:t>
      </w:r>
      <w:r w:rsidRPr="007D3144">
        <w:t>representatives, and DfE through</w:t>
      </w:r>
      <w:r w:rsidRPr="007D3144">
        <w:rPr>
          <w:spacing w:val="-2"/>
        </w:rPr>
        <w:t xml:space="preserve"> </w:t>
      </w:r>
      <w:r w:rsidRPr="007D3144">
        <w:t>planning workshops</w:t>
      </w:r>
      <w:r w:rsidRPr="007D3144">
        <w:rPr>
          <w:spacing w:val="-3"/>
        </w:rPr>
        <w:t xml:space="preserve"> </w:t>
      </w:r>
      <w:r w:rsidRPr="007D3144">
        <w:t>to</w:t>
      </w:r>
      <w:r w:rsidRPr="007D3144">
        <w:rPr>
          <w:spacing w:val="-2"/>
        </w:rPr>
        <w:t xml:space="preserve"> </w:t>
      </w:r>
      <w:r w:rsidRPr="007D3144">
        <w:t>develop</w:t>
      </w:r>
      <w:r w:rsidRPr="007D3144">
        <w:rPr>
          <w:spacing w:val="-2"/>
        </w:rPr>
        <w:t xml:space="preserve"> </w:t>
      </w:r>
      <w:r w:rsidRPr="007D3144">
        <w:t>a</w:t>
      </w:r>
      <w:r w:rsidRPr="007D3144">
        <w:rPr>
          <w:spacing w:val="-2"/>
        </w:rPr>
        <w:t xml:space="preserve"> </w:t>
      </w:r>
      <w:r w:rsidRPr="007D3144">
        <w:t xml:space="preserve">master delivery programme based on the provisional Multiply RCTs’ timeline. This will be developed by Tribal’s 9 FTE project team using MS Project, identifying key mobilisation, implementation, delivery and completion timelines for all 13 trials, </w:t>
      </w:r>
      <w:r w:rsidRPr="007D3144">
        <w:rPr>
          <w:spacing w:val="-2"/>
        </w:rPr>
        <w:t>enabling:</w:t>
      </w:r>
    </w:p>
    <w:p w14:paraId="3D371675" w14:textId="77777777" w:rsidR="004C7180" w:rsidRPr="00150EDC" w:rsidRDefault="00CF0754" w:rsidP="00B320C7">
      <w:pPr>
        <w:pStyle w:val="ListParagraph"/>
        <w:numPr>
          <w:ilvl w:val="1"/>
          <w:numId w:val="82"/>
        </w:numPr>
        <w:tabs>
          <w:tab w:val="left" w:pos="2120"/>
        </w:tabs>
        <w:spacing w:before="122" w:line="276" w:lineRule="auto"/>
        <w:ind w:right="1434"/>
        <w:jc w:val="both"/>
        <w:rPr>
          <w:sz w:val="24"/>
        </w:rPr>
      </w:pPr>
      <w:r w:rsidRPr="007D3144">
        <w:rPr>
          <w:sz w:val="24"/>
        </w:rPr>
        <w:t>The</w:t>
      </w:r>
      <w:r w:rsidRPr="007D3144">
        <w:rPr>
          <w:spacing w:val="-16"/>
          <w:sz w:val="24"/>
        </w:rPr>
        <w:t xml:space="preserve"> </w:t>
      </w:r>
      <w:r w:rsidRPr="007D3144">
        <w:rPr>
          <w:sz w:val="24"/>
        </w:rPr>
        <w:t>Project</w:t>
      </w:r>
      <w:r w:rsidRPr="007D3144">
        <w:rPr>
          <w:spacing w:val="-14"/>
          <w:sz w:val="24"/>
        </w:rPr>
        <w:t xml:space="preserve"> </w:t>
      </w:r>
      <w:r w:rsidRPr="007D3144">
        <w:rPr>
          <w:sz w:val="24"/>
        </w:rPr>
        <w:t>Manager</w:t>
      </w:r>
      <w:r w:rsidRPr="007D3144">
        <w:rPr>
          <w:spacing w:val="-17"/>
          <w:sz w:val="24"/>
        </w:rPr>
        <w:t xml:space="preserve"> </w:t>
      </w:r>
      <w:r w:rsidRPr="007D3144">
        <w:rPr>
          <w:sz w:val="24"/>
        </w:rPr>
        <w:t>and</w:t>
      </w:r>
      <w:r w:rsidRPr="007D3144">
        <w:rPr>
          <w:spacing w:val="-17"/>
          <w:sz w:val="24"/>
        </w:rPr>
        <w:t xml:space="preserve"> </w:t>
      </w:r>
      <w:r w:rsidRPr="007D3144">
        <w:rPr>
          <w:sz w:val="24"/>
        </w:rPr>
        <w:t>Assistant</w:t>
      </w:r>
      <w:r w:rsidRPr="007D3144">
        <w:rPr>
          <w:spacing w:val="-16"/>
          <w:sz w:val="24"/>
        </w:rPr>
        <w:t xml:space="preserve"> </w:t>
      </w:r>
      <w:r w:rsidRPr="007D3144">
        <w:rPr>
          <w:sz w:val="24"/>
        </w:rPr>
        <w:t>Project</w:t>
      </w:r>
      <w:r w:rsidRPr="007D3144">
        <w:rPr>
          <w:spacing w:val="-15"/>
          <w:sz w:val="24"/>
        </w:rPr>
        <w:t xml:space="preserve"> </w:t>
      </w:r>
      <w:r w:rsidRPr="007D3144">
        <w:rPr>
          <w:sz w:val="24"/>
        </w:rPr>
        <w:t>Manager</w:t>
      </w:r>
      <w:r w:rsidRPr="007D3144">
        <w:rPr>
          <w:spacing w:val="-17"/>
          <w:sz w:val="24"/>
        </w:rPr>
        <w:t xml:space="preserve"> </w:t>
      </w:r>
      <w:r w:rsidRPr="007D3144">
        <w:rPr>
          <w:sz w:val="24"/>
        </w:rPr>
        <w:t>to</w:t>
      </w:r>
      <w:r w:rsidRPr="007D3144">
        <w:rPr>
          <w:spacing w:val="-14"/>
          <w:sz w:val="24"/>
        </w:rPr>
        <w:t xml:space="preserve"> </w:t>
      </w:r>
      <w:r w:rsidRPr="007D3144">
        <w:rPr>
          <w:sz w:val="24"/>
        </w:rPr>
        <w:t>coordinate</w:t>
      </w:r>
      <w:r w:rsidRPr="007D3144">
        <w:rPr>
          <w:spacing w:val="-17"/>
          <w:sz w:val="24"/>
        </w:rPr>
        <w:t xml:space="preserve"> </w:t>
      </w:r>
      <w:r w:rsidRPr="007D3144">
        <w:rPr>
          <w:sz w:val="24"/>
        </w:rPr>
        <w:t>and</w:t>
      </w:r>
      <w:r w:rsidRPr="007D3144">
        <w:rPr>
          <w:spacing w:val="-16"/>
          <w:sz w:val="24"/>
        </w:rPr>
        <w:t xml:space="preserve"> </w:t>
      </w:r>
      <w:r w:rsidRPr="007D3144">
        <w:rPr>
          <w:sz w:val="24"/>
        </w:rPr>
        <w:t>manage competing deadlines, e.g. simultaneous delivery of “Maths by Stealth” and “Context Curriculum” trials.</w:t>
      </w:r>
    </w:p>
    <w:p w14:paraId="05656751" w14:textId="77777777" w:rsidR="004C7180" w:rsidRPr="00150EDC" w:rsidRDefault="00CF0754" w:rsidP="00B320C7">
      <w:pPr>
        <w:pStyle w:val="ListParagraph"/>
        <w:numPr>
          <w:ilvl w:val="1"/>
          <w:numId w:val="82"/>
        </w:numPr>
        <w:tabs>
          <w:tab w:val="left" w:pos="2120"/>
        </w:tabs>
        <w:spacing w:line="276" w:lineRule="auto"/>
        <w:ind w:right="1435"/>
        <w:jc w:val="both"/>
        <w:rPr>
          <w:sz w:val="24"/>
        </w:rPr>
      </w:pPr>
      <w:r w:rsidRPr="007D3144">
        <w:rPr>
          <w:sz w:val="24"/>
        </w:rPr>
        <w:t>Activities, timings and resources to successfully deliver all trials, and identify peak periods in activities (e.g. mobilising multiple trials) where we might need to flex-up resources.</w:t>
      </w:r>
    </w:p>
    <w:p w14:paraId="1E39359E" w14:textId="77777777" w:rsidR="004C7180" w:rsidRPr="00150EDC" w:rsidRDefault="00CF0754" w:rsidP="00B320C7">
      <w:pPr>
        <w:pStyle w:val="ListParagraph"/>
        <w:numPr>
          <w:ilvl w:val="1"/>
          <w:numId w:val="82"/>
        </w:numPr>
        <w:tabs>
          <w:tab w:val="left" w:pos="2120"/>
        </w:tabs>
        <w:spacing w:line="276" w:lineRule="auto"/>
        <w:ind w:right="1435"/>
        <w:jc w:val="both"/>
        <w:rPr>
          <w:sz w:val="24"/>
        </w:rPr>
      </w:pPr>
      <w:r w:rsidRPr="007D3144">
        <w:rPr>
          <w:sz w:val="24"/>
        </w:rPr>
        <w:t>A</w:t>
      </w:r>
      <w:r w:rsidRPr="007D3144">
        <w:rPr>
          <w:spacing w:val="-12"/>
          <w:sz w:val="24"/>
        </w:rPr>
        <w:t xml:space="preserve"> </w:t>
      </w:r>
      <w:r w:rsidRPr="007D3144">
        <w:rPr>
          <w:sz w:val="24"/>
        </w:rPr>
        <w:t>holistic</w:t>
      </w:r>
      <w:r w:rsidRPr="007D3144">
        <w:rPr>
          <w:spacing w:val="-13"/>
          <w:sz w:val="24"/>
        </w:rPr>
        <w:t xml:space="preserve"> </w:t>
      </w:r>
      <w:r w:rsidRPr="007D3144">
        <w:rPr>
          <w:sz w:val="24"/>
        </w:rPr>
        <w:t>review</w:t>
      </w:r>
      <w:r w:rsidRPr="007D3144">
        <w:rPr>
          <w:spacing w:val="-15"/>
          <w:sz w:val="24"/>
        </w:rPr>
        <w:t xml:space="preserve"> </w:t>
      </w:r>
      <w:r w:rsidRPr="007D3144">
        <w:rPr>
          <w:sz w:val="24"/>
        </w:rPr>
        <w:t>of</w:t>
      </w:r>
      <w:r w:rsidRPr="007D3144">
        <w:rPr>
          <w:spacing w:val="-12"/>
          <w:sz w:val="24"/>
        </w:rPr>
        <w:t xml:space="preserve"> </w:t>
      </w:r>
      <w:r w:rsidRPr="007D3144">
        <w:rPr>
          <w:sz w:val="24"/>
        </w:rPr>
        <w:t>risks</w:t>
      </w:r>
      <w:r w:rsidRPr="007D3144">
        <w:rPr>
          <w:spacing w:val="-13"/>
          <w:sz w:val="24"/>
        </w:rPr>
        <w:t xml:space="preserve"> </w:t>
      </w:r>
      <w:r w:rsidRPr="007D3144">
        <w:rPr>
          <w:sz w:val="24"/>
        </w:rPr>
        <w:t>across</w:t>
      </w:r>
      <w:r w:rsidRPr="007D3144">
        <w:rPr>
          <w:spacing w:val="-15"/>
          <w:sz w:val="24"/>
        </w:rPr>
        <w:t xml:space="preserve"> </w:t>
      </w:r>
      <w:r w:rsidRPr="007D3144">
        <w:rPr>
          <w:sz w:val="24"/>
        </w:rPr>
        <w:t>multiple</w:t>
      </w:r>
      <w:r w:rsidRPr="007D3144">
        <w:rPr>
          <w:spacing w:val="-14"/>
          <w:sz w:val="24"/>
        </w:rPr>
        <w:t xml:space="preserve"> </w:t>
      </w:r>
      <w:r w:rsidRPr="007D3144">
        <w:rPr>
          <w:sz w:val="24"/>
        </w:rPr>
        <w:t>projects.</w:t>
      </w:r>
      <w:r w:rsidRPr="007D3144">
        <w:rPr>
          <w:spacing w:val="-12"/>
          <w:sz w:val="24"/>
        </w:rPr>
        <w:t xml:space="preserve"> </w:t>
      </w:r>
      <w:r w:rsidRPr="007D3144">
        <w:rPr>
          <w:sz w:val="24"/>
        </w:rPr>
        <w:t>E.g.</w:t>
      </w:r>
      <w:r w:rsidRPr="007D3144">
        <w:rPr>
          <w:spacing w:val="-14"/>
          <w:sz w:val="24"/>
        </w:rPr>
        <w:t xml:space="preserve"> </w:t>
      </w:r>
      <w:r w:rsidRPr="007D3144">
        <w:rPr>
          <w:sz w:val="24"/>
        </w:rPr>
        <w:t>by</w:t>
      </w:r>
      <w:r w:rsidRPr="007D3144">
        <w:rPr>
          <w:spacing w:val="-15"/>
          <w:sz w:val="24"/>
        </w:rPr>
        <w:t xml:space="preserve"> </w:t>
      </w:r>
      <w:r w:rsidRPr="007D3144">
        <w:rPr>
          <w:sz w:val="24"/>
        </w:rPr>
        <w:t>assessing</w:t>
      </w:r>
      <w:r w:rsidRPr="007D3144">
        <w:rPr>
          <w:spacing w:val="-12"/>
          <w:sz w:val="24"/>
        </w:rPr>
        <w:t xml:space="preserve"> </w:t>
      </w:r>
      <w:r w:rsidRPr="007D3144">
        <w:rPr>
          <w:sz w:val="24"/>
        </w:rPr>
        <w:t>the</w:t>
      </w:r>
      <w:r w:rsidRPr="007D3144">
        <w:rPr>
          <w:spacing w:val="-12"/>
          <w:sz w:val="24"/>
        </w:rPr>
        <w:t xml:space="preserve"> </w:t>
      </w:r>
      <w:r w:rsidRPr="007D3144">
        <w:rPr>
          <w:sz w:val="24"/>
        </w:rPr>
        <w:t>timeline for delivering trials, we might prioritise early recruitment of Mayoral Combined Authorities</w:t>
      </w:r>
      <w:r w:rsidRPr="007D3144">
        <w:rPr>
          <w:spacing w:val="-10"/>
          <w:sz w:val="24"/>
        </w:rPr>
        <w:t xml:space="preserve"> </w:t>
      </w:r>
      <w:r w:rsidRPr="007D3144">
        <w:rPr>
          <w:sz w:val="24"/>
        </w:rPr>
        <w:t>and</w:t>
      </w:r>
      <w:r w:rsidRPr="007D3144">
        <w:rPr>
          <w:spacing w:val="-9"/>
          <w:sz w:val="24"/>
        </w:rPr>
        <w:t xml:space="preserve"> </w:t>
      </w:r>
      <w:r w:rsidRPr="007D3144">
        <w:rPr>
          <w:sz w:val="24"/>
        </w:rPr>
        <w:t>upper</w:t>
      </w:r>
      <w:r w:rsidRPr="007D3144">
        <w:rPr>
          <w:spacing w:val="-11"/>
          <w:sz w:val="24"/>
        </w:rPr>
        <w:t xml:space="preserve"> </w:t>
      </w:r>
      <w:r w:rsidRPr="007D3144">
        <w:rPr>
          <w:sz w:val="24"/>
        </w:rPr>
        <w:t>tier</w:t>
      </w:r>
      <w:r w:rsidRPr="007D3144">
        <w:rPr>
          <w:spacing w:val="-11"/>
          <w:sz w:val="24"/>
        </w:rPr>
        <w:t xml:space="preserve"> </w:t>
      </w:r>
      <w:r w:rsidRPr="007D3144">
        <w:rPr>
          <w:sz w:val="24"/>
        </w:rPr>
        <w:t>local</w:t>
      </w:r>
      <w:r w:rsidRPr="007D3144">
        <w:rPr>
          <w:spacing w:val="-11"/>
          <w:sz w:val="24"/>
        </w:rPr>
        <w:t xml:space="preserve"> </w:t>
      </w:r>
      <w:r w:rsidRPr="007D3144">
        <w:rPr>
          <w:sz w:val="24"/>
        </w:rPr>
        <w:t>authorities</w:t>
      </w:r>
      <w:r w:rsidRPr="007D3144">
        <w:rPr>
          <w:spacing w:val="-10"/>
          <w:sz w:val="24"/>
        </w:rPr>
        <w:t xml:space="preserve"> </w:t>
      </w:r>
      <w:r w:rsidRPr="007D3144">
        <w:rPr>
          <w:sz w:val="24"/>
        </w:rPr>
        <w:t>who</w:t>
      </w:r>
      <w:r w:rsidRPr="007D3144">
        <w:rPr>
          <w:spacing w:val="-12"/>
          <w:sz w:val="24"/>
        </w:rPr>
        <w:t xml:space="preserve"> </w:t>
      </w:r>
      <w:r w:rsidRPr="007D3144">
        <w:rPr>
          <w:sz w:val="24"/>
        </w:rPr>
        <w:t>have</w:t>
      </w:r>
      <w:r w:rsidRPr="007D3144">
        <w:rPr>
          <w:spacing w:val="-12"/>
          <w:sz w:val="24"/>
        </w:rPr>
        <w:t xml:space="preserve"> </w:t>
      </w:r>
      <w:r w:rsidRPr="007D3144">
        <w:rPr>
          <w:sz w:val="24"/>
        </w:rPr>
        <w:t>the</w:t>
      </w:r>
      <w:r w:rsidRPr="007D3144">
        <w:rPr>
          <w:spacing w:val="-12"/>
          <w:sz w:val="24"/>
        </w:rPr>
        <w:t xml:space="preserve"> </w:t>
      </w:r>
      <w:r w:rsidRPr="007D3144">
        <w:rPr>
          <w:sz w:val="24"/>
        </w:rPr>
        <w:t>capacity</w:t>
      </w:r>
      <w:r w:rsidRPr="007D3144">
        <w:rPr>
          <w:spacing w:val="-10"/>
          <w:sz w:val="24"/>
        </w:rPr>
        <w:t xml:space="preserve"> </w:t>
      </w:r>
      <w:r w:rsidRPr="007D3144">
        <w:rPr>
          <w:sz w:val="24"/>
        </w:rPr>
        <w:t>to</w:t>
      </w:r>
      <w:r w:rsidRPr="007D3144">
        <w:rPr>
          <w:spacing w:val="-9"/>
          <w:sz w:val="24"/>
        </w:rPr>
        <w:t xml:space="preserve"> </w:t>
      </w:r>
      <w:r w:rsidRPr="007D3144">
        <w:rPr>
          <w:sz w:val="24"/>
        </w:rPr>
        <w:t>support</w:t>
      </w:r>
      <w:r w:rsidRPr="007D3144">
        <w:rPr>
          <w:spacing w:val="-10"/>
          <w:sz w:val="24"/>
        </w:rPr>
        <w:t xml:space="preserve"> </w:t>
      </w:r>
      <w:r w:rsidRPr="007D3144">
        <w:rPr>
          <w:sz w:val="24"/>
        </w:rPr>
        <w:t>the delivery of multiple trials thereby maximising learner recruitment.</w:t>
      </w:r>
    </w:p>
    <w:p w14:paraId="13CAA1CD" w14:textId="77777777" w:rsidR="004C7180" w:rsidRPr="00150EDC" w:rsidRDefault="00CF0754">
      <w:pPr>
        <w:pStyle w:val="BodyText"/>
        <w:spacing w:line="276" w:lineRule="auto"/>
        <w:ind w:left="1399" w:right="1435"/>
        <w:jc w:val="both"/>
      </w:pPr>
      <w:r w:rsidRPr="007D3144">
        <w:t>The master programme will provide a high-level perspective for managing multiple individual trials. For each trial, the Assistant Project Manager will develop a clearly defined implementation and delivery plan identifying key deliverables together with a timeline and ownership of tasks. This will include:</w:t>
      </w:r>
    </w:p>
    <w:p w14:paraId="5FAE002D" w14:textId="77777777" w:rsidR="004C7180" w:rsidRPr="00150EDC" w:rsidRDefault="00CF0754" w:rsidP="00B320C7">
      <w:pPr>
        <w:pStyle w:val="ListParagraph"/>
        <w:numPr>
          <w:ilvl w:val="1"/>
          <w:numId w:val="82"/>
        </w:numPr>
        <w:tabs>
          <w:tab w:val="left" w:pos="2120"/>
        </w:tabs>
        <w:spacing w:before="119" w:line="276" w:lineRule="auto"/>
        <w:ind w:right="1438"/>
        <w:jc w:val="both"/>
        <w:rPr>
          <w:sz w:val="24"/>
        </w:rPr>
      </w:pPr>
      <w:r w:rsidRPr="007D3144">
        <w:rPr>
          <w:sz w:val="24"/>
        </w:rPr>
        <w:t>Dates for IDEA meetings where we will provide input together with the evaluation supplier and product developer to establish the Logic Model and TIDieR Framework</w:t>
      </w:r>
    </w:p>
    <w:p w14:paraId="31499BDC" w14:textId="77777777" w:rsidR="004C7180" w:rsidRPr="00150EDC" w:rsidRDefault="00CF0754" w:rsidP="00B320C7">
      <w:pPr>
        <w:pStyle w:val="ListParagraph"/>
        <w:numPr>
          <w:ilvl w:val="1"/>
          <w:numId w:val="82"/>
        </w:numPr>
        <w:tabs>
          <w:tab w:val="left" w:pos="2120"/>
        </w:tabs>
        <w:spacing w:before="1" w:line="276" w:lineRule="auto"/>
        <w:ind w:right="1434"/>
        <w:jc w:val="both"/>
        <w:rPr>
          <w:sz w:val="24"/>
        </w:rPr>
      </w:pPr>
      <w:r w:rsidRPr="007D3144">
        <w:rPr>
          <w:sz w:val="24"/>
        </w:rPr>
        <w:t>Planned approach to provider recruitment including hierarchy of recruitment approaches (e.g. mass mailings, telephone calls, etc.)</w:t>
      </w:r>
    </w:p>
    <w:p w14:paraId="6FED14C5" w14:textId="77777777" w:rsidR="004C7180" w:rsidRPr="00150EDC" w:rsidRDefault="00CF0754" w:rsidP="00B320C7">
      <w:pPr>
        <w:pStyle w:val="ListParagraph"/>
        <w:numPr>
          <w:ilvl w:val="1"/>
          <w:numId w:val="82"/>
        </w:numPr>
        <w:tabs>
          <w:tab w:val="left" w:pos="2119"/>
        </w:tabs>
        <w:spacing w:line="275" w:lineRule="exact"/>
        <w:ind w:left="2119" w:hanging="359"/>
        <w:jc w:val="both"/>
        <w:rPr>
          <w:sz w:val="24"/>
        </w:rPr>
      </w:pPr>
      <w:r w:rsidRPr="007D3144">
        <w:rPr>
          <w:sz w:val="24"/>
        </w:rPr>
        <w:t>Dates</w:t>
      </w:r>
      <w:r w:rsidRPr="007D3144">
        <w:rPr>
          <w:spacing w:val="-4"/>
          <w:sz w:val="24"/>
        </w:rPr>
        <w:t xml:space="preserve"> </w:t>
      </w:r>
      <w:r w:rsidRPr="007D3144">
        <w:rPr>
          <w:sz w:val="24"/>
        </w:rPr>
        <w:t>for</w:t>
      </w:r>
      <w:r w:rsidRPr="007D3144">
        <w:rPr>
          <w:spacing w:val="-3"/>
          <w:sz w:val="24"/>
        </w:rPr>
        <w:t xml:space="preserve"> </w:t>
      </w:r>
      <w:r w:rsidRPr="007D3144">
        <w:rPr>
          <w:sz w:val="24"/>
        </w:rPr>
        <w:t>issuing</w:t>
      </w:r>
      <w:r w:rsidRPr="007D3144">
        <w:rPr>
          <w:spacing w:val="-3"/>
          <w:sz w:val="24"/>
        </w:rPr>
        <w:t xml:space="preserve"> </w:t>
      </w:r>
      <w:r w:rsidRPr="007D3144">
        <w:rPr>
          <w:sz w:val="24"/>
        </w:rPr>
        <w:t>and return</w:t>
      </w:r>
      <w:r w:rsidRPr="007D3144">
        <w:rPr>
          <w:spacing w:val="-3"/>
          <w:sz w:val="24"/>
        </w:rPr>
        <w:t xml:space="preserve"> </w:t>
      </w:r>
      <w:r w:rsidRPr="007D3144">
        <w:rPr>
          <w:sz w:val="24"/>
        </w:rPr>
        <w:t>of</w:t>
      </w:r>
      <w:r w:rsidRPr="007D3144">
        <w:rPr>
          <w:spacing w:val="-1"/>
          <w:sz w:val="24"/>
        </w:rPr>
        <w:t xml:space="preserve"> </w:t>
      </w:r>
      <w:r w:rsidRPr="007D3144">
        <w:rPr>
          <w:sz w:val="24"/>
        </w:rPr>
        <w:t>provider</w:t>
      </w:r>
      <w:r w:rsidRPr="007D3144">
        <w:rPr>
          <w:spacing w:val="-3"/>
          <w:sz w:val="24"/>
        </w:rPr>
        <w:t xml:space="preserve"> </w:t>
      </w:r>
      <w:r w:rsidRPr="007D3144">
        <w:rPr>
          <w:sz w:val="24"/>
        </w:rPr>
        <w:t>agreements</w:t>
      </w:r>
      <w:r w:rsidRPr="007D3144">
        <w:rPr>
          <w:spacing w:val="-1"/>
          <w:sz w:val="24"/>
        </w:rPr>
        <w:t xml:space="preserve"> </w:t>
      </w:r>
      <w:r w:rsidRPr="007D3144">
        <w:rPr>
          <w:sz w:val="24"/>
        </w:rPr>
        <w:t>for</w:t>
      </w:r>
      <w:r w:rsidRPr="007D3144">
        <w:rPr>
          <w:spacing w:val="-5"/>
          <w:sz w:val="24"/>
        </w:rPr>
        <w:t xml:space="preserve"> </w:t>
      </w:r>
      <w:r w:rsidRPr="007D3144">
        <w:rPr>
          <w:sz w:val="24"/>
        </w:rPr>
        <w:t>the</w:t>
      </w:r>
      <w:r w:rsidRPr="007D3144">
        <w:rPr>
          <w:spacing w:val="-3"/>
          <w:sz w:val="24"/>
        </w:rPr>
        <w:t xml:space="preserve"> </w:t>
      </w:r>
      <w:r w:rsidRPr="007D3144">
        <w:rPr>
          <w:sz w:val="24"/>
        </w:rPr>
        <w:t>specific</w:t>
      </w:r>
      <w:r w:rsidRPr="007D3144">
        <w:rPr>
          <w:spacing w:val="-3"/>
          <w:sz w:val="24"/>
        </w:rPr>
        <w:t xml:space="preserve"> </w:t>
      </w:r>
      <w:r w:rsidRPr="007D3144">
        <w:rPr>
          <w:spacing w:val="-2"/>
          <w:sz w:val="24"/>
        </w:rPr>
        <w:t>trial</w:t>
      </w:r>
    </w:p>
    <w:p w14:paraId="7542BF33" w14:textId="77777777" w:rsidR="004C7180" w:rsidRPr="00150EDC" w:rsidRDefault="00CF0754" w:rsidP="00B320C7">
      <w:pPr>
        <w:pStyle w:val="ListParagraph"/>
        <w:numPr>
          <w:ilvl w:val="1"/>
          <w:numId w:val="82"/>
        </w:numPr>
        <w:tabs>
          <w:tab w:val="left" w:pos="2120"/>
        </w:tabs>
        <w:spacing w:before="40" w:line="276" w:lineRule="auto"/>
        <w:ind w:right="1434"/>
        <w:jc w:val="both"/>
        <w:rPr>
          <w:sz w:val="24"/>
        </w:rPr>
      </w:pPr>
      <w:r w:rsidRPr="007D3144">
        <w:rPr>
          <w:sz w:val="24"/>
        </w:rPr>
        <w:t>Dates for monitoring delivery milestones, e.g. learner sign-up, enabling early management interventions should there be insufficient numbers to make the trial viable.</w:t>
      </w:r>
    </w:p>
    <w:p w14:paraId="1CAE0EA0" w14:textId="77777777" w:rsidR="004C7180" w:rsidRPr="00150EDC" w:rsidRDefault="004C7180">
      <w:pPr>
        <w:spacing w:line="276" w:lineRule="auto"/>
        <w:jc w:val="both"/>
        <w:rPr>
          <w:sz w:val="24"/>
        </w:rPr>
        <w:sectPr w:rsidR="004C7180" w:rsidRPr="00150EDC">
          <w:pgSz w:w="11910" w:h="16840"/>
          <w:pgMar w:top="1460" w:right="0" w:bottom="1420" w:left="40" w:header="712" w:footer="1224" w:gutter="0"/>
          <w:cols w:space="720"/>
        </w:sectPr>
      </w:pPr>
    </w:p>
    <w:p w14:paraId="5C73D6C8" w14:textId="77777777" w:rsidR="004C7180" w:rsidRPr="00150EDC" w:rsidRDefault="004C7180">
      <w:pPr>
        <w:pStyle w:val="BodyText"/>
        <w:spacing w:before="4"/>
        <w:rPr>
          <w:sz w:val="18"/>
        </w:rPr>
      </w:pPr>
    </w:p>
    <w:p w14:paraId="63039B82" w14:textId="77777777" w:rsidR="004C7180" w:rsidRPr="00150EDC" w:rsidRDefault="00CF0754">
      <w:pPr>
        <w:pStyle w:val="BodyText"/>
        <w:spacing w:before="93" w:line="276" w:lineRule="auto"/>
        <w:ind w:left="1400" w:right="1435"/>
        <w:jc w:val="both"/>
      </w:pPr>
      <w:r w:rsidRPr="007D3144">
        <w:t>The programme will be used to identify critical path activities and interdependencies, as well as monitor delivery through weekly progress meetings with key stakeholders.</w:t>
      </w:r>
    </w:p>
    <w:p w14:paraId="1C71B6CD" w14:textId="77777777" w:rsidR="004C7180" w:rsidRPr="00150EDC" w:rsidRDefault="00CF0754">
      <w:pPr>
        <w:spacing w:before="118"/>
        <w:ind w:left="1400"/>
        <w:jc w:val="both"/>
        <w:rPr>
          <w:i/>
          <w:sz w:val="24"/>
        </w:rPr>
      </w:pPr>
      <w:r w:rsidRPr="007D3144">
        <w:rPr>
          <w:i/>
          <w:sz w:val="24"/>
        </w:rPr>
        <w:t>Engagement</w:t>
      </w:r>
      <w:r w:rsidRPr="007D3144">
        <w:rPr>
          <w:i/>
          <w:spacing w:val="-3"/>
          <w:sz w:val="24"/>
        </w:rPr>
        <w:t xml:space="preserve"> </w:t>
      </w:r>
      <w:r w:rsidRPr="007D3144">
        <w:rPr>
          <w:i/>
          <w:spacing w:val="-2"/>
          <w:sz w:val="24"/>
        </w:rPr>
        <w:t>strategy</w:t>
      </w:r>
    </w:p>
    <w:p w14:paraId="517E9184" w14:textId="77777777" w:rsidR="004C7180" w:rsidRPr="00150EDC" w:rsidRDefault="00CF0754">
      <w:pPr>
        <w:pStyle w:val="BodyText"/>
        <w:spacing w:before="161" w:line="278" w:lineRule="auto"/>
        <w:ind w:left="1400" w:right="1434"/>
        <w:jc w:val="both"/>
      </w:pPr>
      <w:r w:rsidRPr="007D3144">
        <w:t xml:space="preserve">Led by the Project Manager, we will adopt a systematic approach to stakeholder </w:t>
      </w:r>
      <w:r w:rsidRPr="007D3144">
        <w:rPr>
          <w:spacing w:val="-2"/>
        </w:rPr>
        <w:t>engagement:</w:t>
      </w:r>
    </w:p>
    <w:p w14:paraId="7FA153E2" w14:textId="77777777" w:rsidR="004C7180" w:rsidRPr="00150EDC" w:rsidRDefault="00CF0754" w:rsidP="00B320C7">
      <w:pPr>
        <w:pStyle w:val="ListParagraph"/>
        <w:numPr>
          <w:ilvl w:val="1"/>
          <w:numId w:val="82"/>
        </w:numPr>
        <w:tabs>
          <w:tab w:val="left" w:pos="2120"/>
        </w:tabs>
        <w:spacing w:before="116" w:line="276" w:lineRule="auto"/>
        <w:ind w:right="1432"/>
        <w:jc w:val="both"/>
        <w:rPr>
          <w:sz w:val="24"/>
        </w:rPr>
      </w:pPr>
      <w:r w:rsidRPr="007D3144">
        <w:rPr>
          <w:sz w:val="24"/>
        </w:rPr>
        <w:t>Identifying</w:t>
      </w:r>
      <w:r w:rsidRPr="007D3144">
        <w:rPr>
          <w:spacing w:val="-1"/>
          <w:sz w:val="24"/>
        </w:rPr>
        <w:t xml:space="preserve"> </w:t>
      </w:r>
      <w:r w:rsidRPr="007D3144">
        <w:rPr>
          <w:sz w:val="24"/>
        </w:rPr>
        <w:t>and</w:t>
      </w:r>
      <w:r w:rsidRPr="007D3144">
        <w:rPr>
          <w:spacing w:val="-1"/>
          <w:sz w:val="24"/>
        </w:rPr>
        <w:t xml:space="preserve"> </w:t>
      </w:r>
      <w:r w:rsidRPr="007D3144">
        <w:rPr>
          <w:sz w:val="24"/>
        </w:rPr>
        <w:t>prioritising stakeholders</w:t>
      </w:r>
      <w:r w:rsidRPr="007D3144">
        <w:rPr>
          <w:spacing w:val="-2"/>
          <w:sz w:val="24"/>
        </w:rPr>
        <w:t xml:space="preserve"> </w:t>
      </w:r>
      <w:r w:rsidRPr="007D3144">
        <w:rPr>
          <w:sz w:val="24"/>
        </w:rPr>
        <w:t>including local areas (GLA,</w:t>
      </w:r>
      <w:r w:rsidRPr="007D3144">
        <w:rPr>
          <w:spacing w:val="-2"/>
          <w:sz w:val="24"/>
        </w:rPr>
        <w:t xml:space="preserve"> </w:t>
      </w:r>
      <w:r w:rsidRPr="007D3144">
        <w:rPr>
          <w:sz w:val="24"/>
        </w:rPr>
        <w:t>MCAs and Unitary</w:t>
      </w:r>
      <w:r w:rsidRPr="007D3144">
        <w:rPr>
          <w:spacing w:val="-17"/>
          <w:sz w:val="24"/>
        </w:rPr>
        <w:t xml:space="preserve"> </w:t>
      </w:r>
      <w:r w:rsidRPr="007D3144">
        <w:rPr>
          <w:sz w:val="24"/>
        </w:rPr>
        <w:t>LAs),</w:t>
      </w:r>
      <w:r w:rsidRPr="007D3144">
        <w:rPr>
          <w:spacing w:val="-17"/>
          <w:sz w:val="24"/>
        </w:rPr>
        <w:t xml:space="preserve"> </w:t>
      </w:r>
      <w:r w:rsidRPr="007D3144">
        <w:rPr>
          <w:sz w:val="24"/>
        </w:rPr>
        <w:t>providers</w:t>
      </w:r>
      <w:r w:rsidRPr="007D3144">
        <w:rPr>
          <w:spacing w:val="-16"/>
          <w:sz w:val="24"/>
        </w:rPr>
        <w:t xml:space="preserve"> </w:t>
      </w:r>
      <w:r w:rsidRPr="007D3144">
        <w:rPr>
          <w:sz w:val="24"/>
        </w:rPr>
        <w:t>(i.e.</w:t>
      </w:r>
      <w:r w:rsidRPr="007D3144">
        <w:rPr>
          <w:spacing w:val="-17"/>
          <w:sz w:val="24"/>
        </w:rPr>
        <w:t xml:space="preserve"> </w:t>
      </w:r>
      <w:r w:rsidRPr="007D3144">
        <w:rPr>
          <w:sz w:val="24"/>
        </w:rPr>
        <w:t>adult/FE</w:t>
      </w:r>
      <w:r w:rsidRPr="007D3144">
        <w:rPr>
          <w:spacing w:val="-17"/>
          <w:sz w:val="24"/>
        </w:rPr>
        <w:t xml:space="preserve"> </w:t>
      </w:r>
      <w:r w:rsidRPr="007D3144">
        <w:rPr>
          <w:sz w:val="24"/>
        </w:rPr>
        <w:t>colleges),</w:t>
      </w:r>
      <w:r w:rsidRPr="007D3144">
        <w:rPr>
          <w:spacing w:val="-17"/>
          <w:sz w:val="24"/>
        </w:rPr>
        <w:t xml:space="preserve"> </w:t>
      </w:r>
      <w:r w:rsidRPr="007D3144">
        <w:rPr>
          <w:sz w:val="24"/>
        </w:rPr>
        <w:t>as</w:t>
      </w:r>
      <w:r w:rsidRPr="007D3144">
        <w:rPr>
          <w:spacing w:val="-16"/>
          <w:sz w:val="24"/>
        </w:rPr>
        <w:t xml:space="preserve"> </w:t>
      </w:r>
      <w:r w:rsidRPr="007D3144">
        <w:rPr>
          <w:sz w:val="24"/>
        </w:rPr>
        <w:t>well</w:t>
      </w:r>
      <w:r w:rsidRPr="007D3144">
        <w:rPr>
          <w:spacing w:val="-17"/>
          <w:sz w:val="24"/>
        </w:rPr>
        <w:t xml:space="preserve"> </w:t>
      </w:r>
      <w:r w:rsidRPr="007D3144">
        <w:rPr>
          <w:sz w:val="24"/>
        </w:rPr>
        <w:t>as</w:t>
      </w:r>
      <w:r w:rsidRPr="007D3144">
        <w:rPr>
          <w:spacing w:val="-17"/>
          <w:sz w:val="24"/>
        </w:rPr>
        <w:t xml:space="preserve"> </w:t>
      </w:r>
      <w:r w:rsidRPr="007D3144">
        <w:rPr>
          <w:sz w:val="24"/>
        </w:rPr>
        <w:t>the</w:t>
      </w:r>
      <w:r w:rsidRPr="007D3144">
        <w:rPr>
          <w:spacing w:val="-16"/>
          <w:sz w:val="24"/>
        </w:rPr>
        <w:t xml:space="preserve"> </w:t>
      </w:r>
      <w:r w:rsidRPr="007D3144">
        <w:rPr>
          <w:sz w:val="24"/>
        </w:rPr>
        <w:t>evaluator,</w:t>
      </w:r>
      <w:r w:rsidRPr="007D3144">
        <w:rPr>
          <w:spacing w:val="-17"/>
          <w:sz w:val="24"/>
        </w:rPr>
        <w:t xml:space="preserve"> </w:t>
      </w:r>
      <w:r w:rsidRPr="007D3144">
        <w:rPr>
          <w:sz w:val="24"/>
        </w:rPr>
        <w:t>product developers, and the DfE.</w:t>
      </w:r>
    </w:p>
    <w:p w14:paraId="6B1C0A9F" w14:textId="77777777" w:rsidR="004C7180" w:rsidRPr="00150EDC" w:rsidRDefault="00CF0754" w:rsidP="00B320C7">
      <w:pPr>
        <w:pStyle w:val="ListParagraph"/>
        <w:numPr>
          <w:ilvl w:val="1"/>
          <w:numId w:val="82"/>
        </w:numPr>
        <w:tabs>
          <w:tab w:val="left" w:pos="2120"/>
        </w:tabs>
        <w:spacing w:before="1" w:line="276" w:lineRule="auto"/>
        <w:ind w:right="1433"/>
        <w:jc w:val="both"/>
        <w:rPr>
          <w:sz w:val="24"/>
        </w:rPr>
      </w:pPr>
      <w:r w:rsidRPr="007D3144">
        <w:rPr>
          <w:sz w:val="24"/>
        </w:rPr>
        <w:t>Stakeholder analysis. Conducting thorough analysis of each stakeholder to understand</w:t>
      </w:r>
      <w:r w:rsidRPr="007D3144">
        <w:rPr>
          <w:spacing w:val="-3"/>
          <w:sz w:val="24"/>
        </w:rPr>
        <w:t xml:space="preserve"> </w:t>
      </w:r>
      <w:r w:rsidRPr="007D3144">
        <w:rPr>
          <w:sz w:val="24"/>
        </w:rPr>
        <w:t>needs,</w:t>
      </w:r>
      <w:r w:rsidRPr="007D3144">
        <w:rPr>
          <w:spacing w:val="-3"/>
          <w:sz w:val="24"/>
        </w:rPr>
        <w:t xml:space="preserve"> </w:t>
      </w:r>
      <w:r w:rsidRPr="007D3144">
        <w:rPr>
          <w:sz w:val="24"/>
        </w:rPr>
        <w:t>expectations,</w:t>
      </w:r>
      <w:r w:rsidRPr="007D3144">
        <w:rPr>
          <w:spacing w:val="-3"/>
          <w:sz w:val="24"/>
        </w:rPr>
        <w:t xml:space="preserve"> </w:t>
      </w:r>
      <w:r w:rsidRPr="007D3144">
        <w:rPr>
          <w:sz w:val="24"/>
        </w:rPr>
        <w:t>interests</w:t>
      </w:r>
      <w:r w:rsidRPr="007D3144">
        <w:rPr>
          <w:spacing w:val="-4"/>
          <w:sz w:val="24"/>
        </w:rPr>
        <w:t xml:space="preserve"> </w:t>
      </w:r>
      <w:r w:rsidRPr="007D3144">
        <w:rPr>
          <w:sz w:val="24"/>
        </w:rPr>
        <w:t>and</w:t>
      </w:r>
      <w:r w:rsidRPr="007D3144">
        <w:rPr>
          <w:spacing w:val="-3"/>
          <w:sz w:val="24"/>
        </w:rPr>
        <w:t xml:space="preserve"> </w:t>
      </w:r>
      <w:r w:rsidRPr="007D3144">
        <w:rPr>
          <w:sz w:val="24"/>
        </w:rPr>
        <w:t>involvement</w:t>
      </w:r>
      <w:r w:rsidRPr="007D3144">
        <w:rPr>
          <w:spacing w:val="-3"/>
          <w:sz w:val="24"/>
        </w:rPr>
        <w:t xml:space="preserve"> </w:t>
      </w:r>
      <w:r w:rsidRPr="007D3144">
        <w:rPr>
          <w:sz w:val="24"/>
        </w:rPr>
        <w:t>against</w:t>
      </w:r>
      <w:r w:rsidRPr="007D3144">
        <w:rPr>
          <w:spacing w:val="-6"/>
          <w:sz w:val="24"/>
        </w:rPr>
        <w:t xml:space="preserve"> </w:t>
      </w:r>
      <w:r w:rsidRPr="007D3144">
        <w:rPr>
          <w:sz w:val="24"/>
        </w:rPr>
        <w:t>the</w:t>
      </w:r>
      <w:r w:rsidRPr="007D3144">
        <w:rPr>
          <w:spacing w:val="-3"/>
          <w:sz w:val="24"/>
        </w:rPr>
        <w:t xml:space="preserve"> </w:t>
      </w:r>
      <w:r w:rsidRPr="007D3144">
        <w:rPr>
          <w:sz w:val="24"/>
        </w:rPr>
        <w:t>master programme/individual trial programme.</w:t>
      </w:r>
    </w:p>
    <w:p w14:paraId="2DD069FA" w14:textId="77777777" w:rsidR="004C7180" w:rsidRPr="00150EDC" w:rsidRDefault="00CF0754" w:rsidP="00B320C7">
      <w:pPr>
        <w:pStyle w:val="ListParagraph"/>
        <w:numPr>
          <w:ilvl w:val="1"/>
          <w:numId w:val="82"/>
        </w:numPr>
        <w:tabs>
          <w:tab w:val="left" w:pos="2120"/>
        </w:tabs>
        <w:spacing w:line="276" w:lineRule="auto"/>
        <w:ind w:right="1433"/>
        <w:jc w:val="both"/>
        <w:rPr>
          <w:sz w:val="24"/>
        </w:rPr>
      </w:pPr>
      <w:r w:rsidRPr="007D3144">
        <w:rPr>
          <w:sz w:val="24"/>
        </w:rPr>
        <w:t>Develop a stakeholder engagement plan building on DfE’s prior market engagement work and based on stakeholder analysis. This will include who they will engage, how/when they will be engaged, communications channels/formats, information exchange required. We will also leverage our existing networks, e.g. Association for Colleges and Education Training Foundation, to increase outreach.</w:t>
      </w:r>
    </w:p>
    <w:p w14:paraId="2F7E6B2C" w14:textId="77777777" w:rsidR="004C7180" w:rsidRPr="00150EDC" w:rsidRDefault="00CF0754">
      <w:pPr>
        <w:pStyle w:val="BodyText"/>
        <w:spacing w:line="276" w:lineRule="auto"/>
        <w:ind w:left="1400" w:right="1434"/>
        <w:jc w:val="both"/>
      </w:pPr>
      <w:r w:rsidRPr="007D3144">
        <w:t>Engagement will be tailored for the specific stakeholder, with approaches optimised based on feedback over the course of the trials.</w:t>
      </w:r>
    </w:p>
    <w:p w14:paraId="1FE2382D" w14:textId="77777777" w:rsidR="004C7180" w:rsidRPr="00150EDC" w:rsidRDefault="004C7180">
      <w:pPr>
        <w:pStyle w:val="BodyText"/>
        <w:rPr>
          <w:sz w:val="26"/>
        </w:rPr>
      </w:pPr>
    </w:p>
    <w:p w14:paraId="4491CADF" w14:textId="77777777" w:rsidR="004C7180" w:rsidRPr="00150EDC" w:rsidRDefault="004C7180">
      <w:pPr>
        <w:pStyle w:val="BodyText"/>
        <w:spacing w:before="7"/>
        <w:rPr>
          <w:sz w:val="21"/>
        </w:rPr>
      </w:pPr>
    </w:p>
    <w:p w14:paraId="2820B384" w14:textId="77777777" w:rsidR="004C7180" w:rsidRPr="00150EDC" w:rsidRDefault="00CF0754">
      <w:pPr>
        <w:ind w:left="1400"/>
        <w:jc w:val="both"/>
        <w:rPr>
          <w:b/>
          <w:sz w:val="24"/>
        </w:rPr>
      </w:pPr>
      <w:r w:rsidRPr="007D3144">
        <w:rPr>
          <w:b/>
          <w:sz w:val="24"/>
        </w:rPr>
        <w:t xml:space="preserve">Key </w:t>
      </w:r>
      <w:r w:rsidRPr="007D3144">
        <w:rPr>
          <w:b/>
          <w:spacing w:val="-2"/>
          <w:sz w:val="24"/>
        </w:rPr>
        <w:t>risks</w:t>
      </w:r>
    </w:p>
    <w:p w14:paraId="09939504" w14:textId="77777777" w:rsidR="004C7180" w:rsidRPr="00150EDC" w:rsidRDefault="00CF0754">
      <w:pPr>
        <w:pStyle w:val="BodyText"/>
        <w:spacing w:before="161" w:line="276" w:lineRule="auto"/>
        <w:ind w:left="1400" w:right="1433"/>
        <w:jc w:val="both"/>
      </w:pPr>
      <w:r w:rsidRPr="007D3144">
        <w:t>During mobilisation our Project Director will lead on identifying, assessing and responding to potential risks that could impact successful completion of the contract. Working in consultation with key stakeholders including the evaluation supplier, product development supplier, delivery partners and DfE through a series of risk management</w:t>
      </w:r>
      <w:r w:rsidRPr="007D3144">
        <w:rPr>
          <w:spacing w:val="-10"/>
        </w:rPr>
        <w:t xml:space="preserve"> </w:t>
      </w:r>
      <w:r w:rsidRPr="007D3144">
        <w:t>workshops,</w:t>
      </w:r>
      <w:r w:rsidRPr="007D3144">
        <w:rPr>
          <w:spacing w:val="-7"/>
        </w:rPr>
        <w:t xml:space="preserve"> </w:t>
      </w:r>
      <w:r w:rsidRPr="007D3144">
        <w:t>we</w:t>
      </w:r>
      <w:r w:rsidRPr="007D3144">
        <w:rPr>
          <w:spacing w:val="-9"/>
        </w:rPr>
        <w:t xml:space="preserve"> </w:t>
      </w:r>
      <w:r w:rsidRPr="007D3144">
        <w:t>will</w:t>
      </w:r>
      <w:r w:rsidRPr="007D3144">
        <w:rPr>
          <w:spacing w:val="-8"/>
        </w:rPr>
        <w:t xml:space="preserve"> </w:t>
      </w:r>
      <w:r w:rsidRPr="007D3144">
        <w:t>identify</w:t>
      </w:r>
      <w:r w:rsidRPr="007D3144">
        <w:rPr>
          <w:spacing w:val="-10"/>
        </w:rPr>
        <w:t xml:space="preserve"> </w:t>
      </w:r>
      <w:r w:rsidRPr="007D3144">
        <w:t>and</w:t>
      </w:r>
      <w:r w:rsidRPr="007D3144">
        <w:rPr>
          <w:spacing w:val="-9"/>
        </w:rPr>
        <w:t xml:space="preserve"> </w:t>
      </w:r>
      <w:r w:rsidRPr="007D3144">
        <w:t>co-develop</w:t>
      </w:r>
      <w:r w:rsidRPr="007D3144">
        <w:rPr>
          <w:spacing w:val="-9"/>
        </w:rPr>
        <w:t xml:space="preserve"> </w:t>
      </w:r>
      <w:r w:rsidRPr="007D3144">
        <w:t>a</w:t>
      </w:r>
      <w:r w:rsidRPr="007D3144">
        <w:rPr>
          <w:spacing w:val="-7"/>
        </w:rPr>
        <w:t xml:space="preserve"> </w:t>
      </w:r>
      <w:r w:rsidRPr="007D3144">
        <w:t>plan</w:t>
      </w:r>
      <w:r w:rsidRPr="007D3144">
        <w:rPr>
          <w:spacing w:val="-9"/>
        </w:rPr>
        <w:t xml:space="preserve"> </w:t>
      </w:r>
      <w:r w:rsidRPr="007D3144">
        <w:t>to</w:t>
      </w:r>
      <w:r w:rsidRPr="007D3144">
        <w:rPr>
          <w:spacing w:val="-9"/>
        </w:rPr>
        <w:t xml:space="preserve"> </w:t>
      </w:r>
      <w:r w:rsidRPr="007D3144">
        <w:t>mitigate/respond</w:t>
      </w:r>
      <w:r w:rsidRPr="007D3144">
        <w:rPr>
          <w:spacing w:val="-9"/>
        </w:rPr>
        <w:t xml:space="preserve"> </w:t>
      </w:r>
      <w:r w:rsidRPr="007D3144">
        <w:t>to each</w:t>
      </w:r>
      <w:r w:rsidRPr="007D3144">
        <w:rPr>
          <w:spacing w:val="-17"/>
        </w:rPr>
        <w:t xml:space="preserve"> </w:t>
      </w:r>
      <w:r w:rsidRPr="007D3144">
        <w:t>risk</w:t>
      </w:r>
      <w:r w:rsidRPr="007D3144">
        <w:rPr>
          <w:spacing w:val="-17"/>
        </w:rPr>
        <w:t xml:space="preserve"> </w:t>
      </w:r>
      <w:r w:rsidRPr="007D3144">
        <w:t>(avoidance,</w:t>
      </w:r>
      <w:r w:rsidRPr="007D3144">
        <w:rPr>
          <w:spacing w:val="-16"/>
        </w:rPr>
        <w:t xml:space="preserve"> </w:t>
      </w:r>
      <w:r w:rsidRPr="007D3144">
        <w:t>mitigation,</w:t>
      </w:r>
      <w:r w:rsidRPr="007D3144">
        <w:rPr>
          <w:spacing w:val="-17"/>
        </w:rPr>
        <w:t xml:space="preserve"> </w:t>
      </w:r>
      <w:r w:rsidRPr="007D3144">
        <w:t>transfer</w:t>
      </w:r>
      <w:r w:rsidRPr="007D3144">
        <w:rPr>
          <w:spacing w:val="-17"/>
        </w:rPr>
        <w:t xml:space="preserve"> </w:t>
      </w:r>
      <w:r w:rsidRPr="007D3144">
        <w:t>and</w:t>
      </w:r>
      <w:r w:rsidRPr="007D3144">
        <w:rPr>
          <w:spacing w:val="-17"/>
        </w:rPr>
        <w:t xml:space="preserve"> </w:t>
      </w:r>
      <w:r w:rsidRPr="007D3144">
        <w:t>acceptance).</w:t>
      </w:r>
      <w:r w:rsidRPr="007D3144">
        <w:rPr>
          <w:spacing w:val="-16"/>
        </w:rPr>
        <w:t xml:space="preserve"> </w:t>
      </w:r>
      <w:r w:rsidRPr="007D3144">
        <w:t>Based</w:t>
      </w:r>
      <w:r w:rsidRPr="007D3144">
        <w:rPr>
          <w:spacing w:val="-17"/>
        </w:rPr>
        <w:t xml:space="preserve"> </w:t>
      </w:r>
      <w:r w:rsidRPr="007D3144">
        <w:t>on</w:t>
      </w:r>
      <w:r w:rsidRPr="007D3144">
        <w:rPr>
          <w:spacing w:val="-15"/>
        </w:rPr>
        <w:t xml:space="preserve"> </w:t>
      </w:r>
      <w:r w:rsidRPr="007D3144">
        <w:t>our</w:t>
      </w:r>
      <w:r w:rsidRPr="007D3144">
        <w:rPr>
          <w:spacing w:val="-17"/>
        </w:rPr>
        <w:t xml:space="preserve"> </w:t>
      </w:r>
      <w:r w:rsidRPr="007D3144">
        <w:t>initial</w:t>
      </w:r>
      <w:r w:rsidRPr="007D3144">
        <w:rPr>
          <w:spacing w:val="-16"/>
        </w:rPr>
        <w:t xml:space="preserve"> </w:t>
      </w:r>
      <w:r w:rsidRPr="007D3144">
        <w:t>internal review of the specification and experience of delivering large-scale interventions, we have identified the following key risks:</w:t>
      </w:r>
    </w:p>
    <w:p w14:paraId="7DC8678E" w14:textId="77777777" w:rsidR="004C7180" w:rsidRPr="00150EDC" w:rsidRDefault="004C7180">
      <w:pPr>
        <w:pStyle w:val="BodyText"/>
        <w:rPr>
          <w:sz w:val="20"/>
        </w:rPr>
      </w:pPr>
    </w:p>
    <w:p w14:paraId="0C39C021" w14:textId="77777777" w:rsidR="004C7180" w:rsidRPr="00150EDC" w:rsidRDefault="004C7180">
      <w:pPr>
        <w:pStyle w:val="BodyText"/>
        <w:spacing w:before="5"/>
        <w:rPr>
          <w:sz w:val="29"/>
        </w:rPr>
      </w:pPr>
    </w:p>
    <w:tbl>
      <w:tblPr>
        <w:tblW w:w="0" w:type="auto"/>
        <w:tblInd w:w="1546" w:type="dxa"/>
        <w:tblLayout w:type="fixed"/>
        <w:tblCellMar>
          <w:left w:w="0" w:type="dxa"/>
          <w:right w:w="0" w:type="dxa"/>
        </w:tblCellMar>
        <w:tblLook w:val="01E0" w:firstRow="1" w:lastRow="1" w:firstColumn="1" w:lastColumn="1" w:noHBand="0" w:noVBand="0"/>
      </w:tblPr>
      <w:tblGrid>
        <w:gridCol w:w="2244"/>
        <w:gridCol w:w="2255"/>
        <w:gridCol w:w="2254"/>
        <w:gridCol w:w="2246"/>
      </w:tblGrid>
      <w:tr w:rsidR="004569EE" w:rsidRPr="007D3144" w14:paraId="3B1A2EBB" w14:textId="77777777" w:rsidTr="006F2372">
        <w:trPr>
          <w:trHeight w:val="671"/>
          <w:tblHeader/>
        </w:trPr>
        <w:tc>
          <w:tcPr>
            <w:tcW w:w="2244" w:type="dxa"/>
            <w:tcBorders>
              <w:bottom w:val="single" w:sz="8" w:space="0" w:color="FFFFFF"/>
            </w:tcBorders>
            <w:shd w:val="clear" w:color="auto" w:fill="4471C4"/>
          </w:tcPr>
          <w:p w14:paraId="1E8C6A1D" w14:textId="77777777" w:rsidR="004C7180" w:rsidRPr="00150EDC" w:rsidRDefault="00CF0754">
            <w:pPr>
              <w:pStyle w:val="TableParagraph"/>
              <w:spacing w:before="0" w:line="240" w:lineRule="auto"/>
              <w:ind w:left="98"/>
              <w:rPr>
                <w:b/>
                <w:sz w:val="24"/>
              </w:rPr>
            </w:pPr>
            <w:r w:rsidRPr="007D3144">
              <w:rPr>
                <w:b/>
                <w:spacing w:val="-4"/>
                <w:sz w:val="24"/>
              </w:rPr>
              <w:t>Risk</w:t>
            </w:r>
          </w:p>
        </w:tc>
        <w:tc>
          <w:tcPr>
            <w:tcW w:w="2255" w:type="dxa"/>
            <w:tcBorders>
              <w:bottom w:val="single" w:sz="8" w:space="0" w:color="FFFFFF"/>
            </w:tcBorders>
            <w:shd w:val="clear" w:color="auto" w:fill="4471C4"/>
          </w:tcPr>
          <w:p w14:paraId="0BCF8FE3" w14:textId="77777777" w:rsidR="004C7180" w:rsidRPr="00150EDC" w:rsidRDefault="00CF0754">
            <w:pPr>
              <w:pStyle w:val="TableParagraph"/>
              <w:spacing w:before="0" w:line="240" w:lineRule="auto"/>
              <w:ind w:left="108"/>
              <w:rPr>
                <w:b/>
                <w:sz w:val="24"/>
              </w:rPr>
            </w:pPr>
            <w:r w:rsidRPr="007D3144">
              <w:rPr>
                <w:b/>
                <w:sz w:val="24"/>
              </w:rPr>
              <w:t>Uncontrolled</w:t>
            </w:r>
            <w:r w:rsidRPr="007D3144">
              <w:rPr>
                <w:b/>
                <w:spacing w:val="27"/>
                <w:sz w:val="24"/>
              </w:rPr>
              <w:t xml:space="preserve"> </w:t>
            </w:r>
            <w:r w:rsidRPr="007D3144">
              <w:rPr>
                <w:b/>
                <w:sz w:val="24"/>
              </w:rPr>
              <w:t xml:space="preserve">risk </w:t>
            </w:r>
            <w:r w:rsidRPr="007D3144">
              <w:rPr>
                <w:b/>
                <w:spacing w:val="-2"/>
                <w:sz w:val="24"/>
              </w:rPr>
              <w:t>rating</w:t>
            </w:r>
          </w:p>
        </w:tc>
        <w:tc>
          <w:tcPr>
            <w:tcW w:w="2254" w:type="dxa"/>
            <w:tcBorders>
              <w:bottom w:val="single" w:sz="8" w:space="0" w:color="FFFFFF"/>
            </w:tcBorders>
            <w:shd w:val="clear" w:color="auto" w:fill="4471C4"/>
          </w:tcPr>
          <w:p w14:paraId="34CFB788" w14:textId="77777777" w:rsidR="004C7180" w:rsidRPr="00150EDC" w:rsidRDefault="00CF0754">
            <w:pPr>
              <w:pStyle w:val="TableParagraph"/>
              <w:spacing w:before="0" w:line="240" w:lineRule="auto"/>
              <w:ind w:left="106"/>
              <w:rPr>
                <w:b/>
                <w:sz w:val="24"/>
              </w:rPr>
            </w:pPr>
            <w:r w:rsidRPr="007D3144">
              <w:rPr>
                <w:b/>
                <w:sz w:val="24"/>
              </w:rPr>
              <w:t>Control</w:t>
            </w:r>
            <w:r w:rsidRPr="007D3144">
              <w:rPr>
                <w:b/>
                <w:spacing w:val="-7"/>
                <w:sz w:val="24"/>
              </w:rPr>
              <w:t xml:space="preserve"> </w:t>
            </w:r>
            <w:r w:rsidRPr="007D3144">
              <w:rPr>
                <w:b/>
                <w:spacing w:val="-2"/>
                <w:sz w:val="24"/>
              </w:rPr>
              <w:t>measures</w:t>
            </w:r>
          </w:p>
        </w:tc>
        <w:tc>
          <w:tcPr>
            <w:tcW w:w="2246" w:type="dxa"/>
            <w:tcBorders>
              <w:bottom w:val="single" w:sz="8" w:space="0" w:color="FFFFFF"/>
            </w:tcBorders>
            <w:shd w:val="clear" w:color="auto" w:fill="4471C4"/>
          </w:tcPr>
          <w:p w14:paraId="1FC09B80" w14:textId="77777777" w:rsidR="004C7180" w:rsidRPr="00150EDC" w:rsidRDefault="00CF0754">
            <w:pPr>
              <w:pStyle w:val="TableParagraph"/>
              <w:spacing w:before="0" w:line="240" w:lineRule="auto"/>
              <w:ind w:left="108"/>
              <w:rPr>
                <w:b/>
                <w:sz w:val="24"/>
              </w:rPr>
            </w:pPr>
            <w:r w:rsidRPr="007D3144">
              <w:rPr>
                <w:b/>
                <w:sz w:val="24"/>
              </w:rPr>
              <w:t>Risk</w:t>
            </w:r>
            <w:r w:rsidRPr="007D3144">
              <w:rPr>
                <w:b/>
                <w:spacing w:val="-2"/>
                <w:sz w:val="24"/>
              </w:rPr>
              <w:t xml:space="preserve"> rating</w:t>
            </w:r>
          </w:p>
        </w:tc>
      </w:tr>
      <w:tr w:rsidR="004569EE" w:rsidRPr="007D3144" w14:paraId="09FDEB98" w14:textId="77777777">
        <w:trPr>
          <w:trHeight w:val="1979"/>
        </w:trPr>
        <w:tc>
          <w:tcPr>
            <w:tcW w:w="2244" w:type="dxa"/>
            <w:tcBorders>
              <w:top w:val="single" w:sz="8" w:space="0" w:color="FFFFFF"/>
              <w:right w:val="single" w:sz="8" w:space="0" w:color="FFFFFF"/>
            </w:tcBorders>
            <w:shd w:val="clear" w:color="auto" w:fill="4471C4"/>
          </w:tcPr>
          <w:p w14:paraId="767F7C5E" w14:textId="77777777" w:rsidR="004C7180" w:rsidRPr="00150EDC" w:rsidRDefault="00CF0754">
            <w:pPr>
              <w:pStyle w:val="TableParagraph"/>
              <w:spacing w:before="0" w:line="240" w:lineRule="auto"/>
              <w:ind w:left="98" w:right="74"/>
              <w:rPr>
                <w:b/>
                <w:sz w:val="24"/>
              </w:rPr>
            </w:pPr>
            <w:r w:rsidRPr="007D3144">
              <w:rPr>
                <w:b/>
                <w:spacing w:val="-2"/>
                <w:sz w:val="24"/>
              </w:rPr>
              <w:t xml:space="preserve">Under- </w:t>
            </w:r>
            <w:r w:rsidRPr="007D3144">
              <w:rPr>
                <w:b/>
                <w:sz w:val="24"/>
              </w:rPr>
              <w:t xml:space="preserve">recruitment of providers – </w:t>
            </w:r>
            <w:r w:rsidRPr="007D3144">
              <w:rPr>
                <w:b/>
                <w:spacing w:val="-2"/>
                <w:sz w:val="24"/>
              </w:rPr>
              <w:t xml:space="preserve">undermining </w:t>
            </w:r>
            <w:r w:rsidRPr="007D3144">
              <w:rPr>
                <w:b/>
                <w:sz w:val="24"/>
              </w:rPr>
              <w:t>validity</w:t>
            </w:r>
            <w:r w:rsidRPr="007D3144">
              <w:rPr>
                <w:b/>
                <w:spacing w:val="-17"/>
                <w:sz w:val="24"/>
              </w:rPr>
              <w:t xml:space="preserve"> </w:t>
            </w:r>
            <w:r w:rsidRPr="007D3144">
              <w:rPr>
                <w:b/>
                <w:sz w:val="24"/>
              </w:rPr>
              <w:t>of</w:t>
            </w:r>
            <w:r w:rsidRPr="007D3144">
              <w:rPr>
                <w:b/>
                <w:spacing w:val="-17"/>
                <w:sz w:val="24"/>
              </w:rPr>
              <w:t xml:space="preserve"> </w:t>
            </w:r>
            <w:r w:rsidRPr="007D3144">
              <w:rPr>
                <w:b/>
                <w:sz w:val="24"/>
              </w:rPr>
              <w:t xml:space="preserve">trials, </w:t>
            </w:r>
            <w:r w:rsidRPr="007D3144">
              <w:rPr>
                <w:b/>
                <w:spacing w:val="-2"/>
                <w:sz w:val="24"/>
              </w:rPr>
              <w:t xml:space="preserve">reputational </w:t>
            </w:r>
            <w:r w:rsidRPr="007D3144">
              <w:rPr>
                <w:b/>
                <w:sz w:val="24"/>
              </w:rPr>
              <w:t>damage, and</w:t>
            </w:r>
          </w:p>
        </w:tc>
        <w:tc>
          <w:tcPr>
            <w:tcW w:w="2255" w:type="dxa"/>
            <w:tcBorders>
              <w:top w:val="single" w:sz="8" w:space="0" w:color="FFFFFF"/>
              <w:left w:val="single" w:sz="8" w:space="0" w:color="FFFFFF"/>
              <w:right w:val="single" w:sz="12" w:space="0" w:color="FFFFFF"/>
            </w:tcBorders>
            <w:shd w:val="clear" w:color="auto" w:fill="FF0000"/>
          </w:tcPr>
          <w:p w14:paraId="13D32A72" w14:textId="77777777" w:rsidR="004C7180" w:rsidRPr="00150EDC" w:rsidRDefault="00CF0754">
            <w:pPr>
              <w:pStyle w:val="TableParagraph"/>
              <w:spacing w:before="0" w:line="240" w:lineRule="auto"/>
              <w:ind w:left="98"/>
              <w:rPr>
                <w:sz w:val="24"/>
              </w:rPr>
            </w:pPr>
            <w:r w:rsidRPr="007D3144">
              <w:rPr>
                <w:spacing w:val="-4"/>
                <w:sz w:val="24"/>
              </w:rPr>
              <w:t>High</w:t>
            </w:r>
          </w:p>
        </w:tc>
        <w:tc>
          <w:tcPr>
            <w:tcW w:w="2254" w:type="dxa"/>
            <w:tcBorders>
              <w:top w:val="single" w:sz="8" w:space="0" w:color="FFFFFF"/>
              <w:left w:val="single" w:sz="12" w:space="0" w:color="FFFFFF"/>
              <w:right w:val="single" w:sz="12" w:space="0" w:color="FFFFFF"/>
            </w:tcBorders>
            <w:shd w:val="clear" w:color="auto" w:fill="B4C5E7"/>
          </w:tcPr>
          <w:p w14:paraId="27101A7A" w14:textId="77777777" w:rsidR="004C7180" w:rsidRPr="007D3144" w:rsidRDefault="00CF0754" w:rsidP="00B320C7">
            <w:pPr>
              <w:pStyle w:val="TableParagraph"/>
              <w:numPr>
                <w:ilvl w:val="0"/>
                <w:numId w:val="70"/>
              </w:numPr>
              <w:tabs>
                <w:tab w:val="left" w:pos="810"/>
              </w:tabs>
              <w:spacing w:before="0" w:line="240" w:lineRule="auto"/>
              <w:ind w:left="810" w:hanging="359"/>
              <w:rPr>
                <w:rFonts w:ascii="Wingdings" w:hAnsi="Wingdings"/>
                <w:sz w:val="24"/>
              </w:rPr>
            </w:pPr>
            <w:r w:rsidRPr="007D3144">
              <w:rPr>
                <w:spacing w:val="-2"/>
                <w:sz w:val="24"/>
              </w:rPr>
              <w:t>Using</w:t>
            </w:r>
          </w:p>
          <w:p w14:paraId="2FD4839A" w14:textId="77777777" w:rsidR="004C7180" w:rsidRPr="00150EDC" w:rsidRDefault="00CF0754">
            <w:pPr>
              <w:pStyle w:val="TableParagraph"/>
              <w:spacing w:before="0" w:line="240" w:lineRule="auto"/>
              <w:ind w:left="811" w:right="53"/>
              <w:rPr>
                <w:sz w:val="24"/>
              </w:rPr>
            </w:pPr>
            <w:r w:rsidRPr="007D3144">
              <w:rPr>
                <w:spacing w:val="-2"/>
                <w:sz w:val="24"/>
              </w:rPr>
              <w:t xml:space="preserve">existing connections </w:t>
            </w:r>
            <w:r w:rsidRPr="007D3144">
              <w:rPr>
                <w:spacing w:val="-4"/>
                <w:sz w:val="24"/>
              </w:rPr>
              <w:t xml:space="preserve">with </w:t>
            </w:r>
            <w:r w:rsidRPr="007D3144">
              <w:rPr>
                <w:spacing w:val="-2"/>
                <w:sz w:val="24"/>
              </w:rPr>
              <w:t>providers</w:t>
            </w:r>
          </w:p>
          <w:p w14:paraId="06C97727" w14:textId="77777777" w:rsidR="004C7180" w:rsidRPr="00150EDC" w:rsidRDefault="00CF0754" w:rsidP="00B320C7">
            <w:pPr>
              <w:pStyle w:val="TableParagraph"/>
              <w:numPr>
                <w:ilvl w:val="0"/>
                <w:numId w:val="70"/>
              </w:numPr>
              <w:tabs>
                <w:tab w:val="left" w:pos="811"/>
              </w:tabs>
              <w:spacing w:before="0" w:line="240" w:lineRule="auto"/>
              <w:ind w:right="407"/>
              <w:rPr>
                <w:rFonts w:ascii="Wingdings" w:hAnsi="Wingdings"/>
                <w:sz w:val="24"/>
              </w:rPr>
            </w:pPr>
            <w:r w:rsidRPr="007D3144">
              <w:rPr>
                <w:spacing w:val="-2"/>
                <w:sz w:val="24"/>
              </w:rPr>
              <w:t xml:space="preserve">Leverage </w:t>
            </w:r>
            <w:r w:rsidRPr="007D3144">
              <w:rPr>
                <w:sz w:val="24"/>
              </w:rPr>
              <w:t>reach by</w:t>
            </w:r>
          </w:p>
        </w:tc>
        <w:tc>
          <w:tcPr>
            <w:tcW w:w="2246" w:type="dxa"/>
            <w:tcBorders>
              <w:top w:val="single" w:sz="8" w:space="0" w:color="FFFFFF"/>
              <w:left w:val="single" w:sz="12" w:space="0" w:color="FFFFFF"/>
            </w:tcBorders>
            <w:shd w:val="clear" w:color="auto" w:fill="FFC000"/>
          </w:tcPr>
          <w:p w14:paraId="79ECBC3A" w14:textId="77777777" w:rsidR="004C7180" w:rsidRPr="00150EDC" w:rsidRDefault="00CF0754">
            <w:pPr>
              <w:pStyle w:val="TableParagraph"/>
              <w:spacing w:before="0" w:line="240" w:lineRule="auto"/>
              <w:ind w:left="93"/>
              <w:rPr>
                <w:sz w:val="24"/>
              </w:rPr>
            </w:pPr>
            <w:r w:rsidRPr="007D3144">
              <w:rPr>
                <w:spacing w:val="-2"/>
                <w:sz w:val="24"/>
              </w:rPr>
              <w:t>Medium</w:t>
            </w:r>
          </w:p>
        </w:tc>
      </w:tr>
    </w:tbl>
    <w:p w14:paraId="6D43D6B2" w14:textId="77777777" w:rsidR="004C7180" w:rsidRPr="00150EDC" w:rsidRDefault="004C7180">
      <w:pPr>
        <w:rPr>
          <w:sz w:val="24"/>
        </w:rPr>
        <w:sectPr w:rsidR="004C7180" w:rsidRPr="00150EDC">
          <w:pgSz w:w="11910" w:h="16840"/>
          <w:pgMar w:top="1460" w:right="0" w:bottom="1420" w:left="40" w:header="712" w:footer="1224" w:gutter="0"/>
          <w:cols w:space="720"/>
        </w:sectPr>
      </w:pPr>
    </w:p>
    <w:p w14:paraId="5E905882" w14:textId="77777777" w:rsidR="004C7180" w:rsidRPr="00150EDC" w:rsidRDefault="004C7180">
      <w:pPr>
        <w:pStyle w:val="BodyText"/>
        <w:rPr>
          <w:sz w:val="28"/>
        </w:rPr>
      </w:pPr>
    </w:p>
    <w:tbl>
      <w:tblPr>
        <w:tblW w:w="0" w:type="auto"/>
        <w:tblCellSpacing w:w="10" w:type="dxa"/>
        <w:tblInd w:w="1557" w:type="dxa"/>
        <w:tblLayout w:type="fixed"/>
        <w:tblCellMar>
          <w:left w:w="0" w:type="dxa"/>
          <w:right w:w="0" w:type="dxa"/>
        </w:tblCellMar>
        <w:tblLook w:val="01E0" w:firstRow="1" w:lastRow="1" w:firstColumn="1" w:lastColumn="1" w:noHBand="0" w:noVBand="0"/>
      </w:tblPr>
      <w:tblGrid>
        <w:gridCol w:w="2264"/>
        <w:gridCol w:w="2254"/>
        <w:gridCol w:w="2253"/>
        <w:gridCol w:w="2266"/>
      </w:tblGrid>
      <w:tr w:rsidR="004569EE" w:rsidRPr="007D3144" w14:paraId="720877E5" w14:textId="77777777">
        <w:trPr>
          <w:trHeight w:val="1979"/>
          <w:tblCellSpacing w:w="10" w:type="dxa"/>
        </w:trPr>
        <w:tc>
          <w:tcPr>
            <w:tcW w:w="2234" w:type="dxa"/>
            <w:tcBorders>
              <w:top w:val="nil"/>
              <w:left w:val="nil"/>
            </w:tcBorders>
            <w:shd w:val="clear" w:color="auto" w:fill="4471C4"/>
          </w:tcPr>
          <w:p w14:paraId="62A05827" w14:textId="77777777" w:rsidR="004C7180" w:rsidRPr="00150EDC" w:rsidRDefault="00CF0754">
            <w:pPr>
              <w:pStyle w:val="TableParagraph"/>
              <w:spacing w:before="0" w:line="240" w:lineRule="auto"/>
              <w:ind w:left="98" w:right="73"/>
              <w:rPr>
                <w:b/>
                <w:sz w:val="24"/>
              </w:rPr>
            </w:pPr>
            <w:r w:rsidRPr="007D3144">
              <w:rPr>
                <w:b/>
                <w:sz w:val="24"/>
              </w:rPr>
              <w:t>failure</w:t>
            </w:r>
            <w:r w:rsidRPr="007D3144">
              <w:rPr>
                <w:b/>
                <w:spacing w:val="-17"/>
                <w:sz w:val="24"/>
              </w:rPr>
              <w:t xml:space="preserve"> </w:t>
            </w:r>
            <w:r w:rsidRPr="007D3144">
              <w:rPr>
                <w:b/>
                <w:sz w:val="24"/>
              </w:rPr>
              <w:t>to</w:t>
            </w:r>
            <w:r w:rsidRPr="007D3144">
              <w:rPr>
                <w:b/>
                <w:spacing w:val="-17"/>
                <w:sz w:val="24"/>
              </w:rPr>
              <w:t xml:space="preserve"> </w:t>
            </w:r>
            <w:r w:rsidRPr="007D3144">
              <w:rPr>
                <w:b/>
                <w:sz w:val="24"/>
              </w:rPr>
              <w:t xml:space="preserve">meet </w:t>
            </w:r>
            <w:r w:rsidRPr="007D3144">
              <w:rPr>
                <w:b/>
                <w:spacing w:val="-2"/>
                <w:sz w:val="24"/>
              </w:rPr>
              <w:t>contractual requirements</w:t>
            </w:r>
          </w:p>
        </w:tc>
        <w:tc>
          <w:tcPr>
            <w:tcW w:w="2234" w:type="dxa"/>
            <w:tcBorders>
              <w:top w:val="nil"/>
              <w:right w:val="nil"/>
            </w:tcBorders>
            <w:shd w:val="clear" w:color="auto" w:fill="FF0000"/>
          </w:tcPr>
          <w:p w14:paraId="3C62C3B5" w14:textId="77777777" w:rsidR="004C7180" w:rsidRPr="00150EDC" w:rsidRDefault="004C7180">
            <w:pPr>
              <w:pStyle w:val="TableParagraph"/>
              <w:spacing w:before="0" w:line="240" w:lineRule="auto"/>
              <w:ind w:left="0"/>
              <w:rPr>
                <w:rFonts w:ascii="Times New Roman"/>
              </w:rPr>
            </w:pPr>
          </w:p>
        </w:tc>
        <w:tc>
          <w:tcPr>
            <w:tcW w:w="2233" w:type="dxa"/>
            <w:tcBorders>
              <w:top w:val="nil"/>
              <w:left w:val="nil"/>
              <w:right w:val="nil"/>
            </w:tcBorders>
            <w:shd w:val="clear" w:color="auto" w:fill="B4C5E7"/>
          </w:tcPr>
          <w:p w14:paraId="33FAD40A" w14:textId="77777777" w:rsidR="004C7180" w:rsidRPr="00150EDC" w:rsidRDefault="00CF0754">
            <w:pPr>
              <w:pStyle w:val="TableParagraph"/>
              <w:spacing w:before="0" w:line="240" w:lineRule="auto"/>
              <w:ind w:left="816" w:right="158"/>
              <w:rPr>
                <w:sz w:val="24"/>
              </w:rPr>
            </w:pPr>
            <w:r w:rsidRPr="007D3144">
              <w:rPr>
                <w:spacing w:val="-2"/>
                <w:sz w:val="24"/>
              </w:rPr>
              <w:t xml:space="preserve">promoting opportunity through </w:t>
            </w:r>
            <w:r w:rsidRPr="007D3144">
              <w:rPr>
                <w:sz w:val="24"/>
              </w:rPr>
              <w:t>third</w:t>
            </w:r>
            <w:r w:rsidRPr="007D3144">
              <w:rPr>
                <w:spacing w:val="-17"/>
                <w:sz w:val="24"/>
              </w:rPr>
              <w:t xml:space="preserve"> </w:t>
            </w:r>
            <w:r w:rsidRPr="007D3144">
              <w:rPr>
                <w:sz w:val="24"/>
              </w:rPr>
              <w:t>parties</w:t>
            </w:r>
          </w:p>
          <w:p w14:paraId="38A562F1" w14:textId="77777777" w:rsidR="004C7180" w:rsidRPr="00150EDC" w:rsidRDefault="00CF0754">
            <w:pPr>
              <w:pStyle w:val="TableParagraph"/>
              <w:spacing w:before="0" w:line="240" w:lineRule="auto"/>
              <w:ind w:left="816"/>
              <w:rPr>
                <w:sz w:val="24"/>
              </w:rPr>
            </w:pPr>
            <w:r w:rsidRPr="00150EDC">
              <w:rPr>
                <w:sz w:val="24"/>
              </w:rPr>
              <w:t>e.g.</w:t>
            </w:r>
            <w:r w:rsidRPr="00150EDC">
              <w:rPr>
                <w:spacing w:val="1"/>
                <w:sz w:val="24"/>
              </w:rPr>
              <w:t xml:space="preserve"> </w:t>
            </w:r>
            <w:r w:rsidRPr="00150EDC">
              <w:rPr>
                <w:spacing w:val="-4"/>
                <w:sz w:val="24"/>
              </w:rPr>
              <w:t>NCTL</w:t>
            </w:r>
          </w:p>
        </w:tc>
        <w:tc>
          <w:tcPr>
            <w:tcW w:w="2236" w:type="dxa"/>
            <w:tcBorders>
              <w:top w:val="nil"/>
              <w:left w:val="nil"/>
              <w:right w:val="nil"/>
            </w:tcBorders>
            <w:shd w:val="clear" w:color="auto" w:fill="FFC000"/>
          </w:tcPr>
          <w:p w14:paraId="3BD19330" w14:textId="77777777" w:rsidR="004C7180" w:rsidRPr="00150EDC" w:rsidRDefault="004C7180">
            <w:pPr>
              <w:pStyle w:val="TableParagraph"/>
              <w:spacing w:before="0" w:line="240" w:lineRule="auto"/>
              <w:ind w:left="0"/>
              <w:rPr>
                <w:rFonts w:ascii="Times New Roman"/>
              </w:rPr>
            </w:pPr>
          </w:p>
        </w:tc>
      </w:tr>
      <w:tr w:rsidR="004569EE" w:rsidRPr="007D3144" w14:paraId="2C2D8BE2" w14:textId="77777777">
        <w:trPr>
          <w:trHeight w:val="8279"/>
          <w:tblCellSpacing w:w="10" w:type="dxa"/>
        </w:trPr>
        <w:tc>
          <w:tcPr>
            <w:tcW w:w="2234" w:type="dxa"/>
            <w:tcBorders>
              <w:left w:val="nil"/>
            </w:tcBorders>
            <w:shd w:val="clear" w:color="auto" w:fill="4471C4"/>
          </w:tcPr>
          <w:p w14:paraId="49EC75C4" w14:textId="77777777" w:rsidR="004C7180" w:rsidRPr="00150EDC" w:rsidRDefault="00CF0754">
            <w:pPr>
              <w:pStyle w:val="TableParagraph"/>
              <w:spacing w:before="0" w:line="240" w:lineRule="auto"/>
              <w:ind w:left="98" w:right="73"/>
              <w:rPr>
                <w:b/>
                <w:sz w:val="24"/>
              </w:rPr>
            </w:pPr>
            <w:r w:rsidRPr="007D3144">
              <w:rPr>
                <w:b/>
                <w:spacing w:val="-2"/>
                <w:sz w:val="24"/>
              </w:rPr>
              <w:t xml:space="preserve">Under- </w:t>
            </w:r>
            <w:r w:rsidRPr="007D3144">
              <w:rPr>
                <w:b/>
                <w:sz w:val="24"/>
              </w:rPr>
              <w:t xml:space="preserve">recruitment of learners by providers – </w:t>
            </w:r>
            <w:r w:rsidRPr="007D3144">
              <w:rPr>
                <w:b/>
                <w:spacing w:val="-2"/>
                <w:sz w:val="24"/>
              </w:rPr>
              <w:t xml:space="preserve">undermining </w:t>
            </w:r>
            <w:r w:rsidRPr="007D3144">
              <w:rPr>
                <w:b/>
                <w:sz w:val="24"/>
              </w:rPr>
              <w:t>validity</w:t>
            </w:r>
            <w:r w:rsidRPr="007D3144">
              <w:rPr>
                <w:b/>
                <w:spacing w:val="-17"/>
                <w:sz w:val="24"/>
              </w:rPr>
              <w:t xml:space="preserve"> </w:t>
            </w:r>
            <w:r w:rsidRPr="007D3144">
              <w:rPr>
                <w:b/>
                <w:sz w:val="24"/>
              </w:rPr>
              <w:t>of</w:t>
            </w:r>
            <w:r w:rsidRPr="007D3144">
              <w:rPr>
                <w:b/>
                <w:spacing w:val="-17"/>
                <w:sz w:val="24"/>
              </w:rPr>
              <w:t xml:space="preserve"> </w:t>
            </w:r>
            <w:r w:rsidRPr="007D3144">
              <w:rPr>
                <w:b/>
                <w:sz w:val="24"/>
              </w:rPr>
              <w:t>trials</w:t>
            </w:r>
          </w:p>
        </w:tc>
        <w:tc>
          <w:tcPr>
            <w:tcW w:w="2234" w:type="dxa"/>
            <w:tcBorders>
              <w:right w:val="nil"/>
            </w:tcBorders>
            <w:shd w:val="clear" w:color="auto" w:fill="FF0000"/>
          </w:tcPr>
          <w:p w14:paraId="0F6EB77F" w14:textId="77777777" w:rsidR="004C7180" w:rsidRPr="00150EDC" w:rsidRDefault="00CF0754">
            <w:pPr>
              <w:pStyle w:val="TableParagraph"/>
              <w:spacing w:before="0" w:line="240" w:lineRule="auto"/>
              <w:ind w:left="97"/>
              <w:rPr>
                <w:sz w:val="24"/>
              </w:rPr>
            </w:pPr>
            <w:r w:rsidRPr="007D3144">
              <w:rPr>
                <w:spacing w:val="-4"/>
                <w:sz w:val="24"/>
              </w:rPr>
              <w:t>High</w:t>
            </w:r>
          </w:p>
        </w:tc>
        <w:tc>
          <w:tcPr>
            <w:tcW w:w="2233" w:type="dxa"/>
            <w:tcBorders>
              <w:left w:val="nil"/>
              <w:right w:val="nil"/>
            </w:tcBorders>
            <w:shd w:val="clear" w:color="auto" w:fill="D9E1F3"/>
          </w:tcPr>
          <w:p w14:paraId="25824E11" w14:textId="77777777" w:rsidR="004C7180" w:rsidRPr="00150EDC" w:rsidRDefault="00CF0754" w:rsidP="00B320C7">
            <w:pPr>
              <w:pStyle w:val="TableParagraph"/>
              <w:numPr>
                <w:ilvl w:val="0"/>
                <w:numId w:val="69"/>
              </w:numPr>
              <w:tabs>
                <w:tab w:val="left" w:pos="816"/>
              </w:tabs>
              <w:spacing w:before="0" w:line="240" w:lineRule="auto"/>
              <w:ind w:right="211"/>
              <w:rPr>
                <w:sz w:val="24"/>
              </w:rPr>
            </w:pPr>
            <w:r w:rsidRPr="007D3144">
              <w:rPr>
                <w:spacing w:val="-2"/>
                <w:sz w:val="24"/>
              </w:rPr>
              <w:t xml:space="preserve">Contract terms incentivise </w:t>
            </w:r>
            <w:r w:rsidRPr="007D3144">
              <w:rPr>
                <w:spacing w:val="-4"/>
                <w:sz w:val="24"/>
              </w:rPr>
              <w:t xml:space="preserve">full </w:t>
            </w:r>
            <w:r w:rsidRPr="007D3144">
              <w:rPr>
                <w:spacing w:val="-2"/>
                <w:sz w:val="24"/>
              </w:rPr>
              <w:t>recruitment</w:t>
            </w:r>
          </w:p>
          <w:p w14:paraId="12F9AE3B" w14:textId="77777777" w:rsidR="004C7180" w:rsidRPr="00150EDC" w:rsidRDefault="00CF0754" w:rsidP="00B320C7">
            <w:pPr>
              <w:pStyle w:val="TableParagraph"/>
              <w:numPr>
                <w:ilvl w:val="0"/>
                <w:numId w:val="69"/>
              </w:numPr>
              <w:tabs>
                <w:tab w:val="left" w:pos="815"/>
              </w:tabs>
              <w:spacing w:before="0" w:line="240" w:lineRule="auto"/>
              <w:ind w:left="815" w:hanging="359"/>
              <w:rPr>
                <w:sz w:val="24"/>
              </w:rPr>
            </w:pPr>
            <w:r w:rsidRPr="007D3144">
              <w:rPr>
                <w:spacing w:val="-2"/>
                <w:sz w:val="24"/>
              </w:rPr>
              <w:t>Using</w:t>
            </w:r>
          </w:p>
          <w:p w14:paraId="0F9DCEED" w14:textId="77777777" w:rsidR="004C7180" w:rsidRPr="00150EDC" w:rsidRDefault="00CF0754">
            <w:pPr>
              <w:pStyle w:val="TableParagraph"/>
              <w:spacing w:before="0" w:line="240" w:lineRule="auto"/>
              <w:ind w:left="816" w:right="158"/>
              <w:rPr>
                <w:sz w:val="24"/>
              </w:rPr>
            </w:pPr>
            <w:r w:rsidRPr="007D3144">
              <w:rPr>
                <w:spacing w:val="-2"/>
                <w:sz w:val="24"/>
              </w:rPr>
              <w:t>proven recruitment strategies</w:t>
            </w:r>
          </w:p>
          <w:p w14:paraId="34180422" w14:textId="77777777" w:rsidR="004C7180" w:rsidRPr="00150EDC" w:rsidRDefault="00CF0754" w:rsidP="00B320C7">
            <w:pPr>
              <w:pStyle w:val="TableParagraph"/>
              <w:numPr>
                <w:ilvl w:val="0"/>
                <w:numId w:val="69"/>
              </w:numPr>
              <w:tabs>
                <w:tab w:val="left" w:pos="816"/>
              </w:tabs>
              <w:spacing w:before="0" w:line="240" w:lineRule="auto"/>
              <w:ind w:right="186"/>
              <w:rPr>
                <w:sz w:val="24"/>
              </w:rPr>
            </w:pPr>
            <w:r w:rsidRPr="007D3144">
              <w:rPr>
                <w:sz w:val="24"/>
              </w:rPr>
              <w:t xml:space="preserve">Work with </w:t>
            </w:r>
            <w:r w:rsidRPr="007D3144">
              <w:rPr>
                <w:spacing w:val="-2"/>
                <w:sz w:val="24"/>
              </w:rPr>
              <w:t xml:space="preserve">providers </w:t>
            </w:r>
            <w:r w:rsidRPr="007D3144">
              <w:rPr>
                <w:sz w:val="24"/>
              </w:rPr>
              <w:t xml:space="preserve">on multiple trials to </w:t>
            </w:r>
            <w:r w:rsidRPr="007D3144">
              <w:rPr>
                <w:spacing w:val="-2"/>
                <w:sz w:val="24"/>
              </w:rPr>
              <w:t xml:space="preserve">strengthen relationship </w:t>
            </w:r>
            <w:r w:rsidRPr="007D3144">
              <w:rPr>
                <w:sz w:val="24"/>
              </w:rPr>
              <w:t xml:space="preserve">s, increase volume of </w:t>
            </w:r>
            <w:r w:rsidRPr="007D3144">
              <w:rPr>
                <w:spacing w:val="-4"/>
                <w:sz w:val="24"/>
              </w:rPr>
              <w:t>work</w:t>
            </w:r>
          </w:p>
          <w:p w14:paraId="1863625F" w14:textId="77777777" w:rsidR="004C7180" w:rsidRPr="00150EDC" w:rsidRDefault="00CF0754" w:rsidP="00B320C7">
            <w:pPr>
              <w:pStyle w:val="TableParagraph"/>
              <w:numPr>
                <w:ilvl w:val="0"/>
                <w:numId w:val="69"/>
              </w:numPr>
              <w:tabs>
                <w:tab w:val="left" w:pos="815"/>
              </w:tabs>
              <w:spacing w:before="0" w:line="240" w:lineRule="auto"/>
              <w:ind w:left="815" w:hanging="359"/>
              <w:rPr>
                <w:sz w:val="24"/>
              </w:rPr>
            </w:pPr>
            <w:r w:rsidRPr="007D3144">
              <w:rPr>
                <w:spacing w:val="-2"/>
                <w:sz w:val="24"/>
              </w:rPr>
              <w:t>Stress-</w:t>
            </w:r>
          </w:p>
          <w:p w14:paraId="37C19E12" w14:textId="77777777" w:rsidR="004C7180" w:rsidRPr="00150EDC" w:rsidRDefault="00CF0754">
            <w:pPr>
              <w:pStyle w:val="TableParagraph"/>
              <w:spacing w:before="0" w:line="240" w:lineRule="auto"/>
              <w:ind w:left="816" w:right="186"/>
              <w:rPr>
                <w:sz w:val="24"/>
              </w:rPr>
            </w:pPr>
            <w:r w:rsidRPr="007D3144">
              <w:rPr>
                <w:spacing w:val="-2"/>
                <w:sz w:val="24"/>
              </w:rPr>
              <w:t xml:space="preserve">testing learner drop-out assumption </w:t>
            </w:r>
            <w:r w:rsidRPr="007D3144">
              <w:rPr>
                <w:sz w:val="24"/>
              </w:rPr>
              <w:t>s pre-trial</w:t>
            </w:r>
          </w:p>
          <w:p w14:paraId="19D9DDED" w14:textId="77777777" w:rsidR="004C7180" w:rsidRPr="00150EDC" w:rsidRDefault="00CF0754" w:rsidP="00B320C7">
            <w:pPr>
              <w:pStyle w:val="TableParagraph"/>
              <w:numPr>
                <w:ilvl w:val="0"/>
                <w:numId w:val="69"/>
              </w:numPr>
              <w:tabs>
                <w:tab w:val="left" w:pos="816"/>
              </w:tabs>
              <w:spacing w:before="0" w:line="270" w:lineRule="atLeast"/>
              <w:ind w:right="250"/>
              <w:rPr>
                <w:sz w:val="24"/>
              </w:rPr>
            </w:pPr>
            <w:r w:rsidRPr="007D3144">
              <w:rPr>
                <w:spacing w:val="-2"/>
                <w:sz w:val="24"/>
              </w:rPr>
              <w:t xml:space="preserve">Implement national awareness campaign </w:t>
            </w:r>
            <w:r w:rsidRPr="007D3144">
              <w:rPr>
                <w:sz w:val="24"/>
              </w:rPr>
              <w:t xml:space="preserve">on social </w:t>
            </w:r>
            <w:r w:rsidRPr="007D3144">
              <w:rPr>
                <w:spacing w:val="-2"/>
                <w:sz w:val="24"/>
              </w:rPr>
              <w:t>media</w:t>
            </w:r>
          </w:p>
        </w:tc>
        <w:tc>
          <w:tcPr>
            <w:tcW w:w="2236" w:type="dxa"/>
            <w:tcBorders>
              <w:left w:val="nil"/>
              <w:right w:val="nil"/>
            </w:tcBorders>
            <w:shd w:val="clear" w:color="auto" w:fill="FFC000"/>
          </w:tcPr>
          <w:p w14:paraId="56238837" w14:textId="77777777" w:rsidR="004C7180" w:rsidRPr="00150EDC" w:rsidRDefault="00CF0754">
            <w:pPr>
              <w:pStyle w:val="TableParagraph"/>
              <w:spacing w:before="0" w:line="240" w:lineRule="auto"/>
              <w:ind w:left="98"/>
              <w:rPr>
                <w:sz w:val="24"/>
              </w:rPr>
            </w:pPr>
            <w:r w:rsidRPr="007D3144">
              <w:rPr>
                <w:spacing w:val="-2"/>
                <w:sz w:val="24"/>
              </w:rPr>
              <w:t>Medium</w:t>
            </w:r>
          </w:p>
        </w:tc>
      </w:tr>
      <w:tr w:rsidR="004569EE" w:rsidRPr="007D3144" w14:paraId="47458874" w14:textId="77777777">
        <w:trPr>
          <w:trHeight w:val="2207"/>
          <w:tblCellSpacing w:w="10" w:type="dxa"/>
        </w:trPr>
        <w:tc>
          <w:tcPr>
            <w:tcW w:w="2234" w:type="dxa"/>
            <w:tcBorders>
              <w:left w:val="nil"/>
              <w:bottom w:val="nil"/>
            </w:tcBorders>
            <w:shd w:val="clear" w:color="auto" w:fill="4471C4"/>
          </w:tcPr>
          <w:p w14:paraId="6A5C3823" w14:textId="77777777" w:rsidR="004C7180" w:rsidRPr="00150EDC" w:rsidRDefault="00CF0754">
            <w:pPr>
              <w:pStyle w:val="TableParagraph"/>
              <w:spacing w:before="0" w:line="240" w:lineRule="auto"/>
              <w:ind w:left="98" w:right="73"/>
              <w:rPr>
                <w:b/>
                <w:sz w:val="24"/>
              </w:rPr>
            </w:pPr>
            <w:r w:rsidRPr="007D3144">
              <w:rPr>
                <w:b/>
                <w:sz w:val="24"/>
              </w:rPr>
              <w:t>Failure</w:t>
            </w:r>
            <w:r w:rsidRPr="007D3144">
              <w:rPr>
                <w:b/>
                <w:spacing w:val="-17"/>
                <w:sz w:val="24"/>
              </w:rPr>
              <w:t xml:space="preserve"> </w:t>
            </w:r>
            <w:r w:rsidRPr="007D3144">
              <w:rPr>
                <w:b/>
                <w:sz w:val="24"/>
              </w:rPr>
              <w:t>to</w:t>
            </w:r>
            <w:r w:rsidRPr="007D3144">
              <w:rPr>
                <w:b/>
                <w:spacing w:val="-17"/>
                <w:sz w:val="24"/>
              </w:rPr>
              <w:t xml:space="preserve"> </w:t>
            </w:r>
            <w:r w:rsidRPr="007D3144">
              <w:rPr>
                <w:b/>
                <w:sz w:val="24"/>
              </w:rPr>
              <w:t xml:space="preserve">prepare </w:t>
            </w:r>
            <w:r w:rsidRPr="007D3144">
              <w:rPr>
                <w:b/>
                <w:spacing w:val="-2"/>
                <w:sz w:val="24"/>
              </w:rPr>
              <w:t xml:space="preserve">providers </w:t>
            </w:r>
            <w:r w:rsidRPr="007D3144">
              <w:rPr>
                <w:b/>
                <w:sz w:val="24"/>
              </w:rPr>
              <w:t>adequately for each trial – making trials null</w:t>
            </w:r>
          </w:p>
        </w:tc>
        <w:tc>
          <w:tcPr>
            <w:tcW w:w="2234" w:type="dxa"/>
            <w:tcBorders>
              <w:bottom w:val="nil"/>
              <w:right w:val="nil"/>
            </w:tcBorders>
            <w:shd w:val="clear" w:color="auto" w:fill="FFC000"/>
          </w:tcPr>
          <w:p w14:paraId="6EE28B27" w14:textId="77777777" w:rsidR="004C7180" w:rsidRPr="00150EDC" w:rsidRDefault="00CF0754">
            <w:pPr>
              <w:pStyle w:val="TableParagraph"/>
              <w:spacing w:before="0" w:line="240" w:lineRule="auto"/>
              <w:ind w:left="97"/>
              <w:rPr>
                <w:sz w:val="24"/>
              </w:rPr>
            </w:pPr>
            <w:r w:rsidRPr="007D3144">
              <w:rPr>
                <w:spacing w:val="-2"/>
                <w:sz w:val="24"/>
              </w:rPr>
              <w:t>Medium</w:t>
            </w:r>
          </w:p>
        </w:tc>
        <w:tc>
          <w:tcPr>
            <w:tcW w:w="2233" w:type="dxa"/>
            <w:tcBorders>
              <w:left w:val="nil"/>
              <w:bottom w:val="nil"/>
              <w:right w:val="nil"/>
            </w:tcBorders>
            <w:shd w:val="clear" w:color="auto" w:fill="B4C5E7"/>
          </w:tcPr>
          <w:p w14:paraId="04013B5A" w14:textId="77777777" w:rsidR="004C7180" w:rsidRPr="00150EDC" w:rsidRDefault="00CF0754" w:rsidP="00B320C7">
            <w:pPr>
              <w:pStyle w:val="TableParagraph"/>
              <w:numPr>
                <w:ilvl w:val="0"/>
                <w:numId w:val="68"/>
              </w:numPr>
              <w:tabs>
                <w:tab w:val="left" w:pos="815"/>
              </w:tabs>
              <w:spacing w:before="0" w:line="240" w:lineRule="auto"/>
              <w:ind w:left="815" w:hanging="359"/>
              <w:rPr>
                <w:sz w:val="24"/>
              </w:rPr>
            </w:pPr>
            <w:r w:rsidRPr="007D3144">
              <w:rPr>
                <w:spacing w:val="-2"/>
                <w:sz w:val="24"/>
              </w:rPr>
              <w:t>Assess</w:t>
            </w:r>
          </w:p>
          <w:p w14:paraId="3E4E99A0" w14:textId="77777777" w:rsidR="004C7180" w:rsidRPr="00150EDC" w:rsidRDefault="00CF0754">
            <w:pPr>
              <w:pStyle w:val="TableParagraph"/>
              <w:spacing w:before="0" w:line="240" w:lineRule="auto"/>
              <w:ind w:left="816" w:right="143"/>
              <w:rPr>
                <w:sz w:val="24"/>
              </w:rPr>
            </w:pPr>
            <w:r w:rsidRPr="007D3144">
              <w:rPr>
                <w:spacing w:val="-2"/>
                <w:sz w:val="24"/>
              </w:rPr>
              <w:t xml:space="preserve">previous </w:t>
            </w:r>
            <w:r w:rsidRPr="007D3144">
              <w:rPr>
                <w:sz w:val="24"/>
              </w:rPr>
              <w:t>track</w:t>
            </w:r>
            <w:r w:rsidRPr="007D3144">
              <w:rPr>
                <w:spacing w:val="-1"/>
                <w:sz w:val="24"/>
              </w:rPr>
              <w:t xml:space="preserve"> </w:t>
            </w:r>
            <w:r w:rsidRPr="007D3144">
              <w:rPr>
                <w:spacing w:val="-2"/>
                <w:sz w:val="24"/>
              </w:rPr>
              <w:t>record</w:t>
            </w:r>
          </w:p>
          <w:p w14:paraId="68687639" w14:textId="77777777" w:rsidR="004C7180" w:rsidRPr="00150EDC" w:rsidRDefault="00CF0754" w:rsidP="00B320C7">
            <w:pPr>
              <w:pStyle w:val="TableParagraph"/>
              <w:numPr>
                <w:ilvl w:val="0"/>
                <w:numId w:val="68"/>
              </w:numPr>
              <w:tabs>
                <w:tab w:val="left" w:pos="816"/>
              </w:tabs>
              <w:spacing w:before="0" w:line="270" w:lineRule="atLeast"/>
              <w:ind w:right="157"/>
              <w:rPr>
                <w:sz w:val="24"/>
              </w:rPr>
            </w:pPr>
            <w:r w:rsidRPr="007D3144">
              <w:rPr>
                <w:spacing w:val="-2"/>
                <w:sz w:val="24"/>
              </w:rPr>
              <w:t xml:space="preserve">Comprehen </w:t>
            </w:r>
            <w:r w:rsidRPr="007D3144">
              <w:rPr>
                <w:spacing w:val="-4"/>
                <w:sz w:val="24"/>
              </w:rPr>
              <w:t xml:space="preserve">sive </w:t>
            </w:r>
            <w:r w:rsidRPr="007D3144">
              <w:rPr>
                <w:spacing w:val="-2"/>
                <w:sz w:val="24"/>
              </w:rPr>
              <w:t xml:space="preserve">briefing/trai </w:t>
            </w:r>
            <w:r w:rsidRPr="007D3144">
              <w:rPr>
                <w:spacing w:val="-4"/>
                <w:sz w:val="24"/>
              </w:rPr>
              <w:t xml:space="preserve">ning </w:t>
            </w:r>
            <w:r w:rsidRPr="007D3144">
              <w:rPr>
                <w:spacing w:val="-2"/>
                <w:sz w:val="24"/>
              </w:rPr>
              <w:t>sessions</w:t>
            </w:r>
          </w:p>
        </w:tc>
        <w:tc>
          <w:tcPr>
            <w:tcW w:w="2236" w:type="dxa"/>
            <w:tcBorders>
              <w:left w:val="nil"/>
              <w:bottom w:val="nil"/>
              <w:right w:val="nil"/>
            </w:tcBorders>
            <w:shd w:val="clear" w:color="auto" w:fill="6FAC46"/>
          </w:tcPr>
          <w:p w14:paraId="0A8C6684" w14:textId="77777777" w:rsidR="004C7180" w:rsidRPr="00150EDC" w:rsidRDefault="00CF0754">
            <w:pPr>
              <w:pStyle w:val="TableParagraph"/>
              <w:spacing w:before="0" w:line="240" w:lineRule="auto"/>
              <w:ind w:left="98"/>
              <w:rPr>
                <w:sz w:val="24"/>
              </w:rPr>
            </w:pPr>
            <w:r w:rsidRPr="007D3144">
              <w:rPr>
                <w:spacing w:val="-5"/>
                <w:sz w:val="24"/>
              </w:rPr>
              <w:t>Low</w:t>
            </w:r>
          </w:p>
        </w:tc>
      </w:tr>
    </w:tbl>
    <w:p w14:paraId="5190B450" w14:textId="77777777" w:rsidR="004C7180" w:rsidRPr="00150EDC" w:rsidRDefault="004C7180">
      <w:pPr>
        <w:rPr>
          <w:sz w:val="24"/>
        </w:rPr>
        <w:sectPr w:rsidR="004C7180" w:rsidRPr="00150EDC">
          <w:pgSz w:w="11910" w:h="16840"/>
          <w:pgMar w:top="1460" w:right="0" w:bottom="1420" w:left="40" w:header="712" w:footer="1224" w:gutter="0"/>
          <w:cols w:space="720"/>
        </w:sectPr>
      </w:pPr>
    </w:p>
    <w:p w14:paraId="376249AA" w14:textId="77777777" w:rsidR="004C7180" w:rsidRPr="00150EDC" w:rsidRDefault="004C7180">
      <w:pPr>
        <w:pStyle w:val="BodyText"/>
        <w:rPr>
          <w:sz w:val="28"/>
        </w:rPr>
      </w:pPr>
    </w:p>
    <w:tbl>
      <w:tblPr>
        <w:tblW w:w="0" w:type="auto"/>
        <w:tblCellSpacing w:w="10" w:type="dxa"/>
        <w:tblInd w:w="1557" w:type="dxa"/>
        <w:tblLayout w:type="fixed"/>
        <w:tblCellMar>
          <w:left w:w="0" w:type="dxa"/>
          <w:right w:w="0" w:type="dxa"/>
        </w:tblCellMar>
        <w:tblLook w:val="01E0" w:firstRow="1" w:lastRow="1" w:firstColumn="1" w:lastColumn="1" w:noHBand="0" w:noVBand="0"/>
      </w:tblPr>
      <w:tblGrid>
        <w:gridCol w:w="2264"/>
        <w:gridCol w:w="2254"/>
        <w:gridCol w:w="2253"/>
        <w:gridCol w:w="2266"/>
      </w:tblGrid>
      <w:tr w:rsidR="004569EE" w:rsidRPr="007D3144" w14:paraId="64E32225" w14:textId="77777777">
        <w:trPr>
          <w:trHeight w:val="4967"/>
          <w:tblCellSpacing w:w="10" w:type="dxa"/>
        </w:trPr>
        <w:tc>
          <w:tcPr>
            <w:tcW w:w="2234" w:type="dxa"/>
            <w:tcBorders>
              <w:top w:val="nil"/>
              <w:left w:val="nil"/>
            </w:tcBorders>
            <w:shd w:val="clear" w:color="auto" w:fill="4471C4"/>
          </w:tcPr>
          <w:p w14:paraId="50B0C81D" w14:textId="77777777" w:rsidR="004C7180" w:rsidRPr="00150EDC" w:rsidRDefault="004C7180">
            <w:pPr>
              <w:pStyle w:val="TableParagraph"/>
              <w:spacing w:before="0" w:line="240" w:lineRule="auto"/>
              <w:ind w:left="0"/>
              <w:rPr>
                <w:rFonts w:ascii="Times New Roman"/>
              </w:rPr>
            </w:pPr>
          </w:p>
        </w:tc>
        <w:tc>
          <w:tcPr>
            <w:tcW w:w="2234" w:type="dxa"/>
            <w:tcBorders>
              <w:top w:val="nil"/>
              <w:right w:val="nil"/>
            </w:tcBorders>
            <w:shd w:val="clear" w:color="auto" w:fill="FFC000"/>
          </w:tcPr>
          <w:p w14:paraId="28F9D3B5" w14:textId="77777777" w:rsidR="004C7180" w:rsidRPr="00150EDC" w:rsidRDefault="004C7180">
            <w:pPr>
              <w:pStyle w:val="TableParagraph"/>
              <w:spacing w:before="0" w:line="240" w:lineRule="auto"/>
              <w:ind w:left="0"/>
              <w:rPr>
                <w:rFonts w:ascii="Times New Roman"/>
              </w:rPr>
            </w:pPr>
          </w:p>
        </w:tc>
        <w:tc>
          <w:tcPr>
            <w:tcW w:w="2233" w:type="dxa"/>
            <w:tcBorders>
              <w:top w:val="nil"/>
              <w:left w:val="nil"/>
              <w:right w:val="nil"/>
            </w:tcBorders>
            <w:shd w:val="clear" w:color="auto" w:fill="B4C5E7"/>
          </w:tcPr>
          <w:p w14:paraId="133B920F" w14:textId="77777777" w:rsidR="004C7180" w:rsidRPr="00150EDC" w:rsidRDefault="00CF0754" w:rsidP="00B320C7">
            <w:pPr>
              <w:pStyle w:val="TableParagraph"/>
              <w:numPr>
                <w:ilvl w:val="0"/>
                <w:numId w:val="67"/>
              </w:numPr>
              <w:tabs>
                <w:tab w:val="left" w:pos="815"/>
              </w:tabs>
              <w:spacing w:before="0" w:line="240" w:lineRule="auto"/>
              <w:ind w:left="815" w:hanging="359"/>
              <w:rPr>
                <w:sz w:val="24"/>
              </w:rPr>
            </w:pPr>
            <w:r w:rsidRPr="007D3144">
              <w:rPr>
                <w:spacing w:val="-2"/>
                <w:sz w:val="24"/>
              </w:rPr>
              <w:t>Robust</w:t>
            </w:r>
          </w:p>
          <w:p w14:paraId="6F5F11FA" w14:textId="77777777" w:rsidR="004C7180" w:rsidRPr="00150EDC" w:rsidRDefault="00CF0754">
            <w:pPr>
              <w:pStyle w:val="TableParagraph"/>
              <w:spacing w:before="0" w:line="240" w:lineRule="auto"/>
              <w:ind w:left="816"/>
              <w:rPr>
                <w:sz w:val="24"/>
              </w:rPr>
            </w:pPr>
            <w:r w:rsidRPr="007D3144">
              <w:rPr>
                <w:spacing w:val="-2"/>
                <w:sz w:val="24"/>
              </w:rPr>
              <w:t>assessment process</w:t>
            </w:r>
          </w:p>
          <w:p w14:paraId="2D419D6E" w14:textId="77777777" w:rsidR="004C7180" w:rsidRPr="00150EDC" w:rsidRDefault="00CF0754" w:rsidP="00B320C7">
            <w:pPr>
              <w:pStyle w:val="TableParagraph"/>
              <w:numPr>
                <w:ilvl w:val="0"/>
                <w:numId w:val="67"/>
              </w:numPr>
              <w:tabs>
                <w:tab w:val="left" w:pos="816"/>
              </w:tabs>
              <w:spacing w:before="0" w:line="240" w:lineRule="auto"/>
              <w:ind w:right="186"/>
              <w:rPr>
                <w:sz w:val="24"/>
              </w:rPr>
            </w:pPr>
            <w:r w:rsidRPr="007D3144">
              <w:rPr>
                <w:spacing w:val="-2"/>
                <w:sz w:val="24"/>
              </w:rPr>
              <w:t xml:space="preserve">Awareness </w:t>
            </w:r>
            <w:r w:rsidRPr="007D3144">
              <w:rPr>
                <w:spacing w:val="-6"/>
                <w:sz w:val="24"/>
              </w:rPr>
              <w:t xml:space="preserve">of </w:t>
            </w:r>
            <w:r w:rsidRPr="007D3144">
              <w:rPr>
                <w:spacing w:val="-2"/>
                <w:sz w:val="24"/>
              </w:rPr>
              <w:t xml:space="preserve">programme </w:t>
            </w:r>
            <w:r w:rsidRPr="007D3144">
              <w:rPr>
                <w:sz w:val="24"/>
              </w:rPr>
              <w:t>– DFE</w:t>
            </w:r>
          </w:p>
          <w:p w14:paraId="4941574F" w14:textId="77777777" w:rsidR="004C7180" w:rsidRPr="00150EDC" w:rsidRDefault="00CF0754">
            <w:pPr>
              <w:pStyle w:val="TableParagraph"/>
              <w:spacing w:before="0" w:line="240" w:lineRule="auto"/>
              <w:ind w:left="816" w:right="158"/>
              <w:rPr>
                <w:sz w:val="24"/>
              </w:rPr>
            </w:pPr>
            <w:r w:rsidRPr="007D3144">
              <w:rPr>
                <w:spacing w:val="-2"/>
                <w:sz w:val="24"/>
              </w:rPr>
              <w:t>planned activities</w:t>
            </w:r>
          </w:p>
          <w:p w14:paraId="6ABF3D13" w14:textId="77777777" w:rsidR="004C7180" w:rsidRPr="00150EDC" w:rsidRDefault="00CF0754" w:rsidP="00B320C7">
            <w:pPr>
              <w:pStyle w:val="TableParagraph"/>
              <w:numPr>
                <w:ilvl w:val="0"/>
                <w:numId w:val="67"/>
              </w:numPr>
              <w:tabs>
                <w:tab w:val="left" w:pos="815"/>
              </w:tabs>
              <w:spacing w:before="0" w:line="240" w:lineRule="auto"/>
              <w:ind w:left="815" w:hanging="359"/>
              <w:rPr>
                <w:sz w:val="24"/>
              </w:rPr>
            </w:pPr>
            <w:r w:rsidRPr="007D3144">
              <w:rPr>
                <w:spacing w:val="-2"/>
                <w:sz w:val="24"/>
              </w:rPr>
              <w:t>Apply</w:t>
            </w:r>
          </w:p>
          <w:p w14:paraId="4596F7C4" w14:textId="77777777" w:rsidR="004C7180" w:rsidRPr="00150EDC" w:rsidRDefault="00CF0754">
            <w:pPr>
              <w:pStyle w:val="TableParagraph"/>
              <w:spacing w:before="0" w:line="240" w:lineRule="auto"/>
              <w:ind w:left="816" w:right="186"/>
              <w:rPr>
                <w:sz w:val="24"/>
              </w:rPr>
            </w:pPr>
            <w:r w:rsidRPr="007D3144">
              <w:rPr>
                <w:spacing w:val="-2"/>
                <w:sz w:val="24"/>
              </w:rPr>
              <w:t xml:space="preserve">lessons- learned </w:t>
            </w:r>
            <w:r w:rsidRPr="007D3144">
              <w:rPr>
                <w:spacing w:val="-4"/>
                <w:sz w:val="24"/>
              </w:rPr>
              <w:t xml:space="preserve">from </w:t>
            </w:r>
            <w:r w:rsidRPr="007D3144">
              <w:rPr>
                <w:spacing w:val="-2"/>
                <w:sz w:val="24"/>
              </w:rPr>
              <w:t>previous projects</w:t>
            </w:r>
          </w:p>
          <w:p w14:paraId="4BABE954" w14:textId="77777777" w:rsidR="004C7180" w:rsidRPr="00150EDC" w:rsidRDefault="00CF0754" w:rsidP="00B320C7">
            <w:pPr>
              <w:pStyle w:val="TableParagraph"/>
              <w:numPr>
                <w:ilvl w:val="0"/>
                <w:numId w:val="67"/>
              </w:numPr>
              <w:tabs>
                <w:tab w:val="left" w:pos="816"/>
              </w:tabs>
              <w:spacing w:before="0" w:line="270" w:lineRule="atLeast"/>
              <w:ind w:right="199"/>
              <w:rPr>
                <w:sz w:val="24"/>
              </w:rPr>
            </w:pPr>
            <w:r w:rsidRPr="007D3144">
              <w:rPr>
                <w:spacing w:val="-2"/>
                <w:sz w:val="24"/>
              </w:rPr>
              <w:t>Ongoing compliance monitoring</w:t>
            </w:r>
          </w:p>
        </w:tc>
        <w:tc>
          <w:tcPr>
            <w:tcW w:w="2236" w:type="dxa"/>
            <w:tcBorders>
              <w:top w:val="nil"/>
              <w:left w:val="nil"/>
              <w:right w:val="nil"/>
            </w:tcBorders>
            <w:shd w:val="clear" w:color="auto" w:fill="6FAC46"/>
          </w:tcPr>
          <w:p w14:paraId="1D230E2A" w14:textId="77777777" w:rsidR="004C7180" w:rsidRPr="00150EDC" w:rsidRDefault="004C7180">
            <w:pPr>
              <w:pStyle w:val="TableParagraph"/>
              <w:spacing w:before="0" w:line="240" w:lineRule="auto"/>
              <w:ind w:left="0"/>
              <w:rPr>
                <w:rFonts w:ascii="Times New Roman"/>
              </w:rPr>
            </w:pPr>
          </w:p>
        </w:tc>
      </w:tr>
      <w:tr w:rsidR="004569EE" w:rsidRPr="007D3144" w14:paraId="50A6FBA1" w14:textId="77777777">
        <w:trPr>
          <w:trHeight w:val="5795"/>
          <w:tblCellSpacing w:w="10" w:type="dxa"/>
        </w:trPr>
        <w:tc>
          <w:tcPr>
            <w:tcW w:w="2234" w:type="dxa"/>
            <w:tcBorders>
              <w:left w:val="nil"/>
            </w:tcBorders>
            <w:shd w:val="clear" w:color="auto" w:fill="4471C4"/>
          </w:tcPr>
          <w:p w14:paraId="78A1CAD1" w14:textId="77777777" w:rsidR="004C7180" w:rsidRPr="00150EDC" w:rsidRDefault="00CF0754">
            <w:pPr>
              <w:pStyle w:val="TableParagraph"/>
              <w:spacing w:before="0" w:line="240" w:lineRule="auto"/>
              <w:ind w:left="98" w:right="73"/>
              <w:rPr>
                <w:b/>
                <w:sz w:val="24"/>
              </w:rPr>
            </w:pPr>
            <w:r w:rsidRPr="007D3144">
              <w:rPr>
                <w:b/>
                <w:spacing w:val="-2"/>
                <w:sz w:val="24"/>
              </w:rPr>
              <w:t xml:space="preserve">Cross contamination </w:t>
            </w:r>
            <w:r w:rsidRPr="007D3144">
              <w:rPr>
                <w:b/>
                <w:sz w:val="24"/>
              </w:rPr>
              <w:t>between</w:t>
            </w:r>
            <w:r w:rsidRPr="007D3144">
              <w:rPr>
                <w:b/>
                <w:spacing w:val="-17"/>
                <w:sz w:val="24"/>
              </w:rPr>
              <w:t xml:space="preserve"> </w:t>
            </w:r>
            <w:r w:rsidRPr="007D3144">
              <w:rPr>
                <w:b/>
                <w:sz w:val="24"/>
              </w:rPr>
              <w:t>trials</w:t>
            </w:r>
            <w:r w:rsidRPr="007D3144">
              <w:rPr>
                <w:b/>
                <w:spacing w:val="-17"/>
                <w:sz w:val="24"/>
              </w:rPr>
              <w:t xml:space="preserve"> </w:t>
            </w:r>
            <w:r w:rsidRPr="007D3144">
              <w:rPr>
                <w:b/>
                <w:sz w:val="24"/>
              </w:rPr>
              <w:t xml:space="preserve">– validity of data </w:t>
            </w:r>
            <w:r w:rsidRPr="007D3144">
              <w:rPr>
                <w:b/>
                <w:spacing w:val="-2"/>
                <w:sz w:val="24"/>
              </w:rPr>
              <w:t>compromised</w:t>
            </w:r>
          </w:p>
        </w:tc>
        <w:tc>
          <w:tcPr>
            <w:tcW w:w="2234" w:type="dxa"/>
            <w:tcBorders>
              <w:right w:val="nil"/>
            </w:tcBorders>
            <w:shd w:val="clear" w:color="auto" w:fill="FFC000"/>
          </w:tcPr>
          <w:p w14:paraId="71EEAAE9" w14:textId="77777777" w:rsidR="004C7180" w:rsidRPr="00150EDC" w:rsidRDefault="00CF0754">
            <w:pPr>
              <w:pStyle w:val="TableParagraph"/>
              <w:spacing w:before="0" w:line="240" w:lineRule="auto"/>
              <w:ind w:left="97"/>
              <w:rPr>
                <w:sz w:val="24"/>
              </w:rPr>
            </w:pPr>
            <w:r w:rsidRPr="007D3144">
              <w:rPr>
                <w:spacing w:val="-2"/>
                <w:sz w:val="24"/>
              </w:rPr>
              <w:t>Medium</w:t>
            </w:r>
          </w:p>
        </w:tc>
        <w:tc>
          <w:tcPr>
            <w:tcW w:w="2233" w:type="dxa"/>
            <w:tcBorders>
              <w:left w:val="nil"/>
              <w:right w:val="nil"/>
            </w:tcBorders>
            <w:shd w:val="clear" w:color="auto" w:fill="D9E1F3"/>
          </w:tcPr>
          <w:p w14:paraId="6C1F9791" w14:textId="77777777" w:rsidR="004C7180" w:rsidRPr="00150EDC" w:rsidRDefault="00CF0754" w:rsidP="00B320C7">
            <w:pPr>
              <w:pStyle w:val="TableParagraph"/>
              <w:numPr>
                <w:ilvl w:val="0"/>
                <w:numId w:val="66"/>
              </w:numPr>
              <w:tabs>
                <w:tab w:val="left" w:pos="816"/>
              </w:tabs>
              <w:spacing w:before="0" w:line="240" w:lineRule="auto"/>
              <w:ind w:right="211"/>
              <w:rPr>
                <w:sz w:val="24"/>
              </w:rPr>
            </w:pPr>
            <w:r w:rsidRPr="007D3144">
              <w:rPr>
                <w:spacing w:val="-2"/>
                <w:sz w:val="24"/>
              </w:rPr>
              <w:t xml:space="preserve">Contract terms require strict adherence </w:t>
            </w:r>
            <w:r w:rsidRPr="007D3144">
              <w:rPr>
                <w:spacing w:val="-6"/>
                <w:sz w:val="24"/>
              </w:rPr>
              <w:t xml:space="preserve">to </w:t>
            </w:r>
            <w:r w:rsidRPr="007D3144">
              <w:rPr>
                <w:spacing w:val="-2"/>
                <w:sz w:val="24"/>
              </w:rPr>
              <w:t xml:space="preserve">documente </w:t>
            </w:r>
            <w:r w:rsidRPr="007D3144">
              <w:rPr>
                <w:spacing w:val="-10"/>
                <w:sz w:val="24"/>
              </w:rPr>
              <w:t xml:space="preserve">d </w:t>
            </w:r>
            <w:r w:rsidRPr="007D3144">
              <w:rPr>
                <w:spacing w:val="-2"/>
                <w:sz w:val="24"/>
              </w:rPr>
              <w:t>procedures</w:t>
            </w:r>
          </w:p>
          <w:p w14:paraId="1306774F" w14:textId="77777777" w:rsidR="004C7180" w:rsidRPr="00150EDC" w:rsidRDefault="00CF0754" w:rsidP="00B320C7">
            <w:pPr>
              <w:pStyle w:val="TableParagraph"/>
              <w:numPr>
                <w:ilvl w:val="0"/>
                <w:numId w:val="66"/>
              </w:numPr>
              <w:tabs>
                <w:tab w:val="left" w:pos="815"/>
              </w:tabs>
              <w:spacing w:before="0" w:line="240" w:lineRule="auto"/>
              <w:ind w:left="815" w:hanging="359"/>
              <w:rPr>
                <w:sz w:val="24"/>
              </w:rPr>
            </w:pPr>
            <w:r w:rsidRPr="007D3144">
              <w:rPr>
                <w:spacing w:val="-2"/>
                <w:sz w:val="24"/>
              </w:rPr>
              <w:t>Avoid</w:t>
            </w:r>
          </w:p>
          <w:p w14:paraId="7A1BDF3F" w14:textId="77777777" w:rsidR="004C7180" w:rsidRPr="00150EDC" w:rsidRDefault="00CF0754">
            <w:pPr>
              <w:pStyle w:val="TableParagraph"/>
              <w:spacing w:before="0" w:line="240" w:lineRule="auto"/>
              <w:ind w:left="816" w:right="158"/>
              <w:rPr>
                <w:sz w:val="24"/>
              </w:rPr>
            </w:pPr>
            <w:r w:rsidRPr="007D3144">
              <w:rPr>
                <w:spacing w:val="-2"/>
                <w:sz w:val="24"/>
              </w:rPr>
              <w:t xml:space="preserve">clustering </w:t>
            </w:r>
            <w:r w:rsidRPr="007D3144">
              <w:rPr>
                <w:sz w:val="24"/>
              </w:rPr>
              <w:t>trial</w:t>
            </w:r>
            <w:r w:rsidRPr="007D3144">
              <w:rPr>
                <w:spacing w:val="-17"/>
                <w:sz w:val="24"/>
              </w:rPr>
              <w:t xml:space="preserve"> </w:t>
            </w:r>
            <w:r w:rsidRPr="007D3144">
              <w:rPr>
                <w:sz w:val="24"/>
              </w:rPr>
              <w:t>in</w:t>
            </w:r>
            <w:r w:rsidRPr="007D3144">
              <w:rPr>
                <w:spacing w:val="-17"/>
                <w:sz w:val="24"/>
              </w:rPr>
              <w:t xml:space="preserve"> </w:t>
            </w:r>
            <w:r w:rsidRPr="007D3144">
              <w:rPr>
                <w:sz w:val="24"/>
              </w:rPr>
              <w:t xml:space="preserve">one </w:t>
            </w:r>
            <w:r w:rsidRPr="007D3144">
              <w:rPr>
                <w:spacing w:val="-4"/>
                <w:sz w:val="24"/>
              </w:rPr>
              <w:t>area</w:t>
            </w:r>
          </w:p>
          <w:p w14:paraId="1A507404" w14:textId="77777777" w:rsidR="004C7180" w:rsidRPr="00150EDC" w:rsidRDefault="00CF0754" w:rsidP="00B320C7">
            <w:pPr>
              <w:pStyle w:val="TableParagraph"/>
              <w:numPr>
                <w:ilvl w:val="0"/>
                <w:numId w:val="66"/>
              </w:numPr>
              <w:tabs>
                <w:tab w:val="left" w:pos="816"/>
              </w:tabs>
              <w:spacing w:before="0" w:line="240" w:lineRule="auto"/>
              <w:ind w:right="158"/>
              <w:rPr>
                <w:sz w:val="24"/>
              </w:rPr>
            </w:pPr>
            <w:r w:rsidRPr="007D3144">
              <w:rPr>
                <w:spacing w:val="-2"/>
                <w:sz w:val="24"/>
              </w:rPr>
              <w:t xml:space="preserve">Readiness </w:t>
            </w:r>
            <w:r w:rsidRPr="007D3144">
              <w:rPr>
                <w:sz w:val="24"/>
              </w:rPr>
              <w:t xml:space="preserve">testing to </w:t>
            </w:r>
            <w:r w:rsidRPr="007D3144">
              <w:rPr>
                <w:spacing w:val="-2"/>
                <w:sz w:val="24"/>
              </w:rPr>
              <w:t xml:space="preserve">confirm understandi </w:t>
            </w:r>
            <w:r w:rsidRPr="007D3144">
              <w:rPr>
                <w:spacing w:val="-6"/>
                <w:sz w:val="24"/>
              </w:rPr>
              <w:t>ng</w:t>
            </w:r>
          </w:p>
          <w:p w14:paraId="1B7F884F" w14:textId="77777777" w:rsidR="004C7180" w:rsidRPr="00150EDC" w:rsidRDefault="00CF0754" w:rsidP="00B320C7">
            <w:pPr>
              <w:pStyle w:val="TableParagraph"/>
              <w:numPr>
                <w:ilvl w:val="0"/>
                <w:numId w:val="66"/>
              </w:numPr>
              <w:tabs>
                <w:tab w:val="left" w:pos="816"/>
              </w:tabs>
              <w:spacing w:before="0" w:line="270" w:lineRule="atLeast"/>
              <w:ind w:right="199"/>
              <w:rPr>
                <w:sz w:val="24"/>
              </w:rPr>
            </w:pPr>
            <w:r w:rsidRPr="007D3144">
              <w:rPr>
                <w:spacing w:val="-2"/>
                <w:sz w:val="24"/>
              </w:rPr>
              <w:t>Ongoing compliance monitoring</w:t>
            </w:r>
          </w:p>
        </w:tc>
        <w:tc>
          <w:tcPr>
            <w:tcW w:w="2236" w:type="dxa"/>
            <w:tcBorders>
              <w:left w:val="nil"/>
              <w:right w:val="nil"/>
            </w:tcBorders>
            <w:shd w:val="clear" w:color="auto" w:fill="6FAC46"/>
          </w:tcPr>
          <w:p w14:paraId="069D03C9" w14:textId="77777777" w:rsidR="004C7180" w:rsidRPr="00150EDC" w:rsidRDefault="00CF0754">
            <w:pPr>
              <w:pStyle w:val="TableParagraph"/>
              <w:spacing w:before="0" w:line="240" w:lineRule="auto"/>
              <w:ind w:left="98"/>
              <w:rPr>
                <w:sz w:val="24"/>
              </w:rPr>
            </w:pPr>
            <w:r w:rsidRPr="007D3144">
              <w:rPr>
                <w:spacing w:val="-5"/>
                <w:sz w:val="24"/>
              </w:rPr>
              <w:t>Low</w:t>
            </w:r>
          </w:p>
        </w:tc>
      </w:tr>
      <w:tr w:rsidR="004569EE" w:rsidRPr="007D3144" w14:paraId="7F58A2EF" w14:textId="77777777">
        <w:trPr>
          <w:trHeight w:val="2483"/>
          <w:tblCellSpacing w:w="10" w:type="dxa"/>
        </w:trPr>
        <w:tc>
          <w:tcPr>
            <w:tcW w:w="2234" w:type="dxa"/>
            <w:tcBorders>
              <w:left w:val="nil"/>
              <w:bottom w:val="nil"/>
            </w:tcBorders>
            <w:shd w:val="clear" w:color="auto" w:fill="4471C4"/>
          </w:tcPr>
          <w:p w14:paraId="31101F83" w14:textId="77777777" w:rsidR="004C7180" w:rsidRPr="00150EDC" w:rsidRDefault="00CF0754">
            <w:pPr>
              <w:pStyle w:val="TableParagraph"/>
              <w:spacing w:before="0" w:line="240" w:lineRule="auto"/>
              <w:ind w:left="98" w:right="264"/>
              <w:rPr>
                <w:b/>
                <w:sz w:val="24"/>
              </w:rPr>
            </w:pPr>
            <w:r w:rsidRPr="007D3144">
              <w:rPr>
                <w:b/>
                <w:spacing w:val="-2"/>
                <w:sz w:val="24"/>
              </w:rPr>
              <w:t xml:space="preserve">Payment irregularities/ </w:t>
            </w:r>
            <w:r w:rsidRPr="007D3144">
              <w:rPr>
                <w:b/>
                <w:sz w:val="24"/>
              </w:rPr>
              <w:t xml:space="preserve">duplication to providers – </w:t>
            </w:r>
            <w:r w:rsidRPr="007D3144">
              <w:rPr>
                <w:b/>
                <w:spacing w:val="-2"/>
                <w:sz w:val="24"/>
              </w:rPr>
              <w:t xml:space="preserve">value-for-money </w:t>
            </w:r>
            <w:r w:rsidRPr="007D3144">
              <w:rPr>
                <w:b/>
                <w:sz w:val="24"/>
              </w:rPr>
              <w:t>paramount for Tribal and DfE</w:t>
            </w:r>
          </w:p>
        </w:tc>
        <w:tc>
          <w:tcPr>
            <w:tcW w:w="2234" w:type="dxa"/>
            <w:tcBorders>
              <w:bottom w:val="nil"/>
              <w:right w:val="nil"/>
            </w:tcBorders>
            <w:shd w:val="clear" w:color="auto" w:fill="FFC000"/>
          </w:tcPr>
          <w:p w14:paraId="5295BE21" w14:textId="77777777" w:rsidR="004C7180" w:rsidRPr="00150EDC" w:rsidRDefault="00CF0754">
            <w:pPr>
              <w:pStyle w:val="TableParagraph"/>
              <w:spacing w:before="0" w:line="276" w:lineRule="exact"/>
              <w:ind w:left="97"/>
              <w:rPr>
                <w:sz w:val="24"/>
              </w:rPr>
            </w:pPr>
            <w:r w:rsidRPr="007D3144">
              <w:rPr>
                <w:spacing w:val="-2"/>
                <w:sz w:val="24"/>
              </w:rPr>
              <w:t>Medium</w:t>
            </w:r>
          </w:p>
        </w:tc>
        <w:tc>
          <w:tcPr>
            <w:tcW w:w="2233" w:type="dxa"/>
            <w:tcBorders>
              <w:left w:val="nil"/>
              <w:bottom w:val="nil"/>
              <w:right w:val="nil"/>
            </w:tcBorders>
            <w:shd w:val="clear" w:color="auto" w:fill="B4C5E7"/>
          </w:tcPr>
          <w:p w14:paraId="55ABD426" w14:textId="77777777" w:rsidR="004C7180" w:rsidRPr="00150EDC" w:rsidRDefault="00CF0754" w:rsidP="00B320C7">
            <w:pPr>
              <w:pStyle w:val="TableParagraph"/>
              <w:numPr>
                <w:ilvl w:val="0"/>
                <w:numId w:val="65"/>
              </w:numPr>
              <w:tabs>
                <w:tab w:val="left" w:pos="816"/>
              </w:tabs>
              <w:spacing w:before="0" w:line="276" w:lineRule="exact"/>
              <w:ind w:right="196"/>
              <w:rPr>
                <w:sz w:val="24"/>
              </w:rPr>
            </w:pPr>
            <w:r w:rsidRPr="007D3144">
              <w:rPr>
                <w:spacing w:val="-2"/>
                <w:sz w:val="24"/>
              </w:rPr>
              <w:t xml:space="preserve">Payments </w:t>
            </w:r>
            <w:r w:rsidRPr="007D3144">
              <w:rPr>
                <w:sz w:val="24"/>
              </w:rPr>
              <w:t xml:space="preserve">linked to </w:t>
            </w:r>
            <w:r w:rsidRPr="007D3144">
              <w:rPr>
                <w:spacing w:val="-2"/>
                <w:sz w:val="24"/>
              </w:rPr>
              <w:t xml:space="preserve">clearly defined evidenced- based milestones </w:t>
            </w:r>
            <w:r w:rsidRPr="007D3144">
              <w:rPr>
                <w:sz w:val="24"/>
              </w:rPr>
              <w:t>and</w:t>
            </w:r>
            <w:r w:rsidRPr="007D3144">
              <w:rPr>
                <w:spacing w:val="-17"/>
                <w:sz w:val="24"/>
              </w:rPr>
              <w:t xml:space="preserve"> </w:t>
            </w:r>
            <w:r w:rsidRPr="007D3144">
              <w:rPr>
                <w:sz w:val="24"/>
              </w:rPr>
              <w:t xml:space="preserve">learner </w:t>
            </w:r>
            <w:r w:rsidRPr="007D3144">
              <w:rPr>
                <w:spacing w:val="-4"/>
                <w:sz w:val="24"/>
              </w:rPr>
              <w:t>data</w:t>
            </w:r>
          </w:p>
        </w:tc>
        <w:tc>
          <w:tcPr>
            <w:tcW w:w="2236" w:type="dxa"/>
            <w:tcBorders>
              <w:left w:val="nil"/>
              <w:bottom w:val="nil"/>
              <w:right w:val="nil"/>
            </w:tcBorders>
            <w:shd w:val="clear" w:color="auto" w:fill="6FAC46"/>
          </w:tcPr>
          <w:p w14:paraId="3BF69FAE" w14:textId="77777777" w:rsidR="004C7180" w:rsidRPr="00150EDC" w:rsidRDefault="00CF0754">
            <w:pPr>
              <w:pStyle w:val="TableParagraph"/>
              <w:spacing w:before="0" w:line="276" w:lineRule="exact"/>
              <w:ind w:left="98"/>
              <w:rPr>
                <w:sz w:val="24"/>
              </w:rPr>
            </w:pPr>
            <w:r w:rsidRPr="007D3144">
              <w:rPr>
                <w:spacing w:val="-5"/>
                <w:sz w:val="24"/>
              </w:rPr>
              <w:t>Low</w:t>
            </w:r>
          </w:p>
        </w:tc>
      </w:tr>
    </w:tbl>
    <w:p w14:paraId="066FAB08" w14:textId="77777777" w:rsidR="004C7180" w:rsidRPr="00150EDC" w:rsidRDefault="004C7180">
      <w:pPr>
        <w:spacing w:line="276" w:lineRule="exact"/>
        <w:rPr>
          <w:sz w:val="24"/>
        </w:rPr>
        <w:sectPr w:rsidR="004C7180" w:rsidRPr="00150EDC">
          <w:pgSz w:w="11910" w:h="16840"/>
          <w:pgMar w:top="1460" w:right="0" w:bottom="1420" w:left="40" w:header="712" w:footer="1224" w:gutter="0"/>
          <w:cols w:space="720"/>
        </w:sectPr>
      </w:pPr>
    </w:p>
    <w:p w14:paraId="0500FD4B" w14:textId="77777777" w:rsidR="004C7180" w:rsidRPr="00150EDC" w:rsidRDefault="004C7180">
      <w:pPr>
        <w:pStyle w:val="BodyText"/>
        <w:rPr>
          <w:sz w:val="28"/>
        </w:rPr>
      </w:pPr>
    </w:p>
    <w:tbl>
      <w:tblPr>
        <w:tblW w:w="0" w:type="auto"/>
        <w:tblCellSpacing w:w="10" w:type="dxa"/>
        <w:tblInd w:w="1557" w:type="dxa"/>
        <w:tblLayout w:type="fixed"/>
        <w:tblCellMar>
          <w:left w:w="0" w:type="dxa"/>
          <w:right w:w="0" w:type="dxa"/>
        </w:tblCellMar>
        <w:tblLook w:val="01E0" w:firstRow="1" w:lastRow="1" w:firstColumn="1" w:lastColumn="1" w:noHBand="0" w:noVBand="0"/>
      </w:tblPr>
      <w:tblGrid>
        <w:gridCol w:w="2264"/>
        <w:gridCol w:w="2254"/>
        <w:gridCol w:w="2253"/>
        <w:gridCol w:w="2266"/>
      </w:tblGrid>
      <w:tr w:rsidR="004569EE" w:rsidRPr="007D3144" w14:paraId="4C11E8C0" w14:textId="77777777">
        <w:trPr>
          <w:trHeight w:val="4691"/>
          <w:tblCellSpacing w:w="10" w:type="dxa"/>
        </w:trPr>
        <w:tc>
          <w:tcPr>
            <w:tcW w:w="2234" w:type="dxa"/>
            <w:tcBorders>
              <w:top w:val="nil"/>
              <w:left w:val="nil"/>
            </w:tcBorders>
            <w:shd w:val="clear" w:color="auto" w:fill="4471C4"/>
          </w:tcPr>
          <w:p w14:paraId="1201E03E" w14:textId="77777777" w:rsidR="004C7180" w:rsidRPr="00150EDC" w:rsidRDefault="004C7180">
            <w:pPr>
              <w:pStyle w:val="TableParagraph"/>
              <w:spacing w:before="0" w:line="240" w:lineRule="auto"/>
              <w:ind w:left="0"/>
              <w:rPr>
                <w:rFonts w:ascii="Times New Roman"/>
              </w:rPr>
            </w:pPr>
          </w:p>
        </w:tc>
        <w:tc>
          <w:tcPr>
            <w:tcW w:w="2234" w:type="dxa"/>
            <w:tcBorders>
              <w:top w:val="nil"/>
              <w:right w:val="nil"/>
            </w:tcBorders>
            <w:shd w:val="clear" w:color="auto" w:fill="FFC000"/>
          </w:tcPr>
          <w:p w14:paraId="6D0474A0" w14:textId="77777777" w:rsidR="004C7180" w:rsidRPr="00150EDC" w:rsidRDefault="004C7180">
            <w:pPr>
              <w:pStyle w:val="TableParagraph"/>
              <w:spacing w:before="0" w:line="240" w:lineRule="auto"/>
              <w:ind w:left="0"/>
              <w:rPr>
                <w:rFonts w:ascii="Times New Roman"/>
              </w:rPr>
            </w:pPr>
          </w:p>
        </w:tc>
        <w:tc>
          <w:tcPr>
            <w:tcW w:w="2233" w:type="dxa"/>
            <w:tcBorders>
              <w:top w:val="nil"/>
              <w:left w:val="nil"/>
              <w:right w:val="nil"/>
            </w:tcBorders>
            <w:shd w:val="clear" w:color="auto" w:fill="B4C5E7"/>
          </w:tcPr>
          <w:p w14:paraId="5EFB109D" w14:textId="77777777" w:rsidR="004C7180" w:rsidRPr="00150EDC" w:rsidRDefault="00CF0754" w:rsidP="00B320C7">
            <w:pPr>
              <w:pStyle w:val="TableParagraph"/>
              <w:numPr>
                <w:ilvl w:val="0"/>
                <w:numId w:val="64"/>
              </w:numPr>
              <w:tabs>
                <w:tab w:val="left" w:pos="815"/>
              </w:tabs>
              <w:spacing w:before="0" w:line="240" w:lineRule="auto"/>
              <w:ind w:left="815" w:hanging="359"/>
              <w:rPr>
                <w:sz w:val="24"/>
              </w:rPr>
            </w:pPr>
            <w:r w:rsidRPr="007D3144">
              <w:rPr>
                <w:spacing w:val="-2"/>
                <w:sz w:val="24"/>
              </w:rPr>
              <w:t>Compliance</w:t>
            </w:r>
          </w:p>
          <w:p w14:paraId="60B945DA" w14:textId="77777777" w:rsidR="004C7180" w:rsidRPr="00150EDC" w:rsidRDefault="00CF0754">
            <w:pPr>
              <w:pStyle w:val="TableParagraph"/>
              <w:spacing w:before="0" w:line="240" w:lineRule="auto"/>
              <w:ind w:left="816" w:right="115"/>
              <w:rPr>
                <w:sz w:val="24"/>
              </w:rPr>
            </w:pPr>
            <w:r w:rsidRPr="007D3144">
              <w:rPr>
                <w:spacing w:val="-2"/>
                <w:sz w:val="24"/>
              </w:rPr>
              <w:t xml:space="preserve">/audit </w:t>
            </w:r>
            <w:r w:rsidRPr="007D3144">
              <w:rPr>
                <w:sz w:val="24"/>
              </w:rPr>
              <w:t xml:space="preserve">checks to </w:t>
            </w:r>
            <w:r w:rsidRPr="007D3144">
              <w:rPr>
                <w:spacing w:val="-2"/>
                <w:sz w:val="24"/>
              </w:rPr>
              <w:t>identify duplications</w:t>
            </w:r>
          </w:p>
          <w:p w14:paraId="3EB9AED6" w14:textId="77777777" w:rsidR="004C7180" w:rsidRPr="00150EDC" w:rsidRDefault="00CF0754" w:rsidP="00B320C7">
            <w:pPr>
              <w:pStyle w:val="TableParagraph"/>
              <w:numPr>
                <w:ilvl w:val="0"/>
                <w:numId w:val="64"/>
              </w:numPr>
              <w:tabs>
                <w:tab w:val="left" w:pos="816"/>
              </w:tabs>
              <w:spacing w:before="0" w:line="270" w:lineRule="atLeast"/>
              <w:ind w:right="131"/>
              <w:rPr>
                <w:sz w:val="24"/>
              </w:rPr>
            </w:pPr>
            <w:r w:rsidRPr="007D3144">
              <w:rPr>
                <w:spacing w:val="-2"/>
                <w:sz w:val="24"/>
              </w:rPr>
              <w:t xml:space="preserve">Finance Manager (independe </w:t>
            </w:r>
            <w:r w:rsidRPr="007D3144">
              <w:rPr>
                <w:sz w:val="24"/>
              </w:rPr>
              <w:t xml:space="preserve">nt from </w:t>
            </w:r>
            <w:r w:rsidRPr="007D3144">
              <w:rPr>
                <w:spacing w:val="-2"/>
                <w:sz w:val="24"/>
              </w:rPr>
              <w:t xml:space="preserve">delivery) </w:t>
            </w:r>
            <w:r w:rsidRPr="007D3144">
              <w:rPr>
                <w:sz w:val="24"/>
              </w:rPr>
              <w:t>oversees</w:t>
            </w:r>
            <w:r w:rsidRPr="007D3144">
              <w:rPr>
                <w:spacing w:val="-17"/>
                <w:sz w:val="24"/>
              </w:rPr>
              <w:t xml:space="preserve"> </w:t>
            </w:r>
            <w:r w:rsidRPr="007D3144">
              <w:rPr>
                <w:sz w:val="24"/>
              </w:rPr>
              <w:t xml:space="preserve">all </w:t>
            </w:r>
            <w:r w:rsidRPr="007D3144">
              <w:rPr>
                <w:spacing w:val="-2"/>
                <w:sz w:val="24"/>
              </w:rPr>
              <w:t xml:space="preserve">payment authorisatio </w:t>
            </w:r>
            <w:r w:rsidRPr="007D3144">
              <w:rPr>
                <w:sz w:val="24"/>
              </w:rPr>
              <w:t>n providing further</w:t>
            </w:r>
            <w:r w:rsidRPr="007D3144">
              <w:rPr>
                <w:spacing w:val="-17"/>
                <w:sz w:val="24"/>
              </w:rPr>
              <w:t xml:space="preserve"> </w:t>
            </w:r>
            <w:r w:rsidRPr="007D3144">
              <w:rPr>
                <w:sz w:val="24"/>
              </w:rPr>
              <w:t xml:space="preserve">layer </w:t>
            </w:r>
            <w:r w:rsidRPr="007D3144">
              <w:rPr>
                <w:spacing w:val="-6"/>
                <w:sz w:val="24"/>
              </w:rPr>
              <w:t xml:space="preserve">of </w:t>
            </w:r>
            <w:r w:rsidRPr="007D3144">
              <w:rPr>
                <w:spacing w:val="-2"/>
                <w:sz w:val="24"/>
              </w:rPr>
              <w:t>compliance</w:t>
            </w:r>
          </w:p>
        </w:tc>
        <w:tc>
          <w:tcPr>
            <w:tcW w:w="2236" w:type="dxa"/>
            <w:tcBorders>
              <w:top w:val="nil"/>
              <w:left w:val="nil"/>
              <w:right w:val="nil"/>
            </w:tcBorders>
            <w:shd w:val="clear" w:color="auto" w:fill="6FAC46"/>
          </w:tcPr>
          <w:p w14:paraId="74751E22" w14:textId="77777777" w:rsidR="004C7180" w:rsidRPr="00150EDC" w:rsidRDefault="004C7180">
            <w:pPr>
              <w:pStyle w:val="TableParagraph"/>
              <w:spacing w:before="0" w:line="240" w:lineRule="auto"/>
              <w:ind w:left="0"/>
              <w:rPr>
                <w:rFonts w:ascii="Times New Roman"/>
              </w:rPr>
            </w:pPr>
          </w:p>
        </w:tc>
      </w:tr>
      <w:tr w:rsidR="004569EE" w:rsidRPr="007D3144" w14:paraId="5726506E" w14:textId="77777777">
        <w:trPr>
          <w:trHeight w:val="4967"/>
          <w:tblCellSpacing w:w="10" w:type="dxa"/>
        </w:trPr>
        <w:tc>
          <w:tcPr>
            <w:tcW w:w="2234" w:type="dxa"/>
            <w:tcBorders>
              <w:left w:val="nil"/>
              <w:bottom w:val="nil"/>
            </w:tcBorders>
            <w:shd w:val="clear" w:color="auto" w:fill="4471C4"/>
          </w:tcPr>
          <w:p w14:paraId="661AE4E4" w14:textId="77777777" w:rsidR="004C7180" w:rsidRPr="00150EDC" w:rsidRDefault="00CF0754">
            <w:pPr>
              <w:pStyle w:val="TableParagraph"/>
              <w:spacing w:before="0" w:line="240" w:lineRule="auto"/>
              <w:ind w:left="98"/>
              <w:rPr>
                <w:b/>
                <w:sz w:val="24"/>
              </w:rPr>
            </w:pPr>
            <w:r w:rsidRPr="007D3144">
              <w:rPr>
                <w:b/>
                <w:sz w:val="24"/>
              </w:rPr>
              <w:t>Provider data inaccuracies</w:t>
            </w:r>
            <w:r w:rsidRPr="007D3144">
              <w:rPr>
                <w:b/>
                <w:spacing w:val="-17"/>
                <w:sz w:val="24"/>
              </w:rPr>
              <w:t xml:space="preserve"> </w:t>
            </w:r>
            <w:r w:rsidRPr="007D3144">
              <w:rPr>
                <w:b/>
                <w:sz w:val="24"/>
              </w:rPr>
              <w:t>– resulting in unusable data</w:t>
            </w:r>
          </w:p>
        </w:tc>
        <w:tc>
          <w:tcPr>
            <w:tcW w:w="2234" w:type="dxa"/>
            <w:tcBorders>
              <w:bottom w:val="nil"/>
              <w:right w:val="nil"/>
            </w:tcBorders>
            <w:shd w:val="clear" w:color="auto" w:fill="FFC000"/>
          </w:tcPr>
          <w:p w14:paraId="30CBE22F" w14:textId="77777777" w:rsidR="004C7180" w:rsidRPr="00150EDC" w:rsidRDefault="00CF0754">
            <w:pPr>
              <w:pStyle w:val="TableParagraph"/>
              <w:spacing w:before="0" w:line="240" w:lineRule="auto"/>
              <w:ind w:left="97"/>
              <w:rPr>
                <w:sz w:val="24"/>
              </w:rPr>
            </w:pPr>
            <w:r w:rsidRPr="007D3144">
              <w:rPr>
                <w:spacing w:val="-2"/>
                <w:sz w:val="24"/>
              </w:rPr>
              <w:t>Medium</w:t>
            </w:r>
          </w:p>
        </w:tc>
        <w:tc>
          <w:tcPr>
            <w:tcW w:w="2233" w:type="dxa"/>
            <w:tcBorders>
              <w:left w:val="nil"/>
              <w:bottom w:val="nil"/>
              <w:right w:val="nil"/>
            </w:tcBorders>
            <w:shd w:val="clear" w:color="auto" w:fill="D9E1F3"/>
          </w:tcPr>
          <w:p w14:paraId="18B0F95F" w14:textId="77777777" w:rsidR="004C7180" w:rsidRPr="00150EDC" w:rsidRDefault="00CF0754" w:rsidP="00B320C7">
            <w:pPr>
              <w:pStyle w:val="TableParagraph"/>
              <w:numPr>
                <w:ilvl w:val="0"/>
                <w:numId w:val="63"/>
              </w:numPr>
              <w:tabs>
                <w:tab w:val="left" w:pos="816"/>
              </w:tabs>
              <w:spacing w:before="0" w:line="240" w:lineRule="auto"/>
              <w:ind w:right="224"/>
              <w:rPr>
                <w:sz w:val="24"/>
              </w:rPr>
            </w:pPr>
            <w:r w:rsidRPr="007D3144">
              <w:rPr>
                <w:sz w:val="24"/>
              </w:rPr>
              <w:t>Create</w:t>
            </w:r>
            <w:r w:rsidRPr="007D3144">
              <w:rPr>
                <w:spacing w:val="-17"/>
                <w:sz w:val="24"/>
              </w:rPr>
              <w:t xml:space="preserve"> </w:t>
            </w:r>
            <w:r w:rsidRPr="007D3144">
              <w:rPr>
                <w:sz w:val="24"/>
              </w:rPr>
              <w:t xml:space="preserve">and </w:t>
            </w:r>
            <w:r w:rsidRPr="007D3144">
              <w:rPr>
                <w:spacing w:val="-2"/>
                <w:sz w:val="24"/>
              </w:rPr>
              <w:t>distribute standard data- capture templates</w:t>
            </w:r>
          </w:p>
          <w:p w14:paraId="585B7240" w14:textId="77777777" w:rsidR="004C7180" w:rsidRPr="00150EDC" w:rsidRDefault="00CF0754" w:rsidP="00B320C7">
            <w:pPr>
              <w:pStyle w:val="TableParagraph"/>
              <w:numPr>
                <w:ilvl w:val="0"/>
                <w:numId w:val="63"/>
              </w:numPr>
              <w:tabs>
                <w:tab w:val="left" w:pos="816"/>
              </w:tabs>
              <w:spacing w:before="0" w:line="240" w:lineRule="auto"/>
              <w:ind w:right="118"/>
              <w:rPr>
                <w:sz w:val="24"/>
              </w:rPr>
            </w:pPr>
            <w:r w:rsidRPr="007D3144">
              <w:rPr>
                <w:spacing w:val="-2"/>
                <w:sz w:val="24"/>
              </w:rPr>
              <w:t xml:space="preserve">Data/format </w:t>
            </w:r>
            <w:r w:rsidRPr="007D3144">
              <w:rPr>
                <w:sz w:val="24"/>
              </w:rPr>
              <w:t>s specified in contracts and</w:t>
            </w:r>
            <w:r w:rsidRPr="007D3144">
              <w:rPr>
                <w:spacing w:val="-17"/>
                <w:sz w:val="24"/>
              </w:rPr>
              <w:t xml:space="preserve"> </w:t>
            </w:r>
            <w:r w:rsidRPr="007D3144">
              <w:rPr>
                <w:sz w:val="24"/>
              </w:rPr>
              <w:t xml:space="preserve">delivery </w:t>
            </w:r>
            <w:r w:rsidRPr="007D3144">
              <w:rPr>
                <w:spacing w:val="-2"/>
                <w:sz w:val="24"/>
              </w:rPr>
              <w:t>timelines</w:t>
            </w:r>
          </w:p>
          <w:p w14:paraId="473AD8B1" w14:textId="77777777" w:rsidR="004C7180" w:rsidRPr="00150EDC" w:rsidRDefault="00CF0754" w:rsidP="00B320C7">
            <w:pPr>
              <w:pStyle w:val="TableParagraph"/>
              <w:numPr>
                <w:ilvl w:val="0"/>
                <w:numId w:val="63"/>
              </w:numPr>
              <w:tabs>
                <w:tab w:val="left" w:pos="816"/>
              </w:tabs>
              <w:spacing w:before="0" w:line="270" w:lineRule="atLeast"/>
              <w:ind w:right="132"/>
              <w:rPr>
                <w:sz w:val="24"/>
              </w:rPr>
            </w:pPr>
            <w:r w:rsidRPr="007D3144">
              <w:rPr>
                <w:spacing w:val="-2"/>
                <w:sz w:val="24"/>
              </w:rPr>
              <w:t xml:space="preserve">Payments </w:t>
            </w:r>
            <w:r w:rsidRPr="007D3144">
              <w:rPr>
                <w:sz w:val="24"/>
              </w:rPr>
              <w:t xml:space="preserve">linked to </w:t>
            </w:r>
            <w:r w:rsidRPr="007D3144">
              <w:rPr>
                <w:spacing w:val="-2"/>
                <w:sz w:val="24"/>
              </w:rPr>
              <w:t xml:space="preserve">milestones (including accurate </w:t>
            </w:r>
            <w:r w:rsidRPr="007D3144">
              <w:rPr>
                <w:spacing w:val="-4"/>
                <w:sz w:val="24"/>
              </w:rPr>
              <w:t xml:space="preserve">data </w:t>
            </w:r>
            <w:r w:rsidRPr="007D3144">
              <w:rPr>
                <w:spacing w:val="-2"/>
                <w:sz w:val="24"/>
              </w:rPr>
              <w:t>submission)</w:t>
            </w:r>
          </w:p>
        </w:tc>
        <w:tc>
          <w:tcPr>
            <w:tcW w:w="2236" w:type="dxa"/>
            <w:tcBorders>
              <w:left w:val="nil"/>
              <w:bottom w:val="nil"/>
              <w:right w:val="nil"/>
            </w:tcBorders>
            <w:shd w:val="clear" w:color="auto" w:fill="6FAC46"/>
          </w:tcPr>
          <w:p w14:paraId="3797D72B" w14:textId="77777777" w:rsidR="004C7180" w:rsidRPr="00150EDC" w:rsidRDefault="00CF0754">
            <w:pPr>
              <w:pStyle w:val="TableParagraph"/>
              <w:spacing w:before="0" w:line="240" w:lineRule="auto"/>
              <w:ind w:left="98"/>
              <w:rPr>
                <w:sz w:val="24"/>
              </w:rPr>
            </w:pPr>
            <w:r w:rsidRPr="007D3144">
              <w:rPr>
                <w:spacing w:val="-5"/>
                <w:sz w:val="24"/>
              </w:rPr>
              <w:t>Low</w:t>
            </w:r>
          </w:p>
        </w:tc>
      </w:tr>
    </w:tbl>
    <w:p w14:paraId="73E8748F" w14:textId="77777777" w:rsidR="004C7180" w:rsidRPr="00150EDC" w:rsidRDefault="004C7180">
      <w:pPr>
        <w:pStyle w:val="BodyText"/>
        <w:rPr>
          <w:sz w:val="20"/>
        </w:rPr>
      </w:pPr>
    </w:p>
    <w:p w14:paraId="37CC81AB" w14:textId="77777777" w:rsidR="004C7180" w:rsidRPr="00150EDC" w:rsidRDefault="00CF0754">
      <w:pPr>
        <w:pStyle w:val="BodyText"/>
        <w:spacing w:before="220" w:line="276" w:lineRule="auto"/>
        <w:ind w:left="1400" w:right="1434"/>
        <w:jc w:val="both"/>
      </w:pPr>
      <w:r w:rsidRPr="007D3144">
        <w:t xml:space="preserve">The risk register (stored on our Sharepoint system) is a live document which will be reviewed weekly to identify new and emerging risks, update risk scores and remove risks which no longer apply. E.g., </w:t>
      </w:r>
      <w:r w:rsidRPr="00150EDC">
        <w:t xml:space="preserve">our NTP </w:t>
      </w:r>
      <w:r w:rsidRPr="007D3144">
        <w:t xml:space="preserve">Project Manager identified (in the weekly risk register review) a major upcoming policy change which would impact tuition providers; this was raised by the Project Director in the monthly strategic review, and by accelerating the accreditation process, Tribal mitigated the delivery risks to all </w:t>
      </w:r>
      <w:r w:rsidRPr="007D3144">
        <w:rPr>
          <w:spacing w:val="-2"/>
        </w:rPr>
        <w:t>stakeholders.</w:t>
      </w:r>
    </w:p>
    <w:p w14:paraId="3B97505E" w14:textId="77777777" w:rsidR="004C7180" w:rsidRPr="00150EDC" w:rsidRDefault="004C7180">
      <w:pPr>
        <w:spacing w:line="276" w:lineRule="auto"/>
        <w:jc w:val="both"/>
        <w:sectPr w:rsidR="004C7180" w:rsidRPr="00150EDC">
          <w:pgSz w:w="11910" w:h="16840"/>
          <w:pgMar w:top="1460" w:right="0" w:bottom="1420" w:left="40" w:header="712" w:footer="1224" w:gutter="0"/>
          <w:cols w:space="720"/>
        </w:sectPr>
      </w:pPr>
    </w:p>
    <w:p w14:paraId="36F2F86C" w14:textId="77777777" w:rsidR="004C7180" w:rsidRPr="00150EDC" w:rsidRDefault="004C7180">
      <w:pPr>
        <w:pStyle w:val="BodyText"/>
        <w:spacing w:before="4"/>
        <w:rPr>
          <w:sz w:val="18"/>
        </w:rPr>
      </w:pPr>
    </w:p>
    <w:p w14:paraId="22310BA5" w14:textId="77777777" w:rsidR="004C7180" w:rsidRPr="00150EDC" w:rsidRDefault="00CF0754">
      <w:pPr>
        <w:pStyle w:val="BodyText"/>
        <w:spacing w:before="93" w:line="276" w:lineRule="auto"/>
        <w:ind w:left="1400" w:right="1433"/>
        <w:jc w:val="both"/>
      </w:pPr>
      <w:r w:rsidRPr="007D3144">
        <w:t>Updated versions of the risk register will be shared with DfE, comprising submission of an updated RAID log as part of weekly progress updates highlighting where new risks emerge, risk ratings change, and mitigations are developed and delivered.</w:t>
      </w:r>
    </w:p>
    <w:p w14:paraId="4E988C90" w14:textId="77777777" w:rsidR="004C7180" w:rsidRPr="00150EDC" w:rsidRDefault="004C7180">
      <w:pPr>
        <w:pStyle w:val="BodyText"/>
        <w:rPr>
          <w:sz w:val="26"/>
        </w:rPr>
      </w:pPr>
    </w:p>
    <w:p w14:paraId="4D553F10" w14:textId="77777777" w:rsidR="004C7180" w:rsidRPr="00150EDC" w:rsidRDefault="004C7180">
      <w:pPr>
        <w:pStyle w:val="BodyText"/>
        <w:spacing w:before="7"/>
        <w:rPr>
          <w:sz w:val="21"/>
        </w:rPr>
      </w:pPr>
    </w:p>
    <w:p w14:paraId="5A611EFB" w14:textId="77777777" w:rsidR="004C7180" w:rsidRPr="00150EDC" w:rsidRDefault="00CF0754">
      <w:pPr>
        <w:ind w:left="1400"/>
        <w:jc w:val="both"/>
        <w:rPr>
          <w:b/>
          <w:sz w:val="24"/>
        </w:rPr>
      </w:pPr>
      <w:r w:rsidRPr="007D3144">
        <w:rPr>
          <w:b/>
          <w:sz w:val="24"/>
        </w:rPr>
        <w:t>Managing</w:t>
      </w:r>
      <w:r w:rsidRPr="007D3144">
        <w:rPr>
          <w:b/>
          <w:spacing w:val="-5"/>
          <w:sz w:val="24"/>
        </w:rPr>
        <w:t xml:space="preserve"> </w:t>
      </w:r>
      <w:r w:rsidRPr="007D3144">
        <w:rPr>
          <w:b/>
          <w:sz w:val="24"/>
        </w:rPr>
        <w:t>relationships</w:t>
      </w:r>
      <w:r w:rsidRPr="007D3144">
        <w:rPr>
          <w:b/>
          <w:spacing w:val="-4"/>
          <w:sz w:val="24"/>
        </w:rPr>
        <w:t xml:space="preserve"> </w:t>
      </w:r>
      <w:r w:rsidRPr="007D3144">
        <w:rPr>
          <w:b/>
          <w:sz w:val="24"/>
        </w:rPr>
        <w:t>with</w:t>
      </w:r>
      <w:r w:rsidRPr="007D3144">
        <w:rPr>
          <w:b/>
          <w:spacing w:val="-4"/>
          <w:sz w:val="24"/>
        </w:rPr>
        <w:t xml:space="preserve"> </w:t>
      </w:r>
      <w:r w:rsidRPr="007D3144">
        <w:rPr>
          <w:b/>
          <w:spacing w:val="-2"/>
          <w:sz w:val="24"/>
        </w:rPr>
        <w:t>subcontractors</w:t>
      </w:r>
    </w:p>
    <w:p w14:paraId="5AEE58AD" w14:textId="77777777" w:rsidR="004C7180" w:rsidRPr="00150EDC" w:rsidRDefault="00CF0754">
      <w:pPr>
        <w:spacing w:before="161"/>
        <w:ind w:left="1467"/>
        <w:jc w:val="both"/>
        <w:rPr>
          <w:i/>
          <w:sz w:val="24"/>
        </w:rPr>
      </w:pPr>
      <w:r w:rsidRPr="007D3144">
        <w:rPr>
          <w:i/>
          <w:sz w:val="24"/>
        </w:rPr>
        <w:t>Contract</w:t>
      </w:r>
      <w:r w:rsidRPr="007D3144">
        <w:rPr>
          <w:i/>
          <w:spacing w:val="1"/>
          <w:sz w:val="24"/>
        </w:rPr>
        <w:t xml:space="preserve"> </w:t>
      </w:r>
      <w:r w:rsidRPr="007D3144">
        <w:rPr>
          <w:i/>
          <w:spacing w:val="-2"/>
          <w:sz w:val="24"/>
        </w:rPr>
        <w:t>management</w:t>
      </w:r>
    </w:p>
    <w:p w14:paraId="04CCC85B" w14:textId="77777777" w:rsidR="004C7180" w:rsidRPr="00150EDC" w:rsidRDefault="00CF0754">
      <w:pPr>
        <w:pStyle w:val="BodyText"/>
        <w:spacing w:before="163" w:line="276" w:lineRule="auto"/>
        <w:ind w:left="1399" w:right="1433"/>
        <w:jc w:val="both"/>
      </w:pPr>
      <w:r w:rsidRPr="00150EDC">
        <w:t xml:space="preserve">Before the first trial, </w:t>
      </w:r>
      <w:r w:rsidRPr="007D3144">
        <w:t xml:space="preserve">Tribal will </w:t>
      </w:r>
      <w:r w:rsidRPr="00150EDC">
        <w:t>establish a new national ‘Multiply RCT framework agreement’</w:t>
      </w:r>
      <w:r w:rsidRPr="00150EDC">
        <w:rPr>
          <w:spacing w:val="-1"/>
        </w:rPr>
        <w:t xml:space="preserve"> </w:t>
      </w:r>
      <w:r w:rsidRPr="00150EDC">
        <w:t>through which all</w:t>
      </w:r>
      <w:r w:rsidRPr="00150EDC">
        <w:rPr>
          <w:spacing w:val="-1"/>
        </w:rPr>
        <w:t xml:space="preserve"> </w:t>
      </w:r>
      <w:r w:rsidRPr="00150EDC">
        <w:t>potential</w:t>
      </w:r>
      <w:r w:rsidRPr="00150EDC">
        <w:rPr>
          <w:spacing w:val="-3"/>
        </w:rPr>
        <w:t xml:space="preserve"> </w:t>
      </w:r>
      <w:r w:rsidRPr="00150EDC">
        <w:t>providers</w:t>
      </w:r>
      <w:r w:rsidRPr="00150EDC">
        <w:rPr>
          <w:spacing w:val="-1"/>
        </w:rPr>
        <w:t xml:space="preserve"> </w:t>
      </w:r>
      <w:r w:rsidRPr="00150EDC">
        <w:t>(MCAs, LAs,</w:t>
      </w:r>
      <w:r w:rsidRPr="00150EDC">
        <w:rPr>
          <w:spacing w:val="-2"/>
        </w:rPr>
        <w:t xml:space="preserve"> </w:t>
      </w:r>
      <w:r w:rsidRPr="00150EDC">
        <w:t>national</w:t>
      </w:r>
      <w:r w:rsidRPr="00150EDC">
        <w:rPr>
          <w:spacing w:val="-1"/>
        </w:rPr>
        <w:t xml:space="preserve"> </w:t>
      </w:r>
      <w:r w:rsidRPr="00150EDC">
        <w:t>providers)</w:t>
      </w:r>
      <w:r w:rsidRPr="00150EDC">
        <w:rPr>
          <w:spacing w:val="-1"/>
        </w:rPr>
        <w:t xml:space="preserve"> </w:t>
      </w:r>
      <w:r w:rsidRPr="00150EDC">
        <w:t>can sign up, understand the participation terms/conditions, and establish a formal commercial relationship with Tribal. Individual trials will then be entered into via specific framework call-offs with bespoke contractual milestones, allowing providers to opt-in to trials in a streamlined manner.</w:t>
      </w:r>
      <w:r w:rsidRPr="00150EDC">
        <w:rPr>
          <w:spacing w:val="40"/>
        </w:rPr>
        <w:t xml:space="preserve"> </w:t>
      </w:r>
      <w:r w:rsidRPr="00150EDC">
        <w:t>Trial-specific call-off contracts will be monitored efficiently and accurately using our contract management software and reporting tools.</w:t>
      </w:r>
    </w:p>
    <w:p w14:paraId="3F2F06ED" w14:textId="77777777" w:rsidR="004C7180" w:rsidRPr="00150EDC" w:rsidRDefault="00CF0754">
      <w:pPr>
        <w:pStyle w:val="BodyText"/>
        <w:spacing w:before="118" w:line="276" w:lineRule="auto"/>
        <w:ind w:left="1400" w:right="1432"/>
        <w:jc w:val="both"/>
      </w:pPr>
      <w:r w:rsidRPr="00150EDC">
        <w:t>Tribal</w:t>
      </w:r>
      <w:r w:rsidRPr="00150EDC">
        <w:rPr>
          <w:spacing w:val="-11"/>
        </w:rPr>
        <w:t xml:space="preserve"> </w:t>
      </w:r>
      <w:r w:rsidRPr="00150EDC">
        <w:t>will</w:t>
      </w:r>
      <w:r w:rsidRPr="00150EDC">
        <w:rPr>
          <w:spacing w:val="-11"/>
        </w:rPr>
        <w:t xml:space="preserve"> </w:t>
      </w:r>
      <w:r w:rsidRPr="00150EDC">
        <w:t>conduct</w:t>
      </w:r>
      <w:r w:rsidRPr="00150EDC">
        <w:rPr>
          <w:spacing w:val="-10"/>
        </w:rPr>
        <w:t xml:space="preserve"> </w:t>
      </w:r>
      <w:r w:rsidRPr="00150EDC">
        <w:t>market</w:t>
      </w:r>
      <w:r w:rsidRPr="00150EDC">
        <w:rPr>
          <w:spacing w:val="-10"/>
        </w:rPr>
        <w:t xml:space="preserve"> </w:t>
      </w:r>
      <w:r w:rsidRPr="00150EDC">
        <w:t>engagement</w:t>
      </w:r>
      <w:r w:rsidRPr="00150EDC">
        <w:rPr>
          <w:spacing w:val="-12"/>
        </w:rPr>
        <w:t xml:space="preserve"> </w:t>
      </w:r>
      <w:r w:rsidRPr="00150EDC">
        <w:t>meetings</w:t>
      </w:r>
      <w:r w:rsidRPr="00150EDC">
        <w:rPr>
          <w:spacing w:val="-10"/>
        </w:rPr>
        <w:t xml:space="preserve"> </w:t>
      </w:r>
      <w:r w:rsidRPr="00150EDC">
        <w:t>with</w:t>
      </w:r>
      <w:r w:rsidRPr="00150EDC">
        <w:rPr>
          <w:spacing w:val="-9"/>
        </w:rPr>
        <w:t xml:space="preserve"> </w:t>
      </w:r>
      <w:r w:rsidRPr="00150EDC">
        <w:t>providers</w:t>
      </w:r>
      <w:r w:rsidRPr="00150EDC">
        <w:rPr>
          <w:spacing w:val="-10"/>
        </w:rPr>
        <w:t xml:space="preserve"> </w:t>
      </w:r>
      <w:r w:rsidRPr="00150EDC">
        <w:t>to</w:t>
      </w:r>
      <w:r w:rsidRPr="00150EDC">
        <w:rPr>
          <w:spacing w:val="-9"/>
        </w:rPr>
        <w:t xml:space="preserve"> </w:t>
      </w:r>
      <w:r w:rsidRPr="00150EDC">
        <w:t>explain</w:t>
      </w:r>
      <w:r w:rsidRPr="00150EDC">
        <w:rPr>
          <w:spacing w:val="-9"/>
        </w:rPr>
        <w:t xml:space="preserve"> </w:t>
      </w:r>
      <w:r w:rsidRPr="00150EDC">
        <w:t>the</w:t>
      </w:r>
      <w:r w:rsidRPr="00150EDC">
        <w:rPr>
          <w:spacing w:val="-9"/>
        </w:rPr>
        <w:t xml:space="preserve"> </w:t>
      </w:r>
      <w:r w:rsidRPr="00150EDC">
        <w:t>benefits and implications of participation in the wider Multiply ‘What Works’ research workstream, and to allow for pre-commercial consultation and design iterations.</w:t>
      </w:r>
    </w:p>
    <w:p w14:paraId="0A2990F6" w14:textId="77777777" w:rsidR="004C7180" w:rsidRPr="00150EDC" w:rsidRDefault="00CF0754">
      <w:pPr>
        <w:pStyle w:val="BodyText"/>
        <w:spacing w:before="121"/>
        <w:ind w:left="1400"/>
        <w:jc w:val="both"/>
      </w:pPr>
      <w:r w:rsidRPr="00150EDC">
        <w:t>Provider</w:t>
      </w:r>
      <w:r w:rsidRPr="00150EDC">
        <w:rPr>
          <w:spacing w:val="-4"/>
        </w:rPr>
        <w:t xml:space="preserve"> </w:t>
      </w:r>
      <w:r w:rsidRPr="00150EDC">
        <w:t>performance</w:t>
      </w:r>
      <w:r w:rsidRPr="00150EDC">
        <w:rPr>
          <w:spacing w:val="-7"/>
        </w:rPr>
        <w:t xml:space="preserve"> </w:t>
      </w:r>
      <w:r w:rsidRPr="00150EDC">
        <w:t>will</w:t>
      </w:r>
      <w:r w:rsidRPr="00150EDC">
        <w:rPr>
          <w:spacing w:val="-3"/>
        </w:rPr>
        <w:t xml:space="preserve"> </w:t>
      </w:r>
      <w:r w:rsidRPr="00150EDC">
        <w:t>be</w:t>
      </w:r>
      <w:r w:rsidRPr="00150EDC">
        <w:rPr>
          <w:spacing w:val="-2"/>
        </w:rPr>
        <w:t xml:space="preserve"> </w:t>
      </w:r>
      <w:r w:rsidRPr="00150EDC">
        <w:t>managed</w:t>
      </w:r>
      <w:r w:rsidRPr="00150EDC">
        <w:rPr>
          <w:spacing w:val="-3"/>
        </w:rPr>
        <w:t xml:space="preserve"> </w:t>
      </w:r>
      <w:r w:rsidRPr="00150EDC">
        <w:rPr>
          <w:spacing w:val="-2"/>
        </w:rPr>
        <w:t>though:</w:t>
      </w:r>
    </w:p>
    <w:p w14:paraId="77AADF31" w14:textId="77777777" w:rsidR="004C7180" w:rsidRPr="007D3144" w:rsidRDefault="00CF0754" w:rsidP="00B320C7">
      <w:pPr>
        <w:pStyle w:val="ListParagraph"/>
        <w:numPr>
          <w:ilvl w:val="0"/>
          <w:numId w:val="62"/>
        </w:numPr>
        <w:tabs>
          <w:tab w:val="left" w:pos="2120"/>
        </w:tabs>
        <w:spacing w:before="160" w:line="278" w:lineRule="auto"/>
        <w:ind w:right="1435"/>
        <w:jc w:val="both"/>
        <w:rPr>
          <w:rFonts w:ascii="Wingdings" w:hAnsi="Wingdings"/>
          <w:sz w:val="24"/>
        </w:rPr>
      </w:pPr>
      <w:r w:rsidRPr="007D3144">
        <w:rPr>
          <w:sz w:val="24"/>
        </w:rPr>
        <w:t>Clearly defined pre-trial provider readiness conditions, and trial milestone explanations (tied to provider payments)</w:t>
      </w:r>
    </w:p>
    <w:p w14:paraId="714152FC" w14:textId="77777777" w:rsidR="004C7180" w:rsidRPr="007D3144" w:rsidRDefault="00CF0754" w:rsidP="00B320C7">
      <w:pPr>
        <w:pStyle w:val="ListParagraph"/>
        <w:numPr>
          <w:ilvl w:val="0"/>
          <w:numId w:val="62"/>
        </w:numPr>
        <w:tabs>
          <w:tab w:val="left" w:pos="2119"/>
        </w:tabs>
        <w:spacing w:line="272" w:lineRule="exact"/>
        <w:ind w:left="2119" w:hanging="359"/>
        <w:jc w:val="both"/>
        <w:rPr>
          <w:rFonts w:ascii="Wingdings" w:hAnsi="Wingdings"/>
          <w:sz w:val="24"/>
        </w:rPr>
      </w:pPr>
      <w:r w:rsidRPr="007D3144">
        <w:rPr>
          <w:sz w:val="24"/>
        </w:rPr>
        <w:t>Clearly</w:t>
      </w:r>
      <w:r w:rsidRPr="007D3144">
        <w:rPr>
          <w:spacing w:val="-4"/>
          <w:sz w:val="24"/>
        </w:rPr>
        <w:t xml:space="preserve"> </w:t>
      </w:r>
      <w:r w:rsidRPr="007D3144">
        <w:rPr>
          <w:sz w:val="24"/>
        </w:rPr>
        <w:t>defined</w:t>
      </w:r>
      <w:r w:rsidRPr="007D3144">
        <w:rPr>
          <w:spacing w:val="-4"/>
          <w:sz w:val="24"/>
        </w:rPr>
        <w:t xml:space="preserve"> </w:t>
      </w:r>
      <w:r w:rsidRPr="007D3144">
        <w:rPr>
          <w:sz w:val="24"/>
        </w:rPr>
        <w:t>monitoring/QA</w:t>
      </w:r>
      <w:r w:rsidRPr="007D3144">
        <w:rPr>
          <w:spacing w:val="-5"/>
          <w:sz w:val="24"/>
        </w:rPr>
        <w:t xml:space="preserve"> </w:t>
      </w:r>
      <w:r w:rsidRPr="007D3144">
        <w:rPr>
          <w:sz w:val="24"/>
        </w:rPr>
        <w:t>processes,</w:t>
      </w:r>
      <w:r w:rsidRPr="007D3144">
        <w:rPr>
          <w:spacing w:val="-2"/>
          <w:sz w:val="24"/>
        </w:rPr>
        <w:t xml:space="preserve"> including:</w:t>
      </w:r>
    </w:p>
    <w:p w14:paraId="721974DF" w14:textId="77777777" w:rsidR="004C7180" w:rsidRPr="00150EDC" w:rsidRDefault="00CF0754" w:rsidP="00B320C7">
      <w:pPr>
        <w:pStyle w:val="ListParagraph"/>
        <w:numPr>
          <w:ilvl w:val="1"/>
          <w:numId w:val="62"/>
        </w:numPr>
        <w:tabs>
          <w:tab w:val="left" w:pos="2840"/>
        </w:tabs>
        <w:spacing w:before="41" w:line="256" w:lineRule="auto"/>
        <w:ind w:right="1437"/>
        <w:jc w:val="both"/>
        <w:rPr>
          <w:sz w:val="24"/>
        </w:rPr>
      </w:pPr>
      <w:r w:rsidRPr="007D3144">
        <w:rPr>
          <w:sz w:val="24"/>
        </w:rPr>
        <w:t>Requiring providers to upload monitoring data onto our reporting platform, e.g. number of learners registered, learner attendance</w:t>
      </w:r>
    </w:p>
    <w:p w14:paraId="55A57B6F" w14:textId="77777777" w:rsidR="004C7180" w:rsidRPr="00150EDC" w:rsidRDefault="00CF0754" w:rsidP="00B320C7">
      <w:pPr>
        <w:pStyle w:val="ListParagraph"/>
        <w:numPr>
          <w:ilvl w:val="1"/>
          <w:numId w:val="62"/>
        </w:numPr>
        <w:tabs>
          <w:tab w:val="left" w:pos="2840"/>
        </w:tabs>
        <w:spacing w:before="24" w:line="256" w:lineRule="auto"/>
        <w:ind w:right="1437"/>
        <w:jc w:val="both"/>
        <w:rPr>
          <w:sz w:val="24"/>
        </w:rPr>
      </w:pPr>
      <w:r w:rsidRPr="007D3144">
        <w:rPr>
          <w:sz w:val="24"/>
        </w:rPr>
        <w:t>Electronic checks</w:t>
      </w:r>
      <w:r w:rsidRPr="007D3144">
        <w:rPr>
          <w:spacing w:val="-1"/>
          <w:sz w:val="24"/>
        </w:rPr>
        <w:t xml:space="preserve"> </w:t>
      </w:r>
      <w:r w:rsidRPr="007D3144">
        <w:rPr>
          <w:sz w:val="24"/>
        </w:rPr>
        <w:t>of data by our Compliance Officer to confirm it meets pre-agreed requirements</w:t>
      </w:r>
    </w:p>
    <w:p w14:paraId="487D24DE" w14:textId="77777777" w:rsidR="004C7180" w:rsidRPr="00150EDC" w:rsidRDefault="00CF0754" w:rsidP="00B320C7">
      <w:pPr>
        <w:pStyle w:val="ListParagraph"/>
        <w:numPr>
          <w:ilvl w:val="1"/>
          <w:numId w:val="62"/>
        </w:numPr>
        <w:tabs>
          <w:tab w:val="left" w:pos="2840"/>
        </w:tabs>
        <w:spacing w:before="22" w:line="256" w:lineRule="auto"/>
        <w:ind w:right="1437"/>
        <w:jc w:val="both"/>
        <w:rPr>
          <w:sz w:val="24"/>
        </w:rPr>
      </w:pPr>
      <w:r w:rsidRPr="007D3144">
        <w:rPr>
          <w:sz w:val="24"/>
        </w:rPr>
        <w:t>Virtual audits, e.g. Teams calls to undertake a virtual headcount of learner attendance</w:t>
      </w:r>
    </w:p>
    <w:p w14:paraId="03FC46CC" w14:textId="77777777" w:rsidR="004C7180" w:rsidRPr="00150EDC" w:rsidRDefault="00CF0754" w:rsidP="00B320C7">
      <w:pPr>
        <w:pStyle w:val="ListParagraph"/>
        <w:numPr>
          <w:ilvl w:val="1"/>
          <w:numId w:val="62"/>
        </w:numPr>
        <w:tabs>
          <w:tab w:val="left" w:pos="2840"/>
        </w:tabs>
        <w:spacing w:before="24" w:line="266" w:lineRule="auto"/>
        <w:ind w:right="1435"/>
        <w:jc w:val="both"/>
        <w:rPr>
          <w:sz w:val="24"/>
        </w:rPr>
      </w:pPr>
      <w:r w:rsidRPr="007D3144">
        <w:rPr>
          <w:sz w:val="24"/>
        </w:rPr>
        <w:t>In-person, unannounced audits, where the Project Director/Project Manager will undertake in-person spot-checks, e.g. visiting the FE college to observe learning intervention delivery</w:t>
      </w:r>
    </w:p>
    <w:p w14:paraId="0034B40A" w14:textId="77777777" w:rsidR="004C7180" w:rsidRPr="007D3144" w:rsidRDefault="00CF0754" w:rsidP="00B320C7">
      <w:pPr>
        <w:pStyle w:val="ListParagraph"/>
        <w:numPr>
          <w:ilvl w:val="0"/>
          <w:numId w:val="62"/>
        </w:numPr>
        <w:tabs>
          <w:tab w:val="left" w:pos="2120"/>
        </w:tabs>
        <w:spacing w:before="11" w:line="276" w:lineRule="auto"/>
        <w:ind w:right="1433"/>
        <w:jc w:val="both"/>
        <w:rPr>
          <w:rFonts w:ascii="Wingdings" w:hAnsi="Wingdings"/>
          <w:sz w:val="24"/>
        </w:rPr>
      </w:pPr>
      <w:r w:rsidRPr="007D3144">
        <w:rPr>
          <w:sz w:val="24"/>
        </w:rPr>
        <w:t>Early warning management interventions (e.g. additional focus for learner under-recruitment), and swift, clearly</w:t>
      </w:r>
      <w:r w:rsidRPr="007D3144">
        <w:rPr>
          <w:spacing w:val="-1"/>
          <w:sz w:val="24"/>
        </w:rPr>
        <w:t xml:space="preserve"> </w:t>
      </w:r>
      <w:r w:rsidRPr="007D3144">
        <w:rPr>
          <w:sz w:val="24"/>
        </w:rPr>
        <w:t>defined</w:t>
      </w:r>
      <w:r w:rsidRPr="007D3144">
        <w:rPr>
          <w:spacing w:val="-2"/>
          <w:sz w:val="24"/>
        </w:rPr>
        <w:t xml:space="preserve"> </w:t>
      </w:r>
      <w:r w:rsidRPr="007D3144">
        <w:rPr>
          <w:sz w:val="24"/>
        </w:rPr>
        <w:t>escalation pathways in the event of continued underperformance</w:t>
      </w:r>
    </w:p>
    <w:p w14:paraId="00EB9264" w14:textId="77777777" w:rsidR="004C7180" w:rsidRPr="00150EDC" w:rsidRDefault="00CF0754">
      <w:pPr>
        <w:ind w:left="1400"/>
        <w:jc w:val="both"/>
        <w:rPr>
          <w:i/>
          <w:sz w:val="24"/>
        </w:rPr>
      </w:pPr>
      <w:r w:rsidRPr="007D3144">
        <w:rPr>
          <w:i/>
          <w:sz w:val="24"/>
        </w:rPr>
        <w:t>Provider</w:t>
      </w:r>
      <w:r w:rsidRPr="007D3144">
        <w:rPr>
          <w:i/>
          <w:spacing w:val="-3"/>
          <w:sz w:val="24"/>
        </w:rPr>
        <w:t xml:space="preserve"> </w:t>
      </w:r>
      <w:r w:rsidRPr="007D3144">
        <w:rPr>
          <w:i/>
          <w:spacing w:val="-2"/>
          <w:sz w:val="24"/>
        </w:rPr>
        <w:t>engagement</w:t>
      </w:r>
    </w:p>
    <w:p w14:paraId="685BC6FE" w14:textId="77777777" w:rsidR="004C7180" w:rsidRPr="00150EDC" w:rsidRDefault="00CF0754">
      <w:pPr>
        <w:pStyle w:val="BodyText"/>
        <w:spacing w:before="161" w:line="276" w:lineRule="auto"/>
        <w:ind w:left="1400" w:right="1434"/>
        <w:jc w:val="both"/>
      </w:pPr>
      <w:r w:rsidRPr="007D3144">
        <w:t>The Project Manager and Contracts Coordinator will be responsible for engaging, onboarding and ongoing management of suppliers. Effective engagement will be achieved through:</w:t>
      </w:r>
    </w:p>
    <w:p w14:paraId="23EDDD1F" w14:textId="77777777" w:rsidR="004C7180" w:rsidRPr="00150EDC" w:rsidRDefault="004C7180">
      <w:pPr>
        <w:spacing w:line="276" w:lineRule="auto"/>
        <w:jc w:val="both"/>
        <w:sectPr w:rsidR="004C7180" w:rsidRPr="00150EDC">
          <w:pgSz w:w="11910" w:h="16840"/>
          <w:pgMar w:top="1460" w:right="0" w:bottom="1420" w:left="40" w:header="712" w:footer="1224" w:gutter="0"/>
          <w:cols w:space="720"/>
        </w:sectPr>
      </w:pPr>
    </w:p>
    <w:p w14:paraId="7748BB0F" w14:textId="77777777" w:rsidR="004C7180" w:rsidRPr="00150EDC" w:rsidRDefault="004C7180">
      <w:pPr>
        <w:pStyle w:val="BodyText"/>
        <w:spacing w:before="4"/>
        <w:rPr>
          <w:sz w:val="18"/>
        </w:rPr>
      </w:pPr>
    </w:p>
    <w:p w14:paraId="3C3D359F" w14:textId="77777777" w:rsidR="004C7180" w:rsidRPr="00150EDC" w:rsidRDefault="00CF0754" w:rsidP="00B320C7">
      <w:pPr>
        <w:pStyle w:val="ListParagraph"/>
        <w:numPr>
          <w:ilvl w:val="0"/>
          <w:numId w:val="62"/>
        </w:numPr>
        <w:tabs>
          <w:tab w:val="left" w:pos="2119"/>
        </w:tabs>
        <w:spacing w:before="93" w:line="276" w:lineRule="auto"/>
        <w:ind w:left="2119" w:right="1435"/>
        <w:jc w:val="both"/>
        <w:rPr>
          <w:rFonts w:ascii="Wingdings" w:hAnsi="Wingdings"/>
          <w:sz w:val="18"/>
        </w:rPr>
      </w:pPr>
      <w:r w:rsidRPr="007D3144">
        <w:rPr>
          <w:sz w:val="24"/>
        </w:rPr>
        <w:t>Implementing a comprehensive engagement campaign explaining the opportunity to suppliers including email/social media campaigns, news stories and online publications such as FEWeek.co.uk, followed up by webinars providing</w:t>
      </w:r>
      <w:r w:rsidRPr="007D3144">
        <w:rPr>
          <w:spacing w:val="-17"/>
          <w:sz w:val="24"/>
        </w:rPr>
        <w:t xml:space="preserve"> </w:t>
      </w:r>
      <w:r w:rsidRPr="007D3144">
        <w:rPr>
          <w:sz w:val="24"/>
        </w:rPr>
        <w:t>further</w:t>
      </w:r>
      <w:r w:rsidRPr="007D3144">
        <w:rPr>
          <w:spacing w:val="-17"/>
          <w:sz w:val="24"/>
        </w:rPr>
        <w:t xml:space="preserve"> </w:t>
      </w:r>
      <w:r w:rsidRPr="007D3144">
        <w:rPr>
          <w:sz w:val="24"/>
        </w:rPr>
        <w:t>detail</w:t>
      </w:r>
      <w:r w:rsidRPr="007D3144">
        <w:rPr>
          <w:spacing w:val="-16"/>
          <w:sz w:val="24"/>
        </w:rPr>
        <w:t xml:space="preserve"> </w:t>
      </w:r>
      <w:r w:rsidRPr="007D3144">
        <w:rPr>
          <w:sz w:val="24"/>
        </w:rPr>
        <w:t>and</w:t>
      </w:r>
      <w:r w:rsidRPr="007D3144">
        <w:rPr>
          <w:spacing w:val="-17"/>
          <w:sz w:val="24"/>
        </w:rPr>
        <w:t xml:space="preserve"> </w:t>
      </w:r>
      <w:r w:rsidRPr="007D3144">
        <w:rPr>
          <w:sz w:val="24"/>
        </w:rPr>
        <w:t>group/one-to-one</w:t>
      </w:r>
      <w:r w:rsidRPr="007D3144">
        <w:rPr>
          <w:spacing w:val="-17"/>
          <w:sz w:val="24"/>
        </w:rPr>
        <w:t xml:space="preserve"> </w:t>
      </w:r>
      <w:r w:rsidRPr="007D3144">
        <w:rPr>
          <w:sz w:val="24"/>
        </w:rPr>
        <w:t>virtual/face-to-face</w:t>
      </w:r>
      <w:r w:rsidRPr="007D3144">
        <w:rPr>
          <w:spacing w:val="-17"/>
          <w:sz w:val="24"/>
        </w:rPr>
        <w:t xml:space="preserve"> </w:t>
      </w:r>
      <w:r w:rsidRPr="007D3144">
        <w:rPr>
          <w:sz w:val="24"/>
        </w:rPr>
        <w:t>meetings.</w:t>
      </w:r>
      <w:r w:rsidRPr="007D3144">
        <w:rPr>
          <w:spacing w:val="-16"/>
          <w:sz w:val="24"/>
        </w:rPr>
        <w:t xml:space="preserve"> </w:t>
      </w:r>
      <w:r w:rsidRPr="007D3144">
        <w:rPr>
          <w:sz w:val="24"/>
        </w:rPr>
        <w:t>This will</w:t>
      </w:r>
      <w:r w:rsidRPr="007D3144">
        <w:rPr>
          <w:spacing w:val="-14"/>
          <w:sz w:val="24"/>
        </w:rPr>
        <w:t xml:space="preserve"> </w:t>
      </w:r>
      <w:r w:rsidRPr="007D3144">
        <w:rPr>
          <w:sz w:val="24"/>
        </w:rPr>
        <w:t>establish</w:t>
      </w:r>
      <w:r w:rsidRPr="007D3144">
        <w:rPr>
          <w:spacing w:val="-14"/>
          <w:sz w:val="24"/>
        </w:rPr>
        <w:t xml:space="preserve"> </w:t>
      </w:r>
      <w:r w:rsidRPr="007D3144">
        <w:rPr>
          <w:sz w:val="24"/>
        </w:rPr>
        <w:t>points</w:t>
      </w:r>
      <w:r w:rsidRPr="007D3144">
        <w:rPr>
          <w:spacing w:val="-15"/>
          <w:sz w:val="24"/>
        </w:rPr>
        <w:t xml:space="preserve"> </w:t>
      </w:r>
      <w:r w:rsidRPr="007D3144">
        <w:rPr>
          <w:sz w:val="24"/>
        </w:rPr>
        <w:t>of</w:t>
      </w:r>
      <w:r w:rsidRPr="007D3144">
        <w:rPr>
          <w:spacing w:val="-14"/>
          <w:sz w:val="24"/>
        </w:rPr>
        <w:t xml:space="preserve"> </w:t>
      </w:r>
      <w:r w:rsidRPr="007D3144">
        <w:rPr>
          <w:sz w:val="24"/>
        </w:rPr>
        <w:t>contact</w:t>
      </w:r>
      <w:r w:rsidRPr="007D3144">
        <w:rPr>
          <w:spacing w:val="-13"/>
          <w:sz w:val="24"/>
        </w:rPr>
        <w:t xml:space="preserve"> </w:t>
      </w:r>
      <w:r w:rsidRPr="007D3144">
        <w:rPr>
          <w:sz w:val="24"/>
        </w:rPr>
        <w:t>to</w:t>
      </w:r>
      <w:r w:rsidRPr="007D3144">
        <w:rPr>
          <w:spacing w:val="-14"/>
          <w:sz w:val="24"/>
        </w:rPr>
        <w:t xml:space="preserve"> </w:t>
      </w:r>
      <w:r w:rsidRPr="007D3144">
        <w:rPr>
          <w:sz w:val="24"/>
        </w:rPr>
        <w:t>develop</w:t>
      </w:r>
      <w:r w:rsidRPr="007D3144">
        <w:rPr>
          <w:spacing w:val="-14"/>
          <w:sz w:val="24"/>
        </w:rPr>
        <w:t xml:space="preserve"> </w:t>
      </w:r>
      <w:r w:rsidRPr="007D3144">
        <w:rPr>
          <w:sz w:val="24"/>
        </w:rPr>
        <w:t>strong</w:t>
      </w:r>
      <w:r w:rsidRPr="007D3144">
        <w:rPr>
          <w:spacing w:val="-13"/>
          <w:sz w:val="24"/>
        </w:rPr>
        <w:t xml:space="preserve"> </w:t>
      </w:r>
      <w:r w:rsidRPr="007D3144">
        <w:rPr>
          <w:sz w:val="24"/>
        </w:rPr>
        <w:t>working</w:t>
      </w:r>
      <w:r w:rsidRPr="007D3144">
        <w:rPr>
          <w:spacing w:val="-13"/>
          <w:sz w:val="24"/>
        </w:rPr>
        <w:t xml:space="preserve"> </w:t>
      </w:r>
      <w:r w:rsidRPr="007D3144">
        <w:rPr>
          <w:sz w:val="24"/>
        </w:rPr>
        <w:t>relationships</w:t>
      </w:r>
      <w:r w:rsidRPr="007D3144">
        <w:rPr>
          <w:spacing w:val="-14"/>
          <w:sz w:val="24"/>
        </w:rPr>
        <w:t xml:space="preserve"> </w:t>
      </w:r>
      <w:r w:rsidRPr="007D3144">
        <w:rPr>
          <w:sz w:val="24"/>
        </w:rPr>
        <w:t>a</w:t>
      </w:r>
      <w:r w:rsidRPr="00150EDC">
        <w:rPr>
          <w:sz w:val="18"/>
        </w:rPr>
        <w:t>nd</w:t>
      </w:r>
      <w:r w:rsidRPr="00150EDC">
        <w:rPr>
          <w:spacing w:val="-10"/>
          <w:sz w:val="18"/>
        </w:rPr>
        <w:t xml:space="preserve"> </w:t>
      </w:r>
      <w:r w:rsidRPr="00150EDC">
        <w:rPr>
          <w:sz w:val="18"/>
        </w:rPr>
        <w:t>provide consistency across the supply chain, simplifying management.</w:t>
      </w:r>
    </w:p>
    <w:p w14:paraId="133EE251" w14:textId="77777777" w:rsidR="004C7180" w:rsidRPr="007D3144" w:rsidRDefault="00CF0754" w:rsidP="00B320C7">
      <w:pPr>
        <w:pStyle w:val="ListParagraph"/>
        <w:numPr>
          <w:ilvl w:val="0"/>
          <w:numId w:val="62"/>
        </w:numPr>
        <w:tabs>
          <w:tab w:val="left" w:pos="2120"/>
        </w:tabs>
        <w:spacing w:line="276" w:lineRule="auto"/>
        <w:ind w:right="1436"/>
        <w:jc w:val="both"/>
        <w:rPr>
          <w:rFonts w:ascii="Wingdings" w:hAnsi="Wingdings"/>
          <w:sz w:val="24"/>
        </w:rPr>
      </w:pPr>
      <w:r w:rsidRPr="007D3144">
        <w:rPr>
          <w:sz w:val="24"/>
        </w:rPr>
        <w:t>Sharing</w:t>
      </w:r>
      <w:r w:rsidRPr="007D3144">
        <w:rPr>
          <w:spacing w:val="-12"/>
          <w:sz w:val="24"/>
        </w:rPr>
        <w:t xml:space="preserve"> </w:t>
      </w:r>
      <w:r w:rsidRPr="007D3144">
        <w:rPr>
          <w:sz w:val="24"/>
        </w:rPr>
        <w:t>resources</w:t>
      </w:r>
      <w:r w:rsidRPr="007D3144">
        <w:rPr>
          <w:spacing w:val="-13"/>
          <w:sz w:val="24"/>
        </w:rPr>
        <w:t xml:space="preserve"> </w:t>
      </w:r>
      <w:r w:rsidRPr="007D3144">
        <w:rPr>
          <w:sz w:val="24"/>
        </w:rPr>
        <w:t>to</w:t>
      </w:r>
      <w:r w:rsidRPr="007D3144">
        <w:rPr>
          <w:spacing w:val="-12"/>
          <w:sz w:val="24"/>
        </w:rPr>
        <w:t xml:space="preserve"> </w:t>
      </w:r>
      <w:r w:rsidRPr="007D3144">
        <w:rPr>
          <w:sz w:val="24"/>
        </w:rPr>
        <w:t>support</w:t>
      </w:r>
      <w:r w:rsidRPr="007D3144">
        <w:rPr>
          <w:spacing w:val="-12"/>
          <w:sz w:val="24"/>
        </w:rPr>
        <w:t xml:space="preserve"> </w:t>
      </w:r>
      <w:r w:rsidRPr="007D3144">
        <w:rPr>
          <w:sz w:val="24"/>
        </w:rPr>
        <w:t>with</w:t>
      </w:r>
      <w:r w:rsidRPr="007D3144">
        <w:rPr>
          <w:spacing w:val="-12"/>
          <w:sz w:val="24"/>
        </w:rPr>
        <w:t xml:space="preserve"> </w:t>
      </w:r>
      <w:r w:rsidRPr="007D3144">
        <w:rPr>
          <w:sz w:val="24"/>
        </w:rPr>
        <w:t>recruiting</w:t>
      </w:r>
      <w:r w:rsidRPr="007D3144">
        <w:rPr>
          <w:spacing w:val="-12"/>
          <w:sz w:val="24"/>
        </w:rPr>
        <w:t xml:space="preserve"> </w:t>
      </w:r>
      <w:r w:rsidRPr="007D3144">
        <w:rPr>
          <w:sz w:val="24"/>
        </w:rPr>
        <w:t>learners</w:t>
      </w:r>
      <w:r w:rsidRPr="007D3144">
        <w:rPr>
          <w:spacing w:val="-13"/>
          <w:sz w:val="24"/>
        </w:rPr>
        <w:t xml:space="preserve"> </w:t>
      </w:r>
      <w:r w:rsidRPr="007D3144">
        <w:rPr>
          <w:sz w:val="24"/>
        </w:rPr>
        <w:t>(e.g.</w:t>
      </w:r>
      <w:r w:rsidRPr="007D3144">
        <w:rPr>
          <w:spacing w:val="-12"/>
          <w:sz w:val="24"/>
        </w:rPr>
        <w:t xml:space="preserve"> </w:t>
      </w:r>
      <w:r w:rsidRPr="007D3144">
        <w:rPr>
          <w:sz w:val="24"/>
        </w:rPr>
        <w:t>template</w:t>
      </w:r>
      <w:r w:rsidRPr="007D3144">
        <w:rPr>
          <w:spacing w:val="-12"/>
          <w:sz w:val="24"/>
        </w:rPr>
        <w:t xml:space="preserve"> </w:t>
      </w:r>
      <w:r w:rsidRPr="007D3144">
        <w:rPr>
          <w:sz w:val="24"/>
        </w:rPr>
        <w:t>emails,</w:t>
      </w:r>
      <w:r w:rsidRPr="007D3144">
        <w:rPr>
          <w:spacing w:val="-12"/>
          <w:sz w:val="24"/>
        </w:rPr>
        <w:t xml:space="preserve"> </w:t>
      </w:r>
      <w:r w:rsidRPr="007D3144">
        <w:rPr>
          <w:sz w:val="24"/>
        </w:rPr>
        <w:t>and posters which can be tailored to the specific trial)</w:t>
      </w:r>
    </w:p>
    <w:p w14:paraId="6E7CF0D3" w14:textId="77777777" w:rsidR="004C7180" w:rsidRPr="007D3144" w:rsidRDefault="00CF0754" w:rsidP="00B320C7">
      <w:pPr>
        <w:pStyle w:val="ListParagraph"/>
        <w:numPr>
          <w:ilvl w:val="0"/>
          <w:numId w:val="62"/>
        </w:numPr>
        <w:tabs>
          <w:tab w:val="left" w:pos="2120"/>
        </w:tabs>
        <w:spacing w:line="276" w:lineRule="auto"/>
        <w:ind w:right="1435"/>
        <w:jc w:val="both"/>
        <w:rPr>
          <w:rFonts w:ascii="Wingdings" w:hAnsi="Wingdings"/>
          <w:sz w:val="24"/>
        </w:rPr>
      </w:pPr>
      <w:r w:rsidRPr="007D3144">
        <w:rPr>
          <w:sz w:val="24"/>
        </w:rPr>
        <w:t>Providing accessible overviews (e.g. recorded webinars/FAQs) for</w:t>
      </w:r>
      <w:r w:rsidRPr="007D3144">
        <w:rPr>
          <w:spacing w:val="-1"/>
          <w:sz w:val="24"/>
        </w:rPr>
        <w:t xml:space="preserve"> </w:t>
      </w:r>
      <w:r w:rsidRPr="007D3144">
        <w:rPr>
          <w:sz w:val="24"/>
        </w:rPr>
        <w:t>each trial a provider signs up to, e.g. outlining the trial protocols</w:t>
      </w:r>
    </w:p>
    <w:p w14:paraId="4A2FBFB8" w14:textId="77777777" w:rsidR="004C7180" w:rsidRPr="007D3144" w:rsidRDefault="00CF0754" w:rsidP="00B320C7">
      <w:pPr>
        <w:pStyle w:val="ListParagraph"/>
        <w:numPr>
          <w:ilvl w:val="0"/>
          <w:numId w:val="62"/>
        </w:numPr>
        <w:tabs>
          <w:tab w:val="left" w:pos="2120"/>
        </w:tabs>
        <w:spacing w:line="276" w:lineRule="auto"/>
        <w:ind w:right="1436"/>
        <w:jc w:val="both"/>
        <w:rPr>
          <w:rFonts w:ascii="Wingdings" w:hAnsi="Wingdings"/>
          <w:sz w:val="24"/>
        </w:rPr>
      </w:pPr>
      <w:r w:rsidRPr="007D3144">
        <w:rPr>
          <w:sz w:val="24"/>
        </w:rPr>
        <w:t>Trial readiness assessments to confirm that the provider has understood requirements and is able to effectively deliver the trial.</w:t>
      </w:r>
    </w:p>
    <w:p w14:paraId="24DAD36E" w14:textId="77777777" w:rsidR="004C7180" w:rsidRPr="007D3144" w:rsidRDefault="00CF0754" w:rsidP="00B320C7">
      <w:pPr>
        <w:pStyle w:val="ListParagraph"/>
        <w:numPr>
          <w:ilvl w:val="0"/>
          <w:numId w:val="62"/>
        </w:numPr>
        <w:tabs>
          <w:tab w:val="left" w:pos="2119"/>
        </w:tabs>
        <w:spacing w:line="276" w:lineRule="auto"/>
        <w:ind w:left="2119" w:right="1436"/>
        <w:jc w:val="both"/>
        <w:rPr>
          <w:rFonts w:ascii="Wingdings" w:hAnsi="Wingdings"/>
          <w:sz w:val="24"/>
        </w:rPr>
      </w:pPr>
      <w:r w:rsidRPr="007D3144">
        <w:rPr>
          <w:sz w:val="24"/>
        </w:rPr>
        <w:t>Our</w:t>
      </w:r>
      <w:r w:rsidRPr="007D3144">
        <w:rPr>
          <w:spacing w:val="-8"/>
          <w:sz w:val="24"/>
        </w:rPr>
        <w:t xml:space="preserve"> </w:t>
      </w:r>
      <w:r w:rsidRPr="007D3144">
        <w:rPr>
          <w:sz w:val="24"/>
        </w:rPr>
        <w:t>team</w:t>
      </w:r>
      <w:r w:rsidRPr="007D3144">
        <w:rPr>
          <w:spacing w:val="-6"/>
          <w:sz w:val="24"/>
        </w:rPr>
        <w:t xml:space="preserve"> </w:t>
      </w:r>
      <w:r w:rsidRPr="007D3144">
        <w:rPr>
          <w:sz w:val="24"/>
        </w:rPr>
        <w:t>will</w:t>
      </w:r>
      <w:r w:rsidRPr="007D3144">
        <w:rPr>
          <w:spacing w:val="-8"/>
          <w:sz w:val="24"/>
        </w:rPr>
        <w:t xml:space="preserve"> </w:t>
      </w:r>
      <w:r w:rsidRPr="007D3144">
        <w:rPr>
          <w:sz w:val="24"/>
        </w:rPr>
        <w:t>be</w:t>
      </w:r>
      <w:r w:rsidRPr="007D3144">
        <w:rPr>
          <w:spacing w:val="-7"/>
          <w:sz w:val="24"/>
        </w:rPr>
        <w:t xml:space="preserve"> </w:t>
      </w:r>
      <w:r w:rsidRPr="007D3144">
        <w:rPr>
          <w:sz w:val="24"/>
        </w:rPr>
        <w:t>available</w:t>
      </w:r>
      <w:r w:rsidRPr="007D3144">
        <w:rPr>
          <w:spacing w:val="-7"/>
          <w:sz w:val="24"/>
        </w:rPr>
        <w:t xml:space="preserve"> </w:t>
      </w:r>
      <w:r w:rsidRPr="007D3144">
        <w:rPr>
          <w:sz w:val="24"/>
        </w:rPr>
        <w:t>to</w:t>
      </w:r>
      <w:r w:rsidRPr="007D3144">
        <w:rPr>
          <w:spacing w:val="-7"/>
          <w:sz w:val="24"/>
        </w:rPr>
        <w:t xml:space="preserve"> </w:t>
      </w:r>
      <w:r w:rsidRPr="007D3144">
        <w:rPr>
          <w:sz w:val="24"/>
        </w:rPr>
        <w:t>discuss</w:t>
      </w:r>
      <w:r w:rsidRPr="007D3144">
        <w:rPr>
          <w:spacing w:val="-8"/>
          <w:sz w:val="24"/>
        </w:rPr>
        <w:t xml:space="preserve"> </w:t>
      </w:r>
      <w:r w:rsidRPr="007D3144">
        <w:rPr>
          <w:sz w:val="24"/>
        </w:rPr>
        <w:t>issues</w:t>
      </w:r>
      <w:r w:rsidRPr="007D3144">
        <w:rPr>
          <w:spacing w:val="-8"/>
          <w:sz w:val="24"/>
        </w:rPr>
        <w:t xml:space="preserve"> </w:t>
      </w:r>
      <w:r w:rsidRPr="007D3144">
        <w:rPr>
          <w:sz w:val="24"/>
        </w:rPr>
        <w:t>when</w:t>
      </w:r>
      <w:r w:rsidRPr="007D3144">
        <w:rPr>
          <w:spacing w:val="-7"/>
          <w:sz w:val="24"/>
        </w:rPr>
        <w:t xml:space="preserve"> </w:t>
      </w:r>
      <w:r w:rsidRPr="007D3144">
        <w:rPr>
          <w:sz w:val="24"/>
        </w:rPr>
        <w:t>required</w:t>
      </w:r>
      <w:r w:rsidRPr="007D3144">
        <w:rPr>
          <w:spacing w:val="-7"/>
          <w:sz w:val="24"/>
        </w:rPr>
        <w:t xml:space="preserve"> </w:t>
      </w:r>
      <w:r w:rsidRPr="007D3144">
        <w:rPr>
          <w:sz w:val="24"/>
        </w:rPr>
        <w:t>via</w:t>
      </w:r>
      <w:r w:rsidRPr="007D3144">
        <w:rPr>
          <w:spacing w:val="-9"/>
          <w:sz w:val="24"/>
        </w:rPr>
        <w:t xml:space="preserve"> </w:t>
      </w:r>
      <w:r w:rsidRPr="007D3144">
        <w:rPr>
          <w:sz w:val="24"/>
        </w:rPr>
        <w:t>email/telephone and</w:t>
      </w:r>
      <w:r w:rsidRPr="007D3144">
        <w:rPr>
          <w:spacing w:val="-16"/>
          <w:sz w:val="24"/>
        </w:rPr>
        <w:t xml:space="preserve"> </w:t>
      </w:r>
      <w:r w:rsidRPr="007D3144">
        <w:rPr>
          <w:sz w:val="24"/>
        </w:rPr>
        <w:t>attend</w:t>
      </w:r>
      <w:r w:rsidRPr="007D3144">
        <w:rPr>
          <w:spacing w:val="-16"/>
          <w:sz w:val="24"/>
        </w:rPr>
        <w:t xml:space="preserve"> </w:t>
      </w:r>
      <w:r w:rsidRPr="007D3144">
        <w:rPr>
          <w:sz w:val="24"/>
        </w:rPr>
        <w:t>meetings/informal</w:t>
      </w:r>
      <w:r w:rsidRPr="007D3144">
        <w:rPr>
          <w:spacing w:val="-17"/>
          <w:sz w:val="24"/>
        </w:rPr>
        <w:t xml:space="preserve"> </w:t>
      </w:r>
      <w:r w:rsidRPr="007D3144">
        <w:rPr>
          <w:sz w:val="24"/>
        </w:rPr>
        <w:t>face-to-face</w:t>
      </w:r>
      <w:r w:rsidRPr="007D3144">
        <w:rPr>
          <w:spacing w:val="-13"/>
          <w:sz w:val="24"/>
        </w:rPr>
        <w:t xml:space="preserve"> </w:t>
      </w:r>
      <w:r w:rsidRPr="007D3144">
        <w:rPr>
          <w:sz w:val="24"/>
        </w:rPr>
        <w:t>conversations</w:t>
      </w:r>
      <w:r w:rsidRPr="007D3144">
        <w:rPr>
          <w:spacing w:val="-17"/>
          <w:sz w:val="24"/>
        </w:rPr>
        <w:t xml:space="preserve"> </w:t>
      </w:r>
      <w:r w:rsidRPr="007D3144">
        <w:rPr>
          <w:sz w:val="24"/>
        </w:rPr>
        <w:t>with</w:t>
      </w:r>
      <w:r w:rsidRPr="007D3144">
        <w:rPr>
          <w:spacing w:val="-13"/>
          <w:sz w:val="24"/>
        </w:rPr>
        <w:t xml:space="preserve"> </w:t>
      </w:r>
      <w:r w:rsidRPr="007D3144">
        <w:rPr>
          <w:sz w:val="24"/>
        </w:rPr>
        <w:t>subcontractors</w:t>
      </w:r>
      <w:r w:rsidRPr="007D3144">
        <w:rPr>
          <w:spacing w:val="-15"/>
          <w:sz w:val="24"/>
        </w:rPr>
        <w:t xml:space="preserve"> </w:t>
      </w:r>
      <w:r w:rsidRPr="007D3144">
        <w:rPr>
          <w:sz w:val="24"/>
        </w:rPr>
        <w:t>at any time.</w:t>
      </w:r>
    </w:p>
    <w:p w14:paraId="79EDF7C7" w14:textId="77777777" w:rsidR="004C7180" w:rsidRPr="00150EDC" w:rsidRDefault="00CF0754">
      <w:pPr>
        <w:pStyle w:val="BodyText"/>
        <w:spacing w:line="276" w:lineRule="auto"/>
        <w:ind w:left="1399" w:right="1433"/>
        <w:jc w:val="both"/>
      </w:pPr>
      <w:r w:rsidRPr="007D3144">
        <w:t>For clarity, we are delivering all elements of this contract in-house and will not be relying on subcontractors to undertake any elements of the delivery supplier responsibilities.</w:t>
      </w:r>
      <w:r w:rsidRPr="007D3144">
        <w:rPr>
          <w:spacing w:val="-17"/>
        </w:rPr>
        <w:t xml:space="preserve"> </w:t>
      </w:r>
      <w:r w:rsidRPr="007D3144">
        <w:t>However,</w:t>
      </w:r>
      <w:r w:rsidRPr="007D3144">
        <w:rPr>
          <w:spacing w:val="-17"/>
        </w:rPr>
        <w:t xml:space="preserve"> </w:t>
      </w:r>
      <w:r w:rsidRPr="007D3144">
        <w:t>we</w:t>
      </w:r>
      <w:r w:rsidRPr="007D3144">
        <w:rPr>
          <w:spacing w:val="-16"/>
        </w:rPr>
        <w:t xml:space="preserve"> </w:t>
      </w:r>
      <w:r w:rsidRPr="007D3144">
        <w:t>do</w:t>
      </w:r>
      <w:r w:rsidRPr="007D3144">
        <w:rPr>
          <w:spacing w:val="-17"/>
        </w:rPr>
        <w:t xml:space="preserve"> </w:t>
      </w:r>
      <w:r w:rsidRPr="007D3144">
        <w:t>have</w:t>
      </w:r>
      <w:r w:rsidRPr="007D3144">
        <w:rPr>
          <w:spacing w:val="-17"/>
        </w:rPr>
        <w:t xml:space="preserve"> </w:t>
      </w:r>
      <w:r w:rsidRPr="007D3144">
        <w:t>documented</w:t>
      </w:r>
      <w:r w:rsidRPr="007D3144">
        <w:rPr>
          <w:spacing w:val="-17"/>
        </w:rPr>
        <w:t xml:space="preserve"> </w:t>
      </w:r>
      <w:r w:rsidRPr="007D3144">
        <w:t>processes</w:t>
      </w:r>
      <w:r w:rsidRPr="007D3144">
        <w:rPr>
          <w:spacing w:val="-16"/>
        </w:rPr>
        <w:t xml:space="preserve"> </w:t>
      </w:r>
      <w:r w:rsidRPr="007D3144">
        <w:t>and</w:t>
      </w:r>
      <w:r w:rsidRPr="007D3144">
        <w:rPr>
          <w:spacing w:val="-17"/>
        </w:rPr>
        <w:t xml:space="preserve"> </w:t>
      </w:r>
      <w:r w:rsidRPr="007D3144">
        <w:t>procedures</w:t>
      </w:r>
      <w:r w:rsidRPr="007D3144">
        <w:rPr>
          <w:spacing w:val="-17"/>
        </w:rPr>
        <w:t xml:space="preserve"> </w:t>
      </w:r>
      <w:r w:rsidRPr="007D3144">
        <w:t>in</w:t>
      </w:r>
      <w:r w:rsidRPr="007D3144">
        <w:rPr>
          <w:spacing w:val="-16"/>
        </w:rPr>
        <w:t xml:space="preserve"> </w:t>
      </w:r>
      <w:r w:rsidRPr="007D3144">
        <w:t>place for identifying, selecting and managing subcontractors where required.</w:t>
      </w:r>
    </w:p>
    <w:p w14:paraId="39477ECF" w14:textId="77777777" w:rsidR="004C7180" w:rsidRPr="00150EDC" w:rsidRDefault="004C7180">
      <w:pPr>
        <w:pStyle w:val="BodyText"/>
        <w:rPr>
          <w:sz w:val="26"/>
        </w:rPr>
      </w:pPr>
    </w:p>
    <w:p w14:paraId="06D8AC3C" w14:textId="77777777" w:rsidR="004C7180" w:rsidRPr="00150EDC" w:rsidRDefault="004C7180">
      <w:pPr>
        <w:pStyle w:val="BodyText"/>
        <w:spacing w:before="7"/>
        <w:rPr>
          <w:sz w:val="21"/>
        </w:rPr>
      </w:pPr>
    </w:p>
    <w:p w14:paraId="415435E4" w14:textId="77777777" w:rsidR="004C7180" w:rsidRPr="00150EDC" w:rsidRDefault="00CF0754">
      <w:pPr>
        <w:spacing w:before="1"/>
        <w:ind w:left="1400"/>
        <w:jc w:val="both"/>
        <w:rPr>
          <w:b/>
          <w:sz w:val="24"/>
        </w:rPr>
      </w:pPr>
      <w:r w:rsidRPr="007D3144">
        <w:rPr>
          <w:b/>
          <w:sz w:val="24"/>
        </w:rPr>
        <w:t>Engaging</w:t>
      </w:r>
      <w:r w:rsidRPr="007D3144">
        <w:rPr>
          <w:b/>
          <w:spacing w:val="-3"/>
          <w:sz w:val="24"/>
        </w:rPr>
        <w:t xml:space="preserve"> </w:t>
      </w:r>
      <w:r w:rsidRPr="007D3144">
        <w:rPr>
          <w:b/>
          <w:sz w:val="24"/>
        </w:rPr>
        <w:t>with</w:t>
      </w:r>
      <w:r w:rsidRPr="007D3144">
        <w:rPr>
          <w:b/>
          <w:spacing w:val="-2"/>
          <w:sz w:val="24"/>
        </w:rPr>
        <w:t xml:space="preserve"> </w:t>
      </w:r>
      <w:r w:rsidRPr="007D3144">
        <w:rPr>
          <w:b/>
          <w:sz w:val="24"/>
        </w:rPr>
        <w:t>DfE</w:t>
      </w:r>
      <w:r w:rsidRPr="007D3144">
        <w:rPr>
          <w:b/>
          <w:spacing w:val="-1"/>
          <w:sz w:val="24"/>
        </w:rPr>
        <w:t xml:space="preserve"> </w:t>
      </w:r>
      <w:r w:rsidRPr="007D3144">
        <w:rPr>
          <w:b/>
          <w:spacing w:val="-2"/>
          <w:sz w:val="24"/>
        </w:rPr>
        <w:t>suppliers</w:t>
      </w:r>
    </w:p>
    <w:p w14:paraId="56A4393A" w14:textId="77777777" w:rsidR="004C7180" w:rsidRPr="00150EDC" w:rsidRDefault="00CF0754">
      <w:pPr>
        <w:pStyle w:val="BodyText"/>
        <w:spacing w:before="160" w:line="276" w:lineRule="auto"/>
        <w:ind w:left="1400" w:right="1434"/>
        <w:jc w:val="both"/>
      </w:pPr>
      <w:r w:rsidRPr="007D3144">
        <w:t>During</w:t>
      </w:r>
      <w:r w:rsidRPr="007D3144">
        <w:rPr>
          <w:spacing w:val="-7"/>
        </w:rPr>
        <w:t xml:space="preserve"> </w:t>
      </w:r>
      <w:r w:rsidRPr="007D3144">
        <w:t>the</w:t>
      </w:r>
      <w:r w:rsidRPr="007D3144">
        <w:rPr>
          <w:spacing w:val="-7"/>
        </w:rPr>
        <w:t xml:space="preserve"> </w:t>
      </w:r>
      <w:r w:rsidRPr="007D3144">
        <w:t>contract</w:t>
      </w:r>
      <w:r w:rsidRPr="007D3144">
        <w:rPr>
          <w:spacing w:val="-9"/>
        </w:rPr>
        <w:t xml:space="preserve"> </w:t>
      </w:r>
      <w:r w:rsidRPr="007D3144">
        <w:t>mobilisation,</w:t>
      </w:r>
      <w:r w:rsidRPr="007D3144">
        <w:rPr>
          <w:spacing w:val="-9"/>
        </w:rPr>
        <w:t xml:space="preserve"> </w:t>
      </w:r>
      <w:r w:rsidRPr="007D3144">
        <w:t>the</w:t>
      </w:r>
      <w:r w:rsidRPr="007D3144">
        <w:rPr>
          <w:spacing w:val="-9"/>
        </w:rPr>
        <w:t xml:space="preserve"> </w:t>
      </w:r>
      <w:r w:rsidRPr="007D3144">
        <w:t>Project</w:t>
      </w:r>
      <w:r w:rsidRPr="007D3144">
        <w:rPr>
          <w:spacing w:val="-9"/>
        </w:rPr>
        <w:t xml:space="preserve"> </w:t>
      </w:r>
      <w:r w:rsidRPr="007D3144">
        <w:t>Director</w:t>
      </w:r>
      <w:r w:rsidRPr="007D3144">
        <w:rPr>
          <w:spacing w:val="-8"/>
        </w:rPr>
        <w:t xml:space="preserve"> </w:t>
      </w:r>
      <w:r w:rsidRPr="007D3144">
        <w:t>will</w:t>
      </w:r>
      <w:r w:rsidRPr="007D3144">
        <w:rPr>
          <w:spacing w:val="-8"/>
        </w:rPr>
        <w:t xml:space="preserve"> </w:t>
      </w:r>
      <w:r w:rsidRPr="007D3144">
        <w:t>send</w:t>
      </w:r>
      <w:r w:rsidRPr="007D3144">
        <w:rPr>
          <w:spacing w:val="-7"/>
        </w:rPr>
        <w:t xml:space="preserve"> </w:t>
      </w:r>
      <w:r w:rsidRPr="007D3144">
        <w:t>an</w:t>
      </w:r>
      <w:r w:rsidRPr="007D3144">
        <w:rPr>
          <w:spacing w:val="-7"/>
        </w:rPr>
        <w:t xml:space="preserve"> </w:t>
      </w:r>
      <w:r w:rsidRPr="007D3144">
        <w:t>email</w:t>
      </w:r>
      <w:r w:rsidRPr="007D3144">
        <w:rPr>
          <w:spacing w:val="-8"/>
        </w:rPr>
        <w:t xml:space="preserve"> </w:t>
      </w:r>
      <w:r w:rsidRPr="007D3144">
        <w:t>introduction</w:t>
      </w:r>
      <w:r w:rsidRPr="007D3144">
        <w:rPr>
          <w:spacing w:val="-9"/>
        </w:rPr>
        <w:t xml:space="preserve"> </w:t>
      </w:r>
      <w:r w:rsidRPr="007D3144">
        <w:t>to the</w:t>
      </w:r>
      <w:r w:rsidRPr="007D3144">
        <w:rPr>
          <w:spacing w:val="-17"/>
        </w:rPr>
        <w:t xml:space="preserve"> </w:t>
      </w:r>
      <w:r w:rsidRPr="007D3144">
        <w:t>evaluator</w:t>
      </w:r>
      <w:r w:rsidRPr="007D3144">
        <w:rPr>
          <w:spacing w:val="-17"/>
        </w:rPr>
        <w:t xml:space="preserve"> </w:t>
      </w:r>
      <w:r w:rsidRPr="007D3144">
        <w:t>to</w:t>
      </w:r>
      <w:r w:rsidRPr="007D3144">
        <w:rPr>
          <w:spacing w:val="-16"/>
        </w:rPr>
        <w:t xml:space="preserve"> </w:t>
      </w:r>
      <w:r w:rsidRPr="007D3144">
        <w:t>introduce</w:t>
      </w:r>
      <w:r w:rsidRPr="007D3144">
        <w:rPr>
          <w:spacing w:val="-17"/>
        </w:rPr>
        <w:t xml:space="preserve"> </w:t>
      </w:r>
      <w:r w:rsidRPr="007D3144">
        <w:t>our</w:t>
      </w:r>
      <w:r w:rsidRPr="007D3144">
        <w:rPr>
          <w:spacing w:val="-17"/>
        </w:rPr>
        <w:t xml:space="preserve"> </w:t>
      </w:r>
      <w:r w:rsidRPr="007D3144">
        <w:t>team,</w:t>
      </w:r>
      <w:r w:rsidRPr="007D3144">
        <w:rPr>
          <w:spacing w:val="-17"/>
        </w:rPr>
        <w:t xml:space="preserve"> </w:t>
      </w:r>
      <w:r w:rsidRPr="007D3144">
        <w:t>and</w:t>
      </w:r>
      <w:r w:rsidRPr="007D3144">
        <w:rPr>
          <w:spacing w:val="-16"/>
        </w:rPr>
        <w:t xml:space="preserve"> </w:t>
      </w:r>
      <w:r w:rsidRPr="007D3144">
        <w:t>arrange</w:t>
      </w:r>
      <w:r w:rsidRPr="007D3144">
        <w:rPr>
          <w:spacing w:val="-17"/>
        </w:rPr>
        <w:t xml:space="preserve"> </w:t>
      </w:r>
      <w:r w:rsidRPr="007D3144">
        <w:t>a</w:t>
      </w:r>
      <w:r w:rsidRPr="007D3144">
        <w:rPr>
          <w:spacing w:val="-17"/>
        </w:rPr>
        <w:t xml:space="preserve"> </w:t>
      </w:r>
      <w:r w:rsidRPr="007D3144">
        <w:t>time</w:t>
      </w:r>
      <w:r w:rsidRPr="007D3144">
        <w:rPr>
          <w:spacing w:val="-16"/>
        </w:rPr>
        <w:t xml:space="preserve"> </w:t>
      </w:r>
      <w:r w:rsidRPr="007D3144">
        <w:t>for</w:t>
      </w:r>
      <w:r w:rsidRPr="007D3144">
        <w:rPr>
          <w:spacing w:val="-17"/>
        </w:rPr>
        <w:t xml:space="preserve"> </w:t>
      </w:r>
      <w:r w:rsidRPr="007D3144">
        <w:t>an</w:t>
      </w:r>
      <w:r w:rsidRPr="007D3144">
        <w:rPr>
          <w:spacing w:val="-17"/>
        </w:rPr>
        <w:t xml:space="preserve"> </w:t>
      </w:r>
      <w:r w:rsidRPr="007D3144">
        <w:t>initial</w:t>
      </w:r>
      <w:r w:rsidRPr="007D3144">
        <w:rPr>
          <w:spacing w:val="-16"/>
        </w:rPr>
        <w:t xml:space="preserve"> </w:t>
      </w:r>
      <w:r w:rsidRPr="007D3144">
        <w:t>contract</w:t>
      </w:r>
      <w:r w:rsidRPr="007D3144">
        <w:rPr>
          <w:spacing w:val="-17"/>
        </w:rPr>
        <w:t xml:space="preserve"> </w:t>
      </w:r>
      <w:r w:rsidRPr="007D3144">
        <w:t>workshop, which will be used to:</w:t>
      </w:r>
    </w:p>
    <w:p w14:paraId="75345842" w14:textId="77777777" w:rsidR="004C7180" w:rsidRPr="007D3144" w:rsidRDefault="00CF0754" w:rsidP="00B320C7">
      <w:pPr>
        <w:pStyle w:val="ListParagraph"/>
        <w:numPr>
          <w:ilvl w:val="0"/>
          <w:numId w:val="62"/>
        </w:numPr>
        <w:tabs>
          <w:tab w:val="left" w:pos="2120"/>
        </w:tabs>
        <w:spacing w:before="121" w:line="276" w:lineRule="auto"/>
        <w:ind w:right="1435"/>
        <w:rPr>
          <w:rFonts w:ascii="Wingdings" w:hAnsi="Wingdings"/>
          <w:sz w:val="24"/>
        </w:rPr>
      </w:pPr>
      <w:r w:rsidRPr="007D3144">
        <w:rPr>
          <w:sz w:val="24"/>
        </w:rPr>
        <w:t>Establish</w:t>
      </w:r>
      <w:r w:rsidRPr="007D3144">
        <w:rPr>
          <w:spacing w:val="-7"/>
          <w:sz w:val="24"/>
        </w:rPr>
        <w:t xml:space="preserve"> </w:t>
      </w:r>
      <w:r w:rsidRPr="007D3144">
        <w:rPr>
          <w:sz w:val="24"/>
        </w:rPr>
        <w:t>a</w:t>
      </w:r>
      <w:r w:rsidRPr="007D3144">
        <w:rPr>
          <w:spacing w:val="-4"/>
          <w:sz w:val="24"/>
        </w:rPr>
        <w:t xml:space="preserve"> </w:t>
      </w:r>
      <w:r w:rsidRPr="007D3144">
        <w:rPr>
          <w:sz w:val="24"/>
        </w:rPr>
        <w:t>key</w:t>
      </w:r>
      <w:r w:rsidRPr="007D3144">
        <w:rPr>
          <w:spacing w:val="-5"/>
          <w:sz w:val="24"/>
        </w:rPr>
        <w:t xml:space="preserve"> </w:t>
      </w:r>
      <w:r w:rsidRPr="007D3144">
        <w:rPr>
          <w:sz w:val="24"/>
        </w:rPr>
        <w:t>point</w:t>
      </w:r>
      <w:r w:rsidRPr="007D3144">
        <w:rPr>
          <w:spacing w:val="-5"/>
          <w:sz w:val="24"/>
        </w:rPr>
        <w:t xml:space="preserve"> </w:t>
      </w:r>
      <w:r w:rsidRPr="007D3144">
        <w:rPr>
          <w:sz w:val="24"/>
        </w:rPr>
        <w:t>of</w:t>
      </w:r>
      <w:r w:rsidRPr="007D3144">
        <w:rPr>
          <w:spacing w:val="-5"/>
          <w:sz w:val="24"/>
        </w:rPr>
        <w:t xml:space="preserve"> </w:t>
      </w:r>
      <w:r w:rsidRPr="007D3144">
        <w:rPr>
          <w:sz w:val="24"/>
        </w:rPr>
        <w:t>contact</w:t>
      </w:r>
      <w:r w:rsidRPr="007D3144">
        <w:rPr>
          <w:spacing w:val="-5"/>
          <w:sz w:val="24"/>
        </w:rPr>
        <w:t xml:space="preserve"> </w:t>
      </w:r>
      <w:r w:rsidRPr="007D3144">
        <w:rPr>
          <w:sz w:val="24"/>
        </w:rPr>
        <w:t>and</w:t>
      </w:r>
      <w:r w:rsidRPr="007D3144">
        <w:rPr>
          <w:spacing w:val="-4"/>
          <w:sz w:val="24"/>
        </w:rPr>
        <w:t xml:space="preserve"> </w:t>
      </w:r>
      <w:r w:rsidRPr="007D3144">
        <w:rPr>
          <w:sz w:val="24"/>
        </w:rPr>
        <w:t>collaborative</w:t>
      </w:r>
      <w:r w:rsidRPr="007D3144">
        <w:rPr>
          <w:spacing w:val="-4"/>
          <w:sz w:val="24"/>
        </w:rPr>
        <w:t xml:space="preserve"> </w:t>
      </w:r>
      <w:r w:rsidRPr="007D3144">
        <w:rPr>
          <w:sz w:val="24"/>
        </w:rPr>
        <w:t>working</w:t>
      </w:r>
      <w:r w:rsidRPr="007D3144">
        <w:rPr>
          <w:spacing w:val="-4"/>
          <w:sz w:val="24"/>
        </w:rPr>
        <w:t xml:space="preserve"> </w:t>
      </w:r>
      <w:r w:rsidRPr="007D3144">
        <w:rPr>
          <w:sz w:val="24"/>
        </w:rPr>
        <w:t>arrangements</w:t>
      </w:r>
      <w:r w:rsidRPr="007D3144">
        <w:rPr>
          <w:spacing w:val="-5"/>
          <w:sz w:val="24"/>
        </w:rPr>
        <w:t xml:space="preserve"> </w:t>
      </w:r>
      <w:r w:rsidRPr="007D3144">
        <w:rPr>
          <w:sz w:val="24"/>
        </w:rPr>
        <w:t>in</w:t>
      </w:r>
      <w:r w:rsidRPr="007D3144">
        <w:rPr>
          <w:spacing w:val="-4"/>
          <w:sz w:val="24"/>
        </w:rPr>
        <w:t xml:space="preserve"> </w:t>
      </w:r>
      <w:r w:rsidRPr="007D3144">
        <w:rPr>
          <w:sz w:val="24"/>
        </w:rPr>
        <w:t>line with Schedule 24.</w:t>
      </w:r>
    </w:p>
    <w:p w14:paraId="742AD548" w14:textId="77777777" w:rsidR="004C7180" w:rsidRPr="007D3144" w:rsidRDefault="00CF0754" w:rsidP="00B320C7">
      <w:pPr>
        <w:pStyle w:val="ListParagraph"/>
        <w:numPr>
          <w:ilvl w:val="0"/>
          <w:numId w:val="62"/>
        </w:numPr>
        <w:tabs>
          <w:tab w:val="left" w:pos="2120"/>
        </w:tabs>
        <w:spacing w:line="276" w:lineRule="auto"/>
        <w:ind w:right="1433"/>
        <w:rPr>
          <w:rFonts w:ascii="Wingdings" w:hAnsi="Wingdings"/>
          <w:sz w:val="24"/>
        </w:rPr>
      </w:pPr>
      <w:r w:rsidRPr="007D3144">
        <w:rPr>
          <w:sz w:val="24"/>
        </w:rPr>
        <w:t>Gather input into the overarching delivery plan including timing of individual</w:t>
      </w:r>
      <w:r w:rsidRPr="007D3144">
        <w:rPr>
          <w:spacing w:val="80"/>
          <w:w w:val="150"/>
          <w:sz w:val="24"/>
        </w:rPr>
        <w:t xml:space="preserve"> </w:t>
      </w:r>
      <w:r w:rsidRPr="007D3144">
        <w:rPr>
          <w:sz w:val="24"/>
        </w:rPr>
        <w:t>trials, and the portfolio risk register.</w:t>
      </w:r>
    </w:p>
    <w:p w14:paraId="2A452E5B" w14:textId="77777777" w:rsidR="004C7180" w:rsidRPr="007D3144" w:rsidRDefault="00CF0754" w:rsidP="00B320C7">
      <w:pPr>
        <w:pStyle w:val="ListParagraph"/>
        <w:numPr>
          <w:ilvl w:val="0"/>
          <w:numId w:val="62"/>
        </w:numPr>
        <w:tabs>
          <w:tab w:val="left" w:pos="2120"/>
        </w:tabs>
        <w:spacing w:line="276" w:lineRule="auto"/>
        <w:ind w:right="1436"/>
        <w:rPr>
          <w:rFonts w:ascii="Wingdings" w:hAnsi="Wingdings"/>
          <w:sz w:val="24"/>
        </w:rPr>
      </w:pPr>
      <w:r w:rsidRPr="007D3144">
        <w:rPr>
          <w:sz w:val="24"/>
        </w:rPr>
        <w:t>Agree working protocols for developing and gaining approval for Logic Model and TIDieR Frameworks.</w:t>
      </w:r>
    </w:p>
    <w:p w14:paraId="3B1034FF" w14:textId="77777777" w:rsidR="004C7180" w:rsidRPr="00150EDC" w:rsidRDefault="00CF0754">
      <w:pPr>
        <w:pStyle w:val="BodyText"/>
        <w:spacing w:line="276" w:lineRule="auto"/>
        <w:ind w:left="1400" w:right="1459"/>
      </w:pPr>
      <w:r w:rsidRPr="007D3144">
        <w:t>We</w:t>
      </w:r>
      <w:r w:rsidRPr="007D3144">
        <w:rPr>
          <w:spacing w:val="40"/>
        </w:rPr>
        <w:t xml:space="preserve"> </w:t>
      </w:r>
      <w:r w:rsidRPr="007D3144">
        <w:t>will</w:t>
      </w:r>
      <w:r w:rsidRPr="007D3144">
        <w:rPr>
          <w:spacing w:val="40"/>
        </w:rPr>
        <w:t xml:space="preserve"> </w:t>
      </w:r>
      <w:r w:rsidRPr="007D3144">
        <w:t>maintain</w:t>
      </w:r>
      <w:r w:rsidRPr="007D3144">
        <w:rPr>
          <w:spacing w:val="40"/>
        </w:rPr>
        <w:t xml:space="preserve"> </w:t>
      </w:r>
      <w:r w:rsidRPr="007D3144">
        <w:t>a</w:t>
      </w:r>
      <w:r w:rsidRPr="007D3144">
        <w:rPr>
          <w:spacing w:val="40"/>
        </w:rPr>
        <w:t xml:space="preserve"> </w:t>
      </w:r>
      <w:r w:rsidRPr="007D3144">
        <w:t>close</w:t>
      </w:r>
      <w:r w:rsidRPr="007D3144">
        <w:rPr>
          <w:spacing w:val="40"/>
        </w:rPr>
        <w:t xml:space="preserve"> </w:t>
      </w:r>
      <w:r w:rsidRPr="007D3144">
        <w:t>working</w:t>
      </w:r>
      <w:r w:rsidRPr="007D3144">
        <w:rPr>
          <w:spacing w:val="40"/>
        </w:rPr>
        <w:t xml:space="preserve"> </w:t>
      </w:r>
      <w:r w:rsidRPr="007D3144">
        <w:t>relationship</w:t>
      </w:r>
      <w:r w:rsidRPr="007D3144">
        <w:rPr>
          <w:spacing w:val="40"/>
        </w:rPr>
        <w:t xml:space="preserve"> </w:t>
      </w:r>
      <w:r w:rsidRPr="007D3144">
        <w:t>with</w:t>
      </w:r>
      <w:r w:rsidRPr="007D3144">
        <w:rPr>
          <w:spacing w:val="40"/>
        </w:rPr>
        <w:t xml:space="preserve"> </w:t>
      </w:r>
      <w:r w:rsidRPr="007D3144">
        <w:t>the</w:t>
      </w:r>
      <w:r w:rsidRPr="007D3144">
        <w:rPr>
          <w:spacing w:val="40"/>
        </w:rPr>
        <w:t xml:space="preserve"> </w:t>
      </w:r>
      <w:r w:rsidRPr="007D3144">
        <w:t>evaluator</w:t>
      </w:r>
      <w:r w:rsidRPr="007D3144">
        <w:rPr>
          <w:spacing w:val="40"/>
        </w:rPr>
        <w:t xml:space="preserve"> </w:t>
      </w:r>
      <w:r w:rsidRPr="007D3144">
        <w:t>through</w:t>
      </w:r>
      <w:r w:rsidRPr="007D3144">
        <w:rPr>
          <w:spacing w:val="40"/>
        </w:rPr>
        <w:t xml:space="preserve"> </w:t>
      </w:r>
      <w:r w:rsidRPr="007D3144">
        <w:t>formal</w:t>
      </w:r>
      <w:r w:rsidRPr="007D3144">
        <w:rPr>
          <w:spacing w:val="40"/>
        </w:rPr>
        <w:t xml:space="preserve"> </w:t>
      </w:r>
      <w:r w:rsidRPr="007D3144">
        <w:t>meetings (virtual/in-person), email/telephone updates.</w:t>
      </w:r>
    </w:p>
    <w:p w14:paraId="77CDEF9A" w14:textId="77777777" w:rsidR="004C7180" w:rsidRPr="00150EDC" w:rsidRDefault="00CF0754">
      <w:pPr>
        <w:pStyle w:val="BodyText"/>
        <w:spacing w:before="120" w:line="276" w:lineRule="auto"/>
        <w:ind w:left="1400" w:right="673"/>
      </w:pPr>
      <w:r w:rsidRPr="007D3144">
        <w:t>For</w:t>
      </w:r>
      <w:r w:rsidRPr="007D3144">
        <w:rPr>
          <w:spacing w:val="-8"/>
        </w:rPr>
        <w:t xml:space="preserve"> </w:t>
      </w:r>
      <w:r w:rsidRPr="007D3144">
        <w:t>individual</w:t>
      </w:r>
      <w:r w:rsidRPr="007D3144">
        <w:rPr>
          <w:spacing w:val="-8"/>
        </w:rPr>
        <w:t xml:space="preserve"> </w:t>
      </w:r>
      <w:r w:rsidRPr="007D3144">
        <w:t>trials</w:t>
      </w:r>
      <w:r w:rsidRPr="007D3144">
        <w:rPr>
          <w:spacing w:val="-8"/>
        </w:rPr>
        <w:t xml:space="preserve"> </w:t>
      </w:r>
      <w:r w:rsidRPr="007D3144">
        <w:t>(or</w:t>
      </w:r>
      <w:r w:rsidRPr="007D3144">
        <w:rPr>
          <w:spacing w:val="-12"/>
        </w:rPr>
        <w:t xml:space="preserve"> </w:t>
      </w:r>
      <w:r w:rsidRPr="007D3144">
        <w:t>batches</w:t>
      </w:r>
      <w:r w:rsidRPr="007D3144">
        <w:rPr>
          <w:spacing w:val="-10"/>
        </w:rPr>
        <w:t xml:space="preserve"> </w:t>
      </w:r>
      <w:r w:rsidRPr="007D3144">
        <w:t>of</w:t>
      </w:r>
      <w:r w:rsidRPr="007D3144">
        <w:rPr>
          <w:spacing w:val="-10"/>
        </w:rPr>
        <w:t xml:space="preserve"> </w:t>
      </w:r>
      <w:r w:rsidRPr="007D3144">
        <w:t>trials),</w:t>
      </w:r>
      <w:r w:rsidRPr="007D3144">
        <w:rPr>
          <w:spacing w:val="-7"/>
        </w:rPr>
        <w:t xml:space="preserve"> </w:t>
      </w:r>
      <w:r w:rsidRPr="007D3144">
        <w:t>we</w:t>
      </w:r>
      <w:r w:rsidRPr="007D3144">
        <w:rPr>
          <w:spacing w:val="-7"/>
        </w:rPr>
        <w:t xml:space="preserve"> </w:t>
      </w:r>
      <w:r w:rsidRPr="007D3144">
        <w:t>will</w:t>
      </w:r>
      <w:r w:rsidRPr="007D3144">
        <w:rPr>
          <w:spacing w:val="-8"/>
        </w:rPr>
        <w:t xml:space="preserve"> </w:t>
      </w:r>
      <w:r w:rsidRPr="007D3144">
        <w:t>engage</w:t>
      </w:r>
      <w:r w:rsidRPr="007D3144">
        <w:rPr>
          <w:spacing w:val="-9"/>
        </w:rPr>
        <w:t xml:space="preserve"> </w:t>
      </w:r>
      <w:r w:rsidRPr="007D3144">
        <w:t>with</w:t>
      </w:r>
      <w:r w:rsidRPr="007D3144">
        <w:rPr>
          <w:spacing w:val="-9"/>
        </w:rPr>
        <w:t xml:space="preserve"> </w:t>
      </w:r>
      <w:r w:rsidRPr="007D3144">
        <w:t>the</w:t>
      </w:r>
      <w:r w:rsidRPr="007D3144">
        <w:rPr>
          <w:spacing w:val="-9"/>
        </w:rPr>
        <w:t xml:space="preserve"> </w:t>
      </w:r>
      <w:r w:rsidRPr="007D3144">
        <w:t>product</w:t>
      </w:r>
      <w:r w:rsidRPr="007D3144">
        <w:rPr>
          <w:spacing w:val="-7"/>
        </w:rPr>
        <w:t xml:space="preserve"> </w:t>
      </w:r>
      <w:r w:rsidRPr="007D3144">
        <w:t>development suppliers via:</w:t>
      </w:r>
    </w:p>
    <w:p w14:paraId="326DE666" w14:textId="77777777" w:rsidR="004C7180" w:rsidRPr="007D3144" w:rsidRDefault="00CF0754" w:rsidP="00B320C7">
      <w:pPr>
        <w:pStyle w:val="ListParagraph"/>
        <w:numPr>
          <w:ilvl w:val="0"/>
          <w:numId w:val="62"/>
        </w:numPr>
        <w:tabs>
          <w:tab w:val="left" w:pos="2120"/>
        </w:tabs>
        <w:spacing w:before="119" w:line="276" w:lineRule="auto"/>
        <w:ind w:right="1435"/>
        <w:jc w:val="both"/>
        <w:rPr>
          <w:rFonts w:ascii="Wingdings" w:hAnsi="Wingdings"/>
          <w:sz w:val="24"/>
        </w:rPr>
      </w:pPr>
      <w:r w:rsidRPr="007D3144">
        <w:rPr>
          <w:sz w:val="24"/>
        </w:rPr>
        <w:t>An initial email introducing our team, and arranging a time for a contract workshop together with the evaluation supplier</w:t>
      </w:r>
    </w:p>
    <w:p w14:paraId="3D2CAFD8" w14:textId="77777777" w:rsidR="004C7180" w:rsidRPr="007D3144" w:rsidRDefault="00CF0754" w:rsidP="00B320C7">
      <w:pPr>
        <w:pStyle w:val="ListParagraph"/>
        <w:numPr>
          <w:ilvl w:val="0"/>
          <w:numId w:val="62"/>
        </w:numPr>
        <w:tabs>
          <w:tab w:val="left" w:pos="2120"/>
        </w:tabs>
        <w:spacing w:before="1" w:line="276" w:lineRule="auto"/>
        <w:ind w:right="1435"/>
        <w:jc w:val="both"/>
        <w:rPr>
          <w:rFonts w:ascii="Wingdings" w:hAnsi="Wingdings"/>
          <w:sz w:val="24"/>
        </w:rPr>
      </w:pPr>
      <w:r w:rsidRPr="007D3144">
        <w:rPr>
          <w:sz w:val="24"/>
        </w:rPr>
        <w:t>Developing an electronic onboarding guide setting out, e.g., an introduction to our</w:t>
      </w:r>
      <w:r w:rsidRPr="007D3144">
        <w:rPr>
          <w:spacing w:val="-17"/>
          <w:sz w:val="24"/>
        </w:rPr>
        <w:t xml:space="preserve"> </w:t>
      </w:r>
      <w:r w:rsidRPr="007D3144">
        <w:rPr>
          <w:sz w:val="24"/>
        </w:rPr>
        <w:t>organisations,</w:t>
      </w:r>
      <w:r w:rsidRPr="007D3144">
        <w:rPr>
          <w:spacing w:val="-17"/>
          <w:sz w:val="24"/>
        </w:rPr>
        <w:t xml:space="preserve"> </w:t>
      </w:r>
      <w:r w:rsidRPr="007D3144">
        <w:rPr>
          <w:sz w:val="24"/>
        </w:rPr>
        <w:t>terms</w:t>
      </w:r>
      <w:r w:rsidRPr="007D3144">
        <w:rPr>
          <w:spacing w:val="-16"/>
          <w:sz w:val="24"/>
        </w:rPr>
        <w:t xml:space="preserve"> </w:t>
      </w:r>
      <w:r w:rsidRPr="007D3144">
        <w:rPr>
          <w:sz w:val="24"/>
        </w:rPr>
        <w:t>of</w:t>
      </w:r>
      <w:r w:rsidRPr="007D3144">
        <w:rPr>
          <w:spacing w:val="-17"/>
          <w:sz w:val="24"/>
        </w:rPr>
        <w:t xml:space="preserve"> </w:t>
      </w:r>
      <w:r w:rsidRPr="007D3144">
        <w:rPr>
          <w:sz w:val="24"/>
        </w:rPr>
        <w:t>reference,</w:t>
      </w:r>
      <w:r w:rsidRPr="007D3144">
        <w:rPr>
          <w:spacing w:val="-17"/>
          <w:sz w:val="24"/>
        </w:rPr>
        <w:t xml:space="preserve"> </w:t>
      </w:r>
      <w:r w:rsidRPr="007D3144">
        <w:rPr>
          <w:sz w:val="24"/>
        </w:rPr>
        <w:t>protocols</w:t>
      </w:r>
      <w:r w:rsidRPr="007D3144">
        <w:rPr>
          <w:spacing w:val="-17"/>
          <w:sz w:val="24"/>
        </w:rPr>
        <w:t xml:space="preserve"> </w:t>
      </w:r>
      <w:r w:rsidRPr="007D3144">
        <w:rPr>
          <w:sz w:val="24"/>
        </w:rPr>
        <w:t>for</w:t>
      </w:r>
      <w:r w:rsidRPr="007D3144">
        <w:rPr>
          <w:spacing w:val="-16"/>
          <w:sz w:val="24"/>
        </w:rPr>
        <w:t xml:space="preserve"> </w:t>
      </w:r>
      <w:r w:rsidRPr="007D3144">
        <w:rPr>
          <w:sz w:val="24"/>
        </w:rPr>
        <w:t>conducting</w:t>
      </w:r>
      <w:r w:rsidRPr="007D3144">
        <w:rPr>
          <w:spacing w:val="-17"/>
          <w:sz w:val="24"/>
        </w:rPr>
        <w:t xml:space="preserve"> </w:t>
      </w:r>
      <w:r w:rsidRPr="007D3144">
        <w:rPr>
          <w:sz w:val="24"/>
        </w:rPr>
        <w:t>trials,</w:t>
      </w:r>
      <w:r w:rsidRPr="007D3144">
        <w:rPr>
          <w:spacing w:val="-17"/>
          <w:sz w:val="24"/>
        </w:rPr>
        <w:t xml:space="preserve"> </w:t>
      </w:r>
      <w:r w:rsidRPr="007D3144">
        <w:rPr>
          <w:sz w:val="24"/>
        </w:rPr>
        <w:t>key</w:t>
      </w:r>
      <w:r w:rsidRPr="007D3144">
        <w:rPr>
          <w:spacing w:val="-16"/>
          <w:sz w:val="24"/>
        </w:rPr>
        <w:t xml:space="preserve"> </w:t>
      </w:r>
      <w:r w:rsidRPr="007D3144">
        <w:rPr>
          <w:sz w:val="24"/>
        </w:rPr>
        <w:t>project gateways, management reporting etc.</w:t>
      </w:r>
    </w:p>
    <w:p w14:paraId="7662D4AC" w14:textId="77777777" w:rsidR="004C7180" w:rsidRPr="00150EDC" w:rsidRDefault="004C7180">
      <w:pPr>
        <w:spacing w:line="276" w:lineRule="auto"/>
        <w:jc w:val="both"/>
        <w:rPr>
          <w:rFonts w:ascii="Wingdings" w:hAnsi="Wingdings"/>
          <w:sz w:val="24"/>
        </w:rPr>
        <w:sectPr w:rsidR="004C7180" w:rsidRPr="00150EDC">
          <w:pgSz w:w="11910" w:h="16840"/>
          <w:pgMar w:top="1460" w:right="0" w:bottom="1420" w:left="40" w:header="712" w:footer="1224" w:gutter="0"/>
          <w:cols w:space="720"/>
        </w:sectPr>
      </w:pPr>
    </w:p>
    <w:p w14:paraId="4885B735" w14:textId="77777777" w:rsidR="004C7180" w:rsidRPr="00150EDC" w:rsidRDefault="004C7180">
      <w:pPr>
        <w:pStyle w:val="BodyText"/>
        <w:spacing w:before="4"/>
        <w:rPr>
          <w:sz w:val="18"/>
        </w:rPr>
      </w:pPr>
    </w:p>
    <w:p w14:paraId="4CD2354F" w14:textId="77777777" w:rsidR="004C7180" w:rsidRPr="007D3144" w:rsidRDefault="00CF0754" w:rsidP="00B320C7">
      <w:pPr>
        <w:pStyle w:val="ListParagraph"/>
        <w:numPr>
          <w:ilvl w:val="0"/>
          <w:numId w:val="62"/>
        </w:numPr>
        <w:tabs>
          <w:tab w:val="left" w:pos="2120"/>
        </w:tabs>
        <w:spacing w:before="93" w:line="276" w:lineRule="auto"/>
        <w:ind w:right="1438"/>
        <w:jc w:val="both"/>
        <w:rPr>
          <w:rFonts w:ascii="Wingdings" w:hAnsi="Wingdings"/>
          <w:sz w:val="24"/>
        </w:rPr>
      </w:pPr>
      <w:r w:rsidRPr="007D3144">
        <w:rPr>
          <w:sz w:val="24"/>
        </w:rPr>
        <w:t>IDEA meetings to develop the Logic Model and TIDieR Frameworks in conjunction with the assessment provider</w:t>
      </w:r>
    </w:p>
    <w:p w14:paraId="3753F55C" w14:textId="77777777" w:rsidR="004C7180" w:rsidRPr="007D3144" w:rsidRDefault="00CF0754" w:rsidP="00B320C7">
      <w:pPr>
        <w:pStyle w:val="ListParagraph"/>
        <w:numPr>
          <w:ilvl w:val="0"/>
          <w:numId w:val="62"/>
        </w:numPr>
        <w:tabs>
          <w:tab w:val="left" w:pos="2120"/>
        </w:tabs>
        <w:spacing w:line="276" w:lineRule="auto"/>
        <w:ind w:right="1435"/>
        <w:jc w:val="both"/>
        <w:rPr>
          <w:rFonts w:ascii="Wingdings" w:hAnsi="Wingdings"/>
          <w:sz w:val="24"/>
        </w:rPr>
      </w:pPr>
      <w:r w:rsidRPr="007D3144">
        <w:rPr>
          <w:sz w:val="24"/>
        </w:rPr>
        <w:t>Further workshops to develop engagement strategies with key stakeholders and</w:t>
      </w:r>
      <w:r w:rsidRPr="007D3144">
        <w:rPr>
          <w:spacing w:val="-1"/>
          <w:sz w:val="24"/>
        </w:rPr>
        <w:t xml:space="preserve"> </w:t>
      </w:r>
      <w:r w:rsidRPr="007D3144">
        <w:rPr>
          <w:sz w:val="24"/>
        </w:rPr>
        <w:t>a trial recruitment</w:t>
      </w:r>
      <w:r w:rsidRPr="007D3144">
        <w:rPr>
          <w:spacing w:val="-4"/>
          <w:sz w:val="24"/>
        </w:rPr>
        <w:t xml:space="preserve"> </w:t>
      </w:r>
      <w:r w:rsidRPr="007D3144">
        <w:rPr>
          <w:sz w:val="24"/>
        </w:rPr>
        <w:t>plan,</w:t>
      </w:r>
      <w:r w:rsidRPr="007D3144">
        <w:rPr>
          <w:spacing w:val="-1"/>
          <w:sz w:val="24"/>
        </w:rPr>
        <w:t xml:space="preserve"> </w:t>
      </w:r>
      <w:r w:rsidRPr="007D3144">
        <w:rPr>
          <w:sz w:val="24"/>
        </w:rPr>
        <w:t>and input into</w:t>
      </w:r>
      <w:r w:rsidRPr="007D3144">
        <w:rPr>
          <w:spacing w:val="-1"/>
          <w:sz w:val="24"/>
        </w:rPr>
        <w:t xml:space="preserve"> </w:t>
      </w:r>
      <w:r w:rsidRPr="007D3144">
        <w:rPr>
          <w:sz w:val="24"/>
        </w:rPr>
        <w:t>the</w:t>
      </w:r>
      <w:r w:rsidRPr="007D3144">
        <w:rPr>
          <w:spacing w:val="-1"/>
          <w:sz w:val="24"/>
        </w:rPr>
        <w:t xml:space="preserve"> </w:t>
      </w:r>
      <w:r w:rsidRPr="007D3144">
        <w:rPr>
          <w:sz w:val="24"/>
        </w:rPr>
        <w:t>project risk register</w:t>
      </w:r>
      <w:r w:rsidRPr="007D3144">
        <w:rPr>
          <w:spacing w:val="-3"/>
          <w:sz w:val="24"/>
        </w:rPr>
        <w:t xml:space="preserve"> </w:t>
      </w:r>
      <w:r w:rsidRPr="007D3144">
        <w:rPr>
          <w:sz w:val="24"/>
        </w:rPr>
        <w:t xml:space="preserve">and delivery </w:t>
      </w:r>
      <w:r w:rsidRPr="007D3144">
        <w:rPr>
          <w:spacing w:val="-4"/>
          <w:sz w:val="24"/>
        </w:rPr>
        <w:t>plan</w:t>
      </w:r>
    </w:p>
    <w:p w14:paraId="2AF8A636" w14:textId="77777777" w:rsidR="004C7180" w:rsidRPr="007D3144" w:rsidRDefault="00CF0754" w:rsidP="00B320C7">
      <w:pPr>
        <w:pStyle w:val="ListParagraph"/>
        <w:numPr>
          <w:ilvl w:val="0"/>
          <w:numId w:val="62"/>
        </w:numPr>
        <w:tabs>
          <w:tab w:val="left" w:pos="2120"/>
        </w:tabs>
        <w:spacing w:line="276" w:lineRule="auto"/>
        <w:ind w:right="1435"/>
        <w:jc w:val="both"/>
        <w:rPr>
          <w:rFonts w:ascii="Wingdings" w:hAnsi="Wingdings"/>
          <w:sz w:val="24"/>
        </w:rPr>
      </w:pPr>
      <w:r w:rsidRPr="007D3144">
        <w:rPr>
          <w:sz w:val="24"/>
        </w:rPr>
        <w:t>Facilitating</w:t>
      </w:r>
      <w:r w:rsidRPr="007D3144">
        <w:rPr>
          <w:spacing w:val="-3"/>
          <w:sz w:val="24"/>
        </w:rPr>
        <w:t xml:space="preserve"> </w:t>
      </w:r>
      <w:r w:rsidRPr="007D3144">
        <w:rPr>
          <w:sz w:val="24"/>
        </w:rPr>
        <w:t>development</w:t>
      </w:r>
      <w:r w:rsidRPr="007D3144">
        <w:rPr>
          <w:spacing w:val="-1"/>
          <w:sz w:val="24"/>
        </w:rPr>
        <w:t xml:space="preserve"> </w:t>
      </w:r>
      <w:r w:rsidRPr="007D3144">
        <w:rPr>
          <w:sz w:val="24"/>
        </w:rPr>
        <w:t>and</w:t>
      </w:r>
      <w:r w:rsidRPr="007D3144">
        <w:rPr>
          <w:spacing w:val="-3"/>
          <w:sz w:val="24"/>
        </w:rPr>
        <w:t xml:space="preserve"> </w:t>
      </w:r>
      <w:r w:rsidRPr="007D3144">
        <w:rPr>
          <w:sz w:val="24"/>
        </w:rPr>
        <w:t>delivery</w:t>
      </w:r>
      <w:r w:rsidRPr="007D3144">
        <w:rPr>
          <w:spacing w:val="-2"/>
          <w:sz w:val="24"/>
        </w:rPr>
        <w:t xml:space="preserve"> </w:t>
      </w:r>
      <w:r w:rsidRPr="007D3144">
        <w:rPr>
          <w:sz w:val="24"/>
        </w:rPr>
        <w:t>of</w:t>
      </w:r>
      <w:r w:rsidRPr="007D3144">
        <w:rPr>
          <w:spacing w:val="-3"/>
          <w:sz w:val="24"/>
        </w:rPr>
        <w:t xml:space="preserve"> </w:t>
      </w:r>
      <w:r w:rsidRPr="007D3144">
        <w:rPr>
          <w:sz w:val="24"/>
        </w:rPr>
        <w:t>training</w:t>
      </w:r>
      <w:r w:rsidRPr="007D3144">
        <w:rPr>
          <w:spacing w:val="-1"/>
          <w:sz w:val="24"/>
        </w:rPr>
        <w:t xml:space="preserve"> </w:t>
      </w:r>
      <w:r w:rsidRPr="007D3144">
        <w:rPr>
          <w:sz w:val="24"/>
        </w:rPr>
        <w:t>on</w:t>
      </w:r>
      <w:r w:rsidRPr="007D3144">
        <w:rPr>
          <w:spacing w:val="-1"/>
          <w:sz w:val="24"/>
        </w:rPr>
        <w:t xml:space="preserve"> </w:t>
      </w:r>
      <w:r w:rsidRPr="007D3144">
        <w:rPr>
          <w:sz w:val="24"/>
        </w:rPr>
        <w:t>implementing</w:t>
      </w:r>
      <w:r w:rsidRPr="007D3144">
        <w:rPr>
          <w:spacing w:val="-3"/>
          <w:sz w:val="24"/>
        </w:rPr>
        <w:t xml:space="preserve"> </w:t>
      </w:r>
      <w:r w:rsidRPr="007D3144">
        <w:rPr>
          <w:sz w:val="24"/>
        </w:rPr>
        <w:t>the</w:t>
      </w:r>
      <w:r w:rsidRPr="007D3144">
        <w:rPr>
          <w:spacing w:val="-1"/>
          <w:sz w:val="24"/>
        </w:rPr>
        <w:t xml:space="preserve"> </w:t>
      </w:r>
      <w:r w:rsidRPr="007D3144">
        <w:rPr>
          <w:sz w:val="24"/>
        </w:rPr>
        <w:t>products and approaches, where necessary.</w:t>
      </w:r>
    </w:p>
    <w:p w14:paraId="200D2CA7" w14:textId="77777777" w:rsidR="004C7180" w:rsidRPr="00150EDC" w:rsidRDefault="00CF0754">
      <w:pPr>
        <w:pStyle w:val="BodyText"/>
        <w:spacing w:line="276" w:lineRule="auto"/>
        <w:ind w:left="1400" w:right="1432"/>
        <w:jc w:val="both"/>
      </w:pPr>
      <w:r w:rsidRPr="007D3144">
        <w:t>Throughout the trial we will hold monthly review meetings involving the evaluation supplier and product supplier to provide updates and review progress. Our ability to successfully</w:t>
      </w:r>
      <w:r w:rsidRPr="007D3144">
        <w:rPr>
          <w:spacing w:val="-5"/>
        </w:rPr>
        <w:t xml:space="preserve"> </w:t>
      </w:r>
      <w:r w:rsidRPr="007D3144">
        <w:t>collaborate</w:t>
      </w:r>
      <w:r w:rsidRPr="007D3144">
        <w:rPr>
          <w:spacing w:val="-4"/>
        </w:rPr>
        <w:t xml:space="preserve"> </w:t>
      </w:r>
      <w:r w:rsidRPr="007D3144">
        <w:t>with</w:t>
      </w:r>
      <w:r w:rsidRPr="007D3144">
        <w:rPr>
          <w:spacing w:val="-4"/>
        </w:rPr>
        <w:t xml:space="preserve"> </w:t>
      </w:r>
      <w:r w:rsidRPr="007D3144">
        <w:t>suppliers</w:t>
      </w:r>
      <w:r w:rsidRPr="007D3144">
        <w:rPr>
          <w:spacing w:val="-5"/>
        </w:rPr>
        <w:t xml:space="preserve"> </w:t>
      </w:r>
      <w:r w:rsidRPr="007D3144">
        <w:t>is</w:t>
      </w:r>
      <w:r w:rsidRPr="007D3144">
        <w:rPr>
          <w:spacing w:val="-5"/>
        </w:rPr>
        <w:t xml:space="preserve"> </w:t>
      </w:r>
      <w:r w:rsidRPr="007D3144">
        <w:t>demonstrated</w:t>
      </w:r>
      <w:r w:rsidRPr="007D3144">
        <w:rPr>
          <w:spacing w:val="-4"/>
        </w:rPr>
        <w:t xml:space="preserve"> </w:t>
      </w:r>
      <w:r w:rsidRPr="007D3144">
        <w:t>through</w:t>
      </w:r>
      <w:r w:rsidRPr="007D3144">
        <w:rPr>
          <w:spacing w:val="-4"/>
        </w:rPr>
        <w:t xml:space="preserve"> </w:t>
      </w:r>
      <w:r w:rsidRPr="007D3144">
        <w:t>both</w:t>
      </w:r>
      <w:r w:rsidRPr="007D3144">
        <w:rPr>
          <w:spacing w:val="-7"/>
        </w:rPr>
        <w:t xml:space="preserve"> </w:t>
      </w:r>
      <w:r w:rsidRPr="007D3144">
        <w:t>our</w:t>
      </w:r>
      <w:r w:rsidRPr="007D3144">
        <w:rPr>
          <w:spacing w:val="-6"/>
        </w:rPr>
        <w:t xml:space="preserve"> </w:t>
      </w:r>
      <w:r w:rsidRPr="007D3144">
        <w:t>NCETM</w:t>
      </w:r>
      <w:r w:rsidRPr="007D3144">
        <w:rPr>
          <w:spacing w:val="-6"/>
        </w:rPr>
        <w:t xml:space="preserve"> </w:t>
      </w:r>
      <w:r w:rsidRPr="007D3144">
        <w:t>and NTP</w:t>
      </w:r>
      <w:r w:rsidRPr="007D3144">
        <w:rPr>
          <w:spacing w:val="-3"/>
        </w:rPr>
        <w:t xml:space="preserve"> </w:t>
      </w:r>
      <w:r w:rsidRPr="007D3144">
        <w:t>contracts.</w:t>
      </w:r>
      <w:r w:rsidRPr="007D3144">
        <w:rPr>
          <w:spacing w:val="-3"/>
        </w:rPr>
        <w:t xml:space="preserve"> </w:t>
      </w:r>
      <w:r w:rsidRPr="007D3144">
        <w:t>E.g.,</w:t>
      </w:r>
      <w:r w:rsidRPr="007D3144">
        <w:rPr>
          <w:spacing w:val="-6"/>
        </w:rPr>
        <w:t xml:space="preserve"> </w:t>
      </w:r>
      <w:r w:rsidRPr="007D3144">
        <w:t>following</w:t>
      </w:r>
      <w:r w:rsidRPr="007D3144">
        <w:rPr>
          <w:spacing w:val="-3"/>
        </w:rPr>
        <w:t xml:space="preserve"> </w:t>
      </w:r>
      <w:r w:rsidRPr="007D3144">
        <w:t>the</w:t>
      </w:r>
      <w:r w:rsidRPr="007D3144">
        <w:rPr>
          <w:spacing w:val="-3"/>
        </w:rPr>
        <w:t xml:space="preserve"> </w:t>
      </w:r>
      <w:r w:rsidRPr="007D3144">
        <w:t>award</w:t>
      </w:r>
      <w:r w:rsidRPr="007D3144">
        <w:rPr>
          <w:spacing w:val="-3"/>
        </w:rPr>
        <w:t xml:space="preserve"> </w:t>
      </w:r>
      <w:r w:rsidRPr="007D3144">
        <w:t>of</w:t>
      </w:r>
      <w:r w:rsidRPr="007D3144">
        <w:rPr>
          <w:spacing w:val="-3"/>
        </w:rPr>
        <w:t xml:space="preserve"> </w:t>
      </w:r>
      <w:r w:rsidRPr="007D3144">
        <w:t>the</w:t>
      </w:r>
      <w:r w:rsidRPr="007D3144">
        <w:rPr>
          <w:spacing w:val="-3"/>
        </w:rPr>
        <w:t xml:space="preserve"> </w:t>
      </w:r>
      <w:r w:rsidRPr="007D3144">
        <w:t>NTP</w:t>
      </w:r>
      <w:r w:rsidRPr="007D3144">
        <w:rPr>
          <w:spacing w:val="-3"/>
        </w:rPr>
        <w:t xml:space="preserve"> </w:t>
      </w:r>
      <w:r w:rsidRPr="007D3144">
        <w:t>contract,</w:t>
      </w:r>
      <w:r w:rsidRPr="007D3144">
        <w:rPr>
          <w:spacing w:val="-3"/>
        </w:rPr>
        <w:t xml:space="preserve"> </w:t>
      </w:r>
      <w:r w:rsidRPr="007D3144">
        <w:t>the</w:t>
      </w:r>
      <w:r w:rsidRPr="007D3144">
        <w:rPr>
          <w:spacing w:val="-3"/>
        </w:rPr>
        <w:t xml:space="preserve"> </w:t>
      </w:r>
      <w:r w:rsidRPr="007D3144">
        <w:t>timeline</w:t>
      </w:r>
      <w:r w:rsidRPr="007D3144">
        <w:rPr>
          <w:spacing w:val="-3"/>
        </w:rPr>
        <w:t xml:space="preserve"> </w:t>
      </w:r>
      <w:r w:rsidRPr="007D3144">
        <w:t>for</w:t>
      </w:r>
      <w:r w:rsidRPr="007D3144">
        <w:rPr>
          <w:spacing w:val="-5"/>
        </w:rPr>
        <w:t xml:space="preserve"> </w:t>
      </w:r>
      <w:r w:rsidRPr="007D3144">
        <w:t xml:space="preserve">contract mobilisation was reduced from 12 weeks to 4 weeks. Consequently, we worked intensively with our 45 tuition partners and sub-contractors to create a new quality assurance framework, which was successfully delivered on time for programme </w:t>
      </w:r>
      <w:r w:rsidRPr="007D3144">
        <w:rPr>
          <w:spacing w:val="-2"/>
        </w:rPr>
        <w:t>implementation.</w:t>
      </w:r>
    </w:p>
    <w:p w14:paraId="3476BDA3" w14:textId="77777777" w:rsidR="004C7180" w:rsidRPr="00150EDC" w:rsidRDefault="00CF0754" w:rsidP="00B320C7">
      <w:pPr>
        <w:pStyle w:val="ListParagraph"/>
        <w:numPr>
          <w:ilvl w:val="0"/>
          <w:numId w:val="82"/>
        </w:numPr>
        <w:tabs>
          <w:tab w:val="left" w:pos="1667"/>
        </w:tabs>
        <w:spacing w:before="118"/>
        <w:ind w:left="1667" w:hanging="267"/>
        <w:jc w:val="both"/>
        <w:rPr>
          <w:sz w:val="24"/>
        </w:rPr>
      </w:pPr>
      <w:r w:rsidRPr="00150EDC">
        <w:rPr>
          <w:sz w:val="24"/>
        </w:rPr>
        <w:t>Trial</w:t>
      </w:r>
      <w:r w:rsidRPr="00150EDC">
        <w:rPr>
          <w:spacing w:val="-3"/>
          <w:sz w:val="24"/>
        </w:rPr>
        <w:t xml:space="preserve"> </w:t>
      </w:r>
      <w:r w:rsidRPr="00150EDC">
        <w:rPr>
          <w:sz w:val="24"/>
        </w:rPr>
        <w:t>set-up</w:t>
      </w:r>
      <w:r w:rsidRPr="00150EDC">
        <w:rPr>
          <w:spacing w:val="-2"/>
          <w:sz w:val="24"/>
        </w:rPr>
        <w:t xml:space="preserve"> approach:</w:t>
      </w:r>
    </w:p>
    <w:p w14:paraId="4A55EE2E" w14:textId="77777777" w:rsidR="004C7180" w:rsidRPr="00150EDC" w:rsidRDefault="004C7180">
      <w:pPr>
        <w:pStyle w:val="BodyText"/>
        <w:spacing w:before="1"/>
        <w:rPr>
          <w:sz w:val="21"/>
        </w:rPr>
      </w:pPr>
    </w:p>
    <w:p w14:paraId="5D9F3DFD" w14:textId="77777777" w:rsidR="004C7180" w:rsidRPr="00150EDC" w:rsidRDefault="00CF0754">
      <w:pPr>
        <w:ind w:left="1400"/>
        <w:jc w:val="both"/>
        <w:rPr>
          <w:b/>
          <w:sz w:val="24"/>
        </w:rPr>
      </w:pPr>
      <w:r w:rsidRPr="007D3144">
        <w:rPr>
          <w:b/>
          <w:sz w:val="24"/>
        </w:rPr>
        <w:t>Project</w:t>
      </w:r>
      <w:r w:rsidRPr="007D3144">
        <w:rPr>
          <w:b/>
          <w:spacing w:val="-2"/>
          <w:sz w:val="24"/>
        </w:rPr>
        <w:t xml:space="preserve"> </w:t>
      </w:r>
      <w:r w:rsidRPr="007D3144">
        <w:rPr>
          <w:b/>
          <w:spacing w:val="-4"/>
          <w:sz w:val="24"/>
        </w:rPr>
        <w:t>plan</w:t>
      </w:r>
    </w:p>
    <w:p w14:paraId="411A069A" w14:textId="77777777" w:rsidR="004C7180" w:rsidRPr="00150EDC" w:rsidRDefault="00CF0754">
      <w:pPr>
        <w:spacing w:before="161"/>
        <w:ind w:left="1400"/>
        <w:jc w:val="both"/>
        <w:rPr>
          <w:i/>
          <w:sz w:val="24"/>
        </w:rPr>
      </w:pPr>
      <w:r w:rsidRPr="007D3144">
        <w:rPr>
          <w:i/>
          <w:sz w:val="24"/>
        </w:rPr>
        <w:t>Team</w:t>
      </w:r>
      <w:r w:rsidRPr="007D3144">
        <w:rPr>
          <w:i/>
          <w:spacing w:val="-2"/>
          <w:sz w:val="24"/>
        </w:rPr>
        <w:t xml:space="preserve"> structure</w:t>
      </w:r>
    </w:p>
    <w:p w14:paraId="1E7C06CF" w14:textId="77777777" w:rsidR="004C7180" w:rsidRPr="00150EDC" w:rsidRDefault="00CF0754">
      <w:pPr>
        <w:pStyle w:val="BodyText"/>
        <w:spacing w:before="161" w:line="276" w:lineRule="auto"/>
        <w:ind w:left="1400" w:right="1435"/>
        <w:jc w:val="both"/>
      </w:pPr>
      <w:r w:rsidRPr="007D3144">
        <w:t>Figure 1 outlines our team structure based on clearly defined roles and lines of communication and which is proportional to the trial requirements, with roles and responsibilities summarised in Table 1.</w:t>
      </w:r>
    </w:p>
    <w:p w14:paraId="171DE3E8" w14:textId="77777777" w:rsidR="004C7180" w:rsidRPr="00150EDC" w:rsidRDefault="004C7180">
      <w:pPr>
        <w:pStyle w:val="BodyText"/>
        <w:rPr>
          <w:sz w:val="20"/>
        </w:rPr>
      </w:pPr>
    </w:p>
    <w:p w14:paraId="70BCF14D" w14:textId="77777777" w:rsidR="004C7180" w:rsidRPr="00150EDC" w:rsidRDefault="004C7180">
      <w:pPr>
        <w:pStyle w:val="BodyText"/>
        <w:rPr>
          <w:sz w:val="20"/>
        </w:rPr>
      </w:pPr>
    </w:p>
    <w:p w14:paraId="1B8215C1" w14:textId="77777777" w:rsidR="004C7180" w:rsidRPr="00150EDC" w:rsidRDefault="004C7180">
      <w:pPr>
        <w:pStyle w:val="BodyText"/>
        <w:rPr>
          <w:sz w:val="20"/>
        </w:rPr>
      </w:pPr>
    </w:p>
    <w:p w14:paraId="68894D79" w14:textId="77777777" w:rsidR="004C7180" w:rsidRPr="00150EDC" w:rsidRDefault="004C7180">
      <w:pPr>
        <w:pStyle w:val="BodyText"/>
        <w:rPr>
          <w:sz w:val="20"/>
        </w:rPr>
      </w:pPr>
    </w:p>
    <w:p w14:paraId="766E1C48" w14:textId="77777777" w:rsidR="004C7180" w:rsidRPr="00150EDC" w:rsidRDefault="004C7180">
      <w:pPr>
        <w:pStyle w:val="BodyText"/>
        <w:rPr>
          <w:sz w:val="20"/>
        </w:rPr>
      </w:pPr>
    </w:p>
    <w:p w14:paraId="793FE3A0" w14:textId="77777777" w:rsidR="004C7180" w:rsidRPr="00150EDC" w:rsidRDefault="004C7180">
      <w:pPr>
        <w:pStyle w:val="BodyText"/>
      </w:pPr>
    </w:p>
    <w:tbl>
      <w:tblPr>
        <w:tblW w:w="0" w:type="auto"/>
        <w:tblInd w:w="1426" w:type="dxa"/>
        <w:tblLayout w:type="fixed"/>
        <w:tblCellMar>
          <w:left w:w="0" w:type="dxa"/>
          <w:right w:w="0" w:type="dxa"/>
        </w:tblCellMar>
        <w:tblLook w:val="01E0" w:firstRow="1" w:lastRow="1" w:firstColumn="1" w:lastColumn="1" w:noHBand="0" w:noVBand="0"/>
      </w:tblPr>
      <w:tblGrid>
        <w:gridCol w:w="4499"/>
        <w:gridCol w:w="4499"/>
      </w:tblGrid>
      <w:tr w:rsidR="004569EE" w:rsidRPr="007D3144" w14:paraId="2BD25E64" w14:textId="77777777" w:rsidTr="006F2372">
        <w:trPr>
          <w:trHeight w:val="406"/>
          <w:tblHeader/>
        </w:trPr>
        <w:tc>
          <w:tcPr>
            <w:tcW w:w="8998" w:type="dxa"/>
            <w:gridSpan w:val="2"/>
            <w:shd w:val="clear" w:color="auto" w:fill="4471C4"/>
          </w:tcPr>
          <w:p w14:paraId="230C5981" w14:textId="77777777" w:rsidR="004C7180" w:rsidRPr="00150EDC" w:rsidRDefault="00CF0754">
            <w:pPr>
              <w:pStyle w:val="TableParagraph"/>
              <w:spacing w:before="0" w:line="240" w:lineRule="auto"/>
              <w:ind w:left="98"/>
              <w:rPr>
                <w:b/>
                <w:sz w:val="24"/>
              </w:rPr>
            </w:pPr>
            <w:r w:rsidRPr="007D3144">
              <w:rPr>
                <w:b/>
                <w:sz w:val="24"/>
              </w:rPr>
              <w:t>Table</w:t>
            </w:r>
            <w:r w:rsidRPr="007D3144">
              <w:rPr>
                <w:b/>
                <w:spacing w:val="1"/>
                <w:sz w:val="24"/>
              </w:rPr>
              <w:t xml:space="preserve"> </w:t>
            </w:r>
            <w:r w:rsidRPr="007D3144">
              <w:rPr>
                <w:b/>
                <w:spacing w:val="-10"/>
                <w:sz w:val="24"/>
              </w:rPr>
              <w:t>1</w:t>
            </w:r>
          </w:p>
        </w:tc>
      </w:tr>
      <w:tr w:rsidR="004569EE" w:rsidRPr="007D3144" w14:paraId="3B166924" w14:textId="77777777" w:rsidTr="006F2372">
        <w:trPr>
          <w:trHeight w:val="406"/>
          <w:tblHeader/>
        </w:trPr>
        <w:tc>
          <w:tcPr>
            <w:tcW w:w="4499" w:type="dxa"/>
            <w:tcBorders>
              <w:bottom w:val="single" w:sz="8" w:space="0" w:color="FFFFFF"/>
            </w:tcBorders>
            <w:shd w:val="clear" w:color="auto" w:fill="4471C4"/>
          </w:tcPr>
          <w:p w14:paraId="407BE278" w14:textId="77777777" w:rsidR="004C7180" w:rsidRPr="00150EDC" w:rsidRDefault="00CF0754">
            <w:pPr>
              <w:pStyle w:val="TableParagraph"/>
              <w:spacing w:before="11" w:line="240" w:lineRule="auto"/>
              <w:ind w:left="98"/>
              <w:rPr>
                <w:b/>
                <w:sz w:val="24"/>
              </w:rPr>
            </w:pPr>
            <w:r w:rsidRPr="007D3144">
              <w:rPr>
                <w:b/>
                <w:spacing w:val="-4"/>
                <w:sz w:val="24"/>
              </w:rPr>
              <w:t>Role</w:t>
            </w:r>
          </w:p>
        </w:tc>
        <w:tc>
          <w:tcPr>
            <w:tcW w:w="4499" w:type="dxa"/>
            <w:tcBorders>
              <w:bottom w:val="single" w:sz="8" w:space="0" w:color="FFFFFF"/>
            </w:tcBorders>
            <w:shd w:val="clear" w:color="auto" w:fill="4471C4"/>
          </w:tcPr>
          <w:p w14:paraId="6BABDBA6" w14:textId="77777777" w:rsidR="004C7180" w:rsidRPr="00150EDC" w:rsidRDefault="00CF0754">
            <w:pPr>
              <w:pStyle w:val="TableParagraph"/>
              <w:spacing w:before="11" w:line="240" w:lineRule="auto"/>
              <w:ind w:left="106"/>
              <w:rPr>
                <w:b/>
                <w:sz w:val="24"/>
              </w:rPr>
            </w:pPr>
            <w:r w:rsidRPr="007D3144">
              <w:rPr>
                <w:b/>
                <w:sz w:val="24"/>
              </w:rPr>
              <w:t>Trial</w:t>
            </w:r>
            <w:r w:rsidRPr="007D3144">
              <w:rPr>
                <w:b/>
                <w:spacing w:val="1"/>
                <w:sz w:val="24"/>
              </w:rPr>
              <w:t xml:space="preserve"> </w:t>
            </w:r>
            <w:r w:rsidRPr="007D3144">
              <w:rPr>
                <w:b/>
                <w:spacing w:val="-2"/>
                <w:sz w:val="24"/>
              </w:rPr>
              <w:t>Responsibilities</w:t>
            </w:r>
          </w:p>
        </w:tc>
      </w:tr>
      <w:tr w:rsidR="004569EE" w:rsidRPr="007D3144" w14:paraId="49172BAF" w14:textId="77777777">
        <w:trPr>
          <w:trHeight w:val="1223"/>
        </w:trPr>
        <w:tc>
          <w:tcPr>
            <w:tcW w:w="4499" w:type="dxa"/>
            <w:tcBorders>
              <w:top w:val="single" w:sz="8" w:space="0" w:color="FFFFFF"/>
              <w:bottom w:val="single" w:sz="8" w:space="0" w:color="FFFFFF"/>
            </w:tcBorders>
            <w:shd w:val="clear" w:color="auto" w:fill="4471C4"/>
          </w:tcPr>
          <w:p w14:paraId="65CC4B0A" w14:textId="77777777" w:rsidR="004C7180" w:rsidRPr="00150EDC" w:rsidRDefault="00CF0754">
            <w:pPr>
              <w:pStyle w:val="TableParagraph"/>
              <w:spacing w:before="0" w:line="240" w:lineRule="auto"/>
              <w:ind w:left="98"/>
              <w:rPr>
                <w:b/>
                <w:sz w:val="24"/>
              </w:rPr>
            </w:pPr>
            <w:r w:rsidRPr="007D3144">
              <w:rPr>
                <w:b/>
                <w:sz w:val="24"/>
              </w:rPr>
              <w:t>Project</w:t>
            </w:r>
            <w:r w:rsidRPr="007D3144">
              <w:rPr>
                <w:b/>
                <w:spacing w:val="-4"/>
                <w:sz w:val="24"/>
              </w:rPr>
              <w:t xml:space="preserve"> </w:t>
            </w:r>
            <w:r w:rsidRPr="007D3144">
              <w:rPr>
                <w:b/>
                <w:sz w:val="24"/>
              </w:rPr>
              <w:t>Director</w:t>
            </w:r>
            <w:r w:rsidRPr="007D3144">
              <w:rPr>
                <w:b/>
                <w:spacing w:val="-3"/>
                <w:sz w:val="24"/>
              </w:rPr>
              <w:t xml:space="preserve"> </w:t>
            </w:r>
            <w:r w:rsidRPr="007D3144">
              <w:rPr>
                <w:b/>
                <w:sz w:val="24"/>
              </w:rPr>
              <w:t>Jen</w:t>
            </w:r>
            <w:r w:rsidRPr="007D3144">
              <w:rPr>
                <w:b/>
                <w:spacing w:val="-5"/>
                <w:sz w:val="24"/>
              </w:rPr>
              <w:t xml:space="preserve"> </w:t>
            </w:r>
            <w:r w:rsidRPr="007D3144">
              <w:rPr>
                <w:b/>
                <w:spacing w:val="-2"/>
                <w:sz w:val="24"/>
              </w:rPr>
              <w:t>Shearman</w:t>
            </w:r>
          </w:p>
        </w:tc>
        <w:tc>
          <w:tcPr>
            <w:tcW w:w="4499" w:type="dxa"/>
            <w:tcBorders>
              <w:top w:val="single" w:sz="8" w:space="0" w:color="FFFFFF"/>
              <w:bottom w:val="single" w:sz="8" w:space="0" w:color="FFFFFF"/>
            </w:tcBorders>
            <w:shd w:val="clear" w:color="auto" w:fill="D9E1F3"/>
          </w:tcPr>
          <w:p w14:paraId="6967AAFA" w14:textId="77777777" w:rsidR="004C7180" w:rsidRPr="00150EDC" w:rsidRDefault="00CF0754">
            <w:pPr>
              <w:pStyle w:val="TableParagraph"/>
              <w:spacing w:before="0" w:line="240" w:lineRule="auto"/>
              <w:ind w:left="106" w:right="95"/>
              <w:jc w:val="both"/>
              <w:rPr>
                <w:sz w:val="24"/>
              </w:rPr>
            </w:pPr>
            <w:r w:rsidRPr="007D3144">
              <w:rPr>
                <w:sz w:val="24"/>
              </w:rPr>
              <w:t>Senior management leadership and ultimate</w:t>
            </w:r>
            <w:r w:rsidRPr="007D3144">
              <w:rPr>
                <w:spacing w:val="-6"/>
                <w:sz w:val="24"/>
              </w:rPr>
              <w:t xml:space="preserve"> </w:t>
            </w:r>
            <w:r w:rsidRPr="007D3144">
              <w:rPr>
                <w:sz w:val="24"/>
              </w:rPr>
              <w:t>responsibility</w:t>
            </w:r>
            <w:r w:rsidRPr="007D3144">
              <w:rPr>
                <w:spacing w:val="-7"/>
                <w:sz w:val="24"/>
              </w:rPr>
              <w:t xml:space="preserve"> </w:t>
            </w:r>
            <w:r w:rsidRPr="007D3144">
              <w:rPr>
                <w:sz w:val="24"/>
              </w:rPr>
              <w:t>for</w:t>
            </w:r>
            <w:r w:rsidRPr="007D3144">
              <w:rPr>
                <w:spacing w:val="-7"/>
                <w:sz w:val="24"/>
              </w:rPr>
              <w:t xml:space="preserve"> </w:t>
            </w:r>
            <w:r w:rsidRPr="007D3144">
              <w:rPr>
                <w:sz w:val="24"/>
              </w:rPr>
              <w:t>successful</w:t>
            </w:r>
            <w:r w:rsidRPr="007D3144">
              <w:rPr>
                <w:spacing w:val="-7"/>
                <w:sz w:val="24"/>
              </w:rPr>
              <w:t xml:space="preserve"> </w:t>
            </w:r>
            <w:r w:rsidRPr="007D3144">
              <w:rPr>
                <w:sz w:val="24"/>
              </w:rPr>
              <w:t xml:space="preserve">trial delivery, and regular reporting back to </w:t>
            </w:r>
            <w:r w:rsidRPr="007D3144">
              <w:rPr>
                <w:spacing w:val="-4"/>
                <w:sz w:val="24"/>
              </w:rPr>
              <w:t>DfE</w:t>
            </w:r>
          </w:p>
        </w:tc>
      </w:tr>
      <w:tr w:rsidR="004569EE" w:rsidRPr="007D3144" w14:paraId="6510449F" w14:textId="77777777">
        <w:trPr>
          <w:trHeight w:val="1775"/>
        </w:trPr>
        <w:tc>
          <w:tcPr>
            <w:tcW w:w="4499" w:type="dxa"/>
            <w:tcBorders>
              <w:top w:val="single" w:sz="8" w:space="0" w:color="FFFFFF"/>
            </w:tcBorders>
            <w:shd w:val="clear" w:color="auto" w:fill="4471C4"/>
          </w:tcPr>
          <w:p w14:paraId="18F3C3E0" w14:textId="77777777" w:rsidR="004C7180" w:rsidRPr="00150EDC" w:rsidRDefault="00CF0754">
            <w:pPr>
              <w:pStyle w:val="TableParagraph"/>
              <w:spacing w:before="0" w:line="240" w:lineRule="auto"/>
              <w:ind w:left="98"/>
              <w:rPr>
                <w:b/>
                <w:sz w:val="24"/>
              </w:rPr>
            </w:pPr>
            <w:r w:rsidRPr="007D3144">
              <w:rPr>
                <w:b/>
                <w:sz w:val="24"/>
              </w:rPr>
              <w:t>Project</w:t>
            </w:r>
            <w:r w:rsidRPr="007D3144">
              <w:rPr>
                <w:b/>
                <w:spacing w:val="-3"/>
                <w:sz w:val="24"/>
              </w:rPr>
              <w:t xml:space="preserve"> </w:t>
            </w:r>
            <w:r w:rsidRPr="007D3144">
              <w:rPr>
                <w:b/>
                <w:sz w:val="24"/>
              </w:rPr>
              <w:t>Manager</w:t>
            </w:r>
            <w:r w:rsidRPr="007D3144">
              <w:rPr>
                <w:b/>
                <w:spacing w:val="-3"/>
                <w:sz w:val="24"/>
              </w:rPr>
              <w:t xml:space="preserve"> </w:t>
            </w:r>
            <w:r w:rsidRPr="007D3144">
              <w:rPr>
                <w:b/>
                <w:sz w:val="24"/>
              </w:rPr>
              <w:t>Kate</w:t>
            </w:r>
            <w:r w:rsidRPr="007D3144">
              <w:rPr>
                <w:b/>
                <w:spacing w:val="-2"/>
                <w:sz w:val="24"/>
              </w:rPr>
              <w:t xml:space="preserve"> </w:t>
            </w:r>
            <w:r w:rsidRPr="007D3144">
              <w:rPr>
                <w:b/>
                <w:spacing w:val="-4"/>
                <w:sz w:val="24"/>
              </w:rPr>
              <w:t>Hunt</w:t>
            </w:r>
          </w:p>
        </w:tc>
        <w:tc>
          <w:tcPr>
            <w:tcW w:w="4499" w:type="dxa"/>
            <w:tcBorders>
              <w:top w:val="single" w:sz="8" w:space="0" w:color="FFFFFF"/>
            </w:tcBorders>
            <w:shd w:val="clear" w:color="auto" w:fill="B4C5E7"/>
          </w:tcPr>
          <w:p w14:paraId="5AAE200C" w14:textId="77777777" w:rsidR="004C7180" w:rsidRPr="00150EDC" w:rsidRDefault="00CF0754">
            <w:pPr>
              <w:pStyle w:val="TableParagraph"/>
              <w:tabs>
                <w:tab w:val="left" w:pos="1947"/>
                <w:tab w:val="left" w:pos="3600"/>
              </w:tabs>
              <w:spacing w:before="0" w:line="240" w:lineRule="auto"/>
              <w:ind w:left="106" w:right="95"/>
              <w:jc w:val="both"/>
              <w:rPr>
                <w:sz w:val="24"/>
              </w:rPr>
            </w:pPr>
            <w:r w:rsidRPr="007D3144">
              <w:rPr>
                <w:sz w:val="24"/>
              </w:rPr>
              <w:t xml:space="preserve">Oversight of all non-financial elements including single point of contact with the </w:t>
            </w:r>
            <w:r w:rsidRPr="007D3144">
              <w:rPr>
                <w:spacing w:val="-2"/>
                <w:sz w:val="24"/>
              </w:rPr>
              <w:t>evaluation</w:t>
            </w:r>
            <w:r w:rsidRPr="007D3144">
              <w:rPr>
                <w:sz w:val="24"/>
              </w:rPr>
              <w:tab/>
            </w:r>
            <w:r w:rsidRPr="007D3144">
              <w:rPr>
                <w:spacing w:val="-2"/>
                <w:sz w:val="24"/>
              </w:rPr>
              <w:t>supplier,</w:t>
            </w:r>
            <w:r w:rsidRPr="007D3144">
              <w:rPr>
                <w:sz w:val="24"/>
              </w:rPr>
              <w:tab/>
            </w:r>
            <w:r w:rsidRPr="007D3144">
              <w:rPr>
                <w:spacing w:val="-2"/>
                <w:sz w:val="24"/>
              </w:rPr>
              <w:t xml:space="preserve">product </w:t>
            </w:r>
            <w:r w:rsidRPr="007D3144">
              <w:rPr>
                <w:sz w:val="24"/>
              </w:rPr>
              <w:t>development supplier, and MCAs; responsible for monitoring milestones against the delivery plan</w:t>
            </w:r>
          </w:p>
        </w:tc>
      </w:tr>
    </w:tbl>
    <w:p w14:paraId="3C2586EA" w14:textId="77777777" w:rsidR="004C7180" w:rsidRPr="00150EDC" w:rsidRDefault="004C7180">
      <w:pPr>
        <w:jc w:val="both"/>
        <w:rPr>
          <w:sz w:val="24"/>
        </w:rPr>
        <w:sectPr w:rsidR="004C7180" w:rsidRPr="00150EDC">
          <w:pgSz w:w="11910" w:h="16840"/>
          <w:pgMar w:top="1460" w:right="0" w:bottom="1420" w:left="40" w:header="712" w:footer="1224" w:gutter="0"/>
          <w:cols w:space="720"/>
        </w:sectPr>
      </w:pPr>
    </w:p>
    <w:p w14:paraId="06B5A237" w14:textId="77777777" w:rsidR="004C7180" w:rsidRPr="00150EDC" w:rsidRDefault="004C7180">
      <w:pPr>
        <w:pStyle w:val="BodyText"/>
        <w:rPr>
          <w:sz w:val="28"/>
        </w:rPr>
      </w:pPr>
    </w:p>
    <w:tbl>
      <w:tblPr>
        <w:tblW w:w="0" w:type="auto"/>
        <w:tblCellSpacing w:w="10" w:type="dxa"/>
        <w:tblInd w:w="1437" w:type="dxa"/>
        <w:tblLayout w:type="fixed"/>
        <w:tblCellMar>
          <w:left w:w="0" w:type="dxa"/>
          <w:right w:w="0" w:type="dxa"/>
        </w:tblCellMar>
        <w:tblLook w:val="01E0" w:firstRow="1" w:lastRow="1" w:firstColumn="1" w:lastColumn="1" w:noHBand="0" w:noVBand="0"/>
      </w:tblPr>
      <w:tblGrid>
        <w:gridCol w:w="4518"/>
        <w:gridCol w:w="4518"/>
      </w:tblGrid>
      <w:tr w:rsidR="004569EE" w:rsidRPr="007D3144" w14:paraId="1A40E930" w14:textId="77777777">
        <w:trPr>
          <w:trHeight w:val="947"/>
          <w:tblCellSpacing w:w="10" w:type="dxa"/>
        </w:trPr>
        <w:tc>
          <w:tcPr>
            <w:tcW w:w="4488" w:type="dxa"/>
            <w:tcBorders>
              <w:top w:val="nil"/>
              <w:left w:val="nil"/>
              <w:bottom w:val="nil"/>
            </w:tcBorders>
            <w:shd w:val="clear" w:color="auto" w:fill="4471C4"/>
          </w:tcPr>
          <w:p w14:paraId="011CDE58" w14:textId="77777777" w:rsidR="004C7180" w:rsidRPr="00150EDC" w:rsidRDefault="00CF0754">
            <w:pPr>
              <w:pStyle w:val="TableParagraph"/>
              <w:spacing w:before="0" w:line="240" w:lineRule="auto"/>
              <w:ind w:left="98"/>
              <w:rPr>
                <w:b/>
                <w:sz w:val="24"/>
              </w:rPr>
            </w:pPr>
            <w:r w:rsidRPr="007D3144">
              <w:rPr>
                <w:b/>
                <w:sz w:val="24"/>
              </w:rPr>
              <w:t>Finance</w:t>
            </w:r>
            <w:r w:rsidRPr="007D3144">
              <w:rPr>
                <w:b/>
                <w:spacing w:val="-2"/>
                <w:sz w:val="24"/>
              </w:rPr>
              <w:t xml:space="preserve"> </w:t>
            </w:r>
            <w:r w:rsidRPr="007D3144">
              <w:rPr>
                <w:b/>
                <w:sz w:val="24"/>
              </w:rPr>
              <w:t>Manager</w:t>
            </w:r>
            <w:r w:rsidRPr="007D3144">
              <w:rPr>
                <w:b/>
                <w:spacing w:val="-2"/>
                <w:sz w:val="24"/>
              </w:rPr>
              <w:t xml:space="preserve"> </w:t>
            </w:r>
            <w:r w:rsidRPr="007D3144">
              <w:rPr>
                <w:b/>
                <w:sz w:val="24"/>
              </w:rPr>
              <w:t>Rachel</w:t>
            </w:r>
            <w:r w:rsidRPr="007D3144">
              <w:rPr>
                <w:b/>
                <w:spacing w:val="-1"/>
                <w:sz w:val="24"/>
              </w:rPr>
              <w:t xml:space="preserve"> </w:t>
            </w:r>
            <w:r w:rsidRPr="007D3144">
              <w:rPr>
                <w:b/>
                <w:spacing w:val="-4"/>
                <w:sz w:val="24"/>
              </w:rPr>
              <w:t>York</w:t>
            </w:r>
          </w:p>
        </w:tc>
        <w:tc>
          <w:tcPr>
            <w:tcW w:w="4488" w:type="dxa"/>
            <w:tcBorders>
              <w:top w:val="nil"/>
              <w:bottom w:val="nil"/>
              <w:right w:val="nil"/>
            </w:tcBorders>
            <w:shd w:val="clear" w:color="auto" w:fill="D9E1F3"/>
          </w:tcPr>
          <w:p w14:paraId="4B8A7896" w14:textId="77777777" w:rsidR="004C7180" w:rsidRPr="00150EDC" w:rsidRDefault="00CF0754">
            <w:pPr>
              <w:pStyle w:val="TableParagraph"/>
              <w:spacing w:before="0" w:line="240" w:lineRule="auto"/>
              <w:ind w:left="95" w:right="94"/>
              <w:jc w:val="both"/>
              <w:rPr>
                <w:sz w:val="24"/>
              </w:rPr>
            </w:pPr>
            <w:r w:rsidRPr="007D3144">
              <w:rPr>
                <w:sz w:val="24"/>
              </w:rPr>
              <w:t>Responsible for</w:t>
            </w:r>
            <w:r w:rsidRPr="007D3144">
              <w:rPr>
                <w:spacing w:val="-2"/>
                <w:sz w:val="24"/>
              </w:rPr>
              <w:t xml:space="preserve"> </w:t>
            </w:r>
            <w:r w:rsidRPr="007D3144">
              <w:rPr>
                <w:sz w:val="24"/>
              </w:rPr>
              <w:t>all financial matters</w:t>
            </w:r>
            <w:r w:rsidRPr="007D3144">
              <w:rPr>
                <w:spacing w:val="-1"/>
                <w:sz w:val="24"/>
              </w:rPr>
              <w:t xml:space="preserve"> </w:t>
            </w:r>
            <w:r w:rsidRPr="007D3144">
              <w:rPr>
                <w:sz w:val="24"/>
              </w:rPr>
              <w:t xml:space="preserve">and managing the distribution of funding to </w:t>
            </w:r>
            <w:r w:rsidRPr="007D3144">
              <w:rPr>
                <w:spacing w:val="-2"/>
                <w:sz w:val="24"/>
              </w:rPr>
              <w:t>providers</w:t>
            </w:r>
          </w:p>
        </w:tc>
      </w:tr>
      <w:tr w:rsidR="004569EE" w:rsidRPr="007D3144" w14:paraId="35B36204" w14:textId="77777777">
        <w:trPr>
          <w:trHeight w:val="823"/>
          <w:tblCellSpacing w:w="10" w:type="dxa"/>
        </w:trPr>
        <w:tc>
          <w:tcPr>
            <w:tcW w:w="4488" w:type="dxa"/>
            <w:tcBorders>
              <w:top w:val="nil"/>
              <w:left w:val="nil"/>
            </w:tcBorders>
            <w:shd w:val="clear" w:color="auto" w:fill="4471C4"/>
          </w:tcPr>
          <w:p w14:paraId="473E9B72" w14:textId="77777777" w:rsidR="004C7180" w:rsidRPr="00150EDC" w:rsidRDefault="00CF0754">
            <w:pPr>
              <w:pStyle w:val="TableParagraph"/>
              <w:tabs>
                <w:tab w:val="left" w:pos="1432"/>
                <w:tab w:val="left" w:pos="2498"/>
                <w:tab w:val="left" w:pos="3739"/>
              </w:tabs>
              <w:spacing w:before="0" w:line="240" w:lineRule="auto"/>
              <w:ind w:left="98" w:right="94"/>
              <w:rPr>
                <w:b/>
                <w:sz w:val="24"/>
              </w:rPr>
            </w:pPr>
            <w:r w:rsidRPr="007D3144">
              <w:rPr>
                <w:b/>
                <w:spacing w:val="-2"/>
                <w:sz w:val="24"/>
              </w:rPr>
              <w:t>Assistant</w:t>
            </w:r>
            <w:r w:rsidRPr="007D3144">
              <w:rPr>
                <w:b/>
                <w:sz w:val="24"/>
              </w:rPr>
              <w:tab/>
            </w:r>
            <w:r w:rsidRPr="007D3144">
              <w:rPr>
                <w:b/>
                <w:spacing w:val="-2"/>
                <w:sz w:val="24"/>
              </w:rPr>
              <w:t>Project</w:t>
            </w:r>
            <w:r w:rsidRPr="007D3144">
              <w:rPr>
                <w:b/>
                <w:sz w:val="24"/>
              </w:rPr>
              <w:tab/>
            </w:r>
            <w:r w:rsidRPr="007D3144">
              <w:rPr>
                <w:b/>
                <w:spacing w:val="-2"/>
                <w:sz w:val="24"/>
              </w:rPr>
              <w:t>Manager</w:t>
            </w:r>
            <w:r w:rsidRPr="007D3144">
              <w:rPr>
                <w:b/>
                <w:sz w:val="24"/>
              </w:rPr>
              <w:tab/>
            </w:r>
            <w:r w:rsidRPr="007D3144">
              <w:rPr>
                <w:b/>
                <w:spacing w:val="-4"/>
                <w:sz w:val="24"/>
              </w:rPr>
              <w:t xml:space="preserve">Laura </w:t>
            </w:r>
            <w:r w:rsidRPr="007D3144">
              <w:rPr>
                <w:b/>
                <w:spacing w:val="-2"/>
                <w:sz w:val="24"/>
              </w:rPr>
              <w:t>Gorniak</w:t>
            </w:r>
          </w:p>
        </w:tc>
        <w:tc>
          <w:tcPr>
            <w:tcW w:w="4488" w:type="dxa"/>
            <w:tcBorders>
              <w:top w:val="nil"/>
              <w:right w:val="nil"/>
            </w:tcBorders>
            <w:shd w:val="clear" w:color="auto" w:fill="B4C5E7"/>
          </w:tcPr>
          <w:p w14:paraId="47DE496B" w14:textId="77777777" w:rsidR="004C7180" w:rsidRPr="00150EDC" w:rsidRDefault="00CF0754">
            <w:pPr>
              <w:pStyle w:val="TableParagraph"/>
              <w:spacing w:before="0" w:line="270" w:lineRule="atLeast"/>
              <w:ind w:left="95" w:right="94"/>
              <w:jc w:val="both"/>
              <w:rPr>
                <w:sz w:val="24"/>
              </w:rPr>
            </w:pPr>
            <w:r w:rsidRPr="007D3144">
              <w:rPr>
                <w:sz w:val="24"/>
              </w:rPr>
              <w:t>Monitoring learner recruitment activities, delivery of the trial and timely resolution of issues</w:t>
            </w:r>
          </w:p>
        </w:tc>
      </w:tr>
      <w:tr w:rsidR="004569EE" w:rsidRPr="007D3144" w14:paraId="140EA2BF" w14:textId="77777777">
        <w:trPr>
          <w:trHeight w:val="938"/>
          <w:tblCellSpacing w:w="10" w:type="dxa"/>
        </w:trPr>
        <w:tc>
          <w:tcPr>
            <w:tcW w:w="4488" w:type="dxa"/>
            <w:tcBorders>
              <w:left w:val="nil"/>
              <w:bottom w:val="nil"/>
            </w:tcBorders>
            <w:shd w:val="clear" w:color="auto" w:fill="4471C4"/>
          </w:tcPr>
          <w:p w14:paraId="3DC40C9E" w14:textId="77777777" w:rsidR="004C7180" w:rsidRPr="00150EDC" w:rsidRDefault="00CF0754">
            <w:pPr>
              <w:pStyle w:val="TableParagraph"/>
              <w:spacing w:before="0" w:line="268" w:lineRule="exact"/>
              <w:ind w:left="98"/>
              <w:rPr>
                <w:b/>
                <w:sz w:val="24"/>
              </w:rPr>
            </w:pPr>
            <w:r w:rsidRPr="007D3144">
              <w:rPr>
                <w:b/>
                <w:sz w:val="24"/>
              </w:rPr>
              <w:t>Project</w:t>
            </w:r>
            <w:r w:rsidRPr="007D3144">
              <w:rPr>
                <w:b/>
                <w:spacing w:val="-3"/>
                <w:sz w:val="24"/>
              </w:rPr>
              <w:t xml:space="preserve"> </w:t>
            </w:r>
            <w:r w:rsidRPr="007D3144">
              <w:rPr>
                <w:b/>
                <w:sz w:val="24"/>
              </w:rPr>
              <w:t>Manager</w:t>
            </w:r>
            <w:r w:rsidRPr="007D3144">
              <w:rPr>
                <w:b/>
                <w:spacing w:val="-2"/>
                <w:sz w:val="24"/>
              </w:rPr>
              <w:t xml:space="preserve"> Apprentice</w:t>
            </w:r>
          </w:p>
        </w:tc>
        <w:tc>
          <w:tcPr>
            <w:tcW w:w="4488" w:type="dxa"/>
            <w:tcBorders>
              <w:bottom w:val="nil"/>
              <w:right w:val="nil"/>
            </w:tcBorders>
            <w:shd w:val="clear" w:color="auto" w:fill="D9E1F3"/>
          </w:tcPr>
          <w:p w14:paraId="2524E915" w14:textId="77777777" w:rsidR="004C7180" w:rsidRPr="00150EDC" w:rsidRDefault="00CF0754">
            <w:pPr>
              <w:pStyle w:val="TableParagraph"/>
              <w:spacing w:before="0" w:line="240" w:lineRule="auto"/>
              <w:ind w:left="95" w:right="95"/>
              <w:jc w:val="both"/>
              <w:rPr>
                <w:sz w:val="24"/>
              </w:rPr>
            </w:pPr>
            <w:r w:rsidRPr="007D3144">
              <w:rPr>
                <w:sz w:val="24"/>
              </w:rPr>
              <w:t>Supporting project management by providing data collection and entry, alongside basic reporting</w:t>
            </w:r>
          </w:p>
        </w:tc>
      </w:tr>
      <w:tr w:rsidR="004569EE" w:rsidRPr="007D3144" w14:paraId="0E00FD49" w14:textId="77777777">
        <w:trPr>
          <w:trHeight w:val="1223"/>
          <w:tblCellSpacing w:w="10" w:type="dxa"/>
        </w:trPr>
        <w:tc>
          <w:tcPr>
            <w:tcW w:w="4488" w:type="dxa"/>
            <w:tcBorders>
              <w:top w:val="nil"/>
              <w:left w:val="nil"/>
              <w:bottom w:val="nil"/>
            </w:tcBorders>
            <w:shd w:val="clear" w:color="auto" w:fill="4471C4"/>
          </w:tcPr>
          <w:p w14:paraId="1086443E" w14:textId="77777777" w:rsidR="004C7180" w:rsidRPr="00150EDC" w:rsidRDefault="00CF0754">
            <w:pPr>
              <w:pStyle w:val="TableParagraph"/>
              <w:spacing w:before="0" w:line="240" w:lineRule="auto"/>
              <w:ind w:left="98"/>
              <w:rPr>
                <w:b/>
                <w:sz w:val="24"/>
              </w:rPr>
            </w:pPr>
            <w:r w:rsidRPr="007D3144">
              <w:rPr>
                <w:b/>
                <w:sz w:val="24"/>
              </w:rPr>
              <w:t>Contracts</w:t>
            </w:r>
            <w:r w:rsidRPr="007D3144">
              <w:rPr>
                <w:b/>
                <w:spacing w:val="-4"/>
                <w:sz w:val="24"/>
              </w:rPr>
              <w:t xml:space="preserve"> </w:t>
            </w:r>
            <w:r w:rsidRPr="007D3144">
              <w:rPr>
                <w:b/>
                <w:sz w:val="24"/>
              </w:rPr>
              <w:t>Coordinator</w:t>
            </w:r>
            <w:r w:rsidRPr="007D3144">
              <w:rPr>
                <w:b/>
                <w:spacing w:val="-5"/>
                <w:sz w:val="24"/>
              </w:rPr>
              <w:t xml:space="preserve"> </w:t>
            </w:r>
            <w:r w:rsidRPr="007D3144">
              <w:rPr>
                <w:b/>
                <w:sz w:val="24"/>
              </w:rPr>
              <w:t>Rachel</w:t>
            </w:r>
            <w:r w:rsidRPr="007D3144">
              <w:rPr>
                <w:b/>
                <w:spacing w:val="-6"/>
                <w:sz w:val="24"/>
              </w:rPr>
              <w:t xml:space="preserve"> </w:t>
            </w:r>
            <w:r w:rsidRPr="007D3144">
              <w:rPr>
                <w:b/>
                <w:spacing w:val="-4"/>
                <w:sz w:val="24"/>
              </w:rPr>
              <w:t>York</w:t>
            </w:r>
          </w:p>
        </w:tc>
        <w:tc>
          <w:tcPr>
            <w:tcW w:w="4488" w:type="dxa"/>
            <w:tcBorders>
              <w:top w:val="nil"/>
              <w:bottom w:val="nil"/>
              <w:right w:val="nil"/>
            </w:tcBorders>
            <w:shd w:val="clear" w:color="auto" w:fill="B4C5E7"/>
          </w:tcPr>
          <w:p w14:paraId="09F4C39C" w14:textId="77777777" w:rsidR="004C7180" w:rsidRPr="00150EDC" w:rsidRDefault="00CF0754">
            <w:pPr>
              <w:pStyle w:val="TableParagraph"/>
              <w:spacing w:before="0" w:line="240" w:lineRule="auto"/>
              <w:ind w:left="95" w:right="93"/>
              <w:jc w:val="both"/>
              <w:rPr>
                <w:sz w:val="24"/>
              </w:rPr>
            </w:pPr>
            <w:r w:rsidRPr="007D3144">
              <w:rPr>
                <w:sz w:val="24"/>
              </w:rPr>
              <w:t>Liaising with 5 MCAs and implementing contracts/agreements with the 100 further education/adult education colleges to participate in the trial</w:t>
            </w:r>
          </w:p>
        </w:tc>
      </w:tr>
      <w:tr w:rsidR="004569EE" w:rsidRPr="007D3144" w14:paraId="0A5D546A" w14:textId="77777777">
        <w:trPr>
          <w:trHeight w:val="1223"/>
          <w:tblCellSpacing w:w="10" w:type="dxa"/>
        </w:trPr>
        <w:tc>
          <w:tcPr>
            <w:tcW w:w="4488" w:type="dxa"/>
            <w:tcBorders>
              <w:top w:val="nil"/>
              <w:left w:val="nil"/>
              <w:bottom w:val="nil"/>
            </w:tcBorders>
            <w:shd w:val="clear" w:color="auto" w:fill="4471C4"/>
          </w:tcPr>
          <w:p w14:paraId="5701832E" w14:textId="77777777" w:rsidR="004C7180" w:rsidRPr="00150EDC" w:rsidRDefault="00CF0754">
            <w:pPr>
              <w:pStyle w:val="TableParagraph"/>
              <w:spacing w:before="0" w:line="240" w:lineRule="auto"/>
              <w:ind w:left="98"/>
              <w:rPr>
                <w:b/>
                <w:sz w:val="24"/>
              </w:rPr>
            </w:pPr>
            <w:r w:rsidRPr="007D3144">
              <w:rPr>
                <w:b/>
                <w:sz w:val="24"/>
              </w:rPr>
              <w:t>Procurement</w:t>
            </w:r>
            <w:r w:rsidRPr="007D3144">
              <w:rPr>
                <w:b/>
                <w:spacing w:val="-5"/>
                <w:sz w:val="24"/>
              </w:rPr>
              <w:t xml:space="preserve"> </w:t>
            </w:r>
            <w:r w:rsidRPr="007D3144">
              <w:rPr>
                <w:b/>
                <w:sz w:val="24"/>
              </w:rPr>
              <w:t>Officer</w:t>
            </w:r>
            <w:r w:rsidRPr="007D3144">
              <w:rPr>
                <w:b/>
                <w:spacing w:val="-3"/>
                <w:sz w:val="24"/>
              </w:rPr>
              <w:t xml:space="preserve"> </w:t>
            </w:r>
            <w:r w:rsidRPr="007D3144">
              <w:rPr>
                <w:b/>
                <w:sz w:val="24"/>
              </w:rPr>
              <w:t xml:space="preserve">Will </w:t>
            </w:r>
            <w:r w:rsidRPr="007D3144">
              <w:rPr>
                <w:b/>
                <w:spacing w:val="-2"/>
                <w:sz w:val="24"/>
              </w:rPr>
              <w:t>Carney</w:t>
            </w:r>
          </w:p>
        </w:tc>
        <w:tc>
          <w:tcPr>
            <w:tcW w:w="4488" w:type="dxa"/>
            <w:tcBorders>
              <w:top w:val="nil"/>
              <w:bottom w:val="nil"/>
              <w:right w:val="nil"/>
            </w:tcBorders>
            <w:shd w:val="clear" w:color="auto" w:fill="D9E1F3"/>
          </w:tcPr>
          <w:p w14:paraId="7012553F" w14:textId="77777777" w:rsidR="004C7180" w:rsidRPr="00150EDC" w:rsidRDefault="00CF0754">
            <w:pPr>
              <w:pStyle w:val="TableParagraph"/>
              <w:spacing w:before="0" w:line="240" w:lineRule="auto"/>
              <w:ind w:left="95" w:right="93"/>
              <w:jc w:val="both"/>
              <w:rPr>
                <w:sz w:val="24"/>
              </w:rPr>
            </w:pPr>
            <w:r w:rsidRPr="007D3144">
              <w:rPr>
                <w:sz w:val="24"/>
              </w:rPr>
              <w:t>Supporting and deputising for the Contracts Coordinator, and setting up appropriate commercial arrangements with each provider</w:t>
            </w:r>
          </w:p>
        </w:tc>
      </w:tr>
      <w:tr w:rsidR="004569EE" w:rsidRPr="007D3144" w14:paraId="71E1581D" w14:textId="77777777">
        <w:trPr>
          <w:trHeight w:val="1219"/>
          <w:tblCellSpacing w:w="10" w:type="dxa"/>
        </w:trPr>
        <w:tc>
          <w:tcPr>
            <w:tcW w:w="4488" w:type="dxa"/>
            <w:tcBorders>
              <w:top w:val="nil"/>
              <w:left w:val="nil"/>
            </w:tcBorders>
            <w:shd w:val="clear" w:color="auto" w:fill="4471C4"/>
          </w:tcPr>
          <w:p w14:paraId="397C2A2B" w14:textId="77777777" w:rsidR="004C7180" w:rsidRPr="00150EDC" w:rsidRDefault="00CF0754">
            <w:pPr>
              <w:pStyle w:val="TableParagraph"/>
              <w:spacing w:before="0" w:line="240" w:lineRule="auto"/>
              <w:ind w:left="98"/>
              <w:rPr>
                <w:b/>
                <w:sz w:val="24"/>
              </w:rPr>
            </w:pPr>
            <w:r w:rsidRPr="007D3144">
              <w:rPr>
                <w:b/>
                <w:sz w:val="24"/>
              </w:rPr>
              <w:t>Compliance</w:t>
            </w:r>
            <w:r w:rsidRPr="007D3144">
              <w:rPr>
                <w:b/>
                <w:spacing w:val="-5"/>
                <w:sz w:val="24"/>
              </w:rPr>
              <w:t xml:space="preserve"> </w:t>
            </w:r>
            <w:r w:rsidRPr="007D3144">
              <w:rPr>
                <w:b/>
                <w:sz w:val="24"/>
              </w:rPr>
              <w:t>Officer</w:t>
            </w:r>
            <w:r w:rsidRPr="007D3144">
              <w:rPr>
                <w:b/>
                <w:spacing w:val="-7"/>
                <w:sz w:val="24"/>
              </w:rPr>
              <w:t xml:space="preserve"> </w:t>
            </w:r>
            <w:r w:rsidRPr="007D3144">
              <w:rPr>
                <w:b/>
                <w:sz w:val="24"/>
              </w:rPr>
              <w:t>Masooma</w:t>
            </w:r>
            <w:r w:rsidRPr="007D3144">
              <w:rPr>
                <w:b/>
                <w:spacing w:val="-2"/>
                <w:sz w:val="24"/>
              </w:rPr>
              <w:t xml:space="preserve"> Fadhull</w:t>
            </w:r>
          </w:p>
        </w:tc>
        <w:tc>
          <w:tcPr>
            <w:tcW w:w="4488" w:type="dxa"/>
            <w:tcBorders>
              <w:top w:val="nil"/>
              <w:right w:val="nil"/>
            </w:tcBorders>
            <w:shd w:val="clear" w:color="auto" w:fill="B4C5E7"/>
          </w:tcPr>
          <w:p w14:paraId="6B6A8E48" w14:textId="77777777" w:rsidR="004C7180" w:rsidRPr="00150EDC" w:rsidRDefault="00CF0754">
            <w:pPr>
              <w:pStyle w:val="TableParagraph"/>
              <w:spacing w:before="0" w:line="240" w:lineRule="auto"/>
              <w:ind w:left="95" w:right="97"/>
              <w:jc w:val="both"/>
              <w:rPr>
                <w:sz w:val="24"/>
              </w:rPr>
            </w:pPr>
            <w:r w:rsidRPr="007D3144">
              <w:rPr>
                <w:sz w:val="24"/>
              </w:rPr>
              <w:t>Developing processes/guidance on processing and payment; undertaking electronic compliance checks of performance data</w:t>
            </w:r>
          </w:p>
        </w:tc>
      </w:tr>
      <w:tr w:rsidR="004569EE" w:rsidRPr="007D3144" w14:paraId="622ED0ED" w14:textId="77777777">
        <w:trPr>
          <w:trHeight w:val="943"/>
          <w:tblCellSpacing w:w="10" w:type="dxa"/>
        </w:trPr>
        <w:tc>
          <w:tcPr>
            <w:tcW w:w="4488" w:type="dxa"/>
            <w:tcBorders>
              <w:left w:val="nil"/>
              <w:bottom w:val="nil"/>
            </w:tcBorders>
            <w:shd w:val="clear" w:color="auto" w:fill="4471C4"/>
          </w:tcPr>
          <w:p w14:paraId="6CFE4964" w14:textId="77777777" w:rsidR="004C7180" w:rsidRPr="00150EDC" w:rsidRDefault="00CF0754">
            <w:pPr>
              <w:pStyle w:val="TableParagraph"/>
              <w:spacing w:before="0" w:line="272" w:lineRule="exact"/>
              <w:ind w:left="98"/>
              <w:rPr>
                <w:b/>
                <w:sz w:val="24"/>
              </w:rPr>
            </w:pPr>
            <w:r w:rsidRPr="007D3144">
              <w:rPr>
                <w:b/>
                <w:sz w:val="24"/>
              </w:rPr>
              <w:t>Finance</w:t>
            </w:r>
            <w:r w:rsidRPr="007D3144">
              <w:rPr>
                <w:b/>
                <w:spacing w:val="-5"/>
                <w:sz w:val="24"/>
              </w:rPr>
              <w:t xml:space="preserve"> </w:t>
            </w:r>
            <w:r w:rsidRPr="007D3144">
              <w:rPr>
                <w:b/>
                <w:sz w:val="24"/>
              </w:rPr>
              <w:t>and</w:t>
            </w:r>
            <w:r w:rsidRPr="007D3144">
              <w:rPr>
                <w:b/>
                <w:spacing w:val="-4"/>
                <w:sz w:val="24"/>
              </w:rPr>
              <w:t xml:space="preserve"> </w:t>
            </w:r>
            <w:r w:rsidRPr="007D3144">
              <w:rPr>
                <w:b/>
                <w:sz w:val="24"/>
              </w:rPr>
              <w:t>compliance</w:t>
            </w:r>
            <w:r w:rsidRPr="007D3144">
              <w:rPr>
                <w:b/>
                <w:spacing w:val="-2"/>
                <w:sz w:val="24"/>
              </w:rPr>
              <w:t xml:space="preserve"> apprentice</w:t>
            </w:r>
          </w:p>
        </w:tc>
        <w:tc>
          <w:tcPr>
            <w:tcW w:w="4488" w:type="dxa"/>
            <w:tcBorders>
              <w:bottom w:val="nil"/>
              <w:right w:val="nil"/>
            </w:tcBorders>
            <w:shd w:val="clear" w:color="auto" w:fill="D9E1F3"/>
          </w:tcPr>
          <w:p w14:paraId="72528114" w14:textId="77777777" w:rsidR="004C7180" w:rsidRPr="00150EDC" w:rsidRDefault="00CF0754">
            <w:pPr>
              <w:pStyle w:val="TableParagraph"/>
              <w:spacing w:before="0" w:line="240" w:lineRule="auto"/>
              <w:ind w:left="95" w:right="96"/>
              <w:jc w:val="both"/>
              <w:rPr>
                <w:sz w:val="24"/>
              </w:rPr>
            </w:pPr>
            <w:r w:rsidRPr="007D3144">
              <w:rPr>
                <w:sz w:val="24"/>
              </w:rPr>
              <w:t>Supporting stakeholders by providing advice and/or addressing queries about the payments process.</w:t>
            </w:r>
          </w:p>
        </w:tc>
      </w:tr>
      <w:tr w:rsidR="004569EE" w:rsidRPr="007D3144" w14:paraId="269B749C" w14:textId="77777777">
        <w:trPr>
          <w:trHeight w:val="671"/>
          <w:tblCellSpacing w:w="10" w:type="dxa"/>
        </w:trPr>
        <w:tc>
          <w:tcPr>
            <w:tcW w:w="4488" w:type="dxa"/>
            <w:tcBorders>
              <w:top w:val="nil"/>
              <w:left w:val="nil"/>
              <w:bottom w:val="nil"/>
            </w:tcBorders>
            <w:shd w:val="clear" w:color="auto" w:fill="4471C4"/>
          </w:tcPr>
          <w:p w14:paraId="39120D42" w14:textId="77777777" w:rsidR="004C7180" w:rsidRPr="00150EDC" w:rsidRDefault="00CF0754">
            <w:pPr>
              <w:pStyle w:val="TableParagraph"/>
              <w:spacing w:before="0" w:line="240" w:lineRule="auto"/>
              <w:ind w:left="98"/>
              <w:rPr>
                <w:b/>
                <w:sz w:val="24"/>
              </w:rPr>
            </w:pPr>
            <w:r w:rsidRPr="007D3144">
              <w:rPr>
                <w:b/>
                <w:sz w:val="24"/>
              </w:rPr>
              <w:t>Tribal</w:t>
            </w:r>
            <w:r w:rsidRPr="007D3144">
              <w:rPr>
                <w:b/>
                <w:spacing w:val="-4"/>
                <w:sz w:val="24"/>
              </w:rPr>
              <w:t xml:space="preserve"> </w:t>
            </w:r>
            <w:r w:rsidRPr="007D3144">
              <w:rPr>
                <w:b/>
                <w:sz w:val="24"/>
              </w:rPr>
              <w:t>Education</w:t>
            </w:r>
            <w:r w:rsidRPr="007D3144">
              <w:rPr>
                <w:b/>
                <w:spacing w:val="-5"/>
                <w:sz w:val="24"/>
              </w:rPr>
              <w:t xml:space="preserve"> </w:t>
            </w:r>
            <w:r w:rsidRPr="007D3144">
              <w:rPr>
                <w:b/>
                <w:sz w:val="24"/>
              </w:rPr>
              <w:t>Services</w:t>
            </w:r>
            <w:r w:rsidRPr="007D3144">
              <w:rPr>
                <w:b/>
                <w:spacing w:val="-3"/>
                <w:sz w:val="24"/>
              </w:rPr>
              <w:t xml:space="preserve"> </w:t>
            </w:r>
            <w:r w:rsidRPr="007D3144">
              <w:rPr>
                <w:b/>
                <w:spacing w:val="-2"/>
                <w:sz w:val="24"/>
              </w:rPr>
              <w:t>Leadership</w:t>
            </w:r>
          </w:p>
        </w:tc>
        <w:tc>
          <w:tcPr>
            <w:tcW w:w="4488" w:type="dxa"/>
            <w:tcBorders>
              <w:top w:val="nil"/>
              <w:bottom w:val="nil"/>
              <w:right w:val="nil"/>
            </w:tcBorders>
            <w:shd w:val="clear" w:color="auto" w:fill="B4C5E7"/>
          </w:tcPr>
          <w:p w14:paraId="04936BCE" w14:textId="77777777" w:rsidR="004C7180" w:rsidRPr="00150EDC" w:rsidRDefault="00CF0754">
            <w:pPr>
              <w:pStyle w:val="TableParagraph"/>
              <w:spacing w:before="0" w:line="240" w:lineRule="auto"/>
              <w:ind w:left="95"/>
              <w:rPr>
                <w:sz w:val="24"/>
              </w:rPr>
            </w:pPr>
            <w:r w:rsidRPr="007D3144">
              <w:rPr>
                <w:sz w:val="24"/>
              </w:rPr>
              <w:t>Management</w:t>
            </w:r>
            <w:r w:rsidRPr="007D3144">
              <w:rPr>
                <w:spacing w:val="33"/>
                <w:sz w:val="24"/>
              </w:rPr>
              <w:t xml:space="preserve"> </w:t>
            </w:r>
            <w:r w:rsidRPr="007D3144">
              <w:rPr>
                <w:sz w:val="24"/>
              </w:rPr>
              <w:t>oversight</w:t>
            </w:r>
            <w:r w:rsidRPr="007D3144">
              <w:rPr>
                <w:spacing w:val="35"/>
                <w:sz w:val="24"/>
              </w:rPr>
              <w:t xml:space="preserve"> </w:t>
            </w:r>
            <w:r w:rsidRPr="007D3144">
              <w:rPr>
                <w:sz w:val="24"/>
              </w:rPr>
              <w:t>and</w:t>
            </w:r>
            <w:r w:rsidRPr="007D3144">
              <w:rPr>
                <w:spacing w:val="35"/>
                <w:sz w:val="24"/>
              </w:rPr>
              <w:t xml:space="preserve"> </w:t>
            </w:r>
            <w:r w:rsidRPr="007D3144">
              <w:rPr>
                <w:sz w:val="24"/>
              </w:rPr>
              <w:t>support</w:t>
            </w:r>
            <w:r w:rsidRPr="007D3144">
              <w:rPr>
                <w:spacing w:val="33"/>
                <w:sz w:val="24"/>
              </w:rPr>
              <w:t xml:space="preserve"> </w:t>
            </w:r>
            <w:r w:rsidRPr="007D3144">
              <w:rPr>
                <w:sz w:val="24"/>
              </w:rPr>
              <w:t>for project leadership.</w:t>
            </w:r>
          </w:p>
        </w:tc>
      </w:tr>
      <w:tr w:rsidR="004569EE" w:rsidRPr="007D3144" w14:paraId="3DCABB16" w14:textId="77777777">
        <w:trPr>
          <w:trHeight w:val="667"/>
          <w:tblCellSpacing w:w="10" w:type="dxa"/>
        </w:trPr>
        <w:tc>
          <w:tcPr>
            <w:tcW w:w="4488" w:type="dxa"/>
            <w:tcBorders>
              <w:top w:val="nil"/>
              <w:left w:val="nil"/>
            </w:tcBorders>
            <w:shd w:val="clear" w:color="auto" w:fill="4471C4"/>
          </w:tcPr>
          <w:p w14:paraId="34D5560C" w14:textId="77777777" w:rsidR="004C7180" w:rsidRPr="00150EDC" w:rsidRDefault="00CF0754">
            <w:pPr>
              <w:pStyle w:val="TableParagraph"/>
              <w:spacing w:before="0" w:line="240" w:lineRule="auto"/>
              <w:ind w:left="98"/>
              <w:rPr>
                <w:b/>
                <w:sz w:val="24"/>
              </w:rPr>
            </w:pPr>
            <w:r w:rsidRPr="007D3144">
              <w:rPr>
                <w:b/>
                <w:sz w:val="24"/>
              </w:rPr>
              <w:t>Adult</w:t>
            </w:r>
            <w:r w:rsidRPr="007D3144">
              <w:rPr>
                <w:b/>
                <w:spacing w:val="-5"/>
                <w:sz w:val="24"/>
              </w:rPr>
              <w:t xml:space="preserve"> </w:t>
            </w:r>
            <w:r w:rsidRPr="007D3144">
              <w:rPr>
                <w:b/>
                <w:sz w:val="24"/>
              </w:rPr>
              <w:t>Numeracy</w:t>
            </w:r>
            <w:r w:rsidRPr="007D3144">
              <w:rPr>
                <w:b/>
                <w:spacing w:val="-3"/>
                <w:sz w:val="24"/>
              </w:rPr>
              <w:t xml:space="preserve"> </w:t>
            </w:r>
            <w:r w:rsidRPr="007D3144">
              <w:rPr>
                <w:b/>
                <w:sz w:val="24"/>
              </w:rPr>
              <w:t>Advisory</w:t>
            </w:r>
            <w:r w:rsidRPr="007D3144">
              <w:rPr>
                <w:b/>
                <w:spacing w:val="-3"/>
                <w:sz w:val="24"/>
              </w:rPr>
              <w:t xml:space="preserve"> </w:t>
            </w:r>
            <w:r w:rsidRPr="007D3144">
              <w:rPr>
                <w:b/>
                <w:spacing w:val="-2"/>
                <w:sz w:val="24"/>
              </w:rPr>
              <w:t>Group</w:t>
            </w:r>
          </w:p>
        </w:tc>
        <w:tc>
          <w:tcPr>
            <w:tcW w:w="4488" w:type="dxa"/>
            <w:tcBorders>
              <w:top w:val="nil"/>
              <w:right w:val="nil"/>
            </w:tcBorders>
            <w:shd w:val="clear" w:color="auto" w:fill="D9E1F3"/>
          </w:tcPr>
          <w:p w14:paraId="7752C7DF" w14:textId="77777777" w:rsidR="004C7180" w:rsidRPr="00150EDC" w:rsidRDefault="00CF0754">
            <w:pPr>
              <w:pStyle w:val="TableParagraph"/>
              <w:tabs>
                <w:tab w:val="left" w:pos="1326"/>
                <w:tab w:val="left" w:pos="2503"/>
                <w:tab w:val="left" w:pos="3107"/>
                <w:tab w:val="left" w:pos="4111"/>
              </w:tabs>
              <w:spacing w:before="0" w:line="240" w:lineRule="auto"/>
              <w:ind w:left="95" w:right="95"/>
              <w:rPr>
                <w:sz w:val="24"/>
              </w:rPr>
            </w:pPr>
            <w:r w:rsidRPr="007D3144">
              <w:rPr>
                <w:spacing w:val="-2"/>
                <w:sz w:val="24"/>
              </w:rPr>
              <w:t>Technical</w:t>
            </w:r>
            <w:r w:rsidRPr="007D3144">
              <w:rPr>
                <w:sz w:val="24"/>
              </w:rPr>
              <w:tab/>
            </w:r>
            <w:r w:rsidRPr="007D3144">
              <w:rPr>
                <w:spacing w:val="-2"/>
                <w:sz w:val="24"/>
              </w:rPr>
              <w:t>expertise</w:t>
            </w:r>
            <w:r w:rsidRPr="007D3144">
              <w:rPr>
                <w:sz w:val="24"/>
              </w:rPr>
              <w:tab/>
            </w:r>
            <w:r w:rsidRPr="007D3144">
              <w:rPr>
                <w:spacing w:val="-4"/>
                <w:sz w:val="24"/>
              </w:rPr>
              <w:t>and</w:t>
            </w:r>
            <w:r w:rsidRPr="007D3144">
              <w:rPr>
                <w:sz w:val="24"/>
              </w:rPr>
              <w:tab/>
            </w:r>
            <w:r w:rsidRPr="007D3144">
              <w:rPr>
                <w:spacing w:val="-2"/>
                <w:sz w:val="24"/>
              </w:rPr>
              <w:t>support</w:t>
            </w:r>
            <w:r w:rsidRPr="007D3144">
              <w:rPr>
                <w:sz w:val="24"/>
              </w:rPr>
              <w:tab/>
            </w:r>
            <w:r w:rsidRPr="007D3144">
              <w:rPr>
                <w:spacing w:val="-4"/>
                <w:sz w:val="24"/>
              </w:rPr>
              <w:t xml:space="preserve">for </w:t>
            </w:r>
            <w:r w:rsidRPr="007D3144">
              <w:rPr>
                <w:sz w:val="24"/>
              </w:rPr>
              <w:t>project leadership.</w:t>
            </w:r>
          </w:p>
        </w:tc>
      </w:tr>
      <w:tr w:rsidR="004569EE" w:rsidRPr="007D3144" w14:paraId="03331FDC" w14:textId="77777777">
        <w:trPr>
          <w:trHeight w:val="943"/>
          <w:tblCellSpacing w:w="10" w:type="dxa"/>
        </w:trPr>
        <w:tc>
          <w:tcPr>
            <w:tcW w:w="4488" w:type="dxa"/>
            <w:tcBorders>
              <w:left w:val="nil"/>
              <w:bottom w:val="nil"/>
            </w:tcBorders>
            <w:shd w:val="clear" w:color="auto" w:fill="4471C4"/>
          </w:tcPr>
          <w:p w14:paraId="25780540" w14:textId="77777777" w:rsidR="004C7180" w:rsidRPr="00150EDC" w:rsidRDefault="00CF0754">
            <w:pPr>
              <w:pStyle w:val="TableParagraph"/>
              <w:spacing w:before="0" w:line="272" w:lineRule="exact"/>
              <w:ind w:left="98"/>
              <w:rPr>
                <w:b/>
                <w:sz w:val="24"/>
              </w:rPr>
            </w:pPr>
            <w:r w:rsidRPr="007D3144">
              <w:rPr>
                <w:b/>
                <w:sz w:val="24"/>
              </w:rPr>
              <w:t>Provider</w:t>
            </w:r>
            <w:r w:rsidRPr="007D3144">
              <w:rPr>
                <w:b/>
                <w:spacing w:val="-7"/>
                <w:sz w:val="24"/>
              </w:rPr>
              <w:t xml:space="preserve"> </w:t>
            </w:r>
            <w:r w:rsidRPr="007D3144">
              <w:rPr>
                <w:b/>
                <w:sz w:val="24"/>
              </w:rPr>
              <w:t>Advisory</w:t>
            </w:r>
            <w:r w:rsidRPr="007D3144">
              <w:rPr>
                <w:b/>
                <w:spacing w:val="-4"/>
                <w:sz w:val="24"/>
              </w:rPr>
              <w:t xml:space="preserve"> Forum</w:t>
            </w:r>
          </w:p>
        </w:tc>
        <w:tc>
          <w:tcPr>
            <w:tcW w:w="4488" w:type="dxa"/>
            <w:tcBorders>
              <w:bottom w:val="nil"/>
              <w:right w:val="nil"/>
            </w:tcBorders>
            <w:shd w:val="clear" w:color="auto" w:fill="B4C5E7"/>
          </w:tcPr>
          <w:p w14:paraId="086E1BF4" w14:textId="77777777" w:rsidR="004C7180" w:rsidRPr="00150EDC" w:rsidRDefault="00CF0754">
            <w:pPr>
              <w:pStyle w:val="TableParagraph"/>
              <w:spacing w:before="0" w:line="240" w:lineRule="auto"/>
              <w:ind w:left="95" w:right="93"/>
              <w:jc w:val="both"/>
              <w:rPr>
                <w:sz w:val="24"/>
              </w:rPr>
            </w:pPr>
            <w:r w:rsidRPr="007D3144">
              <w:rPr>
                <w:sz w:val="24"/>
              </w:rPr>
              <w:t xml:space="preserve">Forum to access provider engagement and road-test trial specific challenges </w:t>
            </w:r>
            <w:r w:rsidRPr="007D3144">
              <w:rPr>
                <w:spacing w:val="-2"/>
                <w:sz w:val="24"/>
              </w:rPr>
              <w:t>early.</w:t>
            </w:r>
          </w:p>
        </w:tc>
      </w:tr>
    </w:tbl>
    <w:p w14:paraId="5B59E195" w14:textId="77777777" w:rsidR="004C7180" w:rsidRPr="00150EDC" w:rsidRDefault="004C7180">
      <w:pPr>
        <w:pStyle w:val="BodyText"/>
        <w:rPr>
          <w:sz w:val="20"/>
        </w:rPr>
      </w:pPr>
    </w:p>
    <w:p w14:paraId="223006D9" w14:textId="77777777" w:rsidR="004C7180" w:rsidRPr="00150EDC" w:rsidRDefault="00CF0754">
      <w:pPr>
        <w:pStyle w:val="BodyText"/>
        <w:spacing w:before="223" w:line="276" w:lineRule="auto"/>
        <w:ind w:left="1400" w:right="1434"/>
        <w:jc w:val="both"/>
      </w:pPr>
      <w:r w:rsidRPr="007D3144">
        <w:t>The delivery team is supported by our central resources, which include our payment processing</w:t>
      </w:r>
      <w:r w:rsidRPr="007D3144">
        <w:rPr>
          <w:spacing w:val="-3"/>
        </w:rPr>
        <w:t xml:space="preserve"> </w:t>
      </w:r>
      <w:r w:rsidRPr="007D3144">
        <w:t>team</w:t>
      </w:r>
      <w:r w:rsidRPr="007D3144">
        <w:rPr>
          <w:spacing w:val="-3"/>
        </w:rPr>
        <w:t xml:space="preserve"> </w:t>
      </w:r>
      <w:r w:rsidRPr="007D3144">
        <w:t>who</w:t>
      </w:r>
      <w:r w:rsidRPr="007D3144">
        <w:rPr>
          <w:spacing w:val="-6"/>
        </w:rPr>
        <w:t xml:space="preserve"> </w:t>
      </w:r>
      <w:r w:rsidRPr="007D3144">
        <w:t>will</w:t>
      </w:r>
      <w:r w:rsidRPr="007D3144">
        <w:rPr>
          <w:spacing w:val="-5"/>
        </w:rPr>
        <w:t xml:space="preserve"> </w:t>
      </w:r>
      <w:r w:rsidRPr="007D3144">
        <w:t>manage</w:t>
      </w:r>
      <w:r w:rsidRPr="007D3144">
        <w:rPr>
          <w:spacing w:val="-3"/>
        </w:rPr>
        <w:t xml:space="preserve"> </w:t>
      </w:r>
      <w:r w:rsidRPr="007D3144">
        <w:t>invoicing</w:t>
      </w:r>
      <w:r w:rsidRPr="007D3144">
        <w:rPr>
          <w:spacing w:val="-6"/>
        </w:rPr>
        <w:t xml:space="preserve"> </w:t>
      </w:r>
      <w:r w:rsidRPr="007D3144">
        <w:t>and</w:t>
      </w:r>
      <w:r w:rsidRPr="007D3144">
        <w:rPr>
          <w:spacing w:val="-3"/>
        </w:rPr>
        <w:t xml:space="preserve"> </w:t>
      </w:r>
      <w:r w:rsidRPr="007D3144">
        <w:t>distribution</w:t>
      </w:r>
      <w:r w:rsidRPr="007D3144">
        <w:rPr>
          <w:spacing w:val="-6"/>
        </w:rPr>
        <w:t xml:space="preserve"> </w:t>
      </w:r>
      <w:r w:rsidRPr="007D3144">
        <w:t>of</w:t>
      </w:r>
      <w:r w:rsidRPr="007D3144">
        <w:rPr>
          <w:spacing w:val="-4"/>
        </w:rPr>
        <w:t xml:space="preserve"> </w:t>
      </w:r>
      <w:r w:rsidRPr="007D3144">
        <w:t>funds,</w:t>
      </w:r>
      <w:r w:rsidRPr="007D3144">
        <w:rPr>
          <w:spacing w:val="-4"/>
        </w:rPr>
        <w:t xml:space="preserve"> </w:t>
      </w:r>
      <w:r w:rsidRPr="007D3144">
        <w:t>and</w:t>
      </w:r>
      <w:r w:rsidRPr="007D3144">
        <w:rPr>
          <w:spacing w:val="-3"/>
        </w:rPr>
        <w:t xml:space="preserve"> </w:t>
      </w:r>
      <w:r w:rsidRPr="007D3144">
        <w:t>our</w:t>
      </w:r>
      <w:r w:rsidRPr="007D3144">
        <w:rPr>
          <w:spacing w:val="-5"/>
        </w:rPr>
        <w:t xml:space="preserve"> </w:t>
      </w:r>
      <w:r w:rsidRPr="007D3144">
        <w:t>IT</w:t>
      </w:r>
      <w:r w:rsidRPr="007D3144">
        <w:rPr>
          <w:spacing w:val="-5"/>
        </w:rPr>
        <w:t xml:space="preserve"> </w:t>
      </w:r>
      <w:r w:rsidRPr="007D3144">
        <w:t>team who will tailor our reporting platform for capturing trial-specific data (e.g. 13 x 2-hour consecutive learning sessions).</w:t>
      </w:r>
    </w:p>
    <w:p w14:paraId="278364A9" w14:textId="77777777" w:rsidR="004C7180" w:rsidRPr="00150EDC" w:rsidRDefault="00CF0754">
      <w:pPr>
        <w:spacing w:before="120"/>
        <w:ind w:left="1400"/>
        <w:jc w:val="both"/>
        <w:rPr>
          <w:i/>
          <w:sz w:val="24"/>
        </w:rPr>
      </w:pPr>
      <w:r w:rsidRPr="007D3144">
        <w:rPr>
          <w:i/>
          <w:sz w:val="24"/>
        </w:rPr>
        <w:t>Milestones</w:t>
      </w:r>
      <w:r w:rsidRPr="007D3144">
        <w:rPr>
          <w:i/>
          <w:spacing w:val="-3"/>
          <w:sz w:val="24"/>
        </w:rPr>
        <w:t xml:space="preserve"> </w:t>
      </w:r>
      <w:r w:rsidRPr="007D3144">
        <w:rPr>
          <w:i/>
          <w:sz w:val="24"/>
        </w:rPr>
        <w:t>and</w:t>
      </w:r>
      <w:r w:rsidRPr="007D3144">
        <w:rPr>
          <w:i/>
          <w:spacing w:val="-2"/>
          <w:sz w:val="24"/>
        </w:rPr>
        <w:t xml:space="preserve"> </w:t>
      </w:r>
      <w:r w:rsidRPr="007D3144">
        <w:rPr>
          <w:i/>
          <w:sz w:val="24"/>
        </w:rPr>
        <w:t>key</w:t>
      </w:r>
      <w:r w:rsidRPr="007D3144">
        <w:rPr>
          <w:i/>
          <w:spacing w:val="-3"/>
          <w:sz w:val="24"/>
        </w:rPr>
        <w:t xml:space="preserve"> </w:t>
      </w:r>
      <w:r w:rsidRPr="007D3144">
        <w:rPr>
          <w:i/>
          <w:spacing w:val="-2"/>
          <w:sz w:val="24"/>
        </w:rPr>
        <w:t>deliverables</w:t>
      </w:r>
    </w:p>
    <w:p w14:paraId="76B97937" w14:textId="77777777" w:rsidR="004C7180" w:rsidRPr="00150EDC" w:rsidRDefault="00CF0754">
      <w:pPr>
        <w:pStyle w:val="BodyText"/>
        <w:spacing w:before="161" w:line="276" w:lineRule="auto"/>
        <w:ind w:left="1400" w:right="1433"/>
        <w:jc w:val="both"/>
      </w:pPr>
      <w:r w:rsidRPr="007D3144">
        <w:t>During the trial set-up stage, the Assistant Project Manager will develop a clearly defined implementation and delivery plan in conjunction with the evaluation supplier</w:t>
      </w:r>
    </w:p>
    <w:p w14:paraId="446C1A4F" w14:textId="77777777" w:rsidR="004C7180" w:rsidRPr="00150EDC" w:rsidRDefault="004C7180">
      <w:pPr>
        <w:spacing w:line="276" w:lineRule="auto"/>
        <w:jc w:val="both"/>
        <w:sectPr w:rsidR="004C7180" w:rsidRPr="00150EDC">
          <w:pgSz w:w="11910" w:h="16840"/>
          <w:pgMar w:top="1460" w:right="0" w:bottom="1420" w:left="40" w:header="712" w:footer="1224" w:gutter="0"/>
          <w:cols w:space="720"/>
        </w:sectPr>
      </w:pPr>
    </w:p>
    <w:p w14:paraId="023A0EC3" w14:textId="77777777" w:rsidR="004C7180" w:rsidRPr="00150EDC" w:rsidRDefault="004C7180">
      <w:pPr>
        <w:pStyle w:val="BodyText"/>
        <w:spacing w:before="4"/>
        <w:rPr>
          <w:sz w:val="18"/>
        </w:rPr>
      </w:pPr>
    </w:p>
    <w:p w14:paraId="0854FBF3" w14:textId="77777777" w:rsidR="004C7180" w:rsidRPr="00150EDC" w:rsidRDefault="00CF0754">
      <w:pPr>
        <w:pStyle w:val="BodyText"/>
        <w:spacing w:before="93" w:line="276" w:lineRule="auto"/>
        <w:ind w:left="1400" w:right="1435"/>
        <w:jc w:val="both"/>
      </w:pPr>
      <w:r w:rsidRPr="007D3144">
        <w:t>and solution provider which identifies milestones and key deliverables together with ownership of tasks, as defined in figure 2:</w:t>
      </w:r>
    </w:p>
    <w:p w14:paraId="3F525A18" w14:textId="77777777" w:rsidR="004C7180" w:rsidRPr="00150EDC" w:rsidRDefault="004C7180">
      <w:pPr>
        <w:pStyle w:val="BodyText"/>
        <w:rPr>
          <w:sz w:val="26"/>
        </w:rPr>
      </w:pPr>
    </w:p>
    <w:p w14:paraId="555719C2" w14:textId="77777777" w:rsidR="004C7180" w:rsidRPr="00150EDC" w:rsidRDefault="004C7180">
      <w:pPr>
        <w:pStyle w:val="BodyText"/>
        <w:rPr>
          <w:sz w:val="26"/>
        </w:rPr>
      </w:pPr>
    </w:p>
    <w:p w14:paraId="09840A3C" w14:textId="77777777" w:rsidR="004C7180" w:rsidRPr="00150EDC" w:rsidRDefault="004C7180">
      <w:pPr>
        <w:pStyle w:val="BodyText"/>
        <w:rPr>
          <w:sz w:val="26"/>
        </w:rPr>
      </w:pPr>
    </w:p>
    <w:p w14:paraId="298962B6" w14:textId="77777777" w:rsidR="004C7180" w:rsidRPr="00150EDC" w:rsidRDefault="004C7180">
      <w:pPr>
        <w:pStyle w:val="BodyText"/>
        <w:rPr>
          <w:sz w:val="26"/>
        </w:rPr>
      </w:pPr>
    </w:p>
    <w:p w14:paraId="169C9B77" w14:textId="77777777" w:rsidR="004C7180" w:rsidRPr="00150EDC" w:rsidRDefault="004C7180">
      <w:pPr>
        <w:pStyle w:val="BodyText"/>
        <w:rPr>
          <w:sz w:val="26"/>
        </w:rPr>
      </w:pPr>
    </w:p>
    <w:p w14:paraId="1104D251" w14:textId="77777777" w:rsidR="004C7180" w:rsidRPr="00150EDC" w:rsidRDefault="004C7180">
      <w:pPr>
        <w:pStyle w:val="BodyText"/>
        <w:rPr>
          <w:sz w:val="26"/>
        </w:rPr>
      </w:pPr>
    </w:p>
    <w:p w14:paraId="010515BE" w14:textId="77777777" w:rsidR="004C7180" w:rsidRPr="00150EDC" w:rsidRDefault="004C7180">
      <w:pPr>
        <w:pStyle w:val="BodyText"/>
        <w:spacing w:before="4"/>
        <w:rPr>
          <w:sz w:val="37"/>
        </w:rPr>
      </w:pPr>
    </w:p>
    <w:p w14:paraId="3B1FC2DC" w14:textId="77777777" w:rsidR="004C7180" w:rsidRPr="00150EDC" w:rsidRDefault="00CF0754">
      <w:pPr>
        <w:ind w:left="1616"/>
        <w:rPr>
          <w:b/>
          <w:sz w:val="24"/>
        </w:rPr>
      </w:pPr>
      <w:r w:rsidRPr="007D3144">
        <w:rPr>
          <w:b/>
          <w:sz w:val="24"/>
        </w:rPr>
        <w:t>Figure</w:t>
      </w:r>
      <w:r w:rsidRPr="007D3144">
        <w:rPr>
          <w:b/>
          <w:spacing w:val="-1"/>
          <w:sz w:val="24"/>
        </w:rPr>
        <w:t xml:space="preserve"> </w:t>
      </w:r>
      <w:r w:rsidRPr="007D3144">
        <w:rPr>
          <w:b/>
          <w:sz w:val="24"/>
        </w:rPr>
        <w:t>2:</w:t>
      </w:r>
      <w:r w:rsidRPr="007D3144">
        <w:rPr>
          <w:b/>
          <w:spacing w:val="60"/>
          <w:sz w:val="24"/>
        </w:rPr>
        <w:t xml:space="preserve"> </w:t>
      </w:r>
      <w:r w:rsidRPr="007D3144">
        <w:rPr>
          <w:b/>
          <w:sz w:val="24"/>
        </w:rPr>
        <w:t>Trial Project</w:t>
      </w:r>
      <w:r w:rsidRPr="007D3144">
        <w:rPr>
          <w:b/>
          <w:spacing w:val="-2"/>
          <w:sz w:val="24"/>
        </w:rPr>
        <w:t xml:space="preserve"> </w:t>
      </w:r>
      <w:r w:rsidRPr="007D3144">
        <w:rPr>
          <w:b/>
          <w:spacing w:val="-4"/>
          <w:sz w:val="24"/>
        </w:rPr>
        <w:t>Plan</w:t>
      </w:r>
    </w:p>
    <w:p w14:paraId="4C834B89" w14:textId="77777777" w:rsidR="004C7180" w:rsidRPr="00150EDC" w:rsidRDefault="004C7180">
      <w:pPr>
        <w:pStyle w:val="BodyText"/>
        <w:rPr>
          <w:b/>
          <w:sz w:val="26"/>
        </w:rPr>
      </w:pPr>
    </w:p>
    <w:p w14:paraId="63F5B55D" w14:textId="77777777" w:rsidR="004C7180" w:rsidRPr="00150EDC" w:rsidRDefault="004C7180">
      <w:pPr>
        <w:pStyle w:val="BodyText"/>
        <w:rPr>
          <w:b/>
          <w:sz w:val="26"/>
        </w:rPr>
      </w:pPr>
    </w:p>
    <w:p w14:paraId="643B8E85" w14:textId="77777777" w:rsidR="004C7180" w:rsidRPr="00150EDC" w:rsidRDefault="004C7180">
      <w:pPr>
        <w:pStyle w:val="BodyText"/>
        <w:rPr>
          <w:b/>
          <w:sz w:val="26"/>
        </w:rPr>
      </w:pPr>
    </w:p>
    <w:p w14:paraId="5BD76712" w14:textId="77777777" w:rsidR="004C7180" w:rsidRPr="00150EDC" w:rsidRDefault="004C7180">
      <w:pPr>
        <w:pStyle w:val="BodyText"/>
        <w:rPr>
          <w:b/>
          <w:sz w:val="26"/>
        </w:rPr>
      </w:pPr>
    </w:p>
    <w:p w14:paraId="719A06D0" w14:textId="77777777" w:rsidR="004C7180" w:rsidRPr="00150EDC" w:rsidRDefault="004C7180">
      <w:pPr>
        <w:pStyle w:val="BodyText"/>
        <w:rPr>
          <w:b/>
          <w:sz w:val="26"/>
        </w:rPr>
      </w:pPr>
    </w:p>
    <w:p w14:paraId="3D043B45" w14:textId="77777777" w:rsidR="004C7180" w:rsidRPr="00150EDC" w:rsidRDefault="004C7180">
      <w:pPr>
        <w:pStyle w:val="BodyText"/>
        <w:spacing w:before="4"/>
        <w:rPr>
          <w:b/>
          <w:sz w:val="31"/>
        </w:rPr>
      </w:pPr>
    </w:p>
    <w:p w14:paraId="66629A82" w14:textId="77777777" w:rsidR="004C7180" w:rsidRPr="00150EDC" w:rsidRDefault="00CF0754">
      <w:pPr>
        <w:pStyle w:val="BodyText"/>
        <w:spacing w:line="276" w:lineRule="auto"/>
        <w:ind w:left="1400" w:right="1433"/>
        <w:jc w:val="both"/>
      </w:pPr>
      <w:r w:rsidRPr="007D3144">
        <w:t>The</w:t>
      </w:r>
      <w:r w:rsidRPr="007D3144">
        <w:rPr>
          <w:spacing w:val="-6"/>
        </w:rPr>
        <w:t xml:space="preserve"> </w:t>
      </w:r>
      <w:r w:rsidRPr="007D3144">
        <w:t>Project</w:t>
      </w:r>
      <w:r w:rsidRPr="007D3144">
        <w:rPr>
          <w:spacing w:val="-6"/>
        </w:rPr>
        <w:t xml:space="preserve"> </w:t>
      </w:r>
      <w:r w:rsidRPr="007D3144">
        <w:t>Manager</w:t>
      </w:r>
      <w:r w:rsidRPr="007D3144">
        <w:rPr>
          <w:spacing w:val="-10"/>
        </w:rPr>
        <w:t xml:space="preserve"> </w:t>
      </w:r>
      <w:r w:rsidRPr="007D3144">
        <w:t>will</w:t>
      </w:r>
      <w:r w:rsidRPr="007D3144">
        <w:rPr>
          <w:spacing w:val="-7"/>
        </w:rPr>
        <w:t xml:space="preserve"> </w:t>
      </w:r>
      <w:r w:rsidRPr="007D3144">
        <w:t>monitor</w:t>
      </w:r>
      <w:r w:rsidRPr="007D3144">
        <w:rPr>
          <w:spacing w:val="-10"/>
        </w:rPr>
        <w:t xml:space="preserve"> </w:t>
      </w:r>
      <w:r w:rsidRPr="007D3144">
        <w:t>progress</w:t>
      </w:r>
      <w:r w:rsidRPr="007D3144">
        <w:rPr>
          <w:spacing w:val="-9"/>
        </w:rPr>
        <w:t xml:space="preserve"> </w:t>
      </w:r>
      <w:r w:rsidRPr="007D3144">
        <w:t>of</w:t>
      </w:r>
      <w:r w:rsidRPr="007D3144">
        <w:rPr>
          <w:spacing w:val="-9"/>
        </w:rPr>
        <w:t xml:space="preserve"> </w:t>
      </w:r>
      <w:r w:rsidRPr="007D3144">
        <w:t>key</w:t>
      </w:r>
      <w:r w:rsidRPr="007D3144">
        <w:rPr>
          <w:spacing w:val="-9"/>
        </w:rPr>
        <w:t xml:space="preserve"> </w:t>
      </w:r>
      <w:r w:rsidRPr="007D3144">
        <w:t>milestones</w:t>
      </w:r>
      <w:r w:rsidRPr="007D3144">
        <w:rPr>
          <w:spacing w:val="-9"/>
        </w:rPr>
        <w:t xml:space="preserve"> </w:t>
      </w:r>
      <w:r w:rsidRPr="007D3144">
        <w:t>and</w:t>
      </w:r>
      <w:r w:rsidRPr="007D3144">
        <w:rPr>
          <w:spacing w:val="-8"/>
        </w:rPr>
        <w:t xml:space="preserve"> </w:t>
      </w:r>
      <w:r w:rsidRPr="007D3144">
        <w:t>deliverables</w:t>
      </w:r>
      <w:r w:rsidRPr="007D3144">
        <w:rPr>
          <w:spacing w:val="-7"/>
        </w:rPr>
        <w:t xml:space="preserve"> </w:t>
      </w:r>
      <w:r w:rsidRPr="007D3144">
        <w:t>against the</w:t>
      </w:r>
      <w:r w:rsidRPr="007D3144">
        <w:rPr>
          <w:spacing w:val="-14"/>
        </w:rPr>
        <w:t xml:space="preserve"> </w:t>
      </w:r>
      <w:r w:rsidRPr="007D3144">
        <w:t>trial-specific</w:t>
      </w:r>
      <w:r w:rsidRPr="007D3144">
        <w:rPr>
          <w:spacing w:val="-15"/>
        </w:rPr>
        <w:t xml:space="preserve"> </w:t>
      </w:r>
      <w:r w:rsidRPr="007D3144">
        <w:t>programme,</w:t>
      </w:r>
      <w:r w:rsidRPr="007D3144">
        <w:rPr>
          <w:spacing w:val="-14"/>
        </w:rPr>
        <w:t xml:space="preserve"> </w:t>
      </w:r>
      <w:r w:rsidRPr="007D3144">
        <w:t>using</w:t>
      </w:r>
      <w:r w:rsidRPr="007D3144">
        <w:rPr>
          <w:spacing w:val="-14"/>
        </w:rPr>
        <w:t xml:space="preserve"> </w:t>
      </w:r>
      <w:r w:rsidRPr="007D3144">
        <w:t>a</w:t>
      </w:r>
      <w:r w:rsidRPr="007D3144">
        <w:rPr>
          <w:spacing w:val="-14"/>
        </w:rPr>
        <w:t xml:space="preserve"> </w:t>
      </w:r>
      <w:r w:rsidRPr="007D3144">
        <w:t>combination</w:t>
      </w:r>
      <w:r w:rsidRPr="007D3144">
        <w:rPr>
          <w:spacing w:val="-14"/>
        </w:rPr>
        <w:t xml:space="preserve"> </w:t>
      </w:r>
      <w:r w:rsidRPr="007D3144">
        <w:t>of</w:t>
      </w:r>
      <w:r w:rsidRPr="007D3144">
        <w:rPr>
          <w:spacing w:val="-14"/>
        </w:rPr>
        <w:t xml:space="preserve"> </w:t>
      </w:r>
      <w:r w:rsidRPr="007D3144">
        <w:t>fortnightly</w:t>
      </w:r>
      <w:r w:rsidRPr="007D3144">
        <w:rPr>
          <w:spacing w:val="-17"/>
        </w:rPr>
        <w:t xml:space="preserve"> </w:t>
      </w:r>
      <w:r w:rsidRPr="007D3144">
        <w:t>progress</w:t>
      </w:r>
      <w:r w:rsidRPr="007D3144">
        <w:rPr>
          <w:spacing w:val="-15"/>
        </w:rPr>
        <w:t xml:space="preserve"> </w:t>
      </w:r>
      <w:r w:rsidRPr="007D3144">
        <w:t>meetings</w:t>
      </w:r>
      <w:r w:rsidRPr="007D3144">
        <w:rPr>
          <w:spacing w:val="-15"/>
        </w:rPr>
        <w:t xml:space="preserve"> </w:t>
      </w:r>
      <w:r w:rsidRPr="007D3144">
        <w:t>with key stakeholders (see below), electronic monitoring of data submitted via our Online Management Portal (OMP) reporting system, as well as informal check-ins via email and telephone.</w:t>
      </w:r>
    </w:p>
    <w:p w14:paraId="6FCE6243" w14:textId="77777777" w:rsidR="004C7180" w:rsidRPr="00150EDC" w:rsidRDefault="004C7180">
      <w:pPr>
        <w:pStyle w:val="BodyText"/>
        <w:rPr>
          <w:sz w:val="26"/>
        </w:rPr>
      </w:pPr>
    </w:p>
    <w:p w14:paraId="5B9C99E7" w14:textId="77777777" w:rsidR="004C7180" w:rsidRPr="00150EDC" w:rsidRDefault="004C7180">
      <w:pPr>
        <w:pStyle w:val="BodyText"/>
        <w:spacing w:before="8"/>
        <w:rPr>
          <w:sz w:val="21"/>
        </w:rPr>
      </w:pPr>
    </w:p>
    <w:p w14:paraId="21C90C9C" w14:textId="77777777" w:rsidR="004C7180" w:rsidRPr="00150EDC" w:rsidRDefault="00CF0754">
      <w:pPr>
        <w:ind w:left="1400"/>
        <w:jc w:val="both"/>
        <w:rPr>
          <w:i/>
          <w:sz w:val="24"/>
        </w:rPr>
      </w:pPr>
      <w:r w:rsidRPr="007D3144">
        <w:rPr>
          <w:i/>
          <w:sz w:val="24"/>
        </w:rPr>
        <w:t>Risk</w:t>
      </w:r>
      <w:r w:rsidRPr="007D3144">
        <w:rPr>
          <w:i/>
          <w:spacing w:val="-2"/>
          <w:sz w:val="24"/>
        </w:rPr>
        <w:t xml:space="preserve"> management</w:t>
      </w:r>
    </w:p>
    <w:p w14:paraId="38F58068" w14:textId="77777777" w:rsidR="004C7180" w:rsidRPr="00150EDC" w:rsidRDefault="00CF0754">
      <w:pPr>
        <w:pStyle w:val="BodyText"/>
        <w:spacing w:before="161" w:line="276" w:lineRule="auto"/>
        <w:ind w:left="1400" w:right="1435"/>
        <w:jc w:val="both"/>
      </w:pPr>
      <w:r w:rsidRPr="007D3144">
        <w:t>During</w:t>
      </w:r>
      <w:r w:rsidRPr="007D3144">
        <w:rPr>
          <w:spacing w:val="-2"/>
        </w:rPr>
        <w:t xml:space="preserve"> </w:t>
      </w:r>
      <w:r w:rsidRPr="007D3144">
        <w:t>the</w:t>
      </w:r>
      <w:r w:rsidRPr="007D3144">
        <w:rPr>
          <w:spacing w:val="-2"/>
        </w:rPr>
        <w:t xml:space="preserve"> </w:t>
      </w:r>
      <w:r w:rsidRPr="007D3144">
        <w:t>trial</w:t>
      </w:r>
      <w:r w:rsidRPr="007D3144">
        <w:rPr>
          <w:spacing w:val="-3"/>
        </w:rPr>
        <w:t xml:space="preserve"> </w:t>
      </w:r>
      <w:r w:rsidRPr="007D3144">
        <w:t>set-up,</w:t>
      </w:r>
      <w:r w:rsidRPr="007D3144">
        <w:rPr>
          <w:spacing w:val="-5"/>
        </w:rPr>
        <w:t xml:space="preserve"> </w:t>
      </w:r>
      <w:r w:rsidRPr="007D3144">
        <w:t>the</w:t>
      </w:r>
      <w:r w:rsidRPr="007D3144">
        <w:rPr>
          <w:spacing w:val="-4"/>
        </w:rPr>
        <w:t xml:space="preserve"> </w:t>
      </w:r>
      <w:r w:rsidRPr="007D3144">
        <w:t>Project</w:t>
      </w:r>
      <w:r w:rsidRPr="007D3144">
        <w:rPr>
          <w:spacing w:val="-2"/>
        </w:rPr>
        <w:t xml:space="preserve"> </w:t>
      </w:r>
      <w:r w:rsidRPr="007D3144">
        <w:t>Director</w:t>
      </w:r>
      <w:r w:rsidRPr="007D3144">
        <w:rPr>
          <w:spacing w:val="-4"/>
        </w:rPr>
        <w:t xml:space="preserve"> </w:t>
      </w:r>
      <w:r w:rsidRPr="007D3144">
        <w:t>will</w:t>
      </w:r>
      <w:r w:rsidRPr="007D3144">
        <w:rPr>
          <w:spacing w:val="-3"/>
        </w:rPr>
        <w:t xml:space="preserve"> </w:t>
      </w:r>
      <w:r w:rsidRPr="007D3144">
        <w:t>develop</w:t>
      </w:r>
      <w:r w:rsidRPr="007D3144">
        <w:rPr>
          <w:spacing w:val="-4"/>
        </w:rPr>
        <w:t xml:space="preserve"> </w:t>
      </w:r>
      <w:r w:rsidRPr="007D3144">
        <w:t>a</w:t>
      </w:r>
      <w:r w:rsidRPr="007D3144">
        <w:rPr>
          <w:spacing w:val="-2"/>
        </w:rPr>
        <w:t xml:space="preserve"> </w:t>
      </w:r>
      <w:r w:rsidRPr="007D3144">
        <w:t>trial-specific</w:t>
      </w:r>
      <w:r w:rsidRPr="007D3144">
        <w:rPr>
          <w:spacing w:val="-5"/>
        </w:rPr>
        <w:t xml:space="preserve"> </w:t>
      </w:r>
      <w:r w:rsidRPr="007D3144">
        <w:t>RAID</w:t>
      </w:r>
      <w:r w:rsidRPr="007D3144">
        <w:rPr>
          <w:spacing w:val="-3"/>
        </w:rPr>
        <w:t xml:space="preserve"> </w:t>
      </w:r>
      <w:r w:rsidRPr="007D3144">
        <w:t>log</w:t>
      </w:r>
      <w:r w:rsidRPr="007D3144">
        <w:rPr>
          <w:spacing w:val="-4"/>
        </w:rPr>
        <w:t xml:space="preserve"> </w:t>
      </w:r>
      <w:r w:rsidRPr="007D3144">
        <w:t>which will identify risks, assumptions and dependencies. We recognise that there are: i) collective risks associated with the successful delivery of the trial, and ii) risks that sit with</w:t>
      </w:r>
      <w:r w:rsidRPr="007D3144">
        <w:rPr>
          <w:spacing w:val="-11"/>
        </w:rPr>
        <w:t xml:space="preserve"> </w:t>
      </w:r>
      <w:r w:rsidRPr="007D3144">
        <w:t>individual</w:t>
      </w:r>
      <w:r w:rsidRPr="007D3144">
        <w:rPr>
          <w:spacing w:val="-12"/>
        </w:rPr>
        <w:t xml:space="preserve"> </w:t>
      </w:r>
      <w:r w:rsidRPr="007D3144">
        <w:t>stakeholders.</w:t>
      </w:r>
      <w:r w:rsidRPr="007D3144">
        <w:rPr>
          <w:spacing w:val="-11"/>
        </w:rPr>
        <w:t xml:space="preserve"> </w:t>
      </w:r>
      <w:r w:rsidRPr="007D3144">
        <w:t>As</w:t>
      </w:r>
      <w:r w:rsidRPr="007D3144">
        <w:rPr>
          <w:spacing w:val="-12"/>
        </w:rPr>
        <w:t xml:space="preserve"> </w:t>
      </w:r>
      <w:r w:rsidRPr="007D3144">
        <w:t>the</w:t>
      </w:r>
      <w:r w:rsidRPr="007D3144">
        <w:rPr>
          <w:spacing w:val="-11"/>
        </w:rPr>
        <w:t xml:space="preserve"> </w:t>
      </w:r>
      <w:r w:rsidRPr="007D3144">
        <w:t>delivery</w:t>
      </w:r>
      <w:r w:rsidRPr="007D3144">
        <w:rPr>
          <w:spacing w:val="-12"/>
        </w:rPr>
        <w:t xml:space="preserve"> </w:t>
      </w:r>
      <w:r w:rsidRPr="007D3144">
        <w:t>supplier,</w:t>
      </w:r>
      <w:r w:rsidRPr="007D3144">
        <w:rPr>
          <w:spacing w:val="-11"/>
        </w:rPr>
        <w:t xml:space="preserve"> </w:t>
      </w:r>
      <w:r w:rsidRPr="007D3144">
        <w:t>our</w:t>
      </w:r>
      <w:r w:rsidRPr="007D3144">
        <w:rPr>
          <w:spacing w:val="-12"/>
        </w:rPr>
        <w:t xml:space="preserve"> </w:t>
      </w:r>
      <w:r w:rsidRPr="007D3144">
        <w:t>role</w:t>
      </w:r>
      <w:r w:rsidRPr="007D3144">
        <w:rPr>
          <w:spacing w:val="-11"/>
        </w:rPr>
        <w:t xml:space="preserve"> </w:t>
      </w:r>
      <w:r w:rsidRPr="007D3144">
        <w:t>will</w:t>
      </w:r>
      <w:r w:rsidRPr="007D3144">
        <w:rPr>
          <w:spacing w:val="-12"/>
        </w:rPr>
        <w:t xml:space="preserve"> </w:t>
      </w:r>
      <w:r w:rsidRPr="007D3144">
        <w:t>be</w:t>
      </w:r>
      <w:r w:rsidRPr="007D3144">
        <w:rPr>
          <w:spacing w:val="-11"/>
        </w:rPr>
        <w:t xml:space="preserve"> </w:t>
      </w:r>
      <w:r w:rsidRPr="007D3144">
        <w:t>to</w:t>
      </w:r>
      <w:r w:rsidRPr="007D3144">
        <w:rPr>
          <w:spacing w:val="-11"/>
        </w:rPr>
        <w:t xml:space="preserve"> </w:t>
      </w:r>
      <w:r w:rsidRPr="007D3144">
        <w:t>ensure</w:t>
      </w:r>
      <w:r w:rsidRPr="007D3144">
        <w:rPr>
          <w:spacing w:val="-11"/>
        </w:rPr>
        <w:t xml:space="preserve"> </w:t>
      </w:r>
      <w:r w:rsidRPr="007D3144">
        <w:t>all</w:t>
      </w:r>
      <w:r w:rsidRPr="007D3144">
        <w:rPr>
          <w:spacing w:val="-12"/>
        </w:rPr>
        <w:t xml:space="preserve"> </w:t>
      </w:r>
      <w:r w:rsidRPr="007D3144">
        <w:t>risks are proactively identified, by engaging with the evaluation supplier and product developer and providers, and are monitored and addressed as the trial progresses. The six highest-rated risks identified for this trial are:</w:t>
      </w:r>
    </w:p>
    <w:p w14:paraId="3D4BF76A" w14:textId="77777777" w:rsidR="004C7180" w:rsidRPr="00150EDC" w:rsidRDefault="004C7180">
      <w:pPr>
        <w:pStyle w:val="BodyText"/>
        <w:rPr>
          <w:sz w:val="20"/>
        </w:rPr>
      </w:pPr>
    </w:p>
    <w:p w14:paraId="265F6AFC" w14:textId="77777777" w:rsidR="004C7180" w:rsidRPr="00150EDC" w:rsidRDefault="004C7180">
      <w:pPr>
        <w:pStyle w:val="BodyText"/>
        <w:rPr>
          <w:sz w:val="20"/>
        </w:rPr>
      </w:pPr>
    </w:p>
    <w:p w14:paraId="35981858" w14:textId="77777777" w:rsidR="004C7180" w:rsidRPr="00150EDC" w:rsidRDefault="004C7180">
      <w:pPr>
        <w:pStyle w:val="BodyText"/>
        <w:rPr>
          <w:sz w:val="20"/>
        </w:rPr>
      </w:pPr>
    </w:p>
    <w:p w14:paraId="26EAB6CC" w14:textId="77777777" w:rsidR="004C7180" w:rsidRPr="00150EDC" w:rsidRDefault="004C7180">
      <w:pPr>
        <w:pStyle w:val="BodyText"/>
        <w:rPr>
          <w:sz w:val="20"/>
        </w:rPr>
      </w:pPr>
    </w:p>
    <w:p w14:paraId="157366E3" w14:textId="77777777" w:rsidR="004C7180" w:rsidRPr="00150EDC" w:rsidRDefault="004C7180">
      <w:pPr>
        <w:pStyle w:val="BodyText"/>
        <w:spacing w:before="11"/>
        <w:rPr>
          <w:sz w:val="17"/>
        </w:rPr>
      </w:pPr>
    </w:p>
    <w:tbl>
      <w:tblPr>
        <w:tblW w:w="0" w:type="auto"/>
        <w:tblInd w:w="15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5"/>
        <w:gridCol w:w="1803"/>
        <w:gridCol w:w="1803"/>
        <w:gridCol w:w="1803"/>
        <w:gridCol w:w="1805"/>
      </w:tblGrid>
      <w:tr w:rsidR="004569EE" w:rsidRPr="007D3144" w14:paraId="7180A8B1" w14:textId="77777777" w:rsidTr="006F2372">
        <w:trPr>
          <w:trHeight w:val="505"/>
          <w:tblHeader/>
        </w:trPr>
        <w:tc>
          <w:tcPr>
            <w:tcW w:w="1805" w:type="dxa"/>
          </w:tcPr>
          <w:p w14:paraId="073EBD7A" w14:textId="77777777" w:rsidR="004C7180" w:rsidRPr="00150EDC" w:rsidRDefault="00CF0754">
            <w:pPr>
              <w:pStyle w:val="TableParagraph"/>
              <w:spacing w:before="0" w:line="252" w:lineRule="exact"/>
              <w:ind w:left="107" w:right="61"/>
              <w:rPr>
                <w:b/>
              </w:rPr>
            </w:pPr>
            <w:r w:rsidRPr="00150EDC">
              <w:rPr>
                <w:b/>
                <w:spacing w:val="-4"/>
              </w:rPr>
              <w:t xml:space="preserve">Risk </w:t>
            </w:r>
            <w:r w:rsidRPr="00150EDC">
              <w:rPr>
                <w:b/>
                <w:spacing w:val="-2"/>
              </w:rPr>
              <w:t>Description</w:t>
            </w:r>
          </w:p>
        </w:tc>
        <w:tc>
          <w:tcPr>
            <w:tcW w:w="1803" w:type="dxa"/>
          </w:tcPr>
          <w:p w14:paraId="0CF7AED7" w14:textId="77777777" w:rsidR="004C7180" w:rsidRPr="00150EDC" w:rsidRDefault="00CF0754">
            <w:pPr>
              <w:pStyle w:val="TableParagraph"/>
              <w:spacing w:before="0" w:line="252" w:lineRule="exact"/>
              <w:ind w:left="107"/>
              <w:rPr>
                <w:b/>
              </w:rPr>
            </w:pPr>
            <w:r w:rsidRPr="00150EDC">
              <w:rPr>
                <w:b/>
                <w:spacing w:val="-2"/>
              </w:rPr>
              <w:t>Likelihood (RAG)</w:t>
            </w:r>
          </w:p>
        </w:tc>
        <w:tc>
          <w:tcPr>
            <w:tcW w:w="1803" w:type="dxa"/>
          </w:tcPr>
          <w:p w14:paraId="14FB2674" w14:textId="77777777" w:rsidR="004C7180" w:rsidRPr="00150EDC" w:rsidRDefault="00CF0754">
            <w:pPr>
              <w:pStyle w:val="TableParagraph"/>
              <w:spacing w:before="2" w:line="240" w:lineRule="auto"/>
              <w:ind w:left="106"/>
              <w:rPr>
                <w:b/>
              </w:rPr>
            </w:pPr>
            <w:r w:rsidRPr="00150EDC">
              <w:rPr>
                <w:b/>
              </w:rPr>
              <w:t>Impact</w:t>
            </w:r>
            <w:r w:rsidRPr="00150EDC">
              <w:rPr>
                <w:b/>
                <w:spacing w:val="-5"/>
              </w:rPr>
              <w:t xml:space="preserve"> </w:t>
            </w:r>
            <w:r w:rsidRPr="00150EDC">
              <w:rPr>
                <w:b/>
                <w:spacing w:val="-4"/>
              </w:rPr>
              <w:t>(RAG)</w:t>
            </w:r>
          </w:p>
        </w:tc>
        <w:tc>
          <w:tcPr>
            <w:tcW w:w="1803" w:type="dxa"/>
          </w:tcPr>
          <w:p w14:paraId="01FEFA66" w14:textId="77777777" w:rsidR="004C7180" w:rsidRPr="00150EDC" w:rsidRDefault="00CF0754">
            <w:pPr>
              <w:pStyle w:val="TableParagraph"/>
              <w:spacing w:before="2" w:line="240" w:lineRule="auto"/>
              <w:ind w:left="106"/>
              <w:rPr>
                <w:b/>
              </w:rPr>
            </w:pPr>
            <w:r w:rsidRPr="00150EDC">
              <w:rPr>
                <w:b/>
                <w:spacing w:val="-2"/>
              </w:rPr>
              <w:t>Mitigation</w:t>
            </w:r>
          </w:p>
        </w:tc>
        <w:tc>
          <w:tcPr>
            <w:tcW w:w="1805" w:type="dxa"/>
          </w:tcPr>
          <w:p w14:paraId="2DD8CEC2" w14:textId="77777777" w:rsidR="004C7180" w:rsidRPr="00150EDC" w:rsidRDefault="00CF0754">
            <w:pPr>
              <w:pStyle w:val="TableParagraph"/>
              <w:spacing w:before="0" w:line="252" w:lineRule="exact"/>
              <w:ind w:left="105" w:right="61"/>
              <w:rPr>
                <w:b/>
              </w:rPr>
            </w:pPr>
            <w:r w:rsidRPr="00150EDC">
              <w:rPr>
                <w:b/>
              </w:rPr>
              <w:t>Residual</w:t>
            </w:r>
            <w:r w:rsidRPr="00150EDC">
              <w:rPr>
                <w:b/>
                <w:spacing w:val="-16"/>
              </w:rPr>
              <w:t xml:space="preserve"> </w:t>
            </w:r>
            <w:r w:rsidRPr="00150EDC">
              <w:rPr>
                <w:b/>
              </w:rPr>
              <w:t xml:space="preserve">Risk </w:t>
            </w:r>
            <w:r w:rsidRPr="00150EDC">
              <w:rPr>
                <w:b/>
                <w:spacing w:val="-2"/>
              </w:rPr>
              <w:t>(RAG)</w:t>
            </w:r>
          </w:p>
        </w:tc>
      </w:tr>
      <w:tr w:rsidR="004569EE" w:rsidRPr="007D3144" w14:paraId="70C40636" w14:textId="77777777">
        <w:trPr>
          <w:trHeight w:val="301"/>
        </w:trPr>
        <w:tc>
          <w:tcPr>
            <w:tcW w:w="1805" w:type="dxa"/>
            <w:shd w:val="clear" w:color="auto" w:fill="2E5395"/>
          </w:tcPr>
          <w:p w14:paraId="6FD47254" w14:textId="77777777" w:rsidR="004C7180" w:rsidRPr="00150EDC" w:rsidRDefault="004C7180">
            <w:pPr>
              <w:pStyle w:val="TableParagraph"/>
              <w:spacing w:before="0" w:line="240" w:lineRule="auto"/>
              <w:ind w:left="0"/>
              <w:rPr>
                <w:rFonts w:ascii="Times New Roman"/>
              </w:rPr>
            </w:pPr>
          </w:p>
        </w:tc>
        <w:tc>
          <w:tcPr>
            <w:tcW w:w="7214" w:type="dxa"/>
            <w:gridSpan w:val="4"/>
            <w:shd w:val="clear" w:color="auto" w:fill="2E5395"/>
          </w:tcPr>
          <w:p w14:paraId="4432ED3D" w14:textId="77777777" w:rsidR="004C7180" w:rsidRPr="00150EDC" w:rsidRDefault="00CF0754">
            <w:pPr>
              <w:pStyle w:val="TableParagraph"/>
              <w:spacing w:before="2" w:line="240" w:lineRule="auto"/>
              <w:ind w:left="107"/>
            </w:pPr>
            <w:r w:rsidRPr="007D3144">
              <w:t>Delivery</w:t>
            </w:r>
            <w:r w:rsidRPr="007D3144">
              <w:rPr>
                <w:spacing w:val="-5"/>
              </w:rPr>
              <w:t xml:space="preserve"> </w:t>
            </w:r>
            <w:r w:rsidRPr="007D3144">
              <w:t>Supplier</w:t>
            </w:r>
            <w:r w:rsidRPr="007D3144">
              <w:rPr>
                <w:spacing w:val="-4"/>
              </w:rPr>
              <w:t xml:space="preserve"> </w:t>
            </w:r>
            <w:r w:rsidRPr="007D3144">
              <w:t>-</w:t>
            </w:r>
            <w:r w:rsidRPr="007D3144">
              <w:rPr>
                <w:spacing w:val="-6"/>
              </w:rPr>
              <w:t xml:space="preserve"> </w:t>
            </w:r>
            <w:r w:rsidRPr="007D3144">
              <w:rPr>
                <w:spacing w:val="-2"/>
              </w:rPr>
              <w:t>Tribal</w:t>
            </w:r>
          </w:p>
        </w:tc>
      </w:tr>
      <w:tr w:rsidR="004569EE" w:rsidRPr="007D3144" w14:paraId="00344773" w14:textId="77777777">
        <w:trPr>
          <w:trHeight w:val="1518"/>
        </w:trPr>
        <w:tc>
          <w:tcPr>
            <w:tcW w:w="1805" w:type="dxa"/>
          </w:tcPr>
          <w:p w14:paraId="2B2F49A4" w14:textId="77777777" w:rsidR="004C7180" w:rsidRPr="00150EDC" w:rsidRDefault="00CF0754">
            <w:pPr>
              <w:pStyle w:val="TableParagraph"/>
              <w:spacing w:before="0" w:line="240" w:lineRule="auto"/>
              <w:ind w:left="107" w:right="329"/>
            </w:pPr>
            <w:r w:rsidRPr="00150EDC">
              <w:rPr>
                <w:spacing w:val="-2"/>
              </w:rPr>
              <w:t xml:space="preserve">Under- </w:t>
            </w:r>
            <w:r w:rsidRPr="00150EDC">
              <w:t>recruitment</w:t>
            </w:r>
            <w:r w:rsidRPr="00150EDC">
              <w:rPr>
                <w:spacing w:val="-16"/>
              </w:rPr>
              <w:t xml:space="preserve"> </w:t>
            </w:r>
            <w:r w:rsidRPr="00150EDC">
              <w:t xml:space="preserve">of </w:t>
            </w:r>
            <w:r w:rsidRPr="00150EDC">
              <w:rPr>
                <w:spacing w:val="-2"/>
              </w:rPr>
              <w:t>providers</w:t>
            </w:r>
          </w:p>
        </w:tc>
        <w:tc>
          <w:tcPr>
            <w:tcW w:w="1803" w:type="dxa"/>
            <w:shd w:val="clear" w:color="auto" w:fill="FF0000"/>
          </w:tcPr>
          <w:p w14:paraId="5028F484" w14:textId="77777777" w:rsidR="004C7180" w:rsidRPr="00150EDC" w:rsidRDefault="004C7180">
            <w:pPr>
              <w:pStyle w:val="TableParagraph"/>
              <w:spacing w:before="0" w:line="240" w:lineRule="auto"/>
              <w:ind w:left="0"/>
              <w:rPr>
                <w:rFonts w:ascii="Times New Roman"/>
              </w:rPr>
            </w:pPr>
          </w:p>
        </w:tc>
        <w:tc>
          <w:tcPr>
            <w:tcW w:w="1803" w:type="dxa"/>
            <w:shd w:val="clear" w:color="auto" w:fill="FF0000"/>
          </w:tcPr>
          <w:p w14:paraId="4E3940EC" w14:textId="77777777" w:rsidR="004C7180" w:rsidRPr="00150EDC" w:rsidRDefault="004C7180">
            <w:pPr>
              <w:pStyle w:val="TableParagraph"/>
              <w:spacing w:before="0" w:line="240" w:lineRule="auto"/>
              <w:ind w:left="0"/>
              <w:rPr>
                <w:rFonts w:ascii="Times New Roman"/>
              </w:rPr>
            </w:pPr>
          </w:p>
        </w:tc>
        <w:tc>
          <w:tcPr>
            <w:tcW w:w="1803" w:type="dxa"/>
          </w:tcPr>
          <w:p w14:paraId="057C76D4" w14:textId="77777777" w:rsidR="004C7180" w:rsidRPr="00150EDC" w:rsidRDefault="00CF0754" w:rsidP="00B320C7">
            <w:pPr>
              <w:pStyle w:val="TableParagraph"/>
              <w:numPr>
                <w:ilvl w:val="0"/>
                <w:numId w:val="61"/>
              </w:numPr>
              <w:tabs>
                <w:tab w:val="left" w:pos="826"/>
              </w:tabs>
              <w:spacing w:before="0" w:line="240" w:lineRule="auto"/>
              <w:ind w:right="85"/>
            </w:pPr>
            <w:r w:rsidRPr="007D3144">
              <w:rPr>
                <w:spacing w:val="-2"/>
              </w:rPr>
              <w:t xml:space="preserve">Using existing connecti </w:t>
            </w:r>
            <w:r w:rsidRPr="007D3144">
              <w:t>ons</w:t>
            </w:r>
            <w:r w:rsidRPr="007D3144">
              <w:rPr>
                <w:spacing w:val="59"/>
              </w:rPr>
              <w:t xml:space="preserve"> </w:t>
            </w:r>
            <w:r w:rsidRPr="007D3144">
              <w:rPr>
                <w:spacing w:val="-4"/>
              </w:rPr>
              <w:t>with</w:t>
            </w:r>
          </w:p>
          <w:p w14:paraId="12E7555F" w14:textId="77777777" w:rsidR="004C7180" w:rsidRPr="00150EDC" w:rsidRDefault="00CF0754">
            <w:pPr>
              <w:pStyle w:val="TableParagraph"/>
              <w:spacing w:before="0" w:line="252" w:lineRule="exact"/>
              <w:ind w:left="826" w:right="158"/>
            </w:pPr>
            <w:r w:rsidRPr="007D3144">
              <w:rPr>
                <w:spacing w:val="-2"/>
              </w:rPr>
              <w:t xml:space="preserve">provider </w:t>
            </w:r>
            <w:r w:rsidRPr="007D3144">
              <w:rPr>
                <w:spacing w:val="-10"/>
              </w:rPr>
              <w:t>s</w:t>
            </w:r>
          </w:p>
        </w:tc>
        <w:tc>
          <w:tcPr>
            <w:tcW w:w="1805" w:type="dxa"/>
            <w:shd w:val="clear" w:color="auto" w:fill="FFC000"/>
          </w:tcPr>
          <w:p w14:paraId="4FC2D362" w14:textId="77777777" w:rsidR="004C7180" w:rsidRPr="00150EDC" w:rsidRDefault="004C7180">
            <w:pPr>
              <w:pStyle w:val="TableParagraph"/>
              <w:spacing w:before="0" w:line="240" w:lineRule="auto"/>
              <w:ind w:left="0"/>
              <w:rPr>
                <w:rFonts w:ascii="Times New Roman"/>
              </w:rPr>
            </w:pPr>
          </w:p>
        </w:tc>
      </w:tr>
    </w:tbl>
    <w:p w14:paraId="70A5A904" w14:textId="77777777" w:rsidR="004C7180" w:rsidRPr="00150EDC" w:rsidRDefault="004C7180">
      <w:pPr>
        <w:rPr>
          <w:rFonts w:ascii="Times New Roman"/>
        </w:rPr>
        <w:sectPr w:rsidR="004C7180" w:rsidRPr="00150EDC">
          <w:pgSz w:w="11910" w:h="16840"/>
          <w:pgMar w:top="1460" w:right="0" w:bottom="1420" w:left="40" w:header="712" w:footer="1224" w:gutter="0"/>
          <w:cols w:space="720"/>
        </w:sectPr>
      </w:pPr>
    </w:p>
    <w:p w14:paraId="1E51FF09" w14:textId="77777777" w:rsidR="004C7180" w:rsidRPr="00150EDC" w:rsidRDefault="004C7180">
      <w:pPr>
        <w:pStyle w:val="BodyText"/>
        <w:spacing w:before="6"/>
        <w:rPr>
          <w:sz w:val="25"/>
        </w:rPr>
      </w:pPr>
    </w:p>
    <w:tbl>
      <w:tblPr>
        <w:tblW w:w="0" w:type="auto"/>
        <w:tblInd w:w="15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5"/>
        <w:gridCol w:w="1803"/>
        <w:gridCol w:w="1803"/>
        <w:gridCol w:w="1803"/>
        <w:gridCol w:w="1805"/>
      </w:tblGrid>
      <w:tr w:rsidR="004569EE" w:rsidRPr="007D3144" w14:paraId="15984E0E" w14:textId="77777777">
        <w:trPr>
          <w:trHeight w:val="3546"/>
        </w:trPr>
        <w:tc>
          <w:tcPr>
            <w:tcW w:w="1805" w:type="dxa"/>
          </w:tcPr>
          <w:p w14:paraId="4AB1B271" w14:textId="77777777" w:rsidR="004C7180" w:rsidRPr="00150EDC" w:rsidRDefault="004C7180">
            <w:pPr>
              <w:pStyle w:val="TableParagraph"/>
              <w:spacing w:before="0" w:line="240" w:lineRule="auto"/>
              <w:ind w:left="0"/>
              <w:rPr>
                <w:rFonts w:ascii="Times New Roman"/>
                <w:sz w:val="20"/>
              </w:rPr>
            </w:pPr>
          </w:p>
        </w:tc>
        <w:tc>
          <w:tcPr>
            <w:tcW w:w="1803" w:type="dxa"/>
            <w:shd w:val="clear" w:color="auto" w:fill="FF0000"/>
          </w:tcPr>
          <w:p w14:paraId="1E177F68" w14:textId="77777777" w:rsidR="004C7180" w:rsidRPr="00150EDC" w:rsidRDefault="004C7180">
            <w:pPr>
              <w:pStyle w:val="TableParagraph"/>
              <w:spacing w:before="0" w:line="240" w:lineRule="auto"/>
              <w:ind w:left="0"/>
              <w:rPr>
                <w:rFonts w:ascii="Times New Roman"/>
                <w:sz w:val="20"/>
              </w:rPr>
            </w:pPr>
          </w:p>
        </w:tc>
        <w:tc>
          <w:tcPr>
            <w:tcW w:w="1803" w:type="dxa"/>
            <w:tcBorders>
              <w:top w:val="nil"/>
            </w:tcBorders>
            <w:shd w:val="clear" w:color="auto" w:fill="FF0000"/>
          </w:tcPr>
          <w:p w14:paraId="067F70E8" w14:textId="77777777" w:rsidR="004C7180" w:rsidRPr="00150EDC" w:rsidRDefault="004C7180">
            <w:pPr>
              <w:pStyle w:val="TableParagraph"/>
              <w:spacing w:before="0" w:line="240" w:lineRule="auto"/>
              <w:ind w:left="0"/>
              <w:rPr>
                <w:rFonts w:ascii="Times New Roman"/>
                <w:sz w:val="20"/>
              </w:rPr>
            </w:pPr>
          </w:p>
        </w:tc>
        <w:tc>
          <w:tcPr>
            <w:tcW w:w="1803" w:type="dxa"/>
            <w:tcBorders>
              <w:top w:val="nil"/>
            </w:tcBorders>
          </w:tcPr>
          <w:p w14:paraId="621B29A1" w14:textId="77777777" w:rsidR="004C7180" w:rsidRPr="00150EDC" w:rsidRDefault="00CF0754" w:rsidP="00B320C7">
            <w:pPr>
              <w:pStyle w:val="TableParagraph"/>
              <w:numPr>
                <w:ilvl w:val="0"/>
                <w:numId w:val="60"/>
              </w:numPr>
              <w:tabs>
                <w:tab w:val="left" w:pos="825"/>
              </w:tabs>
              <w:spacing w:before="4" w:line="252" w:lineRule="exact"/>
              <w:ind w:left="825" w:hanging="359"/>
            </w:pPr>
            <w:r w:rsidRPr="007D3144">
              <w:rPr>
                <w:spacing w:val="-2"/>
              </w:rPr>
              <w:t>Maximis</w:t>
            </w:r>
          </w:p>
          <w:p w14:paraId="4718EBEA" w14:textId="77777777" w:rsidR="004C7180" w:rsidRPr="00150EDC" w:rsidRDefault="00CF0754">
            <w:pPr>
              <w:pStyle w:val="TableParagraph"/>
              <w:tabs>
                <w:tab w:val="left" w:pos="1387"/>
              </w:tabs>
              <w:spacing w:before="0" w:line="240" w:lineRule="auto"/>
              <w:ind w:left="826" w:right="85"/>
            </w:pPr>
            <w:r w:rsidRPr="007D3144">
              <w:t>e</w:t>
            </w:r>
            <w:r w:rsidRPr="007D3144">
              <w:rPr>
                <w:spacing w:val="-6"/>
              </w:rPr>
              <w:t xml:space="preserve"> </w:t>
            </w:r>
            <w:r w:rsidRPr="007D3144">
              <w:t xml:space="preserve">uptake </w:t>
            </w:r>
            <w:r w:rsidRPr="007D3144">
              <w:rPr>
                <w:spacing w:val="-6"/>
              </w:rPr>
              <w:t xml:space="preserve">by </w:t>
            </w:r>
            <w:r w:rsidRPr="007D3144">
              <w:rPr>
                <w:spacing w:val="-2"/>
              </w:rPr>
              <w:t xml:space="preserve">promotin </w:t>
            </w:r>
            <w:r w:rsidRPr="007D3144">
              <w:rPr>
                <w:spacing w:val="-10"/>
              </w:rPr>
              <w:t>g</w:t>
            </w:r>
            <w:r w:rsidRPr="007D3144">
              <w:tab/>
            </w:r>
            <w:r w:rsidRPr="007D3144">
              <w:rPr>
                <w:spacing w:val="-5"/>
              </w:rPr>
              <w:t>the</w:t>
            </w:r>
          </w:p>
          <w:p w14:paraId="221F5576" w14:textId="77777777" w:rsidR="004C7180" w:rsidRPr="00150EDC" w:rsidRDefault="00CF0754">
            <w:pPr>
              <w:pStyle w:val="TableParagraph"/>
              <w:spacing w:before="1" w:line="240" w:lineRule="auto"/>
              <w:ind w:left="826" w:right="205"/>
            </w:pPr>
            <w:r w:rsidRPr="007D3144">
              <w:rPr>
                <w:spacing w:val="-2"/>
              </w:rPr>
              <w:t xml:space="preserve">opportu </w:t>
            </w:r>
            <w:r w:rsidRPr="007D3144">
              <w:rPr>
                <w:spacing w:val="-4"/>
              </w:rPr>
              <w:t xml:space="preserve">nity </w:t>
            </w:r>
            <w:r w:rsidRPr="007D3144">
              <w:rPr>
                <w:spacing w:val="-2"/>
              </w:rPr>
              <w:t xml:space="preserve">through third- parties </w:t>
            </w:r>
            <w:r w:rsidRPr="007D3144">
              <w:rPr>
                <w:spacing w:val="-4"/>
              </w:rPr>
              <w:t>e.g.</w:t>
            </w:r>
          </w:p>
          <w:p w14:paraId="271E6776" w14:textId="77777777" w:rsidR="004C7180" w:rsidRPr="00150EDC" w:rsidRDefault="00CF0754">
            <w:pPr>
              <w:pStyle w:val="TableParagraph"/>
              <w:spacing w:before="0" w:line="252" w:lineRule="exact"/>
              <w:ind w:left="826"/>
            </w:pPr>
            <w:r w:rsidRPr="007D3144">
              <w:rPr>
                <w:spacing w:val="-2"/>
              </w:rPr>
              <w:t>Associat</w:t>
            </w:r>
          </w:p>
          <w:p w14:paraId="5473DA4E" w14:textId="77777777" w:rsidR="004C7180" w:rsidRPr="00150EDC" w:rsidRDefault="00CF0754">
            <w:pPr>
              <w:pStyle w:val="TableParagraph"/>
              <w:tabs>
                <w:tab w:val="left" w:pos="1510"/>
              </w:tabs>
              <w:spacing w:before="0" w:line="252" w:lineRule="exact"/>
              <w:ind w:left="826" w:right="87"/>
            </w:pPr>
            <w:r w:rsidRPr="007D3144">
              <w:rPr>
                <w:spacing w:val="-4"/>
              </w:rPr>
              <w:t>ion</w:t>
            </w:r>
            <w:r w:rsidRPr="007D3144">
              <w:tab/>
            </w:r>
            <w:r w:rsidRPr="007D3144">
              <w:rPr>
                <w:spacing w:val="-6"/>
              </w:rPr>
              <w:t xml:space="preserve">of </w:t>
            </w:r>
            <w:r w:rsidRPr="007D3144">
              <w:rPr>
                <w:spacing w:val="-2"/>
              </w:rPr>
              <w:t>Colleges</w:t>
            </w:r>
          </w:p>
        </w:tc>
        <w:tc>
          <w:tcPr>
            <w:tcW w:w="1805" w:type="dxa"/>
            <w:tcBorders>
              <w:top w:val="nil"/>
            </w:tcBorders>
            <w:shd w:val="clear" w:color="auto" w:fill="FFC000"/>
          </w:tcPr>
          <w:p w14:paraId="7B8AC444" w14:textId="77777777" w:rsidR="004C7180" w:rsidRPr="00150EDC" w:rsidRDefault="004C7180">
            <w:pPr>
              <w:pStyle w:val="TableParagraph"/>
              <w:spacing w:before="0" w:line="240" w:lineRule="auto"/>
              <w:ind w:left="0"/>
              <w:rPr>
                <w:rFonts w:ascii="Times New Roman"/>
                <w:sz w:val="20"/>
              </w:rPr>
            </w:pPr>
          </w:p>
        </w:tc>
      </w:tr>
      <w:tr w:rsidR="004569EE" w:rsidRPr="007D3144" w14:paraId="26069786" w14:textId="77777777">
        <w:trPr>
          <w:trHeight w:val="4552"/>
        </w:trPr>
        <w:tc>
          <w:tcPr>
            <w:tcW w:w="1805" w:type="dxa"/>
          </w:tcPr>
          <w:p w14:paraId="0EF7318D" w14:textId="77777777" w:rsidR="004C7180" w:rsidRPr="00150EDC" w:rsidRDefault="00CF0754">
            <w:pPr>
              <w:pStyle w:val="TableParagraph"/>
              <w:spacing w:before="0" w:line="240" w:lineRule="auto"/>
              <w:ind w:left="107" w:right="61"/>
            </w:pPr>
            <w:r w:rsidRPr="00150EDC">
              <w:t>Providers not able</w:t>
            </w:r>
            <w:r w:rsidRPr="00150EDC">
              <w:rPr>
                <w:spacing w:val="-16"/>
              </w:rPr>
              <w:t xml:space="preserve"> </w:t>
            </w:r>
            <w:r w:rsidRPr="00150EDC">
              <w:t>to</w:t>
            </w:r>
            <w:r w:rsidRPr="00150EDC">
              <w:rPr>
                <w:spacing w:val="-15"/>
              </w:rPr>
              <w:t xml:space="preserve"> </w:t>
            </w:r>
            <w:r w:rsidRPr="00150EDC">
              <w:t>comply with trial protocols or product</w:t>
            </w:r>
            <w:r w:rsidRPr="00150EDC">
              <w:rPr>
                <w:spacing w:val="-16"/>
              </w:rPr>
              <w:t xml:space="preserve"> </w:t>
            </w:r>
            <w:r w:rsidRPr="00150EDC">
              <w:t>fidelity</w:t>
            </w:r>
          </w:p>
        </w:tc>
        <w:tc>
          <w:tcPr>
            <w:tcW w:w="1803" w:type="dxa"/>
            <w:shd w:val="clear" w:color="auto" w:fill="FFC000"/>
          </w:tcPr>
          <w:p w14:paraId="3C34A61F" w14:textId="77777777" w:rsidR="004C7180" w:rsidRPr="00150EDC" w:rsidRDefault="004C7180">
            <w:pPr>
              <w:pStyle w:val="TableParagraph"/>
              <w:spacing w:before="0" w:line="240" w:lineRule="auto"/>
              <w:ind w:left="0"/>
              <w:rPr>
                <w:rFonts w:ascii="Times New Roman"/>
                <w:sz w:val="20"/>
              </w:rPr>
            </w:pPr>
          </w:p>
        </w:tc>
        <w:tc>
          <w:tcPr>
            <w:tcW w:w="1803" w:type="dxa"/>
            <w:shd w:val="clear" w:color="auto" w:fill="FF0000"/>
          </w:tcPr>
          <w:p w14:paraId="4AD5BA12" w14:textId="77777777" w:rsidR="004C7180" w:rsidRPr="00150EDC" w:rsidRDefault="004C7180">
            <w:pPr>
              <w:pStyle w:val="TableParagraph"/>
              <w:spacing w:before="0" w:line="240" w:lineRule="auto"/>
              <w:ind w:left="0"/>
              <w:rPr>
                <w:rFonts w:ascii="Times New Roman"/>
                <w:sz w:val="20"/>
              </w:rPr>
            </w:pPr>
          </w:p>
        </w:tc>
        <w:tc>
          <w:tcPr>
            <w:tcW w:w="1803" w:type="dxa"/>
          </w:tcPr>
          <w:p w14:paraId="045010F8" w14:textId="77777777" w:rsidR="004C7180" w:rsidRPr="00150EDC" w:rsidRDefault="00CF0754" w:rsidP="00B320C7">
            <w:pPr>
              <w:pStyle w:val="TableParagraph"/>
              <w:numPr>
                <w:ilvl w:val="0"/>
                <w:numId w:val="59"/>
              </w:numPr>
              <w:tabs>
                <w:tab w:val="left" w:pos="825"/>
              </w:tabs>
              <w:spacing w:before="0" w:line="252" w:lineRule="exact"/>
              <w:ind w:left="825" w:hanging="359"/>
            </w:pPr>
            <w:r w:rsidRPr="007D3144">
              <w:rPr>
                <w:spacing w:val="-2"/>
              </w:rPr>
              <w:t>Assess</w:t>
            </w:r>
          </w:p>
          <w:p w14:paraId="0EA7B810" w14:textId="77777777" w:rsidR="004C7180" w:rsidRPr="00150EDC" w:rsidRDefault="00CF0754">
            <w:pPr>
              <w:pStyle w:val="TableParagraph"/>
              <w:spacing w:before="0" w:line="240" w:lineRule="auto"/>
              <w:ind w:left="826" w:right="121"/>
            </w:pPr>
            <w:r w:rsidRPr="007D3144">
              <w:rPr>
                <w:spacing w:val="-2"/>
              </w:rPr>
              <w:t>previous track record</w:t>
            </w:r>
          </w:p>
          <w:p w14:paraId="534CF99B" w14:textId="77777777" w:rsidR="004C7180" w:rsidRPr="00150EDC" w:rsidRDefault="00CF0754" w:rsidP="00B320C7">
            <w:pPr>
              <w:pStyle w:val="TableParagraph"/>
              <w:numPr>
                <w:ilvl w:val="0"/>
                <w:numId w:val="59"/>
              </w:numPr>
              <w:tabs>
                <w:tab w:val="left" w:pos="825"/>
              </w:tabs>
              <w:spacing w:before="1" w:line="252" w:lineRule="exact"/>
              <w:ind w:left="825" w:hanging="359"/>
            </w:pPr>
            <w:r w:rsidRPr="007D3144">
              <w:rPr>
                <w:spacing w:val="-2"/>
              </w:rPr>
              <w:t>Compre</w:t>
            </w:r>
          </w:p>
          <w:p w14:paraId="4B108733" w14:textId="77777777" w:rsidR="004C7180" w:rsidRPr="00150EDC" w:rsidRDefault="00CF0754">
            <w:pPr>
              <w:pStyle w:val="TableParagraph"/>
              <w:spacing w:before="0" w:line="240" w:lineRule="auto"/>
              <w:ind w:left="826" w:right="97"/>
            </w:pPr>
            <w:r w:rsidRPr="007D3144">
              <w:rPr>
                <w:spacing w:val="-2"/>
              </w:rPr>
              <w:t>hensive briefing/t raining sessions</w:t>
            </w:r>
          </w:p>
          <w:p w14:paraId="541F8BD7" w14:textId="77777777" w:rsidR="004C7180" w:rsidRPr="00150EDC" w:rsidRDefault="00CF0754" w:rsidP="00B320C7">
            <w:pPr>
              <w:pStyle w:val="TableParagraph"/>
              <w:numPr>
                <w:ilvl w:val="0"/>
                <w:numId w:val="59"/>
              </w:numPr>
              <w:tabs>
                <w:tab w:val="left" w:pos="825"/>
              </w:tabs>
              <w:spacing w:before="0" w:line="252" w:lineRule="exact"/>
              <w:ind w:left="825" w:hanging="359"/>
            </w:pPr>
            <w:r w:rsidRPr="007D3144">
              <w:rPr>
                <w:spacing w:val="-2"/>
              </w:rPr>
              <w:t>Robust</w:t>
            </w:r>
          </w:p>
          <w:p w14:paraId="5944888D" w14:textId="77777777" w:rsidR="004C7180" w:rsidRPr="00150EDC" w:rsidRDefault="00CF0754">
            <w:pPr>
              <w:pStyle w:val="TableParagraph"/>
              <w:spacing w:before="0" w:line="240" w:lineRule="auto"/>
              <w:ind w:left="826" w:right="180"/>
            </w:pPr>
            <w:r w:rsidRPr="007D3144">
              <w:rPr>
                <w:spacing w:val="-2"/>
              </w:rPr>
              <w:t xml:space="preserve">assess </w:t>
            </w:r>
            <w:r w:rsidRPr="007D3144">
              <w:rPr>
                <w:spacing w:val="-4"/>
              </w:rPr>
              <w:t xml:space="preserve">ment </w:t>
            </w:r>
            <w:r w:rsidRPr="007D3144">
              <w:rPr>
                <w:spacing w:val="-2"/>
              </w:rPr>
              <w:t>process</w:t>
            </w:r>
          </w:p>
          <w:p w14:paraId="35377412" w14:textId="77777777" w:rsidR="004C7180" w:rsidRPr="00150EDC" w:rsidRDefault="00CF0754" w:rsidP="00B320C7">
            <w:pPr>
              <w:pStyle w:val="TableParagraph"/>
              <w:numPr>
                <w:ilvl w:val="0"/>
                <w:numId w:val="59"/>
              </w:numPr>
              <w:tabs>
                <w:tab w:val="left" w:pos="825"/>
              </w:tabs>
              <w:spacing w:before="0" w:line="240" w:lineRule="auto"/>
              <w:ind w:left="825" w:hanging="359"/>
            </w:pPr>
            <w:r w:rsidRPr="007D3144">
              <w:rPr>
                <w:spacing w:val="-2"/>
              </w:rPr>
              <w:t>Ongoing</w:t>
            </w:r>
          </w:p>
          <w:p w14:paraId="2B6CB121" w14:textId="77777777" w:rsidR="004C7180" w:rsidRPr="00150EDC" w:rsidRDefault="00CF0754">
            <w:pPr>
              <w:pStyle w:val="TableParagraph"/>
              <w:spacing w:before="1" w:line="240" w:lineRule="auto"/>
              <w:ind w:left="826"/>
            </w:pPr>
            <w:r w:rsidRPr="007D3144">
              <w:rPr>
                <w:spacing w:val="-2"/>
              </w:rPr>
              <w:t xml:space="preserve">complia </w:t>
            </w:r>
            <w:r w:rsidRPr="007D3144">
              <w:rPr>
                <w:spacing w:val="-4"/>
              </w:rPr>
              <w:t xml:space="preserve">nce </w:t>
            </w:r>
            <w:r w:rsidRPr="007D3144">
              <w:rPr>
                <w:spacing w:val="-2"/>
              </w:rPr>
              <w:t>monitori</w:t>
            </w:r>
          </w:p>
          <w:p w14:paraId="03D4099F" w14:textId="77777777" w:rsidR="004C7180" w:rsidRPr="00150EDC" w:rsidRDefault="00CF0754">
            <w:pPr>
              <w:pStyle w:val="TableParagraph"/>
              <w:spacing w:before="0" w:line="231" w:lineRule="exact"/>
              <w:ind w:left="826"/>
            </w:pPr>
            <w:r w:rsidRPr="007D3144">
              <w:rPr>
                <w:spacing w:val="-5"/>
              </w:rPr>
              <w:t>ng</w:t>
            </w:r>
          </w:p>
        </w:tc>
        <w:tc>
          <w:tcPr>
            <w:tcW w:w="1805" w:type="dxa"/>
            <w:shd w:val="clear" w:color="auto" w:fill="92D050"/>
          </w:tcPr>
          <w:p w14:paraId="7881C8F0" w14:textId="77777777" w:rsidR="004C7180" w:rsidRPr="00150EDC" w:rsidRDefault="004C7180">
            <w:pPr>
              <w:pStyle w:val="TableParagraph"/>
              <w:spacing w:before="0" w:line="240" w:lineRule="auto"/>
              <w:ind w:left="0"/>
              <w:rPr>
                <w:rFonts w:ascii="Times New Roman"/>
                <w:sz w:val="20"/>
              </w:rPr>
            </w:pPr>
          </w:p>
        </w:tc>
      </w:tr>
      <w:tr w:rsidR="004569EE" w:rsidRPr="007D3144" w14:paraId="11AEAE29" w14:textId="77777777">
        <w:trPr>
          <w:trHeight w:val="4808"/>
        </w:trPr>
        <w:tc>
          <w:tcPr>
            <w:tcW w:w="1805" w:type="dxa"/>
          </w:tcPr>
          <w:p w14:paraId="65EFBEBA" w14:textId="77777777" w:rsidR="004C7180" w:rsidRPr="00150EDC" w:rsidRDefault="00CF0754">
            <w:pPr>
              <w:pStyle w:val="TableParagraph"/>
              <w:spacing w:before="2" w:line="240" w:lineRule="auto"/>
              <w:ind w:left="107" w:right="61"/>
            </w:pPr>
            <w:r w:rsidRPr="00150EDC">
              <w:rPr>
                <w:spacing w:val="-2"/>
              </w:rPr>
              <w:t xml:space="preserve">Payment irregularities/du </w:t>
            </w:r>
            <w:r w:rsidRPr="00150EDC">
              <w:t xml:space="preserve">plication (incl. </w:t>
            </w:r>
            <w:r w:rsidRPr="00150EDC">
              <w:rPr>
                <w:spacing w:val="-2"/>
              </w:rPr>
              <w:t>fraud)</w:t>
            </w:r>
          </w:p>
        </w:tc>
        <w:tc>
          <w:tcPr>
            <w:tcW w:w="1803" w:type="dxa"/>
            <w:shd w:val="clear" w:color="auto" w:fill="FFC000"/>
          </w:tcPr>
          <w:p w14:paraId="3974D79D" w14:textId="77777777" w:rsidR="004C7180" w:rsidRPr="00150EDC" w:rsidRDefault="004C7180">
            <w:pPr>
              <w:pStyle w:val="TableParagraph"/>
              <w:spacing w:before="0" w:line="240" w:lineRule="auto"/>
              <w:ind w:left="0"/>
              <w:rPr>
                <w:rFonts w:ascii="Times New Roman"/>
                <w:sz w:val="20"/>
              </w:rPr>
            </w:pPr>
          </w:p>
        </w:tc>
        <w:tc>
          <w:tcPr>
            <w:tcW w:w="1803" w:type="dxa"/>
            <w:shd w:val="clear" w:color="auto" w:fill="FFC000"/>
          </w:tcPr>
          <w:p w14:paraId="5280670B" w14:textId="77777777" w:rsidR="004C7180" w:rsidRPr="00150EDC" w:rsidRDefault="004C7180">
            <w:pPr>
              <w:pStyle w:val="TableParagraph"/>
              <w:spacing w:before="0" w:line="240" w:lineRule="auto"/>
              <w:ind w:left="0"/>
              <w:rPr>
                <w:rFonts w:ascii="Times New Roman"/>
                <w:sz w:val="20"/>
              </w:rPr>
            </w:pPr>
          </w:p>
        </w:tc>
        <w:tc>
          <w:tcPr>
            <w:tcW w:w="1803" w:type="dxa"/>
          </w:tcPr>
          <w:p w14:paraId="22FDF600" w14:textId="77777777" w:rsidR="004C7180" w:rsidRPr="00150EDC" w:rsidRDefault="00CF0754" w:rsidP="00B320C7">
            <w:pPr>
              <w:pStyle w:val="TableParagraph"/>
              <w:numPr>
                <w:ilvl w:val="0"/>
                <w:numId w:val="58"/>
              </w:numPr>
              <w:tabs>
                <w:tab w:val="left" w:pos="825"/>
              </w:tabs>
              <w:spacing w:before="2" w:line="252" w:lineRule="exact"/>
              <w:ind w:left="825" w:hanging="359"/>
            </w:pPr>
            <w:r w:rsidRPr="007D3144">
              <w:rPr>
                <w:spacing w:val="-2"/>
              </w:rPr>
              <w:t>Proactiv</w:t>
            </w:r>
          </w:p>
          <w:p w14:paraId="03D33226" w14:textId="77777777" w:rsidR="004C7180" w:rsidRPr="00150EDC" w:rsidRDefault="00CF0754">
            <w:pPr>
              <w:pStyle w:val="TableParagraph"/>
              <w:tabs>
                <w:tab w:val="left" w:pos="1437"/>
              </w:tabs>
              <w:spacing w:before="0" w:line="240" w:lineRule="auto"/>
              <w:ind w:left="826" w:right="87"/>
            </w:pPr>
            <w:r w:rsidRPr="007D3144">
              <w:rPr>
                <w:spacing w:val="-10"/>
              </w:rPr>
              <w:t xml:space="preserve">e </w:t>
            </w:r>
            <w:r w:rsidRPr="007D3144">
              <w:rPr>
                <w:spacing w:val="-2"/>
              </w:rPr>
              <w:t xml:space="preserve">monitori </w:t>
            </w:r>
            <w:r w:rsidRPr="007D3144">
              <w:rPr>
                <w:spacing w:val="-6"/>
              </w:rPr>
              <w:t>ng</w:t>
            </w:r>
            <w:r w:rsidRPr="007D3144">
              <w:tab/>
            </w:r>
            <w:r w:rsidRPr="007D3144">
              <w:rPr>
                <w:spacing w:val="-4"/>
              </w:rPr>
              <w:t xml:space="preserve">for </w:t>
            </w:r>
            <w:r w:rsidRPr="007D3144">
              <w:rPr>
                <w:spacing w:val="-2"/>
              </w:rPr>
              <w:t>early issue identific ation/mit igation</w:t>
            </w:r>
          </w:p>
          <w:p w14:paraId="58378E9B" w14:textId="77777777" w:rsidR="004C7180" w:rsidRPr="00150EDC" w:rsidRDefault="00CF0754" w:rsidP="00B320C7">
            <w:pPr>
              <w:pStyle w:val="TableParagraph"/>
              <w:numPr>
                <w:ilvl w:val="0"/>
                <w:numId w:val="58"/>
              </w:numPr>
              <w:tabs>
                <w:tab w:val="left" w:pos="825"/>
              </w:tabs>
              <w:spacing w:before="0" w:line="252" w:lineRule="exact"/>
              <w:ind w:left="825" w:hanging="359"/>
            </w:pPr>
            <w:r w:rsidRPr="007D3144">
              <w:rPr>
                <w:spacing w:val="-2"/>
              </w:rPr>
              <w:t>Assign</w:t>
            </w:r>
          </w:p>
          <w:p w14:paraId="6666AFFD" w14:textId="77777777" w:rsidR="004C7180" w:rsidRPr="00150EDC" w:rsidRDefault="00CF0754">
            <w:pPr>
              <w:pStyle w:val="TableParagraph"/>
              <w:tabs>
                <w:tab w:val="left" w:pos="1253"/>
              </w:tabs>
              <w:spacing w:before="1" w:line="240" w:lineRule="auto"/>
              <w:ind w:left="826" w:right="89"/>
            </w:pPr>
            <w:r w:rsidRPr="007D3144">
              <w:rPr>
                <w:spacing w:val="-2"/>
              </w:rPr>
              <w:t xml:space="preserve">addition </w:t>
            </w:r>
            <w:r w:rsidRPr="007D3144">
              <w:rPr>
                <w:spacing w:val="-6"/>
              </w:rPr>
              <w:t xml:space="preserve">al </w:t>
            </w:r>
            <w:r w:rsidRPr="007D3144">
              <w:rPr>
                <w:spacing w:val="-2"/>
              </w:rPr>
              <w:t xml:space="preserve">resource </w:t>
            </w:r>
            <w:r w:rsidRPr="007D3144">
              <w:rPr>
                <w:spacing w:val="-10"/>
              </w:rPr>
              <w:t>s</w:t>
            </w:r>
            <w:r w:rsidRPr="007D3144">
              <w:tab/>
            </w:r>
            <w:r w:rsidRPr="007D3144">
              <w:rPr>
                <w:spacing w:val="-4"/>
              </w:rPr>
              <w:t>from our</w:t>
            </w:r>
            <w:r w:rsidRPr="007D3144">
              <w:rPr>
                <w:spacing w:val="40"/>
              </w:rPr>
              <w:t xml:space="preserve"> </w:t>
            </w:r>
            <w:r w:rsidRPr="007D3144">
              <w:rPr>
                <w:spacing w:val="-2"/>
              </w:rPr>
              <w:t xml:space="preserve">wider </w:t>
            </w:r>
            <w:r w:rsidRPr="007D3144">
              <w:rPr>
                <w:spacing w:val="-4"/>
              </w:rPr>
              <w:t>team</w:t>
            </w:r>
            <w:r w:rsidRPr="007D3144">
              <w:rPr>
                <w:spacing w:val="40"/>
              </w:rPr>
              <w:t xml:space="preserve"> </w:t>
            </w:r>
            <w:r w:rsidRPr="007D3144">
              <w:rPr>
                <w:spacing w:val="-4"/>
              </w:rPr>
              <w:t>e.g.</w:t>
            </w:r>
          </w:p>
          <w:p w14:paraId="0C7A7B65" w14:textId="77777777" w:rsidR="004C7180" w:rsidRPr="00150EDC" w:rsidRDefault="00CF0754">
            <w:pPr>
              <w:pStyle w:val="TableParagraph"/>
              <w:spacing w:before="0" w:line="233" w:lineRule="exact"/>
              <w:ind w:left="826"/>
            </w:pPr>
            <w:r w:rsidRPr="007D3144">
              <w:rPr>
                <w:spacing w:val="-2"/>
              </w:rPr>
              <w:t>Project</w:t>
            </w:r>
          </w:p>
        </w:tc>
        <w:tc>
          <w:tcPr>
            <w:tcW w:w="1805" w:type="dxa"/>
            <w:shd w:val="clear" w:color="auto" w:fill="92D050"/>
          </w:tcPr>
          <w:p w14:paraId="51DC762E" w14:textId="77777777" w:rsidR="004C7180" w:rsidRPr="00150EDC" w:rsidRDefault="004C7180">
            <w:pPr>
              <w:pStyle w:val="TableParagraph"/>
              <w:spacing w:before="0" w:line="240" w:lineRule="auto"/>
              <w:ind w:left="0"/>
              <w:rPr>
                <w:rFonts w:ascii="Times New Roman"/>
                <w:sz w:val="20"/>
              </w:rPr>
            </w:pPr>
          </w:p>
        </w:tc>
      </w:tr>
    </w:tbl>
    <w:p w14:paraId="755C2080" w14:textId="77777777" w:rsidR="004C7180" w:rsidRPr="00150EDC" w:rsidRDefault="004C7180">
      <w:pPr>
        <w:rPr>
          <w:rFonts w:ascii="Times New Roman"/>
          <w:sz w:val="20"/>
        </w:rPr>
        <w:sectPr w:rsidR="004C7180" w:rsidRPr="00150EDC">
          <w:pgSz w:w="11910" w:h="16840"/>
          <w:pgMar w:top="1460" w:right="0" w:bottom="1420" w:left="40" w:header="712" w:footer="1224" w:gutter="0"/>
          <w:cols w:space="720"/>
        </w:sectPr>
      </w:pPr>
    </w:p>
    <w:p w14:paraId="6A57C4E2" w14:textId="77777777" w:rsidR="004C7180" w:rsidRPr="00150EDC" w:rsidRDefault="004C7180">
      <w:pPr>
        <w:pStyle w:val="BodyText"/>
        <w:spacing w:before="4"/>
        <w:rPr>
          <w:sz w:val="26"/>
        </w:rPr>
      </w:pPr>
    </w:p>
    <w:tbl>
      <w:tblPr>
        <w:tblW w:w="0" w:type="auto"/>
        <w:tblInd w:w="15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5"/>
        <w:gridCol w:w="1803"/>
        <w:gridCol w:w="1803"/>
        <w:gridCol w:w="1803"/>
        <w:gridCol w:w="1805"/>
      </w:tblGrid>
      <w:tr w:rsidR="004569EE" w:rsidRPr="007D3144" w14:paraId="2C848D7B" w14:textId="77777777">
        <w:trPr>
          <w:trHeight w:val="505"/>
        </w:trPr>
        <w:tc>
          <w:tcPr>
            <w:tcW w:w="1805" w:type="dxa"/>
          </w:tcPr>
          <w:p w14:paraId="44291201" w14:textId="77777777" w:rsidR="004C7180" w:rsidRPr="00150EDC" w:rsidRDefault="004C7180">
            <w:pPr>
              <w:pStyle w:val="TableParagraph"/>
              <w:spacing w:before="0" w:line="240" w:lineRule="auto"/>
              <w:ind w:left="0"/>
              <w:rPr>
                <w:rFonts w:ascii="Times New Roman"/>
                <w:sz w:val="20"/>
              </w:rPr>
            </w:pPr>
          </w:p>
        </w:tc>
        <w:tc>
          <w:tcPr>
            <w:tcW w:w="1803" w:type="dxa"/>
            <w:shd w:val="clear" w:color="auto" w:fill="FFC000"/>
          </w:tcPr>
          <w:p w14:paraId="76A48C86" w14:textId="77777777" w:rsidR="004C7180" w:rsidRPr="00150EDC" w:rsidRDefault="004C7180">
            <w:pPr>
              <w:pStyle w:val="TableParagraph"/>
              <w:spacing w:before="0" w:line="240" w:lineRule="auto"/>
              <w:ind w:left="0"/>
              <w:rPr>
                <w:rFonts w:ascii="Times New Roman"/>
                <w:sz w:val="20"/>
              </w:rPr>
            </w:pPr>
          </w:p>
        </w:tc>
        <w:tc>
          <w:tcPr>
            <w:tcW w:w="1803" w:type="dxa"/>
            <w:shd w:val="clear" w:color="auto" w:fill="FFC000"/>
          </w:tcPr>
          <w:p w14:paraId="21AFDA8E" w14:textId="77777777" w:rsidR="004C7180" w:rsidRPr="00150EDC" w:rsidRDefault="004C7180">
            <w:pPr>
              <w:pStyle w:val="TableParagraph"/>
              <w:spacing w:before="0" w:line="240" w:lineRule="auto"/>
              <w:ind w:left="0"/>
              <w:rPr>
                <w:rFonts w:ascii="Times New Roman"/>
                <w:sz w:val="20"/>
              </w:rPr>
            </w:pPr>
          </w:p>
        </w:tc>
        <w:tc>
          <w:tcPr>
            <w:tcW w:w="1803" w:type="dxa"/>
          </w:tcPr>
          <w:p w14:paraId="72604662" w14:textId="77777777" w:rsidR="004C7180" w:rsidRPr="00150EDC" w:rsidRDefault="00CF0754">
            <w:pPr>
              <w:pStyle w:val="TableParagraph"/>
              <w:spacing w:before="0" w:line="252" w:lineRule="exact"/>
              <w:ind w:left="826" w:right="153"/>
            </w:pPr>
            <w:r w:rsidRPr="007D3144">
              <w:rPr>
                <w:spacing w:val="-2"/>
              </w:rPr>
              <w:t xml:space="preserve">Manage </w:t>
            </w:r>
            <w:r w:rsidRPr="007D3144">
              <w:rPr>
                <w:spacing w:val="-6"/>
              </w:rPr>
              <w:t>rs</w:t>
            </w:r>
          </w:p>
        </w:tc>
        <w:tc>
          <w:tcPr>
            <w:tcW w:w="1805" w:type="dxa"/>
            <w:shd w:val="clear" w:color="auto" w:fill="92D050"/>
          </w:tcPr>
          <w:p w14:paraId="727924C5" w14:textId="77777777" w:rsidR="004C7180" w:rsidRPr="00150EDC" w:rsidRDefault="004C7180">
            <w:pPr>
              <w:pStyle w:val="TableParagraph"/>
              <w:spacing w:before="0" w:line="240" w:lineRule="auto"/>
              <w:ind w:left="0"/>
              <w:rPr>
                <w:rFonts w:ascii="Times New Roman"/>
                <w:sz w:val="20"/>
              </w:rPr>
            </w:pPr>
          </w:p>
        </w:tc>
      </w:tr>
      <w:tr w:rsidR="004569EE" w:rsidRPr="007D3144" w14:paraId="17A82D3D" w14:textId="77777777">
        <w:trPr>
          <w:trHeight w:val="299"/>
        </w:trPr>
        <w:tc>
          <w:tcPr>
            <w:tcW w:w="1805" w:type="dxa"/>
            <w:shd w:val="clear" w:color="auto" w:fill="2E5395"/>
          </w:tcPr>
          <w:p w14:paraId="74348185" w14:textId="77777777" w:rsidR="004C7180" w:rsidRPr="00150EDC" w:rsidRDefault="004C7180">
            <w:pPr>
              <w:pStyle w:val="TableParagraph"/>
              <w:spacing w:before="0" w:line="240" w:lineRule="auto"/>
              <w:ind w:left="0"/>
              <w:rPr>
                <w:rFonts w:ascii="Times New Roman"/>
                <w:sz w:val="20"/>
              </w:rPr>
            </w:pPr>
          </w:p>
        </w:tc>
        <w:tc>
          <w:tcPr>
            <w:tcW w:w="7214" w:type="dxa"/>
            <w:gridSpan w:val="4"/>
            <w:shd w:val="clear" w:color="auto" w:fill="2E5395"/>
          </w:tcPr>
          <w:p w14:paraId="1D59C35B" w14:textId="77777777" w:rsidR="004C7180" w:rsidRPr="00150EDC" w:rsidRDefault="00CF0754">
            <w:pPr>
              <w:pStyle w:val="TableParagraph"/>
              <w:spacing w:before="0" w:line="253" w:lineRule="exact"/>
              <w:ind w:left="107"/>
            </w:pPr>
            <w:r w:rsidRPr="007D3144">
              <w:rPr>
                <w:spacing w:val="-2"/>
              </w:rPr>
              <w:t>Provider</w:t>
            </w:r>
          </w:p>
        </w:tc>
      </w:tr>
      <w:tr w:rsidR="004569EE" w:rsidRPr="007D3144" w14:paraId="3F686865" w14:textId="77777777">
        <w:trPr>
          <w:trHeight w:val="4926"/>
        </w:trPr>
        <w:tc>
          <w:tcPr>
            <w:tcW w:w="1805" w:type="dxa"/>
          </w:tcPr>
          <w:p w14:paraId="29DC32F6" w14:textId="77777777" w:rsidR="004C7180" w:rsidRPr="00150EDC" w:rsidRDefault="00CF0754">
            <w:pPr>
              <w:pStyle w:val="TableParagraph"/>
              <w:spacing w:before="0" w:line="240" w:lineRule="auto"/>
              <w:ind w:left="107" w:right="329"/>
            </w:pPr>
            <w:r w:rsidRPr="00150EDC">
              <w:rPr>
                <w:spacing w:val="-2"/>
              </w:rPr>
              <w:t xml:space="preserve">Under- </w:t>
            </w:r>
            <w:r w:rsidRPr="00150EDC">
              <w:t>recruitment</w:t>
            </w:r>
            <w:r w:rsidRPr="00150EDC">
              <w:rPr>
                <w:spacing w:val="-16"/>
              </w:rPr>
              <w:t xml:space="preserve"> </w:t>
            </w:r>
            <w:r w:rsidRPr="00150EDC">
              <w:t xml:space="preserve">of </w:t>
            </w:r>
            <w:r w:rsidRPr="00150EDC">
              <w:rPr>
                <w:spacing w:val="-2"/>
              </w:rPr>
              <w:t>learners</w:t>
            </w:r>
          </w:p>
        </w:tc>
        <w:tc>
          <w:tcPr>
            <w:tcW w:w="1803" w:type="dxa"/>
            <w:shd w:val="clear" w:color="auto" w:fill="FF0000"/>
          </w:tcPr>
          <w:p w14:paraId="7F9BCAE0" w14:textId="77777777" w:rsidR="004C7180" w:rsidRPr="00150EDC" w:rsidRDefault="004C7180">
            <w:pPr>
              <w:pStyle w:val="TableParagraph"/>
              <w:spacing w:before="0" w:line="240" w:lineRule="auto"/>
              <w:ind w:left="0"/>
              <w:rPr>
                <w:rFonts w:ascii="Times New Roman"/>
                <w:sz w:val="20"/>
              </w:rPr>
            </w:pPr>
          </w:p>
        </w:tc>
        <w:tc>
          <w:tcPr>
            <w:tcW w:w="1803" w:type="dxa"/>
            <w:shd w:val="clear" w:color="auto" w:fill="FF0000"/>
          </w:tcPr>
          <w:p w14:paraId="16C2E678" w14:textId="77777777" w:rsidR="004C7180" w:rsidRPr="00150EDC" w:rsidRDefault="004C7180">
            <w:pPr>
              <w:pStyle w:val="TableParagraph"/>
              <w:spacing w:before="0" w:line="240" w:lineRule="auto"/>
              <w:ind w:left="0"/>
              <w:rPr>
                <w:rFonts w:ascii="Times New Roman"/>
                <w:sz w:val="20"/>
              </w:rPr>
            </w:pPr>
          </w:p>
        </w:tc>
        <w:tc>
          <w:tcPr>
            <w:tcW w:w="1803" w:type="dxa"/>
          </w:tcPr>
          <w:p w14:paraId="4E103D12" w14:textId="77777777" w:rsidR="004C7180" w:rsidRPr="00150EDC" w:rsidRDefault="00CF0754" w:rsidP="00B320C7">
            <w:pPr>
              <w:pStyle w:val="TableParagraph"/>
              <w:numPr>
                <w:ilvl w:val="0"/>
                <w:numId w:val="57"/>
              </w:numPr>
              <w:tabs>
                <w:tab w:val="left" w:pos="826"/>
                <w:tab w:val="left" w:pos="1414"/>
              </w:tabs>
              <w:spacing w:before="0" w:line="240" w:lineRule="auto"/>
              <w:ind w:right="85"/>
            </w:pPr>
            <w:r w:rsidRPr="007D3144">
              <w:rPr>
                <w:spacing w:val="-2"/>
              </w:rPr>
              <w:t xml:space="preserve">Contract terms incentivi </w:t>
            </w:r>
            <w:r w:rsidRPr="007D3144">
              <w:rPr>
                <w:spacing w:val="-6"/>
              </w:rPr>
              <w:t>se</w:t>
            </w:r>
            <w:r w:rsidRPr="007D3144">
              <w:tab/>
            </w:r>
            <w:r w:rsidRPr="007D3144">
              <w:rPr>
                <w:spacing w:val="-4"/>
              </w:rPr>
              <w:t xml:space="preserve">full </w:t>
            </w:r>
            <w:r w:rsidRPr="007D3144">
              <w:rPr>
                <w:spacing w:val="-2"/>
              </w:rPr>
              <w:t xml:space="preserve">recruitm </w:t>
            </w:r>
            <w:r w:rsidRPr="007D3144">
              <w:rPr>
                <w:spacing w:val="-4"/>
              </w:rPr>
              <w:t>ent</w:t>
            </w:r>
          </w:p>
          <w:p w14:paraId="6003AD36" w14:textId="77777777" w:rsidR="004C7180" w:rsidRPr="00150EDC" w:rsidRDefault="00CF0754" w:rsidP="00B320C7">
            <w:pPr>
              <w:pStyle w:val="TableParagraph"/>
              <w:numPr>
                <w:ilvl w:val="0"/>
                <w:numId w:val="57"/>
              </w:numPr>
              <w:tabs>
                <w:tab w:val="left" w:pos="824"/>
                <w:tab w:val="left" w:pos="826"/>
              </w:tabs>
              <w:spacing w:before="1" w:line="240" w:lineRule="auto"/>
              <w:ind w:right="109" w:hanging="361"/>
            </w:pPr>
            <w:r w:rsidRPr="007D3144">
              <w:rPr>
                <w:spacing w:val="-2"/>
              </w:rPr>
              <w:t xml:space="preserve">Using proven recruitm </w:t>
            </w:r>
            <w:r w:rsidRPr="007D3144">
              <w:rPr>
                <w:spacing w:val="-4"/>
              </w:rPr>
              <w:t xml:space="preserve">ent </w:t>
            </w:r>
            <w:r w:rsidRPr="007D3144">
              <w:rPr>
                <w:spacing w:val="-2"/>
              </w:rPr>
              <w:t xml:space="preserve">strategie </w:t>
            </w:r>
            <w:r w:rsidRPr="007D3144">
              <w:rPr>
                <w:spacing w:val="-10"/>
              </w:rPr>
              <w:t>s</w:t>
            </w:r>
          </w:p>
          <w:p w14:paraId="0818CA03" w14:textId="77777777" w:rsidR="004C7180" w:rsidRPr="00150EDC" w:rsidRDefault="00CF0754">
            <w:pPr>
              <w:pStyle w:val="TableParagraph"/>
              <w:tabs>
                <w:tab w:val="left" w:pos="1327"/>
              </w:tabs>
              <w:spacing w:before="0" w:line="240" w:lineRule="auto"/>
              <w:ind w:left="105" w:right="85"/>
            </w:pPr>
            <w:r w:rsidRPr="007D3144">
              <w:rPr>
                <w:b/>
              </w:rPr>
              <w:t>Tribal:</w:t>
            </w:r>
            <w:r w:rsidRPr="007D3144">
              <w:rPr>
                <w:b/>
                <w:spacing w:val="80"/>
              </w:rPr>
              <w:t xml:space="preserve"> </w:t>
            </w:r>
            <w:r w:rsidRPr="007D3144">
              <w:t xml:space="preserve">provide </w:t>
            </w:r>
            <w:r w:rsidRPr="007D3144">
              <w:rPr>
                <w:spacing w:val="-2"/>
              </w:rPr>
              <w:t>supporting collateral</w:t>
            </w:r>
            <w:r w:rsidRPr="007D3144">
              <w:tab/>
            </w:r>
            <w:r w:rsidRPr="007D3144">
              <w:rPr>
                <w:spacing w:val="-4"/>
              </w:rPr>
              <w:t xml:space="preserve">e.g. email </w:t>
            </w:r>
            <w:r w:rsidRPr="007D3144">
              <w:rPr>
                <w:spacing w:val="-2"/>
              </w:rPr>
              <w:t xml:space="preserve">templates/poste </w:t>
            </w:r>
            <w:r w:rsidRPr="007D3144">
              <w:t xml:space="preserve">rs, social media </w:t>
            </w:r>
            <w:r w:rsidRPr="007D3144">
              <w:rPr>
                <w:spacing w:val="-2"/>
              </w:rPr>
              <w:t>messaging</w:t>
            </w:r>
          </w:p>
        </w:tc>
        <w:tc>
          <w:tcPr>
            <w:tcW w:w="1805" w:type="dxa"/>
            <w:shd w:val="clear" w:color="auto" w:fill="FFC000"/>
          </w:tcPr>
          <w:p w14:paraId="3A0A7CF4" w14:textId="77777777" w:rsidR="004C7180" w:rsidRPr="00150EDC" w:rsidRDefault="004C7180">
            <w:pPr>
              <w:pStyle w:val="TableParagraph"/>
              <w:spacing w:before="0" w:line="240" w:lineRule="auto"/>
              <w:ind w:left="0"/>
              <w:rPr>
                <w:rFonts w:ascii="Times New Roman"/>
                <w:sz w:val="20"/>
              </w:rPr>
            </w:pPr>
          </w:p>
        </w:tc>
      </w:tr>
      <w:tr w:rsidR="004569EE" w:rsidRPr="007D3144" w14:paraId="0AA8DBDA" w14:textId="77777777">
        <w:trPr>
          <w:trHeight w:val="7338"/>
        </w:trPr>
        <w:tc>
          <w:tcPr>
            <w:tcW w:w="1805" w:type="dxa"/>
          </w:tcPr>
          <w:p w14:paraId="2379B6AC" w14:textId="77777777" w:rsidR="004C7180" w:rsidRPr="00150EDC" w:rsidRDefault="00CF0754">
            <w:pPr>
              <w:pStyle w:val="TableParagraph"/>
              <w:spacing w:before="2" w:line="240" w:lineRule="auto"/>
              <w:ind w:left="107" w:right="354"/>
              <w:jc w:val="both"/>
            </w:pPr>
            <w:r w:rsidRPr="00150EDC">
              <w:t>High</w:t>
            </w:r>
            <w:r w:rsidRPr="00150EDC">
              <w:rPr>
                <w:spacing w:val="-16"/>
              </w:rPr>
              <w:t xml:space="preserve"> </w:t>
            </w:r>
            <w:r w:rsidRPr="00150EDC">
              <w:t>levels</w:t>
            </w:r>
            <w:r w:rsidRPr="00150EDC">
              <w:rPr>
                <w:spacing w:val="-15"/>
              </w:rPr>
              <w:t xml:space="preserve"> </w:t>
            </w:r>
            <w:r w:rsidRPr="00150EDC">
              <w:t xml:space="preserve">of learner drop- </w:t>
            </w:r>
            <w:r w:rsidRPr="00150EDC">
              <w:rPr>
                <w:spacing w:val="-4"/>
              </w:rPr>
              <w:t>outs</w:t>
            </w:r>
          </w:p>
        </w:tc>
        <w:tc>
          <w:tcPr>
            <w:tcW w:w="1803" w:type="dxa"/>
            <w:shd w:val="clear" w:color="auto" w:fill="FFC000"/>
          </w:tcPr>
          <w:p w14:paraId="0F619F02" w14:textId="77777777" w:rsidR="004C7180" w:rsidRPr="00150EDC" w:rsidRDefault="004C7180">
            <w:pPr>
              <w:pStyle w:val="TableParagraph"/>
              <w:spacing w:before="0" w:line="240" w:lineRule="auto"/>
              <w:ind w:left="0"/>
              <w:rPr>
                <w:rFonts w:ascii="Times New Roman"/>
                <w:sz w:val="20"/>
              </w:rPr>
            </w:pPr>
          </w:p>
        </w:tc>
        <w:tc>
          <w:tcPr>
            <w:tcW w:w="1803" w:type="dxa"/>
            <w:shd w:val="clear" w:color="auto" w:fill="FFC000"/>
          </w:tcPr>
          <w:p w14:paraId="2F1DBDE2" w14:textId="77777777" w:rsidR="004C7180" w:rsidRPr="00150EDC" w:rsidRDefault="004C7180">
            <w:pPr>
              <w:pStyle w:val="TableParagraph"/>
              <w:spacing w:before="0" w:line="240" w:lineRule="auto"/>
              <w:ind w:left="0"/>
              <w:rPr>
                <w:rFonts w:ascii="Times New Roman"/>
                <w:sz w:val="20"/>
              </w:rPr>
            </w:pPr>
          </w:p>
        </w:tc>
        <w:tc>
          <w:tcPr>
            <w:tcW w:w="1803" w:type="dxa"/>
          </w:tcPr>
          <w:p w14:paraId="230A5CBF" w14:textId="77777777" w:rsidR="004C7180" w:rsidRPr="00150EDC" w:rsidRDefault="00CF0754" w:rsidP="00B320C7">
            <w:pPr>
              <w:pStyle w:val="TableParagraph"/>
              <w:numPr>
                <w:ilvl w:val="0"/>
                <w:numId w:val="56"/>
              </w:numPr>
              <w:tabs>
                <w:tab w:val="left" w:pos="826"/>
              </w:tabs>
              <w:spacing w:before="2" w:line="240" w:lineRule="auto"/>
              <w:ind w:right="109"/>
            </w:pPr>
            <w:r w:rsidRPr="007D3144">
              <w:rPr>
                <w:spacing w:val="-2"/>
              </w:rPr>
              <w:t xml:space="preserve">Stress- </w:t>
            </w:r>
            <w:r w:rsidRPr="007D3144">
              <w:rPr>
                <w:spacing w:val="-4"/>
              </w:rPr>
              <w:t xml:space="preserve">test power </w:t>
            </w:r>
            <w:r w:rsidRPr="007D3144">
              <w:rPr>
                <w:spacing w:val="-2"/>
              </w:rPr>
              <w:t xml:space="preserve">calculati ons/toler </w:t>
            </w:r>
            <w:r w:rsidRPr="007D3144">
              <w:rPr>
                <w:spacing w:val="-4"/>
              </w:rPr>
              <w:t xml:space="preserve">ances </w:t>
            </w:r>
            <w:r w:rsidRPr="007D3144">
              <w:rPr>
                <w:spacing w:val="-2"/>
              </w:rPr>
              <w:t>during pre-trial</w:t>
            </w:r>
          </w:p>
          <w:p w14:paraId="5F94D677" w14:textId="77777777" w:rsidR="004C7180" w:rsidRPr="00150EDC" w:rsidRDefault="00CF0754" w:rsidP="00B320C7">
            <w:pPr>
              <w:pStyle w:val="TableParagraph"/>
              <w:numPr>
                <w:ilvl w:val="0"/>
                <w:numId w:val="56"/>
              </w:numPr>
              <w:tabs>
                <w:tab w:val="left" w:pos="825"/>
              </w:tabs>
              <w:spacing w:before="0" w:line="252" w:lineRule="exact"/>
              <w:ind w:left="825" w:hanging="359"/>
            </w:pPr>
            <w:r w:rsidRPr="007D3144">
              <w:rPr>
                <w:spacing w:val="-2"/>
              </w:rPr>
              <w:t>Fortnigh</w:t>
            </w:r>
          </w:p>
          <w:p w14:paraId="6BF46D38" w14:textId="77777777" w:rsidR="004C7180" w:rsidRPr="00150EDC" w:rsidRDefault="00CF0754">
            <w:pPr>
              <w:pStyle w:val="TableParagraph"/>
              <w:tabs>
                <w:tab w:val="left" w:pos="1509"/>
              </w:tabs>
              <w:spacing w:before="0" w:line="240" w:lineRule="auto"/>
              <w:ind w:left="826" w:right="85"/>
            </w:pPr>
            <w:r w:rsidRPr="007D3144">
              <w:rPr>
                <w:spacing w:val="-4"/>
              </w:rPr>
              <w:t xml:space="preserve">tly </w:t>
            </w:r>
            <w:r w:rsidRPr="007D3144">
              <w:rPr>
                <w:spacing w:val="-2"/>
              </w:rPr>
              <w:t xml:space="preserve">monitori </w:t>
            </w:r>
            <w:r w:rsidRPr="007D3144">
              <w:rPr>
                <w:spacing w:val="-6"/>
              </w:rPr>
              <w:t>ng</w:t>
            </w:r>
            <w:r w:rsidRPr="007D3144">
              <w:tab/>
            </w:r>
            <w:r w:rsidRPr="007D3144">
              <w:rPr>
                <w:spacing w:val="-6"/>
              </w:rPr>
              <w:t>to</w:t>
            </w:r>
          </w:p>
          <w:p w14:paraId="1B0EDCF4" w14:textId="77777777" w:rsidR="004C7180" w:rsidRPr="00150EDC" w:rsidRDefault="00CF0754">
            <w:pPr>
              <w:pStyle w:val="TableParagraph"/>
              <w:tabs>
                <w:tab w:val="left" w:pos="1548"/>
              </w:tabs>
              <w:spacing w:before="0" w:line="240" w:lineRule="auto"/>
              <w:ind w:left="826" w:right="85"/>
            </w:pPr>
            <w:r w:rsidRPr="007D3144">
              <w:rPr>
                <w:spacing w:val="-2"/>
              </w:rPr>
              <w:t xml:space="preserve">identify learner attendan </w:t>
            </w:r>
            <w:r w:rsidRPr="007D3144">
              <w:rPr>
                <w:spacing w:val="-5"/>
              </w:rPr>
              <w:t>ce</w:t>
            </w:r>
            <w:r w:rsidRPr="007D3144">
              <w:tab/>
            </w:r>
            <w:r w:rsidRPr="007D3144">
              <w:rPr>
                <w:spacing w:val="-10"/>
              </w:rPr>
              <w:t>&amp;</w:t>
            </w:r>
          </w:p>
          <w:p w14:paraId="243F4DCA" w14:textId="77777777" w:rsidR="004C7180" w:rsidRPr="00150EDC" w:rsidRDefault="00CF0754">
            <w:pPr>
              <w:pStyle w:val="TableParagraph"/>
              <w:spacing w:before="0" w:line="240" w:lineRule="auto"/>
              <w:ind w:left="826" w:right="433"/>
            </w:pPr>
            <w:r w:rsidRPr="007D3144">
              <w:rPr>
                <w:spacing w:val="-2"/>
              </w:rPr>
              <w:t xml:space="preserve">drop- </w:t>
            </w:r>
            <w:r w:rsidRPr="007D3144">
              <w:rPr>
                <w:spacing w:val="-4"/>
              </w:rPr>
              <w:t>outs</w:t>
            </w:r>
          </w:p>
          <w:p w14:paraId="2B980D5C" w14:textId="77777777" w:rsidR="004C7180" w:rsidRPr="00150EDC" w:rsidRDefault="00CF0754" w:rsidP="00B320C7">
            <w:pPr>
              <w:pStyle w:val="TableParagraph"/>
              <w:numPr>
                <w:ilvl w:val="0"/>
                <w:numId w:val="56"/>
              </w:numPr>
              <w:tabs>
                <w:tab w:val="left" w:pos="825"/>
              </w:tabs>
              <w:spacing w:before="0" w:line="252" w:lineRule="exact"/>
              <w:ind w:left="825" w:hanging="359"/>
            </w:pPr>
            <w:r w:rsidRPr="007D3144">
              <w:rPr>
                <w:spacing w:val="-2"/>
              </w:rPr>
              <w:t>Providin</w:t>
            </w:r>
          </w:p>
          <w:p w14:paraId="03454723" w14:textId="77777777" w:rsidR="004C7180" w:rsidRPr="00150EDC" w:rsidRDefault="00CF0754">
            <w:pPr>
              <w:pStyle w:val="TableParagraph"/>
              <w:tabs>
                <w:tab w:val="left" w:pos="1510"/>
              </w:tabs>
              <w:spacing w:before="0" w:line="240" w:lineRule="auto"/>
              <w:ind w:left="826" w:right="85"/>
            </w:pPr>
            <w:r w:rsidRPr="007D3144">
              <w:rPr>
                <w:spacing w:val="-10"/>
              </w:rPr>
              <w:t xml:space="preserve">g </w:t>
            </w:r>
            <w:r w:rsidRPr="007D3144">
              <w:rPr>
                <w:spacing w:val="-2"/>
              </w:rPr>
              <w:t xml:space="preserve">attendan </w:t>
            </w:r>
            <w:r w:rsidRPr="007D3144">
              <w:rPr>
                <w:spacing w:val="-6"/>
              </w:rPr>
              <w:t xml:space="preserve">ce </w:t>
            </w:r>
            <w:r w:rsidRPr="007D3144">
              <w:rPr>
                <w:spacing w:val="-2"/>
              </w:rPr>
              <w:t xml:space="preserve">reminde </w:t>
            </w:r>
            <w:r w:rsidRPr="007D3144">
              <w:rPr>
                <w:spacing w:val="-6"/>
              </w:rPr>
              <w:t>rs</w:t>
            </w:r>
            <w:r w:rsidRPr="007D3144">
              <w:tab/>
            </w:r>
            <w:r w:rsidRPr="007D3144">
              <w:rPr>
                <w:spacing w:val="-6"/>
              </w:rPr>
              <w:t>to</w:t>
            </w:r>
          </w:p>
          <w:p w14:paraId="13C6AC7C" w14:textId="77777777" w:rsidR="004C7180" w:rsidRPr="00150EDC" w:rsidRDefault="00CF0754">
            <w:pPr>
              <w:pStyle w:val="TableParagraph"/>
              <w:spacing w:before="0" w:line="240" w:lineRule="auto"/>
              <w:ind w:left="826" w:right="84"/>
            </w:pPr>
            <w:r w:rsidRPr="007D3144">
              <w:rPr>
                <w:spacing w:val="-2"/>
              </w:rPr>
              <w:t xml:space="preserve">learners </w:t>
            </w:r>
            <w:r w:rsidRPr="007D3144">
              <w:t>via</w:t>
            </w:r>
            <w:r w:rsidRPr="007D3144">
              <w:rPr>
                <w:spacing w:val="-16"/>
              </w:rPr>
              <w:t xml:space="preserve"> </w:t>
            </w:r>
            <w:r w:rsidRPr="007D3144">
              <w:t>email</w:t>
            </w:r>
          </w:p>
          <w:p w14:paraId="47D3CF51" w14:textId="77777777" w:rsidR="004C7180" w:rsidRPr="00150EDC" w:rsidRDefault="00CF0754" w:rsidP="00B320C7">
            <w:pPr>
              <w:pStyle w:val="TableParagraph"/>
              <w:numPr>
                <w:ilvl w:val="0"/>
                <w:numId w:val="56"/>
              </w:numPr>
              <w:tabs>
                <w:tab w:val="left" w:pos="825"/>
              </w:tabs>
              <w:spacing w:before="0" w:line="240" w:lineRule="auto"/>
              <w:ind w:left="825" w:hanging="359"/>
            </w:pPr>
            <w:r w:rsidRPr="007D3144">
              <w:rPr>
                <w:spacing w:val="-2"/>
              </w:rPr>
              <w:t>Offering</w:t>
            </w:r>
          </w:p>
          <w:p w14:paraId="23C51EBC" w14:textId="77777777" w:rsidR="004C7180" w:rsidRPr="00150EDC" w:rsidRDefault="00CF0754">
            <w:pPr>
              <w:pStyle w:val="TableParagraph"/>
              <w:spacing w:before="0" w:line="252" w:lineRule="exact"/>
              <w:ind w:left="826"/>
            </w:pPr>
            <w:r w:rsidRPr="007D3144">
              <w:rPr>
                <w:spacing w:val="-2"/>
              </w:rPr>
              <w:t>catch-up learner</w:t>
            </w:r>
          </w:p>
        </w:tc>
        <w:tc>
          <w:tcPr>
            <w:tcW w:w="1805" w:type="dxa"/>
            <w:shd w:val="clear" w:color="auto" w:fill="92D050"/>
          </w:tcPr>
          <w:p w14:paraId="5C38D0A3" w14:textId="77777777" w:rsidR="004C7180" w:rsidRPr="00150EDC" w:rsidRDefault="004C7180">
            <w:pPr>
              <w:pStyle w:val="TableParagraph"/>
              <w:spacing w:before="0" w:line="240" w:lineRule="auto"/>
              <w:ind w:left="0"/>
              <w:rPr>
                <w:rFonts w:ascii="Times New Roman"/>
                <w:sz w:val="20"/>
              </w:rPr>
            </w:pPr>
          </w:p>
        </w:tc>
      </w:tr>
    </w:tbl>
    <w:p w14:paraId="0B06FD7C" w14:textId="77777777" w:rsidR="004C7180" w:rsidRPr="00150EDC" w:rsidRDefault="004C7180">
      <w:pPr>
        <w:rPr>
          <w:rFonts w:ascii="Times New Roman"/>
          <w:sz w:val="20"/>
        </w:rPr>
        <w:sectPr w:rsidR="004C7180" w:rsidRPr="00150EDC">
          <w:pgSz w:w="11910" w:h="16840"/>
          <w:pgMar w:top="1460" w:right="0" w:bottom="1420" w:left="40" w:header="712" w:footer="1224" w:gutter="0"/>
          <w:cols w:space="720"/>
        </w:sectPr>
      </w:pPr>
    </w:p>
    <w:p w14:paraId="263735DF" w14:textId="77777777" w:rsidR="004C7180" w:rsidRPr="00150EDC" w:rsidRDefault="004C7180">
      <w:pPr>
        <w:pStyle w:val="BodyText"/>
        <w:spacing w:before="4"/>
        <w:rPr>
          <w:sz w:val="26"/>
        </w:rPr>
      </w:pPr>
    </w:p>
    <w:tbl>
      <w:tblPr>
        <w:tblW w:w="0" w:type="auto"/>
        <w:tblInd w:w="15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5"/>
        <w:gridCol w:w="1803"/>
        <w:gridCol w:w="1803"/>
        <w:gridCol w:w="1803"/>
        <w:gridCol w:w="1805"/>
      </w:tblGrid>
      <w:tr w:rsidR="004569EE" w:rsidRPr="007D3144" w14:paraId="7F2C09F8" w14:textId="77777777">
        <w:trPr>
          <w:trHeight w:val="4926"/>
        </w:trPr>
        <w:tc>
          <w:tcPr>
            <w:tcW w:w="1805" w:type="dxa"/>
          </w:tcPr>
          <w:p w14:paraId="2F1A6BDA" w14:textId="77777777" w:rsidR="004C7180" w:rsidRPr="00150EDC" w:rsidRDefault="004C7180">
            <w:pPr>
              <w:pStyle w:val="TableParagraph"/>
              <w:spacing w:before="0" w:line="240" w:lineRule="auto"/>
              <w:ind w:left="0"/>
              <w:rPr>
                <w:rFonts w:ascii="Times New Roman"/>
              </w:rPr>
            </w:pPr>
          </w:p>
        </w:tc>
        <w:tc>
          <w:tcPr>
            <w:tcW w:w="1803" w:type="dxa"/>
            <w:shd w:val="clear" w:color="auto" w:fill="FFC000"/>
          </w:tcPr>
          <w:p w14:paraId="23A85ABF" w14:textId="77777777" w:rsidR="004C7180" w:rsidRPr="00150EDC" w:rsidRDefault="004C7180">
            <w:pPr>
              <w:pStyle w:val="TableParagraph"/>
              <w:spacing w:before="0" w:line="240" w:lineRule="auto"/>
              <w:ind w:left="0"/>
              <w:rPr>
                <w:rFonts w:ascii="Times New Roman"/>
              </w:rPr>
            </w:pPr>
          </w:p>
        </w:tc>
        <w:tc>
          <w:tcPr>
            <w:tcW w:w="1803" w:type="dxa"/>
            <w:shd w:val="clear" w:color="auto" w:fill="FFC000"/>
          </w:tcPr>
          <w:p w14:paraId="0CAE0EFB" w14:textId="77777777" w:rsidR="004C7180" w:rsidRPr="00150EDC" w:rsidRDefault="004C7180">
            <w:pPr>
              <w:pStyle w:val="TableParagraph"/>
              <w:spacing w:before="0" w:line="240" w:lineRule="auto"/>
              <w:ind w:left="0"/>
              <w:rPr>
                <w:rFonts w:ascii="Times New Roman"/>
              </w:rPr>
            </w:pPr>
          </w:p>
        </w:tc>
        <w:tc>
          <w:tcPr>
            <w:tcW w:w="1803" w:type="dxa"/>
          </w:tcPr>
          <w:p w14:paraId="0C817280" w14:textId="77777777" w:rsidR="004C7180" w:rsidRPr="00150EDC" w:rsidRDefault="00CF0754">
            <w:pPr>
              <w:pStyle w:val="TableParagraph"/>
              <w:spacing w:before="0" w:line="252" w:lineRule="exact"/>
              <w:ind w:left="826"/>
            </w:pPr>
            <w:r w:rsidRPr="007D3144">
              <w:rPr>
                <w:spacing w:val="-2"/>
              </w:rPr>
              <w:t>sessions</w:t>
            </w:r>
          </w:p>
          <w:p w14:paraId="5D125EA2" w14:textId="77777777" w:rsidR="004C7180" w:rsidRPr="00150EDC" w:rsidRDefault="00CF0754">
            <w:pPr>
              <w:pStyle w:val="TableParagraph"/>
              <w:spacing w:before="0" w:line="240" w:lineRule="auto"/>
              <w:ind w:left="826" w:right="85"/>
              <w:jc w:val="both"/>
            </w:pPr>
            <w:r w:rsidRPr="007D3144">
              <w:t xml:space="preserve">, where </w:t>
            </w:r>
            <w:r w:rsidRPr="007D3144">
              <w:rPr>
                <w:spacing w:val="-2"/>
              </w:rPr>
              <w:t xml:space="preserve">applicab </w:t>
            </w:r>
            <w:r w:rsidRPr="007D3144">
              <w:rPr>
                <w:spacing w:val="-6"/>
              </w:rPr>
              <w:t>le</w:t>
            </w:r>
          </w:p>
          <w:p w14:paraId="24C5474B" w14:textId="77777777" w:rsidR="004C7180" w:rsidRPr="00150EDC" w:rsidRDefault="00CF0754">
            <w:pPr>
              <w:pStyle w:val="TableParagraph"/>
              <w:tabs>
                <w:tab w:val="left" w:pos="1008"/>
                <w:tab w:val="left" w:pos="1181"/>
                <w:tab w:val="left" w:pos="1390"/>
                <w:tab w:val="left" w:pos="1510"/>
              </w:tabs>
              <w:spacing w:before="1" w:line="240" w:lineRule="auto"/>
              <w:ind w:left="106" w:right="85"/>
            </w:pPr>
            <w:r w:rsidRPr="007D3144">
              <w:rPr>
                <w:b/>
                <w:spacing w:val="-2"/>
              </w:rPr>
              <w:t>Tribal</w:t>
            </w:r>
            <w:r w:rsidRPr="007D3144">
              <w:rPr>
                <w:b/>
              </w:rPr>
              <w:tab/>
            </w:r>
            <w:r w:rsidRPr="007D3144">
              <w:rPr>
                <w:b/>
              </w:rPr>
              <w:tab/>
            </w:r>
            <w:r w:rsidRPr="007D3144">
              <w:rPr>
                <w:b/>
              </w:rPr>
              <w:tab/>
            </w:r>
            <w:r w:rsidRPr="007D3144">
              <w:rPr>
                <w:spacing w:val="-4"/>
              </w:rPr>
              <w:t xml:space="preserve">will </w:t>
            </w:r>
            <w:r w:rsidRPr="007D3144">
              <w:t>support</w:t>
            </w:r>
            <w:r w:rsidRPr="007D3144">
              <w:rPr>
                <w:spacing w:val="10"/>
              </w:rPr>
              <w:t xml:space="preserve"> </w:t>
            </w:r>
            <w:r w:rsidRPr="007D3144">
              <w:t xml:space="preserve">through </w:t>
            </w:r>
            <w:r w:rsidRPr="007D3144">
              <w:rPr>
                <w:spacing w:val="-2"/>
              </w:rPr>
              <w:t>ensuring contingency within</w:t>
            </w:r>
            <w:r w:rsidRPr="007D3144">
              <w:tab/>
            </w:r>
            <w:r w:rsidRPr="007D3144">
              <w:rPr>
                <w:spacing w:val="-2"/>
              </w:rPr>
              <w:t>learner targets; monitoring</w:t>
            </w:r>
            <w:r w:rsidRPr="007D3144">
              <w:tab/>
            </w:r>
            <w:r w:rsidRPr="007D3144">
              <w:tab/>
            </w:r>
            <w:r w:rsidRPr="007D3144">
              <w:tab/>
            </w:r>
            <w:r w:rsidRPr="007D3144">
              <w:rPr>
                <w:spacing w:val="-60"/>
              </w:rPr>
              <w:t xml:space="preserve"> </w:t>
            </w:r>
            <w:r w:rsidRPr="007D3144">
              <w:rPr>
                <w:spacing w:val="-6"/>
              </w:rPr>
              <w:t xml:space="preserve">of </w:t>
            </w:r>
            <w:r w:rsidRPr="007D3144">
              <w:rPr>
                <w:spacing w:val="-2"/>
              </w:rPr>
              <w:t>learner attendance</w:t>
            </w:r>
            <w:r w:rsidRPr="007D3144">
              <w:tab/>
            </w:r>
            <w:r w:rsidRPr="007D3144">
              <w:tab/>
            </w:r>
            <w:r w:rsidRPr="007D3144">
              <w:rPr>
                <w:spacing w:val="-39"/>
              </w:rPr>
              <w:t xml:space="preserve"> </w:t>
            </w:r>
            <w:r w:rsidRPr="007D3144">
              <w:rPr>
                <w:spacing w:val="-2"/>
              </w:rPr>
              <w:t>via provider reporting fortnightly</w:t>
            </w:r>
            <w:r w:rsidRPr="007D3144">
              <w:tab/>
            </w:r>
            <w:r w:rsidRPr="007D3144">
              <w:tab/>
            </w:r>
            <w:r w:rsidRPr="007D3144">
              <w:tab/>
            </w:r>
            <w:r w:rsidRPr="007D3144">
              <w:rPr>
                <w:spacing w:val="-6"/>
              </w:rPr>
              <w:t xml:space="preserve">to </w:t>
            </w:r>
            <w:r w:rsidRPr="007D3144">
              <w:rPr>
                <w:spacing w:val="-2"/>
              </w:rPr>
              <w:t>early</w:t>
            </w:r>
            <w:r w:rsidRPr="007D3144">
              <w:tab/>
            </w:r>
            <w:r w:rsidRPr="007D3144">
              <w:tab/>
            </w:r>
            <w:r w:rsidRPr="007D3144">
              <w:rPr>
                <w:spacing w:val="-4"/>
              </w:rPr>
              <w:t xml:space="preserve">issue </w:t>
            </w:r>
            <w:r w:rsidRPr="007D3144">
              <w:rPr>
                <w:spacing w:val="-2"/>
              </w:rPr>
              <w:t>identification/mit igation</w:t>
            </w:r>
          </w:p>
        </w:tc>
        <w:tc>
          <w:tcPr>
            <w:tcW w:w="1805" w:type="dxa"/>
            <w:shd w:val="clear" w:color="auto" w:fill="92D050"/>
          </w:tcPr>
          <w:p w14:paraId="3F4CC4F0" w14:textId="77777777" w:rsidR="004C7180" w:rsidRPr="00150EDC" w:rsidRDefault="004C7180">
            <w:pPr>
              <w:pStyle w:val="TableParagraph"/>
              <w:spacing w:before="0" w:line="240" w:lineRule="auto"/>
              <w:ind w:left="0"/>
              <w:rPr>
                <w:rFonts w:ascii="Times New Roman"/>
              </w:rPr>
            </w:pPr>
          </w:p>
        </w:tc>
      </w:tr>
      <w:tr w:rsidR="004569EE" w:rsidRPr="007D3144" w14:paraId="5D6C2696" w14:textId="77777777">
        <w:trPr>
          <w:trHeight w:val="5819"/>
        </w:trPr>
        <w:tc>
          <w:tcPr>
            <w:tcW w:w="1805" w:type="dxa"/>
          </w:tcPr>
          <w:p w14:paraId="578766AE" w14:textId="77777777" w:rsidR="004C7180" w:rsidRPr="00150EDC" w:rsidRDefault="00CF0754">
            <w:pPr>
              <w:pStyle w:val="TableParagraph"/>
              <w:spacing w:before="0" w:line="240" w:lineRule="auto"/>
              <w:ind w:left="107" w:right="170"/>
            </w:pPr>
            <w:r w:rsidRPr="00150EDC">
              <w:rPr>
                <w:spacing w:val="-2"/>
              </w:rPr>
              <w:t xml:space="preserve">Cross- contamination </w:t>
            </w:r>
            <w:r w:rsidRPr="00150EDC">
              <w:t xml:space="preserve">of learners </w:t>
            </w:r>
            <w:r w:rsidRPr="00150EDC">
              <w:rPr>
                <w:spacing w:val="-2"/>
              </w:rPr>
              <w:t>across/within trials</w:t>
            </w:r>
          </w:p>
        </w:tc>
        <w:tc>
          <w:tcPr>
            <w:tcW w:w="1803" w:type="dxa"/>
            <w:shd w:val="clear" w:color="auto" w:fill="FFC000"/>
          </w:tcPr>
          <w:p w14:paraId="007AF728" w14:textId="77777777" w:rsidR="004C7180" w:rsidRPr="00150EDC" w:rsidRDefault="004C7180">
            <w:pPr>
              <w:pStyle w:val="TableParagraph"/>
              <w:spacing w:before="0" w:line="240" w:lineRule="auto"/>
              <w:ind w:left="0"/>
              <w:rPr>
                <w:rFonts w:ascii="Times New Roman"/>
              </w:rPr>
            </w:pPr>
          </w:p>
        </w:tc>
        <w:tc>
          <w:tcPr>
            <w:tcW w:w="1803" w:type="dxa"/>
            <w:shd w:val="clear" w:color="auto" w:fill="FF0000"/>
          </w:tcPr>
          <w:p w14:paraId="08687A20" w14:textId="77777777" w:rsidR="004C7180" w:rsidRPr="00150EDC" w:rsidRDefault="004C7180">
            <w:pPr>
              <w:pStyle w:val="TableParagraph"/>
              <w:spacing w:before="0" w:line="240" w:lineRule="auto"/>
              <w:ind w:left="0"/>
              <w:rPr>
                <w:rFonts w:ascii="Times New Roman"/>
              </w:rPr>
            </w:pPr>
          </w:p>
        </w:tc>
        <w:tc>
          <w:tcPr>
            <w:tcW w:w="1803" w:type="dxa"/>
          </w:tcPr>
          <w:p w14:paraId="2B21C0C5" w14:textId="77777777" w:rsidR="004C7180" w:rsidRPr="00150EDC" w:rsidRDefault="00CF0754" w:rsidP="00B320C7">
            <w:pPr>
              <w:pStyle w:val="TableParagraph"/>
              <w:numPr>
                <w:ilvl w:val="0"/>
                <w:numId w:val="55"/>
              </w:numPr>
              <w:tabs>
                <w:tab w:val="left" w:pos="826"/>
              </w:tabs>
              <w:spacing w:before="0" w:line="240" w:lineRule="auto"/>
              <w:ind w:right="86"/>
            </w:pPr>
            <w:r w:rsidRPr="007D3144">
              <w:rPr>
                <w:spacing w:val="-2"/>
              </w:rPr>
              <w:t xml:space="preserve">Learner self- declarati </w:t>
            </w:r>
            <w:r w:rsidRPr="007D3144">
              <w:t>ons</w:t>
            </w:r>
            <w:r w:rsidRPr="007D3144">
              <w:rPr>
                <w:spacing w:val="40"/>
              </w:rPr>
              <w:t xml:space="preserve"> </w:t>
            </w:r>
            <w:r w:rsidRPr="007D3144">
              <w:t xml:space="preserve">and </w:t>
            </w:r>
            <w:r w:rsidRPr="007D3144">
              <w:rPr>
                <w:spacing w:val="-2"/>
              </w:rPr>
              <w:t>trial briefings</w:t>
            </w:r>
          </w:p>
          <w:p w14:paraId="48ED0BD0" w14:textId="77777777" w:rsidR="004C7180" w:rsidRPr="00150EDC" w:rsidRDefault="00CF0754" w:rsidP="00B320C7">
            <w:pPr>
              <w:pStyle w:val="TableParagraph"/>
              <w:numPr>
                <w:ilvl w:val="0"/>
                <w:numId w:val="55"/>
              </w:numPr>
              <w:tabs>
                <w:tab w:val="left" w:pos="825"/>
              </w:tabs>
              <w:spacing w:before="1" w:line="252" w:lineRule="exact"/>
              <w:ind w:left="825" w:hanging="359"/>
            </w:pPr>
            <w:r w:rsidRPr="007D3144">
              <w:rPr>
                <w:spacing w:val="-2"/>
              </w:rPr>
              <w:t>Provider</w:t>
            </w:r>
          </w:p>
          <w:p w14:paraId="48EAFC46" w14:textId="77777777" w:rsidR="004C7180" w:rsidRPr="00150EDC" w:rsidRDefault="00CF0754">
            <w:pPr>
              <w:pStyle w:val="TableParagraph"/>
              <w:spacing w:before="0" w:line="240" w:lineRule="auto"/>
              <w:ind w:left="826" w:right="169"/>
            </w:pPr>
            <w:r w:rsidRPr="007D3144">
              <w:rPr>
                <w:spacing w:val="-2"/>
              </w:rPr>
              <w:t xml:space="preserve">pre-trial cross- checks </w:t>
            </w:r>
            <w:r w:rsidRPr="007D3144">
              <w:rPr>
                <w:spacing w:val="-4"/>
              </w:rPr>
              <w:t xml:space="preserve">and </w:t>
            </w:r>
            <w:r w:rsidRPr="007D3144">
              <w:rPr>
                <w:spacing w:val="-2"/>
              </w:rPr>
              <w:t xml:space="preserve">ongoing monitori </w:t>
            </w:r>
            <w:r w:rsidRPr="007D3144">
              <w:rPr>
                <w:spacing w:val="-6"/>
              </w:rPr>
              <w:t>ng</w:t>
            </w:r>
          </w:p>
          <w:p w14:paraId="79DCD328" w14:textId="77777777" w:rsidR="004C7180" w:rsidRPr="00150EDC" w:rsidRDefault="00CF0754" w:rsidP="00B320C7">
            <w:pPr>
              <w:pStyle w:val="TableParagraph"/>
              <w:numPr>
                <w:ilvl w:val="0"/>
                <w:numId w:val="55"/>
              </w:numPr>
              <w:tabs>
                <w:tab w:val="left" w:pos="826"/>
                <w:tab w:val="left" w:pos="1510"/>
              </w:tabs>
              <w:spacing w:before="0" w:line="240" w:lineRule="auto"/>
              <w:ind w:right="87"/>
            </w:pPr>
            <w:r w:rsidRPr="007D3144">
              <w:rPr>
                <w:spacing w:val="-2"/>
              </w:rPr>
              <w:t xml:space="preserve">Tribal validatio </w:t>
            </w:r>
            <w:r w:rsidRPr="007D3144">
              <w:rPr>
                <w:spacing w:val="-10"/>
              </w:rPr>
              <w:t>n</w:t>
            </w:r>
            <w:r w:rsidRPr="007D3144">
              <w:tab/>
            </w:r>
            <w:r w:rsidRPr="007D3144">
              <w:rPr>
                <w:spacing w:val="-5"/>
              </w:rPr>
              <w:t>of</w:t>
            </w:r>
          </w:p>
          <w:p w14:paraId="279D9B8C" w14:textId="77777777" w:rsidR="004C7180" w:rsidRPr="00150EDC" w:rsidRDefault="00CF0754">
            <w:pPr>
              <w:pStyle w:val="TableParagraph"/>
              <w:spacing w:before="0" w:line="240" w:lineRule="auto"/>
              <w:ind w:left="826" w:right="96"/>
            </w:pPr>
            <w:r w:rsidRPr="007D3144">
              <w:rPr>
                <w:spacing w:val="-2"/>
              </w:rPr>
              <w:t xml:space="preserve">provider </w:t>
            </w:r>
            <w:r w:rsidRPr="007D3144">
              <w:rPr>
                <w:spacing w:val="-6"/>
              </w:rPr>
              <w:t xml:space="preserve">s’ </w:t>
            </w:r>
            <w:r w:rsidRPr="007D3144">
              <w:rPr>
                <w:spacing w:val="-2"/>
              </w:rPr>
              <w:t xml:space="preserve">learners, </w:t>
            </w:r>
            <w:r w:rsidRPr="007D3144">
              <w:rPr>
                <w:spacing w:val="-4"/>
              </w:rPr>
              <w:t xml:space="preserve">plus </w:t>
            </w:r>
            <w:r w:rsidRPr="007D3144">
              <w:rPr>
                <w:spacing w:val="-2"/>
              </w:rPr>
              <w:t>spot-</w:t>
            </w:r>
          </w:p>
          <w:p w14:paraId="646500A1" w14:textId="77777777" w:rsidR="004C7180" w:rsidRPr="00150EDC" w:rsidRDefault="00CF0754">
            <w:pPr>
              <w:pStyle w:val="TableParagraph"/>
              <w:spacing w:before="0" w:line="234" w:lineRule="exact"/>
              <w:ind w:left="826"/>
            </w:pPr>
            <w:r w:rsidRPr="007D3144">
              <w:rPr>
                <w:spacing w:val="-2"/>
              </w:rPr>
              <w:t>checks</w:t>
            </w:r>
          </w:p>
        </w:tc>
        <w:tc>
          <w:tcPr>
            <w:tcW w:w="1805" w:type="dxa"/>
            <w:shd w:val="clear" w:color="auto" w:fill="FFC000"/>
          </w:tcPr>
          <w:p w14:paraId="11D6183A" w14:textId="77777777" w:rsidR="004C7180" w:rsidRPr="00150EDC" w:rsidRDefault="004C7180">
            <w:pPr>
              <w:pStyle w:val="TableParagraph"/>
              <w:spacing w:before="0" w:line="240" w:lineRule="auto"/>
              <w:ind w:left="0"/>
              <w:rPr>
                <w:rFonts w:ascii="Times New Roman"/>
              </w:rPr>
            </w:pPr>
          </w:p>
        </w:tc>
      </w:tr>
    </w:tbl>
    <w:p w14:paraId="19112734" w14:textId="77777777" w:rsidR="004C7180" w:rsidRPr="00150EDC" w:rsidRDefault="004C7180">
      <w:pPr>
        <w:pStyle w:val="BodyText"/>
        <w:spacing w:before="8"/>
        <w:rPr>
          <w:sz w:val="18"/>
        </w:rPr>
      </w:pPr>
    </w:p>
    <w:p w14:paraId="4219C025" w14:textId="77777777" w:rsidR="004C7180" w:rsidRPr="00150EDC" w:rsidRDefault="00CF0754">
      <w:pPr>
        <w:pStyle w:val="BodyText"/>
        <w:spacing w:before="92" w:line="278" w:lineRule="auto"/>
        <w:ind w:left="1400" w:right="673"/>
      </w:pPr>
      <w:r w:rsidRPr="007D3144">
        <w:t>The risk register is a live document, reviewed on a weekly basis, to identify new and emerging risks, update risk scores and remove risks which no longer apply.</w:t>
      </w:r>
    </w:p>
    <w:p w14:paraId="70ED2581" w14:textId="77777777" w:rsidR="004C7180" w:rsidRPr="00150EDC" w:rsidRDefault="004C7180">
      <w:pPr>
        <w:pStyle w:val="BodyText"/>
        <w:rPr>
          <w:sz w:val="26"/>
        </w:rPr>
      </w:pPr>
    </w:p>
    <w:p w14:paraId="54C4AC70" w14:textId="77777777" w:rsidR="004C7180" w:rsidRPr="00150EDC" w:rsidRDefault="004C7180">
      <w:pPr>
        <w:pStyle w:val="BodyText"/>
        <w:rPr>
          <w:sz w:val="26"/>
        </w:rPr>
      </w:pPr>
    </w:p>
    <w:p w14:paraId="18183828" w14:textId="77777777" w:rsidR="004C7180" w:rsidRPr="00150EDC" w:rsidRDefault="00CF0754">
      <w:pPr>
        <w:spacing w:before="216"/>
        <w:ind w:left="1400"/>
        <w:rPr>
          <w:i/>
          <w:sz w:val="24"/>
        </w:rPr>
      </w:pPr>
      <w:r w:rsidRPr="007D3144">
        <w:rPr>
          <w:i/>
          <w:sz w:val="24"/>
        </w:rPr>
        <w:t>Stakeholder</w:t>
      </w:r>
      <w:r w:rsidRPr="007D3144">
        <w:rPr>
          <w:i/>
          <w:spacing w:val="-6"/>
          <w:sz w:val="24"/>
        </w:rPr>
        <w:t xml:space="preserve"> </w:t>
      </w:r>
      <w:r w:rsidRPr="007D3144">
        <w:rPr>
          <w:i/>
          <w:spacing w:val="-2"/>
          <w:sz w:val="24"/>
        </w:rPr>
        <w:t>management</w:t>
      </w:r>
    </w:p>
    <w:p w14:paraId="742F067C" w14:textId="77777777" w:rsidR="004C7180" w:rsidRPr="00150EDC" w:rsidRDefault="004C7180">
      <w:pPr>
        <w:rPr>
          <w:sz w:val="24"/>
        </w:rPr>
        <w:sectPr w:rsidR="004C7180" w:rsidRPr="00150EDC">
          <w:pgSz w:w="11910" w:h="16840"/>
          <w:pgMar w:top="1460" w:right="0" w:bottom="1420" w:left="40" w:header="712" w:footer="1224" w:gutter="0"/>
          <w:cols w:space="720"/>
        </w:sectPr>
      </w:pPr>
    </w:p>
    <w:p w14:paraId="4B18A67A" w14:textId="77777777" w:rsidR="004C7180" w:rsidRPr="00150EDC" w:rsidRDefault="004C7180">
      <w:pPr>
        <w:pStyle w:val="BodyText"/>
        <w:spacing w:before="4"/>
        <w:rPr>
          <w:i/>
          <w:sz w:val="18"/>
        </w:rPr>
      </w:pPr>
    </w:p>
    <w:p w14:paraId="0BB771A9" w14:textId="77777777" w:rsidR="004C7180" w:rsidRPr="00150EDC" w:rsidRDefault="00CF0754">
      <w:pPr>
        <w:pStyle w:val="BodyText"/>
        <w:spacing w:before="93" w:line="276" w:lineRule="auto"/>
        <w:ind w:left="1400" w:right="1436"/>
        <w:jc w:val="both"/>
      </w:pPr>
      <w:r w:rsidRPr="007D3144">
        <w:t>Led by the Project Manager in conjunction with the Project Director, we will adopt a structured approach to stakeholder engagement for this trial:</w:t>
      </w:r>
    </w:p>
    <w:p w14:paraId="179023FC" w14:textId="77777777" w:rsidR="004C7180" w:rsidRPr="00150EDC" w:rsidRDefault="00CF0754" w:rsidP="00B320C7">
      <w:pPr>
        <w:pStyle w:val="ListParagraph"/>
        <w:numPr>
          <w:ilvl w:val="0"/>
          <w:numId w:val="54"/>
        </w:numPr>
        <w:tabs>
          <w:tab w:val="left" w:pos="2119"/>
        </w:tabs>
        <w:spacing w:line="275" w:lineRule="exact"/>
        <w:ind w:left="2119" w:hanging="359"/>
        <w:rPr>
          <w:sz w:val="24"/>
        </w:rPr>
      </w:pPr>
      <w:r w:rsidRPr="007D3144">
        <w:rPr>
          <w:sz w:val="24"/>
        </w:rPr>
        <w:t>Identifying</w:t>
      </w:r>
      <w:r w:rsidRPr="007D3144">
        <w:rPr>
          <w:spacing w:val="-6"/>
          <w:sz w:val="24"/>
        </w:rPr>
        <w:t xml:space="preserve"> </w:t>
      </w:r>
      <w:r w:rsidRPr="007D3144">
        <w:rPr>
          <w:sz w:val="24"/>
        </w:rPr>
        <w:t>and</w:t>
      </w:r>
      <w:r w:rsidRPr="007D3144">
        <w:rPr>
          <w:spacing w:val="-4"/>
          <w:sz w:val="24"/>
        </w:rPr>
        <w:t xml:space="preserve"> </w:t>
      </w:r>
      <w:r w:rsidRPr="007D3144">
        <w:rPr>
          <w:sz w:val="24"/>
        </w:rPr>
        <w:t>prioritising</w:t>
      </w:r>
      <w:r w:rsidRPr="007D3144">
        <w:rPr>
          <w:spacing w:val="-2"/>
          <w:sz w:val="24"/>
        </w:rPr>
        <w:t xml:space="preserve"> </w:t>
      </w:r>
      <w:r w:rsidRPr="007D3144">
        <w:rPr>
          <w:sz w:val="24"/>
        </w:rPr>
        <w:t>stakeholder</w:t>
      </w:r>
      <w:r w:rsidRPr="007D3144">
        <w:rPr>
          <w:spacing w:val="-6"/>
          <w:sz w:val="24"/>
        </w:rPr>
        <w:t xml:space="preserve"> </w:t>
      </w:r>
      <w:r w:rsidRPr="007D3144">
        <w:rPr>
          <w:sz w:val="24"/>
        </w:rPr>
        <w:t>groups,</w:t>
      </w:r>
      <w:r w:rsidRPr="007D3144">
        <w:rPr>
          <w:spacing w:val="-5"/>
          <w:sz w:val="24"/>
        </w:rPr>
        <w:t xml:space="preserve"> </w:t>
      </w:r>
      <w:r w:rsidRPr="007D3144">
        <w:rPr>
          <w:sz w:val="24"/>
        </w:rPr>
        <w:t>which</w:t>
      </w:r>
      <w:r w:rsidRPr="007D3144">
        <w:rPr>
          <w:spacing w:val="-2"/>
          <w:sz w:val="24"/>
        </w:rPr>
        <w:t xml:space="preserve"> </w:t>
      </w:r>
      <w:r w:rsidRPr="007D3144">
        <w:rPr>
          <w:sz w:val="24"/>
        </w:rPr>
        <w:t>for</w:t>
      </w:r>
      <w:r w:rsidRPr="007D3144">
        <w:rPr>
          <w:spacing w:val="-4"/>
          <w:sz w:val="24"/>
        </w:rPr>
        <w:t xml:space="preserve"> </w:t>
      </w:r>
      <w:r w:rsidRPr="007D3144">
        <w:rPr>
          <w:sz w:val="24"/>
        </w:rPr>
        <w:t>this</w:t>
      </w:r>
      <w:r w:rsidRPr="007D3144">
        <w:rPr>
          <w:spacing w:val="-3"/>
          <w:sz w:val="24"/>
        </w:rPr>
        <w:t xml:space="preserve"> </w:t>
      </w:r>
      <w:r w:rsidRPr="007D3144">
        <w:rPr>
          <w:sz w:val="24"/>
        </w:rPr>
        <w:t>trial</w:t>
      </w:r>
      <w:r w:rsidRPr="007D3144">
        <w:rPr>
          <w:spacing w:val="-3"/>
          <w:sz w:val="24"/>
        </w:rPr>
        <w:t xml:space="preserve"> </w:t>
      </w:r>
      <w:r w:rsidRPr="007D3144">
        <w:rPr>
          <w:sz w:val="24"/>
        </w:rPr>
        <w:t>will</w:t>
      </w:r>
      <w:r w:rsidRPr="007D3144">
        <w:rPr>
          <w:spacing w:val="-2"/>
          <w:sz w:val="24"/>
        </w:rPr>
        <w:t xml:space="preserve"> include:</w:t>
      </w:r>
    </w:p>
    <w:p w14:paraId="0FC127E2" w14:textId="77777777" w:rsidR="004C7180" w:rsidRPr="00150EDC" w:rsidRDefault="00CF0754" w:rsidP="00B320C7">
      <w:pPr>
        <w:pStyle w:val="ListParagraph"/>
        <w:numPr>
          <w:ilvl w:val="1"/>
          <w:numId w:val="54"/>
        </w:numPr>
        <w:tabs>
          <w:tab w:val="left" w:pos="2839"/>
        </w:tabs>
        <w:spacing w:before="40"/>
        <w:ind w:left="2839" w:hanging="359"/>
        <w:rPr>
          <w:sz w:val="24"/>
        </w:rPr>
      </w:pPr>
      <w:r w:rsidRPr="007D3144">
        <w:rPr>
          <w:spacing w:val="-5"/>
          <w:sz w:val="24"/>
        </w:rPr>
        <w:t>DfE</w:t>
      </w:r>
    </w:p>
    <w:p w14:paraId="0023B876" w14:textId="77777777" w:rsidR="004C7180" w:rsidRPr="00150EDC" w:rsidRDefault="00CF0754" w:rsidP="00B320C7">
      <w:pPr>
        <w:pStyle w:val="ListParagraph"/>
        <w:numPr>
          <w:ilvl w:val="1"/>
          <w:numId w:val="54"/>
        </w:numPr>
        <w:tabs>
          <w:tab w:val="left" w:pos="2839"/>
        </w:tabs>
        <w:spacing w:before="22"/>
        <w:ind w:left="2839" w:hanging="359"/>
        <w:rPr>
          <w:sz w:val="24"/>
        </w:rPr>
      </w:pPr>
      <w:r w:rsidRPr="007D3144">
        <w:rPr>
          <w:sz w:val="24"/>
        </w:rPr>
        <w:t>Evaluation</w:t>
      </w:r>
      <w:r w:rsidRPr="007D3144">
        <w:rPr>
          <w:spacing w:val="-3"/>
          <w:sz w:val="24"/>
        </w:rPr>
        <w:t xml:space="preserve"> </w:t>
      </w:r>
      <w:r w:rsidRPr="007D3144">
        <w:rPr>
          <w:spacing w:val="-2"/>
          <w:sz w:val="24"/>
        </w:rPr>
        <w:t>provider</w:t>
      </w:r>
    </w:p>
    <w:p w14:paraId="7568328C" w14:textId="77777777" w:rsidR="004C7180" w:rsidRPr="00150EDC" w:rsidRDefault="00CF0754" w:rsidP="00B320C7">
      <w:pPr>
        <w:pStyle w:val="ListParagraph"/>
        <w:numPr>
          <w:ilvl w:val="1"/>
          <w:numId w:val="54"/>
        </w:numPr>
        <w:tabs>
          <w:tab w:val="left" w:pos="2839"/>
        </w:tabs>
        <w:spacing w:before="20"/>
        <w:ind w:left="2839" w:hanging="359"/>
        <w:rPr>
          <w:sz w:val="24"/>
        </w:rPr>
      </w:pPr>
      <w:r w:rsidRPr="007D3144">
        <w:rPr>
          <w:sz w:val="24"/>
        </w:rPr>
        <w:t>Product</w:t>
      </w:r>
      <w:r w:rsidRPr="007D3144">
        <w:rPr>
          <w:spacing w:val="-6"/>
          <w:sz w:val="24"/>
        </w:rPr>
        <w:t xml:space="preserve"> </w:t>
      </w:r>
      <w:r w:rsidRPr="007D3144">
        <w:rPr>
          <w:sz w:val="24"/>
        </w:rPr>
        <w:t>development</w:t>
      </w:r>
      <w:r w:rsidRPr="007D3144">
        <w:rPr>
          <w:spacing w:val="-2"/>
          <w:sz w:val="24"/>
        </w:rPr>
        <w:t xml:space="preserve"> supplier</w:t>
      </w:r>
    </w:p>
    <w:p w14:paraId="39682118" w14:textId="77777777" w:rsidR="004C7180" w:rsidRPr="00150EDC" w:rsidRDefault="00CF0754" w:rsidP="00B320C7">
      <w:pPr>
        <w:pStyle w:val="ListParagraph"/>
        <w:numPr>
          <w:ilvl w:val="1"/>
          <w:numId w:val="54"/>
        </w:numPr>
        <w:tabs>
          <w:tab w:val="left" w:pos="2839"/>
        </w:tabs>
        <w:spacing w:before="20"/>
        <w:ind w:left="2839" w:hanging="359"/>
        <w:rPr>
          <w:sz w:val="24"/>
        </w:rPr>
      </w:pPr>
      <w:r w:rsidRPr="007D3144">
        <w:rPr>
          <w:sz w:val="24"/>
        </w:rPr>
        <w:t>The</w:t>
      </w:r>
      <w:r w:rsidRPr="007D3144">
        <w:rPr>
          <w:spacing w:val="-2"/>
          <w:sz w:val="24"/>
        </w:rPr>
        <w:t xml:space="preserve"> </w:t>
      </w:r>
      <w:r w:rsidRPr="007D3144">
        <w:rPr>
          <w:sz w:val="24"/>
        </w:rPr>
        <w:t>five</w:t>
      </w:r>
      <w:r w:rsidRPr="007D3144">
        <w:rPr>
          <w:spacing w:val="-1"/>
          <w:sz w:val="24"/>
        </w:rPr>
        <w:t xml:space="preserve"> </w:t>
      </w:r>
      <w:r w:rsidRPr="007D3144">
        <w:rPr>
          <w:sz w:val="24"/>
        </w:rPr>
        <w:t>MCAs</w:t>
      </w:r>
      <w:r w:rsidRPr="007D3144">
        <w:rPr>
          <w:spacing w:val="-3"/>
          <w:sz w:val="24"/>
        </w:rPr>
        <w:t xml:space="preserve"> </w:t>
      </w:r>
      <w:r w:rsidRPr="007D3144">
        <w:rPr>
          <w:sz w:val="24"/>
        </w:rPr>
        <w:t>who</w:t>
      </w:r>
      <w:r w:rsidRPr="007D3144">
        <w:rPr>
          <w:spacing w:val="-1"/>
          <w:sz w:val="24"/>
        </w:rPr>
        <w:t xml:space="preserve"> </w:t>
      </w:r>
      <w:r w:rsidRPr="007D3144">
        <w:rPr>
          <w:sz w:val="24"/>
        </w:rPr>
        <w:t>will</w:t>
      </w:r>
      <w:r w:rsidRPr="007D3144">
        <w:rPr>
          <w:spacing w:val="-3"/>
          <w:sz w:val="24"/>
        </w:rPr>
        <w:t xml:space="preserve"> </w:t>
      </w:r>
      <w:r w:rsidRPr="007D3144">
        <w:rPr>
          <w:sz w:val="24"/>
        </w:rPr>
        <w:t>aggregate</w:t>
      </w:r>
      <w:r w:rsidRPr="007D3144">
        <w:rPr>
          <w:spacing w:val="-1"/>
          <w:sz w:val="24"/>
        </w:rPr>
        <w:t xml:space="preserve"> </w:t>
      </w:r>
      <w:r w:rsidRPr="007D3144">
        <w:rPr>
          <w:sz w:val="24"/>
        </w:rPr>
        <w:t>50</w:t>
      </w:r>
      <w:r w:rsidRPr="007D3144">
        <w:rPr>
          <w:spacing w:val="-1"/>
          <w:sz w:val="24"/>
        </w:rPr>
        <w:t xml:space="preserve"> </w:t>
      </w:r>
      <w:r w:rsidRPr="007D3144">
        <w:rPr>
          <w:spacing w:val="-2"/>
          <w:sz w:val="24"/>
        </w:rPr>
        <w:t>providers</w:t>
      </w:r>
    </w:p>
    <w:p w14:paraId="6ACA5DB9" w14:textId="77777777" w:rsidR="004C7180" w:rsidRPr="00150EDC" w:rsidRDefault="00CF0754" w:rsidP="00B320C7">
      <w:pPr>
        <w:pStyle w:val="ListParagraph"/>
        <w:numPr>
          <w:ilvl w:val="1"/>
          <w:numId w:val="54"/>
        </w:numPr>
        <w:tabs>
          <w:tab w:val="left" w:pos="2839"/>
        </w:tabs>
        <w:spacing w:before="19"/>
        <w:ind w:left="2839" w:hanging="359"/>
        <w:rPr>
          <w:sz w:val="24"/>
        </w:rPr>
      </w:pPr>
      <w:r w:rsidRPr="007D3144">
        <w:rPr>
          <w:sz w:val="24"/>
        </w:rPr>
        <w:t>100</w:t>
      </w:r>
      <w:r w:rsidRPr="007D3144">
        <w:rPr>
          <w:spacing w:val="-5"/>
          <w:sz w:val="24"/>
        </w:rPr>
        <w:t xml:space="preserve"> </w:t>
      </w:r>
      <w:r w:rsidRPr="007D3144">
        <w:rPr>
          <w:sz w:val="24"/>
        </w:rPr>
        <w:t>providers</w:t>
      </w:r>
      <w:r w:rsidRPr="007D3144">
        <w:rPr>
          <w:spacing w:val="-4"/>
          <w:sz w:val="24"/>
        </w:rPr>
        <w:t xml:space="preserve"> </w:t>
      </w:r>
      <w:r w:rsidRPr="007D3144">
        <w:rPr>
          <w:sz w:val="24"/>
        </w:rPr>
        <w:t>(i.e.</w:t>
      </w:r>
      <w:r w:rsidRPr="007D3144">
        <w:rPr>
          <w:spacing w:val="-3"/>
          <w:sz w:val="24"/>
        </w:rPr>
        <w:t xml:space="preserve"> </w:t>
      </w:r>
      <w:r w:rsidRPr="007D3144">
        <w:rPr>
          <w:sz w:val="24"/>
        </w:rPr>
        <w:t>adult/further</w:t>
      </w:r>
      <w:r w:rsidRPr="007D3144">
        <w:rPr>
          <w:spacing w:val="-5"/>
          <w:sz w:val="24"/>
        </w:rPr>
        <w:t xml:space="preserve"> </w:t>
      </w:r>
      <w:r w:rsidRPr="007D3144">
        <w:rPr>
          <w:sz w:val="24"/>
        </w:rPr>
        <w:t>education</w:t>
      </w:r>
      <w:r w:rsidRPr="007D3144">
        <w:rPr>
          <w:spacing w:val="-2"/>
          <w:sz w:val="24"/>
        </w:rPr>
        <w:t xml:space="preserve"> colleges)</w:t>
      </w:r>
    </w:p>
    <w:p w14:paraId="707A7166" w14:textId="77777777" w:rsidR="004C7180" w:rsidRPr="00150EDC" w:rsidRDefault="00CF0754" w:rsidP="00B320C7">
      <w:pPr>
        <w:pStyle w:val="ListParagraph"/>
        <w:numPr>
          <w:ilvl w:val="1"/>
          <w:numId w:val="54"/>
        </w:numPr>
        <w:tabs>
          <w:tab w:val="left" w:pos="2840"/>
        </w:tabs>
        <w:spacing w:before="22" w:line="256" w:lineRule="auto"/>
        <w:ind w:right="1436"/>
        <w:rPr>
          <w:sz w:val="24"/>
        </w:rPr>
      </w:pPr>
      <w:r w:rsidRPr="007D3144">
        <w:rPr>
          <w:sz w:val="24"/>
        </w:rPr>
        <w:t>Umbrella</w:t>
      </w:r>
      <w:r w:rsidRPr="007D3144">
        <w:rPr>
          <w:spacing w:val="80"/>
          <w:sz w:val="24"/>
        </w:rPr>
        <w:t xml:space="preserve"> </w:t>
      </w:r>
      <w:r w:rsidRPr="007D3144">
        <w:rPr>
          <w:sz w:val="24"/>
        </w:rPr>
        <w:t>groups</w:t>
      </w:r>
      <w:r w:rsidRPr="007D3144">
        <w:rPr>
          <w:spacing w:val="79"/>
          <w:sz w:val="24"/>
        </w:rPr>
        <w:t xml:space="preserve"> </w:t>
      </w:r>
      <w:r w:rsidRPr="007D3144">
        <w:rPr>
          <w:sz w:val="24"/>
        </w:rPr>
        <w:t>for</w:t>
      </w:r>
      <w:r w:rsidRPr="007D3144">
        <w:rPr>
          <w:spacing w:val="76"/>
          <w:sz w:val="24"/>
        </w:rPr>
        <w:t xml:space="preserve"> </w:t>
      </w:r>
      <w:r w:rsidRPr="007D3144">
        <w:rPr>
          <w:sz w:val="24"/>
        </w:rPr>
        <w:t>reaching</w:t>
      </w:r>
      <w:r w:rsidRPr="007D3144">
        <w:rPr>
          <w:spacing w:val="77"/>
          <w:sz w:val="24"/>
        </w:rPr>
        <w:t xml:space="preserve"> </w:t>
      </w:r>
      <w:r w:rsidRPr="007D3144">
        <w:rPr>
          <w:sz w:val="24"/>
        </w:rPr>
        <w:t>out</w:t>
      </w:r>
      <w:r w:rsidRPr="007D3144">
        <w:rPr>
          <w:spacing w:val="79"/>
          <w:sz w:val="24"/>
        </w:rPr>
        <w:t xml:space="preserve"> </w:t>
      </w:r>
      <w:r w:rsidRPr="007D3144">
        <w:rPr>
          <w:sz w:val="24"/>
        </w:rPr>
        <w:t>to</w:t>
      </w:r>
      <w:r w:rsidRPr="007D3144">
        <w:rPr>
          <w:spacing w:val="80"/>
          <w:sz w:val="24"/>
        </w:rPr>
        <w:t xml:space="preserve"> </w:t>
      </w:r>
      <w:r w:rsidRPr="007D3144">
        <w:rPr>
          <w:sz w:val="24"/>
        </w:rPr>
        <w:t>providers</w:t>
      </w:r>
      <w:r w:rsidRPr="007D3144">
        <w:rPr>
          <w:spacing w:val="79"/>
          <w:sz w:val="24"/>
        </w:rPr>
        <w:t xml:space="preserve"> </w:t>
      </w:r>
      <w:r w:rsidRPr="007D3144">
        <w:rPr>
          <w:sz w:val="24"/>
        </w:rPr>
        <w:t>e.g.</w:t>
      </w:r>
      <w:r w:rsidRPr="007D3144">
        <w:rPr>
          <w:spacing w:val="77"/>
          <w:sz w:val="24"/>
        </w:rPr>
        <w:t xml:space="preserve"> </w:t>
      </w:r>
      <w:r w:rsidRPr="007D3144">
        <w:rPr>
          <w:sz w:val="24"/>
        </w:rPr>
        <w:t>Association</w:t>
      </w:r>
      <w:r w:rsidRPr="007D3144">
        <w:rPr>
          <w:spacing w:val="77"/>
          <w:sz w:val="24"/>
        </w:rPr>
        <w:t xml:space="preserve"> </w:t>
      </w:r>
      <w:r w:rsidRPr="007D3144">
        <w:rPr>
          <w:sz w:val="24"/>
        </w:rPr>
        <w:t xml:space="preserve">of </w:t>
      </w:r>
      <w:r w:rsidRPr="007D3144">
        <w:rPr>
          <w:spacing w:val="-2"/>
          <w:sz w:val="24"/>
        </w:rPr>
        <w:t>Colleges</w:t>
      </w:r>
    </w:p>
    <w:p w14:paraId="245D452D" w14:textId="77777777" w:rsidR="004C7180" w:rsidRPr="00150EDC" w:rsidRDefault="00CF0754" w:rsidP="00B320C7">
      <w:pPr>
        <w:pStyle w:val="ListParagraph"/>
        <w:numPr>
          <w:ilvl w:val="0"/>
          <w:numId w:val="54"/>
        </w:numPr>
        <w:tabs>
          <w:tab w:val="left" w:pos="2119"/>
        </w:tabs>
        <w:spacing w:before="22" w:line="276" w:lineRule="auto"/>
        <w:ind w:left="2119" w:right="1433"/>
        <w:jc w:val="both"/>
        <w:rPr>
          <w:sz w:val="24"/>
        </w:rPr>
      </w:pPr>
      <w:r w:rsidRPr="007D3144">
        <w:rPr>
          <w:sz w:val="24"/>
        </w:rPr>
        <w:t>Stakeholder analysis. Conducting a thorough analysis of each stakeholder to establish our expectations for this trial and their level of involvement.</w:t>
      </w:r>
    </w:p>
    <w:p w14:paraId="29339136" w14:textId="77777777" w:rsidR="004C7180" w:rsidRPr="00150EDC" w:rsidRDefault="00CF0754" w:rsidP="00B320C7">
      <w:pPr>
        <w:pStyle w:val="ListParagraph"/>
        <w:numPr>
          <w:ilvl w:val="0"/>
          <w:numId w:val="54"/>
        </w:numPr>
        <w:tabs>
          <w:tab w:val="left" w:pos="2119"/>
        </w:tabs>
        <w:spacing w:before="1" w:line="276" w:lineRule="auto"/>
        <w:ind w:left="2119" w:right="1433"/>
        <w:jc w:val="both"/>
        <w:rPr>
          <w:sz w:val="24"/>
        </w:rPr>
      </w:pPr>
      <w:r w:rsidRPr="007D3144">
        <w:rPr>
          <w:sz w:val="24"/>
        </w:rPr>
        <w:t>Develop a stakeholder engagement plan detailing all stakeholder groups, how they</w:t>
      </w:r>
      <w:r w:rsidRPr="007D3144">
        <w:rPr>
          <w:spacing w:val="-16"/>
          <w:sz w:val="24"/>
        </w:rPr>
        <w:t xml:space="preserve"> </w:t>
      </w:r>
      <w:r w:rsidRPr="007D3144">
        <w:rPr>
          <w:sz w:val="24"/>
        </w:rPr>
        <w:t>will</w:t>
      </w:r>
      <w:r w:rsidRPr="007D3144">
        <w:rPr>
          <w:spacing w:val="-15"/>
          <w:sz w:val="24"/>
        </w:rPr>
        <w:t xml:space="preserve"> </w:t>
      </w:r>
      <w:r w:rsidRPr="007D3144">
        <w:rPr>
          <w:sz w:val="24"/>
        </w:rPr>
        <w:t>be</w:t>
      </w:r>
      <w:r w:rsidRPr="007D3144">
        <w:rPr>
          <w:spacing w:val="-16"/>
          <w:sz w:val="24"/>
        </w:rPr>
        <w:t xml:space="preserve"> </w:t>
      </w:r>
      <w:r w:rsidRPr="007D3144">
        <w:rPr>
          <w:sz w:val="24"/>
        </w:rPr>
        <w:t>engaged,</w:t>
      </w:r>
      <w:r w:rsidRPr="007D3144">
        <w:rPr>
          <w:spacing w:val="-17"/>
          <w:sz w:val="24"/>
        </w:rPr>
        <w:t xml:space="preserve"> </w:t>
      </w:r>
      <w:r w:rsidRPr="007D3144">
        <w:rPr>
          <w:sz w:val="24"/>
        </w:rPr>
        <w:t>when</w:t>
      </w:r>
      <w:r w:rsidRPr="007D3144">
        <w:rPr>
          <w:spacing w:val="-16"/>
          <w:sz w:val="24"/>
        </w:rPr>
        <w:t xml:space="preserve"> </w:t>
      </w:r>
      <w:r w:rsidRPr="007D3144">
        <w:rPr>
          <w:sz w:val="24"/>
        </w:rPr>
        <w:t>and</w:t>
      </w:r>
      <w:r w:rsidRPr="007D3144">
        <w:rPr>
          <w:spacing w:val="-14"/>
          <w:sz w:val="24"/>
        </w:rPr>
        <w:t xml:space="preserve"> </w:t>
      </w:r>
      <w:r w:rsidRPr="007D3144">
        <w:rPr>
          <w:sz w:val="24"/>
        </w:rPr>
        <w:t>what</w:t>
      </w:r>
      <w:r w:rsidRPr="007D3144">
        <w:rPr>
          <w:spacing w:val="-14"/>
          <w:sz w:val="24"/>
        </w:rPr>
        <w:t xml:space="preserve"> </w:t>
      </w:r>
      <w:r w:rsidRPr="007D3144">
        <w:rPr>
          <w:sz w:val="24"/>
        </w:rPr>
        <w:t>channels/formats</w:t>
      </w:r>
      <w:r w:rsidRPr="007D3144">
        <w:rPr>
          <w:spacing w:val="-17"/>
          <w:sz w:val="24"/>
        </w:rPr>
        <w:t xml:space="preserve"> </w:t>
      </w:r>
      <w:r w:rsidRPr="007D3144">
        <w:rPr>
          <w:sz w:val="24"/>
        </w:rPr>
        <w:t>of</w:t>
      </w:r>
      <w:r w:rsidRPr="007D3144">
        <w:rPr>
          <w:spacing w:val="-14"/>
          <w:sz w:val="24"/>
        </w:rPr>
        <w:t xml:space="preserve"> </w:t>
      </w:r>
      <w:r w:rsidRPr="007D3144">
        <w:rPr>
          <w:sz w:val="24"/>
        </w:rPr>
        <w:t>communications,</w:t>
      </w:r>
      <w:r w:rsidRPr="007D3144">
        <w:rPr>
          <w:spacing w:val="-17"/>
          <w:sz w:val="24"/>
        </w:rPr>
        <w:t xml:space="preserve"> </w:t>
      </w:r>
      <w:r w:rsidRPr="007D3144">
        <w:rPr>
          <w:sz w:val="24"/>
        </w:rPr>
        <w:t>and what information exchange that is needed, which will be recorded within our CRM system.</w:t>
      </w:r>
    </w:p>
    <w:p w14:paraId="3A56917F" w14:textId="77777777" w:rsidR="004C7180" w:rsidRPr="00150EDC" w:rsidRDefault="00CF0754">
      <w:pPr>
        <w:pStyle w:val="BodyText"/>
        <w:spacing w:before="118" w:line="276" w:lineRule="auto"/>
        <w:ind w:left="1399" w:right="1433"/>
        <w:jc w:val="both"/>
      </w:pPr>
      <w:r w:rsidRPr="007D3144">
        <w:t>Engagement</w:t>
      </w:r>
      <w:r w:rsidRPr="007D3144">
        <w:rPr>
          <w:spacing w:val="-7"/>
        </w:rPr>
        <w:t xml:space="preserve"> </w:t>
      </w:r>
      <w:r w:rsidRPr="007D3144">
        <w:t>will</w:t>
      </w:r>
      <w:r w:rsidRPr="007D3144">
        <w:rPr>
          <w:spacing w:val="-8"/>
        </w:rPr>
        <w:t xml:space="preserve"> </w:t>
      </w:r>
      <w:r w:rsidRPr="007D3144">
        <w:t>be</w:t>
      </w:r>
      <w:r w:rsidRPr="007D3144">
        <w:rPr>
          <w:spacing w:val="-9"/>
        </w:rPr>
        <w:t xml:space="preserve"> </w:t>
      </w:r>
      <w:r w:rsidRPr="007D3144">
        <w:t>tailored</w:t>
      </w:r>
      <w:r w:rsidRPr="007D3144">
        <w:rPr>
          <w:spacing w:val="-7"/>
        </w:rPr>
        <w:t xml:space="preserve"> </w:t>
      </w:r>
      <w:r w:rsidRPr="007D3144">
        <w:t>to</w:t>
      </w:r>
      <w:r w:rsidRPr="007D3144">
        <w:rPr>
          <w:spacing w:val="-7"/>
        </w:rPr>
        <w:t xml:space="preserve"> </w:t>
      </w:r>
      <w:r w:rsidRPr="007D3144">
        <w:t>each</w:t>
      </w:r>
      <w:r w:rsidRPr="007D3144">
        <w:rPr>
          <w:spacing w:val="-7"/>
        </w:rPr>
        <w:t xml:space="preserve"> </w:t>
      </w:r>
      <w:r w:rsidRPr="007D3144">
        <w:t>specific</w:t>
      </w:r>
      <w:r w:rsidRPr="007D3144">
        <w:rPr>
          <w:spacing w:val="-8"/>
        </w:rPr>
        <w:t xml:space="preserve"> </w:t>
      </w:r>
      <w:r w:rsidRPr="007D3144">
        <w:t>stakeholder,</w:t>
      </w:r>
      <w:r w:rsidRPr="007D3144">
        <w:rPr>
          <w:spacing w:val="-10"/>
        </w:rPr>
        <w:t xml:space="preserve"> </w:t>
      </w:r>
      <w:r w:rsidRPr="007D3144">
        <w:t>e.g.,</w:t>
      </w:r>
      <w:r w:rsidRPr="007D3144">
        <w:rPr>
          <w:spacing w:val="-7"/>
        </w:rPr>
        <w:t xml:space="preserve"> </w:t>
      </w:r>
      <w:r w:rsidRPr="007D3144">
        <w:t>engagement</w:t>
      </w:r>
      <w:r w:rsidRPr="007D3144">
        <w:rPr>
          <w:spacing w:val="-10"/>
        </w:rPr>
        <w:t xml:space="preserve"> </w:t>
      </w:r>
      <w:r w:rsidRPr="007D3144">
        <w:t>of</w:t>
      </w:r>
      <w:r w:rsidRPr="007D3144">
        <w:rPr>
          <w:spacing w:val="-7"/>
        </w:rPr>
        <w:t xml:space="preserve"> </w:t>
      </w:r>
      <w:r w:rsidRPr="007D3144">
        <w:t>the</w:t>
      </w:r>
      <w:r w:rsidRPr="007D3144">
        <w:rPr>
          <w:spacing w:val="-9"/>
        </w:rPr>
        <w:t xml:space="preserve"> </w:t>
      </w:r>
      <w:r w:rsidRPr="007D3144">
        <w:t>five MCAs is part of our wider strategic approach for delivering the Multiply RCT programme as well as critical to the success of this trial. As a result, initial early conversations will be undertaken by the Project Director to gain buy-in to the programme, followed up with direct contact by the Project Manager with key contact points</w:t>
      </w:r>
      <w:r w:rsidRPr="007D3144">
        <w:rPr>
          <w:spacing w:val="-4"/>
        </w:rPr>
        <w:t xml:space="preserve"> </w:t>
      </w:r>
      <w:r w:rsidRPr="007D3144">
        <w:t>as</w:t>
      </w:r>
      <w:r w:rsidRPr="007D3144">
        <w:rPr>
          <w:spacing w:val="-2"/>
        </w:rPr>
        <w:t xml:space="preserve"> </w:t>
      </w:r>
      <w:r w:rsidRPr="007D3144">
        <w:t>we</w:t>
      </w:r>
      <w:r w:rsidRPr="007D3144">
        <w:rPr>
          <w:spacing w:val="-6"/>
        </w:rPr>
        <w:t xml:space="preserve"> </w:t>
      </w:r>
      <w:r w:rsidRPr="007D3144">
        <w:t>move</w:t>
      </w:r>
      <w:r w:rsidRPr="007D3144">
        <w:rPr>
          <w:spacing w:val="-3"/>
        </w:rPr>
        <w:t xml:space="preserve"> </w:t>
      </w:r>
      <w:r w:rsidRPr="007D3144">
        <w:t>into</w:t>
      </w:r>
      <w:r w:rsidRPr="007D3144">
        <w:rPr>
          <w:spacing w:val="-3"/>
        </w:rPr>
        <w:t xml:space="preserve"> </w:t>
      </w:r>
      <w:r w:rsidRPr="007D3144">
        <w:t>each</w:t>
      </w:r>
      <w:r w:rsidRPr="007D3144">
        <w:rPr>
          <w:spacing w:val="-1"/>
        </w:rPr>
        <w:t xml:space="preserve"> </w:t>
      </w:r>
      <w:r w:rsidRPr="007D3144">
        <w:t>specific</w:t>
      </w:r>
      <w:r w:rsidRPr="007D3144">
        <w:rPr>
          <w:spacing w:val="-2"/>
        </w:rPr>
        <w:t xml:space="preserve"> </w:t>
      </w:r>
      <w:r w:rsidRPr="007D3144">
        <w:t>trial.</w:t>
      </w:r>
      <w:r w:rsidRPr="007D3144">
        <w:rPr>
          <w:spacing w:val="-4"/>
        </w:rPr>
        <w:t xml:space="preserve"> </w:t>
      </w:r>
      <w:r w:rsidRPr="007D3144">
        <w:t>Stakeholder</w:t>
      </w:r>
      <w:r w:rsidRPr="007D3144">
        <w:rPr>
          <w:spacing w:val="-3"/>
        </w:rPr>
        <w:t xml:space="preserve"> </w:t>
      </w:r>
      <w:r w:rsidRPr="007D3144">
        <w:t>engagement</w:t>
      </w:r>
      <w:r w:rsidRPr="007D3144">
        <w:rPr>
          <w:spacing w:val="-4"/>
        </w:rPr>
        <w:t xml:space="preserve"> </w:t>
      </w:r>
      <w:r w:rsidRPr="007D3144">
        <w:t>and</w:t>
      </w:r>
      <w:r w:rsidRPr="007D3144">
        <w:rPr>
          <w:spacing w:val="-3"/>
        </w:rPr>
        <w:t xml:space="preserve"> </w:t>
      </w:r>
      <w:r w:rsidRPr="007D3144">
        <w:t>progress</w:t>
      </w:r>
      <w:r w:rsidRPr="007D3144">
        <w:rPr>
          <w:spacing w:val="-4"/>
        </w:rPr>
        <w:t xml:space="preserve"> </w:t>
      </w:r>
      <w:r w:rsidRPr="007D3144">
        <w:t>will be a permanent agenda point at monthly senior management meetings, as well as trial-specific project meetings.</w:t>
      </w:r>
    </w:p>
    <w:p w14:paraId="2618768D" w14:textId="77777777" w:rsidR="004C7180" w:rsidRPr="00150EDC" w:rsidRDefault="004C7180">
      <w:pPr>
        <w:pStyle w:val="BodyText"/>
        <w:spacing w:before="4"/>
        <w:rPr>
          <w:sz w:val="31"/>
        </w:rPr>
      </w:pPr>
    </w:p>
    <w:p w14:paraId="1388C8A8" w14:textId="77777777" w:rsidR="004C7180" w:rsidRPr="00150EDC" w:rsidRDefault="00CF0754">
      <w:pPr>
        <w:ind w:left="1400"/>
        <w:rPr>
          <w:b/>
          <w:sz w:val="24"/>
        </w:rPr>
      </w:pPr>
      <w:bookmarkStart w:id="30" w:name="Recruitment"/>
      <w:bookmarkEnd w:id="30"/>
      <w:r w:rsidRPr="007D3144">
        <w:rPr>
          <w:b/>
          <w:spacing w:val="-2"/>
          <w:sz w:val="24"/>
        </w:rPr>
        <w:t>Recruitment</w:t>
      </w:r>
    </w:p>
    <w:p w14:paraId="018688D0" w14:textId="77777777" w:rsidR="004C7180" w:rsidRPr="00150EDC" w:rsidRDefault="004C7180">
      <w:pPr>
        <w:pStyle w:val="BodyText"/>
        <w:spacing w:before="7"/>
        <w:rPr>
          <w:b/>
        </w:rPr>
      </w:pPr>
    </w:p>
    <w:p w14:paraId="213B3462" w14:textId="77777777" w:rsidR="004C7180" w:rsidRPr="00150EDC" w:rsidRDefault="00CF0754">
      <w:pPr>
        <w:pStyle w:val="BodyText"/>
        <w:spacing w:line="276" w:lineRule="auto"/>
        <w:ind w:left="1400" w:right="1435"/>
        <w:jc w:val="both"/>
      </w:pPr>
      <w:r w:rsidRPr="007D3144">
        <w:t>Via the pre-trial IDEA meetings, we will work collaboratively with the evaluation supplier</w:t>
      </w:r>
      <w:r w:rsidRPr="007D3144">
        <w:rPr>
          <w:spacing w:val="-5"/>
        </w:rPr>
        <w:t xml:space="preserve"> </w:t>
      </w:r>
      <w:r w:rsidRPr="007D3144">
        <w:t>and</w:t>
      </w:r>
      <w:r w:rsidRPr="007D3144">
        <w:rPr>
          <w:spacing w:val="-6"/>
        </w:rPr>
        <w:t xml:space="preserve"> </w:t>
      </w:r>
      <w:r w:rsidRPr="007D3144">
        <w:t>product</w:t>
      </w:r>
      <w:r w:rsidRPr="007D3144">
        <w:rPr>
          <w:spacing w:val="-6"/>
        </w:rPr>
        <w:t xml:space="preserve"> </w:t>
      </w:r>
      <w:r w:rsidRPr="007D3144">
        <w:t>developer</w:t>
      </w:r>
      <w:r w:rsidRPr="007D3144">
        <w:rPr>
          <w:spacing w:val="-5"/>
        </w:rPr>
        <w:t xml:space="preserve"> </w:t>
      </w:r>
      <w:r w:rsidRPr="007D3144">
        <w:t>to</w:t>
      </w:r>
      <w:r w:rsidRPr="007D3144">
        <w:rPr>
          <w:spacing w:val="-6"/>
        </w:rPr>
        <w:t xml:space="preserve"> </w:t>
      </w:r>
      <w:r w:rsidRPr="007D3144">
        <w:t>identify</w:t>
      </w:r>
      <w:r w:rsidRPr="007D3144">
        <w:rPr>
          <w:spacing w:val="-4"/>
        </w:rPr>
        <w:t xml:space="preserve"> </w:t>
      </w:r>
      <w:r w:rsidRPr="007D3144">
        <w:t>key</w:t>
      </w:r>
      <w:r w:rsidRPr="007D3144">
        <w:rPr>
          <w:spacing w:val="-7"/>
        </w:rPr>
        <w:t xml:space="preserve"> </w:t>
      </w:r>
      <w:r w:rsidRPr="007D3144">
        <w:t>criteria</w:t>
      </w:r>
      <w:r w:rsidRPr="007D3144">
        <w:rPr>
          <w:spacing w:val="-3"/>
        </w:rPr>
        <w:t xml:space="preserve"> </w:t>
      </w:r>
      <w:r w:rsidRPr="007D3144">
        <w:t>for</w:t>
      </w:r>
      <w:r w:rsidRPr="007D3144">
        <w:rPr>
          <w:spacing w:val="-5"/>
        </w:rPr>
        <w:t xml:space="preserve"> </w:t>
      </w:r>
      <w:r w:rsidRPr="007D3144">
        <w:t>selecting</w:t>
      </w:r>
      <w:r w:rsidRPr="007D3144">
        <w:rPr>
          <w:spacing w:val="-6"/>
        </w:rPr>
        <w:t xml:space="preserve"> </w:t>
      </w:r>
      <w:r w:rsidRPr="007D3144">
        <w:t>trial</w:t>
      </w:r>
      <w:r w:rsidRPr="007D3144">
        <w:rPr>
          <w:spacing w:val="-5"/>
        </w:rPr>
        <w:t xml:space="preserve"> </w:t>
      </w:r>
      <w:r w:rsidRPr="007D3144">
        <w:t>delivery</w:t>
      </w:r>
      <w:r w:rsidRPr="007D3144">
        <w:rPr>
          <w:spacing w:val="-7"/>
        </w:rPr>
        <w:t xml:space="preserve"> </w:t>
      </w:r>
      <w:r w:rsidRPr="007D3144">
        <w:t>areas, considering the need to:</w:t>
      </w:r>
    </w:p>
    <w:p w14:paraId="77555C81" w14:textId="77777777" w:rsidR="004C7180" w:rsidRPr="00150EDC" w:rsidRDefault="00CF0754" w:rsidP="00B320C7">
      <w:pPr>
        <w:pStyle w:val="ListParagraph"/>
        <w:numPr>
          <w:ilvl w:val="0"/>
          <w:numId w:val="54"/>
        </w:numPr>
        <w:tabs>
          <w:tab w:val="left" w:pos="2120"/>
        </w:tabs>
        <w:spacing w:before="118" w:line="278" w:lineRule="auto"/>
        <w:ind w:right="1435"/>
        <w:rPr>
          <w:sz w:val="24"/>
        </w:rPr>
      </w:pPr>
      <w:r w:rsidRPr="007D3144">
        <w:rPr>
          <w:sz w:val="24"/>
        </w:rPr>
        <w:t>Distribute</w:t>
      </w:r>
      <w:r w:rsidRPr="007D3144">
        <w:rPr>
          <w:spacing w:val="-2"/>
          <w:sz w:val="24"/>
        </w:rPr>
        <w:t xml:space="preserve"> </w:t>
      </w:r>
      <w:r w:rsidRPr="007D3144">
        <w:rPr>
          <w:sz w:val="24"/>
        </w:rPr>
        <w:t>providers</w:t>
      </w:r>
      <w:r w:rsidRPr="007D3144">
        <w:rPr>
          <w:spacing w:val="-3"/>
          <w:sz w:val="24"/>
        </w:rPr>
        <w:t xml:space="preserve"> </w:t>
      </w:r>
      <w:r w:rsidRPr="007D3144">
        <w:rPr>
          <w:sz w:val="24"/>
        </w:rPr>
        <w:t>across</w:t>
      </w:r>
      <w:r w:rsidRPr="007D3144">
        <w:rPr>
          <w:spacing w:val="-3"/>
          <w:sz w:val="24"/>
        </w:rPr>
        <w:t xml:space="preserve"> </w:t>
      </w:r>
      <w:r w:rsidRPr="007D3144">
        <w:rPr>
          <w:sz w:val="24"/>
        </w:rPr>
        <w:t>the</w:t>
      </w:r>
      <w:r w:rsidRPr="007D3144">
        <w:rPr>
          <w:spacing w:val="-2"/>
          <w:sz w:val="24"/>
        </w:rPr>
        <w:t xml:space="preserve"> </w:t>
      </w:r>
      <w:r w:rsidRPr="007D3144">
        <w:rPr>
          <w:sz w:val="24"/>
        </w:rPr>
        <w:t>UK,</w:t>
      </w:r>
      <w:r w:rsidRPr="007D3144">
        <w:rPr>
          <w:spacing w:val="-2"/>
          <w:sz w:val="24"/>
        </w:rPr>
        <w:t xml:space="preserve"> </w:t>
      </w:r>
      <w:r w:rsidRPr="007D3144">
        <w:rPr>
          <w:sz w:val="24"/>
        </w:rPr>
        <w:t>and</w:t>
      </w:r>
      <w:r w:rsidRPr="007D3144">
        <w:rPr>
          <w:spacing w:val="-2"/>
          <w:sz w:val="24"/>
        </w:rPr>
        <w:t xml:space="preserve"> </w:t>
      </w:r>
      <w:r w:rsidRPr="007D3144">
        <w:rPr>
          <w:sz w:val="24"/>
        </w:rPr>
        <w:t>include</w:t>
      </w:r>
      <w:r w:rsidRPr="007D3144">
        <w:rPr>
          <w:spacing w:val="-2"/>
          <w:sz w:val="24"/>
        </w:rPr>
        <w:t xml:space="preserve"> </w:t>
      </w:r>
      <w:r w:rsidRPr="007D3144">
        <w:rPr>
          <w:sz w:val="24"/>
        </w:rPr>
        <w:t>representation</w:t>
      </w:r>
      <w:r w:rsidRPr="007D3144">
        <w:rPr>
          <w:spacing w:val="-2"/>
          <w:sz w:val="24"/>
        </w:rPr>
        <w:t xml:space="preserve"> </w:t>
      </w:r>
      <w:r w:rsidRPr="007D3144">
        <w:rPr>
          <w:sz w:val="24"/>
        </w:rPr>
        <w:t>from</w:t>
      </w:r>
      <w:r w:rsidRPr="007D3144">
        <w:rPr>
          <w:spacing w:val="-4"/>
          <w:sz w:val="24"/>
        </w:rPr>
        <w:t xml:space="preserve"> </w:t>
      </w:r>
      <w:r w:rsidRPr="007D3144">
        <w:rPr>
          <w:sz w:val="24"/>
        </w:rPr>
        <w:t>urban</w:t>
      </w:r>
      <w:r w:rsidRPr="007D3144">
        <w:rPr>
          <w:spacing w:val="-2"/>
          <w:sz w:val="24"/>
        </w:rPr>
        <w:t xml:space="preserve"> </w:t>
      </w:r>
      <w:r w:rsidRPr="007D3144">
        <w:rPr>
          <w:sz w:val="24"/>
        </w:rPr>
        <w:t>and non-urban areas and all nine government regions.</w:t>
      </w:r>
    </w:p>
    <w:p w14:paraId="20CAC274" w14:textId="77777777" w:rsidR="004C7180" w:rsidRPr="00150EDC" w:rsidRDefault="00CF0754" w:rsidP="00B320C7">
      <w:pPr>
        <w:pStyle w:val="ListParagraph"/>
        <w:numPr>
          <w:ilvl w:val="0"/>
          <w:numId w:val="54"/>
        </w:numPr>
        <w:tabs>
          <w:tab w:val="left" w:pos="2120"/>
        </w:tabs>
        <w:spacing w:line="276" w:lineRule="auto"/>
        <w:ind w:right="1434"/>
        <w:rPr>
          <w:sz w:val="24"/>
        </w:rPr>
      </w:pPr>
      <w:r w:rsidRPr="007D3144">
        <w:rPr>
          <w:sz w:val="24"/>
        </w:rPr>
        <w:t>Include five MCAs, factoring in their current level of involvement and capacity in the wider Multiply RCTs.</w:t>
      </w:r>
    </w:p>
    <w:p w14:paraId="1D92A87F" w14:textId="77777777" w:rsidR="004C7180" w:rsidRPr="00150EDC" w:rsidRDefault="00CF0754" w:rsidP="00B320C7">
      <w:pPr>
        <w:pStyle w:val="ListParagraph"/>
        <w:numPr>
          <w:ilvl w:val="0"/>
          <w:numId w:val="54"/>
        </w:numPr>
        <w:tabs>
          <w:tab w:val="left" w:pos="2119"/>
        </w:tabs>
        <w:spacing w:line="275" w:lineRule="exact"/>
        <w:ind w:left="2119" w:hanging="359"/>
        <w:rPr>
          <w:sz w:val="24"/>
        </w:rPr>
      </w:pPr>
      <w:r w:rsidRPr="007D3144">
        <w:rPr>
          <w:sz w:val="24"/>
        </w:rPr>
        <w:t>Avoid</w:t>
      </w:r>
      <w:r w:rsidRPr="007D3144">
        <w:rPr>
          <w:spacing w:val="-4"/>
          <w:sz w:val="24"/>
        </w:rPr>
        <w:t xml:space="preserve"> </w:t>
      </w:r>
      <w:r w:rsidRPr="007D3144">
        <w:rPr>
          <w:sz w:val="24"/>
        </w:rPr>
        <w:t>cross-contamination</w:t>
      </w:r>
      <w:r w:rsidRPr="007D3144">
        <w:rPr>
          <w:spacing w:val="-4"/>
          <w:sz w:val="24"/>
        </w:rPr>
        <w:t xml:space="preserve"> </w:t>
      </w:r>
      <w:r w:rsidRPr="007D3144">
        <w:rPr>
          <w:sz w:val="24"/>
        </w:rPr>
        <w:t>between</w:t>
      </w:r>
      <w:r w:rsidRPr="007D3144">
        <w:rPr>
          <w:spacing w:val="-4"/>
          <w:sz w:val="24"/>
        </w:rPr>
        <w:t xml:space="preserve"> </w:t>
      </w:r>
      <w:r w:rsidRPr="007D3144">
        <w:rPr>
          <w:sz w:val="24"/>
        </w:rPr>
        <w:t>different</w:t>
      </w:r>
      <w:r w:rsidRPr="007D3144">
        <w:rPr>
          <w:spacing w:val="-3"/>
          <w:sz w:val="24"/>
        </w:rPr>
        <w:t xml:space="preserve"> </w:t>
      </w:r>
      <w:r w:rsidRPr="007D3144">
        <w:rPr>
          <w:spacing w:val="-2"/>
          <w:sz w:val="24"/>
        </w:rPr>
        <w:t>trials.</w:t>
      </w:r>
    </w:p>
    <w:p w14:paraId="1E56C723" w14:textId="77777777" w:rsidR="004C7180" w:rsidRPr="00150EDC" w:rsidRDefault="00CF0754" w:rsidP="00B320C7">
      <w:pPr>
        <w:pStyle w:val="ListParagraph"/>
        <w:numPr>
          <w:ilvl w:val="0"/>
          <w:numId w:val="54"/>
        </w:numPr>
        <w:tabs>
          <w:tab w:val="left" w:pos="2119"/>
        </w:tabs>
        <w:spacing w:before="39" w:line="276" w:lineRule="auto"/>
        <w:ind w:left="2119" w:right="1436"/>
        <w:rPr>
          <w:sz w:val="24"/>
        </w:rPr>
      </w:pPr>
      <w:r w:rsidRPr="007D3144">
        <w:rPr>
          <w:sz w:val="24"/>
        </w:rPr>
        <w:t>Consider</w:t>
      </w:r>
      <w:r w:rsidRPr="007D3144">
        <w:rPr>
          <w:spacing w:val="40"/>
          <w:sz w:val="24"/>
        </w:rPr>
        <w:t xml:space="preserve"> </w:t>
      </w:r>
      <w:r w:rsidRPr="007D3144">
        <w:rPr>
          <w:sz w:val="24"/>
        </w:rPr>
        <w:t>the</w:t>
      </w:r>
      <w:r w:rsidRPr="007D3144">
        <w:rPr>
          <w:spacing w:val="40"/>
          <w:sz w:val="24"/>
        </w:rPr>
        <w:t xml:space="preserve"> </w:t>
      </w:r>
      <w:r w:rsidRPr="007D3144">
        <w:rPr>
          <w:sz w:val="24"/>
        </w:rPr>
        <w:t>benefits</w:t>
      </w:r>
      <w:r w:rsidRPr="007D3144">
        <w:rPr>
          <w:spacing w:val="40"/>
          <w:sz w:val="24"/>
        </w:rPr>
        <w:t xml:space="preserve"> </w:t>
      </w:r>
      <w:r w:rsidRPr="007D3144">
        <w:rPr>
          <w:sz w:val="24"/>
        </w:rPr>
        <w:t>of</w:t>
      </w:r>
      <w:r w:rsidRPr="007D3144">
        <w:rPr>
          <w:spacing w:val="40"/>
          <w:sz w:val="24"/>
        </w:rPr>
        <w:t xml:space="preserve"> </w:t>
      </w:r>
      <w:r w:rsidRPr="007D3144">
        <w:rPr>
          <w:sz w:val="24"/>
        </w:rPr>
        <w:t>geographically</w:t>
      </w:r>
      <w:r w:rsidRPr="007D3144">
        <w:rPr>
          <w:spacing w:val="40"/>
          <w:sz w:val="24"/>
        </w:rPr>
        <w:t xml:space="preserve"> </w:t>
      </w:r>
      <w:r w:rsidRPr="007D3144">
        <w:rPr>
          <w:sz w:val="24"/>
        </w:rPr>
        <w:t>clustering</w:t>
      </w:r>
      <w:r w:rsidRPr="007D3144">
        <w:rPr>
          <w:spacing w:val="40"/>
          <w:sz w:val="24"/>
        </w:rPr>
        <w:t xml:space="preserve"> </w:t>
      </w:r>
      <w:r w:rsidRPr="007D3144">
        <w:rPr>
          <w:sz w:val="24"/>
        </w:rPr>
        <w:t>providers</w:t>
      </w:r>
      <w:r w:rsidRPr="007D3144">
        <w:rPr>
          <w:spacing w:val="40"/>
          <w:sz w:val="24"/>
        </w:rPr>
        <w:t xml:space="preserve"> </w:t>
      </w:r>
      <w:r w:rsidRPr="007D3144">
        <w:rPr>
          <w:sz w:val="24"/>
        </w:rPr>
        <w:t>to</w:t>
      </w:r>
      <w:r w:rsidRPr="007D3144">
        <w:rPr>
          <w:spacing w:val="40"/>
          <w:sz w:val="24"/>
        </w:rPr>
        <w:t xml:space="preserve"> </w:t>
      </w:r>
      <w:r w:rsidRPr="007D3144">
        <w:rPr>
          <w:sz w:val="24"/>
        </w:rPr>
        <w:t>streamline delivery e.g. of site-based compliance checks.</w:t>
      </w:r>
    </w:p>
    <w:p w14:paraId="022249A2" w14:textId="77777777" w:rsidR="004C7180" w:rsidRPr="00150EDC" w:rsidRDefault="00CF0754">
      <w:pPr>
        <w:pStyle w:val="BodyText"/>
        <w:spacing w:line="276" w:lineRule="auto"/>
        <w:ind w:left="1400" w:right="1459"/>
      </w:pPr>
      <w:r w:rsidRPr="007D3144">
        <w:t>Having identified the trial delivery areas, we will undertake a systematic, two-stage</w:t>
      </w:r>
      <w:r w:rsidRPr="007D3144">
        <w:rPr>
          <w:spacing w:val="40"/>
        </w:rPr>
        <w:t xml:space="preserve"> </w:t>
      </w:r>
      <w:r w:rsidRPr="007D3144">
        <w:t>provider recruitment process:</w:t>
      </w:r>
    </w:p>
    <w:p w14:paraId="786F7D00" w14:textId="77777777" w:rsidR="004C7180" w:rsidRPr="00150EDC" w:rsidRDefault="004C7180">
      <w:pPr>
        <w:spacing w:line="276" w:lineRule="auto"/>
        <w:sectPr w:rsidR="004C7180" w:rsidRPr="00150EDC">
          <w:pgSz w:w="11910" w:h="16840"/>
          <w:pgMar w:top="1460" w:right="0" w:bottom="1420" w:left="40" w:header="712" w:footer="1224" w:gutter="0"/>
          <w:cols w:space="720"/>
        </w:sectPr>
      </w:pPr>
    </w:p>
    <w:p w14:paraId="681B6F32" w14:textId="77777777" w:rsidR="004C7180" w:rsidRPr="00150EDC" w:rsidRDefault="004C7180">
      <w:pPr>
        <w:pStyle w:val="BodyText"/>
        <w:spacing w:before="4"/>
        <w:rPr>
          <w:sz w:val="18"/>
        </w:rPr>
      </w:pPr>
    </w:p>
    <w:p w14:paraId="7F85CE37" w14:textId="77777777" w:rsidR="004C7180" w:rsidRPr="00150EDC" w:rsidRDefault="00CF0754" w:rsidP="00B320C7">
      <w:pPr>
        <w:pStyle w:val="ListParagraph"/>
        <w:numPr>
          <w:ilvl w:val="0"/>
          <w:numId w:val="53"/>
        </w:numPr>
        <w:tabs>
          <w:tab w:val="left" w:pos="2120"/>
        </w:tabs>
        <w:spacing w:before="93" w:line="276" w:lineRule="auto"/>
        <w:ind w:right="1433"/>
        <w:jc w:val="both"/>
        <w:rPr>
          <w:sz w:val="24"/>
        </w:rPr>
      </w:pPr>
      <w:r w:rsidRPr="007D3144">
        <w:rPr>
          <w:sz w:val="24"/>
        </w:rPr>
        <w:t>Initial outreach to the five MCAs via their named point of contact, and mass email and social media campaigns to providers (using umbrella bodies, e.g. Association</w:t>
      </w:r>
      <w:r w:rsidRPr="007D3144">
        <w:rPr>
          <w:spacing w:val="-10"/>
          <w:sz w:val="24"/>
        </w:rPr>
        <w:t xml:space="preserve"> </w:t>
      </w:r>
      <w:r w:rsidRPr="007D3144">
        <w:rPr>
          <w:sz w:val="24"/>
        </w:rPr>
        <w:t>of</w:t>
      </w:r>
      <w:r w:rsidRPr="007D3144">
        <w:rPr>
          <w:spacing w:val="-13"/>
          <w:sz w:val="24"/>
        </w:rPr>
        <w:t xml:space="preserve"> </w:t>
      </w:r>
      <w:r w:rsidRPr="007D3144">
        <w:rPr>
          <w:sz w:val="24"/>
        </w:rPr>
        <w:t>Colleges,</w:t>
      </w:r>
      <w:r w:rsidRPr="007D3144">
        <w:rPr>
          <w:spacing w:val="-11"/>
          <w:sz w:val="24"/>
        </w:rPr>
        <w:t xml:space="preserve"> </w:t>
      </w:r>
      <w:r w:rsidRPr="007D3144">
        <w:rPr>
          <w:sz w:val="24"/>
        </w:rPr>
        <w:t>Education</w:t>
      </w:r>
      <w:r w:rsidRPr="007D3144">
        <w:rPr>
          <w:spacing w:val="-10"/>
          <w:sz w:val="24"/>
        </w:rPr>
        <w:t xml:space="preserve"> </w:t>
      </w:r>
      <w:r w:rsidRPr="007D3144">
        <w:rPr>
          <w:sz w:val="24"/>
        </w:rPr>
        <w:t>Training</w:t>
      </w:r>
      <w:r w:rsidRPr="007D3144">
        <w:rPr>
          <w:spacing w:val="-10"/>
          <w:sz w:val="24"/>
        </w:rPr>
        <w:t xml:space="preserve"> </w:t>
      </w:r>
      <w:r w:rsidRPr="007D3144">
        <w:rPr>
          <w:sz w:val="24"/>
        </w:rPr>
        <w:t>Foundation,</w:t>
      </w:r>
      <w:r w:rsidRPr="007D3144">
        <w:rPr>
          <w:spacing w:val="-11"/>
          <w:sz w:val="24"/>
        </w:rPr>
        <w:t xml:space="preserve"> </w:t>
      </w:r>
      <w:r w:rsidRPr="007D3144">
        <w:rPr>
          <w:sz w:val="24"/>
        </w:rPr>
        <w:t>to</w:t>
      </w:r>
      <w:r w:rsidRPr="007D3144">
        <w:rPr>
          <w:spacing w:val="-10"/>
          <w:sz w:val="24"/>
        </w:rPr>
        <w:t xml:space="preserve"> </w:t>
      </w:r>
      <w:r w:rsidRPr="007D3144">
        <w:rPr>
          <w:sz w:val="24"/>
        </w:rPr>
        <w:t>amplify</w:t>
      </w:r>
      <w:r w:rsidRPr="007D3144">
        <w:rPr>
          <w:spacing w:val="-14"/>
          <w:sz w:val="24"/>
        </w:rPr>
        <w:t xml:space="preserve"> </w:t>
      </w:r>
      <w:r w:rsidRPr="007D3144">
        <w:rPr>
          <w:sz w:val="24"/>
        </w:rPr>
        <w:t>messaging)</w:t>
      </w:r>
    </w:p>
    <w:p w14:paraId="4B451A40" w14:textId="77777777" w:rsidR="004C7180" w:rsidRPr="00150EDC" w:rsidRDefault="00CF0754" w:rsidP="00B320C7">
      <w:pPr>
        <w:pStyle w:val="ListParagraph"/>
        <w:numPr>
          <w:ilvl w:val="0"/>
          <w:numId w:val="53"/>
        </w:numPr>
        <w:tabs>
          <w:tab w:val="left" w:pos="2119"/>
        </w:tabs>
        <w:spacing w:line="276" w:lineRule="auto"/>
        <w:ind w:left="2119" w:right="1432"/>
        <w:jc w:val="both"/>
        <w:rPr>
          <w:sz w:val="24"/>
        </w:rPr>
      </w:pPr>
      <w:r w:rsidRPr="007D3144">
        <w:rPr>
          <w:sz w:val="24"/>
        </w:rPr>
        <w:t>Details of those expressing interest are analysed, segmented and iterated to ensure desired geographical coverage is achieved, prior to targeted engagement via email, telephone and virtual/face-to-face meetings. Where there is any under-representation, we will identify the specific areas and undertake further targeted outreach, for example direct contact with further education colleges.</w:t>
      </w:r>
    </w:p>
    <w:p w14:paraId="350CF646" w14:textId="77777777" w:rsidR="004C7180" w:rsidRPr="00150EDC" w:rsidRDefault="00CF0754">
      <w:pPr>
        <w:pStyle w:val="BodyText"/>
        <w:spacing w:line="276" w:lineRule="auto"/>
        <w:ind w:left="1399" w:right="1435"/>
        <w:jc w:val="both"/>
      </w:pPr>
      <w:r w:rsidRPr="007D3144">
        <w:t>Once a list of interested providers is established, the Project Manager will deliver a group</w:t>
      </w:r>
      <w:r w:rsidRPr="007D3144">
        <w:rPr>
          <w:spacing w:val="-17"/>
        </w:rPr>
        <w:t xml:space="preserve"> </w:t>
      </w:r>
      <w:r w:rsidRPr="007D3144">
        <w:t>webinar</w:t>
      </w:r>
      <w:r w:rsidRPr="007D3144">
        <w:rPr>
          <w:spacing w:val="-17"/>
        </w:rPr>
        <w:t xml:space="preserve"> </w:t>
      </w:r>
      <w:r w:rsidRPr="007D3144">
        <w:t>detailing</w:t>
      </w:r>
      <w:r w:rsidRPr="007D3144">
        <w:rPr>
          <w:spacing w:val="-16"/>
        </w:rPr>
        <w:t xml:space="preserve"> </w:t>
      </w:r>
      <w:r w:rsidRPr="007D3144">
        <w:t>trial</w:t>
      </w:r>
      <w:r w:rsidRPr="007D3144">
        <w:rPr>
          <w:spacing w:val="-17"/>
        </w:rPr>
        <w:t xml:space="preserve"> </w:t>
      </w:r>
      <w:r w:rsidRPr="007D3144">
        <w:t>requirements</w:t>
      </w:r>
      <w:r w:rsidRPr="007D3144">
        <w:rPr>
          <w:spacing w:val="-17"/>
        </w:rPr>
        <w:t xml:space="preserve"> </w:t>
      </w:r>
      <w:r w:rsidRPr="007D3144">
        <w:t>and</w:t>
      </w:r>
      <w:r w:rsidRPr="007D3144">
        <w:rPr>
          <w:spacing w:val="-17"/>
        </w:rPr>
        <w:t xml:space="preserve"> </w:t>
      </w:r>
      <w:r w:rsidRPr="007D3144">
        <w:t>next</w:t>
      </w:r>
      <w:r w:rsidRPr="007D3144">
        <w:rPr>
          <w:spacing w:val="-16"/>
        </w:rPr>
        <w:t xml:space="preserve"> </w:t>
      </w:r>
      <w:r w:rsidRPr="007D3144">
        <w:t>steps</w:t>
      </w:r>
      <w:r w:rsidRPr="007D3144">
        <w:rPr>
          <w:spacing w:val="-17"/>
        </w:rPr>
        <w:t xml:space="preserve"> </w:t>
      </w:r>
      <w:r w:rsidRPr="007D3144">
        <w:t>prior</w:t>
      </w:r>
      <w:r w:rsidRPr="007D3144">
        <w:rPr>
          <w:spacing w:val="-17"/>
        </w:rPr>
        <w:t xml:space="preserve"> </w:t>
      </w:r>
      <w:r w:rsidRPr="007D3144">
        <w:t>to</w:t>
      </w:r>
      <w:r w:rsidRPr="007D3144">
        <w:rPr>
          <w:spacing w:val="-16"/>
        </w:rPr>
        <w:t xml:space="preserve"> </w:t>
      </w:r>
      <w:r w:rsidRPr="007D3144">
        <w:t>formal</w:t>
      </w:r>
      <w:r w:rsidRPr="007D3144">
        <w:rPr>
          <w:spacing w:val="-17"/>
        </w:rPr>
        <w:t xml:space="preserve"> </w:t>
      </w:r>
      <w:r w:rsidRPr="007D3144">
        <w:t>sign-up.</w:t>
      </w:r>
      <w:r w:rsidRPr="007D3144">
        <w:rPr>
          <w:spacing w:val="-17"/>
        </w:rPr>
        <w:t xml:space="preserve"> </w:t>
      </w:r>
      <w:r w:rsidRPr="007D3144">
        <w:t>MCAs and providers will be responsible for learner recruitment, and we will support this through a range of measures including:</w:t>
      </w:r>
    </w:p>
    <w:p w14:paraId="4D5099EB" w14:textId="77777777" w:rsidR="004C7180" w:rsidRPr="007D3144" w:rsidRDefault="00CF0754" w:rsidP="00B320C7">
      <w:pPr>
        <w:pStyle w:val="ListParagraph"/>
        <w:numPr>
          <w:ilvl w:val="1"/>
          <w:numId w:val="53"/>
        </w:numPr>
        <w:tabs>
          <w:tab w:val="left" w:pos="2120"/>
        </w:tabs>
        <w:spacing w:before="119" w:line="276" w:lineRule="auto"/>
        <w:ind w:right="1435"/>
        <w:jc w:val="both"/>
        <w:rPr>
          <w:rFonts w:ascii="Wingdings" w:hAnsi="Wingdings"/>
          <w:sz w:val="24"/>
        </w:rPr>
      </w:pPr>
      <w:r w:rsidRPr="007D3144">
        <w:rPr>
          <w:sz w:val="24"/>
        </w:rPr>
        <w:t>Webinars/briefings confirming the learner profile e.g. not participating in another trial; don’t have Maths GCSE; from hard-to-reach groups (e.g. NEET)</w:t>
      </w:r>
    </w:p>
    <w:p w14:paraId="282DB8F2" w14:textId="77777777" w:rsidR="004C7180" w:rsidRPr="007D3144" w:rsidRDefault="00CF0754" w:rsidP="00B320C7">
      <w:pPr>
        <w:pStyle w:val="ListParagraph"/>
        <w:numPr>
          <w:ilvl w:val="1"/>
          <w:numId w:val="53"/>
        </w:numPr>
        <w:tabs>
          <w:tab w:val="left" w:pos="2119"/>
        </w:tabs>
        <w:spacing w:line="275" w:lineRule="exact"/>
        <w:ind w:left="2119" w:hanging="359"/>
        <w:jc w:val="both"/>
        <w:rPr>
          <w:rFonts w:ascii="Wingdings" w:hAnsi="Wingdings"/>
          <w:sz w:val="24"/>
        </w:rPr>
      </w:pPr>
      <w:r w:rsidRPr="007D3144">
        <w:rPr>
          <w:sz w:val="24"/>
        </w:rPr>
        <w:t>Promoting</w:t>
      </w:r>
      <w:r w:rsidRPr="007D3144">
        <w:rPr>
          <w:spacing w:val="-6"/>
          <w:sz w:val="24"/>
        </w:rPr>
        <w:t xml:space="preserve"> </w:t>
      </w:r>
      <w:r w:rsidRPr="007D3144">
        <w:rPr>
          <w:sz w:val="24"/>
        </w:rPr>
        <w:t>opportunities</w:t>
      </w:r>
      <w:r w:rsidRPr="007D3144">
        <w:rPr>
          <w:spacing w:val="-3"/>
          <w:sz w:val="24"/>
        </w:rPr>
        <w:t xml:space="preserve"> </w:t>
      </w:r>
      <w:r w:rsidRPr="007D3144">
        <w:rPr>
          <w:sz w:val="24"/>
        </w:rPr>
        <w:t>through</w:t>
      </w:r>
      <w:r w:rsidRPr="007D3144">
        <w:rPr>
          <w:spacing w:val="-4"/>
          <w:sz w:val="24"/>
        </w:rPr>
        <w:t xml:space="preserve"> </w:t>
      </w:r>
      <w:r w:rsidRPr="007D3144">
        <w:rPr>
          <w:sz w:val="24"/>
        </w:rPr>
        <w:t>existing</w:t>
      </w:r>
      <w:r w:rsidRPr="007D3144">
        <w:rPr>
          <w:spacing w:val="-4"/>
          <w:sz w:val="24"/>
        </w:rPr>
        <w:t xml:space="preserve"> </w:t>
      </w:r>
      <w:r w:rsidRPr="007D3144">
        <w:rPr>
          <w:sz w:val="24"/>
        </w:rPr>
        <w:t>networks</w:t>
      </w:r>
      <w:r w:rsidRPr="007D3144">
        <w:rPr>
          <w:spacing w:val="-3"/>
          <w:sz w:val="24"/>
        </w:rPr>
        <w:t xml:space="preserve"> </w:t>
      </w:r>
      <w:r w:rsidRPr="007D3144">
        <w:rPr>
          <w:sz w:val="24"/>
        </w:rPr>
        <w:t>(e.g.</w:t>
      </w:r>
      <w:r w:rsidRPr="007D3144">
        <w:rPr>
          <w:spacing w:val="-3"/>
          <w:sz w:val="24"/>
        </w:rPr>
        <w:t xml:space="preserve"> </w:t>
      </w:r>
      <w:r w:rsidRPr="007D3144">
        <w:rPr>
          <w:sz w:val="24"/>
        </w:rPr>
        <w:t>NCETM</w:t>
      </w:r>
      <w:r w:rsidRPr="007D3144">
        <w:rPr>
          <w:spacing w:val="-3"/>
          <w:sz w:val="24"/>
        </w:rPr>
        <w:t xml:space="preserve"> </w:t>
      </w:r>
      <w:r w:rsidRPr="007D3144">
        <w:rPr>
          <w:spacing w:val="-2"/>
          <w:sz w:val="24"/>
        </w:rPr>
        <w:t>stakeholders)</w:t>
      </w:r>
    </w:p>
    <w:p w14:paraId="7D1CD6F4" w14:textId="77777777" w:rsidR="004C7180" w:rsidRPr="007D3144" w:rsidRDefault="00CF0754" w:rsidP="00B320C7">
      <w:pPr>
        <w:pStyle w:val="ListParagraph"/>
        <w:numPr>
          <w:ilvl w:val="1"/>
          <w:numId w:val="53"/>
        </w:numPr>
        <w:tabs>
          <w:tab w:val="left" w:pos="2120"/>
        </w:tabs>
        <w:spacing w:before="41" w:line="276" w:lineRule="auto"/>
        <w:ind w:right="1435"/>
        <w:jc w:val="both"/>
        <w:rPr>
          <w:rFonts w:ascii="Wingdings" w:hAnsi="Wingdings"/>
          <w:sz w:val="24"/>
        </w:rPr>
      </w:pPr>
      <w:r w:rsidRPr="007D3144">
        <w:rPr>
          <w:sz w:val="24"/>
        </w:rPr>
        <w:t>Providing supporting collateral e.g. template emails/posters which can be tailored</w:t>
      </w:r>
      <w:r w:rsidRPr="007D3144">
        <w:rPr>
          <w:spacing w:val="-4"/>
          <w:sz w:val="24"/>
        </w:rPr>
        <w:t xml:space="preserve"> </w:t>
      </w:r>
      <w:r w:rsidRPr="007D3144">
        <w:rPr>
          <w:sz w:val="24"/>
        </w:rPr>
        <w:t>to</w:t>
      </w:r>
      <w:r w:rsidRPr="007D3144">
        <w:rPr>
          <w:spacing w:val="-4"/>
          <w:sz w:val="24"/>
        </w:rPr>
        <w:t xml:space="preserve"> </w:t>
      </w:r>
      <w:r w:rsidRPr="007D3144">
        <w:rPr>
          <w:sz w:val="24"/>
        </w:rPr>
        <w:t>the</w:t>
      </w:r>
      <w:r w:rsidRPr="007D3144">
        <w:rPr>
          <w:spacing w:val="-4"/>
          <w:sz w:val="24"/>
        </w:rPr>
        <w:t xml:space="preserve"> </w:t>
      </w:r>
      <w:r w:rsidRPr="007D3144">
        <w:rPr>
          <w:sz w:val="24"/>
        </w:rPr>
        <w:t>trial,</w:t>
      </w:r>
      <w:r w:rsidRPr="007D3144">
        <w:rPr>
          <w:spacing w:val="-5"/>
          <w:sz w:val="24"/>
        </w:rPr>
        <w:t xml:space="preserve"> </w:t>
      </w:r>
      <w:r w:rsidRPr="007D3144">
        <w:rPr>
          <w:sz w:val="24"/>
        </w:rPr>
        <w:t>and</w:t>
      </w:r>
      <w:r w:rsidRPr="007D3144">
        <w:rPr>
          <w:spacing w:val="-4"/>
          <w:sz w:val="24"/>
        </w:rPr>
        <w:t xml:space="preserve"> </w:t>
      </w:r>
      <w:r w:rsidRPr="007D3144">
        <w:rPr>
          <w:sz w:val="24"/>
        </w:rPr>
        <w:t>social</w:t>
      </w:r>
      <w:r w:rsidRPr="007D3144">
        <w:rPr>
          <w:spacing w:val="-6"/>
          <w:sz w:val="24"/>
        </w:rPr>
        <w:t xml:space="preserve"> </w:t>
      </w:r>
      <w:r w:rsidRPr="007D3144">
        <w:rPr>
          <w:sz w:val="24"/>
        </w:rPr>
        <w:t>media</w:t>
      </w:r>
      <w:r w:rsidRPr="007D3144">
        <w:rPr>
          <w:spacing w:val="-2"/>
          <w:sz w:val="24"/>
        </w:rPr>
        <w:t xml:space="preserve"> </w:t>
      </w:r>
      <w:r w:rsidRPr="007D3144">
        <w:rPr>
          <w:sz w:val="24"/>
        </w:rPr>
        <w:t>campaigns</w:t>
      </w:r>
      <w:r w:rsidRPr="007D3144">
        <w:rPr>
          <w:spacing w:val="-3"/>
          <w:sz w:val="24"/>
        </w:rPr>
        <w:t xml:space="preserve"> </w:t>
      </w:r>
      <w:r w:rsidRPr="007D3144">
        <w:rPr>
          <w:sz w:val="24"/>
        </w:rPr>
        <w:t>(e.g.</w:t>
      </w:r>
      <w:r w:rsidRPr="007D3144">
        <w:rPr>
          <w:spacing w:val="-2"/>
          <w:sz w:val="24"/>
        </w:rPr>
        <w:t xml:space="preserve"> </w:t>
      </w:r>
      <w:r w:rsidRPr="007D3144">
        <w:rPr>
          <w:sz w:val="24"/>
        </w:rPr>
        <w:t>amplifying</w:t>
      </w:r>
      <w:r w:rsidRPr="007D3144">
        <w:rPr>
          <w:spacing w:val="-4"/>
          <w:sz w:val="24"/>
        </w:rPr>
        <w:t xml:space="preserve"> </w:t>
      </w:r>
      <w:r w:rsidRPr="007D3144">
        <w:rPr>
          <w:sz w:val="24"/>
        </w:rPr>
        <w:t>messaging</w:t>
      </w:r>
      <w:r w:rsidRPr="007D3144">
        <w:rPr>
          <w:spacing w:val="-4"/>
          <w:sz w:val="24"/>
        </w:rPr>
        <w:t xml:space="preserve"> </w:t>
      </w:r>
      <w:r w:rsidRPr="007D3144">
        <w:rPr>
          <w:sz w:val="24"/>
        </w:rPr>
        <w:t xml:space="preserve">by </w:t>
      </w:r>
      <w:r w:rsidRPr="007D3144">
        <w:rPr>
          <w:spacing w:val="-2"/>
          <w:sz w:val="24"/>
        </w:rPr>
        <w:t>reposting)</w:t>
      </w:r>
    </w:p>
    <w:p w14:paraId="566F53F0" w14:textId="77777777" w:rsidR="004C7180" w:rsidRPr="007D3144" w:rsidRDefault="00CF0754" w:rsidP="00B320C7">
      <w:pPr>
        <w:pStyle w:val="ListParagraph"/>
        <w:numPr>
          <w:ilvl w:val="1"/>
          <w:numId w:val="53"/>
        </w:numPr>
        <w:tabs>
          <w:tab w:val="left" w:pos="2120"/>
        </w:tabs>
        <w:spacing w:before="1" w:line="276" w:lineRule="auto"/>
        <w:ind w:right="1437"/>
        <w:jc w:val="both"/>
        <w:rPr>
          <w:rFonts w:ascii="Wingdings" w:hAnsi="Wingdings"/>
          <w:sz w:val="24"/>
        </w:rPr>
      </w:pPr>
      <w:r w:rsidRPr="007D3144">
        <w:rPr>
          <w:sz w:val="24"/>
        </w:rPr>
        <w:t>Acting</w:t>
      </w:r>
      <w:r w:rsidRPr="007D3144">
        <w:rPr>
          <w:spacing w:val="-11"/>
          <w:sz w:val="24"/>
        </w:rPr>
        <w:t xml:space="preserve"> </w:t>
      </w:r>
      <w:r w:rsidRPr="007D3144">
        <w:rPr>
          <w:sz w:val="24"/>
        </w:rPr>
        <w:t>as</w:t>
      </w:r>
      <w:r w:rsidRPr="007D3144">
        <w:rPr>
          <w:spacing w:val="-14"/>
          <w:sz w:val="24"/>
        </w:rPr>
        <w:t xml:space="preserve"> </w:t>
      </w:r>
      <w:r w:rsidRPr="007D3144">
        <w:rPr>
          <w:sz w:val="24"/>
        </w:rPr>
        <w:t>a</w:t>
      </w:r>
      <w:r w:rsidRPr="007D3144">
        <w:rPr>
          <w:spacing w:val="-11"/>
          <w:sz w:val="24"/>
        </w:rPr>
        <w:t xml:space="preserve"> </w:t>
      </w:r>
      <w:r w:rsidRPr="007D3144">
        <w:rPr>
          <w:sz w:val="24"/>
        </w:rPr>
        <w:t>broker</w:t>
      </w:r>
      <w:r w:rsidRPr="007D3144">
        <w:rPr>
          <w:spacing w:val="-12"/>
          <w:sz w:val="24"/>
        </w:rPr>
        <w:t xml:space="preserve"> </w:t>
      </w:r>
      <w:r w:rsidRPr="007D3144">
        <w:rPr>
          <w:sz w:val="24"/>
        </w:rPr>
        <w:t>between</w:t>
      </w:r>
      <w:r w:rsidRPr="007D3144">
        <w:rPr>
          <w:spacing w:val="-11"/>
          <w:sz w:val="24"/>
        </w:rPr>
        <w:t xml:space="preserve"> </w:t>
      </w:r>
      <w:r w:rsidRPr="007D3144">
        <w:rPr>
          <w:sz w:val="24"/>
        </w:rPr>
        <w:t>providers</w:t>
      </w:r>
      <w:r w:rsidRPr="007D3144">
        <w:rPr>
          <w:spacing w:val="-12"/>
          <w:sz w:val="24"/>
        </w:rPr>
        <w:t xml:space="preserve"> </w:t>
      </w:r>
      <w:r w:rsidRPr="007D3144">
        <w:rPr>
          <w:sz w:val="24"/>
        </w:rPr>
        <w:t>in</w:t>
      </w:r>
      <w:r w:rsidRPr="007D3144">
        <w:rPr>
          <w:spacing w:val="-11"/>
          <w:sz w:val="24"/>
        </w:rPr>
        <w:t xml:space="preserve"> </w:t>
      </w:r>
      <w:r w:rsidRPr="007D3144">
        <w:rPr>
          <w:sz w:val="24"/>
        </w:rPr>
        <w:t>the</w:t>
      </w:r>
      <w:r w:rsidRPr="007D3144">
        <w:rPr>
          <w:spacing w:val="-11"/>
          <w:sz w:val="24"/>
        </w:rPr>
        <w:t xml:space="preserve"> </w:t>
      </w:r>
      <w:r w:rsidRPr="007D3144">
        <w:rPr>
          <w:sz w:val="24"/>
        </w:rPr>
        <w:t>same</w:t>
      </w:r>
      <w:r w:rsidRPr="007D3144">
        <w:rPr>
          <w:spacing w:val="-13"/>
          <w:sz w:val="24"/>
        </w:rPr>
        <w:t xml:space="preserve"> </w:t>
      </w:r>
      <w:r w:rsidRPr="007D3144">
        <w:rPr>
          <w:sz w:val="24"/>
        </w:rPr>
        <w:t>area</w:t>
      </w:r>
      <w:r w:rsidRPr="007D3144">
        <w:rPr>
          <w:spacing w:val="-11"/>
          <w:sz w:val="24"/>
        </w:rPr>
        <w:t xml:space="preserve"> </w:t>
      </w:r>
      <w:r w:rsidRPr="007D3144">
        <w:rPr>
          <w:sz w:val="24"/>
        </w:rPr>
        <w:t>to</w:t>
      </w:r>
      <w:r w:rsidRPr="007D3144">
        <w:rPr>
          <w:spacing w:val="-11"/>
          <w:sz w:val="24"/>
        </w:rPr>
        <w:t xml:space="preserve"> </w:t>
      </w:r>
      <w:r w:rsidRPr="007D3144">
        <w:rPr>
          <w:sz w:val="24"/>
        </w:rPr>
        <w:t>align</w:t>
      </w:r>
      <w:r w:rsidRPr="007D3144">
        <w:rPr>
          <w:spacing w:val="-13"/>
          <w:sz w:val="24"/>
        </w:rPr>
        <w:t xml:space="preserve"> </w:t>
      </w:r>
      <w:r w:rsidRPr="007D3144">
        <w:rPr>
          <w:sz w:val="24"/>
        </w:rPr>
        <w:t>those</w:t>
      </w:r>
      <w:r w:rsidRPr="007D3144">
        <w:rPr>
          <w:spacing w:val="-11"/>
          <w:sz w:val="24"/>
        </w:rPr>
        <w:t xml:space="preserve"> </w:t>
      </w:r>
      <w:r w:rsidRPr="007D3144">
        <w:rPr>
          <w:sz w:val="24"/>
        </w:rPr>
        <w:t>who</w:t>
      </w:r>
      <w:r w:rsidRPr="007D3144">
        <w:rPr>
          <w:spacing w:val="-11"/>
          <w:sz w:val="24"/>
        </w:rPr>
        <w:t xml:space="preserve"> </w:t>
      </w:r>
      <w:r w:rsidRPr="007D3144">
        <w:rPr>
          <w:sz w:val="24"/>
        </w:rPr>
        <w:t>over- and under-recruit.</w:t>
      </w:r>
    </w:p>
    <w:p w14:paraId="07F3FD6D" w14:textId="77777777" w:rsidR="004C7180" w:rsidRPr="00150EDC" w:rsidRDefault="00CF0754">
      <w:pPr>
        <w:pStyle w:val="BodyText"/>
        <w:spacing w:before="1" w:line="276" w:lineRule="auto"/>
        <w:ind w:left="1400" w:right="1435"/>
        <w:jc w:val="both"/>
      </w:pPr>
      <w:r w:rsidRPr="007D3144">
        <w:t>The</w:t>
      </w:r>
      <w:r w:rsidRPr="007D3144">
        <w:rPr>
          <w:spacing w:val="-9"/>
        </w:rPr>
        <w:t xml:space="preserve"> </w:t>
      </w:r>
      <w:r w:rsidRPr="007D3144">
        <w:t>Project</w:t>
      </w:r>
      <w:r w:rsidRPr="007D3144">
        <w:rPr>
          <w:spacing w:val="-10"/>
        </w:rPr>
        <w:t xml:space="preserve"> </w:t>
      </w:r>
      <w:r w:rsidRPr="007D3144">
        <w:t>Manager</w:t>
      </w:r>
      <w:r w:rsidRPr="007D3144">
        <w:rPr>
          <w:spacing w:val="-12"/>
        </w:rPr>
        <w:t xml:space="preserve"> </w:t>
      </w:r>
      <w:r w:rsidRPr="007D3144">
        <w:t>will</w:t>
      </w:r>
      <w:r w:rsidRPr="007D3144">
        <w:rPr>
          <w:spacing w:val="-10"/>
        </w:rPr>
        <w:t xml:space="preserve"> </w:t>
      </w:r>
      <w:r w:rsidRPr="007D3144">
        <w:t>liaise</w:t>
      </w:r>
      <w:r w:rsidRPr="007D3144">
        <w:rPr>
          <w:spacing w:val="-9"/>
        </w:rPr>
        <w:t xml:space="preserve"> </w:t>
      </w:r>
      <w:r w:rsidRPr="007D3144">
        <w:t>with</w:t>
      </w:r>
      <w:r w:rsidRPr="007D3144">
        <w:rPr>
          <w:spacing w:val="-9"/>
        </w:rPr>
        <w:t xml:space="preserve"> </w:t>
      </w:r>
      <w:r w:rsidRPr="007D3144">
        <w:t>the</w:t>
      </w:r>
      <w:r w:rsidRPr="007D3144">
        <w:rPr>
          <w:spacing w:val="-11"/>
        </w:rPr>
        <w:t xml:space="preserve"> </w:t>
      </w:r>
      <w:r w:rsidRPr="007D3144">
        <w:t>MCAs</w:t>
      </w:r>
      <w:r w:rsidRPr="007D3144">
        <w:rPr>
          <w:spacing w:val="-10"/>
        </w:rPr>
        <w:t xml:space="preserve"> </w:t>
      </w:r>
      <w:r w:rsidRPr="007D3144">
        <w:t>and</w:t>
      </w:r>
      <w:r w:rsidRPr="007D3144">
        <w:rPr>
          <w:spacing w:val="-11"/>
        </w:rPr>
        <w:t xml:space="preserve"> </w:t>
      </w:r>
      <w:r w:rsidRPr="007D3144">
        <w:t>providers</w:t>
      </w:r>
      <w:r w:rsidRPr="007D3144">
        <w:rPr>
          <w:spacing w:val="-10"/>
        </w:rPr>
        <w:t xml:space="preserve"> </w:t>
      </w:r>
      <w:r w:rsidRPr="007D3144">
        <w:t>to</w:t>
      </w:r>
      <w:r w:rsidRPr="007D3144">
        <w:rPr>
          <w:spacing w:val="-13"/>
        </w:rPr>
        <w:t xml:space="preserve"> </w:t>
      </w:r>
      <w:r w:rsidRPr="007D3144">
        <w:t>monitor</w:t>
      </w:r>
      <w:r w:rsidRPr="007D3144">
        <w:rPr>
          <w:spacing w:val="-10"/>
        </w:rPr>
        <w:t xml:space="preserve"> </w:t>
      </w:r>
      <w:r w:rsidRPr="007D3144">
        <w:t>recruitment</w:t>
      </w:r>
      <w:r w:rsidRPr="007D3144">
        <w:rPr>
          <w:spacing w:val="-11"/>
        </w:rPr>
        <w:t xml:space="preserve"> </w:t>
      </w:r>
      <w:r w:rsidRPr="007D3144">
        <w:t>on a</w:t>
      </w:r>
      <w:r w:rsidRPr="007D3144">
        <w:rPr>
          <w:spacing w:val="-2"/>
        </w:rPr>
        <w:t xml:space="preserve"> </w:t>
      </w:r>
      <w:r w:rsidRPr="007D3144">
        <w:t>fortnightly</w:t>
      </w:r>
      <w:r w:rsidRPr="007D3144">
        <w:rPr>
          <w:spacing w:val="-5"/>
        </w:rPr>
        <w:t xml:space="preserve"> </w:t>
      </w:r>
      <w:r w:rsidRPr="007D3144">
        <w:t>basis</w:t>
      </w:r>
      <w:r w:rsidRPr="007D3144">
        <w:rPr>
          <w:spacing w:val="-5"/>
        </w:rPr>
        <w:t xml:space="preserve"> </w:t>
      </w:r>
      <w:r w:rsidRPr="007D3144">
        <w:t>to</w:t>
      </w:r>
      <w:r w:rsidRPr="007D3144">
        <w:rPr>
          <w:spacing w:val="-4"/>
        </w:rPr>
        <w:t xml:space="preserve"> </w:t>
      </w:r>
      <w:r w:rsidRPr="007D3144">
        <w:t>enable</w:t>
      </w:r>
      <w:r w:rsidRPr="007D3144">
        <w:rPr>
          <w:spacing w:val="-4"/>
        </w:rPr>
        <w:t xml:space="preserve"> </w:t>
      </w:r>
      <w:r w:rsidRPr="007D3144">
        <w:t>early</w:t>
      </w:r>
      <w:r w:rsidRPr="007D3144">
        <w:rPr>
          <w:spacing w:val="-5"/>
        </w:rPr>
        <w:t xml:space="preserve"> </w:t>
      </w:r>
      <w:r w:rsidRPr="007D3144">
        <w:t>management</w:t>
      </w:r>
      <w:r w:rsidRPr="007D3144">
        <w:rPr>
          <w:spacing w:val="-2"/>
        </w:rPr>
        <w:t xml:space="preserve"> </w:t>
      </w:r>
      <w:r w:rsidRPr="007D3144">
        <w:t>interventions</w:t>
      </w:r>
      <w:r w:rsidRPr="007D3144">
        <w:rPr>
          <w:spacing w:val="-3"/>
        </w:rPr>
        <w:t xml:space="preserve"> </w:t>
      </w:r>
      <w:r w:rsidRPr="007D3144">
        <w:t>should</w:t>
      </w:r>
      <w:r w:rsidRPr="007D3144">
        <w:rPr>
          <w:spacing w:val="-4"/>
        </w:rPr>
        <w:t xml:space="preserve"> </w:t>
      </w:r>
      <w:r w:rsidRPr="007D3144">
        <w:t>there</w:t>
      </w:r>
      <w:r w:rsidRPr="007D3144">
        <w:rPr>
          <w:spacing w:val="-4"/>
        </w:rPr>
        <w:t xml:space="preserve"> </w:t>
      </w:r>
      <w:r w:rsidRPr="007D3144">
        <w:t>be</w:t>
      </w:r>
      <w:r w:rsidRPr="007D3144">
        <w:rPr>
          <w:spacing w:val="-2"/>
        </w:rPr>
        <w:t xml:space="preserve"> </w:t>
      </w:r>
      <w:r w:rsidRPr="007D3144">
        <w:t>a</w:t>
      </w:r>
      <w:r w:rsidRPr="007D3144">
        <w:rPr>
          <w:spacing w:val="-4"/>
        </w:rPr>
        <w:t xml:space="preserve"> </w:t>
      </w:r>
      <w:r w:rsidRPr="007D3144">
        <w:t>risk</w:t>
      </w:r>
      <w:r w:rsidRPr="007D3144">
        <w:rPr>
          <w:spacing w:val="-3"/>
        </w:rPr>
        <w:t xml:space="preserve"> </w:t>
      </w:r>
      <w:r w:rsidRPr="007D3144">
        <w:t xml:space="preserve">of </w:t>
      </w:r>
      <w:r w:rsidRPr="007D3144">
        <w:rPr>
          <w:spacing w:val="-2"/>
        </w:rPr>
        <w:t>under-recruitment.</w:t>
      </w:r>
    </w:p>
    <w:p w14:paraId="364DECE7" w14:textId="77777777" w:rsidR="004C7180" w:rsidRPr="00150EDC" w:rsidRDefault="004C7180">
      <w:pPr>
        <w:pStyle w:val="BodyText"/>
        <w:spacing w:before="2"/>
        <w:rPr>
          <w:sz w:val="31"/>
        </w:rPr>
      </w:pPr>
    </w:p>
    <w:p w14:paraId="66863D7F" w14:textId="77777777" w:rsidR="004C7180" w:rsidRPr="00150EDC" w:rsidRDefault="00CF0754">
      <w:pPr>
        <w:ind w:left="1400"/>
        <w:jc w:val="both"/>
        <w:rPr>
          <w:b/>
          <w:sz w:val="24"/>
        </w:rPr>
      </w:pPr>
      <w:bookmarkStart w:id="31" w:name="Readiness_requirements"/>
      <w:bookmarkEnd w:id="31"/>
      <w:r w:rsidRPr="007D3144">
        <w:rPr>
          <w:b/>
          <w:sz w:val="24"/>
        </w:rPr>
        <w:t>Readiness</w:t>
      </w:r>
      <w:r w:rsidRPr="007D3144">
        <w:rPr>
          <w:b/>
          <w:spacing w:val="-2"/>
          <w:sz w:val="24"/>
        </w:rPr>
        <w:t xml:space="preserve"> requirements</w:t>
      </w:r>
    </w:p>
    <w:p w14:paraId="46F21A56" w14:textId="77777777" w:rsidR="004C7180" w:rsidRPr="00150EDC" w:rsidRDefault="004C7180">
      <w:pPr>
        <w:pStyle w:val="BodyText"/>
        <w:rPr>
          <w:b/>
          <w:sz w:val="35"/>
        </w:rPr>
      </w:pPr>
    </w:p>
    <w:p w14:paraId="50E92FFB" w14:textId="77777777" w:rsidR="004C7180" w:rsidRPr="00150EDC" w:rsidRDefault="00CF0754">
      <w:pPr>
        <w:pStyle w:val="BodyText"/>
        <w:spacing w:before="1" w:line="276" w:lineRule="auto"/>
        <w:ind w:left="1400" w:right="1435"/>
        <w:jc w:val="both"/>
      </w:pPr>
      <w:bookmarkStart w:id="32" w:name="The_Project_Manager_will_facilitate_tria"/>
      <w:bookmarkEnd w:id="32"/>
      <w:r w:rsidRPr="007D3144">
        <w:t>The Project Manager will facilitate trial readiness assessments to confirm that all providers have understood requirements/protocols to be followed and are able to effectively deliver the trial through:</w:t>
      </w:r>
    </w:p>
    <w:p w14:paraId="1CE288C0" w14:textId="77777777" w:rsidR="004C7180" w:rsidRPr="00150EDC" w:rsidRDefault="004C7180">
      <w:pPr>
        <w:pStyle w:val="BodyText"/>
        <w:spacing w:before="8"/>
        <w:rPr>
          <w:sz w:val="20"/>
        </w:rPr>
      </w:pPr>
    </w:p>
    <w:p w14:paraId="39A4FC0D" w14:textId="77777777" w:rsidR="004C7180" w:rsidRPr="007D3144" w:rsidRDefault="00CF0754" w:rsidP="00B320C7">
      <w:pPr>
        <w:pStyle w:val="ListParagraph"/>
        <w:numPr>
          <w:ilvl w:val="1"/>
          <w:numId w:val="53"/>
        </w:numPr>
        <w:tabs>
          <w:tab w:val="left" w:pos="2120"/>
        </w:tabs>
        <w:spacing w:line="278" w:lineRule="auto"/>
        <w:ind w:right="1435"/>
        <w:rPr>
          <w:rFonts w:ascii="Wingdings" w:hAnsi="Wingdings"/>
          <w:sz w:val="24"/>
        </w:rPr>
      </w:pPr>
      <w:r w:rsidRPr="007D3144">
        <w:rPr>
          <w:sz w:val="24"/>
        </w:rPr>
        <w:t>Electronic information pack outlining objectives,</w:t>
      </w:r>
      <w:r w:rsidRPr="007D3144">
        <w:rPr>
          <w:spacing w:val="33"/>
          <w:sz w:val="24"/>
        </w:rPr>
        <w:t xml:space="preserve"> </w:t>
      </w:r>
      <w:r w:rsidRPr="007D3144">
        <w:rPr>
          <w:sz w:val="24"/>
        </w:rPr>
        <w:t>procedures and</w:t>
      </w:r>
      <w:r w:rsidRPr="007D3144">
        <w:rPr>
          <w:spacing w:val="33"/>
          <w:sz w:val="24"/>
        </w:rPr>
        <w:t xml:space="preserve"> </w:t>
      </w:r>
      <w:r w:rsidRPr="007D3144">
        <w:rPr>
          <w:sz w:val="24"/>
        </w:rPr>
        <w:t xml:space="preserve">timeline for </w:t>
      </w:r>
      <w:r w:rsidRPr="007D3144">
        <w:rPr>
          <w:spacing w:val="-2"/>
          <w:sz w:val="24"/>
        </w:rPr>
        <w:t>trial</w:t>
      </w:r>
    </w:p>
    <w:p w14:paraId="09665172" w14:textId="77777777" w:rsidR="004C7180" w:rsidRPr="007D3144" w:rsidRDefault="00CF0754" w:rsidP="00B320C7">
      <w:pPr>
        <w:pStyle w:val="ListParagraph"/>
        <w:numPr>
          <w:ilvl w:val="1"/>
          <w:numId w:val="53"/>
        </w:numPr>
        <w:tabs>
          <w:tab w:val="left" w:pos="2120"/>
        </w:tabs>
        <w:spacing w:line="276" w:lineRule="auto"/>
        <w:ind w:right="1437"/>
        <w:rPr>
          <w:rFonts w:ascii="Wingdings" w:hAnsi="Wingdings"/>
          <w:sz w:val="24"/>
        </w:rPr>
      </w:pPr>
      <w:r w:rsidRPr="007D3144">
        <w:rPr>
          <w:sz w:val="24"/>
        </w:rPr>
        <w:t>Workshops</w:t>
      </w:r>
      <w:r w:rsidRPr="007D3144">
        <w:rPr>
          <w:spacing w:val="80"/>
          <w:sz w:val="24"/>
        </w:rPr>
        <w:t xml:space="preserve"> </w:t>
      </w:r>
      <w:r w:rsidRPr="007D3144">
        <w:rPr>
          <w:sz w:val="24"/>
        </w:rPr>
        <w:t>(virtual/face</w:t>
      </w:r>
      <w:r w:rsidRPr="007D3144">
        <w:rPr>
          <w:spacing w:val="80"/>
          <w:sz w:val="24"/>
        </w:rPr>
        <w:t xml:space="preserve"> </w:t>
      </w:r>
      <w:r w:rsidRPr="007D3144">
        <w:rPr>
          <w:sz w:val="24"/>
        </w:rPr>
        <w:t>to</w:t>
      </w:r>
      <w:r w:rsidRPr="007D3144">
        <w:rPr>
          <w:spacing w:val="80"/>
          <w:sz w:val="24"/>
        </w:rPr>
        <w:t xml:space="preserve"> </w:t>
      </w:r>
      <w:r w:rsidRPr="007D3144">
        <w:rPr>
          <w:sz w:val="24"/>
        </w:rPr>
        <w:t>face)</w:t>
      </w:r>
      <w:r w:rsidRPr="007D3144">
        <w:rPr>
          <w:spacing w:val="80"/>
          <w:sz w:val="24"/>
        </w:rPr>
        <w:t xml:space="preserve"> </w:t>
      </w:r>
      <w:r w:rsidRPr="007D3144">
        <w:rPr>
          <w:sz w:val="24"/>
        </w:rPr>
        <w:t>to</w:t>
      </w:r>
      <w:r w:rsidRPr="007D3144">
        <w:rPr>
          <w:spacing w:val="80"/>
          <w:sz w:val="24"/>
        </w:rPr>
        <w:t xml:space="preserve"> </w:t>
      </w:r>
      <w:r w:rsidRPr="007D3144">
        <w:rPr>
          <w:sz w:val="24"/>
        </w:rPr>
        <w:t>brief</w:t>
      </w:r>
      <w:r w:rsidRPr="007D3144">
        <w:rPr>
          <w:spacing w:val="80"/>
          <w:sz w:val="24"/>
        </w:rPr>
        <w:t xml:space="preserve"> </w:t>
      </w:r>
      <w:r w:rsidRPr="007D3144">
        <w:rPr>
          <w:sz w:val="24"/>
        </w:rPr>
        <w:t>on</w:t>
      </w:r>
      <w:r w:rsidRPr="007D3144">
        <w:rPr>
          <w:spacing w:val="80"/>
          <w:sz w:val="24"/>
        </w:rPr>
        <w:t xml:space="preserve"> </w:t>
      </w:r>
      <w:r w:rsidRPr="007D3144">
        <w:rPr>
          <w:sz w:val="24"/>
        </w:rPr>
        <w:t>trial</w:t>
      </w:r>
      <w:r w:rsidRPr="007D3144">
        <w:rPr>
          <w:spacing w:val="80"/>
          <w:sz w:val="24"/>
        </w:rPr>
        <w:t xml:space="preserve"> </w:t>
      </w:r>
      <w:r w:rsidRPr="007D3144">
        <w:rPr>
          <w:sz w:val="24"/>
        </w:rPr>
        <w:t>requirements</w:t>
      </w:r>
      <w:r w:rsidRPr="007D3144">
        <w:rPr>
          <w:spacing w:val="80"/>
          <w:sz w:val="24"/>
        </w:rPr>
        <w:t xml:space="preserve"> </w:t>
      </w:r>
      <w:r w:rsidRPr="007D3144">
        <w:rPr>
          <w:sz w:val="24"/>
        </w:rPr>
        <w:t>(including differences for control vs treatment scenarios post-randomisation)</w:t>
      </w:r>
    </w:p>
    <w:p w14:paraId="354F4A45" w14:textId="77777777" w:rsidR="004C7180" w:rsidRPr="007D3144" w:rsidRDefault="00CF0754" w:rsidP="00B320C7">
      <w:pPr>
        <w:pStyle w:val="ListParagraph"/>
        <w:numPr>
          <w:ilvl w:val="1"/>
          <w:numId w:val="53"/>
        </w:numPr>
        <w:tabs>
          <w:tab w:val="left" w:pos="2119"/>
        </w:tabs>
        <w:spacing w:line="278" w:lineRule="auto"/>
        <w:ind w:left="2119" w:right="1438"/>
        <w:rPr>
          <w:rFonts w:ascii="Wingdings" w:hAnsi="Wingdings"/>
          <w:sz w:val="24"/>
        </w:rPr>
      </w:pPr>
      <w:r w:rsidRPr="007D3144">
        <w:rPr>
          <w:sz w:val="24"/>
        </w:rPr>
        <w:t>Provider-driven</w:t>
      </w:r>
      <w:r w:rsidRPr="007D3144">
        <w:rPr>
          <w:spacing w:val="40"/>
          <w:sz w:val="24"/>
        </w:rPr>
        <w:t xml:space="preserve"> </w:t>
      </w:r>
      <w:r w:rsidRPr="007D3144">
        <w:rPr>
          <w:sz w:val="24"/>
        </w:rPr>
        <w:t>capacity</w:t>
      </w:r>
      <w:r w:rsidRPr="007D3144">
        <w:rPr>
          <w:spacing w:val="40"/>
          <w:sz w:val="24"/>
        </w:rPr>
        <w:t xml:space="preserve"> </w:t>
      </w:r>
      <w:r w:rsidRPr="007D3144">
        <w:rPr>
          <w:sz w:val="24"/>
        </w:rPr>
        <w:t>and</w:t>
      </w:r>
      <w:r w:rsidRPr="007D3144">
        <w:rPr>
          <w:spacing w:val="40"/>
          <w:sz w:val="24"/>
        </w:rPr>
        <w:t xml:space="preserve"> </w:t>
      </w:r>
      <w:r w:rsidRPr="007D3144">
        <w:rPr>
          <w:sz w:val="24"/>
        </w:rPr>
        <w:t>quality</w:t>
      </w:r>
      <w:r w:rsidRPr="007D3144">
        <w:rPr>
          <w:spacing w:val="40"/>
          <w:sz w:val="24"/>
        </w:rPr>
        <w:t xml:space="preserve"> </w:t>
      </w:r>
      <w:r w:rsidRPr="007D3144">
        <w:rPr>
          <w:sz w:val="24"/>
        </w:rPr>
        <w:t>self-declaration</w:t>
      </w:r>
      <w:r w:rsidRPr="007D3144">
        <w:rPr>
          <w:spacing w:val="40"/>
          <w:sz w:val="24"/>
        </w:rPr>
        <w:t xml:space="preserve"> </w:t>
      </w:r>
      <w:r w:rsidRPr="007D3144">
        <w:rPr>
          <w:sz w:val="24"/>
        </w:rPr>
        <w:t>pro</w:t>
      </w:r>
      <w:r w:rsidRPr="007D3144">
        <w:rPr>
          <w:spacing w:val="40"/>
          <w:sz w:val="24"/>
        </w:rPr>
        <w:t xml:space="preserve"> </w:t>
      </w:r>
      <w:r w:rsidRPr="007D3144">
        <w:rPr>
          <w:sz w:val="24"/>
        </w:rPr>
        <w:t>forma</w:t>
      </w:r>
      <w:r w:rsidRPr="007D3144">
        <w:rPr>
          <w:spacing w:val="40"/>
          <w:sz w:val="24"/>
        </w:rPr>
        <w:t xml:space="preserve"> </w:t>
      </w:r>
      <w:r w:rsidRPr="007D3144">
        <w:rPr>
          <w:sz w:val="24"/>
        </w:rPr>
        <w:t>(with</w:t>
      </w:r>
      <w:r w:rsidRPr="007D3144">
        <w:rPr>
          <w:spacing w:val="40"/>
          <w:sz w:val="24"/>
        </w:rPr>
        <w:t xml:space="preserve"> </w:t>
      </w:r>
      <w:r w:rsidRPr="007D3144">
        <w:rPr>
          <w:sz w:val="24"/>
        </w:rPr>
        <w:t>direct follow-up dialogue by exception, where appropriate)</w:t>
      </w:r>
    </w:p>
    <w:p w14:paraId="3DE11A53" w14:textId="77777777" w:rsidR="004C7180" w:rsidRPr="00150EDC" w:rsidRDefault="004C7180">
      <w:pPr>
        <w:pStyle w:val="BodyText"/>
        <w:spacing w:before="3"/>
        <w:rPr>
          <w:sz w:val="36"/>
        </w:rPr>
      </w:pPr>
    </w:p>
    <w:p w14:paraId="7FBBB325" w14:textId="77777777" w:rsidR="004C7180" w:rsidRPr="00150EDC" w:rsidRDefault="00CF0754">
      <w:pPr>
        <w:pStyle w:val="BodyText"/>
        <w:spacing w:before="1" w:line="278" w:lineRule="auto"/>
        <w:ind w:left="1400" w:right="1438"/>
        <w:jc w:val="both"/>
      </w:pPr>
      <w:r w:rsidRPr="007D3144">
        <w:t>We</w:t>
      </w:r>
      <w:r w:rsidRPr="007D3144">
        <w:rPr>
          <w:spacing w:val="-7"/>
        </w:rPr>
        <w:t xml:space="preserve"> </w:t>
      </w:r>
      <w:r w:rsidRPr="007D3144">
        <w:t>will</w:t>
      </w:r>
      <w:r w:rsidRPr="007D3144">
        <w:rPr>
          <w:spacing w:val="-8"/>
        </w:rPr>
        <w:t xml:space="preserve"> </w:t>
      </w:r>
      <w:r w:rsidRPr="007D3144">
        <w:t>ensure</w:t>
      </w:r>
      <w:r w:rsidRPr="007D3144">
        <w:rPr>
          <w:spacing w:val="-9"/>
        </w:rPr>
        <w:t xml:space="preserve"> </w:t>
      </w:r>
      <w:r w:rsidRPr="007D3144">
        <w:t>providers’</w:t>
      </w:r>
      <w:r w:rsidRPr="007D3144">
        <w:rPr>
          <w:spacing w:val="-8"/>
        </w:rPr>
        <w:t xml:space="preserve"> </w:t>
      </w:r>
      <w:r w:rsidRPr="007D3144">
        <w:t>input</w:t>
      </w:r>
      <w:r w:rsidRPr="007D3144">
        <w:rPr>
          <w:spacing w:val="-7"/>
        </w:rPr>
        <w:t xml:space="preserve"> </w:t>
      </w:r>
      <w:r w:rsidRPr="007D3144">
        <w:t>into</w:t>
      </w:r>
      <w:r w:rsidRPr="007D3144">
        <w:rPr>
          <w:spacing w:val="-7"/>
        </w:rPr>
        <w:t xml:space="preserve"> </w:t>
      </w:r>
      <w:r w:rsidRPr="007D3144">
        <w:t>meeting</w:t>
      </w:r>
      <w:r w:rsidRPr="007D3144">
        <w:rPr>
          <w:spacing w:val="-7"/>
        </w:rPr>
        <w:t xml:space="preserve"> </w:t>
      </w:r>
      <w:r w:rsidRPr="007D3144">
        <w:t>the</w:t>
      </w:r>
      <w:r w:rsidRPr="007D3144">
        <w:rPr>
          <w:spacing w:val="-7"/>
        </w:rPr>
        <w:t xml:space="preserve"> </w:t>
      </w:r>
      <w:r w:rsidRPr="007D3144">
        <w:t>trial</w:t>
      </w:r>
      <w:r w:rsidRPr="007D3144">
        <w:rPr>
          <w:spacing w:val="-8"/>
        </w:rPr>
        <w:t xml:space="preserve"> </w:t>
      </w:r>
      <w:r w:rsidRPr="007D3144">
        <w:t>set-up</w:t>
      </w:r>
      <w:r w:rsidRPr="007D3144">
        <w:rPr>
          <w:spacing w:val="-9"/>
        </w:rPr>
        <w:t xml:space="preserve"> </w:t>
      </w:r>
      <w:r w:rsidRPr="007D3144">
        <w:t>milestones</w:t>
      </w:r>
      <w:r w:rsidRPr="007D3144">
        <w:rPr>
          <w:spacing w:val="-8"/>
        </w:rPr>
        <w:t xml:space="preserve"> </w:t>
      </w:r>
      <w:r w:rsidRPr="007D3144">
        <w:t>in</w:t>
      </w:r>
      <w:r w:rsidRPr="007D3144">
        <w:rPr>
          <w:spacing w:val="-7"/>
        </w:rPr>
        <w:t xml:space="preserve"> </w:t>
      </w:r>
      <w:r w:rsidRPr="007D3144">
        <w:t>the</w:t>
      </w:r>
      <w:r w:rsidRPr="007D3144">
        <w:rPr>
          <w:spacing w:val="-7"/>
        </w:rPr>
        <w:t xml:space="preserve"> </w:t>
      </w:r>
      <w:r w:rsidRPr="007D3144">
        <w:t xml:space="preserve">following </w:t>
      </w:r>
      <w:r w:rsidRPr="007D3144">
        <w:rPr>
          <w:spacing w:val="-2"/>
        </w:rPr>
        <w:t>ways:</w:t>
      </w:r>
    </w:p>
    <w:p w14:paraId="5ED4A034" w14:textId="77777777" w:rsidR="004C7180" w:rsidRPr="00150EDC" w:rsidRDefault="004C7180">
      <w:pPr>
        <w:spacing w:line="278" w:lineRule="auto"/>
        <w:jc w:val="both"/>
        <w:sectPr w:rsidR="004C7180" w:rsidRPr="00150EDC">
          <w:pgSz w:w="11910" w:h="16840"/>
          <w:pgMar w:top="1460" w:right="0" w:bottom="1420" w:left="40" w:header="712" w:footer="1224" w:gutter="0"/>
          <w:cols w:space="720"/>
        </w:sectPr>
      </w:pPr>
    </w:p>
    <w:p w14:paraId="1E12DE35" w14:textId="77777777" w:rsidR="004C7180" w:rsidRPr="00150EDC" w:rsidRDefault="004C7180">
      <w:pPr>
        <w:pStyle w:val="BodyText"/>
        <w:spacing w:before="4"/>
        <w:rPr>
          <w:sz w:val="18"/>
        </w:rPr>
      </w:pPr>
    </w:p>
    <w:p w14:paraId="54E35FA2" w14:textId="77777777" w:rsidR="004C7180" w:rsidRPr="00150EDC" w:rsidRDefault="00CF0754" w:rsidP="00B320C7">
      <w:pPr>
        <w:pStyle w:val="ListParagraph"/>
        <w:numPr>
          <w:ilvl w:val="1"/>
          <w:numId w:val="53"/>
        </w:numPr>
        <w:tabs>
          <w:tab w:val="left" w:pos="2120"/>
        </w:tabs>
        <w:spacing w:before="93" w:line="276" w:lineRule="auto"/>
        <w:ind w:right="1433"/>
        <w:jc w:val="both"/>
        <w:rPr>
          <w:rFonts w:ascii="Wingdings" w:hAnsi="Wingdings"/>
          <w:sz w:val="24"/>
        </w:rPr>
      </w:pPr>
      <w:r w:rsidRPr="00150EDC">
        <w:rPr>
          <w:sz w:val="24"/>
        </w:rPr>
        <w:t>Logic Model and TIDieR Framework, liaising with the evaluation supplier to establish</w:t>
      </w:r>
      <w:r w:rsidRPr="00150EDC">
        <w:rPr>
          <w:spacing w:val="-7"/>
          <w:sz w:val="24"/>
        </w:rPr>
        <w:t xml:space="preserve"> </w:t>
      </w:r>
      <w:r w:rsidRPr="00150EDC">
        <w:rPr>
          <w:sz w:val="24"/>
        </w:rPr>
        <w:t>a</w:t>
      </w:r>
      <w:r w:rsidRPr="00150EDC">
        <w:rPr>
          <w:spacing w:val="-7"/>
          <w:sz w:val="24"/>
        </w:rPr>
        <w:t xml:space="preserve"> </w:t>
      </w:r>
      <w:r w:rsidRPr="00150EDC">
        <w:rPr>
          <w:sz w:val="24"/>
        </w:rPr>
        <w:t>schedule</w:t>
      </w:r>
      <w:r w:rsidRPr="00150EDC">
        <w:rPr>
          <w:spacing w:val="-7"/>
          <w:sz w:val="24"/>
        </w:rPr>
        <w:t xml:space="preserve"> </w:t>
      </w:r>
      <w:r w:rsidRPr="00150EDC">
        <w:rPr>
          <w:sz w:val="24"/>
        </w:rPr>
        <w:t>of</w:t>
      </w:r>
      <w:r w:rsidRPr="00150EDC">
        <w:rPr>
          <w:spacing w:val="-7"/>
          <w:sz w:val="24"/>
        </w:rPr>
        <w:t xml:space="preserve"> </w:t>
      </w:r>
      <w:r w:rsidRPr="00150EDC">
        <w:rPr>
          <w:sz w:val="24"/>
        </w:rPr>
        <w:t>IDEA</w:t>
      </w:r>
      <w:r w:rsidRPr="00150EDC">
        <w:rPr>
          <w:spacing w:val="-7"/>
          <w:sz w:val="24"/>
        </w:rPr>
        <w:t xml:space="preserve"> </w:t>
      </w:r>
      <w:r w:rsidRPr="00150EDC">
        <w:rPr>
          <w:sz w:val="24"/>
        </w:rPr>
        <w:t>meetings,</w:t>
      </w:r>
      <w:r w:rsidRPr="00150EDC">
        <w:rPr>
          <w:spacing w:val="-7"/>
          <w:sz w:val="24"/>
        </w:rPr>
        <w:t xml:space="preserve"> </w:t>
      </w:r>
      <w:r w:rsidRPr="00150EDC">
        <w:rPr>
          <w:sz w:val="24"/>
        </w:rPr>
        <w:t>with</w:t>
      </w:r>
      <w:r w:rsidRPr="00150EDC">
        <w:rPr>
          <w:spacing w:val="-7"/>
          <w:sz w:val="24"/>
        </w:rPr>
        <w:t xml:space="preserve"> </w:t>
      </w:r>
      <w:r w:rsidRPr="00150EDC">
        <w:rPr>
          <w:sz w:val="24"/>
        </w:rPr>
        <w:t>direct</w:t>
      </w:r>
      <w:r w:rsidRPr="00150EDC">
        <w:rPr>
          <w:spacing w:val="-5"/>
          <w:sz w:val="24"/>
        </w:rPr>
        <w:t xml:space="preserve"> </w:t>
      </w:r>
      <w:r w:rsidRPr="00150EDC">
        <w:rPr>
          <w:sz w:val="24"/>
        </w:rPr>
        <w:t>involvement/inputs</w:t>
      </w:r>
      <w:r w:rsidRPr="00150EDC">
        <w:rPr>
          <w:spacing w:val="-5"/>
          <w:sz w:val="24"/>
        </w:rPr>
        <w:t xml:space="preserve"> </w:t>
      </w:r>
      <w:r w:rsidRPr="00150EDC">
        <w:rPr>
          <w:sz w:val="24"/>
        </w:rPr>
        <w:t>from</w:t>
      </w:r>
      <w:r w:rsidRPr="00150EDC">
        <w:rPr>
          <w:spacing w:val="-6"/>
          <w:sz w:val="24"/>
        </w:rPr>
        <w:t xml:space="preserve"> </w:t>
      </w:r>
      <w:r w:rsidRPr="00150EDC">
        <w:rPr>
          <w:sz w:val="24"/>
        </w:rPr>
        <w:t>our Provider Advisory Forum representatives, where appropriate.</w:t>
      </w:r>
    </w:p>
    <w:p w14:paraId="31D8B586" w14:textId="77777777" w:rsidR="004C7180" w:rsidRPr="00150EDC" w:rsidRDefault="00CF0754" w:rsidP="00B320C7">
      <w:pPr>
        <w:pStyle w:val="ListParagraph"/>
        <w:numPr>
          <w:ilvl w:val="1"/>
          <w:numId w:val="53"/>
        </w:numPr>
        <w:tabs>
          <w:tab w:val="left" w:pos="2120"/>
        </w:tabs>
        <w:spacing w:line="276" w:lineRule="auto"/>
        <w:ind w:right="1432"/>
        <w:jc w:val="both"/>
        <w:rPr>
          <w:rFonts w:ascii="Wingdings" w:hAnsi="Wingdings"/>
          <w:sz w:val="24"/>
        </w:rPr>
      </w:pPr>
      <w:r w:rsidRPr="00150EDC">
        <w:rPr>
          <w:sz w:val="24"/>
        </w:rPr>
        <w:t xml:space="preserve">Timescales will be discussed during provider recruitment, with specifics of the draft delivery plan discussed during IDEA meetings and a draft version circulated to provider representatives prior to submission and sign-off by the </w:t>
      </w:r>
      <w:r w:rsidRPr="00150EDC">
        <w:rPr>
          <w:spacing w:val="-4"/>
          <w:sz w:val="24"/>
        </w:rPr>
        <w:t>DfE.</w:t>
      </w:r>
    </w:p>
    <w:p w14:paraId="61B8B031" w14:textId="77777777" w:rsidR="004C7180" w:rsidRPr="00150EDC" w:rsidRDefault="00CF0754" w:rsidP="00B320C7">
      <w:pPr>
        <w:pStyle w:val="ListParagraph"/>
        <w:numPr>
          <w:ilvl w:val="1"/>
          <w:numId w:val="53"/>
        </w:numPr>
        <w:tabs>
          <w:tab w:val="left" w:pos="2119"/>
        </w:tabs>
        <w:spacing w:line="276" w:lineRule="auto"/>
        <w:ind w:left="2119" w:right="1435"/>
        <w:jc w:val="both"/>
        <w:rPr>
          <w:rFonts w:ascii="Wingdings" w:hAnsi="Wingdings"/>
          <w:sz w:val="24"/>
        </w:rPr>
      </w:pPr>
      <w:r w:rsidRPr="00150EDC">
        <w:rPr>
          <w:sz w:val="24"/>
        </w:rPr>
        <w:t>Providers</w:t>
      </w:r>
      <w:r w:rsidRPr="00150EDC">
        <w:rPr>
          <w:spacing w:val="-4"/>
          <w:sz w:val="24"/>
        </w:rPr>
        <w:t xml:space="preserve"> </w:t>
      </w:r>
      <w:r w:rsidRPr="00150EDC">
        <w:rPr>
          <w:sz w:val="24"/>
        </w:rPr>
        <w:t>will</w:t>
      </w:r>
      <w:r w:rsidRPr="00150EDC">
        <w:rPr>
          <w:spacing w:val="-4"/>
          <w:sz w:val="24"/>
        </w:rPr>
        <w:t xml:space="preserve"> </w:t>
      </w:r>
      <w:r w:rsidRPr="00150EDC">
        <w:rPr>
          <w:sz w:val="24"/>
        </w:rPr>
        <w:t>be</w:t>
      </w:r>
      <w:r w:rsidRPr="00150EDC">
        <w:rPr>
          <w:spacing w:val="-5"/>
          <w:sz w:val="24"/>
        </w:rPr>
        <w:t xml:space="preserve"> </w:t>
      </w:r>
      <w:r w:rsidRPr="00150EDC">
        <w:rPr>
          <w:sz w:val="24"/>
        </w:rPr>
        <w:t>required</w:t>
      </w:r>
      <w:r w:rsidRPr="00150EDC">
        <w:rPr>
          <w:spacing w:val="-3"/>
          <w:sz w:val="24"/>
        </w:rPr>
        <w:t xml:space="preserve"> </w:t>
      </w:r>
      <w:r w:rsidRPr="00150EDC">
        <w:rPr>
          <w:sz w:val="24"/>
        </w:rPr>
        <w:t>to</w:t>
      </w:r>
      <w:r w:rsidRPr="00150EDC">
        <w:rPr>
          <w:spacing w:val="-3"/>
          <w:sz w:val="24"/>
        </w:rPr>
        <w:t xml:space="preserve"> </w:t>
      </w:r>
      <w:r w:rsidRPr="00150EDC">
        <w:rPr>
          <w:sz w:val="24"/>
        </w:rPr>
        <w:t>submit</w:t>
      </w:r>
      <w:r w:rsidRPr="00150EDC">
        <w:rPr>
          <w:spacing w:val="-3"/>
          <w:sz w:val="24"/>
        </w:rPr>
        <w:t xml:space="preserve"> </w:t>
      </w:r>
      <w:r w:rsidRPr="00150EDC">
        <w:rPr>
          <w:sz w:val="24"/>
        </w:rPr>
        <w:t>learner</w:t>
      </w:r>
      <w:r w:rsidRPr="00150EDC">
        <w:rPr>
          <w:spacing w:val="-5"/>
          <w:sz w:val="24"/>
        </w:rPr>
        <w:t xml:space="preserve"> </w:t>
      </w:r>
      <w:r w:rsidRPr="00150EDC">
        <w:rPr>
          <w:sz w:val="24"/>
        </w:rPr>
        <w:t>recruitment</w:t>
      </w:r>
      <w:r w:rsidRPr="00150EDC">
        <w:rPr>
          <w:spacing w:val="-3"/>
          <w:sz w:val="24"/>
        </w:rPr>
        <w:t xml:space="preserve"> </w:t>
      </w:r>
      <w:r w:rsidRPr="00150EDC">
        <w:rPr>
          <w:sz w:val="24"/>
        </w:rPr>
        <w:t>data</w:t>
      </w:r>
      <w:r w:rsidRPr="00150EDC">
        <w:rPr>
          <w:spacing w:val="-5"/>
          <w:sz w:val="24"/>
        </w:rPr>
        <w:t xml:space="preserve"> </w:t>
      </w:r>
      <w:r w:rsidRPr="00150EDC">
        <w:rPr>
          <w:sz w:val="24"/>
        </w:rPr>
        <w:t>every</w:t>
      </w:r>
      <w:r w:rsidRPr="00150EDC">
        <w:rPr>
          <w:spacing w:val="-4"/>
          <w:sz w:val="24"/>
        </w:rPr>
        <w:t xml:space="preserve"> </w:t>
      </w:r>
      <w:r w:rsidRPr="00150EDC">
        <w:rPr>
          <w:sz w:val="24"/>
        </w:rPr>
        <w:t>fortnight</w:t>
      </w:r>
      <w:r w:rsidRPr="00150EDC">
        <w:rPr>
          <w:spacing w:val="-3"/>
          <w:sz w:val="24"/>
        </w:rPr>
        <w:t xml:space="preserve"> </w:t>
      </w:r>
      <w:r w:rsidRPr="00150EDC">
        <w:rPr>
          <w:sz w:val="24"/>
        </w:rPr>
        <w:t xml:space="preserve">via our online reporting platform, detailing which recruitment approaches have been implemented. This is reviewed by the project management team, RAG- rated, and any issues discussed directly with the provider and action plans </w:t>
      </w:r>
      <w:r w:rsidRPr="00150EDC">
        <w:rPr>
          <w:spacing w:val="-2"/>
          <w:sz w:val="24"/>
        </w:rPr>
        <w:t>agreed.</w:t>
      </w:r>
    </w:p>
    <w:p w14:paraId="054C31D4" w14:textId="77777777" w:rsidR="004C7180" w:rsidRPr="00150EDC" w:rsidRDefault="00CF0754" w:rsidP="00B320C7">
      <w:pPr>
        <w:pStyle w:val="ListParagraph"/>
        <w:numPr>
          <w:ilvl w:val="1"/>
          <w:numId w:val="53"/>
        </w:numPr>
        <w:tabs>
          <w:tab w:val="left" w:pos="2119"/>
        </w:tabs>
        <w:ind w:left="2119" w:hanging="359"/>
        <w:jc w:val="both"/>
        <w:rPr>
          <w:rFonts w:ascii="Wingdings" w:hAnsi="Wingdings"/>
          <w:sz w:val="24"/>
        </w:rPr>
      </w:pPr>
      <w:r w:rsidRPr="00150EDC">
        <w:rPr>
          <w:sz w:val="24"/>
        </w:rPr>
        <w:t>Providers’</w:t>
      </w:r>
      <w:r w:rsidRPr="00150EDC">
        <w:rPr>
          <w:spacing w:val="-6"/>
          <w:sz w:val="24"/>
        </w:rPr>
        <w:t xml:space="preserve"> </w:t>
      </w:r>
      <w:r w:rsidRPr="00150EDC">
        <w:rPr>
          <w:sz w:val="24"/>
        </w:rPr>
        <w:t>agreement</w:t>
      </w:r>
      <w:r w:rsidRPr="00150EDC">
        <w:rPr>
          <w:spacing w:val="-8"/>
          <w:sz w:val="24"/>
        </w:rPr>
        <w:t xml:space="preserve"> </w:t>
      </w:r>
      <w:r w:rsidRPr="00150EDC">
        <w:rPr>
          <w:sz w:val="24"/>
        </w:rPr>
        <w:t>completed/signed</w:t>
      </w:r>
      <w:r w:rsidRPr="00150EDC">
        <w:rPr>
          <w:spacing w:val="-4"/>
          <w:sz w:val="24"/>
        </w:rPr>
        <w:t xml:space="preserve"> </w:t>
      </w:r>
      <w:r w:rsidRPr="00150EDC">
        <w:rPr>
          <w:sz w:val="24"/>
        </w:rPr>
        <w:t>following</w:t>
      </w:r>
      <w:r w:rsidRPr="00150EDC">
        <w:rPr>
          <w:spacing w:val="-3"/>
          <w:sz w:val="24"/>
        </w:rPr>
        <w:t xml:space="preserve"> </w:t>
      </w:r>
      <w:r w:rsidRPr="00150EDC">
        <w:rPr>
          <w:sz w:val="24"/>
        </w:rPr>
        <w:t>trial</w:t>
      </w:r>
      <w:r w:rsidRPr="00150EDC">
        <w:rPr>
          <w:spacing w:val="-4"/>
          <w:sz w:val="24"/>
        </w:rPr>
        <w:t xml:space="preserve"> </w:t>
      </w:r>
      <w:r w:rsidRPr="00150EDC">
        <w:rPr>
          <w:sz w:val="24"/>
        </w:rPr>
        <w:t>readiness</w:t>
      </w:r>
      <w:r w:rsidRPr="00150EDC">
        <w:rPr>
          <w:spacing w:val="-5"/>
          <w:sz w:val="24"/>
        </w:rPr>
        <w:t xml:space="preserve"> </w:t>
      </w:r>
      <w:r w:rsidRPr="00150EDC">
        <w:rPr>
          <w:spacing w:val="-2"/>
          <w:sz w:val="24"/>
        </w:rPr>
        <w:t>assessment.</w:t>
      </w:r>
    </w:p>
    <w:p w14:paraId="57204651" w14:textId="77777777" w:rsidR="004C7180" w:rsidRPr="00150EDC" w:rsidRDefault="00CF0754">
      <w:pPr>
        <w:pStyle w:val="BodyText"/>
        <w:spacing w:before="161" w:line="276" w:lineRule="auto"/>
        <w:ind w:left="1400" w:right="1435"/>
        <w:jc w:val="both"/>
      </w:pPr>
      <w:r w:rsidRPr="007D3144">
        <w:t>During trials, we will ensure providers meet trial requirements through ongoing compliance checks and management interventions where required.</w:t>
      </w:r>
    </w:p>
    <w:p w14:paraId="0C366307" w14:textId="77777777" w:rsidR="004C7180" w:rsidRPr="00150EDC" w:rsidRDefault="004C7180">
      <w:pPr>
        <w:pStyle w:val="BodyText"/>
        <w:rPr>
          <w:sz w:val="26"/>
        </w:rPr>
      </w:pPr>
    </w:p>
    <w:p w14:paraId="1D81AF9A" w14:textId="77777777" w:rsidR="004C7180" w:rsidRPr="00150EDC" w:rsidRDefault="00CF0754" w:rsidP="00B320C7">
      <w:pPr>
        <w:pStyle w:val="ListParagraph"/>
        <w:numPr>
          <w:ilvl w:val="0"/>
          <w:numId w:val="82"/>
        </w:numPr>
        <w:tabs>
          <w:tab w:val="left" w:pos="1601"/>
        </w:tabs>
        <w:spacing w:before="218"/>
        <w:ind w:left="1601" w:hanging="201"/>
        <w:rPr>
          <w:sz w:val="24"/>
        </w:rPr>
      </w:pPr>
      <w:r w:rsidRPr="00150EDC">
        <w:rPr>
          <w:sz w:val="24"/>
        </w:rPr>
        <w:t>Trial</w:t>
      </w:r>
      <w:r w:rsidRPr="00150EDC">
        <w:rPr>
          <w:spacing w:val="-3"/>
          <w:sz w:val="24"/>
        </w:rPr>
        <w:t xml:space="preserve"> </w:t>
      </w:r>
      <w:r w:rsidRPr="00150EDC">
        <w:rPr>
          <w:sz w:val="24"/>
        </w:rPr>
        <w:t>delivery</w:t>
      </w:r>
      <w:r w:rsidRPr="00150EDC">
        <w:rPr>
          <w:spacing w:val="-2"/>
          <w:sz w:val="24"/>
        </w:rPr>
        <w:t xml:space="preserve"> </w:t>
      </w:r>
      <w:r w:rsidRPr="00150EDC">
        <w:rPr>
          <w:sz w:val="24"/>
        </w:rPr>
        <w:t>and</w:t>
      </w:r>
      <w:r w:rsidRPr="00150EDC">
        <w:rPr>
          <w:spacing w:val="-4"/>
          <w:sz w:val="24"/>
        </w:rPr>
        <w:t xml:space="preserve"> </w:t>
      </w:r>
      <w:r w:rsidRPr="00150EDC">
        <w:rPr>
          <w:sz w:val="24"/>
        </w:rPr>
        <w:t>fund</w:t>
      </w:r>
      <w:r w:rsidRPr="00150EDC">
        <w:rPr>
          <w:spacing w:val="-1"/>
          <w:sz w:val="24"/>
        </w:rPr>
        <w:t xml:space="preserve"> </w:t>
      </w:r>
      <w:r w:rsidRPr="00150EDC">
        <w:rPr>
          <w:spacing w:val="-2"/>
          <w:sz w:val="24"/>
        </w:rPr>
        <w:t>distribution:</w:t>
      </w:r>
    </w:p>
    <w:p w14:paraId="133A794B" w14:textId="77777777" w:rsidR="004C7180" w:rsidRPr="00150EDC" w:rsidRDefault="004C7180">
      <w:pPr>
        <w:pStyle w:val="BodyText"/>
        <w:rPr>
          <w:sz w:val="26"/>
        </w:rPr>
      </w:pPr>
    </w:p>
    <w:p w14:paraId="454BFDA0" w14:textId="77777777" w:rsidR="004C7180" w:rsidRPr="00150EDC" w:rsidRDefault="004C7180">
      <w:pPr>
        <w:pStyle w:val="BodyText"/>
        <w:rPr>
          <w:sz w:val="26"/>
        </w:rPr>
      </w:pPr>
    </w:p>
    <w:p w14:paraId="0F4DB2A1" w14:textId="77777777" w:rsidR="004C7180" w:rsidRPr="00150EDC" w:rsidRDefault="00CF0754">
      <w:pPr>
        <w:spacing w:before="160"/>
        <w:ind w:left="1399"/>
        <w:jc w:val="both"/>
        <w:rPr>
          <w:b/>
          <w:sz w:val="24"/>
        </w:rPr>
      </w:pPr>
      <w:r w:rsidRPr="007D3144">
        <w:rPr>
          <w:b/>
          <w:sz w:val="24"/>
        </w:rPr>
        <w:t>Delivery</w:t>
      </w:r>
      <w:r w:rsidRPr="007D3144">
        <w:rPr>
          <w:b/>
          <w:spacing w:val="-3"/>
          <w:sz w:val="24"/>
        </w:rPr>
        <w:t xml:space="preserve"> </w:t>
      </w:r>
      <w:r w:rsidRPr="007D3144">
        <w:rPr>
          <w:b/>
          <w:sz w:val="24"/>
        </w:rPr>
        <w:t>assurance</w:t>
      </w:r>
      <w:r w:rsidRPr="007D3144">
        <w:rPr>
          <w:b/>
          <w:spacing w:val="-2"/>
          <w:sz w:val="24"/>
        </w:rPr>
        <w:t xml:space="preserve"> </w:t>
      </w:r>
      <w:r w:rsidRPr="007D3144">
        <w:rPr>
          <w:b/>
          <w:spacing w:val="-4"/>
          <w:sz w:val="24"/>
        </w:rPr>
        <w:t>plan</w:t>
      </w:r>
    </w:p>
    <w:p w14:paraId="32CA7340" w14:textId="77777777" w:rsidR="004C7180" w:rsidRPr="00150EDC" w:rsidRDefault="00CF0754">
      <w:pPr>
        <w:pStyle w:val="BodyText"/>
        <w:spacing w:before="41" w:line="276" w:lineRule="auto"/>
        <w:ind w:left="1400" w:right="1433"/>
        <w:jc w:val="both"/>
      </w:pPr>
      <w:r w:rsidRPr="007D3144">
        <w:t>The</w:t>
      </w:r>
      <w:r w:rsidRPr="007D3144">
        <w:rPr>
          <w:spacing w:val="-2"/>
        </w:rPr>
        <w:t xml:space="preserve"> </w:t>
      </w:r>
      <w:r w:rsidRPr="007D3144">
        <w:t>Project</w:t>
      </w:r>
      <w:r w:rsidRPr="007D3144">
        <w:rPr>
          <w:spacing w:val="-2"/>
        </w:rPr>
        <w:t xml:space="preserve"> </w:t>
      </w:r>
      <w:r w:rsidRPr="007D3144">
        <w:t>Director</w:t>
      </w:r>
      <w:r w:rsidRPr="007D3144">
        <w:rPr>
          <w:spacing w:val="-4"/>
        </w:rPr>
        <w:t xml:space="preserve"> </w:t>
      </w:r>
      <w:r w:rsidRPr="007D3144">
        <w:t>will</w:t>
      </w:r>
      <w:r w:rsidRPr="007D3144">
        <w:rPr>
          <w:spacing w:val="-3"/>
        </w:rPr>
        <w:t xml:space="preserve"> </w:t>
      </w:r>
      <w:r w:rsidRPr="007D3144">
        <w:t>have</w:t>
      </w:r>
      <w:r w:rsidRPr="007D3144">
        <w:rPr>
          <w:spacing w:val="-2"/>
        </w:rPr>
        <w:t xml:space="preserve"> </w:t>
      </w:r>
      <w:r w:rsidRPr="007D3144">
        <w:t>ultimate</w:t>
      </w:r>
      <w:r w:rsidRPr="007D3144">
        <w:rPr>
          <w:spacing w:val="-2"/>
        </w:rPr>
        <w:t xml:space="preserve"> </w:t>
      </w:r>
      <w:r w:rsidRPr="007D3144">
        <w:t>responsibility</w:t>
      </w:r>
      <w:r w:rsidRPr="007D3144">
        <w:rPr>
          <w:spacing w:val="-3"/>
        </w:rPr>
        <w:t xml:space="preserve"> </w:t>
      </w:r>
      <w:r w:rsidRPr="007D3144">
        <w:t>for</w:t>
      </w:r>
      <w:r w:rsidRPr="007D3144">
        <w:rPr>
          <w:spacing w:val="-4"/>
        </w:rPr>
        <w:t xml:space="preserve"> </w:t>
      </w:r>
      <w:r w:rsidRPr="007D3144">
        <w:t>ensuring</w:t>
      </w:r>
      <w:r w:rsidRPr="007D3144">
        <w:rPr>
          <w:spacing w:val="-2"/>
        </w:rPr>
        <w:t xml:space="preserve"> </w:t>
      </w:r>
      <w:r w:rsidRPr="007D3144">
        <w:t>intervention</w:t>
      </w:r>
      <w:r w:rsidRPr="007D3144">
        <w:rPr>
          <w:spacing w:val="-2"/>
        </w:rPr>
        <w:t xml:space="preserve"> </w:t>
      </w:r>
      <w:r w:rsidRPr="007D3144">
        <w:t>delivery adheres to the specification and protocol for each individual trial. Delivery assurance plans will be tailored to the size and complexity of each trial, and incorporate the following core measures:</w:t>
      </w:r>
    </w:p>
    <w:p w14:paraId="1BB430E6" w14:textId="77777777" w:rsidR="004C7180" w:rsidRPr="00150EDC" w:rsidRDefault="00CF0754" w:rsidP="00B320C7">
      <w:pPr>
        <w:pStyle w:val="ListParagraph"/>
        <w:numPr>
          <w:ilvl w:val="1"/>
          <w:numId w:val="82"/>
        </w:numPr>
        <w:tabs>
          <w:tab w:val="left" w:pos="2119"/>
        </w:tabs>
        <w:spacing w:before="120" w:line="276" w:lineRule="auto"/>
        <w:ind w:left="2119" w:right="1435"/>
        <w:jc w:val="both"/>
        <w:rPr>
          <w:sz w:val="24"/>
        </w:rPr>
      </w:pPr>
      <w:r w:rsidRPr="007D3144">
        <w:rPr>
          <w:sz w:val="24"/>
        </w:rPr>
        <w:t>Robust supplier contracts. In line with our ISO 9001:2015-certified Quality Management System, we have documented procedures for selecting/managing suppliers, ensuring they</w:t>
      </w:r>
      <w:r w:rsidRPr="007D3144">
        <w:rPr>
          <w:spacing w:val="-1"/>
          <w:sz w:val="24"/>
        </w:rPr>
        <w:t xml:space="preserve"> </w:t>
      </w:r>
      <w:r w:rsidRPr="007D3144">
        <w:rPr>
          <w:sz w:val="24"/>
        </w:rPr>
        <w:t>meet the high standards required for</w:t>
      </w:r>
      <w:r w:rsidRPr="007D3144">
        <w:rPr>
          <w:spacing w:val="-16"/>
          <w:sz w:val="24"/>
        </w:rPr>
        <w:t xml:space="preserve"> </w:t>
      </w:r>
      <w:r w:rsidRPr="007D3144">
        <w:rPr>
          <w:sz w:val="24"/>
        </w:rPr>
        <w:t>delivering</w:t>
      </w:r>
      <w:r w:rsidRPr="007D3144">
        <w:rPr>
          <w:spacing w:val="-14"/>
          <w:sz w:val="24"/>
        </w:rPr>
        <w:t xml:space="preserve"> </w:t>
      </w:r>
      <w:r w:rsidRPr="007D3144">
        <w:rPr>
          <w:sz w:val="24"/>
        </w:rPr>
        <w:t>the</w:t>
      </w:r>
      <w:r w:rsidRPr="007D3144">
        <w:rPr>
          <w:spacing w:val="-14"/>
          <w:sz w:val="24"/>
        </w:rPr>
        <w:t xml:space="preserve"> </w:t>
      </w:r>
      <w:r w:rsidRPr="007D3144">
        <w:rPr>
          <w:sz w:val="24"/>
        </w:rPr>
        <w:t>Multiply</w:t>
      </w:r>
      <w:r w:rsidRPr="007D3144">
        <w:rPr>
          <w:spacing w:val="-15"/>
          <w:sz w:val="24"/>
        </w:rPr>
        <w:t xml:space="preserve"> </w:t>
      </w:r>
      <w:r w:rsidRPr="007D3144">
        <w:rPr>
          <w:sz w:val="24"/>
        </w:rPr>
        <w:t>Randomised</w:t>
      </w:r>
      <w:r w:rsidRPr="007D3144">
        <w:rPr>
          <w:spacing w:val="-14"/>
          <w:sz w:val="24"/>
        </w:rPr>
        <w:t xml:space="preserve"> </w:t>
      </w:r>
      <w:r w:rsidRPr="007D3144">
        <w:rPr>
          <w:sz w:val="24"/>
        </w:rPr>
        <w:t>Control</w:t>
      </w:r>
      <w:r w:rsidRPr="007D3144">
        <w:rPr>
          <w:spacing w:val="-17"/>
          <w:sz w:val="24"/>
        </w:rPr>
        <w:t xml:space="preserve"> </w:t>
      </w:r>
      <w:r w:rsidRPr="007D3144">
        <w:rPr>
          <w:sz w:val="24"/>
        </w:rPr>
        <w:t>Trials</w:t>
      </w:r>
      <w:r w:rsidRPr="007D3144">
        <w:rPr>
          <w:spacing w:val="-14"/>
          <w:sz w:val="24"/>
        </w:rPr>
        <w:t xml:space="preserve"> </w:t>
      </w:r>
      <w:r w:rsidRPr="007D3144">
        <w:rPr>
          <w:sz w:val="24"/>
        </w:rPr>
        <w:t>(RCTs).</w:t>
      </w:r>
      <w:r w:rsidRPr="007D3144">
        <w:rPr>
          <w:spacing w:val="-14"/>
          <w:sz w:val="24"/>
        </w:rPr>
        <w:t xml:space="preserve"> </w:t>
      </w:r>
      <w:r w:rsidRPr="007D3144">
        <w:rPr>
          <w:sz w:val="24"/>
        </w:rPr>
        <w:t>Prior</w:t>
      </w:r>
      <w:r w:rsidRPr="007D3144">
        <w:rPr>
          <w:spacing w:val="-16"/>
          <w:sz w:val="24"/>
        </w:rPr>
        <w:t xml:space="preserve"> </w:t>
      </w:r>
      <w:r w:rsidRPr="007D3144">
        <w:rPr>
          <w:sz w:val="24"/>
        </w:rPr>
        <w:t>to</w:t>
      </w:r>
      <w:r w:rsidRPr="007D3144">
        <w:rPr>
          <w:spacing w:val="-12"/>
          <w:sz w:val="24"/>
        </w:rPr>
        <w:t xml:space="preserve"> </w:t>
      </w:r>
      <w:r w:rsidRPr="007D3144">
        <w:rPr>
          <w:sz w:val="24"/>
        </w:rPr>
        <w:t xml:space="preserve">becoming an approved supplier, organisations will provide information and evidence to </w:t>
      </w:r>
      <w:r w:rsidRPr="007D3144">
        <w:rPr>
          <w:spacing w:val="-2"/>
          <w:sz w:val="24"/>
        </w:rPr>
        <w:t>include:</w:t>
      </w:r>
    </w:p>
    <w:p w14:paraId="6AC4A871" w14:textId="77777777" w:rsidR="004C7180" w:rsidRPr="00150EDC" w:rsidRDefault="00CF0754" w:rsidP="00B320C7">
      <w:pPr>
        <w:pStyle w:val="ListParagraph"/>
        <w:numPr>
          <w:ilvl w:val="2"/>
          <w:numId w:val="82"/>
        </w:numPr>
        <w:tabs>
          <w:tab w:val="left" w:pos="2838"/>
        </w:tabs>
        <w:spacing w:before="2"/>
        <w:ind w:left="2838" w:hanging="359"/>
        <w:rPr>
          <w:sz w:val="24"/>
        </w:rPr>
      </w:pPr>
      <w:r w:rsidRPr="007D3144">
        <w:rPr>
          <w:sz w:val="24"/>
        </w:rPr>
        <w:t>Prior</w:t>
      </w:r>
      <w:r w:rsidRPr="007D3144">
        <w:rPr>
          <w:spacing w:val="-3"/>
          <w:sz w:val="24"/>
        </w:rPr>
        <w:t xml:space="preserve"> </w:t>
      </w:r>
      <w:r w:rsidRPr="007D3144">
        <w:rPr>
          <w:sz w:val="24"/>
        </w:rPr>
        <w:t>delivery</w:t>
      </w:r>
      <w:r w:rsidRPr="007D3144">
        <w:rPr>
          <w:spacing w:val="-2"/>
          <w:sz w:val="24"/>
        </w:rPr>
        <w:t xml:space="preserve"> </w:t>
      </w:r>
      <w:r w:rsidRPr="007D3144">
        <w:rPr>
          <w:sz w:val="24"/>
        </w:rPr>
        <w:t>track</w:t>
      </w:r>
      <w:r w:rsidRPr="007D3144">
        <w:rPr>
          <w:spacing w:val="-2"/>
          <w:sz w:val="24"/>
        </w:rPr>
        <w:t xml:space="preserve"> record</w:t>
      </w:r>
    </w:p>
    <w:p w14:paraId="157EDC6F" w14:textId="77777777" w:rsidR="004C7180" w:rsidRPr="00150EDC" w:rsidRDefault="00CF0754" w:rsidP="00B320C7">
      <w:pPr>
        <w:pStyle w:val="ListParagraph"/>
        <w:numPr>
          <w:ilvl w:val="2"/>
          <w:numId w:val="82"/>
        </w:numPr>
        <w:tabs>
          <w:tab w:val="left" w:pos="2838"/>
        </w:tabs>
        <w:spacing w:before="19"/>
        <w:ind w:left="2838" w:hanging="359"/>
        <w:rPr>
          <w:sz w:val="24"/>
        </w:rPr>
      </w:pPr>
      <w:r w:rsidRPr="007D3144">
        <w:rPr>
          <w:sz w:val="24"/>
        </w:rPr>
        <w:t>Financial</w:t>
      </w:r>
      <w:r w:rsidRPr="007D3144">
        <w:rPr>
          <w:spacing w:val="-5"/>
          <w:sz w:val="24"/>
        </w:rPr>
        <w:t xml:space="preserve"> </w:t>
      </w:r>
      <w:r w:rsidRPr="007D3144">
        <w:rPr>
          <w:spacing w:val="-2"/>
          <w:sz w:val="24"/>
        </w:rPr>
        <w:t>stability</w:t>
      </w:r>
    </w:p>
    <w:p w14:paraId="3EDB38A9" w14:textId="77777777" w:rsidR="004C7180" w:rsidRPr="00150EDC" w:rsidRDefault="00CF0754" w:rsidP="00B320C7">
      <w:pPr>
        <w:pStyle w:val="ListParagraph"/>
        <w:numPr>
          <w:ilvl w:val="2"/>
          <w:numId w:val="82"/>
        </w:numPr>
        <w:tabs>
          <w:tab w:val="left" w:pos="2838"/>
        </w:tabs>
        <w:spacing w:before="20"/>
        <w:ind w:left="2838" w:hanging="359"/>
        <w:rPr>
          <w:sz w:val="24"/>
        </w:rPr>
      </w:pPr>
      <w:r w:rsidRPr="007D3144">
        <w:rPr>
          <w:spacing w:val="-2"/>
          <w:sz w:val="24"/>
        </w:rPr>
        <w:t>Insurances</w:t>
      </w:r>
    </w:p>
    <w:p w14:paraId="7B1976EB" w14:textId="77777777" w:rsidR="004C7180" w:rsidRPr="00150EDC" w:rsidRDefault="00CF0754" w:rsidP="00B320C7">
      <w:pPr>
        <w:pStyle w:val="ListParagraph"/>
        <w:numPr>
          <w:ilvl w:val="2"/>
          <w:numId w:val="82"/>
        </w:numPr>
        <w:tabs>
          <w:tab w:val="left" w:pos="2839"/>
        </w:tabs>
        <w:spacing w:before="20" w:line="266" w:lineRule="auto"/>
        <w:ind w:left="2839" w:right="1434"/>
        <w:jc w:val="both"/>
        <w:rPr>
          <w:sz w:val="24"/>
        </w:rPr>
      </w:pPr>
      <w:r w:rsidRPr="007D3144">
        <w:rPr>
          <w:sz w:val="24"/>
        </w:rPr>
        <w:t>Worker competencies/qualifications and appropriate certification (e.g. Ofsted), to be validated by our compliance team to confirm required standards are met</w:t>
      </w:r>
    </w:p>
    <w:p w14:paraId="1AF4192C" w14:textId="77777777" w:rsidR="004C7180" w:rsidRPr="00150EDC" w:rsidRDefault="00CF0754">
      <w:pPr>
        <w:pStyle w:val="BodyText"/>
        <w:spacing w:before="12" w:line="276" w:lineRule="auto"/>
        <w:ind w:left="1399" w:right="1433"/>
        <w:jc w:val="both"/>
      </w:pPr>
      <w:r w:rsidRPr="007D3144">
        <w:t>The framework agreement with each provider will also include core contractual requirements (e.g. performance reporting), with tailored/additional requirements for each trial call-off.</w:t>
      </w:r>
    </w:p>
    <w:p w14:paraId="217673F2" w14:textId="77777777" w:rsidR="004C7180" w:rsidRPr="00150EDC" w:rsidRDefault="004C7180">
      <w:pPr>
        <w:spacing w:line="276" w:lineRule="auto"/>
        <w:jc w:val="both"/>
        <w:sectPr w:rsidR="004C7180" w:rsidRPr="00150EDC">
          <w:pgSz w:w="11910" w:h="16840"/>
          <w:pgMar w:top="1460" w:right="0" w:bottom="1420" w:left="40" w:header="712" w:footer="1224" w:gutter="0"/>
          <w:cols w:space="720"/>
        </w:sectPr>
      </w:pPr>
    </w:p>
    <w:p w14:paraId="584ABEEA" w14:textId="77777777" w:rsidR="004C7180" w:rsidRPr="00150EDC" w:rsidRDefault="004C7180">
      <w:pPr>
        <w:pStyle w:val="BodyText"/>
        <w:spacing w:before="4"/>
        <w:rPr>
          <w:sz w:val="18"/>
        </w:rPr>
      </w:pPr>
    </w:p>
    <w:p w14:paraId="468AF318" w14:textId="77777777" w:rsidR="004C7180" w:rsidRPr="00150EDC" w:rsidRDefault="00CF0754" w:rsidP="00B320C7">
      <w:pPr>
        <w:pStyle w:val="ListParagraph"/>
        <w:numPr>
          <w:ilvl w:val="1"/>
          <w:numId w:val="82"/>
        </w:numPr>
        <w:tabs>
          <w:tab w:val="left" w:pos="2120"/>
        </w:tabs>
        <w:spacing w:before="93" w:line="276" w:lineRule="auto"/>
        <w:ind w:right="1436"/>
        <w:jc w:val="both"/>
        <w:rPr>
          <w:sz w:val="24"/>
        </w:rPr>
      </w:pPr>
      <w:r w:rsidRPr="007D3144">
        <w:rPr>
          <w:sz w:val="24"/>
        </w:rPr>
        <w:t>Delivery plan with documented performance milestones/deliverables. Each provider will self-report contract performance data via our online reporting platform against pre-agreed milestones/deliverables, which will include:</w:t>
      </w:r>
    </w:p>
    <w:p w14:paraId="5B9CC29F" w14:textId="77777777" w:rsidR="004C7180" w:rsidRPr="00150EDC" w:rsidRDefault="00CF0754" w:rsidP="00B320C7">
      <w:pPr>
        <w:pStyle w:val="ListParagraph"/>
        <w:numPr>
          <w:ilvl w:val="2"/>
          <w:numId w:val="82"/>
        </w:numPr>
        <w:tabs>
          <w:tab w:val="left" w:pos="2840"/>
        </w:tabs>
        <w:spacing w:line="256" w:lineRule="auto"/>
        <w:ind w:right="1435"/>
        <w:rPr>
          <w:sz w:val="24"/>
        </w:rPr>
      </w:pPr>
      <w:r w:rsidRPr="007D3144">
        <w:rPr>
          <w:sz w:val="24"/>
        </w:rPr>
        <w:t>Learner</w:t>
      </w:r>
      <w:r w:rsidRPr="007D3144">
        <w:rPr>
          <w:spacing w:val="40"/>
          <w:sz w:val="24"/>
        </w:rPr>
        <w:t xml:space="preserve"> </w:t>
      </w:r>
      <w:r w:rsidRPr="007D3144">
        <w:rPr>
          <w:sz w:val="24"/>
        </w:rPr>
        <w:t>recruitment,</w:t>
      </w:r>
      <w:r w:rsidRPr="007D3144">
        <w:rPr>
          <w:spacing w:val="40"/>
          <w:sz w:val="24"/>
        </w:rPr>
        <w:t xml:space="preserve"> </w:t>
      </w:r>
      <w:r w:rsidRPr="007D3144">
        <w:rPr>
          <w:sz w:val="24"/>
        </w:rPr>
        <w:t>progress,</w:t>
      </w:r>
      <w:r w:rsidRPr="007D3144">
        <w:rPr>
          <w:spacing w:val="40"/>
          <w:sz w:val="24"/>
        </w:rPr>
        <w:t xml:space="preserve"> </w:t>
      </w:r>
      <w:r w:rsidRPr="007D3144">
        <w:rPr>
          <w:sz w:val="24"/>
        </w:rPr>
        <w:t>attendance,</w:t>
      </w:r>
      <w:r w:rsidRPr="007D3144">
        <w:rPr>
          <w:spacing w:val="40"/>
          <w:sz w:val="24"/>
        </w:rPr>
        <w:t xml:space="preserve"> </w:t>
      </w:r>
      <w:r w:rsidRPr="007D3144">
        <w:rPr>
          <w:sz w:val="24"/>
        </w:rPr>
        <w:t>and</w:t>
      </w:r>
      <w:r w:rsidRPr="007D3144">
        <w:rPr>
          <w:spacing w:val="40"/>
          <w:sz w:val="24"/>
        </w:rPr>
        <w:t xml:space="preserve"> </w:t>
      </w:r>
      <w:r w:rsidRPr="007D3144">
        <w:rPr>
          <w:sz w:val="24"/>
        </w:rPr>
        <w:t xml:space="preserve">drop-out/completion </w:t>
      </w:r>
      <w:r w:rsidRPr="007D3144">
        <w:rPr>
          <w:spacing w:val="-4"/>
          <w:sz w:val="24"/>
        </w:rPr>
        <w:t>data</w:t>
      </w:r>
    </w:p>
    <w:p w14:paraId="27E344F9" w14:textId="77777777" w:rsidR="004C7180" w:rsidRPr="00150EDC" w:rsidRDefault="00CF0754" w:rsidP="00B320C7">
      <w:pPr>
        <w:pStyle w:val="ListParagraph"/>
        <w:numPr>
          <w:ilvl w:val="2"/>
          <w:numId w:val="82"/>
        </w:numPr>
        <w:tabs>
          <w:tab w:val="left" w:pos="2838"/>
        </w:tabs>
        <w:spacing w:before="22"/>
        <w:ind w:left="2838" w:hanging="359"/>
        <w:rPr>
          <w:sz w:val="24"/>
        </w:rPr>
      </w:pPr>
      <w:r w:rsidRPr="007D3144">
        <w:rPr>
          <w:sz w:val="24"/>
        </w:rPr>
        <w:t>Provider</w:t>
      </w:r>
      <w:r w:rsidRPr="007D3144">
        <w:rPr>
          <w:spacing w:val="-5"/>
          <w:sz w:val="24"/>
        </w:rPr>
        <w:t xml:space="preserve"> </w:t>
      </w:r>
      <w:r w:rsidRPr="007D3144">
        <w:rPr>
          <w:sz w:val="24"/>
        </w:rPr>
        <w:t>quality</w:t>
      </w:r>
      <w:r w:rsidRPr="007D3144">
        <w:rPr>
          <w:spacing w:val="-4"/>
          <w:sz w:val="24"/>
        </w:rPr>
        <w:t xml:space="preserve"> </w:t>
      </w:r>
      <w:r w:rsidRPr="007D3144">
        <w:rPr>
          <w:sz w:val="24"/>
        </w:rPr>
        <w:t>assurance</w:t>
      </w:r>
      <w:r w:rsidRPr="007D3144">
        <w:rPr>
          <w:spacing w:val="-3"/>
          <w:sz w:val="24"/>
        </w:rPr>
        <w:t xml:space="preserve"> </w:t>
      </w:r>
      <w:r w:rsidRPr="007D3144">
        <w:rPr>
          <w:sz w:val="24"/>
        </w:rPr>
        <w:t>and</w:t>
      </w:r>
      <w:r w:rsidRPr="007D3144">
        <w:rPr>
          <w:spacing w:val="-4"/>
          <w:sz w:val="24"/>
        </w:rPr>
        <w:t xml:space="preserve"> </w:t>
      </w:r>
      <w:r w:rsidRPr="007D3144">
        <w:rPr>
          <w:sz w:val="24"/>
        </w:rPr>
        <w:t>milestone</w:t>
      </w:r>
      <w:r w:rsidRPr="007D3144">
        <w:rPr>
          <w:spacing w:val="-5"/>
          <w:sz w:val="24"/>
        </w:rPr>
        <w:t xml:space="preserve"> </w:t>
      </w:r>
      <w:r w:rsidRPr="007D3144">
        <w:rPr>
          <w:sz w:val="24"/>
        </w:rPr>
        <w:t>delivery</w:t>
      </w:r>
      <w:r w:rsidRPr="007D3144">
        <w:rPr>
          <w:spacing w:val="-3"/>
          <w:sz w:val="24"/>
        </w:rPr>
        <w:t xml:space="preserve"> </w:t>
      </w:r>
      <w:r w:rsidRPr="007D3144">
        <w:rPr>
          <w:spacing w:val="-4"/>
          <w:sz w:val="24"/>
        </w:rPr>
        <w:t>data</w:t>
      </w:r>
    </w:p>
    <w:p w14:paraId="54D9DDEC" w14:textId="77777777" w:rsidR="004C7180" w:rsidRPr="00150EDC" w:rsidRDefault="00CF0754" w:rsidP="00B320C7">
      <w:pPr>
        <w:pStyle w:val="ListParagraph"/>
        <w:numPr>
          <w:ilvl w:val="2"/>
          <w:numId w:val="82"/>
        </w:numPr>
        <w:tabs>
          <w:tab w:val="left" w:pos="2839"/>
        </w:tabs>
        <w:spacing w:before="20"/>
        <w:ind w:left="2839" w:hanging="359"/>
        <w:rPr>
          <w:sz w:val="24"/>
        </w:rPr>
      </w:pPr>
      <w:r w:rsidRPr="007D3144">
        <w:rPr>
          <w:sz w:val="24"/>
        </w:rPr>
        <w:t>Trial</w:t>
      </w:r>
      <w:r w:rsidRPr="007D3144">
        <w:rPr>
          <w:spacing w:val="-6"/>
          <w:sz w:val="24"/>
        </w:rPr>
        <w:t xml:space="preserve"> </w:t>
      </w:r>
      <w:r w:rsidRPr="007D3144">
        <w:rPr>
          <w:sz w:val="24"/>
        </w:rPr>
        <w:t>data</w:t>
      </w:r>
      <w:r w:rsidRPr="007D3144">
        <w:rPr>
          <w:spacing w:val="-2"/>
          <w:sz w:val="24"/>
        </w:rPr>
        <w:t xml:space="preserve"> </w:t>
      </w:r>
      <w:r w:rsidRPr="007D3144">
        <w:rPr>
          <w:sz w:val="24"/>
        </w:rPr>
        <w:t>collection</w:t>
      </w:r>
      <w:r w:rsidRPr="007D3144">
        <w:rPr>
          <w:spacing w:val="-4"/>
          <w:sz w:val="24"/>
        </w:rPr>
        <w:t xml:space="preserve"> </w:t>
      </w:r>
      <w:r w:rsidRPr="007D3144">
        <w:rPr>
          <w:sz w:val="24"/>
        </w:rPr>
        <w:t>protocols</w:t>
      </w:r>
      <w:r w:rsidRPr="007D3144">
        <w:rPr>
          <w:spacing w:val="-3"/>
          <w:sz w:val="24"/>
        </w:rPr>
        <w:t xml:space="preserve"> </w:t>
      </w:r>
      <w:r w:rsidRPr="007D3144">
        <w:rPr>
          <w:sz w:val="24"/>
        </w:rPr>
        <w:t>required</w:t>
      </w:r>
      <w:r w:rsidRPr="007D3144">
        <w:rPr>
          <w:spacing w:val="-4"/>
          <w:sz w:val="24"/>
        </w:rPr>
        <w:t xml:space="preserve"> </w:t>
      </w:r>
      <w:r w:rsidRPr="007D3144">
        <w:rPr>
          <w:sz w:val="24"/>
        </w:rPr>
        <w:t>from</w:t>
      </w:r>
      <w:r w:rsidRPr="007D3144">
        <w:rPr>
          <w:spacing w:val="-1"/>
          <w:sz w:val="24"/>
        </w:rPr>
        <w:t xml:space="preserve"> </w:t>
      </w:r>
      <w:r w:rsidRPr="007D3144">
        <w:rPr>
          <w:spacing w:val="-2"/>
          <w:sz w:val="24"/>
        </w:rPr>
        <w:t>providers</w:t>
      </w:r>
    </w:p>
    <w:p w14:paraId="45237BEE" w14:textId="77777777" w:rsidR="004C7180" w:rsidRPr="00150EDC" w:rsidRDefault="00CF0754" w:rsidP="00B320C7">
      <w:pPr>
        <w:pStyle w:val="ListParagraph"/>
        <w:numPr>
          <w:ilvl w:val="1"/>
          <w:numId w:val="82"/>
        </w:numPr>
        <w:tabs>
          <w:tab w:val="left" w:pos="2120"/>
        </w:tabs>
        <w:spacing w:before="19" w:line="278" w:lineRule="auto"/>
        <w:ind w:right="1434"/>
        <w:rPr>
          <w:sz w:val="24"/>
        </w:rPr>
      </w:pPr>
      <w:r w:rsidRPr="007D3144">
        <w:rPr>
          <w:sz w:val="24"/>
        </w:rPr>
        <w:t>Compliance</w:t>
      </w:r>
      <w:r w:rsidRPr="007D3144">
        <w:rPr>
          <w:spacing w:val="80"/>
          <w:sz w:val="24"/>
        </w:rPr>
        <w:t xml:space="preserve"> </w:t>
      </w:r>
      <w:r w:rsidRPr="007D3144">
        <w:rPr>
          <w:sz w:val="24"/>
        </w:rPr>
        <w:t>checks.</w:t>
      </w:r>
      <w:r w:rsidRPr="007D3144">
        <w:rPr>
          <w:spacing w:val="80"/>
          <w:sz w:val="24"/>
        </w:rPr>
        <w:t xml:space="preserve"> </w:t>
      </w:r>
      <w:r w:rsidRPr="007D3144">
        <w:rPr>
          <w:sz w:val="24"/>
        </w:rPr>
        <w:t>Undertaken</w:t>
      </w:r>
      <w:r w:rsidRPr="007D3144">
        <w:rPr>
          <w:spacing w:val="80"/>
          <w:sz w:val="24"/>
        </w:rPr>
        <w:t xml:space="preserve"> </w:t>
      </w:r>
      <w:r w:rsidRPr="007D3144">
        <w:rPr>
          <w:sz w:val="24"/>
        </w:rPr>
        <w:t>by</w:t>
      </w:r>
      <w:r w:rsidRPr="007D3144">
        <w:rPr>
          <w:spacing w:val="80"/>
          <w:sz w:val="24"/>
        </w:rPr>
        <w:t xml:space="preserve"> </w:t>
      </w:r>
      <w:r w:rsidRPr="007D3144">
        <w:rPr>
          <w:sz w:val="24"/>
        </w:rPr>
        <w:t>our</w:t>
      </w:r>
      <w:r w:rsidRPr="007D3144">
        <w:rPr>
          <w:spacing w:val="80"/>
          <w:sz w:val="24"/>
        </w:rPr>
        <w:t xml:space="preserve"> </w:t>
      </w:r>
      <w:r w:rsidRPr="007D3144">
        <w:rPr>
          <w:sz w:val="24"/>
        </w:rPr>
        <w:t>Compliance</w:t>
      </w:r>
      <w:r w:rsidRPr="007D3144">
        <w:rPr>
          <w:spacing w:val="80"/>
          <w:sz w:val="24"/>
        </w:rPr>
        <w:t xml:space="preserve"> </w:t>
      </w:r>
      <w:r w:rsidRPr="007D3144">
        <w:rPr>
          <w:sz w:val="24"/>
        </w:rPr>
        <w:t>Officer,</w:t>
      </w:r>
      <w:r w:rsidRPr="007D3144">
        <w:rPr>
          <w:spacing w:val="80"/>
          <w:sz w:val="24"/>
        </w:rPr>
        <w:t xml:space="preserve"> </w:t>
      </w:r>
      <w:r w:rsidRPr="007D3144">
        <w:rPr>
          <w:sz w:val="24"/>
        </w:rPr>
        <w:t>checks</w:t>
      </w:r>
      <w:r w:rsidRPr="007D3144">
        <w:rPr>
          <w:spacing w:val="80"/>
          <w:sz w:val="24"/>
        </w:rPr>
        <w:t xml:space="preserve"> </w:t>
      </w:r>
      <w:r w:rsidRPr="007D3144">
        <w:rPr>
          <w:sz w:val="24"/>
        </w:rPr>
        <w:t xml:space="preserve">will </w:t>
      </w:r>
      <w:r w:rsidRPr="007D3144">
        <w:rPr>
          <w:spacing w:val="-2"/>
          <w:sz w:val="24"/>
        </w:rPr>
        <w:t>include:</w:t>
      </w:r>
    </w:p>
    <w:p w14:paraId="7D562117" w14:textId="77777777" w:rsidR="004C7180" w:rsidRPr="00150EDC" w:rsidRDefault="00CF0754" w:rsidP="00B320C7">
      <w:pPr>
        <w:pStyle w:val="ListParagraph"/>
        <w:numPr>
          <w:ilvl w:val="2"/>
          <w:numId w:val="82"/>
        </w:numPr>
        <w:tabs>
          <w:tab w:val="left" w:pos="2840"/>
        </w:tabs>
        <w:spacing w:line="256" w:lineRule="auto"/>
        <w:ind w:right="1436"/>
        <w:jc w:val="both"/>
        <w:rPr>
          <w:sz w:val="24"/>
        </w:rPr>
      </w:pPr>
      <w:r w:rsidRPr="007D3144">
        <w:rPr>
          <w:sz w:val="24"/>
        </w:rPr>
        <w:t>Confirming attendance at product implementation training and successful completion of any associated assessment</w:t>
      </w:r>
    </w:p>
    <w:p w14:paraId="6C406211" w14:textId="77777777" w:rsidR="004C7180" w:rsidRPr="00150EDC" w:rsidRDefault="00CF0754" w:rsidP="00B320C7">
      <w:pPr>
        <w:pStyle w:val="ListParagraph"/>
        <w:numPr>
          <w:ilvl w:val="2"/>
          <w:numId w:val="82"/>
        </w:numPr>
        <w:tabs>
          <w:tab w:val="left" w:pos="2840"/>
        </w:tabs>
        <w:spacing w:before="18" w:line="256" w:lineRule="auto"/>
        <w:ind w:right="1435"/>
        <w:jc w:val="both"/>
        <w:rPr>
          <w:sz w:val="24"/>
        </w:rPr>
      </w:pPr>
      <w:r w:rsidRPr="007D3144">
        <w:rPr>
          <w:sz w:val="24"/>
        </w:rPr>
        <w:t>20% electronic checks of self-reported data, whereby we review and cross-check learner registrations against attendance registers</w:t>
      </w:r>
    </w:p>
    <w:p w14:paraId="7CFF29F9" w14:textId="77777777" w:rsidR="004C7180" w:rsidRPr="00150EDC" w:rsidRDefault="00CF0754" w:rsidP="00B320C7">
      <w:pPr>
        <w:pStyle w:val="ListParagraph"/>
        <w:numPr>
          <w:ilvl w:val="2"/>
          <w:numId w:val="82"/>
        </w:numPr>
        <w:tabs>
          <w:tab w:val="left" w:pos="2840"/>
        </w:tabs>
        <w:spacing w:before="24" w:line="268" w:lineRule="auto"/>
        <w:ind w:right="1436"/>
        <w:jc w:val="both"/>
        <w:rPr>
          <w:sz w:val="24"/>
        </w:rPr>
      </w:pPr>
      <w:r w:rsidRPr="007D3144">
        <w:rPr>
          <w:sz w:val="24"/>
        </w:rPr>
        <w:t>15% virtual and in-person unannounced spot checks. These will be undertaken by the Project Director and Project Manager to confirm learner attendance and the quality of the trial delivery (against a proforma checklist, e.g. delivery style, engagement)</w:t>
      </w:r>
    </w:p>
    <w:p w14:paraId="63FA22C7" w14:textId="77777777" w:rsidR="004C7180" w:rsidRPr="00150EDC" w:rsidRDefault="00CF0754">
      <w:pPr>
        <w:pStyle w:val="BodyText"/>
        <w:spacing w:before="12" w:line="276" w:lineRule="auto"/>
        <w:ind w:left="1399" w:right="1436"/>
        <w:jc w:val="both"/>
      </w:pPr>
      <w:r w:rsidRPr="007D3144">
        <w:t>We will maintain a provider risk register which will RAG-rate all providers based on compliance checks, with increased checks for those most at-risk of not meeting contract deliverables, to ensure that delivery goals are achieved. In addition, we will implement proactive measures to support providers, including:</w:t>
      </w:r>
    </w:p>
    <w:p w14:paraId="0E1506BC" w14:textId="77777777" w:rsidR="004C7180" w:rsidRPr="00150EDC" w:rsidRDefault="00CF0754" w:rsidP="00B320C7">
      <w:pPr>
        <w:pStyle w:val="ListParagraph"/>
        <w:numPr>
          <w:ilvl w:val="1"/>
          <w:numId w:val="82"/>
        </w:numPr>
        <w:tabs>
          <w:tab w:val="left" w:pos="2120"/>
        </w:tabs>
        <w:spacing w:before="120" w:line="276" w:lineRule="auto"/>
        <w:ind w:right="1434"/>
        <w:jc w:val="both"/>
        <w:rPr>
          <w:sz w:val="24"/>
        </w:rPr>
      </w:pPr>
      <w:r w:rsidRPr="007D3144">
        <w:rPr>
          <w:sz w:val="24"/>
        </w:rPr>
        <w:t>RAG-dependent</w:t>
      </w:r>
      <w:r w:rsidRPr="007D3144">
        <w:rPr>
          <w:spacing w:val="-1"/>
          <w:sz w:val="24"/>
        </w:rPr>
        <w:t xml:space="preserve"> </w:t>
      </w:r>
      <w:r w:rsidRPr="007D3144">
        <w:rPr>
          <w:sz w:val="24"/>
        </w:rPr>
        <w:t>keep-in-touch</w:t>
      </w:r>
      <w:r w:rsidRPr="007D3144">
        <w:rPr>
          <w:spacing w:val="-3"/>
          <w:sz w:val="24"/>
        </w:rPr>
        <w:t xml:space="preserve"> </w:t>
      </w:r>
      <w:r w:rsidRPr="007D3144">
        <w:rPr>
          <w:sz w:val="24"/>
        </w:rPr>
        <w:t>meetings,</w:t>
      </w:r>
      <w:r w:rsidRPr="007D3144">
        <w:rPr>
          <w:spacing w:val="-1"/>
          <w:sz w:val="24"/>
        </w:rPr>
        <w:t xml:space="preserve"> </w:t>
      </w:r>
      <w:r w:rsidRPr="007D3144">
        <w:rPr>
          <w:sz w:val="24"/>
        </w:rPr>
        <w:t>where</w:t>
      </w:r>
      <w:r w:rsidRPr="007D3144">
        <w:rPr>
          <w:spacing w:val="-1"/>
          <w:sz w:val="24"/>
        </w:rPr>
        <w:t xml:space="preserve"> </w:t>
      </w:r>
      <w:r w:rsidRPr="007D3144">
        <w:rPr>
          <w:sz w:val="24"/>
        </w:rPr>
        <w:t>the</w:t>
      </w:r>
      <w:r w:rsidRPr="007D3144">
        <w:rPr>
          <w:spacing w:val="-1"/>
          <w:sz w:val="24"/>
        </w:rPr>
        <w:t xml:space="preserve"> </w:t>
      </w:r>
      <w:r w:rsidRPr="007D3144">
        <w:rPr>
          <w:sz w:val="24"/>
        </w:rPr>
        <w:t>project</w:t>
      </w:r>
      <w:r w:rsidRPr="007D3144">
        <w:rPr>
          <w:spacing w:val="-3"/>
          <w:sz w:val="24"/>
        </w:rPr>
        <w:t xml:space="preserve"> </w:t>
      </w:r>
      <w:r w:rsidRPr="007D3144">
        <w:rPr>
          <w:sz w:val="24"/>
        </w:rPr>
        <w:t>manager</w:t>
      </w:r>
      <w:r w:rsidRPr="007D3144">
        <w:rPr>
          <w:spacing w:val="-2"/>
          <w:sz w:val="24"/>
        </w:rPr>
        <w:t xml:space="preserve"> </w:t>
      </w:r>
      <w:r w:rsidRPr="007D3144">
        <w:rPr>
          <w:sz w:val="24"/>
        </w:rPr>
        <w:t>will</w:t>
      </w:r>
      <w:r w:rsidRPr="007D3144">
        <w:rPr>
          <w:spacing w:val="-2"/>
          <w:sz w:val="24"/>
        </w:rPr>
        <w:t xml:space="preserve"> </w:t>
      </w:r>
      <w:r w:rsidRPr="007D3144">
        <w:rPr>
          <w:sz w:val="24"/>
        </w:rPr>
        <w:t>meet (virtually/in person) to discuss progress against milestones and any specific challenges, including steps to resolve identified issues</w:t>
      </w:r>
    </w:p>
    <w:p w14:paraId="57B016FD" w14:textId="77777777" w:rsidR="004C7180" w:rsidRPr="00150EDC" w:rsidRDefault="00CF0754" w:rsidP="00B320C7">
      <w:pPr>
        <w:pStyle w:val="ListParagraph"/>
        <w:numPr>
          <w:ilvl w:val="1"/>
          <w:numId w:val="82"/>
        </w:numPr>
        <w:tabs>
          <w:tab w:val="left" w:pos="2120"/>
        </w:tabs>
        <w:spacing w:line="278" w:lineRule="auto"/>
        <w:ind w:right="1434"/>
        <w:jc w:val="both"/>
        <w:rPr>
          <w:sz w:val="24"/>
        </w:rPr>
      </w:pPr>
      <w:r w:rsidRPr="007D3144">
        <w:rPr>
          <w:sz w:val="24"/>
        </w:rPr>
        <w:t xml:space="preserve">Webinars providing practical advice, e.g. measures to address learner drop- </w:t>
      </w:r>
      <w:r w:rsidRPr="007D3144">
        <w:rPr>
          <w:spacing w:val="-4"/>
          <w:sz w:val="24"/>
        </w:rPr>
        <w:t>outs</w:t>
      </w:r>
    </w:p>
    <w:p w14:paraId="196EC6B2" w14:textId="77777777" w:rsidR="004C7180" w:rsidRPr="00150EDC" w:rsidRDefault="00CF0754" w:rsidP="00B320C7">
      <w:pPr>
        <w:pStyle w:val="ListParagraph"/>
        <w:numPr>
          <w:ilvl w:val="1"/>
          <w:numId w:val="82"/>
        </w:numPr>
        <w:tabs>
          <w:tab w:val="left" w:pos="2120"/>
        </w:tabs>
        <w:spacing w:line="276" w:lineRule="auto"/>
        <w:ind w:right="1433"/>
        <w:jc w:val="both"/>
        <w:rPr>
          <w:sz w:val="24"/>
        </w:rPr>
      </w:pPr>
      <w:r w:rsidRPr="007D3144">
        <w:rPr>
          <w:sz w:val="24"/>
        </w:rPr>
        <w:t>Dedicated email mailbox which providers can use to raise any issues or concerns.</w:t>
      </w:r>
      <w:r w:rsidRPr="007D3144">
        <w:rPr>
          <w:spacing w:val="-9"/>
          <w:sz w:val="24"/>
        </w:rPr>
        <w:t xml:space="preserve"> </w:t>
      </w:r>
      <w:r w:rsidRPr="007D3144">
        <w:rPr>
          <w:sz w:val="24"/>
        </w:rPr>
        <w:t>The</w:t>
      </w:r>
      <w:r w:rsidRPr="007D3144">
        <w:rPr>
          <w:spacing w:val="-11"/>
          <w:sz w:val="24"/>
        </w:rPr>
        <w:t xml:space="preserve"> </w:t>
      </w:r>
      <w:r w:rsidRPr="007D3144">
        <w:rPr>
          <w:sz w:val="24"/>
        </w:rPr>
        <w:t>mailbox</w:t>
      </w:r>
      <w:r w:rsidRPr="007D3144">
        <w:rPr>
          <w:spacing w:val="-12"/>
          <w:sz w:val="24"/>
        </w:rPr>
        <w:t xml:space="preserve"> </w:t>
      </w:r>
      <w:r w:rsidRPr="007D3144">
        <w:rPr>
          <w:sz w:val="24"/>
        </w:rPr>
        <w:t>will</w:t>
      </w:r>
      <w:r w:rsidRPr="007D3144">
        <w:rPr>
          <w:spacing w:val="-10"/>
          <w:sz w:val="24"/>
        </w:rPr>
        <w:t xml:space="preserve"> </w:t>
      </w:r>
      <w:r w:rsidRPr="007D3144">
        <w:rPr>
          <w:sz w:val="24"/>
        </w:rPr>
        <w:t>be</w:t>
      </w:r>
      <w:r w:rsidRPr="007D3144">
        <w:rPr>
          <w:spacing w:val="-8"/>
          <w:sz w:val="24"/>
        </w:rPr>
        <w:t xml:space="preserve"> </w:t>
      </w:r>
      <w:r w:rsidRPr="007D3144">
        <w:rPr>
          <w:sz w:val="24"/>
        </w:rPr>
        <w:t>monitored</w:t>
      </w:r>
      <w:r w:rsidRPr="007D3144">
        <w:rPr>
          <w:spacing w:val="-8"/>
          <w:sz w:val="24"/>
        </w:rPr>
        <w:t xml:space="preserve"> </w:t>
      </w:r>
      <w:r w:rsidRPr="007D3144">
        <w:rPr>
          <w:sz w:val="24"/>
        </w:rPr>
        <w:t>daily</w:t>
      </w:r>
      <w:r w:rsidRPr="007D3144">
        <w:rPr>
          <w:spacing w:val="-9"/>
          <w:sz w:val="24"/>
        </w:rPr>
        <w:t xml:space="preserve"> </w:t>
      </w:r>
      <w:r w:rsidRPr="007D3144">
        <w:rPr>
          <w:sz w:val="24"/>
        </w:rPr>
        <w:t>by</w:t>
      </w:r>
      <w:r w:rsidRPr="007D3144">
        <w:rPr>
          <w:spacing w:val="-9"/>
          <w:sz w:val="24"/>
        </w:rPr>
        <w:t xml:space="preserve"> </w:t>
      </w:r>
      <w:r w:rsidRPr="007D3144">
        <w:rPr>
          <w:sz w:val="24"/>
        </w:rPr>
        <w:t>the</w:t>
      </w:r>
      <w:r w:rsidRPr="007D3144">
        <w:rPr>
          <w:spacing w:val="-8"/>
          <w:sz w:val="24"/>
        </w:rPr>
        <w:t xml:space="preserve"> </w:t>
      </w:r>
      <w:r w:rsidRPr="007D3144">
        <w:rPr>
          <w:sz w:val="24"/>
        </w:rPr>
        <w:t>assistant</w:t>
      </w:r>
      <w:r w:rsidRPr="007D3144">
        <w:rPr>
          <w:spacing w:val="-11"/>
          <w:sz w:val="24"/>
        </w:rPr>
        <w:t xml:space="preserve"> </w:t>
      </w:r>
      <w:r w:rsidRPr="007D3144">
        <w:rPr>
          <w:sz w:val="24"/>
        </w:rPr>
        <w:t>project</w:t>
      </w:r>
      <w:r w:rsidRPr="007D3144">
        <w:rPr>
          <w:spacing w:val="-9"/>
          <w:sz w:val="24"/>
        </w:rPr>
        <w:t xml:space="preserve"> </w:t>
      </w:r>
      <w:r w:rsidRPr="007D3144">
        <w:rPr>
          <w:sz w:val="24"/>
        </w:rPr>
        <w:t xml:space="preserve">manager and we will use Freshdesk to analyse all communications to identify common themes which can then be addressed via webinars to the wider network of </w:t>
      </w:r>
      <w:r w:rsidRPr="007D3144">
        <w:rPr>
          <w:spacing w:val="-2"/>
          <w:sz w:val="24"/>
        </w:rPr>
        <w:t>providers</w:t>
      </w:r>
    </w:p>
    <w:p w14:paraId="49C96BE3" w14:textId="77777777" w:rsidR="004C7180" w:rsidRPr="00150EDC" w:rsidRDefault="00CF0754">
      <w:pPr>
        <w:pStyle w:val="BodyText"/>
        <w:spacing w:line="276" w:lineRule="auto"/>
        <w:ind w:left="1399" w:right="1432"/>
        <w:jc w:val="both"/>
      </w:pPr>
      <w:r w:rsidRPr="007D3144">
        <w:t>This approach will provide consistency in the development/application of our delivery assurance</w:t>
      </w:r>
      <w:r w:rsidRPr="007D3144">
        <w:rPr>
          <w:spacing w:val="-17"/>
        </w:rPr>
        <w:t xml:space="preserve"> </w:t>
      </w:r>
      <w:r w:rsidRPr="007D3144">
        <w:t>plan,</w:t>
      </w:r>
      <w:r w:rsidRPr="007D3144">
        <w:rPr>
          <w:spacing w:val="-17"/>
        </w:rPr>
        <w:t xml:space="preserve"> </w:t>
      </w:r>
      <w:r w:rsidRPr="007D3144">
        <w:t>ensuring</w:t>
      </w:r>
      <w:r w:rsidRPr="007D3144">
        <w:rPr>
          <w:spacing w:val="-16"/>
        </w:rPr>
        <w:t xml:space="preserve"> </w:t>
      </w:r>
      <w:r w:rsidRPr="007D3144">
        <w:t>each</w:t>
      </w:r>
      <w:r w:rsidRPr="007D3144">
        <w:rPr>
          <w:spacing w:val="-17"/>
        </w:rPr>
        <w:t xml:space="preserve"> </w:t>
      </w:r>
      <w:r w:rsidRPr="007D3144">
        <w:t>trial</w:t>
      </w:r>
      <w:r w:rsidRPr="007D3144">
        <w:rPr>
          <w:spacing w:val="-17"/>
        </w:rPr>
        <w:t xml:space="preserve"> </w:t>
      </w:r>
      <w:r w:rsidRPr="007D3144">
        <w:t>adheres</w:t>
      </w:r>
      <w:r w:rsidRPr="007D3144">
        <w:rPr>
          <w:spacing w:val="-17"/>
        </w:rPr>
        <w:t xml:space="preserve"> </w:t>
      </w:r>
      <w:r w:rsidRPr="007D3144">
        <w:t>to</w:t>
      </w:r>
      <w:r w:rsidRPr="007D3144">
        <w:rPr>
          <w:spacing w:val="-16"/>
        </w:rPr>
        <w:t xml:space="preserve"> </w:t>
      </w:r>
      <w:r w:rsidRPr="007D3144">
        <w:t>the</w:t>
      </w:r>
      <w:r w:rsidRPr="007D3144">
        <w:rPr>
          <w:spacing w:val="-17"/>
        </w:rPr>
        <w:t xml:space="preserve"> </w:t>
      </w:r>
      <w:r w:rsidRPr="007D3144">
        <w:t>relevant</w:t>
      </w:r>
      <w:r w:rsidRPr="007D3144">
        <w:rPr>
          <w:spacing w:val="-17"/>
        </w:rPr>
        <w:t xml:space="preserve"> </w:t>
      </w:r>
      <w:r w:rsidRPr="007D3144">
        <w:t>specification</w:t>
      </w:r>
      <w:r w:rsidRPr="007D3144">
        <w:rPr>
          <w:spacing w:val="-16"/>
        </w:rPr>
        <w:t xml:space="preserve"> </w:t>
      </w:r>
      <w:r w:rsidRPr="007D3144">
        <w:t>and</w:t>
      </w:r>
      <w:r w:rsidRPr="007D3144">
        <w:rPr>
          <w:spacing w:val="-17"/>
        </w:rPr>
        <w:t xml:space="preserve"> </w:t>
      </w:r>
      <w:r w:rsidRPr="007D3144">
        <w:t>protocols, maximising the validity of data collected.</w:t>
      </w:r>
    </w:p>
    <w:p w14:paraId="4F3CB968" w14:textId="77777777" w:rsidR="004C7180" w:rsidRPr="00150EDC" w:rsidRDefault="004C7180">
      <w:pPr>
        <w:pStyle w:val="BodyText"/>
        <w:rPr>
          <w:sz w:val="26"/>
        </w:rPr>
      </w:pPr>
    </w:p>
    <w:p w14:paraId="67A1B1BB" w14:textId="77777777" w:rsidR="004C7180" w:rsidRPr="00150EDC" w:rsidRDefault="004C7180">
      <w:pPr>
        <w:pStyle w:val="BodyText"/>
        <w:spacing w:before="1"/>
        <w:rPr>
          <w:sz w:val="21"/>
        </w:rPr>
      </w:pPr>
    </w:p>
    <w:p w14:paraId="412C42CD" w14:textId="77777777" w:rsidR="004C7180" w:rsidRPr="00150EDC" w:rsidRDefault="00CF0754">
      <w:pPr>
        <w:ind w:left="1400"/>
        <w:jc w:val="both"/>
        <w:rPr>
          <w:b/>
          <w:sz w:val="24"/>
        </w:rPr>
      </w:pPr>
      <w:r w:rsidRPr="007D3144">
        <w:rPr>
          <w:b/>
          <w:sz w:val="24"/>
        </w:rPr>
        <w:t>Funding</w:t>
      </w:r>
      <w:r w:rsidRPr="007D3144">
        <w:rPr>
          <w:b/>
          <w:spacing w:val="-5"/>
          <w:sz w:val="24"/>
        </w:rPr>
        <w:t xml:space="preserve"> </w:t>
      </w:r>
      <w:r w:rsidRPr="007D3144">
        <w:rPr>
          <w:b/>
          <w:spacing w:val="-2"/>
          <w:sz w:val="24"/>
        </w:rPr>
        <w:t>management</w:t>
      </w:r>
    </w:p>
    <w:p w14:paraId="5A0B9394" w14:textId="77777777" w:rsidR="004C7180" w:rsidRPr="00150EDC" w:rsidRDefault="00CF0754">
      <w:pPr>
        <w:pStyle w:val="BodyText"/>
        <w:spacing w:before="163" w:line="276" w:lineRule="auto"/>
        <w:ind w:left="1399" w:right="1434"/>
        <w:jc w:val="both"/>
      </w:pPr>
      <w:r w:rsidRPr="007D3144">
        <w:t>Through</w:t>
      </w:r>
      <w:r w:rsidRPr="007D3144">
        <w:rPr>
          <w:spacing w:val="-17"/>
        </w:rPr>
        <w:t xml:space="preserve"> </w:t>
      </w:r>
      <w:r w:rsidRPr="007D3144">
        <w:t>programmes</w:t>
      </w:r>
      <w:r w:rsidRPr="007D3144">
        <w:rPr>
          <w:spacing w:val="-17"/>
        </w:rPr>
        <w:t xml:space="preserve"> </w:t>
      </w:r>
      <w:r w:rsidRPr="007D3144">
        <w:t>e.g.</w:t>
      </w:r>
      <w:r w:rsidRPr="007D3144">
        <w:rPr>
          <w:spacing w:val="-16"/>
        </w:rPr>
        <w:t xml:space="preserve"> </w:t>
      </w:r>
      <w:r w:rsidRPr="007D3144">
        <w:t>the</w:t>
      </w:r>
      <w:r w:rsidRPr="007D3144">
        <w:rPr>
          <w:spacing w:val="-17"/>
        </w:rPr>
        <w:t xml:space="preserve"> </w:t>
      </w:r>
      <w:r w:rsidRPr="007D3144">
        <w:t>£9m</w:t>
      </w:r>
      <w:r w:rsidRPr="007D3144">
        <w:rPr>
          <w:spacing w:val="-16"/>
        </w:rPr>
        <w:t xml:space="preserve"> </w:t>
      </w:r>
      <w:r w:rsidRPr="007D3144">
        <w:t>DfE</w:t>
      </w:r>
      <w:r w:rsidRPr="007D3144">
        <w:rPr>
          <w:spacing w:val="-17"/>
        </w:rPr>
        <w:t xml:space="preserve"> </w:t>
      </w:r>
      <w:r w:rsidRPr="007D3144">
        <w:t>National</w:t>
      </w:r>
      <w:r w:rsidRPr="007D3144">
        <w:rPr>
          <w:spacing w:val="-17"/>
        </w:rPr>
        <w:t xml:space="preserve"> </w:t>
      </w:r>
      <w:r w:rsidRPr="007D3144">
        <w:t>Centre</w:t>
      </w:r>
      <w:r w:rsidRPr="007D3144">
        <w:rPr>
          <w:spacing w:val="-16"/>
        </w:rPr>
        <w:t xml:space="preserve"> </w:t>
      </w:r>
      <w:r w:rsidRPr="007D3144">
        <w:t>for</w:t>
      </w:r>
      <w:r w:rsidRPr="007D3144">
        <w:rPr>
          <w:spacing w:val="-17"/>
        </w:rPr>
        <w:t xml:space="preserve"> </w:t>
      </w:r>
      <w:r w:rsidRPr="007D3144">
        <w:t>Excellence</w:t>
      </w:r>
      <w:r w:rsidRPr="007D3144">
        <w:rPr>
          <w:spacing w:val="-15"/>
        </w:rPr>
        <w:t xml:space="preserve"> </w:t>
      </w:r>
      <w:r w:rsidRPr="007D3144">
        <w:t>in</w:t>
      </w:r>
      <w:r w:rsidRPr="007D3144">
        <w:rPr>
          <w:spacing w:val="-16"/>
        </w:rPr>
        <w:t xml:space="preserve"> </w:t>
      </w:r>
      <w:r w:rsidRPr="007D3144">
        <w:t>the</w:t>
      </w:r>
      <w:r w:rsidRPr="007D3144">
        <w:rPr>
          <w:spacing w:val="-15"/>
        </w:rPr>
        <w:t xml:space="preserve"> </w:t>
      </w:r>
      <w:r w:rsidRPr="007D3144">
        <w:t>Teaching of Mathematics (NCETM), we are experienced in administering payments at-scale (NCETM has run since 2009, and has reached 10,000 schools via 40 regional</w:t>
      </w:r>
      <w:r w:rsidRPr="007D3144">
        <w:rPr>
          <w:spacing w:val="-1"/>
        </w:rPr>
        <w:t xml:space="preserve"> </w:t>
      </w:r>
      <w:r w:rsidRPr="007D3144">
        <w:t>Maths</w:t>
      </w:r>
    </w:p>
    <w:p w14:paraId="09297E32" w14:textId="77777777" w:rsidR="004C7180" w:rsidRPr="00150EDC" w:rsidRDefault="004C7180">
      <w:pPr>
        <w:spacing w:line="276" w:lineRule="auto"/>
        <w:jc w:val="both"/>
        <w:sectPr w:rsidR="004C7180" w:rsidRPr="00150EDC">
          <w:pgSz w:w="11910" w:h="16840"/>
          <w:pgMar w:top="1460" w:right="0" w:bottom="1420" w:left="40" w:header="712" w:footer="1224" w:gutter="0"/>
          <w:cols w:space="720"/>
        </w:sectPr>
      </w:pPr>
    </w:p>
    <w:p w14:paraId="17DAE715" w14:textId="77777777" w:rsidR="004C7180" w:rsidRPr="00150EDC" w:rsidRDefault="004C7180">
      <w:pPr>
        <w:pStyle w:val="BodyText"/>
        <w:spacing w:before="4"/>
        <w:rPr>
          <w:sz w:val="18"/>
        </w:rPr>
      </w:pPr>
    </w:p>
    <w:p w14:paraId="43DFDCD5" w14:textId="77777777" w:rsidR="004C7180" w:rsidRPr="00150EDC" w:rsidRDefault="00CF0754">
      <w:pPr>
        <w:pStyle w:val="BodyText"/>
        <w:spacing w:before="93" w:line="276" w:lineRule="auto"/>
        <w:ind w:left="1400" w:right="1435"/>
        <w:jc w:val="both"/>
      </w:pPr>
      <w:r w:rsidRPr="007D3144">
        <w:t>Hub</w:t>
      </w:r>
      <w:r w:rsidRPr="007D3144">
        <w:rPr>
          <w:spacing w:val="-4"/>
        </w:rPr>
        <w:t xml:space="preserve"> </w:t>
      </w:r>
      <w:r w:rsidRPr="007D3144">
        <w:t>providers)</w:t>
      </w:r>
      <w:r w:rsidRPr="007D3144">
        <w:rPr>
          <w:spacing w:val="-6"/>
        </w:rPr>
        <w:t xml:space="preserve"> </w:t>
      </w:r>
      <w:r w:rsidRPr="007D3144">
        <w:t>and</w:t>
      </w:r>
      <w:r w:rsidRPr="007D3144">
        <w:rPr>
          <w:spacing w:val="-4"/>
        </w:rPr>
        <w:t xml:space="preserve"> </w:t>
      </w:r>
      <w:r w:rsidRPr="007D3144">
        <w:t>in</w:t>
      </w:r>
      <w:r w:rsidRPr="007D3144">
        <w:rPr>
          <w:spacing w:val="-4"/>
        </w:rPr>
        <w:t xml:space="preserve"> </w:t>
      </w:r>
      <w:r w:rsidRPr="007D3144">
        <w:t>implementing</w:t>
      </w:r>
      <w:r w:rsidRPr="007D3144">
        <w:rPr>
          <w:spacing w:val="-7"/>
        </w:rPr>
        <w:t xml:space="preserve"> </w:t>
      </w:r>
      <w:r w:rsidRPr="007D3144">
        <w:t>prescribed</w:t>
      </w:r>
      <w:r w:rsidRPr="007D3144">
        <w:rPr>
          <w:spacing w:val="-4"/>
        </w:rPr>
        <w:t xml:space="preserve"> </w:t>
      </w:r>
      <w:r w:rsidRPr="007D3144">
        <w:t>checks</w:t>
      </w:r>
      <w:r w:rsidRPr="007D3144">
        <w:rPr>
          <w:spacing w:val="-5"/>
        </w:rPr>
        <w:t xml:space="preserve"> </w:t>
      </w:r>
      <w:r w:rsidRPr="007D3144">
        <w:t>to</w:t>
      </w:r>
      <w:r w:rsidRPr="007D3144">
        <w:rPr>
          <w:spacing w:val="-4"/>
        </w:rPr>
        <w:t xml:space="preserve"> </w:t>
      </w:r>
      <w:r w:rsidRPr="007D3144">
        <w:t>confirm</w:t>
      </w:r>
      <w:r w:rsidRPr="007D3144">
        <w:rPr>
          <w:spacing w:val="-4"/>
        </w:rPr>
        <w:t xml:space="preserve"> </w:t>
      </w:r>
      <w:r w:rsidRPr="007D3144">
        <w:t>accuracy</w:t>
      </w:r>
      <w:r w:rsidRPr="007D3144">
        <w:rPr>
          <w:spacing w:val="-5"/>
        </w:rPr>
        <w:t xml:space="preserve"> </w:t>
      </w:r>
      <w:r w:rsidRPr="007D3144">
        <w:t>and</w:t>
      </w:r>
      <w:r w:rsidRPr="007D3144">
        <w:rPr>
          <w:spacing w:val="-7"/>
        </w:rPr>
        <w:t xml:space="preserve"> </w:t>
      </w:r>
      <w:r w:rsidRPr="007D3144">
        <w:t>avoid fraud. Our process will include:</w:t>
      </w:r>
    </w:p>
    <w:p w14:paraId="7E27A6CD" w14:textId="77777777" w:rsidR="004C7180" w:rsidRPr="00150EDC" w:rsidRDefault="00CF0754" w:rsidP="00B320C7">
      <w:pPr>
        <w:pStyle w:val="ListParagraph"/>
        <w:numPr>
          <w:ilvl w:val="1"/>
          <w:numId w:val="82"/>
        </w:numPr>
        <w:tabs>
          <w:tab w:val="left" w:pos="2119"/>
        </w:tabs>
        <w:spacing w:before="118" w:line="276" w:lineRule="auto"/>
        <w:ind w:left="2119" w:right="1434"/>
        <w:jc w:val="both"/>
        <w:rPr>
          <w:sz w:val="24"/>
        </w:rPr>
      </w:pPr>
      <w:r w:rsidRPr="007D3144">
        <w:rPr>
          <w:sz w:val="24"/>
        </w:rPr>
        <w:t>The Finance Manager will oversee all financial matters and managing the distribution of funding to providers with support from the Compliance Officer and our Finance and Compliance Apprentice. This team will provide points of contact for providers (email and telephone) to address queries about the payments process, together with webinars and documents guidance (see below) to ensure relationships are proactively managed.</w:t>
      </w:r>
    </w:p>
    <w:p w14:paraId="5236F4FE" w14:textId="77777777" w:rsidR="004C7180" w:rsidRPr="00150EDC" w:rsidRDefault="00CF0754" w:rsidP="00B320C7">
      <w:pPr>
        <w:pStyle w:val="ListParagraph"/>
        <w:numPr>
          <w:ilvl w:val="1"/>
          <w:numId w:val="82"/>
        </w:numPr>
        <w:tabs>
          <w:tab w:val="left" w:pos="2119"/>
        </w:tabs>
        <w:spacing w:before="2" w:line="276" w:lineRule="auto"/>
        <w:ind w:left="2119" w:right="1435"/>
        <w:jc w:val="both"/>
        <w:rPr>
          <w:sz w:val="24"/>
        </w:rPr>
      </w:pPr>
      <w:r w:rsidRPr="007D3144">
        <w:rPr>
          <w:sz w:val="24"/>
        </w:rPr>
        <w:t>As part of our supplier onboarding process, we will provide documented guidance on our payment process, including what evidence is acceptable to support a claim, and how claims will be verified, processed and paid.</w:t>
      </w:r>
    </w:p>
    <w:p w14:paraId="21618B1E" w14:textId="77777777" w:rsidR="004C7180" w:rsidRPr="00150EDC" w:rsidRDefault="00CF0754" w:rsidP="00B320C7">
      <w:pPr>
        <w:pStyle w:val="ListParagraph"/>
        <w:numPr>
          <w:ilvl w:val="1"/>
          <w:numId w:val="82"/>
        </w:numPr>
        <w:tabs>
          <w:tab w:val="left" w:pos="2119"/>
        </w:tabs>
        <w:spacing w:line="276" w:lineRule="auto"/>
        <w:ind w:left="2119" w:right="1434"/>
        <w:jc w:val="both"/>
        <w:rPr>
          <w:sz w:val="24"/>
        </w:rPr>
      </w:pPr>
      <w:r w:rsidRPr="007D3144">
        <w:rPr>
          <w:sz w:val="24"/>
        </w:rPr>
        <w:t>Claims will be received electronically via Microsoft Dynamics365. In line with our ISO 27001:2013-certified information security management system we have robust processes in place for securely collecting, storing and destroying evidence</w:t>
      </w:r>
      <w:r w:rsidRPr="007D3144">
        <w:rPr>
          <w:spacing w:val="-5"/>
          <w:sz w:val="24"/>
        </w:rPr>
        <w:t xml:space="preserve"> </w:t>
      </w:r>
      <w:r w:rsidRPr="007D3144">
        <w:rPr>
          <w:sz w:val="24"/>
        </w:rPr>
        <w:t>relating</w:t>
      </w:r>
      <w:r w:rsidRPr="007D3144">
        <w:rPr>
          <w:spacing w:val="-5"/>
          <w:sz w:val="24"/>
        </w:rPr>
        <w:t xml:space="preserve"> </w:t>
      </w:r>
      <w:r w:rsidRPr="007D3144">
        <w:rPr>
          <w:sz w:val="24"/>
        </w:rPr>
        <w:t>to</w:t>
      </w:r>
      <w:r w:rsidRPr="007D3144">
        <w:rPr>
          <w:spacing w:val="-5"/>
          <w:sz w:val="24"/>
        </w:rPr>
        <w:t xml:space="preserve"> </w:t>
      </w:r>
      <w:r w:rsidRPr="007D3144">
        <w:rPr>
          <w:sz w:val="24"/>
        </w:rPr>
        <w:t>claims,</w:t>
      </w:r>
      <w:r w:rsidRPr="007D3144">
        <w:rPr>
          <w:spacing w:val="-6"/>
          <w:sz w:val="24"/>
        </w:rPr>
        <w:t xml:space="preserve"> </w:t>
      </w:r>
      <w:r w:rsidRPr="007D3144">
        <w:rPr>
          <w:sz w:val="24"/>
        </w:rPr>
        <w:t>in</w:t>
      </w:r>
      <w:r w:rsidRPr="007D3144">
        <w:rPr>
          <w:spacing w:val="-5"/>
          <w:sz w:val="24"/>
        </w:rPr>
        <w:t xml:space="preserve"> </w:t>
      </w:r>
      <w:r w:rsidRPr="007D3144">
        <w:rPr>
          <w:sz w:val="24"/>
        </w:rPr>
        <w:t>accordance</w:t>
      </w:r>
      <w:r w:rsidRPr="007D3144">
        <w:rPr>
          <w:spacing w:val="-5"/>
          <w:sz w:val="24"/>
        </w:rPr>
        <w:t xml:space="preserve"> </w:t>
      </w:r>
      <w:r w:rsidRPr="007D3144">
        <w:rPr>
          <w:sz w:val="24"/>
        </w:rPr>
        <w:t>with</w:t>
      </w:r>
      <w:r w:rsidRPr="007D3144">
        <w:rPr>
          <w:spacing w:val="-5"/>
          <w:sz w:val="24"/>
        </w:rPr>
        <w:t xml:space="preserve"> </w:t>
      </w:r>
      <w:r w:rsidRPr="007D3144">
        <w:rPr>
          <w:sz w:val="24"/>
        </w:rPr>
        <w:t>data</w:t>
      </w:r>
      <w:r w:rsidRPr="007D3144">
        <w:rPr>
          <w:spacing w:val="-5"/>
          <w:sz w:val="24"/>
        </w:rPr>
        <w:t xml:space="preserve"> </w:t>
      </w:r>
      <w:r w:rsidRPr="007D3144">
        <w:rPr>
          <w:sz w:val="24"/>
        </w:rPr>
        <w:t>protection</w:t>
      </w:r>
      <w:r w:rsidRPr="007D3144">
        <w:rPr>
          <w:spacing w:val="-5"/>
          <w:sz w:val="24"/>
        </w:rPr>
        <w:t xml:space="preserve"> </w:t>
      </w:r>
      <w:r w:rsidRPr="007D3144">
        <w:rPr>
          <w:sz w:val="24"/>
        </w:rPr>
        <w:t>legislation.</w:t>
      </w:r>
      <w:r w:rsidRPr="007D3144">
        <w:rPr>
          <w:spacing w:val="-6"/>
          <w:sz w:val="24"/>
        </w:rPr>
        <w:t xml:space="preserve"> </w:t>
      </w:r>
      <w:r w:rsidRPr="007D3144">
        <w:rPr>
          <w:sz w:val="24"/>
        </w:rPr>
        <w:t>This includes, for example, encrypted data transfer and secure destruction of data.</w:t>
      </w:r>
    </w:p>
    <w:p w14:paraId="3622C562" w14:textId="77777777" w:rsidR="004C7180" w:rsidRPr="00150EDC" w:rsidRDefault="00CF0754" w:rsidP="00B320C7">
      <w:pPr>
        <w:pStyle w:val="ListParagraph"/>
        <w:numPr>
          <w:ilvl w:val="1"/>
          <w:numId w:val="82"/>
        </w:numPr>
        <w:tabs>
          <w:tab w:val="left" w:pos="2119"/>
        </w:tabs>
        <w:spacing w:line="278" w:lineRule="auto"/>
        <w:ind w:left="2119" w:right="1433"/>
        <w:jc w:val="both"/>
        <w:rPr>
          <w:sz w:val="24"/>
        </w:rPr>
      </w:pPr>
      <w:r w:rsidRPr="007D3144">
        <w:rPr>
          <w:sz w:val="24"/>
        </w:rPr>
        <w:t>All claims received via Dynamics365 will be collated, triaged, and reviewed by our finance and compliance team for completeness and accuracy, including:</w:t>
      </w:r>
    </w:p>
    <w:p w14:paraId="6EFAFF04" w14:textId="77777777" w:rsidR="004C7180" w:rsidRPr="00150EDC" w:rsidRDefault="00CF0754" w:rsidP="00B320C7">
      <w:pPr>
        <w:pStyle w:val="ListParagraph"/>
        <w:numPr>
          <w:ilvl w:val="2"/>
          <w:numId w:val="82"/>
        </w:numPr>
        <w:tabs>
          <w:tab w:val="left" w:pos="2839"/>
        </w:tabs>
        <w:spacing w:line="266" w:lineRule="auto"/>
        <w:ind w:left="2839" w:right="1435"/>
        <w:jc w:val="both"/>
        <w:rPr>
          <w:sz w:val="24"/>
        </w:rPr>
      </w:pPr>
      <w:r w:rsidRPr="007D3144">
        <w:rPr>
          <w:sz w:val="24"/>
        </w:rPr>
        <w:t>Confirming which are verifiable and whether the necessary supporting evidence has been provided, for example, cross-referencing names of providers against the product development supplier’s training register</w:t>
      </w:r>
    </w:p>
    <w:p w14:paraId="2E16220F" w14:textId="77777777" w:rsidR="004C7180" w:rsidRPr="00150EDC" w:rsidRDefault="00CF0754" w:rsidP="00B320C7">
      <w:pPr>
        <w:pStyle w:val="ListParagraph"/>
        <w:numPr>
          <w:ilvl w:val="2"/>
          <w:numId w:val="82"/>
        </w:numPr>
        <w:tabs>
          <w:tab w:val="left" w:pos="2839"/>
        </w:tabs>
        <w:spacing w:before="6" w:line="266" w:lineRule="auto"/>
        <w:ind w:left="2839" w:right="1435"/>
        <w:jc w:val="both"/>
        <w:rPr>
          <w:sz w:val="24"/>
        </w:rPr>
      </w:pPr>
      <w:r w:rsidRPr="007D3144">
        <w:rPr>
          <w:sz w:val="24"/>
        </w:rPr>
        <w:t>Assessing all verifiable claims against agreed costs and, where appropriate, agreed payment schedules and any performance management issues, and confirming which can be paid</w:t>
      </w:r>
    </w:p>
    <w:p w14:paraId="2225589E" w14:textId="77777777" w:rsidR="004C7180" w:rsidRPr="00150EDC" w:rsidRDefault="00CF0754">
      <w:pPr>
        <w:pStyle w:val="BodyText"/>
        <w:spacing w:before="10" w:line="276" w:lineRule="auto"/>
        <w:ind w:left="1399" w:right="1432"/>
        <w:jc w:val="both"/>
      </w:pPr>
      <w:r w:rsidRPr="007D3144">
        <w:t>If information is correct the Finance Manager will approve the claim. If there are any issues,</w:t>
      </w:r>
      <w:r w:rsidRPr="007D3144">
        <w:rPr>
          <w:spacing w:val="-9"/>
        </w:rPr>
        <w:t xml:space="preserve"> </w:t>
      </w:r>
      <w:r w:rsidRPr="007D3144">
        <w:t>our</w:t>
      </w:r>
      <w:r w:rsidRPr="007D3144">
        <w:rPr>
          <w:spacing w:val="-10"/>
        </w:rPr>
        <w:t xml:space="preserve"> </w:t>
      </w:r>
      <w:r w:rsidRPr="007D3144">
        <w:t>finance</w:t>
      </w:r>
      <w:r w:rsidRPr="007D3144">
        <w:rPr>
          <w:spacing w:val="-8"/>
        </w:rPr>
        <w:t xml:space="preserve"> </w:t>
      </w:r>
      <w:r w:rsidRPr="007D3144">
        <w:t>and</w:t>
      </w:r>
      <w:r w:rsidRPr="007D3144">
        <w:rPr>
          <w:spacing w:val="-11"/>
        </w:rPr>
        <w:t xml:space="preserve"> </w:t>
      </w:r>
      <w:r w:rsidRPr="007D3144">
        <w:t>compliance</w:t>
      </w:r>
      <w:r w:rsidRPr="007D3144">
        <w:rPr>
          <w:spacing w:val="-8"/>
        </w:rPr>
        <w:t xml:space="preserve"> </w:t>
      </w:r>
      <w:r w:rsidRPr="007D3144">
        <w:t>team</w:t>
      </w:r>
      <w:r w:rsidRPr="007D3144">
        <w:rPr>
          <w:spacing w:val="-7"/>
        </w:rPr>
        <w:t xml:space="preserve"> </w:t>
      </w:r>
      <w:r w:rsidRPr="007D3144">
        <w:t>will</w:t>
      </w:r>
      <w:r w:rsidRPr="007D3144">
        <w:rPr>
          <w:spacing w:val="-10"/>
        </w:rPr>
        <w:t xml:space="preserve"> </w:t>
      </w:r>
      <w:r w:rsidRPr="007D3144">
        <w:t>contact</w:t>
      </w:r>
      <w:r w:rsidRPr="007D3144">
        <w:rPr>
          <w:spacing w:val="-9"/>
        </w:rPr>
        <w:t xml:space="preserve"> </w:t>
      </w:r>
      <w:r w:rsidRPr="007D3144">
        <w:t>the</w:t>
      </w:r>
      <w:r w:rsidRPr="007D3144">
        <w:rPr>
          <w:spacing w:val="-8"/>
        </w:rPr>
        <w:t xml:space="preserve"> </w:t>
      </w:r>
      <w:r w:rsidRPr="007D3144">
        <w:t>provider</w:t>
      </w:r>
      <w:r w:rsidRPr="007D3144">
        <w:rPr>
          <w:spacing w:val="-10"/>
        </w:rPr>
        <w:t xml:space="preserve"> </w:t>
      </w:r>
      <w:r w:rsidRPr="007D3144">
        <w:t>by</w:t>
      </w:r>
      <w:r w:rsidRPr="007D3144">
        <w:rPr>
          <w:spacing w:val="-9"/>
        </w:rPr>
        <w:t xml:space="preserve"> </w:t>
      </w:r>
      <w:r w:rsidRPr="007D3144">
        <w:t>email,</w:t>
      </w:r>
      <w:r w:rsidRPr="007D3144">
        <w:rPr>
          <w:spacing w:val="-9"/>
        </w:rPr>
        <w:t xml:space="preserve"> </w:t>
      </w:r>
      <w:r w:rsidRPr="007D3144">
        <w:t>explaining the reason for it being rejected and the need to resubmit. Where there is a serious issue, e.g. suspected fraud, this will be escalated to DfE, and the Finance Manager will discuss/agree next steps.</w:t>
      </w:r>
    </w:p>
    <w:p w14:paraId="0DC55D99" w14:textId="77777777" w:rsidR="004C7180" w:rsidRPr="00150EDC" w:rsidRDefault="00CF0754" w:rsidP="00B320C7">
      <w:pPr>
        <w:pStyle w:val="ListParagraph"/>
        <w:numPr>
          <w:ilvl w:val="1"/>
          <w:numId w:val="82"/>
        </w:numPr>
        <w:tabs>
          <w:tab w:val="left" w:pos="2120"/>
        </w:tabs>
        <w:spacing w:before="122" w:line="276" w:lineRule="auto"/>
        <w:ind w:right="1433"/>
        <w:jc w:val="both"/>
        <w:rPr>
          <w:sz w:val="24"/>
        </w:rPr>
      </w:pPr>
      <w:r w:rsidRPr="007D3144">
        <w:rPr>
          <w:sz w:val="24"/>
        </w:rPr>
        <w:t>Once approved, the claim will be sent via Dynamics365 to our payment processing</w:t>
      </w:r>
      <w:r w:rsidRPr="007D3144">
        <w:rPr>
          <w:spacing w:val="-12"/>
          <w:sz w:val="24"/>
        </w:rPr>
        <w:t xml:space="preserve"> </w:t>
      </w:r>
      <w:r w:rsidRPr="007D3144">
        <w:rPr>
          <w:sz w:val="24"/>
        </w:rPr>
        <w:t>team</w:t>
      </w:r>
      <w:r w:rsidRPr="007D3144">
        <w:rPr>
          <w:spacing w:val="-8"/>
          <w:sz w:val="24"/>
        </w:rPr>
        <w:t xml:space="preserve"> </w:t>
      </w:r>
      <w:r w:rsidRPr="007D3144">
        <w:rPr>
          <w:sz w:val="24"/>
        </w:rPr>
        <w:t>who</w:t>
      </w:r>
      <w:r w:rsidRPr="007D3144">
        <w:rPr>
          <w:spacing w:val="-12"/>
          <w:sz w:val="24"/>
        </w:rPr>
        <w:t xml:space="preserve"> </w:t>
      </w:r>
      <w:r w:rsidRPr="007D3144">
        <w:rPr>
          <w:sz w:val="24"/>
        </w:rPr>
        <w:t>will</w:t>
      </w:r>
      <w:r w:rsidRPr="007D3144">
        <w:rPr>
          <w:spacing w:val="-11"/>
          <w:sz w:val="24"/>
        </w:rPr>
        <w:t xml:space="preserve"> </w:t>
      </w:r>
      <w:r w:rsidRPr="007D3144">
        <w:rPr>
          <w:sz w:val="24"/>
        </w:rPr>
        <w:t>issue</w:t>
      </w:r>
      <w:r w:rsidRPr="007D3144">
        <w:rPr>
          <w:spacing w:val="-9"/>
          <w:sz w:val="24"/>
        </w:rPr>
        <w:t xml:space="preserve"> </w:t>
      </w:r>
      <w:r w:rsidRPr="007D3144">
        <w:rPr>
          <w:sz w:val="24"/>
        </w:rPr>
        <w:t>payment</w:t>
      </w:r>
      <w:r w:rsidRPr="007D3144">
        <w:rPr>
          <w:spacing w:val="-12"/>
          <w:sz w:val="24"/>
        </w:rPr>
        <w:t xml:space="preserve"> </w:t>
      </w:r>
      <w:r w:rsidRPr="00150EDC">
        <w:rPr>
          <w:sz w:val="24"/>
        </w:rPr>
        <w:t>within</w:t>
      </w:r>
      <w:r w:rsidRPr="00150EDC">
        <w:rPr>
          <w:spacing w:val="-9"/>
          <w:sz w:val="24"/>
        </w:rPr>
        <w:t xml:space="preserve"> </w:t>
      </w:r>
      <w:r w:rsidRPr="00150EDC">
        <w:rPr>
          <w:sz w:val="24"/>
        </w:rPr>
        <w:t>30</w:t>
      </w:r>
      <w:r w:rsidRPr="00150EDC">
        <w:rPr>
          <w:spacing w:val="-12"/>
          <w:sz w:val="24"/>
        </w:rPr>
        <w:t xml:space="preserve"> </w:t>
      </w:r>
      <w:r w:rsidRPr="00150EDC">
        <w:rPr>
          <w:sz w:val="24"/>
        </w:rPr>
        <w:t>days</w:t>
      </w:r>
      <w:r w:rsidRPr="00150EDC">
        <w:rPr>
          <w:spacing w:val="-13"/>
          <w:sz w:val="24"/>
        </w:rPr>
        <w:t xml:space="preserve"> </w:t>
      </w:r>
      <w:r w:rsidRPr="007D3144">
        <w:rPr>
          <w:sz w:val="24"/>
        </w:rPr>
        <w:t>to</w:t>
      </w:r>
      <w:r w:rsidRPr="007D3144">
        <w:rPr>
          <w:spacing w:val="-12"/>
          <w:sz w:val="24"/>
        </w:rPr>
        <w:t xml:space="preserve"> </w:t>
      </w:r>
      <w:r w:rsidRPr="007D3144">
        <w:rPr>
          <w:sz w:val="24"/>
        </w:rPr>
        <w:t>the</w:t>
      </w:r>
      <w:r w:rsidRPr="007D3144">
        <w:rPr>
          <w:spacing w:val="-12"/>
          <w:sz w:val="24"/>
        </w:rPr>
        <w:t xml:space="preserve"> </w:t>
      </w:r>
      <w:r w:rsidRPr="007D3144">
        <w:rPr>
          <w:sz w:val="24"/>
        </w:rPr>
        <w:t>delivery</w:t>
      </w:r>
      <w:r w:rsidRPr="007D3144">
        <w:rPr>
          <w:spacing w:val="-10"/>
          <w:sz w:val="24"/>
        </w:rPr>
        <w:t xml:space="preserve"> </w:t>
      </w:r>
      <w:r w:rsidRPr="007D3144">
        <w:rPr>
          <w:sz w:val="24"/>
        </w:rPr>
        <w:t>supplier.</w:t>
      </w:r>
    </w:p>
    <w:p w14:paraId="67A472E6" w14:textId="77777777" w:rsidR="004C7180" w:rsidRPr="00150EDC" w:rsidRDefault="00CF0754">
      <w:pPr>
        <w:pStyle w:val="BodyText"/>
        <w:spacing w:line="276" w:lineRule="auto"/>
        <w:ind w:left="1400" w:right="1434"/>
        <w:jc w:val="both"/>
      </w:pPr>
      <w:r w:rsidRPr="007D3144">
        <w:t xml:space="preserve">In addition to administering payments, the Finance Manager will use PowerBI to compile management and financial information reports for DfE. These will detail how much money has been released to date, to which providers, and for what </w:t>
      </w:r>
      <w:r w:rsidRPr="007D3144">
        <w:rPr>
          <w:spacing w:val="-2"/>
        </w:rPr>
        <w:t>activity/milestone.</w:t>
      </w:r>
    </w:p>
    <w:p w14:paraId="2AD8C3DD" w14:textId="77777777" w:rsidR="004C7180" w:rsidRPr="00150EDC" w:rsidRDefault="004C7180">
      <w:pPr>
        <w:pStyle w:val="BodyText"/>
        <w:spacing w:before="3"/>
        <w:rPr>
          <w:sz w:val="37"/>
        </w:rPr>
      </w:pPr>
    </w:p>
    <w:p w14:paraId="58DEB4C0" w14:textId="77777777" w:rsidR="004C7180" w:rsidRPr="00150EDC" w:rsidRDefault="00CF0754">
      <w:pPr>
        <w:pStyle w:val="BodyText"/>
        <w:spacing w:line="276" w:lineRule="auto"/>
        <w:ind w:left="1400" w:right="1434"/>
        <w:jc w:val="both"/>
      </w:pPr>
      <w:r w:rsidRPr="007D3144">
        <w:t>During</w:t>
      </w:r>
      <w:r w:rsidRPr="007D3144">
        <w:rPr>
          <w:spacing w:val="-14"/>
        </w:rPr>
        <w:t xml:space="preserve"> </w:t>
      </w:r>
      <w:r w:rsidRPr="007D3144">
        <w:t>contract</w:t>
      </w:r>
      <w:r w:rsidRPr="007D3144">
        <w:rPr>
          <w:spacing w:val="-17"/>
        </w:rPr>
        <w:t xml:space="preserve"> </w:t>
      </w:r>
      <w:r w:rsidRPr="007D3144">
        <w:t>mobilisation,</w:t>
      </w:r>
      <w:r w:rsidRPr="007D3144">
        <w:rPr>
          <w:spacing w:val="-16"/>
        </w:rPr>
        <w:t xml:space="preserve"> </w:t>
      </w:r>
      <w:r w:rsidRPr="007D3144">
        <w:t>we</w:t>
      </w:r>
      <w:r w:rsidRPr="007D3144">
        <w:rPr>
          <w:spacing w:val="-16"/>
        </w:rPr>
        <w:t xml:space="preserve"> </w:t>
      </w:r>
      <w:r w:rsidRPr="007D3144">
        <w:t>will</w:t>
      </w:r>
      <w:r w:rsidRPr="007D3144">
        <w:rPr>
          <w:spacing w:val="-15"/>
        </w:rPr>
        <w:t xml:space="preserve"> </w:t>
      </w:r>
      <w:r w:rsidRPr="007D3144">
        <w:t>also</w:t>
      </w:r>
      <w:r w:rsidRPr="007D3144">
        <w:rPr>
          <w:spacing w:val="-16"/>
        </w:rPr>
        <w:t xml:space="preserve"> </w:t>
      </w:r>
      <w:r w:rsidRPr="007D3144">
        <w:t>provide</w:t>
      </w:r>
      <w:r w:rsidRPr="007D3144">
        <w:rPr>
          <w:spacing w:val="-16"/>
        </w:rPr>
        <w:t xml:space="preserve"> </w:t>
      </w:r>
      <w:r w:rsidRPr="007D3144">
        <w:t>a</w:t>
      </w:r>
      <w:r w:rsidRPr="007D3144">
        <w:rPr>
          <w:spacing w:val="-14"/>
        </w:rPr>
        <w:t xml:space="preserve"> </w:t>
      </w:r>
      <w:r w:rsidRPr="007D3144">
        <w:t>copy</w:t>
      </w:r>
      <w:r w:rsidRPr="007D3144">
        <w:rPr>
          <w:spacing w:val="-17"/>
        </w:rPr>
        <w:t xml:space="preserve"> </w:t>
      </w:r>
      <w:r w:rsidRPr="007D3144">
        <w:t>of</w:t>
      </w:r>
      <w:r w:rsidRPr="007D3144">
        <w:rPr>
          <w:spacing w:val="-16"/>
        </w:rPr>
        <w:t xml:space="preserve"> </w:t>
      </w:r>
      <w:r w:rsidRPr="007D3144">
        <w:t>our</w:t>
      </w:r>
      <w:r w:rsidRPr="007D3144">
        <w:rPr>
          <w:spacing w:val="-17"/>
        </w:rPr>
        <w:t xml:space="preserve"> </w:t>
      </w:r>
      <w:r w:rsidRPr="007D3144">
        <w:t>data</w:t>
      </w:r>
      <w:r w:rsidRPr="007D3144">
        <w:rPr>
          <w:spacing w:val="-13"/>
        </w:rPr>
        <w:t xml:space="preserve"> </w:t>
      </w:r>
      <w:r w:rsidRPr="007D3144">
        <w:t>security</w:t>
      </w:r>
      <w:r w:rsidRPr="007D3144">
        <w:rPr>
          <w:spacing w:val="-15"/>
        </w:rPr>
        <w:t xml:space="preserve"> </w:t>
      </w:r>
      <w:r w:rsidRPr="007D3144">
        <w:t>plan</w:t>
      </w:r>
      <w:r w:rsidRPr="007D3144">
        <w:rPr>
          <w:spacing w:val="-14"/>
        </w:rPr>
        <w:t xml:space="preserve"> </w:t>
      </w:r>
      <w:r w:rsidRPr="007D3144">
        <w:t>when recording and sharing all financial information to ensure DfE has the necessary information</w:t>
      </w:r>
      <w:r w:rsidRPr="007D3144">
        <w:rPr>
          <w:spacing w:val="-15"/>
        </w:rPr>
        <w:t xml:space="preserve"> </w:t>
      </w:r>
      <w:r w:rsidRPr="007D3144">
        <w:t>to</w:t>
      </w:r>
      <w:r w:rsidRPr="007D3144">
        <w:rPr>
          <w:spacing w:val="-13"/>
        </w:rPr>
        <w:t xml:space="preserve"> </w:t>
      </w:r>
      <w:r w:rsidRPr="007D3144">
        <w:t>process</w:t>
      </w:r>
      <w:r w:rsidRPr="007D3144">
        <w:rPr>
          <w:spacing w:val="-16"/>
        </w:rPr>
        <w:t xml:space="preserve"> </w:t>
      </w:r>
      <w:r w:rsidRPr="007D3144">
        <w:t>any</w:t>
      </w:r>
      <w:r w:rsidRPr="007D3144">
        <w:rPr>
          <w:spacing w:val="-14"/>
        </w:rPr>
        <w:t xml:space="preserve"> </w:t>
      </w:r>
      <w:r w:rsidRPr="007D3144">
        <w:t>compliance</w:t>
      </w:r>
      <w:r w:rsidRPr="007D3144">
        <w:rPr>
          <w:spacing w:val="-13"/>
        </w:rPr>
        <w:t xml:space="preserve"> </w:t>
      </w:r>
      <w:r w:rsidRPr="007D3144">
        <w:t>checks.</w:t>
      </w:r>
      <w:r w:rsidRPr="007D3144">
        <w:rPr>
          <w:spacing w:val="-13"/>
        </w:rPr>
        <w:t xml:space="preserve"> </w:t>
      </w:r>
      <w:r w:rsidRPr="007D3144">
        <w:t>We</w:t>
      </w:r>
      <w:r w:rsidRPr="007D3144">
        <w:rPr>
          <w:spacing w:val="-13"/>
        </w:rPr>
        <w:t xml:space="preserve"> </w:t>
      </w:r>
      <w:r w:rsidRPr="007D3144">
        <w:t>will</w:t>
      </w:r>
      <w:r w:rsidRPr="007D3144">
        <w:rPr>
          <w:spacing w:val="-14"/>
        </w:rPr>
        <w:t xml:space="preserve"> </w:t>
      </w:r>
      <w:r w:rsidRPr="007D3144">
        <w:t>also</w:t>
      </w:r>
      <w:r w:rsidRPr="007D3144">
        <w:rPr>
          <w:spacing w:val="-15"/>
        </w:rPr>
        <w:t xml:space="preserve"> </w:t>
      </w:r>
      <w:r w:rsidRPr="007D3144">
        <w:t>develop</w:t>
      </w:r>
      <w:r w:rsidRPr="007D3144">
        <w:rPr>
          <w:spacing w:val="-15"/>
        </w:rPr>
        <w:t xml:space="preserve"> </w:t>
      </w:r>
      <w:r w:rsidRPr="007D3144">
        <w:t>and</w:t>
      </w:r>
      <w:r w:rsidRPr="007D3144">
        <w:rPr>
          <w:spacing w:val="-15"/>
        </w:rPr>
        <w:t xml:space="preserve"> </w:t>
      </w:r>
      <w:r w:rsidRPr="007D3144">
        <w:t>agree</w:t>
      </w:r>
      <w:r w:rsidRPr="007D3144">
        <w:rPr>
          <w:spacing w:val="-15"/>
        </w:rPr>
        <w:t xml:space="preserve"> </w:t>
      </w:r>
      <w:r w:rsidRPr="007D3144">
        <w:t>a</w:t>
      </w:r>
      <w:r w:rsidRPr="007D3144">
        <w:rPr>
          <w:spacing w:val="-13"/>
        </w:rPr>
        <w:t xml:space="preserve"> </w:t>
      </w:r>
      <w:r w:rsidRPr="007D3144">
        <w:t>fraud plan and investigations process with DfE. This will include proactively monitoring/managing</w:t>
      </w:r>
      <w:r w:rsidRPr="007D3144">
        <w:rPr>
          <w:spacing w:val="80"/>
          <w:w w:val="150"/>
        </w:rPr>
        <w:t xml:space="preserve"> </w:t>
      </w:r>
      <w:r w:rsidRPr="007D3144">
        <w:t>risks</w:t>
      </w:r>
      <w:r w:rsidRPr="007D3144">
        <w:rPr>
          <w:spacing w:val="80"/>
          <w:w w:val="150"/>
        </w:rPr>
        <w:t xml:space="preserve"> </w:t>
      </w:r>
      <w:r w:rsidRPr="007D3144">
        <w:t>of</w:t>
      </w:r>
      <w:r w:rsidRPr="007D3144">
        <w:rPr>
          <w:spacing w:val="80"/>
          <w:w w:val="150"/>
        </w:rPr>
        <w:t xml:space="preserve"> </w:t>
      </w:r>
      <w:r w:rsidRPr="007D3144">
        <w:t>fraudulent</w:t>
      </w:r>
      <w:r w:rsidRPr="007D3144">
        <w:rPr>
          <w:spacing w:val="80"/>
          <w:w w:val="150"/>
        </w:rPr>
        <w:t xml:space="preserve"> </w:t>
      </w:r>
      <w:r w:rsidRPr="007D3144">
        <w:t>activity</w:t>
      </w:r>
      <w:r w:rsidRPr="007D3144">
        <w:rPr>
          <w:spacing w:val="80"/>
          <w:w w:val="150"/>
        </w:rPr>
        <w:t xml:space="preserve"> </w:t>
      </w:r>
      <w:r w:rsidRPr="007D3144">
        <w:t>through</w:t>
      </w:r>
      <w:r w:rsidRPr="007D3144">
        <w:rPr>
          <w:spacing w:val="80"/>
          <w:w w:val="150"/>
        </w:rPr>
        <w:t xml:space="preserve"> </w:t>
      </w:r>
      <w:r w:rsidRPr="007D3144">
        <w:t>background</w:t>
      </w:r>
      <w:r w:rsidRPr="007D3144">
        <w:rPr>
          <w:spacing w:val="80"/>
          <w:w w:val="150"/>
        </w:rPr>
        <w:t xml:space="preserve"> </w:t>
      </w:r>
      <w:r w:rsidRPr="007D3144">
        <w:t>checks</w:t>
      </w:r>
    </w:p>
    <w:p w14:paraId="72C8FDD1" w14:textId="77777777" w:rsidR="004C7180" w:rsidRPr="00150EDC" w:rsidRDefault="004C7180">
      <w:pPr>
        <w:spacing w:line="276" w:lineRule="auto"/>
        <w:jc w:val="both"/>
        <w:sectPr w:rsidR="004C7180" w:rsidRPr="00150EDC">
          <w:pgSz w:w="11910" w:h="16840"/>
          <w:pgMar w:top="1460" w:right="0" w:bottom="1420" w:left="40" w:header="712" w:footer="1224" w:gutter="0"/>
          <w:cols w:space="720"/>
        </w:sectPr>
      </w:pPr>
    </w:p>
    <w:p w14:paraId="23BE337D" w14:textId="77777777" w:rsidR="004C7180" w:rsidRPr="00150EDC" w:rsidRDefault="004C7180">
      <w:pPr>
        <w:pStyle w:val="BodyText"/>
        <w:spacing w:before="4"/>
        <w:rPr>
          <w:sz w:val="18"/>
        </w:rPr>
      </w:pPr>
    </w:p>
    <w:p w14:paraId="52C9FFED" w14:textId="77777777" w:rsidR="004C7180" w:rsidRPr="00150EDC" w:rsidRDefault="00CF0754">
      <w:pPr>
        <w:pStyle w:val="BodyText"/>
        <w:spacing w:before="93" w:line="276" w:lineRule="auto"/>
        <w:ind w:left="1400" w:right="1433"/>
        <w:jc w:val="both"/>
      </w:pPr>
      <w:r w:rsidRPr="007D3144">
        <w:t>undertaken</w:t>
      </w:r>
      <w:r w:rsidRPr="007D3144">
        <w:rPr>
          <w:spacing w:val="-9"/>
        </w:rPr>
        <w:t xml:space="preserve"> </w:t>
      </w:r>
      <w:r w:rsidRPr="007D3144">
        <w:t>as</w:t>
      </w:r>
      <w:r w:rsidRPr="007D3144">
        <w:rPr>
          <w:spacing w:val="-10"/>
        </w:rPr>
        <w:t xml:space="preserve"> </w:t>
      </w:r>
      <w:r w:rsidRPr="007D3144">
        <w:t>part</w:t>
      </w:r>
      <w:r w:rsidRPr="007D3144">
        <w:rPr>
          <w:spacing w:val="-10"/>
        </w:rPr>
        <w:t xml:space="preserve"> </w:t>
      </w:r>
      <w:r w:rsidRPr="007D3144">
        <w:t>of</w:t>
      </w:r>
      <w:r w:rsidRPr="007D3144">
        <w:rPr>
          <w:spacing w:val="-10"/>
        </w:rPr>
        <w:t xml:space="preserve"> </w:t>
      </w:r>
      <w:r w:rsidRPr="007D3144">
        <w:t>our</w:t>
      </w:r>
      <w:r w:rsidRPr="007D3144">
        <w:rPr>
          <w:spacing w:val="-11"/>
        </w:rPr>
        <w:t xml:space="preserve"> </w:t>
      </w:r>
      <w:r w:rsidRPr="007D3144">
        <w:t>approved</w:t>
      </w:r>
      <w:r w:rsidRPr="007D3144">
        <w:rPr>
          <w:spacing w:val="-9"/>
        </w:rPr>
        <w:t xml:space="preserve"> </w:t>
      </w:r>
      <w:r w:rsidRPr="007D3144">
        <w:t>supplier</w:t>
      </w:r>
      <w:r w:rsidRPr="007D3144">
        <w:rPr>
          <w:spacing w:val="-11"/>
        </w:rPr>
        <w:t xml:space="preserve"> </w:t>
      </w:r>
      <w:r w:rsidRPr="007D3144">
        <w:t>process.</w:t>
      </w:r>
      <w:r w:rsidRPr="007D3144">
        <w:rPr>
          <w:spacing w:val="-10"/>
        </w:rPr>
        <w:t xml:space="preserve"> </w:t>
      </w:r>
      <w:r w:rsidRPr="007D3144">
        <w:t>Ongoing</w:t>
      </w:r>
      <w:r w:rsidRPr="007D3144">
        <w:rPr>
          <w:spacing w:val="-9"/>
        </w:rPr>
        <w:t xml:space="preserve"> </w:t>
      </w:r>
      <w:r w:rsidRPr="007D3144">
        <w:t>compliance</w:t>
      </w:r>
      <w:r w:rsidRPr="007D3144">
        <w:rPr>
          <w:spacing w:val="-9"/>
        </w:rPr>
        <w:t xml:space="preserve"> </w:t>
      </w:r>
      <w:r w:rsidRPr="007D3144">
        <w:t>checks</w:t>
      </w:r>
      <w:r w:rsidRPr="007D3144">
        <w:rPr>
          <w:spacing w:val="-10"/>
        </w:rPr>
        <w:t xml:space="preserve"> </w:t>
      </w:r>
      <w:r w:rsidRPr="007D3144">
        <w:t>will be implemented, verifying the payment details on the invoice (e.g. bank account numbers),</w:t>
      </w:r>
      <w:r w:rsidRPr="007D3144">
        <w:rPr>
          <w:spacing w:val="-17"/>
        </w:rPr>
        <w:t xml:space="preserve"> </w:t>
      </w:r>
      <w:r w:rsidRPr="007D3144">
        <w:t>and</w:t>
      </w:r>
      <w:r w:rsidRPr="007D3144">
        <w:rPr>
          <w:spacing w:val="-17"/>
        </w:rPr>
        <w:t xml:space="preserve"> </w:t>
      </w:r>
      <w:r w:rsidRPr="007D3144">
        <w:t>monitoring</w:t>
      </w:r>
      <w:r w:rsidRPr="007D3144">
        <w:rPr>
          <w:spacing w:val="-16"/>
        </w:rPr>
        <w:t xml:space="preserve"> </w:t>
      </w:r>
      <w:r w:rsidRPr="007D3144">
        <w:t>patterns</w:t>
      </w:r>
      <w:r w:rsidRPr="007D3144">
        <w:rPr>
          <w:spacing w:val="-17"/>
        </w:rPr>
        <w:t xml:space="preserve"> </w:t>
      </w:r>
      <w:r w:rsidRPr="007D3144">
        <w:t>in</w:t>
      </w:r>
      <w:r w:rsidRPr="007D3144">
        <w:rPr>
          <w:spacing w:val="-17"/>
        </w:rPr>
        <w:t xml:space="preserve"> </w:t>
      </w:r>
      <w:r w:rsidRPr="007D3144">
        <w:t>supplier</w:t>
      </w:r>
      <w:r w:rsidRPr="007D3144">
        <w:rPr>
          <w:spacing w:val="-17"/>
        </w:rPr>
        <w:t xml:space="preserve"> </w:t>
      </w:r>
      <w:r w:rsidRPr="007D3144">
        <w:t>information</w:t>
      </w:r>
      <w:r w:rsidRPr="007D3144">
        <w:rPr>
          <w:spacing w:val="-16"/>
        </w:rPr>
        <w:t xml:space="preserve"> </w:t>
      </w:r>
      <w:r w:rsidRPr="007D3144">
        <w:t>(e.g.</w:t>
      </w:r>
      <w:r w:rsidRPr="007D3144">
        <w:rPr>
          <w:spacing w:val="-17"/>
        </w:rPr>
        <w:t xml:space="preserve"> </w:t>
      </w:r>
      <w:r w:rsidRPr="007D3144">
        <w:t>an</w:t>
      </w:r>
      <w:r w:rsidRPr="007D3144">
        <w:rPr>
          <w:spacing w:val="-17"/>
        </w:rPr>
        <w:t xml:space="preserve"> </w:t>
      </w:r>
      <w:r w:rsidRPr="007D3144">
        <w:t>issue</w:t>
      </w:r>
      <w:r w:rsidRPr="007D3144">
        <w:rPr>
          <w:spacing w:val="-16"/>
        </w:rPr>
        <w:t xml:space="preserve"> </w:t>
      </w:r>
      <w:r w:rsidRPr="007D3144">
        <w:t>with</w:t>
      </w:r>
      <w:r w:rsidRPr="007D3144">
        <w:rPr>
          <w:spacing w:val="-17"/>
        </w:rPr>
        <w:t xml:space="preserve"> </w:t>
      </w:r>
      <w:r w:rsidRPr="007D3144">
        <w:t>a</w:t>
      </w:r>
      <w:r w:rsidRPr="007D3144">
        <w:rPr>
          <w:spacing w:val="-17"/>
        </w:rPr>
        <w:t xml:space="preserve"> </w:t>
      </w:r>
      <w:r w:rsidRPr="007D3144">
        <w:t>provider on one trial would trigger checks on all trials in which they are involved). Provider declarations</w:t>
      </w:r>
      <w:r w:rsidRPr="007D3144">
        <w:rPr>
          <w:spacing w:val="-5"/>
        </w:rPr>
        <w:t xml:space="preserve"> </w:t>
      </w:r>
      <w:r w:rsidRPr="007D3144">
        <w:t>and</w:t>
      </w:r>
      <w:r w:rsidRPr="007D3144">
        <w:rPr>
          <w:spacing w:val="-5"/>
        </w:rPr>
        <w:t xml:space="preserve"> </w:t>
      </w:r>
      <w:r w:rsidRPr="007D3144">
        <w:t>subsequent</w:t>
      </w:r>
      <w:r w:rsidRPr="007D3144">
        <w:rPr>
          <w:spacing w:val="-5"/>
        </w:rPr>
        <w:t xml:space="preserve"> </w:t>
      </w:r>
      <w:r w:rsidRPr="007D3144">
        <w:t>spot-checks</w:t>
      </w:r>
      <w:r w:rsidRPr="007D3144">
        <w:rPr>
          <w:spacing w:val="-5"/>
        </w:rPr>
        <w:t xml:space="preserve"> </w:t>
      </w:r>
      <w:r w:rsidRPr="007D3144">
        <w:t>will</w:t>
      </w:r>
      <w:r w:rsidRPr="007D3144">
        <w:rPr>
          <w:spacing w:val="-6"/>
        </w:rPr>
        <w:t xml:space="preserve"> </w:t>
      </w:r>
      <w:r w:rsidRPr="007D3144">
        <w:t>also</w:t>
      </w:r>
      <w:r w:rsidRPr="007D3144">
        <w:rPr>
          <w:spacing w:val="-5"/>
        </w:rPr>
        <w:t xml:space="preserve"> </w:t>
      </w:r>
      <w:r w:rsidRPr="007D3144">
        <w:t>be</w:t>
      </w:r>
      <w:r w:rsidRPr="007D3144">
        <w:rPr>
          <w:spacing w:val="-7"/>
        </w:rPr>
        <w:t xml:space="preserve"> </w:t>
      </w:r>
      <w:r w:rsidRPr="007D3144">
        <w:t>deployed</w:t>
      </w:r>
      <w:r w:rsidRPr="007D3144">
        <w:rPr>
          <w:spacing w:val="-5"/>
        </w:rPr>
        <w:t xml:space="preserve"> </w:t>
      </w:r>
      <w:r w:rsidRPr="007D3144">
        <w:t>to</w:t>
      </w:r>
      <w:r w:rsidRPr="007D3144">
        <w:rPr>
          <w:spacing w:val="-5"/>
        </w:rPr>
        <w:t xml:space="preserve"> </w:t>
      </w:r>
      <w:r w:rsidRPr="007D3144">
        <w:t>prevent</w:t>
      </w:r>
      <w:r w:rsidRPr="007D3144">
        <w:rPr>
          <w:spacing w:val="-5"/>
        </w:rPr>
        <w:t xml:space="preserve"> </w:t>
      </w:r>
      <w:r w:rsidRPr="007D3144">
        <w:t>duplication of Multiply funding across local authority areas.</w:t>
      </w:r>
      <w:r w:rsidRPr="007D3144">
        <w:rPr>
          <w:spacing w:val="40"/>
        </w:rPr>
        <w:t xml:space="preserve"> </w:t>
      </w:r>
      <w:r w:rsidRPr="007D3144">
        <w:t>See figure 1 for our funding management process.</w:t>
      </w:r>
    </w:p>
    <w:p w14:paraId="2A6C05CF" w14:textId="77777777" w:rsidR="004C7180" w:rsidRPr="00150EDC" w:rsidRDefault="004C7180">
      <w:pPr>
        <w:pStyle w:val="BodyText"/>
        <w:rPr>
          <w:sz w:val="26"/>
        </w:rPr>
      </w:pPr>
    </w:p>
    <w:p w14:paraId="0D27A075" w14:textId="77777777" w:rsidR="004C7180" w:rsidRPr="00150EDC" w:rsidRDefault="004C7180">
      <w:pPr>
        <w:pStyle w:val="BodyText"/>
        <w:rPr>
          <w:sz w:val="26"/>
        </w:rPr>
      </w:pPr>
    </w:p>
    <w:p w14:paraId="44435C34" w14:textId="77777777" w:rsidR="004C7180" w:rsidRPr="00150EDC" w:rsidRDefault="004C7180">
      <w:pPr>
        <w:pStyle w:val="BodyText"/>
        <w:spacing w:before="6"/>
        <w:rPr>
          <w:sz w:val="22"/>
        </w:rPr>
      </w:pPr>
    </w:p>
    <w:p w14:paraId="67351D77" w14:textId="77777777" w:rsidR="004C7180" w:rsidRPr="00150EDC" w:rsidRDefault="00CF0754" w:rsidP="00B320C7">
      <w:pPr>
        <w:pStyle w:val="ListParagraph"/>
        <w:numPr>
          <w:ilvl w:val="0"/>
          <w:numId w:val="82"/>
        </w:numPr>
        <w:tabs>
          <w:tab w:val="left" w:pos="1667"/>
        </w:tabs>
        <w:ind w:left="1667" w:hanging="267"/>
        <w:rPr>
          <w:sz w:val="24"/>
        </w:rPr>
      </w:pPr>
      <w:r w:rsidRPr="00150EDC">
        <w:rPr>
          <w:sz w:val="24"/>
        </w:rPr>
        <w:t>Tackling</w:t>
      </w:r>
      <w:r w:rsidRPr="00150EDC">
        <w:rPr>
          <w:spacing w:val="-4"/>
          <w:sz w:val="24"/>
        </w:rPr>
        <w:t xml:space="preserve"> </w:t>
      </w:r>
      <w:r w:rsidRPr="00150EDC">
        <w:rPr>
          <w:sz w:val="24"/>
        </w:rPr>
        <w:t>workforce</w:t>
      </w:r>
      <w:r w:rsidRPr="00150EDC">
        <w:rPr>
          <w:spacing w:val="-2"/>
          <w:sz w:val="24"/>
        </w:rPr>
        <w:t xml:space="preserve"> inequality:</w:t>
      </w:r>
    </w:p>
    <w:p w14:paraId="7BB8519E" w14:textId="77777777" w:rsidR="004C7180" w:rsidRPr="00150EDC" w:rsidRDefault="004C7180">
      <w:pPr>
        <w:pStyle w:val="BodyText"/>
        <w:spacing w:before="10"/>
        <w:rPr>
          <w:sz w:val="34"/>
        </w:rPr>
      </w:pPr>
    </w:p>
    <w:p w14:paraId="6920101C" w14:textId="77777777" w:rsidR="004C7180" w:rsidRPr="00150EDC" w:rsidRDefault="00CF0754">
      <w:pPr>
        <w:ind w:left="1400"/>
        <w:rPr>
          <w:b/>
          <w:sz w:val="24"/>
        </w:rPr>
      </w:pPr>
      <w:bookmarkStart w:id="33" w:name="Approach"/>
      <w:bookmarkEnd w:id="33"/>
      <w:r w:rsidRPr="007D3144">
        <w:rPr>
          <w:b/>
          <w:spacing w:val="-2"/>
          <w:sz w:val="24"/>
        </w:rPr>
        <w:t>Approach</w:t>
      </w:r>
    </w:p>
    <w:p w14:paraId="0E16E9CD" w14:textId="77777777" w:rsidR="004C7180" w:rsidRPr="00150EDC" w:rsidRDefault="004C7180">
      <w:pPr>
        <w:pStyle w:val="BodyText"/>
        <w:spacing w:before="5"/>
        <w:rPr>
          <w:b/>
        </w:rPr>
      </w:pPr>
    </w:p>
    <w:p w14:paraId="201418F8" w14:textId="77777777" w:rsidR="004C7180" w:rsidRPr="00150EDC" w:rsidRDefault="00CF0754">
      <w:pPr>
        <w:pStyle w:val="BodyText"/>
        <w:spacing w:line="276" w:lineRule="auto"/>
        <w:ind w:left="1400" w:right="1432"/>
        <w:jc w:val="both"/>
      </w:pPr>
      <w:r w:rsidRPr="007D3144">
        <w:t>Our specific intention is to recruit and support the in-work progression of junior colleagues from under-represented groups over this project. The Project Director will ensure our social value commitments are implemented, monitored and reported, and that</w:t>
      </w:r>
      <w:r w:rsidRPr="007D3144">
        <w:rPr>
          <w:spacing w:val="-2"/>
        </w:rPr>
        <w:t xml:space="preserve"> </w:t>
      </w:r>
      <w:r w:rsidRPr="007D3144">
        <w:t>the</w:t>
      </w:r>
      <w:r w:rsidRPr="007D3144">
        <w:rPr>
          <w:spacing w:val="-2"/>
        </w:rPr>
        <w:t xml:space="preserve"> </w:t>
      </w:r>
      <w:r w:rsidRPr="007D3144">
        <w:t>outcome</w:t>
      </w:r>
      <w:r w:rsidRPr="007D3144">
        <w:rPr>
          <w:spacing w:val="-2"/>
        </w:rPr>
        <w:t xml:space="preserve"> </w:t>
      </w:r>
      <w:r w:rsidRPr="007D3144">
        <w:t>of</w:t>
      </w:r>
      <w:r w:rsidRPr="007D3144">
        <w:rPr>
          <w:spacing w:val="-2"/>
        </w:rPr>
        <w:t xml:space="preserve"> </w:t>
      </w:r>
      <w:r w:rsidRPr="007D3144">
        <w:t>meaningful,</w:t>
      </w:r>
      <w:r w:rsidRPr="007D3144">
        <w:rPr>
          <w:spacing w:val="-2"/>
        </w:rPr>
        <w:t xml:space="preserve"> </w:t>
      </w:r>
      <w:r w:rsidRPr="007D3144">
        <w:t>long-term in-work</w:t>
      </w:r>
      <w:r w:rsidRPr="007D3144">
        <w:rPr>
          <w:spacing w:val="-1"/>
        </w:rPr>
        <w:t xml:space="preserve"> </w:t>
      </w:r>
      <w:r w:rsidRPr="007D3144">
        <w:t>progression</w:t>
      </w:r>
      <w:r w:rsidRPr="007D3144">
        <w:rPr>
          <w:spacing w:val="-2"/>
        </w:rPr>
        <w:t xml:space="preserve"> </w:t>
      </w:r>
      <w:r w:rsidRPr="007D3144">
        <w:t>across</w:t>
      </w:r>
      <w:r w:rsidRPr="007D3144">
        <w:rPr>
          <w:spacing w:val="-1"/>
        </w:rPr>
        <w:t xml:space="preserve"> </w:t>
      </w:r>
      <w:r w:rsidRPr="007D3144">
        <w:t>Tribal’s</w:t>
      </w:r>
      <w:r w:rsidRPr="007D3144">
        <w:rPr>
          <w:spacing w:val="-1"/>
        </w:rPr>
        <w:t xml:space="preserve"> </w:t>
      </w:r>
      <w:r w:rsidRPr="007D3144">
        <w:t>project staff</w:t>
      </w:r>
      <w:r w:rsidRPr="007D3144">
        <w:rPr>
          <w:spacing w:val="-6"/>
        </w:rPr>
        <w:t xml:space="preserve"> </w:t>
      </w:r>
      <w:r w:rsidRPr="007D3144">
        <w:t>is</w:t>
      </w:r>
      <w:r w:rsidRPr="007D3144">
        <w:rPr>
          <w:spacing w:val="-7"/>
        </w:rPr>
        <w:t xml:space="preserve"> </w:t>
      </w:r>
      <w:r w:rsidRPr="007D3144">
        <w:t>accomplished.</w:t>
      </w:r>
      <w:r w:rsidRPr="007D3144">
        <w:rPr>
          <w:spacing w:val="-9"/>
        </w:rPr>
        <w:t xml:space="preserve"> </w:t>
      </w:r>
      <w:r w:rsidRPr="00150EDC">
        <w:t>To</w:t>
      </w:r>
      <w:r w:rsidRPr="00150EDC">
        <w:rPr>
          <w:spacing w:val="-6"/>
        </w:rPr>
        <w:t xml:space="preserve"> </w:t>
      </w:r>
      <w:r w:rsidRPr="00150EDC">
        <w:t>ensure</w:t>
      </w:r>
      <w:r w:rsidRPr="00150EDC">
        <w:rPr>
          <w:spacing w:val="-6"/>
        </w:rPr>
        <w:t xml:space="preserve"> </w:t>
      </w:r>
      <w:r w:rsidRPr="00150EDC">
        <w:t>our</w:t>
      </w:r>
      <w:r w:rsidRPr="00150EDC">
        <w:rPr>
          <w:spacing w:val="-7"/>
        </w:rPr>
        <w:t xml:space="preserve"> </w:t>
      </w:r>
      <w:r w:rsidRPr="00150EDC">
        <w:t>commitments</w:t>
      </w:r>
      <w:r w:rsidRPr="00150EDC">
        <w:rPr>
          <w:spacing w:val="-7"/>
        </w:rPr>
        <w:t xml:space="preserve"> </w:t>
      </w:r>
      <w:r w:rsidRPr="00150EDC">
        <w:t>are</w:t>
      </w:r>
      <w:r w:rsidRPr="00150EDC">
        <w:rPr>
          <w:spacing w:val="-6"/>
        </w:rPr>
        <w:t xml:space="preserve"> </w:t>
      </w:r>
      <w:r w:rsidRPr="00150EDC">
        <w:t>realistic,</w:t>
      </w:r>
      <w:r w:rsidRPr="00150EDC">
        <w:rPr>
          <w:spacing w:val="-6"/>
        </w:rPr>
        <w:t xml:space="preserve"> </w:t>
      </w:r>
      <w:r w:rsidRPr="00150EDC">
        <w:t>we</w:t>
      </w:r>
      <w:r w:rsidRPr="00150EDC">
        <w:rPr>
          <w:spacing w:val="-8"/>
        </w:rPr>
        <w:t xml:space="preserve"> </w:t>
      </w:r>
      <w:r w:rsidRPr="00150EDC">
        <w:t>assume</w:t>
      </w:r>
      <w:r w:rsidRPr="00150EDC">
        <w:rPr>
          <w:spacing w:val="-6"/>
        </w:rPr>
        <w:t xml:space="preserve"> </w:t>
      </w:r>
      <w:r w:rsidRPr="00150EDC">
        <w:t>the</w:t>
      </w:r>
      <w:r w:rsidRPr="00150EDC">
        <w:rPr>
          <w:spacing w:val="-6"/>
        </w:rPr>
        <w:t xml:space="preserve"> </w:t>
      </w:r>
      <w:r w:rsidRPr="00150EDC">
        <w:t>11-15 trial delivery scenario to quantify our commitments across a two-year period. T</w:t>
      </w:r>
      <w:r w:rsidRPr="007D3144">
        <w:t>o identify relevant commitments, we have:</w:t>
      </w:r>
    </w:p>
    <w:p w14:paraId="3E0E9E1D" w14:textId="77777777" w:rsidR="004C7180" w:rsidRPr="007D3144" w:rsidRDefault="00CF0754" w:rsidP="00B320C7">
      <w:pPr>
        <w:pStyle w:val="ListParagraph"/>
        <w:numPr>
          <w:ilvl w:val="0"/>
          <w:numId w:val="52"/>
        </w:numPr>
        <w:tabs>
          <w:tab w:val="left" w:pos="2120"/>
        </w:tabs>
        <w:spacing w:before="121" w:line="271" w:lineRule="auto"/>
        <w:ind w:right="1435"/>
        <w:rPr>
          <w:rFonts w:ascii="Symbol" w:hAnsi="Symbol"/>
          <w:sz w:val="24"/>
        </w:rPr>
      </w:pPr>
      <w:r w:rsidRPr="007D3144">
        <w:rPr>
          <w:sz w:val="24"/>
        </w:rPr>
        <w:t>Reviewed our proposed staffing model to identify those roles we should target to maximise workforce progression benefits.</w:t>
      </w:r>
    </w:p>
    <w:p w14:paraId="51D484F8" w14:textId="77777777" w:rsidR="004C7180" w:rsidRPr="007D3144" w:rsidRDefault="00CF0754" w:rsidP="00B320C7">
      <w:pPr>
        <w:pStyle w:val="ListParagraph"/>
        <w:numPr>
          <w:ilvl w:val="0"/>
          <w:numId w:val="52"/>
        </w:numPr>
        <w:tabs>
          <w:tab w:val="left" w:pos="2120"/>
        </w:tabs>
        <w:spacing w:before="7" w:line="271" w:lineRule="auto"/>
        <w:ind w:right="1435"/>
        <w:rPr>
          <w:rFonts w:ascii="Symbol" w:hAnsi="Symbol"/>
          <w:sz w:val="24"/>
        </w:rPr>
      </w:pPr>
      <w:r w:rsidRPr="007D3144">
        <w:rPr>
          <w:sz w:val="24"/>
        </w:rPr>
        <w:t>Established</w:t>
      </w:r>
      <w:r w:rsidRPr="007D3144">
        <w:rPr>
          <w:spacing w:val="-12"/>
          <w:sz w:val="24"/>
        </w:rPr>
        <w:t xml:space="preserve"> </w:t>
      </w:r>
      <w:r w:rsidRPr="007D3144">
        <w:rPr>
          <w:sz w:val="24"/>
        </w:rPr>
        <w:t>a</w:t>
      </w:r>
      <w:r w:rsidRPr="007D3144">
        <w:rPr>
          <w:spacing w:val="-9"/>
          <w:sz w:val="24"/>
        </w:rPr>
        <w:t xml:space="preserve"> </w:t>
      </w:r>
      <w:r w:rsidRPr="007D3144">
        <w:rPr>
          <w:sz w:val="24"/>
        </w:rPr>
        <w:t>resource</w:t>
      </w:r>
      <w:r w:rsidRPr="007D3144">
        <w:rPr>
          <w:spacing w:val="-12"/>
          <w:sz w:val="24"/>
        </w:rPr>
        <w:t xml:space="preserve"> </w:t>
      </w:r>
      <w:r w:rsidRPr="007D3144">
        <w:rPr>
          <w:sz w:val="24"/>
        </w:rPr>
        <w:t>and</w:t>
      </w:r>
      <w:r w:rsidRPr="007D3144">
        <w:rPr>
          <w:spacing w:val="-9"/>
          <w:sz w:val="24"/>
        </w:rPr>
        <w:t xml:space="preserve"> </w:t>
      </w:r>
      <w:r w:rsidRPr="007D3144">
        <w:rPr>
          <w:sz w:val="24"/>
        </w:rPr>
        <w:t>skills</w:t>
      </w:r>
      <w:r w:rsidRPr="007D3144">
        <w:rPr>
          <w:spacing w:val="-10"/>
          <w:sz w:val="24"/>
        </w:rPr>
        <w:t xml:space="preserve"> </w:t>
      </w:r>
      <w:r w:rsidRPr="007D3144">
        <w:rPr>
          <w:sz w:val="24"/>
        </w:rPr>
        <w:t>matrix</w:t>
      </w:r>
      <w:r w:rsidRPr="007D3144">
        <w:rPr>
          <w:spacing w:val="-10"/>
          <w:sz w:val="24"/>
        </w:rPr>
        <w:t xml:space="preserve"> </w:t>
      </w:r>
      <w:r w:rsidRPr="007D3144">
        <w:rPr>
          <w:sz w:val="24"/>
        </w:rPr>
        <w:t>for</w:t>
      </w:r>
      <w:r w:rsidRPr="007D3144">
        <w:rPr>
          <w:spacing w:val="-13"/>
          <w:sz w:val="24"/>
        </w:rPr>
        <w:t xml:space="preserve"> </w:t>
      </w:r>
      <w:r w:rsidRPr="007D3144">
        <w:rPr>
          <w:sz w:val="24"/>
        </w:rPr>
        <w:t>the</w:t>
      </w:r>
      <w:r w:rsidRPr="007D3144">
        <w:rPr>
          <w:spacing w:val="-9"/>
          <w:sz w:val="24"/>
        </w:rPr>
        <w:t xml:space="preserve"> </w:t>
      </w:r>
      <w:r w:rsidRPr="007D3144">
        <w:rPr>
          <w:sz w:val="24"/>
        </w:rPr>
        <w:t>contract</w:t>
      </w:r>
      <w:r w:rsidRPr="007D3144">
        <w:rPr>
          <w:spacing w:val="-10"/>
          <w:sz w:val="24"/>
        </w:rPr>
        <w:t xml:space="preserve"> </w:t>
      </w:r>
      <w:r w:rsidRPr="007D3144">
        <w:rPr>
          <w:sz w:val="24"/>
        </w:rPr>
        <w:t>workforce</w:t>
      </w:r>
      <w:r w:rsidRPr="007D3144">
        <w:rPr>
          <w:spacing w:val="-12"/>
          <w:sz w:val="24"/>
        </w:rPr>
        <w:t xml:space="preserve"> </w:t>
      </w:r>
      <w:r w:rsidRPr="007D3144">
        <w:rPr>
          <w:sz w:val="24"/>
        </w:rPr>
        <w:t>to</w:t>
      </w:r>
      <w:r w:rsidRPr="007D3144">
        <w:rPr>
          <w:spacing w:val="-12"/>
          <w:sz w:val="24"/>
        </w:rPr>
        <w:t xml:space="preserve"> </w:t>
      </w:r>
      <w:r w:rsidRPr="007D3144">
        <w:rPr>
          <w:sz w:val="24"/>
        </w:rPr>
        <w:t>determine appropriate training and qualifications to support in-work progression.</w:t>
      </w:r>
    </w:p>
    <w:p w14:paraId="60FDEE0A" w14:textId="77777777" w:rsidR="004C7180" w:rsidRPr="007D3144" w:rsidRDefault="00CF0754" w:rsidP="00B320C7">
      <w:pPr>
        <w:pStyle w:val="ListParagraph"/>
        <w:numPr>
          <w:ilvl w:val="0"/>
          <w:numId w:val="52"/>
        </w:numPr>
        <w:tabs>
          <w:tab w:val="left" w:pos="2119"/>
        </w:tabs>
        <w:spacing w:before="6" w:line="271" w:lineRule="auto"/>
        <w:ind w:left="2119" w:right="1436"/>
        <w:rPr>
          <w:rFonts w:ascii="Symbol" w:hAnsi="Symbol"/>
          <w:sz w:val="24"/>
        </w:rPr>
      </w:pPr>
      <w:r w:rsidRPr="007D3144">
        <w:rPr>
          <w:sz w:val="24"/>
        </w:rPr>
        <w:t>Consulted</w:t>
      </w:r>
      <w:r w:rsidRPr="007D3144">
        <w:rPr>
          <w:spacing w:val="40"/>
          <w:sz w:val="24"/>
        </w:rPr>
        <w:t xml:space="preserve"> </w:t>
      </w:r>
      <w:r w:rsidRPr="007D3144">
        <w:rPr>
          <w:sz w:val="24"/>
        </w:rPr>
        <w:t>with</w:t>
      </w:r>
      <w:r w:rsidRPr="007D3144">
        <w:rPr>
          <w:spacing w:val="40"/>
          <w:sz w:val="24"/>
        </w:rPr>
        <w:t xml:space="preserve"> </w:t>
      </w:r>
      <w:r w:rsidRPr="007D3144">
        <w:rPr>
          <w:sz w:val="24"/>
        </w:rPr>
        <w:t>Tribal’s</w:t>
      </w:r>
      <w:r w:rsidRPr="007D3144">
        <w:rPr>
          <w:spacing w:val="40"/>
          <w:sz w:val="24"/>
        </w:rPr>
        <w:t xml:space="preserve"> </w:t>
      </w:r>
      <w:r w:rsidRPr="007D3144">
        <w:rPr>
          <w:sz w:val="24"/>
        </w:rPr>
        <w:t>Head</w:t>
      </w:r>
      <w:r w:rsidRPr="007D3144">
        <w:rPr>
          <w:spacing w:val="40"/>
          <w:sz w:val="24"/>
        </w:rPr>
        <w:t xml:space="preserve"> </w:t>
      </w:r>
      <w:r w:rsidRPr="007D3144">
        <w:rPr>
          <w:sz w:val="24"/>
        </w:rPr>
        <w:t>of</w:t>
      </w:r>
      <w:r w:rsidRPr="007D3144">
        <w:rPr>
          <w:spacing w:val="40"/>
          <w:sz w:val="24"/>
        </w:rPr>
        <w:t xml:space="preserve"> </w:t>
      </w:r>
      <w:r w:rsidRPr="007D3144">
        <w:rPr>
          <w:sz w:val="24"/>
        </w:rPr>
        <w:t>Talent</w:t>
      </w:r>
      <w:r w:rsidRPr="007D3144">
        <w:rPr>
          <w:spacing w:val="40"/>
          <w:sz w:val="24"/>
        </w:rPr>
        <w:t xml:space="preserve"> </w:t>
      </w:r>
      <w:r w:rsidRPr="007D3144">
        <w:rPr>
          <w:sz w:val="24"/>
        </w:rPr>
        <w:t>and</w:t>
      </w:r>
      <w:r w:rsidRPr="007D3144">
        <w:rPr>
          <w:spacing w:val="40"/>
          <w:sz w:val="24"/>
        </w:rPr>
        <w:t xml:space="preserve"> </w:t>
      </w:r>
      <w:r w:rsidRPr="007D3144">
        <w:rPr>
          <w:sz w:val="24"/>
        </w:rPr>
        <w:t>external</w:t>
      </w:r>
      <w:r w:rsidRPr="007D3144">
        <w:rPr>
          <w:spacing w:val="39"/>
          <w:sz w:val="24"/>
        </w:rPr>
        <w:t xml:space="preserve"> </w:t>
      </w:r>
      <w:r w:rsidRPr="007D3144">
        <w:rPr>
          <w:sz w:val="24"/>
        </w:rPr>
        <w:t>providers</w:t>
      </w:r>
      <w:r w:rsidRPr="007D3144">
        <w:rPr>
          <w:spacing w:val="40"/>
          <w:sz w:val="24"/>
        </w:rPr>
        <w:t xml:space="preserve"> </w:t>
      </w:r>
      <w:r w:rsidRPr="007D3144">
        <w:rPr>
          <w:sz w:val="24"/>
        </w:rPr>
        <w:t>to</w:t>
      </w:r>
      <w:r w:rsidRPr="007D3144">
        <w:rPr>
          <w:spacing w:val="40"/>
          <w:sz w:val="24"/>
        </w:rPr>
        <w:t xml:space="preserve"> </w:t>
      </w:r>
      <w:r w:rsidRPr="007D3144">
        <w:rPr>
          <w:sz w:val="24"/>
        </w:rPr>
        <w:t>gain</w:t>
      </w:r>
      <w:r w:rsidRPr="007D3144">
        <w:rPr>
          <w:spacing w:val="40"/>
          <w:sz w:val="24"/>
        </w:rPr>
        <w:t xml:space="preserve"> </w:t>
      </w:r>
      <w:r w:rsidRPr="007D3144">
        <w:rPr>
          <w:sz w:val="24"/>
        </w:rPr>
        <w:t>their perspectives, and confirm our commitments are realistic.</w:t>
      </w:r>
    </w:p>
    <w:p w14:paraId="08A1EE92" w14:textId="77777777" w:rsidR="004C7180" w:rsidRPr="00150EDC" w:rsidRDefault="00CF0754">
      <w:pPr>
        <w:pStyle w:val="BodyText"/>
        <w:spacing w:before="6" w:line="276" w:lineRule="auto"/>
        <w:ind w:left="1399" w:right="1436"/>
        <w:jc w:val="both"/>
      </w:pPr>
      <w:r w:rsidRPr="00150EDC">
        <w:t xml:space="preserve">Prior to contract award and at key milestones (e.g. if Tranche 2 is approved) we will work with the Department to confirm our social value plan fully aligns with their </w:t>
      </w:r>
      <w:r w:rsidRPr="00150EDC">
        <w:rPr>
          <w:spacing w:val="-2"/>
        </w:rPr>
        <w:t>requirements.</w:t>
      </w:r>
    </w:p>
    <w:p w14:paraId="474A10F5" w14:textId="77777777" w:rsidR="004C7180" w:rsidRPr="00150EDC" w:rsidRDefault="00CF0754">
      <w:pPr>
        <w:spacing w:before="86" w:line="550" w:lineRule="atLeast"/>
        <w:ind w:left="1400" w:right="6102"/>
        <w:jc w:val="both"/>
        <w:rPr>
          <w:sz w:val="24"/>
        </w:rPr>
      </w:pPr>
      <w:bookmarkStart w:id="34" w:name="Commitments_and_method_statements"/>
      <w:bookmarkEnd w:id="34"/>
      <w:r w:rsidRPr="007D3144">
        <w:rPr>
          <w:b/>
          <w:sz w:val="24"/>
        </w:rPr>
        <w:t>Commitments</w:t>
      </w:r>
      <w:r w:rsidRPr="007D3144">
        <w:rPr>
          <w:b/>
          <w:spacing w:val="-11"/>
          <w:sz w:val="24"/>
        </w:rPr>
        <w:t xml:space="preserve"> </w:t>
      </w:r>
      <w:r w:rsidRPr="007D3144">
        <w:rPr>
          <w:b/>
          <w:sz w:val="24"/>
        </w:rPr>
        <w:t>and</w:t>
      </w:r>
      <w:r w:rsidRPr="007D3144">
        <w:rPr>
          <w:b/>
          <w:spacing w:val="-12"/>
          <w:sz w:val="24"/>
        </w:rPr>
        <w:t xml:space="preserve"> </w:t>
      </w:r>
      <w:r w:rsidRPr="007D3144">
        <w:rPr>
          <w:b/>
          <w:sz w:val="24"/>
        </w:rPr>
        <w:t>method</w:t>
      </w:r>
      <w:r w:rsidRPr="007D3144">
        <w:rPr>
          <w:b/>
          <w:spacing w:val="-12"/>
          <w:sz w:val="24"/>
        </w:rPr>
        <w:t xml:space="preserve"> </w:t>
      </w:r>
      <w:r w:rsidRPr="007D3144">
        <w:rPr>
          <w:b/>
          <w:sz w:val="24"/>
        </w:rPr>
        <w:t>statements Commitment 1</w:t>
      </w:r>
      <w:r w:rsidRPr="007D3144">
        <w:rPr>
          <w:sz w:val="24"/>
        </w:rPr>
        <w:t>: Apprenticeship</w:t>
      </w:r>
    </w:p>
    <w:p w14:paraId="7F797080" w14:textId="77777777" w:rsidR="004C7180" w:rsidRPr="00150EDC" w:rsidRDefault="00CF0754">
      <w:pPr>
        <w:pStyle w:val="BodyText"/>
        <w:spacing w:before="170" w:line="276" w:lineRule="auto"/>
        <w:ind w:left="1400" w:right="1435"/>
        <w:jc w:val="both"/>
      </w:pPr>
      <w:r w:rsidRPr="007D3144">
        <w:t xml:space="preserve">Target: 1 x Project manager apprentice </w:t>
      </w:r>
      <w:r w:rsidRPr="00150EDC">
        <w:t xml:space="preserve">(level 2/3 diploma RQF in project </w:t>
      </w:r>
      <w:r w:rsidRPr="00150EDC">
        <w:rPr>
          <w:spacing w:val="-2"/>
        </w:rPr>
        <w:t>management).</w:t>
      </w:r>
    </w:p>
    <w:p w14:paraId="70DDD51C" w14:textId="77777777" w:rsidR="004C7180" w:rsidRPr="00150EDC" w:rsidRDefault="00CF0754">
      <w:pPr>
        <w:pStyle w:val="BodyText"/>
        <w:spacing w:before="119" w:line="276" w:lineRule="auto"/>
        <w:ind w:left="1399" w:right="1435"/>
        <w:jc w:val="both"/>
      </w:pPr>
      <w:r w:rsidRPr="007D3144">
        <w:t>Method</w:t>
      </w:r>
      <w:r w:rsidRPr="007D3144">
        <w:rPr>
          <w:spacing w:val="-2"/>
        </w:rPr>
        <w:t xml:space="preserve"> </w:t>
      </w:r>
      <w:r w:rsidRPr="007D3144">
        <w:t>statement:</w:t>
      </w:r>
      <w:r w:rsidRPr="007D3144">
        <w:rPr>
          <w:spacing w:val="-3"/>
        </w:rPr>
        <w:t xml:space="preserve"> </w:t>
      </w:r>
      <w:r w:rsidRPr="00150EDC">
        <w:t>This</w:t>
      </w:r>
      <w:r w:rsidRPr="00150EDC">
        <w:rPr>
          <w:spacing w:val="-1"/>
        </w:rPr>
        <w:t xml:space="preserve"> </w:t>
      </w:r>
      <w:r w:rsidRPr="00150EDC">
        <w:t>opportunity</w:t>
      </w:r>
      <w:r w:rsidRPr="00150EDC">
        <w:rPr>
          <w:spacing w:val="-1"/>
        </w:rPr>
        <w:t xml:space="preserve"> </w:t>
      </w:r>
      <w:r w:rsidRPr="00150EDC">
        <w:t>will</w:t>
      </w:r>
      <w:r w:rsidRPr="00150EDC">
        <w:rPr>
          <w:spacing w:val="-1"/>
        </w:rPr>
        <w:t xml:space="preserve"> </w:t>
      </w:r>
      <w:r w:rsidRPr="00150EDC">
        <w:t>be targeted</w:t>
      </w:r>
      <w:r w:rsidRPr="00150EDC">
        <w:rPr>
          <w:spacing w:val="-2"/>
        </w:rPr>
        <w:t xml:space="preserve"> </w:t>
      </w:r>
      <w:r w:rsidRPr="00150EDC">
        <w:t>at a</w:t>
      </w:r>
      <w:r w:rsidRPr="00150EDC">
        <w:rPr>
          <w:spacing w:val="-2"/>
        </w:rPr>
        <w:t xml:space="preserve"> </w:t>
      </w:r>
      <w:r w:rsidRPr="00150EDC">
        <w:t>new</w:t>
      </w:r>
      <w:r w:rsidRPr="00150EDC">
        <w:rPr>
          <w:spacing w:val="-1"/>
        </w:rPr>
        <w:t xml:space="preserve"> </w:t>
      </w:r>
      <w:r w:rsidRPr="00150EDC">
        <w:t>employee,</w:t>
      </w:r>
      <w:r w:rsidRPr="00150EDC">
        <w:rPr>
          <w:spacing w:val="-2"/>
        </w:rPr>
        <w:t xml:space="preserve"> </w:t>
      </w:r>
      <w:r w:rsidRPr="00150EDC">
        <w:t>with the</w:t>
      </w:r>
      <w:r w:rsidRPr="00150EDC">
        <w:rPr>
          <w:spacing w:val="-2"/>
        </w:rPr>
        <w:t xml:space="preserve"> </w:t>
      </w:r>
      <w:r w:rsidRPr="00150EDC">
        <w:t>goal of supporting them to gain a recognised qualification and ultimately progress to the role of Assistant Project Manager within two years.</w:t>
      </w:r>
    </w:p>
    <w:p w14:paraId="094581B2" w14:textId="77777777" w:rsidR="004C7180" w:rsidRPr="00150EDC" w:rsidRDefault="004C7180">
      <w:pPr>
        <w:spacing w:line="276" w:lineRule="auto"/>
        <w:jc w:val="both"/>
        <w:sectPr w:rsidR="004C7180" w:rsidRPr="00150EDC">
          <w:pgSz w:w="11910" w:h="16840"/>
          <w:pgMar w:top="1460" w:right="0" w:bottom="1420" w:left="40" w:header="712" w:footer="1224" w:gutter="0"/>
          <w:cols w:space="720"/>
        </w:sectPr>
      </w:pPr>
    </w:p>
    <w:p w14:paraId="4A8D3A24" w14:textId="77777777" w:rsidR="004C7180" w:rsidRPr="00150EDC" w:rsidRDefault="004C7180">
      <w:pPr>
        <w:pStyle w:val="BodyText"/>
        <w:spacing w:before="9"/>
        <w:rPr>
          <w:sz w:val="17"/>
        </w:rPr>
      </w:pPr>
    </w:p>
    <w:p w14:paraId="26FC64ED" w14:textId="77777777" w:rsidR="004C7180" w:rsidRPr="00150EDC" w:rsidRDefault="00CF0754" w:rsidP="00B320C7">
      <w:pPr>
        <w:pStyle w:val="ListParagraph"/>
        <w:numPr>
          <w:ilvl w:val="0"/>
          <w:numId w:val="52"/>
        </w:numPr>
        <w:tabs>
          <w:tab w:val="left" w:pos="2120"/>
        </w:tabs>
        <w:spacing w:before="100" w:line="273" w:lineRule="auto"/>
        <w:ind w:right="1432"/>
        <w:jc w:val="both"/>
        <w:rPr>
          <w:rFonts w:ascii="Symbol" w:hAnsi="Symbol"/>
          <w:sz w:val="24"/>
        </w:rPr>
      </w:pPr>
      <w:r w:rsidRPr="007D3144">
        <w:rPr>
          <w:sz w:val="24"/>
        </w:rPr>
        <w:t>Tribal’s Head of Talent</w:t>
      </w:r>
      <w:r w:rsidRPr="007D3144">
        <w:rPr>
          <w:spacing w:val="-1"/>
          <w:sz w:val="24"/>
        </w:rPr>
        <w:t xml:space="preserve"> </w:t>
      </w:r>
      <w:r w:rsidRPr="00150EDC">
        <w:rPr>
          <w:sz w:val="24"/>
        </w:rPr>
        <w:t>will work with “good” or “outstanding” providers local to our Bristol or Sheffield offices (e.g. Learning Curve) to engage suitable candidates locally. Opportunities will also be promoted via our school/college outreach programmes where we already deliver careers advice and employment workshops.</w:t>
      </w:r>
    </w:p>
    <w:p w14:paraId="3BB89683" w14:textId="77777777" w:rsidR="004C7180" w:rsidRPr="00150EDC" w:rsidRDefault="00CF0754" w:rsidP="00B320C7">
      <w:pPr>
        <w:pStyle w:val="ListParagraph"/>
        <w:numPr>
          <w:ilvl w:val="0"/>
          <w:numId w:val="52"/>
        </w:numPr>
        <w:tabs>
          <w:tab w:val="left" w:pos="2120"/>
        </w:tabs>
        <w:spacing w:before="9" w:line="271" w:lineRule="auto"/>
        <w:ind w:right="1437"/>
        <w:jc w:val="both"/>
        <w:rPr>
          <w:rFonts w:ascii="Symbol" w:hAnsi="Symbol"/>
          <w:sz w:val="24"/>
        </w:rPr>
      </w:pPr>
      <w:r w:rsidRPr="00150EDC">
        <w:rPr>
          <w:sz w:val="24"/>
        </w:rPr>
        <w:t>External shortlisted candidates will be invited to attend 20 hours of work experience to give them insight into the apprenticeship fit.</w:t>
      </w:r>
    </w:p>
    <w:p w14:paraId="33730532" w14:textId="77777777" w:rsidR="004C7180" w:rsidRPr="00150EDC" w:rsidRDefault="00CF0754" w:rsidP="00B320C7">
      <w:pPr>
        <w:pStyle w:val="ListParagraph"/>
        <w:numPr>
          <w:ilvl w:val="0"/>
          <w:numId w:val="52"/>
        </w:numPr>
        <w:tabs>
          <w:tab w:val="left" w:pos="2119"/>
        </w:tabs>
        <w:spacing w:before="7" w:line="273" w:lineRule="auto"/>
        <w:ind w:left="2119" w:right="1433"/>
        <w:jc w:val="both"/>
        <w:rPr>
          <w:rFonts w:ascii="Symbol" w:hAnsi="Symbol"/>
          <w:sz w:val="24"/>
        </w:rPr>
      </w:pPr>
      <w:r w:rsidRPr="00150EDC">
        <w:rPr>
          <w:sz w:val="24"/>
        </w:rPr>
        <w:t>The individual will undertake a structured programme incorporating on-the-job and provider-based training and be assigned a Project Manager mentor for additional support.</w:t>
      </w:r>
    </w:p>
    <w:p w14:paraId="5E9B0E54" w14:textId="77777777" w:rsidR="004C7180" w:rsidRPr="00150EDC" w:rsidRDefault="00CF0754">
      <w:pPr>
        <w:pStyle w:val="BodyText"/>
        <w:spacing w:before="2"/>
        <w:ind w:left="1399"/>
        <w:jc w:val="both"/>
      </w:pPr>
      <w:r w:rsidRPr="007D3144">
        <w:t>Time</w:t>
      </w:r>
      <w:r w:rsidRPr="007D3144">
        <w:rPr>
          <w:spacing w:val="-4"/>
        </w:rPr>
        <w:t xml:space="preserve"> </w:t>
      </w:r>
      <w:r w:rsidRPr="007D3144">
        <w:t>scales:</w:t>
      </w:r>
      <w:r w:rsidRPr="007D3144">
        <w:rPr>
          <w:spacing w:val="-2"/>
        </w:rPr>
        <w:t xml:space="preserve"> </w:t>
      </w:r>
      <w:r w:rsidRPr="00150EDC">
        <w:t>Enrolled</w:t>
      </w:r>
      <w:r w:rsidRPr="00150EDC">
        <w:rPr>
          <w:spacing w:val="-3"/>
        </w:rPr>
        <w:t xml:space="preserve"> </w:t>
      </w:r>
      <w:r w:rsidRPr="00150EDC">
        <w:t>on</w:t>
      </w:r>
      <w:r w:rsidRPr="00150EDC">
        <w:rPr>
          <w:spacing w:val="-2"/>
        </w:rPr>
        <w:t xml:space="preserve"> </w:t>
      </w:r>
      <w:r w:rsidRPr="00150EDC">
        <w:t>apprenticeship</w:t>
      </w:r>
      <w:r w:rsidRPr="00150EDC">
        <w:rPr>
          <w:spacing w:val="-4"/>
        </w:rPr>
        <w:t xml:space="preserve"> </w:t>
      </w:r>
      <w:r w:rsidRPr="00150EDC">
        <w:t>by</w:t>
      </w:r>
      <w:r w:rsidRPr="00150EDC">
        <w:rPr>
          <w:spacing w:val="-4"/>
        </w:rPr>
        <w:t xml:space="preserve"> </w:t>
      </w:r>
      <w:r w:rsidRPr="00150EDC">
        <w:t>end</w:t>
      </w:r>
      <w:r w:rsidRPr="00150EDC">
        <w:rPr>
          <w:spacing w:val="-2"/>
        </w:rPr>
        <w:t xml:space="preserve"> </w:t>
      </w:r>
      <w:r w:rsidRPr="00150EDC">
        <w:t>of</w:t>
      </w:r>
      <w:r w:rsidRPr="00150EDC">
        <w:rPr>
          <w:spacing w:val="-1"/>
        </w:rPr>
        <w:t xml:space="preserve"> </w:t>
      </w:r>
      <w:r w:rsidRPr="00150EDC">
        <w:rPr>
          <w:spacing w:val="-5"/>
        </w:rPr>
        <w:t>Q1.</w:t>
      </w:r>
    </w:p>
    <w:p w14:paraId="7D818B12" w14:textId="77777777" w:rsidR="004C7180" w:rsidRPr="00150EDC" w:rsidRDefault="00CF0754">
      <w:pPr>
        <w:pStyle w:val="BodyText"/>
        <w:spacing w:before="163" w:line="276" w:lineRule="auto"/>
        <w:ind w:left="1400" w:right="1433"/>
        <w:jc w:val="both"/>
      </w:pPr>
      <w:r w:rsidRPr="007D3144">
        <w:t xml:space="preserve">Reporting metric: </w:t>
      </w:r>
      <w:r w:rsidRPr="00150EDC">
        <w:t>Number of apprenticeship opportunities (Level 2/3) created for under-represented groups.</w:t>
      </w:r>
    </w:p>
    <w:p w14:paraId="6DC13A95" w14:textId="77777777" w:rsidR="004C7180" w:rsidRPr="00150EDC" w:rsidRDefault="004C7180">
      <w:pPr>
        <w:pStyle w:val="BodyText"/>
        <w:rPr>
          <w:sz w:val="26"/>
        </w:rPr>
      </w:pPr>
    </w:p>
    <w:p w14:paraId="28F14883" w14:textId="77777777" w:rsidR="004C7180" w:rsidRPr="00150EDC" w:rsidRDefault="004C7180">
      <w:pPr>
        <w:pStyle w:val="BodyText"/>
        <w:spacing w:before="8"/>
        <w:rPr>
          <w:sz w:val="21"/>
        </w:rPr>
      </w:pPr>
    </w:p>
    <w:p w14:paraId="4B779019" w14:textId="77777777" w:rsidR="004C7180" w:rsidRPr="00150EDC" w:rsidRDefault="00CF0754">
      <w:pPr>
        <w:ind w:left="1400"/>
        <w:jc w:val="both"/>
        <w:rPr>
          <w:sz w:val="24"/>
        </w:rPr>
      </w:pPr>
      <w:r w:rsidRPr="007D3144">
        <w:rPr>
          <w:b/>
          <w:sz w:val="24"/>
        </w:rPr>
        <w:t>Commitment</w:t>
      </w:r>
      <w:r w:rsidRPr="007D3144">
        <w:rPr>
          <w:b/>
          <w:spacing w:val="-3"/>
          <w:sz w:val="24"/>
        </w:rPr>
        <w:t xml:space="preserve"> </w:t>
      </w:r>
      <w:r w:rsidRPr="007D3144">
        <w:rPr>
          <w:b/>
          <w:sz w:val="24"/>
        </w:rPr>
        <w:t>2:</w:t>
      </w:r>
      <w:r w:rsidRPr="007D3144">
        <w:rPr>
          <w:b/>
          <w:spacing w:val="-3"/>
          <w:sz w:val="24"/>
        </w:rPr>
        <w:t xml:space="preserve"> </w:t>
      </w:r>
      <w:r w:rsidRPr="007D3144">
        <w:rPr>
          <w:spacing w:val="-2"/>
          <w:sz w:val="24"/>
        </w:rPr>
        <w:t>Apprenticeship</w:t>
      </w:r>
    </w:p>
    <w:p w14:paraId="44DFE600" w14:textId="77777777" w:rsidR="004C7180" w:rsidRPr="00150EDC" w:rsidRDefault="00CF0754">
      <w:pPr>
        <w:pStyle w:val="BodyText"/>
        <w:spacing w:before="161"/>
        <w:ind w:left="1400"/>
        <w:jc w:val="both"/>
      </w:pPr>
      <w:r w:rsidRPr="007D3144">
        <w:t>Target:</w:t>
      </w:r>
      <w:r w:rsidRPr="007D3144">
        <w:rPr>
          <w:spacing w:val="-7"/>
        </w:rPr>
        <w:t xml:space="preserve"> </w:t>
      </w:r>
      <w:r w:rsidRPr="007D3144">
        <w:t>1</w:t>
      </w:r>
      <w:r w:rsidRPr="007D3144">
        <w:rPr>
          <w:spacing w:val="-2"/>
        </w:rPr>
        <w:t xml:space="preserve"> </w:t>
      </w:r>
      <w:r w:rsidRPr="007D3144">
        <w:t>x</w:t>
      </w:r>
      <w:r w:rsidRPr="007D3144">
        <w:rPr>
          <w:spacing w:val="-2"/>
        </w:rPr>
        <w:t xml:space="preserve"> </w:t>
      </w:r>
      <w:r w:rsidRPr="007D3144">
        <w:t>Finance</w:t>
      </w:r>
      <w:r w:rsidRPr="007D3144">
        <w:rPr>
          <w:spacing w:val="-4"/>
        </w:rPr>
        <w:t xml:space="preserve"> </w:t>
      </w:r>
      <w:r w:rsidRPr="007D3144">
        <w:t>and</w:t>
      </w:r>
      <w:r w:rsidRPr="007D3144">
        <w:rPr>
          <w:spacing w:val="-1"/>
        </w:rPr>
        <w:t xml:space="preserve"> </w:t>
      </w:r>
      <w:r w:rsidRPr="007D3144">
        <w:t>compliance</w:t>
      </w:r>
      <w:r w:rsidRPr="007D3144">
        <w:rPr>
          <w:spacing w:val="-2"/>
        </w:rPr>
        <w:t xml:space="preserve"> </w:t>
      </w:r>
      <w:r w:rsidRPr="007D3144">
        <w:t>apprentice</w:t>
      </w:r>
      <w:r w:rsidRPr="007D3144">
        <w:rPr>
          <w:spacing w:val="-2"/>
        </w:rPr>
        <w:t xml:space="preserve"> </w:t>
      </w:r>
      <w:r w:rsidRPr="00150EDC">
        <w:t>(level</w:t>
      </w:r>
      <w:r w:rsidRPr="00150EDC">
        <w:rPr>
          <w:spacing w:val="-2"/>
        </w:rPr>
        <w:t xml:space="preserve"> </w:t>
      </w:r>
      <w:r w:rsidRPr="00150EDC">
        <w:t>2/3</w:t>
      </w:r>
      <w:r w:rsidRPr="00150EDC">
        <w:rPr>
          <w:spacing w:val="-2"/>
        </w:rPr>
        <w:t xml:space="preserve"> </w:t>
      </w:r>
      <w:r w:rsidRPr="00150EDC">
        <w:t>diploma</w:t>
      </w:r>
      <w:r w:rsidRPr="00150EDC">
        <w:rPr>
          <w:spacing w:val="-1"/>
        </w:rPr>
        <w:t xml:space="preserve"> </w:t>
      </w:r>
      <w:r w:rsidRPr="00150EDC">
        <w:t>RQF</w:t>
      </w:r>
      <w:r w:rsidRPr="00150EDC">
        <w:rPr>
          <w:spacing w:val="-3"/>
        </w:rPr>
        <w:t xml:space="preserve"> </w:t>
      </w:r>
      <w:r w:rsidRPr="00150EDC">
        <w:t>in</w:t>
      </w:r>
      <w:r w:rsidRPr="00150EDC">
        <w:rPr>
          <w:spacing w:val="-1"/>
        </w:rPr>
        <w:t xml:space="preserve"> </w:t>
      </w:r>
      <w:r w:rsidRPr="00150EDC">
        <w:rPr>
          <w:spacing w:val="-2"/>
        </w:rPr>
        <w:t>finance).</w:t>
      </w:r>
    </w:p>
    <w:p w14:paraId="5C875C73" w14:textId="77777777" w:rsidR="004C7180" w:rsidRPr="00150EDC" w:rsidRDefault="00CF0754">
      <w:pPr>
        <w:pStyle w:val="BodyText"/>
        <w:spacing w:before="161" w:line="276" w:lineRule="auto"/>
        <w:ind w:left="1399" w:right="1435"/>
        <w:jc w:val="both"/>
      </w:pPr>
      <w:r w:rsidRPr="007D3144">
        <w:t>Method</w:t>
      </w:r>
      <w:r w:rsidRPr="007D3144">
        <w:rPr>
          <w:spacing w:val="-2"/>
        </w:rPr>
        <w:t xml:space="preserve"> </w:t>
      </w:r>
      <w:r w:rsidRPr="007D3144">
        <w:t>statement:</w:t>
      </w:r>
      <w:r w:rsidRPr="007D3144">
        <w:rPr>
          <w:spacing w:val="-3"/>
        </w:rPr>
        <w:t xml:space="preserve"> </w:t>
      </w:r>
      <w:r w:rsidRPr="00150EDC">
        <w:t>This</w:t>
      </w:r>
      <w:r w:rsidRPr="00150EDC">
        <w:rPr>
          <w:spacing w:val="-1"/>
        </w:rPr>
        <w:t xml:space="preserve"> </w:t>
      </w:r>
      <w:r w:rsidRPr="00150EDC">
        <w:t>opportunity</w:t>
      </w:r>
      <w:r w:rsidRPr="00150EDC">
        <w:rPr>
          <w:spacing w:val="-1"/>
        </w:rPr>
        <w:t xml:space="preserve"> </w:t>
      </w:r>
      <w:r w:rsidRPr="00150EDC">
        <w:t>will</w:t>
      </w:r>
      <w:r w:rsidRPr="00150EDC">
        <w:rPr>
          <w:spacing w:val="-1"/>
        </w:rPr>
        <w:t xml:space="preserve"> </w:t>
      </w:r>
      <w:r w:rsidRPr="00150EDC">
        <w:t>be targeted</w:t>
      </w:r>
      <w:r w:rsidRPr="00150EDC">
        <w:rPr>
          <w:spacing w:val="-2"/>
        </w:rPr>
        <w:t xml:space="preserve"> </w:t>
      </w:r>
      <w:r w:rsidRPr="00150EDC">
        <w:t>at a</w:t>
      </w:r>
      <w:r w:rsidRPr="00150EDC">
        <w:rPr>
          <w:spacing w:val="-2"/>
        </w:rPr>
        <w:t xml:space="preserve"> </w:t>
      </w:r>
      <w:r w:rsidRPr="00150EDC">
        <w:t>new</w:t>
      </w:r>
      <w:r w:rsidRPr="00150EDC">
        <w:rPr>
          <w:spacing w:val="-1"/>
        </w:rPr>
        <w:t xml:space="preserve"> </w:t>
      </w:r>
      <w:r w:rsidRPr="00150EDC">
        <w:t>employee,</w:t>
      </w:r>
      <w:r w:rsidRPr="00150EDC">
        <w:rPr>
          <w:spacing w:val="-2"/>
        </w:rPr>
        <w:t xml:space="preserve"> </w:t>
      </w:r>
      <w:r w:rsidRPr="00150EDC">
        <w:t>with the</w:t>
      </w:r>
      <w:r w:rsidRPr="00150EDC">
        <w:rPr>
          <w:spacing w:val="-2"/>
        </w:rPr>
        <w:t xml:space="preserve"> </w:t>
      </w:r>
      <w:r w:rsidRPr="00150EDC">
        <w:t>goal of them achieving a recognised qualification and ultimately progress to the role of Compliance Officer within two years.</w:t>
      </w:r>
    </w:p>
    <w:p w14:paraId="4FF2886F" w14:textId="77777777" w:rsidR="004C7180" w:rsidRPr="00150EDC" w:rsidRDefault="00CF0754" w:rsidP="00B320C7">
      <w:pPr>
        <w:pStyle w:val="ListParagraph"/>
        <w:numPr>
          <w:ilvl w:val="0"/>
          <w:numId w:val="52"/>
        </w:numPr>
        <w:tabs>
          <w:tab w:val="left" w:pos="2119"/>
        </w:tabs>
        <w:spacing w:before="121" w:line="276" w:lineRule="auto"/>
        <w:ind w:left="2119" w:right="1432"/>
        <w:jc w:val="both"/>
        <w:rPr>
          <w:rFonts w:ascii="Symbol" w:hAnsi="Symbol"/>
          <w:sz w:val="24"/>
        </w:rPr>
      </w:pPr>
      <w:r w:rsidRPr="007D3144">
        <w:rPr>
          <w:sz w:val="24"/>
        </w:rPr>
        <w:t>Tribal’s Head of Talent</w:t>
      </w:r>
      <w:r w:rsidRPr="007D3144">
        <w:rPr>
          <w:spacing w:val="-1"/>
          <w:sz w:val="24"/>
        </w:rPr>
        <w:t xml:space="preserve"> </w:t>
      </w:r>
      <w:r w:rsidRPr="00150EDC">
        <w:rPr>
          <w:sz w:val="24"/>
        </w:rPr>
        <w:t>will work with “good” or “outstanding” providers local to our Bristol or Sheffield offices (e.g. Learning Curve) to engage suitable candidates locally. Opportunities will also be promoted via our school/college outreach programmes where we already deliver careers advice and employment workshops.</w:t>
      </w:r>
    </w:p>
    <w:p w14:paraId="2668F04E" w14:textId="77777777" w:rsidR="004C7180" w:rsidRPr="00150EDC" w:rsidRDefault="00CF0754" w:rsidP="00B320C7">
      <w:pPr>
        <w:pStyle w:val="ListParagraph"/>
        <w:numPr>
          <w:ilvl w:val="0"/>
          <w:numId w:val="52"/>
        </w:numPr>
        <w:tabs>
          <w:tab w:val="left" w:pos="2119"/>
        </w:tabs>
        <w:spacing w:line="271" w:lineRule="auto"/>
        <w:ind w:left="2119" w:right="1437"/>
        <w:jc w:val="both"/>
        <w:rPr>
          <w:rFonts w:ascii="Symbol" w:hAnsi="Symbol"/>
          <w:sz w:val="24"/>
        </w:rPr>
      </w:pPr>
      <w:r w:rsidRPr="00150EDC">
        <w:rPr>
          <w:sz w:val="24"/>
        </w:rPr>
        <w:t>External shortlisted candidates will be invited to attend 20 hours of work experience to give them insight into the apprenticeship fit.</w:t>
      </w:r>
    </w:p>
    <w:p w14:paraId="22D79BFB" w14:textId="77777777" w:rsidR="004C7180" w:rsidRPr="00150EDC" w:rsidRDefault="00CF0754" w:rsidP="00B320C7">
      <w:pPr>
        <w:pStyle w:val="ListParagraph"/>
        <w:numPr>
          <w:ilvl w:val="0"/>
          <w:numId w:val="52"/>
        </w:numPr>
        <w:tabs>
          <w:tab w:val="left" w:pos="2119"/>
        </w:tabs>
        <w:spacing w:before="2" w:line="273" w:lineRule="auto"/>
        <w:ind w:left="2119" w:right="1436"/>
        <w:jc w:val="both"/>
        <w:rPr>
          <w:rFonts w:ascii="Symbol" w:hAnsi="Symbol"/>
          <w:sz w:val="24"/>
        </w:rPr>
      </w:pPr>
      <w:r w:rsidRPr="00150EDC">
        <w:rPr>
          <w:sz w:val="24"/>
        </w:rPr>
        <w:t>The individual will undertake a structured programme incorporating on-the-job and provider-based training and be assigned a Finance Manager mentor for additional support.</w:t>
      </w:r>
    </w:p>
    <w:p w14:paraId="4487B623" w14:textId="77777777" w:rsidR="004C7180" w:rsidRPr="00150EDC" w:rsidRDefault="00CF0754">
      <w:pPr>
        <w:pStyle w:val="BodyText"/>
        <w:spacing w:before="2"/>
        <w:ind w:left="1399"/>
        <w:jc w:val="both"/>
      </w:pPr>
      <w:r w:rsidRPr="007D3144">
        <w:t>Time</w:t>
      </w:r>
      <w:r w:rsidRPr="007D3144">
        <w:rPr>
          <w:spacing w:val="-4"/>
        </w:rPr>
        <w:t xml:space="preserve"> </w:t>
      </w:r>
      <w:r w:rsidRPr="007D3144">
        <w:t>scales:</w:t>
      </w:r>
      <w:r w:rsidRPr="007D3144">
        <w:rPr>
          <w:spacing w:val="-1"/>
        </w:rPr>
        <w:t xml:space="preserve"> </w:t>
      </w:r>
      <w:r w:rsidRPr="00150EDC">
        <w:t>Enrolled</w:t>
      </w:r>
      <w:r w:rsidRPr="00150EDC">
        <w:rPr>
          <w:spacing w:val="-3"/>
        </w:rPr>
        <w:t xml:space="preserve"> </w:t>
      </w:r>
      <w:r w:rsidRPr="00150EDC">
        <w:t>on</w:t>
      </w:r>
      <w:r w:rsidRPr="00150EDC">
        <w:rPr>
          <w:spacing w:val="-1"/>
        </w:rPr>
        <w:t xml:space="preserve"> </w:t>
      </w:r>
      <w:r w:rsidRPr="00150EDC">
        <w:t>apprenticeship</w:t>
      </w:r>
      <w:r w:rsidRPr="00150EDC">
        <w:rPr>
          <w:spacing w:val="-4"/>
        </w:rPr>
        <w:t xml:space="preserve"> </w:t>
      </w:r>
      <w:r w:rsidRPr="00150EDC">
        <w:t>course</w:t>
      </w:r>
      <w:r w:rsidRPr="00150EDC">
        <w:rPr>
          <w:spacing w:val="-1"/>
        </w:rPr>
        <w:t xml:space="preserve"> </w:t>
      </w:r>
      <w:r w:rsidRPr="00150EDC">
        <w:t>by</w:t>
      </w:r>
      <w:r w:rsidRPr="00150EDC">
        <w:rPr>
          <w:spacing w:val="-4"/>
        </w:rPr>
        <w:t xml:space="preserve"> </w:t>
      </w:r>
      <w:r w:rsidRPr="00150EDC">
        <w:t>end</w:t>
      </w:r>
      <w:r w:rsidRPr="00150EDC">
        <w:rPr>
          <w:spacing w:val="-3"/>
        </w:rPr>
        <w:t xml:space="preserve"> </w:t>
      </w:r>
      <w:r w:rsidRPr="00150EDC">
        <w:t>of</w:t>
      </w:r>
      <w:r w:rsidRPr="00150EDC">
        <w:rPr>
          <w:spacing w:val="-4"/>
        </w:rPr>
        <w:t xml:space="preserve"> </w:t>
      </w:r>
      <w:r w:rsidRPr="00150EDC">
        <w:rPr>
          <w:spacing w:val="-5"/>
        </w:rPr>
        <w:t>Q1.</w:t>
      </w:r>
    </w:p>
    <w:p w14:paraId="25634145" w14:textId="77777777" w:rsidR="004C7180" w:rsidRPr="00150EDC" w:rsidRDefault="00CF0754">
      <w:pPr>
        <w:pStyle w:val="BodyText"/>
        <w:spacing w:before="163" w:line="276" w:lineRule="auto"/>
        <w:ind w:left="1400" w:right="1433"/>
        <w:jc w:val="both"/>
      </w:pPr>
      <w:r w:rsidRPr="007D3144">
        <w:t xml:space="preserve">Reporting metric: </w:t>
      </w:r>
      <w:r w:rsidRPr="00150EDC">
        <w:t>Number of apprenticeship opportunities (Level 2/3) created for under-represented groups.</w:t>
      </w:r>
    </w:p>
    <w:p w14:paraId="6BCBC4C3" w14:textId="77777777" w:rsidR="004C7180" w:rsidRPr="00150EDC" w:rsidRDefault="004C7180">
      <w:pPr>
        <w:pStyle w:val="BodyText"/>
        <w:rPr>
          <w:sz w:val="26"/>
        </w:rPr>
      </w:pPr>
    </w:p>
    <w:p w14:paraId="03485EBC" w14:textId="77777777" w:rsidR="004C7180" w:rsidRPr="00150EDC" w:rsidRDefault="004C7180">
      <w:pPr>
        <w:pStyle w:val="BodyText"/>
        <w:spacing w:before="8"/>
        <w:rPr>
          <w:sz w:val="21"/>
        </w:rPr>
      </w:pPr>
    </w:p>
    <w:p w14:paraId="0A67095F" w14:textId="77777777" w:rsidR="004C7180" w:rsidRPr="00150EDC" w:rsidRDefault="00CF0754">
      <w:pPr>
        <w:ind w:left="1400"/>
        <w:jc w:val="both"/>
        <w:rPr>
          <w:sz w:val="24"/>
        </w:rPr>
      </w:pPr>
      <w:r w:rsidRPr="007D3144">
        <w:rPr>
          <w:b/>
          <w:sz w:val="24"/>
        </w:rPr>
        <w:t>Commitment</w:t>
      </w:r>
      <w:r w:rsidRPr="007D3144">
        <w:rPr>
          <w:b/>
          <w:spacing w:val="-3"/>
          <w:sz w:val="24"/>
        </w:rPr>
        <w:t xml:space="preserve"> </w:t>
      </w:r>
      <w:r w:rsidRPr="007D3144">
        <w:rPr>
          <w:b/>
          <w:sz w:val="24"/>
        </w:rPr>
        <w:t>3:</w:t>
      </w:r>
      <w:r w:rsidRPr="007D3144">
        <w:rPr>
          <w:b/>
          <w:spacing w:val="-3"/>
          <w:sz w:val="24"/>
        </w:rPr>
        <w:t xml:space="preserve"> </w:t>
      </w:r>
      <w:r w:rsidRPr="007D3144">
        <w:rPr>
          <w:sz w:val="24"/>
        </w:rPr>
        <w:t>T</w:t>
      </w:r>
      <w:r w:rsidRPr="007D3144">
        <w:rPr>
          <w:spacing w:val="-2"/>
          <w:sz w:val="24"/>
        </w:rPr>
        <w:t xml:space="preserve"> </w:t>
      </w:r>
      <w:r w:rsidRPr="007D3144">
        <w:rPr>
          <w:sz w:val="24"/>
        </w:rPr>
        <w:t>Level</w:t>
      </w:r>
      <w:r w:rsidRPr="007D3144">
        <w:rPr>
          <w:spacing w:val="-1"/>
          <w:sz w:val="24"/>
        </w:rPr>
        <w:t xml:space="preserve"> </w:t>
      </w:r>
      <w:r w:rsidRPr="007D3144">
        <w:rPr>
          <w:spacing w:val="-2"/>
          <w:sz w:val="24"/>
        </w:rPr>
        <w:t>placements</w:t>
      </w:r>
    </w:p>
    <w:p w14:paraId="2DDF4866" w14:textId="77777777" w:rsidR="004C7180" w:rsidRPr="00150EDC" w:rsidRDefault="00CF0754">
      <w:pPr>
        <w:pStyle w:val="BodyText"/>
        <w:spacing w:before="161" w:line="276" w:lineRule="auto"/>
        <w:ind w:left="1400" w:right="1433"/>
        <w:jc w:val="both"/>
      </w:pPr>
      <w:r w:rsidRPr="007D3144">
        <w:t>Target:</w:t>
      </w:r>
      <w:r w:rsidRPr="007D3144">
        <w:rPr>
          <w:spacing w:val="-10"/>
        </w:rPr>
        <w:t xml:space="preserve"> </w:t>
      </w:r>
      <w:r w:rsidRPr="00150EDC">
        <w:t>Create</w:t>
      </w:r>
      <w:r w:rsidRPr="00150EDC">
        <w:rPr>
          <w:spacing w:val="-10"/>
        </w:rPr>
        <w:t xml:space="preserve"> </w:t>
      </w:r>
      <w:r w:rsidRPr="00150EDC">
        <w:t>a</w:t>
      </w:r>
      <w:r w:rsidRPr="00150EDC">
        <w:rPr>
          <w:spacing w:val="-10"/>
        </w:rPr>
        <w:t xml:space="preserve"> </w:t>
      </w:r>
      <w:r w:rsidRPr="00150EDC">
        <w:t>minimum</w:t>
      </w:r>
      <w:r w:rsidRPr="00150EDC">
        <w:rPr>
          <w:spacing w:val="-9"/>
        </w:rPr>
        <w:t xml:space="preserve"> </w:t>
      </w:r>
      <w:r w:rsidRPr="00150EDC">
        <w:t>of</w:t>
      </w:r>
      <w:r w:rsidRPr="00150EDC">
        <w:rPr>
          <w:spacing w:val="-10"/>
        </w:rPr>
        <w:t xml:space="preserve"> </w:t>
      </w:r>
      <w:r w:rsidRPr="00150EDC">
        <w:t>10</w:t>
      </w:r>
      <w:r w:rsidRPr="00150EDC">
        <w:rPr>
          <w:spacing w:val="-10"/>
        </w:rPr>
        <w:t xml:space="preserve"> </w:t>
      </w:r>
      <w:r w:rsidRPr="00150EDC">
        <w:t>weeks</w:t>
      </w:r>
      <w:r w:rsidRPr="00150EDC">
        <w:rPr>
          <w:spacing w:val="-11"/>
        </w:rPr>
        <w:t xml:space="preserve"> </w:t>
      </w:r>
      <w:r w:rsidRPr="00150EDC">
        <w:t>of</w:t>
      </w:r>
      <w:r w:rsidRPr="00150EDC">
        <w:rPr>
          <w:spacing w:val="-8"/>
        </w:rPr>
        <w:t xml:space="preserve"> </w:t>
      </w:r>
      <w:r w:rsidRPr="00150EDC">
        <w:t>T</w:t>
      </w:r>
      <w:r w:rsidRPr="00150EDC">
        <w:rPr>
          <w:spacing w:val="-11"/>
        </w:rPr>
        <w:t xml:space="preserve"> </w:t>
      </w:r>
      <w:r w:rsidRPr="00150EDC">
        <w:t>Level</w:t>
      </w:r>
      <w:r w:rsidRPr="00150EDC">
        <w:rPr>
          <w:spacing w:val="-9"/>
        </w:rPr>
        <w:t xml:space="preserve"> </w:t>
      </w:r>
      <w:r w:rsidRPr="00150EDC">
        <w:t>industry</w:t>
      </w:r>
      <w:r w:rsidRPr="00150EDC">
        <w:rPr>
          <w:spacing w:val="-8"/>
        </w:rPr>
        <w:t xml:space="preserve"> </w:t>
      </w:r>
      <w:r w:rsidRPr="00150EDC">
        <w:t>placement</w:t>
      </w:r>
      <w:r w:rsidRPr="00150EDC">
        <w:rPr>
          <w:spacing w:val="-12"/>
        </w:rPr>
        <w:t xml:space="preserve"> </w:t>
      </w:r>
      <w:r w:rsidRPr="00150EDC">
        <w:t>opportunities</w:t>
      </w:r>
      <w:r w:rsidRPr="00150EDC">
        <w:rPr>
          <w:spacing w:val="-11"/>
        </w:rPr>
        <w:t xml:space="preserve"> </w:t>
      </w:r>
      <w:r w:rsidRPr="00150EDC">
        <w:t>for under-represented individuals studying management, administration, or finance.</w:t>
      </w:r>
    </w:p>
    <w:p w14:paraId="69E93514" w14:textId="77777777" w:rsidR="004C7180" w:rsidRPr="00150EDC" w:rsidRDefault="004C7180">
      <w:pPr>
        <w:spacing w:line="276" w:lineRule="auto"/>
        <w:jc w:val="both"/>
        <w:sectPr w:rsidR="004C7180" w:rsidRPr="00150EDC">
          <w:pgSz w:w="11910" w:h="16840"/>
          <w:pgMar w:top="1460" w:right="0" w:bottom="1420" w:left="40" w:header="712" w:footer="1224" w:gutter="0"/>
          <w:cols w:space="720"/>
        </w:sectPr>
      </w:pPr>
    </w:p>
    <w:p w14:paraId="32A62E86" w14:textId="77777777" w:rsidR="004C7180" w:rsidRPr="00150EDC" w:rsidRDefault="004C7180">
      <w:pPr>
        <w:pStyle w:val="BodyText"/>
        <w:spacing w:before="4"/>
        <w:rPr>
          <w:sz w:val="18"/>
        </w:rPr>
      </w:pPr>
    </w:p>
    <w:p w14:paraId="2C539C34" w14:textId="77777777" w:rsidR="004C7180" w:rsidRPr="00150EDC" w:rsidRDefault="00CF0754">
      <w:pPr>
        <w:pStyle w:val="BodyText"/>
        <w:spacing w:before="93" w:line="276" w:lineRule="auto"/>
        <w:ind w:left="1400" w:right="1435"/>
        <w:jc w:val="both"/>
      </w:pPr>
      <w:r w:rsidRPr="007D3144">
        <w:t xml:space="preserve">Method statement: Tribal HR </w:t>
      </w:r>
      <w:r w:rsidRPr="00150EDC">
        <w:t>will undertake desktop research to identify schools and colleges within close proximity to our Bristol or Sheffield offices delivering T Levels (e.g. Bath College, Writhlington School) and will:</w:t>
      </w:r>
    </w:p>
    <w:p w14:paraId="1E9C4259" w14:textId="77777777" w:rsidR="004C7180" w:rsidRPr="00150EDC" w:rsidRDefault="00CF0754" w:rsidP="00B320C7">
      <w:pPr>
        <w:pStyle w:val="ListParagraph"/>
        <w:numPr>
          <w:ilvl w:val="0"/>
          <w:numId w:val="52"/>
        </w:numPr>
        <w:tabs>
          <w:tab w:val="left" w:pos="2120"/>
        </w:tabs>
        <w:spacing w:before="118" w:line="273" w:lineRule="auto"/>
        <w:ind w:right="1435"/>
        <w:jc w:val="both"/>
        <w:rPr>
          <w:rFonts w:ascii="Symbol" w:hAnsi="Symbol"/>
          <w:sz w:val="24"/>
        </w:rPr>
      </w:pPr>
      <w:r w:rsidRPr="00150EDC">
        <w:rPr>
          <w:sz w:val="24"/>
        </w:rPr>
        <w:t>Engage with organisations (email, telephone, virtual meetings) to make them aware of the opportunities we will create, provide detailed information and/or attend events to promote the placements.</w:t>
      </w:r>
    </w:p>
    <w:p w14:paraId="6BAA006F" w14:textId="77777777" w:rsidR="004C7180" w:rsidRPr="00150EDC" w:rsidRDefault="00CF0754" w:rsidP="00B320C7">
      <w:pPr>
        <w:pStyle w:val="ListParagraph"/>
        <w:numPr>
          <w:ilvl w:val="0"/>
          <w:numId w:val="52"/>
        </w:numPr>
        <w:tabs>
          <w:tab w:val="left" w:pos="2119"/>
        </w:tabs>
        <w:spacing w:before="6" w:line="271" w:lineRule="auto"/>
        <w:ind w:left="2119" w:right="1434"/>
        <w:jc w:val="both"/>
        <w:rPr>
          <w:rFonts w:ascii="Symbol" w:hAnsi="Symbol"/>
          <w:sz w:val="24"/>
        </w:rPr>
      </w:pPr>
      <w:r w:rsidRPr="00150EDC">
        <w:rPr>
          <w:sz w:val="24"/>
        </w:rPr>
        <w:t>Identify</w:t>
      </w:r>
      <w:r w:rsidRPr="00150EDC">
        <w:rPr>
          <w:spacing w:val="-13"/>
          <w:sz w:val="24"/>
        </w:rPr>
        <w:t xml:space="preserve"> </w:t>
      </w:r>
      <w:r w:rsidRPr="00150EDC">
        <w:rPr>
          <w:sz w:val="24"/>
        </w:rPr>
        <w:t>suitable</w:t>
      </w:r>
      <w:r w:rsidRPr="00150EDC">
        <w:rPr>
          <w:spacing w:val="-14"/>
          <w:sz w:val="24"/>
        </w:rPr>
        <w:t xml:space="preserve"> </w:t>
      </w:r>
      <w:r w:rsidRPr="00150EDC">
        <w:rPr>
          <w:sz w:val="24"/>
        </w:rPr>
        <w:t>candidates,</w:t>
      </w:r>
      <w:r w:rsidRPr="00150EDC">
        <w:rPr>
          <w:spacing w:val="-14"/>
          <w:sz w:val="24"/>
        </w:rPr>
        <w:t xml:space="preserve"> </w:t>
      </w:r>
      <w:r w:rsidRPr="00150EDC">
        <w:rPr>
          <w:sz w:val="24"/>
        </w:rPr>
        <w:t>including</w:t>
      </w:r>
      <w:r w:rsidRPr="00150EDC">
        <w:rPr>
          <w:spacing w:val="-12"/>
          <w:sz w:val="24"/>
        </w:rPr>
        <w:t xml:space="preserve"> </w:t>
      </w:r>
      <w:r w:rsidRPr="00150EDC">
        <w:rPr>
          <w:sz w:val="24"/>
        </w:rPr>
        <w:t>opportunities</w:t>
      </w:r>
      <w:r w:rsidRPr="00150EDC">
        <w:rPr>
          <w:spacing w:val="-13"/>
          <w:sz w:val="24"/>
        </w:rPr>
        <w:t xml:space="preserve"> </w:t>
      </w:r>
      <w:r w:rsidRPr="00150EDC">
        <w:rPr>
          <w:sz w:val="24"/>
        </w:rPr>
        <w:t>to</w:t>
      </w:r>
      <w:r w:rsidRPr="00150EDC">
        <w:rPr>
          <w:spacing w:val="-14"/>
          <w:sz w:val="24"/>
        </w:rPr>
        <w:t xml:space="preserve"> </w:t>
      </w:r>
      <w:r w:rsidRPr="00150EDC">
        <w:rPr>
          <w:sz w:val="24"/>
        </w:rPr>
        <w:t>visit</w:t>
      </w:r>
      <w:r w:rsidRPr="00150EDC">
        <w:rPr>
          <w:spacing w:val="-12"/>
          <w:sz w:val="24"/>
        </w:rPr>
        <w:t xml:space="preserve"> </w:t>
      </w:r>
      <w:r w:rsidRPr="00150EDC">
        <w:rPr>
          <w:sz w:val="24"/>
        </w:rPr>
        <w:t>our</w:t>
      </w:r>
      <w:r w:rsidRPr="00150EDC">
        <w:rPr>
          <w:spacing w:val="-13"/>
          <w:sz w:val="24"/>
        </w:rPr>
        <w:t xml:space="preserve"> </w:t>
      </w:r>
      <w:r w:rsidRPr="00150EDC">
        <w:rPr>
          <w:sz w:val="24"/>
        </w:rPr>
        <w:t>offices</w:t>
      </w:r>
      <w:r w:rsidRPr="00150EDC">
        <w:rPr>
          <w:spacing w:val="-15"/>
          <w:sz w:val="24"/>
        </w:rPr>
        <w:t xml:space="preserve"> </w:t>
      </w:r>
      <w:r w:rsidRPr="00150EDC">
        <w:rPr>
          <w:sz w:val="24"/>
        </w:rPr>
        <w:t>and</w:t>
      </w:r>
      <w:r w:rsidRPr="00150EDC">
        <w:rPr>
          <w:spacing w:val="-16"/>
          <w:sz w:val="24"/>
        </w:rPr>
        <w:t xml:space="preserve"> </w:t>
      </w:r>
      <w:r w:rsidRPr="00150EDC">
        <w:rPr>
          <w:sz w:val="24"/>
        </w:rPr>
        <w:t>meet members of our contract team.</w:t>
      </w:r>
    </w:p>
    <w:p w14:paraId="73DF93B0" w14:textId="77777777" w:rsidR="004C7180" w:rsidRPr="00150EDC" w:rsidRDefault="00CF0754" w:rsidP="00B320C7">
      <w:pPr>
        <w:pStyle w:val="ListParagraph"/>
        <w:numPr>
          <w:ilvl w:val="0"/>
          <w:numId w:val="52"/>
        </w:numPr>
        <w:tabs>
          <w:tab w:val="left" w:pos="2118"/>
        </w:tabs>
        <w:spacing w:before="6" w:line="276" w:lineRule="auto"/>
        <w:ind w:left="1399" w:right="1434" w:firstLine="360"/>
        <w:jc w:val="both"/>
        <w:rPr>
          <w:rFonts w:ascii="Symbol" w:hAnsi="Symbol"/>
          <w:sz w:val="24"/>
        </w:rPr>
      </w:pPr>
      <w:r w:rsidRPr="00150EDC">
        <w:rPr>
          <w:sz w:val="24"/>
        </w:rPr>
        <w:t>Agree</w:t>
      </w:r>
      <w:r w:rsidRPr="00150EDC">
        <w:rPr>
          <w:spacing w:val="-17"/>
          <w:sz w:val="24"/>
        </w:rPr>
        <w:t xml:space="preserve"> </w:t>
      </w:r>
      <w:r w:rsidRPr="00150EDC">
        <w:rPr>
          <w:sz w:val="24"/>
        </w:rPr>
        <w:t>plans</w:t>
      </w:r>
      <w:r w:rsidRPr="00150EDC">
        <w:rPr>
          <w:spacing w:val="-17"/>
          <w:sz w:val="24"/>
        </w:rPr>
        <w:t xml:space="preserve"> </w:t>
      </w:r>
      <w:r w:rsidRPr="00150EDC">
        <w:rPr>
          <w:sz w:val="24"/>
        </w:rPr>
        <w:t>for</w:t>
      </w:r>
      <w:r w:rsidRPr="00150EDC">
        <w:rPr>
          <w:spacing w:val="-16"/>
          <w:sz w:val="24"/>
        </w:rPr>
        <w:t xml:space="preserve"> </w:t>
      </w:r>
      <w:r w:rsidRPr="00150EDC">
        <w:rPr>
          <w:sz w:val="24"/>
        </w:rPr>
        <w:t>undertaking</w:t>
      </w:r>
      <w:r w:rsidRPr="00150EDC">
        <w:rPr>
          <w:spacing w:val="-16"/>
          <w:sz w:val="24"/>
        </w:rPr>
        <w:t xml:space="preserve"> </w:t>
      </w:r>
      <w:r w:rsidRPr="00150EDC">
        <w:rPr>
          <w:sz w:val="24"/>
        </w:rPr>
        <w:t>the</w:t>
      </w:r>
      <w:r w:rsidRPr="00150EDC">
        <w:rPr>
          <w:spacing w:val="-16"/>
          <w:sz w:val="24"/>
        </w:rPr>
        <w:t xml:space="preserve"> </w:t>
      </w:r>
      <w:r w:rsidRPr="00150EDC">
        <w:rPr>
          <w:sz w:val="24"/>
        </w:rPr>
        <w:t>placements</w:t>
      </w:r>
      <w:r w:rsidRPr="00150EDC">
        <w:rPr>
          <w:spacing w:val="-17"/>
          <w:sz w:val="24"/>
        </w:rPr>
        <w:t xml:space="preserve"> </w:t>
      </w:r>
      <w:r w:rsidRPr="00150EDC">
        <w:rPr>
          <w:sz w:val="24"/>
        </w:rPr>
        <w:t>within</w:t>
      </w:r>
      <w:r w:rsidRPr="00150EDC">
        <w:rPr>
          <w:spacing w:val="-14"/>
          <w:sz w:val="24"/>
        </w:rPr>
        <w:t xml:space="preserve"> </w:t>
      </w:r>
      <w:r w:rsidRPr="00150EDC">
        <w:rPr>
          <w:sz w:val="24"/>
        </w:rPr>
        <w:t>the</w:t>
      </w:r>
      <w:r w:rsidRPr="00150EDC">
        <w:rPr>
          <w:spacing w:val="-14"/>
          <w:sz w:val="24"/>
        </w:rPr>
        <w:t xml:space="preserve"> </w:t>
      </w:r>
      <w:r w:rsidRPr="00150EDC">
        <w:rPr>
          <w:sz w:val="24"/>
        </w:rPr>
        <w:t>two-year</w:t>
      </w:r>
      <w:r w:rsidRPr="00150EDC">
        <w:rPr>
          <w:spacing w:val="-16"/>
          <w:sz w:val="24"/>
        </w:rPr>
        <w:t xml:space="preserve"> </w:t>
      </w:r>
      <w:r w:rsidRPr="00150EDC">
        <w:rPr>
          <w:sz w:val="24"/>
        </w:rPr>
        <w:t>contract</w:t>
      </w:r>
      <w:r w:rsidRPr="00150EDC">
        <w:rPr>
          <w:spacing w:val="-14"/>
          <w:sz w:val="24"/>
        </w:rPr>
        <w:t xml:space="preserve"> </w:t>
      </w:r>
      <w:r w:rsidRPr="00150EDC">
        <w:rPr>
          <w:sz w:val="24"/>
        </w:rPr>
        <w:t>period. To ensure we support</w:t>
      </w:r>
      <w:r w:rsidRPr="00150EDC">
        <w:rPr>
          <w:spacing w:val="-2"/>
          <w:sz w:val="24"/>
        </w:rPr>
        <w:t xml:space="preserve"> </w:t>
      </w:r>
      <w:r w:rsidRPr="00150EDC">
        <w:rPr>
          <w:sz w:val="24"/>
        </w:rPr>
        <w:t>individuals</w:t>
      </w:r>
      <w:r w:rsidRPr="00150EDC">
        <w:rPr>
          <w:spacing w:val="-3"/>
          <w:sz w:val="24"/>
        </w:rPr>
        <w:t xml:space="preserve"> </w:t>
      </w:r>
      <w:r w:rsidRPr="00150EDC">
        <w:rPr>
          <w:sz w:val="24"/>
        </w:rPr>
        <w:t>from disadvantaged</w:t>
      </w:r>
      <w:r w:rsidRPr="00150EDC">
        <w:rPr>
          <w:spacing w:val="-2"/>
          <w:sz w:val="24"/>
        </w:rPr>
        <w:t xml:space="preserve"> </w:t>
      </w:r>
      <w:r w:rsidRPr="00150EDC">
        <w:rPr>
          <w:sz w:val="24"/>
        </w:rPr>
        <w:t>backgrounds,</w:t>
      </w:r>
      <w:r w:rsidRPr="00150EDC">
        <w:rPr>
          <w:spacing w:val="-5"/>
          <w:sz w:val="24"/>
        </w:rPr>
        <w:t xml:space="preserve"> </w:t>
      </w:r>
      <w:r w:rsidRPr="00150EDC">
        <w:rPr>
          <w:sz w:val="24"/>
        </w:rPr>
        <w:t>we will</w:t>
      </w:r>
      <w:r w:rsidRPr="00150EDC">
        <w:rPr>
          <w:spacing w:val="-1"/>
          <w:sz w:val="24"/>
        </w:rPr>
        <w:t xml:space="preserve"> </w:t>
      </w:r>
      <w:r w:rsidRPr="00150EDC">
        <w:rPr>
          <w:sz w:val="24"/>
        </w:rPr>
        <w:t>pay</w:t>
      </w:r>
      <w:r w:rsidRPr="00150EDC">
        <w:rPr>
          <w:spacing w:val="-3"/>
          <w:sz w:val="24"/>
        </w:rPr>
        <w:t xml:space="preserve"> </w:t>
      </w:r>
      <w:r w:rsidRPr="00150EDC">
        <w:rPr>
          <w:sz w:val="24"/>
        </w:rPr>
        <w:t>each candidate the Real Living Wage, provide a fund for travel and lunch, and develop a bespoke support programme, including remote working best practice.</w:t>
      </w:r>
    </w:p>
    <w:p w14:paraId="6331C065" w14:textId="77777777" w:rsidR="004C7180" w:rsidRPr="00150EDC" w:rsidRDefault="00CF0754">
      <w:pPr>
        <w:pStyle w:val="BodyText"/>
        <w:spacing w:before="116" w:line="276" w:lineRule="auto"/>
        <w:ind w:left="1400" w:right="1435"/>
        <w:jc w:val="both"/>
      </w:pPr>
      <w:r w:rsidRPr="007D3144">
        <w:t xml:space="preserve">Time scales: </w:t>
      </w:r>
      <w:r w:rsidRPr="00150EDC">
        <w:t>Placements will be provided each contract year, completed by the end of Q3.</w:t>
      </w:r>
    </w:p>
    <w:p w14:paraId="06AECD78" w14:textId="77777777" w:rsidR="004C7180" w:rsidRPr="00150EDC" w:rsidRDefault="00CF0754">
      <w:pPr>
        <w:pStyle w:val="BodyText"/>
        <w:spacing w:before="118" w:line="276" w:lineRule="auto"/>
        <w:ind w:left="1400" w:right="1434"/>
        <w:jc w:val="both"/>
      </w:pPr>
      <w:r w:rsidRPr="007D3144">
        <w:t xml:space="preserve">Reporting metric: </w:t>
      </w:r>
      <w:r w:rsidRPr="00150EDC">
        <w:t>Number of T level industry placement weeks delivered for under- represented groups.</w:t>
      </w:r>
    </w:p>
    <w:p w14:paraId="7B0D21D9" w14:textId="77777777" w:rsidR="004C7180" w:rsidRPr="00150EDC" w:rsidRDefault="004C7180">
      <w:pPr>
        <w:pStyle w:val="BodyText"/>
        <w:rPr>
          <w:sz w:val="26"/>
        </w:rPr>
      </w:pPr>
    </w:p>
    <w:p w14:paraId="41D876F2" w14:textId="77777777" w:rsidR="004C7180" w:rsidRPr="00150EDC" w:rsidRDefault="004C7180">
      <w:pPr>
        <w:pStyle w:val="BodyText"/>
        <w:spacing w:before="8"/>
        <w:rPr>
          <w:sz w:val="21"/>
        </w:rPr>
      </w:pPr>
    </w:p>
    <w:p w14:paraId="2857F829" w14:textId="77777777" w:rsidR="004C7180" w:rsidRPr="00150EDC" w:rsidRDefault="00CF0754">
      <w:pPr>
        <w:ind w:left="1400"/>
        <w:jc w:val="both"/>
        <w:rPr>
          <w:sz w:val="24"/>
        </w:rPr>
      </w:pPr>
      <w:r w:rsidRPr="007D3144">
        <w:rPr>
          <w:b/>
          <w:sz w:val="24"/>
        </w:rPr>
        <w:t>Commitment</w:t>
      </w:r>
      <w:r w:rsidRPr="007D3144">
        <w:rPr>
          <w:b/>
          <w:spacing w:val="-5"/>
          <w:sz w:val="24"/>
        </w:rPr>
        <w:t xml:space="preserve"> </w:t>
      </w:r>
      <w:r w:rsidRPr="007D3144">
        <w:rPr>
          <w:b/>
          <w:sz w:val="24"/>
        </w:rPr>
        <w:t>4:</w:t>
      </w:r>
      <w:r w:rsidRPr="007D3144">
        <w:rPr>
          <w:b/>
          <w:spacing w:val="-4"/>
          <w:sz w:val="24"/>
        </w:rPr>
        <w:t xml:space="preserve"> </w:t>
      </w:r>
      <w:r w:rsidRPr="007D3144">
        <w:rPr>
          <w:sz w:val="24"/>
        </w:rPr>
        <w:t>Learning</w:t>
      </w:r>
      <w:r w:rsidRPr="007D3144">
        <w:rPr>
          <w:spacing w:val="-2"/>
          <w:sz w:val="24"/>
        </w:rPr>
        <w:t xml:space="preserve"> </w:t>
      </w:r>
      <w:r w:rsidRPr="007D3144">
        <w:rPr>
          <w:sz w:val="24"/>
        </w:rPr>
        <w:t>and</w:t>
      </w:r>
      <w:r w:rsidRPr="007D3144">
        <w:rPr>
          <w:spacing w:val="-2"/>
          <w:sz w:val="24"/>
        </w:rPr>
        <w:t xml:space="preserve"> development</w:t>
      </w:r>
    </w:p>
    <w:p w14:paraId="51D7F2FE" w14:textId="77777777" w:rsidR="004C7180" w:rsidRPr="00150EDC" w:rsidRDefault="00CF0754">
      <w:pPr>
        <w:pStyle w:val="BodyText"/>
        <w:spacing w:before="164"/>
        <w:ind w:left="1400"/>
        <w:jc w:val="both"/>
      </w:pPr>
      <w:r w:rsidRPr="007D3144">
        <w:t>Target:</w:t>
      </w:r>
      <w:r w:rsidRPr="007D3144">
        <w:rPr>
          <w:spacing w:val="-8"/>
        </w:rPr>
        <w:t xml:space="preserve"> </w:t>
      </w:r>
      <w:r w:rsidRPr="00150EDC">
        <w:t>400</w:t>
      </w:r>
      <w:r w:rsidRPr="00150EDC">
        <w:rPr>
          <w:spacing w:val="-3"/>
        </w:rPr>
        <w:t xml:space="preserve"> </w:t>
      </w:r>
      <w:r w:rsidRPr="00150EDC">
        <w:t>people-hours</w:t>
      </w:r>
      <w:r w:rsidRPr="00150EDC">
        <w:rPr>
          <w:spacing w:val="-4"/>
        </w:rPr>
        <w:t xml:space="preserve"> </w:t>
      </w:r>
      <w:r w:rsidRPr="00150EDC">
        <w:t>of</w:t>
      </w:r>
      <w:r w:rsidRPr="00150EDC">
        <w:rPr>
          <w:spacing w:val="-3"/>
        </w:rPr>
        <w:t xml:space="preserve"> </w:t>
      </w:r>
      <w:r w:rsidRPr="00150EDC">
        <w:t>learning</w:t>
      </w:r>
      <w:r w:rsidRPr="00150EDC">
        <w:rPr>
          <w:spacing w:val="-5"/>
        </w:rPr>
        <w:t xml:space="preserve"> </w:t>
      </w:r>
      <w:r w:rsidRPr="00150EDC">
        <w:t>development</w:t>
      </w:r>
      <w:r w:rsidRPr="00150EDC">
        <w:rPr>
          <w:spacing w:val="-3"/>
        </w:rPr>
        <w:t xml:space="preserve"> </w:t>
      </w:r>
      <w:r w:rsidRPr="00150EDC">
        <w:t>achieved</w:t>
      </w:r>
      <w:r w:rsidRPr="00150EDC">
        <w:rPr>
          <w:spacing w:val="-3"/>
        </w:rPr>
        <w:t xml:space="preserve"> </w:t>
      </w:r>
      <w:r w:rsidRPr="00150EDC">
        <w:t>per</w:t>
      </w:r>
      <w:r w:rsidRPr="00150EDC">
        <w:rPr>
          <w:spacing w:val="-4"/>
        </w:rPr>
        <w:t xml:space="preserve"> </w:t>
      </w:r>
      <w:r w:rsidRPr="00150EDC">
        <w:rPr>
          <w:spacing w:val="-2"/>
        </w:rPr>
        <w:t>year.</w:t>
      </w:r>
    </w:p>
    <w:p w14:paraId="6491D9A8" w14:textId="77777777" w:rsidR="004C7180" w:rsidRPr="00150EDC" w:rsidRDefault="00CF0754">
      <w:pPr>
        <w:pStyle w:val="BodyText"/>
        <w:spacing w:before="160" w:line="276" w:lineRule="auto"/>
        <w:ind w:left="1400" w:right="1434"/>
        <w:jc w:val="both"/>
      </w:pPr>
      <w:r w:rsidRPr="007D3144">
        <w:t xml:space="preserve">Method statement: </w:t>
      </w:r>
      <w:r w:rsidRPr="00150EDC">
        <w:t>Line Managers will be supported by Tribal’s Talent Development Partner to implement personalised learning and development programmes with each member of the contract workforce. This will be delivered via a range of channels including LinkedIn Learning, Udemy and FutureLearn using a flexible, blended approach</w:t>
      </w:r>
      <w:r w:rsidRPr="00150EDC">
        <w:rPr>
          <w:spacing w:val="-12"/>
        </w:rPr>
        <w:t xml:space="preserve"> </w:t>
      </w:r>
      <w:r w:rsidRPr="00150EDC">
        <w:t>of</w:t>
      </w:r>
      <w:r w:rsidRPr="00150EDC">
        <w:rPr>
          <w:spacing w:val="-10"/>
        </w:rPr>
        <w:t xml:space="preserve"> </w:t>
      </w:r>
      <w:r w:rsidRPr="00150EDC">
        <w:t>digital</w:t>
      </w:r>
      <w:r w:rsidRPr="00150EDC">
        <w:rPr>
          <w:spacing w:val="-11"/>
        </w:rPr>
        <w:t xml:space="preserve"> </w:t>
      </w:r>
      <w:r w:rsidRPr="00150EDC">
        <w:t>and</w:t>
      </w:r>
      <w:r w:rsidRPr="00150EDC">
        <w:rPr>
          <w:spacing w:val="-12"/>
        </w:rPr>
        <w:t xml:space="preserve"> </w:t>
      </w:r>
      <w:r w:rsidRPr="00150EDC">
        <w:t>in-person</w:t>
      </w:r>
      <w:r w:rsidRPr="00150EDC">
        <w:rPr>
          <w:spacing w:val="-12"/>
        </w:rPr>
        <w:t xml:space="preserve"> </w:t>
      </w:r>
      <w:r w:rsidRPr="00150EDC">
        <w:t>tuition</w:t>
      </w:r>
      <w:r w:rsidRPr="00150EDC">
        <w:rPr>
          <w:spacing w:val="-9"/>
        </w:rPr>
        <w:t xml:space="preserve"> </w:t>
      </w:r>
      <w:r w:rsidRPr="00150EDC">
        <w:t>(5,600</w:t>
      </w:r>
      <w:r w:rsidRPr="00150EDC">
        <w:rPr>
          <w:spacing w:val="-9"/>
        </w:rPr>
        <w:t xml:space="preserve"> </w:t>
      </w:r>
      <w:r w:rsidRPr="00150EDC">
        <w:t>hours</w:t>
      </w:r>
      <w:r w:rsidRPr="00150EDC">
        <w:rPr>
          <w:spacing w:val="-10"/>
        </w:rPr>
        <w:t xml:space="preserve"> </w:t>
      </w:r>
      <w:r w:rsidRPr="00150EDC">
        <w:t>delivered</w:t>
      </w:r>
      <w:r w:rsidRPr="00150EDC">
        <w:rPr>
          <w:spacing w:val="-9"/>
        </w:rPr>
        <w:t xml:space="preserve"> </w:t>
      </w:r>
      <w:r w:rsidRPr="00150EDC">
        <w:t>in</w:t>
      </w:r>
      <w:r w:rsidRPr="00150EDC">
        <w:rPr>
          <w:spacing w:val="-12"/>
        </w:rPr>
        <w:t xml:space="preserve"> </w:t>
      </w:r>
      <w:r w:rsidRPr="00150EDC">
        <w:t>2022).</w:t>
      </w:r>
      <w:r w:rsidRPr="00150EDC">
        <w:rPr>
          <w:spacing w:val="-10"/>
        </w:rPr>
        <w:t xml:space="preserve"> </w:t>
      </w:r>
      <w:r w:rsidRPr="00150EDC">
        <w:t>Topics</w:t>
      </w:r>
      <w:r w:rsidRPr="00150EDC">
        <w:rPr>
          <w:spacing w:val="-10"/>
        </w:rPr>
        <w:t xml:space="preserve"> </w:t>
      </w:r>
      <w:r w:rsidRPr="00150EDC">
        <w:t>range from, e.g. database management to effective communication, directly supporting in- work progression.</w:t>
      </w:r>
    </w:p>
    <w:p w14:paraId="4A57E4A3" w14:textId="77777777" w:rsidR="004C7180" w:rsidRPr="00150EDC" w:rsidRDefault="00CF0754">
      <w:pPr>
        <w:pStyle w:val="BodyText"/>
        <w:spacing w:before="121"/>
        <w:ind w:left="1400"/>
        <w:jc w:val="both"/>
      </w:pPr>
      <w:r w:rsidRPr="007D3144">
        <w:t>Time</w:t>
      </w:r>
      <w:r w:rsidRPr="007D3144">
        <w:rPr>
          <w:spacing w:val="-2"/>
        </w:rPr>
        <w:t xml:space="preserve"> </w:t>
      </w:r>
      <w:r w:rsidRPr="007D3144">
        <w:t>scales:</w:t>
      </w:r>
      <w:r w:rsidRPr="007D3144">
        <w:rPr>
          <w:spacing w:val="-2"/>
        </w:rPr>
        <w:t xml:space="preserve"> </w:t>
      </w:r>
      <w:r w:rsidRPr="00150EDC">
        <w:t>Completed</w:t>
      </w:r>
      <w:r w:rsidRPr="00150EDC">
        <w:rPr>
          <w:spacing w:val="-1"/>
        </w:rPr>
        <w:t xml:space="preserve"> </w:t>
      </w:r>
      <w:r w:rsidRPr="00150EDC">
        <w:t>annually</w:t>
      </w:r>
      <w:r w:rsidRPr="00150EDC">
        <w:rPr>
          <w:spacing w:val="-5"/>
        </w:rPr>
        <w:t xml:space="preserve"> </w:t>
      </w:r>
      <w:r w:rsidRPr="00150EDC">
        <w:t>by</w:t>
      </w:r>
      <w:r w:rsidRPr="00150EDC">
        <w:rPr>
          <w:spacing w:val="-2"/>
        </w:rPr>
        <w:t xml:space="preserve"> </w:t>
      </w:r>
      <w:r w:rsidRPr="00150EDC">
        <w:t>end</w:t>
      </w:r>
      <w:r w:rsidRPr="00150EDC">
        <w:rPr>
          <w:spacing w:val="-4"/>
        </w:rPr>
        <w:t xml:space="preserve"> </w:t>
      </w:r>
      <w:r w:rsidRPr="00150EDC">
        <w:t>of</w:t>
      </w:r>
      <w:r w:rsidRPr="00150EDC">
        <w:rPr>
          <w:spacing w:val="-1"/>
        </w:rPr>
        <w:t xml:space="preserve"> </w:t>
      </w:r>
      <w:r w:rsidRPr="00150EDC">
        <w:rPr>
          <w:spacing w:val="-5"/>
        </w:rPr>
        <w:t>Q4.</w:t>
      </w:r>
    </w:p>
    <w:p w14:paraId="28EB1C8E" w14:textId="77777777" w:rsidR="004C7180" w:rsidRPr="00150EDC" w:rsidRDefault="00CF0754">
      <w:pPr>
        <w:pStyle w:val="BodyText"/>
        <w:spacing w:before="161"/>
        <w:ind w:left="1400"/>
        <w:jc w:val="both"/>
      </w:pPr>
      <w:r w:rsidRPr="007D3144">
        <w:t>Reporting</w:t>
      </w:r>
      <w:r w:rsidRPr="007D3144">
        <w:rPr>
          <w:spacing w:val="-7"/>
        </w:rPr>
        <w:t xml:space="preserve"> </w:t>
      </w:r>
      <w:r w:rsidRPr="007D3144">
        <w:t>metric</w:t>
      </w:r>
      <w:r w:rsidRPr="007D3144">
        <w:rPr>
          <w:b/>
        </w:rPr>
        <w:t>:</w:t>
      </w:r>
      <w:r w:rsidRPr="007D3144">
        <w:rPr>
          <w:b/>
          <w:spacing w:val="-4"/>
        </w:rPr>
        <w:t xml:space="preserve"> </w:t>
      </w:r>
      <w:r w:rsidRPr="00150EDC">
        <w:t>Total</w:t>
      </w:r>
      <w:r w:rsidRPr="00150EDC">
        <w:rPr>
          <w:spacing w:val="-7"/>
        </w:rPr>
        <w:t xml:space="preserve"> </w:t>
      </w:r>
      <w:r w:rsidRPr="00150EDC">
        <w:t>annual</w:t>
      </w:r>
      <w:r w:rsidRPr="00150EDC">
        <w:rPr>
          <w:spacing w:val="-3"/>
        </w:rPr>
        <w:t xml:space="preserve"> </w:t>
      </w:r>
      <w:r w:rsidRPr="00150EDC">
        <w:t>people-hours</w:t>
      </w:r>
      <w:r w:rsidRPr="00150EDC">
        <w:rPr>
          <w:spacing w:val="-4"/>
        </w:rPr>
        <w:t xml:space="preserve"> </w:t>
      </w:r>
      <w:r w:rsidRPr="00150EDC">
        <w:t>of</w:t>
      </w:r>
      <w:r w:rsidRPr="00150EDC">
        <w:rPr>
          <w:spacing w:val="-2"/>
        </w:rPr>
        <w:t xml:space="preserve"> </w:t>
      </w:r>
      <w:r w:rsidRPr="00150EDC">
        <w:t>learning</w:t>
      </w:r>
      <w:r w:rsidRPr="00150EDC">
        <w:rPr>
          <w:spacing w:val="-3"/>
        </w:rPr>
        <w:t xml:space="preserve"> </w:t>
      </w:r>
      <w:r w:rsidRPr="00150EDC">
        <w:t>development</w:t>
      </w:r>
      <w:r w:rsidRPr="00150EDC">
        <w:rPr>
          <w:spacing w:val="-5"/>
        </w:rPr>
        <w:t xml:space="preserve"> </w:t>
      </w:r>
      <w:r w:rsidRPr="00150EDC">
        <w:rPr>
          <w:spacing w:val="-2"/>
        </w:rPr>
        <w:t>achieved.</w:t>
      </w:r>
    </w:p>
    <w:p w14:paraId="5EB3372B" w14:textId="77777777" w:rsidR="004C7180" w:rsidRPr="00150EDC" w:rsidRDefault="004C7180">
      <w:pPr>
        <w:pStyle w:val="BodyText"/>
        <w:spacing w:before="10"/>
        <w:rPr>
          <w:sz w:val="34"/>
        </w:rPr>
      </w:pPr>
    </w:p>
    <w:p w14:paraId="1C5866AF" w14:textId="77777777" w:rsidR="004C7180" w:rsidRPr="00150EDC" w:rsidRDefault="00CF0754">
      <w:pPr>
        <w:ind w:left="1400"/>
        <w:jc w:val="both"/>
        <w:rPr>
          <w:b/>
          <w:sz w:val="24"/>
        </w:rPr>
      </w:pPr>
      <w:bookmarkStart w:id="35" w:name="Monitoring_and_reporting"/>
      <w:bookmarkEnd w:id="35"/>
      <w:r w:rsidRPr="007D3144">
        <w:rPr>
          <w:b/>
          <w:sz w:val="24"/>
        </w:rPr>
        <w:t>Monitoring</w:t>
      </w:r>
      <w:r w:rsidRPr="007D3144">
        <w:rPr>
          <w:b/>
          <w:spacing w:val="-4"/>
          <w:sz w:val="24"/>
        </w:rPr>
        <w:t xml:space="preserve"> </w:t>
      </w:r>
      <w:r w:rsidRPr="007D3144">
        <w:rPr>
          <w:b/>
          <w:sz w:val="24"/>
        </w:rPr>
        <w:t>and</w:t>
      </w:r>
      <w:r w:rsidRPr="007D3144">
        <w:rPr>
          <w:b/>
          <w:spacing w:val="-3"/>
          <w:sz w:val="24"/>
        </w:rPr>
        <w:t xml:space="preserve"> </w:t>
      </w:r>
      <w:r w:rsidRPr="007D3144">
        <w:rPr>
          <w:b/>
          <w:spacing w:val="-2"/>
          <w:sz w:val="24"/>
        </w:rPr>
        <w:t>reporting</w:t>
      </w:r>
    </w:p>
    <w:p w14:paraId="0667F6EF" w14:textId="77777777" w:rsidR="004C7180" w:rsidRPr="00150EDC" w:rsidRDefault="004C7180">
      <w:pPr>
        <w:pStyle w:val="BodyText"/>
        <w:spacing w:before="5"/>
        <w:rPr>
          <w:b/>
        </w:rPr>
      </w:pPr>
    </w:p>
    <w:p w14:paraId="5D78DA82" w14:textId="77777777" w:rsidR="004C7180" w:rsidRPr="00150EDC" w:rsidRDefault="00CF0754">
      <w:pPr>
        <w:pStyle w:val="BodyText"/>
        <w:spacing w:line="276" w:lineRule="auto"/>
        <w:ind w:left="1400" w:right="1435"/>
        <w:jc w:val="both"/>
      </w:pPr>
      <w:r w:rsidRPr="007D3144">
        <w:t>The commitments above will be incorporated into a time-bound social value action plan</w:t>
      </w:r>
      <w:r w:rsidRPr="007D3144">
        <w:rPr>
          <w:spacing w:val="-11"/>
        </w:rPr>
        <w:t xml:space="preserve"> </w:t>
      </w:r>
      <w:r w:rsidRPr="007D3144">
        <w:t>with</w:t>
      </w:r>
      <w:r w:rsidRPr="007D3144">
        <w:rPr>
          <w:spacing w:val="-13"/>
        </w:rPr>
        <w:t xml:space="preserve"> </w:t>
      </w:r>
      <w:r w:rsidRPr="007D3144">
        <w:t>progress</w:t>
      </w:r>
      <w:r w:rsidRPr="007D3144">
        <w:rPr>
          <w:spacing w:val="-14"/>
        </w:rPr>
        <w:t xml:space="preserve"> </w:t>
      </w:r>
      <w:r w:rsidRPr="007D3144">
        <w:t>monitored</w:t>
      </w:r>
      <w:r w:rsidRPr="007D3144">
        <w:rPr>
          <w:spacing w:val="-13"/>
        </w:rPr>
        <w:t xml:space="preserve"> </w:t>
      </w:r>
      <w:r w:rsidRPr="007D3144">
        <w:t>by</w:t>
      </w:r>
      <w:r w:rsidRPr="007D3144">
        <w:rPr>
          <w:spacing w:val="-14"/>
        </w:rPr>
        <w:t xml:space="preserve"> </w:t>
      </w:r>
      <w:r w:rsidRPr="007D3144">
        <w:t>the</w:t>
      </w:r>
      <w:r w:rsidRPr="007D3144">
        <w:rPr>
          <w:spacing w:val="-13"/>
        </w:rPr>
        <w:t xml:space="preserve"> </w:t>
      </w:r>
      <w:r w:rsidRPr="007D3144">
        <w:t>Project</w:t>
      </w:r>
      <w:r w:rsidRPr="007D3144">
        <w:rPr>
          <w:spacing w:val="-11"/>
        </w:rPr>
        <w:t xml:space="preserve"> </w:t>
      </w:r>
      <w:r w:rsidRPr="007D3144">
        <w:t>Manager</w:t>
      </w:r>
      <w:r w:rsidRPr="007D3144">
        <w:rPr>
          <w:spacing w:val="-15"/>
        </w:rPr>
        <w:t xml:space="preserve"> </w:t>
      </w:r>
      <w:r w:rsidRPr="007D3144">
        <w:t>and</w:t>
      </w:r>
      <w:r w:rsidRPr="007D3144">
        <w:rPr>
          <w:spacing w:val="-13"/>
        </w:rPr>
        <w:t xml:space="preserve"> </w:t>
      </w:r>
      <w:r w:rsidRPr="007D3144">
        <w:t>reported</w:t>
      </w:r>
      <w:r w:rsidRPr="007D3144">
        <w:rPr>
          <w:spacing w:val="-15"/>
        </w:rPr>
        <w:t xml:space="preserve"> </w:t>
      </w:r>
      <w:r w:rsidRPr="007D3144">
        <w:t>monthly</w:t>
      </w:r>
      <w:r w:rsidRPr="007D3144">
        <w:rPr>
          <w:spacing w:val="-14"/>
        </w:rPr>
        <w:t xml:space="preserve"> </w:t>
      </w:r>
      <w:r w:rsidRPr="007D3144">
        <w:t>at</w:t>
      </w:r>
      <w:r w:rsidRPr="007D3144">
        <w:rPr>
          <w:spacing w:val="-13"/>
        </w:rPr>
        <w:t xml:space="preserve"> </w:t>
      </w:r>
      <w:r w:rsidRPr="007D3144">
        <w:t>contract management meetings to ensure commitments are fully met. Quarterly reports using the metrics detailed above will be compiled and submitted to the DfE in an agreed format, together with evidence, e.g. a copy of the apprentice’s training diary.</w:t>
      </w:r>
    </w:p>
    <w:p w14:paraId="00638319" w14:textId="77777777" w:rsidR="004C7180" w:rsidRPr="00150EDC" w:rsidRDefault="004C7180">
      <w:pPr>
        <w:spacing w:line="276" w:lineRule="auto"/>
        <w:jc w:val="both"/>
        <w:sectPr w:rsidR="004C7180" w:rsidRPr="00150EDC">
          <w:pgSz w:w="11910" w:h="16840"/>
          <w:pgMar w:top="1460" w:right="0" w:bottom="1420" w:left="40" w:header="712" w:footer="1224" w:gutter="0"/>
          <w:cols w:space="720"/>
        </w:sectPr>
      </w:pPr>
    </w:p>
    <w:p w14:paraId="04A90FB5" w14:textId="77777777" w:rsidR="004C7180" w:rsidRPr="00150EDC" w:rsidRDefault="004C7180">
      <w:pPr>
        <w:pStyle w:val="BodyText"/>
        <w:spacing w:before="4"/>
        <w:rPr>
          <w:sz w:val="18"/>
        </w:rPr>
      </w:pPr>
    </w:p>
    <w:p w14:paraId="64CC3A04" w14:textId="77777777" w:rsidR="004C7180" w:rsidRPr="00150EDC" w:rsidRDefault="00CF0754">
      <w:pPr>
        <w:spacing w:before="93"/>
        <w:ind w:left="1400"/>
        <w:rPr>
          <w:b/>
          <w:sz w:val="24"/>
        </w:rPr>
      </w:pPr>
      <w:bookmarkStart w:id="36" w:name="Influencing"/>
      <w:bookmarkEnd w:id="36"/>
      <w:r w:rsidRPr="007D3144">
        <w:rPr>
          <w:b/>
          <w:spacing w:val="-2"/>
          <w:sz w:val="24"/>
        </w:rPr>
        <w:t>Influencing</w:t>
      </w:r>
    </w:p>
    <w:p w14:paraId="09DA9A90" w14:textId="77777777" w:rsidR="004C7180" w:rsidRPr="00150EDC" w:rsidRDefault="004C7180">
      <w:pPr>
        <w:pStyle w:val="BodyText"/>
        <w:spacing w:before="4"/>
        <w:rPr>
          <w:b/>
        </w:rPr>
      </w:pPr>
    </w:p>
    <w:p w14:paraId="22683140" w14:textId="77777777" w:rsidR="004C7180" w:rsidRPr="00150EDC" w:rsidRDefault="00CF0754">
      <w:pPr>
        <w:pStyle w:val="BodyText"/>
        <w:spacing w:line="276" w:lineRule="auto"/>
        <w:ind w:left="1400" w:right="1434"/>
        <w:jc w:val="both"/>
      </w:pPr>
      <w:r w:rsidRPr="00150EDC">
        <w:t>Through our contract delivery, we will influence staff, suppliers, customers and communities to support the policy outcome through:</w:t>
      </w:r>
    </w:p>
    <w:p w14:paraId="12361ACD" w14:textId="77777777" w:rsidR="004C7180" w:rsidRPr="00150EDC" w:rsidRDefault="00CF0754" w:rsidP="00B320C7">
      <w:pPr>
        <w:pStyle w:val="ListParagraph"/>
        <w:numPr>
          <w:ilvl w:val="0"/>
          <w:numId w:val="52"/>
        </w:numPr>
        <w:tabs>
          <w:tab w:val="left" w:pos="2120"/>
        </w:tabs>
        <w:spacing w:before="120" w:line="276" w:lineRule="auto"/>
        <w:ind w:right="1433"/>
        <w:jc w:val="both"/>
        <w:rPr>
          <w:rFonts w:ascii="Symbol" w:hAnsi="Symbol"/>
          <w:sz w:val="24"/>
        </w:rPr>
      </w:pPr>
      <w:r w:rsidRPr="00150EDC">
        <w:rPr>
          <w:sz w:val="24"/>
        </w:rPr>
        <w:t>Annual appraisals, six-monthly reviews and monthly team talks with the contract workforce, where we will promote opportunities for continuous learning, and also issue quarterly surveys to identify additional training needs we can build into our learning resources.</w:t>
      </w:r>
    </w:p>
    <w:p w14:paraId="40AEE6F1" w14:textId="77777777" w:rsidR="004C7180" w:rsidRPr="00150EDC" w:rsidRDefault="00CF0754" w:rsidP="00B320C7">
      <w:pPr>
        <w:pStyle w:val="ListParagraph"/>
        <w:numPr>
          <w:ilvl w:val="0"/>
          <w:numId w:val="52"/>
        </w:numPr>
        <w:tabs>
          <w:tab w:val="left" w:pos="2120"/>
        </w:tabs>
        <w:spacing w:line="276" w:lineRule="auto"/>
        <w:ind w:right="1433"/>
        <w:jc w:val="both"/>
        <w:rPr>
          <w:rFonts w:ascii="Symbol" w:hAnsi="Symbol"/>
          <w:sz w:val="24"/>
        </w:rPr>
      </w:pPr>
      <w:r w:rsidRPr="00150EDC">
        <w:rPr>
          <w:sz w:val="24"/>
        </w:rPr>
        <w:t>Sharing examples of employment and training best practice through our supplier communications. For example, this will include sharing copies of our recruitment</w:t>
      </w:r>
      <w:r w:rsidRPr="00150EDC">
        <w:rPr>
          <w:spacing w:val="-17"/>
          <w:sz w:val="24"/>
        </w:rPr>
        <w:t xml:space="preserve"> </w:t>
      </w:r>
      <w:r w:rsidRPr="00150EDC">
        <w:rPr>
          <w:sz w:val="24"/>
        </w:rPr>
        <w:t>charter,</w:t>
      </w:r>
      <w:r w:rsidRPr="00150EDC">
        <w:rPr>
          <w:spacing w:val="-17"/>
          <w:sz w:val="24"/>
        </w:rPr>
        <w:t xml:space="preserve"> </w:t>
      </w:r>
      <w:r w:rsidRPr="00150EDC">
        <w:rPr>
          <w:sz w:val="24"/>
        </w:rPr>
        <w:t>fair</w:t>
      </w:r>
      <w:r w:rsidRPr="00150EDC">
        <w:rPr>
          <w:spacing w:val="-16"/>
          <w:sz w:val="24"/>
        </w:rPr>
        <w:t xml:space="preserve"> </w:t>
      </w:r>
      <w:r w:rsidRPr="00150EDC">
        <w:rPr>
          <w:sz w:val="24"/>
        </w:rPr>
        <w:t>recruitment</w:t>
      </w:r>
      <w:r w:rsidRPr="00150EDC">
        <w:rPr>
          <w:spacing w:val="-17"/>
          <w:sz w:val="24"/>
        </w:rPr>
        <w:t xml:space="preserve"> </w:t>
      </w:r>
      <w:r w:rsidRPr="00150EDC">
        <w:rPr>
          <w:sz w:val="24"/>
        </w:rPr>
        <w:t>practices</w:t>
      </w:r>
      <w:r w:rsidRPr="00150EDC">
        <w:rPr>
          <w:spacing w:val="-17"/>
          <w:sz w:val="24"/>
        </w:rPr>
        <w:t xml:space="preserve"> </w:t>
      </w:r>
      <w:r w:rsidRPr="00150EDC">
        <w:rPr>
          <w:sz w:val="24"/>
        </w:rPr>
        <w:t>(blind</w:t>
      </w:r>
      <w:r w:rsidRPr="00150EDC">
        <w:rPr>
          <w:spacing w:val="-17"/>
          <w:sz w:val="24"/>
        </w:rPr>
        <w:t xml:space="preserve"> </w:t>
      </w:r>
      <w:r w:rsidRPr="00150EDC">
        <w:rPr>
          <w:sz w:val="24"/>
        </w:rPr>
        <w:t>CV</w:t>
      </w:r>
      <w:r w:rsidRPr="00150EDC">
        <w:rPr>
          <w:spacing w:val="-16"/>
          <w:sz w:val="24"/>
        </w:rPr>
        <w:t xml:space="preserve"> </w:t>
      </w:r>
      <w:r w:rsidRPr="00150EDC">
        <w:rPr>
          <w:sz w:val="24"/>
        </w:rPr>
        <w:t>sifting,</w:t>
      </w:r>
      <w:r w:rsidRPr="00150EDC">
        <w:rPr>
          <w:spacing w:val="-17"/>
          <w:sz w:val="24"/>
        </w:rPr>
        <w:t xml:space="preserve"> </w:t>
      </w:r>
      <w:r w:rsidRPr="00150EDC">
        <w:rPr>
          <w:sz w:val="24"/>
        </w:rPr>
        <w:t>gender</w:t>
      </w:r>
      <w:r w:rsidRPr="00150EDC">
        <w:rPr>
          <w:spacing w:val="-17"/>
          <w:sz w:val="24"/>
        </w:rPr>
        <w:t xml:space="preserve"> </w:t>
      </w:r>
      <w:r w:rsidRPr="00150EDC">
        <w:rPr>
          <w:sz w:val="24"/>
        </w:rPr>
        <w:t>balanced shortlisting, gender balanced panels) with managers within further education and</w:t>
      </w:r>
      <w:r w:rsidRPr="00150EDC">
        <w:rPr>
          <w:spacing w:val="-12"/>
          <w:sz w:val="24"/>
        </w:rPr>
        <w:t xml:space="preserve"> </w:t>
      </w:r>
      <w:r w:rsidRPr="00150EDC">
        <w:rPr>
          <w:sz w:val="24"/>
        </w:rPr>
        <w:t>adult</w:t>
      </w:r>
      <w:r w:rsidRPr="00150EDC">
        <w:rPr>
          <w:spacing w:val="-10"/>
          <w:sz w:val="24"/>
        </w:rPr>
        <w:t xml:space="preserve"> </w:t>
      </w:r>
      <w:r w:rsidRPr="00150EDC">
        <w:rPr>
          <w:sz w:val="24"/>
        </w:rPr>
        <w:t>education</w:t>
      </w:r>
      <w:r w:rsidRPr="00150EDC">
        <w:rPr>
          <w:spacing w:val="-9"/>
          <w:sz w:val="24"/>
        </w:rPr>
        <w:t xml:space="preserve"> </w:t>
      </w:r>
      <w:r w:rsidRPr="00150EDC">
        <w:rPr>
          <w:sz w:val="24"/>
        </w:rPr>
        <w:t>colleges</w:t>
      </w:r>
      <w:r w:rsidRPr="00150EDC">
        <w:rPr>
          <w:spacing w:val="-10"/>
          <w:sz w:val="24"/>
        </w:rPr>
        <w:t xml:space="preserve"> </w:t>
      </w:r>
      <w:r w:rsidRPr="00150EDC">
        <w:rPr>
          <w:sz w:val="24"/>
        </w:rPr>
        <w:t>we</w:t>
      </w:r>
      <w:r w:rsidRPr="00150EDC">
        <w:rPr>
          <w:spacing w:val="-12"/>
          <w:sz w:val="24"/>
        </w:rPr>
        <w:t xml:space="preserve"> </w:t>
      </w:r>
      <w:r w:rsidRPr="00150EDC">
        <w:rPr>
          <w:sz w:val="24"/>
        </w:rPr>
        <w:t>work</w:t>
      </w:r>
      <w:r w:rsidRPr="00150EDC">
        <w:rPr>
          <w:spacing w:val="-10"/>
          <w:sz w:val="24"/>
        </w:rPr>
        <w:t xml:space="preserve"> </w:t>
      </w:r>
      <w:r w:rsidRPr="00150EDC">
        <w:rPr>
          <w:sz w:val="24"/>
        </w:rPr>
        <w:t>with,</w:t>
      </w:r>
      <w:r w:rsidRPr="00150EDC">
        <w:rPr>
          <w:spacing w:val="-12"/>
          <w:sz w:val="24"/>
        </w:rPr>
        <w:t xml:space="preserve"> </w:t>
      </w:r>
      <w:r w:rsidRPr="00150EDC">
        <w:rPr>
          <w:sz w:val="24"/>
        </w:rPr>
        <w:t>and</w:t>
      </w:r>
      <w:r w:rsidRPr="00150EDC">
        <w:rPr>
          <w:spacing w:val="-9"/>
          <w:sz w:val="24"/>
        </w:rPr>
        <w:t xml:space="preserve"> </w:t>
      </w:r>
      <w:r w:rsidRPr="00150EDC">
        <w:rPr>
          <w:sz w:val="24"/>
        </w:rPr>
        <w:t>also</w:t>
      </w:r>
      <w:r w:rsidRPr="00150EDC">
        <w:rPr>
          <w:spacing w:val="-12"/>
          <w:sz w:val="24"/>
        </w:rPr>
        <w:t xml:space="preserve"> </w:t>
      </w:r>
      <w:r w:rsidRPr="00150EDC">
        <w:rPr>
          <w:sz w:val="24"/>
        </w:rPr>
        <w:t>advertising</w:t>
      </w:r>
      <w:r w:rsidRPr="00150EDC">
        <w:rPr>
          <w:spacing w:val="-9"/>
          <w:sz w:val="24"/>
        </w:rPr>
        <w:t xml:space="preserve"> </w:t>
      </w:r>
      <w:r w:rsidRPr="00150EDC">
        <w:rPr>
          <w:sz w:val="24"/>
        </w:rPr>
        <w:t>apprenticeship and T Level training placements with suppliers.</w:t>
      </w:r>
    </w:p>
    <w:p w14:paraId="10DE756F" w14:textId="77777777" w:rsidR="004C7180" w:rsidRPr="00150EDC" w:rsidRDefault="00CF0754" w:rsidP="00B320C7">
      <w:pPr>
        <w:pStyle w:val="ListParagraph"/>
        <w:numPr>
          <w:ilvl w:val="0"/>
          <w:numId w:val="52"/>
        </w:numPr>
        <w:tabs>
          <w:tab w:val="left" w:pos="2120"/>
        </w:tabs>
        <w:spacing w:line="273" w:lineRule="auto"/>
        <w:ind w:right="1434"/>
        <w:jc w:val="both"/>
        <w:rPr>
          <w:rFonts w:ascii="Symbol" w:hAnsi="Symbol"/>
          <w:sz w:val="24"/>
        </w:rPr>
      </w:pPr>
      <w:r w:rsidRPr="00150EDC">
        <w:rPr>
          <w:sz w:val="24"/>
        </w:rPr>
        <w:t>Developing case studies, for example, on apprenticeships and T Level placements</w:t>
      </w:r>
      <w:r w:rsidRPr="00150EDC">
        <w:rPr>
          <w:spacing w:val="-10"/>
          <w:sz w:val="24"/>
        </w:rPr>
        <w:t xml:space="preserve"> </w:t>
      </w:r>
      <w:r w:rsidRPr="00150EDC">
        <w:rPr>
          <w:sz w:val="24"/>
        </w:rPr>
        <w:t>which</w:t>
      </w:r>
      <w:r w:rsidRPr="00150EDC">
        <w:rPr>
          <w:spacing w:val="-12"/>
          <w:sz w:val="24"/>
        </w:rPr>
        <w:t xml:space="preserve"> </w:t>
      </w:r>
      <w:r w:rsidRPr="00150EDC">
        <w:rPr>
          <w:sz w:val="24"/>
        </w:rPr>
        <w:t>will</w:t>
      </w:r>
      <w:r w:rsidRPr="00150EDC">
        <w:rPr>
          <w:spacing w:val="-11"/>
          <w:sz w:val="24"/>
        </w:rPr>
        <w:t xml:space="preserve"> </w:t>
      </w:r>
      <w:r w:rsidRPr="00150EDC">
        <w:rPr>
          <w:sz w:val="24"/>
        </w:rPr>
        <w:t>be</w:t>
      </w:r>
      <w:r w:rsidRPr="00150EDC">
        <w:rPr>
          <w:spacing w:val="-9"/>
          <w:sz w:val="24"/>
        </w:rPr>
        <w:t xml:space="preserve"> </w:t>
      </w:r>
      <w:r w:rsidRPr="00150EDC">
        <w:rPr>
          <w:sz w:val="24"/>
        </w:rPr>
        <w:t>shared</w:t>
      </w:r>
      <w:r w:rsidRPr="00150EDC">
        <w:rPr>
          <w:spacing w:val="-12"/>
          <w:sz w:val="24"/>
        </w:rPr>
        <w:t xml:space="preserve"> </w:t>
      </w:r>
      <w:r w:rsidRPr="00150EDC">
        <w:rPr>
          <w:sz w:val="24"/>
        </w:rPr>
        <w:t>via</w:t>
      </w:r>
      <w:r w:rsidRPr="00150EDC">
        <w:rPr>
          <w:spacing w:val="-12"/>
          <w:sz w:val="24"/>
        </w:rPr>
        <w:t xml:space="preserve"> </w:t>
      </w:r>
      <w:r w:rsidRPr="00150EDC">
        <w:rPr>
          <w:sz w:val="24"/>
        </w:rPr>
        <w:t>newsletters,</w:t>
      </w:r>
      <w:r w:rsidRPr="00150EDC">
        <w:rPr>
          <w:spacing w:val="-10"/>
          <w:sz w:val="24"/>
        </w:rPr>
        <w:t xml:space="preserve"> </w:t>
      </w:r>
      <w:r w:rsidRPr="00150EDC">
        <w:rPr>
          <w:sz w:val="24"/>
        </w:rPr>
        <w:t>our</w:t>
      </w:r>
      <w:r w:rsidRPr="00150EDC">
        <w:rPr>
          <w:spacing w:val="-13"/>
          <w:sz w:val="24"/>
        </w:rPr>
        <w:t xml:space="preserve"> </w:t>
      </w:r>
      <w:r w:rsidRPr="00150EDC">
        <w:rPr>
          <w:sz w:val="24"/>
        </w:rPr>
        <w:t>website</w:t>
      </w:r>
      <w:r w:rsidRPr="00150EDC">
        <w:rPr>
          <w:spacing w:val="-9"/>
          <w:sz w:val="24"/>
        </w:rPr>
        <w:t xml:space="preserve"> </w:t>
      </w:r>
      <w:r w:rsidRPr="00150EDC">
        <w:rPr>
          <w:sz w:val="24"/>
        </w:rPr>
        <w:t>and</w:t>
      </w:r>
      <w:r w:rsidRPr="00150EDC">
        <w:rPr>
          <w:spacing w:val="-9"/>
          <w:sz w:val="24"/>
        </w:rPr>
        <w:t xml:space="preserve"> </w:t>
      </w:r>
      <w:r w:rsidRPr="00150EDC">
        <w:rPr>
          <w:sz w:val="24"/>
        </w:rPr>
        <w:t>social</w:t>
      </w:r>
      <w:r w:rsidRPr="00150EDC">
        <w:rPr>
          <w:spacing w:val="-11"/>
          <w:sz w:val="24"/>
        </w:rPr>
        <w:t xml:space="preserve"> </w:t>
      </w:r>
      <w:r w:rsidRPr="00150EDC">
        <w:rPr>
          <w:sz w:val="24"/>
        </w:rPr>
        <w:t>media, promoting engagement with the wider community.</w:t>
      </w:r>
    </w:p>
    <w:p w14:paraId="414BDA8C" w14:textId="77777777" w:rsidR="004C7180" w:rsidRPr="00150EDC" w:rsidRDefault="00CF0754">
      <w:pPr>
        <w:pStyle w:val="BodyText"/>
        <w:spacing w:line="276" w:lineRule="auto"/>
        <w:ind w:left="1400" w:right="1433"/>
        <w:jc w:val="both"/>
      </w:pPr>
      <w:r w:rsidRPr="00150EDC">
        <w:t>In addition, attendance at industry events where we are promoting the work of the Multiply</w:t>
      </w:r>
      <w:r w:rsidRPr="00150EDC">
        <w:rPr>
          <w:spacing w:val="-3"/>
        </w:rPr>
        <w:t xml:space="preserve"> </w:t>
      </w:r>
      <w:r w:rsidRPr="00150EDC">
        <w:t>randomised</w:t>
      </w:r>
      <w:r w:rsidRPr="00150EDC">
        <w:rPr>
          <w:spacing w:val="-2"/>
        </w:rPr>
        <w:t xml:space="preserve"> </w:t>
      </w:r>
      <w:r w:rsidRPr="00150EDC">
        <w:t>controlled</w:t>
      </w:r>
      <w:r w:rsidRPr="00150EDC">
        <w:rPr>
          <w:spacing w:val="-2"/>
        </w:rPr>
        <w:t xml:space="preserve"> </w:t>
      </w:r>
      <w:r w:rsidRPr="00150EDC">
        <w:t>trials</w:t>
      </w:r>
      <w:r w:rsidRPr="00150EDC">
        <w:rPr>
          <w:spacing w:val="-3"/>
        </w:rPr>
        <w:t xml:space="preserve"> </w:t>
      </w:r>
      <w:r w:rsidRPr="00150EDC">
        <w:t>(RCTs)</w:t>
      </w:r>
      <w:r w:rsidRPr="00150EDC">
        <w:rPr>
          <w:spacing w:val="-4"/>
        </w:rPr>
        <w:t xml:space="preserve"> </w:t>
      </w:r>
      <w:r w:rsidRPr="00150EDC">
        <w:t>will</w:t>
      </w:r>
      <w:r w:rsidRPr="00150EDC">
        <w:rPr>
          <w:spacing w:val="-3"/>
        </w:rPr>
        <w:t xml:space="preserve"> </w:t>
      </w:r>
      <w:r w:rsidRPr="00150EDC">
        <w:t>be</w:t>
      </w:r>
      <w:r w:rsidRPr="00150EDC">
        <w:rPr>
          <w:spacing w:val="-2"/>
        </w:rPr>
        <w:t xml:space="preserve"> </w:t>
      </w:r>
      <w:r w:rsidRPr="00150EDC">
        <w:t>used</w:t>
      </w:r>
      <w:r w:rsidRPr="00150EDC">
        <w:rPr>
          <w:spacing w:val="-2"/>
        </w:rPr>
        <w:t xml:space="preserve"> </w:t>
      </w:r>
      <w:r w:rsidRPr="00150EDC">
        <w:t>to</w:t>
      </w:r>
      <w:r w:rsidRPr="00150EDC">
        <w:rPr>
          <w:spacing w:val="-2"/>
        </w:rPr>
        <w:t xml:space="preserve"> </w:t>
      </w:r>
      <w:r w:rsidRPr="00150EDC">
        <w:t>highlight</w:t>
      </w:r>
      <w:r w:rsidRPr="00150EDC">
        <w:rPr>
          <w:spacing w:val="-2"/>
        </w:rPr>
        <w:t xml:space="preserve"> </w:t>
      </w:r>
      <w:r w:rsidRPr="00150EDC">
        <w:t>the</w:t>
      </w:r>
      <w:r w:rsidRPr="00150EDC">
        <w:rPr>
          <w:spacing w:val="-2"/>
        </w:rPr>
        <w:t xml:space="preserve"> </w:t>
      </w:r>
      <w:r w:rsidRPr="00150EDC">
        <w:t>added</w:t>
      </w:r>
      <w:r w:rsidRPr="00150EDC">
        <w:rPr>
          <w:spacing w:val="-2"/>
        </w:rPr>
        <w:t xml:space="preserve"> </w:t>
      </w:r>
      <w:r w:rsidRPr="00150EDC">
        <w:t>social value benefits being delivered.</w:t>
      </w:r>
    </w:p>
    <w:p w14:paraId="160C01AE" w14:textId="77777777" w:rsidR="004C7180" w:rsidRPr="00150EDC" w:rsidRDefault="004C7180">
      <w:pPr>
        <w:spacing w:line="276" w:lineRule="auto"/>
        <w:jc w:val="both"/>
        <w:sectPr w:rsidR="004C7180" w:rsidRPr="00150EDC">
          <w:pgSz w:w="11910" w:h="16840"/>
          <w:pgMar w:top="1460" w:right="0" w:bottom="1420" w:left="40" w:header="712" w:footer="1224" w:gutter="0"/>
          <w:cols w:space="720"/>
        </w:sectPr>
      </w:pPr>
    </w:p>
    <w:p w14:paraId="65A93B5D" w14:textId="77777777" w:rsidR="004C7180" w:rsidRPr="00150EDC" w:rsidRDefault="004C7180">
      <w:pPr>
        <w:pStyle w:val="BodyText"/>
        <w:spacing w:before="4"/>
        <w:rPr>
          <w:sz w:val="17"/>
        </w:rPr>
      </w:pPr>
    </w:p>
    <w:p w14:paraId="28573FBE" w14:textId="77777777" w:rsidR="004C7180" w:rsidRPr="00150EDC" w:rsidRDefault="004C7180">
      <w:pPr>
        <w:rPr>
          <w:sz w:val="17"/>
        </w:rPr>
        <w:sectPr w:rsidR="004C7180" w:rsidRPr="00150EDC">
          <w:pgSz w:w="11910" w:h="16840"/>
          <w:pgMar w:top="1460" w:right="0" w:bottom="1420" w:left="40" w:header="712" w:footer="1224" w:gutter="0"/>
          <w:cols w:space="720"/>
        </w:sectPr>
      </w:pPr>
    </w:p>
    <w:p w14:paraId="36353783" w14:textId="4F2F78DA" w:rsidR="004C7180" w:rsidRPr="00150EDC" w:rsidRDefault="004C7180">
      <w:pPr>
        <w:pStyle w:val="BodyText"/>
        <w:spacing w:before="10"/>
        <w:rPr>
          <w:sz w:val="9"/>
        </w:rPr>
      </w:pPr>
    </w:p>
    <w:p w14:paraId="329F6E1D" w14:textId="77777777" w:rsidR="004C7180" w:rsidRPr="00150EDC" w:rsidRDefault="00CF0754">
      <w:pPr>
        <w:pStyle w:val="Heading3"/>
        <w:spacing w:line="259" w:lineRule="auto"/>
        <w:ind w:right="4072"/>
      </w:pPr>
      <w:bookmarkStart w:id="37" w:name="Binder8.pdf"/>
      <w:bookmarkStart w:id="38" w:name="DPS_Schedule_6_-_Order_form_template_and"/>
      <w:bookmarkEnd w:id="37"/>
      <w:bookmarkEnd w:id="38"/>
      <w:r w:rsidRPr="00150EDC">
        <w:t>DPS</w:t>
      </w:r>
      <w:r w:rsidRPr="00150EDC">
        <w:rPr>
          <w:spacing w:val="-1"/>
        </w:rPr>
        <w:t xml:space="preserve"> </w:t>
      </w:r>
      <w:r w:rsidRPr="00150EDC">
        <w:t>Schedule</w:t>
      </w:r>
      <w:r w:rsidRPr="00150EDC">
        <w:rPr>
          <w:spacing w:val="-1"/>
        </w:rPr>
        <w:t xml:space="preserve"> </w:t>
      </w:r>
      <w:r w:rsidRPr="00150EDC">
        <w:t>6</w:t>
      </w:r>
      <w:r w:rsidRPr="00150EDC">
        <w:rPr>
          <w:spacing w:val="-1"/>
        </w:rPr>
        <w:t xml:space="preserve"> </w:t>
      </w:r>
      <w:r w:rsidRPr="00150EDC">
        <w:t>(Order</w:t>
      </w:r>
      <w:r w:rsidRPr="00150EDC">
        <w:rPr>
          <w:spacing w:val="-1"/>
        </w:rPr>
        <w:t xml:space="preserve"> </w:t>
      </w:r>
      <w:r w:rsidRPr="00150EDC">
        <w:t>Form</w:t>
      </w:r>
      <w:r w:rsidRPr="00150EDC">
        <w:rPr>
          <w:spacing w:val="-1"/>
        </w:rPr>
        <w:t xml:space="preserve"> </w:t>
      </w:r>
      <w:r w:rsidRPr="00150EDC">
        <w:t>Template</w:t>
      </w:r>
      <w:r w:rsidRPr="00150EDC">
        <w:rPr>
          <w:spacing w:val="-1"/>
        </w:rPr>
        <w:t xml:space="preserve"> </w:t>
      </w:r>
      <w:r w:rsidRPr="00150EDC">
        <w:t xml:space="preserve">and Order </w:t>
      </w:r>
      <w:r w:rsidRPr="00150EDC">
        <w:rPr>
          <w:spacing w:val="-2"/>
        </w:rPr>
        <w:t>Schedules)</w:t>
      </w:r>
    </w:p>
    <w:p w14:paraId="295019FD" w14:textId="77777777" w:rsidR="004C7180" w:rsidRPr="00150EDC" w:rsidRDefault="004C7180">
      <w:pPr>
        <w:pStyle w:val="BodyText"/>
        <w:spacing w:before="4"/>
        <w:rPr>
          <w:b/>
          <w:sz w:val="29"/>
        </w:rPr>
      </w:pPr>
    </w:p>
    <w:p w14:paraId="0101D562" w14:textId="77777777" w:rsidR="004C7180" w:rsidRPr="00150EDC" w:rsidRDefault="00CF0754">
      <w:pPr>
        <w:spacing w:before="1"/>
        <w:ind w:left="1044"/>
        <w:rPr>
          <w:b/>
          <w:sz w:val="27"/>
        </w:rPr>
      </w:pPr>
      <w:r w:rsidRPr="00150EDC">
        <w:rPr>
          <w:b/>
          <w:sz w:val="27"/>
        </w:rPr>
        <w:t>Order</w:t>
      </w:r>
      <w:r w:rsidRPr="00150EDC">
        <w:rPr>
          <w:b/>
          <w:spacing w:val="-2"/>
          <w:sz w:val="27"/>
        </w:rPr>
        <w:t xml:space="preserve"> </w:t>
      </w:r>
      <w:r w:rsidRPr="00150EDC">
        <w:rPr>
          <w:b/>
          <w:spacing w:val="-4"/>
          <w:sz w:val="27"/>
        </w:rPr>
        <w:t>Form</w:t>
      </w:r>
    </w:p>
    <w:p w14:paraId="3E63B53E" w14:textId="77777777" w:rsidR="004C7180" w:rsidRPr="00150EDC" w:rsidRDefault="004C7180">
      <w:pPr>
        <w:pStyle w:val="BodyText"/>
        <w:spacing w:before="3"/>
        <w:rPr>
          <w:b/>
          <w:sz w:val="41"/>
        </w:rPr>
      </w:pPr>
    </w:p>
    <w:p w14:paraId="122CDE8C" w14:textId="77777777" w:rsidR="004C7180" w:rsidRPr="00150EDC" w:rsidRDefault="00CF0754">
      <w:pPr>
        <w:tabs>
          <w:tab w:val="left" w:pos="3756"/>
        </w:tabs>
        <w:spacing w:before="1"/>
        <w:ind w:left="1044"/>
        <w:rPr>
          <w:sz w:val="18"/>
        </w:rPr>
      </w:pPr>
      <w:r w:rsidRPr="00150EDC">
        <w:rPr>
          <w:sz w:val="18"/>
        </w:rPr>
        <w:t>ORDER</w:t>
      </w:r>
      <w:r w:rsidRPr="00150EDC">
        <w:rPr>
          <w:spacing w:val="-2"/>
          <w:sz w:val="18"/>
        </w:rPr>
        <w:t xml:space="preserve"> REFERENCE:</w:t>
      </w:r>
      <w:r w:rsidRPr="00150EDC">
        <w:rPr>
          <w:sz w:val="18"/>
        </w:rPr>
        <w:tab/>
      </w:r>
      <w:r w:rsidRPr="00150EDC">
        <w:rPr>
          <w:spacing w:val="-2"/>
          <w:sz w:val="18"/>
        </w:rPr>
        <w:t>con_22596</w:t>
      </w:r>
    </w:p>
    <w:p w14:paraId="5E6269B0" w14:textId="77777777" w:rsidR="004C7180" w:rsidRPr="00150EDC" w:rsidRDefault="004C7180">
      <w:pPr>
        <w:pStyle w:val="BodyText"/>
        <w:spacing w:before="11"/>
        <w:rPr>
          <w:sz w:val="20"/>
        </w:rPr>
      </w:pPr>
    </w:p>
    <w:p w14:paraId="007D740F" w14:textId="77777777" w:rsidR="004C7180" w:rsidRPr="00150EDC" w:rsidRDefault="00CF0754">
      <w:pPr>
        <w:tabs>
          <w:tab w:val="left" w:pos="3756"/>
        </w:tabs>
        <w:spacing w:line="259" w:lineRule="auto"/>
        <w:ind w:left="3756" w:right="4044" w:hanging="2606"/>
        <w:rPr>
          <w:sz w:val="18"/>
        </w:rPr>
      </w:pPr>
      <w:r w:rsidRPr="00150EDC">
        <w:rPr>
          <w:sz w:val="18"/>
        </w:rPr>
        <w:t>THE BUYER:</w:t>
      </w:r>
      <w:r w:rsidRPr="00150EDC">
        <w:rPr>
          <w:sz w:val="18"/>
        </w:rPr>
        <w:tab/>
        <w:t>The</w:t>
      </w:r>
      <w:r w:rsidRPr="00150EDC">
        <w:rPr>
          <w:spacing w:val="-1"/>
          <w:sz w:val="18"/>
        </w:rPr>
        <w:t xml:space="preserve"> </w:t>
      </w:r>
      <w:r w:rsidRPr="00150EDC">
        <w:rPr>
          <w:sz w:val="18"/>
        </w:rPr>
        <w:t>Secretary</w:t>
      </w:r>
      <w:r w:rsidRPr="00150EDC">
        <w:rPr>
          <w:spacing w:val="-4"/>
          <w:sz w:val="18"/>
        </w:rPr>
        <w:t xml:space="preserve"> </w:t>
      </w:r>
      <w:r w:rsidRPr="00150EDC">
        <w:rPr>
          <w:sz w:val="18"/>
        </w:rPr>
        <w:t>of</w:t>
      </w:r>
      <w:r w:rsidRPr="00150EDC">
        <w:rPr>
          <w:spacing w:val="-1"/>
          <w:sz w:val="18"/>
        </w:rPr>
        <w:t xml:space="preserve"> </w:t>
      </w:r>
      <w:r w:rsidRPr="00150EDC">
        <w:rPr>
          <w:sz w:val="18"/>
        </w:rPr>
        <w:t>State</w:t>
      </w:r>
      <w:r w:rsidRPr="00150EDC">
        <w:rPr>
          <w:spacing w:val="-3"/>
          <w:sz w:val="18"/>
        </w:rPr>
        <w:t xml:space="preserve"> </w:t>
      </w:r>
      <w:r w:rsidRPr="00150EDC">
        <w:rPr>
          <w:sz w:val="18"/>
        </w:rPr>
        <w:t>for</w:t>
      </w:r>
      <w:r w:rsidRPr="00150EDC">
        <w:rPr>
          <w:spacing w:val="-2"/>
          <w:sz w:val="18"/>
        </w:rPr>
        <w:t xml:space="preserve"> </w:t>
      </w:r>
      <w:r w:rsidRPr="00150EDC">
        <w:rPr>
          <w:sz w:val="18"/>
        </w:rPr>
        <w:t>Education</w:t>
      </w:r>
      <w:r w:rsidRPr="00150EDC">
        <w:rPr>
          <w:spacing w:val="-3"/>
          <w:sz w:val="18"/>
        </w:rPr>
        <w:t xml:space="preserve"> </w:t>
      </w:r>
      <w:r w:rsidRPr="00150EDC">
        <w:rPr>
          <w:sz w:val="18"/>
        </w:rPr>
        <w:t>acting</w:t>
      </w:r>
      <w:r w:rsidRPr="00150EDC">
        <w:rPr>
          <w:spacing w:val="-3"/>
          <w:sz w:val="18"/>
        </w:rPr>
        <w:t xml:space="preserve"> </w:t>
      </w:r>
      <w:r w:rsidRPr="00150EDC">
        <w:rPr>
          <w:sz w:val="18"/>
        </w:rPr>
        <w:t>as</w:t>
      </w:r>
      <w:r w:rsidRPr="00150EDC">
        <w:rPr>
          <w:spacing w:val="-2"/>
          <w:sz w:val="18"/>
        </w:rPr>
        <w:t xml:space="preserve"> </w:t>
      </w:r>
      <w:r w:rsidRPr="00150EDC">
        <w:rPr>
          <w:sz w:val="18"/>
        </w:rPr>
        <w:t>part of the Crown</w:t>
      </w:r>
    </w:p>
    <w:p w14:paraId="67DA253C" w14:textId="77777777" w:rsidR="004C7180" w:rsidRPr="00150EDC" w:rsidRDefault="004C7180">
      <w:pPr>
        <w:pStyle w:val="BodyText"/>
        <w:spacing w:before="7"/>
        <w:rPr>
          <w:sz w:val="19"/>
        </w:rPr>
      </w:pPr>
    </w:p>
    <w:p w14:paraId="36D35B12" w14:textId="77777777" w:rsidR="004C7180" w:rsidRPr="00150EDC" w:rsidRDefault="00CF0754">
      <w:pPr>
        <w:tabs>
          <w:tab w:val="left" w:pos="3756"/>
        </w:tabs>
        <w:ind w:left="1044"/>
        <w:rPr>
          <w:sz w:val="18"/>
        </w:rPr>
      </w:pPr>
      <w:r w:rsidRPr="00150EDC">
        <w:rPr>
          <w:sz w:val="18"/>
        </w:rPr>
        <w:t>BUYER</w:t>
      </w:r>
      <w:r w:rsidRPr="00150EDC">
        <w:rPr>
          <w:spacing w:val="-1"/>
          <w:sz w:val="18"/>
        </w:rPr>
        <w:t xml:space="preserve"> </w:t>
      </w:r>
      <w:r w:rsidRPr="00150EDC">
        <w:rPr>
          <w:spacing w:val="-2"/>
          <w:sz w:val="18"/>
        </w:rPr>
        <w:t>ADDRESS</w:t>
      </w:r>
      <w:r w:rsidRPr="00150EDC">
        <w:rPr>
          <w:sz w:val="18"/>
        </w:rPr>
        <w:tab/>
        <w:t>Sanctuary</w:t>
      </w:r>
      <w:r w:rsidRPr="00150EDC">
        <w:rPr>
          <w:spacing w:val="-6"/>
          <w:sz w:val="18"/>
        </w:rPr>
        <w:t xml:space="preserve"> </w:t>
      </w:r>
      <w:r w:rsidRPr="00150EDC">
        <w:rPr>
          <w:sz w:val="18"/>
        </w:rPr>
        <w:t>Buildings,</w:t>
      </w:r>
      <w:r w:rsidRPr="00150EDC">
        <w:rPr>
          <w:spacing w:val="-4"/>
          <w:sz w:val="18"/>
        </w:rPr>
        <w:t xml:space="preserve"> </w:t>
      </w:r>
      <w:r w:rsidRPr="00150EDC">
        <w:rPr>
          <w:sz w:val="18"/>
        </w:rPr>
        <w:t>Great</w:t>
      </w:r>
      <w:r w:rsidRPr="00150EDC">
        <w:rPr>
          <w:spacing w:val="-2"/>
          <w:sz w:val="18"/>
        </w:rPr>
        <w:t xml:space="preserve"> </w:t>
      </w:r>
      <w:r w:rsidRPr="00150EDC">
        <w:rPr>
          <w:sz w:val="18"/>
        </w:rPr>
        <w:t>Smith</w:t>
      </w:r>
      <w:r w:rsidRPr="00150EDC">
        <w:rPr>
          <w:spacing w:val="-4"/>
          <w:sz w:val="18"/>
        </w:rPr>
        <w:t xml:space="preserve"> </w:t>
      </w:r>
      <w:r w:rsidRPr="00150EDC">
        <w:rPr>
          <w:sz w:val="18"/>
        </w:rPr>
        <w:t>Street,</w:t>
      </w:r>
      <w:r w:rsidRPr="00150EDC">
        <w:rPr>
          <w:spacing w:val="-2"/>
          <w:sz w:val="18"/>
        </w:rPr>
        <w:t xml:space="preserve"> London,</w:t>
      </w:r>
    </w:p>
    <w:p w14:paraId="65599289" w14:textId="77777777" w:rsidR="004C7180" w:rsidRPr="00150EDC" w:rsidRDefault="00CF0754">
      <w:pPr>
        <w:spacing w:before="17"/>
        <w:ind w:left="3756"/>
        <w:rPr>
          <w:sz w:val="18"/>
        </w:rPr>
      </w:pPr>
      <w:r w:rsidRPr="00150EDC">
        <w:rPr>
          <w:sz w:val="18"/>
        </w:rPr>
        <w:t xml:space="preserve">SW1P </w:t>
      </w:r>
      <w:r w:rsidRPr="00150EDC">
        <w:rPr>
          <w:spacing w:val="-5"/>
          <w:sz w:val="18"/>
        </w:rPr>
        <w:t>3BT</w:t>
      </w:r>
    </w:p>
    <w:p w14:paraId="3857792C" w14:textId="77777777" w:rsidR="004C7180" w:rsidRPr="00150EDC" w:rsidRDefault="00CF0754">
      <w:pPr>
        <w:tabs>
          <w:tab w:val="left" w:pos="3756"/>
        </w:tabs>
        <w:spacing w:before="17"/>
        <w:ind w:left="1044"/>
        <w:rPr>
          <w:sz w:val="18"/>
        </w:rPr>
      </w:pPr>
      <w:r w:rsidRPr="00150EDC">
        <w:rPr>
          <w:sz w:val="18"/>
        </w:rPr>
        <w:t>THE</w:t>
      </w:r>
      <w:r w:rsidRPr="00150EDC">
        <w:rPr>
          <w:spacing w:val="-1"/>
          <w:sz w:val="18"/>
        </w:rPr>
        <w:t xml:space="preserve"> </w:t>
      </w:r>
      <w:r w:rsidRPr="00150EDC">
        <w:rPr>
          <w:spacing w:val="-2"/>
          <w:sz w:val="18"/>
        </w:rPr>
        <w:t>SUPPLIER:</w:t>
      </w:r>
      <w:r w:rsidRPr="00150EDC">
        <w:rPr>
          <w:sz w:val="18"/>
        </w:rPr>
        <w:tab/>
        <w:t>Tribal</w:t>
      </w:r>
      <w:r w:rsidRPr="00150EDC">
        <w:rPr>
          <w:spacing w:val="-4"/>
          <w:sz w:val="18"/>
        </w:rPr>
        <w:t xml:space="preserve"> </w:t>
      </w:r>
      <w:r w:rsidRPr="00150EDC">
        <w:rPr>
          <w:sz w:val="18"/>
        </w:rPr>
        <w:t>Education</w:t>
      </w:r>
      <w:r w:rsidRPr="00150EDC">
        <w:rPr>
          <w:spacing w:val="-3"/>
          <w:sz w:val="18"/>
        </w:rPr>
        <w:t xml:space="preserve"> </w:t>
      </w:r>
      <w:r w:rsidRPr="00150EDC">
        <w:rPr>
          <w:spacing w:val="-2"/>
          <w:sz w:val="18"/>
        </w:rPr>
        <w:t>Limited</w:t>
      </w:r>
    </w:p>
    <w:p w14:paraId="0ED059F0" w14:textId="77777777" w:rsidR="004C7180" w:rsidRPr="00150EDC" w:rsidRDefault="00CF0754">
      <w:pPr>
        <w:tabs>
          <w:tab w:val="left" w:pos="3756"/>
        </w:tabs>
        <w:spacing w:before="153"/>
        <w:ind w:left="1044"/>
        <w:rPr>
          <w:sz w:val="18"/>
        </w:rPr>
      </w:pPr>
      <w:r w:rsidRPr="00150EDC">
        <w:rPr>
          <w:sz w:val="18"/>
        </w:rPr>
        <w:t>SUPPLIER</w:t>
      </w:r>
      <w:r w:rsidRPr="00150EDC">
        <w:rPr>
          <w:spacing w:val="-5"/>
          <w:sz w:val="18"/>
        </w:rPr>
        <w:t xml:space="preserve"> </w:t>
      </w:r>
      <w:r w:rsidRPr="00150EDC">
        <w:rPr>
          <w:spacing w:val="-2"/>
          <w:sz w:val="18"/>
        </w:rPr>
        <w:t>ADDRESS:</w:t>
      </w:r>
      <w:r w:rsidRPr="00150EDC">
        <w:rPr>
          <w:sz w:val="18"/>
        </w:rPr>
        <w:tab/>
        <w:t>Kings</w:t>
      </w:r>
      <w:r w:rsidRPr="00150EDC">
        <w:rPr>
          <w:spacing w:val="-5"/>
          <w:sz w:val="18"/>
        </w:rPr>
        <w:t xml:space="preserve"> </w:t>
      </w:r>
      <w:r w:rsidRPr="00150EDC">
        <w:rPr>
          <w:sz w:val="18"/>
        </w:rPr>
        <w:t>Orchard</w:t>
      </w:r>
      <w:r w:rsidRPr="00150EDC">
        <w:rPr>
          <w:spacing w:val="-1"/>
          <w:sz w:val="18"/>
        </w:rPr>
        <w:t xml:space="preserve"> </w:t>
      </w:r>
      <w:r w:rsidRPr="00150EDC">
        <w:rPr>
          <w:sz w:val="18"/>
        </w:rPr>
        <w:t>Queen</w:t>
      </w:r>
      <w:r w:rsidRPr="00150EDC">
        <w:rPr>
          <w:spacing w:val="-3"/>
          <w:sz w:val="18"/>
        </w:rPr>
        <w:t xml:space="preserve"> </w:t>
      </w:r>
      <w:r w:rsidRPr="00150EDC">
        <w:rPr>
          <w:sz w:val="18"/>
        </w:rPr>
        <w:t>Street,</w:t>
      </w:r>
      <w:r w:rsidRPr="00150EDC">
        <w:rPr>
          <w:spacing w:val="-3"/>
          <w:sz w:val="18"/>
        </w:rPr>
        <w:t xml:space="preserve"> </w:t>
      </w:r>
      <w:r w:rsidRPr="00150EDC">
        <w:rPr>
          <w:sz w:val="18"/>
        </w:rPr>
        <w:t>St.</w:t>
      </w:r>
      <w:r w:rsidRPr="00150EDC">
        <w:rPr>
          <w:spacing w:val="-3"/>
          <w:sz w:val="18"/>
        </w:rPr>
        <w:t xml:space="preserve"> </w:t>
      </w:r>
      <w:r w:rsidRPr="00150EDC">
        <w:rPr>
          <w:sz w:val="18"/>
        </w:rPr>
        <w:t>Philips,</w:t>
      </w:r>
      <w:r w:rsidRPr="00150EDC">
        <w:rPr>
          <w:spacing w:val="-3"/>
          <w:sz w:val="18"/>
        </w:rPr>
        <w:t xml:space="preserve"> </w:t>
      </w:r>
      <w:r w:rsidRPr="00150EDC">
        <w:rPr>
          <w:spacing w:val="-2"/>
          <w:sz w:val="18"/>
        </w:rPr>
        <w:t>Bristol,</w:t>
      </w:r>
    </w:p>
    <w:p w14:paraId="6A171491" w14:textId="77777777" w:rsidR="004C7180" w:rsidRPr="00150EDC" w:rsidRDefault="00CF0754">
      <w:pPr>
        <w:tabs>
          <w:tab w:val="left" w:pos="3756"/>
        </w:tabs>
        <w:spacing w:before="1" w:line="415" w:lineRule="auto"/>
        <w:ind w:left="1044" w:right="7301" w:firstLine="2712"/>
        <w:rPr>
          <w:sz w:val="18"/>
        </w:rPr>
      </w:pPr>
      <w:r w:rsidRPr="00150EDC">
        <w:rPr>
          <w:sz w:val="18"/>
        </w:rPr>
        <w:t>BS2 0HQ REGISTRATION</w:t>
      </w:r>
      <w:r w:rsidRPr="00150EDC">
        <w:rPr>
          <w:spacing w:val="-4"/>
          <w:sz w:val="18"/>
        </w:rPr>
        <w:t xml:space="preserve"> </w:t>
      </w:r>
      <w:r w:rsidRPr="00150EDC">
        <w:rPr>
          <w:spacing w:val="-2"/>
          <w:sz w:val="18"/>
        </w:rPr>
        <w:t>NUMBER:</w:t>
      </w:r>
      <w:r w:rsidRPr="00150EDC">
        <w:rPr>
          <w:sz w:val="18"/>
        </w:rPr>
        <w:tab/>
      </w:r>
      <w:r w:rsidRPr="00150EDC">
        <w:rPr>
          <w:spacing w:val="-2"/>
          <w:sz w:val="18"/>
        </w:rPr>
        <w:t>04163300</w:t>
      </w:r>
    </w:p>
    <w:p w14:paraId="127CEA5A" w14:textId="77777777" w:rsidR="004C7180" w:rsidRPr="00150EDC" w:rsidRDefault="00CF0754">
      <w:pPr>
        <w:tabs>
          <w:tab w:val="left" w:pos="3756"/>
        </w:tabs>
        <w:ind w:left="1044"/>
        <w:rPr>
          <w:sz w:val="18"/>
        </w:rPr>
      </w:pPr>
      <w:r w:rsidRPr="00150EDC">
        <w:rPr>
          <w:sz w:val="18"/>
        </w:rPr>
        <w:t>DUNS</w:t>
      </w:r>
      <w:r w:rsidRPr="00150EDC">
        <w:rPr>
          <w:spacing w:val="-2"/>
          <w:sz w:val="18"/>
        </w:rPr>
        <w:t xml:space="preserve"> NUMBER:</w:t>
      </w:r>
      <w:r w:rsidRPr="00150EDC">
        <w:rPr>
          <w:sz w:val="18"/>
        </w:rPr>
        <w:tab/>
      </w:r>
      <w:r w:rsidRPr="007D3144">
        <w:rPr>
          <w:b/>
          <w:sz w:val="18"/>
          <w:shd w:val="clear" w:color="auto" w:fill="FFFF00"/>
        </w:rPr>
        <w:t>[Insert</w:t>
      </w:r>
      <w:r w:rsidRPr="007D3144">
        <w:rPr>
          <w:b/>
          <w:spacing w:val="-2"/>
          <w:sz w:val="18"/>
          <w:shd w:val="clear" w:color="auto" w:fill="FFFF00"/>
        </w:rPr>
        <w:t xml:space="preserve"> </w:t>
      </w:r>
      <w:r w:rsidRPr="007D3144">
        <w:rPr>
          <w:sz w:val="18"/>
        </w:rPr>
        <w:t xml:space="preserve">if </w:t>
      </w:r>
      <w:r w:rsidRPr="007D3144">
        <w:rPr>
          <w:spacing w:val="-2"/>
          <w:sz w:val="18"/>
        </w:rPr>
        <w:t>known]</w:t>
      </w:r>
    </w:p>
    <w:p w14:paraId="5D3732D8" w14:textId="77777777" w:rsidR="004C7180" w:rsidRPr="00150EDC" w:rsidRDefault="00CF0754">
      <w:pPr>
        <w:spacing w:before="153"/>
        <w:ind w:left="1044"/>
        <w:rPr>
          <w:sz w:val="18"/>
        </w:rPr>
      </w:pPr>
      <w:r w:rsidRPr="00150EDC">
        <w:rPr>
          <w:sz w:val="18"/>
        </w:rPr>
        <w:t>DPS</w:t>
      </w:r>
      <w:r w:rsidRPr="00150EDC">
        <w:rPr>
          <w:spacing w:val="-2"/>
          <w:sz w:val="18"/>
        </w:rPr>
        <w:t xml:space="preserve"> </w:t>
      </w:r>
      <w:r w:rsidRPr="00150EDC">
        <w:rPr>
          <w:sz w:val="18"/>
        </w:rPr>
        <w:t>SUPPLIER</w:t>
      </w:r>
      <w:r w:rsidRPr="00150EDC">
        <w:rPr>
          <w:spacing w:val="-3"/>
          <w:sz w:val="18"/>
        </w:rPr>
        <w:t xml:space="preserve"> </w:t>
      </w:r>
      <w:r w:rsidRPr="00150EDC">
        <w:rPr>
          <w:sz w:val="18"/>
        </w:rPr>
        <w:t>REGISTRATION</w:t>
      </w:r>
      <w:r w:rsidRPr="00150EDC">
        <w:rPr>
          <w:spacing w:val="-2"/>
          <w:sz w:val="18"/>
        </w:rPr>
        <w:t xml:space="preserve"> </w:t>
      </w:r>
      <w:r w:rsidRPr="00150EDC">
        <w:rPr>
          <w:sz w:val="18"/>
        </w:rPr>
        <w:t>SERVICE</w:t>
      </w:r>
      <w:r w:rsidRPr="00150EDC">
        <w:rPr>
          <w:spacing w:val="-3"/>
          <w:sz w:val="18"/>
        </w:rPr>
        <w:t xml:space="preserve"> </w:t>
      </w:r>
      <w:r w:rsidRPr="00150EDC">
        <w:rPr>
          <w:sz w:val="18"/>
        </w:rPr>
        <w:t>ID:</w:t>
      </w:r>
      <w:r w:rsidRPr="00150EDC">
        <w:rPr>
          <w:spacing w:val="46"/>
          <w:sz w:val="18"/>
        </w:rPr>
        <w:t xml:space="preserve"> </w:t>
      </w:r>
      <w:r w:rsidRPr="007D3144">
        <w:rPr>
          <w:b/>
          <w:sz w:val="18"/>
          <w:shd w:val="clear" w:color="auto" w:fill="FFFF00"/>
        </w:rPr>
        <w:t>[Insert</w:t>
      </w:r>
      <w:r w:rsidRPr="007D3144">
        <w:rPr>
          <w:b/>
          <w:spacing w:val="-3"/>
          <w:sz w:val="18"/>
          <w:shd w:val="clear" w:color="auto" w:fill="FFFF00"/>
        </w:rPr>
        <w:t xml:space="preserve"> </w:t>
      </w:r>
      <w:r w:rsidRPr="007D3144">
        <w:rPr>
          <w:sz w:val="18"/>
        </w:rPr>
        <w:t>if</w:t>
      </w:r>
      <w:r w:rsidRPr="007D3144">
        <w:rPr>
          <w:spacing w:val="-1"/>
          <w:sz w:val="18"/>
        </w:rPr>
        <w:t xml:space="preserve"> </w:t>
      </w:r>
      <w:r w:rsidRPr="007D3144">
        <w:rPr>
          <w:spacing w:val="-2"/>
          <w:sz w:val="18"/>
        </w:rPr>
        <w:t>known]</w:t>
      </w:r>
    </w:p>
    <w:p w14:paraId="29A6727E" w14:textId="77777777" w:rsidR="004C7180" w:rsidRPr="00150EDC" w:rsidRDefault="004C7180">
      <w:pPr>
        <w:pStyle w:val="BodyText"/>
        <w:rPr>
          <w:sz w:val="20"/>
        </w:rPr>
      </w:pPr>
    </w:p>
    <w:p w14:paraId="7183266F" w14:textId="77777777" w:rsidR="004C7180" w:rsidRPr="00150EDC" w:rsidRDefault="00CF0754">
      <w:pPr>
        <w:spacing w:before="145"/>
        <w:ind w:left="1044"/>
        <w:rPr>
          <w:sz w:val="18"/>
        </w:rPr>
      </w:pPr>
      <w:r w:rsidRPr="00150EDC">
        <w:rPr>
          <w:sz w:val="18"/>
        </w:rPr>
        <w:t>APPLICABLE</w:t>
      </w:r>
      <w:r w:rsidRPr="00150EDC">
        <w:rPr>
          <w:spacing w:val="-2"/>
          <w:sz w:val="18"/>
        </w:rPr>
        <w:t xml:space="preserve"> </w:t>
      </w:r>
      <w:r w:rsidRPr="00150EDC">
        <w:rPr>
          <w:sz w:val="18"/>
        </w:rPr>
        <w:t>DPS</w:t>
      </w:r>
      <w:r w:rsidRPr="00150EDC">
        <w:rPr>
          <w:spacing w:val="-2"/>
          <w:sz w:val="18"/>
        </w:rPr>
        <w:t xml:space="preserve"> CONTRACT</w:t>
      </w:r>
    </w:p>
    <w:p w14:paraId="4F666849" w14:textId="77777777" w:rsidR="004C7180" w:rsidRPr="00150EDC" w:rsidRDefault="004C7180">
      <w:pPr>
        <w:pStyle w:val="BodyText"/>
        <w:spacing w:before="8"/>
        <w:rPr>
          <w:sz w:val="12"/>
        </w:rPr>
      </w:pPr>
    </w:p>
    <w:p w14:paraId="26BB8B04" w14:textId="1BBA9B3D" w:rsidR="004C7180" w:rsidRPr="00150EDC" w:rsidRDefault="00CF0754">
      <w:pPr>
        <w:spacing w:before="95" w:line="259" w:lineRule="auto"/>
        <w:ind w:left="1044" w:right="3935"/>
        <w:rPr>
          <w:sz w:val="18"/>
        </w:rPr>
      </w:pPr>
      <w:r w:rsidRPr="00150EDC">
        <w:rPr>
          <w:sz w:val="18"/>
        </w:rPr>
        <w:t>This</w:t>
      </w:r>
      <w:r w:rsidRPr="00150EDC">
        <w:rPr>
          <w:spacing w:val="25"/>
          <w:sz w:val="18"/>
        </w:rPr>
        <w:t xml:space="preserve"> </w:t>
      </w:r>
      <w:r w:rsidRPr="00150EDC">
        <w:rPr>
          <w:sz w:val="18"/>
        </w:rPr>
        <w:t>Order</w:t>
      </w:r>
      <w:r w:rsidRPr="00150EDC">
        <w:rPr>
          <w:spacing w:val="25"/>
          <w:sz w:val="18"/>
        </w:rPr>
        <w:t xml:space="preserve"> </w:t>
      </w:r>
      <w:r w:rsidRPr="00150EDC">
        <w:rPr>
          <w:sz w:val="18"/>
        </w:rPr>
        <w:t>Form</w:t>
      </w:r>
      <w:r w:rsidRPr="00150EDC">
        <w:rPr>
          <w:spacing w:val="27"/>
          <w:sz w:val="18"/>
        </w:rPr>
        <w:t xml:space="preserve"> </w:t>
      </w:r>
      <w:r w:rsidRPr="00150EDC">
        <w:rPr>
          <w:sz w:val="18"/>
        </w:rPr>
        <w:t>is</w:t>
      </w:r>
      <w:r w:rsidRPr="00150EDC">
        <w:rPr>
          <w:spacing w:val="25"/>
          <w:sz w:val="18"/>
        </w:rPr>
        <w:t xml:space="preserve"> </w:t>
      </w:r>
      <w:r w:rsidRPr="00150EDC">
        <w:rPr>
          <w:sz w:val="18"/>
        </w:rPr>
        <w:t>for</w:t>
      </w:r>
      <w:r w:rsidRPr="00150EDC">
        <w:rPr>
          <w:spacing w:val="25"/>
          <w:sz w:val="18"/>
        </w:rPr>
        <w:t xml:space="preserve"> </w:t>
      </w:r>
      <w:r w:rsidRPr="00150EDC">
        <w:rPr>
          <w:sz w:val="18"/>
        </w:rPr>
        <w:t>the</w:t>
      </w:r>
      <w:r w:rsidRPr="00150EDC">
        <w:rPr>
          <w:spacing w:val="26"/>
          <w:sz w:val="18"/>
        </w:rPr>
        <w:t xml:space="preserve"> </w:t>
      </w:r>
      <w:r w:rsidRPr="00150EDC">
        <w:rPr>
          <w:sz w:val="18"/>
        </w:rPr>
        <w:t>provision</w:t>
      </w:r>
      <w:r w:rsidRPr="00150EDC">
        <w:rPr>
          <w:spacing w:val="26"/>
          <w:sz w:val="18"/>
        </w:rPr>
        <w:t xml:space="preserve"> </w:t>
      </w:r>
      <w:r w:rsidRPr="00150EDC">
        <w:rPr>
          <w:sz w:val="18"/>
        </w:rPr>
        <w:t>of</w:t>
      </w:r>
      <w:r w:rsidRPr="00150EDC">
        <w:rPr>
          <w:spacing w:val="24"/>
          <w:sz w:val="18"/>
        </w:rPr>
        <w:t xml:space="preserve"> </w:t>
      </w:r>
      <w:r w:rsidRPr="00150EDC">
        <w:rPr>
          <w:sz w:val="18"/>
        </w:rPr>
        <w:t>the</w:t>
      </w:r>
      <w:r w:rsidRPr="00150EDC">
        <w:rPr>
          <w:spacing w:val="24"/>
          <w:sz w:val="18"/>
        </w:rPr>
        <w:t xml:space="preserve"> </w:t>
      </w:r>
      <w:r w:rsidRPr="00150EDC">
        <w:rPr>
          <w:sz w:val="18"/>
        </w:rPr>
        <w:t>Deliverables</w:t>
      </w:r>
      <w:r w:rsidRPr="00150EDC">
        <w:rPr>
          <w:spacing w:val="25"/>
          <w:sz w:val="18"/>
        </w:rPr>
        <w:t xml:space="preserve"> </w:t>
      </w:r>
      <w:r w:rsidRPr="00150EDC">
        <w:rPr>
          <w:sz w:val="18"/>
        </w:rPr>
        <w:t>and</w:t>
      </w:r>
      <w:r w:rsidRPr="00150EDC">
        <w:rPr>
          <w:spacing w:val="26"/>
          <w:sz w:val="18"/>
        </w:rPr>
        <w:t xml:space="preserve"> </w:t>
      </w:r>
      <w:r w:rsidRPr="00150EDC">
        <w:rPr>
          <w:sz w:val="18"/>
        </w:rPr>
        <w:t>dated</w:t>
      </w:r>
      <w:r w:rsidRPr="00150EDC">
        <w:rPr>
          <w:spacing w:val="26"/>
          <w:sz w:val="18"/>
        </w:rPr>
        <w:t xml:space="preserve"> </w:t>
      </w:r>
      <w:r w:rsidR="003849A3">
        <w:rPr>
          <w:sz w:val="18"/>
          <w:shd w:val="clear" w:color="auto" w:fill="FFFF00"/>
        </w:rPr>
        <w:t>1</w:t>
      </w:r>
      <w:r w:rsidR="003849A3" w:rsidRPr="00CE7A35">
        <w:rPr>
          <w:sz w:val="18"/>
          <w:shd w:val="clear" w:color="auto" w:fill="FFFF00"/>
          <w:vertAlign w:val="superscript"/>
        </w:rPr>
        <w:t>st</w:t>
      </w:r>
      <w:r w:rsidR="003849A3">
        <w:rPr>
          <w:sz w:val="18"/>
          <w:shd w:val="clear" w:color="auto" w:fill="FFFF00"/>
        </w:rPr>
        <w:t xml:space="preserve"> November 2023 </w:t>
      </w:r>
    </w:p>
    <w:p w14:paraId="03D0F1C6" w14:textId="77777777" w:rsidR="004C7180" w:rsidRPr="00150EDC" w:rsidRDefault="00CF0754">
      <w:pPr>
        <w:spacing w:before="2" w:line="261" w:lineRule="auto"/>
        <w:ind w:left="1044" w:right="4072"/>
        <w:rPr>
          <w:sz w:val="18"/>
        </w:rPr>
      </w:pPr>
      <w:r w:rsidRPr="00150EDC">
        <w:rPr>
          <w:sz w:val="18"/>
        </w:rPr>
        <w:t>It’s</w:t>
      </w:r>
      <w:r w:rsidRPr="00150EDC">
        <w:rPr>
          <w:spacing w:val="40"/>
          <w:sz w:val="18"/>
        </w:rPr>
        <w:t xml:space="preserve"> </w:t>
      </w:r>
      <w:r w:rsidRPr="00150EDC">
        <w:rPr>
          <w:sz w:val="18"/>
        </w:rPr>
        <w:t>issued</w:t>
      </w:r>
      <w:r w:rsidRPr="00150EDC">
        <w:rPr>
          <w:spacing w:val="40"/>
          <w:sz w:val="18"/>
        </w:rPr>
        <w:t xml:space="preserve"> </w:t>
      </w:r>
      <w:r w:rsidRPr="00150EDC">
        <w:rPr>
          <w:sz w:val="18"/>
        </w:rPr>
        <w:t>under</w:t>
      </w:r>
      <w:r w:rsidRPr="00150EDC">
        <w:rPr>
          <w:spacing w:val="40"/>
          <w:sz w:val="18"/>
        </w:rPr>
        <w:t xml:space="preserve"> </w:t>
      </w:r>
      <w:r w:rsidRPr="00150EDC">
        <w:rPr>
          <w:sz w:val="18"/>
        </w:rPr>
        <w:t>the</w:t>
      </w:r>
      <w:r w:rsidRPr="00150EDC">
        <w:rPr>
          <w:spacing w:val="40"/>
          <w:sz w:val="18"/>
        </w:rPr>
        <w:t xml:space="preserve"> </w:t>
      </w:r>
      <w:r w:rsidRPr="00150EDC">
        <w:rPr>
          <w:sz w:val="18"/>
        </w:rPr>
        <w:t>DPS</w:t>
      </w:r>
      <w:r w:rsidRPr="00150EDC">
        <w:rPr>
          <w:spacing w:val="40"/>
          <w:sz w:val="18"/>
        </w:rPr>
        <w:t xml:space="preserve"> </w:t>
      </w:r>
      <w:r w:rsidRPr="00150EDC">
        <w:rPr>
          <w:sz w:val="18"/>
        </w:rPr>
        <w:t>Contract</w:t>
      </w:r>
      <w:r w:rsidRPr="00150EDC">
        <w:rPr>
          <w:spacing w:val="40"/>
          <w:sz w:val="18"/>
        </w:rPr>
        <w:t xml:space="preserve"> </w:t>
      </w:r>
      <w:r w:rsidRPr="00150EDC">
        <w:rPr>
          <w:sz w:val="18"/>
        </w:rPr>
        <w:t>with</w:t>
      </w:r>
      <w:r w:rsidRPr="00150EDC">
        <w:rPr>
          <w:spacing w:val="40"/>
          <w:sz w:val="18"/>
        </w:rPr>
        <w:t xml:space="preserve"> </w:t>
      </w:r>
      <w:r w:rsidRPr="00150EDC">
        <w:rPr>
          <w:sz w:val="18"/>
        </w:rPr>
        <w:t>the</w:t>
      </w:r>
      <w:r w:rsidRPr="00150EDC">
        <w:rPr>
          <w:spacing w:val="40"/>
          <w:sz w:val="18"/>
        </w:rPr>
        <w:t xml:space="preserve"> </w:t>
      </w:r>
      <w:r w:rsidRPr="00150EDC">
        <w:rPr>
          <w:sz w:val="18"/>
        </w:rPr>
        <w:t>reference</w:t>
      </w:r>
      <w:r w:rsidRPr="00150EDC">
        <w:rPr>
          <w:spacing w:val="40"/>
          <w:sz w:val="18"/>
        </w:rPr>
        <w:t xml:space="preserve"> </w:t>
      </w:r>
      <w:r w:rsidRPr="00150EDC">
        <w:rPr>
          <w:sz w:val="18"/>
        </w:rPr>
        <w:t>number</w:t>
      </w:r>
      <w:r w:rsidRPr="00150EDC">
        <w:rPr>
          <w:spacing w:val="40"/>
          <w:sz w:val="18"/>
        </w:rPr>
        <w:t xml:space="preserve"> </w:t>
      </w:r>
      <w:r w:rsidRPr="00150EDC">
        <w:rPr>
          <w:sz w:val="18"/>
        </w:rPr>
        <w:t>RM6322</w:t>
      </w:r>
      <w:r w:rsidRPr="00150EDC">
        <w:rPr>
          <w:spacing w:val="40"/>
          <w:sz w:val="18"/>
        </w:rPr>
        <w:t xml:space="preserve"> </w:t>
      </w:r>
      <w:r w:rsidRPr="00150EDC">
        <w:rPr>
          <w:sz w:val="18"/>
        </w:rPr>
        <w:t>for</w:t>
      </w:r>
      <w:r w:rsidRPr="00150EDC">
        <w:rPr>
          <w:spacing w:val="40"/>
          <w:sz w:val="18"/>
        </w:rPr>
        <w:t xml:space="preserve"> </w:t>
      </w:r>
      <w:r w:rsidRPr="00150EDC">
        <w:rPr>
          <w:sz w:val="18"/>
        </w:rPr>
        <w:t>the provision of Fund Administration and Disbursement Services</w:t>
      </w:r>
    </w:p>
    <w:p w14:paraId="01D7D9D4" w14:textId="77777777" w:rsidR="004C7180" w:rsidRPr="00150EDC" w:rsidRDefault="004C7180">
      <w:pPr>
        <w:pStyle w:val="BodyText"/>
        <w:spacing w:before="4"/>
        <w:rPr>
          <w:sz w:val="19"/>
        </w:rPr>
      </w:pPr>
    </w:p>
    <w:p w14:paraId="50CC4386" w14:textId="77777777" w:rsidR="004C7180" w:rsidRPr="00150EDC" w:rsidRDefault="00CF0754">
      <w:pPr>
        <w:ind w:left="1044"/>
        <w:rPr>
          <w:sz w:val="18"/>
        </w:rPr>
      </w:pPr>
      <w:r w:rsidRPr="00150EDC">
        <w:rPr>
          <w:sz w:val="18"/>
        </w:rPr>
        <w:t>DPS</w:t>
      </w:r>
      <w:r w:rsidRPr="00150EDC">
        <w:rPr>
          <w:spacing w:val="-1"/>
          <w:sz w:val="18"/>
        </w:rPr>
        <w:t xml:space="preserve"> </w:t>
      </w:r>
      <w:r w:rsidRPr="00150EDC">
        <w:rPr>
          <w:sz w:val="18"/>
        </w:rPr>
        <w:t>FILTER</w:t>
      </w:r>
      <w:r w:rsidRPr="00150EDC">
        <w:rPr>
          <w:spacing w:val="-1"/>
          <w:sz w:val="18"/>
        </w:rPr>
        <w:t xml:space="preserve"> </w:t>
      </w:r>
      <w:r w:rsidRPr="00150EDC">
        <w:rPr>
          <w:spacing w:val="-2"/>
          <w:sz w:val="18"/>
        </w:rPr>
        <w:t>CATEGORY(IES):</w:t>
      </w:r>
    </w:p>
    <w:p w14:paraId="47475DA6" w14:textId="77777777" w:rsidR="004C7180" w:rsidRPr="00150EDC" w:rsidRDefault="00CF0754">
      <w:pPr>
        <w:spacing w:before="18"/>
        <w:ind w:left="1044"/>
        <w:rPr>
          <w:b/>
          <w:sz w:val="18"/>
        </w:rPr>
      </w:pPr>
      <w:r w:rsidRPr="00150EDC">
        <w:rPr>
          <w:b/>
          <w:spacing w:val="-5"/>
          <w:sz w:val="18"/>
        </w:rPr>
        <w:t>N/A</w:t>
      </w:r>
    </w:p>
    <w:p w14:paraId="17E07E5A" w14:textId="77777777" w:rsidR="004C7180" w:rsidRPr="00150EDC" w:rsidRDefault="004C7180">
      <w:pPr>
        <w:rPr>
          <w:sz w:val="18"/>
        </w:rPr>
        <w:sectPr w:rsidR="004C7180" w:rsidRPr="00150EDC">
          <w:headerReference w:type="default" r:id="rId65"/>
          <w:footerReference w:type="default" r:id="rId66"/>
          <w:pgSz w:w="11910" w:h="16840"/>
          <w:pgMar w:top="2940" w:right="0" w:bottom="3120" w:left="40" w:header="2612" w:footer="2929" w:gutter="0"/>
          <w:pgNumType w:start="1"/>
          <w:cols w:space="720"/>
        </w:sectPr>
      </w:pPr>
    </w:p>
    <w:p w14:paraId="1A5BFC65" w14:textId="1928BD39" w:rsidR="004C7180" w:rsidRPr="00150EDC" w:rsidRDefault="004C7180">
      <w:pPr>
        <w:pStyle w:val="BodyText"/>
        <w:spacing w:before="7"/>
        <w:rPr>
          <w:b/>
          <w:sz w:val="9"/>
        </w:rPr>
      </w:pPr>
    </w:p>
    <w:p w14:paraId="55EE5CEC" w14:textId="77777777" w:rsidR="004C7180" w:rsidRPr="00150EDC" w:rsidRDefault="00CF0754">
      <w:pPr>
        <w:spacing w:before="95"/>
        <w:ind w:left="1044"/>
        <w:rPr>
          <w:sz w:val="18"/>
        </w:rPr>
      </w:pPr>
      <w:r w:rsidRPr="00150EDC">
        <w:rPr>
          <w:sz w:val="18"/>
        </w:rPr>
        <w:t>ORDER</w:t>
      </w:r>
      <w:r w:rsidRPr="00150EDC">
        <w:rPr>
          <w:spacing w:val="-4"/>
          <w:sz w:val="18"/>
        </w:rPr>
        <w:t xml:space="preserve"> </w:t>
      </w:r>
      <w:r w:rsidRPr="00150EDC">
        <w:rPr>
          <w:sz w:val="18"/>
        </w:rPr>
        <w:t>INCORPORATED</w:t>
      </w:r>
      <w:r w:rsidRPr="00150EDC">
        <w:rPr>
          <w:spacing w:val="-3"/>
          <w:sz w:val="18"/>
        </w:rPr>
        <w:t xml:space="preserve"> </w:t>
      </w:r>
      <w:r w:rsidRPr="00150EDC">
        <w:rPr>
          <w:spacing w:val="-4"/>
          <w:sz w:val="18"/>
        </w:rPr>
        <w:t>TERMS</w:t>
      </w:r>
    </w:p>
    <w:p w14:paraId="346FA659" w14:textId="77777777" w:rsidR="004C7180" w:rsidRPr="00150EDC" w:rsidRDefault="004C7180">
      <w:pPr>
        <w:pStyle w:val="BodyText"/>
        <w:rPr>
          <w:sz w:val="20"/>
        </w:rPr>
      </w:pPr>
    </w:p>
    <w:p w14:paraId="3A4D6B4A" w14:textId="77777777" w:rsidR="004C7180" w:rsidRPr="00150EDC" w:rsidRDefault="004C7180">
      <w:pPr>
        <w:pStyle w:val="BodyText"/>
        <w:spacing w:before="6"/>
        <w:rPr>
          <w:sz w:val="20"/>
        </w:rPr>
      </w:pPr>
    </w:p>
    <w:p w14:paraId="4719D03F" w14:textId="77777777" w:rsidR="004C7180" w:rsidRPr="00150EDC" w:rsidRDefault="00CF0754">
      <w:pPr>
        <w:spacing w:line="278" w:lineRule="auto"/>
        <w:ind w:left="1044" w:right="4123"/>
        <w:rPr>
          <w:sz w:val="18"/>
        </w:rPr>
      </w:pPr>
      <w:r w:rsidRPr="00150EDC">
        <w:rPr>
          <w:sz w:val="18"/>
        </w:rPr>
        <w:t>The following documents</w:t>
      </w:r>
      <w:r w:rsidRPr="00150EDC">
        <w:rPr>
          <w:spacing w:val="-1"/>
          <w:sz w:val="18"/>
        </w:rPr>
        <w:t xml:space="preserve"> </w:t>
      </w:r>
      <w:r w:rsidRPr="00150EDC">
        <w:rPr>
          <w:sz w:val="18"/>
        </w:rPr>
        <w:t>are incorporated into this</w:t>
      </w:r>
      <w:r w:rsidRPr="00150EDC">
        <w:rPr>
          <w:spacing w:val="-1"/>
          <w:sz w:val="18"/>
        </w:rPr>
        <w:t xml:space="preserve"> </w:t>
      </w:r>
      <w:r w:rsidRPr="00150EDC">
        <w:rPr>
          <w:sz w:val="18"/>
        </w:rPr>
        <w:t>Order</w:t>
      </w:r>
      <w:r w:rsidRPr="00150EDC">
        <w:rPr>
          <w:spacing w:val="-1"/>
          <w:sz w:val="18"/>
        </w:rPr>
        <w:t xml:space="preserve"> </w:t>
      </w:r>
      <w:r w:rsidRPr="00150EDC">
        <w:rPr>
          <w:sz w:val="18"/>
        </w:rPr>
        <w:t>Contract.</w:t>
      </w:r>
      <w:r w:rsidRPr="00150EDC">
        <w:rPr>
          <w:spacing w:val="-2"/>
          <w:sz w:val="18"/>
        </w:rPr>
        <w:t xml:space="preserve"> </w:t>
      </w:r>
      <w:r w:rsidRPr="00150EDC">
        <w:rPr>
          <w:sz w:val="18"/>
        </w:rPr>
        <w:t>Where</w:t>
      </w:r>
      <w:r w:rsidRPr="00150EDC">
        <w:rPr>
          <w:spacing w:val="-2"/>
          <w:sz w:val="18"/>
        </w:rPr>
        <w:t xml:space="preserve"> </w:t>
      </w:r>
      <w:r w:rsidRPr="00150EDC">
        <w:rPr>
          <w:sz w:val="18"/>
        </w:rPr>
        <w:t>numbers are missing we are not using those schedules. If the documents conflict, the following order of precedence applies:</w:t>
      </w:r>
    </w:p>
    <w:p w14:paraId="4456DCF9" w14:textId="77777777" w:rsidR="004C7180" w:rsidRPr="00150EDC" w:rsidRDefault="00CF0754" w:rsidP="00B320C7">
      <w:pPr>
        <w:pStyle w:val="ListParagraph"/>
        <w:numPr>
          <w:ilvl w:val="0"/>
          <w:numId w:val="51"/>
        </w:numPr>
        <w:tabs>
          <w:tab w:val="left" w:pos="1584"/>
          <w:tab w:val="left" w:pos="1587"/>
        </w:tabs>
        <w:spacing w:before="147" w:line="278" w:lineRule="auto"/>
        <w:ind w:right="4658"/>
        <w:rPr>
          <w:sz w:val="18"/>
        </w:rPr>
      </w:pPr>
      <w:r w:rsidRPr="00150EDC">
        <w:rPr>
          <w:sz w:val="18"/>
        </w:rPr>
        <w:t>This</w:t>
      </w:r>
      <w:r w:rsidRPr="00150EDC">
        <w:rPr>
          <w:spacing w:val="-1"/>
          <w:sz w:val="18"/>
        </w:rPr>
        <w:t xml:space="preserve"> </w:t>
      </w:r>
      <w:r w:rsidRPr="00150EDC">
        <w:rPr>
          <w:sz w:val="18"/>
        </w:rPr>
        <w:t>Order</w:t>
      </w:r>
      <w:r w:rsidRPr="00150EDC">
        <w:rPr>
          <w:spacing w:val="-1"/>
          <w:sz w:val="18"/>
        </w:rPr>
        <w:t xml:space="preserve"> </w:t>
      </w:r>
      <w:r w:rsidRPr="00150EDC">
        <w:rPr>
          <w:sz w:val="18"/>
        </w:rPr>
        <w:t>Form including the Order</w:t>
      </w:r>
      <w:r w:rsidRPr="00150EDC">
        <w:rPr>
          <w:spacing w:val="-1"/>
          <w:sz w:val="18"/>
        </w:rPr>
        <w:t xml:space="preserve"> </w:t>
      </w:r>
      <w:r w:rsidRPr="00150EDC">
        <w:rPr>
          <w:sz w:val="18"/>
        </w:rPr>
        <w:t>Special</w:t>
      </w:r>
      <w:r w:rsidRPr="00150EDC">
        <w:rPr>
          <w:spacing w:val="-3"/>
          <w:sz w:val="18"/>
        </w:rPr>
        <w:t xml:space="preserve"> </w:t>
      </w:r>
      <w:r w:rsidRPr="00150EDC">
        <w:rPr>
          <w:sz w:val="18"/>
        </w:rPr>
        <w:t>Terms</w:t>
      </w:r>
      <w:r w:rsidRPr="00150EDC">
        <w:rPr>
          <w:spacing w:val="-1"/>
          <w:sz w:val="18"/>
        </w:rPr>
        <w:t xml:space="preserve"> </w:t>
      </w:r>
      <w:r w:rsidRPr="00150EDC">
        <w:rPr>
          <w:sz w:val="18"/>
        </w:rPr>
        <w:t>and Order</w:t>
      </w:r>
      <w:r w:rsidRPr="00150EDC">
        <w:rPr>
          <w:spacing w:val="-2"/>
          <w:sz w:val="18"/>
        </w:rPr>
        <w:t xml:space="preserve"> </w:t>
      </w:r>
      <w:r w:rsidRPr="00150EDC">
        <w:rPr>
          <w:sz w:val="18"/>
        </w:rPr>
        <w:t xml:space="preserve">Special </w:t>
      </w:r>
      <w:r w:rsidRPr="00150EDC">
        <w:rPr>
          <w:spacing w:val="-2"/>
          <w:sz w:val="18"/>
        </w:rPr>
        <w:t>Schedules.</w:t>
      </w:r>
    </w:p>
    <w:p w14:paraId="53681F5D" w14:textId="77777777" w:rsidR="004C7180" w:rsidRPr="00150EDC" w:rsidRDefault="00CF0754" w:rsidP="00B320C7">
      <w:pPr>
        <w:pStyle w:val="ListParagraph"/>
        <w:numPr>
          <w:ilvl w:val="0"/>
          <w:numId w:val="51"/>
        </w:numPr>
        <w:tabs>
          <w:tab w:val="left" w:pos="1585"/>
        </w:tabs>
        <w:spacing w:line="206" w:lineRule="exact"/>
        <w:ind w:left="1585" w:hanging="269"/>
        <w:rPr>
          <w:sz w:val="18"/>
        </w:rPr>
      </w:pPr>
      <w:r w:rsidRPr="00150EDC">
        <w:rPr>
          <w:sz w:val="18"/>
        </w:rPr>
        <w:t>Joint</w:t>
      </w:r>
      <w:r w:rsidRPr="00150EDC">
        <w:rPr>
          <w:spacing w:val="-4"/>
          <w:sz w:val="18"/>
        </w:rPr>
        <w:t xml:space="preserve"> </w:t>
      </w:r>
      <w:r w:rsidRPr="00150EDC">
        <w:rPr>
          <w:sz w:val="18"/>
        </w:rPr>
        <w:t>Schedule</w:t>
      </w:r>
      <w:r w:rsidRPr="00150EDC">
        <w:rPr>
          <w:spacing w:val="-6"/>
          <w:sz w:val="18"/>
        </w:rPr>
        <w:t xml:space="preserve"> </w:t>
      </w:r>
      <w:r w:rsidRPr="00150EDC">
        <w:rPr>
          <w:sz w:val="18"/>
        </w:rPr>
        <w:t>1(Definitions</w:t>
      </w:r>
      <w:r w:rsidRPr="00150EDC">
        <w:rPr>
          <w:spacing w:val="-5"/>
          <w:sz w:val="18"/>
        </w:rPr>
        <w:t xml:space="preserve"> </w:t>
      </w:r>
      <w:r w:rsidRPr="00150EDC">
        <w:rPr>
          <w:sz w:val="18"/>
        </w:rPr>
        <w:t>and</w:t>
      </w:r>
      <w:r w:rsidRPr="00150EDC">
        <w:rPr>
          <w:spacing w:val="-4"/>
          <w:sz w:val="18"/>
        </w:rPr>
        <w:t xml:space="preserve"> </w:t>
      </w:r>
      <w:r w:rsidRPr="00150EDC">
        <w:rPr>
          <w:sz w:val="18"/>
        </w:rPr>
        <w:t>Interpretation)</w:t>
      </w:r>
      <w:r w:rsidRPr="00150EDC">
        <w:rPr>
          <w:spacing w:val="-5"/>
          <w:sz w:val="18"/>
        </w:rPr>
        <w:t xml:space="preserve"> </w:t>
      </w:r>
      <w:r w:rsidRPr="00150EDC">
        <w:rPr>
          <w:spacing w:val="-2"/>
          <w:sz w:val="18"/>
        </w:rPr>
        <w:t>RM6322</w:t>
      </w:r>
    </w:p>
    <w:p w14:paraId="5C8803A2" w14:textId="77777777" w:rsidR="004C7180" w:rsidRPr="00150EDC" w:rsidRDefault="00CF0754" w:rsidP="00B320C7">
      <w:pPr>
        <w:pStyle w:val="ListParagraph"/>
        <w:numPr>
          <w:ilvl w:val="0"/>
          <w:numId w:val="51"/>
        </w:numPr>
        <w:tabs>
          <w:tab w:val="left" w:pos="1585"/>
        </w:tabs>
        <w:spacing w:before="18"/>
        <w:ind w:left="1585" w:hanging="269"/>
        <w:rPr>
          <w:sz w:val="18"/>
        </w:rPr>
      </w:pPr>
      <w:r w:rsidRPr="00150EDC">
        <w:rPr>
          <w:sz w:val="18"/>
        </w:rPr>
        <w:t>DPS</w:t>
      </w:r>
      <w:r w:rsidRPr="00150EDC">
        <w:rPr>
          <w:spacing w:val="-2"/>
          <w:sz w:val="18"/>
        </w:rPr>
        <w:t xml:space="preserve"> </w:t>
      </w:r>
      <w:r w:rsidRPr="00150EDC">
        <w:rPr>
          <w:sz w:val="18"/>
        </w:rPr>
        <w:t>Special</w:t>
      </w:r>
      <w:r w:rsidRPr="00150EDC">
        <w:rPr>
          <w:spacing w:val="-1"/>
          <w:sz w:val="18"/>
        </w:rPr>
        <w:t xml:space="preserve"> </w:t>
      </w:r>
      <w:r w:rsidRPr="00150EDC">
        <w:rPr>
          <w:spacing w:val="-4"/>
          <w:sz w:val="18"/>
        </w:rPr>
        <w:t>Terms</w:t>
      </w:r>
    </w:p>
    <w:p w14:paraId="69003750" w14:textId="77777777" w:rsidR="004C7180" w:rsidRPr="00150EDC" w:rsidRDefault="00CF0754" w:rsidP="00B320C7">
      <w:pPr>
        <w:pStyle w:val="ListParagraph"/>
        <w:numPr>
          <w:ilvl w:val="0"/>
          <w:numId w:val="51"/>
        </w:numPr>
        <w:tabs>
          <w:tab w:val="left" w:pos="1585"/>
        </w:tabs>
        <w:spacing w:before="17"/>
        <w:ind w:left="1585" w:hanging="269"/>
        <w:rPr>
          <w:sz w:val="18"/>
        </w:rPr>
      </w:pPr>
      <w:r w:rsidRPr="00150EDC">
        <w:rPr>
          <w:sz w:val="18"/>
        </w:rPr>
        <w:t>The</w:t>
      </w:r>
      <w:r w:rsidRPr="00150EDC">
        <w:rPr>
          <w:spacing w:val="-2"/>
          <w:sz w:val="18"/>
        </w:rPr>
        <w:t xml:space="preserve"> </w:t>
      </w:r>
      <w:r w:rsidRPr="00150EDC">
        <w:rPr>
          <w:sz w:val="18"/>
        </w:rPr>
        <w:t>following</w:t>
      </w:r>
      <w:r w:rsidRPr="00150EDC">
        <w:rPr>
          <w:spacing w:val="-2"/>
          <w:sz w:val="18"/>
        </w:rPr>
        <w:t xml:space="preserve"> </w:t>
      </w:r>
      <w:r w:rsidRPr="00150EDC">
        <w:rPr>
          <w:sz w:val="18"/>
        </w:rPr>
        <w:t>Schedules</w:t>
      </w:r>
      <w:r w:rsidRPr="00150EDC">
        <w:rPr>
          <w:spacing w:val="-2"/>
          <w:sz w:val="18"/>
        </w:rPr>
        <w:t xml:space="preserve"> </w:t>
      </w:r>
      <w:r w:rsidRPr="00150EDC">
        <w:rPr>
          <w:sz w:val="18"/>
        </w:rPr>
        <w:t>in</w:t>
      </w:r>
      <w:r w:rsidRPr="00150EDC">
        <w:rPr>
          <w:spacing w:val="-2"/>
          <w:sz w:val="18"/>
        </w:rPr>
        <w:t xml:space="preserve"> </w:t>
      </w:r>
      <w:r w:rsidRPr="00150EDC">
        <w:rPr>
          <w:sz w:val="18"/>
        </w:rPr>
        <w:t>equal</w:t>
      </w:r>
      <w:r w:rsidRPr="00150EDC">
        <w:rPr>
          <w:spacing w:val="-4"/>
          <w:sz w:val="18"/>
        </w:rPr>
        <w:t xml:space="preserve"> </w:t>
      </w:r>
      <w:r w:rsidRPr="00150EDC">
        <w:rPr>
          <w:sz w:val="18"/>
        </w:rPr>
        <w:t>order</w:t>
      </w:r>
      <w:r w:rsidRPr="00150EDC">
        <w:rPr>
          <w:spacing w:val="-5"/>
          <w:sz w:val="18"/>
        </w:rPr>
        <w:t xml:space="preserve"> </w:t>
      </w:r>
      <w:r w:rsidRPr="00150EDC">
        <w:rPr>
          <w:sz w:val="18"/>
        </w:rPr>
        <w:t>of</w:t>
      </w:r>
      <w:r w:rsidRPr="00150EDC">
        <w:rPr>
          <w:spacing w:val="-1"/>
          <w:sz w:val="18"/>
        </w:rPr>
        <w:t xml:space="preserve"> </w:t>
      </w:r>
      <w:r w:rsidRPr="00150EDC">
        <w:rPr>
          <w:spacing w:val="-2"/>
          <w:sz w:val="18"/>
        </w:rPr>
        <w:t>precedence:</w:t>
      </w:r>
    </w:p>
    <w:p w14:paraId="4856F39E" w14:textId="77777777" w:rsidR="004C7180" w:rsidRPr="00150EDC" w:rsidRDefault="004C7180">
      <w:pPr>
        <w:pStyle w:val="BodyText"/>
        <w:rPr>
          <w:sz w:val="23"/>
        </w:rPr>
      </w:pPr>
    </w:p>
    <w:p w14:paraId="4ACCE265" w14:textId="77777777" w:rsidR="004C7180" w:rsidRPr="00150EDC" w:rsidRDefault="00CF0754" w:rsidP="00B320C7">
      <w:pPr>
        <w:pStyle w:val="ListParagraph"/>
        <w:numPr>
          <w:ilvl w:val="1"/>
          <w:numId w:val="51"/>
        </w:numPr>
        <w:tabs>
          <w:tab w:val="left" w:pos="1857"/>
        </w:tabs>
        <w:ind w:left="1857" w:hanging="270"/>
        <w:rPr>
          <w:sz w:val="18"/>
        </w:rPr>
      </w:pPr>
      <w:r w:rsidRPr="00150EDC">
        <w:rPr>
          <w:sz w:val="18"/>
        </w:rPr>
        <w:t>Joint</w:t>
      </w:r>
      <w:r w:rsidRPr="00150EDC">
        <w:rPr>
          <w:spacing w:val="-2"/>
          <w:sz w:val="18"/>
        </w:rPr>
        <w:t xml:space="preserve"> </w:t>
      </w:r>
      <w:r w:rsidRPr="00150EDC">
        <w:rPr>
          <w:sz w:val="18"/>
        </w:rPr>
        <w:t>Schedules</w:t>
      </w:r>
      <w:r w:rsidRPr="00150EDC">
        <w:rPr>
          <w:spacing w:val="-3"/>
          <w:sz w:val="18"/>
        </w:rPr>
        <w:t xml:space="preserve"> </w:t>
      </w:r>
      <w:r w:rsidRPr="00150EDC">
        <w:rPr>
          <w:sz w:val="18"/>
        </w:rPr>
        <w:t>for</w:t>
      </w:r>
      <w:r w:rsidRPr="00150EDC">
        <w:rPr>
          <w:spacing w:val="-2"/>
          <w:sz w:val="18"/>
        </w:rPr>
        <w:t xml:space="preserve"> RM6322</w:t>
      </w:r>
    </w:p>
    <w:p w14:paraId="3116090B" w14:textId="77777777" w:rsidR="004C7180" w:rsidRPr="00150EDC" w:rsidRDefault="00CF0754" w:rsidP="00B320C7">
      <w:pPr>
        <w:pStyle w:val="ListParagraph"/>
        <w:numPr>
          <w:ilvl w:val="2"/>
          <w:numId w:val="51"/>
        </w:numPr>
        <w:tabs>
          <w:tab w:val="left" w:pos="2399"/>
        </w:tabs>
        <w:spacing w:before="34"/>
        <w:ind w:left="2399" w:hanging="270"/>
        <w:rPr>
          <w:rFonts w:ascii="Courier New" w:hAnsi="Courier New"/>
          <w:sz w:val="18"/>
        </w:rPr>
      </w:pPr>
      <w:r w:rsidRPr="00150EDC">
        <w:rPr>
          <w:sz w:val="18"/>
        </w:rPr>
        <w:t>Joint</w:t>
      </w:r>
      <w:r w:rsidRPr="00150EDC">
        <w:rPr>
          <w:spacing w:val="-3"/>
          <w:sz w:val="18"/>
        </w:rPr>
        <w:t xml:space="preserve"> </w:t>
      </w:r>
      <w:r w:rsidRPr="00150EDC">
        <w:rPr>
          <w:sz w:val="18"/>
        </w:rPr>
        <w:t>Schedule</w:t>
      </w:r>
      <w:r w:rsidRPr="00150EDC">
        <w:rPr>
          <w:spacing w:val="-3"/>
          <w:sz w:val="18"/>
        </w:rPr>
        <w:t xml:space="preserve"> </w:t>
      </w:r>
      <w:r w:rsidRPr="00150EDC">
        <w:rPr>
          <w:sz w:val="18"/>
        </w:rPr>
        <w:t>2</w:t>
      </w:r>
      <w:r w:rsidRPr="00150EDC">
        <w:rPr>
          <w:spacing w:val="-2"/>
          <w:sz w:val="18"/>
        </w:rPr>
        <w:t xml:space="preserve"> </w:t>
      </w:r>
      <w:r w:rsidRPr="00150EDC">
        <w:rPr>
          <w:sz w:val="18"/>
        </w:rPr>
        <w:t>(Variation</w:t>
      </w:r>
      <w:r w:rsidRPr="00150EDC">
        <w:rPr>
          <w:spacing w:val="-2"/>
          <w:sz w:val="18"/>
        </w:rPr>
        <w:t xml:space="preserve"> </w:t>
      </w:r>
      <w:r w:rsidRPr="00150EDC">
        <w:rPr>
          <w:spacing w:val="-4"/>
          <w:sz w:val="18"/>
        </w:rPr>
        <w:t>Form)</w:t>
      </w:r>
    </w:p>
    <w:p w14:paraId="3565C85C" w14:textId="77777777" w:rsidR="004C7180" w:rsidRPr="00150EDC" w:rsidRDefault="00CF0754" w:rsidP="00B320C7">
      <w:pPr>
        <w:pStyle w:val="ListParagraph"/>
        <w:numPr>
          <w:ilvl w:val="2"/>
          <w:numId w:val="51"/>
        </w:numPr>
        <w:tabs>
          <w:tab w:val="left" w:pos="2399"/>
        </w:tabs>
        <w:spacing w:before="1"/>
        <w:ind w:left="2399" w:hanging="270"/>
        <w:rPr>
          <w:rFonts w:ascii="Courier New" w:hAnsi="Courier New"/>
          <w:sz w:val="18"/>
        </w:rPr>
      </w:pPr>
      <w:r w:rsidRPr="00150EDC">
        <w:rPr>
          <w:sz w:val="18"/>
        </w:rPr>
        <w:t>Joint</w:t>
      </w:r>
      <w:r w:rsidRPr="00150EDC">
        <w:rPr>
          <w:spacing w:val="-2"/>
          <w:sz w:val="18"/>
        </w:rPr>
        <w:t xml:space="preserve"> </w:t>
      </w:r>
      <w:r w:rsidRPr="00150EDC">
        <w:rPr>
          <w:sz w:val="18"/>
        </w:rPr>
        <w:t>Schedule</w:t>
      </w:r>
      <w:r w:rsidRPr="00150EDC">
        <w:rPr>
          <w:spacing w:val="-3"/>
          <w:sz w:val="18"/>
        </w:rPr>
        <w:t xml:space="preserve"> </w:t>
      </w:r>
      <w:r w:rsidRPr="00150EDC">
        <w:rPr>
          <w:sz w:val="18"/>
        </w:rPr>
        <w:t>3</w:t>
      </w:r>
      <w:r w:rsidRPr="00150EDC">
        <w:rPr>
          <w:spacing w:val="-2"/>
          <w:sz w:val="18"/>
        </w:rPr>
        <w:t xml:space="preserve"> </w:t>
      </w:r>
      <w:r w:rsidRPr="00150EDC">
        <w:rPr>
          <w:sz w:val="18"/>
        </w:rPr>
        <w:t>(Insurance</w:t>
      </w:r>
      <w:r w:rsidRPr="00150EDC">
        <w:rPr>
          <w:spacing w:val="-1"/>
          <w:sz w:val="18"/>
        </w:rPr>
        <w:t xml:space="preserve"> </w:t>
      </w:r>
      <w:r w:rsidRPr="00150EDC">
        <w:rPr>
          <w:spacing w:val="-2"/>
          <w:sz w:val="18"/>
        </w:rPr>
        <w:t>Requirements)</w:t>
      </w:r>
    </w:p>
    <w:p w14:paraId="1CC43157" w14:textId="77777777" w:rsidR="004C7180" w:rsidRPr="00150EDC" w:rsidRDefault="00CF0754" w:rsidP="00B320C7">
      <w:pPr>
        <w:pStyle w:val="ListParagraph"/>
        <w:numPr>
          <w:ilvl w:val="2"/>
          <w:numId w:val="51"/>
        </w:numPr>
        <w:tabs>
          <w:tab w:val="left" w:pos="2399"/>
        </w:tabs>
        <w:spacing w:before="1"/>
        <w:ind w:left="2399" w:hanging="270"/>
        <w:rPr>
          <w:rFonts w:ascii="Courier New" w:hAnsi="Courier New"/>
          <w:sz w:val="18"/>
        </w:rPr>
      </w:pPr>
      <w:r w:rsidRPr="00150EDC">
        <w:rPr>
          <w:sz w:val="18"/>
        </w:rPr>
        <w:t>Joint</w:t>
      </w:r>
      <w:r w:rsidRPr="00150EDC">
        <w:rPr>
          <w:spacing w:val="-3"/>
          <w:sz w:val="18"/>
        </w:rPr>
        <w:t xml:space="preserve"> </w:t>
      </w:r>
      <w:r w:rsidRPr="00150EDC">
        <w:rPr>
          <w:sz w:val="18"/>
        </w:rPr>
        <w:t>Schedule</w:t>
      </w:r>
      <w:r w:rsidRPr="00150EDC">
        <w:rPr>
          <w:spacing w:val="-4"/>
          <w:sz w:val="18"/>
        </w:rPr>
        <w:t xml:space="preserve"> </w:t>
      </w:r>
      <w:r w:rsidRPr="00150EDC">
        <w:rPr>
          <w:sz w:val="18"/>
        </w:rPr>
        <w:t>4</w:t>
      </w:r>
      <w:r w:rsidRPr="00150EDC">
        <w:rPr>
          <w:spacing w:val="-3"/>
          <w:sz w:val="18"/>
        </w:rPr>
        <w:t xml:space="preserve"> </w:t>
      </w:r>
      <w:r w:rsidRPr="00150EDC">
        <w:rPr>
          <w:sz w:val="18"/>
        </w:rPr>
        <w:t>(Commercially</w:t>
      </w:r>
      <w:r w:rsidRPr="00150EDC">
        <w:rPr>
          <w:spacing w:val="-3"/>
          <w:sz w:val="18"/>
        </w:rPr>
        <w:t xml:space="preserve"> </w:t>
      </w:r>
      <w:r w:rsidRPr="00150EDC">
        <w:rPr>
          <w:sz w:val="18"/>
        </w:rPr>
        <w:t>Sensitive</w:t>
      </w:r>
      <w:r w:rsidRPr="00150EDC">
        <w:rPr>
          <w:spacing w:val="-2"/>
          <w:sz w:val="18"/>
        </w:rPr>
        <w:t xml:space="preserve"> Information)</w:t>
      </w:r>
    </w:p>
    <w:p w14:paraId="2DA587C3" w14:textId="77777777" w:rsidR="004C7180" w:rsidRPr="00150EDC" w:rsidRDefault="00CF0754" w:rsidP="00B320C7">
      <w:pPr>
        <w:pStyle w:val="ListParagraph"/>
        <w:numPr>
          <w:ilvl w:val="2"/>
          <w:numId w:val="51"/>
        </w:numPr>
        <w:tabs>
          <w:tab w:val="left" w:pos="2399"/>
        </w:tabs>
        <w:spacing w:before="2"/>
        <w:ind w:left="2399" w:hanging="270"/>
        <w:rPr>
          <w:rFonts w:ascii="Courier New" w:hAnsi="Courier New"/>
          <w:sz w:val="18"/>
        </w:rPr>
      </w:pPr>
      <w:r w:rsidRPr="007D3144">
        <w:rPr>
          <w:sz w:val="18"/>
        </w:rPr>
        <w:t>Joint</w:t>
      </w:r>
      <w:r w:rsidRPr="007D3144">
        <w:rPr>
          <w:spacing w:val="-1"/>
          <w:sz w:val="18"/>
        </w:rPr>
        <w:t xml:space="preserve"> </w:t>
      </w:r>
      <w:r w:rsidRPr="007D3144">
        <w:rPr>
          <w:sz w:val="18"/>
        </w:rPr>
        <w:t>Schedule</w:t>
      </w:r>
      <w:r w:rsidRPr="007D3144">
        <w:rPr>
          <w:spacing w:val="-3"/>
          <w:sz w:val="18"/>
        </w:rPr>
        <w:t xml:space="preserve"> </w:t>
      </w:r>
      <w:r w:rsidRPr="007D3144">
        <w:rPr>
          <w:sz w:val="18"/>
        </w:rPr>
        <w:t>6</w:t>
      </w:r>
      <w:r w:rsidRPr="007D3144">
        <w:rPr>
          <w:spacing w:val="-1"/>
          <w:sz w:val="18"/>
        </w:rPr>
        <w:t xml:space="preserve"> </w:t>
      </w:r>
      <w:r w:rsidRPr="007D3144">
        <w:rPr>
          <w:sz w:val="18"/>
        </w:rPr>
        <w:t>(Key</w:t>
      </w:r>
      <w:r w:rsidRPr="007D3144">
        <w:rPr>
          <w:spacing w:val="-3"/>
          <w:sz w:val="18"/>
        </w:rPr>
        <w:t xml:space="preserve"> </w:t>
      </w:r>
      <w:r w:rsidRPr="00EE6F3E">
        <w:rPr>
          <w:spacing w:val="-2"/>
          <w:sz w:val="18"/>
        </w:rPr>
        <w:t>Subcontractors</w:t>
      </w:r>
      <w:r w:rsidRPr="007D3144">
        <w:rPr>
          <w:spacing w:val="-2"/>
          <w:sz w:val="18"/>
        </w:rPr>
        <w:t>)</w:t>
      </w:r>
    </w:p>
    <w:p w14:paraId="4255FD4F" w14:textId="77777777" w:rsidR="004C7180" w:rsidRPr="00150EDC" w:rsidRDefault="00CF0754" w:rsidP="00B320C7">
      <w:pPr>
        <w:pStyle w:val="ListParagraph"/>
        <w:numPr>
          <w:ilvl w:val="2"/>
          <w:numId w:val="51"/>
        </w:numPr>
        <w:tabs>
          <w:tab w:val="left" w:pos="2399"/>
        </w:tabs>
        <w:spacing w:before="1"/>
        <w:ind w:left="2399" w:hanging="270"/>
        <w:rPr>
          <w:rFonts w:ascii="Courier New" w:hAnsi="Courier New"/>
          <w:sz w:val="18"/>
        </w:rPr>
      </w:pPr>
      <w:r w:rsidRPr="00150EDC">
        <w:rPr>
          <w:sz w:val="18"/>
        </w:rPr>
        <w:t>Joint</w:t>
      </w:r>
      <w:r w:rsidRPr="00150EDC">
        <w:rPr>
          <w:spacing w:val="-2"/>
          <w:sz w:val="18"/>
        </w:rPr>
        <w:t xml:space="preserve"> </w:t>
      </w:r>
      <w:r w:rsidRPr="00150EDC">
        <w:rPr>
          <w:sz w:val="18"/>
        </w:rPr>
        <w:t>Schedule</w:t>
      </w:r>
      <w:r w:rsidRPr="00150EDC">
        <w:rPr>
          <w:spacing w:val="-4"/>
          <w:sz w:val="18"/>
        </w:rPr>
        <w:t xml:space="preserve"> </w:t>
      </w:r>
      <w:r w:rsidRPr="00150EDC">
        <w:rPr>
          <w:sz w:val="18"/>
        </w:rPr>
        <w:t>9</w:t>
      </w:r>
      <w:r w:rsidRPr="00150EDC">
        <w:rPr>
          <w:spacing w:val="-2"/>
          <w:sz w:val="18"/>
        </w:rPr>
        <w:t xml:space="preserve"> </w:t>
      </w:r>
      <w:r w:rsidRPr="00150EDC">
        <w:rPr>
          <w:sz w:val="18"/>
        </w:rPr>
        <w:t>(Minimum</w:t>
      </w:r>
      <w:r w:rsidRPr="00150EDC">
        <w:rPr>
          <w:spacing w:val="-1"/>
          <w:sz w:val="18"/>
        </w:rPr>
        <w:t xml:space="preserve"> </w:t>
      </w:r>
      <w:r w:rsidRPr="00150EDC">
        <w:rPr>
          <w:sz w:val="18"/>
        </w:rPr>
        <w:t>Standards</w:t>
      </w:r>
      <w:r w:rsidRPr="00150EDC">
        <w:rPr>
          <w:spacing w:val="-5"/>
          <w:sz w:val="18"/>
        </w:rPr>
        <w:t xml:space="preserve"> </w:t>
      </w:r>
      <w:r w:rsidRPr="00150EDC">
        <w:rPr>
          <w:sz w:val="18"/>
        </w:rPr>
        <w:t>of</w:t>
      </w:r>
      <w:r w:rsidRPr="00150EDC">
        <w:rPr>
          <w:spacing w:val="-1"/>
          <w:sz w:val="18"/>
        </w:rPr>
        <w:t xml:space="preserve"> </w:t>
      </w:r>
      <w:r w:rsidRPr="00150EDC">
        <w:rPr>
          <w:spacing w:val="-2"/>
          <w:sz w:val="18"/>
        </w:rPr>
        <w:t>Reliability)</w:t>
      </w:r>
    </w:p>
    <w:p w14:paraId="77E3A5C0" w14:textId="77777777" w:rsidR="004C7180" w:rsidRPr="00150EDC" w:rsidRDefault="00CF0754" w:rsidP="00B320C7">
      <w:pPr>
        <w:pStyle w:val="ListParagraph"/>
        <w:numPr>
          <w:ilvl w:val="2"/>
          <w:numId w:val="51"/>
        </w:numPr>
        <w:tabs>
          <w:tab w:val="left" w:pos="2399"/>
        </w:tabs>
        <w:spacing w:before="1"/>
        <w:ind w:left="2399" w:hanging="270"/>
        <w:rPr>
          <w:rFonts w:ascii="Courier New" w:hAnsi="Courier New"/>
          <w:sz w:val="18"/>
        </w:rPr>
      </w:pPr>
      <w:r w:rsidRPr="00150EDC">
        <w:rPr>
          <w:sz w:val="18"/>
        </w:rPr>
        <w:t>Joint</w:t>
      </w:r>
      <w:r w:rsidRPr="00150EDC">
        <w:rPr>
          <w:spacing w:val="-3"/>
          <w:sz w:val="18"/>
        </w:rPr>
        <w:t xml:space="preserve"> </w:t>
      </w:r>
      <w:r w:rsidRPr="00150EDC">
        <w:rPr>
          <w:sz w:val="18"/>
        </w:rPr>
        <w:t>Schedule</w:t>
      </w:r>
      <w:r w:rsidRPr="00150EDC">
        <w:rPr>
          <w:spacing w:val="-4"/>
          <w:sz w:val="18"/>
        </w:rPr>
        <w:t xml:space="preserve"> </w:t>
      </w:r>
      <w:r w:rsidRPr="00150EDC">
        <w:rPr>
          <w:sz w:val="18"/>
        </w:rPr>
        <w:t>10</w:t>
      </w:r>
      <w:r w:rsidRPr="00150EDC">
        <w:rPr>
          <w:spacing w:val="-2"/>
          <w:sz w:val="18"/>
        </w:rPr>
        <w:t xml:space="preserve"> </w:t>
      </w:r>
      <w:r w:rsidRPr="00150EDC">
        <w:rPr>
          <w:sz w:val="18"/>
        </w:rPr>
        <w:t>(Rectification</w:t>
      </w:r>
      <w:r w:rsidRPr="00150EDC">
        <w:rPr>
          <w:spacing w:val="-4"/>
          <w:sz w:val="18"/>
        </w:rPr>
        <w:t xml:space="preserve"> </w:t>
      </w:r>
      <w:r w:rsidRPr="00150EDC">
        <w:rPr>
          <w:spacing w:val="-2"/>
          <w:sz w:val="18"/>
        </w:rPr>
        <w:t>Plan)</w:t>
      </w:r>
    </w:p>
    <w:p w14:paraId="735A9FB9" w14:textId="77777777" w:rsidR="004C7180" w:rsidRPr="00150EDC" w:rsidRDefault="00CF0754" w:rsidP="00B320C7">
      <w:pPr>
        <w:pStyle w:val="ListParagraph"/>
        <w:numPr>
          <w:ilvl w:val="2"/>
          <w:numId w:val="51"/>
        </w:numPr>
        <w:tabs>
          <w:tab w:val="left" w:pos="2399"/>
        </w:tabs>
        <w:spacing w:before="2"/>
        <w:ind w:left="2399" w:hanging="270"/>
        <w:rPr>
          <w:rFonts w:ascii="Courier New" w:hAnsi="Courier New"/>
          <w:sz w:val="18"/>
        </w:rPr>
      </w:pPr>
      <w:r w:rsidRPr="00150EDC">
        <w:rPr>
          <w:sz w:val="18"/>
        </w:rPr>
        <w:t>Joint</w:t>
      </w:r>
      <w:r w:rsidRPr="00150EDC">
        <w:rPr>
          <w:spacing w:val="-3"/>
          <w:sz w:val="18"/>
        </w:rPr>
        <w:t xml:space="preserve"> </w:t>
      </w:r>
      <w:r w:rsidRPr="00150EDC">
        <w:rPr>
          <w:sz w:val="18"/>
        </w:rPr>
        <w:t>Schedule</w:t>
      </w:r>
      <w:r w:rsidRPr="00150EDC">
        <w:rPr>
          <w:spacing w:val="-3"/>
          <w:sz w:val="18"/>
        </w:rPr>
        <w:t xml:space="preserve"> </w:t>
      </w:r>
      <w:r w:rsidRPr="00150EDC">
        <w:rPr>
          <w:sz w:val="18"/>
        </w:rPr>
        <w:t>11</w:t>
      </w:r>
      <w:r w:rsidRPr="00150EDC">
        <w:rPr>
          <w:spacing w:val="-2"/>
          <w:sz w:val="18"/>
        </w:rPr>
        <w:t xml:space="preserve"> </w:t>
      </w:r>
      <w:r w:rsidRPr="00150EDC">
        <w:rPr>
          <w:sz w:val="18"/>
        </w:rPr>
        <w:t>(Processing</w:t>
      </w:r>
      <w:r w:rsidRPr="00150EDC">
        <w:rPr>
          <w:spacing w:val="-2"/>
          <w:sz w:val="18"/>
        </w:rPr>
        <w:t xml:space="preserve"> </w:t>
      </w:r>
      <w:r w:rsidRPr="00150EDC">
        <w:rPr>
          <w:spacing w:val="-4"/>
          <w:sz w:val="18"/>
        </w:rPr>
        <w:t>Data)</w:t>
      </w:r>
    </w:p>
    <w:p w14:paraId="76AE687A" w14:textId="77777777" w:rsidR="004C7180" w:rsidRPr="00150EDC" w:rsidRDefault="00CF0754" w:rsidP="00B320C7">
      <w:pPr>
        <w:pStyle w:val="ListParagraph"/>
        <w:numPr>
          <w:ilvl w:val="2"/>
          <w:numId w:val="51"/>
        </w:numPr>
        <w:tabs>
          <w:tab w:val="left" w:pos="2399"/>
        </w:tabs>
        <w:spacing w:before="1"/>
        <w:ind w:left="2399" w:hanging="270"/>
        <w:rPr>
          <w:rFonts w:ascii="Courier New" w:hAnsi="Courier New"/>
          <w:sz w:val="18"/>
        </w:rPr>
      </w:pPr>
      <w:r w:rsidRPr="00150EDC">
        <w:rPr>
          <w:sz w:val="18"/>
        </w:rPr>
        <w:t>Joint</w:t>
      </w:r>
      <w:r w:rsidRPr="00150EDC">
        <w:rPr>
          <w:spacing w:val="-3"/>
          <w:sz w:val="18"/>
        </w:rPr>
        <w:t xml:space="preserve"> </w:t>
      </w:r>
      <w:r w:rsidRPr="00150EDC">
        <w:rPr>
          <w:sz w:val="18"/>
        </w:rPr>
        <w:t>Schedule</w:t>
      </w:r>
      <w:r w:rsidRPr="00150EDC">
        <w:rPr>
          <w:spacing w:val="-4"/>
          <w:sz w:val="18"/>
        </w:rPr>
        <w:t xml:space="preserve"> </w:t>
      </w:r>
      <w:r w:rsidRPr="00150EDC">
        <w:rPr>
          <w:sz w:val="18"/>
        </w:rPr>
        <w:t>12</w:t>
      </w:r>
      <w:r w:rsidRPr="00150EDC">
        <w:rPr>
          <w:spacing w:val="-2"/>
          <w:sz w:val="18"/>
        </w:rPr>
        <w:t xml:space="preserve"> </w:t>
      </w:r>
      <w:r w:rsidRPr="00150EDC">
        <w:rPr>
          <w:sz w:val="18"/>
        </w:rPr>
        <w:t>(Supply</w:t>
      </w:r>
      <w:r w:rsidRPr="00150EDC">
        <w:rPr>
          <w:spacing w:val="-3"/>
          <w:sz w:val="18"/>
        </w:rPr>
        <w:t xml:space="preserve"> </w:t>
      </w:r>
      <w:r w:rsidRPr="00150EDC">
        <w:rPr>
          <w:sz w:val="18"/>
        </w:rPr>
        <w:t>Chain</w:t>
      </w:r>
      <w:r w:rsidRPr="00150EDC">
        <w:rPr>
          <w:spacing w:val="-3"/>
          <w:sz w:val="18"/>
        </w:rPr>
        <w:t xml:space="preserve"> </w:t>
      </w:r>
      <w:r w:rsidRPr="00150EDC">
        <w:rPr>
          <w:spacing w:val="-2"/>
          <w:sz w:val="18"/>
        </w:rPr>
        <w:t>Visibility)</w:t>
      </w:r>
    </w:p>
    <w:p w14:paraId="1BEAFC4B" w14:textId="77777777" w:rsidR="004C7180" w:rsidRPr="00150EDC" w:rsidRDefault="00CF0754" w:rsidP="00B320C7">
      <w:pPr>
        <w:pStyle w:val="ListParagraph"/>
        <w:numPr>
          <w:ilvl w:val="1"/>
          <w:numId w:val="51"/>
        </w:numPr>
        <w:tabs>
          <w:tab w:val="left" w:pos="1857"/>
        </w:tabs>
        <w:spacing w:before="25"/>
        <w:ind w:left="1857" w:hanging="270"/>
        <w:rPr>
          <w:sz w:val="18"/>
        </w:rPr>
      </w:pPr>
      <w:r w:rsidRPr="00150EDC">
        <w:rPr>
          <w:sz w:val="18"/>
        </w:rPr>
        <w:t>Order</w:t>
      </w:r>
      <w:r w:rsidRPr="00150EDC">
        <w:rPr>
          <w:spacing w:val="-4"/>
          <w:sz w:val="18"/>
        </w:rPr>
        <w:t xml:space="preserve"> </w:t>
      </w:r>
      <w:r w:rsidRPr="00150EDC">
        <w:rPr>
          <w:sz w:val="18"/>
        </w:rPr>
        <w:t>Schedules</w:t>
      </w:r>
      <w:r w:rsidRPr="00150EDC">
        <w:rPr>
          <w:spacing w:val="-2"/>
          <w:sz w:val="18"/>
        </w:rPr>
        <w:t xml:space="preserve"> </w:t>
      </w:r>
      <w:r w:rsidRPr="00150EDC">
        <w:rPr>
          <w:sz w:val="18"/>
        </w:rPr>
        <w:t>for</w:t>
      </w:r>
      <w:r w:rsidRPr="00150EDC">
        <w:rPr>
          <w:spacing w:val="-2"/>
          <w:sz w:val="18"/>
        </w:rPr>
        <w:t xml:space="preserve"> RM6322</w:t>
      </w:r>
    </w:p>
    <w:p w14:paraId="20DD9959" w14:textId="77777777" w:rsidR="004C7180" w:rsidRPr="00150EDC" w:rsidRDefault="00CF0754" w:rsidP="00B320C7">
      <w:pPr>
        <w:pStyle w:val="ListParagraph"/>
        <w:numPr>
          <w:ilvl w:val="2"/>
          <w:numId w:val="51"/>
        </w:numPr>
        <w:tabs>
          <w:tab w:val="left" w:pos="2399"/>
        </w:tabs>
        <w:spacing w:before="33"/>
        <w:ind w:left="2399" w:hanging="270"/>
        <w:rPr>
          <w:rFonts w:ascii="Courier New" w:hAnsi="Courier New"/>
          <w:sz w:val="18"/>
        </w:rPr>
      </w:pPr>
      <w:r w:rsidRPr="00150EDC">
        <w:rPr>
          <w:sz w:val="18"/>
        </w:rPr>
        <w:t>Order</w:t>
      </w:r>
      <w:r w:rsidRPr="00150EDC">
        <w:rPr>
          <w:spacing w:val="-4"/>
          <w:sz w:val="18"/>
        </w:rPr>
        <w:t xml:space="preserve"> </w:t>
      </w:r>
      <w:r w:rsidRPr="00150EDC">
        <w:rPr>
          <w:sz w:val="18"/>
        </w:rPr>
        <w:t>Schedule</w:t>
      </w:r>
      <w:r w:rsidRPr="00150EDC">
        <w:rPr>
          <w:spacing w:val="-2"/>
          <w:sz w:val="18"/>
        </w:rPr>
        <w:t xml:space="preserve"> </w:t>
      </w:r>
      <w:r w:rsidRPr="00150EDC">
        <w:rPr>
          <w:sz w:val="18"/>
        </w:rPr>
        <w:t>1</w:t>
      </w:r>
      <w:r w:rsidRPr="00150EDC">
        <w:rPr>
          <w:spacing w:val="-3"/>
          <w:sz w:val="18"/>
        </w:rPr>
        <w:t xml:space="preserve"> </w:t>
      </w:r>
      <w:r w:rsidRPr="00150EDC">
        <w:rPr>
          <w:sz w:val="18"/>
        </w:rPr>
        <w:t>(Transparency</w:t>
      </w:r>
      <w:r w:rsidRPr="00150EDC">
        <w:rPr>
          <w:spacing w:val="-3"/>
          <w:sz w:val="18"/>
        </w:rPr>
        <w:t xml:space="preserve"> </w:t>
      </w:r>
      <w:r w:rsidRPr="00150EDC">
        <w:rPr>
          <w:spacing w:val="-2"/>
          <w:sz w:val="18"/>
        </w:rPr>
        <w:t>Reports)</w:t>
      </w:r>
    </w:p>
    <w:p w14:paraId="7050A579" w14:textId="77777777" w:rsidR="004C7180" w:rsidRPr="00150EDC" w:rsidRDefault="00CF0754" w:rsidP="00B320C7">
      <w:pPr>
        <w:pStyle w:val="ListParagraph"/>
        <w:numPr>
          <w:ilvl w:val="2"/>
          <w:numId w:val="51"/>
        </w:numPr>
        <w:tabs>
          <w:tab w:val="left" w:pos="2399"/>
        </w:tabs>
        <w:spacing w:before="2"/>
        <w:ind w:left="2399" w:hanging="270"/>
        <w:rPr>
          <w:rFonts w:ascii="Courier New" w:hAnsi="Courier New"/>
          <w:sz w:val="18"/>
        </w:rPr>
      </w:pPr>
      <w:r w:rsidRPr="00150EDC">
        <w:rPr>
          <w:sz w:val="18"/>
        </w:rPr>
        <w:t>Order</w:t>
      </w:r>
      <w:r w:rsidRPr="00150EDC">
        <w:rPr>
          <w:spacing w:val="-3"/>
          <w:sz w:val="18"/>
        </w:rPr>
        <w:t xml:space="preserve"> </w:t>
      </w:r>
      <w:r w:rsidRPr="00150EDC">
        <w:rPr>
          <w:sz w:val="18"/>
        </w:rPr>
        <w:t>Schedule</w:t>
      </w:r>
      <w:r w:rsidRPr="00150EDC">
        <w:rPr>
          <w:spacing w:val="-2"/>
          <w:sz w:val="18"/>
        </w:rPr>
        <w:t xml:space="preserve"> </w:t>
      </w:r>
      <w:r w:rsidRPr="00150EDC">
        <w:rPr>
          <w:sz w:val="18"/>
        </w:rPr>
        <w:t>2</w:t>
      </w:r>
      <w:r w:rsidRPr="00150EDC">
        <w:rPr>
          <w:spacing w:val="-2"/>
          <w:sz w:val="18"/>
        </w:rPr>
        <w:t xml:space="preserve"> </w:t>
      </w:r>
      <w:r w:rsidRPr="00150EDC">
        <w:rPr>
          <w:sz w:val="18"/>
        </w:rPr>
        <w:t>(Staff</w:t>
      </w:r>
      <w:r w:rsidRPr="00150EDC">
        <w:rPr>
          <w:spacing w:val="-2"/>
          <w:sz w:val="18"/>
        </w:rPr>
        <w:t xml:space="preserve"> Transfer)</w:t>
      </w:r>
    </w:p>
    <w:p w14:paraId="60E9115C" w14:textId="77777777" w:rsidR="004C7180" w:rsidRPr="00150EDC" w:rsidRDefault="00CF0754" w:rsidP="00B320C7">
      <w:pPr>
        <w:pStyle w:val="ListParagraph"/>
        <w:numPr>
          <w:ilvl w:val="2"/>
          <w:numId w:val="51"/>
        </w:numPr>
        <w:tabs>
          <w:tab w:val="left" w:pos="2399"/>
        </w:tabs>
        <w:spacing w:before="1"/>
        <w:ind w:left="2399" w:hanging="270"/>
        <w:rPr>
          <w:rFonts w:ascii="Courier New" w:hAnsi="Courier New"/>
          <w:sz w:val="18"/>
        </w:rPr>
      </w:pPr>
      <w:r w:rsidRPr="00150EDC">
        <w:rPr>
          <w:sz w:val="18"/>
        </w:rPr>
        <w:t>Order</w:t>
      </w:r>
      <w:r w:rsidRPr="00150EDC">
        <w:rPr>
          <w:spacing w:val="-4"/>
          <w:sz w:val="18"/>
        </w:rPr>
        <w:t xml:space="preserve"> </w:t>
      </w:r>
      <w:r w:rsidRPr="00150EDC">
        <w:rPr>
          <w:sz w:val="18"/>
        </w:rPr>
        <w:t>Schedule</w:t>
      </w:r>
      <w:r w:rsidRPr="00150EDC">
        <w:rPr>
          <w:spacing w:val="-2"/>
          <w:sz w:val="18"/>
        </w:rPr>
        <w:t xml:space="preserve"> </w:t>
      </w:r>
      <w:r w:rsidRPr="00150EDC">
        <w:rPr>
          <w:sz w:val="18"/>
        </w:rPr>
        <w:t>3</w:t>
      </w:r>
      <w:r w:rsidRPr="00150EDC">
        <w:rPr>
          <w:spacing w:val="-2"/>
          <w:sz w:val="18"/>
        </w:rPr>
        <w:t xml:space="preserve"> </w:t>
      </w:r>
      <w:r w:rsidRPr="00150EDC">
        <w:rPr>
          <w:sz w:val="18"/>
        </w:rPr>
        <w:t>(Continuous</w:t>
      </w:r>
      <w:r w:rsidRPr="00150EDC">
        <w:rPr>
          <w:spacing w:val="-3"/>
          <w:sz w:val="18"/>
        </w:rPr>
        <w:t xml:space="preserve"> </w:t>
      </w:r>
      <w:r w:rsidRPr="00150EDC">
        <w:rPr>
          <w:spacing w:val="-2"/>
          <w:sz w:val="18"/>
        </w:rPr>
        <w:t>Improvement)</w:t>
      </w:r>
    </w:p>
    <w:p w14:paraId="684BE0BE" w14:textId="77777777" w:rsidR="004C7180" w:rsidRPr="00150EDC" w:rsidRDefault="00CF0754" w:rsidP="00B320C7">
      <w:pPr>
        <w:pStyle w:val="ListParagraph"/>
        <w:numPr>
          <w:ilvl w:val="2"/>
          <w:numId w:val="51"/>
        </w:numPr>
        <w:tabs>
          <w:tab w:val="left" w:pos="2399"/>
        </w:tabs>
        <w:spacing w:before="1"/>
        <w:ind w:left="2399" w:hanging="270"/>
        <w:rPr>
          <w:rFonts w:ascii="Courier New" w:hAnsi="Courier New"/>
          <w:sz w:val="18"/>
        </w:rPr>
      </w:pPr>
      <w:r w:rsidRPr="00150EDC">
        <w:rPr>
          <w:sz w:val="18"/>
        </w:rPr>
        <w:t>Order</w:t>
      </w:r>
      <w:r w:rsidRPr="00150EDC">
        <w:rPr>
          <w:spacing w:val="-3"/>
          <w:sz w:val="18"/>
        </w:rPr>
        <w:t xml:space="preserve"> </w:t>
      </w:r>
      <w:r w:rsidRPr="00150EDC">
        <w:rPr>
          <w:sz w:val="18"/>
        </w:rPr>
        <w:t>Schedule</w:t>
      </w:r>
      <w:r w:rsidRPr="00150EDC">
        <w:rPr>
          <w:spacing w:val="-2"/>
          <w:sz w:val="18"/>
        </w:rPr>
        <w:t xml:space="preserve"> </w:t>
      </w:r>
      <w:r w:rsidRPr="00150EDC">
        <w:rPr>
          <w:sz w:val="18"/>
        </w:rPr>
        <w:t>5</w:t>
      </w:r>
      <w:r w:rsidRPr="00150EDC">
        <w:rPr>
          <w:spacing w:val="-2"/>
          <w:sz w:val="18"/>
        </w:rPr>
        <w:t xml:space="preserve"> </w:t>
      </w:r>
      <w:r w:rsidRPr="00150EDC">
        <w:rPr>
          <w:sz w:val="18"/>
        </w:rPr>
        <w:t>(Pricing</w:t>
      </w:r>
      <w:r w:rsidRPr="00150EDC">
        <w:rPr>
          <w:spacing w:val="-2"/>
          <w:sz w:val="18"/>
        </w:rPr>
        <w:t xml:space="preserve"> Details)</w:t>
      </w:r>
    </w:p>
    <w:p w14:paraId="41F9CF8F" w14:textId="77777777" w:rsidR="004C7180" w:rsidRPr="00150EDC" w:rsidRDefault="00CF0754" w:rsidP="00B320C7">
      <w:pPr>
        <w:pStyle w:val="ListParagraph"/>
        <w:numPr>
          <w:ilvl w:val="2"/>
          <w:numId w:val="51"/>
        </w:numPr>
        <w:tabs>
          <w:tab w:val="left" w:pos="2399"/>
        </w:tabs>
        <w:spacing w:before="1"/>
        <w:ind w:left="2399" w:hanging="270"/>
        <w:rPr>
          <w:rFonts w:ascii="Courier New" w:hAnsi="Courier New"/>
          <w:sz w:val="18"/>
        </w:rPr>
      </w:pPr>
      <w:r w:rsidRPr="00150EDC">
        <w:rPr>
          <w:sz w:val="18"/>
        </w:rPr>
        <w:t>Order</w:t>
      </w:r>
      <w:r w:rsidRPr="00150EDC">
        <w:rPr>
          <w:spacing w:val="-3"/>
          <w:sz w:val="18"/>
        </w:rPr>
        <w:t xml:space="preserve"> </w:t>
      </w:r>
      <w:r w:rsidRPr="00150EDC">
        <w:rPr>
          <w:sz w:val="18"/>
        </w:rPr>
        <w:t>Schedule</w:t>
      </w:r>
      <w:r w:rsidRPr="00150EDC">
        <w:rPr>
          <w:spacing w:val="-2"/>
          <w:sz w:val="18"/>
        </w:rPr>
        <w:t xml:space="preserve"> </w:t>
      </w:r>
      <w:r w:rsidRPr="00150EDC">
        <w:rPr>
          <w:sz w:val="18"/>
        </w:rPr>
        <w:t>7</w:t>
      </w:r>
      <w:r w:rsidRPr="00150EDC">
        <w:rPr>
          <w:spacing w:val="-1"/>
          <w:sz w:val="18"/>
        </w:rPr>
        <w:t xml:space="preserve"> </w:t>
      </w:r>
      <w:r w:rsidRPr="00150EDC">
        <w:rPr>
          <w:sz w:val="18"/>
        </w:rPr>
        <w:t>(Key</w:t>
      </w:r>
      <w:r w:rsidRPr="00150EDC">
        <w:rPr>
          <w:spacing w:val="-5"/>
          <w:sz w:val="18"/>
        </w:rPr>
        <w:t xml:space="preserve"> </w:t>
      </w:r>
      <w:r w:rsidRPr="00150EDC">
        <w:rPr>
          <w:sz w:val="18"/>
        </w:rPr>
        <w:t>Supplier</w:t>
      </w:r>
      <w:r w:rsidRPr="00150EDC">
        <w:rPr>
          <w:spacing w:val="-2"/>
          <w:sz w:val="18"/>
        </w:rPr>
        <w:t xml:space="preserve"> Staff)</w:t>
      </w:r>
    </w:p>
    <w:p w14:paraId="279C886D" w14:textId="77777777" w:rsidR="004C7180" w:rsidRPr="00150EDC" w:rsidRDefault="00CF0754" w:rsidP="00B320C7">
      <w:pPr>
        <w:pStyle w:val="ListParagraph"/>
        <w:numPr>
          <w:ilvl w:val="2"/>
          <w:numId w:val="51"/>
        </w:numPr>
        <w:tabs>
          <w:tab w:val="left" w:pos="2399"/>
        </w:tabs>
        <w:spacing w:before="2"/>
        <w:ind w:left="2399" w:hanging="270"/>
        <w:rPr>
          <w:rFonts w:ascii="Courier New" w:hAnsi="Courier New"/>
          <w:sz w:val="18"/>
        </w:rPr>
      </w:pPr>
      <w:r w:rsidRPr="00150EDC">
        <w:rPr>
          <w:sz w:val="18"/>
        </w:rPr>
        <w:t>Order</w:t>
      </w:r>
      <w:r w:rsidRPr="00150EDC">
        <w:rPr>
          <w:spacing w:val="45"/>
          <w:sz w:val="18"/>
        </w:rPr>
        <w:t xml:space="preserve"> </w:t>
      </w:r>
      <w:r w:rsidRPr="00150EDC">
        <w:rPr>
          <w:sz w:val="18"/>
        </w:rPr>
        <w:t>Schedule</w:t>
      </w:r>
      <w:r w:rsidRPr="00150EDC">
        <w:rPr>
          <w:spacing w:val="-1"/>
          <w:sz w:val="18"/>
        </w:rPr>
        <w:t xml:space="preserve"> </w:t>
      </w:r>
      <w:r w:rsidRPr="00150EDC">
        <w:rPr>
          <w:sz w:val="18"/>
        </w:rPr>
        <w:t>8</w:t>
      </w:r>
      <w:r w:rsidRPr="00150EDC">
        <w:rPr>
          <w:spacing w:val="-3"/>
          <w:sz w:val="18"/>
        </w:rPr>
        <w:t xml:space="preserve"> </w:t>
      </w:r>
      <w:r w:rsidRPr="00150EDC">
        <w:rPr>
          <w:sz w:val="18"/>
        </w:rPr>
        <w:t>(Business</w:t>
      </w:r>
      <w:r w:rsidRPr="00150EDC">
        <w:rPr>
          <w:spacing w:val="-2"/>
          <w:sz w:val="18"/>
        </w:rPr>
        <w:t xml:space="preserve"> </w:t>
      </w:r>
      <w:r w:rsidRPr="00150EDC">
        <w:rPr>
          <w:sz w:val="18"/>
        </w:rPr>
        <w:t>Continuity</w:t>
      </w:r>
      <w:r w:rsidRPr="00150EDC">
        <w:rPr>
          <w:spacing w:val="-4"/>
          <w:sz w:val="18"/>
        </w:rPr>
        <w:t xml:space="preserve"> </w:t>
      </w:r>
      <w:r w:rsidRPr="00150EDC">
        <w:rPr>
          <w:sz w:val="18"/>
        </w:rPr>
        <w:t>and</w:t>
      </w:r>
      <w:r w:rsidRPr="00150EDC">
        <w:rPr>
          <w:spacing w:val="-5"/>
          <w:sz w:val="18"/>
        </w:rPr>
        <w:t xml:space="preserve"> </w:t>
      </w:r>
      <w:r w:rsidRPr="00150EDC">
        <w:rPr>
          <w:sz w:val="18"/>
        </w:rPr>
        <w:t>Disaster</w:t>
      </w:r>
      <w:r w:rsidRPr="00150EDC">
        <w:rPr>
          <w:spacing w:val="-2"/>
          <w:sz w:val="18"/>
        </w:rPr>
        <w:t xml:space="preserve"> Recovery)</w:t>
      </w:r>
    </w:p>
    <w:p w14:paraId="3B2A9185" w14:textId="77777777" w:rsidR="004C7180" w:rsidRPr="00150EDC" w:rsidRDefault="00CF0754" w:rsidP="00B320C7">
      <w:pPr>
        <w:pStyle w:val="ListParagraph"/>
        <w:numPr>
          <w:ilvl w:val="2"/>
          <w:numId w:val="51"/>
        </w:numPr>
        <w:tabs>
          <w:tab w:val="left" w:pos="2399"/>
        </w:tabs>
        <w:spacing w:before="1"/>
        <w:ind w:left="2399" w:hanging="270"/>
        <w:rPr>
          <w:rFonts w:ascii="Courier New" w:hAnsi="Courier New"/>
          <w:sz w:val="18"/>
        </w:rPr>
      </w:pPr>
      <w:r w:rsidRPr="00150EDC">
        <w:rPr>
          <w:sz w:val="18"/>
        </w:rPr>
        <w:t>Order</w:t>
      </w:r>
      <w:r w:rsidRPr="00150EDC">
        <w:rPr>
          <w:spacing w:val="-2"/>
          <w:sz w:val="18"/>
        </w:rPr>
        <w:t xml:space="preserve"> </w:t>
      </w:r>
      <w:r w:rsidRPr="00150EDC">
        <w:rPr>
          <w:sz w:val="18"/>
        </w:rPr>
        <w:t>Schedule</w:t>
      </w:r>
      <w:r w:rsidRPr="00150EDC">
        <w:rPr>
          <w:spacing w:val="-1"/>
          <w:sz w:val="18"/>
        </w:rPr>
        <w:t xml:space="preserve"> </w:t>
      </w:r>
      <w:r w:rsidRPr="00150EDC">
        <w:rPr>
          <w:sz w:val="18"/>
        </w:rPr>
        <w:t>9</w:t>
      </w:r>
      <w:r w:rsidRPr="00150EDC">
        <w:rPr>
          <w:spacing w:val="-1"/>
          <w:sz w:val="18"/>
        </w:rPr>
        <w:t xml:space="preserve"> </w:t>
      </w:r>
      <w:r w:rsidRPr="00150EDC">
        <w:rPr>
          <w:spacing w:val="-2"/>
          <w:sz w:val="18"/>
        </w:rPr>
        <w:t>(Security)</w:t>
      </w:r>
    </w:p>
    <w:p w14:paraId="6B1D5F93" w14:textId="77777777" w:rsidR="004C7180" w:rsidRPr="00150EDC" w:rsidRDefault="00CF0754" w:rsidP="00B320C7">
      <w:pPr>
        <w:pStyle w:val="ListParagraph"/>
        <w:numPr>
          <w:ilvl w:val="2"/>
          <w:numId w:val="51"/>
        </w:numPr>
        <w:tabs>
          <w:tab w:val="left" w:pos="2399"/>
        </w:tabs>
        <w:spacing w:before="1"/>
        <w:ind w:left="2399" w:hanging="270"/>
        <w:rPr>
          <w:rFonts w:ascii="Courier New" w:hAnsi="Courier New"/>
          <w:sz w:val="18"/>
        </w:rPr>
      </w:pPr>
      <w:r w:rsidRPr="00150EDC">
        <w:rPr>
          <w:sz w:val="18"/>
        </w:rPr>
        <w:t>Order</w:t>
      </w:r>
      <w:r w:rsidRPr="00150EDC">
        <w:rPr>
          <w:spacing w:val="-3"/>
          <w:sz w:val="18"/>
        </w:rPr>
        <w:t xml:space="preserve"> </w:t>
      </w:r>
      <w:r w:rsidRPr="00150EDC">
        <w:rPr>
          <w:sz w:val="18"/>
        </w:rPr>
        <w:t>Schedule</w:t>
      </w:r>
      <w:r w:rsidRPr="00150EDC">
        <w:rPr>
          <w:spacing w:val="-2"/>
          <w:sz w:val="18"/>
        </w:rPr>
        <w:t xml:space="preserve"> </w:t>
      </w:r>
      <w:r w:rsidRPr="00150EDC">
        <w:rPr>
          <w:sz w:val="18"/>
        </w:rPr>
        <w:t>10</w:t>
      </w:r>
      <w:r w:rsidRPr="00150EDC">
        <w:rPr>
          <w:spacing w:val="-2"/>
          <w:sz w:val="18"/>
        </w:rPr>
        <w:t xml:space="preserve"> </w:t>
      </w:r>
      <w:r w:rsidRPr="00150EDC">
        <w:rPr>
          <w:sz w:val="18"/>
        </w:rPr>
        <w:t>(Exit</w:t>
      </w:r>
      <w:r w:rsidRPr="00150EDC">
        <w:rPr>
          <w:spacing w:val="-2"/>
          <w:sz w:val="18"/>
        </w:rPr>
        <w:t xml:space="preserve"> Management)</w:t>
      </w:r>
    </w:p>
    <w:p w14:paraId="60E87673" w14:textId="77777777" w:rsidR="004C7180" w:rsidRPr="00150EDC" w:rsidRDefault="00CF0754" w:rsidP="00B320C7">
      <w:pPr>
        <w:pStyle w:val="ListParagraph"/>
        <w:numPr>
          <w:ilvl w:val="2"/>
          <w:numId w:val="51"/>
        </w:numPr>
        <w:tabs>
          <w:tab w:val="left" w:pos="2399"/>
        </w:tabs>
        <w:spacing w:before="2"/>
        <w:ind w:left="2399" w:hanging="270"/>
        <w:rPr>
          <w:rFonts w:ascii="Courier New" w:hAnsi="Courier New"/>
          <w:sz w:val="18"/>
        </w:rPr>
      </w:pPr>
      <w:r w:rsidRPr="00150EDC">
        <w:rPr>
          <w:sz w:val="18"/>
        </w:rPr>
        <w:t>Order</w:t>
      </w:r>
      <w:r w:rsidRPr="00150EDC">
        <w:rPr>
          <w:spacing w:val="-4"/>
          <w:sz w:val="18"/>
        </w:rPr>
        <w:t xml:space="preserve"> </w:t>
      </w:r>
      <w:r w:rsidRPr="00150EDC">
        <w:rPr>
          <w:sz w:val="18"/>
        </w:rPr>
        <w:t>Schedule</w:t>
      </w:r>
      <w:r w:rsidRPr="00150EDC">
        <w:rPr>
          <w:spacing w:val="-2"/>
          <w:sz w:val="18"/>
        </w:rPr>
        <w:t xml:space="preserve"> </w:t>
      </w:r>
      <w:r w:rsidRPr="00150EDC">
        <w:rPr>
          <w:sz w:val="18"/>
        </w:rPr>
        <w:t>14</w:t>
      </w:r>
      <w:r w:rsidRPr="00150EDC">
        <w:rPr>
          <w:spacing w:val="-2"/>
          <w:sz w:val="18"/>
        </w:rPr>
        <w:t xml:space="preserve"> </w:t>
      </w:r>
      <w:r w:rsidRPr="00150EDC">
        <w:rPr>
          <w:sz w:val="18"/>
        </w:rPr>
        <w:t>(Service</w:t>
      </w:r>
      <w:r w:rsidRPr="00150EDC">
        <w:rPr>
          <w:spacing w:val="-2"/>
          <w:sz w:val="18"/>
        </w:rPr>
        <w:t xml:space="preserve"> Levels)</w:t>
      </w:r>
    </w:p>
    <w:p w14:paraId="5114F0EB" w14:textId="77777777" w:rsidR="004C7180" w:rsidRPr="00150EDC" w:rsidRDefault="00CF0754" w:rsidP="00B320C7">
      <w:pPr>
        <w:pStyle w:val="ListParagraph"/>
        <w:numPr>
          <w:ilvl w:val="2"/>
          <w:numId w:val="51"/>
        </w:numPr>
        <w:tabs>
          <w:tab w:val="left" w:pos="2399"/>
        </w:tabs>
        <w:spacing w:before="1"/>
        <w:ind w:left="2399" w:hanging="270"/>
        <w:rPr>
          <w:rFonts w:ascii="Courier New" w:hAnsi="Courier New"/>
          <w:sz w:val="18"/>
        </w:rPr>
      </w:pPr>
      <w:r w:rsidRPr="00150EDC">
        <w:rPr>
          <w:sz w:val="18"/>
        </w:rPr>
        <w:t>Order</w:t>
      </w:r>
      <w:r w:rsidRPr="00150EDC">
        <w:rPr>
          <w:spacing w:val="-3"/>
          <w:sz w:val="18"/>
        </w:rPr>
        <w:t xml:space="preserve"> </w:t>
      </w:r>
      <w:r w:rsidRPr="00150EDC">
        <w:rPr>
          <w:sz w:val="18"/>
        </w:rPr>
        <w:t>Schedule</w:t>
      </w:r>
      <w:r w:rsidRPr="00150EDC">
        <w:rPr>
          <w:spacing w:val="-2"/>
          <w:sz w:val="18"/>
        </w:rPr>
        <w:t xml:space="preserve"> </w:t>
      </w:r>
      <w:r w:rsidRPr="00150EDC">
        <w:rPr>
          <w:sz w:val="18"/>
        </w:rPr>
        <w:t>15</w:t>
      </w:r>
      <w:r w:rsidRPr="00150EDC">
        <w:rPr>
          <w:spacing w:val="-2"/>
          <w:sz w:val="18"/>
        </w:rPr>
        <w:t xml:space="preserve"> </w:t>
      </w:r>
      <w:r w:rsidRPr="00150EDC">
        <w:rPr>
          <w:sz w:val="18"/>
        </w:rPr>
        <w:t>(Order</w:t>
      </w:r>
      <w:r w:rsidRPr="00150EDC">
        <w:rPr>
          <w:spacing w:val="-3"/>
          <w:sz w:val="18"/>
        </w:rPr>
        <w:t xml:space="preserve"> </w:t>
      </w:r>
      <w:r w:rsidRPr="00150EDC">
        <w:rPr>
          <w:sz w:val="18"/>
        </w:rPr>
        <w:t>Contract</w:t>
      </w:r>
      <w:r w:rsidRPr="00150EDC">
        <w:rPr>
          <w:spacing w:val="-1"/>
          <w:sz w:val="18"/>
        </w:rPr>
        <w:t xml:space="preserve"> </w:t>
      </w:r>
      <w:r w:rsidRPr="00150EDC">
        <w:rPr>
          <w:spacing w:val="-2"/>
          <w:sz w:val="18"/>
        </w:rPr>
        <w:t>Management)</w:t>
      </w:r>
    </w:p>
    <w:p w14:paraId="2B6B4ABA" w14:textId="77777777" w:rsidR="004C7180" w:rsidRPr="00150EDC" w:rsidRDefault="00CF0754" w:rsidP="00B320C7">
      <w:pPr>
        <w:pStyle w:val="ListParagraph"/>
        <w:numPr>
          <w:ilvl w:val="2"/>
          <w:numId w:val="51"/>
        </w:numPr>
        <w:tabs>
          <w:tab w:val="left" w:pos="2399"/>
        </w:tabs>
        <w:spacing w:before="3"/>
        <w:ind w:left="2399" w:hanging="270"/>
        <w:rPr>
          <w:rFonts w:ascii="Courier New" w:hAnsi="Courier New"/>
          <w:sz w:val="18"/>
          <w:szCs w:val="18"/>
        </w:rPr>
      </w:pPr>
      <w:r w:rsidRPr="00150EDC">
        <w:rPr>
          <w:sz w:val="18"/>
          <w:szCs w:val="18"/>
        </w:rPr>
        <w:t>Order</w:t>
      </w:r>
      <w:r w:rsidRPr="00150EDC">
        <w:rPr>
          <w:spacing w:val="-4"/>
          <w:sz w:val="18"/>
          <w:szCs w:val="18"/>
        </w:rPr>
        <w:t xml:space="preserve"> </w:t>
      </w:r>
      <w:r w:rsidRPr="00150EDC">
        <w:rPr>
          <w:sz w:val="18"/>
          <w:szCs w:val="18"/>
        </w:rPr>
        <w:t>Schedule</w:t>
      </w:r>
      <w:r w:rsidRPr="00150EDC">
        <w:rPr>
          <w:spacing w:val="-2"/>
          <w:sz w:val="18"/>
          <w:szCs w:val="18"/>
        </w:rPr>
        <w:t xml:space="preserve"> </w:t>
      </w:r>
      <w:r w:rsidRPr="00150EDC">
        <w:rPr>
          <w:sz w:val="18"/>
          <w:szCs w:val="18"/>
        </w:rPr>
        <w:t>18</w:t>
      </w:r>
      <w:r w:rsidRPr="00150EDC">
        <w:rPr>
          <w:spacing w:val="-3"/>
          <w:sz w:val="18"/>
          <w:szCs w:val="18"/>
        </w:rPr>
        <w:t xml:space="preserve"> </w:t>
      </w:r>
      <w:r w:rsidRPr="00150EDC">
        <w:rPr>
          <w:sz w:val="18"/>
          <w:szCs w:val="18"/>
        </w:rPr>
        <w:t>(Background</w:t>
      </w:r>
      <w:r w:rsidRPr="00150EDC">
        <w:rPr>
          <w:spacing w:val="-2"/>
          <w:sz w:val="18"/>
          <w:szCs w:val="18"/>
        </w:rPr>
        <w:t xml:space="preserve"> Checks)</w:t>
      </w:r>
    </w:p>
    <w:p w14:paraId="4E1E95DD" w14:textId="77777777" w:rsidR="004C7180" w:rsidRPr="00150EDC" w:rsidRDefault="00CF0754" w:rsidP="00B320C7">
      <w:pPr>
        <w:pStyle w:val="ListParagraph"/>
        <w:numPr>
          <w:ilvl w:val="2"/>
          <w:numId w:val="51"/>
        </w:numPr>
        <w:tabs>
          <w:tab w:val="left" w:pos="2399"/>
        </w:tabs>
        <w:spacing w:before="1"/>
        <w:ind w:left="2399" w:hanging="270"/>
        <w:rPr>
          <w:rFonts w:ascii="Courier New" w:hAnsi="Courier New"/>
          <w:sz w:val="18"/>
        </w:rPr>
      </w:pPr>
      <w:r w:rsidRPr="007D3144">
        <w:rPr>
          <w:sz w:val="18"/>
        </w:rPr>
        <w:t>Order</w:t>
      </w:r>
      <w:r w:rsidRPr="007D3144">
        <w:rPr>
          <w:spacing w:val="-3"/>
          <w:sz w:val="18"/>
        </w:rPr>
        <w:t xml:space="preserve"> </w:t>
      </w:r>
      <w:r w:rsidRPr="007D3144">
        <w:rPr>
          <w:sz w:val="18"/>
        </w:rPr>
        <w:t>Schedule</w:t>
      </w:r>
      <w:r w:rsidRPr="007D3144">
        <w:rPr>
          <w:spacing w:val="-1"/>
          <w:sz w:val="18"/>
        </w:rPr>
        <w:t xml:space="preserve"> </w:t>
      </w:r>
      <w:r w:rsidRPr="007D3144">
        <w:rPr>
          <w:sz w:val="18"/>
        </w:rPr>
        <w:t>20</w:t>
      </w:r>
      <w:r w:rsidRPr="007D3144">
        <w:rPr>
          <w:spacing w:val="-2"/>
          <w:sz w:val="18"/>
        </w:rPr>
        <w:t xml:space="preserve"> </w:t>
      </w:r>
      <w:r w:rsidRPr="007D3144">
        <w:rPr>
          <w:sz w:val="18"/>
        </w:rPr>
        <w:t>(Order</w:t>
      </w:r>
      <w:r w:rsidRPr="007D3144">
        <w:rPr>
          <w:spacing w:val="-2"/>
          <w:sz w:val="18"/>
        </w:rPr>
        <w:t xml:space="preserve"> Specification)</w:t>
      </w:r>
    </w:p>
    <w:p w14:paraId="06682664" w14:textId="13373506" w:rsidR="004C7180" w:rsidRPr="00150EDC" w:rsidRDefault="00CF0754" w:rsidP="00B320C7">
      <w:pPr>
        <w:pStyle w:val="ListParagraph"/>
        <w:numPr>
          <w:ilvl w:val="2"/>
          <w:numId w:val="51"/>
        </w:numPr>
        <w:tabs>
          <w:tab w:val="left" w:pos="2399"/>
        </w:tabs>
        <w:spacing w:before="2"/>
        <w:ind w:left="2399" w:hanging="270"/>
        <w:rPr>
          <w:rFonts w:ascii="Courier New" w:hAnsi="Courier New"/>
          <w:sz w:val="18"/>
          <w:szCs w:val="18"/>
        </w:rPr>
      </w:pPr>
      <w:r w:rsidRPr="007D3144">
        <w:rPr>
          <w:sz w:val="18"/>
          <w:szCs w:val="18"/>
        </w:rPr>
        <w:t>Order</w:t>
      </w:r>
      <w:r w:rsidRPr="007D3144">
        <w:rPr>
          <w:spacing w:val="-3"/>
          <w:sz w:val="18"/>
          <w:szCs w:val="18"/>
        </w:rPr>
        <w:t xml:space="preserve"> </w:t>
      </w:r>
      <w:r w:rsidRPr="007D3144">
        <w:rPr>
          <w:sz w:val="18"/>
          <w:szCs w:val="18"/>
        </w:rPr>
        <w:t>Special</w:t>
      </w:r>
      <w:r w:rsidRPr="007D3144">
        <w:rPr>
          <w:spacing w:val="-2"/>
          <w:sz w:val="18"/>
          <w:szCs w:val="18"/>
        </w:rPr>
        <w:t xml:space="preserve"> </w:t>
      </w:r>
      <w:r w:rsidRPr="007D3144">
        <w:rPr>
          <w:sz w:val="18"/>
          <w:szCs w:val="18"/>
        </w:rPr>
        <w:t>Schedule</w:t>
      </w:r>
      <w:r w:rsidRPr="007D3144">
        <w:rPr>
          <w:spacing w:val="-1"/>
          <w:sz w:val="18"/>
          <w:szCs w:val="18"/>
        </w:rPr>
        <w:t xml:space="preserve"> </w:t>
      </w:r>
      <w:r w:rsidRPr="007D3144">
        <w:rPr>
          <w:sz w:val="18"/>
          <w:szCs w:val="18"/>
        </w:rPr>
        <w:t>2</w:t>
      </w:r>
      <w:r w:rsidR="00231E3A" w:rsidRPr="007D3144">
        <w:rPr>
          <w:sz w:val="18"/>
          <w:szCs w:val="18"/>
        </w:rPr>
        <w:t>4</w:t>
      </w:r>
      <w:r w:rsidRPr="007D3144">
        <w:rPr>
          <w:spacing w:val="-3"/>
          <w:sz w:val="18"/>
          <w:szCs w:val="18"/>
        </w:rPr>
        <w:t xml:space="preserve"> </w:t>
      </w:r>
      <w:r w:rsidRPr="007D3144">
        <w:rPr>
          <w:spacing w:val="-2"/>
          <w:sz w:val="18"/>
          <w:szCs w:val="18"/>
        </w:rPr>
        <w:t>(Collaboration)</w:t>
      </w:r>
    </w:p>
    <w:p w14:paraId="64957B67" w14:textId="77777777" w:rsidR="004C7180" w:rsidRPr="00150EDC" w:rsidRDefault="00CF0754" w:rsidP="00B320C7">
      <w:pPr>
        <w:pStyle w:val="ListParagraph"/>
        <w:numPr>
          <w:ilvl w:val="0"/>
          <w:numId w:val="51"/>
        </w:numPr>
        <w:tabs>
          <w:tab w:val="left" w:pos="1585"/>
        </w:tabs>
        <w:spacing w:before="1"/>
        <w:ind w:left="1585" w:hanging="269"/>
        <w:rPr>
          <w:sz w:val="18"/>
        </w:rPr>
      </w:pPr>
      <w:r w:rsidRPr="00150EDC">
        <w:rPr>
          <w:sz w:val="18"/>
        </w:rPr>
        <w:t>CCS</w:t>
      </w:r>
      <w:r w:rsidRPr="00150EDC">
        <w:rPr>
          <w:spacing w:val="-2"/>
          <w:sz w:val="18"/>
        </w:rPr>
        <w:t xml:space="preserve"> </w:t>
      </w:r>
      <w:r w:rsidRPr="00150EDC">
        <w:rPr>
          <w:sz w:val="18"/>
        </w:rPr>
        <w:t>Core</w:t>
      </w:r>
      <w:r w:rsidRPr="00150EDC">
        <w:rPr>
          <w:spacing w:val="-1"/>
          <w:sz w:val="18"/>
        </w:rPr>
        <w:t xml:space="preserve"> </w:t>
      </w:r>
      <w:r w:rsidRPr="00150EDC">
        <w:rPr>
          <w:sz w:val="18"/>
        </w:rPr>
        <w:t>Terms</w:t>
      </w:r>
      <w:r w:rsidRPr="00150EDC">
        <w:rPr>
          <w:spacing w:val="-2"/>
          <w:sz w:val="18"/>
        </w:rPr>
        <w:t xml:space="preserve"> </w:t>
      </w:r>
      <w:r w:rsidRPr="00150EDC">
        <w:rPr>
          <w:sz w:val="18"/>
        </w:rPr>
        <w:t>(DPS</w:t>
      </w:r>
      <w:r w:rsidRPr="00150EDC">
        <w:rPr>
          <w:spacing w:val="-1"/>
          <w:sz w:val="18"/>
        </w:rPr>
        <w:t xml:space="preserve"> </w:t>
      </w:r>
      <w:r w:rsidRPr="00150EDC">
        <w:rPr>
          <w:sz w:val="18"/>
        </w:rPr>
        <w:t>version)</w:t>
      </w:r>
      <w:r w:rsidRPr="00150EDC">
        <w:rPr>
          <w:spacing w:val="-2"/>
          <w:sz w:val="18"/>
        </w:rPr>
        <w:t xml:space="preserve"> v1.0.2</w:t>
      </w:r>
    </w:p>
    <w:p w14:paraId="55AC1DA5" w14:textId="77777777" w:rsidR="004C7180" w:rsidRPr="00150EDC" w:rsidRDefault="00CF0754" w:rsidP="00B320C7">
      <w:pPr>
        <w:pStyle w:val="ListParagraph"/>
        <w:numPr>
          <w:ilvl w:val="0"/>
          <w:numId w:val="51"/>
        </w:numPr>
        <w:tabs>
          <w:tab w:val="left" w:pos="1585"/>
        </w:tabs>
        <w:spacing w:before="17"/>
        <w:ind w:left="1585" w:hanging="269"/>
        <w:rPr>
          <w:sz w:val="18"/>
        </w:rPr>
      </w:pPr>
      <w:r w:rsidRPr="00150EDC">
        <w:rPr>
          <w:sz w:val="18"/>
        </w:rPr>
        <w:t>Joint</w:t>
      </w:r>
      <w:r w:rsidRPr="00150EDC">
        <w:rPr>
          <w:spacing w:val="-3"/>
          <w:sz w:val="18"/>
        </w:rPr>
        <w:t xml:space="preserve"> </w:t>
      </w:r>
      <w:r w:rsidRPr="00150EDC">
        <w:rPr>
          <w:sz w:val="18"/>
        </w:rPr>
        <w:t>Schedule</w:t>
      </w:r>
      <w:r w:rsidRPr="00150EDC">
        <w:rPr>
          <w:spacing w:val="-5"/>
          <w:sz w:val="18"/>
        </w:rPr>
        <w:t xml:space="preserve"> </w:t>
      </w:r>
      <w:r w:rsidRPr="00150EDC">
        <w:rPr>
          <w:sz w:val="18"/>
        </w:rPr>
        <w:t>5</w:t>
      </w:r>
      <w:r w:rsidRPr="00150EDC">
        <w:rPr>
          <w:spacing w:val="-3"/>
          <w:sz w:val="18"/>
        </w:rPr>
        <w:t xml:space="preserve"> </w:t>
      </w:r>
      <w:r w:rsidRPr="00150EDC">
        <w:rPr>
          <w:sz w:val="18"/>
        </w:rPr>
        <w:t>(Corporate</w:t>
      </w:r>
      <w:r w:rsidRPr="00150EDC">
        <w:rPr>
          <w:spacing w:val="-4"/>
          <w:sz w:val="18"/>
        </w:rPr>
        <w:t xml:space="preserve"> </w:t>
      </w:r>
      <w:r w:rsidRPr="00150EDC">
        <w:rPr>
          <w:sz w:val="18"/>
        </w:rPr>
        <w:t>Social</w:t>
      </w:r>
      <w:r w:rsidRPr="00150EDC">
        <w:rPr>
          <w:spacing w:val="-4"/>
          <w:sz w:val="18"/>
        </w:rPr>
        <w:t xml:space="preserve"> </w:t>
      </w:r>
      <w:r w:rsidRPr="00150EDC">
        <w:rPr>
          <w:sz w:val="18"/>
        </w:rPr>
        <w:t>Responsibility)</w:t>
      </w:r>
      <w:r w:rsidRPr="00150EDC">
        <w:rPr>
          <w:spacing w:val="-3"/>
          <w:sz w:val="18"/>
        </w:rPr>
        <w:t xml:space="preserve"> </w:t>
      </w:r>
      <w:r w:rsidRPr="00150EDC">
        <w:rPr>
          <w:spacing w:val="-2"/>
          <w:sz w:val="18"/>
        </w:rPr>
        <w:t>RM6322</w:t>
      </w:r>
    </w:p>
    <w:p w14:paraId="46FA2D1D" w14:textId="77777777" w:rsidR="004C7180" w:rsidRPr="00150EDC" w:rsidRDefault="00CF0754" w:rsidP="00B320C7">
      <w:pPr>
        <w:pStyle w:val="ListParagraph"/>
        <w:numPr>
          <w:ilvl w:val="0"/>
          <w:numId w:val="51"/>
        </w:numPr>
        <w:tabs>
          <w:tab w:val="left" w:pos="1584"/>
          <w:tab w:val="left" w:pos="1587"/>
        </w:tabs>
        <w:spacing w:before="17" w:line="259" w:lineRule="auto"/>
        <w:ind w:right="4054"/>
        <w:rPr>
          <w:sz w:val="18"/>
        </w:rPr>
      </w:pPr>
      <w:r w:rsidRPr="00150EDC">
        <w:rPr>
          <w:sz w:val="18"/>
        </w:rPr>
        <w:t>Order</w:t>
      </w:r>
      <w:r w:rsidRPr="00150EDC">
        <w:rPr>
          <w:spacing w:val="-4"/>
          <w:sz w:val="18"/>
        </w:rPr>
        <w:t xml:space="preserve"> </w:t>
      </w:r>
      <w:r w:rsidRPr="00150EDC">
        <w:rPr>
          <w:sz w:val="18"/>
        </w:rPr>
        <w:t>Schedule 4 (Order Tender) as long as any parts of the Order Tender that</w:t>
      </w:r>
      <w:r w:rsidRPr="00150EDC">
        <w:rPr>
          <w:spacing w:val="-2"/>
          <w:sz w:val="18"/>
        </w:rPr>
        <w:t xml:space="preserve"> </w:t>
      </w:r>
      <w:r w:rsidRPr="00150EDC">
        <w:rPr>
          <w:sz w:val="18"/>
        </w:rPr>
        <w:t>offer</w:t>
      </w:r>
      <w:r w:rsidRPr="00150EDC">
        <w:rPr>
          <w:spacing w:val="-1"/>
          <w:sz w:val="18"/>
        </w:rPr>
        <w:t xml:space="preserve"> </w:t>
      </w:r>
      <w:r w:rsidRPr="00150EDC">
        <w:rPr>
          <w:sz w:val="18"/>
        </w:rPr>
        <w:t>a better</w:t>
      </w:r>
      <w:r w:rsidRPr="00150EDC">
        <w:rPr>
          <w:spacing w:val="-1"/>
          <w:sz w:val="18"/>
        </w:rPr>
        <w:t xml:space="preserve"> </w:t>
      </w:r>
      <w:r w:rsidRPr="00150EDC">
        <w:rPr>
          <w:sz w:val="18"/>
        </w:rPr>
        <w:t>commercial</w:t>
      </w:r>
      <w:r w:rsidRPr="00150EDC">
        <w:rPr>
          <w:spacing w:val="-1"/>
          <w:sz w:val="18"/>
        </w:rPr>
        <w:t xml:space="preserve"> </w:t>
      </w:r>
      <w:r w:rsidRPr="00150EDC">
        <w:rPr>
          <w:sz w:val="18"/>
        </w:rPr>
        <w:t>position</w:t>
      </w:r>
      <w:r w:rsidRPr="00150EDC">
        <w:rPr>
          <w:spacing w:val="-2"/>
          <w:sz w:val="18"/>
        </w:rPr>
        <w:t xml:space="preserve"> </w:t>
      </w:r>
      <w:r w:rsidRPr="00150EDC">
        <w:rPr>
          <w:sz w:val="18"/>
        </w:rPr>
        <w:t>for</w:t>
      </w:r>
      <w:r w:rsidRPr="00150EDC">
        <w:rPr>
          <w:spacing w:val="-1"/>
          <w:sz w:val="18"/>
        </w:rPr>
        <w:t xml:space="preserve"> </w:t>
      </w:r>
      <w:r w:rsidRPr="00150EDC">
        <w:rPr>
          <w:sz w:val="18"/>
        </w:rPr>
        <w:t>the</w:t>
      </w:r>
      <w:r w:rsidRPr="00150EDC">
        <w:rPr>
          <w:spacing w:val="-2"/>
          <w:sz w:val="18"/>
        </w:rPr>
        <w:t xml:space="preserve"> </w:t>
      </w:r>
      <w:r w:rsidRPr="00150EDC">
        <w:rPr>
          <w:sz w:val="18"/>
        </w:rPr>
        <w:t>Buyer</w:t>
      </w:r>
      <w:r w:rsidRPr="00150EDC">
        <w:rPr>
          <w:spacing w:val="-1"/>
          <w:sz w:val="18"/>
        </w:rPr>
        <w:t xml:space="preserve"> </w:t>
      </w:r>
      <w:r w:rsidRPr="00150EDC">
        <w:rPr>
          <w:sz w:val="18"/>
        </w:rPr>
        <w:t>(as</w:t>
      </w:r>
      <w:r w:rsidRPr="00150EDC">
        <w:rPr>
          <w:spacing w:val="-3"/>
          <w:sz w:val="18"/>
        </w:rPr>
        <w:t xml:space="preserve"> </w:t>
      </w:r>
      <w:r w:rsidRPr="00150EDC">
        <w:rPr>
          <w:sz w:val="18"/>
        </w:rPr>
        <w:t>decided</w:t>
      </w:r>
      <w:r w:rsidRPr="00150EDC">
        <w:rPr>
          <w:spacing w:val="-2"/>
          <w:sz w:val="18"/>
        </w:rPr>
        <w:t xml:space="preserve"> </w:t>
      </w:r>
      <w:r w:rsidRPr="00150EDC">
        <w:rPr>
          <w:sz w:val="18"/>
        </w:rPr>
        <w:t>by</w:t>
      </w:r>
      <w:r w:rsidRPr="00150EDC">
        <w:rPr>
          <w:spacing w:val="-1"/>
          <w:sz w:val="18"/>
        </w:rPr>
        <w:t xml:space="preserve"> </w:t>
      </w:r>
      <w:r w:rsidRPr="00150EDC">
        <w:rPr>
          <w:sz w:val="18"/>
        </w:rPr>
        <w:t>the Buyer) take precedence over the documents above.</w:t>
      </w:r>
    </w:p>
    <w:p w14:paraId="06A19A24" w14:textId="77777777" w:rsidR="004C7180" w:rsidRPr="00150EDC" w:rsidRDefault="004C7180">
      <w:pPr>
        <w:pStyle w:val="BodyText"/>
        <w:spacing w:before="8"/>
        <w:rPr>
          <w:sz w:val="19"/>
        </w:rPr>
      </w:pPr>
    </w:p>
    <w:p w14:paraId="00A2FA13" w14:textId="77777777" w:rsidR="004C7180" w:rsidRPr="00150EDC" w:rsidRDefault="00CF0754">
      <w:pPr>
        <w:spacing w:line="259" w:lineRule="auto"/>
        <w:ind w:left="1044" w:right="4044"/>
        <w:rPr>
          <w:sz w:val="18"/>
        </w:rPr>
      </w:pPr>
      <w:r w:rsidRPr="00150EDC">
        <w:rPr>
          <w:sz w:val="18"/>
        </w:rPr>
        <w:t>No other Supplier terms are part of the Order Contract. That includes any terms written on</w:t>
      </w:r>
      <w:r w:rsidRPr="00150EDC">
        <w:rPr>
          <w:spacing w:val="-1"/>
          <w:sz w:val="18"/>
        </w:rPr>
        <w:t xml:space="preserve"> </w:t>
      </w:r>
      <w:r w:rsidRPr="00150EDC">
        <w:rPr>
          <w:sz w:val="18"/>
        </w:rPr>
        <w:t>the back of,</w:t>
      </w:r>
      <w:r w:rsidRPr="00150EDC">
        <w:rPr>
          <w:spacing w:val="-1"/>
          <w:sz w:val="18"/>
        </w:rPr>
        <w:t xml:space="preserve"> </w:t>
      </w:r>
      <w:r w:rsidRPr="00150EDC">
        <w:rPr>
          <w:sz w:val="18"/>
        </w:rPr>
        <w:t>added to this Order Form, or presented</w:t>
      </w:r>
      <w:r w:rsidRPr="00150EDC">
        <w:rPr>
          <w:spacing w:val="-1"/>
          <w:sz w:val="18"/>
        </w:rPr>
        <w:t xml:space="preserve"> </w:t>
      </w:r>
      <w:r w:rsidRPr="00150EDC">
        <w:rPr>
          <w:sz w:val="18"/>
        </w:rPr>
        <w:t>at</w:t>
      </w:r>
      <w:r w:rsidRPr="00150EDC">
        <w:rPr>
          <w:spacing w:val="-1"/>
          <w:sz w:val="18"/>
        </w:rPr>
        <w:t xml:space="preserve"> </w:t>
      </w:r>
      <w:r w:rsidRPr="00150EDC">
        <w:rPr>
          <w:sz w:val="18"/>
        </w:rPr>
        <w:t>the</w:t>
      </w:r>
      <w:r w:rsidRPr="00150EDC">
        <w:rPr>
          <w:spacing w:val="-1"/>
          <w:sz w:val="18"/>
        </w:rPr>
        <w:t xml:space="preserve"> </w:t>
      </w:r>
      <w:r w:rsidRPr="00150EDC">
        <w:rPr>
          <w:sz w:val="18"/>
        </w:rPr>
        <w:t>time</w:t>
      </w:r>
      <w:r w:rsidRPr="00150EDC">
        <w:rPr>
          <w:spacing w:val="-1"/>
          <w:sz w:val="18"/>
        </w:rPr>
        <w:t xml:space="preserve"> </w:t>
      </w:r>
      <w:r w:rsidRPr="00150EDC">
        <w:rPr>
          <w:sz w:val="18"/>
        </w:rPr>
        <w:t>of</w:t>
      </w:r>
      <w:r w:rsidRPr="00150EDC">
        <w:rPr>
          <w:spacing w:val="-1"/>
          <w:sz w:val="18"/>
        </w:rPr>
        <w:t xml:space="preserve"> </w:t>
      </w:r>
      <w:r w:rsidRPr="00150EDC">
        <w:rPr>
          <w:sz w:val="18"/>
        </w:rPr>
        <w:t>delivery.</w:t>
      </w:r>
    </w:p>
    <w:p w14:paraId="076057B7" w14:textId="77777777" w:rsidR="004C7180" w:rsidRPr="00150EDC" w:rsidRDefault="004C7180">
      <w:pPr>
        <w:pStyle w:val="BodyText"/>
        <w:spacing w:before="9"/>
        <w:rPr>
          <w:sz w:val="19"/>
        </w:rPr>
      </w:pPr>
    </w:p>
    <w:p w14:paraId="1611AC6D" w14:textId="77777777" w:rsidR="004C7180" w:rsidRPr="00150EDC" w:rsidRDefault="00CF0754">
      <w:pPr>
        <w:ind w:left="1044"/>
        <w:rPr>
          <w:sz w:val="18"/>
        </w:rPr>
      </w:pPr>
      <w:r w:rsidRPr="00150EDC">
        <w:rPr>
          <w:sz w:val="18"/>
        </w:rPr>
        <w:t>ORDER</w:t>
      </w:r>
      <w:r w:rsidRPr="00150EDC">
        <w:rPr>
          <w:spacing w:val="-5"/>
          <w:sz w:val="18"/>
        </w:rPr>
        <w:t xml:space="preserve"> </w:t>
      </w:r>
      <w:r w:rsidRPr="00150EDC">
        <w:rPr>
          <w:sz w:val="18"/>
        </w:rPr>
        <w:t>SPECIAL</w:t>
      </w:r>
      <w:r w:rsidRPr="00150EDC">
        <w:rPr>
          <w:spacing w:val="-1"/>
          <w:sz w:val="18"/>
        </w:rPr>
        <w:t xml:space="preserve"> </w:t>
      </w:r>
      <w:r w:rsidRPr="00150EDC">
        <w:rPr>
          <w:spacing w:val="-4"/>
          <w:sz w:val="18"/>
        </w:rPr>
        <w:t>TERMS</w:t>
      </w:r>
    </w:p>
    <w:p w14:paraId="3F107F44" w14:textId="77777777" w:rsidR="004C7180" w:rsidRPr="00150EDC" w:rsidRDefault="004C7180">
      <w:pPr>
        <w:rPr>
          <w:sz w:val="18"/>
        </w:rPr>
        <w:sectPr w:rsidR="004C7180" w:rsidRPr="00150EDC">
          <w:pgSz w:w="11910" w:h="16840"/>
          <w:pgMar w:top="2940" w:right="0" w:bottom="3120" w:left="40" w:header="2612" w:footer="2929" w:gutter="0"/>
          <w:cols w:space="720"/>
        </w:sectPr>
      </w:pPr>
    </w:p>
    <w:p w14:paraId="76EF3598" w14:textId="20E6794E" w:rsidR="004C7180" w:rsidRPr="00150EDC" w:rsidRDefault="004C7180">
      <w:pPr>
        <w:pStyle w:val="BodyText"/>
        <w:spacing w:before="7"/>
        <w:rPr>
          <w:sz w:val="9"/>
        </w:rPr>
      </w:pPr>
    </w:p>
    <w:p w14:paraId="51E8014D" w14:textId="77777777" w:rsidR="004C7180" w:rsidRPr="00150EDC" w:rsidRDefault="00CF0754">
      <w:pPr>
        <w:spacing w:before="95" w:line="259" w:lineRule="auto"/>
        <w:ind w:left="1044" w:right="4123"/>
        <w:rPr>
          <w:sz w:val="18"/>
        </w:rPr>
      </w:pPr>
      <w:r w:rsidRPr="00150EDC">
        <w:rPr>
          <w:sz w:val="18"/>
        </w:rPr>
        <w:t>The Parties acknowledge and agree that a new Order Special Schedule 25 (Collaboration)</w:t>
      </w:r>
      <w:r w:rsidRPr="00150EDC">
        <w:rPr>
          <w:spacing w:val="-2"/>
          <w:sz w:val="18"/>
        </w:rPr>
        <w:t xml:space="preserve"> </w:t>
      </w:r>
      <w:r w:rsidRPr="00150EDC">
        <w:rPr>
          <w:sz w:val="18"/>
        </w:rPr>
        <w:t>appended to this</w:t>
      </w:r>
      <w:r w:rsidRPr="00150EDC">
        <w:rPr>
          <w:spacing w:val="-2"/>
          <w:sz w:val="18"/>
        </w:rPr>
        <w:t xml:space="preserve"> </w:t>
      </w:r>
      <w:r w:rsidRPr="00150EDC">
        <w:rPr>
          <w:sz w:val="18"/>
        </w:rPr>
        <w:t>Order Contract is incorporated</w:t>
      </w:r>
      <w:r w:rsidRPr="00150EDC">
        <w:rPr>
          <w:spacing w:val="-1"/>
          <w:sz w:val="18"/>
        </w:rPr>
        <w:t xml:space="preserve"> </w:t>
      </w:r>
      <w:r w:rsidRPr="00150EDC">
        <w:rPr>
          <w:sz w:val="18"/>
        </w:rPr>
        <w:t>into</w:t>
      </w:r>
      <w:r w:rsidRPr="00150EDC">
        <w:rPr>
          <w:spacing w:val="-3"/>
          <w:sz w:val="18"/>
        </w:rPr>
        <w:t xml:space="preserve"> </w:t>
      </w:r>
      <w:r w:rsidRPr="00150EDC">
        <w:rPr>
          <w:sz w:val="18"/>
        </w:rPr>
        <w:t>and</w:t>
      </w:r>
      <w:r w:rsidRPr="00150EDC">
        <w:rPr>
          <w:spacing w:val="-1"/>
          <w:sz w:val="18"/>
        </w:rPr>
        <w:t xml:space="preserve"> </w:t>
      </w:r>
      <w:r w:rsidRPr="00150EDC">
        <w:rPr>
          <w:sz w:val="18"/>
        </w:rPr>
        <w:t>forms</w:t>
      </w:r>
      <w:r w:rsidRPr="00150EDC">
        <w:rPr>
          <w:spacing w:val="-2"/>
          <w:sz w:val="18"/>
        </w:rPr>
        <w:t xml:space="preserve"> </w:t>
      </w:r>
      <w:r w:rsidRPr="00150EDC">
        <w:rPr>
          <w:sz w:val="18"/>
        </w:rPr>
        <w:t>part of this Order Contract.</w:t>
      </w:r>
    </w:p>
    <w:p w14:paraId="4C86D531" w14:textId="77777777" w:rsidR="004C7180" w:rsidRPr="00150EDC" w:rsidRDefault="004C7180">
      <w:pPr>
        <w:pStyle w:val="BodyText"/>
        <w:spacing w:before="5"/>
        <w:rPr>
          <w:sz w:val="11"/>
        </w:rPr>
      </w:pPr>
    </w:p>
    <w:p w14:paraId="6BAD9A0E" w14:textId="27AF2C4D" w:rsidR="004C7180" w:rsidRPr="00150EDC" w:rsidRDefault="00CF0754">
      <w:pPr>
        <w:tabs>
          <w:tab w:val="left" w:pos="4299"/>
        </w:tabs>
        <w:spacing w:before="95"/>
        <w:ind w:left="1044"/>
        <w:rPr>
          <w:b/>
          <w:sz w:val="16"/>
        </w:rPr>
      </w:pPr>
      <w:r w:rsidRPr="00150EDC">
        <w:rPr>
          <w:sz w:val="18"/>
        </w:rPr>
        <w:t>ORDER</w:t>
      </w:r>
      <w:r w:rsidRPr="00150EDC">
        <w:rPr>
          <w:spacing w:val="-4"/>
          <w:sz w:val="18"/>
        </w:rPr>
        <w:t xml:space="preserve"> </w:t>
      </w:r>
      <w:r w:rsidRPr="00150EDC">
        <w:rPr>
          <w:sz w:val="18"/>
        </w:rPr>
        <w:t>START</w:t>
      </w:r>
      <w:r w:rsidRPr="00150EDC">
        <w:rPr>
          <w:spacing w:val="-2"/>
          <w:sz w:val="18"/>
        </w:rPr>
        <w:t xml:space="preserve"> </w:t>
      </w:r>
      <w:r w:rsidRPr="00150EDC">
        <w:rPr>
          <w:spacing w:val="-4"/>
          <w:sz w:val="18"/>
        </w:rPr>
        <w:t>DATE:</w:t>
      </w:r>
      <w:r w:rsidRPr="00150EDC">
        <w:rPr>
          <w:sz w:val="18"/>
        </w:rPr>
        <w:tab/>
      </w:r>
      <w:r w:rsidR="00CC125A" w:rsidRPr="00150EDC">
        <w:rPr>
          <w:b/>
          <w:bCs/>
          <w:sz w:val="18"/>
        </w:rPr>
        <w:t>1</w:t>
      </w:r>
      <w:r w:rsidR="00CC125A" w:rsidRPr="00150EDC">
        <w:rPr>
          <w:b/>
          <w:bCs/>
          <w:sz w:val="18"/>
          <w:vertAlign w:val="superscript"/>
        </w:rPr>
        <w:t>st</w:t>
      </w:r>
      <w:r w:rsidR="00CC125A" w:rsidRPr="00150EDC">
        <w:rPr>
          <w:b/>
          <w:bCs/>
          <w:sz w:val="18"/>
        </w:rPr>
        <w:t xml:space="preserve"> November 2023</w:t>
      </w:r>
    </w:p>
    <w:p w14:paraId="7DFC0271" w14:textId="77777777" w:rsidR="004C7180" w:rsidRPr="00150EDC" w:rsidRDefault="004C7180">
      <w:pPr>
        <w:pStyle w:val="BodyText"/>
        <w:spacing w:before="9"/>
        <w:rPr>
          <w:b/>
          <w:sz w:val="20"/>
        </w:rPr>
      </w:pPr>
    </w:p>
    <w:p w14:paraId="47F6B6E4" w14:textId="77777777" w:rsidR="004C7180" w:rsidRPr="00150EDC" w:rsidRDefault="00CF0754">
      <w:pPr>
        <w:tabs>
          <w:tab w:val="left" w:pos="4299"/>
        </w:tabs>
        <w:ind w:left="1044"/>
        <w:rPr>
          <w:b/>
          <w:sz w:val="18"/>
        </w:rPr>
      </w:pPr>
      <w:r w:rsidRPr="00150EDC">
        <w:rPr>
          <w:sz w:val="18"/>
        </w:rPr>
        <w:t>ORDER</w:t>
      </w:r>
      <w:r w:rsidRPr="00150EDC">
        <w:rPr>
          <w:spacing w:val="-4"/>
          <w:sz w:val="18"/>
        </w:rPr>
        <w:t xml:space="preserve"> </w:t>
      </w:r>
      <w:r w:rsidRPr="00150EDC">
        <w:rPr>
          <w:sz w:val="18"/>
        </w:rPr>
        <w:t xml:space="preserve">EXPIRY </w:t>
      </w:r>
      <w:r w:rsidRPr="00150EDC">
        <w:rPr>
          <w:spacing w:val="-4"/>
          <w:sz w:val="18"/>
        </w:rPr>
        <w:t>DATE:</w:t>
      </w:r>
      <w:r w:rsidRPr="00150EDC">
        <w:rPr>
          <w:sz w:val="18"/>
        </w:rPr>
        <w:tab/>
      </w:r>
      <w:r w:rsidRPr="00150EDC">
        <w:rPr>
          <w:b/>
          <w:sz w:val="18"/>
        </w:rPr>
        <w:t>31</w:t>
      </w:r>
      <w:r w:rsidRPr="00150EDC">
        <w:rPr>
          <w:b/>
          <w:position w:val="6"/>
          <w:sz w:val="12"/>
        </w:rPr>
        <w:t>st</w:t>
      </w:r>
      <w:r w:rsidRPr="00150EDC">
        <w:rPr>
          <w:b/>
          <w:spacing w:val="-1"/>
          <w:position w:val="6"/>
          <w:sz w:val="12"/>
        </w:rPr>
        <w:t xml:space="preserve"> </w:t>
      </w:r>
      <w:r w:rsidRPr="00150EDC">
        <w:rPr>
          <w:b/>
          <w:sz w:val="18"/>
        </w:rPr>
        <w:t>March</w:t>
      </w:r>
      <w:r w:rsidRPr="00150EDC">
        <w:rPr>
          <w:b/>
          <w:spacing w:val="-3"/>
          <w:sz w:val="18"/>
        </w:rPr>
        <w:t xml:space="preserve"> </w:t>
      </w:r>
      <w:r w:rsidRPr="00150EDC">
        <w:rPr>
          <w:b/>
          <w:spacing w:val="-4"/>
          <w:sz w:val="18"/>
        </w:rPr>
        <w:t>2026</w:t>
      </w:r>
    </w:p>
    <w:p w14:paraId="5ED31CD2" w14:textId="77777777" w:rsidR="004C7180" w:rsidRPr="00150EDC" w:rsidRDefault="004C7180">
      <w:pPr>
        <w:pStyle w:val="BodyText"/>
        <w:spacing w:before="8"/>
        <w:rPr>
          <w:b/>
          <w:sz w:val="20"/>
        </w:rPr>
      </w:pPr>
    </w:p>
    <w:p w14:paraId="640595E1" w14:textId="68097773" w:rsidR="004C7180" w:rsidRPr="00150EDC" w:rsidRDefault="00CF0754">
      <w:pPr>
        <w:tabs>
          <w:tab w:val="left" w:pos="4299"/>
        </w:tabs>
        <w:ind w:left="1044"/>
        <w:rPr>
          <w:b/>
          <w:sz w:val="18"/>
        </w:rPr>
      </w:pPr>
      <w:r w:rsidRPr="00150EDC">
        <w:rPr>
          <w:sz w:val="18"/>
        </w:rPr>
        <w:t>ORDER</w:t>
      </w:r>
      <w:r w:rsidRPr="00150EDC">
        <w:rPr>
          <w:spacing w:val="-3"/>
          <w:sz w:val="18"/>
        </w:rPr>
        <w:t xml:space="preserve"> </w:t>
      </w:r>
      <w:r w:rsidRPr="00150EDC">
        <w:rPr>
          <w:sz w:val="18"/>
        </w:rPr>
        <w:t>INITIAL</w:t>
      </w:r>
      <w:r w:rsidRPr="00150EDC">
        <w:rPr>
          <w:spacing w:val="-2"/>
          <w:sz w:val="18"/>
        </w:rPr>
        <w:t xml:space="preserve"> PERIOD:</w:t>
      </w:r>
      <w:r w:rsidRPr="00150EDC">
        <w:rPr>
          <w:sz w:val="18"/>
        </w:rPr>
        <w:tab/>
      </w:r>
      <w:r w:rsidR="00180B7F" w:rsidRPr="00150EDC">
        <w:rPr>
          <w:b/>
          <w:bCs/>
          <w:sz w:val="18"/>
        </w:rPr>
        <w:t>31</w:t>
      </w:r>
      <w:r w:rsidR="00180B7F" w:rsidRPr="00150EDC">
        <w:rPr>
          <w:b/>
          <w:bCs/>
          <w:sz w:val="18"/>
          <w:vertAlign w:val="superscript"/>
        </w:rPr>
        <w:t>st</w:t>
      </w:r>
      <w:r w:rsidR="00180B7F" w:rsidRPr="00150EDC">
        <w:rPr>
          <w:b/>
          <w:bCs/>
          <w:sz w:val="18"/>
        </w:rPr>
        <w:t xml:space="preserve"> October</w:t>
      </w:r>
      <w:r w:rsidR="00180B7F" w:rsidRPr="00150EDC">
        <w:rPr>
          <w:sz w:val="18"/>
        </w:rPr>
        <w:t xml:space="preserve"> </w:t>
      </w:r>
      <w:r w:rsidRPr="00150EDC">
        <w:rPr>
          <w:b/>
          <w:spacing w:val="-4"/>
          <w:sz w:val="18"/>
        </w:rPr>
        <w:t>2025</w:t>
      </w:r>
    </w:p>
    <w:p w14:paraId="4553C0AA" w14:textId="77777777" w:rsidR="004C7180" w:rsidRPr="00150EDC" w:rsidRDefault="004C7180">
      <w:pPr>
        <w:pStyle w:val="BodyText"/>
        <w:rPr>
          <w:b/>
          <w:sz w:val="21"/>
        </w:rPr>
      </w:pPr>
    </w:p>
    <w:p w14:paraId="39131120" w14:textId="77777777" w:rsidR="004C7180" w:rsidRPr="00150EDC" w:rsidRDefault="00CF0754">
      <w:pPr>
        <w:ind w:left="1044"/>
        <w:rPr>
          <w:sz w:val="18"/>
        </w:rPr>
      </w:pPr>
      <w:r w:rsidRPr="00150EDC">
        <w:rPr>
          <w:spacing w:val="-2"/>
          <w:sz w:val="18"/>
        </w:rPr>
        <w:t>DELIVERABLES</w:t>
      </w:r>
    </w:p>
    <w:p w14:paraId="2B84CA86" w14:textId="77777777" w:rsidR="004C7180" w:rsidRPr="00150EDC" w:rsidRDefault="00CF0754">
      <w:pPr>
        <w:spacing w:before="17"/>
        <w:ind w:left="1044"/>
        <w:rPr>
          <w:sz w:val="18"/>
        </w:rPr>
      </w:pPr>
      <w:r w:rsidRPr="00150EDC">
        <w:rPr>
          <w:sz w:val="18"/>
        </w:rPr>
        <w:t>See</w:t>
      </w:r>
      <w:r w:rsidRPr="00150EDC">
        <w:rPr>
          <w:spacing w:val="-4"/>
          <w:sz w:val="18"/>
        </w:rPr>
        <w:t xml:space="preserve"> </w:t>
      </w:r>
      <w:r w:rsidRPr="00150EDC">
        <w:rPr>
          <w:sz w:val="18"/>
        </w:rPr>
        <w:t>details</w:t>
      </w:r>
      <w:r w:rsidRPr="00150EDC">
        <w:rPr>
          <w:spacing w:val="-2"/>
          <w:sz w:val="18"/>
        </w:rPr>
        <w:t xml:space="preserve"> </w:t>
      </w:r>
      <w:r w:rsidRPr="00150EDC">
        <w:rPr>
          <w:sz w:val="18"/>
        </w:rPr>
        <w:t>in</w:t>
      </w:r>
      <w:r w:rsidRPr="00150EDC">
        <w:rPr>
          <w:spacing w:val="-1"/>
          <w:sz w:val="18"/>
        </w:rPr>
        <w:t xml:space="preserve"> </w:t>
      </w:r>
      <w:r w:rsidRPr="00150EDC">
        <w:rPr>
          <w:sz w:val="18"/>
        </w:rPr>
        <w:t>Order</w:t>
      </w:r>
      <w:r w:rsidRPr="00150EDC">
        <w:rPr>
          <w:spacing w:val="-4"/>
          <w:sz w:val="18"/>
        </w:rPr>
        <w:t xml:space="preserve"> </w:t>
      </w:r>
      <w:r w:rsidRPr="00150EDC">
        <w:rPr>
          <w:sz w:val="18"/>
        </w:rPr>
        <w:t>Schedule</w:t>
      </w:r>
      <w:r w:rsidRPr="00150EDC">
        <w:rPr>
          <w:spacing w:val="-1"/>
          <w:sz w:val="18"/>
        </w:rPr>
        <w:t xml:space="preserve"> </w:t>
      </w:r>
      <w:r w:rsidRPr="00150EDC">
        <w:rPr>
          <w:sz w:val="18"/>
        </w:rPr>
        <w:t>20</w:t>
      </w:r>
      <w:r w:rsidRPr="00150EDC">
        <w:rPr>
          <w:spacing w:val="-1"/>
          <w:sz w:val="18"/>
        </w:rPr>
        <w:t xml:space="preserve"> </w:t>
      </w:r>
      <w:r w:rsidRPr="00150EDC">
        <w:rPr>
          <w:sz w:val="18"/>
        </w:rPr>
        <w:t>(Order</w:t>
      </w:r>
      <w:r w:rsidRPr="00150EDC">
        <w:rPr>
          <w:spacing w:val="-2"/>
          <w:sz w:val="18"/>
        </w:rPr>
        <w:t xml:space="preserve"> Specification)</w:t>
      </w:r>
    </w:p>
    <w:p w14:paraId="205A3E9D" w14:textId="77777777" w:rsidR="004C7180" w:rsidRPr="00150EDC" w:rsidRDefault="004C7180">
      <w:pPr>
        <w:pStyle w:val="BodyText"/>
        <w:rPr>
          <w:sz w:val="21"/>
        </w:rPr>
      </w:pPr>
    </w:p>
    <w:p w14:paraId="4120CEE6" w14:textId="77777777" w:rsidR="004C7180" w:rsidRPr="00150EDC" w:rsidRDefault="00CF0754">
      <w:pPr>
        <w:ind w:left="1044"/>
        <w:rPr>
          <w:sz w:val="18"/>
        </w:rPr>
      </w:pPr>
      <w:r w:rsidRPr="00150EDC">
        <w:rPr>
          <w:sz w:val="18"/>
        </w:rPr>
        <w:t>MAXIMUM</w:t>
      </w:r>
      <w:r w:rsidRPr="00150EDC">
        <w:rPr>
          <w:spacing w:val="-3"/>
          <w:sz w:val="18"/>
        </w:rPr>
        <w:t xml:space="preserve"> </w:t>
      </w:r>
      <w:r w:rsidRPr="00150EDC">
        <w:rPr>
          <w:spacing w:val="-2"/>
          <w:sz w:val="18"/>
        </w:rPr>
        <w:t>LIABILITY</w:t>
      </w:r>
    </w:p>
    <w:p w14:paraId="22AE1A6F" w14:textId="77777777" w:rsidR="004C7180" w:rsidRPr="00150EDC" w:rsidRDefault="00CF0754">
      <w:pPr>
        <w:spacing w:before="17"/>
        <w:ind w:left="1044" w:right="4072"/>
        <w:rPr>
          <w:sz w:val="18"/>
        </w:rPr>
      </w:pPr>
      <w:r w:rsidRPr="00150EDC">
        <w:rPr>
          <w:sz w:val="18"/>
        </w:rPr>
        <w:t>The limitation</w:t>
      </w:r>
      <w:r w:rsidRPr="00150EDC">
        <w:rPr>
          <w:spacing w:val="-2"/>
          <w:sz w:val="18"/>
        </w:rPr>
        <w:t xml:space="preserve"> </w:t>
      </w:r>
      <w:r w:rsidRPr="00150EDC">
        <w:rPr>
          <w:sz w:val="18"/>
        </w:rPr>
        <w:t>of</w:t>
      </w:r>
      <w:r w:rsidRPr="00150EDC">
        <w:rPr>
          <w:spacing w:val="-1"/>
          <w:sz w:val="18"/>
        </w:rPr>
        <w:t xml:space="preserve"> </w:t>
      </w:r>
      <w:r w:rsidRPr="00150EDC">
        <w:rPr>
          <w:sz w:val="18"/>
        </w:rPr>
        <w:t>liability</w:t>
      </w:r>
      <w:r w:rsidRPr="00150EDC">
        <w:rPr>
          <w:spacing w:val="-1"/>
          <w:sz w:val="18"/>
        </w:rPr>
        <w:t xml:space="preserve"> </w:t>
      </w:r>
      <w:r w:rsidRPr="00150EDC">
        <w:rPr>
          <w:sz w:val="18"/>
        </w:rPr>
        <w:t>for</w:t>
      </w:r>
      <w:r w:rsidRPr="00150EDC">
        <w:rPr>
          <w:spacing w:val="-1"/>
          <w:sz w:val="18"/>
        </w:rPr>
        <w:t xml:space="preserve"> </w:t>
      </w:r>
      <w:r w:rsidRPr="00150EDC">
        <w:rPr>
          <w:sz w:val="18"/>
        </w:rPr>
        <w:t>this</w:t>
      </w:r>
      <w:r w:rsidRPr="00150EDC">
        <w:rPr>
          <w:spacing w:val="-3"/>
          <w:sz w:val="18"/>
        </w:rPr>
        <w:t xml:space="preserve"> </w:t>
      </w:r>
      <w:r w:rsidRPr="00150EDC">
        <w:rPr>
          <w:sz w:val="18"/>
        </w:rPr>
        <w:t>Order</w:t>
      </w:r>
      <w:r w:rsidRPr="00150EDC">
        <w:rPr>
          <w:spacing w:val="-1"/>
          <w:sz w:val="18"/>
        </w:rPr>
        <w:t xml:space="preserve"> </w:t>
      </w:r>
      <w:r w:rsidRPr="00150EDC">
        <w:rPr>
          <w:sz w:val="18"/>
        </w:rPr>
        <w:t>Contract is</w:t>
      </w:r>
      <w:r w:rsidRPr="00150EDC">
        <w:rPr>
          <w:spacing w:val="-1"/>
          <w:sz w:val="18"/>
        </w:rPr>
        <w:t xml:space="preserve"> </w:t>
      </w:r>
      <w:r w:rsidRPr="00150EDC">
        <w:rPr>
          <w:sz w:val="18"/>
        </w:rPr>
        <w:t>stated in</w:t>
      </w:r>
      <w:r w:rsidRPr="00150EDC">
        <w:rPr>
          <w:spacing w:val="-2"/>
          <w:sz w:val="18"/>
        </w:rPr>
        <w:t xml:space="preserve"> </w:t>
      </w:r>
      <w:r w:rsidRPr="00150EDC">
        <w:rPr>
          <w:sz w:val="18"/>
        </w:rPr>
        <w:t>Clause</w:t>
      </w:r>
      <w:r w:rsidRPr="00150EDC">
        <w:rPr>
          <w:spacing w:val="-2"/>
          <w:sz w:val="18"/>
        </w:rPr>
        <w:t xml:space="preserve"> </w:t>
      </w:r>
      <w:r w:rsidRPr="00150EDC">
        <w:rPr>
          <w:sz w:val="18"/>
        </w:rPr>
        <w:t>11.2</w:t>
      </w:r>
      <w:r w:rsidRPr="00150EDC">
        <w:rPr>
          <w:spacing w:val="-2"/>
          <w:sz w:val="18"/>
        </w:rPr>
        <w:t xml:space="preserve"> </w:t>
      </w:r>
      <w:r w:rsidRPr="00150EDC">
        <w:rPr>
          <w:sz w:val="18"/>
        </w:rPr>
        <w:t xml:space="preserve">of the Core </w:t>
      </w:r>
      <w:r w:rsidRPr="00150EDC">
        <w:rPr>
          <w:spacing w:val="-2"/>
          <w:sz w:val="18"/>
        </w:rPr>
        <w:t>Terms.</w:t>
      </w:r>
    </w:p>
    <w:p w14:paraId="0C38D5BD" w14:textId="56AE1DAD" w:rsidR="004C7180" w:rsidRPr="00150EDC" w:rsidRDefault="00CF0754">
      <w:pPr>
        <w:spacing w:before="2"/>
        <w:ind w:left="1044"/>
        <w:rPr>
          <w:sz w:val="18"/>
          <w:szCs w:val="18"/>
        </w:rPr>
      </w:pPr>
      <w:r w:rsidRPr="00150EDC">
        <w:rPr>
          <w:sz w:val="18"/>
          <w:szCs w:val="18"/>
        </w:rPr>
        <w:t>The Estimated Year 1 Charges used to calculate liability in the first Contract Year is:</w:t>
      </w:r>
    </w:p>
    <w:p w14:paraId="0C07B57F" w14:textId="6AB6852E" w:rsidR="004C7180" w:rsidRPr="00150EDC" w:rsidRDefault="0066456C">
      <w:pPr>
        <w:pStyle w:val="BodyText"/>
        <w:spacing w:before="7"/>
        <w:rPr>
          <w:sz w:val="19"/>
        </w:rPr>
      </w:pPr>
      <w:r w:rsidRPr="00056CD3">
        <w:rPr>
          <w:spacing w:val="-2"/>
          <w:sz w:val="18"/>
          <w:szCs w:val="18"/>
          <w:highlight w:val="black"/>
        </w:rPr>
        <w:t>Redacted</w:t>
      </w:r>
      <w:r>
        <w:rPr>
          <w:spacing w:val="-2"/>
          <w:sz w:val="18"/>
          <w:szCs w:val="18"/>
        </w:rPr>
        <w:t xml:space="preserve"> </w:t>
      </w:r>
    </w:p>
    <w:p w14:paraId="1ECA9065" w14:textId="77777777" w:rsidR="004C7180" w:rsidRPr="00150EDC" w:rsidRDefault="00CF0754">
      <w:pPr>
        <w:ind w:left="1044"/>
        <w:rPr>
          <w:sz w:val="18"/>
        </w:rPr>
      </w:pPr>
      <w:r w:rsidRPr="00150EDC">
        <w:rPr>
          <w:sz w:val="18"/>
        </w:rPr>
        <w:t>ORDER</w:t>
      </w:r>
      <w:r w:rsidRPr="00150EDC">
        <w:rPr>
          <w:spacing w:val="-4"/>
          <w:sz w:val="18"/>
        </w:rPr>
        <w:t xml:space="preserve"> </w:t>
      </w:r>
      <w:r w:rsidRPr="00150EDC">
        <w:rPr>
          <w:spacing w:val="-2"/>
          <w:sz w:val="18"/>
        </w:rPr>
        <w:t>CHARGES</w:t>
      </w:r>
    </w:p>
    <w:p w14:paraId="5C124290" w14:textId="77777777" w:rsidR="004C7180" w:rsidRPr="00150EDC" w:rsidRDefault="00CF0754">
      <w:pPr>
        <w:spacing w:before="17"/>
        <w:ind w:left="1044"/>
        <w:rPr>
          <w:sz w:val="18"/>
        </w:rPr>
      </w:pPr>
      <w:r w:rsidRPr="00150EDC">
        <w:rPr>
          <w:sz w:val="18"/>
        </w:rPr>
        <w:t>See</w:t>
      </w:r>
      <w:r w:rsidRPr="00150EDC">
        <w:rPr>
          <w:spacing w:val="-4"/>
          <w:sz w:val="18"/>
        </w:rPr>
        <w:t xml:space="preserve"> </w:t>
      </w:r>
      <w:r w:rsidRPr="00150EDC">
        <w:rPr>
          <w:sz w:val="18"/>
        </w:rPr>
        <w:t>details</w:t>
      </w:r>
      <w:r w:rsidRPr="00150EDC">
        <w:rPr>
          <w:spacing w:val="-2"/>
          <w:sz w:val="18"/>
        </w:rPr>
        <w:t xml:space="preserve"> </w:t>
      </w:r>
      <w:r w:rsidRPr="00150EDC">
        <w:rPr>
          <w:sz w:val="18"/>
        </w:rPr>
        <w:t>in</w:t>
      </w:r>
      <w:r w:rsidRPr="00150EDC">
        <w:rPr>
          <w:spacing w:val="-1"/>
          <w:sz w:val="18"/>
        </w:rPr>
        <w:t xml:space="preserve"> </w:t>
      </w:r>
      <w:r w:rsidRPr="00150EDC">
        <w:rPr>
          <w:sz w:val="18"/>
        </w:rPr>
        <w:t>Order</w:t>
      </w:r>
      <w:r w:rsidRPr="00150EDC">
        <w:rPr>
          <w:spacing w:val="-4"/>
          <w:sz w:val="18"/>
        </w:rPr>
        <w:t xml:space="preserve"> </w:t>
      </w:r>
      <w:r w:rsidRPr="00150EDC">
        <w:rPr>
          <w:sz w:val="18"/>
        </w:rPr>
        <w:t>Schedule</w:t>
      </w:r>
      <w:r w:rsidRPr="00150EDC">
        <w:rPr>
          <w:spacing w:val="-1"/>
          <w:sz w:val="18"/>
        </w:rPr>
        <w:t xml:space="preserve"> </w:t>
      </w:r>
      <w:r w:rsidRPr="00150EDC">
        <w:rPr>
          <w:sz w:val="18"/>
        </w:rPr>
        <w:t>5</w:t>
      </w:r>
      <w:r w:rsidRPr="00150EDC">
        <w:rPr>
          <w:spacing w:val="-1"/>
          <w:sz w:val="18"/>
        </w:rPr>
        <w:t xml:space="preserve"> </w:t>
      </w:r>
      <w:r w:rsidRPr="00150EDC">
        <w:rPr>
          <w:sz w:val="18"/>
        </w:rPr>
        <w:t>(Pricing</w:t>
      </w:r>
      <w:r w:rsidRPr="00150EDC">
        <w:rPr>
          <w:spacing w:val="-3"/>
          <w:sz w:val="18"/>
        </w:rPr>
        <w:t xml:space="preserve"> </w:t>
      </w:r>
      <w:r w:rsidRPr="00150EDC">
        <w:rPr>
          <w:spacing w:val="-2"/>
          <w:sz w:val="18"/>
        </w:rPr>
        <w:t>Details)</w:t>
      </w:r>
    </w:p>
    <w:p w14:paraId="43908047" w14:textId="77777777" w:rsidR="004C7180" w:rsidRPr="00150EDC" w:rsidRDefault="00CF0754">
      <w:pPr>
        <w:spacing w:before="19"/>
        <w:ind w:left="1044"/>
        <w:rPr>
          <w:sz w:val="18"/>
        </w:rPr>
      </w:pPr>
      <w:r w:rsidRPr="00150EDC">
        <w:rPr>
          <w:sz w:val="18"/>
        </w:rPr>
        <w:t>The</w:t>
      </w:r>
      <w:r w:rsidRPr="00150EDC">
        <w:rPr>
          <w:spacing w:val="-1"/>
          <w:sz w:val="18"/>
        </w:rPr>
        <w:t xml:space="preserve"> </w:t>
      </w:r>
      <w:r w:rsidRPr="00150EDC">
        <w:rPr>
          <w:sz w:val="18"/>
        </w:rPr>
        <w:t>Charges</w:t>
      </w:r>
      <w:r w:rsidRPr="00150EDC">
        <w:rPr>
          <w:spacing w:val="-2"/>
          <w:sz w:val="18"/>
        </w:rPr>
        <w:t xml:space="preserve"> </w:t>
      </w:r>
      <w:r w:rsidRPr="00150EDC">
        <w:rPr>
          <w:sz w:val="18"/>
        </w:rPr>
        <w:t>will</w:t>
      </w:r>
      <w:r w:rsidRPr="00150EDC">
        <w:rPr>
          <w:spacing w:val="-2"/>
          <w:sz w:val="18"/>
        </w:rPr>
        <w:t xml:space="preserve"> </w:t>
      </w:r>
      <w:r w:rsidRPr="00150EDC">
        <w:rPr>
          <w:sz w:val="18"/>
        </w:rPr>
        <w:t>not</w:t>
      </w:r>
      <w:r w:rsidRPr="00150EDC">
        <w:rPr>
          <w:spacing w:val="-2"/>
          <w:sz w:val="18"/>
        </w:rPr>
        <w:t xml:space="preserve"> </w:t>
      </w:r>
      <w:r w:rsidRPr="00150EDC">
        <w:rPr>
          <w:sz w:val="18"/>
        </w:rPr>
        <w:t>be</w:t>
      </w:r>
      <w:r w:rsidRPr="00150EDC">
        <w:rPr>
          <w:spacing w:val="-1"/>
          <w:sz w:val="18"/>
        </w:rPr>
        <w:t xml:space="preserve"> </w:t>
      </w:r>
      <w:r w:rsidRPr="00150EDC">
        <w:rPr>
          <w:sz w:val="18"/>
        </w:rPr>
        <w:t>impacted</w:t>
      </w:r>
      <w:r w:rsidRPr="00150EDC">
        <w:rPr>
          <w:spacing w:val="-1"/>
          <w:sz w:val="18"/>
        </w:rPr>
        <w:t xml:space="preserve"> </w:t>
      </w:r>
      <w:r w:rsidRPr="00150EDC">
        <w:rPr>
          <w:sz w:val="18"/>
        </w:rPr>
        <w:t>by</w:t>
      </w:r>
      <w:r w:rsidRPr="00150EDC">
        <w:rPr>
          <w:spacing w:val="-4"/>
          <w:sz w:val="18"/>
        </w:rPr>
        <w:t xml:space="preserve"> </w:t>
      </w:r>
      <w:r w:rsidRPr="00150EDC">
        <w:rPr>
          <w:sz w:val="18"/>
        </w:rPr>
        <w:t>any</w:t>
      </w:r>
      <w:r w:rsidRPr="00150EDC">
        <w:rPr>
          <w:spacing w:val="-3"/>
          <w:sz w:val="18"/>
        </w:rPr>
        <w:t xml:space="preserve"> </w:t>
      </w:r>
      <w:r w:rsidRPr="00150EDC">
        <w:rPr>
          <w:sz w:val="18"/>
        </w:rPr>
        <w:t>change</w:t>
      </w:r>
      <w:r w:rsidRPr="00150EDC">
        <w:rPr>
          <w:spacing w:val="-3"/>
          <w:sz w:val="18"/>
        </w:rPr>
        <w:t xml:space="preserve"> </w:t>
      </w:r>
      <w:r w:rsidRPr="00150EDC">
        <w:rPr>
          <w:sz w:val="18"/>
        </w:rPr>
        <w:t>to</w:t>
      </w:r>
      <w:r w:rsidRPr="00150EDC">
        <w:rPr>
          <w:spacing w:val="-1"/>
          <w:sz w:val="18"/>
        </w:rPr>
        <w:t xml:space="preserve"> </w:t>
      </w:r>
      <w:r w:rsidRPr="00150EDC">
        <w:rPr>
          <w:sz w:val="18"/>
        </w:rPr>
        <w:t>the</w:t>
      </w:r>
      <w:r w:rsidRPr="00150EDC">
        <w:rPr>
          <w:spacing w:val="-1"/>
          <w:sz w:val="18"/>
        </w:rPr>
        <w:t xml:space="preserve"> </w:t>
      </w:r>
      <w:r w:rsidRPr="00150EDC">
        <w:rPr>
          <w:sz w:val="18"/>
        </w:rPr>
        <w:t xml:space="preserve">DPS </w:t>
      </w:r>
      <w:r w:rsidRPr="00150EDC">
        <w:rPr>
          <w:spacing w:val="-2"/>
          <w:sz w:val="18"/>
        </w:rPr>
        <w:t>Pricing.</w:t>
      </w:r>
    </w:p>
    <w:p w14:paraId="19960833" w14:textId="77777777" w:rsidR="004C7180" w:rsidRPr="00150EDC" w:rsidRDefault="004C7180">
      <w:pPr>
        <w:pStyle w:val="BodyText"/>
        <w:rPr>
          <w:sz w:val="21"/>
        </w:rPr>
      </w:pPr>
    </w:p>
    <w:p w14:paraId="2BC54F4A" w14:textId="77777777" w:rsidR="004C7180" w:rsidRPr="00150EDC" w:rsidRDefault="00CF0754">
      <w:pPr>
        <w:ind w:left="1044"/>
        <w:rPr>
          <w:sz w:val="18"/>
        </w:rPr>
      </w:pPr>
      <w:r w:rsidRPr="00150EDC">
        <w:rPr>
          <w:sz w:val="18"/>
        </w:rPr>
        <w:t>REIMBURSABLE</w:t>
      </w:r>
      <w:r w:rsidRPr="00150EDC">
        <w:rPr>
          <w:spacing w:val="-5"/>
          <w:sz w:val="18"/>
        </w:rPr>
        <w:t xml:space="preserve"> </w:t>
      </w:r>
      <w:r w:rsidRPr="00150EDC">
        <w:rPr>
          <w:spacing w:val="-2"/>
          <w:sz w:val="18"/>
        </w:rPr>
        <w:t>EXPENSES</w:t>
      </w:r>
    </w:p>
    <w:p w14:paraId="4B7F9DA7" w14:textId="77777777" w:rsidR="004C7180" w:rsidRPr="00150EDC" w:rsidRDefault="00CF0754">
      <w:pPr>
        <w:spacing w:before="17"/>
        <w:ind w:left="1044"/>
        <w:rPr>
          <w:sz w:val="18"/>
        </w:rPr>
      </w:pPr>
      <w:r w:rsidRPr="00150EDC">
        <w:rPr>
          <w:spacing w:val="-4"/>
          <w:sz w:val="18"/>
        </w:rPr>
        <w:t>None</w:t>
      </w:r>
    </w:p>
    <w:p w14:paraId="79CFEC5A" w14:textId="77777777" w:rsidR="004C7180" w:rsidRPr="00150EDC" w:rsidRDefault="004C7180">
      <w:pPr>
        <w:pStyle w:val="BodyText"/>
        <w:rPr>
          <w:sz w:val="21"/>
        </w:rPr>
      </w:pPr>
    </w:p>
    <w:p w14:paraId="38AB2CFC" w14:textId="77777777" w:rsidR="004C7180" w:rsidRPr="00150EDC" w:rsidRDefault="00CF0754">
      <w:pPr>
        <w:ind w:left="1044"/>
        <w:rPr>
          <w:sz w:val="18"/>
        </w:rPr>
      </w:pPr>
      <w:r w:rsidRPr="00150EDC">
        <w:rPr>
          <w:sz w:val="18"/>
        </w:rPr>
        <w:t>PAYMENT</w:t>
      </w:r>
      <w:r w:rsidRPr="00150EDC">
        <w:rPr>
          <w:spacing w:val="-4"/>
          <w:sz w:val="18"/>
        </w:rPr>
        <w:t xml:space="preserve"> </w:t>
      </w:r>
      <w:r w:rsidRPr="00150EDC">
        <w:rPr>
          <w:spacing w:val="-2"/>
          <w:sz w:val="18"/>
        </w:rPr>
        <w:t>METHOD</w:t>
      </w:r>
    </w:p>
    <w:p w14:paraId="19E995CB" w14:textId="77777777" w:rsidR="004C7180" w:rsidRPr="00150EDC" w:rsidRDefault="00CF0754">
      <w:pPr>
        <w:spacing w:before="17"/>
        <w:ind w:left="1044"/>
        <w:rPr>
          <w:sz w:val="18"/>
        </w:rPr>
      </w:pPr>
      <w:r w:rsidRPr="00150EDC">
        <w:rPr>
          <w:sz w:val="18"/>
        </w:rPr>
        <w:t>See</w:t>
      </w:r>
      <w:r w:rsidRPr="00150EDC">
        <w:rPr>
          <w:spacing w:val="-4"/>
          <w:sz w:val="18"/>
        </w:rPr>
        <w:t xml:space="preserve"> </w:t>
      </w:r>
      <w:r w:rsidRPr="00150EDC">
        <w:rPr>
          <w:sz w:val="18"/>
        </w:rPr>
        <w:t>details</w:t>
      </w:r>
      <w:r w:rsidRPr="00150EDC">
        <w:rPr>
          <w:spacing w:val="-2"/>
          <w:sz w:val="18"/>
        </w:rPr>
        <w:t xml:space="preserve"> </w:t>
      </w:r>
      <w:r w:rsidRPr="00150EDC">
        <w:rPr>
          <w:sz w:val="18"/>
        </w:rPr>
        <w:t>in</w:t>
      </w:r>
      <w:r w:rsidRPr="00150EDC">
        <w:rPr>
          <w:spacing w:val="-1"/>
          <w:sz w:val="18"/>
        </w:rPr>
        <w:t xml:space="preserve"> </w:t>
      </w:r>
      <w:r w:rsidRPr="00150EDC">
        <w:rPr>
          <w:sz w:val="18"/>
        </w:rPr>
        <w:t>Order</w:t>
      </w:r>
      <w:r w:rsidRPr="00150EDC">
        <w:rPr>
          <w:spacing w:val="-4"/>
          <w:sz w:val="18"/>
        </w:rPr>
        <w:t xml:space="preserve"> </w:t>
      </w:r>
      <w:r w:rsidRPr="00150EDC">
        <w:rPr>
          <w:sz w:val="18"/>
        </w:rPr>
        <w:t>Schedule</w:t>
      </w:r>
      <w:r w:rsidRPr="00150EDC">
        <w:rPr>
          <w:spacing w:val="-1"/>
          <w:sz w:val="18"/>
        </w:rPr>
        <w:t xml:space="preserve"> </w:t>
      </w:r>
      <w:r w:rsidRPr="00150EDC">
        <w:rPr>
          <w:sz w:val="18"/>
        </w:rPr>
        <w:t>5</w:t>
      </w:r>
      <w:r w:rsidRPr="00150EDC">
        <w:rPr>
          <w:spacing w:val="-1"/>
          <w:sz w:val="18"/>
        </w:rPr>
        <w:t xml:space="preserve"> </w:t>
      </w:r>
      <w:r w:rsidRPr="00150EDC">
        <w:rPr>
          <w:sz w:val="18"/>
        </w:rPr>
        <w:t>(Pricing</w:t>
      </w:r>
      <w:r w:rsidRPr="00150EDC">
        <w:rPr>
          <w:spacing w:val="-3"/>
          <w:sz w:val="18"/>
        </w:rPr>
        <w:t xml:space="preserve"> </w:t>
      </w:r>
      <w:r w:rsidRPr="00150EDC">
        <w:rPr>
          <w:spacing w:val="-2"/>
          <w:sz w:val="18"/>
        </w:rPr>
        <w:t>Details).</w:t>
      </w:r>
    </w:p>
    <w:p w14:paraId="312442D8" w14:textId="77777777" w:rsidR="004C7180" w:rsidRPr="00150EDC" w:rsidRDefault="004C7180">
      <w:pPr>
        <w:pStyle w:val="BodyText"/>
        <w:rPr>
          <w:sz w:val="21"/>
        </w:rPr>
      </w:pPr>
    </w:p>
    <w:p w14:paraId="572537DA" w14:textId="77777777" w:rsidR="004C7180" w:rsidRPr="00150EDC" w:rsidRDefault="00CF0754">
      <w:pPr>
        <w:ind w:left="1044"/>
        <w:rPr>
          <w:sz w:val="18"/>
        </w:rPr>
      </w:pPr>
      <w:r w:rsidRPr="00150EDC">
        <w:rPr>
          <w:sz w:val="18"/>
        </w:rPr>
        <w:t>BUYER’S</w:t>
      </w:r>
      <w:r w:rsidRPr="00150EDC">
        <w:rPr>
          <w:spacing w:val="-3"/>
          <w:sz w:val="18"/>
        </w:rPr>
        <w:t xml:space="preserve"> </w:t>
      </w:r>
      <w:r w:rsidRPr="00150EDC">
        <w:rPr>
          <w:sz w:val="18"/>
        </w:rPr>
        <w:t>INVOICE</w:t>
      </w:r>
      <w:r w:rsidRPr="00150EDC">
        <w:rPr>
          <w:spacing w:val="-2"/>
          <w:sz w:val="18"/>
        </w:rPr>
        <w:t xml:space="preserve"> ADDRESS:</w:t>
      </w:r>
    </w:p>
    <w:p w14:paraId="49DC88CD" w14:textId="77777777" w:rsidR="004C7180" w:rsidRPr="00150EDC" w:rsidRDefault="00CF0754">
      <w:pPr>
        <w:spacing w:before="18" w:line="261" w:lineRule="auto"/>
        <w:ind w:left="1044" w:right="4072"/>
        <w:rPr>
          <w:sz w:val="18"/>
        </w:rPr>
      </w:pPr>
      <w:r w:rsidRPr="00150EDC">
        <w:rPr>
          <w:sz w:val="18"/>
        </w:rPr>
        <w:t xml:space="preserve">Paper invoices are no longer accepted. Please submit to </w:t>
      </w:r>
      <w:hyperlink r:id="rId67">
        <w:r w:rsidRPr="00150EDC">
          <w:rPr>
            <w:sz w:val="18"/>
          </w:rPr>
          <w:t>AccountsPayable.OCR@education.gov.uk</w:t>
        </w:r>
      </w:hyperlink>
      <w:r w:rsidRPr="00150EDC">
        <w:rPr>
          <w:spacing w:val="-2"/>
          <w:sz w:val="18"/>
        </w:rPr>
        <w:t xml:space="preserve"> </w:t>
      </w:r>
      <w:r w:rsidRPr="00150EDC">
        <w:rPr>
          <w:sz w:val="18"/>
        </w:rPr>
        <w:t>as</w:t>
      </w:r>
      <w:r w:rsidRPr="00150EDC">
        <w:rPr>
          <w:spacing w:val="-2"/>
          <w:sz w:val="18"/>
        </w:rPr>
        <w:t xml:space="preserve"> </w:t>
      </w:r>
      <w:r w:rsidRPr="00150EDC">
        <w:rPr>
          <w:sz w:val="18"/>
        </w:rPr>
        <w:t>per instructions in</w:t>
      </w:r>
      <w:r w:rsidRPr="00150EDC">
        <w:rPr>
          <w:spacing w:val="-1"/>
          <w:sz w:val="18"/>
        </w:rPr>
        <w:t xml:space="preserve"> </w:t>
      </w:r>
      <w:r w:rsidRPr="00150EDC">
        <w:rPr>
          <w:sz w:val="18"/>
        </w:rPr>
        <w:t>Order Schedule</w:t>
      </w:r>
      <w:r w:rsidRPr="00150EDC">
        <w:rPr>
          <w:spacing w:val="-1"/>
          <w:sz w:val="18"/>
        </w:rPr>
        <w:t xml:space="preserve"> </w:t>
      </w:r>
      <w:r w:rsidRPr="00150EDC">
        <w:rPr>
          <w:sz w:val="18"/>
        </w:rPr>
        <w:t>5 (Pricing Details).</w:t>
      </w:r>
    </w:p>
    <w:p w14:paraId="2C78FBD0" w14:textId="77777777" w:rsidR="004C7180" w:rsidRPr="00150EDC" w:rsidRDefault="004C7180">
      <w:pPr>
        <w:pStyle w:val="BodyText"/>
        <w:spacing w:before="4"/>
        <w:rPr>
          <w:sz w:val="22"/>
        </w:rPr>
      </w:pPr>
    </w:p>
    <w:p w14:paraId="38611E26" w14:textId="72708D6B" w:rsidR="004C7180" w:rsidRPr="00150EDC" w:rsidRDefault="00CF0754">
      <w:pPr>
        <w:ind w:left="1044"/>
        <w:rPr>
          <w:sz w:val="18"/>
        </w:rPr>
      </w:pPr>
      <w:r w:rsidRPr="00150EDC">
        <w:rPr>
          <w:sz w:val="18"/>
        </w:rPr>
        <w:t>BUYER’S</w:t>
      </w:r>
      <w:r w:rsidRPr="00150EDC">
        <w:rPr>
          <w:spacing w:val="-4"/>
          <w:sz w:val="18"/>
        </w:rPr>
        <w:t xml:space="preserve"> </w:t>
      </w:r>
      <w:r w:rsidRPr="00150EDC">
        <w:rPr>
          <w:sz w:val="18"/>
        </w:rPr>
        <w:t>AUTHORISED</w:t>
      </w:r>
      <w:r w:rsidRPr="00150EDC">
        <w:rPr>
          <w:spacing w:val="-4"/>
          <w:sz w:val="18"/>
        </w:rPr>
        <w:t xml:space="preserve"> </w:t>
      </w:r>
      <w:r w:rsidRPr="00150EDC">
        <w:rPr>
          <w:spacing w:val="-2"/>
          <w:sz w:val="18"/>
        </w:rPr>
        <w:t>REPRESENTATIVE</w:t>
      </w:r>
    </w:p>
    <w:p w14:paraId="09FEE339" w14:textId="59820CDB" w:rsidR="004C7180" w:rsidRPr="007C4F76" w:rsidRDefault="00FE674E">
      <w:pPr>
        <w:spacing w:before="14"/>
        <w:ind w:left="1044"/>
        <w:rPr>
          <w:sz w:val="18"/>
          <w:szCs w:val="18"/>
        </w:rPr>
      </w:pPr>
      <w:r w:rsidRPr="007C4F76">
        <w:rPr>
          <w:rStyle w:val="ui-provider"/>
          <w:sz w:val="18"/>
          <w:szCs w:val="18"/>
        </w:rPr>
        <w:t>Sharon Moore</w:t>
      </w:r>
    </w:p>
    <w:p w14:paraId="1F7B4860" w14:textId="77777777" w:rsidR="00D33AB6" w:rsidRPr="007C4F76" w:rsidRDefault="00F71308">
      <w:pPr>
        <w:spacing w:before="17"/>
        <w:ind w:left="1044"/>
        <w:rPr>
          <w:b/>
          <w:spacing w:val="-2"/>
          <w:sz w:val="18"/>
          <w:szCs w:val="18"/>
        </w:rPr>
      </w:pPr>
      <w:r w:rsidRPr="007C4F76">
        <w:rPr>
          <w:rStyle w:val="ui-provider"/>
          <w:sz w:val="18"/>
          <w:szCs w:val="18"/>
        </w:rPr>
        <w:t>Commercial Lead, Skills, Commercial Directorate </w:t>
      </w:r>
    </w:p>
    <w:p w14:paraId="6DBF67E9" w14:textId="0E02E0EB" w:rsidR="00926E1F" w:rsidRPr="007C4F76" w:rsidRDefault="00926E1F">
      <w:pPr>
        <w:spacing w:before="17"/>
        <w:ind w:left="1044"/>
        <w:rPr>
          <w:rStyle w:val="ui-provider"/>
          <w:sz w:val="18"/>
          <w:szCs w:val="18"/>
        </w:rPr>
      </w:pPr>
      <w:r w:rsidRPr="007C4F76">
        <w:rPr>
          <w:rStyle w:val="ui-provider"/>
          <w:sz w:val="18"/>
          <w:szCs w:val="18"/>
        </w:rPr>
        <w:t>sharon.moore@education.gov.uk</w:t>
      </w:r>
    </w:p>
    <w:p w14:paraId="39ECB94C" w14:textId="75922DCD" w:rsidR="004C7180" w:rsidRPr="007C4F76" w:rsidRDefault="00D33AB6">
      <w:pPr>
        <w:spacing w:before="17"/>
        <w:ind w:left="1044"/>
        <w:rPr>
          <w:sz w:val="18"/>
          <w:szCs w:val="18"/>
        </w:rPr>
      </w:pPr>
      <w:r w:rsidRPr="007C4F76">
        <w:rPr>
          <w:rStyle w:val="ui-provider"/>
          <w:sz w:val="18"/>
          <w:szCs w:val="18"/>
        </w:rPr>
        <w:t>20 Great Smith St, London SW1P 3BT</w:t>
      </w:r>
    </w:p>
    <w:p w14:paraId="498D66C2" w14:textId="77777777" w:rsidR="004C7180" w:rsidRPr="00150EDC" w:rsidRDefault="004C7180">
      <w:pPr>
        <w:pStyle w:val="BodyText"/>
        <w:rPr>
          <w:sz w:val="21"/>
        </w:rPr>
      </w:pPr>
    </w:p>
    <w:p w14:paraId="50AC0BA0" w14:textId="77777777" w:rsidR="004C7180" w:rsidRPr="00150EDC" w:rsidRDefault="00CF0754">
      <w:pPr>
        <w:ind w:left="1044"/>
        <w:rPr>
          <w:sz w:val="18"/>
        </w:rPr>
      </w:pPr>
      <w:r w:rsidRPr="00150EDC">
        <w:rPr>
          <w:sz w:val="18"/>
        </w:rPr>
        <w:t>BUYER’S</w:t>
      </w:r>
      <w:r w:rsidRPr="00150EDC">
        <w:rPr>
          <w:spacing w:val="-5"/>
          <w:sz w:val="18"/>
        </w:rPr>
        <w:t xml:space="preserve"> </w:t>
      </w:r>
      <w:r w:rsidRPr="00150EDC">
        <w:rPr>
          <w:sz w:val="18"/>
        </w:rPr>
        <w:t>ENVIRONMENTAL</w:t>
      </w:r>
      <w:r w:rsidRPr="00150EDC">
        <w:rPr>
          <w:spacing w:val="-4"/>
          <w:sz w:val="18"/>
        </w:rPr>
        <w:t xml:space="preserve"> </w:t>
      </w:r>
      <w:r w:rsidRPr="00150EDC">
        <w:rPr>
          <w:spacing w:val="-2"/>
          <w:sz w:val="18"/>
        </w:rPr>
        <w:t>POLICY</w:t>
      </w:r>
    </w:p>
    <w:p w14:paraId="7346C938" w14:textId="77777777" w:rsidR="004C7180" w:rsidRPr="00150EDC" w:rsidRDefault="00CF0754">
      <w:pPr>
        <w:spacing w:before="17"/>
        <w:ind w:left="1044"/>
        <w:rPr>
          <w:sz w:val="18"/>
        </w:rPr>
      </w:pPr>
      <w:r w:rsidRPr="00150EDC">
        <w:rPr>
          <w:sz w:val="18"/>
        </w:rPr>
        <w:t>The</w:t>
      </w:r>
      <w:r w:rsidRPr="00150EDC">
        <w:rPr>
          <w:spacing w:val="-4"/>
          <w:sz w:val="18"/>
        </w:rPr>
        <w:t xml:space="preserve"> </w:t>
      </w:r>
      <w:r w:rsidRPr="00150EDC">
        <w:rPr>
          <w:sz w:val="18"/>
        </w:rPr>
        <w:t>Department</w:t>
      </w:r>
      <w:r w:rsidRPr="00150EDC">
        <w:rPr>
          <w:spacing w:val="-4"/>
          <w:sz w:val="18"/>
        </w:rPr>
        <w:t xml:space="preserve"> </w:t>
      </w:r>
      <w:r w:rsidRPr="00150EDC">
        <w:rPr>
          <w:sz w:val="18"/>
        </w:rPr>
        <w:t>for</w:t>
      </w:r>
      <w:r w:rsidRPr="00150EDC">
        <w:rPr>
          <w:spacing w:val="-3"/>
          <w:sz w:val="18"/>
        </w:rPr>
        <w:t xml:space="preserve"> </w:t>
      </w:r>
      <w:r w:rsidRPr="00150EDC">
        <w:rPr>
          <w:sz w:val="18"/>
        </w:rPr>
        <w:t>Education's</w:t>
      </w:r>
      <w:r w:rsidRPr="00150EDC">
        <w:rPr>
          <w:spacing w:val="-3"/>
          <w:sz w:val="18"/>
        </w:rPr>
        <w:t xml:space="preserve"> </w:t>
      </w:r>
      <w:r w:rsidRPr="00150EDC">
        <w:rPr>
          <w:sz w:val="18"/>
        </w:rPr>
        <w:t>measures</w:t>
      </w:r>
      <w:r w:rsidRPr="00150EDC">
        <w:rPr>
          <w:spacing w:val="-3"/>
          <w:sz w:val="18"/>
        </w:rPr>
        <w:t xml:space="preserve"> </w:t>
      </w:r>
      <w:r w:rsidRPr="00150EDC">
        <w:rPr>
          <w:sz w:val="18"/>
        </w:rPr>
        <w:t>to</w:t>
      </w:r>
      <w:r w:rsidRPr="00150EDC">
        <w:rPr>
          <w:spacing w:val="-5"/>
          <w:sz w:val="18"/>
        </w:rPr>
        <w:t xml:space="preserve"> </w:t>
      </w:r>
      <w:r w:rsidRPr="00150EDC">
        <w:rPr>
          <w:sz w:val="18"/>
        </w:rPr>
        <w:t>reduce</w:t>
      </w:r>
      <w:r w:rsidRPr="00150EDC">
        <w:rPr>
          <w:spacing w:val="-4"/>
          <w:sz w:val="18"/>
        </w:rPr>
        <w:t xml:space="preserve"> </w:t>
      </w:r>
      <w:r w:rsidRPr="00150EDC">
        <w:rPr>
          <w:sz w:val="18"/>
        </w:rPr>
        <w:t>energy</w:t>
      </w:r>
      <w:r w:rsidRPr="00150EDC">
        <w:rPr>
          <w:spacing w:val="-3"/>
          <w:sz w:val="18"/>
        </w:rPr>
        <w:t xml:space="preserve"> </w:t>
      </w:r>
      <w:r w:rsidRPr="00150EDC">
        <w:rPr>
          <w:sz w:val="18"/>
        </w:rPr>
        <w:t>consumption</w:t>
      </w:r>
      <w:r w:rsidRPr="00150EDC">
        <w:rPr>
          <w:spacing w:val="-4"/>
          <w:sz w:val="18"/>
        </w:rPr>
        <w:t xml:space="preserve"> </w:t>
      </w:r>
      <w:r w:rsidRPr="00150EDC">
        <w:rPr>
          <w:sz w:val="18"/>
        </w:rPr>
        <w:t>and</w:t>
      </w:r>
      <w:r w:rsidRPr="00150EDC">
        <w:rPr>
          <w:spacing w:val="-3"/>
          <w:sz w:val="18"/>
        </w:rPr>
        <w:t xml:space="preserve"> </w:t>
      </w:r>
      <w:r w:rsidRPr="00150EDC">
        <w:rPr>
          <w:spacing w:val="-2"/>
          <w:sz w:val="18"/>
        </w:rPr>
        <w:t>costs,</w:t>
      </w:r>
    </w:p>
    <w:p w14:paraId="7DA27036" w14:textId="77777777" w:rsidR="004C7180" w:rsidRPr="00150EDC" w:rsidRDefault="00CF0754">
      <w:pPr>
        <w:spacing w:before="1"/>
        <w:ind w:left="1587" w:right="5331" w:hanging="543"/>
        <w:rPr>
          <w:sz w:val="18"/>
        </w:rPr>
      </w:pPr>
      <w:r w:rsidRPr="00150EDC">
        <w:rPr>
          <w:sz w:val="18"/>
        </w:rPr>
        <w:t xml:space="preserve">and carbon emissions is available online at: </w:t>
      </w:r>
      <w:hyperlink r:id="rId68">
        <w:r w:rsidRPr="007D3144">
          <w:rPr>
            <w:spacing w:val="-2"/>
            <w:sz w:val="18"/>
            <w:u w:val="single" w:color="0000FF"/>
          </w:rPr>
          <w:t>https://www.gov.uk/government/organisations/department-for-</w:t>
        </w:r>
      </w:hyperlink>
      <w:r w:rsidRPr="007D3144">
        <w:rPr>
          <w:spacing w:val="-2"/>
          <w:sz w:val="18"/>
        </w:rPr>
        <w:t xml:space="preserve"> </w:t>
      </w:r>
      <w:hyperlink r:id="rId69">
        <w:r w:rsidRPr="007D3144">
          <w:rPr>
            <w:spacing w:val="-2"/>
            <w:sz w:val="18"/>
            <w:u w:val="single" w:color="0000FF"/>
          </w:rPr>
          <w:t>education/about/our-energy-use</w:t>
        </w:r>
      </w:hyperlink>
    </w:p>
    <w:p w14:paraId="5BB7C605" w14:textId="77777777" w:rsidR="004C7180" w:rsidRPr="00150EDC" w:rsidRDefault="004C7180">
      <w:pPr>
        <w:rPr>
          <w:sz w:val="18"/>
        </w:rPr>
        <w:sectPr w:rsidR="004C7180" w:rsidRPr="00150EDC">
          <w:pgSz w:w="11910" w:h="16840"/>
          <w:pgMar w:top="2940" w:right="0" w:bottom="3120" w:left="40" w:header="2612" w:footer="2929" w:gutter="0"/>
          <w:cols w:space="720"/>
        </w:sectPr>
      </w:pPr>
    </w:p>
    <w:p w14:paraId="34349824" w14:textId="19392ED6" w:rsidR="004C7180" w:rsidRPr="00150EDC" w:rsidRDefault="004C7180">
      <w:pPr>
        <w:pStyle w:val="BodyText"/>
        <w:spacing w:before="7"/>
        <w:rPr>
          <w:sz w:val="9"/>
        </w:rPr>
      </w:pPr>
    </w:p>
    <w:p w14:paraId="60BD6D40" w14:textId="77777777" w:rsidR="004C7180" w:rsidRPr="00150EDC" w:rsidRDefault="00CF0754">
      <w:pPr>
        <w:spacing w:before="95"/>
        <w:ind w:left="1044" w:right="4072"/>
        <w:rPr>
          <w:sz w:val="18"/>
        </w:rPr>
      </w:pPr>
      <w:r w:rsidRPr="00150EDC">
        <w:rPr>
          <w:sz w:val="18"/>
        </w:rPr>
        <w:t>The Supplier shall meet the</w:t>
      </w:r>
      <w:r w:rsidRPr="00150EDC">
        <w:rPr>
          <w:spacing w:val="-1"/>
          <w:sz w:val="18"/>
        </w:rPr>
        <w:t xml:space="preserve"> </w:t>
      </w:r>
      <w:r w:rsidRPr="00150EDC">
        <w:rPr>
          <w:sz w:val="18"/>
        </w:rPr>
        <w:t>applicable</w:t>
      </w:r>
      <w:r w:rsidRPr="00150EDC">
        <w:rPr>
          <w:spacing w:val="-1"/>
          <w:sz w:val="18"/>
        </w:rPr>
        <w:t xml:space="preserve"> </w:t>
      </w:r>
      <w:r w:rsidRPr="00150EDC">
        <w:rPr>
          <w:sz w:val="18"/>
        </w:rPr>
        <w:t>Government</w:t>
      </w:r>
      <w:r w:rsidRPr="00150EDC">
        <w:rPr>
          <w:spacing w:val="-1"/>
          <w:sz w:val="18"/>
        </w:rPr>
        <w:t xml:space="preserve"> </w:t>
      </w:r>
      <w:r w:rsidRPr="00150EDC">
        <w:rPr>
          <w:sz w:val="18"/>
        </w:rPr>
        <w:t>Buying</w:t>
      </w:r>
      <w:r w:rsidRPr="00150EDC">
        <w:rPr>
          <w:spacing w:val="-1"/>
          <w:sz w:val="18"/>
        </w:rPr>
        <w:t xml:space="preserve"> </w:t>
      </w:r>
      <w:r w:rsidRPr="00150EDC">
        <w:rPr>
          <w:sz w:val="18"/>
        </w:rPr>
        <w:t>Standards applicable</w:t>
      </w:r>
      <w:r w:rsidRPr="00150EDC">
        <w:rPr>
          <w:spacing w:val="-1"/>
          <w:sz w:val="18"/>
        </w:rPr>
        <w:t xml:space="preserve"> </w:t>
      </w:r>
      <w:r w:rsidRPr="00150EDC">
        <w:rPr>
          <w:sz w:val="18"/>
        </w:rPr>
        <w:t>to Deliverables which can be found online at:</w:t>
      </w:r>
    </w:p>
    <w:p w14:paraId="5E1517B9" w14:textId="77777777" w:rsidR="004C7180" w:rsidRPr="00150EDC" w:rsidRDefault="00000000">
      <w:pPr>
        <w:spacing w:before="2"/>
        <w:ind w:left="1587" w:right="4447"/>
        <w:rPr>
          <w:sz w:val="18"/>
        </w:rPr>
      </w:pPr>
      <w:hyperlink r:id="rId70">
        <w:r w:rsidR="00CF0754" w:rsidRPr="007D3144">
          <w:rPr>
            <w:spacing w:val="-2"/>
            <w:sz w:val="18"/>
            <w:u w:val="single" w:color="0000FF"/>
          </w:rPr>
          <w:t>https://www.gov.uk/government/collections/sustainable-procurement-the-</w:t>
        </w:r>
      </w:hyperlink>
      <w:r w:rsidR="00CF0754" w:rsidRPr="007D3144">
        <w:rPr>
          <w:spacing w:val="-2"/>
          <w:sz w:val="18"/>
        </w:rPr>
        <w:t xml:space="preserve"> </w:t>
      </w:r>
      <w:hyperlink r:id="rId71">
        <w:r w:rsidR="00CF0754" w:rsidRPr="007D3144">
          <w:rPr>
            <w:spacing w:val="-2"/>
            <w:sz w:val="18"/>
            <w:u w:val="single" w:color="0000FF"/>
          </w:rPr>
          <w:t>government-buying-standards-gbs</w:t>
        </w:r>
        <w:r w:rsidR="00CF0754" w:rsidRPr="007D3144">
          <w:rPr>
            <w:spacing w:val="40"/>
            <w:sz w:val="18"/>
            <w:u w:val="single" w:color="0000FF"/>
          </w:rPr>
          <w:t xml:space="preserve"> </w:t>
        </w:r>
      </w:hyperlink>
    </w:p>
    <w:p w14:paraId="6A3C0E7D" w14:textId="77777777" w:rsidR="004C7180" w:rsidRPr="00150EDC" w:rsidRDefault="004C7180">
      <w:pPr>
        <w:pStyle w:val="BodyText"/>
        <w:spacing w:before="6"/>
        <w:rPr>
          <w:sz w:val="29"/>
        </w:rPr>
      </w:pPr>
    </w:p>
    <w:p w14:paraId="1D04BC09" w14:textId="77777777" w:rsidR="004C7180" w:rsidRPr="00150EDC" w:rsidRDefault="00CF0754">
      <w:pPr>
        <w:spacing w:before="95"/>
        <w:ind w:left="1044"/>
        <w:rPr>
          <w:sz w:val="18"/>
        </w:rPr>
      </w:pPr>
      <w:r w:rsidRPr="00150EDC">
        <w:rPr>
          <w:sz w:val="18"/>
        </w:rPr>
        <w:t>BUYER’S</w:t>
      </w:r>
      <w:r w:rsidRPr="00150EDC">
        <w:rPr>
          <w:spacing w:val="-3"/>
          <w:sz w:val="18"/>
        </w:rPr>
        <w:t xml:space="preserve"> </w:t>
      </w:r>
      <w:r w:rsidRPr="00150EDC">
        <w:rPr>
          <w:sz w:val="18"/>
        </w:rPr>
        <w:t>SECURITY</w:t>
      </w:r>
      <w:r w:rsidRPr="00150EDC">
        <w:rPr>
          <w:spacing w:val="-4"/>
          <w:sz w:val="18"/>
        </w:rPr>
        <w:t xml:space="preserve"> </w:t>
      </w:r>
      <w:r w:rsidRPr="00150EDC">
        <w:rPr>
          <w:spacing w:val="-2"/>
          <w:sz w:val="18"/>
        </w:rPr>
        <w:t>POLICY</w:t>
      </w:r>
    </w:p>
    <w:p w14:paraId="5480D9CF" w14:textId="77777777" w:rsidR="00824BC2" w:rsidRPr="00150EDC" w:rsidRDefault="00CF0754">
      <w:pPr>
        <w:spacing w:before="17"/>
        <w:ind w:left="1044"/>
        <w:rPr>
          <w:spacing w:val="-2"/>
          <w:sz w:val="18"/>
          <w:szCs w:val="18"/>
        </w:rPr>
      </w:pPr>
      <w:r w:rsidRPr="00150EDC">
        <w:rPr>
          <w:sz w:val="18"/>
          <w:szCs w:val="18"/>
        </w:rPr>
        <w:t>See</w:t>
      </w:r>
      <w:r w:rsidRPr="00150EDC">
        <w:rPr>
          <w:spacing w:val="-3"/>
          <w:sz w:val="18"/>
          <w:szCs w:val="18"/>
        </w:rPr>
        <w:t xml:space="preserve"> </w:t>
      </w:r>
      <w:r w:rsidRPr="00150EDC">
        <w:rPr>
          <w:sz w:val="18"/>
          <w:szCs w:val="18"/>
        </w:rPr>
        <w:t>details</w:t>
      </w:r>
      <w:r w:rsidRPr="00150EDC">
        <w:rPr>
          <w:spacing w:val="-2"/>
          <w:sz w:val="18"/>
          <w:szCs w:val="18"/>
        </w:rPr>
        <w:t xml:space="preserve"> </w:t>
      </w:r>
      <w:r w:rsidRPr="00150EDC">
        <w:rPr>
          <w:sz w:val="18"/>
          <w:szCs w:val="18"/>
        </w:rPr>
        <w:t>in</w:t>
      </w:r>
      <w:r w:rsidRPr="00150EDC">
        <w:rPr>
          <w:spacing w:val="-1"/>
          <w:sz w:val="18"/>
          <w:szCs w:val="18"/>
        </w:rPr>
        <w:t xml:space="preserve"> </w:t>
      </w:r>
      <w:r w:rsidRPr="00150EDC">
        <w:rPr>
          <w:sz w:val="18"/>
          <w:szCs w:val="18"/>
        </w:rPr>
        <w:t>Order</w:t>
      </w:r>
      <w:r w:rsidRPr="00150EDC">
        <w:rPr>
          <w:spacing w:val="-4"/>
          <w:sz w:val="18"/>
          <w:szCs w:val="18"/>
        </w:rPr>
        <w:t xml:space="preserve"> </w:t>
      </w:r>
      <w:r w:rsidRPr="00150EDC">
        <w:rPr>
          <w:sz w:val="18"/>
          <w:szCs w:val="18"/>
        </w:rPr>
        <w:t>Schedule</w:t>
      </w:r>
      <w:r w:rsidRPr="00150EDC">
        <w:rPr>
          <w:spacing w:val="-1"/>
          <w:sz w:val="18"/>
          <w:szCs w:val="18"/>
        </w:rPr>
        <w:t xml:space="preserve"> </w:t>
      </w:r>
      <w:r w:rsidRPr="00150EDC">
        <w:rPr>
          <w:sz w:val="18"/>
          <w:szCs w:val="18"/>
        </w:rPr>
        <w:t xml:space="preserve">9 </w:t>
      </w:r>
      <w:r w:rsidRPr="00150EDC">
        <w:rPr>
          <w:spacing w:val="-2"/>
          <w:sz w:val="18"/>
          <w:szCs w:val="18"/>
        </w:rPr>
        <w:t>(Security).</w:t>
      </w:r>
      <w:r w:rsidR="00824BC2" w:rsidRPr="00150EDC">
        <w:rPr>
          <w:sz w:val="18"/>
          <w:szCs w:val="18"/>
        </w:rPr>
        <w:t xml:space="preserve"> </w:t>
      </w:r>
    </w:p>
    <w:p w14:paraId="59AE6AF4" w14:textId="767766B4" w:rsidR="004C7180" w:rsidRPr="00150EDC" w:rsidRDefault="00824BC2">
      <w:pPr>
        <w:spacing w:before="17"/>
        <w:ind w:left="1044"/>
        <w:rPr>
          <w:sz w:val="18"/>
        </w:rPr>
      </w:pPr>
      <w:r w:rsidRPr="00150EDC">
        <w:rPr>
          <w:spacing w:val="-2"/>
          <w:sz w:val="18"/>
        </w:rPr>
        <w:t>No Buyer’s Security Policy is to apply in addition to the requirements of Schedule 9 (Security)</w:t>
      </w:r>
    </w:p>
    <w:p w14:paraId="1349E9A3" w14:textId="77777777" w:rsidR="004C7180" w:rsidRPr="00150EDC" w:rsidRDefault="00CF0754">
      <w:pPr>
        <w:spacing w:before="1"/>
        <w:ind w:left="1044" w:right="4756"/>
        <w:rPr>
          <w:sz w:val="18"/>
        </w:rPr>
      </w:pPr>
      <w:r w:rsidRPr="00150EDC">
        <w:rPr>
          <w:sz w:val="18"/>
        </w:rPr>
        <w:t xml:space="preserve">Further requirements regarding Testing Standards can be found at: </w:t>
      </w:r>
      <w:hyperlink r:id="rId72">
        <w:r w:rsidRPr="007D3144">
          <w:rPr>
            <w:spacing w:val="-2"/>
            <w:sz w:val="18"/>
            <w:u w:val="single" w:color="0000FF"/>
          </w:rPr>
          <w:t>https://www.gov.uk/government/publications/it-health-check-ithc-supporting-</w:t>
        </w:r>
      </w:hyperlink>
      <w:r w:rsidRPr="007D3144">
        <w:rPr>
          <w:spacing w:val="-2"/>
          <w:sz w:val="18"/>
        </w:rPr>
        <w:t xml:space="preserve"> </w:t>
      </w:r>
      <w:hyperlink r:id="rId73">
        <w:r w:rsidRPr="007D3144">
          <w:rPr>
            <w:spacing w:val="-2"/>
            <w:sz w:val="18"/>
            <w:u w:val="single" w:color="0000FF"/>
          </w:rPr>
          <w:t>guidance</w:t>
        </w:r>
      </w:hyperlink>
    </w:p>
    <w:p w14:paraId="1594C146" w14:textId="77777777" w:rsidR="004C7180" w:rsidRPr="00150EDC" w:rsidRDefault="004C7180">
      <w:pPr>
        <w:pStyle w:val="BodyText"/>
        <w:spacing w:before="5"/>
        <w:rPr>
          <w:sz w:val="11"/>
        </w:rPr>
      </w:pPr>
    </w:p>
    <w:p w14:paraId="06C7509B" w14:textId="77777777" w:rsidR="004C7180" w:rsidRPr="00150EDC" w:rsidRDefault="00CF0754">
      <w:pPr>
        <w:spacing w:before="95"/>
        <w:ind w:left="1044"/>
        <w:rPr>
          <w:sz w:val="18"/>
        </w:rPr>
      </w:pPr>
      <w:r w:rsidRPr="00150EDC">
        <w:rPr>
          <w:sz w:val="18"/>
        </w:rPr>
        <w:t>SUPPLIER’S</w:t>
      </w:r>
      <w:r w:rsidRPr="00150EDC">
        <w:rPr>
          <w:spacing w:val="-5"/>
          <w:sz w:val="18"/>
        </w:rPr>
        <w:t xml:space="preserve"> </w:t>
      </w:r>
      <w:r w:rsidRPr="00150EDC">
        <w:rPr>
          <w:sz w:val="18"/>
        </w:rPr>
        <w:t>AUTHORISED</w:t>
      </w:r>
      <w:r w:rsidRPr="00150EDC">
        <w:rPr>
          <w:spacing w:val="-5"/>
          <w:sz w:val="18"/>
        </w:rPr>
        <w:t xml:space="preserve"> </w:t>
      </w:r>
      <w:r w:rsidRPr="00150EDC">
        <w:rPr>
          <w:spacing w:val="-2"/>
          <w:sz w:val="18"/>
        </w:rPr>
        <w:t>REPRESENTATIVE</w:t>
      </w:r>
    </w:p>
    <w:p w14:paraId="0B26DD6C" w14:textId="66243E8E" w:rsidR="004C7180" w:rsidRPr="00150EDC" w:rsidRDefault="00013297">
      <w:pPr>
        <w:pStyle w:val="BodyText"/>
        <w:rPr>
          <w:sz w:val="21"/>
        </w:rPr>
      </w:pPr>
      <w:r w:rsidRPr="00056CD3">
        <w:rPr>
          <w:spacing w:val="-2"/>
          <w:sz w:val="18"/>
          <w:highlight w:val="black"/>
        </w:rPr>
        <w:t>Redacted</w:t>
      </w:r>
    </w:p>
    <w:p w14:paraId="6D092976" w14:textId="77777777" w:rsidR="004C7180" w:rsidRPr="00150EDC" w:rsidRDefault="00CF0754">
      <w:pPr>
        <w:ind w:left="1044"/>
        <w:rPr>
          <w:sz w:val="18"/>
        </w:rPr>
      </w:pPr>
      <w:r w:rsidRPr="00150EDC">
        <w:rPr>
          <w:sz w:val="18"/>
        </w:rPr>
        <w:t>SUPPLIER’S</w:t>
      </w:r>
      <w:r w:rsidRPr="00150EDC">
        <w:rPr>
          <w:spacing w:val="-5"/>
          <w:sz w:val="18"/>
        </w:rPr>
        <w:t xml:space="preserve"> </w:t>
      </w:r>
      <w:r w:rsidRPr="00150EDC">
        <w:rPr>
          <w:sz w:val="18"/>
        </w:rPr>
        <w:t>CONTRACT</w:t>
      </w:r>
      <w:r w:rsidRPr="00150EDC">
        <w:rPr>
          <w:spacing w:val="-4"/>
          <w:sz w:val="18"/>
        </w:rPr>
        <w:t xml:space="preserve"> </w:t>
      </w:r>
      <w:r w:rsidRPr="00150EDC">
        <w:rPr>
          <w:spacing w:val="-2"/>
          <w:sz w:val="18"/>
        </w:rPr>
        <w:t>MANAGER</w:t>
      </w:r>
    </w:p>
    <w:p w14:paraId="3ABB53A8" w14:textId="47D6519D" w:rsidR="00806F2F" w:rsidRPr="00150EDC" w:rsidRDefault="00806F2F" w:rsidP="00056CD3">
      <w:pPr>
        <w:spacing w:before="18"/>
        <w:ind w:left="1044"/>
        <w:rPr>
          <w:sz w:val="18"/>
        </w:rPr>
      </w:pPr>
      <w:r w:rsidRPr="007D3144">
        <w:rPr>
          <w:spacing w:val="-2"/>
          <w:sz w:val="18"/>
        </w:rPr>
        <w:t xml:space="preserve"> </w:t>
      </w:r>
      <w:r w:rsidR="00013297" w:rsidRPr="00056CD3">
        <w:rPr>
          <w:spacing w:val="-2"/>
          <w:sz w:val="18"/>
          <w:highlight w:val="black"/>
        </w:rPr>
        <w:t>Redacted</w:t>
      </w:r>
    </w:p>
    <w:p w14:paraId="704DFB5C" w14:textId="3F851E23" w:rsidR="004C7180" w:rsidRPr="00150EDC" w:rsidRDefault="004C7180">
      <w:pPr>
        <w:spacing w:before="17"/>
        <w:ind w:left="1044"/>
        <w:rPr>
          <w:sz w:val="18"/>
        </w:rPr>
      </w:pPr>
    </w:p>
    <w:p w14:paraId="7AB0FD0B" w14:textId="77777777" w:rsidR="004C7180" w:rsidRPr="00150EDC" w:rsidRDefault="004C7180">
      <w:pPr>
        <w:pStyle w:val="BodyText"/>
        <w:spacing w:before="11"/>
        <w:rPr>
          <w:sz w:val="20"/>
        </w:rPr>
      </w:pPr>
    </w:p>
    <w:p w14:paraId="72E87C50" w14:textId="77777777" w:rsidR="004C7180" w:rsidRPr="00150EDC" w:rsidRDefault="00CF0754">
      <w:pPr>
        <w:ind w:left="1044"/>
        <w:rPr>
          <w:sz w:val="18"/>
        </w:rPr>
      </w:pPr>
      <w:r w:rsidRPr="00150EDC">
        <w:rPr>
          <w:sz w:val="18"/>
        </w:rPr>
        <w:t>PROGRESS</w:t>
      </w:r>
      <w:r w:rsidRPr="00150EDC">
        <w:rPr>
          <w:spacing w:val="-3"/>
          <w:sz w:val="18"/>
        </w:rPr>
        <w:t xml:space="preserve"> </w:t>
      </w:r>
      <w:r w:rsidRPr="00150EDC">
        <w:rPr>
          <w:sz w:val="18"/>
        </w:rPr>
        <w:t>REPORT</w:t>
      </w:r>
      <w:r w:rsidRPr="00150EDC">
        <w:rPr>
          <w:spacing w:val="-4"/>
          <w:sz w:val="18"/>
        </w:rPr>
        <w:t xml:space="preserve"> </w:t>
      </w:r>
      <w:r w:rsidRPr="00150EDC">
        <w:rPr>
          <w:spacing w:val="-2"/>
          <w:sz w:val="18"/>
        </w:rPr>
        <w:t>FREQUENCY</w:t>
      </w:r>
    </w:p>
    <w:p w14:paraId="5BF609DD" w14:textId="77777777" w:rsidR="004C7180" w:rsidRPr="00150EDC" w:rsidRDefault="00CF0754">
      <w:pPr>
        <w:spacing w:before="17"/>
        <w:ind w:left="1044"/>
        <w:rPr>
          <w:sz w:val="18"/>
        </w:rPr>
      </w:pPr>
      <w:r w:rsidRPr="00150EDC">
        <w:rPr>
          <w:sz w:val="18"/>
        </w:rPr>
        <w:t>See</w:t>
      </w:r>
      <w:r w:rsidRPr="00150EDC">
        <w:rPr>
          <w:spacing w:val="-4"/>
          <w:sz w:val="18"/>
        </w:rPr>
        <w:t xml:space="preserve"> </w:t>
      </w:r>
      <w:r w:rsidRPr="00150EDC">
        <w:rPr>
          <w:sz w:val="18"/>
        </w:rPr>
        <w:t>details</w:t>
      </w:r>
      <w:r w:rsidRPr="00150EDC">
        <w:rPr>
          <w:spacing w:val="-3"/>
          <w:sz w:val="18"/>
        </w:rPr>
        <w:t xml:space="preserve"> </w:t>
      </w:r>
      <w:r w:rsidRPr="00150EDC">
        <w:rPr>
          <w:sz w:val="18"/>
        </w:rPr>
        <w:t>in</w:t>
      </w:r>
      <w:r w:rsidRPr="00150EDC">
        <w:rPr>
          <w:spacing w:val="-1"/>
          <w:sz w:val="18"/>
        </w:rPr>
        <w:t xml:space="preserve"> </w:t>
      </w:r>
      <w:r w:rsidRPr="00150EDC">
        <w:rPr>
          <w:sz w:val="18"/>
        </w:rPr>
        <w:t>Order</w:t>
      </w:r>
      <w:r w:rsidRPr="00150EDC">
        <w:rPr>
          <w:spacing w:val="-5"/>
          <w:sz w:val="18"/>
        </w:rPr>
        <w:t xml:space="preserve"> </w:t>
      </w:r>
      <w:r w:rsidRPr="00150EDC">
        <w:rPr>
          <w:sz w:val="18"/>
        </w:rPr>
        <w:t>Schedule</w:t>
      </w:r>
      <w:r w:rsidRPr="00150EDC">
        <w:rPr>
          <w:spacing w:val="-2"/>
          <w:sz w:val="18"/>
        </w:rPr>
        <w:t xml:space="preserve"> </w:t>
      </w:r>
      <w:r w:rsidRPr="00150EDC">
        <w:rPr>
          <w:sz w:val="18"/>
        </w:rPr>
        <w:t>15</w:t>
      </w:r>
      <w:r w:rsidRPr="00150EDC">
        <w:rPr>
          <w:spacing w:val="-1"/>
          <w:sz w:val="18"/>
        </w:rPr>
        <w:t xml:space="preserve"> </w:t>
      </w:r>
      <w:r w:rsidRPr="00150EDC">
        <w:rPr>
          <w:sz w:val="18"/>
        </w:rPr>
        <w:t>(Order</w:t>
      </w:r>
      <w:r w:rsidRPr="00150EDC">
        <w:rPr>
          <w:spacing w:val="-3"/>
          <w:sz w:val="18"/>
        </w:rPr>
        <w:t xml:space="preserve"> </w:t>
      </w:r>
      <w:r w:rsidRPr="00150EDC">
        <w:rPr>
          <w:sz w:val="18"/>
        </w:rPr>
        <w:t>Contract</w:t>
      </w:r>
      <w:r w:rsidRPr="00150EDC">
        <w:rPr>
          <w:spacing w:val="-1"/>
          <w:sz w:val="18"/>
        </w:rPr>
        <w:t xml:space="preserve"> </w:t>
      </w:r>
      <w:r w:rsidRPr="00150EDC">
        <w:rPr>
          <w:spacing w:val="-2"/>
          <w:sz w:val="18"/>
        </w:rPr>
        <w:t>Management).</w:t>
      </w:r>
    </w:p>
    <w:p w14:paraId="08E5466B" w14:textId="77777777" w:rsidR="004C7180" w:rsidRPr="00150EDC" w:rsidRDefault="004C7180">
      <w:pPr>
        <w:pStyle w:val="BodyText"/>
        <w:spacing w:before="2"/>
        <w:rPr>
          <w:sz w:val="21"/>
        </w:rPr>
      </w:pPr>
    </w:p>
    <w:p w14:paraId="5ECB3642" w14:textId="77777777" w:rsidR="004C7180" w:rsidRPr="00150EDC" w:rsidRDefault="00CF0754">
      <w:pPr>
        <w:ind w:left="1044"/>
        <w:rPr>
          <w:sz w:val="18"/>
        </w:rPr>
      </w:pPr>
      <w:r w:rsidRPr="00150EDC">
        <w:rPr>
          <w:sz w:val="18"/>
        </w:rPr>
        <w:t>PROGRESS</w:t>
      </w:r>
      <w:r w:rsidRPr="00150EDC">
        <w:rPr>
          <w:spacing w:val="-4"/>
          <w:sz w:val="18"/>
        </w:rPr>
        <w:t xml:space="preserve"> </w:t>
      </w:r>
      <w:r w:rsidRPr="00150EDC">
        <w:rPr>
          <w:sz w:val="18"/>
        </w:rPr>
        <w:t>MEETING</w:t>
      </w:r>
      <w:r w:rsidRPr="00150EDC">
        <w:rPr>
          <w:spacing w:val="-3"/>
          <w:sz w:val="18"/>
        </w:rPr>
        <w:t xml:space="preserve"> </w:t>
      </w:r>
      <w:r w:rsidRPr="00150EDC">
        <w:rPr>
          <w:spacing w:val="-2"/>
          <w:sz w:val="18"/>
        </w:rPr>
        <w:t>FREQUENCY</w:t>
      </w:r>
    </w:p>
    <w:p w14:paraId="34ED7571" w14:textId="77777777" w:rsidR="004C7180" w:rsidRPr="00150EDC" w:rsidRDefault="00CF0754">
      <w:pPr>
        <w:spacing w:before="17"/>
        <w:ind w:left="1044"/>
        <w:rPr>
          <w:sz w:val="18"/>
        </w:rPr>
      </w:pPr>
      <w:r w:rsidRPr="00150EDC">
        <w:rPr>
          <w:sz w:val="18"/>
        </w:rPr>
        <w:t>See</w:t>
      </w:r>
      <w:r w:rsidRPr="00150EDC">
        <w:rPr>
          <w:spacing w:val="-4"/>
          <w:sz w:val="18"/>
        </w:rPr>
        <w:t xml:space="preserve"> </w:t>
      </w:r>
      <w:r w:rsidRPr="00150EDC">
        <w:rPr>
          <w:sz w:val="18"/>
        </w:rPr>
        <w:t>details</w:t>
      </w:r>
      <w:r w:rsidRPr="00150EDC">
        <w:rPr>
          <w:spacing w:val="-3"/>
          <w:sz w:val="18"/>
        </w:rPr>
        <w:t xml:space="preserve"> </w:t>
      </w:r>
      <w:r w:rsidRPr="00150EDC">
        <w:rPr>
          <w:sz w:val="18"/>
        </w:rPr>
        <w:t>in</w:t>
      </w:r>
      <w:r w:rsidRPr="00150EDC">
        <w:rPr>
          <w:spacing w:val="-1"/>
          <w:sz w:val="18"/>
        </w:rPr>
        <w:t xml:space="preserve"> </w:t>
      </w:r>
      <w:r w:rsidRPr="00150EDC">
        <w:rPr>
          <w:sz w:val="18"/>
        </w:rPr>
        <w:t>Order</w:t>
      </w:r>
      <w:r w:rsidRPr="00150EDC">
        <w:rPr>
          <w:spacing w:val="-5"/>
          <w:sz w:val="18"/>
        </w:rPr>
        <w:t xml:space="preserve"> </w:t>
      </w:r>
      <w:r w:rsidRPr="00150EDC">
        <w:rPr>
          <w:sz w:val="18"/>
        </w:rPr>
        <w:t>Schedule</w:t>
      </w:r>
      <w:r w:rsidRPr="00150EDC">
        <w:rPr>
          <w:spacing w:val="-2"/>
          <w:sz w:val="18"/>
        </w:rPr>
        <w:t xml:space="preserve"> </w:t>
      </w:r>
      <w:r w:rsidRPr="00150EDC">
        <w:rPr>
          <w:sz w:val="18"/>
        </w:rPr>
        <w:t>15</w:t>
      </w:r>
      <w:r w:rsidRPr="00150EDC">
        <w:rPr>
          <w:spacing w:val="-1"/>
          <w:sz w:val="18"/>
        </w:rPr>
        <w:t xml:space="preserve"> </w:t>
      </w:r>
      <w:r w:rsidRPr="00150EDC">
        <w:rPr>
          <w:sz w:val="18"/>
        </w:rPr>
        <w:t>(Order</w:t>
      </w:r>
      <w:r w:rsidRPr="00150EDC">
        <w:rPr>
          <w:spacing w:val="-3"/>
          <w:sz w:val="18"/>
        </w:rPr>
        <w:t xml:space="preserve"> </w:t>
      </w:r>
      <w:r w:rsidRPr="00150EDC">
        <w:rPr>
          <w:sz w:val="18"/>
        </w:rPr>
        <w:t>Contract</w:t>
      </w:r>
      <w:r w:rsidRPr="00150EDC">
        <w:rPr>
          <w:spacing w:val="-1"/>
          <w:sz w:val="18"/>
        </w:rPr>
        <w:t xml:space="preserve"> </w:t>
      </w:r>
      <w:r w:rsidRPr="00150EDC">
        <w:rPr>
          <w:spacing w:val="-2"/>
          <w:sz w:val="18"/>
        </w:rPr>
        <w:t>Management).</w:t>
      </w:r>
    </w:p>
    <w:p w14:paraId="14BF465F" w14:textId="77777777" w:rsidR="004C7180" w:rsidRPr="00150EDC" w:rsidRDefault="004C7180">
      <w:pPr>
        <w:pStyle w:val="BodyText"/>
        <w:rPr>
          <w:sz w:val="21"/>
        </w:rPr>
      </w:pPr>
    </w:p>
    <w:p w14:paraId="08FB6795" w14:textId="77777777" w:rsidR="004C7180" w:rsidRPr="00150EDC" w:rsidRDefault="00CF0754">
      <w:pPr>
        <w:ind w:left="1044"/>
        <w:rPr>
          <w:sz w:val="18"/>
        </w:rPr>
      </w:pPr>
      <w:r w:rsidRPr="00150EDC">
        <w:rPr>
          <w:sz w:val="18"/>
        </w:rPr>
        <w:t>KEY</w:t>
      </w:r>
      <w:r w:rsidRPr="00150EDC">
        <w:rPr>
          <w:spacing w:val="1"/>
          <w:sz w:val="18"/>
        </w:rPr>
        <w:t xml:space="preserve"> </w:t>
      </w:r>
      <w:r w:rsidRPr="00150EDC">
        <w:rPr>
          <w:spacing w:val="-2"/>
          <w:sz w:val="18"/>
        </w:rPr>
        <w:t>STAFF</w:t>
      </w:r>
    </w:p>
    <w:p w14:paraId="192F3841" w14:textId="1A61601C" w:rsidR="004C7180" w:rsidRPr="00150EDC" w:rsidRDefault="00DA074A">
      <w:pPr>
        <w:pStyle w:val="BodyText"/>
        <w:spacing w:before="4"/>
        <w:rPr>
          <w:sz w:val="19"/>
        </w:rPr>
      </w:pPr>
      <w:r>
        <w:rPr>
          <w:sz w:val="18"/>
          <w:szCs w:val="18"/>
        </w:rPr>
        <w:t xml:space="preserve"> </w:t>
      </w:r>
      <w:r w:rsidRPr="00056CD3">
        <w:rPr>
          <w:sz w:val="18"/>
          <w:szCs w:val="18"/>
          <w:highlight w:val="black"/>
        </w:rPr>
        <w:t>Redacted</w:t>
      </w:r>
      <w:r>
        <w:rPr>
          <w:sz w:val="18"/>
          <w:szCs w:val="18"/>
        </w:rPr>
        <w:t xml:space="preserve"> </w:t>
      </w:r>
    </w:p>
    <w:p w14:paraId="438DD9B9" w14:textId="4A98EA4F" w:rsidR="004C7180" w:rsidRPr="00150EDC" w:rsidRDefault="00CF0754">
      <w:pPr>
        <w:spacing w:before="1"/>
        <w:ind w:left="1044"/>
        <w:rPr>
          <w:sz w:val="18"/>
          <w:szCs w:val="18"/>
        </w:rPr>
      </w:pPr>
      <w:r w:rsidRPr="00150EDC">
        <w:rPr>
          <w:sz w:val="18"/>
          <w:szCs w:val="18"/>
        </w:rPr>
        <w:t>KEY</w:t>
      </w:r>
      <w:r w:rsidRPr="00150EDC">
        <w:rPr>
          <w:spacing w:val="1"/>
          <w:sz w:val="18"/>
          <w:szCs w:val="18"/>
        </w:rPr>
        <w:t xml:space="preserve"> </w:t>
      </w:r>
      <w:r w:rsidRPr="00150EDC">
        <w:rPr>
          <w:spacing w:val="-2"/>
          <w:sz w:val="18"/>
          <w:szCs w:val="18"/>
        </w:rPr>
        <w:t>SUBCONTRACTOR(S)</w:t>
      </w:r>
      <w:r w:rsidR="004F7EBC">
        <w:rPr>
          <w:spacing w:val="-2"/>
          <w:sz w:val="18"/>
          <w:szCs w:val="18"/>
        </w:rPr>
        <w:t xml:space="preserve"> </w:t>
      </w:r>
      <w:r w:rsidR="004F7EBC" w:rsidRPr="000969E2">
        <w:rPr>
          <w:spacing w:val="-2"/>
          <w:sz w:val="18"/>
          <w:szCs w:val="18"/>
          <w:highlight w:val="black"/>
        </w:rPr>
        <w:t>Redacted</w:t>
      </w:r>
    </w:p>
    <w:p w14:paraId="68D87F64" w14:textId="77777777" w:rsidR="004C7180" w:rsidRPr="00150EDC" w:rsidRDefault="00CF0754">
      <w:pPr>
        <w:spacing w:before="16"/>
        <w:ind w:left="1044"/>
        <w:rPr>
          <w:rFonts w:ascii="Calibri"/>
          <w:sz w:val="18"/>
        </w:rPr>
      </w:pPr>
      <w:r w:rsidRPr="00150EDC">
        <w:rPr>
          <w:rFonts w:ascii="Calibri"/>
          <w:sz w:val="18"/>
        </w:rPr>
        <w:t xml:space="preserve">Not </w:t>
      </w:r>
      <w:r w:rsidRPr="00150EDC">
        <w:rPr>
          <w:rFonts w:ascii="Calibri"/>
          <w:spacing w:val="-2"/>
          <w:sz w:val="18"/>
        </w:rPr>
        <w:t>applicable.</w:t>
      </w:r>
    </w:p>
    <w:p w14:paraId="306CDBF7" w14:textId="77777777" w:rsidR="004C7180" w:rsidRPr="00150EDC" w:rsidRDefault="004C7180">
      <w:pPr>
        <w:rPr>
          <w:rFonts w:ascii="Calibri"/>
          <w:sz w:val="18"/>
        </w:rPr>
      </w:pPr>
    </w:p>
    <w:p w14:paraId="549C0887" w14:textId="0A497DE8" w:rsidR="00C53E1F" w:rsidRPr="00BC509C" w:rsidRDefault="008B645F" w:rsidP="00BC509C">
      <w:pPr>
        <w:ind w:left="1044"/>
        <w:rPr>
          <w:sz w:val="18"/>
          <w:szCs w:val="18"/>
        </w:rPr>
        <w:sectPr w:rsidR="00C53E1F" w:rsidRPr="00BC509C">
          <w:pgSz w:w="11910" w:h="16840"/>
          <w:pgMar w:top="2940" w:right="0" w:bottom="3120" w:left="40" w:header="2612" w:footer="2929" w:gutter="0"/>
          <w:cols w:space="720"/>
        </w:sectPr>
      </w:pPr>
      <w:r>
        <w:rPr>
          <w:sz w:val="18"/>
          <w:szCs w:val="18"/>
        </w:rPr>
        <w:t>The supplier and a</w:t>
      </w:r>
      <w:r w:rsidR="00BC509C" w:rsidRPr="00BC509C">
        <w:rPr>
          <w:sz w:val="18"/>
          <w:szCs w:val="18"/>
        </w:rPr>
        <w:t>ll the above Key Subcontractors are hereby permitted to transfer Personal Data outside of the UK or EU where they conform with the conditions of Joint Schedule 11 (Processing Data) Clause 6 (d) (i) to (iv).</w:t>
      </w:r>
    </w:p>
    <w:p w14:paraId="00FFFDC9" w14:textId="513251CD" w:rsidR="004C7180" w:rsidRPr="00150EDC" w:rsidRDefault="004C7180">
      <w:pPr>
        <w:pStyle w:val="BodyText"/>
        <w:spacing w:before="1"/>
        <w:rPr>
          <w:rFonts w:ascii="Calibri"/>
          <w:sz w:val="9"/>
        </w:rPr>
      </w:pPr>
    </w:p>
    <w:p w14:paraId="77B7BA38" w14:textId="77777777" w:rsidR="004C7180" w:rsidRPr="00150EDC" w:rsidRDefault="00CF0754">
      <w:pPr>
        <w:spacing w:before="95"/>
        <w:ind w:left="1044"/>
        <w:rPr>
          <w:sz w:val="18"/>
        </w:rPr>
      </w:pPr>
      <w:r w:rsidRPr="00150EDC">
        <w:rPr>
          <w:sz w:val="18"/>
        </w:rPr>
        <w:t>COMMERCIALLY</w:t>
      </w:r>
      <w:r w:rsidRPr="00150EDC">
        <w:rPr>
          <w:spacing w:val="-6"/>
          <w:sz w:val="18"/>
        </w:rPr>
        <w:t xml:space="preserve"> </w:t>
      </w:r>
      <w:r w:rsidRPr="00150EDC">
        <w:rPr>
          <w:sz w:val="18"/>
        </w:rPr>
        <w:t>SENSITIVE</w:t>
      </w:r>
      <w:r w:rsidRPr="00150EDC">
        <w:rPr>
          <w:spacing w:val="-4"/>
          <w:sz w:val="18"/>
        </w:rPr>
        <w:t xml:space="preserve"> </w:t>
      </w:r>
      <w:r w:rsidRPr="00150EDC">
        <w:rPr>
          <w:spacing w:val="-2"/>
          <w:sz w:val="18"/>
        </w:rPr>
        <w:t>INFORMATION</w:t>
      </w:r>
    </w:p>
    <w:p w14:paraId="5E6FEB02" w14:textId="77777777" w:rsidR="004C7180" w:rsidRPr="00150EDC" w:rsidRDefault="00CF0754">
      <w:pPr>
        <w:spacing w:before="17"/>
        <w:ind w:left="1044"/>
        <w:rPr>
          <w:sz w:val="18"/>
        </w:rPr>
      </w:pPr>
      <w:r w:rsidRPr="00150EDC">
        <w:rPr>
          <w:sz w:val="18"/>
        </w:rPr>
        <w:t>See</w:t>
      </w:r>
      <w:r w:rsidRPr="00150EDC">
        <w:rPr>
          <w:spacing w:val="-7"/>
          <w:sz w:val="18"/>
        </w:rPr>
        <w:t xml:space="preserve"> </w:t>
      </w:r>
      <w:r w:rsidRPr="00150EDC">
        <w:rPr>
          <w:sz w:val="18"/>
        </w:rPr>
        <w:t>details</w:t>
      </w:r>
      <w:r w:rsidRPr="00150EDC">
        <w:rPr>
          <w:spacing w:val="-3"/>
          <w:sz w:val="18"/>
        </w:rPr>
        <w:t xml:space="preserve"> </w:t>
      </w:r>
      <w:r w:rsidRPr="00150EDC">
        <w:rPr>
          <w:sz w:val="18"/>
        </w:rPr>
        <w:t>in</w:t>
      </w:r>
      <w:r w:rsidRPr="00150EDC">
        <w:rPr>
          <w:spacing w:val="-2"/>
          <w:sz w:val="18"/>
        </w:rPr>
        <w:t xml:space="preserve"> </w:t>
      </w:r>
      <w:r w:rsidRPr="00150EDC">
        <w:rPr>
          <w:sz w:val="18"/>
        </w:rPr>
        <w:t>Joint</w:t>
      </w:r>
      <w:r w:rsidRPr="00150EDC">
        <w:rPr>
          <w:spacing w:val="-2"/>
          <w:sz w:val="18"/>
        </w:rPr>
        <w:t xml:space="preserve"> </w:t>
      </w:r>
      <w:r w:rsidRPr="00150EDC">
        <w:rPr>
          <w:sz w:val="18"/>
        </w:rPr>
        <w:t>Schedule</w:t>
      </w:r>
      <w:r w:rsidRPr="00150EDC">
        <w:rPr>
          <w:spacing w:val="-2"/>
          <w:sz w:val="18"/>
        </w:rPr>
        <w:t xml:space="preserve"> </w:t>
      </w:r>
      <w:r w:rsidRPr="00150EDC">
        <w:rPr>
          <w:sz w:val="18"/>
        </w:rPr>
        <w:t>4</w:t>
      </w:r>
      <w:r w:rsidRPr="00150EDC">
        <w:rPr>
          <w:spacing w:val="-2"/>
          <w:sz w:val="18"/>
        </w:rPr>
        <w:t xml:space="preserve"> </w:t>
      </w:r>
      <w:r w:rsidRPr="00150EDC">
        <w:rPr>
          <w:sz w:val="18"/>
        </w:rPr>
        <w:t>(Commercially</w:t>
      </w:r>
      <w:r w:rsidRPr="00150EDC">
        <w:rPr>
          <w:spacing w:val="-3"/>
          <w:sz w:val="18"/>
        </w:rPr>
        <w:t xml:space="preserve"> </w:t>
      </w:r>
      <w:r w:rsidRPr="00150EDC">
        <w:rPr>
          <w:sz w:val="18"/>
        </w:rPr>
        <w:t>Sensitive</w:t>
      </w:r>
      <w:r w:rsidRPr="00150EDC">
        <w:rPr>
          <w:spacing w:val="-4"/>
          <w:sz w:val="18"/>
        </w:rPr>
        <w:t xml:space="preserve"> </w:t>
      </w:r>
      <w:r w:rsidRPr="00150EDC">
        <w:rPr>
          <w:spacing w:val="-2"/>
          <w:sz w:val="18"/>
        </w:rPr>
        <w:t>Information).</w:t>
      </w:r>
    </w:p>
    <w:p w14:paraId="06978A11" w14:textId="77777777" w:rsidR="004C7180" w:rsidRPr="00150EDC" w:rsidRDefault="004C7180">
      <w:pPr>
        <w:pStyle w:val="BodyText"/>
        <w:spacing w:before="3"/>
      </w:pPr>
    </w:p>
    <w:p w14:paraId="7E985596" w14:textId="77777777" w:rsidR="004C7180" w:rsidRPr="00150EDC" w:rsidRDefault="00CF0754">
      <w:pPr>
        <w:spacing w:before="1"/>
        <w:ind w:left="1044"/>
        <w:rPr>
          <w:sz w:val="18"/>
        </w:rPr>
      </w:pPr>
      <w:r w:rsidRPr="00150EDC">
        <w:rPr>
          <w:sz w:val="18"/>
        </w:rPr>
        <w:t>SERVICE</w:t>
      </w:r>
      <w:r w:rsidRPr="00150EDC">
        <w:rPr>
          <w:spacing w:val="-1"/>
          <w:sz w:val="18"/>
        </w:rPr>
        <w:t xml:space="preserve"> </w:t>
      </w:r>
      <w:r w:rsidRPr="00150EDC">
        <w:rPr>
          <w:spacing w:val="-2"/>
          <w:sz w:val="18"/>
        </w:rPr>
        <w:t>CREDITS</w:t>
      </w:r>
    </w:p>
    <w:p w14:paraId="35184A2A" w14:textId="24B0DAC8" w:rsidR="004C7180" w:rsidRPr="00150EDC" w:rsidRDefault="00CF0754">
      <w:pPr>
        <w:spacing w:before="17" w:line="451" w:lineRule="auto"/>
        <w:ind w:left="1044" w:right="4072"/>
        <w:rPr>
          <w:sz w:val="18"/>
          <w:szCs w:val="18"/>
        </w:rPr>
      </w:pPr>
      <w:r w:rsidRPr="00150EDC">
        <w:rPr>
          <w:sz w:val="18"/>
          <w:szCs w:val="18"/>
        </w:rPr>
        <w:t>Service Credits</w:t>
      </w:r>
      <w:r w:rsidRPr="00150EDC">
        <w:rPr>
          <w:spacing w:val="-1"/>
          <w:sz w:val="18"/>
          <w:szCs w:val="18"/>
        </w:rPr>
        <w:t xml:space="preserve"> </w:t>
      </w:r>
      <w:r w:rsidRPr="00150EDC">
        <w:rPr>
          <w:sz w:val="18"/>
          <w:szCs w:val="18"/>
        </w:rPr>
        <w:t>will</w:t>
      </w:r>
      <w:r w:rsidRPr="00150EDC">
        <w:rPr>
          <w:spacing w:val="-1"/>
          <w:sz w:val="18"/>
          <w:szCs w:val="18"/>
        </w:rPr>
        <w:t xml:space="preserve"> </w:t>
      </w:r>
      <w:r w:rsidRPr="00150EDC">
        <w:rPr>
          <w:sz w:val="18"/>
          <w:szCs w:val="18"/>
        </w:rPr>
        <w:t>accrue in accordance with Order</w:t>
      </w:r>
      <w:r w:rsidRPr="00150EDC">
        <w:rPr>
          <w:spacing w:val="-1"/>
          <w:sz w:val="18"/>
          <w:szCs w:val="18"/>
        </w:rPr>
        <w:t xml:space="preserve"> </w:t>
      </w:r>
      <w:r w:rsidRPr="00150EDC">
        <w:rPr>
          <w:sz w:val="18"/>
          <w:szCs w:val="18"/>
        </w:rPr>
        <w:t>Schedule</w:t>
      </w:r>
      <w:r w:rsidRPr="00150EDC">
        <w:rPr>
          <w:spacing w:val="-2"/>
          <w:sz w:val="18"/>
          <w:szCs w:val="18"/>
        </w:rPr>
        <w:t xml:space="preserve"> </w:t>
      </w:r>
      <w:r w:rsidRPr="00150EDC">
        <w:rPr>
          <w:sz w:val="18"/>
          <w:szCs w:val="18"/>
        </w:rPr>
        <w:t xml:space="preserve">14 (Service Levels). </w:t>
      </w:r>
      <w:r w:rsidR="00020FD7" w:rsidRPr="00056CD3">
        <w:rPr>
          <w:sz w:val="18"/>
          <w:szCs w:val="18"/>
          <w:highlight w:val="black"/>
        </w:rPr>
        <w:t>Reda</w:t>
      </w:r>
      <w:r w:rsidR="0066456C" w:rsidRPr="00056CD3">
        <w:rPr>
          <w:sz w:val="18"/>
          <w:szCs w:val="18"/>
          <w:highlight w:val="black"/>
        </w:rPr>
        <w:t>cted</w:t>
      </w:r>
    </w:p>
    <w:p w14:paraId="3D853085" w14:textId="6E07D6D5" w:rsidR="004C7180" w:rsidRPr="00150EDC" w:rsidRDefault="0066456C">
      <w:pPr>
        <w:pStyle w:val="BodyText"/>
        <w:rPr>
          <w:sz w:val="19"/>
        </w:rPr>
      </w:pPr>
      <w:r w:rsidRPr="00056CD3">
        <w:rPr>
          <w:sz w:val="18"/>
          <w:highlight w:val="black"/>
        </w:rPr>
        <w:t>Redacted</w:t>
      </w:r>
      <w:r>
        <w:rPr>
          <w:sz w:val="18"/>
        </w:rPr>
        <w:t xml:space="preserve"> </w:t>
      </w:r>
    </w:p>
    <w:p w14:paraId="39A33CE0" w14:textId="77777777" w:rsidR="004C7180" w:rsidRPr="00150EDC" w:rsidRDefault="00CF0754">
      <w:pPr>
        <w:spacing w:before="1"/>
        <w:ind w:left="1044"/>
        <w:rPr>
          <w:sz w:val="18"/>
        </w:rPr>
      </w:pPr>
      <w:r w:rsidRPr="00150EDC">
        <w:rPr>
          <w:sz w:val="18"/>
        </w:rPr>
        <w:t>ADDITIONAL</w:t>
      </w:r>
      <w:r w:rsidRPr="00150EDC">
        <w:rPr>
          <w:spacing w:val="-3"/>
          <w:sz w:val="18"/>
        </w:rPr>
        <w:t xml:space="preserve"> </w:t>
      </w:r>
      <w:r w:rsidRPr="00150EDC">
        <w:rPr>
          <w:spacing w:val="-2"/>
          <w:sz w:val="18"/>
        </w:rPr>
        <w:t>INSURANCES</w:t>
      </w:r>
    </w:p>
    <w:p w14:paraId="4663400E" w14:textId="77777777" w:rsidR="004C7180" w:rsidRPr="00150EDC" w:rsidRDefault="00CF0754">
      <w:pPr>
        <w:spacing w:before="19"/>
        <w:ind w:left="1044"/>
        <w:rPr>
          <w:sz w:val="18"/>
        </w:rPr>
      </w:pPr>
      <w:r w:rsidRPr="00150EDC">
        <w:rPr>
          <w:sz w:val="18"/>
        </w:rPr>
        <w:t>Not</w:t>
      </w:r>
      <w:r w:rsidRPr="00150EDC">
        <w:rPr>
          <w:spacing w:val="-2"/>
          <w:sz w:val="18"/>
        </w:rPr>
        <w:t xml:space="preserve"> applicable</w:t>
      </w:r>
    </w:p>
    <w:p w14:paraId="689D3B64" w14:textId="77777777" w:rsidR="004C7180" w:rsidRPr="00150EDC" w:rsidRDefault="004C7180">
      <w:pPr>
        <w:pStyle w:val="BodyText"/>
        <w:spacing w:before="1"/>
        <w:rPr>
          <w:sz w:val="19"/>
        </w:rPr>
      </w:pPr>
    </w:p>
    <w:p w14:paraId="72FC5127" w14:textId="77777777" w:rsidR="004C7180" w:rsidRPr="00150EDC" w:rsidRDefault="00CF0754">
      <w:pPr>
        <w:ind w:left="1044"/>
        <w:rPr>
          <w:sz w:val="18"/>
        </w:rPr>
      </w:pPr>
      <w:r w:rsidRPr="00150EDC">
        <w:rPr>
          <w:spacing w:val="-2"/>
          <w:sz w:val="18"/>
        </w:rPr>
        <w:t>GUARANTEE</w:t>
      </w:r>
    </w:p>
    <w:p w14:paraId="54C23F9A" w14:textId="77777777" w:rsidR="004C7180" w:rsidRPr="00150EDC" w:rsidRDefault="00CF0754">
      <w:pPr>
        <w:spacing w:before="1"/>
        <w:ind w:left="1044"/>
        <w:rPr>
          <w:sz w:val="18"/>
        </w:rPr>
      </w:pPr>
      <w:r w:rsidRPr="00150EDC">
        <w:rPr>
          <w:sz w:val="18"/>
        </w:rPr>
        <w:t>Not</w:t>
      </w:r>
      <w:r w:rsidRPr="00150EDC">
        <w:rPr>
          <w:spacing w:val="-2"/>
          <w:sz w:val="18"/>
        </w:rPr>
        <w:t xml:space="preserve"> applicable</w:t>
      </w:r>
    </w:p>
    <w:p w14:paraId="3B0EC94B" w14:textId="77777777" w:rsidR="004C7180" w:rsidRPr="00150EDC" w:rsidRDefault="004C7180">
      <w:pPr>
        <w:pStyle w:val="BodyText"/>
        <w:rPr>
          <w:sz w:val="21"/>
        </w:rPr>
      </w:pPr>
    </w:p>
    <w:p w14:paraId="414D0DA0" w14:textId="77777777" w:rsidR="004C7180" w:rsidRPr="00150EDC" w:rsidRDefault="00CF0754">
      <w:pPr>
        <w:ind w:left="1044"/>
        <w:rPr>
          <w:sz w:val="18"/>
        </w:rPr>
      </w:pPr>
      <w:r w:rsidRPr="00150EDC">
        <w:rPr>
          <w:sz w:val="18"/>
        </w:rPr>
        <w:t>SOCIAL</w:t>
      </w:r>
      <w:r w:rsidRPr="00150EDC">
        <w:rPr>
          <w:spacing w:val="-2"/>
          <w:sz w:val="18"/>
        </w:rPr>
        <w:t xml:space="preserve"> </w:t>
      </w:r>
      <w:r w:rsidRPr="00150EDC">
        <w:rPr>
          <w:sz w:val="18"/>
        </w:rPr>
        <w:t>VALUE</w:t>
      </w:r>
      <w:r w:rsidRPr="00150EDC">
        <w:rPr>
          <w:spacing w:val="-2"/>
          <w:sz w:val="18"/>
        </w:rPr>
        <w:t xml:space="preserve"> COMMITMENT</w:t>
      </w:r>
    </w:p>
    <w:p w14:paraId="441082A0" w14:textId="77777777" w:rsidR="004C7180" w:rsidRPr="00150EDC" w:rsidRDefault="00CF0754">
      <w:pPr>
        <w:spacing w:before="17" w:line="278" w:lineRule="auto"/>
        <w:ind w:left="1044" w:right="4016"/>
        <w:jc w:val="both"/>
        <w:rPr>
          <w:sz w:val="18"/>
        </w:rPr>
      </w:pPr>
      <w:r w:rsidRPr="00150EDC">
        <w:rPr>
          <w:sz w:val="18"/>
        </w:rPr>
        <w:t>The</w:t>
      </w:r>
      <w:r w:rsidRPr="00150EDC">
        <w:rPr>
          <w:spacing w:val="-12"/>
          <w:sz w:val="18"/>
        </w:rPr>
        <w:t xml:space="preserve"> </w:t>
      </w:r>
      <w:r w:rsidRPr="00150EDC">
        <w:rPr>
          <w:sz w:val="18"/>
        </w:rPr>
        <w:t>Supplier</w:t>
      </w:r>
      <w:r w:rsidRPr="00150EDC">
        <w:rPr>
          <w:spacing w:val="-10"/>
          <w:sz w:val="18"/>
        </w:rPr>
        <w:t xml:space="preserve"> </w:t>
      </w:r>
      <w:r w:rsidRPr="00150EDC">
        <w:rPr>
          <w:sz w:val="18"/>
        </w:rPr>
        <w:t>agrees,</w:t>
      </w:r>
      <w:r w:rsidRPr="00150EDC">
        <w:rPr>
          <w:spacing w:val="-12"/>
          <w:sz w:val="18"/>
        </w:rPr>
        <w:t xml:space="preserve"> </w:t>
      </w:r>
      <w:r w:rsidRPr="00150EDC">
        <w:rPr>
          <w:sz w:val="18"/>
        </w:rPr>
        <w:t>in</w:t>
      </w:r>
      <w:r w:rsidRPr="00150EDC">
        <w:rPr>
          <w:spacing w:val="-12"/>
          <w:sz w:val="18"/>
        </w:rPr>
        <w:t xml:space="preserve"> </w:t>
      </w:r>
      <w:r w:rsidRPr="00150EDC">
        <w:rPr>
          <w:sz w:val="18"/>
        </w:rPr>
        <w:t>providing</w:t>
      </w:r>
      <w:r w:rsidRPr="00150EDC">
        <w:rPr>
          <w:spacing w:val="-10"/>
          <w:sz w:val="18"/>
        </w:rPr>
        <w:t xml:space="preserve"> </w:t>
      </w:r>
      <w:r w:rsidRPr="00150EDC">
        <w:rPr>
          <w:sz w:val="18"/>
        </w:rPr>
        <w:t>the</w:t>
      </w:r>
      <w:r w:rsidRPr="00150EDC">
        <w:rPr>
          <w:spacing w:val="-12"/>
          <w:sz w:val="18"/>
        </w:rPr>
        <w:t xml:space="preserve"> </w:t>
      </w:r>
      <w:r w:rsidRPr="00150EDC">
        <w:rPr>
          <w:sz w:val="18"/>
        </w:rPr>
        <w:t>Deliverables</w:t>
      </w:r>
      <w:r w:rsidRPr="00150EDC">
        <w:rPr>
          <w:spacing w:val="-11"/>
          <w:sz w:val="18"/>
        </w:rPr>
        <w:t xml:space="preserve"> </w:t>
      </w:r>
      <w:r w:rsidRPr="00150EDC">
        <w:rPr>
          <w:sz w:val="18"/>
        </w:rPr>
        <w:t>and</w:t>
      </w:r>
      <w:r w:rsidRPr="00150EDC">
        <w:rPr>
          <w:spacing w:val="-12"/>
          <w:sz w:val="18"/>
        </w:rPr>
        <w:t xml:space="preserve"> </w:t>
      </w:r>
      <w:r w:rsidRPr="00150EDC">
        <w:rPr>
          <w:sz w:val="18"/>
        </w:rPr>
        <w:t>performing</w:t>
      </w:r>
      <w:r w:rsidRPr="00150EDC">
        <w:rPr>
          <w:spacing w:val="-10"/>
          <w:sz w:val="18"/>
        </w:rPr>
        <w:t xml:space="preserve"> </w:t>
      </w:r>
      <w:r w:rsidRPr="00150EDC">
        <w:rPr>
          <w:sz w:val="18"/>
        </w:rPr>
        <w:t>its</w:t>
      </w:r>
      <w:r w:rsidRPr="00150EDC">
        <w:rPr>
          <w:spacing w:val="-13"/>
          <w:sz w:val="18"/>
        </w:rPr>
        <w:t xml:space="preserve"> </w:t>
      </w:r>
      <w:r w:rsidRPr="00150EDC">
        <w:rPr>
          <w:sz w:val="18"/>
        </w:rPr>
        <w:t>obligations</w:t>
      </w:r>
      <w:r w:rsidRPr="00150EDC">
        <w:rPr>
          <w:spacing w:val="-12"/>
          <w:sz w:val="18"/>
        </w:rPr>
        <w:t xml:space="preserve"> </w:t>
      </w:r>
      <w:r w:rsidRPr="00150EDC">
        <w:rPr>
          <w:sz w:val="18"/>
        </w:rPr>
        <w:t>under the Order Contract, that it will comply with the social value commitments in Order Schedule 4 (Order Tender) and the associated Social Value KPI detailed in Order Schedule 14 (Service Levels).</w:t>
      </w:r>
    </w:p>
    <w:p w14:paraId="48700340" w14:textId="77777777" w:rsidR="004C7180" w:rsidRPr="00150EDC" w:rsidRDefault="004C7180">
      <w:pPr>
        <w:pStyle w:val="BodyText"/>
        <w:spacing w:before="3"/>
        <w:rPr>
          <w:sz w:val="15"/>
        </w:rPr>
      </w:pPr>
    </w:p>
    <w:tbl>
      <w:tblPr>
        <w:tblW w:w="0" w:type="auto"/>
        <w:tblInd w:w="1054" w:type="dxa"/>
        <w:tblBorders>
          <w:top w:val="single" w:sz="4" w:space="0" w:color="94B3D6"/>
          <w:left w:val="single" w:sz="4" w:space="0" w:color="94B3D6"/>
          <w:bottom w:val="single" w:sz="4" w:space="0" w:color="94B3D6"/>
          <w:right w:val="single" w:sz="4" w:space="0" w:color="94B3D6"/>
          <w:insideH w:val="single" w:sz="4" w:space="0" w:color="94B3D6"/>
          <w:insideV w:val="single" w:sz="4" w:space="0" w:color="94B3D6"/>
        </w:tblBorders>
        <w:tblLayout w:type="fixed"/>
        <w:tblCellMar>
          <w:left w:w="0" w:type="dxa"/>
          <w:right w:w="0" w:type="dxa"/>
        </w:tblCellMar>
        <w:tblLook w:val="01E0" w:firstRow="1" w:lastRow="1" w:firstColumn="1" w:lastColumn="1" w:noHBand="0" w:noVBand="0"/>
      </w:tblPr>
      <w:tblGrid>
        <w:gridCol w:w="1150"/>
        <w:gridCol w:w="2246"/>
        <w:gridCol w:w="1172"/>
        <w:gridCol w:w="2342"/>
      </w:tblGrid>
      <w:tr w:rsidR="004569EE" w:rsidRPr="007D3144" w14:paraId="7B1CE70C" w14:textId="77777777">
        <w:trPr>
          <w:trHeight w:val="1224"/>
        </w:trPr>
        <w:tc>
          <w:tcPr>
            <w:tcW w:w="3396" w:type="dxa"/>
            <w:gridSpan w:val="2"/>
            <w:tcBorders>
              <w:left w:val="single" w:sz="4" w:space="0" w:color="000000"/>
            </w:tcBorders>
          </w:tcPr>
          <w:p w14:paraId="0C3980E6" w14:textId="77777777" w:rsidR="004C7180" w:rsidRPr="00150EDC" w:rsidRDefault="004C7180">
            <w:pPr>
              <w:pStyle w:val="TableParagraph"/>
              <w:spacing w:before="8" w:line="240" w:lineRule="auto"/>
              <w:ind w:left="0"/>
              <w:rPr>
                <w:sz w:val="15"/>
              </w:rPr>
            </w:pPr>
          </w:p>
          <w:p w14:paraId="1512B872" w14:textId="77777777" w:rsidR="004C7180" w:rsidRPr="00150EDC" w:rsidRDefault="00CF0754">
            <w:pPr>
              <w:pStyle w:val="TableParagraph"/>
              <w:spacing w:before="0" w:line="240" w:lineRule="auto"/>
              <w:ind w:left="79"/>
              <w:rPr>
                <w:b/>
                <w:sz w:val="18"/>
              </w:rPr>
            </w:pPr>
            <w:r w:rsidRPr="00150EDC">
              <w:rPr>
                <w:b/>
                <w:sz w:val="18"/>
              </w:rPr>
              <w:t>For</w:t>
            </w:r>
            <w:r w:rsidRPr="00150EDC">
              <w:rPr>
                <w:b/>
                <w:spacing w:val="-2"/>
                <w:sz w:val="18"/>
              </w:rPr>
              <w:t xml:space="preserve"> </w:t>
            </w:r>
            <w:r w:rsidRPr="00150EDC">
              <w:rPr>
                <w:b/>
                <w:sz w:val="18"/>
              </w:rPr>
              <w:t>and</w:t>
            </w:r>
            <w:r w:rsidRPr="00150EDC">
              <w:rPr>
                <w:b/>
                <w:spacing w:val="-2"/>
                <w:sz w:val="18"/>
              </w:rPr>
              <w:t xml:space="preserve"> </w:t>
            </w:r>
            <w:r w:rsidRPr="00150EDC">
              <w:rPr>
                <w:b/>
                <w:sz w:val="18"/>
              </w:rPr>
              <w:t>on</w:t>
            </w:r>
            <w:r w:rsidRPr="00150EDC">
              <w:rPr>
                <w:b/>
                <w:spacing w:val="-2"/>
                <w:sz w:val="18"/>
              </w:rPr>
              <w:t xml:space="preserve"> </w:t>
            </w:r>
            <w:r w:rsidRPr="00150EDC">
              <w:rPr>
                <w:b/>
                <w:sz w:val="18"/>
              </w:rPr>
              <w:t>behalf</w:t>
            </w:r>
            <w:r w:rsidRPr="00150EDC">
              <w:rPr>
                <w:b/>
                <w:spacing w:val="-2"/>
                <w:sz w:val="18"/>
              </w:rPr>
              <w:t xml:space="preserve"> </w:t>
            </w:r>
            <w:r w:rsidRPr="00150EDC">
              <w:rPr>
                <w:b/>
                <w:sz w:val="18"/>
              </w:rPr>
              <w:t>of</w:t>
            </w:r>
            <w:r w:rsidRPr="00150EDC">
              <w:rPr>
                <w:b/>
                <w:spacing w:val="-2"/>
                <w:sz w:val="18"/>
              </w:rPr>
              <w:t xml:space="preserve"> </w:t>
            </w:r>
            <w:r w:rsidRPr="00150EDC">
              <w:rPr>
                <w:b/>
                <w:sz w:val="18"/>
              </w:rPr>
              <w:t xml:space="preserve">the </w:t>
            </w:r>
            <w:r w:rsidRPr="00150EDC">
              <w:rPr>
                <w:b/>
                <w:spacing w:val="-2"/>
                <w:sz w:val="18"/>
              </w:rPr>
              <w:t>Supplier:</w:t>
            </w:r>
          </w:p>
        </w:tc>
        <w:tc>
          <w:tcPr>
            <w:tcW w:w="3514" w:type="dxa"/>
            <w:gridSpan w:val="2"/>
            <w:tcBorders>
              <w:right w:val="single" w:sz="4" w:space="0" w:color="000000"/>
            </w:tcBorders>
          </w:tcPr>
          <w:p w14:paraId="0A3AAC6F" w14:textId="77777777" w:rsidR="004C7180" w:rsidRPr="00150EDC" w:rsidRDefault="004C7180">
            <w:pPr>
              <w:pStyle w:val="TableParagraph"/>
              <w:spacing w:before="8" w:line="240" w:lineRule="auto"/>
              <w:ind w:left="0"/>
              <w:rPr>
                <w:sz w:val="15"/>
              </w:rPr>
            </w:pPr>
          </w:p>
          <w:p w14:paraId="07F5C896" w14:textId="77777777" w:rsidR="004C7180" w:rsidRPr="00150EDC" w:rsidRDefault="00CF0754">
            <w:pPr>
              <w:pStyle w:val="TableParagraph"/>
              <w:spacing w:before="0" w:line="278" w:lineRule="auto"/>
              <w:ind w:left="79" w:right="68"/>
              <w:jc w:val="both"/>
              <w:rPr>
                <w:sz w:val="18"/>
              </w:rPr>
            </w:pPr>
            <w:r w:rsidRPr="00150EDC">
              <w:rPr>
                <w:b/>
                <w:sz w:val="18"/>
              </w:rPr>
              <w:t xml:space="preserve">For and on behalf of the Buyer: </w:t>
            </w:r>
            <w:r w:rsidRPr="00150EDC">
              <w:rPr>
                <w:sz w:val="18"/>
              </w:rPr>
              <w:t xml:space="preserve">Signed by an authorised signatory for and on behalf of The Secretary of State for </w:t>
            </w:r>
            <w:r w:rsidRPr="00150EDC">
              <w:rPr>
                <w:spacing w:val="-2"/>
                <w:sz w:val="18"/>
              </w:rPr>
              <w:t>Education:</w:t>
            </w:r>
          </w:p>
        </w:tc>
      </w:tr>
      <w:tr w:rsidR="004569EE" w:rsidRPr="007D3144" w14:paraId="7EB62B40" w14:textId="77777777">
        <w:trPr>
          <w:trHeight w:val="508"/>
        </w:trPr>
        <w:tc>
          <w:tcPr>
            <w:tcW w:w="1150" w:type="dxa"/>
            <w:tcBorders>
              <w:left w:val="single" w:sz="4" w:space="0" w:color="000000"/>
            </w:tcBorders>
          </w:tcPr>
          <w:p w14:paraId="1ED8BF48" w14:textId="77777777" w:rsidR="004C7180" w:rsidRPr="00150EDC" w:rsidRDefault="004C7180">
            <w:pPr>
              <w:pStyle w:val="TableParagraph"/>
              <w:spacing w:before="8" w:line="240" w:lineRule="auto"/>
              <w:ind w:left="0"/>
              <w:rPr>
                <w:sz w:val="15"/>
              </w:rPr>
            </w:pPr>
          </w:p>
          <w:p w14:paraId="7C2EF3CF" w14:textId="77777777" w:rsidR="004C7180" w:rsidRPr="00150EDC" w:rsidRDefault="00CF0754">
            <w:pPr>
              <w:pStyle w:val="TableParagraph"/>
              <w:spacing w:before="0" w:line="240" w:lineRule="auto"/>
              <w:ind w:left="79"/>
              <w:rPr>
                <w:sz w:val="18"/>
              </w:rPr>
            </w:pPr>
            <w:r w:rsidRPr="00150EDC">
              <w:rPr>
                <w:spacing w:val="-2"/>
                <w:sz w:val="18"/>
              </w:rPr>
              <w:t>Signature:</w:t>
            </w:r>
          </w:p>
        </w:tc>
        <w:tc>
          <w:tcPr>
            <w:tcW w:w="2246" w:type="dxa"/>
          </w:tcPr>
          <w:p w14:paraId="304C576B" w14:textId="7984083B" w:rsidR="004C7180" w:rsidRPr="00150EDC" w:rsidRDefault="00792381">
            <w:pPr>
              <w:pStyle w:val="TableParagraph"/>
              <w:spacing w:before="0" w:line="240" w:lineRule="auto"/>
              <w:ind w:left="0"/>
              <w:rPr>
                <w:rFonts w:ascii="Times New Roman"/>
                <w:sz w:val="16"/>
              </w:rPr>
            </w:pPr>
            <w:r>
              <w:rPr>
                <w:rFonts w:ascii="Times New Roman"/>
                <w:noProof/>
                <w:sz w:val="16"/>
              </w:rPr>
              <mc:AlternateContent>
                <mc:Choice Requires="wpi">
                  <w:drawing>
                    <wp:anchor distT="0" distB="0" distL="114300" distR="114300" simplePos="0" relativeHeight="251659308" behindDoc="0" locked="0" layoutInCell="1" allowOverlap="1" wp14:anchorId="593CC255" wp14:editId="6BD1F155">
                      <wp:simplePos x="0" y="0"/>
                      <wp:positionH relativeFrom="column">
                        <wp:posOffset>161417</wp:posOffset>
                      </wp:positionH>
                      <wp:positionV relativeFrom="paragraph">
                        <wp:posOffset>-23417</wp:posOffset>
                      </wp:positionV>
                      <wp:extent cx="845280" cy="431640"/>
                      <wp:effectExtent l="38100" t="38100" r="12065" b="45085"/>
                      <wp:wrapNone/>
                      <wp:docPr id="616842418" name="Ink 1"/>
                      <wp:cNvGraphicFramePr/>
                      <a:graphic xmlns:a="http://schemas.openxmlformats.org/drawingml/2006/main">
                        <a:graphicData uri="http://schemas.microsoft.com/office/word/2010/wordprocessingInk">
                          <w14:contentPart bwMode="auto" r:id="rId74">
                            <w14:nvContentPartPr>
                              <w14:cNvContentPartPr/>
                            </w14:nvContentPartPr>
                            <w14:xfrm>
                              <a:off x="0" y="0"/>
                              <a:ext cx="845280" cy="431640"/>
                            </w14:xfrm>
                          </w14:contentPart>
                        </a:graphicData>
                      </a:graphic>
                    </wp:anchor>
                  </w:drawing>
                </mc:Choice>
                <mc:Fallback>
                  <w:pict>
                    <v:shapetype w14:anchorId="3AEBC49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 o:spid="_x0000_s1026" type="#_x0000_t75" style="position:absolute;margin-left:12.2pt;margin-top:-2.35pt;width:67.5pt;height:35pt;z-index:2516593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">
                      <v:imagedata r:id="rId75" o:title=""/>
                    </v:shape>
                  </w:pict>
                </mc:Fallback>
              </mc:AlternateContent>
            </w:r>
          </w:p>
        </w:tc>
        <w:tc>
          <w:tcPr>
            <w:tcW w:w="1172" w:type="dxa"/>
          </w:tcPr>
          <w:p w14:paraId="7BC26A3A" w14:textId="77777777" w:rsidR="004C7180" w:rsidRPr="00150EDC" w:rsidRDefault="004C7180">
            <w:pPr>
              <w:pStyle w:val="TableParagraph"/>
              <w:spacing w:before="8" w:line="240" w:lineRule="auto"/>
              <w:ind w:left="0"/>
              <w:rPr>
                <w:sz w:val="15"/>
              </w:rPr>
            </w:pPr>
          </w:p>
          <w:p w14:paraId="6C722269" w14:textId="77777777" w:rsidR="004C7180" w:rsidRPr="00150EDC" w:rsidRDefault="00CF0754">
            <w:pPr>
              <w:pStyle w:val="TableParagraph"/>
              <w:spacing w:before="0" w:line="240" w:lineRule="auto"/>
              <w:ind w:left="186"/>
              <w:rPr>
                <w:sz w:val="18"/>
              </w:rPr>
            </w:pPr>
            <w:r w:rsidRPr="00150EDC">
              <w:rPr>
                <w:spacing w:val="-2"/>
                <w:sz w:val="18"/>
              </w:rPr>
              <w:t>Signature:</w:t>
            </w:r>
          </w:p>
        </w:tc>
        <w:tc>
          <w:tcPr>
            <w:tcW w:w="2342" w:type="dxa"/>
            <w:tcBorders>
              <w:right w:val="single" w:sz="4" w:space="0" w:color="000000"/>
            </w:tcBorders>
          </w:tcPr>
          <w:p w14:paraId="719F1359" w14:textId="4FA97AEA" w:rsidR="004C7180" w:rsidRPr="00150EDC" w:rsidRDefault="00AD48B8">
            <w:pPr>
              <w:pStyle w:val="TableParagraph"/>
              <w:spacing w:before="0" w:line="240" w:lineRule="auto"/>
              <w:ind w:left="0"/>
              <w:rPr>
                <w:rFonts w:ascii="Times New Roman"/>
                <w:sz w:val="16"/>
              </w:rPr>
            </w:pPr>
            <w:r>
              <w:rPr>
                <w:noProof/>
              </w:rPr>
              <w:drawing>
                <wp:inline distT="0" distB="0" distL="0" distR="0" wp14:anchorId="33DD338F" wp14:editId="235BA4CC">
                  <wp:extent cx="1193319" cy="635000"/>
                  <wp:effectExtent l="0" t="0" r="6985" b="0"/>
                  <wp:docPr id="956512778" name="Picture 2" descr="A close 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512778" name="Picture 2" descr="A close up of a signature&#10;&#10;Description automatically generated"/>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211431" cy="644638"/>
                          </a:xfrm>
                          <a:prstGeom prst="rect">
                            <a:avLst/>
                          </a:prstGeom>
                        </pic:spPr>
                      </pic:pic>
                    </a:graphicData>
                  </a:graphic>
                </wp:inline>
              </w:drawing>
            </w:r>
          </w:p>
        </w:tc>
      </w:tr>
      <w:tr w:rsidR="004569EE" w:rsidRPr="007D3144" w14:paraId="69EAB277" w14:textId="77777777">
        <w:trPr>
          <w:trHeight w:val="507"/>
        </w:trPr>
        <w:tc>
          <w:tcPr>
            <w:tcW w:w="1150" w:type="dxa"/>
            <w:tcBorders>
              <w:left w:val="single" w:sz="4" w:space="0" w:color="000000"/>
            </w:tcBorders>
          </w:tcPr>
          <w:p w14:paraId="2DA62213" w14:textId="77777777" w:rsidR="004C7180" w:rsidRPr="00150EDC" w:rsidRDefault="004C7180">
            <w:pPr>
              <w:pStyle w:val="TableParagraph"/>
              <w:spacing w:before="8" w:line="240" w:lineRule="auto"/>
              <w:ind w:left="0"/>
              <w:rPr>
                <w:sz w:val="15"/>
              </w:rPr>
            </w:pPr>
          </w:p>
          <w:p w14:paraId="5975F510" w14:textId="77777777" w:rsidR="004C7180" w:rsidRPr="00150EDC" w:rsidRDefault="00CF0754">
            <w:pPr>
              <w:pStyle w:val="TableParagraph"/>
              <w:spacing w:before="0" w:line="240" w:lineRule="auto"/>
              <w:ind w:left="79"/>
              <w:rPr>
                <w:sz w:val="18"/>
              </w:rPr>
            </w:pPr>
            <w:r w:rsidRPr="00150EDC">
              <w:rPr>
                <w:spacing w:val="-4"/>
                <w:sz w:val="18"/>
              </w:rPr>
              <w:t>Name:</w:t>
            </w:r>
          </w:p>
        </w:tc>
        <w:tc>
          <w:tcPr>
            <w:tcW w:w="2246" w:type="dxa"/>
          </w:tcPr>
          <w:p w14:paraId="1D474F91" w14:textId="44638D48" w:rsidR="004C7180" w:rsidRPr="00150EDC" w:rsidRDefault="00026020">
            <w:pPr>
              <w:pStyle w:val="TableParagraph"/>
              <w:spacing w:before="0" w:line="240" w:lineRule="auto"/>
              <w:ind w:left="0"/>
              <w:rPr>
                <w:rFonts w:ascii="Times New Roman"/>
                <w:sz w:val="16"/>
              </w:rPr>
            </w:pPr>
            <w:r>
              <w:rPr>
                <w:rFonts w:ascii="Times New Roman"/>
                <w:sz w:val="16"/>
              </w:rPr>
              <w:t>Matthew Davis</w:t>
            </w:r>
          </w:p>
        </w:tc>
        <w:tc>
          <w:tcPr>
            <w:tcW w:w="1172" w:type="dxa"/>
          </w:tcPr>
          <w:p w14:paraId="53C41E9A" w14:textId="77777777" w:rsidR="004C7180" w:rsidRPr="00150EDC" w:rsidRDefault="004C7180">
            <w:pPr>
              <w:pStyle w:val="TableParagraph"/>
              <w:spacing w:before="8" w:line="240" w:lineRule="auto"/>
              <w:ind w:left="0"/>
              <w:rPr>
                <w:sz w:val="15"/>
              </w:rPr>
            </w:pPr>
          </w:p>
          <w:p w14:paraId="25D6EB3D" w14:textId="77777777" w:rsidR="004C7180" w:rsidRPr="00150EDC" w:rsidRDefault="00CF0754">
            <w:pPr>
              <w:pStyle w:val="TableParagraph"/>
              <w:spacing w:before="0" w:line="240" w:lineRule="auto"/>
              <w:ind w:left="186"/>
              <w:rPr>
                <w:sz w:val="18"/>
              </w:rPr>
            </w:pPr>
            <w:r w:rsidRPr="00150EDC">
              <w:rPr>
                <w:spacing w:val="-4"/>
                <w:sz w:val="18"/>
              </w:rPr>
              <w:t>Name:</w:t>
            </w:r>
          </w:p>
        </w:tc>
        <w:tc>
          <w:tcPr>
            <w:tcW w:w="2342" w:type="dxa"/>
            <w:tcBorders>
              <w:right w:val="single" w:sz="4" w:space="0" w:color="000000"/>
            </w:tcBorders>
          </w:tcPr>
          <w:p w14:paraId="410B4F36" w14:textId="290661A9" w:rsidR="004C7180" w:rsidRPr="00150EDC" w:rsidRDefault="00EB63FF">
            <w:pPr>
              <w:pStyle w:val="TableParagraph"/>
              <w:spacing w:before="0" w:line="240" w:lineRule="auto"/>
              <w:ind w:left="0"/>
              <w:rPr>
                <w:rFonts w:ascii="Times New Roman"/>
                <w:sz w:val="16"/>
              </w:rPr>
            </w:pPr>
            <w:r>
              <w:rPr>
                <w:rFonts w:ascii="Times New Roman"/>
                <w:sz w:val="16"/>
              </w:rPr>
              <w:t>David Hall</w:t>
            </w:r>
          </w:p>
        </w:tc>
      </w:tr>
      <w:tr w:rsidR="004569EE" w:rsidRPr="007D3144" w14:paraId="3EE316A0" w14:textId="77777777">
        <w:trPr>
          <w:trHeight w:val="507"/>
        </w:trPr>
        <w:tc>
          <w:tcPr>
            <w:tcW w:w="1150" w:type="dxa"/>
            <w:tcBorders>
              <w:left w:val="single" w:sz="4" w:space="0" w:color="000000"/>
            </w:tcBorders>
          </w:tcPr>
          <w:p w14:paraId="6BCD75FD" w14:textId="77777777" w:rsidR="004C7180" w:rsidRPr="00150EDC" w:rsidRDefault="004C7180">
            <w:pPr>
              <w:pStyle w:val="TableParagraph"/>
              <w:spacing w:before="8" w:line="240" w:lineRule="auto"/>
              <w:ind w:left="0"/>
              <w:rPr>
                <w:sz w:val="15"/>
              </w:rPr>
            </w:pPr>
          </w:p>
          <w:p w14:paraId="4434674B" w14:textId="77777777" w:rsidR="004C7180" w:rsidRPr="00150EDC" w:rsidRDefault="00CF0754">
            <w:pPr>
              <w:pStyle w:val="TableParagraph"/>
              <w:spacing w:before="0" w:line="240" w:lineRule="auto"/>
              <w:ind w:left="79"/>
              <w:rPr>
                <w:sz w:val="18"/>
              </w:rPr>
            </w:pPr>
            <w:r w:rsidRPr="00150EDC">
              <w:rPr>
                <w:spacing w:val="-2"/>
                <w:sz w:val="18"/>
              </w:rPr>
              <w:t>Role:</w:t>
            </w:r>
          </w:p>
        </w:tc>
        <w:tc>
          <w:tcPr>
            <w:tcW w:w="2246" w:type="dxa"/>
          </w:tcPr>
          <w:p w14:paraId="296B6FCE" w14:textId="452E8F36" w:rsidR="004C7180" w:rsidRPr="00150EDC" w:rsidRDefault="00026020">
            <w:pPr>
              <w:pStyle w:val="TableParagraph"/>
              <w:spacing w:before="0" w:line="240" w:lineRule="auto"/>
              <w:ind w:left="0"/>
              <w:rPr>
                <w:rFonts w:ascii="Times New Roman"/>
                <w:sz w:val="16"/>
              </w:rPr>
            </w:pPr>
            <w:r>
              <w:rPr>
                <w:rFonts w:ascii="Times New Roman"/>
                <w:sz w:val="16"/>
              </w:rPr>
              <w:t>Managing Director Education Services</w:t>
            </w:r>
          </w:p>
        </w:tc>
        <w:tc>
          <w:tcPr>
            <w:tcW w:w="1172" w:type="dxa"/>
          </w:tcPr>
          <w:p w14:paraId="19ACF739" w14:textId="77777777" w:rsidR="004C7180" w:rsidRPr="00150EDC" w:rsidRDefault="004C7180">
            <w:pPr>
              <w:pStyle w:val="TableParagraph"/>
              <w:spacing w:before="8" w:line="240" w:lineRule="auto"/>
              <w:ind w:left="0"/>
              <w:rPr>
                <w:sz w:val="15"/>
              </w:rPr>
            </w:pPr>
          </w:p>
          <w:p w14:paraId="1B9500D4" w14:textId="77777777" w:rsidR="004C7180" w:rsidRPr="00150EDC" w:rsidRDefault="00CF0754">
            <w:pPr>
              <w:pStyle w:val="TableParagraph"/>
              <w:spacing w:before="0" w:line="240" w:lineRule="auto"/>
              <w:ind w:left="186"/>
              <w:rPr>
                <w:sz w:val="18"/>
              </w:rPr>
            </w:pPr>
            <w:r w:rsidRPr="00150EDC">
              <w:rPr>
                <w:spacing w:val="-2"/>
                <w:sz w:val="18"/>
              </w:rPr>
              <w:t>Role:</w:t>
            </w:r>
          </w:p>
        </w:tc>
        <w:tc>
          <w:tcPr>
            <w:tcW w:w="2342" w:type="dxa"/>
            <w:tcBorders>
              <w:right w:val="single" w:sz="4" w:space="0" w:color="000000"/>
            </w:tcBorders>
          </w:tcPr>
          <w:p w14:paraId="3E4D848E" w14:textId="6074963A" w:rsidR="004C7180" w:rsidRPr="00150EDC" w:rsidRDefault="00096276">
            <w:pPr>
              <w:pStyle w:val="TableParagraph"/>
              <w:spacing w:before="0" w:line="240" w:lineRule="auto"/>
              <w:ind w:left="0"/>
              <w:rPr>
                <w:rFonts w:ascii="Times New Roman"/>
                <w:sz w:val="16"/>
              </w:rPr>
            </w:pPr>
            <w:r>
              <w:rPr>
                <w:rFonts w:ascii="Times New Roman"/>
                <w:sz w:val="16"/>
              </w:rPr>
              <w:t>Associate Commercial Specialist</w:t>
            </w:r>
          </w:p>
        </w:tc>
      </w:tr>
      <w:tr w:rsidR="004569EE" w:rsidRPr="007D3144" w14:paraId="60EECB02" w14:textId="77777777">
        <w:trPr>
          <w:trHeight w:val="648"/>
        </w:trPr>
        <w:tc>
          <w:tcPr>
            <w:tcW w:w="1150" w:type="dxa"/>
            <w:tcBorders>
              <w:left w:val="single" w:sz="4" w:space="0" w:color="000000"/>
            </w:tcBorders>
          </w:tcPr>
          <w:p w14:paraId="28E7C634" w14:textId="77777777" w:rsidR="004C7180" w:rsidRPr="00150EDC" w:rsidRDefault="004C7180">
            <w:pPr>
              <w:pStyle w:val="TableParagraph"/>
              <w:spacing w:before="9" w:line="240" w:lineRule="auto"/>
              <w:ind w:left="0"/>
              <w:rPr>
                <w:sz w:val="15"/>
              </w:rPr>
            </w:pPr>
          </w:p>
          <w:p w14:paraId="5EAB76B4" w14:textId="77777777" w:rsidR="004C7180" w:rsidRPr="00150EDC" w:rsidRDefault="00CF0754">
            <w:pPr>
              <w:pStyle w:val="TableParagraph"/>
              <w:spacing w:before="1" w:line="240" w:lineRule="auto"/>
              <w:ind w:left="79"/>
              <w:rPr>
                <w:sz w:val="18"/>
              </w:rPr>
            </w:pPr>
            <w:r w:rsidRPr="00150EDC">
              <w:rPr>
                <w:spacing w:val="-2"/>
                <w:sz w:val="18"/>
              </w:rPr>
              <w:t>Date:</w:t>
            </w:r>
          </w:p>
        </w:tc>
        <w:tc>
          <w:tcPr>
            <w:tcW w:w="2246" w:type="dxa"/>
          </w:tcPr>
          <w:p w14:paraId="72F5D1F8" w14:textId="7B74B2A5" w:rsidR="004C7180" w:rsidRPr="00150EDC" w:rsidRDefault="00026020">
            <w:pPr>
              <w:pStyle w:val="TableParagraph"/>
              <w:spacing w:before="0" w:line="240" w:lineRule="auto"/>
              <w:ind w:left="0"/>
              <w:rPr>
                <w:rFonts w:ascii="Times New Roman"/>
                <w:sz w:val="16"/>
              </w:rPr>
            </w:pPr>
            <w:r>
              <w:rPr>
                <w:rFonts w:ascii="Times New Roman"/>
                <w:sz w:val="16"/>
              </w:rPr>
              <w:t>1/11/2023</w:t>
            </w:r>
          </w:p>
        </w:tc>
        <w:tc>
          <w:tcPr>
            <w:tcW w:w="1172" w:type="dxa"/>
          </w:tcPr>
          <w:p w14:paraId="5B851D97" w14:textId="77777777" w:rsidR="004C7180" w:rsidRPr="00150EDC" w:rsidRDefault="004C7180">
            <w:pPr>
              <w:pStyle w:val="TableParagraph"/>
              <w:spacing w:before="9" w:line="240" w:lineRule="auto"/>
              <w:ind w:left="0"/>
              <w:rPr>
                <w:sz w:val="15"/>
              </w:rPr>
            </w:pPr>
          </w:p>
          <w:p w14:paraId="1CCD057F" w14:textId="77777777" w:rsidR="004C7180" w:rsidRPr="00150EDC" w:rsidRDefault="00CF0754">
            <w:pPr>
              <w:pStyle w:val="TableParagraph"/>
              <w:spacing w:before="1" w:line="240" w:lineRule="auto"/>
              <w:ind w:left="186"/>
              <w:rPr>
                <w:sz w:val="18"/>
              </w:rPr>
            </w:pPr>
            <w:r w:rsidRPr="00150EDC">
              <w:rPr>
                <w:spacing w:val="-2"/>
                <w:sz w:val="18"/>
              </w:rPr>
              <w:t>Date:</w:t>
            </w:r>
          </w:p>
        </w:tc>
        <w:tc>
          <w:tcPr>
            <w:tcW w:w="2342" w:type="dxa"/>
            <w:tcBorders>
              <w:right w:val="single" w:sz="4" w:space="0" w:color="000000"/>
            </w:tcBorders>
          </w:tcPr>
          <w:p w14:paraId="0058923C" w14:textId="6227BBB4" w:rsidR="004C7180" w:rsidRPr="00150EDC" w:rsidRDefault="00EB63FF">
            <w:pPr>
              <w:pStyle w:val="TableParagraph"/>
              <w:spacing w:before="0" w:line="240" w:lineRule="auto"/>
              <w:ind w:left="0"/>
              <w:rPr>
                <w:rFonts w:ascii="Times New Roman"/>
                <w:sz w:val="16"/>
              </w:rPr>
            </w:pPr>
            <w:r>
              <w:rPr>
                <w:rFonts w:ascii="Times New Roman"/>
                <w:sz w:val="16"/>
              </w:rPr>
              <w:t>2/11/2023</w:t>
            </w:r>
          </w:p>
        </w:tc>
      </w:tr>
    </w:tbl>
    <w:p w14:paraId="43EEE2F2" w14:textId="77777777" w:rsidR="004C7180" w:rsidRPr="00150EDC" w:rsidRDefault="004C7180">
      <w:pPr>
        <w:rPr>
          <w:rFonts w:ascii="Times New Roman"/>
          <w:sz w:val="16"/>
        </w:rPr>
        <w:sectPr w:rsidR="004C7180" w:rsidRPr="00150EDC">
          <w:pgSz w:w="11910" w:h="16840"/>
          <w:pgMar w:top="2940" w:right="0" w:bottom="3120" w:left="40" w:header="2612" w:footer="2929" w:gutter="0"/>
          <w:cols w:space="720"/>
        </w:sectPr>
      </w:pPr>
    </w:p>
    <w:p w14:paraId="3E853043" w14:textId="77777777" w:rsidR="004C7180" w:rsidRPr="00150EDC" w:rsidRDefault="004C7180">
      <w:pPr>
        <w:pStyle w:val="BodyText"/>
        <w:rPr>
          <w:sz w:val="20"/>
        </w:rPr>
      </w:pPr>
    </w:p>
    <w:p w14:paraId="169945B8" w14:textId="77777777" w:rsidR="004C7180" w:rsidRPr="00150EDC" w:rsidRDefault="004C7180">
      <w:pPr>
        <w:pStyle w:val="BodyText"/>
        <w:spacing w:before="8"/>
        <w:rPr>
          <w:sz w:val="27"/>
        </w:rPr>
      </w:pPr>
    </w:p>
    <w:p w14:paraId="11147359" w14:textId="77777777" w:rsidR="004C7180" w:rsidRPr="00150EDC" w:rsidRDefault="00CF0754">
      <w:pPr>
        <w:pStyle w:val="Heading1"/>
        <w:spacing w:before="89"/>
        <w:ind w:left="1400" w:firstLine="0"/>
      </w:pPr>
      <w:bookmarkStart w:id="39" w:name="DPS_Order_Schedule_7_-_Key_Supplier_Staf"/>
      <w:bookmarkEnd w:id="39"/>
      <w:r w:rsidRPr="00150EDC">
        <w:t>Order</w:t>
      </w:r>
      <w:r w:rsidRPr="00150EDC">
        <w:rPr>
          <w:spacing w:val="-6"/>
        </w:rPr>
        <w:t xml:space="preserve"> </w:t>
      </w:r>
      <w:r w:rsidRPr="00150EDC">
        <w:t>Schedule</w:t>
      </w:r>
      <w:r w:rsidRPr="00150EDC">
        <w:rPr>
          <w:spacing w:val="-4"/>
        </w:rPr>
        <w:t xml:space="preserve"> </w:t>
      </w:r>
      <w:r w:rsidRPr="00150EDC">
        <w:t>7</w:t>
      </w:r>
      <w:r w:rsidRPr="00150EDC">
        <w:rPr>
          <w:spacing w:val="-4"/>
        </w:rPr>
        <w:t xml:space="preserve"> </w:t>
      </w:r>
      <w:r w:rsidRPr="00150EDC">
        <w:t>(Key</w:t>
      </w:r>
      <w:r w:rsidRPr="00150EDC">
        <w:rPr>
          <w:spacing w:val="-4"/>
        </w:rPr>
        <w:t xml:space="preserve"> </w:t>
      </w:r>
      <w:r w:rsidRPr="00150EDC">
        <w:t>Supplier</w:t>
      </w:r>
      <w:r w:rsidRPr="00150EDC">
        <w:rPr>
          <w:spacing w:val="-3"/>
        </w:rPr>
        <w:t xml:space="preserve"> </w:t>
      </w:r>
      <w:r w:rsidRPr="00150EDC">
        <w:rPr>
          <w:spacing w:val="-2"/>
        </w:rPr>
        <w:t>Staff)</w:t>
      </w:r>
    </w:p>
    <w:p w14:paraId="5899C618" w14:textId="77777777" w:rsidR="004C7180" w:rsidRPr="00150EDC" w:rsidRDefault="00CF0754" w:rsidP="00B320C7">
      <w:pPr>
        <w:pStyle w:val="ListParagraph"/>
        <w:numPr>
          <w:ilvl w:val="1"/>
          <w:numId w:val="50"/>
        </w:numPr>
        <w:tabs>
          <w:tab w:val="left" w:pos="1966"/>
        </w:tabs>
        <w:spacing w:before="183"/>
        <w:ind w:right="1878"/>
        <w:rPr>
          <w:sz w:val="24"/>
        </w:rPr>
      </w:pPr>
      <w:r w:rsidRPr="00150EDC">
        <w:rPr>
          <w:sz w:val="24"/>
        </w:rPr>
        <w:t>The</w:t>
      </w:r>
      <w:r w:rsidRPr="00150EDC">
        <w:rPr>
          <w:spacing w:val="-2"/>
          <w:sz w:val="24"/>
        </w:rPr>
        <w:t xml:space="preserve"> </w:t>
      </w:r>
      <w:r w:rsidRPr="00150EDC">
        <w:rPr>
          <w:sz w:val="24"/>
        </w:rPr>
        <w:t>Order</w:t>
      </w:r>
      <w:r w:rsidRPr="00150EDC">
        <w:rPr>
          <w:spacing w:val="-4"/>
          <w:sz w:val="24"/>
        </w:rPr>
        <w:t xml:space="preserve"> </w:t>
      </w:r>
      <w:r w:rsidRPr="00150EDC">
        <w:rPr>
          <w:sz w:val="24"/>
        </w:rPr>
        <w:t>Form</w:t>
      </w:r>
      <w:r w:rsidRPr="00150EDC">
        <w:rPr>
          <w:spacing w:val="-1"/>
          <w:sz w:val="24"/>
        </w:rPr>
        <w:t xml:space="preserve"> </w:t>
      </w:r>
      <w:r w:rsidRPr="00150EDC">
        <w:rPr>
          <w:sz w:val="24"/>
        </w:rPr>
        <w:t>lists</w:t>
      </w:r>
      <w:r w:rsidRPr="00150EDC">
        <w:rPr>
          <w:spacing w:val="-5"/>
          <w:sz w:val="24"/>
        </w:rPr>
        <w:t xml:space="preserve"> </w:t>
      </w:r>
      <w:r w:rsidRPr="00150EDC">
        <w:rPr>
          <w:sz w:val="24"/>
        </w:rPr>
        <w:t>the</w:t>
      </w:r>
      <w:r w:rsidRPr="00150EDC">
        <w:rPr>
          <w:spacing w:val="-2"/>
          <w:sz w:val="24"/>
        </w:rPr>
        <w:t xml:space="preserve"> </w:t>
      </w:r>
      <w:r w:rsidRPr="00150EDC">
        <w:rPr>
          <w:sz w:val="24"/>
        </w:rPr>
        <w:t>key</w:t>
      </w:r>
      <w:r w:rsidRPr="00150EDC">
        <w:rPr>
          <w:spacing w:val="-5"/>
          <w:sz w:val="24"/>
        </w:rPr>
        <w:t xml:space="preserve"> </w:t>
      </w:r>
      <w:r w:rsidRPr="00150EDC">
        <w:rPr>
          <w:sz w:val="24"/>
        </w:rPr>
        <w:t>roles</w:t>
      </w:r>
      <w:r w:rsidRPr="00150EDC">
        <w:rPr>
          <w:spacing w:val="-3"/>
          <w:sz w:val="24"/>
        </w:rPr>
        <w:t xml:space="preserve"> </w:t>
      </w:r>
      <w:r w:rsidRPr="00150EDC">
        <w:rPr>
          <w:sz w:val="24"/>
        </w:rPr>
        <w:t>(“</w:t>
      </w:r>
      <w:r w:rsidRPr="00150EDC">
        <w:rPr>
          <w:b/>
          <w:sz w:val="24"/>
        </w:rPr>
        <w:t>Key</w:t>
      </w:r>
      <w:r w:rsidRPr="00150EDC">
        <w:rPr>
          <w:b/>
          <w:spacing w:val="-2"/>
          <w:sz w:val="24"/>
        </w:rPr>
        <w:t xml:space="preserve"> </w:t>
      </w:r>
      <w:r w:rsidRPr="00150EDC">
        <w:rPr>
          <w:b/>
          <w:sz w:val="24"/>
        </w:rPr>
        <w:t>Roles</w:t>
      </w:r>
      <w:r w:rsidRPr="00150EDC">
        <w:rPr>
          <w:sz w:val="24"/>
        </w:rPr>
        <w:t>”)</w:t>
      </w:r>
      <w:r w:rsidRPr="00150EDC">
        <w:rPr>
          <w:spacing w:val="-4"/>
          <w:sz w:val="24"/>
        </w:rPr>
        <w:t xml:space="preserve"> </w:t>
      </w:r>
      <w:r w:rsidRPr="00150EDC">
        <w:rPr>
          <w:sz w:val="24"/>
        </w:rPr>
        <w:t>and</w:t>
      </w:r>
      <w:r w:rsidRPr="00150EDC">
        <w:rPr>
          <w:spacing w:val="-2"/>
          <w:sz w:val="24"/>
        </w:rPr>
        <w:t xml:space="preserve"> </w:t>
      </w:r>
      <w:r w:rsidRPr="00150EDC">
        <w:rPr>
          <w:sz w:val="24"/>
        </w:rPr>
        <w:t>names</w:t>
      </w:r>
      <w:r w:rsidRPr="00150EDC">
        <w:rPr>
          <w:spacing w:val="-3"/>
          <w:sz w:val="24"/>
        </w:rPr>
        <w:t xml:space="preserve"> </w:t>
      </w:r>
      <w:r w:rsidRPr="00150EDC">
        <w:rPr>
          <w:sz w:val="24"/>
        </w:rPr>
        <w:t>of</w:t>
      </w:r>
      <w:r w:rsidRPr="00150EDC">
        <w:rPr>
          <w:spacing w:val="-5"/>
          <w:sz w:val="24"/>
        </w:rPr>
        <w:t xml:space="preserve"> </w:t>
      </w:r>
      <w:r w:rsidRPr="00150EDC">
        <w:rPr>
          <w:sz w:val="24"/>
        </w:rPr>
        <w:t>the</w:t>
      </w:r>
      <w:r w:rsidRPr="00150EDC">
        <w:rPr>
          <w:spacing w:val="-4"/>
          <w:sz w:val="24"/>
        </w:rPr>
        <w:t xml:space="preserve"> </w:t>
      </w:r>
      <w:r w:rsidRPr="00150EDC">
        <w:rPr>
          <w:sz w:val="24"/>
        </w:rPr>
        <w:t>persons who the Supplier shall appoint to fill those Key Roles at the Start Date.</w:t>
      </w:r>
    </w:p>
    <w:p w14:paraId="1E51595E" w14:textId="77777777" w:rsidR="004C7180" w:rsidRPr="00150EDC" w:rsidRDefault="004C7180">
      <w:pPr>
        <w:pStyle w:val="BodyText"/>
        <w:rPr>
          <w:sz w:val="26"/>
        </w:rPr>
      </w:pPr>
    </w:p>
    <w:p w14:paraId="31DE2C0A" w14:textId="77777777" w:rsidR="004C7180" w:rsidRPr="00150EDC" w:rsidRDefault="00CF0754" w:rsidP="00B320C7">
      <w:pPr>
        <w:pStyle w:val="ListParagraph"/>
        <w:numPr>
          <w:ilvl w:val="1"/>
          <w:numId w:val="50"/>
        </w:numPr>
        <w:tabs>
          <w:tab w:val="left" w:pos="1966"/>
        </w:tabs>
        <w:spacing w:before="217"/>
        <w:ind w:right="1995"/>
        <w:rPr>
          <w:sz w:val="24"/>
        </w:rPr>
      </w:pPr>
      <w:r w:rsidRPr="00150EDC">
        <w:rPr>
          <w:sz w:val="24"/>
        </w:rPr>
        <w:t>The</w:t>
      </w:r>
      <w:r w:rsidRPr="00150EDC">
        <w:rPr>
          <w:spacing w:val="-1"/>
          <w:sz w:val="24"/>
        </w:rPr>
        <w:t xml:space="preserve"> </w:t>
      </w:r>
      <w:r w:rsidRPr="00150EDC">
        <w:rPr>
          <w:sz w:val="24"/>
        </w:rPr>
        <w:t>Supplier</w:t>
      </w:r>
      <w:r w:rsidRPr="00150EDC">
        <w:rPr>
          <w:spacing w:val="-3"/>
          <w:sz w:val="24"/>
        </w:rPr>
        <w:t xml:space="preserve"> </w:t>
      </w:r>
      <w:r w:rsidRPr="00150EDC">
        <w:rPr>
          <w:sz w:val="24"/>
        </w:rPr>
        <w:t>shall</w:t>
      </w:r>
      <w:r w:rsidRPr="00150EDC">
        <w:rPr>
          <w:spacing w:val="-2"/>
          <w:sz w:val="24"/>
        </w:rPr>
        <w:t xml:space="preserve"> </w:t>
      </w:r>
      <w:r w:rsidRPr="00150EDC">
        <w:rPr>
          <w:sz w:val="24"/>
        </w:rPr>
        <w:t>ensure</w:t>
      </w:r>
      <w:r w:rsidRPr="00150EDC">
        <w:rPr>
          <w:spacing w:val="-1"/>
          <w:sz w:val="24"/>
        </w:rPr>
        <w:t xml:space="preserve"> </w:t>
      </w:r>
      <w:r w:rsidRPr="00150EDC">
        <w:rPr>
          <w:sz w:val="24"/>
        </w:rPr>
        <w:t>that</w:t>
      </w:r>
      <w:r w:rsidRPr="00150EDC">
        <w:rPr>
          <w:spacing w:val="-1"/>
          <w:sz w:val="24"/>
        </w:rPr>
        <w:t xml:space="preserve"> </w:t>
      </w:r>
      <w:r w:rsidRPr="00150EDC">
        <w:rPr>
          <w:sz w:val="24"/>
        </w:rPr>
        <w:t>the</w:t>
      </w:r>
      <w:r w:rsidRPr="00150EDC">
        <w:rPr>
          <w:spacing w:val="-3"/>
          <w:sz w:val="24"/>
        </w:rPr>
        <w:t xml:space="preserve"> </w:t>
      </w:r>
      <w:r w:rsidRPr="00150EDC">
        <w:rPr>
          <w:sz w:val="24"/>
        </w:rPr>
        <w:t>Key</w:t>
      </w:r>
      <w:r w:rsidRPr="00150EDC">
        <w:rPr>
          <w:spacing w:val="-2"/>
          <w:sz w:val="24"/>
        </w:rPr>
        <w:t xml:space="preserve"> </w:t>
      </w:r>
      <w:r w:rsidRPr="00150EDC">
        <w:rPr>
          <w:sz w:val="24"/>
        </w:rPr>
        <w:t>Staff</w:t>
      </w:r>
      <w:r w:rsidRPr="00150EDC">
        <w:rPr>
          <w:spacing w:val="-4"/>
          <w:sz w:val="24"/>
        </w:rPr>
        <w:t xml:space="preserve"> </w:t>
      </w:r>
      <w:r w:rsidRPr="00150EDC">
        <w:rPr>
          <w:sz w:val="24"/>
        </w:rPr>
        <w:t>fulfil</w:t>
      </w:r>
      <w:r w:rsidRPr="00150EDC">
        <w:rPr>
          <w:spacing w:val="-2"/>
          <w:sz w:val="24"/>
        </w:rPr>
        <w:t xml:space="preserve"> </w:t>
      </w:r>
      <w:r w:rsidRPr="00150EDC">
        <w:rPr>
          <w:sz w:val="24"/>
        </w:rPr>
        <w:t>the</w:t>
      </w:r>
      <w:r w:rsidRPr="00150EDC">
        <w:rPr>
          <w:spacing w:val="-3"/>
          <w:sz w:val="24"/>
        </w:rPr>
        <w:t xml:space="preserve"> </w:t>
      </w:r>
      <w:r w:rsidRPr="00150EDC">
        <w:rPr>
          <w:sz w:val="24"/>
        </w:rPr>
        <w:t>Key</w:t>
      </w:r>
      <w:r w:rsidRPr="00150EDC">
        <w:rPr>
          <w:spacing w:val="-2"/>
          <w:sz w:val="24"/>
        </w:rPr>
        <w:t xml:space="preserve"> </w:t>
      </w:r>
      <w:r w:rsidRPr="00150EDC">
        <w:rPr>
          <w:sz w:val="24"/>
        </w:rPr>
        <w:t>Roles</w:t>
      </w:r>
      <w:r w:rsidRPr="00150EDC">
        <w:rPr>
          <w:spacing w:val="-2"/>
          <w:sz w:val="24"/>
        </w:rPr>
        <w:t xml:space="preserve"> </w:t>
      </w:r>
      <w:r w:rsidRPr="00150EDC">
        <w:rPr>
          <w:sz w:val="24"/>
        </w:rPr>
        <w:t>at</w:t>
      </w:r>
      <w:r w:rsidRPr="00150EDC">
        <w:rPr>
          <w:spacing w:val="-4"/>
          <w:sz w:val="24"/>
        </w:rPr>
        <w:t xml:space="preserve"> </w:t>
      </w:r>
      <w:r w:rsidRPr="00150EDC">
        <w:rPr>
          <w:sz w:val="24"/>
        </w:rPr>
        <w:t>all</w:t>
      </w:r>
      <w:r w:rsidRPr="00150EDC">
        <w:rPr>
          <w:spacing w:val="-2"/>
          <w:sz w:val="24"/>
        </w:rPr>
        <w:t xml:space="preserve"> </w:t>
      </w:r>
      <w:r w:rsidRPr="00150EDC">
        <w:rPr>
          <w:sz w:val="24"/>
        </w:rPr>
        <w:t>times during the Contract Period.</w:t>
      </w:r>
    </w:p>
    <w:p w14:paraId="334C3AA6" w14:textId="77777777" w:rsidR="004C7180" w:rsidRPr="00150EDC" w:rsidRDefault="004C7180">
      <w:pPr>
        <w:pStyle w:val="BodyText"/>
        <w:rPr>
          <w:sz w:val="26"/>
        </w:rPr>
      </w:pPr>
    </w:p>
    <w:p w14:paraId="0E72C2EE" w14:textId="77777777" w:rsidR="004C7180" w:rsidRPr="00150EDC" w:rsidRDefault="00CF0754" w:rsidP="00B320C7">
      <w:pPr>
        <w:pStyle w:val="ListParagraph"/>
        <w:numPr>
          <w:ilvl w:val="1"/>
          <w:numId w:val="50"/>
        </w:numPr>
        <w:tabs>
          <w:tab w:val="left" w:pos="1966"/>
        </w:tabs>
        <w:spacing w:before="217"/>
        <w:ind w:right="1970"/>
        <w:rPr>
          <w:sz w:val="24"/>
        </w:rPr>
      </w:pPr>
      <w:r w:rsidRPr="00150EDC">
        <w:rPr>
          <w:sz w:val="24"/>
        </w:rPr>
        <w:t>The</w:t>
      </w:r>
      <w:r w:rsidRPr="00150EDC">
        <w:rPr>
          <w:spacing w:val="-1"/>
          <w:sz w:val="24"/>
        </w:rPr>
        <w:t xml:space="preserve"> </w:t>
      </w:r>
      <w:r w:rsidRPr="00150EDC">
        <w:rPr>
          <w:sz w:val="24"/>
        </w:rPr>
        <w:t>Buyer</w:t>
      </w:r>
      <w:r w:rsidRPr="00150EDC">
        <w:rPr>
          <w:spacing w:val="-5"/>
          <w:sz w:val="24"/>
        </w:rPr>
        <w:t xml:space="preserve"> </w:t>
      </w:r>
      <w:r w:rsidRPr="00150EDC">
        <w:rPr>
          <w:sz w:val="24"/>
        </w:rPr>
        <w:t>may</w:t>
      </w:r>
      <w:r w:rsidRPr="00150EDC">
        <w:rPr>
          <w:spacing w:val="-2"/>
          <w:sz w:val="24"/>
        </w:rPr>
        <w:t xml:space="preserve"> </w:t>
      </w:r>
      <w:r w:rsidRPr="00150EDC">
        <w:rPr>
          <w:sz w:val="24"/>
        </w:rPr>
        <w:t>identify</w:t>
      </w:r>
      <w:r w:rsidRPr="00150EDC">
        <w:rPr>
          <w:spacing w:val="-4"/>
          <w:sz w:val="24"/>
        </w:rPr>
        <w:t xml:space="preserve"> </w:t>
      </w:r>
      <w:r w:rsidRPr="00150EDC">
        <w:rPr>
          <w:sz w:val="24"/>
        </w:rPr>
        <w:t>any</w:t>
      </w:r>
      <w:r w:rsidRPr="00150EDC">
        <w:rPr>
          <w:spacing w:val="-2"/>
          <w:sz w:val="24"/>
        </w:rPr>
        <w:t xml:space="preserve"> </w:t>
      </w:r>
      <w:r w:rsidRPr="00150EDC">
        <w:rPr>
          <w:sz w:val="24"/>
        </w:rPr>
        <w:t>further</w:t>
      </w:r>
      <w:r w:rsidRPr="00150EDC">
        <w:rPr>
          <w:spacing w:val="-3"/>
          <w:sz w:val="24"/>
        </w:rPr>
        <w:t xml:space="preserve"> </w:t>
      </w:r>
      <w:r w:rsidRPr="00150EDC">
        <w:rPr>
          <w:sz w:val="24"/>
        </w:rPr>
        <w:t>roles</w:t>
      </w:r>
      <w:r w:rsidRPr="00150EDC">
        <w:rPr>
          <w:spacing w:val="-2"/>
          <w:sz w:val="24"/>
        </w:rPr>
        <w:t xml:space="preserve"> </w:t>
      </w:r>
      <w:r w:rsidRPr="00150EDC">
        <w:rPr>
          <w:sz w:val="24"/>
        </w:rPr>
        <w:t>as</w:t>
      </w:r>
      <w:r w:rsidRPr="00150EDC">
        <w:rPr>
          <w:spacing w:val="-4"/>
          <w:sz w:val="24"/>
        </w:rPr>
        <w:t xml:space="preserve"> </w:t>
      </w:r>
      <w:r w:rsidRPr="00150EDC">
        <w:rPr>
          <w:sz w:val="24"/>
        </w:rPr>
        <w:t>being</w:t>
      </w:r>
      <w:r w:rsidRPr="00150EDC">
        <w:rPr>
          <w:spacing w:val="-1"/>
          <w:sz w:val="24"/>
        </w:rPr>
        <w:t xml:space="preserve"> </w:t>
      </w:r>
      <w:r w:rsidRPr="00150EDC">
        <w:rPr>
          <w:sz w:val="24"/>
        </w:rPr>
        <w:t>Key</w:t>
      </w:r>
      <w:r w:rsidRPr="00150EDC">
        <w:rPr>
          <w:spacing w:val="-4"/>
          <w:sz w:val="24"/>
        </w:rPr>
        <w:t xml:space="preserve"> </w:t>
      </w:r>
      <w:r w:rsidRPr="00150EDC">
        <w:rPr>
          <w:sz w:val="24"/>
        </w:rPr>
        <w:t>Roles</w:t>
      </w:r>
      <w:r w:rsidRPr="00150EDC">
        <w:rPr>
          <w:spacing w:val="-4"/>
          <w:sz w:val="24"/>
        </w:rPr>
        <w:t xml:space="preserve"> </w:t>
      </w:r>
      <w:r w:rsidRPr="00150EDC">
        <w:rPr>
          <w:sz w:val="24"/>
        </w:rPr>
        <w:t>and,</w:t>
      </w:r>
      <w:r w:rsidRPr="00150EDC">
        <w:rPr>
          <w:spacing w:val="-1"/>
          <w:sz w:val="24"/>
        </w:rPr>
        <w:t xml:space="preserve"> </w:t>
      </w:r>
      <w:r w:rsidRPr="00150EDC">
        <w:rPr>
          <w:sz w:val="24"/>
        </w:rPr>
        <w:t>following agreement to the same by the Supplier, the relevant person selected to fill those Key Roles shall be included on the list of Key Staff.</w:t>
      </w:r>
    </w:p>
    <w:p w14:paraId="63ACE905" w14:textId="77777777" w:rsidR="004C7180" w:rsidRPr="00150EDC" w:rsidRDefault="004C7180">
      <w:pPr>
        <w:pStyle w:val="BodyText"/>
        <w:rPr>
          <w:sz w:val="26"/>
        </w:rPr>
      </w:pPr>
    </w:p>
    <w:p w14:paraId="7B74465F" w14:textId="77777777" w:rsidR="004C7180" w:rsidRPr="00150EDC" w:rsidRDefault="00CF0754" w:rsidP="00B320C7">
      <w:pPr>
        <w:pStyle w:val="ListParagraph"/>
        <w:numPr>
          <w:ilvl w:val="1"/>
          <w:numId w:val="50"/>
        </w:numPr>
        <w:tabs>
          <w:tab w:val="left" w:pos="1966"/>
        </w:tabs>
        <w:spacing w:before="217"/>
        <w:ind w:right="2221"/>
        <w:rPr>
          <w:sz w:val="24"/>
        </w:rPr>
      </w:pPr>
      <w:r w:rsidRPr="00150EDC">
        <w:rPr>
          <w:sz w:val="24"/>
        </w:rPr>
        <w:t>The</w:t>
      </w:r>
      <w:r w:rsidRPr="00150EDC">
        <w:rPr>
          <w:spacing w:val="-2"/>
          <w:sz w:val="24"/>
        </w:rPr>
        <w:t xml:space="preserve"> </w:t>
      </w:r>
      <w:r w:rsidRPr="00150EDC">
        <w:rPr>
          <w:sz w:val="24"/>
        </w:rPr>
        <w:t>Supplier</w:t>
      </w:r>
      <w:r w:rsidRPr="00150EDC">
        <w:rPr>
          <w:spacing w:val="-4"/>
          <w:sz w:val="24"/>
        </w:rPr>
        <w:t xml:space="preserve"> </w:t>
      </w:r>
      <w:r w:rsidRPr="00150EDC">
        <w:rPr>
          <w:sz w:val="24"/>
        </w:rPr>
        <w:t>shall</w:t>
      </w:r>
      <w:r w:rsidRPr="00150EDC">
        <w:rPr>
          <w:spacing w:val="-3"/>
          <w:sz w:val="24"/>
        </w:rPr>
        <w:t xml:space="preserve"> </w:t>
      </w:r>
      <w:r w:rsidRPr="00150EDC">
        <w:rPr>
          <w:sz w:val="24"/>
        </w:rPr>
        <w:t>not</w:t>
      </w:r>
      <w:r w:rsidRPr="00150EDC">
        <w:rPr>
          <w:spacing w:val="-5"/>
          <w:sz w:val="24"/>
        </w:rPr>
        <w:t xml:space="preserve"> </w:t>
      </w:r>
      <w:r w:rsidRPr="00150EDC">
        <w:rPr>
          <w:sz w:val="24"/>
        </w:rPr>
        <w:t>and</w:t>
      </w:r>
      <w:r w:rsidRPr="00150EDC">
        <w:rPr>
          <w:spacing w:val="-2"/>
          <w:sz w:val="24"/>
        </w:rPr>
        <w:t xml:space="preserve"> </w:t>
      </w:r>
      <w:r w:rsidRPr="00150EDC">
        <w:rPr>
          <w:sz w:val="24"/>
        </w:rPr>
        <w:t>shall</w:t>
      </w:r>
      <w:r w:rsidRPr="00150EDC">
        <w:rPr>
          <w:spacing w:val="-3"/>
          <w:sz w:val="24"/>
        </w:rPr>
        <w:t xml:space="preserve"> </w:t>
      </w:r>
      <w:r w:rsidRPr="00150EDC">
        <w:rPr>
          <w:sz w:val="24"/>
        </w:rPr>
        <w:t>procure</w:t>
      </w:r>
      <w:r w:rsidRPr="00150EDC">
        <w:rPr>
          <w:spacing w:val="-2"/>
          <w:sz w:val="24"/>
        </w:rPr>
        <w:t xml:space="preserve"> </w:t>
      </w:r>
      <w:r w:rsidRPr="00150EDC">
        <w:rPr>
          <w:sz w:val="24"/>
        </w:rPr>
        <w:t>that</w:t>
      </w:r>
      <w:r w:rsidRPr="00150EDC">
        <w:rPr>
          <w:spacing w:val="-5"/>
          <w:sz w:val="24"/>
        </w:rPr>
        <w:t xml:space="preserve"> </w:t>
      </w:r>
      <w:r w:rsidRPr="00150EDC">
        <w:rPr>
          <w:sz w:val="24"/>
        </w:rPr>
        <w:t>any</w:t>
      </w:r>
      <w:r w:rsidRPr="00150EDC">
        <w:rPr>
          <w:spacing w:val="-3"/>
          <w:sz w:val="24"/>
        </w:rPr>
        <w:t xml:space="preserve"> </w:t>
      </w:r>
      <w:r w:rsidRPr="00150EDC">
        <w:rPr>
          <w:sz w:val="24"/>
        </w:rPr>
        <w:t>Subcontractor</w:t>
      </w:r>
      <w:r w:rsidRPr="00150EDC">
        <w:rPr>
          <w:spacing w:val="-4"/>
          <w:sz w:val="24"/>
        </w:rPr>
        <w:t xml:space="preserve"> </w:t>
      </w:r>
      <w:r w:rsidRPr="00150EDC">
        <w:rPr>
          <w:sz w:val="24"/>
        </w:rPr>
        <w:t>shall</w:t>
      </w:r>
      <w:r w:rsidRPr="00150EDC">
        <w:rPr>
          <w:spacing w:val="-3"/>
          <w:sz w:val="24"/>
        </w:rPr>
        <w:t xml:space="preserve"> </w:t>
      </w:r>
      <w:r w:rsidRPr="00150EDC">
        <w:rPr>
          <w:sz w:val="24"/>
        </w:rPr>
        <w:t>not remove or replace any Key Staff unless:</w:t>
      </w:r>
    </w:p>
    <w:p w14:paraId="36BC9762" w14:textId="77777777" w:rsidR="004C7180" w:rsidRPr="00150EDC" w:rsidRDefault="004C7180">
      <w:pPr>
        <w:pStyle w:val="BodyText"/>
        <w:rPr>
          <w:sz w:val="26"/>
        </w:rPr>
      </w:pPr>
    </w:p>
    <w:p w14:paraId="7C086197" w14:textId="77777777" w:rsidR="004C7180" w:rsidRPr="00150EDC" w:rsidRDefault="00CF0754" w:rsidP="00B320C7">
      <w:pPr>
        <w:pStyle w:val="ListParagraph"/>
        <w:numPr>
          <w:ilvl w:val="2"/>
          <w:numId w:val="50"/>
        </w:numPr>
        <w:tabs>
          <w:tab w:val="left" w:pos="2818"/>
        </w:tabs>
        <w:spacing w:before="218"/>
        <w:ind w:right="1693"/>
        <w:rPr>
          <w:sz w:val="24"/>
        </w:rPr>
      </w:pPr>
      <w:r w:rsidRPr="00150EDC">
        <w:rPr>
          <w:sz w:val="24"/>
        </w:rPr>
        <w:t>requested</w:t>
      </w:r>
      <w:r w:rsidRPr="00150EDC">
        <w:rPr>
          <w:spacing w:val="-3"/>
          <w:sz w:val="24"/>
        </w:rPr>
        <w:t xml:space="preserve"> </w:t>
      </w:r>
      <w:r w:rsidRPr="00150EDC">
        <w:rPr>
          <w:sz w:val="24"/>
        </w:rPr>
        <w:t>to</w:t>
      </w:r>
      <w:r w:rsidRPr="00150EDC">
        <w:rPr>
          <w:spacing w:val="-3"/>
          <w:sz w:val="24"/>
        </w:rPr>
        <w:t xml:space="preserve"> </w:t>
      </w:r>
      <w:r w:rsidRPr="00150EDC">
        <w:rPr>
          <w:sz w:val="24"/>
        </w:rPr>
        <w:t>do</w:t>
      </w:r>
      <w:r w:rsidRPr="00150EDC">
        <w:rPr>
          <w:spacing w:val="-2"/>
          <w:sz w:val="24"/>
        </w:rPr>
        <w:t xml:space="preserve"> </w:t>
      </w:r>
      <w:r w:rsidRPr="00150EDC">
        <w:rPr>
          <w:sz w:val="24"/>
        </w:rPr>
        <w:t>so</w:t>
      </w:r>
      <w:r w:rsidRPr="00150EDC">
        <w:rPr>
          <w:spacing w:val="-2"/>
          <w:sz w:val="24"/>
        </w:rPr>
        <w:t xml:space="preserve"> </w:t>
      </w:r>
      <w:r w:rsidRPr="00150EDC">
        <w:rPr>
          <w:sz w:val="24"/>
        </w:rPr>
        <w:t>by</w:t>
      </w:r>
      <w:r w:rsidRPr="00150EDC">
        <w:rPr>
          <w:spacing w:val="-4"/>
          <w:sz w:val="24"/>
        </w:rPr>
        <w:t xml:space="preserve"> </w:t>
      </w:r>
      <w:r w:rsidRPr="00150EDC">
        <w:rPr>
          <w:sz w:val="24"/>
        </w:rPr>
        <w:t>the</w:t>
      </w:r>
      <w:r w:rsidRPr="00150EDC">
        <w:rPr>
          <w:spacing w:val="-2"/>
          <w:sz w:val="24"/>
        </w:rPr>
        <w:t xml:space="preserve"> </w:t>
      </w:r>
      <w:r w:rsidRPr="00150EDC">
        <w:rPr>
          <w:sz w:val="24"/>
        </w:rPr>
        <w:t>Buyer</w:t>
      </w:r>
      <w:r w:rsidRPr="00150EDC">
        <w:rPr>
          <w:spacing w:val="-3"/>
          <w:sz w:val="24"/>
        </w:rPr>
        <w:t xml:space="preserve"> </w:t>
      </w:r>
      <w:r w:rsidRPr="00150EDC">
        <w:rPr>
          <w:sz w:val="24"/>
        </w:rPr>
        <w:t>or</w:t>
      </w:r>
      <w:r w:rsidRPr="00150EDC">
        <w:rPr>
          <w:spacing w:val="-3"/>
          <w:sz w:val="24"/>
        </w:rPr>
        <w:t xml:space="preserve"> </w:t>
      </w:r>
      <w:r w:rsidRPr="00150EDC">
        <w:rPr>
          <w:sz w:val="24"/>
        </w:rPr>
        <w:t>the</w:t>
      </w:r>
      <w:r w:rsidRPr="00150EDC">
        <w:rPr>
          <w:spacing w:val="-3"/>
          <w:sz w:val="24"/>
        </w:rPr>
        <w:t xml:space="preserve"> </w:t>
      </w:r>
      <w:r w:rsidRPr="00150EDC">
        <w:rPr>
          <w:sz w:val="24"/>
        </w:rPr>
        <w:t>Buyer</w:t>
      </w:r>
      <w:r w:rsidRPr="00150EDC">
        <w:rPr>
          <w:spacing w:val="-5"/>
          <w:sz w:val="24"/>
        </w:rPr>
        <w:t xml:space="preserve"> </w:t>
      </w:r>
      <w:r w:rsidRPr="00150EDC">
        <w:rPr>
          <w:sz w:val="24"/>
        </w:rPr>
        <w:t>Approves</w:t>
      </w:r>
      <w:r w:rsidRPr="00150EDC">
        <w:rPr>
          <w:spacing w:val="-3"/>
          <w:sz w:val="24"/>
        </w:rPr>
        <w:t xml:space="preserve"> </w:t>
      </w:r>
      <w:r w:rsidRPr="00150EDC">
        <w:rPr>
          <w:sz w:val="24"/>
        </w:rPr>
        <w:t>such</w:t>
      </w:r>
      <w:r w:rsidRPr="00150EDC">
        <w:rPr>
          <w:spacing w:val="-3"/>
          <w:sz w:val="24"/>
        </w:rPr>
        <w:t xml:space="preserve"> </w:t>
      </w:r>
      <w:r w:rsidRPr="00150EDC">
        <w:rPr>
          <w:sz w:val="24"/>
        </w:rPr>
        <w:t>removal or replacement (not to be unreasonably withheld or delayed);</w:t>
      </w:r>
    </w:p>
    <w:p w14:paraId="6894D9A3" w14:textId="77777777" w:rsidR="004C7180" w:rsidRPr="00150EDC" w:rsidRDefault="00CF0754" w:rsidP="00B320C7">
      <w:pPr>
        <w:pStyle w:val="ListParagraph"/>
        <w:numPr>
          <w:ilvl w:val="2"/>
          <w:numId w:val="50"/>
        </w:numPr>
        <w:tabs>
          <w:tab w:val="left" w:pos="2818"/>
        </w:tabs>
        <w:spacing w:before="120"/>
        <w:ind w:right="1506"/>
        <w:rPr>
          <w:sz w:val="24"/>
        </w:rPr>
      </w:pPr>
      <w:r w:rsidRPr="00150EDC">
        <w:rPr>
          <w:sz w:val="24"/>
        </w:rPr>
        <w:t>the</w:t>
      </w:r>
      <w:r w:rsidRPr="00150EDC">
        <w:rPr>
          <w:spacing w:val="-3"/>
          <w:sz w:val="24"/>
        </w:rPr>
        <w:t xml:space="preserve"> </w:t>
      </w:r>
      <w:r w:rsidRPr="00150EDC">
        <w:rPr>
          <w:sz w:val="24"/>
        </w:rPr>
        <w:t>person</w:t>
      </w:r>
      <w:r w:rsidRPr="00150EDC">
        <w:rPr>
          <w:spacing w:val="-3"/>
          <w:sz w:val="24"/>
        </w:rPr>
        <w:t xml:space="preserve"> </w:t>
      </w:r>
      <w:r w:rsidRPr="00150EDC">
        <w:rPr>
          <w:sz w:val="24"/>
        </w:rPr>
        <w:t>concerned</w:t>
      </w:r>
      <w:r w:rsidRPr="00150EDC">
        <w:rPr>
          <w:spacing w:val="-3"/>
          <w:sz w:val="24"/>
        </w:rPr>
        <w:t xml:space="preserve"> </w:t>
      </w:r>
      <w:r w:rsidRPr="00150EDC">
        <w:rPr>
          <w:sz w:val="24"/>
        </w:rPr>
        <w:t>resigns,</w:t>
      </w:r>
      <w:r w:rsidRPr="00150EDC">
        <w:rPr>
          <w:spacing w:val="-1"/>
          <w:sz w:val="24"/>
        </w:rPr>
        <w:t xml:space="preserve"> </w:t>
      </w:r>
      <w:r w:rsidRPr="00150EDC">
        <w:rPr>
          <w:sz w:val="24"/>
        </w:rPr>
        <w:t>retires</w:t>
      </w:r>
      <w:r w:rsidRPr="00150EDC">
        <w:rPr>
          <w:spacing w:val="-5"/>
          <w:sz w:val="24"/>
        </w:rPr>
        <w:t xml:space="preserve"> </w:t>
      </w:r>
      <w:r w:rsidRPr="00150EDC">
        <w:rPr>
          <w:sz w:val="24"/>
        </w:rPr>
        <w:t>or</w:t>
      </w:r>
      <w:r w:rsidRPr="00150EDC">
        <w:rPr>
          <w:spacing w:val="-3"/>
          <w:sz w:val="24"/>
        </w:rPr>
        <w:t xml:space="preserve"> </w:t>
      </w:r>
      <w:r w:rsidRPr="00150EDC">
        <w:rPr>
          <w:sz w:val="24"/>
        </w:rPr>
        <w:t>dies</w:t>
      </w:r>
      <w:r w:rsidRPr="00150EDC">
        <w:rPr>
          <w:spacing w:val="-4"/>
          <w:sz w:val="24"/>
        </w:rPr>
        <w:t xml:space="preserve"> </w:t>
      </w:r>
      <w:r w:rsidRPr="00150EDC">
        <w:rPr>
          <w:sz w:val="24"/>
        </w:rPr>
        <w:t>or</w:t>
      </w:r>
      <w:r w:rsidRPr="00150EDC">
        <w:rPr>
          <w:spacing w:val="-3"/>
          <w:sz w:val="24"/>
        </w:rPr>
        <w:t xml:space="preserve"> </w:t>
      </w:r>
      <w:r w:rsidRPr="00150EDC">
        <w:rPr>
          <w:sz w:val="24"/>
        </w:rPr>
        <w:t>is</w:t>
      </w:r>
      <w:r w:rsidRPr="00150EDC">
        <w:rPr>
          <w:spacing w:val="-2"/>
          <w:sz w:val="24"/>
        </w:rPr>
        <w:t xml:space="preserve"> </w:t>
      </w:r>
      <w:r w:rsidRPr="00150EDC">
        <w:rPr>
          <w:sz w:val="24"/>
        </w:rPr>
        <w:t>on</w:t>
      </w:r>
      <w:r w:rsidRPr="00150EDC">
        <w:rPr>
          <w:spacing w:val="-3"/>
          <w:sz w:val="24"/>
        </w:rPr>
        <w:t xml:space="preserve"> </w:t>
      </w:r>
      <w:r w:rsidRPr="00150EDC">
        <w:rPr>
          <w:sz w:val="24"/>
        </w:rPr>
        <w:t>maternity</w:t>
      </w:r>
      <w:r w:rsidRPr="00150EDC">
        <w:rPr>
          <w:spacing w:val="-4"/>
          <w:sz w:val="24"/>
        </w:rPr>
        <w:t xml:space="preserve"> </w:t>
      </w:r>
      <w:r w:rsidRPr="00150EDC">
        <w:rPr>
          <w:sz w:val="24"/>
        </w:rPr>
        <w:t>or</w:t>
      </w:r>
      <w:r w:rsidRPr="00150EDC">
        <w:rPr>
          <w:spacing w:val="-3"/>
          <w:sz w:val="24"/>
        </w:rPr>
        <w:t xml:space="preserve"> </w:t>
      </w:r>
      <w:r w:rsidRPr="00150EDC">
        <w:rPr>
          <w:sz w:val="24"/>
        </w:rPr>
        <w:t>long- term sick leave; or</w:t>
      </w:r>
    </w:p>
    <w:p w14:paraId="316E1EC1" w14:textId="77777777" w:rsidR="004C7180" w:rsidRPr="00150EDC" w:rsidRDefault="00CF0754" w:rsidP="00B320C7">
      <w:pPr>
        <w:pStyle w:val="ListParagraph"/>
        <w:numPr>
          <w:ilvl w:val="2"/>
          <w:numId w:val="50"/>
        </w:numPr>
        <w:tabs>
          <w:tab w:val="left" w:pos="2818"/>
        </w:tabs>
        <w:spacing w:before="120"/>
        <w:ind w:right="1574"/>
        <w:rPr>
          <w:sz w:val="24"/>
        </w:rPr>
      </w:pPr>
      <w:r w:rsidRPr="00150EDC">
        <w:rPr>
          <w:sz w:val="24"/>
        </w:rPr>
        <w:t>the</w:t>
      </w:r>
      <w:r w:rsidRPr="00150EDC">
        <w:rPr>
          <w:spacing w:val="-5"/>
          <w:sz w:val="24"/>
        </w:rPr>
        <w:t xml:space="preserve"> </w:t>
      </w:r>
      <w:r w:rsidRPr="00150EDC">
        <w:rPr>
          <w:sz w:val="24"/>
        </w:rPr>
        <w:t>person’s</w:t>
      </w:r>
      <w:r w:rsidRPr="00150EDC">
        <w:rPr>
          <w:spacing w:val="-6"/>
          <w:sz w:val="24"/>
        </w:rPr>
        <w:t xml:space="preserve"> </w:t>
      </w:r>
      <w:r w:rsidRPr="00150EDC">
        <w:rPr>
          <w:sz w:val="24"/>
        </w:rPr>
        <w:t>employment</w:t>
      </w:r>
      <w:r w:rsidRPr="00150EDC">
        <w:rPr>
          <w:spacing w:val="-6"/>
          <w:sz w:val="24"/>
        </w:rPr>
        <w:t xml:space="preserve"> </w:t>
      </w:r>
      <w:r w:rsidRPr="00150EDC">
        <w:rPr>
          <w:sz w:val="24"/>
        </w:rPr>
        <w:t>or</w:t>
      </w:r>
      <w:r w:rsidRPr="00150EDC">
        <w:rPr>
          <w:spacing w:val="-5"/>
          <w:sz w:val="24"/>
        </w:rPr>
        <w:t xml:space="preserve"> </w:t>
      </w:r>
      <w:r w:rsidRPr="00150EDC">
        <w:rPr>
          <w:sz w:val="24"/>
        </w:rPr>
        <w:t>contractual</w:t>
      </w:r>
      <w:r w:rsidRPr="00150EDC">
        <w:rPr>
          <w:spacing w:val="-4"/>
          <w:sz w:val="24"/>
        </w:rPr>
        <w:t xml:space="preserve"> </w:t>
      </w:r>
      <w:r w:rsidRPr="00150EDC">
        <w:rPr>
          <w:sz w:val="24"/>
        </w:rPr>
        <w:t>arrangement</w:t>
      </w:r>
      <w:r w:rsidRPr="00150EDC">
        <w:rPr>
          <w:spacing w:val="-3"/>
          <w:sz w:val="24"/>
        </w:rPr>
        <w:t xml:space="preserve"> </w:t>
      </w:r>
      <w:r w:rsidRPr="00150EDC">
        <w:rPr>
          <w:sz w:val="24"/>
        </w:rPr>
        <w:t>with</w:t>
      </w:r>
      <w:r w:rsidRPr="00150EDC">
        <w:rPr>
          <w:spacing w:val="-5"/>
          <w:sz w:val="24"/>
        </w:rPr>
        <w:t xml:space="preserve"> </w:t>
      </w:r>
      <w:r w:rsidRPr="00150EDC">
        <w:rPr>
          <w:sz w:val="24"/>
        </w:rPr>
        <w:t>the</w:t>
      </w:r>
      <w:r w:rsidRPr="00150EDC">
        <w:rPr>
          <w:spacing w:val="-5"/>
          <w:sz w:val="24"/>
        </w:rPr>
        <w:t xml:space="preserve"> </w:t>
      </w:r>
      <w:r w:rsidRPr="00150EDC">
        <w:rPr>
          <w:sz w:val="24"/>
        </w:rPr>
        <w:t xml:space="preserve">Supplier or Subcontractor is terminated for material breach of contract by the </w:t>
      </w:r>
      <w:r w:rsidRPr="00150EDC">
        <w:rPr>
          <w:spacing w:val="-2"/>
          <w:sz w:val="24"/>
        </w:rPr>
        <w:t>employee.</w:t>
      </w:r>
    </w:p>
    <w:p w14:paraId="689E921A" w14:textId="77777777" w:rsidR="004C7180" w:rsidRPr="00150EDC" w:rsidRDefault="004C7180">
      <w:pPr>
        <w:pStyle w:val="BodyText"/>
        <w:rPr>
          <w:sz w:val="26"/>
        </w:rPr>
      </w:pPr>
    </w:p>
    <w:p w14:paraId="2657CDEF" w14:textId="77777777" w:rsidR="004C7180" w:rsidRPr="00150EDC" w:rsidRDefault="00CF0754" w:rsidP="00B320C7">
      <w:pPr>
        <w:pStyle w:val="ListParagraph"/>
        <w:numPr>
          <w:ilvl w:val="1"/>
          <w:numId w:val="50"/>
        </w:numPr>
        <w:tabs>
          <w:tab w:val="left" w:pos="1966"/>
        </w:tabs>
        <w:spacing w:before="217"/>
        <w:ind w:hanging="566"/>
        <w:rPr>
          <w:sz w:val="24"/>
        </w:rPr>
      </w:pPr>
      <w:r w:rsidRPr="00150EDC">
        <w:rPr>
          <w:sz w:val="24"/>
        </w:rPr>
        <w:t>The</w:t>
      </w:r>
      <w:r w:rsidRPr="00150EDC">
        <w:rPr>
          <w:spacing w:val="-2"/>
          <w:sz w:val="24"/>
        </w:rPr>
        <w:t xml:space="preserve"> </w:t>
      </w:r>
      <w:r w:rsidRPr="00150EDC">
        <w:rPr>
          <w:sz w:val="24"/>
        </w:rPr>
        <w:t>Supplier</w:t>
      </w:r>
      <w:r w:rsidRPr="00150EDC">
        <w:rPr>
          <w:spacing w:val="-3"/>
          <w:sz w:val="24"/>
        </w:rPr>
        <w:t xml:space="preserve"> </w:t>
      </w:r>
      <w:r w:rsidRPr="00150EDC">
        <w:rPr>
          <w:spacing w:val="-2"/>
          <w:sz w:val="24"/>
        </w:rPr>
        <w:t>shall:</w:t>
      </w:r>
    </w:p>
    <w:p w14:paraId="1183FF2D" w14:textId="77777777" w:rsidR="004C7180" w:rsidRPr="00150EDC" w:rsidRDefault="00CF0754" w:rsidP="00B320C7">
      <w:pPr>
        <w:pStyle w:val="ListParagraph"/>
        <w:numPr>
          <w:ilvl w:val="2"/>
          <w:numId w:val="50"/>
        </w:numPr>
        <w:tabs>
          <w:tab w:val="left" w:pos="2818"/>
        </w:tabs>
        <w:spacing w:before="117"/>
        <w:ind w:right="1453"/>
        <w:rPr>
          <w:sz w:val="24"/>
        </w:rPr>
      </w:pPr>
      <w:r w:rsidRPr="00150EDC">
        <w:rPr>
          <w:sz w:val="24"/>
        </w:rPr>
        <w:t>notify the Buyer promptly of the absence of any Key Staff (other than</w:t>
      </w:r>
      <w:r w:rsidRPr="00150EDC">
        <w:rPr>
          <w:spacing w:val="40"/>
          <w:sz w:val="24"/>
        </w:rPr>
        <w:t xml:space="preserve"> </w:t>
      </w:r>
      <w:r w:rsidRPr="00150EDC">
        <w:rPr>
          <w:sz w:val="24"/>
        </w:rPr>
        <w:t>for short-term sickness or holidays of two (2) weeks or less, in which case</w:t>
      </w:r>
      <w:r w:rsidRPr="00150EDC">
        <w:rPr>
          <w:spacing w:val="-2"/>
          <w:sz w:val="24"/>
        </w:rPr>
        <w:t xml:space="preserve"> </w:t>
      </w:r>
      <w:r w:rsidRPr="00150EDC">
        <w:rPr>
          <w:sz w:val="24"/>
        </w:rPr>
        <w:t>the</w:t>
      </w:r>
      <w:r w:rsidRPr="00150EDC">
        <w:rPr>
          <w:spacing w:val="-2"/>
          <w:sz w:val="24"/>
        </w:rPr>
        <w:t xml:space="preserve"> </w:t>
      </w:r>
      <w:r w:rsidRPr="00150EDC">
        <w:rPr>
          <w:sz w:val="24"/>
        </w:rPr>
        <w:t>Supplier</w:t>
      </w:r>
      <w:r w:rsidRPr="00150EDC">
        <w:rPr>
          <w:spacing w:val="-4"/>
          <w:sz w:val="24"/>
        </w:rPr>
        <w:t xml:space="preserve"> </w:t>
      </w:r>
      <w:r w:rsidRPr="00150EDC">
        <w:rPr>
          <w:sz w:val="24"/>
        </w:rPr>
        <w:t>shall</w:t>
      </w:r>
      <w:r w:rsidRPr="00150EDC">
        <w:rPr>
          <w:spacing w:val="-6"/>
          <w:sz w:val="24"/>
        </w:rPr>
        <w:t xml:space="preserve"> </w:t>
      </w:r>
      <w:r w:rsidRPr="00150EDC">
        <w:rPr>
          <w:sz w:val="24"/>
        </w:rPr>
        <w:t>ensure</w:t>
      </w:r>
      <w:r w:rsidRPr="00150EDC">
        <w:rPr>
          <w:spacing w:val="-4"/>
          <w:sz w:val="24"/>
        </w:rPr>
        <w:t xml:space="preserve"> </w:t>
      </w:r>
      <w:r w:rsidRPr="00150EDC">
        <w:rPr>
          <w:sz w:val="24"/>
        </w:rPr>
        <w:t>appropriate</w:t>
      </w:r>
      <w:r w:rsidRPr="00150EDC">
        <w:rPr>
          <w:spacing w:val="-2"/>
          <w:sz w:val="24"/>
        </w:rPr>
        <w:t xml:space="preserve"> </w:t>
      </w:r>
      <w:r w:rsidRPr="00150EDC">
        <w:rPr>
          <w:sz w:val="24"/>
        </w:rPr>
        <w:t>temporary</w:t>
      </w:r>
      <w:r w:rsidRPr="00150EDC">
        <w:rPr>
          <w:spacing w:val="-3"/>
          <w:sz w:val="24"/>
        </w:rPr>
        <w:t xml:space="preserve"> </w:t>
      </w:r>
      <w:r w:rsidRPr="00150EDC">
        <w:rPr>
          <w:sz w:val="24"/>
        </w:rPr>
        <w:t>cover</w:t>
      </w:r>
      <w:r w:rsidRPr="00150EDC">
        <w:rPr>
          <w:spacing w:val="-4"/>
          <w:sz w:val="24"/>
        </w:rPr>
        <w:t xml:space="preserve"> </w:t>
      </w:r>
      <w:r w:rsidRPr="00150EDC">
        <w:rPr>
          <w:sz w:val="24"/>
        </w:rPr>
        <w:t>for</w:t>
      </w:r>
      <w:r w:rsidRPr="00150EDC">
        <w:rPr>
          <w:spacing w:val="-4"/>
          <w:sz w:val="24"/>
        </w:rPr>
        <w:t xml:space="preserve"> </w:t>
      </w:r>
      <w:r w:rsidRPr="00150EDC">
        <w:rPr>
          <w:sz w:val="24"/>
        </w:rPr>
        <w:t>that</w:t>
      </w:r>
      <w:r w:rsidRPr="00150EDC">
        <w:rPr>
          <w:spacing w:val="-5"/>
          <w:sz w:val="24"/>
        </w:rPr>
        <w:t xml:space="preserve"> </w:t>
      </w:r>
      <w:r w:rsidRPr="00150EDC">
        <w:rPr>
          <w:sz w:val="24"/>
        </w:rPr>
        <w:t xml:space="preserve">Key </w:t>
      </w:r>
      <w:r w:rsidRPr="00150EDC">
        <w:rPr>
          <w:spacing w:val="-2"/>
          <w:sz w:val="24"/>
        </w:rPr>
        <w:t>Role);</w:t>
      </w:r>
    </w:p>
    <w:p w14:paraId="0FE1216A" w14:textId="77777777" w:rsidR="004C7180" w:rsidRPr="00150EDC" w:rsidRDefault="00CF0754" w:rsidP="00B320C7">
      <w:pPr>
        <w:pStyle w:val="ListParagraph"/>
        <w:numPr>
          <w:ilvl w:val="2"/>
          <w:numId w:val="50"/>
        </w:numPr>
        <w:tabs>
          <w:tab w:val="left" w:pos="2818"/>
        </w:tabs>
        <w:spacing w:before="120"/>
        <w:ind w:right="1970"/>
        <w:rPr>
          <w:sz w:val="24"/>
        </w:rPr>
      </w:pPr>
      <w:r w:rsidRPr="00150EDC">
        <w:rPr>
          <w:sz w:val="24"/>
        </w:rPr>
        <w:t>ensure</w:t>
      </w:r>
      <w:r w:rsidRPr="00150EDC">
        <w:rPr>
          <w:spacing w:val="-4"/>
          <w:sz w:val="24"/>
        </w:rPr>
        <w:t xml:space="preserve"> </w:t>
      </w:r>
      <w:r w:rsidRPr="00150EDC">
        <w:rPr>
          <w:sz w:val="24"/>
        </w:rPr>
        <w:t>that</w:t>
      </w:r>
      <w:r w:rsidRPr="00150EDC">
        <w:rPr>
          <w:spacing w:val="-2"/>
          <w:sz w:val="24"/>
        </w:rPr>
        <w:t xml:space="preserve"> </w:t>
      </w:r>
      <w:r w:rsidRPr="00150EDC">
        <w:rPr>
          <w:sz w:val="24"/>
        </w:rPr>
        <w:t>any</w:t>
      </w:r>
      <w:r w:rsidRPr="00150EDC">
        <w:rPr>
          <w:spacing w:val="-3"/>
          <w:sz w:val="24"/>
        </w:rPr>
        <w:t xml:space="preserve"> </w:t>
      </w:r>
      <w:r w:rsidRPr="00150EDC">
        <w:rPr>
          <w:sz w:val="24"/>
        </w:rPr>
        <w:t>Key</w:t>
      </w:r>
      <w:r w:rsidRPr="00150EDC">
        <w:rPr>
          <w:spacing w:val="-5"/>
          <w:sz w:val="24"/>
        </w:rPr>
        <w:t xml:space="preserve"> </w:t>
      </w:r>
      <w:r w:rsidRPr="00150EDC">
        <w:rPr>
          <w:sz w:val="24"/>
        </w:rPr>
        <w:t>Role</w:t>
      </w:r>
      <w:r w:rsidRPr="00150EDC">
        <w:rPr>
          <w:spacing w:val="-2"/>
          <w:sz w:val="24"/>
        </w:rPr>
        <w:t xml:space="preserve"> </w:t>
      </w:r>
      <w:r w:rsidRPr="00150EDC">
        <w:rPr>
          <w:sz w:val="24"/>
        </w:rPr>
        <w:t>is</w:t>
      </w:r>
      <w:r w:rsidRPr="00150EDC">
        <w:rPr>
          <w:spacing w:val="-3"/>
          <w:sz w:val="24"/>
        </w:rPr>
        <w:t xml:space="preserve"> </w:t>
      </w:r>
      <w:r w:rsidRPr="00150EDC">
        <w:rPr>
          <w:sz w:val="24"/>
        </w:rPr>
        <w:t>not</w:t>
      </w:r>
      <w:r w:rsidRPr="00150EDC">
        <w:rPr>
          <w:spacing w:val="-2"/>
          <w:sz w:val="24"/>
        </w:rPr>
        <w:t xml:space="preserve"> </w:t>
      </w:r>
      <w:r w:rsidRPr="00150EDC">
        <w:rPr>
          <w:sz w:val="24"/>
        </w:rPr>
        <w:t>vacant</w:t>
      </w:r>
      <w:r w:rsidRPr="00150EDC">
        <w:rPr>
          <w:spacing w:val="-5"/>
          <w:sz w:val="24"/>
        </w:rPr>
        <w:t xml:space="preserve"> </w:t>
      </w:r>
      <w:r w:rsidRPr="00150EDC">
        <w:rPr>
          <w:sz w:val="24"/>
        </w:rPr>
        <w:t>for</w:t>
      </w:r>
      <w:r w:rsidRPr="00150EDC">
        <w:rPr>
          <w:spacing w:val="-4"/>
          <w:sz w:val="24"/>
        </w:rPr>
        <w:t xml:space="preserve"> </w:t>
      </w:r>
      <w:r w:rsidRPr="00150EDC">
        <w:rPr>
          <w:sz w:val="24"/>
        </w:rPr>
        <w:t>any</w:t>
      </w:r>
      <w:r w:rsidRPr="00150EDC">
        <w:rPr>
          <w:spacing w:val="-3"/>
          <w:sz w:val="24"/>
        </w:rPr>
        <w:t xml:space="preserve"> </w:t>
      </w:r>
      <w:r w:rsidRPr="00150EDC">
        <w:rPr>
          <w:sz w:val="24"/>
        </w:rPr>
        <w:t>longer</w:t>
      </w:r>
      <w:r w:rsidRPr="00150EDC">
        <w:rPr>
          <w:spacing w:val="-4"/>
          <w:sz w:val="24"/>
        </w:rPr>
        <w:t xml:space="preserve"> </w:t>
      </w:r>
      <w:r w:rsidRPr="00150EDC">
        <w:rPr>
          <w:sz w:val="24"/>
        </w:rPr>
        <w:t>than</w:t>
      </w:r>
      <w:r w:rsidRPr="00150EDC">
        <w:rPr>
          <w:spacing w:val="-2"/>
          <w:sz w:val="24"/>
        </w:rPr>
        <w:t xml:space="preserve"> </w:t>
      </w:r>
      <w:r w:rsidRPr="00150EDC">
        <w:rPr>
          <w:sz w:val="24"/>
        </w:rPr>
        <w:t>ten</w:t>
      </w:r>
      <w:r w:rsidRPr="00150EDC">
        <w:rPr>
          <w:spacing w:val="-2"/>
          <w:sz w:val="24"/>
        </w:rPr>
        <w:t xml:space="preserve"> </w:t>
      </w:r>
      <w:r w:rsidRPr="00150EDC">
        <w:rPr>
          <w:sz w:val="24"/>
        </w:rPr>
        <w:t>(10) Working Days;</w:t>
      </w:r>
    </w:p>
    <w:p w14:paraId="4ACB9E99" w14:textId="77777777" w:rsidR="004C7180" w:rsidRPr="00150EDC" w:rsidRDefault="00CF0754" w:rsidP="00B320C7">
      <w:pPr>
        <w:pStyle w:val="ListParagraph"/>
        <w:numPr>
          <w:ilvl w:val="2"/>
          <w:numId w:val="50"/>
        </w:numPr>
        <w:tabs>
          <w:tab w:val="left" w:pos="2818"/>
        </w:tabs>
        <w:spacing w:before="120"/>
        <w:ind w:right="1477"/>
        <w:rPr>
          <w:sz w:val="24"/>
        </w:rPr>
      </w:pPr>
      <w:r w:rsidRPr="00150EDC">
        <w:rPr>
          <w:sz w:val="24"/>
        </w:rPr>
        <w:t>give as much notice as is reasonably practicable of its intention to remove</w:t>
      </w:r>
      <w:r w:rsidRPr="00150EDC">
        <w:rPr>
          <w:spacing w:val="-1"/>
          <w:sz w:val="24"/>
        </w:rPr>
        <w:t xml:space="preserve"> </w:t>
      </w:r>
      <w:r w:rsidRPr="00150EDC">
        <w:rPr>
          <w:sz w:val="24"/>
        </w:rPr>
        <w:t>or</w:t>
      </w:r>
      <w:r w:rsidRPr="00150EDC">
        <w:rPr>
          <w:spacing w:val="-3"/>
          <w:sz w:val="24"/>
        </w:rPr>
        <w:t xml:space="preserve"> </w:t>
      </w:r>
      <w:r w:rsidRPr="00150EDC">
        <w:rPr>
          <w:sz w:val="24"/>
        </w:rPr>
        <w:t>replace</w:t>
      </w:r>
      <w:r w:rsidRPr="00150EDC">
        <w:rPr>
          <w:spacing w:val="-3"/>
          <w:sz w:val="24"/>
        </w:rPr>
        <w:t xml:space="preserve"> </w:t>
      </w:r>
      <w:r w:rsidRPr="00150EDC">
        <w:rPr>
          <w:sz w:val="24"/>
        </w:rPr>
        <w:t>any</w:t>
      </w:r>
      <w:r w:rsidRPr="00150EDC">
        <w:rPr>
          <w:spacing w:val="-4"/>
          <w:sz w:val="24"/>
        </w:rPr>
        <w:t xml:space="preserve"> </w:t>
      </w:r>
      <w:r w:rsidRPr="00150EDC">
        <w:rPr>
          <w:sz w:val="24"/>
        </w:rPr>
        <w:t>member</w:t>
      </w:r>
      <w:r w:rsidRPr="00150EDC">
        <w:rPr>
          <w:spacing w:val="-3"/>
          <w:sz w:val="24"/>
        </w:rPr>
        <w:t xml:space="preserve"> </w:t>
      </w:r>
      <w:r w:rsidRPr="00150EDC">
        <w:rPr>
          <w:sz w:val="24"/>
        </w:rPr>
        <w:t>of</w:t>
      </w:r>
      <w:r w:rsidRPr="00150EDC">
        <w:rPr>
          <w:spacing w:val="-4"/>
          <w:sz w:val="24"/>
        </w:rPr>
        <w:t xml:space="preserve"> </w:t>
      </w:r>
      <w:r w:rsidRPr="00150EDC">
        <w:rPr>
          <w:sz w:val="24"/>
        </w:rPr>
        <w:t>Key</w:t>
      </w:r>
      <w:r w:rsidRPr="00150EDC">
        <w:rPr>
          <w:spacing w:val="-2"/>
          <w:sz w:val="24"/>
        </w:rPr>
        <w:t xml:space="preserve"> </w:t>
      </w:r>
      <w:r w:rsidRPr="00150EDC">
        <w:rPr>
          <w:sz w:val="24"/>
        </w:rPr>
        <w:t>Staff</w:t>
      </w:r>
      <w:r w:rsidRPr="00150EDC">
        <w:rPr>
          <w:spacing w:val="-4"/>
          <w:sz w:val="24"/>
        </w:rPr>
        <w:t xml:space="preserve"> </w:t>
      </w:r>
      <w:r w:rsidRPr="00150EDC">
        <w:rPr>
          <w:sz w:val="24"/>
        </w:rPr>
        <w:t>and,</w:t>
      </w:r>
      <w:r w:rsidRPr="00150EDC">
        <w:rPr>
          <w:spacing w:val="-4"/>
          <w:sz w:val="24"/>
        </w:rPr>
        <w:t xml:space="preserve"> </w:t>
      </w:r>
      <w:r w:rsidRPr="00150EDC">
        <w:rPr>
          <w:sz w:val="24"/>
        </w:rPr>
        <w:t>except</w:t>
      </w:r>
      <w:r w:rsidRPr="00150EDC">
        <w:rPr>
          <w:spacing w:val="-1"/>
          <w:sz w:val="24"/>
        </w:rPr>
        <w:t xml:space="preserve"> </w:t>
      </w:r>
      <w:r w:rsidRPr="00150EDC">
        <w:rPr>
          <w:sz w:val="24"/>
        </w:rPr>
        <w:t>in</w:t>
      </w:r>
      <w:r w:rsidRPr="00150EDC">
        <w:rPr>
          <w:spacing w:val="-1"/>
          <w:sz w:val="24"/>
        </w:rPr>
        <w:t xml:space="preserve"> </w:t>
      </w:r>
      <w:r w:rsidRPr="00150EDC">
        <w:rPr>
          <w:sz w:val="24"/>
        </w:rPr>
        <w:t>the</w:t>
      </w:r>
      <w:r w:rsidRPr="00150EDC">
        <w:rPr>
          <w:spacing w:val="-1"/>
          <w:sz w:val="24"/>
        </w:rPr>
        <w:t xml:space="preserve"> </w:t>
      </w:r>
      <w:r w:rsidRPr="00150EDC">
        <w:rPr>
          <w:sz w:val="24"/>
        </w:rPr>
        <w:t>cases</w:t>
      </w:r>
      <w:r w:rsidRPr="00150EDC">
        <w:rPr>
          <w:spacing w:val="-4"/>
          <w:sz w:val="24"/>
        </w:rPr>
        <w:t xml:space="preserve"> </w:t>
      </w:r>
      <w:r w:rsidRPr="00150EDC">
        <w:rPr>
          <w:sz w:val="24"/>
        </w:rPr>
        <w:t>of death, unexpected ill health or a material breach of the Key Staff’s employment contract, this will mean at least three (3) Months’ notice;</w:t>
      </w:r>
    </w:p>
    <w:p w14:paraId="00902B2D" w14:textId="77777777" w:rsidR="004C7180" w:rsidRPr="00150EDC" w:rsidRDefault="00CF0754" w:rsidP="00B320C7">
      <w:pPr>
        <w:pStyle w:val="ListParagraph"/>
        <w:numPr>
          <w:ilvl w:val="2"/>
          <w:numId w:val="50"/>
        </w:numPr>
        <w:tabs>
          <w:tab w:val="left" w:pos="2818"/>
        </w:tabs>
        <w:spacing w:before="121"/>
        <w:ind w:right="1595"/>
        <w:rPr>
          <w:sz w:val="24"/>
        </w:rPr>
      </w:pPr>
      <w:r w:rsidRPr="00150EDC">
        <w:rPr>
          <w:sz w:val="24"/>
        </w:rPr>
        <w:t>ensure</w:t>
      </w:r>
      <w:r w:rsidRPr="00150EDC">
        <w:rPr>
          <w:spacing w:val="-4"/>
          <w:sz w:val="24"/>
        </w:rPr>
        <w:t xml:space="preserve"> </w:t>
      </w:r>
      <w:r w:rsidRPr="00150EDC">
        <w:rPr>
          <w:sz w:val="24"/>
        </w:rPr>
        <w:t>that</w:t>
      </w:r>
      <w:r w:rsidRPr="00150EDC">
        <w:rPr>
          <w:spacing w:val="-2"/>
          <w:sz w:val="24"/>
        </w:rPr>
        <w:t xml:space="preserve"> </w:t>
      </w:r>
      <w:r w:rsidRPr="00150EDC">
        <w:rPr>
          <w:sz w:val="24"/>
        </w:rPr>
        <w:t>all</w:t>
      </w:r>
      <w:r w:rsidRPr="00150EDC">
        <w:rPr>
          <w:spacing w:val="-3"/>
          <w:sz w:val="24"/>
        </w:rPr>
        <w:t xml:space="preserve"> </w:t>
      </w:r>
      <w:r w:rsidRPr="00150EDC">
        <w:rPr>
          <w:sz w:val="24"/>
        </w:rPr>
        <w:t>arrangements</w:t>
      </w:r>
      <w:r w:rsidRPr="00150EDC">
        <w:rPr>
          <w:spacing w:val="-3"/>
          <w:sz w:val="24"/>
        </w:rPr>
        <w:t xml:space="preserve"> </w:t>
      </w:r>
      <w:r w:rsidRPr="00150EDC">
        <w:rPr>
          <w:sz w:val="24"/>
        </w:rPr>
        <w:t>for</w:t>
      </w:r>
      <w:r w:rsidRPr="00150EDC">
        <w:rPr>
          <w:spacing w:val="-5"/>
          <w:sz w:val="24"/>
        </w:rPr>
        <w:t xml:space="preserve"> </w:t>
      </w:r>
      <w:r w:rsidRPr="00150EDC">
        <w:rPr>
          <w:sz w:val="24"/>
        </w:rPr>
        <w:t>planned</w:t>
      </w:r>
      <w:r w:rsidRPr="00150EDC">
        <w:rPr>
          <w:spacing w:val="-4"/>
          <w:sz w:val="24"/>
        </w:rPr>
        <w:t xml:space="preserve"> </w:t>
      </w:r>
      <w:r w:rsidRPr="00150EDC">
        <w:rPr>
          <w:sz w:val="24"/>
        </w:rPr>
        <w:t>changes</w:t>
      </w:r>
      <w:r w:rsidRPr="00150EDC">
        <w:rPr>
          <w:spacing w:val="-3"/>
          <w:sz w:val="24"/>
        </w:rPr>
        <w:t xml:space="preserve"> </w:t>
      </w:r>
      <w:r w:rsidRPr="00150EDC">
        <w:rPr>
          <w:sz w:val="24"/>
        </w:rPr>
        <w:t>in</w:t>
      </w:r>
      <w:r w:rsidRPr="00150EDC">
        <w:rPr>
          <w:spacing w:val="-2"/>
          <w:sz w:val="24"/>
        </w:rPr>
        <w:t xml:space="preserve"> </w:t>
      </w:r>
      <w:r w:rsidRPr="00150EDC">
        <w:rPr>
          <w:sz w:val="24"/>
        </w:rPr>
        <w:t>Key</w:t>
      </w:r>
      <w:r w:rsidRPr="00150EDC">
        <w:rPr>
          <w:spacing w:val="-5"/>
          <w:sz w:val="24"/>
        </w:rPr>
        <w:t xml:space="preserve"> </w:t>
      </w:r>
      <w:r w:rsidRPr="00150EDC">
        <w:rPr>
          <w:sz w:val="24"/>
        </w:rPr>
        <w:t>Staff</w:t>
      </w:r>
      <w:r w:rsidRPr="00150EDC">
        <w:rPr>
          <w:spacing w:val="-5"/>
          <w:sz w:val="24"/>
        </w:rPr>
        <w:t xml:space="preserve"> </w:t>
      </w:r>
      <w:r w:rsidRPr="00150EDC">
        <w:rPr>
          <w:sz w:val="24"/>
        </w:rPr>
        <w:t>provide adequate periods during which incoming and outgoing staff work together</w:t>
      </w:r>
      <w:r w:rsidRPr="00150EDC">
        <w:rPr>
          <w:spacing w:val="-2"/>
          <w:sz w:val="24"/>
        </w:rPr>
        <w:t xml:space="preserve"> </w:t>
      </w:r>
      <w:r w:rsidRPr="00150EDC">
        <w:rPr>
          <w:sz w:val="24"/>
        </w:rPr>
        <w:t>to transfer</w:t>
      </w:r>
      <w:r w:rsidRPr="00150EDC">
        <w:rPr>
          <w:spacing w:val="-2"/>
          <w:sz w:val="24"/>
        </w:rPr>
        <w:t xml:space="preserve"> </w:t>
      </w:r>
      <w:r w:rsidRPr="00150EDC">
        <w:rPr>
          <w:sz w:val="24"/>
        </w:rPr>
        <w:t>responsibilities</w:t>
      </w:r>
      <w:r w:rsidRPr="00150EDC">
        <w:rPr>
          <w:spacing w:val="-3"/>
          <w:sz w:val="24"/>
        </w:rPr>
        <w:t xml:space="preserve"> </w:t>
      </w:r>
      <w:r w:rsidRPr="00150EDC">
        <w:rPr>
          <w:sz w:val="24"/>
        </w:rPr>
        <w:t>and</w:t>
      </w:r>
      <w:r w:rsidRPr="00150EDC">
        <w:rPr>
          <w:spacing w:val="-2"/>
          <w:sz w:val="24"/>
        </w:rPr>
        <w:t xml:space="preserve"> </w:t>
      </w:r>
      <w:r w:rsidRPr="00150EDC">
        <w:rPr>
          <w:sz w:val="24"/>
        </w:rPr>
        <w:t>ensure that such change does not have an adverse impact on the provision of the Deliverables; and</w:t>
      </w:r>
    </w:p>
    <w:p w14:paraId="35D51DC9" w14:textId="77777777" w:rsidR="004C7180" w:rsidRPr="00150EDC" w:rsidRDefault="00CF0754" w:rsidP="00B320C7">
      <w:pPr>
        <w:pStyle w:val="ListParagraph"/>
        <w:numPr>
          <w:ilvl w:val="2"/>
          <w:numId w:val="50"/>
        </w:numPr>
        <w:tabs>
          <w:tab w:val="left" w:pos="2818"/>
        </w:tabs>
        <w:spacing w:before="120"/>
        <w:ind w:right="1477"/>
        <w:rPr>
          <w:sz w:val="24"/>
        </w:rPr>
      </w:pPr>
      <w:r w:rsidRPr="00150EDC">
        <w:rPr>
          <w:sz w:val="24"/>
        </w:rPr>
        <w:t>ensure</w:t>
      </w:r>
      <w:r w:rsidRPr="00150EDC">
        <w:rPr>
          <w:spacing w:val="-4"/>
          <w:sz w:val="24"/>
        </w:rPr>
        <w:t xml:space="preserve"> </w:t>
      </w:r>
      <w:r w:rsidRPr="00150EDC">
        <w:rPr>
          <w:sz w:val="24"/>
        </w:rPr>
        <w:t>that</w:t>
      </w:r>
      <w:r w:rsidRPr="00150EDC">
        <w:rPr>
          <w:spacing w:val="-2"/>
          <w:sz w:val="24"/>
        </w:rPr>
        <w:t xml:space="preserve"> </w:t>
      </w:r>
      <w:r w:rsidRPr="00150EDC">
        <w:rPr>
          <w:sz w:val="24"/>
        </w:rPr>
        <w:t>any</w:t>
      </w:r>
      <w:r w:rsidRPr="00150EDC">
        <w:rPr>
          <w:spacing w:val="-3"/>
          <w:sz w:val="24"/>
        </w:rPr>
        <w:t xml:space="preserve"> </w:t>
      </w:r>
      <w:r w:rsidRPr="00150EDC">
        <w:rPr>
          <w:sz w:val="24"/>
        </w:rPr>
        <w:t>replacement</w:t>
      </w:r>
      <w:r w:rsidRPr="00150EDC">
        <w:rPr>
          <w:spacing w:val="-2"/>
          <w:sz w:val="24"/>
        </w:rPr>
        <w:t xml:space="preserve"> </w:t>
      </w:r>
      <w:r w:rsidRPr="00150EDC">
        <w:rPr>
          <w:sz w:val="24"/>
        </w:rPr>
        <w:t>for</w:t>
      </w:r>
      <w:r w:rsidRPr="00150EDC">
        <w:rPr>
          <w:spacing w:val="-4"/>
          <w:sz w:val="24"/>
        </w:rPr>
        <w:t xml:space="preserve"> </w:t>
      </w:r>
      <w:r w:rsidRPr="00150EDC">
        <w:rPr>
          <w:sz w:val="24"/>
        </w:rPr>
        <w:t>a</w:t>
      </w:r>
      <w:r w:rsidRPr="00150EDC">
        <w:rPr>
          <w:spacing w:val="-4"/>
          <w:sz w:val="24"/>
        </w:rPr>
        <w:t xml:space="preserve"> </w:t>
      </w:r>
      <w:r w:rsidRPr="00150EDC">
        <w:rPr>
          <w:sz w:val="24"/>
        </w:rPr>
        <w:t>Key</w:t>
      </w:r>
      <w:r w:rsidRPr="00150EDC">
        <w:rPr>
          <w:spacing w:val="-3"/>
          <w:sz w:val="24"/>
        </w:rPr>
        <w:t xml:space="preserve"> </w:t>
      </w:r>
      <w:r w:rsidRPr="00150EDC">
        <w:rPr>
          <w:sz w:val="24"/>
        </w:rPr>
        <w:t>Role</w:t>
      </w:r>
      <w:r w:rsidRPr="00150EDC">
        <w:rPr>
          <w:spacing w:val="-2"/>
          <w:sz w:val="24"/>
        </w:rPr>
        <w:t xml:space="preserve"> </w:t>
      </w:r>
      <w:r w:rsidRPr="00150EDC">
        <w:rPr>
          <w:sz w:val="24"/>
        </w:rPr>
        <w:t>has</w:t>
      </w:r>
      <w:r w:rsidRPr="00150EDC">
        <w:rPr>
          <w:spacing w:val="-3"/>
          <w:sz w:val="24"/>
        </w:rPr>
        <w:t xml:space="preserve"> </w:t>
      </w:r>
      <w:r w:rsidRPr="00150EDC">
        <w:rPr>
          <w:sz w:val="24"/>
        </w:rPr>
        <w:t>a</w:t>
      </w:r>
      <w:r w:rsidRPr="00150EDC">
        <w:rPr>
          <w:spacing w:val="-2"/>
          <w:sz w:val="24"/>
        </w:rPr>
        <w:t xml:space="preserve"> </w:t>
      </w:r>
      <w:r w:rsidRPr="00150EDC">
        <w:rPr>
          <w:sz w:val="24"/>
        </w:rPr>
        <w:t>level</w:t>
      </w:r>
      <w:r w:rsidRPr="00150EDC">
        <w:rPr>
          <w:spacing w:val="-3"/>
          <w:sz w:val="24"/>
        </w:rPr>
        <w:t xml:space="preserve"> </w:t>
      </w:r>
      <w:r w:rsidRPr="00150EDC">
        <w:rPr>
          <w:sz w:val="24"/>
        </w:rPr>
        <w:t>of</w:t>
      </w:r>
      <w:r w:rsidRPr="00150EDC">
        <w:rPr>
          <w:spacing w:val="-5"/>
          <w:sz w:val="24"/>
        </w:rPr>
        <w:t xml:space="preserve"> </w:t>
      </w:r>
      <w:r w:rsidRPr="00150EDC">
        <w:rPr>
          <w:sz w:val="24"/>
        </w:rPr>
        <w:t>qualifications and experience appropriate to the relevant Key Role and is fully</w:t>
      </w:r>
    </w:p>
    <w:p w14:paraId="4BE489F4" w14:textId="77777777" w:rsidR="004C7180" w:rsidRPr="00150EDC" w:rsidRDefault="004C7180">
      <w:pPr>
        <w:rPr>
          <w:sz w:val="24"/>
        </w:rPr>
        <w:sectPr w:rsidR="004C7180" w:rsidRPr="00150EDC">
          <w:headerReference w:type="default" r:id="rId77"/>
          <w:footerReference w:type="default" r:id="rId78"/>
          <w:pgSz w:w="11910" w:h="16840"/>
          <w:pgMar w:top="1380" w:right="0" w:bottom="1380" w:left="40" w:header="715" w:footer="1192" w:gutter="0"/>
          <w:pgNumType w:start="1"/>
          <w:cols w:space="720"/>
        </w:sectPr>
      </w:pPr>
    </w:p>
    <w:p w14:paraId="198D2418" w14:textId="77777777" w:rsidR="004C7180" w:rsidRPr="00150EDC" w:rsidRDefault="00CF0754">
      <w:pPr>
        <w:pStyle w:val="BodyText"/>
        <w:spacing w:before="42"/>
        <w:ind w:left="2818" w:right="1459"/>
      </w:pPr>
      <w:r w:rsidRPr="00150EDC">
        <w:lastRenderedPageBreak/>
        <w:t>competent</w:t>
      </w:r>
      <w:r w:rsidRPr="00150EDC">
        <w:rPr>
          <w:spacing w:val="-2"/>
        </w:rPr>
        <w:t xml:space="preserve"> </w:t>
      </w:r>
      <w:r w:rsidRPr="00150EDC">
        <w:t>to</w:t>
      </w:r>
      <w:r w:rsidRPr="00150EDC">
        <w:rPr>
          <w:spacing w:val="-2"/>
        </w:rPr>
        <w:t xml:space="preserve"> </w:t>
      </w:r>
      <w:r w:rsidRPr="00150EDC">
        <w:t>carry</w:t>
      </w:r>
      <w:r w:rsidRPr="00150EDC">
        <w:rPr>
          <w:spacing w:val="-3"/>
        </w:rPr>
        <w:t xml:space="preserve"> </w:t>
      </w:r>
      <w:r w:rsidRPr="00150EDC">
        <w:t>out</w:t>
      </w:r>
      <w:r w:rsidRPr="00150EDC">
        <w:rPr>
          <w:spacing w:val="-5"/>
        </w:rPr>
        <w:t xml:space="preserve"> </w:t>
      </w:r>
      <w:r w:rsidRPr="00150EDC">
        <w:t>the</w:t>
      </w:r>
      <w:r w:rsidRPr="00150EDC">
        <w:rPr>
          <w:spacing w:val="-2"/>
        </w:rPr>
        <w:t xml:space="preserve"> </w:t>
      </w:r>
      <w:r w:rsidRPr="00150EDC">
        <w:t>tasks</w:t>
      </w:r>
      <w:r w:rsidRPr="00150EDC">
        <w:rPr>
          <w:spacing w:val="-3"/>
        </w:rPr>
        <w:t xml:space="preserve"> </w:t>
      </w:r>
      <w:r w:rsidRPr="00150EDC">
        <w:t>assigned</w:t>
      </w:r>
      <w:r w:rsidRPr="00150EDC">
        <w:rPr>
          <w:spacing w:val="-2"/>
        </w:rPr>
        <w:t xml:space="preserve"> </w:t>
      </w:r>
      <w:r w:rsidRPr="00150EDC">
        <w:t>to</w:t>
      </w:r>
      <w:r w:rsidRPr="00150EDC">
        <w:rPr>
          <w:spacing w:val="-4"/>
        </w:rPr>
        <w:t xml:space="preserve"> </w:t>
      </w:r>
      <w:r w:rsidRPr="00150EDC">
        <w:t>the</w:t>
      </w:r>
      <w:r w:rsidRPr="00150EDC">
        <w:rPr>
          <w:spacing w:val="-2"/>
        </w:rPr>
        <w:t xml:space="preserve"> </w:t>
      </w:r>
      <w:r w:rsidRPr="00150EDC">
        <w:t>Key</w:t>
      </w:r>
      <w:r w:rsidRPr="00150EDC">
        <w:rPr>
          <w:spacing w:val="-3"/>
        </w:rPr>
        <w:t xml:space="preserve"> </w:t>
      </w:r>
      <w:r w:rsidRPr="00150EDC">
        <w:t>Staff</w:t>
      </w:r>
      <w:r w:rsidRPr="00150EDC">
        <w:rPr>
          <w:spacing w:val="-2"/>
        </w:rPr>
        <w:t xml:space="preserve"> </w:t>
      </w:r>
      <w:r w:rsidRPr="00150EDC">
        <w:t>whom</w:t>
      </w:r>
      <w:r w:rsidRPr="00150EDC">
        <w:rPr>
          <w:spacing w:val="-1"/>
        </w:rPr>
        <w:t xml:space="preserve"> </w:t>
      </w:r>
      <w:r w:rsidRPr="00150EDC">
        <w:t>he</w:t>
      </w:r>
      <w:r w:rsidRPr="00150EDC">
        <w:rPr>
          <w:spacing w:val="-4"/>
        </w:rPr>
        <w:t xml:space="preserve"> </w:t>
      </w:r>
      <w:r w:rsidRPr="00150EDC">
        <w:t>or she has replaced.</w:t>
      </w:r>
    </w:p>
    <w:p w14:paraId="56AE6703" w14:textId="77777777" w:rsidR="004C7180" w:rsidRPr="00150EDC" w:rsidRDefault="004C7180">
      <w:pPr>
        <w:pStyle w:val="BodyText"/>
        <w:rPr>
          <w:sz w:val="26"/>
        </w:rPr>
      </w:pPr>
    </w:p>
    <w:p w14:paraId="7BB2C410" w14:textId="77777777" w:rsidR="004C7180" w:rsidRPr="00150EDC" w:rsidRDefault="00CF0754" w:rsidP="00B320C7">
      <w:pPr>
        <w:pStyle w:val="ListParagraph"/>
        <w:numPr>
          <w:ilvl w:val="1"/>
          <w:numId w:val="50"/>
        </w:numPr>
        <w:tabs>
          <w:tab w:val="left" w:pos="2119"/>
        </w:tabs>
        <w:spacing w:before="217" w:line="276" w:lineRule="auto"/>
        <w:ind w:left="2119" w:right="1679" w:hanging="720"/>
        <w:rPr>
          <w:sz w:val="24"/>
        </w:rPr>
      </w:pPr>
      <w:r w:rsidRPr="00150EDC">
        <w:rPr>
          <w:sz w:val="24"/>
        </w:rPr>
        <w:t>The Buyer may require the Supplier to remove or procure that any Subcontractor shall remove any Key Staff that the Buyer considers in any respect</w:t>
      </w:r>
      <w:r w:rsidRPr="00150EDC">
        <w:rPr>
          <w:spacing w:val="-4"/>
          <w:sz w:val="24"/>
        </w:rPr>
        <w:t xml:space="preserve"> </w:t>
      </w:r>
      <w:r w:rsidRPr="00150EDC">
        <w:rPr>
          <w:sz w:val="24"/>
        </w:rPr>
        <w:t>unsatisfactory.</w:t>
      </w:r>
      <w:r w:rsidRPr="00150EDC">
        <w:rPr>
          <w:spacing w:val="-2"/>
          <w:sz w:val="24"/>
        </w:rPr>
        <w:t xml:space="preserve"> </w:t>
      </w:r>
      <w:r w:rsidRPr="00150EDC">
        <w:rPr>
          <w:sz w:val="24"/>
        </w:rPr>
        <w:t>The</w:t>
      </w:r>
      <w:r w:rsidRPr="00150EDC">
        <w:rPr>
          <w:spacing w:val="-2"/>
          <w:sz w:val="24"/>
        </w:rPr>
        <w:t xml:space="preserve"> </w:t>
      </w:r>
      <w:r w:rsidRPr="00150EDC">
        <w:rPr>
          <w:sz w:val="24"/>
        </w:rPr>
        <w:t>Buyer</w:t>
      </w:r>
      <w:r w:rsidRPr="00150EDC">
        <w:rPr>
          <w:spacing w:val="-4"/>
          <w:sz w:val="24"/>
        </w:rPr>
        <w:t xml:space="preserve"> </w:t>
      </w:r>
      <w:r w:rsidRPr="00150EDC">
        <w:rPr>
          <w:sz w:val="24"/>
        </w:rPr>
        <w:t>shall</w:t>
      </w:r>
      <w:r w:rsidRPr="00150EDC">
        <w:rPr>
          <w:spacing w:val="-3"/>
          <w:sz w:val="24"/>
        </w:rPr>
        <w:t xml:space="preserve"> </w:t>
      </w:r>
      <w:r w:rsidRPr="00150EDC">
        <w:rPr>
          <w:sz w:val="24"/>
        </w:rPr>
        <w:t>not</w:t>
      </w:r>
      <w:r w:rsidRPr="00150EDC">
        <w:rPr>
          <w:spacing w:val="-2"/>
          <w:sz w:val="24"/>
        </w:rPr>
        <w:t xml:space="preserve"> </w:t>
      </w:r>
      <w:r w:rsidRPr="00150EDC">
        <w:rPr>
          <w:sz w:val="24"/>
        </w:rPr>
        <w:t>be</w:t>
      </w:r>
      <w:r w:rsidRPr="00150EDC">
        <w:rPr>
          <w:spacing w:val="-2"/>
          <w:sz w:val="24"/>
        </w:rPr>
        <w:t xml:space="preserve"> </w:t>
      </w:r>
      <w:r w:rsidRPr="00150EDC">
        <w:rPr>
          <w:sz w:val="24"/>
        </w:rPr>
        <w:t>liable</w:t>
      </w:r>
      <w:r w:rsidRPr="00150EDC">
        <w:rPr>
          <w:spacing w:val="-4"/>
          <w:sz w:val="24"/>
        </w:rPr>
        <w:t xml:space="preserve"> </w:t>
      </w:r>
      <w:r w:rsidRPr="00150EDC">
        <w:rPr>
          <w:sz w:val="24"/>
        </w:rPr>
        <w:t>for</w:t>
      </w:r>
      <w:r w:rsidRPr="00150EDC">
        <w:rPr>
          <w:spacing w:val="-4"/>
          <w:sz w:val="24"/>
        </w:rPr>
        <w:t xml:space="preserve"> </w:t>
      </w:r>
      <w:r w:rsidRPr="00150EDC">
        <w:rPr>
          <w:sz w:val="24"/>
        </w:rPr>
        <w:t>the</w:t>
      </w:r>
      <w:r w:rsidRPr="00150EDC">
        <w:rPr>
          <w:spacing w:val="-2"/>
          <w:sz w:val="24"/>
        </w:rPr>
        <w:t xml:space="preserve"> </w:t>
      </w:r>
      <w:r w:rsidRPr="00150EDC">
        <w:rPr>
          <w:sz w:val="24"/>
        </w:rPr>
        <w:t>cost</w:t>
      </w:r>
      <w:r w:rsidRPr="00150EDC">
        <w:rPr>
          <w:spacing w:val="-2"/>
          <w:sz w:val="24"/>
        </w:rPr>
        <w:t xml:space="preserve"> </w:t>
      </w:r>
      <w:r w:rsidRPr="00150EDC">
        <w:rPr>
          <w:sz w:val="24"/>
        </w:rPr>
        <w:t>of</w:t>
      </w:r>
      <w:r w:rsidRPr="00150EDC">
        <w:rPr>
          <w:spacing w:val="-4"/>
          <w:sz w:val="24"/>
        </w:rPr>
        <w:t xml:space="preserve"> </w:t>
      </w:r>
      <w:r w:rsidRPr="00150EDC">
        <w:rPr>
          <w:sz w:val="24"/>
        </w:rPr>
        <w:t>replacing any Key Staff.</w:t>
      </w:r>
    </w:p>
    <w:p w14:paraId="1418A22F" w14:textId="77777777" w:rsidR="004C7180" w:rsidRPr="00150EDC" w:rsidRDefault="004C7180">
      <w:pPr>
        <w:spacing w:line="276" w:lineRule="auto"/>
        <w:rPr>
          <w:sz w:val="24"/>
        </w:rPr>
        <w:sectPr w:rsidR="004C7180" w:rsidRPr="00150EDC">
          <w:pgSz w:w="11910" w:h="16840"/>
          <w:pgMar w:top="1380" w:right="0" w:bottom="1380" w:left="40" w:header="715" w:footer="1192" w:gutter="0"/>
          <w:cols w:space="720"/>
        </w:sectPr>
      </w:pPr>
    </w:p>
    <w:p w14:paraId="1012AF08" w14:textId="77777777" w:rsidR="004C7180" w:rsidRPr="00150EDC" w:rsidRDefault="004C7180">
      <w:pPr>
        <w:pStyle w:val="BodyText"/>
        <w:rPr>
          <w:sz w:val="20"/>
        </w:rPr>
      </w:pPr>
    </w:p>
    <w:p w14:paraId="37D18419" w14:textId="77777777" w:rsidR="004C7180" w:rsidRPr="00150EDC" w:rsidRDefault="004C7180">
      <w:pPr>
        <w:pStyle w:val="BodyText"/>
        <w:rPr>
          <w:sz w:val="20"/>
        </w:rPr>
      </w:pPr>
    </w:p>
    <w:p w14:paraId="7BC583C7" w14:textId="77777777" w:rsidR="004C7180" w:rsidRPr="00150EDC" w:rsidRDefault="004C7180">
      <w:pPr>
        <w:pStyle w:val="BodyText"/>
        <w:spacing w:before="1"/>
        <w:rPr>
          <w:sz w:val="25"/>
        </w:rPr>
      </w:pPr>
    </w:p>
    <w:p w14:paraId="635D5B2F" w14:textId="77777777" w:rsidR="004C7180" w:rsidRPr="00150EDC" w:rsidRDefault="00CF0754">
      <w:pPr>
        <w:pStyle w:val="Heading1"/>
        <w:spacing w:before="88" w:line="242" w:lineRule="auto"/>
        <w:ind w:left="1400" w:firstLine="0"/>
      </w:pPr>
      <w:bookmarkStart w:id="40" w:name="DPS_Order_Schedule_8_-_Business_Continui"/>
      <w:bookmarkEnd w:id="40"/>
      <w:r w:rsidRPr="00150EDC">
        <w:t>Order</w:t>
      </w:r>
      <w:r w:rsidRPr="00150EDC">
        <w:rPr>
          <w:spacing w:val="-8"/>
        </w:rPr>
        <w:t xml:space="preserve"> </w:t>
      </w:r>
      <w:r w:rsidRPr="00150EDC">
        <w:t>Schedule</w:t>
      </w:r>
      <w:r w:rsidRPr="00150EDC">
        <w:rPr>
          <w:spacing w:val="-8"/>
        </w:rPr>
        <w:t xml:space="preserve"> </w:t>
      </w:r>
      <w:r w:rsidRPr="00150EDC">
        <w:t>8</w:t>
      </w:r>
      <w:r w:rsidRPr="00150EDC">
        <w:rPr>
          <w:spacing w:val="-8"/>
        </w:rPr>
        <w:t xml:space="preserve"> </w:t>
      </w:r>
      <w:r w:rsidRPr="00150EDC">
        <w:t>(Business</w:t>
      </w:r>
      <w:r w:rsidRPr="00150EDC">
        <w:rPr>
          <w:spacing w:val="-5"/>
        </w:rPr>
        <w:t xml:space="preserve"> </w:t>
      </w:r>
      <w:r w:rsidRPr="00150EDC">
        <w:t>Continuity</w:t>
      </w:r>
      <w:r w:rsidRPr="00150EDC">
        <w:rPr>
          <w:spacing w:val="-8"/>
        </w:rPr>
        <w:t xml:space="preserve"> </w:t>
      </w:r>
      <w:r w:rsidRPr="00150EDC">
        <w:t>and</w:t>
      </w:r>
      <w:r w:rsidRPr="00150EDC">
        <w:rPr>
          <w:spacing w:val="-6"/>
        </w:rPr>
        <w:t xml:space="preserve"> </w:t>
      </w:r>
      <w:r w:rsidRPr="00150EDC">
        <w:t xml:space="preserve">Disaster </w:t>
      </w:r>
      <w:r w:rsidRPr="00150EDC">
        <w:rPr>
          <w:spacing w:val="-2"/>
        </w:rPr>
        <w:t>Recovery)</w:t>
      </w:r>
    </w:p>
    <w:p w14:paraId="0F7FF783" w14:textId="77777777" w:rsidR="004C7180" w:rsidRPr="00150EDC" w:rsidRDefault="00CF0754" w:rsidP="00B320C7">
      <w:pPr>
        <w:pStyle w:val="Heading4"/>
        <w:numPr>
          <w:ilvl w:val="0"/>
          <w:numId w:val="49"/>
        </w:numPr>
        <w:tabs>
          <w:tab w:val="left" w:pos="2119"/>
        </w:tabs>
        <w:spacing w:before="234"/>
        <w:ind w:left="2119" w:hanging="719"/>
        <w:jc w:val="left"/>
      </w:pPr>
      <w:r w:rsidRPr="00150EDC">
        <w:rPr>
          <w:spacing w:val="-2"/>
        </w:rPr>
        <w:t>Definitions</w:t>
      </w:r>
    </w:p>
    <w:p w14:paraId="3B472379" w14:textId="77777777" w:rsidR="004C7180" w:rsidRPr="00150EDC" w:rsidRDefault="004C7180">
      <w:pPr>
        <w:pStyle w:val="BodyText"/>
        <w:spacing w:before="10"/>
        <w:rPr>
          <w:b/>
          <w:sz w:val="20"/>
        </w:rPr>
      </w:pPr>
    </w:p>
    <w:p w14:paraId="3328AC5A" w14:textId="77777777" w:rsidR="004C7180" w:rsidRPr="00150EDC" w:rsidRDefault="00CF0754" w:rsidP="00B320C7">
      <w:pPr>
        <w:pStyle w:val="ListParagraph"/>
        <w:numPr>
          <w:ilvl w:val="1"/>
          <w:numId w:val="49"/>
        </w:numPr>
        <w:tabs>
          <w:tab w:val="left" w:pos="2120"/>
        </w:tabs>
        <w:ind w:left="2120" w:right="1738" w:hanging="720"/>
        <w:jc w:val="left"/>
        <w:rPr>
          <w:sz w:val="24"/>
        </w:rPr>
      </w:pPr>
      <w:r w:rsidRPr="00150EDC">
        <w:rPr>
          <w:sz w:val="24"/>
        </w:rPr>
        <w:t>In</w:t>
      </w:r>
      <w:r w:rsidRPr="00150EDC">
        <w:rPr>
          <w:spacing w:val="-3"/>
          <w:sz w:val="24"/>
        </w:rPr>
        <w:t xml:space="preserve"> </w:t>
      </w:r>
      <w:r w:rsidRPr="00150EDC">
        <w:rPr>
          <w:sz w:val="24"/>
        </w:rPr>
        <w:t>this</w:t>
      </w:r>
      <w:r w:rsidRPr="00150EDC">
        <w:rPr>
          <w:spacing w:val="-6"/>
          <w:sz w:val="24"/>
        </w:rPr>
        <w:t xml:space="preserve"> </w:t>
      </w:r>
      <w:r w:rsidRPr="00150EDC">
        <w:rPr>
          <w:sz w:val="24"/>
        </w:rPr>
        <w:t>Schedule,</w:t>
      </w:r>
      <w:r w:rsidRPr="00150EDC">
        <w:rPr>
          <w:spacing w:val="-3"/>
          <w:sz w:val="24"/>
        </w:rPr>
        <w:t xml:space="preserve"> </w:t>
      </w:r>
      <w:r w:rsidRPr="00150EDC">
        <w:rPr>
          <w:sz w:val="24"/>
        </w:rPr>
        <w:t>the</w:t>
      </w:r>
      <w:r w:rsidRPr="00150EDC">
        <w:rPr>
          <w:spacing w:val="-3"/>
          <w:sz w:val="24"/>
        </w:rPr>
        <w:t xml:space="preserve"> </w:t>
      </w:r>
      <w:r w:rsidRPr="00150EDC">
        <w:rPr>
          <w:sz w:val="24"/>
        </w:rPr>
        <w:t>following</w:t>
      </w:r>
      <w:r w:rsidRPr="00150EDC">
        <w:rPr>
          <w:spacing w:val="-3"/>
          <w:sz w:val="24"/>
        </w:rPr>
        <w:t xml:space="preserve"> </w:t>
      </w:r>
      <w:r w:rsidRPr="00150EDC">
        <w:rPr>
          <w:sz w:val="24"/>
        </w:rPr>
        <w:t>words</w:t>
      </w:r>
      <w:r w:rsidRPr="00150EDC">
        <w:rPr>
          <w:spacing w:val="-4"/>
          <w:sz w:val="24"/>
        </w:rPr>
        <w:t xml:space="preserve"> </w:t>
      </w:r>
      <w:r w:rsidRPr="00150EDC">
        <w:rPr>
          <w:sz w:val="24"/>
        </w:rPr>
        <w:t>shall</w:t>
      </w:r>
      <w:r w:rsidRPr="00150EDC">
        <w:rPr>
          <w:spacing w:val="-4"/>
          <w:sz w:val="24"/>
        </w:rPr>
        <w:t xml:space="preserve"> </w:t>
      </w:r>
      <w:r w:rsidRPr="00150EDC">
        <w:rPr>
          <w:sz w:val="24"/>
        </w:rPr>
        <w:t>have</w:t>
      </w:r>
      <w:r w:rsidRPr="00150EDC">
        <w:rPr>
          <w:spacing w:val="-3"/>
          <w:sz w:val="24"/>
        </w:rPr>
        <w:t xml:space="preserve"> </w:t>
      </w:r>
      <w:r w:rsidRPr="00150EDC">
        <w:rPr>
          <w:sz w:val="24"/>
        </w:rPr>
        <w:t>the</w:t>
      </w:r>
      <w:r w:rsidRPr="00150EDC">
        <w:rPr>
          <w:spacing w:val="-3"/>
          <w:sz w:val="24"/>
        </w:rPr>
        <w:t xml:space="preserve"> </w:t>
      </w:r>
      <w:r w:rsidRPr="00150EDC">
        <w:rPr>
          <w:sz w:val="24"/>
        </w:rPr>
        <w:t>following</w:t>
      </w:r>
      <w:r w:rsidRPr="00150EDC">
        <w:rPr>
          <w:spacing w:val="-5"/>
          <w:sz w:val="24"/>
        </w:rPr>
        <w:t xml:space="preserve"> </w:t>
      </w:r>
      <w:r w:rsidRPr="00150EDC">
        <w:rPr>
          <w:sz w:val="24"/>
        </w:rPr>
        <w:t>meanings</w:t>
      </w:r>
      <w:r w:rsidRPr="00150EDC">
        <w:rPr>
          <w:spacing w:val="-4"/>
          <w:sz w:val="24"/>
        </w:rPr>
        <w:t xml:space="preserve"> </w:t>
      </w:r>
      <w:r w:rsidRPr="00150EDC">
        <w:rPr>
          <w:sz w:val="24"/>
        </w:rPr>
        <w:t>and they shall supplement Joint Schedule 1 (Definitions):</w:t>
      </w:r>
    </w:p>
    <w:p w14:paraId="3A68D8E7" w14:textId="77777777" w:rsidR="004C7180" w:rsidRPr="00150EDC" w:rsidRDefault="004C7180">
      <w:pPr>
        <w:pStyle w:val="BodyText"/>
        <w:spacing w:before="1"/>
        <w:rPr>
          <w:sz w:val="11"/>
        </w:rPr>
      </w:pPr>
    </w:p>
    <w:tbl>
      <w:tblPr>
        <w:tblW w:w="0" w:type="auto"/>
        <w:tblInd w:w="2372" w:type="dxa"/>
        <w:tblLayout w:type="fixed"/>
        <w:tblCellMar>
          <w:left w:w="0" w:type="dxa"/>
          <w:right w:w="0" w:type="dxa"/>
        </w:tblCellMar>
        <w:tblLook w:val="01E0" w:firstRow="1" w:lastRow="1" w:firstColumn="1" w:lastColumn="1" w:noHBand="0" w:noVBand="0"/>
      </w:tblPr>
      <w:tblGrid>
        <w:gridCol w:w="2066"/>
        <w:gridCol w:w="6087"/>
      </w:tblGrid>
      <w:tr w:rsidR="004569EE" w:rsidRPr="007D3144" w14:paraId="64761EA4" w14:textId="77777777">
        <w:trPr>
          <w:trHeight w:val="4736"/>
        </w:trPr>
        <w:tc>
          <w:tcPr>
            <w:tcW w:w="2066" w:type="dxa"/>
          </w:tcPr>
          <w:p w14:paraId="6355F872" w14:textId="77777777" w:rsidR="004C7180" w:rsidRPr="00150EDC" w:rsidRDefault="00CF0754">
            <w:pPr>
              <w:pStyle w:val="TableParagraph"/>
              <w:spacing w:before="0" w:line="240" w:lineRule="auto"/>
              <w:ind w:left="50" w:right="12"/>
              <w:rPr>
                <w:b/>
                <w:sz w:val="24"/>
              </w:rPr>
            </w:pPr>
            <w:r w:rsidRPr="00150EDC">
              <w:rPr>
                <w:b/>
                <w:spacing w:val="-2"/>
                <w:sz w:val="24"/>
              </w:rPr>
              <w:t>“Annual Revenue”</w:t>
            </w:r>
          </w:p>
        </w:tc>
        <w:tc>
          <w:tcPr>
            <w:tcW w:w="6087" w:type="dxa"/>
          </w:tcPr>
          <w:p w14:paraId="74292825" w14:textId="77777777" w:rsidR="004C7180" w:rsidRPr="00150EDC" w:rsidRDefault="00CF0754">
            <w:pPr>
              <w:pStyle w:val="TableParagraph"/>
              <w:spacing w:before="93" w:line="240" w:lineRule="auto"/>
              <w:ind w:left="141" w:right="132"/>
              <w:rPr>
                <w:sz w:val="24"/>
              </w:rPr>
            </w:pPr>
            <w:r w:rsidRPr="00150EDC">
              <w:rPr>
                <w:sz w:val="24"/>
              </w:rPr>
              <w:t>means, for the purposes of determining whether an entity is a Public Sector Dependent Supplier, the audited consolidated aggregate revenue (including share of revenue of joint ventures and Associates) reported by the Supplier or, as appropriate, the Supplier</w:t>
            </w:r>
            <w:r w:rsidRPr="00150EDC">
              <w:rPr>
                <w:spacing w:val="-8"/>
                <w:sz w:val="24"/>
              </w:rPr>
              <w:t xml:space="preserve"> </w:t>
            </w:r>
            <w:r w:rsidRPr="00150EDC">
              <w:rPr>
                <w:sz w:val="24"/>
              </w:rPr>
              <w:t>Group</w:t>
            </w:r>
            <w:r w:rsidRPr="00150EDC">
              <w:rPr>
                <w:spacing w:val="-6"/>
                <w:sz w:val="24"/>
              </w:rPr>
              <w:t xml:space="preserve"> </w:t>
            </w:r>
            <w:r w:rsidRPr="00150EDC">
              <w:rPr>
                <w:sz w:val="24"/>
              </w:rPr>
              <w:t>in</w:t>
            </w:r>
            <w:r w:rsidRPr="00150EDC">
              <w:rPr>
                <w:spacing w:val="-4"/>
                <w:sz w:val="24"/>
              </w:rPr>
              <w:t xml:space="preserve"> </w:t>
            </w:r>
            <w:r w:rsidRPr="00150EDC">
              <w:rPr>
                <w:sz w:val="24"/>
              </w:rPr>
              <w:t>its</w:t>
            </w:r>
            <w:r w:rsidRPr="00150EDC">
              <w:rPr>
                <w:spacing w:val="-7"/>
                <w:sz w:val="24"/>
              </w:rPr>
              <w:t xml:space="preserve"> </w:t>
            </w:r>
            <w:r w:rsidRPr="00150EDC">
              <w:rPr>
                <w:sz w:val="24"/>
              </w:rPr>
              <w:t>most</w:t>
            </w:r>
            <w:r w:rsidRPr="00150EDC">
              <w:rPr>
                <w:spacing w:val="-4"/>
                <w:sz w:val="24"/>
              </w:rPr>
              <w:t xml:space="preserve"> </w:t>
            </w:r>
            <w:r w:rsidRPr="00150EDC">
              <w:rPr>
                <w:sz w:val="24"/>
              </w:rPr>
              <w:t>recent</w:t>
            </w:r>
            <w:r w:rsidRPr="00150EDC">
              <w:rPr>
                <w:spacing w:val="-5"/>
                <w:sz w:val="24"/>
              </w:rPr>
              <w:t xml:space="preserve"> </w:t>
            </w:r>
            <w:r w:rsidRPr="00150EDC">
              <w:rPr>
                <w:sz w:val="24"/>
              </w:rPr>
              <w:t>published</w:t>
            </w:r>
            <w:r w:rsidRPr="00150EDC">
              <w:rPr>
                <w:spacing w:val="-6"/>
                <w:sz w:val="24"/>
              </w:rPr>
              <w:t xml:space="preserve"> </w:t>
            </w:r>
            <w:r w:rsidRPr="00150EDC">
              <w:rPr>
                <w:sz w:val="24"/>
              </w:rPr>
              <w:t>accounts, subject to the following methodology:</w:t>
            </w:r>
          </w:p>
          <w:p w14:paraId="69F60182" w14:textId="77777777" w:rsidR="004C7180" w:rsidRPr="00150EDC" w:rsidRDefault="00CF0754">
            <w:pPr>
              <w:pStyle w:val="TableParagraph"/>
              <w:spacing w:before="199" w:line="240" w:lineRule="auto"/>
              <w:ind w:left="141" w:right="47"/>
              <w:jc w:val="both"/>
              <w:rPr>
                <w:sz w:val="24"/>
              </w:rPr>
            </w:pPr>
            <w:r w:rsidRPr="00150EDC">
              <w:rPr>
                <w:sz w:val="24"/>
              </w:rPr>
              <w:t>figures for accounting periods of other than 12 months should be scaled pro rata to produce a proforma figure for a 12 month period; and</w:t>
            </w:r>
          </w:p>
          <w:p w14:paraId="1DA4D1FD" w14:textId="77777777" w:rsidR="004C7180" w:rsidRPr="00150EDC" w:rsidRDefault="004C7180">
            <w:pPr>
              <w:pStyle w:val="TableParagraph"/>
              <w:spacing w:before="10" w:line="240" w:lineRule="auto"/>
              <w:ind w:left="0"/>
              <w:rPr>
                <w:sz w:val="20"/>
              </w:rPr>
            </w:pPr>
          </w:p>
          <w:p w14:paraId="571890C1" w14:textId="77777777" w:rsidR="004C7180" w:rsidRPr="00150EDC" w:rsidRDefault="00CF0754">
            <w:pPr>
              <w:pStyle w:val="TableParagraph"/>
              <w:spacing w:before="0" w:line="240" w:lineRule="auto"/>
              <w:ind w:left="141" w:right="132"/>
              <w:rPr>
                <w:sz w:val="24"/>
              </w:rPr>
            </w:pPr>
            <w:r w:rsidRPr="00150EDC">
              <w:rPr>
                <w:sz w:val="24"/>
              </w:rPr>
              <w:t>where</w:t>
            </w:r>
            <w:r w:rsidRPr="00150EDC">
              <w:rPr>
                <w:spacing w:val="-4"/>
                <w:sz w:val="24"/>
              </w:rPr>
              <w:t xml:space="preserve"> </w:t>
            </w:r>
            <w:r w:rsidRPr="00150EDC">
              <w:rPr>
                <w:sz w:val="24"/>
              </w:rPr>
              <w:t>the</w:t>
            </w:r>
            <w:r w:rsidRPr="00150EDC">
              <w:rPr>
                <w:spacing w:val="-4"/>
                <w:sz w:val="24"/>
              </w:rPr>
              <w:t xml:space="preserve"> </w:t>
            </w:r>
            <w:r w:rsidRPr="00150EDC">
              <w:rPr>
                <w:sz w:val="24"/>
              </w:rPr>
              <w:t>Supplier,</w:t>
            </w:r>
            <w:r w:rsidRPr="00150EDC">
              <w:rPr>
                <w:spacing w:val="-7"/>
                <w:sz w:val="24"/>
              </w:rPr>
              <w:t xml:space="preserve"> </w:t>
            </w:r>
            <w:r w:rsidRPr="00150EDC">
              <w:rPr>
                <w:sz w:val="24"/>
              </w:rPr>
              <w:t>the</w:t>
            </w:r>
            <w:r w:rsidRPr="00150EDC">
              <w:rPr>
                <w:spacing w:val="-4"/>
                <w:sz w:val="24"/>
              </w:rPr>
              <w:t xml:space="preserve"> </w:t>
            </w:r>
            <w:r w:rsidRPr="00150EDC">
              <w:rPr>
                <w:sz w:val="24"/>
              </w:rPr>
              <w:t>Supplier</w:t>
            </w:r>
            <w:r w:rsidRPr="00150EDC">
              <w:rPr>
                <w:spacing w:val="-6"/>
                <w:sz w:val="24"/>
              </w:rPr>
              <w:t xml:space="preserve"> </w:t>
            </w:r>
            <w:r w:rsidRPr="00150EDC">
              <w:rPr>
                <w:sz w:val="24"/>
              </w:rPr>
              <w:t>Group</w:t>
            </w:r>
            <w:r w:rsidRPr="00150EDC">
              <w:rPr>
                <w:spacing w:val="-6"/>
                <w:sz w:val="24"/>
              </w:rPr>
              <w:t xml:space="preserve"> </w:t>
            </w:r>
            <w:r w:rsidRPr="00150EDC">
              <w:rPr>
                <w:sz w:val="24"/>
              </w:rPr>
              <w:t>and/or</w:t>
            </w:r>
            <w:r w:rsidRPr="00150EDC">
              <w:rPr>
                <w:spacing w:val="-6"/>
                <w:sz w:val="24"/>
              </w:rPr>
              <w:t xml:space="preserve"> </w:t>
            </w:r>
            <w:r w:rsidRPr="00150EDC">
              <w:rPr>
                <w:sz w:val="24"/>
              </w:rPr>
              <w:t>their joint ventures and Associates report in a foreign currency, revenue should be converted to British Pound Sterling at the closing exchange rate on the Accounting Reference Date;</w:t>
            </w:r>
          </w:p>
        </w:tc>
      </w:tr>
      <w:tr w:rsidR="004569EE" w:rsidRPr="007D3144" w14:paraId="1452A0E4" w14:textId="77777777">
        <w:trPr>
          <w:trHeight w:val="1224"/>
        </w:trPr>
        <w:tc>
          <w:tcPr>
            <w:tcW w:w="2066" w:type="dxa"/>
          </w:tcPr>
          <w:p w14:paraId="22827450" w14:textId="77777777" w:rsidR="004C7180" w:rsidRPr="00150EDC" w:rsidRDefault="00CF0754">
            <w:pPr>
              <w:pStyle w:val="TableParagraph"/>
              <w:spacing w:before="56" w:line="240" w:lineRule="auto"/>
              <w:ind w:left="50" w:right="521"/>
              <w:jc w:val="both"/>
              <w:rPr>
                <w:b/>
                <w:sz w:val="24"/>
              </w:rPr>
            </w:pPr>
            <w:r w:rsidRPr="00150EDC">
              <w:rPr>
                <w:b/>
                <w:spacing w:val="-2"/>
                <w:sz w:val="24"/>
              </w:rPr>
              <w:t xml:space="preserve">“Appropriate </w:t>
            </w:r>
            <w:r w:rsidRPr="00150EDC">
              <w:rPr>
                <w:b/>
                <w:sz w:val="24"/>
              </w:rPr>
              <w:t>Authority”</w:t>
            </w:r>
            <w:r w:rsidRPr="00150EDC">
              <w:rPr>
                <w:b/>
                <w:spacing w:val="-17"/>
                <w:sz w:val="24"/>
              </w:rPr>
              <w:t xml:space="preserve"> </w:t>
            </w:r>
            <w:r w:rsidRPr="00150EDC">
              <w:rPr>
                <w:b/>
                <w:sz w:val="24"/>
              </w:rPr>
              <w:t xml:space="preserve">or </w:t>
            </w:r>
            <w:r w:rsidRPr="00150EDC">
              <w:rPr>
                <w:b/>
                <w:spacing w:val="-2"/>
                <w:sz w:val="24"/>
              </w:rPr>
              <w:t>“Appropriate Authorities”</w:t>
            </w:r>
          </w:p>
        </w:tc>
        <w:tc>
          <w:tcPr>
            <w:tcW w:w="6087" w:type="dxa"/>
          </w:tcPr>
          <w:p w14:paraId="01B4E8C6" w14:textId="77777777" w:rsidR="004C7180" w:rsidRPr="00150EDC" w:rsidRDefault="00CF0754">
            <w:pPr>
              <w:pStyle w:val="TableParagraph"/>
              <w:spacing w:before="56" w:line="240" w:lineRule="auto"/>
              <w:ind w:left="141" w:right="132"/>
              <w:rPr>
                <w:sz w:val="24"/>
              </w:rPr>
            </w:pPr>
            <w:r w:rsidRPr="00150EDC">
              <w:rPr>
                <w:sz w:val="24"/>
              </w:rPr>
              <w:t>means</w:t>
            </w:r>
            <w:r w:rsidRPr="00150EDC">
              <w:rPr>
                <w:spacing w:val="-4"/>
                <w:sz w:val="24"/>
              </w:rPr>
              <w:t xml:space="preserve"> </w:t>
            </w:r>
            <w:r w:rsidRPr="00150EDC">
              <w:rPr>
                <w:sz w:val="24"/>
              </w:rPr>
              <w:t>the</w:t>
            </w:r>
            <w:r w:rsidRPr="00150EDC">
              <w:rPr>
                <w:spacing w:val="-5"/>
                <w:sz w:val="24"/>
              </w:rPr>
              <w:t xml:space="preserve"> </w:t>
            </w:r>
            <w:r w:rsidRPr="00150EDC">
              <w:rPr>
                <w:sz w:val="24"/>
              </w:rPr>
              <w:t>Buyer</w:t>
            </w:r>
            <w:r w:rsidRPr="00150EDC">
              <w:rPr>
                <w:spacing w:val="-7"/>
                <w:sz w:val="24"/>
              </w:rPr>
              <w:t xml:space="preserve"> </w:t>
            </w:r>
            <w:r w:rsidRPr="00150EDC">
              <w:rPr>
                <w:sz w:val="24"/>
              </w:rPr>
              <w:t>and</w:t>
            </w:r>
            <w:r w:rsidRPr="00150EDC">
              <w:rPr>
                <w:spacing w:val="-5"/>
                <w:sz w:val="24"/>
              </w:rPr>
              <w:t xml:space="preserve"> </w:t>
            </w:r>
            <w:r w:rsidRPr="00150EDC">
              <w:rPr>
                <w:sz w:val="24"/>
              </w:rPr>
              <w:t>the</w:t>
            </w:r>
            <w:r w:rsidRPr="00150EDC">
              <w:rPr>
                <w:spacing w:val="-3"/>
                <w:sz w:val="24"/>
              </w:rPr>
              <w:t xml:space="preserve"> </w:t>
            </w:r>
            <w:r w:rsidRPr="00150EDC">
              <w:rPr>
                <w:sz w:val="24"/>
              </w:rPr>
              <w:t>Cabinet</w:t>
            </w:r>
            <w:r w:rsidRPr="00150EDC">
              <w:rPr>
                <w:spacing w:val="-6"/>
                <w:sz w:val="24"/>
              </w:rPr>
              <w:t xml:space="preserve"> </w:t>
            </w:r>
            <w:r w:rsidRPr="00150EDC">
              <w:rPr>
                <w:sz w:val="24"/>
              </w:rPr>
              <w:t>Office</w:t>
            </w:r>
            <w:r w:rsidRPr="00150EDC">
              <w:rPr>
                <w:spacing w:val="-3"/>
                <w:sz w:val="24"/>
              </w:rPr>
              <w:t xml:space="preserve"> </w:t>
            </w:r>
            <w:r w:rsidRPr="00150EDC">
              <w:rPr>
                <w:sz w:val="24"/>
              </w:rPr>
              <w:t>Markets</w:t>
            </w:r>
            <w:r w:rsidRPr="00150EDC">
              <w:rPr>
                <w:spacing w:val="-4"/>
                <w:sz w:val="24"/>
              </w:rPr>
              <w:t xml:space="preserve"> </w:t>
            </w:r>
            <w:r w:rsidRPr="00150EDC">
              <w:rPr>
                <w:sz w:val="24"/>
              </w:rPr>
              <w:t xml:space="preserve">and Suppliers Team or, where the Supplier is a Strategic Supplier, the Cabinet Office Markets and Suppliers </w:t>
            </w:r>
            <w:r w:rsidRPr="00150EDC">
              <w:rPr>
                <w:spacing w:val="-2"/>
                <w:sz w:val="24"/>
              </w:rPr>
              <w:t>Team;</w:t>
            </w:r>
          </w:p>
        </w:tc>
      </w:tr>
      <w:tr w:rsidR="004569EE" w:rsidRPr="007D3144" w14:paraId="0DCEF74B" w14:textId="77777777">
        <w:trPr>
          <w:trHeight w:val="1776"/>
        </w:trPr>
        <w:tc>
          <w:tcPr>
            <w:tcW w:w="2066" w:type="dxa"/>
          </w:tcPr>
          <w:p w14:paraId="40F2FDB5" w14:textId="77777777" w:rsidR="004C7180" w:rsidRPr="00150EDC" w:rsidRDefault="00CF0754">
            <w:pPr>
              <w:pStyle w:val="TableParagraph"/>
              <w:spacing w:before="56" w:line="240" w:lineRule="auto"/>
              <w:ind w:left="50"/>
              <w:rPr>
                <w:b/>
                <w:sz w:val="24"/>
              </w:rPr>
            </w:pPr>
            <w:r w:rsidRPr="00150EDC">
              <w:rPr>
                <w:b/>
                <w:spacing w:val="-2"/>
                <w:sz w:val="24"/>
              </w:rPr>
              <w:t>“Associates”</w:t>
            </w:r>
          </w:p>
        </w:tc>
        <w:tc>
          <w:tcPr>
            <w:tcW w:w="6087" w:type="dxa"/>
          </w:tcPr>
          <w:p w14:paraId="44FBE00C" w14:textId="77777777" w:rsidR="004C7180" w:rsidRPr="00150EDC" w:rsidRDefault="00CF0754">
            <w:pPr>
              <w:pStyle w:val="TableParagraph"/>
              <w:spacing w:before="56" w:line="240" w:lineRule="auto"/>
              <w:ind w:left="141"/>
              <w:rPr>
                <w:sz w:val="24"/>
              </w:rPr>
            </w:pPr>
            <w:r w:rsidRPr="00150EDC">
              <w:rPr>
                <w:sz w:val="24"/>
              </w:rPr>
              <w:t>means, in relation to an entity, an undertaking in which the</w:t>
            </w:r>
            <w:r w:rsidRPr="00150EDC">
              <w:rPr>
                <w:spacing w:val="-1"/>
                <w:sz w:val="24"/>
              </w:rPr>
              <w:t xml:space="preserve"> </w:t>
            </w:r>
            <w:r w:rsidRPr="00150EDC">
              <w:rPr>
                <w:sz w:val="24"/>
              </w:rPr>
              <w:t>entity</w:t>
            </w:r>
            <w:r w:rsidRPr="00150EDC">
              <w:rPr>
                <w:spacing w:val="-2"/>
                <w:sz w:val="24"/>
              </w:rPr>
              <w:t xml:space="preserve"> </w:t>
            </w:r>
            <w:r w:rsidRPr="00150EDC">
              <w:rPr>
                <w:sz w:val="24"/>
              </w:rPr>
              <w:t>owns,</w:t>
            </w:r>
            <w:r w:rsidRPr="00150EDC">
              <w:rPr>
                <w:spacing w:val="-2"/>
                <w:sz w:val="24"/>
              </w:rPr>
              <w:t xml:space="preserve"> </w:t>
            </w:r>
            <w:r w:rsidRPr="00150EDC">
              <w:rPr>
                <w:sz w:val="24"/>
              </w:rPr>
              <w:t>directly or</w:t>
            </w:r>
            <w:r w:rsidRPr="00150EDC">
              <w:rPr>
                <w:spacing w:val="-1"/>
                <w:sz w:val="24"/>
              </w:rPr>
              <w:t xml:space="preserve"> </w:t>
            </w:r>
            <w:r w:rsidRPr="00150EDC">
              <w:rPr>
                <w:sz w:val="24"/>
              </w:rPr>
              <w:t>indirectly,</w:t>
            </w:r>
            <w:r w:rsidRPr="00150EDC">
              <w:rPr>
                <w:spacing w:val="-2"/>
                <w:sz w:val="24"/>
              </w:rPr>
              <w:t xml:space="preserve"> </w:t>
            </w:r>
            <w:r w:rsidRPr="00150EDC">
              <w:rPr>
                <w:sz w:val="24"/>
              </w:rPr>
              <w:t>between</w:t>
            </w:r>
            <w:r w:rsidRPr="00150EDC">
              <w:rPr>
                <w:spacing w:val="-1"/>
                <w:sz w:val="24"/>
              </w:rPr>
              <w:t xml:space="preserve"> </w:t>
            </w:r>
            <w:r w:rsidRPr="00150EDC">
              <w:rPr>
                <w:sz w:val="24"/>
              </w:rPr>
              <w:t>20%</w:t>
            </w:r>
            <w:r w:rsidRPr="00150EDC">
              <w:rPr>
                <w:spacing w:val="-2"/>
                <w:sz w:val="24"/>
              </w:rPr>
              <w:t xml:space="preserve"> </w:t>
            </w:r>
            <w:r w:rsidRPr="00150EDC">
              <w:rPr>
                <w:sz w:val="24"/>
              </w:rPr>
              <w:t>and 50% of the voting rights and exercises a degree of control</w:t>
            </w:r>
            <w:r w:rsidRPr="00150EDC">
              <w:rPr>
                <w:spacing w:val="-4"/>
                <w:sz w:val="24"/>
              </w:rPr>
              <w:t xml:space="preserve"> </w:t>
            </w:r>
            <w:r w:rsidRPr="00150EDC">
              <w:rPr>
                <w:sz w:val="24"/>
              </w:rPr>
              <w:t>sufficient</w:t>
            </w:r>
            <w:r w:rsidRPr="00150EDC">
              <w:rPr>
                <w:spacing w:val="-6"/>
                <w:sz w:val="24"/>
              </w:rPr>
              <w:t xml:space="preserve"> </w:t>
            </w:r>
            <w:r w:rsidRPr="00150EDC">
              <w:rPr>
                <w:sz w:val="24"/>
              </w:rPr>
              <w:t>for</w:t>
            </w:r>
            <w:r w:rsidRPr="00150EDC">
              <w:rPr>
                <w:spacing w:val="-5"/>
                <w:sz w:val="24"/>
              </w:rPr>
              <w:t xml:space="preserve"> </w:t>
            </w:r>
            <w:r w:rsidRPr="00150EDC">
              <w:rPr>
                <w:sz w:val="24"/>
              </w:rPr>
              <w:t>the</w:t>
            </w:r>
            <w:r w:rsidRPr="00150EDC">
              <w:rPr>
                <w:spacing w:val="-3"/>
                <w:sz w:val="24"/>
              </w:rPr>
              <w:t xml:space="preserve"> </w:t>
            </w:r>
            <w:r w:rsidRPr="00150EDC">
              <w:rPr>
                <w:sz w:val="24"/>
              </w:rPr>
              <w:t>undertaking</w:t>
            </w:r>
            <w:r w:rsidRPr="00150EDC">
              <w:rPr>
                <w:spacing w:val="-3"/>
                <w:sz w:val="24"/>
              </w:rPr>
              <w:t xml:space="preserve"> </w:t>
            </w:r>
            <w:r w:rsidRPr="00150EDC">
              <w:rPr>
                <w:sz w:val="24"/>
              </w:rPr>
              <w:t>to</w:t>
            </w:r>
            <w:r w:rsidRPr="00150EDC">
              <w:rPr>
                <w:spacing w:val="-3"/>
                <w:sz w:val="24"/>
              </w:rPr>
              <w:t xml:space="preserve"> </w:t>
            </w:r>
            <w:r w:rsidRPr="00150EDC">
              <w:rPr>
                <w:sz w:val="24"/>
              </w:rPr>
              <w:t>be</w:t>
            </w:r>
            <w:r w:rsidRPr="00150EDC">
              <w:rPr>
                <w:spacing w:val="-3"/>
                <w:sz w:val="24"/>
              </w:rPr>
              <w:t xml:space="preserve"> </w:t>
            </w:r>
            <w:r w:rsidRPr="00150EDC">
              <w:rPr>
                <w:sz w:val="24"/>
              </w:rPr>
              <w:t>treated</w:t>
            </w:r>
            <w:r w:rsidRPr="00150EDC">
              <w:rPr>
                <w:spacing w:val="-5"/>
                <w:sz w:val="24"/>
              </w:rPr>
              <w:t xml:space="preserve"> </w:t>
            </w:r>
            <w:r w:rsidRPr="00150EDC">
              <w:rPr>
                <w:sz w:val="24"/>
              </w:rPr>
              <w:t>as</w:t>
            </w:r>
            <w:r w:rsidRPr="00150EDC">
              <w:rPr>
                <w:spacing w:val="-6"/>
                <w:sz w:val="24"/>
              </w:rPr>
              <w:t xml:space="preserve"> </w:t>
            </w:r>
            <w:r w:rsidRPr="00150EDC">
              <w:rPr>
                <w:sz w:val="24"/>
              </w:rPr>
              <w:t xml:space="preserve">an associate under generally accepted accounting </w:t>
            </w:r>
            <w:r w:rsidRPr="00150EDC">
              <w:rPr>
                <w:spacing w:val="-2"/>
                <w:sz w:val="24"/>
              </w:rPr>
              <w:t>principles;</w:t>
            </w:r>
          </w:p>
        </w:tc>
      </w:tr>
      <w:tr w:rsidR="004569EE" w:rsidRPr="007D3144" w14:paraId="47C6DA3F" w14:textId="77777777">
        <w:trPr>
          <w:trHeight w:val="671"/>
        </w:trPr>
        <w:tc>
          <w:tcPr>
            <w:tcW w:w="2066" w:type="dxa"/>
          </w:tcPr>
          <w:p w14:paraId="57F19DEF" w14:textId="77777777" w:rsidR="004C7180" w:rsidRPr="00150EDC" w:rsidRDefault="00CF0754">
            <w:pPr>
              <w:pStyle w:val="TableParagraph"/>
              <w:spacing w:before="56" w:line="240" w:lineRule="auto"/>
              <w:ind w:left="50"/>
              <w:rPr>
                <w:b/>
                <w:sz w:val="24"/>
              </w:rPr>
            </w:pPr>
            <w:r w:rsidRPr="00150EDC">
              <w:rPr>
                <w:b/>
                <w:sz w:val="24"/>
              </w:rPr>
              <w:t>"BCDR</w:t>
            </w:r>
            <w:r w:rsidRPr="00150EDC">
              <w:rPr>
                <w:b/>
                <w:spacing w:val="-4"/>
                <w:sz w:val="24"/>
              </w:rPr>
              <w:t xml:space="preserve"> Plan"</w:t>
            </w:r>
          </w:p>
        </w:tc>
        <w:tc>
          <w:tcPr>
            <w:tcW w:w="6087" w:type="dxa"/>
          </w:tcPr>
          <w:p w14:paraId="6B44C1AC" w14:textId="77777777" w:rsidR="004C7180" w:rsidRPr="00150EDC" w:rsidRDefault="00CF0754">
            <w:pPr>
              <w:pStyle w:val="TableParagraph"/>
              <w:spacing w:before="56" w:line="240" w:lineRule="auto"/>
              <w:ind w:left="141" w:right="132"/>
              <w:rPr>
                <w:sz w:val="24"/>
              </w:rPr>
            </w:pPr>
            <w:r w:rsidRPr="00150EDC">
              <w:rPr>
                <w:sz w:val="24"/>
              </w:rPr>
              <w:t>has</w:t>
            </w:r>
            <w:r w:rsidRPr="00150EDC">
              <w:rPr>
                <w:spacing w:val="-4"/>
                <w:sz w:val="24"/>
              </w:rPr>
              <w:t xml:space="preserve"> </w:t>
            </w:r>
            <w:r w:rsidRPr="00150EDC">
              <w:rPr>
                <w:sz w:val="24"/>
              </w:rPr>
              <w:t>the</w:t>
            </w:r>
            <w:r w:rsidRPr="00150EDC">
              <w:rPr>
                <w:spacing w:val="-5"/>
                <w:sz w:val="24"/>
              </w:rPr>
              <w:t xml:space="preserve"> </w:t>
            </w:r>
            <w:r w:rsidRPr="00150EDC">
              <w:rPr>
                <w:sz w:val="24"/>
              </w:rPr>
              <w:t>meaning</w:t>
            </w:r>
            <w:r w:rsidRPr="00150EDC">
              <w:rPr>
                <w:spacing w:val="-3"/>
                <w:sz w:val="24"/>
              </w:rPr>
              <w:t xml:space="preserve"> </w:t>
            </w:r>
            <w:r w:rsidRPr="00150EDC">
              <w:rPr>
                <w:sz w:val="24"/>
              </w:rPr>
              <w:t>given</w:t>
            </w:r>
            <w:r w:rsidRPr="00150EDC">
              <w:rPr>
                <w:spacing w:val="-5"/>
                <w:sz w:val="24"/>
              </w:rPr>
              <w:t xml:space="preserve"> </w:t>
            </w:r>
            <w:r w:rsidRPr="00150EDC">
              <w:rPr>
                <w:sz w:val="24"/>
              </w:rPr>
              <w:t>to</w:t>
            </w:r>
            <w:r w:rsidRPr="00150EDC">
              <w:rPr>
                <w:spacing w:val="-3"/>
                <w:sz w:val="24"/>
              </w:rPr>
              <w:t xml:space="preserve"> </w:t>
            </w:r>
            <w:r w:rsidRPr="00150EDC">
              <w:rPr>
                <w:sz w:val="24"/>
              </w:rPr>
              <w:t>it</w:t>
            </w:r>
            <w:r w:rsidRPr="00150EDC">
              <w:rPr>
                <w:spacing w:val="-3"/>
                <w:sz w:val="24"/>
              </w:rPr>
              <w:t xml:space="preserve"> </w:t>
            </w:r>
            <w:r w:rsidRPr="00150EDC">
              <w:rPr>
                <w:sz w:val="24"/>
              </w:rPr>
              <w:t>in</w:t>
            </w:r>
            <w:r w:rsidRPr="00150EDC">
              <w:rPr>
                <w:spacing w:val="-5"/>
                <w:sz w:val="24"/>
              </w:rPr>
              <w:t xml:space="preserve"> </w:t>
            </w:r>
            <w:r w:rsidRPr="00150EDC">
              <w:rPr>
                <w:sz w:val="24"/>
              </w:rPr>
              <w:t>Paragraph</w:t>
            </w:r>
            <w:r w:rsidRPr="00150EDC">
              <w:rPr>
                <w:spacing w:val="-3"/>
                <w:sz w:val="24"/>
              </w:rPr>
              <w:t xml:space="preserve"> </w:t>
            </w:r>
            <w:r w:rsidRPr="00150EDC">
              <w:rPr>
                <w:sz w:val="24"/>
              </w:rPr>
              <w:t>2.2</w:t>
            </w:r>
            <w:r w:rsidRPr="00150EDC">
              <w:rPr>
                <w:spacing w:val="-5"/>
                <w:sz w:val="24"/>
              </w:rPr>
              <w:t xml:space="preserve"> </w:t>
            </w:r>
            <w:r w:rsidRPr="00150EDC">
              <w:rPr>
                <w:sz w:val="24"/>
              </w:rPr>
              <w:t>of</w:t>
            </w:r>
            <w:r w:rsidRPr="00150EDC">
              <w:rPr>
                <w:spacing w:val="-3"/>
                <w:sz w:val="24"/>
              </w:rPr>
              <w:t xml:space="preserve"> </w:t>
            </w:r>
            <w:r w:rsidRPr="00150EDC">
              <w:rPr>
                <w:sz w:val="24"/>
              </w:rPr>
              <w:t xml:space="preserve">this </w:t>
            </w:r>
            <w:r w:rsidRPr="00150EDC">
              <w:rPr>
                <w:spacing w:val="-2"/>
                <w:sz w:val="24"/>
              </w:rPr>
              <w:t>Schedule;</w:t>
            </w:r>
          </w:p>
        </w:tc>
      </w:tr>
      <w:tr w:rsidR="004569EE" w:rsidRPr="007D3144" w14:paraId="57B81E61" w14:textId="77777777">
        <w:trPr>
          <w:trHeight w:val="672"/>
        </w:trPr>
        <w:tc>
          <w:tcPr>
            <w:tcW w:w="2066" w:type="dxa"/>
          </w:tcPr>
          <w:p w14:paraId="32AF78FB" w14:textId="77777777" w:rsidR="004C7180" w:rsidRPr="00150EDC" w:rsidRDefault="00CF0754">
            <w:pPr>
              <w:pStyle w:val="TableParagraph"/>
              <w:spacing w:before="56" w:line="240" w:lineRule="auto"/>
              <w:ind w:left="50" w:right="12"/>
              <w:rPr>
                <w:b/>
                <w:sz w:val="24"/>
              </w:rPr>
            </w:pPr>
            <w:r w:rsidRPr="00150EDC">
              <w:rPr>
                <w:b/>
                <w:spacing w:val="-2"/>
                <w:sz w:val="24"/>
              </w:rPr>
              <w:t xml:space="preserve">"Business </w:t>
            </w:r>
            <w:r w:rsidRPr="00150EDC">
              <w:rPr>
                <w:b/>
                <w:sz w:val="24"/>
              </w:rPr>
              <w:t>Continuity</w:t>
            </w:r>
            <w:r w:rsidRPr="00150EDC">
              <w:rPr>
                <w:b/>
                <w:spacing w:val="-17"/>
                <w:sz w:val="24"/>
              </w:rPr>
              <w:t xml:space="preserve"> </w:t>
            </w:r>
            <w:r w:rsidRPr="00150EDC">
              <w:rPr>
                <w:b/>
                <w:sz w:val="24"/>
              </w:rPr>
              <w:t>Plan"</w:t>
            </w:r>
          </w:p>
        </w:tc>
        <w:tc>
          <w:tcPr>
            <w:tcW w:w="6087" w:type="dxa"/>
          </w:tcPr>
          <w:p w14:paraId="10C103B6" w14:textId="77777777" w:rsidR="004C7180" w:rsidRPr="00150EDC" w:rsidRDefault="00CF0754">
            <w:pPr>
              <w:pStyle w:val="TableParagraph"/>
              <w:spacing w:before="56" w:line="240" w:lineRule="auto"/>
              <w:ind w:left="141" w:right="132"/>
              <w:rPr>
                <w:sz w:val="24"/>
              </w:rPr>
            </w:pPr>
            <w:r w:rsidRPr="00150EDC">
              <w:rPr>
                <w:sz w:val="24"/>
              </w:rPr>
              <w:t>has</w:t>
            </w:r>
            <w:r w:rsidRPr="00150EDC">
              <w:rPr>
                <w:spacing w:val="-4"/>
                <w:sz w:val="24"/>
              </w:rPr>
              <w:t xml:space="preserve"> </w:t>
            </w:r>
            <w:r w:rsidRPr="00150EDC">
              <w:rPr>
                <w:sz w:val="24"/>
              </w:rPr>
              <w:t>the</w:t>
            </w:r>
            <w:r w:rsidRPr="00150EDC">
              <w:rPr>
                <w:spacing w:val="-5"/>
                <w:sz w:val="24"/>
              </w:rPr>
              <w:t xml:space="preserve"> </w:t>
            </w:r>
            <w:r w:rsidRPr="00150EDC">
              <w:rPr>
                <w:sz w:val="24"/>
              </w:rPr>
              <w:t>meaning</w:t>
            </w:r>
            <w:r w:rsidRPr="00150EDC">
              <w:rPr>
                <w:spacing w:val="-3"/>
                <w:sz w:val="24"/>
              </w:rPr>
              <w:t xml:space="preserve"> </w:t>
            </w:r>
            <w:r w:rsidRPr="00150EDC">
              <w:rPr>
                <w:sz w:val="24"/>
              </w:rPr>
              <w:t>given</w:t>
            </w:r>
            <w:r w:rsidRPr="00150EDC">
              <w:rPr>
                <w:spacing w:val="-5"/>
                <w:sz w:val="24"/>
              </w:rPr>
              <w:t xml:space="preserve"> </w:t>
            </w:r>
            <w:r w:rsidRPr="00150EDC">
              <w:rPr>
                <w:sz w:val="24"/>
              </w:rPr>
              <w:t>to</w:t>
            </w:r>
            <w:r w:rsidRPr="00150EDC">
              <w:rPr>
                <w:spacing w:val="-3"/>
                <w:sz w:val="24"/>
              </w:rPr>
              <w:t xml:space="preserve"> </w:t>
            </w:r>
            <w:r w:rsidRPr="00150EDC">
              <w:rPr>
                <w:sz w:val="24"/>
              </w:rPr>
              <w:t>it</w:t>
            </w:r>
            <w:r w:rsidRPr="00150EDC">
              <w:rPr>
                <w:spacing w:val="-3"/>
                <w:sz w:val="24"/>
              </w:rPr>
              <w:t xml:space="preserve"> </w:t>
            </w:r>
            <w:r w:rsidRPr="00150EDC">
              <w:rPr>
                <w:sz w:val="24"/>
              </w:rPr>
              <w:t>in</w:t>
            </w:r>
            <w:r w:rsidRPr="00150EDC">
              <w:rPr>
                <w:spacing w:val="-5"/>
                <w:sz w:val="24"/>
              </w:rPr>
              <w:t xml:space="preserve"> </w:t>
            </w:r>
            <w:r w:rsidRPr="00150EDC">
              <w:rPr>
                <w:sz w:val="24"/>
              </w:rPr>
              <w:t>Paragraph</w:t>
            </w:r>
            <w:r w:rsidRPr="00150EDC">
              <w:rPr>
                <w:spacing w:val="-3"/>
                <w:sz w:val="24"/>
              </w:rPr>
              <w:t xml:space="preserve"> </w:t>
            </w:r>
            <w:r w:rsidRPr="00150EDC">
              <w:rPr>
                <w:sz w:val="24"/>
              </w:rPr>
              <w:t>2.3.2</w:t>
            </w:r>
            <w:r w:rsidRPr="00150EDC">
              <w:rPr>
                <w:spacing w:val="-3"/>
                <w:sz w:val="24"/>
              </w:rPr>
              <w:t xml:space="preserve"> </w:t>
            </w:r>
            <w:r w:rsidRPr="00150EDC">
              <w:rPr>
                <w:sz w:val="24"/>
              </w:rPr>
              <w:t>of</w:t>
            </w:r>
            <w:r w:rsidRPr="00150EDC">
              <w:rPr>
                <w:spacing w:val="-6"/>
                <w:sz w:val="24"/>
              </w:rPr>
              <w:t xml:space="preserve"> </w:t>
            </w:r>
            <w:r w:rsidRPr="00150EDC">
              <w:rPr>
                <w:sz w:val="24"/>
              </w:rPr>
              <w:t xml:space="preserve">this </w:t>
            </w:r>
            <w:r w:rsidRPr="00150EDC">
              <w:rPr>
                <w:spacing w:val="-2"/>
                <w:sz w:val="24"/>
              </w:rPr>
              <w:t>Schedule;</w:t>
            </w:r>
          </w:p>
        </w:tc>
      </w:tr>
      <w:tr w:rsidR="004569EE" w:rsidRPr="007D3144" w14:paraId="05DDF3E2" w14:textId="77777777">
        <w:trPr>
          <w:trHeight w:val="671"/>
        </w:trPr>
        <w:tc>
          <w:tcPr>
            <w:tcW w:w="2066" w:type="dxa"/>
          </w:tcPr>
          <w:p w14:paraId="4D725118" w14:textId="77777777" w:rsidR="004C7180" w:rsidRPr="00150EDC" w:rsidRDefault="00CF0754">
            <w:pPr>
              <w:pStyle w:val="TableParagraph"/>
              <w:spacing w:before="56" w:line="240" w:lineRule="auto"/>
              <w:ind w:left="50" w:right="12"/>
              <w:rPr>
                <w:b/>
                <w:sz w:val="24"/>
              </w:rPr>
            </w:pPr>
            <w:r w:rsidRPr="00150EDC">
              <w:rPr>
                <w:b/>
                <w:sz w:val="24"/>
              </w:rPr>
              <w:t xml:space="preserve">“Class 1 </w:t>
            </w:r>
            <w:r w:rsidRPr="00150EDC">
              <w:rPr>
                <w:b/>
                <w:spacing w:val="-2"/>
                <w:sz w:val="24"/>
              </w:rPr>
              <w:t>Transaction”</w:t>
            </w:r>
          </w:p>
        </w:tc>
        <w:tc>
          <w:tcPr>
            <w:tcW w:w="6087" w:type="dxa"/>
          </w:tcPr>
          <w:p w14:paraId="359DE81A" w14:textId="77777777" w:rsidR="004C7180" w:rsidRPr="00150EDC" w:rsidRDefault="00CF0754">
            <w:pPr>
              <w:pStyle w:val="TableParagraph"/>
              <w:spacing w:before="56" w:line="240" w:lineRule="auto"/>
              <w:ind w:left="141" w:right="132"/>
              <w:rPr>
                <w:sz w:val="24"/>
              </w:rPr>
            </w:pPr>
            <w:r w:rsidRPr="00150EDC">
              <w:rPr>
                <w:sz w:val="24"/>
              </w:rPr>
              <w:t>has</w:t>
            </w:r>
            <w:r w:rsidRPr="00150EDC">
              <w:rPr>
                <w:spacing w:val="-4"/>
                <w:sz w:val="24"/>
              </w:rPr>
              <w:t xml:space="preserve"> </w:t>
            </w:r>
            <w:r w:rsidRPr="00150EDC">
              <w:rPr>
                <w:sz w:val="24"/>
              </w:rPr>
              <w:t>the</w:t>
            </w:r>
            <w:r w:rsidRPr="00150EDC">
              <w:rPr>
                <w:spacing w:val="-5"/>
                <w:sz w:val="24"/>
              </w:rPr>
              <w:t xml:space="preserve"> </w:t>
            </w:r>
            <w:r w:rsidRPr="00150EDC">
              <w:rPr>
                <w:sz w:val="24"/>
              </w:rPr>
              <w:t>meaning</w:t>
            </w:r>
            <w:r w:rsidRPr="00150EDC">
              <w:rPr>
                <w:spacing w:val="-3"/>
                <w:sz w:val="24"/>
              </w:rPr>
              <w:t xml:space="preserve"> </w:t>
            </w:r>
            <w:r w:rsidRPr="00150EDC">
              <w:rPr>
                <w:sz w:val="24"/>
              </w:rPr>
              <w:t>set</w:t>
            </w:r>
            <w:r w:rsidRPr="00150EDC">
              <w:rPr>
                <w:spacing w:val="-6"/>
                <w:sz w:val="24"/>
              </w:rPr>
              <w:t xml:space="preserve"> </w:t>
            </w:r>
            <w:r w:rsidRPr="00150EDC">
              <w:rPr>
                <w:sz w:val="24"/>
              </w:rPr>
              <w:t>out</w:t>
            </w:r>
            <w:r w:rsidRPr="00150EDC">
              <w:rPr>
                <w:spacing w:val="-3"/>
                <w:sz w:val="24"/>
              </w:rPr>
              <w:t xml:space="preserve"> </w:t>
            </w:r>
            <w:r w:rsidRPr="00150EDC">
              <w:rPr>
                <w:sz w:val="24"/>
              </w:rPr>
              <w:t>in</w:t>
            </w:r>
            <w:r w:rsidRPr="00150EDC">
              <w:rPr>
                <w:spacing w:val="-3"/>
                <w:sz w:val="24"/>
              </w:rPr>
              <w:t xml:space="preserve"> </w:t>
            </w:r>
            <w:r w:rsidRPr="00150EDC">
              <w:rPr>
                <w:sz w:val="24"/>
              </w:rPr>
              <w:t>the</w:t>
            </w:r>
            <w:r w:rsidRPr="00150EDC">
              <w:rPr>
                <w:spacing w:val="-3"/>
                <w:sz w:val="24"/>
              </w:rPr>
              <w:t xml:space="preserve"> </w:t>
            </w:r>
            <w:r w:rsidRPr="00150EDC">
              <w:rPr>
                <w:sz w:val="24"/>
              </w:rPr>
              <w:t>listing</w:t>
            </w:r>
            <w:r w:rsidRPr="00150EDC">
              <w:rPr>
                <w:spacing w:val="-3"/>
                <w:sz w:val="24"/>
              </w:rPr>
              <w:t xml:space="preserve"> </w:t>
            </w:r>
            <w:r w:rsidRPr="00150EDC">
              <w:rPr>
                <w:sz w:val="24"/>
              </w:rPr>
              <w:t>rules</w:t>
            </w:r>
            <w:r w:rsidRPr="00150EDC">
              <w:rPr>
                <w:spacing w:val="-4"/>
                <w:sz w:val="24"/>
              </w:rPr>
              <w:t xml:space="preserve"> </w:t>
            </w:r>
            <w:r w:rsidRPr="00150EDC">
              <w:rPr>
                <w:sz w:val="24"/>
              </w:rPr>
              <w:t>issued</w:t>
            </w:r>
            <w:r w:rsidRPr="00150EDC">
              <w:rPr>
                <w:spacing w:val="-5"/>
                <w:sz w:val="24"/>
              </w:rPr>
              <w:t xml:space="preserve"> </w:t>
            </w:r>
            <w:r w:rsidRPr="00150EDC">
              <w:rPr>
                <w:sz w:val="24"/>
              </w:rPr>
              <w:t>by the UK Listing Authority;</w:t>
            </w:r>
          </w:p>
        </w:tc>
      </w:tr>
      <w:tr w:rsidR="004569EE" w:rsidRPr="007D3144" w14:paraId="002A4383" w14:textId="77777777">
        <w:trPr>
          <w:trHeight w:val="884"/>
        </w:trPr>
        <w:tc>
          <w:tcPr>
            <w:tcW w:w="2066" w:type="dxa"/>
          </w:tcPr>
          <w:p w14:paraId="2EE1CEB0" w14:textId="77777777" w:rsidR="004C7180" w:rsidRPr="00150EDC" w:rsidRDefault="00CF0754">
            <w:pPr>
              <w:pStyle w:val="TableParagraph"/>
              <w:spacing w:before="56" w:line="240" w:lineRule="auto"/>
              <w:ind w:left="50"/>
              <w:rPr>
                <w:b/>
                <w:sz w:val="24"/>
              </w:rPr>
            </w:pPr>
            <w:r w:rsidRPr="00150EDC">
              <w:rPr>
                <w:b/>
                <w:spacing w:val="-2"/>
                <w:sz w:val="24"/>
              </w:rPr>
              <w:t>“Control”</w:t>
            </w:r>
          </w:p>
        </w:tc>
        <w:tc>
          <w:tcPr>
            <w:tcW w:w="6087" w:type="dxa"/>
          </w:tcPr>
          <w:p w14:paraId="27C30883" w14:textId="77777777" w:rsidR="004C7180" w:rsidRPr="00150EDC" w:rsidRDefault="00CF0754">
            <w:pPr>
              <w:pStyle w:val="TableParagraph"/>
              <w:spacing w:before="36" w:line="270" w:lineRule="atLeast"/>
              <w:ind w:left="141"/>
              <w:rPr>
                <w:sz w:val="24"/>
              </w:rPr>
            </w:pPr>
            <w:r w:rsidRPr="00150EDC">
              <w:rPr>
                <w:sz w:val="24"/>
              </w:rPr>
              <w:t>the</w:t>
            </w:r>
            <w:r w:rsidRPr="00150EDC">
              <w:rPr>
                <w:spacing w:val="-5"/>
                <w:sz w:val="24"/>
              </w:rPr>
              <w:t xml:space="preserve"> </w:t>
            </w:r>
            <w:r w:rsidRPr="00150EDC">
              <w:rPr>
                <w:sz w:val="24"/>
              </w:rPr>
              <w:t>possession</w:t>
            </w:r>
            <w:r w:rsidRPr="00150EDC">
              <w:rPr>
                <w:spacing w:val="-3"/>
                <w:sz w:val="24"/>
              </w:rPr>
              <w:t xml:space="preserve"> </w:t>
            </w:r>
            <w:r w:rsidRPr="00150EDC">
              <w:rPr>
                <w:sz w:val="24"/>
              </w:rPr>
              <w:t>by</w:t>
            </w:r>
            <w:r w:rsidRPr="00150EDC">
              <w:rPr>
                <w:spacing w:val="-6"/>
                <w:sz w:val="24"/>
              </w:rPr>
              <w:t xml:space="preserve"> </w:t>
            </w:r>
            <w:r w:rsidRPr="00150EDC">
              <w:rPr>
                <w:sz w:val="24"/>
              </w:rPr>
              <w:t>a</w:t>
            </w:r>
            <w:r w:rsidRPr="00150EDC">
              <w:rPr>
                <w:spacing w:val="-5"/>
                <w:sz w:val="24"/>
              </w:rPr>
              <w:t xml:space="preserve"> </w:t>
            </w:r>
            <w:r w:rsidRPr="00150EDC">
              <w:rPr>
                <w:sz w:val="24"/>
              </w:rPr>
              <w:t>person,</w:t>
            </w:r>
            <w:r w:rsidRPr="00150EDC">
              <w:rPr>
                <w:spacing w:val="-3"/>
                <w:sz w:val="24"/>
              </w:rPr>
              <w:t xml:space="preserve"> </w:t>
            </w:r>
            <w:r w:rsidRPr="00150EDC">
              <w:rPr>
                <w:sz w:val="24"/>
              </w:rPr>
              <w:t>directly</w:t>
            </w:r>
            <w:r w:rsidRPr="00150EDC">
              <w:rPr>
                <w:spacing w:val="-6"/>
                <w:sz w:val="24"/>
              </w:rPr>
              <w:t xml:space="preserve"> </w:t>
            </w:r>
            <w:r w:rsidRPr="00150EDC">
              <w:rPr>
                <w:sz w:val="24"/>
              </w:rPr>
              <w:t>or</w:t>
            </w:r>
            <w:r w:rsidRPr="00150EDC">
              <w:rPr>
                <w:spacing w:val="-5"/>
                <w:sz w:val="24"/>
              </w:rPr>
              <w:t xml:space="preserve"> </w:t>
            </w:r>
            <w:r w:rsidRPr="00150EDC">
              <w:rPr>
                <w:sz w:val="24"/>
              </w:rPr>
              <w:t>indirectly,</w:t>
            </w:r>
            <w:r w:rsidRPr="00150EDC">
              <w:rPr>
                <w:spacing w:val="-3"/>
                <w:sz w:val="24"/>
              </w:rPr>
              <w:t xml:space="preserve"> </w:t>
            </w:r>
            <w:r w:rsidRPr="00150EDC">
              <w:rPr>
                <w:sz w:val="24"/>
              </w:rPr>
              <w:t>of</w:t>
            </w:r>
            <w:r w:rsidRPr="00150EDC">
              <w:rPr>
                <w:spacing w:val="-3"/>
                <w:sz w:val="24"/>
              </w:rPr>
              <w:t xml:space="preserve"> </w:t>
            </w:r>
            <w:r w:rsidRPr="00150EDC">
              <w:rPr>
                <w:sz w:val="24"/>
              </w:rPr>
              <w:t>the power to direct or cause the direction of the management</w:t>
            </w:r>
            <w:r w:rsidRPr="00150EDC">
              <w:rPr>
                <w:spacing w:val="-3"/>
                <w:sz w:val="24"/>
              </w:rPr>
              <w:t xml:space="preserve"> </w:t>
            </w:r>
            <w:r w:rsidRPr="00150EDC">
              <w:rPr>
                <w:sz w:val="24"/>
              </w:rPr>
              <w:t>and policies</w:t>
            </w:r>
            <w:r w:rsidRPr="00150EDC">
              <w:rPr>
                <w:spacing w:val="-1"/>
                <w:sz w:val="24"/>
              </w:rPr>
              <w:t xml:space="preserve"> </w:t>
            </w:r>
            <w:r w:rsidRPr="00150EDC">
              <w:rPr>
                <w:sz w:val="24"/>
              </w:rPr>
              <w:t>of the</w:t>
            </w:r>
            <w:r w:rsidRPr="00150EDC">
              <w:rPr>
                <w:spacing w:val="-2"/>
                <w:sz w:val="24"/>
              </w:rPr>
              <w:t xml:space="preserve"> </w:t>
            </w:r>
            <w:r w:rsidRPr="00150EDC">
              <w:rPr>
                <w:sz w:val="24"/>
              </w:rPr>
              <w:t>other</w:t>
            </w:r>
            <w:r w:rsidRPr="00150EDC">
              <w:rPr>
                <w:spacing w:val="-2"/>
                <w:sz w:val="24"/>
              </w:rPr>
              <w:t xml:space="preserve"> </w:t>
            </w:r>
            <w:r w:rsidRPr="00150EDC">
              <w:rPr>
                <w:sz w:val="24"/>
              </w:rPr>
              <w:t>person</w:t>
            </w:r>
            <w:r w:rsidRPr="00150EDC">
              <w:rPr>
                <w:spacing w:val="-2"/>
                <w:sz w:val="24"/>
              </w:rPr>
              <w:t xml:space="preserve"> </w:t>
            </w:r>
            <w:r w:rsidRPr="00150EDC">
              <w:rPr>
                <w:sz w:val="24"/>
              </w:rPr>
              <w:t>(whether</w:t>
            </w:r>
          </w:p>
        </w:tc>
      </w:tr>
    </w:tbl>
    <w:p w14:paraId="706CBBB9" w14:textId="77777777" w:rsidR="004C7180" w:rsidRPr="00150EDC" w:rsidRDefault="004C7180">
      <w:pPr>
        <w:spacing w:line="270" w:lineRule="atLeast"/>
        <w:rPr>
          <w:sz w:val="24"/>
        </w:rPr>
        <w:sectPr w:rsidR="004C7180" w:rsidRPr="00150EDC">
          <w:headerReference w:type="default" r:id="rId79"/>
          <w:footerReference w:type="default" r:id="rId80"/>
          <w:pgSz w:w="11910" w:h="16840"/>
          <w:pgMar w:top="1380" w:right="0" w:bottom="1380" w:left="40" w:header="715" w:footer="1192" w:gutter="0"/>
          <w:pgNumType w:start="1"/>
          <w:cols w:space="720"/>
        </w:sectPr>
      </w:pPr>
    </w:p>
    <w:p w14:paraId="166A9ED3" w14:textId="77777777" w:rsidR="004C7180" w:rsidRPr="00150EDC" w:rsidRDefault="004C7180">
      <w:pPr>
        <w:pStyle w:val="BodyText"/>
        <w:spacing w:before="1"/>
        <w:rPr>
          <w:sz w:val="12"/>
        </w:rPr>
      </w:pPr>
    </w:p>
    <w:p w14:paraId="135BB4D6" w14:textId="77777777" w:rsidR="004C7180" w:rsidRPr="00150EDC" w:rsidRDefault="004C7180">
      <w:pPr>
        <w:rPr>
          <w:sz w:val="12"/>
        </w:rPr>
        <w:sectPr w:rsidR="004C7180" w:rsidRPr="00150EDC">
          <w:pgSz w:w="11910" w:h="16840"/>
          <w:pgMar w:top="1380" w:right="0" w:bottom="1380" w:left="40" w:header="715" w:footer="1192" w:gutter="0"/>
          <w:cols w:space="720"/>
        </w:sectPr>
      </w:pPr>
    </w:p>
    <w:p w14:paraId="4035215A" w14:textId="77777777" w:rsidR="004C7180" w:rsidRPr="00150EDC" w:rsidRDefault="004C7180">
      <w:pPr>
        <w:pStyle w:val="BodyText"/>
        <w:rPr>
          <w:sz w:val="26"/>
        </w:rPr>
      </w:pPr>
    </w:p>
    <w:p w14:paraId="514D4898" w14:textId="77777777" w:rsidR="004C7180" w:rsidRPr="00150EDC" w:rsidRDefault="004C7180">
      <w:pPr>
        <w:pStyle w:val="BodyText"/>
        <w:rPr>
          <w:sz w:val="26"/>
        </w:rPr>
      </w:pPr>
    </w:p>
    <w:p w14:paraId="1CE6D353" w14:textId="77777777" w:rsidR="004C7180" w:rsidRPr="00150EDC" w:rsidRDefault="004C7180">
      <w:pPr>
        <w:pStyle w:val="BodyText"/>
        <w:spacing w:before="5"/>
        <w:rPr>
          <w:sz w:val="38"/>
        </w:rPr>
      </w:pPr>
    </w:p>
    <w:p w14:paraId="5E45E467" w14:textId="77777777" w:rsidR="004C7180" w:rsidRPr="00150EDC" w:rsidRDefault="00CF0754">
      <w:pPr>
        <w:pStyle w:val="Heading4"/>
        <w:spacing w:before="1"/>
        <w:ind w:left="2415" w:right="-3"/>
      </w:pPr>
      <w:r w:rsidRPr="00150EDC">
        <w:rPr>
          <w:spacing w:val="-2"/>
        </w:rPr>
        <w:t xml:space="preserve">“Corporate </w:t>
      </w:r>
      <w:r w:rsidRPr="00150EDC">
        <w:t>Change</w:t>
      </w:r>
      <w:r w:rsidRPr="00150EDC">
        <w:rPr>
          <w:spacing w:val="-17"/>
        </w:rPr>
        <w:t xml:space="preserve"> </w:t>
      </w:r>
      <w:r w:rsidRPr="00150EDC">
        <w:t>Event”</w:t>
      </w:r>
    </w:p>
    <w:p w14:paraId="3A5827AC" w14:textId="77777777" w:rsidR="004C7180" w:rsidRPr="00150EDC" w:rsidRDefault="00CF0754">
      <w:pPr>
        <w:pStyle w:val="BodyText"/>
        <w:spacing w:before="92"/>
        <w:ind w:left="397" w:right="594"/>
      </w:pPr>
      <w:r w:rsidRPr="00150EDC">
        <w:br w:type="column"/>
      </w:r>
      <w:r w:rsidRPr="00150EDC">
        <w:t>through</w:t>
      </w:r>
      <w:r w:rsidRPr="00150EDC">
        <w:rPr>
          <w:spacing w:val="-3"/>
        </w:rPr>
        <w:t xml:space="preserve"> </w:t>
      </w:r>
      <w:r w:rsidRPr="00150EDC">
        <w:t>the</w:t>
      </w:r>
      <w:r w:rsidRPr="00150EDC">
        <w:rPr>
          <w:spacing w:val="-5"/>
        </w:rPr>
        <w:t xml:space="preserve"> </w:t>
      </w:r>
      <w:r w:rsidRPr="00150EDC">
        <w:t>ownership</w:t>
      </w:r>
      <w:r w:rsidRPr="00150EDC">
        <w:rPr>
          <w:spacing w:val="-7"/>
        </w:rPr>
        <w:t xml:space="preserve"> </w:t>
      </w:r>
      <w:r w:rsidRPr="00150EDC">
        <w:t>of</w:t>
      </w:r>
      <w:r w:rsidRPr="00150EDC">
        <w:rPr>
          <w:spacing w:val="-3"/>
        </w:rPr>
        <w:t xml:space="preserve"> </w:t>
      </w:r>
      <w:r w:rsidRPr="00150EDC">
        <w:t>voting</w:t>
      </w:r>
      <w:r w:rsidRPr="00150EDC">
        <w:rPr>
          <w:spacing w:val="-3"/>
        </w:rPr>
        <w:t xml:space="preserve"> </w:t>
      </w:r>
      <w:r w:rsidRPr="00150EDC">
        <w:t>shares,</w:t>
      </w:r>
      <w:r w:rsidRPr="00150EDC">
        <w:rPr>
          <w:spacing w:val="-6"/>
        </w:rPr>
        <w:t xml:space="preserve"> </w:t>
      </w:r>
      <w:r w:rsidRPr="00150EDC">
        <w:t>by</w:t>
      </w:r>
      <w:r w:rsidRPr="00150EDC">
        <w:rPr>
          <w:spacing w:val="-4"/>
        </w:rPr>
        <w:t xml:space="preserve"> </w:t>
      </w:r>
      <w:r w:rsidRPr="00150EDC">
        <w:t>contract</w:t>
      </w:r>
      <w:r w:rsidRPr="00150EDC">
        <w:rPr>
          <w:spacing w:val="-3"/>
        </w:rPr>
        <w:t xml:space="preserve"> </w:t>
      </w:r>
      <w:r w:rsidRPr="00150EDC">
        <w:t>or otherwise) and “</w:t>
      </w:r>
      <w:r w:rsidRPr="00150EDC">
        <w:rPr>
          <w:b/>
        </w:rPr>
        <w:t>Controls</w:t>
      </w:r>
      <w:r w:rsidRPr="00150EDC">
        <w:t>” and “</w:t>
      </w:r>
      <w:r w:rsidRPr="00150EDC">
        <w:rPr>
          <w:b/>
        </w:rPr>
        <w:t>Controlled</w:t>
      </w:r>
      <w:r w:rsidRPr="00150EDC">
        <w:t>” shall be interpreted accordingly;</w:t>
      </w:r>
    </w:p>
    <w:p w14:paraId="62F6CCAC" w14:textId="77777777" w:rsidR="004C7180" w:rsidRPr="00150EDC" w:rsidRDefault="00CF0754">
      <w:pPr>
        <w:pStyle w:val="BodyText"/>
        <w:spacing w:before="221"/>
        <w:ind w:left="397"/>
      </w:pPr>
      <w:r w:rsidRPr="00150EDC">
        <w:rPr>
          <w:spacing w:val="-2"/>
        </w:rPr>
        <w:t>means:</w:t>
      </w:r>
    </w:p>
    <w:p w14:paraId="3116BE7F" w14:textId="77777777" w:rsidR="004C7180" w:rsidRPr="00150EDC" w:rsidRDefault="00CF0754" w:rsidP="00B320C7">
      <w:pPr>
        <w:pStyle w:val="ListParagraph"/>
        <w:numPr>
          <w:ilvl w:val="0"/>
          <w:numId w:val="48"/>
        </w:numPr>
        <w:tabs>
          <w:tab w:val="left" w:pos="1835"/>
          <w:tab w:val="left" w:pos="1837"/>
        </w:tabs>
        <w:spacing w:before="200"/>
        <w:ind w:right="1397"/>
        <w:jc w:val="both"/>
        <w:rPr>
          <w:sz w:val="24"/>
        </w:rPr>
      </w:pPr>
      <w:r w:rsidRPr="00150EDC">
        <w:rPr>
          <w:sz w:val="24"/>
        </w:rPr>
        <w:t>any</w:t>
      </w:r>
      <w:r w:rsidRPr="00150EDC">
        <w:rPr>
          <w:spacing w:val="-3"/>
          <w:sz w:val="24"/>
        </w:rPr>
        <w:t xml:space="preserve"> </w:t>
      </w:r>
      <w:r w:rsidRPr="00150EDC">
        <w:rPr>
          <w:sz w:val="24"/>
        </w:rPr>
        <w:t>change</w:t>
      </w:r>
      <w:r w:rsidRPr="00150EDC">
        <w:rPr>
          <w:spacing w:val="-4"/>
          <w:sz w:val="24"/>
        </w:rPr>
        <w:t xml:space="preserve"> </w:t>
      </w:r>
      <w:r w:rsidRPr="00150EDC">
        <w:rPr>
          <w:sz w:val="24"/>
        </w:rPr>
        <w:t>of</w:t>
      </w:r>
      <w:r w:rsidRPr="00150EDC">
        <w:rPr>
          <w:spacing w:val="-2"/>
          <w:sz w:val="24"/>
        </w:rPr>
        <w:t xml:space="preserve"> </w:t>
      </w:r>
      <w:r w:rsidRPr="00150EDC">
        <w:rPr>
          <w:sz w:val="24"/>
        </w:rPr>
        <w:t>Control</w:t>
      </w:r>
      <w:r w:rsidRPr="00150EDC">
        <w:rPr>
          <w:spacing w:val="-6"/>
          <w:sz w:val="24"/>
        </w:rPr>
        <w:t xml:space="preserve"> </w:t>
      </w:r>
      <w:r w:rsidRPr="00150EDC">
        <w:rPr>
          <w:sz w:val="24"/>
        </w:rPr>
        <w:t>of</w:t>
      </w:r>
      <w:r w:rsidRPr="00150EDC">
        <w:rPr>
          <w:spacing w:val="-2"/>
          <w:sz w:val="24"/>
        </w:rPr>
        <w:t xml:space="preserve"> </w:t>
      </w:r>
      <w:r w:rsidRPr="00150EDC">
        <w:rPr>
          <w:sz w:val="24"/>
        </w:rPr>
        <w:t>the</w:t>
      </w:r>
      <w:r w:rsidRPr="00150EDC">
        <w:rPr>
          <w:spacing w:val="-2"/>
          <w:sz w:val="24"/>
        </w:rPr>
        <w:t xml:space="preserve"> </w:t>
      </w:r>
      <w:r w:rsidRPr="00150EDC">
        <w:rPr>
          <w:sz w:val="24"/>
        </w:rPr>
        <w:t>Supplier</w:t>
      </w:r>
      <w:r w:rsidRPr="00150EDC">
        <w:rPr>
          <w:spacing w:val="-4"/>
          <w:sz w:val="24"/>
        </w:rPr>
        <w:t xml:space="preserve"> </w:t>
      </w:r>
      <w:r w:rsidRPr="00150EDC">
        <w:rPr>
          <w:sz w:val="24"/>
        </w:rPr>
        <w:t>or</w:t>
      </w:r>
      <w:r w:rsidRPr="00150EDC">
        <w:rPr>
          <w:spacing w:val="-4"/>
          <w:sz w:val="24"/>
        </w:rPr>
        <w:t xml:space="preserve"> </w:t>
      </w:r>
      <w:r w:rsidRPr="00150EDC">
        <w:rPr>
          <w:sz w:val="24"/>
        </w:rPr>
        <w:t>a Parent Undertaking of the Supplier;</w:t>
      </w:r>
    </w:p>
    <w:p w14:paraId="5096EA13" w14:textId="77777777" w:rsidR="004C7180" w:rsidRPr="00150EDC" w:rsidRDefault="00CF0754" w:rsidP="00B320C7">
      <w:pPr>
        <w:pStyle w:val="ListParagraph"/>
        <w:numPr>
          <w:ilvl w:val="0"/>
          <w:numId w:val="48"/>
        </w:numPr>
        <w:tabs>
          <w:tab w:val="left" w:pos="1835"/>
          <w:tab w:val="left" w:pos="1837"/>
        </w:tabs>
        <w:spacing w:before="120"/>
        <w:ind w:right="1394"/>
        <w:jc w:val="both"/>
        <w:rPr>
          <w:sz w:val="24"/>
        </w:rPr>
      </w:pPr>
      <w:r w:rsidRPr="00150EDC">
        <w:rPr>
          <w:sz w:val="24"/>
        </w:rPr>
        <w:t xml:space="preserve">any change of Control of any member of the Supplier Group which, in the reasonable opinion of the Buyer, could have a material adverse effect on the </w:t>
      </w:r>
      <w:r w:rsidRPr="00150EDC">
        <w:rPr>
          <w:spacing w:val="-2"/>
          <w:sz w:val="24"/>
        </w:rPr>
        <w:t>Deliverables;</w:t>
      </w:r>
    </w:p>
    <w:p w14:paraId="489EAFDF" w14:textId="77777777" w:rsidR="004C7180" w:rsidRPr="00150EDC" w:rsidRDefault="00CF0754" w:rsidP="00B320C7">
      <w:pPr>
        <w:pStyle w:val="ListParagraph"/>
        <w:numPr>
          <w:ilvl w:val="0"/>
          <w:numId w:val="48"/>
        </w:numPr>
        <w:tabs>
          <w:tab w:val="left" w:pos="1835"/>
          <w:tab w:val="left" w:pos="1837"/>
        </w:tabs>
        <w:spacing w:before="120"/>
        <w:ind w:right="1395"/>
        <w:jc w:val="both"/>
        <w:rPr>
          <w:sz w:val="24"/>
        </w:rPr>
      </w:pPr>
      <w:r w:rsidRPr="00150EDC">
        <w:rPr>
          <w:sz w:val="24"/>
        </w:rPr>
        <w:t>any</w:t>
      </w:r>
      <w:r w:rsidRPr="00150EDC">
        <w:rPr>
          <w:spacing w:val="-17"/>
          <w:sz w:val="24"/>
        </w:rPr>
        <w:t xml:space="preserve"> </w:t>
      </w:r>
      <w:r w:rsidRPr="00150EDC">
        <w:rPr>
          <w:sz w:val="24"/>
        </w:rPr>
        <w:t>change</w:t>
      </w:r>
      <w:r w:rsidRPr="00150EDC">
        <w:rPr>
          <w:spacing w:val="-16"/>
          <w:sz w:val="24"/>
        </w:rPr>
        <w:t xml:space="preserve"> </w:t>
      </w:r>
      <w:r w:rsidRPr="00150EDC">
        <w:rPr>
          <w:sz w:val="24"/>
        </w:rPr>
        <w:t>to</w:t>
      </w:r>
      <w:r w:rsidRPr="00150EDC">
        <w:rPr>
          <w:spacing w:val="-16"/>
          <w:sz w:val="24"/>
        </w:rPr>
        <w:t xml:space="preserve"> </w:t>
      </w:r>
      <w:r w:rsidRPr="00150EDC">
        <w:rPr>
          <w:sz w:val="24"/>
        </w:rPr>
        <w:t>the</w:t>
      </w:r>
      <w:r w:rsidRPr="00150EDC">
        <w:rPr>
          <w:spacing w:val="-17"/>
          <w:sz w:val="24"/>
        </w:rPr>
        <w:t xml:space="preserve"> </w:t>
      </w:r>
      <w:r w:rsidRPr="00150EDC">
        <w:rPr>
          <w:sz w:val="24"/>
        </w:rPr>
        <w:t>business</w:t>
      </w:r>
      <w:r w:rsidRPr="00150EDC">
        <w:rPr>
          <w:spacing w:val="-17"/>
          <w:sz w:val="24"/>
        </w:rPr>
        <w:t xml:space="preserve"> </w:t>
      </w:r>
      <w:r w:rsidRPr="00150EDC">
        <w:rPr>
          <w:sz w:val="24"/>
        </w:rPr>
        <w:t>of</w:t>
      </w:r>
      <w:r w:rsidRPr="00150EDC">
        <w:rPr>
          <w:spacing w:val="-15"/>
          <w:sz w:val="24"/>
        </w:rPr>
        <w:t xml:space="preserve"> </w:t>
      </w:r>
      <w:r w:rsidRPr="00150EDC">
        <w:rPr>
          <w:sz w:val="24"/>
        </w:rPr>
        <w:t>the</w:t>
      </w:r>
      <w:r w:rsidRPr="00150EDC">
        <w:rPr>
          <w:spacing w:val="-16"/>
          <w:sz w:val="24"/>
        </w:rPr>
        <w:t xml:space="preserve"> </w:t>
      </w:r>
      <w:r w:rsidRPr="00150EDC">
        <w:rPr>
          <w:sz w:val="24"/>
        </w:rPr>
        <w:t>Supplier or any member of the Supplier Group which, in the reasonable opinion of the Buyer, could have a material adverse effect on the Deliverables;</w:t>
      </w:r>
    </w:p>
    <w:p w14:paraId="0ACDD71B" w14:textId="77777777" w:rsidR="004C7180" w:rsidRPr="00150EDC" w:rsidRDefault="00CF0754" w:rsidP="00B320C7">
      <w:pPr>
        <w:pStyle w:val="ListParagraph"/>
        <w:numPr>
          <w:ilvl w:val="0"/>
          <w:numId w:val="48"/>
        </w:numPr>
        <w:tabs>
          <w:tab w:val="left" w:pos="1835"/>
          <w:tab w:val="left" w:pos="1837"/>
        </w:tabs>
        <w:spacing w:before="120"/>
        <w:ind w:right="1395"/>
        <w:jc w:val="both"/>
        <w:rPr>
          <w:sz w:val="24"/>
        </w:rPr>
      </w:pPr>
      <w:r w:rsidRPr="00150EDC">
        <w:rPr>
          <w:sz w:val="24"/>
        </w:rPr>
        <w:t>a Class 1 Transaction taking place in relation to the shares of the Supplier or any Parent Undertaking of the Supplier whose shares are listed on the main market</w:t>
      </w:r>
      <w:r w:rsidRPr="00150EDC">
        <w:rPr>
          <w:spacing w:val="-15"/>
          <w:sz w:val="24"/>
        </w:rPr>
        <w:t xml:space="preserve"> </w:t>
      </w:r>
      <w:r w:rsidRPr="00150EDC">
        <w:rPr>
          <w:sz w:val="24"/>
        </w:rPr>
        <w:t>of</w:t>
      </w:r>
      <w:r w:rsidRPr="00150EDC">
        <w:rPr>
          <w:spacing w:val="-16"/>
          <w:sz w:val="24"/>
        </w:rPr>
        <w:t xml:space="preserve"> </w:t>
      </w:r>
      <w:r w:rsidRPr="00150EDC">
        <w:rPr>
          <w:sz w:val="24"/>
        </w:rPr>
        <w:t>the</w:t>
      </w:r>
      <w:r w:rsidRPr="00150EDC">
        <w:rPr>
          <w:spacing w:val="-15"/>
          <w:sz w:val="24"/>
        </w:rPr>
        <w:t xml:space="preserve"> </w:t>
      </w:r>
      <w:r w:rsidRPr="00150EDC">
        <w:rPr>
          <w:sz w:val="24"/>
        </w:rPr>
        <w:t>London</w:t>
      </w:r>
      <w:r w:rsidRPr="00150EDC">
        <w:rPr>
          <w:spacing w:val="-15"/>
          <w:sz w:val="24"/>
        </w:rPr>
        <w:t xml:space="preserve"> </w:t>
      </w:r>
      <w:r w:rsidRPr="00150EDC">
        <w:rPr>
          <w:sz w:val="24"/>
        </w:rPr>
        <w:t>Stock</w:t>
      </w:r>
      <w:r w:rsidRPr="00150EDC">
        <w:rPr>
          <w:spacing w:val="-14"/>
          <w:sz w:val="24"/>
        </w:rPr>
        <w:t xml:space="preserve"> </w:t>
      </w:r>
      <w:r w:rsidRPr="00150EDC">
        <w:rPr>
          <w:sz w:val="24"/>
        </w:rPr>
        <w:t>Exchange</w:t>
      </w:r>
      <w:r w:rsidRPr="00150EDC">
        <w:rPr>
          <w:spacing w:val="-15"/>
          <w:sz w:val="24"/>
        </w:rPr>
        <w:t xml:space="preserve"> </w:t>
      </w:r>
      <w:r w:rsidRPr="00150EDC">
        <w:rPr>
          <w:sz w:val="24"/>
        </w:rPr>
        <w:t>plc;</w:t>
      </w:r>
    </w:p>
    <w:p w14:paraId="15C1D92A" w14:textId="77777777" w:rsidR="004C7180" w:rsidRPr="00150EDC" w:rsidRDefault="00CF0754" w:rsidP="00B320C7">
      <w:pPr>
        <w:pStyle w:val="ListParagraph"/>
        <w:numPr>
          <w:ilvl w:val="0"/>
          <w:numId w:val="48"/>
        </w:numPr>
        <w:tabs>
          <w:tab w:val="left" w:pos="1835"/>
          <w:tab w:val="left" w:pos="1837"/>
        </w:tabs>
        <w:spacing w:before="120"/>
        <w:ind w:right="1394"/>
        <w:jc w:val="both"/>
        <w:rPr>
          <w:sz w:val="24"/>
        </w:rPr>
      </w:pPr>
      <w:r w:rsidRPr="00150EDC">
        <w:rPr>
          <w:sz w:val="24"/>
        </w:rPr>
        <w:t>an event that could reasonably be regarded</w:t>
      </w:r>
      <w:r w:rsidRPr="00150EDC">
        <w:rPr>
          <w:spacing w:val="-1"/>
          <w:sz w:val="24"/>
        </w:rPr>
        <w:t xml:space="preserve"> </w:t>
      </w:r>
      <w:r w:rsidRPr="00150EDC">
        <w:rPr>
          <w:sz w:val="24"/>
        </w:rPr>
        <w:t>as</w:t>
      </w:r>
      <w:r w:rsidRPr="00150EDC">
        <w:rPr>
          <w:spacing w:val="-2"/>
          <w:sz w:val="24"/>
        </w:rPr>
        <w:t xml:space="preserve"> </w:t>
      </w:r>
      <w:r w:rsidRPr="00150EDC">
        <w:rPr>
          <w:sz w:val="24"/>
        </w:rPr>
        <w:t>being</w:t>
      </w:r>
      <w:r w:rsidRPr="00150EDC">
        <w:rPr>
          <w:spacing w:val="-1"/>
          <w:sz w:val="24"/>
        </w:rPr>
        <w:t xml:space="preserve"> </w:t>
      </w:r>
      <w:r w:rsidRPr="00150EDC">
        <w:rPr>
          <w:sz w:val="24"/>
        </w:rPr>
        <w:t>equivalent</w:t>
      </w:r>
      <w:r w:rsidRPr="00150EDC">
        <w:rPr>
          <w:spacing w:val="-1"/>
          <w:sz w:val="24"/>
        </w:rPr>
        <w:t xml:space="preserve"> </w:t>
      </w:r>
      <w:r w:rsidRPr="00150EDC">
        <w:rPr>
          <w:sz w:val="24"/>
        </w:rPr>
        <w:t>to</w:t>
      </w:r>
      <w:r w:rsidRPr="00150EDC">
        <w:rPr>
          <w:spacing w:val="-3"/>
          <w:sz w:val="24"/>
        </w:rPr>
        <w:t xml:space="preserve"> </w:t>
      </w:r>
      <w:r w:rsidRPr="00150EDC">
        <w:rPr>
          <w:sz w:val="24"/>
        </w:rPr>
        <w:t>a</w:t>
      </w:r>
      <w:r w:rsidRPr="00150EDC">
        <w:rPr>
          <w:spacing w:val="-1"/>
          <w:sz w:val="24"/>
        </w:rPr>
        <w:t xml:space="preserve"> </w:t>
      </w:r>
      <w:r w:rsidRPr="00150EDC">
        <w:rPr>
          <w:sz w:val="24"/>
        </w:rPr>
        <w:t>Class</w:t>
      </w:r>
      <w:r w:rsidRPr="00150EDC">
        <w:rPr>
          <w:spacing w:val="-2"/>
          <w:sz w:val="24"/>
        </w:rPr>
        <w:t xml:space="preserve"> </w:t>
      </w:r>
      <w:r w:rsidRPr="00150EDC">
        <w:rPr>
          <w:sz w:val="24"/>
        </w:rPr>
        <w:t>1 Transaction taking place in respect of the Supplier or any Parent Undertaking</w:t>
      </w:r>
      <w:r w:rsidRPr="00150EDC">
        <w:rPr>
          <w:spacing w:val="-1"/>
          <w:sz w:val="24"/>
        </w:rPr>
        <w:t xml:space="preserve"> </w:t>
      </w:r>
      <w:r w:rsidRPr="00150EDC">
        <w:rPr>
          <w:sz w:val="24"/>
        </w:rPr>
        <w:t xml:space="preserve">of the </w:t>
      </w:r>
      <w:r w:rsidRPr="00150EDC">
        <w:rPr>
          <w:spacing w:val="-2"/>
          <w:sz w:val="24"/>
        </w:rPr>
        <w:t>Supplier;</w:t>
      </w:r>
    </w:p>
    <w:p w14:paraId="48B4D622" w14:textId="77777777" w:rsidR="004C7180" w:rsidRPr="00150EDC" w:rsidRDefault="00CF0754" w:rsidP="00B320C7">
      <w:pPr>
        <w:pStyle w:val="ListParagraph"/>
        <w:numPr>
          <w:ilvl w:val="0"/>
          <w:numId w:val="48"/>
        </w:numPr>
        <w:tabs>
          <w:tab w:val="left" w:pos="1835"/>
          <w:tab w:val="left" w:pos="1837"/>
        </w:tabs>
        <w:spacing w:before="118"/>
        <w:ind w:right="1394"/>
        <w:jc w:val="both"/>
        <w:rPr>
          <w:sz w:val="24"/>
        </w:rPr>
      </w:pPr>
      <w:r w:rsidRPr="00150EDC">
        <w:rPr>
          <w:sz w:val="24"/>
        </w:rPr>
        <w:t>payment of dividends by the Supplier or the ultimate Parent Undertaking of the Supplier</w:t>
      </w:r>
      <w:r w:rsidRPr="00150EDC">
        <w:rPr>
          <w:spacing w:val="-2"/>
          <w:sz w:val="24"/>
        </w:rPr>
        <w:t xml:space="preserve"> </w:t>
      </w:r>
      <w:r w:rsidRPr="00150EDC">
        <w:rPr>
          <w:sz w:val="24"/>
        </w:rPr>
        <w:t>Group</w:t>
      </w:r>
      <w:r w:rsidRPr="00150EDC">
        <w:rPr>
          <w:spacing w:val="-1"/>
          <w:sz w:val="24"/>
        </w:rPr>
        <w:t xml:space="preserve"> </w:t>
      </w:r>
      <w:r w:rsidRPr="00150EDC">
        <w:rPr>
          <w:sz w:val="24"/>
        </w:rPr>
        <w:t>exceeding</w:t>
      </w:r>
      <w:r w:rsidRPr="00150EDC">
        <w:rPr>
          <w:spacing w:val="-1"/>
          <w:sz w:val="24"/>
        </w:rPr>
        <w:t xml:space="preserve"> </w:t>
      </w:r>
      <w:r w:rsidRPr="00150EDC">
        <w:rPr>
          <w:sz w:val="24"/>
        </w:rPr>
        <w:t>25%</w:t>
      </w:r>
      <w:r w:rsidRPr="00150EDC">
        <w:rPr>
          <w:spacing w:val="-1"/>
          <w:sz w:val="24"/>
        </w:rPr>
        <w:t xml:space="preserve"> </w:t>
      </w:r>
      <w:r w:rsidRPr="00150EDC">
        <w:rPr>
          <w:sz w:val="24"/>
        </w:rPr>
        <w:t>of</w:t>
      </w:r>
      <w:r w:rsidRPr="00150EDC">
        <w:rPr>
          <w:spacing w:val="-1"/>
          <w:sz w:val="24"/>
        </w:rPr>
        <w:t xml:space="preserve"> </w:t>
      </w:r>
      <w:r w:rsidRPr="00150EDC">
        <w:rPr>
          <w:sz w:val="24"/>
        </w:rPr>
        <w:t>the</w:t>
      </w:r>
      <w:r w:rsidRPr="00150EDC">
        <w:rPr>
          <w:spacing w:val="-1"/>
          <w:sz w:val="24"/>
        </w:rPr>
        <w:t xml:space="preserve"> </w:t>
      </w:r>
      <w:r w:rsidRPr="00150EDC">
        <w:rPr>
          <w:sz w:val="24"/>
        </w:rPr>
        <w:t>Net Asset</w:t>
      </w:r>
      <w:r w:rsidRPr="00150EDC">
        <w:rPr>
          <w:spacing w:val="-8"/>
          <w:sz w:val="24"/>
        </w:rPr>
        <w:t xml:space="preserve"> </w:t>
      </w:r>
      <w:r w:rsidRPr="00150EDC">
        <w:rPr>
          <w:sz w:val="24"/>
        </w:rPr>
        <w:t>Value</w:t>
      </w:r>
      <w:r w:rsidRPr="00150EDC">
        <w:rPr>
          <w:spacing w:val="-10"/>
          <w:sz w:val="24"/>
        </w:rPr>
        <w:t xml:space="preserve"> </w:t>
      </w:r>
      <w:r w:rsidRPr="00150EDC">
        <w:rPr>
          <w:sz w:val="24"/>
        </w:rPr>
        <w:t>of</w:t>
      </w:r>
      <w:r w:rsidRPr="00150EDC">
        <w:rPr>
          <w:spacing w:val="-8"/>
          <w:sz w:val="24"/>
        </w:rPr>
        <w:t xml:space="preserve"> </w:t>
      </w:r>
      <w:r w:rsidRPr="00150EDC">
        <w:rPr>
          <w:sz w:val="24"/>
        </w:rPr>
        <w:t>the</w:t>
      </w:r>
      <w:r w:rsidRPr="00150EDC">
        <w:rPr>
          <w:spacing w:val="-8"/>
          <w:sz w:val="24"/>
        </w:rPr>
        <w:t xml:space="preserve"> </w:t>
      </w:r>
      <w:r w:rsidRPr="00150EDC">
        <w:rPr>
          <w:sz w:val="24"/>
        </w:rPr>
        <w:t>Supplier</w:t>
      </w:r>
      <w:r w:rsidRPr="00150EDC">
        <w:rPr>
          <w:spacing w:val="-9"/>
          <w:sz w:val="24"/>
        </w:rPr>
        <w:t xml:space="preserve"> </w:t>
      </w:r>
      <w:r w:rsidRPr="00150EDC">
        <w:rPr>
          <w:sz w:val="24"/>
        </w:rPr>
        <w:t>or</w:t>
      </w:r>
      <w:r w:rsidRPr="00150EDC">
        <w:rPr>
          <w:spacing w:val="-9"/>
          <w:sz w:val="24"/>
        </w:rPr>
        <w:t xml:space="preserve"> </w:t>
      </w:r>
      <w:r w:rsidRPr="00150EDC">
        <w:rPr>
          <w:sz w:val="24"/>
        </w:rPr>
        <w:t>the</w:t>
      </w:r>
      <w:r w:rsidRPr="00150EDC">
        <w:rPr>
          <w:spacing w:val="-10"/>
          <w:sz w:val="24"/>
        </w:rPr>
        <w:t xml:space="preserve"> </w:t>
      </w:r>
      <w:r w:rsidRPr="00150EDC">
        <w:rPr>
          <w:sz w:val="24"/>
        </w:rPr>
        <w:t>ultimate Parent Undertaking of the Supplier Group respectively in any 12 month period;</w:t>
      </w:r>
    </w:p>
    <w:p w14:paraId="5C87A0D4" w14:textId="77777777" w:rsidR="004C7180" w:rsidRPr="00150EDC" w:rsidRDefault="00CF0754" w:rsidP="00B320C7">
      <w:pPr>
        <w:pStyle w:val="ListParagraph"/>
        <w:numPr>
          <w:ilvl w:val="0"/>
          <w:numId w:val="48"/>
        </w:numPr>
        <w:tabs>
          <w:tab w:val="left" w:pos="1835"/>
          <w:tab w:val="left" w:pos="1837"/>
        </w:tabs>
        <w:spacing w:before="120"/>
        <w:ind w:right="1396"/>
        <w:jc w:val="both"/>
        <w:rPr>
          <w:sz w:val="24"/>
        </w:rPr>
      </w:pPr>
      <w:r w:rsidRPr="00150EDC">
        <w:rPr>
          <w:sz w:val="24"/>
        </w:rPr>
        <w:t>an</w:t>
      </w:r>
      <w:r w:rsidRPr="00150EDC">
        <w:rPr>
          <w:spacing w:val="-8"/>
          <w:sz w:val="24"/>
        </w:rPr>
        <w:t xml:space="preserve"> </w:t>
      </w:r>
      <w:r w:rsidRPr="00150EDC">
        <w:rPr>
          <w:sz w:val="24"/>
        </w:rPr>
        <w:t>order</w:t>
      </w:r>
      <w:r w:rsidRPr="00150EDC">
        <w:rPr>
          <w:spacing w:val="-9"/>
          <w:sz w:val="24"/>
        </w:rPr>
        <w:t xml:space="preserve"> </w:t>
      </w:r>
      <w:r w:rsidRPr="00150EDC">
        <w:rPr>
          <w:sz w:val="24"/>
        </w:rPr>
        <w:t>is</w:t>
      </w:r>
      <w:r w:rsidRPr="00150EDC">
        <w:rPr>
          <w:spacing w:val="-9"/>
          <w:sz w:val="24"/>
        </w:rPr>
        <w:t xml:space="preserve"> </w:t>
      </w:r>
      <w:r w:rsidRPr="00150EDC">
        <w:rPr>
          <w:sz w:val="24"/>
        </w:rPr>
        <w:t>made</w:t>
      </w:r>
      <w:r w:rsidRPr="00150EDC">
        <w:rPr>
          <w:spacing w:val="-8"/>
          <w:sz w:val="24"/>
        </w:rPr>
        <w:t xml:space="preserve"> </w:t>
      </w:r>
      <w:r w:rsidRPr="00150EDC">
        <w:rPr>
          <w:sz w:val="24"/>
        </w:rPr>
        <w:t>or</w:t>
      </w:r>
      <w:r w:rsidRPr="00150EDC">
        <w:rPr>
          <w:spacing w:val="-9"/>
          <w:sz w:val="24"/>
        </w:rPr>
        <w:t xml:space="preserve"> </w:t>
      </w:r>
      <w:r w:rsidRPr="00150EDC">
        <w:rPr>
          <w:sz w:val="24"/>
        </w:rPr>
        <w:t>an</w:t>
      </w:r>
      <w:r w:rsidRPr="00150EDC">
        <w:rPr>
          <w:spacing w:val="-10"/>
          <w:sz w:val="24"/>
        </w:rPr>
        <w:t xml:space="preserve"> </w:t>
      </w:r>
      <w:r w:rsidRPr="00150EDC">
        <w:rPr>
          <w:sz w:val="24"/>
        </w:rPr>
        <w:t>effective</w:t>
      </w:r>
      <w:r w:rsidRPr="00150EDC">
        <w:rPr>
          <w:spacing w:val="-8"/>
          <w:sz w:val="24"/>
        </w:rPr>
        <w:t xml:space="preserve"> </w:t>
      </w:r>
      <w:r w:rsidRPr="00150EDC">
        <w:rPr>
          <w:sz w:val="24"/>
        </w:rPr>
        <w:t>resolution is passed for the winding up of any member of the Supplier Group;</w:t>
      </w:r>
    </w:p>
    <w:p w14:paraId="5A31D3FC" w14:textId="77777777" w:rsidR="004C7180" w:rsidRPr="00150EDC" w:rsidRDefault="00CF0754" w:rsidP="00B320C7">
      <w:pPr>
        <w:pStyle w:val="ListParagraph"/>
        <w:numPr>
          <w:ilvl w:val="0"/>
          <w:numId w:val="48"/>
        </w:numPr>
        <w:tabs>
          <w:tab w:val="left" w:pos="1835"/>
          <w:tab w:val="left" w:pos="1837"/>
        </w:tabs>
        <w:spacing w:before="120"/>
        <w:ind w:right="1395"/>
        <w:jc w:val="both"/>
        <w:rPr>
          <w:sz w:val="24"/>
        </w:rPr>
      </w:pPr>
      <w:r w:rsidRPr="00150EDC">
        <w:rPr>
          <w:sz w:val="24"/>
        </w:rPr>
        <w:t>any member of the Supplier Group stopping</w:t>
      </w:r>
      <w:r w:rsidRPr="00150EDC">
        <w:rPr>
          <w:spacing w:val="-4"/>
          <w:sz w:val="24"/>
        </w:rPr>
        <w:t xml:space="preserve"> </w:t>
      </w:r>
      <w:r w:rsidRPr="00150EDC">
        <w:rPr>
          <w:sz w:val="24"/>
        </w:rPr>
        <w:t>payment</w:t>
      </w:r>
      <w:r w:rsidRPr="00150EDC">
        <w:rPr>
          <w:spacing w:val="-4"/>
          <w:sz w:val="24"/>
        </w:rPr>
        <w:t xml:space="preserve"> </w:t>
      </w:r>
      <w:r w:rsidRPr="00150EDC">
        <w:rPr>
          <w:sz w:val="24"/>
        </w:rPr>
        <w:t>of</w:t>
      </w:r>
      <w:r w:rsidRPr="00150EDC">
        <w:rPr>
          <w:spacing w:val="-4"/>
          <w:sz w:val="24"/>
        </w:rPr>
        <w:t xml:space="preserve"> </w:t>
      </w:r>
      <w:r w:rsidRPr="00150EDC">
        <w:rPr>
          <w:sz w:val="24"/>
        </w:rPr>
        <w:t>its</w:t>
      </w:r>
      <w:r w:rsidRPr="00150EDC">
        <w:rPr>
          <w:spacing w:val="-3"/>
          <w:sz w:val="24"/>
        </w:rPr>
        <w:t xml:space="preserve"> </w:t>
      </w:r>
      <w:r w:rsidRPr="00150EDC">
        <w:rPr>
          <w:sz w:val="24"/>
        </w:rPr>
        <w:t>debts</w:t>
      </w:r>
      <w:r w:rsidRPr="00150EDC">
        <w:rPr>
          <w:spacing w:val="-5"/>
          <w:sz w:val="24"/>
        </w:rPr>
        <w:t xml:space="preserve"> </w:t>
      </w:r>
      <w:r w:rsidRPr="00150EDC">
        <w:rPr>
          <w:sz w:val="24"/>
        </w:rPr>
        <w:t>generally</w:t>
      </w:r>
      <w:r w:rsidRPr="00150EDC">
        <w:rPr>
          <w:spacing w:val="-5"/>
          <w:sz w:val="24"/>
        </w:rPr>
        <w:t xml:space="preserve"> </w:t>
      </w:r>
      <w:r w:rsidRPr="00150EDC">
        <w:rPr>
          <w:sz w:val="24"/>
        </w:rPr>
        <w:t>or becoming unable to pay its debts within the meaning of section 123(1) of the Insolvency</w:t>
      </w:r>
      <w:r w:rsidRPr="00150EDC">
        <w:rPr>
          <w:spacing w:val="-11"/>
          <w:sz w:val="24"/>
        </w:rPr>
        <w:t xml:space="preserve"> </w:t>
      </w:r>
      <w:r w:rsidRPr="00150EDC">
        <w:rPr>
          <w:sz w:val="24"/>
        </w:rPr>
        <w:t>Act</w:t>
      </w:r>
      <w:r w:rsidRPr="00150EDC">
        <w:rPr>
          <w:spacing w:val="-11"/>
          <w:sz w:val="24"/>
        </w:rPr>
        <w:t xml:space="preserve"> </w:t>
      </w:r>
      <w:r w:rsidRPr="00150EDC">
        <w:rPr>
          <w:sz w:val="24"/>
        </w:rPr>
        <w:t>1986</w:t>
      </w:r>
      <w:r w:rsidRPr="00150EDC">
        <w:rPr>
          <w:spacing w:val="-10"/>
          <w:sz w:val="24"/>
        </w:rPr>
        <w:t xml:space="preserve"> </w:t>
      </w:r>
      <w:r w:rsidRPr="00150EDC">
        <w:rPr>
          <w:sz w:val="24"/>
        </w:rPr>
        <w:t>or</w:t>
      </w:r>
      <w:r w:rsidRPr="00150EDC">
        <w:rPr>
          <w:spacing w:val="-13"/>
          <w:sz w:val="24"/>
        </w:rPr>
        <w:t xml:space="preserve"> </w:t>
      </w:r>
      <w:r w:rsidRPr="00150EDC">
        <w:rPr>
          <w:sz w:val="24"/>
        </w:rPr>
        <w:t>any</w:t>
      </w:r>
      <w:r w:rsidRPr="00150EDC">
        <w:rPr>
          <w:spacing w:val="-11"/>
          <w:sz w:val="24"/>
        </w:rPr>
        <w:t xml:space="preserve"> </w:t>
      </w:r>
      <w:r w:rsidRPr="00150EDC">
        <w:rPr>
          <w:sz w:val="24"/>
        </w:rPr>
        <w:t>member</w:t>
      </w:r>
      <w:r w:rsidRPr="00150EDC">
        <w:rPr>
          <w:spacing w:val="-12"/>
          <w:sz w:val="24"/>
        </w:rPr>
        <w:t xml:space="preserve"> </w:t>
      </w:r>
      <w:r w:rsidRPr="00150EDC">
        <w:rPr>
          <w:sz w:val="24"/>
        </w:rPr>
        <w:t>of</w:t>
      </w:r>
      <w:r w:rsidRPr="00150EDC">
        <w:rPr>
          <w:spacing w:val="-11"/>
          <w:sz w:val="24"/>
        </w:rPr>
        <w:t xml:space="preserve"> </w:t>
      </w:r>
      <w:r w:rsidRPr="00150EDC">
        <w:rPr>
          <w:sz w:val="24"/>
        </w:rPr>
        <w:t xml:space="preserve">the Supplier Group ceasing to carry on all or substantially all its business, or any </w:t>
      </w:r>
      <w:r w:rsidRPr="00150EDC">
        <w:rPr>
          <w:spacing w:val="-2"/>
          <w:sz w:val="24"/>
        </w:rPr>
        <w:t>compromise,</w:t>
      </w:r>
      <w:r w:rsidRPr="00150EDC">
        <w:rPr>
          <w:spacing w:val="3"/>
          <w:sz w:val="24"/>
        </w:rPr>
        <w:t xml:space="preserve"> </w:t>
      </w:r>
      <w:r w:rsidRPr="00150EDC">
        <w:rPr>
          <w:spacing w:val="-2"/>
          <w:sz w:val="24"/>
        </w:rPr>
        <w:t>composition,</w:t>
      </w:r>
      <w:r w:rsidRPr="00150EDC">
        <w:rPr>
          <w:spacing w:val="3"/>
          <w:sz w:val="24"/>
        </w:rPr>
        <w:t xml:space="preserve"> </w:t>
      </w:r>
      <w:r w:rsidRPr="00150EDC">
        <w:rPr>
          <w:spacing w:val="-2"/>
          <w:sz w:val="24"/>
        </w:rPr>
        <w:t>arrangement</w:t>
      </w:r>
      <w:r w:rsidRPr="00150EDC">
        <w:rPr>
          <w:spacing w:val="3"/>
          <w:sz w:val="24"/>
        </w:rPr>
        <w:t xml:space="preserve"> </w:t>
      </w:r>
      <w:r w:rsidRPr="00150EDC">
        <w:rPr>
          <w:spacing w:val="-5"/>
          <w:sz w:val="24"/>
        </w:rPr>
        <w:t>or</w:t>
      </w:r>
    </w:p>
    <w:p w14:paraId="449E44C3" w14:textId="77777777" w:rsidR="004C7180" w:rsidRPr="00150EDC" w:rsidRDefault="004C7180">
      <w:pPr>
        <w:jc w:val="both"/>
        <w:rPr>
          <w:sz w:val="24"/>
        </w:rPr>
        <w:sectPr w:rsidR="004C7180" w:rsidRPr="00150EDC">
          <w:type w:val="continuous"/>
          <w:pgSz w:w="11910" w:h="16840"/>
          <w:pgMar w:top="1140" w:right="0" w:bottom="280" w:left="40" w:header="715" w:footer="1192" w:gutter="0"/>
          <w:cols w:num="2" w:space="720" w:equalWidth="0">
            <w:col w:w="4136" w:space="40"/>
            <w:col w:w="7694"/>
          </w:cols>
        </w:sectPr>
      </w:pPr>
    </w:p>
    <w:p w14:paraId="06C0BAFE" w14:textId="77777777" w:rsidR="004C7180" w:rsidRPr="00150EDC" w:rsidRDefault="004C7180">
      <w:pPr>
        <w:pStyle w:val="BodyText"/>
        <w:spacing w:before="1"/>
        <w:rPr>
          <w:sz w:val="12"/>
        </w:rPr>
      </w:pPr>
    </w:p>
    <w:p w14:paraId="2AD2670F" w14:textId="77777777" w:rsidR="004C7180" w:rsidRPr="00150EDC" w:rsidRDefault="004C7180">
      <w:pPr>
        <w:rPr>
          <w:sz w:val="12"/>
        </w:rPr>
        <w:sectPr w:rsidR="004C7180" w:rsidRPr="00150EDC">
          <w:pgSz w:w="11910" w:h="16840"/>
          <w:pgMar w:top="1380" w:right="0" w:bottom="1380" w:left="40" w:header="715" w:footer="1192" w:gutter="0"/>
          <w:cols w:space="720"/>
        </w:sectPr>
      </w:pPr>
    </w:p>
    <w:p w14:paraId="64C87A8C" w14:textId="77777777" w:rsidR="004C7180" w:rsidRPr="00150EDC" w:rsidRDefault="004C7180">
      <w:pPr>
        <w:pStyle w:val="BodyText"/>
        <w:rPr>
          <w:sz w:val="26"/>
        </w:rPr>
      </w:pPr>
    </w:p>
    <w:p w14:paraId="7A122D5D" w14:textId="77777777" w:rsidR="004C7180" w:rsidRPr="00150EDC" w:rsidRDefault="004C7180">
      <w:pPr>
        <w:pStyle w:val="BodyText"/>
        <w:rPr>
          <w:sz w:val="26"/>
        </w:rPr>
      </w:pPr>
    </w:p>
    <w:p w14:paraId="26634731" w14:textId="77777777" w:rsidR="004C7180" w:rsidRPr="00150EDC" w:rsidRDefault="004C7180">
      <w:pPr>
        <w:pStyle w:val="BodyText"/>
        <w:rPr>
          <w:sz w:val="26"/>
        </w:rPr>
      </w:pPr>
    </w:p>
    <w:p w14:paraId="49AEE6C3" w14:textId="77777777" w:rsidR="004C7180" w:rsidRPr="00150EDC" w:rsidRDefault="004C7180">
      <w:pPr>
        <w:pStyle w:val="BodyText"/>
        <w:rPr>
          <w:sz w:val="26"/>
        </w:rPr>
      </w:pPr>
    </w:p>
    <w:p w14:paraId="55D79703" w14:textId="77777777" w:rsidR="004C7180" w:rsidRPr="00150EDC" w:rsidRDefault="004C7180">
      <w:pPr>
        <w:pStyle w:val="BodyText"/>
        <w:rPr>
          <w:sz w:val="26"/>
        </w:rPr>
      </w:pPr>
    </w:p>
    <w:p w14:paraId="4AC93591" w14:textId="77777777" w:rsidR="004C7180" w:rsidRPr="00150EDC" w:rsidRDefault="004C7180">
      <w:pPr>
        <w:pStyle w:val="BodyText"/>
        <w:rPr>
          <w:sz w:val="26"/>
        </w:rPr>
      </w:pPr>
    </w:p>
    <w:p w14:paraId="2418CF99" w14:textId="77777777" w:rsidR="004C7180" w:rsidRPr="00150EDC" w:rsidRDefault="004C7180">
      <w:pPr>
        <w:pStyle w:val="BodyText"/>
        <w:rPr>
          <w:sz w:val="26"/>
        </w:rPr>
      </w:pPr>
    </w:p>
    <w:p w14:paraId="66E0E4D7" w14:textId="77777777" w:rsidR="004C7180" w:rsidRPr="00150EDC" w:rsidRDefault="004C7180">
      <w:pPr>
        <w:pStyle w:val="BodyText"/>
        <w:rPr>
          <w:sz w:val="26"/>
        </w:rPr>
      </w:pPr>
    </w:p>
    <w:p w14:paraId="5CB7F827" w14:textId="77777777" w:rsidR="004C7180" w:rsidRPr="00150EDC" w:rsidRDefault="004C7180">
      <w:pPr>
        <w:pStyle w:val="BodyText"/>
        <w:rPr>
          <w:sz w:val="26"/>
        </w:rPr>
      </w:pPr>
    </w:p>
    <w:p w14:paraId="18B7C72A" w14:textId="77777777" w:rsidR="004C7180" w:rsidRPr="00150EDC" w:rsidRDefault="004C7180">
      <w:pPr>
        <w:pStyle w:val="BodyText"/>
        <w:rPr>
          <w:sz w:val="26"/>
        </w:rPr>
      </w:pPr>
    </w:p>
    <w:p w14:paraId="5D604550" w14:textId="77777777" w:rsidR="004C7180" w:rsidRPr="00150EDC" w:rsidRDefault="004C7180">
      <w:pPr>
        <w:pStyle w:val="BodyText"/>
        <w:rPr>
          <w:sz w:val="26"/>
        </w:rPr>
      </w:pPr>
    </w:p>
    <w:p w14:paraId="514FEA99" w14:textId="77777777" w:rsidR="004C7180" w:rsidRPr="00150EDC" w:rsidRDefault="00CF0754">
      <w:pPr>
        <w:spacing w:before="200"/>
        <w:ind w:left="2415" w:right="31"/>
        <w:rPr>
          <w:b/>
          <w:sz w:val="24"/>
        </w:rPr>
      </w:pPr>
      <w:r w:rsidRPr="00150EDC">
        <w:rPr>
          <w:b/>
          <w:spacing w:val="-2"/>
          <w:sz w:val="24"/>
        </w:rPr>
        <w:t>“Critical National Infrastructure”</w:t>
      </w:r>
    </w:p>
    <w:p w14:paraId="01E7D5F0" w14:textId="77777777" w:rsidR="004C7180" w:rsidRPr="00150EDC" w:rsidRDefault="004C7180">
      <w:pPr>
        <w:pStyle w:val="BodyText"/>
        <w:rPr>
          <w:b/>
          <w:sz w:val="26"/>
        </w:rPr>
      </w:pPr>
    </w:p>
    <w:p w14:paraId="3607104F" w14:textId="77777777" w:rsidR="004C7180" w:rsidRPr="00150EDC" w:rsidRDefault="004C7180">
      <w:pPr>
        <w:pStyle w:val="BodyText"/>
        <w:rPr>
          <w:b/>
          <w:sz w:val="26"/>
        </w:rPr>
      </w:pPr>
    </w:p>
    <w:p w14:paraId="4809826A" w14:textId="77777777" w:rsidR="004C7180" w:rsidRPr="00150EDC" w:rsidRDefault="004C7180">
      <w:pPr>
        <w:pStyle w:val="BodyText"/>
        <w:rPr>
          <w:b/>
          <w:sz w:val="26"/>
        </w:rPr>
      </w:pPr>
    </w:p>
    <w:p w14:paraId="2FDCF393" w14:textId="77777777" w:rsidR="004C7180" w:rsidRPr="00150EDC" w:rsidRDefault="004C7180">
      <w:pPr>
        <w:pStyle w:val="BodyText"/>
        <w:rPr>
          <w:b/>
          <w:sz w:val="26"/>
        </w:rPr>
      </w:pPr>
    </w:p>
    <w:p w14:paraId="4A792ACA" w14:textId="77777777" w:rsidR="004C7180" w:rsidRPr="00150EDC" w:rsidRDefault="004C7180">
      <w:pPr>
        <w:pStyle w:val="BodyText"/>
        <w:rPr>
          <w:b/>
          <w:sz w:val="26"/>
        </w:rPr>
      </w:pPr>
    </w:p>
    <w:p w14:paraId="256B5FCD" w14:textId="77777777" w:rsidR="004C7180" w:rsidRPr="00150EDC" w:rsidRDefault="004C7180">
      <w:pPr>
        <w:pStyle w:val="BodyText"/>
        <w:rPr>
          <w:b/>
          <w:sz w:val="26"/>
        </w:rPr>
      </w:pPr>
    </w:p>
    <w:p w14:paraId="2346FBD7" w14:textId="77777777" w:rsidR="004C7180" w:rsidRPr="00150EDC" w:rsidRDefault="004C7180">
      <w:pPr>
        <w:pStyle w:val="BodyText"/>
        <w:rPr>
          <w:b/>
          <w:sz w:val="26"/>
        </w:rPr>
      </w:pPr>
    </w:p>
    <w:p w14:paraId="75381BB4" w14:textId="77777777" w:rsidR="004C7180" w:rsidRPr="00150EDC" w:rsidRDefault="004C7180">
      <w:pPr>
        <w:pStyle w:val="BodyText"/>
        <w:rPr>
          <w:b/>
          <w:sz w:val="26"/>
        </w:rPr>
      </w:pPr>
    </w:p>
    <w:p w14:paraId="048BB5DD" w14:textId="77777777" w:rsidR="004C7180" w:rsidRPr="00150EDC" w:rsidRDefault="004C7180">
      <w:pPr>
        <w:pStyle w:val="BodyText"/>
        <w:rPr>
          <w:b/>
          <w:sz w:val="26"/>
        </w:rPr>
      </w:pPr>
    </w:p>
    <w:p w14:paraId="7ECCA14B" w14:textId="77777777" w:rsidR="004C7180" w:rsidRPr="00150EDC" w:rsidRDefault="004C7180">
      <w:pPr>
        <w:pStyle w:val="BodyText"/>
        <w:rPr>
          <w:b/>
          <w:sz w:val="26"/>
        </w:rPr>
      </w:pPr>
    </w:p>
    <w:p w14:paraId="0B54BB6D" w14:textId="77777777" w:rsidR="004C7180" w:rsidRPr="00150EDC" w:rsidRDefault="00CF0754">
      <w:pPr>
        <w:spacing w:before="152"/>
        <w:ind w:left="2415"/>
        <w:rPr>
          <w:b/>
          <w:sz w:val="24"/>
        </w:rPr>
      </w:pPr>
      <w:r w:rsidRPr="00150EDC">
        <w:rPr>
          <w:b/>
          <w:sz w:val="24"/>
        </w:rPr>
        <w:t>“Critical</w:t>
      </w:r>
      <w:r w:rsidRPr="00150EDC">
        <w:rPr>
          <w:b/>
          <w:spacing w:val="-17"/>
          <w:sz w:val="24"/>
        </w:rPr>
        <w:t xml:space="preserve"> </w:t>
      </w:r>
      <w:r w:rsidRPr="00150EDC">
        <w:rPr>
          <w:b/>
          <w:sz w:val="24"/>
        </w:rPr>
        <w:t xml:space="preserve">Service </w:t>
      </w:r>
      <w:r w:rsidRPr="00150EDC">
        <w:rPr>
          <w:b/>
          <w:spacing w:val="-2"/>
          <w:sz w:val="24"/>
        </w:rPr>
        <w:t>Contract”</w:t>
      </w:r>
    </w:p>
    <w:p w14:paraId="4CA6FDC4" w14:textId="77777777" w:rsidR="004C7180" w:rsidRPr="00150EDC" w:rsidRDefault="004C7180">
      <w:pPr>
        <w:pStyle w:val="BodyText"/>
        <w:rPr>
          <w:b/>
          <w:sz w:val="26"/>
        </w:rPr>
      </w:pPr>
    </w:p>
    <w:p w14:paraId="3D6238BF" w14:textId="77777777" w:rsidR="004C7180" w:rsidRPr="00150EDC" w:rsidRDefault="004C7180">
      <w:pPr>
        <w:pStyle w:val="BodyText"/>
        <w:spacing w:before="5"/>
        <w:rPr>
          <w:b/>
          <w:sz w:val="32"/>
        </w:rPr>
      </w:pPr>
    </w:p>
    <w:p w14:paraId="7C27CA7B" w14:textId="77777777" w:rsidR="004C7180" w:rsidRPr="00150EDC" w:rsidRDefault="00CF0754">
      <w:pPr>
        <w:ind w:left="2415"/>
        <w:rPr>
          <w:b/>
          <w:sz w:val="24"/>
        </w:rPr>
      </w:pPr>
      <w:r w:rsidRPr="00150EDC">
        <w:rPr>
          <w:b/>
          <w:spacing w:val="-4"/>
          <w:sz w:val="24"/>
        </w:rPr>
        <w:t>“CRP</w:t>
      </w:r>
    </w:p>
    <w:p w14:paraId="1D8FBB62" w14:textId="77777777" w:rsidR="004C7180" w:rsidRPr="00150EDC" w:rsidRDefault="00CF0754">
      <w:pPr>
        <w:ind w:left="2415"/>
        <w:rPr>
          <w:b/>
          <w:sz w:val="24"/>
        </w:rPr>
      </w:pPr>
      <w:r w:rsidRPr="00150EDC">
        <w:rPr>
          <w:b/>
          <w:spacing w:val="-2"/>
          <w:sz w:val="24"/>
        </w:rPr>
        <w:t>Information”</w:t>
      </w:r>
    </w:p>
    <w:p w14:paraId="2E146B41" w14:textId="77777777" w:rsidR="004C7180" w:rsidRPr="00150EDC" w:rsidRDefault="004C7180">
      <w:pPr>
        <w:pStyle w:val="BodyText"/>
        <w:rPr>
          <w:b/>
          <w:sz w:val="26"/>
        </w:rPr>
      </w:pPr>
    </w:p>
    <w:p w14:paraId="60636F7B" w14:textId="77777777" w:rsidR="004C7180" w:rsidRPr="00150EDC" w:rsidRDefault="004C7180">
      <w:pPr>
        <w:pStyle w:val="BodyText"/>
        <w:rPr>
          <w:b/>
          <w:sz w:val="26"/>
        </w:rPr>
      </w:pPr>
    </w:p>
    <w:p w14:paraId="61B8BDD7" w14:textId="77777777" w:rsidR="004C7180" w:rsidRPr="00150EDC" w:rsidRDefault="004C7180">
      <w:pPr>
        <w:pStyle w:val="BodyText"/>
        <w:rPr>
          <w:b/>
          <w:sz w:val="26"/>
        </w:rPr>
      </w:pPr>
    </w:p>
    <w:p w14:paraId="0757BA20" w14:textId="77777777" w:rsidR="004C7180" w:rsidRPr="00150EDC" w:rsidRDefault="004C7180">
      <w:pPr>
        <w:pStyle w:val="BodyText"/>
        <w:rPr>
          <w:b/>
        </w:rPr>
      </w:pPr>
    </w:p>
    <w:p w14:paraId="4B8C0902" w14:textId="77777777" w:rsidR="004C7180" w:rsidRPr="00150EDC" w:rsidRDefault="00CF0754">
      <w:pPr>
        <w:ind w:left="2415" w:right="31"/>
        <w:rPr>
          <w:b/>
          <w:sz w:val="24"/>
        </w:rPr>
      </w:pPr>
      <w:r w:rsidRPr="00150EDC">
        <w:rPr>
          <w:b/>
          <w:spacing w:val="-2"/>
          <w:sz w:val="24"/>
        </w:rPr>
        <w:t>“Dependent Parent Undertaking”</w:t>
      </w:r>
    </w:p>
    <w:p w14:paraId="56427215" w14:textId="77777777" w:rsidR="004C7180" w:rsidRPr="00150EDC" w:rsidRDefault="00CF0754">
      <w:pPr>
        <w:pStyle w:val="BodyText"/>
        <w:spacing w:before="92"/>
        <w:ind w:left="1699" w:right="1396"/>
        <w:jc w:val="both"/>
      </w:pPr>
      <w:r w:rsidRPr="00150EDC">
        <w:br w:type="column"/>
      </w:r>
      <w:r w:rsidRPr="00150EDC">
        <w:t>agreement being made with creditors of any member of the Supplier Group;</w:t>
      </w:r>
    </w:p>
    <w:p w14:paraId="4E1F8019" w14:textId="77777777" w:rsidR="004C7180" w:rsidRPr="00150EDC" w:rsidRDefault="00CF0754" w:rsidP="00B320C7">
      <w:pPr>
        <w:pStyle w:val="ListParagraph"/>
        <w:numPr>
          <w:ilvl w:val="0"/>
          <w:numId w:val="48"/>
        </w:numPr>
        <w:tabs>
          <w:tab w:val="left" w:pos="1697"/>
          <w:tab w:val="left" w:pos="1699"/>
        </w:tabs>
        <w:spacing w:before="120"/>
        <w:ind w:left="1699" w:right="1393"/>
        <w:jc w:val="both"/>
        <w:rPr>
          <w:sz w:val="24"/>
        </w:rPr>
      </w:pPr>
      <w:r w:rsidRPr="00150EDC">
        <w:rPr>
          <w:sz w:val="24"/>
        </w:rPr>
        <w:t>the appointment of a receiver, administrative receiver or administrator in respect of or over all or a material part of the undertaking or assets of any member of the Supplier Group; and/or</w:t>
      </w:r>
    </w:p>
    <w:p w14:paraId="29820B36" w14:textId="77777777" w:rsidR="004C7180" w:rsidRPr="00150EDC" w:rsidRDefault="00CF0754">
      <w:pPr>
        <w:pStyle w:val="BodyText"/>
        <w:spacing w:before="121"/>
        <w:ind w:left="259" w:right="1395"/>
        <w:jc w:val="both"/>
      </w:pPr>
      <w:r w:rsidRPr="00150EDC">
        <w:t>any</w:t>
      </w:r>
      <w:r w:rsidRPr="00150EDC">
        <w:rPr>
          <w:spacing w:val="-8"/>
        </w:rPr>
        <w:t xml:space="preserve"> </w:t>
      </w:r>
      <w:r w:rsidRPr="00150EDC">
        <w:t>process</w:t>
      </w:r>
      <w:r w:rsidRPr="00150EDC">
        <w:rPr>
          <w:spacing w:val="-8"/>
        </w:rPr>
        <w:t xml:space="preserve"> </w:t>
      </w:r>
      <w:r w:rsidRPr="00150EDC">
        <w:t>or</w:t>
      </w:r>
      <w:r w:rsidRPr="00150EDC">
        <w:rPr>
          <w:spacing w:val="-8"/>
        </w:rPr>
        <w:t xml:space="preserve"> </w:t>
      </w:r>
      <w:r w:rsidRPr="00150EDC">
        <w:t>events</w:t>
      </w:r>
      <w:r w:rsidRPr="00150EDC">
        <w:rPr>
          <w:spacing w:val="-10"/>
        </w:rPr>
        <w:t xml:space="preserve"> </w:t>
      </w:r>
      <w:r w:rsidRPr="00150EDC">
        <w:t>with</w:t>
      </w:r>
      <w:r w:rsidRPr="00150EDC">
        <w:rPr>
          <w:spacing w:val="-4"/>
        </w:rPr>
        <w:t xml:space="preserve"> </w:t>
      </w:r>
      <w:r w:rsidRPr="00150EDC">
        <w:t>an</w:t>
      </w:r>
      <w:r w:rsidRPr="00150EDC">
        <w:rPr>
          <w:spacing w:val="-7"/>
        </w:rPr>
        <w:t xml:space="preserve"> </w:t>
      </w:r>
      <w:r w:rsidRPr="00150EDC">
        <w:t>effect</w:t>
      </w:r>
      <w:r w:rsidRPr="00150EDC">
        <w:rPr>
          <w:spacing w:val="-7"/>
        </w:rPr>
        <w:t xml:space="preserve"> </w:t>
      </w:r>
      <w:r w:rsidRPr="00150EDC">
        <w:t>analogous</w:t>
      </w:r>
      <w:r w:rsidRPr="00150EDC">
        <w:rPr>
          <w:spacing w:val="-5"/>
        </w:rPr>
        <w:t xml:space="preserve"> </w:t>
      </w:r>
      <w:r w:rsidRPr="00150EDC">
        <w:t>to</w:t>
      </w:r>
      <w:r w:rsidRPr="00150EDC">
        <w:rPr>
          <w:spacing w:val="-7"/>
        </w:rPr>
        <w:t xml:space="preserve"> </w:t>
      </w:r>
      <w:r w:rsidRPr="00150EDC">
        <w:t>those in paragraphs (e) to (g) inclusive above occurring to a member of the Supplier Group in a jurisdiction outside England and Wales;</w:t>
      </w:r>
    </w:p>
    <w:p w14:paraId="7CF4DF12" w14:textId="77777777" w:rsidR="004C7180" w:rsidRPr="00150EDC" w:rsidRDefault="00CF0754">
      <w:pPr>
        <w:pStyle w:val="BodyText"/>
        <w:spacing w:before="218"/>
        <w:ind w:left="259" w:right="1478"/>
      </w:pPr>
      <w:r w:rsidRPr="00150EDC">
        <w:t>means those critical elements of UK national infrastructure (namely assets, facilities, systems, networks or processes and the essential workers that operate</w:t>
      </w:r>
      <w:r w:rsidRPr="00150EDC">
        <w:rPr>
          <w:spacing w:val="-3"/>
        </w:rPr>
        <w:t xml:space="preserve"> </w:t>
      </w:r>
      <w:r w:rsidRPr="00150EDC">
        <w:t>and</w:t>
      </w:r>
      <w:r w:rsidRPr="00150EDC">
        <w:rPr>
          <w:spacing w:val="-5"/>
        </w:rPr>
        <w:t xml:space="preserve"> </w:t>
      </w:r>
      <w:r w:rsidRPr="00150EDC">
        <w:t>facilitate</w:t>
      </w:r>
      <w:r w:rsidRPr="00150EDC">
        <w:rPr>
          <w:spacing w:val="-3"/>
        </w:rPr>
        <w:t xml:space="preserve"> </w:t>
      </w:r>
      <w:r w:rsidRPr="00150EDC">
        <w:t>them),</w:t>
      </w:r>
      <w:r w:rsidRPr="00150EDC">
        <w:rPr>
          <w:spacing w:val="-6"/>
        </w:rPr>
        <w:t xml:space="preserve"> </w:t>
      </w:r>
      <w:r w:rsidRPr="00150EDC">
        <w:t>the</w:t>
      </w:r>
      <w:r w:rsidRPr="00150EDC">
        <w:rPr>
          <w:spacing w:val="-3"/>
        </w:rPr>
        <w:t xml:space="preserve"> </w:t>
      </w:r>
      <w:r w:rsidRPr="00150EDC">
        <w:t>loss</w:t>
      </w:r>
      <w:r w:rsidRPr="00150EDC">
        <w:rPr>
          <w:spacing w:val="-6"/>
        </w:rPr>
        <w:t xml:space="preserve"> </w:t>
      </w:r>
      <w:r w:rsidRPr="00150EDC">
        <w:t>or</w:t>
      </w:r>
      <w:r w:rsidRPr="00150EDC">
        <w:rPr>
          <w:spacing w:val="-5"/>
        </w:rPr>
        <w:t xml:space="preserve"> </w:t>
      </w:r>
      <w:r w:rsidRPr="00150EDC">
        <w:t>compromise</w:t>
      </w:r>
      <w:r w:rsidRPr="00150EDC">
        <w:rPr>
          <w:spacing w:val="-5"/>
        </w:rPr>
        <w:t xml:space="preserve"> </w:t>
      </w:r>
      <w:r w:rsidRPr="00150EDC">
        <w:t>of which could result in:</w:t>
      </w:r>
    </w:p>
    <w:p w14:paraId="591EA82E" w14:textId="77777777" w:rsidR="004C7180" w:rsidRPr="00150EDC" w:rsidRDefault="00CF0754">
      <w:pPr>
        <w:pStyle w:val="BodyText"/>
        <w:spacing w:before="202"/>
        <w:ind w:left="259" w:right="1395"/>
        <w:jc w:val="both"/>
      </w:pPr>
      <w:r w:rsidRPr="00150EDC">
        <w:t>major detrimental impact on the availability, integrity or delivery</w:t>
      </w:r>
      <w:r w:rsidRPr="00150EDC">
        <w:rPr>
          <w:spacing w:val="-2"/>
        </w:rPr>
        <w:t xml:space="preserve"> </w:t>
      </w:r>
      <w:r w:rsidRPr="00150EDC">
        <w:t>of</w:t>
      </w:r>
      <w:r w:rsidRPr="00150EDC">
        <w:rPr>
          <w:spacing w:val="-1"/>
        </w:rPr>
        <w:t xml:space="preserve"> </w:t>
      </w:r>
      <w:r w:rsidRPr="00150EDC">
        <w:t>essential</w:t>
      </w:r>
      <w:r w:rsidRPr="00150EDC">
        <w:rPr>
          <w:spacing w:val="-2"/>
        </w:rPr>
        <w:t xml:space="preserve"> </w:t>
      </w:r>
      <w:r w:rsidRPr="00150EDC">
        <w:t>services</w:t>
      </w:r>
      <w:r w:rsidRPr="00150EDC">
        <w:rPr>
          <w:spacing w:val="-2"/>
        </w:rPr>
        <w:t xml:space="preserve"> </w:t>
      </w:r>
      <w:r w:rsidRPr="00150EDC">
        <w:t>– including</w:t>
      </w:r>
      <w:r w:rsidRPr="00150EDC">
        <w:rPr>
          <w:spacing w:val="-1"/>
        </w:rPr>
        <w:t xml:space="preserve"> </w:t>
      </w:r>
      <w:r w:rsidRPr="00150EDC">
        <w:t>those</w:t>
      </w:r>
      <w:r w:rsidRPr="00150EDC">
        <w:rPr>
          <w:spacing w:val="-1"/>
        </w:rPr>
        <w:t xml:space="preserve"> </w:t>
      </w:r>
      <w:r w:rsidRPr="00150EDC">
        <w:t>services whose integrity, if compromised, could result in significant</w:t>
      </w:r>
      <w:r w:rsidRPr="00150EDC">
        <w:rPr>
          <w:spacing w:val="-2"/>
        </w:rPr>
        <w:t xml:space="preserve"> </w:t>
      </w:r>
      <w:r w:rsidRPr="00150EDC">
        <w:t>loss</w:t>
      </w:r>
      <w:r w:rsidRPr="00150EDC">
        <w:rPr>
          <w:spacing w:val="-3"/>
        </w:rPr>
        <w:t xml:space="preserve"> </w:t>
      </w:r>
      <w:r w:rsidRPr="00150EDC">
        <w:t>of</w:t>
      </w:r>
      <w:r w:rsidRPr="00150EDC">
        <w:rPr>
          <w:spacing w:val="-2"/>
        </w:rPr>
        <w:t xml:space="preserve"> </w:t>
      </w:r>
      <w:r w:rsidRPr="00150EDC">
        <w:t>life</w:t>
      </w:r>
      <w:r w:rsidRPr="00150EDC">
        <w:rPr>
          <w:spacing w:val="-2"/>
        </w:rPr>
        <w:t xml:space="preserve"> </w:t>
      </w:r>
      <w:r w:rsidRPr="00150EDC">
        <w:t>or</w:t>
      </w:r>
      <w:r w:rsidRPr="00150EDC">
        <w:rPr>
          <w:spacing w:val="-4"/>
        </w:rPr>
        <w:t xml:space="preserve"> </w:t>
      </w:r>
      <w:r w:rsidRPr="00150EDC">
        <w:t>casualties</w:t>
      </w:r>
      <w:r w:rsidRPr="00150EDC">
        <w:rPr>
          <w:spacing w:val="-3"/>
        </w:rPr>
        <w:t xml:space="preserve"> </w:t>
      </w:r>
      <w:r w:rsidRPr="00150EDC">
        <w:t>–</w:t>
      </w:r>
      <w:r w:rsidRPr="00150EDC">
        <w:rPr>
          <w:spacing w:val="-2"/>
        </w:rPr>
        <w:t xml:space="preserve"> </w:t>
      </w:r>
      <w:r w:rsidRPr="00150EDC">
        <w:t>taking</w:t>
      </w:r>
      <w:r w:rsidRPr="00150EDC">
        <w:rPr>
          <w:spacing w:val="-2"/>
        </w:rPr>
        <w:t xml:space="preserve"> </w:t>
      </w:r>
      <w:r w:rsidRPr="00150EDC">
        <w:t>into</w:t>
      </w:r>
      <w:r w:rsidRPr="00150EDC">
        <w:rPr>
          <w:spacing w:val="-2"/>
        </w:rPr>
        <w:t xml:space="preserve"> </w:t>
      </w:r>
      <w:r w:rsidRPr="00150EDC">
        <w:t>account significant economic or social impacts; and/or</w:t>
      </w:r>
    </w:p>
    <w:p w14:paraId="0826C342" w14:textId="77777777" w:rsidR="004C7180" w:rsidRPr="00150EDC" w:rsidRDefault="004C7180">
      <w:pPr>
        <w:pStyle w:val="BodyText"/>
        <w:spacing w:before="10"/>
        <w:rPr>
          <w:sz w:val="20"/>
        </w:rPr>
      </w:pPr>
    </w:p>
    <w:p w14:paraId="521D6696" w14:textId="77777777" w:rsidR="004C7180" w:rsidRPr="00150EDC" w:rsidRDefault="00CF0754">
      <w:pPr>
        <w:pStyle w:val="BodyText"/>
        <w:ind w:left="259" w:right="1478"/>
      </w:pPr>
      <w:r w:rsidRPr="00150EDC">
        <w:t>significant</w:t>
      </w:r>
      <w:r w:rsidRPr="00150EDC">
        <w:rPr>
          <w:spacing w:val="-7"/>
        </w:rPr>
        <w:t xml:space="preserve"> </w:t>
      </w:r>
      <w:r w:rsidRPr="00150EDC">
        <w:t>impact</w:t>
      </w:r>
      <w:r w:rsidRPr="00150EDC">
        <w:rPr>
          <w:spacing w:val="-7"/>
        </w:rPr>
        <w:t xml:space="preserve"> </w:t>
      </w:r>
      <w:r w:rsidRPr="00150EDC">
        <w:t>on</w:t>
      </w:r>
      <w:r w:rsidRPr="00150EDC">
        <w:rPr>
          <w:spacing w:val="-4"/>
        </w:rPr>
        <w:t xml:space="preserve"> </w:t>
      </w:r>
      <w:r w:rsidRPr="00150EDC">
        <w:t>the</w:t>
      </w:r>
      <w:r w:rsidRPr="00150EDC">
        <w:rPr>
          <w:spacing w:val="-4"/>
        </w:rPr>
        <w:t xml:space="preserve"> </w:t>
      </w:r>
      <w:r w:rsidRPr="00150EDC">
        <w:t>national</w:t>
      </w:r>
      <w:r w:rsidRPr="00150EDC">
        <w:rPr>
          <w:spacing w:val="-5"/>
        </w:rPr>
        <w:t xml:space="preserve"> </w:t>
      </w:r>
      <w:r w:rsidRPr="00150EDC">
        <w:t>security,</w:t>
      </w:r>
      <w:r w:rsidRPr="00150EDC">
        <w:rPr>
          <w:spacing w:val="-7"/>
        </w:rPr>
        <w:t xml:space="preserve"> </w:t>
      </w:r>
      <w:r w:rsidRPr="00150EDC">
        <w:t>national defence, or the functioning of the UK;</w:t>
      </w:r>
    </w:p>
    <w:p w14:paraId="4CF55764" w14:textId="77777777" w:rsidR="004C7180" w:rsidRPr="00150EDC" w:rsidRDefault="00CF0754">
      <w:pPr>
        <w:pStyle w:val="BodyText"/>
        <w:spacing w:before="118"/>
        <w:ind w:left="259" w:right="1478"/>
      </w:pPr>
      <w:r w:rsidRPr="00150EDC">
        <w:t>a</w:t>
      </w:r>
      <w:r w:rsidRPr="00150EDC">
        <w:rPr>
          <w:spacing w:val="-3"/>
        </w:rPr>
        <w:t xml:space="preserve"> </w:t>
      </w:r>
      <w:r w:rsidRPr="00150EDC">
        <w:t>service</w:t>
      </w:r>
      <w:r w:rsidRPr="00150EDC">
        <w:rPr>
          <w:spacing w:val="-3"/>
        </w:rPr>
        <w:t xml:space="preserve"> </w:t>
      </w:r>
      <w:r w:rsidRPr="00150EDC">
        <w:t>contract</w:t>
      </w:r>
      <w:r w:rsidRPr="00150EDC">
        <w:rPr>
          <w:spacing w:val="-6"/>
        </w:rPr>
        <w:t xml:space="preserve"> </w:t>
      </w:r>
      <w:r w:rsidRPr="00150EDC">
        <w:t>which</w:t>
      </w:r>
      <w:r w:rsidRPr="00150EDC">
        <w:rPr>
          <w:spacing w:val="-3"/>
        </w:rPr>
        <w:t xml:space="preserve"> </w:t>
      </w:r>
      <w:r w:rsidRPr="00150EDC">
        <w:t>the</w:t>
      </w:r>
      <w:r w:rsidRPr="00150EDC">
        <w:rPr>
          <w:spacing w:val="-3"/>
        </w:rPr>
        <w:t xml:space="preserve"> </w:t>
      </w:r>
      <w:r w:rsidRPr="00150EDC">
        <w:t>Buyer</w:t>
      </w:r>
      <w:r w:rsidRPr="00150EDC">
        <w:rPr>
          <w:spacing w:val="-5"/>
        </w:rPr>
        <w:t xml:space="preserve"> </w:t>
      </w:r>
      <w:r w:rsidRPr="00150EDC">
        <w:t>has</w:t>
      </w:r>
      <w:r w:rsidRPr="00150EDC">
        <w:rPr>
          <w:spacing w:val="-4"/>
        </w:rPr>
        <w:t xml:space="preserve"> </w:t>
      </w:r>
      <w:r w:rsidRPr="00150EDC">
        <w:t>categorised</w:t>
      </w:r>
      <w:r w:rsidRPr="00150EDC">
        <w:rPr>
          <w:spacing w:val="-3"/>
        </w:rPr>
        <w:t xml:space="preserve"> </w:t>
      </w:r>
      <w:r w:rsidRPr="00150EDC">
        <w:t>as a Gold Contract using the Cabinet Office Contract Tiering Tool or which the Buyer otherwise considers should be classed as a Critical Service Contract;</w:t>
      </w:r>
    </w:p>
    <w:p w14:paraId="7B267B6E" w14:textId="77777777" w:rsidR="004C7180" w:rsidRPr="00150EDC" w:rsidRDefault="00CF0754">
      <w:pPr>
        <w:pStyle w:val="BodyText"/>
        <w:spacing w:before="220"/>
        <w:ind w:left="259"/>
      </w:pPr>
      <w:r w:rsidRPr="00150EDC">
        <w:t>means,</w:t>
      </w:r>
      <w:r w:rsidRPr="00150EDC">
        <w:rPr>
          <w:spacing w:val="-5"/>
        </w:rPr>
        <w:t xml:space="preserve"> </w:t>
      </w:r>
      <w:r w:rsidRPr="00150EDC">
        <w:t>together,</w:t>
      </w:r>
      <w:r w:rsidRPr="00150EDC">
        <w:rPr>
          <w:spacing w:val="-2"/>
        </w:rPr>
        <w:t xml:space="preserve"> </w:t>
      </w:r>
      <w:r w:rsidRPr="00150EDC">
        <w:rPr>
          <w:spacing w:val="-4"/>
        </w:rPr>
        <w:t>the:</w:t>
      </w:r>
    </w:p>
    <w:p w14:paraId="0E5A1E94" w14:textId="77777777" w:rsidR="004C7180" w:rsidRPr="00150EDC" w:rsidRDefault="00CF0754">
      <w:pPr>
        <w:pStyle w:val="BodyText"/>
        <w:spacing w:before="200"/>
        <w:ind w:left="259" w:right="1528"/>
      </w:pPr>
      <w:r w:rsidRPr="00150EDC">
        <w:t>Group</w:t>
      </w:r>
      <w:r w:rsidRPr="00150EDC">
        <w:rPr>
          <w:spacing w:val="-8"/>
        </w:rPr>
        <w:t xml:space="preserve"> </w:t>
      </w:r>
      <w:r w:rsidRPr="00150EDC">
        <w:t>Structure</w:t>
      </w:r>
      <w:r w:rsidRPr="00150EDC">
        <w:rPr>
          <w:spacing w:val="-6"/>
        </w:rPr>
        <w:t xml:space="preserve"> </w:t>
      </w:r>
      <w:r w:rsidRPr="00150EDC">
        <w:t>Information</w:t>
      </w:r>
      <w:r w:rsidRPr="00150EDC">
        <w:rPr>
          <w:spacing w:val="-8"/>
        </w:rPr>
        <w:t xml:space="preserve"> </w:t>
      </w:r>
      <w:r w:rsidRPr="00150EDC">
        <w:t>and</w:t>
      </w:r>
      <w:r w:rsidRPr="00150EDC">
        <w:rPr>
          <w:spacing w:val="-8"/>
        </w:rPr>
        <w:t xml:space="preserve"> </w:t>
      </w:r>
      <w:r w:rsidRPr="00150EDC">
        <w:t>Resolution Commentary; and</w:t>
      </w:r>
    </w:p>
    <w:p w14:paraId="3253D1BC" w14:textId="77777777" w:rsidR="004C7180" w:rsidRPr="00150EDC" w:rsidRDefault="00CF0754">
      <w:pPr>
        <w:pStyle w:val="BodyText"/>
        <w:spacing w:before="87" w:line="390" w:lineRule="atLeast"/>
        <w:ind w:left="259" w:right="1528"/>
      </w:pPr>
      <w:r w:rsidRPr="00150EDC">
        <w:t>UK Public Sector and CNI Contract Information; means</w:t>
      </w:r>
      <w:r w:rsidRPr="00150EDC">
        <w:rPr>
          <w:spacing w:val="-5"/>
        </w:rPr>
        <w:t xml:space="preserve"> </w:t>
      </w:r>
      <w:r w:rsidRPr="00150EDC">
        <w:t>any</w:t>
      </w:r>
      <w:r w:rsidRPr="00150EDC">
        <w:rPr>
          <w:spacing w:val="-5"/>
        </w:rPr>
        <w:t xml:space="preserve"> </w:t>
      </w:r>
      <w:r w:rsidRPr="00150EDC">
        <w:t>Parent</w:t>
      </w:r>
      <w:r w:rsidRPr="00150EDC">
        <w:rPr>
          <w:spacing w:val="-7"/>
        </w:rPr>
        <w:t xml:space="preserve"> </w:t>
      </w:r>
      <w:r w:rsidRPr="00150EDC">
        <w:t>Undertaking</w:t>
      </w:r>
      <w:r w:rsidRPr="00150EDC">
        <w:rPr>
          <w:spacing w:val="-4"/>
        </w:rPr>
        <w:t xml:space="preserve"> </w:t>
      </w:r>
      <w:r w:rsidRPr="00150EDC">
        <w:t>which</w:t>
      </w:r>
      <w:r w:rsidRPr="00150EDC">
        <w:rPr>
          <w:spacing w:val="-4"/>
        </w:rPr>
        <w:t xml:space="preserve"> </w:t>
      </w:r>
      <w:r w:rsidRPr="00150EDC">
        <w:t>provides</w:t>
      </w:r>
      <w:r w:rsidRPr="00150EDC">
        <w:rPr>
          <w:spacing w:val="-5"/>
        </w:rPr>
        <w:t xml:space="preserve"> </w:t>
      </w:r>
      <w:r w:rsidRPr="00150EDC">
        <w:t>any</w:t>
      </w:r>
      <w:r w:rsidRPr="00150EDC">
        <w:rPr>
          <w:spacing w:val="-7"/>
        </w:rPr>
        <w:t xml:space="preserve"> </w:t>
      </w:r>
      <w:r w:rsidRPr="00150EDC">
        <w:t>of</w:t>
      </w:r>
    </w:p>
    <w:p w14:paraId="54A1D517" w14:textId="77777777" w:rsidR="004C7180" w:rsidRPr="00150EDC" w:rsidRDefault="00CF0754">
      <w:pPr>
        <w:pStyle w:val="BodyText"/>
        <w:spacing w:before="6"/>
        <w:ind w:left="259" w:right="1300"/>
      </w:pPr>
      <w:r w:rsidRPr="00150EDC">
        <w:t>its</w:t>
      </w:r>
      <w:r w:rsidRPr="00150EDC">
        <w:rPr>
          <w:spacing w:val="-6"/>
        </w:rPr>
        <w:t xml:space="preserve"> </w:t>
      </w:r>
      <w:r w:rsidRPr="00150EDC">
        <w:t>Subsidiary</w:t>
      </w:r>
      <w:r w:rsidRPr="00150EDC">
        <w:rPr>
          <w:spacing w:val="-6"/>
        </w:rPr>
        <w:t xml:space="preserve"> </w:t>
      </w:r>
      <w:r w:rsidRPr="00150EDC">
        <w:t>Undertakings</w:t>
      </w:r>
      <w:r w:rsidRPr="00150EDC">
        <w:rPr>
          <w:spacing w:val="-6"/>
        </w:rPr>
        <w:t xml:space="preserve"> </w:t>
      </w:r>
      <w:r w:rsidRPr="00150EDC">
        <w:t>and/or</w:t>
      </w:r>
      <w:r w:rsidRPr="00150EDC">
        <w:rPr>
          <w:spacing w:val="-9"/>
        </w:rPr>
        <w:t xml:space="preserve"> </w:t>
      </w:r>
      <w:r w:rsidRPr="00150EDC">
        <w:t>Associates,</w:t>
      </w:r>
      <w:r w:rsidRPr="00150EDC">
        <w:rPr>
          <w:spacing w:val="-5"/>
        </w:rPr>
        <w:t xml:space="preserve"> </w:t>
      </w:r>
      <w:r w:rsidRPr="00150EDC">
        <w:t>whether directly or indirectly, with any financial, trading, managerial or other assistance of whatever nature, without which the Supplier</w:t>
      </w:r>
      <w:r w:rsidRPr="00150EDC">
        <w:rPr>
          <w:spacing w:val="-2"/>
        </w:rPr>
        <w:t xml:space="preserve"> </w:t>
      </w:r>
      <w:r w:rsidRPr="00150EDC">
        <w:t>would</w:t>
      </w:r>
      <w:r w:rsidRPr="00150EDC">
        <w:rPr>
          <w:spacing w:val="-2"/>
        </w:rPr>
        <w:t xml:space="preserve"> </w:t>
      </w:r>
      <w:r w:rsidRPr="00150EDC">
        <w:t>be</w:t>
      </w:r>
      <w:r w:rsidRPr="00150EDC">
        <w:rPr>
          <w:spacing w:val="-2"/>
        </w:rPr>
        <w:t xml:space="preserve"> </w:t>
      </w:r>
      <w:r w:rsidRPr="00150EDC">
        <w:t>unable to continue the day to day conduct and operation of its business in the same manner as carried on at the time of entering into the Contract, including for the avoidance of doubt the</w:t>
      </w:r>
      <w:r w:rsidRPr="00150EDC">
        <w:rPr>
          <w:spacing w:val="-5"/>
        </w:rPr>
        <w:t xml:space="preserve"> </w:t>
      </w:r>
      <w:r w:rsidRPr="00150EDC">
        <w:t>provision</w:t>
      </w:r>
      <w:r w:rsidRPr="00150EDC">
        <w:rPr>
          <w:spacing w:val="-5"/>
        </w:rPr>
        <w:t xml:space="preserve"> </w:t>
      </w:r>
      <w:r w:rsidRPr="00150EDC">
        <w:t>of</w:t>
      </w:r>
      <w:r w:rsidRPr="00150EDC">
        <w:rPr>
          <w:spacing w:val="-3"/>
        </w:rPr>
        <w:t xml:space="preserve"> </w:t>
      </w:r>
      <w:r w:rsidRPr="00150EDC">
        <w:t>the</w:t>
      </w:r>
      <w:r w:rsidRPr="00150EDC">
        <w:rPr>
          <w:spacing w:val="-3"/>
        </w:rPr>
        <w:t xml:space="preserve"> </w:t>
      </w:r>
      <w:r w:rsidRPr="00150EDC">
        <w:t>Deliverables</w:t>
      </w:r>
      <w:r w:rsidRPr="00150EDC">
        <w:rPr>
          <w:spacing w:val="-4"/>
        </w:rPr>
        <w:t xml:space="preserve"> </w:t>
      </w:r>
      <w:r w:rsidRPr="00150EDC">
        <w:t>in</w:t>
      </w:r>
      <w:r w:rsidRPr="00150EDC">
        <w:rPr>
          <w:spacing w:val="-5"/>
        </w:rPr>
        <w:t xml:space="preserve"> </w:t>
      </w:r>
      <w:r w:rsidRPr="00150EDC">
        <w:t>accordance</w:t>
      </w:r>
      <w:r w:rsidRPr="00150EDC">
        <w:rPr>
          <w:spacing w:val="-3"/>
        </w:rPr>
        <w:t xml:space="preserve"> </w:t>
      </w:r>
      <w:r w:rsidRPr="00150EDC">
        <w:t>with</w:t>
      </w:r>
      <w:r w:rsidRPr="00150EDC">
        <w:rPr>
          <w:spacing w:val="-3"/>
        </w:rPr>
        <w:t xml:space="preserve"> </w:t>
      </w:r>
      <w:r w:rsidRPr="00150EDC">
        <w:t>the terms of the Contract;</w:t>
      </w:r>
    </w:p>
    <w:p w14:paraId="5F78AB3F" w14:textId="77777777" w:rsidR="004C7180" w:rsidRPr="00150EDC" w:rsidRDefault="004C7180">
      <w:pPr>
        <w:sectPr w:rsidR="004C7180" w:rsidRPr="00150EDC">
          <w:type w:val="continuous"/>
          <w:pgSz w:w="11910" w:h="16840"/>
          <w:pgMar w:top="1140" w:right="0" w:bottom="280" w:left="40" w:header="715" w:footer="1192" w:gutter="0"/>
          <w:cols w:num="2" w:space="720" w:equalWidth="0">
            <w:col w:w="4273" w:space="40"/>
            <w:col w:w="7557"/>
          </w:cols>
        </w:sectPr>
      </w:pPr>
    </w:p>
    <w:p w14:paraId="334E6C33" w14:textId="77777777" w:rsidR="004C7180" w:rsidRPr="00150EDC" w:rsidRDefault="004C7180">
      <w:pPr>
        <w:pStyle w:val="BodyText"/>
        <w:rPr>
          <w:sz w:val="20"/>
        </w:rPr>
      </w:pPr>
    </w:p>
    <w:p w14:paraId="6299B1F9" w14:textId="77777777" w:rsidR="004C7180" w:rsidRPr="00150EDC" w:rsidRDefault="004C7180">
      <w:pPr>
        <w:pStyle w:val="BodyText"/>
        <w:rPr>
          <w:sz w:val="20"/>
        </w:rPr>
      </w:pPr>
    </w:p>
    <w:p w14:paraId="3D4D884E" w14:textId="77777777" w:rsidR="004C7180" w:rsidRPr="00150EDC" w:rsidRDefault="004C7180">
      <w:pPr>
        <w:pStyle w:val="BodyText"/>
        <w:spacing w:before="3"/>
        <w:rPr>
          <w:sz w:val="15"/>
        </w:rPr>
      </w:pPr>
    </w:p>
    <w:tbl>
      <w:tblPr>
        <w:tblW w:w="0" w:type="auto"/>
        <w:tblInd w:w="2372" w:type="dxa"/>
        <w:tblLayout w:type="fixed"/>
        <w:tblCellMar>
          <w:left w:w="0" w:type="dxa"/>
          <w:right w:w="0" w:type="dxa"/>
        </w:tblCellMar>
        <w:tblLook w:val="01E0" w:firstRow="1" w:lastRow="1" w:firstColumn="1" w:lastColumn="1" w:noHBand="0" w:noVBand="0"/>
      </w:tblPr>
      <w:tblGrid>
        <w:gridCol w:w="2077"/>
        <w:gridCol w:w="6025"/>
      </w:tblGrid>
      <w:tr w:rsidR="004569EE" w:rsidRPr="007D3144" w14:paraId="5E330E1C" w14:textId="77777777">
        <w:trPr>
          <w:trHeight w:val="1160"/>
        </w:trPr>
        <w:tc>
          <w:tcPr>
            <w:tcW w:w="2077" w:type="dxa"/>
          </w:tcPr>
          <w:p w14:paraId="6272F2EC" w14:textId="77777777" w:rsidR="004C7180" w:rsidRPr="00150EDC" w:rsidRDefault="00CF0754">
            <w:pPr>
              <w:pStyle w:val="TableParagraph"/>
              <w:spacing w:before="0" w:line="268" w:lineRule="exact"/>
              <w:ind w:left="50"/>
              <w:rPr>
                <w:b/>
                <w:sz w:val="24"/>
              </w:rPr>
            </w:pPr>
            <w:r w:rsidRPr="00150EDC">
              <w:rPr>
                <w:b/>
                <w:spacing w:val="-2"/>
                <w:sz w:val="24"/>
              </w:rPr>
              <w:t>"Disaster"</w:t>
            </w:r>
          </w:p>
        </w:tc>
        <w:tc>
          <w:tcPr>
            <w:tcW w:w="6025" w:type="dxa"/>
          </w:tcPr>
          <w:p w14:paraId="6EDE38B9" w14:textId="77777777" w:rsidR="004C7180" w:rsidRPr="00150EDC" w:rsidRDefault="00CF0754">
            <w:pPr>
              <w:pStyle w:val="TableParagraph"/>
              <w:spacing w:before="0" w:line="240" w:lineRule="auto"/>
              <w:ind w:left="130"/>
              <w:rPr>
                <w:sz w:val="24"/>
              </w:rPr>
            </w:pPr>
            <w:r w:rsidRPr="00150EDC">
              <w:rPr>
                <w:sz w:val="24"/>
              </w:rPr>
              <w:t>the occurrence of one or more events which, either separately</w:t>
            </w:r>
            <w:r w:rsidRPr="00150EDC">
              <w:rPr>
                <w:spacing w:val="-6"/>
                <w:sz w:val="24"/>
              </w:rPr>
              <w:t xml:space="preserve"> </w:t>
            </w:r>
            <w:r w:rsidRPr="00150EDC">
              <w:rPr>
                <w:sz w:val="24"/>
              </w:rPr>
              <w:t>or</w:t>
            </w:r>
            <w:r w:rsidRPr="00150EDC">
              <w:rPr>
                <w:spacing w:val="-7"/>
                <w:sz w:val="24"/>
              </w:rPr>
              <w:t xml:space="preserve"> </w:t>
            </w:r>
            <w:r w:rsidRPr="00150EDC">
              <w:rPr>
                <w:sz w:val="24"/>
              </w:rPr>
              <w:t>cumulatively,</w:t>
            </w:r>
            <w:r w:rsidRPr="00150EDC">
              <w:rPr>
                <w:spacing w:val="-6"/>
                <w:sz w:val="24"/>
              </w:rPr>
              <w:t xml:space="preserve"> </w:t>
            </w:r>
            <w:r w:rsidRPr="00150EDC">
              <w:rPr>
                <w:sz w:val="24"/>
              </w:rPr>
              <w:t>mean</w:t>
            </w:r>
            <w:r w:rsidRPr="00150EDC">
              <w:rPr>
                <w:spacing w:val="-7"/>
                <w:sz w:val="24"/>
              </w:rPr>
              <w:t xml:space="preserve"> </w:t>
            </w:r>
            <w:r w:rsidRPr="00150EDC">
              <w:rPr>
                <w:sz w:val="24"/>
              </w:rPr>
              <w:t>that</w:t>
            </w:r>
            <w:r w:rsidRPr="00150EDC">
              <w:rPr>
                <w:spacing w:val="-6"/>
                <w:sz w:val="24"/>
              </w:rPr>
              <w:t xml:space="preserve"> </w:t>
            </w:r>
            <w:r w:rsidRPr="00150EDC">
              <w:rPr>
                <w:sz w:val="24"/>
              </w:rPr>
              <w:t>the</w:t>
            </w:r>
            <w:r w:rsidRPr="00150EDC">
              <w:rPr>
                <w:spacing w:val="-6"/>
                <w:sz w:val="24"/>
              </w:rPr>
              <w:t xml:space="preserve"> </w:t>
            </w:r>
            <w:r w:rsidRPr="00150EDC">
              <w:rPr>
                <w:sz w:val="24"/>
              </w:rPr>
              <w:t>Deliverables, or a material part thereof will be unavailable (or could reasonably be anticipated to be unavailable);</w:t>
            </w:r>
          </w:p>
        </w:tc>
      </w:tr>
      <w:tr w:rsidR="004569EE" w:rsidRPr="007D3144" w14:paraId="357A3B9F" w14:textId="77777777">
        <w:trPr>
          <w:trHeight w:val="947"/>
        </w:trPr>
        <w:tc>
          <w:tcPr>
            <w:tcW w:w="2077" w:type="dxa"/>
          </w:tcPr>
          <w:p w14:paraId="67B14094" w14:textId="77777777" w:rsidR="004C7180" w:rsidRPr="00150EDC" w:rsidRDefault="00CF0754">
            <w:pPr>
              <w:pStyle w:val="TableParagraph"/>
              <w:spacing w:before="56" w:line="240" w:lineRule="auto"/>
              <w:ind w:left="50"/>
              <w:rPr>
                <w:b/>
                <w:sz w:val="24"/>
              </w:rPr>
            </w:pPr>
            <w:r w:rsidRPr="00150EDC">
              <w:rPr>
                <w:b/>
                <w:spacing w:val="-2"/>
                <w:sz w:val="24"/>
              </w:rPr>
              <w:t>"Disaster Recovery Deliverables"</w:t>
            </w:r>
          </w:p>
        </w:tc>
        <w:tc>
          <w:tcPr>
            <w:tcW w:w="6025" w:type="dxa"/>
          </w:tcPr>
          <w:p w14:paraId="16076A00" w14:textId="77777777" w:rsidR="004C7180" w:rsidRPr="00150EDC" w:rsidRDefault="00CF0754">
            <w:pPr>
              <w:pStyle w:val="TableParagraph"/>
              <w:spacing w:before="56" w:line="240" w:lineRule="auto"/>
              <w:ind w:left="130"/>
              <w:rPr>
                <w:sz w:val="24"/>
              </w:rPr>
            </w:pPr>
            <w:r w:rsidRPr="00150EDC">
              <w:rPr>
                <w:sz w:val="24"/>
              </w:rPr>
              <w:t>the Deliverables embodied in the processes and procedures</w:t>
            </w:r>
            <w:r w:rsidRPr="00150EDC">
              <w:rPr>
                <w:spacing w:val="-6"/>
                <w:sz w:val="24"/>
              </w:rPr>
              <w:t xml:space="preserve"> </w:t>
            </w:r>
            <w:r w:rsidRPr="00150EDC">
              <w:rPr>
                <w:sz w:val="24"/>
              </w:rPr>
              <w:t>for</w:t>
            </w:r>
            <w:r w:rsidRPr="00150EDC">
              <w:rPr>
                <w:spacing w:val="-7"/>
                <w:sz w:val="24"/>
              </w:rPr>
              <w:t xml:space="preserve"> </w:t>
            </w:r>
            <w:r w:rsidRPr="00150EDC">
              <w:rPr>
                <w:sz w:val="24"/>
              </w:rPr>
              <w:t>restoring</w:t>
            </w:r>
            <w:r w:rsidRPr="00150EDC">
              <w:rPr>
                <w:spacing w:val="-5"/>
                <w:sz w:val="24"/>
              </w:rPr>
              <w:t xml:space="preserve"> </w:t>
            </w:r>
            <w:r w:rsidRPr="00150EDC">
              <w:rPr>
                <w:sz w:val="24"/>
              </w:rPr>
              <w:t>the</w:t>
            </w:r>
            <w:r w:rsidRPr="00150EDC">
              <w:rPr>
                <w:spacing w:val="-5"/>
                <w:sz w:val="24"/>
              </w:rPr>
              <w:t xml:space="preserve"> </w:t>
            </w:r>
            <w:r w:rsidRPr="00150EDC">
              <w:rPr>
                <w:sz w:val="24"/>
              </w:rPr>
              <w:t>provision</w:t>
            </w:r>
            <w:r w:rsidRPr="00150EDC">
              <w:rPr>
                <w:spacing w:val="-5"/>
                <w:sz w:val="24"/>
              </w:rPr>
              <w:t xml:space="preserve"> </w:t>
            </w:r>
            <w:r w:rsidRPr="00150EDC">
              <w:rPr>
                <w:sz w:val="24"/>
              </w:rPr>
              <w:t>of</w:t>
            </w:r>
            <w:r w:rsidRPr="00150EDC">
              <w:rPr>
                <w:spacing w:val="-8"/>
                <w:sz w:val="24"/>
              </w:rPr>
              <w:t xml:space="preserve"> </w:t>
            </w:r>
            <w:r w:rsidRPr="00150EDC">
              <w:rPr>
                <w:sz w:val="24"/>
              </w:rPr>
              <w:t>Deliverables following the occurrence of a Disaster;</w:t>
            </w:r>
          </w:p>
        </w:tc>
      </w:tr>
      <w:tr w:rsidR="004569EE" w:rsidRPr="007D3144" w14:paraId="3557479C" w14:textId="77777777">
        <w:trPr>
          <w:trHeight w:val="672"/>
        </w:trPr>
        <w:tc>
          <w:tcPr>
            <w:tcW w:w="2077" w:type="dxa"/>
          </w:tcPr>
          <w:p w14:paraId="2D4E1064" w14:textId="77777777" w:rsidR="004C7180" w:rsidRPr="00150EDC" w:rsidRDefault="00CF0754">
            <w:pPr>
              <w:pStyle w:val="TableParagraph"/>
              <w:spacing w:before="56" w:line="240" w:lineRule="auto"/>
              <w:ind w:left="50"/>
              <w:rPr>
                <w:b/>
                <w:sz w:val="24"/>
              </w:rPr>
            </w:pPr>
            <w:r w:rsidRPr="00150EDC">
              <w:rPr>
                <w:b/>
                <w:spacing w:val="-2"/>
                <w:sz w:val="24"/>
              </w:rPr>
              <w:t xml:space="preserve">"Disaster </w:t>
            </w:r>
            <w:r w:rsidRPr="00150EDC">
              <w:rPr>
                <w:b/>
                <w:sz w:val="24"/>
              </w:rPr>
              <w:t>Recovery</w:t>
            </w:r>
            <w:r w:rsidRPr="00150EDC">
              <w:rPr>
                <w:b/>
                <w:spacing w:val="-17"/>
                <w:sz w:val="24"/>
              </w:rPr>
              <w:t xml:space="preserve"> </w:t>
            </w:r>
            <w:r w:rsidRPr="00150EDC">
              <w:rPr>
                <w:b/>
                <w:sz w:val="24"/>
              </w:rPr>
              <w:t>Plan"</w:t>
            </w:r>
          </w:p>
        </w:tc>
        <w:tc>
          <w:tcPr>
            <w:tcW w:w="6025" w:type="dxa"/>
          </w:tcPr>
          <w:p w14:paraId="26D786B3" w14:textId="77777777" w:rsidR="004C7180" w:rsidRPr="00150EDC" w:rsidRDefault="00CF0754">
            <w:pPr>
              <w:pStyle w:val="TableParagraph"/>
              <w:spacing w:before="56" w:line="240" w:lineRule="auto"/>
              <w:ind w:left="130"/>
              <w:rPr>
                <w:sz w:val="24"/>
              </w:rPr>
            </w:pPr>
            <w:r w:rsidRPr="00150EDC">
              <w:rPr>
                <w:sz w:val="24"/>
              </w:rPr>
              <w:t>has</w:t>
            </w:r>
            <w:r w:rsidRPr="00150EDC">
              <w:rPr>
                <w:spacing w:val="-4"/>
                <w:sz w:val="24"/>
              </w:rPr>
              <w:t xml:space="preserve"> </w:t>
            </w:r>
            <w:r w:rsidRPr="00150EDC">
              <w:rPr>
                <w:sz w:val="24"/>
              </w:rPr>
              <w:t>the</w:t>
            </w:r>
            <w:r w:rsidRPr="00150EDC">
              <w:rPr>
                <w:spacing w:val="-5"/>
                <w:sz w:val="24"/>
              </w:rPr>
              <w:t xml:space="preserve"> </w:t>
            </w:r>
            <w:r w:rsidRPr="00150EDC">
              <w:rPr>
                <w:sz w:val="24"/>
              </w:rPr>
              <w:t>meaning</w:t>
            </w:r>
            <w:r w:rsidRPr="00150EDC">
              <w:rPr>
                <w:spacing w:val="-3"/>
                <w:sz w:val="24"/>
              </w:rPr>
              <w:t xml:space="preserve"> </w:t>
            </w:r>
            <w:r w:rsidRPr="00150EDC">
              <w:rPr>
                <w:sz w:val="24"/>
              </w:rPr>
              <w:t>given</w:t>
            </w:r>
            <w:r w:rsidRPr="00150EDC">
              <w:rPr>
                <w:spacing w:val="-5"/>
                <w:sz w:val="24"/>
              </w:rPr>
              <w:t xml:space="preserve"> </w:t>
            </w:r>
            <w:r w:rsidRPr="00150EDC">
              <w:rPr>
                <w:sz w:val="24"/>
              </w:rPr>
              <w:t>to</w:t>
            </w:r>
            <w:r w:rsidRPr="00150EDC">
              <w:rPr>
                <w:spacing w:val="-3"/>
                <w:sz w:val="24"/>
              </w:rPr>
              <w:t xml:space="preserve"> </w:t>
            </w:r>
            <w:r w:rsidRPr="00150EDC">
              <w:rPr>
                <w:sz w:val="24"/>
              </w:rPr>
              <w:t>it</w:t>
            </w:r>
            <w:r w:rsidRPr="00150EDC">
              <w:rPr>
                <w:spacing w:val="-3"/>
                <w:sz w:val="24"/>
              </w:rPr>
              <w:t xml:space="preserve"> </w:t>
            </w:r>
            <w:r w:rsidRPr="00150EDC">
              <w:rPr>
                <w:sz w:val="24"/>
              </w:rPr>
              <w:t>in</w:t>
            </w:r>
            <w:r w:rsidRPr="00150EDC">
              <w:rPr>
                <w:spacing w:val="-5"/>
                <w:sz w:val="24"/>
              </w:rPr>
              <w:t xml:space="preserve"> </w:t>
            </w:r>
            <w:r w:rsidRPr="00150EDC">
              <w:rPr>
                <w:sz w:val="24"/>
              </w:rPr>
              <w:t>Paragraph</w:t>
            </w:r>
            <w:r w:rsidRPr="00150EDC">
              <w:rPr>
                <w:spacing w:val="-3"/>
                <w:sz w:val="24"/>
              </w:rPr>
              <w:t xml:space="preserve"> </w:t>
            </w:r>
            <w:r w:rsidRPr="00150EDC">
              <w:rPr>
                <w:sz w:val="24"/>
              </w:rPr>
              <w:t>2.3.3</w:t>
            </w:r>
            <w:r w:rsidRPr="00150EDC">
              <w:rPr>
                <w:spacing w:val="-3"/>
                <w:sz w:val="24"/>
              </w:rPr>
              <w:t xml:space="preserve"> </w:t>
            </w:r>
            <w:r w:rsidRPr="00150EDC">
              <w:rPr>
                <w:sz w:val="24"/>
              </w:rPr>
              <w:t>of</w:t>
            </w:r>
            <w:r w:rsidRPr="00150EDC">
              <w:rPr>
                <w:spacing w:val="-6"/>
                <w:sz w:val="24"/>
              </w:rPr>
              <w:t xml:space="preserve"> </w:t>
            </w:r>
            <w:r w:rsidRPr="00150EDC">
              <w:rPr>
                <w:sz w:val="24"/>
              </w:rPr>
              <w:t xml:space="preserve">this </w:t>
            </w:r>
            <w:r w:rsidRPr="00150EDC">
              <w:rPr>
                <w:spacing w:val="-2"/>
                <w:sz w:val="24"/>
              </w:rPr>
              <w:t>Schedule;</w:t>
            </w:r>
          </w:p>
        </w:tc>
      </w:tr>
      <w:tr w:rsidR="004569EE" w:rsidRPr="007D3144" w14:paraId="1D3CEDD4" w14:textId="77777777">
        <w:trPr>
          <w:trHeight w:val="947"/>
        </w:trPr>
        <w:tc>
          <w:tcPr>
            <w:tcW w:w="2077" w:type="dxa"/>
          </w:tcPr>
          <w:p w14:paraId="7063098E" w14:textId="77777777" w:rsidR="004C7180" w:rsidRPr="00150EDC" w:rsidRDefault="00CF0754">
            <w:pPr>
              <w:pStyle w:val="TableParagraph"/>
              <w:spacing w:before="56" w:line="240" w:lineRule="auto"/>
              <w:ind w:left="50" w:right="943"/>
              <w:jc w:val="both"/>
              <w:rPr>
                <w:b/>
                <w:sz w:val="24"/>
              </w:rPr>
            </w:pPr>
            <w:r w:rsidRPr="00150EDC">
              <w:rPr>
                <w:b/>
                <w:spacing w:val="-2"/>
                <w:sz w:val="24"/>
              </w:rPr>
              <w:t>"Disaster Recovery System"</w:t>
            </w:r>
          </w:p>
        </w:tc>
        <w:tc>
          <w:tcPr>
            <w:tcW w:w="6025" w:type="dxa"/>
          </w:tcPr>
          <w:p w14:paraId="22727D48" w14:textId="77777777" w:rsidR="004C7180" w:rsidRPr="00150EDC" w:rsidRDefault="00CF0754">
            <w:pPr>
              <w:pStyle w:val="TableParagraph"/>
              <w:spacing w:before="56" w:line="240" w:lineRule="auto"/>
              <w:ind w:left="130"/>
              <w:rPr>
                <w:sz w:val="24"/>
              </w:rPr>
            </w:pPr>
            <w:r w:rsidRPr="00150EDC">
              <w:rPr>
                <w:sz w:val="24"/>
              </w:rPr>
              <w:t>the</w:t>
            </w:r>
            <w:r w:rsidRPr="00150EDC">
              <w:rPr>
                <w:spacing w:val="-4"/>
                <w:sz w:val="24"/>
              </w:rPr>
              <w:t xml:space="preserve"> </w:t>
            </w:r>
            <w:r w:rsidRPr="00150EDC">
              <w:rPr>
                <w:sz w:val="24"/>
              </w:rPr>
              <w:t>system</w:t>
            </w:r>
            <w:r w:rsidRPr="00150EDC">
              <w:rPr>
                <w:spacing w:val="-6"/>
                <w:sz w:val="24"/>
              </w:rPr>
              <w:t xml:space="preserve"> </w:t>
            </w:r>
            <w:r w:rsidRPr="00150EDC">
              <w:rPr>
                <w:sz w:val="24"/>
              </w:rPr>
              <w:t>embodied</w:t>
            </w:r>
            <w:r w:rsidRPr="00150EDC">
              <w:rPr>
                <w:spacing w:val="-6"/>
                <w:sz w:val="24"/>
              </w:rPr>
              <w:t xml:space="preserve"> </w:t>
            </w:r>
            <w:r w:rsidRPr="00150EDC">
              <w:rPr>
                <w:sz w:val="24"/>
              </w:rPr>
              <w:t>in</w:t>
            </w:r>
            <w:r w:rsidRPr="00150EDC">
              <w:rPr>
                <w:spacing w:val="-4"/>
                <w:sz w:val="24"/>
              </w:rPr>
              <w:t xml:space="preserve"> </w:t>
            </w:r>
            <w:r w:rsidRPr="00150EDC">
              <w:rPr>
                <w:sz w:val="24"/>
              </w:rPr>
              <w:t>the</w:t>
            </w:r>
            <w:r w:rsidRPr="00150EDC">
              <w:rPr>
                <w:spacing w:val="-4"/>
                <w:sz w:val="24"/>
              </w:rPr>
              <w:t xml:space="preserve"> </w:t>
            </w:r>
            <w:r w:rsidRPr="00150EDC">
              <w:rPr>
                <w:sz w:val="24"/>
              </w:rPr>
              <w:t>processes</w:t>
            </w:r>
            <w:r w:rsidRPr="00150EDC">
              <w:rPr>
                <w:spacing w:val="-7"/>
                <w:sz w:val="24"/>
              </w:rPr>
              <w:t xml:space="preserve"> </w:t>
            </w:r>
            <w:r w:rsidRPr="00150EDC">
              <w:rPr>
                <w:sz w:val="24"/>
              </w:rPr>
              <w:t>and</w:t>
            </w:r>
            <w:r w:rsidRPr="00150EDC">
              <w:rPr>
                <w:spacing w:val="-6"/>
                <w:sz w:val="24"/>
              </w:rPr>
              <w:t xml:space="preserve"> </w:t>
            </w:r>
            <w:r w:rsidRPr="00150EDC">
              <w:rPr>
                <w:sz w:val="24"/>
              </w:rPr>
              <w:t>procedures for restoring the provision of Deliverables following the occurrence of a Disaster;</w:t>
            </w:r>
          </w:p>
        </w:tc>
      </w:tr>
      <w:tr w:rsidR="004569EE" w:rsidRPr="007D3144" w14:paraId="68B0603A" w14:textId="77777777">
        <w:trPr>
          <w:trHeight w:val="1500"/>
        </w:trPr>
        <w:tc>
          <w:tcPr>
            <w:tcW w:w="2077" w:type="dxa"/>
          </w:tcPr>
          <w:p w14:paraId="457C9A1C" w14:textId="77777777" w:rsidR="004C7180" w:rsidRPr="00150EDC" w:rsidRDefault="00CF0754">
            <w:pPr>
              <w:pStyle w:val="TableParagraph"/>
              <w:spacing w:before="56" w:line="240" w:lineRule="auto"/>
              <w:ind w:left="50" w:right="170"/>
              <w:rPr>
                <w:b/>
                <w:sz w:val="24"/>
              </w:rPr>
            </w:pPr>
            <w:r w:rsidRPr="00150EDC">
              <w:rPr>
                <w:b/>
                <w:spacing w:val="-2"/>
                <w:sz w:val="24"/>
              </w:rPr>
              <w:t xml:space="preserve">“Group Structure </w:t>
            </w:r>
            <w:r w:rsidRPr="00150EDC">
              <w:rPr>
                <w:b/>
                <w:sz w:val="24"/>
              </w:rPr>
              <w:t>Information</w:t>
            </w:r>
            <w:r w:rsidRPr="00150EDC">
              <w:rPr>
                <w:b/>
                <w:spacing w:val="-17"/>
                <w:sz w:val="24"/>
              </w:rPr>
              <w:t xml:space="preserve"> </w:t>
            </w:r>
            <w:r w:rsidRPr="00150EDC">
              <w:rPr>
                <w:b/>
                <w:sz w:val="24"/>
              </w:rPr>
              <w:t xml:space="preserve">and </w:t>
            </w:r>
            <w:r w:rsidRPr="00150EDC">
              <w:rPr>
                <w:b/>
                <w:spacing w:val="-2"/>
                <w:sz w:val="24"/>
              </w:rPr>
              <w:t>Resolution Commentary”</w:t>
            </w:r>
          </w:p>
        </w:tc>
        <w:tc>
          <w:tcPr>
            <w:tcW w:w="6025" w:type="dxa"/>
          </w:tcPr>
          <w:p w14:paraId="5830F192" w14:textId="77777777" w:rsidR="004C7180" w:rsidRPr="00150EDC" w:rsidRDefault="00CF0754">
            <w:pPr>
              <w:pStyle w:val="TableParagraph"/>
              <w:spacing w:before="56" w:line="240" w:lineRule="auto"/>
              <w:ind w:left="130"/>
              <w:rPr>
                <w:sz w:val="24"/>
              </w:rPr>
            </w:pPr>
            <w:r w:rsidRPr="00150EDC">
              <w:rPr>
                <w:sz w:val="24"/>
              </w:rPr>
              <w:t>means</w:t>
            </w:r>
            <w:r w:rsidRPr="00150EDC">
              <w:rPr>
                <w:spacing w:val="-5"/>
                <w:sz w:val="24"/>
              </w:rPr>
              <w:t xml:space="preserve"> </w:t>
            </w:r>
            <w:r w:rsidRPr="00150EDC">
              <w:rPr>
                <w:sz w:val="24"/>
              </w:rPr>
              <w:t>the</w:t>
            </w:r>
            <w:r w:rsidRPr="00150EDC">
              <w:rPr>
                <w:spacing w:val="-4"/>
                <w:sz w:val="24"/>
              </w:rPr>
              <w:t xml:space="preserve"> </w:t>
            </w:r>
            <w:r w:rsidRPr="00150EDC">
              <w:rPr>
                <w:sz w:val="24"/>
              </w:rPr>
              <w:t>information</w:t>
            </w:r>
            <w:r w:rsidRPr="00150EDC">
              <w:rPr>
                <w:spacing w:val="-6"/>
                <w:sz w:val="24"/>
              </w:rPr>
              <w:t xml:space="preserve"> </w:t>
            </w:r>
            <w:r w:rsidRPr="00150EDC">
              <w:rPr>
                <w:sz w:val="24"/>
              </w:rPr>
              <w:t>relating</w:t>
            </w:r>
            <w:r w:rsidRPr="00150EDC">
              <w:rPr>
                <w:spacing w:val="-4"/>
                <w:sz w:val="24"/>
              </w:rPr>
              <w:t xml:space="preserve"> </w:t>
            </w:r>
            <w:r w:rsidRPr="00150EDC">
              <w:rPr>
                <w:sz w:val="24"/>
              </w:rPr>
              <w:t>to</w:t>
            </w:r>
            <w:r w:rsidRPr="00150EDC">
              <w:rPr>
                <w:spacing w:val="-4"/>
                <w:sz w:val="24"/>
              </w:rPr>
              <w:t xml:space="preserve"> </w:t>
            </w:r>
            <w:r w:rsidRPr="00150EDC">
              <w:rPr>
                <w:sz w:val="24"/>
              </w:rPr>
              <w:t>the</w:t>
            </w:r>
            <w:r w:rsidRPr="00150EDC">
              <w:rPr>
                <w:spacing w:val="-6"/>
                <w:sz w:val="24"/>
              </w:rPr>
              <w:t xml:space="preserve"> </w:t>
            </w:r>
            <w:r w:rsidRPr="00150EDC">
              <w:rPr>
                <w:sz w:val="24"/>
              </w:rPr>
              <w:t>Supplier</w:t>
            </w:r>
            <w:r w:rsidRPr="00150EDC">
              <w:rPr>
                <w:spacing w:val="-6"/>
                <w:sz w:val="24"/>
              </w:rPr>
              <w:t xml:space="preserve"> </w:t>
            </w:r>
            <w:r w:rsidRPr="00150EDC">
              <w:rPr>
                <w:sz w:val="24"/>
              </w:rPr>
              <w:t>Group</w:t>
            </w:r>
            <w:r w:rsidRPr="00150EDC">
              <w:rPr>
                <w:spacing w:val="-6"/>
                <w:sz w:val="24"/>
              </w:rPr>
              <w:t xml:space="preserve"> </w:t>
            </w:r>
            <w:r w:rsidRPr="00150EDC">
              <w:rPr>
                <w:sz w:val="24"/>
              </w:rPr>
              <w:t>to be provided by the Supplier in accordance with Paragraphs 2 to 4 and Appendix 1 to Part B;</w:t>
            </w:r>
          </w:p>
        </w:tc>
      </w:tr>
      <w:tr w:rsidR="004569EE" w:rsidRPr="007D3144" w14:paraId="141B3CE6" w14:textId="77777777">
        <w:trPr>
          <w:trHeight w:val="671"/>
        </w:trPr>
        <w:tc>
          <w:tcPr>
            <w:tcW w:w="2077" w:type="dxa"/>
          </w:tcPr>
          <w:p w14:paraId="51688A61" w14:textId="77777777" w:rsidR="004C7180" w:rsidRPr="00150EDC" w:rsidRDefault="00CF0754">
            <w:pPr>
              <w:pStyle w:val="TableParagraph"/>
              <w:spacing w:before="56" w:line="240" w:lineRule="auto"/>
              <w:ind w:left="50"/>
              <w:rPr>
                <w:b/>
                <w:sz w:val="24"/>
              </w:rPr>
            </w:pPr>
            <w:r w:rsidRPr="00150EDC">
              <w:rPr>
                <w:b/>
                <w:spacing w:val="-2"/>
                <w:sz w:val="24"/>
              </w:rPr>
              <w:t>“Parent Undertaking”</w:t>
            </w:r>
          </w:p>
        </w:tc>
        <w:tc>
          <w:tcPr>
            <w:tcW w:w="6025" w:type="dxa"/>
          </w:tcPr>
          <w:p w14:paraId="32918800" w14:textId="77777777" w:rsidR="004C7180" w:rsidRPr="00150EDC" w:rsidRDefault="00CF0754">
            <w:pPr>
              <w:pStyle w:val="TableParagraph"/>
              <w:spacing w:before="56" w:line="240" w:lineRule="auto"/>
              <w:ind w:left="130"/>
              <w:rPr>
                <w:sz w:val="24"/>
              </w:rPr>
            </w:pPr>
            <w:r w:rsidRPr="00150EDC">
              <w:rPr>
                <w:sz w:val="24"/>
              </w:rPr>
              <w:t>has</w:t>
            </w:r>
            <w:r w:rsidRPr="00150EDC">
              <w:rPr>
                <w:spacing w:val="-5"/>
                <w:sz w:val="24"/>
              </w:rPr>
              <w:t xml:space="preserve"> </w:t>
            </w:r>
            <w:r w:rsidRPr="00150EDC">
              <w:rPr>
                <w:sz w:val="24"/>
              </w:rPr>
              <w:t>the</w:t>
            </w:r>
            <w:r w:rsidRPr="00150EDC">
              <w:rPr>
                <w:spacing w:val="-5"/>
                <w:sz w:val="24"/>
              </w:rPr>
              <w:t xml:space="preserve"> </w:t>
            </w:r>
            <w:r w:rsidRPr="00150EDC">
              <w:rPr>
                <w:sz w:val="24"/>
              </w:rPr>
              <w:t>meaning</w:t>
            </w:r>
            <w:r w:rsidRPr="00150EDC">
              <w:rPr>
                <w:spacing w:val="-4"/>
                <w:sz w:val="24"/>
              </w:rPr>
              <w:t xml:space="preserve"> </w:t>
            </w:r>
            <w:r w:rsidRPr="00150EDC">
              <w:rPr>
                <w:sz w:val="24"/>
              </w:rPr>
              <w:t>set</w:t>
            </w:r>
            <w:r w:rsidRPr="00150EDC">
              <w:rPr>
                <w:spacing w:val="-6"/>
                <w:sz w:val="24"/>
              </w:rPr>
              <w:t xml:space="preserve"> </w:t>
            </w:r>
            <w:r w:rsidRPr="00150EDC">
              <w:rPr>
                <w:sz w:val="24"/>
              </w:rPr>
              <w:t>out</w:t>
            </w:r>
            <w:r w:rsidRPr="00150EDC">
              <w:rPr>
                <w:spacing w:val="-4"/>
                <w:sz w:val="24"/>
              </w:rPr>
              <w:t xml:space="preserve"> </w:t>
            </w:r>
            <w:r w:rsidRPr="00150EDC">
              <w:rPr>
                <w:sz w:val="24"/>
              </w:rPr>
              <w:t>in</w:t>
            </w:r>
            <w:r w:rsidRPr="00150EDC">
              <w:rPr>
                <w:spacing w:val="-4"/>
                <w:sz w:val="24"/>
              </w:rPr>
              <w:t xml:space="preserve"> </w:t>
            </w:r>
            <w:r w:rsidRPr="00150EDC">
              <w:rPr>
                <w:sz w:val="24"/>
              </w:rPr>
              <w:t>section</w:t>
            </w:r>
            <w:r w:rsidRPr="00150EDC">
              <w:rPr>
                <w:spacing w:val="-5"/>
                <w:sz w:val="24"/>
              </w:rPr>
              <w:t xml:space="preserve"> </w:t>
            </w:r>
            <w:r w:rsidRPr="00150EDC">
              <w:rPr>
                <w:sz w:val="24"/>
              </w:rPr>
              <w:t>1162</w:t>
            </w:r>
            <w:r w:rsidRPr="00150EDC">
              <w:rPr>
                <w:spacing w:val="-5"/>
                <w:sz w:val="24"/>
              </w:rPr>
              <w:t xml:space="preserve"> </w:t>
            </w:r>
            <w:r w:rsidRPr="00150EDC">
              <w:rPr>
                <w:sz w:val="24"/>
              </w:rPr>
              <w:t>of</w:t>
            </w:r>
            <w:r w:rsidRPr="00150EDC">
              <w:rPr>
                <w:spacing w:val="-4"/>
                <w:sz w:val="24"/>
              </w:rPr>
              <w:t xml:space="preserve"> </w:t>
            </w:r>
            <w:r w:rsidRPr="00150EDC">
              <w:rPr>
                <w:sz w:val="24"/>
              </w:rPr>
              <w:t>the Companies Act 2006;</w:t>
            </w:r>
          </w:p>
        </w:tc>
      </w:tr>
      <w:tr w:rsidR="004569EE" w:rsidRPr="007D3144" w14:paraId="04ADCF7F" w14:textId="77777777">
        <w:trPr>
          <w:trHeight w:val="1221"/>
        </w:trPr>
        <w:tc>
          <w:tcPr>
            <w:tcW w:w="2077" w:type="dxa"/>
          </w:tcPr>
          <w:p w14:paraId="73FBEF4F" w14:textId="77777777" w:rsidR="004C7180" w:rsidRPr="00150EDC" w:rsidRDefault="00CF0754">
            <w:pPr>
              <w:pStyle w:val="TableParagraph"/>
              <w:spacing w:before="56" w:line="240" w:lineRule="auto"/>
              <w:ind w:left="50"/>
              <w:rPr>
                <w:b/>
                <w:sz w:val="24"/>
              </w:rPr>
            </w:pPr>
            <w:r w:rsidRPr="00150EDC">
              <w:rPr>
                <w:b/>
                <w:sz w:val="24"/>
              </w:rPr>
              <w:t>“Public</w:t>
            </w:r>
            <w:r w:rsidRPr="00150EDC">
              <w:rPr>
                <w:b/>
                <w:spacing w:val="-17"/>
                <w:sz w:val="24"/>
              </w:rPr>
              <w:t xml:space="preserve"> </w:t>
            </w:r>
            <w:r w:rsidRPr="00150EDC">
              <w:rPr>
                <w:b/>
                <w:sz w:val="24"/>
              </w:rPr>
              <w:t xml:space="preserve">Sector </w:t>
            </w:r>
            <w:r w:rsidRPr="00150EDC">
              <w:rPr>
                <w:b/>
                <w:spacing w:val="-2"/>
                <w:sz w:val="24"/>
              </w:rPr>
              <w:t>Dependent Supplier”</w:t>
            </w:r>
          </w:p>
        </w:tc>
        <w:tc>
          <w:tcPr>
            <w:tcW w:w="6025" w:type="dxa"/>
          </w:tcPr>
          <w:p w14:paraId="2318ACE7" w14:textId="77777777" w:rsidR="004C7180" w:rsidRPr="00150EDC" w:rsidRDefault="00CF0754">
            <w:pPr>
              <w:pStyle w:val="TableParagraph"/>
              <w:spacing w:before="56" w:line="240" w:lineRule="auto"/>
              <w:ind w:left="130"/>
              <w:rPr>
                <w:sz w:val="24"/>
              </w:rPr>
            </w:pPr>
            <w:r w:rsidRPr="00150EDC">
              <w:rPr>
                <w:sz w:val="24"/>
              </w:rPr>
              <w:t>means</w:t>
            </w:r>
            <w:r w:rsidRPr="00150EDC">
              <w:rPr>
                <w:spacing w:val="-4"/>
                <w:sz w:val="24"/>
              </w:rPr>
              <w:t xml:space="preserve"> </w:t>
            </w:r>
            <w:r w:rsidRPr="00150EDC">
              <w:rPr>
                <w:sz w:val="24"/>
              </w:rPr>
              <w:t>a</w:t>
            </w:r>
            <w:r w:rsidRPr="00150EDC">
              <w:rPr>
                <w:spacing w:val="-5"/>
                <w:sz w:val="24"/>
              </w:rPr>
              <w:t xml:space="preserve"> </w:t>
            </w:r>
            <w:r w:rsidRPr="00150EDC">
              <w:rPr>
                <w:sz w:val="24"/>
              </w:rPr>
              <w:t>supplier</w:t>
            </w:r>
            <w:r w:rsidRPr="00150EDC">
              <w:rPr>
                <w:spacing w:val="-5"/>
                <w:sz w:val="24"/>
              </w:rPr>
              <w:t xml:space="preserve"> </w:t>
            </w:r>
            <w:r w:rsidRPr="00150EDC">
              <w:rPr>
                <w:sz w:val="24"/>
              </w:rPr>
              <w:t>where</w:t>
            </w:r>
            <w:r w:rsidRPr="00150EDC">
              <w:rPr>
                <w:spacing w:val="-3"/>
                <w:sz w:val="24"/>
              </w:rPr>
              <w:t xml:space="preserve"> </w:t>
            </w:r>
            <w:r w:rsidRPr="00150EDC">
              <w:rPr>
                <w:sz w:val="24"/>
              </w:rPr>
              <w:t>that</w:t>
            </w:r>
            <w:r w:rsidRPr="00150EDC">
              <w:rPr>
                <w:spacing w:val="-3"/>
                <w:sz w:val="24"/>
              </w:rPr>
              <w:t xml:space="preserve"> </w:t>
            </w:r>
            <w:r w:rsidRPr="00150EDC">
              <w:rPr>
                <w:sz w:val="24"/>
              </w:rPr>
              <w:t>supplier,</w:t>
            </w:r>
            <w:r w:rsidRPr="00150EDC">
              <w:rPr>
                <w:spacing w:val="-6"/>
                <w:sz w:val="24"/>
              </w:rPr>
              <w:t xml:space="preserve"> </w:t>
            </w:r>
            <w:r w:rsidRPr="00150EDC">
              <w:rPr>
                <w:sz w:val="24"/>
              </w:rPr>
              <w:t>or</w:t>
            </w:r>
            <w:r w:rsidRPr="00150EDC">
              <w:rPr>
                <w:spacing w:val="-5"/>
                <w:sz w:val="24"/>
              </w:rPr>
              <w:t xml:space="preserve"> </w:t>
            </w:r>
            <w:r w:rsidRPr="00150EDC">
              <w:rPr>
                <w:sz w:val="24"/>
              </w:rPr>
              <w:t>that</w:t>
            </w:r>
            <w:r w:rsidRPr="00150EDC">
              <w:rPr>
                <w:spacing w:val="-6"/>
                <w:sz w:val="24"/>
              </w:rPr>
              <w:t xml:space="preserve"> </w:t>
            </w:r>
            <w:r w:rsidRPr="00150EDC">
              <w:rPr>
                <w:sz w:val="24"/>
              </w:rPr>
              <w:t xml:space="preserve">supplier’s group has Annual Revenue of £50 million or more of which over 50% is generated from UK Public Sector </w:t>
            </w:r>
            <w:r w:rsidRPr="00150EDC">
              <w:rPr>
                <w:spacing w:val="-2"/>
                <w:sz w:val="24"/>
              </w:rPr>
              <w:t>Business;</w:t>
            </w:r>
          </w:p>
        </w:tc>
      </w:tr>
      <w:tr w:rsidR="004569EE" w:rsidRPr="007D3144" w14:paraId="18A0EC41" w14:textId="77777777">
        <w:trPr>
          <w:trHeight w:val="672"/>
        </w:trPr>
        <w:tc>
          <w:tcPr>
            <w:tcW w:w="2077" w:type="dxa"/>
          </w:tcPr>
          <w:p w14:paraId="1AFDE9BF" w14:textId="77777777" w:rsidR="004C7180" w:rsidRPr="00150EDC" w:rsidRDefault="00CF0754">
            <w:pPr>
              <w:pStyle w:val="TableParagraph"/>
              <w:spacing w:before="56" w:line="240" w:lineRule="auto"/>
              <w:ind w:left="50" w:right="170"/>
              <w:rPr>
                <w:b/>
                <w:sz w:val="24"/>
              </w:rPr>
            </w:pPr>
            <w:r w:rsidRPr="00150EDC">
              <w:rPr>
                <w:b/>
                <w:spacing w:val="-2"/>
                <w:sz w:val="24"/>
              </w:rPr>
              <w:t>"Related Supplier"</w:t>
            </w:r>
          </w:p>
        </w:tc>
        <w:tc>
          <w:tcPr>
            <w:tcW w:w="6025" w:type="dxa"/>
          </w:tcPr>
          <w:p w14:paraId="19FCF71E" w14:textId="77777777" w:rsidR="004C7180" w:rsidRPr="00150EDC" w:rsidRDefault="00CF0754">
            <w:pPr>
              <w:pStyle w:val="TableParagraph"/>
              <w:spacing w:before="56" w:line="240" w:lineRule="auto"/>
              <w:ind w:left="130"/>
              <w:rPr>
                <w:sz w:val="24"/>
              </w:rPr>
            </w:pPr>
            <w:r w:rsidRPr="00150EDC">
              <w:rPr>
                <w:sz w:val="24"/>
              </w:rPr>
              <w:t>any person who provides Deliverables to the Buyer which</w:t>
            </w:r>
            <w:r w:rsidRPr="00150EDC">
              <w:rPr>
                <w:spacing w:val="-4"/>
                <w:sz w:val="24"/>
              </w:rPr>
              <w:t xml:space="preserve"> </w:t>
            </w:r>
            <w:r w:rsidRPr="00150EDC">
              <w:rPr>
                <w:sz w:val="24"/>
              </w:rPr>
              <w:t>are</w:t>
            </w:r>
            <w:r w:rsidRPr="00150EDC">
              <w:rPr>
                <w:spacing w:val="-4"/>
                <w:sz w:val="24"/>
              </w:rPr>
              <w:t xml:space="preserve"> </w:t>
            </w:r>
            <w:r w:rsidRPr="00150EDC">
              <w:rPr>
                <w:sz w:val="24"/>
              </w:rPr>
              <w:t>related</w:t>
            </w:r>
            <w:r w:rsidRPr="00150EDC">
              <w:rPr>
                <w:spacing w:val="-5"/>
                <w:sz w:val="24"/>
              </w:rPr>
              <w:t xml:space="preserve"> </w:t>
            </w:r>
            <w:r w:rsidRPr="00150EDC">
              <w:rPr>
                <w:sz w:val="24"/>
              </w:rPr>
              <w:t>to</w:t>
            </w:r>
            <w:r w:rsidRPr="00150EDC">
              <w:rPr>
                <w:spacing w:val="-5"/>
                <w:sz w:val="24"/>
              </w:rPr>
              <w:t xml:space="preserve"> </w:t>
            </w:r>
            <w:r w:rsidRPr="00150EDC">
              <w:rPr>
                <w:sz w:val="24"/>
              </w:rPr>
              <w:t>the</w:t>
            </w:r>
            <w:r w:rsidRPr="00150EDC">
              <w:rPr>
                <w:spacing w:val="-4"/>
                <w:sz w:val="24"/>
              </w:rPr>
              <w:t xml:space="preserve"> </w:t>
            </w:r>
            <w:r w:rsidRPr="00150EDC">
              <w:rPr>
                <w:sz w:val="24"/>
              </w:rPr>
              <w:t>Deliverables</w:t>
            </w:r>
            <w:r w:rsidRPr="00150EDC">
              <w:rPr>
                <w:spacing w:val="-6"/>
                <w:sz w:val="24"/>
              </w:rPr>
              <w:t xml:space="preserve"> </w:t>
            </w:r>
            <w:r w:rsidRPr="00150EDC">
              <w:rPr>
                <w:sz w:val="24"/>
              </w:rPr>
              <w:t>from</w:t>
            </w:r>
            <w:r w:rsidRPr="00150EDC">
              <w:rPr>
                <w:spacing w:val="-3"/>
                <w:sz w:val="24"/>
              </w:rPr>
              <w:t xml:space="preserve"> </w:t>
            </w:r>
            <w:r w:rsidRPr="00150EDC">
              <w:rPr>
                <w:sz w:val="24"/>
              </w:rPr>
              <w:t>time</w:t>
            </w:r>
            <w:r w:rsidRPr="00150EDC">
              <w:rPr>
                <w:spacing w:val="-4"/>
                <w:sz w:val="24"/>
              </w:rPr>
              <w:t xml:space="preserve"> </w:t>
            </w:r>
            <w:r w:rsidRPr="00150EDC">
              <w:rPr>
                <w:sz w:val="24"/>
              </w:rPr>
              <w:t>to</w:t>
            </w:r>
            <w:r w:rsidRPr="00150EDC">
              <w:rPr>
                <w:spacing w:val="-5"/>
                <w:sz w:val="24"/>
              </w:rPr>
              <w:t xml:space="preserve"> </w:t>
            </w:r>
            <w:r w:rsidRPr="00150EDC">
              <w:rPr>
                <w:sz w:val="24"/>
              </w:rPr>
              <w:t>time;</w:t>
            </w:r>
          </w:p>
        </w:tc>
      </w:tr>
      <w:tr w:rsidR="004569EE" w:rsidRPr="007D3144" w14:paraId="7F6C2B94" w14:textId="77777777">
        <w:trPr>
          <w:trHeight w:val="672"/>
        </w:trPr>
        <w:tc>
          <w:tcPr>
            <w:tcW w:w="2077" w:type="dxa"/>
          </w:tcPr>
          <w:p w14:paraId="70942F7C" w14:textId="77777777" w:rsidR="004C7180" w:rsidRPr="00150EDC" w:rsidRDefault="00CF0754">
            <w:pPr>
              <w:pStyle w:val="TableParagraph"/>
              <w:spacing w:before="56" w:line="240" w:lineRule="auto"/>
              <w:ind w:left="50"/>
              <w:rPr>
                <w:b/>
                <w:sz w:val="24"/>
              </w:rPr>
            </w:pPr>
            <w:r w:rsidRPr="00150EDC">
              <w:rPr>
                <w:b/>
                <w:sz w:val="24"/>
              </w:rPr>
              <w:t>"Review</w:t>
            </w:r>
            <w:r w:rsidRPr="00150EDC">
              <w:rPr>
                <w:b/>
                <w:spacing w:val="2"/>
                <w:sz w:val="24"/>
              </w:rPr>
              <w:t xml:space="preserve"> </w:t>
            </w:r>
            <w:r w:rsidRPr="00150EDC">
              <w:rPr>
                <w:b/>
                <w:spacing w:val="-2"/>
                <w:sz w:val="24"/>
              </w:rPr>
              <w:t>Report"</w:t>
            </w:r>
          </w:p>
        </w:tc>
        <w:tc>
          <w:tcPr>
            <w:tcW w:w="6025" w:type="dxa"/>
          </w:tcPr>
          <w:p w14:paraId="7FEE98E3" w14:textId="77777777" w:rsidR="004C7180" w:rsidRPr="00150EDC" w:rsidRDefault="00CF0754">
            <w:pPr>
              <w:pStyle w:val="TableParagraph"/>
              <w:spacing w:before="56" w:line="240" w:lineRule="auto"/>
              <w:ind w:left="130"/>
              <w:rPr>
                <w:sz w:val="24"/>
              </w:rPr>
            </w:pPr>
            <w:r w:rsidRPr="00150EDC">
              <w:rPr>
                <w:sz w:val="24"/>
              </w:rPr>
              <w:t>has</w:t>
            </w:r>
            <w:r w:rsidRPr="00150EDC">
              <w:rPr>
                <w:spacing w:val="-4"/>
                <w:sz w:val="24"/>
              </w:rPr>
              <w:t xml:space="preserve"> </w:t>
            </w:r>
            <w:r w:rsidRPr="00150EDC">
              <w:rPr>
                <w:sz w:val="24"/>
              </w:rPr>
              <w:t>the</w:t>
            </w:r>
            <w:r w:rsidRPr="00150EDC">
              <w:rPr>
                <w:spacing w:val="-5"/>
                <w:sz w:val="24"/>
              </w:rPr>
              <w:t xml:space="preserve"> </w:t>
            </w:r>
            <w:r w:rsidRPr="00150EDC">
              <w:rPr>
                <w:sz w:val="24"/>
              </w:rPr>
              <w:t>meaning</w:t>
            </w:r>
            <w:r w:rsidRPr="00150EDC">
              <w:rPr>
                <w:spacing w:val="-3"/>
                <w:sz w:val="24"/>
              </w:rPr>
              <w:t xml:space="preserve"> </w:t>
            </w:r>
            <w:r w:rsidRPr="00150EDC">
              <w:rPr>
                <w:sz w:val="24"/>
              </w:rPr>
              <w:t>given</w:t>
            </w:r>
            <w:r w:rsidRPr="00150EDC">
              <w:rPr>
                <w:spacing w:val="-5"/>
                <w:sz w:val="24"/>
              </w:rPr>
              <w:t xml:space="preserve"> </w:t>
            </w:r>
            <w:r w:rsidRPr="00150EDC">
              <w:rPr>
                <w:sz w:val="24"/>
              </w:rPr>
              <w:t>to</w:t>
            </w:r>
            <w:r w:rsidRPr="00150EDC">
              <w:rPr>
                <w:spacing w:val="-3"/>
                <w:sz w:val="24"/>
              </w:rPr>
              <w:t xml:space="preserve"> </w:t>
            </w:r>
            <w:r w:rsidRPr="00150EDC">
              <w:rPr>
                <w:sz w:val="24"/>
              </w:rPr>
              <w:t>it</w:t>
            </w:r>
            <w:r w:rsidRPr="00150EDC">
              <w:rPr>
                <w:spacing w:val="-3"/>
                <w:sz w:val="24"/>
              </w:rPr>
              <w:t xml:space="preserve"> </w:t>
            </w:r>
            <w:r w:rsidRPr="00150EDC">
              <w:rPr>
                <w:sz w:val="24"/>
              </w:rPr>
              <w:t>in</w:t>
            </w:r>
            <w:r w:rsidRPr="00150EDC">
              <w:rPr>
                <w:spacing w:val="-5"/>
                <w:sz w:val="24"/>
              </w:rPr>
              <w:t xml:space="preserve"> </w:t>
            </w:r>
            <w:r w:rsidRPr="00150EDC">
              <w:rPr>
                <w:sz w:val="24"/>
              </w:rPr>
              <w:t>Paragraph</w:t>
            </w:r>
            <w:r w:rsidRPr="00150EDC">
              <w:rPr>
                <w:spacing w:val="-3"/>
                <w:sz w:val="24"/>
              </w:rPr>
              <w:t xml:space="preserve"> </w:t>
            </w:r>
            <w:r w:rsidRPr="00150EDC">
              <w:rPr>
                <w:sz w:val="24"/>
              </w:rPr>
              <w:t>6.3</w:t>
            </w:r>
            <w:r w:rsidRPr="00150EDC">
              <w:rPr>
                <w:spacing w:val="-5"/>
                <w:sz w:val="24"/>
              </w:rPr>
              <w:t xml:space="preserve"> </w:t>
            </w:r>
            <w:r w:rsidRPr="00150EDC">
              <w:rPr>
                <w:sz w:val="24"/>
              </w:rPr>
              <w:t>of</w:t>
            </w:r>
            <w:r w:rsidRPr="00150EDC">
              <w:rPr>
                <w:spacing w:val="-3"/>
                <w:sz w:val="24"/>
              </w:rPr>
              <w:t xml:space="preserve"> </w:t>
            </w:r>
            <w:r w:rsidRPr="00150EDC">
              <w:rPr>
                <w:sz w:val="24"/>
              </w:rPr>
              <w:t>this Schedule; and</w:t>
            </w:r>
          </w:p>
        </w:tc>
      </w:tr>
      <w:tr w:rsidR="004569EE" w:rsidRPr="007D3144" w14:paraId="7577AE1B" w14:textId="77777777">
        <w:trPr>
          <w:trHeight w:val="1187"/>
        </w:trPr>
        <w:tc>
          <w:tcPr>
            <w:tcW w:w="2077" w:type="dxa"/>
          </w:tcPr>
          <w:p w14:paraId="73D0DB5A" w14:textId="77777777" w:rsidR="004C7180" w:rsidRPr="00150EDC" w:rsidRDefault="00CF0754">
            <w:pPr>
              <w:pStyle w:val="TableParagraph"/>
              <w:spacing w:before="56" w:line="240" w:lineRule="auto"/>
              <w:ind w:left="50"/>
              <w:rPr>
                <w:b/>
                <w:sz w:val="24"/>
              </w:rPr>
            </w:pPr>
            <w:r w:rsidRPr="00150EDC">
              <w:rPr>
                <w:b/>
                <w:spacing w:val="-2"/>
                <w:sz w:val="24"/>
              </w:rPr>
              <w:t>“Strategic Supplier”</w:t>
            </w:r>
          </w:p>
        </w:tc>
        <w:tc>
          <w:tcPr>
            <w:tcW w:w="6025" w:type="dxa"/>
          </w:tcPr>
          <w:p w14:paraId="2E7BFF03" w14:textId="77777777" w:rsidR="004C7180" w:rsidRPr="00150EDC" w:rsidRDefault="00CF0754">
            <w:pPr>
              <w:pStyle w:val="TableParagraph"/>
              <w:spacing w:before="56" w:line="240" w:lineRule="auto"/>
              <w:ind w:left="130"/>
              <w:rPr>
                <w:sz w:val="24"/>
              </w:rPr>
            </w:pPr>
            <w:r w:rsidRPr="00150EDC">
              <w:rPr>
                <w:sz w:val="24"/>
              </w:rPr>
              <w:t>means</w:t>
            </w:r>
            <w:r w:rsidRPr="00150EDC">
              <w:rPr>
                <w:spacing w:val="-3"/>
                <w:sz w:val="24"/>
              </w:rPr>
              <w:t xml:space="preserve"> </w:t>
            </w:r>
            <w:r w:rsidRPr="00150EDC">
              <w:rPr>
                <w:sz w:val="24"/>
              </w:rPr>
              <w:t>those</w:t>
            </w:r>
            <w:r w:rsidRPr="00150EDC">
              <w:rPr>
                <w:spacing w:val="-4"/>
                <w:sz w:val="24"/>
              </w:rPr>
              <w:t xml:space="preserve"> </w:t>
            </w:r>
            <w:r w:rsidRPr="00150EDC">
              <w:rPr>
                <w:sz w:val="24"/>
              </w:rPr>
              <w:t>suppliers</w:t>
            </w:r>
            <w:r w:rsidRPr="00150EDC">
              <w:rPr>
                <w:spacing w:val="-3"/>
                <w:sz w:val="24"/>
              </w:rPr>
              <w:t xml:space="preserve"> </w:t>
            </w:r>
            <w:r w:rsidRPr="00150EDC">
              <w:rPr>
                <w:sz w:val="24"/>
              </w:rPr>
              <w:t>to</w:t>
            </w:r>
            <w:r w:rsidRPr="00150EDC">
              <w:rPr>
                <w:spacing w:val="-2"/>
                <w:sz w:val="24"/>
              </w:rPr>
              <w:t xml:space="preserve"> </w:t>
            </w:r>
            <w:r w:rsidRPr="00150EDC">
              <w:rPr>
                <w:sz w:val="24"/>
              </w:rPr>
              <w:t>government</w:t>
            </w:r>
            <w:r w:rsidRPr="00150EDC">
              <w:rPr>
                <w:spacing w:val="-2"/>
                <w:sz w:val="24"/>
              </w:rPr>
              <w:t xml:space="preserve"> </w:t>
            </w:r>
            <w:r w:rsidRPr="00150EDC">
              <w:rPr>
                <w:sz w:val="24"/>
              </w:rPr>
              <w:t>listed</w:t>
            </w:r>
            <w:r w:rsidRPr="00150EDC">
              <w:rPr>
                <w:spacing w:val="-1"/>
                <w:sz w:val="24"/>
              </w:rPr>
              <w:t xml:space="preserve"> </w:t>
            </w:r>
            <w:r w:rsidRPr="00150EDC">
              <w:rPr>
                <w:spacing w:val="-5"/>
                <w:sz w:val="24"/>
              </w:rPr>
              <w:t>at</w:t>
            </w:r>
          </w:p>
          <w:p w14:paraId="65F2DE8B" w14:textId="77777777" w:rsidR="004C7180" w:rsidRPr="00150EDC" w:rsidRDefault="004C7180">
            <w:pPr>
              <w:pStyle w:val="TableParagraph"/>
              <w:spacing w:before="10" w:line="240" w:lineRule="auto"/>
              <w:ind w:left="0"/>
              <w:rPr>
                <w:sz w:val="20"/>
              </w:rPr>
            </w:pPr>
          </w:p>
          <w:p w14:paraId="31506D23" w14:textId="77777777" w:rsidR="004C7180" w:rsidRPr="00150EDC" w:rsidRDefault="00CF0754">
            <w:pPr>
              <w:pStyle w:val="TableParagraph"/>
              <w:spacing w:before="0" w:line="240" w:lineRule="auto"/>
              <w:ind w:left="130"/>
              <w:rPr>
                <w:sz w:val="24"/>
              </w:rPr>
            </w:pPr>
            <w:r w:rsidRPr="00150EDC">
              <w:rPr>
                <w:spacing w:val="-2"/>
                <w:sz w:val="24"/>
              </w:rPr>
              <w:t>https://</w:t>
            </w:r>
            <w:hyperlink r:id="rId81">
              <w:r w:rsidRPr="00150EDC">
                <w:rPr>
                  <w:spacing w:val="-2"/>
                  <w:sz w:val="24"/>
                </w:rPr>
                <w:t>www.gov.uk/government/publications/strategic-</w:t>
              </w:r>
            </w:hyperlink>
            <w:r w:rsidRPr="00150EDC">
              <w:rPr>
                <w:spacing w:val="-2"/>
                <w:sz w:val="24"/>
              </w:rPr>
              <w:t xml:space="preserve"> suppliers;</w:t>
            </w:r>
          </w:p>
        </w:tc>
      </w:tr>
      <w:tr w:rsidR="004569EE" w:rsidRPr="007D3144" w14:paraId="0C8E3A0D" w14:textId="77777777">
        <w:trPr>
          <w:trHeight w:val="671"/>
        </w:trPr>
        <w:tc>
          <w:tcPr>
            <w:tcW w:w="2077" w:type="dxa"/>
          </w:tcPr>
          <w:p w14:paraId="0B5F2C36" w14:textId="77777777" w:rsidR="004C7180" w:rsidRPr="00150EDC" w:rsidRDefault="00CF0754">
            <w:pPr>
              <w:pStyle w:val="TableParagraph"/>
              <w:spacing w:before="56" w:line="240" w:lineRule="auto"/>
              <w:ind w:left="50"/>
              <w:rPr>
                <w:b/>
                <w:sz w:val="24"/>
              </w:rPr>
            </w:pPr>
            <w:r w:rsidRPr="00150EDC">
              <w:rPr>
                <w:b/>
                <w:spacing w:val="-2"/>
                <w:sz w:val="24"/>
              </w:rPr>
              <w:t>“Subsidiary Undertaking”</w:t>
            </w:r>
          </w:p>
        </w:tc>
        <w:tc>
          <w:tcPr>
            <w:tcW w:w="6025" w:type="dxa"/>
          </w:tcPr>
          <w:p w14:paraId="5D2FC465" w14:textId="77777777" w:rsidR="004C7180" w:rsidRPr="00150EDC" w:rsidRDefault="00CF0754">
            <w:pPr>
              <w:pStyle w:val="TableParagraph"/>
              <w:spacing w:before="56" w:line="240" w:lineRule="auto"/>
              <w:ind w:left="130"/>
              <w:rPr>
                <w:sz w:val="24"/>
              </w:rPr>
            </w:pPr>
            <w:r w:rsidRPr="00150EDC">
              <w:rPr>
                <w:sz w:val="24"/>
              </w:rPr>
              <w:t>has</w:t>
            </w:r>
            <w:r w:rsidRPr="00150EDC">
              <w:rPr>
                <w:spacing w:val="-5"/>
                <w:sz w:val="24"/>
              </w:rPr>
              <w:t xml:space="preserve"> </w:t>
            </w:r>
            <w:r w:rsidRPr="00150EDC">
              <w:rPr>
                <w:sz w:val="24"/>
              </w:rPr>
              <w:t>the</w:t>
            </w:r>
            <w:r w:rsidRPr="00150EDC">
              <w:rPr>
                <w:spacing w:val="-5"/>
                <w:sz w:val="24"/>
              </w:rPr>
              <w:t xml:space="preserve"> </w:t>
            </w:r>
            <w:r w:rsidRPr="00150EDC">
              <w:rPr>
                <w:sz w:val="24"/>
              </w:rPr>
              <w:t>meaning</w:t>
            </w:r>
            <w:r w:rsidRPr="00150EDC">
              <w:rPr>
                <w:spacing w:val="-4"/>
                <w:sz w:val="24"/>
              </w:rPr>
              <w:t xml:space="preserve"> </w:t>
            </w:r>
            <w:r w:rsidRPr="00150EDC">
              <w:rPr>
                <w:sz w:val="24"/>
              </w:rPr>
              <w:t>set</w:t>
            </w:r>
            <w:r w:rsidRPr="00150EDC">
              <w:rPr>
                <w:spacing w:val="-6"/>
                <w:sz w:val="24"/>
              </w:rPr>
              <w:t xml:space="preserve"> </w:t>
            </w:r>
            <w:r w:rsidRPr="00150EDC">
              <w:rPr>
                <w:sz w:val="24"/>
              </w:rPr>
              <w:t>out</w:t>
            </w:r>
            <w:r w:rsidRPr="00150EDC">
              <w:rPr>
                <w:spacing w:val="-4"/>
                <w:sz w:val="24"/>
              </w:rPr>
              <w:t xml:space="preserve"> </w:t>
            </w:r>
            <w:r w:rsidRPr="00150EDC">
              <w:rPr>
                <w:sz w:val="24"/>
              </w:rPr>
              <w:t>in</w:t>
            </w:r>
            <w:r w:rsidRPr="00150EDC">
              <w:rPr>
                <w:spacing w:val="-4"/>
                <w:sz w:val="24"/>
              </w:rPr>
              <w:t xml:space="preserve"> </w:t>
            </w:r>
            <w:r w:rsidRPr="00150EDC">
              <w:rPr>
                <w:sz w:val="24"/>
              </w:rPr>
              <w:t>section</w:t>
            </w:r>
            <w:r w:rsidRPr="00150EDC">
              <w:rPr>
                <w:spacing w:val="-5"/>
                <w:sz w:val="24"/>
              </w:rPr>
              <w:t xml:space="preserve"> </w:t>
            </w:r>
            <w:r w:rsidRPr="00150EDC">
              <w:rPr>
                <w:sz w:val="24"/>
              </w:rPr>
              <w:t>1162</w:t>
            </w:r>
            <w:r w:rsidRPr="00150EDC">
              <w:rPr>
                <w:spacing w:val="-5"/>
                <w:sz w:val="24"/>
              </w:rPr>
              <w:t xml:space="preserve"> </w:t>
            </w:r>
            <w:r w:rsidRPr="00150EDC">
              <w:rPr>
                <w:sz w:val="24"/>
              </w:rPr>
              <w:t>of</w:t>
            </w:r>
            <w:r w:rsidRPr="00150EDC">
              <w:rPr>
                <w:spacing w:val="-4"/>
                <w:sz w:val="24"/>
              </w:rPr>
              <w:t xml:space="preserve"> </w:t>
            </w:r>
            <w:r w:rsidRPr="00150EDC">
              <w:rPr>
                <w:sz w:val="24"/>
              </w:rPr>
              <w:t>the Companies Act 2006;</w:t>
            </w:r>
          </w:p>
        </w:tc>
      </w:tr>
      <w:tr w:rsidR="004569EE" w:rsidRPr="007D3144" w14:paraId="2DD23802" w14:textId="77777777">
        <w:trPr>
          <w:trHeight w:val="948"/>
        </w:trPr>
        <w:tc>
          <w:tcPr>
            <w:tcW w:w="2077" w:type="dxa"/>
          </w:tcPr>
          <w:p w14:paraId="4755B2A7" w14:textId="77777777" w:rsidR="004C7180" w:rsidRPr="00150EDC" w:rsidRDefault="00CF0754">
            <w:pPr>
              <w:pStyle w:val="TableParagraph"/>
              <w:spacing w:before="56" w:line="240" w:lineRule="auto"/>
              <w:ind w:left="50" w:right="170"/>
              <w:rPr>
                <w:b/>
                <w:sz w:val="24"/>
              </w:rPr>
            </w:pPr>
            <w:r w:rsidRPr="00150EDC">
              <w:rPr>
                <w:b/>
                <w:spacing w:val="-2"/>
                <w:sz w:val="24"/>
              </w:rPr>
              <w:t>“Supplier Group”</w:t>
            </w:r>
          </w:p>
        </w:tc>
        <w:tc>
          <w:tcPr>
            <w:tcW w:w="6025" w:type="dxa"/>
          </w:tcPr>
          <w:p w14:paraId="3DB397C5" w14:textId="77777777" w:rsidR="004C7180" w:rsidRPr="00150EDC" w:rsidRDefault="00CF0754">
            <w:pPr>
              <w:pStyle w:val="TableParagraph"/>
              <w:spacing w:before="56" w:line="240" w:lineRule="auto"/>
              <w:ind w:left="130" w:right="44"/>
              <w:rPr>
                <w:sz w:val="24"/>
              </w:rPr>
            </w:pPr>
            <w:r w:rsidRPr="00150EDC">
              <w:rPr>
                <w:sz w:val="24"/>
              </w:rPr>
              <w:t>means the Supplier, its Dependent Parent Undertakings and all Subsidiary Undertakings and Associates</w:t>
            </w:r>
            <w:r w:rsidRPr="00150EDC">
              <w:rPr>
                <w:spacing w:val="-9"/>
                <w:sz w:val="24"/>
              </w:rPr>
              <w:t xml:space="preserve"> </w:t>
            </w:r>
            <w:r w:rsidRPr="00150EDC">
              <w:rPr>
                <w:sz w:val="24"/>
              </w:rPr>
              <w:t>of</w:t>
            </w:r>
            <w:r w:rsidRPr="00150EDC">
              <w:rPr>
                <w:spacing w:val="-6"/>
                <w:sz w:val="24"/>
              </w:rPr>
              <w:t xml:space="preserve"> </w:t>
            </w:r>
            <w:r w:rsidRPr="00150EDC">
              <w:rPr>
                <w:sz w:val="24"/>
              </w:rPr>
              <w:t>such</w:t>
            </w:r>
            <w:r w:rsidRPr="00150EDC">
              <w:rPr>
                <w:spacing w:val="-6"/>
                <w:sz w:val="24"/>
              </w:rPr>
              <w:t xml:space="preserve"> </w:t>
            </w:r>
            <w:r w:rsidRPr="00150EDC">
              <w:rPr>
                <w:sz w:val="24"/>
              </w:rPr>
              <w:t>Dependent</w:t>
            </w:r>
            <w:r w:rsidRPr="00150EDC">
              <w:rPr>
                <w:spacing w:val="-9"/>
                <w:sz w:val="24"/>
              </w:rPr>
              <w:t xml:space="preserve"> </w:t>
            </w:r>
            <w:r w:rsidRPr="00150EDC">
              <w:rPr>
                <w:sz w:val="24"/>
              </w:rPr>
              <w:t>Parent</w:t>
            </w:r>
            <w:r w:rsidRPr="00150EDC">
              <w:rPr>
                <w:spacing w:val="-6"/>
                <w:sz w:val="24"/>
              </w:rPr>
              <w:t xml:space="preserve"> </w:t>
            </w:r>
            <w:r w:rsidRPr="00150EDC">
              <w:rPr>
                <w:sz w:val="24"/>
              </w:rPr>
              <w:t>Undertakings;</w:t>
            </w:r>
          </w:p>
        </w:tc>
      </w:tr>
      <w:tr w:rsidR="004569EE" w:rsidRPr="007D3144" w14:paraId="13179939" w14:textId="77777777">
        <w:trPr>
          <w:trHeight w:val="671"/>
        </w:trPr>
        <w:tc>
          <w:tcPr>
            <w:tcW w:w="2077" w:type="dxa"/>
          </w:tcPr>
          <w:p w14:paraId="74BB7D97" w14:textId="77777777" w:rsidR="004C7180" w:rsidRPr="00150EDC" w:rsidRDefault="00CF0754">
            <w:pPr>
              <w:pStyle w:val="TableParagraph"/>
              <w:spacing w:before="56" w:line="240" w:lineRule="auto"/>
              <w:ind w:left="50"/>
              <w:rPr>
                <w:b/>
                <w:sz w:val="24"/>
              </w:rPr>
            </w:pPr>
            <w:r w:rsidRPr="00150EDC">
              <w:rPr>
                <w:b/>
                <w:spacing w:val="-2"/>
                <w:sz w:val="24"/>
              </w:rPr>
              <w:t>"Supplier's Proposals"</w:t>
            </w:r>
          </w:p>
        </w:tc>
        <w:tc>
          <w:tcPr>
            <w:tcW w:w="6025" w:type="dxa"/>
          </w:tcPr>
          <w:p w14:paraId="57CDF407" w14:textId="77777777" w:rsidR="004C7180" w:rsidRPr="00150EDC" w:rsidRDefault="00CF0754">
            <w:pPr>
              <w:pStyle w:val="TableParagraph"/>
              <w:spacing w:before="56" w:line="240" w:lineRule="auto"/>
              <w:ind w:left="130"/>
              <w:rPr>
                <w:sz w:val="24"/>
              </w:rPr>
            </w:pPr>
            <w:r w:rsidRPr="00150EDC">
              <w:rPr>
                <w:sz w:val="24"/>
              </w:rPr>
              <w:t>has</w:t>
            </w:r>
            <w:r w:rsidRPr="00150EDC">
              <w:rPr>
                <w:spacing w:val="-4"/>
                <w:sz w:val="24"/>
              </w:rPr>
              <w:t xml:space="preserve"> </w:t>
            </w:r>
            <w:r w:rsidRPr="00150EDC">
              <w:rPr>
                <w:sz w:val="24"/>
              </w:rPr>
              <w:t>the</w:t>
            </w:r>
            <w:r w:rsidRPr="00150EDC">
              <w:rPr>
                <w:spacing w:val="-5"/>
                <w:sz w:val="24"/>
              </w:rPr>
              <w:t xml:space="preserve"> </w:t>
            </w:r>
            <w:r w:rsidRPr="00150EDC">
              <w:rPr>
                <w:sz w:val="24"/>
              </w:rPr>
              <w:t>meaning</w:t>
            </w:r>
            <w:r w:rsidRPr="00150EDC">
              <w:rPr>
                <w:spacing w:val="-3"/>
                <w:sz w:val="24"/>
              </w:rPr>
              <w:t xml:space="preserve"> </w:t>
            </w:r>
            <w:r w:rsidRPr="00150EDC">
              <w:rPr>
                <w:sz w:val="24"/>
              </w:rPr>
              <w:t>given</w:t>
            </w:r>
            <w:r w:rsidRPr="00150EDC">
              <w:rPr>
                <w:spacing w:val="-5"/>
                <w:sz w:val="24"/>
              </w:rPr>
              <w:t xml:space="preserve"> </w:t>
            </w:r>
            <w:r w:rsidRPr="00150EDC">
              <w:rPr>
                <w:sz w:val="24"/>
              </w:rPr>
              <w:t>to</w:t>
            </w:r>
            <w:r w:rsidRPr="00150EDC">
              <w:rPr>
                <w:spacing w:val="-3"/>
                <w:sz w:val="24"/>
              </w:rPr>
              <w:t xml:space="preserve"> </w:t>
            </w:r>
            <w:r w:rsidRPr="00150EDC">
              <w:rPr>
                <w:sz w:val="24"/>
              </w:rPr>
              <w:t>it</w:t>
            </w:r>
            <w:r w:rsidRPr="00150EDC">
              <w:rPr>
                <w:spacing w:val="-3"/>
                <w:sz w:val="24"/>
              </w:rPr>
              <w:t xml:space="preserve"> </w:t>
            </w:r>
            <w:r w:rsidRPr="00150EDC">
              <w:rPr>
                <w:sz w:val="24"/>
              </w:rPr>
              <w:t>in</w:t>
            </w:r>
            <w:r w:rsidRPr="00150EDC">
              <w:rPr>
                <w:spacing w:val="-5"/>
                <w:sz w:val="24"/>
              </w:rPr>
              <w:t xml:space="preserve"> </w:t>
            </w:r>
            <w:r w:rsidRPr="00150EDC">
              <w:rPr>
                <w:sz w:val="24"/>
              </w:rPr>
              <w:t>Paragraph</w:t>
            </w:r>
            <w:r w:rsidRPr="00150EDC">
              <w:rPr>
                <w:spacing w:val="-3"/>
                <w:sz w:val="24"/>
              </w:rPr>
              <w:t xml:space="preserve"> </w:t>
            </w:r>
            <w:r w:rsidRPr="00150EDC">
              <w:rPr>
                <w:sz w:val="24"/>
              </w:rPr>
              <w:t>6.3</w:t>
            </w:r>
            <w:r w:rsidRPr="00150EDC">
              <w:rPr>
                <w:spacing w:val="-5"/>
                <w:sz w:val="24"/>
              </w:rPr>
              <w:t xml:space="preserve"> </w:t>
            </w:r>
            <w:r w:rsidRPr="00150EDC">
              <w:rPr>
                <w:sz w:val="24"/>
              </w:rPr>
              <w:t>of</w:t>
            </w:r>
            <w:r w:rsidRPr="00150EDC">
              <w:rPr>
                <w:spacing w:val="-3"/>
                <w:sz w:val="24"/>
              </w:rPr>
              <w:t xml:space="preserve"> </w:t>
            </w:r>
            <w:r w:rsidRPr="00150EDC">
              <w:rPr>
                <w:sz w:val="24"/>
              </w:rPr>
              <w:t xml:space="preserve">this </w:t>
            </w:r>
            <w:r w:rsidRPr="00150EDC">
              <w:rPr>
                <w:spacing w:val="-2"/>
                <w:sz w:val="24"/>
              </w:rPr>
              <w:t>Schedule;</w:t>
            </w:r>
          </w:p>
        </w:tc>
      </w:tr>
      <w:tr w:rsidR="004569EE" w:rsidRPr="007D3144" w14:paraId="4D8B87A9" w14:textId="77777777">
        <w:trPr>
          <w:trHeight w:val="1160"/>
        </w:trPr>
        <w:tc>
          <w:tcPr>
            <w:tcW w:w="2077" w:type="dxa"/>
          </w:tcPr>
          <w:p w14:paraId="0B5DC9AC" w14:textId="77777777" w:rsidR="004C7180" w:rsidRPr="00150EDC" w:rsidRDefault="00CF0754">
            <w:pPr>
              <w:pStyle w:val="TableParagraph"/>
              <w:spacing w:before="56" w:line="240" w:lineRule="auto"/>
              <w:ind w:left="50" w:right="170"/>
              <w:rPr>
                <w:b/>
                <w:sz w:val="24"/>
              </w:rPr>
            </w:pPr>
            <w:r w:rsidRPr="00150EDC">
              <w:rPr>
                <w:b/>
                <w:sz w:val="24"/>
              </w:rPr>
              <w:t>“UK</w:t>
            </w:r>
            <w:r w:rsidRPr="00150EDC">
              <w:rPr>
                <w:b/>
                <w:spacing w:val="-17"/>
                <w:sz w:val="24"/>
              </w:rPr>
              <w:t xml:space="preserve"> </w:t>
            </w:r>
            <w:r w:rsidRPr="00150EDC">
              <w:rPr>
                <w:b/>
                <w:sz w:val="24"/>
              </w:rPr>
              <w:t xml:space="preserve">Public </w:t>
            </w:r>
            <w:r w:rsidRPr="00150EDC">
              <w:rPr>
                <w:b/>
                <w:spacing w:val="-2"/>
                <w:sz w:val="24"/>
              </w:rPr>
              <w:t>Sector Business”</w:t>
            </w:r>
          </w:p>
        </w:tc>
        <w:tc>
          <w:tcPr>
            <w:tcW w:w="6025" w:type="dxa"/>
          </w:tcPr>
          <w:p w14:paraId="280E742C" w14:textId="77777777" w:rsidR="004C7180" w:rsidRPr="00150EDC" w:rsidRDefault="00CF0754">
            <w:pPr>
              <w:pStyle w:val="TableParagraph"/>
              <w:spacing w:before="36" w:line="270" w:lineRule="atLeast"/>
              <w:ind w:left="130"/>
              <w:rPr>
                <w:sz w:val="24"/>
              </w:rPr>
            </w:pPr>
            <w:r w:rsidRPr="00150EDC">
              <w:rPr>
                <w:sz w:val="24"/>
              </w:rPr>
              <w:t>means</w:t>
            </w:r>
            <w:r w:rsidRPr="00150EDC">
              <w:rPr>
                <w:spacing w:val="-5"/>
                <w:sz w:val="24"/>
              </w:rPr>
              <w:t xml:space="preserve"> </w:t>
            </w:r>
            <w:r w:rsidRPr="00150EDC">
              <w:rPr>
                <w:sz w:val="24"/>
              </w:rPr>
              <w:t>any</w:t>
            </w:r>
            <w:r w:rsidRPr="00150EDC">
              <w:rPr>
                <w:spacing w:val="-5"/>
                <w:sz w:val="24"/>
              </w:rPr>
              <w:t xml:space="preserve"> </w:t>
            </w:r>
            <w:r w:rsidRPr="00150EDC">
              <w:rPr>
                <w:sz w:val="24"/>
              </w:rPr>
              <w:t>goods,</w:t>
            </w:r>
            <w:r w:rsidRPr="00150EDC">
              <w:rPr>
                <w:spacing w:val="-4"/>
                <w:sz w:val="24"/>
              </w:rPr>
              <w:t xml:space="preserve"> </w:t>
            </w:r>
            <w:r w:rsidRPr="00150EDC">
              <w:rPr>
                <w:sz w:val="24"/>
              </w:rPr>
              <w:t>service</w:t>
            </w:r>
            <w:r w:rsidRPr="00150EDC">
              <w:rPr>
                <w:spacing w:val="-4"/>
                <w:sz w:val="24"/>
              </w:rPr>
              <w:t xml:space="preserve"> </w:t>
            </w:r>
            <w:r w:rsidRPr="00150EDC">
              <w:rPr>
                <w:sz w:val="24"/>
              </w:rPr>
              <w:t>or</w:t>
            </w:r>
            <w:r w:rsidRPr="00150EDC">
              <w:rPr>
                <w:spacing w:val="-6"/>
                <w:sz w:val="24"/>
              </w:rPr>
              <w:t xml:space="preserve"> </w:t>
            </w:r>
            <w:r w:rsidRPr="00150EDC">
              <w:rPr>
                <w:sz w:val="24"/>
              </w:rPr>
              <w:t>works</w:t>
            </w:r>
            <w:r w:rsidRPr="00150EDC">
              <w:rPr>
                <w:spacing w:val="-5"/>
                <w:sz w:val="24"/>
              </w:rPr>
              <w:t xml:space="preserve"> </w:t>
            </w:r>
            <w:r w:rsidRPr="00150EDC">
              <w:rPr>
                <w:sz w:val="24"/>
              </w:rPr>
              <w:t>provision</w:t>
            </w:r>
            <w:r w:rsidRPr="00150EDC">
              <w:rPr>
                <w:spacing w:val="-6"/>
                <w:sz w:val="24"/>
              </w:rPr>
              <w:t xml:space="preserve"> </w:t>
            </w:r>
            <w:r w:rsidRPr="00150EDC">
              <w:rPr>
                <w:sz w:val="24"/>
              </w:rPr>
              <w:t>to</w:t>
            </w:r>
            <w:r w:rsidRPr="00150EDC">
              <w:rPr>
                <w:spacing w:val="-4"/>
                <w:sz w:val="24"/>
              </w:rPr>
              <w:t xml:space="preserve"> </w:t>
            </w:r>
            <w:r w:rsidRPr="00150EDC">
              <w:rPr>
                <w:sz w:val="24"/>
              </w:rPr>
              <w:t>UK public</w:t>
            </w:r>
            <w:r w:rsidRPr="00150EDC">
              <w:rPr>
                <w:spacing w:val="-1"/>
                <w:sz w:val="24"/>
              </w:rPr>
              <w:t xml:space="preserve"> </w:t>
            </w:r>
            <w:r w:rsidRPr="00150EDC">
              <w:rPr>
                <w:sz w:val="24"/>
              </w:rPr>
              <w:t>sector</w:t>
            </w:r>
            <w:r w:rsidRPr="00150EDC">
              <w:rPr>
                <w:spacing w:val="-2"/>
                <w:sz w:val="24"/>
              </w:rPr>
              <w:t xml:space="preserve"> </w:t>
            </w:r>
            <w:r w:rsidRPr="00150EDC">
              <w:rPr>
                <w:sz w:val="24"/>
              </w:rPr>
              <w:t>bodies,</w:t>
            </w:r>
            <w:r w:rsidRPr="00150EDC">
              <w:rPr>
                <w:spacing w:val="-3"/>
                <w:sz w:val="24"/>
              </w:rPr>
              <w:t xml:space="preserve"> </w:t>
            </w:r>
            <w:r w:rsidRPr="00150EDC">
              <w:rPr>
                <w:sz w:val="24"/>
              </w:rPr>
              <w:t>including Central</w:t>
            </w:r>
            <w:r w:rsidRPr="00150EDC">
              <w:rPr>
                <w:spacing w:val="-1"/>
                <w:sz w:val="24"/>
              </w:rPr>
              <w:t xml:space="preserve"> </w:t>
            </w:r>
            <w:r w:rsidRPr="00150EDC">
              <w:rPr>
                <w:sz w:val="24"/>
              </w:rPr>
              <w:t>Government Departments and their arm's length bodies and agencies, non-departmental public bodies, NHS</w:t>
            </w:r>
          </w:p>
        </w:tc>
      </w:tr>
    </w:tbl>
    <w:p w14:paraId="7CE049C3" w14:textId="77777777" w:rsidR="004C7180" w:rsidRPr="00150EDC" w:rsidRDefault="004C7180">
      <w:pPr>
        <w:spacing w:line="270" w:lineRule="atLeast"/>
        <w:rPr>
          <w:sz w:val="24"/>
        </w:rPr>
        <w:sectPr w:rsidR="004C7180" w:rsidRPr="00150EDC">
          <w:pgSz w:w="11910" w:h="16840"/>
          <w:pgMar w:top="1380" w:right="0" w:bottom="1380" w:left="40" w:header="715" w:footer="1192" w:gutter="0"/>
          <w:cols w:space="720"/>
        </w:sectPr>
      </w:pPr>
    </w:p>
    <w:p w14:paraId="437AC935" w14:textId="77777777" w:rsidR="004C7180" w:rsidRPr="00150EDC" w:rsidRDefault="004C7180">
      <w:pPr>
        <w:pStyle w:val="BodyText"/>
        <w:spacing w:before="1"/>
        <w:rPr>
          <w:sz w:val="12"/>
        </w:rPr>
      </w:pPr>
    </w:p>
    <w:p w14:paraId="5885CA66" w14:textId="77777777" w:rsidR="004C7180" w:rsidRPr="00150EDC" w:rsidRDefault="004C7180">
      <w:pPr>
        <w:rPr>
          <w:sz w:val="12"/>
        </w:rPr>
        <w:sectPr w:rsidR="004C7180" w:rsidRPr="00150EDC">
          <w:pgSz w:w="11910" w:h="16840"/>
          <w:pgMar w:top="1380" w:right="0" w:bottom="1380" w:left="40" w:header="715" w:footer="1192" w:gutter="0"/>
          <w:cols w:space="720"/>
        </w:sectPr>
      </w:pPr>
    </w:p>
    <w:p w14:paraId="1FB28439" w14:textId="77777777" w:rsidR="004C7180" w:rsidRPr="00150EDC" w:rsidRDefault="004C7180">
      <w:pPr>
        <w:pStyle w:val="BodyText"/>
        <w:rPr>
          <w:sz w:val="26"/>
        </w:rPr>
      </w:pPr>
    </w:p>
    <w:p w14:paraId="1E873808" w14:textId="77777777" w:rsidR="004C7180" w:rsidRPr="00150EDC" w:rsidRDefault="004C7180">
      <w:pPr>
        <w:pStyle w:val="BodyText"/>
        <w:rPr>
          <w:sz w:val="26"/>
        </w:rPr>
      </w:pPr>
    </w:p>
    <w:p w14:paraId="447D3CA9" w14:textId="77777777" w:rsidR="004C7180" w:rsidRPr="00150EDC" w:rsidRDefault="004C7180">
      <w:pPr>
        <w:pStyle w:val="BodyText"/>
        <w:spacing w:before="5"/>
        <w:rPr>
          <w:sz w:val="38"/>
        </w:rPr>
      </w:pPr>
    </w:p>
    <w:p w14:paraId="138CEA40" w14:textId="77777777" w:rsidR="004C7180" w:rsidRPr="00150EDC" w:rsidRDefault="00CF0754">
      <w:pPr>
        <w:pStyle w:val="Heading4"/>
        <w:spacing w:before="1"/>
        <w:ind w:left="2415"/>
      </w:pPr>
      <w:r w:rsidRPr="00150EDC">
        <w:t xml:space="preserve">“UK Public Sector / CNI </w:t>
      </w:r>
      <w:r w:rsidRPr="00150EDC">
        <w:rPr>
          <w:spacing w:val="-2"/>
        </w:rPr>
        <w:t>Contract Information”</w:t>
      </w:r>
    </w:p>
    <w:p w14:paraId="20035E56" w14:textId="77777777" w:rsidR="004C7180" w:rsidRPr="00150EDC" w:rsidRDefault="00CF0754">
      <w:pPr>
        <w:pStyle w:val="BodyText"/>
        <w:spacing w:before="92"/>
        <w:ind w:left="678" w:right="1473"/>
      </w:pPr>
      <w:r w:rsidRPr="00150EDC">
        <w:br w:type="column"/>
      </w:r>
      <w:r w:rsidRPr="00150EDC">
        <w:t>bodies,</w:t>
      </w:r>
      <w:r w:rsidRPr="00150EDC">
        <w:rPr>
          <w:spacing w:val="-5"/>
        </w:rPr>
        <w:t xml:space="preserve"> </w:t>
      </w:r>
      <w:r w:rsidRPr="00150EDC">
        <w:t>local</w:t>
      </w:r>
      <w:r w:rsidRPr="00150EDC">
        <w:rPr>
          <w:spacing w:val="-8"/>
        </w:rPr>
        <w:t xml:space="preserve"> </w:t>
      </w:r>
      <w:r w:rsidRPr="00150EDC">
        <w:t>authorities,</w:t>
      </w:r>
      <w:r w:rsidRPr="00150EDC">
        <w:rPr>
          <w:spacing w:val="-5"/>
        </w:rPr>
        <w:t xml:space="preserve"> </w:t>
      </w:r>
      <w:r w:rsidRPr="00150EDC">
        <w:t>health</w:t>
      </w:r>
      <w:r w:rsidRPr="00150EDC">
        <w:rPr>
          <w:spacing w:val="-6"/>
        </w:rPr>
        <w:t xml:space="preserve"> </w:t>
      </w:r>
      <w:r w:rsidRPr="00150EDC">
        <w:t>bodies,</w:t>
      </w:r>
      <w:r w:rsidRPr="00150EDC">
        <w:rPr>
          <w:spacing w:val="-5"/>
        </w:rPr>
        <w:t xml:space="preserve"> </w:t>
      </w:r>
      <w:r w:rsidRPr="00150EDC">
        <w:t>police,</w:t>
      </w:r>
      <w:r w:rsidRPr="00150EDC">
        <w:rPr>
          <w:spacing w:val="-5"/>
        </w:rPr>
        <w:t xml:space="preserve"> </w:t>
      </w:r>
      <w:r w:rsidRPr="00150EDC">
        <w:t>fire</w:t>
      </w:r>
      <w:r w:rsidRPr="00150EDC">
        <w:rPr>
          <w:spacing w:val="-5"/>
        </w:rPr>
        <w:t xml:space="preserve"> </w:t>
      </w:r>
      <w:r w:rsidRPr="00150EDC">
        <w:t>and rescue, education bodies and devolved administrations; and</w:t>
      </w:r>
    </w:p>
    <w:p w14:paraId="3C46CEDA" w14:textId="77777777" w:rsidR="004C7180" w:rsidRPr="00150EDC" w:rsidRDefault="00CF0754">
      <w:pPr>
        <w:pStyle w:val="BodyText"/>
        <w:spacing w:before="121"/>
        <w:ind w:left="678" w:right="1239"/>
      </w:pPr>
      <w:r w:rsidRPr="00150EDC">
        <w:t>means</w:t>
      </w:r>
      <w:r w:rsidRPr="00150EDC">
        <w:rPr>
          <w:spacing w:val="-4"/>
        </w:rPr>
        <w:t xml:space="preserve"> </w:t>
      </w:r>
      <w:r w:rsidRPr="00150EDC">
        <w:t>the</w:t>
      </w:r>
      <w:r w:rsidRPr="00150EDC">
        <w:rPr>
          <w:spacing w:val="-3"/>
        </w:rPr>
        <w:t xml:space="preserve"> </w:t>
      </w:r>
      <w:r w:rsidRPr="00150EDC">
        <w:t>information</w:t>
      </w:r>
      <w:r w:rsidRPr="00150EDC">
        <w:rPr>
          <w:spacing w:val="-5"/>
        </w:rPr>
        <w:t xml:space="preserve"> </w:t>
      </w:r>
      <w:r w:rsidRPr="00150EDC">
        <w:t>relating</w:t>
      </w:r>
      <w:r w:rsidRPr="00150EDC">
        <w:rPr>
          <w:spacing w:val="-3"/>
        </w:rPr>
        <w:t xml:space="preserve"> </w:t>
      </w:r>
      <w:r w:rsidRPr="00150EDC">
        <w:t>to</w:t>
      </w:r>
      <w:r w:rsidRPr="00150EDC">
        <w:rPr>
          <w:spacing w:val="-3"/>
        </w:rPr>
        <w:t xml:space="preserve"> </w:t>
      </w:r>
      <w:r w:rsidRPr="00150EDC">
        <w:t>the</w:t>
      </w:r>
      <w:r w:rsidRPr="00150EDC">
        <w:rPr>
          <w:spacing w:val="-5"/>
        </w:rPr>
        <w:t xml:space="preserve"> </w:t>
      </w:r>
      <w:r w:rsidRPr="00150EDC">
        <w:t>Supplier</w:t>
      </w:r>
      <w:r w:rsidRPr="00150EDC">
        <w:rPr>
          <w:spacing w:val="-5"/>
        </w:rPr>
        <w:t xml:space="preserve"> </w:t>
      </w:r>
      <w:r w:rsidRPr="00150EDC">
        <w:t>Group</w:t>
      </w:r>
      <w:r w:rsidRPr="00150EDC">
        <w:rPr>
          <w:spacing w:val="-5"/>
        </w:rPr>
        <w:t xml:space="preserve"> </w:t>
      </w:r>
      <w:r w:rsidRPr="00150EDC">
        <w:t>to be provided by the Supplier in accordance with Paragraphs 2 to 4 and Appendix 2 of Part B;</w:t>
      </w:r>
    </w:p>
    <w:p w14:paraId="037A5139" w14:textId="77777777" w:rsidR="004C7180" w:rsidRPr="00150EDC" w:rsidRDefault="004C7180">
      <w:pPr>
        <w:sectPr w:rsidR="004C7180" w:rsidRPr="00150EDC">
          <w:type w:val="continuous"/>
          <w:pgSz w:w="11910" w:h="16840"/>
          <w:pgMar w:top="1140" w:right="0" w:bottom="280" w:left="40" w:header="715" w:footer="1192" w:gutter="0"/>
          <w:cols w:num="2" w:space="720" w:equalWidth="0">
            <w:col w:w="3855" w:space="40"/>
            <w:col w:w="7975"/>
          </w:cols>
        </w:sectPr>
      </w:pPr>
    </w:p>
    <w:p w14:paraId="068AAAE3" w14:textId="77777777" w:rsidR="004C7180" w:rsidRPr="00150EDC" w:rsidRDefault="004C7180">
      <w:pPr>
        <w:pStyle w:val="BodyText"/>
        <w:spacing w:before="3"/>
        <w:rPr>
          <w:sz w:val="23"/>
        </w:rPr>
      </w:pPr>
    </w:p>
    <w:p w14:paraId="10CA7C44" w14:textId="77777777" w:rsidR="004C7180" w:rsidRPr="00150EDC" w:rsidRDefault="00CF0754">
      <w:pPr>
        <w:pStyle w:val="Heading4"/>
        <w:spacing w:before="92"/>
      </w:pPr>
      <w:r w:rsidRPr="00150EDC">
        <w:t>Part</w:t>
      </w:r>
      <w:r w:rsidRPr="00150EDC">
        <w:rPr>
          <w:spacing w:val="-3"/>
        </w:rPr>
        <w:t xml:space="preserve"> </w:t>
      </w:r>
      <w:r w:rsidRPr="00150EDC">
        <w:t>A:</w:t>
      </w:r>
      <w:r w:rsidRPr="00150EDC">
        <w:rPr>
          <w:spacing w:val="-2"/>
        </w:rPr>
        <w:t xml:space="preserve"> </w:t>
      </w:r>
      <w:r w:rsidRPr="00150EDC">
        <w:t>BCDR</w:t>
      </w:r>
      <w:r w:rsidRPr="00150EDC">
        <w:rPr>
          <w:spacing w:val="-1"/>
        </w:rPr>
        <w:t xml:space="preserve"> </w:t>
      </w:r>
      <w:r w:rsidRPr="00150EDC">
        <w:rPr>
          <w:spacing w:val="-4"/>
        </w:rPr>
        <w:t>Plan</w:t>
      </w:r>
    </w:p>
    <w:p w14:paraId="430E0037" w14:textId="77777777" w:rsidR="004C7180" w:rsidRPr="00150EDC" w:rsidRDefault="004C7180">
      <w:pPr>
        <w:pStyle w:val="BodyText"/>
        <w:spacing w:before="10"/>
        <w:rPr>
          <w:b/>
          <w:sz w:val="20"/>
        </w:rPr>
      </w:pPr>
    </w:p>
    <w:p w14:paraId="0B2B0AB6" w14:textId="77777777" w:rsidR="004C7180" w:rsidRPr="00150EDC" w:rsidRDefault="00CF0754" w:rsidP="00B320C7">
      <w:pPr>
        <w:pStyle w:val="ListParagraph"/>
        <w:numPr>
          <w:ilvl w:val="0"/>
          <w:numId w:val="47"/>
        </w:numPr>
        <w:tabs>
          <w:tab w:val="left" w:pos="1666"/>
        </w:tabs>
        <w:ind w:left="1666" w:hanging="267"/>
        <w:rPr>
          <w:b/>
          <w:sz w:val="24"/>
        </w:rPr>
      </w:pPr>
      <w:r w:rsidRPr="00150EDC">
        <w:rPr>
          <w:b/>
          <w:sz w:val="24"/>
        </w:rPr>
        <w:t>BCDR</w:t>
      </w:r>
      <w:r w:rsidRPr="00150EDC">
        <w:rPr>
          <w:b/>
          <w:spacing w:val="-3"/>
          <w:sz w:val="24"/>
        </w:rPr>
        <w:t xml:space="preserve"> </w:t>
      </w:r>
      <w:r w:rsidRPr="00150EDC">
        <w:rPr>
          <w:b/>
          <w:spacing w:val="-4"/>
          <w:sz w:val="24"/>
        </w:rPr>
        <w:t>Plan</w:t>
      </w:r>
    </w:p>
    <w:p w14:paraId="0D469B99" w14:textId="77777777" w:rsidR="004C7180" w:rsidRPr="00150EDC" w:rsidRDefault="004C7180">
      <w:pPr>
        <w:pStyle w:val="BodyText"/>
        <w:spacing w:before="10"/>
        <w:rPr>
          <w:b/>
          <w:sz w:val="20"/>
        </w:rPr>
      </w:pPr>
    </w:p>
    <w:p w14:paraId="68CBE7E3" w14:textId="77777777" w:rsidR="004C7180" w:rsidRPr="00150EDC" w:rsidRDefault="00CF0754" w:rsidP="00B320C7">
      <w:pPr>
        <w:pStyle w:val="ListParagraph"/>
        <w:numPr>
          <w:ilvl w:val="1"/>
          <w:numId w:val="47"/>
        </w:numPr>
        <w:tabs>
          <w:tab w:val="left" w:pos="2161"/>
          <w:tab w:val="left" w:pos="2335"/>
        </w:tabs>
        <w:ind w:left="2335" w:right="1436" w:hanging="576"/>
        <w:rPr>
          <w:sz w:val="24"/>
        </w:rPr>
      </w:pPr>
      <w:r w:rsidRPr="00150EDC">
        <w:rPr>
          <w:sz w:val="24"/>
        </w:rPr>
        <w:t>The Buyer and the Supplier recognise that, where specified in DPS Schedule 4</w:t>
      </w:r>
      <w:r w:rsidRPr="00150EDC">
        <w:rPr>
          <w:spacing w:val="-2"/>
          <w:sz w:val="24"/>
        </w:rPr>
        <w:t xml:space="preserve"> </w:t>
      </w:r>
      <w:r w:rsidRPr="00150EDC">
        <w:rPr>
          <w:sz w:val="24"/>
        </w:rPr>
        <w:t>(DPS</w:t>
      </w:r>
      <w:r w:rsidRPr="00150EDC">
        <w:rPr>
          <w:spacing w:val="-2"/>
          <w:sz w:val="24"/>
        </w:rPr>
        <w:t xml:space="preserve"> </w:t>
      </w:r>
      <w:r w:rsidRPr="00150EDC">
        <w:rPr>
          <w:sz w:val="24"/>
        </w:rPr>
        <w:t>Management),</w:t>
      </w:r>
      <w:r w:rsidRPr="00150EDC">
        <w:rPr>
          <w:spacing w:val="-5"/>
          <w:sz w:val="24"/>
        </w:rPr>
        <w:t xml:space="preserve"> </w:t>
      </w:r>
      <w:r w:rsidRPr="00150EDC">
        <w:rPr>
          <w:sz w:val="24"/>
        </w:rPr>
        <w:t>CCS</w:t>
      </w:r>
      <w:r w:rsidRPr="00150EDC">
        <w:rPr>
          <w:spacing w:val="-2"/>
          <w:sz w:val="24"/>
        </w:rPr>
        <w:t xml:space="preserve"> </w:t>
      </w:r>
      <w:r w:rsidRPr="00150EDC">
        <w:rPr>
          <w:sz w:val="24"/>
        </w:rPr>
        <w:t>shall</w:t>
      </w:r>
      <w:r w:rsidRPr="00150EDC">
        <w:rPr>
          <w:spacing w:val="-3"/>
          <w:sz w:val="24"/>
        </w:rPr>
        <w:t xml:space="preserve"> </w:t>
      </w:r>
      <w:r w:rsidRPr="00150EDC">
        <w:rPr>
          <w:sz w:val="24"/>
        </w:rPr>
        <w:t>have</w:t>
      </w:r>
      <w:r w:rsidRPr="00150EDC">
        <w:rPr>
          <w:spacing w:val="-2"/>
          <w:sz w:val="24"/>
        </w:rPr>
        <w:t xml:space="preserve"> </w:t>
      </w:r>
      <w:r w:rsidRPr="00150EDC">
        <w:rPr>
          <w:sz w:val="24"/>
        </w:rPr>
        <w:t>the</w:t>
      </w:r>
      <w:r w:rsidRPr="00150EDC">
        <w:rPr>
          <w:spacing w:val="-2"/>
          <w:sz w:val="24"/>
        </w:rPr>
        <w:t xml:space="preserve"> </w:t>
      </w:r>
      <w:r w:rsidRPr="00150EDC">
        <w:rPr>
          <w:sz w:val="24"/>
        </w:rPr>
        <w:t>right</w:t>
      </w:r>
      <w:r w:rsidRPr="00150EDC">
        <w:rPr>
          <w:spacing w:val="-2"/>
          <w:sz w:val="24"/>
        </w:rPr>
        <w:t xml:space="preserve"> </w:t>
      </w:r>
      <w:r w:rsidRPr="00150EDC">
        <w:rPr>
          <w:sz w:val="24"/>
        </w:rPr>
        <w:t>to</w:t>
      </w:r>
      <w:r w:rsidRPr="00150EDC">
        <w:rPr>
          <w:spacing w:val="-4"/>
          <w:sz w:val="24"/>
        </w:rPr>
        <w:t xml:space="preserve"> </w:t>
      </w:r>
      <w:r w:rsidRPr="00150EDC">
        <w:rPr>
          <w:sz w:val="24"/>
        </w:rPr>
        <w:t>enforce</w:t>
      </w:r>
      <w:r w:rsidRPr="00150EDC">
        <w:rPr>
          <w:spacing w:val="-2"/>
          <w:sz w:val="24"/>
        </w:rPr>
        <w:t xml:space="preserve"> </w:t>
      </w:r>
      <w:r w:rsidRPr="00150EDC">
        <w:rPr>
          <w:sz w:val="24"/>
        </w:rPr>
        <w:t>the</w:t>
      </w:r>
      <w:r w:rsidRPr="00150EDC">
        <w:rPr>
          <w:spacing w:val="-4"/>
          <w:sz w:val="24"/>
        </w:rPr>
        <w:t xml:space="preserve"> </w:t>
      </w:r>
      <w:r w:rsidRPr="00150EDC">
        <w:rPr>
          <w:sz w:val="24"/>
        </w:rPr>
        <w:t>Buyer's</w:t>
      </w:r>
      <w:r w:rsidRPr="00150EDC">
        <w:rPr>
          <w:spacing w:val="-3"/>
          <w:sz w:val="24"/>
        </w:rPr>
        <w:t xml:space="preserve"> </w:t>
      </w:r>
      <w:r w:rsidRPr="00150EDC">
        <w:rPr>
          <w:sz w:val="24"/>
        </w:rPr>
        <w:t>rights under this Schedule.</w:t>
      </w:r>
    </w:p>
    <w:p w14:paraId="718BEF37" w14:textId="77777777" w:rsidR="004C7180" w:rsidRPr="00150EDC" w:rsidRDefault="00CF0754" w:rsidP="00B320C7">
      <w:pPr>
        <w:pStyle w:val="ListParagraph"/>
        <w:numPr>
          <w:ilvl w:val="1"/>
          <w:numId w:val="47"/>
        </w:numPr>
        <w:tabs>
          <w:tab w:val="left" w:pos="2161"/>
          <w:tab w:val="left" w:pos="2335"/>
        </w:tabs>
        <w:spacing w:before="120"/>
        <w:ind w:left="2335" w:right="1547" w:hanging="576"/>
        <w:rPr>
          <w:sz w:val="24"/>
          <w:szCs w:val="24"/>
        </w:rPr>
      </w:pPr>
      <w:r w:rsidRPr="00150EDC">
        <w:rPr>
          <w:sz w:val="24"/>
          <w:szCs w:val="24"/>
        </w:rPr>
        <w:t xml:space="preserve">At least ninety (90) Working Days prior to the Start Date the Supplier shall prepare and deliver to the Buyer for the Buyer’s written approval a plan (a </w:t>
      </w:r>
      <w:r w:rsidRPr="00150EDC">
        <w:rPr>
          <w:b/>
          <w:bCs/>
          <w:sz w:val="24"/>
          <w:szCs w:val="24"/>
        </w:rPr>
        <w:t>“BCDR</w:t>
      </w:r>
      <w:r w:rsidRPr="00150EDC">
        <w:rPr>
          <w:b/>
          <w:bCs/>
          <w:spacing w:val="-4"/>
          <w:sz w:val="24"/>
          <w:szCs w:val="24"/>
        </w:rPr>
        <w:t xml:space="preserve"> </w:t>
      </w:r>
      <w:r w:rsidRPr="00150EDC">
        <w:rPr>
          <w:b/>
          <w:bCs/>
          <w:sz w:val="24"/>
          <w:szCs w:val="24"/>
        </w:rPr>
        <w:t>Plan”</w:t>
      </w:r>
      <w:r w:rsidRPr="00150EDC">
        <w:rPr>
          <w:sz w:val="24"/>
          <w:szCs w:val="24"/>
        </w:rPr>
        <w:t>),</w:t>
      </w:r>
      <w:r w:rsidRPr="00150EDC">
        <w:rPr>
          <w:spacing w:val="-3"/>
          <w:sz w:val="24"/>
          <w:szCs w:val="24"/>
        </w:rPr>
        <w:t xml:space="preserve"> </w:t>
      </w:r>
      <w:r w:rsidRPr="00150EDC">
        <w:rPr>
          <w:sz w:val="24"/>
          <w:szCs w:val="24"/>
        </w:rPr>
        <w:t>which</w:t>
      </w:r>
      <w:r w:rsidRPr="00150EDC">
        <w:rPr>
          <w:spacing w:val="-5"/>
          <w:sz w:val="24"/>
          <w:szCs w:val="24"/>
        </w:rPr>
        <w:t xml:space="preserve"> </w:t>
      </w:r>
      <w:r w:rsidRPr="00150EDC">
        <w:rPr>
          <w:sz w:val="24"/>
          <w:szCs w:val="24"/>
        </w:rPr>
        <w:t>shall</w:t>
      </w:r>
      <w:r w:rsidRPr="00150EDC">
        <w:rPr>
          <w:spacing w:val="-4"/>
          <w:sz w:val="24"/>
          <w:szCs w:val="24"/>
        </w:rPr>
        <w:t xml:space="preserve"> </w:t>
      </w:r>
      <w:r w:rsidRPr="00150EDC">
        <w:rPr>
          <w:sz w:val="24"/>
          <w:szCs w:val="24"/>
        </w:rPr>
        <w:t>detail</w:t>
      </w:r>
      <w:r w:rsidRPr="00150EDC">
        <w:rPr>
          <w:spacing w:val="-4"/>
          <w:sz w:val="24"/>
          <w:szCs w:val="24"/>
        </w:rPr>
        <w:t xml:space="preserve"> </w:t>
      </w:r>
      <w:r w:rsidRPr="00150EDC">
        <w:rPr>
          <w:sz w:val="24"/>
          <w:szCs w:val="24"/>
        </w:rPr>
        <w:t>the</w:t>
      </w:r>
      <w:r w:rsidRPr="00150EDC">
        <w:rPr>
          <w:spacing w:val="-3"/>
          <w:sz w:val="24"/>
          <w:szCs w:val="24"/>
        </w:rPr>
        <w:t xml:space="preserve"> </w:t>
      </w:r>
      <w:r w:rsidRPr="00150EDC">
        <w:rPr>
          <w:sz w:val="24"/>
          <w:szCs w:val="24"/>
        </w:rPr>
        <w:t>processes</w:t>
      </w:r>
      <w:r w:rsidRPr="00150EDC">
        <w:rPr>
          <w:spacing w:val="-4"/>
          <w:sz w:val="24"/>
          <w:szCs w:val="24"/>
        </w:rPr>
        <w:t xml:space="preserve"> </w:t>
      </w:r>
      <w:r w:rsidRPr="00150EDC">
        <w:rPr>
          <w:sz w:val="24"/>
          <w:szCs w:val="24"/>
        </w:rPr>
        <w:t>and</w:t>
      </w:r>
      <w:r w:rsidRPr="00150EDC">
        <w:rPr>
          <w:spacing w:val="-3"/>
          <w:sz w:val="24"/>
          <w:szCs w:val="24"/>
        </w:rPr>
        <w:t xml:space="preserve"> </w:t>
      </w:r>
      <w:r w:rsidRPr="00150EDC">
        <w:rPr>
          <w:sz w:val="24"/>
          <w:szCs w:val="24"/>
        </w:rPr>
        <w:t>arrangements</w:t>
      </w:r>
      <w:r w:rsidRPr="00150EDC">
        <w:rPr>
          <w:spacing w:val="-4"/>
          <w:sz w:val="24"/>
          <w:szCs w:val="24"/>
        </w:rPr>
        <w:t xml:space="preserve"> </w:t>
      </w:r>
      <w:r w:rsidRPr="00150EDC">
        <w:rPr>
          <w:sz w:val="24"/>
          <w:szCs w:val="24"/>
        </w:rPr>
        <w:t>that</w:t>
      </w:r>
      <w:r w:rsidRPr="00150EDC">
        <w:rPr>
          <w:spacing w:val="-3"/>
          <w:sz w:val="24"/>
          <w:szCs w:val="24"/>
        </w:rPr>
        <w:t xml:space="preserve"> </w:t>
      </w:r>
      <w:r w:rsidRPr="00150EDC">
        <w:rPr>
          <w:sz w:val="24"/>
          <w:szCs w:val="24"/>
        </w:rPr>
        <w:t>the Supplier shall follow to:</w:t>
      </w:r>
    </w:p>
    <w:p w14:paraId="20650592" w14:textId="77777777" w:rsidR="004C7180" w:rsidRPr="00150EDC" w:rsidRDefault="00CF0754" w:rsidP="00B320C7">
      <w:pPr>
        <w:pStyle w:val="ListParagraph"/>
        <w:numPr>
          <w:ilvl w:val="2"/>
          <w:numId w:val="47"/>
        </w:numPr>
        <w:tabs>
          <w:tab w:val="left" w:pos="2360"/>
          <w:tab w:val="left" w:pos="3055"/>
        </w:tabs>
        <w:spacing w:before="120"/>
        <w:ind w:left="3055" w:right="1616" w:hanging="1296"/>
        <w:rPr>
          <w:sz w:val="24"/>
        </w:rPr>
      </w:pPr>
      <w:r w:rsidRPr="00150EDC">
        <w:rPr>
          <w:sz w:val="24"/>
        </w:rPr>
        <w:t>ensure continuity of the business processes and operations supported by the</w:t>
      </w:r>
      <w:r w:rsidRPr="00150EDC">
        <w:rPr>
          <w:spacing w:val="-2"/>
          <w:sz w:val="24"/>
        </w:rPr>
        <w:t xml:space="preserve"> </w:t>
      </w:r>
      <w:r w:rsidRPr="00150EDC">
        <w:rPr>
          <w:sz w:val="24"/>
        </w:rPr>
        <w:t>Services</w:t>
      </w:r>
      <w:r w:rsidRPr="00150EDC">
        <w:rPr>
          <w:spacing w:val="-3"/>
          <w:sz w:val="24"/>
        </w:rPr>
        <w:t xml:space="preserve"> </w:t>
      </w:r>
      <w:r w:rsidRPr="00150EDC">
        <w:rPr>
          <w:sz w:val="24"/>
        </w:rPr>
        <w:t>following</w:t>
      </w:r>
      <w:r w:rsidRPr="00150EDC">
        <w:rPr>
          <w:spacing w:val="-4"/>
          <w:sz w:val="24"/>
        </w:rPr>
        <w:t xml:space="preserve"> </w:t>
      </w:r>
      <w:r w:rsidRPr="00150EDC">
        <w:rPr>
          <w:sz w:val="24"/>
        </w:rPr>
        <w:t>any</w:t>
      </w:r>
      <w:r w:rsidRPr="00150EDC">
        <w:rPr>
          <w:spacing w:val="-3"/>
          <w:sz w:val="24"/>
        </w:rPr>
        <w:t xml:space="preserve"> </w:t>
      </w:r>
      <w:r w:rsidRPr="00150EDC">
        <w:rPr>
          <w:sz w:val="24"/>
        </w:rPr>
        <w:t>failure</w:t>
      </w:r>
      <w:r w:rsidRPr="00150EDC">
        <w:rPr>
          <w:spacing w:val="-2"/>
          <w:sz w:val="24"/>
        </w:rPr>
        <w:t xml:space="preserve"> </w:t>
      </w:r>
      <w:r w:rsidRPr="00150EDC">
        <w:rPr>
          <w:sz w:val="24"/>
        </w:rPr>
        <w:t>or</w:t>
      </w:r>
      <w:r w:rsidRPr="00150EDC">
        <w:rPr>
          <w:spacing w:val="-4"/>
          <w:sz w:val="24"/>
        </w:rPr>
        <w:t xml:space="preserve"> </w:t>
      </w:r>
      <w:r w:rsidRPr="00150EDC">
        <w:rPr>
          <w:sz w:val="24"/>
        </w:rPr>
        <w:t>disruption</w:t>
      </w:r>
      <w:r w:rsidRPr="00150EDC">
        <w:rPr>
          <w:spacing w:val="-2"/>
          <w:sz w:val="24"/>
        </w:rPr>
        <w:t xml:space="preserve"> </w:t>
      </w:r>
      <w:r w:rsidRPr="00150EDC">
        <w:rPr>
          <w:sz w:val="24"/>
        </w:rPr>
        <w:t>of</w:t>
      </w:r>
      <w:r w:rsidRPr="00150EDC">
        <w:rPr>
          <w:spacing w:val="-5"/>
          <w:sz w:val="24"/>
        </w:rPr>
        <w:t xml:space="preserve"> </w:t>
      </w:r>
      <w:r w:rsidRPr="00150EDC">
        <w:rPr>
          <w:sz w:val="24"/>
        </w:rPr>
        <w:t>any</w:t>
      </w:r>
      <w:r w:rsidRPr="00150EDC">
        <w:rPr>
          <w:spacing w:val="-5"/>
          <w:sz w:val="24"/>
        </w:rPr>
        <w:t xml:space="preserve"> </w:t>
      </w:r>
      <w:r w:rsidRPr="00150EDC">
        <w:rPr>
          <w:sz w:val="24"/>
        </w:rPr>
        <w:t>element</w:t>
      </w:r>
      <w:r w:rsidRPr="00150EDC">
        <w:rPr>
          <w:spacing w:val="-2"/>
          <w:sz w:val="24"/>
        </w:rPr>
        <w:t xml:space="preserve"> </w:t>
      </w:r>
      <w:r w:rsidRPr="00150EDC">
        <w:rPr>
          <w:sz w:val="24"/>
        </w:rPr>
        <w:t>of</w:t>
      </w:r>
      <w:r w:rsidRPr="00150EDC">
        <w:rPr>
          <w:spacing w:val="-5"/>
          <w:sz w:val="24"/>
        </w:rPr>
        <w:t xml:space="preserve"> </w:t>
      </w:r>
      <w:r w:rsidRPr="00150EDC">
        <w:rPr>
          <w:sz w:val="24"/>
        </w:rPr>
        <w:t>the Deliverables; and</w:t>
      </w:r>
    </w:p>
    <w:p w14:paraId="5E937DCA" w14:textId="77777777" w:rsidR="004C7180" w:rsidRPr="00150EDC" w:rsidRDefault="00CF0754" w:rsidP="00B320C7">
      <w:pPr>
        <w:pStyle w:val="ListParagraph"/>
        <w:numPr>
          <w:ilvl w:val="2"/>
          <w:numId w:val="47"/>
        </w:numPr>
        <w:tabs>
          <w:tab w:val="left" w:pos="2360"/>
        </w:tabs>
        <w:spacing w:before="120"/>
        <w:ind w:left="2360" w:hanging="601"/>
        <w:rPr>
          <w:sz w:val="24"/>
        </w:rPr>
      </w:pPr>
      <w:r w:rsidRPr="00150EDC">
        <w:rPr>
          <w:sz w:val="24"/>
        </w:rPr>
        <w:t>the</w:t>
      </w:r>
      <w:r w:rsidRPr="00150EDC">
        <w:rPr>
          <w:spacing w:val="-1"/>
          <w:sz w:val="24"/>
        </w:rPr>
        <w:t xml:space="preserve"> </w:t>
      </w:r>
      <w:r w:rsidRPr="00150EDC">
        <w:rPr>
          <w:sz w:val="24"/>
        </w:rPr>
        <w:t>recovery</w:t>
      </w:r>
      <w:r w:rsidRPr="00150EDC">
        <w:rPr>
          <w:spacing w:val="-2"/>
          <w:sz w:val="24"/>
        </w:rPr>
        <w:t xml:space="preserve"> </w:t>
      </w:r>
      <w:r w:rsidRPr="00150EDC">
        <w:rPr>
          <w:sz w:val="24"/>
        </w:rPr>
        <w:t>of</w:t>
      </w:r>
      <w:r w:rsidRPr="00150EDC">
        <w:rPr>
          <w:spacing w:val="-3"/>
          <w:sz w:val="24"/>
        </w:rPr>
        <w:t xml:space="preserve"> </w:t>
      </w:r>
      <w:r w:rsidRPr="00150EDC">
        <w:rPr>
          <w:sz w:val="24"/>
        </w:rPr>
        <w:t>the</w:t>
      </w:r>
      <w:r w:rsidRPr="00150EDC">
        <w:rPr>
          <w:spacing w:val="-1"/>
          <w:sz w:val="24"/>
        </w:rPr>
        <w:t xml:space="preserve"> </w:t>
      </w:r>
      <w:r w:rsidRPr="00150EDC">
        <w:rPr>
          <w:sz w:val="24"/>
        </w:rPr>
        <w:t>Deliverables</w:t>
      </w:r>
      <w:r w:rsidRPr="00150EDC">
        <w:rPr>
          <w:spacing w:val="-3"/>
          <w:sz w:val="24"/>
        </w:rPr>
        <w:t xml:space="preserve"> </w:t>
      </w:r>
      <w:r w:rsidRPr="00150EDC">
        <w:rPr>
          <w:sz w:val="24"/>
        </w:rPr>
        <w:t>in the</w:t>
      </w:r>
      <w:r w:rsidRPr="00150EDC">
        <w:rPr>
          <w:spacing w:val="-1"/>
          <w:sz w:val="24"/>
        </w:rPr>
        <w:t xml:space="preserve"> </w:t>
      </w:r>
      <w:r w:rsidRPr="00150EDC">
        <w:rPr>
          <w:sz w:val="24"/>
        </w:rPr>
        <w:t>event</w:t>
      </w:r>
      <w:r w:rsidRPr="00150EDC">
        <w:rPr>
          <w:spacing w:val="-3"/>
          <w:sz w:val="24"/>
        </w:rPr>
        <w:t xml:space="preserve"> </w:t>
      </w:r>
      <w:r w:rsidRPr="00150EDC">
        <w:rPr>
          <w:sz w:val="24"/>
        </w:rPr>
        <w:t>of</w:t>
      </w:r>
      <w:r w:rsidRPr="00150EDC">
        <w:rPr>
          <w:spacing w:val="-1"/>
          <w:sz w:val="24"/>
        </w:rPr>
        <w:t xml:space="preserve"> </w:t>
      </w:r>
      <w:r w:rsidRPr="00150EDC">
        <w:rPr>
          <w:sz w:val="24"/>
        </w:rPr>
        <w:t>a</w:t>
      </w:r>
      <w:r w:rsidRPr="00150EDC">
        <w:rPr>
          <w:spacing w:val="-2"/>
          <w:sz w:val="24"/>
        </w:rPr>
        <w:t xml:space="preserve"> Disaster</w:t>
      </w:r>
    </w:p>
    <w:p w14:paraId="5B4DA0B9" w14:textId="77777777" w:rsidR="004C7180" w:rsidRPr="00150EDC" w:rsidRDefault="00CF0754" w:rsidP="00B320C7">
      <w:pPr>
        <w:pStyle w:val="ListParagraph"/>
        <w:numPr>
          <w:ilvl w:val="1"/>
          <w:numId w:val="47"/>
        </w:numPr>
        <w:tabs>
          <w:tab w:val="left" w:pos="2160"/>
        </w:tabs>
        <w:spacing w:before="120"/>
        <w:ind w:left="2160" w:hanging="401"/>
        <w:rPr>
          <w:sz w:val="24"/>
        </w:rPr>
      </w:pPr>
      <w:r w:rsidRPr="00150EDC">
        <w:rPr>
          <w:sz w:val="24"/>
        </w:rPr>
        <w:t>The</w:t>
      </w:r>
      <w:r w:rsidRPr="00150EDC">
        <w:rPr>
          <w:spacing w:val="-1"/>
          <w:sz w:val="24"/>
        </w:rPr>
        <w:t xml:space="preserve"> </w:t>
      </w:r>
      <w:r w:rsidRPr="00150EDC">
        <w:rPr>
          <w:sz w:val="24"/>
        </w:rPr>
        <w:t>BCDR</w:t>
      </w:r>
      <w:r w:rsidRPr="00150EDC">
        <w:rPr>
          <w:spacing w:val="-2"/>
          <w:sz w:val="24"/>
        </w:rPr>
        <w:t xml:space="preserve"> </w:t>
      </w:r>
      <w:r w:rsidRPr="00150EDC">
        <w:rPr>
          <w:sz w:val="24"/>
        </w:rPr>
        <w:t>Plan</w:t>
      </w:r>
      <w:r w:rsidRPr="00150EDC">
        <w:rPr>
          <w:spacing w:val="-1"/>
          <w:sz w:val="24"/>
        </w:rPr>
        <w:t xml:space="preserve"> </w:t>
      </w:r>
      <w:r w:rsidRPr="00150EDC">
        <w:rPr>
          <w:sz w:val="24"/>
        </w:rPr>
        <w:t>shall</w:t>
      </w:r>
      <w:r w:rsidRPr="00150EDC">
        <w:rPr>
          <w:spacing w:val="-2"/>
          <w:sz w:val="24"/>
        </w:rPr>
        <w:t xml:space="preserve"> </w:t>
      </w:r>
      <w:r w:rsidRPr="00150EDC">
        <w:rPr>
          <w:sz w:val="24"/>
        </w:rPr>
        <w:t>be</w:t>
      </w:r>
      <w:r w:rsidRPr="00150EDC">
        <w:rPr>
          <w:spacing w:val="-3"/>
          <w:sz w:val="24"/>
        </w:rPr>
        <w:t xml:space="preserve"> </w:t>
      </w:r>
      <w:r w:rsidRPr="00150EDC">
        <w:rPr>
          <w:sz w:val="24"/>
        </w:rPr>
        <w:t>divided</w:t>
      </w:r>
      <w:r w:rsidRPr="00150EDC">
        <w:rPr>
          <w:spacing w:val="-1"/>
          <w:sz w:val="24"/>
        </w:rPr>
        <w:t xml:space="preserve"> </w:t>
      </w:r>
      <w:r w:rsidRPr="00150EDC">
        <w:rPr>
          <w:sz w:val="24"/>
        </w:rPr>
        <w:t>into</w:t>
      </w:r>
      <w:r w:rsidRPr="00150EDC">
        <w:rPr>
          <w:spacing w:val="-3"/>
          <w:sz w:val="24"/>
        </w:rPr>
        <w:t xml:space="preserve"> </w:t>
      </w:r>
      <w:r w:rsidRPr="00150EDC">
        <w:rPr>
          <w:sz w:val="24"/>
        </w:rPr>
        <w:t>four</w:t>
      </w:r>
      <w:r w:rsidRPr="00150EDC">
        <w:rPr>
          <w:spacing w:val="-4"/>
          <w:sz w:val="24"/>
        </w:rPr>
        <w:t xml:space="preserve"> </w:t>
      </w:r>
      <w:r w:rsidRPr="00150EDC">
        <w:rPr>
          <w:spacing w:val="-2"/>
          <w:sz w:val="24"/>
        </w:rPr>
        <w:t>sections:</w:t>
      </w:r>
    </w:p>
    <w:p w14:paraId="4C1BBA17" w14:textId="77777777" w:rsidR="004C7180" w:rsidRPr="00150EDC" w:rsidRDefault="00CF0754" w:rsidP="00B320C7">
      <w:pPr>
        <w:pStyle w:val="ListParagraph"/>
        <w:numPr>
          <w:ilvl w:val="2"/>
          <w:numId w:val="47"/>
        </w:numPr>
        <w:tabs>
          <w:tab w:val="left" w:pos="2360"/>
          <w:tab w:val="left" w:pos="3055"/>
        </w:tabs>
        <w:spacing w:before="121"/>
        <w:ind w:left="3055" w:right="1965" w:hanging="1296"/>
        <w:rPr>
          <w:sz w:val="24"/>
        </w:rPr>
      </w:pPr>
      <w:r w:rsidRPr="00150EDC">
        <w:rPr>
          <w:sz w:val="24"/>
        </w:rPr>
        <w:t>Section</w:t>
      </w:r>
      <w:r w:rsidRPr="00150EDC">
        <w:rPr>
          <w:spacing w:val="-4"/>
          <w:sz w:val="24"/>
        </w:rPr>
        <w:t xml:space="preserve"> </w:t>
      </w:r>
      <w:r w:rsidRPr="00150EDC">
        <w:rPr>
          <w:sz w:val="24"/>
        </w:rPr>
        <w:t>1</w:t>
      </w:r>
      <w:r w:rsidRPr="00150EDC">
        <w:rPr>
          <w:spacing w:val="-1"/>
          <w:sz w:val="24"/>
        </w:rPr>
        <w:t xml:space="preserve"> </w:t>
      </w:r>
      <w:r w:rsidRPr="00150EDC">
        <w:rPr>
          <w:sz w:val="24"/>
        </w:rPr>
        <w:t>which</w:t>
      </w:r>
      <w:r w:rsidRPr="00150EDC">
        <w:rPr>
          <w:spacing w:val="-6"/>
          <w:sz w:val="24"/>
        </w:rPr>
        <w:t xml:space="preserve"> </w:t>
      </w:r>
      <w:r w:rsidRPr="00150EDC">
        <w:rPr>
          <w:sz w:val="24"/>
        </w:rPr>
        <w:t>shall</w:t>
      </w:r>
      <w:r w:rsidRPr="00150EDC">
        <w:rPr>
          <w:spacing w:val="-2"/>
          <w:sz w:val="24"/>
        </w:rPr>
        <w:t xml:space="preserve"> </w:t>
      </w:r>
      <w:r w:rsidRPr="00150EDC">
        <w:rPr>
          <w:sz w:val="24"/>
        </w:rPr>
        <w:t>set</w:t>
      </w:r>
      <w:r w:rsidRPr="00150EDC">
        <w:rPr>
          <w:spacing w:val="-4"/>
          <w:sz w:val="24"/>
        </w:rPr>
        <w:t xml:space="preserve"> </w:t>
      </w:r>
      <w:r w:rsidRPr="00150EDC">
        <w:rPr>
          <w:sz w:val="24"/>
        </w:rPr>
        <w:t>out</w:t>
      </w:r>
      <w:r w:rsidRPr="00150EDC">
        <w:rPr>
          <w:spacing w:val="-4"/>
          <w:sz w:val="24"/>
        </w:rPr>
        <w:t xml:space="preserve"> </w:t>
      </w:r>
      <w:r w:rsidRPr="00150EDC">
        <w:rPr>
          <w:sz w:val="24"/>
        </w:rPr>
        <w:t>general</w:t>
      </w:r>
      <w:r w:rsidRPr="00150EDC">
        <w:rPr>
          <w:spacing w:val="-5"/>
          <w:sz w:val="24"/>
        </w:rPr>
        <w:t xml:space="preserve"> </w:t>
      </w:r>
      <w:r w:rsidRPr="00150EDC">
        <w:rPr>
          <w:sz w:val="24"/>
        </w:rPr>
        <w:t>principles</w:t>
      </w:r>
      <w:r w:rsidRPr="00150EDC">
        <w:rPr>
          <w:spacing w:val="-2"/>
          <w:sz w:val="24"/>
        </w:rPr>
        <w:t xml:space="preserve"> </w:t>
      </w:r>
      <w:r w:rsidRPr="00150EDC">
        <w:rPr>
          <w:sz w:val="24"/>
        </w:rPr>
        <w:t>applicable</w:t>
      </w:r>
      <w:r w:rsidRPr="00150EDC">
        <w:rPr>
          <w:spacing w:val="-3"/>
          <w:sz w:val="24"/>
        </w:rPr>
        <w:t xml:space="preserve"> </w:t>
      </w:r>
      <w:r w:rsidRPr="00150EDC">
        <w:rPr>
          <w:sz w:val="24"/>
        </w:rPr>
        <w:t>to</w:t>
      </w:r>
      <w:r w:rsidRPr="00150EDC">
        <w:rPr>
          <w:spacing w:val="-3"/>
          <w:sz w:val="24"/>
        </w:rPr>
        <w:t xml:space="preserve"> </w:t>
      </w:r>
      <w:r w:rsidRPr="00150EDC">
        <w:rPr>
          <w:sz w:val="24"/>
        </w:rPr>
        <w:t>the</w:t>
      </w:r>
      <w:r w:rsidRPr="00150EDC">
        <w:rPr>
          <w:spacing w:val="-1"/>
          <w:sz w:val="24"/>
        </w:rPr>
        <w:t xml:space="preserve"> </w:t>
      </w:r>
      <w:r w:rsidRPr="00150EDC">
        <w:rPr>
          <w:sz w:val="24"/>
        </w:rPr>
        <w:t xml:space="preserve">BCDR </w:t>
      </w:r>
      <w:r w:rsidRPr="00150EDC">
        <w:rPr>
          <w:spacing w:val="-2"/>
          <w:sz w:val="24"/>
        </w:rPr>
        <w:t>Plan;</w:t>
      </w:r>
    </w:p>
    <w:p w14:paraId="5EBED8DF" w14:textId="77777777" w:rsidR="004C7180" w:rsidRPr="00150EDC" w:rsidRDefault="00CF0754" w:rsidP="00B320C7">
      <w:pPr>
        <w:pStyle w:val="ListParagraph"/>
        <w:numPr>
          <w:ilvl w:val="2"/>
          <w:numId w:val="47"/>
        </w:numPr>
        <w:tabs>
          <w:tab w:val="left" w:pos="2360"/>
          <w:tab w:val="left" w:pos="3055"/>
        </w:tabs>
        <w:spacing w:before="117"/>
        <w:ind w:left="3055" w:right="2505" w:hanging="1296"/>
        <w:rPr>
          <w:sz w:val="24"/>
        </w:rPr>
      </w:pPr>
      <w:r w:rsidRPr="00150EDC">
        <w:rPr>
          <w:sz w:val="24"/>
        </w:rPr>
        <w:t>Section</w:t>
      </w:r>
      <w:r w:rsidRPr="00150EDC">
        <w:rPr>
          <w:spacing w:val="-4"/>
          <w:sz w:val="24"/>
        </w:rPr>
        <w:t xml:space="preserve"> </w:t>
      </w:r>
      <w:r w:rsidRPr="00150EDC">
        <w:rPr>
          <w:sz w:val="24"/>
        </w:rPr>
        <w:t>2</w:t>
      </w:r>
      <w:r w:rsidRPr="00150EDC">
        <w:rPr>
          <w:spacing w:val="-2"/>
          <w:sz w:val="24"/>
        </w:rPr>
        <w:t xml:space="preserve"> </w:t>
      </w:r>
      <w:r w:rsidRPr="00150EDC">
        <w:rPr>
          <w:sz w:val="24"/>
        </w:rPr>
        <w:t>which</w:t>
      </w:r>
      <w:r w:rsidRPr="00150EDC">
        <w:rPr>
          <w:spacing w:val="-7"/>
          <w:sz w:val="24"/>
        </w:rPr>
        <w:t xml:space="preserve"> </w:t>
      </w:r>
      <w:r w:rsidRPr="00150EDC">
        <w:rPr>
          <w:sz w:val="24"/>
        </w:rPr>
        <w:t>shall</w:t>
      </w:r>
      <w:r w:rsidRPr="00150EDC">
        <w:rPr>
          <w:spacing w:val="-3"/>
          <w:sz w:val="24"/>
        </w:rPr>
        <w:t xml:space="preserve"> </w:t>
      </w:r>
      <w:r w:rsidRPr="00150EDC">
        <w:rPr>
          <w:sz w:val="24"/>
        </w:rPr>
        <w:t>relate</w:t>
      </w:r>
      <w:r w:rsidRPr="00150EDC">
        <w:rPr>
          <w:spacing w:val="-4"/>
          <w:sz w:val="24"/>
        </w:rPr>
        <w:t xml:space="preserve"> </w:t>
      </w:r>
      <w:r w:rsidRPr="00150EDC">
        <w:rPr>
          <w:sz w:val="24"/>
        </w:rPr>
        <w:t>to</w:t>
      </w:r>
      <w:r w:rsidRPr="00150EDC">
        <w:rPr>
          <w:spacing w:val="-4"/>
          <w:sz w:val="24"/>
        </w:rPr>
        <w:t xml:space="preserve"> </w:t>
      </w:r>
      <w:r w:rsidRPr="00150EDC">
        <w:rPr>
          <w:sz w:val="24"/>
        </w:rPr>
        <w:t>business</w:t>
      </w:r>
      <w:r w:rsidRPr="00150EDC">
        <w:rPr>
          <w:spacing w:val="-5"/>
          <w:sz w:val="24"/>
        </w:rPr>
        <w:t xml:space="preserve"> </w:t>
      </w:r>
      <w:r w:rsidRPr="00150EDC">
        <w:rPr>
          <w:sz w:val="24"/>
        </w:rPr>
        <w:t>continuity</w:t>
      </w:r>
      <w:r w:rsidRPr="00150EDC">
        <w:rPr>
          <w:spacing w:val="-3"/>
          <w:sz w:val="24"/>
        </w:rPr>
        <w:t xml:space="preserve"> </w:t>
      </w:r>
      <w:r w:rsidRPr="00150EDC">
        <w:rPr>
          <w:sz w:val="24"/>
        </w:rPr>
        <w:t>(the</w:t>
      </w:r>
      <w:r w:rsidRPr="00150EDC">
        <w:rPr>
          <w:spacing w:val="-2"/>
          <w:sz w:val="24"/>
        </w:rPr>
        <w:t xml:space="preserve"> </w:t>
      </w:r>
      <w:r w:rsidRPr="00150EDC">
        <w:rPr>
          <w:b/>
          <w:sz w:val="24"/>
        </w:rPr>
        <w:t>"Business Continuity Plan"</w:t>
      </w:r>
      <w:r w:rsidRPr="00150EDC">
        <w:rPr>
          <w:sz w:val="24"/>
        </w:rPr>
        <w:t>);</w:t>
      </w:r>
    </w:p>
    <w:p w14:paraId="5A92DF04" w14:textId="77777777" w:rsidR="004C7180" w:rsidRPr="00150EDC" w:rsidRDefault="00CF0754" w:rsidP="00B320C7">
      <w:pPr>
        <w:pStyle w:val="ListParagraph"/>
        <w:numPr>
          <w:ilvl w:val="2"/>
          <w:numId w:val="47"/>
        </w:numPr>
        <w:tabs>
          <w:tab w:val="left" w:pos="2292"/>
          <w:tab w:val="left" w:pos="3055"/>
        </w:tabs>
        <w:spacing w:before="120"/>
        <w:ind w:left="3055" w:right="1743" w:hanging="1296"/>
        <w:rPr>
          <w:sz w:val="24"/>
        </w:rPr>
      </w:pPr>
      <w:r w:rsidRPr="00150EDC">
        <w:rPr>
          <w:sz w:val="24"/>
        </w:rPr>
        <w:t>Section</w:t>
      </w:r>
      <w:r w:rsidRPr="00150EDC">
        <w:rPr>
          <w:spacing w:val="-4"/>
          <w:sz w:val="24"/>
        </w:rPr>
        <w:t xml:space="preserve"> </w:t>
      </w:r>
      <w:r w:rsidRPr="00150EDC">
        <w:rPr>
          <w:sz w:val="24"/>
        </w:rPr>
        <w:t>3</w:t>
      </w:r>
      <w:r w:rsidRPr="00150EDC">
        <w:rPr>
          <w:spacing w:val="-2"/>
          <w:sz w:val="24"/>
        </w:rPr>
        <w:t xml:space="preserve"> </w:t>
      </w:r>
      <w:r w:rsidRPr="00150EDC">
        <w:rPr>
          <w:sz w:val="24"/>
        </w:rPr>
        <w:t>which</w:t>
      </w:r>
      <w:r w:rsidRPr="00150EDC">
        <w:rPr>
          <w:spacing w:val="-2"/>
          <w:sz w:val="24"/>
        </w:rPr>
        <w:t xml:space="preserve"> </w:t>
      </w:r>
      <w:r w:rsidRPr="00150EDC">
        <w:rPr>
          <w:sz w:val="24"/>
        </w:rPr>
        <w:t>shall</w:t>
      </w:r>
      <w:r w:rsidRPr="00150EDC">
        <w:rPr>
          <w:spacing w:val="-3"/>
          <w:sz w:val="24"/>
        </w:rPr>
        <w:t xml:space="preserve"> </w:t>
      </w:r>
      <w:r w:rsidRPr="00150EDC">
        <w:rPr>
          <w:sz w:val="24"/>
        </w:rPr>
        <w:t>relate</w:t>
      </w:r>
      <w:r w:rsidRPr="00150EDC">
        <w:rPr>
          <w:spacing w:val="-4"/>
          <w:sz w:val="24"/>
        </w:rPr>
        <w:t xml:space="preserve"> </w:t>
      </w:r>
      <w:r w:rsidRPr="00150EDC">
        <w:rPr>
          <w:sz w:val="24"/>
        </w:rPr>
        <w:t>to</w:t>
      </w:r>
      <w:r w:rsidRPr="00150EDC">
        <w:rPr>
          <w:spacing w:val="-4"/>
          <w:sz w:val="24"/>
        </w:rPr>
        <w:t xml:space="preserve"> </w:t>
      </w:r>
      <w:r w:rsidRPr="00150EDC">
        <w:rPr>
          <w:sz w:val="24"/>
        </w:rPr>
        <w:t>disaster</w:t>
      </w:r>
      <w:r w:rsidRPr="00150EDC">
        <w:rPr>
          <w:spacing w:val="-4"/>
          <w:sz w:val="24"/>
        </w:rPr>
        <w:t xml:space="preserve"> </w:t>
      </w:r>
      <w:r w:rsidRPr="00150EDC">
        <w:rPr>
          <w:sz w:val="24"/>
        </w:rPr>
        <w:t>recovery</w:t>
      </w:r>
      <w:r w:rsidRPr="00150EDC">
        <w:rPr>
          <w:spacing w:val="-3"/>
          <w:sz w:val="24"/>
        </w:rPr>
        <w:t xml:space="preserve"> </w:t>
      </w:r>
      <w:r w:rsidRPr="00150EDC">
        <w:rPr>
          <w:sz w:val="24"/>
        </w:rPr>
        <w:t>(the</w:t>
      </w:r>
      <w:r w:rsidRPr="00150EDC">
        <w:rPr>
          <w:spacing w:val="-2"/>
          <w:sz w:val="24"/>
        </w:rPr>
        <w:t xml:space="preserve"> </w:t>
      </w:r>
      <w:r w:rsidRPr="00150EDC">
        <w:rPr>
          <w:b/>
          <w:sz w:val="24"/>
        </w:rPr>
        <w:t>"Disaster</w:t>
      </w:r>
      <w:r w:rsidRPr="00150EDC">
        <w:rPr>
          <w:b/>
          <w:spacing w:val="-5"/>
          <w:sz w:val="24"/>
        </w:rPr>
        <w:t xml:space="preserve"> </w:t>
      </w:r>
      <w:r w:rsidRPr="00150EDC">
        <w:rPr>
          <w:b/>
          <w:sz w:val="24"/>
        </w:rPr>
        <w:t>Recovery Plan"</w:t>
      </w:r>
      <w:r w:rsidRPr="00150EDC">
        <w:rPr>
          <w:sz w:val="24"/>
        </w:rPr>
        <w:t>); and</w:t>
      </w:r>
    </w:p>
    <w:p w14:paraId="4F828DE5" w14:textId="77777777" w:rsidR="004C7180" w:rsidRPr="00150EDC" w:rsidRDefault="00CF0754" w:rsidP="00B320C7">
      <w:pPr>
        <w:pStyle w:val="ListParagraph"/>
        <w:numPr>
          <w:ilvl w:val="2"/>
          <w:numId w:val="47"/>
        </w:numPr>
        <w:tabs>
          <w:tab w:val="left" w:pos="2360"/>
          <w:tab w:val="left" w:pos="3055"/>
        </w:tabs>
        <w:spacing w:before="120"/>
        <w:ind w:left="3055" w:right="1454" w:hanging="1296"/>
        <w:jc w:val="both"/>
        <w:rPr>
          <w:sz w:val="24"/>
        </w:rPr>
      </w:pPr>
      <w:r w:rsidRPr="00150EDC">
        <w:rPr>
          <w:sz w:val="24"/>
        </w:rPr>
        <w:t>Section</w:t>
      </w:r>
      <w:r w:rsidRPr="00150EDC">
        <w:rPr>
          <w:spacing w:val="-1"/>
          <w:sz w:val="24"/>
        </w:rPr>
        <w:t xml:space="preserve"> </w:t>
      </w:r>
      <w:r w:rsidRPr="00150EDC">
        <w:rPr>
          <w:sz w:val="24"/>
        </w:rPr>
        <w:t>4 which</w:t>
      </w:r>
      <w:r w:rsidRPr="00150EDC">
        <w:rPr>
          <w:spacing w:val="-4"/>
          <w:sz w:val="24"/>
        </w:rPr>
        <w:t xml:space="preserve"> </w:t>
      </w:r>
      <w:r w:rsidRPr="00150EDC">
        <w:rPr>
          <w:sz w:val="24"/>
        </w:rPr>
        <w:t>shall relate</w:t>
      </w:r>
      <w:r w:rsidRPr="00150EDC">
        <w:rPr>
          <w:spacing w:val="-1"/>
          <w:sz w:val="24"/>
        </w:rPr>
        <w:t xml:space="preserve"> </w:t>
      </w:r>
      <w:r w:rsidRPr="00150EDC">
        <w:rPr>
          <w:sz w:val="24"/>
        </w:rPr>
        <w:t>to</w:t>
      </w:r>
      <w:r w:rsidRPr="00150EDC">
        <w:rPr>
          <w:spacing w:val="-1"/>
          <w:sz w:val="24"/>
        </w:rPr>
        <w:t xml:space="preserve"> </w:t>
      </w:r>
      <w:r w:rsidRPr="00150EDC">
        <w:rPr>
          <w:sz w:val="24"/>
        </w:rPr>
        <w:t>an</w:t>
      </w:r>
      <w:r w:rsidRPr="00150EDC">
        <w:rPr>
          <w:spacing w:val="-1"/>
          <w:sz w:val="24"/>
        </w:rPr>
        <w:t xml:space="preserve"> </w:t>
      </w:r>
      <w:r w:rsidRPr="00150EDC">
        <w:rPr>
          <w:sz w:val="24"/>
        </w:rPr>
        <w:t>Insolvency Event</w:t>
      </w:r>
      <w:r w:rsidRPr="00150EDC">
        <w:rPr>
          <w:spacing w:val="-2"/>
          <w:sz w:val="24"/>
        </w:rPr>
        <w:t xml:space="preserve"> </w:t>
      </w:r>
      <w:r w:rsidRPr="00150EDC">
        <w:rPr>
          <w:sz w:val="24"/>
        </w:rPr>
        <w:t>of the</w:t>
      </w:r>
      <w:r w:rsidRPr="00150EDC">
        <w:rPr>
          <w:spacing w:val="-1"/>
          <w:sz w:val="24"/>
        </w:rPr>
        <w:t xml:space="preserve"> </w:t>
      </w:r>
      <w:r w:rsidRPr="00150EDC">
        <w:rPr>
          <w:sz w:val="24"/>
        </w:rPr>
        <w:t>Supplier, and Key Subcontractors</w:t>
      </w:r>
      <w:r w:rsidRPr="00150EDC">
        <w:rPr>
          <w:spacing w:val="-4"/>
          <w:sz w:val="24"/>
        </w:rPr>
        <w:t xml:space="preserve"> </w:t>
      </w:r>
      <w:r w:rsidRPr="00150EDC">
        <w:rPr>
          <w:sz w:val="24"/>
        </w:rPr>
        <w:t>and/or</w:t>
      </w:r>
      <w:r w:rsidRPr="00150EDC">
        <w:rPr>
          <w:spacing w:val="-7"/>
          <w:sz w:val="24"/>
        </w:rPr>
        <w:t xml:space="preserve"> </w:t>
      </w:r>
      <w:r w:rsidRPr="00150EDC">
        <w:rPr>
          <w:sz w:val="24"/>
        </w:rPr>
        <w:t>any</w:t>
      </w:r>
      <w:r w:rsidRPr="00150EDC">
        <w:rPr>
          <w:spacing w:val="-4"/>
          <w:sz w:val="24"/>
        </w:rPr>
        <w:t xml:space="preserve"> </w:t>
      </w:r>
      <w:r w:rsidRPr="00150EDC">
        <w:rPr>
          <w:sz w:val="24"/>
        </w:rPr>
        <w:t>Supplier</w:t>
      </w:r>
      <w:r w:rsidRPr="00150EDC">
        <w:rPr>
          <w:spacing w:val="-5"/>
          <w:sz w:val="24"/>
        </w:rPr>
        <w:t xml:space="preserve"> </w:t>
      </w:r>
      <w:r w:rsidRPr="00150EDC">
        <w:rPr>
          <w:sz w:val="24"/>
        </w:rPr>
        <w:t>Group</w:t>
      </w:r>
      <w:r w:rsidRPr="00150EDC">
        <w:rPr>
          <w:spacing w:val="-5"/>
          <w:sz w:val="24"/>
        </w:rPr>
        <w:t xml:space="preserve"> </w:t>
      </w:r>
      <w:r w:rsidRPr="00150EDC">
        <w:rPr>
          <w:sz w:val="24"/>
        </w:rPr>
        <w:t>member</w:t>
      </w:r>
      <w:r w:rsidRPr="00150EDC">
        <w:rPr>
          <w:spacing w:val="-5"/>
          <w:sz w:val="24"/>
        </w:rPr>
        <w:t xml:space="preserve"> </w:t>
      </w:r>
      <w:r w:rsidRPr="00150EDC">
        <w:rPr>
          <w:sz w:val="24"/>
        </w:rPr>
        <w:t>(the</w:t>
      </w:r>
      <w:r w:rsidRPr="00150EDC">
        <w:rPr>
          <w:spacing w:val="-5"/>
          <w:sz w:val="24"/>
        </w:rPr>
        <w:t xml:space="preserve"> </w:t>
      </w:r>
      <w:r w:rsidRPr="00150EDC">
        <w:rPr>
          <w:b/>
          <w:sz w:val="24"/>
        </w:rPr>
        <w:t>“Insolvency Continuity Plan”</w:t>
      </w:r>
      <w:r w:rsidRPr="00150EDC">
        <w:rPr>
          <w:sz w:val="24"/>
        </w:rPr>
        <w:t>).</w:t>
      </w:r>
    </w:p>
    <w:p w14:paraId="5E8A642E" w14:textId="77777777" w:rsidR="004C7180" w:rsidRPr="00150EDC" w:rsidRDefault="00CF0754" w:rsidP="00B320C7">
      <w:pPr>
        <w:pStyle w:val="ListParagraph"/>
        <w:numPr>
          <w:ilvl w:val="1"/>
          <w:numId w:val="49"/>
        </w:numPr>
        <w:tabs>
          <w:tab w:val="left" w:pos="2119"/>
        </w:tabs>
        <w:spacing w:before="120"/>
        <w:ind w:left="2119" w:right="1577" w:hanging="720"/>
        <w:jc w:val="left"/>
        <w:rPr>
          <w:sz w:val="24"/>
        </w:rPr>
      </w:pPr>
      <w:r w:rsidRPr="00150EDC">
        <w:rPr>
          <w:sz w:val="24"/>
        </w:rPr>
        <w:t>Following receipt of the draft BCDR Plan from the Supplier, the Parties shall use reasonable endeavours to agree the contents of the BCDR Plan. If the Parties</w:t>
      </w:r>
      <w:r w:rsidRPr="00150EDC">
        <w:rPr>
          <w:spacing w:val="-3"/>
          <w:sz w:val="24"/>
        </w:rPr>
        <w:t xml:space="preserve"> </w:t>
      </w:r>
      <w:r w:rsidRPr="00150EDC">
        <w:rPr>
          <w:sz w:val="24"/>
        </w:rPr>
        <w:t>are</w:t>
      </w:r>
      <w:r w:rsidRPr="00150EDC">
        <w:rPr>
          <w:spacing w:val="-4"/>
          <w:sz w:val="24"/>
        </w:rPr>
        <w:t xml:space="preserve"> </w:t>
      </w:r>
      <w:r w:rsidRPr="00150EDC">
        <w:rPr>
          <w:sz w:val="24"/>
        </w:rPr>
        <w:t>unable</w:t>
      </w:r>
      <w:r w:rsidRPr="00150EDC">
        <w:rPr>
          <w:spacing w:val="-4"/>
          <w:sz w:val="24"/>
        </w:rPr>
        <w:t xml:space="preserve"> </w:t>
      </w:r>
      <w:r w:rsidRPr="00150EDC">
        <w:rPr>
          <w:sz w:val="24"/>
        </w:rPr>
        <w:t>to</w:t>
      </w:r>
      <w:r w:rsidRPr="00150EDC">
        <w:rPr>
          <w:spacing w:val="-4"/>
          <w:sz w:val="24"/>
        </w:rPr>
        <w:t xml:space="preserve"> </w:t>
      </w:r>
      <w:r w:rsidRPr="00150EDC">
        <w:rPr>
          <w:sz w:val="24"/>
        </w:rPr>
        <w:t>agree</w:t>
      </w:r>
      <w:r w:rsidRPr="00150EDC">
        <w:rPr>
          <w:spacing w:val="-2"/>
          <w:sz w:val="24"/>
        </w:rPr>
        <w:t xml:space="preserve"> </w:t>
      </w:r>
      <w:r w:rsidRPr="00150EDC">
        <w:rPr>
          <w:sz w:val="24"/>
        </w:rPr>
        <w:t>the</w:t>
      </w:r>
      <w:r w:rsidRPr="00150EDC">
        <w:rPr>
          <w:spacing w:val="-2"/>
          <w:sz w:val="24"/>
        </w:rPr>
        <w:t xml:space="preserve"> </w:t>
      </w:r>
      <w:r w:rsidRPr="00150EDC">
        <w:rPr>
          <w:sz w:val="24"/>
        </w:rPr>
        <w:t>contents</w:t>
      </w:r>
      <w:r w:rsidRPr="00150EDC">
        <w:rPr>
          <w:spacing w:val="-5"/>
          <w:sz w:val="24"/>
        </w:rPr>
        <w:t xml:space="preserve"> </w:t>
      </w:r>
      <w:r w:rsidRPr="00150EDC">
        <w:rPr>
          <w:sz w:val="24"/>
        </w:rPr>
        <w:t>of</w:t>
      </w:r>
      <w:r w:rsidRPr="00150EDC">
        <w:rPr>
          <w:spacing w:val="-2"/>
          <w:sz w:val="24"/>
        </w:rPr>
        <w:t xml:space="preserve"> </w:t>
      </w:r>
      <w:r w:rsidRPr="00150EDC">
        <w:rPr>
          <w:sz w:val="24"/>
        </w:rPr>
        <w:t>the</w:t>
      </w:r>
      <w:r w:rsidRPr="00150EDC">
        <w:rPr>
          <w:spacing w:val="-2"/>
          <w:sz w:val="24"/>
        </w:rPr>
        <w:t xml:space="preserve"> </w:t>
      </w:r>
      <w:r w:rsidRPr="00150EDC">
        <w:rPr>
          <w:sz w:val="24"/>
        </w:rPr>
        <w:t>BCDR</w:t>
      </w:r>
      <w:r w:rsidRPr="00150EDC">
        <w:rPr>
          <w:spacing w:val="-3"/>
          <w:sz w:val="24"/>
        </w:rPr>
        <w:t xml:space="preserve"> </w:t>
      </w:r>
      <w:r w:rsidRPr="00150EDC">
        <w:rPr>
          <w:sz w:val="24"/>
        </w:rPr>
        <w:t>Plan</w:t>
      </w:r>
      <w:r w:rsidRPr="00150EDC">
        <w:rPr>
          <w:spacing w:val="-2"/>
          <w:sz w:val="24"/>
        </w:rPr>
        <w:t xml:space="preserve"> </w:t>
      </w:r>
      <w:r w:rsidRPr="00150EDC">
        <w:rPr>
          <w:sz w:val="24"/>
        </w:rPr>
        <w:t>within</w:t>
      </w:r>
      <w:r w:rsidRPr="00150EDC">
        <w:rPr>
          <w:spacing w:val="-2"/>
          <w:sz w:val="24"/>
        </w:rPr>
        <w:t xml:space="preserve"> </w:t>
      </w:r>
      <w:r w:rsidRPr="00150EDC">
        <w:rPr>
          <w:sz w:val="24"/>
        </w:rPr>
        <w:t>twenty</w:t>
      </w:r>
      <w:r w:rsidRPr="00150EDC">
        <w:rPr>
          <w:spacing w:val="-3"/>
          <w:sz w:val="24"/>
        </w:rPr>
        <w:t xml:space="preserve"> </w:t>
      </w:r>
      <w:r w:rsidRPr="00150EDC">
        <w:rPr>
          <w:sz w:val="24"/>
        </w:rPr>
        <w:t>(20) Working Days of its submission, then such Dispute shall be resolved in accordance with the Dispute Resolution Procedure.</w:t>
      </w:r>
    </w:p>
    <w:p w14:paraId="7E321851" w14:textId="77777777" w:rsidR="004C7180" w:rsidRPr="00150EDC" w:rsidRDefault="004C7180">
      <w:pPr>
        <w:pStyle w:val="BodyText"/>
        <w:spacing w:before="10"/>
        <w:rPr>
          <w:sz w:val="20"/>
        </w:rPr>
      </w:pPr>
    </w:p>
    <w:p w14:paraId="62DBD2EF" w14:textId="77777777" w:rsidR="004C7180" w:rsidRPr="00150EDC" w:rsidRDefault="00CF0754" w:rsidP="00B320C7">
      <w:pPr>
        <w:pStyle w:val="Heading4"/>
        <w:numPr>
          <w:ilvl w:val="0"/>
          <w:numId w:val="49"/>
        </w:numPr>
        <w:tabs>
          <w:tab w:val="left" w:pos="2119"/>
        </w:tabs>
        <w:ind w:left="2119"/>
        <w:jc w:val="left"/>
      </w:pPr>
      <w:r w:rsidRPr="00150EDC">
        <w:t>General</w:t>
      </w:r>
      <w:r w:rsidRPr="00150EDC">
        <w:rPr>
          <w:spacing w:val="-2"/>
        </w:rPr>
        <w:t xml:space="preserve"> </w:t>
      </w:r>
      <w:r w:rsidRPr="00150EDC">
        <w:t>Principles</w:t>
      </w:r>
      <w:r w:rsidRPr="00150EDC">
        <w:rPr>
          <w:spacing w:val="-1"/>
        </w:rPr>
        <w:t xml:space="preserve"> </w:t>
      </w:r>
      <w:r w:rsidRPr="00150EDC">
        <w:t>of</w:t>
      </w:r>
      <w:r w:rsidRPr="00150EDC">
        <w:rPr>
          <w:spacing w:val="-6"/>
        </w:rPr>
        <w:t xml:space="preserve"> </w:t>
      </w:r>
      <w:r w:rsidRPr="00150EDC">
        <w:t>the</w:t>
      </w:r>
      <w:r w:rsidRPr="00150EDC">
        <w:rPr>
          <w:spacing w:val="-1"/>
        </w:rPr>
        <w:t xml:space="preserve"> </w:t>
      </w:r>
      <w:r w:rsidRPr="00150EDC">
        <w:t>BCDR</w:t>
      </w:r>
      <w:r w:rsidRPr="00150EDC">
        <w:rPr>
          <w:spacing w:val="-3"/>
        </w:rPr>
        <w:t xml:space="preserve"> </w:t>
      </w:r>
      <w:r w:rsidRPr="00150EDC">
        <w:t>Plan</w:t>
      </w:r>
      <w:r w:rsidRPr="00150EDC">
        <w:rPr>
          <w:spacing w:val="-2"/>
        </w:rPr>
        <w:t xml:space="preserve"> </w:t>
      </w:r>
      <w:r w:rsidRPr="00150EDC">
        <w:t>(Section</w:t>
      </w:r>
      <w:r w:rsidRPr="00150EDC">
        <w:rPr>
          <w:spacing w:val="-2"/>
        </w:rPr>
        <w:t xml:space="preserve"> </w:t>
      </w:r>
      <w:r w:rsidRPr="00150EDC">
        <w:rPr>
          <w:spacing w:val="-5"/>
        </w:rPr>
        <w:t>1)</w:t>
      </w:r>
    </w:p>
    <w:p w14:paraId="2638103D" w14:textId="77777777" w:rsidR="004C7180" w:rsidRPr="00150EDC" w:rsidRDefault="004C7180">
      <w:pPr>
        <w:pStyle w:val="BodyText"/>
        <w:spacing w:before="10"/>
        <w:rPr>
          <w:b/>
          <w:sz w:val="20"/>
        </w:rPr>
      </w:pPr>
    </w:p>
    <w:p w14:paraId="4FD3BFD6" w14:textId="77777777" w:rsidR="004C7180" w:rsidRPr="00150EDC" w:rsidRDefault="00CF0754" w:rsidP="00B320C7">
      <w:pPr>
        <w:pStyle w:val="ListParagraph"/>
        <w:numPr>
          <w:ilvl w:val="1"/>
          <w:numId w:val="49"/>
        </w:numPr>
        <w:tabs>
          <w:tab w:val="left" w:pos="2119"/>
        </w:tabs>
        <w:ind w:left="2119" w:hanging="720"/>
        <w:jc w:val="left"/>
        <w:rPr>
          <w:sz w:val="24"/>
        </w:rPr>
      </w:pPr>
      <w:r w:rsidRPr="00150EDC">
        <w:rPr>
          <w:sz w:val="24"/>
        </w:rPr>
        <w:t>Section</w:t>
      </w:r>
      <w:r w:rsidRPr="00150EDC">
        <w:rPr>
          <w:spacing w:val="-2"/>
          <w:sz w:val="24"/>
        </w:rPr>
        <w:t xml:space="preserve"> </w:t>
      </w:r>
      <w:r w:rsidRPr="00150EDC">
        <w:rPr>
          <w:sz w:val="24"/>
        </w:rPr>
        <w:t>1</w:t>
      </w:r>
      <w:r w:rsidRPr="00150EDC">
        <w:rPr>
          <w:spacing w:val="-2"/>
          <w:sz w:val="24"/>
        </w:rPr>
        <w:t xml:space="preserve"> </w:t>
      </w:r>
      <w:r w:rsidRPr="00150EDC">
        <w:rPr>
          <w:sz w:val="24"/>
        </w:rPr>
        <w:t>of the</w:t>
      </w:r>
      <w:r w:rsidRPr="00150EDC">
        <w:rPr>
          <w:spacing w:val="-2"/>
          <w:sz w:val="24"/>
        </w:rPr>
        <w:t xml:space="preserve"> </w:t>
      </w:r>
      <w:r w:rsidRPr="00150EDC">
        <w:rPr>
          <w:sz w:val="24"/>
        </w:rPr>
        <w:t>BCDR</w:t>
      </w:r>
      <w:r w:rsidRPr="00150EDC">
        <w:rPr>
          <w:spacing w:val="-1"/>
          <w:sz w:val="24"/>
        </w:rPr>
        <w:t xml:space="preserve"> </w:t>
      </w:r>
      <w:r w:rsidRPr="00150EDC">
        <w:rPr>
          <w:sz w:val="24"/>
        </w:rPr>
        <w:t>Plan</w:t>
      </w:r>
      <w:r w:rsidRPr="00150EDC">
        <w:rPr>
          <w:spacing w:val="1"/>
          <w:sz w:val="24"/>
        </w:rPr>
        <w:t xml:space="preserve"> </w:t>
      </w:r>
      <w:r w:rsidRPr="00150EDC">
        <w:rPr>
          <w:spacing w:val="-2"/>
          <w:sz w:val="24"/>
        </w:rPr>
        <w:t>shall:</w:t>
      </w:r>
    </w:p>
    <w:p w14:paraId="0973601E" w14:textId="77777777" w:rsidR="004C7180" w:rsidRPr="00150EDC" w:rsidRDefault="00CF0754" w:rsidP="00B320C7">
      <w:pPr>
        <w:pStyle w:val="ListParagraph"/>
        <w:numPr>
          <w:ilvl w:val="2"/>
          <w:numId w:val="49"/>
        </w:numPr>
        <w:tabs>
          <w:tab w:val="left" w:pos="2837"/>
          <w:tab w:val="left" w:pos="2839"/>
        </w:tabs>
        <w:spacing w:before="121"/>
        <w:ind w:left="2839" w:right="1631" w:hanging="720"/>
        <w:rPr>
          <w:sz w:val="24"/>
        </w:rPr>
      </w:pPr>
      <w:r w:rsidRPr="00150EDC">
        <w:rPr>
          <w:sz w:val="24"/>
        </w:rPr>
        <w:t>set</w:t>
      </w:r>
      <w:r w:rsidRPr="00150EDC">
        <w:rPr>
          <w:spacing w:val="-2"/>
          <w:sz w:val="24"/>
        </w:rPr>
        <w:t xml:space="preserve"> </w:t>
      </w:r>
      <w:r w:rsidRPr="00150EDC">
        <w:rPr>
          <w:sz w:val="24"/>
        </w:rPr>
        <w:t>out</w:t>
      </w:r>
      <w:r w:rsidRPr="00150EDC">
        <w:rPr>
          <w:spacing w:val="-2"/>
          <w:sz w:val="24"/>
        </w:rPr>
        <w:t xml:space="preserve"> </w:t>
      </w:r>
      <w:r w:rsidRPr="00150EDC">
        <w:rPr>
          <w:sz w:val="24"/>
        </w:rPr>
        <w:t>how</w:t>
      </w:r>
      <w:r w:rsidRPr="00150EDC">
        <w:rPr>
          <w:spacing w:val="-3"/>
          <w:sz w:val="24"/>
        </w:rPr>
        <w:t xml:space="preserve"> </w:t>
      </w:r>
      <w:r w:rsidRPr="00150EDC">
        <w:rPr>
          <w:sz w:val="24"/>
        </w:rPr>
        <w:t>the</w:t>
      </w:r>
      <w:r w:rsidRPr="00150EDC">
        <w:rPr>
          <w:spacing w:val="-2"/>
          <w:sz w:val="24"/>
        </w:rPr>
        <w:t xml:space="preserve"> </w:t>
      </w:r>
      <w:r w:rsidRPr="00150EDC">
        <w:rPr>
          <w:sz w:val="24"/>
        </w:rPr>
        <w:t>business</w:t>
      </w:r>
      <w:r w:rsidRPr="00150EDC">
        <w:rPr>
          <w:spacing w:val="-3"/>
          <w:sz w:val="24"/>
        </w:rPr>
        <w:t xml:space="preserve"> </w:t>
      </w:r>
      <w:r w:rsidRPr="00150EDC">
        <w:rPr>
          <w:sz w:val="24"/>
        </w:rPr>
        <w:t>continuity</w:t>
      </w:r>
      <w:r w:rsidRPr="00150EDC">
        <w:rPr>
          <w:spacing w:val="-3"/>
          <w:sz w:val="24"/>
        </w:rPr>
        <w:t xml:space="preserve"> </w:t>
      </w:r>
      <w:r w:rsidRPr="00150EDC">
        <w:rPr>
          <w:sz w:val="24"/>
        </w:rPr>
        <w:t>and</w:t>
      </w:r>
      <w:r w:rsidRPr="00150EDC">
        <w:rPr>
          <w:spacing w:val="-4"/>
          <w:sz w:val="24"/>
        </w:rPr>
        <w:t xml:space="preserve"> </w:t>
      </w:r>
      <w:r w:rsidRPr="00150EDC">
        <w:rPr>
          <w:sz w:val="24"/>
        </w:rPr>
        <w:t>disaster</w:t>
      </w:r>
      <w:r w:rsidRPr="00150EDC">
        <w:rPr>
          <w:spacing w:val="-4"/>
          <w:sz w:val="24"/>
        </w:rPr>
        <w:t xml:space="preserve"> </w:t>
      </w:r>
      <w:r w:rsidRPr="00150EDC">
        <w:rPr>
          <w:sz w:val="24"/>
        </w:rPr>
        <w:t>recovery</w:t>
      </w:r>
      <w:r w:rsidRPr="00150EDC">
        <w:rPr>
          <w:spacing w:val="-5"/>
          <w:sz w:val="24"/>
        </w:rPr>
        <w:t xml:space="preserve"> </w:t>
      </w:r>
      <w:r w:rsidRPr="00150EDC">
        <w:rPr>
          <w:sz w:val="24"/>
        </w:rPr>
        <w:t>elements</w:t>
      </w:r>
      <w:r w:rsidRPr="00150EDC">
        <w:rPr>
          <w:spacing w:val="-8"/>
          <w:sz w:val="24"/>
        </w:rPr>
        <w:t xml:space="preserve"> </w:t>
      </w:r>
      <w:r w:rsidRPr="00150EDC">
        <w:rPr>
          <w:sz w:val="24"/>
        </w:rPr>
        <w:t>of the BCDR Plan link to each other;</w:t>
      </w:r>
    </w:p>
    <w:p w14:paraId="2A3B1D8A" w14:textId="77777777" w:rsidR="004C7180" w:rsidRPr="00150EDC" w:rsidRDefault="004C7180">
      <w:pPr>
        <w:rPr>
          <w:sz w:val="24"/>
        </w:rPr>
        <w:sectPr w:rsidR="004C7180" w:rsidRPr="00150EDC">
          <w:type w:val="continuous"/>
          <w:pgSz w:w="11910" w:h="16840"/>
          <w:pgMar w:top="1140" w:right="0" w:bottom="280" w:left="40" w:header="715" w:footer="1192" w:gutter="0"/>
          <w:cols w:space="720"/>
        </w:sectPr>
      </w:pPr>
    </w:p>
    <w:p w14:paraId="38E90B47" w14:textId="77777777" w:rsidR="004C7180" w:rsidRPr="00150EDC" w:rsidRDefault="004C7180">
      <w:pPr>
        <w:pStyle w:val="BodyText"/>
        <w:spacing w:before="1"/>
        <w:rPr>
          <w:sz w:val="12"/>
        </w:rPr>
      </w:pPr>
    </w:p>
    <w:p w14:paraId="5F627BF5" w14:textId="77777777" w:rsidR="004C7180" w:rsidRPr="00150EDC" w:rsidRDefault="00CF0754" w:rsidP="00B320C7">
      <w:pPr>
        <w:pStyle w:val="ListParagraph"/>
        <w:numPr>
          <w:ilvl w:val="2"/>
          <w:numId w:val="49"/>
        </w:numPr>
        <w:tabs>
          <w:tab w:val="left" w:pos="2838"/>
          <w:tab w:val="left" w:pos="2840"/>
        </w:tabs>
        <w:spacing w:before="92"/>
        <w:ind w:right="1550" w:hanging="720"/>
        <w:rPr>
          <w:sz w:val="24"/>
        </w:rPr>
      </w:pPr>
      <w:r w:rsidRPr="00150EDC">
        <w:rPr>
          <w:sz w:val="24"/>
        </w:rPr>
        <w:t>provide</w:t>
      </w:r>
      <w:r w:rsidRPr="00150EDC">
        <w:rPr>
          <w:spacing w:val="-3"/>
          <w:sz w:val="24"/>
        </w:rPr>
        <w:t xml:space="preserve"> </w:t>
      </w:r>
      <w:r w:rsidRPr="00150EDC">
        <w:rPr>
          <w:sz w:val="24"/>
        </w:rPr>
        <w:t>details</w:t>
      </w:r>
      <w:r w:rsidRPr="00150EDC">
        <w:rPr>
          <w:spacing w:val="-2"/>
          <w:sz w:val="24"/>
        </w:rPr>
        <w:t xml:space="preserve"> </w:t>
      </w:r>
      <w:r w:rsidRPr="00150EDC">
        <w:rPr>
          <w:sz w:val="24"/>
        </w:rPr>
        <w:t>of</w:t>
      </w:r>
      <w:r w:rsidRPr="00150EDC">
        <w:rPr>
          <w:spacing w:val="-4"/>
          <w:sz w:val="24"/>
        </w:rPr>
        <w:t xml:space="preserve"> </w:t>
      </w:r>
      <w:r w:rsidRPr="00150EDC">
        <w:rPr>
          <w:sz w:val="24"/>
        </w:rPr>
        <w:t>how</w:t>
      </w:r>
      <w:r w:rsidRPr="00150EDC">
        <w:rPr>
          <w:spacing w:val="-2"/>
          <w:sz w:val="24"/>
        </w:rPr>
        <w:t xml:space="preserve"> </w:t>
      </w:r>
      <w:r w:rsidRPr="00150EDC">
        <w:rPr>
          <w:sz w:val="24"/>
        </w:rPr>
        <w:t>the</w:t>
      </w:r>
      <w:r w:rsidRPr="00150EDC">
        <w:rPr>
          <w:spacing w:val="-1"/>
          <w:sz w:val="24"/>
        </w:rPr>
        <w:t xml:space="preserve"> </w:t>
      </w:r>
      <w:r w:rsidRPr="00150EDC">
        <w:rPr>
          <w:sz w:val="24"/>
        </w:rPr>
        <w:t>invocation</w:t>
      </w:r>
      <w:r w:rsidRPr="00150EDC">
        <w:rPr>
          <w:spacing w:val="-1"/>
          <w:sz w:val="24"/>
        </w:rPr>
        <w:t xml:space="preserve"> </w:t>
      </w:r>
      <w:r w:rsidRPr="00150EDC">
        <w:rPr>
          <w:sz w:val="24"/>
        </w:rPr>
        <w:t>of</w:t>
      </w:r>
      <w:r w:rsidRPr="00150EDC">
        <w:rPr>
          <w:spacing w:val="-4"/>
          <w:sz w:val="24"/>
        </w:rPr>
        <w:t xml:space="preserve"> </w:t>
      </w:r>
      <w:r w:rsidRPr="00150EDC">
        <w:rPr>
          <w:sz w:val="24"/>
        </w:rPr>
        <w:t>any</w:t>
      </w:r>
      <w:r w:rsidRPr="00150EDC">
        <w:rPr>
          <w:spacing w:val="-4"/>
          <w:sz w:val="24"/>
        </w:rPr>
        <w:t xml:space="preserve"> </w:t>
      </w:r>
      <w:r w:rsidRPr="00150EDC">
        <w:rPr>
          <w:sz w:val="24"/>
        </w:rPr>
        <w:t>element</w:t>
      </w:r>
      <w:r w:rsidRPr="00150EDC">
        <w:rPr>
          <w:spacing w:val="-4"/>
          <w:sz w:val="24"/>
        </w:rPr>
        <w:t xml:space="preserve"> </w:t>
      </w:r>
      <w:r w:rsidRPr="00150EDC">
        <w:rPr>
          <w:sz w:val="24"/>
        </w:rPr>
        <w:t>of</w:t>
      </w:r>
      <w:r w:rsidRPr="00150EDC">
        <w:rPr>
          <w:spacing w:val="-1"/>
          <w:sz w:val="24"/>
        </w:rPr>
        <w:t xml:space="preserve"> </w:t>
      </w:r>
      <w:r w:rsidRPr="00150EDC">
        <w:rPr>
          <w:sz w:val="24"/>
        </w:rPr>
        <w:t>the</w:t>
      </w:r>
      <w:r w:rsidRPr="00150EDC">
        <w:rPr>
          <w:spacing w:val="-3"/>
          <w:sz w:val="24"/>
        </w:rPr>
        <w:t xml:space="preserve"> </w:t>
      </w:r>
      <w:r w:rsidRPr="00150EDC">
        <w:rPr>
          <w:sz w:val="24"/>
        </w:rPr>
        <w:t>BCDR</w:t>
      </w:r>
      <w:r w:rsidRPr="00150EDC">
        <w:rPr>
          <w:spacing w:val="-2"/>
          <w:sz w:val="24"/>
        </w:rPr>
        <w:t xml:space="preserve"> </w:t>
      </w:r>
      <w:r w:rsidRPr="00150EDC">
        <w:rPr>
          <w:sz w:val="24"/>
        </w:rPr>
        <w:t>Plan may impact upon the provision of the Deliverables and any goods and/or services provided to the Buyer by a Related Supplier;</w:t>
      </w:r>
    </w:p>
    <w:p w14:paraId="603A45B0" w14:textId="77777777" w:rsidR="004C7180" w:rsidRPr="00150EDC" w:rsidRDefault="00CF0754" w:rsidP="00B320C7">
      <w:pPr>
        <w:pStyle w:val="ListParagraph"/>
        <w:numPr>
          <w:ilvl w:val="2"/>
          <w:numId w:val="49"/>
        </w:numPr>
        <w:tabs>
          <w:tab w:val="left" w:pos="2838"/>
          <w:tab w:val="left" w:pos="2840"/>
        </w:tabs>
        <w:spacing w:before="121"/>
        <w:ind w:right="1479" w:hanging="720"/>
        <w:rPr>
          <w:sz w:val="24"/>
        </w:rPr>
      </w:pPr>
      <w:r w:rsidRPr="00150EDC">
        <w:rPr>
          <w:sz w:val="24"/>
        </w:rPr>
        <w:t>contain</w:t>
      </w:r>
      <w:r w:rsidRPr="00150EDC">
        <w:rPr>
          <w:spacing w:val="-1"/>
          <w:sz w:val="24"/>
        </w:rPr>
        <w:t xml:space="preserve"> </w:t>
      </w:r>
      <w:r w:rsidRPr="00150EDC">
        <w:rPr>
          <w:sz w:val="24"/>
        </w:rPr>
        <w:t>an</w:t>
      </w:r>
      <w:r w:rsidRPr="00150EDC">
        <w:rPr>
          <w:spacing w:val="-3"/>
          <w:sz w:val="24"/>
        </w:rPr>
        <w:t xml:space="preserve"> </w:t>
      </w:r>
      <w:r w:rsidRPr="00150EDC">
        <w:rPr>
          <w:sz w:val="24"/>
        </w:rPr>
        <w:t>obligation</w:t>
      </w:r>
      <w:r w:rsidRPr="00150EDC">
        <w:rPr>
          <w:spacing w:val="-1"/>
          <w:sz w:val="24"/>
        </w:rPr>
        <w:t xml:space="preserve"> </w:t>
      </w:r>
      <w:r w:rsidRPr="00150EDC">
        <w:rPr>
          <w:sz w:val="24"/>
        </w:rPr>
        <w:t>upon</w:t>
      </w:r>
      <w:r w:rsidRPr="00150EDC">
        <w:rPr>
          <w:spacing w:val="-3"/>
          <w:sz w:val="24"/>
        </w:rPr>
        <w:t xml:space="preserve"> </w:t>
      </w:r>
      <w:r w:rsidRPr="00150EDC">
        <w:rPr>
          <w:sz w:val="24"/>
        </w:rPr>
        <w:t>the</w:t>
      </w:r>
      <w:r w:rsidRPr="00150EDC">
        <w:rPr>
          <w:spacing w:val="-3"/>
          <w:sz w:val="24"/>
        </w:rPr>
        <w:t xml:space="preserve"> </w:t>
      </w:r>
      <w:r w:rsidRPr="00150EDC">
        <w:rPr>
          <w:sz w:val="24"/>
        </w:rPr>
        <w:t>Supplier</w:t>
      </w:r>
      <w:r w:rsidRPr="00150EDC">
        <w:rPr>
          <w:spacing w:val="-3"/>
          <w:sz w:val="24"/>
        </w:rPr>
        <w:t xml:space="preserve"> </w:t>
      </w:r>
      <w:r w:rsidRPr="00150EDC">
        <w:rPr>
          <w:sz w:val="24"/>
        </w:rPr>
        <w:t>to</w:t>
      </w:r>
      <w:r w:rsidRPr="00150EDC">
        <w:rPr>
          <w:spacing w:val="-3"/>
          <w:sz w:val="24"/>
        </w:rPr>
        <w:t xml:space="preserve"> </w:t>
      </w:r>
      <w:r w:rsidRPr="00150EDC">
        <w:rPr>
          <w:sz w:val="24"/>
        </w:rPr>
        <w:t>liaise</w:t>
      </w:r>
      <w:r w:rsidRPr="00150EDC">
        <w:rPr>
          <w:spacing w:val="-1"/>
          <w:sz w:val="24"/>
        </w:rPr>
        <w:t xml:space="preserve"> </w:t>
      </w:r>
      <w:r w:rsidRPr="00150EDC">
        <w:rPr>
          <w:sz w:val="24"/>
        </w:rPr>
        <w:t>with</w:t>
      </w:r>
      <w:r w:rsidRPr="00150EDC">
        <w:rPr>
          <w:spacing w:val="-1"/>
          <w:sz w:val="24"/>
        </w:rPr>
        <w:t xml:space="preserve"> </w:t>
      </w:r>
      <w:r w:rsidRPr="00150EDC">
        <w:rPr>
          <w:sz w:val="24"/>
        </w:rPr>
        <w:t>the</w:t>
      </w:r>
      <w:r w:rsidRPr="00150EDC">
        <w:rPr>
          <w:spacing w:val="-2"/>
          <w:sz w:val="24"/>
        </w:rPr>
        <w:t xml:space="preserve"> </w:t>
      </w:r>
      <w:r w:rsidRPr="00150EDC">
        <w:rPr>
          <w:sz w:val="24"/>
        </w:rPr>
        <w:t>Buyer</w:t>
      </w:r>
      <w:r w:rsidRPr="00150EDC">
        <w:rPr>
          <w:spacing w:val="-3"/>
          <w:sz w:val="24"/>
        </w:rPr>
        <w:t xml:space="preserve"> </w:t>
      </w:r>
      <w:r w:rsidRPr="00150EDC">
        <w:rPr>
          <w:sz w:val="24"/>
        </w:rPr>
        <w:t>and</w:t>
      </w:r>
      <w:r w:rsidRPr="00150EDC">
        <w:rPr>
          <w:spacing w:val="-3"/>
          <w:sz w:val="24"/>
        </w:rPr>
        <w:t xml:space="preserve"> </w:t>
      </w:r>
      <w:r w:rsidRPr="00150EDC">
        <w:rPr>
          <w:sz w:val="24"/>
        </w:rPr>
        <w:t xml:space="preserve">any Related Suppliers with respect to business continuity and disaster </w:t>
      </w:r>
      <w:r w:rsidRPr="00150EDC">
        <w:rPr>
          <w:spacing w:val="-2"/>
          <w:sz w:val="24"/>
        </w:rPr>
        <w:t>recovery;</w:t>
      </w:r>
    </w:p>
    <w:p w14:paraId="3690490E" w14:textId="77777777" w:rsidR="004C7180" w:rsidRPr="00150EDC" w:rsidRDefault="00CF0754" w:rsidP="00B320C7">
      <w:pPr>
        <w:pStyle w:val="ListParagraph"/>
        <w:numPr>
          <w:ilvl w:val="2"/>
          <w:numId w:val="49"/>
        </w:numPr>
        <w:tabs>
          <w:tab w:val="left" w:pos="2838"/>
          <w:tab w:val="left" w:pos="2840"/>
        </w:tabs>
        <w:spacing w:before="120"/>
        <w:ind w:right="1604" w:hanging="720"/>
        <w:rPr>
          <w:sz w:val="24"/>
        </w:rPr>
      </w:pPr>
      <w:r w:rsidRPr="00150EDC">
        <w:rPr>
          <w:sz w:val="24"/>
        </w:rPr>
        <w:t>detail</w:t>
      </w:r>
      <w:r w:rsidRPr="00150EDC">
        <w:rPr>
          <w:spacing w:val="-6"/>
          <w:sz w:val="24"/>
        </w:rPr>
        <w:t xml:space="preserve"> </w:t>
      </w:r>
      <w:r w:rsidRPr="00150EDC">
        <w:rPr>
          <w:sz w:val="24"/>
        </w:rPr>
        <w:t>how</w:t>
      </w:r>
      <w:r w:rsidRPr="00150EDC">
        <w:rPr>
          <w:spacing w:val="-3"/>
          <w:sz w:val="24"/>
        </w:rPr>
        <w:t xml:space="preserve"> </w:t>
      </w:r>
      <w:r w:rsidRPr="00150EDC">
        <w:rPr>
          <w:sz w:val="24"/>
        </w:rPr>
        <w:t>the</w:t>
      </w:r>
      <w:r w:rsidRPr="00150EDC">
        <w:rPr>
          <w:spacing w:val="-2"/>
          <w:sz w:val="24"/>
        </w:rPr>
        <w:t xml:space="preserve"> </w:t>
      </w:r>
      <w:r w:rsidRPr="00150EDC">
        <w:rPr>
          <w:sz w:val="24"/>
        </w:rPr>
        <w:t>BCDR</w:t>
      </w:r>
      <w:r w:rsidRPr="00150EDC">
        <w:rPr>
          <w:spacing w:val="-3"/>
          <w:sz w:val="24"/>
        </w:rPr>
        <w:t xml:space="preserve"> </w:t>
      </w:r>
      <w:r w:rsidRPr="00150EDC">
        <w:rPr>
          <w:sz w:val="24"/>
        </w:rPr>
        <w:t>Plan</w:t>
      </w:r>
      <w:r w:rsidRPr="00150EDC">
        <w:rPr>
          <w:spacing w:val="-2"/>
          <w:sz w:val="24"/>
        </w:rPr>
        <w:t xml:space="preserve"> </w:t>
      </w:r>
      <w:r w:rsidRPr="00150EDC">
        <w:rPr>
          <w:sz w:val="24"/>
        </w:rPr>
        <w:t>interoperates</w:t>
      </w:r>
      <w:r w:rsidRPr="00150EDC">
        <w:rPr>
          <w:spacing w:val="-3"/>
          <w:sz w:val="24"/>
        </w:rPr>
        <w:t xml:space="preserve"> </w:t>
      </w:r>
      <w:r w:rsidRPr="00150EDC">
        <w:rPr>
          <w:sz w:val="24"/>
        </w:rPr>
        <w:t>with</w:t>
      </w:r>
      <w:r w:rsidRPr="00150EDC">
        <w:rPr>
          <w:spacing w:val="-7"/>
          <w:sz w:val="24"/>
        </w:rPr>
        <w:t xml:space="preserve"> </w:t>
      </w:r>
      <w:r w:rsidRPr="00150EDC">
        <w:rPr>
          <w:sz w:val="24"/>
        </w:rPr>
        <w:t>any</w:t>
      </w:r>
      <w:r w:rsidRPr="00150EDC">
        <w:rPr>
          <w:spacing w:val="-3"/>
          <w:sz w:val="24"/>
        </w:rPr>
        <w:t xml:space="preserve"> </w:t>
      </w:r>
      <w:r w:rsidRPr="00150EDC">
        <w:rPr>
          <w:sz w:val="24"/>
        </w:rPr>
        <w:t>overarching</w:t>
      </w:r>
      <w:r w:rsidRPr="00150EDC">
        <w:rPr>
          <w:spacing w:val="-4"/>
          <w:sz w:val="24"/>
        </w:rPr>
        <w:t xml:space="preserve"> </w:t>
      </w:r>
      <w:r w:rsidRPr="00150EDC">
        <w:rPr>
          <w:sz w:val="24"/>
        </w:rPr>
        <w:t>disaster recovery or business continuity plan of the Buyer and any of its other Related Supplier in each case as</w:t>
      </w:r>
      <w:r w:rsidRPr="00150EDC">
        <w:rPr>
          <w:spacing w:val="-1"/>
          <w:sz w:val="24"/>
        </w:rPr>
        <w:t xml:space="preserve"> </w:t>
      </w:r>
      <w:r w:rsidRPr="00150EDC">
        <w:rPr>
          <w:sz w:val="24"/>
        </w:rPr>
        <w:t>notified to the Supplier</w:t>
      </w:r>
      <w:r w:rsidRPr="00150EDC">
        <w:rPr>
          <w:spacing w:val="-2"/>
          <w:sz w:val="24"/>
        </w:rPr>
        <w:t xml:space="preserve"> </w:t>
      </w:r>
      <w:r w:rsidRPr="00150EDC">
        <w:rPr>
          <w:sz w:val="24"/>
        </w:rPr>
        <w:t>by the Buyer from time to time;</w:t>
      </w:r>
    </w:p>
    <w:p w14:paraId="584F68F0" w14:textId="77777777" w:rsidR="004C7180" w:rsidRPr="00150EDC" w:rsidRDefault="00CF0754" w:rsidP="00B320C7">
      <w:pPr>
        <w:pStyle w:val="ListParagraph"/>
        <w:numPr>
          <w:ilvl w:val="2"/>
          <w:numId w:val="49"/>
        </w:numPr>
        <w:tabs>
          <w:tab w:val="left" w:pos="2838"/>
          <w:tab w:val="left" w:pos="2840"/>
        </w:tabs>
        <w:spacing w:before="120"/>
        <w:ind w:right="1659" w:hanging="720"/>
        <w:jc w:val="both"/>
        <w:rPr>
          <w:sz w:val="24"/>
        </w:rPr>
      </w:pPr>
      <w:r w:rsidRPr="00150EDC">
        <w:rPr>
          <w:sz w:val="24"/>
        </w:rPr>
        <w:t>contain a communication strategy including details of an incident and problem</w:t>
      </w:r>
      <w:r w:rsidRPr="00150EDC">
        <w:rPr>
          <w:spacing w:val="-5"/>
          <w:sz w:val="24"/>
        </w:rPr>
        <w:t xml:space="preserve"> </w:t>
      </w:r>
      <w:r w:rsidRPr="00150EDC">
        <w:rPr>
          <w:sz w:val="24"/>
        </w:rPr>
        <w:t>management</w:t>
      </w:r>
      <w:r w:rsidRPr="00150EDC">
        <w:rPr>
          <w:spacing w:val="-6"/>
          <w:sz w:val="24"/>
        </w:rPr>
        <w:t xml:space="preserve"> </w:t>
      </w:r>
      <w:r w:rsidRPr="00150EDC">
        <w:rPr>
          <w:sz w:val="24"/>
        </w:rPr>
        <w:t>service</w:t>
      </w:r>
      <w:r w:rsidRPr="00150EDC">
        <w:rPr>
          <w:spacing w:val="-3"/>
          <w:sz w:val="24"/>
        </w:rPr>
        <w:t xml:space="preserve"> </w:t>
      </w:r>
      <w:r w:rsidRPr="00150EDC">
        <w:rPr>
          <w:sz w:val="24"/>
        </w:rPr>
        <w:t>and</w:t>
      </w:r>
      <w:r w:rsidRPr="00150EDC">
        <w:rPr>
          <w:spacing w:val="-3"/>
          <w:sz w:val="24"/>
        </w:rPr>
        <w:t xml:space="preserve"> </w:t>
      </w:r>
      <w:r w:rsidRPr="00150EDC">
        <w:rPr>
          <w:sz w:val="24"/>
        </w:rPr>
        <w:t>advice</w:t>
      </w:r>
      <w:r w:rsidRPr="00150EDC">
        <w:rPr>
          <w:spacing w:val="-3"/>
          <w:sz w:val="24"/>
        </w:rPr>
        <w:t xml:space="preserve"> </w:t>
      </w:r>
      <w:r w:rsidRPr="00150EDC">
        <w:rPr>
          <w:sz w:val="24"/>
        </w:rPr>
        <w:t>and</w:t>
      </w:r>
      <w:r w:rsidRPr="00150EDC">
        <w:rPr>
          <w:spacing w:val="-5"/>
          <w:sz w:val="24"/>
        </w:rPr>
        <w:t xml:space="preserve"> </w:t>
      </w:r>
      <w:r w:rsidRPr="00150EDC">
        <w:rPr>
          <w:sz w:val="24"/>
        </w:rPr>
        <w:t>help</w:t>
      </w:r>
      <w:r w:rsidRPr="00150EDC">
        <w:rPr>
          <w:spacing w:val="-5"/>
          <w:sz w:val="24"/>
        </w:rPr>
        <w:t xml:space="preserve"> </w:t>
      </w:r>
      <w:r w:rsidRPr="00150EDC">
        <w:rPr>
          <w:sz w:val="24"/>
        </w:rPr>
        <w:t>desk</w:t>
      </w:r>
      <w:r w:rsidRPr="00150EDC">
        <w:rPr>
          <w:spacing w:val="-6"/>
          <w:sz w:val="24"/>
        </w:rPr>
        <w:t xml:space="preserve"> </w:t>
      </w:r>
      <w:r w:rsidRPr="00150EDC">
        <w:rPr>
          <w:sz w:val="24"/>
        </w:rPr>
        <w:t>facility</w:t>
      </w:r>
      <w:r w:rsidRPr="00150EDC">
        <w:rPr>
          <w:spacing w:val="-4"/>
          <w:sz w:val="24"/>
        </w:rPr>
        <w:t xml:space="preserve"> </w:t>
      </w:r>
      <w:r w:rsidRPr="00150EDC">
        <w:rPr>
          <w:sz w:val="24"/>
        </w:rPr>
        <w:t>which can be accessed via multiple channels;</w:t>
      </w:r>
    </w:p>
    <w:p w14:paraId="7979AAA2" w14:textId="77777777" w:rsidR="004C7180" w:rsidRPr="00150EDC" w:rsidRDefault="00CF0754" w:rsidP="00B320C7">
      <w:pPr>
        <w:pStyle w:val="ListParagraph"/>
        <w:numPr>
          <w:ilvl w:val="2"/>
          <w:numId w:val="49"/>
        </w:numPr>
        <w:tabs>
          <w:tab w:val="left" w:pos="2838"/>
        </w:tabs>
        <w:spacing w:before="120"/>
        <w:ind w:left="2838" w:hanging="718"/>
        <w:jc w:val="both"/>
        <w:rPr>
          <w:sz w:val="24"/>
        </w:rPr>
      </w:pPr>
      <w:r w:rsidRPr="00150EDC">
        <w:rPr>
          <w:sz w:val="24"/>
        </w:rPr>
        <w:t>contain</w:t>
      </w:r>
      <w:r w:rsidRPr="00150EDC">
        <w:rPr>
          <w:spacing w:val="-1"/>
          <w:sz w:val="24"/>
        </w:rPr>
        <w:t xml:space="preserve"> </w:t>
      </w:r>
      <w:r w:rsidRPr="00150EDC">
        <w:rPr>
          <w:sz w:val="24"/>
        </w:rPr>
        <w:t>a</w:t>
      </w:r>
      <w:r w:rsidRPr="00150EDC">
        <w:rPr>
          <w:spacing w:val="-1"/>
          <w:sz w:val="24"/>
        </w:rPr>
        <w:t xml:space="preserve"> </w:t>
      </w:r>
      <w:r w:rsidRPr="00150EDC">
        <w:rPr>
          <w:sz w:val="24"/>
        </w:rPr>
        <w:t>risk</w:t>
      </w:r>
      <w:r w:rsidRPr="00150EDC">
        <w:rPr>
          <w:spacing w:val="-2"/>
          <w:sz w:val="24"/>
        </w:rPr>
        <w:t xml:space="preserve"> </w:t>
      </w:r>
      <w:r w:rsidRPr="00150EDC">
        <w:rPr>
          <w:sz w:val="24"/>
        </w:rPr>
        <w:t>analysis,</w:t>
      </w:r>
      <w:r w:rsidRPr="00150EDC">
        <w:rPr>
          <w:spacing w:val="-3"/>
          <w:sz w:val="24"/>
        </w:rPr>
        <w:t xml:space="preserve"> </w:t>
      </w:r>
      <w:r w:rsidRPr="00150EDC">
        <w:rPr>
          <w:spacing w:val="-2"/>
          <w:sz w:val="24"/>
        </w:rPr>
        <w:t>including:</w:t>
      </w:r>
    </w:p>
    <w:p w14:paraId="4B93F4D3" w14:textId="77777777" w:rsidR="004C7180" w:rsidRPr="00150EDC" w:rsidRDefault="00CF0754" w:rsidP="00B320C7">
      <w:pPr>
        <w:pStyle w:val="ListParagraph"/>
        <w:numPr>
          <w:ilvl w:val="0"/>
          <w:numId w:val="46"/>
        </w:numPr>
        <w:tabs>
          <w:tab w:val="left" w:pos="2840"/>
        </w:tabs>
        <w:spacing w:before="130" w:line="228" w:lineRule="auto"/>
        <w:ind w:right="1698"/>
        <w:rPr>
          <w:sz w:val="24"/>
        </w:rPr>
      </w:pPr>
      <w:r w:rsidRPr="00150EDC">
        <w:rPr>
          <w:sz w:val="24"/>
        </w:rPr>
        <w:t>failure</w:t>
      </w:r>
      <w:r w:rsidRPr="00150EDC">
        <w:rPr>
          <w:spacing w:val="-2"/>
          <w:sz w:val="24"/>
        </w:rPr>
        <w:t xml:space="preserve"> </w:t>
      </w:r>
      <w:r w:rsidRPr="00150EDC">
        <w:rPr>
          <w:sz w:val="24"/>
        </w:rPr>
        <w:t>or</w:t>
      </w:r>
      <w:r w:rsidRPr="00150EDC">
        <w:rPr>
          <w:spacing w:val="-6"/>
          <w:sz w:val="24"/>
        </w:rPr>
        <w:t xml:space="preserve"> </w:t>
      </w:r>
      <w:r w:rsidRPr="00150EDC">
        <w:rPr>
          <w:sz w:val="24"/>
        </w:rPr>
        <w:t>disruption</w:t>
      </w:r>
      <w:r w:rsidRPr="00150EDC">
        <w:rPr>
          <w:spacing w:val="-4"/>
          <w:sz w:val="24"/>
        </w:rPr>
        <w:t xml:space="preserve"> </w:t>
      </w:r>
      <w:r w:rsidRPr="00150EDC">
        <w:rPr>
          <w:sz w:val="24"/>
        </w:rPr>
        <w:t>scenarios</w:t>
      </w:r>
      <w:r w:rsidRPr="00150EDC">
        <w:rPr>
          <w:spacing w:val="-5"/>
          <w:sz w:val="24"/>
        </w:rPr>
        <w:t xml:space="preserve"> </w:t>
      </w:r>
      <w:r w:rsidRPr="00150EDC">
        <w:rPr>
          <w:sz w:val="24"/>
        </w:rPr>
        <w:t>and</w:t>
      </w:r>
      <w:r w:rsidRPr="00150EDC">
        <w:rPr>
          <w:spacing w:val="-4"/>
          <w:sz w:val="24"/>
        </w:rPr>
        <w:t xml:space="preserve"> </w:t>
      </w:r>
      <w:r w:rsidRPr="00150EDC">
        <w:rPr>
          <w:sz w:val="24"/>
        </w:rPr>
        <w:t>assessments</w:t>
      </w:r>
      <w:r w:rsidRPr="00150EDC">
        <w:rPr>
          <w:spacing w:val="-3"/>
          <w:sz w:val="24"/>
        </w:rPr>
        <w:t xml:space="preserve"> </w:t>
      </w:r>
      <w:r w:rsidRPr="00150EDC">
        <w:rPr>
          <w:sz w:val="24"/>
        </w:rPr>
        <w:t>of</w:t>
      </w:r>
      <w:r w:rsidRPr="00150EDC">
        <w:rPr>
          <w:spacing w:val="-5"/>
          <w:sz w:val="24"/>
        </w:rPr>
        <w:t xml:space="preserve"> </w:t>
      </w:r>
      <w:r w:rsidRPr="00150EDC">
        <w:rPr>
          <w:sz w:val="24"/>
        </w:rPr>
        <w:t>likely</w:t>
      </w:r>
      <w:r w:rsidRPr="00150EDC">
        <w:rPr>
          <w:spacing w:val="-3"/>
          <w:sz w:val="24"/>
        </w:rPr>
        <w:t xml:space="preserve"> </w:t>
      </w:r>
      <w:r w:rsidRPr="00150EDC">
        <w:rPr>
          <w:sz w:val="24"/>
        </w:rPr>
        <w:t>frequency</w:t>
      </w:r>
      <w:r w:rsidRPr="00150EDC">
        <w:rPr>
          <w:spacing w:val="-7"/>
          <w:sz w:val="24"/>
        </w:rPr>
        <w:t xml:space="preserve"> </w:t>
      </w:r>
      <w:r w:rsidRPr="00150EDC">
        <w:rPr>
          <w:sz w:val="24"/>
        </w:rPr>
        <w:t xml:space="preserve">of </w:t>
      </w:r>
      <w:r w:rsidRPr="00150EDC">
        <w:rPr>
          <w:spacing w:val="-2"/>
          <w:sz w:val="24"/>
        </w:rPr>
        <w:t>occurrence;</w:t>
      </w:r>
    </w:p>
    <w:p w14:paraId="062412C1" w14:textId="77777777" w:rsidR="004C7180" w:rsidRPr="00150EDC" w:rsidRDefault="00CF0754" w:rsidP="00B320C7">
      <w:pPr>
        <w:pStyle w:val="ListParagraph"/>
        <w:numPr>
          <w:ilvl w:val="0"/>
          <w:numId w:val="46"/>
        </w:numPr>
        <w:tabs>
          <w:tab w:val="left" w:pos="2840"/>
        </w:tabs>
        <w:spacing w:before="134" w:line="228" w:lineRule="auto"/>
        <w:ind w:right="2205"/>
        <w:rPr>
          <w:sz w:val="24"/>
        </w:rPr>
      </w:pPr>
      <w:r w:rsidRPr="00150EDC">
        <w:rPr>
          <w:sz w:val="24"/>
        </w:rPr>
        <w:t>identification</w:t>
      </w:r>
      <w:r w:rsidRPr="00150EDC">
        <w:rPr>
          <w:spacing w:val="-5"/>
          <w:sz w:val="24"/>
        </w:rPr>
        <w:t xml:space="preserve"> </w:t>
      </w:r>
      <w:r w:rsidRPr="00150EDC">
        <w:rPr>
          <w:sz w:val="24"/>
        </w:rPr>
        <w:t>of</w:t>
      </w:r>
      <w:r w:rsidRPr="00150EDC">
        <w:rPr>
          <w:spacing w:val="-3"/>
          <w:sz w:val="24"/>
        </w:rPr>
        <w:t xml:space="preserve"> </w:t>
      </w:r>
      <w:r w:rsidRPr="00150EDC">
        <w:rPr>
          <w:sz w:val="24"/>
        </w:rPr>
        <w:t>any</w:t>
      </w:r>
      <w:r w:rsidRPr="00150EDC">
        <w:rPr>
          <w:spacing w:val="-4"/>
          <w:sz w:val="24"/>
        </w:rPr>
        <w:t xml:space="preserve"> </w:t>
      </w:r>
      <w:r w:rsidRPr="00150EDC">
        <w:rPr>
          <w:sz w:val="24"/>
        </w:rPr>
        <w:t>single</w:t>
      </w:r>
      <w:r w:rsidRPr="00150EDC">
        <w:rPr>
          <w:spacing w:val="-3"/>
          <w:sz w:val="24"/>
        </w:rPr>
        <w:t xml:space="preserve"> </w:t>
      </w:r>
      <w:r w:rsidRPr="00150EDC">
        <w:rPr>
          <w:sz w:val="24"/>
        </w:rPr>
        <w:t>points</w:t>
      </w:r>
      <w:r w:rsidRPr="00150EDC">
        <w:rPr>
          <w:spacing w:val="-4"/>
          <w:sz w:val="24"/>
        </w:rPr>
        <w:t xml:space="preserve"> </w:t>
      </w:r>
      <w:r w:rsidRPr="00150EDC">
        <w:rPr>
          <w:sz w:val="24"/>
        </w:rPr>
        <w:t>of</w:t>
      </w:r>
      <w:r w:rsidRPr="00150EDC">
        <w:rPr>
          <w:spacing w:val="-3"/>
          <w:sz w:val="24"/>
        </w:rPr>
        <w:t xml:space="preserve"> </w:t>
      </w:r>
      <w:r w:rsidRPr="00150EDC">
        <w:rPr>
          <w:sz w:val="24"/>
        </w:rPr>
        <w:t>failure</w:t>
      </w:r>
      <w:r w:rsidRPr="00150EDC">
        <w:rPr>
          <w:spacing w:val="-3"/>
          <w:sz w:val="24"/>
        </w:rPr>
        <w:t xml:space="preserve"> </w:t>
      </w:r>
      <w:r w:rsidRPr="00150EDC">
        <w:rPr>
          <w:sz w:val="24"/>
        </w:rPr>
        <w:t>within</w:t>
      </w:r>
      <w:r w:rsidRPr="00150EDC">
        <w:rPr>
          <w:spacing w:val="-3"/>
          <w:sz w:val="24"/>
        </w:rPr>
        <w:t xml:space="preserve"> </w:t>
      </w:r>
      <w:r w:rsidRPr="00150EDC">
        <w:rPr>
          <w:sz w:val="24"/>
        </w:rPr>
        <w:t>the</w:t>
      </w:r>
      <w:r w:rsidRPr="00150EDC">
        <w:rPr>
          <w:spacing w:val="-3"/>
          <w:sz w:val="24"/>
        </w:rPr>
        <w:t xml:space="preserve"> </w:t>
      </w:r>
      <w:r w:rsidRPr="00150EDC">
        <w:rPr>
          <w:sz w:val="24"/>
        </w:rPr>
        <w:t>provision</w:t>
      </w:r>
      <w:r w:rsidRPr="00150EDC">
        <w:rPr>
          <w:spacing w:val="-3"/>
          <w:sz w:val="24"/>
        </w:rPr>
        <w:t xml:space="preserve"> </w:t>
      </w:r>
      <w:r w:rsidRPr="00150EDC">
        <w:rPr>
          <w:sz w:val="24"/>
        </w:rPr>
        <w:t>of Deliverables and processes for managing those risks;</w:t>
      </w:r>
    </w:p>
    <w:p w14:paraId="30F03042" w14:textId="77777777" w:rsidR="004C7180" w:rsidRPr="00150EDC" w:rsidRDefault="00CF0754" w:rsidP="00B320C7">
      <w:pPr>
        <w:pStyle w:val="ListParagraph"/>
        <w:numPr>
          <w:ilvl w:val="0"/>
          <w:numId w:val="46"/>
        </w:numPr>
        <w:tabs>
          <w:tab w:val="left" w:pos="2840"/>
        </w:tabs>
        <w:spacing w:before="127" w:line="235" w:lineRule="auto"/>
        <w:ind w:right="1992"/>
        <w:jc w:val="both"/>
        <w:rPr>
          <w:sz w:val="24"/>
        </w:rPr>
      </w:pPr>
      <w:r w:rsidRPr="00150EDC">
        <w:rPr>
          <w:sz w:val="24"/>
        </w:rPr>
        <w:t>identification</w:t>
      </w:r>
      <w:r w:rsidRPr="00150EDC">
        <w:rPr>
          <w:spacing w:val="-4"/>
          <w:sz w:val="24"/>
        </w:rPr>
        <w:t xml:space="preserve"> </w:t>
      </w:r>
      <w:r w:rsidRPr="00150EDC">
        <w:rPr>
          <w:sz w:val="24"/>
        </w:rPr>
        <w:t>of</w:t>
      </w:r>
      <w:r w:rsidRPr="00150EDC">
        <w:rPr>
          <w:spacing w:val="-2"/>
          <w:sz w:val="24"/>
        </w:rPr>
        <w:t xml:space="preserve"> </w:t>
      </w:r>
      <w:r w:rsidRPr="00150EDC">
        <w:rPr>
          <w:sz w:val="24"/>
        </w:rPr>
        <w:t>risks</w:t>
      </w:r>
      <w:r w:rsidRPr="00150EDC">
        <w:rPr>
          <w:spacing w:val="-3"/>
          <w:sz w:val="24"/>
        </w:rPr>
        <w:t xml:space="preserve"> </w:t>
      </w:r>
      <w:r w:rsidRPr="00150EDC">
        <w:rPr>
          <w:sz w:val="24"/>
        </w:rPr>
        <w:t>arising</w:t>
      </w:r>
      <w:r w:rsidRPr="00150EDC">
        <w:rPr>
          <w:spacing w:val="-2"/>
          <w:sz w:val="24"/>
        </w:rPr>
        <w:t xml:space="preserve"> </w:t>
      </w:r>
      <w:r w:rsidRPr="00150EDC">
        <w:rPr>
          <w:sz w:val="24"/>
        </w:rPr>
        <w:t>from</w:t>
      </w:r>
      <w:r w:rsidRPr="00150EDC">
        <w:rPr>
          <w:spacing w:val="-1"/>
          <w:sz w:val="24"/>
        </w:rPr>
        <w:t xml:space="preserve"> </w:t>
      </w:r>
      <w:r w:rsidRPr="00150EDC">
        <w:rPr>
          <w:sz w:val="24"/>
        </w:rPr>
        <w:t>the</w:t>
      </w:r>
      <w:r w:rsidRPr="00150EDC">
        <w:rPr>
          <w:spacing w:val="-2"/>
          <w:sz w:val="24"/>
        </w:rPr>
        <w:t xml:space="preserve"> </w:t>
      </w:r>
      <w:r w:rsidRPr="00150EDC">
        <w:rPr>
          <w:sz w:val="24"/>
        </w:rPr>
        <w:t>interaction</w:t>
      </w:r>
      <w:r w:rsidRPr="00150EDC">
        <w:rPr>
          <w:spacing w:val="-2"/>
          <w:sz w:val="24"/>
        </w:rPr>
        <w:t xml:space="preserve"> </w:t>
      </w:r>
      <w:r w:rsidRPr="00150EDC">
        <w:rPr>
          <w:sz w:val="24"/>
        </w:rPr>
        <w:t>of</w:t>
      </w:r>
      <w:r w:rsidRPr="00150EDC">
        <w:rPr>
          <w:spacing w:val="-2"/>
          <w:sz w:val="24"/>
        </w:rPr>
        <w:t xml:space="preserve"> </w:t>
      </w:r>
      <w:r w:rsidRPr="00150EDC">
        <w:rPr>
          <w:sz w:val="24"/>
        </w:rPr>
        <w:t>the</w:t>
      </w:r>
      <w:r w:rsidRPr="00150EDC">
        <w:rPr>
          <w:spacing w:val="-2"/>
          <w:sz w:val="24"/>
        </w:rPr>
        <w:t xml:space="preserve"> </w:t>
      </w:r>
      <w:r w:rsidRPr="00150EDC">
        <w:rPr>
          <w:sz w:val="24"/>
        </w:rPr>
        <w:t>provision</w:t>
      </w:r>
      <w:r w:rsidRPr="00150EDC">
        <w:rPr>
          <w:spacing w:val="-2"/>
          <w:sz w:val="24"/>
        </w:rPr>
        <w:t xml:space="preserve"> </w:t>
      </w:r>
      <w:r w:rsidRPr="00150EDC">
        <w:rPr>
          <w:sz w:val="24"/>
        </w:rPr>
        <w:t>of Deliverables</w:t>
      </w:r>
      <w:r w:rsidRPr="00150EDC">
        <w:rPr>
          <w:spacing w:val="-3"/>
          <w:sz w:val="24"/>
        </w:rPr>
        <w:t xml:space="preserve"> </w:t>
      </w:r>
      <w:r w:rsidRPr="00150EDC">
        <w:rPr>
          <w:sz w:val="24"/>
        </w:rPr>
        <w:t>with</w:t>
      </w:r>
      <w:r w:rsidRPr="00150EDC">
        <w:rPr>
          <w:spacing w:val="-4"/>
          <w:sz w:val="24"/>
        </w:rPr>
        <w:t xml:space="preserve"> </w:t>
      </w:r>
      <w:r w:rsidRPr="00150EDC">
        <w:rPr>
          <w:sz w:val="24"/>
        </w:rPr>
        <w:t>the</w:t>
      </w:r>
      <w:r w:rsidRPr="00150EDC">
        <w:rPr>
          <w:spacing w:val="-4"/>
          <w:sz w:val="24"/>
        </w:rPr>
        <w:t xml:space="preserve"> </w:t>
      </w:r>
      <w:r w:rsidRPr="00150EDC">
        <w:rPr>
          <w:sz w:val="24"/>
        </w:rPr>
        <w:t>goods</w:t>
      </w:r>
      <w:r w:rsidRPr="00150EDC">
        <w:rPr>
          <w:spacing w:val="-5"/>
          <w:sz w:val="24"/>
        </w:rPr>
        <w:t xml:space="preserve"> </w:t>
      </w:r>
      <w:r w:rsidRPr="00150EDC">
        <w:rPr>
          <w:sz w:val="24"/>
        </w:rPr>
        <w:t>and/or</w:t>
      </w:r>
      <w:r w:rsidRPr="00150EDC">
        <w:rPr>
          <w:spacing w:val="-4"/>
          <w:sz w:val="24"/>
        </w:rPr>
        <w:t xml:space="preserve"> </w:t>
      </w:r>
      <w:r w:rsidRPr="00150EDC">
        <w:rPr>
          <w:sz w:val="24"/>
        </w:rPr>
        <w:t>services</w:t>
      </w:r>
      <w:r w:rsidRPr="00150EDC">
        <w:rPr>
          <w:spacing w:val="-5"/>
          <w:sz w:val="24"/>
        </w:rPr>
        <w:t xml:space="preserve"> </w:t>
      </w:r>
      <w:r w:rsidRPr="00150EDC">
        <w:rPr>
          <w:sz w:val="24"/>
        </w:rPr>
        <w:t>provided</w:t>
      </w:r>
      <w:r w:rsidRPr="00150EDC">
        <w:rPr>
          <w:spacing w:val="-4"/>
          <w:sz w:val="24"/>
        </w:rPr>
        <w:t xml:space="preserve"> </w:t>
      </w:r>
      <w:r w:rsidRPr="00150EDC">
        <w:rPr>
          <w:sz w:val="24"/>
        </w:rPr>
        <w:t>by</w:t>
      </w:r>
      <w:r w:rsidRPr="00150EDC">
        <w:rPr>
          <w:spacing w:val="-3"/>
          <w:sz w:val="24"/>
        </w:rPr>
        <w:t xml:space="preserve"> </w:t>
      </w:r>
      <w:r w:rsidRPr="00150EDC">
        <w:rPr>
          <w:sz w:val="24"/>
        </w:rPr>
        <w:t>a</w:t>
      </w:r>
      <w:r w:rsidRPr="00150EDC">
        <w:rPr>
          <w:spacing w:val="-2"/>
          <w:sz w:val="24"/>
        </w:rPr>
        <w:t xml:space="preserve"> </w:t>
      </w:r>
      <w:r w:rsidRPr="00150EDC">
        <w:rPr>
          <w:sz w:val="24"/>
        </w:rPr>
        <w:t>Related Supplier; and</w:t>
      </w:r>
    </w:p>
    <w:p w14:paraId="09782C05" w14:textId="77777777" w:rsidR="004C7180" w:rsidRPr="00150EDC" w:rsidRDefault="00CF0754" w:rsidP="00B320C7">
      <w:pPr>
        <w:pStyle w:val="ListParagraph"/>
        <w:numPr>
          <w:ilvl w:val="0"/>
          <w:numId w:val="46"/>
        </w:numPr>
        <w:tabs>
          <w:tab w:val="left" w:pos="2840"/>
        </w:tabs>
        <w:spacing w:before="132" w:line="228" w:lineRule="auto"/>
        <w:ind w:right="2618"/>
        <w:rPr>
          <w:sz w:val="24"/>
        </w:rPr>
      </w:pPr>
      <w:r w:rsidRPr="00150EDC">
        <w:rPr>
          <w:sz w:val="24"/>
        </w:rPr>
        <w:t>a</w:t>
      </w:r>
      <w:r w:rsidRPr="00150EDC">
        <w:rPr>
          <w:spacing w:val="-3"/>
          <w:sz w:val="24"/>
        </w:rPr>
        <w:t xml:space="preserve"> </w:t>
      </w:r>
      <w:r w:rsidRPr="00150EDC">
        <w:rPr>
          <w:sz w:val="24"/>
        </w:rPr>
        <w:t>business</w:t>
      </w:r>
      <w:r w:rsidRPr="00150EDC">
        <w:rPr>
          <w:spacing w:val="-4"/>
          <w:sz w:val="24"/>
        </w:rPr>
        <w:t xml:space="preserve"> </w:t>
      </w:r>
      <w:r w:rsidRPr="00150EDC">
        <w:rPr>
          <w:sz w:val="24"/>
        </w:rPr>
        <w:t>impact</w:t>
      </w:r>
      <w:r w:rsidRPr="00150EDC">
        <w:rPr>
          <w:spacing w:val="-3"/>
          <w:sz w:val="24"/>
        </w:rPr>
        <w:t xml:space="preserve"> </w:t>
      </w:r>
      <w:r w:rsidRPr="00150EDC">
        <w:rPr>
          <w:sz w:val="24"/>
        </w:rPr>
        <w:t>analysis</w:t>
      </w:r>
      <w:r w:rsidRPr="00150EDC">
        <w:rPr>
          <w:spacing w:val="-4"/>
          <w:sz w:val="24"/>
        </w:rPr>
        <w:t xml:space="preserve"> </w:t>
      </w:r>
      <w:r w:rsidRPr="00150EDC">
        <w:rPr>
          <w:sz w:val="24"/>
        </w:rPr>
        <w:t>of</w:t>
      </w:r>
      <w:r w:rsidRPr="00150EDC">
        <w:rPr>
          <w:spacing w:val="-3"/>
          <w:sz w:val="24"/>
        </w:rPr>
        <w:t xml:space="preserve"> </w:t>
      </w:r>
      <w:r w:rsidRPr="00150EDC">
        <w:rPr>
          <w:sz w:val="24"/>
        </w:rPr>
        <w:t>different</w:t>
      </w:r>
      <w:r w:rsidRPr="00150EDC">
        <w:rPr>
          <w:spacing w:val="-6"/>
          <w:sz w:val="24"/>
        </w:rPr>
        <w:t xml:space="preserve"> </w:t>
      </w:r>
      <w:r w:rsidRPr="00150EDC">
        <w:rPr>
          <w:sz w:val="24"/>
        </w:rPr>
        <w:t>anticipated</w:t>
      </w:r>
      <w:r w:rsidRPr="00150EDC">
        <w:rPr>
          <w:spacing w:val="-5"/>
          <w:sz w:val="24"/>
        </w:rPr>
        <w:t xml:space="preserve"> </w:t>
      </w:r>
      <w:r w:rsidRPr="00150EDC">
        <w:rPr>
          <w:sz w:val="24"/>
        </w:rPr>
        <w:t>failures</w:t>
      </w:r>
      <w:r w:rsidRPr="00150EDC">
        <w:rPr>
          <w:spacing w:val="-6"/>
          <w:sz w:val="24"/>
        </w:rPr>
        <w:t xml:space="preserve"> </w:t>
      </w:r>
      <w:r w:rsidRPr="00150EDC">
        <w:rPr>
          <w:sz w:val="24"/>
        </w:rPr>
        <w:t xml:space="preserve">or </w:t>
      </w:r>
      <w:r w:rsidRPr="00150EDC">
        <w:rPr>
          <w:spacing w:val="-2"/>
          <w:sz w:val="24"/>
        </w:rPr>
        <w:t>disruptions;</w:t>
      </w:r>
    </w:p>
    <w:p w14:paraId="623D7FB3" w14:textId="77777777" w:rsidR="004C7180" w:rsidRPr="00150EDC" w:rsidRDefault="00CF0754" w:rsidP="00B320C7">
      <w:pPr>
        <w:pStyle w:val="ListParagraph"/>
        <w:numPr>
          <w:ilvl w:val="2"/>
          <w:numId w:val="49"/>
        </w:numPr>
        <w:tabs>
          <w:tab w:val="left" w:pos="2838"/>
          <w:tab w:val="left" w:pos="2840"/>
        </w:tabs>
        <w:spacing w:before="123"/>
        <w:ind w:right="1497" w:hanging="720"/>
        <w:rPr>
          <w:sz w:val="24"/>
        </w:rPr>
      </w:pPr>
      <w:r w:rsidRPr="00150EDC">
        <w:rPr>
          <w:sz w:val="24"/>
        </w:rPr>
        <w:t>provide</w:t>
      </w:r>
      <w:r w:rsidRPr="00150EDC">
        <w:rPr>
          <w:spacing w:val="-3"/>
          <w:sz w:val="24"/>
        </w:rPr>
        <w:t xml:space="preserve"> </w:t>
      </w:r>
      <w:r w:rsidRPr="00150EDC">
        <w:rPr>
          <w:sz w:val="24"/>
        </w:rPr>
        <w:t>for</w:t>
      </w:r>
      <w:r w:rsidRPr="00150EDC">
        <w:rPr>
          <w:spacing w:val="-5"/>
          <w:sz w:val="24"/>
        </w:rPr>
        <w:t xml:space="preserve"> </w:t>
      </w:r>
      <w:r w:rsidRPr="00150EDC">
        <w:rPr>
          <w:sz w:val="24"/>
        </w:rPr>
        <w:t>documentation</w:t>
      </w:r>
      <w:r w:rsidRPr="00150EDC">
        <w:rPr>
          <w:spacing w:val="-3"/>
          <w:sz w:val="24"/>
        </w:rPr>
        <w:t xml:space="preserve"> </w:t>
      </w:r>
      <w:r w:rsidRPr="00150EDC">
        <w:rPr>
          <w:sz w:val="24"/>
        </w:rPr>
        <w:t>of</w:t>
      </w:r>
      <w:r w:rsidRPr="00150EDC">
        <w:rPr>
          <w:spacing w:val="-6"/>
          <w:sz w:val="24"/>
        </w:rPr>
        <w:t xml:space="preserve"> </w:t>
      </w:r>
      <w:r w:rsidRPr="00150EDC">
        <w:rPr>
          <w:sz w:val="24"/>
        </w:rPr>
        <w:t>processes,</w:t>
      </w:r>
      <w:r w:rsidRPr="00150EDC">
        <w:rPr>
          <w:spacing w:val="-3"/>
          <w:sz w:val="24"/>
        </w:rPr>
        <w:t xml:space="preserve"> </w:t>
      </w:r>
      <w:r w:rsidRPr="00150EDC">
        <w:rPr>
          <w:sz w:val="24"/>
        </w:rPr>
        <w:t>including</w:t>
      </w:r>
      <w:r w:rsidRPr="00150EDC">
        <w:rPr>
          <w:spacing w:val="-5"/>
          <w:sz w:val="24"/>
        </w:rPr>
        <w:t xml:space="preserve"> </w:t>
      </w:r>
      <w:r w:rsidRPr="00150EDC">
        <w:rPr>
          <w:sz w:val="24"/>
        </w:rPr>
        <w:t>business</w:t>
      </w:r>
      <w:r w:rsidRPr="00150EDC">
        <w:rPr>
          <w:spacing w:val="-6"/>
          <w:sz w:val="24"/>
        </w:rPr>
        <w:t xml:space="preserve"> </w:t>
      </w:r>
      <w:r w:rsidRPr="00150EDC">
        <w:rPr>
          <w:sz w:val="24"/>
        </w:rPr>
        <w:t>processes, and procedures;</w:t>
      </w:r>
    </w:p>
    <w:p w14:paraId="6C58E598" w14:textId="77777777" w:rsidR="004C7180" w:rsidRPr="00150EDC" w:rsidRDefault="00CF0754" w:rsidP="00B320C7">
      <w:pPr>
        <w:pStyle w:val="ListParagraph"/>
        <w:numPr>
          <w:ilvl w:val="2"/>
          <w:numId w:val="49"/>
        </w:numPr>
        <w:tabs>
          <w:tab w:val="left" w:pos="2838"/>
          <w:tab w:val="left" w:pos="2840"/>
        </w:tabs>
        <w:spacing w:before="120"/>
        <w:ind w:right="1803" w:hanging="720"/>
        <w:rPr>
          <w:sz w:val="24"/>
        </w:rPr>
      </w:pPr>
      <w:r w:rsidRPr="00150EDC">
        <w:rPr>
          <w:sz w:val="24"/>
        </w:rPr>
        <w:t>set</w:t>
      </w:r>
      <w:r w:rsidRPr="00150EDC">
        <w:rPr>
          <w:spacing w:val="-2"/>
          <w:sz w:val="24"/>
        </w:rPr>
        <w:t xml:space="preserve"> </w:t>
      </w:r>
      <w:r w:rsidRPr="00150EDC">
        <w:rPr>
          <w:sz w:val="24"/>
        </w:rPr>
        <w:t>out</w:t>
      </w:r>
      <w:r w:rsidRPr="00150EDC">
        <w:rPr>
          <w:spacing w:val="-2"/>
          <w:sz w:val="24"/>
        </w:rPr>
        <w:t xml:space="preserve"> </w:t>
      </w:r>
      <w:r w:rsidRPr="00150EDC">
        <w:rPr>
          <w:sz w:val="24"/>
        </w:rPr>
        <w:t>key</w:t>
      </w:r>
      <w:r w:rsidRPr="00150EDC">
        <w:rPr>
          <w:spacing w:val="-5"/>
          <w:sz w:val="24"/>
        </w:rPr>
        <w:t xml:space="preserve"> </w:t>
      </w:r>
      <w:r w:rsidRPr="00150EDC">
        <w:rPr>
          <w:sz w:val="24"/>
        </w:rPr>
        <w:t>contact</w:t>
      </w:r>
      <w:r w:rsidRPr="00150EDC">
        <w:rPr>
          <w:spacing w:val="-5"/>
          <w:sz w:val="24"/>
        </w:rPr>
        <w:t xml:space="preserve"> </w:t>
      </w:r>
      <w:r w:rsidRPr="00150EDC">
        <w:rPr>
          <w:sz w:val="24"/>
        </w:rPr>
        <w:t>details</w:t>
      </w:r>
      <w:r w:rsidRPr="00150EDC">
        <w:rPr>
          <w:spacing w:val="-3"/>
          <w:sz w:val="24"/>
        </w:rPr>
        <w:t xml:space="preserve"> </w:t>
      </w:r>
      <w:r w:rsidRPr="00150EDC">
        <w:rPr>
          <w:sz w:val="24"/>
        </w:rPr>
        <w:t>for</w:t>
      </w:r>
      <w:r w:rsidRPr="00150EDC">
        <w:rPr>
          <w:spacing w:val="-4"/>
          <w:sz w:val="24"/>
        </w:rPr>
        <w:t xml:space="preserve"> </w:t>
      </w:r>
      <w:r w:rsidRPr="00150EDC">
        <w:rPr>
          <w:sz w:val="24"/>
        </w:rPr>
        <w:t>the</w:t>
      </w:r>
      <w:r w:rsidRPr="00150EDC">
        <w:rPr>
          <w:spacing w:val="-2"/>
          <w:sz w:val="24"/>
        </w:rPr>
        <w:t xml:space="preserve"> </w:t>
      </w:r>
      <w:r w:rsidRPr="00150EDC">
        <w:rPr>
          <w:sz w:val="24"/>
        </w:rPr>
        <w:t>Supplier</w:t>
      </w:r>
      <w:r w:rsidRPr="00150EDC">
        <w:rPr>
          <w:spacing w:val="-4"/>
          <w:sz w:val="24"/>
        </w:rPr>
        <w:t xml:space="preserve"> </w:t>
      </w:r>
      <w:r w:rsidRPr="00150EDC">
        <w:rPr>
          <w:sz w:val="24"/>
        </w:rPr>
        <w:t>(and</w:t>
      </w:r>
      <w:r w:rsidRPr="00150EDC">
        <w:rPr>
          <w:spacing w:val="-2"/>
          <w:sz w:val="24"/>
        </w:rPr>
        <w:t xml:space="preserve"> </w:t>
      </w:r>
      <w:r w:rsidRPr="00150EDC">
        <w:rPr>
          <w:sz w:val="24"/>
        </w:rPr>
        <w:t>any</w:t>
      </w:r>
      <w:r w:rsidRPr="00150EDC">
        <w:rPr>
          <w:spacing w:val="-3"/>
          <w:sz w:val="24"/>
        </w:rPr>
        <w:t xml:space="preserve"> </w:t>
      </w:r>
      <w:r w:rsidRPr="00150EDC">
        <w:rPr>
          <w:sz w:val="24"/>
        </w:rPr>
        <w:t>Subcontractors) and for the Buyer;</w:t>
      </w:r>
    </w:p>
    <w:p w14:paraId="296CE3D1" w14:textId="77777777" w:rsidR="004C7180" w:rsidRPr="00150EDC" w:rsidRDefault="00CF0754" w:rsidP="00B320C7">
      <w:pPr>
        <w:pStyle w:val="ListParagraph"/>
        <w:numPr>
          <w:ilvl w:val="2"/>
          <w:numId w:val="49"/>
        </w:numPr>
        <w:tabs>
          <w:tab w:val="left" w:pos="2838"/>
        </w:tabs>
        <w:spacing w:before="120"/>
        <w:ind w:left="2838" w:hanging="718"/>
        <w:rPr>
          <w:sz w:val="24"/>
        </w:rPr>
      </w:pPr>
      <w:r w:rsidRPr="00150EDC">
        <w:rPr>
          <w:sz w:val="24"/>
        </w:rPr>
        <w:t>identify</w:t>
      </w:r>
      <w:r w:rsidRPr="00150EDC">
        <w:rPr>
          <w:spacing w:val="-6"/>
          <w:sz w:val="24"/>
        </w:rPr>
        <w:t xml:space="preserve"> </w:t>
      </w:r>
      <w:r w:rsidRPr="00150EDC">
        <w:rPr>
          <w:sz w:val="24"/>
        </w:rPr>
        <w:t>the</w:t>
      </w:r>
      <w:r w:rsidRPr="00150EDC">
        <w:rPr>
          <w:spacing w:val="-3"/>
          <w:sz w:val="24"/>
        </w:rPr>
        <w:t xml:space="preserve"> </w:t>
      </w:r>
      <w:r w:rsidRPr="00150EDC">
        <w:rPr>
          <w:sz w:val="24"/>
        </w:rPr>
        <w:t>procedures</w:t>
      </w:r>
      <w:r w:rsidRPr="00150EDC">
        <w:rPr>
          <w:spacing w:val="-4"/>
          <w:sz w:val="24"/>
        </w:rPr>
        <w:t xml:space="preserve"> </w:t>
      </w:r>
      <w:r w:rsidRPr="00150EDC">
        <w:rPr>
          <w:sz w:val="24"/>
        </w:rPr>
        <w:t>for</w:t>
      </w:r>
      <w:r w:rsidRPr="00150EDC">
        <w:rPr>
          <w:spacing w:val="-3"/>
          <w:sz w:val="24"/>
        </w:rPr>
        <w:t xml:space="preserve"> </w:t>
      </w:r>
      <w:r w:rsidRPr="00150EDC">
        <w:rPr>
          <w:sz w:val="24"/>
        </w:rPr>
        <w:t>reverting</w:t>
      </w:r>
      <w:r w:rsidRPr="00150EDC">
        <w:rPr>
          <w:spacing w:val="-1"/>
          <w:sz w:val="24"/>
        </w:rPr>
        <w:t xml:space="preserve"> </w:t>
      </w:r>
      <w:r w:rsidRPr="00150EDC">
        <w:rPr>
          <w:sz w:val="24"/>
        </w:rPr>
        <w:t>to</w:t>
      </w:r>
      <w:r w:rsidRPr="00150EDC">
        <w:rPr>
          <w:spacing w:val="-3"/>
          <w:sz w:val="24"/>
        </w:rPr>
        <w:t xml:space="preserve"> </w:t>
      </w:r>
      <w:r w:rsidRPr="00150EDC">
        <w:rPr>
          <w:sz w:val="24"/>
        </w:rPr>
        <w:t>"normal</w:t>
      </w:r>
      <w:r w:rsidRPr="00150EDC">
        <w:rPr>
          <w:spacing w:val="-2"/>
          <w:sz w:val="24"/>
        </w:rPr>
        <w:t xml:space="preserve"> service";</w:t>
      </w:r>
    </w:p>
    <w:p w14:paraId="516C9C78" w14:textId="77777777" w:rsidR="004C7180" w:rsidRPr="00150EDC" w:rsidRDefault="00CF0754" w:rsidP="00B320C7">
      <w:pPr>
        <w:pStyle w:val="ListParagraph"/>
        <w:numPr>
          <w:ilvl w:val="2"/>
          <w:numId w:val="49"/>
        </w:numPr>
        <w:tabs>
          <w:tab w:val="left" w:pos="2837"/>
          <w:tab w:val="left" w:pos="2840"/>
        </w:tabs>
        <w:spacing w:before="120"/>
        <w:ind w:right="1553" w:hanging="720"/>
        <w:rPr>
          <w:sz w:val="24"/>
        </w:rPr>
      </w:pPr>
      <w:r w:rsidRPr="00150EDC">
        <w:rPr>
          <w:sz w:val="24"/>
        </w:rPr>
        <w:t>set out method(s) of recovering or updating data collected (or which ought</w:t>
      </w:r>
      <w:r w:rsidRPr="00150EDC">
        <w:rPr>
          <w:spacing w:val="-2"/>
          <w:sz w:val="24"/>
        </w:rPr>
        <w:t xml:space="preserve"> </w:t>
      </w:r>
      <w:r w:rsidRPr="00150EDC">
        <w:rPr>
          <w:sz w:val="24"/>
        </w:rPr>
        <w:t>to</w:t>
      </w:r>
      <w:r w:rsidRPr="00150EDC">
        <w:rPr>
          <w:spacing w:val="-2"/>
          <w:sz w:val="24"/>
        </w:rPr>
        <w:t xml:space="preserve"> </w:t>
      </w:r>
      <w:r w:rsidRPr="00150EDC">
        <w:rPr>
          <w:sz w:val="24"/>
        </w:rPr>
        <w:t>have</w:t>
      </w:r>
      <w:r w:rsidRPr="00150EDC">
        <w:rPr>
          <w:spacing w:val="-2"/>
          <w:sz w:val="24"/>
        </w:rPr>
        <w:t xml:space="preserve"> </w:t>
      </w:r>
      <w:r w:rsidRPr="00150EDC">
        <w:rPr>
          <w:sz w:val="24"/>
        </w:rPr>
        <w:t>been</w:t>
      </w:r>
      <w:r w:rsidRPr="00150EDC">
        <w:rPr>
          <w:spacing w:val="-2"/>
          <w:sz w:val="24"/>
        </w:rPr>
        <w:t xml:space="preserve"> </w:t>
      </w:r>
      <w:r w:rsidRPr="00150EDC">
        <w:rPr>
          <w:sz w:val="24"/>
        </w:rPr>
        <w:t>collected)</w:t>
      </w:r>
      <w:r w:rsidRPr="00150EDC">
        <w:rPr>
          <w:spacing w:val="-4"/>
          <w:sz w:val="24"/>
        </w:rPr>
        <w:t xml:space="preserve"> </w:t>
      </w:r>
      <w:r w:rsidRPr="00150EDC">
        <w:rPr>
          <w:sz w:val="24"/>
        </w:rPr>
        <w:t>during</w:t>
      </w:r>
      <w:r w:rsidRPr="00150EDC">
        <w:rPr>
          <w:spacing w:val="-4"/>
          <w:sz w:val="24"/>
        </w:rPr>
        <w:t xml:space="preserve"> </w:t>
      </w:r>
      <w:r w:rsidRPr="00150EDC">
        <w:rPr>
          <w:sz w:val="24"/>
        </w:rPr>
        <w:t>a</w:t>
      </w:r>
      <w:r w:rsidRPr="00150EDC">
        <w:rPr>
          <w:spacing w:val="-2"/>
          <w:sz w:val="24"/>
        </w:rPr>
        <w:t xml:space="preserve"> </w:t>
      </w:r>
      <w:r w:rsidRPr="00150EDC">
        <w:rPr>
          <w:sz w:val="24"/>
        </w:rPr>
        <w:t>failure</w:t>
      </w:r>
      <w:r w:rsidRPr="00150EDC">
        <w:rPr>
          <w:spacing w:val="-7"/>
          <w:sz w:val="24"/>
        </w:rPr>
        <w:t xml:space="preserve"> </w:t>
      </w:r>
      <w:r w:rsidRPr="00150EDC">
        <w:rPr>
          <w:sz w:val="24"/>
        </w:rPr>
        <w:t>or</w:t>
      </w:r>
      <w:r w:rsidRPr="00150EDC">
        <w:rPr>
          <w:spacing w:val="-4"/>
          <w:sz w:val="24"/>
        </w:rPr>
        <w:t xml:space="preserve"> </w:t>
      </w:r>
      <w:r w:rsidRPr="00150EDC">
        <w:rPr>
          <w:sz w:val="24"/>
        </w:rPr>
        <w:t>disruption</w:t>
      </w:r>
      <w:r w:rsidRPr="00150EDC">
        <w:rPr>
          <w:spacing w:val="-2"/>
          <w:sz w:val="24"/>
        </w:rPr>
        <w:t xml:space="preserve"> </w:t>
      </w:r>
      <w:r w:rsidRPr="00150EDC">
        <w:rPr>
          <w:sz w:val="24"/>
        </w:rPr>
        <w:t>to</w:t>
      </w:r>
      <w:r w:rsidRPr="00150EDC">
        <w:rPr>
          <w:spacing w:val="-4"/>
          <w:sz w:val="24"/>
        </w:rPr>
        <w:t xml:space="preserve"> </w:t>
      </w:r>
      <w:r w:rsidRPr="00150EDC">
        <w:rPr>
          <w:sz w:val="24"/>
        </w:rPr>
        <w:t>minimise data loss;</w:t>
      </w:r>
    </w:p>
    <w:p w14:paraId="4EBB95BD" w14:textId="77777777" w:rsidR="004C7180" w:rsidRPr="00150EDC" w:rsidRDefault="00CF0754" w:rsidP="00B320C7">
      <w:pPr>
        <w:pStyle w:val="ListParagraph"/>
        <w:numPr>
          <w:ilvl w:val="2"/>
          <w:numId w:val="49"/>
        </w:numPr>
        <w:tabs>
          <w:tab w:val="left" w:pos="2837"/>
          <w:tab w:val="left" w:pos="2840"/>
        </w:tabs>
        <w:spacing w:before="120"/>
        <w:ind w:right="2003" w:hanging="720"/>
        <w:rPr>
          <w:sz w:val="24"/>
        </w:rPr>
      </w:pPr>
      <w:r w:rsidRPr="00150EDC">
        <w:rPr>
          <w:sz w:val="24"/>
        </w:rPr>
        <w:t>identify</w:t>
      </w:r>
      <w:r w:rsidRPr="00150EDC">
        <w:rPr>
          <w:spacing w:val="-4"/>
          <w:sz w:val="24"/>
        </w:rPr>
        <w:t xml:space="preserve"> </w:t>
      </w:r>
      <w:r w:rsidRPr="00150EDC">
        <w:rPr>
          <w:sz w:val="24"/>
        </w:rPr>
        <w:t>the</w:t>
      </w:r>
      <w:r w:rsidRPr="00150EDC">
        <w:rPr>
          <w:spacing w:val="-3"/>
          <w:sz w:val="24"/>
        </w:rPr>
        <w:t xml:space="preserve"> </w:t>
      </w:r>
      <w:r w:rsidRPr="00150EDC">
        <w:rPr>
          <w:sz w:val="24"/>
        </w:rPr>
        <w:t>responsibilities</w:t>
      </w:r>
      <w:r w:rsidRPr="00150EDC">
        <w:rPr>
          <w:spacing w:val="-3"/>
          <w:sz w:val="24"/>
        </w:rPr>
        <w:t xml:space="preserve"> </w:t>
      </w:r>
      <w:r w:rsidRPr="00150EDC">
        <w:rPr>
          <w:sz w:val="24"/>
        </w:rPr>
        <w:t>(if</w:t>
      </w:r>
      <w:r w:rsidRPr="00150EDC">
        <w:rPr>
          <w:spacing w:val="-2"/>
          <w:sz w:val="24"/>
        </w:rPr>
        <w:t xml:space="preserve"> </w:t>
      </w:r>
      <w:r w:rsidRPr="00150EDC">
        <w:rPr>
          <w:sz w:val="24"/>
        </w:rPr>
        <w:t>any)</w:t>
      </w:r>
      <w:r w:rsidRPr="00150EDC">
        <w:rPr>
          <w:spacing w:val="-3"/>
          <w:sz w:val="24"/>
        </w:rPr>
        <w:t xml:space="preserve"> </w:t>
      </w:r>
      <w:r w:rsidRPr="00150EDC">
        <w:rPr>
          <w:sz w:val="24"/>
        </w:rPr>
        <w:t>that</w:t>
      </w:r>
      <w:r w:rsidRPr="00150EDC">
        <w:rPr>
          <w:spacing w:val="-4"/>
          <w:sz w:val="24"/>
        </w:rPr>
        <w:t xml:space="preserve"> </w:t>
      </w:r>
      <w:r w:rsidRPr="00150EDC">
        <w:rPr>
          <w:sz w:val="24"/>
        </w:rPr>
        <w:t>the</w:t>
      </w:r>
      <w:r w:rsidRPr="00150EDC">
        <w:rPr>
          <w:spacing w:val="-2"/>
          <w:sz w:val="24"/>
        </w:rPr>
        <w:t xml:space="preserve"> </w:t>
      </w:r>
      <w:r w:rsidRPr="00150EDC">
        <w:rPr>
          <w:sz w:val="24"/>
        </w:rPr>
        <w:t>Buyer</w:t>
      </w:r>
      <w:r w:rsidRPr="00150EDC">
        <w:rPr>
          <w:spacing w:val="-3"/>
          <w:sz w:val="24"/>
        </w:rPr>
        <w:t xml:space="preserve"> </w:t>
      </w:r>
      <w:r w:rsidRPr="00150EDC">
        <w:rPr>
          <w:sz w:val="24"/>
        </w:rPr>
        <w:t>has</w:t>
      </w:r>
      <w:r w:rsidRPr="00150EDC">
        <w:rPr>
          <w:spacing w:val="-4"/>
          <w:sz w:val="24"/>
        </w:rPr>
        <w:t xml:space="preserve"> </w:t>
      </w:r>
      <w:r w:rsidRPr="00150EDC">
        <w:rPr>
          <w:sz w:val="24"/>
        </w:rPr>
        <w:t>agreed</w:t>
      </w:r>
      <w:r w:rsidRPr="00150EDC">
        <w:rPr>
          <w:spacing w:val="-2"/>
          <w:sz w:val="24"/>
        </w:rPr>
        <w:t xml:space="preserve"> </w:t>
      </w:r>
      <w:r w:rsidRPr="00150EDC">
        <w:rPr>
          <w:sz w:val="24"/>
        </w:rPr>
        <w:t>it</w:t>
      </w:r>
      <w:r w:rsidRPr="00150EDC">
        <w:rPr>
          <w:spacing w:val="-2"/>
          <w:sz w:val="24"/>
        </w:rPr>
        <w:t xml:space="preserve"> </w:t>
      </w:r>
      <w:r w:rsidRPr="00150EDC">
        <w:rPr>
          <w:sz w:val="24"/>
        </w:rPr>
        <w:t>will assume in the event of the invocation of the BCDR Plan;</w:t>
      </w:r>
    </w:p>
    <w:p w14:paraId="0D6C4DF4" w14:textId="77777777" w:rsidR="004C7180" w:rsidRPr="00150EDC" w:rsidRDefault="00CF0754" w:rsidP="00B320C7">
      <w:pPr>
        <w:pStyle w:val="ListParagraph"/>
        <w:numPr>
          <w:ilvl w:val="2"/>
          <w:numId w:val="49"/>
        </w:numPr>
        <w:tabs>
          <w:tab w:val="left" w:pos="2837"/>
          <w:tab w:val="left" w:pos="2840"/>
        </w:tabs>
        <w:spacing w:before="120"/>
        <w:ind w:right="1644" w:hanging="720"/>
        <w:rPr>
          <w:sz w:val="24"/>
        </w:rPr>
      </w:pPr>
      <w:r w:rsidRPr="00150EDC">
        <w:rPr>
          <w:sz w:val="24"/>
        </w:rPr>
        <w:t>provide</w:t>
      </w:r>
      <w:r w:rsidRPr="00150EDC">
        <w:rPr>
          <w:spacing w:val="-2"/>
          <w:sz w:val="24"/>
        </w:rPr>
        <w:t xml:space="preserve"> </w:t>
      </w:r>
      <w:r w:rsidRPr="00150EDC">
        <w:rPr>
          <w:sz w:val="24"/>
        </w:rPr>
        <w:t>for</w:t>
      </w:r>
      <w:r w:rsidRPr="00150EDC">
        <w:rPr>
          <w:spacing w:val="-4"/>
          <w:sz w:val="24"/>
        </w:rPr>
        <w:t xml:space="preserve"> </w:t>
      </w:r>
      <w:r w:rsidRPr="00150EDC">
        <w:rPr>
          <w:sz w:val="24"/>
        </w:rPr>
        <w:t>the</w:t>
      </w:r>
      <w:r w:rsidRPr="00150EDC">
        <w:rPr>
          <w:spacing w:val="-2"/>
          <w:sz w:val="24"/>
        </w:rPr>
        <w:t xml:space="preserve"> </w:t>
      </w:r>
      <w:r w:rsidRPr="00150EDC">
        <w:rPr>
          <w:sz w:val="24"/>
        </w:rPr>
        <w:t>provision</w:t>
      </w:r>
      <w:r w:rsidRPr="00150EDC">
        <w:rPr>
          <w:spacing w:val="-2"/>
          <w:sz w:val="24"/>
        </w:rPr>
        <w:t xml:space="preserve"> </w:t>
      </w:r>
      <w:r w:rsidRPr="00150EDC">
        <w:rPr>
          <w:sz w:val="24"/>
        </w:rPr>
        <w:t>of</w:t>
      </w:r>
      <w:r w:rsidRPr="00150EDC">
        <w:rPr>
          <w:spacing w:val="-5"/>
          <w:sz w:val="24"/>
        </w:rPr>
        <w:t xml:space="preserve"> </w:t>
      </w:r>
      <w:r w:rsidRPr="00150EDC">
        <w:rPr>
          <w:sz w:val="24"/>
        </w:rPr>
        <w:t>technical</w:t>
      </w:r>
      <w:r w:rsidRPr="00150EDC">
        <w:rPr>
          <w:spacing w:val="-3"/>
          <w:sz w:val="24"/>
        </w:rPr>
        <w:t xml:space="preserve"> </w:t>
      </w:r>
      <w:r w:rsidRPr="00150EDC">
        <w:rPr>
          <w:sz w:val="24"/>
        </w:rPr>
        <w:t>assistance</w:t>
      </w:r>
      <w:r w:rsidRPr="00150EDC">
        <w:rPr>
          <w:spacing w:val="-2"/>
          <w:sz w:val="24"/>
        </w:rPr>
        <w:t xml:space="preserve"> </w:t>
      </w:r>
      <w:r w:rsidRPr="00150EDC">
        <w:rPr>
          <w:sz w:val="24"/>
        </w:rPr>
        <w:t>to</w:t>
      </w:r>
      <w:r w:rsidRPr="00150EDC">
        <w:rPr>
          <w:spacing w:val="-2"/>
          <w:sz w:val="24"/>
        </w:rPr>
        <w:t xml:space="preserve"> </w:t>
      </w:r>
      <w:r w:rsidRPr="00150EDC">
        <w:rPr>
          <w:sz w:val="24"/>
        </w:rPr>
        <w:t>key</w:t>
      </w:r>
      <w:r w:rsidRPr="00150EDC">
        <w:rPr>
          <w:spacing w:val="-3"/>
          <w:sz w:val="24"/>
        </w:rPr>
        <w:t xml:space="preserve"> </w:t>
      </w:r>
      <w:r w:rsidRPr="00150EDC">
        <w:rPr>
          <w:sz w:val="24"/>
        </w:rPr>
        <w:t>contacts</w:t>
      </w:r>
      <w:r w:rsidRPr="00150EDC">
        <w:rPr>
          <w:spacing w:val="-3"/>
          <w:sz w:val="24"/>
        </w:rPr>
        <w:t xml:space="preserve"> </w:t>
      </w:r>
      <w:r w:rsidRPr="00150EDC">
        <w:rPr>
          <w:sz w:val="24"/>
        </w:rPr>
        <w:t>at</w:t>
      </w:r>
      <w:r w:rsidRPr="00150EDC">
        <w:rPr>
          <w:spacing w:val="-5"/>
          <w:sz w:val="24"/>
        </w:rPr>
        <w:t xml:space="preserve"> </w:t>
      </w:r>
      <w:r w:rsidRPr="00150EDC">
        <w:rPr>
          <w:sz w:val="24"/>
        </w:rPr>
        <w:t>the Buyer as required by the Buyer to inform decisions in support of the Buyer’s business continuity plans;</w:t>
      </w:r>
    </w:p>
    <w:p w14:paraId="0EF73866" w14:textId="77777777" w:rsidR="004C7180" w:rsidRPr="00150EDC" w:rsidRDefault="00CF0754" w:rsidP="00B320C7">
      <w:pPr>
        <w:pStyle w:val="ListParagraph"/>
        <w:numPr>
          <w:ilvl w:val="2"/>
          <w:numId w:val="49"/>
        </w:numPr>
        <w:tabs>
          <w:tab w:val="left" w:pos="2837"/>
          <w:tab w:val="left" w:pos="2840"/>
        </w:tabs>
        <w:spacing w:before="121"/>
        <w:ind w:right="1522" w:hanging="720"/>
        <w:rPr>
          <w:sz w:val="24"/>
        </w:rPr>
      </w:pPr>
      <w:r w:rsidRPr="00150EDC">
        <w:rPr>
          <w:sz w:val="24"/>
        </w:rPr>
        <w:t>set out how the business continuity and disaster recovery elements of the BCDR Plan link to the Insolvency Continuity Plan, and how the Insolvency</w:t>
      </w:r>
      <w:r w:rsidRPr="00150EDC">
        <w:rPr>
          <w:spacing w:val="-3"/>
          <w:sz w:val="24"/>
        </w:rPr>
        <w:t xml:space="preserve"> </w:t>
      </w:r>
      <w:r w:rsidRPr="00150EDC">
        <w:rPr>
          <w:sz w:val="24"/>
        </w:rPr>
        <w:t>Continuity</w:t>
      </w:r>
      <w:r w:rsidRPr="00150EDC">
        <w:rPr>
          <w:spacing w:val="-5"/>
          <w:sz w:val="24"/>
        </w:rPr>
        <w:t xml:space="preserve"> </w:t>
      </w:r>
      <w:r w:rsidRPr="00150EDC">
        <w:rPr>
          <w:sz w:val="24"/>
        </w:rPr>
        <w:t>Plan</w:t>
      </w:r>
      <w:r w:rsidRPr="00150EDC">
        <w:rPr>
          <w:spacing w:val="-2"/>
          <w:sz w:val="24"/>
        </w:rPr>
        <w:t xml:space="preserve"> </w:t>
      </w:r>
      <w:r w:rsidRPr="00150EDC">
        <w:rPr>
          <w:sz w:val="24"/>
        </w:rPr>
        <w:t>links</w:t>
      </w:r>
      <w:r w:rsidRPr="00150EDC">
        <w:rPr>
          <w:spacing w:val="-3"/>
          <w:sz w:val="24"/>
        </w:rPr>
        <w:t xml:space="preserve"> </w:t>
      </w:r>
      <w:r w:rsidRPr="00150EDC">
        <w:rPr>
          <w:sz w:val="24"/>
        </w:rPr>
        <w:t>to</w:t>
      </w:r>
      <w:r w:rsidRPr="00150EDC">
        <w:rPr>
          <w:spacing w:val="-2"/>
          <w:sz w:val="24"/>
        </w:rPr>
        <w:t xml:space="preserve"> </w:t>
      </w:r>
      <w:r w:rsidRPr="00150EDC">
        <w:rPr>
          <w:sz w:val="24"/>
        </w:rPr>
        <w:t>the</w:t>
      </w:r>
      <w:r w:rsidRPr="00150EDC">
        <w:rPr>
          <w:spacing w:val="-4"/>
          <w:sz w:val="24"/>
        </w:rPr>
        <w:t xml:space="preserve"> </w:t>
      </w:r>
      <w:r w:rsidRPr="00150EDC">
        <w:rPr>
          <w:sz w:val="24"/>
        </w:rPr>
        <w:t>business</w:t>
      </w:r>
      <w:r w:rsidRPr="00150EDC">
        <w:rPr>
          <w:spacing w:val="-3"/>
          <w:sz w:val="24"/>
        </w:rPr>
        <w:t xml:space="preserve"> </w:t>
      </w:r>
      <w:r w:rsidRPr="00150EDC">
        <w:rPr>
          <w:sz w:val="24"/>
        </w:rPr>
        <w:t>continuity</w:t>
      </w:r>
      <w:r w:rsidRPr="00150EDC">
        <w:rPr>
          <w:spacing w:val="-5"/>
          <w:sz w:val="24"/>
        </w:rPr>
        <w:t xml:space="preserve"> </w:t>
      </w:r>
      <w:r w:rsidRPr="00150EDC">
        <w:rPr>
          <w:sz w:val="24"/>
        </w:rPr>
        <w:t>and</w:t>
      </w:r>
      <w:r w:rsidRPr="00150EDC">
        <w:rPr>
          <w:spacing w:val="-4"/>
          <w:sz w:val="24"/>
        </w:rPr>
        <w:t xml:space="preserve"> </w:t>
      </w:r>
      <w:r w:rsidRPr="00150EDC">
        <w:rPr>
          <w:sz w:val="24"/>
        </w:rPr>
        <w:t>disaster recovery elements of the BCDR Plan;</w:t>
      </w:r>
    </w:p>
    <w:p w14:paraId="3D3B61B8" w14:textId="77777777" w:rsidR="004C7180" w:rsidRPr="00150EDC" w:rsidRDefault="004C7180">
      <w:pPr>
        <w:rPr>
          <w:sz w:val="24"/>
        </w:rPr>
        <w:sectPr w:rsidR="004C7180" w:rsidRPr="00150EDC">
          <w:pgSz w:w="11910" w:h="16840"/>
          <w:pgMar w:top="1380" w:right="0" w:bottom="1380" w:left="40" w:header="715" w:footer="1192" w:gutter="0"/>
          <w:cols w:space="720"/>
        </w:sectPr>
      </w:pPr>
    </w:p>
    <w:p w14:paraId="2A20A052" w14:textId="77777777" w:rsidR="004C7180" w:rsidRPr="00150EDC" w:rsidRDefault="004C7180">
      <w:pPr>
        <w:pStyle w:val="BodyText"/>
        <w:spacing w:before="1"/>
        <w:rPr>
          <w:sz w:val="12"/>
        </w:rPr>
      </w:pPr>
    </w:p>
    <w:p w14:paraId="40B32069" w14:textId="77777777" w:rsidR="004C7180" w:rsidRPr="00150EDC" w:rsidRDefault="00CF0754" w:rsidP="00B320C7">
      <w:pPr>
        <w:pStyle w:val="ListParagraph"/>
        <w:numPr>
          <w:ilvl w:val="2"/>
          <w:numId w:val="49"/>
        </w:numPr>
        <w:tabs>
          <w:tab w:val="left" w:pos="2837"/>
          <w:tab w:val="left" w:pos="2840"/>
        </w:tabs>
        <w:spacing w:before="92"/>
        <w:ind w:right="1588" w:hanging="720"/>
        <w:rPr>
          <w:sz w:val="24"/>
        </w:rPr>
      </w:pPr>
      <w:r w:rsidRPr="00150EDC">
        <w:rPr>
          <w:sz w:val="24"/>
        </w:rPr>
        <w:t>contain</w:t>
      </w:r>
      <w:r w:rsidRPr="00150EDC">
        <w:rPr>
          <w:spacing w:val="-2"/>
          <w:sz w:val="24"/>
        </w:rPr>
        <w:t xml:space="preserve"> </w:t>
      </w:r>
      <w:r w:rsidRPr="00150EDC">
        <w:rPr>
          <w:sz w:val="24"/>
        </w:rPr>
        <w:t>an</w:t>
      </w:r>
      <w:r w:rsidRPr="00150EDC">
        <w:rPr>
          <w:spacing w:val="-4"/>
          <w:sz w:val="24"/>
        </w:rPr>
        <w:t xml:space="preserve"> </w:t>
      </w:r>
      <w:r w:rsidRPr="00150EDC">
        <w:rPr>
          <w:sz w:val="24"/>
        </w:rPr>
        <w:t>obligation</w:t>
      </w:r>
      <w:r w:rsidRPr="00150EDC">
        <w:rPr>
          <w:spacing w:val="-2"/>
          <w:sz w:val="24"/>
        </w:rPr>
        <w:t xml:space="preserve"> </w:t>
      </w:r>
      <w:r w:rsidRPr="00150EDC">
        <w:rPr>
          <w:sz w:val="24"/>
        </w:rPr>
        <w:t>upon</w:t>
      </w:r>
      <w:r w:rsidRPr="00150EDC">
        <w:rPr>
          <w:spacing w:val="-4"/>
          <w:sz w:val="24"/>
        </w:rPr>
        <w:t xml:space="preserve"> </w:t>
      </w:r>
      <w:r w:rsidRPr="00150EDC">
        <w:rPr>
          <w:sz w:val="24"/>
        </w:rPr>
        <w:t>the</w:t>
      </w:r>
      <w:r w:rsidRPr="00150EDC">
        <w:rPr>
          <w:spacing w:val="-4"/>
          <w:sz w:val="24"/>
        </w:rPr>
        <w:t xml:space="preserve"> </w:t>
      </w:r>
      <w:r w:rsidRPr="00150EDC">
        <w:rPr>
          <w:sz w:val="24"/>
        </w:rPr>
        <w:t>Supplier</w:t>
      </w:r>
      <w:r w:rsidRPr="00150EDC">
        <w:rPr>
          <w:spacing w:val="-4"/>
          <w:sz w:val="24"/>
        </w:rPr>
        <w:t xml:space="preserve"> </w:t>
      </w:r>
      <w:r w:rsidRPr="00150EDC">
        <w:rPr>
          <w:sz w:val="24"/>
        </w:rPr>
        <w:t>to</w:t>
      </w:r>
      <w:r w:rsidRPr="00150EDC">
        <w:rPr>
          <w:spacing w:val="-4"/>
          <w:sz w:val="24"/>
        </w:rPr>
        <w:t xml:space="preserve"> </w:t>
      </w:r>
      <w:r w:rsidRPr="00150EDC">
        <w:rPr>
          <w:sz w:val="24"/>
        </w:rPr>
        <w:t>liaise</w:t>
      </w:r>
      <w:r w:rsidRPr="00150EDC">
        <w:rPr>
          <w:spacing w:val="-2"/>
          <w:sz w:val="24"/>
        </w:rPr>
        <w:t xml:space="preserve"> </w:t>
      </w:r>
      <w:r w:rsidRPr="00150EDC">
        <w:rPr>
          <w:sz w:val="24"/>
        </w:rPr>
        <w:t>with</w:t>
      </w:r>
      <w:r w:rsidRPr="00150EDC">
        <w:rPr>
          <w:spacing w:val="-2"/>
          <w:sz w:val="24"/>
        </w:rPr>
        <w:t xml:space="preserve"> </w:t>
      </w:r>
      <w:r w:rsidRPr="00150EDC">
        <w:rPr>
          <w:sz w:val="24"/>
        </w:rPr>
        <w:t>the</w:t>
      </w:r>
      <w:r w:rsidRPr="00150EDC">
        <w:rPr>
          <w:spacing w:val="-2"/>
          <w:sz w:val="24"/>
        </w:rPr>
        <w:t xml:space="preserve"> </w:t>
      </w:r>
      <w:r w:rsidRPr="00150EDC">
        <w:rPr>
          <w:sz w:val="24"/>
        </w:rPr>
        <w:t>Buyer</w:t>
      </w:r>
      <w:r w:rsidRPr="00150EDC">
        <w:rPr>
          <w:spacing w:val="-4"/>
          <w:sz w:val="24"/>
        </w:rPr>
        <w:t xml:space="preserve"> </w:t>
      </w:r>
      <w:r w:rsidRPr="00150EDC">
        <w:rPr>
          <w:sz w:val="24"/>
        </w:rPr>
        <w:t>and</w:t>
      </w:r>
      <w:r w:rsidRPr="00150EDC">
        <w:rPr>
          <w:spacing w:val="-2"/>
          <w:sz w:val="24"/>
        </w:rPr>
        <w:t xml:space="preserve"> </w:t>
      </w:r>
      <w:r w:rsidRPr="00150EDC">
        <w:rPr>
          <w:sz w:val="24"/>
        </w:rPr>
        <w:t>(at the Buyer’s request) any Related Supplier with respect to issues concerning insolvency continuity where applicable; and</w:t>
      </w:r>
    </w:p>
    <w:p w14:paraId="32EF45F2" w14:textId="77777777" w:rsidR="004C7180" w:rsidRPr="00150EDC" w:rsidRDefault="00CF0754" w:rsidP="00B320C7">
      <w:pPr>
        <w:pStyle w:val="ListParagraph"/>
        <w:numPr>
          <w:ilvl w:val="2"/>
          <w:numId w:val="49"/>
        </w:numPr>
        <w:tabs>
          <w:tab w:val="left" w:pos="2837"/>
          <w:tab w:val="left" w:pos="2840"/>
        </w:tabs>
        <w:spacing w:before="121"/>
        <w:ind w:right="1497" w:hanging="720"/>
        <w:rPr>
          <w:sz w:val="24"/>
        </w:rPr>
      </w:pPr>
      <w:r w:rsidRPr="00150EDC">
        <w:rPr>
          <w:sz w:val="24"/>
        </w:rPr>
        <w:t>detail</w:t>
      </w:r>
      <w:r w:rsidRPr="00150EDC">
        <w:rPr>
          <w:spacing w:val="-6"/>
          <w:sz w:val="24"/>
        </w:rPr>
        <w:t xml:space="preserve"> </w:t>
      </w:r>
      <w:r w:rsidRPr="00150EDC">
        <w:rPr>
          <w:sz w:val="24"/>
        </w:rPr>
        <w:t>how</w:t>
      </w:r>
      <w:r w:rsidRPr="00150EDC">
        <w:rPr>
          <w:spacing w:val="-3"/>
          <w:sz w:val="24"/>
        </w:rPr>
        <w:t xml:space="preserve"> </w:t>
      </w:r>
      <w:r w:rsidRPr="00150EDC">
        <w:rPr>
          <w:sz w:val="24"/>
        </w:rPr>
        <w:t>the</w:t>
      </w:r>
      <w:r w:rsidRPr="00150EDC">
        <w:rPr>
          <w:spacing w:val="-2"/>
          <w:sz w:val="24"/>
        </w:rPr>
        <w:t xml:space="preserve"> </w:t>
      </w:r>
      <w:r w:rsidRPr="00150EDC">
        <w:rPr>
          <w:sz w:val="24"/>
        </w:rPr>
        <w:t>BCDR</w:t>
      </w:r>
      <w:r w:rsidRPr="00150EDC">
        <w:rPr>
          <w:spacing w:val="-3"/>
          <w:sz w:val="24"/>
        </w:rPr>
        <w:t xml:space="preserve"> </w:t>
      </w:r>
      <w:r w:rsidRPr="00150EDC">
        <w:rPr>
          <w:sz w:val="24"/>
        </w:rPr>
        <w:t>Plan</w:t>
      </w:r>
      <w:r w:rsidRPr="00150EDC">
        <w:rPr>
          <w:spacing w:val="-2"/>
          <w:sz w:val="24"/>
        </w:rPr>
        <w:t xml:space="preserve"> </w:t>
      </w:r>
      <w:r w:rsidRPr="00150EDC">
        <w:rPr>
          <w:sz w:val="24"/>
        </w:rPr>
        <w:t>links</w:t>
      </w:r>
      <w:r w:rsidRPr="00150EDC">
        <w:rPr>
          <w:spacing w:val="-3"/>
          <w:sz w:val="24"/>
        </w:rPr>
        <w:t xml:space="preserve"> </w:t>
      </w:r>
      <w:r w:rsidRPr="00150EDC">
        <w:rPr>
          <w:sz w:val="24"/>
        </w:rPr>
        <w:t>and</w:t>
      </w:r>
      <w:r w:rsidRPr="00150EDC">
        <w:rPr>
          <w:spacing w:val="-2"/>
          <w:sz w:val="24"/>
        </w:rPr>
        <w:t xml:space="preserve"> </w:t>
      </w:r>
      <w:r w:rsidRPr="00150EDC">
        <w:rPr>
          <w:sz w:val="24"/>
        </w:rPr>
        <w:t>interoperates</w:t>
      </w:r>
      <w:r w:rsidRPr="00150EDC">
        <w:rPr>
          <w:spacing w:val="-3"/>
          <w:sz w:val="24"/>
        </w:rPr>
        <w:t xml:space="preserve"> </w:t>
      </w:r>
      <w:r w:rsidRPr="00150EDC">
        <w:rPr>
          <w:sz w:val="24"/>
        </w:rPr>
        <w:t>with</w:t>
      </w:r>
      <w:r w:rsidRPr="00150EDC">
        <w:rPr>
          <w:spacing w:val="-4"/>
          <w:sz w:val="24"/>
        </w:rPr>
        <w:t xml:space="preserve"> </w:t>
      </w:r>
      <w:r w:rsidRPr="00150EDC">
        <w:rPr>
          <w:sz w:val="24"/>
        </w:rPr>
        <w:t>any</w:t>
      </w:r>
      <w:r w:rsidRPr="00150EDC">
        <w:rPr>
          <w:spacing w:val="-5"/>
          <w:sz w:val="24"/>
        </w:rPr>
        <w:t xml:space="preserve"> </w:t>
      </w:r>
      <w:r w:rsidRPr="00150EDC">
        <w:rPr>
          <w:sz w:val="24"/>
        </w:rPr>
        <w:t>overarching and/or</w:t>
      </w:r>
      <w:r w:rsidRPr="00150EDC">
        <w:rPr>
          <w:spacing w:val="-2"/>
          <w:sz w:val="24"/>
        </w:rPr>
        <w:t xml:space="preserve"> </w:t>
      </w:r>
      <w:r w:rsidRPr="00150EDC">
        <w:rPr>
          <w:sz w:val="24"/>
        </w:rPr>
        <w:t>connected insolvency</w:t>
      </w:r>
      <w:r w:rsidRPr="00150EDC">
        <w:rPr>
          <w:spacing w:val="-1"/>
          <w:sz w:val="24"/>
        </w:rPr>
        <w:t xml:space="preserve"> </w:t>
      </w:r>
      <w:r w:rsidRPr="00150EDC">
        <w:rPr>
          <w:sz w:val="24"/>
        </w:rPr>
        <w:t>continuity</w:t>
      </w:r>
      <w:r w:rsidRPr="00150EDC">
        <w:rPr>
          <w:spacing w:val="-3"/>
          <w:sz w:val="24"/>
        </w:rPr>
        <w:t xml:space="preserve"> </w:t>
      </w:r>
      <w:r w:rsidRPr="00150EDC">
        <w:rPr>
          <w:sz w:val="24"/>
        </w:rPr>
        <w:t>plan of the</w:t>
      </w:r>
      <w:r w:rsidRPr="00150EDC">
        <w:rPr>
          <w:spacing w:val="-2"/>
          <w:sz w:val="24"/>
        </w:rPr>
        <w:t xml:space="preserve"> </w:t>
      </w:r>
      <w:r w:rsidRPr="00150EDC">
        <w:rPr>
          <w:sz w:val="24"/>
        </w:rPr>
        <w:t>Buyer</w:t>
      </w:r>
      <w:r w:rsidRPr="00150EDC">
        <w:rPr>
          <w:spacing w:val="-2"/>
          <w:sz w:val="24"/>
        </w:rPr>
        <w:t xml:space="preserve"> </w:t>
      </w:r>
      <w:r w:rsidRPr="00150EDC">
        <w:rPr>
          <w:sz w:val="24"/>
        </w:rPr>
        <w:t>and any</w:t>
      </w:r>
      <w:r w:rsidRPr="00150EDC">
        <w:rPr>
          <w:spacing w:val="-1"/>
          <w:sz w:val="24"/>
        </w:rPr>
        <w:t xml:space="preserve"> </w:t>
      </w:r>
      <w:r w:rsidRPr="00150EDC">
        <w:rPr>
          <w:sz w:val="24"/>
        </w:rPr>
        <w:t>of</w:t>
      </w:r>
      <w:r w:rsidRPr="00150EDC">
        <w:rPr>
          <w:spacing w:val="-3"/>
          <w:sz w:val="24"/>
        </w:rPr>
        <w:t xml:space="preserve"> </w:t>
      </w:r>
      <w:r w:rsidRPr="00150EDC">
        <w:rPr>
          <w:sz w:val="24"/>
        </w:rPr>
        <w:t>its other Related Suppliers in each case as notified to the Supplier by the Buyer from time to time.</w:t>
      </w:r>
    </w:p>
    <w:p w14:paraId="205B1AAD" w14:textId="77777777" w:rsidR="004C7180" w:rsidRPr="00150EDC" w:rsidRDefault="00CF0754" w:rsidP="00B320C7">
      <w:pPr>
        <w:pStyle w:val="ListParagraph"/>
        <w:numPr>
          <w:ilvl w:val="1"/>
          <w:numId w:val="49"/>
        </w:numPr>
        <w:tabs>
          <w:tab w:val="left" w:pos="2119"/>
        </w:tabs>
        <w:spacing w:before="120"/>
        <w:ind w:left="2119" w:hanging="719"/>
        <w:jc w:val="left"/>
        <w:rPr>
          <w:sz w:val="24"/>
        </w:rPr>
      </w:pPr>
      <w:r w:rsidRPr="00150EDC">
        <w:rPr>
          <w:sz w:val="24"/>
        </w:rPr>
        <w:t>The</w:t>
      </w:r>
      <w:r w:rsidRPr="00150EDC">
        <w:rPr>
          <w:spacing w:val="-2"/>
          <w:sz w:val="24"/>
        </w:rPr>
        <w:t xml:space="preserve"> </w:t>
      </w:r>
      <w:r w:rsidRPr="00150EDC">
        <w:rPr>
          <w:sz w:val="24"/>
        </w:rPr>
        <w:t>BCDR</w:t>
      </w:r>
      <w:r w:rsidRPr="00150EDC">
        <w:rPr>
          <w:spacing w:val="-2"/>
          <w:sz w:val="24"/>
        </w:rPr>
        <w:t xml:space="preserve"> </w:t>
      </w:r>
      <w:r w:rsidRPr="00150EDC">
        <w:rPr>
          <w:sz w:val="24"/>
        </w:rPr>
        <w:t>Plan</w:t>
      </w:r>
      <w:r w:rsidRPr="00150EDC">
        <w:rPr>
          <w:spacing w:val="-1"/>
          <w:sz w:val="24"/>
        </w:rPr>
        <w:t xml:space="preserve"> </w:t>
      </w:r>
      <w:r w:rsidRPr="00150EDC">
        <w:rPr>
          <w:sz w:val="24"/>
        </w:rPr>
        <w:t>shall</w:t>
      </w:r>
      <w:r w:rsidRPr="00150EDC">
        <w:rPr>
          <w:spacing w:val="-2"/>
          <w:sz w:val="24"/>
        </w:rPr>
        <w:t xml:space="preserve"> </w:t>
      </w:r>
      <w:r w:rsidRPr="00150EDC">
        <w:rPr>
          <w:sz w:val="24"/>
        </w:rPr>
        <w:t>be</w:t>
      </w:r>
      <w:r w:rsidRPr="00150EDC">
        <w:rPr>
          <w:spacing w:val="-1"/>
          <w:sz w:val="24"/>
        </w:rPr>
        <w:t xml:space="preserve"> </w:t>
      </w:r>
      <w:r w:rsidRPr="00150EDC">
        <w:rPr>
          <w:sz w:val="24"/>
        </w:rPr>
        <w:t>designed</w:t>
      </w:r>
      <w:r w:rsidRPr="00150EDC">
        <w:rPr>
          <w:spacing w:val="-1"/>
          <w:sz w:val="24"/>
        </w:rPr>
        <w:t xml:space="preserve"> </w:t>
      </w:r>
      <w:r w:rsidRPr="00150EDC">
        <w:rPr>
          <w:sz w:val="24"/>
        </w:rPr>
        <w:t>so</w:t>
      </w:r>
      <w:r w:rsidRPr="00150EDC">
        <w:rPr>
          <w:spacing w:val="-1"/>
          <w:sz w:val="24"/>
        </w:rPr>
        <w:t xml:space="preserve"> </w:t>
      </w:r>
      <w:r w:rsidRPr="00150EDC">
        <w:rPr>
          <w:sz w:val="24"/>
        </w:rPr>
        <w:t>as</w:t>
      </w:r>
      <w:r w:rsidRPr="00150EDC">
        <w:rPr>
          <w:spacing w:val="-4"/>
          <w:sz w:val="24"/>
        </w:rPr>
        <w:t xml:space="preserve"> </w:t>
      </w:r>
      <w:r w:rsidRPr="00150EDC">
        <w:rPr>
          <w:sz w:val="24"/>
        </w:rPr>
        <w:t>to</w:t>
      </w:r>
      <w:r w:rsidRPr="00150EDC">
        <w:rPr>
          <w:spacing w:val="-2"/>
          <w:sz w:val="24"/>
        </w:rPr>
        <w:t xml:space="preserve"> </w:t>
      </w:r>
      <w:r w:rsidRPr="00150EDC">
        <w:rPr>
          <w:sz w:val="24"/>
        </w:rPr>
        <w:t>ensure</w:t>
      </w:r>
      <w:r w:rsidRPr="00150EDC">
        <w:rPr>
          <w:spacing w:val="-1"/>
          <w:sz w:val="24"/>
        </w:rPr>
        <w:t xml:space="preserve"> </w:t>
      </w:r>
      <w:r w:rsidRPr="00150EDC">
        <w:rPr>
          <w:spacing w:val="-2"/>
          <w:sz w:val="24"/>
        </w:rPr>
        <w:t>that:</w:t>
      </w:r>
    </w:p>
    <w:p w14:paraId="621B1671" w14:textId="77777777" w:rsidR="004C7180" w:rsidRPr="00150EDC" w:rsidRDefault="00CF0754" w:rsidP="00B320C7">
      <w:pPr>
        <w:pStyle w:val="ListParagraph"/>
        <w:numPr>
          <w:ilvl w:val="2"/>
          <w:numId w:val="49"/>
        </w:numPr>
        <w:tabs>
          <w:tab w:val="left" w:pos="2838"/>
          <w:tab w:val="left" w:pos="2840"/>
        </w:tabs>
        <w:spacing w:before="120"/>
        <w:ind w:right="1858" w:hanging="720"/>
        <w:rPr>
          <w:sz w:val="24"/>
        </w:rPr>
      </w:pPr>
      <w:r w:rsidRPr="00150EDC">
        <w:rPr>
          <w:sz w:val="24"/>
        </w:rPr>
        <w:t>the</w:t>
      </w:r>
      <w:r w:rsidRPr="00150EDC">
        <w:rPr>
          <w:spacing w:val="-3"/>
          <w:sz w:val="24"/>
        </w:rPr>
        <w:t xml:space="preserve"> </w:t>
      </w:r>
      <w:r w:rsidRPr="00150EDC">
        <w:rPr>
          <w:sz w:val="24"/>
        </w:rPr>
        <w:t>Deliverables</w:t>
      </w:r>
      <w:r w:rsidRPr="00150EDC">
        <w:rPr>
          <w:spacing w:val="-4"/>
          <w:sz w:val="24"/>
        </w:rPr>
        <w:t xml:space="preserve"> </w:t>
      </w:r>
      <w:r w:rsidRPr="00150EDC">
        <w:rPr>
          <w:sz w:val="24"/>
        </w:rPr>
        <w:t>are</w:t>
      </w:r>
      <w:r w:rsidRPr="00150EDC">
        <w:rPr>
          <w:spacing w:val="-3"/>
          <w:sz w:val="24"/>
        </w:rPr>
        <w:t xml:space="preserve"> </w:t>
      </w:r>
      <w:r w:rsidRPr="00150EDC">
        <w:rPr>
          <w:sz w:val="24"/>
        </w:rPr>
        <w:t>provided</w:t>
      </w:r>
      <w:r w:rsidRPr="00150EDC">
        <w:rPr>
          <w:spacing w:val="-5"/>
          <w:sz w:val="24"/>
        </w:rPr>
        <w:t xml:space="preserve"> </w:t>
      </w:r>
      <w:r w:rsidRPr="00150EDC">
        <w:rPr>
          <w:sz w:val="24"/>
        </w:rPr>
        <w:t>in</w:t>
      </w:r>
      <w:r w:rsidRPr="00150EDC">
        <w:rPr>
          <w:spacing w:val="-3"/>
          <w:sz w:val="24"/>
        </w:rPr>
        <w:t xml:space="preserve"> </w:t>
      </w:r>
      <w:r w:rsidRPr="00150EDC">
        <w:rPr>
          <w:sz w:val="24"/>
        </w:rPr>
        <w:t>accordance</w:t>
      </w:r>
      <w:r w:rsidRPr="00150EDC">
        <w:rPr>
          <w:spacing w:val="-5"/>
          <w:sz w:val="24"/>
        </w:rPr>
        <w:t xml:space="preserve"> </w:t>
      </w:r>
      <w:r w:rsidRPr="00150EDC">
        <w:rPr>
          <w:sz w:val="24"/>
        </w:rPr>
        <w:t>with</w:t>
      </w:r>
      <w:r w:rsidRPr="00150EDC">
        <w:rPr>
          <w:spacing w:val="-3"/>
          <w:sz w:val="24"/>
        </w:rPr>
        <w:t xml:space="preserve"> </w:t>
      </w:r>
      <w:r w:rsidRPr="00150EDC">
        <w:rPr>
          <w:sz w:val="24"/>
        </w:rPr>
        <w:t>this</w:t>
      </w:r>
      <w:r w:rsidRPr="00150EDC">
        <w:rPr>
          <w:spacing w:val="-4"/>
          <w:sz w:val="24"/>
        </w:rPr>
        <w:t xml:space="preserve"> </w:t>
      </w:r>
      <w:r w:rsidRPr="00150EDC">
        <w:rPr>
          <w:sz w:val="24"/>
        </w:rPr>
        <w:t>Contract</w:t>
      </w:r>
      <w:r w:rsidRPr="00150EDC">
        <w:rPr>
          <w:spacing w:val="-5"/>
          <w:sz w:val="24"/>
        </w:rPr>
        <w:t xml:space="preserve"> </w:t>
      </w:r>
      <w:r w:rsidRPr="00150EDC">
        <w:rPr>
          <w:sz w:val="24"/>
        </w:rPr>
        <w:t>at</w:t>
      </w:r>
      <w:r w:rsidRPr="00150EDC">
        <w:rPr>
          <w:spacing w:val="-3"/>
          <w:sz w:val="24"/>
        </w:rPr>
        <w:t xml:space="preserve"> </w:t>
      </w:r>
      <w:r w:rsidRPr="00150EDC">
        <w:rPr>
          <w:sz w:val="24"/>
        </w:rPr>
        <w:t>all times during and after the invocation of the BCDR Plan;</w:t>
      </w:r>
    </w:p>
    <w:p w14:paraId="4438E4B6" w14:textId="77777777" w:rsidR="004C7180" w:rsidRPr="00150EDC" w:rsidRDefault="00CF0754" w:rsidP="00B320C7">
      <w:pPr>
        <w:pStyle w:val="ListParagraph"/>
        <w:numPr>
          <w:ilvl w:val="2"/>
          <w:numId w:val="49"/>
        </w:numPr>
        <w:tabs>
          <w:tab w:val="left" w:pos="2838"/>
          <w:tab w:val="left" w:pos="2840"/>
        </w:tabs>
        <w:spacing w:before="120"/>
        <w:ind w:right="1713" w:hanging="720"/>
        <w:rPr>
          <w:sz w:val="24"/>
        </w:rPr>
      </w:pPr>
      <w:r w:rsidRPr="00150EDC">
        <w:rPr>
          <w:sz w:val="24"/>
        </w:rPr>
        <w:t>the</w:t>
      </w:r>
      <w:r w:rsidRPr="00150EDC">
        <w:rPr>
          <w:spacing w:val="-3"/>
          <w:sz w:val="24"/>
        </w:rPr>
        <w:t xml:space="preserve"> </w:t>
      </w:r>
      <w:r w:rsidRPr="00150EDC">
        <w:rPr>
          <w:sz w:val="24"/>
        </w:rPr>
        <w:t>adverse</w:t>
      </w:r>
      <w:r w:rsidRPr="00150EDC">
        <w:rPr>
          <w:spacing w:val="-3"/>
          <w:sz w:val="24"/>
        </w:rPr>
        <w:t xml:space="preserve"> </w:t>
      </w:r>
      <w:r w:rsidRPr="00150EDC">
        <w:rPr>
          <w:sz w:val="24"/>
        </w:rPr>
        <w:t>impact</w:t>
      </w:r>
      <w:r w:rsidRPr="00150EDC">
        <w:rPr>
          <w:spacing w:val="-4"/>
          <w:sz w:val="24"/>
        </w:rPr>
        <w:t xml:space="preserve"> </w:t>
      </w:r>
      <w:r w:rsidRPr="00150EDC">
        <w:rPr>
          <w:sz w:val="24"/>
        </w:rPr>
        <w:t>of</w:t>
      </w:r>
      <w:r w:rsidRPr="00150EDC">
        <w:rPr>
          <w:spacing w:val="-4"/>
          <w:sz w:val="24"/>
        </w:rPr>
        <w:t xml:space="preserve"> </w:t>
      </w:r>
      <w:r w:rsidRPr="00150EDC">
        <w:rPr>
          <w:sz w:val="24"/>
        </w:rPr>
        <w:t>any</w:t>
      </w:r>
      <w:r w:rsidRPr="00150EDC">
        <w:rPr>
          <w:spacing w:val="-2"/>
          <w:sz w:val="24"/>
        </w:rPr>
        <w:t xml:space="preserve"> </w:t>
      </w:r>
      <w:r w:rsidRPr="00150EDC">
        <w:rPr>
          <w:sz w:val="24"/>
        </w:rPr>
        <w:t>Disaster</w:t>
      </w:r>
      <w:r w:rsidRPr="00150EDC">
        <w:rPr>
          <w:spacing w:val="-3"/>
          <w:sz w:val="24"/>
        </w:rPr>
        <w:t xml:space="preserve"> </w:t>
      </w:r>
      <w:r w:rsidRPr="00150EDC">
        <w:rPr>
          <w:sz w:val="24"/>
        </w:rPr>
        <w:t>is</w:t>
      </w:r>
      <w:r w:rsidRPr="00150EDC">
        <w:rPr>
          <w:spacing w:val="-4"/>
          <w:sz w:val="24"/>
        </w:rPr>
        <w:t xml:space="preserve"> </w:t>
      </w:r>
      <w:r w:rsidRPr="00150EDC">
        <w:rPr>
          <w:sz w:val="24"/>
        </w:rPr>
        <w:t>minimised</w:t>
      </w:r>
      <w:r w:rsidRPr="00150EDC">
        <w:rPr>
          <w:spacing w:val="-1"/>
          <w:sz w:val="24"/>
        </w:rPr>
        <w:t xml:space="preserve"> </w:t>
      </w:r>
      <w:r w:rsidRPr="00150EDC">
        <w:rPr>
          <w:sz w:val="24"/>
        </w:rPr>
        <w:t>as</w:t>
      </w:r>
      <w:r w:rsidRPr="00150EDC">
        <w:rPr>
          <w:spacing w:val="-4"/>
          <w:sz w:val="24"/>
        </w:rPr>
        <w:t xml:space="preserve"> </w:t>
      </w:r>
      <w:r w:rsidRPr="00150EDC">
        <w:rPr>
          <w:sz w:val="24"/>
        </w:rPr>
        <w:t>far</w:t>
      </w:r>
      <w:r w:rsidRPr="00150EDC">
        <w:rPr>
          <w:spacing w:val="-3"/>
          <w:sz w:val="24"/>
        </w:rPr>
        <w:t xml:space="preserve"> </w:t>
      </w:r>
      <w:r w:rsidRPr="00150EDC">
        <w:rPr>
          <w:sz w:val="24"/>
        </w:rPr>
        <w:t>as</w:t>
      </w:r>
      <w:r w:rsidRPr="00150EDC">
        <w:rPr>
          <w:spacing w:val="-4"/>
          <w:sz w:val="24"/>
        </w:rPr>
        <w:t xml:space="preserve"> </w:t>
      </w:r>
      <w:r w:rsidRPr="00150EDC">
        <w:rPr>
          <w:sz w:val="24"/>
        </w:rPr>
        <w:t xml:space="preserve">reasonably </w:t>
      </w:r>
      <w:r w:rsidRPr="00150EDC">
        <w:rPr>
          <w:spacing w:val="-2"/>
          <w:sz w:val="24"/>
        </w:rPr>
        <w:t>possible;</w:t>
      </w:r>
    </w:p>
    <w:p w14:paraId="55AAF707" w14:textId="77777777" w:rsidR="004C7180" w:rsidRPr="00150EDC" w:rsidRDefault="00CF0754" w:rsidP="00B320C7">
      <w:pPr>
        <w:pStyle w:val="ListParagraph"/>
        <w:numPr>
          <w:ilvl w:val="2"/>
          <w:numId w:val="49"/>
        </w:numPr>
        <w:tabs>
          <w:tab w:val="left" w:pos="2838"/>
          <w:tab w:val="left" w:pos="2840"/>
        </w:tabs>
        <w:spacing w:before="120"/>
        <w:ind w:right="1911" w:hanging="720"/>
        <w:rPr>
          <w:sz w:val="24"/>
        </w:rPr>
      </w:pPr>
      <w:r w:rsidRPr="00150EDC">
        <w:rPr>
          <w:sz w:val="24"/>
        </w:rPr>
        <w:t>it complies with the relevant provisions of ISO/IEC 27002; ISO22301/ISO22313</w:t>
      </w:r>
      <w:r w:rsidRPr="00150EDC">
        <w:rPr>
          <w:spacing w:val="80"/>
          <w:sz w:val="24"/>
        </w:rPr>
        <w:t xml:space="preserve"> </w:t>
      </w:r>
      <w:r w:rsidRPr="00150EDC">
        <w:rPr>
          <w:sz w:val="24"/>
        </w:rPr>
        <w:t>and</w:t>
      </w:r>
      <w:r w:rsidRPr="00150EDC">
        <w:rPr>
          <w:spacing w:val="-4"/>
          <w:sz w:val="24"/>
        </w:rPr>
        <w:t xml:space="preserve"> </w:t>
      </w:r>
      <w:r w:rsidRPr="00150EDC">
        <w:rPr>
          <w:sz w:val="24"/>
        </w:rPr>
        <w:t>all</w:t>
      </w:r>
      <w:r w:rsidRPr="00150EDC">
        <w:rPr>
          <w:spacing w:val="-3"/>
          <w:sz w:val="24"/>
        </w:rPr>
        <w:t xml:space="preserve"> </w:t>
      </w:r>
      <w:r w:rsidRPr="00150EDC">
        <w:rPr>
          <w:sz w:val="24"/>
        </w:rPr>
        <w:t>other</w:t>
      </w:r>
      <w:r w:rsidRPr="00150EDC">
        <w:rPr>
          <w:spacing w:val="-4"/>
          <w:sz w:val="24"/>
        </w:rPr>
        <w:t xml:space="preserve"> </w:t>
      </w:r>
      <w:r w:rsidRPr="00150EDC">
        <w:rPr>
          <w:sz w:val="24"/>
        </w:rPr>
        <w:t>industry</w:t>
      </w:r>
      <w:r w:rsidRPr="00150EDC">
        <w:rPr>
          <w:spacing w:val="-3"/>
          <w:sz w:val="24"/>
        </w:rPr>
        <w:t xml:space="preserve"> </w:t>
      </w:r>
      <w:r w:rsidRPr="00150EDC">
        <w:rPr>
          <w:sz w:val="24"/>
        </w:rPr>
        <w:t>standards</w:t>
      </w:r>
      <w:r w:rsidRPr="00150EDC">
        <w:rPr>
          <w:spacing w:val="-3"/>
          <w:sz w:val="24"/>
        </w:rPr>
        <w:t xml:space="preserve"> </w:t>
      </w:r>
      <w:r w:rsidRPr="00150EDC">
        <w:rPr>
          <w:sz w:val="24"/>
        </w:rPr>
        <w:t>from</w:t>
      </w:r>
      <w:r w:rsidRPr="00150EDC">
        <w:rPr>
          <w:spacing w:val="-1"/>
          <w:sz w:val="24"/>
        </w:rPr>
        <w:t xml:space="preserve"> </w:t>
      </w:r>
      <w:r w:rsidRPr="00150EDC">
        <w:rPr>
          <w:sz w:val="24"/>
        </w:rPr>
        <w:t>time</w:t>
      </w:r>
      <w:r w:rsidRPr="00150EDC">
        <w:rPr>
          <w:spacing w:val="-4"/>
          <w:sz w:val="24"/>
        </w:rPr>
        <w:t xml:space="preserve"> </w:t>
      </w:r>
      <w:r w:rsidRPr="00150EDC">
        <w:rPr>
          <w:sz w:val="24"/>
        </w:rPr>
        <w:t>to time in force; and</w:t>
      </w:r>
    </w:p>
    <w:p w14:paraId="1AD3AA60" w14:textId="77777777" w:rsidR="004C7180" w:rsidRPr="00150EDC" w:rsidRDefault="00CF0754" w:rsidP="00B320C7">
      <w:pPr>
        <w:pStyle w:val="ListParagraph"/>
        <w:numPr>
          <w:ilvl w:val="2"/>
          <w:numId w:val="49"/>
        </w:numPr>
        <w:tabs>
          <w:tab w:val="left" w:pos="2838"/>
        </w:tabs>
        <w:spacing w:before="120"/>
        <w:ind w:left="2838" w:hanging="718"/>
        <w:rPr>
          <w:sz w:val="24"/>
        </w:rPr>
      </w:pPr>
      <w:r w:rsidRPr="00150EDC">
        <w:rPr>
          <w:sz w:val="24"/>
        </w:rPr>
        <w:t>it</w:t>
      </w:r>
      <w:r w:rsidRPr="00150EDC">
        <w:rPr>
          <w:spacing w:val="-1"/>
          <w:sz w:val="24"/>
        </w:rPr>
        <w:t xml:space="preserve"> </w:t>
      </w:r>
      <w:r w:rsidRPr="00150EDC">
        <w:rPr>
          <w:sz w:val="24"/>
        </w:rPr>
        <w:t>details</w:t>
      </w:r>
      <w:r w:rsidRPr="00150EDC">
        <w:rPr>
          <w:spacing w:val="-2"/>
          <w:sz w:val="24"/>
        </w:rPr>
        <w:t xml:space="preserve"> </w:t>
      </w:r>
      <w:r w:rsidRPr="00150EDC">
        <w:rPr>
          <w:sz w:val="24"/>
        </w:rPr>
        <w:t>a</w:t>
      </w:r>
      <w:r w:rsidRPr="00150EDC">
        <w:rPr>
          <w:spacing w:val="-1"/>
          <w:sz w:val="24"/>
        </w:rPr>
        <w:t xml:space="preserve"> </w:t>
      </w:r>
      <w:r w:rsidRPr="00150EDC">
        <w:rPr>
          <w:sz w:val="24"/>
        </w:rPr>
        <w:t>process</w:t>
      </w:r>
      <w:r w:rsidRPr="00150EDC">
        <w:rPr>
          <w:spacing w:val="-2"/>
          <w:sz w:val="24"/>
        </w:rPr>
        <w:t xml:space="preserve"> </w:t>
      </w:r>
      <w:r w:rsidRPr="00150EDC">
        <w:rPr>
          <w:sz w:val="24"/>
        </w:rPr>
        <w:t>for</w:t>
      </w:r>
      <w:r w:rsidRPr="00150EDC">
        <w:rPr>
          <w:spacing w:val="-3"/>
          <w:sz w:val="24"/>
        </w:rPr>
        <w:t xml:space="preserve"> </w:t>
      </w:r>
      <w:r w:rsidRPr="00150EDC">
        <w:rPr>
          <w:sz w:val="24"/>
        </w:rPr>
        <w:t>the</w:t>
      </w:r>
      <w:r w:rsidRPr="00150EDC">
        <w:rPr>
          <w:spacing w:val="-3"/>
          <w:sz w:val="24"/>
        </w:rPr>
        <w:t xml:space="preserve"> </w:t>
      </w:r>
      <w:r w:rsidRPr="00150EDC">
        <w:rPr>
          <w:sz w:val="24"/>
        </w:rPr>
        <w:t>management</w:t>
      </w:r>
      <w:r w:rsidRPr="00150EDC">
        <w:rPr>
          <w:spacing w:val="-4"/>
          <w:sz w:val="24"/>
        </w:rPr>
        <w:t xml:space="preserve"> </w:t>
      </w:r>
      <w:r w:rsidRPr="00150EDC">
        <w:rPr>
          <w:sz w:val="24"/>
        </w:rPr>
        <w:t>of</w:t>
      </w:r>
      <w:r w:rsidRPr="00150EDC">
        <w:rPr>
          <w:spacing w:val="-4"/>
          <w:sz w:val="24"/>
        </w:rPr>
        <w:t xml:space="preserve"> </w:t>
      </w:r>
      <w:r w:rsidRPr="00150EDC">
        <w:rPr>
          <w:sz w:val="24"/>
        </w:rPr>
        <w:t>disaster</w:t>
      </w:r>
      <w:r w:rsidRPr="00150EDC">
        <w:rPr>
          <w:spacing w:val="-3"/>
          <w:sz w:val="24"/>
        </w:rPr>
        <w:t xml:space="preserve"> </w:t>
      </w:r>
      <w:r w:rsidRPr="00150EDC">
        <w:rPr>
          <w:sz w:val="24"/>
        </w:rPr>
        <w:t>recovery</w:t>
      </w:r>
      <w:r w:rsidRPr="00150EDC">
        <w:rPr>
          <w:spacing w:val="-1"/>
          <w:sz w:val="24"/>
        </w:rPr>
        <w:t xml:space="preserve"> </w:t>
      </w:r>
      <w:r w:rsidRPr="00150EDC">
        <w:rPr>
          <w:spacing w:val="-2"/>
          <w:sz w:val="24"/>
        </w:rPr>
        <w:t>testing.</w:t>
      </w:r>
    </w:p>
    <w:p w14:paraId="453BEEC1" w14:textId="77777777" w:rsidR="004C7180" w:rsidRPr="00150EDC" w:rsidRDefault="00CF0754" w:rsidP="00B320C7">
      <w:pPr>
        <w:pStyle w:val="ListParagraph"/>
        <w:numPr>
          <w:ilvl w:val="1"/>
          <w:numId w:val="49"/>
        </w:numPr>
        <w:tabs>
          <w:tab w:val="left" w:pos="2120"/>
        </w:tabs>
        <w:spacing w:before="120"/>
        <w:ind w:left="2120" w:right="1681" w:hanging="720"/>
        <w:jc w:val="left"/>
        <w:rPr>
          <w:sz w:val="24"/>
        </w:rPr>
      </w:pPr>
      <w:r w:rsidRPr="00150EDC">
        <w:rPr>
          <w:sz w:val="24"/>
        </w:rPr>
        <w:t>The</w:t>
      </w:r>
      <w:r w:rsidRPr="00150EDC">
        <w:rPr>
          <w:spacing w:val="-3"/>
          <w:sz w:val="24"/>
        </w:rPr>
        <w:t xml:space="preserve"> </w:t>
      </w:r>
      <w:r w:rsidRPr="00150EDC">
        <w:rPr>
          <w:sz w:val="24"/>
        </w:rPr>
        <w:t>BCDR</w:t>
      </w:r>
      <w:r w:rsidRPr="00150EDC">
        <w:rPr>
          <w:spacing w:val="-4"/>
          <w:sz w:val="24"/>
        </w:rPr>
        <w:t xml:space="preserve"> </w:t>
      </w:r>
      <w:r w:rsidRPr="00150EDC">
        <w:rPr>
          <w:sz w:val="24"/>
        </w:rPr>
        <w:t>Plan</w:t>
      </w:r>
      <w:r w:rsidRPr="00150EDC">
        <w:rPr>
          <w:spacing w:val="-3"/>
          <w:sz w:val="24"/>
        </w:rPr>
        <w:t xml:space="preserve"> </w:t>
      </w:r>
      <w:r w:rsidRPr="00150EDC">
        <w:rPr>
          <w:sz w:val="24"/>
        </w:rPr>
        <w:t>shall</w:t>
      </w:r>
      <w:r w:rsidRPr="00150EDC">
        <w:rPr>
          <w:spacing w:val="-4"/>
          <w:sz w:val="24"/>
        </w:rPr>
        <w:t xml:space="preserve"> </w:t>
      </w:r>
      <w:r w:rsidRPr="00150EDC">
        <w:rPr>
          <w:sz w:val="24"/>
        </w:rPr>
        <w:t>be</w:t>
      </w:r>
      <w:r w:rsidRPr="00150EDC">
        <w:rPr>
          <w:spacing w:val="-3"/>
          <w:sz w:val="24"/>
        </w:rPr>
        <w:t xml:space="preserve"> </w:t>
      </w:r>
      <w:r w:rsidRPr="00150EDC">
        <w:rPr>
          <w:sz w:val="24"/>
        </w:rPr>
        <w:t>upgradeable</w:t>
      </w:r>
      <w:r w:rsidRPr="00150EDC">
        <w:rPr>
          <w:spacing w:val="-3"/>
          <w:sz w:val="24"/>
        </w:rPr>
        <w:t xml:space="preserve"> </w:t>
      </w:r>
      <w:r w:rsidRPr="00150EDC">
        <w:rPr>
          <w:sz w:val="24"/>
        </w:rPr>
        <w:t>and</w:t>
      </w:r>
      <w:r w:rsidRPr="00150EDC">
        <w:rPr>
          <w:spacing w:val="-3"/>
          <w:sz w:val="24"/>
        </w:rPr>
        <w:t xml:space="preserve"> </w:t>
      </w:r>
      <w:r w:rsidRPr="00150EDC">
        <w:rPr>
          <w:sz w:val="24"/>
        </w:rPr>
        <w:t>sufficiently</w:t>
      </w:r>
      <w:r w:rsidRPr="00150EDC">
        <w:rPr>
          <w:spacing w:val="-4"/>
          <w:sz w:val="24"/>
        </w:rPr>
        <w:t xml:space="preserve"> </w:t>
      </w:r>
      <w:r w:rsidRPr="00150EDC">
        <w:rPr>
          <w:sz w:val="24"/>
        </w:rPr>
        <w:t>flexible</w:t>
      </w:r>
      <w:r w:rsidRPr="00150EDC">
        <w:rPr>
          <w:spacing w:val="-3"/>
          <w:sz w:val="24"/>
        </w:rPr>
        <w:t xml:space="preserve"> </w:t>
      </w:r>
      <w:r w:rsidRPr="00150EDC">
        <w:rPr>
          <w:sz w:val="24"/>
        </w:rPr>
        <w:t>to</w:t>
      </w:r>
      <w:r w:rsidRPr="00150EDC">
        <w:rPr>
          <w:spacing w:val="-5"/>
          <w:sz w:val="24"/>
        </w:rPr>
        <w:t xml:space="preserve"> </w:t>
      </w:r>
      <w:r w:rsidRPr="00150EDC">
        <w:rPr>
          <w:sz w:val="24"/>
        </w:rPr>
        <w:t>support</w:t>
      </w:r>
      <w:r w:rsidRPr="00150EDC">
        <w:rPr>
          <w:spacing w:val="-3"/>
          <w:sz w:val="24"/>
        </w:rPr>
        <w:t xml:space="preserve"> </w:t>
      </w:r>
      <w:r w:rsidRPr="00150EDC">
        <w:rPr>
          <w:sz w:val="24"/>
        </w:rPr>
        <w:t>any changes to the Deliverables and the business operations supported by the provision of Deliverables.</w:t>
      </w:r>
    </w:p>
    <w:p w14:paraId="27433FB3" w14:textId="77777777" w:rsidR="004C7180" w:rsidRPr="00150EDC" w:rsidRDefault="00CF0754" w:rsidP="00B320C7">
      <w:pPr>
        <w:pStyle w:val="ListParagraph"/>
        <w:numPr>
          <w:ilvl w:val="1"/>
          <w:numId w:val="49"/>
        </w:numPr>
        <w:tabs>
          <w:tab w:val="left" w:pos="2120"/>
        </w:tabs>
        <w:spacing w:before="120"/>
        <w:ind w:left="2120" w:right="1522" w:hanging="720"/>
        <w:jc w:val="left"/>
        <w:rPr>
          <w:sz w:val="24"/>
        </w:rPr>
      </w:pPr>
      <w:r w:rsidRPr="00150EDC">
        <w:rPr>
          <w:sz w:val="24"/>
        </w:rPr>
        <w:t>The Supplier shall not be entitled to any relief from its obligations under the Performance Indicators (PI’s) or Service Levels, or to any increase in the Charges</w:t>
      </w:r>
      <w:r w:rsidRPr="00150EDC">
        <w:rPr>
          <w:spacing w:val="-3"/>
          <w:sz w:val="24"/>
        </w:rPr>
        <w:t xml:space="preserve"> </w:t>
      </w:r>
      <w:r w:rsidRPr="00150EDC">
        <w:rPr>
          <w:sz w:val="24"/>
        </w:rPr>
        <w:t>to</w:t>
      </w:r>
      <w:r w:rsidRPr="00150EDC">
        <w:rPr>
          <w:spacing w:val="-2"/>
          <w:sz w:val="24"/>
        </w:rPr>
        <w:t xml:space="preserve"> </w:t>
      </w:r>
      <w:r w:rsidRPr="00150EDC">
        <w:rPr>
          <w:sz w:val="24"/>
        </w:rPr>
        <w:t>the</w:t>
      </w:r>
      <w:r w:rsidRPr="00150EDC">
        <w:rPr>
          <w:spacing w:val="-4"/>
          <w:sz w:val="24"/>
        </w:rPr>
        <w:t xml:space="preserve"> </w:t>
      </w:r>
      <w:r w:rsidRPr="00150EDC">
        <w:rPr>
          <w:sz w:val="24"/>
        </w:rPr>
        <w:t>extent</w:t>
      </w:r>
      <w:r w:rsidRPr="00150EDC">
        <w:rPr>
          <w:spacing w:val="-2"/>
          <w:sz w:val="24"/>
        </w:rPr>
        <w:t xml:space="preserve"> </w:t>
      </w:r>
      <w:r w:rsidRPr="00150EDC">
        <w:rPr>
          <w:sz w:val="24"/>
        </w:rPr>
        <w:t>that</w:t>
      </w:r>
      <w:r w:rsidRPr="00150EDC">
        <w:rPr>
          <w:spacing w:val="-5"/>
          <w:sz w:val="24"/>
        </w:rPr>
        <w:t xml:space="preserve"> </w:t>
      </w:r>
      <w:r w:rsidRPr="00150EDC">
        <w:rPr>
          <w:sz w:val="24"/>
        </w:rPr>
        <w:t>a</w:t>
      </w:r>
      <w:r w:rsidRPr="00150EDC">
        <w:rPr>
          <w:spacing w:val="-2"/>
          <w:sz w:val="24"/>
        </w:rPr>
        <w:t xml:space="preserve"> </w:t>
      </w:r>
      <w:r w:rsidRPr="00150EDC">
        <w:rPr>
          <w:sz w:val="24"/>
        </w:rPr>
        <w:t>Disaster</w:t>
      </w:r>
      <w:r w:rsidRPr="00150EDC">
        <w:rPr>
          <w:spacing w:val="-6"/>
          <w:sz w:val="24"/>
        </w:rPr>
        <w:t xml:space="preserve"> </w:t>
      </w:r>
      <w:r w:rsidRPr="00150EDC">
        <w:rPr>
          <w:sz w:val="24"/>
        </w:rPr>
        <w:t>occurs</w:t>
      </w:r>
      <w:r w:rsidRPr="00150EDC">
        <w:rPr>
          <w:spacing w:val="-3"/>
          <w:sz w:val="24"/>
        </w:rPr>
        <w:t xml:space="preserve"> </w:t>
      </w:r>
      <w:r w:rsidRPr="00150EDC">
        <w:rPr>
          <w:sz w:val="24"/>
        </w:rPr>
        <w:t>as</w:t>
      </w:r>
      <w:r w:rsidRPr="00150EDC">
        <w:rPr>
          <w:spacing w:val="-3"/>
          <w:sz w:val="24"/>
        </w:rPr>
        <w:t xml:space="preserve"> </w:t>
      </w:r>
      <w:r w:rsidRPr="00150EDC">
        <w:rPr>
          <w:sz w:val="24"/>
        </w:rPr>
        <w:t>a</w:t>
      </w:r>
      <w:r w:rsidRPr="00150EDC">
        <w:rPr>
          <w:spacing w:val="-2"/>
          <w:sz w:val="24"/>
        </w:rPr>
        <w:t xml:space="preserve"> </w:t>
      </w:r>
      <w:r w:rsidRPr="00150EDC">
        <w:rPr>
          <w:sz w:val="24"/>
        </w:rPr>
        <w:t>consequence</w:t>
      </w:r>
      <w:r w:rsidRPr="00150EDC">
        <w:rPr>
          <w:spacing w:val="-2"/>
          <w:sz w:val="24"/>
        </w:rPr>
        <w:t xml:space="preserve"> </w:t>
      </w:r>
      <w:r w:rsidRPr="00150EDC">
        <w:rPr>
          <w:sz w:val="24"/>
        </w:rPr>
        <w:t>of</w:t>
      </w:r>
      <w:r w:rsidRPr="00150EDC">
        <w:rPr>
          <w:spacing w:val="-2"/>
          <w:sz w:val="24"/>
        </w:rPr>
        <w:t xml:space="preserve"> </w:t>
      </w:r>
      <w:r w:rsidRPr="00150EDC">
        <w:rPr>
          <w:sz w:val="24"/>
        </w:rPr>
        <w:t>any</w:t>
      </w:r>
      <w:r w:rsidRPr="00150EDC">
        <w:rPr>
          <w:spacing w:val="-3"/>
          <w:sz w:val="24"/>
        </w:rPr>
        <w:t xml:space="preserve"> </w:t>
      </w:r>
      <w:r w:rsidRPr="00150EDC">
        <w:rPr>
          <w:sz w:val="24"/>
        </w:rPr>
        <w:t>breach by the Supplier of this Contract.</w:t>
      </w:r>
    </w:p>
    <w:p w14:paraId="59EF8AD8" w14:textId="77777777" w:rsidR="004C7180" w:rsidRPr="00150EDC" w:rsidRDefault="004C7180">
      <w:pPr>
        <w:pStyle w:val="BodyText"/>
        <w:spacing w:before="7"/>
        <w:rPr>
          <w:sz w:val="20"/>
        </w:rPr>
      </w:pPr>
    </w:p>
    <w:p w14:paraId="55AE71FC" w14:textId="77777777" w:rsidR="004C7180" w:rsidRPr="00150EDC" w:rsidRDefault="00CF0754" w:rsidP="00B320C7">
      <w:pPr>
        <w:pStyle w:val="Heading4"/>
        <w:numPr>
          <w:ilvl w:val="0"/>
          <w:numId w:val="49"/>
        </w:numPr>
        <w:tabs>
          <w:tab w:val="left" w:pos="2119"/>
        </w:tabs>
        <w:spacing w:before="1"/>
        <w:ind w:left="2119"/>
        <w:jc w:val="left"/>
      </w:pPr>
      <w:r w:rsidRPr="00150EDC">
        <w:t>Business</w:t>
      </w:r>
      <w:r w:rsidRPr="00150EDC">
        <w:rPr>
          <w:spacing w:val="-8"/>
        </w:rPr>
        <w:t xml:space="preserve"> </w:t>
      </w:r>
      <w:r w:rsidRPr="00150EDC">
        <w:t>Continuity</w:t>
      </w:r>
      <w:r w:rsidRPr="00150EDC">
        <w:rPr>
          <w:spacing w:val="-3"/>
        </w:rPr>
        <w:t xml:space="preserve"> </w:t>
      </w:r>
      <w:r w:rsidRPr="00150EDC">
        <w:t>(Section</w:t>
      </w:r>
      <w:r w:rsidRPr="00150EDC">
        <w:rPr>
          <w:spacing w:val="-4"/>
        </w:rPr>
        <w:t xml:space="preserve"> </w:t>
      </w:r>
      <w:r w:rsidRPr="00150EDC">
        <w:rPr>
          <w:spacing w:val="-5"/>
        </w:rPr>
        <w:t>2)</w:t>
      </w:r>
    </w:p>
    <w:p w14:paraId="2057B182" w14:textId="77777777" w:rsidR="004C7180" w:rsidRPr="00150EDC" w:rsidRDefault="004C7180">
      <w:pPr>
        <w:pStyle w:val="BodyText"/>
        <w:spacing w:before="9"/>
        <w:rPr>
          <w:b/>
          <w:sz w:val="20"/>
        </w:rPr>
      </w:pPr>
    </w:p>
    <w:p w14:paraId="5F417D59" w14:textId="77777777" w:rsidR="004C7180" w:rsidRPr="00150EDC" w:rsidRDefault="00CF0754" w:rsidP="00B320C7">
      <w:pPr>
        <w:pStyle w:val="ListParagraph"/>
        <w:numPr>
          <w:ilvl w:val="1"/>
          <w:numId w:val="49"/>
        </w:numPr>
        <w:tabs>
          <w:tab w:val="left" w:pos="2120"/>
        </w:tabs>
        <w:spacing w:before="1"/>
        <w:ind w:left="2120" w:right="1708" w:hanging="720"/>
        <w:jc w:val="left"/>
        <w:rPr>
          <w:sz w:val="24"/>
        </w:rPr>
      </w:pPr>
      <w:r w:rsidRPr="00150EDC">
        <w:rPr>
          <w:sz w:val="24"/>
        </w:rPr>
        <w:t>The Business Continuity Plan shall set out the arrangements that are to be invoked</w:t>
      </w:r>
      <w:r w:rsidRPr="00150EDC">
        <w:rPr>
          <w:spacing w:val="-4"/>
          <w:sz w:val="24"/>
        </w:rPr>
        <w:t xml:space="preserve"> </w:t>
      </w:r>
      <w:r w:rsidRPr="00150EDC">
        <w:rPr>
          <w:sz w:val="24"/>
        </w:rPr>
        <w:t>to</w:t>
      </w:r>
      <w:r w:rsidRPr="00150EDC">
        <w:rPr>
          <w:spacing w:val="-4"/>
          <w:sz w:val="24"/>
        </w:rPr>
        <w:t xml:space="preserve"> </w:t>
      </w:r>
      <w:r w:rsidRPr="00150EDC">
        <w:rPr>
          <w:sz w:val="24"/>
        </w:rPr>
        <w:t>ensure</w:t>
      </w:r>
      <w:r w:rsidRPr="00150EDC">
        <w:rPr>
          <w:spacing w:val="-2"/>
          <w:sz w:val="24"/>
        </w:rPr>
        <w:t xml:space="preserve"> </w:t>
      </w:r>
      <w:r w:rsidRPr="00150EDC">
        <w:rPr>
          <w:sz w:val="24"/>
        </w:rPr>
        <w:t>that</w:t>
      </w:r>
      <w:r w:rsidRPr="00150EDC">
        <w:rPr>
          <w:spacing w:val="-4"/>
          <w:sz w:val="24"/>
        </w:rPr>
        <w:t xml:space="preserve"> </w:t>
      </w:r>
      <w:r w:rsidRPr="00150EDC">
        <w:rPr>
          <w:sz w:val="24"/>
        </w:rPr>
        <w:t>the</w:t>
      </w:r>
      <w:r w:rsidRPr="00150EDC">
        <w:rPr>
          <w:spacing w:val="-4"/>
          <w:sz w:val="24"/>
        </w:rPr>
        <w:t xml:space="preserve"> </w:t>
      </w:r>
      <w:r w:rsidRPr="00150EDC">
        <w:rPr>
          <w:sz w:val="24"/>
        </w:rPr>
        <w:t>business</w:t>
      </w:r>
      <w:r w:rsidRPr="00150EDC">
        <w:rPr>
          <w:spacing w:val="-4"/>
          <w:sz w:val="24"/>
        </w:rPr>
        <w:t xml:space="preserve"> </w:t>
      </w:r>
      <w:r w:rsidRPr="00150EDC">
        <w:rPr>
          <w:sz w:val="24"/>
        </w:rPr>
        <w:t>processes</w:t>
      </w:r>
      <w:r w:rsidRPr="00150EDC">
        <w:rPr>
          <w:spacing w:val="-3"/>
          <w:sz w:val="24"/>
        </w:rPr>
        <w:t xml:space="preserve"> </w:t>
      </w:r>
      <w:r w:rsidRPr="00150EDC">
        <w:rPr>
          <w:sz w:val="24"/>
        </w:rPr>
        <w:t>facilitated</w:t>
      </w:r>
      <w:r w:rsidRPr="00150EDC">
        <w:rPr>
          <w:spacing w:val="-2"/>
          <w:sz w:val="24"/>
        </w:rPr>
        <w:t xml:space="preserve"> </w:t>
      </w:r>
      <w:r w:rsidRPr="00150EDC">
        <w:rPr>
          <w:sz w:val="24"/>
        </w:rPr>
        <w:t>by</w:t>
      </w:r>
      <w:r w:rsidRPr="00150EDC">
        <w:rPr>
          <w:spacing w:val="-4"/>
          <w:sz w:val="24"/>
        </w:rPr>
        <w:t xml:space="preserve"> </w:t>
      </w:r>
      <w:r w:rsidRPr="00150EDC">
        <w:rPr>
          <w:sz w:val="24"/>
        </w:rPr>
        <w:t>the</w:t>
      </w:r>
      <w:r w:rsidRPr="00150EDC">
        <w:rPr>
          <w:spacing w:val="-4"/>
          <w:sz w:val="24"/>
        </w:rPr>
        <w:t xml:space="preserve"> </w:t>
      </w:r>
      <w:r w:rsidRPr="00150EDC">
        <w:rPr>
          <w:sz w:val="24"/>
        </w:rPr>
        <w:t>provision</w:t>
      </w:r>
      <w:r w:rsidRPr="00150EDC">
        <w:rPr>
          <w:spacing w:val="-2"/>
          <w:sz w:val="24"/>
        </w:rPr>
        <w:t xml:space="preserve"> </w:t>
      </w:r>
      <w:r w:rsidRPr="00150EDC">
        <w:rPr>
          <w:sz w:val="24"/>
        </w:rPr>
        <w:t>of Deliverables remain supported and to ensure continuity of the business operations supported by the Services including:</w:t>
      </w:r>
    </w:p>
    <w:p w14:paraId="6E72B737" w14:textId="77777777" w:rsidR="004C7180" w:rsidRPr="00150EDC" w:rsidRDefault="00CF0754" w:rsidP="00B320C7">
      <w:pPr>
        <w:pStyle w:val="ListParagraph"/>
        <w:numPr>
          <w:ilvl w:val="2"/>
          <w:numId w:val="49"/>
        </w:numPr>
        <w:tabs>
          <w:tab w:val="left" w:pos="2838"/>
          <w:tab w:val="left" w:pos="2840"/>
        </w:tabs>
        <w:spacing w:before="120"/>
        <w:ind w:right="2019" w:hanging="720"/>
        <w:jc w:val="both"/>
        <w:rPr>
          <w:sz w:val="24"/>
        </w:rPr>
      </w:pPr>
      <w:r w:rsidRPr="00150EDC">
        <w:rPr>
          <w:sz w:val="24"/>
        </w:rPr>
        <w:t>the</w:t>
      </w:r>
      <w:r w:rsidRPr="00150EDC">
        <w:rPr>
          <w:spacing w:val="-5"/>
          <w:sz w:val="24"/>
        </w:rPr>
        <w:t xml:space="preserve"> </w:t>
      </w:r>
      <w:r w:rsidRPr="00150EDC">
        <w:rPr>
          <w:sz w:val="24"/>
        </w:rPr>
        <w:t>alternative</w:t>
      </w:r>
      <w:r w:rsidRPr="00150EDC">
        <w:rPr>
          <w:spacing w:val="-3"/>
          <w:sz w:val="24"/>
        </w:rPr>
        <w:t xml:space="preserve"> </w:t>
      </w:r>
      <w:r w:rsidRPr="00150EDC">
        <w:rPr>
          <w:sz w:val="24"/>
        </w:rPr>
        <w:t>processes,</w:t>
      </w:r>
      <w:r w:rsidRPr="00150EDC">
        <w:rPr>
          <w:spacing w:val="-3"/>
          <w:sz w:val="24"/>
        </w:rPr>
        <w:t xml:space="preserve"> </w:t>
      </w:r>
      <w:r w:rsidRPr="00150EDC">
        <w:rPr>
          <w:sz w:val="24"/>
        </w:rPr>
        <w:t>options</w:t>
      </w:r>
      <w:r w:rsidRPr="00150EDC">
        <w:rPr>
          <w:spacing w:val="-6"/>
          <w:sz w:val="24"/>
        </w:rPr>
        <w:t xml:space="preserve"> </w:t>
      </w:r>
      <w:r w:rsidRPr="00150EDC">
        <w:rPr>
          <w:sz w:val="24"/>
        </w:rPr>
        <w:t>and</w:t>
      </w:r>
      <w:r w:rsidRPr="00150EDC">
        <w:rPr>
          <w:spacing w:val="-3"/>
          <w:sz w:val="24"/>
        </w:rPr>
        <w:t xml:space="preserve"> </w:t>
      </w:r>
      <w:r w:rsidRPr="00150EDC">
        <w:rPr>
          <w:sz w:val="24"/>
        </w:rPr>
        <w:t>responsibilities</w:t>
      </w:r>
      <w:r w:rsidRPr="00150EDC">
        <w:rPr>
          <w:spacing w:val="-4"/>
          <w:sz w:val="24"/>
        </w:rPr>
        <w:t xml:space="preserve"> </w:t>
      </w:r>
      <w:r w:rsidRPr="00150EDC">
        <w:rPr>
          <w:sz w:val="24"/>
        </w:rPr>
        <w:t>that</w:t>
      </w:r>
      <w:r w:rsidRPr="00150EDC">
        <w:rPr>
          <w:spacing w:val="-6"/>
          <w:sz w:val="24"/>
        </w:rPr>
        <w:t xml:space="preserve"> </w:t>
      </w:r>
      <w:r w:rsidRPr="00150EDC">
        <w:rPr>
          <w:sz w:val="24"/>
        </w:rPr>
        <w:t>may</w:t>
      </w:r>
      <w:r w:rsidRPr="00150EDC">
        <w:rPr>
          <w:spacing w:val="-4"/>
          <w:sz w:val="24"/>
        </w:rPr>
        <w:t xml:space="preserve"> </w:t>
      </w:r>
      <w:r w:rsidRPr="00150EDC">
        <w:rPr>
          <w:sz w:val="24"/>
        </w:rPr>
        <w:t>be adopted</w:t>
      </w:r>
      <w:r w:rsidRPr="00150EDC">
        <w:rPr>
          <w:spacing w:val="-1"/>
          <w:sz w:val="24"/>
        </w:rPr>
        <w:t xml:space="preserve"> </w:t>
      </w:r>
      <w:r w:rsidRPr="00150EDC">
        <w:rPr>
          <w:sz w:val="24"/>
        </w:rPr>
        <w:t>in the</w:t>
      </w:r>
      <w:r w:rsidRPr="00150EDC">
        <w:rPr>
          <w:spacing w:val="-1"/>
          <w:sz w:val="24"/>
        </w:rPr>
        <w:t xml:space="preserve"> </w:t>
      </w:r>
      <w:r w:rsidRPr="00150EDC">
        <w:rPr>
          <w:sz w:val="24"/>
        </w:rPr>
        <w:t>event of</w:t>
      </w:r>
      <w:r w:rsidRPr="00150EDC">
        <w:rPr>
          <w:spacing w:val="-2"/>
          <w:sz w:val="24"/>
        </w:rPr>
        <w:t xml:space="preserve"> </w:t>
      </w:r>
      <w:r w:rsidRPr="00150EDC">
        <w:rPr>
          <w:sz w:val="24"/>
        </w:rPr>
        <w:t>a failure</w:t>
      </w:r>
      <w:r w:rsidRPr="00150EDC">
        <w:rPr>
          <w:spacing w:val="-1"/>
          <w:sz w:val="24"/>
        </w:rPr>
        <w:t xml:space="preserve"> </w:t>
      </w:r>
      <w:r w:rsidRPr="00150EDC">
        <w:rPr>
          <w:sz w:val="24"/>
        </w:rPr>
        <w:t>in or</w:t>
      </w:r>
      <w:r w:rsidRPr="00150EDC">
        <w:rPr>
          <w:spacing w:val="-3"/>
          <w:sz w:val="24"/>
        </w:rPr>
        <w:t xml:space="preserve"> </w:t>
      </w:r>
      <w:r w:rsidRPr="00150EDC">
        <w:rPr>
          <w:sz w:val="24"/>
        </w:rPr>
        <w:t>disruption to</w:t>
      </w:r>
      <w:r w:rsidRPr="00150EDC">
        <w:rPr>
          <w:spacing w:val="-1"/>
          <w:sz w:val="24"/>
        </w:rPr>
        <w:t xml:space="preserve"> </w:t>
      </w:r>
      <w:r w:rsidRPr="00150EDC">
        <w:rPr>
          <w:sz w:val="24"/>
        </w:rPr>
        <w:t>the</w:t>
      </w:r>
      <w:r w:rsidRPr="00150EDC">
        <w:rPr>
          <w:spacing w:val="-1"/>
          <w:sz w:val="24"/>
        </w:rPr>
        <w:t xml:space="preserve"> </w:t>
      </w:r>
      <w:r w:rsidRPr="00150EDC">
        <w:rPr>
          <w:sz w:val="24"/>
        </w:rPr>
        <w:t>provision</w:t>
      </w:r>
      <w:r w:rsidRPr="00150EDC">
        <w:rPr>
          <w:spacing w:val="-1"/>
          <w:sz w:val="24"/>
        </w:rPr>
        <w:t xml:space="preserve"> </w:t>
      </w:r>
      <w:r w:rsidRPr="00150EDC">
        <w:rPr>
          <w:sz w:val="24"/>
        </w:rPr>
        <w:t>of Deliverables; and</w:t>
      </w:r>
    </w:p>
    <w:p w14:paraId="41EBAACC" w14:textId="77777777" w:rsidR="004C7180" w:rsidRPr="00150EDC" w:rsidRDefault="00CF0754" w:rsidP="00B320C7">
      <w:pPr>
        <w:pStyle w:val="ListParagraph"/>
        <w:numPr>
          <w:ilvl w:val="2"/>
          <w:numId w:val="49"/>
        </w:numPr>
        <w:tabs>
          <w:tab w:val="left" w:pos="2838"/>
          <w:tab w:val="left" w:pos="2840"/>
        </w:tabs>
        <w:spacing w:before="120"/>
        <w:ind w:right="1470" w:hanging="720"/>
        <w:jc w:val="both"/>
        <w:rPr>
          <w:sz w:val="24"/>
        </w:rPr>
      </w:pPr>
      <w:r w:rsidRPr="00150EDC">
        <w:rPr>
          <w:sz w:val="24"/>
        </w:rPr>
        <w:t>the steps to be taken by the Supplier upon resumption of the provision of</w:t>
      </w:r>
      <w:r w:rsidRPr="00150EDC">
        <w:rPr>
          <w:spacing w:val="-2"/>
          <w:sz w:val="24"/>
        </w:rPr>
        <w:t xml:space="preserve"> </w:t>
      </w:r>
      <w:r w:rsidRPr="00150EDC">
        <w:rPr>
          <w:sz w:val="24"/>
        </w:rPr>
        <w:t>Deliverables</w:t>
      </w:r>
      <w:r w:rsidRPr="00150EDC">
        <w:rPr>
          <w:spacing w:val="-3"/>
          <w:sz w:val="24"/>
        </w:rPr>
        <w:t xml:space="preserve"> </w:t>
      </w:r>
      <w:r w:rsidRPr="00150EDC">
        <w:rPr>
          <w:sz w:val="24"/>
        </w:rPr>
        <w:t>in</w:t>
      </w:r>
      <w:r w:rsidRPr="00150EDC">
        <w:rPr>
          <w:spacing w:val="-2"/>
          <w:sz w:val="24"/>
        </w:rPr>
        <w:t xml:space="preserve"> </w:t>
      </w:r>
      <w:r w:rsidRPr="00150EDC">
        <w:rPr>
          <w:sz w:val="24"/>
        </w:rPr>
        <w:t>order</w:t>
      </w:r>
      <w:r w:rsidRPr="00150EDC">
        <w:rPr>
          <w:spacing w:val="-4"/>
          <w:sz w:val="24"/>
        </w:rPr>
        <w:t xml:space="preserve"> </w:t>
      </w:r>
      <w:r w:rsidRPr="00150EDC">
        <w:rPr>
          <w:sz w:val="24"/>
        </w:rPr>
        <w:t>to</w:t>
      </w:r>
      <w:r w:rsidRPr="00150EDC">
        <w:rPr>
          <w:spacing w:val="-2"/>
          <w:sz w:val="24"/>
        </w:rPr>
        <w:t xml:space="preserve"> </w:t>
      </w:r>
      <w:r w:rsidRPr="00150EDC">
        <w:rPr>
          <w:sz w:val="24"/>
        </w:rPr>
        <w:t>address</w:t>
      </w:r>
      <w:r w:rsidRPr="00150EDC">
        <w:rPr>
          <w:spacing w:val="-3"/>
          <w:sz w:val="24"/>
        </w:rPr>
        <w:t xml:space="preserve"> </w:t>
      </w:r>
      <w:r w:rsidRPr="00150EDC">
        <w:rPr>
          <w:sz w:val="24"/>
        </w:rPr>
        <w:t>the</w:t>
      </w:r>
      <w:r w:rsidRPr="00150EDC">
        <w:rPr>
          <w:spacing w:val="-4"/>
          <w:sz w:val="24"/>
        </w:rPr>
        <w:t xml:space="preserve"> </w:t>
      </w:r>
      <w:r w:rsidRPr="00150EDC">
        <w:rPr>
          <w:sz w:val="24"/>
        </w:rPr>
        <w:t>effect</w:t>
      </w:r>
      <w:r w:rsidRPr="00150EDC">
        <w:rPr>
          <w:spacing w:val="-5"/>
          <w:sz w:val="24"/>
        </w:rPr>
        <w:t xml:space="preserve"> </w:t>
      </w:r>
      <w:r w:rsidRPr="00150EDC">
        <w:rPr>
          <w:sz w:val="24"/>
        </w:rPr>
        <w:t>of</w:t>
      </w:r>
      <w:r w:rsidRPr="00150EDC">
        <w:rPr>
          <w:spacing w:val="-2"/>
          <w:sz w:val="24"/>
        </w:rPr>
        <w:t xml:space="preserve"> </w:t>
      </w:r>
      <w:r w:rsidRPr="00150EDC">
        <w:rPr>
          <w:sz w:val="24"/>
        </w:rPr>
        <w:t>the</w:t>
      </w:r>
      <w:r w:rsidRPr="00150EDC">
        <w:rPr>
          <w:spacing w:val="-2"/>
          <w:sz w:val="24"/>
        </w:rPr>
        <w:t xml:space="preserve"> </w:t>
      </w:r>
      <w:r w:rsidRPr="00150EDC">
        <w:rPr>
          <w:sz w:val="24"/>
        </w:rPr>
        <w:t>failure</w:t>
      </w:r>
      <w:r w:rsidRPr="00150EDC">
        <w:rPr>
          <w:spacing w:val="-2"/>
          <w:sz w:val="24"/>
        </w:rPr>
        <w:t xml:space="preserve"> </w:t>
      </w:r>
      <w:r w:rsidRPr="00150EDC">
        <w:rPr>
          <w:sz w:val="24"/>
        </w:rPr>
        <w:t>or</w:t>
      </w:r>
      <w:r w:rsidRPr="00150EDC">
        <w:rPr>
          <w:spacing w:val="-6"/>
          <w:sz w:val="24"/>
        </w:rPr>
        <w:t xml:space="preserve"> </w:t>
      </w:r>
      <w:r w:rsidRPr="00150EDC">
        <w:rPr>
          <w:sz w:val="24"/>
        </w:rPr>
        <w:t>disruption.</w:t>
      </w:r>
    </w:p>
    <w:p w14:paraId="09042AA8" w14:textId="77777777" w:rsidR="004C7180" w:rsidRPr="00150EDC" w:rsidRDefault="00CF0754" w:rsidP="00B320C7">
      <w:pPr>
        <w:pStyle w:val="ListParagraph"/>
        <w:numPr>
          <w:ilvl w:val="1"/>
          <w:numId w:val="49"/>
        </w:numPr>
        <w:tabs>
          <w:tab w:val="left" w:pos="2117"/>
        </w:tabs>
        <w:spacing w:before="120"/>
        <w:ind w:left="2117" w:hanging="717"/>
        <w:jc w:val="both"/>
        <w:rPr>
          <w:sz w:val="24"/>
        </w:rPr>
      </w:pPr>
      <w:r w:rsidRPr="00150EDC">
        <w:rPr>
          <w:sz w:val="24"/>
        </w:rPr>
        <w:t>The</w:t>
      </w:r>
      <w:r w:rsidRPr="00150EDC">
        <w:rPr>
          <w:spacing w:val="-2"/>
          <w:sz w:val="24"/>
        </w:rPr>
        <w:t xml:space="preserve"> </w:t>
      </w:r>
      <w:r w:rsidRPr="00150EDC">
        <w:rPr>
          <w:sz w:val="24"/>
        </w:rPr>
        <w:t>Business</w:t>
      </w:r>
      <w:r w:rsidRPr="00150EDC">
        <w:rPr>
          <w:spacing w:val="-3"/>
          <w:sz w:val="24"/>
        </w:rPr>
        <w:t xml:space="preserve"> </w:t>
      </w:r>
      <w:r w:rsidRPr="00150EDC">
        <w:rPr>
          <w:sz w:val="24"/>
        </w:rPr>
        <w:t>Continuity</w:t>
      </w:r>
      <w:r w:rsidRPr="00150EDC">
        <w:rPr>
          <w:spacing w:val="-3"/>
          <w:sz w:val="24"/>
        </w:rPr>
        <w:t xml:space="preserve"> </w:t>
      </w:r>
      <w:r w:rsidRPr="00150EDC">
        <w:rPr>
          <w:sz w:val="24"/>
        </w:rPr>
        <w:t>Plan</w:t>
      </w:r>
      <w:r w:rsidRPr="00150EDC">
        <w:rPr>
          <w:spacing w:val="-1"/>
          <w:sz w:val="24"/>
        </w:rPr>
        <w:t xml:space="preserve"> </w:t>
      </w:r>
      <w:r w:rsidRPr="00150EDC">
        <w:rPr>
          <w:spacing w:val="-2"/>
          <w:sz w:val="24"/>
        </w:rPr>
        <w:t>shall:</w:t>
      </w:r>
    </w:p>
    <w:p w14:paraId="7FE51AA3" w14:textId="77777777" w:rsidR="004C7180" w:rsidRPr="00150EDC" w:rsidRDefault="00CF0754" w:rsidP="00B320C7">
      <w:pPr>
        <w:pStyle w:val="ListParagraph"/>
        <w:numPr>
          <w:ilvl w:val="2"/>
          <w:numId w:val="49"/>
        </w:numPr>
        <w:tabs>
          <w:tab w:val="left" w:pos="2838"/>
          <w:tab w:val="left" w:pos="2840"/>
        </w:tabs>
        <w:spacing w:before="120"/>
        <w:ind w:right="1750" w:hanging="720"/>
        <w:rPr>
          <w:sz w:val="24"/>
        </w:rPr>
      </w:pPr>
      <w:r w:rsidRPr="00150EDC">
        <w:rPr>
          <w:sz w:val="24"/>
        </w:rPr>
        <w:t>address</w:t>
      </w:r>
      <w:r w:rsidRPr="00150EDC">
        <w:rPr>
          <w:spacing w:val="-4"/>
          <w:sz w:val="24"/>
        </w:rPr>
        <w:t xml:space="preserve"> </w:t>
      </w:r>
      <w:r w:rsidRPr="00150EDC">
        <w:rPr>
          <w:sz w:val="24"/>
        </w:rPr>
        <w:t>the</w:t>
      </w:r>
      <w:r w:rsidRPr="00150EDC">
        <w:rPr>
          <w:spacing w:val="-3"/>
          <w:sz w:val="24"/>
        </w:rPr>
        <w:t xml:space="preserve"> </w:t>
      </w:r>
      <w:r w:rsidRPr="00150EDC">
        <w:rPr>
          <w:sz w:val="24"/>
        </w:rPr>
        <w:t>various</w:t>
      </w:r>
      <w:r w:rsidRPr="00150EDC">
        <w:rPr>
          <w:spacing w:val="-4"/>
          <w:sz w:val="24"/>
        </w:rPr>
        <w:t xml:space="preserve"> </w:t>
      </w:r>
      <w:r w:rsidRPr="00150EDC">
        <w:rPr>
          <w:sz w:val="24"/>
        </w:rPr>
        <w:t>possible</w:t>
      </w:r>
      <w:r w:rsidRPr="00150EDC">
        <w:rPr>
          <w:spacing w:val="-1"/>
          <w:sz w:val="24"/>
        </w:rPr>
        <w:t xml:space="preserve"> </w:t>
      </w:r>
      <w:r w:rsidRPr="00150EDC">
        <w:rPr>
          <w:sz w:val="24"/>
        </w:rPr>
        <w:t>levels</w:t>
      </w:r>
      <w:r w:rsidRPr="00150EDC">
        <w:rPr>
          <w:spacing w:val="-2"/>
          <w:sz w:val="24"/>
        </w:rPr>
        <w:t xml:space="preserve"> </w:t>
      </w:r>
      <w:r w:rsidRPr="00150EDC">
        <w:rPr>
          <w:sz w:val="24"/>
        </w:rPr>
        <w:t>of</w:t>
      </w:r>
      <w:r w:rsidRPr="00150EDC">
        <w:rPr>
          <w:spacing w:val="-1"/>
          <w:sz w:val="24"/>
        </w:rPr>
        <w:t xml:space="preserve"> </w:t>
      </w:r>
      <w:r w:rsidRPr="00150EDC">
        <w:rPr>
          <w:sz w:val="24"/>
        </w:rPr>
        <w:t>failures</w:t>
      </w:r>
      <w:r w:rsidRPr="00150EDC">
        <w:rPr>
          <w:spacing w:val="-4"/>
          <w:sz w:val="24"/>
        </w:rPr>
        <w:t xml:space="preserve"> </w:t>
      </w:r>
      <w:r w:rsidRPr="00150EDC">
        <w:rPr>
          <w:sz w:val="24"/>
        </w:rPr>
        <w:t>of</w:t>
      </w:r>
      <w:r w:rsidRPr="00150EDC">
        <w:rPr>
          <w:spacing w:val="-1"/>
          <w:sz w:val="24"/>
        </w:rPr>
        <w:t xml:space="preserve"> </w:t>
      </w:r>
      <w:r w:rsidRPr="00150EDC">
        <w:rPr>
          <w:sz w:val="24"/>
        </w:rPr>
        <w:t>or</w:t>
      </w:r>
      <w:r w:rsidRPr="00150EDC">
        <w:rPr>
          <w:spacing w:val="-5"/>
          <w:sz w:val="24"/>
        </w:rPr>
        <w:t xml:space="preserve"> </w:t>
      </w:r>
      <w:r w:rsidRPr="00150EDC">
        <w:rPr>
          <w:sz w:val="24"/>
        </w:rPr>
        <w:t>disruptions</w:t>
      </w:r>
      <w:r w:rsidRPr="00150EDC">
        <w:rPr>
          <w:spacing w:val="-2"/>
          <w:sz w:val="24"/>
        </w:rPr>
        <w:t xml:space="preserve"> </w:t>
      </w:r>
      <w:r w:rsidRPr="00150EDC">
        <w:rPr>
          <w:sz w:val="24"/>
        </w:rPr>
        <w:t>to</w:t>
      </w:r>
      <w:r w:rsidRPr="00150EDC">
        <w:rPr>
          <w:spacing w:val="-3"/>
          <w:sz w:val="24"/>
        </w:rPr>
        <w:t xml:space="preserve"> </w:t>
      </w:r>
      <w:r w:rsidRPr="00150EDC">
        <w:rPr>
          <w:sz w:val="24"/>
        </w:rPr>
        <w:t>the provision of Deliverables;</w:t>
      </w:r>
    </w:p>
    <w:p w14:paraId="133BD47B" w14:textId="77777777" w:rsidR="004C7180" w:rsidRPr="00150EDC" w:rsidRDefault="00CF0754" w:rsidP="00B320C7">
      <w:pPr>
        <w:pStyle w:val="ListParagraph"/>
        <w:numPr>
          <w:ilvl w:val="2"/>
          <w:numId w:val="49"/>
        </w:numPr>
        <w:tabs>
          <w:tab w:val="left" w:pos="2838"/>
          <w:tab w:val="left" w:pos="2840"/>
        </w:tabs>
        <w:spacing w:before="120"/>
        <w:ind w:right="1671" w:hanging="720"/>
        <w:rPr>
          <w:sz w:val="24"/>
        </w:rPr>
      </w:pPr>
      <w:r w:rsidRPr="00150EDC">
        <w:rPr>
          <w:sz w:val="24"/>
        </w:rPr>
        <w:t>set out the goods and/or services to be provided and the steps to be taken</w:t>
      </w:r>
      <w:r w:rsidRPr="00150EDC">
        <w:rPr>
          <w:spacing w:val="-4"/>
          <w:sz w:val="24"/>
        </w:rPr>
        <w:t xml:space="preserve"> </w:t>
      </w:r>
      <w:r w:rsidRPr="00150EDC">
        <w:rPr>
          <w:sz w:val="24"/>
        </w:rPr>
        <w:t>to</w:t>
      </w:r>
      <w:r w:rsidRPr="00150EDC">
        <w:rPr>
          <w:spacing w:val="-2"/>
          <w:sz w:val="24"/>
        </w:rPr>
        <w:t xml:space="preserve"> </w:t>
      </w:r>
      <w:r w:rsidRPr="00150EDC">
        <w:rPr>
          <w:sz w:val="24"/>
        </w:rPr>
        <w:t>remedy</w:t>
      </w:r>
      <w:r w:rsidRPr="00150EDC">
        <w:rPr>
          <w:spacing w:val="-3"/>
          <w:sz w:val="24"/>
        </w:rPr>
        <w:t xml:space="preserve"> </w:t>
      </w:r>
      <w:r w:rsidRPr="00150EDC">
        <w:rPr>
          <w:sz w:val="24"/>
        </w:rPr>
        <w:t>the</w:t>
      </w:r>
      <w:r w:rsidRPr="00150EDC">
        <w:rPr>
          <w:spacing w:val="-4"/>
          <w:sz w:val="24"/>
        </w:rPr>
        <w:t xml:space="preserve"> </w:t>
      </w:r>
      <w:r w:rsidRPr="00150EDC">
        <w:rPr>
          <w:sz w:val="24"/>
        </w:rPr>
        <w:t>different</w:t>
      </w:r>
      <w:r w:rsidRPr="00150EDC">
        <w:rPr>
          <w:spacing w:val="-2"/>
          <w:sz w:val="24"/>
        </w:rPr>
        <w:t xml:space="preserve"> </w:t>
      </w:r>
      <w:r w:rsidRPr="00150EDC">
        <w:rPr>
          <w:sz w:val="24"/>
        </w:rPr>
        <w:t>levels</w:t>
      </w:r>
      <w:r w:rsidRPr="00150EDC">
        <w:rPr>
          <w:spacing w:val="-3"/>
          <w:sz w:val="24"/>
        </w:rPr>
        <w:t xml:space="preserve"> </w:t>
      </w:r>
      <w:r w:rsidRPr="00150EDC">
        <w:rPr>
          <w:sz w:val="24"/>
        </w:rPr>
        <w:t>of</w:t>
      </w:r>
      <w:r w:rsidRPr="00150EDC">
        <w:rPr>
          <w:spacing w:val="-2"/>
          <w:sz w:val="24"/>
        </w:rPr>
        <w:t xml:space="preserve"> </w:t>
      </w:r>
      <w:r w:rsidRPr="00150EDC">
        <w:rPr>
          <w:sz w:val="24"/>
        </w:rPr>
        <w:t>failures</w:t>
      </w:r>
      <w:r w:rsidRPr="00150EDC">
        <w:rPr>
          <w:spacing w:val="-5"/>
          <w:sz w:val="24"/>
        </w:rPr>
        <w:t xml:space="preserve"> </w:t>
      </w:r>
      <w:r w:rsidRPr="00150EDC">
        <w:rPr>
          <w:sz w:val="24"/>
        </w:rPr>
        <w:t>of</w:t>
      </w:r>
      <w:r w:rsidRPr="00150EDC">
        <w:rPr>
          <w:spacing w:val="-2"/>
          <w:sz w:val="24"/>
        </w:rPr>
        <w:t xml:space="preserve"> </w:t>
      </w:r>
      <w:r w:rsidRPr="00150EDC">
        <w:rPr>
          <w:sz w:val="24"/>
        </w:rPr>
        <w:t>and</w:t>
      </w:r>
      <w:r w:rsidRPr="00150EDC">
        <w:rPr>
          <w:spacing w:val="-4"/>
          <w:sz w:val="24"/>
        </w:rPr>
        <w:t xml:space="preserve"> </w:t>
      </w:r>
      <w:r w:rsidRPr="00150EDC">
        <w:rPr>
          <w:sz w:val="24"/>
        </w:rPr>
        <w:t>disruption</w:t>
      </w:r>
      <w:r w:rsidRPr="00150EDC">
        <w:rPr>
          <w:spacing w:val="-2"/>
          <w:sz w:val="24"/>
        </w:rPr>
        <w:t xml:space="preserve"> </w:t>
      </w:r>
      <w:r w:rsidRPr="00150EDC">
        <w:rPr>
          <w:sz w:val="24"/>
        </w:rPr>
        <w:t>to</w:t>
      </w:r>
      <w:r w:rsidRPr="00150EDC">
        <w:rPr>
          <w:spacing w:val="-2"/>
          <w:sz w:val="24"/>
        </w:rPr>
        <w:t xml:space="preserve"> </w:t>
      </w:r>
      <w:r w:rsidRPr="00150EDC">
        <w:rPr>
          <w:sz w:val="24"/>
        </w:rPr>
        <w:t xml:space="preserve">the </w:t>
      </w:r>
      <w:r w:rsidRPr="00150EDC">
        <w:rPr>
          <w:spacing w:val="-2"/>
          <w:sz w:val="24"/>
        </w:rPr>
        <w:t>Deliverables;</w:t>
      </w:r>
    </w:p>
    <w:p w14:paraId="7953307F" w14:textId="77777777" w:rsidR="004C7180" w:rsidRPr="00150EDC" w:rsidRDefault="00CF0754" w:rsidP="00B320C7">
      <w:pPr>
        <w:pStyle w:val="ListParagraph"/>
        <w:numPr>
          <w:ilvl w:val="2"/>
          <w:numId w:val="49"/>
        </w:numPr>
        <w:tabs>
          <w:tab w:val="left" w:pos="2838"/>
          <w:tab w:val="left" w:pos="2840"/>
        </w:tabs>
        <w:spacing w:before="120"/>
        <w:ind w:right="1468" w:hanging="720"/>
        <w:rPr>
          <w:sz w:val="24"/>
        </w:rPr>
      </w:pPr>
      <w:r w:rsidRPr="00150EDC">
        <w:rPr>
          <w:sz w:val="24"/>
        </w:rPr>
        <w:t>specify any applicable Performance Indicators with respect to the provision</w:t>
      </w:r>
      <w:r w:rsidRPr="00150EDC">
        <w:rPr>
          <w:spacing w:val="-2"/>
          <w:sz w:val="24"/>
        </w:rPr>
        <w:t xml:space="preserve"> </w:t>
      </w:r>
      <w:r w:rsidRPr="00150EDC">
        <w:rPr>
          <w:sz w:val="24"/>
        </w:rPr>
        <w:t>of</w:t>
      </w:r>
      <w:r w:rsidRPr="00150EDC">
        <w:rPr>
          <w:spacing w:val="-2"/>
          <w:sz w:val="24"/>
        </w:rPr>
        <w:t xml:space="preserve"> </w:t>
      </w:r>
      <w:r w:rsidRPr="00150EDC">
        <w:rPr>
          <w:sz w:val="24"/>
        </w:rPr>
        <w:t>the</w:t>
      </w:r>
      <w:r w:rsidRPr="00150EDC">
        <w:rPr>
          <w:spacing w:val="-2"/>
          <w:sz w:val="24"/>
        </w:rPr>
        <w:t xml:space="preserve"> </w:t>
      </w:r>
      <w:r w:rsidRPr="00150EDC">
        <w:rPr>
          <w:sz w:val="24"/>
        </w:rPr>
        <w:t>Business</w:t>
      </w:r>
      <w:r w:rsidRPr="00150EDC">
        <w:rPr>
          <w:spacing w:val="-3"/>
          <w:sz w:val="24"/>
        </w:rPr>
        <w:t xml:space="preserve"> </w:t>
      </w:r>
      <w:r w:rsidRPr="00150EDC">
        <w:rPr>
          <w:sz w:val="24"/>
        </w:rPr>
        <w:t>Continuity</w:t>
      </w:r>
      <w:r w:rsidRPr="00150EDC">
        <w:rPr>
          <w:spacing w:val="-3"/>
          <w:sz w:val="24"/>
        </w:rPr>
        <w:t xml:space="preserve"> </w:t>
      </w:r>
      <w:r w:rsidRPr="00150EDC">
        <w:rPr>
          <w:sz w:val="24"/>
        </w:rPr>
        <w:t>Services</w:t>
      </w:r>
      <w:r w:rsidRPr="00150EDC">
        <w:rPr>
          <w:spacing w:val="-5"/>
          <w:sz w:val="24"/>
        </w:rPr>
        <w:t xml:space="preserve"> </w:t>
      </w:r>
      <w:r w:rsidRPr="00150EDC">
        <w:rPr>
          <w:sz w:val="24"/>
        </w:rPr>
        <w:t>and</w:t>
      </w:r>
      <w:r w:rsidRPr="00150EDC">
        <w:rPr>
          <w:spacing w:val="-4"/>
          <w:sz w:val="24"/>
        </w:rPr>
        <w:t xml:space="preserve"> </w:t>
      </w:r>
      <w:r w:rsidRPr="00150EDC">
        <w:rPr>
          <w:sz w:val="24"/>
        </w:rPr>
        <w:t>details</w:t>
      </w:r>
      <w:r w:rsidRPr="00150EDC">
        <w:rPr>
          <w:spacing w:val="-3"/>
          <w:sz w:val="24"/>
        </w:rPr>
        <w:t xml:space="preserve"> </w:t>
      </w:r>
      <w:r w:rsidRPr="00150EDC">
        <w:rPr>
          <w:sz w:val="24"/>
        </w:rPr>
        <w:t>of</w:t>
      </w:r>
      <w:r w:rsidRPr="00150EDC">
        <w:rPr>
          <w:spacing w:val="-5"/>
          <w:sz w:val="24"/>
        </w:rPr>
        <w:t xml:space="preserve"> </w:t>
      </w:r>
      <w:r w:rsidRPr="00150EDC">
        <w:rPr>
          <w:sz w:val="24"/>
        </w:rPr>
        <w:t>any</w:t>
      </w:r>
      <w:r w:rsidRPr="00150EDC">
        <w:rPr>
          <w:spacing w:val="-5"/>
          <w:sz w:val="24"/>
        </w:rPr>
        <w:t xml:space="preserve"> </w:t>
      </w:r>
      <w:r w:rsidRPr="00150EDC">
        <w:rPr>
          <w:sz w:val="24"/>
        </w:rPr>
        <w:t>agreed</w:t>
      </w:r>
    </w:p>
    <w:p w14:paraId="077872B9" w14:textId="77777777" w:rsidR="004C7180" w:rsidRPr="00150EDC" w:rsidRDefault="004C7180">
      <w:pPr>
        <w:rPr>
          <w:sz w:val="24"/>
        </w:rPr>
        <w:sectPr w:rsidR="004C7180" w:rsidRPr="00150EDC">
          <w:pgSz w:w="11910" w:h="16840"/>
          <w:pgMar w:top="1380" w:right="0" w:bottom="1380" w:left="40" w:header="715" w:footer="1192" w:gutter="0"/>
          <w:cols w:space="720"/>
        </w:sectPr>
      </w:pPr>
    </w:p>
    <w:p w14:paraId="32D5DCFA" w14:textId="77777777" w:rsidR="004C7180" w:rsidRPr="00150EDC" w:rsidRDefault="004C7180">
      <w:pPr>
        <w:pStyle w:val="BodyText"/>
        <w:spacing w:before="1"/>
        <w:rPr>
          <w:sz w:val="12"/>
        </w:rPr>
      </w:pPr>
    </w:p>
    <w:p w14:paraId="518B3E62" w14:textId="77777777" w:rsidR="004C7180" w:rsidRPr="00150EDC" w:rsidRDefault="00CF0754">
      <w:pPr>
        <w:pStyle w:val="BodyText"/>
        <w:spacing w:before="92"/>
        <w:ind w:left="2840" w:right="1459"/>
      </w:pPr>
      <w:r w:rsidRPr="00150EDC">
        <w:t>relaxation</w:t>
      </w:r>
      <w:r w:rsidRPr="00150EDC">
        <w:rPr>
          <w:spacing w:val="-4"/>
        </w:rPr>
        <w:t xml:space="preserve"> </w:t>
      </w:r>
      <w:r w:rsidRPr="00150EDC">
        <w:t>to</w:t>
      </w:r>
      <w:r w:rsidRPr="00150EDC">
        <w:rPr>
          <w:spacing w:val="-4"/>
        </w:rPr>
        <w:t xml:space="preserve"> </w:t>
      </w:r>
      <w:r w:rsidRPr="00150EDC">
        <w:t>the</w:t>
      </w:r>
      <w:r w:rsidRPr="00150EDC">
        <w:rPr>
          <w:spacing w:val="-4"/>
        </w:rPr>
        <w:t xml:space="preserve"> </w:t>
      </w:r>
      <w:r w:rsidRPr="00150EDC">
        <w:t>Performance</w:t>
      </w:r>
      <w:r w:rsidRPr="00150EDC">
        <w:rPr>
          <w:spacing w:val="-2"/>
        </w:rPr>
        <w:t xml:space="preserve"> </w:t>
      </w:r>
      <w:r w:rsidRPr="00150EDC">
        <w:t>Indicators</w:t>
      </w:r>
      <w:r w:rsidRPr="00150EDC">
        <w:rPr>
          <w:spacing w:val="-3"/>
        </w:rPr>
        <w:t xml:space="preserve"> </w:t>
      </w:r>
      <w:r w:rsidRPr="00150EDC">
        <w:t>(PI’s)</w:t>
      </w:r>
      <w:r w:rsidRPr="00150EDC">
        <w:rPr>
          <w:spacing w:val="-4"/>
        </w:rPr>
        <w:t xml:space="preserve"> </w:t>
      </w:r>
      <w:r w:rsidRPr="00150EDC">
        <w:t>or</w:t>
      </w:r>
      <w:r w:rsidRPr="00150EDC">
        <w:rPr>
          <w:spacing w:val="-4"/>
        </w:rPr>
        <w:t xml:space="preserve"> </w:t>
      </w:r>
      <w:r w:rsidRPr="00150EDC">
        <w:t>Service</w:t>
      </w:r>
      <w:r w:rsidRPr="00150EDC">
        <w:rPr>
          <w:spacing w:val="-4"/>
        </w:rPr>
        <w:t xml:space="preserve"> </w:t>
      </w:r>
      <w:r w:rsidRPr="00150EDC">
        <w:t>Levels</w:t>
      </w:r>
      <w:r w:rsidRPr="00150EDC">
        <w:rPr>
          <w:spacing w:val="-3"/>
        </w:rPr>
        <w:t xml:space="preserve"> </w:t>
      </w:r>
      <w:r w:rsidRPr="00150EDC">
        <w:t>in respect of the provision of other Deliverables during any period of invocation of the Business Continuity Plan; and</w:t>
      </w:r>
    </w:p>
    <w:p w14:paraId="65E50E17" w14:textId="77777777" w:rsidR="004C7180" w:rsidRPr="00150EDC" w:rsidRDefault="00CF0754" w:rsidP="00B320C7">
      <w:pPr>
        <w:pStyle w:val="ListParagraph"/>
        <w:numPr>
          <w:ilvl w:val="2"/>
          <w:numId w:val="49"/>
        </w:numPr>
        <w:tabs>
          <w:tab w:val="left" w:pos="2838"/>
          <w:tab w:val="left" w:pos="2840"/>
        </w:tabs>
        <w:spacing w:before="121"/>
        <w:ind w:right="2006" w:hanging="720"/>
        <w:rPr>
          <w:sz w:val="24"/>
        </w:rPr>
      </w:pPr>
      <w:r w:rsidRPr="00150EDC">
        <w:rPr>
          <w:sz w:val="24"/>
        </w:rPr>
        <w:t>set</w:t>
      </w:r>
      <w:r w:rsidRPr="00150EDC">
        <w:rPr>
          <w:spacing w:val="-3"/>
          <w:sz w:val="24"/>
        </w:rPr>
        <w:t xml:space="preserve"> </w:t>
      </w:r>
      <w:r w:rsidRPr="00150EDC">
        <w:rPr>
          <w:sz w:val="24"/>
        </w:rPr>
        <w:t>out</w:t>
      </w:r>
      <w:r w:rsidRPr="00150EDC">
        <w:rPr>
          <w:spacing w:val="-3"/>
          <w:sz w:val="24"/>
        </w:rPr>
        <w:t xml:space="preserve"> </w:t>
      </w:r>
      <w:r w:rsidRPr="00150EDC">
        <w:rPr>
          <w:sz w:val="24"/>
        </w:rPr>
        <w:t>the</w:t>
      </w:r>
      <w:r w:rsidRPr="00150EDC">
        <w:rPr>
          <w:spacing w:val="-3"/>
          <w:sz w:val="24"/>
        </w:rPr>
        <w:t xml:space="preserve"> </w:t>
      </w:r>
      <w:r w:rsidRPr="00150EDC">
        <w:rPr>
          <w:sz w:val="24"/>
        </w:rPr>
        <w:t>circumstances</w:t>
      </w:r>
      <w:r w:rsidRPr="00150EDC">
        <w:rPr>
          <w:spacing w:val="-4"/>
          <w:sz w:val="24"/>
        </w:rPr>
        <w:t xml:space="preserve"> </w:t>
      </w:r>
      <w:r w:rsidRPr="00150EDC">
        <w:rPr>
          <w:sz w:val="24"/>
        </w:rPr>
        <w:t>in</w:t>
      </w:r>
      <w:r w:rsidRPr="00150EDC">
        <w:rPr>
          <w:spacing w:val="-3"/>
          <w:sz w:val="24"/>
        </w:rPr>
        <w:t xml:space="preserve"> </w:t>
      </w:r>
      <w:r w:rsidRPr="00150EDC">
        <w:rPr>
          <w:sz w:val="24"/>
        </w:rPr>
        <w:t>which</w:t>
      </w:r>
      <w:r w:rsidRPr="00150EDC">
        <w:rPr>
          <w:spacing w:val="-5"/>
          <w:sz w:val="24"/>
        </w:rPr>
        <w:t xml:space="preserve"> </w:t>
      </w:r>
      <w:r w:rsidRPr="00150EDC">
        <w:rPr>
          <w:sz w:val="24"/>
        </w:rPr>
        <w:t>the</w:t>
      </w:r>
      <w:r w:rsidRPr="00150EDC">
        <w:rPr>
          <w:spacing w:val="-5"/>
          <w:sz w:val="24"/>
        </w:rPr>
        <w:t xml:space="preserve"> </w:t>
      </w:r>
      <w:r w:rsidRPr="00150EDC">
        <w:rPr>
          <w:sz w:val="24"/>
        </w:rPr>
        <w:t>Business</w:t>
      </w:r>
      <w:r w:rsidRPr="00150EDC">
        <w:rPr>
          <w:spacing w:val="-4"/>
          <w:sz w:val="24"/>
        </w:rPr>
        <w:t xml:space="preserve"> </w:t>
      </w:r>
      <w:r w:rsidRPr="00150EDC">
        <w:rPr>
          <w:sz w:val="24"/>
        </w:rPr>
        <w:t>Continuity</w:t>
      </w:r>
      <w:r w:rsidRPr="00150EDC">
        <w:rPr>
          <w:spacing w:val="-4"/>
          <w:sz w:val="24"/>
        </w:rPr>
        <w:t xml:space="preserve"> </w:t>
      </w:r>
      <w:r w:rsidRPr="00150EDC">
        <w:rPr>
          <w:sz w:val="24"/>
        </w:rPr>
        <w:t>Plan</w:t>
      </w:r>
      <w:r w:rsidRPr="00150EDC">
        <w:rPr>
          <w:spacing w:val="-3"/>
          <w:sz w:val="24"/>
        </w:rPr>
        <w:t xml:space="preserve"> </w:t>
      </w:r>
      <w:r w:rsidRPr="00150EDC">
        <w:rPr>
          <w:sz w:val="24"/>
        </w:rPr>
        <w:t xml:space="preserve">is </w:t>
      </w:r>
      <w:r w:rsidRPr="00150EDC">
        <w:rPr>
          <w:spacing w:val="-2"/>
          <w:sz w:val="24"/>
        </w:rPr>
        <w:t>invoked.</w:t>
      </w:r>
    </w:p>
    <w:p w14:paraId="1F5A760E" w14:textId="77777777" w:rsidR="004C7180" w:rsidRPr="00150EDC" w:rsidRDefault="004C7180">
      <w:pPr>
        <w:pStyle w:val="BodyText"/>
        <w:spacing w:before="9"/>
        <w:rPr>
          <w:sz w:val="20"/>
        </w:rPr>
      </w:pPr>
    </w:p>
    <w:p w14:paraId="6C6FA790" w14:textId="77777777" w:rsidR="004C7180" w:rsidRPr="00150EDC" w:rsidRDefault="00CF0754" w:rsidP="00B320C7">
      <w:pPr>
        <w:pStyle w:val="Heading4"/>
        <w:numPr>
          <w:ilvl w:val="0"/>
          <w:numId w:val="49"/>
        </w:numPr>
        <w:tabs>
          <w:tab w:val="left" w:pos="2119"/>
        </w:tabs>
        <w:spacing w:before="1"/>
        <w:ind w:left="2119"/>
        <w:jc w:val="left"/>
      </w:pPr>
      <w:r w:rsidRPr="00150EDC">
        <w:t>Disaster</w:t>
      </w:r>
      <w:r w:rsidRPr="00150EDC">
        <w:rPr>
          <w:spacing w:val="-5"/>
        </w:rPr>
        <w:t xml:space="preserve"> </w:t>
      </w:r>
      <w:r w:rsidRPr="00150EDC">
        <w:t>Recovery</w:t>
      </w:r>
      <w:r w:rsidRPr="00150EDC">
        <w:rPr>
          <w:spacing w:val="-2"/>
        </w:rPr>
        <w:t xml:space="preserve"> </w:t>
      </w:r>
      <w:r w:rsidRPr="00150EDC">
        <w:t>(Section</w:t>
      </w:r>
      <w:r w:rsidRPr="00150EDC">
        <w:rPr>
          <w:spacing w:val="-3"/>
        </w:rPr>
        <w:t xml:space="preserve"> </w:t>
      </w:r>
      <w:r w:rsidRPr="00150EDC">
        <w:rPr>
          <w:spacing w:val="-5"/>
        </w:rPr>
        <w:t>3)</w:t>
      </w:r>
    </w:p>
    <w:p w14:paraId="127C2D29" w14:textId="77777777" w:rsidR="004C7180" w:rsidRPr="00150EDC" w:rsidRDefault="004C7180">
      <w:pPr>
        <w:pStyle w:val="BodyText"/>
        <w:spacing w:before="9"/>
        <w:rPr>
          <w:b/>
          <w:sz w:val="20"/>
        </w:rPr>
      </w:pPr>
    </w:p>
    <w:p w14:paraId="40DD3C76" w14:textId="77777777" w:rsidR="004C7180" w:rsidRPr="00150EDC" w:rsidRDefault="00CF0754" w:rsidP="00B320C7">
      <w:pPr>
        <w:pStyle w:val="ListParagraph"/>
        <w:numPr>
          <w:ilvl w:val="1"/>
          <w:numId w:val="49"/>
        </w:numPr>
        <w:tabs>
          <w:tab w:val="left" w:pos="2119"/>
        </w:tabs>
        <w:spacing w:before="1"/>
        <w:ind w:left="2119" w:right="1443" w:hanging="720"/>
        <w:jc w:val="left"/>
        <w:rPr>
          <w:sz w:val="24"/>
        </w:rPr>
      </w:pPr>
      <w:r w:rsidRPr="00150EDC">
        <w:rPr>
          <w:sz w:val="24"/>
        </w:rPr>
        <w:t>The</w:t>
      </w:r>
      <w:r w:rsidRPr="00150EDC">
        <w:rPr>
          <w:spacing w:val="-2"/>
          <w:sz w:val="24"/>
        </w:rPr>
        <w:t xml:space="preserve"> </w:t>
      </w:r>
      <w:r w:rsidRPr="00150EDC">
        <w:rPr>
          <w:sz w:val="24"/>
        </w:rPr>
        <w:t>Disaster</w:t>
      </w:r>
      <w:r w:rsidRPr="00150EDC">
        <w:rPr>
          <w:spacing w:val="-4"/>
          <w:sz w:val="24"/>
        </w:rPr>
        <w:t xml:space="preserve"> </w:t>
      </w:r>
      <w:r w:rsidRPr="00150EDC">
        <w:rPr>
          <w:sz w:val="24"/>
        </w:rPr>
        <w:t>Recovery</w:t>
      </w:r>
      <w:r w:rsidRPr="00150EDC">
        <w:rPr>
          <w:spacing w:val="-5"/>
          <w:sz w:val="24"/>
        </w:rPr>
        <w:t xml:space="preserve"> </w:t>
      </w:r>
      <w:r w:rsidRPr="00150EDC">
        <w:rPr>
          <w:sz w:val="24"/>
        </w:rPr>
        <w:t>Plan</w:t>
      </w:r>
      <w:r w:rsidRPr="00150EDC">
        <w:rPr>
          <w:spacing w:val="-2"/>
          <w:sz w:val="24"/>
        </w:rPr>
        <w:t xml:space="preserve"> </w:t>
      </w:r>
      <w:r w:rsidRPr="00150EDC">
        <w:rPr>
          <w:sz w:val="24"/>
        </w:rPr>
        <w:t>(which</w:t>
      </w:r>
      <w:r w:rsidRPr="00150EDC">
        <w:rPr>
          <w:spacing w:val="-2"/>
          <w:sz w:val="24"/>
        </w:rPr>
        <w:t xml:space="preserve"> </w:t>
      </w:r>
      <w:r w:rsidRPr="00150EDC">
        <w:rPr>
          <w:sz w:val="24"/>
        </w:rPr>
        <w:t>shall</w:t>
      </w:r>
      <w:r w:rsidRPr="00150EDC">
        <w:rPr>
          <w:spacing w:val="-3"/>
          <w:sz w:val="24"/>
        </w:rPr>
        <w:t xml:space="preserve"> </w:t>
      </w:r>
      <w:r w:rsidRPr="00150EDC">
        <w:rPr>
          <w:sz w:val="24"/>
        </w:rPr>
        <w:t>be</w:t>
      </w:r>
      <w:r w:rsidRPr="00150EDC">
        <w:rPr>
          <w:spacing w:val="-2"/>
          <w:sz w:val="24"/>
        </w:rPr>
        <w:t xml:space="preserve"> </w:t>
      </w:r>
      <w:r w:rsidRPr="00150EDC">
        <w:rPr>
          <w:sz w:val="24"/>
        </w:rPr>
        <w:t>invoked</w:t>
      </w:r>
      <w:r w:rsidRPr="00150EDC">
        <w:rPr>
          <w:spacing w:val="-4"/>
          <w:sz w:val="24"/>
        </w:rPr>
        <w:t xml:space="preserve"> </w:t>
      </w:r>
      <w:r w:rsidRPr="00150EDC">
        <w:rPr>
          <w:sz w:val="24"/>
        </w:rPr>
        <w:t>only</w:t>
      </w:r>
      <w:r w:rsidRPr="00150EDC">
        <w:rPr>
          <w:spacing w:val="-3"/>
          <w:sz w:val="24"/>
        </w:rPr>
        <w:t xml:space="preserve"> </w:t>
      </w:r>
      <w:r w:rsidRPr="00150EDC">
        <w:rPr>
          <w:sz w:val="24"/>
        </w:rPr>
        <w:t>upon</w:t>
      </w:r>
      <w:r w:rsidRPr="00150EDC">
        <w:rPr>
          <w:spacing w:val="-2"/>
          <w:sz w:val="24"/>
        </w:rPr>
        <w:t xml:space="preserve"> </w:t>
      </w:r>
      <w:r w:rsidRPr="00150EDC">
        <w:rPr>
          <w:sz w:val="24"/>
        </w:rPr>
        <w:t>the</w:t>
      </w:r>
      <w:r w:rsidRPr="00150EDC">
        <w:rPr>
          <w:spacing w:val="-2"/>
          <w:sz w:val="24"/>
        </w:rPr>
        <w:t xml:space="preserve"> </w:t>
      </w:r>
      <w:r w:rsidRPr="00150EDC">
        <w:rPr>
          <w:sz w:val="24"/>
        </w:rPr>
        <w:t>occurrence of a Disaster) shall be designed to ensure that upon the occurrence of a Disaster the Supplier ensures continuity of the business operations of the Buyer supported by the Services following any Disaster or during any period</w:t>
      </w:r>
      <w:r w:rsidRPr="00150EDC">
        <w:rPr>
          <w:spacing w:val="40"/>
          <w:sz w:val="24"/>
        </w:rPr>
        <w:t xml:space="preserve"> </w:t>
      </w:r>
      <w:r w:rsidRPr="00150EDC">
        <w:rPr>
          <w:sz w:val="24"/>
        </w:rPr>
        <w:t>of service failure or disruption with, as far as reasonably possible, minimal adverse impact.</w:t>
      </w:r>
    </w:p>
    <w:p w14:paraId="0265480C" w14:textId="77777777" w:rsidR="004C7180" w:rsidRPr="00150EDC" w:rsidRDefault="00CF0754" w:rsidP="00B320C7">
      <w:pPr>
        <w:pStyle w:val="ListParagraph"/>
        <w:numPr>
          <w:ilvl w:val="1"/>
          <w:numId w:val="49"/>
        </w:numPr>
        <w:tabs>
          <w:tab w:val="left" w:pos="2119"/>
        </w:tabs>
        <w:spacing w:before="120"/>
        <w:ind w:left="2119" w:right="1771" w:hanging="720"/>
        <w:jc w:val="left"/>
        <w:rPr>
          <w:sz w:val="24"/>
        </w:rPr>
      </w:pPr>
      <w:r w:rsidRPr="00150EDC">
        <w:rPr>
          <w:sz w:val="24"/>
        </w:rPr>
        <w:t>The</w:t>
      </w:r>
      <w:r w:rsidRPr="00150EDC">
        <w:rPr>
          <w:spacing w:val="-3"/>
          <w:sz w:val="24"/>
        </w:rPr>
        <w:t xml:space="preserve"> </w:t>
      </w:r>
      <w:r w:rsidRPr="00150EDC">
        <w:rPr>
          <w:sz w:val="24"/>
        </w:rPr>
        <w:t>Supplier's</w:t>
      </w:r>
      <w:r w:rsidRPr="00150EDC">
        <w:rPr>
          <w:spacing w:val="-4"/>
          <w:sz w:val="24"/>
        </w:rPr>
        <w:t xml:space="preserve"> </w:t>
      </w:r>
      <w:r w:rsidRPr="00150EDC">
        <w:rPr>
          <w:sz w:val="24"/>
        </w:rPr>
        <w:t>BCDR</w:t>
      </w:r>
      <w:r w:rsidRPr="00150EDC">
        <w:rPr>
          <w:spacing w:val="-6"/>
          <w:sz w:val="24"/>
        </w:rPr>
        <w:t xml:space="preserve"> </w:t>
      </w:r>
      <w:r w:rsidRPr="00150EDC">
        <w:rPr>
          <w:sz w:val="24"/>
        </w:rPr>
        <w:t>Plan</w:t>
      </w:r>
      <w:r w:rsidRPr="00150EDC">
        <w:rPr>
          <w:spacing w:val="-3"/>
          <w:sz w:val="24"/>
        </w:rPr>
        <w:t xml:space="preserve"> </w:t>
      </w:r>
      <w:r w:rsidRPr="00150EDC">
        <w:rPr>
          <w:sz w:val="24"/>
        </w:rPr>
        <w:t>shall</w:t>
      </w:r>
      <w:r w:rsidRPr="00150EDC">
        <w:rPr>
          <w:spacing w:val="-4"/>
          <w:sz w:val="24"/>
        </w:rPr>
        <w:t xml:space="preserve"> </w:t>
      </w:r>
      <w:r w:rsidRPr="00150EDC">
        <w:rPr>
          <w:sz w:val="24"/>
        </w:rPr>
        <w:t>include</w:t>
      </w:r>
      <w:r w:rsidRPr="00150EDC">
        <w:rPr>
          <w:spacing w:val="-3"/>
          <w:sz w:val="24"/>
        </w:rPr>
        <w:t xml:space="preserve"> </w:t>
      </w:r>
      <w:r w:rsidRPr="00150EDC">
        <w:rPr>
          <w:sz w:val="24"/>
        </w:rPr>
        <w:t>an</w:t>
      </w:r>
      <w:r w:rsidRPr="00150EDC">
        <w:rPr>
          <w:spacing w:val="-3"/>
          <w:sz w:val="24"/>
        </w:rPr>
        <w:t xml:space="preserve"> </w:t>
      </w:r>
      <w:r w:rsidRPr="00150EDC">
        <w:rPr>
          <w:sz w:val="24"/>
        </w:rPr>
        <w:t>approach</w:t>
      </w:r>
      <w:r w:rsidRPr="00150EDC">
        <w:rPr>
          <w:spacing w:val="-3"/>
          <w:sz w:val="24"/>
        </w:rPr>
        <w:t xml:space="preserve"> </w:t>
      </w:r>
      <w:r w:rsidRPr="00150EDC">
        <w:rPr>
          <w:sz w:val="24"/>
        </w:rPr>
        <w:t>to</w:t>
      </w:r>
      <w:r w:rsidRPr="00150EDC">
        <w:rPr>
          <w:spacing w:val="-5"/>
          <w:sz w:val="24"/>
        </w:rPr>
        <w:t xml:space="preserve"> </w:t>
      </w:r>
      <w:r w:rsidRPr="00150EDC">
        <w:rPr>
          <w:sz w:val="24"/>
        </w:rPr>
        <w:t>business</w:t>
      </w:r>
      <w:r w:rsidRPr="00150EDC">
        <w:rPr>
          <w:spacing w:val="-4"/>
          <w:sz w:val="24"/>
        </w:rPr>
        <w:t xml:space="preserve"> </w:t>
      </w:r>
      <w:r w:rsidRPr="00150EDC">
        <w:rPr>
          <w:sz w:val="24"/>
        </w:rPr>
        <w:t>continuity and disaster recovery that addresses the following:</w:t>
      </w:r>
    </w:p>
    <w:p w14:paraId="0289AB49" w14:textId="77777777" w:rsidR="004C7180" w:rsidRPr="00150EDC" w:rsidRDefault="00CF0754" w:rsidP="00B320C7">
      <w:pPr>
        <w:pStyle w:val="ListParagraph"/>
        <w:numPr>
          <w:ilvl w:val="2"/>
          <w:numId w:val="49"/>
        </w:numPr>
        <w:tabs>
          <w:tab w:val="left" w:pos="2838"/>
        </w:tabs>
        <w:spacing w:before="120"/>
        <w:ind w:left="2838" w:hanging="718"/>
        <w:rPr>
          <w:sz w:val="24"/>
        </w:rPr>
      </w:pPr>
      <w:r w:rsidRPr="00150EDC">
        <w:rPr>
          <w:sz w:val="24"/>
        </w:rPr>
        <w:t>loss</w:t>
      </w:r>
      <w:r w:rsidRPr="00150EDC">
        <w:rPr>
          <w:spacing w:val="-1"/>
          <w:sz w:val="24"/>
        </w:rPr>
        <w:t xml:space="preserve"> </w:t>
      </w:r>
      <w:r w:rsidRPr="00150EDC">
        <w:rPr>
          <w:sz w:val="24"/>
        </w:rPr>
        <w:t>of</w:t>
      </w:r>
      <w:r w:rsidRPr="00150EDC">
        <w:rPr>
          <w:spacing w:val="-3"/>
          <w:sz w:val="24"/>
        </w:rPr>
        <w:t xml:space="preserve"> </w:t>
      </w:r>
      <w:r w:rsidRPr="00150EDC">
        <w:rPr>
          <w:sz w:val="24"/>
        </w:rPr>
        <w:t>access</w:t>
      </w:r>
      <w:r w:rsidRPr="00150EDC">
        <w:rPr>
          <w:spacing w:val="-1"/>
          <w:sz w:val="24"/>
        </w:rPr>
        <w:t xml:space="preserve"> </w:t>
      </w:r>
      <w:r w:rsidRPr="00150EDC">
        <w:rPr>
          <w:sz w:val="24"/>
        </w:rPr>
        <w:t>to the</w:t>
      </w:r>
      <w:r w:rsidRPr="00150EDC">
        <w:rPr>
          <w:spacing w:val="-1"/>
          <w:sz w:val="24"/>
        </w:rPr>
        <w:t xml:space="preserve"> </w:t>
      </w:r>
      <w:r w:rsidRPr="00150EDC">
        <w:rPr>
          <w:sz w:val="24"/>
        </w:rPr>
        <w:t>Buyer</w:t>
      </w:r>
      <w:r w:rsidRPr="00150EDC">
        <w:rPr>
          <w:spacing w:val="-1"/>
          <w:sz w:val="24"/>
        </w:rPr>
        <w:t xml:space="preserve"> </w:t>
      </w:r>
      <w:r w:rsidRPr="00150EDC">
        <w:rPr>
          <w:spacing w:val="-2"/>
          <w:sz w:val="24"/>
        </w:rPr>
        <w:t>Premises;</w:t>
      </w:r>
    </w:p>
    <w:p w14:paraId="767CC877" w14:textId="77777777" w:rsidR="004C7180" w:rsidRPr="00150EDC" w:rsidRDefault="00CF0754" w:rsidP="00B320C7">
      <w:pPr>
        <w:pStyle w:val="ListParagraph"/>
        <w:numPr>
          <w:ilvl w:val="2"/>
          <w:numId w:val="49"/>
        </w:numPr>
        <w:tabs>
          <w:tab w:val="left" w:pos="2837"/>
        </w:tabs>
        <w:spacing w:before="120"/>
        <w:ind w:left="2837" w:hanging="718"/>
        <w:rPr>
          <w:sz w:val="24"/>
        </w:rPr>
      </w:pPr>
      <w:r w:rsidRPr="00150EDC">
        <w:rPr>
          <w:sz w:val="24"/>
        </w:rPr>
        <w:t>loss</w:t>
      </w:r>
      <w:r w:rsidRPr="00150EDC">
        <w:rPr>
          <w:spacing w:val="-2"/>
          <w:sz w:val="24"/>
        </w:rPr>
        <w:t xml:space="preserve"> </w:t>
      </w:r>
      <w:r w:rsidRPr="00150EDC">
        <w:rPr>
          <w:sz w:val="24"/>
        </w:rPr>
        <w:t>of</w:t>
      </w:r>
      <w:r w:rsidRPr="00150EDC">
        <w:rPr>
          <w:spacing w:val="-3"/>
          <w:sz w:val="24"/>
        </w:rPr>
        <w:t xml:space="preserve"> </w:t>
      </w:r>
      <w:r w:rsidRPr="00150EDC">
        <w:rPr>
          <w:sz w:val="24"/>
        </w:rPr>
        <w:t>utilities</w:t>
      </w:r>
      <w:r w:rsidRPr="00150EDC">
        <w:rPr>
          <w:spacing w:val="-1"/>
          <w:sz w:val="24"/>
        </w:rPr>
        <w:t xml:space="preserve"> </w:t>
      </w:r>
      <w:r w:rsidRPr="00150EDC">
        <w:rPr>
          <w:sz w:val="24"/>
        </w:rPr>
        <w:t>to</w:t>
      </w:r>
      <w:r w:rsidRPr="00150EDC">
        <w:rPr>
          <w:spacing w:val="-2"/>
          <w:sz w:val="24"/>
        </w:rPr>
        <w:t xml:space="preserve"> </w:t>
      </w:r>
      <w:r w:rsidRPr="00150EDC">
        <w:rPr>
          <w:sz w:val="24"/>
        </w:rPr>
        <w:t>the</w:t>
      </w:r>
      <w:r w:rsidRPr="00150EDC">
        <w:rPr>
          <w:spacing w:val="-2"/>
          <w:sz w:val="24"/>
        </w:rPr>
        <w:t xml:space="preserve"> </w:t>
      </w:r>
      <w:r w:rsidRPr="00150EDC">
        <w:rPr>
          <w:sz w:val="24"/>
        </w:rPr>
        <w:t>Buyer</w:t>
      </w:r>
      <w:r w:rsidRPr="00150EDC">
        <w:rPr>
          <w:spacing w:val="-2"/>
          <w:sz w:val="24"/>
        </w:rPr>
        <w:t xml:space="preserve"> Premises;</w:t>
      </w:r>
    </w:p>
    <w:p w14:paraId="2C236FDE" w14:textId="77777777" w:rsidR="004C7180" w:rsidRPr="00150EDC" w:rsidRDefault="00CF0754" w:rsidP="00B320C7">
      <w:pPr>
        <w:pStyle w:val="ListParagraph"/>
        <w:numPr>
          <w:ilvl w:val="2"/>
          <w:numId w:val="49"/>
        </w:numPr>
        <w:tabs>
          <w:tab w:val="left" w:pos="2838"/>
        </w:tabs>
        <w:spacing w:before="120"/>
        <w:ind w:left="2838" w:hanging="718"/>
        <w:rPr>
          <w:sz w:val="24"/>
        </w:rPr>
      </w:pPr>
      <w:r w:rsidRPr="00150EDC">
        <w:rPr>
          <w:sz w:val="24"/>
        </w:rPr>
        <w:t>loss</w:t>
      </w:r>
      <w:r w:rsidRPr="00150EDC">
        <w:rPr>
          <w:spacing w:val="-4"/>
          <w:sz w:val="24"/>
        </w:rPr>
        <w:t xml:space="preserve"> </w:t>
      </w:r>
      <w:r w:rsidRPr="00150EDC">
        <w:rPr>
          <w:sz w:val="24"/>
        </w:rPr>
        <w:t>of</w:t>
      </w:r>
      <w:r w:rsidRPr="00150EDC">
        <w:rPr>
          <w:spacing w:val="-1"/>
          <w:sz w:val="24"/>
        </w:rPr>
        <w:t xml:space="preserve"> </w:t>
      </w:r>
      <w:r w:rsidRPr="00150EDC">
        <w:rPr>
          <w:sz w:val="24"/>
        </w:rPr>
        <w:t>the</w:t>
      </w:r>
      <w:r w:rsidRPr="00150EDC">
        <w:rPr>
          <w:spacing w:val="-3"/>
          <w:sz w:val="24"/>
        </w:rPr>
        <w:t xml:space="preserve"> </w:t>
      </w:r>
      <w:r w:rsidRPr="00150EDC">
        <w:rPr>
          <w:sz w:val="24"/>
        </w:rPr>
        <w:t>Supplier's</w:t>
      </w:r>
      <w:r w:rsidRPr="00150EDC">
        <w:rPr>
          <w:spacing w:val="-2"/>
          <w:sz w:val="24"/>
        </w:rPr>
        <w:t xml:space="preserve"> </w:t>
      </w:r>
      <w:r w:rsidRPr="00150EDC">
        <w:rPr>
          <w:sz w:val="24"/>
        </w:rPr>
        <w:t>helpdesk</w:t>
      </w:r>
      <w:r w:rsidRPr="00150EDC">
        <w:rPr>
          <w:spacing w:val="-4"/>
          <w:sz w:val="24"/>
        </w:rPr>
        <w:t xml:space="preserve"> </w:t>
      </w:r>
      <w:r w:rsidRPr="00150EDC">
        <w:rPr>
          <w:sz w:val="24"/>
        </w:rPr>
        <w:t>or</w:t>
      </w:r>
      <w:r w:rsidRPr="00150EDC">
        <w:rPr>
          <w:spacing w:val="-3"/>
          <w:sz w:val="24"/>
        </w:rPr>
        <w:t xml:space="preserve"> </w:t>
      </w:r>
      <w:r w:rsidRPr="00150EDC">
        <w:rPr>
          <w:sz w:val="24"/>
        </w:rPr>
        <w:t>CAFM</w:t>
      </w:r>
      <w:r w:rsidRPr="00150EDC">
        <w:rPr>
          <w:spacing w:val="-2"/>
          <w:sz w:val="24"/>
        </w:rPr>
        <w:t xml:space="preserve"> system;</w:t>
      </w:r>
    </w:p>
    <w:p w14:paraId="6687668C" w14:textId="77777777" w:rsidR="004C7180" w:rsidRPr="00150EDC" w:rsidRDefault="00CF0754" w:rsidP="00B320C7">
      <w:pPr>
        <w:pStyle w:val="ListParagraph"/>
        <w:numPr>
          <w:ilvl w:val="2"/>
          <w:numId w:val="49"/>
        </w:numPr>
        <w:tabs>
          <w:tab w:val="left" w:pos="2838"/>
        </w:tabs>
        <w:spacing w:before="120"/>
        <w:ind w:left="2838" w:hanging="718"/>
        <w:rPr>
          <w:sz w:val="24"/>
        </w:rPr>
      </w:pPr>
      <w:r w:rsidRPr="00150EDC">
        <w:rPr>
          <w:sz w:val="24"/>
        </w:rPr>
        <w:t>loss of</w:t>
      </w:r>
      <w:r w:rsidRPr="00150EDC">
        <w:rPr>
          <w:spacing w:val="-2"/>
          <w:sz w:val="24"/>
        </w:rPr>
        <w:t xml:space="preserve"> </w:t>
      </w:r>
      <w:r w:rsidRPr="00150EDC">
        <w:rPr>
          <w:sz w:val="24"/>
        </w:rPr>
        <w:t>a</w:t>
      </w:r>
      <w:r w:rsidRPr="00150EDC">
        <w:rPr>
          <w:spacing w:val="1"/>
          <w:sz w:val="24"/>
        </w:rPr>
        <w:t xml:space="preserve"> </w:t>
      </w:r>
      <w:r w:rsidRPr="00150EDC">
        <w:rPr>
          <w:spacing w:val="-2"/>
          <w:sz w:val="24"/>
        </w:rPr>
        <w:t>Subcontractor;</w:t>
      </w:r>
    </w:p>
    <w:p w14:paraId="7375ECF6" w14:textId="77777777" w:rsidR="004C7180" w:rsidRPr="00150EDC" w:rsidRDefault="00CF0754" w:rsidP="00B320C7">
      <w:pPr>
        <w:pStyle w:val="ListParagraph"/>
        <w:numPr>
          <w:ilvl w:val="2"/>
          <w:numId w:val="49"/>
        </w:numPr>
        <w:tabs>
          <w:tab w:val="left" w:pos="2838"/>
        </w:tabs>
        <w:spacing w:before="120"/>
        <w:ind w:left="2838" w:hanging="718"/>
        <w:rPr>
          <w:sz w:val="24"/>
        </w:rPr>
      </w:pPr>
      <w:r w:rsidRPr="00150EDC">
        <w:rPr>
          <w:sz w:val="24"/>
        </w:rPr>
        <w:t>emergency</w:t>
      </w:r>
      <w:r w:rsidRPr="00150EDC">
        <w:rPr>
          <w:spacing w:val="-5"/>
          <w:sz w:val="24"/>
        </w:rPr>
        <w:t xml:space="preserve"> </w:t>
      </w:r>
      <w:r w:rsidRPr="00150EDC">
        <w:rPr>
          <w:sz w:val="24"/>
        </w:rPr>
        <w:t>notification</w:t>
      </w:r>
      <w:r w:rsidRPr="00150EDC">
        <w:rPr>
          <w:spacing w:val="-3"/>
          <w:sz w:val="24"/>
        </w:rPr>
        <w:t xml:space="preserve"> </w:t>
      </w:r>
      <w:r w:rsidRPr="00150EDC">
        <w:rPr>
          <w:sz w:val="24"/>
        </w:rPr>
        <w:t>and</w:t>
      </w:r>
      <w:r w:rsidRPr="00150EDC">
        <w:rPr>
          <w:spacing w:val="-4"/>
          <w:sz w:val="24"/>
        </w:rPr>
        <w:t xml:space="preserve"> </w:t>
      </w:r>
      <w:r w:rsidRPr="00150EDC">
        <w:rPr>
          <w:sz w:val="24"/>
        </w:rPr>
        <w:t>escalation</w:t>
      </w:r>
      <w:r w:rsidRPr="00150EDC">
        <w:rPr>
          <w:spacing w:val="-3"/>
          <w:sz w:val="24"/>
        </w:rPr>
        <w:t xml:space="preserve"> </w:t>
      </w:r>
      <w:r w:rsidRPr="00150EDC">
        <w:rPr>
          <w:spacing w:val="-2"/>
          <w:sz w:val="24"/>
        </w:rPr>
        <w:t>process;</w:t>
      </w:r>
    </w:p>
    <w:p w14:paraId="0E108CFC" w14:textId="77777777" w:rsidR="004C7180" w:rsidRPr="00150EDC" w:rsidRDefault="00CF0754" w:rsidP="00B320C7">
      <w:pPr>
        <w:pStyle w:val="ListParagraph"/>
        <w:numPr>
          <w:ilvl w:val="2"/>
          <w:numId w:val="49"/>
        </w:numPr>
        <w:tabs>
          <w:tab w:val="left" w:pos="2838"/>
        </w:tabs>
        <w:spacing w:before="120"/>
        <w:ind w:left="2838" w:hanging="718"/>
        <w:rPr>
          <w:sz w:val="24"/>
        </w:rPr>
      </w:pPr>
      <w:r w:rsidRPr="00150EDC">
        <w:rPr>
          <w:sz w:val="24"/>
        </w:rPr>
        <w:t>contact</w:t>
      </w:r>
      <w:r w:rsidRPr="00150EDC">
        <w:rPr>
          <w:spacing w:val="-3"/>
          <w:sz w:val="24"/>
        </w:rPr>
        <w:t xml:space="preserve"> </w:t>
      </w:r>
      <w:r w:rsidRPr="00150EDC">
        <w:rPr>
          <w:spacing w:val="-2"/>
          <w:sz w:val="24"/>
        </w:rPr>
        <w:t>lists;</w:t>
      </w:r>
    </w:p>
    <w:p w14:paraId="2BFD5D84" w14:textId="77777777" w:rsidR="004C7180" w:rsidRPr="00150EDC" w:rsidRDefault="00CF0754" w:rsidP="00B320C7">
      <w:pPr>
        <w:pStyle w:val="ListParagraph"/>
        <w:numPr>
          <w:ilvl w:val="2"/>
          <w:numId w:val="49"/>
        </w:numPr>
        <w:tabs>
          <w:tab w:val="left" w:pos="2838"/>
        </w:tabs>
        <w:spacing w:before="120"/>
        <w:ind w:left="2838" w:hanging="718"/>
        <w:rPr>
          <w:sz w:val="24"/>
        </w:rPr>
      </w:pPr>
      <w:r w:rsidRPr="00150EDC">
        <w:rPr>
          <w:sz w:val="24"/>
        </w:rPr>
        <w:t>staff</w:t>
      </w:r>
      <w:r w:rsidRPr="00150EDC">
        <w:rPr>
          <w:spacing w:val="-2"/>
          <w:sz w:val="24"/>
        </w:rPr>
        <w:t xml:space="preserve"> </w:t>
      </w:r>
      <w:r w:rsidRPr="00150EDC">
        <w:rPr>
          <w:sz w:val="24"/>
        </w:rPr>
        <w:t>training</w:t>
      </w:r>
      <w:r w:rsidRPr="00150EDC">
        <w:rPr>
          <w:spacing w:val="-3"/>
          <w:sz w:val="24"/>
        </w:rPr>
        <w:t xml:space="preserve"> </w:t>
      </w:r>
      <w:r w:rsidRPr="00150EDC">
        <w:rPr>
          <w:sz w:val="24"/>
        </w:rPr>
        <w:t>and</w:t>
      </w:r>
      <w:r w:rsidRPr="00150EDC">
        <w:rPr>
          <w:spacing w:val="-1"/>
          <w:sz w:val="24"/>
        </w:rPr>
        <w:t xml:space="preserve"> </w:t>
      </w:r>
      <w:r w:rsidRPr="00150EDC">
        <w:rPr>
          <w:spacing w:val="-2"/>
          <w:sz w:val="24"/>
        </w:rPr>
        <w:t>awareness;</w:t>
      </w:r>
    </w:p>
    <w:p w14:paraId="31F94CBF" w14:textId="77777777" w:rsidR="004C7180" w:rsidRPr="00150EDC" w:rsidRDefault="00CF0754" w:rsidP="00B320C7">
      <w:pPr>
        <w:pStyle w:val="ListParagraph"/>
        <w:numPr>
          <w:ilvl w:val="2"/>
          <w:numId w:val="49"/>
        </w:numPr>
        <w:tabs>
          <w:tab w:val="left" w:pos="2838"/>
        </w:tabs>
        <w:spacing w:before="120"/>
        <w:ind w:left="2838" w:hanging="718"/>
        <w:rPr>
          <w:sz w:val="24"/>
        </w:rPr>
      </w:pPr>
      <w:r w:rsidRPr="00150EDC">
        <w:rPr>
          <w:sz w:val="24"/>
        </w:rPr>
        <w:t>BCDR</w:t>
      </w:r>
      <w:r w:rsidRPr="00150EDC">
        <w:rPr>
          <w:spacing w:val="-2"/>
          <w:sz w:val="24"/>
        </w:rPr>
        <w:t xml:space="preserve"> </w:t>
      </w:r>
      <w:r w:rsidRPr="00150EDC">
        <w:rPr>
          <w:sz w:val="24"/>
        </w:rPr>
        <w:t xml:space="preserve">Plan </w:t>
      </w:r>
      <w:r w:rsidRPr="00150EDC">
        <w:rPr>
          <w:spacing w:val="-2"/>
          <w:sz w:val="24"/>
        </w:rPr>
        <w:t>testing;</w:t>
      </w:r>
    </w:p>
    <w:p w14:paraId="44021347" w14:textId="77777777" w:rsidR="004C7180" w:rsidRPr="00150EDC" w:rsidRDefault="00CF0754" w:rsidP="00B320C7">
      <w:pPr>
        <w:pStyle w:val="ListParagraph"/>
        <w:numPr>
          <w:ilvl w:val="2"/>
          <w:numId w:val="49"/>
        </w:numPr>
        <w:tabs>
          <w:tab w:val="left" w:pos="2838"/>
        </w:tabs>
        <w:spacing w:before="120"/>
        <w:ind w:left="2838" w:hanging="718"/>
        <w:rPr>
          <w:sz w:val="24"/>
        </w:rPr>
      </w:pPr>
      <w:r w:rsidRPr="00150EDC">
        <w:rPr>
          <w:sz w:val="24"/>
        </w:rPr>
        <w:t>post</w:t>
      </w:r>
      <w:r w:rsidRPr="00150EDC">
        <w:rPr>
          <w:spacing w:val="-4"/>
          <w:sz w:val="24"/>
        </w:rPr>
        <w:t xml:space="preserve"> </w:t>
      </w:r>
      <w:r w:rsidRPr="00150EDC">
        <w:rPr>
          <w:sz w:val="24"/>
        </w:rPr>
        <w:t>implementation</w:t>
      </w:r>
      <w:r w:rsidRPr="00150EDC">
        <w:rPr>
          <w:spacing w:val="-3"/>
          <w:sz w:val="24"/>
        </w:rPr>
        <w:t xml:space="preserve"> </w:t>
      </w:r>
      <w:r w:rsidRPr="00150EDC">
        <w:rPr>
          <w:sz w:val="24"/>
        </w:rPr>
        <w:t>review</w:t>
      </w:r>
      <w:r w:rsidRPr="00150EDC">
        <w:rPr>
          <w:spacing w:val="-3"/>
          <w:sz w:val="24"/>
        </w:rPr>
        <w:t xml:space="preserve"> </w:t>
      </w:r>
      <w:r w:rsidRPr="00150EDC">
        <w:rPr>
          <w:spacing w:val="-2"/>
          <w:sz w:val="24"/>
        </w:rPr>
        <w:t>process;</w:t>
      </w:r>
    </w:p>
    <w:p w14:paraId="1EAA671B" w14:textId="77777777" w:rsidR="004C7180" w:rsidRPr="00150EDC" w:rsidRDefault="00CF0754" w:rsidP="00B320C7">
      <w:pPr>
        <w:pStyle w:val="ListParagraph"/>
        <w:numPr>
          <w:ilvl w:val="2"/>
          <w:numId w:val="49"/>
        </w:numPr>
        <w:tabs>
          <w:tab w:val="left" w:pos="2837"/>
          <w:tab w:val="left" w:pos="2840"/>
        </w:tabs>
        <w:spacing w:before="118"/>
        <w:ind w:right="1790" w:hanging="720"/>
        <w:rPr>
          <w:sz w:val="24"/>
        </w:rPr>
      </w:pPr>
      <w:r w:rsidRPr="00150EDC">
        <w:rPr>
          <w:sz w:val="24"/>
        </w:rPr>
        <w:t>any applicable Performance Indicators (PI’s) with respect to the provision</w:t>
      </w:r>
      <w:r w:rsidRPr="00150EDC">
        <w:rPr>
          <w:spacing w:val="-3"/>
          <w:sz w:val="24"/>
        </w:rPr>
        <w:t xml:space="preserve"> </w:t>
      </w:r>
      <w:r w:rsidRPr="00150EDC">
        <w:rPr>
          <w:sz w:val="24"/>
        </w:rPr>
        <w:t>of</w:t>
      </w:r>
      <w:r w:rsidRPr="00150EDC">
        <w:rPr>
          <w:spacing w:val="-3"/>
          <w:sz w:val="24"/>
        </w:rPr>
        <w:t xml:space="preserve"> </w:t>
      </w:r>
      <w:r w:rsidRPr="00150EDC">
        <w:rPr>
          <w:sz w:val="24"/>
        </w:rPr>
        <w:t>the</w:t>
      </w:r>
      <w:r w:rsidRPr="00150EDC">
        <w:rPr>
          <w:spacing w:val="-3"/>
          <w:sz w:val="24"/>
        </w:rPr>
        <w:t xml:space="preserve"> </w:t>
      </w:r>
      <w:r w:rsidRPr="00150EDC">
        <w:rPr>
          <w:sz w:val="24"/>
        </w:rPr>
        <w:t>disaster</w:t>
      </w:r>
      <w:r w:rsidRPr="00150EDC">
        <w:rPr>
          <w:spacing w:val="-4"/>
          <w:sz w:val="24"/>
        </w:rPr>
        <w:t xml:space="preserve"> </w:t>
      </w:r>
      <w:r w:rsidRPr="00150EDC">
        <w:rPr>
          <w:sz w:val="24"/>
        </w:rPr>
        <w:t>recovery</w:t>
      </w:r>
      <w:r w:rsidRPr="00150EDC">
        <w:rPr>
          <w:spacing w:val="-3"/>
          <w:sz w:val="24"/>
        </w:rPr>
        <w:t xml:space="preserve"> </w:t>
      </w:r>
      <w:r w:rsidRPr="00150EDC">
        <w:rPr>
          <w:sz w:val="24"/>
        </w:rPr>
        <w:t>services</w:t>
      </w:r>
      <w:r w:rsidRPr="00150EDC">
        <w:rPr>
          <w:spacing w:val="-3"/>
          <w:sz w:val="24"/>
        </w:rPr>
        <w:t xml:space="preserve"> </w:t>
      </w:r>
      <w:r w:rsidRPr="00150EDC">
        <w:rPr>
          <w:sz w:val="24"/>
        </w:rPr>
        <w:t>and</w:t>
      </w:r>
      <w:r w:rsidRPr="00150EDC">
        <w:rPr>
          <w:spacing w:val="-3"/>
          <w:sz w:val="24"/>
        </w:rPr>
        <w:t xml:space="preserve"> </w:t>
      </w:r>
      <w:r w:rsidRPr="00150EDC">
        <w:rPr>
          <w:sz w:val="24"/>
        </w:rPr>
        <w:t>details</w:t>
      </w:r>
      <w:r w:rsidRPr="00150EDC">
        <w:rPr>
          <w:spacing w:val="-3"/>
          <w:sz w:val="24"/>
        </w:rPr>
        <w:t xml:space="preserve"> </w:t>
      </w:r>
      <w:r w:rsidRPr="00150EDC">
        <w:rPr>
          <w:sz w:val="24"/>
        </w:rPr>
        <w:t>of</w:t>
      </w:r>
      <w:r w:rsidRPr="00150EDC">
        <w:rPr>
          <w:spacing w:val="-5"/>
          <w:sz w:val="24"/>
        </w:rPr>
        <w:t xml:space="preserve"> </w:t>
      </w:r>
      <w:r w:rsidRPr="00150EDC">
        <w:rPr>
          <w:sz w:val="24"/>
        </w:rPr>
        <w:t>any</w:t>
      </w:r>
      <w:r w:rsidRPr="00150EDC">
        <w:rPr>
          <w:spacing w:val="-5"/>
          <w:sz w:val="24"/>
        </w:rPr>
        <w:t xml:space="preserve"> </w:t>
      </w:r>
      <w:r w:rsidRPr="00150EDC">
        <w:rPr>
          <w:sz w:val="24"/>
        </w:rPr>
        <w:t>agreed relaxation to the Performance Indicators (PI’s) or Service Levels in respect of the provision of other Deliverables during any period of invocation of the Disaster Recovery Plan;</w:t>
      </w:r>
    </w:p>
    <w:p w14:paraId="0A424842" w14:textId="77777777" w:rsidR="004C7180" w:rsidRPr="00150EDC" w:rsidRDefault="00CF0754" w:rsidP="00B320C7">
      <w:pPr>
        <w:pStyle w:val="ListParagraph"/>
        <w:numPr>
          <w:ilvl w:val="2"/>
          <w:numId w:val="49"/>
        </w:numPr>
        <w:tabs>
          <w:tab w:val="left" w:pos="2837"/>
          <w:tab w:val="left" w:pos="2840"/>
        </w:tabs>
        <w:spacing w:before="120"/>
        <w:ind w:right="1483" w:hanging="720"/>
        <w:rPr>
          <w:sz w:val="24"/>
        </w:rPr>
      </w:pPr>
      <w:r w:rsidRPr="00150EDC">
        <w:rPr>
          <w:sz w:val="24"/>
        </w:rPr>
        <w:t>details of how the Supplier shall ensure compliance with security standards</w:t>
      </w:r>
      <w:r w:rsidRPr="00150EDC">
        <w:rPr>
          <w:spacing w:val="-4"/>
          <w:sz w:val="24"/>
        </w:rPr>
        <w:t xml:space="preserve"> </w:t>
      </w:r>
      <w:r w:rsidRPr="00150EDC">
        <w:rPr>
          <w:sz w:val="24"/>
        </w:rPr>
        <w:t>ensuring</w:t>
      </w:r>
      <w:r w:rsidRPr="00150EDC">
        <w:rPr>
          <w:spacing w:val="-5"/>
          <w:sz w:val="24"/>
        </w:rPr>
        <w:t xml:space="preserve"> </w:t>
      </w:r>
      <w:r w:rsidRPr="00150EDC">
        <w:rPr>
          <w:sz w:val="24"/>
        </w:rPr>
        <w:t>that</w:t>
      </w:r>
      <w:r w:rsidRPr="00150EDC">
        <w:rPr>
          <w:spacing w:val="-3"/>
          <w:sz w:val="24"/>
        </w:rPr>
        <w:t xml:space="preserve"> </w:t>
      </w:r>
      <w:r w:rsidRPr="00150EDC">
        <w:rPr>
          <w:sz w:val="24"/>
        </w:rPr>
        <w:t>compliance</w:t>
      </w:r>
      <w:r w:rsidRPr="00150EDC">
        <w:rPr>
          <w:spacing w:val="-3"/>
          <w:sz w:val="24"/>
        </w:rPr>
        <w:t xml:space="preserve"> </w:t>
      </w:r>
      <w:r w:rsidRPr="00150EDC">
        <w:rPr>
          <w:sz w:val="24"/>
        </w:rPr>
        <w:t>is</w:t>
      </w:r>
      <w:r w:rsidRPr="00150EDC">
        <w:rPr>
          <w:spacing w:val="-4"/>
          <w:sz w:val="24"/>
        </w:rPr>
        <w:t xml:space="preserve"> </w:t>
      </w:r>
      <w:r w:rsidRPr="00150EDC">
        <w:rPr>
          <w:sz w:val="24"/>
        </w:rPr>
        <w:t>maintained</w:t>
      </w:r>
      <w:r w:rsidRPr="00150EDC">
        <w:rPr>
          <w:spacing w:val="-5"/>
          <w:sz w:val="24"/>
        </w:rPr>
        <w:t xml:space="preserve"> </w:t>
      </w:r>
      <w:r w:rsidRPr="00150EDC">
        <w:rPr>
          <w:sz w:val="24"/>
        </w:rPr>
        <w:t>for</w:t>
      </w:r>
      <w:r w:rsidRPr="00150EDC">
        <w:rPr>
          <w:spacing w:val="-5"/>
          <w:sz w:val="24"/>
        </w:rPr>
        <w:t xml:space="preserve"> </w:t>
      </w:r>
      <w:r w:rsidRPr="00150EDC">
        <w:rPr>
          <w:sz w:val="24"/>
        </w:rPr>
        <w:t>any</w:t>
      </w:r>
      <w:r w:rsidRPr="00150EDC">
        <w:rPr>
          <w:spacing w:val="-4"/>
          <w:sz w:val="24"/>
        </w:rPr>
        <w:t xml:space="preserve"> </w:t>
      </w:r>
      <w:r w:rsidRPr="00150EDC">
        <w:rPr>
          <w:sz w:val="24"/>
        </w:rPr>
        <w:t>period</w:t>
      </w:r>
      <w:r w:rsidRPr="00150EDC">
        <w:rPr>
          <w:spacing w:val="-3"/>
          <w:sz w:val="24"/>
        </w:rPr>
        <w:t xml:space="preserve"> </w:t>
      </w:r>
      <w:r w:rsidRPr="00150EDC">
        <w:rPr>
          <w:sz w:val="24"/>
        </w:rPr>
        <w:t>during which the Disaster Recovery Plan is invoked;</w:t>
      </w:r>
    </w:p>
    <w:p w14:paraId="2BDAD076" w14:textId="77777777" w:rsidR="004C7180" w:rsidRPr="00150EDC" w:rsidRDefault="00CF0754" w:rsidP="00B320C7">
      <w:pPr>
        <w:pStyle w:val="ListParagraph"/>
        <w:numPr>
          <w:ilvl w:val="2"/>
          <w:numId w:val="49"/>
        </w:numPr>
        <w:tabs>
          <w:tab w:val="left" w:pos="2837"/>
          <w:tab w:val="left" w:pos="2840"/>
        </w:tabs>
        <w:spacing w:before="120"/>
        <w:ind w:right="1685" w:hanging="720"/>
        <w:rPr>
          <w:sz w:val="24"/>
        </w:rPr>
      </w:pPr>
      <w:r w:rsidRPr="00150EDC">
        <w:rPr>
          <w:sz w:val="24"/>
        </w:rPr>
        <w:t>access</w:t>
      </w:r>
      <w:r w:rsidRPr="00150EDC">
        <w:rPr>
          <w:spacing w:val="-3"/>
          <w:sz w:val="24"/>
        </w:rPr>
        <w:t xml:space="preserve"> </w:t>
      </w:r>
      <w:r w:rsidRPr="00150EDC">
        <w:rPr>
          <w:sz w:val="24"/>
        </w:rPr>
        <w:t>controls</w:t>
      </w:r>
      <w:r w:rsidRPr="00150EDC">
        <w:rPr>
          <w:spacing w:val="-3"/>
          <w:sz w:val="24"/>
        </w:rPr>
        <w:t xml:space="preserve"> </w:t>
      </w:r>
      <w:r w:rsidRPr="00150EDC">
        <w:rPr>
          <w:sz w:val="24"/>
        </w:rPr>
        <w:t>to</w:t>
      </w:r>
      <w:r w:rsidRPr="00150EDC">
        <w:rPr>
          <w:spacing w:val="-2"/>
          <w:sz w:val="24"/>
        </w:rPr>
        <w:t xml:space="preserve"> </w:t>
      </w:r>
      <w:r w:rsidRPr="00150EDC">
        <w:rPr>
          <w:sz w:val="24"/>
        </w:rPr>
        <w:t>any</w:t>
      </w:r>
      <w:r w:rsidRPr="00150EDC">
        <w:rPr>
          <w:spacing w:val="-5"/>
          <w:sz w:val="24"/>
        </w:rPr>
        <w:t xml:space="preserve"> </w:t>
      </w:r>
      <w:r w:rsidRPr="00150EDC">
        <w:rPr>
          <w:sz w:val="24"/>
        </w:rPr>
        <w:t>disaster</w:t>
      </w:r>
      <w:r w:rsidRPr="00150EDC">
        <w:rPr>
          <w:spacing w:val="-4"/>
          <w:sz w:val="24"/>
        </w:rPr>
        <w:t xml:space="preserve"> </w:t>
      </w:r>
      <w:r w:rsidRPr="00150EDC">
        <w:rPr>
          <w:sz w:val="24"/>
        </w:rPr>
        <w:t>recovery</w:t>
      </w:r>
      <w:r w:rsidRPr="00150EDC">
        <w:rPr>
          <w:spacing w:val="-3"/>
          <w:sz w:val="24"/>
        </w:rPr>
        <w:t xml:space="preserve"> </w:t>
      </w:r>
      <w:r w:rsidRPr="00150EDC">
        <w:rPr>
          <w:sz w:val="24"/>
        </w:rPr>
        <w:t>sites</w:t>
      </w:r>
      <w:r w:rsidRPr="00150EDC">
        <w:rPr>
          <w:spacing w:val="-5"/>
          <w:sz w:val="24"/>
        </w:rPr>
        <w:t xml:space="preserve"> </w:t>
      </w:r>
      <w:r w:rsidRPr="00150EDC">
        <w:rPr>
          <w:sz w:val="24"/>
        </w:rPr>
        <w:t>used</w:t>
      </w:r>
      <w:r w:rsidRPr="00150EDC">
        <w:rPr>
          <w:spacing w:val="-4"/>
          <w:sz w:val="24"/>
        </w:rPr>
        <w:t xml:space="preserve"> </w:t>
      </w:r>
      <w:r w:rsidRPr="00150EDC">
        <w:rPr>
          <w:sz w:val="24"/>
        </w:rPr>
        <w:t>by</w:t>
      </w:r>
      <w:r w:rsidRPr="00150EDC">
        <w:rPr>
          <w:spacing w:val="-3"/>
          <w:sz w:val="24"/>
        </w:rPr>
        <w:t xml:space="preserve"> </w:t>
      </w:r>
      <w:r w:rsidRPr="00150EDC">
        <w:rPr>
          <w:sz w:val="24"/>
        </w:rPr>
        <w:t>the</w:t>
      </w:r>
      <w:r w:rsidRPr="00150EDC">
        <w:rPr>
          <w:spacing w:val="-2"/>
          <w:sz w:val="24"/>
        </w:rPr>
        <w:t xml:space="preserve"> </w:t>
      </w:r>
      <w:r w:rsidRPr="00150EDC">
        <w:rPr>
          <w:sz w:val="24"/>
        </w:rPr>
        <w:t>Supplier</w:t>
      </w:r>
      <w:r w:rsidRPr="00150EDC">
        <w:rPr>
          <w:spacing w:val="-4"/>
          <w:sz w:val="24"/>
        </w:rPr>
        <w:t xml:space="preserve"> </w:t>
      </w:r>
      <w:r w:rsidRPr="00150EDC">
        <w:rPr>
          <w:sz w:val="24"/>
        </w:rPr>
        <w:t>in relation to its obligations pursuant to this Schedule; and</w:t>
      </w:r>
    </w:p>
    <w:p w14:paraId="047C1976" w14:textId="77777777" w:rsidR="004C7180" w:rsidRPr="00150EDC" w:rsidRDefault="00CF0754" w:rsidP="00B320C7">
      <w:pPr>
        <w:pStyle w:val="ListParagraph"/>
        <w:numPr>
          <w:ilvl w:val="2"/>
          <w:numId w:val="49"/>
        </w:numPr>
        <w:tabs>
          <w:tab w:val="left" w:pos="2837"/>
        </w:tabs>
        <w:spacing w:before="120"/>
        <w:ind w:left="2837" w:hanging="717"/>
        <w:rPr>
          <w:sz w:val="24"/>
        </w:rPr>
      </w:pPr>
      <w:r w:rsidRPr="00150EDC">
        <w:rPr>
          <w:sz w:val="24"/>
        </w:rPr>
        <w:t>testing</w:t>
      </w:r>
      <w:r w:rsidRPr="00150EDC">
        <w:rPr>
          <w:spacing w:val="-4"/>
          <w:sz w:val="24"/>
        </w:rPr>
        <w:t xml:space="preserve"> </w:t>
      </w:r>
      <w:r w:rsidRPr="00150EDC">
        <w:rPr>
          <w:sz w:val="24"/>
        </w:rPr>
        <w:t>and</w:t>
      </w:r>
      <w:r w:rsidRPr="00150EDC">
        <w:rPr>
          <w:spacing w:val="-4"/>
          <w:sz w:val="24"/>
        </w:rPr>
        <w:t xml:space="preserve"> </w:t>
      </w:r>
      <w:r w:rsidRPr="00150EDC">
        <w:rPr>
          <w:sz w:val="24"/>
        </w:rPr>
        <w:t>management</w:t>
      </w:r>
      <w:r w:rsidRPr="00150EDC">
        <w:rPr>
          <w:spacing w:val="-1"/>
          <w:sz w:val="24"/>
        </w:rPr>
        <w:t xml:space="preserve"> </w:t>
      </w:r>
      <w:r w:rsidRPr="00150EDC">
        <w:rPr>
          <w:spacing w:val="-2"/>
          <w:sz w:val="24"/>
        </w:rPr>
        <w:t>arrangements.</w:t>
      </w:r>
    </w:p>
    <w:p w14:paraId="27E96822" w14:textId="77777777" w:rsidR="004C7180" w:rsidRPr="00150EDC" w:rsidRDefault="004C7180">
      <w:pPr>
        <w:pStyle w:val="BodyText"/>
        <w:spacing w:before="10"/>
        <w:rPr>
          <w:sz w:val="20"/>
        </w:rPr>
      </w:pPr>
    </w:p>
    <w:p w14:paraId="404CB6E5" w14:textId="77777777" w:rsidR="004C7180" w:rsidRPr="00150EDC" w:rsidRDefault="00CF0754" w:rsidP="00B320C7">
      <w:pPr>
        <w:pStyle w:val="Heading4"/>
        <w:numPr>
          <w:ilvl w:val="0"/>
          <w:numId w:val="49"/>
        </w:numPr>
        <w:tabs>
          <w:tab w:val="left" w:pos="2119"/>
        </w:tabs>
        <w:ind w:left="2119" w:hanging="719"/>
        <w:jc w:val="left"/>
      </w:pPr>
      <w:r w:rsidRPr="00150EDC">
        <w:t>Insolvency</w:t>
      </w:r>
      <w:r w:rsidRPr="00150EDC">
        <w:rPr>
          <w:spacing w:val="-3"/>
        </w:rPr>
        <w:t xml:space="preserve"> </w:t>
      </w:r>
      <w:r w:rsidRPr="00150EDC">
        <w:t>Continuity</w:t>
      </w:r>
      <w:r w:rsidRPr="00150EDC">
        <w:rPr>
          <w:spacing w:val="-3"/>
        </w:rPr>
        <w:t xml:space="preserve"> </w:t>
      </w:r>
      <w:r w:rsidRPr="00150EDC">
        <w:t>Plan</w:t>
      </w:r>
      <w:r w:rsidRPr="00150EDC">
        <w:rPr>
          <w:spacing w:val="-6"/>
        </w:rPr>
        <w:t xml:space="preserve"> </w:t>
      </w:r>
      <w:r w:rsidRPr="00150EDC">
        <w:t>(Section</w:t>
      </w:r>
      <w:r w:rsidRPr="00150EDC">
        <w:rPr>
          <w:spacing w:val="-6"/>
        </w:rPr>
        <w:t xml:space="preserve"> </w:t>
      </w:r>
      <w:r w:rsidRPr="00150EDC">
        <w:rPr>
          <w:spacing w:val="-5"/>
        </w:rPr>
        <w:t>4)</w:t>
      </w:r>
    </w:p>
    <w:p w14:paraId="5A114129" w14:textId="77777777" w:rsidR="004C7180" w:rsidRPr="00150EDC" w:rsidRDefault="004C7180">
      <w:pPr>
        <w:pStyle w:val="BodyText"/>
        <w:spacing w:before="10"/>
        <w:rPr>
          <w:b/>
          <w:sz w:val="20"/>
        </w:rPr>
      </w:pPr>
    </w:p>
    <w:p w14:paraId="62FDB728" w14:textId="77777777" w:rsidR="004C7180" w:rsidRPr="00150EDC" w:rsidRDefault="00CF0754" w:rsidP="00B320C7">
      <w:pPr>
        <w:pStyle w:val="ListParagraph"/>
        <w:numPr>
          <w:ilvl w:val="1"/>
          <w:numId w:val="49"/>
        </w:numPr>
        <w:tabs>
          <w:tab w:val="left" w:pos="2117"/>
          <w:tab w:val="left" w:pos="2120"/>
        </w:tabs>
        <w:ind w:left="2120" w:right="1434" w:hanging="720"/>
        <w:jc w:val="both"/>
        <w:rPr>
          <w:sz w:val="24"/>
        </w:rPr>
      </w:pPr>
      <w:r w:rsidRPr="00150EDC">
        <w:rPr>
          <w:sz w:val="24"/>
        </w:rPr>
        <w:t>The Insolvency Continuity Plan shall be designed by the Supplier to permit continuity</w:t>
      </w:r>
      <w:r w:rsidRPr="00150EDC">
        <w:rPr>
          <w:spacing w:val="-17"/>
          <w:sz w:val="24"/>
        </w:rPr>
        <w:t xml:space="preserve"> </w:t>
      </w:r>
      <w:r w:rsidRPr="00150EDC">
        <w:rPr>
          <w:sz w:val="24"/>
        </w:rPr>
        <w:t>of</w:t>
      </w:r>
      <w:r w:rsidRPr="00150EDC">
        <w:rPr>
          <w:spacing w:val="-17"/>
          <w:sz w:val="24"/>
        </w:rPr>
        <w:t xml:space="preserve"> </w:t>
      </w:r>
      <w:r w:rsidRPr="00150EDC">
        <w:rPr>
          <w:sz w:val="24"/>
        </w:rPr>
        <w:t>the</w:t>
      </w:r>
      <w:r w:rsidRPr="00150EDC">
        <w:rPr>
          <w:spacing w:val="-16"/>
          <w:sz w:val="24"/>
        </w:rPr>
        <w:t xml:space="preserve"> </w:t>
      </w:r>
      <w:r w:rsidRPr="00150EDC">
        <w:rPr>
          <w:sz w:val="24"/>
        </w:rPr>
        <w:t>business</w:t>
      </w:r>
      <w:r w:rsidRPr="00150EDC">
        <w:rPr>
          <w:spacing w:val="-17"/>
          <w:sz w:val="24"/>
        </w:rPr>
        <w:t xml:space="preserve"> </w:t>
      </w:r>
      <w:r w:rsidRPr="00150EDC">
        <w:rPr>
          <w:sz w:val="24"/>
        </w:rPr>
        <w:t>operations</w:t>
      </w:r>
      <w:r w:rsidRPr="00150EDC">
        <w:rPr>
          <w:spacing w:val="-17"/>
          <w:sz w:val="24"/>
        </w:rPr>
        <w:t xml:space="preserve"> </w:t>
      </w:r>
      <w:r w:rsidRPr="00150EDC">
        <w:rPr>
          <w:sz w:val="24"/>
        </w:rPr>
        <w:t>of</w:t>
      </w:r>
      <w:r w:rsidRPr="00150EDC">
        <w:rPr>
          <w:spacing w:val="-17"/>
          <w:sz w:val="24"/>
        </w:rPr>
        <w:t xml:space="preserve"> </w:t>
      </w:r>
      <w:r w:rsidRPr="00150EDC">
        <w:rPr>
          <w:sz w:val="24"/>
        </w:rPr>
        <w:t>the</w:t>
      </w:r>
      <w:r w:rsidRPr="00150EDC">
        <w:rPr>
          <w:spacing w:val="-16"/>
          <w:sz w:val="24"/>
        </w:rPr>
        <w:t xml:space="preserve"> </w:t>
      </w:r>
      <w:r w:rsidRPr="00150EDC">
        <w:rPr>
          <w:sz w:val="24"/>
        </w:rPr>
        <w:t>Buyer</w:t>
      </w:r>
      <w:r w:rsidRPr="00150EDC">
        <w:rPr>
          <w:spacing w:val="-17"/>
          <w:sz w:val="24"/>
        </w:rPr>
        <w:t xml:space="preserve"> </w:t>
      </w:r>
      <w:r w:rsidRPr="00150EDC">
        <w:rPr>
          <w:sz w:val="24"/>
        </w:rPr>
        <w:t>supported</w:t>
      </w:r>
      <w:r w:rsidRPr="00150EDC">
        <w:rPr>
          <w:spacing w:val="-17"/>
          <w:sz w:val="24"/>
        </w:rPr>
        <w:t xml:space="preserve"> </w:t>
      </w:r>
      <w:r w:rsidRPr="00150EDC">
        <w:rPr>
          <w:sz w:val="24"/>
        </w:rPr>
        <w:t>by</w:t>
      </w:r>
      <w:r w:rsidRPr="00150EDC">
        <w:rPr>
          <w:spacing w:val="-16"/>
          <w:sz w:val="24"/>
        </w:rPr>
        <w:t xml:space="preserve"> </w:t>
      </w:r>
      <w:r w:rsidRPr="00150EDC">
        <w:rPr>
          <w:sz w:val="24"/>
        </w:rPr>
        <w:t>the</w:t>
      </w:r>
      <w:r w:rsidRPr="00150EDC">
        <w:rPr>
          <w:spacing w:val="-17"/>
          <w:sz w:val="24"/>
        </w:rPr>
        <w:t xml:space="preserve"> </w:t>
      </w:r>
      <w:r w:rsidRPr="00150EDC">
        <w:rPr>
          <w:sz w:val="24"/>
        </w:rPr>
        <w:t>Deliverables through continued provision of the Deliverables following an Insolvency Event</w:t>
      </w:r>
    </w:p>
    <w:p w14:paraId="3A685DA3" w14:textId="77777777" w:rsidR="004C7180" w:rsidRPr="00150EDC" w:rsidRDefault="004C7180">
      <w:pPr>
        <w:jc w:val="both"/>
        <w:rPr>
          <w:sz w:val="24"/>
        </w:rPr>
        <w:sectPr w:rsidR="004C7180" w:rsidRPr="00150EDC">
          <w:pgSz w:w="11910" w:h="16840"/>
          <w:pgMar w:top="1380" w:right="0" w:bottom="1380" w:left="40" w:header="715" w:footer="1192" w:gutter="0"/>
          <w:cols w:space="720"/>
        </w:sectPr>
      </w:pPr>
    </w:p>
    <w:p w14:paraId="50DD0377" w14:textId="77777777" w:rsidR="004C7180" w:rsidRPr="00150EDC" w:rsidRDefault="004C7180">
      <w:pPr>
        <w:pStyle w:val="BodyText"/>
        <w:spacing w:before="1"/>
        <w:rPr>
          <w:sz w:val="12"/>
        </w:rPr>
      </w:pPr>
    </w:p>
    <w:p w14:paraId="49DAD07C" w14:textId="77777777" w:rsidR="004C7180" w:rsidRPr="00150EDC" w:rsidRDefault="00CF0754">
      <w:pPr>
        <w:pStyle w:val="BodyText"/>
        <w:spacing w:before="92"/>
        <w:ind w:left="2120" w:right="1433"/>
        <w:jc w:val="both"/>
      </w:pPr>
      <w:r w:rsidRPr="00150EDC">
        <w:t>of the Supplier, any Key Sub-contractor and/or any Supplier Group member with, as far as reasonably possible, minimal adverse impact.</w:t>
      </w:r>
    </w:p>
    <w:p w14:paraId="6A7D003B" w14:textId="77777777" w:rsidR="004C7180" w:rsidRPr="00150EDC" w:rsidRDefault="00CF0754" w:rsidP="00B320C7">
      <w:pPr>
        <w:pStyle w:val="ListParagraph"/>
        <w:numPr>
          <w:ilvl w:val="1"/>
          <w:numId w:val="49"/>
        </w:numPr>
        <w:tabs>
          <w:tab w:val="left" w:pos="2117"/>
        </w:tabs>
        <w:spacing w:before="120"/>
        <w:ind w:left="2117" w:hanging="717"/>
        <w:jc w:val="both"/>
        <w:rPr>
          <w:sz w:val="24"/>
        </w:rPr>
      </w:pPr>
      <w:r w:rsidRPr="00150EDC">
        <w:rPr>
          <w:sz w:val="24"/>
        </w:rPr>
        <w:t>The</w:t>
      </w:r>
      <w:r w:rsidRPr="00150EDC">
        <w:rPr>
          <w:spacing w:val="-4"/>
          <w:sz w:val="24"/>
        </w:rPr>
        <w:t xml:space="preserve"> </w:t>
      </w:r>
      <w:r w:rsidRPr="00150EDC">
        <w:rPr>
          <w:sz w:val="24"/>
        </w:rPr>
        <w:t>Insolvency</w:t>
      </w:r>
      <w:r w:rsidRPr="00150EDC">
        <w:rPr>
          <w:spacing w:val="-5"/>
          <w:sz w:val="24"/>
        </w:rPr>
        <w:t xml:space="preserve"> </w:t>
      </w:r>
      <w:r w:rsidRPr="00150EDC">
        <w:rPr>
          <w:sz w:val="24"/>
        </w:rPr>
        <w:t>Continuity</w:t>
      </w:r>
      <w:r w:rsidRPr="00150EDC">
        <w:rPr>
          <w:spacing w:val="-2"/>
          <w:sz w:val="24"/>
        </w:rPr>
        <w:t xml:space="preserve"> </w:t>
      </w:r>
      <w:r w:rsidRPr="00150EDC">
        <w:rPr>
          <w:sz w:val="24"/>
        </w:rPr>
        <w:t>Plan</w:t>
      </w:r>
      <w:r w:rsidRPr="00150EDC">
        <w:rPr>
          <w:spacing w:val="-4"/>
          <w:sz w:val="24"/>
        </w:rPr>
        <w:t xml:space="preserve"> </w:t>
      </w:r>
      <w:r w:rsidRPr="00150EDC">
        <w:rPr>
          <w:sz w:val="24"/>
        </w:rPr>
        <w:t>shall</w:t>
      </w:r>
      <w:r w:rsidRPr="00150EDC">
        <w:rPr>
          <w:spacing w:val="-2"/>
          <w:sz w:val="24"/>
        </w:rPr>
        <w:t xml:space="preserve"> </w:t>
      </w:r>
      <w:r w:rsidRPr="00150EDC">
        <w:rPr>
          <w:sz w:val="24"/>
        </w:rPr>
        <w:t>include</w:t>
      </w:r>
      <w:r w:rsidRPr="00150EDC">
        <w:rPr>
          <w:spacing w:val="-4"/>
          <w:sz w:val="24"/>
        </w:rPr>
        <w:t xml:space="preserve"> </w:t>
      </w:r>
      <w:r w:rsidRPr="00150EDC">
        <w:rPr>
          <w:sz w:val="24"/>
        </w:rPr>
        <w:t>the</w:t>
      </w:r>
      <w:r w:rsidRPr="00150EDC">
        <w:rPr>
          <w:spacing w:val="-1"/>
          <w:sz w:val="24"/>
        </w:rPr>
        <w:t xml:space="preserve"> </w:t>
      </w:r>
      <w:r w:rsidRPr="00150EDC">
        <w:rPr>
          <w:spacing w:val="-2"/>
          <w:sz w:val="24"/>
        </w:rPr>
        <w:t>following:</w:t>
      </w:r>
    </w:p>
    <w:p w14:paraId="587ED9CF" w14:textId="77777777" w:rsidR="004C7180" w:rsidRPr="00150EDC" w:rsidRDefault="00CF0754" w:rsidP="00B320C7">
      <w:pPr>
        <w:pStyle w:val="ListParagraph"/>
        <w:numPr>
          <w:ilvl w:val="2"/>
          <w:numId w:val="49"/>
        </w:numPr>
        <w:tabs>
          <w:tab w:val="left" w:pos="2838"/>
          <w:tab w:val="left" w:pos="2840"/>
        </w:tabs>
        <w:spacing w:before="121"/>
        <w:ind w:right="1433" w:hanging="720"/>
        <w:jc w:val="both"/>
        <w:rPr>
          <w:sz w:val="24"/>
        </w:rPr>
      </w:pPr>
      <w:r w:rsidRPr="00150EDC">
        <w:rPr>
          <w:sz w:val="24"/>
        </w:rPr>
        <w:t>communication strategies which are designed to minimise the potential disruption to the provision of the Deliverables, including key contact details in respect of the supply chain and key contact details for operational and contract Supplier Staff, Key Subcontractor personnel and Supplier Group member personnel;</w:t>
      </w:r>
    </w:p>
    <w:p w14:paraId="1576B624" w14:textId="77777777" w:rsidR="004C7180" w:rsidRPr="00150EDC" w:rsidRDefault="00CF0754" w:rsidP="00B320C7">
      <w:pPr>
        <w:pStyle w:val="ListParagraph"/>
        <w:numPr>
          <w:ilvl w:val="2"/>
          <w:numId w:val="49"/>
        </w:numPr>
        <w:tabs>
          <w:tab w:val="left" w:pos="2838"/>
          <w:tab w:val="left" w:pos="2840"/>
        </w:tabs>
        <w:spacing w:before="120"/>
        <w:ind w:right="1434" w:hanging="720"/>
        <w:jc w:val="both"/>
        <w:rPr>
          <w:sz w:val="24"/>
        </w:rPr>
      </w:pPr>
      <w:r w:rsidRPr="00150EDC">
        <w:rPr>
          <w:sz w:val="24"/>
        </w:rPr>
        <w:t>identification, explanation, assessment and an impact analysis of risks in respect of dependencies between the Supplier, Key Subcontractors and</w:t>
      </w:r>
      <w:r w:rsidRPr="00150EDC">
        <w:rPr>
          <w:spacing w:val="-17"/>
          <w:sz w:val="24"/>
        </w:rPr>
        <w:t xml:space="preserve"> </w:t>
      </w:r>
      <w:r w:rsidRPr="00150EDC">
        <w:rPr>
          <w:sz w:val="24"/>
        </w:rPr>
        <w:t>Supplier</w:t>
      </w:r>
      <w:r w:rsidRPr="00150EDC">
        <w:rPr>
          <w:spacing w:val="-17"/>
          <w:sz w:val="24"/>
        </w:rPr>
        <w:t xml:space="preserve"> </w:t>
      </w:r>
      <w:r w:rsidRPr="00150EDC">
        <w:rPr>
          <w:sz w:val="24"/>
        </w:rPr>
        <w:t>Group</w:t>
      </w:r>
      <w:r w:rsidRPr="00150EDC">
        <w:rPr>
          <w:spacing w:val="-16"/>
          <w:sz w:val="24"/>
        </w:rPr>
        <w:t xml:space="preserve"> </w:t>
      </w:r>
      <w:r w:rsidRPr="00150EDC">
        <w:rPr>
          <w:sz w:val="24"/>
        </w:rPr>
        <w:t>members</w:t>
      </w:r>
      <w:r w:rsidRPr="00150EDC">
        <w:rPr>
          <w:spacing w:val="-17"/>
          <w:sz w:val="24"/>
        </w:rPr>
        <w:t xml:space="preserve"> </w:t>
      </w:r>
      <w:r w:rsidRPr="00150EDC">
        <w:rPr>
          <w:sz w:val="24"/>
        </w:rPr>
        <w:t>where</w:t>
      </w:r>
      <w:r w:rsidRPr="00150EDC">
        <w:rPr>
          <w:spacing w:val="-17"/>
          <w:sz w:val="24"/>
        </w:rPr>
        <w:t xml:space="preserve"> </w:t>
      </w:r>
      <w:r w:rsidRPr="00150EDC">
        <w:rPr>
          <w:sz w:val="24"/>
        </w:rPr>
        <w:t>failure</w:t>
      </w:r>
      <w:r w:rsidRPr="00150EDC">
        <w:rPr>
          <w:spacing w:val="-17"/>
          <w:sz w:val="24"/>
        </w:rPr>
        <w:t xml:space="preserve"> </w:t>
      </w:r>
      <w:r w:rsidRPr="00150EDC">
        <w:rPr>
          <w:sz w:val="24"/>
        </w:rPr>
        <w:t>of</w:t>
      </w:r>
      <w:r w:rsidRPr="00150EDC">
        <w:rPr>
          <w:spacing w:val="-16"/>
          <w:sz w:val="24"/>
        </w:rPr>
        <w:t xml:space="preserve"> </w:t>
      </w:r>
      <w:r w:rsidRPr="00150EDC">
        <w:rPr>
          <w:sz w:val="24"/>
        </w:rPr>
        <w:t>those</w:t>
      </w:r>
      <w:r w:rsidRPr="00150EDC">
        <w:rPr>
          <w:spacing w:val="-17"/>
          <w:sz w:val="24"/>
        </w:rPr>
        <w:t xml:space="preserve"> </w:t>
      </w:r>
      <w:r w:rsidRPr="00150EDC">
        <w:rPr>
          <w:sz w:val="24"/>
        </w:rPr>
        <w:t>dependencies</w:t>
      </w:r>
      <w:r w:rsidRPr="00150EDC">
        <w:rPr>
          <w:spacing w:val="-17"/>
          <w:sz w:val="24"/>
        </w:rPr>
        <w:t xml:space="preserve"> </w:t>
      </w:r>
      <w:r w:rsidRPr="00150EDC">
        <w:rPr>
          <w:sz w:val="24"/>
        </w:rPr>
        <w:t>could reasonably have an adverse impact on the Deliverables;</w:t>
      </w:r>
    </w:p>
    <w:p w14:paraId="063631B0" w14:textId="77777777" w:rsidR="004C7180" w:rsidRPr="00150EDC" w:rsidRDefault="00CF0754" w:rsidP="00B320C7">
      <w:pPr>
        <w:pStyle w:val="ListParagraph"/>
        <w:numPr>
          <w:ilvl w:val="2"/>
          <w:numId w:val="49"/>
        </w:numPr>
        <w:tabs>
          <w:tab w:val="left" w:pos="2838"/>
        </w:tabs>
        <w:spacing w:before="120"/>
        <w:ind w:left="2838" w:hanging="718"/>
        <w:jc w:val="both"/>
        <w:rPr>
          <w:sz w:val="24"/>
        </w:rPr>
      </w:pPr>
      <w:r w:rsidRPr="00150EDC">
        <w:rPr>
          <w:sz w:val="24"/>
        </w:rPr>
        <w:t>plans</w:t>
      </w:r>
      <w:r w:rsidRPr="00150EDC">
        <w:rPr>
          <w:spacing w:val="-3"/>
          <w:sz w:val="24"/>
        </w:rPr>
        <w:t xml:space="preserve"> </w:t>
      </w:r>
      <w:r w:rsidRPr="00150EDC">
        <w:rPr>
          <w:sz w:val="24"/>
        </w:rPr>
        <w:t>to</w:t>
      </w:r>
      <w:r w:rsidRPr="00150EDC">
        <w:rPr>
          <w:spacing w:val="-3"/>
          <w:sz w:val="24"/>
        </w:rPr>
        <w:t xml:space="preserve"> </w:t>
      </w:r>
      <w:r w:rsidRPr="00150EDC">
        <w:rPr>
          <w:sz w:val="24"/>
        </w:rPr>
        <w:t>manage</w:t>
      </w:r>
      <w:r w:rsidRPr="00150EDC">
        <w:rPr>
          <w:spacing w:val="-1"/>
          <w:sz w:val="24"/>
        </w:rPr>
        <w:t xml:space="preserve"> </w:t>
      </w:r>
      <w:r w:rsidRPr="00150EDC">
        <w:rPr>
          <w:sz w:val="24"/>
        </w:rPr>
        <w:t>and</w:t>
      </w:r>
      <w:r w:rsidRPr="00150EDC">
        <w:rPr>
          <w:spacing w:val="-4"/>
          <w:sz w:val="24"/>
        </w:rPr>
        <w:t xml:space="preserve"> </w:t>
      </w:r>
      <w:r w:rsidRPr="00150EDC">
        <w:rPr>
          <w:sz w:val="24"/>
        </w:rPr>
        <w:t>mitigate</w:t>
      </w:r>
      <w:r w:rsidRPr="00150EDC">
        <w:rPr>
          <w:spacing w:val="-1"/>
          <w:sz w:val="24"/>
        </w:rPr>
        <w:t xml:space="preserve"> </w:t>
      </w:r>
      <w:r w:rsidRPr="00150EDC">
        <w:rPr>
          <w:sz w:val="24"/>
        </w:rPr>
        <w:t>identified</w:t>
      </w:r>
      <w:r w:rsidRPr="00150EDC">
        <w:rPr>
          <w:spacing w:val="-1"/>
          <w:sz w:val="24"/>
        </w:rPr>
        <w:t xml:space="preserve"> </w:t>
      </w:r>
      <w:r w:rsidRPr="00150EDC">
        <w:rPr>
          <w:spacing w:val="-2"/>
          <w:sz w:val="24"/>
        </w:rPr>
        <w:t>risks;</w:t>
      </w:r>
    </w:p>
    <w:p w14:paraId="681CDFA9" w14:textId="77777777" w:rsidR="004C7180" w:rsidRPr="00150EDC" w:rsidRDefault="00CF0754" w:rsidP="00B320C7">
      <w:pPr>
        <w:pStyle w:val="ListParagraph"/>
        <w:numPr>
          <w:ilvl w:val="2"/>
          <w:numId w:val="49"/>
        </w:numPr>
        <w:tabs>
          <w:tab w:val="left" w:pos="2838"/>
          <w:tab w:val="left" w:pos="2840"/>
        </w:tabs>
        <w:spacing w:before="120"/>
        <w:ind w:right="1434" w:hanging="720"/>
        <w:jc w:val="both"/>
        <w:rPr>
          <w:sz w:val="24"/>
        </w:rPr>
      </w:pPr>
      <w:r w:rsidRPr="00150EDC">
        <w:rPr>
          <w:sz w:val="24"/>
        </w:rPr>
        <w:t xml:space="preserve">details of the roles and responsibilities of the Supplier, Key Subcontractors and/or Supplier Group members to minimise and mitigate the effects of an Insolvency Event of such persons on the </w:t>
      </w:r>
      <w:r w:rsidRPr="00150EDC">
        <w:rPr>
          <w:spacing w:val="-2"/>
          <w:sz w:val="24"/>
        </w:rPr>
        <w:t>Deliverables;</w:t>
      </w:r>
    </w:p>
    <w:p w14:paraId="36BD5579" w14:textId="77777777" w:rsidR="004C7180" w:rsidRPr="00150EDC" w:rsidRDefault="00CF0754" w:rsidP="00B320C7">
      <w:pPr>
        <w:pStyle w:val="ListParagraph"/>
        <w:numPr>
          <w:ilvl w:val="2"/>
          <w:numId w:val="49"/>
        </w:numPr>
        <w:tabs>
          <w:tab w:val="left" w:pos="2838"/>
          <w:tab w:val="left" w:pos="2840"/>
        </w:tabs>
        <w:spacing w:before="120"/>
        <w:ind w:right="1434" w:hanging="720"/>
        <w:jc w:val="both"/>
        <w:rPr>
          <w:sz w:val="24"/>
        </w:rPr>
      </w:pPr>
      <w:r w:rsidRPr="00150EDC">
        <w:rPr>
          <w:sz w:val="24"/>
        </w:rPr>
        <w:t>details of the recovery team to be put in place by the Supplier (which may include representatives of the Supplier, Key Subcontractors and Supplier Group members); and</w:t>
      </w:r>
    </w:p>
    <w:p w14:paraId="1884DF32" w14:textId="77777777" w:rsidR="004C7180" w:rsidRPr="00150EDC" w:rsidRDefault="00CF0754" w:rsidP="00B320C7">
      <w:pPr>
        <w:pStyle w:val="ListParagraph"/>
        <w:numPr>
          <w:ilvl w:val="2"/>
          <w:numId w:val="49"/>
        </w:numPr>
        <w:tabs>
          <w:tab w:val="left" w:pos="2838"/>
          <w:tab w:val="left" w:pos="2840"/>
        </w:tabs>
        <w:spacing w:before="120"/>
        <w:ind w:right="1436" w:hanging="720"/>
        <w:jc w:val="both"/>
        <w:rPr>
          <w:sz w:val="24"/>
        </w:rPr>
      </w:pPr>
      <w:r w:rsidRPr="00150EDC">
        <w:rPr>
          <w:sz w:val="24"/>
        </w:rPr>
        <w:t>sufficient</w:t>
      </w:r>
      <w:r w:rsidRPr="00150EDC">
        <w:rPr>
          <w:spacing w:val="-2"/>
          <w:sz w:val="24"/>
        </w:rPr>
        <w:t xml:space="preserve"> </w:t>
      </w:r>
      <w:r w:rsidRPr="00150EDC">
        <w:rPr>
          <w:sz w:val="24"/>
        </w:rPr>
        <w:t>detail</w:t>
      </w:r>
      <w:r w:rsidRPr="00150EDC">
        <w:rPr>
          <w:spacing w:val="-1"/>
          <w:sz w:val="24"/>
        </w:rPr>
        <w:t xml:space="preserve"> </w:t>
      </w:r>
      <w:r w:rsidRPr="00150EDC">
        <w:rPr>
          <w:sz w:val="24"/>
        </w:rPr>
        <w:t>to</w:t>
      </w:r>
      <w:r w:rsidRPr="00150EDC">
        <w:rPr>
          <w:spacing w:val="-2"/>
          <w:sz w:val="24"/>
        </w:rPr>
        <w:t xml:space="preserve"> </w:t>
      </w:r>
      <w:r w:rsidRPr="00150EDC">
        <w:rPr>
          <w:sz w:val="24"/>
        </w:rPr>
        <w:t>enable</w:t>
      </w:r>
      <w:r w:rsidRPr="00150EDC">
        <w:rPr>
          <w:spacing w:val="-1"/>
          <w:sz w:val="24"/>
        </w:rPr>
        <w:t xml:space="preserve"> </w:t>
      </w:r>
      <w:r w:rsidRPr="00150EDC">
        <w:rPr>
          <w:sz w:val="24"/>
        </w:rPr>
        <w:t>an</w:t>
      </w:r>
      <w:r w:rsidRPr="00150EDC">
        <w:rPr>
          <w:spacing w:val="-1"/>
          <w:sz w:val="24"/>
        </w:rPr>
        <w:t xml:space="preserve"> </w:t>
      </w:r>
      <w:r w:rsidRPr="00150EDC">
        <w:rPr>
          <w:sz w:val="24"/>
        </w:rPr>
        <w:t>appointed</w:t>
      </w:r>
      <w:r w:rsidRPr="00150EDC">
        <w:rPr>
          <w:spacing w:val="-2"/>
          <w:sz w:val="24"/>
        </w:rPr>
        <w:t xml:space="preserve"> </w:t>
      </w:r>
      <w:r w:rsidRPr="00150EDC">
        <w:rPr>
          <w:sz w:val="24"/>
        </w:rPr>
        <w:t>insolvency</w:t>
      </w:r>
      <w:r w:rsidRPr="00150EDC">
        <w:rPr>
          <w:spacing w:val="-1"/>
          <w:sz w:val="24"/>
        </w:rPr>
        <w:t xml:space="preserve"> </w:t>
      </w:r>
      <w:r w:rsidRPr="00150EDC">
        <w:rPr>
          <w:sz w:val="24"/>
        </w:rPr>
        <w:t>practitioner</w:t>
      </w:r>
      <w:r w:rsidRPr="00150EDC">
        <w:rPr>
          <w:spacing w:val="-1"/>
          <w:sz w:val="24"/>
        </w:rPr>
        <w:t xml:space="preserve"> </w:t>
      </w:r>
      <w:r w:rsidRPr="00150EDC">
        <w:rPr>
          <w:sz w:val="24"/>
        </w:rPr>
        <w:t>to</w:t>
      </w:r>
      <w:r w:rsidRPr="00150EDC">
        <w:rPr>
          <w:spacing w:val="-1"/>
          <w:sz w:val="24"/>
        </w:rPr>
        <w:t xml:space="preserve"> </w:t>
      </w:r>
      <w:r w:rsidRPr="00150EDC">
        <w:rPr>
          <w:sz w:val="24"/>
        </w:rPr>
        <w:t>invoke the plan in the event of an Insolvency Event of the Supplier.</w:t>
      </w:r>
    </w:p>
    <w:p w14:paraId="3C734BA5" w14:textId="77777777" w:rsidR="004C7180" w:rsidRPr="00150EDC" w:rsidRDefault="004C7180">
      <w:pPr>
        <w:pStyle w:val="BodyText"/>
        <w:spacing w:before="10"/>
        <w:rPr>
          <w:sz w:val="20"/>
        </w:rPr>
      </w:pPr>
    </w:p>
    <w:p w14:paraId="2E29C18C" w14:textId="77777777" w:rsidR="004C7180" w:rsidRPr="00150EDC" w:rsidRDefault="00CF0754" w:rsidP="00B320C7">
      <w:pPr>
        <w:pStyle w:val="Heading4"/>
        <w:numPr>
          <w:ilvl w:val="0"/>
          <w:numId w:val="49"/>
        </w:numPr>
        <w:tabs>
          <w:tab w:val="left" w:pos="2119"/>
        </w:tabs>
        <w:ind w:left="2119" w:hanging="719"/>
        <w:jc w:val="both"/>
      </w:pPr>
      <w:r w:rsidRPr="00150EDC">
        <w:t>Review</w:t>
      </w:r>
      <w:r w:rsidRPr="00150EDC">
        <w:rPr>
          <w:spacing w:val="-4"/>
        </w:rPr>
        <w:t xml:space="preserve"> </w:t>
      </w:r>
      <w:r w:rsidRPr="00150EDC">
        <w:t>and</w:t>
      </w:r>
      <w:r w:rsidRPr="00150EDC">
        <w:rPr>
          <w:spacing w:val="-1"/>
        </w:rPr>
        <w:t xml:space="preserve"> </w:t>
      </w:r>
      <w:r w:rsidRPr="00150EDC">
        <w:t>changing</w:t>
      </w:r>
      <w:r w:rsidRPr="00150EDC">
        <w:rPr>
          <w:spacing w:val="-5"/>
        </w:rPr>
        <w:t xml:space="preserve"> </w:t>
      </w:r>
      <w:r w:rsidRPr="00150EDC">
        <w:t>the BCDR</w:t>
      </w:r>
      <w:r w:rsidRPr="00150EDC">
        <w:rPr>
          <w:spacing w:val="-1"/>
        </w:rPr>
        <w:t xml:space="preserve"> </w:t>
      </w:r>
      <w:r w:rsidRPr="00150EDC">
        <w:rPr>
          <w:spacing w:val="-4"/>
        </w:rPr>
        <w:t>Plan</w:t>
      </w:r>
    </w:p>
    <w:p w14:paraId="12F2F213" w14:textId="77777777" w:rsidR="004C7180" w:rsidRPr="00150EDC" w:rsidRDefault="004C7180">
      <w:pPr>
        <w:pStyle w:val="BodyText"/>
        <w:spacing w:before="7"/>
        <w:rPr>
          <w:b/>
          <w:sz w:val="20"/>
        </w:rPr>
      </w:pPr>
    </w:p>
    <w:p w14:paraId="0D3D910E" w14:textId="77777777" w:rsidR="004C7180" w:rsidRPr="00150EDC" w:rsidRDefault="00CF0754" w:rsidP="00B320C7">
      <w:pPr>
        <w:pStyle w:val="ListParagraph"/>
        <w:numPr>
          <w:ilvl w:val="1"/>
          <w:numId w:val="49"/>
        </w:numPr>
        <w:tabs>
          <w:tab w:val="left" w:pos="2119"/>
        </w:tabs>
        <w:spacing w:before="1"/>
        <w:ind w:left="2119" w:hanging="719"/>
        <w:jc w:val="left"/>
        <w:rPr>
          <w:sz w:val="24"/>
        </w:rPr>
      </w:pPr>
      <w:r w:rsidRPr="00150EDC">
        <w:rPr>
          <w:sz w:val="24"/>
        </w:rPr>
        <w:t>The</w:t>
      </w:r>
      <w:r w:rsidRPr="00150EDC">
        <w:rPr>
          <w:spacing w:val="-4"/>
          <w:sz w:val="24"/>
        </w:rPr>
        <w:t xml:space="preserve"> </w:t>
      </w:r>
      <w:r w:rsidRPr="00150EDC">
        <w:rPr>
          <w:sz w:val="24"/>
        </w:rPr>
        <w:t>Supplier</w:t>
      </w:r>
      <w:r w:rsidRPr="00150EDC">
        <w:rPr>
          <w:spacing w:val="-4"/>
          <w:sz w:val="24"/>
        </w:rPr>
        <w:t xml:space="preserve"> </w:t>
      </w:r>
      <w:r w:rsidRPr="00150EDC">
        <w:rPr>
          <w:sz w:val="24"/>
        </w:rPr>
        <w:t>shall</w:t>
      </w:r>
      <w:r w:rsidRPr="00150EDC">
        <w:rPr>
          <w:spacing w:val="-2"/>
          <w:sz w:val="24"/>
        </w:rPr>
        <w:t xml:space="preserve"> </w:t>
      </w:r>
      <w:r w:rsidRPr="00150EDC">
        <w:rPr>
          <w:sz w:val="24"/>
        </w:rPr>
        <w:t>review</w:t>
      </w:r>
      <w:r w:rsidRPr="00150EDC">
        <w:rPr>
          <w:spacing w:val="-4"/>
          <w:sz w:val="24"/>
        </w:rPr>
        <w:t xml:space="preserve"> </w:t>
      </w:r>
      <w:r w:rsidRPr="00150EDC">
        <w:rPr>
          <w:sz w:val="24"/>
        </w:rPr>
        <w:t>the</w:t>
      </w:r>
      <w:r w:rsidRPr="00150EDC">
        <w:rPr>
          <w:spacing w:val="-3"/>
          <w:sz w:val="24"/>
        </w:rPr>
        <w:t xml:space="preserve"> </w:t>
      </w:r>
      <w:r w:rsidRPr="00150EDC">
        <w:rPr>
          <w:sz w:val="24"/>
        </w:rPr>
        <w:t>BCDR</w:t>
      </w:r>
      <w:r w:rsidRPr="00150EDC">
        <w:rPr>
          <w:spacing w:val="-2"/>
          <w:sz w:val="24"/>
        </w:rPr>
        <w:t xml:space="preserve"> Plan:</w:t>
      </w:r>
    </w:p>
    <w:p w14:paraId="0DF28AE0" w14:textId="77777777" w:rsidR="004C7180" w:rsidRPr="00150EDC" w:rsidRDefault="00CF0754" w:rsidP="00B320C7">
      <w:pPr>
        <w:pStyle w:val="ListParagraph"/>
        <w:numPr>
          <w:ilvl w:val="2"/>
          <w:numId w:val="49"/>
        </w:numPr>
        <w:tabs>
          <w:tab w:val="left" w:pos="2838"/>
        </w:tabs>
        <w:spacing w:before="120"/>
        <w:ind w:left="2838" w:hanging="718"/>
        <w:rPr>
          <w:sz w:val="24"/>
        </w:rPr>
      </w:pPr>
      <w:r w:rsidRPr="00150EDC">
        <w:rPr>
          <w:sz w:val="24"/>
        </w:rPr>
        <w:t>on</w:t>
      </w:r>
      <w:r w:rsidRPr="00150EDC">
        <w:rPr>
          <w:spacing w:val="-3"/>
          <w:sz w:val="24"/>
        </w:rPr>
        <w:t xml:space="preserve"> </w:t>
      </w:r>
      <w:r w:rsidRPr="00150EDC">
        <w:rPr>
          <w:sz w:val="24"/>
        </w:rPr>
        <w:t>a</w:t>
      </w:r>
      <w:r w:rsidRPr="00150EDC">
        <w:rPr>
          <w:spacing w:val="-2"/>
          <w:sz w:val="24"/>
        </w:rPr>
        <w:t xml:space="preserve"> </w:t>
      </w:r>
      <w:r w:rsidRPr="00150EDC">
        <w:rPr>
          <w:sz w:val="24"/>
        </w:rPr>
        <w:t>regular</w:t>
      </w:r>
      <w:r w:rsidRPr="00150EDC">
        <w:rPr>
          <w:spacing w:val="-3"/>
          <w:sz w:val="24"/>
        </w:rPr>
        <w:t xml:space="preserve"> </w:t>
      </w:r>
      <w:r w:rsidRPr="00150EDC">
        <w:rPr>
          <w:sz w:val="24"/>
        </w:rPr>
        <w:t>basis</w:t>
      </w:r>
      <w:r w:rsidRPr="00150EDC">
        <w:rPr>
          <w:spacing w:val="-3"/>
          <w:sz w:val="24"/>
        </w:rPr>
        <w:t xml:space="preserve"> </w:t>
      </w:r>
      <w:r w:rsidRPr="00150EDC">
        <w:rPr>
          <w:sz w:val="24"/>
        </w:rPr>
        <w:t>and</w:t>
      </w:r>
      <w:r w:rsidRPr="00150EDC">
        <w:rPr>
          <w:spacing w:val="-5"/>
          <w:sz w:val="24"/>
        </w:rPr>
        <w:t xml:space="preserve"> </w:t>
      </w:r>
      <w:r w:rsidRPr="00150EDC">
        <w:rPr>
          <w:sz w:val="24"/>
        </w:rPr>
        <w:t>as</w:t>
      </w:r>
      <w:r w:rsidRPr="00150EDC">
        <w:rPr>
          <w:spacing w:val="-2"/>
          <w:sz w:val="24"/>
        </w:rPr>
        <w:t xml:space="preserve"> </w:t>
      </w:r>
      <w:r w:rsidRPr="00150EDC">
        <w:rPr>
          <w:sz w:val="24"/>
        </w:rPr>
        <w:t>a</w:t>
      </w:r>
      <w:r w:rsidRPr="00150EDC">
        <w:rPr>
          <w:spacing w:val="-2"/>
          <w:sz w:val="24"/>
        </w:rPr>
        <w:t xml:space="preserve"> </w:t>
      </w:r>
      <w:r w:rsidRPr="00150EDC">
        <w:rPr>
          <w:sz w:val="24"/>
        </w:rPr>
        <w:t>minimum once</w:t>
      </w:r>
      <w:r w:rsidRPr="00150EDC">
        <w:rPr>
          <w:spacing w:val="-2"/>
          <w:sz w:val="24"/>
        </w:rPr>
        <w:t xml:space="preserve"> </w:t>
      </w:r>
      <w:r w:rsidRPr="00150EDC">
        <w:rPr>
          <w:sz w:val="24"/>
        </w:rPr>
        <w:t>every</w:t>
      </w:r>
      <w:r w:rsidRPr="00150EDC">
        <w:rPr>
          <w:spacing w:val="-2"/>
          <w:sz w:val="24"/>
        </w:rPr>
        <w:t xml:space="preserve"> </w:t>
      </w:r>
      <w:r w:rsidRPr="00150EDC">
        <w:rPr>
          <w:sz w:val="24"/>
        </w:rPr>
        <w:t>six</w:t>
      </w:r>
      <w:r w:rsidRPr="00150EDC">
        <w:rPr>
          <w:spacing w:val="-1"/>
          <w:sz w:val="24"/>
        </w:rPr>
        <w:t xml:space="preserve"> </w:t>
      </w:r>
      <w:r w:rsidRPr="00150EDC">
        <w:rPr>
          <w:sz w:val="24"/>
        </w:rPr>
        <w:t>(6)</w:t>
      </w:r>
      <w:r w:rsidRPr="00150EDC">
        <w:rPr>
          <w:spacing w:val="-2"/>
          <w:sz w:val="24"/>
        </w:rPr>
        <w:t xml:space="preserve"> Months;</w:t>
      </w:r>
    </w:p>
    <w:p w14:paraId="2CC65D1D" w14:textId="77777777" w:rsidR="004C7180" w:rsidRPr="00150EDC" w:rsidRDefault="00CF0754" w:rsidP="00B320C7">
      <w:pPr>
        <w:pStyle w:val="ListParagraph"/>
        <w:numPr>
          <w:ilvl w:val="2"/>
          <w:numId w:val="49"/>
        </w:numPr>
        <w:tabs>
          <w:tab w:val="left" w:pos="2838"/>
          <w:tab w:val="left" w:pos="2840"/>
        </w:tabs>
        <w:spacing w:before="120"/>
        <w:ind w:right="1483" w:hanging="720"/>
        <w:rPr>
          <w:sz w:val="24"/>
        </w:rPr>
      </w:pPr>
      <w:r w:rsidRPr="00150EDC">
        <w:rPr>
          <w:sz w:val="24"/>
        </w:rPr>
        <w:t>within</w:t>
      </w:r>
      <w:r w:rsidRPr="00150EDC">
        <w:rPr>
          <w:spacing w:val="-1"/>
          <w:sz w:val="24"/>
        </w:rPr>
        <w:t xml:space="preserve"> </w:t>
      </w:r>
      <w:r w:rsidRPr="00150EDC">
        <w:rPr>
          <w:sz w:val="24"/>
        </w:rPr>
        <w:t>three</w:t>
      </w:r>
      <w:r w:rsidRPr="00150EDC">
        <w:rPr>
          <w:spacing w:val="-1"/>
          <w:sz w:val="24"/>
        </w:rPr>
        <w:t xml:space="preserve"> </w:t>
      </w:r>
      <w:r w:rsidRPr="00150EDC">
        <w:rPr>
          <w:sz w:val="24"/>
        </w:rPr>
        <w:t>(3)</w:t>
      </w:r>
      <w:r w:rsidRPr="00150EDC">
        <w:rPr>
          <w:spacing w:val="-3"/>
          <w:sz w:val="24"/>
        </w:rPr>
        <w:t xml:space="preserve"> </w:t>
      </w:r>
      <w:r w:rsidRPr="00150EDC">
        <w:rPr>
          <w:sz w:val="24"/>
        </w:rPr>
        <w:t>calendar</w:t>
      </w:r>
      <w:r w:rsidRPr="00150EDC">
        <w:rPr>
          <w:spacing w:val="-3"/>
          <w:sz w:val="24"/>
        </w:rPr>
        <w:t xml:space="preserve"> </w:t>
      </w:r>
      <w:r w:rsidRPr="00150EDC">
        <w:rPr>
          <w:sz w:val="24"/>
        </w:rPr>
        <w:t>Months</w:t>
      </w:r>
      <w:r w:rsidRPr="00150EDC">
        <w:rPr>
          <w:spacing w:val="-4"/>
          <w:sz w:val="24"/>
        </w:rPr>
        <w:t xml:space="preserve"> </w:t>
      </w:r>
      <w:r w:rsidRPr="00150EDC">
        <w:rPr>
          <w:sz w:val="24"/>
        </w:rPr>
        <w:t>of</w:t>
      </w:r>
      <w:r w:rsidRPr="00150EDC">
        <w:rPr>
          <w:spacing w:val="-4"/>
          <w:sz w:val="24"/>
        </w:rPr>
        <w:t xml:space="preserve"> </w:t>
      </w:r>
      <w:r w:rsidRPr="00150EDC">
        <w:rPr>
          <w:sz w:val="24"/>
        </w:rPr>
        <w:t>the</w:t>
      </w:r>
      <w:r w:rsidRPr="00150EDC">
        <w:rPr>
          <w:spacing w:val="-3"/>
          <w:sz w:val="24"/>
        </w:rPr>
        <w:t xml:space="preserve"> </w:t>
      </w:r>
      <w:r w:rsidRPr="00150EDC">
        <w:rPr>
          <w:sz w:val="24"/>
        </w:rPr>
        <w:t>BCDR</w:t>
      </w:r>
      <w:r w:rsidRPr="00150EDC">
        <w:rPr>
          <w:spacing w:val="-2"/>
          <w:sz w:val="24"/>
        </w:rPr>
        <w:t xml:space="preserve"> </w:t>
      </w:r>
      <w:r w:rsidRPr="00150EDC">
        <w:rPr>
          <w:sz w:val="24"/>
        </w:rPr>
        <w:t>Plan</w:t>
      </w:r>
      <w:r w:rsidRPr="00150EDC">
        <w:rPr>
          <w:spacing w:val="-1"/>
          <w:sz w:val="24"/>
        </w:rPr>
        <w:t xml:space="preserve"> </w:t>
      </w:r>
      <w:r w:rsidRPr="00150EDC">
        <w:rPr>
          <w:sz w:val="24"/>
        </w:rPr>
        <w:t>(or</w:t>
      </w:r>
      <w:r w:rsidRPr="00150EDC">
        <w:rPr>
          <w:spacing w:val="-3"/>
          <w:sz w:val="24"/>
        </w:rPr>
        <w:t xml:space="preserve"> </w:t>
      </w:r>
      <w:r w:rsidRPr="00150EDC">
        <w:rPr>
          <w:sz w:val="24"/>
        </w:rPr>
        <w:t>any</w:t>
      </w:r>
      <w:r w:rsidRPr="00150EDC">
        <w:rPr>
          <w:spacing w:val="-2"/>
          <w:sz w:val="24"/>
        </w:rPr>
        <w:t xml:space="preserve"> </w:t>
      </w:r>
      <w:r w:rsidRPr="00150EDC">
        <w:rPr>
          <w:sz w:val="24"/>
        </w:rPr>
        <w:t>part)</w:t>
      </w:r>
      <w:r w:rsidRPr="00150EDC">
        <w:rPr>
          <w:spacing w:val="-3"/>
          <w:sz w:val="24"/>
        </w:rPr>
        <w:t xml:space="preserve"> </w:t>
      </w:r>
      <w:r w:rsidRPr="00150EDC">
        <w:rPr>
          <w:sz w:val="24"/>
        </w:rPr>
        <w:t>having been invoked pursuant to Paragraph 8; and</w:t>
      </w:r>
    </w:p>
    <w:p w14:paraId="50EEDBAE" w14:textId="77777777" w:rsidR="004C7180" w:rsidRPr="00150EDC" w:rsidRDefault="00CF0754" w:rsidP="00B320C7">
      <w:pPr>
        <w:pStyle w:val="ListParagraph"/>
        <w:numPr>
          <w:ilvl w:val="2"/>
          <w:numId w:val="49"/>
        </w:numPr>
        <w:tabs>
          <w:tab w:val="left" w:pos="2838"/>
          <w:tab w:val="left" w:pos="2840"/>
        </w:tabs>
        <w:spacing w:before="120"/>
        <w:ind w:right="1459" w:hanging="720"/>
        <w:rPr>
          <w:sz w:val="24"/>
        </w:rPr>
      </w:pPr>
      <w:r w:rsidRPr="00150EDC">
        <w:rPr>
          <w:sz w:val="24"/>
        </w:rPr>
        <w:t>where the Buyer requests in writing any additional reviews (over and above those provided for in Paragraphs 6.1.1 and 6.1.2 of this Schedule) whereupon the Supplier shall conduct such reviews in accordance with the Buyer’s written requirements. Prior to starting its review, the Supplier shall provide an accurate written estimate of the total costs payable by</w:t>
      </w:r>
      <w:r w:rsidRPr="00150EDC">
        <w:rPr>
          <w:spacing w:val="-1"/>
          <w:sz w:val="24"/>
        </w:rPr>
        <w:t xml:space="preserve"> </w:t>
      </w:r>
      <w:r w:rsidRPr="00150EDC">
        <w:rPr>
          <w:sz w:val="24"/>
        </w:rPr>
        <w:t>the Buyer for the Buyer’s approval.</w:t>
      </w:r>
      <w:r w:rsidRPr="00150EDC">
        <w:rPr>
          <w:spacing w:val="40"/>
          <w:sz w:val="24"/>
        </w:rPr>
        <w:t xml:space="preserve"> </w:t>
      </w:r>
      <w:r w:rsidRPr="00150EDC">
        <w:rPr>
          <w:sz w:val="24"/>
        </w:rPr>
        <w:t>The costs</w:t>
      </w:r>
      <w:r w:rsidRPr="00150EDC">
        <w:rPr>
          <w:spacing w:val="-1"/>
          <w:sz w:val="24"/>
        </w:rPr>
        <w:t xml:space="preserve"> </w:t>
      </w:r>
      <w:r w:rsidRPr="00150EDC">
        <w:rPr>
          <w:sz w:val="24"/>
        </w:rPr>
        <w:t>of both Parties of any such additional reviews shall be met by the Buyer except that the Supplier shall not be entitled to charge the Buyer for any</w:t>
      </w:r>
      <w:r w:rsidRPr="00150EDC">
        <w:rPr>
          <w:spacing w:val="-3"/>
          <w:sz w:val="24"/>
        </w:rPr>
        <w:t xml:space="preserve"> </w:t>
      </w:r>
      <w:r w:rsidRPr="00150EDC">
        <w:rPr>
          <w:sz w:val="24"/>
        </w:rPr>
        <w:t>costs</w:t>
      </w:r>
      <w:r w:rsidRPr="00150EDC">
        <w:rPr>
          <w:spacing w:val="-3"/>
          <w:sz w:val="24"/>
        </w:rPr>
        <w:t xml:space="preserve"> </w:t>
      </w:r>
      <w:r w:rsidRPr="00150EDC">
        <w:rPr>
          <w:sz w:val="24"/>
        </w:rPr>
        <w:t>that</w:t>
      </w:r>
      <w:r w:rsidRPr="00150EDC">
        <w:rPr>
          <w:spacing w:val="-2"/>
          <w:sz w:val="24"/>
        </w:rPr>
        <w:t xml:space="preserve"> </w:t>
      </w:r>
      <w:r w:rsidRPr="00150EDC">
        <w:rPr>
          <w:sz w:val="24"/>
        </w:rPr>
        <w:t>it</w:t>
      </w:r>
      <w:r w:rsidRPr="00150EDC">
        <w:rPr>
          <w:spacing w:val="-5"/>
          <w:sz w:val="24"/>
        </w:rPr>
        <w:t xml:space="preserve"> </w:t>
      </w:r>
      <w:r w:rsidRPr="00150EDC">
        <w:rPr>
          <w:sz w:val="24"/>
        </w:rPr>
        <w:t>may</w:t>
      </w:r>
      <w:r w:rsidRPr="00150EDC">
        <w:rPr>
          <w:spacing w:val="-5"/>
          <w:sz w:val="24"/>
        </w:rPr>
        <w:t xml:space="preserve"> </w:t>
      </w:r>
      <w:r w:rsidRPr="00150EDC">
        <w:rPr>
          <w:sz w:val="24"/>
        </w:rPr>
        <w:t>incur</w:t>
      </w:r>
      <w:r w:rsidRPr="00150EDC">
        <w:rPr>
          <w:spacing w:val="-4"/>
          <w:sz w:val="24"/>
        </w:rPr>
        <w:t xml:space="preserve"> </w:t>
      </w:r>
      <w:r w:rsidRPr="00150EDC">
        <w:rPr>
          <w:sz w:val="24"/>
        </w:rPr>
        <w:t>above</w:t>
      </w:r>
      <w:r w:rsidRPr="00150EDC">
        <w:rPr>
          <w:spacing w:val="-2"/>
          <w:sz w:val="24"/>
        </w:rPr>
        <w:t xml:space="preserve"> </w:t>
      </w:r>
      <w:r w:rsidRPr="00150EDC">
        <w:rPr>
          <w:sz w:val="24"/>
        </w:rPr>
        <w:t>any</w:t>
      </w:r>
      <w:r w:rsidRPr="00150EDC">
        <w:rPr>
          <w:spacing w:val="-3"/>
          <w:sz w:val="24"/>
        </w:rPr>
        <w:t xml:space="preserve"> </w:t>
      </w:r>
      <w:r w:rsidRPr="00150EDC">
        <w:rPr>
          <w:sz w:val="24"/>
        </w:rPr>
        <w:t>estimate</w:t>
      </w:r>
      <w:r w:rsidRPr="00150EDC">
        <w:rPr>
          <w:spacing w:val="-2"/>
          <w:sz w:val="24"/>
        </w:rPr>
        <w:t xml:space="preserve"> </w:t>
      </w:r>
      <w:r w:rsidRPr="00150EDC">
        <w:rPr>
          <w:sz w:val="24"/>
        </w:rPr>
        <w:t>without</w:t>
      </w:r>
      <w:r w:rsidRPr="00150EDC">
        <w:rPr>
          <w:spacing w:val="-2"/>
          <w:sz w:val="24"/>
        </w:rPr>
        <w:t xml:space="preserve"> </w:t>
      </w:r>
      <w:r w:rsidRPr="00150EDC">
        <w:rPr>
          <w:sz w:val="24"/>
        </w:rPr>
        <w:t>the</w:t>
      </w:r>
      <w:r w:rsidRPr="00150EDC">
        <w:rPr>
          <w:spacing w:val="-2"/>
          <w:sz w:val="24"/>
        </w:rPr>
        <w:t xml:space="preserve"> </w:t>
      </w:r>
      <w:r w:rsidRPr="00150EDC">
        <w:rPr>
          <w:sz w:val="24"/>
        </w:rPr>
        <w:t>Buyer’s</w:t>
      </w:r>
      <w:r w:rsidRPr="00150EDC">
        <w:rPr>
          <w:spacing w:val="-3"/>
          <w:sz w:val="24"/>
        </w:rPr>
        <w:t xml:space="preserve"> </w:t>
      </w:r>
      <w:r w:rsidRPr="00150EDC">
        <w:rPr>
          <w:sz w:val="24"/>
        </w:rPr>
        <w:t>prior written approval.</w:t>
      </w:r>
    </w:p>
    <w:p w14:paraId="766E7A40" w14:textId="77777777" w:rsidR="004C7180" w:rsidRPr="00150EDC" w:rsidRDefault="00CF0754" w:rsidP="00B320C7">
      <w:pPr>
        <w:pStyle w:val="ListParagraph"/>
        <w:numPr>
          <w:ilvl w:val="1"/>
          <w:numId w:val="49"/>
        </w:numPr>
        <w:tabs>
          <w:tab w:val="left" w:pos="2120"/>
        </w:tabs>
        <w:spacing w:before="120"/>
        <w:ind w:left="2120" w:right="1455" w:hanging="720"/>
        <w:jc w:val="left"/>
        <w:rPr>
          <w:sz w:val="24"/>
        </w:rPr>
      </w:pPr>
      <w:r w:rsidRPr="00150EDC">
        <w:rPr>
          <w:sz w:val="24"/>
        </w:rPr>
        <w:t>Each review of the BCDR Plan pursuant to Paragraph 6.1 shall assess its suitability having regard to any change to the Deliverables or any underlying business</w:t>
      </w:r>
      <w:r w:rsidRPr="00150EDC">
        <w:rPr>
          <w:spacing w:val="-5"/>
          <w:sz w:val="24"/>
        </w:rPr>
        <w:t xml:space="preserve"> </w:t>
      </w:r>
      <w:r w:rsidRPr="00150EDC">
        <w:rPr>
          <w:sz w:val="24"/>
        </w:rPr>
        <w:t>processes</w:t>
      </w:r>
      <w:r w:rsidRPr="00150EDC">
        <w:rPr>
          <w:spacing w:val="-3"/>
          <w:sz w:val="24"/>
        </w:rPr>
        <w:t xml:space="preserve"> </w:t>
      </w:r>
      <w:r w:rsidRPr="00150EDC">
        <w:rPr>
          <w:sz w:val="24"/>
        </w:rPr>
        <w:t>and</w:t>
      </w:r>
      <w:r w:rsidRPr="00150EDC">
        <w:rPr>
          <w:spacing w:val="-2"/>
          <w:sz w:val="24"/>
        </w:rPr>
        <w:t xml:space="preserve"> </w:t>
      </w:r>
      <w:r w:rsidRPr="00150EDC">
        <w:rPr>
          <w:sz w:val="24"/>
        </w:rPr>
        <w:t>operations</w:t>
      </w:r>
      <w:r w:rsidRPr="00150EDC">
        <w:rPr>
          <w:spacing w:val="-3"/>
          <w:sz w:val="24"/>
        </w:rPr>
        <w:t xml:space="preserve"> </w:t>
      </w:r>
      <w:r w:rsidRPr="00150EDC">
        <w:rPr>
          <w:sz w:val="24"/>
        </w:rPr>
        <w:t>facilitated</w:t>
      </w:r>
      <w:r w:rsidRPr="00150EDC">
        <w:rPr>
          <w:spacing w:val="-4"/>
          <w:sz w:val="24"/>
        </w:rPr>
        <w:t xml:space="preserve"> </w:t>
      </w:r>
      <w:r w:rsidRPr="00150EDC">
        <w:rPr>
          <w:sz w:val="24"/>
        </w:rPr>
        <w:t>by</w:t>
      </w:r>
      <w:r w:rsidRPr="00150EDC">
        <w:rPr>
          <w:spacing w:val="-3"/>
          <w:sz w:val="24"/>
        </w:rPr>
        <w:t xml:space="preserve"> </w:t>
      </w:r>
      <w:r w:rsidRPr="00150EDC">
        <w:rPr>
          <w:sz w:val="24"/>
        </w:rPr>
        <w:t>or</w:t>
      </w:r>
      <w:r w:rsidRPr="00150EDC">
        <w:rPr>
          <w:spacing w:val="-4"/>
          <w:sz w:val="24"/>
        </w:rPr>
        <w:t xml:space="preserve"> </w:t>
      </w:r>
      <w:r w:rsidRPr="00150EDC">
        <w:rPr>
          <w:sz w:val="24"/>
        </w:rPr>
        <w:t>supported</w:t>
      </w:r>
      <w:r w:rsidRPr="00150EDC">
        <w:rPr>
          <w:spacing w:val="-4"/>
          <w:sz w:val="24"/>
        </w:rPr>
        <w:t xml:space="preserve"> </w:t>
      </w:r>
      <w:r w:rsidRPr="00150EDC">
        <w:rPr>
          <w:sz w:val="24"/>
        </w:rPr>
        <w:t>by</w:t>
      </w:r>
      <w:r w:rsidRPr="00150EDC">
        <w:rPr>
          <w:spacing w:val="-3"/>
          <w:sz w:val="24"/>
        </w:rPr>
        <w:t xml:space="preserve"> </w:t>
      </w:r>
      <w:r w:rsidRPr="00150EDC">
        <w:rPr>
          <w:sz w:val="24"/>
        </w:rPr>
        <w:t>the</w:t>
      </w:r>
      <w:r w:rsidRPr="00150EDC">
        <w:rPr>
          <w:spacing w:val="-4"/>
          <w:sz w:val="24"/>
        </w:rPr>
        <w:t xml:space="preserve"> </w:t>
      </w:r>
      <w:r w:rsidRPr="00150EDC">
        <w:rPr>
          <w:sz w:val="24"/>
        </w:rPr>
        <w:t>Services which have taken place since the later of the original approval of the BCDR Plan or the last review of the BCDR Plan, and shall also have regard to any</w:t>
      </w:r>
    </w:p>
    <w:p w14:paraId="0754D381" w14:textId="77777777" w:rsidR="004C7180" w:rsidRPr="00150EDC" w:rsidRDefault="004C7180">
      <w:pPr>
        <w:rPr>
          <w:sz w:val="24"/>
        </w:rPr>
        <w:sectPr w:rsidR="004C7180" w:rsidRPr="00150EDC">
          <w:pgSz w:w="11910" w:h="16840"/>
          <w:pgMar w:top="1380" w:right="0" w:bottom="1380" w:left="40" w:header="715" w:footer="1192" w:gutter="0"/>
          <w:cols w:space="720"/>
        </w:sectPr>
      </w:pPr>
    </w:p>
    <w:p w14:paraId="5C429EDA" w14:textId="77777777" w:rsidR="004C7180" w:rsidRPr="00150EDC" w:rsidRDefault="004C7180">
      <w:pPr>
        <w:pStyle w:val="BodyText"/>
        <w:spacing w:before="1"/>
        <w:rPr>
          <w:sz w:val="12"/>
        </w:rPr>
      </w:pPr>
    </w:p>
    <w:p w14:paraId="02D50ABC" w14:textId="77777777" w:rsidR="004C7180" w:rsidRPr="00150EDC" w:rsidRDefault="00CF0754">
      <w:pPr>
        <w:pStyle w:val="BodyText"/>
        <w:spacing w:before="92"/>
        <w:ind w:left="2120" w:right="1682"/>
      </w:pPr>
      <w:r w:rsidRPr="00150EDC">
        <w:t>occurrence</w:t>
      </w:r>
      <w:r w:rsidRPr="00150EDC">
        <w:rPr>
          <w:spacing w:val="-3"/>
        </w:rPr>
        <w:t xml:space="preserve"> </w:t>
      </w:r>
      <w:r w:rsidRPr="00150EDC">
        <w:t>of</w:t>
      </w:r>
      <w:r w:rsidRPr="00150EDC">
        <w:rPr>
          <w:spacing w:val="-4"/>
        </w:rPr>
        <w:t xml:space="preserve"> </w:t>
      </w:r>
      <w:r w:rsidRPr="00150EDC">
        <w:t>any</w:t>
      </w:r>
      <w:r w:rsidRPr="00150EDC">
        <w:rPr>
          <w:spacing w:val="-4"/>
        </w:rPr>
        <w:t xml:space="preserve"> </w:t>
      </w:r>
      <w:r w:rsidRPr="00150EDC">
        <w:t>event</w:t>
      </w:r>
      <w:r w:rsidRPr="00150EDC">
        <w:rPr>
          <w:spacing w:val="-1"/>
        </w:rPr>
        <w:t xml:space="preserve"> </w:t>
      </w:r>
      <w:r w:rsidRPr="00150EDC">
        <w:t>since</w:t>
      </w:r>
      <w:r w:rsidRPr="00150EDC">
        <w:rPr>
          <w:spacing w:val="-3"/>
        </w:rPr>
        <w:t xml:space="preserve"> </w:t>
      </w:r>
      <w:r w:rsidRPr="00150EDC">
        <w:t>that</w:t>
      </w:r>
      <w:r w:rsidRPr="00150EDC">
        <w:rPr>
          <w:spacing w:val="-1"/>
        </w:rPr>
        <w:t xml:space="preserve"> </w:t>
      </w:r>
      <w:r w:rsidRPr="00150EDC">
        <w:t>date</w:t>
      </w:r>
      <w:r w:rsidRPr="00150EDC">
        <w:rPr>
          <w:spacing w:val="-3"/>
        </w:rPr>
        <w:t xml:space="preserve"> </w:t>
      </w:r>
      <w:r w:rsidRPr="00150EDC">
        <w:t>(or</w:t>
      </w:r>
      <w:r w:rsidRPr="00150EDC">
        <w:rPr>
          <w:spacing w:val="-3"/>
        </w:rPr>
        <w:t xml:space="preserve"> </w:t>
      </w:r>
      <w:r w:rsidRPr="00150EDC">
        <w:t>the</w:t>
      </w:r>
      <w:r w:rsidRPr="00150EDC">
        <w:rPr>
          <w:spacing w:val="-1"/>
        </w:rPr>
        <w:t xml:space="preserve"> </w:t>
      </w:r>
      <w:r w:rsidRPr="00150EDC">
        <w:t>likelihood</w:t>
      </w:r>
      <w:r w:rsidRPr="00150EDC">
        <w:rPr>
          <w:spacing w:val="-1"/>
        </w:rPr>
        <w:t xml:space="preserve"> </w:t>
      </w:r>
      <w:r w:rsidRPr="00150EDC">
        <w:t>of</w:t>
      </w:r>
      <w:r w:rsidRPr="00150EDC">
        <w:rPr>
          <w:spacing w:val="-4"/>
        </w:rPr>
        <w:t xml:space="preserve"> </w:t>
      </w:r>
      <w:r w:rsidRPr="00150EDC">
        <w:t>any</w:t>
      </w:r>
      <w:r w:rsidRPr="00150EDC">
        <w:rPr>
          <w:spacing w:val="-4"/>
        </w:rPr>
        <w:t xml:space="preserve"> </w:t>
      </w:r>
      <w:r w:rsidRPr="00150EDC">
        <w:t>such</w:t>
      </w:r>
      <w:r w:rsidRPr="00150EDC">
        <w:rPr>
          <w:spacing w:val="-1"/>
        </w:rPr>
        <w:t xml:space="preserve"> </w:t>
      </w:r>
      <w:r w:rsidRPr="00150EDC">
        <w:t>event taking place in the foreseeable future) which</w:t>
      </w:r>
      <w:r w:rsidRPr="00150EDC">
        <w:rPr>
          <w:spacing w:val="-3"/>
        </w:rPr>
        <w:t xml:space="preserve"> </w:t>
      </w:r>
      <w:r w:rsidRPr="00150EDC">
        <w:t>may increase the likelihood of the need to invoke the BCDR Plan. The review shall be completed by the Supplier within such period as the Buyer shall reasonably require.</w:t>
      </w:r>
    </w:p>
    <w:p w14:paraId="4209733D" w14:textId="77777777" w:rsidR="004C7180" w:rsidRPr="00150EDC" w:rsidRDefault="00CF0754" w:rsidP="00B320C7">
      <w:pPr>
        <w:pStyle w:val="ListParagraph"/>
        <w:numPr>
          <w:ilvl w:val="1"/>
          <w:numId w:val="49"/>
        </w:numPr>
        <w:tabs>
          <w:tab w:val="left" w:pos="2120"/>
        </w:tabs>
        <w:spacing w:before="121"/>
        <w:ind w:left="2120" w:right="1539" w:hanging="720"/>
        <w:jc w:val="left"/>
        <w:rPr>
          <w:sz w:val="24"/>
        </w:rPr>
      </w:pPr>
      <w:r w:rsidRPr="00150EDC">
        <w:rPr>
          <w:sz w:val="24"/>
        </w:rPr>
        <w:t>The</w:t>
      </w:r>
      <w:r w:rsidRPr="00150EDC">
        <w:rPr>
          <w:spacing w:val="-3"/>
          <w:sz w:val="24"/>
        </w:rPr>
        <w:t xml:space="preserve"> </w:t>
      </w:r>
      <w:r w:rsidRPr="00150EDC">
        <w:rPr>
          <w:sz w:val="24"/>
        </w:rPr>
        <w:t>Supplier</w:t>
      </w:r>
      <w:r w:rsidRPr="00150EDC">
        <w:rPr>
          <w:spacing w:val="-5"/>
          <w:sz w:val="24"/>
        </w:rPr>
        <w:t xml:space="preserve"> </w:t>
      </w:r>
      <w:r w:rsidRPr="00150EDC">
        <w:rPr>
          <w:sz w:val="24"/>
        </w:rPr>
        <w:t>shall,</w:t>
      </w:r>
      <w:r w:rsidRPr="00150EDC">
        <w:rPr>
          <w:spacing w:val="-3"/>
          <w:sz w:val="24"/>
        </w:rPr>
        <w:t xml:space="preserve"> </w:t>
      </w:r>
      <w:r w:rsidRPr="00150EDC">
        <w:rPr>
          <w:sz w:val="24"/>
        </w:rPr>
        <w:t>within</w:t>
      </w:r>
      <w:r w:rsidRPr="00150EDC">
        <w:rPr>
          <w:spacing w:val="-3"/>
          <w:sz w:val="24"/>
        </w:rPr>
        <w:t xml:space="preserve"> </w:t>
      </w:r>
      <w:r w:rsidRPr="00150EDC">
        <w:rPr>
          <w:sz w:val="24"/>
        </w:rPr>
        <w:t>twenty</w:t>
      </w:r>
      <w:r w:rsidRPr="00150EDC">
        <w:rPr>
          <w:spacing w:val="-4"/>
          <w:sz w:val="24"/>
        </w:rPr>
        <w:t xml:space="preserve"> </w:t>
      </w:r>
      <w:r w:rsidRPr="00150EDC">
        <w:rPr>
          <w:sz w:val="24"/>
        </w:rPr>
        <w:t>(20)</w:t>
      </w:r>
      <w:r w:rsidRPr="00150EDC">
        <w:rPr>
          <w:spacing w:val="-6"/>
          <w:sz w:val="24"/>
        </w:rPr>
        <w:t xml:space="preserve"> </w:t>
      </w:r>
      <w:r w:rsidRPr="00150EDC">
        <w:rPr>
          <w:sz w:val="24"/>
        </w:rPr>
        <w:t>Working</w:t>
      </w:r>
      <w:r w:rsidRPr="00150EDC">
        <w:rPr>
          <w:spacing w:val="-3"/>
          <w:sz w:val="24"/>
        </w:rPr>
        <w:t xml:space="preserve"> </w:t>
      </w:r>
      <w:r w:rsidRPr="00150EDC">
        <w:rPr>
          <w:sz w:val="24"/>
        </w:rPr>
        <w:t>Days</w:t>
      </w:r>
      <w:r w:rsidRPr="00150EDC">
        <w:rPr>
          <w:spacing w:val="-4"/>
          <w:sz w:val="24"/>
        </w:rPr>
        <w:t xml:space="preserve"> </w:t>
      </w:r>
      <w:r w:rsidRPr="00150EDC">
        <w:rPr>
          <w:sz w:val="24"/>
        </w:rPr>
        <w:t>of</w:t>
      </w:r>
      <w:r w:rsidRPr="00150EDC">
        <w:rPr>
          <w:spacing w:val="-3"/>
          <w:sz w:val="24"/>
        </w:rPr>
        <w:t xml:space="preserve"> </w:t>
      </w:r>
      <w:r w:rsidRPr="00150EDC">
        <w:rPr>
          <w:sz w:val="24"/>
        </w:rPr>
        <w:t>the</w:t>
      </w:r>
      <w:r w:rsidRPr="00150EDC">
        <w:rPr>
          <w:spacing w:val="-3"/>
          <w:sz w:val="24"/>
        </w:rPr>
        <w:t xml:space="preserve"> </w:t>
      </w:r>
      <w:r w:rsidRPr="00150EDC">
        <w:rPr>
          <w:sz w:val="24"/>
        </w:rPr>
        <w:t>conclusion</w:t>
      </w:r>
      <w:r w:rsidRPr="00150EDC">
        <w:rPr>
          <w:spacing w:val="-3"/>
          <w:sz w:val="24"/>
        </w:rPr>
        <w:t xml:space="preserve"> </w:t>
      </w:r>
      <w:r w:rsidRPr="00150EDC">
        <w:rPr>
          <w:sz w:val="24"/>
        </w:rPr>
        <w:t>of</w:t>
      </w:r>
      <w:r w:rsidRPr="00150EDC">
        <w:rPr>
          <w:spacing w:val="-3"/>
          <w:sz w:val="24"/>
        </w:rPr>
        <w:t xml:space="preserve"> </w:t>
      </w:r>
      <w:r w:rsidRPr="00150EDC">
        <w:rPr>
          <w:sz w:val="24"/>
        </w:rPr>
        <w:t xml:space="preserve">each such review of the BCDR Plan, provide to the Buyer a report (a </w:t>
      </w:r>
      <w:r w:rsidRPr="00150EDC">
        <w:rPr>
          <w:b/>
          <w:sz w:val="24"/>
        </w:rPr>
        <w:t>"Review Report"</w:t>
      </w:r>
      <w:r w:rsidRPr="00150EDC">
        <w:rPr>
          <w:sz w:val="24"/>
        </w:rPr>
        <w:t xml:space="preserve">) setting out the Supplier's proposals (the </w:t>
      </w:r>
      <w:r w:rsidRPr="00150EDC">
        <w:rPr>
          <w:b/>
          <w:sz w:val="24"/>
        </w:rPr>
        <w:t>"Supplier's Proposals"</w:t>
      </w:r>
      <w:r w:rsidRPr="00150EDC">
        <w:rPr>
          <w:sz w:val="24"/>
        </w:rPr>
        <w:t>) for addressing any changes in the risk profile and its proposals for amendments to the BCDR Plan.</w:t>
      </w:r>
    </w:p>
    <w:p w14:paraId="7F96B3B1" w14:textId="77777777" w:rsidR="004C7180" w:rsidRPr="00150EDC" w:rsidRDefault="00CF0754" w:rsidP="00B320C7">
      <w:pPr>
        <w:pStyle w:val="ListParagraph"/>
        <w:numPr>
          <w:ilvl w:val="1"/>
          <w:numId w:val="49"/>
        </w:numPr>
        <w:tabs>
          <w:tab w:val="left" w:pos="2120"/>
        </w:tabs>
        <w:spacing w:before="120"/>
        <w:ind w:left="2120" w:right="1548" w:hanging="720"/>
        <w:jc w:val="left"/>
        <w:rPr>
          <w:sz w:val="24"/>
        </w:rPr>
      </w:pPr>
      <w:r w:rsidRPr="00150EDC">
        <w:rPr>
          <w:sz w:val="24"/>
        </w:rPr>
        <w:t>Following receipt of the Review Report and the Supplier’s Proposals, the Parties</w:t>
      </w:r>
      <w:r w:rsidRPr="00150EDC">
        <w:rPr>
          <w:spacing w:val="-4"/>
          <w:sz w:val="24"/>
        </w:rPr>
        <w:t xml:space="preserve"> </w:t>
      </w:r>
      <w:r w:rsidRPr="00150EDC">
        <w:rPr>
          <w:sz w:val="24"/>
        </w:rPr>
        <w:t>shall</w:t>
      </w:r>
      <w:r w:rsidRPr="00150EDC">
        <w:rPr>
          <w:spacing w:val="-4"/>
          <w:sz w:val="24"/>
        </w:rPr>
        <w:t xml:space="preserve"> </w:t>
      </w:r>
      <w:r w:rsidRPr="00150EDC">
        <w:rPr>
          <w:sz w:val="24"/>
        </w:rPr>
        <w:t>use</w:t>
      </w:r>
      <w:r w:rsidRPr="00150EDC">
        <w:rPr>
          <w:spacing w:val="-3"/>
          <w:sz w:val="24"/>
        </w:rPr>
        <w:t xml:space="preserve"> </w:t>
      </w:r>
      <w:r w:rsidRPr="00150EDC">
        <w:rPr>
          <w:sz w:val="24"/>
        </w:rPr>
        <w:t>reasonable</w:t>
      </w:r>
      <w:r w:rsidRPr="00150EDC">
        <w:rPr>
          <w:spacing w:val="-5"/>
          <w:sz w:val="24"/>
        </w:rPr>
        <w:t xml:space="preserve"> </w:t>
      </w:r>
      <w:r w:rsidRPr="00150EDC">
        <w:rPr>
          <w:sz w:val="24"/>
        </w:rPr>
        <w:t>endeavours</w:t>
      </w:r>
      <w:r w:rsidRPr="00150EDC">
        <w:rPr>
          <w:spacing w:val="-4"/>
          <w:sz w:val="24"/>
        </w:rPr>
        <w:t xml:space="preserve"> </w:t>
      </w:r>
      <w:r w:rsidRPr="00150EDC">
        <w:rPr>
          <w:sz w:val="24"/>
        </w:rPr>
        <w:t>to</w:t>
      </w:r>
      <w:r w:rsidRPr="00150EDC">
        <w:rPr>
          <w:spacing w:val="-3"/>
          <w:sz w:val="24"/>
        </w:rPr>
        <w:t xml:space="preserve"> </w:t>
      </w:r>
      <w:r w:rsidRPr="00150EDC">
        <w:rPr>
          <w:sz w:val="24"/>
        </w:rPr>
        <w:t>agree</w:t>
      </w:r>
      <w:r w:rsidRPr="00150EDC">
        <w:rPr>
          <w:spacing w:val="-3"/>
          <w:sz w:val="24"/>
        </w:rPr>
        <w:t xml:space="preserve"> </w:t>
      </w:r>
      <w:r w:rsidRPr="00150EDC">
        <w:rPr>
          <w:sz w:val="24"/>
        </w:rPr>
        <w:t>the</w:t>
      </w:r>
      <w:r w:rsidRPr="00150EDC">
        <w:rPr>
          <w:spacing w:val="-3"/>
          <w:sz w:val="24"/>
        </w:rPr>
        <w:t xml:space="preserve"> </w:t>
      </w:r>
      <w:r w:rsidRPr="00150EDC">
        <w:rPr>
          <w:sz w:val="24"/>
        </w:rPr>
        <w:t>Review</w:t>
      </w:r>
      <w:r w:rsidRPr="00150EDC">
        <w:rPr>
          <w:spacing w:val="-4"/>
          <w:sz w:val="24"/>
        </w:rPr>
        <w:t xml:space="preserve"> </w:t>
      </w:r>
      <w:r w:rsidRPr="00150EDC">
        <w:rPr>
          <w:sz w:val="24"/>
        </w:rPr>
        <w:t>Report</w:t>
      </w:r>
      <w:r w:rsidRPr="00150EDC">
        <w:rPr>
          <w:spacing w:val="-3"/>
          <w:sz w:val="24"/>
        </w:rPr>
        <w:t xml:space="preserve"> </w:t>
      </w:r>
      <w:r w:rsidRPr="00150EDC">
        <w:rPr>
          <w:sz w:val="24"/>
        </w:rPr>
        <w:t>and</w:t>
      </w:r>
      <w:r w:rsidRPr="00150EDC">
        <w:rPr>
          <w:spacing w:val="-3"/>
          <w:sz w:val="24"/>
        </w:rPr>
        <w:t xml:space="preserve"> </w:t>
      </w:r>
      <w:r w:rsidRPr="00150EDC">
        <w:rPr>
          <w:sz w:val="24"/>
        </w:rPr>
        <w:t>the Supplier's Proposals. If the Parties are unable to agree Review Report and the Supplier's Proposals within twenty (20) Working Days of its submission, then such Dispute shall be resolved in accordance with the Dispute Resolution Procedure.</w:t>
      </w:r>
    </w:p>
    <w:p w14:paraId="5378778C" w14:textId="77777777" w:rsidR="004C7180" w:rsidRPr="00150EDC" w:rsidRDefault="00CF0754" w:rsidP="00B320C7">
      <w:pPr>
        <w:pStyle w:val="ListParagraph"/>
        <w:numPr>
          <w:ilvl w:val="1"/>
          <w:numId w:val="49"/>
        </w:numPr>
        <w:tabs>
          <w:tab w:val="left" w:pos="2120"/>
        </w:tabs>
        <w:spacing w:before="120"/>
        <w:ind w:left="2120" w:right="1523" w:hanging="720"/>
        <w:jc w:val="left"/>
        <w:rPr>
          <w:sz w:val="24"/>
        </w:rPr>
      </w:pPr>
      <w:r w:rsidRPr="00150EDC">
        <w:rPr>
          <w:sz w:val="24"/>
        </w:rPr>
        <w:t>The Supplier shall as soon as is reasonably practicable after receiving the approval of the Supplier's Proposals effect any change in its practices or procedures necessary so as to give effect to the Supplier's Proposals. Any such change shall be at the Supplier’s expense unless it can be reasonably shown</w:t>
      </w:r>
      <w:r w:rsidRPr="00150EDC">
        <w:rPr>
          <w:spacing w:val="-2"/>
          <w:sz w:val="24"/>
        </w:rPr>
        <w:t xml:space="preserve"> </w:t>
      </w:r>
      <w:r w:rsidRPr="00150EDC">
        <w:rPr>
          <w:sz w:val="24"/>
        </w:rPr>
        <w:t>that</w:t>
      </w:r>
      <w:r w:rsidRPr="00150EDC">
        <w:rPr>
          <w:spacing w:val="-5"/>
          <w:sz w:val="24"/>
        </w:rPr>
        <w:t xml:space="preserve"> </w:t>
      </w:r>
      <w:r w:rsidRPr="00150EDC">
        <w:rPr>
          <w:sz w:val="24"/>
        </w:rPr>
        <w:t>the</w:t>
      </w:r>
      <w:r w:rsidRPr="00150EDC">
        <w:rPr>
          <w:spacing w:val="-2"/>
          <w:sz w:val="24"/>
        </w:rPr>
        <w:t xml:space="preserve"> </w:t>
      </w:r>
      <w:r w:rsidRPr="00150EDC">
        <w:rPr>
          <w:sz w:val="24"/>
        </w:rPr>
        <w:t>changes</w:t>
      </w:r>
      <w:r w:rsidRPr="00150EDC">
        <w:rPr>
          <w:spacing w:val="-3"/>
          <w:sz w:val="24"/>
        </w:rPr>
        <w:t xml:space="preserve"> </w:t>
      </w:r>
      <w:r w:rsidRPr="00150EDC">
        <w:rPr>
          <w:sz w:val="24"/>
        </w:rPr>
        <w:t>are</w:t>
      </w:r>
      <w:r w:rsidRPr="00150EDC">
        <w:rPr>
          <w:spacing w:val="-2"/>
          <w:sz w:val="24"/>
        </w:rPr>
        <w:t xml:space="preserve"> </w:t>
      </w:r>
      <w:r w:rsidRPr="00150EDC">
        <w:rPr>
          <w:sz w:val="24"/>
        </w:rPr>
        <w:t>required</w:t>
      </w:r>
      <w:r w:rsidRPr="00150EDC">
        <w:rPr>
          <w:spacing w:val="-4"/>
          <w:sz w:val="24"/>
        </w:rPr>
        <w:t xml:space="preserve"> </w:t>
      </w:r>
      <w:r w:rsidRPr="00150EDC">
        <w:rPr>
          <w:sz w:val="24"/>
        </w:rPr>
        <w:t>because</w:t>
      </w:r>
      <w:r w:rsidRPr="00150EDC">
        <w:rPr>
          <w:spacing w:val="-4"/>
          <w:sz w:val="24"/>
        </w:rPr>
        <w:t xml:space="preserve"> </w:t>
      </w:r>
      <w:r w:rsidRPr="00150EDC">
        <w:rPr>
          <w:sz w:val="24"/>
        </w:rPr>
        <w:t>of</w:t>
      </w:r>
      <w:r w:rsidRPr="00150EDC">
        <w:rPr>
          <w:spacing w:val="-2"/>
          <w:sz w:val="24"/>
        </w:rPr>
        <w:t xml:space="preserve"> </w:t>
      </w:r>
      <w:r w:rsidRPr="00150EDC">
        <w:rPr>
          <w:sz w:val="24"/>
        </w:rPr>
        <w:t>a</w:t>
      </w:r>
      <w:r w:rsidRPr="00150EDC">
        <w:rPr>
          <w:spacing w:val="-4"/>
          <w:sz w:val="24"/>
        </w:rPr>
        <w:t xml:space="preserve"> </w:t>
      </w:r>
      <w:r w:rsidRPr="00150EDC">
        <w:rPr>
          <w:sz w:val="24"/>
        </w:rPr>
        <w:t>material</w:t>
      </w:r>
      <w:r w:rsidRPr="00150EDC">
        <w:rPr>
          <w:spacing w:val="-3"/>
          <w:sz w:val="24"/>
        </w:rPr>
        <w:t xml:space="preserve"> </w:t>
      </w:r>
      <w:r w:rsidRPr="00150EDC">
        <w:rPr>
          <w:sz w:val="24"/>
        </w:rPr>
        <w:t>change</w:t>
      </w:r>
      <w:r w:rsidRPr="00150EDC">
        <w:rPr>
          <w:spacing w:val="-2"/>
          <w:sz w:val="24"/>
        </w:rPr>
        <w:t xml:space="preserve"> </w:t>
      </w:r>
      <w:r w:rsidRPr="00150EDC">
        <w:rPr>
          <w:sz w:val="24"/>
        </w:rPr>
        <w:t>to</w:t>
      </w:r>
      <w:r w:rsidRPr="00150EDC">
        <w:rPr>
          <w:spacing w:val="-2"/>
          <w:sz w:val="24"/>
        </w:rPr>
        <w:t xml:space="preserve"> </w:t>
      </w:r>
      <w:r w:rsidRPr="00150EDC">
        <w:rPr>
          <w:sz w:val="24"/>
        </w:rPr>
        <w:t>the</w:t>
      </w:r>
      <w:r w:rsidRPr="00150EDC">
        <w:rPr>
          <w:spacing w:val="-2"/>
          <w:sz w:val="24"/>
        </w:rPr>
        <w:t xml:space="preserve"> </w:t>
      </w:r>
      <w:r w:rsidRPr="00150EDC">
        <w:rPr>
          <w:sz w:val="24"/>
        </w:rPr>
        <w:t>risk profile of the Deliverables.</w:t>
      </w:r>
    </w:p>
    <w:p w14:paraId="4F8F2594" w14:textId="77777777" w:rsidR="004C7180" w:rsidRPr="00150EDC" w:rsidRDefault="004C7180">
      <w:pPr>
        <w:pStyle w:val="BodyText"/>
        <w:spacing w:before="10"/>
        <w:rPr>
          <w:sz w:val="20"/>
        </w:rPr>
      </w:pPr>
    </w:p>
    <w:p w14:paraId="41A171F0" w14:textId="77777777" w:rsidR="004C7180" w:rsidRPr="00150EDC" w:rsidRDefault="00CF0754" w:rsidP="00B320C7">
      <w:pPr>
        <w:pStyle w:val="Heading4"/>
        <w:numPr>
          <w:ilvl w:val="0"/>
          <w:numId w:val="49"/>
        </w:numPr>
        <w:tabs>
          <w:tab w:val="left" w:pos="1399"/>
        </w:tabs>
        <w:ind w:left="1399" w:hanging="215"/>
        <w:jc w:val="left"/>
      </w:pPr>
      <w:r w:rsidRPr="00150EDC">
        <w:t>Testing</w:t>
      </w:r>
      <w:r w:rsidRPr="00150EDC">
        <w:rPr>
          <w:spacing w:val="-5"/>
        </w:rPr>
        <w:t xml:space="preserve"> </w:t>
      </w:r>
      <w:r w:rsidRPr="00150EDC">
        <w:t>the</w:t>
      </w:r>
      <w:r w:rsidRPr="00150EDC">
        <w:rPr>
          <w:spacing w:val="-1"/>
        </w:rPr>
        <w:t xml:space="preserve"> </w:t>
      </w:r>
      <w:r w:rsidRPr="00150EDC">
        <w:t>BCDR</w:t>
      </w:r>
      <w:r w:rsidRPr="00150EDC">
        <w:rPr>
          <w:spacing w:val="-2"/>
        </w:rPr>
        <w:t xml:space="preserve"> </w:t>
      </w:r>
      <w:r w:rsidRPr="00150EDC">
        <w:rPr>
          <w:spacing w:val="-4"/>
        </w:rPr>
        <w:t>Plan</w:t>
      </w:r>
    </w:p>
    <w:p w14:paraId="699CCF7D" w14:textId="77777777" w:rsidR="004C7180" w:rsidRPr="00150EDC" w:rsidRDefault="004C7180">
      <w:pPr>
        <w:pStyle w:val="BodyText"/>
        <w:spacing w:before="10"/>
        <w:rPr>
          <w:b/>
          <w:sz w:val="20"/>
        </w:rPr>
      </w:pPr>
    </w:p>
    <w:p w14:paraId="3FD0DD4E" w14:textId="77777777" w:rsidR="004C7180" w:rsidRPr="00150EDC" w:rsidRDefault="00CF0754" w:rsidP="00B320C7">
      <w:pPr>
        <w:pStyle w:val="ListParagraph"/>
        <w:numPr>
          <w:ilvl w:val="1"/>
          <w:numId w:val="49"/>
        </w:numPr>
        <w:tabs>
          <w:tab w:val="left" w:pos="2119"/>
        </w:tabs>
        <w:ind w:left="2119" w:hanging="719"/>
        <w:jc w:val="left"/>
        <w:rPr>
          <w:sz w:val="24"/>
        </w:rPr>
      </w:pPr>
      <w:r w:rsidRPr="00150EDC">
        <w:rPr>
          <w:sz w:val="24"/>
        </w:rPr>
        <w:t>The</w:t>
      </w:r>
      <w:r w:rsidRPr="00150EDC">
        <w:rPr>
          <w:spacing w:val="-2"/>
          <w:sz w:val="24"/>
        </w:rPr>
        <w:t xml:space="preserve"> </w:t>
      </w:r>
      <w:r w:rsidRPr="00150EDC">
        <w:rPr>
          <w:sz w:val="24"/>
        </w:rPr>
        <w:t>Supplier</w:t>
      </w:r>
      <w:r w:rsidRPr="00150EDC">
        <w:rPr>
          <w:spacing w:val="-3"/>
          <w:sz w:val="24"/>
        </w:rPr>
        <w:t xml:space="preserve"> </w:t>
      </w:r>
      <w:r w:rsidRPr="00150EDC">
        <w:rPr>
          <w:sz w:val="24"/>
        </w:rPr>
        <w:t>shall</w:t>
      </w:r>
      <w:r w:rsidRPr="00150EDC">
        <w:rPr>
          <w:spacing w:val="-3"/>
          <w:sz w:val="24"/>
        </w:rPr>
        <w:t xml:space="preserve"> </w:t>
      </w:r>
      <w:r w:rsidRPr="00150EDC">
        <w:rPr>
          <w:sz w:val="24"/>
        </w:rPr>
        <w:t>test</w:t>
      </w:r>
      <w:r w:rsidRPr="00150EDC">
        <w:rPr>
          <w:spacing w:val="-4"/>
          <w:sz w:val="24"/>
        </w:rPr>
        <w:t xml:space="preserve"> </w:t>
      </w:r>
      <w:r w:rsidRPr="00150EDC">
        <w:rPr>
          <w:sz w:val="24"/>
        </w:rPr>
        <w:t>the</w:t>
      </w:r>
      <w:r w:rsidRPr="00150EDC">
        <w:rPr>
          <w:spacing w:val="-1"/>
          <w:sz w:val="24"/>
        </w:rPr>
        <w:t xml:space="preserve"> </w:t>
      </w:r>
      <w:r w:rsidRPr="00150EDC">
        <w:rPr>
          <w:sz w:val="24"/>
        </w:rPr>
        <w:t>BCDR</w:t>
      </w:r>
      <w:r w:rsidRPr="00150EDC">
        <w:rPr>
          <w:spacing w:val="-2"/>
          <w:sz w:val="24"/>
        </w:rPr>
        <w:t xml:space="preserve"> </w:t>
      </w:r>
      <w:r w:rsidRPr="00150EDC">
        <w:rPr>
          <w:spacing w:val="-4"/>
          <w:sz w:val="24"/>
        </w:rPr>
        <w:t>Plan:</w:t>
      </w:r>
    </w:p>
    <w:p w14:paraId="4AC6CC95" w14:textId="77777777" w:rsidR="004C7180" w:rsidRPr="00150EDC" w:rsidRDefault="00CF0754" w:rsidP="00B320C7">
      <w:pPr>
        <w:pStyle w:val="ListParagraph"/>
        <w:numPr>
          <w:ilvl w:val="2"/>
          <w:numId w:val="49"/>
        </w:numPr>
        <w:tabs>
          <w:tab w:val="left" w:pos="2838"/>
        </w:tabs>
        <w:spacing w:before="118"/>
        <w:ind w:left="2838" w:hanging="718"/>
        <w:rPr>
          <w:sz w:val="24"/>
        </w:rPr>
      </w:pPr>
      <w:r w:rsidRPr="00150EDC">
        <w:rPr>
          <w:sz w:val="24"/>
        </w:rPr>
        <w:t>regularly</w:t>
      </w:r>
      <w:r w:rsidRPr="00150EDC">
        <w:rPr>
          <w:spacing w:val="-4"/>
          <w:sz w:val="24"/>
        </w:rPr>
        <w:t xml:space="preserve"> </w:t>
      </w:r>
      <w:r w:rsidRPr="00150EDC">
        <w:rPr>
          <w:sz w:val="24"/>
        </w:rPr>
        <w:t>and in</w:t>
      </w:r>
      <w:r w:rsidRPr="00150EDC">
        <w:rPr>
          <w:spacing w:val="-3"/>
          <w:sz w:val="24"/>
        </w:rPr>
        <w:t xml:space="preserve"> </w:t>
      </w:r>
      <w:r w:rsidRPr="00150EDC">
        <w:rPr>
          <w:sz w:val="24"/>
        </w:rPr>
        <w:t>any</w:t>
      </w:r>
      <w:r w:rsidRPr="00150EDC">
        <w:rPr>
          <w:spacing w:val="-3"/>
          <w:sz w:val="24"/>
        </w:rPr>
        <w:t xml:space="preserve"> </w:t>
      </w:r>
      <w:r w:rsidRPr="00150EDC">
        <w:rPr>
          <w:sz w:val="24"/>
        </w:rPr>
        <w:t>event</w:t>
      </w:r>
      <w:r w:rsidRPr="00150EDC">
        <w:rPr>
          <w:spacing w:val="-3"/>
          <w:sz w:val="24"/>
        </w:rPr>
        <w:t xml:space="preserve"> </w:t>
      </w:r>
      <w:r w:rsidRPr="00150EDC">
        <w:rPr>
          <w:sz w:val="24"/>
        </w:rPr>
        <w:t>not</w:t>
      </w:r>
      <w:r w:rsidRPr="00150EDC">
        <w:rPr>
          <w:spacing w:val="-1"/>
          <w:sz w:val="24"/>
        </w:rPr>
        <w:t xml:space="preserve"> </w:t>
      </w:r>
      <w:r w:rsidRPr="00150EDC">
        <w:rPr>
          <w:sz w:val="24"/>
        </w:rPr>
        <w:t>less</w:t>
      </w:r>
      <w:r w:rsidRPr="00150EDC">
        <w:rPr>
          <w:spacing w:val="-1"/>
          <w:sz w:val="24"/>
        </w:rPr>
        <w:t xml:space="preserve"> </w:t>
      </w:r>
      <w:r w:rsidRPr="00150EDC">
        <w:rPr>
          <w:sz w:val="24"/>
        </w:rPr>
        <w:t>than</w:t>
      </w:r>
      <w:r w:rsidRPr="00150EDC">
        <w:rPr>
          <w:spacing w:val="-2"/>
          <w:sz w:val="24"/>
        </w:rPr>
        <w:t xml:space="preserve"> </w:t>
      </w:r>
      <w:r w:rsidRPr="00150EDC">
        <w:rPr>
          <w:sz w:val="24"/>
        </w:rPr>
        <w:t>once</w:t>
      </w:r>
      <w:r w:rsidRPr="00150EDC">
        <w:rPr>
          <w:spacing w:val="-5"/>
          <w:sz w:val="24"/>
        </w:rPr>
        <w:t xml:space="preserve"> </w:t>
      </w:r>
      <w:r w:rsidRPr="00150EDC">
        <w:rPr>
          <w:sz w:val="24"/>
        </w:rPr>
        <w:t>in</w:t>
      </w:r>
      <w:r w:rsidRPr="00150EDC">
        <w:rPr>
          <w:spacing w:val="-1"/>
          <w:sz w:val="24"/>
        </w:rPr>
        <w:t xml:space="preserve"> </w:t>
      </w:r>
      <w:r w:rsidRPr="00150EDC">
        <w:rPr>
          <w:sz w:val="24"/>
        </w:rPr>
        <w:t>every</w:t>
      </w:r>
      <w:r w:rsidRPr="00150EDC">
        <w:rPr>
          <w:spacing w:val="-1"/>
          <w:sz w:val="24"/>
        </w:rPr>
        <w:t xml:space="preserve"> </w:t>
      </w:r>
      <w:r w:rsidRPr="00150EDC">
        <w:rPr>
          <w:sz w:val="24"/>
        </w:rPr>
        <w:t>Contract</w:t>
      </w:r>
      <w:r w:rsidRPr="00150EDC">
        <w:rPr>
          <w:spacing w:val="-3"/>
          <w:sz w:val="24"/>
        </w:rPr>
        <w:t xml:space="preserve"> </w:t>
      </w:r>
      <w:r w:rsidRPr="00150EDC">
        <w:rPr>
          <w:spacing w:val="-2"/>
          <w:sz w:val="24"/>
        </w:rPr>
        <w:t>Year;</w:t>
      </w:r>
    </w:p>
    <w:p w14:paraId="47A34266" w14:textId="77777777" w:rsidR="004C7180" w:rsidRPr="00150EDC" w:rsidRDefault="00CF0754" w:rsidP="00B320C7">
      <w:pPr>
        <w:pStyle w:val="ListParagraph"/>
        <w:numPr>
          <w:ilvl w:val="2"/>
          <w:numId w:val="49"/>
        </w:numPr>
        <w:tabs>
          <w:tab w:val="left" w:pos="2838"/>
        </w:tabs>
        <w:spacing w:before="120"/>
        <w:ind w:left="2838" w:hanging="718"/>
        <w:rPr>
          <w:sz w:val="24"/>
        </w:rPr>
      </w:pPr>
      <w:r w:rsidRPr="00150EDC">
        <w:rPr>
          <w:sz w:val="24"/>
        </w:rPr>
        <w:t>in</w:t>
      </w:r>
      <w:r w:rsidRPr="00150EDC">
        <w:rPr>
          <w:spacing w:val="-1"/>
          <w:sz w:val="24"/>
        </w:rPr>
        <w:t xml:space="preserve"> </w:t>
      </w:r>
      <w:r w:rsidRPr="00150EDC">
        <w:rPr>
          <w:sz w:val="24"/>
        </w:rPr>
        <w:t>the</w:t>
      </w:r>
      <w:r w:rsidRPr="00150EDC">
        <w:rPr>
          <w:spacing w:val="-3"/>
          <w:sz w:val="24"/>
        </w:rPr>
        <w:t xml:space="preserve"> </w:t>
      </w:r>
      <w:r w:rsidRPr="00150EDC">
        <w:rPr>
          <w:sz w:val="24"/>
        </w:rPr>
        <w:t>event</w:t>
      </w:r>
      <w:r w:rsidRPr="00150EDC">
        <w:rPr>
          <w:spacing w:val="-3"/>
          <w:sz w:val="24"/>
        </w:rPr>
        <w:t xml:space="preserve"> </w:t>
      </w:r>
      <w:r w:rsidRPr="00150EDC">
        <w:rPr>
          <w:sz w:val="24"/>
        </w:rPr>
        <w:t>of</w:t>
      </w:r>
      <w:r w:rsidRPr="00150EDC">
        <w:rPr>
          <w:spacing w:val="-1"/>
          <w:sz w:val="24"/>
        </w:rPr>
        <w:t xml:space="preserve"> </w:t>
      </w:r>
      <w:r w:rsidRPr="00150EDC">
        <w:rPr>
          <w:sz w:val="24"/>
        </w:rPr>
        <w:t>any</w:t>
      </w:r>
      <w:r w:rsidRPr="00150EDC">
        <w:rPr>
          <w:spacing w:val="-3"/>
          <w:sz w:val="24"/>
        </w:rPr>
        <w:t xml:space="preserve"> </w:t>
      </w:r>
      <w:r w:rsidRPr="00150EDC">
        <w:rPr>
          <w:sz w:val="24"/>
        </w:rPr>
        <w:t>major</w:t>
      </w:r>
      <w:r w:rsidRPr="00150EDC">
        <w:rPr>
          <w:spacing w:val="-3"/>
          <w:sz w:val="24"/>
        </w:rPr>
        <w:t xml:space="preserve"> </w:t>
      </w:r>
      <w:r w:rsidRPr="00150EDC">
        <w:rPr>
          <w:sz w:val="24"/>
        </w:rPr>
        <w:t>reconfiguration of</w:t>
      </w:r>
      <w:r w:rsidRPr="00150EDC">
        <w:rPr>
          <w:spacing w:val="-1"/>
          <w:sz w:val="24"/>
        </w:rPr>
        <w:t xml:space="preserve"> </w:t>
      </w:r>
      <w:r w:rsidRPr="00150EDC">
        <w:rPr>
          <w:sz w:val="24"/>
        </w:rPr>
        <w:t xml:space="preserve">the </w:t>
      </w:r>
      <w:r w:rsidRPr="00150EDC">
        <w:rPr>
          <w:spacing w:val="-2"/>
          <w:sz w:val="24"/>
        </w:rPr>
        <w:t>Deliverables</w:t>
      </w:r>
    </w:p>
    <w:p w14:paraId="5D372DD3" w14:textId="77777777" w:rsidR="004C7180" w:rsidRPr="00150EDC" w:rsidRDefault="00CF0754" w:rsidP="00B320C7">
      <w:pPr>
        <w:pStyle w:val="ListParagraph"/>
        <w:numPr>
          <w:ilvl w:val="2"/>
          <w:numId w:val="49"/>
        </w:numPr>
        <w:tabs>
          <w:tab w:val="left" w:pos="2838"/>
          <w:tab w:val="left" w:pos="2840"/>
        </w:tabs>
        <w:spacing w:before="120"/>
        <w:ind w:right="1738" w:hanging="720"/>
        <w:rPr>
          <w:sz w:val="24"/>
        </w:rPr>
      </w:pPr>
      <w:r w:rsidRPr="00150EDC">
        <w:rPr>
          <w:sz w:val="24"/>
        </w:rPr>
        <w:t>at</w:t>
      </w:r>
      <w:r w:rsidRPr="00150EDC">
        <w:rPr>
          <w:spacing w:val="-2"/>
          <w:sz w:val="24"/>
        </w:rPr>
        <w:t xml:space="preserve"> </w:t>
      </w:r>
      <w:r w:rsidRPr="00150EDC">
        <w:rPr>
          <w:sz w:val="24"/>
        </w:rPr>
        <w:t>any</w:t>
      </w:r>
      <w:r w:rsidRPr="00150EDC">
        <w:rPr>
          <w:spacing w:val="-3"/>
          <w:sz w:val="24"/>
        </w:rPr>
        <w:t xml:space="preserve"> </w:t>
      </w:r>
      <w:r w:rsidRPr="00150EDC">
        <w:rPr>
          <w:sz w:val="24"/>
        </w:rPr>
        <w:t>time</w:t>
      </w:r>
      <w:r w:rsidRPr="00150EDC">
        <w:rPr>
          <w:spacing w:val="-2"/>
          <w:sz w:val="24"/>
        </w:rPr>
        <w:t xml:space="preserve"> </w:t>
      </w:r>
      <w:r w:rsidRPr="00150EDC">
        <w:rPr>
          <w:sz w:val="24"/>
        </w:rPr>
        <w:t>where</w:t>
      </w:r>
      <w:r w:rsidRPr="00150EDC">
        <w:rPr>
          <w:spacing w:val="-2"/>
          <w:sz w:val="24"/>
        </w:rPr>
        <w:t xml:space="preserve"> </w:t>
      </w:r>
      <w:r w:rsidRPr="00150EDC">
        <w:rPr>
          <w:sz w:val="24"/>
        </w:rPr>
        <w:t>the</w:t>
      </w:r>
      <w:r w:rsidRPr="00150EDC">
        <w:rPr>
          <w:spacing w:val="-4"/>
          <w:sz w:val="24"/>
        </w:rPr>
        <w:t xml:space="preserve"> </w:t>
      </w:r>
      <w:r w:rsidRPr="00150EDC">
        <w:rPr>
          <w:sz w:val="24"/>
        </w:rPr>
        <w:t>Buyer</w:t>
      </w:r>
      <w:r w:rsidRPr="00150EDC">
        <w:rPr>
          <w:spacing w:val="-4"/>
          <w:sz w:val="24"/>
        </w:rPr>
        <w:t xml:space="preserve"> </w:t>
      </w:r>
      <w:r w:rsidRPr="00150EDC">
        <w:rPr>
          <w:sz w:val="24"/>
        </w:rPr>
        <w:t>considers</w:t>
      </w:r>
      <w:r w:rsidRPr="00150EDC">
        <w:rPr>
          <w:spacing w:val="-3"/>
          <w:sz w:val="24"/>
        </w:rPr>
        <w:t xml:space="preserve"> </w:t>
      </w:r>
      <w:r w:rsidRPr="00150EDC">
        <w:rPr>
          <w:sz w:val="24"/>
        </w:rPr>
        <w:t>it</w:t>
      </w:r>
      <w:r w:rsidRPr="00150EDC">
        <w:rPr>
          <w:spacing w:val="-5"/>
          <w:sz w:val="24"/>
        </w:rPr>
        <w:t xml:space="preserve"> </w:t>
      </w:r>
      <w:r w:rsidRPr="00150EDC">
        <w:rPr>
          <w:sz w:val="24"/>
        </w:rPr>
        <w:t>necessary</w:t>
      </w:r>
      <w:r w:rsidRPr="00150EDC">
        <w:rPr>
          <w:spacing w:val="-3"/>
          <w:sz w:val="24"/>
        </w:rPr>
        <w:t xml:space="preserve"> </w:t>
      </w:r>
      <w:r w:rsidRPr="00150EDC">
        <w:rPr>
          <w:sz w:val="24"/>
        </w:rPr>
        <w:t>(acting</w:t>
      </w:r>
      <w:r w:rsidRPr="00150EDC">
        <w:rPr>
          <w:spacing w:val="-4"/>
          <w:sz w:val="24"/>
        </w:rPr>
        <w:t xml:space="preserve"> </w:t>
      </w:r>
      <w:r w:rsidRPr="00150EDC">
        <w:rPr>
          <w:sz w:val="24"/>
        </w:rPr>
        <w:t>in</w:t>
      </w:r>
      <w:r w:rsidRPr="00150EDC">
        <w:rPr>
          <w:spacing w:val="-2"/>
          <w:sz w:val="24"/>
        </w:rPr>
        <w:t xml:space="preserve"> </w:t>
      </w:r>
      <w:r w:rsidRPr="00150EDC">
        <w:rPr>
          <w:sz w:val="24"/>
        </w:rPr>
        <w:t>its</w:t>
      </w:r>
      <w:r w:rsidRPr="00150EDC">
        <w:rPr>
          <w:spacing w:val="-3"/>
          <w:sz w:val="24"/>
        </w:rPr>
        <w:t xml:space="preserve"> </w:t>
      </w:r>
      <w:r w:rsidRPr="00150EDC">
        <w:rPr>
          <w:sz w:val="24"/>
        </w:rPr>
        <w:t xml:space="preserve">sole </w:t>
      </w:r>
      <w:r w:rsidRPr="00150EDC">
        <w:rPr>
          <w:spacing w:val="-2"/>
          <w:sz w:val="24"/>
        </w:rPr>
        <w:t>discretion).</w:t>
      </w:r>
    </w:p>
    <w:p w14:paraId="28E5F1A3" w14:textId="77777777" w:rsidR="004C7180" w:rsidRPr="00150EDC" w:rsidRDefault="00CF0754" w:rsidP="00B320C7">
      <w:pPr>
        <w:pStyle w:val="ListParagraph"/>
        <w:numPr>
          <w:ilvl w:val="1"/>
          <w:numId w:val="49"/>
        </w:numPr>
        <w:tabs>
          <w:tab w:val="left" w:pos="2120"/>
        </w:tabs>
        <w:spacing w:before="120"/>
        <w:ind w:left="2120" w:right="1616" w:hanging="720"/>
        <w:jc w:val="left"/>
        <w:rPr>
          <w:sz w:val="24"/>
        </w:rPr>
      </w:pPr>
      <w:r w:rsidRPr="00150EDC">
        <w:rPr>
          <w:sz w:val="24"/>
        </w:rPr>
        <w:t>If the Buyer requires an additional test of the BCDR Plan, it shall give the Supplier written notice and the Supplier shall conduct the test in accordance with</w:t>
      </w:r>
      <w:r w:rsidRPr="00150EDC">
        <w:rPr>
          <w:spacing w:val="-2"/>
          <w:sz w:val="24"/>
        </w:rPr>
        <w:t xml:space="preserve"> </w:t>
      </w:r>
      <w:r w:rsidRPr="00150EDC">
        <w:rPr>
          <w:sz w:val="24"/>
        </w:rPr>
        <w:t>the</w:t>
      </w:r>
      <w:r w:rsidRPr="00150EDC">
        <w:rPr>
          <w:spacing w:val="-4"/>
          <w:sz w:val="24"/>
        </w:rPr>
        <w:t xml:space="preserve"> </w:t>
      </w:r>
      <w:r w:rsidRPr="00150EDC">
        <w:rPr>
          <w:sz w:val="24"/>
        </w:rPr>
        <w:t>Buyer’s</w:t>
      </w:r>
      <w:r w:rsidRPr="00150EDC">
        <w:rPr>
          <w:spacing w:val="-3"/>
          <w:sz w:val="24"/>
        </w:rPr>
        <w:t xml:space="preserve"> </w:t>
      </w:r>
      <w:r w:rsidRPr="00150EDC">
        <w:rPr>
          <w:sz w:val="24"/>
        </w:rPr>
        <w:t>requirements</w:t>
      </w:r>
      <w:r w:rsidRPr="00150EDC">
        <w:rPr>
          <w:spacing w:val="-5"/>
          <w:sz w:val="24"/>
        </w:rPr>
        <w:t xml:space="preserve"> </w:t>
      </w:r>
      <w:r w:rsidRPr="00150EDC">
        <w:rPr>
          <w:sz w:val="24"/>
        </w:rPr>
        <w:t>and</w:t>
      </w:r>
      <w:r w:rsidRPr="00150EDC">
        <w:rPr>
          <w:spacing w:val="-4"/>
          <w:sz w:val="24"/>
        </w:rPr>
        <w:t xml:space="preserve"> </w:t>
      </w:r>
      <w:r w:rsidRPr="00150EDC">
        <w:rPr>
          <w:sz w:val="24"/>
        </w:rPr>
        <w:t>the</w:t>
      </w:r>
      <w:r w:rsidRPr="00150EDC">
        <w:rPr>
          <w:spacing w:val="-2"/>
          <w:sz w:val="24"/>
        </w:rPr>
        <w:t xml:space="preserve"> </w:t>
      </w:r>
      <w:r w:rsidRPr="00150EDC">
        <w:rPr>
          <w:sz w:val="24"/>
        </w:rPr>
        <w:t>relevant</w:t>
      </w:r>
      <w:r w:rsidRPr="00150EDC">
        <w:rPr>
          <w:spacing w:val="-2"/>
          <w:sz w:val="24"/>
        </w:rPr>
        <w:t xml:space="preserve"> </w:t>
      </w:r>
      <w:r w:rsidRPr="00150EDC">
        <w:rPr>
          <w:sz w:val="24"/>
        </w:rPr>
        <w:t>provisions</w:t>
      </w:r>
      <w:r w:rsidRPr="00150EDC">
        <w:rPr>
          <w:spacing w:val="-3"/>
          <w:sz w:val="24"/>
        </w:rPr>
        <w:t xml:space="preserve"> </w:t>
      </w:r>
      <w:r w:rsidRPr="00150EDC">
        <w:rPr>
          <w:sz w:val="24"/>
        </w:rPr>
        <w:t>of</w:t>
      </w:r>
      <w:r w:rsidRPr="00150EDC">
        <w:rPr>
          <w:spacing w:val="-5"/>
          <w:sz w:val="24"/>
        </w:rPr>
        <w:t xml:space="preserve"> </w:t>
      </w:r>
      <w:r w:rsidRPr="00150EDC">
        <w:rPr>
          <w:sz w:val="24"/>
        </w:rPr>
        <w:t>the</w:t>
      </w:r>
      <w:r w:rsidRPr="00150EDC">
        <w:rPr>
          <w:spacing w:val="-2"/>
          <w:sz w:val="24"/>
        </w:rPr>
        <w:t xml:space="preserve"> </w:t>
      </w:r>
      <w:r w:rsidRPr="00150EDC">
        <w:rPr>
          <w:sz w:val="24"/>
        </w:rPr>
        <w:t>BCDR</w:t>
      </w:r>
      <w:r w:rsidRPr="00150EDC">
        <w:rPr>
          <w:spacing w:val="-3"/>
          <w:sz w:val="24"/>
        </w:rPr>
        <w:t xml:space="preserve"> </w:t>
      </w:r>
      <w:r w:rsidRPr="00150EDC">
        <w:rPr>
          <w:sz w:val="24"/>
        </w:rPr>
        <w:t>Plan. The</w:t>
      </w:r>
      <w:r w:rsidRPr="00150EDC">
        <w:rPr>
          <w:spacing w:val="-1"/>
          <w:sz w:val="24"/>
        </w:rPr>
        <w:t xml:space="preserve"> </w:t>
      </w:r>
      <w:r w:rsidRPr="00150EDC">
        <w:rPr>
          <w:sz w:val="24"/>
        </w:rPr>
        <w:t>Supplier's</w:t>
      </w:r>
      <w:r w:rsidRPr="00150EDC">
        <w:rPr>
          <w:spacing w:val="-2"/>
          <w:sz w:val="24"/>
        </w:rPr>
        <w:t xml:space="preserve"> </w:t>
      </w:r>
      <w:r w:rsidRPr="00150EDC">
        <w:rPr>
          <w:sz w:val="24"/>
        </w:rPr>
        <w:t>costs</w:t>
      </w:r>
      <w:r w:rsidRPr="00150EDC">
        <w:rPr>
          <w:spacing w:val="-2"/>
          <w:sz w:val="24"/>
        </w:rPr>
        <w:t xml:space="preserve"> </w:t>
      </w:r>
      <w:r w:rsidRPr="00150EDC">
        <w:rPr>
          <w:sz w:val="24"/>
        </w:rPr>
        <w:t>of</w:t>
      </w:r>
      <w:r w:rsidRPr="00150EDC">
        <w:rPr>
          <w:spacing w:val="-4"/>
          <w:sz w:val="24"/>
        </w:rPr>
        <w:t xml:space="preserve"> </w:t>
      </w:r>
      <w:r w:rsidRPr="00150EDC">
        <w:rPr>
          <w:sz w:val="24"/>
        </w:rPr>
        <w:t>the</w:t>
      </w:r>
      <w:r w:rsidRPr="00150EDC">
        <w:rPr>
          <w:spacing w:val="-3"/>
          <w:sz w:val="24"/>
        </w:rPr>
        <w:t xml:space="preserve"> </w:t>
      </w:r>
      <w:r w:rsidRPr="00150EDC">
        <w:rPr>
          <w:sz w:val="24"/>
        </w:rPr>
        <w:t>additional</w:t>
      </w:r>
      <w:r w:rsidRPr="00150EDC">
        <w:rPr>
          <w:spacing w:val="-5"/>
          <w:sz w:val="24"/>
        </w:rPr>
        <w:t xml:space="preserve"> </w:t>
      </w:r>
      <w:r w:rsidRPr="00150EDC">
        <w:rPr>
          <w:sz w:val="24"/>
        </w:rPr>
        <w:t>test</w:t>
      </w:r>
      <w:r w:rsidRPr="00150EDC">
        <w:rPr>
          <w:spacing w:val="-1"/>
          <w:sz w:val="24"/>
        </w:rPr>
        <w:t xml:space="preserve"> </w:t>
      </w:r>
      <w:r w:rsidRPr="00150EDC">
        <w:rPr>
          <w:sz w:val="24"/>
        </w:rPr>
        <w:t>shall</w:t>
      </w:r>
      <w:r w:rsidRPr="00150EDC">
        <w:rPr>
          <w:spacing w:val="-2"/>
          <w:sz w:val="24"/>
        </w:rPr>
        <w:t xml:space="preserve"> </w:t>
      </w:r>
      <w:r w:rsidRPr="00150EDC">
        <w:rPr>
          <w:sz w:val="24"/>
        </w:rPr>
        <w:t>be</w:t>
      </w:r>
      <w:r w:rsidRPr="00150EDC">
        <w:rPr>
          <w:spacing w:val="-1"/>
          <w:sz w:val="24"/>
        </w:rPr>
        <w:t xml:space="preserve"> </w:t>
      </w:r>
      <w:r w:rsidRPr="00150EDC">
        <w:rPr>
          <w:sz w:val="24"/>
        </w:rPr>
        <w:t>borne</w:t>
      </w:r>
      <w:r w:rsidRPr="00150EDC">
        <w:rPr>
          <w:spacing w:val="-3"/>
          <w:sz w:val="24"/>
        </w:rPr>
        <w:t xml:space="preserve"> </w:t>
      </w:r>
      <w:r w:rsidRPr="00150EDC">
        <w:rPr>
          <w:sz w:val="24"/>
        </w:rPr>
        <w:t>by</w:t>
      </w:r>
      <w:r w:rsidRPr="00150EDC">
        <w:rPr>
          <w:spacing w:val="-2"/>
          <w:sz w:val="24"/>
        </w:rPr>
        <w:t xml:space="preserve"> </w:t>
      </w:r>
      <w:r w:rsidRPr="00150EDC">
        <w:rPr>
          <w:sz w:val="24"/>
        </w:rPr>
        <w:t>the</w:t>
      </w:r>
      <w:r w:rsidRPr="00150EDC">
        <w:rPr>
          <w:spacing w:val="-1"/>
          <w:sz w:val="24"/>
        </w:rPr>
        <w:t xml:space="preserve"> </w:t>
      </w:r>
      <w:r w:rsidRPr="00150EDC">
        <w:rPr>
          <w:sz w:val="24"/>
        </w:rPr>
        <w:t>Buyer</w:t>
      </w:r>
      <w:r w:rsidRPr="00150EDC">
        <w:rPr>
          <w:spacing w:val="-3"/>
          <w:sz w:val="24"/>
        </w:rPr>
        <w:t xml:space="preserve"> </w:t>
      </w:r>
      <w:r w:rsidRPr="00150EDC">
        <w:rPr>
          <w:sz w:val="24"/>
        </w:rPr>
        <w:t>unless the BCDR Plan fails the additional test in which case the Supplier's costs of that failed test shall be borne by the Supplier.</w:t>
      </w:r>
    </w:p>
    <w:p w14:paraId="1873C8F8" w14:textId="77777777" w:rsidR="004C7180" w:rsidRPr="00150EDC" w:rsidRDefault="00CF0754" w:rsidP="00B320C7">
      <w:pPr>
        <w:pStyle w:val="ListParagraph"/>
        <w:numPr>
          <w:ilvl w:val="1"/>
          <w:numId w:val="49"/>
        </w:numPr>
        <w:tabs>
          <w:tab w:val="left" w:pos="2120"/>
        </w:tabs>
        <w:spacing w:before="120"/>
        <w:ind w:left="2120" w:right="1644" w:hanging="720"/>
        <w:jc w:val="left"/>
        <w:rPr>
          <w:sz w:val="24"/>
        </w:rPr>
      </w:pPr>
      <w:r w:rsidRPr="00150EDC">
        <w:rPr>
          <w:sz w:val="24"/>
        </w:rPr>
        <w:t>The Supplier shall undertake and manage testing of the BCDR Plan in full consultation</w:t>
      </w:r>
      <w:r w:rsidRPr="00150EDC">
        <w:rPr>
          <w:spacing w:val="-2"/>
          <w:sz w:val="24"/>
        </w:rPr>
        <w:t xml:space="preserve"> </w:t>
      </w:r>
      <w:r w:rsidRPr="00150EDC">
        <w:rPr>
          <w:sz w:val="24"/>
        </w:rPr>
        <w:t>with</w:t>
      </w:r>
      <w:r w:rsidRPr="00150EDC">
        <w:rPr>
          <w:spacing w:val="-2"/>
          <w:sz w:val="24"/>
        </w:rPr>
        <w:t xml:space="preserve"> </w:t>
      </w:r>
      <w:r w:rsidRPr="00150EDC">
        <w:rPr>
          <w:sz w:val="24"/>
        </w:rPr>
        <w:t>and</w:t>
      </w:r>
      <w:r w:rsidRPr="00150EDC">
        <w:rPr>
          <w:spacing w:val="-4"/>
          <w:sz w:val="24"/>
        </w:rPr>
        <w:t xml:space="preserve"> </w:t>
      </w:r>
      <w:r w:rsidRPr="00150EDC">
        <w:rPr>
          <w:sz w:val="24"/>
        </w:rPr>
        <w:t>under</w:t>
      </w:r>
      <w:r w:rsidRPr="00150EDC">
        <w:rPr>
          <w:spacing w:val="-4"/>
          <w:sz w:val="24"/>
        </w:rPr>
        <w:t xml:space="preserve"> </w:t>
      </w:r>
      <w:r w:rsidRPr="00150EDC">
        <w:rPr>
          <w:sz w:val="24"/>
        </w:rPr>
        <w:t>the</w:t>
      </w:r>
      <w:r w:rsidRPr="00150EDC">
        <w:rPr>
          <w:spacing w:val="-2"/>
          <w:sz w:val="24"/>
        </w:rPr>
        <w:t xml:space="preserve"> </w:t>
      </w:r>
      <w:r w:rsidRPr="00150EDC">
        <w:rPr>
          <w:sz w:val="24"/>
        </w:rPr>
        <w:t>supervision</w:t>
      </w:r>
      <w:r w:rsidRPr="00150EDC">
        <w:rPr>
          <w:spacing w:val="-4"/>
          <w:sz w:val="24"/>
        </w:rPr>
        <w:t xml:space="preserve"> </w:t>
      </w:r>
      <w:r w:rsidRPr="00150EDC">
        <w:rPr>
          <w:sz w:val="24"/>
        </w:rPr>
        <w:t>of</w:t>
      </w:r>
      <w:r w:rsidRPr="00150EDC">
        <w:rPr>
          <w:spacing w:val="-5"/>
          <w:sz w:val="24"/>
        </w:rPr>
        <w:t xml:space="preserve"> </w:t>
      </w:r>
      <w:r w:rsidRPr="00150EDC">
        <w:rPr>
          <w:sz w:val="24"/>
        </w:rPr>
        <w:t>the</w:t>
      </w:r>
      <w:r w:rsidRPr="00150EDC">
        <w:rPr>
          <w:spacing w:val="-4"/>
          <w:sz w:val="24"/>
        </w:rPr>
        <w:t xml:space="preserve"> </w:t>
      </w:r>
      <w:r w:rsidRPr="00150EDC">
        <w:rPr>
          <w:sz w:val="24"/>
        </w:rPr>
        <w:t>Buyer</w:t>
      </w:r>
      <w:r w:rsidRPr="00150EDC">
        <w:rPr>
          <w:spacing w:val="-6"/>
          <w:sz w:val="24"/>
        </w:rPr>
        <w:t xml:space="preserve"> </w:t>
      </w:r>
      <w:r w:rsidRPr="00150EDC">
        <w:rPr>
          <w:sz w:val="24"/>
        </w:rPr>
        <w:t>and</w:t>
      </w:r>
      <w:r w:rsidRPr="00150EDC">
        <w:rPr>
          <w:spacing w:val="-2"/>
          <w:sz w:val="24"/>
        </w:rPr>
        <w:t xml:space="preserve"> </w:t>
      </w:r>
      <w:r w:rsidRPr="00150EDC">
        <w:rPr>
          <w:sz w:val="24"/>
        </w:rPr>
        <w:t>shall</w:t>
      </w:r>
      <w:r w:rsidRPr="00150EDC">
        <w:rPr>
          <w:spacing w:val="-3"/>
          <w:sz w:val="24"/>
        </w:rPr>
        <w:t xml:space="preserve"> </w:t>
      </w:r>
      <w:r w:rsidRPr="00150EDC">
        <w:rPr>
          <w:sz w:val="24"/>
        </w:rPr>
        <w:t>liaise</w:t>
      </w:r>
      <w:r w:rsidRPr="00150EDC">
        <w:rPr>
          <w:spacing w:val="-2"/>
          <w:sz w:val="24"/>
        </w:rPr>
        <w:t xml:space="preserve"> </w:t>
      </w:r>
      <w:r w:rsidRPr="00150EDC">
        <w:rPr>
          <w:sz w:val="24"/>
        </w:rPr>
        <w:t>with the Buyer in respect of the planning, performance, and review, of each test, and shall comply with the reasonable requirements of the Buyer.</w:t>
      </w:r>
    </w:p>
    <w:p w14:paraId="2CF181E6" w14:textId="77777777" w:rsidR="004C7180" w:rsidRPr="00150EDC" w:rsidRDefault="00CF0754" w:rsidP="00B320C7">
      <w:pPr>
        <w:pStyle w:val="ListParagraph"/>
        <w:numPr>
          <w:ilvl w:val="1"/>
          <w:numId w:val="49"/>
        </w:numPr>
        <w:tabs>
          <w:tab w:val="left" w:pos="2117"/>
          <w:tab w:val="left" w:pos="2120"/>
        </w:tabs>
        <w:spacing w:before="120"/>
        <w:ind w:left="2120" w:right="1445" w:hanging="720"/>
        <w:jc w:val="both"/>
        <w:rPr>
          <w:sz w:val="24"/>
        </w:rPr>
      </w:pPr>
      <w:r w:rsidRPr="00150EDC">
        <w:rPr>
          <w:sz w:val="24"/>
        </w:rPr>
        <w:t>The</w:t>
      </w:r>
      <w:r w:rsidRPr="00150EDC">
        <w:rPr>
          <w:spacing w:val="-1"/>
          <w:sz w:val="24"/>
        </w:rPr>
        <w:t xml:space="preserve"> </w:t>
      </w:r>
      <w:r w:rsidRPr="00150EDC">
        <w:rPr>
          <w:sz w:val="24"/>
        </w:rPr>
        <w:t>Supplier</w:t>
      </w:r>
      <w:r w:rsidRPr="00150EDC">
        <w:rPr>
          <w:spacing w:val="-3"/>
          <w:sz w:val="24"/>
        </w:rPr>
        <w:t xml:space="preserve"> </w:t>
      </w:r>
      <w:r w:rsidRPr="00150EDC">
        <w:rPr>
          <w:sz w:val="24"/>
        </w:rPr>
        <w:t>shall</w:t>
      </w:r>
      <w:r w:rsidRPr="00150EDC">
        <w:rPr>
          <w:spacing w:val="-2"/>
          <w:sz w:val="24"/>
        </w:rPr>
        <w:t xml:space="preserve"> </w:t>
      </w:r>
      <w:r w:rsidRPr="00150EDC">
        <w:rPr>
          <w:sz w:val="24"/>
        </w:rPr>
        <w:t>ensure</w:t>
      </w:r>
      <w:r w:rsidRPr="00150EDC">
        <w:rPr>
          <w:spacing w:val="-1"/>
          <w:sz w:val="24"/>
        </w:rPr>
        <w:t xml:space="preserve"> </w:t>
      </w:r>
      <w:r w:rsidRPr="00150EDC">
        <w:rPr>
          <w:sz w:val="24"/>
        </w:rPr>
        <w:t>that</w:t>
      </w:r>
      <w:r w:rsidRPr="00150EDC">
        <w:rPr>
          <w:spacing w:val="-1"/>
          <w:sz w:val="24"/>
        </w:rPr>
        <w:t xml:space="preserve"> </w:t>
      </w:r>
      <w:r w:rsidRPr="00150EDC">
        <w:rPr>
          <w:sz w:val="24"/>
        </w:rPr>
        <w:t>any</w:t>
      </w:r>
      <w:r w:rsidRPr="00150EDC">
        <w:rPr>
          <w:spacing w:val="-2"/>
          <w:sz w:val="24"/>
        </w:rPr>
        <w:t xml:space="preserve"> </w:t>
      </w:r>
      <w:r w:rsidRPr="00150EDC">
        <w:rPr>
          <w:sz w:val="24"/>
        </w:rPr>
        <w:t>use</w:t>
      </w:r>
      <w:r w:rsidRPr="00150EDC">
        <w:rPr>
          <w:spacing w:val="-1"/>
          <w:sz w:val="24"/>
        </w:rPr>
        <w:t xml:space="preserve"> </w:t>
      </w:r>
      <w:r w:rsidRPr="00150EDC">
        <w:rPr>
          <w:sz w:val="24"/>
        </w:rPr>
        <w:t>by</w:t>
      </w:r>
      <w:r w:rsidRPr="00150EDC">
        <w:rPr>
          <w:spacing w:val="-4"/>
          <w:sz w:val="24"/>
        </w:rPr>
        <w:t xml:space="preserve"> </w:t>
      </w:r>
      <w:r w:rsidRPr="00150EDC">
        <w:rPr>
          <w:sz w:val="24"/>
        </w:rPr>
        <w:t>it</w:t>
      </w:r>
      <w:r w:rsidRPr="00150EDC">
        <w:rPr>
          <w:spacing w:val="-1"/>
          <w:sz w:val="24"/>
        </w:rPr>
        <w:t xml:space="preserve"> </w:t>
      </w:r>
      <w:r w:rsidRPr="00150EDC">
        <w:rPr>
          <w:sz w:val="24"/>
        </w:rPr>
        <w:t>or</w:t>
      </w:r>
      <w:r w:rsidRPr="00150EDC">
        <w:rPr>
          <w:spacing w:val="-3"/>
          <w:sz w:val="24"/>
        </w:rPr>
        <w:t xml:space="preserve"> </w:t>
      </w:r>
      <w:r w:rsidRPr="00150EDC">
        <w:rPr>
          <w:sz w:val="24"/>
        </w:rPr>
        <w:t>any</w:t>
      </w:r>
      <w:r w:rsidRPr="00150EDC">
        <w:rPr>
          <w:spacing w:val="-2"/>
          <w:sz w:val="24"/>
        </w:rPr>
        <w:t xml:space="preserve"> </w:t>
      </w:r>
      <w:r w:rsidRPr="00150EDC">
        <w:rPr>
          <w:sz w:val="24"/>
        </w:rPr>
        <w:t>Subcontractor</w:t>
      </w:r>
      <w:r w:rsidRPr="00150EDC">
        <w:rPr>
          <w:spacing w:val="-3"/>
          <w:sz w:val="24"/>
        </w:rPr>
        <w:t xml:space="preserve"> </w:t>
      </w:r>
      <w:r w:rsidRPr="00150EDC">
        <w:rPr>
          <w:sz w:val="24"/>
        </w:rPr>
        <w:t>of</w:t>
      </w:r>
      <w:r w:rsidRPr="00150EDC">
        <w:rPr>
          <w:spacing w:val="-4"/>
          <w:sz w:val="24"/>
        </w:rPr>
        <w:t xml:space="preserve"> </w:t>
      </w:r>
      <w:r w:rsidRPr="00150EDC">
        <w:rPr>
          <w:sz w:val="24"/>
        </w:rPr>
        <w:t>"live"</w:t>
      </w:r>
      <w:r w:rsidRPr="00150EDC">
        <w:rPr>
          <w:spacing w:val="-3"/>
          <w:sz w:val="24"/>
        </w:rPr>
        <w:t xml:space="preserve"> </w:t>
      </w:r>
      <w:r w:rsidRPr="00150EDC">
        <w:rPr>
          <w:sz w:val="24"/>
        </w:rPr>
        <w:t>data in</w:t>
      </w:r>
      <w:r w:rsidRPr="00150EDC">
        <w:rPr>
          <w:spacing w:val="-1"/>
          <w:sz w:val="24"/>
        </w:rPr>
        <w:t xml:space="preserve"> </w:t>
      </w:r>
      <w:r w:rsidRPr="00150EDC">
        <w:rPr>
          <w:sz w:val="24"/>
        </w:rPr>
        <w:t>such</w:t>
      </w:r>
      <w:r w:rsidRPr="00150EDC">
        <w:rPr>
          <w:spacing w:val="-3"/>
          <w:sz w:val="24"/>
        </w:rPr>
        <w:t xml:space="preserve"> </w:t>
      </w:r>
      <w:r w:rsidRPr="00150EDC">
        <w:rPr>
          <w:sz w:val="24"/>
        </w:rPr>
        <w:t>testing</w:t>
      </w:r>
      <w:r w:rsidRPr="00150EDC">
        <w:rPr>
          <w:spacing w:val="-1"/>
          <w:sz w:val="24"/>
        </w:rPr>
        <w:t xml:space="preserve"> </w:t>
      </w:r>
      <w:r w:rsidRPr="00150EDC">
        <w:rPr>
          <w:sz w:val="24"/>
        </w:rPr>
        <w:t>is</w:t>
      </w:r>
      <w:r w:rsidRPr="00150EDC">
        <w:rPr>
          <w:spacing w:val="-2"/>
          <w:sz w:val="24"/>
        </w:rPr>
        <w:t xml:space="preserve"> </w:t>
      </w:r>
      <w:r w:rsidRPr="00150EDC">
        <w:rPr>
          <w:sz w:val="24"/>
        </w:rPr>
        <w:t>first</w:t>
      </w:r>
      <w:r w:rsidRPr="00150EDC">
        <w:rPr>
          <w:spacing w:val="-1"/>
          <w:sz w:val="24"/>
        </w:rPr>
        <w:t xml:space="preserve"> </w:t>
      </w:r>
      <w:r w:rsidRPr="00150EDC">
        <w:rPr>
          <w:sz w:val="24"/>
        </w:rPr>
        <w:t>approved</w:t>
      </w:r>
      <w:r w:rsidRPr="00150EDC">
        <w:rPr>
          <w:spacing w:val="-1"/>
          <w:sz w:val="24"/>
        </w:rPr>
        <w:t xml:space="preserve"> </w:t>
      </w:r>
      <w:r w:rsidRPr="00150EDC">
        <w:rPr>
          <w:sz w:val="24"/>
        </w:rPr>
        <w:t>with</w:t>
      </w:r>
      <w:r w:rsidRPr="00150EDC">
        <w:rPr>
          <w:spacing w:val="-1"/>
          <w:sz w:val="24"/>
        </w:rPr>
        <w:t xml:space="preserve"> </w:t>
      </w:r>
      <w:r w:rsidRPr="00150EDC">
        <w:rPr>
          <w:sz w:val="24"/>
        </w:rPr>
        <w:t>the</w:t>
      </w:r>
      <w:r w:rsidRPr="00150EDC">
        <w:rPr>
          <w:spacing w:val="-3"/>
          <w:sz w:val="24"/>
        </w:rPr>
        <w:t xml:space="preserve"> </w:t>
      </w:r>
      <w:r w:rsidRPr="00150EDC">
        <w:rPr>
          <w:sz w:val="24"/>
        </w:rPr>
        <w:t>Buyer.</w:t>
      </w:r>
      <w:r w:rsidRPr="00150EDC">
        <w:rPr>
          <w:spacing w:val="-1"/>
          <w:sz w:val="24"/>
        </w:rPr>
        <w:t xml:space="preserve"> </w:t>
      </w:r>
      <w:r w:rsidRPr="00150EDC">
        <w:rPr>
          <w:sz w:val="24"/>
        </w:rPr>
        <w:t>Copies</w:t>
      </w:r>
      <w:r w:rsidRPr="00150EDC">
        <w:rPr>
          <w:spacing w:val="-4"/>
          <w:sz w:val="24"/>
        </w:rPr>
        <w:t xml:space="preserve"> </w:t>
      </w:r>
      <w:r w:rsidRPr="00150EDC">
        <w:rPr>
          <w:sz w:val="24"/>
        </w:rPr>
        <w:t>of</w:t>
      </w:r>
      <w:r w:rsidRPr="00150EDC">
        <w:rPr>
          <w:spacing w:val="-1"/>
          <w:sz w:val="24"/>
        </w:rPr>
        <w:t xml:space="preserve"> </w:t>
      </w:r>
      <w:r w:rsidRPr="00150EDC">
        <w:rPr>
          <w:sz w:val="24"/>
        </w:rPr>
        <w:t>live</w:t>
      </w:r>
      <w:r w:rsidRPr="00150EDC">
        <w:rPr>
          <w:spacing w:val="-3"/>
          <w:sz w:val="24"/>
        </w:rPr>
        <w:t xml:space="preserve"> </w:t>
      </w:r>
      <w:r w:rsidRPr="00150EDC">
        <w:rPr>
          <w:sz w:val="24"/>
        </w:rPr>
        <w:t>test</w:t>
      </w:r>
      <w:r w:rsidRPr="00150EDC">
        <w:rPr>
          <w:spacing w:val="-4"/>
          <w:sz w:val="24"/>
        </w:rPr>
        <w:t xml:space="preserve"> </w:t>
      </w:r>
      <w:r w:rsidRPr="00150EDC">
        <w:rPr>
          <w:sz w:val="24"/>
        </w:rPr>
        <w:t>data</w:t>
      </w:r>
      <w:r w:rsidRPr="00150EDC">
        <w:rPr>
          <w:spacing w:val="-1"/>
          <w:sz w:val="24"/>
        </w:rPr>
        <w:t xml:space="preserve"> </w:t>
      </w:r>
      <w:r w:rsidRPr="00150EDC">
        <w:rPr>
          <w:sz w:val="24"/>
        </w:rPr>
        <w:t>used</w:t>
      </w:r>
      <w:r w:rsidRPr="00150EDC">
        <w:rPr>
          <w:spacing w:val="-1"/>
          <w:sz w:val="24"/>
        </w:rPr>
        <w:t xml:space="preserve"> </w:t>
      </w:r>
      <w:r w:rsidRPr="00150EDC">
        <w:rPr>
          <w:sz w:val="24"/>
        </w:rPr>
        <w:t>in any</w:t>
      </w:r>
      <w:r w:rsidRPr="00150EDC">
        <w:rPr>
          <w:spacing w:val="-2"/>
          <w:sz w:val="24"/>
        </w:rPr>
        <w:t xml:space="preserve"> </w:t>
      </w:r>
      <w:r w:rsidRPr="00150EDC">
        <w:rPr>
          <w:sz w:val="24"/>
        </w:rPr>
        <w:t>such</w:t>
      </w:r>
      <w:r w:rsidRPr="00150EDC">
        <w:rPr>
          <w:spacing w:val="-1"/>
          <w:sz w:val="24"/>
        </w:rPr>
        <w:t xml:space="preserve"> </w:t>
      </w:r>
      <w:r w:rsidRPr="00150EDC">
        <w:rPr>
          <w:sz w:val="24"/>
        </w:rPr>
        <w:t>testing</w:t>
      </w:r>
      <w:r w:rsidRPr="00150EDC">
        <w:rPr>
          <w:spacing w:val="-3"/>
          <w:sz w:val="24"/>
        </w:rPr>
        <w:t xml:space="preserve"> </w:t>
      </w:r>
      <w:r w:rsidRPr="00150EDC">
        <w:rPr>
          <w:sz w:val="24"/>
        </w:rPr>
        <w:t>shall</w:t>
      </w:r>
      <w:r w:rsidRPr="00150EDC">
        <w:rPr>
          <w:spacing w:val="-5"/>
          <w:sz w:val="24"/>
        </w:rPr>
        <w:t xml:space="preserve"> </w:t>
      </w:r>
      <w:r w:rsidRPr="00150EDC">
        <w:rPr>
          <w:sz w:val="24"/>
        </w:rPr>
        <w:t>be</w:t>
      </w:r>
      <w:r w:rsidRPr="00150EDC">
        <w:rPr>
          <w:spacing w:val="-1"/>
          <w:sz w:val="24"/>
        </w:rPr>
        <w:t xml:space="preserve"> </w:t>
      </w:r>
      <w:r w:rsidRPr="00150EDC">
        <w:rPr>
          <w:sz w:val="24"/>
        </w:rPr>
        <w:t>(if</w:t>
      </w:r>
      <w:r w:rsidRPr="00150EDC">
        <w:rPr>
          <w:spacing w:val="-1"/>
          <w:sz w:val="24"/>
        </w:rPr>
        <w:t xml:space="preserve"> </w:t>
      </w:r>
      <w:r w:rsidRPr="00150EDC">
        <w:rPr>
          <w:sz w:val="24"/>
        </w:rPr>
        <w:t>so</w:t>
      </w:r>
      <w:r w:rsidRPr="00150EDC">
        <w:rPr>
          <w:spacing w:val="-1"/>
          <w:sz w:val="24"/>
        </w:rPr>
        <w:t xml:space="preserve"> </w:t>
      </w:r>
      <w:r w:rsidRPr="00150EDC">
        <w:rPr>
          <w:sz w:val="24"/>
        </w:rPr>
        <w:t>required</w:t>
      </w:r>
      <w:r w:rsidRPr="00150EDC">
        <w:rPr>
          <w:spacing w:val="-1"/>
          <w:sz w:val="24"/>
        </w:rPr>
        <w:t xml:space="preserve"> </w:t>
      </w:r>
      <w:r w:rsidRPr="00150EDC">
        <w:rPr>
          <w:sz w:val="24"/>
        </w:rPr>
        <w:t>by</w:t>
      </w:r>
      <w:r w:rsidRPr="00150EDC">
        <w:rPr>
          <w:spacing w:val="-4"/>
          <w:sz w:val="24"/>
        </w:rPr>
        <w:t xml:space="preserve"> </w:t>
      </w:r>
      <w:r w:rsidRPr="00150EDC">
        <w:rPr>
          <w:sz w:val="24"/>
        </w:rPr>
        <w:t>the</w:t>
      </w:r>
      <w:r w:rsidRPr="00150EDC">
        <w:rPr>
          <w:spacing w:val="-1"/>
          <w:sz w:val="24"/>
        </w:rPr>
        <w:t xml:space="preserve"> </w:t>
      </w:r>
      <w:r w:rsidRPr="00150EDC">
        <w:rPr>
          <w:sz w:val="24"/>
        </w:rPr>
        <w:t>Buyer)</w:t>
      </w:r>
      <w:r w:rsidRPr="00150EDC">
        <w:rPr>
          <w:spacing w:val="-3"/>
          <w:sz w:val="24"/>
        </w:rPr>
        <w:t xml:space="preserve"> </w:t>
      </w:r>
      <w:r w:rsidRPr="00150EDC">
        <w:rPr>
          <w:sz w:val="24"/>
        </w:rPr>
        <w:t>destroyed</w:t>
      </w:r>
      <w:r w:rsidRPr="00150EDC">
        <w:rPr>
          <w:spacing w:val="-3"/>
          <w:sz w:val="24"/>
        </w:rPr>
        <w:t xml:space="preserve"> </w:t>
      </w:r>
      <w:r w:rsidRPr="00150EDC">
        <w:rPr>
          <w:sz w:val="24"/>
        </w:rPr>
        <w:t>or</w:t>
      </w:r>
      <w:r w:rsidRPr="00150EDC">
        <w:rPr>
          <w:spacing w:val="-3"/>
          <w:sz w:val="24"/>
        </w:rPr>
        <w:t xml:space="preserve"> </w:t>
      </w:r>
      <w:r w:rsidRPr="00150EDC">
        <w:rPr>
          <w:sz w:val="24"/>
        </w:rPr>
        <w:t>returned</w:t>
      </w:r>
      <w:r w:rsidRPr="00150EDC">
        <w:rPr>
          <w:spacing w:val="-1"/>
          <w:sz w:val="24"/>
        </w:rPr>
        <w:t xml:space="preserve"> </w:t>
      </w:r>
      <w:r w:rsidRPr="00150EDC">
        <w:rPr>
          <w:sz w:val="24"/>
        </w:rPr>
        <w:t>to the Buyer on completion of the test.</w:t>
      </w:r>
    </w:p>
    <w:p w14:paraId="48112A0C" w14:textId="77777777" w:rsidR="004C7180" w:rsidRPr="00150EDC" w:rsidRDefault="004C7180">
      <w:pPr>
        <w:jc w:val="both"/>
        <w:rPr>
          <w:sz w:val="24"/>
        </w:rPr>
        <w:sectPr w:rsidR="004C7180" w:rsidRPr="00150EDC">
          <w:pgSz w:w="11910" w:h="16840"/>
          <w:pgMar w:top="1380" w:right="0" w:bottom="1380" w:left="40" w:header="715" w:footer="1192" w:gutter="0"/>
          <w:cols w:space="720"/>
        </w:sectPr>
      </w:pPr>
    </w:p>
    <w:p w14:paraId="5586F1DD" w14:textId="77777777" w:rsidR="004C7180" w:rsidRPr="00150EDC" w:rsidRDefault="004C7180">
      <w:pPr>
        <w:pStyle w:val="BodyText"/>
        <w:spacing w:before="1"/>
        <w:rPr>
          <w:sz w:val="12"/>
        </w:rPr>
      </w:pPr>
    </w:p>
    <w:p w14:paraId="34F98D84" w14:textId="77777777" w:rsidR="004C7180" w:rsidRPr="00150EDC" w:rsidRDefault="00CF0754" w:rsidP="00B320C7">
      <w:pPr>
        <w:pStyle w:val="ListParagraph"/>
        <w:numPr>
          <w:ilvl w:val="1"/>
          <w:numId w:val="49"/>
        </w:numPr>
        <w:tabs>
          <w:tab w:val="left" w:pos="2120"/>
        </w:tabs>
        <w:spacing w:before="92"/>
        <w:ind w:left="2120" w:right="1539" w:hanging="720"/>
        <w:jc w:val="left"/>
        <w:rPr>
          <w:sz w:val="24"/>
        </w:rPr>
      </w:pPr>
      <w:r w:rsidRPr="00150EDC">
        <w:rPr>
          <w:sz w:val="24"/>
        </w:rPr>
        <w:t>The</w:t>
      </w:r>
      <w:r w:rsidRPr="00150EDC">
        <w:rPr>
          <w:spacing w:val="-3"/>
          <w:sz w:val="24"/>
        </w:rPr>
        <w:t xml:space="preserve"> </w:t>
      </w:r>
      <w:r w:rsidRPr="00150EDC">
        <w:rPr>
          <w:sz w:val="24"/>
        </w:rPr>
        <w:t>Supplier</w:t>
      </w:r>
      <w:r w:rsidRPr="00150EDC">
        <w:rPr>
          <w:spacing w:val="-5"/>
          <w:sz w:val="24"/>
        </w:rPr>
        <w:t xml:space="preserve"> </w:t>
      </w:r>
      <w:r w:rsidRPr="00150EDC">
        <w:rPr>
          <w:sz w:val="24"/>
        </w:rPr>
        <w:t>shall,</w:t>
      </w:r>
      <w:r w:rsidRPr="00150EDC">
        <w:rPr>
          <w:spacing w:val="-3"/>
          <w:sz w:val="24"/>
        </w:rPr>
        <w:t xml:space="preserve"> </w:t>
      </w:r>
      <w:r w:rsidRPr="00150EDC">
        <w:rPr>
          <w:sz w:val="24"/>
        </w:rPr>
        <w:t>within</w:t>
      </w:r>
      <w:r w:rsidRPr="00150EDC">
        <w:rPr>
          <w:spacing w:val="-3"/>
          <w:sz w:val="24"/>
        </w:rPr>
        <w:t xml:space="preserve"> </w:t>
      </w:r>
      <w:r w:rsidRPr="00150EDC">
        <w:rPr>
          <w:sz w:val="24"/>
        </w:rPr>
        <w:t>twenty</w:t>
      </w:r>
      <w:r w:rsidRPr="00150EDC">
        <w:rPr>
          <w:spacing w:val="-4"/>
          <w:sz w:val="24"/>
        </w:rPr>
        <w:t xml:space="preserve"> </w:t>
      </w:r>
      <w:r w:rsidRPr="00150EDC">
        <w:rPr>
          <w:sz w:val="24"/>
        </w:rPr>
        <w:t>(20)</w:t>
      </w:r>
      <w:r w:rsidRPr="00150EDC">
        <w:rPr>
          <w:spacing w:val="-6"/>
          <w:sz w:val="24"/>
        </w:rPr>
        <w:t xml:space="preserve"> </w:t>
      </w:r>
      <w:r w:rsidRPr="00150EDC">
        <w:rPr>
          <w:sz w:val="24"/>
        </w:rPr>
        <w:t>Working</w:t>
      </w:r>
      <w:r w:rsidRPr="00150EDC">
        <w:rPr>
          <w:spacing w:val="-3"/>
          <w:sz w:val="24"/>
        </w:rPr>
        <w:t xml:space="preserve"> </w:t>
      </w:r>
      <w:r w:rsidRPr="00150EDC">
        <w:rPr>
          <w:sz w:val="24"/>
        </w:rPr>
        <w:t>Days</w:t>
      </w:r>
      <w:r w:rsidRPr="00150EDC">
        <w:rPr>
          <w:spacing w:val="-4"/>
          <w:sz w:val="24"/>
        </w:rPr>
        <w:t xml:space="preserve"> </w:t>
      </w:r>
      <w:r w:rsidRPr="00150EDC">
        <w:rPr>
          <w:sz w:val="24"/>
        </w:rPr>
        <w:t>of</w:t>
      </w:r>
      <w:r w:rsidRPr="00150EDC">
        <w:rPr>
          <w:spacing w:val="-3"/>
          <w:sz w:val="24"/>
        </w:rPr>
        <w:t xml:space="preserve"> </w:t>
      </w:r>
      <w:r w:rsidRPr="00150EDC">
        <w:rPr>
          <w:sz w:val="24"/>
        </w:rPr>
        <w:t>the</w:t>
      </w:r>
      <w:r w:rsidRPr="00150EDC">
        <w:rPr>
          <w:spacing w:val="-3"/>
          <w:sz w:val="24"/>
        </w:rPr>
        <w:t xml:space="preserve"> </w:t>
      </w:r>
      <w:r w:rsidRPr="00150EDC">
        <w:rPr>
          <w:sz w:val="24"/>
        </w:rPr>
        <w:t>conclusion</w:t>
      </w:r>
      <w:r w:rsidRPr="00150EDC">
        <w:rPr>
          <w:spacing w:val="-3"/>
          <w:sz w:val="24"/>
        </w:rPr>
        <w:t xml:space="preserve"> </w:t>
      </w:r>
      <w:r w:rsidRPr="00150EDC">
        <w:rPr>
          <w:sz w:val="24"/>
        </w:rPr>
        <w:t>of</w:t>
      </w:r>
      <w:r w:rsidRPr="00150EDC">
        <w:rPr>
          <w:spacing w:val="-3"/>
          <w:sz w:val="24"/>
        </w:rPr>
        <w:t xml:space="preserve"> </w:t>
      </w:r>
      <w:r w:rsidRPr="00150EDC">
        <w:rPr>
          <w:sz w:val="24"/>
        </w:rPr>
        <w:t>each test, provide to the Buyer a report setting out:</w:t>
      </w:r>
    </w:p>
    <w:p w14:paraId="64B6DFCF" w14:textId="77777777" w:rsidR="004C7180" w:rsidRPr="00150EDC" w:rsidRDefault="00CF0754" w:rsidP="00B320C7">
      <w:pPr>
        <w:pStyle w:val="ListParagraph"/>
        <w:numPr>
          <w:ilvl w:val="2"/>
          <w:numId w:val="49"/>
        </w:numPr>
        <w:tabs>
          <w:tab w:val="left" w:pos="2838"/>
        </w:tabs>
        <w:spacing w:before="120"/>
        <w:ind w:left="2838" w:hanging="718"/>
        <w:rPr>
          <w:sz w:val="24"/>
        </w:rPr>
      </w:pPr>
      <w:r w:rsidRPr="00150EDC">
        <w:rPr>
          <w:sz w:val="24"/>
        </w:rPr>
        <w:t>the</w:t>
      </w:r>
      <w:r w:rsidRPr="00150EDC">
        <w:rPr>
          <w:spacing w:val="-4"/>
          <w:sz w:val="24"/>
        </w:rPr>
        <w:t xml:space="preserve"> </w:t>
      </w:r>
      <w:r w:rsidRPr="00150EDC">
        <w:rPr>
          <w:sz w:val="24"/>
        </w:rPr>
        <w:t>outcome of</w:t>
      </w:r>
      <w:r w:rsidRPr="00150EDC">
        <w:rPr>
          <w:spacing w:val="-3"/>
          <w:sz w:val="24"/>
        </w:rPr>
        <w:t xml:space="preserve"> </w:t>
      </w:r>
      <w:r w:rsidRPr="00150EDC">
        <w:rPr>
          <w:sz w:val="24"/>
        </w:rPr>
        <w:t>the</w:t>
      </w:r>
      <w:r w:rsidRPr="00150EDC">
        <w:rPr>
          <w:spacing w:val="1"/>
          <w:sz w:val="24"/>
        </w:rPr>
        <w:t xml:space="preserve"> </w:t>
      </w:r>
      <w:r w:rsidRPr="00150EDC">
        <w:rPr>
          <w:spacing w:val="-4"/>
          <w:sz w:val="24"/>
        </w:rPr>
        <w:t>test;</w:t>
      </w:r>
    </w:p>
    <w:p w14:paraId="56B506C1" w14:textId="77777777" w:rsidR="004C7180" w:rsidRPr="00150EDC" w:rsidRDefault="00CF0754" w:rsidP="00B320C7">
      <w:pPr>
        <w:pStyle w:val="ListParagraph"/>
        <w:numPr>
          <w:ilvl w:val="2"/>
          <w:numId w:val="49"/>
        </w:numPr>
        <w:tabs>
          <w:tab w:val="left" w:pos="2838"/>
          <w:tab w:val="left" w:pos="2840"/>
        </w:tabs>
        <w:spacing w:before="121"/>
        <w:ind w:right="1547" w:hanging="720"/>
        <w:rPr>
          <w:sz w:val="24"/>
        </w:rPr>
      </w:pPr>
      <w:r w:rsidRPr="00150EDC">
        <w:rPr>
          <w:sz w:val="24"/>
        </w:rPr>
        <w:t>any</w:t>
      </w:r>
      <w:r w:rsidRPr="00150EDC">
        <w:rPr>
          <w:spacing w:val="-4"/>
          <w:sz w:val="24"/>
        </w:rPr>
        <w:t xml:space="preserve"> </w:t>
      </w:r>
      <w:r w:rsidRPr="00150EDC">
        <w:rPr>
          <w:sz w:val="24"/>
        </w:rPr>
        <w:t>failures</w:t>
      </w:r>
      <w:r w:rsidRPr="00150EDC">
        <w:rPr>
          <w:spacing w:val="-4"/>
          <w:sz w:val="24"/>
        </w:rPr>
        <w:t xml:space="preserve"> </w:t>
      </w:r>
      <w:r w:rsidRPr="00150EDC">
        <w:rPr>
          <w:sz w:val="24"/>
        </w:rPr>
        <w:t>in</w:t>
      </w:r>
      <w:r w:rsidRPr="00150EDC">
        <w:rPr>
          <w:spacing w:val="-3"/>
          <w:sz w:val="24"/>
        </w:rPr>
        <w:t xml:space="preserve"> </w:t>
      </w:r>
      <w:r w:rsidRPr="00150EDC">
        <w:rPr>
          <w:sz w:val="24"/>
        </w:rPr>
        <w:t>the</w:t>
      </w:r>
      <w:r w:rsidRPr="00150EDC">
        <w:rPr>
          <w:spacing w:val="-5"/>
          <w:sz w:val="24"/>
        </w:rPr>
        <w:t xml:space="preserve"> </w:t>
      </w:r>
      <w:r w:rsidRPr="00150EDC">
        <w:rPr>
          <w:sz w:val="24"/>
        </w:rPr>
        <w:t>BCDR</w:t>
      </w:r>
      <w:r w:rsidRPr="00150EDC">
        <w:rPr>
          <w:spacing w:val="-4"/>
          <w:sz w:val="24"/>
        </w:rPr>
        <w:t xml:space="preserve"> </w:t>
      </w:r>
      <w:r w:rsidRPr="00150EDC">
        <w:rPr>
          <w:sz w:val="24"/>
        </w:rPr>
        <w:t>Plan</w:t>
      </w:r>
      <w:r w:rsidRPr="00150EDC">
        <w:rPr>
          <w:spacing w:val="-3"/>
          <w:sz w:val="24"/>
        </w:rPr>
        <w:t xml:space="preserve"> </w:t>
      </w:r>
      <w:r w:rsidRPr="00150EDC">
        <w:rPr>
          <w:sz w:val="24"/>
        </w:rPr>
        <w:t>(including</w:t>
      </w:r>
      <w:r w:rsidRPr="00150EDC">
        <w:rPr>
          <w:spacing w:val="-3"/>
          <w:sz w:val="24"/>
        </w:rPr>
        <w:t xml:space="preserve"> </w:t>
      </w:r>
      <w:r w:rsidRPr="00150EDC">
        <w:rPr>
          <w:sz w:val="24"/>
        </w:rPr>
        <w:t>the</w:t>
      </w:r>
      <w:r w:rsidRPr="00150EDC">
        <w:rPr>
          <w:spacing w:val="-5"/>
          <w:sz w:val="24"/>
        </w:rPr>
        <w:t xml:space="preserve"> </w:t>
      </w:r>
      <w:r w:rsidRPr="00150EDC">
        <w:rPr>
          <w:sz w:val="24"/>
        </w:rPr>
        <w:t>BCDR</w:t>
      </w:r>
      <w:r w:rsidRPr="00150EDC">
        <w:rPr>
          <w:spacing w:val="-4"/>
          <w:sz w:val="24"/>
        </w:rPr>
        <w:t xml:space="preserve"> </w:t>
      </w:r>
      <w:r w:rsidRPr="00150EDC">
        <w:rPr>
          <w:sz w:val="24"/>
        </w:rPr>
        <w:t>Plan's</w:t>
      </w:r>
      <w:r w:rsidRPr="00150EDC">
        <w:rPr>
          <w:spacing w:val="-4"/>
          <w:sz w:val="24"/>
        </w:rPr>
        <w:t xml:space="preserve"> </w:t>
      </w:r>
      <w:r w:rsidRPr="00150EDC">
        <w:rPr>
          <w:sz w:val="24"/>
        </w:rPr>
        <w:t>procedures) revealed by the test; and</w:t>
      </w:r>
    </w:p>
    <w:p w14:paraId="79D0EBEF" w14:textId="77777777" w:rsidR="004C7180" w:rsidRPr="00150EDC" w:rsidRDefault="00CF0754" w:rsidP="00B320C7">
      <w:pPr>
        <w:pStyle w:val="ListParagraph"/>
        <w:numPr>
          <w:ilvl w:val="2"/>
          <w:numId w:val="49"/>
        </w:numPr>
        <w:tabs>
          <w:tab w:val="left" w:pos="2838"/>
        </w:tabs>
        <w:spacing w:before="120"/>
        <w:ind w:left="2838" w:hanging="718"/>
        <w:rPr>
          <w:sz w:val="24"/>
        </w:rPr>
      </w:pPr>
      <w:r w:rsidRPr="00150EDC">
        <w:rPr>
          <w:sz w:val="24"/>
        </w:rPr>
        <w:t>the</w:t>
      </w:r>
      <w:r w:rsidRPr="00150EDC">
        <w:rPr>
          <w:spacing w:val="-5"/>
          <w:sz w:val="24"/>
        </w:rPr>
        <w:t xml:space="preserve"> </w:t>
      </w:r>
      <w:r w:rsidRPr="00150EDC">
        <w:rPr>
          <w:sz w:val="24"/>
        </w:rPr>
        <w:t>Supplier's</w:t>
      </w:r>
      <w:r w:rsidRPr="00150EDC">
        <w:rPr>
          <w:spacing w:val="-3"/>
          <w:sz w:val="24"/>
        </w:rPr>
        <w:t xml:space="preserve"> </w:t>
      </w:r>
      <w:r w:rsidRPr="00150EDC">
        <w:rPr>
          <w:sz w:val="24"/>
        </w:rPr>
        <w:t>proposals</w:t>
      </w:r>
      <w:r w:rsidRPr="00150EDC">
        <w:rPr>
          <w:spacing w:val="-3"/>
          <w:sz w:val="24"/>
        </w:rPr>
        <w:t xml:space="preserve"> </w:t>
      </w:r>
      <w:r w:rsidRPr="00150EDC">
        <w:rPr>
          <w:sz w:val="24"/>
        </w:rPr>
        <w:t>for</w:t>
      </w:r>
      <w:r w:rsidRPr="00150EDC">
        <w:rPr>
          <w:spacing w:val="-5"/>
          <w:sz w:val="24"/>
        </w:rPr>
        <w:t xml:space="preserve"> </w:t>
      </w:r>
      <w:r w:rsidRPr="00150EDC">
        <w:rPr>
          <w:sz w:val="24"/>
        </w:rPr>
        <w:t>remedying</w:t>
      </w:r>
      <w:r w:rsidRPr="00150EDC">
        <w:rPr>
          <w:spacing w:val="-2"/>
          <w:sz w:val="24"/>
        </w:rPr>
        <w:t xml:space="preserve"> </w:t>
      </w:r>
      <w:r w:rsidRPr="00150EDC">
        <w:rPr>
          <w:sz w:val="24"/>
        </w:rPr>
        <w:t>any</w:t>
      </w:r>
      <w:r w:rsidRPr="00150EDC">
        <w:rPr>
          <w:spacing w:val="-3"/>
          <w:sz w:val="24"/>
        </w:rPr>
        <w:t xml:space="preserve"> </w:t>
      </w:r>
      <w:r w:rsidRPr="00150EDC">
        <w:rPr>
          <w:sz w:val="24"/>
        </w:rPr>
        <w:t>such</w:t>
      </w:r>
      <w:r w:rsidRPr="00150EDC">
        <w:rPr>
          <w:spacing w:val="-2"/>
          <w:sz w:val="24"/>
        </w:rPr>
        <w:t xml:space="preserve"> failures.</w:t>
      </w:r>
    </w:p>
    <w:p w14:paraId="5EF81726" w14:textId="77777777" w:rsidR="004C7180" w:rsidRPr="00150EDC" w:rsidRDefault="00CF0754" w:rsidP="00B320C7">
      <w:pPr>
        <w:pStyle w:val="ListParagraph"/>
        <w:numPr>
          <w:ilvl w:val="1"/>
          <w:numId w:val="49"/>
        </w:numPr>
        <w:tabs>
          <w:tab w:val="left" w:pos="2120"/>
        </w:tabs>
        <w:spacing w:before="120"/>
        <w:ind w:left="2120" w:right="1445" w:hanging="720"/>
        <w:jc w:val="left"/>
        <w:rPr>
          <w:sz w:val="24"/>
        </w:rPr>
      </w:pPr>
      <w:r w:rsidRPr="00150EDC">
        <w:rPr>
          <w:sz w:val="24"/>
        </w:rPr>
        <w:t>Following each test, the Supplier shall take all measures requested by the Buyer</w:t>
      </w:r>
      <w:r w:rsidRPr="00150EDC">
        <w:rPr>
          <w:spacing w:val="-4"/>
          <w:sz w:val="24"/>
        </w:rPr>
        <w:t xml:space="preserve"> </w:t>
      </w:r>
      <w:r w:rsidRPr="00150EDC">
        <w:rPr>
          <w:sz w:val="24"/>
        </w:rPr>
        <w:t>to</w:t>
      </w:r>
      <w:r w:rsidRPr="00150EDC">
        <w:rPr>
          <w:spacing w:val="-2"/>
          <w:sz w:val="24"/>
        </w:rPr>
        <w:t xml:space="preserve"> </w:t>
      </w:r>
      <w:r w:rsidRPr="00150EDC">
        <w:rPr>
          <w:sz w:val="24"/>
        </w:rPr>
        <w:t>remedy</w:t>
      </w:r>
      <w:r w:rsidRPr="00150EDC">
        <w:rPr>
          <w:spacing w:val="-5"/>
          <w:sz w:val="24"/>
        </w:rPr>
        <w:t xml:space="preserve"> </w:t>
      </w:r>
      <w:r w:rsidRPr="00150EDC">
        <w:rPr>
          <w:sz w:val="24"/>
        </w:rPr>
        <w:t>any</w:t>
      </w:r>
      <w:r w:rsidRPr="00150EDC">
        <w:rPr>
          <w:spacing w:val="-5"/>
          <w:sz w:val="24"/>
        </w:rPr>
        <w:t xml:space="preserve"> </w:t>
      </w:r>
      <w:r w:rsidRPr="00150EDC">
        <w:rPr>
          <w:sz w:val="24"/>
        </w:rPr>
        <w:t>failures</w:t>
      </w:r>
      <w:r w:rsidRPr="00150EDC">
        <w:rPr>
          <w:spacing w:val="-3"/>
          <w:sz w:val="24"/>
        </w:rPr>
        <w:t xml:space="preserve"> </w:t>
      </w:r>
      <w:r w:rsidRPr="00150EDC">
        <w:rPr>
          <w:sz w:val="24"/>
        </w:rPr>
        <w:t>in</w:t>
      </w:r>
      <w:r w:rsidRPr="00150EDC">
        <w:rPr>
          <w:spacing w:val="-2"/>
          <w:sz w:val="24"/>
        </w:rPr>
        <w:t xml:space="preserve"> </w:t>
      </w:r>
      <w:r w:rsidRPr="00150EDC">
        <w:rPr>
          <w:sz w:val="24"/>
        </w:rPr>
        <w:t>the</w:t>
      </w:r>
      <w:r w:rsidRPr="00150EDC">
        <w:rPr>
          <w:spacing w:val="-2"/>
          <w:sz w:val="24"/>
        </w:rPr>
        <w:t xml:space="preserve"> </w:t>
      </w:r>
      <w:r w:rsidRPr="00150EDC">
        <w:rPr>
          <w:sz w:val="24"/>
        </w:rPr>
        <w:t>BCDR</w:t>
      </w:r>
      <w:r w:rsidRPr="00150EDC">
        <w:rPr>
          <w:spacing w:val="-3"/>
          <w:sz w:val="24"/>
        </w:rPr>
        <w:t xml:space="preserve"> </w:t>
      </w:r>
      <w:r w:rsidRPr="00150EDC">
        <w:rPr>
          <w:sz w:val="24"/>
        </w:rPr>
        <w:t>Plan</w:t>
      </w:r>
      <w:r w:rsidRPr="00150EDC">
        <w:rPr>
          <w:spacing w:val="-2"/>
          <w:sz w:val="24"/>
        </w:rPr>
        <w:t xml:space="preserve"> </w:t>
      </w:r>
      <w:r w:rsidRPr="00150EDC">
        <w:rPr>
          <w:sz w:val="24"/>
        </w:rPr>
        <w:t>and</w:t>
      </w:r>
      <w:r w:rsidRPr="00150EDC">
        <w:rPr>
          <w:spacing w:val="-2"/>
          <w:sz w:val="24"/>
        </w:rPr>
        <w:t xml:space="preserve"> </w:t>
      </w:r>
      <w:r w:rsidRPr="00150EDC">
        <w:rPr>
          <w:sz w:val="24"/>
        </w:rPr>
        <w:t>such</w:t>
      </w:r>
      <w:r w:rsidRPr="00150EDC">
        <w:rPr>
          <w:spacing w:val="-2"/>
          <w:sz w:val="24"/>
        </w:rPr>
        <w:t xml:space="preserve"> </w:t>
      </w:r>
      <w:r w:rsidRPr="00150EDC">
        <w:rPr>
          <w:sz w:val="24"/>
        </w:rPr>
        <w:t>remedial</w:t>
      </w:r>
      <w:r w:rsidRPr="00150EDC">
        <w:rPr>
          <w:spacing w:val="-6"/>
          <w:sz w:val="24"/>
        </w:rPr>
        <w:t xml:space="preserve"> </w:t>
      </w:r>
      <w:r w:rsidRPr="00150EDC">
        <w:rPr>
          <w:sz w:val="24"/>
        </w:rPr>
        <w:t>activity</w:t>
      </w:r>
      <w:r w:rsidRPr="00150EDC">
        <w:rPr>
          <w:spacing w:val="-3"/>
          <w:sz w:val="24"/>
        </w:rPr>
        <w:t xml:space="preserve"> </w:t>
      </w:r>
      <w:r w:rsidRPr="00150EDC">
        <w:rPr>
          <w:sz w:val="24"/>
        </w:rPr>
        <w:t>and re-testing shall be completed by the Supplier, at its own cost, by the date reasonably required by the Buyer.</w:t>
      </w:r>
    </w:p>
    <w:p w14:paraId="6E9CF939" w14:textId="77777777" w:rsidR="004C7180" w:rsidRPr="00150EDC" w:rsidRDefault="004C7180">
      <w:pPr>
        <w:pStyle w:val="BodyText"/>
        <w:spacing w:before="9"/>
        <w:rPr>
          <w:sz w:val="20"/>
        </w:rPr>
      </w:pPr>
    </w:p>
    <w:p w14:paraId="1711F98B" w14:textId="77777777" w:rsidR="004C7180" w:rsidRPr="00150EDC" w:rsidRDefault="00CF0754" w:rsidP="00B320C7">
      <w:pPr>
        <w:pStyle w:val="Heading4"/>
        <w:numPr>
          <w:ilvl w:val="0"/>
          <w:numId w:val="49"/>
        </w:numPr>
        <w:tabs>
          <w:tab w:val="left" w:pos="2119"/>
        </w:tabs>
        <w:spacing w:before="1"/>
        <w:ind w:left="2119" w:hanging="719"/>
        <w:jc w:val="left"/>
      </w:pPr>
      <w:r w:rsidRPr="00150EDC">
        <w:t>Invoking</w:t>
      </w:r>
      <w:r w:rsidRPr="00150EDC">
        <w:rPr>
          <w:spacing w:val="-5"/>
        </w:rPr>
        <w:t xml:space="preserve"> </w:t>
      </w:r>
      <w:r w:rsidRPr="00150EDC">
        <w:t>the</w:t>
      </w:r>
      <w:r w:rsidRPr="00150EDC">
        <w:rPr>
          <w:spacing w:val="-2"/>
        </w:rPr>
        <w:t xml:space="preserve"> </w:t>
      </w:r>
      <w:r w:rsidRPr="00150EDC">
        <w:t>BCDR</w:t>
      </w:r>
      <w:r w:rsidRPr="00150EDC">
        <w:rPr>
          <w:spacing w:val="-2"/>
        </w:rPr>
        <w:t xml:space="preserve"> </w:t>
      </w:r>
      <w:r w:rsidRPr="00150EDC">
        <w:rPr>
          <w:spacing w:val="-4"/>
        </w:rPr>
        <w:t>Plan</w:t>
      </w:r>
    </w:p>
    <w:p w14:paraId="279F0A76" w14:textId="77777777" w:rsidR="004C7180" w:rsidRPr="00150EDC" w:rsidRDefault="004C7180">
      <w:pPr>
        <w:pStyle w:val="BodyText"/>
        <w:spacing w:before="10"/>
        <w:rPr>
          <w:b/>
          <w:sz w:val="20"/>
        </w:rPr>
      </w:pPr>
    </w:p>
    <w:p w14:paraId="1B6116DA" w14:textId="77777777" w:rsidR="004C7180" w:rsidRPr="00150EDC" w:rsidRDefault="00CF0754" w:rsidP="00B320C7">
      <w:pPr>
        <w:pStyle w:val="ListParagraph"/>
        <w:numPr>
          <w:ilvl w:val="1"/>
          <w:numId w:val="49"/>
        </w:numPr>
        <w:tabs>
          <w:tab w:val="left" w:pos="2120"/>
        </w:tabs>
        <w:ind w:left="2120" w:right="1469" w:hanging="720"/>
        <w:jc w:val="left"/>
        <w:rPr>
          <w:sz w:val="24"/>
        </w:rPr>
      </w:pPr>
      <w:r w:rsidRPr="00150EDC">
        <w:rPr>
          <w:sz w:val="24"/>
        </w:rPr>
        <w:t>In the event of a complete loss of service or in the event of a Disaster, the Supplier shall immediately invoke the BCDR Plan (and shall inform the Buyer promptly</w:t>
      </w:r>
      <w:r w:rsidRPr="00150EDC">
        <w:rPr>
          <w:spacing w:val="-2"/>
          <w:sz w:val="24"/>
        </w:rPr>
        <w:t xml:space="preserve"> </w:t>
      </w:r>
      <w:r w:rsidRPr="00150EDC">
        <w:rPr>
          <w:sz w:val="24"/>
        </w:rPr>
        <w:t>of</w:t>
      </w:r>
      <w:r w:rsidRPr="00150EDC">
        <w:rPr>
          <w:spacing w:val="-4"/>
          <w:sz w:val="24"/>
        </w:rPr>
        <w:t xml:space="preserve"> </w:t>
      </w:r>
      <w:r w:rsidRPr="00150EDC">
        <w:rPr>
          <w:sz w:val="24"/>
        </w:rPr>
        <w:t>such</w:t>
      </w:r>
      <w:r w:rsidRPr="00150EDC">
        <w:rPr>
          <w:spacing w:val="-3"/>
          <w:sz w:val="24"/>
        </w:rPr>
        <w:t xml:space="preserve"> </w:t>
      </w:r>
      <w:r w:rsidRPr="00150EDC">
        <w:rPr>
          <w:sz w:val="24"/>
        </w:rPr>
        <w:t>invocation).</w:t>
      </w:r>
      <w:r w:rsidRPr="00150EDC">
        <w:rPr>
          <w:spacing w:val="-1"/>
          <w:sz w:val="24"/>
        </w:rPr>
        <w:t xml:space="preserve"> </w:t>
      </w:r>
      <w:r w:rsidRPr="00150EDC">
        <w:rPr>
          <w:sz w:val="24"/>
        </w:rPr>
        <w:t>In</w:t>
      </w:r>
      <w:r w:rsidRPr="00150EDC">
        <w:rPr>
          <w:spacing w:val="-1"/>
          <w:sz w:val="24"/>
        </w:rPr>
        <w:t xml:space="preserve"> </w:t>
      </w:r>
      <w:r w:rsidRPr="00150EDC">
        <w:rPr>
          <w:sz w:val="24"/>
        </w:rPr>
        <w:t>all</w:t>
      </w:r>
      <w:r w:rsidRPr="00150EDC">
        <w:rPr>
          <w:spacing w:val="-5"/>
          <w:sz w:val="24"/>
        </w:rPr>
        <w:t xml:space="preserve"> </w:t>
      </w:r>
      <w:r w:rsidRPr="00150EDC">
        <w:rPr>
          <w:sz w:val="24"/>
        </w:rPr>
        <w:t>other</w:t>
      </w:r>
      <w:r w:rsidRPr="00150EDC">
        <w:rPr>
          <w:spacing w:val="-3"/>
          <w:sz w:val="24"/>
        </w:rPr>
        <w:t xml:space="preserve"> </w:t>
      </w:r>
      <w:r w:rsidRPr="00150EDC">
        <w:rPr>
          <w:sz w:val="24"/>
        </w:rPr>
        <w:t>instances</w:t>
      </w:r>
      <w:r w:rsidRPr="00150EDC">
        <w:rPr>
          <w:spacing w:val="-2"/>
          <w:sz w:val="24"/>
        </w:rPr>
        <w:t xml:space="preserve"> </w:t>
      </w:r>
      <w:r w:rsidRPr="00150EDC">
        <w:rPr>
          <w:sz w:val="24"/>
        </w:rPr>
        <w:t>the</w:t>
      </w:r>
      <w:r w:rsidRPr="00150EDC">
        <w:rPr>
          <w:spacing w:val="-1"/>
          <w:sz w:val="24"/>
        </w:rPr>
        <w:t xml:space="preserve"> </w:t>
      </w:r>
      <w:r w:rsidRPr="00150EDC">
        <w:rPr>
          <w:sz w:val="24"/>
        </w:rPr>
        <w:t>Supplier</w:t>
      </w:r>
      <w:r w:rsidRPr="00150EDC">
        <w:rPr>
          <w:spacing w:val="-3"/>
          <w:sz w:val="24"/>
        </w:rPr>
        <w:t xml:space="preserve"> </w:t>
      </w:r>
      <w:r w:rsidRPr="00150EDC">
        <w:rPr>
          <w:sz w:val="24"/>
        </w:rPr>
        <w:t>shall</w:t>
      </w:r>
      <w:r w:rsidRPr="00150EDC">
        <w:rPr>
          <w:spacing w:val="-5"/>
          <w:sz w:val="24"/>
        </w:rPr>
        <w:t xml:space="preserve"> </w:t>
      </w:r>
      <w:r w:rsidRPr="00150EDC">
        <w:rPr>
          <w:sz w:val="24"/>
        </w:rPr>
        <w:t>invoke</w:t>
      </w:r>
      <w:r w:rsidRPr="00150EDC">
        <w:rPr>
          <w:spacing w:val="-3"/>
          <w:sz w:val="24"/>
        </w:rPr>
        <w:t xml:space="preserve"> </w:t>
      </w:r>
      <w:r w:rsidRPr="00150EDC">
        <w:rPr>
          <w:sz w:val="24"/>
        </w:rPr>
        <w:t>or test the BCDR Plan only with the prior consent of the Buyer.</w:t>
      </w:r>
    </w:p>
    <w:p w14:paraId="76B675B2" w14:textId="77777777" w:rsidR="004C7180" w:rsidRPr="00150EDC" w:rsidRDefault="00CF0754" w:rsidP="00B320C7">
      <w:pPr>
        <w:pStyle w:val="ListParagraph"/>
        <w:numPr>
          <w:ilvl w:val="1"/>
          <w:numId w:val="49"/>
        </w:numPr>
        <w:tabs>
          <w:tab w:val="left" w:pos="2117"/>
          <w:tab w:val="left" w:pos="2120"/>
        </w:tabs>
        <w:spacing w:before="120"/>
        <w:ind w:left="2120" w:right="2029" w:hanging="720"/>
        <w:jc w:val="both"/>
        <w:rPr>
          <w:sz w:val="24"/>
        </w:rPr>
      </w:pPr>
      <w:r w:rsidRPr="00150EDC">
        <w:rPr>
          <w:sz w:val="24"/>
        </w:rPr>
        <w:t>The</w:t>
      </w:r>
      <w:r w:rsidRPr="00150EDC">
        <w:rPr>
          <w:spacing w:val="-2"/>
          <w:sz w:val="24"/>
        </w:rPr>
        <w:t xml:space="preserve"> </w:t>
      </w:r>
      <w:r w:rsidRPr="00150EDC">
        <w:rPr>
          <w:sz w:val="24"/>
        </w:rPr>
        <w:t>Insolvency</w:t>
      </w:r>
      <w:r w:rsidRPr="00150EDC">
        <w:rPr>
          <w:spacing w:val="-5"/>
          <w:sz w:val="24"/>
        </w:rPr>
        <w:t xml:space="preserve"> </w:t>
      </w:r>
      <w:r w:rsidRPr="00150EDC">
        <w:rPr>
          <w:sz w:val="24"/>
        </w:rPr>
        <w:t>Continuity</w:t>
      </w:r>
      <w:r w:rsidRPr="00150EDC">
        <w:rPr>
          <w:spacing w:val="-3"/>
          <w:sz w:val="24"/>
        </w:rPr>
        <w:t xml:space="preserve"> </w:t>
      </w:r>
      <w:r w:rsidRPr="00150EDC">
        <w:rPr>
          <w:sz w:val="24"/>
        </w:rPr>
        <w:t>Plan</w:t>
      </w:r>
      <w:r w:rsidRPr="00150EDC">
        <w:rPr>
          <w:spacing w:val="-4"/>
          <w:sz w:val="24"/>
        </w:rPr>
        <w:t xml:space="preserve"> </w:t>
      </w:r>
      <w:r w:rsidRPr="00150EDC">
        <w:rPr>
          <w:sz w:val="24"/>
        </w:rPr>
        <w:t>element</w:t>
      </w:r>
      <w:r w:rsidRPr="00150EDC">
        <w:rPr>
          <w:spacing w:val="-2"/>
          <w:sz w:val="24"/>
        </w:rPr>
        <w:t xml:space="preserve"> </w:t>
      </w:r>
      <w:r w:rsidRPr="00150EDC">
        <w:rPr>
          <w:sz w:val="24"/>
        </w:rPr>
        <w:t>of</w:t>
      </w:r>
      <w:r w:rsidRPr="00150EDC">
        <w:rPr>
          <w:spacing w:val="-2"/>
          <w:sz w:val="24"/>
        </w:rPr>
        <w:t xml:space="preserve"> </w:t>
      </w:r>
      <w:r w:rsidRPr="00150EDC">
        <w:rPr>
          <w:sz w:val="24"/>
        </w:rPr>
        <w:t>the</w:t>
      </w:r>
      <w:r w:rsidRPr="00150EDC">
        <w:rPr>
          <w:spacing w:val="-2"/>
          <w:sz w:val="24"/>
        </w:rPr>
        <w:t xml:space="preserve"> </w:t>
      </w:r>
      <w:r w:rsidRPr="00150EDC">
        <w:rPr>
          <w:sz w:val="24"/>
        </w:rPr>
        <w:t>BCDR</w:t>
      </w:r>
      <w:r w:rsidRPr="00150EDC">
        <w:rPr>
          <w:spacing w:val="-3"/>
          <w:sz w:val="24"/>
        </w:rPr>
        <w:t xml:space="preserve"> </w:t>
      </w:r>
      <w:r w:rsidRPr="00150EDC">
        <w:rPr>
          <w:sz w:val="24"/>
        </w:rPr>
        <w:t>Plan,</w:t>
      </w:r>
      <w:r w:rsidRPr="00150EDC">
        <w:rPr>
          <w:spacing w:val="-5"/>
          <w:sz w:val="24"/>
        </w:rPr>
        <w:t xml:space="preserve"> </w:t>
      </w:r>
      <w:r w:rsidRPr="00150EDC">
        <w:rPr>
          <w:sz w:val="24"/>
        </w:rPr>
        <w:t>including</w:t>
      </w:r>
      <w:r w:rsidRPr="00150EDC">
        <w:rPr>
          <w:spacing w:val="-2"/>
          <w:sz w:val="24"/>
        </w:rPr>
        <w:t xml:space="preserve"> </w:t>
      </w:r>
      <w:r w:rsidRPr="00150EDC">
        <w:rPr>
          <w:sz w:val="24"/>
        </w:rPr>
        <w:t>any linked elements in other parts of</w:t>
      </w:r>
      <w:r w:rsidRPr="00150EDC">
        <w:rPr>
          <w:spacing w:val="-1"/>
          <w:sz w:val="24"/>
        </w:rPr>
        <w:t xml:space="preserve"> </w:t>
      </w:r>
      <w:r w:rsidRPr="00150EDC">
        <w:rPr>
          <w:sz w:val="24"/>
        </w:rPr>
        <w:t>the BCDR Plan, shall be invoked by</w:t>
      </w:r>
      <w:r w:rsidRPr="00150EDC">
        <w:rPr>
          <w:spacing w:val="-1"/>
          <w:sz w:val="24"/>
        </w:rPr>
        <w:t xml:space="preserve"> </w:t>
      </w:r>
      <w:r w:rsidRPr="00150EDC">
        <w:rPr>
          <w:sz w:val="24"/>
        </w:rPr>
        <w:t xml:space="preserve">the </w:t>
      </w:r>
      <w:r w:rsidRPr="00150EDC">
        <w:rPr>
          <w:spacing w:val="-2"/>
          <w:sz w:val="24"/>
        </w:rPr>
        <w:t>Supplier:</w:t>
      </w:r>
    </w:p>
    <w:p w14:paraId="50CE18F6" w14:textId="77777777" w:rsidR="004C7180" w:rsidRPr="00150EDC" w:rsidRDefault="00CF0754" w:rsidP="00B320C7">
      <w:pPr>
        <w:pStyle w:val="ListParagraph"/>
        <w:numPr>
          <w:ilvl w:val="2"/>
          <w:numId w:val="49"/>
        </w:numPr>
        <w:tabs>
          <w:tab w:val="left" w:pos="2838"/>
          <w:tab w:val="left" w:pos="2840"/>
        </w:tabs>
        <w:spacing w:before="120"/>
        <w:ind w:right="1435" w:hanging="720"/>
        <w:jc w:val="both"/>
        <w:rPr>
          <w:sz w:val="24"/>
        </w:rPr>
      </w:pPr>
      <w:r w:rsidRPr="00150EDC">
        <w:rPr>
          <w:sz w:val="24"/>
        </w:rPr>
        <w:t>Where an Insolvency Event of a Key Sub-contractor and/or Supplier Group member (other than the Supplier) could reasonably be expected to adversely affect delivery of the Deliverables; and/or</w:t>
      </w:r>
    </w:p>
    <w:p w14:paraId="0DA07368" w14:textId="77777777" w:rsidR="004C7180" w:rsidRPr="00150EDC" w:rsidRDefault="00CF0754" w:rsidP="00B320C7">
      <w:pPr>
        <w:pStyle w:val="ListParagraph"/>
        <w:numPr>
          <w:ilvl w:val="2"/>
          <w:numId w:val="49"/>
        </w:numPr>
        <w:tabs>
          <w:tab w:val="left" w:pos="2838"/>
          <w:tab w:val="left" w:pos="2840"/>
        </w:tabs>
        <w:spacing w:before="120"/>
        <w:ind w:right="1435" w:hanging="720"/>
        <w:jc w:val="both"/>
        <w:rPr>
          <w:sz w:val="24"/>
        </w:rPr>
      </w:pPr>
      <w:r w:rsidRPr="00150EDC">
        <w:rPr>
          <w:sz w:val="24"/>
        </w:rPr>
        <w:t>Where there is an Insolvency Event of the Supplier and the insolvency arrangements enable the Supplier to invoke the plan.</w:t>
      </w:r>
    </w:p>
    <w:p w14:paraId="5F780EAF" w14:textId="77777777" w:rsidR="004C7180" w:rsidRPr="00150EDC" w:rsidRDefault="004C7180">
      <w:pPr>
        <w:pStyle w:val="BodyText"/>
        <w:spacing w:before="7"/>
        <w:rPr>
          <w:sz w:val="20"/>
        </w:rPr>
      </w:pPr>
    </w:p>
    <w:p w14:paraId="1BD8285E" w14:textId="77777777" w:rsidR="004C7180" w:rsidRPr="00150EDC" w:rsidRDefault="00CF0754" w:rsidP="00B320C7">
      <w:pPr>
        <w:pStyle w:val="Heading4"/>
        <w:numPr>
          <w:ilvl w:val="0"/>
          <w:numId w:val="49"/>
        </w:numPr>
        <w:tabs>
          <w:tab w:val="left" w:pos="1399"/>
        </w:tabs>
        <w:spacing w:before="1"/>
        <w:ind w:left="1399" w:hanging="215"/>
        <w:jc w:val="left"/>
      </w:pPr>
      <w:r w:rsidRPr="00150EDC">
        <w:t>Circumstances</w:t>
      </w:r>
      <w:r w:rsidRPr="00150EDC">
        <w:rPr>
          <w:spacing w:val="-5"/>
        </w:rPr>
        <w:t xml:space="preserve"> </w:t>
      </w:r>
      <w:r w:rsidRPr="00150EDC">
        <w:t>beyond</w:t>
      </w:r>
      <w:r w:rsidRPr="00150EDC">
        <w:rPr>
          <w:spacing w:val="-5"/>
        </w:rPr>
        <w:t xml:space="preserve"> </w:t>
      </w:r>
      <w:r w:rsidRPr="00150EDC">
        <w:t>your</w:t>
      </w:r>
      <w:r w:rsidRPr="00150EDC">
        <w:rPr>
          <w:spacing w:val="-4"/>
        </w:rPr>
        <w:t xml:space="preserve"> </w:t>
      </w:r>
      <w:r w:rsidRPr="00150EDC">
        <w:rPr>
          <w:spacing w:val="-2"/>
        </w:rPr>
        <w:t>control</w:t>
      </w:r>
    </w:p>
    <w:p w14:paraId="4E915AFD" w14:textId="77777777" w:rsidR="004C7180" w:rsidRPr="00150EDC" w:rsidRDefault="004C7180">
      <w:pPr>
        <w:pStyle w:val="BodyText"/>
        <w:spacing w:before="9"/>
        <w:rPr>
          <w:b/>
          <w:sz w:val="20"/>
        </w:rPr>
      </w:pPr>
    </w:p>
    <w:p w14:paraId="395C88A2" w14:textId="77777777" w:rsidR="004C7180" w:rsidRPr="00150EDC" w:rsidRDefault="00CF0754" w:rsidP="00B320C7">
      <w:pPr>
        <w:pStyle w:val="ListParagraph"/>
        <w:numPr>
          <w:ilvl w:val="1"/>
          <w:numId w:val="49"/>
        </w:numPr>
        <w:tabs>
          <w:tab w:val="left" w:pos="2120"/>
        </w:tabs>
        <w:spacing w:before="1"/>
        <w:ind w:left="2120" w:right="1524" w:hanging="720"/>
        <w:jc w:val="left"/>
        <w:rPr>
          <w:sz w:val="24"/>
        </w:rPr>
      </w:pPr>
      <w:r w:rsidRPr="00150EDC">
        <w:rPr>
          <w:sz w:val="24"/>
        </w:rPr>
        <w:t>The Supplier shall not be entitled to relief under Clause 20 (Circumstances beyond</w:t>
      </w:r>
      <w:r w:rsidRPr="00150EDC">
        <w:rPr>
          <w:spacing w:val="-1"/>
          <w:sz w:val="24"/>
        </w:rPr>
        <w:t xml:space="preserve"> </w:t>
      </w:r>
      <w:r w:rsidRPr="00150EDC">
        <w:rPr>
          <w:sz w:val="24"/>
        </w:rPr>
        <w:t>your</w:t>
      </w:r>
      <w:r w:rsidRPr="00150EDC">
        <w:rPr>
          <w:spacing w:val="-3"/>
          <w:sz w:val="24"/>
        </w:rPr>
        <w:t xml:space="preserve"> </w:t>
      </w:r>
      <w:r w:rsidRPr="00150EDC">
        <w:rPr>
          <w:sz w:val="24"/>
        </w:rPr>
        <w:t>control)</w:t>
      </w:r>
      <w:r w:rsidRPr="00150EDC">
        <w:rPr>
          <w:spacing w:val="-3"/>
          <w:sz w:val="24"/>
        </w:rPr>
        <w:t xml:space="preserve"> </w:t>
      </w:r>
      <w:r w:rsidRPr="00150EDC">
        <w:rPr>
          <w:sz w:val="24"/>
        </w:rPr>
        <w:t>if</w:t>
      </w:r>
      <w:r w:rsidRPr="00150EDC">
        <w:rPr>
          <w:spacing w:val="-4"/>
          <w:sz w:val="24"/>
        </w:rPr>
        <w:t xml:space="preserve"> </w:t>
      </w:r>
      <w:r w:rsidRPr="00150EDC">
        <w:rPr>
          <w:sz w:val="24"/>
        </w:rPr>
        <w:t>it</w:t>
      </w:r>
      <w:r w:rsidRPr="00150EDC">
        <w:rPr>
          <w:spacing w:val="-1"/>
          <w:sz w:val="24"/>
        </w:rPr>
        <w:t xml:space="preserve"> </w:t>
      </w:r>
      <w:r w:rsidRPr="00150EDC">
        <w:rPr>
          <w:sz w:val="24"/>
        </w:rPr>
        <w:t>would</w:t>
      </w:r>
      <w:r w:rsidRPr="00150EDC">
        <w:rPr>
          <w:spacing w:val="-3"/>
          <w:sz w:val="24"/>
        </w:rPr>
        <w:t xml:space="preserve"> </w:t>
      </w:r>
      <w:r w:rsidRPr="00150EDC">
        <w:rPr>
          <w:sz w:val="24"/>
        </w:rPr>
        <w:t>not</w:t>
      </w:r>
      <w:r w:rsidRPr="00150EDC">
        <w:rPr>
          <w:spacing w:val="-4"/>
          <w:sz w:val="24"/>
        </w:rPr>
        <w:t xml:space="preserve"> </w:t>
      </w:r>
      <w:r w:rsidRPr="00150EDC">
        <w:rPr>
          <w:sz w:val="24"/>
        </w:rPr>
        <w:t>have</w:t>
      </w:r>
      <w:r w:rsidRPr="00150EDC">
        <w:rPr>
          <w:spacing w:val="-3"/>
          <w:sz w:val="24"/>
        </w:rPr>
        <w:t xml:space="preserve"> </w:t>
      </w:r>
      <w:r w:rsidRPr="00150EDC">
        <w:rPr>
          <w:sz w:val="24"/>
        </w:rPr>
        <w:t>been</w:t>
      </w:r>
      <w:r w:rsidRPr="00150EDC">
        <w:rPr>
          <w:spacing w:val="-3"/>
          <w:sz w:val="24"/>
        </w:rPr>
        <w:t xml:space="preserve"> </w:t>
      </w:r>
      <w:r w:rsidRPr="00150EDC">
        <w:rPr>
          <w:sz w:val="24"/>
        </w:rPr>
        <w:t>impacted</w:t>
      </w:r>
      <w:r w:rsidRPr="00150EDC">
        <w:rPr>
          <w:spacing w:val="-3"/>
          <w:sz w:val="24"/>
        </w:rPr>
        <w:t xml:space="preserve"> </w:t>
      </w:r>
      <w:r w:rsidRPr="00150EDC">
        <w:rPr>
          <w:sz w:val="24"/>
        </w:rPr>
        <w:t>by</w:t>
      </w:r>
      <w:r w:rsidRPr="00150EDC">
        <w:rPr>
          <w:spacing w:val="-2"/>
          <w:sz w:val="24"/>
        </w:rPr>
        <w:t xml:space="preserve"> </w:t>
      </w:r>
      <w:r w:rsidRPr="00150EDC">
        <w:rPr>
          <w:sz w:val="24"/>
        </w:rPr>
        <w:t>the</w:t>
      </w:r>
      <w:r w:rsidRPr="00150EDC">
        <w:rPr>
          <w:spacing w:val="-1"/>
          <w:sz w:val="24"/>
        </w:rPr>
        <w:t xml:space="preserve"> </w:t>
      </w:r>
      <w:r w:rsidRPr="00150EDC">
        <w:rPr>
          <w:sz w:val="24"/>
        </w:rPr>
        <w:t>Force</w:t>
      </w:r>
      <w:r w:rsidRPr="00150EDC">
        <w:rPr>
          <w:spacing w:val="-3"/>
          <w:sz w:val="24"/>
        </w:rPr>
        <w:t xml:space="preserve"> </w:t>
      </w:r>
      <w:r w:rsidRPr="00150EDC">
        <w:rPr>
          <w:sz w:val="24"/>
        </w:rPr>
        <w:t>Majeure Event had it not failed to comply with its obligations under this Schedule.</w:t>
      </w:r>
    </w:p>
    <w:p w14:paraId="2DF277D5" w14:textId="77777777" w:rsidR="004C7180" w:rsidRPr="00150EDC" w:rsidRDefault="004C7180">
      <w:pPr>
        <w:pStyle w:val="BodyText"/>
        <w:spacing w:before="10"/>
        <w:rPr>
          <w:sz w:val="20"/>
        </w:rPr>
      </w:pPr>
    </w:p>
    <w:p w14:paraId="49EBFD12" w14:textId="77777777" w:rsidR="004C7180" w:rsidRPr="00150EDC" w:rsidRDefault="00CF0754" w:rsidP="00B320C7">
      <w:pPr>
        <w:pStyle w:val="Heading4"/>
        <w:numPr>
          <w:ilvl w:val="0"/>
          <w:numId w:val="49"/>
        </w:numPr>
        <w:tabs>
          <w:tab w:val="left" w:pos="1759"/>
        </w:tabs>
        <w:ind w:left="1759" w:hanging="359"/>
        <w:jc w:val="left"/>
      </w:pPr>
      <w:r w:rsidRPr="00150EDC">
        <w:t>Amendments</w:t>
      </w:r>
      <w:r w:rsidRPr="00150EDC">
        <w:rPr>
          <w:spacing w:val="-4"/>
        </w:rPr>
        <w:t xml:space="preserve"> </w:t>
      </w:r>
      <w:r w:rsidRPr="00150EDC">
        <w:t>to</w:t>
      </w:r>
      <w:r w:rsidRPr="00150EDC">
        <w:rPr>
          <w:spacing w:val="-2"/>
        </w:rPr>
        <w:t xml:space="preserve"> </w:t>
      </w:r>
      <w:r w:rsidRPr="00150EDC">
        <w:t>this</w:t>
      </w:r>
      <w:r w:rsidRPr="00150EDC">
        <w:rPr>
          <w:spacing w:val="-3"/>
        </w:rPr>
        <w:t xml:space="preserve"> </w:t>
      </w:r>
      <w:r w:rsidRPr="00150EDC">
        <w:t>Schedule</w:t>
      </w:r>
      <w:r w:rsidRPr="00150EDC">
        <w:rPr>
          <w:spacing w:val="-4"/>
        </w:rPr>
        <w:t xml:space="preserve"> </w:t>
      </w:r>
      <w:r w:rsidRPr="00150EDC">
        <w:t>in</w:t>
      </w:r>
      <w:r w:rsidRPr="00150EDC">
        <w:rPr>
          <w:spacing w:val="-2"/>
        </w:rPr>
        <w:t xml:space="preserve"> </w:t>
      </w:r>
      <w:r w:rsidRPr="00150EDC">
        <w:t>respect</w:t>
      </w:r>
      <w:r w:rsidRPr="00150EDC">
        <w:rPr>
          <w:spacing w:val="-5"/>
        </w:rPr>
        <w:t xml:space="preserve"> </w:t>
      </w:r>
      <w:r w:rsidRPr="00150EDC">
        <w:t>of</w:t>
      </w:r>
      <w:r w:rsidRPr="00150EDC">
        <w:rPr>
          <w:spacing w:val="-3"/>
        </w:rPr>
        <w:t xml:space="preserve"> </w:t>
      </w:r>
      <w:r w:rsidRPr="00150EDC">
        <w:t>Bronze</w:t>
      </w:r>
      <w:r w:rsidRPr="00150EDC">
        <w:rPr>
          <w:spacing w:val="-1"/>
        </w:rPr>
        <w:t xml:space="preserve"> </w:t>
      </w:r>
      <w:r w:rsidRPr="00150EDC">
        <w:rPr>
          <w:spacing w:val="-2"/>
        </w:rPr>
        <w:t>Contracts</w:t>
      </w:r>
    </w:p>
    <w:p w14:paraId="7D587B72" w14:textId="77777777" w:rsidR="004C7180" w:rsidRPr="00150EDC" w:rsidRDefault="004C7180">
      <w:pPr>
        <w:pStyle w:val="BodyText"/>
        <w:spacing w:before="10"/>
        <w:rPr>
          <w:b/>
          <w:sz w:val="20"/>
        </w:rPr>
      </w:pPr>
    </w:p>
    <w:p w14:paraId="4684B16F" w14:textId="77777777" w:rsidR="004C7180" w:rsidRPr="00150EDC" w:rsidRDefault="00CF0754" w:rsidP="00B320C7">
      <w:pPr>
        <w:pStyle w:val="ListParagraph"/>
        <w:numPr>
          <w:ilvl w:val="1"/>
          <w:numId w:val="49"/>
        </w:numPr>
        <w:tabs>
          <w:tab w:val="left" w:pos="4721"/>
        </w:tabs>
        <w:ind w:right="1433" w:firstLine="1418"/>
        <w:jc w:val="both"/>
      </w:pPr>
      <w:r w:rsidRPr="00150EDC">
        <w:t>Where</w:t>
      </w:r>
      <w:r w:rsidRPr="00150EDC">
        <w:rPr>
          <w:spacing w:val="-7"/>
        </w:rPr>
        <w:t xml:space="preserve"> </w:t>
      </w:r>
      <w:r w:rsidRPr="00150EDC">
        <w:rPr>
          <w:sz w:val="24"/>
        </w:rPr>
        <w:t>a</w:t>
      </w:r>
      <w:r w:rsidRPr="00150EDC">
        <w:rPr>
          <w:spacing w:val="-7"/>
          <w:sz w:val="24"/>
        </w:rPr>
        <w:t xml:space="preserve"> </w:t>
      </w:r>
      <w:r w:rsidRPr="00150EDC">
        <w:rPr>
          <w:sz w:val="24"/>
        </w:rPr>
        <w:t>Buyer’s</w:t>
      </w:r>
      <w:r w:rsidRPr="00150EDC">
        <w:rPr>
          <w:spacing w:val="-8"/>
          <w:sz w:val="24"/>
        </w:rPr>
        <w:t xml:space="preserve"> </w:t>
      </w:r>
      <w:r w:rsidRPr="00150EDC">
        <w:rPr>
          <w:sz w:val="24"/>
        </w:rPr>
        <w:t>Order</w:t>
      </w:r>
      <w:r w:rsidRPr="00150EDC">
        <w:rPr>
          <w:spacing w:val="40"/>
          <w:sz w:val="24"/>
        </w:rPr>
        <w:t xml:space="preserve"> </w:t>
      </w:r>
      <w:r w:rsidRPr="00150EDC">
        <w:rPr>
          <w:sz w:val="24"/>
        </w:rPr>
        <w:t>Contract</w:t>
      </w:r>
      <w:r w:rsidRPr="00150EDC">
        <w:rPr>
          <w:spacing w:val="-7"/>
          <w:sz w:val="24"/>
        </w:rPr>
        <w:t xml:space="preserve"> </w:t>
      </w:r>
      <w:r w:rsidRPr="00150EDC">
        <w:rPr>
          <w:sz w:val="24"/>
        </w:rPr>
        <w:t>is</w:t>
      </w:r>
      <w:r w:rsidRPr="00150EDC">
        <w:rPr>
          <w:spacing w:val="-8"/>
          <w:sz w:val="24"/>
        </w:rPr>
        <w:t xml:space="preserve"> </w:t>
      </w:r>
      <w:r w:rsidRPr="00150EDC">
        <w:rPr>
          <w:sz w:val="24"/>
        </w:rPr>
        <w:t>a</w:t>
      </w:r>
      <w:r w:rsidRPr="00150EDC">
        <w:rPr>
          <w:spacing w:val="-7"/>
          <w:sz w:val="24"/>
        </w:rPr>
        <w:t xml:space="preserve"> </w:t>
      </w:r>
      <w:r w:rsidRPr="00150EDC">
        <w:rPr>
          <w:sz w:val="24"/>
        </w:rPr>
        <w:t>Bronze</w:t>
      </w:r>
      <w:r w:rsidRPr="00150EDC">
        <w:rPr>
          <w:spacing w:val="-7"/>
          <w:sz w:val="24"/>
        </w:rPr>
        <w:t xml:space="preserve"> </w:t>
      </w:r>
      <w:r w:rsidRPr="00150EDC">
        <w:rPr>
          <w:sz w:val="24"/>
        </w:rPr>
        <w:t>Contract, if specified in the Order Form, the following provisions of this Order Schedule 8, shall be disapplied in respect of that Contract:</w:t>
      </w:r>
    </w:p>
    <w:p w14:paraId="6B97D440" w14:textId="77777777" w:rsidR="004C7180" w:rsidRPr="00150EDC" w:rsidRDefault="004C7180">
      <w:pPr>
        <w:pStyle w:val="BodyText"/>
        <w:spacing w:before="10"/>
        <w:rPr>
          <w:sz w:val="20"/>
        </w:rPr>
      </w:pPr>
    </w:p>
    <w:p w14:paraId="3AB68ECA" w14:textId="77777777" w:rsidR="004C7180" w:rsidRPr="00150EDC" w:rsidRDefault="00CF0754" w:rsidP="00B320C7">
      <w:pPr>
        <w:pStyle w:val="ListParagraph"/>
        <w:numPr>
          <w:ilvl w:val="2"/>
          <w:numId w:val="49"/>
        </w:numPr>
        <w:tabs>
          <w:tab w:val="left" w:pos="3574"/>
        </w:tabs>
        <w:ind w:right="1591" w:firstLine="0"/>
        <w:rPr>
          <w:sz w:val="24"/>
        </w:rPr>
      </w:pPr>
      <w:r w:rsidRPr="00150EDC">
        <w:rPr>
          <w:sz w:val="24"/>
        </w:rPr>
        <w:t>Paragraph 1.3.4 of Part A so that the BCDR plan shall only be required</w:t>
      </w:r>
      <w:r w:rsidRPr="00150EDC">
        <w:rPr>
          <w:spacing w:val="-4"/>
          <w:sz w:val="24"/>
        </w:rPr>
        <w:t xml:space="preserve"> </w:t>
      </w:r>
      <w:r w:rsidRPr="00150EDC">
        <w:rPr>
          <w:sz w:val="24"/>
        </w:rPr>
        <w:t>to</w:t>
      </w:r>
      <w:r w:rsidRPr="00150EDC">
        <w:rPr>
          <w:spacing w:val="-2"/>
          <w:sz w:val="24"/>
        </w:rPr>
        <w:t xml:space="preserve"> </w:t>
      </w:r>
      <w:r w:rsidRPr="00150EDC">
        <w:rPr>
          <w:sz w:val="24"/>
        </w:rPr>
        <w:t>be</w:t>
      </w:r>
      <w:r w:rsidRPr="00150EDC">
        <w:rPr>
          <w:spacing w:val="-2"/>
          <w:sz w:val="24"/>
        </w:rPr>
        <w:t xml:space="preserve"> </w:t>
      </w:r>
      <w:r w:rsidRPr="00150EDC">
        <w:rPr>
          <w:sz w:val="24"/>
        </w:rPr>
        <w:t>split</w:t>
      </w:r>
      <w:r w:rsidRPr="00150EDC">
        <w:rPr>
          <w:spacing w:val="-2"/>
          <w:sz w:val="24"/>
        </w:rPr>
        <w:t xml:space="preserve"> </w:t>
      </w:r>
      <w:r w:rsidRPr="00150EDC">
        <w:rPr>
          <w:sz w:val="24"/>
        </w:rPr>
        <w:t>into</w:t>
      </w:r>
      <w:r w:rsidRPr="00150EDC">
        <w:rPr>
          <w:spacing w:val="-4"/>
          <w:sz w:val="24"/>
        </w:rPr>
        <w:t xml:space="preserve"> </w:t>
      </w:r>
      <w:r w:rsidRPr="00150EDC">
        <w:rPr>
          <w:sz w:val="24"/>
        </w:rPr>
        <w:t>the</w:t>
      </w:r>
      <w:r w:rsidRPr="00150EDC">
        <w:rPr>
          <w:spacing w:val="-4"/>
          <w:sz w:val="24"/>
        </w:rPr>
        <w:t xml:space="preserve"> </w:t>
      </w:r>
      <w:r w:rsidRPr="00150EDC">
        <w:rPr>
          <w:sz w:val="24"/>
        </w:rPr>
        <w:t>three</w:t>
      </w:r>
      <w:r w:rsidRPr="00150EDC">
        <w:rPr>
          <w:spacing w:val="-4"/>
          <w:sz w:val="24"/>
        </w:rPr>
        <w:t xml:space="preserve"> </w:t>
      </w:r>
      <w:r w:rsidRPr="00150EDC">
        <w:rPr>
          <w:sz w:val="24"/>
        </w:rPr>
        <w:t>sections</w:t>
      </w:r>
      <w:r w:rsidRPr="00150EDC">
        <w:rPr>
          <w:spacing w:val="-3"/>
          <w:sz w:val="24"/>
        </w:rPr>
        <w:t xml:space="preserve"> </w:t>
      </w:r>
      <w:r w:rsidRPr="00150EDC">
        <w:rPr>
          <w:sz w:val="24"/>
        </w:rPr>
        <w:t>detailed</w:t>
      </w:r>
      <w:r w:rsidRPr="00150EDC">
        <w:rPr>
          <w:spacing w:val="-2"/>
          <w:sz w:val="24"/>
        </w:rPr>
        <w:t xml:space="preserve"> </w:t>
      </w:r>
      <w:r w:rsidRPr="00150EDC">
        <w:rPr>
          <w:sz w:val="24"/>
        </w:rPr>
        <w:t>in</w:t>
      </w:r>
      <w:r w:rsidRPr="00150EDC">
        <w:rPr>
          <w:spacing w:val="-4"/>
          <w:sz w:val="24"/>
        </w:rPr>
        <w:t xml:space="preserve"> </w:t>
      </w:r>
      <w:r w:rsidRPr="00150EDC">
        <w:rPr>
          <w:sz w:val="24"/>
        </w:rPr>
        <w:t>paragraphs</w:t>
      </w:r>
      <w:r w:rsidRPr="00150EDC">
        <w:rPr>
          <w:spacing w:val="-5"/>
          <w:sz w:val="24"/>
        </w:rPr>
        <w:t xml:space="preserve"> </w:t>
      </w:r>
      <w:r w:rsidRPr="00150EDC">
        <w:rPr>
          <w:sz w:val="24"/>
        </w:rPr>
        <w:t>1.3.1 to 1.3.3 inclusive;</w:t>
      </w:r>
    </w:p>
    <w:p w14:paraId="0890B8D2" w14:textId="77777777" w:rsidR="004C7180" w:rsidRPr="00150EDC" w:rsidRDefault="00CF0754" w:rsidP="00B320C7">
      <w:pPr>
        <w:pStyle w:val="ListParagraph"/>
        <w:numPr>
          <w:ilvl w:val="2"/>
          <w:numId w:val="49"/>
        </w:numPr>
        <w:tabs>
          <w:tab w:val="left" w:pos="3574"/>
        </w:tabs>
        <w:spacing w:before="120"/>
        <w:ind w:left="3574" w:hanging="734"/>
        <w:rPr>
          <w:sz w:val="24"/>
        </w:rPr>
      </w:pPr>
      <w:r w:rsidRPr="00150EDC">
        <w:rPr>
          <w:sz w:val="24"/>
        </w:rPr>
        <w:t>Paragraphs</w:t>
      </w:r>
      <w:r w:rsidRPr="00150EDC">
        <w:rPr>
          <w:spacing w:val="-5"/>
          <w:sz w:val="24"/>
        </w:rPr>
        <w:t xml:space="preserve"> </w:t>
      </w:r>
      <w:r w:rsidRPr="00150EDC">
        <w:rPr>
          <w:sz w:val="24"/>
        </w:rPr>
        <w:t>2.1.13</w:t>
      </w:r>
      <w:r w:rsidRPr="00150EDC">
        <w:rPr>
          <w:spacing w:val="-1"/>
          <w:sz w:val="24"/>
        </w:rPr>
        <w:t xml:space="preserve"> </w:t>
      </w:r>
      <w:r w:rsidRPr="00150EDC">
        <w:rPr>
          <w:sz w:val="24"/>
        </w:rPr>
        <w:t>to</w:t>
      </w:r>
      <w:r w:rsidRPr="00150EDC">
        <w:rPr>
          <w:spacing w:val="-1"/>
          <w:sz w:val="24"/>
        </w:rPr>
        <w:t xml:space="preserve"> </w:t>
      </w:r>
      <w:r w:rsidRPr="00150EDC">
        <w:rPr>
          <w:sz w:val="24"/>
        </w:rPr>
        <w:t>2.1.15</w:t>
      </w:r>
      <w:r w:rsidRPr="00150EDC">
        <w:rPr>
          <w:spacing w:val="-2"/>
          <w:sz w:val="24"/>
        </w:rPr>
        <w:t xml:space="preserve"> </w:t>
      </w:r>
      <w:r w:rsidRPr="00150EDC">
        <w:rPr>
          <w:sz w:val="24"/>
        </w:rPr>
        <w:t>of</w:t>
      </w:r>
      <w:r w:rsidRPr="00150EDC">
        <w:rPr>
          <w:spacing w:val="-1"/>
          <w:sz w:val="24"/>
        </w:rPr>
        <w:t xml:space="preserve"> </w:t>
      </w:r>
      <w:r w:rsidRPr="00150EDC">
        <w:rPr>
          <w:sz w:val="24"/>
        </w:rPr>
        <w:t>Part</w:t>
      </w:r>
      <w:r w:rsidRPr="00150EDC">
        <w:rPr>
          <w:spacing w:val="-4"/>
          <w:sz w:val="24"/>
        </w:rPr>
        <w:t xml:space="preserve"> </w:t>
      </w:r>
      <w:r w:rsidRPr="00150EDC">
        <w:rPr>
          <w:sz w:val="24"/>
        </w:rPr>
        <w:t>A,</w:t>
      </w:r>
      <w:r w:rsidRPr="00150EDC">
        <w:rPr>
          <w:spacing w:val="-1"/>
          <w:sz w:val="24"/>
        </w:rPr>
        <w:t xml:space="preserve"> </w:t>
      </w:r>
      <w:r w:rsidRPr="00150EDC">
        <w:rPr>
          <w:spacing w:val="-2"/>
          <w:sz w:val="24"/>
        </w:rPr>
        <w:t>inclusive;</w:t>
      </w:r>
    </w:p>
    <w:p w14:paraId="330F172C" w14:textId="77777777" w:rsidR="004C7180" w:rsidRPr="00150EDC" w:rsidRDefault="00CF0754" w:rsidP="00B320C7">
      <w:pPr>
        <w:pStyle w:val="ListParagraph"/>
        <w:numPr>
          <w:ilvl w:val="2"/>
          <w:numId w:val="49"/>
        </w:numPr>
        <w:tabs>
          <w:tab w:val="left" w:pos="3574"/>
        </w:tabs>
        <w:spacing w:before="120"/>
        <w:ind w:left="3574" w:hanging="734"/>
        <w:rPr>
          <w:sz w:val="24"/>
        </w:rPr>
      </w:pPr>
      <w:r w:rsidRPr="00150EDC">
        <w:rPr>
          <w:sz w:val="24"/>
        </w:rPr>
        <w:t>Paragraph</w:t>
      </w:r>
      <w:r w:rsidRPr="00150EDC">
        <w:rPr>
          <w:spacing w:val="-6"/>
          <w:sz w:val="24"/>
        </w:rPr>
        <w:t xml:space="preserve"> </w:t>
      </w:r>
      <w:r w:rsidRPr="00150EDC">
        <w:rPr>
          <w:sz w:val="24"/>
        </w:rPr>
        <w:t>5</w:t>
      </w:r>
      <w:r w:rsidRPr="00150EDC">
        <w:rPr>
          <w:spacing w:val="-1"/>
          <w:sz w:val="24"/>
        </w:rPr>
        <w:t xml:space="preserve"> </w:t>
      </w:r>
      <w:r w:rsidRPr="00150EDC">
        <w:rPr>
          <w:sz w:val="24"/>
        </w:rPr>
        <w:t>(Insolvency</w:t>
      </w:r>
      <w:r w:rsidRPr="00150EDC">
        <w:rPr>
          <w:spacing w:val="-3"/>
          <w:sz w:val="24"/>
        </w:rPr>
        <w:t xml:space="preserve"> </w:t>
      </w:r>
      <w:r w:rsidRPr="00150EDC">
        <w:rPr>
          <w:sz w:val="24"/>
        </w:rPr>
        <w:t>Continuity</w:t>
      </w:r>
      <w:r w:rsidRPr="00150EDC">
        <w:rPr>
          <w:spacing w:val="-4"/>
          <w:sz w:val="24"/>
        </w:rPr>
        <w:t xml:space="preserve"> </w:t>
      </w:r>
      <w:r w:rsidRPr="00150EDC">
        <w:rPr>
          <w:sz w:val="24"/>
        </w:rPr>
        <w:t>Plan)</w:t>
      </w:r>
      <w:r w:rsidRPr="00150EDC">
        <w:rPr>
          <w:spacing w:val="-4"/>
          <w:sz w:val="24"/>
        </w:rPr>
        <w:t xml:space="preserve"> </w:t>
      </w:r>
      <w:r w:rsidRPr="00150EDC">
        <w:rPr>
          <w:sz w:val="24"/>
        </w:rPr>
        <w:t>of</w:t>
      </w:r>
      <w:r w:rsidRPr="00150EDC">
        <w:rPr>
          <w:spacing w:val="-4"/>
          <w:sz w:val="24"/>
        </w:rPr>
        <w:t xml:space="preserve"> </w:t>
      </w:r>
      <w:r w:rsidRPr="00150EDC">
        <w:rPr>
          <w:sz w:val="24"/>
        </w:rPr>
        <w:t>Part</w:t>
      </w:r>
      <w:r w:rsidRPr="00150EDC">
        <w:rPr>
          <w:spacing w:val="-4"/>
          <w:sz w:val="24"/>
        </w:rPr>
        <w:t xml:space="preserve"> </w:t>
      </w:r>
      <w:r w:rsidRPr="00150EDC">
        <w:rPr>
          <w:spacing w:val="-5"/>
          <w:sz w:val="24"/>
        </w:rPr>
        <w:t>A;</w:t>
      </w:r>
    </w:p>
    <w:p w14:paraId="64F8C661" w14:textId="77777777" w:rsidR="004C7180" w:rsidRPr="00150EDC" w:rsidRDefault="00CF0754" w:rsidP="00B320C7">
      <w:pPr>
        <w:pStyle w:val="ListParagraph"/>
        <w:numPr>
          <w:ilvl w:val="2"/>
          <w:numId w:val="49"/>
        </w:numPr>
        <w:tabs>
          <w:tab w:val="left" w:pos="3574"/>
        </w:tabs>
        <w:spacing w:before="120"/>
        <w:ind w:left="3574" w:hanging="734"/>
        <w:rPr>
          <w:sz w:val="24"/>
        </w:rPr>
      </w:pPr>
      <w:r w:rsidRPr="00150EDC">
        <w:rPr>
          <w:sz w:val="24"/>
        </w:rPr>
        <w:t>Paragraph</w:t>
      </w:r>
      <w:r w:rsidRPr="00150EDC">
        <w:rPr>
          <w:spacing w:val="-3"/>
          <w:sz w:val="24"/>
        </w:rPr>
        <w:t xml:space="preserve"> </w:t>
      </w:r>
      <w:r w:rsidRPr="00150EDC">
        <w:rPr>
          <w:sz w:val="24"/>
        </w:rPr>
        <w:t>8.2</w:t>
      </w:r>
      <w:r w:rsidRPr="00150EDC">
        <w:rPr>
          <w:spacing w:val="-3"/>
          <w:sz w:val="24"/>
        </w:rPr>
        <w:t xml:space="preserve"> </w:t>
      </w:r>
      <w:r w:rsidRPr="00150EDC">
        <w:rPr>
          <w:sz w:val="24"/>
        </w:rPr>
        <w:t>of Part</w:t>
      </w:r>
      <w:r w:rsidRPr="00150EDC">
        <w:rPr>
          <w:spacing w:val="-4"/>
          <w:sz w:val="24"/>
        </w:rPr>
        <w:t xml:space="preserve"> </w:t>
      </w:r>
      <w:r w:rsidRPr="00150EDC">
        <w:rPr>
          <w:sz w:val="24"/>
        </w:rPr>
        <w:t xml:space="preserve">A; </w:t>
      </w:r>
      <w:r w:rsidRPr="00150EDC">
        <w:rPr>
          <w:spacing w:val="-5"/>
          <w:sz w:val="24"/>
        </w:rPr>
        <w:t>and</w:t>
      </w:r>
    </w:p>
    <w:p w14:paraId="36DF5772" w14:textId="77777777" w:rsidR="004C7180" w:rsidRPr="00150EDC" w:rsidRDefault="00CF0754" w:rsidP="00B320C7">
      <w:pPr>
        <w:pStyle w:val="ListParagraph"/>
        <w:numPr>
          <w:ilvl w:val="2"/>
          <w:numId w:val="49"/>
        </w:numPr>
        <w:tabs>
          <w:tab w:val="left" w:pos="3574"/>
        </w:tabs>
        <w:spacing w:before="120"/>
        <w:ind w:left="3574" w:hanging="734"/>
        <w:rPr>
          <w:sz w:val="24"/>
        </w:rPr>
      </w:pPr>
      <w:r w:rsidRPr="00150EDC">
        <w:rPr>
          <w:sz w:val="24"/>
        </w:rPr>
        <w:t>The</w:t>
      </w:r>
      <w:r w:rsidRPr="00150EDC">
        <w:rPr>
          <w:spacing w:val="-1"/>
          <w:sz w:val="24"/>
        </w:rPr>
        <w:t xml:space="preserve"> </w:t>
      </w:r>
      <w:r w:rsidRPr="00150EDC">
        <w:rPr>
          <w:sz w:val="24"/>
        </w:rPr>
        <w:t>entirety</w:t>
      </w:r>
      <w:r w:rsidRPr="00150EDC">
        <w:rPr>
          <w:spacing w:val="-3"/>
          <w:sz w:val="24"/>
        </w:rPr>
        <w:t xml:space="preserve"> </w:t>
      </w:r>
      <w:r w:rsidRPr="00150EDC">
        <w:rPr>
          <w:sz w:val="24"/>
        </w:rPr>
        <w:t>of</w:t>
      </w:r>
      <w:r w:rsidRPr="00150EDC">
        <w:rPr>
          <w:spacing w:val="-3"/>
          <w:sz w:val="24"/>
        </w:rPr>
        <w:t xml:space="preserve"> </w:t>
      </w:r>
      <w:r w:rsidRPr="00150EDC">
        <w:rPr>
          <w:sz w:val="24"/>
        </w:rPr>
        <w:t>Part B</w:t>
      </w:r>
      <w:r w:rsidRPr="00150EDC">
        <w:rPr>
          <w:spacing w:val="-3"/>
          <w:sz w:val="24"/>
        </w:rPr>
        <w:t xml:space="preserve"> </w:t>
      </w:r>
      <w:r w:rsidRPr="00150EDC">
        <w:rPr>
          <w:sz w:val="24"/>
        </w:rPr>
        <w:t>of this</w:t>
      </w:r>
      <w:r w:rsidRPr="00150EDC">
        <w:rPr>
          <w:spacing w:val="-1"/>
          <w:sz w:val="24"/>
        </w:rPr>
        <w:t xml:space="preserve"> </w:t>
      </w:r>
      <w:r w:rsidRPr="00150EDC">
        <w:rPr>
          <w:spacing w:val="-2"/>
          <w:sz w:val="24"/>
        </w:rPr>
        <w:t>Schedule.</w:t>
      </w:r>
    </w:p>
    <w:p w14:paraId="312A92F2" w14:textId="77777777" w:rsidR="004C7180" w:rsidRPr="00150EDC" w:rsidRDefault="004C7180">
      <w:pPr>
        <w:rPr>
          <w:sz w:val="24"/>
        </w:rPr>
        <w:sectPr w:rsidR="004C7180" w:rsidRPr="00150EDC">
          <w:pgSz w:w="11910" w:h="16840"/>
          <w:pgMar w:top="1380" w:right="0" w:bottom="1380" w:left="40" w:header="715" w:footer="1192" w:gutter="0"/>
          <w:cols w:space="720"/>
        </w:sectPr>
      </w:pPr>
    </w:p>
    <w:p w14:paraId="49542248" w14:textId="77777777" w:rsidR="004C7180" w:rsidRPr="00150EDC" w:rsidRDefault="004C7180">
      <w:pPr>
        <w:pStyle w:val="BodyText"/>
        <w:spacing w:before="1"/>
        <w:rPr>
          <w:sz w:val="12"/>
        </w:rPr>
      </w:pPr>
    </w:p>
    <w:p w14:paraId="3BB4123A" w14:textId="77777777" w:rsidR="004C7180" w:rsidRPr="00150EDC" w:rsidRDefault="00CF0754" w:rsidP="00B320C7">
      <w:pPr>
        <w:pStyle w:val="ListParagraph"/>
        <w:numPr>
          <w:ilvl w:val="1"/>
          <w:numId w:val="49"/>
        </w:numPr>
        <w:tabs>
          <w:tab w:val="left" w:pos="2654"/>
        </w:tabs>
        <w:spacing w:before="92"/>
        <w:ind w:left="2120" w:right="1520" w:firstLine="0"/>
        <w:jc w:val="left"/>
        <w:rPr>
          <w:sz w:val="24"/>
        </w:rPr>
      </w:pPr>
      <w:r w:rsidRPr="00150EDC">
        <w:rPr>
          <w:sz w:val="24"/>
        </w:rPr>
        <w:t>Where a Buyer’s Order Contract is a Bronze Contract, if specified in the Order</w:t>
      </w:r>
      <w:r w:rsidRPr="00150EDC">
        <w:rPr>
          <w:spacing w:val="-4"/>
          <w:sz w:val="24"/>
        </w:rPr>
        <w:t xml:space="preserve"> </w:t>
      </w:r>
      <w:r w:rsidRPr="00150EDC">
        <w:rPr>
          <w:sz w:val="24"/>
        </w:rPr>
        <w:t>Form,</w:t>
      </w:r>
      <w:r w:rsidRPr="00150EDC">
        <w:rPr>
          <w:spacing w:val="-4"/>
          <w:sz w:val="24"/>
        </w:rPr>
        <w:t xml:space="preserve"> </w:t>
      </w:r>
      <w:r w:rsidRPr="00150EDC">
        <w:rPr>
          <w:sz w:val="24"/>
        </w:rPr>
        <w:t>the</w:t>
      </w:r>
      <w:r w:rsidRPr="00150EDC">
        <w:rPr>
          <w:spacing w:val="-2"/>
          <w:sz w:val="24"/>
        </w:rPr>
        <w:t xml:space="preserve"> </w:t>
      </w:r>
      <w:r w:rsidRPr="00150EDC">
        <w:rPr>
          <w:sz w:val="24"/>
        </w:rPr>
        <w:t>following</w:t>
      </w:r>
      <w:r w:rsidRPr="00150EDC">
        <w:rPr>
          <w:spacing w:val="-2"/>
          <w:sz w:val="24"/>
        </w:rPr>
        <w:t xml:space="preserve"> </w:t>
      </w:r>
      <w:r w:rsidRPr="00150EDC">
        <w:rPr>
          <w:sz w:val="24"/>
        </w:rPr>
        <w:t>definitions</w:t>
      </w:r>
      <w:r w:rsidRPr="00150EDC">
        <w:rPr>
          <w:spacing w:val="-3"/>
          <w:sz w:val="24"/>
        </w:rPr>
        <w:t xml:space="preserve"> </w:t>
      </w:r>
      <w:r w:rsidRPr="00150EDC">
        <w:rPr>
          <w:sz w:val="24"/>
        </w:rPr>
        <w:t>in</w:t>
      </w:r>
      <w:r w:rsidRPr="00150EDC">
        <w:rPr>
          <w:spacing w:val="-4"/>
          <w:sz w:val="24"/>
        </w:rPr>
        <w:t xml:space="preserve"> </w:t>
      </w:r>
      <w:r w:rsidRPr="00150EDC">
        <w:rPr>
          <w:sz w:val="24"/>
        </w:rPr>
        <w:t>Paragraph</w:t>
      </w:r>
      <w:r w:rsidRPr="00150EDC">
        <w:rPr>
          <w:spacing w:val="-4"/>
          <w:sz w:val="24"/>
        </w:rPr>
        <w:t xml:space="preserve"> </w:t>
      </w:r>
      <w:r w:rsidRPr="00150EDC">
        <w:rPr>
          <w:sz w:val="24"/>
        </w:rPr>
        <w:t>1</w:t>
      </w:r>
      <w:r w:rsidRPr="00150EDC">
        <w:rPr>
          <w:spacing w:val="-2"/>
          <w:sz w:val="24"/>
        </w:rPr>
        <w:t xml:space="preserve"> </w:t>
      </w:r>
      <w:r w:rsidRPr="00150EDC">
        <w:rPr>
          <w:sz w:val="24"/>
        </w:rPr>
        <w:t>of</w:t>
      </w:r>
      <w:r w:rsidRPr="00150EDC">
        <w:rPr>
          <w:spacing w:val="-2"/>
          <w:sz w:val="24"/>
        </w:rPr>
        <w:t xml:space="preserve"> </w:t>
      </w:r>
      <w:r w:rsidRPr="00150EDC">
        <w:rPr>
          <w:sz w:val="24"/>
        </w:rPr>
        <w:t>this</w:t>
      </w:r>
      <w:r w:rsidRPr="00150EDC">
        <w:rPr>
          <w:spacing w:val="-4"/>
          <w:sz w:val="24"/>
        </w:rPr>
        <w:t xml:space="preserve"> </w:t>
      </w:r>
      <w:r w:rsidRPr="00150EDC">
        <w:rPr>
          <w:sz w:val="24"/>
        </w:rPr>
        <w:t>Order</w:t>
      </w:r>
      <w:r w:rsidRPr="00150EDC">
        <w:rPr>
          <w:spacing w:val="-4"/>
          <w:sz w:val="24"/>
        </w:rPr>
        <w:t xml:space="preserve"> </w:t>
      </w:r>
      <w:r w:rsidRPr="00150EDC">
        <w:rPr>
          <w:sz w:val="24"/>
        </w:rPr>
        <w:t>Schedule</w:t>
      </w:r>
      <w:r w:rsidRPr="00150EDC">
        <w:rPr>
          <w:spacing w:val="-2"/>
          <w:sz w:val="24"/>
        </w:rPr>
        <w:t xml:space="preserve"> </w:t>
      </w:r>
      <w:r w:rsidRPr="00150EDC">
        <w:rPr>
          <w:sz w:val="24"/>
        </w:rPr>
        <w:t>8, shall be deemed to be deleted:</w:t>
      </w:r>
    </w:p>
    <w:p w14:paraId="062C0E65" w14:textId="77777777" w:rsidR="004C7180" w:rsidRPr="00150EDC" w:rsidRDefault="00CF0754" w:rsidP="00B320C7">
      <w:pPr>
        <w:pStyle w:val="ListParagraph"/>
        <w:numPr>
          <w:ilvl w:val="2"/>
          <w:numId w:val="49"/>
        </w:numPr>
        <w:tabs>
          <w:tab w:val="left" w:pos="3573"/>
        </w:tabs>
        <w:spacing w:before="121"/>
        <w:ind w:left="3573" w:hanging="734"/>
        <w:rPr>
          <w:sz w:val="24"/>
        </w:rPr>
      </w:pPr>
      <w:r w:rsidRPr="00150EDC">
        <w:rPr>
          <w:sz w:val="24"/>
        </w:rPr>
        <w:t>Annual</w:t>
      </w:r>
      <w:r w:rsidRPr="00150EDC">
        <w:rPr>
          <w:spacing w:val="-4"/>
          <w:sz w:val="24"/>
        </w:rPr>
        <w:t xml:space="preserve"> </w:t>
      </w:r>
      <w:r w:rsidRPr="00150EDC">
        <w:rPr>
          <w:spacing w:val="-2"/>
          <w:sz w:val="24"/>
        </w:rPr>
        <w:t>Review;</w:t>
      </w:r>
    </w:p>
    <w:p w14:paraId="6330EB91" w14:textId="77777777" w:rsidR="004C7180" w:rsidRPr="00150EDC" w:rsidRDefault="00CF0754" w:rsidP="00B320C7">
      <w:pPr>
        <w:pStyle w:val="ListParagraph"/>
        <w:numPr>
          <w:ilvl w:val="2"/>
          <w:numId w:val="49"/>
        </w:numPr>
        <w:tabs>
          <w:tab w:val="left" w:pos="3574"/>
        </w:tabs>
        <w:spacing w:before="120"/>
        <w:ind w:left="3574" w:hanging="734"/>
        <w:rPr>
          <w:sz w:val="24"/>
        </w:rPr>
      </w:pPr>
      <w:r w:rsidRPr="00150EDC">
        <w:rPr>
          <w:sz w:val="24"/>
        </w:rPr>
        <w:t>Appropriate</w:t>
      </w:r>
      <w:r w:rsidRPr="00150EDC">
        <w:rPr>
          <w:spacing w:val="-5"/>
          <w:sz w:val="24"/>
        </w:rPr>
        <w:t xml:space="preserve"> </w:t>
      </w:r>
      <w:r w:rsidRPr="00150EDC">
        <w:rPr>
          <w:sz w:val="24"/>
        </w:rPr>
        <w:t>Authority</w:t>
      </w:r>
      <w:r w:rsidRPr="00150EDC">
        <w:rPr>
          <w:spacing w:val="-4"/>
          <w:sz w:val="24"/>
        </w:rPr>
        <w:t xml:space="preserve"> </w:t>
      </w:r>
      <w:r w:rsidRPr="00150EDC">
        <w:rPr>
          <w:sz w:val="24"/>
        </w:rPr>
        <w:t>or</w:t>
      </w:r>
      <w:r w:rsidRPr="00150EDC">
        <w:rPr>
          <w:spacing w:val="-5"/>
          <w:sz w:val="24"/>
        </w:rPr>
        <w:t xml:space="preserve"> </w:t>
      </w:r>
      <w:r w:rsidRPr="00150EDC">
        <w:rPr>
          <w:sz w:val="24"/>
        </w:rPr>
        <w:t>Appropriate</w:t>
      </w:r>
      <w:r w:rsidRPr="00150EDC">
        <w:rPr>
          <w:spacing w:val="-3"/>
          <w:sz w:val="24"/>
        </w:rPr>
        <w:t xml:space="preserve"> </w:t>
      </w:r>
      <w:r w:rsidRPr="00150EDC">
        <w:rPr>
          <w:spacing w:val="-2"/>
          <w:sz w:val="24"/>
        </w:rPr>
        <w:t>Authorities;</w:t>
      </w:r>
    </w:p>
    <w:p w14:paraId="66CA0053" w14:textId="77777777" w:rsidR="004C7180" w:rsidRPr="00150EDC" w:rsidRDefault="00CF0754" w:rsidP="00B320C7">
      <w:pPr>
        <w:pStyle w:val="ListParagraph"/>
        <w:numPr>
          <w:ilvl w:val="2"/>
          <w:numId w:val="49"/>
        </w:numPr>
        <w:tabs>
          <w:tab w:val="left" w:pos="3574"/>
        </w:tabs>
        <w:spacing w:before="120"/>
        <w:ind w:left="3574" w:hanging="734"/>
        <w:rPr>
          <w:sz w:val="24"/>
        </w:rPr>
      </w:pPr>
      <w:r w:rsidRPr="00150EDC">
        <w:rPr>
          <w:spacing w:val="-2"/>
          <w:sz w:val="24"/>
        </w:rPr>
        <w:t>Associates;</w:t>
      </w:r>
    </w:p>
    <w:p w14:paraId="6E7B6A82" w14:textId="77777777" w:rsidR="004C7180" w:rsidRPr="00150EDC" w:rsidRDefault="00CF0754" w:rsidP="00B320C7">
      <w:pPr>
        <w:pStyle w:val="ListParagraph"/>
        <w:numPr>
          <w:ilvl w:val="2"/>
          <w:numId w:val="49"/>
        </w:numPr>
        <w:tabs>
          <w:tab w:val="left" w:pos="3574"/>
        </w:tabs>
        <w:spacing w:before="120"/>
        <w:ind w:left="3574" w:hanging="734"/>
        <w:rPr>
          <w:sz w:val="24"/>
        </w:rPr>
      </w:pPr>
      <w:r w:rsidRPr="00150EDC">
        <w:rPr>
          <w:sz w:val="24"/>
        </w:rPr>
        <w:t>Class</w:t>
      </w:r>
      <w:r w:rsidRPr="00150EDC">
        <w:rPr>
          <w:spacing w:val="-3"/>
          <w:sz w:val="24"/>
        </w:rPr>
        <w:t xml:space="preserve"> </w:t>
      </w:r>
      <w:r w:rsidRPr="00150EDC">
        <w:rPr>
          <w:sz w:val="24"/>
        </w:rPr>
        <w:t xml:space="preserve">1 </w:t>
      </w:r>
      <w:r w:rsidRPr="00150EDC">
        <w:rPr>
          <w:spacing w:val="-2"/>
          <w:sz w:val="24"/>
        </w:rPr>
        <w:t>Transaction;</w:t>
      </w:r>
    </w:p>
    <w:p w14:paraId="0FB1EED2" w14:textId="77777777" w:rsidR="004C7180" w:rsidRPr="00150EDC" w:rsidRDefault="00CF0754" w:rsidP="00B320C7">
      <w:pPr>
        <w:pStyle w:val="ListParagraph"/>
        <w:numPr>
          <w:ilvl w:val="2"/>
          <w:numId w:val="49"/>
        </w:numPr>
        <w:tabs>
          <w:tab w:val="left" w:pos="3573"/>
        </w:tabs>
        <w:spacing w:before="120"/>
        <w:ind w:left="3573" w:hanging="734"/>
        <w:rPr>
          <w:sz w:val="24"/>
        </w:rPr>
      </w:pPr>
      <w:r w:rsidRPr="00150EDC">
        <w:rPr>
          <w:spacing w:val="-2"/>
          <w:sz w:val="24"/>
        </w:rPr>
        <w:t>Control;</w:t>
      </w:r>
    </w:p>
    <w:p w14:paraId="3823AFDA" w14:textId="77777777" w:rsidR="004C7180" w:rsidRPr="00150EDC" w:rsidRDefault="00CF0754" w:rsidP="00B320C7">
      <w:pPr>
        <w:pStyle w:val="ListParagraph"/>
        <w:numPr>
          <w:ilvl w:val="2"/>
          <w:numId w:val="49"/>
        </w:numPr>
        <w:tabs>
          <w:tab w:val="left" w:pos="3573"/>
        </w:tabs>
        <w:spacing w:before="120"/>
        <w:ind w:left="3573" w:hanging="734"/>
        <w:rPr>
          <w:sz w:val="24"/>
        </w:rPr>
      </w:pPr>
      <w:r w:rsidRPr="00150EDC">
        <w:rPr>
          <w:sz w:val="24"/>
        </w:rPr>
        <w:t>Corporate</w:t>
      </w:r>
      <w:r w:rsidRPr="00150EDC">
        <w:rPr>
          <w:spacing w:val="-6"/>
          <w:sz w:val="24"/>
        </w:rPr>
        <w:t xml:space="preserve"> </w:t>
      </w:r>
      <w:r w:rsidRPr="00150EDC">
        <w:rPr>
          <w:sz w:val="24"/>
        </w:rPr>
        <w:t>Change</w:t>
      </w:r>
      <w:r w:rsidRPr="00150EDC">
        <w:rPr>
          <w:spacing w:val="-3"/>
          <w:sz w:val="24"/>
        </w:rPr>
        <w:t xml:space="preserve"> </w:t>
      </w:r>
      <w:r w:rsidRPr="00150EDC">
        <w:rPr>
          <w:spacing w:val="-2"/>
          <w:sz w:val="24"/>
        </w:rPr>
        <w:t>Event;</w:t>
      </w:r>
    </w:p>
    <w:p w14:paraId="4C1E1590" w14:textId="77777777" w:rsidR="004C7180" w:rsidRPr="00150EDC" w:rsidRDefault="00CF0754" w:rsidP="00B320C7">
      <w:pPr>
        <w:pStyle w:val="ListParagraph"/>
        <w:numPr>
          <w:ilvl w:val="2"/>
          <w:numId w:val="49"/>
        </w:numPr>
        <w:tabs>
          <w:tab w:val="left" w:pos="3573"/>
        </w:tabs>
        <w:spacing w:before="120"/>
        <w:ind w:left="3573" w:hanging="734"/>
        <w:rPr>
          <w:sz w:val="24"/>
        </w:rPr>
      </w:pPr>
      <w:r w:rsidRPr="00150EDC">
        <w:rPr>
          <w:sz w:val="24"/>
        </w:rPr>
        <w:t>Critical</w:t>
      </w:r>
      <w:r w:rsidRPr="00150EDC">
        <w:rPr>
          <w:spacing w:val="-4"/>
          <w:sz w:val="24"/>
        </w:rPr>
        <w:t xml:space="preserve"> </w:t>
      </w:r>
      <w:r w:rsidRPr="00150EDC">
        <w:rPr>
          <w:sz w:val="24"/>
        </w:rPr>
        <w:t>National</w:t>
      </w:r>
      <w:r w:rsidRPr="00150EDC">
        <w:rPr>
          <w:spacing w:val="-6"/>
          <w:sz w:val="24"/>
        </w:rPr>
        <w:t xml:space="preserve"> </w:t>
      </w:r>
      <w:r w:rsidRPr="00150EDC">
        <w:rPr>
          <w:spacing w:val="-2"/>
          <w:sz w:val="24"/>
        </w:rPr>
        <w:t>Infrastructure;</w:t>
      </w:r>
    </w:p>
    <w:p w14:paraId="392E0736" w14:textId="77777777" w:rsidR="004C7180" w:rsidRPr="00150EDC" w:rsidRDefault="00CF0754" w:rsidP="00B320C7">
      <w:pPr>
        <w:pStyle w:val="ListParagraph"/>
        <w:numPr>
          <w:ilvl w:val="2"/>
          <w:numId w:val="49"/>
        </w:numPr>
        <w:tabs>
          <w:tab w:val="left" w:pos="3573"/>
        </w:tabs>
        <w:spacing w:before="120"/>
        <w:ind w:left="3573" w:hanging="734"/>
        <w:rPr>
          <w:sz w:val="24"/>
        </w:rPr>
      </w:pPr>
      <w:r w:rsidRPr="00150EDC">
        <w:rPr>
          <w:sz w:val="24"/>
        </w:rPr>
        <w:t>Critical</w:t>
      </w:r>
      <w:r w:rsidRPr="00150EDC">
        <w:rPr>
          <w:spacing w:val="-4"/>
          <w:sz w:val="24"/>
        </w:rPr>
        <w:t xml:space="preserve"> </w:t>
      </w:r>
      <w:r w:rsidRPr="00150EDC">
        <w:rPr>
          <w:sz w:val="24"/>
        </w:rPr>
        <w:t>Service</w:t>
      </w:r>
      <w:r w:rsidRPr="00150EDC">
        <w:rPr>
          <w:spacing w:val="-6"/>
          <w:sz w:val="24"/>
        </w:rPr>
        <w:t xml:space="preserve"> </w:t>
      </w:r>
      <w:r w:rsidRPr="00150EDC">
        <w:rPr>
          <w:spacing w:val="-2"/>
          <w:sz w:val="24"/>
        </w:rPr>
        <w:t>Contract;</w:t>
      </w:r>
    </w:p>
    <w:p w14:paraId="35D76A8D" w14:textId="77777777" w:rsidR="004C7180" w:rsidRPr="00150EDC" w:rsidRDefault="00CF0754" w:rsidP="00B320C7">
      <w:pPr>
        <w:pStyle w:val="ListParagraph"/>
        <w:numPr>
          <w:ilvl w:val="2"/>
          <w:numId w:val="49"/>
        </w:numPr>
        <w:tabs>
          <w:tab w:val="left" w:pos="3573"/>
        </w:tabs>
        <w:spacing w:before="120"/>
        <w:ind w:left="3573" w:hanging="734"/>
        <w:rPr>
          <w:sz w:val="24"/>
        </w:rPr>
      </w:pPr>
      <w:r w:rsidRPr="00150EDC">
        <w:rPr>
          <w:sz w:val="24"/>
        </w:rPr>
        <w:t>CRP</w:t>
      </w:r>
      <w:r w:rsidRPr="00150EDC">
        <w:rPr>
          <w:spacing w:val="-1"/>
          <w:sz w:val="24"/>
        </w:rPr>
        <w:t xml:space="preserve"> </w:t>
      </w:r>
      <w:r w:rsidRPr="00150EDC">
        <w:rPr>
          <w:spacing w:val="-2"/>
          <w:sz w:val="24"/>
        </w:rPr>
        <w:t>Information;</w:t>
      </w:r>
    </w:p>
    <w:p w14:paraId="241F6516" w14:textId="77777777" w:rsidR="004C7180" w:rsidRPr="00150EDC" w:rsidRDefault="00CF0754" w:rsidP="00B320C7">
      <w:pPr>
        <w:pStyle w:val="ListParagraph"/>
        <w:numPr>
          <w:ilvl w:val="2"/>
          <w:numId w:val="49"/>
        </w:numPr>
        <w:tabs>
          <w:tab w:val="left" w:pos="3705"/>
        </w:tabs>
        <w:spacing w:before="120"/>
        <w:ind w:left="3705" w:hanging="866"/>
        <w:rPr>
          <w:sz w:val="24"/>
        </w:rPr>
      </w:pPr>
      <w:r w:rsidRPr="00150EDC">
        <w:rPr>
          <w:sz w:val="24"/>
        </w:rPr>
        <w:t>Dependent</w:t>
      </w:r>
      <w:r w:rsidRPr="00150EDC">
        <w:rPr>
          <w:spacing w:val="-4"/>
          <w:sz w:val="24"/>
        </w:rPr>
        <w:t xml:space="preserve"> </w:t>
      </w:r>
      <w:r w:rsidRPr="00150EDC">
        <w:rPr>
          <w:sz w:val="24"/>
        </w:rPr>
        <w:t>Parent</w:t>
      </w:r>
      <w:r w:rsidRPr="00150EDC">
        <w:rPr>
          <w:spacing w:val="-1"/>
          <w:sz w:val="24"/>
        </w:rPr>
        <w:t xml:space="preserve"> </w:t>
      </w:r>
      <w:r w:rsidRPr="00150EDC">
        <w:rPr>
          <w:spacing w:val="-2"/>
          <w:sz w:val="24"/>
        </w:rPr>
        <w:t>Undertaking;</w:t>
      </w:r>
    </w:p>
    <w:p w14:paraId="6375C9DE" w14:textId="77777777" w:rsidR="004C7180" w:rsidRPr="00150EDC" w:rsidRDefault="00CF0754" w:rsidP="00B320C7">
      <w:pPr>
        <w:pStyle w:val="ListParagraph"/>
        <w:numPr>
          <w:ilvl w:val="2"/>
          <w:numId w:val="49"/>
        </w:numPr>
        <w:tabs>
          <w:tab w:val="left" w:pos="3705"/>
        </w:tabs>
        <w:spacing w:before="120"/>
        <w:ind w:left="3705" w:hanging="866"/>
        <w:rPr>
          <w:sz w:val="24"/>
        </w:rPr>
      </w:pPr>
      <w:r w:rsidRPr="00150EDC">
        <w:rPr>
          <w:sz w:val="24"/>
        </w:rPr>
        <w:t>Group</w:t>
      </w:r>
      <w:r w:rsidRPr="00150EDC">
        <w:rPr>
          <w:spacing w:val="-6"/>
          <w:sz w:val="24"/>
        </w:rPr>
        <w:t xml:space="preserve"> </w:t>
      </w:r>
      <w:r w:rsidRPr="00150EDC">
        <w:rPr>
          <w:sz w:val="24"/>
        </w:rPr>
        <w:t>Structure</w:t>
      </w:r>
      <w:r w:rsidRPr="00150EDC">
        <w:rPr>
          <w:spacing w:val="-3"/>
          <w:sz w:val="24"/>
        </w:rPr>
        <w:t xml:space="preserve"> </w:t>
      </w:r>
      <w:r w:rsidRPr="00150EDC">
        <w:rPr>
          <w:sz w:val="24"/>
        </w:rPr>
        <w:t>Information</w:t>
      </w:r>
      <w:r w:rsidRPr="00150EDC">
        <w:rPr>
          <w:spacing w:val="-5"/>
          <w:sz w:val="24"/>
        </w:rPr>
        <w:t xml:space="preserve"> </w:t>
      </w:r>
      <w:r w:rsidRPr="00150EDC">
        <w:rPr>
          <w:sz w:val="24"/>
        </w:rPr>
        <w:t>and</w:t>
      </w:r>
      <w:r w:rsidRPr="00150EDC">
        <w:rPr>
          <w:spacing w:val="-3"/>
          <w:sz w:val="24"/>
        </w:rPr>
        <w:t xml:space="preserve"> </w:t>
      </w:r>
      <w:r w:rsidRPr="00150EDC">
        <w:rPr>
          <w:sz w:val="24"/>
        </w:rPr>
        <w:t>Resolution</w:t>
      </w:r>
      <w:r w:rsidRPr="00150EDC">
        <w:rPr>
          <w:spacing w:val="-5"/>
          <w:sz w:val="24"/>
        </w:rPr>
        <w:t xml:space="preserve"> </w:t>
      </w:r>
      <w:r w:rsidRPr="00150EDC">
        <w:rPr>
          <w:spacing w:val="-2"/>
          <w:sz w:val="24"/>
        </w:rPr>
        <w:t>Commentary;</w:t>
      </w:r>
    </w:p>
    <w:p w14:paraId="38CE316D" w14:textId="77777777" w:rsidR="004C7180" w:rsidRPr="00150EDC" w:rsidRDefault="00CF0754" w:rsidP="00B320C7">
      <w:pPr>
        <w:pStyle w:val="ListParagraph"/>
        <w:numPr>
          <w:ilvl w:val="2"/>
          <w:numId w:val="49"/>
        </w:numPr>
        <w:tabs>
          <w:tab w:val="left" w:pos="3705"/>
        </w:tabs>
        <w:spacing w:before="120"/>
        <w:ind w:left="3705" w:hanging="866"/>
        <w:rPr>
          <w:sz w:val="24"/>
        </w:rPr>
      </w:pPr>
      <w:r w:rsidRPr="00150EDC">
        <w:rPr>
          <w:sz w:val="24"/>
        </w:rPr>
        <w:t>Parent</w:t>
      </w:r>
      <w:r w:rsidRPr="00150EDC">
        <w:rPr>
          <w:spacing w:val="-1"/>
          <w:sz w:val="24"/>
        </w:rPr>
        <w:t xml:space="preserve"> </w:t>
      </w:r>
      <w:r w:rsidRPr="00150EDC">
        <w:rPr>
          <w:spacing w:val="-2"/>
          <w:sz w:val="24"/>
        </w:rPr>
        <w:t>Undertaking;</w:t>
      </w:r>
    </w:p>
    <w:p w14:paraId="594AEC07" w14:textId="77777777" w:rsidR="004C7180" w:rsidRPr="00150EDC" w:rsidRDefault="00CF0754" w:rsidP="00B320C7">
      <w:pPr>
        <w:pStyle w:val="ListParagraph"/>
        <w:numPr>
          <w:ilvl w:val="2"/>
          <w:numId w:val="49"/>
        </w:numPr>
        <w:tabs>
          <w:tab w:val="left" w:pos="3705"/>
        </w:tabs>
        <w:spacing w:before="120"/>
        <w:ind w:left="3705" w:hanging="866"/>
        <w:rPr>
          <w:sz w:val="24"/>
        </w:rPr>
      </w:pPr>
      <w:r w:rsidRPr="00150EDC">
        <w:rPr>
          <w:sz w:val="24"/>
        </w:rPr>
        <w:t>Public</w:t>
      </w:r>
      <w:r w:rsidRPr="00150EDC">
        <w:rPr>
          <w:spacing w:val="-4"/>
          <w:sz w:val="24"/>
        </w:rPr>
        <w:t xml:space="preserve"> </w:t>
      </w:r>
      <w:r w:rsidRPr="00150EDC">
        <w:rPr>
          <w:sz w:val="24"/>
        </w:rPr>
        <w:t>Sector</w:t>
      </w:r>
      <w:r w:rsidRPr="00150EDC">
        <w:rPr>
          <w:spacing w:val="-7"/>
          <w:sz w:val="24"/>
        </w:rPr>
        <w:t xml:space="preserve"> </w:t>
      </w:r>
      <w:r w:rsidRPr="00150EDC">
        <w:rPr>
          <w:sz w:val="24"/>
        </w:rPr>
        <w:t>Dependent</w:t>
      </w:r>
      <w:r w:rsidRPr="00150EDC">
        <w:rPr>
          <w:spacing w:val="-2"/>
          <w:sz w:val="24"/>
        </w:rPr>
        <w:t xml:space="preserve"> Supplier;</w:t>
      </w:r>
    </w:p>
    <w:p w14:paraId="2A4DA2AF" w14:textId="77777777" w:rsidR="004C7180" w:rsidRPr="00150EDC" w:rsidRDefault="00CF0754" w:rsidP="00B320C7">
      <w:pPr>
        <w:pStyle w:val="ListParagraph"/>
        <w:numPr>
          <w:ilvl w:val="2"/>
          <w:numId w:val="49"/>
        </w:numPr>
        <w:tabs>
          <w:tab w:val="left" w:pos="3705"/>
        </w:tabs>
        <w:spacing w:before="120"/>
        <w:ind w:left="3705" w:hanging="866"/>
        <w:rPr>
          <w:sz w:val="24"/>
        </w:rPr>
      </w:pPr>
      <w:r w:rsidRPr="00150EDC">
        <w:rPr>
          <w:sz w:val="24"/>
        </w:rPr>
        <w:t>Subsidiary</w:t>
      </w:r>
      <w:r w:rsidRPr="00150EDC">
        <w:rPr>
          <w:spacing w:val="-5"/>
          <w:sz w:val="24"/>
        </w:rPr>
        <w:t xml:space="preserve"> </w:t>
      </w:r>
      <w:r w:rsidRPr="00150EDC">
        <w:rPr>
          <w:spacing w:val="-2"/>
          <w:sz w:val="24"/>
        </w:rPr>
        <w:t>Undertaking;</w:t>
      </w:r>
    </w:p>
    <w:p w14:paraId="7F66DAC1" w14:textId="77777777" w:rsidR="004C7180" w:rsidRPr="00150EDC" w:rsidRDefault="00CF0754" w:rsidP="00B320C7">
      <w:pPr>
        <w:pStyle w:val="ListParagraph"/>
        <w:numPr>
          <w:ilvl w:val="2"/>
          <w:numId w:val="49"/>
        </w:numPr>
        <w:tabs>
          <w:tab w:val="left" w:pos="3705"/>
        </w:tabs>
        <w:spacing w:before="120"/>
        <w:ind w:left="3705" w:hanging="866"/>
        <w:rPr>
          <w:sz w:val="24"/>
        </w:rPr>
      </w:pPr>
      <w:r w:rsidRPr="00150EDC">
        <w:rPr>
          <w:sz w:val="24"/>
        </w:rPr>
        <w:t>Supplier</w:t>
      </w:r>
      <w:r w:rsidRPr="00150EDC">
        <w:rPr>
          <w:spacing w:val="-7"/>
          <w:sz w:val="24"/>
        </w:rPr>
        <w:t xml:space="preserve"> </w:t>
      </w:r>
      <w:r w:rsidRPr="00150EDC">
        <w:rPr>
          <w:spacing w:val="-2"/>
          <w:sz w:val="24"/>
        </w:rPr>
        <w:t>Group;</w:t>
      </w:r>
    </w:p>
    <w:p w14:paraId="27E30D62" w14:textId="77777777" w:rsidR="004C7180" w:rsidRPr="00150EDC" w:rsidRDefault="00CF0754" w:rsidP="00B320C7">
      <w:pPr>
        <w:pStyle w:val="ListParagraph"/>
        <w:numPr>
          <w:ilvl w:val="2"/>
          <w:numId w:val="49"/>
        </w:numPr>
        <w:tabs>
          <w:tab w:val="left" w:pos="3705"/>
        </w:tabs>
        <w:spacing w:before="120"/>
        <w:ind w:left="3705" w:hanging="866"/>
        <w:rPr>
          <w:sz w:val="24"/>
        </w:rPr>
      </w:pPr>
      <w:r w:rsidRPr="00150EDC">
        <w:rPr>
          <w:sz w:val="24"/>
        </w:rPr>
        <w:t>UK</w:t>
      </w:r>
      <w:r w:rsidRPr="00150EDC">
        <w:rPr>
          <w:spacing w:val="-4"/>
          <w:sz w:val="24"/>
        </w:rPr>
        <w:t xml:space="preserve"> </w:t>
      </w:r>
      <w:r w:rsidRPr="00150EDC">
        <w:rPr>
          <w:sz w:val="24"/>
        </w:rPr>
        <w:t>Public</w:t>
      </w:r>
      <w:r w:rsidRPr="00150EDC">
        <w:rPr>
          <w:spacing w:val="-3"/>
          <w:sz w:val="24"/>
        </w:rPr>
        <w:t xml:space="preserve"> </w:t>
      </w:r>
      <w:r w:rsidRPr="00150EDC">
        <w:rPr>
          <w:sz w:val="24"/>
        </w:rPr>
        <w:t>Sector</w:t>
      </w:r>
      <w:r w:rsidRPr="00150EDC">
        <w:rPr>
          <w:spacing w:val="-4"/>
          <w:sz w:val="24"/>
        </w:rPr>
        <w:t xml:space="preserve"> </w:t>
      </w:r>
      <w:r w:rsidRPr="00150EDC">
        <w:rPr>
          <w:sz w:val="24"/>
        </w:rPr>
        <w:t>Business;</w:t>
      </w:r>
      <w:r w:rsidRPr="00150EDC">
        <w:rPr>
          <w:spacing w:val="-4"/>
          <w:sz w:val="24"/>
        </w:rPr>
        <w:t xml:space="preserve"> </w:t>
      </w:r>
      <w:r w:rsidRPr="00150EDC">
        <w:rPr>
          <w:spacing w:val="-5"/>
          <w:sz w:val="24"/>
        </w:rPr>
        <w:t>and</w:t>
      </w:r>
    </w:p>
    <w:p w14:paraId="4C853866" w14:textId="77777777" w:rsidR="004C7180" w:rsidRPr="00150EDC" w:rsidRDefault="00CF0754" w:rsidP="00B320C7">
      <w:pPr>
        <w:pStyle w:val="ListParagraph"/>
        <w:numPr>
          <w:ilvl w:val="2"/>
          <w:numId w:val="49"/>
        </w:numPr>
        <w:tabs>
          <w:tab w:val="left" w:pos="3705"/>
        </w:tabs>
        <w:spacing w:before="120"/>
        <w:ind w:left="3705" w:hanging="866"/>
        <w:rPr>
          <w:sz w:val="24"/>
        </w:rPr>
      </w:pPr>
      <w:r w:rsidRPr="00150EDC">
        <w:rPr>
          <w:sz w:val="24"/>
        </w:rPr>
        <w:t>UK</w:t>
      </w:r>
      <w:r w:rsidRPr="00150EDC">
        <w:rPr>
          <w:spacing w:val="-3"/>
          <w:sz w:val="24"/>
        </w:rPr>
        <w:t xml:space="preserve"> </w:t>
      </w:r>
      <w:r w:rsidRPr="00150EDC">
        <w:rPr>
          <w:sz w:val="24"/>
        </w:rPr>
        <w:t>Public</w:t>
      </w:r>
      <w:r w:rsidRPr="00150EDC">
        <w:rPr>
          <w:spacing w:val="-3"/>
          <w:sz w:val="24"/>
        </w:rPr>
        <w:t xml:space="preserve"> </w:t>
      </w:r>
      <w:r w:rsidRPr="00150EDC">
        <w:rPr>
          <w:sz w:val="24"/>
        </w:rPr>
        <w:t>Sector/CNI</w:t>
      </w:r>
      <w:r w:rsidRPr="00150EDC">
        <w:rPr>
          <w:spacing w:val="-3"/>
          <w:sz w:val="24"/>
        </w:rPr>
        <w:t xml:space="preserve"> </w:t>
      </w:r>
      <w:r w:rsidRPr="00150EDC">
        <w:rPr>
          <w:sz w:val="24"/>
        </w:rPr>
        <w:t>Contract</w:t>
      </w:r>
      <w:r w:rsidRPr="00150EDC">
        <w:rPr>
          <w:spacing w:val="-2"/>
          <w:sz w:val="24"/>
        </w:rPr>
        <w:t xml:space="preserve"> Information.</w:t>
      </w:r>
    </w:p>
    <w:p w14:paraId="2DD18C0E" w14:textId="77777777" w:rsidR="004C7180" w:rsidRPr="00150EDC" w:rsidRDefault="004C7180">
      <w:pPr>
        <w:rPr>
          <w:sz w:val="24"/>
        </w:rPr>
        <w:sectPr w:rsidR="004C7180" w:rsidRPr="00150EDC">
          <w:pgSz w:w="11910" w:h="16840"/>
          <w:pgMar w:top="1380" w:right="0" w:bottom="1380" w:left="40" w:header="715" w:footer="1192" w:gutter="0"/>
          <w:cols w:space="720"/>
        </w:sectPr>
      </w:pPr>
    </w:p>
    <w:p w14:paraId="5AF6B73F" w14:textId="77777777" w:rsidR="004C7180" w:rsidRPr="00150EDC" w:rsidRDefault="004C7180">
      <w:pPr>
        <w:pStyle w:val="BodyText"/>
        <w:spacing w:before="4"/>
        <w:rPr>
          <w:sz w:val="12"/>
        </w:rPr>
      </w:pPr>
    </w:p>
    <w:p w14:paraId="45E0D4A3" w14:textId="77777777" w:rsidR="004C7180" w:rsidRPr="00150EDC" w:rsidRDefault="00CF0754">
      <w:pPr>
        <w:pStyle w:val="Heading2"/>
      </w:pPr>
      <w:r w:rsidRPr="00150EDC">
        <w:t>Part</w:t>
      </w:r>
      <w:r w:rsidRPr="00150EDC">
        <w:rPr>
          <w:spacing w:val="-10"/>
        </w:rPr>
        <w:t xml:space="preserve"> </w:t>
      </w:r>
      <w:r w:rsidRPr="00150EDC">
        <w:t>B:</w:t>
      </w:r>
      <w:r w:rsidRPr="00150EDC">
        <w:rPr>
          <w:spacing w:val="72"/>
        </w:rPr>
        <w:t xml:space="preserve"> </w:t>
      </w:r>
      <w:r w:rsidRPr="00150EDC">
        <w:t>Corporate</w:t>
      </w:r>
      <w:r w:rsidRPr="00150EDC">
        <w:rPr>
          <w:spacing w:val="-9"/>
        </w:rPr>
        <w:t xml:space="preserve"> </w:t>
      </w:r>
      <w:r w:rsidRPr="00150EDC">
        <w:t>Resolution</w:t>
      </w:r>
      <w:r w:rsidRPr="00150EDC">
        <w:rPr>
          <w:spacing w:val="-8"/>
        </w:rPr>
        <w:t xml:space="preserve"> </w:t>
      </w:r>
      <w:r w:rsidRPr="00150EDC">
        <w:rPr>
          <w:spacing w:val="-2"/>
        </w:rPr>
        <w:t>Planning</w:t>
      </w:r>
    </w:p>
    <w:p w14:paraId="5D4A4881" w14:textId="77777777" w:rsidR="004C7180" w:rsidRPr="00150EDC" w:rsidRDefault="00CF0754" w:rsidP="00B320C7">
      <w:pPr>
        <w:pStyle w:val="Heading4"/>
        <w:numPr>
          <w:ilvl w:val="0"/>
          <w:numId w:val="45"/>
        </w:numPr>
        <w:tabs>
          <w:tab w:val="left" w:pos="2119"/>
        </w:tabs>
        <w:spacing w:before="240"/>
        <w:ind w:left="2119" w:hanging="719"/>
        <w:jc w:val="both"/>
      </w:pPr>
      <w:r w:rsidRPr="00150EDC">
        <w:t>Service</w:t>
      </w:r>
      <w:r w:rsidRPr="00150EDC">
        <w:rPr>
          <w:spacing w:val="-4"/>
        </w:rPr>
        <w:t xml:space="preserve"> </w:t>
      </w:r>
      <w:r w:rsidRPr="00150EDC">
        <w:t>Status</w:t>
      </w:r>
      <w:r w:rsidRPr="00150EDC">
        <w:rPr>
          <w:spacing w:val="-1"/>
        </w:rPr>
        <w:t xml:space="preserve"> </w:t>
      </w:r>
      <w:r w:rsidRPr="00150EDC">
        <w:t>and</w:t>
      </w:r>
      <w:r w:rsidRPr="00150EDC">
        <w:rPr>
          <w:spacing w:val="-5"/>
        </w:rPr>
        <w:t xml:space="preserve"> </w:t>
      </w:r>
      <w:r w:rsidRPr="00150EDC">
        <w:t>Supplier</w:t>
      </w:r>
      <w:r w:rsidRPr="00150EDC">
        <w:rPr>
          <w:spacing w:val="-2"/>
        </w:rPr>
        <w:t xml:space="preserve"> Status</w:t>
      </w:r>
    </w:p>
    <w:p w14:paraId="05CC6E29" w14:textId="77777777" w:rsidR="004C7180" w:rsidRPr="00150EDC" w:rsidRDefault="004C7180">
      <w:pPr>
        <w:pStyle w:val="BodyText"/>
        <w:spacing w:before="10"/>
        <w:rPr>
          <w:b/>
          <w:sz w:val="20"/>
        </w:rPr>
      </w:pPr>
    </w:p>
    <w:p w14:paraId="0EAAC096" w14:textId="77777777" w:rsidR="004C7180" w:rsidRPr="00150EDC" w:rsidRDefault="00CF0754" w:rsidP="00B320C7">
      <w:pPr>
        <w:pStyle w:val="ListParagraph"/>
        <w:numPr>
          <w:ilvl w:val="1"/>
          <w:numId w:val="45"/>
        </w:numPr>
        <w:tabs>
          <w:tab w:val="left" w:pos="2117"/>
        </w:tabs>
        <w:ind w:left="2117" w:hanging="717"/>
        <w:jc w:val="both"/>
        <w:rPr>
          <w:sz w:val="24"/>
        </w:rPr>
      </w:pPr>
      <w:r w:rsidRPr="00150EDC">
        <w:rPr>
          <w:sz w:val="24"/>
        </w:rPr>
        <w:t>This</w:t>
      </w:r>
      <w:r w:rsidRPr="00150EDC">
        <w:rPr>
          <w:spacing w:val="-2"/>
          <w:sz w:val="24"/>
        </w:rPr>
        <w:t xml:space="preserve"> </w:t>
      </w:r>
      <w:r w:rsidRPr="00150EDC">
        <w:rPr>
          <w:sz w:val="24"/>
        </w:rPr>
        <w:t>Contract</w:t>
      </w:r>
      <w:r w:rsidRPr="00150EDC">
        <w:rPr>
          <w:spacing w:val="-4"/>
          <w:sz w:val="24"/>
        </w:rPr>
        <w:t xml:space="preserve"> </w:t>
      </w:r>
      <w:r w:rsidRPr="00150EDC">
        <w:rPr>
          <w:sz w:val="24"/>
        </w:rPr>
        <w:t>is</w:t>
      </w:r>
      <w:r w:rsidRPr="00150EDC">
        <w:rPr>
          <w:spacing w:val="-1"/>
          <w:sz w:val="24"/>
        </w:rPr>
        <w:t xml:space="preserve"> </w:t>
      </w:r>
      <w:r w:rsidRPr="00150EDC">
        <w:rPr>
          <w:sz w:val="24"/>
        </w:rPr>
        <w:t>not</w:t>
      </w:r>
      <w:r w:rsidRPr="00150EDC">
        <w:rPr>
          <w:spacing w:val="-1"/>
          <w:sz w:val="24"/>
        </w:rPr>
        <w:t xml:space="preserve"> </w:t>
      </w:r>
      <w:r w:rsidRPr="00150EDC">
        <w:rPr>
          <w:sz w:val="24"/>
        </w:rPr>
        <w:t>a</w:t>
      </w:r>
      <w:r w:rsidRPr="00150EDC">
        <w:rPr>
          <w:spacing w:val="-3"/>
          <w:sz w:val="24"/>
        </w:rPr>
        <w:t xml:space="preserve"> </w:t>
      </w:r>
      <w:r w:rsidRPr="00150EDC">
        <w:rPr>
          <w:sz w:val="24"/>
        </w:rPr>
        <w:t>Critical</w:t>
      </w:r>
      <w:r w:rsidRPr="00150EDC">
        <w:rPr>
          <w:spacing w:val="-2"/>
          <w:sz w:val="24"/>
        </w:rPr>
        <w:t xml:space="preserve"> </w:t>
      </w:r>
      <w:r w:rsidRPr="00150EDC">
        <w:rPr>
          <w:sz w:val="24"/>
        </w:rPr>
        <w:t xml:space="preserve">Service </w:t>
      </w:r>
      <w:r w:rsidRPr="00150EDC">
        <w:rPr>
          <w:spacing w:val="-2"/>
          <w:sz w:val="24"/>
        </w:rPr>
        <w:t>Contract.</w:t>
      </w:r>
    </w:p>
    <w:p w14:paraId="47AAFBFB" w14:textId="77777777" w:rsidR="004C7180" w:rsidRPr="00150EDC" w:rsidRDefault="00CF0754" w:rsidP="00B320C7">
      <w:pPr>
        <w:pStyle w:val="ListParagraph"/>
        <w:numPr>
          <w:ilvl w:val="1"/>
          <w:numId w:val="45"/>
        </w:numPr>
        <w:tabs>
          <w:tab w:val="left" w:pos="2117"/>
          <w:tab w:val="left" w:pos="2120"/>
        </w:tabs>
        <w:spacing w:before="120"/>
        <w:ind w:right="1434"/>
        <w:jc w:val="both"/>
        <w:rPr>
          <w:sz w:val="24"/>
        </w:rPr>
      </w:pPr>
      <w:r w:rsidRPr="00150EDC">
        <w:rPr>
          <w:sz w:val="24"/>
        </w:rPr>
        <w:t>The Supplier shall notify the Buyer in writing within 5 Working Days of the Effective Date and throughout the Order Contract Period within 120 days</w:t>
      </w:r>
      <w:r w:rsidRPr="00150EDC">
        <w:rPr>
          <w:spacing w:val="-1"/>
          <w:sz w:val="24"/>
        </w:rPr>
        <w:t xml:space="preserve"> </w:t>
      </w:r>
      <w:r w:rsidRPr="00150EDC">
        <w:rPr>
          <w:sz w:val="24"/>
        </w:rPr>
        <w:t>after each Accounting Reference Date as to whether or not it is a Public Sector Dependent Supplier.</w:t>
      </w:r>
    </w:p>
    <w:p w14:paraId="05919C96" w14:textId="77777777" w:rsidR="004C7180" w:rsidRPr="00150EDC" w:rsidRDefault="004C7180">
      <w:pPr>
        <w:pStyle w:val="BodyText"/>
        <w:spacing w:before="10"/>
        <w:rPr>
          <w:sz w:val="20"/>
        </w:rPr>
      </w:pPr>
    </w:p>
    <w:p w14:paraId="3E30D626" w14:textId="77777777" w:rsidR="004C7180" w:rsidRPr="00150EDC" w:rsidRDefault="00CF0754" w:rsidP="00B320C7">
      <w:pPr>
        <w:pStyle w:val="Heading4"/>
        <w:numPr>
          <w:ilvl w:val="0"/>
          <w:numId w:val="45"/>
        </w:numPr>
        <w:tabs>
          <w:tab w:val="left" w:pos="2119"/>
        </w:tabs>
        <w:ind w:left="2119" w:hanging="719"/>
        <w:jc w:val="both"/>
      </w:pPr>
      <w:r w:rsidRPr="00150EDC">
        <w:t>Provision</w:t>
      </w:r>
      <w:r w:rsidRPr="00150EDC">
        <w:rPr>
          <w:spacing w:val="-7"/>
        </w:rPr>
        <w:t xml:space="preserve"> </w:t>
      </w:r>
      <w:r w:rsidRPr="00150EDC">
        <w:t>of</w:t>
      </w:r>
      <w:r w:rsidRPr="00150EDC">
        <w:rPr>
          <w:spacing w:val="-5"/>
        </w:rPr>
        <w:t xml:space="preserve"> </w:t>
      </w:r>
      <w:r w:rsidRPr="00150EDC">
        <w:t>Corporate</w:t>
      </w:r>
      <w:r w:rsidRPr="00150EDC">
        <w:rPr>
          <w:spacing w:val="-3"/>
        </w:rPr>
        <w:t xml:space="preserve"> </w:t>
      </w:r>
      <w:r w:rsidRPr="00150EDC">
        <w:t>Resolution</w:t>
      </w:r>
      <w:r w:rsidRPr="00150EDC">
        <w:rPr>
          <w:spacing w:val="-4"/>
        </w:rPr>
        <w:t xml:space="preserve"> </w:t>
      </w:r>
      <w:r w:rsidRPr="00150EDC">
        <w:t>Planning</w:t>
      </w:r>
      <w:r w:rsidRPr="00150EDC">
        <w:rPr>
          <w:spacing w:val="-4"/>
        </w:rPr>
        <w:t xml:space="preserve"> </w:t>
      </w:r>
      <w:r w:rsidRPr="00150EDC">
        <w:rPr>
          <w:spacing w:val="-2"/>
        </w:rPr>
        <w:t>Information</w:t>
      </w:r>
    </w:p>
    <w:p w14:paraId="7294375C" w14:textId="77777777" w:rsidR="004C7180" w:rsidRPr="00150EDC" w:rsidRDefault="004C7180">
      <w:pPr>
        <w:pStyle w:val="BodyText"/>
        <w:spacing w:before="10"/>
        <w:rPr>
          <w:b/>
          <w:sz w:val="20"/>
        </w:rPr>
      </w:pPr>
    </w:p>
    <w:p w14:paraId="3B1CB02B" w14:textId="77777777" w:rsidR="004C7180" w:rsidRPr="00150EDC" w:rsidRDefault="00CF0754" w:rsidP="00B320C7">
      <w:pPr>
        <w:pStyle w:val="ListParagraph"/>
        <w:numPr>
          <w:ilvl w:val="1"/>
          <w:numId w:val="45"/>
        </w:numPr>
        <w:tabs>
          <w:tab w:val="left" w:pos="2116"/>
          <w:tab w:val="left" w:pos="2119"/>
        </w:tabs>
        <w:ind w:left="2119" w:right="1432"/>
        <w:jc w:val="both"/>
        <w:rPr>
          <w:sz w:val="24"/>
        </w:rPr>
      </w:pPr>
      <w:r w:rsidRPr="00150EDC">
        <w:rPr>
          <w:sz w:val="24"/>
        </w:rPr>
        <w:t>Paragraphs 2 to 4 of this Part B shall apply if the Contract has been specified as</w:t>
      </w:r>
      <w:r w:rsidRPr="00150EDC">
        <w:rPr>
          <w:spacing w:val="-12"/>
          <w:sz w:val="24"/>
        </w:rPr>
        <w:t xml:space="preserve"> </w:t>
      </w:r>
      <w:r w:rsidRPr="00150EDC">
        <w:rPr>
          <w:sz w:val="24"/>
        </w:rPr>
        <w:t>a</w:t>
      </w:r>
      <w:r w:rsidRPr="00150EDC">
        <w:rPr>
          <w:spacing w:val="-11"/>
          <w:sz w:val="24"/>
        </w:rPr>
        <w:t xml:space="preserve"> </w:t>
      </w:r>
      <w:r w:rsidRPr="00150EDC">
        <w:rPr>
          <w:sz w:val="24"/>
        </w:rPr>
        <w:t>Critical</w:t>
      </w:r>
      <w:r w:rsidRPr="00150EDC">
        <w:rPr>
          <w:spacing w:val="-12"/>
          <w:sz w:val="24"/>
        </w:rPr>
        <w:t xml:space="preserve"> </w:t>
      </w:r>
      <w:r w:rsidRPr="00150EDC">
        <w:rPr>
          <w:sz w:val="24"/>
        </w:rPr>
        <w:t>Service</w:t>
      </w:r>
      <w:r w:rsidRPr="00150EDC">
        <w:rPr>
          <w:spacing w:val="-11"/>
          <w:sz w:val="24"/>
        </w:rPr>
        <w:t xml:space="preserve"> </w:t>
      </w:r>
      <w:r w:rsidRPr="00150EDC">
        <w:rPr>
          <w:sz w:val="24"/>
        </w:rPr>
        <w:t>Contract</w:t>
      </w:r>
      <w:r w:rsidRPr="00150EDC">
        <w:rPr>
          <w:spacing w:val="-13"/>
          <w:sz w:val="24"/>
        </w:rPr>
        <w:t xml:space="preserve"> </w:t>
      </w:r>
      <w:r w:rsidRPr="00150EDC">
        <w:rPr>
          <w:sz w:val="24"/>
        </w:rPr>
        <w:t>under</w:t>
      </w:r>
      <w:r w:rsidRPr="00150EDC">
        <w:rPr>
          <w:spacing w:val="-12"/>
          <w:sz w:val="24"/>
        </w:rPr>
        <w:t xml:space="preserve"> </w:t>
      </w:r>
      <w:r w:rsidRPr="00150EDC">
        <w:rPr>
          <w:sz w:val="24"/>
        </w:rPr>
        <w:t>Paragraph</w:t>
      </w:r>
      <w:r w:rsidRPr="00150EDC">
        <w:rPr>
          <w:spacing w:val="-11"/>
          <w:sz w:val="24"/>
        </w:rPr>
        <w:t xml:space="preserve"> </w:t>
      </w:r>
      <w:r w:rsidRPr="00150EDC">
        <w:rPr>
          <w:sz w:val="24"/>
        </w:rPr>
        <w:t>1.1</w:t>
      </w:r>
      <w:r w:rsidRPr="00150EDC">
        <w:rPr>
          <w:spacing w:val="-13"/>
          <w:sz w:val="24"/>
        </w:rPr>
        <w:t xml:space="preserve"> </w:t>
      </w:r>
      <w:r w:rsidRPr="00150EDC">
        <w:rPr>
          <w:sz w:val="24"/>
        </w:rPr>
        <w:t>of</w:t>
      </w:r>
      <w:r w:rsidRPr="00150EDC">
        <w:rPr>
          <w:spacing w:val="-11"/>
          <w:sz w:val="24"/>
        </w:rPr>
        <w:t xml:space="preserve"> </w:t>
      </w:r>
      <w:r w:rsidRPr="00150EDC">
        <w:rPr>
          <w:sz w:val="24"/>
        </w:rPr>
        <w:t>this</w:t>
      </w:r>
      <w:r w:rsidRPr="00150EDC">
        <w:rPr>
          <w:spacing w:val="-12"/>
          <w:sz w:val="24"/>
        </w:rPr>
        <w:t xml:space="preserve"> </w:t>
      </w:r>
      <w:r w:rsidRPr="00150EDC">
        <w:rPr>
          <w:sz w:val="24"/>
        </w:rPr>
        <w:t>Part</w:t>
      </w:r>
      <w:r w:rsidRPr="00150EDC">
        <w:rPr>
          <w:spacing w:val="-11"/>
          <w:sz w:val="24"/>
        </w:rPr>
        <w:t xml:space="preserve"> </w:t>
      </w:r>
      <w:r w:rsidRPr="00150EDC">
        <w:rPr>
          <w:sz w:val="24"/>
        </w:rPr>
        <w:t>B</w:t>
      </w:r>
      <w:r w:rsidRPr="00150EDC">
        <w:rPr>
          <w:spacing w:val="-11"/>
          <w:sz w:val="24"/>
        </w:rPr>
        <w:t xml:space="preserve"> </w:t>
      </w:r>
      <w:r w:rsidRPr="00150EDC">
        <w:rPr>
          <w:sz w:val="24"/>
        </w:rPr>
        <w:t>or</w:t>
      </w:r>
      <w:r w:rsidRPr="00150EDC">
        <w:rPr>
          <w:spacing w:val="-12"/>
          <w:sz w:val="24"/>
        </w:rPr>
        <w:t xml:space="preserve"> </w:t>
      </w:r>
      <w:r w:rsidRPr="00150EDC">
        <w:rPr>
          <w:sz w:val="24"/>
        </w:rPr>
        <w:t>the</w:t>
      </w:r>
      <w:r w:rsidRPr="00150EDC">
        <w:rPr>
          <w:spacing w:val="-11"/>
          <w:sz w:val="24"/>
        </w:rPr>
        <w:t xml:space="preserve"> </w:t>
      </w:r>
      <w:r w:rsidRPr="00150EDC">
        <w:rPr>
          <w:sz w:val="24"/>
        </w:rPr>
        <w:t>Supplier is or becomes a Public Sector Dependent Supplier.</w:t>
      </w:r>
    </w:p>
    <w:p w14:paraId="569F4340" w14:textId="77777777" w:rsidR="004C7180" w:rsidRPr="00150EDC" w:rsidRDefault="00CF0754" w:rsidP="00B320C7">
      <w:pPr>
        <w:pStyle w:val="ListParagraph"/>
        <w:numPr>
          <w:ilvl w:val="1"/>
          <w:numId w:val="45"/>
        </w:numPr>
        <w:tabs>
          <w:tab w:val="left" w:pos="2116"/>
        </w:tabs>
        <w:spacing w:before="120"/>
        <w:ind w:left="2116" w:hanging="717"/>
        <w:jc w:val="both"/>
        <w:rPr>
          <w:sz w:val="24"/>
        </w:rPr>
      </w:pPr>
      <w:r w:rsidRPr="00150EDC">
        <w:rPr>
          <w:sz w:val="24"/>
        </w:rPr>
        <w:t>Subject</w:t>
      </w:r>
      <w:r w:rsidRPr="00150EDC">
        <w:rPr>
          <w:spacing w:val="-3"/>
          <w:sz w:val="24"/>
        </w:rPr>
        <w:t xml:space="preserve"> </w:t>
      </w:r>
      <w:r w:rsidRPr="00150EDC">
        <w:rPr>
          <w:sz w:val="24"/>
        </w:rPr>
        <w:t>to</w:t>
      </w:r>
      <w:r w:rsidRPr="00150EDC">
        <w:rPr>
          <w:spacing w:val="-2"/>
          <w:sz w:val="24"/>
        </w:rPr>
        <w:t xml:space="preserve"> </w:t>
      </w:r>
      <w:r w:rsidRPr="00150EDC">
        <w:rPr>
          <w:sz w:val="24"/>
        </w:rPr>
        <w:t>Paragraphs</w:t>
      </w:r>
      <w:r w:rsidRPr="00150EDC">
        <w:rPr>
          <w:spacing w:val="-6"/>
          <w:sz w:val="24"/>
        </w:rPr>
        <w:t xml:space="preserve"> </w:t>
      </w:r>
      <w:r w:rsidRPr="00150EDC">
        <w:rPr>
          <w:sz w:val="24"/>
        </w:rPr>
        <w:t>2.6,</w:t>
      </w:r>
      <w:r w:rsidRPr="00150EDC">
        <w:rPr>
          <w:spacing w:val="-3"/>
          <w:sz w:val="24"/>
        </w:rPr>
        <w:t xml:space="preserve"> </w:t>
      </w:r>
      <w:r w:rsidRPr="00150EDC">
        <w:rPr>
          <w:sz w:val="24"/>
        </w:rPr>
        <w:t>2.10 and</w:t>
      </w:r>
      <w:r w:rsidRPr="00150EDC">
        <w:rPr>
          <w:spacing w:val="-2"/>
          <w:sz w:val="24"/>
        </w:rPr>
        <w:t xml:space="preserve"> </w:t>
      </w:r>
      <w:r w:rsidRPr="00150EDC">
        <w:rPr>
          <w:sz w:val="24"/>
        </w:rPr>
        <w:t>2.11 of</w:t>
      </w:r>
      <w:r w:rsidRPr="00150EDC">
        <w:rPr>
          <w:spacing w:val="-3"/>
          <w:sz w:val="24"/>
        </w:rPr>
        <w:t xml:space="preserve"> </w:t>
      </w:r>
      <w:r w:rsidRPr="00150EDC">
        <w:rPr>
          <w:sz w:val="24"/>
        </w:rPr>
        <w:t>this</w:t>
      </w:r>
      <w:r w:rsidRPr="00150EDC">
        <w:rPr>
          <w:spacing w:val="-1"/>
          <w:sz w:val="24"/>
        </w:rPr>
        <w:t xml:space="preserve"> </w:t>
      </w:r>
      <w:r w:rsidRPr="00150EDC">
        <w:rPr>
          <w:sz w:val="24"/>
        </w:rPr>
        <w:t xml:space="preserve">Part </w:t>
      </w:r>
      <w:r w:rsidRPr="00150EDC">
        <w:rPr>
          <w:spacing w:val="-5"/>
          <w:sz w:val="24"/>
        </w:rPr>
        <w:t>B:</w:t>
      </w:r>
    </w:p>
    <w:p w14:paraId="36E3E217" w14:textId="77777777" w:rsidR="004C7180" w:rsidRPr="00150EDC" w:rsidRDefault="00CF0754" w:rsidP="00B320C7">
      <w:pPr>
        <w:pStyle w:val="ListParagraph"/>
        <w:numPr>
          <w:ilvl w:val="2"/>
          <w:numId w:val="45"/>
        </w:numPr>
        <w:tabs>
          <w:tab w:val="left" w:pos="2837"/>
          <w:tab w:val="left" w:pos="2839"/>
        </w:tabs>
        <w:spacing w:before="120"/>
        <w:ind w:left="2839" w:right="1822"/>
        <w:rPr>
          <w:sz w:val="24"/>
        </w:rPr>
      </w:pPr>
      <w:r w:rsidRPr="00150EDC">
        <w:rPr>
          <w:sz w:val="24"/>
        </w:rPr>
        <w:t>where the Contract is a Critical Service Contract, the Supplier shall provide</w:t>
      </w:r>
      <w:r w:rsidRPr="00150EDC">
        <w:rPr>
          <w:spacing w:val="-3"/>
          <w:sz w:val="24"/>
        </w:rPr>
        <w:t xml:space="preserve"> </w:t>
      </w:r>
      <w:r w:rsidRPr="00150EDC">
        <w:rPr>
          <w:sz w:val="24"/>
        </w:rPr>
        <w:t>the</w:t>
      </w:r>
      <w:r w:rsidRPr="00150EDC">
        <w:rPr>
          <w:spacing w:val="-5"/>
          <w:sz w:val="24"/>
        </w:rPr>
        <w:t xml:space="preserve"> </w:t>
      </w:r>
      <w:r w:rsidRPr="00150EDC">
        <w:rPr>
          <w:sz w:val="24"/>
        </w:rPr>
        <w:t>Appropriate</w:t>
      </w:r>
      <w:r w:rsidRPr="00150EDC">
        <w:rPr>
          <w:spacing w:val="-3"/>
          <w:sz w:val="24"/>
        </w:rPr>
        <w:t xml:space="preserve"> </w:t>
      </w:r>
      <w:r w:rsidRPr="00150EDC">
        <w:rPr>
          <w:sz w:val="24"/>
        </w:rPr>
        <w:t>Authority</w:t>
      </w:r>
      <w:r w:rsidRPr="00150EDC">
        <w:rPr>
          <w:spacing w:val="-6"/>
          <w:sz w:val="24"/>
        </w:rPr>
        <w:t xml:space="preserve"> </w:t>
      </w:r>
      <w:r w:rsidRPr="00150EDC">
        <w:rPr>
          <w:sz w:val="24"/>
        </w:rPr>
        <w:t>or</w:t>
      </w:r>
      <w:r w:rsidRPr="00150EDC">
        <w:rPr>
          <w:spacing w:val="-5"/>
          <w:sz w:val="24"/>
        </w:rPr>
        <w:t xml:space="preserve"> </w:t>
      </w:r>
      <w:r w:rsidRPr="00150EDC">
        <w:rPr>
          <w:sz w:val="24"/>
        </w:rPr>
        <w:t>Appropriate</w:t>
      </w:r>
      <w:r w:rsidRPr="00150EDC">
        <w:rPr>
          <w:spacing w:val="-3"/>
          <w:sz w:val="24"/>
        </w:rPr>
        <w:t xml:space="preserve"> </w:t>
      </w:r>
      <w:r w:rsidRPr="00150EDC">
        <w:rPr>
          <w:sz w:val="24"/>
        </w:rPr>
        <w:t>Authorities with</w:t>
      </w:r>
      <w:r w:rsidRPr="00150EDC">
        <w:rPr>
          <w:spacing w:val="-5"/>
          <w:sz w:val="24"/>
        </w:rPr>
        <w:t xml:space="preserve"> </w:t>
      </w:r>
      <w:r w:rsidRPr="00150EDC">
        <w:rPr>
          <w:sz w:val="24"/>
        </w:rPr>
        <w:t>the CRP Information within 60 days of the Effective Date; and</w:t>
      </w:r>
    </w:p>
    <w:p w14:paraId="5F655F26" w14:textId="77777777" w:rsidR="004C7180" w:rsidRPr="00150EDC" w:rsidRDefault="00CF0754" w:rsidP="00B320C7">
      <w:pPr>
        <w:pStyle w:val="ListParagraph"/>
        <w:numPr>
          <w:ilvl w:val="2"/>
          <w:numId w:val="45"/>
        </w:numPr>
        <w:tabs>
          <w:tab w:val="left" w:pos="2838"/>
          <w:tab w:val="left" w:pos="2840"/>
        </w:tabs>
        <w:spacing w:before="120"/>
        <w:ind w:right="1535"/>
        <w:rPr>
          <w:sz w:val="24"/>
        </w:rPr>
      </w:pPr>
      <w:r w:rsidRPr="00150EDC">
        <w:rPr>
          <w:sz w:val="24"/>
        </w:rPr>
        <w:t>except where it has already been provided, where the Supplier is a Public Sector Dependent Supplier, it shall provide the Appropriate Authority</w:t>
      </w:r>
      <w:r w:rsidRPr="00150EDC">
        <w:rPr>
          <w:spacing w:val="-4"/>
          <w:sz w:val="24"/>
        </w:rPr>
        <w:t xml:space="preserve"> </w:t>
      </w:r>
      <w:r w:rsidRPr="00150EDC">
        <w:rPr>
          <w:sz w:val="24"/>
        </w:rPr>
        <w:t>or</w:t>
      </w:r>
      <w:r w:rsidRPr="00150EDC">
        <w:rPr>
          <w:spacing w:val="-5"/>
          <w:sz w:val="24"/>
        </w:rPr>
        <w:t xml:space="preserve"> </w:t>
      </w:r>
      <w:r w:rsidRPr="00150EDC">
        <w:rPr>
          <w:sz w:val="24"/>
        </w:rPr>
        <w:t>Appropriate</w:t>
      </w:r>
      <w:r w:rsidRPr="00150EDC">
        <w:rPr>
          <w:spacing w:val="-3"/>
          <w:sz w:val="24"/>
        </w:rPr>
        <w:t xml:space="preserve"> </w:t>
      </w:r>
      <w:r w:rsidRPr="00150EDC">
        <w:rPr>
          <w:sz w:val="24"/>
        </w:rPr>
        <w:t>Authorities</w:t>
      </w:r>
      <w:r w:rsidRPr="00150EDC">
        <w:rPr>
          <w:spacing w:val="-4"/>
          <w:sz w:val="24"/>
        </w:rPr>
        <w:t xml:space="preserve"> </w:t>
      </w:r>
      <w:r w:rsidRPr="00150EDC">
        <w:rPr>
          <w:sz w:val="24"/>
        </w:rPr>
        <w:t>with</w:t>
      </w:r>
      <w:r w:rsidRPr="00150EDC">
        <w:rPr>
          <w:spacing w:val="-5"/>
          <w:sz w:val="24"/>
        </w:rPr>
        <w:t xml:space="preserve"> </w:t>
      </w:r>
      <w:r w:rsidRPr="00150EDC">
        <w:rPr>
          <w:sz w:val="24"/>
        </w:rPr>
        <w:t>the</w:t>
      </w:r>
      <w:r w:rsidRPr="00150EDC">
        <w:rPr>
          <w:spacing w:val="-5"/>
          <w:sz w:val="24"/>
        </w:rPr>
        <w:t xml:space="preserve"> </w:t>
      </w:r>
      <w:r w:rsidRPr="00150EDC">
        <w:rPr>
          <w:sz w:val="24"/>
        </w:rPr>
        <w:t>CRP</w:t>
      </w:r>
      <w:r w:rsidRPr="00150EDC">
        <w:rPr>
          <w:spacing w:val="-3"/>
          <w:sz w:val="24"/>
        </w:rPr>
        <w:t xml:space="preserve"> </w:t>
      </w:r>
      <w:r w:rsidRPr="00150EDC">
        <w:rPr>
          <w:sz w:val="24"/>
        </w:rPr>
        <w:t>Information</w:t>
      </w:r>
      <w:r w:rsidRPr="00150EDC">
        <w:rPr>
          <w:spacing w:val="-3"/>
          <w:sz w:val="24"/>
        </w:rPr>
        <w:t xml:space="preserve"> </w:t>
      </w:r>
      <w:r w:rsidRPr="00150EDC">
        <w:rPr>
          <w:sz w:val="24"/>
        </w:rPr>
        <w:t>within</w:t>
      </w:r>
      <w:r w:rsidRPr="00150EDC">
        <w:rPr>
          <w:spacing w:val="-5"/>
          <w:sz w:val="24"/>
        </w:rPr>
        <w:t xml:space="preserve"> </w:t>
      </w:r>
      <w:r w:rsidRPr="00150EDC">
        <w:rPr>
          <w:sz w:val="24"/>
        </w:rPr>
        <w:t>60 days of the date of the Appropriate Authority’s or Appropriate Authorities’ request.</w:t>
      </w:r>
    </w:p>
    <w:p w14:paraId="4F0029FE" w14:textId="77777777" w:rsidR="004C7180" w:rsidRPr="00150EDC" w:rsidRDefault="00CF0754" w:rsidP="00B320C7">
      <w:pPr>
        <w:pStyle w:val="ListParagraph"/>
        <w:numPr>
          <w:ilvl w:val="1"/>
          <w:numId w:val="45"/>
        </w:numPr>
        <w:tabs>
          <w:tab w:val="left" w:pos="2120"/>
        </w:tabs>
        <w:spacing w:before="120"/>
        <w:ind w:right="1435"/>
        <w:rPr>
          <w:sz w:val="24"/>
        </w:rPr>
      </w:pPr>
      <w:r w:rsidRPr="00150EDC">
        <w:rPr>
          <w:sz w:val="24"/>
        </w:rPr>
        <w:t>The</w:t>
      </w:r>
      <w:r w:rsidRPr="00150EDC">
        <w:rPr>
          <w:spacing w:val="40"/>
          <w:sz w:val="24"/>
        </w:rPr>
        <w:t xml:space="preserve"> </w:t>
      </w:r>
      <w:r w:rsidRPr="00150EDC">
        <w:rPr>
          <w:sz w:val="24"/>
        </w:rPr>
        <w:t>Supplier</w:t>
      </w:r>
      <w:r w:rsidRPr="00150EDC">
        <w:rPr>
          <w:spacing w:val="40"/>
          <w:sz w:val="24"/>
        </w:rPr>
        <w:t xml:space="preserve"> </w:t>
      </w:r>
      <w:r w:rsidRPr="00150EDC">
        <w:rPr>
          <w:sz w:val="24"/>
        </w:rPr>
        <w:t>shall</w:t>
      </w:r>
      <w:r w:rsidRPr="00150EDC">
        <w:rPr>
          <w:spacing w:val="40"/>
          <w:sz w:val="24"/>
        </w:rPr>
        <w:t xml:space="preserve"> </w:t>
      </w:r>
      <w:r w:rsidRPr="00150EDC">
        <w:rPr>
          <w:sz w:val="24"/>
        </w:rPr>
        <w:t>ensure</w:t>
      </w:r>
      <w:r w:rsidRPr="00150EDC">
        <w:rPr>
          <w:spacing w:val="40"/>
          <w:sz w:val="24"/>
        </w:rPr>
        <w:t xml:space="preserve"> </w:t>
      </w:r>
      <w:r w:rsidRPr="00150EDC">
        <w:rPr>
          <w:sz w:val="24"/>
        </w:rPr>
        <w:t>that</w:t>
      </w:r>
      <w:r w:rsidRPr="00150EDC">
        <w:rPr>
          <w:spacing w:val="40"/>
          <w:sz w:val="24"/>
        </w:rPr>
        <w:t xml:space="preserve"> </w:t>
      </w:r>
      <w:r w:rsidRPr="00150EDC">
        <w:rPr>
          <w:sz w:val="24"/>
        </w:rPr>
        <w:t>the</w:t>
      </w:r>
      <w:r w:rsidRPr="00150EDC">
        <w:rPr>
          <w:spacing w:val="40"/>
          <w:sz w:val="24"/>
        </w:rPr>
        <w:t xml:space="preserve"> </w:t>
      </w:r>
      <w:r w:rsidRPr="00150EDC">
        <w:rPr>
          <w:sz w:val="24"/>
        </w:rPr>
        <w:t>CRP</w:t>
      </w:r>
      <w:r w:rsidRPr="00150EDC">
        <w:rPr>
          <w:spacing w:val="40"/>
          <w:sz w:val="24"/>
        </w:rPr>
        <w:t xml:space="preserve"> </w:t>
      </w:r>
      <w:r w:rsidRPr="00150EDC">
        <w:rPr>
          <w:sz w:val="24"/>
        </w:rPr>
        <w:t>Information</w:t>
      </w:r>
      <w:r w:rsidRPr="00150EDC">
        <w:rPr>
          <w:spacing w:val="40"/>
          <w:sz w:val="24"/>
        </w:rPr>
        <w:t xml:space="preserve"> </w:t>
      </w:r>
      <w:r w:rsidRPr="00150EDC">
        <w:rPr>
          <w:sz w:val="24"/>
        </w:rPr>
        <w:t>provided</w:t>
      </w:r>
      <w:r w:rsidRPr="00150EDC">
        <w:rPr>
          <w:spacing w:val="40"/>
          <w:sz w:val="24"/>
        </w:rPr>
        <w:t xml:space="preserve"> </w:t>
      </w:r>
      <w:r w:rsidRPr="00150EDC">
        <w:rPr>
          <w:sz w:val="24"/>
        </w:rPr>
        <w:t>pursuant</w:t>
      </w:r>
      <w:r w:rsidRPr="00150EDC">
        <w:rPr>
          <w:spacing w:val="40"/>
          <w:sz w:val="24"/>
        </w:rPr>
        <w:t xml:space="preserve"> </w:t>
      </w:r>
      <w:r w:rsidRPr="00150EDC">
        <w:rPr>
          <w:sz w:val="24"/>
        </w:rPr>
        <w:t>to Paragraphs 2.2, 2.8 and 2.9 of this Part B:</w:t>
      </w:r>
    </w:p>
    <w:p w14:paraId="5457D269" w14:textId="77777777" w:rsidR="004C7180" w:rsidRPr="00150EDC" w:rsidRDefault="00CF0754" w:rsidP="00B320C7">
      <w:pPr>
        <w:pStyle w:val="ListParagraph"/>
        <w:numPr>
          <w:ilvl w:val="2"/>
          <w:numId w:val="45"/>
        </w:numPr>
        <w:tabs>
          <w:tab w:val="left" w:pos="2837"/>
        </w:tabs>
        <w:spacing w:before="120"/>
        <w:ind w:left="2837" w:hanging="718"/>
        <w:rPr>
          <w:sz w:val="24"/>
        </w:rPr>
      </w:pPr>
      <w:r w:rsidRPr="00150EDC">
        <w:rPr>
          <w:sz w:val="24"/>
        </w:rPr>
        <w:t>is</w:t>
      </w:r>
      <w:r w:rsidRPr="00150EDC">
        <w:rPr>
          <w:spacing w:val="-3"/>
          <w:sz w:val="24"/>
        </w:rPr>
        <w:t xml:space="preserve"> </w:t>
      </w:r>
      <w:r w:rsidRPr="00150EDC">
        <w:rPr>
          <w:sz w:val="24"/>
        </w:rPr>
        <w:t>full,</w:t>
      </w:r>
      <w:r w:rsidRPr="00150EDC">
        <w:rPr>
          <w:spacing w:val="-1"/>
          <w:sz w:val="24"/>
        </w:rPr>
        <w:t xml:space="preserve"> </w:t>
      </w:r>
      <w:r w:rsidRPr="00150EDC">
        <w:rPr>
          <w:sz w:val="24"/>
        </w:rPr>
        <w:t>comprehensive,</w:t>
      </w:r>
      <w:r w:rsidRPr="00150EDC">
        <w:rPr>
          <w:spacing w:val="-4"/>
          <w:sz w:val="24"/>
        </w:rPr>
        <w:t xml:space="preserve"> </w:t>
      </w:r>
      <w:r w:rsidRPr="00150EDC">
        <w:rPr>
          <w:sz w:val="24"/>
        </w:rPr>
        <w:t>accurate</w:t>
      </w:r>
      <w:r w:rsidRPr="00150EDC">
        <w:rPr>
          <w:spacing w:val="-4"/>
          <w:sz w:val="24"/>
        </w:rPr>
        <w:t xml:space="preserve"> </w:t>
      </w:r>
      <w:r w:rsidRPr="00150EDC">
        <w:rPr>
          <w:sz w:val="24"/>
        </w:rPr>
        <w:t>and</w:t>
      </w:r>
      <w:r w:rsidRPr="00150EDC">
        <w:rPr>
          <w:spacing w:val="-1"/>
          <w:sz w:val="24"/>
        </w:rPr>
        <w:t xml:space="preserve"> </w:t>
      </w:r>
      <w:r w:rsidRPr="00150EDC">
        <w:rPr>
          <w:sz w:val="24"/>
        </w:rPr>
        <w:t>up</w:t>
      </w:r>
      <w:r w:rsidRPr="00150EDC">
        <w:rPr>
          <w:spacing w:val="-1"/>
          <w:sz w:val="24"/>
        </w:rPr>
        <w:t xml:space="preserve"> </w:t>
      </w:r>
      <w:r w:rsidRPr="00150EDC">
        <w:rPr>
          <w:sz w:val="24"/>
        </w:rPr>
        <w:t>to</w:t>
      </w:r>
      <w:r w:rsidRPr="00150EDC">
        <w:rPr>
          <w:spacing w:val="-1"/>
          <w:sz w:val="24"/>
        </w:rPr>
        <w:t xml:space="preserve"> </w:t>
      </w:r>
      <w:r w:rsidRPr="00150EDC">
        <w:rPr>
          <w:spacing w:val="-2"/>
          <w:sz w:val="24"/>
        </w:rPr>
        <w:t>date;</w:t>
      </w:r>
    </w:p>
    <w:p w14:paraId="482FD784" w14:textId="77777777" w:rsidR="004C7180" w:rsidRPr="00150EDC" w:rsidRDefault="00CF0754" w:rsidP="00B320C7">
      <w:pPr>
        <w:pStyle w:val="ListParagraph"/>
        <w:numPr>
          <w:ilvl w:val="2"/>
          <w:numId w:val="45"/>
        </w:numPr>
        <w:tabs>
          <w:tab w:val="left" w:pos="2838"/>
        </w:tabs>
        <w:spacing w:before="120"/>
        <w:ind w:left="2838" w:hanging="718"/>
        <w:rPr>
          <w:sz w:val="24"/>
        </w:rPr>
      </w:pPr>
      <w:r w:rsidRPr="00150EDC">
        <w:rPr>
          <w:sz w:val="24"/>
        </w:rPr>
        <w:t>is</w:t>
      </w:r>
      <w:r w:rsidRPr="00150EDC">
        <w:rPr>
          <w:spacing w:val="-2"/>
          <w:sz w:val="24"/>
        </w:rPr>
        <w:t xml:space="preserve"> </w:t>
      </w:r>
      <w:r w:rsidRPr="00150EDC">
        <w:rPr>
          <w:sz w:val="24"/>
        </w:rPr>
        <w:t>split into</w:t>
      </w:r>
      <w:r w:rsidRPr="00150EDC">
        <w:rPr>
          <w:spacing w:val="-2"/>
          <w:sz w:val="24"/>
        </w:rPr>
        <w:t xml:space="preserve"> </w:t>
      </w:r>
      <w:r w:rsidRPr="00150EDC">
        <w:rPr>
          <w:sz w:val="24"/>
        </w:rPr>
        <w:t xml:space="preserve">two </w:t>
      </w:r>
      <w:r w:rsidRPr="00150EDC">
        <w:rPr>
          <w:spacing w:val="-2"/>
          <w:sz w:val="24"/>
        </w:rPr>
        <w:t>parts:</w:t>
      </w:r>
    </w:p>
    <w:p w14:paraId="6E6BC6D4" w14:textId="77777777" w:rsidR="004C7180" w:rsidRPr="00150EDC" w:rsidRDefault="00CF0754" w:rsidP="00B320C7">
      <w:pPr>
        <w:pStyle w:val="ListParagraph"/>
        <w:numPr>
          <w:ilvl w:val="3"/>
          <w:numId w:val="45"/>
        </w:numPr>
        <w:tabs>
          <w:tab w:val="left" w:pos="3384"/>
        </w:tabs>
        <w:spacing w:before="120"/>
        <w:ind w:hanging="578"/>
        <w:rPr>
          <w:sz w:val="24"/>
        </w:rPr>
      </w:pPr>
      <w:r w:rsidRPr="00150EDC">
        <w:rPr>
          <w:sz w:val="24"/>
        </w:rPr>
        <w:t>Group</w:t>
      </w:r>
      <w:r w:rsidRPr="00150EDC">
        <w:rPr>
          <w:spacing w:val="-6"/>
          <w:sz w:val="24"/>
        </w:rPr>
        <w:t xml:space="preserve"> </w:t>
      </w:r>
      <w:r w:rsidRPr="00150EDC">
        <w:rPr>
          <w:sz w:val="24"/>
        </w:rPr>
        <w:t>Structure</w:t>
      </w:r>
      <w:r w:rsidRPr="00150EDC">
        <w:rPr>
          <w:spacing w:val="-3"/>
          <w:sz w:val="24"/>
        </w:rPr>
        <w:t xml:space="preserve"> </w:t>
      </w:r>
      <w:r w:rsidRPr="00150EDC">
        <w:rPr>
          <w:sz w:val="24"/>
        </w:rPr>
        <w:t>Information</w:t>
      </w:r>
      <w:r w:rsidRPr="00150EDC">
        <w:rPr>
          <w:spacing w:val="-3"/>
          <w:sz w:val="24"/>
        </w:rPr>
        <w:t xml:space="preserve"> </w:t>
      </w:r>
      <w:r w:rsidRPr="00150EDC">
        <w:rPr>
          <w:sz w:val="24"/>
        </w:rPr>
        <w:t>and</w:t>
      </w:r>
      <w:r w:rsidRPr="00150EDC">
        <w:rPr>
          <w:spacing w:val="-4"/>
          <w:sz w:val="24"/>
        </w:rPr>
        <w:t xml:space="preserve"> </w:t>
      </w:r>
      <w:r w:rsidRPr="00150EDC">
        <w:rPr>
          <w:sz w:val="24"/>
        </w:rPr>
        <w:t>Resolution</w:t>
      </w:r>
      <w:r w:rsidRPr="00150EDC">
        <w:rPr>
          <w:spacing w:val="-2"/>
          <w:sz w:val="24"/>
        </w:rPr>
        <w:t xml:space="preserve"> Commentary;</w:t>
      </w:r>
    </w:p>
    <w:p w14:paraId="37B7B817" w14:textId="77777777" w:rsidR="004C7180" w:rsidRPr="00150EDC" w:rsidRDefault="00CF0754" w:rsidP="00B320C7">
      <w:pPr>
        <w:pStyle w:val="ListParagraph"/>
        <w:numPr>
          <w:ilvl w:val="3"/>
          <w:numId w:val="45"/>
        </w:numPr>
        <w:tabs>
          <w:tab w:val="left" w:pos="3384"/>
          <w:tab w:val="left" w:pos="3526"/>
          <w:tab w:val="left" w:pos="5215"/>
          <w:tab w:val="left" w:pos="6860"/>
          <w:tab w:val="left" w:pos="8146"/>
          <w:tab w:val="left" w:pos="8912"/>
          <w:tab w:val="left" w:pos="10227"/>
        </w:tabs>
        <w:spacing w:before="120"/>
        <w:ind w:left="3526" w:right="1434" w:hanging="720"/>
        <w:rPr>
          <w:sz w:val="24"/>
        </w:rPr>
      </w:pPr>
      <w:r w:rsidRPr="00150EDC">
        <w:rPr>
          <w:sz w:val="24"/>
        </w:rPr>
        <w:t>UK</w:t>
      </w:r>
      <w:r w:rsidRPr="00150EDC">
        <w:rPr>
          <w:spacing w:val="-7"/>
          <w:sz w:val="24"/>
        </w:rPr>
        <w:t xml:space="preserve"> </w:t>
      </w:r>
      <w:r w:rsidRPr="00150EDC">
        <w:rPr>
          <w:sz w:val="24"/>
        </w:rPr>
        <w:t>Public</w:t>
      </w:r>
      <w:r w:rsidRPr="00150EDC">
        <w:rPr>
          <w:spacing w:val="-8"/>
          <w:sz w:val="24"/>
        </w:rPr>
        <w:t xml:space="preserve"> </w:t>
      </w:r>
      <w:r w:rsidRPr="00150EDC">
        <w:rPr>
          <w:sz w:val="24"/>
        </w:rPr>
        <w:t>Service</w:t>
      </w:r>
      <w:r w:rsidRPr="00150EDC">
        <w:rPr>
          <w:spacing w:val="-7"/>
          <w:sz w:val="24"/>
        </w:rPr>
        <w:t xml:space="preserve"> </w:t>
      </w:r>
      <w:r w:rsidRPr="00150EDC">
        <w:rPr>
          <w:sz w:val="24"/>
        </w:rPr>
        <w:t>/</w:t>
      </w:r>
      <w:r w:rsidRPr="00150EDC">
        <w:rPr>
          <w:spacing w:val="-7"/>
          <w:sz w:val="24"/>
        </w:rPr>
        <w:t xml:space="preserve"> </w:t>
      </w:r>
      <w:r w:rsidRPr="00150EDC">
        <w:rPr>
          <w:sz w:val="24"/>
        </w:rPr>
        <w:t>CNI</w:t>
      </w:r>
      <w:r w:rsidRPr="00150EDC">
        <w:rPr>
          <w:spacing w:val="-7"/>
          <w:sz w:val="24"/>
        </w:rPr>
        <w:t xml:space="preserve"> </w:t>
      </w:r>
      <w:r w:rsidRPr="00150EDC">
        <w:rPr>
          <w:sz w:val="24"/>
        </w:rPr>
        <w:t>Contract</w:t>
      </w:r>
      <w:r w:rsidRPr="00150EDC">
        <w:rPr>
          <w:spacing w:val="-7"/>
          <w:sz w:val="24"/>
        </w:rPr>
        <w:t xml:space="preserve"> </w:t>
      </w:r>
      <w:r w:rsidRPr="00150EDC">
        <w:rPr>
          <w:sz w:val="24"/>
        </w:rPr>
        <w:t>Information</w:t>
      </w:r>
      <w:r w:rsidRPr="00150EDC">
        <w:rPr>
          <w:spacing w:val="-9"/>
          <w:sz w:val="24"/>
        </w:rPr>
        <w:t xml:space="preserve"> </w:t>
      </w:r>
      <w:r w:rsidRPr="00150EDC">
        <w:rPr>
          <w:sz w:val="24"/>
        </w:rPr>
        <w:t>and</w:t>
      </w:r>
      <w:r w:rsidRPr="00150EDC">
        <w:rPr>
          <w:spacing w:val="-7"/>
          <w:sz w:val="24"/>
        </w:rPr>
        <w:t xml:space="preserve"> </w:t>
      </w:r>
      <w:r w:rsidRPr="00150EDC">
        <w:rPr>
          <w:sz w:val="24"/>
        </w:rPr>
        <w:t>is</w:t>
      </w:r>
      <w:r w:rsidRPr="00150EDC">
        <w:rPr>
          <w:spacing w:val="-8"/>
          <w:sz w:val="24"/>
        </w:rPr>
        <w:t xml:space="preserve"> </w:t>
      </w:r>
      <w:r w:rsidRPr="00150EDC">
        <w:rPr>
          <w:sz w:val="24"/>
        </w:rPr>
        <w:t>structured</w:t>
      </w:r>
      <w:r w:rsidRPr="00150EDC">
        <w:rPr>
          <w:spacing w:val="-9"/>
          <w:sz w:val="24"/>
        </w:rPr>
        <w:t xml:space="preserve"> </w:t>
      </w:r>
      <w:r w:rsidRPr="00150EDC">
        <w:rPr>
          <w:sz w:val="24"/>
        </w:rPr>
        <w:t>and presented in accordance with the requirements and explanatory notes</w:t>
      </w:r>
      <w:r w:rsidRPr="00150EDC">
        <w:rPr>
          <w:spacing w:val="36"/>
          <w:sz w:val="24"/>
        </w:rPr>
        <w:t xml:space="preserve"> </w:t>
      </w:r>
      <w:r w:rsidRPr="00150EDC">
        <w:rPr>
          <w:sz w:val="24"/>
        </w:rPr>
        <w:t>set</w:t>
      </w:r>
      <w:r w:rsidRPr="00150EDC">
        <w:rPr>
          <w:spacing w:val="36"/>
          <w:sz w:val="24"/>
        </w:rPr>
        <w:t xml:space="preserve"> </w:t>
      </w:r>
      <w:r w:rsidRPr="00150EDC">
        <w:rPr>
          <w:sz w:val="24"/>
        </w:rPr>
        <w:t>out</w:t>
      </w:r>
      <w:r w:rsidRPr="00150EDC">
        <w:rPr>
          <w:spacing w:val="36"/>
          <w:sz w:val="24"/>
        </w:rPr>
        <w:t xml:space="preserve"> </w:t>
      </w:r>
      <w:r w:rsidRPr="00150EDC">
        <w:rPr>
          <w:sz w:val="24"/>
        </w:rPr>
        <w:t>at</w:t>
      </w:r>
      <w:r w:rsidRPr="00150EDC">
        <w:rPr>
          <w:spacing w:val="34"/>
          <w:sz w:val="24"/>
        </w:rPr>
        <w:t xml:space="preserve"> </w:t>
      </w:r>
      <w:r w:rsidRPr="00150EDC">
        <w:rPr>
          <w:sz w:val="24"/>
        </w:rPr>
        <w:t>Annex</w:t>
      </w:r>
      <w:r w:rsidRPr="00150EDC">
        <w:rPr>
          <w:spacing w:val="36"/>
          <w:sz w:val="24"/>
        </w:rPr>
        <w:t xml:space="preserve"> </w:t>
      </w:r>
      <w:r w:rsidRPr="00150EDC">
        <w:rPr>
          <w:sz w:val="24"/>
        </w:rPr>
        <w:t>I</w:t>
      </w:r>
      <w:r w:rsidRPr="00150EDC">
        <w:rPr>
          <w:spacing w:val="36"/>
          <w:sz w:val="24"/>
        </w:rPr>
        <w:t xml:space="preserve"> </w:t>
      </w:r>
      <w:r w:rsidRPr="00150EDC">
        <w:rPr>
          <w:sz w:val="24"/>
        </w:rPr>
        <w:t>of</w:t>
      </w:r>
      <w:r w:rsidRPr="00150EDC">
        <w:rPr>
          <w:spacing w:val="36"/>
          <w:sz w:val="24"/>
        </w:rPr>
        <w:t xml:space="preserve"> </w:t>
      </w:r>
      <w:r w:rsidRPr="00150EDC">
        <w:rPr>
          <w:sz w:val="24"/>
        </w:rPr>
        <w:t>the</w:t>
      </w:r>
      <w:r w:rsidRPr="00150EDC">
        <w:rPr>
          <w:spacing w:val="37"/>
          <w:sz w:val="24"/>
        </w:rPr>
        <w:t xml:space="preserve"> </w:t>
      </w:r>
      <w:r w:rsidRPr="00150EDC">
        <w:rPr>
          <w:sz w:val="24"/>
        </w:rPr>
        <w:t>latest</w:t>
      </w:r>
      <w:r w:rsidRPr="00150EDC">
        <w:rPr>
          <w:spacing w:val="36"/>
          <w:sz w:val="24"/>
        </w:rPr>
        <w:t xml:space="preserve"> </w:t>
      </w:r>
      <w:r w:rsidRPr="00150EDC">
        <w:rPr>
          <w:sz w:val="24"/>
        </w:rPr>
        <w:t>published</w:t>
      </w:r>
      <w:r w:rsidRPr="00150EDC">
        <w:rPr>
          <w:spacing w:val="37"/>
          <w:sz w:val="24"/>
        </w:rPr>
        <w:t xml:space="preserve"> </w:t>
      </w:r>
      <w:r w:rsidRPr="00150EDC">
        <w:rPr>
          <w:sz w:val="24"/>
        </w:rPr>
        <w:t>version</w:t>
      </w:r>
      <w:r w:rsidRPr="00150EDC">
        <w:rPr>
          <w:spacing w:val="37"/>
          <w:sz w:val="24"/>
        </w:rPr>
        <w:t xml:space="preserve"> </w:t>
      </w:r>
      <w:r w:rsidRPr="00150EDC">
        <w:rPr>
          <w:sz w:val="24"/>
        </w:rPr>
        <w:t>of</w:t>
      </w:r>
      <w:r w:rsidRPr="00150EDC">
        <w:rPr>
          <w:spacing w:val="36"/>
          <w:sz w:val="24"/>
        </w:rPr>
        <w:t xml:space="preserve"> </w:t>
      </w:r>
      <w:r w:rsidRPr="00150EDC">
        <w:rPr>
          <w:sz w:val="24"/>
        </w:rPr>
        <w:t>the Resolution</w:t>
      </w:r>
      <w:r w:rsidRPr="00150EDC">
        <w:rPr>
          <w:spacing w:val="33"/>
          <w:sz w:val="24"/>
        </w:rPr>
        <w:t xml:space="preserve"> </w:t>
      </w:r>
      <w:r w:rsidRPr="00150EDC">
        <w:rPr>
          <w:sz w:val="24"/>
        </w:rPr>
        <w:t>Planning Guidance</w:t>
      </w:r>
      <w:r w:rsidRPr="00150EDC">
        <w:rPr>
          <w:spacing w:val="33"/>
          <w:sz w:val="24"/>
        </w:rPr>
        <w:t xml:space="preserve"> </w:t>
      </w:r>
      <w:r w:rsidRPr="00150EDC">
        <w:rPr>
          <w:sz w:val="24"/>
        </w:rPr>
        <w:t>published</w:t>
      </w:r>
      <w:r w:rsidRPr="00150EDC">
        <w:rPr>
          <w:spacing w:val="33"/>
          <w:sz w:val="24"/>
        </w:rPr>
        <w:t xml:space="preserve"> </w:t>
      </w:r>
      <w:r w:rsidRPr="00150EDC">
        <w:rPr>
          <w:sz w:val="24"/>
        </w:rPr>
        <w:t>by</w:t>
      </w:r>
      <w:r w:rsidRPr="00150EDC">
        <w:rPr>
          <w:spacing w:val="35"/>
          <w:sz w:val="24"/>
        </w:rPr>
        <w:t xml:space="preserve"> </w:t>
      </w:r>
      <w:r w:rsidRPr="00150EDC">
        <w:rPr>
          <w:sz w:val="24"/>
        </w:rPr>
        <w:t>the</w:t>
      </w:r>
      <w:r w:rsidRPr="00150EDC">
        <w:rPr>
          <w:spacing w:val="36"/>
          <w:sz w:val="24"/>
        </w:rPr>
        <w:t xml:space="preserve"> </w:t>
      </w:r>
      <w:r w:rsidRPr="00150EDC">
        <w:rPr>
          <w:sz w:val="24"/>
        </w:rPr>
        <w:t>Cabinet</w:t>
      </w:r>
      <w:r w:rsidRPr="00150EDC">
        <w:rPr>
          <w:spacing w:val="35"/>
          <w:sz w:val="24"/>
        </w:rPr>
        <w:t xml:space="preserve"> </w:t>
      </w:r>
      <w:r w:rsidRPr="00150EDC">
        <w:rPr>
          <w:sz w:val="24"/>
        </w:rPr>
        <w:t xml:space="preserve">Office </w:t>
      </w:r>
      <w:r w:rsidRPr="00150EDC">
        <w:rPr>
          <w:spacing w:val="-2"/>
          <w:sz w:val="24"/>
        </w:rPr>
        <w:t>Government</w:t>
      </w:r>
      <w:r w:rsidRPr="00150EDC">
        <w:rPr>
          <w:sz w:val="24"/>
        </w:rPr>
        <w:tab/>
      </w:r>
      <w:r w:rsidRPr="00150EDC">
        <w:rPr>
          <w:spacing w:val="-2"/>
          <w:sz w:val="24"/>
        </w:rPr>
        <w:t>Commercial</w:t>
      </w:r>
      <w:r w:rsidRPr="00150EDC">
        <w:rPr>
          <w:sz w:val="24"/>
        </w:rPr>
        <w:tab/>
      </w:r>
      <w:r w:rsidRPr="00150EDC">
        <w:rPr>
          <w:spacing w:val="-2"/>
          <w:sz w:val="24"/>
        </w:rPr>
        <w:t>Function</w:t>
      </w:r>
      <w:r w:rsidRPr="00150EDC">
        <w:rPr>
          <w:sz w:val="24"/>
        </w:rPr>
        <w:tab/>
      </w:r>
      <w:r w:rsidRPr="00150EDC">
        <w:rPr>
          <w:spacing w:val="-4"/>
          <w:sz w:val="24"/>
        </w:rPr>
        <w:t>and</w:t>
      </w:r>
      <w:r w:rsidRPr="00150EDC">
        <w:rPr>
          <w:sz w:val="24"/>
        </w:rPr>
        <w:tab/>
      </w:r>
      <w:r w:rsidRPr="00150EDC">
        <w:rPr>
          <w:spacing w:val="-2"/>
          <w:sz w:val="24"/>
        </w:rPr>
        <w:t>available</w:t>
      </w:r>
      <w:r w:rsidRPr="00150EDC">
        <w:rPr>
          <w:sz w:val="24"/>
        </w:rPr>
        <w:tab/>
      </w:r>
      <w:r w:rsidRPr="00150EDC">
        <w:rPr>
          <w:spacing w:val="-6"/>
          <w:sz w:val="24"/>
        </w:rPr>
        <w:t xml:space="preserve">at </w:t>
      </w:r>
      <w:r w:rsidRPr="00150EDC">
        <w:rPr>
          <w:spacing w:val="-2"/>
          <w:sz w:val="24"/>
        </w:rPr>
        <w:t>https://</w:t>
      </w:r>
      <w:hyperlink r:id="rId82">
        <w:r w:rsidRPr="00150EDC">
          <w:rPr>
            <w:spacing w:val="-2"/>
            <w:sz w:val="24"/>
          </w:rPr>
          <w:t>www.gov.uk/government/publications/the-</w:t>
        </w:r>
      </w:hyperlink>
      <w:r w:rsidRPr="00150EDC">
        <w:rPr>
          <w:spacing w:val="-2"/>
          <w:sz w:val="24"/>
        </w:rPr>
        <w:t xml:space="preserve"> </w:t>
      </w:r>
      <w:r w:rsidRPr="00150EDC">
        <w:rPr>
          <w:sz w:val="24"/>
        </w:rPr>
        <w:t>outsourcingplaybook</w:t>
      </w:r>
      <w:r w:rsidRPr="00150EDC">
        <w:rPr>
          <w:spacing w:val="40"/>
          <w:sz w:val="24"/>
        </w:rPr>
        <w:t xml:space="preserve"> </w:t>
      </w:r>
      <w:r w:rsidRPr="00150EDC">
        <w:rPr>
          <w:sz w:val="24"/>
        </w:rPr>
        <w:t>and</w:t>
      </w:r>
      <w:r w:rsidRPr="00150EDC">
        <w:rPr>
          <w:spacing w:val="40"/>
          <w:sz w:val="24"/>
        </w:rPr>
        <w:t xml:space="preserve"> </w:t>
      </w:r>
      <w:r w:rsidRPr="00150EDC">
        <w:rPr>
          <w:sz w:val="24"/>
        </w:rPr>
        <w:t>contains</w:t>
      </w:r>
      <w:r w:rsidRPr="00150EDC">
        <w:rPr>
          <w:spacing w:val="40"/>
          <w:sz w:val="24"/>
        </w:rPr>
        <w:t xml:space="preserve"> </w:t>
      </w:r>
      <w:r w:rsidRPr="00150EDC">
        <w:rPr>
          <w:sz w:val="24"/>
        </w:rPr>
        <w:t>the</w:t>
      </w:r>
      <w:r w:rsidRPr="00150EDC">
        <w:rPr>
          <w:spacing w:val="40"/>
          <w:sz w:val="24"/>
        </w:rPr>
        <w:t xml:space="preserve"> </w:t>
      </w:r>
      <w:r w:rsidRPr="00150EDC">
        <w:rPr>
          <w:sz w:val="24"/>
        </w:rPr>
        <w:t>level</w:t>
      </w:r>
      <w:r w:rsidRPr="00150EDC">
        <w:rPr>
          <w:spacing w:val="40"/>
          <w:sz w:val="24"/>
        </w:rPr>
        <w:t xml:space="preserve"> </w:t>
      </w:r>
      <w:r w:rsidRPr="00150EDC">
        <w:rPr>
          <w:sz w:val="24"/>
        </w:rPr>
        <w:t>of</w:t>
      </w:r>
      <w:r w:rsidRPr="00150EDC">
        <w:rPr>
          <w:spacing w:val="40"/>
          <w:sz w:val="24"/>
        </w:rPr>
        <w:t xml:space="preserve"> </w:t>
      </w:r>
      <w:r w:rsidRPr="00150EDC">
        <w:rPr>
          <w:sz w:val="24"/>
        </w:rPr>
        <w:t>detail</w:t>
      </w:r>
      <w:r w:rsidRPr="00150EDC">
        <w:rPr>
          <w:spacing w:val="40"/>
          <w:sz w:val="24"/>
        </w:rPr>
        <w:t xml:space="preserve"> </w:t>
      </w:r>
      <w:r w:rsidRPr="00150EDC">
        <w:rPr>
          <w:sz w:val="24"/>
        </w:rPr>
        <w:t>required (adapted as necessary to the Supplier’s circumstances);</w:t>
      </w:r>
    </w:p>
    <w:p w14:paraId="1E1E149D" w14:textId="77777777" w:rsidR="004C7180" w:rsidRPr="00150EDC" w:rsidRDefault="00CF0754" w:rsidP="00B320C7">
      <w:pPr>
        <w:pStyle w:val="ListParagraph"/>
        <w:numPr>
          <w:ilvl w:val="2"/>
          <w:numId w:val="45"/>
        </w:numPr>
        <w:tabs>
          <w:tab w:val="left" w:pos="2838"/>
          <w:tab w:val="left" w:pos="2840"/>
        </w:tabs>
        <w:spacing w:before="120"/>
        <w:ind w:right="1805"/>
        <w:rPr>
          <w:sz w:val="24"/>
        </w:rPr>
      </w:pPr>
      <w:r w:rsidRPr="00150EDC">
        <w:rPr>
          <w:sz w:val="24"/>
        </w:rPr>
        <w:t>incorporates</w:t>
      </w:r>
      <w:r w:rsidRPr="00150EDC">
        <w:rPr>
          <w:spacing w:val="-5"/>
          <w:sz w:val="24"/>
        </w:rPr>
        <w:t xml:space="preserve"> </w:t>
      </w:r>
      <w:r w:rsidRPr="00150EDC">
        <w:rPr>
          <w:sz w:val="24"/>
        </w:rPr>
        <w:t>any</w:t>
      </w:r>
      <w:r w:rsidRPr="00150EDC">
        <w:rPr>
          <w:spacing w:val="-5"/>
          <w:sz w:val="24"/>
        </w:rPr>
        <w:t xml:space="preserve"> </w:t>
      </w:r>
      <w:r w:rsidRPr="00150EDC">
        <w:rPr>
          <w:sz w:val="24"/>
        </w:rPr>
        <w:t>additional</w:t>
      </w:r>
      <w:r w:rsidRPr="00150EDC">
        <w:rPr>
          <w:spacing w:val="-5"/>
          <w:sz w:val="24"/>
        </w:rPr>
        <w:t xml:space="preserve"> </w:t>
      </w:r>
      <w:r w:rsidRPr="00150EDC">
        <w:rPr>
          <w:sz w:val="24"/>
        </w:rPr>
        <w:t>commentary,</w:t>
      </w:r>
      <w:r w:rsidRPr="00150EDC">
        <w:rPr>
          <w:spacing w:val="-4"/>
          <w:sz w:val="24"/>
        </w:rPr>
        <w:t xml:space="preserve"> </w:t>
      </w:r>
      <w:r w:rsidRPr="00150EDC">
        <w:rPr>
          <w:sz w:val="24"/>
        </w:rPr>
        <w:t>supporting</w:t>
      </w:r>
      <w:r w:rsidRPr="00150EDC">
        <w:rPr>
          <w:spacing w:val="-6"/>
          <w:sz w:val="24"/>
        </w:rPr>
        <w:t xml:space="preserve"> </w:t>
      </w:r>
      <w:r w:rsidRPr="00150EDC">
        <w:rPr>
          <w:sz w:val="24"/>
        </w:rPr>
        <w:t>documents</w:t>
      </w:r>
      <w:r w:rsidRPr="00150EDC">
        <w:rPr>
          <w:spacing w:val="-7"/>
          <w:sz w:val="24"/>
        </w:rPr>
        <w:t xml:space="preserve"> </w:t>
      </w:r>
      <w:r w:rsidRPr="00150EDC">
        <w:rPr>
          <w:sz w:val="24"/>
        </w:rPr>
        <w:t>and evidence which would reasonably be required by the Appropriate Authority or Appropriate Authorities to understand and consider the information for approval;</w:t>
      </w:r>
    </w:p>
    <w:p w14:paraId="03097EBD" w14:textId="77777777" w:rsidR="004C7180" w:rsidRPr="00150EDC" w:rsidRDefault="00CF0754" w:rsidP="00B320C7">
      <w:pPr>
        <w:pStyle w:val="ListParagraph"/>
        <w:numPr>
          <w:ilvl w:val="2"/>
          <w:numId w:val="45"/>
        </w:numPr>
        <w:tabs>
          <w:tab w:val="left" w:pos="2838"/>
          <w:tab w:val="left" w:pos="2840"/>
        </w:tabs>
        <w:spacing w:before="121"/>
        <w:ind w:right="1550"/>
        <w:rPr>
          <w:sz w:val="24"/>
        </w:rPr>
      </w:pPr>
      <w:r w:rsidRPr="00150EDC">
        <w:rPr>
          <w:sz w:val="24"/>
        </w:rPr>
        <w:t>provides a clear description and explanation of the Supplier Group members</w:t>
      </w:r>
      <w:r w:rsidRPr="00150EDC">
        <w:rPr>
          <w:spacing w:val="-4"/>
          <w:sz w:val="24"/>
        </w:rPr>
        <w:t xml:space="preserve"> </w:t>
      </w:r>
      <w:r w:rsidRPr="00150EDC">
        <w:rPr>
          <w:sz w:val="24"/>
        </w:rPr>
        <w:t>that</w:t>
      </w:r>
      <w:r w:rsidRPr="00150EDC">
        <w:rPr>
          <w:spacing w:val="-3"/>
          <w:sz w:val="24"/>
        </w:rPr>
        <w:t xml:space="preserve"> </w:t>
      </w:r>
      <w:r w:rsidRPr="00150EDC">
        <w:rPr>
          <w:sz w:val="24"/>
        </w:rPr>
        <w:t>have</w:t>
      </w:r>
      <w:r w:rsidRPr="00150EDC">
        <w:rPr>
          <w:spacing w:val="-4"/>
          <w:sz w:val="24"/>
        </w:rPr>
        <w:t xml:space="preserve"> </w:t>
      </w:r>
      <w:r w:rsidRPr="00150EDC">
        <w:rPr>
          <w:sz w:val="24"/>
        </w:rPr>
        <w:t>agreements</w:t>
      </w:r>
      <w:r w:rsidRPr="00150EDC">
        <w:rPr>
          <w:spacing w:val="-5"/>
          <w:sz w:val="24"/>
        </w:rPr>
        <w:t xml:space="preserve"> </w:t>
      </w:r>
      <w:r w:rsidRPr="00150EDC">
        <w:rPr>
          <w:sz w:val="24"/>
        </w:rPr>
        <w:t>for</w:t>
      </w:r>
      <w:r w:rsidRPr="00150EDC">
        <w:rPr>
          <w:spacing w:val="-4"/>
          <w:sz w:val="24"/>
        </w:rPr>
        <w:t xml:space="preserve"> </w:t>
      </w:r>
      <w:r w:rsidRPr="00150EDC">
        <w:rPr>
          <w:sz w:val="24"/>
        </w:rPr>
        <w:t>goods,</w:t>
      </w:r>
      <w:r w:rsidRPr="00150EDC">
        <w:rPr>
          <w:spacing w:val="-3"/>
          <w:sz w:val="24"/>
        </w:rPr>
        <w:t xml:space="preserve"> </w:t>
      </w:r>
      <w:r w:rsidRPr="00150EDC">
        <w:rPr>
          <w:sz w:val="24"/>
        </w:rPr>
        <w:t>services</w:t>
      </w:r>
      <w:r w:rsidRPr="00150EDC">
        <w:rPr>
          <w:spacing w:val="-4"/>
          <w:sz w:val="24"/>
        </w:rPr>
        <w:t xml:space="preserve"> </w:t>
      </w:r>
      <w:r w:rsidRPr="00150EDC">
        <w:rPr>
          <w:sz w:val="24"/>
        </w:rPr>
        <w:t>or</w:t>
      </w:r>
      <w:r w:rsidRPr="00150EDC">
        <w:rPr>
          <w:spacing w:val="-4"/>
          <w:sz w:val="24"/>
        </w:rPr>
        <w:t xml:space="preserve"> </w:t>
      </w:r>
      <w:r w:rsidRPr="00150EDC">
        <w:rPr>
          <w:sz w:val="24"/>
        </w:rPr>
        <w:t>works</w:t>
      </w:r>
      <w:r w:rsidRPr="00150EDC">
        <w:rPr>
          <w:spacing w:val="-4"/>
          <w:sz w:val="24"/>
        </w:rPr>
        <w:t xml:space="preserve"> </w:t>
      </w:r>
      <w:r w:rsidRPr="00150EDC">
        <w:rPr>
          <w:sz w:val="24"/>
        </w:rPr>
        <w:t>provision</w:t>
      </w:r>
    </w:p>
    <w:p w14:paraId="1E4FD8E0" w14:textId="77777777" w:rsidR="004C7180" w:rsidRPr="00150EDC" w:rsidRDefault="004C7180">
      <w:pPr>
        <w:rPr>
          <w:sz w:val="24"/>
        </w:rPr>
        <w:sectPr w:rsidR="004C7180" w:rsidRPr="00150EDC">
          <w:pgSz w:w="11910" w:h="16840"/>
          <w:pgMar w:top="1380" w:right="0" w:bottom="1380" w:left="40" w:header="715" w:footer="1192" w:gutter="0"/>
          <w:cols w:space="720"/>
        </w:sectPr>
      </w:pPr>
    </w:p>
    <w:p w14:paraId="783FD667" w14:textId="77777777" w:rsidR="004C7180" w:rsidRPr="00150EDC" w:rsidRDefault="004C7180">
      <w:pPr>
        <w:pStyle w:val="BodyText"/>
        <w:spacing w:before="1"/>
        <w:rPr>
          <w:sz w:val="12"/>
        </w:rPr>
      </w:pPr>
    </w:p>
    <w:p w14:paraId="441113C5" w14:textId="77777777" w:rsidR="004C7180" w:rsidRPr="00150EDC" w:rsidRDefault="00CF0754">
      <w:pPr>
        <w:pStyle w:val="BodyText"/>
        <w:spacing w:before="92"/>
        <w:ind w:left="2840" w:right="1459"/>
      </w:pPr>
      <w:r w:rsidRPr="00150EDC">
        <w:t>in</w:t>
      </w:r>
      <w:r w:rsidRPr="00150EDC">
        <w:rPr>
          <w:spacing w:val="-2"/>
        </w:rPr>
        <w:t xml:space="preserve"> </w:t>
      </w:r>
      <w:r w:rsidRPr="00150EDC">
        <w:t>respect</w:t>
      </w:r>
      <w:r w:rsidRPr="00150EDC">
        <w:rPr>
          <w:spacing w:val="-5"/>
        </w:rPr>
        <w:t xml:space="preserve"> </w:t>
      </w:r>
      <w:r w:rsidRPr="00150EDC">
        <w:t>of</w:t>
      </w:r>
      <w:r w:rsidRPr="00150EDC">
        <w:rPr>
          <w:spacing w:val="-2"/>
        </w:rPr>
        <w:t xml:space="preserve"> </w:t>
      </w:r>
      <w:r w:rsidRPr="00150EDC">
        <w:t>UK</w:t>
      </w:r>
      <w:r w:rsidRPr="00150EDC">
        <w:rPr>
          <w:spacing w:val="-2"/>
        </w:rPr>
        <w:t xml:space="preserve"> </w:t>
      </w:r>
      <w:r w:rsidRPr="00150EDC">
        <w:t>Public</w:t>
      </w:r>
      <w:r w:rsidRPr="00150EDC">
        <w:rPr>
          <w:spacing w:val="-3"/>
        </w:rPr>
        <w:t xml:space="preserve"> </w:t>
      </w:r>
      <w:r w:rsidRPr="00150EDC">
        <w:t>Sector</w:t>
      </w:r>
      <w:r w:rsidRPr="00150EDC">
        <w:rPr>
          <w:spacing w:val="-6"/>
        </w:rPr>
        <w:t xml:space="preserve"> </w:t>
      </w:r>
      <w:r w:rsidRPr="00150EDC">
        <w:t>Business</w:t>
      </w:r>
      <w:r w:rsidRPr="00150EDC">
        <w:rPr>
          <w:spacing w:val="-3"/>
        </w:rPr>
        <w:t xml:space="preserve"> </w:t>
      </w:r>
      <w:r w:rsidRPr="00150EDC">
        <w:t>and/or</w:t>
      </w:r>
      <w:r w:rsidRPr="00150EDC">
        <w:rPr>
          <w:spacing w:val="-4"/>
        </w:rPr>
        <w:t xml:space="preserve"> </w:t>
      </w:r>
      <w:r w:rsidRPr="00150EDC">
        <w:t>Critical</w:t>
      </w:r>
      <w:r w:rsidRPr="00150EDC">
        <w:rPr>
          <w:spacing w:val="-3"/>
        </w:rPr>
        <w:t xml:space="preserve"> </w:t>
      </w:r>
      <w:r w:rsidRPr="00150EDC">
        <w:t>National Infrastructure and the nature of those agreements; and</w:t>
      </w:r>
    </w:p>
    <w:p w14:paraId="5E304B33" w14:textId="77777777" w:rsidR="004C7180" w:rsidRPr="00150EDC" w:rsidRDefault="00CF0754" w:rsidP="00B320C7">
      <w:pPr>
        <w:pStyle w:val="ListParagraph"/>
        <w:numPr>
          <w:ilvl w:val="2"/>
          <w:numId w:val="45"/>
        </w:numPr>
        <w:tabs>
          <w:tab w:val="left" w:pos="2838"/>
          <w:tab w:val="left" w:pos="2840"/>
        </w:tabs>
        <w:spacing w:before="120"/>
        <w:ind w:right="1541"/>
        <w:rPr>
          <w:sz w:val="24"/>
        </w:rPr>
      </w:pPr>
      <w:r w:rsidRPr="00150EDC">
        <w:rPr>
          <w:sz w:val="24"/>
        </w:rPr>
        <w:t>complies</w:t>
      </w:r>
      <w:r w:rsidRPr="00150EDC">
        <w:rPr>
          <w:spacing w:val="-6"/>
          <w:sz w:val="24"/>
        </w:rPr>
        <w:t xml:space="preserve"> </w:t>
      </w:r>
      <w:r w:rsidRPr="00150EDC">
        <w:rPr>
          <w:sz w:val="24"/>
        </w:rPr>
        <w:t>with</w:t>
      </w:r>
      <w:r w:rsidRPr="00150EDC">
        <w:rPr>
          <w:spacing w:val="-3"/>
          <w:sz w:val="24"/>
        </w:rPr>
        <w:t xml:space="preserve"> </w:t>
      </w:r>
      <w:r w:rsidRPr="00150EDC">
        <w:rPr>
          <w:sz w:val="24"/>
        </w:rPr>
        <w:t>the</w:t>
      </w:r>
      <w:r w:rsidRPr="00150EDC">
        <w:rPr>
          <w:spacing w:val="-3"/>
          <w:sz w:val="24"/>
        </w:rPr>
        <w:t xml:space="preserve"> </w:t>
      </w:r>
      <w:r w:rsidRPr="00150EDC">
        <w:rPr>
          <w:sz w:val="24"/>
        </w:rPr>
        <w:t>requirements</w:t>
      </w:r>
      <w:r w:rsidRPr="00150EDC">
        <w:rPr>
          <w:spacing w:val="-4"/>
          <w:sz w:val="24"/>
        </w:rPr>
        <w:t xml:space="preserve"> </w:t>
      </w:r>
      <w:r w:rsidRPr="00150EDC">
        <w:rPr>
          <w:sz w:val="24"/>
        </w:rPr>
        <w:t>set</w:t>
      </w:r>
      <w:r w:rsidRPr="00150EDC">
        <w:rPr>
          <w:spacing w:val="-3"/>
          <w:sz w:val="24"/>
        </w:rPr>
        <w:t xml:space="preserve"> </w:t>
      </w:r>
      <w:r w:rsidRPr="00150EDC">
        <w:rPr>
          <w:sz w:val="24"/>
        </w:rPr>
        <w:t>out</w:t>
      </w:r>
      <w:r w:rsidRPr="00150EDC">
        <w:rPr>
          <w:spacing w:val="-3"/>
          <w:sz w:val="24"/>
        </w:rPr>
        <w:t xml:space="preserve"> </w:t>
      </w:r>
      <w:r w:rsidRPr="00150EDC">
        <w:rPr>
          <w:sz w:val="24"/>
        </w:rPr>
        <w:t>at</w:t>
      </w:r>
      <w:r w:rsidRPr="00150EDC">
        <w:rPr>
          <w:spacing w:val="-3"/>
          <w:sz w:val="24"/>
        </w:rPr>
        <w:t xml:space="preserve"> </w:t>
      </w:r>
      <w:r w:rsidRPr="00150EDC">
        <w:rPr>
          <w:sz w:val="24"/>
        </w:rPr>
        <w:t>Appendix</w:t>
      </w:r>
      <w:r w:rsidRPr="00150EDC">
        <w:rPr>
          <w:spacing w:val="-6"/>
          <w:sz w:val="24"/>
        </w:rPr>
        <w:t xml:space="preserve"> </w:t>
      </w:r>
      <w:r w:rsidRPr="00150EDC">
        <w:rPr>
          <w:sz w:val="24"/>
        </w:rPr>
        <w:t>1</w:t>
      </w:r>
      <w:r w:rsidRPr="00150EDC">
        <w:rPr>
          <w:spacing w:val="-3"/>
          <w:sz w:val="24"/>
        </w:rPr>
        <w:t xml:space="preserve"> </w:t>
      </w:r>
      <w:r w:rsidRPr="00150EDC">
        <w:rPr>
          <w:sz w:val="24"/>
        </w:rPr>
        <w:t>(Group</w:t>
      </w:r>
      <w:r w:rsidRPr="00150EDC">
        <w:rPr>
          <w:spacing w:val="-5"/>
          <w:sz w:val="24"/>
        </w:rPr>
        <w:t xml:space="preserve"> </w:t>
      </w:r>
      <w:r w:rsidRPr="00150EDC">
        <w:rPr>
          <w:sz w:val="24"/>
        </w:rPr>
        <w:t>Structure Information and Resolution Commentary) and Appendix 2 (UK Public Sector / CNI Contract Information) respectively.</w:t>
      </w:r>
    </w:p>
    <w:p w14:paraId="7DC1CD2C" w14:textId="77777777" w:rsidR="004C7180" w:rsidRPr="00150EDC" w:rsidRDefault="00CF0754" w:rsidP="00B320C7">
      <w:pPr>
        <w:pStyle w:val="ListParagraph"/>
        <w:numPr>
          <w:ilvl w:val="1"/>
          <w:numId w:val="45"/>
        </w:numPr>
        <w:tabs>
          <w:tab w:val="left" w:pos="2117"/>
          <w:tab w:val="left" w:pos="2120"/>
        </w:tabs>
        <w:spacing w:before="121"/>
        <w:ind w:right="1432"/>
        <w:jc w:val="both"/>
        <w:rPr>
          <w:sz w:val="24"/>
        </w:rPr>
      </w:pPr>
      <w:r w:rsidRPr="00150EDC">
        <w:rPr>
          <w:sz w:val="24"/>
        </w:rPr>
        <w:t>Following</w:t>
      </w:r>
      <w:r w:rsidRPr="00150EDC">
        <w:rPr>
          <w:spacing w:val="-1"/>
          <w:sz w:val="24"/>
        </w:rPr>
        <w:t xml:space="preserve"> </w:t>
      </w:r>
      <w:r w:rsidRPr="00150EDC">
        <w:rPr>
          <w:sz w:val="24"/>
        </w:rPr>
        <w:t>receipt</w:t>
      </w:r>
      <w:r w:rsidRPr="00150EDC">
        <w:rPr>
          <w:spacing w:val="-4"/>
          <w:sz w:val="24"/>
        </w:rPr>
        <w:t xml:space="preserve"> </w:t>
      </w:r>
      <w:r w:rsidRPr="00150EDC">
        <w:rPr>
          <w:sz w:val="24"/>
        </w:rPr>
        <w:t>by</w:t>
      </w:r>
      <w:r w:rsidRPr="00150EDC">
        <w:rPr>
          <w:spacing w:val="-2"/>
          <w:sz w:val="24"/>
        </w:rPr>
        <w:t xml:space="preserve"> </w:t>
      </w:r>
      <w:r w:rsidRPr="00150EDC">
        <w:rPr>
          <w:sz w:val="24"/>
        </w:rPr>
        <w:t>the</w:t>
      </w:r>
      <w:r w:rsidRPr="00150EDC">
        <w:rPr>
          <w:spacing w:val="-1"/>
          <w:sz w:val="24"/>
        </w:rPr>
        <w:t xml:space="preserve"> </w:t>
      </w:r>
      <w:r w:rsidRPr="00150EDC">
        <w:rPr>
          <w:sz w:val="24"/>
        </w:rPr>
        <w:t>Appropriate</w:t>
      </w:r>
      <w:r w:rsidRPr="00150EDC">
        <w:rPr>
          <w:spacing w:val="-1"/>
          <w:sz w:val="24"/>
        </w:rPr>
        <w:t xml:space="preserve"> </w:t>
      </w:r>
      <w:r w:rsidRPr="00150EDC">
        <w:rPr>
          <w:sz w:val="24"/>
        </w:rPr>
        <w:t>Authority</w:t>
      </w:r>
      <w:r w:rsidRPr="00150EDC">
        <w:rPr>
          <w:spacing w:val="-2"/>
          <w:sz w:val="24"/>
        </w:rPr>
        <w:t xml:space="preserve"> </w:t>
      </w:r>
      <w:r w:rsidRPr="00150EDC">
        <w:rPr>
          <w:sz w:val="24"/>
        </w:rPr>
        <w:t>or</w:t>
      </w:r>
      <w:r w:rsidRPr="00150EDC">
        <w:rPr>
          <w:spacing w:val="-3"/>
          <w:sz w:val="24"/>
        </w:rPr>
        <w:t xml:space="preserve"> </w:t>
      </w:r>
      <w:r w:rsidRPr="00150EDC">
        <w:rPr>
          <w:sz w:val="24"/>
        </w:rPr>
        <w:t>Appropriate</w:t>
      </w:r>
      <w:r w:rsidRPr="00150EDC">
        <w:rPr>
          <w:spacing w:val="-1"/>
          <w:sz w:val="24"/>
        </w:rPr>
        <w:t xml:space="preserve"> </w:t>
      </w:r>
      <w:r w:rsidRPr="00150EDC">
        <w:rPr>
          <w:sz w:val="24"/>
        </w:rPr>
        <w:t>Authorities</w:t>
      </w:r>
      <w:r w:rsidRPr="00150EDC">
        <w:rPr>
          <w:spacing w:val="-3"/>
          <w:sz w:val="24"/>
        </w:rPr>
        <w:t xml:space="preserve"> </w:t>
      </w:r>
      <w:r w:rsidRPr="00150EDC">
        <w:rPr>
          <w:sz w:val="24"/>
        </w:rPr>
        <w:t>of</w:t>
      </w:r>
      <w:r w:rsidRPr="00150EDC">
        <w:rPr>
          <w:spacing w:val="-1"/>
          <w:sz w:val="24"/>
        </w:rPr>
        <w:t xml:space="preserve"> </w:t>
      </w:r>
      <w:r w:rsidRPr="00150EDC">
        <w:rPr>
          <w:sz w:val="24"/>
        </w:rPr>
        <w:t>the CRP Information pursuant to Paragraphs 2.2, 2.8 and 2.9 of this Part B, the Buyer shall procure that the Appropriate Authority or Appropriate Authorities shall</w:t>
      </w:r>
      <w:r w:rsidRPr="00150EDC">
        <w:rPr>
          <w:spacing w:val="-15"/>
          <w:sz w:val="24"/>
        </w:rPr>
        <w:t xml:space="preserve"> </w:t>
      </w:r>
      <w:r w:rsidRPr="00150EDC">
        <w:rPr>
          <w:sz w:val="24"/>
        </w:rPr>
        <w:t>discuss</w:t>
      </w:r>
      <w:r w:rsidRPr="00150EDC">
        <w:rPr>
          <w:spacing w:val="-15"/>
          <w:sz w:val="24"/>
        </w:rPr>
        <w:t xml:space="preserve"> </w:t>
      </w:r>
      <w:r w:rsidRPr="00150EDC">
        <w:rPr>
          <w:sz w:val="24"/>
        </w:rPr>
        <w:t>in</w:t>
      </w:r>
      <w:r w:rsidRPr="00150EDC">
        <w:rPr>
          <w:spacing w:val="-15"/>
          <w:sz w:val="24"/>
        </w:rPr>
        <w:t xml:space="preserve"> </w:t>
      </w:r>
      <w:r w:rsidRPr="00150EDC">
        <w:rPr>
          <w:sz w:val="24"/>
        </w:rPr>
        <w:t>good</w:t>
      </w:r>
      <w:r w:rsidRPr="00150EDC">
        <w:rPr>
          <w:spacing w:val="-14"/>
          <w:sz w:val="24"/>
        </w:rPr>
        <w:t xml:space="preserve"> </w:t>
      </w:r>
      <w:r w:rsidRPr="00150EDC">
        <w:rPr>
          <w:sz w:val="24"/>
        </w:rPr>
        <w:t>faith</w:t>
      </w:r>
      <w:r w:rsidRPr="00150EDC">
        <w:rPr>
          <w:spacing w:val="-14"/>
          <w:sz w:val="24"/>
        </w:rPr>
        <w:t xml:space="preserve"> </w:t>
      </w:r>
      <w:r w:rsidRPr="00150EDC">
        <w:rPr>
          <w:sz w:val="24"/>
        </w:rPr>
        <w:t>the</w:t>
      </w:r>
      <w:r w:rsidRPr="00150EDC">
        <w:rPr>
          <w:spacing w:val="-15"/>
          <w:sz w:val="24"/>
        </w:rPr>
        <w:t xml:space="preserve"> </w:t>
      </w:r>
      <w:r w:rsidRPr="00150EDC">
        <w:rPr>
          <w:sz w:val="24"/>
        </w:rPr>
        <w:t>contents</w:t>
      </w:r>
      <w:r w:rsidRPr="00150EDC">
        <w:rPr>
          <w:spacing w:val="-16"/>
          <w:sz w:val="24"/>
        </w:rPr>
        <w:t xml:space="preserve"> </w:t>
      </w:r>
      <w:r w:rsidRPr="00150EDC">
        <w:rPr>
          <w:sz w:val="24"/>
        </w:rPr>
        <w:t>of</w:t>
      </w:r>
      <w:r w:rsidRPr="00150EDC">
        <w:rPr>
          <w:spacing w:val="-14"/>
          <w:sz w:val="24"/>
        </w:rPr>
        <w:t xml:space="preserve"> </w:t>
      </w:r>
      <w:r w:rsidRPr="00150EDC">
        <w:rPr>
          <w:sz w:val="24"/>
        </w:rPr>
        <w:t>the</w:t>
      </w:r>
      <w:r w:rsidRPr="00150EDC">
        <w:rPr>
          <w:spacing w:val="-15"/>
          <w:sz w:val="24"/>
        </w:rPr>
        <w:t xml:space="preserve"> </w:t>
      </w:r>
      <w:r w:rsidRPr="00150EDC">
        <w:rPr>
          <w:sz w:val="24"/>
        </w:rPr>
        <w:t>CRP</w:t>
      </w:r>
      <w:r w:rsidRPr="00150EDC">
        <w:rPr>
          <w:spacing w:val="-14"/>
          <w:sz w:val="24"/>
        </w:rPr>
        <w:t xml:space="preserve"> </w:t>
      </w:r>
      <w:r w:rsidRPr="00150EDC">
        <w:rPr>
          <w:sz w:val="24"/>
        </w:rPr>
        <w:t>Information</w:t>
      </w:r>
      <w:r w:rsidRPr="00150EDC">
        <w:rPr>
          <w:spacing w:val="-14"/>
          <w:sz w:val="24"/>
        </w:rPr>
        <w:t xml:space="preserve"> </w:t>
      </w:r>
      <w:r w:rsidRPr="00150EDC">
        <w:rPr>
          <w:sz w:val="24"/>
        </w:rPr>
        <w:t>with</w:t>
      </w:r>
      <w:r w:rsidRPr="00150EDC">
        <w:rPr>
          <w:spacing w:val="-14"/>
          <w:sz w:val="24"/>
        </w:rPr>
        <w:t xml:space="preserve"> </w:t>
      </w:r>
      <w:r w:rsidRPr="00150EDC">
        <w:rPr>
          <w:sz w:val="24"/>
        </w:rPr>
        <w:t>the</w:t>
      </w:r>
      <w:r w:rsidRPr="00150EDC">
        <w:rPr>
          <w:spacing w:val="-14"/>
          <w:sz w:val="24"/>
        </w:rPr>
        <w:t xml:space="preserve"> </w:t>
      </w:r>
      <w:r w:rsidRPr="00150EDC">
        <w:rPr>
          <w:sz w:val="24"/>
        </w:rPr>
        <w:t>Supplier and no later than 60 days after the date on which the CRP Information was delivered by the Supplier either provide an Assurance to the Supplier that the Appropriate</w:t>
      </w:r>
      <w:r w:rsidRPr="00150EDC">
        <w:rPr>
          <w:spacing w:val="-7"/>
          <w:sz w:val="24"/>
        </w:rPr>
        <w:t xml:space="preserve"> </w:t>
      </w:r>
      <w:r w:rsidRPr="00150EDC">
        <w:rPr>
          <w:sz w:val="24"/>
        </w:rPr>
        <w:t>Authority</w:t>
      </w:r>
      <w:r w:rsidRPr="00150EDC">
        <w:rPr>
          <w:spacing w:val="-8"/>
          <w:sz w:val="24"/>
        </w:rPr>
        <w:t xml:space="preserve"> </w:t>
      </w:r>
      <w:r w:rsidRPr="00150EDC">
        <w:rPr>
          <w:sz w:val="24"/>
        </w:rPr>
        <w:t>or</w:t>
      </w:r>
      <w:r w:rsidRPr="00150EDC">
        <w:rPr>
          <w:spacing w:val="-8"/>
          <w:sz w:val="24"/>
        </w:rPr>
        <w:t xml:space="preserve"> </w:t>
      </w:r>
      <w:r w:rsidRPr="00150EDC">
        <w:rPr>
          <w:sz w:val="24"/>
        </w:rPr>
        <w:t>Appropriate</w:t>
      </w:r>
      <w:r w:rsidRPr="00150EDC">
        <w:rPr>
          <w:spacing w:val="-7"/>
          <w:sz w:val="24"/>
        </w:rPr>
        <w:t xml:space="preserve"> </w:t>
      </w:r>
      <w:r w:rsidRPr="00150EDC">
        <w:rPr>
          <w:sz w:val="24"/>
        </w:rPr>
        <w:t>Authorities</w:t>
      </w:r>
      <w:r w:rsidRPr="00150EDC">
        <w:rPr>
          <w:spacing w:val="-8"/>
          <w:sz w:val="24"/>
        </w:rPr>
        <w:t xml:space="preserve"> </w:t>
      </w:r>
      <w:r w:rsidRPr="00150EDC">
        <w:rPr>
          <w:sz w:val="24"/>
        </w:rPr>
        <w:t>approves</w:t>
      </w:r>
      <w:r w:rsidRPr="00150EDC">
        <w:rPr>
          <w:spacing w:val="-8"/>
          <w:sz w:val="24"/>
        </w:rPr>
        <w:t xml:space="preserve"> </w:t>
      </w:r>
      <w:r w:rsidRPr="00150EDC">
        <w:rPr>
          <w:sz w:val="24"/>
        </w:rPr>
        <w:t>the</w:t>
      </w:r>
      <w:r w:rsidRPr="00150EDC">
        <w:rPr>
          <w:spacing w:val="-7"/>
          <w:sz w:val="24"/>
        </w:rPr>
        <w:t xml:space="preserve"> </w:t>
      </w:r>
      <w:r w:rsidRPr="00150EDC">
        <w:rPr>
          <w:sz w:val="24"/>
        </w:rPr>
        <w:t>CRP</w:t>
      </w:r>
      <w:r w:rsidRPr="00150EDC">
        <w:rPr>
          <w:spacing w:val="-8"/>
          <w:sz w:val="24"/>
        </w:rPr>
        <w:t xml:space="preserve"> </w:t>
      </w:r>
      <w:r w:rsidRPr="00150EDC">
        <w:rPr>
          <w:sz w:val="24"/>
        </w:rPr>
        <w:t xml:space="preserve">Information or that the Appropriate Authority or Appropriate Authorities rejects the CRP </w:t>
      </w:r>
      <w:r w:rsidRPr="00150EDC">
        <w:rPr>
          <w:spacing w:val="-2"/>
          <w:sz w:val="24"/>
        </w:rPr>
        <w:t>Information.</w:t>
      </w:r>
    </w:p>
    <w:p w14:paraId="0EE91589" w14:textId="77777777" w:rsidR="004C7180" w:rsidRPr="00150EDC" w:rsidRDefault="00CF0754" w:rsidP="00B320C7">
      <w:pPr>
        <w:pStyle w:val="ListParagraph"/>
        <w:numPr>
          <w:ilvl w:val="1"/>
          <w:numId w:val="45"/>
        </w:numPr>
        <w:tabs>
          <w:tab w:val="left" w:pos="2117"/>
          <w:tab w:val="left" w:pos="2120"/>
        </w:tabs>
        <w:spacing w:before="120"/>
        <w:ind w:right="1435"/>
        <w:jc w:val="both"/>
        <w:rPr>
          <w:sz w:val="24"/>
        </w:rPr>
      </w:pPr>
      <w:r w:rsidRPr="00150EDC">
        <w:rPr>
          <w:sz w:val="24"/>
        </w:rPr>
        <w:t xml:space="preserve">If the Appropriate Authority or Appropriate Authorities rejects the CRP </w:t>
      </w:r>
      <w:r w:rsidRPr="00150EDC">
        <w:rPr>
          <w:spacing w:val="-2"/>
          <w:sz w:val="24"/>
        </w:rPr>
        <w:t>Information:</w:t>
      </w:r>
    </w:p>
    <w:p w14:paraId="1EEBE8B0" w14:textId="77777777" w:rsidR="004C7180" w:rsidRPr="00150EDC" w:rsidRDefault="00CF0754" w:rsidP="00B320C7">
      <w:pPr>
        <w:pStyle w:val="ListParagraph"/>
        <w:numPr>
          <w:ilvl w:val="2"/>
          <w:numId w:val="45"/>
        </w:numPr>
        <w:tabs>
          <w:tab w:val="left" w:pos="2838"/>
          <w:tab w:val="left" w:pos="2840"/>
        </w:tabs>
        <w:spacing w:before="120"/>
        <w:ind w:right="1459"/>
        <w:rPr>
          <w:sz w:val="24"/>
        </w:rPr>
      </w:pPr>
      <w:r w:rsidRPr="00150EDC">
        <w:rPr>
          <w:sz w:val="24"/>
        </w:rPr>
        <w:t>the Buyer shall (and shall procure that the Cabinet Office Markets and Suppliers</w:t>
      </w:r>
      <w:r w:rsidRPr="00150EDC">
        <w:rPr>
          <w:spacing w:val="-3"/>
          <w:sz w:val="24"/>
        </w:rPr>
        <w:t xml:space="preserve"> </w:t>
      </w:r>
      <w:r w:rsidRPr="00150EDC">
        <w:rPr>
          <w:sz w:val="24"/>
        </w:rPr>
        <w:t>Team</w:t>
      </w:r>
      <w:r w:rsidRPr="00150EDC">
        <w:rPr>
          <w:spacing w:val="-1"/>
          <w:sz w:val="24"/>
        </w:rPr>
        <w:t xml:space="preserve"> </w:t>
      </w:r>
      <w:r w:rsidRPr="00150EDC">
        <w:rPr>
          <w:sz w:val="24"/>
        </w:rPr>
        <w:t>shall)</w:t>
      </w:r>
      <w:r w:rsidRPr="00150EDC">
        <w:rPr>
          <w:spacing w:val="-4"/>
          <w:sz w:val="24"/>
        </w:rPr>
        <w:t xml:space="preserve"> </w:t>
      </w:r>
      <w:r w:rsidRPr="00150EDC">
        <w:rPr>
          <w:sz w:val="24"/>
        </w:rPr>
        <w:t>inform</w:t>
      </w:r>
      <w:r w:rsidRPr="00150EDC">
        <w:rPr>
          <w:spacing w:val="-4"/>
          <w:sz w:val="24"/>
        </w:rPr>
        <w:t xml:space="preserve"> </w:t>
      </w:r>
      <w:r w:rsidRPr="00150EDC">
        <w:rPr>
          <w:sz w:val="24"/>
        </w:rPr>
        <w:t>the</w:t>
      </w:r>
      <w:r w:rsidRPr="00150EDC">
        <w:rPr>
          <w:spacing w:val="-2"/>
          <w:sz w:val="24"/>
        </w:rPr>
        <w:t xml:space="preserve"> </w:t>
      </w:r>
      <w:r w:rsidRPr="00150EDC">
        <w:rPr>
          <w:sz w:val="24"/>
        </w:rPr>
        <w:t>Supplier</w:t>
      </w:r>
      <w:r w:rsidRPr="00150EDC">
        <w:rPr>
          <w:spacing w:val="-4"/>
          <w:sz w:val="24"/>
        </w:rPr>
        <w:t xml:space="preserve"> </w:t>
      </w:r>
      <w:r w:rsidRPr="00150EDC">
        <w:rPr>
          <w:sz w:val="24"/>
        </w:rPr>
        <w:t>in</w:t>
      </w:r>
      <w:r w:rsidRPr="00150EDC">
        <w:rPr>
          <w:spacing w:val="-2"/>
          <w:sz w:val="24"/>
        </w:rPr>
        <w:t xml:space="preserve"> </w:t>
      </w:r>
      <w:r w:rsidRPr="00150EDC">
        <w:rPr>
          <w:sz w:val="24"/>
        </w:rPr>
        <w:t>writing</w:t>
      </w:r>
      <w:r w:rsidRPr="00150EDC">
        <w:rPr>
          <w:spacing w:val="-2"/>
          <w:sz w:val="24"/>
        </w:rPr>
        <w:t xml:space="preserve"> </w:t>
      </w:r>
      <w:r w:rsidRPr="00150EDC">
        <w:rPr>
          <w:sz w:val="24"/>
        </w:rPr>
        <w:t>of</w:t>
      </w:r>
      <w:r w:rsidRPr="00150EDC">
        <w:rPr>
          <w:spacing w:val="-2"/>
          <w:sz w:val="24"/>
        </w:rPr>
        <w:t xml:space="preserve"> </w:t>
      </w:r>
      <w:r w:rsidRPr="00150EDC">
        <w:rPr>
          <w:sz w:val="24"/>
        </w:rPr>
        <w:t>its</w:t>
      </w:r>
      <w:r w:rsidRPr="00150EDC">
        <w:rPr>
          <w:spacing w:val="-3"/>
          <w:sz w:val="24"/>
        </w:rPr>
        <w:t xml:space="preserve"> </w:t>
      </w:r>
      <w:r w:rsidRPr="00150EDC">
        <w:rPr>
          <w:sz w:val="24"/>
        </w:rPr>
        <w:t>reasons</w:t>
      </w:r>
      <w:r w:rsidRPr="00150EDC">
        <w:rPr>
          <w:spacing w:val="-3"/>
          <w:sz w:val="24"/>
        </w:rPr>
        <w:t xml:space="preserve"> </w:t>
      </w:r>
      <w:r w:rsidRPr="00150EDC">
        <w:rPr>
          <w:sz w:val="24"/>
        </w:rPr>
        <w:t>for</w:t>
      </w:r>
      <w:r w:rsidRPr="00150EDC">
        <w:rPr>
          <w:spacing w:val="-6"/>
          <w:sz w:val="24"/>
        </w:rPr>
        <w:t xml:space="preserve"> </w:t>
      </w:r>
      <w:r w:rsidRPr="00150EDC">
        <w:rPr>
          <w:sz w:val="24"/>
        </w:rPr>
        <w:t>its rejection; and</w:t>
      </w:r>
    </w:p>
    <w:p w14:paraId="5B4A5917" w14:textId="77777777" w:rsidR="004C7180" w:rsidRPr="00150EDC" w:rsidRDefault="00CF0754" w:rsidP="00B320C7">
      <w:pPr>
        <w:pStyle w:val="ListParagraph"/>
        <w:numPr>
          <w:ilvl w:val="2"/>
          <w:numId w:val="45"/>
        </w:numPr>
        <w:tabs>
          <w:tab w:val="left" w:pos="2837"/>
          <w:tab w:val="left" w:pos="2839"/>
        </w:tabs>
        <w:spacing w:before="120"/>
        <w:ind w:left="2839" w:right="1510"/>
        <w:rPr>
          <w:sz w:val="24"/>
        </w:rPr>
      </w:pPr>
      <w:r w:rsidRPr="00150EDC">
        <w:rPr>
          <w:sz w:val="24"/>
        </w:rPr>
        <w:t>the Supplier shall revise the CRP Information, taking reasonable account of the Appropriate Authority’s or Appropriate Authorities’ comments,</w:t>
      </w:r>
      <w:r w:rsidRPr="00150EDC">
        <w:rPr>
          <w:spacing w:val="-3"/>
          <w:sz w:val="24"/>
        </w:rPr>
        <w:t xml:space="preserve"> </w:t>
      </w:r>
      <w:r w:rsidRPr="00150EDC">
        <w:rPr>
          <w:sz w:val="24"/>
        </w:rPr>
        <w:t>and</w:t>
      </w:r>
      <w:r w:rsidRPr="00150EDC">
        <w:rPr>
          <w:spacing w:val="-2"/>
          <w:sz w:val="24"/>
        </w:rPr>
        <w:t xml:space="preserve"> </w:t>
      </w:r>
      <w:r w:rsidRPr="00150EDC">
        <w:rPr>
          <w:sz w:val="24"/>
        </w:rPr>
        <w:t>shall</w:t>
      </w:r>
      <w:r w:rsidRPr="00150EDC">
        <w:rPr>
          <w:spacing w:val="-1"/>
          <w:sz w:val="24"/>
        </w:rPr>
        <w:t xml:space="preserve"> </w:t>
      </w:r>
      <w:r w:rsidRPr="00150EDC">
        <w:rPr>
          <w:sz w:val="24"/>
        </w:rPr>
        <w:t>re-submit the CRP Information to the Appropriate Authority or Appropriate Authorities for approval within 30 days of the date</w:t>
      </w:r>
      <w:r w:rsidRPr="00150EDC">
        <w:rPr>
          <w:spacing w:val="-5"/>
          <w:sz w:val="24"/>
        </w:rPr>
        <w:t xml:space="preserve"> </w:t>
      </w:r>
      <w:r w:rsidRPr="00150EDC">
        <w:rPr>
          <w:sz w:val="24"/>
        </w:rPr>
        <w:t>of</w:t>
      </w:r>
      <w:r w:rsidRPr="00150EDC">
        <w:rPr>
          <w:spacing w:val="-6"/>
          <w:sz w:val="24"/>
        </w:rPr>
        <w:t xml:space="preserve"> </w:t>
      </w:r>
      <w:r w:rsidRPr="00150EDC">
        <w:rPr>
          <w:sz w:val="24"/>
        </w:rPr>
        <w:t>the</w:t>
      </w:r>
      <w:r w:rsidRPr="00150EDC">
        <w:rPr>
          <w:spacing w:val="-5"/>
          <w:sz w:val="24"/>
        </w:rPr>
        <w:t xml:space="preserve"> </w:t>
      </w:r>
      <w:r w:rsidRPr="00150EDC">
        <w:rPr>
          <w:sz w:val="24"/>
        </w:rPr>
        <w:t>Appropriate</w:t>
      </w:r>
      <w:r w:rsidRPr="00150EDC">
        <w:rPr>
          <w:spacing w:val="-5"/>
          <w:sz w:val="24"/>
        </w:rPr>
        <w:t xml:space="preserve"> </w:t>
      </w:r>
      <w:r w:rsidRPr="00150EDC">
        <w:rPr>
          <w:sz w:val="24"/>
        </w:rPr>
        <w:t>Authority’s</w:t>
      </w:r>
      <w:r w:rsidRPr="00150EDC">
        <w:rPr>
          <w:spacing w:val="-4"/>
          <w:sz w:val="24"/>
        </w:rPr>
        <w:t xml:space="preserve"> </w:t>
      </w:r>
      <w:r w:rsidRPr="00150EDC">
        <w:rPr>
          <w:sz w:val="24"/>
        </w:rPr>
        <w:t>or</w:t>
      </w:r>
      <w:r w:rsidRPr="00150EDC">
        <w:rPr>
          <w:spacing w:val="-5"/>
          <w:sz w:val="24"/>
        </w:rPr>
        <w:t xml:space="preserve"> </w:t>
      </w:r>
      <w:r w:rsidRPr="00150EDC">
        <w:rPr>
          <w:sz w:val="24"/>
        </w:rPr>
        <w:t>Appropriate</w:t>
      </w:r>
      <w:r w:rsidRPr="00150EDC">
        <w:rPr>
          <w:spacing w:val="-3"/>
          <w:sz w:val="24"/>
        </w:rPr>
        <w:t xml:space="preserve"> </w:t>
      </w:r>
      <w:r w:rsidRPr="00150EDC">
        <w:rPr>
          <w:sz w:val="24"/>
        </w:rPr>
        <w:t>Authorities’</w:t>
      </w:r>
      <w:r w:rsidRPr="00150EDC">
        <w:rPr>
          <w:spacing w:val="-4"/>
          <w:sz w:val="24"/>
        </w:rPr>
        <w:t xml:space="preserve"> </w:t>
      </w:r>
      <w:r w:rsidRPr="00150EDC">
        <w:rPr>
          <w:sz w:val="24"/>
        </w:rPr>
        <w:t>rejection. The provisions of paragraph 2.3 to 2.5 of this Part B shall apply again to any resubmitted CRP Information provided that either Party may refer any disputed matters for resolution by the Dispute Resolution Procedure under Clause 34 of the Core Terms at any time.</w:t>
      </w:r>
    </w:p>
    <w:p w14:paraId="4E48A730" w14:textId="77777777" w:rsidR="004C7180" w:rsidRPr="00150EDC" w:rsidRDefault="00CF0754" w:rsidP="00B320C7">
      <w:pPr>
        <w:pStyle w:val="ListParagraph"/>
        <w:numPr>
          <w:ilvl w:val="1"/>
          <w:numId w:val="45"/>
        </w:numPr>
        <w:tabs>
          <w:tab w:val="left" w:pos="2116"/>
          <w:tab w:val="left" w:pos="2119"/>
        </w:tabs>
        <w:spacing w:before="118"/>
        <w:ind w:left="2119" w:right="1433"/>
        <w:jc w:val="both"/>
        <w:rPr>
          <w:sz w:val="24"/>
        </w:rPr>
      </w:pPr>
      <w:r w:rsidRPr="00150EDC">
        <w:rPr>
          <w:sz w:val="24"/>
        </w:rPr>
        <w:t>Where the Supplier or a member of the Supplier Group has already provided CRP Information</w:t>
      </w:r>
      <w:r w:rsidRPr="00150EDC">
        <w:rPr>
          <w:spacing w:val="-2"/>
          <w:sz w:val="24"/>
        </w:rPr>
        <w:t xml:space="preserve"> </w:t>
      </w:r>
      <w:r w:rsidRPr="00150EDC">
        <w:rPr>
          <w:sz w:val="24"/>
        </w:rPr>
        <w:t>to</w:t>
      </w:r>
      <w:r w:rsidRPr="00150EDC">
        <w:rPr>
          <w:spacing w:val="-2"/>
          <w:sz w:val="24"/>
        </w:rPr>
        <w:t xml:space="preserve"> </w:t>
      </w:r>
      <w:r w:rsidRPr="00150EDC">
        <w:rPr>
          <w:sz w:val="24"/>
        </w:rPr>
        <w:t>a</w:t>
      </w:r>
      <w:r w:rsidRPr="00150EDC">
        <w:rPr>
          <w:spacing w:val="-2"/>
          <w:sz w:val="24"/>
        </w:rPr>
        <w:t xml:space="preserve"> </w:t>
      </w:r>
      <w:r w:rsidRPr="00150EDC">
        <w:rPr>
          <w:sz w:val="24"/>
        </w:rPr>
        <w:t>Department</w:t>
      </w:r>
      <w:r w:rsidRPr="00150EDC">
        <w:rPr>
          <w:spacing w:val="-2"/>
          <w:sz w:val="24"/>
        </w:rPr>
        <w:t xml:space="preserve"> </w:t>
      </w:r>
      <w:r w:rsidRPr="00150EDC">
        <w:rPr>
          <w:sz w:val="24"/>
        </w:rPr>
        <w:t>or</w:t>
      </w:r>
      <w:r w:rsidRPr="00150EDC">
        <w:rPr>
          <w:spacing w:val="-4"/>
          <w:sz w:val="24"/>
        </w:rPr>
        <w:t xml:space="preserve"> </w:t>
      </w:r>
      <w:r w:rsidRPr="00150EDC">
        <w:rPr>
          <w:sz w:val="24"/>
        </w:rPr>
        <w:t>the</w:t>
      </w:r>
      <w:r w:rsidRPr="00150EDC">
        <w:rPr>
          <w:spacing w:val="-2"/>
          <w:sz w:val="24"/>
        </w:rPr>
        <w:t xml:space="preserve"> </w:t>
      </w:r>
      <w:r w:rsidRPr="00150EDC">
        <w:rPr>
          <w:sz w:val="24"/>
        </w:rPr>
        <w:t>Cabinet Office Markets</w:t>
      </w:r>
      <w:r w:rsidRPr="00150EDC">
        <w:rPr>
          <w:spacing w:val="-1"/>
          <w:sz w:val="24"/>
        </w:rPr>
        <w:t xml:space="preserve"> </w:t>
      </w:r>
      <w:r w:rsidRPr="00150EDC">
        <w:rPr>
          <w:sz w:val="24"/>
        </w:rPr>
        <w:t>and Suppliers Team (or, in the case of a Strategic Supplier, solely to the Cabinet Office Markets and Suppliers Team) and has received an Assurance of its CRP Information</w:t>
      </w:r>
      <w:r w:rsidRPr="00150EDC">
        <w:rPr>
          <w:spacing w:val="-17"/>
          <w:sz w:val="24"/>
        </w:rPr>
        <w:t xml:space="preserve"> </w:t>
      </w:r>
      <w:r w:rsidRPr="00150EDC">
        <w:rPr>
          <w:sz w:val="24"/>
        </w:rPr>
        <w:t>from</w:t>
      </w:r>
      <w:r w:rsidRPr="00150EDC">
        <w:rPr>
          <w:spacing w:val="-17"/>
          <w:sz w:val="24"/>
        </w:rPr>
        <w:t xml:space="preserve"> </w:t>
      </w:r>
      <w:r w:rsidRPr="00150EDC">
        <w:rPr>
          <w:sz w:val="24"/>
        </w:rPr>
        <w:t>that</w:t>
      </w:r>
      <w:r w:rsidRPr="00150EDC">
        <w:rPr>
          <w:spacing w:val="-16"/>
          <w:sz w:val="24"/>
        </w:rPr>
        <w:t xml:space="preserve"> </w:t>
      </w:r>
      <w:r w:rsidRPr="00150EDC">
        <w:rPr>
          <w:sz w:val="24"/>
        </w:rPr>
        <w:t>Department</w:t>
      </w:r>
      <w:r w:rsidRPr="00150EDC">
        <w:rPr>
          <w:spacing w:val="-17"/>
          <w:sz w:val="24"/>
        </w:rPr>
        <w:t xml:space="preserve"> </w:t>
      </w:r>
      <w:r w:rsidRPr="00150EDC">
        <w:rPr>
          <w:sz w:val="24"/>
        </w:rPr>
        <w:t>and</w:t>
      </w:r>
      <w:r w:rsidRPr="00150EDC">
        <w:rPr>
          <w:spacing w:val="-17"/>
          <w:sz w:val="24"/>
        </w:rPr>
        <w:t xml:space="preserve"> </w:t>
      </w:r>
      <w:r w:rsidRPr="00150EDC">
        <w:rPr>
          <w:sz w:val="24"/>
        </w:rPr>
        <w:t>the</w:t>
      </w:r>
      <w:r w:rsidRPr="00150EDC">
        <w:rPr>
          <w:spacing w:val="-17"/>
          <w:sz w:val="24"/>
        </w:rPr>
        <w:t xml:space="preserve"> </w:t>
      </w:r>
      <w:r w:rsidRPr="00150EDC">
        <w:rPr>
          <w:sz w:val="24"/>
        </w:rPr>
        <w:t>Cabinet</w:t>
      </w:r>
      <w:r w:rsidRPr="00150EDC">
        <w:rPr>
          <w:spacing w:val="-16"/>
          <w:sz w:val="24"/>
        </w:rPr>
        <w:t xml:space="preserve"> </w:t>
      </w:r>
      <w:r w:rsidRPr="00150EDC">
        <w:rPr>
          <w:sz w:val="24"/>
        </w:rPr>
        <w:t>Office</w:t>
      </w:r>
      <w:r w:rsidRPr="00150EDC">
        <w:rPr>
          <w:spacing w:val="-17"/>
          <w:sz w:val="24"/>
        </w:rPr>
        <w:t xml:space="preserve"> </w:t>
      </w:r>
      <w:r w:rsidRPr="00150EDC">
        <w:rPr>
          <w:sz w:val="24"/>
        </w:rPr>
        <w:t>Markets</w:t>
      </w:r>
      <w:r w:rsidRPr="00150EDC">
        <w:rPr>
          <w:spacing w:val="-16"/>
          <w:sz w:val="24"/>
        </w:rPr>
        <w:t xml:space="preserve"> </w:t>
      </w:r>
      <w:r w:rsidRPr="00150EDC">
        <w:rPr>
          <w:sz w:val="24"/>
        </w:rPr>
        <w:t>and</w:t>
      </w:r>
      <w:r w:rsidRPr="00150EDC">
        <w:rPr>
          <w:spacing w:val="-17"/>
          <w:sz w:val="24"/>
        </w:rPr>
        <w:t xml:space="preserve"> </w:t>
      </w:r>
      <w:r w:rsidRPr="00150EDC">
        <w:rPr>
          <w:sz w:val="24"/>
        </w:rPr>
        <w:t>Suppliers Team (or, in the case of a Strategic Supplier, solely from the Cabinet Office Markets</w:t>
      </w:r>
      <w:r w:rsidRPr="00150EDC">
        <w:rPr>
          <w:spacing w:val="-5"/>
          <w:sz w:val="24"/>
        </w:rPr>
        <w:t xml:space="preserve"> </w:t>
      </w:r>
      <w:r w:rsidRPr="00150EDC">
        <w:rPr>
          <w:sz w:val="24"/>
        </w:rPr>
        <w:t>and</w:t>
      </w:r>
      <w:r w:rsidRPr="00150EDC">
        <w:rPr>
          <w:spacing w:val="-7"/>
          <w:sz w:val="24"/>
        </w:rPr>
        <w:t xml:space="preserve"> </w:t>
      </w:r>
      <w:r w:rsidRPr="00150EDC">
        <w:rPr>
          <w:sz w:val="24"/>
        </w:rPr>
        <w:t>Suppliers</w:t>
      </w:r>
      <w:r w:rsidRPr="00150EDC">
        <w:rPr>
          <w:spacing w:val="-5"/>
          <w:sz w:val="24"/>
        </w:rPr>
        <w:t xml:space="preserve"> </w:t>
      </w:r>
      <w:r w:rsidRPr="00150EDC">
        <w:rPr>
          <w:sz w:val="24"/>
        </w:rPr>
        <w:t>Team),</w:t>
      </w:r>
      <w:r w:rsidRPr="00150EDC">
        <w:rPr>
          <w:spacing w:val="-5"/>
          <w:sz w:val="24"/>
        </w:rPr>
        <w:t xml:space="preserve"> </w:t>
      </w:r>
      <w:r w:rsidRPr="00150EDC">
        <w:rPr>
          <w:sz w:val="24"/>
        </w:rPr>
        <w:t>then</w:t>
      </w:r>
      <w:r w:rsidRPr="00150EDC">
        <w:rPr>
          <w:spacing w:val="-4"/>
          <w:sz w:val="24"/>
        </w:rPr>
        <w:t xml:space="preserve"> </w:t>
      </w:r>
      <w:r w:rsidRPr="00150EDC">
        <w:rPr>
          <w:sz w:val="24"/>
        </w:rPr>
        <w:t>provided</w:t>
      </w:r>
      <w:r w:rsidRPr="00150EDC">
        <w:rPr>
          <w:spacing w:val="-4"/>
          <w:sz w:val="24"/>
        </w:rPr>
        <w:t xml:space="preserve"> </w:t>
      </w:r>
      <w:r w:rsidRPr="00150EDC">
        <w:rPr>
          <w:sz w:val="24"/>
        </w:rPr>
        <w:t>that</w:t>
      </w:r>
      <w:r w:rsidRPr="00150EDC">
        <w:rPr>
          <w:spacing w:val="-5"/>
          <w:sz w:val="24"/>
        </w:rPr>
        <w:t xml:space="preserve"> </w:t>
      </w:r>
      <w:r w:rsidRPr="00150EDC">
        <w:rPr>
          <w:sz w:val="24"/>
        </w:rPr>
        <w:t>the</w:t>
      </w:r>
      <w:r w:rsidRPr="00150EDC">
        <w:rPr>
          <w:spacing w:val="-4"/>
          <w:sz w:val="24"/>
        </w:rPr>
        <w:t xml:space="preserve"> </w:t>
      </w:r>
      <w:r w:rsidRPr="00150EDC">
        <w:rPr>
          <w:sz w:val="24"/>
        </w:rPr>
        <w:t>Assurance</w:t>
      </w:r>
      <w:r w:rsidRPr="00150EDC">
        <w:rPr>
          <w:spacing w:val="-4"/>
          <w:sz w:val="24"/>
        </w:rPr>
        <w:t xml:space="preserve"> </w:t>
      </w:r>
      <w:r w:rsidRPr="00150EDC">
        <w:rPr>
          <w:sz w:val="24"/>
        </w:rPr>
        <w:t>remains</w:t>
      </w:r>
      <w:r w:rsidRPr="00150EDC">
        <w:rPr>
          <w:spacing w:val="-5"/>
          <w:sz w:val="24"/>
        </w:rPr>
        <w:t xml:space="preserve"> </w:t>
      </w:r>
      <w:r w:rsidRPr="00150EDC">
        <w:rPr>
          <w:sz w:val="24"/>
        </w:rPr>
        <w:t>Valid (which</w:t>
      </w:r>
      <w:r w:rsidRPr="00150EDC">
        <w:rPr>
          <w:spacing w:val="-6"/>
          <w:sz w:val="24"/>
        </w:rPr>
        <w:t xml:space="preserve"> </w:t>
      </w:r>
      <w:r w:rsidRPr="00150EDC">
        <w:rPr>
          <w:sz w:val="24"/>
        </w:rPr>
        <w:t>has</w:t>
      </w:r>
      <w:r w:rsidRPr="00150EDC">
        <w:rPr>
          <w:spacing w:val="-7"/>
          <w:sz w:val="24"/>
        </w:rPr>
        <w:t xml:space="preserve"> </w:t>
      </w:r>
      <w:r w:rsidRPr="00150EDC">
        <w:rPr>
          <w:sz w:val="24"/>
        </w:rPr>
        <w:t>the</w:t>
      </w:r>
      <w:r w:rsidRPr="00150EDC">
        <w:rPr>
          <w:spacing w:val="-6"/>
          <w:sz w:val="24"/>
        </w:rPr>
        <w:t xml:space="preserve"> </w:t>
      </w:r>
      <w:r w:rsidRPr="00150EDC">
        <w:rPr>
          <w:sz w:val="24"/>
        </w:rPr>
        <w:t>meaning</w:t>
      </w:r>
      <w:r w:rsidRPr="00150EDC">
        <w:rPr>
          <w:spacing w:val="-6"/>
          <w:sz w:val="24"/>
        </w:rPr>
        <w:t xml:space="preserve"> </w:t>
      </w:r>
      <w:r w:rsidRPr="00150EDC">
        <w:rPr>
          <w:sz w:val="24"/>
        </w:rPr>
        <w:t>in</w:t>
      </w:r>
      <w:r w:rsidRPr="00150EDC">
        <w:rPr>
          <w:spacing w:val="-6"/>
          <w:sz w:val="24"/>
        </w:rPr>
        <w:t xml:space="preserve"> </w:t>
      </w:r>
      <w:r w:rsidRPr="00150EDC">
        <w:rPr>
          <w:sz w:val="24"/>
        </w:rPr>
        <w:t>paragraph</w:t>
      </w:r>
      <w:r w:rsidRPr="00150EDC">
        <w:rPr>
          <w:spacing w:val="-6"/>
          <w:sz w:val="24"/>
        </w:rPr>
        <w:t xml:space="preserve"> </w:t>
      </w:r>
      <w:r w:rsidRPr="00150EDC">
        <w:rPr>
          <w:sz w:val="24"/>
        </w:rPr>
        <w:t>2.7</w:t>
      </w:r>
      <w:r w:rsidRPr="00150EDC">
        <w:rPr>
          <w:spacing w:val="-8"/>
          <w:sz w:val="24"/>
        </w:rPr>
        <w:t xml:space="preserve"> </w:t>
      </w:r>
      <w:r w:rsidRPr="00150EDC">
        <w:rPr>
          <w:sz w:val="24"/>
        </w:rPr>
        <w:t>below)</w:t>
      </w:r>
      <w:r w:rsidRPr="00150EDC">
        <w:rPr>
          <w:spacing w:val="-7"/>
          <w:sz w:val="24"/>
        </w:rPr>
        <w:t xml:space="preserve"> </w:t>
      </w:r>
      <w:r w:rsidRPr="00150EDC">
        <w:rPr>
          <w:sz w:val="24"/>
        </w:rPr>
        <w:t>on</w:t>
      </w:r>
      <w:r w:rsidRPr="00150EDC">
        <w:rPr>
          <w:spacing w:val="-6"/>
          <w:sz w:val="24"/>
        </w:rPr>
        <w:t xml:space="preserve"> </w:t>
      </w:r>
      <w:r w:rsidRPr="00150EDC">
        <w:rPr>
          <w:sz w:val="24"/>
        </w:rPr>
        <w:t>the</w:t>
      </w:r>
      <w:r w:rsidRPr="00150EDC">
        <w:rPr>
          <w:spacing w:val="-8"/>
          <w:sz w:val="24"/>
        </w:rPr>
        <w:t xml:space="preserve"> </w:t>
      </w:r>
      <w:r w:rsidRPr="00150EDC">
        <w:rPr>
          <w:sz w:val="24"/>
        </w:rPr>
        <w:t>date</w:t>
      </w:r>
      <w:r w:rsidRPr="00150EDC">
        <w:rPr>
          <w:spacing w:val="-8"/>
          <w:sz w:val="24"/>
        </w:rPr>
        <w:t xml:space="preserve"> </w:t>
      </w:r>
      <w:r w:rsidRPr="00150EDC">
        <w:rPr>
          <w:sz w:val="24"/>
        </w:rPr>
        <w:t>by</w:t>
      </w:r>
      <w:r w:rsidRPr="00150EDC">
        <w:rPr>
          <w:spacing w:val="-7"/>
          <w:sz w:val="24"/>
        </w:rPr>
        <w:t xml:space="preserve"> </w:t>
      </w:r>
      <w:r w:rsidRPr="00150EDC">
        <w:rPr>
          <w:sz w:val="24"/>
        </w:rPr>
        <w:t>which</w:t>
      </w:r>
      <w:r w:rsidRPr="00150EDC">
        <w:rPr>
          <w:spacing w:val="-6"/>
          <w:sz w:val="24"/>
        </w:rPr>
        <w:t xml:space="preserve"> </w:t>
      </w:r>
      <w:r w:rsidRPr="00150EDC">
        <w:rPr>
          <w:sz w:val="24"/>
        </w:rPr>
        <w:t>the</w:t>
      </w:r>
      <w:r w:rsidRPr="00150EDC">
        <w:rPr>
          <w:spacing w:val="-6"/>
          <w:sz w:val="24"/>
        </w:rPr>
        <w:t xml:space="preserve"> </w:t>
      </w:r>
      <w:r w:rsidRPr="00150EDC">
        <w:rPr>
          <w:sz w:val="24"/>
        </w:rPr>
        <w:t xml:space="preserve">CRP Information would otherwise be required, the Supplier shall not be required to provide the CRP Information under Paragraph 2.2 if it provides a copy of the Valid Assurance to the Appropriate Authority or Appropriate Authorities on or before the date on which the CRP Information would otherwise have been </w:t>
      </w:r>
      <w:r w:rsidRPr="00150EDC">
        <w:rPr>
          <w:spacing w:val="-2"/>
          <w:sz w:val="24"/>
        </w:rPr>
        <w:t>required.</w:t>
      </w:r>
    </w:p>
    <w:p w14:paraId="5442C27D" w14:textId="77777777" w:rsidR="004C7180" w:rsidRPr="00150EDC" w:rsidRDefault="00CF0754" w:rsidP="00B320C7">
      <w:pPr>
        <w:pStyle w:val="ListParagraph"/>
        <w:numPr>
          <w:ilvl w:val="1"/>
          <w:numId w:val="45"/>
        </w:numPr>
        <w:tabs>
          <w:tab w:val="left" w:pos="2116"/>
          <w:tab w:val="left" w:pos="2119"/>
        </w:tabs>
        <w:spacing w:before="120"/>
        <w:ind w:left="2119" w:right="1434"/>
        <w:jc w:val="both"/>
        <w:rPr>
          <w:sz w:val="24"/>
        </w:rPr>
      </w:pPr>
      <w:r w:rsidRPr="00150EDC">
        <w:rPr>
          <w:sz w:val="24"/>
        </w:rPr>
        <w:t>An</w:t>
      </w:r>
      <w:r w:rsidRPr="00150EDC">
        <w:rPr>
          <w:spacing w:val="-1"/>
          <w:sz w:val="24"/>
        </w:rPr>
        <w:t xml:space="preserve"> </w:t>
      </w:r>
      <w:r w:rsidRPr="00150EDC">
        <w:rPr>
          <w:sz w:val="24"/>
        </w:rPr>
        <w:t>Assurance shall</w:t>
      </w:r>
      <w:r w:rsidRPr="00150EDC">
        <w:rPr>
          <w:spacing w:val="-2"/>
          <w:sz w:val="24"/>
        </w:rPr>
        <w:t xml:space="preserve"> </w:t>
      </w:r>
      <w:r w:rsidRPr="00150EDC">
        <w:rPr>
          <w:sz w:val="24"/>
        </w:rPr>
        <w:t>be</w:t>
      </w:r>
      <w:r w:rsidRPr="00150EDC">
        <w:rPr>
          <w:spacing w:val="-1"/>
          <w:sz w:val="24"/>
        </w:rPr>
        <w:t xml:space="preserve"> </w:t>
      </w:r>
      <w:r w:rsidRPr="00150EDC">
        <w:rPr>
          <w:sz w:val="24"/>
        </w:rPr>
        <w:t>deemed</w:t>
      </w:r>
      <w:r w:rsidRPr="00150EDC">
        <w:rPr>
          <w:spacing w:val="-1"/>
          <w:sz w:val="24"/>
        </w:rPr>
        <w:t xml:space="preserve"> </w:t>
      </w:r>
      <w:r w:rsidRPr="00150EDC">
        <w:rPr>
          <w:sz w:val="24"/>
        </w:rPr>
        <w:t>Valid</w:t>
      </w:r>
      <w:r w:rsidRPr="00150EDC">
        <w:rPr>
          <w:spacing w:val="-1"/>
          <w:sz w:val="24"/>
        </w:rPr>
        <w:t xml:space="preserve"> </w:t>
      </w:r>
      <w:r w:rsidRPr="00150EDC">
        <w:rPr>
          <w:sz w:val="24"/>
        </w:rPr>
        <w:t>for</w:t>
      </w:r>
      <w:r w:rsidRPr="00150EDC">
        <w:rPr>
          <w:spacing w:val="-3"/>
          <w:sz w:val="24"/>
        </w:rPr>
        <w:t xml:space="preserve"> </w:t>
      </w:r>
      <w:r w:rsidRPr="00150EDC">
        <w:rPr>
          <w:sz w:val="24"/>
        </w:rPr>
        <w:t>the</w:t>
      </w:r>
      <w:r w:rsidRPr="00150EDC">
        <w:rPr>
          <w:spacing w:val="-1"/>
          <w:sz w:val="24"/>
        </w:rPr>
        <w:t xml:space="preserve"> </w:t>
      </w:r>
      <w:r w:rsidRPr="00150EDC">
        <w:rPr>
          <w:sz w:val="24"/>
        </w:rPr>
        <w:t>purposes</w:t>
      </w:r>
      <w:r w:rsidRPr="00150EDC">
        <w:rPr>
          <w:spacing w:val="-2"/>
          <w:sz w:val="24"/>
        </w:rPr>
        <w:t xml:space="preserve"> </w:t>
      </w:r>
      <w:r w:rsidRPr="00150EDC">
        <w:rPr>
          <w:sz w:val="24"/>
        </w:rPr>
        <w:t>of</w:t>
      </w:r>
      <w:r w:rsidRPr="00150EDC">
        <w:rPr>
          <w:spacing w:val="-1"/>
          <w:sz w:val="24"/>
        </w:rPr>
        <w:t xml:space="preserve"> </w:t>
      </w:r>
      <w:r w:rsidRPr="00150EDC">
        <w:rPr>
          <w:sz w:val="24"/>
        </w:rPr>
        <w:t>Paragraph</w:t>
      </w:r>
      <w:r w:rsidRPr="00150EDC">
        <w:rPr>
          <w:spacing w:val="-1"/>
          <w:sz w:val="24"/>
        </w:rPr>
        <w:t xml:space="preserve"> </w:t>
      </w:r>
      <w:r w:rsidRPr="00150EDC">
        <w:rPr>
          <w:sz w:val="24"/>
        </w:rPr>
        <w:t>2.6 of this Part B if:</w:t>
      </w:r>
    </w:p>
    <w:p w14:paraId="202C1E63" w14:textId="77777777" w:rsidR="004C7180" w:rsidRPr="00150EDC" w:rsidRDefault="00CF0754" w:rsidP="00B320C7">
      <w:pPr>
        <w:pStyle w:val="ListParagraph"/>
        <w:numPr>
          <w:ilvl w:val="2"/>
          <w:numId w:val="45"/>
        </w:numPr>
        <w:tabs>
          <w:tab w:val="left" w:pos="2837"/>
          <w:tab w:val="left" w:pos="2839"/>
        </w:tabs>
        <w:spacing w:before="120"/>
        <w:ind w:left="2839" w:right="1445"/>
        <w:jc w:val="both"/>
        <w:rPr>
          <w:sz w:val="24"/>
        </w:rPr>
      </w:pPr>
      <w:r w:rsidRPr="00150EDC">
        <w:rPr>
          <w:sz w:val="24"/>
        </w:rPr>
        <w:t>the</w:t>
      </w:r>
      <w:r w:rsidRPr="00150EDC">
        <w:rPr>
          <w:spacing w:val="-2"/>
          <w:sz w:val="24"/>
        </w:rPr>
        <w:t xml:space="preserve"> </w:t>
      </w:r>
      <w:r w:rsidRPr="00150EDC">
        <w:rPr>
          <w:sz w:val="24"/>
        </w:rPr>
        <w:t>Assurance</w:t>
      </w:r>
      <w:r w:rsidRPr="00150EDC">
        <w:rPr>
          <w:spacing w:val="-2"/>
          <w:sz w:val="24"/>
        </w:rPr>
        <w:t xml:space="preserve"> </w:t>
      </w:r>
      <w:r w:rsidRPr="00150EDC">
        <w:rPr>
          <w:sz w:val="24"/>
        </w:rPr>
        <w:t>is</w:t>
      </w:r>
      <w:r w:rsidRPr="00150EDC">
        <w:rPr>
          <w:spacing w:val="-3"/>
          <w:sz w:val="24"/>
        </w:rPr>
        <w:t xml:space="preserve"> </w:t>
      </w:r>
      <w:r w:rsidRPr="00150EDC">
        <w:rPr>
          <w:sz w:val="24"/>
        </w:rPr>
        <w:t>within</w:t>
      </w:r>
      <w:r w:rsidRPr="00150EDC">
        <w:rPr>
          <w:spacing w:val="-4"/>
          <w:sz w:val="24"/>
        </w:rPr>
        <w:t xml:space="preserve"> </w:t>
      </w:r>
      <w:r w:rsidRPr="00150EDC">
        <w:rPr>
          <w:sz w:val="24"/>
        </w:rPr>
        <w:t>the</w:t>
      </w:r>
      <w:r w:rsidRPr="00150EDC">
        <w:rPr>
          <w:spacing w:val="-2"/>
          <w:sz w:val="24"/>
        </w:rPr>
        <w:t xml:space="preserve"> </w:t>
      </w:r>
      <w:r w:rsidRPr="00150EDC">
        <w:rPr>
          <w:sz w:val="24"/>
        </w:rPr>
        <w:t>validity</w:t>
      </w:r>
      <w:r w:rsidRPr="00150EDC">
        <w:rPr>
          <w:spacing w:val="-3"/>
          <w:sz w:val="24"/>
        </w:rPr>
        <w:t xml:space="preserve"> </w:t>
      </w:r>
      <w:r w:rsidRPr="00150EDC">
        <w:rPr>
          <w:sz w:val="24"/>
        </w:rPr>
        <w:t>period</w:t>
      </w:r>
      <w:r w:rsidRPr="00150EDC">
        <w:rPr>
          <w:spacing w:val="-2"/>
          <w:sz w:val="24"/>
        </w:rPr>
        <w:t xml:space="preserve"> </w:t>
      </w:r>
      <w:r w:rsidRPr="00150EDC">
        <w:rPr>
          <w:sz w:val="24"/>
        </w:rPr>
        <w:t>stated</w:t>
      </w:r>
      <w:r w:rsidRPr="00150EDC">
        <w:rPr>
          <w:spacing w:val="-2"/>
          <w:sz w:val="24"/>
        </w:rPr>
        <w:t xml:space="preserve"> </w:t>
      </w:r>
      <w:r w:rsidRPr="00150EDC">
        <w:rPr>
          <w:sz w:val="24"/>
        </w:rPr>
        <w:t>in</w:t>
      </w:r>
      <w:r w:rsidRPr="00150EDC">
        <w:rPr>
          <w:spacing w:val="-4"/>
          <w:sz w:val="24"/>
        </w:rPr>
        <w:t xml:space="preserve"> </w:t>
      </w:r>
      <w:r w:rsidRPr="00150EDC">
        <w:rPr>
          <w:sz w:val="24"/>
        </w:rPr>
        <w:t>the</w:t>
      </w:r>
      <w:r w:rsidRPr="00150EDC">
        <w:rPr>
          <w:spacing w:val="-4"/>
          <w:sz w:val="24"/>
        </w:rPr>
        <w:t xml:space="preserve"> </w:t>
      </w:r>
      <w:r w:rsidRPr="00150EDC">
        <w:rPr>
          <w:sz w:val="24"/>
        </w:rPr>
        <w:t>Assurance</w:t>
      </w:r>
      <w:r w:rsidRPr="00150EDC">
        <w:rPr>
          <w:spacing w:val="-2"/>
          <w:sz w:val="24"/>
        </w:rPr>
        <w:t xml:space="preserve"> </w:t>
      </w:r>
      <w:r w:rsidRPr="00150EDC">
        <w:rPr>
          <w:sz w:val="24"/>
        </w:rPr>
        <w:t>(or,</w:t>
      </w:r>
      <w:r w:rsidRPr="00150EDC">
        <w:rPr>
          <w:spacing w:val="-2"/>
          <w:sz w:val="24"/>
        </w:rPr>
        <w:t xml:space="preserve"> </w:t>
      </w:r>
      <w:r w:rsidRPr="00150EDC">
        <w:rPr>
          <w:sz w:val="24"/>
        </w:rPr>
        <w:t>if no validity period is stated, no more than 12 months has elapsed since</w:t>
      </w:r>
    </w:p>
    <w:p w14:paraId="579681CC" w14:textId="77777777" w:rsidR="004C7180" w:rsidRPr="00150EDC" w:rsidRDefault="004C7180">
      <w:pPr>
        <w:jc w:val="both"/>
        <w:rPr>
          <w:sz w:val="24"/>
        </w:rPr>
        <w:sectPr w:rsidR="004C7180" w:rsidRPr="00150EDC">
          <w:pgSz w:w="11910" w:h="16840"/>
          <w:pgMar w:top="1380" w:right="0" w:bottom="1380" w:left="40" w:header="715" w:footer="1192" w:gutter="0"/>
          <w:cols w:space="720"/>
        </w:sectPr>
      </w:pPr>
    </w:p>
    <w:p w14:paraId="43FE540A" w14:textId="77777777" w:rsidR="004C7180" w:rsidRPr="00150EDC" w:rsidRDefault="004C7180">
      <w:pPr>
        <w:pStyle w:val="BodyText"/>
        <w:spacing w:before="1"/>
        <w:rPr>
          <w:sz w:val="12"/>
        </w:rPr>
      </w:pPr>
    </w:p>
    <w:p w14:paraId="0EEAD0D0" w14:textId="77777777" w:rsidR="004C7180" w:rsidRPr="00150EDC" w:rsidRDefault="00CF0754">
      <w:pPr>
        <w:pStyle w:val="BodyText"/>
        <w:spacing w:before="92"/>
        <w:ind w:left="2840" w:right="1459"/>
      </w:pPr>
      <w:r w:rsidRPr="00150EDC">
        <w:t>it was issued and no more than 18 months has elapsed since the Accounting</w:t>
      </w:r>
      <w:r w:rsidRPr="00150EDC">
        <w:rPr>
          <w:spacing w:val="-3"/>
        </w:rPr>
        <w:t xml:space="preserve"> </w:t>
      </w:r>
      <w:r w:rsidRPr="00150EDC">
        <w:t>Reference</w:t>
      </w:r>
      <w:r w:rsidRPr="00150EDC">
        <w:rPr>
          <w:spacing w:val="-5"/>
        </w:rPr>
        <w:t xml:space="preserve"> </w:t>
      </w:r>
      <w:r w:rsidRPr="00150EDC">
        <w:t>Date</w:t>
      </w:r>
      <w:r w:rsidRPr="00150EDC">
        <w:rPr>
          <w:spacing w:val="-3"/>
        </w:rPr>
        <w:t xml:space="preserve"> </w:t>
      </w:r>
      <w:r w:rsidRPr="00150EDC">
        <w:t>on</w:t>
      </w:r>
      <w:r w:rsidRPr="00150EDC">
        <w:rPr>
          <w:spacing w:val="-3"/>
        </w:rPr>
        <w:t xml:space="preserve"> </w:t>
      </w:r>
      <w:r w:rsidRPr="00150EDC">
        <w:t>which</w:t>
      </w:r>
      <w:r w:rsidRPr="00150EDC">
        <w:rPr>
          <w:spacing w:val="-5"/>
        </w:rPr>
        <w:t xml:space="preserve"> </w:t>
      </w:r>
      <w:r w:rsidRPr="00150EDC">
        <w:t>the</w:t>
      </w:r>
      <w:r w:rsidRPr="00150EDC">
        <w:rPr>
          <w:spacing w:val="-5"/>
        </w:rPr>
        <w:t xml:space="preserve"> </w:t>
      </w:r>
      <w:r w:rsidRPr="00150EDC">
        <w:t>CRP</w:t>
      </w:r>
      <w:r w:rsidRPr="00150EDC">
        <w:rPr>
          <w:spacing w:val="-3"/>
        </w:rPr>
        <w:t xml:space="preserve"> </w:t>
      </w:r>
      <w:r w:rsidRPr="00150EDC">
        <w:t>Information</w:t>
      </w:r>
      <w:r w:rsidRPr="00150EDC">
        <w:rPr>
          <w:spacing w:val="-3"/>
        </w:rPr>
        <w:t xml:space="preserve"> </w:t>
      </w:r>
      <w:r w:rsidRPr="00150EDC">
        <w:t>was</w:t>
      </w:r>
      <w:r w:rsidRPr="00150EDC">
        <w:rPr>
          <w:spacing w:val="-4"/>
        </w:rPr>
        <w:t xml:space="preserve"> </w:t>
      </w:r>
      <w:r w:rsidRPr="00150EDC">
        <w:t xml:space="preserve">based); </w:t>
      </w:r>
      <w:r w:rsidRPr="00150EDC">
        <w:rPr>
          <w:spacing w:val="-4"/>
        </w:rPr>
        <w:t>and</w:t>
      </w:r>
    </w:p>
    <w:p w14:paraId="6159727C" w14:textId="77777777" w:rsidR="004C7180" w:rsidRPr="00150EDC" w:rsidRDefault="00CF0754" w:rsidP="00B320C7">
      <w:pPr>
        <w:pStyle w:val="ListParagraph"/>
        <w:numPr>
          <w:ilvl w:val="2"/>
          <w:numId w:val="45"/>
        </w:numPr>
        <w:tabs>
          <w:tab w:val="left" w:pos="2838"/>
          <w:tab w:val="left" w:pos="2840"/>
        </w:tabs>
        <w:spacing w:before="121"/>
        <w:ind w:right="1670"/>
        <w:jc w:val="both"/>
        <w:rPr>
          <w:sz w:val="24"/>
        </w:rPr>
      </w:pPr>
      <w:r w:rsidRPr="00150EDC">
        <w:rPr>
          <w:sz w:val="24"/>
        </w:rPr>
        <w:t>no Corporate Change Events or Financial Distress Events (or events which would</w:t>
      </w:r>
      <w:r w:rsidRPr="00150EDC">
        <w:rPr>
          <w:spacing w:val="-2"/>
          <w:sz w:val="24"/>
        </w:rPr>
        <w:t xml:space="preserve"> </w:t>
      </w:r>
      <w:r w:rsidRPr="00150EDC">
        <w:rPr>
          <w:sz w:val="24"/>
        </w:rPr>
        <w:t>be</w:t>
      </w:r>
      <w:r w:rsidRPr="00150EDC">
        <w:rPr>
          <w:spacing w:val="-2"/>
          <w:sz w:val="24"/>
        </w:rPr>
        <w:t xml:space="preserve"> </w:t>
      </w:r>
      <w:r w:rsidRPr="00150EDC">
        <w:rPr>
          <w:sz w:val="24"/>
        </w:rPr>
        <w:t>deemed to</w:t>
      </w:r>
      <w:r w:rsidRPr="00150EDC">
        <w:rPr>
          <w:spacing w:val="-2"/>
          <w:sz w:val="24"/>
        </w:rPr>
        <w:t xml:space="preserve"> </w:t>
      </w:r>
      <w:r w:rsidRPr="00150EDC">
        <w:rPr>
          <w:sz w:val="24"/>
        </w:rPr>
        <w:t>be Corporate Change</w:t>
      </w:r>
      <w:r w:rsidRPr="00150EDC">
        <w:rPr>
          <w:spacing w:val="-2"/>
          <w:sz w:val="24"/>
        </w:rPr>
        <w:t xml:space="preserve"> </w:t>
      </w:r>
      <w:r w:rsidRPr="00150EDC">
        <w:rPr>
          <w:sz w:val="24"/>
        </w:rPr>
        <w:t>Events</w:t>
      </w:r>
      <w:r w:rsidRPr="00150EDC">
        <w:rPr>
          <w:spacing w:val="-1"/>
          <w:sz w:val="24"/>
        </w:rPr>
        <w:t xml:space="preserve"> </w:t>
      </w:r>
      <w:r w:rsidRPr="00150EDC">
        <w:rPr>
          <w:sz w:val="24"/>
        </w:rPr>
        <w:t>or</w:t>
      </w:r>
      <w:r w:rsidRPr="00150EDC">
        <w:rPr>
          <w:spacing w:val="-2"/>
          <w:sz w:val="24"/>
        </w:rPr>
        <w:t xml:space="preserve"> </w:t>
      </w:r>
      <w:r w:rsidRPr="00150EDC">
        <w:rPr>
          <w:sz w:val="24"/>
        </w:rPr>
        <w:t>Financial Distress</w:t>
      </w:r>
      <w:r w:rsidRPr="00150EDC">
        <w:rPr>
          <w:spacing w:val="-3"/>
          <w:sz w:val="24"/>
        </w:rPr>
        <w:t xml:space="preserve"> </w:t>
      </w:r>
      <w:r w:rsidRPr="00150EDC">
        <w:rPr>
          <w:sz w:val="24"/>
        </w:rPr>
        <w:t>Events</w:t>
      </w:r>
      <w:r w:rsidRPr="00150EDC">
        <w:rPr>
          <w:spacing w:val="-5"/>
          <w:sz w:val="24"/>
        </w:rPr>
        <w:t xml:space="preserve"> </w:t>
      </w:r>
      <w:r w:rsidRPr="00150EDC">
        <w:rPr>
          <w:sz w:val="24"/>
        </w:rPr>
        <w:t>if</w:t>
      </w:r>
      <w:r w:rsidRPr="00150EDC">
        <w:rPr>
          <w:spacing w:val="-2"/>
          <w:sz w:val="24"/>
        </w:rPr>
        <w:t xml:space="preserve"> </w:t>
      </w:r>
      <w:r w:rsidRPr="00150EDC">
        <w:rPr>
          <w:sz w:val="24"/>
        </w:rPr>
        <w:t>the</w:t>
      </w:r>
      <w:r w:rsidRPr="00150EDC">
        <w:rPr>
          <w:spacing w:val="-4"/>
          <w:sz w:val="24"/>
        </w:rPr>
        <w:t xml:space="preserve"> </w:t>
      </w:r>
      <w:r w:rsidRPr="00150EDC">
        <w:rPr>
          <w:sz w:val="24"/>
        </w:rPr>
        <w:t>Contract</w:t>
      </w:r>
      <w:r w:rsidRPr="00150EDC">
        <w:rPr>
          <w:spacing w:val="-5"/>
          <w:sz w:val="24"/>
        </w:rPr>
        <w:t xml:space="preserve"> </w:t>
      </w:r>
      <w:r w:rsidRPr="00150EDC">
        <w:rPr>
          <w:sz w:val="24"/>
        </w:rPr>
        <w:t>had</w:t>
      </w:r>
      <w:r w:rsidRPr="00150EDC">
        <w:rPr>
          <w:spacing w:val="-4"/>
          <w:sz w:val="24"/>
        </w:rPr>
        <w:t xml:space="preserve"> </w:t>
      </w:r>
      <w:r w:rsidRPr="00150EDC">
        <w:rPr>
          <w:sz w:val="24"/>
        </w:rPr>
        <w:t>then</w:t>
      </w:r>
      <w:r w:rsidRPr="00150EDC">
        <w:rPr>
          <w:spacing w:val="-4"/>
          <w:sz w:val="24"/>
        </w:rPr>
        <w:t xml:space="preserve"> </w:t>
      </w:r>
      <w:r w:rsidRPr="00150EDC">
        <w:rPr>
          <w:sz w:val="24"/>
        </w:rPr>
        <w:t>been</w:t>
      </w:r>
      <w:r w:rsidRPr="00150EDC">
        <w:rPr>
          <w:spacing w:val="-2"/>
          <w:sz w:val="24"/>
        </w:rPr>
        <w:t xml:space="preserve"> </w:t>
      </w:r>
      <w:r w:rsidRPr="00150EDC">
        <w:rPr>
          <w:sz w:val="24"/>
        </w:rPr>
        <w:t>in</w:t>
      </w:r>
      <w:r w:rsidRPr="00150EDC">
        <w:rPr>
          <w:spacing w:val="-2"/>
          <w:sz w:val="24"/>
        </w:rPr>
        <w:t xml:space="preserve"> </w:t>
      </w:r>
      <w:r w:rsidRPr="00150EDC">
        <w:rPr>
          <w:sz w:val="24"/>
        </w:rPr>
        <w:t>force)</w:t>
      </w:r>
      <w:r w:rsidRPr="00150EDC">
        <w:rPr>
          <w:spacing w:val="-4"/>
          <w:sz w:val="24"/>
        </w:rPr>
        <w:t xml:space="preserve"> </w:t>
      </w:r>
      <w:r w:rsidRPr="00150EDC">
        <w:rPr>
          <w:sz w:val="24"/>
        </w:rPr>
        <w:t>have</w:t>
      </w:r>
      <w:r w:rsidRPr="00150EDC">
        <w:rPr>
          <w:spacing w:val="-2"/>
          <w:sz w:val="24"/>
        </w:rPr>
        <w:t xml:space="preserve"> </w:t>
      </w:r>
      <w:r w:rsidRPr="00150EDC">
        <w:rPr>
          <w:sz w:val="24"/>
        </w:rPr>
        <w:t>occurred since the date of issue of the Assurance.</w:t>
      </w:r>
    </w:p>
    <w:p w14:paraId="3F89DE5B" w14:textId="77777777" w:rsidR="004C7180" w:rsidRPr="00150EDC" w:rsidRDefault="00CF0754" w:rsidP="00B320C7">
      <w:pPr>
        <w:pStyle w:val="ListParagraph"/>
        <w:numPr>
          <w:ilvl w:val="1"/>
          <w:numId w:val="45"/>
        </w:numPr>
        <w:tabs>
          <w:tab w:val="left" w:pos="2117"/>
          <w:tab w:val="left" w:pos="2120"/>
        </w:tabs>
        <w:spacing w:before="120"/>
        <w:ind w:right="1434"/>
        <w:jc w:val="both"/>
        <w:rPr>
          <w:sz w:val="24"/>
        </w:rPr>
      </w:pPr>
      <w:r w:rsidRPr="00150EDC">
        <w:rPr>
          <w:sz w:val="24"/>
        </w:rPr>
        <w:t>If the Contract is a Critical Service Contract, the Supplier shall provide an updated version of the CRP Information (or, in the case of Paragraph 2.8.3 of this Part B its initial CRP Information) to the Appropriate Authority or Appropriate Authorities:</w:t>
      </w:r>
    </w:p>
    <w:p w14:paraId="272424B3" w14:textId="77777777" w:rsidR="004C7180" w:rsidRPr="00150EDC" w:rsidRDefault="00CF0754" w:rsidP="00B320C7">
      <w:pPr>
        <w:pStyle w:val="ListParagraph"/>
        <w:numPr>
          <w:ilvl w:val="2"/>
          <w:numId w:val="45"/>
        </w:numPr>
        <w:tabs>
          <w:tab w:val="left" w:pos="2838"/>
          <w:tab w:val="left" w:pos="2840"/>
        </w:tabs>
        <w:spacing w:before="120"/>
        <w:ind w:right="1632"/>
        <w:rPr>
          <w:sz w:val="24"/>
        </w:rPr>
      </w:pPr>
      <w:r w:rsidRPr="00150EDC">
        <w:rPr>
          <w:sz w:val="24"/>
        </w:rPr>
        <w:t>within 14 days of the occurrence of a Financial Distress Event (along with</w:t>
      </w:r>
      <w:r w:rsidRPr="00150EDC">
        <w:rPr>
          <w:spacing w:val="-3"/>
          <w:sz w:val="24"/>
        </w:rPr>
        <w:t xml:space="preserve"> </w:t>
      </w:r>
      <w:r w:rsidRPr="00150EDC">
        <w:rPr>
          <w:sz w:val="24"/>
        </w:rPr>
        <w:t>any</w:t>
      </w:r>
      <w:r w:rsidRPr="00150EDC">
        <w:rPr>
          <w:spacing w:val="-6"/>
          <w:sz w:val="24"/>
        </w:rPr>
        <w:t xml:space="preserve"> </w:t>
      </w:r>
      <w:r w:rsidRPr="00150EDC">
        <w:rPr>
          <w:sz w:val="24"/>
        </w:rPr>
        <w:t>additional</w:t>
      </w:r>
      <w:r w:rsidRPr="00150EDC">
        <w:rPr>
          <w:spacing w:val="-7"/>
          <w:sz w:val="24"/>
        </w:rPr>
        <w:t xml:space="preserve"> </w:t>
      </w:r>
      <w:r w:rsidRPr="00150EDC">
        <w:rPr>
          <w:sz w:val="24"/>
        </w:rPr>
        <w:t>highly</w:t>
      </w:r>
      <w:r w:rsidRPr="00150EDC">
        <w:rPr>
          <w:spacing w:val="-4"/>
          <w:sz w:val="24"/>
        </w:rPr>
        <w:t xml:space="preserve"> </w:t>
      </w:r>
      <w:r w:rsidRPr="00150EDC">
        <w:rPr>
          <w:sz w:val="24"/>
        </w:rPr>
        <w:t>confidential</w:t>
      </w:r>
      <w:r w:rsidRPr="00150EDC">
        <w:rPr>
          <w:spacing w:val="-4"/>
          <w:sz w:val="24"/>
        </w:rPr>
        <w:t xml:space="preserve"> </w:t>
      </w:r>
      <w:r w:rsidRPr="00150EDC">
        <w:rPr>
          <w:sz w:val="24"/>
        </w:rPr>
        <w:t>information</w:t>
      </w:r>
      <w:r w:rsidRPr="00150EDC">
        <w:rPr>
          <w:spacing w:val="-3"/>
          <w:sz w:val="24"/>
        </w:rPr>
        <w:t xml:space="preserve"> </w:t>
      </w:r>
      <w:r w:rsidRPr="00150EDC">
        <w:rPr>
          <w:sz w:val="24"/>
        </w:rPr>
        <w:t>no</w:t>
      </w:r>
      <w:r w:rsidRPr="00150EDC">
        <w:rPr>
          <w:spacing w:val="-3"/>
          <w:sz w:val="24"/>
        </w:rPr>
        <w:t xml:space="preserve"> </w:t>
      </w:r>
      <w:r w:rsidRPr="00150EDC">
        <w:rPr>
          <w:sz w:val="24"/>
        </w:rPr>
        <w:t>longer</w:t>
      </w:r>
      <w:r w:rsidRPr="00150EDC">
        <w:rPr>
          <w:spacing w:val="-7"/>
          <w:sz w:val="24"/>
        </w:rPr>
        <w:t xml:space="preserve"> </w:t>
      </w:r>
      <w:r w:rsidRPr="00150EDC">
        <w:rPr>
          <w:sz w:val="24"/>
        </w:rPr>
        <w:t>exempted from disclosure under Paragraph 2.11 of this Part B) unless the Supplier is relieved of the consequences of the Financial Distress Event</w:t>
      </w:r>
      <w:r w:rsidRPr="00150EDC">
        <w:rPr>
          <w:spacing w:val="-4"/>
          <w:sz w:val="24"/>
        </w:rPr>
        <w:t xml:space="preserve"> </w:t>
      </w:r>
      <w:r w:rsidRPr="00150EDC">
        <w:rPr>
          <w:sz w:val="24"/>
        </w:rPr>
        <w:t>under</w:t>
      </w:r>
      <w:r w:rsidRPr="00150EDC">
        <w:rPr>
          <w:spacing w:val="-3"/>
          <w:sz w:val="24"/>
        </w:rPr>
        <w:t xml:space="preserve"> </w:t>
      </w:r>
      <w:r w:rsidRPr="00150EDC">
        <w:rPr>
          <w:sz w:val="24"/>
        </w:rPr>
        <w:t>Paragraph</w:t>
      </w:r>
      <w:r w:rsidRPr="00150EDC">
        <w:rPr>
          <w:spacing w:val="-1"/>
          <w:sz w:val="24"/>
        </w:rPr>
        <w:t xml:space="preserve"> </w:t>
      </w:r>
      <w:r w:rsidRPr="00150EDC">
        <w:rPr>
          <w:sz w:val="24"/>
        </w:rPr>
        <w:t>7.1</w:t>
      </w:r>
      <w:r w:rsidRPr="00150EDC">
        <w:rPr>
          <w:spacing w:val="-1"/>
          <w:sz w:val="24"/>
        </w:rPr>
        <w:t xml:space="preserve"> </w:t>
      </w:r>
      <w:r w:rsidRPr="00150EDC">
        <w:rPr>
          <w:sz w:val="24"/>
        </w:rPr>
        <w:t>of</w:t>
      </w:r>
      <w:r w:rsidRPr="00150EDC">
        <w:rPr>
          <w:spacing w:val="-4"/>
          <w:sz w:val="24"/>
        </w:rPr>
        <w:t xml:space="preserve"> </w:t>
      </w:r>
      <w:r w:rsidRPr="00150EDC">
        <w:rPr>
          <w:sz w:val="24"/>
        </w:rPr>
        <w:t>Joint</w:t>
      </w:r>
      <w:r w:rsidRPr="00150EDC">
        <w:rPr>
          <w:spacing w:val="-4"/>
          <w:sz w:val="24"/>
        </w:rPr>
        <w:t xml:space="preserve"> </w:t>
      </w:r>
      <w:r w:rsidRPr="00150EDC">
        <w:rPr>
          <w:sz w:val="24"/>
        </w:rPr>
        <w:t>Schedule</w:t>
      </w:r>
      <w:r w:rsidRPr="00150EDC">
        <w:rPr>
          <w:spacing w:val="-3"/>
          <w:sz w:val="24"/>
        </w:rPr>
        <w:t xml:space="preserve"> </w:t>
      </w:r>
      <w:r w:rsidRPr="00150EDC">
        <w:rPr>
          <w:sz w:val="24"/>
        </w:rPr>
        <w:t>7</w:t>
      </w:r>
      <w:r w:rsidRPr="00150EDC">
        <w:rPr>
          <w:spacing w:val="-1"/>
          <w:sz w:val="24"/>
        </w:rPr>
        <w:t xml:space="preserve"> </w:t>
      </w:r>
      <w:r w:rsidRPr="00150EDC">
        <w:rPr>
          <w:sz w:val="24"/>
        </w:rPr>
        <w:t>(Financial</w:t>
      </w:r>
      <w:r w:rsidRPr="00150EDC">
        <w:rPr>
          <w:spacing w:val="-2"/>
          <w:sz w:val="24"/>
        </w:rPr>
        <w:t xml:space="preserve"> </w:t>
      </w:r>
      <w:r w:rsidRPr="00150EDC">
        <w:rPr>
          <w:sz w:val="24"/>
        </w:rPr>
        <w:t>Distress)</w:t>
      </w:r>
      <w:r w:rsidRPr="00150EDC">
        <w:rPr>
          <w:spacing w:val="-5"/>
          <w:sz w:val="24"/>
        </w:rPr>
        <w:t xml:space="preserve"> </w:t>
      </w:r>
      <w:r w:rsidRPr="00150EDC">
        <w:rPr>
          <w:sz w:val="24"/>
        </w:rPr>
        <w:t xml:space="preserve">(if </w:t>
      </w:r>
      <w:r w:rsidRPr="00150EDC">
        <w:rPr>
          <w:spacing w:val="-2"/>
          <w:sz w:val="24"/>
        </w:rPr>
        <w:t>applicable);</w:t>
      </w:r>
    </w:p>
    <w:p w14:paraId="30A0A020" w14:textId="77777777" w:rsidR="004C7180" w:rsidRPr="00150EDC" w:rsidRDefault="00CF0754" w:rsidP="00B320C7">
      <w:pPr>
        <w:pStyle w:val="ListParagraph"/>
        <w:numPr>
          <w:ilvl w:val="2"/>
          <w:numId w:val="45"/>
        </w:numPr>
        <w:tabs>
          <w:tab w:val="left" w:pos="2838"/>
          <w:tab w:val="left" w:pos="2840"/>
        </w:tabs>
        <w:spacing w:before="120"/>
        <w:ind w:right="2204"/>
        <w:rPr>
          <w:sz w:val="24"/>
        </w:rPr>
      </w:pPr>
      <w:r w:rsidRPr="00150EDC">
        <w:rPr>
          <w:sz w:val="24"/>
        </w:rPr>
        <w:t>within</w:t>
      </w:r>
      <w:r w:rsidRPr="00150EDC">
        <w:rPr>
          <w:spacing w:val="-2"/>
          <w:sz w:val="24"/>
        </w:rPr>
        <w:t xml:space="preserve"> </w:t>
      </w:r>
      <w:r w:rsidRPr="00150EDC">
        <w:rPr>
          <w:sz w:val="24"/>
        </w:rPr>
        <w:t>30</w:t>
      </w:r>
      <w:r w:rsidRPr="00150EDC">
        <w:rPr>
          <w:spacing w:val="-4"/>
          <w:sz w:val="24"/>
        </w:rPr>
        <w:t xml:space="preserve"> </w:t>
      </w:r>
      <w:r w:rsidRPr="00150EDC">
        <w:rPr>
          <w:sz w:val="24"/>
        </w:rPr>
        <w:t>days</w:t>
      </w:r>
      <w:r w:rsidRPr="00150EDC">
        <w:rPr>
          <w:spacing w:val="-5"/>
          <w:sz w:val="24"/>
        </w:rPr>
        <w:t xml:space="preserve"> </w:t>
      </w:r>
      <w:r w:rsidRPr="00150EDC">
        <w:rPr>
          <w:sz w:val="24"/>
        </w:rPr>
        <w:t>of</w:t>
      </w:r>
      <w:r w:rsidRPr="00150EDC">
        <w:rPr>
          <w:spacing w:val="-5"/>
          <w:sz w:val="24"/>
        </w:rPr>
        <w:t xml:space="preserve"> </w:t>
      </w:r>
      <w:r w:rsidRPr="00150EDC">
        <w:rPr>
          <w:sz w:val="24"/>
        </w:rPr>
        <w:t>a</w:t>
      </w:r>
      <w:r w:rsidRPr="00150EDC">
        <w:rPr>
          <w:spacing w:val="-2"/>
          <w:sz w:val="24"/>
        </w:rPr>
        <w:t xml:space="preserve"> </w:t>
      </w:r>
      <w:r w:rsidRPr="00150EDC">
        <w:rPr>
          <w:sz w:val="24"/>
        </w:rPr>
        <w:t>Corporate</w:t>
      </w:r>
      <w:r w:rsidRPr="00150EDC">
        <w:rPr>
          <w:spacing w:val="-4"/>
          <w:sz w:val="24"/>
        </w:rPr>
        <w:t xml:space="preserve"> </w:t>
      </w:r>
      <w:r w:rsidRPr="00150EDC">
        <w:rPr>
          <w:sz w:val="24"/>
        </w:rPr>
        <w:t>Change</w:t>
      </w:r>
      <w:r w:rsidRPr="00150EDC">
        <w:rPr>
          <w:spacing w:val="-4"/>
          <w:sz w:val="24"/>
        </w:rPr>
        <w:t xml:space="preserve"> </w:t>
      </w:r>
      <w:r w:rsidRPr="00150EDC">
        <w:rPr>
          <w:sz w:val="24"/>
        </w:rPr>
        <w:t>Event</w:t>
      </w:r>
      <w:r w:rsidRPr="00150EDC">
        <w:rPr>
          <w:spacing w:val="-5"/>
          <w:sz w:val="24"/>
        </w:rPr>
        <w:t xml:space="preserve"> </w:t>
      </w:r>
      <w:r w:rsidRPr="00150EDC">
        <w:rPr>
          <w:sz w:val="24"/>
        </w:rPr>
        <w:t>unless</w:t>
      </w:r>
      <w:r w:rsidRPr="00150EDC">
        <w:rPr>
          <w:spacing w:val="-5"/>
          <w:sz w:val="24"/>
        </w:rPr>
        <w:t xml:space="preserve"> </w:t>
      </w:r>
      <w:r w:rsidRPr="00150EDC">
        <w:rPr>
          <w:sz w:val="24"/>
        </w:rPr>
        <w:t>not</w:t>
      </w:r>
      <w:r w:rsidRPr="00150EDC">
        <w:rPr>
          <w:spacing w:val="-2"/>
          <w:sz w:val="24"/>
        </w:rPr>
        <w:t xml:space="preserve"> </w:t>
      </w:r>
      <w:r w:rsidRPr="00150EDC">
        <w:rPr>
          <w:sz w:val="24"/>
        </w:rPr>
        <w:t>required pursuant to Paragraph 2.10;</w:t>
      </w:r>
    </w:p>
    <w:p w14:paraId="1D2BAED7" w14:textId="77777777" w:rsidR="004C7180" w:rsidRPr="00150EDC" w:rsidRDefault="00CF0754" w:rsidP="00B320C7">
      <w:pPr>
        <w:pStyle w:val="ListParagraph"/>
        <w:numPr>
          <w:ilvl w:val="2"/>
          <w:numId w:val="45"/>
        </w:numPr>
        <w:tabs>
          <w:tab w:val="left" w:pos="2838"/>
        </w:tabs>
        <w:spacing w:before="120"/>
        <w:ind w:left="2838" w:hanging="718"/>
        <w:rPr>
          <w:sz w:val="24"/>
        </w:rPr>
      </w:pPr>
      <w:r w:rsidRPr="00150EDC">
        <w:rPr>
          <w:sz w:val="24"/>
        </w:rPr>
        <w:t>within 30</w:t>
      </w:r>
      <w:r w:rsidRPr="00150EDC">
        <w:rPr>
          <w:spacing w:val="-2"/>
          <w:sz w:val="24"/>
        </w:rPr>
        <w:t xml:space="preserve"> </w:t>
      </w:r>
      <w:r w:rsidRPr="00150EDC">
        <w:rPr>
          <w:sz w:val="24"/>
        </w:rPr>
        <w:t>days</w:t>
      </w:r>
      <w:r w:rsidRPr="00150EDC">
        <w:rPr>
          <w:spacing w:val="-3"/>
          <w:sz w:val="24"/>
        </w:rPr>
        <w:t xml:space="preserve"> </w:t>
      </w:r>
      <w:r w:rsidRPr="00150EDC">
        <w:rPr>
          <w:sz w:val="24"/>
        </w:rPr>
        <w:t>of the</w:t>
      </w:r>
      <w:r w:rsidRPr="00150EDC">
        <w:rPr>
          <w:spacing w:val="-2"/>
          <w:sz w:val="24"/>
        </w:rPr>
        <w:t xml:space="preserve"> </w:t>
      </w:r>
      <w:r w:rsidRPr="00150EDC">
        <w:rPr>
          <w:sz w:val="24"/>
        </w:rPr>
        <w:t>date</w:t>
      </w:r>
      <w:r w:rsidRPr="00150EDC">
        <w:rPr>
          <w:spacing w:val="1"/>
          <w:sz w:val="24"/>
        </w:rPr>
        <w:t xml:space="preserve"> </w:t>
      </w:r>
      <w:r w:rsidRPr="00150EDC">
        <w:rPr>
          <w:spacing w:val="-4"/>
          <w:sz w:val="24"/>
        </w:rPr>
        <w:t>that:</w:t>
      </w:r>
    </w:p>
    <w:p w14:paraId="2FDF1EF6" w14:textId="77777777" w:rsidR="004C7180" w:rsidRPr="00150EDC" w:rsidRDefault="00CF0754" w:rsidP="00B320C7">
      <w:pPr>
        <w:pStyle w:val="ListParagraph"/>
        <w:numPr>
          <w:ilvl w:val="3"/>
          <w:numId w:val="45"/>
        </w:numPr>
        <w:tabs>
          <w:tab w:val="left" w:pos="3383"/>
          <w:tab w:val="left" w:pos="3526"/>
        </w:tabs>
        <w:spacing w:before="120"/>
        <w:ind w:left="3526" w:right="1434" w:hanging="720"/>
        <w:jc w:val="both"/>
        <w:rPr>
          <w:sz w:val="24"/>
        </w:rPr>
      </w:pPr>
      <w:r w:rsidRPr="00150EDC">
        <w:rPr>
          <w:sz w:val="24"/>
        </w:rPr>
        <w:t>the credit rating(s) of each of the Supplier and its Parent Undertakings</w:t>
      </w:r>
      <w:r w:rsidRPr="00150EDC">
        <w:rPr>
          <w:spacing w:val="-15"/>
          <w:sz w:val="24"/>
        </w:rPr>
        <w:t xml:space="preserve"> </w:t>
      </w:r>
      <w:r w:rsidRPr="00150EDC">
        <w:rPr>
          <w:sz w:val="24"/>
        </w:rPr>
        <w:t>fail</w:t>
      </w:r>
      <w:r w:rsidRPr="00150EDC">
        <w:rPr>
          <w:spacing w:val="-15"/>
          <w:sz w:val="24"/>
        </w:rPr>
        <w:t xml:space="preserve"> </w:t>
      </w:r>
      <w:r w:rsidRPr="00150EDC">
        <w:rPr>
          <w:sz w:val="24"/>
        </w:rPr>
        <w:t>to</w:t>
      </w:r>
      <w:r w:rsidRPr="00150EDC">
        <w:rPr>
          <w:spacing w:val="-16"/>
          <w:sz w:val="24"/>
        </w:rPr>
        <w:t xml:space="preserve"> </w:t>
      </w:r>
      <w:r w:rsidRPr="00150EDC">
        <w:rPr>
          <w:sz w:val="24"/>
        </w:rPr>
        <w:t>meet</w:t>
      </w:r>
      <w:r w:rsidRPr="00150EDC">
        <w:rPr>
          <w:spacing w:val="-14"/>
          <w:sz w:val="24"/>
        </w:rPr>
        <w:t xml:space="preserve"> </w:t>
      </w:r>
      <w:r w:rsidRPr="00150EDC">
        <w:rPr>
          <w:sz w:val="24"/>
        </w:rPr>
        <w:t>any</w:t>
      </w:r>
      <w:r w:rsidRPr="00150EDC">
        <w:rPr>
          <w:spacing w:val="-17"/>
          <w:sz w:val="24"/>
        </w:rPr>
        <w:t xml:space="preserve"> </w:t>
      </w:r>
      <w:r w:rsidRPr="00150EDC">
        <w:rPr>
          <w:sz w:val="24"/>
        </w:rPr>
        <w:t>of</w:t>
      </w:r>
      <w:r w:rsidRPr="00150EDC">
        <w:rPr>
          <w:spacing w:val="-17"/>
          <w:sz w:val="24"/>
        </w:rPr>
        <w:t xml:space="preserve"> </w:t>
      </w:r>
      <w:r w:rsidRPr="00150EDC">
        <w:rPr>
          <w:sz w:val="24"/>
        </w:rPr>
        <w:t>the</w:t>
      </w:r>
      <w:r w:rsidRPr="00150EDC">
        <w:rPr>
          <w:spacing w:val="-13"/>
          <w:sz w:val="24"/>
        </w:rPr>
        <w:t xml:space="preserve"> </w:t>
      </w:r>
      <w:r w:rsidRPr="00150EDC">
        <w:rPr>
          <w:sz w:val="24"/>
        </w:rPr>
        <w:t>criteria</w:t>
      </w:r>
      <w:r w:rsidRPr="00150EDC">
        <w:rPr>
          <w:spacing w:val="-14"/>
          <w:sz w:val="24"/>
        </w:rPr>
        <w:t xml:space="preserve"> </w:t>
      </w:r>
      <w:r w:rsidRPr="00150EDC">
        <w:rPr>
          <w:sz w:val="24"/>
        </w:rPr>
        <w:t>specified</w:t>
      </w:r>
      <w:r w:rsidRPr="00150EDC">
        <w:rPr>
          <w:spacing w:val="-14"/>
          <w:sz w:val="24"/>
        </w:rPr>
        <w:t xml:space="preserve"> </w:t>
      </w:r>
      <w:r w:rsidRPr="00150EDC">
        <w:rPr>
          <w:sz w:val="24"/>
        </w:rPr>
        <w:t>in</w:t>
      </w:r>
      <w:r w:rsidRPr="00150EDC">
        <w:rPr>
          <w:spacing w:val="-16"/>
          <w:sz w:val="24"/>
        </w:rPr>
        <w:t xml:space="preserve"> </w:t>
      </w:r>
      <w:r w:rsidRPr="00150EDC">
        <w:rPr>
          <w:sz w:val="24"/>
        </w:rPr>
        <w:t>Paragraph 2.10; or</w:t>
      </w:r>
    </w:p>
    <w:p w14:paraId="1DB38754" w14:textId="77777777" w:rsidR="004C7180" w:rsidRPr="00150EDC" w:rsidRDefault="00CF0754" w:rsidP="00B320C7">
      <w:pPr>
        <w:pStyle w:val="ListParagraph"/>
        <w:numPr>
          <w:ilvl w:val="3"/>
          <w:numId w:val="45"/>
        </w:numPr>
        <w:tabs>
          <w:tab w:val="left" w:pos="3383"/>
          <w:tab w:val="left" w:pos="3526"/>
        </w:tabs>
        <w:spacing w:before="118"/>
        <w:ind w:left="3526" w:right="1435" w:hanging="720"/>
        <w:jc w:val="both"/>
        <w:rPr>
          <w:sz w:val="24"/>
        </w:rPr>
      </w:pPr>
      <w:r w:rsidRPr="00150EDC">
        <w:rPr>
          <w:sz w:val="24"/>
        </w:rPr>
        <w:t>none</w:t>
      </w:r>
      <w:r w:rsidRPr="00150EDC">
        <w:rPr>
          <w:spacing w:val="-5"/>
          <w:sz w:val="24"/>
        </w:rPr>
        <w:t xml:space="preserve"> </w:t>
      </w:r>
      <w:r w:rsidRPr="00150EDC">
        <w:rPr>
          <w:sz w:val="24"/>
        </w:rPr>
        <w:t>of</w:t>
      </w:r>
      <w:r w:rsidRPr="00150EDC">
        <w:rPr>
          <w:spacing w:val="-6"/>
          <w:sz w:val="24"/>
        </w:rPr>
        <w:t xml:space="preserve"> </w:t>
      </w:r>
      <w:r w:rsidRPr="00150EDC">
        <w:rPr>
          <w:sz w:val="24"/>
        </w:rPr>
        <w:t>the</w:t>
      </w:r>
      <w:r w:rsidRPr="00150EDC">
        <w:rPr>
          <w:spacing w:val="-8"/>
          <w:sz w:val="24"/>
        </w:rPr>
        <w:t xml:space="preserve"> </w:t>
      </w:r>
      <w:r w:rsidRPr="00150EDC">
        <w:rPr>
          <w:sz w:val="24"/>
        </w:rPr>
        <w:t>credit</w:t>
      </w:r>
      <w:r w:rsidRPr="00150EDC">
        <w:rPr>
          <w:spacing w:val="-6"/>
          <w:sz w:val="24"/>
        </w:rPr>
        <w:t xml:space="preserve"> </w:t>
      </w:r>
      <w:r w:rsidRPr="00150EDC">
        <w:rPr>
          <w:sz w:val="24"/>
        </w:rPr>
        <w:t>rating</w:t>
      </w:r>
      <w:r w:rsidRPr="00150EDC">
        <w:rPr>
          <w:spacing w:val="-5"/>
          <w:sz w:val="24"/>
        </w:rPr>
        <w:t xml:space="preserve"> </w:t>
      </w:r>
      <w:r w:rsidRPr="00150EDC">
        <w:rPr>
          <w:sz w:val="24"/>
        </w:rPr>
        <w:t>agencies</w:t>
      </w:r>
      <w:r w:rsidRPr="00150EDC">
        <w:rPr>
          <w:spacing w:val="-6"/>
          <w:sz w:val="24"/>
        </w:rPr>
        <w:t xml:space="preserve"> </w:t>
      </w:r>
      <w:r w:rsidRPr="00150EDC">
        <w:rPr>
          <w:sz w:val="24"/>
        </w:rPr>
        <w:t>specified</w:t>
      </w:r>
      <w:r w:rsidRPr="00150EDC">
        <w:rPr>
          <w:spacing w:val="-8"/>
          <w:sz w:val="24"/>
        </w:rPr>
        <w:t xml:space="preserve"> </w:t>
      </w:r>
      <w:r w:rsidRPr="00150EDC">
        <w:rPr>
          <w:sz w:val="24"/>
        </w:rPr>
        <w:t>at</w:t>
      </w:r>
      <w:r w:rsidRPr="00150EDC">
        <w:rPr>
          <w:spacing w:val="-8"/>
          <w:sz w:val="24"/>
        </w:rPr>
        <w:t xml:space="preserve"> </w:t>
      </w:r>
      <w:r w:rsidRPr="00150EDC">
        <w:rPr>
          <w:sz w:val="24"/>
        </w:rPr>
        <w:t>Paragraph</w:t>
      </w:r>
      <w:r w:rsidRPr="00150EDC">
        <w:rPr>
          <w:spacing w:val="-8"/>
          <w:sz w:val="24"/>
        </w:rPr>
        <w:t xml:space="preserve"> </w:t>
      </w:r>
      <w:r w:rsidRPr="00150EDC">
        <w:rPr>
          <w:sz w:val="24"/>
        </w:rPr>
        <w:t>2.10</w:t>
      </w:r>
      <w:r w:rsidRPr="00150EDC">
        <w:rPr>
          <w:spacing w:val="-8"/>
          <w:sz w:val="24"/>
        </w:rPr>
        <w:t xml:space="preserve"> </w:t>
      </w:r>
      <w:r w:rsidRPr="00150EDC">
        <w:rPr>
          <w:sz w:val="24"/>
        </w:rPr>
        <w:t>hold a public credit rating for the Supplier or any of its Parent Undertakings; and</w:t>
      </w:r>
    </w:p>
    <w:p w14:paraId="0B5B71B1" w14:textId="77777777" w:rsidR="004C7180" w:rsidRPr="00150EDC" w:rsidRDefault="00CF0754" w:rsidP="00B320C7">
      <w:pPr>
        <w:pStyle w:val="ListParagraph"/>
        <w:numPr>
          <w:ilvl w:val="2"/>
          <w:numId w:val="45"/>
        </w:numPr>
        <w:tabs>
          <w:tab w:val="left" w:pos="2838"/>
          <w:tab w:val="left" w:pos="2840"/>
        </w:tabs>
        <w:spacing w:before="120"/>
        <w:ind w:right="1507"/>
        <w:rPr>
          <w:sz w:val="24"/>
        </w:rPr>
      </w:pPr>
      <w:r w:rsidRPr="00150EDC">
        <w:rPr>
          <w:sz w:val="24"/>
        </w:rPr>
        <w:t>in</w:t>
      </w:r>
      <w:r w:rsidRPr="00150EDC">
        <w:rPr>
          <w:spacing w:val="-1"/>
          <w:sz w:val="24"/>
        </w:rPr>
        <w:t xml:space="preserve"> </w:t>
      </w:r>
      <w:r w:rsidRPr="00150EDC">
        <w:rPr>
          <w:sz w:val="24"/>
        </w:rPr>
        <w:t>any</w:t>
      </w:r>
      <w:r w:rsidRPr="00150EDC">
        <w:rPr>
          <w:spacing w:val="-4"/>
          <w:sz w:val="24"/>
        </w:rPr>
        <w:t xml:space="preserve"> </w:t>
      </w:r>
      <w:r w:rsidRPr="00150EDC">
        <w:rPr>
          <w:sz w:val="24"/>
        </w:rPr>
        <w:t>event,</w:t>
      </w:r>
      <w:r w:rsidRPr="00150EDC">
        <w:rPr>
          <w:spacing w:val="-1"/>
          <w:sz w:val="24"/>
        </w:rPr>
        <w:t xml:space="preserve"> </w:t>
      </w:r>
      <w:r w:rsidRPr="00150EDC">
        <w:rPr>
          <w:sz w:val="24"/>
        </w:rPr>
        <w:t>within</w:t>
      </w:r>
      <w:r w:rsidRPr="00150EDC">
        <w:rPr>
          <w:spacing w:val="-3"/>
          <w:sz w:val="24"/>
        </w:rPr>
        <w:t xml:space="preserve"> </w:t>
      </w:r>
      <w:r w:rsidRPr="00150EDC">
        <w:rPr>
          <w:sz w:val="24"/>
        </w:rPr>
        <w:t>6</w:t>
      </w:r>
      <w:r w:rsidRPr="00150EDC">
        <w:rPr>
          <w:spacing w:val="-3"/>
          <w:sz w:val="24"/>
        </w:rPr>
        <w:t xml:space="preserve"> </w:t>
      </w:r>
      <w:r w:rsidRPr="00150EDC">
        <w:rPr>
          <w:sz w:val="24"/>
        </w:rPr>
        <w:t>months</w:t>
      </w:r>
      <w:r w:rsidRPr="00150EDC">
        <w:rPr>
          <w:spacing w:val="-4"/>
          <w:sz w:val="24"/>
        </w:rPr>
        <w:t xml:space="preserve"> </w:t>
      </w:r>
      <w:r w:rsidRPr="00150EDC">
        <w:rPr>
          <w:sz w:val="24"/>
        </w:rPr>
        <w:t>after</w:t>
      </w:r>
      <w:r w:rsidRPr="00150EDC">
        <w:rPr>
          <w:spacing w:val="-5"/>
          <w:sz w:val="24"/>
        </w:rPr>
        <w:t xml:space="preserve"> </w:t>
      </w:r>
      <w:r w:rsidRPr="00150EDC">
        <w:rPr>
          <w:sz w:val="24"/>
        </w:rPr>
        <w:t>each</w:t>
      </w:r>
      <w:r w:rsidRPr="00150EDC">
        <w:rPr>
          <w:spacing w:val="-3"/>
          <w:sz w:val="24"/>
        </w:rPr>
        <w:t xml:space="preserve"> </w:t>
      </w:r>
      <w:r w:rsidRPr="00150EDC">
        <w:rPr>
          <w:sz w:val="24"/>
        </w:rPr>
        <w:t>Accounting</w:t>
      </w:r>
      <w:r w:rsidRPr="00150EDC">
        <w:rPr>
          <w:spacing w:val="-1"/>
          <w:sz w:val="24"/>
        </w:rPr>
        <w:t xml:space="preserve"> </w:t>
      </w:r>
      <w:r w:rsidRPr="00150EDC">
        <w:rPr>
          <w:sz w:val="24"/>
        </w:rPr>
        <w:t>Reference</w:t>
      </w:r>
      <w:r w:rsidRPr="00150EDC">
        <w:rPr>
          <w:spacing w:val="-1"/>
          <w:sz w:val="24"/>
        </w:rPr>
        <w:t xml:space="preserve"> </w:t>
      </w:r>
      <w:r w:rsidRPr="00150EDC">
        <w:rPr>
          <w:sz w:val="24"/>
        </w:rPr>
        <w:t>Date</w:t>
      </w:r>
      <w:r w:rsidRPr="00150EDC">
        <w:rPr>
          <w:spacing w:val="-1"/>
          <w:sz w:val="24"/>
        </w:rPr>
        <w:t xml:space="preserve"> </w:t>
      </w:r>
      <w:r w:rsidRPr="00150EDC">
        <w:rPr>
          <w:sz w:val="24"/>
        </w:rPr>
        <w:t>or within 15 months of the date of the previous Assurance received from the Appropriate Authority (whichever is the earlier), unless:</w:t>
      </w:r>
    </w:p>
    <w:p w14:paraId="4E25546A" w14:textId="77777777" w:rsidR="004C7180" w:rsidRPr="00150EDC" w:rsidRDefault="00CF0754" w:rsidP="00B320C7">
      <w:pPr>
        <w:pStyle w:val="ListParagraph"/>
        <w:numPr>
          <w:ilvl w:val="3"/>
          <w:numId w:val="45"/>
        </w:numPr>
        <w:tabs>
          <w:tab w:val="left" w:pos="3383"/>
          <w:tab w:val="left" w:pos="3526"/>
        </w:tabs>
        <w:spacing w:before="120"/>
        <w:ind w:left="3526" w:right="1432" w:hanging="720"/>
        <w:jc w:val="both"/>
        <w:rPr>
          <w:sz w:val="24"/>
        </w:rPr>
      </w:pPr>
      <w:r w:rsidRPr="00150EDC">
        <w:rPr>
          <w:sz w:val="24"/>
        </w:rPr>
        <w:t>updated CRP Information has been provided under any of Paragraphs</w:t>
      </w:r>
      <w:r w:rsidRPr="00150EDC">
        <w:rPr>
          <w:spacing w:val="-8"/>
          <w:sz w:val="24"/>
        </w:rPr>
        <w:t xml:space="preserve"> </w:t>
      </w:r>
      <w:r w:rsidRPr="00150EDC">
        <w:rPr>
          <w:sz w:val="24"/>
        </w:rPr>
        <w:t>2.8.1</w:t>
      </w:r>
      <w:r w:rsidRPr="00150EDC">
        <w:rPr>
          <w:spacing w:val="-7"/>
          <w:sz w:val="24"/>
        </w:rPr>
        <w:t xml:space="preserve"> </w:t>
      </w:r>
      <w:r w:rsidRPr="00150EDC">
        <w:rPr>
          <w:sz w:val="24"/>
        </w:rPr>
        <w:t>2.8.2</w:t>
      </w:r>
      <w:r w:rsidRPr="00150EDC">
        <w:rPr>
          <w:spacing w:val="-7"/>
          <w:sz w:val="24"/>
        </w:rPr>
        <w:t xml:space="preserve"> </w:t>
      </w:r>
      <w:r w:rsidRPr="00150EDC">
        <w:rPr>
          <w:sz w:val="24"/>
        </w:rPr>
        <w:t>or</w:t>
      </w:r>
      <w:r w:rsidRPr="00150EDC">
        <w:rPr>
          <w:spacing w:val="-6"/>
          <w:sz w:val="24"/>
        </w:rPr>
        <w:t xml:space="preserve"> </w:t>
      </w:r>
      <w:r w:rsidRPr="00150EDC">
        <w:rPr>
          <w:sz w:val="24"/>
        </w:rPr>
        <w:t>2.8.3</w:t>
      </w:r>
      <w:r w:rsidRPr="00150EDC">
        <w:rPr>
          <w:spacing w:val="-7"/>
          <w:sz w:val="24"/>
        </w:rPr>
        <w:t xml:space="preserve"> </w:t>
      </w:r>
      <w:r w:rsidRPr="00150EDC">
        <w:rPr>
          <w:sz w:val="24"/>
        </w:rPr>
        <w:t>since</w:t>
      </w:r>
      <w:r w:rsidRPr="00150EDC">
        <w:rPr>
          <w:spacing w:val="-7"/>
          <w:sz w:val="24"/>
        </w:rPr>
        <w:t xml:space="preserve"> </w:t>
      </w:r>
      <w:r w:rsidRPr="00150EDC">
        <w:rPr>
          <w:sz w:val="24"/>
        </w:rPr>
        <w:t>the</w:t>
      </w:r>
      <w:r w:rsidRPr="00150EDC">
        <w:rPr>
          <w:spacing w:val="-7"/>
          <w:sz w:val="24"/>
        </w:rPr>
        <w:t xml:space="preserve"> </w:t>
      </w:r>
      <w:r w:rsidRPr="00150EDC">
        <w:rPr>
          <w:sz w:val="24"/>
        </w:rPr>
        <w:t>most</w:t>
      </w:r>
      <w:r w:rsidRPr="00150EDC">
        <w:rPr>
          <w:spacing w:val="-5"/>
          <w:sz w:val="24"/>
        </w:rPr>
        <w:t xml:space="preserve"> </w:t>
      </w:r>
      <w:r w:rsidRPr="00150EDC">
        <w:rPr>
          <w:sz w:val="24"/>
        </w:rPr>
        <w:t>recent</w:t>
      </w:r>
      <w:r w:rsidRPr="00150EDC">
        <w:rPr>
          <w:spacing w:val="-5"/>
          <w:sz w:val="24"/>
        </w:rPr>
        <w:t xml:space="preserve"> </w:t>
      </w:r>
      <w:r w:rsidRPr="00150EDC">
        <w:rPr>
          <w:sz w:val="24"/>
        </w:rPr>
        <w:t>Accounting Reference</w:t>
      </w:r>
      <w:r w:rsidRPr="00150EDC">
        <w:rPr>
          <w:spacing w:val="-12"/>
          <w:sz w:val="24"/>
        </w:rPr>
        <w:t xml:space="preserve"> </w:t>
      </w:r>
      <w:r w:rsidRPr="00150EDC">
        <w:rPr>
          <w:sz w:val="24"/>
        </w:rPr>
        <w:t>Date</w:t>
      </w:r>
      <w:r w:rsidRPr="00150EDC">
        <w:rPr>
          <w:spacing w:val="-12"/>
          <w:sz w:val="24"/>
        </w:rPr>
        <w:t xml:space="preserve"> </w:t>
      </w:r>
      <w:r w:rsidRPr="00150EDC">
        <w:rPr>
          <w:sz w:val="24"/>
        </w:rPr>
        <w:t>(being</w:t>
      </w:r>
      <w:r w:rsidRPr="00150EDC">
        <w:rPr>
          <w:spacing w:val="-16"/>
          <w:sz w:val="24"/>
        </w:rPr>
        <w:t xml:space="preserve"> </w:t>
      </w:r>
      <w:r w:rsidRPr="00150EDC">
        <w:rPr>
          <w:sz w:val="24"/>
        </w:rPr>
        <w:t>no</w:t>
      </w:r>
      <w:r w:rsidRPr="00150EDC">
        <w:rPr>
          <w:spacing w:val="-14"/>
          <w:sz w:val="24"/>
        </w:rPr>
        <w:t xml:space="preserve"> </w:t>
      </w:r>
      <w:r w:rsidRPr="00150EDC">
        <w:rPr>
          <w:sz w:val="24"/>
        </w:rPr>
        <w:t>more</w:t>
      </w:r>
      <w:r w:rsidRPr="00150EDC">
        <w:rPr>
          <w:spacing w:val="-14"/>
          <w:sz w:val="24"/>
        </w:rPr>
        <w:t xml:space="preserve"> </w:t>
      </w:r>
      <w:r w:rsidRPr="00150EDC">
        <w:rPr>
          <w:sz w:val="24"/>
        </w:rPr>
        <w:t>than</w:t>
      </w:r>
      <w:r w:rsidRPr="00150EDC">
        <w:rPr>
          <w:spacing w:val="-14"/>
          <w:sz w:val="24"/>
        </w:rPr>
        <w:t xml:space="preserve"> </w:t>
      </w:r>
      <w:r w:rsidRPr="00150EDC">
        <w:rPr>
          <w:sz w:val="24"/>
        </w:rPr>
        <w:t>12</w:t>
      </w:r>
      <w:r w:rsidRPr="00150EDC">
        <w:rPr>
          <w:spacing w:val="-14"/>
          <w:sz w:val="24"/>
        </w:rPr>
        <w:t xml:space="preserve"> </w:t>
      </w:r>
      <w:r w:rsidRPr="00150EDC">
        <w:rPr>
          <w:sz w:val="24"/>
        </w:rPr>
        <w:t>months</w:t>
      </w:r>
      <w:r w:rsidRPr="00150EDC">
        <w:rPr>
          <w:spacing w:val="-13"/>
          <w:sz w:val="24"/>
        </w:rPr>
        <w:t xml:space="preserve"> </w:t>
      </w:r>
      <w:r w:rsidRPr="00150EDC">
        <w:rPr>
          <w:sz w:val="24"/>
        </w:rPr>
        <w:t>previously)</w:t>
      </w:r>
      <w:r w:rsidRPr="00150EDC">
        <w:rPr>
          <w:spacing w:val="-13"/>
          <w:sz w:val="24"/>
        </w:rPr>
        <w:t xml:space="preserve"> </w:t>
      </w:r>
      <w:r w:rsidRPr="00150EDC">
        <w:rPr>
          <w:sz w:val="24"/>
        </w:rPr>
        <w:t>within the timescales that would ordinarily be required for the provision of that information under this Paragraph 2.8.4; or</w:t>
      </w:r>
    </w:p>
    <w:p w14:paraId="09243A6E" w14:textId="77777777" w:rsidR="004C7180" w:rsidRPr="00150EDC" w:rsidRDefault="00CF0754" w:rsidP="00B320C7">
      <w:pPr>
        <w:pStyle w:val="ListParagraph"/>
        <w:numPr>
          <w:ilvl w:val="3"/>
          <w:numId w:val="45"/>
        </w:numPr>
        <w:tabs>
          <w:tab w:val="left" w:pos="3383"/>
        </w:tabs>
        <w:spacing w:before="120"/>
        <w:ind w:left="3383" w:hanging="577"/>
        <w:jc w:val="both"/>
        <w:rPr>
          <w:sz w:val="24"/>
        </w:rPr>
      </w:pPr>
      <w:r w:rsidRPr="00150EDC">
        <w:rPr>
          <w:sz w:val="24"/>
        </w:rPr>
        <w:t>unless</w:t>
      </w:r>
      <w:r w:rsidRPr="00150EDC">
        <w:rPr>
          <w:spacing w:val="-6"/>
          <w:sz w:val="24"/>
        </w:rPr>
        <w:t xml:space="preserve"> </w:t>
      </w:r>
      <w:r w:rsidRPr="00150EDC">
        <w:rPr>
          <w:sz w:val="24"/>
        </w:rPr>
        <w:t>not</w:t>
      </w:r>
      <w:r w:rsidRPr="00150EDC">
        <w:rPr>
          <w:spacing w:val="-1"/>
          <w:sz w:val="24"/>
        </w:rPr>
        <w:t xml:space="preserve"> </w:t>
      </w:r>
      <w:r w:rsidRPr="00150EDC">
        <w:rPr>
          <w:sz w:val="24"/>
        </w:rPr>
        <w:t>required</w:t>
      </w:r>
      <w:r w:rsidRPr="00150EDC">
        <w:rPr>
          <w:spacing w:val="-2"/>
          <w:sz w:val="24"/>
        </w:rPr>
        <w:t xml:space="preserve"> </w:t>
      </w:r>
      <w:r w:rsidRPr="00150EDC">
        <w:rPr>
          <w:sz w:val="24"/>
        </w:rPr>
        <w:t>pursuant</w:t>
      </w:r>
      <w:r w:rsidRPr="00150EDC">
        <w:rPr>
          <w:spacing w:val="-3"/>
          <w:sz w:val="24"/>
        </w:rPr>
        <w:t xml:space="preserve"> </w:t>
      </w:r>
      <w:r w:rsidRPr="00150EDC">
        <w:rPr>
          <w:sz w:val="24"/>
        </w:rPr>
        <w:t>to</w:t>
      </w:r>
      <w:r w:rsidRPr="00150EDC">
        <w:rPr>
          <w:spacing w:val="-3"/>
          <w:sz w:val="24"/>
        </w:rPr>
        <w:t xml:space="preserve"> </w:t>
      </w:r>
      <w:r w:rsidRPr="00150EDC">
        <w:rPr>
          <w:sz w:val="24"/>
        </w:rPr>
        <w:t>Paragraph</w:t>
      </w:r>
      <w:r w:rsidRPr="00150EDC">
        <w:rPr>
          <w:spacing w:val="-2"/>
          <w:sz w:val="24"/>
        </w:rPr>
        <w:t xml:space="preserve"> </w:t>
      </w:r>
      <w:r w:rsidRPr="00150EDC">
        <w:rPr>
          <w:spacing w:val="-4"/>
          <w:sz w:val="24"/>
        </w:rPr>
        <w:t>2.10.</w:t>
      </w:r>
    </w:p>
    <w:p w14:paraId="4DE25238" w14:textId="77777777" w:rsidR="004C7180" w:rsidRPr="00150EDC" w:rsidRDefault="00CF0754" w:rsidP="00B320C7">
      <w:pPr>
        <w:pStyle w:val="ListParagraph"/>
        <w:numPr>
          <w:ilvl w:val="1"/>
          <w:numId w:val="45"/>
        </w:numPr>
        <w:tabs>
          <w:tab w:val="left" w:pos="2117"/>
          <w:tab w:val="left" w:pos="2120"/>
        </w:tabs>
        <w:spacing w:before="120"/>
        <w:ind w:right="1433"/>
        <w:jc w:val="both"/>
        <w:rPr>
          <w:sz w:val="24"/>
        </w:rPr>
      </w:pPr>
      <w:r w:rsidRPr="00150EDC">
        <w:rPr>
          <w:sz w:val="24"/>
        </w:rPr>
        <w:t>Where the Supplier is a Public Sector Dependent Supplier and the Contract is not a Critical Service Contract, then on the occurrence of any of the events specified in Paragraphs 2.8.1 to 2.8.4 of this Part B, the Supplier shall provide at</w:t>
      </w:r>
      <w:r w:rsidRPr="00150EDC">
        <w:rPr>
          <w:spacing w:val="-10"/>
          <w:sz w:val="24"/>
        </w:rPr>
        <w:t xml:space="preserve"> </w:t>
      </w:r>
      <w:r w:rsidRPr="00150EDC">
        <w:rPr>
          <w:sz w:val="24"/>
        </w:rPr>
        <w:t>the</w:t>
      </w:r>
      <w:r w:rsidRPr="00150EDC">
        <w:rPr>
          <w:spacing w:val="-9"/>
          <w:sz w:val="24"/>
        </w:rPr>
        <w:t xml:space="preserve"> </w:t>
      </w:r>
      <w:r w:rsidRPr="00150EDC">
        <w:rPr>
          <w:sz w:val="24"/>
        </w:rPr>
        <w:t>request</w:t>
      </w:r>
      <w:r w:rsidRPr="00150EDC">
        <w:rPr>
          <w:spacing w:val="-12"/>
          <w:sz w:val="24"/>
        </w:rPr>
        <w:t xml:space="preserve"> </w:t>
      </w:r>
      <w:r w:rsidRPr="00150EDC">
        <w:rPr>
          <w:sz w:val="24"/>
        </w:rPr>
        <w:t>of</w:t>
      </w:r>
      <w:r w:rsidRPr="00150EDC">
        <w:rPr>
          <w:spacing w:val="-12"/>
          <w:sz w:val="24"/>
        </w:rPr>
        <w:t xml:space="preserve"> </w:t>
      </w:r>
      <w:r w:rsidRPr="00150EDC">
        <w:rPr>
          <w:sz w:val="24"/>
        </w:rPr>
        <w:t>the</w:t>
      </w:r>
      <w:r w:rsidRPr="00150EDC">
        <w:rPr>
          <w:spacing w:val="-12"/>
          <w:sz w:val="24"/>
        </w:rPr>
        <w:t xml:space="preserve"> </w:t>
      </w:r>
      <w:r w:rsidRPr="00150EDC">
        <w:rPr>
          <w:sz w:val="24"/>
        </w:rPr>
        <w:t>Appropriate</w:t>
      </w:r>
      <w:r w:rsidRPr="00150EDC">
        <w:rPr>
          <w:spacing w:val="-12"/>
          <w:sz w:val="24"/>
        </w:rPr>
        <w:t xml:space="preserve"> </w:t>
      </w:r>
      <w:r w:rsidRPr="00150EDC">
        <w:rPr>
          <w:sz w:val="24"/>
        </w:rPr>
        <w:t>Authority</w:t>
      </w:r>
      <w:r w:rsidRPr="00150EDC">
        <w:rPr>
          <w:spacing w:val="-13"/>
          <w:sz w:val="24"/>
        </w:rPr>
        <w:t xml:space="preserve"> </w:t>
      </w:r>
      <w:r w:rsidRPr="00150EDC">
        <w:rPr>
          <w:sz w:val="24"/>
        </w:rPr>
        <w:t>or</w:t>
      </w:r>
      <w:r w:rsidRPr="00150EDC">
        <w:rPr>
          <w:spacing w:val="-11"/>
          <w:sz w:val="24"/>
        </w:rPr>
        <w:t xml:space="preserve"> </w:t>
      </w:r>
      <w:r w:rsidRPr="00150EDC">
        <w:rPr>
          <w:sz w:val="24"/>
        </w:rPr>
        <w:t>Appropriate</w:t>
      </w:r>
      <w:r w:rsidRPr="00150EDC">
        <w:rPr>
          <w:spacing w:val="-9"/>
          <w:sz w:val="24"/>
        </w:rPr>
        <w:t xml:space="preserve"> </w:t>
      </w:r>
      <w:r w:rsidRPr="00150EDC">
        <w:rPr>
          <w:sz w:val="24"/>
        </w:rPr>
        <w:t>Authorities</w:t>
      </w:r>
      <w:r w:rsidRPr="00150EDC">
        <w:rPr>
          <w:spacing w:val="-13"/>
          <w:sz w:val="24"/>
        </w:rPr>
        <w:t xml:space="preserve"> </w:t>
      </w:r>
      <w:r w:rsidRPr="00150EDC">
        <w:rPr>
          <w:sz w:val="24"/>
        </w:rPr>
        <w:t>and</w:t>
      </w:r>
      <w:r w:rsidRPr="00150EDC">
        <w:rPr>
          <w:spacing w:val="-12"/>
          <w:sz w:val="24"/>
        </w:rPr>
        <w:t xml:space="preserve"> </w:t>
      </w:r>
      <w:r w:rsidRPr="00150EDC">
        <w:rPr>
          <w:sz w:val="24"/>
        </w:rPr>
        <w:t>within the applicable timescales for each event as set out in Paragraph 2.8 (or such longer timescales as may be notified to the Supplier by the Buyer), the CRP Information to the Appropriate Authority or Appropriate Authorities.</w:t>
      </w:r>
    </w:p>
    <w:p w14:paraId="7E791A63" w14:textId="77777777" w:rsidR="004C7180" w:rsidRPr="00150EDC" w:rsidRDefault="004C7180">
      <w:pPr>
        <w:jc w:val="both"/>
        <w:rPr>
          <w:sz w:val="24"/>
        </w:rPr>
        <w:sectPr w:rsidR="004C7180" w:rsidRPr="00150EDC">
          <w:pgSz w:w="11910" w:h="16840"/>
          <w:pgMar w:top="1380" w:right="0" w:bottom="1380" w:left="40" w:header="715" w:footer="1192" w:gutter="0"/>
          <w:cols w:space="720"/>
        </w:sectPr>
      </w:pPr>
    </w:p>
    <w:p w14:paraId="06F64553" w14:textId="77777777" w:rsidR="004C7180" w:rsidRPr="00150EDC" w:rsidRDefault="004C7180">
      <w:pPr>
        <w:pStyle w:val="BodyText"/>
        <w:spacing w:before="1"/>
        <w:rPr>
          <w:sz w:val="12"/>
        </w:rPr>
      </w:pPr>
    </w:p>
    <w:p w14:paraId="30CE3049" w14:textId="77777777" w:rsidR="004C7180" w:rsidRPr="00150EDC" w:rsidRDefault="00CF0754" w:rsidP="00B320C7">
      <w:pPr>
        <w:pStyle w:val="ListParagraph"/>
        <w:numPr>
          <w:ilvl w:val="1"/>
          <w:numId w:val="45"/>
        </w:numPr>
        <w:tabs>
          <w:tab w:val="left" w:pos="2120"/>
        </w:tabs>
        <w:spacing w:before="92"/>
        <w:ind w:right="1435"/>
        <w:rPr>
          <w:sz w:val="24"/>
        </w:rPr>
      </w:pPr>
      <w:r w:rsidRPr="00150EDC">
        <w:rPr>
          <w:sz w:val="24"/>
        </w:rPr>
        <w:t>Where the Supplier or a Parent Undertaking</w:t>
      </w:r>
      <w:r w:rsidRPr="00150EDC">
        <w:rPr>
          <w:spacing w:val="-1"/>
          <w:sz w:val="24"/>
        </w:rPr>
        <w:t xml:space="preserve"> </w:t>
      </w:r>
      <w:r w:rsidRPr="00150EDC">
        <w:rPr>
          <w:sz w:val="24"/>
        </w:rPr>
        <w:t>of the Supplier has a credit rating of either:</w:t>
      </w:r>
    </w:p>
    <w:p w14:paraId="711F1DA9" w14:textId="77777777" w:rsidR="004C7180" w:rsidRPr="00150EDC" w:rsidRDefault="00CF0754" w:rsidP="00B320C7">
      <w:pPr>
        <w:pStyle w:val="ListParagraph"/>
        <w:numPr>
          <w:ilvl w:val="2"/>
          <w:numId w:val="45"/>
        </w:numPr>
        <w:tabs>
          <w:tab w:val="left" w:pos="2835"/>
        </w:tabs>
        <w:spacing w:before="120"/>
        <w:ind w:left="2835" w:hanging="715"/>
        <w:rPr>
          <w:sz w:val="24"/>
        </w:rPr>
      </w:pPr>
      <w:r w:rsidRPr="00150EDC">
        <w:rPr>
          <w:sz w:val="24"/>
        </w:rPr>
        <w:t>Aa3</w:t>
      </w:r>
      <w:r w:rsidRPr="00150EDC">
        <w:rPr>
          <w:spacing w:val="-3"/>
          <w:sz w:val="24"/>
        </w:rPr>
        <w:t xml:space="preserve"> </w:t>
      </w:r>
      <w:r w:rsidRPr="00150EDC">
        <w:rPr>
          <w:sz w:val="24"/>
        </w:rPr>
        <w:t>or</w:t>
      </w:r>
      <w:r w:rsidRPr="00150EDC">
        <w:rPr>
          <w:spacing w:val="-2"/>
          <w:sz w:val="24"/>
        </w:rPr>
        <w:t xml:space="preserve"> </w:t>
      </w:r>
      <w:r w:rsidRPr="00150EDC">
        <w:rPr>
          <w:sz w:val="24"/>
        </w:rPr>
        <w:t>better</w:t>
      </w:r>
      <w:r w:rsidRPr="00150EDC">
        <w:rPr>
          <w:spacing w:val="-2"/>
          <w:sz w:val="24"/>
        </w:rPr>
        <w:t xml:space="preserve"> </w:t>
      </w:r>
      <w:r w:rsidRPr="00150EDC">
        <w:rPr>
          <w:sz w:val="24"/>
        </w:rPr>
        <w:t>from</w:t>
      </w:r>
      <w:r w:rsidRPr="00150EDC">
        <w:rPr>
          <w:spacing w:val="1"/>
          <w:sz w:val="24"/>
        </w:rPr>
        <w:t xml:space="preserve"> </w:t>
      </w:r>
      <w:r w:rsidRPr="00150EDC">
        <w:rPr>
          <w:spacing w:val="-2"/>
          <w:sz w:val="24"/>
        </w:rPr>
        <w:t>Moody’s;</w:t>
      </w:r>
    </w:p>
    <w:p w14:paraId="51C1BEA0" w14:textId="77777777" w:rsidR="004C7180" w:rsidRPr="00150EDC" w:rsidRDefault="00CF0754" w:rsidP="00B320C7">
      <w:pPr>
        <w:pStyle w:val="ListParagraph"/>
        <w:numPr>
          <w:ilvl w:val="2"/>
          <w:numId w:val="45"/>
        </w:numPr>
        <w:tabs>
          <w:tab w:val="left" w:pos="2835"/>
        </w:tabs>
        <w:spacing w:before="121"/>
        <w:ind w:left="2835" w:hanging="715"/>
        <w:rPr>
          <w:sz w:val="24"/>
        </w:rPr>
      </w:pPr>
      <w:r w:rsidRPr="00150EDC">
        <w:rPr>
          <w:sz w:val="24"/>
        </w:rPr>
        <w:t>AA-</w:t>
      </w:r>
      <w:r w:rsidRPr="00150EDC">
        <w:rPr>
          <w:spacing w:val="-3"/>
          <w:sz w:val="24"/>
        </w:rPr>
        <w:t xml:space="preserve"> </w:t>
      </w:r>
      <w:r w:rsidRPr="00150EDC">
        <w:rPr>
          <w:sz w:val="24"/>
        </w:rPr>
        <w:t>or</w:t>
      </w:r>
      <w:r w:rsidRPr="00150EDC">
        <w:rPr>
          <w:spacing w:val="-3"/>
          <w:sz w:val="24"/>
        </w:rPr>
        <w:t xml:space="preserve"> </w:t>
      </w:r>
      <w:r w:rsidRPr="00150EDC">
        <w:rPr>
          <w:sz w:val="24"/>
        </w:rPr>
        <w:t>better</w:t>
      </w:r>
      <w:r w:rsidRPr="00150EDC">
        <w:rPr>
          <w:spacing w:val="-2"/>
          <w:sz w:val="24"/>
        </w:rPr>
        <w:t xml:space="preserve"> </w:t>
      </w:r>
      <w:r w:rsidRPr="00150EDC">
        <w:rPr>
          <w:sz w:val="24"/>
        </w:rPr>
        <w:t>from</w:t>
      </w:r>
      <w:r w:rsidRPr="00150EDC">
        <w:rPr>
          <w:spacing w:val="-3"/>
          <w:sz w:val="24"/>
        </w:rPr>
        <w:t xml:space="preserve"> </w:t>
      </w:r>
      <w:r w:rsidRPr="00150EDC">
        <w:rPr>
          <w:sz w:val="24"/>
        </w:rPr>
        <w:t>Standard</w:t>
      </w:r>
      <w:r w:rsidRPr="00150EDC">
        <w:rPr>
          <w:spacing w:val="-3"/>
          <w:sz w:val="24"/>
        </w:rPr>
        <w:t xml:space="preserve"> </w:t>
      </w:r>
      <w:r w:rsidRPr="00150EDC">
        <w:rPr>
          <w:sz w:val="24"/>
        </w:rPr>
        <w:t xml:space="preserve">and </w:t>
      </w:r>
      <w:r w:rsidRPr="00150EDC">
        <w:rPr>
          <w:spacing w:val="-2"/>
          <w:sz w:val="24"/>
        </w:rPr>
        <w:t>Poors;</w:t>
      </w:r>
    </w:p>
    <w:p w14:paraId="10BADF10" w14:textId="77777777" w:rsidR="004C7180" w:rsidRPr="00150EDC" w:rsidRDefault="00CF0754" w:rsidP="00B320C7">
      <w:pPr>
        <w:pStyle w:val="ListParagraph"/>
        <w:numPr>
          <w:ilvl w:val="2"/>
          <w:numId w:val="45"/>
        </w:numPr>
        <w:tabs>
          <w:tab w:val="left" w:pos="2834"/>
        </w:tabs>
        <w:spacing w:before="120"/>
        <w:ind w:left="2834" w:hanging="715"/>
        <w:rPr>
          <w:sz w:val="24"/>
        </w:rPr>
      </w:pPr>
      <w:r w:rsidRPr="00150EDC">
        <w:rPr>
          <w:sz w:val="24"/>
        </w:rPr>
        <w:t>AA-</w:t>
      </w:r>
      <w:r w:rsidRPr="00150EDC">
        <w:rPr>
          <w:spacing w:val="-5"/>
          <w:sz w:val="24"/>
        </w:rPr>
        <w:t xml:space="preserve"> </w:t>
      </w:r>
      <w:r w:rsidRPr="00150EDC">
        <w:rPr>
          <w:sz w:val="24"/>
        </w:rPr>
        <w:t>or</w:t>
      </w:r>
      <w:r w:rsidRPr="00150EDC">
        <w:rPr>
          <w:spacing w:val="-2"/>
          <w:sz w:val="24"/>
        </w:rPr>
        <w:t xml:space="preserve"> </w:t>
      </w:r>
      <w:r w:rsidRPr="00150EDC">
        <w:rPr>
          <w:sz w:val="24"/>
        </w:rPr>
        <w:t>better</w:t>
      </w:r>
      <w:r w:rsidRPr="00150EDC">
        <w:rPr>
          <w:spacing w:val="-2"/>
          <w:sz w:val="24"/>
        </w:rPr>
        <w:t xml:space="preserve"> </w:t>
      </w:r>
      <w:r w:rsidRPr="00150EDC">
        <w:rPr>
          <w:sz w:val="24"/>
        </w:rPr>
        <w:t>from</w:t>
      </w:r>
      <w:r w:rsidRPr="00150EDC">
        <w:rPr>
          <w:spacing w:val="1"/>
          <w:sz w:val="24"/>
        </w:rPr>
        <w:t xml:space="preserve"> </w:t>
      </w:r>
      <w:r w:rsidRPr="00150EDC">
        <w:rPr>
          <w:spacing w:val="-2"/>
          <w:sz w:val="24"/>
        </w:rPr>
        <w:t>Fitch;</w:t>
      </w:r>
    </w:p>
    <w:p w14:paraId="6C0C219B" w14:textId="77777777" w:rsidR="004C7180" w:rsidRPr="00150EDC" w:rsidRDefault="00CF0754">
      <w:pPr>
        <w:pStyle w:val="BodyText"/>
        <w:spacing w:before="120"/>
        <w:ind w:left="2119" w:right="1444"/>
      </w:pPr>
      <w:r w:rsidRPr="00150EDC">
        <w:t>the Supplier will not be required to provide any CRP Information unless or</w:t>
      </w:r>
      <w:r w:rsidRPr="00150EDC">
        <w:rPr>
          <w:spacing w:val="40"/>
        </w:rPr>
        <w:t xml:space="preserve"> </w:t>
      </w:r>
      <w:r w:rsidRPr="00150EDC">
        <w:t>until either (i) a Financial Distress Event occurs (unless the Supplier is</w:t>
      </w:r>
      <w:r w:rsidRPr="00150EDC">
        <w:rPr>
          <w:spacing w:val="40"/>
        </w:rPr>
        <w:t xml:space="preserve"> </w:t>
      </w:r>
      <w:r w:rsidRPr="00150EDC">
        <w:t>relieved</w:t>
      </w:r>
      <w:r w:rsidRPr="00150EDC">
        <w:rPr>
          <w:spacing w:val="-2"/>
        </w:rPr>
        <w:t xml:space="preserve"> </w:t>
      </w:r>
      <w:r w:rsidRPr="00150EDC">
        <w:t>of</w:t>
      </w:r>
      <w:r w:rsidRPr="00150EDC">
        <w:rPr>
          <w:spacing w:val="-2"/>
        </w:rPr>
        <w:t xml:space="preserve"> </w:t>
      </w:r>
      <w:r w:rsidRPr="00150EDC">
        <w:t>the</w:t>
      </w:r>
      <w:r w:rsidRPr="00150EDC">
        <w:rPr>
          <w:spacing w:val="-2"/>
        </w:rPr>
        <w:t xml:space="preserve"> </w:t>
      </w:r>
      <w:r w:rsidRPr="00150EDC">
        <w:t>consequences</w:t>
      </w:r>
      <w:r w:rsidRPr="00150EDC">
        <w:rPr>
          <w:spacing w:val="-3"/>
        </w:rPr>
        <w:t xml:space="preserve"> </w:t>
      </w:r>
      <w:r w:rsidRPr="00150EDC">
        <w:t>of</w:t>
      </w:r>
      <w:r w:rsidRPr="00150EDC">
        <w:rPr>
          <w:spacing w:val="-5"/>
        </w:rPr>
        <w:t xml:space="preserve"> </w:t>
      </w:r>
      <w:r w:rsidRPr="00150EDC">
        <w:t>the</w:t>
      </w:r>
      <w:r w:rsidRPr="00150EDC">
        <w:rPr>
          <w:spacing w:val="-2"/>
        </w:rPr>
        <w:t xml:space="preserve"> </w:t>
      </w:r>
      <w:r w:rsidRPr="00150EDC">
        <w:t>Financial</w:t>
      </w:r>
      <w:r w:rsidRPr="00150EDC">
        <w:rPr>
          <w:spacing w:val="-3"/>
        </w:rPr>
        <w:t xml:space="preserve"> </w:t>
      </w:r>
      <w:r w:rsidRPr="00150EDC">
        <w:t>Distress</w:t>
      </w:r>
      <w:r w:rsidRPr="00150EDC">
        <w:rPr>
          <w:spacing w:val="-3"/>
        </w:rPr>
        <w:t xml:space="preserve"> </w:t>
      </w:r>
      <w:r w:rsidRPr="00150EDC">
        <w:t>Event</w:t>
      </w:r>
      <w:r w:rsidRPr="00150EDC">
        <w:rPr>
          <w:spacing w:val="-5"/>
        </w:rPr>
        <w:t xml:space="preserve"> </w:t>
      </w:r>
      <w:r w:rsidRPr="00150EDC">
        <w:t>under</w:t>
      </w:r>
      <w:r w:rsidRPr="00150EDC">
        <w:rPr>
          <w:spacing w:val="-6"/>
        </w:rPr>
        <w:t xml:space="preserve"> </w:t>
      </w:r>
      <w:r w:rsidRPr="00150EDC">
        <w:t>Paragraph</w:t>
      </w:r>
    </w:p>
    <w:p w14:paraId="28722B60" w14:textId="77777777" w:rsidR="004C7180" w:rsidRPr="00150EDC" w:rsidRDefault="00CF0754" w:rsidP="00B320C7">
      <w:pPr>
        <w:pStyle w:val="ListParagraph"/>
        <w:numPr>
          <w:ilvl w:val="1"/>
          <w:numId w:val="44"/>
        </w:numPr>
        <w:tabs>
          <w:tab w:val="left" w:pos="2521"/>
        </w:tabs>
        <w:ind w:left="2119" w:right="1454" w:firstLine="0"/>
        <w:rPr>
          <w:sz w:val="24"/>
        </w:rPr>
      </w:pPr>
      <w:r w:rsidRPr="00150EDC">
        <w:rPr>
          <w:sz w:val="24"/>
        </w:rPr>
        <w:t>to Joint Schedule 7 (Financial Distress), if applicable) or (ii) the Supplier and</w:t>
      </w:r>
      <w:r w:rsidRPr="00150EDC">
        <w:rPr>
          <w:spacing w:val="-2"/>
          <w:sz w:val="24"/>
        </w:rPr>
        <w:t xml:space="preserve"> </w:t>
      </w:r>
      <w:r w:rsidRPr="00150EDC">
        <w:rPr>
          <w:sz w:val="24"/>
        </w:rPr>
        <w:t>its</w:t>
      </w:r>
      <w:r w:rsidRPr="00150EDC">
        <w:rPr>
          <w:spacing w:val="-5"/>
          <w:sz w:val="24"/>
        </w:rPr>
        <w:t xml:space="preserve"> </w:t>
      </w:r>
      <w:r w:rsidRPr="00150EDC">
        <w:rPr>
          <w:sz w:val="24"/>
        </w:rPr>
        <w:t>Parent</w:t>
      </w:r>
      <w:r w:rsidRPr="00150EDC">
        <w:rPr>
          <w:spacing w:val="-2"/>
          <w:sz w:val="24"/>
        </w:rPr>
        <w:t xml:space="preserve"> </w:t>
      </w:r>
      <w:r w:rsidRPr="00150EDC">
        <w:rPr>
          <w:sz w:val="24"/>
        </w:rPr>
        <w:t>Undertakings</w:t>
      </w:r>
      <w:r w:rsidRPr="00150EDC">
        <w:rPr>
          <w:spacing w:val="-3"/>
          <w:sz w:val="24"/>
        </w:rPr>
        <w:t xml:space="preserve"> </w:t>
      </w:r>
      <w:r w:rsidRPr="00150EDC">
        <w:rPr>
          <w:sz w:val="24"/>
        </w:rPr>
        <w:t>cease</w:t>
      </w:r>
      <w:r w:rsidRPr="00150EDC">
        <w:rPr>
          <w:spacing w:val="-2"/>
          <w:sz w:val="24"/>
        </w:rPr>
        <w:t xml:space="preserve"> </w:t>
      </w:r>
      <w:r w:rsidRPr="00150EDC">
        <w:rPr>
          <w:sz w:val="24"/>
        </w:rPr>
        <w:t>to</w:t>
      </w:r>
      <w:r w:rsidRPr="00150EDC">
        <w:rPr>
          <w:spacing w:val="-2"/>
          <w:sz w:val="24"/>
        </w:rPr>
        <w:t xml:space="preserve"> </w:t>
      </w:r>
      <w:r w:rsidRPr="00150EDC">
        <w:rPr>
          <w:sz w:val="24"/>
        </w:rPr>
        <w:t>fulfil</w:t>
      </w:r>
      <w:r w:rsidRPr="00150EDC">
        <w:rPr>
          <w:spacing w:val="-3"/>
          <w:sz w:val="24"/>
        </w:rPr>
        <w:t xml:space="preserve"> </w:t>
      </w:r>
      <w:r w:rsidRPr="00150EDC">
        <w:rPr>
          <w:sz w:val="24"/>
        </w:rPr>
        <w:t>the</w:t>
      </w:r>
      <w:r w:rsidRPr="00150EDC">
        <w:rPr>
          <w:spacing w:val="-4"/>
          <w:sz w:val="24"/>
        </w:rPr>
        <w:t xml:space="preserve"> </w:t>
      </w:r>
      <w:r w:rsidRPr="00150EDC">
        <w:rPr>
          <w:sz w:val="24"/>
        </w:rPr>
        <w:t>criteria</w:t>
      </w:r>
      <w:r w:rsidRPr="00150EDC">
        <w:rPr>
          <w:spacing w:val="-2"/>
          <w:sz w:val="24"/>
        </w:rPr>
        <w:t xml:space="preserve"> </w:t>
      </w:r>
      <w:r w:rsidRPr="00150EDC">
        <w:rPr>
          <w:sz w:val="24"/>
        </w:rPr>
        <w:t>set</w:t>
      </w:r>
      <w:r w:rsidRPr="00150EDC">
        <w:rPr>
          <w:spacing w:val="-5"/>
          <w:sz w:val="24"/>
        </w:rPr>
        <w:t xml:space="preserve"> </w:t>
      </w:r>
      <w:r w:rsidRPr="00150EDC">
        <w:rPr>
          <w:sz w:val="24"/>
        </w:rPr>
        <w:t>out</w:t>
      </w:r>
      <w:r w:rsidRPr="00150EDC">
        <w:rPr>
          <w:spacing w:val="-2"/>
          <w:sz w:val="24"/>
        </w:rPr>
        <w:t xml:space="preserve"> </w:t>
      </w:r>
      <w:r w:rsidRPr="00150EDC">
        <w:rPr>
          <w:sz w:val="24"/>
        </w:rPr>
        <w:t>in</w:t>
      </w:r>
      <w:r w:rsidRPr="00150EDC">
        <w:rPr>
          <w:spacing w:val="-2"/>
          <w:sz w:val="24"/>
        </w:rPr>
        <w:t xml:space="preserve"> </w:t>
      </w:r>
      <w:r w:rsidRPr="00150EDC">
        <w:rPr>
          <w:sz w:val="24"/>
        </w:rPr>
        <w:t>this</w:t>
      </w:r>
      <w:r w:rsidRPr="00150EDC">
        <w:rPr>
          <w:spacing w:val="-5"/>
          <w:sz w:val="24"/>
        </w:rPr>
        <w:t xml:space="preserve"> </w:t>
      </w:r>
      <w:r w:rsidRPr="00150EDC">
        <w:rPr>
          <w:sz w:val="24"/>
        </w:rPr>
        <w:t>Paragraph 2.10, in which cases the Supplier shall provide the updated version of the CRP Information in accordance with paragraph 2.8.</w:t>
      </w:r>
    </w:p>
    <w:p w14:paraId="3EF6C34A" w14:textId="77777777" w:rsidR="004C7180" w:rsidRPr="00150EDC" w:rsidRDefault="00CF0754" w:rsidP="00B320C7">
      <w:pPr>
        <w:pStyle w:val="ListParagraph"/>
        <w:numPr>
          <w:ilvl w:val="1"/>
          <w:numId w:val="45"/>
        </w:numPr>
        <w:tabs>
          <w:tab w:val="left" w:pos="2117"/>
          <w:tab w:val="left" w:pos="2120"/>
        </w:tabs>
        <w:spacing w:before="120"/>
        <w:ind w:right="1433"/>
        <w:jc w:val="both"/>
        <w:rPr>
          <w:sz w:val="24"/>
        </w:rPr>
      </w:pPr>
      <w:r w:rsidRPr="00150EDC">
        <w:rPr>
          <w:sz w:val="24"/>
        </w:rPr>
        <w:t>Subject to Paragraph 4, where the Supplier demonstrates to the reasonable satisfaction of the Appropriate Authority or Appropriate Authorities that a particular item of CRP Information is highly confidential, the Supplier may, having orally disclosed and discussed that information with the Appropriate Authority or Appropriate Authorities, redact or omit that information from the CRP Information provided that if a Financial Distress Event occurs, this exemption shall no longer apply and the Supplier shall promptly provide the relevant information to the Appropriate Authority or Appropriate Authorities to the extent required under Paragraph 2.8.</w:t>
      </w:r>
    </w:p>
    <w:p w14:paraId="1BAEB751" w14:textId="77777777" w:rsidR="004C7180" w:rsidRPr="00150EDC" w:rsidRDefault="004C7180">
      <w:pPr>
        <w:pStyle w:val="BodyText"/>
        <w:spacing w:before="10"/>
        <w:rPr>
          <w:sz w:val="20"/>
        </w:rPr>
      </w:pPr>
    </w:p>
    <w:p w14:paraId="18BB5234" w14:textId="77777777" w:rsidR="004C7180" w:rsidRPr="00150EDC" w:rsidRDefault="00CF0754" w:rsidP="00B320C7">
      <w:pPr>
        <w:pStyle w:val="Heading4"/>
        <w:numPr>
          <w:ilvl w:val="0"/>
          <w:numId w:val="45"/>
        </w:numPr>
        <w:tabs>
          <w:tab w:val="left" w:pos="2119"/>
        </w:tabs>
        <w:ind w:left="2119" w:hanging="719"/>
      </w:pPr>
      <w:r w:rsidRPr="00150EDC">
        <w:t>Termination</w:t>
      </w:r>
      <w:r w:rsidRPr="00150EDC">
        <w:rPr>
          <w:spacing w:val="-4"/>
        </w:rPr>
        <w:t xml:space="preserve"> </w:t>
      </w:r>
      <w:r w:rsidRPr="00150EDC">
        <w:rPr>
          <w:spacing w:val="-2"/>
        </w:rPr>
        <w:t>Rights</w:t>
      </w:r>
    </w:p>
    <w:p w14:paraId="654D5C12" w14:textId="77777777" w:rsidR="004C7180" w:rsidRPr="00150EDC" w:rsidRDefault="004C7180">
      <w:pPr>
        <w:pStyle w:val="BodyText"/>
        <w:spacing w:before="7"/>
        <w:rPr>
          <w:b/>
          <w:sz w:val="20"/>
        </w:rPr>
      </w:pPr>
    </w:p>
    <w:p w14:paraId="63D20DCE" w14:textId="77777777" w:rsidR="004C7180" w:rsidRPr="00150EDC" w:rsidRDefault="00CF0754" w:rsidP="00B320C7">
      <w:pPr>
        <w:pStyle w:val="ListParagraph"/>
        <w:numPr>
          <w:ilvl w:val="1"/>
          <w:numId w:val="45"/>
        </w:numPr>
        <w:tabs>
          <w:tab w:val="left" w:pos="2120"/>
        </w:tabs>
        <w:spacing w:before="1"/>
        <w:ind w:right="1436"/>
        <w:rPr>
          <w:sz w:val="24"/>
        </w:rPr>
      </w:pPr>
      <w:r w:rsidRPr="00150EDC">
        <w:rPr>
          <w:sz w:val="24"/>
        </w:rPr>
        <w:t>The Buyer shall be entitled to</w:t>
      </w:r>
      <w:r w:rsidRPr="00150EDC">
        <w:rPr>
          <w:spacing w:val="-1"/>
          <w:sz w:val="24"/>
        </w:rPr>
        <w:t xml:space="preserve"> </w:t>
      </w:r>
      <w:r w:rsidRPr="00150EDC">
        <w:rPr>
          <w:sz w:val="24"/>
        </w:rPr>
        <w:t>terminate</w:t>
      </w:r>
      <w:r w:rsidRPr="00150EDC">
        <w:rPr>
          <w:spacing w:val="-1"/>
          <w:sz w:val="24"/>
        </w:rPr>
        <w:t xml:space="preserve"> </w:t>
      </w:r>
      <w:r w:rsidRPr="00150EDC">
        <w:rPr>
          <w:sz w:val="24"/>
        </w:rPr>
        <w:t>the Contract if</w:t>
      </w:r>
      <w:r w:rsidRPr="00150EDC">
        <w:rPr>
          <w:spacing w:val="-1"/>
          <w:sz w:val="24"/>
        </w:rPr>
        <w:t xml:space="preserve"> </w:t>
      </w:r>
      <w:r w:rsidRPr="00150EDC">
        <w:rPr>
          <w:sz w:val="24"/>
        </w:rPr>
        <w:t>the</w:t>
      </w:r>
      <w:r w:rsidRPr="00150EDC">
        <w:rPr>
          <w:spacing w:val="-1"/>
          <w:sz w:val="24"/>
        </w:rPr>
        <w:t xml:space="preserve"> </w:t>
      </w:r>
      <w:r w:rsidRPr="00150EDC">
        <w:rPr>
          <w:sz w:val="24"/>
        </w:rPr>
        <w:t>Supplier is required to provide CRP Information under Paragraph 2 of this Part B and either:</w:t>
      </w:r>
    </w:p>
    <w:p w14:paraId="0C688DED" w14:textId="77777777" w:rsidR="004C7180" w:rsidRPr="00150EDC" w:rsidRDefault="00CF0754" w:rsidP="00B320C7">
      <w:pPr>
        <w:pStyle w:val="ListParagraph"/>
        <w:numPr>
          <w:ilvl w:val="2"/>
          <w:numId w:val="45"/>
        </w:numPr>
        <w:tabs>
          <w:tab w:val="left" w:pos="2838"/>
          <w:tab w:val="left" w:pos="2840"/>
        </w:tabs>
        <w:spacing w:before="120"/>
        <w:ind w:right="1483"/>
        <w:rPr>
          <w:sz w:val="24"/>
        </w:rPr>
      </w:pPr>
      <w:r w:rsidRPr="00150EDC">
        <w:rPr>
          <w:sz w:val="24"/>
        </w:rPr>
        <w:t>the</w:t>
      </w:r>
      <w:r w:rsidRPr="00150EDC">
        <w:rPr>
          <w:spacing w:val="-2"/>
          <w:sz w:val="24"/>
        </w:rPr>
        <w:t xml:space="preserve"> </w:t>
      </w:r>
      <w:r w:rsidRPr="00150EDC">
        <w:rPr>
          <w:sz w:val="24"/>
        </w:rPr>
        <w:t>Supplier</w:t>
      </w:r>
      <w:r w:rsidRPr="00150EDC">
        <w:rPr>
          <w:spacing w:val="-4"/>
          <w:sz w:val="24"/>
        </w:rPr>
        <w:t xml:space="preserve"> </w:t>
      </w:r>
      <w:r w:rsidRPr="00150EDC">
        <w:rPr>
          <w:sz w:val="24"/>
        </w:rPr>
        <w:t>fails</w:t>
      </w:r>
      <w:r w:rsidRPr="00150EDC">
        <w:rPr>
          <w:spacing w:val="-3"/>
          <w:sz w:val="24"/>
        </w:rPr>
        <w:t xml:space="preserve"> </w:t>
      </w:r>
      <w:r w:rsidRPr="00150EDC">
        <w:rPr>
          <w:sz w:val="24"/>
        </w:rPr>
        <w:t>to</w:t>
      </w:r>
      <w:r w:rsidRPr="00150EDC">
        <w:rPr>
          <w:spacing w:val="-4"/>
          <w:sz w:val="24"/>
        </w:rPr>
        <w:t xml:space="preserve"> </w:t>
      </w:r>
      <w:r w:rsidRPr="00150EDC">
        <w:rPr>
          <w:sz w:val="24"/>
        </w:rPr>
        <w:t>provide</w:t>
      </w:r>
      <w:r w:rsidRPr="00150EDC">
        <w:rPr>
          <w:spacing w:val="-2"/>
          <w:sz w:val="24"/>
        </w:rPr>
        <w:t xml:space="preserve"> </w:t>
      </w:r>
      <w:r w:rsidRPr="00150EDC">
        <w:rPr>
          <w:sz w:val="24"/>
        </w:rPr>
        <w:t>the</w:t>
      </w:r>
      <w:r w:rsidRPr="00150EDC">
        <w:rPr>
          <w:spacing w:val="-2"/>
          <w:sz w:val="24"/>
        </w:rPr>
        <w:t xml:space="preserve"> </w:t>
      </w:r>
      <w:r w:rsidRPr="00150EDC">
        <w:rPr>
          <w:sz w:val="24"/>
        </w:rPr>
        <w:t>CRP</w:t>
      </w:r>
      <w:r w:rsidRPr="00150EDC">
        <w:rPr>
          <w:spacing w:val="-2"/>
          <w:sz w:val="24"/>
        </w:rPr>
        <w:t xml:space="preserve"> </w:t>
      </w:r>
      <w:r w:rsidRPr="00150EDC">
        <w:rPr>
          <w:sz w:val="24"/>
        </w:rPr>
        <w:t>Information</w:t>
      </w:r>
      <w:r w:rsidRPr="00150EDC">
        <w:rPr>
          <w:spacing w:val="-2"/>
          <w:sz w:val="24"/>
        </w:rPr>
        <w:t xml:space="preserve"> </w:t>
      </w:r>
      <w:r w:rsidRPr="00150EDC">
        <w:rPr>
          <w:sz w:val="24"/>
        </w:rPr>
        <w:t>within</w:t>
      </w:r>
      <w:r w:rsidRPr="00150EDC">
        <w:rPr>
          <w:spacing w:val="-4"/>
          <w:sz w:val="24"/>
        </w:rPr>
        <w:t xml:space="preserve"> </w:t>
      </w:r>
      <w:r w:rsidRPr="00150EDC">
        <w:rPr>
          <w:sz w:val="24"/>
        </w:rPr>
        <w:t>4</w:t>
      </w:r>
      <w:r w:rsidRPr="00150EDC">
        <w:rPr>
          <w:spacing w:val="-4"/>
          <w:sz w:val="24"/>
        </w:rPr>
        <w:t xml:space="preserve"> </w:t>
      </w:r>
      <w:r w:rsidRPr="00150EDC">
        <w:rPr>
          <w:sz w:val="24"/>
        </w:rPr>
        <w:t>months</w:t>
      </w:r>
      <w:r w:rsidRPr="00150EDC">
        <w:rPr>
          <w:spacing w:val="-5"/>
          <w:sz w:val="24"/>
        </w:rPr>
        <w:t xml:space="preserve"> </w:t>
      </w:r>
      <w:r w:rsidRPr="00150EDC">
        <w:rPr>
          <w:sz w:val="24"/>
        </w:rPr>
        <w:t>of</w:t>
      </w:r>
      <w:r w:rsidRPr="00150EDC">
        <w:rPr>
          <w:spacing w:val="-2"/>
          <w:sz w:val="24"/>
        </w:rPr>
        <w:t xml:space="preserve"> </w:t>
      </w:r>
      <w:r w:rsidRPr="00150EDC">
        <w:rPr>
          <w:sz w:val="24"/>
        </w:rPr>
        <w:t>the Effective Date if this is a Critical Service Contract or otherwise within 4 months of the Appropriate Authority’s or Appropriate Authorities’ request; or</w:t>
      </w:r>
    </w:p>
    <w:p w14:paraId="22197AC4" w14:textId="77777777" w:rsidR="004C7180" w:rsidRPr="00150EDC" w:rsidRDefault="00CF0754" w:rsidP="00B320C7">
      <w:pPr>
        <w:pStyle w:val="ListParagraph"/>
        <w:numPr>
          <w:ilvl w:val="2"/>
          <w:numId w:val="45"/>
        </w:numPr>
        <w:tabs>
          <w:tab w:val="left" w:pos="2838"/>
          <w:tab w:val="left" w:pos="2840"/>
        </w:tabs>
        <w:spacing w:before="120"/>
        <w:ind w:right="1459"/>
        <w:rPr>
          <w:sz w:val="24"/>
        </w:rPr>
      </w:pPr>
      <w:r w:rsidRPr="00150EDC">
        <w:rPr>
          <w:sz w:val="24"/>
        </w:rPr>
        <w:t>the</w:t>
      </w:r>
      <w:r w:rsidRPr="00150EDC">
        <w:rPr>
          <w:spacing w:val="-2"/>
          <w:sz w:val="24"/>
        </w:rPr>
        <w:t xml:space="preserve"> </w:t>
      </w:r>
      <w:r w:rsidRPr="00150EDC">
        <w:rPr>
          <w:sz w:val="24"/>
        </w:rPr>
        <w:t>Supplier</w:t>
      </w:r>
      <w:r w:rsidRPr="00150EDC">
        <w:rPr>
          <w:spacing w:val="-4"/>
          <w:sz w:val="24"/>
        </w:rPr>
        <w:t xml:space="preserve"> </w:t>
      </w:r>
      <w:r w:rsidRPr="00150EDC">
        <w:rPr>
          <w:sz w:val="24"/>
        </w:rPr>
        <w:t>fails</w:t>
      </w:r>
      <w:r w:rsidRPr="00150EDC">
        <w:rPr>
          <w:spacing w:val="-3"/>
          <w:sz w:val="24"/>
        </w:rPr>
        <w:t xml:space="preserve"> </w:t>
      </w:r>
      <w:r w:rsidRPr="00150EDC">
        <w:rPr>
          <w:sz w:val="24"/>
        </w:rPr>
        <w:t>to</w:t>
      </w:r>
      <w:r w:rsidRPr="00150EDC">
        <w:rPr>
          <w:spacing w:val="-4"/>
          <w:sz w:val="24"/>
        </w:rPr>
        <w:t xml:space="preserve"> </w:t>
      </w:r>
      <w:r w:rsidRPr="00150EDC">
        <w:rPr>
          <w:sz w:val="24"/>
        </w:rPr>
        <w:t>obtain</w:t>
      </w:r>
      <w:r w:rsidRPr="00150EDC">
        <w:rPr>
          <w:spacing w:val="-2"/>
          <w:sz w:val="24"/>
        </w:rPr>
        <w:t xml:space="preserve"> </w:t>
      </w:r>
      <w:r w:rsidRPr="00150EDC">
        <w:rPr>
          <w:sz w:val="24"/>
        </w:rPr>
        <w:t>an</w:t>
      </w:r>
      <w:r w:rsidRPr="00150EDC">
        <w:rPr>
          <w:spacing w:val="-2"/>
          <w:sz w:val="24"/>
        </w:rPr>
        <w:t xml:space="preserve"> </w:t>
      </w:r>
      <w:r w:rsidRPr="00150EDC">
        <w:rPr>
          <w:sz w:val="24"/>
        </w:rPr>
        <w:t>Assurance</w:t>
      </w:r>
      <w:r w:rsidRPr="00150EDC">
        <w:rPr>
          <w:spacing w:val="-4"/>
          <w:sz w:val="24"/>
        </w:rPr>
        <w:t xml:space="preserve"> </w:t>
      </w:r>
      <w:r w:rsidRPr="00150EDC">
        <w:rPr>
          <w:sz w:val="24"/>
        </w:rPr>
        <w:t>from</w:t>
      </w:r>
      <w:r w:rsidRPr="00150EDC">
        <w:rPr>
          <w:spacing w:val="-4"/>
          <w:sz w:val="24"/>
        </w:rPr>
        <w:t xml:space="preserve"> </w:t>
      </w:r>
      <w:r w:rsidRPr="00150EDC">
        <w:rPr>
          <w:sz w:val="24"/>
        </w:rPr>
        <w:t>the</w:t>
      </w:r>
      <w:r w:rsidRPr="00150EDC">
        <w:rPr>
          <w:spacing w:val="-5"/>
          <w:sz w:val="24"/>
        </w:rPr>
        <w:t xml:space="preserve"> </w:t>
      </w:r>
      <w:r w:rsidRPr="00150EDC">
        <w:rPr>
          <w:sz w:val="24"/>
        </w:rPr>
        <w:t>Appropriate</w:t>
      </w:r>
      <w:r w:rsidRPr="00150EDC">
        <w:rPr>
          <w:spacing w:val="-4"/>
          <w:sz w:val="24"/>
        </w:rPr>
        <w:t xml:space="preserve"> </w:t>
      </w:r>
      <w:r w:rsidRPr="00150EDC">
        <w:rPr>
          <w:sz w:val="24"/>
        </w:rPr>
        <w:t>Authority or Appropriate Authorities within 4 months of the date that it was first required to provide the CRP Information under the Contract,</w:t>
      </w:r>
    </w:p>
    <w:p w14:paraId="4687777C" w14:textId="77777777" w:rsidR="004C7180" w:rsidRPr="00150EDC" w:rsidRDefault="00CF0754">
      <w:pPr>
        <w:pStyle w:val="BodyText"/>
        <w:spacing w:before="120"/>
        <w:ind w:left="2120" w:right="1432" w:hanging="720"/>
        <w:jc w:val="both"/>
      </w:pPr>
      <w:r w:rsidRPr="00150EDC">
        <w:t xml:space="preserve">which shall be deemed to be an event to which Clause 10.4.1 of the Core Terms applies and Clauses 10.6.1 and 10.6.2 of the Core Terms shall apply </w:t>
      </w:r>
      <w:r w:rsidRPr="00150EDC">
        <w:rPr>
          <w:spacing w:val="-2"/>
        </w:rPr>
        <w:t>accordingly.</w:t>
      </w:r>
    </w:p>
    <w:p w14:paraId="55FFB86C" w14:textId="77777777" w:rsidR="004C7180" w:rsidRPr="00150EDC" w:rsidRDefault="004C7180">
      <w:pPr>
        <w:pStyle w:val="BodyText"/>
        <w:spacing w:before="10"/>
        <w:rPr>
          <w:sz w:val="20"/>
        </w:rPr>
      </w:pPr>
    </w:p>
    <w:p w14:paraId="4E52E20C" w14:textId="77777777" w:rsidR="004C7180" w:rsidRPr="00150EDC" w:rsidRDefault="00CF0754" w:rsidP="00B320C7">
      <w:pPr>
        <w:pStyle w:val="Heading4"/>
        <w:numPr>
          <w:ilvl w:val="0"/>
          <w:numId w:val="45"/>
        </w:numPr>
        <w:tabs>
          <w:tab w:val="left" w:pos="2119"/>
        </w:tabs>
        <w:ind w:left="2119"/>
      </w:pPr>
      <w:r w:rsidRPr="00150EDC">
        <w:t>Confidentiality</w:t>
      </w:r>
      <w:r w:rsidRPr="00150EDC">
        <w:rPr>
          <w:spacing w:val="-3"/>
        </w:rPr>
        <w:t xml:space="preserve"> </w:t>
      </w:r>
      <w:r w:rsidRPr="00150EDC">
        <w:t>and</w:t>
      </w:r>
      <w:r w:rsidRPr="00150EDC">
        <w:rPr>
          <w:spacing w:val="-3"/>
        </w:rPr>
        <w:t xml:space="preserve"> </w:t>
      </w:r>
      <w:r w:rsidRPr="00150EDC">
        <w:t>usage</w:t>
      </w:r>
      <w:r w:rsidRPr="00150EDC">
        <w:rPr>
          <w:spacing w:val="-2"/>
        </w:rPr>
        <w:t xml:space="preserve"> </w:t>
      </w:r>
      <w:r w:rsidRPr="00150EDC">
        <w:t>of</w:t>
      </w:r>
      <w:r w:rsidRPr="00150EDC">
        <w:rPr>
          <w:spacing w:val="-4"/>
        </w:rPr>
        <w:t xml:space="preserve"> </w:t>
      </w:r>
      <w:r w:rsidRPr="00150EDC">
        <w:t>CRP</w:t>
      </w:r>
      <w:r w:rsidRPr="00150EDC">
        <w:rPr>
          <w:spacing w:val="-2"/>
        </w:rPr>
        <w:t xml:space="preserve"> Information</w:t>
      </w:r>
    </w:p>
    <w:p w14:paraId="5CB6C5E4" w14:textId="77777777" w:rsidR="004C7180" w:rsidRPr="00150EDC" w:rsidRDefault="004C7180">
      <w:pPr>
        <w:pStyle w:val="BodyText"/>
        <w:spacing w:before="10"/>
        <w:rPr>
          <w:b/>
          <w:sz w:val="20"/>
        </w:rPr>
      </w:pPr>
    </w:p>
    <w:p w14:paraId="6AD2AC5E" w14:textId="77777777" w:rsidR="004C7180" w:rsidRPr="00150EDC" w:rsidRDefault="00CF0754" w:rsidP="00B320C7">
      <w:pPr>
        <w:pStyle w:val="ListParagraph"/>
        <w:numPr>
          <w:ilvl w:val="1"/>
          <w:numId w:val="45"/>
        </w:numPr>
        <w:tabs>
          <w:tab w:val="left" w:pos="2116"/>
          <w:tab w:val="left" w:pos="2119"/>
        </w:tabs>
        <w:ind w:left="2119" w:right="1433"/>
        <w:jc w:val="both"/>
        <w:rPr>
          <w:sz w:val="24"/>
        </w:rPr>
      </w:pPr>
      <w:r w:rsidRPr="00150EDC">
        <w:rPr>
          <w:sz w:val="24"/>
        </w:rPr>
        <w:t>The Buyer agrees to keep the CRP Information confidential and use it only to understand the implications of an Insolvency Event of the Supplier and/or Supplier Group members on its UK Public Sector Business and/or services in respect of CNI and to enable contingency planning to maintain service continuity for end users and protect CNI in such eventuality.</w:t>
      </w:r>
    </w:p>
    <w:p w14:paraId="2F2B8B9C" w14:textId="77777777" w:rsidR="004C7180" w:rsidRPr="00150EDC" w:rsidRDefault="004C7180">
      <w:pPr>
        <w:jc w:val="both"/>
        <w:rPr>
          <w:sz w:val="24"/>
        </w:rPr>
        <w:sectPr w:rsidR="004C7180" w:rsidRPr="00150EDC">
          <w:pgSz w:w="11910" w:h="16840"/>
          <w:pgMar w:top="1380" w:right="0" w:bottom="1380" w:left="40" w:header="715" w:footer="1192" w:gutter="0"/>
          <w:cols w:space="720"/>
        </w:sectPr>
      </w:pPr>
    </w:p>
    <w:p w14:paraId="3497A415" w14:textId="77777777" w:rsidR="004C7180" w:rsidRPr="00150EDC" w:rsidRDefault="004C7180">
      <w:pPr>
        <w:pStyle w:val="BodyText"/>
        <w:spacing w:before="1"/>
        <w:rPr>
          <w:sz w:val="12"/>
        </w:rPr>
      </w:pPr>
    </w:p>
    <w:p w14:paraId="387E8D40" w14:textId="77777777" w:rsidR="004C7180" w:rsidRPr="00150EDC" w:rsidRDefault="00CF0754" w:rsidP="00B320C7">
      <w:pPr>
        <w:pStyle w:val="ListParagraph"/>
        <w:numPr>
          <w:ilvl w:val="1"/>
          <w:numId w:val="45"/>
        </w:numPr>
        <w:tabs>
          <w:tab w:val="left" w:pos="2116"/>
          <w:tab w:val="left" w:pos="2119"/>
        </w:tabs>
        <w:spacing w:before="92"/>
        <w:ind w:left="2119" w:right="1435"/>
        <w:jc w:val="both"/>
        <w:rPr>
          <w:sz w:val="24"/>
        </w:rPr>
      </w:pPr>
      <w:r w:rsidRPr="00150EDC">
        <w:rPr>
          <w:sz w:val="24"/>
        </w:rPr>
        <w:t>Where the Appropriate Authority is the Cabinet Office Markets and Suppliers Team,</w:t>
      </w:r>
      <w:r w:rsidRPr="00150EDC">
        <w:rPr>
          <w:spacing w:val="-7"/>
          <w:sz w:val="24"/>
        </w:rPr>
        <w:t xml:space="preserve"> </w:t>
      </w:r>
      <w:r w:rsidRPr="00150EDC">
        <w:rPr>
          <w:sz w:val="24"/>
        </w:rPr>
        <w:t>at</w:t>
      </w:r>
      <w:r w:rsidRPr="00150EDC">
        <w:rPr>
          <w:spacing w:val="-7"/>
          <w:sz w:val="24"/>
        </w:rPr>
        <w:t xml:space="preserve"> </w:t>
      </w:r>
      <w:r w:rsidRPr="00150EDC">
        <w:rPr>
          <w:sz w:val="24"/>
        </w:rPr>
        <w:t>the</w:t>
      </w:r>
      <w:r w:rsidRPr="00150EDC">
        <w:rPr>
          <w:spacing w:val="-7"/>
          <w:sz w:val="24"/>
        </w:rPr>
        <w:t xml:space="preserve"> </w:t>
      </w:r>
      <w:r w:rsidRPr="00150EDC">
        <w:rPr>
          <w:sz w:val="24"/>
        </w:rPr>
        <w:t>Supplier’s</w:t>
      </w:r>
      <w:r w:rsidRPr="00150EDC">
        <w:rPr>
          <w:spacing w:val="-10"/>
          <w:sz w:val="24"/>
        </w:rPr>
        <w:t xml:space="preserve"> </w:t>
      </w:r>
      <w:r w:rsidRPr="00150EDC">
        <w:rPr>
          <w:sz w:val="24"/>
        </w:rPr>
        <w:t>request,</w:t>
      </w:r>
      <w:r w:rsidRPr="00150EDC">
        <w:rPr>
          <w:spacing w:val="-7"/>
          <w:sz w:val="24"/>
        </w:rPr>
        <w:t xml:space="preserve"> </w:t>
      </w:r>
      <w:r w:rsidRPr="00150EDC">
        <w:rPr>
          <w:sz w:val="24"/>
        </w:rPr>
        <w:t>the</w:t>
      </w:r>
      <w:r w:rsidRPr="00150EDC">
        <w:rPr>
          <w:spacing w:val="-7"/>
          <w:sz w:val="24"/>
        </w:rPr>
        <w:t xml:space="preserve"> </w:t>
      </w:r>
      <w:r w:rsidRPr="00150EDC">
        <w:rPr>
          <w:sz w:val="24"/>
        </w:rPr>
        <w:t>Buyer</w:t>
      </w:r>
      <w:r w:rsidRPr="00150EDC">
        <w:rPr>
          <w:spacing w:val="-8"/>
          <w:sz w:val="24"/>
        </w:rPr>
        <w:t xml:space="preserve"> </w:t>
      </w:r>
      <w:r w:rsidRPr="00150EDC">
        <w:rPr>
          <w:sz w:val="24"/>
        </w:rPr>
        <w:t>shall</w:t>
      </w:r>
      <w:r w:rsidRPr="00150EDC">
        <w:rPr>
          <w:spacing w:val="-8"/>
          <w:sz w:val="24"/>
        </w:rPr>
        <w:t xml:space="preserve"> </w:t>
      </w:r>
      <w:r w:rsidRPr="00150EDC">
        <w:rPr>
          <w:sz w:val="24"/>
        </w:rPr>
        <w:t>use</w:t>
      </w:r>
      <w:r w:rsidRPr="00150EDC">
        <w:rPr>
          <w:spacing w:val="-7"/>
          <w:sz w:val="24"/>
        </w:rPr>
        <w:t xml:space="preserve"> </w:t>
      </w:r>
      <w:r w:rsidRPr="00150EDC">
        <w:rPr>
          <w:sz w:val="24"/>
        </w:rPr>
        <w:t>reasonable</w:t>
      </w:r>
      <w:r w:rsidRPr="00150EDC">
        <w:rPr>
          <w:spacing w:val="-7"/>
          <w:sz w:val="24"/>
        </w:rPr>
        <w:t xml:space="preserve"> </w:t>
      </w:r>
      <w:r w:rsidRPr="00150EDC">
        <w:rPr>
          <w:sz w:val="24"/>
        </w:rPr>
        <w:t>endeavours</w:t>
      </w:r>
      <w:r w:rsidRPr="00150EDC">
        <w:rPr>
          <w:spacing w:val="-8"/>
          <w:sz w:val="24"/>
        </w:rPr>
        <w:t xml:space="preserve"> </w:t>
      </w:r>
      <w:r w:rsidRPr="00150EDC">
        <w:rPr>
          <w:sz w:val="24"/>
        </w:rPr>
        <w:t>to procure that the Cabinet Office enters into a confidentiality and usage agreement with the Supplier containing terms no less stringent than those placed on the Buyer under paragraph 4.1 of this Part B and Clause 15 of the Core Terms.</w:t>
      </w:r>
    </w:p>
    <w:p w14:paraId="69FD9EFF" w14:textId="77777777" w:rsidR="004C7180" w:rsidRPr="00150EDC" w:rsidRDefault="00CF0754" w:rsidP="00B320C7">
      <w:pPr>
        <w:pStyle w:val="ListParagraph"/>
        <w:numPr>
          <w:ilvl w:val="1"/>
          <w:numId w:val="45"/>
        </w:numPr>
        <w:tabs>
          <w:tab w:val="left" w:pos="2116"/>
          <w:tab w:val="left" w:pos="2119"/>
        </w:tabs>
        <w:spacing w:before="121"/>
        <w:ind w:left="2119" w:right="1435"/>
        <w:jc w:val="both"/>
        <w:rPr>
          <w:sz w:val="24"/>
        </w:rPr>
      </w:pPr>
      <w:r w:rsidRPr="00150EDC">
        <w:rPr>
          <w:sz w:val="24"/>
        </w:rPr>
        <w:t>The</w:t>
      </w:r>
      <w:r w:rsidRPr="00150EDC">
        <w:rPr>
          <w:spacing w:val="-8"/>
          <w:sz w:val="24"/>
        </w:rPr>
        <w:t xml:space="preserve"> </w:t>
      </w:r>
      <w:r w:rsidRPr="00150EDC">
        <w:rPr>
          <w:sz w:val="24"/>
        </w:rPr>
        <w:t>Supplier</w:t>
      </w:r>
      <w:r w:rsidRPr="00150EDC">
        <w:rPr>
          <w:spacing w:val="-10"/>
          <w:sz w:val="24"/>
        </w:rPr>
        <w:t xml:space="preserve"> </w:t>
      </w:r>
      <w:r w:rsidRPr="00150EDC">
        <w:rPr>
          <w:sz w:val="24"/>
        </w:rPr>
        <w:t>shall</w:t>
      </w:r>
      <w:r w:rsidRPr="00150EDC">
        <w:rPr>
          <w:spacing w:val="-10"/>
          <w:sz w:val="24"/>
        </w:rPr>
        <w:t xml:space="preserve"> </w:t>
      </w:r>
      <w:r w:rsidRPr="00150EDC">
        <w:rPr>
          <w:sz w:val="24"/>
        </w:rPr>
        <w:t>use</w:t>
      </w:r>
      <w:r w:rsidRPr="00150EDC">
        <w:rPr>
          <w:spacing w:val="-11"/>
          <w:sz w:val="24"/>
        </w:rPr>
        <w:t xml:space="preserve"> </w:t>
      </w:r>
      <w:r w:rsidRPr="00150EDC">
        <w:rPr>
          <w:sz w:val="24"/>
        </w:rPr>
        <w:t>reasonable</w:t>
      </w:r>
      <w:r w:rsidRPr="00150EDC">
        <w:rPr>
          <w:spacing w:val="-8"/>
          <w:sz w:val="24"/>
        </w:rPr>
        <w:t xml:space="preserve"> </w:t>
      </w:r>
      <w:r w:rsidRPr="00150EDC">
        <w:rPr>
          <w:sz w:val="24"/>
        </w:rPr>
        <w:t>endeavours</w:t>
      </w:r>
      <w:r w:rsidRPr="00150EDC">
        <w:rPr>
          <w:spacing w:val="-9"/>
          <w:sz w:val="24"/>
        </w:rPr>
        <w:t xml:space="preserve"> </w:t>
      </w:r>
      <w:r w:rsidRPr="00150EDC">
        <w:rPr>
          <w:sz w:val="24"/>
        </w:rPr>
        <w:t>to</w:t>
      </w:r>
      <w:r w:rsidRPr="00150EDC">
        <w:rPr>
          <w:spacing w:val="-8"/>
          <w:sz w:val="24"/>
        </w:rPr>
        <w:t xml:space="preserve"> </w:t>
      </w:r>
      <w:r w:rsidRPr="00150EDC">
        <w:rPr>
          <w:sz w:val="24"/>
        </w:rPr>
        <w:t>obtain</w:t>
      </w:r>
      <w:r w:rsidRPr="00150EDC">
        <w:rPr>
          <w:spacing w:val="-8"/>
          <w:sz w:val="24"/>
        </w:rPr>
        <w:t xml:space="preserve"> </w:t>
      </w:r>
      <w:r w:rsidRPr="00150EDC">
        <w:rPr>
          <w:sz w:val="24"/>
        </w:rPr>
        <w:t>consent</w:t>
      </w:r>
      <w:r w:rsidRPr="00150EDC">
        <w:rPr>
          <w:spacing w:val="-9"/>
          <w:sz w:val="24"/>
        </w:rPr>
        <w:t xml:space="preserve"> </w:t>
      </w:r>
      <w:r w:rsidRPr="00150EDC">
        <w:rPr>
          <w:sz w:val="24"/>
        </w:rPr>
        <w:t>from</w:t>
      </w:r>
      <w:r w:rsidRPr="00150EDC">
        <w:rPr>
          <w:spacing w:val="-8"/>
          <w:sz w:val="24"/>
        </w:rPr>
        <w:t xml:space="preserve"> </w:t>
      </w:r>
      <w:r w:rsidRPr="00150EDC">
        <w:rPr>
          <w:sz w:val="24"/>
        </w:rPr>
        <w:t>any</w:t>
      </w:r>
      <w:r w:rsidRPr="00150EDC">
        <w:rPr>
          <w:spacing w:val="-12"/>
          <w:sz w:val="24"/>
        </w:rPr>
        <w:t xml:space="preserve"> </w:t>
      </w:r>
      <w:r w:rsidRPr="00150EDC">
        <w:rPr>
          <w:sz w:val="24"/>
        </w:rPr>
        <w:t>third party which has restricted the disclosure of the CRP Information to enable disclosure of that information to the Appropriate Authority or Appropriate Authorities</w:t>
      </w:r>
      <w:r w:rsidRPr="00150EDC">
        <w:rPr>
          <w:spacing w:val="-5"/>
          <w:sz w:val="24"/>
        </w:rPr>
        <w:t xml:space="preserve"> </w:t>
      </w:r>
      <w:r w:rsidRPr="00150EDC">
        <w:rPr>
          <w:sz w:val="24"/>
        </w:rPr>
        <w:t>pursuant</w:t>
      </w:r>
      <w:r w:rsidRPr="00150EDC">
        <w:rPr>
          <w:spacing w:val="-5"/>
          <w:sz w:val="24"/>
        </w:rPr>
        <w:t xml:space="preserve"> </w:t>
      </w:r>
      <w:r w:rsidRPr="00150EDC">
        <w:rPr>
          <w:sz w:val="24"/>
        </w:rPr>
        <w:t>to</w:t>
      </w:r>
      <w:r w:rsidRPr="00150EDC">
        <w:rPr>
          <w:spacing w:val="-7"/>
          <w:sz w:val="24"/>
        </w:rPr>
        <w:t xml:space="preserve"> </w:t>
      </w:r>
      <w:r w:rsidRPr="00150EDC">
        <w:rPr>
          <w:sz w:val="24"/>
        </w:rPr>
        <w:t>Paragraph</w:t>
      </w:r>
      <w:r w:rsidRPr="00150EDC">
        <w:rPr>
          <w:spacing w:val="-7"/>
          <w:sz w:val="24"/>
        </w:rPr>
        <w:t xml:space="preserve"> </w:t>
      </w:r>
      <w:r w:rsidRPr="00150EDC">
        <w:rPr>
          <w:sz w:val="24"/>
        </w:rPr>
        <w:t>2</w:t>
      </w:r>
      <w:r w:rsidRPr="00150EDC">
        <w:rPr>
          <w:spacing w:val="-7"/>
          <w:sz w:val="24"/>
        </w:rPr>
        <w:t xml:space="preserve"> </w:t>
      </w:r>
      <w:r w:rsidRPr="00150EDC">
        <w:rPr>
          <w:sz w:val="24"/>
        </w:rPr>
        <w:t>of</w:t>
      </w:r>
      <w:r w:rsidRPr="00150EDC">
        <w:rPr>
          <w:spacing w:val="-5"/>
          <w:sz w:val="24"/>
        </w:rPr>
        <w:t xml:space="preserve"> </w:t>
      </w:r>
      <w:r w:rsidRPr="00150EDC">
        <w:rPr>
          <w:sz w:val="24"/>
        </w:rPr>
        <w:t>this</w:t>
      </w:r>
      <w:r w:rsidRPr="00150EDC">
        <w:rPr>
          <w:spacing w:val="-5"/>
          <w:sz w:val="24"/>
        </w:rPr>
        <w:t xml:space="preserve"> </w:t>
      </w:r>
      <w:r w:rsidRPr="00150EDC">
        <w:rPr>
          <w:sz w:val="24"/>
        </w:rPr>
        <w:t>Part</w:t>
      </w:r>
      <w:r w:rsidRPr="00150EDC">
        <w:rPr>
          <w:spacing w:val="-5"/>
          <w:sz w:val="24"/>
        </w:rPr>
        <w:t xml:space="preserve"> </w:t>
      </w:r>
      <w:r w:rsidRPr="00150EDC">
        <w:rPr>
          <w:sz w:val="24"/>
        </w:rPr>
        <w:t>B</w:t>
      </w:r>
      <w:r w:rsidRPr="00150EDC">
        <w:rPr>
          <w:spacing w:val="-5"/>
          <w:sz w:val="24"/>
        </w:rPr>
        <w:t xml:space="preserve"> </w:t>
      </w:r>
      <w:r w:rsidRPr="00150EDC">
        <w:rPr>
          <w:sz w:val="24"/>
        </w:rPr>
        <w:t>subject,</w:t>
      </w:r>
      <w:r w:rsidRPr="00150EDC">
        <w:rPr>
          <w:spacing w:val="-7"/>
          <w:sz w:val="24"/>
        </w:rPr>
        <w:t xml:space="preserve"> </w:t>
      </w:r>
      <w:r w:rsidRPr="00150EDC">
        <w:rPr>
          <w:sz w:val="24"/>
        </w:rPr>
        <w:t>where</w:t>
      </w:r>
      <w:r w:rsidRPr="00150EDC">
        <w:rPr>
          <w:spacing w:val="-7"/>
          <w:sz w:val="24"/>
        </w:rPr>
        <w:t xml:space="preserve"> </w:t>
      </w:r>
      <w:r w:rsidRPr="00150EDC">
        <w:rPr>
          <w:sz w:val="24"/>
        </w:rPr>
        <w:t>necessary,</w:t>
      </w:r>
      <w:r w:rsidRPr="00150EDC">
        <w:rPr>
          <w:spacing w:val="-5"/>
          <w:sz w:val="24"/>
        </w:rPr>
        <w:t xml:space="preserve"> </w:t>
      </w:r>
      <w:r w:rsidRPr="00150EDC">
        <w:rPr>
          <w:sz w:val="24"/>
        </w:rPr>
        <w:t>to the</w:t>
      </w:r>
      <w:r w:rsidRPr="00150EDC">
        <w:rPr>
          <w:spacing w:val="-17"/>
          <w:sz w:val="24"/>
        </w:rPr>
        <w:t xml:space="preserve"> </w:t>
      </w:r>
      <w:r w:rsidRPr="00150EDC">
        <w:rPr>
          <w:sz w:val="24"/>
        </w:rPr>
        <w:t>Appropriate</w:t>
      </w:r>
      <w:r w:rsidRPr="00150EDC">
        <w:rPr>
          <w:spacing w:val="-17"/>
          <w:sz w:val="24"/>
        </w:rPr>
        <w:t xml:space="preserve"> </w:t>
      </w:r>
      <w:r w:rsidRPr="00150EDC">
        <w:rPr>
          <w:sz w:val="24"/>
        </w:rPr>
        <w:t>Authority</w:t>
      </w:r>
      <w:r w:rsidRPr="00150EDC">
        <w:rPr>
          <w:spacing w:val="-16"/>
          <w:sz w:val="24"/>
        </w:rPr>
        <w:t xml:space="preserve"> </w:t>
      </w:r>
      <w:r w:rsidRPr="00150EDC">
        <w:rPr>
          <w:sz w:val="24"/>
        </w:rPr>
        <w:t>or</w:t>
      </w:r>
      <w:r w:rsidRPr="00150EDC">
        <w:rPr>
          <w:spacing w:val="-17"/>
          <w:sz w:val="24"/>
        </w:rPr>
        <w:t xml:space="preserve"> </w:t>
      </w:r>
      <w:r w:rsidRPr="00150EDC">
        <w:rPr>
          <w:sz w:val="24"/>
        </w:rPr>
        <w:t>Appropriate</w:t>
      </w:r>
      <w:r w:rsidRPr="00150EDC">
        <w:rPr>
          <w:spacing w:val="-17"/>
          <w:sz w:val="24"/>
        </w:rPr>
        <w:t xml:space="preserve"> </w:t>
      </w:r>
      <w:r w:rsidRPr="00150EDC">
        <w:rPr>
          <w:sz w:val="24"/>
        </w:rPr>
        <w:t>Authorities</w:t>
      </w:r>
      <w:r w:rsidRPr="00150EDC">
        <w:rPr>
          <w:spacing w:val="-17"/>
          <w:sz w:val="24"/>
        </w:rPr>
        <w:t xml:space="preserve"> </w:t>
      </w:r>
      <w:r w:rsidRPr="00150EDC">
        <w:rPr>
          <w:sz w:val="24"/>
        </w:rPr>
        <w:t>entering</w:t>
      </w:r>
      <w:r w:rsidRPr="00150EDC">
        <w:rPr>
          <w:spacing w:val="-16"/>
          <w:sz w:val="24"/>
        </w:rPr>
        <w:t xml:space="preserve"> </w:t>
      </w:r>
      <w:r w:rsidRPr="00150EDC">
        <w:rPr>
          <w:sz w:val="24"/>
        </w:rPr>
        <w:t>into</w:t>
      </w:r>
      <w:r w:rsidRPr="00150EDC">
        <w:rPr>
          <w:spacing w:val="-17"/>
          <w:sz w:val="24"/>
        </w:rPr>
        <w:t xml:space="preserve"> </w:t>
      </w:r>
      <w:r w:rsidRPr="00150EDC">
        <w:rPr>
          <w:sz w:val="24"/>
        </w:rPr>
        <w:t>an</w:t>
      </w:r>
      <w:r w:rsidRPr="00150EDC">
        <w:rPr>
          <w:spacing w:val="-17"/>
          <w:sz w:val="24"/>
        </w:rPr>
        <w:t xml:space="preserve"> </w:t>
      </w:r>
      <w:r w:rsidRPr="00150EDC">
        <w:rPr>
          <w:sz w:val="24"/>
        </w:rPr>
        <w:t>appropriate confidentiality agreement in the form required by the third party.</w:t>
      </w:r>
    </w:p>
    <w:p w14:paraId="41C9992B" w14:textId="77777777" w:rsidR="004C7180" w:rsidRPr="00150EDC" w:rsidRDefault="00CF0754" w:rsidP="00B320C7">
      <w:pPr>
        <w:pStyle w:val="ListParagraph"/>
        <w:numPr>
          <w:ilvl w:val="1"/>
          <w:numId w:val="45"/>
        </w:numPr>
        <w:tabs>
          <w:tab w:val="left" w:pos="2116"/>
          <w:tab w:val="left" w:pos="2119"/>
        </w:tabs>
        <w:spacing w:before="120"/>
        <w:ind w:left="2119" w:right="1436"/>
        <w:jc w:val="both"/>
        <w:rPr>
          <w:sz w:val="24"/>
        </w:rPr>
      </w:pPr>
      <w:r w:rsidRPr="00150EDC">
        <w:rPr>
          <w:sz w:val="24"/>
        </w:rPr>
        <w:t>Where the Supplier is</w:t>
      </w:r>
      <w:r w:rsidRPr="00150EDC">
        <w:rPr>
          <w:spacing w:val="-2"/>
          <w:sz w:val="24"/>
        </w:rPr>
        <w:t xml:space="preserve"> </w:t>
      </w:r>
      <w:r w:rsidRPr="00150EDC">
        <w:rPr>
          <w:sz w:val="24"/>
        </w:rPr>
        <w:t>unable to procure consent pursuant to Paragraph 4.3 of this Part B, the Supplier shall use all reasonable endeavours to disclose the CRP Information to the fullest extent possible by limiting the amount of information it withholds including by:</w:t>
      </w:r>
    </w:p>
    <w:p w14:paraId="6E05DC1D" w14:textId="77777777" w:rsidR="004C7180" w:rsidRPr="00150EDC" w:rsidRDefault="00CF0754" w:rsidP="00B320C7">
      <w:pPr>
        <w:pStyle w:val="ListParagraph"/>
        <w:numPr>
          <w:ilvl w:val="2"/>
          <w:numId w:val="45"/>
        </w:numPr>
        <w:tabs>
          <w:tab w:val="left" w:pos="2837"/>
          <w:tab w:val="left" w:pos="2839"/>
        </w:tabs>
        <w:spacing w:before="120"/>
        <w:ind w:left="2839" w:right="1594"/>
        <w:jc w:val="both"/>
        <w:rPr>
          <w:sz w:val="24"/>
        </w:rPr>
      </w:pPr>
      <w:r w:rsidRPr="00150EDC">
        <w:rPr>
          <w:sz w:val="24"/>
        </w:rPr>
        <w:t>redacting</w:t>
      </w:r>
      <w:r w:rsidRPr="00150EDC">
        <w:rPr>
          <w:spacing w:val="-2"/>
          <w:sz w:val="24"/>
        </w:rPr>
        <w:t xml:space="preserve"> </w:t>
      </w:r>
      <w:r w:rsidRPr="00150EDC">
        <w:rPr>
          <w:sz w:val="24"/>
        </w:rPr>
        <w:t>only</w:t>
      </w:r>
      <w:r w:rsidRPr="00150EDC">
        <w:rPr>
          <w:spacing w:val="-3"/>
          <w:sz w:val="24"/>
        </w:rPr>
        <w:t xml:space="preserve"> </w:t>
      </w:r>
      <w:r w:rsidRPr="00150EDC">
        <w:rPr>
          <w:sz w:val="24"/>
        </w:rPr>
        <w:t>those</w:t>
      </w:r>
      <w:r w:rsidRPr="00150EDC">
        <w:rPr>
          <w:spacing w:val="-4"/>
          <w:sz w:val="24"/>
        </w:rPr>
        <w:t xml:space="preserve"> </w:t>
      </w:r>
      <w:r w:rsidRPr="00150EDC">
        <w:rPr>
          <w:sz w:val="24"/>
        </w:rPr>
        <w:t>parts</w:t>
      </w:r>
      <w:r w:rsidRPr="00150EDC">
        <w:rPr>
          <w:spacing w:val="-3"/>
          <w:sz w:val="24"/>
        </w:rPr>
        <w:t xml:space="preserve"> </w:t>
      </w:r>
      <w:r w:rsidRPr="00150EDC">
        <w:rPr>
          <w:sz w:val="24"/>
        </w:rPr>
        <w:t>of</w:t>
      </w:r>
      <w:r w:rsidRPr="00150EDC">
        <w:rPr>
          <w:spacing w:val="-5"/>
          <w:sz w:val="24"/>
        </w:rPr>
        <w:t xml:space="preserve"> </w:t>
      </w:r>
      <w:r w:rsidRPr="00150EDC">
        <w:rPr>
          <w:sz w:val="24"/>
        </w:rPr>
        <w:t>the</w:t>
      </w:r>
      <w:r w:rsidRPr="00150EDC">
        <w:rPr>
          <w:spacing w:val="-4"/>
          <w:sz w:val="24"/>
        </w:rPr>
        <w:t xml:space="preserve"> </w:t>
      </w:r>
      <w:r w:rsidRPr="00150EDC">
        <w:rPr>
          <w:sz w:val="24"/>
        </w:rPr>
        <w:t>information</w:t>
      </w:r>
      <w:r w:rsidRPr="00150EDC">
        <w:rPr>
          <w:spacing w:val="-4"/>
          <w:sz w:val="24"/>
        </w:rPr>
        <w:t xml:space="preserve"> </w:t>
      </w:r>
      <w:r w:rsidRPr="00150EDC">
        <w:rPr>
          <w:sz w:val="24"/>
        </w:rPr>
        <w:t>which</w:t>
      </w:r>
      <w:r w:rsidRPr="00150EDC">
        <w:rPr>
          <w:spacing w:val="-2"/>
          <w:sz w:val="24"/>
        </w:rPr>
        <w:t xml:space="preserve"> </w:t>
      </w:r>
      <w:r w:rsidRPr="00150EDC">
        <w:rPr>
          <w:sz w:val="24"/>
        </w:rPr>
        <w:t>are</w:t>
      </w:r>
      <w:r w:rsidRPr="00150EDC">
        <w:rPr>
          <w:spacing w:val="-2"/>
          <w:sz w:val="24"/>
        </w:rPr>
        <w:t xml:space="preserve"> </w:t>
      </w:r>
      <w:r w:rsidRPr="00150EDC">
        <w:rPr>
          <w:sz w:val="24"/>
        </w:rPr>
        <w:t>subject</w:t>
      </w:r>
      <w:r w:rsidRPr="00150EDC">
        <w:rPr>
          <w:spacing w:val="-5"/>
          <w:sz w:val="24"/>
        </w:rPr>
        <w:t xml:space="preserve"> </w:t>
      </w:r>
      <w:r w:rsidRPr="00150EDC">
        <w:rPr>
          <w:sz w:val="24"/>
        </w:rPr>
        <w:t>to</w:t>
      </w:r>
      <w:r w:rsidRPr="00150EDC">
        <w:rPr>
          <w:spacing w:val="-2"/>
          <w:sz w:val="24"/>
        </w:rPr>
        <w:t xml:space="preserve"> </w:t>
      </w:r>
      <w:r w:rsidRPr="00150EDC">
        <w:rPr>
          <w:sz w:val="24"/>
        </w:rPr>
        <w:t>such obligations of confidentiality;</w:t>
      </w:r>
    </w:p>
    <w:p w14:paraId="71DA280A" w14:textId="77777777" w:rsidR="004C7180" w:rsidRPr="00150EDC" w:rsidRDefault="00CF0754" w:rsidP="00B320C7">
      <w:pPr>
        <w:pStyle w:val="ListParagraph"/>
        <w:numPr>
          <w:ilvl w:val="2"/>
          <w:numId w:val="45"/>
        </w:numPr>
        <w:tabs>
          <w:tab w:val="left" w:pos="2837"/>
          <w:tab w:val="left" w:pos="2839"/>
        </w:tabs>
        <w:spacing w:before="120"/>
        <w:ind w:left="2839" w:right="1616"/>
        <w:jc w:val="both"/>
        <w:rPr>
          <w:sz w:val="24"/>
        </w:rPr>
      </w:pPr>
      <w:r w:rsidRPr="00150EDC">
        <w:rPr>
          <w:sz w:val="24"/>
        </w:rPr>
        <w:t>providing</w:t>
      </w:r>
      <w:r w:rsidRPr="00150EDC">
        <w:rPr>
          <w:spacing w:val="-3"/>
          <w:sz w:val="24"/>
        </w:rPr>
        <w:t xml:space="preserve"> </w:t>
      </w:r>
      <w:r w:rsidRPr="00150EDC">
        <w:rPr>
          <w:sz w:val="24"/>
        </w:rPr>
        <w:t>the</w:t>
      </w:r>
      <w:r w:rsidRPr="00150EDC">
        <w:rPr>
          <w:spacing w:val="-3"/>
          <w:sz w:val="24"/>
        </w:rPr>
        <w:t xml:space="preserve"> </w:t>
      </w:r>
      <w:r w:rsidRPr="00150EDC">
        <w:rPr>
          <w:sz w:val="24"/>
        </w:rPr>
        <w:t>information</w:t>
      </w:r>
      <w:r w:rsidRPr="00150EDC">
        <w:rPr>
          <w:spacing w:val="-1"/>
          <w:sz w:val="24"/>
        </w:rPr>
        <w:t xml:space="preserve"> </w:t>
      </w:r>
      <w:r w:rsidRPr="00150EDC">
        <w:rPr>
          <w:sz w:val="24"/>
        </w:rPr>
        <w:t>in</w:t>
      </w:r>
      <w:r w:rsidRPr="00150EDC">
        <w:rPr>
          <w:spacing w:val="-3"/>
          <w:sz w:val="24"/>
        </w:rPr>
        <w:t xml:space="preserve"> </w:t>
      </w:r>
      <w:r w:rsidRPr="00150EDC">
        <w:rPr>
          <w:sz w:val="24"/>
        </w:rPr>
        <w:t>a</w:t>
      </w:r>
      <w:r w:rsidRPr="00150EDC">
        <w:rPr>
          <w:spacing w:val="-1"/>
          <w:sz w:val="24"/>
        </w:rPr>
        <w:t xml:space="preserve"> </w:t>
      </w:r>
      <w:r w:rsidRPr="00150EDC">
        <w:rPr>
          <w:sz w:val="24"/>
        </w:rPr>
        <w:t>form</w:t>
      </w:r>
      <w:r w:rsidRPr="00150EDC">
        <w:rPr>
          <w:spacing w:val="-1"/>
          <w:sz w:val="24"/>
        </w:rPr>
        <w:t xml:space="preserve"> </w:t>
      </w:r>
      <w:r w:rsidRPr="00150EDC">
        <w:rPr>
          <w:sz w:val="24"/>
        </w:rPr>
        <w:t>that</w:t>
      </w:r>
      <w:r w:rsidRPr="00150EDC">
        <w:rPr>
          <w:spacing w:val="-4"/>
          <w:sz w:val="24"/>
        </w:rPr>
        <w:t xml:space="preserve"> </w:t>
      </w:r>
      <w:r w:rsidRPr="00150EDC">
        <w:rPr>
          <w:sz w:val="24"/>
        </w:rPr>
        <w:t>does</w:t>
      </w:r>
      <w:r w:rsidRPr="00150EDC">
        <w:rPr>
          <w:spacing w:val="-4"/>
          <w:sz w:val="24"/>
        </w:rPr>
        <w:t xml:space="preserve"> </w:t>
      </w:r>
      <w:r w:rsidRPr="00150EDC">
        <w:rPr>
          <w:sz w:val="24"/>
        </w:rPr>
        <w:t>not</w:t>
      </w:r>
      <w:r w:rsidRPr="00150EDC">
        <w:rPr>
          <w:spacing w:val="-4"/>
          <w:sz w:val="24"/>
        </w:rPr>
        <w:t xml:space="preserve"> </w:t>
      </w:r>
      <w:r w:rsidRPr="00150EDC">
        <w:rPr>
          <w:sz w:val="24"/>
        </w:rPr>
        <w:t>breach</w:t>
      </w:r>
      <w:r w:rsidRPr="00150EDC">
        <w:rPr>
          <w:spacing w:val="-3"/>
          <w:sz w:val="24"/>
        </w:rPr>
        <w:t xml:space="preserve"> </w:t>
      </w:r>
      <w:r w:rsidRPr="00150EDC">
        <w:rPr>
          <w:sz w:val="24"/>
        </w:rPr>
        <w:t>its</w:t>
      </w:r>
      <w:r w:rsidRPr="00150EDC">
        <w:rPr>
          <w:spacing w:val="-2"/>
          <w:sz w:val="24"/>
        </w:rPr>
        <w:t xml:space="preserve"> </w:t>
      </w:r>
      <w:r w:rsidRPr="00150EDC">
        <w:rPr>
          <w:sz w:val="24"/>
        </w:rPr>
        <w:t>obligations of confidentiality including (where possible) by:</w:t>
      </w:r>
    </w:p>
    <w:p w14:paraId="593EE9DD" w14:textId="77777777" w:rsidR="004C7180" w:rsidRPr="00150EDC" w:rsidRDefault="00CF0754" w:rsidP="00B320C7">
      <w:pPr>
        <w:pStyle w:val="ListParagraph"/>
        <w:numPr>
          <w:ilvl w:val="3"/>
          <w:numId w:val="45"/>
        </w:numPr>
        <w:tabs>
          <w:tab w:val="left" w:pos="3384"/>
        </w:tabs>
        <w:spacing w:before="120"/>
        <w:ind w:hanging="578"/>
        <w:rPr>
          <w:sz w:val="24"/>
        </w:rPr>
      </w:pPr>
      <w:r w:rsidRPr="00150EDC">
        <w:rPr>
          <w:sz w:val="24"/>
        </w:rPr>
        <w:t>summarising</w:t>
      </w:r>
      <w:r w:rsidRPr="00150EDC">
        <w:rPr>
          <w:spacing w:val="-3"/>
          <w:sz w:val="24"/>
        </w:rPr>
        <w:t xml:space="preserve"> </w:t>
      </w:r>
      <w:r w:rsidRPr="00150EDC">
        <w:rPr>
          <w:sz w:val="24"/>
        </w:rPr>
        <w:t>the</w:t>
      </w:r>
      <w:r w:rsidRPr="00150EDC">
        <w:rPr>
          <w:spacing w:val="-2"/>
          <w:sz w:val="24"/>
        </w:rPr>
        <w:t xml:space="preserve"> information;</w:t>
      </w:r>
    </w:p>
    <w:p w14:paraId="5D9EA238" w14:textId="77777777" w:rsidR="004C7180" w:rsidRPr="00150EDC" w:rsidRDefault="00CF0754" w:rsidP="00B320C7">
      <w:pPr>
        <w:pStyle w:val="ListParagraph"/>
        <w:numPr>
          <w:ilvl w:val="3"/>
          <w:numId w:val="45"/>
        </w:numPr>
        <w:tabs>
          <w:tab w:val="left" w:pos="3384"/>
        </w:tabs>
        <w:spacing w:before="120"/>
        <w:ind w:hanging="578"/>
        <w:rPr>
          <w:sz w:val="24"/>
        </w:rPr>
      </w:pPr>
      <w:r w:rsidRPr="00150EDC">
        <w:rPr>
          <w:sz w:val="24"/>
        </w:rPr>
        <w:t>grouping</w:t>
      </w:r>
      <w:r w:rsidRPr="00150EDC">
        <w:rPr>
          <w:spacing w:val="-2"/>
          <w:sz w:val="24"/>
        </w:rPr>
        <w:t xml:space="preserve"> </w:t>
      </w:r>
      <w:r w:rsidRPr="00150EDC">
        <w:rPr>
          <w:sz w:val="24"/>
        </w:rPr>
        <w:t>the</w:t>
      </w:r>
      <w:r w:rsidRPr="00150EDC">
        <w:rPr>
          <w:spacing w:val="-2"/>
          <w:sz w:val="24"/>
        </w:rPr>
        <w:t xml:space="preserve"> information;</w:t>
      </w:r>
    </w:p>
    <w:p w14:paraId="29C21D81" w14:textId="77777777" w:rsidR="004C7180" w:rsidRPr="00150EDC" w:rsidRDefault="00CF0754" w:rsidP="00B320C7">
      <w:pPr>
        <w:pStyle w:val="ListParagraph"/>
        <w:numPr>
          <w:ilvl w:val="3"/>
          <w:numId w:val="45"/>
        </w:numPr>
        <w:tabs>
          <w:tab w:val="left" w:pos="3384"/>
        </w:tabs>
        <w:spacing w:before="120"/>
        <w:ind w:hanging="578"/>
        <w:rPr>
          <w:sz w:val="24"/>
        </w:rPr>
      </w:pPr>
      <w:r w:rsidRPr="00150EDC">
        <w:rPr>
          <w:sz w:val="24"/>
        </w:rPr>
        <w:t>anonymising</w:t>
      </w:r>
      <w:r w:rsidRPr="00150EDC">
        <w:rPr>
          <w:spacing w:val="-3"/>
          <w:sz w:val="24"/>
        </w:rPr>
        <w:t xml:space="preserve"> </w:t>
      </w:r>
      <w:r w:rsidRPr="00150EDC">
        <w:rPr>
          <w:sz w:val="24"/>
        </w:rPr>
        <w:t>the</w:t>
      </w:r>
      <w:r w:rsidRPr="00150EDC">
        <w:rPr>
          <w:spacing w:val="-2"/>
          <w:sz w:val="24"/>
        </w:rPr>
        <w:t xml:space="preserve"> </w:t>
      </w:r>
      <w:r w:rsidRPr="00150EDC">
        <w:rPr>
          <w:sz w:val="24"/>
        </w:rPr>
        <w:t>information;</w:t>
      </w:r>
      <w:r w:rsidRPr="00150EDC">
        <w:rPr>
          <w:spacing w:val="-5"/>
          <w:sz w:val="24"/>
        </w:rPr>
        <w:t xml:space="preserve"> and</w:t>
      </w:r>
    </w:p>
    <w:p w14:paraId="16F2AB91" w14:textId="77777777" w:rsidR="004C7180" w:rsidRPr="00150EDC" w:rsidRDefault="00CF0754" w:rsidP="00B320C7">
      <w:pPr>
        <w:pStyle w:val="ListParagraph"/>
        <w:numPr>
          <w:ilvl w:val="3"/>
          <w:numId w:val="45"/>
        </w:numPr>
        <w:tabs>
          <w:tab w:val="left" w:pos="3384"/>
        </w:tabs>
        <w:spacing w:before="118"/>
        <w:ind w:hanging="578"/>
        <w:rPr>
          <w:sz w:val="24"/>
        </w:rPr>
      </w:pPr>
      <w:r w:rsidRPr="00150EDC">
        <w:rPr>
          <w:sz w:val="24"/>
        </w:rPr>
        <w:t>presenting</w:t>
      </w:r>
      <w:r w:rsidRPr="00150EDC">
        <w:rPr>
          <w:spacing w:val="-3"/>
          <w:sz w:val="24"/>
        </w:rPr>
        <w:t xml:space="preserve"> </w:t>
      </w:r>
      <w:r w:rsidRPr="00150EDC">
        <w:rPr>
          <w:sz w:val="24"/>
        </w:rPr>
        <w:t>the</w:t>
      </w:r>
      <w:r w:rsidRPr="00150EDC">
        <w:rPr>
          <w:spacing w:val="-2"/>
          <w:sz w:val="24"/>
        </w:rPr>
        <w:t xml:space="preserve"> </w:t>
      </w:r>
      <w:r w:rsidRPr="00150EDC">
        <w:rPr>
          <w:sz w:val="24"/>
        </w:rPr>
        <w:t>information</w:t>
      </w:r>
      <w:r w:rsidRPr="00150EDC">
        <w:rPr>
          <w:spacing w:val="-2"/>
          <w:sz w:val="24"/>
        </w:rPr>
        <w:t xml:space="preserve"> </w:t>
      </w:r>
      <w:r w:rsidRPr="00150EDC">
        <w:rPr>
          <w:sz w:val="24"/>
        </w:rPr>
        <w:t>in</w:t>
      </w:r>
      <w:r w:rsidRPr="00150EDC">
        <w:rPr>
          <w:spacing w:val="-4"/>
          <w:sz w:val="24"/>
        </w:rPr>
        <w:t xml:space="preserve"> </w:t>
      </w:r>
      <w:r w:rsidRPr="00150EDC">
        <w:rPr>
          <w:sz w:val="24"/>
        </w:rPr>
        <w:t>general</w:t>
      </w:r>
      <w:r w:rsidRPr="00150EDC">
        <w:rPr>
          <w:spacing w:val="-2"/>
          <w:sz w:val="24"/>
        </w:rPr>
        <w:t xml:space="preserve"> </w:t>
      </w:r>
      <w:r w:rsidRPr="00150EDC">
        <w:rPr>
          <w:spacing w:val="-4"/>
          <w:sz w:val="24"/>
        </w:rPr>
        <w:t>terms</w:t>
      </w:r>
    </w:p>
    <w:p w14:paraId="76AC9B03" w14:textId="77777777" w:rsidR="004C7180" w:rsidRPr="00150EDC" w:rsidRDefault="00CF0754" w:rsidP="00B320C7">
      <w:pPr>
        <w:pStyle w:val="ListParagraph"/>
        <w:numPr>
          <w:ilvl w:val="1"/>
          <w:numId w:val="45"/>
        </w:numPr>
        <w:tabs>
          <w:tab w:val="left" w:pos="2116"/>
          <w:tab w:val="left" w:pos="2119"/>
        </w:tabs>
        <w:spacing w:before="120"/>
        <w:ind w:left="2119" w:right="1433"/>
        <w:jc w:val="both"/>
        <w:rPr>
          <w:sz w:val="24"/>
        </w:rPr>
      </w:pPr>
      <w:r w:rsidRPr="00150EDC">
        <w:rPr>
          <w:sz w:val="24"/>
        </w:rPr>
        <w:t>The Supplier</w:t>
      </w:r>
      <w:r w:rsidRPr="00150EDC">
        <w:rPr>
          <w:spacing w:val="-1"/>
          <w:sz w:val="24"/>
        </w:rPr>
        <w:t xml:space="preserve"> </w:t>
      </w:r>
      <w:r w:rsidRPr="00150EDC">
        <w:rPr>
          <w:sz w:val="24"/>
        </w:rPr>
        <w:t>shall</w:t>
      </w:r>
      <w:r w:rsidRPr="00150EDC">
        <w:rPr>
          <w:spacing w:val="-1"/>
          <w:sz w:val="24"/>
        </w:rPr>
        <w:t xml:space="preserve"> </w:t>
      </w:r>
      <w:r w:rsidRPr="00150EDC">
        <w:rPr>
          <w:sz w:val="24"/>
        </w:rPr>
        <w:t>provide the Appropriate Authority</w:t>
      </w:r>
      <w:r w:rsidRPr="00150EDC">
        <w:rPr>
          <w:spacing w:val="-3"/>
          <w:sz w:val="24"/>
        </w:rPr>
        <w:t xml:space="preserve"> </w:t>
      </w:r>
      <w:r w:rsidRPr="00150EDC">
        <w:rPr>
          <w:sz w:val="24"/>
        </w:rPr>
        <w:t>or</w:t>
      </w:r>
      <w:r w:rsidRPr="00150EDC">
        <w:rPr>
          <w:spacing w:val="-1"/>
          <w:sz w:val="24"/>
        </w:rPr>
        <w:t xml:space="preserve"> </w:t>
      </w:r>
      <w:r w:rsidRPr="00150EDC">
        <w:rPr>
          <w:sz w:val="24"/>
        </w:rPr>
        <w:t>Appropriate</w:t>
      </w:r>
      <w:r w:rsidRPr="00150EDC">
        <w:rPr>
          <w:spacing w:val="-2"/>
          <w:sz w:val="24"/>
        </w:rPr>
        <w:t xml:space="preserve"> </w:t>
      </w:r>
      <w:r w:rsidRPr="00150EDC">
        <w:rPr>
          <w:sz w:val="24"/>
        </w:rPr>
        <w:t>Authorities with</w:t>
      </w:r>
      <w:r w:rsidRPr="00150EDC">
        <w:rPr>
          <w:spacing w:val="-17"/>
          <w:sz w:val="24"/>
        </w:rPr>
        <w:t xml:space="preserve"> </w:t>
      </w:r>
      <w:r w:rsidRPr="00150EDC">
        <w:rPr>
          <w:sz w:val="24"/>
        </w:rPr>
        <w:t>contact</w:t>
      </w:r>
      <w:r w:rsidRPr="00150EDC">
        <w:rPr>
          <w:spacing w:val="-17"/>
          <w:sz w:val="24"/>
        </w:rPr>
        <w:t xml:space="preserve"> </w:t>
      </w:r>
      <w:r w:rsidRPr="00150EDC">
        <w:rPr>
          <w:sz w:val="24"/>
        </w:rPr>
        <w:t>details</w:t>
      </w:r>
      <w:r w:rsidRPr="00150EDC">
        <w:rPr>
          <w:spacing w:val="-16"/>
          <w:sz w:val="24"/>
        </w:rPr>
        <w:t xml:space="preserve"> </w:t>
      </w:r>
      <w:r w:rsidRPr="00150EDC">
        <w:rPr>
          <w:sz w:val="24"/>
        </w:rPr>
        <w:t>of</w:t>
      </w:r>
      <w:r w:rsidRPr="00150EDC">
        <w:rPr>
          <w:spacing w:val="-17"/>
          <w:sz w:val="24"/>
        </w:rPr>
        <w:t xml:space="preserve"> </w:t>
      </w:r>
      <w:r w:rsidRPr="00150EDC">
        <w:rPr>
          <w:sz w:val="24"/>
        </w:rPr>
        <w:t>any</w:t>
      </w:r>
      <w:r w:rsidRPr="00150EDC">
        <w:rPr>
          <w:spacing w:val="-17"/>
          <w:sz w:val="24"/>
        </w:rPr>
        <w:t xml:space="preserve"> </w:t>
      </w:r>
      <w:r w:rsidRPr="00150EDC">
        <w:rPr>
          <w:sz w:val="24"/>
        </w:rPr>
        <w:t>third</w:t>
      </w:r>
      <w:r w:rsidRPr="00150EDC">
        <w:rPr>
          <w:spacing w:val="-17"/>
          <w:sz w:val="24"/>
        </w:rPr>
        <w:t xml:space="preserve"> </w:t>
      </w:r>
      <w:r w:rsidRPr="00150EDC">
        <w:rPr>
          <w:sz w:val="24"/>
        </w:rPr>
        <w:t>party</w:t>
      </w:r>
      <w:r w:rsidRPr="00150EDC">
        <w:rPr>
          <w:spacing w:val="-16"/>
          <w:sz w:val="24"/>
        </w:rPr>
        <w:t xml:space="preserve"> </w:t>
      </w:r>
      <w:r w:rsidRPr="00150EDC">
        <w:rPr>
          <w:sz w:val="24"/>
        </w:rPr>
        <w:t>which</w:t>
      </w:r>
      <w:r w:rsidRPr="00150EDC">
        <w:rPr>
          <w:spacing w:val="-17"/>
          <w:sz w:val="24"/>
        </w:rPr>
        <w:t xml:space="preserve"> </w:t>
      </w:r>
      <w:r w:rsidRPr="00150EDC">
        <w:rPr>
          <w:sz w:val="24"/>
        </w:rPr>
        <w:t>has</w:t>
      </w:r>
      <w:r w:rsidRPr="00150EDC">
        <w:rPr>
          <w:spacing w:val="-17"/>
          <w:sz w:val="24"/>
        </w:rPr>
        <w:t xml:space="preserve"> </w:t>
      </w:r>
      <w:r w:rsidRPr="00150EDC">
        <w:rPr>
          <w:sz w:val="24"/>
        </w:rPr>
        <w:t>not</w:t>
      </w:r>
      <w:r w:rsidRPr="00150EDC">
        <w:rPr>
          <w:spacing w:val="-16"/>
          <w:sz w:val="24"/>
        </w:rPr>
        <w:t xml:space="preserve"> </w:t>
      </w:r>
      <w:r w:rsidRPr="00150EDC">
        <w:rPr>
          <w:sz w:val="24"/>
        </w:rPr>
        <w:t>provided</w:t>
      </w:r>
      <w:r w:rsidRPr="00150EDC">
        <w:rPr>
          <w:spacing w:val="-17"/>
          <w:sz w:val="24"/>
        </w:rPr>
        <w:t xml:space="preserve"> </w:t>
      </w:r>
      <w:r w:rsidRPr="00150EDC">
        <w:rPr>
          <w:sz w:val="24"/>
        </w:rPr>
        <w:t>consent</w:t>
      </w:r>
      <w:r w:rsidRPr="00150EDC">
        <w:rPr>
          <w:spacing w:val="-17"/>
          <w:sz w:val="24"/>
        </w:rPr>
        <w:t xml:space="preserve"> </w:t>
      </w:r>
      <w:r w:rsidRPr="00150EDC">
        <w:rPr>
          <w:sz w:val="24"/>
        </w:rPr>
        <w:t>to</w:t>
      </w:r>
      <w:r w:rsidRPr="00150EDC">
        <w:rPr>
          <w:spacing w:val="-16"/>
          <w:sz w:val="24"/>
        </w:rPr>
        <w:t xml:space="preserve"> </w:t>
      </w:r>
      <w:r w:rsidRPr="00150EDC">
        <w:rPr>
          <w:sz w:val="24"/>
        </w:rPr>
        <w:t>disclose CRP Information where that third party is also a public sector body and where the Supplier is legally permitted to do so.</w:t>
      </w:r>
    </w:p>
    <w:p w14:paraId="56C3AAEA" w14:textId="77777777" w:rsidR="004C7180" w:rsidRPr="00150EDC" w:rsidRDefault="004C7180">
      <w:pPr>
        <w:jc w:val="both"/>
        <w:rPr>
          <w:sz w:val="24"/>
        </w:rPr>
        <w:sectPr w:rsidR="004C7180" w:rsidRPr="00150EDC">
          <w:pgSz w:w="11910" w:h="16840"/>
          <w:pgMar w:top="1380" w:right="0" w:bottom="1380" w:left="40" w:header="715" w:footer="1192" w:gutter="0"/>
          <w:cols w:space="720"/>
        </w:sectPr>
      </w:pPr>
    </w:p>
    <w:p w14:paraId="2B80B158" w14:textId="77777777" w:rsidR="004C7180" w:rsidRPr="00150EDC" w:rsidRDefault="004C7180">
      <w:pPr>
        <w:pStyle w:val="BodyText"/>
        <w:spacing w:before="4"/>
        <w:rPr>
          <w:sz w:val="12"/>
        </w:rPr>
      </w:pPr>
    </w:p>
    <w:p w14:paraId="03204AC0" w14:textId="77777777" w:rsidR="004C7180" w:rsidRPr="00150EDC" w:rsidRDefault="00CF0754">
      <w:pPr>
        <w:pStyle w:val="Heading2"/>
      </w:pPr>
      <w:r w:rsidRPr="00150EDC">
        <w:t>Appendix</w:t>
      </w:r>
      <w:r w:rsidRPr="00150EDC">
        <w:rPr>
          <w:spacing w:val="40"/>
        </w:rPr>
        <w:t xml:space="preserve"> </w:t>
      </w:r>
      <w:r w:rsidRPr="00150EDC">
        <w:t>1:</w:t>
      </w:r>
      <w:r w:rsidRPr="00150EDC">
        <w:rPr>
          <w:spacing w:val="40"/>
        </w:rPr>
        <w:t xml:space="preserve"> </w:t>
      </w:r>
      <w:r w:rsidRPr="00150EDC">
        <w:t>Group</w:t>
      </w:r>
      <w:r w:rsidRPr="00150EDC">
        <w:rPr>
          <w:spacing w:val="40"/>
        </w:rPr>
        <w:t xml:space="preserve"> </w:t>
      </w:r>
      <w:r w:rsidRPr="00150EDC">
        <w:t>structure</w:t>
      </w:r>
      <w:r w:rsidRPr="00150EDC">
        <w:rPr>
          <w:spacing w:val="40"/>
        </w:rPr>
        <w:t xml:space="preserve"> </w:t>
      </w:r>
      <w:r w:rsidRPr="00150EDC">
        <w:t>information</w:t>
      </w:r>
      <w:r w:rsidRPr="00150EDC">
        <w:rPr>
          <w:spacing w:val="40"/>
        </w:rPr>
        <w:t xml:space="preserve"> </w:t>
      </w:r>
      <w:r w:rsidRPr="00150EDC">
        <w:t>and</w:t>
      </w:r>
      <w:r w:rsidRPr="00150EDC">
        <w:rPr>
          <w:spacing w:val="40"/>
        </w:rPr>
        <w:t xml:space="preserve"> </w:t>
      </w:r>
      <w:r w:rsidRPr="00150EDC">
        <w:t>resolution</w:t>
      </w:r>
      <w:r w:rsidRPr="00150EDC">
        <w:rPr>
          <w:spacing w:val="40"/>
        </w:rPr>
        <w:t xml:space="preserve"> </w:t>
      </w:r>
      <w:r w:rsidRPr="00150EDC">
        <w:rPr>
          <w:spacing w:val="-2"/>
        </w:rPr>
        <w:t>commentary</w:t>
      </w:r>
    </w:p>
    <w:p w14:paraId="08E049B2" w14:textId="77777777" w:rsidR="004C7180" w:rsidRPr="00150EDC" w:rsidRDefault="00CF0754" w:rsidP="00B320C7">
      <w:pPr>
        <w:pStyle w:val="ListParagraph"/>
        <w:numPr>
          <w:ilvl w:val="0"/>
          <w:numId w:val="43"/>
        </w:numPr>
        <w:tabs>
          <w:tab w:val="left" w:pos="2119"/>
        </w:tabs>
        <w:spacing w:before="239"/>
        <w:ind w:left="2119" w:hanging="719"/>
        <w:rPr>
          <w:sz w:val="24"/>
        </w:rPr>
      </w:pPr>
      <w:r w:rsidRPr="00150EDC">
        <w:rPr>
          <w:sz w:val="24"/>
        </w:rPr>
        <w:t>The</w:t>
      </w:r>
      <w:r w:rsidRPr="00150EDC">
        <w:rPr>
          <w:spacing w:val="-2"/>
          <w:sz w:val="24"/>
        </w:rPr>
        <w:t xml:space="preserve"> </w:t>
      </w:r>
      <w:r w:rsidRPr="00150EDC">
        <w:rPr>
          <w:sz w:val="24"/>
        </w:rPr>
        <w:t>Supplier</w:t>
      </w:r>
      <w:r w:rsidRPr="00150EDC">
        <w:rPr>
          <w:spacing w:val="-3"/>
          <w:sz w:val="24"/>
        </w:rPr>
        <w:t xml:space="preserve"> </w:t>
      </w:r>
      <w:r w:rsidRPr="00150EDC">
        <w:rPr>
          <w:spacing w:val="-2"/>
          <w:sz w:val="24"/>
        </w:rPr>
        <w:t>shall:</w:t>
      </w:r>
    </w:p>
    <w:p w14:paraId="1F77F002" w14:textId="77777777" w:rsidR="004C7180" w:rsidRPr="00150EDC" w:rsidRDefault="004C7180">
      <w:pPr>
        <w:pStyle w:val="BodyText"/>
        <w:spacing w:before="10"/>
        <w:rPr>
          <w:sz w:val="20"/>
        </w:rPr>
      </w:pPr>
    </w:p>
    <w:p w14:paraId="573F4BFE" w14:textId="77777777" w:rsidR="004C7180" w:rsidRPr="00150EDC" w:rsidRDefault="00CF0754" w:rsidP="00B320C7">
      <w:pPr>
        <w:pStyle w:val="ListParagraph"/>
        <w:numPr>
          <w:ilvl w:val="1"/>
          <w:numId w:val="43"/>
        </w:numPr>
        <w:tabs>
          <w:tab w:val="left" w:pos="2529"/>
          <w:tab w:val="left" w:pos="2532"/>
        </w:tabs>
        <w:ind w:right="1433"/>
        <w:jc w:val="both"/>
        <w:rPr>
          <w:sz w:val="24"/>
        </w:rPr>
      </w:pPr>
      <w:r w:rsidRPr="00150EDC">
        <w:rPr>
          <w:sz w:val="24"/>
        </w:rPr>
        <w:t>provide sufficient information to allow the Appropriate Authority to understand the implications on the Supplier Group’s UK Public Sector Business</w:t>
      </w:r>
      <w:r w:rsidRPr="00150EDC">
        <w:rPr>
          <w:spacing w:val="-7"/>
          <w:sz w:val="24"/>
        </w:rPr>
        <w:t xml:space="preserve"> </w:t>
      </w:r>
      <w:r w:rsidRPr="00150EDC">
        <w:rPr>
          <w:sz w:val="24"/>
        </w:rPr>
        <w:t>and</w:t>
      </w:r>
      <w:r w:rsidRPr="00150EDC">
        <w:rPr>
          <w:spacing w:val="-6"/>
          <w:sz w:val="24"/>
        </w:rPr>
        <w:t xml:space="preserve"> </w:t>
      </w:r>
      <w:r w:rsidRPr="00150EDC">
        <w:rPr>
          <w:sz w:val="24"/>
        </w:rPr>
        <w:t>CNI</w:t>
      </w:r>
      <w:r w:rsidRPr="00150EDC">
        <w:rPr>
          <w:spacing w:val="-6"/>
          <w:sz w:val="24"/>
        </w:rPr>
        <w:t xml:space="preserve"> </w:t>
      </w:r>
      <w:r w:rsidRPr="00150EDC">
        <w:rPr>
          <w:sz w:val="24"/>
        </w:rPr>
        <w:t>contracts</w:t>
      </w:r>
      <w:r w:rsidRPr="00150EDC">
        <w:rPr>
          <w:spacing w:val="-7"/>
          <w:sz w:val="24"/>
        </w:rPr>
        <w:t xml:space="preserve"> </w:t>
      </w:r>
      <w:r w:rsidRPr="00150EDC">
        <w:rPr>
          <w:sz w:val="24"/>
        </w:rPr>
        <w:t>listed</w:t>
      </w:r>
      <w:r w:rsidRPr="00150EDC">
        <w:rPr>
          <w:spacing w:val="-6"/>
          <w:sz w:val="24"/>
        </w:rPr>
        <w:t xml:space="preserve"> </w:t>
      </w:r>
      <w:r w:rsidRPr="00150EDC">
        <w:rPr>
          <w:sz w:val="24"/>
        </w:rPr>
        <w:t>pursuant</w:t>
      </w:r>
      <w:r w:rsidRPr="00150EDC">
        <w:rPr>
          <w:spacing w:val="-6"/>
          <w:sz w:val="24"/>
        </w:rPr>
        <w:t xml:space="preserve"> </w:t>
      </w:r>
      <w:r w:rsidRPr="00150EDC">
        <w:rPr>
          <w:sz w:val="24"/>
        </w:rPr>
        <w:t>to</w:t>
      </w:r>
      <w:r w:rsidRPr="00150EDC">
        <w:rPr>
          <w:spacing w:val="-8"/>
          <w:sz w:val="24"/>
        </w:rPr>
        <w:t xml:space="preserve"> </w:t>
      </w:r>
      <w:r w:rsidRPr="00150EDC">
        <w:rPr>
          <w:sz w:val="24"/>
        </w:rPr>
        <w:t>Appendix</w:t>
      </w:r>
      <w:r w:rsidRPr="00150EDC">
        <w:rPr>
          <w:spacing w:val="-7"/>
          <w:sz w:val="24"/>
        </w:rPr>
        <w:t xml:space="preserve"> </w:t>
      </w:r>
      <w:r w:rsidRPr="00150EDC">
        <w:rPr>
          <w:sz w:val="24"/>
        </w:rPr>
        <w:t>2</w:t>
      </w:r>
      <w:r w:rsidRPr="00150EDC">
        <w:rPr>
          <w:spacing w:val="-6"/>
          <w:sz w:val="24"/>
        </w:rPr>
        <w:t xml:space="preserve"> </w:t>
      </w:r>
      <w:r w:rsidRPr="00150EDC">
        <w:rPr>
          <w:sz w:val="24"/>
        </w:rPr>
        <w:t>if</w:t>
      </w:r>
      <w:r w:rsidRPr="00150EDC">
        <w:rPr>
          <w:spacing w:val="-6"/>
          <w:sz w:val="24"/>
        </w:rPr>
        <w:t xml:space="preserve"> </w:t>
      </w:r>
      <w:r w:rsidRPr="00150EDC">
        <w:rPr>
          <w:sz w:val="24"/>
        </w:rPr>
        <w:t>the</w:t>
      </w:r>
      <w:r w:rsidRPr="00150EDC">
        <w:rPr>
          <w:spacing w:val="-6"/>
          <w:sz w:val="24"/>
        </w:rPr>
        <w:t xml:space="preserve"> </w:t>
      </w:r>
      <w:r w:rsidRPr="00150EDC">
        <w:rPr>
          <w:sz w:val="24"/>
        </w:rPr>
        <w:t>Supplier</w:t>
      </w:r>
      <w:r w:rsidRPr="00150EDC">
        <w:rPr>
          <w:spacing w:val="-7"/>
          <w:sz w:val="24"/>
        </w:rPr>
        <w:t xml:space="preserve"> </w:t>
      </w:r>
      <w:r w:rsidRPr="00150EDC">
        <w:rPr>
          <w:sz w:val="24"/>
        </w:rPr>
        <w:t>or another member of the Supplier Group is subject to an Insolvency Event;</w:t>
      </w:r>
    </w:p>
    <w:p w14:paraId="3253209C" w14:textId="77777777" w:rsidR="004C7180" w:rsidRPr="00150EDC" w:rsidRDefault="004C7180">
      <w:pPr>
        <w:pStyle w:val="BodyText"/>
        <w:spacing w:before="10"/>
        <w:rPr>
          <w:sz w:val="20"/>
        </w:rPr>
      </w:pPr>
    </w:p>
    <w:p w14:paraId="3A16CDD9" w14:textId="77777777" w:rsidR="004C7180" w:rsidRPr="00150EDC" w:rsidRDefault="00CF0754" w:rsidP="00B320C7">
      <w:pPr>
        <w:pStyle w:val="ListParagraph"/>
        <w:numPr>
          <w:ilvl w:val="1"/>
          <w:numId w:val="43"/>
        </w:numPr>
        <w:tabs>
          <w:tab w:val="left" w:pos="2529"/>
          <w:tab w:val="left" w:pos="2532"/>
        </w:tabs>
        <w:ind w:right="1435"/>
        <w:jc w:val="both"/>
        <w:rPr>
          <w:sz w:val="24"/>
        </w:rPr>
      </w:pPr>
      <w:r w:rsidRPr="00150EDC">
        <w:rPr>
          <w:sz w:val="24"/>
        </w:rPr>
        <w:t>ensure</w:t>
      </w:r>
      <w:r w:rsidRPr="00150EDC">
        <w:rPr>
          <w:spacing w:val="-12"/>
          <w:sz w:val="24"/>
        </w:rPr>
        <w:t xml:space="preserve"> </w:t>
      </w:r>
      <w:r w:rsidRPr="00150EDC">
        <w:rPr>
          <w:sz w:val="24"/>
        </w:rPr>
        <w:t>that</w:t>
      </w:r>
      <w:r w:rsidRPr="00150EDC">
        <w:rPr>
          <w:spacing w:val="-10"/>
          <w:sz w:val="24"/>
        </w:rPr>
        <w:t xml:space="preserve"> </w:t>
      </w:r>
      <w:r w:rsidRPr="00150EDC">
        <w:rPr>
          <w:sz w:val="24"/>
        </w:rPr>
        <w:t>the</w:t>
      </w:r>
      <w:r w:rsidRPr="00150EDC">
        <w:rPr>
          <w:spacing w:val="-9"/>
          <w:sz w:val="24"/>
        </w:rPr>
        <w:t xml:space="preserve"> </w:t>
      </w:r>
      <w:r w:rsidRPr="00150EDC">
        <w:rPr>
          <w:sz w:val="24"/>
        </w:rPr>
        <w:t>information</w:t>
      </w:r>
      <w:r w:rsidRPr="00150EDC">
        <w:rPr>
          <w:spacing w:val="-9"/>
          <w:sz w:val="24"/>
        </w:rPr>
        <w:t xml:space="preserve"> </w:t>
      </w:r>
      <w:r w:rsidRPr="00150EDC">
        <w:rPr>
          <w:sz w:val="24"/>
        </w:rPr>
        <w:t>is</w:t>
      </w:r>
      <w:r w:rsidRPr="00150EDC">
        <w:rPr>
          <w:spacing w:val="-10"/>
          <w:sz w:val="24"/>
        </w:rPr>
        <w:t xml:space="preserve"> </w:t>
      </w:r>
      <w:r w:rsidRPr="00150EDC">
        <w:rPr>
          <w:sz w:val="24"/>
        </w:rPr>
        <w:t>presented</w:t>
      </w:r>
      <w:r w:rsidRPr="00150EDC">
        <w:rPr>
          <w:spacing w:val="-9"/>
          <w:sz w:val="24"/>
        </w:rPr>
        <w:t xml:space="preserve"> </w:t>
      </w:r>
      <w:r w:rsidRPr="00150EDC">
        <w:rPr>
          <w:sz w:val="24"/>
        </w:rPr>
        <w:t>so</w:t>
      </w:r>
      <w:r w:rsidRPr="00150EDC">
        <w:rPr>
          <w:spacing w:val="-9"/>
          <w:sz w:val="24"/>
        </w:rPr>
        <w:t xml:space="preserve"> </w:t>
      </w:r>
      <w:r w:rsidRPr="00150EDC">
        <w:rPr>
          <w:sz w:val="24"/>
        </w:rPr>
        <w:t>as</w:t>
      </w:r>
      <w:r w:rsidRPr="00150EDC">
        <w:rPr>
          <w:spacing w:val="-13"/>
          <w:sz w:val="24"/>
        </w:rPr>
        <w:t xml:space="preserve"> </w:t>
      </w:r>
      <w:r w:rsidRPr="00150EDC">
        <w:rPr>
          <w:sz w:val="24"/>
        </w:rPr>
        <w:t>to</w:t>
      </w:r>
      <w:r w:rsidRPr="00150EDC">
        <w:rPr>
          <w:spacing w:val="-9"/>
          <w:sz w:val="24"/>
        </w:rPr>
        <w:t xml:space="preserve"> </w:t>
      </w:r>
      <w:r w:rsidRPr="00150EDC">
        <w:rPr>
          <w:sz w:val="24"/>
        </w:rPr>
        <w:t>provide</w:t>
      </w:r>
      <w:r w:rsidRPr="00150EDC">
        <w:rPr>
          <w:spacing w:val="-9"/>
          <w:sz w:val="24"/>
        </w:rPr>
        <w:t xml:space="preserve"> </w:t>
      </w:r>
      <w:r w:rsidRPr="00150EDC">
        <w:rPr>
          <w:sz w:val="24"/>
        </w:rPr>
        <w:t>a</w:t>
      </w:r>
      <w:r w:rsidRPr="00150EDC">
        <w:rPr>
          <w:spacing w:val="-12"/>
          <w:sz w:val="24"/>
        </w:rPr>
        <w:t xml:space="preserve"> </w:t>
      </w:r>
      <w:r w:rsidRPr="00150EDC">
        <w:rPr>
          <w:sz w:val="24"/>
        </w:rPr>
        <w:t>simple,</w:t>
      </w:r>
      <w:r w:rsidRPr="00150EDC">
        <w:rPr>
          <w:spacing w:val="-10"/>
          <w:sz w:val="24"/>
        </w:rPr>
        <w:t xml:space="preserve"> </w:t>
      </w:r>
      <w:r w:rsidRPr="00150EDC">
        <w:rPr>
          <w:sz w:val="24"/>
        </w:rPr>
        <w:t>effective and easily understood overview of the Supplier Group; and</w:t>
      </w:r>
    </w:p>
    <w:p w14:paraId="17E3DB1F" w14:textId="77777777" w:rsidR="004C7180" w:rsidRPr="00150EDC" w:rsidRDefault="004C7180">
      <w:pPr>
        <w:pStyle w:val="BodyText"/>
        <w:spacing w:before="10"/>
        <w:rPr>
          <w:sz w:val="20"/>
        </w:rPr>
      </w:pPr>
    </w:p>
    <w:p w14:paraId="1B59ED36" w14:textId="77777777" w:rsidR="004C7180" w:rsidRPr="00150EDC" w:rsidRDefault="00CF0754" w:rsidP="00B320C7">
      <w:pPr>
        <w:pStyle w:val="ListParagraph"/>
        <w:numPr>
          <w:ilvl w:val="1"/>
          <w:numId w:val="43"/>
        </w:numPr>
        <w:tabs>
          <w:tab w:val="left" w:pos="2529"/>
          <w:tab w:val="left" w:pos="2532"/>
        </w:tabs>
        <w:ind w:right="1435"/>
        <w:jc w:val="both"/>
        <w:rPr>
          <w:sz w:val="24"/>
        </w:rPr>
      </w:pPr>
      <w:r w:rsidRPr="00150EDC">
        <w:rPr>
          <w:sz w:val="24"/>
        </w:rPr>
        <w:t>provide</w:t>
      </w:r>
      <w:r w:rsidRPr="00150EDC">
        <w:rPr>
          <w:spacing w:val="-11"/>
          <w:sz w:val="24"/>
        </w:rPr>
        <w:t xml:space="preserve"> </w:t>
      </w:r>
      <w:r w:rsidRPr="00150EDC">
        <w:rPr>
          <w:sz w:val="24"/>
        </w:rPr>
        <w:t>full</w:t>
      </w:r>
      <w:r w:rsidRPr="00150EDC">
        <w:rPr>
          <w:spacing w:val="-12"/>
          <w:sz w:val="24"/>
        </w:rPr>
        <w:t xml:space="preserve"> </w:t>
      </w:r>
      <w:r w:rsidRPr="00150EDC">
        <w:rPr>
          <w:sz w:val="24"/>
        </w:rPr>
        <w:t>details</w:t>
      </w:r>
      <w:r w:rsidRPr="00150EDC">
        <w:rPr>
          <w:spacing w:val="-9"/>
          <w:sz w:val="24"/>
        </w:rPr>
        <w:t xml:space="preserve"> </w:t>
      </w:r>
      <w:r w:rsidRPr="00150EDC">
        <w:rPr>
          <w:sz w:val="24"/>
        </w:rPr>
        <w:t>of</w:t>
      </w:r>
      <w:r w:rsidRPr="00150EDC">
        <w:rPr>
          <w:spacing w:val="-9"/>
          <w:sz w:val="24"/>
        </w:rPr>
        <w:t xml:space="preserve"> </w:t>
      </w:r>
      <w:r w:rsidRPr="00150EDC">
        <w:rPr>
          <w:sz w:val="24"/>
        </w:rPr>
        <w:t>the</w:t>
      </w:r>
      <w:r w:rsidRPr="00150EDC">
        <w:rPr>
          <w:spacing w:val="-9"/>
          <w:sz w:val="24"/>
        </w:rPr>
        <w:t xml:space="preserve"> </w:t>
      </w:r>
      <w:r w:rsidRPr="00150EDC">
        <w:rPr>
          <w:sz w:val="24"/>
        </w:rPr>
        <w:t>importance</w:t>
      </w:r>
      <w:r w:rsidRPr="00150EDC">
        <w:rPr>
          <w:spacing w:val="-11"/>
          <w:sz w:val="24"/>
        </w:rPr>
        <w:t xml:space="preserve"> </w:t>
      </w:r>
      <w:r w:rsidRPr="00150EDC">
        <w:rPr>
          <w:sz w:val="24"/>
        </w:rPr>
        <w:t>of</w:t>
      </w:r>
      <w:r w:rsidRPr="00150EDC">
        <w:rPr>
          <w:spacing w:val="-11"/>
          <w:sz w:val="24"/>
        </w:rPr>
        <w:t xml:space="preserve"> </w:t>
      </w:r>
      <w:r w:rsidRPr="00150EDC">
        <w:rPr>
          <w:sz w:val="24"/>
        </w:rPr>
        <w:t>each</w:t>
      </w:r>
      <w:r w:rsidRPr="00150EDC">
        <w:rPr>
          <w:spacing w:val="-13"/>
          <w:sz w:val="24"/>
        </w:rPr>
        <w:t xml:space="preserve"> </w:t>
      </w:r>
      <w:r w:rsidRPr="00150EDC">
        <w:rPr>
          <w:sz w:val="24"/>
        </w:rPr>
        <w:t>member</w:t>
      </w:r>
      <w:r w:rsidRPr="00150EDC">
        <w:rPr>
          <w:spacing w:val="-10"/>
          <w:sz w:val="24"/>
        </w:rPr>
        <w:t xml:space="preserve"> </w:t>
      </w:r>
      <w:r w:rsidRPr="00150EDC">
        <w:rPr>
          <w:sz w:val="24"/>
        </w:rPr>
        <w:t>of</w:t>
      </w:r>
      <w:r w:rsidRPr="00150EDC">
        <w:rPr>
          <w:spacing w:val="-11"/>
          <w:sz w:val="24"/>
        </w:rPr>
        <w:t xml:space="preserve"> </w:t>
      </w:r>
      <w:r w:rsidRPr="00150EDC">
        <w:rPr>
          <w:sz w:val="24"/>
        </w:rPr>
        <w:t>the</w:t>
      </w:r>
      <w:r w:rsidRPr="00150EDC">
        <w:rPr>
          <w:spacing w:val="-11"/>
          <w:sz w:val="24"/>
        </w:rPr>
        <w:t xml:space="preserve"> </w:t>
      </w:r>
      <w:r w:rsidRPr="00150EDC">
        <w:rPr>
          <w:sz w:val="24"/>
        </w:rPr>
        <w:t>Supplier</w:t>
      </w:r>
      <w:r w:rsidRPr="00150EDC">
        <w:rPr>
          <w:spacing w:val="-10"/>
          <w:sz w:val="24"/>
        </w:rPr>
        <w:t xml:space="preserve"> </w:t>
      </w:r>
      <w:r w:rsidRPr="00150EDC">
        <w:rPr>
          <w:sz w:val="24"/>
        </w:rPr>
        <w:t>Group to</w:t>
      </w:r>
      <w:r w:rsidRPr="00150EDC">
        <w:rPr>
          <w:spacing w:val="-12"/>
          <w:sz w:val="24"/>
        </w:rPr>
        <w:t xml:space="preserve"> </w:t>
      </w:r>
      <w:r w:rsidRPr="00150EDC">
        <w:rPr>
          <w:sz w:val="24"/>
        </w:rPr>
        <w:t>the</w:t>
      </w:r>
      <w:r w:rsidRPr="00150EDC">
        <w:rPr>
          <w:spacing w:val="-12"/>
          <w:sz w:val="24"/>
        </w:rPr>
        <w:t xml:space="preserve"> </w:t>
      </w:r>
      <w:r w:rsidRPr="00150EDC">
        <w:rPr>
          <w:sz w:val="24"/>
        </w:rPr>
        <w:t>Supplier</w:t>
      </w:r>
      <w:r w:rsidRPr="00150EDC">
        <w:rPr>
          <w:spacing w:val="-13"/>
          <w:sz w:val="24"/>
        </w:rPr>
        <w:t xml:space="preserve"> </w:t>
      </w:r>
      <w:r w:rsidRPr="00150EDC">
        <w:rPr>
          <w:sz w:val="24"/>
        </w:rPr>
        <w:t>Group’s</w:t>
      </w:r>
      <w:r w:rsidRPr="00150EDC">
        <w:rPr>
          <w:spacing w:val="-13"/>
          <w:sz w:val="24"/>
        </w:rPr>
        <w:t xml:space="preserve"> </w:t>
      </w:r>
      <w:r w:rsidRPr="00150EDC">
        <w:rPr>
          <w:sz w:val="24"/>
        </w:rPr>
        <w:t>UK</w:t>
      </w:r>
      <w:r w:rsidRPr="00150EDC">
        <w:rPr>
          <w:spacing w:val="-12"/>
          <w:sz w:val="24"/>
        </w:rPr>
        <w:t xml:space="preserve"> </w:t>
      </w:r>
      <w:r w:rsidRPr="00150EDC">
        <w:rPr>
          <w:sz w:val="24"/>
        </w:rPr>
        <w:t>Public</w:t>
      </w:r>
      <w:r w:rsidRPr="00150EDC">
        <w:rPr>
          <w:spacing w:val="-13"/>
          <w:sz w:val="24"/>
        </w:rPr>
        <w:t xml:space="preserve"> </w:t>
      </w:r>
      <w:r w:rsidRPr="00150EDC">
        <w:rPr>
          <w:sz w:val="24"/>
        </w:rPr>
        <w:t>Sector</w:t>
      </w:r>
      <w:r w:rsidRPr="00150EDC">
        <w:rPr>
          <w:spacing w:val="-13"/>
          <w:sz w:val="24"/>
        </w:rPr>
        <w:t xml:space="preserve"> </w:t>
      </w:r>
      <w:r w:rsidRPr="00150EDC">
        <w:rPr>
          <w:sz w:val="24"/>
        </w:rPr>
        <w:t>Business</w:t>
      </w:r>
      <w:r w:rsidRPr="00150EDC">
        <w:rPr>
          <w:spacing w:val="-13"/>
          <w:sz w:val="24"/>
        </w:rPr>
        <w:t xml:space="preserve"> </w:t>
      </w:r>
      <w:r w:rsidRPr="00150EDC">
        <w:rPr>
          <w:sz w:val="24"/>
        </w:rPr>
        <w:t>and</w:t>
      </w:r>
      <w:r w:rsidRPr="00150EDC">
        <w:rPr>
          <w:spacing w:val="-12"/>
          <w:sz w:val="24"/>
        </w:rPr>
        <w:t xml:space="preserve"> </w:t>
      </w:r>
      <w:r w:rsidRPr="00150EDC">
        <w:rPr>
          <w:sz w:val="24"/>
        </w:rPr>
        <w:t>CNI</w:t>
      </w:r>
      <w:r w:rsidRPr="00150EDC">
        <w:rPr>
          <w:spacing w:val="-12"/>
          <w:sz w:val="24"/>
        </w:rPr>
        <w:t xml:space="preserve"> </w:t>
      </w:r>
      <w:r w:rsidRPr="00150EDC">
        <w:rPr>
          <w:sz w:val="24"/>
        </w:rPr>
        <w:t>contracts</w:t>
      </w:r>
      <w:r w:rsidRPr="00150EDC">
        <w:rPr>
          <w:spacing w:val="-13"/>
          <w:sz w:val="24"/>
        </w:rPr>
        <w:t xml:space="preserve"> </w:t>
      </w:r>
      <w:r w:rsidRPr="00150EDC">
        <w:rPr>
          <w:sz w:val="24"/>
        </w:rPr>
        <w:t>listed pursuant to Appendix 2 and the dependencies between each.</w:t>
      </w:r>
    </w:p>
    <w:p w14:paraId="63EDE5E4" w14:textId="77777777" w:rsidR="004C7180" w:rsidRPr="00150EDC" w:rsidRDefault="004C7180">
      <w:pPr>
        <w:jc w:val="both"/>
        <w:rPr>
          <w:sz w:val="24"/>
        </w:rPr>
        <w:sectPr w:rsidR="004C7180" w:rsidRPr="00150EDC">
          <w:pgSz w:w="11910" w:h="16840"/>
          <w:pgMar w:top="1380" w:right="0" w:bottom="1380" w:left="40" w:header="715" w:footer="1192" w:gutter="0"/>
          <w:cols w:space="720"/>
        </w:sectPr>
      </w:pPr>
    </w:p>
    <w:p w14:paraId="38993B4A" w14:textId="77777777" w:rsidR="004C7180" w:rsidRPr="00150EDC" w:rsidRDefault="004C7180">
      <w:pPr>
        <w:pStyle w:val="BodyText"/>
        <w:spacing w:before="4"/>
        <w:rPr>
          <w:sz w:val="12"/>
        </w:rPr>
      </w:pPr>
    </w:p>
    <w:p w14:paraId="69844917" w14:textId="77777777" w:rsidR="004C7180" w:rsidRPr="00150EDC" w:rsidRDefault="00CF0754">
      <w:pPr>
        <w:pStyle w:val="Heading2"/>
        <w:ind w:left="1360" w:right="1839"/>
        <w:jc w:val="center"/>
      </w:pPr>
      <w:r w:rsidRPr="00150EDC">
        <w:t>Appendix</w:t>
      </w:r>
      <w:r w:rsidRPr="00150EDC">
        <w:rPr>
          <w:spacing w:val="-7"/>
        </w:rPr>
        <w:t xml:space="preserve"> </w:t>
      </w:r>
      <w:r w:rsidRPr="00150EDC">
        <w:t>2:</w:t>
      </w:r>
      <w:r w:rsidRPr="00150EDC">
        <w:rPr>
          <w:spacing w:val="-9"/>
        </w:rPr>
        <w:t xml:space="preserve"> </w:t>
      </w:r>
      <w:r w:rsidRPr="00150EDC">
        <w:t>UK</w:t>
      </w:r>
      <w:r w:rsidRPr="00150EDC">
        <w:rPr>
          <w:spacing w:val="-7"/>
        </w:rPr>
        <w:t xml:space="preserve"> </w:t>
      </w:r>
      <w:r w:rsidRPr="00150EDC">
        <w:t>Public</w:t>
      </w:r>
      <w:r w:rsidRPr="00150EDC">
        <w:rPr>
          <w:spacing w:val="-9"/>
        </w:rPr>
        <w:t xml:space="preserve"> </w:t>
      </w:r>
      <w:r w:rsidRPr="00150EDC">
        <w:t>Sector</w:t>
      </w:r>
      <w:r w:rsidRPr="00150EDC">
        <w:rPr>
          <w:spacing w:val="-8"/>
        </w:rPr>
        <w:t xml:space="preserve"> </w:t>
      </w:r>
      <w:r w:rsidRPr="00150EDC">
        <w:t>/</w:t>
      </w:r>
      <w:r w:rsidRPr="00150EDC">
        <w:rPr>
          <w:spacing w:val="-6"/>
        </w:rPr>
        <w:t xml:space="preserve"> </w:t>
      </w:r>
      <w:r w:rsidRPr="00150EDC">
        <w:t>CNI</w:t>
      </w:r>
      <w:r w:rsidRPr="00150EDC">
        <w:rPr>
          <w:spacing w:val="-9"/>
        </w:rPr>
        <w:t xml:space="preserve"> </w:t>
      </w:r>
      <w:r w:rsidRPr="00150EDC">
        <w:t>Contract</w:t>
      </w:r>
      <w:r w:rsidRPr="00150EDC">
        <w:rPr>
          <w:spacing w:val="-10"/>
        </w:rPr>
        <w:t xml:space="preserve"> </w:t>
      </w:r>
      <w:r w:rsidRPr="00150EDC">
        <w:rPr>
          <w:spacing w:val="-2"/>
        </w:rPr>
        <w:t>Information</w:t>
      </w:r>
    </w:p>
    <w:p w14:paraId="12F4F4F0" w14:textId="77777777" w:rsidR="004C7180" w:rsidRPr="00150EDC" w:rsidRDefault="00CF0754" w:rsidP="00B320C7">
      <w:pPr>
        <w:pStyle w:val="ListParagraph"/>
        <w:numPr>
          <w:ilvl w:val="0"/>
          <w:numId w:val="42"/>
        </w:numPr>
        <w:tabs>
          <w:tab w:val="left" w:pos="2119"/>
        </w:tabs>
        <w:spacing w:before="240"/>
        <w:ind w:left="2119" w:hanging="719"/>
        <w:rPr>
          <w:sz w:val="24"/>
        </w:rPr>
      </w:pPr>
      <w:r w:rsidRPr="00150EDC">
        <w:rPr>
          <w:sz w:val="24"/>
        </w:rPr>
        <w:t>The</w:t>
      </w:r>
      <w:r w:rsidRPr="00150EDC">
        <w:rPr>
          <w:spacing w:val="-2"/>
          <w:sz w:val="24"/>
        </w:rPr>
        <w:t xml:space="preserve"> </w:t>
      </w:r>
      <w:r w:rsidRPr="00150EDC">
        <w:rPr>
          <w:sz w:val="24"/>
        </w:rPr>
        <w:t>Supplier</w:t>
      </w:r>
      <w:r w:rsidRPr="00150EDC">
        <w:rPr>
          <w:spacing w:val="-3"/>
          <w:sz w:val="24"/>
        </w:rPr>
        <w:t xml:space="preserve"> </w:t>
      </w:r>
      <w:r w:rsidRPr="00150EDC">
        <w:rPr>
          <w:spacing w:val="-2"/>
          <w:sz w:val="24"/>
        </w:rPr>
        <w:t>shall:</w:t>
      </w:r>
    </w:p>
    <w:p w14:paraId="5A655F25" w14:textId="77777777" w:rsidR="004C7180" w:rsidRPr="00150EDC" w:rsidRDefault="004C7180">
      <w:pPr>
        <w:pStyle w:val="BodyText"/>
        <w:spacing w:before="10"/>
        <w:rPr>
          <w:sz w:val="20"/>
        </w:rPr>
      </w:pPr>
    </w:p>
    <w:p w14:paraId="7E0004F9" w14:textId="77777777" w:rsidR="004C7180" w:rsidRPr="00150EDC" w:rsidRDefault="00CF0754" w:rsidP="00B320C7">
      <w:pPr>
        <w:pStyle w:val="ListParagraph"/>
        <w:numPr>
          <w:ilvl w:val="1"/>
          <w:numId w:val="42"/>
        </w:numPr>
        <w:tabs>
          <w:tab w:val="left" w:pos="2117"/>
          <w:tab w:val="left" w:pos="2120"/>
        </w:tabs>
        <w:ind w:right="1433"/>
        <w:jc w:val="both"/>
        <w:rPr>
          <w:sz w:val="24"/>
        </w:rPr>
      </w:pPr>
      <w:r w:rsidRPr="00150EDC">
        <w:rPr>
          <w:sz w:val="24"/>
        </w:rPr>
        <w:t>provide</w:t>
      </w:r>
      <w:r w:rsidRPr="00150EDC">
        <w:rPr>
          <w:spacing w:val="-13"/>
          <w:sz w:val="24"/>
        </w:rPr>
        <w:t xml:space="preserve"> </w:t>
      </w:r>
      <w:r w:rsidRPr="00150EDC">
        <w:rPr>
          <w:sz w:val="24"/>
        </w:rPr>
        <w:t>details</w:t>
      </w:r>
      <w:r w:rsidRPr="00150EDC">
        <w:rPr>
          <w:spacing w:val="-12"/>
          <w:sz w:val="24"/>
        </w:rPr>
        <w:t xml:space="preserve"> </w:t>
      </w:r>
      <w:r w:rsidRPr="00150EDC">
        <w:rPr>
          <w:sz w:val="24"/>
        </w:rPr>
        <w:t>of</w:t>
      </w:r>
      <w:r w:rsidRPr="00150EDC">
        <w:rPr>
          <w:spacing w:val="-13"/>
          <w:sz w:val="24"/>
        </w:rPr>
        <w:t xml:space="preserve"> </w:t>
      </w:r>
      <w:r w:rsidRPr="00150EDC">
        <w:rPr>
          <w:sz w:val="24"/>
        </w:rPr>
        <w:t>all</w:t>
      </w:r>
      <w:r w:rsidRPr="00150EDC">
        <w:rPr>
          <w:spacing w:val="-12"/>
          <w:sz w:val="24"/>
        </w:rPr>
        <w:t xml:space="preserve"> </w:t>
      </w:r>
      <w:r w:rsidRPr="00150EDC">
        <w:rPr>
          <w:sz w:val="24"/>
        </w:rPr>
        <w:t>agreements</w:t>
      </w:r>
      <w:r w:rsidRPr="00150EDC">
        <w:rPr>
          <w:spacing w:val="-14"/>
          <w:sz w:val="24"/>
        </w:rPr>
        <w:t xml:space="preserve"> </w:t>
      </w:r>
      <w:r w:rsidRPr="00150EDC">
        <w:rPr>
          <w:sz w:val="24"/>
        </w:rPr>
        <w:t>held</w:t>
      </w:r>
      <w:r w:rsidRPr="00150EDC">
        <w:rPr>
          <w:spacing w:val="-13"/>
          <w:sz w:val="24"/>
        </w:rPr>
        <w:t xml:space="preserve"> </w:t>
      </w:r>
      <w:r w:rsidRPr="00150EDC">
        <w:rPr>
          <w:sz w:val="24"/>
        </w:rPr>
        <w:t>by</w:t>
      </w:r>
      <w:r w:rsidRPr="00150EDC">
        <w:rPr>
          <w:spacing w:val="-14"/>
          <w:sz w:val="24"/>
        </w:rPr>
        <w:t xml:space="preserve"> </w:t>
      </w:r>
      <w:r w:rsidRPr="00150EDC">
        <w:rPr>
          <w:sz w:val="24"/>
        </w:rPr>
        <w:t>members</w:t>
      </w:r>
      <w:r w:rsidRPr="00150EDC">
        <w:rPr>
          <w:spacing w:val="-12"/>
          <w:sz w:val="24"/>
        </w:rPr>
        <w:t xml:space="preserve"> </w:t>
      </w:r>
      <w:r w:rsidRPr="00150EDC">
        <w:rPr>
          <w:sz w:val="24"/>
        </w:rPr>
        <w:t>of</w:t>
      </w:r>
      <w:r w:rsidRPr="00150EDC">
        <w:rPr>
          <w:spacing w:val="-11"/>
          <w:sz w:val="24"/>
        </w:rPr>
        <w:t xml:space="preserve"> </w:t>
      </w:r>
      <w:r w:rsidRPr="00150EDC">
        <w:rPr>
          <w:sz w:val="24"/>
        </w:rPr>
        <w:t>the</w:t>
      </w:r>
      <w:r w:rsidRPr="00150EDC">
        <w:rPr>
          <w:spacing w:val="-13"/>
          <w:sz w:val="24"/>
        </w:rPr>
        <w:t xml:space="preserve"> </w:t>
      </w:r>
      <w:r w:rsidRPr="00150EDC">
        <w:rPr>
          <w:sz w:val="24"/>
        </w:rPr>
        <w:t>Supplier</w:t>
      </w:r>
      <w:r w:rsidRPr="00150EDC">
        <w:rPr>
          <w:spacing w:val="-15"/>
          <w:sz w:val="24"/>
        </w:rPr>
        <w:t xml:space="preserve"> </w:t>
      </w:r>
      <w:r w:rsidRPr="00150EDC">
        <w:rPr>
          <w:sz w:val="24"/>
        </w:rPr>
        <w:t>Group</w:t>
      </w:r>
      <w:r w:rsidRPr="00150EDC">
        <w:rPr>
          <w:spacing w:val="-13"/>
          <w:sz w:val="24"/>
        </w:rPr>
        <w:t xml:space="preserve"> </w:t>
      </w:r>
      <w:r w:rsidRPr="00150EDC">
        <w:rPr>
          <w:sz w:val="24"/>
        </w:rPr>
        <w:t>where those agreements are for goods, services or works provision and:</w:t>
      </w:r>
    </w:p>
    <w:p w14:paraId="61CBD24B" w14:textId="77777777" w:rsidR="004C7180" w:rsidRPr="00150EDC" w:rsidRDefault="004C7180">
      <w:pPr>
        <w:pStyle w:val="BodyText"/>
        <w:spacing w:before="10"/>
        <w:rPr>
          <w:sz w:val="20"/>
        </w:rPr>
      </w:pPr>
    </w:p>
    <w:p w14:paraId="634F819A" w14:textId="77777777" w:rsidR="004C7180" w:rsidRPr="00150EDC" w:rsidRDefault="00CF0754" w:rsidP="00B320C7">
      <w:pPr>
        <w:pStyle w:val="ListParagraph"/>
        <w:numPr>
          <w:ilvl w:val="2"/>
          <w:numId w:val="42"/>
        </w:numPr>
        <w:tabs>
          <w:tab w:val="left" w:pos="3200"/>
          <w:tab w:val="left" w:pos="3202"/>
        </w:tabs>
        <w:ind w:right="1434"/>
        <w:jc w:val="both"/>
        <w:rPr>
          <w:sz w:val="24"/>
        </w:rPr>
      </w:pPr>
      <w:r w:rsidRPr="00150EDC">
        <w:rPr>
          <w:sz w:val="24"/>
        </w:rPr>
        <w:t xml:space="preserve">are with any UK public sector bodies including: central Government departments and their arms-length bodies and agencies, non- departmental public bodies, NHS bodies, local authorities, health bodies, police fire and rescue, education bodies and the devolved </w:t>
      </w:r>
      <w:r w:rsidRPr="00150EDC">
        <w:rPr>
          <w:spacing w:val="-2"/>
          <w:sz w:val="24"/>
        </w:rPr>
        <w:t>administrations;</w:t>
      </w:r>
    </w:p>
    <w:p w14:paraId="7C2BE289" w14:textId="77777777" w:rsidR="004C7180" w:rsidRPr="00150EDC" w:rsidRDefault="004C7180">
      <w:pPr>
        <w:pStyle w:val="BodyText"/>
        <w:spacing w:before="10"/>
        <w:rPr>
          <w:sz w:val="20"/>
        </w:rPr>
      </w:pPr>
    </w:p>
    <w:p w14:paraId="3A9E89B2" w14:textId="77777777" w:rsidR="004C7180" w:rsidRPr="00150EDC" w:rsidRDefault="00CF0754" w:rsidP="00B320C7">
      <w:pPr>
        <w:pStyle w:val="ListParagraph"/>
        <w:numPr>
          <w:ilvl w:val="2"/>
          <w:numId w:val="42"/>
        </w:numPr>
        <w:tabs>
          <w:tab w:val="left" w:pos="3200"/>
          <w:tab w:val="left" w:pos="3202"/>
        </w:tabs>
        <w:ind w:right="1433"/>
        <w:jc w:val="both"/>
        <w:rPr>
          <w:sz w:val="24"/>
        </w:rPr>
      </w:pPr>
      <w:r w:rsidRPr="00150EDC">
        <w:rPr>
          <w:sz w:val="24"/>
        </w:rPr>
        <w:t>are with any private sector entities where the end recipient of the service, goods or works provision is any of the bodies set out in paragraph 1.1.1 of this Appendix 2 and where the member of the Supplier Group is acting as a key sub-contractor under the agreement with the end recipient; or</w:t>
      </w:r>
    </w:p>
    <w:p w14:paraId="6F15491A" w14:textId="77777777" w:rsidR="004C7180" w:rsidRPr="00150EDC" w:rsidRDefault="004C7180">
      <w:pPr>
        <w:pStyle w:val="BodyText"/>
        <w:spacing w:before="10"/>
        <w:rPr>
          <w:sz w:val="20"/>
        </w:rPr>
      </w:pPr>
    </w:p>
    <w:p w14:paraId="1EA269AD" w14:textId="77777777" w:rsidR="004C7180" w:rsidRPr="00150EDC" w:rsidRDefault="00CF0754" w:rsidP="00B320C7">
      <w:pPr>
        <w:pStyle w:val="ListParagraph"/>
        <w:numPr>
          <w:ilvl w:val="2"/>
          <w:numId w:val="42"/>
        </w:numPr>
        <w:tabs>
          <w:tab w:val="left" w:pos="3202"/>
        </w:tabs>
        <w:rPr>
          <w:sz w:val="24"/>
        </w:rPr>
      </w:pPr>
      <w:r w:rsidRPr="00150EDC">
        <w:rPr>
          <w:sz w:val="24"/>
        </w:rPr>
        <w:t>involve</w:t>
      </w:r>
      <w:r w:rsidRPr="00150EDC">
        <w:rPr>
          <w:spacing w:val="-2"/>
          <w:sz w:val="24"/>
        </w:rPr>
        <w:t xml:space="preserve"> </w:t>
      </w:r>
      <w:r w:rsidRPr="00150EDC">
        <w:rPr>
          <w:sz w:val="24"/>
        </w:rPr>
        <w:t>or</w:t>
      </w:r>
      <w:r w:rsidRPr="00150EDC">
        <w:rPr>
          <w:spacing w:val="-4"/>
          <w:sz w:val="24"/>
        </w:rPr>
        <w:t xml:space="preserve"> </w:t>
      </w:r>
      <w:r w:rsidRPr="00150EDC">
        <w:rPr>
          <w:sz w:val="24"/>
        </w:rPr>
        <w:t>could</w:t>
      </w:r>
      <w:r w:rsidRPr="00150EDC">
        <w:rPr>
          <w:spacing w:val="-2"/>
          <w:sz w:val="24"/>
        </w:rPr>
        <w:t xml:space="preserve"> </w:t>
      </w:r>
      <w:r w:rsidRPr="00150EDC">
        <w:rPr>
          <w:sz w:val="24"/>
        </w:rPr>
        <w:t>reasonably</w:t>
      </w:r>
      <w:r w:rsidRPr="00150EDC">
        <w:rPr>
          <w:spacing w:val="-4"/>
          <w:sz w:val="24"/>
        </w:rPr>
        <w:t xml:space="preserve"> </w:t>
      </w:r>
      <w:r w:rsidRPr="00150EDC">
        <w:rPr>
          <w:sz w:val="24"/>
        </w:rPr>
        <w:t>be</w:t>
      </w:r>
      <w:r w:rsidRPr="00150EDC">
        <w:rPr>
          <w:spacing w:val="-2"/>
          <w:sz w:val="24"/>
        </w:rPr>
        <w:t xml:space="preserve"> </w:t>
      </w:r>
      <w:r w:rsidRPr="00150EDC">
        <w:rPr>
          <w:sz w:val="24"/>
        </w:rPr>
        <w:t>considered</w:t>
      </w:r>
      <w:r w:rsidRPr="00150EDC">
        <w:rPr>
          <w:spacing w:val="-2"/>
          <w:sz w:val="24"/>
        </w:rPr>
        <w:t xml:space="preserve"> </w:t>
      </w:r>
      <w:r w:rsidRPr="00150EDC">
        <w:rPr>
          <w:sz w:val="24"/>
        </w:rPr>
        <w:t>to</w:t>
      </w:r>
      <w:r w:rsidRPr="00150EDC">
        <w:rPr>
          <w:spacing w:val="-4"/>
          <w:sz w:val="24"/>
        </w:rPr>
        <w:t xml:space="preserve"> </w:t>
      </w:r>
      <w:r w:rsidRPr="00150EDC">
        <w:rPr>
          <w:sz w:val="24"/>
        </w:rPr>
        <w:t>involve</w:t>
      </w:r>
      <w:r w:rsidRPr="00150EDC">
        <w:rPr>
          <w:spacing w:val="-1"/>
          <w:sz w:val="24"/>
        </w:rPr>
        <w:t xml:space="preserve"> </w:t>
      </w:r>
      <w:r w:rsidRPr="00150EDC">
        <w:rPr>
          <w:spacing w:val="-4"/>
          <w:sz w:val="24"/>
        </w:rPr>
        <w:t>CNI;</w:t>
      </w:r>
    </w:p>
    <w:p w14:paraId="57BCD5CE" w14:textId="77777777" w:rsidR="004C7180" w:rsidRPr="00150EDC" w:rsidRDefault="004C7180">
      <w:pPr>
        <w:pStyle w:val="BodyText"/>
        <w:spacing w:before="10"/>
        <w:rPr>
          <w:sz w:val="20"/>
        </w:rPr>
      </w:pPr>
    </w:p>
    <w:p w14:paraId="02633660" w14:textId="77777777" w:rsidR="004C7180" w:rsidRPr="00150EDC" w:rsidRDefault="00CF0754" w:rsidP="00B320C7">
      <w:pPr>
        <w:pStyle w:val="ListParagraph"/>
        <w:numPr>
          <w:ilvl w:val="1"/>
          <w:numId w:val="42"/>
        </w:numPr>
        <w:tabs>
          <w:tab w:val="left" w:pos="2116"/>
          <w:tab w:val="left" w:pos="2119"/>
        </w:tabs>
        <w:ind w:left="2119" w:right="1434"/>
        <w:jc w:val="both"/>
        <w:rPr>
          <w:sz w:val="24"/>
        </w:rPr>
      </w:pPr>
      <w:r w:rsidRPr="00150EDC">
        <w:rPr>
          <w:sz w:val="24"/>
        </w:rPr>
        <w:t>provide the Appropriate Authority with a copy of the latest version of each underlying contract worth more than £5m per contract year and their related key</w:t>
      </w:r>
      <w:r w:rsidRPr="00150EDC">
        <w:rPr>
          <w:spacing w:val="-5"/>
          <w:sz w:val="24"/>
        </w:rPr>
        <w:t xml:space="preserve"> </w:t>
      </w:r>
      <w:r w:rsidRPr="00150EDC">
        <w:rPr>
          <w:sz w:val="24"/>
        </w:rPr>
        <w:t>sub-contracts,</w:t>
      </w:r>
      <w:r w:rsidRPr="00150EDC">
        <w:rPr>
          <w:spacing w:val="-5"/>
          <w:sz w:val="24"/>
        </w:rPr>
        <w:t xml:space="preserve"> </w:t>
      </w:r>
      <w:r w:rsidRPr="00150EDC">
        <w:rPr>
          <w:sz w:val="24"/>
        </w:rPr>
        <w:t>which</w:t>
      </w:r>
      <w:r w:rsidRPr="00150EDC">
        <w:rPr>
          <w:spacing w:val="-4"/>
          <w:sz w:val="24"/>
        </w:rPr>
        <w:t xml:space="preserve"> </w:t>
      </w:r>
      <w:r w:rsidRPr="00150EDC">
        <w:rPr>
          <w:sz w:val="24"/>
        </w:rPr>
        <w:t>shall</w:t>
      </w:r>
      <w:r w:rsidRPr="00150EDC">
        <w:rPr>
          <w:spacing w:val="-6"/>
          <w:sz w:val="24"/>
        </w:rPr>
        <w:t xml:space="preserve"> </w:t>
      </w:r>
      <w:r w:rsidRPr="00150EDC">
        <w:rPr>
          <w:sz w:val="24"/>
        </w:rPr>
        <w:t>be</w:t>
      </w:r>
      <w:r w:rsidRPr="00150EDC">
        <w:rPr>
          <w:spacing w:val="-4"/>
          <w:sz w:val="24"/>
        </w:rPr>
        <w:t xml:space="preserve"> </w:t>
      </w:r>
      <w:r w:rsidRPr="00150EDC">
        <w:rPr>
          <w:sz w:val="24"/>
        </w:rPr>
        <w:t>included</w:t>
      </w:r>
      <w:r w:rsidRPr="00150EDC">
        <w:rPr>
          <w:spacing w:val="-4"/>
          <w:sz w:val="24"/>
        </w:rPr>
        <w:t xml:space="preserve"> </w:t>
      </w:r>
      <w:r w:rsidRPr="00150EDC">
        <w:rPr>
          <w:sz w:val="24"/>
        </w:rPr>
        <w:t>as</w:t>
      </w:r>
      <w:r w:rsidRPr="00150EDC">
        <w:rPr>
          <w:spacing w:val="-8"/>
          <w:sz w:val="24"/>
        </w:rPr>
        <w:t xml:space="preserve"> </w:t>
      </w:r>
      <w:r w:rsidRPr="00150EDC">
        <w:rPr>
          <w:sz w:val="24"/>
        </w:rPr>
        <w:t>embedded</w:t>
      </w:r>
      <w:r w:rsidRPr="00150EDC">
        <w:rPr>
          <w:spacing w:val="-7"/>
          <w:sz w:val="24"/>
        </w:rPr>
        <w:t xml:space="preserve"> </w:t>
      </w:r>
      <w:r w:rsidRPr="00150EDC">
        <w:rPr>
          <w:sz w:val="24"/>
        </w:rPr>
        <w:t>documents</w:t>
      </w:r>
      <w:r w:rsidRPr="00150EDC">
        <w:rPr>
          <w:spacing w:val="-8"/>
          <w:sz w:val="24"/>
        </w:rPr>
        <w:t xml:space="preserve"> </w:t>
      </w:r>
      <w:r w:rsidRPr="00150EDC">
        <w:rPr>
          <w:sz w:val="24"/>
        </w:rPr>
        <w:t>within</w:t>
      </w:r>
      <w:r w:rsidRPr="00150EDC">
        <w:rPr>
          <w:spacing w:val="-4"/>
          <w:sz w:val="24"/>
        </w:rPr>
        <w:t xml:space="preserve"> </w:t>
      </w:r>
      <w:r w:rsidRPr="00150EDC">
        <w:rPr>
          <w:sz w:val="24"/>
        </w:rPr>
        <w:t>the CRP Information or via a directly accessible link.</w:t>
      </w:r>
    </w:p>
    <w:p w14:paraId="3329C1FD" w14:textId="77777777" w:rsidR="004C7180" w:rsidRPr="00150EDC" w:rsidRDefault="004C7180">
      <w:pPr>
        <w:jc w:val="both"/>
        <w:rPr>
          <w:sz w:val="24"/>
        </w:rPr>
        <w:sectPr w:rsidR="004C7180" w:rsidRPr="00150EDC">
          <w:pgSz w:w="11910" w:h="16840"/>
          <w:pgMar w:top="1380" w:right="0" w:bottom="1380" w:left="40" w:header="715" w:footer="1192" w:gutter="0"/>
          <w:cols w:space="720"/>
        </w:sectPr>
      </w:pPr>
    </w:p>
    <w:p w14:paraId="6403DAD5" w14:textId="77777777" w:rsidR="004C7180" w:rsidRPr="00150EDC" w:rsidRDefault="004C7180">
      <w:pPr>
        <w:pStyle w:val="BodyText"/>
        <w:rPr>
          <w:sz w:val="20"/>
        </w:rPr>
      </w:pPr>
    </w:p>
    <w:p w14:paraId="02EEF8A5" w14:textId="77777777" w:rsidR="004C7180" w:rsidRPr="00150EDC" w:rsidRDefault="004C7180">
      <w:pPr>
        <w:pStyle w:val="BodyText"/>
        <w:rPr>
          <w:sz w:val="20"/>
        </w:rPr>
      </w:pPr>
    </w:p>
    <w:p w14:paraId="24C58E8F" w14:textId="77777777" w:rsidR="004C7180" w:rsidRPr="00150EDC" w:rsidRDefault="004C7180">
      <w:pPr>
        <w:pStyle w:val="BodyText"/>
        <w:spacing w:before="3"/>
        <w:rPr>
          <w:sz w:val="29"/>
        </w:rPr>
      </w:pPr>
    </w:p>
    <w:p w14:paraId="49FADBC4" w14:textId="77777777" w:rsidR="004C7180" w:rsidRPr="00150EDC" w:rsidRDefault="00CF0754">
      <w:pPr>
        <w:pStyle w:val="Heading1"/>
        <w:spacing w:before="88"/>
        <w:ind w:left="1092" w:firstLine="0"/>
      </w:pPr>
      <w:bookmarkStart w:id="41" w:name="DPS_Order_Schedule_9_-_Security_v1.0"/>
      <w:bookmarkEnd w:id="41"/>
      <w:r w:rsidRPr="00150EDC">
        <w:t>Order</w:t>
      </w:r>
      <w:r w:rsidRPr="00150EDC">
        <w:rPr>
          <w:spacing w:val="-4"/>
        </w:rPr>
        <w:t xml:space="preserve"> </w:t>
      </w:r>
      <w:r w:rsidRPr="00150EDC">
        <w:t>Schedule</w:t>
      </w:r>
      <w:r w:rsidRPr="00150EDC">
        <w:rPr>
          <w:spacing w:val="-4"/>
        </w:rPr>
        <w:t xml:space="preserve"> </w:t>
      </w:r>
      <w:r w:rsidRPr="00150EDC">
        <w:t>9</w:t>
      </w:r>
      <w:r w:rsidRPr="00150EDC">
        <w:rPr>
          <w:spacing w:val="-3"/>
        </w:rPr>
        <w:t xml:space="preserve"> </w:t>
      </w:r>
      <w:r w:rsidRPr="00150EDC">
        <w:rPr>
          <w:spacing w:val="-2"/>
        </w:rPr>
        <w:t>(Security)</w:t>
      </w:r>
    </w:p>
    <w:p w14:paraId="37CDDA8D" w14:textId="77777777" w:rsidR="004C7180" w:rsidRPr="00150EDC" w:rsidRDefault="004C7180">
      <w:pPr>
        <w:pStyle w:val="BodyText"/>
        <w:spacing w:before="11"/>
        <w:rPr>
          <w:b/>
          <w:sz w:val="58"/>
        </w:rPr>
      </w:pPr>
    </w:p>
    <w:p w14:paraId="6F461FB9" w14:textId="77777777" w:rsidR="004C7180" w:rsidRPr="00150EDC" w:rsidRDefault="00CF0754">
      <w:pPr>
        <w:ind w:left="1092"/>
        <w:rPr>
          <w:b/>
          <w:sz w:val="36"/>
        </w:rPr>
      </w:pPr>
      <w:r w:rsidRPr="00150EDC">
        <w:rPr>
          <w:b/>
          <w:sz w:val="36"/>
        </w:rPr>
        <w:t>Part</w:t>
      </w:r>
      <w:r w:rsidRPr="00150EDC">
        <w:rPr>
          <w:b/>
          <w:spacing w:val="-5"/>
          <w:sz w:val="36"/>
        </w:rPr>
        <w:t xml:space="preserve"> </w:t>
      </w:r>
      <w:r w:rsidRPr="00150EDC">
        <w:rPr>
          <w:b/>
          <w:sz w:val="36"/>
        </w:rPr>
        <w:t>A:</w:t>
      </w:r>
      <w:r w:rsidRPr="00150EDC">
        <w:rPr>
          <w:b/>
          <w:spacing w:val="-3"/>
          <w:sz w:val="36"/>
        </w:rPr>
        <w:t xml:space="preserve"> </w:t>
      </w:r>
      <w:r w:rsidRPr="00150EDC">
        <w:rPr>
          <w:b/>
          <w:sz w:val="36"/>
        </w:rPr>
        <w:t>Short</w:t>
      </w:r>
      <w:r w:rsidRPr="00150EDC">
        <w:rPr>
          <w:b/>
          <w:spacing w:val="-2"/>
          <w:sz w:val="36"/>
        </w:rPr>
        <w:t xml:space="preserve"> </w:t>
      </w:r>
      <w:r w:rsidRPr="00150EDC">
        <w:rPr>
          <w:b/>
          <w:sz w:val="36"/>
        </w:rPr>
        <w:t>Form</w:t>
      </w:r>
      <w:r w:rsidRPr="00150EDC">
        <w:rPr>
          <w:b/>
          <w:spacing w:val="-3"/>
          <w:sz w:val="36"/>
        </w:rPr>
        <w:t xml:space="preserve"> </w:t>
      </w:r>
      <w:r w:rsidRPr="00150EDC">
        <w:rPr>
          <w:b/>
          <w:sz w:val="36"/>
        </w:rPr>
        <w:t xml:space="preserve">Security </w:t>
      </w:r>
      <w:r w:rsidRPr="00150EDC">
        <w:rPr>
          <w:b/>
          <w:spacing w:val="-2"/>
          <w:sz w:val="36"/>
        </w:rPr>
        <w:t>Requirements</w:t>
      </w:r>
    </w:p>
    <w:p w14:paraId="703BE780" w14:textId="77777777" w:rsidR="004C7180" w:rsidRPr="00150EDC" w:rsidRDefault="00CF0754" w:rsidP="00B320C7">
      <w:pPr>
        <w:pStyle w:val="Heading4"/>
        <w:numPr>
          <w:ilvl w:val="0"/>
          <w:numId w:val="41"/>
        </w:numPr>
        <w:tabs>
          <w:tab w:val="left" w:pos="2018"/>
        </w:tabs>
        <w:spacing w:before="239"/>
        <w:ind w:left="2018" w:hanging="359"/>
      </w:pPr>
      <w:r w:rsidRPr="00150EDC">
        <w:rPr>
          <w:spacing w:val="-2"/>
        </w:rPr>
        <w:t>Definitions</w:t>
      </w:r>
    </w:p>
    <w:p w14:paraId="452D1DE6" w14:textId="77777777" w:rsidR="004C7180" w:rsidRPr="00150EDC" w:rsidRDefault="004C7180">
      <w:pPr>
        <w:pStyle w:val="BodyText"/>
        <w:spacing w:before="10"/>
        <w:rPr>
          <w:b/>
          <w:sz w:val="20"/>
        </w:rPr>
      </w:pPr>
    </w:p>
    <w:p w14:paraId="6EE0D8E5" w14:textId="77777777" w:rsidR="004C7180" w:rsidRPr="00150EDC" w:rsidRDefault="00CF0754" w:rsidP="00B320C7">
      <w:pPr>
        <w:pStyle w:val="ListParagraph"/>
        <w:numPr>
          <w:ilvl w:val="1"/>
          <w:numId w:val="41"/>
        </w:numPr>
        <w:tabs>
          <w:tab w:val="left" w:pos="2302"/>
        </w:tabs>
        <w:ind w:right="1556"/>
        <w:rPr>
          <w:sz w:val="24"/>
        </w:rPr>
      </w:pPr>
      <w:r w:rsidRPr="00150EDC">
        <w:rPr>
          <w:sz w:val="24"/>
        </w:rPr>
        <w:t>In</w:t>
      </w:r>
      <w:r w:rsidRPr="00150EDC">
        <w:rPr>
          <w:spacing w:val="-3"/>
          <w:sz w:val="24"/>
        </w:rPr>
        <w:t xml:space="preserve"> </w:t>
      </w:r>
      <w:r w:rsidRPr="00150EDC">
        <w:rPr>
          <w:sz w:val="24"/>
        </w:rPr>
        <w:t>this</w:t>
      </w:r>
      <w:r w:rsidRPr="00150EDC">
        <w:rPr>
          <w:spacing w:val="-6"/>
          <w:sz w:val="24"/>
        </w:rPr>
        <w:t xml:space="preserve"> </w:t>
      </w:r>
      <w:r w:rsidRPr="00150EDC">
        <w:rPr>
          <w:sz w:val="24"/>
        </w:rPr>
        <w:t>Schedule,</w:t>
      </w:r>
      <w:r w:rsidRPr="00150EDC">
        <w:rPr>
          <w:spacing w:val="-3"/>
          <w:sz w:val="24"/>
        </w:rPr>
        <w:t xml:space="preserve"> </w:t>
      </w:r>
      <w:r w:rsidRPr="00150EDC">
        <w:rPr>
          <w:sz w:val="24"/>
        </w:rPr>
        <w:t>the</w:t>
      </w:r>
      <w:r w:rsidRPr="00150EDC">
        <w:rPr>
          <w:spacing w:val="-3"/>
          <w:sz w:val="24"/>
        </w:rPr>
        <w:t xml:space="preserve"> </w:t>
      </w:r>
      <w:r w:rsidRPr="00150EDC">
        <w:rPr>
          <w:sz w:val="24"/>
        </w:rPr>
        <w:t>following</w:t>
      </w:r>
      <w:r w:rsidRPr="00150EDC">
        <w:rPr>
          <w:spacing w:val="-3"/>
          <w:sz w:val="24"/>
        </w:rPr>
        <w:t xml:space="preserve"> </w:t>
      </w:r>
      <w:r w:rsidRPr="00150EDC">
        <w:rPr>
          <w:sz w:val="24"/>
        </w:rPr>
        <w:t>words</w:t>
      </w:r>
      <w:r w:rsidRPr="00150EDC">
        <w:rPr>
          <w:spacing w:val="-4"/>
          <w:sz w:val="24"/>
        </w:rPr>
        <w:t xml:space="preserve"> </w:t>
      </w:r>
      <w:r w:rsidRPr="00150EDC">
        <w:rPr>
          <w:sz w:val="24"/>
        </w:rPr>
        <w:t>shall</w:t>
      </w:r>
      <w:r w:rsidRPr="00150EDC">
        <w:rPr>
          <w:spacing w:val="-4"/>
          <w:sz w:val="24"/>
        </w:rPr>
        <w:t xml:space="preserve"> </w:t>
      </w:r>
      <w:r w:rsidRPr="00150EDC">
        <w:rPr>
          <w:sz w:val="24"/>
        </w:rPr>
        <w:t>have</w:t>
      </w:r>
      <w:r w:rsidRPr="00150EDC">
        <w:rPr>
          <w:spacing w:val="-3"/>
          <w:sz w:val="24"/>
        </w:rPr>
        <w:t xml:space="preserve"> </w:t>
      </w:r>
      <w:r w:rsidRPr="00150EDC">
        <w:rPr>
          <w:sz w:val="24"/>
        </w:rPr>
        <w:t>the</w:t>
      </w:r>
      <w:r w:rsidRPr="00150EDC">
        <w:rPr>
          <w:spacing w:val="-3"/>
          <w:sz w:val="24"/>
        </w:rPr>
        <w:t xml:space="preserve"> </w:t>
      </w:r>
      <w:r w:rsidRPr="00150EDC">
        <w:rPr>
          <w:sz w:val="24"/>
        </w:rPr>
        <w:t>following</w:t>
      </w:r>
      <w:r w:rsidRPr="00150EDC">
        <w:rPr>
          <w:spacing w:val="-5"/>
          <w:sz w:val="24"/>
        </w:rPr>
        <w:t xml:space="preserve"> </w:t>
      </w:r>
      <w:r w:rsidRPr="00150EDC">
        <w:rPr>
          <w:sz w:val="24"/>
        </w:rPr>
        <w:t>meanings</w:t>
      </w:r>
      <w:r w:rsidRPr="00150EDC">
        <w:rPr>
          <w:spacing w:val="-4"/>
          <w:sz w:val="24"/>
        </w:rPr>
        <w:t xml:space="preserve"> </w:t>
      </w:r>
      <w:r w:rsidRPr="00150EDC">
        <w:rPr>
          <w:sz w:val="24"/>
        </w:rPr>
        <w:t>and they shall supplement Joint Schedule 1 (Definitions):</w:t>
      </w:r>
    </w:p>
    <w:p w14:paraId="42EDA8F3" w14:textId="77777777" w:rsidR="004C7180" w:rsidRPr="00150EDC" w:rsidRDefault="004C7180">
      <w:pPr>
        <w:pStyle w:val="BodyText"/>
        <w:spacing w:before="1"/>
        <w:rPr>
          <w:sz w:val="11"/>
        </w:rPr>
      </w:pPr>
    </w:p>
    <w:tbl>
      <w:tblPr>
        <w:tblW w:w="0" w:type="auto"/>
        <w:tblInd w:w="2516" w:type="dxa"/>
        <w:tblLayout w:type="fixed"/>
        <w:tblCellMar>
          <w:left w:w="0" w:type="dxa"/>
          <w:right w:w="0" w:type="dxa"/>
        </w:tblCellMar>
        <w:tblLook w:val="01E0" w:firstRow="1" w:lastRow="1" w:firstColumn="1" w:lastColumn="1" w:noHBand="0" w:noVBand="0"/>
      </w:tblPr>
      <w:tblGrid>
        <w:gridCol w:w="2409"/>
        <w:gridCol w:w="5512"/>
      </w:tblGrid>
      <w:tr w:rsidR="004569EE" w:rsidRPr="007D3144" w14:paraId="68DA460A" w14:textId="77777777">
        <w:trPr>
          <w:trHeight w:val="5943"/>
        </w:trPr>
        <w:tc>
          <w:tcPr>
            <w:tcW w:w="2409" w:type="dxa"/>
          </w:tcPr>
          <w:p w14:paraId="32775183" w14:textId="77777777" w:rsidR="004C7180" w:rsidRPr="00150EDC" w:rsidRDefault="00CF0754">
            <w:pPr>
              <w:pStyle w:val="TableParagraph"/>
              <w:spacing w:before="0" w:line="240" w:lineRule="auto"/>
              <w:ind w:left="50" w:right="24" w:firstLine="108"/>
              <w:rPr>
                <w:b/>
                <w:sz w:val="24"/>
              </w:rPr>
            </w:pPr>
            <w:r w:rsidRPr="00150EDC">
              <w:rPr>
                <w:b/>
                <w:sz w:val="24"/>
              </w:rPr>
              <w:t>"Breach</w:t>
            </w:r>
            <w:r w:rsidRPr="00150EDC">
              <w:rPr>
                <w:b/>
                <w:spacing w:val="-17"/>
                <w:sz w:val="24"/>
              </w:rPr>
              <w:t xml:space="preserve"> </w:t>
            </w:r>
            <w:r w:rsidRPr="00150EDC">
              <w:rPr>
                <w:b/>
                <w:sz w:val="24"/>
              </w:rPr>
              <w:t xml:space="preserve">of </w:t>
            </w:r>
            <w:r w:rsidRPr="00150EDC">
              <w:rPr>
                <w:b/>
                <w:spacing w:val="-2"/>
                <w:sz w:val="24"/>
              </w:rPr>
              <w:t>Security"</w:t>
            </w:r>
          </w:p>
        </w:tc>
        <w:tc>
          <w:tcPr>
            <w:tcW w:w="5512" w:type="dxa"/>
          </w:tcPr>
          <w:p w14:paraId="267EE343" w14:textId="77777777" w:rsidR="004C7180" w:rsidRPr="00150EDC" w:rsidRDefault="00CF0754">
            <w:pPr>
              <w:pStyle w:val="TableParagraph"/>
              <w:spacing w:before="0" w:line="268" w:lineRule="exact"/>
              <w:ind w:left="201"/>
              <w:rPr>
                <w:sz w:val="24"/>
              </w:rPr>
            </w:pPr>
            <w:r w:rsidRPr="00150EDC">
              <w:rPr>
                <w:sz w:val="24"/>
              </w:rPr>
              <w:t>the</w:t>
            </w:r>
            <w:r w:rsidRPr="00150EDC">
              <w:rPr>
                <w:spacing w:val="-4"/>
                <w:sz w:val="24"/>
              </w:rPr>
              <w:t xml:space="preserve"> </w:t>
            </w:r>
            <w:r w:rsidRPr="00150EDC">
              <w:rPr>
                <w:sz w:val="24"/>
              </w:rPr>
              <w:t>occurrence</w:t>
            </w:r>
            <w:r w:rsidRPr="00150EDC">
              <w:rPr>
                <w:spacing w:val="-2"/>
                <w:sz w:val="24"/>
              </w:rPr>
              <w:t xml:space="preserve"> </w:t>
            </w:r>
            <w:r w:rsidRPr="00150EDC">
              <w:rPr>
                <w:spacing w:val="-5"/>
                <w:sz w:val="24"/>
              </w:rPr>
              <w:t>of:</w:t>
            </w:r>
          </w:p>
          <w:p w14:paraId="6CE13E8E" w14:textId="77777777" w:rsidR="004C7180" w:rsidRPr="00150EDC" w:rsidRDefault="00CF0754" w:rsidP="00B320C7">
            <w:pPr>
              <w:pStyle w:val="TableParagraph"/>
              <w:numPr>
                <w:ilvl w:val="0"/>
                <w:numId w:val="40"/>
              </w:numPr>
              <w:tabs>
                <w:tab w:val="left" w:pos="921"/>
              </w:tabs>
              <w:spacing w:before="121" w:line="237" w:lineRule="auto"/>
              <w:ind w:right="87"/>
              <w:rPr>
                <w:sz w:val="24"/>
              </w:rPr>
            </w:pPr>
            <w:r w:rsidRPr="00150EDC">
              <w:rPr>
                <w:sz w:val="24"/>
              </w:rPr>
              <w:t>any unauthorised access to or use of the Deliverables, the Sites and/or any Information and Communication Technology ("ICT"), information or data (including</w:t>
            </w:r>
            <w:r w:rsidRPr="00150EDC">
              <w:rPr>
                <w:spacing w:val="-8"/>
                <w:sz w:val="24"/>
              </w:rPr>
              <w:t xml:space="preserve"> </w:t>
            </w:r>
            <w:r w:rsidRPr="00150EDC">
              <w:rPr>
                <w:sz w:val="24"/>
              </w:rPr>
              <w:t>the</w:t>
            </w:r>
            <w:r w:rsidRPr="00150EDC">
              <w:rPr>
                <w:spacing w:val="-8"/>
                <w:sz w:val="24"/>
              </w:rPr>
              <w:t xml:space="preserve"> </w:t>
            </w:r>
            <w:r w:rsidRPr="00150EDC">
              <w:rPr>
                <w:sz w:val="24"/>
              </w:rPr>
              <w:t>Confidential</w:t>
            </w:r>
            <w:r w:rsidRPr="00150EDC">
              <w:rPr>
                <w:spacing w:val="-9"/>
                <w:sz w:val="24"/>
              </w:rPr>
              <w:t xml:space="preserve"> </w:t>
            </w:r>
            <w:r w:rsidRPr="00150EDC">
              <w:rPr>
                <w:sz w:val="24"/>
              </w:rPr>
              <w:t>Information</w:t>
            </w:r>
            <w:r w:rsidRPr="00150EDC">
              <w:rPr>
                <w:spacing w:val="-10"/>
                <w:sz w:val="24"/>
              </w:rPr>
              <w:t xml:space="preserve"> </w:t>
            </w:r>
            <w:r w:rsidRPr="00150EDC">
              <w:rPr>
                <w:sz w:val="24"/>
              </w:rPr>
              <w:t>and the Government Data) used by the Buyer and/or the Supplier in</w:t>
            </w:r>
            <w:r w:rsidRPr="00150EDC">
              <w:rPr>
                <w:spacing w:val="-1"/>
                <w:sz w:val="24"/>
              </w:rPr>
              <w:t xml:space="preserve"> </w:t>
            </w:r>
            <w:r w:rsidRPr="00150EDC">
              <w:rPr>
                <w:sz w:val="24"/>
              </w:rPr>
              <w:t>connection with this Contract; and/or</w:t>
            </w:r>
          </w:p>
          <w:p w14:paraId="1829B6CA" w14:textId="77777777" w:rsidR="004C7180" w:rsidRPr="00150EDC" w:rsidRDefault="00CF0754" w:rsidP="00B320C7">
            <w:pPr>
              <w:pStyle w:val="TableParagraph"/>
              <w:numPr>
                <w:ilvl w:val="0"/>
                <w:numId w:val="40"/>
              </w:numPr>
              <w:tabs>
                <w:tab w:val="left" w:pos="921"/>
              </w:tabs>
              <w:spacing w:before="130" w:line="237" w:lineRule="auto"/>
              <w:ind w:right="48"/>
              <w:rPr>
                <w:sz w:val="24"/>
              </w:rPr>
            </w:pPr>
            <w:r w:rsidRPr="00150EDC">
              <w:rPr>
                <w:sz w:val="24"/>
              </w:rPr>
              <w:t>the loss and/or unauthorised disclosure of any information or data (including the Confidential Information and the Government</w:t>
            </w:r>
            <w:r w:rsidRPr="00150EDC">
              <w:rPr>
                <w:spacing w:val="-6"/>
                <w:sz w:val="24"/>
              </w:rPr>
              <w:t xml:space="preserve"> </w:t>
            </w:r>
            <w:r w:rsidRPr="00150EDC">
              <w:rPr>
                <w:sz w:val="24"/>
              </w:rPr>
              <w:t>Data),</w:t>
            </w:r>
            <w:r w:rsidRPr="00150EDC">
              <w:rPr>
                <w:spacing w:val="-6"/>
                <w:sz w:val="24"/>
              </w:rPr>
              <w:t xml:space="preserve"> </w:t>
            </w:r>
            <w:r w:rsidRPr="00150EDC">
              <w:rPr>
                <w:sz w:val="24"/>
              </w:rPr>
              <w:t>including</w:t>
            </w:r>
            <w:r w:rsidRPr="00150EDC">
              <w:rPr>
                <w:spacing w:val="-8"/>
                <w:sz w:val="24"/>
              </w:rPr>
              <w:t xml:space="preserve"> </w:t>
            </w:r>
            <w:r w:rsidRPr="00150EDC">
              <w:rPr>
                <w:sz w:val="24"/>
              </w:rPr>
              <w:t>any</w:t>
            </w:r>
            <w:r w:rsidRPr="00150EDC">
              <w:rPr>
                <w:spacing w:val="-7"/>
                <w:sz w:val="24"/>
              </w:rPr>
              <w:t xml:space="preserve"> </w:t>
            </w:r>
            <w:r w:rsidRPr="00150EDC">
              <w:rPr>
                <w:sz w:val="24"/>
              </w:rPr>
              <w:t>copies</w:t>
            </w:r>
            <w:r w:rsidRPr="00150EDC">
              <w:rPr>
                <w:spacing w:val="-9"/>
                <w:sz w:val="24"/>
              </w:rPr>
              <w:t xml:space="preserve"> </w:t>
            </w:r>
            <w:r w:rsidRPr="00150EDC">
              <w:rPr>
                <w:sz w:val="24"/>
              </w:rPr>
              <w:t>of such information or data, used by the Buyer and/or the Supplier in connection with this Contract,</w:t>
            </w:r>
          </w:p>
          <w:p w14:paraId="135617C3" w14:textId="0F1DDBDB" w:rsidR="004C7180" w:rsidRPr="00150EDC" w:rsidRDefault="00CF0754">
            <w:pPr>
              <w:pStyle w:val="TableParagraph"/>
              <w:spacing w:before="124" w:line="240" w:lineRule="auto"/>
              <w:ind w:left="201"/>
              <w:rPr>
                <w:sz w:val="24"/>
              </w:rPr>
            </w:pPr>
            <w:r w:rsidRPr="00150EDC">
              <w:rPr>
                <w:sz w:val="24"/>
              </w:rPr>
              <w:t>in</w:t>
            </w:r>
            <w:r w:rsidRPr="00150EDC">
              <w:rPr>
                <w:spacing w:val="-2"/>
                <w:sz w:val="24"/>
              </w:rPr>
              <w:t xml:space="preserve"> </w:t>
            </w:r>
            <w:r w:rsidRPr="00150EDC">
              <w:rPr>
                <w:sz w:val="24"/>
              </w:rPr>
              <w:t>either</w:t>
            </w:r>
            <w:r w:rsidRPr="00150EDC">
              <w:rPr>
                <w:spacing w:val="-4"/>
                <w:sz w:val="24"/>
              </w:rPr>
              <w:t xml:space="preserve"> </w:t>
            </w:r>
            <w:r w:rsidRPr="00150EDC">
              <w:rPr>
                <w:sz w:val="24"/>
              </w:rPr>
              <w:t>case</w:t>
            </w:r>
            <w:r w:rsidRPr="00150EDC">
              <w:rPr>
                <w:spacing w:val="-4"/>
                <w:sz w:val="24"/>
              </w:rPr>
              <w:t xml:space="preserve"> </w:t>
            </w:r>
            <w:r w:rsidRPr="00150EDC">
              <w:rPr>
                <w:sz w:val="24"/>
              </w:rPr>
              <w:t>as</w:t>
            </w:r>
            <w:r w:rsidRPr="00150EDC">
              <w:rPr>
                <w:spacing w:val="-5"/>
                <w:sz w:val="24"/>
              </w:rPr>
              <w:t xml:space="preserve"> </w:t>
            </w:r>
            <w:r w:rsidRPr="00150EDC">
              <w:rPr>
                <w:sz w:val="24"/>
              </w:rPr>
              <w:t>more</w:t>
            </w:r>
            <w:r w:rsidRPr="00150EDC">
              <w:rPr>
                <w:spacing w:val="-4"/>
                <w:sz w:val="24"/>
              </w:rPr>
              <w:t xml:space="preserve"> </w:t>
            </w:r>
            <w:r w:rsidRPr="00150EDC">
              <w:rPr>
                <w:sz w:val="24"/>
              </w:rPr>
              <w:t>particularly</w:t>
            </w:r>
            <w:r w:rsidRPr="00150EDC">
              <w:rPr>
                <w:spacing w:val="-3"/>
                <w:sz w:val="24"/>
              </w:rPr>
              <w:t xml:space="preserve"> </w:t>
            </w:r>
            <w:r w:rsidRPr="00150EDC">
              <w:rPr>
                <w:sz w:val="24"/>
              </w:rPr>
              <w:t>set</w:t>
            </w:r>
            <w:r w:rsidRPr="00150EDC">
              <w:rPr>
                <w:spacing w:val="-5"/>
                <w:sz w:val="24"/>
              </w:rPr>
              <w:t xml:space="preserve"> </w:t>
            </w:r>
            <w:r w:rsidRPr="00150EDC">
              <w:rPr>
                <w:sz w:val="24"/>
              </w:rPr>
              <w:t>out</w:t>
            </w:r>
            <w:r w:rsidRPr="00150EDC">
              <w:rPr>
                <w:spacing w:val="-5"/>
                <w:sz w:val="24"/>
              </w:rPr>
              <w:t xml:space="preserve"> </w:t>
            </w:r>
            <w:r w:rsidRPr="00150EDC">
              <w:rPr>
                <w:sz w:val="24"/>
              </w:rPr>
              <w:t>in</w:t>
            </w:r>
            <w:r w:rsidRPr="00150EDC">
              <w:rPr>
                <w:spacing w:val="-2"/>
                <w:sz w:val="24"/>
              </w:rPr>
              <w:t xml:space="preserve"> </w:t>
            </w:r>
            <w:r w:rsidRPr="00150EDC">
              <w:rPr>
                <w:sz w:val="24"/>
              </w:rPr>
              <w:t xml:space="preserve">the Security </w:t>
            </w:r>
            <w:r w:rsidR="000C2370" w:rsidRPr="00150EDC">
              <w:rPr>
                <w:sz w:val="24"/>
              </w:rPr>
              <w:t xml:space="preserve">requirements </w:t>
            </w:r>
            <w:r w:rsidRPr="00150EDC">
              <w:rPr>
                <w:sz w:val="24"/>
              </w:rPr>
              <w:t xml:space="preserve"> where the Buyer has required compliance therewith in accordance with paragraph 2.2;</w:t>
            </w:r>
          </w:p>
        </w:tc>
      </w:tr>
      <w:tr w:rsidR="004569EE" w:rsidRPr="007D3144" w14:paraId="45D994BC" w14:textId="77777777">
        <w:trPr>
          <w:trHeight w:val="1160"/>
        </w:trPr>
        <w:tc>
          <w:tcPr>
            <w:tcW w:w="2409" w:type="dxa"/>
          </w:tcPr>
          <w:p w14:paraId="18BDE24D" w14:textId="77777777" w:rsidR="004C7180" w:rsidRPr="00150EDC" w:rsidRDefault="00CF0754">
            <w:pPr>
              <w:pStyle w:val="TableParagraph"/>
              <w:spacing w:before="56" w:line="240" w:lineRule="auto"/>
              <w:ind w:left="50" w:right="24" w:firstLine="108"/>
              <w:rPr>
                <w:b/>
                <w:sz w:val="24"/>
              </w:rPr>
            </w:pPr>
            <w:r w:rsidRPr="00150EDC">
              <w:rPr>
                <w:b/>
                <w:spacing w:val="-2"/>
                <w:sz w:val="24"/>
              </w:rPr>
              <w:t xml:space="preserve">"Security </w:t>
            </w:r>
            <w:r w:rsidRPr="00150EDC">
              <w:rPr>
                <w:b/>
                <w:sz w:val="24"/>
              </w:rPr>
              <w:t>Management</w:t>
            </w:r>
            <w:r w:rsidRPr="00150EDC">
              <w:rPr>
                <w:b/>
                <w:spacing w:val="-17"/>
                <w:sz w:val="24"/>
              </w:rPr>
              <w:t xml:space="preserve"> </w:t>
            </w:r>
            <w:r w:rsidRPr="00150EDC">
              <w:rPr>
                <w:b/>
                <w:sz w:val="24"/>
              </w:rPr>
              <w:t>Plan"</w:t>
            </w:r>
          </w:p>
        </w:tc>
        <w:tc>
          <w:tcPr>
            <w:tcW w:w="5512" w:type="dxa"/>
          </w:tcPr>
          <w:p w14:paraId="479F5054" w14:textId="77777777" w:rsidR="004C7180" w:rsidRPr="00150EDC" w:rsidRDefault="00CF0754">
            <w:pPr>
              <w:pStyle w:val="TableParagraph"/>
              <w:spacing w:before="36" w:line="270" w:lineRule="atLeast"/>
              <w:ind w:left="201" w:right="42"/>
              <w:rPr>
                <w:sz w:val="24"/>
              </w:rPr>
            </w:pPr>
            <w:r w:rsidRPr="00150EDC">
              <w:rPr>
                <w:sz w:val="24"/>
              </w:rPr>
              <w:t>the Supplier's security management plan prepared pursuant to this Schedule, a draft of which</w:t>
            </w:r>
            <w:r w:rsidRPr="00150EDC">
              <w:rPr>
                <w:spacing w:val="-4"/>
                <w:sz w:val="24"/>
              </w:rPr>
              <w:t xml:space="preserve"> </w:t>
            </w:r>
            <w:r w:rsidRPr="00150EDC">
              <w:rPr>
                <w:sz w:val="24"/>
              </w:rPr>
              <w:t>has</w:t>
            </w:r>
            <w:r w:rsidRPr="00150EDC">
              <w:rPr>
                <w:spacing w:val="-6"/>
                <w:sz w:val="24"/>
              </w:rPr>
              <w:t xml:space="preserve"> </w:t>
            </w:r>
            <w:r w:rsidRPr="00150EDC">
              <w:rPr>
                <w:sz w:val="24"/>
              </w:rPr>
              <w:t>been</w:t>
            </w:r>
            <w:r w:rsidRPr="00150EDC">
              <w:rPr>
                <w:spacing w:val="-5"/>
                <w:sz w:val="24"/>
              </w:rPr>
              <w:t xml:space="preserve"> </w:t>
            </w:r>
            <w:r w:rsidRPr="00150EDC">
              <w:rPr>
                <w:sz w:val="24"/>
              </w:rPr>
              <w:t>provided</w:t>
            </w:r>
            <w:r w:rsidRPr="00150EDC">
              <w:rPr>
                <w:spacing w:val="-4"/>
                <w:sz w:val="24"/>
              </w:rPr>
              <w:t xml:space="preserve"> </w:t>
            </w:r>
            <w:r w:rsidRPr="00150EDC">
              <w:rPr>
                <w:sz w:val="24"/>
              </w:rPr>
              <w:t>by</w:t>
            </w:r>
            <w:r w:rsidRPr="00150EDC">
              <w:rPr>
                <w:spacing w:val="-6"/>
                <w:sz w:val="24"/>
              </w:rPr>
              <w:t xml:space="preserve"> </w:t>
            </w:r>
            <w:r w:rsidRPr="00150EDC">
              <w:rPr>
                <w:sz w:val="24"/>
              </w:rPr>
              <w:t>the</w:t>
            </w:r>
            <w:r w:rsidRPr="00150EDC">
              <w:rPr>
                <w:spacing w:val="-4"/>
                <w:sz w:val="24"/>
              </w:rPr>
              <w:t xml:space="preserve"> </w:t>
            </w:r>
            <w:r w:rsidRPr="00150EDC">
              <w:rPr>
                <w:sz w:val="24"/>
              </w:rPr>
              <w:t>Supplier</w:t>
            </w:r>
            <w:r w:rsidRPr="00150EDC">
              <w:rPr>
                <w:spacing w:val="-5"/>
                <w:sz w:val="24"/>
              </w:rPr>
              <w:t xml:space="preserve"> </w:t>
            </w:r>
            <w:r w:rsidRPr="00150EDC">
              <w:rPr>
                <w:sz w:val="24"/>
              </w:rPr>
              <w:t>to</w:t>
            </w:r>
            <w:r w:rsidRPr="00150EDC">
              <w:rPr>
                <w:spacing w:val="-4"/>
                <w:sz w:val="24"/>
              </w:rPr>
              <w:t xml:space="preserve"> </w:t>
            </w:r>
            <w:r w:rsidRPr="00150EDC">
              <w:rPr>
                <w:sz w:val="24"/>
              </w:rPr>
              <w:t>the Buyer and as updated from time to time;</w:t>
            </w:r>
          </w:p>
        </w:tc>
      </w:tr>
    </w:tbl>
    <w:p w14:paraId="472BD18E" w14:textId="77777777" w:rsidR="004C7180" w:rsidRPr="00150EDC" w:rsidRDefault="004C7180">
      <w:pPr>
        <w:pStyle w:val="BodyText"/>
        <w:spacing w:before="3"/>
        <w:rPr>
          <w:sz w:val="31"/>
        </w:rPr>
      </w:pPr>
    </w:p>
    <w:p w14:paraId="77130595" w14:textId="77777777" w:rsidR="004C7180" w:rsidRPr="00150EDC" w:rsidRDefault="00CF0754" w:rsidP="00B320C7">
      <w:pPr>
        <w:pStyle w:val="Heading4"/>
        <w:numPr>
          <w:ilvl w:val="0"/>
          <w:numId w:val="41"/>
        </w:numPr>
        <w:tabs>
          <w:tab w:val="left" w:pos="2018"/>
        </w:tabs>
        <w:spacing w:before="1"/>
        <w:ind w:left="2018" w:hanging="359"/>
      </w:pPr>
      <w:r w:rsidRPr="00150EDC">
        <w:t>Complying</w:t>
      </w:r>
      <w:r w:rsidRPr="00150EDC">
        <w:rPr>
          <w:spacing w:val="-4"/>
        </w:rPr>
        <w:t xml:space="preserve"> </w:t>
      </w:r>
      <w:r w:rsidRPr="00150EDC">
        <w:t>with</w:t>
      </w:r>
      <w:r w:rsidRPr="00150EDC">
        <w:rPr>
          <w:spacing w:val="-3"/>
        </w:rPr>
        <w:t xml:space="preserve"> </w:t>
      </w:r>
      <w:r w:rsidRPr="00150EDC">
        <w:t>security</w:t>
      </w:r>
      <w:r w:rsidRPr="00150EDC">
        <w:rPr>
          <w:spacing w:val="-3"/>
        </w:rPr>
        <w:t xml:space="preserve"> </w:t>
      </w:r>
      <w:r w:rsidRPr="00150EDC">
        <w:t>requirements</w:t>
      </w:r>
      <w:r w:rsidRPr="00150EDC">
        <w:rPr>
          <w:spacing w:val="-4"/>
        </w:rPr>
        <w:t xml:space="preserve"> </w:t>
      </w:r>
      <w:r w:rsidRPr="00150EDC">
        <w:t>and</w:t>
      </w:r>
      <w:r w:rsidRPr="00150EDC">
        <w:rPr>
          <w:spacing w:val="-4"/>
        </w:rPr>
        <w:t xml:space="preserve"> </w:t>
      </w:r>
      <w:r w:rsidRPr="00150EDC">
        <w:t>updates</w:t>
      </w:r>
      <w:r w:rsidRPr="00150EDC">
        <w:rPr>
          <w:spacing w:val="-2"/>
        </w:rPr>
        <w:t xml:space="preserve"> </w:t>
      </w:r>
      <w:r w:rsidRPr="00150EDC">
        <w:t>to</w:t>
      </w:r>
      <w:r w:rsidRPr="00150EDC">
        <w:rPr>
          <w:spacing w:val="-3"/>
        </w:rPr>
        <w:t xml:space="preserve"> </w:t>
      </w:r>
      <w:r w:rsidRPr="00150EDC">
        <w:rPr>
          <w:spacing w:val="-4"/>
        </w:rPr>
        <w:t>them</w:t>
      </w:r>
    </w:p>
    <w:p w14:paraId="2FCA0C88" w14:textId="77777777" w:rsidR="004C7180" w:rsidRPr="00150EDC" w:rsidRDefault="004C7180">
      <w:pPr>
        <w:pStyle w:val="BodyText"/>
        <w:spacing w:before="9"/>
        <w:rPr>
          <w:b/>
          <w:sz w:val="20"/>
        </w:rPr>
      </w:pPr>
    </w:p>
    <w:p w14:paraId="754F8A5B" w14:textId="77777777" w:rsidR="004C7180" w:rsidRPr="00150EDC" w:rsidRDefault="00CF0754" w:rsidP="00B320C7">
      <w:pPr>
        <w:pStyle w:val="ListParagraph"/>
        <w:numPr>
          <w:ilvl w:val="1"/>
          <w:numId w:val="41"/>
        </w:numPr>
        <w:tabs>
          <w:tab w:val="left" w:pos="2302"/>
        </w:tabs>
        <w:spacing w:before="1"/>
        <w:ind w:right="1915"/>
        <w:rPr>
          <w:sz w:val="24"/>
        </w:rPr>
      </w:pPr>
      <w:r w:rsidRPr="00150EDC">
        <w:rPr>
          <w:sz w:val="24"/>
        </w:rPr>
        <w:t>The Buyer and the Supplier recognise that, where specified in DPS Schedule</w:t>
      </w:r>
      <w:r w:rsidRPr="00150EDC">
        <w:rPr>
          <w:spacing w:val="-5"/>
          <w:sz w:val="24"/>
        </w:rPr>
        <w:t xml:space="preserve"> </w:t>
      </w:r>
      <w:r w:rsidRPr="00150EDC">
        <w:rPr>
          <w:sz w:val="24"/>
        </w:rPr>
        <w:t>4</w:t>
      </w:r>
      <w:r w:rsidRPr="00150EDC">
        <w:rPr>
          <w:spacing w:val="-3"/>
          <w:sz w:val="24"/>
        </w:rPr>
        <w:t xml:space="preserve"> </w:t>
      </w:r>
      <w:r w:rsidRPr="00150EDC">
        <w:rPr>
          <w:sz w:val="24"/>
        </w:rPr>
        <w:t>(DPS</w:t>
      </w:r>
      <w:r w:rsidRPr="00150EDC">
        <w:rPr>
          <w:spacing w:val="-3"/>
          <w:sz w:val="24"/>
        </w:rPr>
        <w:t xml:space="preserve"> </w:t>
      </w:r>
      <w:r w:rsidRPr="00150EDC">
        <w:rPr>
          <w:sz w:val="24"/>
        </w:rPr>
        <w:t>Management),</w:t>
      </w:r>
      <w:r w:rsidRPr="00150EDC">
        <w:rPr>
          <w:spacing w:val="-3"/>
          <w:sz w:val="24"/>
        </w:rPr>
        <w:t xml:space="preserve"> </w:t>
      </w:r>
      <w:r w:rsidRPr="00150EDC">
        <w:rPr>
          <w:sz w:val="24"/>
        </w:rPr>
        <w:t>CCS</w:t>
      </w:r>
      <w:r w:rsidRPr="00150EDC">
        <w:rPr>
          <w:spacing w:val="-3"/>
          <w:sz w:val="24"/>
        </w:rPr>
        <w:t xml:space="preserve"> </w:t>
      </w:r>
      <w:r w:rsidRPr="00150EDC">
        <w:rPr>
          <w:sz w:val="24"/>
        </w:rPr>
        <w:t>shall</w:t>
      </w:r>
      <w:r w:rsidRPr="00150EDC">
        <w:rPr>
          <w:spacing w:val="-4"/>
          <w:sz w:val="24"/>
        </w:rPr>
        <w:t xml:space="preserve"> </w:t>
      </w:r>
      <w:r w:rsidRPr="00150EDC">
        <w:rPr>
          <w:sz w:val="24"/>
        </w:rPr>
        <w:t>have</w:t>
      </w:r>
      <w:r w:rsidRPr="00150EDC">
        <w:rPr>
          <w:spacing w:val="-3"/>
          <w:sz w:val="24"/>
        </w:rPr>
        <w:t xml:space="preserve"> </w:t>
      </w:r>
      <w:r w:rsidRPr="00150EDC">
        <w:rPr>
          <w:sz w:val="24"/>
        </w:rPr>
        <w:t>the</w:t>
      </w:r>
      <w:r w:rsidRPr="00150EDC">
        <w:rPr>
          <w:spacing w:val="-3"/>
          <w:sz w:val="24"/>
        </w:rPr>
        <w:t xml:space="preserve"> </w:t>
      </w:r>
      <w:r w:rsidRPr="00150EDC">
        <w:rPr>
          <w:sz w:val="24"/>
        </w:rPr>
        <w:t>right</w:t>
      </w:r>
      <w:r w:rsidRPr="00150EDC">
        <w:rPr>
          <w:spacing w:val="-3"/>
          <w:sz w:val="24"/>
        </w:rPr>
        <w:t xml:space="preserve"> </w:t>
      </w:r>
      <w:r w:rsidRPr="00150EDC">
        <w:rPr>
          <w:sz w:val="24"/>
        </w:rPr>
        <w:t>to</w:t>
      </w:r>
      <w:r w:rsidRPr="00150EDC">
        <w:rPr>
          <w:spacing w:val="-5"/>
          <w:sz w:val="24"/>
        </w:rPr>
        <w:t xml:space="preserve"> </w:t>
      </w:r>
      <w:r w:rsidRPr="00150EDC">
        <w:rPr>
          <w:sz w:val="24"/>
        </w:rPr>
        <w:t>enforce</w:t>
      </w:r>
      <w:r w:rsidRPr="00150EDC">
        <w:rPr>
          <w:spacing w:val="-5"/>
          <w:sz w:val="24"/>
        </w:rPr>
        <w:t xml:space="preserve"> </w:t>
      </w:r>
      <w:r w:rsidRPr="00150EDC">
        <w:rPr>
          <w:sz w:val="24"/>
        </w:rPr>
        <w:t>the Buyer's rights under this Schedule.</w:t>
      </w:r>
    </w:p>
    <w:p w14:paraId="077BB3CE" w14:textId="0F7B3085" w:rsidR="004C7180" w:rsidRPr="00150EDC" w:rsidRDefault="00CF0754" w:rsidP="00B320C7">
      <w:pPr>
        <w:pStyle w:val="ListParagraph"/>
        <w:numPr>
          <w:ilvl w:val="1"/>
          <w:numId w:val="41"/>
        </w:numPr>
        <w:tabs>
          <w:tab w:val="left" w:pos="2302"/>
        </w:tabs>
        <w:spacing w:before="120"/>
        <w:ind w:right="1582"/>
        <w:rPr>
          <w:sz w:val="24"/>
        </w:rPr>
      </w:pPr>
      <w:r w:rsidRPr="00150EDC">
        <w:rPr>
          <w:sz w:val="24"/>
        </w:rPr>
        <w:t>The</w:t>
      </w:r>
      <w:r w:rsidRPr="00150EDC">
        <w:rPr>
          <w:spacing w:val="-3"/>
          <w:sz w:val="24"/>
        </w:rPr>
        <w:t xml:space="preserve"> </w:t>
      </w:r>
      <w:r w:rsidRPr="00150EDC">
        <w:rPr>
          <w:sz w:val="24"/>
        </w:rPr>
        <w:t>Supplier</w:t>
      </w:r>
      <w:r w:rsidRPr="00150EDC">
        <w:rPr>
          <w:spacing w:val="-5"/>
          <w:sz w:val="24"/>
        </w:rPr>
        <w:t xml:space="preserve"> </w:t>
      </w:r>
      <w:r w:rsidRPr="00150EDC">
        <w:rPr>
          <w:sz w:val="24"/>
        </w:rPr>
        <w:t>shall</w:t>
      </w:r>
      <w:r w:rsidRPr="00150EDC">
        <w:rPr>
          <w:spacing w:val="-4"/>
          <w:sz w:val="24"/>
        </w:rPr>
        <w:t xml:space="preserve"> </w:t>
      </w:r>
      <w:r w:rsidRPr="00150EDC">
        <w:rPr>
          <w:sz w:val="24"/>
        </w:rPr>
        <w:t>comply</w:t>
      </w:r>
      <w:r w:rsidRPr="00150EDC">
        <w:rPr>
          <w:spacing w:val="-4"/>
          <w:sz w:val="24"/>
        </w:rPr>
        <w:t xml:space="preserve"> </w:t>
      </w:r>
      <w:r w:rsidRPr="00150EDC">
        <w:rPr>
          <w:sz w:val="24"/>
        </w:rPr>
        <w:t>with</w:t>
      </w:r>
      <w:r w:rsidRPr="00150EDC">
        <w:rPr>
          <w:spacing w:val="-3"/>
          <w:sz w:val="24"/>
        </w:rPr>
        <w:t xml:space="preserve"> </w:t>
      </w:r>
      <w:r w:rsidRPr="00150EDC">
        <w:rPr>
          <w:sz w:val="24"/>
        </w:rPr>
        <w:t>the</w:t>
      </w:r>
      <w:r w:rsidRPr="00150EDC">
        <w:rPr>
          <w:spacing w:val="-3"/>
          <w:sz w:val="24"/>
        </w:rPr>
        <w:t xml:space="preserve"> </w:t>
      </w:r>
      <w:r w:rsidRPr="00150EDC">
        <w:rPr>
          <w:sz w:val="24"/>
        </w:rPr>
        <w:t>requirements</w:t>
      </w:r>
      <w:r w:rsidRPr="00150EDC">
        <w:rPr>
          <w:spacing w:val="-4"/>
          <w:sz w:val="24"/>
        </w:rPr>
        <w:t xml:space="preserve"> </w:t>
      </w:r>
      <w:r w:rsidRPr="00150EDC">
        <w:rPr>
          <w:sz w:val="24"/>
        </w:rPr>
        <w:t>in</w:t>
      </w:r>
      <w:r w:rsidRPr="00150EDC">
        <w:rPr>
          <w:spacing w:val="-3"/>
          <w:sz w:val="24"/>
        </w:rPr>
        <w:t xml:space="preserve"> </w:t>
      </w:r>
      <w:r w:rsidRPr="00150EDC">
        <w:rPr>
          <w:sz w:val="24"/>
        </w:rPr>
        <w:t>this</w:t>
      </w:r>
      <w:r w:rsidRPr="00150EDC">
        <w:rPr>
          <w:spacing w:val="-4"/>
          <w:sz w:val="24"/>
        </w:rPr>
        <w:t xml:space="preserve"> </w:t>
      </w:r>
      <w:r w:rsidRPr="00150EDC">
        <w:rPr>
          <w:sz w:val="24"/>
        </w:rPr>
        <w:t>Schedule</w:t>
      </w:r>
      <w:r w:rsidRPr="00150EDC">
        <w:rPr>
          <w:spacing w:val="-3"/>
          <w:sz w:val="24"/>
        </w:rPr>
        <w:t xml:space="preserve"> </w:t>
      </w:r>
      <w:r w:rsidRPr="00150EDC">
        <w:rPr>
          <w:sz w:val="24"/>
        </w:rPr>
        <w:t>in</w:t>
      </w:r>
      <w:r w:rsidRPr="00150EDC">
        <w:rPr>
          <w:spacing w:val="-5"/>
          <w:sz w:val="24"/>
        </w:rPr>
        <w:t xml:space="preserve"> </w:t>
      </w:r>
      <w:r w:rsidRPr="00150EDC">
        <w:rPr>
          <w:sz w:val="24"/>
        </w:rPr>
        <w:t xml:space="preserve">respect of the Security Management Plan. Where specified by a Buyer that has undertaken a Further Competition it shall also comply with </w:t>
      </w:r>
      <w:r w:rsidR="000C2370" w:rsidRPr="00150EDC">
        <w:rPr>
          <w:sz w:val="24"/>
        </w:rPr>
        <w:t>any</w:t>
      </w:r>
      <w:r w:rsidRPr="00150EDC">
        <w:rPr>
          <w:sz w:val="24"/>
        </w:rPr>
        <w:t xml:space="preserve"> </w:t>
      </w:r>
      <w:r w:rsidR="000C2370" w:rsidRPr="00150EDC">
        <w:rPr>
          <w:sz w:val="24"/>
        </w:rPr>
        <w:t xml:space="preserve">requirements expressly as set out under </w:t>
      </w:r>
      <w:r w:rsidRPr="00150EDC">
        <w:rPr>
          <w:sz w:val="24"/>
        </w:rPr>
        <w:t>Security</w:t>
      </w:r>
    </w:p>
    <w:p w14:paraId="2FADAB4C" w14:textId="77777777" w:rsidR="004C7180" w:rsidRPr="00150EDC" w:rsidRDefault="004C7180">
      <w:pPr>
        <w:rPr>
          <w:sz w:val="24"/>
        </w:rPr>
        <w:sectPr w:rsidR="004C7180" w:rsidRPr="00150EDC">
          <w:headerReference w:type="default" r:id="rId83"/>
          <w:footerReference w:type="default" r:id="rId84"/>
          <w:pgSz w:w="11910" w:h="16840"/>
          <w:pgMar w:top="1380" w:right="0" w:bottom="1380" w:left="40" w:header="715" w:footer="1192" w:gutter="0"/>
          <w:pgNumType w:start="1"/>
          <w:cols w:space="720"/>
        </w:sectPr>
      </w:pPr>
    </w:p>
    <w:p w14:paraId="349144B2" w14:textId="77777777" w:rsidR="004C7180" w:rsidRPr="00150EDC" w:rsidRDefault="004C7180">
      <w:pPr>
        <w:pStyle w:val="BodyText"/>
        <w:spacing w:before="1"/>
        <w:rPr>
          <w:sz w:val="12"/>
        </w:rPr>
      </w:pPr>
    </w:p>
    <w:p w14:paraId="44054272" w14:textId="286196D5" w:rsidR="004C7180" w:rsidRPr="00150EDC" w:rsidRDefault="00CF0754">
      <w:pPr>
        <w:pStyle w:val="BodyText"/>
        <w:spacing w:before="92"/>
        <w:ind w:left="2302" w:right="673"/>
      </w:pPr>
      <w:r w:rsidRPr="00150EDC">
        <w:t>Policy</w:t>
      </w:r>
      <w:r w:rsidRPr="00150EDC">
        <w:rPr>
          <w:spacing w:val="-3"/>
        </w:rPr>
        <w:t xml:space="preserve"> </w:t>
      </w:r>
      <w:r w:rsidR="000C2370" w:rsidRPr="00150EDC">
        <w:rPr>
          <w:spacing w:val="-3"/>
        </w:rPr>
        <w:t xml:space="preserve">within DPS Schedule 6 </w:t>
      </w:r>
      <w:r w:rsidRPr="00150EDC">
        <w:t>and</w:t>
      </w:r>
      <w:r w:rsidRPr="00150EDC">
        <w:rPr>
          <w:spacing w:val="-3"/>
        </w:rPr>
        <w:t xml:space="preserve"> </w:t>
      </w:r>
      <w:r w:rsidRPr="00150EDC">
        <w:t>shall</w:t>
      </w:r>
      <w:r w:rsidRPr="00150EDC">
        <w:rPr>
          <w:spacing w:val="-3"/>
        </w:rPr>
        <w:t xml:space="preserve"> </w:t>
      </w:r>
      <w:r w:rsidRPr="00150EDC">
        <w:t>ensure</w:t>
      </w:r>
      <w:r w:rsidRPr="00150EDC">
        <w:rPr>
          <w:spacing w:val="-3"/>
        </w:rPr>
        <w:t xml:space="preserve"> </w:t>
      </w:r>
      <w:r w:rsidRPr="00150EDC">
        <w:t>that</w:t>
      </w:r>
      <w:r w:rsidRPr="00150EDC">
        <w:rPr>
          <w:spacing w:val="-3"/>
        </w:rPr>
        <w:t xml:space="preserve"> </w:t>
      </w:r>
      <w:r w:rsidRPr="00150EDC">
        <w:t>the</w:t>
      </w:r>
      <w:r w:rsidRPr="00150EDC">
        <w:rPr>
          <w:spacing w:val="-3"/>
        </w:rPr>
        <w:t xml:space="preserve"> </w:t>
      </w:r>
      <w:r w:rsidRPr="00150EDC">
        <w:t>Security</w:t>
      </w:r>
      <w:r w:rsidRPr="00150EDC">
        <w:rPr>
          <w:spacing w:val="-3"/>
        </w:rPr>
        <w:t xml:space="preserve"> </w:t>
      </w:r>
      <w:r w:rsidRPr="00150EDC">
        <w:t>Management</w:t>
      </w:r>
      <w:r w:rsidRPr="00150EDC">
        <w:rPr>
          <w:spacing w:val="-5"/>
        </w:rPr>
        <w:t xml:space="preserve"> </w:t>
      </w:r>
      <w:r w:rsidRPr="00150EDC">
        <w:t>Plan</w:t>
      </w:r>
      <w:r w:rsidRPr="00150EDC">
        <w:rPr>
          <w:spacing w:val="-4"/>
        </w:rPr>
        <w:t xml:space="preserve"> </w:t>
      </w:r>
      <w:r w:rsidRPr="00150EDC">
        <w:t>produced</w:t>
      </w:r>
      <w:r w:rsidRPr="00150EDC">
        <w:rPr>
          <w:spacing w:val="-3"/>
        </w:rPr>
        <w:t xml:space="preserve"> </w:t>
      </w:r>
      <w:r w:rsidRPr="00150EDC">
        <w:t>by</w:t>
      </w:r>
      <w:r w:rsidRPr="00150EDC">
        <w:rPr>
          <w:spacing w:val="-5"/>
        </w:rPr>
        <w:t xml:space="preserve"> </w:t>
      </w:r>
      <w:r w:rsidRPr="00150EDC">
        <w:t xml:space="preserve">the Supplier fully complies with </w:t>
      </w:r>
      <w:r w:rsidR="000C2370" w:rsidRPr="00150EDC">
        <w:t xml:space="preserve">such </w:t>
      </w:r>
      <w:r w:rsidRPr="00150EDC">
        <w:t xml:space="preserve"> Security </w:t>
      </w:r>
      <w:r w:rsidR="000C2370" w:rsidRPr="00150EDC">
        <w:t xml:space="preserve">requirements (referred to throughout this Schedule 9 as the Security requirements) </w:t>
      </w:r>
      <w:r w:rsidRPr="00150EDC">
        <w:t>.</w:t>
      </w:r>
    </w:p>
    <w:p w14:paraId="18D2EAD4" w14:textId="7918417C" w:rsidR="004C7180" w:rsidRPr="00150EDC" w:rsidRDefault="00CF0754" w:rsidP="00B320C7">
      <w:pPr>
        <w:pStyle w:val="ListParagraph"/>
        <w:numPr>
          <w:ilvl w:val="1"/>
          <w:numId w:val="41"/>
        </w:numPr>
        <w:tabs>
          <w:tab w:val="left" w:pos="2302"/>
        </w:tabs>
        <w:spacing w:before="120"/>
        <w:ind w:right="1619"/>
        <w:rPr>
          <w:sz w:val="24"/>
        </w:rPr>
      </w:pPr>
      <w:r w:rsidRPr="00150EDC">
        <w:rPr>
          <w:sz w:val="24"/>
        </w:rPr>
        <w:t>Where</w:t>
      </w:r>
      <w:r w:rsidRPr="00150EDC">
        <w:rPr>
          <w:spacing w:val="-4"/>
          <w:sz w:val="24"/>
        </w:rPr>
        <w:t xml:space="preserve"> </w:t>
      </w:r>
      <w:r w:rsidRPr="00150EDC">
        <w:rPr>
          <w:sz w:val="24"/>
        </w:rPr>
        <w:t>the</w:t>
      </w:r>
      <w:r w:rsidRPr="00150EDC">
        <w:rPr>
          <w:spacing w:val="-2"/>
          <w:sz w:val="24"/>
        </w:rPr>
        <w:t xml:space="preserve"> </w:t>
      </w:r>
      <w:r w:rsidRPr="00150EDC">
        <w:rPr>
          <w:sz w:val="24"/>
        </w:rPr>
        <w:t>Security</w:t>
      </w:r>
      <w:r w:rsidRPr="00150EDC">
        <w:rPr>
          <w:spacing w:val="-3"/>
          <w:sz w:val="24"/>
        </w:rPr>
        <w:t xml:space="preserve"> </w:t>
      </w:r>
      <w:r w:rsidR="000C2370" w:rsidRPr="00150EDC">
        <w:rPr>
          <w:sz w:val="24"/>
        </w:rPr>
        <w:t xml:space="preserve">requirements </w:t>
      </w:r>
      <w:r w:rsidRPr="00150EDC">
        <w:rPr>
          <w:spacing w:val="-3"/>
          <w:sz w:val="24"/>
        </w:rPr>
        <w:t xml:space="preserve"> </w:t>
      </w:r>
      <w:r w:rsidRPr="00150EDC">
        <w:rPr>
          <w:sz w:val="24"/>
        </w:rPr>
        <w:t>appl</w:t>
      </w:r>
      <w:r w:rsidR="000C2370" w:rsidRPr="00150EDC">
        <w:rPr>
          <w:sz w:val="24"/>
        </w:rPr>
        <w:t>y</w:t>
      </w:r>
      <w:r w:rsidRPr="00150EDC">
        <w:rPr>
          <w:spacing w:val="-3"/>
          <w:sz w:val="24"/>
        </w:rPr>
        <w:t xml:space="preserve"> </w:t>
      </w:r>
      <w:r w:rsidRPr="00150EDC">
        <w:rPr>
          <w:sz w:val="24"/>
        </w:rPr>
        <w:t>the</w:t>
      </w:r>
      <w:r w:rsidRPr="00150EDC">
        <w:rPr>
          <w:spacing w:val="-4"/>
          <w:sz w:val="24"/>
        </w:rPr>
        <w:t xml:space="preserve"> </w:t>
      </w:r>
      <w:r w:rsidRPr="00150EDC">
        <w:rPr>
          <w:sz w:val="24"/>
        </w:rPr>
        <w:t>Buyer</w:t>
      </w:r>
      <w:r w:rsidRPr="00150EDC">
        <w:rPr>
          <w:spacing w:val="-4"/>
          <w:sz w:val="24"/>
        </w:rPr>
        <w:t xml:space="preserve"> </w:t>
      </w:r>
      <w:r w:rsidRPr="00150EDC">
        <w:rPr>
          <w:sz w:val="24"/>
        </w:rPr>
        <w:t>shall</w:t>
      </w:r>
      <w:r w:rsidRPr="00150EDC">
        <w:rPr>
          <w:spacing w:val="-3"/>
          <w:sz w:val="24"/>
        </w:rPr>
        <w:t xml:space="preserve"> </w:t>
      </w:r>
      <w:r w:rsidRPr="00150EDC">
        <w:rPr>
          <w:sz w:val="24"/>
        </w:rPr>
        <w:t>notify</w:t>
      </w:r>
      <w:r w:rsidRPr="00150EDC">
        <w:rPr>
          <w:spacing w:val="-3"/>
          <w:sz w:val="24"/>
        </w:rPr>
        <w:t xml:space="preserve"> </w:t>
      </w:r>
      <w:r w:rsidRPr="00150EDC">
        <w:rPr>
          <w:sz w:val="24"/>
        </w:rPr>
        <w:t>the</w:t>
      </w:r>
      <w:r w:rsidRPr="00150EDC">
        <w:rPr>
          <w:spacing w:val="-2"/>
          <w:sz w:val="24"/>
        </w:rPr>
        <w:t xml:space="preserve"> </w:t>
      </w:r>
      <w:r w:rsidRPr="00150EDC">
        <w:rPr>
          <w:sz w:val="24"/>
        </w:rPr>
        <w:t>Supplier</w:t>
      </w:r>
      <w:r w:rsidRPr="00150EDC">
        <w:rPr>
          <w:spacing w:val="-6"/>
          <w:sz w:val="24"/>
        </w:rPr>
        <w:t xml:space="preserve"> </w:t>
      </w:r>
      <w:r w:rsidRPr="00150EDC">
        <w:rPr>
          <w:sz w:val="24"/>
        </w:rPr>
        <w:t>of</w:t>
      </w:r>
      <w:r w:rsidRPr="00150EDC">
        <w:rPr>
          <w:spacing w:val="-2"/>
          <w:sz w:val="24"/>
        </w:rPr>
        <w:t xml:space="preserve"> </w:t>
      </w:r>
      <w:r w:rsidRPr="00150EDC">
        <w:rPr>
          <w:sz w:val="24"/>
        </w:rPr>
        <w:t xml:space="preserve">any changes or proposed changes to the Security </w:t>
      </w:r>
      <w:r w:rsidR="000C2370" w:rsidRPr="00150EDC">
        <w:rPr>
          <w:sz w:val="24"/>
        </w:rPr>
        <w:t>requirements</w:t>
      </w:r>
      <w:r w:rsidRPr="00150EDC">
        <w:rPr>
          <w:sz w:val="24"/>
        </w:rPr>
        <w:t>.</w:t>
      </w:r>
    </w:p>
    <w:p w14:paraId="6E879191" w14:textId="3E1E76E4" w:rsidR="004C7180" w:rsidRPr="00150EDC" w:rsidRDefault="00CF0754" w:rsidP="00B320C7">
      <w:pPr>
        <w:pStyle w:val="ListParagraph"/>
        <w:numPr>
          <w:ilvl w:val="1"/>
          <w:numId w:val="41"/>
        </w:numPr>
        <w:tabs>
          <w:tab w:val="left" w:pos="2302"/>
        </w:tabs>
        <w:spacing w:before="121"/>
        <w:ind w:right="1551"/>
        <w:rPr>
          <w:sz w:val="24"/>
        </w:rPr>
      </w:pPr>
      <w:r w:rsidRPr="00150EDC">
        <w:rPr>
          <w:sz w:val="24"/>
        </w:rPr>
        <w:t xml:space="preserve">If the Supplier believes that a change or proposed change to the Security </w:t>
      </w:r>
      <w:r w:rsidR="000C2370" w:rsidRPr="00150EDC">
        <w:rPr>
          <w:sz w:val="24"/>
        </w:rPr>
        <w:t>requirements</w:t>
      </w:r>
      <w:r w:rsidRPr="00150EDC">
        <w:rPr>
          <w:sz w:val="24"/>
        </w:rPr>
        <w:t xml:space="preserve"> will have</w:t>
      </w:r>
      <w:r w:rsidRPr="00150EDC">
        <w:rPr>
          <w:spacing w:val="-1"/>
          <w:sz w:val="24"/>
        </w:rPr>
        <w:t xml:space="preserve"> </w:t>
      </w:r>
      <w:r w:rsidRPr="00150EDC">
        <w:rPr>
          <w:sz w:val="24"/>
        </w:rPr>
        <w:t>a material and</w:t>
      </w:r>
      <w:r w:rsidRPr="00150EDC">
        <w:rPr>
          <w:spacing w:val="-1"/>
          <w:sz w:val="24"/>
        </w:rPr>
        <w:t xml:space="preserve"> </w:t>
      </w:r>
      <w:r w:rsidRPr="00150EDC">
        <w:rPr>
          <w:sz w:val="24"/>
        </w:rPr>
        <w:t>unavoidable cost implication</w:t>
      </w:r>
      <w:r w:rsidRPr="00150EDC">
        <w:rPr>
          <w:spacing w:val="-1"/>
          <w:sz w:val="24"/>
        </w:rPr>
        <w:t xml:space="preserve"> </w:t>
      </w:r>
      <w:r w:rsidRPr="00150EDC">
        <w:rPr>
          <w:sz w:val="24"/>
        </w:rPr>
        <w:t>to</w:t>
      </w:r>
      <w:r w:rsidRPr="00150EDC">
        <w:rPr>
          <w:spacing w:val="-1"/>
          <w:sz w:val="24"/>
        </w:rPr>
        <w:t xml:space="preserve"> </w:t>
      </w:r>
      <w:r w:rsidRPr="00150EDC">
        <w:rPr>
          <w:sz w:val="24"/>
        </w:rPr>
        <w:t>the</w:t>
      </w:r>
      <w:r w:rsidRPr="00150EDC">
        <w:rPr>
          <w:spacing w:val="-1"/>
          <w:sz w:val="24"/>
        </w:rPr>
        <w:t xml:space="preserve"> </w:t>
      </w:r>
      <w:r w:rsidRPr="00150EDC">
        <w:rPr>
          <w:sz w:val="24"/>
        </w:rPr>
        <w:t>provision of the Deliverables it</w:t>
      </w:r>
      <w:r w:rsidRPr="00150EDC">
        <w:rPr>
          <w:spacing w:val="-2"/>
          <w:sz w:val="24"/>
        </w:rPr>
        <w:t xml:space="preserve"> </w:t>
      </w:r>
      <w:r w:rsidRPr="00150EDC">
        <w:rPr>
          <w:sz w:val="24"/>
        </w:rPr>
        <w:t>may propose</w:t>
      </w:r>
      <w:r w:rsidRPr="00150EDC">
        <w:rPr>
          <w:spacing w:val="-1"/>
          <w:sz w:val="24"/>
        </w:rPr>
        <w:t xml:space="preserve"> </w:t>
      </w:r>
      <w:r w:rsidRPr="00150EDC">
        <w:rPr>
          <w:sz w:val="24"/>
        </w:rPr>
        <w:t>a Variation</w:t>
      </w:r>
      <w:r w:rsidRPr="00150EDC">
        <w:rPr>
          <w:spacing w:val="-1"/>
          <w:sz w:val="24"/>
        </w:rPr>
        <w:t xml:space="preserve"> </w:t>
      </w:r>
      <w:r w:rsidRPr="00150EDC">
        <w:rPr>
          <w:sz w:val="24"/>
        </w:rPr>
        <w:t>to the</w:t>
      </w:r>
      <w:r w:rsidRPr="00150EDC">
        <w:rPr>
          <w:spacing w:val="-1"/>
          <w:sz w:val="24"/>
        </w:rPr>
        <w:t xml:space="preserve"> </w:t>
      </w:r>
      <w:r w:rsidRPr="00150EDC">
        <w:rPr>
          <w:sz w:val="24"/>
        </w:rPr>
        <w:t>Buyer.</w:t>
      </w:r>
      <w:r w:rsidRPr="00150EDC">
        <w:rPr>
          <w:spacing w:val="-2"/>
          <w:sz w:val="24"/>
        </w:rPr>
        <w:t xml:space="preserve"> </w:t>
      </w:r>
      <w:r w:rsidRPr="00150EDC">
        <w:rPr>
          <w:sz w:val="24"/>
        </w:rPr>
        <w:t>In</w:t>
      </w:r>
      <w:r w:rsidRPr="00150EDC">
        <w:rPr>
          <w:spacing w:val="-1"/>
          <w:sz w:val="24"/>
        </w:rPr>
        <w:t xml:space="preserve"> </w:t>
      </w:r>
      <w:r w:rsidRPr="00150EDC">
        <w:rPr>
          <w:sz w:val="24"/>
        </w:rPr>
        <w:t>doing</w:t>
      </w:r>
      <w:r w:rsidRPr="00150EDC">
        <w:rPr>
          <w:spacing w:val="-1"/>
          <w:sz w:val="24"/>
        </w:rPr>
        <w:t xml:space="preserve"> </w:t>
      </w:r>
      <w:r w:rsidRPr="00150EDC">
        <w:rPr>
          <w:sz w:val="24"/>
        </w:rPr>
        <w:t>so, the Supplier</w:t>
      </w:r>
      <w:r w:rsidRPr="00150EDC">
        <w:rPr>
          <w:spacing w:val="-5"/>
          <w:sz w:val="24"/>
        </w:rPr>
        <w:t xml:space="preserve"> </w:t>
      </w:r>
      <w:r w:rsidRPr="00150EDC">
        <w:rPr>
          <w:sz w:val="24"/>
        </w:rPr>
        <w:t>must</w:t>
      </w:r>
      <w:r w:rsidRPr="00150EDC">
        <w:rPr>
          <w:spacing w:val="-1"/>
          <w:sz w:val="24"/>
        </w:rPr>
        <w:t xml:space="preserve"> </w:t>
      </w:r>
      <w:r w:rsidRPr="00150EDC">
        <w:rPr>
          <w:sz w:val="24"/>
        </w:rPr>
        <w:t>support</w:t>
      </w:r>
      <w:r w:rsidRPr="00150EDC">
        <w:rPr>
          <w:spacing w:val="-1"/>
          <w:sz w:val="24"/>
        </w:rPr>
        <w:t xml:space="preserve"> </w:t>
      </w:r>
      <w:r w:rsidRPr="00150EDC">
        <w:rPr>
          <w:sz w:val="24"/>
        </w:rPr>
        <w:t>its</w:t>
      </w:r>
      <w:r w:rsidRPr="00150EDC">
        <w:rPr>
          <w:spacing w:val="-2"/>
          <w:sz w:val="24"/>
        </w:rPr>
        <w:t xml:space="preserve"> </w:t>
      </w:r>
      <w:r w:rsidRPr="00150EDC">
        <w:rPr>
          <w:sz w:val="24"/>
        </w:rPr>
        <w:t>request</w:t>
      </w:r>
      <w:r w:rsidRPr="00150EDC">
        <w:rPr>
          <w:spacing w:val="-1"/>
          <w:sz w:val="24"/>
        </w:rPr>
        <w:t xml:space="preserve"> </w:t>
      </w:r>
      <w:r w:rsidRPr="00150EDC">
        <w:rPr>
          <w:sz w:val="24"/>
        </w:rPr>
        <w:t>by</w:t>
      </w:r>
      <w:r w:rsidRPr="00150EDC">
        <w:rPr>
          <w:spacing w:val="-4"/>
          <w:sz w:val="24"/>
        </w:rPr>
        <w:t xml:space="preserve"> </w:t>
      </w:r>
      <w:r w:rsidRPr="00150EDC">
        <w:rPr>
          <w:sz w:val="24"/>
        </w:rPr>
        <w:t>providing</w:t>
      </w:r>
      <w:r w:rsidRPr="00150EDC">
        <w:rPr>
          <w:spacing w:val="-3"/>
          <w:sz w:val="24"/>
        </w:rPr>
        <w:t xml:space="preserve"> </w:t>
      </w:r>
      <w:r w:rsidRPr="00150EDC">
        <w:rPr>
          <w:sz w:val="24"/>
        </w:rPr>
        <w:t>evidence</w:t>
      </w:r>
      <w:r w:rsidRPr="00150EDC">
        <w:rPr>
          <w:spacing w:val="-1"/>
          <w:sz w:val="24"/>
        </w:rPr>
        <w:t xml:space="preserve"> </w:t>
      </w:r>
      <w:r w:rsidRPr="00150EDC">
        <w:rPr>
          <w:sz w:val="24"/>
        </w:rPr>
        <w:t>of</w:t>
      </w:r>
      <w:r w:rsidRPr="00150EDC">
        <w:rPr>
          <w:spacing w:val="-1"/>
          <w:sz w:val="24"/>
        </w:rPr>
        <w:t xml:space="preserve"> </w:t>
      </w:r>
      <w:r w:rsidRPr="00150EDC">
        <w:rPr>
          <w:sz w:val="24"/>
        </w:rPr>
        <w:t>the</w:t>
      </w:r>
      <w:r w:rsidRPr="00150EDC">
        <w:rPr>
          <w:spacing w:val="-1"/>
          <w:sz w:val="24"/>
        </w:rPr>
        <w:t xml:space="preserve"> </w:t>
      </w:r>
      <w:r w:rsidRPr="00150EDC">
        <w:rPr>
          <w:sz w:val="24"/>
        </w:rPr>
        <w:t>cause</w:t>
      </w:r>
      <w:r w:rsidRPr="00150EDC">
        <w:rPr>
          <w:spacing w:val="-3"/>
          <w:sz w:val="24"/>
        </w:rPr>
        <w:t xml:space="preserve"> </w:t>
      </w:r>
      <w:r w:rsidRPr="00150EDC">
        <w:rPr>
          <w:sz w:val="24"/>
        </w:rPr>
        <w:t>of</w:t>
      </w:r>
      <w:r w:rsidRPr="00150EDC">
        <w:rPr>
          <w:spacing w:val="-1"/>
          <w:sz w:val="24"/>
        </w:rPr>
        <w:t xml:space="preserve"> </w:t>
      </w:r>
      <w:r w:rsidRPr="00150EDC">
        <w:rPr>
          <w:sz w:val="24"/>
        </w:rPr>
        <w:t>any increased</w:t>
      </w:r>
      <w:r w:rsidRPr="00150EDC">
        <w:rPr>
          <w:spacing w:val="-3"/>
          <w:sz w:val="24"/>
        </w:rPr>
        <w:t xml:space="preserve"> </w:t>
      </w:r>
      <w:r w:rsidRPr="00150EDC">
        <w:rPr>
          <w:sz w:val="24"/>
        </w:rPr>
        <w:t>costs</w:t>
      </w:r>
      <w:r w:rsidRPr="00150EDC">
        <w:rPr>
          <w:spacing w:val="-4"/>
          <w:sz w:val="24"/>
        </w:rPr>
        <w:t xml:space="preserve"> </w:t>
      </w:r>
      <w:r w:rsidRPr="00150EDC">
        <w:rPr>
          <w:sz w:val="24"/>
        </w:rPr>
        <w:t>and</w:t>
      </w:r>
      <w:r w:rsidRPr="00150EDC">
        <w:rPr>
          <w:spacing w:val="-1"/>
          <w:sz w:val="24"/>
        </w:rPr>
        <w:t xml:space="preserve"> </w:t>
      </w:r>
      <w:r w:rsidRPr="00150EDC">
        <w:rPr>
          <w:sz w:val="24"/>
        </w:rPr>
        <w:t>the</w:t>
      </w:r>
      <w:r w:rsidRPr="00150EDC">
        <w:rPr>
          <w:spacing w:val="-1"/>
          <w:sz w:val="24"/>
        </w:rPr>
        <w:t xml:space="preserve"> </w:t>
      </w:r>
      <w:r w:rsidRPr="00150EDC">
        <w:rPr>
          <w:sz w:val="24"/>
        </w:rPr>
        <w:t>steps</w:t>
      </w:r>
      <w:r w:rsidRPr="00150EDC">
        <w:rPr>
          <w:spacing w:val="-2"/>
          <w:sz w:val="24"/>
        </w:rPr>
        <w:t xml:space="preserve"> </w:t>
      </w:r>
      <w:r w:rsidRPr="00150EDC">
        <w:rPr>
          <w:sz w:val="24"/>
        </w:rPr>
        <w:t>that</w:t>
      </w:r>
      <w:r w:rsidRPr="00150EDC">
        <w:rPr>
          <w:spacing w:val="-1"/>
          <w:sz w:val="24"/>
        </w:rPr>
        <w:t xml:space="preserve"> </w:t>
      </w:r>
      <w:r w:rsidRPr="00150EDC">
        <w:rPr>
          <w:sz w:val="24"/>
        </w:rPr>
        <w:t>it</w:t>
      </w:r>
      <w:r w:rsidRPr="00150EDC">
        <w:rPr>
          <w:spacing w:val="-4"/>
          <w:sz w:val="24"/>
        </w:rPr>
        <w:t xml:space="preserve"> </w:t>
      </w:r>
      <w:r w:rsidRPr="00150EDC">
        <w:rPr>
          <w:sz w:val="24"/>
        </w:rPr>
        <w:t>has</w:t>
      </w:r>
      <w:r w:rsidRPr="00150EDC">
        <w:rPr>
          <w:spacing w:val="-4"/>
          <w:sz w:val="24"/>
        </w:rPr>
        <w:t xml:space="preserve"> </w:t>
      </w:r>
      <w:r w:rsidRPr="00150EDC">
        <w:rPr>
          <w:sz w:val="24"/>
        </w:rPr>
        <w:t>taken</w:t>
      </w:r>
      <w:r w:rsidRPr="00150EDC">
        <w:rPr>
          <w:spacing w:val="-1"/>
          <w:sz w:val="24"/>
        </w:rPr>
        <w:t xml:space="preserve"> </w:t>
      </w:r>
      <w:r w:rsidRPr="00150EDC">
        <w:rPr>
          <w:sz w:val="24"/>
        </w:rPr>
        <w:t>to</w:t>
      </w:r>
      <w:r w:rsidRPr="00150EDC">
        <w:rPr>
          <w:spacing w:val="-3"/>
          <w:sz w:val="24"/>
        </w:rPr>
        <w:t xml:space="preserve"> </w:t>
      </w:r>
      <w:r w:rsidRPr="00150EDC">
        <w:rPr>
          <w:sz w:val="24"/>
        </w:rPr>
        <w:t>mitigate</w:t>
      </w:r>
      <w:r w:rsidRPr="00150EDC">
        <w:rPr>
          <w:spacing w:val="-3"/>
          <w:sz w:val="24"/>
        </w:rPr>
        <w:t xml:space="preserve"> </w:t>
      </w:r>
      <w:r w:rsidRPr="00150EDC">
        <w:rPr>
          <w:sz w:val="24"/>
        </w:rPr>
        <w:t>those</w:t>
      </w:r>
      <w:r w:rsidRPr="00150EDC">
        <w:rPr>
          <w:spacing w:val="-1"/>
          <w:sz w:val="24"/>
        </w:rPr>
        <w:t xml:space="preserve"> </w:t>
      </w:r>
      <w:r w:rsidRPr="00150EDC">
        <w:rPr>
          <w:sz w:val="24"/>
        </w:rPr>
        <w:t>costs.</w:t>
      </w:r>
      <w:r w:rsidRPr="00150EDC">
        <w:rPr>
          <w:spacing w:val="40"/>
          <w:sz w:val="24"/>
        </w:rPr>
        <w:t xml:space="preserve"> </w:t>
      </w:r>
      <w:r w:rsidRPr="00150EDC">
        <w:rPr>
          <w:sz w:val="24"/>
        </w:rPr>
        <w:t>Any change to the Charges shall be subject to the Variation Procedure.</w:t>
      </w:r>
    </w:p>
    <w:p w14:paraId="61E85D9C" w14:textId="77777777" w:rsidR="004C7180" w:rsidRPr="00150EDC" w:rsidRDefault="00CF0754" w:rsidP="00B320C7">
      <w:pPr>
        <w:pStyle w:val="ListParagraph"/>
        <w:numPr>
          <w:ilvl w:val="1"/>
          <w:numId w:val="41"/>
        </w:numPr>
        <w:tabs>
          <w:tab w:val="left" w:pos="2302"/>
        </w:tabs>
        <w:spacing w:before="120"/>
        <w:ind w:right="1769"/>
        <w:rPr>
          <w:sz w:val="24"/>
        </w:rPr>
      </w:pPr>
      <w:r w:rsidRPr="00150EDC">
        <w:rPr>
          <w:sz w:val="24"/>
        </w:rPr>
        <w:t>Until and/or unless a change to the Charges is agreed by the Buyer pursuant</w:t>
      </w:r>
      <w:r w:rsidRPr="00150EDC">
        <w:rPr>
          <w:spacing w:val="-3"/>
          <w:sz w:val="24"/>
        </w:rPr>
        <w:t xml:space="preserve"> </w:t>
      </w:r>
      <w:r w:rsidRPr="00150EDC">
        <w:rPr>
          <w:sz w:val="24"/>
        </w:rPr>
        <w:t>to</w:t>
      </w:r>
      <w:r w:rsidRPr="00150EDC">
        <w:rPr>
          <w:spacing w:val="-3"/>
          <w:sz w:val="24"/>
        </w:rPr>
        <w:t xml:space="preserve"> </w:t>
      </w:r>
      <w:r w:rsidRPr="00150EDC">
        <w:rPr>
          <w:sz w:val="24"/>
        </w:rPr>
        <w:t>the</w:t>
      </w:r>
      <w:r w:rsidRPr="00150EDC">
        <w:rPr>
          <w:spacing w:val="-3"/>
          <w:sz w:val="24"/>
        </w:rPr>
        <w:t xml:space="preserve"> </w:t>
      </w:r>
      <w:r w:rsidRPr="00150EDC">
        <w:rPr>
          <w:sz w:val="24"/>
        </w:rPr>
        <w:t>Variation</w:t>
      </w:r>
      <w:r w:rsidRPr="00150EDC">
        <w:rPr>
          <w:spacing w:val="-3"/>
          <w:sz w:val="24"/>
        </w:rPr>
        <w:t xml:space="preserve"> </w:t>
      </w:r>
      <w:r w:rsidRPr="00150EDC">
        <w:rPr>
          <w:sz w:val="24"/>
        </w:rPr>
        <w:t>Procedure</w:t>
      </w:r>
      <w:r w:rsidRPr="00150EDC">
        <w:rPr>
          <w:spacing w:val="-3"/>
          <w:sz w:val="24"/>
        </w:rPr>
        <w:t xml:space="preserve"> </w:t>
      </w:r>
      <w:r w:rsidRPr="00150EDC">
        <w:rPr>
          <w:sz w:val="24"/>
        </w:rPr>
        <w:t>the</w:t>
      </w:r>
      <w:r w:rsidRPr="00150EDC">
        <w:rPr>
          <w:spacing w:val="-3"/>
          <w:sz w:val="24"/>
        </w:rPr>
        <w:t xml:space="preserve"> </w:t>
      </w:r>
      <w:r w:rsidRPr="00150EDC">
        <w:rPr>
          <w:sz w:val="24"/>
        </w:rPr>
        <w:t>Supplier</w:t>
      </w:r>
      <w:r w:rsidRPr="00150EDC">
        <w:rPr>
          <w:spacing w:val="-5"/>
          <w:sz w:val="24"/>
        </w:rPr>
        <w:t xml:space="preserve"> </w:t>
      </w:r>
      <w:r w:rsidRPr="00150EDC">
        <w:rPr>
          <w:sz w:val="24"/>
        </w:rPr>
        <w:t>shall</w:t>
      </w:r>
      <w:r w:rsidRPr="00150EDC">
        <w:rPr>
          <w:spacing w:val="-4"/>
          <w:sz w:val="24"/>
        </w:rPr>
        <w:t xml:space="preserve"> </w:t>
      </w:r>
      <w:r w:rsidRPr="00150EDC">
        <w:rPr>
          <w:sz w:val="24"/>
        </w:rPr>
        <w:t>continue</w:t>
      </w:r>
      <w:r w:rsidRPr="00150EDC">
        <w:rPr>
          <w:spacing w:val="-3"/>
          <w:sz w:val="24"/>
        </w:rPr>
        <w:t xml:space="preserve"> </w:t>
      </w:r>
      <w:r w:rsidRPr="00150EDC">
        <w:rPr>
          <w:sz w:val="24"/>
        </w:rPr>
        <w:t>to</w:t>
      </w:r>
      <w:r w:rsidRPr="00150EDC">
        <w:rPr>
          <w:spacing w:val="-5"/>
          <w:sz w:val="24"/>
        </w:rPr>
        <w:t xml:space="preserve"> </w:t>
      </w:r>
      <w:r w:rsidRPr="00150EDC">
        <w:rPr>
          <w:sz w:val="24"/>
        </w:rPr>
        <w:t>provide the Deliverables in accordance with its existing obligations.</w:t>
      </w:r>
    </w:p>
    <w:p w14:paraId="2A5C2647" w14:textId="77777777" w:rsidR="004C7180" w:rsidRPr="00150EDC" w:rsidRDefault="004C7180">
      <w:pPr>
        <w:pStyle w:val="BodyText"/>
        <w:spacing w:before="10"/>
        <w:rPr>
          <w:sz w:val="20"/>
        </w:rPr>
      </w:pPr>
    </w:p>
    <w:p w14:paraId="2C354E42" w14:textId="77777777" w:rsidR="004C7180" w:rsidRPr="00150EDC" w:rsidRDefault="00CF0754" w:rsidP="00B320C7">
      <w:pPr>
        <w:pStyle w:val="Heading4"/>
        <w:numPr>
          <w:ilvl w:val="0"/>
          <w:numId w:val="41"/>
        </w:numPr>
        <w:tabs>
          <w:tab w:val="left" w:pos="2018"/>
        </w:tabs>
        <w:ind w:left="2018" w:hanging="359"/>
      </w:pPr>
      <w:r w:rsidRPr="00150EDC">
        <w:t>Security</w:t>
      </w:r>
      <w:r w:rsidRPr="00150EDC">
        <w:rPr>
          <w:spacing w:val="-1"/>
        </w:rPr>
        <w:t xml:space="preserve"> </w:t>
      </w:r>
      <w:r w:rsidRPr="00150EDC">
        <w:rPr>
          <w:spacing w:val="-2"/>
        </w:rPr>
        <w:t>Standards</w:t>
      </w:r>
    </w:p>
    <w:p w14:paraId="1407F300" w14:textId="77777777" w:rsidR="004C7180" w:rsidRPr="00150EDC" w:rsidRDefault="004C7180">
      <w:pPr>
        <w:pStyle w:val="BodyText"/>
        <w:spacing w:before="10"/>
        <w:rPr>
          <w:b/>
          <w:sz w:val="20"/>
        </w:rPr>
      </w:pPr>
    </w:p>
    <w:p w14:paraId="1002033F" w14:textId="77777777" w:rsidR="004C7180" w:rsidRPr="00150EDC" w:rsidRDefault="00CF0754" w:rsidP="00B320C7">
      <w:pPr>
        <w:pStyle w:val="ListParagraph"/>
        <w:numPr>
          <w:ilvl w:val="1"/>
          <w:numId w:val="41"/>
        </w:numPr>
        <w:tabs>
          <w:tab w:val="left" w:pos="2302"/>
        </w:tabs>
        <w:ind w:right="1462"/>
        <w:rPr>
          <w:sz w:val="24"/>
        </w:rPr>
      </w:pPr>
      <w:r w:rsidRPr="00150EDC">
        <w:rPr>
          <w:sz w:val="24"/>
        </w:rPr>
        <w:t>The Supplier acknowledges that the Buyer places great emphasis on the reliability</w:t>
      </w:r>
      <w:r w:rsidRPr="00150EDC">
        <w:rPr>
          <w:spacing w:val="-5"/>
          <w:sz w:val="24"/>
        </w:rPr>
        <w:t xml:space="preserve"> </w:t>
      </w:r>
      <w:r w:rsidRPr="00150EDC">
        <w:rPr>
          <w:sz w:val="24"/>
        </w:rPr>
        <w:t>of</w:t>
      </w:r>
      <w:r w:rsidRPr="00150EDC">
        <w:rPr>
          <w:spacing w:val="-4"/>
          <w:sz w:val="24"/>
        </w:rPr>
        <w:t xml:space="preserve"> </w:t>
      </w:r>
      <w:r w:rsidRPr="00150EDC">
        <w:rPr>
          <w:sz w:val="24"/>
        </w:rPr>
        <w:t>the</w:t>
      </w:r>
      <w:r w:rsidRPr="00150EDC">
        <w:rPr>
          <w:spacing w:val="-5"/>
          <w:sz w:val="24"/>
        </w:rPr>
        <w:t xml:space="preserve"> </w:t>
      </w:r>
      <w:r w:rsidRPr="00150EDC">
        <w:rPr>
          <w:sz w:val="24"/>
        </w:rPr>
        <w:t>performance</w:t>
      </w:r>
      <w:r w:rsidRPr="00150EDC">
        <w:rPr>
          <w:spacing w:val="-4"/>
          <w:sz w:val="24"/>
        </w:rPr>
        <w:t xml:space="preserve"> </w:t>
      </w:r>
      <w:r w:rsidRPr="00150EDC">
        <w:rPr>
          <w:sz w:val="24"/>
        </w:rPr>
        <w:t>of</w:t>
      </w:r>
      <w:r w:rsidRPr="00150EDC">
        <w:rPr>
          <w:spacing w:val="-4"/>
          <w:sz w:val="24"/>
        </w:rPr>
        <w:t xml:space="preserve"> </w:t>
      </w:r>
      <w:r w:rsidRPr="00150EDC">
        <w:rPr>
          <w:sz w:val="24"/>
        </w:rPr>
        <w:t>the</w:t>
      </w:r>
      <w:r w:rsidRPr="00150EDC">
        <w:rPr>
          <w:spacing w:val="-4"/>
          <w:sz w:val="24"/>
        </w:rPr>
        <w:t xml:space="preserve"> </w:t>
      </w:r>
      <w:r w:rsidRPr="00150EDC">
        <w:rPr>
          <w:sz w:val="24"/>
        </w:rPr>
        <w:t>Deliverables,</w:t>
      </w:r>
      <w:r w:rsidRPr="00150EDC">
        <w:rPr>
          <w:spacing w:val="-4"/>
          <w:sz w:val="24"/>
        </w:rPr>
        <w:t xml:space="preserve"> </w:t>
      </w:r>
      <w:r w:rsidRPr="00150EDC">
        <w:rPr>
          <w:sz w:val="24"/>
        </w:rPr>
        <w:t>confidentiality,</w:t>
      </w:r>
      <w:r w:rsidRPr="00150EDC">
        <w:rPr>
          <w:spacing w:val="-4"/>
          <w:sz w:val="24"/>
        </w:rPr>
        <w:t xml:space="preserve"> </w:t>
      </w:r>
      <w:r w:rsidRPr="00150EDC">
        <w:rPr>
          <w:sz w:val="24"/>
        </w:rPr>
        <w:t>integrity</w:t>
      </w:r>
      <w:r w:rsidRPr="00150EDC">
        <w:rPr>
          <w:spacing w:val="-5"/>
          <w:sz w:val="24"/>
        </w:rPr>
        <w:t xml:space="preserve"> </w:t>
      </w:r>
      <w:r w:rsidRPr="00150EDC">
        <w:rPr>
          <w:sz w:val="24"/>
        </w:rPr>
        <w:t>and availability of information and consequently on security.</w:t>
      </w:r>
    </w:p>
    <w:p w14:paraId="38433CDD" w14:textId="77777777" w:rsidR="004C7180" w:rsidRPr="00150EDC" w:rsidRDefault="00CF0754" w:rsidP="00B320C7">
      <w:pPr>
        <w:pStyle w:val="ListParagraph"/>
        <w:numPr>
          <w:ilvl w:val="1"/>
          <w:numId w:val="41"/>
        </w:numPr>
        <w:tabs>
          <w:tab w:val="left" w:pos="2302"/>
        </w:tabs>
        <w:spacing w:before="120"/>
        <w:ind w:right="1753"/>
        <w:rPr>
          <w:sz w:val="24"/>
        </w:rPr>
      </w:pPr>
      <w:r w:rsidRPr="00150EDC">
        <w:rPr>
          <w:sz w:val="24"/>
        </w:rPr>
        <w:t>The Supplier shall be responsible for the effective performance of its security</w:t>
      </w:r>
      <w:r w:rsidRPr="00150EDC">
        <w:rPr>
          <w:spacing w:val="-2"/>
          <w:sz w:val="24"/>
        </w:rPr>
        <w:t xml:space="preserve"> </w:t>
      </w:r>
      <w:r w:rsidRPr="00150EDC">
        <w:rPr>
          <w:sz w:val="24"/>
        </w:rPr>
        <w:t>obligations</w:t>
      </w:r>
      <w:r w:rsidRPr="00150EDC">
        <w:rPr>
          <w:spacing w:val="-4"/>
          <w:sz w:val="24"/>
        </w:rPr>
        <w:t xml:space="preserve"> </w:t>
      </w:r>
      <w:r w:rsidRPr="00150EDC">
        <w:rPr>
          <w:sz w:val="24"/>
        </w:rPr>
        <w:t>and</w:t>
      </w:r>
      <w:r w:rsidRPr="00150EDC">
        <w:rPr>
          <w:spacing w:val="-1"/>
          <w:sz w:val="24"/>
        </w:rPr>
        <w:t xml:space="preserve"> </w:t>
      </w:r>
      <w:r w:rsidRPr="00150EDC">
        <w:rPr>
          <w:sz w:val="24"/>
        </w:rPr>
        <w:t>shall</w:t>
      </w:r>
      <w:r w:rsidRPr="00150EDC">
        <w:rPr>
          <w:spacing w:val="-5"/>
          <w:sz w:val="24"/>
        </w:rPr>
        <w:t xml:space="preserve"> </w:t>
      </w:r>
      <w:r w:rsidRPr="00150EDC">
        <w:rPr>
          <w:sz w:val="24"/>
        </w:rPr>
        <w:t>at</w:t>
      </w:r>
      <w:r w:rsidRPr="00150EDC">
        <w:rPr>
          <w:spacing w:val="-1"/>
          <w:sz w:val="24"/>
        </w:rPr>
        <w:t xml:space="preserve"> </w:t>
      </w:r>
      <w:r w:rsidRPr="00150EDC">
        <w:rPr>
          <w:sz w:val="24"/>
        </w:rPr>
        <w:t>all</w:t>
      </w:r>
      <w:r w:rsidRPr="00150EDC">
        <w:rPr>
          <w:spacing w:val="-2"/>
          <w:sz w:val="24"/>
        </w:rPr>
        <w:t xml:space="preserve"> </w:t>
      </w:r>
      <w:r w:rsidRPr="00150EDC">
        <w:rPr>
          <w:sz w:val="24"/>
        </w:rPr>
        <w:t>times</w:t>
      </w:r>
      <w:r w:rsidRPr="00150EDC">
        <w:rPr>
          <w:spacing w:val="-4"/>
          <w:sz w:val="24"/>
        </w:rPr>
        <w:t xml:space="preserve"> </w:t>
      </w:r>
      <w:r w:rsidRPr="00150EDC">
        <w:rPr>
          <w:sz w:val="24"/>
        </w:rPr>
        <w:t>provide</w:t>
      </w:r>
      <w:r w:rsidRPr="00150EDC">
        <w:rPr>
          <w:spacing w:val="-1"/>
          <w:sz w:val="24"/>
        </w:rPr>
        <w:t xml:space="preserve"> </w:t>
      </w:r>
      <w:r w:rsidRPr="00150EDC">
        <w:rPr>
          <w:sz w:val="24"/>
        </w:rPr>
        <w:t>a</w:t>
      </w:r>
      <w:r w:rsidRPr="00150EDC">
        <w:rPr>
          <w:spacing w:val="-1"/>
          <w:sz w:val="24"/>
        </w:rPr>
        <w:t xml:space="preserve"> </w:t>
      </w:r>
      <w:r w:rsidRPr="00150EDC">
        <w:rPr>
          <w:sz w:val="24"/>
        </w:rPr>
        <w:t>level</w:t>
      </w:r>
      <w:r w:rsidRPr="00150EDC">
        <w:rPr>
          <w:spacing w:val="-2"/>
          <w:sz w:val="24"/>
        </w:rPr>
        <w:t xml:space="preserve"> </w:t>
      </w:r>
      <w:r w:rsidRPr="00150EDC">
        <w:rPr>
          <w:sz w:val="24"/>
        </w:rPr>
        <w:t>of</w:t>
      </w:r>
      <w:r w:rsidRPr="00150EDC">
        <w:rPr>
          <w:spacing w:val="-4"/>
          <w:sz w:val="24"/>
        </w:rPr>
        <w:t xml:space="preserve"> </w:t>
      </w:r>
      <w:r w:rsidRPr="00150EDC">
        <w:rPr>
          <w:sz w:val="24"/>
        </w:rPr>
        <w:t>security</w:t>
      </w:r>
      <w:r w:rsidRPr="00150EDC">
        <w:rPr>
          <w:spacing w:val="-4"/>
          <w:sz w:val="24"/>
        </w:rPr>
        <w:t xml:space="preserve"> </w:t>
      </w:r>
      <w:r w:rsidRPr="00150EDC">
        <w:rPr>
          <w:sz w:val="24"/>
        </w:rPr>
        <w:t>which:</w:t>
      </w:r>
    </w:p>
    <w:p w14:paraId="0682ADE0" w14:textId="77777777" w:rsidR="004C7180" w:rsidRPr="00150EDC" w:rsidRDefault="00CF0754" w:rsidP="00B320C7">
      <w:pPr>
        <w:pStyle w:val="ListParagraph"/>
        <w:numPr>
          <w:ilvl w:val="2"/>
          <w:numId w:val="41"/>
        </w:numPr>
        <w:tabs>
          <w:tab w:val="left" w:pos="3277"/>
        </w:tabs>
        <w:spacing w:before="120"/>
        <w:ind w:left="3277" w:hanging="718"/>
        <w:rPr>
          <w:sz w:val="24"/>
        </w:rPr>
      </w:pPr>
      <w:r w:rsidRPr="00150EDC">
        <w:rPr>
          <w:sz w:val="24"/>
        </w:rPr>
        <w:t>is</w:t>
      </w:r>
      <w:r w:rsidRPr="00150EDC">
        <w:rPr>
          <w:spacing w:val="-2"/>
          <w:sz w:val="24"/>
        </w:rPr>
        <w:t xml:space="preserve"> </w:t>
      </w:r>
      <w:r w:rsidRPr="00150EDC">
        <w:rPr>
          <w:sz w:val="24"/>
        </w:rPr>
        <w:t>in</w:t>
      </w:r>
      <w:r w:rsidRPr="00150EDC">
        <w:rPr>
          <w:spacing w:val="-1"/>
          <w:sz w:val="24"/>
        </w:rPr>
        <w:t xml:space="preserve"> </w:t>
      </w:r>
      <w:r w:rsidRPr="00150EDC">
        <w:rPr>
          <w:sz w:val="24"/>
        </w:rPr>
        <w:t>accordance</w:t>
      </w:r>
      <w:r w:rsidRPr="00150EDC">
        <w:rPr>
          <w:spacing w:val="-3"/>
          <w:sz w:val="24"/>
        </w:rPr>
        <w:t xml:space="preserve"> </w:t>
      </w:r>
      <w:r w:rsidRPr="00150EDC">
        <w:rPr>
          <w:sz w:val="24"/>
        </w:rPr>
        <w:t>with</w:t>
      </w:r>
      <w:r w:rsidRPr="00150EDC">
        <w:rPr>
          <w:spacing w:val="-1"/>
          <w:sz w:val="24"/>
        </w:rPr>
        <w:t xml:space="preserve"> </w:t>
      </w:r>
      <w:r w:rsidRPr="00150EDC">
        <w:rPr>
          <w:sz w:val="24"/>
        </w:rPr>
        <w:t>the</w:t>
      </w:r>
      <w:r w:rsidRPr="00150EDC">
        <w:rPr>
          <w:spacing w:val="-1"/>
          <w:sz w:val="24"/>
        </w:rPr>
        <w:t xml:space="preserve"> </w:t>
      </w:r>
      <w:r w:rsidRPr="00150EDC">
        <w:rPr>
          <w:sz w:val="24"/>
        </w:rPr>
        <w:t>Law</w:t>
      </w:r>
      <w:r w:rsidRPr="00150EDC">
        <w:rPr>
          <w:spacing w:val="-2"/>
          <w:sz w:val="24"/>
        </w:rPr>
        <w:t xml:space="preserve"> </w:t>
      </w:r>
      <w:r w:rsidRPr="00150EDC">
        <w:rPr>
          <w:sz w:val="24"/>
        </w:rPr>
        <w:t>and</w:t>
      </w:r>
      <w:r w:rsidRPr="00150EDC">
        <w:rPr>
          <w:spacing w:val="-2"/>
          <w:sz w:val="24"/>
        </w:rPr>
        <w:t xml:space="preserve"> </w:t>
      </w:r>
      <w:r w:rsidRPr="00150EDC">
        <w:rPr>
          <w:sz w:val="24"/>
        </w:rPr>
        <w:t>this</w:t>
      </w:r>
      <w:r w:rsidRPr="00150EDC">
        <w:rPr>
          <w:spacing w:val="-1"/>
          <w:sz w:val="24"/>
        </w:rPr>
        <w:t xml:space="preserve"> </w:t>
      </w:r>
      <w:r w:rsidRPr="00150EDC">
        <w:rPr>
          <w:spacing w:val="-2"/>
          <w:sz w:val="24"/>
        </w:rPr>
        <w:t>Contract;</w:t>
      </w:r>
    </w:p>
    <w:p w14:paraId="5E5517B5" w14:textId="77777777" w:rsidR="004C7180" w:rsidRPr="00150EDC" w:rsidRDefault="00CF0754" w:rsidP="00B320C7">
      <w:pPr>
        <w:pStyle w:val="ListParagraph"/>
        <w:numPr>
          <w:ilvl w:val="2"/>
          <w:numId w:val="41"/>
        </w:numPr>
        <w:tabs>
          <w:tab w:val="left" w:pos="3277"/>
        </w:tabs>
        <w:spacing w:before="120"/>
        <w:ind w:left="3277" w:hanging="718"/>
        <w:rPr>
          <w:sz w:val="24"/>
        </w:rPr>
      </w:pPr>
      <w:r w:rsidRPr="00150EDC">
        <w:rPr>
          <w:sz w:val="24"/>
        </w:rPr>
        <w:t>as</w:t>
      </w:r>
      <w:r w:rsidRPr="00150EDC">
        <w:rPr>
          <w:spacing w:val="-5"/>
          <w:sz w:val="24"/>
        </w:rPr>
        <w:t xml:space="preserve"> </w:t>
      </w:r>
      <w:r w:rsidRPr="00150EDC">
        <w:rPr>
          <w:sz w:val="24"/>
        </w:rPr>
        <w:t>a</w:t>
      </w:r>
      <w:r w:rsidRPr="00150EDC">
        <w:rPr>
          <w:spacing w:val="-3"/>
          <w:sz w:val="24"/>
        </w:rPr>
        <w:t xml:space="preserve"> </w:t>
      </w:r>
      <w:r w:rsidRPr="00150EDC">
        <w:rPr>
          <w:sz w:val="24"/>
        </w:rPr>
        <w:t>minimum</w:t>
      </w:r>
      <w:r w:rsidRPr="00150EDC">
        <w:rPr>
          <w:spacing w:val="-1"/>
          <w:sz w:val="24"/>
        </w:rPr>
        <w:t xml:space="preserve"> </w:t>
      </w:r>
      <w:r w:rsidRPr="00150EDC">
        <w:rPr>
          <w:sz w:val="24"/>
        </w:rPr>
        <w:t>demonstrates</w:t>
      </w:r>
      <w:r w:rsidRPr="00150EDC">
        <w:rPr>
          <w:spacing w:val="-3"/>
          <w:sz w:val="24"/>
        </w:rPr>
        <w:t xml:space="preserve"> </w:t>
      </w:r>
      <w:r w:rsidRPr="00150EDC">
        <w:rPr>
          <w:sz w:val="24"/>
        </w:rPr>
        <w:t>Good</w:t>
      </w:r>
      <w:r w:rsidRPr="00150EDC">
        <w:rPr>
          <w:spacing w:val="-3"/>
          <w:sz w:val="24"/>
        </w:rPr>
        <w:t xml:space="preserve"> </w:t>
      </w:r>
      <w:r w:rsidRPr="00150EDC">
        <w:rPr>
          <w:sz w:val="24"/>
        </w:rPr>
        <w:t>Industry</w:t>
      </w:r>
      <w:r w:rsidRPr="00150EDC">
        <w:rPr>
          <w:spacing w:val="-2"/>
          <w:sz w:val="24"/>
        </w:rPr>
        <w:t xml:space="preserve"> Practice;</w:t>
      </w:r>
    </w:p>
    <w:p w14:paraId="017B507A" w14:textId="77777777" w:rsidR="004C7180" w:rsidRPr="00150EDC" w:rsidRDefault="00CF0754" w:rsidP="00B320C7">
      <w:pPr>
        <w:pStyle w:val="ListParagraph"/>
        <w:numPr>
          <w:ilvl w:val="2"/>
          <w:numId w:val="41"/>
        </w:numPr>
        <w:tabs>
          <w:tab w:val="left" w:pos="3277"/>
          <w:tab w:val="left" w:pos="3279"/>
        </w:tabs>
        <w:spacing w:before="120"/>
        <w:ind w:right="1700"/>
        <w:rPr>
          <w:sz w:val="24"/>
        </w:rPr>
      </w:pPr>
      <w:r w:rsidRPr="00150EDC">
        <w:rPr>
          <w:sz w:val="24"/>
        </w:rPr>
        <w:t>meets</w:t>
      </w:r>
      <w:r w:rsidRPr="00150EDC">
        <w:rPr>
          <w:spacing w:val="-4"/>
          <w:sz w:val="24"/>
        </w:rPr>
        <w:t xml:space="preserve"> </w:t>
      </w:r>
      <w:r w:rsidRPr="00150EDC">
        <w:rPr>
          <w:sz w:val="24"/>
        </w:rPr>
        <w:t>any</w:t>
      </w:r>
      <w:r w:rsidRPr="00150EDC">
        <w:rPr>
          <w:spacing w:val="-4"/>
          <w:sz w:val="24"/>
        </w:rPr>
        <w:t xml:space="preserve"> </w:t>
      </w:r>
      <w:r w:rsidRPr="00150EDC">
        <w:rPr>
          <w:sz w:val="24"/>
        </w:rPr>
        <w:t>specific</w:t>
      </w:r>
      <w:r w:rsidRPr="00150EDC">
        <w:rPr>
          <w:spacing w:val="-4"/>
          <w:sz w:val="24"/>
        </w:rPr>
        <w:t xml:space="preserve"> </w:t>
      </w:r>
      <w:r w:rsidRPr="00150EDC">
        <w:rPr>
          <w:sz w:val="24"/>
        </w:rPr>
        <w:t>security</w:t>
      </w:r>
      <w:r w:rsidRPr="00150EDC">
        <w:rPr>
          <w:spacing w:val="-4"/>
          <w:sz w:val="24"/>
        </w:rPr>
        <w:t xml:space="preserve"> </w:t>
      </w:r>
      <w:r w:rsidRPr="00150EDC">
        <w:rPr>
          <w:sz w:val="24"/>
        </w:rPr>
        <w:t>threats</w:t>
      </w:r>
      <w:r w:rsidRPr="00150EDC">
        <w:rPr>
          <w:spacing w:val="-4"/>
          <w:sz w:val="24"/>
        </w:rPr>
        <w:t xml:space="preserve"> </w:t>
      </w:r>
      <w:r w:rsidRPr="00150EDC">
        <w:rPr>
          <w:sz w:val="24"/>
        </w:rPr>
        <w:t>of</w:t>
      </w:r>
      <w:r w:rsidRPr="00150EDC">
        <w:rPr>
          <w:spacing w:val="-6"/>
          <w:sz w:val="24"/>
        </w:rPr>
        <w:t xml:space="preserve"> </w:t>
      </w:r>
      <w:r w:rsidRPr="00150EDC">
        <w:rPr>
          <w:sz w:val="24"/>
        </w:rPr>
        <w:t>immediate</w:t>
      </w:r>
      <w:r w:rsidRPr="00150EDC">
        <w:rPr>
          <w:spacing w:val="-3"/>
          <w:sz w:val="24"/>
        </w:rPr>
        <w:t xml:space="preserve"> </w:t>
      </w:r>
      <w:r w:rsidRPr="00150EDC">
        <w:rPr>
          <w:sz w:val="24"/>
        </w:rPr>
        <w:t>relevance</w:t>
      </w:r>
      <w:r w:rsidRPr="00150EDC">
        <w:rPr>
          <w:spacing w:val="-3"/>
          <w:sz w:val="24"/>
        </w:rPr>
        <w:t xml:space="preserve"> </w:t>
      </w:r>
      <w:r w:rsidRPr="00150EDC">
        <w:rPr>
          <w:sz w:val="24"/>
        </w:rPr>
        <w:t>to</w:t>
      </w:r>
      <w:r w:rsidRPr="00150EDC">
        <w:rPr>
          <w:spacing w:val="-5"/>
          <w:sz w:val="24"/>
        </w:rPr>
        <w:t xml:space="preserve"> </w:t>
      </w:r>
      <w:r w:rsidRPr="00150EDC">
        <w:rPr>
          <w:sz w:val="24"/>
        </w:rPr>
        <w:t>the Deliverables and/or the Government Data; and</w:t>
      </w:r>
    </w:p>
    <w:p w14:paraId="72CB0400" w14:textId="6EDF4820" w:rsidR="004C7180" w:rsidRPr="00150EDC" w:rsidRDefault="00CF0754" w:rsidP="00B320C7">
      <w:pPr>
        <w:pStyle w:val="ListParagraph"/>
        <w:numPr>
          <w:ilvl w:val="2"/>
          <w:numId w:val="41"/>
        </w:numPr>
        <w:tabs>
          <w:tab w:val="left" w:pos="3277"/>
          <w:tab w:val="left" w:pos="3279"/>
        </w:tabs>
        <w:spacing w:before="118"/>
        <w:ind w:right="1884"/>
        <w:rPr>
          <w:sz w:val="24"/>
        </w:rPr>
      </w:pPr>
      <w:r w:rsidRPr="00150EDC">
        <w:rPr>
          <w:sz w:val="24"/>
        </w:rPr>
        <w:t>where</w:t>
      </w:r>
      <w:r w:rsidRPr="00150EDC">
        <w:rPr>
          <w:spacing w:val="-2"/>
          <w:sz w:val="24"/>
        </w:rPr>
        <w:t xml:space="preserve"> </w:t>
      </w:r>
      <w:r w:rsidRPr="00150EDC">
        <w:rPr>
          <w:sz w:val="24"/>
        </w:rPr>
        <w:t>specified</w:t>
      </w:r>
      <w:r w:rsidRPr="00150EDC">
        <w:rPr>
          <w:spacing w:val="-4"/>
          <w:sz w:val="24"/>
        </w:rPr>
        <w:t xml:space="preserve"> </w:t>
      </w:r>
      <w:r w:rsidRPr="00150EDC">
        <w:rPr>
          <w:sz w:val="24"/>
        </w:rPr>
        <w:t>by</w:t>
      </w:r>
      <w:r w:rsidRPr="00150EDC">
        <w:rPr>
          <w:spacing w:val="-3"/>
          <w:sz w:val="24"/>
        </w:rPr>
        <w:t xml:space="preserve"> </w:t>
      </w:r>
      <w:r w:rsidRPr="00150EDC">
        <w:rPr>
          <w:sz w:val="24"/>
        </w:rPr>
        <w:t>the</w:t>
      </w:r>
      <w:r w:rsidRPr="00150EDC">
        <w:rPr>
          <w:spacing w:val="-4"/>
          <w:sz w:val="24"/>
        </w:rPr>
        <w:t xml:space="preserve"> </w:t>
      </w:r>
      <w:r w:rsidRPr="00150EDC">
        <w:rPr>
          <w:sz w:val="24"/>
        </w:rPr>
        <w:t>Buyer</w:t>
      </w:r>
      <w:r w:rsidRPr="00150EDC">
        <w:rPr>
          <w:spacing w:val="-4"/>
          <w:sz w:val="24"/>
        </w:rPr>
        <w:t xml:space="preserve"> </w:t>
      </w:r>
      <w:r w:rsidRPr="00150EDC">
        <w:rPr>
          <w:sz w:val="24"/>
        </w:rPr>
        <w:t>in</w:t>
      </w:r>
      <w:r w:rsidRPr="00150EDC">
        <w:rPr>
          <w:spacing w:val="-4"/>
          <w:sz w:val="24"/>
        </w:rPr>
        <w:t xml:space="preserve"> </w:t>
      </w:r>
      <w:r w:rsidRPr="00150EDC">
        <w:rPr>
          <w:sz w:val="24"/>
        </w:rPr>
        <w:t>accordance</w:t>
      </w:r>
      <w:r w:rsidRPr="00150EDC">
        <w:rPr>
          <w:spacing w:val="-4"/>
          <w:sz w:val="24"/>
        </w:rPr>
        <w:t xml:space="preserve"> </w:t>
      </w:r>
      <w:r w:rsidRPr="00150EDC">
        <w:rPr>
          <w:sz w:val="24"/>
        </w:rPr>
        <w:t>with</w:t>
      </w:r>
      <w:r w:rsidRPr="00150EDC">
        <w:rPr>
          <w:spacing w:val="-2"/>
          <w:sz w:val="24"/>
        </w:rPr>
        <w:t xml:space="preserve"> </w:t>
      </w:r>
      <w:r w:rsidRPr="00150EDC">
        <w:rPr>
          <w:sz w:val="24"/>
        </w:rPr>
        <w:t>paragraph</w:t>
      </w:r>
      <w:r w:rsidRPr="00150EDC">
        <w:rPr>
          <w:spacing w:val="-2"/>
          <w:sz w:val="24"/>
        </w:rPr>
        <w:t xml:space="preserve"> </w:t>
      </w:r>
      <w:r w:rsidRPr="00150EDC">
        <w:rPr>
          <w:sz w:val="24"/>
        </w:rPr>
        <w:t xml:space="preserve">2.2 complies with the Security </w:t>
      </w:r>
      <w:r w:rsidR="000C2370" w:rsidRPr="00150EDC">
        <w:rPr>
          <w:sz w:val="24"/>
        </w:rPr>
        <w:t xml:space="preserve">requirements </w:t>
      </w:r>
      <w:r w:rsidRPr="00150EDC">
        <w:rPr>
          <w:sz w:val="24"/>
        </w:rPr>
        <w:t xml:space="preserve"> and the ICT Policy.</w:t>
      </w:r>
    </w:p>
    <w:p w14:paraId="7165703B" w14:textId="77777777" w:rsidR="004C7180" w:rsidRPr="00150EDC" w:rsidRDefault="00CF0754" w:rsidP="00B320C7">
      <w:pPr>
        <w:pStyle w:val="ListParagraph"/>
        <w:numPr>
          <w:ilvl w:val="1"/>
          <w:numId w:val="41"/>
        </w:numPr>
        <w:tabs>
          <w:tab w:val="left" w:pos="2302"/>
        </w:tabs>
        <w:spacing w:before="120"/>
        <w:ind w:right="1687"/>
        <w:rPr>
          <w:sz w:val="24"/>
        </w:rPr>
      </w:pPr>
      <w:r w:rsidRPr="00150EDC">
        <w:rPr>
          <w:sz w:val="24"/>
        </w:rPr>
        <w:t>The</w:t>
      </w:r>
      <w:r w:rsidRPr="00150EDC">
        <w:rPr>
          <w:spacing w:val="-2"/>
          <w:sz w:val="24"/>
        </w:rPr>
        <w:t xml:space="preserve"> </w:t>
      </w:r>
      <w:r w:rsidRPr="00150EDC">
        <w:rPr>
          <w:sz w:val="24"/>
        </w:rPr>
        <w:t>references</w:t>
      </w:r>
      <w:r w:rsidRPr="00150EDC">
        <w:rPr>
          <w:spacing w:val="-5"/>
          <w:sz w:val="24"/>
        </w:rPr>
        <w:t xml:space="preserve"> </w:t>
      </w:r>
      <w:r w:rsidRPr="00150EDC">
        <w:rPr>
          <w:sz w:val="24"/>
        </w:rPr>
        <w:t>to</w:t>
      </w:r>
      <w:r w:rsidRPr="00150EDC">
        <w:rPr>
          <w:spacing w:val="-2"/>
          <w:sz w:val="24"/>
        </w:rPr>
        <w:t xml:space="preserve"> </w:t>
      </w:r>
      <w:r w:rsidRPr="00150EDC">
        <w:rPr>
          <w:sz w:val="24"/>
        </w:rPr>
        <w:t>standards,</w:t>
      </w:r>
      <w:r w:rsidRPr="00150EDC">
        <w:rPr>
          <w:spacing w:val="-5"/>
          <w:sz w:val="24"/>
        </w:rPr>
        <w:t xml:space="preserve"> </w:t>
      </w:r>
      <w:r w:rsidRPr="00150EDC">
        <w:rPr>
          <w:sz w:val="24"/>
        </w:rPr>
        <w:t>guidance</w:t>
      </w:r>
      <w:r w:rsidRPr="00150EDC">
        <w:rPr>
          <w:spacing w:val="-4"/>
          <w:sz w:val="24"/>
        </w:rPr>
        <w:t xml:space="preserve"> </w:t>
      </w:r>
      <w:r w:rsidRPr="00150EDC">
        <w:rPr>
          <w:sz w:val="24"/>
        </w:rPr>
        <w:t>and</w:t>
      </w:r>
      <w:r w:rsidRPr="00150EDC">
        <w:rPr>
          <w:spacing w:val="-2"/>
          <w:sz w:val="24"/>
        </w:rPr>
        <w:t xml:space="preserve"> </w:t>
      </w:r>
      <w:r w:rsidRPr="00150EDC">
        <w:rPr>
          <w:sz w:val="24"/>
        </w:rPr>
        <w:t>policies</w:t>
      </w:r>
      <w:r w:rsidRPr="00150EDC">
        <w:rPr>
          <w:spacing w:val="-3"/>
          <w:sz w:val="24"/>
        </w:rPr>
        <w:t xml:space="preserve"> </w:t>
      </w:r>
      <w:r w:rsidRPr="00150EDC">
        <w:rPr>
          <w:sz w:val="24"/>
        </w:rPr>
        <w:t>contained</w:t>
      </w:r>
      <w:r w:rsidRPr="00150EDC">
        <w:rPr>
          <w:spacing w:val="-2"/>
          <w:sz w:val="24"/>
        </w:rPr>
        <w:t xml:space="preserve"> </w:t>
      </w:r>
      <w:r w:rsidRPr="00150EDC">
        <w:rPr>
          <w:sz w:val="24"/>
        </w:rPr>
        <w:t>or</w:t>
      </w:r>
      <w:r w:rsidRPr="00150EDC">
        <w:rPr>
          <w:spacing w:val="-4"/>
          <w:sz w:val="24"/>
        </w:rPr>
        <w:t xml:space="preserve"> </w:t>
      </w:r>
      <w:r w:rsidRPr="00150EDC">
        <w:rPr>
          <w:sz w:val="24"/>
        </w:rPr>
        <w:t>set</w:t>
      </w:r>
      <w:r w:rsidRPr="00150EDC">
        <w:rPr>
          <w:spacing w:val="-5"/>
          <w:sz w:val="24"/>
        </w:rPr>
        <w:t xml:space="preserve"> </w:t>
      </w:r>
      <w:r w:rsidRPr="00150EDC">
        <w:rPr>
          <w:sz w:val="24"/>
        </w:rPr>
        <w:t>out</w:t>
      </w:r>
      <w:r w:rsidRPr="00150EDC">
        <w:rPr>
          <w:spacing w:val="-2"/>
          <w:sz w:val="24"/>
        </w:rPr>
        <w:t xml:space="preserve"> </w:t>
      </w:r>
      <w:r w:rsidRPr="00150EDC">
        <w:rPr>
          <w:sz w:val="24"/>
        </w:rPr>
        <w:t xml:space="preserve">in Paragraph 3.2 shall be deemed to be references to such items as developed and updated and to any successor to or replacement for such standards, guidance and policies, as notified to the Supplier from time to </w:t>
      </w:r>
      <w:r w:rsidRPr="00150EDC">
        <w:rPr>
          <w:spacing w:val="-2"/>
          <w:sz w:val="24"/>
        </w:rPr>
        <w:t>time.</w:t>
      </w:r>
    </w:p>
    <w:p w14:paraId="5B8F72F4" w14:textId="77777777" w:rsidR="004C7180" w:rsidRPr="00150EDC" w:rsidRDefault="00CF0754" w:rsidP="00B320C7">
      <w:pPr>
        <w:pStyle w:val="ListParagraph"/>
        <w:numPr>
          <w:ilvl w:val="1"/>
          <w:numId w:val="41"/>
        </w:numPr>
        <w:tabs>
          <w:tab w:val="left" w:pos="2302"/>
        </w:tabs>
        <w:spacing w:before="120"/>
        <w:ind w:right="1484"/>
        <w:rPr>
          <w:sz w:val="24"/>
        </w:rPr>
      </w:pPr>
      <w:r w:rsidRPr="00150EDC">
        <w:rPr>
          <w:sz w:val="24"/>
        </w:rPr>
        <w:t>In the event of any inconsistency in the provisions of the above standards, guidance</w:t>
      </w:r>
      <w:r w:rsidRPr="00150EDC">
        <w:rPr>
          <w:spacing w:val="-5"/>
          <w:sz w:val="24"/>
        </w:rPr>
        <w:t xml:space="preserve"> </w:t>
      </w:r>
      <w:r w:rsidRPr="00150EDC">
        <w:rPr>
          <w:sz w:val="24"/>
        </w:rPr>
        <w:t>and</w:t>
      </w:r>
      <w:r w:rsidRPr="00150EDC">
        <w:rPr>
          <w:spacing w:val="-5"/>
          <w:sz w:val="24"/>
        </w:rPr>
        <w:t xml:space="preserve"> </w:t>
      </w:r>
      <w:r w:rsidRPr="00150EDC">
        <w:rPr>
          <w:sz w:val="24"/>
        </w:rPr>
        <w:t>policies,</w:t>
      </w:r>
      <w:r w:rsidRPr="00150EDC">
        <w:rPr>
          <w:spacing w:val="-7"/>
          <w:sz w:val="24"/>
        </w:rPr>
        <w:t xml:space="preserve"> </w:t>
      </w:r>
      <w:r w:rsidRPr="00150EDC">
        <w:rPr>
          <w:sz w:val="24"/>
        </w:rPr>
        <w:t>the</w:t>
      </w:r>
      <w:r w:rsidRPr="00150EDC">
        <w:rPr>
          <w:spacing w:val="-3"/>
          <w:sz w:val="24"/>
        </w:rPr>
        <w:t xml:space="preserve"> </w:t>
      </w:r>
      <w:r w:rsidRPr="00150EDC">
        <w:rPr>
          <w:sz w:val="24"/>
        </w:rPr>
        <w:t>Supplier</w:t>
      </w:r>
      <w:r w:rsidRPr="00150EDC">
        <w:rPr>
          <w:spacing w:val="-5"/>
          <w:sz w:val="24"/>
        </w:rPr>
        <w:t xml:space="preserve"> </w:t>
      </w:r>
      <w:r w:rsidRPr="00150EDC">
        <w:rPr>
          <w:sz w:val="24"/>
        </w:rPr>
        <w:t>should</w:t>
      </w:r>
      <w:r w:rsidRPr="00150EDC">
        <w:rPr>
          <w:spacing w:val="-3"/>
          <w:sz w:val="24"/>
        </w:rPr>
        <w:t xml:space="preserve"> </w:t>
      </w:r>
      <w:r w:rsidRPr="00150EDC">
        <w:rPr>
          <w:sz w:val="24"/>
        </w:rPr>
        <w:t>notify</w:t>
      </w:r>
      <w:r w:rsidRPr="00150EDC">
        <w:rPr>
          <w:spacing w:val="-4"/>
          <w:sz w:val="24"/>
        </w:rPr>
        <w:t xml:space="preserve"> </w:t>
      </w:r>
      <w:r w:rsidRPr="00150EDC">
        <w:rPr>
          <w:sz w:val="24"/>
        </w:rPr>
        <w:t>the</w:t>
      </w:r>
      <w:r w:rsidRPr="00150EDC">
        <w:rPr>
          <w:spacing w:val="-5"/>
          <w:sz w:val="24"/>
        </w:rPr>
        <w:t xml:space="preserve"> </w:t>
      </w:r>
      <w:r w:rsidRPr="00150EDC">
        <w:rPr>
          <w:sz w:val="24"/>
        </w:rPr>
        <w:t>Buyer's</w:t>
      </w:r>
      <w:r w:rsidRPr="00150EDC">
        <w:rPr>
          <w:spacing w:val="-4"/>
          <w:sz w:val="24"/>
        </w:rPr>
        <w:t xml:space="preserve"> </w:t>
      </w:r>
      <w:r w:rsidRPr="00150EDC">
        <w:rPr>
          <w:sz w:val="24"/>
        </w:rPr>
        <w:t>Representative of such inconsistency immediately upon becoming aware of the same, and the Buyer's Representative shall, as soon as practicable, advise the Supplier which provision the Supplier shall be required to comply with.</w:t>
      </w:r>
    </w:p>
    <w:p w14:paraId="2939EDA8" w14:textId="77777777" w:rsidR="004C7180" w:rsidRPr="00150EDC" w:rsidRDefault="004C7180">
      <w:pPr>
        <w:pStyle w:val="BodyText"/>
        <w:spacing w:before="10"/>
        <w:rPr>
          <w:sz w:val="20"/>
        </w:rPr>
      </w:pPr>
    </w:p>
    <w:p w14:paraId="2E5F18E7" w14:textId="77777777" w:rsidR="004C7180" w:rsidRPr="00150EDC" w:rsidRDefault="00CF0754" w:rsidP="00B320C7">
      <w:pPr>
        <w:pStyle w:val="Heading4"/>
        <w:numPr>
          <w:ilvl w:val="0"/>
          <w:numId w:val="41"/>
        </w:numPr>
        <w:tabs>
          <w:tab w:val="left" w:pos="2018"/>
        </w:tabs>
        <w:ind w:left="2018" w:hanging="359"/>
      </w:pPr>
      <w:r w:rsidRPr="00150EDC">
        <w:t>Security</w:t>
      </w:r>
      <w:r w:rsidRPr="00150EDC">
        <w:rPr>
          <w:spacing w:val="-4"/>
        </w:rPr>
        <w:t xml:space="preserve"> </w:t>
      </w:r>
      <w:r w:rsidRPr="00150EDC">
        <w:t>Management</w:t>
      </w:r>
      <w:r w:rsidRPr="00150EDC">
        <w:rPr>
          <w:spacing w:val="-4"/>
        </w:rPr>
        <w:t xml:space="preserve"> Plan</w:t>
      </w:r>
    </w:p>
    <w:p w14:paraId="114B2BB7" w14:textId="77777777" w:rsidR="004C7180" w:rsidRPr="00150EDC" w:rsidRDefault="004C7180">
      <w:pPr>
        <w:pStyle w:val="BodyText"/>
        <w:spacing w:before="10"/>
        <w:rPr>
          <w:b/>
          <w:sz w:val="20"/>
        </w:rPr>
      </w:pPr>
    </w:p>
    <w:p w14:paraId="0BD8BE23" w14:textId="77777777" w:rsidR="004C7180" w:rsidRPr="00150EDC" w:rsidRDefault="00CF0754" w:rsidP="00B320C7">
      <w:pPr>
        <w:pStyle w:val="ListParagraph"/>
        <w:numPr>
          <w:ilvl w:val="1"/>
          <w:numId w:val="41"/>
        </w:numPr>
        <w:tabs>
          <w:tab w:val="left" w:pos="2302"/>
        </w:tabs>
        <w:ind w:hanging="566"/>
        <w:rPr>
          <w:b/>
          <w:sz w:val="24"/>
        </w:rPr>
      </w:pPr>
      <w:r w:rsidRPr="00150EDC">
        <w:rPr>
          <w:b/>
          <w:spacing w:val="-2"/>
          <w:sz w:val="24"/>
        </w:rPr>
        <w:t>Introduction</w:t>
      </w:r>
    </w:p>
    <w:p w14:paraId="1502F01A" w14:textId="77777777" w:rsidR="004C7180" w:rsidRPr="00150EDC" w:rsidRDefault="00CF0754" w:rsidP="00B320C7">
      <w:pPr>
        <w:pStyle w:val="ListParagraph"/>
        <w:numPr>
          <w:ilvl w:val="2"/>
          <w:numId w:val="41"/>
        </w:numPr>
        <w:tabs>
          <w:tab w:val="left" w:pos="3277"/>
          <w:tab w:val="left" w:pos="3279"/>
        </w:tabs>
        <w:spacing w:before="120"/>
        <w:ind w:right="1711"/>
        <w:rPr>
          <w:sz w:val="24"/>
        </w:rPr>
      </w:pPr>
      <w:r w:rsidRPr="00150EDC">
        <w:rPr>
          <w:sz w:val="24"/>
        </w:rPr>
        <w:t>The</w:t>
      </w:r>
      <w:r w:rsidRPr="00150EDC">
        <w:rPr>
          <w:spacing w:val="-3"/>
          <w:sz w:val="24"/>
        </w:rPr>
        <w:t xml:space="preserve"> </w:t>
      </w:r>
      <w:r w:rsidRPr="00150EDC">
        <w:rPr>
          <w:sz w:val="24"/>
        </w:rPr>
        <w:t>Supplier</w:t>
      </w:r>
      <w:r w:rsidRPr="00150EDC">
        <w:rPr>
          <w:spacing w:val="-5"/>
          <w:sz w:val="24"/>
        </w:rPr>
        <w:t xml:space="preserve"> </w:t>
      </w:r>
      <w:r w:rsidRPr="00150EDC">
        <w:rPr>
          <w:sz w:val="24"/>
        </w:rPr>
        <w:t>shall</w:t>
      </w:r>
      <w:r w:rsidRPr="00150EDC">
        <w:rPr>
          <w:spacing w:val="-4"/>
          <w:sz w:val="24"/>
        </w:rPr>
        <w:t xml:space="preserve"> </w:t>
      </w:r>
      <w:r w:rsidRPr="00150EDC">
        <w:rPr>
          <w:sz w:val="24"/>
        </w:rPr>
        <w:t>develop</w:t>
      </w:r>
      <w:r w:rsidRPr="00150EDC">
        <w:rPr>
          <w:spacing w:val="-5"/>
          <w:sz w:val="24"/>
        </w:rPr>
        <w:t xml:space="preserve"> </w:t>
      </w:r>
      <w:r w:rsidRPr="00150EDC">
        <w:rPr>
          <w:sz w:val="24"/>
        </w:rPr>
        <w:t>and</w:t>
      </w:r>
      <w:r w:rsidRPr="00150EDC">
        <w:rPr>
          <w:spacing w:val="-5"/>
          <w:sz w:val="24"/>
        </w:rPr>
        <w:t xml:space="preserve"> </w:t>
      </w:r>
      <w:r w:rsidRPr="00150EDC">
        <w:rPr>
          <w:sz w:val="24"/>
        </w:rPr>
        <w:t>maintain</w:t>
      </w:r>
      <w:r w:rsidRPr="00150EDC">
        <w:rPr>
          <w:spacing w:val="-5"/>
          <w:sz w:val="24"/>
        </w:rPr>
        <w:t xml:space="preserve"> </w:t>
      </w:r>
      <w:r w:rsidRPr="00150EDC">
        <w:rPr>
          <w:sz w:val="24"/>
        </w:rPr>
        <w:t>a</w:t>
      </w:r>
      <w:r w:rsidRPr="00150EDC">
        <w:rPr>
          <w:spacing w:val="-5"/>
          <w:sz w:val="24"/>
        </w:rPr>
        <w:t xml:space="preserve"> </w:t>
      </w:r>
      <w:r w:rsidRPr="00150EDC">
        <w:rPr>
          <w:sz w:val="24"/>
        </w:rPr>
        <w:t>Security</w:t>
      </w:r>
      <w:r w:rsidRPr="00150EDC">
        <w:rPr>
          <w:spacing w:val="-4"/>
          <w:sz w:val="24"/>
        </w:rPr>
        <w:t xml:space="preserve"> </w:t>
      </w:r>
      <w:r w:rsidRPr="00150EDC">
        <w:rPr>
          <w:sz w:val="24"/>
        </w:rPr>
        <w:t>Management Plan in accordance with this Schedule. The Supplier shall</w:t>
      </w:r>
    </w:p>
    <w:p w14:paraId="2CC1CF71" w14:textId="77777777" w:rsidR="004C7180" w:rsidRPr="00150EDC" w:rsidRDefault="004C7180">
      <w:pPr>
        <w:rPr>
          <w:sz w:val="24"/>
        </w:rPr>
        <w:sectPr w:rsidR="004C7180" w:rsidRPr="00150EDC">
          <w:pgSz w:w="11910" w:h="16840"/>
          <w:pgMar w:top="1380" w:right="0" w:bottom="1380" w:left="40" w:header="715" w:footer="1192" w:gutter="0"/>
          <w:cols w:space="720"/>
        </w:sectPr>
      </w:pPr>
    </w:p>
    <w:p w14:paraId="223FEC28" w14:textId="77777777" w:rsidR="004C7180" w:rsidRPr="00150EDC" w:rsidRDefault="004C7180">
      <w:pPr>
        <w:pStyle w:val="BodyText"/>
        <w:spacing w:before="1"/>
        <w:rPr>
          <w:sz w:val="12"/>
        </w:rPr>
      </w:pPr>
    </w:p>
    <w:p w14:paraId="095386A9" w14:textId="77777777" w:rsidR="004C7180" w:rsidRPr="00150EDC" w:rsidRDefault="00CF0754">
      <w:pPr>
        <w:pStyle w:val="BodyText"/>
        <w:spacing w:before="92"/>
        <w:ind w:left="3279" w:right="1459"/>
      </w:pPr>
      <w:r w:rsidRPr="00150EDC">
        <w:t>thereafter</w:t>
      </w:r>
      <w:r w:rsidRPr="00150EDC">
        <w:rPr>
          <w:spacing w:val="-5"/>
        </w:rPr>
        <w:t xml:space="preserve"> </w:t>
      </w:r>
      <w:r w:rsidRPr="00150EDC">
        <w:t>comply</w:t>
      </w:r>
      <w:r w:rsidRPr="00150EDC">
        <w:rPr>
          <w:spacing w:val="-4"/>
        </w:rPr>
        <w:t xml:space="preserve"> </w:t>
      </w:r>
      <w:r w:rsidRPr="00150EDC">
        <w:t>with</w:t>
      </w:r>
      <w:r w:rsidRPr="00150EDC">
        <w:rPr>
          <w:spacing w:val="-5"/>
        </w:rPr>
        <w:t xml:space="preserve"> </w:t>
      </w:r>
      <w:r w:rsidRPr="00150EDC">
        <w:t>its</w:t>
      </w:r>
      <w:r w:rsidRPr="00150EDC">
        <w:rPr>
          <w:spacing w:val="-4"/>
        </w:rPr>
        <w:t xml:space="preserve"> </w:t>
      </w:r>
      <w:r w:rsidRPr="00150EDC">
        <w:t>obligations</w:t>
      </w:r>
      <w:r w:rsidRPr="00150EDC">
        <w:rPr>
          <w:spacing w:val="-4"/>
        </w:rPr>
        <w:t xml:space="preserve"> </w:t>
      </w:r>
      <w:r w:rsidRPr="00150EDC">
        <w:t>set</w:t>
      </w:r>
      <w:r w:rsidRPr="00150EDC">
        <w:rPr>
          <w:spacing w:val="-3"/>
        </w:rPr>
        <w:t xml:space="preserve"> </w:t>
      </w:r>
      <w:r w:rsidRPr="00150EDC">
        <w:t>out</w:t>
      </w:r>
      <w:r w:rsidRPr="00150EDC">
        <w:rPr>
          <w:spacing w:val="-3"/>
        </w:rPr>
        <w:t xml:space="preserve"> </w:t>
      </w:r>
      <w:r w:rsidRPr="00150EDC">
        <w:t>in</w:t>
      </w:r>
      <w:r w:rsidRPr="00150EDC">
        <w:rPr>
          <w:spacing w:val="-3"/>
        </w:rPr>
        <w:t xml:space="preserve"> </w:t>
      </w:r>
      <w:r w:rsidRPr="00150EDC">
        <w:t>the</w:t>
      </w:r>
      <w:r w:rsidRPr="00150EDC">
        <w:rPr>
          <w:spacing w:val="-3"/>
        </w:rPr>
        <w:t xml:space="preserve"> </w:t>
      </w:r>
      <w:r w:rsidRPr="00150EDC">
        <w:t>Security Management Plan.</w:t>
      </w:r>
    </w:p>
    <w:p w14:paraId="6461C9D9" w14:textId="77777777" w:rsidR="004C7180" w:rsidRPr="00150EDC" w:rsidRDefault="00CF0754" w:rsidP="00B320C7">
      <w:pPr>
        <w:pStyle w:val="Heading4"/>
        <w:numPr>
          <w:ilvl w:val="1"/>
          <w:numId w:val="41"/>
        </w:numPr>
        <w:tabs>
          <w:tab w:val="left" w:pos="2302"/>
        </w:tabs>
        <w:spacing w:before="120"/>
      </w:pPr>
      <w:r w:rsidRPr="00150EDC">
        <w:t>Content</w:t>
      </w:r>
      <w:r w:rsidRPr="00150EDC">
        <w:rPr>
          <w:spacing w:val="-5"/>
        </w:rPr>
        <w:t xml:space="preserve"> </w:t>
      </w:r>
      <w:r w:rsidRPr="00150EDC">
        <w:t>of</w:t>
      </w:r>
      <w:r w:rsidRPr="00150EDC">
        <w:rPr>
          <w:spacing w:val="-3"/>
        </w:rPr>
        <w:t xml:space="preserve"> </w:t>
      </w:r>
      <w:r w:rsidRPr="00150EDC">
        <w:t>the</w:t>
      </w:r>
      <w:r w:rsidRPr="00150EDC">
        <w:rPr>
          <w:spacing w:val="-2"/>
        </w:rPr>
        <w:t xml:space="preserve"> </w:t>
      </w:r>
      <w:r w:rsidRPr="00150EDC">
        <w:t>Security</w:t>
      </w:r>
      <w:r w:rsidRPr="00150EDC">
        <w:rPr>
          <w:spacing w:val="-1"/>
        </w:rPr>
        <w:t xml:space="preserve"> </w:t>
      </w:r>
      <w:r w:rsidRPr="00150EDC">
        <w:t>Management</w:t>
      </w:r>
      <w:r w:rsidRPr="00150EDC">
        <w:rPr>
          <w:spacing w:val="-4"/>
        </w:rPr>
        <w:t xml:space="preserve"> Plan</w:t>
      </w:r>
    </w:p>
    <w:p w14:paraId="16897C7A" w14:textId="77777777" w:rsidR="004C7180" w:rsidRPr="00150EDC" w:rsidRDefault="00CF0754" w:rsidP="00B320C7">
      <w:pPr>
        <w:pStyle w:val="ListParagraph"/>
        <w:numPr>
          <w:ilvl w:val="2"/>
          <w:numId w:val="41"/>
        </w:numPr>
        <w:tabs>
          <w:tab w:val="left" w:pos="3277"/>
        </w:tabs>
        <w:spacing w:before="121"/>
        <w:ind w:left="3277" w:hanging="718"/>
        <w:rPr>
          <w:sz w:val="24"/>
        </w:rPr>
      </w:pPr>
      <w:r w:rsidRPr="00150EDC">
        <w:rPr>
          <w:sz w:val="24"/>
        </w:rPr>
        <w:t>The</w:t>
      </w:r>
      <w:r w:rsidRPr="00150EDC">
        <w:rPr>
          <w:spacing w:val="-3"/>
          <w:sz w:val="24"/>
        </w:rPr>
        <w:t xml:space="preserve"> </w:t>
      </w:r>
      <w:r w:rsidRPr="00150EDC">
        <w:rPr>
          <w:sz w:val="24"/>
        </w:rPr>
        <w:t>Security</w:t>
      </w:r>
      <w:r w:rsidRPr="00150EDC">
        <w:rPr>
          <w:spacing w:val="-3"/>
          <w:sz w:val="24"/>
        </w:rPr>
        <w:t xml:space="preserve"> </w:t>
      </w:r>
      <w:r w:rsidRPr="00150EDC">
        <w:rPr>
          <w:sz w:val="24"/>
        </w:rPr>
        <w:t>Management</w:t>
      </w:r>
      <w:r w:rsidRPr="00150EDC">
        <w:rPr>
          <w:spacing w:val="-3"/>
          <w:sz w:val="24"/>
        </w:rPr>
        <w:t xml:space="preserve"> </w:t>
      </w:r>
      <w:r w:rsidRPr="00150EDC">
        <w:rPr>
          <w:sz w:val="24"/>
        </w:rPr>
        <w:t>Plan</w:t>
      </w:r>
      <w:r w:rsidRPr="00150EDC">
        <w:rPr>
          <w:spacing w:val="-2"/>
          <w:sz w:val="24"/>
        </w:rPr>
        <w:t xml:space="preserve"> shall:</w:t>
      </w:r>
    </w:p>
    <w:p w14:paraId="3379045A" w14:textId="77777777" w:rsidR="004C7180" w:rsidRPr="00150EDC" w:rsidRDefault="00CF0754" w:rsidP="00B320C7">
      <w:pPr>
        <w:pStyle w:val="ListParagraph"/>
        <w:numPr>
          <w:ilvl w:val="3"/>
          <w:numId w:val="41"/>
        </w:numPr>
        <w:tabs>
          <w:tab w:val="left" w:pos="3643"/>
          <w:tab w:val="left" w:pos="3819"/>
        </w:tabs>
        <w:spacing w:before="130" w:line="228" w:lineRule="auto"/>
        <w:ind w:right="1598" w:hanging="540"/>
        <w:rPr>
          <w:sz w:val="24"/>
        </w:rPr>
      </w:pPr>
      <w:r w:rsidRPr="00150EDC">
        <w:rPr>
          <w:sz w:val="24"/>
        </w:rPr>
        <w:t>comply with the principles of security set out in Paragraph 3 and</w:t>
      </w:r>
      <w:r w:rsidRPr="00150EDC">
        <w:rPr>
          <w:spacing w:val="-5"/>
          <w:sz w:val="24"/>
        </w:rPr>
        <w:t xml:space="preserve"> </w:t>
      </w:r>
      <w:r w:rsidRPr="00150EDC">
        <w:rPr>
          <w:sz w:val="24"/>
        </w:rPr>
        <w:t>any</w:t>
      </w:r>
      <w:r w:rsidRPr="00150EDC">
        <w:rPr>
          <w:spacing w:val="-5"/>
          <w:sz w:val="24"/>
        </w:rPr>
        <w:t xml:space="preserve"> </w:t>
      </w:r>
      <w:r w:rsidRPr="00150EDC">
        <w:rPr>
          <w:sz w:val="24"/>
        </w:rPr>
        <w:t>other</w:t>
      </w:r>
      <w:r w:rsidRPr="00150EDC">
        <w:rPr>
          <w:spacing w:val="-5"/>
          <w:sz w:val="24"/>
        </w:rPr>
        <w:t xml:space="preserve"> </w:t>
      </w:r>
      <w:r w:rsidRPr="00150EDC">
        <w:rPr>
          <w:sz w:val="24"/>
        </w:rPr>
        <w:t>provisions</w:t>
      </w:r>
      <w:r w:rsidRPr="00150EDC">
        <w:rPr>
          <w:spacing w:val="-4"/>
          <w:sz w:val="24"/>
        </w:rPr>
        <w:t xml:space="preserve"> </w:t>
      </w:r>
      <w:r w:rsidRPr="00150EDC">
        <w:rPr>
          <w:sz w:val="24"/>
        </w:rPr>
        <w:t>of</w:t>
      </w:r>
      <w:r w:rsidRPr="00150EDC">
        <w:rPr>
          <w:spacing w:val="-5"/>
          <w:sz w:val="24"/>
        </w:rPr>
        <w:t xml:space="preserve"> </w:t>
      </w:r>
      <w:r w:rsidRPr="00150EDC">
        <w:rPr>
          <w:sz w:val="24"/>
        </w:rPr>
        <w:t>this</w:t>
      </w:r>
      <w:r w:rsidRPr="00150EDC">
        <w:rPr>
          <w:spacing w:val="-4"/>
          <w:sz w:val="24"/>
        </w:rPr>
        <w:t xml:space="preserve"> </w:t>
      </w:r>
      <w:r w:rsidRPr="00150EDC">
        <w:rPr>
          <w:sz w:val="24"/>
        </w:rPr>
        <w:t>Contract</w:t>
      </w:r>
      <w:r w:rsidRPr="00150EDC">
        <w:rPr>
          <w:spacing w:val="-3"/>
          <w:sz w:val="24"/>
        </w:rPr>
        <w:t xml:space="preserve"> </w:t>
      </w:r>
      <w:r w:rsidRPr="00150EDC">
        <w:rPr>
          <w:sz w:val="24"/>
        </w:rPr>
        <w:t>relevant</w:t>
      </w:r>
      <w:r w:rsidRPr="00150EDC">
        <w:rPr>
          <w:spacing w:val="-3"/>
          <w:sz w:val="24"/>
        </w:rPr>
        <w:t xml:space="preserve"> </w:t>
      </w:r>
      <w:r w:rsidRPr="00150EDC">
        <w:rPr>
          <w:sz w:val="24"/>
        </w:rPr>
        <w:t>to</w:t>
      </w:r>
      <w:r w:rsidRPr="00150EDC">
        <w:rPr>
          <w:spacing w:val="-3"/>
          <w:sz w:val="24"/>
        </w:rPr>
        <w:t xml:space="preserve"> </w:t>
      </w:r>
      <w:r w:rsidRPr="00150EDC">
        <w:rPr>
          <w:sz w:val="24"/>
        </w:rPr>
        <w:t>security;</w:t>
      </w:r>
    </w:p>
    <w:p w14:paraId="44A8B4BB" w14:textId="77777777" w:rsidR="004C7180" w:rsidRPr="00150EDC" w:rsidRDefault="00CF0754" w:rsidP="00B320C7">
      <w:pPr>
        <w:pStyle w:val="ListParagraph"/>
        <w:numPr>
          <w:ilvl w:val="3"/>
          <w:numId w:val="41"/>
        </w:numPr>
        <w:tabs>
          <w:tab w:val="left" w:pos="3643"/>
          <w:tab w:val="left" w:pos="3819"/>
        </w:tabs>
        <w:spacing w:before="134" w:line="228" w:lineRule="auto"/>
        <w:ind w:right="1627" w:hanging="540"/>
        <w:rPr>
          <w:sz w:val="24"/>
        </w:rPr>
      </w:pPr>
      <w:r w:rsidRPr="00150EDC">
        <w:rPr>
          <w:sz w:val="24"/>
        </w:rPr>
        <w:t>identify</w:t>
      </w:r>
      <w:r w:rsidRPr="00150EDC">
        <w:rPr>
          <w:spacing w:val="-6"/>
          <w:sz w:val="24"/>
        </w:rPr>
        <w:t xml:space="preserve"> </w:t>
      </w:r>
      <w:r w:rsidRPr="00150EDC">
        <w:rPr>
          <w:sz w:val="24"/>
        </w:rPr>
        <w:t>the</w:t>
      </w:r>
      <w:r w:rsidRPr="00150EDC">
        <w:rPr>
          <w:spacing w:val="-5"/>
          <w:sz w:val="24"/>
        </w:rPr>
        <w:t xml:space="preserve"> </w:t>
      </w:r>
      <w:r w:rsidRPr="00150EDC">
        <w:rPr>
          <w:sz w:val="24"/>
        </w:rPr>
        <w:t>necessary</w:t>
      </w:r>
      <w:r w:rsidRPr="00150EDC">
        <w:rPr>
          <w:spacing w:val="-6"/>
          <w:sz w:val="24"/>
        </w:rPr>
        <w:t xml:space="preserve"> </w:t>
      </w:r>
      <w:r w:rsidRPr="00150EDC">
        <w:rPr>
          <w:sz w:val="24"/>
        </w:rPr>
        <w:t>delegated</w:t>
      </w:r>
      <w:r w:rsidRPr="00150EDC">
        <w:rPr>
          <w:spacing w:val="-3"/>
          <w:sz w:val="24"/>
        </w:rPr>
        <w:t xml:space="preserve"> </w:t>
      </w:r>
      <w:r w:rsidRPr="00150EDC">
        <w:rPr>
          <w:sz w:val="24"/>
        </w:rPr>
        <w:t>organisational</w:t>
      </w:r>
      <w:r w:rsidRPr="00150EDC">
        <w:rPr>
          <w:spacing w:val="-4"/>
          <w:sz w:val="24"/>
        </w:rPr>
        <w:t xml:space="preserve"> </w:t>
      </w:r>
      <w:r w:rsidRPr="00150EDC">
        <w:rPr>
          <w:sz w:val="24"/>
        </w:rPr>
        <w:t>roles</w:t>
      </w:r>
      <w:r w:rsidRPr="00150EDC">
        <w:rPr>
          <w:spacing w:val="-4"/>
          <w:sz w:val="24"/>
        </w:rPr>
        <w:t xml:space="preserve"> </w:t>
      </w:r>
      <w:r w:rsidRPr="00150EDC">
        <w:rPr>
          <w:sz w:val="24"/>
        </w:rPr>
        <w:t>for</w:t>
      </w:r>
      <w:r w:rsidRPr="00150EDC">
        <w:rPr>
          <w:spacing w:val="-7"/>
          <w:sz w:val="24"/>
        </w:rPr>
        <w:t xml:space="preserve"> </w:t>
      </w:r>
      <w:r w:rsidRPr="00150EDC">
        <w:rPr>
          <w:sz w:val="24"/>
        </w:rPr>
        <w:t>those responsible for ensuring it is complied with by the Supplier;</w:t>
      </w:r>
    </w:p>
    <w:p w14:paraId="172A4114" w14:textId="77777777" w:rsidR="004C7180" w:rsidRPr="00150EDC" w:rsidRDefault="00CF0754" w:rsidP="00B320C7">
      <w:pPr>
        <w:pStyle w:val="ListParagraph"/>
        <w:numPr>
          <w:ilvl w:val="3"/>
          <w:numId w:val="41"/>
        </w:numPr>
        <w:tabs>
          <w:tab w:val="left" w:pos="3642"/>
          <w:tab w:val="left" w:pos="3819"/>
        </w:tabs>
        <w:spacing w:before="125" w:line="237" w:lineRule="auto"/>
        <w:ind w:right="1546" w:hanging="540"/>
        <w:rPr>
          <w:sz w:val="24"/>
        </w:rPr>
      </w:pPr>
      <w:r w:rsidRPr="00150EDC">
        <w:rPr>
          <w:sz w:val="24"/>
        </w:rPr>
        <w:t>detail the process for managing any security risks from Subcontractors</w:t>
      </w:r>
      <w:r w:rsidRPr="00150EDC">
        <w:rPr>
          <w:spacing w:val="-4"/>
          <w:sz w:val="24"/>
        </w:rPr>
        <w:t xml:space="preserve"> </w:t>
      </w:r>
      <w:r w:rsidRPr="00150EDC">
        <w:rPr>
          <w:sz w:val="24"/>
        </w:rPr>
        <w:t>and</w:t>
      </w:r>
      <w:r w:rsidRPr="00150EDC">
        <w:rPr>
          <w:spacing w:val="-3"/>
          <w:sz w:val="24"/>
        </w:rPr>
        <w:t xml:space="preserve"> </w:t>
      </w:r>
      <w:r w:rsidRPr="00150EDC">
        <w:rPr>
          <w:sz w:val="24"/>
        </w:rPr>
        <w:t>third</w:t>
      </w:r>
      <w:r w:rsidRPr="00150EDC">
        <w:rPr>
          <w:spacing w:val="-3"/>
          <w:sz w:val="24"/>
        </w:rPr>
        <w:t xml:space="preserve"> </w:t>
      </w:r>
      <w:r w:rsidRPr="00150EDC">
        <w:rPr>
          <w:sz w:val="24"/>
        </w:rPr>
        <w:t>parties</w:t>
      </w:r>
      <w:r w:rsidRPr="00150EDC">
        <w:rPr>
          <w:spacing w:val="-6"/>
          <w:sz w:val="24"/>
        </w:rPr>
        <w:t xml:space="preserve"> </w:t>
      </w:r>
      <w:r w:rsidRPr="00150EDC">
        <w:rPr>
          <w:sz w:val="24"/>
        </w:rPr>
        <w:t>authorised</w:t>
      </w:r>
      <w:r w:rsidRPr="00150EDC">
        <w:rPr>
          <w:spacing w:val="-5"/>
          <w:sz w:val="24"/>
        </w:rPr>
        <w:t xml:space="preserve"> </w:t>
      </w:r>
      <w:r w:rsidRPr="00150EDC">
        <w:rPr>
          <w:sz w:val="24"/>
        </w:rPr>
        <w:t>by</w:t>
      </w:r>
      <w:r w:rsidRPr="00150EDC">
        <w:rPr>
          <w:spacing w:val="-4"/>
          <w:sz w:val="24"/>
        </w:rPr>
        <w:t xml:space="preserve"> </w:t>
      </w:r>
      <w:r w:rsidRPr="00150EDC">
        <w:rPr>
          <w:sz w:val="24"/>
        </w:rPr>
        <w:t>the</w:t>
      </w:r>
      <w:r w:rsidRPr="00150EDC">
        <w:rPr>
          <w:spacing w:val="-5"/>
          <w:sz w:val="24"/>
        </w:rPr>
        <w:t xml:space="preserve"> </w:t>
      </w:r>
      <w:r w:rsidRPr="00150EDC">
        <w:rPr>
          <w:sz w:val="24"/>
        </w:rPr>
        <w:t>Buyer</w:t>
      </w:r>
      <w:r w:rsidRPr="00150EDC">
        <w:rPr>
          <w:spacing w:val="-5"/>
          <w:sz w:val="24"/>
        </w:rPr>
        <w:t xml:space="preserve"> </w:t>
      </w:r>
      <w:r w:rsidRPr="00150EDC">
        <w:rPr>
          <w:sz w:val="24"/>
        </w:rPr>
        <w:t>with access to the Deliverables, processes associated with the provision of the Deliverables, the Buyer Premises, the Sites and any ICT, Information and data (including the Buyer’s Confidential Information and the Government Data) and any system</w:t>
      </w:r>
      <w:r w:rsidRPr="00150EDC">
        <w:rPr>
          <w:spacing w:val="-3"/>
          <w:sz w:val="24"/>
        </w:rPr>
        <w:t xml:space="preserve"> </w:t>
      </w:r>
      <w:r w:rsidRPr="00150EDC">
        <w:rPr>
          <w:sz w:val="24"/>
        </w:rPr>
        <w:t>that</w:t>
      </w:r>
      <w:r w:rsidRPr="00150EDC">
        <w:rPr>
          <w:spacing w:val="-1"/>
          <w:sz w:val="24"/>
        </w:rPr>
        <w:t xml:space="preserve"> </w:t>
      </w:r>
      <w:r w:rsidRPr="00150EDC">
        <w:rPr>
          <w:sz w:val="24"/>
        </w:rPr>
        <w:t>could</w:t>
      </w:r>
      <w:r w:rsidRPr="00150EDC">
        <w:rPr>
          <w:spacing w:val="-1"/>
          <w:sz w:val="24"/>
        </w:rPr>
        <w:t xml:space="preserve"> </w:t>
      </w:r>
      <w:r w:rsidRPr="00150EDC">
        <w:rPr>
          <w:sz w:val="24"/>
        </w:rPr>
        <w:t>directly</w:t>
      </w:r>
      <w:r w:rsidRPr="00150EDC">
        <w:rPr>
          <w:spacing w:val="-2"/>
          <w:sz w:val="24"/>
        </w:rPr>
        <w:t xml:space="preserve"> </w:t>
      </w:r>
      <w:r w:rsidRPr="00150EDC">
        <w:rPr>
          <w:sz w:val="24"/>
        </w:rPr>
        <w:t>or</w:t>
      </w:r>
      <w:r w:rsidRPr="00150EDC">
        <w:rPr>
          <w:spacing w:val="-3"/>
          <w:sz w:val="24"/>
        </w:rPr>
        <w:t xml:space="preserve"> </w:t>
      </w:r>
      <w:r w:rsidRPr="00150EDC">
        <w:rPr>
          <w:sz w:val="24"/>
        </w:rPr>
        <w:t>indirectly</w:t>
      </w:r>
      <w:r w:rsidRPr="00150EDC">
        <w:rPr>
          <w:spacing w:val="-2"/>
          <w:sz w:val="24"/>
        </w:rPr>
        <w:t xml:space="preserve"> </w:t>
      </w:r>
      <w:r w:rsidRPr="00150EDC">
        <w:rPr>
          <w:sz w:val="24"/>
        </w:rPr>
        <w:t>have</w:t>
      </w:r>
      <w:r w:rsidRPr="00150EDC">
        <w:rPr>
          <w:spacing w:val="-3"/>
          <w:sz w:val="24"/>
        </w:rPr>
        <w:t xml:space="preserve"> </w:t>
      </w:r>
      <w:r w:rsidRPr="00150EDC">
        <w:rPr>
          <w:sz w:val="24"/>
        </w:rPr>
        <w:t>an</w:t>
      </w:r>
      <w:r w:rsidRPr="00150EDC">
        <w:rPr>
          <w:spacing w:val="-3"/>
          <w:sz w:val="24"/>
        </w:rPr>
        <w:t xml:space="preserve"> </w:t>
      </w:r>
      <w:r w:rsidRPr="00150EDC">
        <w:rPr>
          <w:sz w:val="24"/>
        </w:rPr>
        <w:t>impact</w:t>
      </w:r>
      <w:r w:rsidRPr="00150EDC">
        <w:rPr>
          <w:spacing w:val="-1"/>
          <w:sz w:val="24"/>
        </w:rPr>
        <w:t xml:space="preserve"> </w:t>
      </w:r>
      <w:r w:rsidRPr="00150EDC">
        <w:rPr>
          <w:sz w:val="24"/>
        </w:rPr>
        <w:t>on</w:t>
      </w:r>
      <w:r w:rsidRPr="00150EDC">
        <w:rPr>
          <w:spacing w:val="-1"/>
          <w:sz w:val="24"/>
        </w:rPr>
        <w:t xml:space="preserve"> </w:t>
      </w:r>
      <w:r w:rsidRPr="00150EDC">
        <w:rPr>
          <w:sz w:val="24"/>
        </w:rPr>
        <w:t>that Information, data and/or the Deliverables;</w:t>
      </w:r>
    </w:p>
    <w:p w14:paraId="4B0F5942" w14:textId="77777777" w:rsidR="004C7180" w:rsidRPr="00150EDC" w:rsidRDefault="00CF0754" w:rsidP="00B320C7">
      <w:pPr>
        <w:pStyle w:val="ListParagraph"/>
        <w:numPr>
          <w:ilvl w:val="3"/>
          <w:numId w:val="41"/>
        </w:numPr>
        <w:tabs>
          <w:tab w:val="left" w:pos="3643"/>
          <w:tab w:val="left" w:pos="3819"/>
        </w:tabs>
        <w:spacing w:before="130" w:line="237" w:lineRule="auto"/>
        <w:ind w:right="1467" w:hanging="540"/>
        <w:rPr>
          <w:sz w:val="24"/>
        </w:rPr>
      </w:pPr>
      <w:r w:rsidRPr="00150EDC">
        <w:rPr>
          <w:sz w:val="24"/>
        </w:rPr>
        <w:t>be developed to protect all aspects of the Deliverables and all processes associated with the provision of the Deliverables, including the Buyer Premises, the Sites, and any ICT, Information and data (including the Buyer’s Confidential Information and the Government Data) to the extent used by the</w:t>
      </w:r>
      <w:r w:rsidRPr="00150EDC">
        <w:rPr>
          <w:spacing w:val="-2"/>
          <w:sz w:val="24"/>
        </w:rPr>
        <w:t xml:space="preserve"> </w:t>
      </w:r>
      <w:r w:rsidRPr="00150EDC">
        <w:rPr>
          <w:sz w:val="24"/>
        </w:rPr>
        <w:t>Buyer</w:t>
      </w:r>
      <w:r w:rsidRPr="00150EDC">
        <w:rPr>
          <w:spacing w:val="-6"/>
          <w:sz w:val="24"/>
        </w:rPr>
        <w:t xml:space="preserve"> </w:t>
      </w:r>
      <w:r w:rsidRPr="00150EDC">
        <w:rPr>
          <w:sz w:val="24"/>
        </w:rPr>
        <w:t>or</w:t>
      </w:r>
      <w:r w:rsidRPr="00150EDC">
        <w:rPr>
          <w:spacing w:val="-4"/>
          <w:sz w:val="24"/>
        </w:rPr>
        <w:t xml:space="preserve"> </w:t>
      </w:r>
      <w:r w:rsidRPr="00150EDC">
        <w:rPr>
          <w:sz w:val="24"/>
        </w:rPr>
        <w:t>the</w:t>
      </w:r>
      <w:r w:rsidRPr="00150EDC">
        <w:rPr>
          <w:spacing w:val="-4"/>
          <w:sz w:val="24"/>
        </w:rPr>
        <w:t xml:space="preserve"> </w:t>
      </w:r>
      <w:r w:rsidRPr="00150EDC">
        <w:rPr>
          <w:sz w:val="24"/>
        </w:rPr>
        <w:t>Supplier</w:t>
      </w:r>
      <w:r w:rsidRPr="00150EDC">
        <w:rPr>
          <w:spacing w:val="-4"/>
          <w:sz w:val="24"/>
        </w:rPr>
        <w:t xml:space="preserve"> </w:t>
      </w:r>
      <w:r w:rsidRPr="00150EDC">
        <w:rPr>
          <w:sz w:val="24"/>
        </w:rPr>
        <w:t>in</w:t>
      </w:r>
      <w:r w:rsidRPr="00150EDC">
        <w:rPr>
          <w:spacing w:val="-2"/>
          <w:sz w:val="24"/>
        </w:rPr>
        <w:t xml:space="preserve"> </w:t>
      </w:r>
      <w:r w:rsidRPr="00150EDC">
        <w:rPr>
          <w:sz w:val="24"/>
        </w:rPr>
        <w:t>connection</w:t>
      </w:r>
      <w:r w:rsidRPr="00150EDC">
        <w:rPr>
          <w:spacing w:val="-2"/>
          <w:sz w:val="24"/>
        </w:rPr>
        <w:t xml:space="preserve"> </w:t>
      </w:r>
      <w:r w:rsidRPr="00150EDC">
        <w:rPr>
          <w:sz w:val="24"/>
        </w:rPr>
        <w:t>with</w:t>
      </w:r>
      <w:r w:rsidRPr="00150EDC">
        <w:rPr>
          <w:spacing w:val="-4"/>
          <w:sz w:val="24"/>
        </w:rPr>
        <w:t xml:space="preserve"> </w:t>
      </w:r>
      <w:r w:rsidRPr="00150EDC">
        <w:rPr>
          <w:sz w:val="24"/>
        </w:rPr>
        <w:t>this</w:t>
      </w:r>
      <w:r w:rsidRPr="00150EDC">
        <w:rPr>
          <w:spacing w:val="-3"/>
          <w:sz w:val="24"/>
        </w:rPr>
        <w:t xml:space="preserve"> </w:t>
      </w:r>
      <w:r w:rsidRPr="00150EDC">
        <w:rPr>
          <w:sz w:val="24"/>
        </w:rPr>
        <w:t>Contract</w:t>
      </w:r>
      <w:r w:rsidRPr="00150EDC">
        <w:rPr>
          <w:spacing w:val="-5"/>
          <w:sz w:val="24"/>
        </w:rPr>
        <w:t xml:space="preserve"> </w:t>
      </w:r>
      <w:r w:rsidRPr="00150EDC">
        <w:rPr>
          <w:sz w:val="24"/>
        </w:rPr>
        <w:t>or</w:t>
      </w:r>
      <w:r w:rsidRPr="00150EDC">
        <w:rPr>
          <w:spacing w:val="-4"/>
          <w:sz w:val="24"/>
        </w:rPr>
        <w:t xml:space="preserve"> </w:t>
      </w:r>
      <w:r w:rsidRPr="00150EDC">
        <w:rPr>
          <w:sz w:val="24"/>
        </w:rPr>
        <w:t xml:space="preserve">in connection with any system that could directly or indirectly have an impact on that Information, data and/or the </w:t>
      </w:r>
      <w:r w:rsidRPr="00150EDC">
        <w:rPr>
          <w:spacing w:val="-2"/>
          <w:sz w:val="24"/>
        </w:rPr>
        <w:t>Deliverables;</w:t>
      </w:r>
    </w:p>
    <w:p w14:paraId="26E00D46" w14:textId="77777777" w:rsidR="004C7180" w:rsidRPr="00150EDC" w:rsidRDefault="00CF0754" w:rsidP="00B320C7">
      <w:pPr>
        <w:pStyle w:val="ListParagraph"/>
        <w:numPr>
          <w:ilvl w:val="3"/>
          <w:numId w:val="41"/>
        </w:numPr>
        <w:tabs>
          <w:tab w:val="left" w:pos="3642"/>
          <w:tab w:val="left" w:pos="3819"/>
        </w:tabs>
        <w:spacing w:before="130" w:line="237" w:lineRule="auto"/>
        <w:ind w:right="1493" w:hanging="540"/>
        <w:rPr>
          <w:sz w:val="24"/>
        </w:rPr>
      </w:pPr>
      <w:r w:rsidRPr="00150EDC">
        <w:rPr>
          <w:sz w:val="24"/>
        </w:rPr>
        <w:t>set out the security measures to be implemented and maintained by the Supplier in relation to all aspects of the Deliverables and all processes associated with the provision of the Goods and/or Services and shall at all times comply with</w:t>
      </w:r>
      <w:r w:rsidRPr="00150EDC">
        <w:rPr>
          <w:spacing w:val="-3"/>
          <w:sz w:val="24"/>
        </w:rPr>
        <w:t xml:space="preserve"> </w:t>
      </w:r>
      <w:r w:rsidRPr="00150EDC">
        <w:rPr>
          <w:sz w:val="24"/>
        </w:rPr>
        <w:t>and</w:t>
      </w:r>
      <w:r w:rsidRPr="00150EDC">
        <w:rPr>
          <w:spacing w:val="-3"/>
          <w:sz w:val="24"/>
        </w:rPr>
        <w:t xml:space="preserve"> </w:t>
      </w:r>
      <w:r w:rsidRPr="00150EDC">
        <w:rPr>
          <w:sz w:val="24"/>
        </w:rPr>
        <w:t>specify</w:t>
      </w:r>
      <w:r w:rsidRPr="00150EDC">
        <w:rPr>
          <w:spacing w:val="-6"/>
          <w:sz w:val="24"/>
        </w:rPr>
        <w:t xml:space="preserve"> </w:t>
      </w:r>
      <w:r w:rsidRPr="00150EDC">
        <w:rPr>
          <w:sz w:val="24"/>
        </w:rPr>
        <w:t>security</w:t>
      </w:r>
      <w:r w:rsidRPr="00150EDC">
        <w:rPr>
          <w:spacing w:val="-4"/>
          <w:sz w:val="24"/>
        </w:rPr>
        <w:t xml:space="preserve"> </w:t>
      </w:r>
      <w:r w:rsidRPr="00150EDC">
        <w:rPr>
          <w:sz w:val="24"/>
        </w:rPr>
        <w:t>measures</w:t>
      </w:r>
      <w:r w:rsidRPr="00150EDC">
        <w:rPr>
          <w:spacing w:val="-6"/>
          <w:sz w:val="24"/>
        </w:rPr>
        <w:t xml:space="preserve"> </w:t>
      </w:r>
      <w:r w:rsidRPr="00150EDC">
        <w:rPr>
          <w:sz w:val="24"/>
        </w:rPr>
        <w:t>and</w:t>
      </w:r>
      <w:r w:rsidRPr="00150EDC">
        <w:rPr>
          <w:spacing w:val="-3"/>
          <w:sz w:val="24"/>
        </w:rPr>
        <w:t xml:space="preserve"> </w:t>
      </w:r>
      <w:r w:rsidRPr="00150EDC">
        <w:rPr>
          <w:sz w:val="24"/>
        </w:rPr>
        <w:t>procedures</w:t>
      </w:r>
      <w:r w:rsidRPr="00150EDC">
        <w:rPr>
          <w:spacing w:val="-4"/>
          <w:sz w:val="24"/>
        </w:rPr>
        <w:t xml:space="preserve"> </w:t>
      </w:r>
      <w:r w:rsidRPr="00150EDC">
        <w:rPr>
          <w:sz w:val="24"/>
        </w:rPr>
        <w:t>which</w:t>
      </w:r>
      <w:r w:rsidRPr="00150EDC">
        <w:rPr>
          <w:spacing w:val="-5"/>
          <w:sz w:val="24"/>
        </w:rPr>
        <w:t xml:space="preserve"> </w:t>
      </w:r>
      <w:r w:rsidRPr="00150EDC">
        <w:rPr>
          <w:sz w:val="24"/>
        </w:rPr>
        <w:t>are sufficient to ensure that the Deliverables comply with the provisions of this Contract;</w:t>
      </w:r>
    </w:p>
    <w:p w14:paraId="7C69F72A" w14:textId="63631DFA" w:rsidR="004C7180" w:rsidRPr="00150EDC" w:rsidRDefault="00CF0754" w:rsidP="00B320C7">
      <w:pPr>
        <w:pStyle w:val="ListParagraph"/>
        <w:numPr>
          <w:ilvl w:val="3"/>
          <w:numId w:val="41"/>
        </w:numPr>
        <w:tabs>
          <w:tab w:val="left" w:pos="3642"/>
          <w:tab w:val="left" w:pos="3819"/>
        </w:tabs>
        <w:spacing w:before="126" w:line="237" w:lineRule="auto"/>
        <w:ind w:right="1533" w:hanging="540"/>
        <w:rPr>
          <w:sz w:val="24"/>
        </w:rPr>
      </w:pPr>
      <w:r w:rsidRPr="00150EDC">
        <w:rPr>
          <w:sz w:val="24"/>
        </w:rPr>
        <w:t>set</w:t>
      </w:r>
      <w:r w:rsidRPr="00150EDC">
        <w:rPr>
          <w:spacing w:val="-2"/>
          <w:sz w:val="24"/>
        </w:rPr>
        <w:t xml:space="preserve"> </w:t>
      </w:r>
      <w:r w:rsidRPr="00150EDC">
        <w:rPr>
          <w:sz w:val="24"/>
        </w:rPr>
        <w:t>out</w:t>
      </w:r>
      <w:r w:rsidRPr="00150EDC">
        <w:rPr>
          <w:spacing w:val="-2"/>
          <w:sz w:val="24"/>
        </w:rPr>
        <w:t xml:space="preserve"> </w:t>
      </w:r>
      <w:r w:rsidRPr="00150EDC">
        <w:rPr>
          <w:sz w:val="24"/>
        </w:rPr>
        <w:t>the</w:t>
      </w:r>
      <w:r w:rsidRPr="00150EDC">
        <w:rPr>
          <w:spacing w:val="-4"/>
          <w:sz w:val="24"/>
        </w:rPr>
        <w:t xml:space="preserve"> </w:t>
      </w:r>
      <w:r w:rsidRPr="00150EDC">
        <w:rPr>
          <w:sz w:val="24"/>
        </w:rPr>
        <w:t>plans</w:t>
      </w:r>
      <w:r w:rsidRPr="00150EDC">
        <w:rPr>
          <w:spacing w:val="-5"/>
          <w:sz w:val="24"/>
        </w:rPr>
        <w:t xml:space="preserve"> </w:t>
      </w:r>
      <w:r w:rsidRPr="00150EDC">
        <w:rPr>
          <w:sz w:val="24"/>
        </w:rPr>
        <w:t>for</w:t>
      </w:r>
      <w:r w:rsidRPr="00150EDC">
        <w:rPr>
          <w:spacing w:val="-4"/>
          <w:sz w:val="24"/>
        </w:rPr>
        <w:t xml:space="preserve"> </w:t>
      </w:r>
      <w:r w:rsidRPr="00150EDC">
        <w:rPr>
          <w:sz w:val="24"/>
        </w:rPr>
        <w:t>transitioning</w:t>
      </w:r>
      <w:r w:rsidRPr="00150EDC">
        <w:rPr>
          <w:spacing w:val="-4"/>
          <w:sz w:val="24"/>
        </w:rPr>
        <w:t xml:space="preserve"> </w:t>
      </w:r>
      <w:r w:rsidRPr="00150EDC">
        <w:rPr>
          <w:sz w:val="24"/>
        </w:rPr>
        <w:t>all</w:t>
      </w:r>
      <w:r w:rsidRPr="00150EDC">
        <w:rPr>
          <w:spacing w:val="-3"/>
          <w:sz w:val="24"/>
        </w:rPr>
        <w:t xml:space="preserve"> </w:t>
      </w:r>
      <w:r w:rsidRPr="00150EDC">
        <w:rPr>
          <w:sz w:val="24"/>
        </w:rPr>
        <w:t>security</w:t>
      </w:r>
      <w:r w:rsidRPr="00150EDC">
        <w:rPr>
          <w:spacing w:val="-3"/>
          <w:sz w:val="24"/>
        </w:rPr>
        <w:t xml:space="preserve"> </w:t>
      </w:r>
      <w:r w:rsidRPr="00150EDC">
        <w:rPr>
          <w:sz w:val="24"/>
        </w:rPr>
        <w:t>arrangements</w:t>
      </w:r>
      <w:r w:rsidRPr="00150EDC">
        <w:rPr>
          <w:spacing w:val="-3"/>
          <w:sz w:val="24"/>
        </w:rPr>
        <w:t xml:space="preserve"> </w:t>
      </w:r>
      <w:r w:rsidRPr="00150EDC">
        <w:rPr>
          <w:sz w:val="24"/>
        </w:rPr>
        <w:t xml:space="preserve">and responsibilities for the Supplier to meet the full obligations of the security requirements set out in this Contract and, where necessary in accordance with paragraph 2.2 the Security </w:t>
      </w:r>
      <w:r w:rsidR="000C2370" w:rsidRPr="00150EDC">
        <w:rPr>
          <w:sz w:val="24"/>
        </w:rPr>
        <w:t>requirements</w:t>
      </w:r>
      <w:r w:rsidRPr="00150EDC">
        <w:rPr>
          <w:sz w:val="24"/>
        </w:rPr>
        <w:t>; and</w:t>
      </w:r>
    </w:p>
    <w:p w14:paraId="083C0411" w14:textId="77777777" w:rsidR="004C7180" w:rsidRPr="00150EDC" w:rsidRDefault="00CF0754" w:rsidP="00B320C7">
      <w:pPr>
        <w:pStyle w:val="ListParagraph"/>
        <w:numPr>
          <w:ilvl w:val="3"/>
          <w:numId w:val="41"/>
        </w:numPr>
        <w:tabs>
          <w:tab w:val="left" w:pos="3642"/>
          <w:tab w:val="left" w:pos="3819"/>
        </w:tabs>
        <w:spacing w:before="121" w:line="237" w:lineRule="auto"/>
        <w:ind w:right="1838" w:hanging="540"/>
        <w:rPr>
          <w:sz w:val="24"/>
        </w:rPr>
      </w:pPr>
      <w:r w:rsidRPr="00150EDC">
        <w:rPr>
          <w:sz w:val="24"/>
        </w:rPr>
        <w:t>be written in plain English in language which is readily comprehensible to the staff of the Supplier and the Buyer engaged</w:t>
      </w:r>
      <w:r w:rsidRPr="00150EDC">
        <w:rPr>
          <w:spacing w:val="-3"/>
          <w:sz w:val="24"/>
        </w:rPr>
        <w:t xml:space="preserve"> </w:t>
      </w:r>
      <w:r w:rsidRPr="00150EDC">
        <w:rPr>
          <w:sz w:val="24"/>
        </w:rPr>
        <w:t>in</w:t>
      </w:r>
      <w:r w:rsidRPr="00150EDC">
        <w:rPr>
          <w:spacing w:val="-3"/>
          <w:sz w:val="24"/>
        </w:rPr>
        <w:t xml:space="preserve"> </w:t>
      </w:r>
      <w:r w:rsidRPr="00150EDC">
        <w:rPr>
          <w:sz w:val="24"/>
        </w:rPr>
        <w:t>the</w:t>
      </w:r>
      <w:r w:rsidRPr="00150EDC">
        <w:rPr>
          <w:spacing w:val="-5"/>
          <w:sz w:val="24"/>
        </w:rPr>
        <w:t xml:space="preserve"> </w:t>
      </w:r>
      <w:r w:rsidRPr="00150EDC">
        <w:rPr>
          <w:sz w:val="24"/>
        </w:rPr>
        <w:t>provision</w:t>
      </w:r>
      <w:r w:rsidRPr="00150EDC">
        <w:rPr>
          <w:spacing w:val="-3"/>
          <w:sz w:val="24"/>
        </w:rPr>
        <w:t xml:space="preserve"> </w:t>
      </w:r>
      <w:r w:rsidRPr="00150EDC">
        <w:rPr>
          <w:sz w:val="24"/>
        </w:rPr>
        <w:t>of</w:t>
      </w:r>
      <w:r w:rsidRPr="00150EDC">
        <w:rPr>
          <w:spacing w:val="-3"/>
          <w:sz w:val="24"/>
        </w:rPr>
        <w:t xml:space="preserve"> </w:t>
      </w:r>
      <w:r w:rsidRPr="00150EDC">
        <w:rPr>
          <w:sz w:val="24"/>
        </w:rPr>
        <w:t>the</w:t>
      </w:r>
      <w:r w:rsidRPr="00150EDC">
        <w:rPr>
          <w:spacing w:val="-3"/>
          <w:sz w:val="24"/>
        </w:rPr>
        <w:t xml:space="preserve"> </w:t>
      </w:r>
      <w:r w:rsidRPr="00150EDC">
        <w:rPr>
          <w:sz w:val="24"/>
        </w:rPr>
        <w:t>Deliverables</w:t>
      </w:r>
      <w:r w:rsidRPr="00150EDC">
        <w:rPr>
          <w:spacing w:val="-6"/>
          <w:sz w:val="24"/>
        </w:rPr>
        <w:t xml:space="preserve"> </w:t>
      </w:r>
      <w:r w:rsidRPr="00150EDC">
        <w:rPr>
          <w:sz w:val="24"/>
        </w:rPr>
        <w:t>and</w:t>
      </w:r>
      <w:r w:rsidRPr="00150EDC">
        <w:rPr>
          <w:spacing w:val="-3"/>
          <w:sz w:val="24"/>
        </w:rPr>
        <w:t xml:space="preserve"> </w:t>
      </w:r>
      <w:r w:rsidRPr="00150EDC">
        <w:rPr>
          <w:sz w:val="24"/>
        </w:rPr>
        <w:t>shall</w:t>
      </w:r>
      <w:r w:rsidRPr="00150EDC">
        <w:rPr>
          <w:spacing w:val="-4"/>
          <w:sz w:val="24"/>
        </w:rPr>
        <w:t xml:space="preserve"> </w:t>
      </w:r>
      <w:r w:rsidRPr="00150EDC">
        <w:rPr>
          <w:sz w:val="24"/>
        </w:rPr>
        <w:t xml:space="preserve">only reference documents which are in the possession of the Parties or whose location is otherwise specified in this </w:t>
      </w:r>
      <w:r w:rsidRPr="00150EDC">
        <w:rPr>
          <w:spacing w:val="-2"/>
          <w:sz w:val="24"/>
        </w:rPr>
        <w:t>Schedule.</w:t>
      </w:r>
    </w:p>
    <w:p w14:paraId="0174B2C2" w14:textId="77777777" w:rsidR="004C7180" w:rsidRPr="00150EDC" w:rsidRDefault="004C7180">
      <w:pPr>
        <w:spacing w:line="237" w:lineRule="auto"/>
        <w:rPr>
          <w:sz w:val="24"/>
        </w:rPr>
        <w:sectPr w:rsidR="004C7180" w:rsidRPr="00150EDC">
          <w:pgSz w:w="11910" w:h="16840"/>
          <w:pgMar w:top="1380" w:right="0" w:bottom="1380" w:left="40" w:header="715" w:footer="1192" w:gutter="0"/>
          <w:cols w:space="720"/>
        </w:sectPr>
      </w:pPr>
    </w:p>
    <w:p w14:paraId="74FA60E4" w14:textId="77777777" w:rsidR="004C7180" w:rsidRPr="00150EDC" w:rsidRDefault="004C7180">
      <w:pPr>
        <w:pStyle w:val="BodyText"/>
        <w:spacing w:before="1"/>
        <w:rPr>
          <w:sz w:val="12"/>
        </w:rPr>
      </w:pPr>
    </w:p>
    <w:p w14:paraId="4463EF4F" w14:textId="77777777" w:rsidR="004C7180" w:rsidRPr="00150EDC" w:rsidRDefault="00CF0754" w:rsidP="00B320C7">
      <w:pPr>
        <w:pStyle w:val="Heading4"/>
        <w:numPr>
          <w:ilvl w:val="1"/>
          <w:numId w:val="41"/>
        </w:numPr>
        <w:tabs>
          <w:tab w:val="left" w:pos="2302"/>
        </w:tabs>
        <w:spacing w:before="92"/>
        <w:ind w:hanging="566"/>
      </w:pPr>
      <w:r w:rsidRPr="00150EDC">
        <w:t>Development</w:t>
      </w:r>
      <w:r w:rsidRPr="00150EDC">
        <w:rPr>
          <w:spacing w:val="-5"/>
        </w:rPr>
        <w:t xml:space="preserve"> </w:t>
      </w:r>
      <w:r w:rsidRPr="00150EDC">
        <w:t>of</w:t>
      </w:r>
      <w:r w:rsidRPr="00150EDC">
        <w:rPr>
          <w:spacing w:val="-3"/>
        </w:rPr>
        <w:t xml:space="preserve"> </w:t>
      </w:r>
      <w:r w:rsidRPr="00150EDC">
        <w:t>the</w:t>
      </w:r>
      <w:r w:rsidRPr="00150EDC">
        <w:rPr>
          <w:spacing w:val="-2"/>
        </w:rPr>
        <w:t xml:space="preserve"> </w:t>
      </w:r>
      <w:r w:rsidRPr="00150EDC">
        <w:t>Security</w:t>
      </w:r>
      <w:r w:rsidRPr="00150EDC">
        <w:rPr>
          <w:spacing w:val="-1"/>
        </w:rPr>
        <w:t xml:space="preserve"> </w:t>
      </w:r>
      <w:r w:rsidRPr="00150EDC">
        <w:t>Management</w:t>
      </w:r>
      <w:r w:rsidRPr="00150EDC">
        <w:rPr>
          <w:spacing w:val="-4"/>
        </w:rPr>
        <w:t xml:space="preserve"> Plan</w:t>
      </w:r>
    </w:p>
    <w:p w14:paraId="48E07F0B" w14:textId="77777777" w:rsidR="004C7180" w:rsidRPr="00150EDC" w:rsidRDefault="00CF0754" w:rsidP="00B320C7">
      <w:pPr>
        <w:pStyle w:val="ListParagraph"/>
        <w:numPr>
          <w:ilvl w:val="2"/>
          <w:numId w:val="41"/>
        </w:numPr>
        <w:tabs>
          <w:tab w:val="left" w:pos="3277"/>
          <w:tab w:val="left" w:pos="3279"/>
        </w:tabs>
        <w:spacing w:before="120"/>
        <w:ind w:right="1820"/>
        <w:rPr>
          <w:sz w:val="24"/>
          <w:szCs w:val="24"/>
        </w:rPr>
      </w:pPr>
      <w:r w:rsidRPr="00150EDC">
        <w:rPr>
          <w:sz w:val="24"/>
          <w:szCs w:val="24"/>
        </w:rPr>
        <w:t>Within twenty (20) Working Days after the Start Date and in accordance with Paragraph 4.4, the Supplier shall prepare and deliver</w:t>
      </w:r>
      <w:r w:rsidRPr="00150EDC">
        <w:rPr>
          <w:spacing w:val="-3"/>
          <w:sz w:val="24"/>
          <w:szCs w:val="24"/>
        </w:rPr>
        <w:t xml:space="preserve"> </w:t>
      </w:r>
      <w:r w:rsidRPr="00150EDC">
        <w:rPr>
          <w:sz w:val="24"/>
          <w:szCs w:val="24"/>
        </w:rPr>
        <w:t>to</w:t>
      </w:r>
      <w:r w:rsidRPr="00150EDC">
        <w:rPr>
          <w:spacing w:val="-3"/>
          <w:sz w:val="24"/>
          <w:szCs w:val="24"/>
        </w:rPr>
        <w:t xml:space="preserve"> </w:t>
      </w:r>
      <w:r w:rsidRPr="00150EDC">
        <w:rPr>
          <w:sz w:val="24"/>
          <w:szCs w:val="24"/>
        </w:rPr>
        <w:t>the</w:t>
      </w:r>
      <w:r w:rsidRPr="00150EDC">
        <w:rPr>
          <w:spacing w:val="-3"/>
          <w:sz w:val="24"/>
          <w:szCs w:val="24"/>
        </w:rPr>
        <w:t xml:space="preserve"> </w:t>
      </w:r>
      <w:r w:rsidRPr="00150EDC">
        <w:rPr>
          <w:sz w:val="24"/>
          <w:szCs w:val="24"/>
        </w:rPr>
        <w:t>Buyer</w:t>
      </w:r>
      <w:r w:rsidRPr="00150EDC">
        <w:rPr>
          <w:spacing w:val="-3"/>
          <w:sz w:val="24"/>
          <w:szCs w:val="24"/>
        </w:rPr>
        <w:t xml:space="preserve"> </w:t>
      </w:r>
      <w:r w:rsidRPr="00150EDC">
        <w:rPr>
          <w:sz w:val="24"/>
          <w:szCs w:val="24"/>
        </w:rPr>
        <w:t>for</w:t>
      </w:r>
      <w:r w:rsidRPr="00150EDC">
        <w:rPr>
          <w:spacing w:val="-5"/>
          <w:sz w:val="24"/>
          <w:szCs w:val="24"/>
        </w:rPr>
        <w:t xml:space="preserve"> </w:t>
      </w:r>
      <w:r w:rsidRPr="00150EDC">
        <w:rPr>
          <w:sz w:val="24"/>
          <w:szCs w:val="24"/>
        </w:rPr>
        <w:t>Approval</w:t>
      </w:r>
      <w:r w:rsidRPr="00150EDC">
        <w:rPr>
          <w:spacing w:val="-2"/>
          <w:sz w:val="24"/>
          <w:szCs w:val="24"/>
        </w:rPr>
        <w:t xml:space="preserve"> </w:t>
      </w:r>
      <w:r w:rsidRPr="00150EDC">
        <w:rPr>
          <w:sz w:val="24"/>
          <w:szCs w:val="24"/>
        </w:rPr>
        <w:t>a</w:t>
      </w:r>
      <w:r w:rsidRPr="00150EDC">
        <w:rPr>
          <w:spacing w:val="-3"/>
          <w:sz w:val="24"/>
          <w:szCs w:val="24"/>
        </w:rPr>
        <w:t xml:space="preserve"> </w:t>
      </w:r>
      <w:r w:rsidRPr="00150EDC">
        <w:rPr>
          <w:sz w:val="24"/>
          <w:szCs w:val="24"/>
        </w:rPr>
        <w:t>fully</w:t>
      </w:r>
      <w:r w:rsidRPr="00150EDC">
        <w:rPr>
          <w:spacing w:val="-2"/>
          <w:sz w:val="24"/>
          <w:szCs w:val="24"/>
        </w:rPr>
        <w:t xml:space="preserve"> </w:t>
      </w:r>
      <w:r w:rsidRPr="00150EDC">
        <w:rPr>
          <w:sz w:val="24"/>
          <w:szCs w:val="24"/>
        </w:rPr>
        <w:t>complete</w:t>
      </w:r>
      <w:r w:rsidRPr="00150EDC">
        <w:rPr>
          <w:spacing w:val="-3"/>
          <w:sz w:val="24"/>
          <w:szCs w:val="24"/>
        </w:rPr>
        <w:t xml:space="preserve"> </w:t>
      </w:r>
      <w:r w:rsidRPr="00150EDC">
        <w:rPr>
          <w:sz w:val="24"/>
          <w:szCs w:val="24"/>
        </w:rPr>
        <w:t>and</w:t>
      </w:r>
      <w:r w:rsidRPr="00150EDC">
        <w:rPr>
          <w:spacing w:val="-3"/>
          <w:sz w:val="24"/>
          <w:szCs w:val="24"/>
        </w:rPr>
        <w:t xml:space="preserve"> </w:t>
      </w:r>
      <w:r w:rsidRPr="00150EDC">
        <w:rPr>
          <w:sz w:val="24"/>
          <w:szCs w:val="24"/>
        </w:rPr>
        <w:t>up</w:t>
      </w:r>
      <w:r w:rsidRPr="00150EDC">
        <w:rPr>
          <w:spacing w:val="-3"/>
          <w:sz w:val="24"/>
          <w:szCs w:val="24"/>
        </w:rPr>
        <w:t xml:space="preserve"> </w:t>
      </w:r>
      <w:r w:rsidRPr="00150EDC">
        <w:rPr>
          <w:sz w:val="24"/>
          <w:szCs w:val="24"/>
        </w:rPr>
        <w:t>to</w:t>
      </w:r>
      <w:r w:rsidRPr="00150EDC">
        <w:rPr>
          <w:spacing w:val="-3"/>
          <w:sz w:val="24"/>
          <w:szCs w:val="24"/>
        </w:rPr>
        <w:t xml:space="preserve"> </w:t>
      </w:r>
      <w:r w:rsidRPr="00150EDC">
        <w:rPr>
          <w:sz w:val="24"/>
          <w:szCs w:val="24"/>
        </w:rPr>
        <w:t>date Security Management Plan which will be based on the draft Security Management Plan.</w:t>
      </w:r>
    </w:p>
    <w:p w14:paraId="67769E90" w14:textId="77777777" w:rsidR="004C7180" w:rsidRPr="00150EDC" w:rsidRDefault="00CF0754" w:rsidP="00B320C7">
      <w:pPr>
        <w:pStyle w:val="ListParagraph"/>
        <w:numPr>
          <w:ilvl w:val="2"/>
          <w:numId w:val="41"/>
        </w:numPr>
        <w:tabs>
          <w:tab w:val="left" w:pos="3277"/>
          <w:tab w:val="left" w:pos="3279"/>
        </w:tabs>
        <w:spacing w:before="121"/>
        <w:ind w:right="1604"/>
        <w:rPr>
          <w:sz w:val="24"/>
        </w:rPr>
      </w:pPr>
      <w:r w:rsidRPr="00150EDC">
        <w:rPr>
          <w:sz w:val="24"/>
        </w:rPr>
        <w:t>If the Security Management Plan submitted to the Buyer in accordance</w:t>
      </w:r>
      <w:r w:rsidRPr="00150EDC">
        <w:rPr>
          <w:spacing w:val="-3"/>
          <w:sz w:val="24"/>
        </w:rPr>
        <w:t xml:space="preserve"> </w:t>
      </w:r>
      <w:r w:rsidRPr="00150EDC">
        <w:rPr>
          <w:sz w:val="24"/>
        </w:rPr>
        <w:t>with</w:t>
      </w:r>
      <w:r w:rsidRPr="00150EDC">
        <w:rPr>
          <w:spacing w:val="-5"/>
          <w:sz w:val="24"/>
        </w:rPr>
        <w:t xml:space="preserve"> </w:t>
      </w:r>
      <w:r w:rsidRPr="00150EDC">
        <w:rPr>
          <w:sz w:val="24"/>
        </w:rPr>
        <w:t>Paragraph</w:t>
      </w:r>
      <w:r w:rsidRPr="00150EDC">
        <w:rPr>
          <w:spacing w:val="-3"/>
          <w:sz w:val="24"/>
        </w:rPr>
        <w:t xml:space="preserve"> </w:t>
      </w:r>
      <w:r w:rsidRPr="00150EDC">
        <w:rPr>
          <w:sz w:val="24"/>
        </w:rPr>
        <w:t>4.3.1,</w:t>
      </w:r>
      <w:r w:rsidRPr="00150EDC">
        <w:rPr>
          <w:spacing w:val="-3"/>
          <w:sz w:val="24"/>
        </w:rPr>
        <w:t xml:space="preserve"> </w:t>
      </w:r>
      <w:r w:rsidRPr="00150EDC">
        <w:rPr>
          <w:sz w:val="24"/>
        </w:rPr>
        <w:t>or</w:t>
      </w:r>
      <w:r w:rsidRPr="00150EDC">
        <w:rPr>
          <w:spacing w:val="-7"/>
          <w:sz w:val="24"/>
        </w:rPr>
        <w:t xml:space="preserve"> </w:t>
      </w:r>
      <w:r w:rsidRPr="00150EDC">
        <w:rPr>
          <w:sz w:val="24"/>
        </w:rPr>
        <w:t>any</w:t>
      </w:r>
      <w:r w:rsidRPr="00150EDC">
        <w:rPr>
          <w:spacing w:val="-4"/>
          <w:sz w:val="24"/>
        </w:rPr>
        <w:t xml:space="preserve"> </w:t>
      </w:r>
      <w:r w:rsidRPr="00150EDC">
        <w:rPr>
          <w:sz w:val="24"/>
        </w:rPr>
        <w:t>subsequent</w:t>
      </w:r>
      <w:r w:rsidRPr="00150EDC">
        <w:rPr>
          <w:spacing w:val="-3"/>
          <w:sz w:val="24"/>
        </w:rPr>
        <w:t xml:space="preserve"> </w:t>
      </w:r>
      <w:r w:rsidRPr="00150EDC">
        <w:rPr>
          <w:sz w:val="24"/>
        </w:rPr>
        <w:t>revision</w:t>
      </w:r>
      <w:r w:rsidRPr="00150EDC">
        <w:rPr>
          <w:spacing w:val="-3"/>
          <w:sz w:val="24"/>
        </w:rPr>
        <w:t xml:space="preserve"> </w:t>
      </w:r>
      <w:r w:rsidRPr="00150EDC">
        <w:rPr>
          <w:sz w:val="24"/>
        </w:rPr>
        <w:t>to</w:t>
      </w:r>
      <w:r w:rsidRPr="00150EDC">
        <w:rPr>
          <w:spacing w:val="-3"/>
          <w:sz w:val="24"/>
        </w:rPr>
        <w:t xml:space="preserve"> </w:t>
      </w:r>
      <w:r w:rsidRPr="00150EDC">
        <w:rPr>
          <w:sz w:val="24"/>
        </w:rPr>
        <w:t>it in accordance with Paragraph 4.4, is Approved it will be adopted immediately and will replace the previous version of the Security Management Plan and thereafter operated and maintained in accordance with this Schedule.</w:t>
      </w:r>
      <w:r w:rsidRPr="00150EDC">
        <w:rPr>
          <w:spacing w:val="40"/>
          <w:sz w:val="24"/>
        </w:rPr>
        <w:t xml:space="preserve"> </w:t>
      </w:r>
      <w:r w:rsidRPr="00150EDC">
        <w:rPr>
          <w:sz w:val="24"/>
        </w:rPr>
        <w:t>If the Security Management Plan is not Approved, the Supplier shall amend it within ten (10) Working Days of a notice of non-approval from the Buyer and re- submit to the Buyer for Approval.</w:t>
      </w:r>
      <w:r w:rsidRPr="00150EDC">
        <w:rPr>
          <w:spacing w:val="40"/>
          <w:sz w:val="24"/>
        </w:rPr>
        <w:t xml:space="preserve"> </w:t>
      </w:r>
      <w:r w:rsidRPr="00150EDC">
        <w:rPr>
          <w:sz w:val="24"/>
        </w:rPr>
        <w:t>The Parties will use all reasonable</w:t>
      </w:r>
      <w:r w:rsidRPr="00150EDC">
        <w:rPr>
          <w:spacing w:val="-5"/>
          <w:sz w:val="24"/>
        </w:rPr>
        <w:t xml:space="preserve"> </w:t>
      </w:r>
      <w:r w:rsidRPr="00150EDC">
        <w:rPr>
          <w:sz w:val="24"/>
        </w:rPr>
        <w:t>endeavours</w:t>
      </w:r>
      <w:r w:rsidRPr="00150EDC">
        <w:rPr>
          <w:spacing w:val="-4"/>
          <w:sz w:val="24"/>
        </w:rPr>
        <w:t xml:space="preserve"> </w:t>
      </w:r>
      <w:r w:rsidRPr="00150EDC">
        <w:rPr>
          <w:sz w:val="24"/>
        </w:rPr>
        <w:t>to</w:t>
      </w:r>
      <w:r w:rsidRPr="00150EDC">
        <w:rPr>
          <w:spacing w:val="-4"/>
          <w:sz w:val="24"/>
        </w:rPr>
        <w:t xml:space="preserve"> </w:t>
      </w:r>
      <w:r w:rsidRPr="00150EDC">
        <w:rPr>
          <w:sz w:val="24"/>
        </w:rPr>
        <w:t>ensure</w:t>
      </w:r>
      <w:r w:rsidRPr="00150EDC">
        <w:rPr>
          <w:spacing w:val="-5"/>
          <w:sz w:val="24"/>
        </w:rPr>
        <w:t xml:space="preserve"> </w:t>
      </w:r>
      <w:r w:rsidRPr="00150EDC">
        <w:rPr>
          <w:sz w:val="24"/>
        </w:rPr>
        <w:t>that</w:t>
      </w:r>
      <w:r w:rsidRPr="00150EDC">
        <w:rPr>
          <w:spacing w:val="-4"/>
          <w:sz w:val="24"/>
        </w:rPr>
        <w:t xml:space="preserve"> </w:t>
      </w:r>
      <w:r w:rsidRPr="00150EDC">
        <w:rPr>
          <w:sz w:val="24"/>
        </w:rPr>
        <w:t>the</w:t>
      </w:r>
      <w:r w:rsidRPr="00150EDC">
        <w:rPr>
          <w:spacing w:val="-4"/>
          <w:sz w:val="24"/>
        </w:rPr>
        <w:t xml:space="preserve"> </w:t>
      </w:r>
      <w:r w:rsidRPr="00150EDC">
        <w:rPr>
          <w:sz w:val="24"/>
        </w:rPr>
        <w:t>approval</w:t>
      </w:r>
      <w:r w:rsidRPr="00150EDC">
        <w:rPr>
          <w:spacing w:val="-4"/>
          <w:sz w:val="24"/>
        </w:rPr>
        <w:t xml:space="preserve"> </w:t>
      </w:r>
      <w:r w:rsidRPr="00150EDC">
        <w:rPr>
          <w:sz w:val="24"/>
        </w:rPr>
        <w:t>process</w:t>
      </w:r>
      <w:r w:rsidRPr="00150EDC">
        <w:rPr>
          <w:spacing w:val="-4"/>
          <w:sz w:val="24"/>
        </w:rPr>
        <w:t xml:space="preserve"> </w:t>
      </w:r>
      <w:r w:rsidRPr="00150EDC">
        <w:rPr>
          <w:sz w:val="24"/>
        </w:rPr>
        <w:t>takes as little time as possible and in any event no longer than fifteen</w:t>
      </w:r>
    </w:p>
    <w:p w14:paraId="4CADE4C9" w14:textId="77777777" w:rsidR="004C7180" w:rsidRPr="00150EDC" w:rsidRDefault="00CF0754">
      <w:pPr>
        <w:pStyle w:val="BodyText"/>
        <w:ind w:left="3279" w:right="1682"/>
      </w:pPr>
      <w:r w:rsidRPr="00150EDC">
        <w:t>(15) Working Days from the date of its first submission to the Buyer.</w:t>
      </w:r>
      <w:r w:rsidRPr="00150EDC">
        <w:rPr>
          <w:spacing w:val="40"/>
        </w:rPr>
        <w:t xml:space="preserve"> </w:t>
      </w:r>
      <w:r w:rsidRPr="00150EDC">
        <w:t>If</w:t>
      </w:r>
      <w:r w:rsidRPr="00150EDC">
        <w:rPr>
          <w:spacing w:val="-2"/>
        </w:rPr>
        <w:t xml:space="preserve"> </w:t>
      </w:r>
      <w:r w:rsidRPr="00150EDC">
        <w:t>the</w:t>
      </w:r>
      <w:r w:rsidRPr="00150EDC">
        <w:rPr>
          <w:spacing w:val="-5"/>
        </w:rPr>
        <w:t xml:space="preserve"> </w:t>
      </w:r>
      <w:r w:rsidRPr="00150EDC">
        <w:t>Buyer</w:t>
      </w:r>
      <w:r w:rsidRPr="00150EDC">
        <w:rPr>
          <w:spacing w:val="-6"/>
        </w:rPr>
        <w:t xml:space="preserve"> </w:t>
      </w:r>
      <w:r w:rsidRPr="00150EDC">
        <w:t>does</w:t>
      </w:r>
      <w:r w:rsidRPr="00150EDC">
        <w:rPr>
          <w:spacing w:val="-3"/>
        </w:rPr>
        <w:t xml:space="preserve"> </w:t>
      </w:r>
      <w:r w:rsidRPr="00150EDC">
        <w:t>not</w:t>
      </w:r>
      <w:r w:rsidRPr="00150EDC">
        <w:rPr>
          <w:spacing w:val="-2"/>
        </w:rPr>
        <w:t xml:space="preserve"> </w:t>
      </w:r>
      <w:r w:rsidRPr="00150EDC">
        <w:t>approve</w:t>
      </w:r>
      <w:r w:rsidRPr="00150EDC">
        <w:rPr>
          <w:spacing w:val="-4"/>
        </w:rPr>
        <w:t xml:space="preserve"> </w:t>
      </w:r>
      <w:r w:rsidRPr="00150EDC">
        <w:t>the</w:t>
      </w:r>
      <w:r w:rsidRPr="00150EDC">
        <w:rPr>
          <w:spacing w:val="-2"/>
        </w:rPr>
        <w:t xml:space="preserve"> </w:t>
      </w:r>
      <w:r w:rsidRPr="00150EDC">
        <w:t>Security</w:t>
      </w:r>
      <w:r w:rsidRPr="00150EDC">
        <w:rPr>
          <w:spacing w:val="-3"/>
        </w:rPr>
        <w:t xml:space="preserve"> </w:t>
      </w:r>
      <w:r w:rsidRPr="00150EDC">
        <w:t>Management Plan following its resubmission, the matter will be resolved in accordance with the Dispute Resolution Procedure.</w:t>
      </w:r>
    </w:p>
    <w:p w14:paraId="462ED121" w14:textId="77777777" w:rsidR="004C7180" w:rsidRPr="00150EDC" w:rsidRDefault="00CF0754" w:rsidP="00B320C7">
      <w:pPr>
        <w:pStyle w:val="ListParagraph"/>
        <w:numPr>
          <w:ilvl w:val="2"/>
          <w:numId w:val="41"/>
        </w:numPr>
        <w:tabs>
          <w:tab w:val="left" w:pos="3277"/>
          <w:tab w:val="left" w:pos="3279"/>
        </w:tabs>
        <w:spacing w:before="120"/>
        <w:ind w:right="1564"/>
        <w:rPr>
          <w:sz w:val="24"/>
        </w:rPr>
      </w:pPr>
      <w:r w:rsidRPr="00150EDC">
        <w:rPr>
          <w:sz w:val="24"/>
        </w:rPr>
        <w:t>The Buyer shall not unreasonably withhold or delay its decision to Approve or not the Security Management Plan pursuant to Paragraph 4.3.2.</w:t>
      </w:r>
      <w:r w:rsidRPr="00150EDC">
        <w:rPr>
          <w:spacing w:val="40"/>
          <w:sz w:val="24"/>
        </w:rPr>
        <w:t xml:space="preserve"> </w:t>
      </w:r>
      <w:r w:rsidRPr="00150EDC">
        <w:rPr>
          <w:sz w:val="24"/>
        </w:rPr>
        <w:t>However a refusal by the Buyer to Approve the Security</w:t>
      </w:r>
      <w:r w:rsidRPr="00150EDC">
        <w:rPr>
          <w:spacing w:val="-3"/>
          <w:sz w:val="24"/>
        </w:rPr>
        <w:t xml:space="preserve"> </w:t>
      </w:r>
      <w:r w:rsidRPr="00150EDC">
        <w:rPr>
          <w:sz w:val="24"/>
        </w:rPr>
        <w:t>Management</w:t>
      </w:r>
      <w:r w:rsidRPr="00150EDC">
        <w:rPr>
          <w:spacing w:val="-5"/>
          <w:sz w:val="24"/>
        </w:rPr>
        <w:t xml:space="preserve"> </w:t>
      </w:r>
      <w:r w:rsidRPr="00150EDC">
        <w:rPr>
          <w:sz w:val="24"/>
        </w:rPr>
        <w:t>Plan</w:t>
      </w:r>
      <w:r w:rsidRPr="00150EDC">
        <w:rPr>
          <w:spacing w:val="-2"/>
          <w:sz w:val="24"/>
        </w:rPr>
        <w:t xml:space="preserve"> </w:t>
      </w:r>
      <w:r w:rsidRPr="00150EDC">
        <w:rPr>
          <w:sz w:val="24"/>
        </w:rPr>
        <w:t>on</w:t>
      </w:r>
      <w:r w:rsidRPr="00150EDC">
        <w:rPr>
          <w:spacing w:val="-2"/>
          <w:sz w:val="24"/>
        </w:rPr>
        <w:t xml:space="preserve"> </w:t>
      </w:r>
      <w:r w:rsidRPr="00150EDC">
        <w:rPr>
          <w:sz w:val="24"/>
        </w:rPr>
        <w:t>the</w:t>
      </w:r>
      <w:r w:rsidRPr="00150EDC">
        <w:rPr>
          <w:spacing w:val="-4"/>
          <w:sz w:val="24"/>
        </w:rPr>
        <w:t xml:space="preserve"> </w:t>
      </w:r>
      <w:r w:rsidRPr="00150EDC">
        <w:rPr>
          <w:sz w:val="24"/>
        </w:rPr>
        <w:t>grounds</w:t>
      </w:r>
      <w:r w:rsidRPr="00150EDC">
        <w:rPr>
          <w:spacing w:val="-3"/>
          <w:sz w:val="24"/>
        </w:rPr>
        <w:t xml:space="preserve"> </w:t>
      </w:r>
      <w:r w:rsidRPr="00150EDC">
        <w:rPr>
          <w:sz w:val="24"/>
        </w:rPr>
        <w:t>that</w:t>
      </w:r>
      <w:r w:rsidRPr="00150EDC">
        <w:rPr>
          <w:spacing w:val="-2"/>
          <w:sz w:val="24"/>
        </w:rPr>
        <w:t xml:space="preserve"> </w:t>
      </w:r>
      <w:r w:rsidRPr="00150EDC">
        <w:rPr>
          <w:sz w:val="24"/>
        </w:rPr>
        <w:t>it</w:t>
      </w:r>
      <w:r w:rsidRPr="00150EDC">
        <w:rPr>
          <w:spacing w:val="-2"/>
          <w:sz w:val="24"/>
        </w:rPr>
        <w:t xml:space="preserve"> </w:t>
      </w:r>
      <w:r w:rsidRPr="00150EDC">
        <w:rPr>
          <w:sz w:val="24"/>
        </w:rPr>
        <w:t>does</w:t>
      </w:r>
      <w:r w:rsidRPr="00150EDC">
        <w:rPr>
          <w:spacing w:val="-5"/>
          <w:sz w:val="24"/>
        </w:rPr>
        <w:t xml:space="preserve"> </w:t>
      </w:r>
      <w:r w:rsidRPr="00150EDC">
        <w:rPr>
          <w:sz w:val="24"/>
        </w:rPr>
        <w:t>not</w:t>
      </w:r>
      <w:r w:rsidRPr="00150EDC">
        <w:rPr>
          <w:spacing w:val="-5"/>
          <w:sz w:val="24"/>
        </w:rPr>
        <w:t xml:space="preserve"> </w:t>
      </w:r>
      <w:r w:rsidRPr="00150EDC">
        <w:rPr>
          <w:sz w:val="24"/>
        </w:rPr>
        <w:t>comply with</w:t>
      </w:r>
      <w:r w:rsidRPr="00150EDC">
        <w:rPr>
          <w:spacing w:val="-2"/>
          <w:sz w:val="24"/>
        </w:rPr>
        <w:t xml:space="preserve"> </w:t>
      </w:r>
      <w:r w:rsidRPr="00150EDC">
        <w:rPr>
          <w:sz w:val="24"/>
        </w:rPr>
        <w:t>the</w:t>
      </w:r>
      <w:r w:rsidRPr="00150EDC">
        <w:rPr>
          <w:spacing w:val="-4"/>
          <w:sz w:val="24"/>
        </w:rPr>
        <w:t xml:space="preserve"> </w:t>
      </w:r>
      <w:r w:rsidRPr="00150EDC">
        <w:rPr>
          <w:sz w:val="24"/>
        </w:rPr>
        <w:t>requirements</w:t>
      </w:r>
      <w:r w:rsidRPr="00150EDC">
        <w:rPr>
          <w:spacing w:val="-5"/>
          <w:sz w:val="24"/>
        </w:rPr>
        <w:t xml:space="preserve"> </w:t>
      </w:r>
      <w:r w:rsidRPr="00150EDC">
        <w:rPr>
          <w:sz w:val="24"/>
        </w:rPr>
        <w:t>set</w:t>
      </w:r>
      <w:r w:rsidRPr="00150EDC">
        <w:rPr>
          <w:spacing w:val="-2"/>
          <w:sz w:val="24"/>
        </w:rPr>
        <w:t xml:space="preserve"> </w:t>
      </w:r>
      <w:r w:rsidRPr="00150EDC">
        <w:rPr>
          <w:sz w:val="24"/>
        </w:rPr>
        <w:t>out</w:t>
      </w:r>
      <w:r w:rsidRPr="00150EDC">
        <w:rPr>
          <w:spacing w:val="-2"/>
          <w:sz w:val="24"/>
        </w:rPr>
        <w:t xml:space="preserve"> </w:t>
      </w:r>
      <w:r w:rsidRPr="00150EDC">
        <w:rPr>
          <w:sz w:val="24"/>
        </w:rPr>
        <w:t>in</w:t>
      </w:r>
      <w:r w:rsidRPr="00150EDC">
        <w:rPr>
          <w:spacing w:val="-4"/>
          <w:sz w:val="24"/>
        </w:rPr>
        <w:t xml:space="preserve"> </w:t>
      </w:r>
      <w:r w:rsidRPr="00150EDC">
        <w:rPr>
          <w:sz w:val="24"/>
        </w:rPr>
        <w:t>Paragraph</w:t>
      </w:r>
      <w:r w:rsidRPr="00150EDC">
        <w:rPr>
          <w:spacing w:val="-4"/>
          <w:sz w:val="24"/>
        </w:rPr>
        <w:t xml:space="preserve"> </w:t>
      </w:r>
      <w:r w:rsidRPr="00150EDC">
        <w:rPr>
          <w:sz w:val="24"/>
        </w:rPr>
        <w:t>4.2</w:t>
      </w:r>
      <w:r w:rsidRPr="00150EDC">
        <w:rPr>
          <w:spacing w:val="-2"/>
          <w:sz w:val="24"/>
        </w:rPr>
        <w:t xml:space="preserve"> </w:t>
      </w:r>
      <w:r w:rsidRPr="00150EDC">
        <w:rPr>
          <w:sz w:val="24"/>
        </w:rPr>
        <w:t>shall</w:t>
      </w:r>
      <w:r w:rsidRPr="00150EDC">
        <w:rPr>
          <w:spacing w:val="-6"/>
          <w:sz w:val="24"/>
        </w:rPr>
        <w:t xml:space="preserve"> </w:t>
      </w:r>
      <w:r w:rsidRPr="00150EDC">
        <w:rPr>
          <w:sz w:val="24"/>
        </w:rPr>
        <w:t>be</w:t>
      </w:r>
      <w:r w:rsidRPr="00150EDC">
        <w:rPr>
          <w:spacing w:val="-2"/>
          <w:sz w:val="24"/>
        </w:rPr>
        <w:t xml:space="preserve"> </w:t>
      </w:r>
      <w:r w:rsidRPr="00150EDC">
        <w:rPr>
          <w:sz w:val="24"/>
        </w:rPr>
        <w:t>deemed</w:t>
      </w:r>
      <w:r w:rsidRPr="00150EDC">
        <w:rPr>
          <w:spacing w:val="-2"/>
          <w:sz w:val="24"/>
        </w:rPr>
        <w:t xml:space="preserve"> </w:t>
      </w:r>
      <w:r w:rsidRPr="00150EDC">
        <w:rPr>
          <w:sz w:val="24"/>
        </w:rPr>
        <w:t>to be reasonable.</w:t>
      </w:r>
    </w:p>
    <w:p w14:paraId="0D19BE3A" w14:textId="77777777" w:rsidR="004C7180" w:rsidRPr="00150EDC" w:rsidRDefault="00CF0754" w:rsidP="00B320C7">
      <w:pPr>
        <w:pStyle w:val="ListParagraph"/>
        <w:numPr>
          <w:ilvl w:val="2"/>
          <w:numId w:val="41"/>
        </w:numPr>
        <w:tabs>
          <w:tab w:val="left" w:pos="3277"/>
          <w:tab w:val="left" w:pos="3279"/>
        </w:tabs>
        <w:spacing w:before="118"/>
        <w:ind w:right="1602"/>
        <w:rPr>
          <w:sz w:val="24"/>
        </w:rPr>
      </w:pPr>
      <w:r w:rsidRPr="00150EDC">
        <w:rPr>
          <w:sz w:val="24"/>
        </w:rPr>
        <w:t>Approval</w:t>
      </w:r>
      <w:r w:rsidRPr="00150EDC">
        <w:rPr>
          <w:spacing w:val="-3"/>
          <w:sz w:val="24"/>
        </w:rPr>
        <w:t xml:space="preserve"> </w:t>
      </w:r>
      <w:r w:rsidRPr="00150EDC">
        <w:rPr>
          <w:sz w:val="24"/>
        </w:rPr>
        <w:t>by</w:t>
      </w:r>
      <w:r w:rsidRPr="00150EDC">
        <w:rPr>
          <w:spacing w:val="-3"/>
          <w:sz w:val="24"/>
        </w:rPr>
        <w:t xml:space="preserve"> </w:t>
      </w:r>
      <w:r w:rsidRPr="00150EDC">
        <w:rPr>
          <w:sz w:val="24"/>
        </w:rPr>
        <w:t>the</w:t>
      </w:r>
      <w:r w:rsidRPr="00150EDC">
        <w:rPr>
          <w:spacing w:val="-4"/>
          <w:sz w:val="24"/>
        </w:rPr>
        <w:t xml:space="preserve"> </w:t>
      </w:r>
      <w:r w:rsidRPr="00150EDC">
        <w:rPr>
          <w:sz w:val="24"/>
        </w:rPr>
        <w:t>Buyer</w:t>
      </w:r>
      <w:r w:rsidRPr="00150EDC">
        <w:rPr>
          <w:spacing w:val="-6"/>
          <w:sz w:val="24"/>
        </w:rPr>
        <w:t xml:space="preserve"> </w:t>
      </w:r>
      <w:r w:rsidRPr="00150EDC">
        <w:rPr>
          <w:sz w:val="24"/>
        </w:rPr>
        <w:t>of</w:t>
      </w:r>
      <w:r w:rsidRPr="00150EDC">
        <w:rPr>
          <w:spacing w:val="-2"/>
          <w:sz w:val="24"/>
        </w:rPr>
        <w:t xml:space="preserve"> </w:t>
      </w:r>
      <w:r w:rsidRPr="00150EDC">
        <w:rPr>
          <w:sz w:val="24"/>
        </w:rPr>
        <w:t>the</w:t>
      </w:r>
      <w:r w:rsidRPr="00150EDC">
        <w:rPr>
          <w:spacing w:val="-2"/>
          <w:sz w:val="24"/>
        </w:rPr>
        <w:t xml:space="preserve"> </w:t>
      </w:r>
      <w:r w:rsidRPr="00150EDC">
        <w:rPr>
          <w:sz w:val="24"/>
        </w:rPr>
        <w:t>Security</w:t>
      </w:r>
      <w:r w:rsidRPr="00150EDC">
        <w:rPr>
          <w:spacing w:val="-3"/>
          <w:sz w:val="24"/>
        </w:rPr>
        <w:t xml:space="preserve"> </w:t>
      </w:r>
      <w:r w:rsidRPr="00150EDC">
        <w:rPr>
          <w:sz w:val="24"/>
        </w:rPr>
        <w:t>Management</w:t>
      </w:r>
      <w:r w:rsidRPr="00150EDC">
        <w:rPr>
          <w:spacing w:val="-5"/>
          <w:sz w:val="24"/>
        </w:rPr>
        <w:t xml:space="preserve"> </w:t>
      </w:r>
      <w:r w:rsidRPr="00150EDC">
        <w:rPr>
          <w:sz w:val="24"/>
        </w:rPr>
        <w:t>Plan</w:t>
      </w:r>
      <w:r w:rsidRPr="00150EDC">
        <w:rPr>
          <w:spacing w:val="-4"/>
          <w:sz w:val="24"/>
        </w:rPr>
        <w:t xml:space="preserve"> </w:t>
      </w:r>
      <w:r w:rsidRPr="00150EDC">
        <w:rPr>
          <w:sz w:val="24"/>
        </w:rPr>
        <w:t>pursuant to Paragraph 4.3.2 or of any change to the Security Management Plan in accordance with Paragraph 4.4 shall not relieve the Supplier of its obligations under this Schedule.</w:t>
      </w:r>
    </w:p>
    <w:p w14:paraId="2FA36561" w14:textId="77777777" w:rsidR="004C7180" w:rsidRPr="00150EDC" w:rsidRDefault="00CF0754" w:rsidP="00B320C7">
      <w:pPr>
        <w:pStyle w:val="Heading4"/>
        <w:numPr>
          <w:ilvl w:val="1"/>
          <w:numId w:val="41"/>
        </w:numPr>
        <w:tabs>
          <w:tab w:val="left" w:pos="2302"/>
        </w:tabs>
        <w:spacing w:before="120"/>
        <w:ind w:hanging="566"/>
      </w:pPr>
      <w:r w:rsidRPr="00150EDC">
        <w:t>Amendment</w:t>
      </w:r>
      <w:r w:rsidRPr="00150EDC">
        <w:rPr>
          <w:spacing w:val="-6"/>
        </w:rPr>
        <w:t xml:space="preserve"> </w:t>
      </w:r>
      <w:r w:rsidRPr="00150EDC">
        <w:t>of</w:t>
      </w:r>
      <w:r w:rsidRPr="00150EDC">
        <w:rPr>
          <w:spacing w:val="-4"/>
        </w:rPr>
        <w:t xml:space="preserve"> </w:t>
      </w:r>
      <w:r w:rsidRPr="00150EDC">
        <w:t>the</w:t>
      </w:r>
      <w:r w:rsidRPr="00150EDC">
        <w:rPr>
          <w:spacing w:val="-2"/>
        </w:rPr>
        <w:t xml:space="preserve"> </w:t>
      </w:r>
      <w:r w:rsidRPr="00150EDC">
        <w:t>Security</w:t>
      </w:r>
      <w:r w:rsidRPr="00150EDC">
        <w:rPr>
          <w:spacing w:val="-2"/>
        </w:rPr>
        <w:t xml:space="preserve"> </w:t>
      </w:r>
      <w:r w:rsidRPr="00150EDC">
        <w:t>Management</w:t>
      </w:r>
      <w:r w:rsidRPr="00150EDC">
        <w:rPr>
          <w:spacing w:val="-5"/>
        </w:rPr>
        <w:t xml:space="preserve"> </w:t>
      </w:r>
      <w:r w:rsidRPr="00150EDC">
        <w:rPr>
          <w:spacing w:val="-4"/>
        </w:rPr>
        <w:t>Plan</w:t>
      </w:r>
    </w:p>
    <w:p w14:paraId="2A74F775" w14:textId="77777777" w:rsidR="004C7180" w:rsidRPr="00150EDC" w:rsidRDefault="00CF0754" w:rsidP="00B320C7">
      <w:pPr>
        <w:pStyle w:val="ListParagraph"/>
        <w:numPr>
          <w:ilvl w:val="2"/>
          <w:numId w:val="41"/>
        </w:numPr>
        <w:tabs>
          <w:tab w:val="left" w:pos="3277"/>
          <w:tab w:val="left" w:pos="3279"/>
        </w:tabs>
        <w:spacing w:before="120"/>
        <w:ind w:right="2337"/>
        <w:rPr>
          <w:sz w:val="24"/>
        </w:rPr>
      </w:pPr>
      <w:r w:rsidRPr="00150EDC">
        <w:rPr>
          <w:sz w:val="24"/>
        </w:rPr>
        <w:t>The</w:t>
      </w:r>
      <w:r w:rsidRPr="00150EDC">
        <w:rPr>
          <w:spacing w:val="-3"/>
          <w:sz w:val="24"/>
        </w:rPr>
        <w:t xml:space="preserve"> </w:t>
      </w:r>
      <w:r w:rsidRPr="00150EDC">
        <w:rPr>
          <w:sz w:val="24"/>
        </w:rPr>
        <w:t>Security</w:t>
      </w:r>
      <w:r w:rsidRPr="00150EDC">
        <w:rPr>
          <w:spacing w:val="-4"/>
          <w:sz w:val="24"/>
        </w:rPr>
        <w:t xml:space="preserve"> </w:t>
      </w:r>
      <w:r w:rsidRPr="00150EDC">
        <w:rPr>
          <w:sz w:val="24"/>
        </w:rPr>
        <w:t>Management</w:t>
      </w:r>
      <w:r w:rsidRPr="00150EDC">
        <w:rPr>
          <w:spacing w:val="-3"/>
          <w:sz w:val="24"/>
        </w:rPr>
        <w:t xml:space="preserve"> </w:t>
      </w:r>
      <w:r w:rsidRPr="00150EDC">
        <w:rPr>
          <w:sz w:val="24"/>
        </w:rPr>
        <w:t>Plan</w:t>
      </w:r>
      <w:r w:rsidRPr="00150EDC">
        <w:rPr>
          <w:spacing w:val="-3"/>
          <w:sz w:val="24"/>
        </w:rPr>
        <w:t xml:space="preserve"> </w:t>
      </w:r>
      <w:r w:rsidRPr="00150EDC">
        <w:rPr>
          <w:sz w:val="24"/>
        </w:rPr>
        <w:t>shall</w:t>
      </w:r>
      <w:r w:rsidRPr="00150EDC">
        <w:rPr>
          <w:spacing w:val="-4"/>
          <w:sz w:val="24"/>
        </w:rPr>
        <w:t xml:space="preserve"> </w:t>
      </w:r>
      <w:r w:rsidRPr="00150EDC">
        <w:rPr>
          <w:sz w:val="24"/>
        </w:rPr>
        <w:t>be</w:t>
      </w:r>
      <w:r w:rsidRPr="00150EDC">
        <w:rPr>
          <w:spacing w:val="-5"/>
          <w:sz w:val="24"/>
        </w:rPr>
        <w:t xml:space="preserve"> </w:t>
      </w:r>
      <w:r w:rsidRPr="00150EDC">
        <w:rPr>
          <w:sz w:val="24"/>
        </w:rPr>
        <w:t>fully</w:t>
      </w:r>
      <w:r w:rsidRPr="00150EDC">
        <w:rPr>
          <w:spacing w:val="-4"/>
          <w:sz w:val="24"/>
        </w:rPr>
        <w:t xml:space="preserve"> </w:t>
      </w:r>
      <w:r w:rsidRPr="00150EDC">
        <w:rPr>
          <w:sz w:val="24"/>
        </w:rPr>
        <w:t>reviewed</w:t>
      </w:r>
      <w:r w:rsidRPr="00150EDC">
        <w:rPr>
          <w:spacing w:val="-5"/>
          <w:sz w:val="24"/>
        </w:rPr>
        <w:t xml:space="preserve"> </w:t>
      </w:r>
      <w:r w:rsidRPr="00150EDC">
        <w:rPr>
          <w:sz w:val="24"/>
        </w:rPr>
        <w:t>and updated by the Supplier at least annually to reflect:</w:t>
      </w:r>
    </w:p>
    <w:p w14:paraId="64460657" w14:textId="77777777" w:rsidR="004C7180" w:rsidRPr="00150EDC" w:rsidRDefault="00CF0754" w:rsidP="00B320C7">
      <w:pPr>
        <w:pStyle w:val="ListParagraph"/>
        <w:numPr>
          <w:ilvl w:val="3"/>
          <w:numId w:val="41"/>
        </w:numPr>
        <w:tabs>
          <w:tab w:val="left" w:pos="3643"/>
        </w:tabs>
        <w:spacing w:before="119"/>
        <w:ind w:left="3643" w:hanging="364"/>
        <w:rPr>
          <w:sz w:val="24"/>
        </w:rPr>
      </w:pPr>
      <w:r w:rsidRPr="00150EDC">
        <w:rPr>
          <w:sz w:val="24"/>
        </w:rPr>
        <w:t>emerging</w:t>
      </w:r>
      <w:r w:rsidRPr="00150EDC">
        <w:rPr>
          <w:spacing w:val="-3"/>
          <w:sz w:val="24"/>
        </w:rPr>
        <w:t xml:space="preserve"> </w:t>
      </w:r>
      <w:r w:rsidRPr="00150EDC">
        <w:rPr>
          <w:sz w:val="24"/>
        </w:rPr>
        <w:t>changes</w:t>
      </w:r>
      <w:r w:rsidRPr="00150EDC">
        <w:rPr>
          <w:spacing w:val="-3"/>
          <w:sz w:val="24"/>
        </w:rPr>
        <w:t xml:space="preserve"> </w:t>
      </w:r>
      <w:r w:rsidRPr="00150EDC">
        <w:rPr>
          <w:sz w:val="24"/>
        </w:rPr>
        <w:t>in</w:t>
      </w:r>
      <w:r w:rsidRPr="00150EDC">
        <w:rPr>
          <w:spacing w:val="-4"/>
          <w:sz w:val="24"/>
        </w:rPr>
        <w:t xml:space="preserve"> </w:t>
      </w:r>
      <w:r w:rsidRPr="00150EDC">
        <w:rPr>
          <w:sz w:val="24"/>
        </w:rPr>
        <w:t>Good</w:t>
      </w:r>
      <w:r w:rsidRPr="00150EDC">
        <w:rPr>
          <w:spacing w:val="-3"/>
          <w:sz w:val="24"/>
        </w:rPr>
        <w:t xml:space="preserve"> </w:t>
      </w:r>
      <w:r w:rsidRPr="00150EDC">
        <w:rPr>
          <w:sz w:val="24"/>
        </w:rPr>
        <w:t>Industry</w:t>
      </w:r>
      <w:r w:rsidRPr="00150EDC">
        <w:rPr>
          <w:spacing w:val="-3"/>
          <w:sz w:val="24"/>
        </w:rPr>
        <w:t xml:space="preserve"> </w:t>
      </w:r>
      <w:r w:rsidRPr="00150EDC">
        <w:rPr>
          <w:spacing w:val="-2"/>
          <w:sz w:val="24"/>
        </w:rPr>
        <w:t>Practice;</w:t>
      </w:r>
    </w:p>
    <w:p w14:paraId="6D6E1257" w14:textId="77777777" w:rsidR="004C7180" w:rsidRPr="00150EDC" w:rsidRDefault="00CF0754" w:rsidP="00B320C7">
      <w:pPr>
        <w:pStyle w:val="ListParagraph"/>
        <w:numPr>
          <w:ilvl w:val="3"/>
          <w:numId w:val="41"/>
        </w:numPr>
        <w:tabs>
          <w:tab w:val="left" w:pos="3643"/>
          <w:tab w:val="left" w:pos="3819"/>
        </w:tabs>
        <w:spacing w:before="119" w:line="228" w:lineRule="auto"/>
        <w:ind w:right="1973" w:hanging="540"/>
        <w:rPr>
          <w:sz w:val="24"/>
        </w:rPr>
      </w:pPr>
      <w:r w:rsidRPr="00150EDC">
        <w:rPr>
          <w:sz w:val="24"/>
        </w:rPr>
        <w:t>any</w:t>
      </w:r>
      <w:r w:rsidRPr="00150EDC">
        <w:rPr>
          <w:spacing w:val="-4"/>
          <w:sz w:val="24"/>
        </w:rPr>
        <w:t xml:space="preserve"> </w:t>
      </w:r>
      <w:r w:rsidRPr="00150EDC">
        <w:rPr>
          <w:sz w:val="24"/>
        </w:rPr>
        <w:t>change</w:t>
      </w:r>
      <w:r w:rsidRPr="00150EDC">
        <w:rPr>
          <w:spacing w:val="-3"/>
          <w:sz w:val="24"/>
        </w:rPr>
        <w:t xml:space="preserve"> </w:t>
      </w:r>
      <w:r w:rsidRPr="00150EDC">
        <w:rPr>
          <w:sz w:val="24"/>
        </w:rPr>
        <w:t>or</w:t>
      </w:r>
      <w:r w:rsidRPr="00150EDC">
        <w:rPr>
          <w:spacing w:val="-7"/>
          <w:sz w:val="24"/>
        </w:rPr>
        <w:t xml:space="preserve"> </w:t>
      </w:r>
      <w:r w:rsidRPr="00150EDC">
        <w:rPr>
          <w:sz w:val="24"/>
        </w:rPr>
        <w:t>proposed</w:t>
      </w:r>
      <w:r w:rsidRPr="00150EDC">
        <w:rPr>
          <w:spacing w:val="-3"/>
          <w:sz w:val="24"/>
        </w:rPr>
        <w:t xml:space="preserve"> </w:t>
      </w:r>
      <w:r w:rsidRPr="00150EDC">
        <w:rPr>
          <w:sz w:val="24"/>
        </w:rPr>
        <w:t>change</w:t>
      </w:r>
      <w:r w:rsidRPr="00150EDC">
        <w:rPr>
          <w:spacing w:val="-5"/>
          <w:sz w:val="24"/>
        </w:rPr>
        <w:t xml:space="preserve"> </w:t>
      </w:r>
      <w:r w:rsidRPr="00150EDC">
        <w:rPr>
          <w:sz w:val="24"/>
        </w:rPr>
        <w:t>to</w:t>
      </w:r>
      <w:r w:rsidRPr="00150EDC">
        <w:rPr>
          <w:spacing w:val="-5"/>
          <w:sz w:val="24"/>
        </w:rPr>
        <w:t xml:space="preserve"> </w:t>
      </w:r>
      <w:r w:rsidRPr="00150EDC">
        <w:rPr>
          <w:sz w:val="24"/>
        </w:rPr>
        <w:t>the</w:t>
      </w:r>
      <w:r w:rsidRPr="00150EDC">
        <w:rPr>
          <w:spacing w:val="-5"/>
          <w:sz w:val="24"/>
        </w:rPr>
        <w:t xml:space="preserve"> </w:t>
      </w:r>
      <w:r w:rsidRPr="00150EDC">
        <w:rPr>
          <w:sz w:val="24"/>
        </w:rPr>
        <w:t>Deliverables</w:t>
      </w:r>
      <w:r w:rsidRPr="00150EDC">
        <w:rPr>
          <w:spacing w:val="-4"/>
          <w:sz w:val="24"/>
        </w:rPr>
        <w:t xml:space="preserve"> </w:t>
      </w:r>
      <w:r w:rsidRPr="00150EDC">
        <w:rPr>
          <w:sz w:val="24"/>
        </w:rPr>
        <w:t>and/or associated processes;</w:t>
      </w:r>
    </w:p>
    <w:p w14:paraId="32C29289" w14:textId="5D113F89" w:rsidR="004C7180" w:rsidRPr="00150EDC" w:rsidRDefault="00CF0754" w:rsidP="00B320C7">
      <w:pPr>
        <w:pStyle w:val="ListParagraph"/>
        <w:numPr>
          <w:ilvl w:val="3"/>
          <w:numId w:val="41"/>
        </w:numPr>
        <w:tabs>
          <w:tab w:val="left" w:pos="3642"/>
          <w:tab w:val="left" w:pos="3819"/>
        </w:tabs>
        <w:spacing w:before="132" w:line="230" w:lineRule="auto"/>
        <w:ind w:right="2264" w:hanging="540"/>
        <w:rPr>
          <w:sz w:val="24"/>
        </w:rPr>
      </w:pPr>
      <w:r w:rsidRPr="00150EDC">
        <w:rPr>
          <w:sz w:val="24"/>
        </w:rPr>
        <w:t>where</w:t>
      </w:r>
      <w:r w:rsidRPr="00150EDC">
        <w:rPr>
          <w:spacing w:val="-3"/>
          <w:sz w:val="24"/>
        </w:rPr>
        <w:t xml:space="preserve"> </w:t>
      </w:r>
      <w:r w:rsidRPr="00150EDC">
        <w:rPr>
          <w:sz w:val="24"/>
        </w:rPr>
        <w:t>necessary</w:t>
      </w:r>
      <w:r w:rsidRPr="00150EDC">
        <w:rPr>
          <w:spacing w:val="-4"/>
          <w:sz w:val="24"/>
        </w:rPr>
        <w:t xml:space="preserve"> </w:t>
      </w:r>
      <w:r w:rsidRPr="00150EDC">
        <w:rPr>
          <w:sz w:val="24"/>
        </w:rPr>
        <w:t>in</w:t>
      </w:r>
      <w:r w:rsidRPr="00150EDC">
        <w:rPr>
          <w:spacing w:val="-5"/>
          <w:sz w:val="24"/>
        </w:rPr>
        <w:t xml:space="preserve"> </w:t>
      </w:r>
      <w:r w:rsidRPr="00150EDC">
        <w:rPr>
          <w:sz w:val="24"/>
        </w:rPr>
        <w:t>accordance</w:t>
      </w:r>
      <w:r w:rsidRPr="00150EDC">
        <w:rPr>
          <w:spacing w:val="-3"/>
          <w:sz w:val="24"/>
        </w:rPr>
        <w:t xml:space="preserve"> </w:t>
      </w:r>
      <w:r w:rsidRPr="00150EDC">
        <w:rPr>
          <w:sz w:val="24"/>
        </w:rPr>
        <w:t>with</w:t>
      </w:r>
      <w:r w:rsidRPr="00150EDC">
        <w:rPr>
          <w:spacing w:val="-5"/>
          <w:sz w:val="24"/>
        </w:rPr>
        <w:t xml:space="preserve"> </w:t>
      </w:r>
      <w:r w:rsidRPr="00150EDC">
        <w:rPr>
          <w:sz w:val="24"/>
        </w:rPr>
        <w:t>paragraph</w:t>
      </w:r>
      <w:r w:rsidRPr="00150EDC">
        <w:rPr>
          <w:spacing w:val="-3"/>
          <w:sz w:val="24"/>
        </w:rPr>
        <w:t xml:space="preserve"> </w:t>
      </w:r>
      <w:r w:rsidRPr="00150EDC">
        <w:rPr>
          <w:sz w:val="24"/>
        </w:rPr>
        <w:t>2.2,</w:t>
      </w:r>
      <w:r w:rsidRPr="00150EDC">
        <w:rPr>
          <w:spacing w:val="-6"/>
          <w:sz w:val="24"/>
        </w:rPr>
        <w:t xml:space="preserve"> </w:t>
      </w:r>
      <w:r w:rsidRPr="00150EDC">
        <w:rPr>
          <w:sz w:val="24"/>
        </w:rPr>
        <w:t xml:space="preserve">any change to the Security </w:t>
      </w:r>
      <w:r w:rsidR="000C2370" w:rsidRPr="00150EDC">
        <w:rPr>
          <w:sz w:val="24"/>
        </w:rPr>
        <w:t>requirements</w:t>
      </w:r>
      <w:r w:rsidRPr="00150EDC">
        <w:rPr>
          <w:sz w:val="24"/>
        </w:rPr>
        <w:t>;</w:t>
      </w:r>
    </w:p>
    <w:p w14:paraId="6D7C6038" w14:textId="77777777" w:rsidR="004C7180" w:rsidRPr="00150EDC" w:rsidRDefault="00CF0754" w:rsidP="00B320C7">
      <w:pPr>
        <w:pStyle w:val="ListParagraph"/>
        <w:numPr>
          <w:ilvl w:val="3"/>
          <w:numId w:val="41"/>
        </w:numPr>
        <w:tabs>
          <w:tab w:val="left" w:pos="3643"/>
        </w:tabs>
        <w:spacing w:before="121"/>
        <w:ind w:left="3643" w:hanging="364"/>
        <w:rPr>
          <w:sz w:val="24"/>
        </w:rPr>
      </w:pPr>
      <w:r w:rsidRPr="00150EDC">
        <w:rPr>
          <w:sz w:val="24"/>
        </w:rPr>
        <w:t>any</w:t>
      </w:r>
      <w:r w:rsidRPr="00150EDC">
        <w:rPr>
          <w:spacing w:val="-3"/>
          <w:sz w:val="24"/>
        </w:rPr>
        <w:t xml:space="preserve"> </w:t>
      </w:r>
      <w:r w:rsidRPr="00150EDC">
        <w:rPr>
          <w:sz w:val="24"/>
        </w:rPr>
        <w:t>new</w:t>
      </w:r>
      <w:r w:rsidRPr="00150EDC">
        <w:rPr>
          <w:spacing w:val="-3"/>
          <w:sz w:val="24"/>
        </w:rPr>
        <w:t xml:space="preserve"> </w:t>
      </w:r>
      <w:r w:rsidRPr="00150EDC">
        <w:rPr>
          <w:sz w:val="24"/>
        </w:rPr>
        <w:t>perceived</w:t>
      </w:r>
      <w:r w:rsidRPr="00150EDC">
        <w:rPr>
          <w:spacing w:val="-4"/>
          <w:sz w:val="24"/>
        </w:rPr>
        <w:t xml:space="preserve"> </w:t>
      </w:r>
      <w:r w:rsidRPr="00150EDC">
        <w:rPr>
          <w:sz w:val="24"/>
        </w:rPr>
        <w:t>or</w:t>
      </w:r>
      <w:r w:rsidRPr="00150EDC">
        <w:rPr>
          <w:spacing w:val="-5"/>
          <w:sz w:val="24"/>
        </w:rPr>
        <w:t xml:space="preserve"> </w:t>
      </w:r>
      <w:r w:rsidRPr="00150EDC">
        <w:rPr>
          <w:sz w:val="24"/>
        </w:rPr>
        <w:t>changed</w:t>
      </w:r>
      <w:r w:rsidRPr="00150EDC">
        <w:rPr>
          <w:spacing w:val="-2"/>
          <w:sz w:val="24"/>
        </w:rPr>
        <w:t xml:space="preserve"> </w:t>
      </w:r>
      <w:r w:rsidRPr="00150EDC">
        <w:rPr>
          <w:sz w:val="24"/>
        </w:rPr>
        <w:t>security</w:t>
      </w:r>
      <w:r w:rsidRPr="00150EDC">
        <w:rPr>
          <w:spacing w:val="-3"/>
          <w:sz w:val="24"/>
        </w:rPr>
        <w:t xml:space="preserve"> </w:t>
      </w:r>
      <w:r w:rsidRPr="00150EDC">
        <w:rPr>
          <w:sz w:val="24"/>
        </w:rPr>
        <w:t>threats;</w:t>
      </w:r>
      <w:r w:rsidRPr="00150EDC">
        <w:rPr>
          <w:spacing w:val="-1"/>
          <w:sz w:val="24"/>
        </w:rPr>
        <w:t xml:space="preserve"> </w:t>
      </w:r>
      <w:r w:rsidRPr="00150EDC">
        <w:rPr>
          <w:spacing w:val="-5"/>
          <w:sz w:val="24"/>
        </w:rPr>
        <w:t>and</w:t>
      </w:r>
    </w:p>
    <w:p w14:paraId="57842500" w14:textId="77777777" w:rsidR="004C7180" w:rsidRPr="00150EDC" w:rsidRDefault="00CF0754" w:rsidP="00B320C7">
      <w:pPr>
        <w:pStyle w:val="ListParagraph"/>
        <w:numPr>
          <w:ilvl w:val="3"/>
          <w:numId w:val="41"/>
        </w:numPr>
        <w:tabs>
          <w:tab w:val="left" w:pos="3642"/>
          <w:tab w:val="left" w:pos="3819"/>
        </w:tabs>
        <w:spacing w:before="117" w:line="228" w:lineRule="auto"/>
        <w:ind w:right="2145" w:hanging="540"/>
        <w:rPr>
          <w:sz w:val="24"/>
        </w:rPr>
      </w:pPr>
      <w:r w:rsidRPr="00150EDC">
        <w:rPr>
          <w:sz w:val="24"/>
        </w:rPr>
        <w:t>any</w:t>
      </w:r>
      <w:r w:rsidRPr="00150EDC">
        <w:rPr>
          <w:spacing w:val="-4"/>
          <w:sz w:val="24"/>
        </w:rPr>
        <w:t xml:space="preserve"> </w:t>
      </w:r>
      <w:r w:rsidRPr="00150EDC">
        <w:rPr>
          <w:sz w:val="24"/>
        </w:rPr>
        <w:t>reasonable</w:t>
      </w:r>
      <w:r w:rsidRPr="00150EDC">
        <w:rPr>
          <w:spacing w:val="-4"/>
          <w:sz w:val="24"/>
        </w:rPr>
        <w:t xml:space="preserve"> </w:t>
      </w:r>
      <w:r w:rsidRPr="00150EDC">
        <w:rPr>
          <w:sz w:val="24"/>
        </w:rPr>
        <w:t>change</w:t>
      </w:r>
      <w:r w:rsidRPr="00150EDC">
        <w:rPr>
          <w:spacing w:val="-4"/>
          <w:sz w:val="24"/>
        </w:rPr>
        <w:t xml:space="preserve"> </w:t>
      </w:r>
      <w:r w:rsidRPr="00150EDC">
        <w:rPr>
          <w:sz w:val="24"/>
        </w:rPr>
        <w:t>in</w:t>
      </w:r>
      <w:r w:rsidRPr="00150EDC">
        <w:rPr>
          <w:spacing w:val="-4"/>
          <w:sz w:val="24"/>
        </w:rPr>
        <w:t xml:space="preserve"> </w:t>
      </w:r>
      <w:r w:rsidRPr="00150EDC">
        <w:rPr>
          <w:sz w:val="24"/>
        </w:rPr>
        <w:t>requirements</w:t>
      </w:r>
      <w:r w:rsidRPr="00150EDC">
        <w:rPr>
          <w:spacing w:val="-6"/>
          <w:sz w:val="24"/>
        </w:rPr>
        <w:t xml:space="preserve"> </w:t>
      </w:r>
      <w:r w:rsidRPr="00150EDC">
        <w:rPr>
          <w:sz w:val="24"/>
        </w:rPr>
        <w:t>requested</w:t>
      </w:r>
      <w:r w:rsidRPr="00150EDC">
        <w:rPr>
          <w:spacing w:val="-5"/>
          <w:sz w:val="24"/>
        </w:rPr>
        <w:t xml:space="preserve"> </w:t>
      </w:r>
      <w:r w:rsidRPr="00150EDC">
        <w:rPr>
          <w:sz w:val="24"/>
        </w:rPr>
        <w:t>by</w:t>
      </w:r>
      <w:r w:rsidRPr="00150EDC">
        <w:rPr>
          <w:spacing w:val="-4"/>
          <w:sz w:val="24"/>
        </w:rPr>
        <w:t xml:space="preserve"> </w:t>
      </w:r>
      <w:r w:rsidRPr="00150EDC">
        <w:rPr>
          <w:sz w:val="24"/>
        </w:rPr>
        <w:t xml:space="preserve">the </w:t>
      </w:r>
      <w:r w:rsidRPr="00150EDC">
        <w:rPr>
          <w:spacing w:val="-2"/>
          <w:sz w:val="24"/>
        </w:rPr>
        <w:t>Buyer.</w:t>
      </w:r>
    </w:p>
    <w:p w14:paraId="038C5722" w14:textId="77777777" w:rsidR="004C7180" w:rsidRPr="00150EDC" w:rsidRDefault="004C7180">
      <w:pPr>
        <w:spacing w:line="228" w:lineRule="auto"/>
        <w:rPr>
          <w:sz w:val="24"/>
        </w:rPr>
        <w:sectPr w:rsidR="004C7180" w:rsidRPr="00150EDC">
          <w:pgSz w:w="11910" w:h="16840"/>
          <w:pgMar w:top="1380" w:right="0" w:bottom="1380" w:left="40" w:header="715" w:footer="1192" w:gutter="0"/>
          <w:cols w:space="720"/>
        </w:sectPr>
      </w:pPr>
    </w:p>
    <w:p w14:paraId="39F75692" w14:textId="77777777" w:rsidR="004C7180" w:rsidRPr="00150EDC" w:rsidRDefault="004C7180">
      <w:pPr>
        <w:pStyle w:val="BodyText"/>
        <w:spacing w:before="1"/>
        <w:rPr>
          <w:sz w:val="12"/>
        </w:rPr>
      </w:pPr>
    </w:p>
    <w:p w14:paraId="60C0E0C0" w14:textId="77777777" w:rsidR="004C7180" w:rsidRPr="00150EDC" w:rsidRDefault="00CF0754" w:rsidP="00B320C7">
      <w:pPr>
        <w:pStyle w:val="ListParagraph"/>
        <w:numPr>
          <w:ilvl w:val="2"/>
          <w:numId w:val="41"/>
        </w:numPr>
        <w:tabs>
          <w:tab w:val="left" w:pos="3277"/>
          <w:tab w:val="left" w:pos="3279"/>
        </w:tabs>
        <w:spacing w:before="92"/>
        <w:ind w:right="1534"/>
        <w:rPr>
          <w:sz w:val="24"/>
        </w:rPr>
      </w:pPr>
      <w:r w:rsidRPr="00150EDC">
        <w:rPr>
          <w:sz w:val="24"/>
        </w:rPr>
        <w:t>The Supplier shall provide the Buyer with the results of such reviews as soon as reasonably practicable after their completion and</w:t>
      </w:r>
      <w:r w:rsidRPr="00150EDC">
        <w:rPr>
          <w:spacing w:val="-4"/>
          <w:sz w:val="24"/>
        </w:rPr>
        <w:t xml:space="preserve"> </w:t>
      </w:r>
      <w:r w:rsidRPr="00150EDC">
        <w:rPr>
          <w:sz w:val="24"/>
        </w:rPr>
        <w:t>amendment</w:t>
      </w:r>
      <w:r w:rsidRPr="00150EDC">
        <w:rPr>
          <w:spacing w:val="-5"/>
          <w:sz w:val="24"/>
        </w:rPr>
        <w:t xml:space="preserve"> </w:t>
      </w:r>
      <w:r w:rsidRPr="00150EDC">
        <w:rPr>
          <w:sz w:val="24"/>
        </w:rPr>
        <w:t>of</w:t>
      </w:r>
      <w:r w:rsidRPr="00150EDC">
        <w:rPr>
          <w:spacing w:val="-2"/>
          <w:sz w:val="24"/>
        </w:rPr>
        <w:t xml:space="preserve"> </w:t>
      </w:r>
      <w:r w:rsidRPr="00150EDC">
        <w:rPr>
          <w:sz w:val="24"/>
        </w:rPr>
        <w:t>the</w:t>
      </w:r>
      <w:r w:rsidRPr="00150EDC">
        <w:rPr>
          <w:spacing w:val="-4"/>
          <w:sz w:val="24"/>
        </w:rPr>
        <w:t xml:space="preserve"> </w:t>
      </w:r>
      <w:r w:rsidRPr="00150EDC">
        <w:rPr>
          <w:sz w:val="24"/>
        </w:rPr>
        <w:t>Security</w:t>
      </w:r>
      <w:r w:rsidRPr="00150EDC">
        <w:rPr>
          <w:spacing w:val="-3"/>
          <w:sz w:val="24"/>
        </w:rPr>
        <w:t xml:space="preserve"> </w:t>
      </w:r>
      <w:r w:rsidRPr="00150EDC">
        <w:rPr>
          <w:sz w:val="24"/>
        </w:rPr>
        <w:t>Management</w:t>
      </w:r>
      <w:r w:rsidRPr="00150EDC">
        <w:rPr>
          <w:spacing w:val="-5"/>
          <w:sz w:val="24"/>
        </w:rPr>
        <w:t xml:space="preserve"> </w:t>
      </w:r>
      <w:r w:rsidRPr="00150EDC">
        <w:rPr>
          <w:sz w:val="24"/>
        </w:rPr>
        <w:t>Plan</w:t>
      </w:r>
      <w:r w:rsidRPr="00150EDC">
        <w:rPr>
          <w:spacing w:val="-4"/>
          <w:sz w:val="24"/>
        </w:rPr>
        <w:t xml:space="preserve"> </w:t>
      </w:r>
      <w:r w:rsidRPr="00150EDC">
        <w:rPr>
          <w:sz w:val="24"/>
        </w:rPr>
        <w:t>at</w:t>
      </w:r>
      <w:r w:rsidRPr="00150EDC">
        <w:rPr>
          <w:spacing w:val="-2"/>
          <w:sz w:val="24"/>
        </w:rPr>
        <w:t xml:space="preserve"> </w:t>
      </w:r>
      <w:r w:rsidRPr="00150EDC">
        <w:rPr>
          <w:sz w:val="24"/>
        </w:rPr>
        <w:t>no</w:t>
      </w:r>
      <w:r w:rsidRPr="00150EDC">
        <w:rPr>
          <w:spacing w:val="-2"/>
          <w:sz w:val="24"/>
        </w:rPr>
        <w:t xml:space="preserve"> </w:t>
      </w:r>
      <w:r w:rsidRPr="00150EDC">
        <w:rPr>
          <w:sz w:val="24"/>
        </w:rPr>
        <w:t xml:space="preserve">additional cost to the Buyer. The results of the review shall include, without </w:t>
      </w:r>
      <w:r w:rsidRPr="00150EDC">
        <w:rPr>
          <w:spacing w:val="-2"/>
          <w:sz w:val="24"/>
        </w:rPr>
        <w:t>limitation:</w:t>
      </w:r>
    </w:p>
    <w:p w14:paraId="627B0B0D" w14:textId="77777777" w:rsidR="004C7180" w:rsidRPr="00150EDC" w:rsidRDefault="00CF0754" w:rsidP="00B320C7">
      <w:pPr>
        <w:pStyle w:val="ListParagraph"/>
        <w:numPr>
          <w:ilvl w:val="3"/>
          <w:numId w:val="41"/>
        </w:numPr>
        <w:tabs>
          <w:tab w:val="left" w:pos="3643"/>
          <w:tab w:val="left" w:pos="3819"/>
        </w:tabs>
        <w:spacing w:before="131" w:line="228" w:lineRule="auto"/>
        <w:ind w:right="1799" w:hanging="540"/>
        <w:rPr>
          <w:sz w:val="24"/>
        </w:rPr>
      </w:pPr>
      <w:r w:rsidRPr="00150EDC">
        <w:rPr>
          <w:sz w:val="24"/>
        </w:rPr>
        <w:t>suggested</w:t>
      </w:r>
      <w:r w:rsidRPr="00150EDC">
        <w:rPr>
          <w:spacing w:val="-5"/>
          <w:sz w:val="24"/>
        </w:rPr>
        <w:t xml:space="preserve"> </w:t>
      </w:r>
      <w:r w:rsidRPr="00150EDC">
        <w:rPr>
          <w:sz w:val="24"/>
        </w:rPr>
        <w:t>improvements</w:t>
      </w:r>
      <w:r w:rsidRPr="00150EDC">
        <w:rPr>
          <w:spacing w:val="-4"/>
          <w:sz w:val="24"/>
        </w:rPr>
        <w:t xml:space="preserve"> </w:t>
      </w:r>
      <w:r w:rsidRPr="00150EDC">
        <w:rPr>
          <w:sz w:val="24"/>
        </w:rPr>
        <w:t>to</w:t>
      </w:r>
      <w:r w:rsidRPr="00150EDC">
        <w:rPr>
          <w:spacing w:val="-5"/>
          <w:sz w:val="24"/>
        </w:rPr>
        <w:t xml:space="preserve"> </w:t>
      </w:r>
      <w:r w:rsidRPr="00150EDC">
        <w:rPr>
          <w:sz w:val="24"/>
        </w:rPr>
        <w:t>the</w:t>
      </w:r>
      <w:r w:rsidRPr="00150EDC">
        <w:rPr>
          <w:spacing w:val="-3"/>
          <w:sz w:val="24"/>
        </w:rPr>
        <w:t xml:space="preserve"> </w:t>
      </w:r>
      <w:r w:rsidRPr="00150EDC">
        <w:rPr>
          <w:sz w:val="24"/>
        </w:rPr>
        <w:t>effectiveness</w:t>
      </w:r>
      <w:r w:rsidRPr="00150EDC">
        <w:rPr>
          <w:spacing w:val="-6"/>
          <w:sz w:val="24"/>
        </w:rPr>
        <w:t xml:space="preserve"> </w:t>
      </w:r>
      <w:r w:rsidRPr="00150EDC">
        <w:rPr>
          <w:sz w:val="24"/>
        </w:rPr>
        <w:t>of</w:t>
      </w:r>
      <w:r w:rsidRPr="00150EDC">
        <w:rPr>
          <w:spacing w:val="-3"/>
          <w:sz w:val="24"/>
        </w:rPr>
        <w:t xml:space="preserve"> </w:t>
      </w:r>
      <w:r w:rsidRPr="00150EDC">
        <w:rPr>
          <w:sz w:val="24"/>
        </w:rPr>
        <w:t>the</w:t>
      </w:r>
      <w:r w:rsidRPr="00150EDC">
        <w:rPr>
          <w:spacing w:val="-5"/>
          <w:sz w:val="24"/>
        </w:rPr>
        <w:t xml:space="preserve"> </w:t>
      </w:r>
      <w:r w:rsidRPr="00150EDC">
        <w:rPr>
          <w:sz w:val="24"/>
        </w:rPr>
        <w:t>Security Management Plan;</w:t>
      </w:r>
    </w:p>
    <w:p w14:paraId="2563E1BE" w14:textId="77777777" w:rsidR="004C7180" w:rsidRPr="00150EDC" w:rsidRDefault="00CF0754" w:rsidP="00B320C7">
      <w:pPr>
        <w:pStyle w:val="ListParagraph"/>
        <w:numPr>
          <w:ilvl w:val="3"/>
          <w:numId w:val="41"/>
        </w:numPr>
        <w:tabs>
          <w:tab w:val="left" w:pos="3643"/>
        </w:tabs>
        <w:spacing w:before="122"/>
        <w:ind w:left="3643" w:hanging="364"/>
        <w:rPr>
          <w:sz w:val="24"/>
        </w:rPr>
      </w:pPr>
      <w:r w:rsidRPr="00150EDC">
        <w:rPr>
          <w:sz w:val="24"/>
        </w:rPr>
        <w:t>updates</w:t>
      </w:r>
      <w:r w:rsidRPr="00150EDC">
        <w:rPr>
          <w:spacing w:val="-4"/>
          <w:sz w:val="24"/>
        </w:rPr>
        <w:t xml:space="preserve"> </w:t>
      </w:r>
      <w:r w:rsidRPr="00150EDC">
        <w:rPr>
          <w:sz w:val="24"/>
        </w:rPr>
        <w:t>to</w:t>
      </w:r>
      <w:r w:rsidRPr="00150EDC">
        <w:rPr>
          <w:spacing w:val="-1"/>
          <w:sz w:val="24"/>
        </w:rPr>
        <w:t xml:space="preserve"> </w:t>
      </w:r>
      <w:r w:rsidRPr="00150EDC">
        <w:rPr>
          <w:sz w:val="24"/>
        </w:rPr>
        <w:t>the risk</w:t>
      </w:r>
      <w:r w:rsidRPr="00150EDC">
        <w:rPr>
          <w:spacing w:val="-2"/>
          <w:sz w:val="24"/>
        </w:rPr>
        <w:t xml:space="preserve"> </w:t>
      </w:r>
      <w:r w:rsidRPr="00150EDC">
        <w:rPr>
          <w:sz w:val="24"/>
        </w:rPr>
        <w:t>assessments;</w:t>
      </w:r>
      <w:r w:rsidRPr="00150EDC">
        <w:rPr>
          <w:spacing w:val="-3"/>
          <w:sz w:val="24"/>
        </w:rPr>
        <w:t xml:space="preserve"> </w:t>
      </w:r>
      <w:r w:rsidRPr="00150EDC">
        <w:rPr>
          <w:spacing w:val="-5"/>
          <w:sz w:val="24"/>
        </w:rPr>
        <w:t>and</w:t>
      </w:r>
    </w:p>
    <w:p w14:paraId="03D7FEB5" w14:textId="77777777" w:rsidR="004C7180" w:rsidRPr="00150EDC" w:rsidRDefault="00CF0754" w:rsidP="00B320C7">
      <w:pPr>
        <w:pStyle w:val="ListParagraph"/>
        <w:numPr>
          <w:ilvl w:val="3"/>
          <w:numId w:val="41"/>
        </w:numPr>
        <w:tabs>
          <w:tab w:val="left" w:pos="3642"/>
          <w:tab w:val="left" w:pos="3819"/>
        </w:tabs>
        <w:spacing w:before="115" w:line="230" w:lineRule="auto"/>
        <w:ind w:right="1961" w:hanging="540"/>
        <w:rPr>
          <w:sz w:val="24"/>
        </w:rPr>
      </w:pPr>
      <w:r w:rsidRPr="00150EDC">
        <w:rPr>
          <w:sz w:val="24"/>
        </w:rPr>
        <w:t>suggested</w:t>
      </w:r>
      <w:r w:rsidRPr="00150EDC">
        <w:rPr>
          <w:spacing w:val="-6"/>
          <w:sz w:val="24"/>
        </w:rPr>
        <w:t xml:space="preserve"> </w:t>
      </w:r>
      <w:r w:rsidRPr="00150EDC">
        <w:rPr>
          <w:sz w:val="24"/>
        </w:rPr>
        <w:t>improvements</w:t>
      </w:r>
      <w:r w:rsidRPr="00150EDC">
        <w:rPr>
          <w:spacing w:val="-5"/>
          <w:sz w:val="24"/>
        </w:rPr>
        <w:t xml:space="preserve"> </w:t>
      </w:r>
      <w:r w:rsidRPr="00150EDC">
        <w:rPr>
          <w:sz w:val="24"/>
        </w:rPr>
        <w:t>in</w:t>
      </w:r>
      <w:r w:rsidRPr="00150EDC">
        <w:rPr>
          <w:spacing w:val="-6"/>
          <w:sz w:val="24"/>
        </w:rPr>
        <w:t xml:space="preserve"> </w:t>
      </w:r>
      <w:r w:rsidRPr="00150EDC">
        <w:rPr>
          <w:sz w:val="24"/>
        </w:rPr>
        <w:t>measuring</w:t>
      </w:r>
      <w:r w:rsidRPr="00150EDC">
        <w:rPr>
          <w:spacing w:val="-6"/>
          <w:sz w:val="24"/>
        </w:rPr>
        <w:t xml:space="preserve"> </w:t>
      </w:r>
      <w:r w:rsidRPr="00150EDC">
        <w:rPr>
          <w:sz w:val="24"/>
        </w:rPr>
        <w:t>the</w:t>
      </w:r>
      <w:r w:rsidRPr="00150EDC">
        <w:rPr>
          <w:spacing w:val="-6"/>
          <w:sz w:val="24"/>
        </w:rPr>
        <w:t xml:space="preserve"> </w:t>
      </w:r>
      <w:r w:rsidRPr="00150EDC">
        <w:rPr>
          <w:sz w:val="24"/>
        </w:rPr>
        <w:t>effectiveness</w:t>
      </w:r>
      <w:r w:rsidRPr="00150EDC">
        <w:rPr>
          <w:spacing w:val="-5"/>
          <w:sz w:val="24"/>
        </w:rPr>
        <w:t xml:space="preserve"> </w:t>
      </w:r>
      <w:r w:rsidRPr="00150EDC">
        <w:rPr>
          <w:sz w:val="24"/>
        </w:rPr>
        <w:t xml:space="preserve">of </w:t>
      </w:r>
      <w:r w:rsidRPr="00150EDC">
        <w:rPr>
          <w:spacing w:val="-2"/>
          <w:sz w:val="24"/>
        </w:rPr>
        <w:t>controls.</w:t>
      </w:r>
    </w:p>
    <w:p w14:paraId="10532093" w14:textId="77777777" w:rsidR="004C7180" w:rsidRPr="00150EDC" w:rsidRDefault="00CF0754" w:rsidP="00B320C7">
      <w:pPr>
        <w:pStyle w:val="ListParagraph"/>
        <w:numPr>
          <w:ilvl w:val="2"/>
          <w:numId w:val="41"/>
        </w:numPr>
        <w:tabs>
          <w:tab w:val="left" w:pos="3277"/>
          <w:tab w:val="left" w:pos="3279"/>
        </w:tabs>
        <w:spacing w:before="122"/>
        <w:ind w:right="1462"/>
        <w:rPr>
          <w:sz w:val="24"/>
        </w:rPr>
      </w:pPr>
      <w:r w:rsidRPr="00150EDC">
        <w:rPr>
          <w:sz w:val="24"/>
        </w:rPr>
        <w:t>Subject to Paragraph 4.4.4, any change or amendment which the Supplier</w:t>
      </w:r>
      <w:r w:rsidRPr="00150EDC">
        <w:rPr>
          <w:spacing w:val="-1"/>
          <w:sz w:val="24"/>
        </w:rPr>
        <w:t xml:space="preserve"> </w:t>
      </w:r>
      <w:r w:rsidRPr="00150EDC">
        <w:rPr>
          <w:sz w:val="24"/>
        </w:rPr>
        <w:t>proposes to make to the Security Management Plan (as a result</w:t>
      </w:r>
      <w:r w:rsidRPr="00150EDC">
        <w:rPr>
          <w:spacing w:val="-2"/>
          <w:sz w:val="24"/>
        </w:rPr>
        <w:t xml:space="preserve"> </w:t>
      </w:r>
      <w:r w:rsidRPr="00150EDC">
        <w:rPr>
          <w:sz w:val="24"/>
        </w:rPr>
        <w:t>of</w:t>
      </w:r>
      <w:r w:rsidRPr="00150EDC">
        <w:rPr>
          <w:spacing w:val="-5"/>
          <w:sz w:val="24"/>
        </w:rPr>
        <w:t xml:space="preserve"> </w:t>
      </w:r>
      <w:r w:rsidRPr="00150EDC">
        <w:rPr>
          <w:sz w:val="24"/>
        </w:rPr>
        <w:t>a</w:t>
      </w:r>
      <w:r w:rsidRPr="00150EDC">
        <w:rPr>
          <w:spacing w:val="-2"/>
          <w:sz w:val="24"/>
        </w:rPr>
        <w:t xml:space="preserve"> </w:t>
      </w:r>
      <w:r w:rsidRPr="00150EDC">
        <w:rPr>
          <w:sz w:val="24"/>
        </w:rPr>
        <w:t>review</w:t>
      </w:r>
      <w:r w:rsidRPr="00150EDC">
        <w:rPr>
          <w:spacing w:val="-3"/>
          <w:sz w:val="24"/>
        </w:rPr>
        <w:t xml:space="preserve"> </w:t>
      </w:r>
      <w:r w:rsidRPr="00150EDC">
        <w:rPr>
          <w:sz w:val="24"/>
        </w:rPr>
        <w:t>carried</w:t>
      </w:r>
      <w:r w:rsidRPr="00150EDC">
        <w:rPr>
          <w:spacing w:val="-2"/>
          <w:sz w:val="24"/>
        </w:rPr>
        <w:t xml:space="preserve"> </w:t>
      </w:r>
      <w:r w:rsidRPr="00150EDC">
        <w:rPr>
          <w:sz w:val="24"/>
        </w:rPr>
        <w:t>out</w:t>
      </w:r>
      <w:r w:rsidRPr="00150EDC">
        <w:rPr>
          <w:spacing w:val="-2"/>
          <w:sz w:val="24"/>
        </w:rPr>
        <w:t xml:space="preserve"> </w:t>
      </w:r>
      <w:r w:rsidRPr="00150EDC">
        <w:rPr>
          <w:sz w:val="24"/>
        </w:rPr>
        <w:t>in</w:t>
      </w:r>
      <w:r w:rsidRPr="00150EDC">
        <w:rPr>
          <w:spacing w:val="-4"/>
          <w:sz w:val="24"/>
        </w:rPr>
        <w:t xml:space="preserve"> </w:t>
      </w:r>
      <w:r w:rsidRPr="00150EDC">
        <w:rPr>
          <w:sz w:val="24"/>
        </w:rPr>
        <w:t>accordance</w:t>
      </w:r>
      <w:r w:rsidRPr="00150EDC">
        <w:rPr>
          <w:spacing w:val="-4"/>
          <w:sz w:val="24"/>
        </w:rPr>
        <w:t xml:space="preserve"> </w:t>
      </w:r>
      <w:r w:rsidRPr="00150EDC">
        <w:rPr>
          <w:sz w:val="24"/>
        </w:rPr>
        <w:t>with</w:t>
      </w:r>
      <w:r w:rsidRPr="00150EDC">
        <w:rPr>
          <w:spacing w:val="-2"/>
          <w:sz w:val="24"/>
        </w:rPr>
        <w:t xml:space="preserve"> </w:t>
      </w:r>
      <w:r w:rsidRPr="00150EDC">
        <w:rPr>
          <w:sz w:val="24"/>
        </w:rPr>
        <w:t>Paragraph</w:t>
      </w:r>
      <w:r w:rsidRPr="00150EDC">
        <w:rPr>
          <w:spacing w:val="-4"/>
          <w:sz w:val="24"/>
        </w:rPr>
        <w:t xml:space="preserve"> </w:t>
      </w:r>
      <w:r w:rsidRPr="00150EDC">
        <w:rPr>
          <w:sz w:val="24"/>
        </w:rPr>
        <w:t>4.4.1,</w:t>
      </w:r>
      <w:r w:rsidRPr="00150EDC">
        <w:rPr>
          <w:spacing w:val="-7"/>
          <w:sz w:val="24"/>
        </w:rPr>
        <w:t xml:space="preserve"> </w:t>
      </w:r>
      <w:r w:rsidRPr="00150EDC">
        <w:rPr>
          <w:sz w:val="24"/>
        </w:rPr>
        <w:t>a request by the Buyer</w:t>
      </w:r>
      <w:r w:rsidRPr="00150EDC">
        <w:rPr>
          <w:spacing w:val="-1"/>
          <w:sz w:val="24"/>
        </w:rPr>
        <w:t xml:space="preserve"> </w:t>
      </w:r>
      <w:r w:rsidRPr="00150EDC">
        <w:rPr>
          <w:sz w:val="24"/>
        </w:rPr>
        <w:t xml:space="preserve">or otherwise) shall be subject to the Variation </w:t>
      </w:r>
      <w:r w:rsidRPr="00150EDC">
        <w:rPr>
          <w:spacing w:val="-2"/>
          <w:sz w:val="24"/>
        </w:rPr>
        <w:t>Procedure.</w:t>
      </w:r>
    </w:p>
    <w:p w14:paraId="6015716E" w14:textId="77777777" w:rsidR="004C7180" w:rsidRPr="00150EDC" w:rsidRDefault="00CF0754" w:rsidP="00B320C7">
      <w:pPr>
        <w:pStyle w:val="ListParagraph"/>
        <w:numPr>
          <w:ilvl w:val="2"/>
          <w:numId w:val="41"/>
        </w:numPr>
        <w:tabs>
          <w:tab w:val="left" w:pos="3277"/>
          <w:tab w:val="left" w:pos="3279"/>
        </w:tabs>
        <w:spacing w:before="121"/>
        <w:ind w:right="1655"/>
        <w:rPr>
          <w:sz w:val="24"/>
        </w:rPr>
      </w:pPr>
      <w:r w:rsidRPr="00150EDC">
        <w:rPr>
          <w:sz w:val="24"/>
        </w:rPr>
        <w:t>The</w:t>
      </w:r>
      <w:r w:rsidRPr="00150EDC">
        <w:rPr>
          <w:spacing w:val="-2"/>
          <w:sz w:val="24"/>
        </w:rPr>
        <w:t xml:space="preserve"> </w:t>
      </w:r>
      <w:r w:rsidRPr="00150EDC">
        <w:rPr>
          <w:sz w:val="24"/>
        </w:rPr>
        <w:t>Buyer</w:t>
      </w:r>
      <w:r w:rsidRPr="00150EDC">
        <w:rPr>
          <w:spacing w:val="-6"/>
          <w:sz w:val="24"/>
        </w:rPr>
        <w:t xml:space="preserve"> </w:t>
      </w:r>
      <w:r w:rsidRPr="00150EDC">
        <w:rPr>
          <w:sz w:val="24"/>
        </w:rPr>
        <w:t>may,</w:t>
      </w:r>
      <w:r w:rsidRPr="00150EDC">
        <w:rPr>
          <w:spacing w:val="-5"/>
          <w:sz w:val="24"/>
        </w:rPr>
        <w:t xml:space="preserve"> </w:t>
      </w:r>
      <w:r w:rsidRPr="00150EDC">
        <w:rPr>
          <w:sz w:val="24"/>
        </w:rPr>
        <w:t>acting</w:t>
      </w:r>
      <w:r w:rsidRPr="00150EDC">
        <w:rPr>
          <w:spacing w:val="-4"/>
          <w:sz w:val="24"/>
        </w:rPr>
        <w:t xml:space="preserve"> </w:t>
      </w:r>
      <w:r w:rsidRPr="00150EDC">
        <w:rPr>
          <w:sz w:val="24"/>
        </w:rPr>
        <w:t>reasonably,</w:t>
      </w:r>
      <w:r w:rsidRPr="00150EDC">
        <w:rPr>
          <w:spacing w:val="-5"/>
          <w:sz w:val="24"/>
        </w:rPr>
        <w:t xml:space="preserve"> </w:t>
      </w:r>
      <w:r w:rsidRPr="00150EDC">
        <w:rPr>
          <w:sz w:val="24"/>
        </w:rPr>
        <w:t>Approve</w:t>
      </w:r>
      <w:r w:rsidRPr="00150EDC">
        <w:rPr>
          <w:spacing w:val="-4"/>
          <w:sz w:val="24"/>
        </w:rPr>
        <w:t xml:space="preserve"> </w:t>
      </w:r>
      <w:r w:rsidRPr="00150EDC">
        <w:rPr>
          <w:sz w:val="24"/>
        </w:rPr>
        <w:t>and</w:t>
      </w:r>
      <w:r w:rsidRPr="00150EDC">
        <w:rPr>
          <w:spacing w:val="-2"/>
          <w:sz w:val="24"/>
        </w:rPr>
        <w:t xml:space="preserve"> </w:t>
      </w:r>
      <w:r w:rsidRPr="00150EDC">
        <w:rPr>
          <w:sz w:val="24"/>
        </w:rPr>
        <w:t>require</w:t>
      </w:r>
      <w:r w:rsidRPr="00150EDC">
        <w:rPr>
          <w:spacing w:val="-2"/>
          <w:sz w:val="24"/>
        </w:rPr>
        <w:t xml:space="preserve"> </w:t>
      </w:r>
      <w:r w:rsidRPr="00150EDC">
        <w:rPr>
          <w:sz w:val="24"/>
        </w:rPr>
        <w:t>changes or amendments to the Security Management Plan to be implemented on timescales faster than set out in the Variation Procedure but, without prejudice to their effectiveness, all such changes and amendments shall thereafter be subject to the Variation Procedure for the purposes of formalising and documenting the relevant change or amendment.</w:t>
      </w:r>
    </w:p>
    <w:p w14:paraId="31AD747C" w14:textId="77777777" w:rsidR="004C7180" w:rsidRPr="00150EDC" w:rsidRDefault="004C7180">
      <w:pPr>
        <w:pStyle w:val="BodyText"/>
        <w:spacing w:before="10"/>
        <w:rPr>
          <w:sz w:val="20"/>
        </w:rPr>
      </w:pPr>
    </w:p>
    <w:p w14:paraId="665A859F" w14:textId="77777777" w:rsidR="004C7180" w:rsidRPr="00150EDC" w:rsidRDefault="00CF0754" w:rsidP="00B320C7">
      <w:pPr>
        <w:pStyle w:val="Heading4"/>
        <w:numPr>
          <w:ilvl w:val="0"/>
          <w:numId w:val="41"/>
        </w:numPr>
        <w:tabs>
          <w:tab w:val="left" w:pos="2018"/>
        </w:tabs>
        <w:ind w:left="2018" w:hanging="359"/>
      </w:pPr>
      <w:r w:rsidRPr="00150EDC">
        <w:t>Security</w:t>
      </w:r>
      <w:r w:rsidRPr="00150EDC">
        <w:rPr>
          <w:spacing w:val="-1"/>
        </w:rPr>
        <w:t xml:space="preserve"> </w:t>
      </w:r>
      <w:r w:rsidRPr="00150EDC">
        <w:rPr>
          <w:spacing w:val="-2"/>
        </w:rPr>
        <w:t>breach</w:t>
      </w:r>
    </w:p>
    <w:p w14:paraId="39C51707" w14:textId="77777777" w:rsidR="004C7180" w:rsidRPr="00150EDC" w:rsidRDefault="004C7180">
      <w:pPr>
        <w:pStyle w:val="BodyText"/>
        <w:spacing w:before="10"/>
        <w:rPr>
          <w:b/>
          <w:sz w:val="20"/>
        </w:rPr>
      </w:pPr>
    </w:p>
    <w:p w14:paraId="59114175" w14:textId="77777777" w:rsidR="004C7180" w:rsidRPr="00150EDC" w:rsidRDefault="00CF0754" w:rsidP="00B320C7">
      <w:pPr>
        <w:pStyle w:val="ListParagraph"/>
        <w:numPr>
          <w:ilvl w:val="1"/>
          <w:numId w:val="41"/>
        </w:numPr>
        <w:tabs>
          <w:tab w:val="left" w:pos="2300"/>
          <w:tab w:val="left" w:pos="2302"/>
        </w:tabs>
        <w:ind w:right="1831" w:hanging="360"/>
        <w:rPr>
          <w:sz w:val="24"/>
        </w:rPr>
      </w:pPr>
      <w:r w:rsidRPr="00150EDC">
        <w:rPr>
          <w:sz w:val="24"/>
        </w:rPr>
        <w:t>Either Party shall notify the other in accordance with the agreed security incident management process (as detailed in the Security Management Plan)</w:t>
      </w:r>
      <w:r w:rsidRPr="00150EDC">
        <w:rPr>
          <w:spacing w:val="-3"/>
          <w:sz w:val="24"/>
        </w:rPr>
        <w:t xml:space="preserve"> </w:t>
      </w:r>
      <w:r w:rsidRPr="00150EDC">
        <w:rPr>
          <w:sz w:val="24"/>
        </w:rPr>
        <w:t>upon</w:t>
      </w:r>
      <w:r w:rsidRPr="00150EDC">
        <w:rPr>
          <w:spacing w:val="-3"/>
          <w:sz w:val="24"/>
        </w:rPr>
        <w:t xml:space="preserve"> </w:t>
      </w:r>
      <w:r w:rsidRPr="00150EDC">
        <w:rPr>
          <w:sz w:val="24"/>
        </w:rPr>
        <w:t>becoming</w:t>
      </w:r>
      <w:r w:rsidRPr="00150EDC">
        <w:rPr>
          <w:spacing w:val="-3"/>
          <w:sz w:val="24"/>
        </w:rPr>
        <w:t xml:space="preserve"> </w:t>
      </w:r>
      <w:r w:rsidRPr="00150EDC">
        <w:rPr>
          <w:sz w:val="24"/>
        </w:rPr>
        <w:t>aware</w:t>
      </w:r>
      <w:r w:rsidRPr="00150EDC">
        <w:rPr>
          <w:spacing w:val="-1"/>
          <w:sz w:val="24"/>
        </w:rPr>
        <w:t xml:space="preserve"> </w:t>
      </w:r>
      <w:r w:rsidRPr="00150EDC">
        <w:rPr>
          <w:sz w:val="24"/>
        </w:rPr>
        <w:t>of</w:t>
      </w:r>
      <w:r w:rsidRPr="00150EDC">
        <w:rPr>
          <w:spacing w:val="-4"/>
          <w:sz w:val="24"/>
        </w:rPr>
        <w:t xml:space="preserve"> </w:t>
      </w:r>
      <w:r w:rsidRPr="00150EDC">
        <w:rPr>
          <w:sz w:val="24"/>
        </w:rPr>
        <w:t>any</w:t>
      </w:r>
      <w:r w:rsidRPr="00150EDC">
        <w:rPr>
          <w:spacing w:val="-4"/>
          <w:sz w:val="24"/>
        </w:rPr>
        <w:t xml:space="preserve"> </w:t>
      </w:r>
      <w:r w:rsidRPr="00150EDC">
        <w:rPr>
          <w:sz w:val="24"/>
        </w:rPr>
        <w:t>Breach</w:t>
      </w:r>
      <w:r w:rsidRPr="00150EDC">
        <w:rPr>
          <w:spacing w:val="-1"/>
          <w:sz w:val="24"/>
        </w:rPr>
        <w:t xml:space="preserve"> </w:t>
      </w:r>
      <w:r w:rsidRPr="00150EDC">
        <w:rPr>
          <w:sz w:val="24"/>
        </w:rPr>
        <w:t>of</w:t>
      </w:r>
      <w:r w:rsidRPr="00150EDC">
        <w:rPr>
          <w:spacing w:val="-1"/>
          <w:sz w:val="24"/>
        </w:rPr>
        <w:t xml:space="preserve"> </w:t>
      </w:r>
      <w:r w:rsidRPr="00150EDC">
        <w:rPr>
          <w:sz w:val="24"/>
        </w:rPr>
        <w:t>Security</w:t>
      </w:r>
      <w:r w:rsidRPr="00150EDC">
        <w:rPr>
          <w:spacing w:val="-4"/>
          <w:sz w:val="24"/>
        </w:rPr>
        <w:t xml:space="preserve"> </w:t>
      </w:r>
      <w:r w:rsidRPr="00150EDC">
        <w:rPr>
          <w:sz w:val="24"/>
        </w:rPr>
        <w:t>or</w:t>
      </w:r>
      <w:r w:rsidRPr="00150EDC">
        <w:rPr>
          <w:spacing w:val="-3"/>
          <w:sz w:val="24"/>
        </w:rPr>
        <w:t xml:space="preserve"> </w:t>
      </w:r>
      <w:r w:rsidRPr="00150EDC">
        <w:rPr>
          <w:sz w:val="24"/>
        </w:rPr>
        <w:t>any</w:t>
      </w:r>
      <w:r w:rsidRPr="00150EDC">
        <w:rPr>
          <w:spacing w:val="-4"/>
          <w:sz w:val="24"/>
        </w:rPr>
        <w:t xml:space="preserve"> </w:t>
      </w:r>
      <w:r w:rsidRPr="00150EDC">
        <w:rPr>
          <w:sz w:val="24"/>
        </w:rPr>
        <w:t>potential</w:t>
      </w:r>
      <w:r w:rsidRPr="00150EDC">
        <w:rPr>
          <w:spacing w:val="-2"/>
          <w:sz w:val="24"/>
        </w:rPr>
        <w:t xml:space="preserve"> </w:t>
      </w:r>
      <w:r w:rsidRPr="00150EDC">
        <w:rPr>
          <w:sz w:val="24"/>
        </w:rPr>
        <w:t>or attempted Breach of Security.</w:t>
      </w:r>
    </w:p>
    <w:p w14:paraId="0608FE26" w14:textId="77777777" w:rsidR="004C7180" w:rsidRPr="00150EDC" w:rsidRDefault="00CF0754" w:rsidP="00B320C7">
      <w:pPr>
        <w:pStyle w:val="ListParagraph"/>
        <w:numPr>
          <w:ilvl w:val="1"/>
          <w:numId w:val="41"/>
        </w:numPr>
        <w:tabs>
          <w:tab w:val="left" w:pos="2300"/>
          <w:tab w:val="left" w:pos="2302"/>
        </w:tabs>
        <w:spacing w:before="120"/>
        <w:ind w:right="1727" w:hanging="360"/>
        <w:rPr>
          <w:sz w:val="24"/>
        </w:rPr>
      </w:pPr>
      <w:r w:rsidRPr="00150EDC">
        <w:rPr>
          <w:sz w:val="24"/>
        </w:rPr>
        <w:t>Without prejudice to the security incident management process, upon becoming</w:t>
      </w:r>
      <w:r w:rsidRPr="00150EDC">
        <w:rPr>
          <w:spacing w:val="-4"/>
          <w:sz w:val="24"/>
        </w:rPr>
        <w:t xml:space="preserve"> </w:t>
      </w:r>
      <w:r w:rsidRPr="00150EDC">
        <w:rPr>
          <w:sz w:val="24"/>
        </w:rPr>
        <w:t>aware</w:t>
      </w:r>
      <w:r w:rsidRPr="00150EDC">
        <w:rPr>
          <w:spacing w:val="-4"/>
          <w:sz w:val="24"/>
        </w:rPr>
        <w:t xml:space="preserve"> </w:t>
      </w:r>
      <w:r w:rsidRPr="00150EDC">
        <w:rPr>
          <w:sz w:val="24"/>
        </w:rPr>
        <w:t>of</w:t>
      </w:r>
      <w:r w:rsidRPr="00150EDC">
        <w:rPr>
          <w:spacing w:val="-5"/>
          <w:sz w:val="24"/>
        </w:rPr>
        <w:t xml:space="preserve"> </w:t>
      </w:r>
      <w:r w:rsidRPr="00150EDC">
        <w:rPr>
          <w:sz w:val="24"/>
        </w:rPr>
        <w:t>any</w:t>
      </w:r>
      <w:r w:rsidRPr="00150EDC">
        <w:rPr>
          <w:spacing w:val="-3"/>
          <w:sz w:val="24"/>
        </w:rPr>
        <w:t xml:space="preserve"> </w:t>
      </w:r>
      <w:r w:rsidRPr="00150EDC">
        <w:rPr>
          <w:sz w:val="24"/>
        </w:rPr>
        <w:t>of</w:t>
      </w:r>
      <w:r w:rsidRPr="00150EDC">
        <w:rPr>
          <w:spacing w:val="-2"/>
          <w:sz w:val="24"/>
        </w:rPr>
        <w:t xml:space="preserve"> </w:t>
      </w:r>
      <w:r w:rsidRPr="00150EDC">
        <w:rPr>
          <w:sz w:val="24"/>
        </w:rPr>
        <w:t>the</w:t>
      </w:r>
      <w:r w:rsidRPr="00150EDC">
        <w:rPr>
          <w:spacing w:val="-2"/>
          <w:sz w:val="24"/>
        </w:rPr>
        <w:t xml:space="preserve"> </w:t>
      </w:r>
      <w:r w:rsidRPr="00150EDC">
        <w:rPr>
          <w:sz w:val="24"/>
        </w:rPr>
        <w:t>circumstances</w:t>
      </w:r>
      <w:r w:rsidRPr="00150EDC">
        <w:rPr>
          <w:spacing w:val="-5"/>
          <w:sz w:val="24"/>
        </w:rPr>
        <w:t xml:space="preserve"> </w:t>
      </w:r>
      <w:r w:rsidRPr="00150EDC">
        <w:rPr>
          <w:sz w:val="24"/>
        </w:rPr>
        <w:t>referred</w:t>
      </w:r>
      <w:r w:rsidRPr="00150EDC">
        <w:rPr>
          <w:spacing w:val="-2"/>
          <w:sz w:val="24"/>
        </w:rPr>
        <w:t xml:space="preserve"> </w:t>
      </w:r>
      <w:r w:rsidRPr="00150EDC">
        <w:rPr>
          <w:sz w:val="24"/>
        </w:rPr>
        <w:t>to</w:t>
      </w:r>
      <w:r w:rsidRPr="00150EDC">
        <w:rPr>
          <w:spacing w:val="-2"/>
          <w:sz w:val="24"/>
        </w:rPr>
        <w:t xml:space="preserve"> </w:t>
      </w:r>
      <w:r w:rsidRPr="00150EDC">
        <w:rPr>
          <w:sz w:val="24"/>
        </w:rPr>
        <w:t>in</w:t>
      </w:r>
      <w:r w:rsidRPr="00150EDC">
        <w:rPr>
          <w:spacing w:val="-4"/>
          <w:sz w:val="24"/>
        </w:rPr>
        <w:t xml:space="preserve"> </w:t>
      </w:r>
      <w:r w:rsidRPr="00150EDC">
        <w:rPr>
          <w:sz w:val="24"/>
        </w:rPr>
        <w:t>Paragraph</w:t>
      </w:r>
      <w:r w:rsidRPr="00150EDC">
        <w:rPr>
          <w:spacing w:val="-2"/>
          <w:sz w:val="24"/>
        </w:rPr>
        <w:t xml:space="preserve"> </w:t>
      </w:r>
      <w:r w:rsidRPr="00150EDC">
        <w:rPr>
          <w:sz w:val="24"/>
        </w:rPr>
        <w:t>5.1, the Supplier shall:</w:t>
      </w:r>
    </w:p>
    <w:p w14:paraId="220AA6B6" w14:textId="77777777" w:rsidR="004C7180" w:rsidRPr="00150EDC" w:rsidRDefault="00CF0754" w:rsidP="00B320C7">
      <w:pPr>
        <w:pStyle w:val="ListParagraph"/>
        <w:numPr>
          <w:ilvl w:val="2"/>
          <w:numId w:val="41"/>
        </w:numPr>
        <w:tabs>
          <w:tab w:val="left" w:pos="2094"/>
          <w:tab w:val="left" w:pos="2096"/>
        </w:tabs>
        <w:spacing w:before="120"/>
        <w:ind w:left="2096" w:right="2175"/>
        <w:rPr>
          <w:sz w:val="24"/>
        </w:rPr>
      </w:pPr>
      <w:r w:rsidRPr="00150EDC">
        <w:rPr>
          <w:sz w:val="24"/>
        </w:rPr>
        <w:t>immediately</w:t>
      </w:r>
      <w:r w:rsidRPr="00150EDC">
        <w:rPr>
          <w:spacing w:val="-3"/>
          <w:sz w:val="24"/>
        </w:rPr>
        <w:t xml:space="preserve"> </w:t>
      </w:r>
      <w:r w:rsidRPr="00150EDC">
        <w:rPr>
          <w:sz w:val="24"/>
        </w:rPr>
        <w:t>take</w:t>
      </w:r>
      <w:r w:rsidRPr="00150EDC">
        <w:rPr>
          <w:spacing w:val="-3"/>
          <w:sz w:val="24"/>
        </w:rPr>
        <w:t xml:space="preserve"> </w:t>
      </w:r>
      <w:r w:rsidRPr="00150EDC">
        <w:rPr>
          <w:sz w:val="24"/>
        </w:rPr>
        <w:t>all</w:t>
      </w:r>
      <w:r w:rsidRPr="00150EDC">
        <w:rPr>
          <w:spacing w:val="-3"/>
          <w:sz w:val="24"/>
        </w:rPr>
        <w:t xml:space="preserve"> </w:t>
      </w:r>
      <w:r w:rsidRPr="00150EDC">
        <w:rPr>
          <w:sz w:val="24"/>
        </w:rPr>
        <w:t>reasonable</w:t>
      </w:r>
      <w:r w:rsidRPr="00150EDC">
        <w:rPr>
          <w:spacing w:val="-3"/>
          <w:sz w:val="24"/>
        </w:rPr>
        <w:t xml:space="preserve"> </w:t>
      </w:r>
      <w:r w:rsidRPr="00150EDC">
        <w:rPr>
          <w:sz w:val="24"/>
        </w:rPr>
        <w:t>steps</w:t>
      </w:r>
      <w:r w:rsidRPr="00150EDC">
        <w:rPr>
          <w:spacing w:val="-3"/>
          <w:sz w:val="24"/>
        </w:rPr>
        <w:t xml:space="preserve"> </w:t>
      </w:r>
      <w:r w:rsidRPr="00150EDC">
        <w:rPr>
          <w:sz w:val="24"/>
        </w:rPr>
        <w:t>(which</w:t>
      </w:r>
      <w:r w:rsidRPr="00150EDC">
        <w:rPr>
          <w:spacing w:val="-7"/>
          <w:sz w:val="24"/>
        </w:rPr>
        <w:t xml:space="preserve"> </w:t>
      </w:r>
      <w:r w:rsidRPr="00150EDC">
        <w:rPr>
          <w:sz w:val="24"/>
        </w:rPr>
        <w:t>shall</w:t>
      </w:r>
      <w:r w:rsidRPr="00150EDC">
        <w:rPr>
          <w:spacing w:val="-3"/>
          <w:sz w:val="24"/>
        </w:rPr>
        <w:t xml:space="preserve"> </w:t>
      </w:r>
      <w:r w:rsidRPr="00150EDC">
        <w:rPr>
          <w:sz w:val="24"/>
        </w:rPr>
        <w:t>include</w:t>
      </w:r>
      <w:r w:rsidRPr="00150EDC">
        <w:rPr>
          <w:spacing w:val="-3"/>
          <w:sz w:val="24"/>
        </w:rPr>
        <w:t xml:space="preserve"> </w:t>
      </w:r>
      <w:r w:rsidRPr="00150EDC">
        <w:rPr>
          <w:sz w:val="24"/>
        </w:rPr>
        <w:t>any</w:t>
      </w:r>
      <w:r w:rsidRPr="00150EDC">
        <w:rPr>
          <w:spacing w:val="-3"/>
          <w:sz w:val="24"/>
        </w:rPr>
        <w:t xml:space="preserve"> </w:t>
      </w:r>
      <w:r w:rsidRPr="00150EDC">
        <w:rPr>
          <w:sz w:val="24"/>
        </w:rPr>
        <w:t>action</w:t>
      </w:r>
      <w:r w:rsidRPr="00150EDC">
        <w:rPr>
          <w:spacing w:val="-3"/>
          <w:sz w:val="24"/>
        </w:rPr>
        <w:t xml:space="preserve"> </w:t>
      </w:r>
      <w:r w:rsidRPr="00150EDC">
        <w:rPr>
          <w:sz w:val="24"/>
        </w:rPr>
        <w:t>or changes reasonably required by the Buyer) necessary to:</w:t>
      </w:r>
    </w:p>
    <w:p w14:paraId="0DAA62B8" w14:textId="77777777" w:rsidR="004C7180" w:rsidRPr="00150EDC" w:rsidRDefault="00CF0754" w:rsidP="00B320C7">
      <w:pPr>
        <w:pStyle w:val="ListParagraph"/>
        <w:numPr>
          <w:ilvl w:val="3"/>
          <w:numId w:val="41"/>
        </w:numPr>
        <w:tabs>
          <w:tab w:val="left" w:pos="4647"/>
        </w:tabs>
        <w:spacing w:before="130" w:line="228" w:lineRule="auto"/>
        <w:ind w:left="4647" w:right="1461" w:hanging="720"/>
        <w:rPr>
          <w:sz w:val="24"/>
        </w:rPr>
      </w:pPr>
      <w:r w:rsidRPr="00150EDC">
        <w:rPr>
          <w:sz w:val="24"/>
        </w:rPr>
        <w:t>minimise</w:t>
      </w:r>
      <w:r w:rsidRPr="00150EDC">
        <w:rPr>
          <w:spacing w:val="-4"/>
          <w:sz w:val="24"/>
        </w:rPr>
        <w:t xml:space="preserve"> </w:t>
      </w:r>
      <w:r w:rsidRPr="00150EDC">
        <w:rPr>
          <w:sz w:val="24"/>
        </w:rPr>
        <w:t>the</w:t>
      </w:r>
      <w:r w:rsidRPr="00150EDC">
        <w:rPr>
          <w:spacing w:val="-2"/>
          <w:sz w:val="24"/>
        </w:rPr>
        <w:t xml:space="preserve"> </w:t>
      </w:r>
      <w:r w:rsidRPr="00150EDC">
        <w:rPr>
          <w:sz w:val="24"/>
        </w:rPr>
        <w:t>extent</w:t>
      </w:r>
      <w:r w:rsidRPr="00150EDC">
        <w:rPr>
          <w:spacing w:val="-5"/>
          <w:sz w:val="24"/>
        </w:rPr>
        <w:t xml:space="preserve"> </w:t>
      </w:r>
      <w:r w:rsidRPr="00150EDC">
        <w:rPr>
          <w:sz w:val="24"/>
        </w:rPr>
        <w:t>of</w:t>
      </w:r>
      <w:r w:rsidRPr="00150EDC">
        <w:rPr>
          <w:spacing w:val="-5"/>
          <w:sz w:val="24"/>
        </w:rPr>
        <w:t xml:space="preserve"> </w:t>
      </w:r>
      <w:r w:rsidRPr="00150EDC">
        <w:rPr>
          <w:sz w:val="24"/>
        </w:rPr>
        <w:t>actual</w:t>
      </w:r>
      <w:r w:rsidRPr="00150EDC">
        <w:rPr>
          <w:spacing w:val="-6"/>
          <w:sz w:val="24"/>
        </w:rPr>
        <w:t xml:space="preserve"> </w:t>
      </w:r>
      <w:r w:rsidRPr="00150EDC">
        <w:rPr>
          <w:sz w:val="24"/>
        </w:rPr>
        <w:t>or</w:t>
      </w:r>
      <w:r w:rsidRPr="00150EDC">
        <w:rPr>
          <w:spacing w:val="-4"/>
          <w:sz w:val="24"/>
        </w:rPr>
        <w:t xml:space="preserve"> </w:t>
      </w:r>
      <w:r w:rsidRPr="00150EDC">
        <w:rPr>
          <w:sz w:val="24"/>
        </w:rPr>
        <w:t>potential</w:t>
      </w:r>
      <w:r w:rsidRPr="00150EDC">
        <w:rPr>
          <w:spacing w:val="-3"/>
          <w:sz w:val="24"/>
        </w:rPr>
        <w:t xml:space="preserve"> </w:t>
      </w:r>
      <w:r w:rsidRPr="00150EDC">
        <w:rPr>
          <w:sz w:val="24"/>
        </w:rPr>
        <w:t>harm</w:t>
      </w:r>
      <w:r w:rsidRPr="00150EDC">
        <w:rPr>
          <w:spacing w:val="-1"/>
          <w:sz w:val="24"/>
        </w:rPr>
        <w:t xml:space="preserve"> </w:t>
      </w:r>
      <w:r w:rsidRPr="00150EDC">
        <w:rPr>
          <w:sz w:val="24"/>
        </w:rPr>
        <w:t>caused by any Breach of Security;</w:t>
      </w:r>
    </w:p>
    <w:p w14:paraId="5C99F513" w14:textId="77777777" w:rsidR="004C7180" w:rsidRPr="00150EDC" w:rsidRDefault="00CF0754" w:rsidP="00B320C7">
      <w:pPr>
        <w:pStyle w:val="ListParagraph"/>
        <w:numPr>
          <w:ilvl w:val="3"/>
          <w:numId w:val="41"/>
        </w:numPr>
        <w:tabs>
          <w:tab w:val="left" w:pos="4647"/>
        </w:tabs>
        <w:spacing w:before="125" w:line="237" w:lineRule="auto"/>
        <w:ind w:left="4647" w:right="1451" w:hanging="720"/>
        <w:rPr>
          <w:sz w:val="24"/>
        </w:rPr>
      </w:pPr>
      <w:r w:rsidRPr="00150EDC">
        <w:rPr>
          <w:sz w:val="24"/>
        </w:rPr>
        <w:t>remedy</w:t>
      </w:r>
      <w:r w:rsidRPr="00150EDC">
        <w:rPr>
          <w:spacing w:val="-1"/>
          <w:sz w:val="24"/>
        </w:rPr>
        <w:t xml:space="preserve"> </w:t>
      </w:r>
      <w:r w:rsidRPr="00150EDC">
        <w:rPr>
          <w:sz w:val="24"/>
        </w:rPr>
        <w:t>such</w:t>
      </w:r>
      <w:r w:rsidRPr="00150EDC">
        <w:rPr>
          <w:spacing w:val="-2"/>
          <w:sz w:val="24"/>
        </w:rPr>
        <w:t xml:space="preserve"> </w:t>
      </w:r>
      <w:r w:rsidRPr="00150EDC">
        <w:rPr>
          <w:sz w:val="24"/>
        </w:rPr>
        <w:t>Breach of Security</w:t>
      </w:r>
      <w:r w:rsidRPr="00150EDC">
        <w:rPr>
          <w:spacing w:val="-3"/>
          <w:sz w:val="24"/>
        </w:rPr>
        <w:t xml:space="preserve"> </w:t>
      </w:r>
      <w:r w:rsidRPr="00150EDC">
        <w:rPr>
          <w:sz w:val="24"/>
        </w:rPr>
        <w:t>to the</w:t>
      </w:r>
      <w:r w:rsidRPr="00150EDC">
        <w:rPr>
          <w:spacing w:val="-2"/>
          <w:sz w:val="24"/>
        </w:rPr>
        <w:t xml:space="preserve"> </w:t>
      </w:r>
      <w:r w:rsidRPr="00150EDC">
        <w:rPr>
          <w:sz w:val="24"/>
        </w:rPr>
        <w:t>extent</w:t>
      </w:r>
      <w:r w:rsidRPr="00150EDC">
        <w:rPr>
          <w:spacing w:val="-3"/>
          <w:sz w:val="24"/>
        </w:rPr>
        <w:t xml:space="preserve"> </w:t>
      </w:r>
      <w:r w:rsidRPr="00150EDC">
        <w:rPr>
          <w:sz w:val="24"/>
        </w:rPr>
        <w:t>possible and</w:t>
      </w:r>
      <w:r w:rsidRPr="00150EDC">
        <w:rPr>
          <w:spacing w:val="-5"/>
          <w:sz w:val="24"/>
        </w:rPr>
        <w:t xml:space="preserve"> </w:t>
      </w:r>
      <w:r w:rsidRPr="00150EDC">
        <w:rPr>
          <w:sz w:val="24"/>
        </w:rPr>
        <w:t>protect</w:t>
      </w:r>
      <w:r w:rsidRPr="00150EDC">
        <w:rPr>
          <w:spacing w:val="-3"/>
          <w:sz w:val="24"/>
        </w:rPr>
        <w:t xml:space="preserve"> </w:t>
      </w:r>
      <w:r w:rsidRPr="00150EDC">
        <w:rPr>
          <w:sz w:val="24"/>
        </w:rPr>
        <w:t>the</w:t>
      </w:r>
      <w:r w:rsidRPr="00150EDC">
        <w:rPr>
          <w:spacing w:val="-3"/>
          <w:sz w:val="24"/>
        </w:rPr>
        <w:t xml:space="preserve"> </w:t>
      </w:r>
      <w:r w:rsidRPr="00150EDC">
        <w:rPr>
          <w:sz w:val="24"/>
        </w:rPr>
        <w:t>integrity</w:t>
      </w:r>
      <w:r w:rsidRPr="00150EDC">
        <w:rPr>
          <w:spacing w:val="-4"/>
          <w:sz w:val="24"/>
        </w:rPr>
        <w:t xml:space="preserve"> </w:t>
      </w:r>
      <w:r w:rsidRPr="00150EDC">
        <w:rPr>
          <w:sz w:val="24"/>
        </w:rPr>
        <w:t>of</w:t>
      </w:r>
      <w:r w:rsidRPr="00150EDC">
        <w:rPr>
          <w:spacing w:val="-3"/>
          <w:sz w:val="24"/>
        </w:rPr>
        <w:t xml:space="preserve"> </w:t>
      </w:r>
      <w:r w:rsidRPr="00150EDC">
        <w:rPr>
          <w:sz w:val="24"/>
        </w:rPr>
        <w:t>the</w:t>
      </w:r>
      <w:r w:rsidRPr="00150EDC">
        <w:rPr>
          <w:spacing w:val="-5"/>
          <w:sz w:val="24"/>
        </w:rPr>
        <w:t xml:space="preserve"> </w:t>
      </w:r>
      <w:r w:rsidRPr="00150EDC">
        <w:rPr>
          <w:sz w:val="24"/>
        </w:rPr>
        <w:t>Buyer</w:t>
      </w:r>
      <w:r w:rsidRPr="00150EDC">
        <w:rPr>
          <w:spacing w:val="-6"/>
          <w:sz w:val="24"/>
        </w:rPr>
        <w:t xml:space="preserve"> </w:t>
      </w:r>
      <w:r w:rsidRPr="00150EDC">
        <w:rPr>
          <w:sz w:val="24"/>
        </w:rPr>
        <w:t>and</w:t>
      </w:r>
      <w:r w:rsidRPr="00150EDC">
        <w:rPr>
          <w:spacing w:val="-5"/>
          <w:sz w:val="24"/>
        </w:rPr>
        <w:t xml:space="preserve"> </w:t>
      </w:r>
      <w:r w:rsidRPr="00150EDC">
        <w:rPr>
          <w:sz w:val="24"/>
        </w:rPr>
        <w:t>the</w:t>
      </w:r>
      <w:r w:rsidRPr="00150EDC">
        <w:rPr>
          <w:spacing w:val="-5"/>
          <w:sz w:val="24"/>
        </w:rPr>
        <w:t xml:space="preserve"> </w:t>
      </w:r>
      <w:r w:rsidRPr="00150EDC">
        <w:rPr>
          <w:sz w:val="24"/>
        </w:rPr>
        <w:t>provision of the Goods and/or Services to the extent within its control against any such Breach of Security or attempted Breach of Security;</w:t>
      </w:r>
    </w:p>
    <w:p w14:paraId="195BB7A4" w14:textId="77777777" w:rsidR="004C7180" w:rsidRPr="00150EDC" w:rsidRDefault="00CF0754" w:rsidP="00B320C7">
      <w:pPr>
        <w:pStyle w:val="ListParagraph"/>
        <w:numPr>
          <w:ilvl w:val="3"/>
          <w:numId w:val="41"/>
        </w:numPr>
        <w:tabs>
          <w:tab w:val="left" w:pos="4647"/>
        </w:tabs>
        <w:spacing w:before="127" w:line="230" w:lineRule="auto"/>
        <w:ind w:left="4647" w:right="1703" w:hanging="720"/>
        <w:rPr>
          <w:sz w:val="24"/>
        </w:rPr>
      </w:pPr>
      <w:r w:rsidRPr="00150EDC">
        <w:rPr>
          <w:sz w:val="24"/>
        </w:rPr>
        <w:t>prevent</w:t>
      </w:r>
      <w:r w:rsidRPr="00150EDC">
        <w:rPr>
          <w:spacing w:val="-6"/>
          <w:sz w:val="24"/>
        </w:rPr>
        <w:t xml:space="preserve"> </w:t>
      </w:r>
      <w:r w:rsidRPr="00150EDC">
        <w:rPr>
          <w:sz w:val="24"/>
        </w:rPr>
        <w:t>an</w:t>
      </w:r>
      <w:r w:rsidRPr="00150EDC">
        <w:rPr>
          <w:spacing w:val="-5"/>
          <w:sz w:val="24"/>
        </w:rPr>
        <w:t xml:space="preserve"> </w:t>
      </w:r>
      <w:r w:rsidRPr="00150EDC">
        <w:rPr>
          <w:sz w:val="24"/>
        </w:rPr>
        <w:t>equivalent</w:t>
      </w:r>
      <w:r w:rsidRPr="00150EDC">
        <w:rPr>
          <w:spacing w:val="-6"/>
          <w:sz w:val="24"/>
        </w:rPr>
        <w:t xml:space="preserve"> </w:t>
      </w:r>
      <w:r w:rsidRPr="00150EDC">
        <w:rPr>
          <w:sz w:val="24"/>
        </w:rPr>
        <w:t>breach</w:t>
      </w:r>
      <w:r w:rsidRPr="00150EDC">
        <w:rPr>
          <w:spacing w:val="-4"/>
          <w:sz w:val="24"/>
        </w:rPr>
        <w:t xml:space="preserve"> </w:t>
      </w:r>
      <w:r w:rsidRPr="00150EDC">
        <w:rPr>
          <w:sz w:val="24"/>
        </w:rPr>
        <w:t>in</w:t>
      </w:r>
      <w:r w:rsidRPr="00150EDC">
        <w:rPr>
          <w:spacing w:val="-4"/>
          <w:sz w:val="24"/>
        </w:rPr>
        <w:t xml:space="preserve"> </w:t>
      </w:r>
      <w:r w:rsidRPr="00150EDC">
        <w:rPr>
          <w:sz w:val="24"/>
        </w:rPr>
        <w:t>the</w:t>
      </w:r>
      <w:r w:rsidRPr="00150EDC">
        <w:rPr>
          <w:spacing w:val="-4"/>
          <w:sz w:val="24"/>
        </w:rPr>
        <w:t xml:space="preserve"> </w:t>
      </w:r>
      <w:r w:rsidRPr="00150EDC">
        <w:rPr>
          <w:sz w:val="24"/>
        </w:rPr>
        <w:t>future</w:t>
      </w:r>
      <w:r w:rsidRPr="00150EDC">
        <w:rPr>
          <w:spacing w:val="-5"/>
          <w:sz w:val="24"/>
        </w:rPr>
        <w:t xml:space="preserve"> </w:t>
      </w:r>
      <w:r w:rsidRPr="00150EDC">
        <w:rPr>
          <w:sz w:val="24"/>
        </w:rPr>
        <w:t>exploiting the same cause failure; and</w:t>
      </w:r>
    </w:p>
    <w:p w14:paraId="6EA0CAF8" w14:textId="77777777" w:rsidR="004C7180" w:rsidRPr="00150EDC" w:rsidRDefault="004C7180">
      <w:pPr>
        <w:spacing w:line="230" w:lineRule="auto"/>
        <w:rPr>
          <w:sz w:val="24"/>
        </w:rPr>
        <w:sectPr w:rsidR="004C7180" w:rsidRPr="00150EDC">
          <w:pgSz w:w="11910" w:h="16840"/>
          <w:pgMar w:top="1380" w:right="0" w:bottom="1380" w:left="40" w:header="715" w:footer="1192" w:gutter="0"/>
          <w:cols w:space="720"/>
        </w:sectPr>
      </w:pPr>
    </w:p>
    <w:p w14:paraId="2997755F" w14:textId="77777777" w:rsidR="004C7180" w:rsidRPr="00150EDC" w:rsidRDefault="004C7180">
      <w:pPr>
        <w:pStyle w:val="BodyText"/>
        <w:spacing w:before="3"/>
        <w:rPr>
          <w:sz w:val="12"/>
        </w:rPr>
      </w:pPr>
    </w:p>
    <w:p w14:paraId="327E78EE" w14:textId="77777777" w:rsidR="004C7180" w:rsidRPr="00150EDC" w:rsidRDefault="00CF0754" w:rsidP="00B320C7">
      <w:pPr>
        <w:pStyle w:val="ListParagraph"/>
        <w:numPr>
          <w:ilvl w:val="3"/>
          <w:numId w:val="41"/>
        </w:numPr>
        <w:tabs>
          <w:tab w:val="left" w:pos="4647"/>
        </w:tabs>
        <w:spacing w:before="92" w:line="237" w:lineRule="auto"/>
        <w:ind w:left="4647" w:right="1478" w:hanging="720"/>
        <w:rPr>
          <w:sz w:val="24"/>
        </w:rPr>
      </w:pPr>
      <w:r w:rsidRPr="00150EDC">
        <w:rPr>
          <w:sz w:val="24"/>
        </w:rPr>
        <w:t>as soon as reasonably practicable provide to the Buyer,</w:t>
      </w:r>
      <w:r w:rsidRPr="00150EDC">
        <w:rPr>
          <w:spacing w:val="-4"/>
          <w:sz w:val="24"/>
        </w:rPr>
        <w:t xml:space="preserve"> </w:t>
      </w:r>
      <w:r w:rsidRPr="00150EDC">
        <w:rPr>
          <w:sz w:val="24"/>
        </w:rPr>
        <w:t>where</w:t>
      </w:r>
      <w:r w:rsidRPr="00150EDC">
        <w:rPr>
          <w:spacing w:val="-4"/>
          <w:sz w:val="24"/>
        </w:rPr>
        <w:t xml:space="preserve"> </w:t>
      </w:r>
      <w:r w:rsidRPr="00150EDC">
        <w:rPr>
          <w:sz w:val="24"/>
        </w:rPr>
        <w:t>the</w:t>
      </w:r>
      <w:r w:rsidRPr="00150EDC">
        <w:rPr>
          <w:spacing w:val="-4"/>
          <w:sz w:val="24"/>
        </w:rPr>
        <w:t xml:space="preserve"> </w:t>
      </w:r>
      <w:r w:rsidRPr="00150EDC">
        <w:rPr>
          <w:sz w:val="24"/>
        </w:rPr>
        <w:t>Buyer</w:t>
      </w:r>
      <w:r w:rsidRPr="00150EDC">
        <w:rPr>
          <w:spacing w:val="-5"/>
          <w:sz w:val="24"/>
        </w:rPr>
        <w:t xml:space="preserve"> </w:t>
      </w:r>
      <w:r w:rsidRPr="00150EDC">
        <w:rPr>
          <w:sz w:val="24"/>
        </w:rPr>
        <w:t>so</w:t>
      </w:r>
      <w:r w:rsidRPr="00150EDC">
        <w:rPr>
          <w:spacing w:val="-4"/>
          <w:sz w:val="24"/>
        </w:rPr>
        <w:t xml:space="preserve"> </w:t>
      </w:r>
      <w:r w:rsidRPr="00150EDC">
        <w:rPr>
          <w:sz w:val="24"/>
        </w:rPr>
        <w:t>requests,</w:t>
      </w:r>
      <w:r w:rsidRPr="00150EDC">
        <w:rPr>
          <w:spacing w:val="-6"/>
          <w:sz w:val="24"/>
        </w:rPr>
        <w:t xml:space="preserve"> </w:t>
      </w:r>
      <w:r w:rsidRPr="00150EDC">
        <w:rPr>
          <w:sz w:val="24"/>
        </w:rPr>
        <w:t>full</w:t>
      </w:r>
      <w:r w:rsidRPr="00150EDC">
        <w:rPr>
          <w:spacing w:val="-5"/>
          <w:sz w:val="24"/>
        </w:rPr>
        <w:t xml:space="preserve"> </w:t>
      </w:r>
      <w:r w:rsidRPr="00150EDC">
        <w:rPr>
          <w:sz w:val="24"/>
        </w:rPr>
        <w:t>details</w:t>
      </w:r>
      <w:r w:rsidRPr="00150EDC">
        <w:rPr>
          <w:spacing w:val="-5"/>
          <w:sz w:val="24"/>
        </w:rPr>
        <w:t xml:space="preserve"> </w:t>
      </w:r>
      <w:r w:rsidRPr="00150EDC">
        <w:rPr>
          <w:sz w:val="24"/>
        </w:rPr>
        <w:t>(using the reporting mechanism defined by the Security Management Plan) of the Breach of Security or attempted Breach of Security, including a cause analysis where required by the Buyer.</w:t>
      </w:r>
    </w:p>
    <w:p w14:paraId="38F21DE0" w14:textId="400C15B7" w:rsidR="004C7180" w:rsidRPr="00150EDC" w:rsidRDefault="00CF0754" w:rsidP="00B320C7">
      <w:pPr>
        <w:pStyle w:val="ListParagraph"/>
        <w:numPr>
          <w:ilvl w:val="1"/>
          <w:numId w:val="41"/>
        </w:numPr>
        <w:tabs>
          <w:tab w:val="left" w:pos="2300"/>
          <w:tab w:val="left" w:pos="2302"/>
        </w:tabs>
        <w:spacing w:before="121"/>
        <w:ind w:right="1462" w:hanging="360"/>
        <w:rPr>
          <w:sz w:val="24"/>
        </w:rPr>
      </w:pPr>
      <w:r w:rsidRPr="00150EDC">
        <w:rPr>
          <w:sz w:val="24"/>
        </w:rPr>
        <w:t>In the event that any action is taken in response to a Breach of Security or potential</w:t>
      </w:r>
      <w:r w:rsidRPr="00150EDC">
        <w:rPr>
          <w:spacing w:val="-4"/>
          <w:sz w:val="24"/>
        </w:rPr>
        <w:t xml:space="preserve"> </w:t>
      </w:r>
      <w:r w:rsidRPr="00150EDC">
        <w:rPr>
          <w:sz w:val="24"/>
        </w:rPr>
        <w:t>or</w:t>
      </w:r>
      <w:r w:rsidRPr="00150EDC">
        <w:rPr>
          <w:spacing w:val="-6"/>
          <w:sz w:val="24"/>
        </w:rPr>
        <w:t xml:space="preserve"> </w:t>
      </w:r>
      <w:r w:rsidRPr="00150EDC">
        <w:rPr>
          <w:sz w:val="24"/>
        </w:rPr>
        <w:t>attempted</w:t>
      </w:r>
      <w:r w:rsidRPr="00150EDC">
        <w:rPr>
          <w:spacing w:val="-4"/>
          <w:sz w:val="24"/>
        </w:rPr>
        <w:t xml:space="preserve"> </w:t>
      </w:r>
      <w:r w:rsidRPr="00150EDC">
        <w:rPr>
          <w:sz w:val="24"/>
        </w:rPr>
        <w:t>Breach</w:t>
      </w:r>
      <w:r w:rsidRPr="00150EDC">
        <w:rPr>
          <w:spacing w:val="-4"/>
          <w:sz w:val="24"/>
        </w:rPr>
        <w:t xml:space="preserve"> </w:t>
      </w:r>
      <w:r w:rsidRPr="00150EDC">
        <w:rPr>
          <w:sz w:val="24"/>
        </w:rPr>
        <w:t>of</w:t>
      </w:r>
      <w:r w:rsidRPr="00150EDC">
        <w:rPr>
          <w:spacing w:val="-3"/>
          <w:sz w:val="24"/>
        </w:rPr>
        <w:t xml:space="preserve"> </w:t>
      </w:r>
      <w:r w:rsidRPr="00150EDC">
        <w:rPr>
          <w:sz w:val="24"/>
        </w:rPr>
        <w:t>Security</w:t>
      </w:r>
      <w:r w:rsidRPr="00150EDC">
        <w:rPr>
          <w:spacing w:val="-4"/>
          <w:sz w:val="24"/>
        </w:rPr>
        <w:t xml:space="preserve"> </w:t>
      </w:r>
      <w:r w:rsidRPr="00150EDC">
        <w:rPr>
          <w:sz w:val="24"/>
        </w:rPr>
        <w:t>that</w:t>
      </w:r>
      <w:r w:rsidRPr="00150EDC">
        <w:rPr>
          <w:spacing w:val="-5"/>
          <w:sz w:val="24"/>
        </w:rPr>
        <w:t xml:space="preserve"> </w:t>
      </w:r>
      <w:r w:rsidRPr="00150EDC">
        <w:rPr>
          <w:sz w:val="24"/>
        </w:rPr>
        <w:t>demonstrates</w:t>
      </w:r>
      <w:r w:rsidRPr="00150EDC">
        <w:rPr>
          <w:spacing w:val="-5"/>
          <w:sz w:val="24"/>
        </w:rPr>
        <w:t xml:space="preserve"> </w:t>
      </w:r>
      <w:r w:rsidRPr="00150EDC">
        <w:rPr>
          <w:sz w:val="24"/>
        </w:rPr>
        <w:t>non-compliance of the Security Management</w:t>
      </w:r>
      <w:r w:rsidRPr="00150EDC">
        <w:rPr>
          <w:spacing w:val="-2"/>
          <w:sz w:val="24"/>
        </w:rPr>
        <w:t xml:space="preserve"> </w:t>
      </w:r>
      <w:r w:rsidRPr="00150EDC">
        <w:rPr>
          <w:sz w:val="24"/>
        </w:rPr>
        <w:t>Plan with</w:t>
      </w:r>
      <w:r w:rsidRPr="00150EDC">
        <w:rPr>
          <w:spacing w:val="-1"/>
          <w:sz w:val="24"/>
        </w:rPr>
        <w:t xml:space="preserve"> </w:t>
      </w:r>
      <w:r w:rsidRPr="00150EDC">
        <w:rPr>
          <w:sz w:val="24"/>
        </w:rPr>
        <w:t xml:space="preserve">the Security </w:t>
      </w:r>
      <w:r w:rsidR="000C2370" w:rsidRPr="00150EDC">
        <w:rPr>
          <w:sz w:val="24"/>
        </w:rPr>
        <w:t>requirements</w:t>
      </w:r>
      <w:r w:rsidRPr="00150EDC">
        <w:rPr>
          <w:sz w:val="24"/>
        </w:rPr>
        <w:t xml:space="preserve"> (where</w:t>
      </w:r>
      <w:r w:rsidRPr="00150EDC">
        <w:rPr>
          <w:spacing w:val="-1"/>
          <w:sz w:val="24"/>
        </w:rPr>
        <w:t xml:space="preserve"> </w:t>
      </w:r>
      <w:r w:rsidRPr="00150EDC">
        <w:rPr>
          <w:sz w:val="24"/>
        </w:rPr>
        <w:t>relevant in accordance with paragraph 2.2) or the requirements of this Schedule, then any</w:t>
      </w:r>
      <w:r w:rsidRPr="00150EDC">
        <w:rPr>
          <w:spacing w:val="-1"/>
          <w:sz w:val="24"/>
        </w:rPr>
        <w:t xml:space="preserve"> </w:t>
      </w:r>
      <w:r w:rsidRPr="00150EDC">
        <w:rPr>
          <w:sz w:val="24"/>
        </w:rPr>
        <w:t>required change</w:t>
      </w:r>
      <w:r w:rsidRPr="00150EDC">
        <w:rPr>
          <w:spacing w:val="-2"/>
          <w:sz w:val="24"/>
        </w:rPr>
        <w:t xml:space="preserve"> </w:t>
      </w:r>
      <w:r w:rsidRPr="00150EDC">
        <w:rPr>
          <w:sz w:val="24"/>
        </w:rPr>
        <w:t>to</w:t>
      </w:r>
      <w:r w:rsidRPr="00150EDC">
        <w:rPr>
          <w:spacing w:val="-2"/>
          <w:sz w:val="24"/>
        </w:rPr>
        <w:t xml:space="preserve"> </w:t>
      </w:r>
      <w:r w:rsidRPr="00150EDC">
        <w:rPr>
          <w:sz w:val="24"/>
        </w:rPr>
        <w:t>the</w:t>
      </w:r>
      <w:r w:rsidRPr="00150EDC">
        <w:rPr>
          <w:spacing w:val="-2"/>
          <w:sz w:val="24"/>
        </w:rPr>
        <w:t xml:space="preserve"> </w:t>
      </w:r>
      <w:r w:rsidRPr="00150EDC">
        <w:rPr>
          <w:sz w:val="24"/>
        </w:rPr>
        <w:t>Security</w:t>
      </w:r>
      <w:r w:rsidRPr="00150EDC">
        <w:rPr>
          <w:spacing w:val="-1"/>
          <w:sz w:val="24"/>
        </w:rPr>
        <w:t xml:space="preserve"> </w:t>
      </w:r>
      <w:r w:rsidRPr="00150EDC">
        <w:rPr>
          <w:sz w:val="24"/>
        </w:rPr>
        <w:t>Management Plan shall</w:t>
      </w:r>
      <w:r w:rsidRPr="00150EDC">
        <w:rPr>
          <w:spacing w:val="-1"/>
          <w:sz w:val="24"/>
        </w:rPr>
        <w:t xml:space="preserve"> </w:t>
      </w:r>
      <w:r w:rsidRPr="00150EDC">
        <w:rPr>
          <w:sz w:val="24"/>
        </w:rPr>
        <w:t>be</w:t>
      </w:r>
      <w:r w:rsidRPr="00150EDC">
        <w:rPr>
          <w:spacing w:val="-2"/>
          <w:sz w:val="24"/>
        </w:rPr>
        <w:t xml:space="preserve"> </w:t>
      </w:r>
      <w:r w:rsidRPr="00150EDC">
        <w:rPr>
          <w:sz w:val="24"/>
        </w:rPr>
        <w:t>at</w:t>
      </w:r>
      <w:r w:rsidRPr="00150EDC">
        <w:rPr>
          <w:spacing w:val="-3"/>
          <w:sz w:val="24"/>
        </w:rPr>
        <w:t xml:space="preserve"> </w:t>
      </w:r>
      <w:r w:rsidRPr="00150EDC">
        <w:rPr>
          <w:sz w:val="24"/>
        </w:rPr>
        <w:t>no cost</w:t>
      </w:r>
      <w:r w:rsidRPr="00150EDC">
        <w:rPr>
          <w:spacing w:val="-3"/>
          <w:sz w:val="24"/>
        </w:rPr>
        <w:t xml:space="preserve"> </w:t>
      </w:r>
      <w:r w:rsidRPr="00150EDC">
        <w:rPr>
          <w:sz w:val="24"/>
        </w:rPr>
        <w:t>to the Buyer.</w:t>
      </w:r>
    </w:p>
    <w:p w14:paraId="3B70E4EE" w14:textId="77777777" w:rsidR="004C7180" w:rsidRPr="00150EDC" w:rsidRDefault="004C7180">
      <w:pPr>
        <w:rPr>
          <w:sz w:val="24"/>
        </w:rPr>
        <w:sectPr w:rsidR="004C7180" w:rsidRPr="00150EDC">
          <w:pgSz w:w="11910" w:h="16840"/>
          <w:pgMar w:top="1380" w:right="0" w:bottom="1380" w:left="40" w:header="715" w:footer="1192" w:gutter="0"/>
          <w:cols w:space="720"/>
        </w:sectPr>
      </w:pPr>
    </w:p>
    <w:p w14:paraId="750B4E08" w14:textId="77777777" w:rsidR="004C7180" w:rsidRPr="00150EDC" w:rsidRDefault="004C7180">
      <w:pPr>
        <w:pStyle w:val="BodyText"/>
        <w:spacing w:before="4"/>
        <w:rPr>
          <w:sz w:val="17"/>
        </w:rPr>
      </w:pPr>
    </w:p>
    <w:p w14:paraId="4DBD855D" w14:textId="77777777" w:rsidR="004C7180" w:rsidRPr="00150EDC" w:rsidRDefault="004C7180">
      <w:pPr>
        <w:rPr>
          <w:sz w:val="17"/>
        </w:rPr>
        <w:sectPr w:rsidR="004C7180" w:rsidRPr="00150EDC">
          <w:pgSz w:w="11910" w:h="16840"/>
          <w:pgMar w:top="1380" w:right="0" w:bottom="1380" w:left="40" w:header="715" w:footer="1192" w:gutter="0"/>
          <w:cols w:space="720"/>
        </w:sectPr>
      </w:pPr>
    </w:p>
    <w:p w14:paraId="7AB20F62" w14:textId="77777777" w:rsidR="004C7180" w:rsidRPr="00150EDC" w:rsidRDefault="004C7180">
      <w:pPr>
        <w:pStyle w:val="BodyText"/>
        <w:rPr>
          <w:sz w:val="20"/>
        </w:rPr>
      </w:pPr>
    </w:p>
    <w:p w14:paraId="1C051133" w14:textId="77777777" w:rsidR="004C7180" w:rsidRPr="00150EDC" w:rsidRDefault="004C7180">
      <w:pPr>
        <w:pStyle w:val="BodyText"/>
        <w:rPr>
          <w:sz w:val="20"/>
        </w:rPr>
      </w:pPr>
    </w:p>
    <w:p w14:paraId="097188E7" w14:textId="77777777" w:rsidR="004C7180" w:rsidRPr="00150EDC" w:rsidRDefault="00CF0754">
      <w:pPr>
        <w:pStyle w:val="Heading2"/>
        <w:spacing w:before="222"/>
      </w:pPr>
      <w:bookmarkStart w:id="42" w:name="DPS_Order_Schedule_10_-_Exit_Management_"/>
      <w:bookmarkEnd w:id="42"/>
      <w:r w:rsidRPr="00150EDC">
        <w:t>Order</w:t>
      </w:r>
      <w:r w:rsidRPr="00150EDC">
        <w:rPr>
          <w:spacing w:val="-10"/>
        </w:rPr>
        <w:t xml:space="preserve"> </w:t>
      </w:r>
      <w:r w:rsidRPr="00150EDC">
        <w:t>Schedule</w:t>
      </w:r>
      <w:r w:rsidRPr="00150EDC">
        <w:rPr>
          <w:spacing w:val="-8"/>
        </w:rPr>
        <w:t xml:space="preserve"> </w:t>
      </w:r>
      <w:r w:rsidRPr="00150EDC">
        <w:t>10</w:t>
      </w:r>
      <w:r w:rsidRPr="00150EDC">
        <w:rPr>
          <w:spacing w:val="-11"/>
        </w:rPr>
        <w:t xml:space="preserve"> </w:t>
      </w:r>
      <w:r w:rsidRPr="00150EDC">
        <w:t>(Exit</w:t>
      </w:r>
      <w:r w:rsidRPr="00150EDC">
        <w:rPr>
          <w:spacing w:val="-11"/>
        </w:rPr>
        <w:t xml:space="preserve"> </w:t>
      </w:r>
      <w:r w:rsidRPr="00150EDC">
        <w:rPr>
          <w:spacing w:val="-2"/>
        </w:rPr>
        <w:t>Management)</w:t>
      </w:r>
    </w:p>
    <w:p w14:paraId="639DC24F" w14:textId="77777777" w:rsidR="004C7180" w:rsidRPr="00150EDC" w:rsidRDefault="00CF0754" w:rsidP="00B320C7">
      <w:pPr>
        <w:pStyle w:val="Heading4"/>
        <w:numPr>
          <w:ilvl w:val="0"/>
          <w:numId w:val="39"/>
        </w:numPr>
        <w:tabs>
          <w:tab w:val="left" w:pos="2042"/>
        </w:tabs>
        <w:spacing w:before="242"/>
        <w:ind w:left="2042" w:hanging="359"/>
      </w:pPr>
      <w:r w:rsidRPr="00150EDC">
        <w:rPr>
          <w:spacing w:val="-2"/>
        </w:rPr>
        <w:t>Definitions</w:t>
      </w:r>
    </w:p>
    <w:p w14:paraId="363439F9" w14:textId="77777777" w:rsidR="004C7180" w:rsidRPr="00150EDC" w:rsidRDefault="004C7180">
      <w:pPr>
        <w:pStyle w:val="BodyText"/>
        <w:spacing w:before="10"/>
        <w:rPr>
          <w:b/>
          <w:sz w:val="20"/>
        </w:rPr>
      </w:pPr>
    </w:p>
    <w:p w14:paraId="0CA0E72B" w14:textId="77777777" w:rsidR="004C7180" w:rsidRPr="00150EDC" w:rsidRDefault="00CF0754" w:rsidP="00B320C7">
      <w:pPr>
        <w:pStyle w:val="ListParagraph"/>
        <w:numPr>
          <w:ilvl w:val="1"/>
          <w:numId w:val="39"/>
        </w:numPr>
        <w:tabs>
          <w:tab w:val="left" w:pos="2326"/>
          <w:tab w:val="left" w:pos="2328"/>
        </w:tabs>
        <w:ind w:right="1529"/>
        <w:rPr>
          <w:sz w:val="24"/>
        </w:rPr>
      </w:pPr>
      <w:r w:rsidRPr="00150EDC">
        <w:rPr>
          <w:sz w:val="24"/>
        </w:rPr>
        <w:t>In</w:t>
      </w:r>
      <w:r w:rsidRPr="00150EDC">
        <w:rPr>
          <w:spacing w:val="-3"/>
          <w:sz w:val="24"/>
        </w:rPr>
        <w:t xml:space="preserve"> </w:t>
      </w:r>
      <w:r w:rsidRPr="00150EDC">
        <w:rPr>
          <w:sz w:val="24"/>
        </w:rPr>
        <w:t>this</w:t>
      </w:r>
      <w:r w:rsidRPr="00150EDC">
        <w:rPr>
          <w:spacing w:val="-5"/>
          <w:sz w:val="24"/>
        </w:rPr>
        <w:t xml:space="preserve"> </w:t>
      </w:r>
      <w:r w:rsidRPr="00150EDC">
        <w:rPr>
          <w:sz w:val="24"/>
        </w:rPr>
        <w:t>Schedule,</w:t>
      </w:r>
      <w:r w:rsidRPr="00150EDC">
        <w:rPr>
          <w:spacing w:val="-3"/>
          <w:sz w:val="24"/>
        </w:rPr>
        <w:t xml:space="preserve"> </w:t>
      </w:r>
      <w:r w:rsidRPr="00150EDC">
        <w:rPr>
          <w:sz w:val="24"/>
        </w:rPr>
        <w:t>the</w:t>
      </w:r>
      <w:r w:rsidRPr="00150EDC">
        <w:rPr>
          <w:spacing w:val="-3"/>
          <w:sz w:val="24"/>
        </w:rPr>
        <w:t xml:space="preserve"> </w:t>
      </w:r>
      <w:r w:rsidRPr="00150EDC">
        <w:rPr>
          <w:sz w:val="24"/>
        </w:rPr>
        <w:t>following</w:t>
      </w:r>
      <w:r w:rsidRPr="00150EDC">
        <w:rPr>
          <w:spacing w:val="-3"/>
          <w:sz w:val="24"/>
        </w:rPr>
        <w:t xml:space="preserve"> </w:t>
      </w:r>
      <w:r w:rsidRPr="00150EDC">
        <w:rPr>
          <w:sz w:val="24"/>
        </w:rPr>
        <w:t>words</w:t>
      </w:r>
      <w:r w:rsidRPr="00150EDC">
        <w:rPr>
          <w:spacing w:val="-3"/>
          <w:sz w:val="24"/>
        </w:rPr>
        <w:t xml:space="preserve"> </w:t>
      </w:r>
      <w:r w:rsidRPr="00150EDC">
        <w:rPr>
          <w:sz w:val="24"/>
        </w:rPr>
        <w:t>shall</w:t>
      </w:r>
      <w:r w:rsidRPr="00150EDC">
        <w:rPr>
          <w:spacing w:val="-3"/>
          <w:sz w:val="24"/>
        </w:rPr>
        <w:t xml:space="preserve"> </w:t>
      </w:r>
      <w:r w:rsidRPr="00150EDC">
        <w:rPr>
          <w:sz w:val="24"/>
        </w:rPr>
        <w:t>have</w:t>
      </w:r>
      <w:r w:rsidRPr="00150EDC">
        <w:rPr>
          <w:spacing w:val="-3"/>
          <w:sz w:val="24"/>
        </w:rPr>
        <w:t xml:space="preserve"> </w:t>
      </w:r>
      <w:r w:rsidRPr="00150EDC">
        <w:rPr>
          <w:sz w:val="24"/>
        </w:rPr>
        <w:t>the</w:t>
      </w:r>
      <w:r w:rsidRPr="00150EDC">
        <w:rPr>
          <w:spacing w:val="-3"/>
          <w:sz w:val="24"/>
        </w:rPr>
        <w:t xml:space="preserve"> </w:t>
      </w:r>
      <w:r w:rsidRPr="00150EDC">
        <w:rPr>
          <w:sz w:val="24"/>
        </w:rPr>
        <w:t>following</w:t>
      </w:r>
      <w:r w:rsidRPr="00150EDC">
        <w:rPr>
          <w:spacing w:val="-4"/>
          <w:sz w:val="24"/>
        </w:rPr>
        <w:t xml:space="preserve"> </w:t>
      </w:r>
      <w:r w:rsidRPr="00150EDC">
        <w:rPr>
          <w:sz w:val="24"/>
        </w:rPr>
        <w:t>meanings</w:t>
      </w:r>
      <w:r w:rsidRPr="00150EDC">
        <w:rPr>
          <w:spacing w:val="-3"/>
          <w:sz w:val="24"/>
        </w:rPr>
        <w:t xml:space="preserve"> </w:t>
      </w:r>
      <w:r w:rsidRPr="00150EDC">
        <w:rPr>
          <w:sz w:val="24"/>
        </w:rPr>
        <w:t>and they shall supplement Joint Schedule 1 (Definitions):</w:t>
      </w:r>
    </w:p>
    <w:p w14:paraId="13D10AB4" w14:textId="77777777" w:rsidR="004C7180" w:rsidRPr="00150EDC" w:rsidRDefault="004C7180">
      <w:pPr>
        <w:pStyle w:val="BodyText"/>
        <w:spacing w:before="2"/>
        <w:rPr>
          <w:sz w:val="11"/>
        </w:rPr>
      </w:pPr>
    </w:p>
    <w:tbl>
      <w:tblPr>
        <w:tblW w:w="0" w:type="auto"/>
        <w:tblInd w:w="2257" w:type="dxa"/>
        <w:tblLayout w:type="fixed"/>
        <w:tblCellMar>
          <w:left w:w="0" w:type="dxa"/>
          <w:right w:w="0" w:type="dxa"/>
        </w:tblCellMar>
        <w:tblLook w:val="01E0" w:firstRow="1" w:lastRow="1" w:firstColumn="1" w:lastColumn="1" w:noHBand="0" w:noVBand="0"/>
      </w:tblPr>
      <w:tblGrid>
        <w:gridCol w:w="3023"/>
        <w:gridCol w:w="4945"/>
      </w:tblGrid>
      <w:tr w:rsidR="004569EE" w:rsidRPr="007D3144" w14:paraId="10FA857E" w14:textId="77777777">
        <w:trPr>
          <w:trHeight w:val="884"/>
        </w:trPr>
        <w:tc>
          <w:tcPr>
            <w:tcW w:w="3023" w:type="dxa"/>
          </w:tcPr>
          <w:p w14:paraId="55946A10" w14:textId="77777777" w:rsidR="004C7180" w:rsidRPr="00150EDC" w:rsidRDefault="00CF0754">
            <w:pPr>
              <w:pStyle w:val="TableParagraph"/>
              <w:spacing w:before="0" w:line="268" w:lineRule="exact"/>
              <w:ind w:left="50"/>
              <w:rPr>
                <w:b/>
                <w:sz w:val="24"/>
              </w:rPr>
            </w:pPr>
            <w:r w:rsidRPr="00150EDC">
              <w:rPr>
                <w:b/>
                <w:sz w:val="24"/>
              </w:rPr>
              <w:t xml:space="preserve">"Exclusive </w:t>
            </w:r>
            <w:r w:rsidRPr="00150EDC">
              <w:rPr>
                <w:b/>
                <w:spacing w:val="-2"/>
                <w:sz w:val="24"/>
              </w:rPr>
              <w:t>Assets"</w:t>
            </w:r>
          </w:p>
        </w:tc>
        <w:tc>
          <w:tcPr>
            <w:tcW w:w="4945" w:type="dxa"/>
          </w:tcPr>
          <w:p w14:paraId="39B5DD60" w14:textId="77777777" w:rsidR="004C7180" w:rsidRPr="00150EDC" w:rsidRDefault="00CF0754">
            <w:pPr>
              <w:pStyle w:val="TableParagraph"/>
              <w:spacing w:before="0" w:line="240" w:lineRule="auto"/>
              <w:ind w:left="195" w:right="543"/>
              <w:jc w:val="both"/>
              <w:rPr>
                <w:sz w:val="24"/>
              </w:rPr>
            </w:pPr>
            <w:r w:rsidRPr="00150EDC">
              <w:rPr>
                <w:sz w:val="24"/>
              </w:rPr>
              <w:t>Supplier</w:t>
            </w:r>
            <w:r w:rsidRPr="00150EDC">
              <w:rPr>
                <w:spacing w:val="-10"/>
                <w:sz w:val="24"/>
              </w:rPr>
              <w:t xml:space="preserve"> </w:t>
            </w:r>
            <w:r w:rsidRPr="00150EDC">
              <w:rPr>
                <w:sz w:val="24"/>
              </w:rPr>
              <w:t>Assets</w:t>
            </w:r>
            <w:r w:rsidRPr="00150EDC">
              <w:rPr>
                <w:spacing w:val="-9"/>
                <w:sz w:val="24"/>
              </w:rPr>
              <w:t xml:space="preserve"> </w:t>
            </w:r>
            <w:r w:rsidRPr="00150EDC">
              <w:rPr>
                <w:sz w:val="24"/>
              </w:rPr>
              <w:t>used</w:t>
            </w:r>
            <w:r w:rsidRPr="00150EDC">
              <w:rPr>
                <w:spacing w:val="-6"/>
                <w:sz w:val="24"/>
              </w:rPr>
              <w:t xml:space="preserve"> </w:t>
            </w:r>
            <w:r w:rsidRPr="00150EDC">
              <w:rPr>
                <w:sz w:val="24"/>
              </w:rPr>
              <w:t>exclusively</w:t>
            </w:r>
            <w:r w:rsidRPr="00150EDC">
              <w:rPr>
                <w:spacing w:val="-7"/>
                <w:sz w:val="24"/>
              </w:rPr>
              <w:t xml:space="preserve"> </w:t>
            </w:r>
            <w:r w:rsidRPr="00150EDC">
              <w:rPr>
                <w:sz w:val="24"/>
              </w:rPr>
              <w:t>by</w:t>
            </w:r>
            <w:r w:rsidRPr="00150EDC">
              <w:rPr>
                <w:spacing w:val="-7"/>
                <w:sz w:val="24"/>
              </w:rPr>
              <w:t xml:space="preserve"> </w:t>
            </w:r>
            <w:r w:rsidRPr="00150EDC">
              <w:rPr>
                <w:sz w:val="24"/>
              </w:rPr>
              <w:t>the Supplier</w:t>
            </w:r>
            <w:r w:rsidRPr="00150EDC">
              <w:rPr>
                <w:spacing w:val="-6"/>
                <w:sz w:val="24"/>
              </w:rPr>
              <w:t xml:space="preserve"> </w:t>
            </w:r>
            <w:r w:rsidRPr="00150EDC">
              <w:rPr>
                <w:sz w:val="24"/>
              </w:rPr>
              <w:t>[</w:t>
            </w:r>
            <w:r w:rsidRPr="007D3144">
              <w:rPr>
                <w:sz w:val="24"/>
                <w:shd w:val="clear" w:color="auto" w:fill="FFFF00"/>
              </w:rPr>
              <w:t>or</w:t>
            </w:r>
            <w:r w:rsidRPr="007D3144">
              <w:rPr>
                <w:spacing w:val="-4"/>
                <w:sz w:val="24"/>
                <w:shd w:val="clear" w:color="auto" w:fill="FFFF00"/>
              </w:rPr>
              <w:t xml:space="preserve"> </w:t>
            </w:r>
            <w:r w:rsidRPr="007D3144">
              <w:rPr>
                <w:sz w:val="24"/>
                <w:shd w:val="clear" w:color="auto" w:fill="FFFF00"/>
              </w:rPr>
              <w:t>a</w:t>
            </w:r>
            <w:r w:rsidRPr="007D3144">
              <w:rPr>
                <w:spacing w:val="-4"/>
                <w:sz w:val="24"/>
                <w:shd w:val="clear" w:color="auto" w:fill="FFFF00"/>
              </w:rPr>
              <w:t xml:space="preserve"> </w:t>
            </w:r>
            <w:r w:rsidRPr="007D3144">
              <w:rPr>
                <w:sz w:val="24"/>
                <w:shd w:val="clear" w:color="auto" w:fill="FFFF00"/>
              </w:rPr>
              <w:t>Key</w:t>
            </w:r>
            <w:r w:rsidRPr="007D3144">
              <w:rPr>
                <w:spacing w:val="-5"/>
                <w:sz w:val="24"/>
                <w:shd w:val="clear" w:color="auto" w:fill="FFFF00"/>
              </w:rPr>
              <w:t xml:space="preserve"> </w:t>
            </w:r>
            <w:r w:rsidRPr="007D3144">
              <w:rPr>
                <w:sz w:val="24"/>
                <w:shd w:val="clear" w:color="auto" w:fill="FFFF00"/>
              </w:rPr>
              <w:t>Subcontractor</w:t>
            </w:r>
            <w:r w:rsidRPr="007D3144">
              <w:rPr>
                <w:sz w:val="24"/>
              </w:rPr>
              <w:t>]</w:t>
            </w:r>
            <w:r w:rsidRPr="007D3144">
              <w:rPr>
                <w:spacing w:val="-2"/>
                <w:sz w:val="24"/>
              </w:rPr>
              <w:t xml:space="preserve"> </w:t>
            </w:r>
            <w:r w:rsidRPr="007D3144">
              <w:rPr>
                <w:sz w:val="24"/>
              </w:rPr>
              <w:t>in</w:t>
            </w:r>
            <w:r w:rsidRPr="007D3144">
              <w:rPr>
                <w:spacing w:val="-2"/>
                <w:sz w:val="24"/>
              </w:rPr>
              <w:t xml:space="preserve"> </w:t>
            </w:r>
            <w:r w:rsidRPr="007D3144">
              <w:rPr>
                <w:sz w:val="24"/>
              </w:rPr>
              <w:t>the provision of the Deliverables;</w:t>
            </w:r>
          </w:p>
        </w:tc>
      </w:tr>
      <w:tr w:rsidR="004569EE" w:rsidRPr="007D3144" w14:paraId="2378DFB8" w14:textId="77777777">
        <w:trPr>
          <w:trHeight w:val="672"/>
        </w:trPr>
        <w:tc>
          <w:tcPr>
            <w:tcW w:w="3023" w:type="dxa"/>
          </w:tcPr>
          <w:p w14:paraId="75DFEF8A" w14:textId="77777777" w:rsidR="004C7180" w:rsidRPr="00150EDC" w:rsidRDefault="00CF0754">
            <w:pPr>
              <w:pStyle w:val="TableParagraph"/>
              <w:spacing w:before="56" w:line="240" w:lineRule="auto"/>
              <w:ind w:left="50"/>
              <w:rPr>
                <w:b/>
                <w:sz w:val="24"/>
              </w:rPr>
            </w:pPr>
            <w:r w:rsidRPr="00150EDC">
              <w:rPr>
                <w:b/>
                <w:sz w:val="24"/>
              </w:rPr>
              <w:t>"Exit</w:t>
            </w:r>
            <w:r w:rsidRPr="00150EDC">
              <w:rPr>
                <w:b/>
                <w:spacing w:val="-2"/>
                <w:sz w:val="24"/>
              </w:rPr>
              <w:t xml:space="preserve"> Information"</w:t>
            </w:r>
          </w:p>
        </w:tc>
        <w:tc>
          <w:tcPr>
            <w:tcW w:w="4945" w:type="dxa"/>
          </w:tcPr>
          <w:p w14:paraId="2AF566E3" w14:textId="77777777" w:rsidR="004C7180" w:rsidRPr="00150EDC" w:rsidRDefault="00CF0754">
            <w:pPr>
              <w:pStyle w:val="TableParagraph"/>
              <w:spacing w:before="56" w:line="240" w:lineRule="auto"/>
              <w:ind w:left="195" w:right="527"/>
              <w:rPr>
                <w:sz w:val="24"/>
              </w:rPr>
            </w:pPr>
            <w:r w:rsidRPr="00150EDC">
              <w:rPr>
                <w:sz w:val="24"/>
              </w:rPr>
              <w:t>has the meaning given to it in Paragraph</w:t>
            </w:r>
            <w:r w:rsidRPr="00150EDC">
              <w:rPr>
                <w:spacing w:val="-10"/>
                <w:sz w:val="24"/>
              </w:rPr>
              <w:t xml:space="preserve"> </w:t>
            </w:r>
            <w:r w:rsidRPr="00150EDC">
              <w:rPr>
                <w:sz w:val="24"/>
              </w:rPr>
              <w:t>3.1</w:t>
            </w:r>
            <w:r w:rsidRPr="00150EDC">
              <w:rPr>
                <w:spacing w:val="-10"/>
                <w:sz w:val="24"/>
              </w:rPr>
              <w:t xml:space="preserve"> </w:t>
            </w:r>
            <w:r w:rsidRPr="00150EDC">
              <w:rPr>
                <w:sz w:val="24"/>
              </w:rPr>
              <w:t>of</w:t>
            </w:r>
            <w:r w:rsidRPr="00150EDC">
              <w:rPr>
                <w:spacing w:val="-8"/>
                <w:sz w:val="24"/>
              </w:rPr>
              <w:t xml:space="preserve"> </w:t>
            </w:r>
            <w:r w:rsidRPr="00150EDC">
              <w:rPr>
                <w:sz w:val="24"/>
              </w:rPr>
              <w:t>this</w:t>
            </w:r>
            <w:r w:rsidRPr="00150EDC">
              <w:rPr>
                <w:spacing w:val="-9"/>
                <w:sz w:val="24"/>
              </w:rPr>
              <w:t xml:space="preserve"> </w:t>
            </w:r>
            <w:r w:rsidRPr="00150EDC">
              <w:rPr>
                <w:sz w:val="24"/>
              </w:rPr>
              <w:t>Schedule;</w:t>
            </w:r>
          </w:p>
        </w:tc>
      </w:tr>
      <w:tr w:rsidR="004569EE" w:rsidRPr="007D3144" w14:paraId="425C2722" w14:textId="77777777">
        <w:trPr>
          <w:trHeight w:val="945"/>
        </w:trPr>
        <w:tc>
          <w:tcPr>
            <w:tcW w:w="3023" w:type="dxa"/>
          </w:tcPr>
          <w:p w14:paraId="6F2B53BB" w14:textId="77777777" w:rsidR="004C7180" w:rsidRPr="00150EDC" w:rsidRDefault="00CF0754">
            <w:pPr>
              <w:pStyle w:val="TableParagraph"/>
              <w:spacing w:before="56" w:line="240" w:lineRule="auto"/>
              <w:ind w:left="50"/>
              <w:rPr>
                <w:b/>
                <w:sz w:val="24"/>
              </w:rPr>
            </w:pPr>
            <w:r w:rsidRPr="00150EDC">
              <w:rPr>
                <w:b/>
                <w:sz w:val="24"/>
              </w:rPr>
              <w:t>"Exit</w:t>
            </w:r>
            <w:r w:rsidRPr="00150EDC">
              <w:rPr>
                <w:b/>
                <w:spacing w:val="-1"/>
                <w:sz w:val="24"/>
              </w:rPr>
              <w:t xml:space="preserve"> </w:t>
            </w:r>
            <w:r w:rsidRPr="00150EDC">
              <w:rPr>
                <w:b/>
                <w:spacing w:val="-2"/>
                <w:sz w:val="24"/>
              </w:rPr>
              <w:t>Manager"</w:t>
            </w:r>
          </w:p>
        </w:tc>
        <w:tc>
          <w:tcPr>
            <w:tcW w:w="4945" w:type="dxa"/>
          </w:tcPr>
          <w:p w14:paraId="6C382E7B" w14:textId="77777777" w:rsidR="004C7180" w:rsidRPr="00150EDC" w:rsidRDefault="00CF0754">
            <w:pPr>
              <w:pStyle w:val="TableParagraph"/>
              <w:spacing w:before="56" w:line="240" w:lineRule="auto"/>
              <w:ind w:left="195" w:right="29"/>
              <w:rPr>
                <w:sz w:val="24"/>
              </w:rPr>
            </w:pPr>
            <w:r w:rsidRPr="00150EDC">
              <w:rPr>
                <w:sz w:val="24"/>
              </w:rPr>
              <w:t>the person appointed by each Party to manage</w:t>
            </w:r>
            <w:r w:rsidRPr="00150EDC">
              <w:rPr>
                <w:spacing w:val="-7"/>
                <w:sz w:val="24"/>
              </w:rPr>
              <w:t xml:space="preserve"> </w:t>
            </w:r>
            <w:r w:rsidRPr="00150EDC">
              <w:rPr>
                <w:sz w:val="24"/>
              </w:rPr>
              <w:t>their</w:t>
            </w:r>
            <w:r w:rsidRPr="00150EDC">
              <w:rPr>
                <w:spacing w:val="-9"/>
                <w:sz w:val="24"/>
              </w:rPr>
              <w:t xml:space="preserve"> </w:t>
            </w:r>
            <w:r w:rsidRPr="00150EDC">
              <w:rPr>
                <w:sz w:val="24"/>
              </w:rPr>
              <w:t>respective</w:t>
            </w:r>
            <w:r w:rsidRPr="00150EDC">
              <w:rPr>
                <w:spacing w:val="-7"/>
                <w:sz w:val="24"/>
              </w:rPr>
              <w:t xml:space="preserve"> </w:t>
            </w:r>
            <w:r w:rsidRPr="00150EDC">
              <w:rPr>
                <w:sz w:val="24"/>
              </w:rPr>
              <w:t>obligations</w:t>
            </w:r>
            <w:r w:rsidRPr="00150EDC">
              <w:rPr>
                <w:spacing w:val="-10"/>
                <w:sz w:val="24"/>
              </w:rPr>
              <w:t xml:space="preserve"> </w:t>
            </w:r>
            <w:r w:rsidRPr="00150EDC">
              <w:rPr>
                <w:sz w:val="24"/>
              </w:rPr>
              <w:t>under this Schedule;</w:t>
            </w:r>
          </w:p>
        </w:tc>
      </w:tr>
      <w:tr w:rsidR="004569EE" w:rsidRPr="007D3144" w14:paraId="7B1C1C01" w14:textId="77777777">
        <w:trPr>
          <w:trHeight w:val="1224"/>
        </w:trPr>
        <w:tc>
          <w:tcPr>
            <w:tcW w:w="3023" w:type="dxa"/>
          </w:tcPr>
          <w:p w14:paraId="64562654" w14:textId="77777777" w:rsidR="004C7180" w:rsidRPr="00150EDC" w:rsidRDefault="00CF0754">
            <w:pPr>
              <w:pStyle w:val="TableParagraph"/>
              <w:spacing w:before="56" w:line="240" w:lineRule="auto"/>
              <w:ind w:left="50"/>
              <w:rPr>
                <w:b/>
                <w:sz w:val="24"/>
              </w:rPr>
            </w:pPr>
            <w:r w:rsidRPr="00150EDC">
              <w:rPr>
                <w:b/>
                <w:sz w:val="24"/>
              </w:rPr>
              <w:t>“Exit</w:t>
            </w:r>
            <w:r w:rsidRPr="00150EDC">
              <w:rPr>
                <w:b/>
                <w:spacing w:val="-3"/>
                <w:sz w:val="24"/>
              </w:rPr>
              <w:t xml:space="preserve"> </w:t>
            </w:r>
            <w:r w:rsidRPr="00150EDC">
              <w:rPr>
                <w:b/>
                <w:spacing w:val="-2"/>
                <w:sz w:val="24"/>
              </w:rPr>
              <w:t>Plan”</w:t>
            </w:r>
          </w:p>
        </w:tc>
        <w:tc>
          <w:tcPr>
            <w:tcW w:w="4945" w:type="dxa"/>
          </w:tcPr>
          <w:p w14:paraId="580962B2" w14:textId="77777777" w:rsidR="004C7180" w:rsidRPr="00150EDC" w:rsidRDefault="00CF0754">
            <w:pPr>
              <w:pStyle w:val="TableParagraph"/>
              <w:spacing w:before="56" w:line="240" w:lineRule="auto"/>
              <w:ind w:left="195" w:right="48"/>
              <w:jc w:val="both"/>
              <w:rPr>
                <w:sz w:val="24"/>
              </w:rPr>
            </w:pPr>
            <w:r w:rsidRPr="00150EDC">
              <w:rPr>
                <w:sz w:val="24"/>
              </w:rPr>
              <w:t xml:space="preserve">the plan produced and updated by the Supplier during the Initial Period in accordance with Paragraph 4 of this </w:t>
            </w:r>
            <w:r w:rsidRPr="00150EDC">
              <w:rPr>
                <w:spacing w:val="-2"/>
                <w:sz w:val="24"/>
              </w:rPr>
              <w:t>Schedule;</w:t>
            </w:r>
          </w:p>
        </w:tc>
      </w:tr>
      <w:tr w:rsidR="004569EE" w:rsidRPr="007D3144" w14:paraId="479499B2" w14:textId="77777777">
        <w:trPr>
          <w:trHeight w:val="2052"/>
        </w:trPr>
        <w:tc>
          <w:tcPr>
            <w:tcW w:w="3023" w:type="dxa"/>
          </w:tcPr>
          <w:p w14:paraId="006B4E4D" w14:textId="77777777" w:rsidR="004C7180" w:rsidRPr="00150EDC" w:rsidRDefault="00CF0754">
            <w:pPr>
              <w:pStyle w:val="TableParagraph"/>
              <w:spacing w:before="56" w:line="240" w:lineRule="auto"/>
              <w:ind w:left="50"/>
              <w:rPr>
                <w:b/>
                <w:sz w:val="24"/>
              </w:rPr>
            </w:pPr>
            <w:r w:rsidRPr="00150EDC">
              <w:rPr>
                <w:b/>
                <w:sz w:val="24"/>
              </w:rPr>
              <w:t>"Net</w:t>
            </w:r>
            <w:r w:rsidRPr="00150EDC">
              <w:rPr>
                <w:b/>
                <w:spacing w:val="-4"/>
                <w:sz w:val="24"/>
              </w:rPr>
              <w:t xml:space="preserve"> </w:t>
            </w:r>
            <w:r w:rsidRPr="00150EDC">
              <w:rPr>
                <w:b/>
                <w:sz w:val="24"/>
              </w:rPr>
              <w:t>Book</w:t>
            </w:r>
            <w:r w:rsidRPr="00150EDC">
              <w:rPr>
                <w:b/>
                <w:spacing w:val="-1"/>
                <w:sz w:val="24"/>
              </w:rPr>
              <w:t xml:space="preserve"> </w:t>
            </w:r>
            <w:r w:rsidRPr="00150EDC">
              <w:rPr>
                <w:b/>
                <w:spacing w:val="-2"/>
                <w:sz w:val="24"/>
              </w:rPr>
              <w:t>Value"</w:t>
            </w:r>
          </w:p>
        </w:tc>
        <w:tc>
          <w:tcPr>
            <w:tcW w:w="4945" w:type="dxa"/>
          </w:tcPr>
          <w:p w14:paraId="2FA77DDF" w14:textId="77777777" w:rsidR="004C7180" w:rsidRPr="00150EDC" w:rsidRDefault="00CF0754">
            <w:pPr>
              <w:pStyle w:val="TableParagraph"/>
              <w:spacing w:before="56" w:line="240" w:lineRule="auto"/>
              <w:ind w:left="195" w:right="29"/>
              <w:rPr>
                <w:sz w:val="24"/>
              </w:rPr>
            </w:pPr>
            <w:r w:rsidRPr="00150EDC">
              <w:rPr>
                <w:sz w:val="24"/>
              </w:rPr>
              <w:t>the current net book value of the relevant Supplier Asset(s) calculated in accordance with</w:t>
            </w:r>
            <w:r w:rsidRPr="00150EDC">
              <w:rPr>
                <w:spacing w:val="-4"/>
                <w:sz w:val="24"/>
              </w:rPr>
              <w:t xml:space="preserve"> </w:t>
            </w:r>
            <w:r w:rsidRPr="00150EDC">
              <w:rPr>
                <w:sz w:val="24"/>
              </w:rPr>
              <w:t>the</w:t>
            </w:r>
            <w:r w:rsidRPr="00150EDC">
              <w:rPr>
                <w:spacing w:val="-6"/>
                <w:sz w:val="24"/>
              </w:rPr>
              <w:t xml:space="preserve"> </w:t>
            </w:r>
            <w:r w:rsidRPr="00150EDC">
              <w:rPr>
                <w:sz w:val="24"/>
              </w:rPr>
              <w:t>DPS</w:t>
            </w:r>
            <w:r w:rsidRPr="00150EDC">
              <w:rPr>
                <w:spacing w:val="-4"/>
                <w:sz w:val="24"/>
              </w:rPr>
              <w:t xml:space="preserve"> </w:t>
            </w:r>
            <w:r w:rsidRPr="00150EDC">
              <w:rPr>
                <w:sz w:val="24"/>
              </w:rPr>
              <w:t>Application</w:t>
            </w:r>
            <w:r w:rsidRPr="00150EDC">
              <w:rPr>
                <w:spacing w:val="-4"/>
                <w:sz w:val="24"/>
              </w:rPr>
              <w:t xml:space="preserve"> </w:t>
            </w:r>
            <w:r w:rsidRPr="00150EDC">
              <w:rPr>
                <w:sz w:val="24"/>
              </w:rPr>
              <w:t>or</w:t>
            </w:r>
            <w:r w:rsidRPr="00150EDC">
              <w:rPr>
                <w:spacing w:val="-6"/>
                <w:sz w:val="24"/>
              </w:rPr>
              <w:t xml:space="preserve"> </w:t>
            </w:r>
            <w:r w:rsidRPr="00150EDC">
              <w:rPr>
                <w:sz w:val="24"/>
              </w:rPr>
              <w:t>Order</w:t>
            </w:r>
            <w:r w:rsidRPr="00150EDC">
              <w:rPr>
                <w:spacing w:val="-6"/>
                <w:sz w:val="24"/>
              </w:rPr>
              <w:t xml:space="preserve"> </w:t>
            </w:r>
            <w:r w:rsidRPr="00150EDC">
              <w:rPr>
                <w:sz w:val="24"/>
              </w:rPr>
              <w:t>Tender</w:t>
            </w:r>
            <w:r w:rsidRPr="00150EDC">
              <w:rPr>
                <w:spacing w:val="-6"/>
                <w:sz w:val="24"/>
              </w:rPr>
              <w:t xml:space="preserve"> </w:t>
            </w:r>
            <w:r w:rsidRPr="00150EDC">
              <w:rPr>
                <w:sz w:val="24"/>
              </w:rPr>
              <w:t>(if stated) or (if not stated) the depreciation policy of the Supplier (which the Supplier shall ensure is in accordance with Good Industry Practice);</w:t>
            </w:r>
          </w:p>
        </w:tc>
      </w:tr>
      <w:tr w:rsidR="004569EE" w:rsidRPr="007D3144" w14:paraId="0E9E9878" w14:textId="77777777">
        <w:trPr>
          <w:trHeight w:val="1500"/>
        </w:trPr>
        <w:tc>
          <w:tcPr>
            <w:tcW w:w="3023" w:type="dxa"/>
          </w:tcPr>
          <w:p w14:paraId="2AD92429" w14:textId="77777777" w:rsidR="004C7180" w:rsidRPr="00150EDC" w:rsidRDefault="00CF0754">
            <w:pPr>
              <w:pStyle w:val="TableParagraph"/>
              <w:spacing w:before="56" w:line="240" w:lineRule="auto"/>
              <w:ind w:left="50"/>
              <w:rPr>
                <w:b/>
                <w:sz w:val="24"/>
              </w:rPr>
            </w:pPr>
            <w:r w:rsidRPr="00150EDC">
              <w:rPr>
                <w:b/>
                <w:sz w:val="24"/>
              </w:rPr>
              <w:t>"Non-Exclusive</w:t>
            </w:r>
            <w:r w:rsidRPr="00150EDC">
              <w:rPr>
                <w:b/>
                <w:spacing w:val="-4"/>
                <w:sz w:val="24"/>
              </w:rPr>
              <w:t xml:space="preserve"> </w:t>
            </w:r>
            <w:r w:rsidRPr="00150EDC">
              <w:rPr>
                <w:b/>
                <w:spacing w:val="-2"/>
                <w:sz w:val="24"/>
              </w:rPr>
              <w:t>Assets"</w:t>
            </w:r>
          </w:p>
        </w:tc>
        <w:tc>
          <w:tcPr>
            <w:tcW w:w="4945" w:type="dxa"/>
          </w:tcPr>
          <w:p w14:paraId="674CF6A2" w14:textId="77777777" w:rsidR="004C7180" w:rsidRPr="00150EDC" w:rsidRDefault="00CF0754">
            <w:pPr>
              <w:pStyle w:val="TableParagraph"/>
              <w:spacing w:before="56" w:line="240" w:lineRule="auto"/>
              <w:ind w:left="195" w:right="47"/>
              <w:jc w:val="both"/>
              <w:rPr>
                <w:sz w:val="24"/>
              </w:rPr>
            </w:pPr>
            <w:r w:rsidRPr="00150EDC">
              <w:rPr>
                <w:sz w:val="24"/>
              </w:rPr>
              <w:t>those Supplier Assets used by the Supplier [</w:t>
            </w:r>
            <w:r w:rsidRPr="007D3144">
              <w:rPr>
                <w:sz w:val="24"/>
                <w:shd w:val="clear" w:color="auto" w:fill="FFFF00"/>
              </w:rPr>
              <w:t>or a Key Subcontractor</w:t>
            </w:r>
            <w:r w:rsidRPr="007D3144">
              <w:rPr>
                <w:sz w:val="24"/>
              </w:rPr>
              <w:t>] in connection with the Deliverables but which are also used by the</w:t>
            </w:r>
            <w:r w:rsidRPr="007D3144">
              <w:rPr>
                <w:spacing w:val="-4"/>
                <w:sz w:val="24"/>
              </w:rPr>
              <w:t xml:space="preserve"> </w:t>
            </w:r>
            <w:r w:rsidRPr="007D3144">
              <w:rPr>
                <w:sz w:val="24"/>
              </w:rPr>
              <w:t>Supplier</w:t>
            </w:r>
            <w:r w:rsidRPr="007D3144">
              <w:rPr>
                <w:spacing w:val="-6"/>
                <w:sz w:val="24"/>
              </w:rPr>
              <w:t xml:space="preserve"> </w:t>
            </w:r>
            <w:r w:rsidRPr="007D3144">
              <w:rPr>
                <w:sz w:val="24"/>
                <w:shd w:val="clear" w:color="auto" w:fill="FFFF00"/>
              </w:rPr>
              <w:t>[or</w:t>
            </w:r>
            <w:r w:rsidRPr="007D3144">
              <w:rPr>
                <w:spacing w:val="-6"/>
                <w:sz w:val="24"/>
                <w:shd w:val="clear" w:color="auto" w:fill="FFFF00"/>
              </w:rPr>
              <w:t xml:space="preserve"> </w:t>
            </w:r>
            <w:r w:rsidRPr="007D3144">
              <w:rPr>
                <w:sz w:val="24"/>
                <w:shd w:val="clear" w:color="auto" w:fill="FFFF00"/>
              </w:rPr>
              <w:t>Key</w:t>
            </w:r>
            <w:r w:rsidRPr="007D3144">
              <w:rPr>
                <w:spacing w:val="-5"/>
                <w:sz w:val="24"/>
                <w:shd w:val="clear" w:color="auto" w:fill="FFFF00"/>
              </w:rPr>
              <w:t xml:space="preserve"> </w:t>
            </w:r>
            <w:r w:rsidRPr="007D3144">
              <w:rPr>
                <w:sz w:val="24"/>
                <w:shd w:val="clear" w:color="auto" w:fill="FFFF00"/>
              </w:rPr>
              <w:t>Subcontractor]</w:t>
            </w:r>
            <w:r w:rsidRPr="007D3144">
              <w:rPr>
                <w:spacing w:val="-7"/>
                <w:sz w:val="24"/>
              </w:rPr>
              <w:t xml:space="preserve"> </w:t>
            </w:r>
            <w:r w:rsidRPr="007D3144">
              <w:rPr>
                <w:sz w:val="24"/>
              </w:rPr>
              <w:t>for</w:t>
            </w:r>
            <w:r w:rsidRPr="007D3144">
              <w:rPr>
                <w:spacing w:val="-6"/>
                <w:sz w:val="24"/>
              </w:rPr>
              <w:t xml:space="preserve"> </w:t>
            </w:r>
            <w:r w:rsidRPr="007D3144">
              <w:rPr>
                <w:sz w:val="24"/>
              </w:rPr>
              <w:t xml:space="preserve">other </w:t>
            </w:r>
            <w:r w:rsidRPr="007D3144">
              <w:rPr>
                <w:spacing w:val="-2"/>
                <w:sz w:val="24"/>
              </w:rPr>
              <w:t>purposes;</w:t>
            </w:r>
          </w:p>
        </w:tc>
      </w:tr>
      <w:tr w:rsidR="004569EE" w:rsidRPr="007D3144" w14:paraId="18AEC2E3" w14:textId="77777777">
        <w:trPr>
          <w:trHeight w:val="947"/>
        </w:trPr>
        <w:tc>
          <w:tcPr>
            <w:tcW w:w="3023" w:type="dxa"/>
          </w:tcPr>
          <w:p w14:paraId="754BF17B" w14:textId="77777777" w:rsidR="004C7180" w:rsidRPr="00150EDC" w:rsidRDefault="00CF0754">
            <w:pPr>
              <w:pStyle w:val="TableParagraph"/>
              <w:spacing w:before="56" w:line="240" w:lineRule="auto"/>
              <w:ind w:left="50"/>
              <w:rPr>
                <w:b/>
                <w:sz w:val="24"/>
              </w:rPr>
            </w:pPr>
            <w:r w:rsidRPr="00150EDC">
              <w:rPr>
                <w:b/>
                <w:spacing w:val="-2"/>
                <w:sz w:val="24"/>
              </w:rPr>
              <w:t>"Registers"</w:t>
            </w:r>
          </w:p>
        </w:tc>
        <w:tc>
          <w:tcPr>
            <w:tcW w:w="4945" w:type="dxa"/>
          </w:tcPr>
          <w:p w14:paraId="7D7BFD3B" w14:textId="77777777" w:rsidR="004C7180" w:rsidRPr="00150EDC" w:rsidRDefault="00CF0754">
            <w:pPr>
              <w:pStyle w:val="TableParagraph"/>
              <w:spacing w:before="56" w:line="240" w:lineRule="auto"/>
              <w:ind w:left="195" w:right="527"/>
              <w:rPr>
                <w:sz w:val="24"/>
              </w:rPr>
            </w:pPr>
            <w:r w:rsidRPr="00150EDC">
              <w:rPr>
                <w:sz w:val="24"/>
              </w:rPr>
              <w:t>the</w:t>
            </w:r>
            <w:r w:rsidRPr="00150EDC">
              <w:rPr>
                <w:spacing w:val="-8"/>
                <w:sz w:val="24"/>
              </w:rPr>
              <w:t xml:space="preserve"> </w:t>
            </w:r>
            <w:r w:rsidRPr="00150EDC">
              <w:rPr>
                <w:sz w:val="24"/>
              </w:rPr>
              <w:t>register</w:t>
            </w:r>
            <w:r w:rsidRPr="00150EDC">
              <w:rPr>
                <w:spacing w:val="-10"/>
                <w:sz w:val="24"/>
              </w:rPr>
              <w:t xml:space="preserve"> </w:t>
            </w:r>
            <w:r w:rsidRPr="00150EDC">
              <w:rPr>
                <w:sz w:val="24"/>
              </w:rPr>
              <w:t>and</w:t>
            </w:r>
            <w:r w:rsidRPr="00150EDC">
              <w:rPr>
                <w:spacing w:val="-8"/>
                <w:sz w:val="24"/>
              </w:rPr>
              <w:t xml:space="preserve"> </w:t>
            </w:r>
            <w:r w:rsidRPr="00150EDC">
              <w:rPr>
                <w:sz w:val="24"/>
              </w:rPr>
              <w:t>configuration</w:t>
            </w:r>
            <w:r w:rsidRPr="00150EDC">
              <w:rPr>
                <w:spacing w:val="-10"/>
                <w:sz w:val="24"/>
              </w:rPr>
              <w:t xml:space="preserve"> </w:t>
            </w:r>
            <w:r w:rsidRPr="00150EDC">
              <w:rPr>
                <w:sz w:val="24"/>
              </w:rPr>
              <w:t xml:space="preserve">database referred to in Paragraph 2.2 of this </w:t>
            </w:r>
            <w:r w:rsidRPr="00150EDC">
              <w:rPr>
                <w:spacing w:val="-2"/>
                <w:sz w:val="24"/>
              </w:rPr>
              <w:t>Schedule;</w:t>
            </w:r>
          </w:p>
        </w:tc>
      </w:tr>
      <w:tr w:rsidR="004569EE" w:rsidRPr="007D3144" w14:paraId="13A726C3" w14:textId="77777777">
        <w:trPr>
          <w:trHeight w:val="1776"/>
        </w:trPr>
        <w:tc>
          <w:tcPr>
            <w:tcW w:w="3023" w:type="dxa"/>
          </w:tcPr>
          <w:p w14:paraId="03773B16" w14:textId="77777777" w:rsidR="004C7180" w:rsidRPr="00150EDC" w:rsidRDefault="00CF0754">
            <w:pPr>
              <w:pStyle w:val="TableParagraph"/>
              <w:spacing w:before="56" w:line="240" w:lineRule="auto"/>
              <w:ind w:left="50"/>
              <w:rPr>
                <w:b/>
                <w:sz w:val="24"/>
              </w:rPr>
            </w:pPr>
            <w:r w:rsidRPr="00150EDC">
              <w:rPr>
                <w:b/>
                <w:sz w:val="24"/>
              </w:rPr>
              <w:t>"Replacement</w:t>
            </w:r>
            <w:r w:rsidRPr="00150EDC">
              <w:rPr>
                <w:b/>
                <w:spacing w:val="-3"/>
                <w:sz w:val="24"/>
              </w:rPr>
              <w:t xml:space="preserve"> </w:t>
            </w:r>
            <w:r w:rsidRPr="00150EDC">
              <w:rPr>
                <w:b/>
                <w:spacing w:val="-2"/>
                <w:sz w:val="24"/>
              </w:rPr>
              <w:t>Goods"</w:t>
            </w:r>
          </w:p>
        </w:tc>
        <w:tc>
          <w:tcPr>
            <w:tcW w:w="4945" w:type="dxa"/>
          </w:tcPr>
          <w:p w14:paraId="10226C73" w14:textId="77777777" w:rsidR="004C7180" w:rsidRPr="00150EDC" w:rsidRDefault="00CF0754">
            <w:pPr>
              <w:pStyle w:val="TableParagraph"/>
              <w:spacing w:before="56" w:line="240" w:lineRule="auto"/>
              <w:ind w:left="195" w:right="73"/>
              <w:rPr>
                <w:sz w:val="24"/>
              </w:rPr>
            </w:pPr>
            <w:r w:rsidRPr="00150EDC">
              <w:rPr>
                <w:sz w:val="24"/>
              </w:rPr>
              <w:t>any goods which are substantially similar to any of the Goods and which the Buyer receives</w:t>
            </w:r>
            <w:r w:rsidRPr="00150EDC">
              <w:rPr>
                <w:spacing w:val="-4"/>
                <w:sz w:val="24"/>
              </w:rPr>
              <w:t xml:space="preserve"> </w:t>
            </w:r>
            <w:r w:rsidRPr="00150EDC">
              <w:rPr>
                <w:sz w:val="24"/>
              </w:rPr>
              <w:t>in</w:t>
            </w:r>
            <w:r w:rsidRPr="00150EDC">
              <w:rPr>
                <w:spacing w:val="-3"/>
                <w:sz w:val="24"/>
              </w:rPr>
              <w:t xml:space="preserve"> </w:t>
            </w:r>
            <w:r w:rsidRPr="00150EDC">
              <w:rPr>
                <w:sz w:val="24"/>
              </w:rPr>
              <w:t>substitution</w:t>
            </w:r>
            <w:r w:rsidRPr="00150EDC">
              <w:rPr>
                <w:spacing w:val="-5"/>
                <w:sz w:val="24"/>
              </w:rPr>
              <w:t xml:space="preserve"> </w:t>
            </w:r>
            <w:r w:rsidRPr="00150EDC">
              <w:rPr>
                <w:sz w:val="24"/>
              </w:rPr>
              <w:t>for</w:t>
            </w:r>
            <w:r w:rsidRPr="00150EDC">
              <w:rPr>
                <w:spacing w:val="-5"/>
                <w:sz w:val="24"/>
              </w:rPr>
              <w:t xml:space="preserve"> </w:t>
            </w:r>
            <w:r w:rsidRPr="00150EDC">
              <w:rPr>
                <w:sz w:val="24"/>
              </w:rPr>
              <w:t>any</w:t>
            </w:r>
            <w:r w:rsidRPr="00150EDC">
              <w:rPr>
                <w:spacing w:val="-6"/>
                <w:sz w:val="24"/>
              </w:rPr>
              <w:t xml:space="preserve"> </w:t>
            </w:r>
            <w:r w:rsidRPr="00150EDC">
              <w:rPr>
                <w:sz w:val="24"/>
              </w:rPr>
              <w:t>of</w:t>
            </w:r>
            <w:r w:rsidRPr="00150EDC">
              <w:rPr>
                <w:spacing w:val="-6"/>
                <w:sz w:val="24"/>
              </w:rPr>
              <w:t xml:space="preserve"> </w:t>
            </w:r>
            <w:r w:rsidRPr="00150EDC">
              <w:rPr>
                <w:sz w:val="24"/>
              </w:rPr>
              <w:t>the</w:t>
            </w:r>
            <w:r w:rsidRPr="00150EDC">
              <w:rPr>
                <w:spacing w:val="-5"/>
                <w:sz w:val="24"/>
              </w:rPr>
              <w:t xml:space="preserve"> </w:t>
            </w:r>
            <w:r w:rsidRPr="00150EDC">
              <w:rPr>
                <w:sz w:val="24"/>
              </w:rPr>
              <w:t>Goods following the End Date, whether those goods are provided by the Buyer internally and/or by any third party;</w:t>
            </w:r>
          </w:p>
        </w:tc>
      </w:tr>
      <w:tr w:rsidR="004569EE" w:rsidRPr="007D3144" w14:paraId="3EEC0FB4" w14:textId="77777777">
        <w:trPr>
          <w:trHeight w:val="1160"/>
        </w:trPr>
        <w:tc>
          <w:tcPr>
            <w:tcW w:w="3023" w:type="dxa"/>
          </w:tcPr>
          <w:p w14:paraId="0E86B60C" w14:textId="77777777" w:rsidR="004C7180" w:rsidRPr="00150EDC" w:rsidRDefault="00CF0754">
            <w:pPr>
              <w:pStyle w:val="TableParagraph"/>
              <w:spacing w:before="56" w:line="240" w:lineRule="auto"/>
              <w:ind w:left="50"/>
              <w:rPr>
                <w:b/>
                <w:sz w:val="24"/>
              </w:rPr>
            </w:pPr>
            <w:r w:rsidRPr="00150EDC">
              <w:rPr>
                <w:b/>
                <w:sz w:val="24"/>
              </w:rPr>
              <w:t>"Replacement</w:t>
            </w:r>
            <w:r w:rsidRPr="00150EDC">
              <w:rPr>
                <w:b/>
                <w:spacing w:val="-5"/>
                <w:sz w:val="24"/>
              </w:rPr>
              <w:t xml:space="preserve"> </w:t>
            </w:r>
            <w:r w:rsidRPr="00150EDC">
              <w:rPr>
                <w:b/>
                <w:spacing w:val="-2"/>
                <w:sz w:val="24"/>
              </w:rPr>
              <w:t>Services"</w:t>
            </w:r>
          </w:p>
        </w:tc>
        <w:tc>
          <w:tcPr>
            <w:tcW w:w="4945" w:type="dxa"/>
          </w:tcPr>
          <w:p w14:paraId="6102AE78" w14:textId="77777777" w:rsidR="004C7180" w:rsidRPr="00150EDC" w:rsidRDefault="00CF0754">
            <w:pPr>
              <w:pStyle w:val="TableParagraph"/>
              <w:spacing w:before="36" w:line="270" w:lineRule="atLeast"/>
              <w:ind w:left="195" w:right="29"/>
              <w:rPr>
                <w:sz w:val="24"/>
              </w:rPr>
            </w:pPr>
            <w:r w:rsidRPr="00150EDC">
              <w:rPr>
                <w:sz w:val="24"/>
              </w:rPr>
              <w:t>any</w:t>
            </w:r>
            <w:r w:rsidRPr="00150EDC">
              <w:rPr>
                <w:spacing w:val="-7"/>
                <w:sz w:val="24"/>
              </w:rPr>
              <w:t xml:space="preserve"> </w:t>
            </w:r>
            <w:r w:rsidRPr="00150EDC">
              <w:rPr>
                <w:sz w:val="24"/>
              </w:rPr>
              <w:t>services</w:t>
            </w:r>
            <w:r w:rsidRPr="00150EDC">
              <w:rPr>
                <w:spacing w:val="-7"/>
                <w:sz w:val="24"/>
              </w:rPr>
              <w:t xml:space="preserve"> </w:t>
            </w:r>
            <w:r w:rsidRPr="00150EDC">
              <w:rPr>
                <w:sz w:val="24"/>
              </w:rPr>
              <w:t>which</w:t>
            </w:r>
            <w:r w:rsidRPr="00150EDC">
              <w:rPr>
                <w:spacing w:val="-6"/>
                <w:sz w:val="24"/>
              </w:rPr>
              <w:t xml:space="preserve"> </w:t>
            </w:r>
            <w:r w:rsidRPr="00150EDC">
              <w:rPr>
                <w:sz w:val="24"/>
              </w:rPr>
              <w:t>are</w:t>
            </w:r>
            <w:r w:rsidRPr="00150EDC">
              <w:rPr>
                <w:spacing w:val="-8"/>
                <w:sz w:val="24"/>
              </w:rPr>
              <w:t xml:space="preserve"> </w:t>
            </w:r>
            <w:r w:rsidRPr="00150EDC">
              <w:rPr>
                <w:sz w:val="24"/>
              </w:rPr>
              <w:t>substantially</w:t>
            </w:r>
            <w:r w:rsidRPr="00150EDC">
              <w:rPr>
                <w:spacing w:val="-7"/>
                <w:sz w:val="24"/>
              </w:rPr>
              <w:t xml:space="preserve"> </w:t>
            </w:r>
            <w:r w:rsidRPr="00150EDC">
              <w:rPr>
                <w:sz w:val="24"/>
              </w:rPr>
              <w:t>similar to any</w:t>
            </w:r>
            <w:r w:rsidRPr="00150EDC">
              <w:rPr>
                <w:spacing w:val="-1"/>
                <w:sz w:val="24"/>
              </w:rPr>
              <w:t xml:space="preserve"> </w:t>
            </w:r>
            <w:r w:rsidRPr="00150EDC">
              <w:rPr>
                <w:sz w:val="24"/>
              </w:rPr>
              <w:t>of</w:t>
            </w:r>
            <w:r w:rsidRPr="00150EDC">
              <w:rPr>
                <w:spacing w:val="-3"/>
                <w:sz w:val="24"/>
              </w:rPr>
              <w:t xml:space="preserve"> </w:t>
            </w:r>
            <w:r w:rsidRPr="00150EDC">
              <w:rPr>
                <w:sz w:val="24"/>
              </w:rPr>
              <w:t>the Services</w:t>
            </w:r>
            <w:r w:rsidRPr="00150EDC">
              <w:rPr>
                <w:spacing w:val="-6"/>
                <w:sz w:val="24"/>
              </w:rPr>
              <w:t xml:space="preserve"> </w:t>
            </w:r>
            <w:r w:rsidRPr="00150EDC">
              <w:rPr>
                <w:sz w:val="24"/>
              </w:rPr>
              <w:t>and which the Buyer receives in substitution for any of the Services following the End Date, whether</w:t>
            </w:r>
          </w:p>
        </w:tc>
      </w:tr>
    </w:tbl>
    <w:p w14:paraId="01234BA1" w14:textId="77777777" w:rsidR="004C7180" w:rsidRPr="00150EDC" w:rsidRDefault="004C7180">
      <w:pPr>
        <w:spacing w:line="270" w:lineRule="atLeast"/>
        <w:rPr>
          <w:sz w:val="24"/>
        </w:rPr>
        <w:sectPr w:rsidR="004C7180" w:rsidRPr="00150EDC">
          <w:headerReference w:type="default" r:id="rId85"/>
          <w:footerReference w:type="default" r:id="rId86"/>
          <w:pgSz w:w="11910" w:h="16840"/>
          <w:pgMar w:top="1380" w:right="0" w:bottom="1380" w:left="40" w:header="715" w:footer="1192" w:gutter="0"/>
          <w:pgNumType w:start="1"/>
          <w:cols w:space="720"/>
        </w:sectPr>
      </w:pPr>
    </w:p>
    <w:p w14:paraId="42190DCB" w14:textId="77777777" w:rsidR="004C7180" w:rsidRPr="00150EDC" w:rsidRDefault="004C7180">
      <w:pPr>
        <w:pStyle w:val="BodyText"/>
        <w:spacing w:before="5"/>
        <w:rPr>
          <w:sz w:val="15"/>
        </w:rPr>
      </w:pPr>
    </w:p>
    <w:p w14:paraId="56330853" w14:textId="77777777" w:rsidR="004C7180" w:rsidRPr="00150EDC" w:rsidRDefault="00CF0754">
      <w:pPr>
        <w:pStyle w:val="BodyText"/>
        <w:spacing w:before="92"/>
        <w:ind w:left="5468" w:right="2271"/>
        <w:jc w:val="both"/>
      </w:pPr>
      <w:r w:rsidRPr="00150EDC">
        <w:t>those</w:t>
      </w:r>
      <w:r w:rsidRPr="00150EDC">
        <w:rPr>
          <w:spacing w:val="-6"/>
        </w:rPr>
        <w:t xml:space="preserve"> </w:t>
      </w:r>
      <w:r w:rsidRPr="00150EDC">
        <w:t>goods</w:t>
      </w:r>
      <w:r w:rsidRPr="00150EDC">
        <w:rPr>
          <w:spacing w:val="-7"/>
        </w:rPr>
        <w:t xml:space="preserve"> </w:t>
      </w:r>
      <w:r w:rsidRPr="00150EDC">
        <w:t>are</w:t>
      </w:r>
      <w:r w:rsidRPr="00150EDC">
        <w:rPr>
          <w:spacing w:val="-5"/>
        </w:rPr>
        <w:t xml:space="preserve"> </w:t>
      </w:r>
      <w:r w:rsidRPr="00150EDC">
        <w:t>provided</w:t>
      </w:r>
      <w:r w:rsidRPr="00150EDC">
        <w:rPr>
          <w:spacing w:val="-5"/>
        </w:rPr>
        <w:t xml:space="preserve"> </w:t>
      </w:r>
      <w:r w:rsidRPr="00150EDC">
        <w:t>by</w:t>
      </w:r>
      <w:r w:rsidRPr="00150EDC">
        <w:rPr>
          <w:spacing w:val="-7"/>
        </w:rPr>
        <w:t xml:space="preserve"> </w:t>
      </w:r>
      <w:r w:rsidRPr="00150EDC">
        <w:t>the</w:t>
      </w:r>
      <w:r w:rsidRPr="00150EDC">
        <w:rPr>
          <w:spacing w:val="-5"/>
        </w:rPr>
        <w:t xml:space="preserve"> </w:t>
      </w:r>
      <w:r w:rsidRPr="00150EDC">
        <w:t>Buyer internally and/or by any third party;</w:t>
      </w:r>
    </w:p>
    <w:p w14:paraId="7ED34CD0" w14:textId="77777777" w:rsidR="004C7180" w:rsidRPr="00150EDC" w:rsidRDefault="00CF0754">
      <w:pPr>
        <w:spacing w:before="120"/>
        <w:ind w:left="2300"/>
        <w:jc w:val="both"/>
        <w:rPr>
          <w:sz w:val="24"/>
        </w:rPr>
      </w:pPr>
      <w:r w:rsidRPr="00150EDC">
        <w:rPr>
          <w:b/>
          <w:sz w:val="24"/>
        </w:rPr>
        <w:t>"Termination</w:t>
      </w:r>
      <w:r w:rsidRPr="00150EDC">
        <w:rPr>
          <w:b/>
          <w:spacing w:val="-2"/>
          <w:sz w:val="24"/>
        </w:rPr>
        <w:t xml:space="preserve"> </w:t>
      </w:r>
      <w:r w:rsidRPr="00150EDC">
        <w:rPr>
          <w:b/>
          <w:sz w:val="24"/>
        </w:rPr>
        <w:t>Assistance"</w:t>
      </w:r>
      <w:r w:rsidRPr="00150EDC">
        <w:rPr>
          <w:b/>
          <w:spacing w:val="45"/>
          <w:sz w:val="24"/>
        </w:rPr>
        <w:t xml:space="preserve">  </w:t>
      </w:r>
      <w:r w:rsidRPr="00150EDC">
        <w:rPr>
          <w:sz w:val="24"/>
        </w:rPr>
        <w:t>the</w:t>
      </w:r>
      <w:r w:rsidRPr="00150EDC">
        <w:rPr>
          <w:spacing w:val="-2"/>
          <w:sz w:val="24"/>
        </w:rPr>
        <w:t xml:space="preserve"> </w:t>
      </w:r>
      <w:r w:rsidRPr="00150EDC">
        <w:rPr>
          <w:sz w:val="24"/>
        </w:rPr>
        <w:t>activities</w:t>
      </w:r>
      <w:r w:rsidRPr="00150EDC">
        <w:rPr>
          <w:spacing w:val="-2"/>
          <w:sz w:val="24"/>
        </w:rPr>
        <w:t xml:space="preserve"> </w:t>
      </w:r>
      <w:r w:rsidRPr="00150EDC">
        <w:rPr>
          <w:sz w:val="24"/>
        </w:rPr>
        <w:t>to</w:t>
      </w:r>
      <w:r w:rsidRPr="00150EDC">
        <w:rPr>
          <w:spacing w:val="-1"/>
          <w:sz w:val="24"/>
        </w:rPr>
        <w:t xml:space="preserve"> </w:t>
      </w:r>
      <w:r w:rsidRPr="00150EDC">
        <w:rPr>
          <w:sz w:val="24"/>
        </w:rPr>
        <w:t>be</w:t>
      </w:r>
      <w:r w:rsidRPr="00150EDC">
        <w:rPr>
          <w:spacing w:val="-3"/>
          <w:sz w:val="24"/>
        </w:rPr>
        <w:t xml:space="preserve"> </w:t>
      </w:r>
      <w:r w:rsidRPr="00150EDC">
        <w:rPr>
          <w:sz w:val="24"/>
        </w:rPr>
        <w:t>performed by</w:t>
      </w:r>
      <w:r w:rsidRPr="00150EDC">
        <w:rPr>
          <w:spacing w:val="-4"/>
          <w:sz w:val="24"/>
        </w:rPr>
        <w:t xml:space="preserve"> </w:t>
      </w:r>
      <w:r w:rsidRPr="00150EDC">
        <w:rPr>
          <w:spacing w:val="-5"/>
          <w:sz w:val="24"/>
        </w:rPr>
        <w:t>the</w:t>
      </w:r>
    </w:p>
    <w:p w14:paraId="0B36C0A6" w14:textId="77777777" w:rsidR="004C7180" w:rsidRPr="00150EDC" w:rsidRDefault="00CF0754">
      <w:pPr>
        <w:pStyle w:val="BodyText"/>
        <w:ind w:left="5468" w:right="2232"/>
        <w:jc w:val="both"/>
      </w:pPr>
      <w:r w:rsidRPr="00150EDC">
        <w:t>Supplier pursuant to the Exit Plan, and other assistance required by the Buyer pursuant</w:t>
      </w:r>
      <w:r w:rsidRPr="00150EDC">
        <w:rPr>
          <w:spacing w:val="-8"/>
        </w:rPr>
        <w:t xml:space="preserve"> </w:t>
      </w:r>
      <w:r w:rsidRPr="00150EDC">
        <w:t>to</w:t>
      </w:r>
      <w:r w:rsidRPr="00150EDC">
        <w:rPr>
          <w:spacing w:val="-8"/>
        </w:rPr>
        <w:t xml:space="preserve"> </w:t>
      </w:r>
      <w:r w:rsidRPr="00150EDC">
        <w:t>the</w:t>
      </w:r>
      <w:r w:rsidRPr="00150EDC">
        <w:rPr>
          <w:spacing w:val="-8"/>
        </w:rPr>
        <w:t xml:space="preserve"> </w:t>
      </w:r>
      <w:r w:rsidRPr="00150EDC">
        <w:t>Termination</w:t>
      </w:r>
      <w:r w:rsidRPr="00150EDC">
        <w:rPr>
          <w:spacing w:val="-10"/>
        </w:rPr>
        <w:t xml:space="preserve"> </w:t>
      </w:r>
      <w:r w:rsidRPr="00150EDC">
        <w:t xml:space="preserve">Assistance </w:t>
      </w:r>
      <w:r w:rsidRPr="00150EDC">
        <w:rPr>
          <w:spacing w:val="-2"/>
        </w:rPr>
        <w:t>Notice;</w:t>
      </w:r>
    </w:p>
    <w:p w14:paraId="4E896829" w14:textId="77777777" w:rsidR="004C7180" w:rsidRPr="00150EDC" w:rsidRDefault="004C7180">
      <w:pPr>
        <w:jc w:val="both"/>
        <w:sectPr w:rsidR="004C7180" w:rsidRPr="00150EDC">
          <w:pgSz w:w="11910" w:h="16840"/>
          <w:pgMar w:top="1380" w:right="0" w:bottom="1380" w:left="40" w:header="715" w:footer="1192" w:gutter="0"/>
          <w:cols w:space="720"/>
        </w:sectPr>
      </w:pPr>
    </w:p>
    <w:p w14:paraId="086DCE28" w14:textId="77777777" w:rsidR="004C7180" w:rsidRPr="00150EDC" w:rsidRDefault="00CF0754">
      <w:pPr>
        <w:pStyle w:val="Heading4"/>
        <w:spacing w:before="120"/>
        <w:ind w:left="2300" w:right="-2"/>
      </w:pPr>
      <w:r w:rsidRPr="00150EDC">
        <w:t>"Termination</w:t>
      </w:r>
      <w:r w:rsidRPr="00150EDC">
        <w:rPr>
          <w:spacing w:val="-17"/>
        </w:rPr>
        <w:t xml:space="preserve"> </w:t>
      </w:r>
      <w:r w:rsidRPr="00150EDC">
        <w:t xml:space="preserve">Assistance </w:t>
      </w:r>
      <w:r w:rsidRPr="00150EDC">
        <w:rPr>
          <w:spacing w:val="-2"/>
        </w:rPr>
        <w:t>Notice"</w:t>
      </w:r>
    </w:p>
    <w:p w14:paraId="778A7F2A" w14:textId="77777777" w:rsidR="004C7180" w:rsidRPr="00150EDC" w:rsidRDefault="00CF0754">
      <w:pPr>
        <w:spacing w:before="121"/>
        <w:ind w:left="2300" w:right="-2"/>
        <w:rPr>
          <w:b/>
          <w:sz w:val="24"/>
        </w:rPr>
      </w:pPr>
      <w:r w:rsidRPr="00150EDC">
        <w:rPr>
          <w:b/>
          <w:sz w:val="24"/>
        </w:rPr>
        <w:t>"Termination</w:t>
      </w:r>
      <w:r w:rsidRPr="00150EDC">
        <w:rPr>
          <w:b/>
          <w:spacing w:val="-17"/>
          <w:sz w:val="24"/>
        </w:rPr>
        <w:t xml:space="preserve"> </w:t>
      </w:r>
      <w:r w:rsidRPr="00150EDC">
        <w:rPr>
          <w:b/>
          <w:sz w:val="24"/>
        </w:rPr>
        <w:t xml:space="preserve">Assistance </w:t>
      </w:r>
      <w:r w:rsidRPr="00150EDC">
        <w:rPr>
          <w:b/>
          <w:spacing w:val="-2"/>
          <w:sz w:val="24"/>
        </w:rPr>
        <w:t>Period"</w:t>
      </w:r>
    </w:p>
    <w:p w14:paraId="173D55A9" w14:textId="77777777" w:rsidR="004C7180" w:rsidRPr="00150EDC" w:rsidRDefault="00CF0754">
      <w:pPr>
        <w:pStyle w:val="BodyText"/>
        <w:spacing w:before="120"/>
        <w:ind w:left="305"/>
      </w:pPr>
      <w:r w:rsidRPr="00150EDC">
        <w:br w:type="column"/>
      </w:r>
      <w:r w:rsidRPr="00150EDC">
        <w:t>has</w:t>
      </w:r>
      <w:r w:rsidRPr="00150EDC">
        <w:rPr>
          <w:spacing w:val="-2"/>
        </w:rPr>
        <w:t xml:space="preserve"> </w:t>
      </w:r>
      <w:r w:rsidRPr="00150EDC">
        <w:t>the</w:t>
      </w:r>
      <w:r w:rsidRPr="00150EDC">
        <w:rPr>
          <w:spacing w:val="-3"/>
        </w:rPr>
        <w:t xml:space="preserve"> </w:t>
      </w:r>
      <w:r w:rsidRPr="00150EDC">
        <w:t>meaning given</w:t>
      </w:r>
      <w:r w:rsidRPr="00150EDC">
        <w:rPr>
          <w:spacing w:val="-3"/>
        </w:rPr>
        <w:t xml:space="preserve"> </w:t>
      </w:r>
      <w:r w:rsidRPr="00150EDC">
        <w:t>to it</w:t>
      </w:r>
      <w:r w:rsidRPr="00150EDC">
        <w:rPr>
          <w:spacing w:val="-1"/>
        </w:rPr>
        <w:t xml:space="preserve"> </w:t>
      </w:r>
      <w:r w:rsidRPr="00150EDC">
        <w:t>in</w:t>
      </w:r>
      <w:r w:rsidRPr="00150EDC">
        <w:rPr>
          <w:spacing w:val="-2"/>
        </w:rPr>
        <w:t xml:space="preserve"> Paragraph</w:t>
      </w:r>
    </w:p>
    <w:p w14:paraId="270C0159" w14:textId="77777777" w:rsidR="004C7180" w:rsidRPr="00150EDC" w:rsidRDefault="00CF0754">
      <w:pPr>
        <w:pStyle w:val="BodyText"/>
        <w:spacing w:before="1"/>
        <w:ind w:left="305"/>
      </w:pPr>
      <w:r w:rsidRPr="00150EDC">
        <w:t>5.1</w:t>
      </w:r>
      <w:r w:rsidRPr="00150EDC">
        <w:rPr>
          <w:spacing w:val="-2"/>
        </w:rPr>
        <w:t xml:space="preserve"> </w:t>
      </w:r>
      <w:r w:rsidRPr="00150EDC">
        <w:t>of</w:t>
      </w:r>
      <w:r w:rsidRPr="00150EDC">
        <w:rPr>
          <w:spacing w:val="1"/>
        </w:rPr>
        <w:t xml:space="preserve"> </w:t>
      </w:r>
      <w:r w:rsidRPr="00150EDC">
        <w:t xml:space="preserve">this </w:t>
      </w:r>
      <w:r w:rsidRPr="00150EDC">
        <w:rPr>
          <w:spacing w:val="-2"/>
        </w:rPr>
        <w:t>Schedule;</w:t>
      </w:r>
    </w:p>
    <w:p w14:paraId="129C7BB7" w14:textId="77777777" w:rsidR="004C7180" w:rsidRPr="00150EDC" w:rsidRDefault="00CF0754">
      <w:pPr>
        <w:pStyle w:val="BodyText"/>
        <w:spacing w:before="120"/>
        <w:ind w:left="305" w:right="1526"/>
      </w:pPr>
      <w:r w:rsidRPr="00150EDC">
        <w:t>the period specified in a Termination Assistance Notice for which the Supplier is required to provide the Termination Assistance</w:t>
      </w:r>
      <w:r w:rsidRPr="00150EDC">
        <w:rPr>
          <w:spacing w:val="-6"/>
        </w:rPr>
        <w:t xml:space="preserve"> </w:t>
      </w:r>
      <w:r w:rsidRPr="00150EDC">
        <w:t>as</w:t>
      </w:r>
      <w:r w:rsidRPr="00150EDC">
        <w:rPr>
          <w:spacing w:val="-5"/>
        </w:rPr>
        <w:t xml:space="preserve"> </w:t>
      </w:r>
      <w:r w:rsidRPr="00150EDC">
        <w:t>such</w:t>
      </w:r>
      <w:r w:rsidRPr="00150EDC">
        <w:rPr>
          <w:spacing w:val="-6"/>
        </w:rPr>
        <w:t xml:space="preserve"> </w:t>
      </w:r>
      <w:r w:rsidRPr="00150EDC">
        <w:t>period</w:t>
      </w:r>
      <w:r w:rsidRPr="00150EDC">
        <w:rPr>
          <w:spacing w:val="-4"/>
        </w:rPr>
        <w:t xml:space="preserve"> </w:t>
      </w:r>
      <w:r w:rsidRPr="00150EDC">
        <w:t>may</w:t>
      </w:r>
      <w:r w:rsidRPr="00150EDC">
        <w:rPr>
          <w:spacing w:val="-5"/>
        </w:rPr>
        <w:t xml:space="preserve"> </w:t>
      </w:r>
      <w:r w:rsidRPr="00150EDC">
        <w:t>be</w:t>
      </w:r>
      <w:r w:rsidRPr="00150EDC">
        <w:rPr>
          <w:spacing w:val="-6"/>
        </w:rPr>
        <w:t xml:space="preserve"> </w:t>
      </w:r>
      <w:r w:rsidRPr="00150EDC">
        <w:t>extended pursuant to Paragraph 5.2 of this Schedule;</w:t>
      </w:r>
    </w:p>
    <w:p w14:paraId="1842E0CB" w14:textId="77777777" w:rsidR="004C7180" w:rsidRPr="00150EDC" w:rsidRDefault="004C7180">
      <w:pPr>
        <w:sectPr w:rsidR="004C7180" w:rsidRPr="00150EDC">
          <w:type w:val="continuous"/>
          <w:pgSz w:w="11910" w:h="16840"/>
          <w:pgMar w:top="1140" w:right="0" w:bottom="280" w:left="40" w:header="715" w:footer="1192" w:gutter="0"/>
          <w:cols w:num="2" w:space="720" w:equalWidth="0">
            <w:col w:w="5123" w:space="40"/>
            <w:col w:w="6707"/>
          </w:cols>
        </w:sectPr>
      </w:pPr>
    </w:p>
    <w:p w14:paraId="58B67FE5" w14:textId="77777777" w:rsidR="004C7180" w:rsidRPr="00150EDC" w:rsidRDefault="00CF0754">
      <w:pPr>
        <w:tabs>
          <w:tab w:val="left" w:pos="5467"/>
        </w:tabs>
        <w:spacing w:before="120"/>
        <w:ind w:left="2300"/>
        <w:rPr>
          <w:sz w:val="24"/>
        </w:rPr>
      </w:pPr>
      <w:r w:rsidRPr="00150EDC">
        <w:rPr>
          <w:b/>
          <w:sz w:val="24"/>
        </w:rPr>
        <w:t>"Transferable</w:t>
      </w:r>
      <w:r w:rsidRPr="00150EDC">
        <w:rPr>
          <w:b/>
          <w:spacing w:val="-4"/>
          <w:sz w:val="24"/>
        </w:rPr>
        <w:t xml:space="preserve"> </w:t>
      </w:r>
      <w:r w:rsidRPr="00150EDC">
        <w:rPr>
          <w:b/>
          <w:spacing w:val="-2"/>
          <w:sz w:val="24"/>
        </w:rPr>
        <w:t>Assets"</w:t>
      </w:r>
      <w:r w:rsidRPr="00150EDC">
        <w:rPr>
          <w:b/>
          <w:sz w:val="24"/>
        </w:rPr>
        <w:tab/>
      </w:r>
      <w:r w:rsidRPr="00150EDC">
        <w:rPr>
          <w:sz w:val="24"/>
        </w:rPr>
        <w:t>Exclusive</w:t>
      </w:r>
      <w:r w:rsidRPr="00150EDC">
        <w:rPr>
          <w:spacing w:val="-4"/>
          <w:sz w:val="24"/>
        </w:rPr>
        <w:t xml:space="preserve"> </w:t>
      </w:r>
      <w:r w:rsidRPr="00150EDC">
        <w:rPr>
          <w:sz w:val="24"/>
        </w:rPr>
        <w:t>Assets</w:t>
      </w:r>
      <w:r w:rsidRPr="00150EDC">
        <w:rPr>
          <w:spacing w:val="-2"/>
          <w:sz w:val="24"/>
        </w:rPr>
        <w:t xml:space="preserve"> </w:t>
      </w:r>
      <w:r w:rsidRPr="00150EDC">
        <w:rPr>
          <w:sz w:val="24"/>
        </w:rPr>
        <w:t>which</w:t>
      </w:r>
      <w:r w:rsidRPr="00150EDC">
        <w:rPr>
          <w:spacing w:val="-2"/>
          <w:sz w:val="24"/>
        </w:rPr>
        <w:t xml:space="preserve"> </w:t>
      </w:r>
      <w:r w:rsidRPr="00150EDC">
        <w:rPr>
          <w:sz w:val="24"/>
        </w:rPr>
        <w:t>are</w:t>
      </w:r>
      <w:r w:rsidRPr="00150EDC">
        <w:rPr>
          <w:spacing w:val="-2"/>
          <w:sz w:val="24"/>
        </w:rPr>
        <w:t xml:space="preserve"> </w:t>
      </w:r>
      <w:r w:rsidRPr="00150EDC">
        <w:rPr>
          <w:sz w:val="24"/>
        </w:rPr>
        <w:t>capable</w:t>
      </w:r>
      <w:r w:rsidRPr="00150EDC">
        <w:rPr>
          <w:spacing w:val="-3"/>
          <w:sz w:val="24"/>
        </w:rPr>
        <w:t xml:space="preserve"> </w:t>
      </w:r>
      <w:r w:rsidRPr="00150EDC">
        <w:rPr>
          <w:sz w:val="24"/>
        </w:rPr>
        <w:t>of</w:t>
      </w:r>
      <w:r w:rsidRPr="00150EDC">
        <w:rPr>
          <w:spacing w:val="-1"/>
          <w:sz w:val="24"/>
        </w:rPr>
        <w:t xml:space="preserve"> </w:t>
      </w:r>
      <w:r w:rsidRPr="00150EDC">
        <w:rPr>
          <w:spacing w:val="-2"/>
          <w:sz w:val="24"/>
        </w:rPr>
        <w:t>legal</w:t>
      </w:r>
    </w:p>
    <w:p w14:paraId="6C555E36" w14:textId="77777777" w:rsidR="004C7180" w:rsidRPr="00150EDC" w:rsidRDefault="00CF0754">
      <w:pPr>
        <w:pStyle w:val="BodyText"/>
        <w:ind w:left="5468"/>
      </w:pPr>
      <w:r w:rsidRPr="00150EDC">
        <w:t>transfer</w:t>
      </w:r>
      <w:r w:rsidRPr="00150EDC">
        <w:rPr>
          <w:spacing w:val="-3"/>
        </w:rPr>
        <w:t xml:space="preserve"> </w:t>
      </w:r>
      <w:r w:rsidRPr="00150EDC">
        <w:t>to</w:t>
      </w:r>
      <w:r w:rsidRPr="00150EDC">
        <w:rPr>
          <w:spacing w:val="-1"/>
        </w:rPr>
        <w:t xml:space="preserve"> </w:t>
      </w:r>
      <w:r w:rsidRPr="00150EDC">
        <w:t xml:space="preserve">the </w:t>
      </w:r>
      <w:r w:rsidRPr="00150EDC">
        <w:rPr>
          <w:spacing w:val="-2"/>
        </w:rPr>
        <w:t>Buyer;</w:t>
      </w:r>
    </w:p>
    <w:p w14:paraId="220C3EA5" w14:textId="77777777" w:rsidR="004C7180" w:rsidRPr="00150EDC" w:rsidRDefault="00CF0754">
      <w:pPr>
        <w:tabs>
          <w:tab w:val="left" w:pos="5467"/>
        </w:tabs>
        <w:spacing w:before="120"/>
        <w:ind w:left="2300"/>
        <w:rPr>
          <w:sz w:val="24"/>
        </w:rPr>
      </w:pPr>
      <w:r w:rsidRPr="00150EDC">
        <w:rPr>
          <w:b/>
          <w:sz w:val="24"/>
        </w:rPr>
        <w:t>"Transferable</w:t>
      </w:r>
      <w:r w:rsidRPr="00150EDC">
        <w:rPr>
          <w:b/>
          <w:spacing w:val="-4"/>
          <w:sz w:val="24"/>
        </w:rPr>
        <w:t xml:space="preserve"> </w:t>
      </w:r>
      <w:r w:rsidRPr="00150EDC">
        <w:rPr>
          <w:b/>
          <w:spacing w:val="-2"/>
          <w:sz w:val="24"/>
        </w:rPr>
        <w:t>Contracts"</w:t>
      </w:r>
      <w:r w:rsidRPr="00150EDC">
        <w:rPr>
          <w:b/>
          <w:sz w:val="24"/>
        </w:rPr>
        <w:tab/>
      </w:r>
      <w:r w:rsidRPr="00150EDC">
        <w:rPr>
          <w:sz w:val="24"/>
        </w:rPr>
        <w:t>Sub-Contracts,</w:t>
      </w:r>
      <w:r w:rsidRPr="00150EDC">
        <w:rPr>
          <w:spacing w:val="-5"/>
          <w:sz w:val="24"/>
        </w:rPr>
        <w:t xml:space="preserve"> </w:t>
      </w:r>
      <w:r w:rsidRPr="00150EDC">
        <w:rPr>
          <w:sz w:val="24"/>
        </w:rPr>
        <w:t>licences</w:t>
      </w:r>
      <w:r w:rsidRPr="00150EDC">
        <w:rPr>
          <w:spacing w:val="-4"/>
          <w:sz w:val="24"/>
        </w:rPr>
        <w:t xml:space="preserve"> </w:t>
      </w:r>
      <w:r w:rsidRPr="00150EDC">
        <w:rPr>
          <w:sz w:val="24"/>
        </w:rPr>
        <w:t>for</w:t>
      </w:r>
      <w:r w:rsidRPr="00150EDC">
        <w:rPr>
          <w:spacing w:val="-4"/>
          <w:sz w:val="24"/>
        </w:rPr>
        <w:t xml:space="preserve"> </w:t>
      </w:r>
      <w:r w:rsidRPr="00150EDC">
        <w:rPr>
          <w:spacing w:val="-2"/>
          <w:sz w:val="24"/>
        </w:rPr>
        <w:t>Supplier's</w:t>
      </w:r>
    </w:p>
    <w:p w14:paraId="4ACC11B0" w14:textId="77777777" w:rsidR="004C7180" w:rsidRPr="00150EDC" w:rsidRDefault="00CF0754">
      <w:pPr>
        <w:pStyle w:val="BodyText"/>
        <w:ind w:left="5468" w:right="1682"/>
      </w:pPr>
      <w:r w:rsidRPr="00150EDC">
        <w:t>Software, licences for Third Party Software or</w:t>
      </w:r>
      <w:r w:rsidRPr="00150EDC">
        <w:rPr>
          <w:spacing w:val="-6"/>
        </w:rPr>
        <w:t xml:space="preserve"> </w:t>
      </w:r>
      <w:r w:rsidRPr="00150EDC">
        <w:t>other</w:t>
      </w:r>
      <w:r w:rsidRPr="00150EDC">
        <w:rPr>
          <w:spacing w:val="-6"/>
        </w:rPr>
        <w:t xml:space="preserve"> </w:t>
      </w:r>
      <w:r w:rsidRPr="00150EDC">
        <w:t>agreements</w:t>
      </w:r>
      <w:r w:rsidRPr="00150EDC">
        <w:rPr>
          <w:spacing w:val="-7"/>
        </w:rPr>
        <w:t xml:space="preserve"> </w:t>
      </w:r>
      <w:r w:rsidRPr="00150EDC">
        <w:t>which</w:t>
      </w:r>
      <w:r w:rsidRPr="00150EDC">
        <w:rPr>
          <w:spacing w:val="-4"/>
        </w:rPr>
        <w:t xml:space="preserve"> </w:t>
      </w:r>
      <w:r w:rsidRPr="00150EDC">
        <w:t>are</w:t>
      </w:r>
      <w:r w:rsidRPr="00150EDC">
        <w:rPr>
          <w:spacing w:val="-6"/>
        </w:rPr>
        <w:t xml:space="preserve"> </w:t>
      </w:r>
      <w:r w:rsidRPr="00150EDC">
        <w:t>necessary</w:t>
      </w:r>
      <w:r w:rsidRPr="00150EDC">
        <w:rPr>
          <w:spacing w:val="-5"/>
        </w:rPr>
        <w:t xml:space="preserve"> </w:t>
      </w:r>
      <w:r w:rsidRPr="00150EDC">
        <w:t>to enable the Buyer or any Replacement Supplier to provide the Deliverables or the Replacement Goods and/or Replacement Services, including in relation to licences all relevant Documentation;</w:t>
      </w:r>
    </w:p>
    <w:p w14:paraId="11CF6D4C" w14:textId="77777777" w:rsidR="004C7180" w:rsidRPr="00150EDC" w:rsidRDefault="00CF0754">
      <w:pPr>
        <w:tabs>
          <w:tab w:val="left" w:pos="5467"/>
        </w:tabs>
        <w:spacing w:before="120"/>
        <w:ind w:left="2300"/>
        <w:rPr>
          <w:sz w:val="24"/>
        </w:rPr>
      </w:pPr>
      <w:r w:rsidRPr="00150EDC">
        <w:rPr>
          <w:b/>
          <w:sz w:val="24"/>
        </w:rPr>
        <w:t>"Transferring</w:t>
      </w:r>
      <w:r w:rsidRPr="00150EDC">
        <w:rPr>
          <w:b/>
          <w:spacing w:val="-4"/>
          <w:sz w:val="24"/>
        </w:rPr>
        <w:t xml:space="preserve"> </w:t>
      </w:r>
      <w:r w:rsidRPr="00150EDC">
        <w:rPr>
          <w:b/>
          <w:spacing w:val="-2"/>
          <w:sz w:val="24"/>
        </w:rPr>
        <w:t>Assets"</w:t>
      </w:r>
      <w:r w:rsidRPr="00150EDC">
        <w:rPr>
          <w:b/>
          <w:sz w:val="24"/>
        </w:rPr>
        <w:tab/>
      </w:r>
      <w:r w:rsidRPr="00150EDC">
        <w:rPr>
          <w:sz w:val="24"/>
        </w:rPr>
        <w:t>has</w:t>
      </w:r>
      <w:r w:rsidRPr="00150EDC">
        <w:rPr>
          <w:spacing w:val="-4"/>
          <w:sz w:val="24"/>
        </w:rPr>
        <w:t xml:space="preserve"> </w:t>
      </w:r>
      <w:r w:rsidRPr="00150EDC">
        <w:rPr>
          <w:sz w:val="24"/>
        </w:rPr>
        <w:t>the</w:t>
      </w:r>
      <w:r w:rsidRPr="00150EDC">
        <w:rPr>
          <w:spacing w:val="-3"/>
          <w:sz w:val="24"/>
        </w:rPr>
        <w:t xml:space="preserve"> </w:t>
      </w:r>
      <w:r w:rsidRPr="00150EDC">
        <w:rPr>
          <w:sz w:val="24"/>
        </w:rPr>
        <w:t>meaning given</w:t>
      </w:r>
      <w:r w:rsidRPr="00150EDC">
        <w:rPr>
          <w:spacing w:val="-3"/>
          <w:sz w:val="24"/>
        </w:rPr>
        <w:t xml:space="preserve"> </w:t>
      </w:r>
      <w:r w:rsidRPr="00150EDC">
        <w:rPr>
          <w:sz w:val="24"/>
        </w:rPr>
        <w:t>to it</w:t>
      </w:r>
      <w:r w:rsidRPr="00150EDC">
        <w:rPr>
          <w:spacing w:val="-1"/>
          <w:sz w:val="24"/>
        </w:rPr>
        <w:t xml:space="preserve"> </w:t>
      </w:r>
      <w:r w:rsidRPr="00150EDC">
        <w:rPr>
          <w:sz w:val="24"/>
        </w:rPr>
        <w:t>in</w:t>
      </w:r>
      <w:r w:rsidRPr="00150EDC">
        <w:rPr>
          <w:spacing w:val="-2"/>
          <w:sz w:val="24"/>
        </w:rPr>
        <w:t xml:space="preserve"> Paragraph</w:t>
      </w:r>
    </w:p>
    <w:p w14:paraId="5DA0C6B6" w14:textId="77777777" w:rsidR="004C7180" w:rsidRPr="00150EDC" w:rsidRDefault="00CF0754">
      <w:pPr>
        <w:pStyle w:val="BodyText"/>
        <w:ind w:left="5468"/>
      </w:pPr>
      <w:r w:rsidRPr="00150EDC">
        <w:t>8.2.1</w:t>
      </w:r>
      <w:r w:rsidRPr="00150EDC">
        <w:rPr>
          <w:spacing w:val="1"/>
        </w:rPr>
        <w:t xml:space="preserve"> </w:t>
      </w:r>
      <w:r w:rsidRPr="00150EDC">
        <w:t>of</w:t>
      </w:r>
      <w:r w:rsidRPr="00150EDC">
        <w:rPr>
          <w:spacing w:val="-2"/>
        </w:rPr>
        <w:t xml:space="preserve"> </w:t>
      </w:r>
      <w:r w:rsidRPr="00150EDC">
        <w:t xml:space="preserve">this </w:t>
      </w:r>
      <w:r w:rsidRPr="00150EDC">
        <w:rPr>
          <w:spacing w:val="-2"/>
        </w:rPr>
        <w:t>Schedule;</w:t>
      </w:r>
    </w:p>
    <w:p w14:paraId="7BF4269B" w14:textId="77777777" w:rsidR="004C7180" w:rsidRPr="00150EDC" w:rsidRDefault="00CF0754">
      <w:pPr>
        <w:tabs>
          <w:tab w:val="left" w:pos="5467"/>
        </w:tabs>
        <w:spacing w:before="120"/>
        <w:ind w:left="2300"/>
        <w:rPr>
          <w:sz w:val="24"/>
        </w:rPr>
      </w:pPr>
      <w:r w:rsidRPr="00150EDC">
        <w:rPr>
          <w:b/>
          <w:sz w:val="24"/>
        </w:rPr>
        <w:t>"Transferring</w:t>
      </w:r>
      <w:r w:rsidRPr="00150EDC">
        <w:rPr>
          <w:b/>
          <w:spacing w:val="-5"/>
          <w:sz w:val="24"/>
        </w:rPr>
        <w:t xml:space="preserve"> </w:t>
      </w:r>
      <w:r w:rsidRPr="00150EDC">
        <w:rPr>
          <w:b/>
          <w:spacing w:val="-2"/>
          <w:sz w:val="24"/>
        </w:rPr>
        <w:t>Contracts"</w:t>
      </w:r>
      <w:r w:rsidRPr="00150EDC">
        <w:rPr>
          <w:b/>
          <w:sz w:val="24"/>
        </w:rPr>
        <w:tab/>
      </w:r>
      <w:r w:rsidRPr="00150EDC">
        <w:rPr>
          <w:sz w:val="24"/>
        </w:rPr>
        <w:t>has</w:t>
      </w:r>
      <w:r w:rsidRPr="00150EDC">
        <w:rPr>
          <w:spacing w:val="-2"/>
          <w:sz w:val="24"/>
        </w:rPr>
        <w:t xml:space="preserve"> </w:t>
      </w:r>
      <w:r w:rsidRPr="00150EDC">
        <w:rPr>
          <w:sz w:val="24"/>
        </w:rPr>
        <w:t>the</w:t>
      </w:r>
      <w:r w:rsidRPr="00150EDC">
        <w:rPr>
          <w:spacing w:val="-3"/>
          <w:sz w:val="24"/>
        </w:rPr>
        <w:t xml:space="preserve"> </w:t>
      </w:r>
      <w:r w:rsidRPr="00150EDC">
        <w:rPr>
          <w:sz w:val="24"/>
        </w:rPr>
        <w:t>meaning given</w:t>
      </w:r>
      <w:r w:rsidRPr="00150EDC">
        <w:rPr>
          <w:spacing w:val="-3"/>
          <w:sz w:val="24"/>
        </w:rPr>
        <w:t xml:space="preserve"> </w:t>
      </w:r>
      <w:r w:rsidRPr="00150EDC">
        <w:rPr>
          <w:sz w:val="24"/>
        </w:rPr>
        <w:t>to</w:t>
      </w:r>
      <w:r w:rsidRPr="00150EDC">
        <w:rPr>
          <w:spacing w:val="-1"/>
          <w:sz w:val="24"/>
        </w:rPr>
        <w:t xml:space="preserve"> </w:t>
      </w:r>
      <w:r w:rsidRPr="00150EDC">
        <w:rPr>
          <w:sz w:val="24"/>
        </w:rPr>
        <w:t xml:space="preserve">it </w:t>
      </w:r>
      <w:r w:rsidRPr="00150EDC">
        <w:rPr>
          <w:spacing w:val="-5"/>
          <w:sz w:val="24"/>
        </w:rPr>
        <w:t>in</w:t>
      </w:r>
    </w:p>
    <w:p w14:paraId="6079F720" w14:textId="77777777" w:rsidR="004C7180" w:rsidRPr="00150EDC" w:rsidRDefault="00CF0754">
      <w:pPr>
        <w:pStyle w:val="BodyText"/>
        <w:ind w:left="5468"/>
      </w:pPr>
      <w:r w:rsidRPr="00150EDC">
        <w:t>Paragraph</w:t>
      </w:r>
      <w:r w:rsidRPr="00150EDC">
        <w:rPr>
          <w:spacing w:val="-4"/>
        </w:rPr>
        <w:t xml:space="preserve"> </w:t>
      </w:r>
      <w:r w:rsidRPr="00150EDC">
        <w:t>8.2.3</w:t>
      </w:r>
      <w:r w:rsidRPr="00150EDC">
        <w:rPr>
          <w:spacing w:val="-1"/>
        </w:rPr>
        <w:t xml:space="preserve"> </w:t>
      </w:r>
      <w:r w:rsidRPr="00150EDC">
        <w:t>of</w:t>
      </w:r>
      <w:r w:rsidRPr="00150EDC">
        <w:rPr>
          <w:spacing w:val="-1"/>
        </w:rPr>
        <w:t xml:space="preserve"> </w:t>
      </w:r>
      <w:r w:rsidRPr="00150EDC">
        <w:t>this</w:t>
      </w:r>
      <w:r w:rsidRPr="00150EDC">
        <w:rPr>
          <w:spacing w:val="-3"/>
        </w:rPr>
        <w:t xml:space="preserve"> </w:t>
      </w:r>
      <w:r w:rsidRPr="00150EDC">
        <w:rPr>
          <w:spacing w:val="-2"/>
        </w:rPr>
        <w:t>Schedule.</w:t>
      </w:r>
    </w:p>
    <w:p w14:paraId="420A7957" w14:textId="77777777" w:rsidR="004C7180" w:rsidRPr="00150EDC" w:rsidRDefault="004C7180">
      <w:pPr>
        <w:pStyle w:val="BodyText"/>
        <w:spacing w:before="3"/>
        <w:rPr>
          <w:sz w:val="31"/>
        </w:rPr>
      </w:pPr>
    </w:p>
    <w:p w14:paraId="26DDDBF8" w14:textId="77777777" w:rsidR="004C7180" w:rsidRPr="00150EDC" w:rsidRDefault="00CF0754" w:rsidP="00B320C7">
      <w:pPr>
        <w:pStyle w:val="Heading4"/>
        <w:numPr>
          <w:ilvl w:val="0"/>
          <w:numId w:val="39"/>
        </w:numPr>
        <w:tabs>
          <w:tab w:val="left" w:pos="2042"/>
        </w:tabs>
        <w:spacing w:before="1"/>
        <w:ind w:left="2042" w:hanging="359"/>
      </w:pPr>
      <w:r w:rsidRPr="00150EDC">
        <w:t>Supplier</w:t>
      </w:r>
      <w:r w:rsidRPr="00150EDC">
        <w:rPr>
          <w:spacing w:val="-3"/>
        </w:rPr>
        <w:t xml:space="preserve"> </w:t>
      </w:r>
      <w:r w:rsidRPr="00150EDC">
        <w:t>must</w:t>
      </w:r>
      <w:r w:rsidRPr="00150EDC">
        <w:rPr>
          <w:spacing w:val="-4"/>
        </w:rPr>
        <w:t xml:space="preserve"> </w:t>
      </w:r>
      <w:r w:rsidRPr="00150EDC">
        <w:t>always</w:t>
      </w:r>
      <w:r w:rsidRPr="00150EDC">
        <w:rPr>
          <w:spacing w:val="-3"/>
        </w:rPr>
        <w:t xml:space="preserve"> </w:t>
      </w:r>
      <w:r w:rsidRPr="00150EDC">
        <w:t>be</w:t>
      </w:r>
      <w:r w:rsidRPr="00150EDC">
        <w:rPr>
          <w:spacing w:val="-2"/>
        </w:rPr>
        <w:t xml:space="preserve"> </w:t>
      </w:r>
      <w:r w:rsidRPr="00150EDC">
        <w:t>prepared</w:t>
      </w:r>
      <w:r w:rsidRPr="00150EDC">
        <w:rPr>
          <w:spacing w:val="-2"/>
        </w:rPr>
        <w:t xml:space="preserve"> </w:t>
      </w:r>
      <w:r w:rsidRPr="00150EDC">
        <w:t>for</w:t>
      </w:r>
      <w:r w:rsidRPr="00150EDC">
        <w:rPr>
          <w:spacing w:val="-3"/>
        </w:rPr>
        <w:t xml:space="preserve"> </w:t>
      </w:r>
      <w:r w:rsidRPr="00150EDC">
        <w:t>contract</w:t>
      </w:r>
      <w:r w:rsidRPr="00150EDC">
        <w:rPr>
          <w:spacing w:val="-3"/>
        </w:rPr>
        <w:t xml:space="preserve"> </w:t>
      </w:r>
      <w:r w:rsidRPr="00150EDC">
        <w:rPr>
          <w:spacing w:val="-4"/>
        </w:rPr>
        <w:t>exit</w:t>
      </w:r>
    </w:p>
    <w:p w14:paraId="284C7902" w14:textId="77777777" w:rsidR="004C7180" w:rsidRPr="00150EDC" w:rsidRDefault="004C7180">
      <w:pPr>
        <w:pStyle w:val="BodyText"/>
        <w:spacing w:before="7"/>
        <w:rPr>
          <w:b/>
          <w:sz w:val="20"/>
        </w:rPr>
      </w:pPr>
    </w:p>
    <w:p w14:paraId="18CB193F" w14:textId="77777777" w:rsidR="004C7180" w:rsidRPr="00150EDC" w:rsidRDefault="00CF0754" w:rsidP="00B320C7">
      <w:pPr>
        <w:pStyle w:val="ListParagraph"/>
        <w:numPr>
          <w:ilvl w:val="1"/>
          <w:numId w:val="39"/>
        </w:numPr>
        <w:tabs>
          <w:tab w:val="left" w:pos="2326"/>
          <w:tab w:val="left" w:pos="2328"/>
        </w:tabs>
        <w:ind w:right="1499"/>
        <w:jc w:val="both"/>
        <w:rPr>
          <w:sz w:val="24"/>
        </w:rPr>
      </w:pPr>
      <w:r w:rsidRPr="00150EDC">
        <w:rPr>
          <w:sz w:val="24"/>
        </w:rPr>
        <w:t>The Supplier</w:t>
      </w:r>
      <w:r w:rsidRPr="00150EDC">
        <w:rPr>
          <w:spacing w:val="-2"/>
          <w:sz w:val="24"/>
        </w:rPr>
        <w:t xml:space="preserve"> </w:t>
      </w:r>
      <w:r w:rsidRPr="00150EDC">
        <w:rPr>
          <w:sz w:val="24"/>
        </w:rPr>
        <w:t>shall</w:t>
      </w:r>
      <w:r w:rsidRPr="00150EDC">
        <w:rPr>
          <w:spacing w:val="-1"/>
          <w:sz w:val="24"/>
        </w:rPr>
        <w:t xml:space="preserve"> </w:t>
      </w:r>
      <w:r w:rsidRPr="00150EDC">
        <w:rPr>
          <w:sz w:val="24"/>
        </w:rPr>
        <w:t>within 30</w:t>
      </w:r>
      <w:r w:rsidRPr="00150EDC">
        <w:rPr>
          <w:spacing w:val="-2"/>
          <w:sz w:val="24"/>
        </w:rPr>
        <w:t xml:space="preserve"> </w:t>
      </w:r>
      <w:r w:rsidRPr="00150EDC">
        <w:rPr>
          <w:sz w:val="24"/>
        </w:rPr>
        <w:t>days</w:t>
      </w:r>
      <w:r w:rsidRPr="00150EDC">
        <w:rPr>
          <w:spacing w:val="-3"/>
          <w:sz w:val="24"/>
        </w:rPr>
        <w:t xml:space="preserve"> </w:t>
      </w:r>
      <w:r w:rsidRPr="00150EDC">
        <w:rPr>
          <w:sz w:val="24"/>
        </w:rPr>
        <w:t>from</w:t>
      </w:r>
      <w:r w:rsidRPr="00150EDC">
        <w:rPr>
          <w:spacing w:val="-2"/>
          <w:sz w:val="24"/>
        </w:rPr>
        <w:t xml:space="preserve"> </w:t>
      </w:r>
      <w:r w:rsidRPr="00150EDC">
        <w:rPr>
          <w:sz w:val="24"/>
        </w:rPr>
        <w:t>the</w:t>
      </w:r>
      <w:r w:rsidRPr="00150EDC">
        <w:rPr>
          <w:spacing w:val="-2"/>
          <w:sz w:val="24"/>
        </w:rPr>
        <w:t xml:space="preserve"> </w:t>
      </w:r>
      <w:r w:rsidRPr="00150EDC">
        <w:rPr>
          <w:sz w:val="24"/>
        </w:rPr>
        <w:t>Start Date</w:t>
      </w:r>
      <w:r w:rsidRPr="00150EDC">
        <w:rPr>
          <w:spacing w:val="-2"/>
          <w:sz w:val="24"/>
        </w:rPr>
        <w:t xml:space="preserve"> </w:t>
      </w:r>
      <w:r w:rsidRPr="00150EDC">
        <w:rPr>
          <w:sz w:val="24"/>
        </w:rPr>
        <w:t>provide</w:t>
      </w:r>
      <w:r w:rsidRPr="00150EDC">
        <w:rPr>
          <w:spacing w:val="-2"/>
          <w:sz w:val="24"/>
        </w:rPr>
        <w:t xml:space="preserve"> </w:t>
      </w:r>
      <w:r w:rsidRPr="00150EDC">
        <w:rPr>
          <w:sz w:val="24"/>
        </w:rPr>
        <w:t>to</w:t>
      </w:r>
      <w:r w:rsidRPr="00150EDC">
        <w:rPr>
          <w:spacing w:val="-2"/>
          <w:sz w:val="24"/>
        </w:rPr>
        <w:t xml:space="preserve"> </w:t>
      </w:r>
      <w:r w:rsidRPr="00150EDC">
        <w:rPr>
          <w:sz w:val="24"/>
        </w:rPr>
        <w:t>the</w:t>
      </w:r>
      <w:r w:rsidRPr="00150EDC">
        <w:rPr>
          <w:spacing w:val="-5"/>
          <w:sz w:val="24"/>
        </w:rPr>
        <w:t xml:space="preserve"> </w:t>
      </w:r>
      <w:r w:rsidRPr="00150EDC">
        <w:rPr>
          <w:sz w:val="24"/>
        </w:rPr>
        <w:t>Buyer</w:t>
      </w:r>
      <w:r w:rsidRPr="00150EDC">
        <w:rPr>
          <w:spacing w:val="-2"/>
          <w:sz w:val="24"/>
        </w:rPr>
        <w:t xml:space="preserve"> </w:t>
      </w:r>
      <w:r w:rsidRPr="00150EDC">
        <w:rPr>
          <w:sz w:val="24"/>
        </w:rPr>
        <w:t>a copy</w:t>
      </w:r>
      <w:r w:rsidRPr="00150EDC">
        <w:rPr>
          <w:spacing w:val="-2"/>
          <w:sz w:val="24"/>
        </w:rPr>
        <w:t xml:space="preserve"> </w:t>
      </w:r>
      <w:r w:rsidRPr="00150EDC">
        <w:rPr>
          <w:sz w:val="24"/>
        </w:rPr>
        <w:t>of</w:t>
      </w:r>
      <w:r w:rsidRPr="00150EDC">
        <w:rPr>
          <w:spacing w:val="-1"/>
          <w:sz w:val="24"/>
        </w:rPr>
        <w:t xml:space="preserve"> </w:t>
      </w:r>
      <w:r w:rsidRPr="00150EDC">
        <w:rPr>
          <w:sz w:val="24"/>
        </w:rPr>
        <w:t>its</w:t>
      </w:r>
      <w:r w:rsidRPr="00150EDC">
        <w:rPr>
          <w:spacing w:val="-2"/>
          <w:sz w:val="24"/>
        </w:rPr>
        <w:t xml:space="preserve"> </w:t>
      </w:r>
      <w:r w:rsidRPr="00150EDC">
        <w:rPr>
          <w:sz w:val="24"/>
        </w:rPr>
        <w:t>depreciation</w:t>
      </w:r>
      <w:r w:rsidRPr="00150EDC">
        <w:rPr>
          <w:spacing w:val="-3"/>
          <w:sz w:val="24"/>
        </w:rPr>
        <w:t xml:space="preserve"> </w:t>
      </w:r>
      <w:r w:rsidRPr="00150EDC">
        <w:rPr>
          <w:sz w:val="24"/>
        </w:rPr>
        <w:t>policy</w:t>
      </w:r>
      <w:r w:rsidRPr="00150EDC">
        <w:rPr>
          <w:spacing w:val="-2"/>
          <w:sz w:val="24"/>
        </w:rPr>
        <w:t xml:space="preserve"> </w:t>
      </w:r>
      <w:r w:rsidRPr="00150EDC">
        <w:rPr>
          <w:sz w:val="24"/>
        </w:rPr>
        <w:t>to</w:t>
      </w:r>
      <w:r w:rsidRPr="00150EDC">
        <w:rPr>
          <w:spacing w:val="-3"/>
          <w:sz w:val="24"/>
        </w:rPr>
        <w:t xml:space="preserve"> </w:t>
      </w:r>
      <w:r w:rsidRPr="00150EDC">
        <w:rPr>
          <w:sz w:val="24"/>
        </w:rPr>
        <w:t>be</w:t>
      </w:r>
      <w:r w:rsidRPr="00150EDC">
        <w:rPr>
          <w:spacing w:val="-3"/>
          <w:sz w:val="24"/>
        </w:rPr>
        <w:t xml:space="preserve"> </w:t>
      </w:r>
      <w:r w:rsidRPr="00150EDC">
        <w:rPr>
          <w:sz w:val="24"/>
        </w:rPr>
        <w:t>used</w:t>
      </w:r>
      <w:r w:rsidRPr="00150EDC">
        <w:rPr>
          <w:spacing w:val="-1"/>
          <w:sz w:val="24"/>
        </w:rPr>
        <w:t xml:space="preserve"> </w:t>
      </w:r>
      <w:r w:rsidRPr="00150EDC">
        <w:rPr>
          <w:sz w:val="24"/>
        </w:rPr>
        <w:t>for</w:t>
      </w:r>
      <w:r w:rsidRPr="00150EDC">
        <w:rPr>
          <w:spacing w:val="-5"/>
          <w:sz w:val="24"/>
        </w:rPr>
        <w:t xml:space="preserve"> </w:t>
      </w:r>
      <w:r w:rsidRPr="00150EDC">
        <w:rPr>
          <w:sz w:val="24"/>
        </w:rPr>
        <w:t>the</w:t>
      </w:r>
      <w:r w:rsidRPr="00150EDC">
        <w:rPr>
          <w:spacing w:val="-1"/>
          <w:sz w:val="24"/>
        </w:rPr>
        <w:t xml:space="preserve"> </w:t>
      </w:r>
      <w:r w:rsidRPr="00150EDC">
        <w:rPr>
          <w:sz w:val="24"/>
        </w:rPr>
        <w:t>purposes</w:t>
      </w:r>
      <w:r w:rsidRPr="00150EDC">
        <w:rPr>
          <w:spacing w:val="-2"/>
          <w:sz w:val="24"/>
        </w:rPr>
        <w:t xml:space="preserve"> </w:t>
      </w:r>
      <w:r w:rsidRPr="00150EDC">
        <w:rPr>
          <w:sz w:val="24"/>
        </w:rPr>
        <w:t>of</w:t>
      </w:r>
      <w:r w:rsidRPr="00150EDC">
        <w:rPr>
          <w:spacing w:val="-4"/>
          <w:sz w:val="24"/>
        </w:rPr>
        <w:t xml:space="preserve"> </w:t>
      </w:r>
      <w:r w:rsidRPr="00150EDC">
        <w:rPr>
          <w:sz w:val="24"/>
        </w:rPr>
        <w:t>calculating</w:t>
      </w:r>
      <w:r w:rsidRPr="00150EDC">
        <w:rPr>
          <w:spacing w:val="-1"/>
          <w:sz w:val="24"/>
        </w:rPr>
        <w:t xml:space="preserve"> </w:t>
      </w:r>
      <w:r w:rsidRPr="00150EDC">
        <w:rPr>
          <w:sz w:val="24"/>
        </w:rPr>
        <w:t>Net Book Value.</w:t>
      </w:r>
    </w:p>
    <w:p w14:paraId="42943F5B" w14:textId="77777777" w:rsidR="004C7180" w:rsidRPr="00150EDC" w:rsidRDefault="00CF0754" w:rsidP="00B320C7">
      <w:pPr>
        <w:pStyle w:val="ListParagraph"/>
        <w:numPr>
          <w:ilvl w:val="1"/>
          <w:numId w:val="39"/>
        </w:numPr>
        <w:tabs>
          <w:tab w:val="left" w:pos="2326"/>
        </w:tabs>
        <w:spacing w:before="120"/>
        <w:ind w:left="2326" w:hanging="358"/>
        <w:jc w:val="both"/>
        <w:rPr>
          <w:sz w:val="24"/>
        </w:rPr>
      </w:pPr>
      <w:r w:rsidRPr="00150EDC">
        <w:rPr>
          <w:sz w:val="24"/>
        </w:rPr>
        <w:t>During</w:t>
      </w:r>
      <w:r w:rsidRPr="00150EDC">
        <w:rPr>
          <w:spacing w:val="-3"/>
          <w:sz w:val="24"/>
        </w:rPr>
        <w:t xml:space="preserve"> </w:t>
      </w:r>
      <w:r w:rsidRPr="00150EDC">
        <w:rPr>
          <w:sz w:val="24"/>
        </w:rPr>
        <w:t>the</w:t>
      </w:r>
      <w:r w:rsidRPr="00150EDC">
        <w:rPr>
          <w:spacing w:val="-2"/>
          <w:sz w:val="24"/>
        </w:rPr>
        <w:t xml:space="preserve"> </w:t>
      </w:r>
      <w:r w:rsidRPr="00150EDC">
        <w:rPr>
          <w:sz w:val="24"/>
        </w:rPr>
        <w:t>Contract</w:t>
      </w:r>
      <w:r w:rsidRPr="00150EDC">
        <w:rPr>
          <w:spacing w:val="-2"/>
          <w:sz w:val="24"/>
        </w:rPr>
        <w:t xml:space="preserve"> </w:t>
      </w:r>
      <w:r w:rsidRPr="00150EDC">
        <w:rPr>
          <w:sz w:val="24"/>
        </w:rPr>
        <w:t>Period,</w:t>
      </w:r>
      <w:r w:rsidRPr="00150EDC">
        <w:rPr>
          <w:spacing w:val="-3"/>
          <w:sz w:val="24"/>
        </w:rPr>
        <w:t xml:space="preserve"> </w:t>
      </w:r>
      <w:r w:rsidRPr="00150EDC">
        <w:rPr>
          <w:sz w:val="24"/>
        </w:rPr>
        <w:t>the</w:t>
      </w:r>
      <w:r w:rsidRPr="00150EDC">
        <w:rPr>
          <w:spacing w:val="-2"/>
          <w:sz w:val="24"/>
        </w:rPr>
        <w:t xml:space="preserve"> </w:t>
      </w:r>
      <w:r w:rsidRPr="00150EDC">
        <w:rPr>
          <w:sz w:val="24"/>
        </w:rPr>
        <w:t>Supplier</w:t>
      </w:r>
      <w:r w:rsidRPr="00150EDC">
        <w:rPr>
          <w:spacing w:val="-4"/>
          <w:sz w:val="24"/>
        </w:rPr>
        <w:t xml:space="preserve"> </w:t>
      </w:r>
      <w:r w:rsidRPr="00150EDC">
        <w:rPr>
          <w:sz w:val="24"/>
        </w:rPr>
        <w:t>shall</w:t>
      </w:r>
      <w:r w:rsidRPr="00150EDC">
        <w:rPr>
          <w:spacing w:val="-6"/>
          <w:sz w:val="24"/>
        </w:rPr>
        <w:t xml:space="preserve"> </w:t>
      </w:r>
      <w:r w:rsidRPr="00150EDC">
        <w:rPr>
          <w:spacing w:val="-2"/>
          <w:sz w:val="24"/>
        </w:rPr>
        <w:t>promptly:</w:t>
      </w:r>
    </w:p>
    <w:p w14:paraId="4C4F6C1C" w14:textId="77777777" w:rsidR="004C7180" w:rsidRPr="00150EDC" w:rsidRDefault="00CF0754" w:rsidP="00B320C7">
      <w:pPr>
        <w:pStyle w:val="ListParagraph"/>
        <w:numPr>
          <w:ilvl w:val="2"/>
          <w:numId w:val="39"/>
        </w:numPr>
        <w:tabs>
          <w:tab w:val="left" w:pos="2118"/>
          <w:tab w:val="left" w:pos="2120"/>
        </w:tabs>
        <w:spacing w:before="120"/>
        <w:ind w:right="1709"/>
        <w:rPr>
          <w:sz w:val="24"/>
        </w:rPr>
      </w:pPr>
      <w:r w:rsidRPr="00150EDC">
        <w:rPr>
          <w:sz w:val="24"/>
        </w:rPr>
        <w:t>create and maintain a detailed register of all Supplier Assets (including description,</w:t>
      </w:r>
      <w:r w:rsidRPr="00150EDC">
        <w:rPr>
          <w:spacing w:val="-2"/>
          <w:sz w:val="24"/>
        </w:rPr>
        <w:t xml:space="preserve"> </w:t>
      </w:r>
      <w:r w:rsidRPr="00150EDC">
        <w:rPr>
          <w:sz w:val="24"/>
        </w:rPr>
        <w:t>condition,</w:t>
      </w:r>
      <w:r w:rsidRPr="00150EDC">
        <w:rPr>
          <w:spacing w:val="-2"/>
          <w:sz w:val="24"/>
        </w:rPr>
        <w:t xml:space="preserve"> </w:t>
      </w:r>
      <w:r w:rsidRPr="00150EDC">
        <w:rPr>
          <w:sz w:val="24"/>
        </w:rPr>
        <w:t>location</w:t>
      </w:r>
      <w:r w:rsidRPr="00150EDC">
        <w:rPr>
          <w:spacing w:val="-2"/>
          <w:sz w:val="24"/>
        </w:rPr>
        <w:t xml:space="preserve"> </w:t>
      </w:r>
      <w:r w:rsidRPr="00150EDC">
        <w:rPr>
          <w:sz w:val="24"/>
        </w:rPr>
        <w:t>and</w:t>
      </w:r>
      <w:r w:rsidRPr="00150EDC">
        <w:rPr>
          <w:spacing w:val="-2"/>
          <w:sz w:val="24"/>
        </w:rPr>
        <w:t xml:space="preserve"> </w:t>
      </w:r>
      <w:r w:rsidRPr="00150EDC">
        <w:rPr>
          <w:sz w:val="24"/>
        </w:rPr>
        <w:t>details</w:t>
      </w:r>
      <w:r w:rsidRPr="00150EDC">
        <w:rPr>
          <w:spacing w:val="-5"/>
          <w:sz w:val="24"/>
        </w:rPr>
        <w:t xml:space="preserve"> </w:t>
      </w:r>
      <w:r w:rsidRPr="00150EDC">
        <w:rPr>
          <w:sz w:val="24"/>
        </w:rPr>
        <w:t>of</w:t>
      </w:r>
      <w:r w:rsidRPr="00150EDC">
        <w:rPr>
          <w:spacing w:val="-5"/>
          <w:sz w:val="24"/>
        </w:rPr>
        <w:t xml:space="preserve"> </w:t>
      </w:r>
      <w:r w:rsidRPr="00150EDC">
        <w:rPr>
          <w:sz w:val="24"/>
        </w:rPr>
        <w:t>ownership</w:t>
      </w:r>
      <w:r w:rsidRPr="00150EDC">
        <w:rPr>
          <w:spacing w:val="-4"/>
          <w:sz w:val="24"/>
        </w:rPr>
        <w:t xml:space="preserve"> </w:t>
      </w:r>
      <w:r w:rsidRPr="00150EDC">
        <w:rPr>
          <w:sz w:val="24"/>
        </w:rPr>
        <w:t>and</w:t>
      </w:r>
      <w:r w:rsidRPr="00150EDC">
        <w:rPr>
          <w:spacing w:val="-2"/>
          <w:sz w:val="24"/>
        </w:rPr>
        <w:t xml:space="preserve"> </w:t>
      </w:r>
      <w:r w:rsidRPr="00150EDC">
        <w:rPr>
          <w:sz w:val="24"/>
        </w:rPr>
        <w:t>status</w:t>
      </w:r>
      <w:r w:rsidRPr="00150EDC">
        <w:rPr>
          <w:spacing w:val="-5"/>
          <w:sz w:val="24"/>
        </w:rPr>
        <w:t xml:space="preserve"> </w:t>
      </w:r>
      <w:r w:rsidRPr="00150EDC">
        <w:rPr>
          <w:sz w:val="24"/>
        </w:rPr>
        <w:t>as</w:t>
      </w:r>
      <w:r w:rsidRPr="00150EDC">
        <w:rPr>
          <w:spacing w:val="-3"/>
          <w:sz w:val="24"/>
        </w:rPr>
        <w:t xml:space="preserve"> </w:t>
      </w:r>
      <w:r w:rsidRPr="00150EDC">
        <w:rPr>
          <w:sz w:val="24"/>
        </w:rPr>
        <w:t>either Exclusive Assets or Non-Exclusive Assets and Net Book Value) and Sub- contracts and other relevant agreements required in connection with the Deliverables; and</w:t>
      </w:r>
    </w:p>
    <w:p w14:paraId="1DF35726" w14:textId="77777777" w:rsidR="004C7180" w:rsidRPr="00150EDC" w:rsidRDefault="00CF0754" w:rsidP="00B320C7">
      <w:pPr>
        <w:pStyle w:val="ListParagraph"/>
        <w:numPr>
          <w:ilvl w:val="2"/>
          <w:numId w:val="39"/>
        </w:numPr>
        <w:tabs>
          <w:tab w:val="left" w:pos="2118"/>
          <w:tab w:val="left" w:pos="2120"/>
        </w:tabs>
        <w:spacing w:before="120"/>
        <w:ind w:right="1654"/>
        <w:rPr>
          <w:sz w:val="24"/>
        </w:rPr>
      </w:pPr>
      <w:r w:rsidRPr="00150EDC">
        <w:rPr>
          <w:sz w:val="24"/>
        </w:rPr>
        <w:t>create and maintain a configuration database detailing the technical infrastructure</w:t>
      </w:r>
      <w:r w:rsidRPr="00150EDC">
        <w:rPr>
          <w:spacing w:val="-4"/>
          <w:sz w:val="24"/>
        </w:rPr>
        <w:t xml:space="preserve"> </w:t>
      </w:r>
      <w:r w:rsidRPr="00150EDC">
        <w:rPr>
          <w:sz w:val="24"/>
        </w:rPr>
        <w:t>and</w:t>
      </w:r>
      <w:r w:rsidRPr="00150EDC">
        <w:rPr>
          <w:spacing w:val="-3"/>
          <w:sz w:val="24"/>
        </w:rPr>
        <w:t xml:space="preserve"> </w:t>
      </w:r>
      <w:r w:rsidRPr="00150EDC">
        <w:rPr>
          <w:sz w:val="24"/>
        </w:rPr>
        <w:t>operating</w:t>
      </w:r>
      <w:r w:rsidRPr="00150EDC">
        <w:rPr>
          <w:spacing w:val="-4"/>
          <w:sz w:val="24"/>
        </w:rPr>
        <w:t xml:space="preserve"> </w:t>
      </w:r>
      <w:r w:rsidRPr="00150EDC">
        <w:rPr>
          <w:sz w:val="24"/>
        </w:rPr>
        <w:t>procedures</w:t>
      </w:r>
      <w:r w:rsidRPr="00150EDC">
        <w:rPr>
          <w:spacing w:val="-4"/>
          <w:sz w:val="24"/>
        </w:rPr>
        <w:t xml:space="preserve"> </w:t>
      </w:r>
      <w:r w:rsidRPr="00150EDC">
        <w:rPr>
          <w:sz w:val="24"/>
        </w:rPr>
        <w:t>through</w:t>
      </w:r>
      <w:r w:rsidRPr="00150EDC">
        <w:rPr>
          <w:spacing w:val="-3"/>
          <w:sz w:val="24"/>
        </w:rPr>
        <w:t xml:space="preserve"> </w:t>
      </w:r>
      <w:r w:rsidRPr="00150EDC">
        <w:rPr>
          <w:sz w:val="24"/>
        </w:rPr>
        <w:t>which</w:t>
      </w:r>
      <w:r w:rsidRPr="00150EDC">
        <w:rPr>
          <w:spacing w:val="-4"/>
          <w:sz w:val="24"/>
        </w:rPr>
        <w:t xml:space="preserve"> </w:t>
      </w:r>
      <w:r w:rsidRPr="00150EDC">
        <w:rPr>
          <w:sz w:val="24"/>
        </w:rPr>
        <w:t>the</w:t>
      </w:r>
      <w:r w:rsidRPr="00150EDC">
        <w:rPr>
          <w:spacing w:val="-4"/>
          <w:sz w:val="24"/>
        </w:rPr>
        <w:t xml:space="preserve"> </w:t>
      </w:r>
      <w:r w:rsidRPr="00150EDC">
        <w:rPr>
          <w:sz w:val="24"/>
        </w:rPr>
        <w:t>Supplier</w:t>
      </w:r>
      <w:r w:rsidRPr="00150EDC">
        <w:rPr>
          <w:spacing w:val="-6"/>
          <w:sz w:val="24"/>
        </w:rPr>
        <w:t xml:space="preserve"> </w:t>
      </w:r>
      <w:r w:rsidRPr="00150EDC">
        <w:rPr>
          <w:sz w:val="24"/>
        </w:rPr>
        <w:t>provides the Deliverables</w:t>
      </w:r>
    </w:p>
    <w:p w14:paraId="1B6312A4" w14:textId="77777777" w:rsidR="004C7180" w:rsidRPr="00150EDC" w:rsidRDefault="00CF0754">
      <w:pPr>
        <w:spacing w:before="120"/>
        <w:ind w:left="1760"/>
        <w:rPr>
          <w:sz w:val="24"/>
        </w:rPr>
      </w:pPr>
      <w:r w:rsidRPr="00150EDC">
        <w:rPr>
          <w:spacing w:val="-2"/>
          <w:sz w:val="24"/>
        </w:rPr>
        <w:t>("</w:t>
      </w:r>
      <w:r w:rsidRPr="00150EDC">
        <w:rPr>
          <w:b/>
          <w:spacing w:val="-2"/>
          <w:sz w:val="24"/>
        </w:rPr>
        <w:t>Registers</w:t>
      </w:r>
      <w:r w:rsidRPr="00150EDC">
        <w:rPr>
          <w:spacing w:val="-2"/>
          <w:sz w:val="24"/>
        </w:rPr>
        <w:t>").</w:t>
      </w:r>
    </w:p>
    <w:p w14:paraId="42CEDC25" w14:textId="77777777" w:rsidR="004C7180" w:rsidRPr="00150EDC" w:rsidRDefault="004C7180">
      <w:pPr>
        <w:rPr>
          <w:sz w:val="24"/>
        </w:rPr>
        <w:sectPr w:rsidR="004C7180" w:rsidRPr="00150EDC">
          <w:type w:val="continuous"/>
          <w:pgSz w:w="11910" w:h="16840"/>
          <w:pgMar w:top="1140" w:right="0" w:bottom="280" w:left="40" w:header="715" w:footer="1192" w:gutter="0"/>
          <w:cols w:space="720"/>
        </w:sectPr>
      </w:pPr>
    </w:p>
    <w:p w14:paraId="14E0449F" w14:textId="77777777" w:rsidR="004C7180" w:rsidRPr="00150EDC" w:rsidRDefault="004C7180">
      <w:pPr>
        <w:pStyle w:val="BodyText"/>
        <w:spacing w:before="5"/>
        <w:rPr>
          <w:sz w:val="15"/>
        </w:rPr>
      </w:pPr>
    </w:p>
    <w:p w14:paraId="7AB53EAE" w14:textId="77777777" w:rsidR="004C7180" w:rsidRPr="00150EDC" w:rsidRDefault="00CF0754" w:rsidP="00B320C7">
      <w:pPr>
        <w:pStyle w:val="ListParagraph"/>
        <w:numPr>
          <w:ilvl w:val="1"/>
          <w:numId w:val="39"/>
        </w:numPr>
        <w:tabs>
          <w:tab w:val="left" w:pos="2326"/>
        </w:tabs>
        <w:spacing w:before="92"/>
        <w:ind w:left="2326" w:hanging="358"/>
        <w:rPr>
          <w:sz w:val="24"/>
        </w:rPr>
      </w:pPr>
      <w:r w:rsidRPr="00150EDC">
        <w:rPr>
          <w:sz w:val="24"/>
        </w:rPr>
        <w:t>The</w:t>
      </w:r>
      <w:r w:rsidRPr="00150EDC">
        <w:rPr>
          <w:spacing w:val="-2"/>
          <w:sz w:val="24"/>
        </w:rPr>
        <w:t xml:space="preserve"> </w:t>
      </w:r>
      <w:r w:rsidRPr="00150EDC">
        <w:rPr>
          <w:sz w:val="24"/>
        </w:rPr>
        <w:t>Supplier</w:t>
      </w:r>
      <w:r w:rsidRPr="00150EDC">
        <w:rPr>
          <w:spacing w:val="-3"/>
          <w:sz w:val="24"/>
        </w:rPr>
        <w:t xml:space="preserve"> </w:t>
      </w:r>
      <w:r w:rsidRPr="00150EDC">
        <w:rPr>
          <w:spacing w:val="-2"/>
          <w:sz w:val="24"/>
        </w:rPr>
        <w:t>shall:</w:t>
      </w:r>
    </w:p>
    <w:p w14:paraId="16329EE3" w14:textId="77777777" w:rsidR="004C7180" w:rsidRPr="00150EDC" w:rsidRDefault="00CF0754" w:rsidP="00B320C7">
      <w:pPr>
        <w:pStyle w:val="ListParagraph"/>
        <w:numPr>
          <w:ilvl w:val="2"/>
          <w:numId w:val="39"/>
        </w:numPr>
        <w:tabs>
          <w:tab w:val="left" w:pos="2117"/>
          <w:tab w:val="left" w:pos="2119"/>
        </w:tabs>
        <w:spacing w:before="120"/>
        <w:ind w:left="2119" w:right="1727"/>
        <w:rPr>
          <w:sz w:val="24"/>
        </w:rPr>
      </w:pPr>
      <w:r w:rsidRPr="00150EDC">
        <w:rPr>
          <w:sz w:val="24"/>
        </w:rPr>
        <w:t>ensure</w:t>
      </w:r>
      <w:r w:rsidRPr="00150EDC">
        <w:rPr>
          <w:spacing w:val="-4"/>
          <w:sz w:val="24"/>
        </w:rPr>
        <w:t xml:space="preserve"> </w:t>
      </w:r>
      <w:r w:rsidRPr="00150EDC">
        <w:rPr>
          <w:sz w:val="24"/>
        </w:rPr>
        <w:t>that</w:t>
      </w:r>
      <w:r w:rsidRPr="00150EDC">
        <w:rPr>
          <w:spacing w:val="-2"/>
          <w:sz w:val="24"/>
        </w:rPr>
        <w:t xml:space="preserve"> </w:t>
      </w:r>
      <w:r w:rsidRPr="00150EDC">
        <w:rPr>
          <w:sz w:val="24"/>
        </w:rPr>
        <w:t>all</w:t>
      </w:r>
      <w:r w:rsidRPr="00150EDC">
        <w:rPr>
          <w:spacing w:val="-3"/>
          <w:sz w:val="24"/>
        </w:rPr>
        <w:t xml:space="preserve"> </w:t>
      </w:r>
      <w:r w:rsidRPr="00150EDC">
        <w:rPr>
          <w:sz w:val="24"/>
        </w:rPr>
        <w:t>Exclusive</w:t>
      </w:r>
      <w:r w:rsidRPr="00150EDC">
        <w:rPr>
          <w:spacing w:val="-2"/>
          <w:sz w:val="24"/>
        </w:rPr>
        <w:t xml:space="preserve"> </w:t>
      </w:r>
      <w:r w:rsidRPr="00150EDC">
        <w:rPr>
          <w:sz w:val="24"/>
        </w:rPr>
        <w:t>Assets</w:t>
      </w:r>
      <w:r w:rsidRPr="00150EDC">
        <w:rPr>
          <w:spacing w:val="-5"/>
          <w:sz w:val="24"/>
        </w:rPr>
        <w:t xml:space="preserve"> </w:t>
      </w:r>
      <w:r w:rsidRPr="00150EDC">
        <w:rPr>
          <w:sz w:val="24"/>
        </w:rPr>
        <w:t>listed</w:t>
      </w:r>
      <w:r w:rsidRPr="00150EDC">
        <w:rPr>
          <w:spacing w:val="-2"/>
          <w:sz w:val="24"/>
        </w:rPr>
        <w:t xml:space="preserve"> </w:t>
      </w:r>
      <w:r w:rsidRPr="00150EDC">
        <w:rPr>
          <w:sz w:val="24"/>
        </w:rPr>
        <w:t>in</w:t>
      </w:r>
      <w:r w:rsidRPr="00150EDC">
        <w:rPr>
          <w:spacing w:val="-2"/>
          <w:sz w:val="24"/>
        </w:rPr>
        <w:t xml:space="preserve"> </w:t>
      </w:r>
      <w:r w:rsidRPr="00150EDC">
        <w:rPr>
          <w:sz w:val="24"/>
        </w:rPr>
        <w:t>the</w:t>
      </w:r>
      <w:r w:rsidRPr="00150EDC">
        <w:rPr>
          <w:spacing w:val="-2"/>
          <w:sz w:val="24"/>
        </w:rPr>
        <w:t xml:space="preserve"> </w:t>
      </w:r>
      <w:r w:rsidRPr="00150EDC">
        <w:rPr>
          <w:sz w:val="24"/>
        </w:rPr>
        <w:t>Registers</w:t>
      </w:r>
      <w:r w:rsidRPr="00150EDC">
        <w:rPr>
          <w:spacing w:val="-3"/>
          <w:sz w:val="24"/>
        </w:rPr>
        <w:t xml:space="preserve"> </w:t>
      </w:r>
      <w:r w:rsidRPr="00150EDC">
        <w:rPr>
          <w:sz w:val="24"/>
        </w:rPr>
        <w:t>are</w:t>
      </w:r>
      <w:r w:rsidRPr="00150EDC">
        <w:rPr>
          <w:spacing w:val="-4"/>
          <w:sz w:val="24"/>
        </w:rPr>
        <w:t xml:space="preserve"> </w:t>
      </w:r>
      <w:r w:rsidRPr="00150EDC">
        <w:rPr>
          <w:sz w:val="24"/>
        </w:rPr>
        <w:t>clearly</w:t>
      </w:r>
      <w:r w:rsidRPr="00150EDC">
        <w:rPr>
          <w:spacing w:val="-3"/>
          <w:sz w:val="24"/>
        </w:rPr>
        <w:t xml:space="preserve"> </w:t>
      </w:r>
      <w:r w:rsidRPr="00150EDC">
        <w:rPr>
          <w:sz w:val="24"/>
        </w:rPr>
        <w:t>physically identified as such; and</w:t>
      </w:r>
    </w:p>
    <w:p w14:paraId="2F061FBD" w14:textId="77777777" w:rsidR="004C7180" w:rsidRPr="00150EDC" w:rsidRDefault="00CF0754" w:rsidP="00B320C7">
      <w:pPr>
        <w:pStyle w:val="ListParagraph"/>
        <w:numPr>
          <w:ilvl w:val="2"/>
          <w:numId w:val="39"/>
        </w:numPr>
        <w:tabs>
          <w:tab w:val="left" w:pos="2118"/>
          <w:tab w:val="left" w:pos="2120"/>
        </w:tabs>
        <w:spacing w:before="120"/>
        <w:ind w:right="1685"/>
        <w:rPr>
          <w:sz w:val="24"/>
        </w:rPr>
      </w:pPr>
      <w:r w:rsidRPr="00150EDC">
        <w:rPr>
          <w:sz w:val="24"/>
        </w:rPr>
        <w:t>procure</w:t>
      </w:r>
      <w:r w:rsidRPr="00150EDC">
        <w:rPr>
          <w:spacing w:val="-2"/>
          <w:sz w:val="24"/>
        </w:rPr>
        <w:t xml:space="preserve"> </w:t>
      </w:r>
      <w:r w:rsidRPr="00150EDC">
        <w:rPr>
          <w:sz w:val="24"/>
        </w:rPr>
        <w:t>that</w:t>
      </w:r>
      <w:r w:rsidRPr="00150EDC">
        <w:rPr>
          <w:spacing w:val="-5"/>
          <w:sz w:val="24"/>
        </w:rPr>
        <w:t xml:space="preserve"> </w:t>
      </w:r>
      <w:r w:rsidRPr="00150EDC">
        <w:rPr>
          <w:sz w:val="24"/>
        </w:rPr>
        <w:t>all</w:t>
      </w:r>
      <w:r w:rsidRPr="00150EDC">
        <w:rPr>
          <w:spacing w:val="-3"/>
          <w:sz w:val="24"/>
        </w:rPr>
        <w:t xml:space="preserve"> </w:t>
      </w:r>
      <w:r w:rsidRPr="00150EDC">
        <w:rPr>
          <w:sz w:val="24"/>
        </w:rPr>
        <w:t>licences</w:t>
      </w:r>
      <w:r w:rsidRPr="00150EDC">
        <w:rPr>
          <w:spacing w:val="-3"/>
          <w:sz w:val="24"/>
        </w:rPr>
        <w:t xml:space="preserve"> </w:t>
      </w:r>
      <w:r w:rsidRPr="00150EDC">
        <w:rPr>
          <w:sz w:val="24"/>
        </w:rPr>
        <w:t>for</w:t>
      </w:r>
      <w:r w:rsidRPr="00150EDC">
        <w:rPr>
          <w:spacing w:val="-4"/>
          <w:sz w:val="24"/>
        </w:rPr>
        <w:t xml:space="preserve"> </w:t>
      </w:r>
      <w:r w:rsidRPr="00150EDC">
        <w:rPr>
          <w:sz w:val="24"/>
        </w:rPr>
        <w:t>Third</w:t>
      </w:r>
      <w:r w:rsidRPr="00150EDC">
        <w:rPr>
          <w:spacing w:val="-2"/>
          <w:sz w:val="24"/>
        </w:rPr>
        <w:t xml:space="preserve"> </w:t>
      </w:r>
      <w:r w:rsidRPr="00150EDC">
        <w:rPr>
          <w:sz w:val="24"/>
        </w:rPr>
        <w:t>Party</w:t>
      </w:r>
      <w:r w:rsidRPr="00150EDC">
        <w:rPr>
          <w:spacing w:val="-3"/>
          <w:sz w:val="24"/>
        </w:rPr>
        <w:t xml:space="preserve"> </w:t>
      </w:r>
      <w:r w:rsidRPr="00150EDC">
        <w:rPr>
          <w:sz w:val="24"/>
        </w:rPr>
        <w:t>Software</w:t>
      </w:r>
      <w:r w:rsidRPr="00150EDC">
        <w:rPr>
          <w:spacing w:val="-2"/>
          <w:sz w:val="24"/>
        </w:rPr>
        <w:t xml:space="preserve"> </w:t>
      </w:r>
      <w:r w:rsidRPr="00150EDC">
        <w:rPr>
          <w:sz w:val="24"/>
        </w:rPr>
        <w:t>and</w:t>
      </w:r>
      <w:r w:rsidRPr="00150EDC">
        <w:rPr>
          <w:spacing w:val="-2"/>
          <w:sz w:val="24"/>
        </w:rPr>
        <w:t xml:space="preserve"> </w:t>
      </w:r>
      <w:r w:rsidRPr="00150EDC">
        <w:rPr>
          <w:sz w:val="24"/>
        </w:rPr>
        <w:t>all</w:t>
      </w:r>
      <w:r w:rsidRPr="00150EDC">
        <w:rPr>
          <w:spacing w:val="-3"/>
          <w:sz w:val="24"/>
        </w:rPr>
        <w:t xml:space="preserve"> </w:t>
      </w:r>
      <w:r w:rsidRPr="00150EDC">
        <w:rPr>
          <w:sz w:val="24"/>
        </w:rPr>
        <w:t>Sub-Contracts</w:t>
      </w:r>
      <w:r w:rsidRPr="00150EDC">
        <w:rPr>
          <w:spacing w:val="-3"/>
          <w:sz w:val="24"/>
        </w:rPr>
        <w:t xml:space="preserve"> </w:t>
      </w:r>
      <w:r w:rsidRPr="00150EDC">
        <w:rPr>
          <w:sz w:val="24"/>
        </w:rPr>
        <w:t>shall be assignable and/or capable of novation (at no cost or restriction to the Buyer) at the request of the Buyer to the Buyer (and/or its nominee) and/or any Replacement Supplier upon the Supplier ceasing to provide the Deliverables (or part of them) and if the Supplier is unable to do so then the Supplier shall promptly notify the Buyer and the Buyer may require the Supplier</w:t>
      </w:r>
      <w:r w:rsidRPr="00150EDC">
        <w:rPr>
          <w:spacing w:val="-4"/>
          <w:sz w:val="24"/>
        </w:rPr>
        <w:t xml:space="preserve"> </w:t>
      </w:r>
      <w:r w:rsidRPr="00150EDC">
        <w:rPr>
          <w:sz w:val="24"/>
        </w:rPr>
        <w:t>to procure</w:t>
      </w:r>
      <w:r w:rsidRPr="00150EDC">
        <w:rPr>
          <w:spacing w:val="-2"/>
          <w:sz w:val="24"/>
        </w:rPr>
        <w:t xml:space="preserve"> </w:t>
      </w:r>
      <w:r w:rsidRPr="00150EDC">
        <w:rPr>
          <w:sz w:val="24"/>
        </w:rPr>
        <w:t>an</w:t>
      </w:r>
      <w:r w:rsidRPr="00150EDC">
        <w:rPr>
          <w:spacing w:val="-2"/>
          <w:sz w:val="24"/>
        </w:rPr>
        <w:t xml:space="preserve"> </w:t>
      </w:r>
      <w:r w:rsidRPr="00150EDC">
        <w:rPr>
          <w:sz w:val="24"/>
        </w:rPr>
        <w:t>alternative Subcontractor</w:t>
      </w:r>
      <w:r w:rsidRPr="00150EDC">
        <w:rPr>
          <w:spacing w:val="-2"/>
          <w:sz w:val="24"/>
        </w:rPr>
        <w:t xml:space="preserve"> </w:t>
      </w:r>
      <w:r w:rsidRPr="00150EDC">
        <w:rPr>
          <w:sz w:val="24"/>
        </w:rPr>
        <w:t>or</w:t>
      </w:r>
      <w:r w:rsidRPr="00150EDC">
        <w:rPr>
          <w:spacing w:val="-2"/>
          <w:sz w:val="24"/>
        </w:rPr>
        <w:t xml:space="preserve"> </w:t>
      </w:r>
      <w:r w:rsidRPr="00150EDC">
        <w:rPr>
          <w:sz w:val="24"/>
        </w:rPr>
        <w:t>provider</w:t>
      </w:r>
      <w:r w:rsidRPr="00150EDC">
        <w:rPr>
          <w:spacing w:val="-2"/>
          <w:sz w:val="24"/>
        </w:rPr>
        <w:t xml:space="preserve"> </w:t>
      </w:r>
      <w:r w:rsidRPr="00150EDC">
        <w:rPr>
          <w:sz w:val="24"/>
        </w:rPr>
        <w:t>of Deliverables.</w:t>
      </w:r>
    </w:p>
    <w:p w14:paraId="18FC751F" w14:textId="77777777" w:rsidR="004C7180" w:rsidRPr="00150EDC" w:rsidRDefault="00CF0754" w:rsidP="00B320C7">
      <w:pPr>
        <w:pStyle w:val="ListParagraph"/>
        <w:numPr>
          <w:ilvl w:val="1"/>
          <w:numId w:val="39"/>
        </w:numPr>
        <w:tabs>
          <w:tab w:val="left" w:pos="2326"/>
          <w:tab w:val="left" w:pos="2328"/>
        </w:tabs>
        <w:spacing w:before="121"/>
        <w:ind w:right="1483"/>
        <w:rPr>
          <w:sz w:val="24"/>
        </w:rPr>
      </w:pPr>
      <w:r w:rsidRPr="00150EDC">
        <w:rPr>
          <w:sz w:val="24"/>
        </w:rPr>
        <w:t>Each Party shall appoint an Exit Manager within three (3) Months of the Start</w:t>
      </w:r>
      <w:r w:rsidRPr="00150EDC">
        <w:rPr>
          <w:spacing w:val="-2"/>
          <w:sz w:val="24"/>
        </w:rPr>
        <w:t xml:space="preserve"> </w:t>
      </w:r>
      <w:r w:rsidRPr="00150EDC">
        <w:rPr>
          <w:sz w:val="24"/>
        </w:rPr>
        <w:t>Date.</w:t>
      </w:r>
      <w:r w:rsidRPr="00150EDC">
        <w:rPr>
          <w:spacing w:val="-2"/>
          <w:sz w:val="24"/>
        </w:rPr>
        <w:t xml:space="preserve"> </w:t>
      </w:r>
      <w:r w:rsidRPr="00150EDC">
        <w:rPr>
          <w:sz w:val="24"/>
        </w:rPr>
        <w:t>The</w:t>
      </w:r>
      <w:r w:rsidRPr="00150EDC">
        <w:rPr>
          <w:spacing w:val="-2"/>
          <w:sz w:val="24"/>
        </w:rPr>
        <w:t xml:space="preserve"> </w:t>
      </w:r>
      <w:r w:rsidRPr="00150EDC">
        <w:rPr>
          <w:sz w:val="24"/>
        </w:rPr>
        <w:t>Parties'</w:t>
      </w:r>
      <w:r w:rsidRPr="00150EDC">
        <w:rPr>
          <w:spacing w:val="-3"/>
          <w:sz w:val="24"/>
        </w:rPr>
        <w:t xml:space="preserve"> </w:t>
      </w:r>
      <w:r w:rsidRPr="00150EDC">
        <w:rPr>
          <w:sz w:val="24"/>
        </w:rPr>
        <w:t>Exit</w:t>
      </w:r>
      <w:r w:rsidRPr="00150EDC">
        <w:rPr>
          <w:spacing w:val="-2"/>
          <w:sz w:val="24"/>
        </w:rPr>
        <w:t xml:space="preserve"> </w:t>
      </w:r>
      <w:r w:rsidRPr="00150EDC">
        <w:rPr>
          <w:sz w:val="24"/>
        </w:rPr>
        <w:t>Managers</w:t>
      </w:r>
      <w:r w:rsidRPr="00150EDC">
        <w:rPr>
          <w:spacing w:val="-3"/>
          <w:sz w:val="24"/>
        </w:rPr>
        <w:t xml:space="preserve"> </w:t>
      </w:r>
      <w:r w:rsidRPr="00150EDC">
        <w:rPr>
          <w:sz w:val="24"/>
        </w:rPr>
        <w:t>will</w:t>
      </w:r>
      <w:r w:rsidRPr="00150EDC">
        <w:rPr>
          <w:spacing w:val="-3"/>
          <w:sz w:val="24"/>
        </w:rPr>
        <w:t xml:space="preserve"> </w:t>
      </w:r>
      <w:r w:rsidRPr="00150EDC">
        <w:rPr>
          <w:sz w:val="24"/>
        </w:rPr>
        <w:t>liaise</w:t>
      </w:r>
      <w:r w:rsidRPr="00150EDC">
        <w:rPr>
          <w:spacing w:val="-2"/>
          <w:sz w:val="24"/>
        </w:rPr>
        <w:t xml:space="preserve"> </w:t>
      </w:r>
      <w:r w:rsidRPr="00150EDC">
        <w:rPr>
          <w:sz w:val="24"/>
        </w:rPr>
        <w:t>with</w:t>
      </w:r>
      <w:r w:rsidRPr="00150EDC">
        <w:rPr>
          <w:spacing w:val="-2"/>
          <w:sz w:val="24"/>
        </w:rPr>
        <w:t xml:space="preserve"> </w:t>
      </w:r>
      <w:r w:rsidRPr="00150EDC">
        <w:rPr>
          <w:sz w:val="24"/>
        </w:rPr>
        <w:t>one</w:t>
      </w:r>
      <w:r w:rsidRPr="00150EDC">
        <w:rPr>
          <w:spacing w:val="-4"/>
          <w:sz w:val="24"/>
        </w:rPr>
        <w:t xml:space="preserve"> </w:t>
      </w:r>
      <w:r w:rsidRPr="00150EDC">
        <w:rPr>
          <w:sz w:val="24"/>
        </w:rPr>
        <w:t>another</w:t>
      </w:r>
      <w:r w:rsidRPr="00150EDC">
        <w:rPr>
          <w:spacing w:val="-4"/>
          <w:sz w:val="24"/>
        </w:rPr>
        <w:t xml:space="preserve"> </w:t>
      </w:r>
      <w:r w:rsidRPr="00150EDC">
        <w:rPr>
          <w:sz w:val="24"/>
        </w:rPr>
        <w:t>in</w:t>
      </w:r>
      <w:r w:rsidRPr="00150EDC">
        <w:rPr>
          <w:spacing w:val="-4"/>
          <w:sz w:val="24"/>
        </w:rPr>
        <w:t xml:space="preserve"> </w:t>
      </w:r>
      <w:r w:rsidRPr="00150EDC">
        <w:rPr>
          <w:sz w:val="24"/>
        </w:rPr>
        <w:t>relation to all issues relevant to the expiry or termination of this Contract.</w:t>
      </w:r>
    </w:p>
    <w:p w14:paraId="2825E979" w14:textId="77777777" w:rsidR="004C7180" w:rsidRPr="00150EDC" w:rsidRDefault="004C7180">
      <w:pPr>
        <w:pStyle w:val="BodyText"/>
        <w:spacing w:before="9"/>
        <w:rPr>
          <w:sz w:val="20"/>
        </w:rPr>
      </w:pPr>
    </w:p>
    <w:p w14:paraId="517A9E2C" w14:textId="77777777" w:rsidR="004C7180" w:rsidRPr="00150EDC" w:rsidRDefault="00CF0754" w:rsidP="00B320C7">
      <w:pPr>
        <w:pStyle w:val="Heading4"/>
        <w:numPr>
          <w:ilvl w:val="0"/>
          <w:numId w:val="39"/>
        </w:numPr>
        <w:tabs>
          <w:tab w:val="left" w:pos="2042"/>
        </w:tabs>
        <w:spacing w:before="1"/>
        <w:ind w:left="2042" w:hanging="359"/>
      </w:pPr>
      <w:r w:rsidRPr="00150EDC">
        <w:t>Assisting</w:t>
      </w:r>
      <w:r w:rsidRPr="00150EDC">
        <w:rPr>
          <w:spacing w:val="-5"/>
        </w:rPr>
        <w:t xml:space="preserve"> </w:t>
      </w:r>
      <w:r w:rsidRPr="00150EDC">
        <w:t>re-competition</w:t>
      </w:r>
      <w:r w:rsidRPr="00150EDC">
        <w:rPr>
          <w:spacing w:val="-5"/>
        </w:rPr>
        <w:t xml:space="preserve"> </w:t>
      </w:r>
      <w:r w:rsidRPr="00150EDC">
        <w:t>for</w:t>
      </w:r>
      <w:r w:rsidRPr="00150EDC">
        <w:rPr>
          <w:spacing w:val="-5"/>
        </w:rPr>
        <w:t xml:space="preserve"> </w:t>
      </w:r>
      <w:r w:rsidRPr="00150EDC">
        <w:rPr>
          <w:spacing w:val="-2"/>
        </w:rPr>
        <w:t>Deliverables</w:t>
      </w:r>
    </w:p>
    <w:p w14:paraId="6812E84E" w14:textId="77777777" w:rsidR="004C7180" w:rsidRPr="00150EDC" w:rsidRDefault="004C7180">
      <w:pPr>
        <w:pStyle w:val="BodyText"/>
        <w:spacing w:before="10"/>
        <w:rPr>
          <w:b/>
          <w:sz w:val="20"/>
        </w:rPr>
      </w:pPr>
    </w:p>
    <w:p w14:paraId="3866EEE0" w14:textId="77777777" w:rsidR="004C7180" w:rsidRPr="00150EDC" w:rsidRDefault="00CF0754" w:rsidP="00B320C7">
      <w:pPr>
        <w:pStyle w:val="ListParagraph"/>
        <w:numPr>
          <w:ilvl w:val="1"/>
          <w:numId w:val="39"/>
        </w:numPr>
        <w:tabs>
          <w:tab w:val="left" w:pos="2326"/>
          <w:tab w:val="left" w:pos="2328"/>
        </w:tabs>
        <w:ind w:right="1595"/>
        <w:rPr>
          <w:sz w:val="24"/>
        </w:rPr>
      </w:pPr>
      <w:r w:rsidRPr="00150EDC">
        <w:rPr>
          <w:sz w:val="24"/>
        </w:rPr>
        <w:t>The Supplier shall, on reasonable notice, provide to the Buyer and/or its potential Replacement Suppliers (subject to the potential Replacement Suppliers entering into reasonable written confidentiality undertakings), such information (including any access) as the Buyer shall reasonably require</w:t>
      </w:r>
      <w:r w:rsidRPr="00150EDC">
        <w:rPr>
          <w:spacing w:val="-1"/>
          <w:sz w:val="24"/>
        </w:rPr>
        <w:t xml:space="preserve"> </w:t>
      </w:r>
      <w:r w:rsidRPr="00150EDC">
        <w:rPr>
          <w:sz w:val="24"/>
        </w:rPr>
        <w:t>in</w:t>
      </w:r>
      <w:r w:rsidRPr="00150EDC">
        <w:rPr>
          <w:spacing w:val="-3"/>
          <w:sz w:val="24"/>
        </w:rPr>
        <w:t xml:space="preserve"> </w:t>
      </w:r>
      <w:r w:rsidRPr="00150EDC">
        <w:rPr>
          <w:sz w:val="24"/>
        </w:rPr>
        <w:t>order</w:t>
      </w:r>
      <w:r w:rsidRPr="00150EDC">
        <w:rPr>
          <w:spacing w:val="-3"/>
          <w:sz w:val="24"/>
        </w:rPr>
        <w:t xml:space="preserve"> </w:t>
      </w:r>
      <w:r w:rsidRPr="00150EDC">
        <w:rPr>
          <w:sz w:val="24"/>
        </w:rPr>
        <w:t>to</w:t>
      </w:r>
      <w:r w:rsidRPr="00150EDC">
        <w:rPr>
          <w:spacing w:val="-1"/>
          <w:sz w:val="24"/>
        </w:rPr>
        <w:t xml:space="preserve"> </w:t>
      </w:r>
      <w:r w:rsidRPr="00150EDC">
        <w:rPr>
          <w:sz w:val="24"/>
        </w:rPr>
        <w:t>facilitate</w:t>
      </w:r>
      <w:r w:rsidRPr="00150EDC">
        <w:rPr>
          <w:spacing w:val="-3"/>
          <w:sz w:val="24"/>
        </w:rPr>
        <w:t xml:space="preserve"> </w:t>
      </w:r>
      <w:r w:rsidRPr="00150EDC">
        <w:rPr>
          <w:sz w:val="24"/>
        </w:rPr>
        <w:t>the</w:t>
      </w:r>
      <w:r w:rsidRPr="00150EDC">
        <w:rPr>
          <w:spacing w:val="-3"/>
          <w:sz w:val="24"/>
        </w:rPr>
        <w:t xml:space="preserve"> </w:t>
      </w:r>
      <w:r w:rsidRPr="00150EDC">
        <w:rPr>
          <w:sz w:val="24"/>
        </w:rPr>
        <w:t>preparation</w:t>
      </w:r>
      <w:r w:rsidRPr="00150EDC">
        <w:rPr>
          <w:spacing w:val="-1"/>
          <w:sz w:val="24"/>
        </w:rPr>
        <w:t xml:space="preserve"> </w:t>
      </w:r>
      <w:r w:rsidRPr="00150EDC">
        <w:rPr>
          <w:sz w:val="24"/>
        </w:rPr>
        <w:t>by</w:t>
      </w:r>
      <w:r w:rsidRPr="00150EDC">
        <w:rPr>
          <w:spacing w:val="-4"/>
          <w:sz w:val="24"/>
        </w:rPr>
        <w:t xml:space="preserve"> </w:t>
      </w:r>
      <w:r w:rsidRPr="00150EDC">
        <w:rPr>
          <w:sz w:val="24"/>
        </w:rPr>
        <w:t>the</w:t>
      </w:r>
      <w:r w:rsidRPr="00150EDC">
        <w:rPr>
          <w:spacing w:val="-3"/>
          <w:sz w:val="24"/>
        </w:rPr>
        <w:t xml:space="preserve"> </w:t>
      </w:r>
      <w:r w:rsidRPr="00150EDC">
        <w:rPr>
          <w:sz w:val="24"/>
        </w:rPr>
        <w:t>Buyer</w:t>
      </w:r>
      <w:r w:rsidRPr="00150EDC">
        <w:rPr>
          <w:spacing w:val="-5"/>
          <w:sz w:val="24"/>
        </w:rPr>
        <w:t xml:space="preserve"> </w:t>
      </w:r>
      <w:r w:rsidRPr="00150EDC">
        <w:rPr>
          <w:sz w:val="24"/>
        </w:rPr>
        <w:t>of</w:t>
      </w:r>
      <w:r w:rsidRPr="00150EDC">
        <w:rPr>
          <w:spacing w:val="-4"/>
          <w:sz w:val="24"/>
        </w:rPr>
        <w:t xml:space="preserve"> </w:t>
      </w:r>
      <w:r w:rsidRPr="00150EDC">
        <w:rPr>
          <w:sz w:val="24"/>
        </w:rPr>
        <w:t>any</w:t>
      </w:r>
      <w:r w:rsidRPr="00150EDC">
        <w:rPr>
          <w:spacing w:val="-2"/>
          <w:sz w:val="24"/>
        </w:rPr>
        <w:t xml:space="preserve"> </w:t>
      </w:r>
      <w:r w:rsidRPr="00150EDC">
        <w:rPr>
          <w:sz w:val="24"/>
        </w:rPr>
        <w:t>invitation</w:t>
      </w:r>
      <w:r w:rsidRPr="00150EDC">
        <w:rPr>
          <w:spacing w:val="-1"/>
          <w:sz w:val="24"/>
        </w:rPr>
        <w:t xml:space="preserve"> </w:t>
      </w:r>
      <w:r w:rsidRPr="00150EDC">
        <w:rPr>
          <w:sz w:val="24"/>
        </w:rPr>
        <w:t>to tender</w:t>
      </w:r>
      <w:r w:rsidRPr="00150EDC">
        <w:rPr>
          <w:spacing w:val="-5"/>
          <w:sz w:val="24"/>
        </w:rPr>
        <w:t xml:space="preserve"> </w:t>
      </w:r>
      <w:r w:rsidRPr="00150EDC">
        <w:rPr>
          <w:sz w:val="24"/>
        </w:rPr>
        <w:t>and/or</w:t>
      </w:r>
      <w:r w:rsidRPr="00150EDC">
        <w:rPr>
          <w:spacing w:val="-7"/>
          <w:sz w:val="24"/>
        </w:rPr>
        <w:t xml:space="preserve"> </w:t>
      </w:r>
      <w:r w:rsidRPr="00150EDC">
        <w:rPr>
          <w:sz w:val="24"/>
        </w:rPr>
        <w:t>to</w:t>
      </w:r>
      <w:r w:rsidRPr="00150EDC">
        <w:rPr>
          <w:spacing w:val="-3"/>
          <w:sz w:val="24"/>
        </w:rPr>
        <w:t xml:space="preserve"> </w:t>
      </w:r>
      <w:r w:rsidRPr="00150EDC">
        <w:rPr>
          <w:sz w:val="24"/>
        </w:rPr>
        <w:t>facilitate</w:t>
      </w:r>
      <w:r w:rsidRPr="00150EDC">
        <w:rPr>
          <w:spacing w:val="-3"/>
          <w:sz w:val="24"/>
        </w:rPr>
        <w:t xml:space="preserve"> </w:t>
      </w:r>
      <w:r w:rsidRPr="00150EDC">
        <w:rPr>
          <w:sz w:val="24"/>
        </w:rPr>
        <w:t>any</w:t>
      </w:r>
      <w:r w:rsidRPr="00150EDC">
        <w:rPr>
          <w:spacing w:val="-4"/>
          <w:sz w:val="24"/>
        </w:rPr>
        <w:t xml:space="preserve"> </w:t>
      </w:r>
      <w:r w:rsidRPr="00150EDC">
        <w:rPr>
          <w:sz w:val="24"/>
        </w:rPr>
        <w:t>potential</w:t>
      </w:r>
      <w:r w:rsidRPr="00150EDC">
        <w:rPr>
          <w:spacing w:val="-4"/>
          <w:sz w:val="24"/>
        </w:rPr>
        <w:t xml:space="preserve"> </w:t>
      </w:r>
      <w:r w:rsidRPr="00150EDC">
        <w:rPr>
          <w:sz w:val="24"/>
        </w:rPr>
        <w:t>Replacement</w:t>
      </w:r>
      <w:r w:rsidRPr="00150EDC">
        <w:rPr>
          <w:spacing w:val="-6"/>
          <w:sz w:val="24"/>
        </w:rPr>
        <w:t xml:space="preserve"> </w:t>
      </w:r>
      <w:r w:rsidRPr="00150EDC">
        <w:rPr>
          <w:sz w:val="24"/>
        </w:rPr>
        <w:t>Suppliers</w:t>
      </w:r>
      <w:r w:rsidRPr="00150EDC">
        <w:rPr>
          <w:spacing w:val="-4"/>
          <w:sz w:val="24"/>
        </w:rPr>
        <w:t xml:space="preserve"> </w:t>
      </w:r>
      <w:r w:rsidRPr="00150EDC">
        <w:rPr>
          <w:sz w:val="24"/>
        </w:rPr>
        <w:t>undertaking due diligence (the "</w:t>
      </w:r>
      <w:r w:rsidRPr="00150EDC">
        <w:rPr>
          <w:b/>
          <w:sz w:val="24"/>
        </w:rPr>
        <w:t>Exit Information</w:t>
      </w:r>
      <w:r w:rsidRPr="00150EDC">
        <w:rPr>
          <w:sz w:val="24"/>
        </w:rPr>
        <w:t>").</w:t>
      </w:r>
    </w:p>
    <w:p w14:paraId="5FE6C87C" w14:textId="77777777" w:rsidR="004C7180" w:rsidRPr="00150EDC" w:rsidRDefault="00CF0754" w:rsidP="00B320C7">
      <w:pPr>
        <w:pStyle w:val="ListParagraph"/>
        <w:numPr>
          <w:ilvl w:val="1"/>
          <w:numId w:val="39"/>
        </w:numPr>
        <w:tabs>
          <w:tab w:val="left" w:pos="2326"/>
          <w:tab w:val="left" w:pos="2328"/>
        </w:tabs>
        <w:spacing w:before="120"/>
        <w:ind w:right="1927"/>
        <w:rPr>
          <w:sz w:val="24"/>
        </w:rPr>
      </w:pPr>
      <w:r w:rsidRPr="00150EDC">
        <w:rPr>
          <w:sz w:val="24"/>
        </w:rPr>
        <w:t>The Supplier acknowledges that the Buyer may disclose the Supplier's Confidential Information (excluding the Supplier’s or its Subcontractors’ prices</w:t>
      </w:r>
      <w:r w:rsidRPr="00150EDC">
        <w:rPr>
          <w:spacing w:val="-3"/>
          <w:sz w:val="24"/>
        </w:rPr>
        <w:t xml:space="preserve"> </w:t>
      </w:r>
      <w:r w:rsidRPr="00150EDC">
        <w:rPr>
          <w:sz w:val="24"/>
        </w:rPr>
        <w:t>or</w:t>
      </w:r>
      <w:r w:rsidRPr="00150EDC">
        <w:rPr>
          <w:spacing w:val="-4"/>
          <w:sz w:val="24"/>
        </w:rPr>
        <w:t xml:space="preserve"> </w:t>
      </w:r>
      <w:r w:rsidRPr="00150EDC">
        <w:rPr>
          <w:sz w:val="24"/>
        </w:rPr>
        <w:t>costs)</w:t>
      </w:r>
      <w:r w:rsidRPr="00150EDC">
        <w:rPr>
          <w:spacing w:val="-4"/>
          <w:sz w:val="24"/>
        </w:rPr>
        <w:t xml:space="preserve"> </w:t>
      </w:r>
      <w:r w:rsidRPr="00150EDC">
        <w:rPr>
          <w:sz w:val="24"/>
        </w:rPr>
        <w:t>to</w:t>
      </w:r>
      <w:r w:rsidRPr="00150EDC">
        <w:rPr>
          <w:spacing w:val="-2"/>
          <w:sz w:val="24"/>
        </w:rPr>
        <w:t xml:space="preserve"> </w:t>
      </w:r>
      <w:r w:rsidRPr="00150EDC">
        <w:rPr>
          <w:sz w:val="24"/>
        </w:rPr>
        <w:t>an</w:t>
      </w:r>
      <w:r w:rsidRPr="00150EDC">
        <w:rPr>
          <w:spacing w:val="-2"/>
          <w:sz w:val="24"/>
        </w:rPr>
        <w:t xml:space="preserve"> </w:t>
      </w:r>
      <w:r w:rsidRPr="00150EDC">
        <w:rPr>
          <w:sz w:val="24"/>
        </w:rPr>
        <w:t>actual</w:t>
      </w:r>
      <w:r w:rsidRPr="00150EDC">
        <w:rPr>
          <w:spacing w:val="-4"/>
          <w:sz w:val="24"/>
        </w:rPr>
        <w:t xml:space="preserve"> </w:t>
      </w:r>
      <w:r w:rsidRPr="00150EDC">
        <w:rPr>
          <w:sz w:val="24"/>
        </w:rPr>
        <w:t>or</w:t>
      </w:r>
      <w:r w:rsidRPr="00150EDC">
        <w:rPr>
          <w:spacing w:val="-6"/>
          <w:sz w:val="24"/>
        </w:rPr>
        <w:t xml:space="preserve"> </w:t>
      </w:r>
      <w:r w:rsidRPr="00150EDC">
        <w:rPr>
          <w:sz w:val="24"/>
        </w:rPr>
        <w:t>prospective</w:t>
      </w:r>
      <w:r w:rsidRPr="00150EDC">
        <w:rPr>
          <w:spacing w:val="-2"/>
          <w:sz w:val="24"/>
        </w:rPr>
        <w:t xml:space="preserve"> </w:t>
      </w:r>
      <w:r w:rsidRPr="00150EDC">
        <w:rPr>
          <w:sz w:val="24"/>
        </w:rPr>
        <w:t>Replacement</w:t>
      </w:r>
      <w:r w:rsidRPr="00150EDC">
        <w:rPr>
          <w:spacing w:val="-2"/>
          <w:sz w:val="24"/>
        </w:rPr>
        <w:t xml:space="preserve"> </w:t>
      </w:r>
      <w:r w:rsidRPr="00150EDC">
        <w:rPr>
          <w:sz w:val="24"/>
        </w:rPr>
        <w:t>Supplier</w:t>
      </w:r>
      <w:r w:rsidRPr="00150EDC">
        <w:rPr>
          <w:spacing w:val="-4"/>
          <w:sz w:val="24"/>
        </w:rPr>
        <w:t xml:space="preserve"> </w:t>
      </w:r>
      <w:r w:rsidRPr="00150EDC">
        <w:rPr>
          <w:sz w:val="24"/>
        </w:rPr>
        <w:t>to</w:t>
      </w:r>
      <w:r w:rsidRPr="00150EDC">
        <w:rPr>
          <w:spacing w:val="-2"/>
          <w:sz w:val="24"/>
        </w:rPr>
        <w:t xml:space="preserve"> </w:t>
      </w:r>
      <w:r w:rsidRPr="00150EDC">
        <w:rPr>
          <w:sz w:val="24"/>
        </w:rPr>
        <w:t xml:space="preserve">the extent that such disclosure is necessary in connection with such </w:t>
      </w:r>
      <w:r w:rsidRPr="00150EDC">
        <w:rPr>
          <w:spacing w:val="-2"/>
          <w:sz w:val="24"/>
        </w:rPr>
        <w:t>engagement.</w:t>
      </w:r>
    </w:p>
    <w:p w14:paraId="33A63755" w14:textId="77777777" w:rsidR="004C7180" w:rsidRPr="00150EDC" w:rsidRDefault="00CF0754" w:rsidP="00B320C7">
      <w:pPr>
        <w:pStyle w:val="ListParagraph"/>
        <w:numPr>
          <w:ilvl w:val="1"/>
          <w:numId w:val="39"/>
        </w:numPr>
        <w:tabs>
          <w:tab w:val="left" w:pos="2326"/>
          <w:tab w:val="left" w:pos="2328"/>
        </w:tabs>
        <w:spacing w:before="120"/>
        <w:ind w:right="1606"/>
        <w:rPr>
          <w:sz w:val="24"/>
        </w:rPr>
      </w:pPr>
      <w:r w:rsidRPr="00150EDC">
        <w:rPr>
          <w:sz w:val="24"/>
        </w:rPr>
        <w:t>The Supplier shall provide complete updates of the Exit Information on an as-requested</w:t>
      </w:r>
      <w:r w:rsidRPr="00150EDC">
        <w:rPr>
          <w:spacing w:val="-4"/>
          <w:sz w:val="24"/>
        </w:rPr>
        <w:t xml:space="preserve"> </w:t>
      </w:r>
      <w:r w:rsidRPr="00150EDC">
        <w:rPr>
          <w:sz w:val="24"/>
        </w:rPr>
        <w:t>basis</w:t>
      </w:r>
      <w:r w:rsidRPr="00150EDC">
        <w:rPr>
          <w:spacing w:val="-5"/>
          <w:sz w:val="24"/>
        </w:rPr>
        <w:t xml:space="preserve"> </w:t>
      </w:r>
      <w:r w:rsidRPr="00150EDC">
        <w:rPr>
          <w:sz w:val="24"/>
        </w:rPr>
        <w:t>as</w:t>
      </w:r>
      <w:r w:rsidRPr="00150EDC">
        <w:rPr>
          <w:spacing w:val="-5"/>
          <w:sz w:val="24"/>
        </w:rPr>
        <w:t xml:space="preserve"> </w:t>
      </w:r>
      <w:r w:rsidRPr="00150EDC">
        <w:rPr>
          <w:sz w:val="24"/>
        </w:rPr>
        <w:t>soon</w:t>
      </w:r>
      <w:r w:rsidRPr="00150EDC">
        <w:rPr>
          <w:spacing w:val="-4"/>
          <w:sz w:val="24"/>
        </w:rPr>
        <w:t xml:space="preserve"> </w:t>
      </w:r>
      <w:r w:rsidRPr="00150EDC">
        <w:rPr>
          <w:sz w:val="24"/>
        </w:rPr>
        <w:t>as</w:t>
      </w:r>
      <w:r w:rsidRPr="00150EDC">
        <w:rPr>
          <w:spacing w:val="-3"/>
          <w:sz w:val="24"/>
        </w:rPr>
        <w:t xml:space="preserve"> </w:t>
      </w:r>
      <w:r w:rsidRPr="00150EDC">
        <w:rPr>
          <w:sz w:val="24"/>
        </w:rPr>
        <w:t>reasonably</w:t>
      </w:r>
      <w:r w:rsidRPr="00150EDC">
        <w:rPr>
          <w:spacing w:val="-3"/>
          <w:sz w:val="24"/>
        </w:rPr>
        <w:t xml:space="preserve"> </w:t>
      </w:r>
      <w:r w:rsidRPr="00150EDC">
        <w:rPr>
          <w:sz w:val="24"/>
        </w:rPr>
        <w:t>practicable</w:t>
      </w:r>
      <w:r w:rsidRPr="00150EDC">
        <w:rPr>
          <w:spacing w:val="-4"/>
          <w:sz w:val="24"/>
        </w:rPr>
        <w:t xml:space="preserve"> </w:t>
      </w:r>
      <w:r w:rsidRPr="00150EDC">
        <w:rPr>
          <w:sz w:val="24"/>
        </w:rPr>
        <w:t>and</w:t>
      </w:r>
      <w:r w:rsidRPr="00150EDC">
        <w:rPr>
          <w:spacing w:val="-2"/>
          <w:sz w:val="24"/>
        </w:rPr>
        <w:t xml:space="preserve"> </w:t>
      </w:r>
      <w:r w:rsidRPr="00150EDC">
        <w:rPr>
          <w:sz w:val="24"/>
        </w:rPr>
        <w:t>notify</w:t>
      </w:r>
      <w:r w:rsidRPr="00150EDC">
        <w:rPr>
          <w:spacing w:val="-3"/>
          <w:sz w:val="24"/>
        </w:rPr>
        <w:t xml:space="preserve"> </w:t>
      </w:r>
      <w:r w:rsidRPr="00150EDC">
        <w:rPr>
          <w:sz w:val="24"/>
        </w:rPr>
        <w:t>the</w:t>
      </w:r>
      <w:r w:rsidRPr="00150EDC">
        <w:rPr>
          <w:spacing w:val="-4"/>
          <w:sz w:val="24"/>
        </w:rPr>
        <w:t xml:space="preserve"> </w:t>
      </w:r>
      <w:r w:rsidRPr="00150EDC">
        <w:rPr>
          <w:sz w:val="24"/>
        </w:rPr>
        <w:t>Buyer within five (5)</w:t>
      </w:r>
      <w:r w:rsidRPr="00150EDC">
        <w:rPr>
          <w:spacing w:val="-1"/>
          <w:sz w:val="24"/>
        </w:rPr>
        <w:t xml:space="preserve"> </w:t>
      </w:r>
      <w:r w:rsidRPr="00150EDC">
        <w:rPr>
          <w:sz w:val="24"/>
        </w:rPr>
        <w:t>Working</w:t>
      </w:r>
      <w:r w:rsidRPr="00150EDC">
        <w:rPr>
          <w:spacing w:val="-2"/>
          <w:sz w:val="24"/>
        </w:rPr>
        <w:t xml:space="preserve"> </w:t>
      </w:r>
      <w:r w:rsidRPr="00150EDC">
        <w:rPr>
          <w:sz w:val="24"/>
        </w:rPr>
        <w:t>Days of any material change to the Exit Information which may adversely impact upon the provision of any Deliverables (and shall consult the Buyer in relation to any such changes).</w:t>
      </w:r>
    </w:p>
    <w:p w14:paraId="0AA57C24" w14:textId="77777777" w:rsidR="004C7180" w:rsidRPr="00150EDC" w:rsidRDefault="00CF0754" w:rsidP="00B320C7">
      <w:pPr>
        <w:pStyle w:val="ListParagraph"/>
        <w:numPr>
          <w:ilvl w:val="1"/>
          <w:numId w:val="39"/>
        </w:numPr>
        <w:tabs>
          <w:tab w:val="left" w:pos="2326"/>
          <w:tab w:val="left" w:pos="2328"/>
        </w:tabs>
        <w:spacing w:before="118"/>
        <w:ind w:right="1447"/>
        <w:rPr>
          <w:sz w:val="24"/>
        </w:rPr>
      </w:pPr>
      <w:r w:rsidRPr="00150EDC">
        <w:rPr>
          <w:sz w:val="24"/>
        </w:rPr>
        <w:t>The Exit Information shall be accurate and complete in all material respects and</w:t>
      </w:r>
      <w:r w:rsidRPr="00150EDC">
        <w:rPr>
          <w:spacing w:val="-2"/>
          <w:sz w:val="24"/>
        </w:rPr>
        <w:t xml:space="preserve"> </w:t>
      </w:r>
      <w:r w:rsidRPr="00150EDC">
        <w:rPr>
          <w:sz w:val="24"/>
        </w:rPr>
        <w:t>shall</w:t>
      </w:r>
      <w:r w:rsidRPr="00150EDC">
        <w:rPr>
          <w:spacing w:val="-3"/>
          <w:sz w:val="24"/>
        </w:rPr>
        <w:t xml:space="preserve"> </w:t>
      </w:r>
      <w:r w:rsidRPr="00150EDC">
        <w:rPr>
          <w:sz w:val="24"/>
        </w:rPr>
        <w:t>be</w:t>
      </w:r>
      <w:r w:rsidRPr="00150EDC">
        <w:rPr>
          <w:spacing w:val="-2"/>
          <w:sz w:val="24"/>
        </w:rPr>
        <w:t xml:space="preserve"> </w:t>
      </w:r>
      <w:r w:rsidRPr="00150EDC">
        <w:rPr>
          <w:sz w:val="24"/>
        </w:rPr>
        <w:t>sufficient</w:t>
      </w:r>
      <w:r w:rsidRPr="00150EDC">
        <w:rPr>
          <w:spacing w:val="-5"/>
          <w:sz w:val="24"/>
        </w:rPr>
        <w:t xml:space="preserve"> </w:t>
      </w:r>
      <w:r w:rsidRPr="00150EDC">
        <w:rPr>
          <w:sz w:val="24"/>
        </w:rPr>
        <w:t>to</w:t>
      </w:r>
      <w:r w:rsidRPr="00150EDC">
        <w:rPr>
          <w:spacing w:val="-2"/>
          <w:sz w:val="24"/>
        </w:rPr>
        <w:t xml:space="preserve"> </w:t>
      </w:r>
      <w:r w:rsidRPr="00150EDC">
        <w:rPr>
          <w:sz w:val="24"/>
        </w:rPr>
        <w:t>enable</w:t>
      </w:r>
      <w:r w:rsidRPr="00150EDC">
        <w:rPr>
          <w:spacing w:val="-4"/>
          <w:sz w:val="24"/>
        </w:rPr>
        <w:t xml:space="preserve"> </w:t>
      </w:r>
      <w:r w:rsidRPr="00150EDC">
        <w:rPr>
          <w:sz w:val="24"/>
        </w:rPr>
        <w:t>a</w:t>
      </w:r>
      <w:r w:rsidRPr="00150EDC">
        <w:rPr>
          <w:spacing w:val="-2"/>
          <w:sz w:val="24"/>
        </w:rPr>
        <w:t xml:space="preserve"> </w:t>
      </w:r>
      <w:r w:rsidRPr="00150EDC">
        <w:rPr>
          <w:sz w:val="24"/>
        </w:rPr>
        <w:t>third</w:t>
      </w:r>
      <w:r w:rsidRPr="00150EDC">
        <w:rPr>
          <w:spacing w:val="-2"/>
          <w:sz w:val="24"/>
        </w:rPr>
        <w:t xml:space="preserve"> </w:t>
      </w:r>
      <w:r w:rsidRPr="00150EDC">
        <w:rPr>
          <w:sz w:val="24"/>
        </w:rPr>
        <w:t>party</w:t>
      </w:r>
      <w:r w:rsidRPr="00150EDC">
        <w:rPr>
          <w:spacing w:val="-3"/>
          <w:sz w:val="24"/>
        </w:rPr>
        <w:t xml:space="preserve"> </w:t>
      </w:r>
      <w:r w:rsidRPr="00150EDC">
        <w:rPr>
          <w:sz w:val="24"/>
        </w:rPr>
        <w:t>to</w:t>
      </w:r>
      <w:r w:rsidRPr="00150EDC">
        <w:rPr>
          <w:spacing w:val="-2"/>
          <w:sz w:val="24"/>
        </w:rPr>
        <w:t xml:space="preserve"> </w:t>
      </w:r>
      <w:r w:rsidRPr="00150EDC">
        <w:rPr>
          <w:sz w:val="24"/>
        </w:rPr>
        <w:t>prepare</w:t>
      </w:r>
      <w:r w:rsidRPr="00150EDC">
        <w:rPr>
          <w:spacing w:val="-2"/>
          <w:sz w:val="24"/>
        </w:rPr>
        <w:t xml:space="preserve"> </w:t>
      </w:r>
      <w:r w:rsidRPr="00150EDC">
        <w:rPr>
          <w:sz w:val="24"/>
        </w:rPr>
        <w:t>an</w:t>
      </w:r>
      <w:r w:rsidRPr="00150EDC">
        <w:rPr>
          <w:spacing w:val="-2"/>
          <w:sz w:val="24"/>
        </w:rPr>
        <w:t xml:space="preserve"> </w:t>
      </w:r>
      <w:r w:rsidRPr="00150EDC">
        <w:rPr>
          <w:sz w:val="24"/>
        </w:rPr>
        <w:t>informed</w:t>
      </w:r>
      <w:r w:rsidRPr="00150EDC">
        <w:rPr>
          <w:spacing w:val="-4"/>
          <w:sz w:val="24"/>
        </w:rPr>
        <w:t xml:space="preserve"> </w:t>
      </w:r>
      <w:r w:rsidRPr="00150EDC">
        <w:rPr>
          <w:sz w:val="24"/>
        </w:rPr>
        <w:t>offer</w:t>
      </w:r>
      <w:r w:rsidRPr="00150EDC">
        <w:rPr>
          <w:spacing w:val="-4"/>
          <w:sz w:val="24"/>
        </w:rPr>
        <w:t xml:space="preserve"> </w:t>
      </w:r>
      <w:r w:rsidRPr="00150EDC">
        <w:rPr>
          <w:sz w:val="24"/>
        </w:rPr>
        <w:t>for those Deliverables; and not be disadvantaged in any procurement process compared to the Supplier.</w:t>
      </w:r>
    </w:p>
    <w:p w14:paraId="099836C4" w14:textId="77777777" w:rsidR="004C7180" w:rsidRPr="00150EDC" w:rsidRDefault="004C7180">
      <w:pPr>
        <w:pStyle w:val="BodyText"/>
        <w:spacing w:before="10"/>
        <w:rPr>
          <w:sz w:val="20"/>
        </w:rPr>
      </w:pPr>
    </w:p>
    <w:p w14:paraId="2F79ADD5" w14:textId="77777777" w:rsidR="004C7180" w:rsidRPr="00150EDC" w:rsidRDefault="00CF0754" w:rsidP="00B320C7">
      <w:pPr>
        <w:pStyle w:val="Heading4"/>
        <w:numPr>
          <w:ilvl w:val="0"/>
          <w:numId w:val="39"/>
        </w:numPr>
        <w:tabs>
          <w:tab w:val="left" w:pos="2042"/>
        </w:tabs>
        <w:ind w:left="2042" w:hanging="359"/>
      </w:pPr>
      <w:r w:rsidRPr="00150EDC">
        <w:t>Exit</w:t>
      </w:r>
      <w:r w:rsidRPr="00150EDC">
        <w:rPr>
          <w:spacing w:val="-3"/>
        </w:rPr>
        <w:t xml:space="preserve"> </w:t>
      </w:r>
      <w:r w:rsidRPr="00150EDC">
        <w:rPr>
          <w:spacing w:val="-4"/>
        </w:rPr>
        <w:t>Plan</w:t>
      </w:r>
    </w:p>
    <w:p w14:paraId="6A0E99CB" w14:textId="77777777" w:rsidR="004C7180" w:rsidRPr="00150EDC" w:rsidRDefault="004C7180">
      <w:pPr>
        <w:pStyle w:val="BodyText"/>
        <w:spacing w:before="10"/>
        <w:rPr>
          <w:b/>
          <w:sz w:val="20"/>
        </w:rPr>
      </w:pPr>
    </w:p>
    <w:p w14:paraId="4D2F03A5" w14:textId="77777777" w:rsidR="004C7180" w:rsidRPr="00150EDC" w:rsidRDefault="00CF0754" w:rsidP="00B320C7">
      <w:pPr>
        <w:pStyle w:val="ListParagraph"/>
        <w:numPr>
          <w:ilvl w:val="1"/>
          <w:numId w:val="39"/>
        </w:numPr>
        <w:tabs>
          <w:tab w:val="left" w:pos="2326"/>
          <w:tab w:val="left" w:pos="2328"/>
        </w:tabs>
        <w:ind w:right="1435"/>
        <w:rPr>
          <w:sz w:val="24"/>
        </w:rPr>
      </w:pPr>
      <w:r w:rsidRPr="00150EDC">
        <w:rPr>
          <w:sz w:val="24"/>
        </w:rPr>
        <w:t>The</w:t>
      </w:r>
      <w:r w:rsidRPr="00150EDC">
        <w:rPr>
          <w:spacing w:val="-2"/>
          <w:sz w:val="24"/>
        </w:rPr>
        <w:t xml:space="preserve"> </w:t>
      </w:r>
      <w:r w:rsidRPr="00150EDC">
        <w:rPr>
          <w:sz w:val="24"/>
        </w:rPr>
        <w:t>Supplier</w:t>
      </w:r>
      <w:r w:rsidRPr="00150EDC">
        <w:rPr>
          <w:spacing w:val="-4"/>
          <w:sz w:val="24"/>
        </w:rPr>
        <w:t xml:space="preserve"> </w:t>
      </w:r>
      <w:r w:rsidRPr="00150EDC">
        <w:rPr>
          <w:sz w:val="24"/>
        </w:rPr>
        <w:t>shall,</w:t>
      </w:r>
      <w:r w:rsidRPr="00150EDC">
        <w:rPr>
          <w:spacing w:val="-2"/>
          <w:sz w:val="24"/>
        </w:rPr>
        <w:t xml:space="preserve"> </w:t>
      </w:r>
      <w:r w:rsidRPr="00150EDC">
        <w:rPr>
          <w:sz w:val="24"/>
        </w:rPr>
        <w:t>within</w:t>
      </w:r>
      <w:r w:rsidRPr="00150EDC">
        <w:rPr>
          <w:spacing w:val="-2"/>
          <w:sz w:val="24"/>
        </w:rPr>
        <w:t xml:space="preserve"> </w:t>
      </w:r>
      <w:r w:rsidRPr="00150EDC">
        <w:rPr>
          <w:sz w:val="24"/>
        </w:rPr>
        <w:t>three</w:t>
      </w:r>
      <w:r w:rsidRPr="00150EDC">
        <w:rPr>
          <w:spacing w:val="-2"/>
          <w:sz w:val="24"/>
        </w:rPr>
        <w:t xml:space="preserve"> </w:t>
      </w:r>
      <w:r w:rsidRPr="00150EDC">
        <w:rPr>
          <w:sz w:val="24"/>
        </w:rPr>
        <w:t>(3)</w:t>
      </w:r>
      <w:r w:rsidRPr="00150EDC">
        <w:rPr>
          <w:spacing w:val="-4"/>
          <w:sz w:val="24"/>
        </w:rPr>
        <w:t xml:space="preserve"> </w:t>
      </w:r>
      <w:r w:rsidRPr="00150EDC">
        <w:rPr>
          <w:sz w:val="24"/>
        </w:rPr>
        <w:t>Months</w:t>
      </w:r>
      <w:r w:rsidRPr="00150EDC">
        <w:rPr>
          <w:spacing w:val="-5"/>
          <w:sz w:val="24"/>
        </w:rPr>
        <w:t xml:space="preserve"> </w:t>
      </w:r>
      <w:r w:rsidRPr="00150EDC">
        <w:rPr>
          <w:sz w:val="24"/>
        </w:rPr>
        <w:t>after</w:t>
      </w:r>
      <w:r w:rsidRPr="00150EDC">
        <w:rPr>
          <w:spacing w:val="-4"/>
          <w:sz w:val="24"/>
        </w:rPr>
        <w:t xml:space="preserve"> </w:t>
      </w:r>
      <w:r w:rsidRPr="00150EDC">
        <w:rPr>
          <w:sz w:val="24"/>
        </w:rPr>
        <w:t>the</w:t>
      </w:r>
      <w:r w:rsidRPr="00150EDC">
        <w:rPr>
          <w:spacing w:val="-4"/>
          <w:sz w:val="24"/>
        </w:rPr>
        <w:t xml:space="preserve"> </w:t>
      </w:r>
      <w:r w:rsidRPr="00150EDC">
        <w:rPr>
          <w:sz w:val="24"/>
        </w:rPr>
        <w:t>Start</w:t>
      </w:r>
      <w:r w:rsidRPr="00150EDC">
        <w:rPr>
          <w:spacing w:val="-2"/>
          <w:sz w:val="24"/>
        </w:rPr>
        <w:t xml:space="preserve"> </w:t>
      </w:r>
      <w:r w:rsidRPr="00150EDC">
        <w:rPr>
          <w:sz w:val="24"/>
        </w:rPr>
        <w:t>Date,</w:t>
      </w:r>
      <w:r w:rsidRPr="00150EDC">
        <w:rPr>
          <w:spacing w:val="-2"/>
          <w:sz w:val="24"/>
        </w:rPr>
        <w:t xml:space="preserve"> </w:t>
      </w:r>
      <w:r w:rsidRPr="00150EDC">
        <w:rPr>
          <w:sz w:val="24"/>
        </w:rPr>
        <w:t>deliver</w:t>
      </w:r>
      <w:r w:rsidRPr="00150EDC">
        <w:rPr>
          <w:spacing w:val="-4"/>
          <w:sz w:val="24"/>
        </w:rPr>
        <w:t xml:space="preserve"> </w:t>
      </w:r>
      <w:r w:rsidRPr="00150EDC">
        <w:rPr>
          <w:sz w:val="24"/>
        </w:rPr>
        <w:t>to</w:t>
      </w:r>
      <w:r w:rsidRPr="00150EDC">
        <w:rPr>
          <w:spacing w:val="-2"/>
          <w:sz w:val="24"/>
        </w:rPr>
        <w:t xml:space="preserve"> </w:t>
      </w:r>
      <w:r w:rsidRPr="00150EDC">
        <w:rPr>
          <w:sz w:val="24"/>
        </w:rPr>
        <w:t>the Buyer an Exit Plan which complies with the requirements set out in Paragraph 4.3 of this Schedule and is otherwise reasonably satisfactory to the Buyer.</w:t>
      </w:r>
    </w:p>
    <w:p w14:paraId="1FABB74C" w14:textId="77777777" w:rsidR="004C7180" w:rsidRPr="00150EDC" w:rsidRDefault="00CF0754" w:rsidP="00B320C7">
      <w:pPr>
        <w:pStyle w:val="ListParagraph"/>
        <w:numPr>
          <w:ilvl w:val="1"/>
          <w:numId w:val="39"/>
        </w:numPr>
        <w:tabs>
          <w:tab w:val="left" w:pos="2326"/>
          <w:tab w:val="left" w:pos="2328"/>
        </w:tabs>
        <w:spacing w:before="120"/>
        <w:ind w:right="1728"/>
        <w:rPr>
          <w:sz w:val="24"/>
        </w:rPr>
      </w:pPr>
      <w:r w:rsidRPr="00150EDC">
        <w:rPr>
          <w:sz w:val="24"/>
        </w:rPr>
        <w:t>The</w:t>
      </w:r>
      <w:r w:rsidRPr="00150EDC">
        <w:rPr>
          <w:spacing w:val="-2"/>
          <w:sz w:val="24"/>
        </w:rPr>
        <w:t xml:space="preserve"> </w:t>
      </w:r>
      <w:r w:rsidRPr="00150EDC">
        <w:rPr>
          <w:sz w:val="24"/>
        </w:rPr>
        <w:t>Parties</w:t>
      </w:r>
      <w:r w:rsidRPr="00150EDC">
        <w:rPr>
          <w:spacing w:val="-3"/>
          <w:sz w:val="24"/>
        </w:rPr>
        <w:t xml:space="preserve"> </w:t>
      </w:r>
      <w:r w:rsidRPr="00150EDC">
        <w:rPr>
          <w:sz w:val="24"/>
        </w:rPr>
        <w:t>shall</w:t>
      </w:r>
      <w:r w:rsidRPr="00150EDC">
        <w:rPr>
          <w:spacing w:val="-3"/>
          <w:sz w:val="24"/>
        </w:rPr>
        <w:t xml:space="preserve"> </w:t>
      </w:r>
      <w:r w:rsidRPr="00150EDC">
        <w:rPr>
          <w:sz w:val="24"/>
        </w:rPr>
        <w:t>use</w:t>
      </w:r>
      <w:r w:rsidRPr="00150EDC">
        <w:rPr>
          <w:spacing w:val="-2"/>
          <w:sz w:val="24"/>
        </w:rPr>
        <w:t xml:space="preserve"> </w:t>
      </w:r>
      <w:r w:rsidRPr="00150EDC">
        <w:rPr>
          <w:sz w:val="24"/>
        </w:rPr>
        <w:t>reasonable</w:t>
      </w:r>
      <w:r w:rsidRPr="00150EDC">
        <w:rPr>
          <w:spacing w:val="-4"/>
          <w:sz w:val="24"/>
        </w:rPr>
        <w:t xml:space="preserve"> </w:t>
      </w:r>
      <w:r w:rsidRPr="00150EDC">
        <w:rPr>
          <w:sz w:val="24"/>
        </w:rPr>
        <w:t>endeavours</w:t>
      </w:r>
      <w:r w:rsidRPr="00150EDC">
        <w:rPr>
          <w:spacing w:val="-5"/>
          <w:sz w:val="24"/>
        </w:rPr>
        <w:t xml:space="preserve"> </w:t>
      </w:r>
      <w:r w:rsidRPr="00150EDC">
        <w:rPr>
          <w:sz w:val="24"/>
        </w:rPr>
        <w:t>to</w:t>
      </w:r>
      <w:r w:rsidRPr="00150EDC">
        <w:rPr>
          <w:spacing w:val="-2"/>
          <w:sz w:val="24"/>
        </w:rPr>
        <w:t xml:space="preserve"> </w:t>
      </w:r>
      <w:r w:rsidRPr="00150EDC">
        <w:rPr>
          <w:sz w:val="24"/>
        </w:rPr>
        <w:t>agree</w:t>
      </w:r>
      <w:r w:rsidRPr="00150EDC">
        <w:rPr>
          <w:spacing w:val="-4"/>
          <w:sz w:val="24"/>
        </w:rPr>
        <w:t xml:space="preserve"> </w:t>
      </w:r>
      <w:r w:rsidRPr="00150EDC">
        <w:rPr>
          <w:sz w:val="24"/>
        </w:rPr>
        <w:t>the</w:t>
      </w:r>
      <w:r w:rsidRPr="00150EDC">
        <w:rPr>
          <w:spacing w:val="-4"/>
          <w:sz w:val="24"/>
        </w:rPr>
        <w:t xml:space="preserve"> </w:t>
      </w:r>
      <w:r w:rsidRPr="00150EDC">
        <w:rPr>
          <w:sz w:val="24"/>
        </w:rPr>
        <w:t>contents</w:t>
      </w:r>
      <w:r w:rsidRPr="00150EDC">
        <w:rPr>
          <w:spacing w:val="-5"/>
          <w:sz w:val="24"/>
        </w:rPr>
        <w:t xml:space="preserve"> </w:t>
      </w:r>
      <w:r w:rsidRPr="00150EDC">
        <w:rPr>
          <w:sz w:val="24"/>
        </w:rPr>
        <w:t>of</w:t>
      </w:r>
      <w:r w:rsidRPr="00150EDC">
        <w:rPr>
          <w:spacing w:val="-2"/>
          <w:sz w:val="24"/>
        </w:rPr>
        <w:t xml:space="preserve"> </w:t>
      </w:r>
      <w:r w:rsidRPr="00150EDC">
        <w:rPr>
          <w:sz w:val="24"/>
        </w:rPr>
        <w:t>the Exit Plan. If the Parties are unable to agree the contents of the Exit Plan</w:t>
      </w:r>
    </w:p>
    <w:p w14:paraId="19A396BC" w14:textId="77777777" w:rsidR="004C7180" w:rsidRPr="00150EDC" w:rsidRDefault="004C7180">
      <w:pPr>
        <w:rPr>
          <w:sz w:val="24"/>
        </w:rPr>
        <w:sectPr w:rsidR="004C7180" w:rsidRPr="00150EDC">
          <w:pgSz w:w="11910" w:h="16840"/>
          <w:pgMar w:top="1380" w:right="0" w:bottom="1380" w:left="40" w:header="715" w:footer="1192" w:gutter="0"/>
          <w:cols w:space="720"/>
        </w:sectPr>
      </w:pPr>
    </w:p>
    <w:p w14:paraId="33DA5FA6" w14:textId="77777777" w:rsidR="004C7180" w:rsidRPr="00150EDC" w:rsidRDefault="004C7180">
      <w:pPr>
        <w:pStyle w:val="BodyText"/>
        <w:spacing w:before="5"/>
        <w:rPr>
          <w:sz w:val="15"/>
        </w:rPr>
      </w:pPr>
    </w:p>
    <w:p w14:paraId="5B94235E" w14:textId="77777777" w:rsidR="004C7180" w:rsidRPr="00150EDC" w:rsidRDefault="00CF0754">
      <w:pPr>
        <w:pStyle w:val="BodyText"/>
        <w:spacing w:before="92"/>
        <w:ind w:left="2328" w:right="1682"/>
      </w:pPr>
      <w:r w:rsidRPr="00150EDC">
        <w:t>within</w:t>
      </w:r>
      <w:r w:rsidRPr="00150EDC">
        <w:rPr>
          <w:spacing w:val="-2"/>
        </w:rPr>
        <w:t xml:space="preserve"> </w:t>
      </w:r>
      <w:r w:rsidRPr="00150EDC">
        <w:t>twenty</w:t>
      </w:r>
      <w:r w:rsidRPr="00150EDC">
        <w:rPr>
          <w:spacing w:val="-5"/>
        </w:rPr>
        <w:t xml:space="preserve"> </w:t>
      </w:r>
      <w:r w:rsidRPr="00150EDC">
        <w:t>(20)</w:t>
      </w:r>
      <w:r w:rsidRPr="00150EDC">
        <w:rPr>
          <w:spacing w:val="-6"/>
        </w:rPr>
        <w:t xml:space="preserve"> </w:t>
      </w:r>
      <w:r w:rsidRPr="00150EDC">
        <w:t>Working</w:t>
      </w:r>
      <w:r w:rsidRPr="00150EDC">
        <w:rPr>
          <w:spacing w:val="-2"/>
        </w:rPr>
        <w:t xml:space="preserve"> </w:t>
      </w:r>
      <w:r w:rsidRPr="00150EDC">
        <w:t>Days</w:t>
      </w:r>
      <w:r w:rsidRPr="00150EDC">
        <w:rPr>
          <w:spacing w:val="-3"/>
        </w:rPr>
        <w:t xml:space="preserve"> </w:t>
      </w:r>
      <w:r w:rsidRPr="00150EDC">
        <w:t>of</w:t>
      </w:r>
      <w:r w:rsidRPr="00150EDC">
        <w:rPr>
          <w:spacing w:val="-2"/>
        </w:rPr>
        <w:t xml:space="preserve"> </w:t>
      </w:r>
      <w:r w:rsidRPr="00150EDC">
        <w:t>the</w:t>
      </w:r>
      <w:r w:rsidRPr="00150EDC">
        <w:rPr>
          <w:spacing w:val="-2"/>
        </w:rPr>
        <w:t xml:space="preserve"> </w:t>
      </w:r>
      <w:r w:rsidRPr="00150EDC">
        <w:t>latest</w:t>
      </w:r>
      <w:r w:rsidRPr="00150EDC">
        <w:rPr>
          <w:spacing w:val="-5"/>
        </w:rPr>
        <w:t xml:space="preserve"> </w:t>
      </w:r>
      <w:r w:rsidRPr="00150EDC">
        <w:t>date</w:t>
      </w:r>
      <w:r w:rsidRPr="00150EDC">
        <w:rPr>
          <w:spacing w:val="-4"/>
        </w:rPr>
        <w:t xml:space="preserve"> </w:t>
      </w:r>
      <w:r w:rsidRPr="00150EDC">
        <w:t>for</w:t>
      </w:r>
      <w:r w:rsidRPr="00150EDC">
        <w:rPr>
          <w:spacing w:val="-4"/>
        </w:rPr>
        <w:t xml:space="preserve"> </w:t>
      </w:r>
      <w:r w:rsidRPr="00150EDC">
        <w:t>its</w:t>
      </w:r>
      <w:r w:rsidRPr="00150EDC">
        <w:rPr>
          <w:spacing w:val="-3"/>
        </w:rPr>
        <w:t xml:space="preserve"> </w:t>
      </w:r>
      <w:r w:rsidRPr="00150EDC">
        <w:t>submission pursuant to Paragraph 4.1, then such Dispute shall be resolved in accordance with the Dispute Resolution Procedure.</w:t>
      </w:r>
    </w:p>
    <w:p w14:paraId="5D1DB29A" w14:textId="77777777" w:rsidR="004C7180" w:rsidRPr="00150EDC" w:rsidRDefault="00CF0754" w:rsidP="00B320C7">
      <w:pPr>
        <w:pStyle w:val="ListParagraph"/>
        <w:numPr>
          <w:ilvl w:val="1"/>
          <w:numId w:val="39"/>
        </w:numPr>
        <w:tabs>
          <w:tab w:val="left" w:pos="2326"/>
        </w:tabs>
        <w:spacing w:before="120"/>
        <w:ind w:left="2326" w:hanging="358"/>
        <w:rPr>
          <w:sz w:val="24"/>
        </w:rPr>
      </w:pPr>
      <w:r w:rsidRPr="00150EDC">
        <w:rPr>
          <w:sz w:val="24"/>
        </w:rPr>
        <w:t>The Exit</w:t>
      </w:r>
      <w:r w:rsidRPr="00150EDC">
        <w:rPr>
          <w:spacing w:val="-3"/>
          <w:sz w:val="24"/>
        </w:rPr>
        <w:t xml:space="preserve"> </w:t>
      </w:r>
      <w:r w:rsidRPr="00150EDC">
        <w:rPr>
          <w:sz w:val="24"/>
        </w:rPr>
        <w:t>Plan shall</w:t>
      </w:r>
      <w:r w:rsidRPr="00150EDC">
        <w:rPr>
          <w:spacing w:val="-1"/>
          <w:sz w:val="24"/>
        </w:rPr>
        <w:t xml:space="preserve"> </w:t>
      </w:r>
      <w:r w:rsidRPr="00150EDC">
        <w:rPr>
          <w:sz w:val="24"/>
        </w:rPr>
        <w:t>set</w:t>
      </w:r>
      <w:r w:rsidRPr="00150EDC">
        <w:rPr>
          <w:spacing w:val="-3"/>
          <w:sz w:val="24"/>
        </w:rPr>
        <w:t xml:space="preserve"> </w:t>
      </w:r>
      <w:r w:rsidRPr="00150EDC">
        <w:rPr>
          <w:sz w:val="24"/>
        </w:rPr>
        <w:t>out,</w:t>
      </w:r>
      <w:r w:rsidRPr="00150EDC">
        <w:rPr>
          <w:spacing w:val="-3"/>
          <w:sz w:val="24"/>
        </w:rPr>
        <w:t xml:space="preserve"> </w:t>
      </w:r>
      <w:r w:rsidRPr="00150EDC">
        <w:rPr>
          <w:sz w:val="24"/>
        </w:rPr>
        <w:t>as</w:t>
      </w:r>
      <w:r w:rsidRPr="00150EDC">
        <w:rPr>
          <w:spacing w:val="-1"/>
          <w:sz w:val="24"/>
        </w:rPr>
        <w:t xml:space="preserve"> </w:t>
      </w:r>
      <w:r w:rsidRPr="00150EDC">
        <w:rPr>
          <w:sz w:val="24"/>
        </w:rPr>
        <w:t>a</w:t>
      </w:r>
      <w:r w:rsidRPr="00150EDC">
        <w:rPr>
          <w:spacing w:val="-1"/>
          <w:sz w:val="24"/>
        </w:rPr>
        <w:t xml:space="preserve"> </w:t>
      </w:r>
      <w:r w:rsidRPr="00150EDC">
        <w:rPr>
          <w:spacing w:val="-2"/>
          <w:sz w:val="24"/>
        </w:rPr>
        <w:t>minimum:</w:t>
      </w:r>
    </w:p>
    <w:p w14:paraId="57599589" w14:textId="77777777" w:rsidR="004C7180" w:rsidRPr="00150EDC" w:rsidRDefault="00CF0754" w:rsidP="00B320C7">
      <w:pPr>
        <w:pStyle w:val="ListParagraph"/>
        <w:numPr>
          <w:ilvl w:val="2"/>
          <w:numId w:val="39"/>
        </w:numPr>
        <w:tabs>
          <w:tab w:val="left" w:pos="2118"/>
          <w:tab w:val="left" w:pos="2120"/>
        </w:tabs>
        <w:spacing w:before="120"/>
        <w:ind w:right="1602"/>
        <w:rPr>
          <w:sz w:val="24"/>
        </w:rPr>
      </w:pPr>
      <w:r w:rsidRPr="00150EDC">
        <w:rPr>
          <w:sz w:val="24"/>
        </w:rPr>
        <w:t>a</w:t>
      </w:r>
      <w:r w:rsidRPr="00150EDC">
        <w:rPr>
          <w:spacing w:val="-2"/>
          <w:sz w:val="24"/>
        </w:rPr>
        <w:t xml:space="preserve"> </w:t>
      </w:r>
      <w:r w:rsidRPr="00150EDC">
        <w:rPr>
          <w:sz w:val="24"/>
        </w:rPr>
        <w:t>detailed</w:t>
      </w:r>
      <w:r w:rsidRPr="00150EDC">
        <w:rPr>
          <w:spacing w:val="-4"/>
          <w:sz w:val="24"/>
        </w:rPr>
        <w:t xml:space="preserve"> </w:t>
      </w:r>
      <w:r w:rsidRPr="00150EDC">
        <w:rPr>
          <w:sz w:val="24"/>
        </w:rPr>
        <w:t>description</w:t>
      </w:r>
      <w:r w:rsidRPr="00150EDC">
        <w:rPr>
          <w:spacing w:val="-4"/>
          <w:sz w:val="24"/>
        </w:rPr>
        <w:t xml:space="preserve"> </w:t>
      </w:r>
      <w:r w:rsidRPr="00150EDC">
        <w:rPr>
          <w:sz w:val="24"/>
        </w:rPr>
        <w:t>of</w:t>
      </w:r>
      <w:r w:rsidRPr="00150EDC">
        <w:rPr>
          <w:spacing w:val="-2"/>
          <w:sz w:val="24"/>
        </w:rPr>
        <w:t xml:space="preserve"> </w:t>
      </w:r>
      <w:r w:rsidRPr="00150EDC">
        <w:rPr>
          <w:sz w:val="24"/>
        </w:rPr>
        <w:t>both</w:t>
      </w:r>
      <w:r w:rsidRPr="00150EDC">
        <w:rPr>
          <w:spacing w:val="-4"/>
          <w:sz w:val="24"/>
        </w:rPr>
        <w:t xml:space="preserve"> </w:t>
      </w:r>
      <w:r w:rsidRPr="00150EDC">
        <w:rPr>
          <w:sz w:val="24"/>
        </w:rPr>
        <w:t>the</w:t>
      </w:r>
      <w:r w:rsidRPr="00150EDC">
        <w:rPr>
          <w:spacing w:val="-4"/>
          <w:sz w:val="24"/>
        </w:rPr>
        <w:t xml:space="preserve"> </w:t>
      </w:r>
      <w:r w:rsidRPr="00150EDC">
        <w:rPr>
          <w:sz w:val="24"/>
        </w:rPr>
        <w:t>transfer</w:t>
      </w:r>
      <w:r w:rsidRPr="00150EDC">
        <w:rPr>
          <w:spacing w:val="-4"/>
          <w:sz w:val="24"/>
        </w:rPr>
        <w:t xml:space="preserve"> </w:t>
      </w:r>
      <w:r w:rsidRPr="00150EDC">
        <w:rPr>
          <w:sz w:val="24"/>
        </w:rPr>
        <w:t>and</w:t>
      </w:r>
      <w:r w:rsidRPr="00150EDC">
        <w:rPr>
          <w:spacing w:val="-2"/>
          <w:sz w:val="24"/>
        </w:rPr>
        <w:t xml:space="preserve"> </w:t>
      </w:r>
      <w:r w:rsidRPr="00150EDC">
        <w:rPr>
          <w:sz w:val="24"/>
        </w:rPr>
        <w:t>cessation</w:t>
      </w:r>
      <w:r w:rsidRPr="00150EDC">
        <w:rPr>
          <w:spacing w:val="-4"/>
          <w:sz w:val="24"/>
        </w:rPr>
        <w:t xml:space="preserve"> </w:t>
      </w:r>
      <w:r w:rsidRPr="00150EDC">
        <w:rPr>
          <w:sz w:val="24"/>
        </w:rPr>
        <w:t>processes,</w:t>
      </w:r>
      <w:r w:rsidRPr="00150EDC">
        <w:rPr>
          <w:spacing w:val="-5"/>
          <w:sz w:val="24"/>
        </w:rPr>
        <w:t xml:space="preserve"> </w:t>
      </w:r>
      <w:r w:rsidRPr="00150EDC">
        <w:rPr>
          <w:sz w:val="24"/>
        </w:rPr>
        <w:t>including a timetable;</w:t>
      </w:r>
    </w:p>
    <w:p w14:paraId="22CA8F93" w14:textId="77777777" w:rsidR="004C7180" w:rsidRPr="00150EDC" w:rsidRDefault="00CF0754" w:rsidP="00B320C7">
      <w:pPr>
        <w:pStyle w:val="ListParagraph"/>
        <w:numPr>
          <w:ilvl w:val="2"/>
          <w:numId w:val="39"/>
        </w:numPr>
        <w:tabs>
          <w:tab w:val="left" w:pos="2118"/>
          <w:tab w:val="left" w:pos="2120"/>
        </w:tabs>
        <w:spacing w:before="120"/>
        <w:ind w:right="1989"/>
        <w:rPr>
          <w:sz w:val="24"/>
        </w:rPr>
      </w:pPr>
      <w:r w:rsidRPr="00150EDC">
        <w:rPr>
          <w:sz w:val="24"/>
        </w:rPr>
        <w:t>how</w:t>
      </w:r>
      <w:r w:rsidRPr="00150EDC">
        <w:rPr>
          <w:spacing w:val="-2"/>
          <w:sz w:val="24"/>
        </w:rPr>
        <w:t xml:space="preserve"> </w:t>
      </w:r>
      <w:r w:rsidRPr="00150EDC">
        <w:rPr>
          <w:sz w:val="24"/>
        </w:rPr>
        <w:t>the</w:t>
      </w:r>
      <w:r w:rsidRPr="00150EDC">
        <w:rPr>
          <w:spacing w:val="-1"/>
          <w:sz w:val="24"/>
        </w:rPr>
        <w:t xml:space="preserve"> </w:t>
      </w:r>
      <w:r w:rsidRPr="00150EDC">
        <w:rPr>
          <w:sz w:val="24"/>
        </w:rPr>
        <w:t>Deliverables</w:t>
      </w:r>
      <w:r w:rsidRPr="00150EDC">
        <w:rPr>
          <w:spacing w:val="-4"/>
          <w:sz w:val="24"/>
        </w:rPr>
        <w:t xml:space="preserve"> </w:t>
      </w:r>
      <w:r w:rsidRPr="00150EDC">
        <w:rPr>
          <w:sz w:val="24"/>
        </w:rPr>
        <w:t>will</w:t>
      </w:r>
      <w:r w:rsidRPr="00150EDC">
        <w:rPr>
          <w:spacing w:val="-3"/>
          <w:sz w:val="24"/>
        </w:rPr>
        <w:t xml:space="preserve"> </w:t>
      </w:r>
      <w:r w:rsidRPr="00150EDC">
        <w:rPr>
          <w:sz w:val="24"/>
        </w:rPr>
        <w:t>transfer</w:t>
      </w:r>
      <w:r w:rsidRPr="00150EDC">
        <w:rPr>
          <w:spacing w:val="-3"/>
          <w:sz w:val="24"/>
        </w:rPr>
        <w:t xml:space="preserve"> </w:t>
      </w:r>
      <w:r w:rsidRPr="00150EDC">
        <w:rPr>
          <w:sz w:val="24"/>
        </w:rPr>
        <w:t>to</w:t>
      </w:r>
      <w:r w:rsidRPr="00150EDC">
        <w:rPr>
          <w:spacing w:val="-3"/>
          <w:sz w:val="24"/>
        </w:rPr>
        <w:t xml:space="preserve"> </w:t>
      </w:r>
      <w:r w:rsidRPr="00150EDC">
        <w:rPr>
          <w:sz w:val="24"/>
        </w:rPr>
        <w:t>the</w:t>
      </w:r>
      <w:r w:rsidRPr="00150EDC">
        <w:rPr>
          <w:spacing w:val="-3"/>
          <w:sz w:val="24"/>
        </w:rPr>
        <w:t xml:space="preserve"> </w:t>
      </w:r>
      <w:r w:rsidRPr="00150EDC">
        <w:rPr>
          <w:sz w:val="24"/>
        </w:rPr>
        <w:t>Replacement</w:t>
      </w:r>
      <w:r w:rsidRPr="00150EDC">
        <w:rPr>
          <w:spacing w:val="-4"/>
          <w:sz w:val="24"/>
        </w:rPr>
        <w:t xml:space="preserve"> </w:t>
      </w:r>
      <w:r w:rsidRPr="00150EDC">
        <w:rPr>
          <w:sz w:val="24"/>
        </w:rPr>
        <w:t>Supplier</w:t>
      </w:r>
      <w:r w:rsidRPr="00150EDC">
        <w:rPr>
          <w:spacing w:val="-3"/>
          <w:sz w:val="24"/>
        </w:rPr>
        <w:t xml:space="preserve"> </w:t>
      </w:r>
      <w:r w:rsidRPr="00150EDC">
        <w:rPr>
          <w:sz w:val="24"/>
        </w:rPr>
        <w:t>and/or</w:t>
      </w:r>
      <w:r w:rsidRPr="00150EDC">
        <w:rPr>
          <w:spacing w:val="-3"/>
          <w:sz w:val="24"/>
        </w:rPr>
        <w:t xml:space="preserve"> </w:t>
      </w:r>
      <w:r w:rsidRPr="00150EDC">
        <w:rPr>
          <w:sz w:val="24"/>
        </w:rPr>
        <w:t xml:space="preserve">the </w:t>
      </w:r>
      <w:r w:rsidRPr="00150EDC">
        <w:rPr>
          <w:spacing w:val="-2"/>
          <w:sz w:val="24"/>
        </w:rPr>
        <w:t>Buyer;</w:t>
      </w:r>
    </w:p>
    <w:p w14:paraId="4FF2B5F8" w14:textId="77777777" w:rsidR="004C7180" w:rsidRPr="00150EDC" w:rsidRDefault="00CF0754" w:rsidP="00B320C7">
      <w:pPr>
        <w:pStyle w:val="ListParagraph"/>
        <w:numPr>
          <w:ilvl w:val="2"/>
          <w:numId w:val="39"/>
        </w:numPr>
        <w:tabs>
          <w:tab w:val="left" w:pos="2118"/>
          <w:tab w:val="left" w:pos="2120"/>
        </w:tabs>
        <w:spacing w:before="121"/>
        <w:ind w:right="1522"/>
        <w:jc w:val="both"/>
        <w:rPr>
          <w:sz w:val="24"/>
        </w:rPr>
      </w:pPr>
      <w:r w:rsidRPr="00150EDC">
        <w:rPr>
          <w:sz w:val="24"/>
        </w:rPr>
        <w:t>details</w:t>
      </w:r>
      <w:r w:rsidRPr="00150EDC">
        <w:rPr>
          <w:spacing w:val="-4"/>
          <w:sz w:val="24"/>
        </w:rPr>
        <w:t xml:space="preserve"> </w:t>
      </w:r>
      <w:r w:rsidRPr="00150EDC">
        <w:rPr>
          <w:sz w:val="24"/>
        </w:rPr>
        <w:t>of</w:t>
      </w:r>
      <w:r w:rsidRPr="00150EDC">
        <w:rPr>
          <w:spacing w:val="-1"/>
          <w:sz w:val="24"/>
        </w:rPr>
        <w:t xml:space="preserve"> </w:t>
      </w:r>
      <w:r w:rsidRPr="00150EDC">
        <w:rPr>
          <w:sz w:val="24"/>
        </w:rPr>
        <w:t>any</w:t>
      </w:r>
      <w:r w:rsidRPr="00150EDC">
        <w:rPr>
          <w:spacing w:val="-2"/>
          <w:sz w:val="24"/>
        </w:rPr>
        <w:t xml:space="preserve"> </w:t>
      </w:r>
      <w:r w:rsidRPr="00150EDC">
        <w:rPr>
          <w:sz w:val="24"/>
        </w:rPr>
        <w:t>contracts</w:t>
      </w:r>
      <w:r w:rsidRPr="00150EDC">
        <w:rPr>
          <w:spacing w:val="-4"/>
          <w:sz w:val="24"/>
        </w:rPr>
        <w:t xml:space="preserve"> </w:t>
      </w:r>
      <w:r w:rsidRPr="00150EDC">
        <w:rPr>
          <w:sz w:val="24"/>
        </w:rPr>
        <w:t>which</w:t>
      </w:r>
      <w:r w:rsidRPr="00150EDC">
        <w:rPr>
          <w:spacing w:val="-1"/>
          <w:sz w:val="24"/>
        </w:rPr>
        <w:t xml:space="preserve"> </w:t>
      </w:r>
      <w:r w:rsidRPr="00150EDC">
        <w:rPr>
          <w:sz w:val="24"/>
        </w:rPr>
        <w:t>will</w:t>
      </w:r>
      <w:r w:rsidRPr="00150EDC">
        <w:rPr>
          <w:spacing w:val="-2"/>
          <w:sz w:val="24"/>
        </w:rPr>
        <w:t xml:space="preserve"> </w:t>
      </w:r>
      <w:r w:rsidRPr="00150EDC">
        <w:rPr>
          <w:sz w:val="24"/>
        </w:rPr>
        <w:t>be</w:t>
      </w:r>
      <w:r w:rsidRPr="00150EDC">
        <w:rPr>
          <w:spacing w:val="-1"/>
          <w:sz w:val="24"/>
        </w:rPr>
        <w:t xml:space="preserve"> </w:t>
      </w:r>
      <w:r w:rsidRPr="00150EDC">
        <w:rPr>
          <w:sz w:val="24"/>
        </w:rPr>
        <w:t>available</w:t>
      </w:r>
      <w:r w:rsidRPr="00150EDC">
        <w:rPr>
          <w:spacing w:val="-3"/>
          <w:sz w:val="24"/>
        </w:rPr>
        <w:t xml:space="preserve"> </w:t>
      </w:r>
      <w:r w:rsidRPr="00150EDC">
        <w:rPr>
          <w:sz w:val="24"/>
        </w:rPr>
        <w:t>for</w:t>
      </w:r>
      <w:r w:rsidRPr="00150EDC">
        <w:rPr>
          <w:spacing w:val="-3"/>
          <w:sz w:val="24"/>
        </w:rPr>
        <w:t xml:space="preserve"> </w:t>
      </w:r>
      <w:r w:rsidRPr="00150EDC">
        <w:rPr>
          <w:sz w:val="24"/>
        </w:rPr>
        <w:t>transfer</w:t>
      </w:r>
      <w:r w:rsidRPr="00150EDC">
        <w:rPr>
          <w:spacing w:val="-3"/>
          <w:sz w:val="24"/>
        </w:rPr>
        <w:t xml:space="preserve"> </w:t>
      </w:r>
      <w:r w:rsidRPr="00150EDC">
        <w:rPr>
          <w:sz w:val="24"/>
        </w:rPr>
        <w:t>to</w:t>
      </w:r>
      <w:r w:rsidRPr="00150EDC">
        <w:rPr>
          <w:spacing w:val="-3"/>
          <w:sz w:val="24"/>
        </w:rPr>
        <w:t xml:space="preserve"> </w:t>
      </w:r>
      <w:r w:rsidRPr="00150EDC">
        <w:rPr>
          <w:sz w:val="24"/>
        </w:rPr>
        <w:t>the</w:t>
      </w:r>
      <w:r w:rsidRPr="00150EDC">
        <w:rPr>
          <w:spacing w:val="-1"/>
          <w:sz w:val="24"/>
        </w:rPr>
        <w:t xml:space="preserve"> </w:t>
      </w:r>
      <w:r w:rsidRPr="00150EDC">
        <w:rPr>
          <w:sz w:val="24"/>
        </w:rPr>
        <w:t>Buyer</w:t>
      </w:r>
      <w:r w:rsidRPr="00150EDC">
        <w:rPr>
          <w:spacing w:val="-3"/>
          <w:sz w:val="24"/>
        </w:rPr>
        <w:t xml:space="preserve"> </w:t>
      </w:r>
      <w:r w:rsidRPr="00150EDC">
        <w:rPr>
          <w:sz w:val="24"/>
        </w:rPr>
        <w:t>and/or the</w:t>
      </w:r>
      <w:r w:rsidRPr="00150EDC">
        <w:rPr>
          <w:spacing w:val="-3"/>
          <w:sz w:val="24"/>
        </w:rPr>
        <w:t xml:space="preserve"> </w:t>
      </w:r>
      <w:r w:rsidRPr="00150EDC">
        <w:rPr>
          <w:sz w:val="24"/>
        </w:rPr>
        <w:t>Replacement</w:t>
      </w:r>
      <w:r w:rsidRPr="00150EDC">
        <w:rPr>
          <w:spacing w:val="-3"/>
          <w:sz w:val="24"/>
        </w:rPr>
        <w:t xml:space="preserve"> </w:t>
      </w:r>
      <w:r w:rsidRPr="00150EDC">
        <w:rPr>
          <w:sz w:val="24"/>
        </w:rPr>
        <w:t>Supplier</w:t>
      </w:r>
      <w:r w:rsidRPr="00150EDC">
        <w:rPr>
          <w:spacing w:val="-5"/>
          <w:sz w:val="24"/>
        </w:rPr>
        <w:t xml:space="preserve"> </w:t>
      </w:r>
      <w:r w:rsidRPr="00150EDC">
        <w:rPr>
          <w:sz w:val="24"/>
        </w:rPr>
        <w:t>upon</w:t>
      </w:r>
      <w:r w:rsidRPr="00150EDC">
        <w:rPr>
          <w:spacing w:val="-5"/>
          <w:sz w:val="24"/>
        </w:rPr>
        <w:t xml:space="preserve"> </w:t>
      </w:r>
      <w:r w:rsidRPr="00150EDC">
        <w:rPr>
          <w:sz w:val="24"/>
        </w:rPr>
        <w:t>the</w:t>
      </w:r>
      <w:r w:rsidRPr="00150EDC">
        <w:rPr>
          <w:spacing w:val="-3"/>
          <w:sz w:val="24"/>
        </w:rPr>
        <w:t xml:space="preserve"> </w:t>
      </w:r>
      <w:r w:rsidRPr="00150EDC">
        <w:rPr>
          <w:sz w:val="24"/>
        </w:rPr>
        <w:t>Expiry</w:t>
      </w:r>
      <w:r w:rsidRPr="00150EDC">
        <w:rPr>
          <w:spacing w:val="-4"/>
          <w:sz w:val="24"/>
        </w:rPr>
        <w:t xml:space="preserve"> </w:t>
      </w:r>
      <w:r w:rsidRPr="00150EDC">
        <w:rPr>
          <w:sz w:val="24"/>
        </w:rPr>
        <w:t>Date</w:t>
      </w:r>
      <w:r w:rsidRPr="00150EDC">
        <w:rPr>
          <w:spacing w:val="-3"/>
          <w:sz w:val="24"/>
        </w:rPr>
        <w:t xml:space="preserve"> </w:t>
      </w:r>
      <w:r w:rsidRPr="00150EDC">
        <w:rPr>
          <w:sz w:val="24"/>
        </w:rPr>
        <w:t>together</w:t>
      </w:r>
      <w:r w:rsidRPr="00150EDC">
        <w:rPr>
          <w:spacing w:val="-5"/>
          <w:sz w:val="24"/>
        </w:rPr>
        <w:t xml:space="preserve"> </w:t>
      </w:r>
      <w:r w:rsidRPr="00150EDC">
        <w:rPr>
          <w:sz w:val="24"/>
        </w:rPr>
        <w:t>with</w:t>
      </w:r>
      <w:r w:rsidRPr="00150EDC">
        <w:rPr>
          <w:spacing w:val="-5"/>
          <w:sz w:val="24"/>
        </w:rPr>
        <w:t xml:space="preserve"> </w:t>
      </w:r>
      <w:r w:rsidRPr="00150EDC">
        <w:rPr>
          <w:sz w:val="24"/>
        </w:rPr>
        <w:t>any</w:t>
      </w:r>
      <w:r w:rsidRPr="00150EDC">
        <w:rPr>
          <w:spacing w:val="-4"/>
          <w:sz w:val="24"/>
        </w:rPr>
        <w:t xml:space="preserve"> </w:t>
      </w:r>
      <w:r w:rsidRPr="00150EDC">
        <w:rPr>
          <w:sz w:val="24"/>
        </w:rPr>
        <w:t>reasonable costs required to effect such transfer;</w:t>
      </w:r>
    </w:p>
    <w:p w14:paraId="2D3BD472" w14:textId="77777777" w:rsidR="004C7180" w:rsidRPr="00150EDC" w:rsidRDefault="00CF0754" w:rsidP="00B320C7">
      <w:pPr>
        <w:pStyle w:val="ListParagraph"/>
        <w:numPr>
          <w:ilvl w:val="2"/>
          <w:numId w:val="39"/>
        </w:numPr>
        <w:tabs>
          <w:tab w:val="left" w:pos="2118"/>
          <w:tab w:val="left" w:pos="2120"/>
        </w:tabs>
        <w:spacing w:before="120"/>
        <w:ind w:right="1538"/>
        <w:rPr>
          <w:sz w:val="24"/>
        </w:rPr>
      </w:pPr>
      <w:r w:rsidRPr="00150EDC">
        <w:rPr>
          <w:sz w:val="24"/>
        </w:rPr>
        <w:t>proposals</w:t>
      </w:r>
      <w:r w:rsidRPr="00150EDC">
        <w:rPr>
          <w:spacing w:val="-3"/>
          <w:sz w:val="24"/>
        </w:rPr>
        <w:t xml:space="preserve"> </w:t>
      </w:r>
      <w:r w:rsidRPr="00150EDC">
        <w:rPr>
          <w:sz w:val="24"/>
        </w:rPr>
        <w:t>for</w:t>
      </w:r>
      <w:r w:rsidRPr="00150EDC">
        <w:rPr>
          <w:spacing w:val="-4"/>
          <w:sz w:val="24"/>
        </w:rPr>
        <w:t xml:space="preserve"> </w:t>
      </w:r>
      <w:r w:rsidRPr="00150EDC">
        <w:rPr>
          <w:sz w:val="24"/>
        </w:rPr>
        <w:t>the</w:t>
      </w:r>
      <w:r w:rsidRPr="00150EDC">
        <w:rPr>
          <w:spacing w:val="-2"/>
          <w:sz w:val="24"/>
        </w:rPr>
        <w:t xml:space="preserve"> </w:t>
      </w:r>
      <w:r w:rsidRPr="00150EDC">
        <w:rPr>
          <w:sz w:val="24"/>
        </w:rPr>
        <w:t>training</w:t>
      </w:r>
      <w:r w:rsidRPr="00150EDC">
        <w:rPr>
          <w:spacing w:val="-2"/>
          <w:sz w:val="24"/>
        </w:rPr>
        <w:t xml:space="preserve"> </w:t>
      </w:r>
      <w:r w:rsidRPr="00150EDC">
        <w:rPr>
          <w:sz w:val="24"/>
        </w:rPr>
        <w:t>of</w:t>
      </w:r>
      <w:r w:rsidRPr="00150EDC">
        <w:rPr>
          <w:spacing w:val="-2"/>
          <w:sz w:val="24"/>
        </w:rPr>
        <w:t xml:space="preserve"> </w:t>
      </w:r>
      <w:r w:rsidRPr="00150EDC">
        <w:rPr>
          <w:sz w:val="24"/>
        </w:rPr>
        <w:t>key</w:t>
      </w:r>
      <w:r w:rsidRPr="00150EDC">
        <w:rPr>
          <w:spacing w:val="-5"/>
          <w:sz w:val="24"/>
        </w:rPr>
        <w:t xml:space="preserve"> </w:t>
      </w:r>
      <w:r w:rsidRPr="00150EDC">
        <w:rPr>
          <w:sz w:val="24"/>
        </w:rPr>
        <w:t>members</w:t>
      </w:r>
      <w:r w:rsidRPr="00150EDC">
        <w:rPr>
          <w:spacing w:val="-3"/>
          <w:sz w:val="24"/>
        </w:rPr>
        <w:t xml:space="preserve"> </w:t>
      </w:r>
      <w:r w:rsidRPr="00150EDC">
        <w:rPr>
          <w:sz w:val="24"/>
        </w:rPr>
        <w:t>of</w:t>
      </w:r>
      <w:r w:rsidRPr="00150EDC">
        <w:rPr>
          <w:spacing w:val="-5"/>
          <w:sz w:val="24"/>
        </w:rPr>
        <w:t xml:space="preserve"> </w:t>
      </w:r>
      <w:r w:rsidRPr="00150EDC">
        <w:rPr>
          <w:sz w:val="24"/>
        </w:rPr>
        <w:t>the</w:t>
      </w:r>
      <w:r w:rsidRPr="00150EDC">
        <w:rPr>
          <w:spacing w:val="-2"/>
          <w:sz w:val="24"/>
        </w:rPr>
        <w:t xml:space="preserve"> </w:t>
      </w:r>
      <w:r w:rsidRPr="00150EDC">
        <w:rPr>
          <w:sz w:val="24"/>
        </w:rPr>
        <w:t>Replacement</w:t>
      </w:r>
      <w:r w:rsidRPr="00150EDC">
        <w:rPr>
          <w:spacing w:val="-2"/>
          <w:sz w:val="24"/>
        </w:rPr>
        <w:t xml:space="preserve"> </w:t>
      </w:r>
      <w:r w:rsidRPr="00150EDC">
        <w:rPr>
          <w:sz w:val="24"/>
        </w:rPr>
        <w:t>Supplier’s</w:t>
      </w:r>
      <w:r w:rsidRPr="00150EDC">
        <w:rPr>
          <w:spacing w:val="-3"/>
          <w:sz w:val="24"/>
        </w:rPr>
        <w:t xml:space="preserve"> </w:t>
      </w:r>
      <w:r w:rsidRPr="00150EDC">
        <w:rPr>
          <w:sz w:val="24"/>
        </w:rPr>
        <w:t>staff in connection with the continuation of the provision of the Deliverables following the Expiry Date;</w:t>
      </w:r>
    </w:p>
    <w:p w14:paraId="6B51DBB9" w14:textId="77777777" w:rsidR="004C7180" w:rsidRPr="00150EDC" w:rsidRDefault="00CF0754" w:rsidP="00B320C7">
      <w:pPr>
        <w:pStyle w:val="ListParagraph"/>
        <w:numPr>
          <w:ilvl w:val="2"/>
          <w:numId w:val="39"/>
        </w:numPr>
        <w:tabs>
          <w:tab w:val="left" w:pos="2118"/>
          <w:tab w:val="left" w:pos="2120"/>
        </w:tabs>
        <w:spacing w:before="120"/>
        <w:ind w:right="1976"/>
        <w:rPr>
          <w:sz w:val="24"/>
        </w:rPr>
      </w:pPr>
      <w:r w:rsidRPr="00150EDC">
        <w:rPr>
          <w:sz w:val="24"/>
        </w:rPr>
        <w:t>proposals</w:t>
      </w:r>
      <w:r w:rsidRPr="00150EDC">
        <w:rPr>
          <w:spacing w:val="-2"/>
          <w:sz w:val="24"/>
        </w:rPr>
        <w:t xml:space="preserve"> </w:t>
      </w:r>
      <w:r w:rsidRPr="00150EDC">
        <w:rPr>
          <w:sz w:val="24"/>
        </w:rPr>
        <w:t>for</w:t>
      </w:r>
      <w:r w:rsidRPr="00150EDC">
        <w:rPr>
          <w:spacing w:val="-3"/>
          <w:sz w:val="24"/>
        </w:rPr>
        <w:t xml:space="preserve"> </w:t>
      </w:r>
      <w:r w:rsidRPr="00150EDC">
        <w:rPr>
          <w:sz w:val="24"/>
        </w:rPr>
        <w:t>providing</w:t>
      </w:r>
      <w:r w:rsidRPr="00150EDC">
        <w:rPr>
          <w:spacing w:val="-3"/>
          <w:sz w:val="24"/>
        </w:rPr>
        <w:t xml:space="preserve"> </w:t>
      </w:r>
      <w:r w:rsidRPr="00150EDC">
        <w:rPr>
          <w:sz w:val="24"/>
        </w:rPr>
        <w:t>the</w:t>
      </w:r>
      <w:r w:rsidRPr="00150EDC">
        <w:rPr>
          <w:spacing w:val="-3"/>
          <w:sz w:val="24"/>
        </w:rPr>
        <w:t xml:space="preserve"> </w:t>
      </w:r>
      <w:r w:rsidRPr="00150EDC">
        <w:rPr>
          <w:sz w:val="24"/>
        </w:rPr>
        <w:t>Buyer</w:t>
      </w:r>
      <w:r w:rsidRPr="00150EDC">
        <w:rPr>
          <w:spacing w:val="-5"/>
          <w:sz w:val="24"/>
        </w:rPr>
        <w:t xml:space="preserve"> </w:t>
      </w:r>
      <w:r w:rsidRPr="00150EDC">
        <w:rPr>
          <w:sz w:val="24"/>
        </w:rPr>
        <w:t>or</w:t>
      </w:r>
      <w:r w:rsidRPr="00150EDC">
        <w:rPr>
          <w:spacing w:val="-3"/>
          <w:sz w:val="24"/>
        </w:rPr>
        <w:t xml:space="preserve"> </w:t>
      </w:r>
      <w:r w:rsidRPr="00150EDC">
        <w:rPr>
          <w:sz w:val="24"/>
        </w:rPr>
        <w:t>a</w:t>
      </w:r>
      <w:r w:rsidRPr="00150EDC">
        <w:rPr>
          <w:spacing w:val="-1"/>
          <w:sz w:val="24"/>
        </w:rPr>
        <w:t xml:space="preserve"> </w:t>
      </w:r>
      <w:r w:rsidRPr="00150EDC">
        <w:rPr>
          <w:sz w:val="24"/>
        </w:rPr>
        <w:t>Replacement</w:t>
      </w:r>
      <w:r w:rsidRPr="00150EDC">
        <w:rPr>
          <w:spacing w:val="-4"/>
          <w:sz w:val="24"/>
        </w:rPr>
        <w:t xml:space="preserve"> </w:t>
      </w:r>
      <w:r w:rsidRPr="00150EDC">
        <w:rPr>
          <w:sz w:val="24"/>
        </w:rPr>
        <w:t>Supplier</w:t>
      </w:r>
      <w:r w:rsidRPr="00150EDC">
        <w:rPr>
          <w:spacing w:val="-3"/>
          <w:sz w:val="24"/>
        </w:rPr>
        <w:t xml:space="preserve"> </w:t>
      </w:r>
      <w:r w:rsidRPr="00150EDC">
        <w:rPr>
          <w:sz w:val="24"/>
        </w:rPr>
        <w:t>copies</w:t>
      </w:r>
      <w:r w:rsidRPr="00150EDC">
        <w:rPr>
          <w:spacing w:val="-7"/>
          <w:sz w:val="24"/>
        </w:rPr>
        <w:t xml:space="preserve"> </w:t>
      </w:r>
      <w:r w:rsidRPr="00150EDC">
        <w:rPr>
          <w:sz w:val="24"/>
        </w:rPr>
        <w:t>of</w:t>
      </w:r>
      <w:r w:rsidRPr="00150EDC">
        <w:rPr>
          <w:spacing w:val="-1"/>
          <w:sz w:val="24"/>
        </w:rPr>
        <w:t xml:space="preserve"> </w:t>
      </w:r>
      <w:r w:rsidRPr="00150EDC">
        <w:rPr>
          <w:sz w:val="24"/>
        </w:rPr>
        <w:t>all documentation relating to the use and operation of the Deliverables and required for their continued use;</w:t>
      </w:r>
    </w:p>
    <w:p w14:paraId="3E673EE5" w14:textId="77777777" w:rsidR="004C7180" w:rsidRPr="00150EDC" w:rsidRDefault="00CF0754" w:rsidP="00B320C7">
      <w:pPr>
        <w:pStyle w:val="ListParagraph"/>
        <w:numPr>
          <w:ilvl w:val="2"/>
          <w:numId w:val="39"/>
        </w:numPr>
        <w:tabs>
          <w:tab w:val="left" w:pos="2118"/>
          <w:tab w:val="left" w:pos="2120"/>
        </w:tabs>
        <w:spacing w:before="120"/>
        <w:ind w:right="2355"/>
        <w:rPr>
          <w:sz w:val="24"/>
        </w:rPr>
      </w:pPr>
      <w:r w:rsidRPr="00150EDC">
        <w:rPr>
          <w:sz w:val="24"/>
        </w:rPr>
        <w:t>proposals</w:t>
      </w:r>
      <w:r w:rsidRPr="00150EDC">
        <w:rPr>
          <w:spacing w:val="-3"/>
          <w:sz w:val="24"/>
        </w:rPr>
        <w:t xml:space="preserve"> </w:t>
      </w:r>
      <w:r w:rsidRPr="00150EDC">
        <w:rPr>
          <w:sz w:val="24"/>
        </w:rPr>
        <w:t>for</w:t>
      </w:r>
      <w:r w:rsidRPr="00150EDC">
        <w:rPr>
          <w:spacing w:val="-4"/>
          <w:sz w:val="24"/>
        </w:rPr>
        <w:t xml:space="preserve"> </w:t>
      </w:r>
      <w:r w:rsidRPr="00150EDC">
        <w:rPr>
          <w:sz w:val="24"/>
        </w:rPr>
        <w:t>the</w:t>
      </w:r>
      <w:r w:rsidRPr="00150EDC">
        <w:rPr>
          <w:spacing w:val="-4"/>
          <w:sz w:val="24"/>
        </w:rPr>
        <w:t xml:space="preserve"> </w:t>
      </w:r>
      <w:r w:rsidRPr="00150EDC">
        <w:rPr>
          <w:sz w:val="24"/>
        </w:rPr>
        <w:t>assignment</w:t>
      </w:r>
      <w:r w:rsidRPr="00150EDC">
        <w:rPr>
          <w:spacing w:val="-5"/>
          <w:sz w:val="24"/>
        </w:rPr>
        <w:t xml:space="preserve"> </w:t>
      </w:r>
      <w:r w:rsidRPr="00150EDC">
        <w:rPr>
          <w:sz w:val="24"/>
        </w:rPr>
        <w:t>or</w:t>
      </w:r>
      <w:r w:rsidRPr="00150EDC">
        <w:rPr>
          <w:spacing w:val="-4"/>
          <w:sz w:val="24"/>
        </w:rPr>
        <w:t xml:space="preserve"> </w:t>
      </w:r>
      <w:r w:rsidRPr="00150EDC">
        <w:rPr>
          <w:sz w:val="24"/>
        </w:rPr>
        <w:t>novation</w:t>
      </w:r>
      <w:r w:rsidRPr="00150EDC">
        <w:rPr>
          <w:spacing w:val="-4"/>
          <w:sz w:val="24"/>
        </w:rPr>
        <w:t xml:space="preserve"> </w:t>
      </w:r>
      <w:r w:rsidRPr="00150EDC">
        <w:rPr>
          <w:sz w:val="24"/>
        </w:rPr>
        <w:t>of</w:t>
      </w:r>
      <w:r w:rsidRPr="00150EDC">
        <w:rPr>
          <w:spacing w:val="-5"/>
          <w:sz w:val="24"/>
        </w:rPr>
        <w:t xml:space="preserve"> </w:t>
      </w:r>
      <w:r w:rsidRPr="00150EDC">
        <w:rPr>
          <w:sz w:val="24"/>
        </w:rPr>
        <w:t>all</w:t>
      </w:r>
      <w:r w:rsidRPr="00150EDC">
        <w:rPr>
          <w:spacing w:val="-3"/>
          <w:sz w:val="24"/>
        </w:rPr>
        <w:t xml:space="preserve"> </w:t>
      </w:r>
      <w:r w:rsidRPr="00150EDC">
        <w:rPr>
          <w:sz w:val="24"/>
        </w:rPr>
        <w:t>services</w:t>
      </w:r>
      <w:r w:rsidRPr="00150EDC">
        <w:rPr>
          <w:spacing w:val="-3"/>
          <w:sz w:val="24"/>
        </w:rPr>
        <w:t xml:space="preserve"> </w:t>
      </w:r>
      <w:r w:rsidRPr="00150EDC">
        <w:rPr>
          <w:sz w:val="24"/>
        </w:rPr>
        <w:t>utilised</w:t>
      </w:r>
      <w:r w:rsidRPr="00150EDC">
        <w:rPr>
          <w:spacing w:val="-4"/>
          <w:sz w:val="24"/>
        </w:rPr>
        <w:t xml:space="preserve"> </w:t>
      </w:r>
      <w:r w:rsidRPr="00150EDC">
        <w:rPr>
          <w:sz w:val="24"/>
        </w:rPr>
        <w:t>by</w:t>
      </w:r>
      <w:r w:rsidRPr="00150EDC">
        <w:rPr>
          <w:spacing w:val="-3"/>
          <w:sz w:val="24"/>
        </w:rPr>
        <w:t xml:space="preserve"> </w:t>
      </w:r>
      <w:r w:rsidRPr="00150EDC">
        <w:rPr>
          <w:sz w:val="24"/>
        </w:rPr>
        <w:t>the Supplier in connection with the supply of the Deliverables;</w:t>
      </w:r>
    </w:p>
    <w:p w14:paraId="19E4A63E" w14:textId="77777777" w:rsidR="004C7180" w:rsidRPr="00150EDC" w:rsidRDefault="00CF0754" w:rsidP="00B320C7">
      <w:pPr>
        <w:pStyle w:val="ListParagraph"/>
        <w:numPr>
          <w:ilvl w:val="2"/>
          <w:numId w:val="39"/>
        </w:numPr>
        <w:tabs>
          <w:tab w:val="left" w:pos="2118"/>
          <w:tab w:val="left" w:pos="2120"/>
        </w:tabs>
        <w:spacing w:before="120"/>
        <w:ind w:right="2500"/>
        <w:rPr>
          <w:sz w:val="24"/>
        </w:rPr>
      </w:pPr>
      <w:r w:rsidRPr="00150EDC">
        <w:rPr>
          <w:sz w:val="24"/>
        </w:rPr>
        <w:t>proposals</w:t>
      </w:r>
      <w:r w:rsidRPr="00150EDC">
        <w:rPr>
          <w:spacing w:val="-3"/>
          <w:sz w:val="24"/>
        </w:rPr>
        <w:t xml:space="preserve"> </w:t>
      </w:r>
      <w:r w:rsidRPr="00150EDC">
        <w:rPr>
          <w:sz w:val="24"/>
        </w:rPr>
        <w:t>for</w:t>
      </w:r>
      <w:r w:rsidRPr="00150EDC">
        <w:rPr>
          <w:spacing w:val="-4"/>
          <w:sz w:val="24"/>
        </w:rPr>
        <w:t xml:space="preserve"> </w:t>
      </w:r>
      <w:r w:rsidRPr="00150EDC">
        <w:rPr>
          <w:sz w:val="24"/>
        </w:rPr>
        <w:t>the</w:t>
      </w:r>
      <w:r w:rsidRPr="00150EDC">
        <w:rPr>
          <w:spacing w:val="-2"/>
          <w:sz w:val="24"/>
        </w:rPr>
        <w:t xml:space="preserve"> </w:t>
      </w:r>
      <w:r w:rsidRPr="00150EDC">
        <w:rPr>
          <w:sz w:val="24"/>
        </w:rPr>
        <w:t>identification</w:t>
      </w:r>
      <w:r w:rsidRPr="00150EDC">
        <w:rPr>
          <w:spacing w:val="-4"/>
          <w:sz w:val="24"/>
        </w:rPr>
        <w:t xml:space="preserve"> </w:t>
      </w:r>
      <w:r w:rsidRPr="00150EDC">
        <w:rPr>
          <w:sz w:val="24"/>
        </w:rPr>
        <w:t>and</w:t>
      </w:r>
      <w:r w:rsidRPr="00150EDC">
        <w:rPr>
          <w:spacing w:val="-4"/>
          <w:sz w:val="24"/>
        </w:rPr>
        <w:t xml:space="preserve"> </w:t>
      </w:r>
      <w:r w:rsidRPr="00150EDC">
        <w:rPr>
          <w:sz w:val="24"/>
        </w:rPr>
        <w:t>return</w:t>
      </w:r>
      <w:r w:rsidRPr="00150EDC">
        <w:rPr>
          <w:spacing w:val="-4"/>
          <w:sz w:val="24"/>
        </w:rPr>
        <w:t xml:space="preserve"> </w:t>
      </w:r>
      <w:r w:rsidRPr="00150EDC">
        <w:rPr>
          <w:sz w:val="24"/>
        </w:rPr>
        <w:t>of</w:t>
      </w:r>
      <w:r w:rsidRPr="00150EDC">
        <w:rPr>
          <w:spacing w:val="-5"/>
          <w:sz w:val="24"/>
        </w:rPr>
        <w:t xml:space="preserve"> </w:t>
      </w:r>
      <w:r w:rsidRPr="00150EDC">
        <w:rPr>
          <w:sz w:val="24"/>
        </w:rPr>
        <w:t>all</w:t>
      </w:r>
      <w:r w:rsidRPr="00150EDC">
        <w:rPr>
          <w:spacing w:val="-3"/>
          <w:sz w:val="24"/>
        </w:rPr>
        <w:t xml:space="preserve"> </w:t>
      </w:r>
      <w:r w:rsidRPr="00150EDC">
        <w:rPr>
          <w:sz w:val="24"/>
        </w:rPr>
        <w:t>Buyer</w:t>
      </w:r>
      <w:r w:rsidRPr="00150EDC">
        <w:rPr>
          <w:spacing w:val="-4"/>
          <w:sz w:val="24"/>
        </w:rPr>
        <w:t xml:space="preserve"> </w:t>
      </w:r>
      <w:r w:rsidRPr="00150EDC">
        <w:rPr>
          <w:sz w:val="24"/>
        </w:rPr>
        <w:t>Property</w:t>
      </w:r>
      <w:r w:rsidRPr="00150EDC">
        <w:rPr>
          <w:spacing w:val="-3"/>
          <w:sz w:val="24"/>
        </w:rPr>
        <w:t xml:space="preserve"> </w:t>
      </w:r>
      <w:r w:rsidRPr="00150EDC">
        <w:rPr>
          <w:sz w:val="24"/>
        </w:rPr>
        <w:t>in</w:t>
      </w:r>
      <w:r w:rsidRPr="00150EDC">
        <w:rPr>
          <w:spacing w:val="-4"/>
          <w:sz w:val="24"/>
        </w:rPr>
        <w:t xml:space="preserve"> </w:t>
      </w:r>
      <w:r w:rsidRPr="00150EDC">
        <w:rPr>
          <w:sz w:val="24"/>
        </w:rPr>
        <w:t>the possession of and/or control of the Supplier or any third party;</w:t>
      </w:r>
    </w:p>
    <w:p w14:paraId="73CA6433" w14:textId="77777777" w:rsidR="004C7180" w:rsidRPr="00150EDC" w:rsidRDefault="00CF0754" w:rsidP="00B320C7">
      <w:pPr>
        <w:pStyle w:val="ListParagraph"/>
        <w:numPr>
          <w:ilvl w:val="2"/>
          <w:numId w:val="39"/>
        </w:numPr>
        <w:tabs>
          <w:tab w:val="left" w:pos="2118"/>
        </w:tabs>
        <w:spacing w:before="120"/>
        <w:ind w:left="2118" w:hanging="718"/>
        <w:rPr>
          <w:sz w:val="24"/>
        </w:rPr>
      </w:pPr>
      <w:r w:rsidRPr="00150EDC">
        <w:rPr>
          <w:sz w:val="24"/>
        </w:rPr>
        <w:t>proposals</w:t>
      </w:r>
      <w:r w:rsidRPr="00150EDC">
        <w:rPr>
          <w:spacing w:val="-5"/>
          <w:sz w:val="24"/>
        </w:rPr>
        <w:t xml:space="preserve"> </w:t>
      </w:r>
      <w:r w:rsidRPr="00150EDC">
        <w:rPr>
          <w:sz w:val="24"/>
        </w:rPr>
        <w:t>for</w:t>
      </w:r>
      <w:r w:rsidRPr="00150EDC">
        <w:rPr>
          <w:spacing w:val="-4"/>
          <w:sz w:val="24"/>
        </w:rPr>
        <w:t xml:space="preserve"> </w:t>
      </w:r>
      <w:r w:rsidRPr="00150EDC">
        <w:rPr>
          <w:sz w:val="24"/>
        </w:rPr>
        <w:t>the</w:t>
      </w:r>
      <w:r w:rsidRPr="00150EDC">
        <w:rPr>
          <w:spacing w:val="-3"/>
          <w:sz w:val="24"/>
        </w:rPr>
        <w:t xml:space="preserve"> </w:t>
      </w:r>
      <w:r w:rsidRPr="00150EDC">
        <w:rPr>
          <w:sz w:val="24"/>
        </w:rPr>
        <w:t>disposal</w:t>
      </w:r>
      <w:r w:rsidRPr="00150EDC">
        <w:rPr>
          <w:spacing w:val="-3"/>
          <w:sz w:val="24"/>
        </w:rPr>
        <w:t xml:space="preserve"> </w:t>
      </w:r>
      <w:r w:rsidRPr="00150EDC">
        <w:rPr>
          <w:sz w:val="24"/>
        </w:rPr>
        <w:t>of</w:t>
      </w:r>
      <w:r w:rsidRPr="00150EDC">
        <w:rPr>
          <w:spacing w:val="-4"/>
          <w:sz w:val="24"/>
        </w:rPr>
        <w:t xml:space="preserve"> </w:t>
      </w:r>
      <w:r w:rsidRPr="00150EDC">
        <w:rPr>
          <w:sz w:val="24"/>
        </w:rPr>
        <w:t>any</w:t>
      </w:r>
      <w:r w:rsidRPr="00150EDC">
        <w:rPr>
          <w:spacing w:val="-3"/>
          <w:sz w:val="24"/>
        </w:rPr>
        <w:t xml:space="preserve"> </w:t>
      </w:r>
      <w:r w:rsidRPr="00150EDC">
        <w:rPr>
          <w:sz w:val="24"/>
        </w:rPr>
        <w:t>redundant</w:t>
      </w:r>
      <w:r w:rsidRPr="00150EDC">
        <w:rPr>
          <w:spacing w:val="-1"/>
          <w:sz w:val="24"/>
        </w:rPr>
        <w:t xml:space="preserve"> </w:t>
      </w:r>
      <w:r w:rsidRPr="00150EDC">
        <w:rPr>
          <w:sz w:val="24"/>
        </w:rPr>
        <w:t>Deliverables</w:t>
      </w:r>
      <w:r w:rsidRPr="00150EDC">
        <w:rPr>
          <w:spacing w:val="-5"/>
          <w:sz w:val="24"/>
        </w:rPr>
        <w:t xml:space="preserve"> </w:t>
      </w:r>
      <w:r w:rsidRPr="00150EDC">
        <w:rPr>
          <w:sz w:val="24"/>
        </w:rPr>
        <w:t>and</w:t>
      </w:r>
      <w:r w:rsidRPr="00150EDC">
        <w:rPr>
          <w:spacing w:val="-3"/>
          <w:sz w:val="24"/>
        </w:rPr>
        <w:t xml:space="preserve"> </w:t>
      </w:r>
      <w:r w:rsidRPr="00150EDC">
        <w:rPr>
          <w:spacing w:val="-2"/>
          <w:sz w:val="24"/>
        </w:rPr>
        <w:t>materials;</w:t>
      </w:r>
    </w:p>
    <w:p w14:paraId="3672E3E7" w14:textId="77777777" w:rsidR="004C7180" w:rsidRPr="00150EDC" w:rsidRDefault="00CF0754" w:rsidP="00B320C7">
      <w:pPr>
        <w:pStyle w:val="ListParagraph"/>
        <w:numPr>
          <w:ilvl w:val="2"/>
          <w:numId w:val="39"/>
        </w:numPr>
        <w:tabs>
          <w:tab w:val="left" w:pos="2118"/>
          <w:tab w:val="left" w:pos="2120"/>
        </w:tabs>
        <w:spacing w:before="120"/>
        <w:ind w:right="1443"/>
        <w:rPr>
          <w:sz w:val="24"/>
        </w:rPr>
      </w:pPr>
      <w:r w:rsidRPr="00150EDC">
        <w:rPr>
          <w:sz w:val="24"/>
        </w:rPr>
        <w:t>how</w:t>
      </w:r>
      <w:r w:rsidRPr="00150EDC">
        <w:rPr>
          <w:spacing w:val="-3"/>
          <w:sz w:val="24"/>
        </w:rPr>
        <w:t xml:space="preserve"> </w:t>
      </w:r>
      <w:r w:rsidRPr="00150EDC">
        <w:rPr>
          <w:sz w:val="24"/>
        </w:rPr>
        <w:t>the</w:t>
      </w:r>
      <w:r w:rsidRPr="00150EDC">
        <w:rPr>
          <w:spacing w:val="-2"/>
          <w:sz w:val="24"/>
        </w:rPr>
        <w:t xml:space="preserve"> </w:t>
      </w:r>
      <w:r w:rsidRPr="00150EDC">
        <w:rPr>
          <w:sz w:val="24"/>
        </w:rPr>
        <w:t>Supplier</w:t>
      </w:r>
      <w:r w:rsidRPr="00150EDC">
        <w:rPr>
          <w:spacing w:val="-4"/>
          <w:sz w:val="24"/>
        </w:rPr>
        <w:t xml:space="preserve"> </w:t>
      </w:r>
      <w:r w:rsidRPr="00150EDC">
        <w:rPr>
          <w:sz w:val="24"/>
        </w:rPr>
        <w:t>will</w:t>
      </w:r>
      <w:r w:rsidRPr="00150EDC">
        <w:rPr>
          <w:spacing w:val="-3"/>
          <w:sz w:val="24"/>
        </w:rPr>
        <w:t xml:space="preserve"> </w:t>
      </w:r>
      <w:r w:rsidRPr="00150EDC">
        <w:rPr>
          <w:sz w:val="24"/>
        </w:rPr>
        <w:t>ensure</w:t>
      </w:r>
      <w:r w:rsidRPr="00150EDC">
        <w:rPr>
          <w:spacing w:val="-2"/>
          <w:sz w:val="24"/>
        </w:rPr>
        <w:t xml:space="preserve"> </w:t>
      </w:r>
      <w:r w:rsidRPr="00150EDC">
        <w:rPr>
          <w:sz w:val="24"/>
        </w:rPr>
        <w:t>that</w:t>
      </w:r>
      <w:r w:rsidRPr="00150EDC">
        <w:rPr>
          <w:spacing w:val="-5"/>
          <w:sz w:val="24"/>
        </w:rPr>
        <w:t xml:space="preserve"> </w:t>
      </w:r>
      <w:r w:rsidRPr="00150EDC">
        <w:rPr>
          <w:sz w:val="24"/>
        </w:rPr>
        <w:t>there</w:t>
      </w:r>
      <w:r w:rsidRPr="00150EDC">
        <w:rPr>
          <w:spacing w:val="-2"/>
          <w:sz w:val="24"/>
        </w:rPr>
        <w:t xml:space="preserve"> </w:t>
      </w:r>
      <w:r w:rsidRPr="00150EDC">
        <w:rPr>
          <w:sz w:val="24"/>
        </w:rPr>
        <w:t>is</w:t>
      </w:r>
      <w:r w:rsidRPr="00150EDC">
        <w:rPr>
          <w:spacing w:val="-3"/>
          <w:sz w:val="24"/>
        </w:rPr>
        <w:t xml:space="preserve"> </w:t>
      </w:r>
      <w:r w:rsidRPr="00150EDC">
        <w:rPr>
          <w:sz w:val="24"/>
        </w:rPr>
        <w:t>no</w:t>
      </w:r>
      <w:r w:rsidRPr="00150EDC">
        <w:rPr>
          <w:spacing w:val="-4"/>
          <w:sz w:val="24"/>
        </w:rPr>
        <w:t xml:space="preserve"> </w:t>
      </w:r>
      <w:r w:rsidRPr="00150EDC">
        <w:rPr>
          <w:sz w:val="24"/>
        </w:rPr>
        <w:t>disruption</w:t>
      </w:r>
      <w:r w:rsidRPr="00150EDC">
        <w:rPr>
          <w:spacing w:val="-2"/>
          <w:sz w:val="24"/>
        </w:rPr>
        <w:t xml:space="preserve"> </w:t>
      </w:r>
      <w:r w:rsidRPr="00150EDC">
        <w:rPr>
          <w:sz w:val="24"/>
        </w:rPr>
        <w:t>to</w:t>
      </w:r>
      <w:r w:rsidRPr="00150EDC">
        <w:rPr>
          <w:spacing w:val="-2"/>
          <w:sz w:val="24"/>
        </w:rPr>
        <w:t xml:space="preserve"> </w:t>
      </w:r>
      <w:r w:rsidRPr="00150EDC">
        <w:rPr>
          <w:sz w:val="24"/>
        </w:rPr>
        <w:t>or</w:t>
      </w:r>
      <w:r w:rsidRPr="00150EDC">
        <w:rPr>
          <w:spacing w:val="-6"/>
          <w:sz w:val="24"/>
        </w:rPr>
        <w:t xml:space="preserve"> </w:t>
      </w:r>
      <w:r w:rsidRPr="00150EDC">
        <w:rPr>
          <w:sz w:val="24"/>
        </w:rPr>
        <w:t>degradation</w:t>
      </w:r>
      <w:r w:rsidRPr="00150EDC">
        <w:rPr>
          <w:spacing w:val="-2"/>
          <w:sz w:val="24"/>
        </w:rPr>
        <w:t xml:space="preserve"> </w:t>
      </w:r>
      <w:r w:rsidRPr="00150EDC">
        <w:rPr>
          <w:sz w:val="24"/>
        </w:rPr>
        <w:t>of</w:t>
      </w:r>
      <w:r w:rsidRPr="00150EDC">
        <w:rPr>
          <w:spacing w:val="-2"/>
          <w:sz w:val="24"/>
        </w:rPr>
        <w:t xml:space="preserve"> </w:t>
      </w:r>
      <w:r w:rsidRPr="00150EDC">
        <w:rPr>
          <w:sz w:val="24"/>
        </w:rPr>
        <w:t>the Deliverables during the Termination Assistance Period; and</w:t>
      </w:r>
    </w:p>
    <w:p w14:paraId="709DD3A1" w14:textId="77777777" w:rsidR="004C7180" w:rsidRPr="00150EDC" w:rsidRDefault="00CF0754" w:rsidP="00B320C7">
      <w:pPr>
        <w:pStyle w:val="ListParagraph"/>
        <w:numPr>
          <w:ilvl w:val="2"/>
          <w:numId w:val="39"/>
        </w:numPr>
        <w:tabs>
          <w:tab w:val="left" w:pos="2117"/>
          <w:tab w:val="left" w:pos="2120"/>
        </w:tabs>
        <w:spacing w:before="120"/>
        <w:ind w:right="1923"/>
        <w:rPr>
          <w:sz w:val="24"/>
        </w:rPr>
      </w:pPr>
      <w:r w:rsidRPr="00150EDC">
        <w:rPr>
          <w:sz w:val="24"/>
        </w:rPr>
        <w:t>any</w:t>
      </w:r>
      <w:r w:rsidRPr="00150EDC">
        <w:rPr>
          <w:spacing w:val="-2"/>
          <w:sz w:val="24"/>
        </w:rPr>
        <w:t xml:space="preserve"> </w:t>
      </w:r>
      <w:r w:rsidRPr="00150EDC">
        <w:rPr>
          <w:sz w:val="24"/>
        </w:rPr>
        <w:t>other</w:t>
      </w:r>
      <w:r w:rsidRPr="00150EDC">
        <w:rPr>
          <w:spacing w:val="-3"/>
          <w:sz w:val="24"/>
        </w:rPr>
        <w:t xml:space="preserve"> </w:t>
      </w:r>
      <w:r w:rsidRPr="00150EDC">
        <w:rPr>
          <w:sz w:val="24"/>
        </w:rPr>
        <w:t>information</w:t>
      </w:r>
      <w:r w:rsidRPr="00150EDC">
        <w:rPr>
          <w:spacing w:val="-2"/>
          <w:sz w:val="24"/>
        </w:rPr>
        <w:t xml:space="preserve"> </w:t>
      </w:r>
      <w:r w:rsidRPr="00150EDC">
        <w:rPr>
          <w:sz w:val="24"/>
        </w:rPr>
        <w:t>or</w:t>
      </w:r>
      <w:r w:rsidRPr="00150EDC">
        <w:rPr>
          <w:spacing w:val="-3"/>
          <w:sz w:val="24"/>
        </w:rPr>
        <w:t xml:space="preserve"> </w:t>
      </w:r>
      <w:r w:rsidRPr="00150EDC">
        <w:rPr>
          <w:sz w:val="24"/>
        </w:rPr>
        <w:t>assistance</w:t>
      </w:r>
      <w:r w:rsidRPr="00150EDC">
        <w:rPr>
          <w:spacing w:val="-3"/>
          <w:sz w:val="24"/>
        </w:rPr>
        <w:t xml:space="preserve"> </w:t>
      </w:r>
      <w:r w:rsidRPr="00150EDC">
        <w:rPr>
          <w:sz w:val="24"/>
        </w:rPr>
        <w:t>reasonably</w:t>
      </w:r>
      <w:r w:rsidRPr="00150EDC">
        <w:rPr>
          <w:spacing w:val="-2"/>
          <w:sz w:val="24"/>
        </w:rPr>
        <w:t xml:space="preserve"> </w:t>
      </w:r>
      <w:r w:rsidRPr="00150EDC">
        <w:rPr>
          <w:sz w:val="24"/>
        </w:rPr>
        <w:t>required</w:t>
      </w:r>
      <w:r w:rsidRPr="00150EDC">
        <w:rPr>
          <w:spacing w:val="-3"/>
          <w:sz w:val="24"/>
        </w:rPr>
        <w:t xml:space="preserve"> </w:t>
      </w:r>
      <w:r w:rsidRPr="00150EDC">
        <w:rPr>
          <w:sz w:val="24"/>
        </w:rPr>
        <w:t>by</w:t>
      </w:r>
      <w:r w:rsidRPr="00150EDC">
        <w:rPr>
          <w:spacing w:val="-2"/>
          <w:sz w:val="24"/>
        </w:rPr>
        <w:t xml:space="preserve"> </w:t>
      </w:r>
      <w:r w:rsidRPr="00150EDC">
        <w:rPr>
          <w:sz w:val="24"/>
        </w:rPr>
        <w:t>the</w:t>
      </w:r>
      <w:r w:rsidRPr="00150EDC">
        <w:rPr>
          <w:spacing w:val="-3"/>
          <w:sz w:val="24"/>
        </w:rPr>
        <w:t xml:space="preserve"> </w:t>
      </w:r>
      <w:r w:rsidRPr="00150EDC">
        <w:rPr>
          <w:sz w:val="24"/>
        </w:rPr>
        <w:t>Buyer</w:t>
      </w:r>
      <w:r w:rsidRPr="00150EDC">
        <w:rPr>
          <w:spacing w:val="-3"/>
          <w:sz w:val="24"/>
        </w:rPr>
        <w:t xml:space="preserve"> </w:t>
      </w:r>
      <w:r w:rsidRPr="00150EDC">
        <w:rPr>
          <w:sz w:val="24"/>
        </w:rPr>
        <w:t>or</w:t>
      </w:r>
      <w:r w:rsidRPr="00150EDC">
        <w:rPr>
          <w:spacing w:val="-3"/>
          <w:sz w:val="24"/>
        </w:rPr>
        <w:t xml:space="preserve"> </w:t>
      </w:r>
      <w:r w:rsidRPr="00150EDC">
        <w:rPr>
          <w:sz w:val="24"/>
        </w:rPr>
        <w:t>a Replacement Supplier.</w:t>
      </w:r>
    </w:p>
    <w:p w14:paraId="71CCC8F6" w14:textId="77777777" w:rsidR="004C7180" w:rsidRPr="00150EDC" w:rsidRDefault="00CF0754" w:rsidP="00B320C7">
      <w:pPr>
        <w:pStyle w:val="ListParagraph"/>
        <w:numPr>
          <w:ilvl w:val="1"/>
          <w:numId w:val="39"/>
        </w:numPr>
        <w:tabs>
          <w:tab w:val="left" w:pos="2326"/>
        </w:tabs>
        <w:spacing w:before="120"/>
        <w:ind w:left="2326" w:hanging="358"/>
        <w:rPr>
          <w:sz w:val="24"/>
        </w:rPr>
      </w:pPr>
      <w:r w:rsidRPr="00150EDC">
        <w:rPr>
          <w:sz w:val="24"/>
        </w:rPr>
        <w:t>The</w:t>
      </w:r>
      <w:r w:rsidRPr="00150EDC">
        <w:rPr>
          <w:spacing w:val="-2"/>
          <w:sz w:val="24"/>
        </w:rPr>
        <w:t xml:space="preserve"> </w:t>
      </w:r>
      <w:r w:rsidRPr="00150EDC">
        <w:rPr>
          <w:sz w:val="24"/>
        </w:rPr>
        <w:t>Supplier</w:t>
      </w:r>
      <w:r w:rsidRPr="00150EDC">
        <w:rPr>
          <w:spacing w:val="-3"/>
          <w:sz w:val="24"/>
        </w:rPr>
        <w:t xml:space="preserve"> </w:t>
      </w:r>
      <w:r w:rsidRPr="00150EDC">
        <w:rPr>
          <w:spacing w:val="-2"/>
          <w:sz w:val="24"/>
        </w:rPr>
        <w:t>shall:</w:t>
      </w:r>
    </w:p>
    <w:p w14:paraId="584680C6" w14:textId="77777777" w:rsidR="004C7180" w:rsidRPr="00150EDC" w:rsidRDefault="00CF0754" w:rsidP="00B320C7">
      <w:pPr>
        <w:pStyle w:val="ListParagraph"/>
        <w:numPr>
          <w:ilvl w:val="2"/>
          <w:numId w:val="39"/>
        </w:numPr>
        <w:tabs>
          <w:tab w:val="left" w:pos="2118"/>
          <w:tab w:val="left" w:pos="2120"/>
        </w:tabs>
        <w:spacing w:before="120"/>
        <w:ind w:right="2272"/>
        <w:rPr>
          <w:sz w:val="24"/>
        </w:rPr>
      </w:pPr>
      <w:r w:rsidRPr="00150EDC">
        <w:rPr>
          <w:sz w:val="24"/>
        </w:rPr>
        <w:t>maintain</w:t>
      </w:r>
      <w:r w:rsidRPr="00150EDC">
        <w:rPr>
          <w:spacing w:val="-4"/>
          <w:sz w:val="24"/>
        </w:rPr>
        <w:t xml:space="preserve"> </w:t>
      </w:r>
      <w:r w:rsidRPr="00150EDC">
        <w:rPr>
          <w:sz w:val="24"/>
        </w:rPr>
        <w:t>and</w:t>
      </w:r>
      <w:r w:rsidRPr="00150EDC">
        <w:rPr>
          <w:spacing w:val="-4"/>
          <w:sz w:val="24"/>
        </w:rPr>
        <w:t xml:space="preserve"> </w:t>
      </w:r>
      <w:r w:rsidRPr="00150EDC">
        <w:rPr>
          <w:sz w:val="24"/>
        </w:rPr>
        <w:t>update</w:t>
      </w:r>
      <w:r w:rsidRPr="00150EDC">
        <w:rPr>
          <w:spacing w:val="-2"/>
          <w:sz w:val="24"/>
        </w:rPr>
        <w:t xml:space="preserve"> </w:t>
      </w:r>
      <w:r w:rsidRPr="00150EDC">
        <w:rPr>
          <w:sz w:val="24"/>
        </w:rPr>
        <w:t>the</w:t>
      </w:r>
      <w:r w:rsidRPr="00150EDC">
        <w:rPr>
          <w:spacing w:val="-2"/>
          <w:sz w:val="24"/>
        </w:rPr>
        <w:t xml:space="preserve"> </w:t>
      </w:r>
      <w:r w:rsidRPr="00150EDC">
        <w:rPr>
          <w:sz w:val="24"/>
        </w:rPr>
        <w:t>Exit</w:t>
      </w:r>
      <w:r w:rsidRPr="00150EDC">
        <w:rPr>
          <w:spacing w:val="-2"/>
          <w:sz w:val="24"/>
        </w:rPr>
        <w:t xml:space="preserve"> </w:t>
      </w:r>
      <w:r w:rsidRPr="00150EDC">
        <w:rPr>
          <w:sz w:val="24"/>
        </w:rPr>
        <w:t>Plan</w:t>
      </w:r>
      <w:r w:rsidRPr="00150EDC">
        <w:rPr>
          <w:spacing w:val="-2"/>
          <w:sz w:val="24"/>
        </w:rPr>
        <w:t xml:space="preserve"> </w:t>
      </w:r>
      <w:r w:rsidRPr="00150EDC">
        <w:rPr>
          <w:sz w:val="24"/>
        </w:rPr>
        <w:t>(and</w:t>
      </w:r>
      <w:r w:rsidRPr="00150EDC">
        <w:rPr>
          <w:spacing w:val="-2"/>
          <w:sz w:val="24"/>
        </w:rPr>
        <w:t xml:space="preserve"> </w:t>
      </w:r>
      <w:r w:rsidRPr="00150EDC">
        <w:rPr>
          <w:sz w:val="24"/>
        </w:rPr>
        <w:t>risk</w:t>
      </w:r>
      <w:r w:rsidRPr="00150EDC">
        <w:rPr>
          <w:spacing w:val="-5"/>
          <w:sz w:val="24"/>
        </w:rPr>
        <w:t xml:space="preserve"> </w:t>
      </w:r>
      <w:r w:rsidRPr="00150EDC">
        <w:rPr>
          <w:sz w:val="24"/>
        </w:rPr>
        <w:t>management</w:t>
      </w:r>
      <w:r w:rsidRPr="00150EDC">
        <w:rPr>
          <w:spacing w:val="-2"/>
          <w:sz w:val="24"/>
        </w:rPr>
        <w:t xml:space="preserve"> </w:t>
      </w:r>
      <w:r w:rsidRPr="00150EDC">
        <w:rPr>
          <w:sz w:val="24"/>
        </w:rPr>
        <w:t>plan)</w:t>
      </w:r>
      <w:r w:rsidRPr="00150EDC">
        <w:rPr>
          <w:spacing w:val="-4"/>
          <w:sz w:val="24"/>
        </w:rPr>
        <w:t xml:space="preserve"> </w:t>
      </w:r>
      <w:r w:rsidRPr="00150EDC">
        <w:rPr>
          <w:sz w:val="24"/>
        </w:rPr>
        <w:t>no</w:t>
      </w:r>
      <w:r w:rsidRPr="00150EDC">
        <w:rPr>
          <w:spacing w:val="-4"/>
          <w:sz w:val="24"/>
        </w:rPr>
        <w:t xml:space="preserve"> </w:t>
      </w:r>
      <w:r w:rsidRPr="00150EDC">
        <w:rPr>
          <w:sz w:val="24"/>
        </w:rPr>
        <w:t>less frequently than:</w:t>
      </w:r>
    </w:p>
    <w:p w14:paraId="23C70C11" w14:textId="77777777" w:rsidR="004C7180" w:rsidRPr="00150EDC" w:rsidRDefault="00CF0754" w:rsidP="00B320C7">
      <w:pPr>
        <w:pStyle w:val="ListParagraph"/>
        <w:numPr>
          <w:ilvl w:val="3"/>
          <w:numId w:val="39"/>
        </w:numPr>
        <w:tabs>
          <w:tab w:val="left" w:pos="4671"/>
        </w:tabs>
        <w:spacing w:before="130" w:line="228" w:lineRule="auto"/>
        <w:ind w:right="1612"/>
        <w:rPr>
          <w:sz w:val="24"/>
        </w:rPr>
      </w:pPr>
      <w:r w:rsidRPr="00150EDC">
        <w:rPr>
          <w:sz w:val="24"/>
        </w:rPr>
        <w:t>every</w:t>
      </w:r>
      <w:r w:rsidRPr="00150EDC">
        <w:rPr>
          <w:spacing w:val="-4"/>
          <w:sz w:val="24"/>
        </w:rPr>
        <w:t xml:space="preserve"> </w:t>
      </w:r>
      <w:r w:rsidRPr="00150EDC">
        <w:rPr>
          <w:sz w:val="24"/>
        </w:rPr>
        <w:t>six</w:t>
      </w:r>
      <w:r w:rsidRPr="00150EDC">
        <w:rPr>
          <w:spacing w:val="-4"/>
          <w:sz w:val="24"/>
        </w:rPr>
        <w:t xml:space="preserve"> </w:t>
      </w:r>
      <w:r w:rsidRPr="00150EDC">
        <w:rPr>
          <w:sz w:val="24"/>
        </w:rPr>
        <w:t>(6)</w:t>
      </w:r>
      <w:r w:rsidRPr="00150EDC">
        <w:rPr>
          <w:spacing w:val="-5"/>
          <w:sz w:val="24"/>
        </w:rPr>
        <w:t xml:space="preserve"> </w:t>
      </w:r>
      <w:r w:rsidRPr="00150EDC">
        <w:rPr>
          <w:sz w:val="24"/>
        </w:rPr>
        <w:t>months</w:t>
      </w:r>
      <w:r w:rsidRPr="00150EDC">
        <w:rPr>
          <w:spacing w:val="-4"/>
          <w:sz w:val="24"/>
        </w:rPr>
        <w:t xml:space="preserve"> </w:t>
      </w:r>
      <w:r w:rsidRPr="00150EDC">
        <w:rPr>
          <w:sz w:val="24"/>
        </w:rPr>
        <w:t>throughout</w:t>
      </w:r>
      <w:r w:rsidRPr="00150EDC">
        <w:rPr>
          <w:spacing w:val="-6"/>
          <w:sz w:val="24"/>
        </w:rPr>
        <w:t xml:space="preserve"> </w:t>
      </w:r>
      <w:r w:rsidRPr="00150EDC">
        <w:rPr>
          <w:sz w:val="24"/>
        </w:rPr>
        <w:t>the</w:t>
      </w:r>
      <w:r w:rsidRPr="00150EDC">
        <w:rPr>
          <w:spacing w:val="-5"/>
          <w:sz w:val="24"/>
        </w:rPr>
        <w:t xml:space="preserve"> </w:t>
      </w:r>
      <w:r w:rsidRPr="00150EDC">
        <w:rPr>
          <w:sz w:val="24"/>
        </w:rPr>
        <w:t>Contract</w:t>
      </w:r>
      <w:r w:rsidRPr="00150EDC">
        <w:rPr>
          <w:spacing w:val="-6"/>
          <w:sz w:val="24"/>
        </w:rPr>
        <w:t xml:space="preserve"> </w:t>
      </w:r>
      <w:r w:rsidRPr="00150EDC">
        <w:rPr>
          <w:sz w:val="24"/>
        </w:rPr>
        <w:t xml:space="preserve">Period; </w:t>
      </w:r>
      <w:r w:rsidRPr="00150EDC">
        <w:rPr>
          <w:spacing w:val="-4"/>
          <w:sz w:val="24"/>
        </w:rPr>
        <w:t>and</w:t>
      </w:r>
    </w:p>
    <w:p w14:paraId="26269D60" w14:textId="77777777" w:rsidR="004C7180" w:rsidRPr="00150EDC" w:rsidRDefault="00CF0754" w:rsidP="00B320C7">
      <w:pPr>
        <w:pStyle w:val="ListParagraph"/>
        <w:numPr>
          <w:ilvl w:val="3"/>
          <w:numId w:val="39"/>
        </w:numPr>
        <w:tabs>
          <w:tab w:val="left" w:pos="4671"/>
        </w:tabs>
        <w:spacing w:before="127" w:line="235" w:lineRule="auto"/>
        <w:ind w:right="1668"/>
        <w:rPr>
          <w:sz w:val="24"/>
        </w:rPr>
      </w:pPr>
      <w:r w:rsidRPr="00150EDC">
        <w:rPr>
          <w:sz w:val="24"/>
        </w:rPr>
        <w:t>no later than twenty (20) Working Days after a request</w:t>
      </w:r>
      <w:r w:rsidRPr="00150EDC">
        <w:rPr>
          <w:spacing w:val="-6"/>
          <w:sz w:val="24"/>
        </w:rPr>
        <w:t xml:space="preserve"> </w:t>
      </w:r>
      <w:r w:rsidRPr="00150EDC">
        <w:rPr>
          <w:sz w:val="24"/>
        </w:rPr>
        <w:t>from</w:t>
      </w:r>
      <w:r w:rsidRPr="00150EDC">
        <w:rPr>
          <w:spacing w:val="-2"/>
          <w:sz w:val="24"/>
        </w:rPr>
        <w:t xml:space="preserve"> </w:t>
      </w:r>
      <w:r w:rsidRPr="00150EDC">
        <w:rPr>
          <w:sz w:val="24"/>
        </w:rPr>
        <w:t>the</w:t>
      </w:r>
      <w:r w:rsidRPr="00150EDC">
        <w:rPr>
          <w:spacing w:val="-3"/>
          <w:sz w:val="24"/>
        </w:rPr>
        <w:t xml:space="preserve"> </w:t>
      </w:r>
      <w:r w:rsidRPr="00150EDC">
        <w:rPr>
          <w:sz w:val="24"/>
        </w:rPr>
        <w:t>Buyer</w:t>
      </w:r>
      <w:r w:rsidRPr="00150EDC">
        <w:rPr>
          <w:spacing w:val="-7"/>
          <w:sz w:val="24"/>
        </w:rPr>
        <w:t xml:space="preserve"> </w:t>
      </w:r>
      <w:r w:rsidRPr="00150EDC">
        <w:rPr>
          <w:sz w:val="24"/>
        </w:rPr>
        <w:t>for</w:t>
      </w:r>
      <w:r w:rsidRPr="00150EDC">
        <w:rPr>
          <w:spacing w:val="-5"/>
          <w:sz w:val="24"/>
        </w:rPr>
        <w:t xml:space="preserve"> </w:t>
      </w:r>
      <w:r w:rsidRPr="00150EDC">
        <w:rPr>
          <w:sz w:val="24"/>
        </w:rPr>
        <w:t>an</w:t>
      </w:r>
      <w:r w:rsidRPr="00150EDC">
        <w:rPr>
          <w:spacing w:val="-5"/>
          <w:sz w:val="24"/>
        </w:rPr>
        <w:t xml:space="preserve"> </w:t>
      </w:r>
      <w:r w:rsidRPr="00150EDC">
        <w:rPr>
          <w:sz w:val="24"/>
        </w:rPr>
        <w:t>up-to-date</w:t>
      </w:r>
      <w:r w:rsidRPr="00150EDC">
        <w:rPr>
          <w:spacing w:val="-3"/>
          <w:sz w:val="24"/>
        </w:rPr>
        <w:t xml:space="preserve"> </w:t>
      </w:r>
      <w:r w:rsidRPr="00150EDC">
        <w:rPr>
          <w:sz w:val="24"/>
        </w:rPr>
        <w:t>copy</w:t>
      </w:r>
      <w:r w:rsidRPr="00150EDC">
        <w:rPr>
          <w:spacing w:val="-6"/>
          <w:sz w:val="24"/>
        </w:rPr>
        <w:t xml:space="preserve"> </w:t>
      </w:r>
      <w:r w:rsidRPr="00150EDC">
        <w:rPr>
          <w:sz w:val="24"/>
        </w:rPr>
        <w:t>of</w:t>
      </w:r>
      <w:r w:rsidRPr="00150EDC">
        <w:rPr>
          <w:spacing w:val="-3"/>
          <w:sz w:val="24"/>
        </w:rPr>
        <w:t xml:space="preserve"> </w:t>
      </w:r>
      <w:r w:rsidRPr="00150EDC">
        <w:rPr>
          <w:sz w:val="24"/>
        </w:rPr>
        <w:t>the Exit Plan;</w:t>
      </w:r>
    </w:p>
    <w:p w14:paraId="3270445E" w14:textId="77777777" w:rsidR="004C7180" w:rsidRPr="00150EDC" w:rsidRDefault="00CF0754" w:rsidP="00B320C7">
      <w:pPr>
        <w:pStyle w:val="ListParagraph"/>
        <w:numPr>
          <w:ilvl w:val="3"/>
          <w:numId w:val="39"/>
        </w:numPr>
        <w:tabs>
          <w:tab w:val="left" w:pos="4671"/>
        </w:tabs>
        <w:spacing w:before="121" w:line="237" w:lineRule="auto"/>
        <w:ind w:right="1584"/>
        <w:rPr>
          <w:sz w:val="24"/>
        </w:rPr>
      </w:pPr>
      <w:r w:rsidRPr="00150EDC">
        <w:rPr>
          <w:sz w:val="24"/>
        </w:rPr>
        <w:t>as soon as reasonably possible following a Termination Assistance Notice, and in any event no later</w:t>
      </w:r>
      <w:r w:rsidRPr="00150EDC">
        <w:rPr>
          <w:spacing w:val="-4"/>
          <w:sz w:val="24"/>
        </w:rPr>
        <w:t xml:space="preserve"> </w:t>
      </w:r>
      <w:r w:rsidRPr="00150EDC">
        <w:rPr>
          <w:sz w:val="24"/>
        </w:rPr>
        <w:t>than</w:t>
      </w:r>
      <w:r w:rsidRPr="00150EDC">
        <w:rPr>
          <w:spacing w:val="-2"/>
          <w:sz w:val="24"/>
        </w:rPr>
        <w:t xml:space="preserve"> </w:t>
      </w:r>
      <w:r w:rsidRPr="00150EDC">
        <w:rPr>
          <w:sz w:val="24"/>
        </w:rPr>
        <w:t>ten</w:t>
      </w:r>
      <w:r w:rsidRPr="00150EDC">
        <w:rPr>
          <w:spacing w:val="-2"/>
          <w:sz w:val="24"/>
        </w:rPr>
        <w:t xml:space="preserve"> </w:t>
      </w:r>
      <w:r w:rsidRPr="00150EDC">
        <w:rPr>
          <w:sz w:val="24"/>
        </w:rPr>
        <w:t>(10)</w:t>
      </w:r>
      <w:r w:rsidRPr="00150EDC">
        <w:rPr>
          <w:spacing w:val="-4"/>
          <w:sz w:val="24"/>
        </w:rPr>
        <w:t xml:space="preserve"> </w:t>
      </w:r>
      <w:r w:rsidRPr="00150EDC">
        <w:rPr>
          <w:sz w:val="24"/>
        </w:rPr>
        <w:t>Working</w:t>
      </w:r>
      <w:r w:rsidRPr="00150EDC">
        <w:rPr>
          <w:spacing w:val="-2"/>
          <w:sz w:val="24"/>
        </w:rPr>
        <w:t xml:space="preserve"> </w:t>
      </w:r>
      <w:r w:rsidRPr="00150EDC">
        <w:rPr>
          <w:sz w:val="24"/>
        </w:rPr>
        <w:t>Days</w:t>
      </w:r>
      <w:r w:rsidRPr="00150EDC">
        <w:rPr>
          <w:spacing w:val="-3"/>
          <w:sz w:val="24"/>
        </w:rPr>
        <w:t xml:space="preserve"> </w:t>
      </w:r>
      <w:r w:rsidRPr="00150EDC">
        <w:rPr>
          <w:sz w:val="24"/>
        </w:rPr>
        <w:t>after</w:t>
      </w:r>
      <w:r w:rsidRPr="00150EDC">
        <w:rPr>
          <w:spacing w:val="-4"/>
          <w:sz w:val="24"/>
        </w:rPr>
        <w:t xml:space="preserve"> </w:t>
      </w:r>
      <w:r w:rsidRPr="00150EDC">
        <w:rPr>
          <w:sz w:val="24"/>
        </w:rPr>
        <w:t>the</w:t>
      </w:r>
      <w:r w:rsidRPr="00150EDC">
        <w:rPr>
          <w:spacing w:val="-4"/>
          <w:sz w:val="24"/>
        </w:rPr>
        <w:t xml:space="preserve"> </w:t>
      </w:r>
      <w:r w:rsidRPr="00150EDC">
        <w:rPr>
          <w:sz w:val="24"/>
        </w:rPr>
        <w:t>date</w:t>
      </w:r>
      <w:r w:rsidRPr="00150EDC">
        <w:rPr>
          <w:spacing w:val="-2"/>
          <w:sz w:val="24"/>
        </w:rPr>
        <w:t xml:space="preserve"> </w:t>
      </w:r>
      <w:r w:rsidRPr="00150EDC">
        <w:rPr>
          <w:sz w:val="24"/>
        </w:rPr>
        <w:t>of</w:t>
      </w:r>
      <w:r w:rsidRPr="00150EDC">
        <w:rPr>
          <w:spacing w:val="-5"/>
          <w:sz w:val="24"/>
        </w:rPr>
        <w:t xml:space="preserve"> </w:t>
      </w:r>
      <w:r w:rsidRPr="00150EDC">
        <w:rPr>
          <w:sz w:val="24"/>
        </w:rPr>
        <w:t>the Termination Assistance Notice;</w:t>
      </w:r>
    </w:p>
    <w:p w14:paraId="17FB917C" w14:textId="77777777" w:rsidR="004C7180" w:rsidRPr="00150EDC" w:rsidRDefault="00CF0754" w:rsidP="00B320C7">
      <w:pPr>
        <w:pStyle w:val="ListParagraph"/>
        <w:numPr>
          <w:ilvl w:val="3"/>
          <w:numId w:val="39"/>
        </w:numPr>
        <w:tabs>
          <w:tab w:val="left" w:pos="4671"/>
        </w:tabs>
        <w:spacing w:before="121" w:line="235" w:lineRule="auto"/>
        <w:ind w:right="1599"/>
        <w:rPr>
          <w:sz w:val="24"/>
        </w:rPr>
      </w:pPr>
      <w:r w:rsidRPr="00150EDC">
        <w:rPr>
          <w:sz w:val="24"/>
        </w:rPr>
        <w:t>as</w:t>
      </w:r>
      <w:r w:rsidRPr="00150EDC">
        <w:rPr>
          <w:spacing w:val="-4"/>
          <w:sz w:val="24"/>
        </w:rPr>
        <w:t xml:space="preserve"> </w:t>
      </w:r>
      <w:r w:rsidRPr="00150EDC">
        <w:rPr>
          <w:sz w:val="24"/>
        </w:rPr>
        <w:t>soon</w:t>
      </w:r>
      <w:r w:rsidRPr="00150EDC">
        <w:rPr>
          <w:spacing w:val="-3"/>
          <w:sz w:val="24"/>
        </w:rPr>
        <w:t xml:space="preserve"> </w:t>
      </w:r>
      <w:r w:rsidRPr="00150EDC">
        <w:rPr>
          <w:sz w:val="24"/>
        </w:rPr>
        <w:t>as</w:t>
      </w:r>
      <w:r w:rsidRPr="00150EDC">
        <w:rPr>
          <w:spacing w:val="-6"/>
          <w:sz w:val="24"/>
        </w:rPr>
        <w:t xml:space="preserve"> </w:t>
      </w:r>
      <w:r w:rsidRPr="00150EDC">
        <w:rPr>
          <w:sz w:val="24"/>
        </w:rPr>
        <w:t>reasonably</w:t>
      </w:r>
      <w:r w:rsidRPr="00150EDC">
        <w:rPr>
          <w:spacing w:val="-4"/>
          <w:sz w:val="24"/>
        </w:rPr>
        <w:t xml:space="preserve"> </w:t>
      </w:r>
      <w:r w:rsidRPr="00150EDC">
        <w:rPr>
          <w:sz w:val="24"/>
        </w:rPr>
        <w:t>possible</w:t>
      </w:r>
      <w:r w:rsidRPr="00150EDC">
        <w:rPr>
          <w:spacing w:val="-5"/>
          <w:sz w:val="24"/>
        </w:rPr>
        <w:t xml:space="preserve"> </w:t>
      </w:r>
      <w:r w:rsidRPr="00150EDC">
        <w:rPr>
          <w:sz w:val="24"/>
        </w:rPr>
        <w:t>following,</w:t>
      </w:r>
      <w:r w:rsidRPr="00150EDC">
        <w:rPr>
          <w:spacing w:val="-3"/>
          <w:sz w:val="24"/>
        </w:rPr>
        <w:t xml:space="preserve"> </w:t>
      </w:r>
      <w:r w:rsidRPr="00150EDC">
        <w:rPr>
          <w:sz w:val="24"/>
        </w:rPr>
        <w:t>and</w:t>
      </w:r>
      <w:r w:rsidRPr="00150EDC">
        <w:rPr>
          <w:spacing w:val="-3"/>
          <w:sz w:val="24"/>
        </w:rPr>
        <w:t xml:space="preserve"> </w:t>
      </w:r>
      <w:r w:rsidRPr="00150EDC">
        <w:rPr>
          <w:sz w:val="24"/>
        </w:rPr>
        <w:t>in</w:t>
      </w:r>
      <w:r w:rsidRPr="00150EDC">
        <w:rPr>
          <w:spacing w:val="-3"/>
          <w:sz w:val="24"/>
        </w:rPr>
        <w:t xml:space="preserve"> </w:t>
      </w:r>
      <w:r w:rsidRPr="00150EDC">
        <w:rPr>
          <w:sz w:val="24"/>
        </w:rPr>
        <w:t>any event no later than twenty (20) Working Days following, any material change to the Deliverables</w:t>
      </w:r>
    </w:p>
    <w:p w14:paraId="2908F287" w14:textId="77777777" w:rsidR="004C7180" w:rsidRPr="00150EDC" w:rsidRDefault="004C7180">
      <w:pPr>
        <w:spacing w:line="235" w:lineRule="auto"/>
        <w:rPr>
          <w:sz w:val="24"/>
        </w:rPr>
        <w:sectPr w:rsidR="004C7180" w:rsidRPr="00150EDC">
          <w:pgSz w:w="11910" w:h="16840"/>
          <w:pgMar w:top="1380" w:right="0" w:bottom="1380" w:left="40" w:header="715" w:footer="1192" w:gutter="0"/>
          <w:cols w:space="720"/>
        </w:sectPr>
      </w:pPr>
    </w:p>
    <w:p w14:paraId="574CEC86" w14:textId="77777777" w:rsidR="004C7180" w:rsidRPr="00150EDC" w:rsidRDefault="004C7180">
      <w:pPr>
        <w:pStyle w:val="BodyText"/>
        <w:spacing w:before="5"/>
        <w:rPr>
          <w:sz w:val="15"/>
        </w:rPr>
      </w:pPr>
    </w:p>
    <w:p w14:paraId="3D1AB575" w14:textId="77777777" w:rsidR="004C7180" w:rsidRPr="00150EDC" w:rsidRDefault="00CF0754">
      <w:pPr>
        <w:pStyle w:val="BodyText"/>
        <w:spacing w:before="92"/>
        <w:ind w:left="4671" w:right="1459"/>
      </w:pPr>
      <w:r w:rsidRPr="00150EDC">
        <w:t>(including</w:t>
      </w:r>
      <w:r w:rsidRPr="00150EDC">
        <w:rPr>
          <w:spacing w:val="-6"/>
        </w:rPr>
        <w:t xml:space="preserve"> </w:t>
      </w:r>
      <w:r w:rsidRPr="00150EDC">
        <w:t>all</w:t>
      </w:r>
      <w:r w:rsidRPr="00150EDC">
        <w:rPr>
          <w:spacing w:val="-5"/>
        </w:rPr>
        <w:t xml:space="preserve"> </w:t>
      </w:r>
      <w:r w:rsidRPr="00150EDC">
        <w:t>changes</w:t>
      </w:r>
      <w:r w:rsidRPr="00150EDC">
        <w:rPr>
          <w:spacing w:val="-7"/>
        </w:rPr>
        <w:t xml:space="preserve"> </w:t>
      </w:r>
      <w:r w:rsidRPr="00150EDC">
        <w:t>under</w:t>
      </w:r>
      <w:r w:rsidRPr="00150EDC">
        <w:rPr>
          <w:spacing w:val="-6"/>
        </w:rPr>
        <w:t xml:space="preserve"> </w:t>
      </w:r>
      <w:r w:rsidRPr="00150EDC">
        <w:t>the</w:t>
      </w:r>
      <w:r w:rsidRPr="00150EDC">
        <w:rPr>
          <w:spacing w:val="-6"/>
        </w:rPr>
        <w:t xml:space="preserve"> </w:t>
      </w:r>
      <w:r w:rsidRPr="00150EDC">
        <w:t>Variation</w:t>
      </w:r>
      <w:r w:rsidRPr="00150EDC">
        <w:rPr>
          <w:spacing w:val="-4"/>
        </w:rPr>
        <w:t xml:space="preserve"> </w:t>
      </w:r>
      <w:r w:rsidRPr="00150EDC">
        <w:t xml:space="preserve">Procedure); </w:t>
      </w:r>
      <w:r w:rsidRPr="00150EDC">
        <w:rPr>
          <w:spacing w:val="-4"/>
        </w:rPr>
        <w:t>and</w:t>
      </w:r>
    </w:p>
    <w:p w14:paraId="44B02F1B" w14:textId="77777777" w:rsidR="004C7180" w:rsidRPr="00150EDC" w:rsidRDefault="00CF0754" w:rsidP="00B320C7">
      <w:pPr>
        <w:pStyle w:val="ListParagraph"/>
        <w:numPr>
          <w:ilvl w:val="2"/>
          <w:numId w:val="39"/>
        </w:numPr>
        <w:tabs>
          <w:tab w:val="left" w:pos="2118"/>
          <w:tab w:val="left" w:pos="2120"/>
        </w:tabs>
        <w:spacing w:before="120"/>
        <w:ind w:right="1843"/>
        <w:rPr>
          <w:sz w:val="24"/>
        </w:rPr>
      </w:pPr>
      <w:r w:rsidRPr="00150EDC">
        <w:rPr>
          <w:sz w:val="24"/>
        </w:rPr>
        <w:t>jointly</w:t>
      </w:r>
      <w:r w:rsidRPr="00150EDC">
        <w:rPr>
          <w:spacing w:val="-3"/>
          <w:sz w:val="24"/>
        </w:rPr>
        <w:t xml:space="preserve"> </w:t>
      </w:r>
      <w:r w:rsidRPr="00150EDC">
        <w:rPr>
          <w:sz w:val="24"/>
        </w:rPr>
        <w:t>review</w:t>
      </w:r>
      <w:r w:rsidRPr="00150EDC">
        <w:rPr>
          <w:spacing w:val="-3"/>
          <w:sz w:val="24"/>
        </w:rPr>
        <w:t xml:space="preserve"> </w:t>
      </w:r>
      <w:r w:rsidRPr="00150EDC">
        <w:rPr>
          <w:sz w:val="24"/>
        </w:rPr>
        <w:t>and</w:t>
      </w:r>
      <w:r w:rsidRPr="00150EDC">
        <w:rPr>
          <w:spacing w:val="-2"/>
          <w:sz w:val="24"/>
        </w:rPr>
        <w:t xml:space="preserve"> </w:t>
      </w:r>
      <w:r w:rsidRPr="00150EDC">
        <w:rPr>
          <w:sz w:val="24"/>
        </w:rPr>
        <w:t>verify</w:t>
      </w:r>
      <w:r w:rsidRPr="00150EDC">
        <w:rPr>
          <w:spacing w:val="-3"/>
          <w:sz w:val="24"/>
        </w:rPr>
        <w:t xml:space="preserve"> </w:t>
      </w:r>
      <w:r w:rsidRPr="00150EDC">
        <w:rPr>
          <w:sz w:val="24"/>
        </w:rPr>
        <w:t>the</w:t>
      </w:r>
      <w:r w:rsidRPr="00150EDC">
        <w:rPr>
          <w:spacing w:val="-4"/>
          <w:sz w:val="24"/>
        </w:rPr>
        <w:t xml:space="preserve"> </w:t>
      </w:r>
      <w:r w:rsidRPr="00150EDC">
        <w:rPr>
          <w:sz w:val="24"/>
        </w:rPr>
        <w:t>Exit</w:t>
      </w:r>
      <w:r w:rsidRPr="00150EDC">
        <w:rPr>
          <w:spacing w:val="-2"/>
          <w:sz w:val="24"/>
        </w:rPr>
        <w:t xml:space="preserve"> </w:t>
      </w:r>
      <w:r w:rsidRPr="00150EDC">
        <w:rPr>
          <w:sz w:val="24"/>
        </w:rPr>
        <w:t>Plan</w:t>
      </w:r>
      <w:r w:rsidRPr="00150EDC">
        <w:rPr>
          <w:spacing w:val="-2"/>
          <w:sz w:val="24"/>
        </w:rPr>
        <w:t xml:space="preserve"> </w:t>
      </w:r>
      <w:r w:rsidRPr="00150EDC">
        <w:rPr>
          <w:sz w:val="24"/>
        </w:rPr>
        <w:t>if</w:t>
      </w:r>
      <w:r w:rsidRPr="00150EDC">
        <w:rPr>
          <w:spacing w:val="-2"/>
          <w:sz w:val="24"/>
        </w:rPr>
        <w:t xml:space="preserve"> </w:t>
      </w:r>
      <w:r w:rsidRPr="00150EDC">
        <w:rPr>
          <w:sz w:val="24"/>
        </w:rPr>
        <w:t>required</w:t>
      </w:r>
      <w:r w:rsidRPr="00150EDC">
        <w:rPr>
          <w:spacing w:val="-2"/>
          <w:sz w:val="24"/>
        </w:rPr>
        <w:t xml:space="preserve"> </w:t>
      </w:r>
      <w:r w:rsidRPr="00150EDC">
        <w:rPr>
          <w:sz w:val="24"/>
        </w:rPr>
        <w:t>by</w:t>
      </w:r>
      <w:r w:rsidRPr="00150EDC">
        <w:rPr>
          <w:spacing w:val="-5"/>
          <w:sz w:val="24"/>
        </w:rPr>
        <w:t xml:space="preserve"> </w:t>
      </w:r>
      <w:r w:rsidRPr="00150EDC">
        <w:rPr>
          <w:sz w:val="24"/>
        </w:rPr>
        <w:t>the</w:t>
      </w:r>
      <w:r w:rsidRPr="00150EDC">
        <w:rPr>
          <w:spacing w:val="-2"/>
          <w:sz w:val="24"/>
        </w:rPr>
        <w:t xml:space="preserve"> </w:t>
      </w:r>
      <w:r w:rsidRPr="00150EDC">
        <w:rPr>
          <w:sz w:val="24"/>
        </w:rPr>
        <w:t>Buyer</w:t>
      </w:r>
      <w:r w:rsidRPr="00150EDC">
        <w:rPr>
          <w:spacing w:val="-4"/>
          <w:sz w:val="24"/>
        </w:rPr>
        <w:t xml:space="preserve"> </w:t>
      </w:r>
      <w:r w:rsidRPr="00150EDC">
        <w:rPr>
          <w:sz w:val="24"/>
        </w:rPr>
        <w:t>and</w:t>
      </w:r>
      <w:r w:rsidRPr="00150EDC">
        <w:rPr>
          <w:spacing w:val="-2"/>
          <w:sz w:val="24"/>
        </w:rPr>
        <w:t xml:space="preserve"> </w:t>
      </w:r>
      <w:r w:rsidRPr="00150EDC">
        <w:rPr>
          <w:sz w:val="24"/>
        </w:rPr>
        <w:t>promptly correct any identified failures.</w:t>
      </w:r>
    </w:p>
    <w:p w14:paraId="360C0456" w14:textId="77777777" w:rsidR="004C7180" w:rsidRPr="00150EDC" w:rsidRDefault="00CF0754" w:rsidP="00B320C7">
      <w:pPr>
        <w:pStyle w:val="ListParagraph"/>
        <w:numPr>
          <w:ilvl w:val="1"/>
          <w:numId w:val="39"/>
        </w:numPr>
        <w:tabs>
          <w:tab w:val="left" w:pos="2326"/>
          <w:tab w:val="left" w:pos="2328"/>
        </w:tabs>
        <w:spacing w:before="120"/>
        <w:ind w:right="1634"/>
        <w:rPr>
          <w:sz w:val="24"/>
        </w:rPr>
      </w:pPr>
      <w:r w:rsidRPr="00150EDC">
        <w:rPr>
          <w:sz w:val="24"/>
        </w:rPr>
        <w:t>Only if (by notification to the Supplier in writing) the Buyer agrees with a draft</w:t>
      </w:r>
      <w:r w:rsidRPr="00150EDC">
        <w:rPr>
          <w:spacing w:val="-1"/>
          <w:sz w:val="24"/>
        </w:rPr>
        <w:t xml:space="preserve"> </w:t>
      </w:r>
      <w:r w:rsidRPr="00150EDC">
        <w:rPr>
          <w:sz w:val="24"/>
        </w:rPr>
        <w:t>Exit</w:t>
      </w:r>
      <w:r w:rsidRPr="00150EDC">
        <w:rPr>
          <w:spacing w:val="-4"/>
          <w:sz w:val="24"/>
        </w:rPr>
        <w:t xml:space="preserve"> </w:t>
      </w:r>
      <w:r w:rsidRPr="00150EDC">
        <w:rPr>
          <w:sz w:val="24"/>
        </w:rPr>
        <w:t>Plan</w:t>
      </w:r>
      <w:r w:rsidRPr="00150EDC">
        <w:rPr>
          <w:spacing w:val="-3"/>
          <w:sz w:val="24"/>
        </w:rPr>
        <w:t xml:space="preserve"> </w:t>
      </w:r>
      <w:r w:rsidRPr="00150EDC">
        <w:rPr>
          <w:sz w:val="24"/>
        </w:rPr>
        <w:t>provided</w:t>
      </w:r>
      <w:r w:rsidRPr="00150EDC">
        <w:rPr>
          <w:spacing w:val="-1"/>
          <w:sz w:val="24"/>
        </w:rPr>
        <w:t xml:space="preserve"> </w:t>
      </w:r>
      <w:r w:rsidRPr="00150EDC">
        <w:rPr>
          <w:sz w:val="24"/>
        </w:rPr>
        <w:t>by</w:t>
      </w:r>
      <w:r w:rsidRPr="00150EDC">
        <w:rPr>
          <w:spacing w:val="-2"/>
          <w:sz w:val="24"/>
        </w:rPr>
        <w:t xml:space="preserve"> </w:t>
      </w:r>
      <w:r w:rsidRPr="00150EDC">
        <w:rPr>
          <w:sz w:val="24"/>
        </w:rPr>
        <w:t>the</w:t>
      </w:r>
      <w:r w:rsidRPr="00150EDC">
        <w:rPr>
          <w:spacing w:val="-3"/>
          <w:sz w:val="24"/>
        </w:rPr>
        <w:t xml:space="preserve"> </w:t>
      </w:r>
      <w:r w:rsidRPr="00150EDC">
        <w:rPr>
          <w:sz w:val="24"/>
        </w:rPr>
        <w:t>Supplier</w:t>
      </w:r>
      <w:r w:rsidRPr="00150EDC">
        <w:rPr>
          <w:spacing w:val="-3"/>
          <w:sz w:val="24"/>
        </w:rPr>
        <w:t xml:space="preserve"> </w:t>
      </w:r>
      <w:r w:rsidRPr="00150EDC">
        <w:rPr>
          <w:sz w:val="24"/>
        </w:rPr>
        <w:t>under</w:t>
      </w:r>
      <w:r w:rsidRPr="00150EDC">
        <w:rPr>
          <w:spacing w:val="-3"/>
          <w:sz w:val="24"/>
        </w:rPr>
        <w:t xml:space="preserve"> </w:t>
      </w:r>
      <w:r w:rsidRPr="00150EDC">
        <w:rPr>
          <w:sz w:val="24"/>
        </w:rPr>
        <w:t>Paragraph</w:t>
      </w:r>
      <w:r w:rsidRPr="00150EDC">
        <w:rPr>
          <w:spacing w:val="-1"/>
          <w:sz w:val="24"/>
        </w:rPr>
        <w:t xml:space="preserve"> </w:t>
      </w:r>
      <w:r w:rsidRPr="00150EDC">
        <w:rPr>
          <w:sz w:val="24"/>
        </w:rPr>
        <w:t>4.2</w:t>
      </w:r>
      <w:r w:rsidRPr="00150EDC">
        <w:rPr>
          <w:spacing w:val="-3"/>
          <w:sz w:val="24"/>
        </w:rPr>
        <w:t xml:space="preserve"> </w:t>
      </w:r>
      <w:r w:rsidRPr="00150EDC">
        <w:rPr>
          <w:sz w:val="24"/>
        </w:rPr>
        <w:t>or</w:t>
      </w:r>
      <w:r w:rsidRPr="00150EDC">
        <w:rPr>
          <w:spacing w:val="-3"/>
          <w:sz w:val="24"/>
        </w:rPr>
        <w:t xml:space="preserve"> </w:t>
      </w:r>
      <w:r w:rsidRPr="00150EDC">
        <w:rPr>
          <w:sz w:val="24"/>
        </w:rPr>
        <w:t>4.4</w:t>
      </w:r>
      <w:r w:rsidRPr="00150EDC">
        <w:rPr>
          <w:spacing w:val="-3"/>
          <w:sz w:val="24"/>
        </w:rPr>
        <w:t xml:space="preserve"> </w:t>
      </w:r>
      <w:r w:rsidRPr="00150EDC">
        <w:rPr>
          <w:sz w:val="24"/>
        </w:rPr>
        <w:t>(as</w:t>
      </w:r>
      <w:r w:rsidRPr="00150EDC">
        <w:rPr>
          <w:spacing w:val="-2"/>
          <w:sz w:val="24"/>
        </w:rPr>
        <w:t xml:space="preserve"> </w:t>
      </w:r>
      <w:r w:rsidRPr="00150EDC">
        <w:rPr>
          <w:sz w:val="24"/>
        </w:rPr>
        <w:t>the context requires), shall that draft become the Exit Plan for this Contract.</w:t>
      </w:r>
    </w:p>
    <w:p w14:paraId="060F35CE" w14:textId="77777777" w:rsidR="004C7180" w:rsidRPr="00150EDC" w:rsidRDefault="00CF0754" w:rsidP="00B320C7">
      <w:pPr>
        <w:pStyle w:val="ListParagraph"/>
        <w:numPr>
          <w:ilvl w:val="1"/>
          <w:numId w:val="39"/>
        </w:numPr>
        <w:tabs>
          <w:tab w:val="left" w:pos="2326"/>
          <w:tab w:val="left" w:pos="2328"/>
        </w:tabs>
        <w:spacing w:before="120"/>
        <w:ind w:right="2650"/>
        <w:rPr>
          <w:sz w:val="24"/>
        </w:rPr>
      </w:pPr>
      <w:r w:rsidRPr="00150EDC">
        <w:rPr>
          <w:sz w:val="24"/>
        </w:rPr>
        <w:t>A</w:t>
      </w:r>
      <w:r w:rsidRPr="00150EDC">
        <w:rPr>
          <w:spacing w:val="-2"/>
          <w:sz w:val="24"/>
        </w:rPr>
        <w:t xml:space="preserve"> </w:t>
      </w:r>
      <w:r w:rsidRPr="00150EDC">
        <w:rPr>
          <w:sz w:val="24"/>
        </w:rPr>
        <w:t>version</w:t>
      </w:r>
      <w:r w:rsidRPr="00150EDC">
        <w:rPr>
          <w:spacing w:val="-4"/>
          <w:sz w:val="24"/>
        </w:rPr>
        <w:t xml:space="preserve"> </w:t>
      </w:r>
      <w:r w:rsidRPr="00150EDC">
        <w:rPr>
          <w:sz w:val="24"/>
        </w:rPr>
        <w:t>of</w:t>
      </w:r>
      <w:r w:rsidRPr="00150EDC">
        <w:rPr>
          <w:spacing w:val="-5"/>
          <w:sz w:val="24"/>
        </w:rPr>
        <w:t xml:space="preserve"> </w:t>
      </w:r>
      <w:r w:rsidRPr="00150EDC">
        <w:rPr>
          <w:sz w:val="24"/>
        </w:rPr>
        <w:t>an</w:t>
      </w:r>
      <w:r w:rsidRPr="00150EDC">
        <w:rPr>
          <w:spacing w:val="-2"/>
          <w:sz w:val="24"/>
        </w:rPr>
        <w:t xml:space="preserve"> </w:t>
      </w:r>
      <w:r w:rsidRPr="00150EDC">
        <w:rPr>
          <w:sz w:val="24"/>
        </w:rPr>
        <w:t>Exit</w:t>
      </w:r>
      <w:r w:rsidRPr="00150EDC">
        <w:rPr>
          <w:spacing w:val="-5"/>
          <w:sz w:val="24"/>
        </w:rPr>
        <w:t xml:space="preserve"> </w:t>
      </w:r>
      <w:r w:rsidRPr="00150EDC">
        <w:rPr>
          <w:sz w:val="24"/>
        </w:rPr>
        <w:t>Plan</w:t>
      </w:r>
      <w:r w:rsidRPr="00150EDC">
        <w:rPr>
          <w:spacing w:val="-2"/>
          <w:sz w:val="24"/>
        </w:rPr>
        <w:t xml:space="preserve"> </w:t>
      </w:r>
      <w:r w:rsidRPr="00150EDC">
        <w:rPr>
          <w:sz w:val="24"/>
        </w:rPr>
        <w:t>agreed</w:t>
      </w:r>
      <w:r w:rsidRPr="00150EDC">
        <w:rPr>
          <w:spacing w:val="-2"/>
          <w:sz w:val="24"/>
        </w:rPr>
        <w:t xml:space="preserve"> </w:t>
      </w:r>
      <w:r w:rsidRPr="00150EDC">
        <w:rPr>
          <w:sz w:val="24"/>
        </w:rPr>
        <w:t>between</w:t>
      </w:r>
      <w:r w:rsidRPr="00150EDC">
        <w:rPr>
          <w:spacing w:val="-2"/>
          <w:sz w:val="24"/>
        </w:rPr>
        <w:t xml:space="preserve"> </w:t>
      </w:r>
      <w:r w:rsidRPr="00150EDC">
        <w:rPr>
          <w:sz w:val="24"/>
        </w:rPr>
        <w:t>the</w:t>
      </w:r>
      <w:r w:rsidRPr="00150EDC">
        <w:rPr>
          <w:spacing w:val="-4"/>
          <w:sz w:val="24"/>
        </w:rPr>
        <w:t xml:space="preserve"> </w:t>
      </w:r>
      <w:r w:rsidRPr="00150EDC">
        <w:rPr>
          <w:sz w:val="24"/>
        </w:rPr>
        <w:t>parties</w:t>
      </w:r>
      <w:r w:rsidRPr="00150EDC">
        <w:rPr>
          <w:spacing w:val="-3"/>
          <w:sz w:val="24"/>
        </w:rPr>
        <w:t xml:space="preserve"> </w:t>
      </w:r>
      <w:r w:rsidRPr="00150EDC">
        <w:rPr>
          <w:sz w:val="24"/>
        </w:rPr>
        <w:t>shall</w:t>
      </w:r>
      <w:r w:rsidRPr="00150EDC">
        <w:rPr>
          <w:spacing w:val="-3"/>
          <w:sz w:val="24"/>
        </w:rPr>
        <w:t xml:space="preserve"> </w:t>
      </w:r>
      <w:r w:rsidRPr="00150EDC">
        <w:rPr>
          <w:sz w:val="24"/>
        </w:rPr>
        <w:t>not</w:t>
      </w:r>
      <w:r w:rsidRPr="00150EDC">
        <w:rPr>
          <w:spacing w:val="-2"/>
          <w:sz w:val="24"/>
        </w:rPr>
        <w:t xml:space="preserve"> </w:t>
      </w:r>
      <w:r w:rsidRPr="00150EDC">
        <w:rPr>
          <w:sz w:val="24"/>
        </w:rPr>
        <w:t>be superseded by any draft submitted by the Supplier.</w:t>
      </w:r>
    </w:p>
    <w:p w14:paraId="108FDC28" w14:textId="77777777" w:rsidR="004C7180" w:rsidRPr="00150EDC" w:rsidRDefault="004C7180">
      <w:pPr>
        <w:pStyle w:val="BodyText"/>
        <w:spacing w:before="10"/>
        <w:rPr>
          <w:sz w:val="20"/>
        </w:rPr>
      </w:pPr>
    </w:p>
    <w:p w14:paraId="79FDA678" w14:textId="77777777" w:rsidR="004C7180" w:rsidRPr="00150EDC" w:rsidRDefault="00CF0754" w:rsidP="00B320C7">
      <w:pPr>
        <w:pStyle w:val="Heading4"/>
        <w:numPr>
          <w:ilvl w:val="0"/>
          <w:numId w:val="39"/>
        </w:numPr>
        <w:tabs>
          <w:tab w:val="left" w:pos="2042"/>
        </w:tabs>
        <w:spacing w:before="1"/>
        <w:ind w:left="2042" w:hanging="359"/>
      </w:pPr>
      <w:r w:rsidRPr="00150EDC">
        <w:t>Termination</w:t>
      </w:r>
      <w:r w:rsidRPr="00150EDC">
        <w:rPr>
          <w:spacing w:val="-4"/>
        </w:rPr>
        <w:t xml:space="preserve"> </w:t>
      </w:r>
      <w:r w:rsidRPr="00150EDC">
        <w:rPr>
          <w:spacing w:val="-2"/>
        </w:rPr>
        <w:t>Assistance</w:t>
      </w:r>
    </w:p>
    <w:p w14:paraId="12E855CA" w14:textId="77777777" w:rsidR="004C7180" w:rsidRPr="00150EDC" w:rsidRDefault="004C7180">
      <w:pPr>
        <w:pStyle w:val="BodyText"/>
        <w:spacing w:before="9"/>
        <w:rPr>
          <w:b/>
          <w:sz w:val="20"/>
        </w:rPr>
      </w:pPr>
    </w:p>
    <w:p w14:paraId="762FD429" w14:textId="77777777" w:rsidR="004C7180" w:rsidRPr="00150EDC" w:rsidRDefault="00CF0754" w:rsidP="00B320C7">
      <w:pPr>
        <w:pStyle w:val="ListParagraph"/>
        <w:numPr>
          <w:ilvl w:val="1"/>
          <w:numId w:val="39"/>
        </w:numPr>
        <w:tabs>
          <w:tab w:val="left" w:pos="2326"/>
          <w:tab w:val="left" w:pos="2328"/>
        </w:tabs>
        <w:spacing w:before="1"/>
        <w:ind w:right="1462"/>
        <w:rPr>
          <w:sz w:val="24"/>
        </w:rPr>
      </w:pPr>
      <w:r w:rsidRPr="00150EDC">
        <w:rPr>
          <w:sz w:val="24"/>
        </w:rPr>
        <w:t>The Buyer shall be entitled to require the provision of Termination Assistance at</w:t>
      </w:r>
      <w:r w:rsidRPr="00150EDC">
        <w:rPr>
          <w:spacing w:val="-1"/>
          <w:sz w:val="24"/>
        </w:rPr>
        <w:t xml:space="preserve"> </w:t>
      </w:r>
      <w:r w:rsidRPr="00150EDC">
        <w:rPr>
          <w:sz w:val="24"/>
        </w:rPr>
        <w:t>any</w:t>
      </w:r>
      <w:r w:rsidRPr="00150EDC">
        <w:rPr>
          <w:spacing w:val="-1"/>
          <w:sz w:val="24"/>
        </w:rPr>
        <w:t xml:space="preserve"> </w:t>
      </w:r>
      <w:r w:rsidRPr="00150EDC">
        <w:rPr>
          <w:sz w:val="24"/>
        </w:rPr>
        <w:t>time during the Contract Period by</w:t>
      </w:r>
      <w:r w:rsidRPr="00150EDC">
        <w:rPr>
          <w:spacing w:val="-1"/>
          <w:sz w:val="24"/>
        </w:rPr>
        <w:t xml:space="preserve"> </w:t>
      </w:r>
      <w:r w:rsidRPr="00150EDC">
        <w:rPr>
          <w:sz w:val="24"/>
        </w:rPr>
        <w:t xml:space="preserve">giving written notice to the Supplier (a </w:t>
      </w:r>
      <w:r w:rsidRPr="00150EDC">
        <w:rPr>
          <w:b/>
          <w:sz w:val="24"/>
        </w:rPr>
        <w:t>"Termination Assistance Notice"</w:t>
      </w:r>
      <w:r w:rsidRPr="00150EDC">
        <w:rPr>
          <w:sz w:val="24"/>
        </w:rPr>
        <w:t>) at least four (4) Months prior to the Expiry Date or as soon as reasonably practicable (but in any event,</w:t>
      </w:r>
      <w:r w:rsidRPr="00150EDC">
        <w:rPr>
          <w:spacing w:val="-2"/>
          <w:sz w:val="24"/>
        </w:rPr>
        <w:t xml:space="preserve"> </w:t>
      </w:r>
      <w:r w:rsidRPr="00150EDC">
        <w:rPr>
          <w:sz w:val="24"/>
        </w:rPr>
        <w:t>not</w:t>
      </w:r>
      <w:r w:rsidRPr="00150EDC">
        <w:rPr>
          <w:spacing w:val="-2"/>
          <w:sz w:val="24"/>
        </w:rPr>
        <w:t xml:space="preserve"> </w:t>
      </w:r>
      <w:r w:rsidRPr="00150EDC">
        <w:rPr>
          <w:sz w:val="24"/>
        </w:rPr>
        <w:t>later</w:t>
      </w:r>
      <w:r w:rsidRPr="00150EDC">
        <w:rPr>
          <w:spacing w:val="-4"/>
          <w:sz w:val="24"/>
        </w:rPr>
        <w:t xml:space="preserve"> </w:t>
      </w:r>
      <w:r w:rsidRPr="00150EDC">
        <w:rPr>
          <w:sz w:val="24"/>
        </w:rPr>
        <w:t>than</w:t>
      </w:r>
      <w:r w:rsidRPr="00150EDC">
        <w:rPr>
          <w:spacing w:val="-4"/>
          <w:sz w:val="24"/>
        </w:rPr>
        <w:t xml:space="preserve"> </w:t>
      </w:r>
      <w:r w:rsidRPr="00150EDC">
        <w:rPr>
          <w:sz w:val="24"/>
        </w:rPr>
        <w:t>one</w:t>
      </w:r>
      <w:r w:rsidRPr="00150EDC">
        <w:rPr>
          <w:spacing w:val="-2"/>
          <w:sz w:val="24"/>
        </w:rPr>
        <w:t xml:space="preserve"> </w:t>
      </w:r>
      <w:r w:rsidRPr="00150EDC">
        <w:rPr>
          <w:sz w:val="24"/>
        </w:rPr>
        <w:t>(1)</w:t>
      </w:r>
      <w:r w:rsidRPr="00150EDC">
        <w:rPr>
          <w:spacing w:val="-4"/>
          <w:sz w:val="24"/>
        </w:rPr>
        <w:t xml:space="preserve"> </w:t>
      </w:r>
      <w:r w:rsidRPr="00150EDC">
        <w:rPr>
          <w:sz w:val="24"/>
        </w:rPr>
        <w:t>Month)</w:t>
      </w:r>
      <w:r w:rsidRPr="00150EDC">
        <w:rPr>
          <w:spacing w:val="-4"/>
          <w:sz w:val="24"/>
        </w:rPr>
        <w:t xml:space="preserve"> </w:t>
      </w:r>
      <w:r w:rsidRPr="00150EDC">
        <w:rPr>
          <w:sz w:val="24"/>
        </w:rPr>
        <w:t>following</w:t>
      </w:r>
      <w:r w:rsidRPr="00150EDC">
        <w:rPr>
          <w:spacing w:val="-4"/>
          <w:sz w:val="24"/>
        </w:rPr>
        <w:t xml:space="preserve"> </w:t>
      </w:r>
      <w:r w:rsidRPr="00150EDC">
        <w:rPr>
          <w:sz w:val="24"/>
        </w:rPr>
        <w:t>the</w:t>
      </w:r>
      <w:r w:rsidRPr="00150EDC">
        <w:rPr>
          <w:spacing w:val="-2"/>
          <w:sz w:val="24"/>
        </w:rPr>
        <w:t xml:space="preserve"> </w:t>
      </w:r>
      <w:r w:rsidRPr="00150EDC">
        <w:rPr>
          <w:sz w:val="24"/>
        </w:rPr>
        <w:t>service</w:t>
      </w:r>
      <w:r w:rsidRPr="00150EDC">
        <w:rPr>
          <w:spacing w:val="-4"/>
          <w:sz w:val="24"/>
        </w:rPr>
        <w:t xml:space="preserve"> </w:t>
      </w:r>
      <w:r w:rsidRPr="00150EDC">
        <w:rPr>
          <w:sz w:val="24"/>
        </w:rPr>
        <w:t>by</w:t>
      </w:r>
      <w:r w:rsidRPr="00150EDC">
        <w:rPr>
          <w:spacing w:val="-3"/>
          <w:sz w:val="24"/>
        </w:rPr>
        <w:t xml:space="preserve"> </w:t>
      </w:r>
      <w:r w:rsidRPr="00150EDC">
        <w:rPr>
          <w:sz w:val="24"/>
        </w:rPr>
        <w:t>either</w:t>
      </w:r>
      <w:r w:rsidRPr="00150EDC">
        <w:rPr>
          <w:spacing w:val="-4"/>
          <w:sz w:val="24"/>
        </w:rPr>
        <w:t xml:space="preserve"> </w:t>
      </w:r>
      <w:r w:rsidRPr="00150EDC">
        <w:rPr>
          <w:sz w:val="24"/>
        </w:rPr>
        <w:t>Party</w:t>
      </w:r>
      <w:r w:rsidRPr="00150EDC">
        <w:rPr>
          <w:spacing w:val="-3"/>
          <w:sz w:val="24"/>
        </w:rPr>
        <w:t xml:space="preserve"> </w:t>
      </w:r>
      <w:r w:rsidRPr="00150EDC">
        <w:rPr>
          <w:sz w:val="24"/>
        </w:rPr>
        <w:t>of</w:t>
      </w:r>
      <w:r w:rsidRPr="00150EDC">
        <w:rPr>
          <w:spacing w:val="-2"/>
          <w:sz w:val="24"/>
        </w:rPr>
        <w:t xml:space="preserve"> </w:t>
      </w:r>
      <w:r w:rsidRPr="00150EDC">
        <w:rPr>
          <w:sz w:val="24"/>
        </w:rPr>
        <w:t>a Termination Notice. The Termination Assistance Notice shall specify:</w:t>
      </w:r>
    </w:p>
    <w:p w14:paraId="23EB286D" w14:textId="77777777" w:rsidR="004C7180" w:rsidRPr="00150EDC" w:rsidRDefault="00CF0754" w:rsidP="00B320C7">
      <w:pPr>
        <w:pStyle w:val="ListParagraph"/>
        <w:numPr>
          <w:ilvl w:val="2"/>
          <w:numId w:val="39"/>
        </w:numPr>
        <w:tabs>
          <w:tab w:val="left" w:pos="2118"/>
        </w:tabs>
        <w:spacing w:before="120"/>
        <w:ind w:left="2118" w:hanging="718"/>
        <w:rPr>
          <w:sz w:val="24"/>
        </w:rPr>
      </w:pPr>
      <w:r w:rsidRPr="00150EDC">
        <w:rPr>
          <w:sz w:val="24"/>
        </w:rPr>
        <w:t>the</w:t>
      </w:r>
      <w:r w:rsidRPr="00150EDC">
        <w:rPr>
          <w:spacing w:val="-4"/>
          <w:sz w:val="24"/>
        </w:rPr>
        <w:t xml:space="preserve"> </w:t>
      </w:r>
      <w:r w:rsidRPr="00150EDC">
        <w:rPr>
          <w:sz w:val="24"/>
        </w:rPr>
        <w:t>nature</w:t>
      </w:r>
      <w:r w:rsidRPr="00150EDC">
        <w:rPr>
          <w:spacing w:val="-1"/>
          <w:sz w:val="24"/>
        </w:rPr>
        <w:t xml:space="preserve"> </w:t>
      </w:r>
      <w:r w:rsidRPr="00150EDC">
        <w:rPr>
          <w:sz w:val="24"/>
        </w:rPr>
        <w:t>of</w:t>
      </w:r>
      <w:r w:rsidRPr="00150EDC">
        <w:rPr>
          <w:spacing w:val="-4"/>
          <w:sz w:val="24"/>
        </w:rPr>
        <w:t xml:space="preserve"> </w:t>
      </w:r>
      <w:r w:rsidRPr="00150EDC">
        <w:rPr>
          <w:sz w:val="24"/>
        </w:rPr>
        <w:t>the</w:t>
      </w:r>
      <w:r w:rsidRPr="00150EDC">
        <w:rPr>
          <w:spacing w:val="-2"/>
          <w:sz w:val="24"/>
        </w:rPr>
        <w:t xml:space="preserve"> </w:t>
      </w:r>
      <w:r w:rsidRPr="00150EDC">
        <w:rPr>
          <w:sz w:val="24"/>
        </w:rPr>
        <w:t>Termination</w:t>
      </w:r>
      <w:r w:rsidRPr="00150EDC">
        <w:rPr>
          <w:spacing w:val="-1"/>
          <w:sz w:val="24"/>
        </w:rPr>
        <w:t xml:space="preserve"> </w:t>
      </w:r>
      <w:r w:rsidRPr="00150EDC">
        <w:rPr>
          <w:sz w:val="24"/>
        </w:rPr>
        <w:t>Assistance</w:t>
      </w:r>
      <w:r w:rsidRPr="00150EDC">
        <w:rPr>
          <w:spacing w:val="-1"/>
          <w:sz w:val="24"/>
        </w:rPr>
        <w:t xml:space="preserve"> </w:t>
      </w:r>
      <w:r w:rsidRPr="00150EDC">
        <w:rPr>
          <w:sz w:val="24"/>
        </w:rPr>
        <w:t>required;</w:t>
      </w:r>
      <w:r w:rsidRPr="00150EDC">
        <w:rPr>
          <w:spacing w:val="-1"/>
          <w:sz w:val="24"/>
        </w:rPr>
        <w:t xml:space="preserve"> </w:t>
      </w:r>
      <w:r w:rsidRPr="00150EDC">
        <w:rPr>
          <w:spacing w:val="-5"/>
          <w:sz w:val="24"/>
        </w:rPr>
        <w:t>and</w:t>
      </w:r>
    </w:p>
    <w:p w14:paraId="0F7A9712" w14:textId="77777777" w:rsidR="004C7180" w:rsidRPr="00150EDC" w:rsidRDefault="00CF0754" w:rsidP="00B320C7">
      <w:pPr>
        <w:pStyle w:val="ListParagraph"/>
        <w:numPr>
          <w:ilvl w:val="2"/>
          <w:numId w:val="39"/>
        </w:numPr>
        <w:tabs>
          <w:tab w:val="left" w:pos="2118"/>
          <w:tab w:val="left" w:pos="2120"/>
        </w:tabs>
        <w:spacing w:before="120"/>
        <w:ind w:right="1655"/>
        <w:rPr>
          <w:sz w:val="24"/>
        </w:rPr>
      </w:pPr>
      <w:r w:rsidRPr="00150EDC">
        <w:rPr>
          <w:sz w:val="24"/>
        </w:rPr>
        <w:t>the</w:t>
      </w:r>
      <w:r w:rsidRPr="00150EDC">
        <w:rPr>
          <w:spacing w:val="-2"/>
          <w:sz w:val="24"/>
        </w:rPr>
        <w:t xml:space="preserve"> </w:t>
      </w:r>
      <w:r w:rsidRPr="00150EDC">
        <w:rPr>
          <w:sz w:val="24"/>
        </w:rPr>
        <w:t>start</w:t>
      </w:r>
      <w:r w:rsidRPr="00150EDC">
        <w:rPr>
          <w:spacing w:val="-2"/>
          <w:sz w:val="24"/>
        </w:rPr>
        <w:t xml:space="preserve"> </w:t>
      </w:r>
      <w:r w:rsidRPr="00150EDC">
        <w:rPr>
          <w:sz w:val="24"/>
        </w:rPr>
        <w:t>date</w:t>
      </w:r>
      <w:r w:rsidRPr="00150EDC">
        <w:rPr>
          <w:spacing w:val="-4"/>
          <w:sz w:val="24"/>
        </w:rPr>
        <w:t xml:space="preserve"> </w:t>
      </w:r>
      <w:r w:rsidRPr="00150EDC">
        <w:rPr>
          <w:sz w:val="24"/>
        </w:rPr>
        <w:t>and</w:t>
      </w:r>
      <w:r w:rsidRPr="00150EDC">
        <w:rPr>
          <w:spacing w:val="-2"/>
          <w:sz w:val="24"/>
        </w:rPr>
        <w:t xml:space="preserve"> </w:t>
      </w:r>
      <w:r w:rsidRPr="00150EDC">
        <w:rPr>
          <w:sz w:val="24"/>
        </w:rPr>
        <w:t>initial</w:t>
      </w:r>
      <w:r w:rsidRPr="00150EDC">
        <w:rPr>
          <w:spacing w:val="-4"/>
          <w:sz w:val="24"/>
        </w:rPr>
        <w:t xml:space="preserve"> </w:t>
      </w:r>
      <w:r w:rsidRPr="00150EDC">
        <w:rPr>
          <w:sz w:val="24"/>
        </w:rPr>
        <w:t>period</w:t>
      </w:r>
      <w:r w:rsidRPr="00150EDC">
        <w:rPr>
          <w:spacing w:val="-4"/>
          <w:sz w:val="24"/>
        </w:rPr>
        <w:t xml:space="preserve"> </w:t>
      </w:r>
      <w:r w:rsidRPr="00150EDC">
        <w:rPr>
          <w:sz w:val="24"/>
        </w:rPr>
        <w:t>during</w:t>
      </w:r>
      <w:r w:rsidRPr="00150EDC">
        <w:rPr>
          <w:spacing w:val="-2"/>
          <w:sz w:val="24"/>
        </w:rPr>
        <w:t xml:space="preserve"> </w:t>
      </w:r>
      <w:r w:rsidRPr="00150EDC">
        <w:rPr>
          <w:sz w:val="24"/>
        </w:rPr>
        <w:t>which</w:t>
      </w:r>
      <w:r w:rsidRPr="00150EDC">
        <w:rPr>
          <w:spacing w:val="-2"/>
          <w:sz w:val="24"/>
        </w:rPr>
        <w:t xml:space="preserve"> </w:t>
      </w:r>
      <w:r w:rsidRPr="00150EDC">
        <w:rPr>
          <w:sz w:val="24"/>
        </w:rPr>
        <w:t>it</w:t>
      </w:r>
      <w:r w:rsidRPr="00150EDC">
        <w:rPr>
          <w:spacing w:val="-5"/>
          <w:sz w:val="24"/>
        </w:rPr>
        <w:t xml:space="preserve"> </w:t>
      </w:r>
      <w:r w:rsidRPr="00150EDC">
        <w:rPr>
          <w:sz w:val="24"/>
        </w:rPr>
        <w:t>is</w:t>
      </w:r>
      <w:r w:rsidRPr="00150EDC">
        <w:rPr>
          <w:spacing w:val="-3"/>
          <w:sz w:val="24"/>
        </w:rPr>
        <w:t xml:space="preserve"> </w:t>
      </w:r>
      <w:r w:rsidRPr="00150EDC">
        <w:rPr>
          <w:sz w:val="24"/>
        </w:rPr>
        <w:t>anticipated</w:t>
      </w:r>
      <w:r w:rsidRPr="00150EDC">
        <w:rPr>
          <w:spacing w:val="-4"/>
          <w:sz w:val="24"/>
        </w:rPr>
        <w:t xml:space="preserve"> </w:t>
      </w:r>
      <w:r w:rsidRPr="00150EDC">
        <w:rPr>
          <w:sz w:val="24"/>
        </w:rPr>
        <w:t>that</w:t>
      </w:r>
      <w:r w:rsidRPr="00150EDC">
        <w:rPr>
          <w:spacing w:val="-2"/>
          <w:sz w:val="24"/>
        </w:rPr>
        <w:t xml:space="preserve"> </w:t>
      </w:r>
      <w:r w:rsidRPr="00150EDC">
        <w:rPr>
          <w:sz w:val="24"/>
        </w:rPr>
        <w:t>Termination Assistance will be required, which shall continue no longer than twelve (12) Months after the End Date.</w:t>
      </w:r>
    </w:p>
    <w:p w14:paraId="6D024D3A" w14:textId="77777777" w:rsidR="004C7180" w:rsidRPr="00150EDC" w:rsidRDefault="00CF0754" w:rsidP="00B320C7">
      <w:pPr>
        <w:pStyle w:val="ListParagraph"/>
        <w:numPr>
          <w:ilvl w:val="1"/>
          <w:numId w:val="39"/>
        </w:numPr>
        <w:tabs>
          <w:tab w:val="left" w:pos="2326"/>
          <w:tab w:val="left" w:pos="2328"/>
        </w:tabs>
        <w:spacing w:before="120"/>
        <w:ind w:right="1448"/>
        <w:rPr>
          <w:sz w:val="24"/>
        </w:rPr>
      </w:pPr>
      <w:r w:rsidRPr="00150EDC">
        <w:rPr>
          <w:sz w:val="24"/>
        </w:rPr>
        <w:t>The</w:t>
      </w:r>
      <w:r w:rsidRPr="00150EDC">
        <w:rPr>
          <w:spacing w:val="-2"/>
          <w:sz w:val="24"/>
        </w:rPr>
        <w:t xml:space="preserve"> </w:t>
      </w:r>
      <w:r w:rsidRPr="00150EDC">
        <w:rPr>
          <w:sz w:val="24"/>
        </w:rPr>
        <w:t>Buyer</w:t>
      </w:r>
      <w:r w:rsidRPr="00150EDC">
        <w:rPr>
          <w:spacing w:val="-4"/>
          <w:sz w:val="24"/>
        </w:rPr>
        <w:t xml:space="preserve"> </w:t>
      </w:r>
      <w:r w:rsidRPr="00150EDC">
        <w:rPr>
          <w:sz w:val="24"/>
        </w:rPr>
        <w:t>shall</w:t>
      </w:r>
      <w:r w:rsidRPr="00150EDC">
        <w:rPr>
          <w:spacing w:val="-3"/>
          <w:sz w:val="24"/>
        </w:rPr>
        <w:t xml:space="preserve"> </w:t>
      </w:r>
      <w:r w:rsidRPr="00150EDC">
        <w:rPr>
          <w:sz w:val="24"/>
        </w:rPr>
        <w:t>have</w:t>
      </w:r>
      <w:r w:rsidRPr="00150EDC">
        <w:rPr>
          <w:spacing w:val="-2"/>
          <w:sz w:val="24"/>
        </w:rPr>
        <w:t xml:space="preserve"> </w:t>
      </w:r>
      <w:r w:rsidRPr="00150EDC">
        <w:rPr>
          <w:sz w:val="24"/>
        </w:rPr>
        <w:t>an</w:t>
      </w:r>
      <w:r w:rsidRPr="00150EDC">
        <w:rPr>
          <w:spacing w:val="-2"/>
          <w:sz w:val="24"/>
        </w:rPr>
        <w:t xml:space="preserve"> </w:t>
      </w:r>
      <w:r w:rsidRPr="00150EDC">
        <w:rPr>
          <w:sz w:val="24"/>
        </w:rPr>
        <w:t>option</w:t>
      </w:r>
      <w:r w:rsidRPr="00150EDC">
        <w:rPr>
          <w:spacing w:val="-4"/>
          <w:sz w:val="24"/>
        </w:rPr>
        <w:t xml:space="preserve"> </w:t>
      </w:r>
      <w:r w:rsidRPr="00150EDC">
        <w:rPr>
          <w:sz w:val="24"/>
        </w:rPr>
        <w:t>to</w:t>
      </w:r>
      <w:r w:rsidRPr="00150EDC">
        <w:rPr>
          <w:spacing w:val="-4"/>
          <w:sz w:val="24"/>
        </w:rPr>
        <w:t xml:space="preserve"> </w:t>
      </w:r>
      <w:r w:rsidRPr="00150EDC">
        <w:rPr>
          <w:sz w:val="24"/>
        </w:rPr>
        <w:t>extend</w:t>
      </w:r>
      <w:r w:rsidRPr="00150EDC">
        <w:rPr>
          <w:spacing w:val="-2"/>
          <w:sz w:val="24"/>
        </w:rPr>
        <w:t xml:space="preserve"> </w:t>
      </w:r>
      <w:r w:rsidRPr="00150EDC">
        <w:rPr>
          <w:sz w:val="24"/>
        </w:rPr>
        <w:t>the</w:t>
      </w:r>
      <w:r w:rsidRPr="00150EDC">
        <w:rPr>
          <w:spacing w:val="-4"/>
          <w:sz w:val="24"/>
        </w:rPr>
        <w:t xml:space="preserve"> </w:t>
      </w:r>
      <w:r w:rsidRPr="00150EDC">
        <w:rPr>
          <w:sz w:val="24"/>
        </w:rPr>
        <w:t>Termination</w:t>
      </w:r>
      <w:r w:rsidRPr="00150EDC">
        <w:rPr>
          <w:spacing w:val="-2"/>
          <w:sz w:val="24"/>
        </w:rPr>
        <w:t xml:space="preserve"> </w:t>
      </w:r>
      <w:r w:rsidRPr="00150EDC">
        <w:rPr>
          <w:sz w:val="24"/>
        </w:rPr>
        <w:t>Assistance</w:t>
      </w:r>
      <w:r w:rsidRPr="00150EDC">
        <w:rPr>
          <w:spacing w:val="-2"/>
          <w:sz w:val="24"/>
        </w:rPr>
        <w:t xml:space="preserve"> </w:t>
      </w:r>
      <w:r w:rsidRPr="00150EDC">
        <w:rPr>
          <w:sz w:val="24"/>
        </w:rPr>
        <w:t>Period beyond the initial period specified in the Termination Assistance Notice in one or more extensions, in each case provided that:</w:t>
      </w:r>
    </w:p>
    <w:p w14:paraId="0C59930C" w14:textId="77777777" w:rsidR="004C7180" w:rsidRPr="00150EDC" w:rsidRDefault="00CF0754" w:rsidP="00B320C7">
      <w:pPr>
        <w:pStyle w:val="ListParagraph"/>
        <w:numPr>
          <w:ilvl w:val="2"/>
          <w:numId w:val="39"/>
        </w:numPr>
        <w:tabs>
          <w:tab w:val="left" w:pos="2117"/>
          <w:tab w:val="left" w:pos="2119"/>
        </w:tabs>
        <w:spacing w:before="120"/>
        <w:ind w:left="2119" w:right="1438"/>
        <w:rPr>
          <w:sz w:val="24"/>
        </w:rPr>
      </w:pPr>
      <w:r w:rsidRPr="00150EDC">
        <w:rPr>
          <w:sz w:val="24"/>
        </w:rPr>
        <w:t>no such extension shall extend the Termination Assistance</w:t>
      </w:r>
      <w:r w:rsidRPr="00150EDC">
        <w:rPr>
          <w:spacing w:val="-1"/>
          <w:sz w:val="24"/>
        </w:rPr>
        <w:t xml:space="preserve"> </w:t>
      </w:r>
      <w:r w:rsidRPr="00150EDC">
        <w:rPr>
          <w:sz w:val="24"/>
        </w:rPr>
        <w:t>Period</w:t>
      </w:r>
      <w:r w:rsidRPr="00150EDC">
        <w:rPr>
          <w:spacing w:val="-1"/>
          <w:sz w:val="24"/>
        </w:rPr>
        <w:t xml:space="preserve"> </w:t>
      </w:r>
      <w:r w:rsidRPr="00150EDC">
        <w:rPr>
          <w:sz w:val="24"/>
        </w:rPr>
        <w:t>beyond the date twelve (12) Months after the End Date; and</w:t>
      </w:r>
    </w:p>
    <w:p w14:paraId="636AF944" w14:textId="77777777" w:rsidR="004C7180" w:rsidRPr="00150EDC" w:rsidRDefault="00CF0754" w:rsidP="00B320C7">
      <w:pPr>
        <w:pStyle w:val="ListParagraph"/>
        <w:numPr>
          <w:ilvl w:val="2"/>
          <w:numId w:val="39"/>
        </w:numPr>
        <w:tabs>
          <w:tab w:val="left" w:pos="2117"/>
        </w:tabs>
        <w:spacing w:before="120"/>
        <w:ind w:left="2117" w:hanging="718"/>
        <w:rPr>
          <w:sz w:val="24"/>
        </w:rPr>
      </w:pPr>
      <w:r w:rsidRPr="00150EDC">
        <w:rPr>
          <w:sz w:val="24"/>
        </w:rPr>
        <w:t>the</w:t>
      </w:r>
      <w:r w:rsidRPr="00150EDC">
        <w:rPr>
          <w:spacing w:val="9"/>
          <w:sz w:val="24"/>
        </w:rPr>
        <w:t xml:space="preserve"> </w:t>
      </w:r>
      <w:r w:rsidRPr="00150EDC">
        <w:rPr>
          <w:sz w:val="24"/>
        </w:rPr>
        <w:t>Buyer</w:t>
      </w:r>
      <w:r w:rsidRPr="00150EDC">
        <w:rPr>
          <w:spacing w:val="9"/>
          <w:sz w:val="24"/>
        </w:rPr>
        <w:t xml:space="preserve"> </w:t>
      </w:r>
      <w:r w:rsidRPr="00150EDC">
        <w:rPr>
          <w:sz w:val="24"/>
        </w:rPr>
        <w:t>shall</w:t>
      </w:r>
      <w:r w:rsidRPr="00150EDC">
        <w:rPr>
          <w:spacing w:val="10"/>
          <w:sz w:val="24"/>
        </w:rPr>
        <w:t xml:space="preserve"> </w:t>
      </w:r>
      <w:r w:rsidRPr="00150EDC">
        <w:rPr>
          <w:sz w:val="24"/>
        </w:rPr>
        <w:t>notify</w:t>
      </w:r>
      <w:r w:rsidRPr="00150EDC">
        <w:rPr>
          <w:spacing w:val="10"/>
          <w:sz w:val="24"/>
        </w:rPr>
        <w:t xml:space="preserve"> </w:t>
      </w:r>
      <w:r w:rsidRPr="00150EDC">
        <w:rPr>
          <w:sz w:val="24"/>
        </w:rPr>
        <w:t>the</w:t>
      </w:r>
      <w:r w:rsidRPr="00150EDC">
        <w:rPr>
          <w:spacing w:val="13"/>
          <w:sz w:val="24"/>
        </w:rPr>
        <w:t xml:space="preserve"> </w:t>
      </w:r>
      <w:r w:rsidRPr="00150EDC">
        <w:rPr>
          <w:sz w:val="24"/>
        </w:rPr>
        <w:t>Supplier</w:t>
      </w:r>
      <w:r w:rsidRPr="00150EDC">
        <w:rPr>
          <w:spacing w:val="13"/>
          <w:sz w:val="24"/>
        </w:rPr>
        <w:t xml:space="preserve"> </w:t>
      </w:r>
      <w:r w:rsidRPr="00150EDC">
        <w:rPr>
          <w:sz w:val="24"/>
        </w:rPr>
        <w:t>of</w:t>
      </w:r>
      <w:r w:rsidRPr="00150EDC">
        <w:rPr>
          <w:spacing w:val="11"/>
          <w:sz w:val="24"/>
        </w:rPr>
        <w:t xml:space="preserve"> </w:t>
      </w:r>
      <w:r w:rsidRPr="00150EDC">
        <w:rPr>
          <w:sz w:val="24"/>
        </w:rPr>
        <w:t>any</w:t>
      </w:r>
      <w:r w:rsidRPr="00150EDC">
        <w:rPr>
          <w:spacing w:val="10"/>
          <w:sz w:val="24"/>
        </w:rPr>
        <w:t xml:space="preserve"> </w:t>
      </w:r>
      <w:r w:rsidRPr="00150EDC">
        <w:rPr>
          <w:sz w:val="24"/>
        </w:rPr>
        <w:t>such</w:t>
      </w:r>
      <w:r w:rsidRPr="00150EDC">
        <w:rPr>
          <w:spacing w:val="13"/>
          <w:sz w:val="24"/>
        </w:rPr>
        <w:t xml:space="preserve"> </w:t>
      </w:r>
      <w:r w:rsidRPr="00150EDC">
        <w:rPr>
          <w:sz w:val="24"/>
        </w:rPr>
        <w:t>extension</w:t>
      </w:r>
      <w:r w:rsidRPr="00150EDC">
        <w:rPr>
          <w:spacing w:val="13"/>
          <w:sz w:val="24"/>
        </w:rPr>
        <w:t xml:space="preserve"> </w:t>
      </w:r>
      <w:r w:rsidRPr="00150EDC">
        <w:rPr>
          <w:sz w:val="24"/>
        </w:rPr>
        <w:t>no</w:t>
      </w:r>
      <w:r w:rsidRPr="00150EDC">
        <w:rPr>
          <w:spacing w:val="13"/>
          <w:sz w:val="24"/>
        </w:rPr>
        <w:t xml:space="preserve"> </w:t>
      </w:r>
      <w:r w:rsidRPr="00150EDC">
        <w:rPr>
          <w:sz w:val="24"/>
        </w:rPr>
        <w:t>later</w:t>
      </w:r>
      <w:r w:rsidRPr="00150EDC">
        <w:rPr>
          <w:spacing w:val="12"/>
          <w:sz w:val="24"/>
        </w:rPr>
        <w:t xml:space="preserve"> </w:t>
      </w:r>
      <w:r w:rsidRPr="00150EDC">
        <w:rPr>
          <w:sz w:val="24"/>
        </w:rPr>
        <w:t>than</w:t>
      </w:r>
      <w:r w:rsidRPr="00150EDC">
        <w:rPr>
          <w:spacing w:val="14"/>
          <w:sz w:val="24"/>
        </w:rPr>
        <w:t xml:space="preserve"> </w:t>
      </w:r>
      <w:r w:rsidRPr="00150EDC">
        <w:rPr>
          <w:spacing w:val="-2"/>
          <w:sz w:val="24"/>
        </w:rPr>
        <w:t>twenty</w:t>
      </w:r>
    </w:p>
    <w:p w14:paraId="19E9919A" w14:textId="77777777" w:rsidR="004C7180" w:rsidRPr="00150EDC" w:rsidRDefault="00CF0754">
      <w:pPr>
        <w:pStyle w:val="BodyText"/>
        <w:ind w:left="2119" w:right="1323"/>
      </w:pPr>
      <w:r w:rsidRPr="00150EDC">
        <w:t>(20)</w:t>
      </w:r>
      <w:r w:rsidRPr="00150EDC">
        <w:rPr>
          <w:spacing w:val="-16"/>
        </w:rPr>
        <w:t xml:space="preserve"> </w:t>
      </w:r>
      <w:r w:rsidRPr="00150EDC">
        <w:t>Working</w:t>
      </w:r>
      <w:r w:rsidRPr="00150EDC">
        <w:rPr>
          <w:spacing w:val="-15"/>
        </w:rPr>
        <w:t xml:space="preserve"> </w:t>
      </w:r>
      <w:r w:rsidRPr="00150EDC">
        <w:t>Days</w:t>
      </w:r>
      <w:r w:rsidRPr="00150EDC">
        <w:rPr>
          <w:spacing w:val="-17"/>
        </w:rPr>
        <w:t xml:space="preserve"> </w:t>
      </w:r>
      <w:r w:rsidRPr="00150EDC">
        <w:t>prior</w:t>
      </w:r>
      <w:r w:rsidRPr="00150EDC">
        <w:rPr>
          <w:spacing w:val="-17"/>
        </w:rPr>
        <w:t xml:space="preserve"> </w:t>
      </w:r>
      <w:r w:rsidRPr="00150EDC">
        <w:t>to</w:t>
      </w:r>
      <w:r w:rsidRPr="00150EDC">
        <w:rPr>
          <w:spacing w:val="-15"/>
        </w:rPr>
        <w:t xml:space="preserve"> </w:t>
      </w:r>
      <w:r w:rsidRPr="00150EDC">
        <w:t>the</w:t>
      </w:r>
      <w:r w:rsidRPr="00150EDC">
        <w:rPr>
          <w:spacing w:val="-17"/>
        </w:rPr>
        <w:t xml:space="preserve"> </w:t>
      </w:r>
      <w:r w:rsidRPr="00150EDC">
        <w:t>date</w:t>
      </w:r>
      <w:r w:rsidRPr="00150EDC">
        <w:rPr>
          <w:spacing w:val="-17"/>
        </w:rPr>
        <w:t xml:space="preserve"> </w:t>
      </w:r>
      <w:r w:rsidRPr="00150EDC">
        <w:t>on</w:t>
      </w:r>
      <w:r w:rsidRPr="00150EDC">
        <w:rPr>
          <w:spacing w:val="-16"/>
        </w:rPr>
        <w:t xml:space="preserve"> </w:t>
      </w:r>
      <w:r w:rsidRPr="00150EDC">
        <w:t>which</w:t>
      </w:r>
      <w:r w:rsidRPr="00150EDC">
        <w:rPr>
          <w:spacing w:val="-17"/>
        </w:rPr>
        <w:t xml:space="preserve"> </w:t>
      </w:r>
      <w:r w:rsidRPr="00150EDC">
        <w:t>the</w:t>
      </w:r>
      <w:r w:rsidRPr="00150EDC">
        <w:rPr>
          <w:spacing w:val="-15"/>
        </w:rPr>
        <w:t xml:space="preserve"> </w:t>
      </w:r>
      <w:r w:rsidRPr="00150EDC">
        <w:t>Termination</w:t>
      </w:r>
      <w:r w:rsidRPr="00150EDC">
        <w:rPr>
          <w:spacing w:val="-17"/>
        </w:rPr>
        <w:t xml:space="preserve"> </w:t>
      </w:r>
      <w:r w:rsidRPr="00150EDC">
        <w:t>Assistance</w:t>
      </w:r>
      <w:r w:rsidRPr="00150EDC">
        <w:rPr>
          <w:spacing w:val="-17"/>
        </w:rPr>
        <w:t xml:space="preserve"> </w:t>
      </w:r>
      <w:r w:rsidRPr="00150EDC">
        <w:t>Period is otherwise due to expire.</w:t>
      </w:r>
    </w:p>
    <w:p w14:paraId="30838A00" w14:textId="77777777" w:rsidR="004C7180" w:rsidRPr="00150EDC" w:rsidRDefault="00CF0754" w:rsidP="00B320C7">
      <w:pPr>
        <w:pStyle w:val="ListParagraph"/>
        <w:numPr>
          <w:ilvl w:val="1"/>
          <w:numId w:val="39"/>
        </w:numPr>
        <w:tabs>
          <w:tab w:val="left" w:pos="2326"/>
          <w:tab w:val="left" w:pos="2328"/>
        </w:tabs>
        <w:spacing w:before="120"/>
        <w:ind w:right="1436"/>
        <w:jc w:val="both"/>
        <w:rPr>
          <w:sz w:val="24"/>
        </w:rPr>
      </w:pPr>
      <w:r w:rsidRPr="00150EDC">
        <w:rPr>
          <w:sz w:val="24"/>
        </w:rPr>
        <w:t>The Buyer shall have the right to terminate its requirement for Termination Assistance by serving not less than (20) Working Days' written notice upon the Supplier.</w:t>
      </w:r>
    </w:p>
    <w:p w14:paraId="4151FFA9" w14:textId="77777777" w:rsidR="004C7180" w:rsidRPr="00150EDC" w:rsidRDefault="00CF0754" w:rsidP="00B320C7">
      <w:pPr>
        <w:pStyle w:val="ListParagraph"/>
        <w:numPr>
          <w:ilvl w:val="1"/>
          <w:numId w:val="39"/>
        </w:numPr>
        <w:tabs>
          <w:tab w:val="left" w:pos="2326"/>
          <w:tab w:val="left" w:pos="2328"/>
        </w:tabs>
        <w:spacing w:before="118"/>
        <w:ind w:right="1565"/>
        <w:rPr>
          <w:sz w:val="24"/>
        </w:rPr>
      </w:pPr>
      <w:r w:rsidRPr="00150EDC">
        <w:rPr>
          <w:sz w:val="24"/>
        </w:rPr>
        <w:t>In</w:t>
      </w:r>
      <w:r w:rsidRPr="00150EDC">
        <w:rPr>
          <w:spacing w:val="-1"/>
          <w:sz w:val="24"/>
        </w:rPr>
        <w:t xml:space="preserve"> </w:t>
      </w:r>
      <w:r w:rsidRPr="00150EDC">
        <w:rPr>
          <w:sz w:val="24"/>
        </w:rPr>
        <w:t>the</w:t>
      </w:r>
      <w:r w:rsidRPr="00150EDC">
        <w:rPr>
          <w:spacing w:val="-1"/>
          <w:sz w:val="24"/>
        </w:rPr>
        <w:t xml:space="preserve"> </w:t>
      </w:r>
      <w:r w:rsidRPr="00150EDC">
        <w:rPr>
          <w:sz w:val="24"/>
        </w:rPr>
        <w:t>event</w:t>
      </w:r>
      <w:r w:rsidRPr="00150EDC">
        <w:rPr>
          <w:spacing w:val="-4"/>
          <w:sz w:val="24"/>
        </w:rPr>
        <w:t xml:space="preserve"> </w:t>
      </w:r>
      <w:r w:rsidRPr="00150EDC">
        <w:rPr>
          <w:sz w:val="24"/>
        </w:rPr>
        <w:t>that</w:t>
      </w:r>
      <w:r w:rsidRPr="00150EDC">
        <w:rPr>
          <w:spacing w:val="-1"/>
          <w:sz w:val="24"/>
        </w:rPr>
        <w:t xml:space="preserve"> </w:t>
      </w:r>
      <w:r w:rsidRPr="00150EDC">
        <w:rPr>
          <w:sz w:val="24"/>
        </w:rPr>
        <w:t>Termination</w:t>
      </w:r>
      <w:r w:rsidRPr="00150EDC">
        <w:rPr>
          <w:spacing w:val="-1"/>
          <w:sz w:val="24"/>
        </w:rPr>
        <w:t xml:space="preserve"> </w:t>
      </w:r>
      <w:r w:rsidRPr="00150EDC">
        <w:rPr>
          <w:sz w:val="24"/>
        </w:rPr>
        <w:t>Assistance</w:t>
      </w:r>
      <w:r w:rsidRPr="00150EDC">
        <w:rPr>
          <w:spacing w:val="-1"/>
          <w:sz w:val="24"/>
        </w:rPr>
        <w:t xml:space="preserve"> </w:t>
      </w:r>
      <w:r w:rsidRPr="00150EDC">
        <w:rPr>
          <w:sz w:val="24"/>
        </w:rPr>
        <w:t>is</w:t>
      </w:r>
      <w:r w:rsidRPr="00150EDC">
        <w:rPr>
          <w:spacing w:val="-2"/>
          <w:sz w:val="24"/>
        </w:rPr>
        <w:t xml:space="preserve"> </w:t>
      </w:r>
      <w:r w:rsidRPr="00150EDC">
        <w:rPr>
          <w:sz w:val="24"/>
        </w:rPr>
        <w:t>required</w:t>
      </w:r>
      <w:r w:rsidRPr="00150EDC">
        <w:rPr>
          <w:spacing w:val="-3"/>
          <w:sz w:val="24"/>
        </w:rPr>
        <w:t xml:space="preserve"> </w:t>
      </w:r>
      <w:r w:rsidRPr="00150EDC">
        <w:rPr>
          <w:sz w:val="24"/>
        </w:rPr>
        <w:t>by</w:t>
      </w:r>
      <w:r w:rsidRPr="00150EDC">
        <w:rPr>
          <w:spacing w:val="-2"/>
          <w:sz w:val="24"/>
        </w:rPr>
        <w:t xml:space="preserve"> </w:t>
      </w:r>
      <w:r w:rsidRPr="00150EDC">
        <w:rPr>
          <w:sz w:val="24"/>
        </w:rPr>
        <w:t>the</w:t>
      </w:r>
      <w:r w:rsidRPr="00150EDC">
        <w:rPr>
          <w:spacing w:val="-1"/>
          <w:sz w:val="24"/>
        </w:rPr>
        <w:t xml:space="preserve"> </w:t>
      </w:r>
      <w:r w:rsidRPr="00150EDC">
        <w:rPr>
          <w:sz w:val="24"/>
        </w:rPr>
        <w:t>Buyer</w:t>
      </w:r>
      <w:r w:rsidRPr="00150EDC">
        <w:rPr>
          <w:spacing w:val="-3"/>
          <w:sz w:val="24"/>
        </w:rPr>
        <w:t xml:space="preserve"> </w:t>
      </w:r>
      <w:r w:rsidRPr="00150EDC">
        <w:rPr>
          <w:sz w:val="24"/>
        </w:rPr>
        <w:t>but</w:t>
      </w:r>
      <w:r w:rsidRPr="00150EDC">
        <w:rPr>
          <w:spacing w:val="-1"/>
          <w:sz w:val="24"/>
        </w:rPr>
        <w:t xml:space="preserve"> </w:t>
      </w:r>
      <w:r w:rsidRPr="00150EDC">
        <w:rPr>
          <w:sz w:val="24"/>
        </w:rPr>
        <w:t>at</w:t>
      </w:r>
      <w:r w:rsidRPr="00150EDC">
        <w:rPr>
          <w:spacing w:val="-1"/>
          <w:sz w:val="24"/>
        </w:rPr>
        <w:t xml:space="preserve"> </w:t>
      </w:r>
      <w:r w:rsidRPr="00150EDC">
        <w:rPr>
          <w:sz w:val="24"/>
        </w:rPr>
        <w:t>the relevant time the parties are still agreeing an update to the Exit Plan pursuant to Paragraph 4, the Supplier will provide the Termination Assistance in good faith and in accordance with the principles in this Schedule</w:t>
      </w:r>
      <w:r w:rsidRPr="00150EDC">
        <w:rPr>
          <w:spacing w:val="-3"/>
          <w:sz w:val="24"/>
        </w:rPr>
        <w:t xml:space="preserve"> </w:t>
      </w:r>
      <w:r w:rsidRPr="00150EDC">
        <w:rPr>
          <w:sz w:val="24"/>
        </w:rPr>
        <w:t>and</w:t>
      </w:r>
      <w:r w:rsidRPr="00150EDC">
        <w:rPr>
          <w:spacing w:val="-3"/>
          <w:sz w:val="24"/>
        </w:rPr>
        <w:t xml:space="preserve"> </w:t>
      </w:r>
      <w:r w:rsidRPr="00150EDC">
        <w:rPr>
          <w:sz w:val="24"/>
        </w:rPr>
        <w:t>the</w:t>
      </w:r>
      <w:r w:rsidRPr="00150EDC">
        <w:rPr>
          <w:spacing w:val="-1"/>
          <w:sz w:val="24"/>
        </w:rPr>
        <w:t xml:space="preserve"> </w:t>
      </w:r>
      <w:r w:rsidRPr="00150EDC">
        <w:rPr>
          <w:sz w:val="24"/>
        </w:rPr>
        <w:t>last</w:t>
      </w:r>
      <w:r w:rsidRPr="00150EDC">
        <w:rPr>
          <w:spacing w:val="-4"/>
          <w:sz w:val="24"/>
        </w:rPr>
        <w:t xml:space="preserve"> </w:t>
      </w:r>
      <w:r w:rsidRPr="00150EDC">
        <w:rPr>
          <w:sz w:val="24"/>
        </w:rPr>
        <w:t>Buyer</w:t>
      </w:r>
      <w:r w:rsidRPr="00150EDC">
        <w:rPr>
          <w:spacing w:val="-3"/>
          <w:sz w:val="24"/>
        </w:rPr>
        <w:t xml:space="preserve"> </w:t>
      </w:r>
      <w:r w:rsidRPr="00150EDC">
        <w:rPr>
          <w:sz w:val="24"/>
        </w:rPr>
        <w:t>approved</w:t>
      </w:r>
      <w:r w:rsidRPr="00150EDC">
        <w:rPr>
          <w:spacing w:val="-1"/>
          <w:sz w:val="24"/>
        </w:rPr>
        <w:t xml:space="preserve"> </w:t>
      </w:r>
      <w:r w:rsidRPr="00150EDC">
        <w:rPr>
          <w:sz w:val="24"/>
        </w:rPr>
        <w:t>version</w:t>
      </w:r>
      <w:r w:rsidRPr="00150EDC">
        <w:rPr>
          <w:spacing w:val="-1"/>
          <w:sz w:val="24"/>
        </w:rPr>
        <w:t xml:space="preserve"> </w:t>
      </w:r>
      <w:r w:rsidRPr="00150EDC">
        <w:rPr>
          <w:sz w:val="24"/>
        </w:rPr>
        <w:t>of</w:t>
      </w:r>
      <w:r w:rsidRPr="00150EDC">
        <w:rPr>
          <w:spacing w:val="-4"/>
          <w:sz w:val="24"/>
        </w:rPr>
        <w:t xml:space="preserve"> </w:t>
      </w:r>
      <w:r w:rsidRPr="00150EDC">
        <w:rPr>
          <w:sz w:val="24"/>
        </w:rPr>
        <w:t>the</w:t>
      </w:r>
      <w:r w:rsidRPr="00150EDC">
        <w:rPr>
          <w:spacing w:val="-3"/>
          <w:sz w:val="24"/>
        </w:rPr>
        <w:t xml:space="preserve"> </w:t>
      </w:r>
      <w:r w:rsidRPr="00150EDC">
        <w:rPr>
          <w:sz w:val="24"/>
        </w:rPr>
        <w:t>Exit</w:t>
      </w:r>
      <w:r w:rsidRPr="00150EDC">
        <w:rPr>
          <w:spacing w:val="-1"/>
          <w:sz w:val="24"/>
        </w:rPr>
        <w:t xml:space="preserve"> </w:t>
      </w:r>
      <w:r w:rsidRPr="00150EDC">
        <w:rPr>
          <w:sz w:val="24"/>
        </w:rPr>
        <w:t>Plan</w:t>
      </w:r>
      <w:r w:rsidRPr="00150EDC">
        <w:rPr>
          <w:spacing w:val="-1"/>
          <w:sz w:val="24"/>
        </w:rPr>
        <w:t xml:space="preserve"> </w:t>
      </w:r>
      <w:r w:rsidRPr="00150EDC">
        <w:rPr>
          <w:sz w:val="24"/>
        </w:rPr>
        <w:t>(insofar</w:t>
      </w:r>
      <w:r w:rsidRPr="00150EDC">
        <w:rPr>
          <w:spacing w:val="-3"/>
          <w:sz w:val="24"/>
        </w:rPr>
        <w:t xml:space="preserve"> </w:t>
      </w:r>
      <w:r w:rsidRPr="00150EDC">
        <w:rPr>
          <w:sz w:val="24"/>
        </w:rPr>
        <w:t>as</w:t>
      </w:r>
      <w:r w:rsidRPr="00150EDC">
        <w:rPr>
          <w:spacing w:val="-2"/>
          <w:sz w:val="24"/>
        </w:rPr>
        <w:t xml:space="preserve"> </w:t>
      </w:r>
      <w:r w:rsidRPr="00150EDC">
        <w:rPr>
          <w:sz w:val="24"/>
        </w:rPr>
        <w:t>it still applies).</w:t>
      </w:r>
    </w:p>
    <w:p w14:paraId="01C9D230" w14:textId="77777777" w:rsidR="004C7180" w:rsidRPr="00150EDC" w:rsidRDefault="004C7180">
      <w:pPr>
        <w:rPr>
          <w:sz w:val="24"/>
        </w:rPr>
        <w:sectPr w:rsidR="004C7180" w:rsidRPr="00150EDC">
          <w:pgSz w:w="11910" w:h="16840"/>
          <w:pgMar w:top="1380" w:right="0" w:bottom="1380" w:left="40" w:header="715" w:footer="1192" w:gutter="0"/>
          <w:cols w:space="720"/>
        </w:sectPr>
      </w:pPr>
    </w:p>
    <w:p w14:paraId="36911C1B" w14:textId="77777777" w:rsidR="004C7180" w:rsidRPr="00150EDC" w:rsidRDefault="004C7180">
      <w:pPr>
        <w:pStyle w:val="BodyText"/>
        <w:spacing w:before="5"/>
        <w:rPr>
          <w:sz w:val="15"/>
        </w:rPr>
      </w:pPr>
    </w:p>
    <w:p w14:paraId="77F01924" w14:textId="77777777" w:rsidR="004C7180" w:rsidRPr="00150EDC" w:rsidRDefault="00CF0754" w:rsidP="00B320C7">
      <w:pPr>
        <w:pStyle w:val="Heading4"/>
        <w:numPr>
          <w:ilvl w:val="0"/>
          <w:numId w:val="39"/>
        </w:numPr>
        <w:tabs>
          <w:tab w:val="left" w:pos="2042"/>
        </w:tabs>
        <w:spacing w:before="92"/>
        <w:ind w:left="2042" w:hanging="359"/>
      </w:pPr>
      <w:r w:rsidRPr="00150EDC">
        <w:t>Termination</w:t>
      </w:r>
      <w:r w:rsidRPr="00150EDC">
        <w:rPr>
          <w:spacing w:val="-5"/>
        </w:rPr>
        <w:t xml:space="preserve"> </w:t>
      </w:r>
      <w:r w:rsidRPr="00150EDC">
        <w:t>Assistance</w:t>
      </w:r>
      <w:r w:rsidRPr="00150EDC">
        <w:rPr>
          <w:spacing w:val="-4"/>
        </w:rPr>
        <w:t xml:space="preserve"> </w:t>
      </w:r>
      <w:r w:rsidRPr="00150EDC">
        <w:rPr>
          <w:spacing w:val="-2"/>
        </w:rPr>
        <w:t>Period</w:t>
      </w:r>
    </w:p>
    <w:p w14:paraId="5101690C" w14:textId="77777777" w:rsidR="004C7180" w:rsidRPr="00150EDC" w:rsidRDefault="004C7180">
      <w:pPr>
        <w:pStyle w:val="BodyText"/>
        <w:spacing w:before="10"/>
        <w:rPr>
          <w:b/>
          <w:sz w:val="20"/>
        </w:rPr>
      </w:pPr>
    </w:p>
    <w:p w14:paraId="3E27CBA6" w14:textId="77777777" w:rsidR="004C7180" w:rsidRPr="00150EDC" w:rsidRDefault="00CF0754" w:rsidP="00B320C7">
      <w:pPr>
        <w:pStyle w:val="ListParagraph"/>
        <w:numPr>
          <w:ilvl w:val="1"/>
          <w:numId w:val="39"/>
        </w:numPr>
        <w:tabs>
          <w:tab w:val="left" w:pos="2326"/>
        </w:tabs>
        <w:ind w:left="2326" w:hanging="358"/>
        <w:rPr>
          <w:sz w:val="24"/>
        </w:rPr>
      </w:pPr>
      <w:r w:rsidRPr="00150EDC">
        <w:rPr>
          <w:sz w:val="24"/>
        </w:rPr>
        <w:t>Throughout</w:t>
      </w:r>
      <w:r w:rsidRPr="00150EDC">
        <w:rPr>
          <w:spacing w:val="-8"/>
          <w:sz w:val="24"/>
        </w:rPr>
        <w:t xml:space="preserve"> </w:t>
      </w:r>
      <w:r w:rsidRPr="00150EDC">
        <w:rPr>
          <w:sz w:val="24"/>
        </w:rPr>
        <w:t>the</w:t>
      </w:r>
      <w:r w:rsidRPr="00150EDC">
        <w:rPr>
          <w:spacing w:val="-3"/>
          <w:sz w:val="24"/>
        </w:rPr>
        <w:t xml:space="preserve"> </w:t>
      </w:r>
      <w:r w:rsidRPr="00150EDC">
        <w:rPr>
          <w:sz w:val="24"/>
        </w:rPr>
        <w:t>Termination</w:t>
      </w:r>
      <w:r w:rsidRPr="00150EDC">
        <w:rPr>
          <w:spacing w:val="-5"/>
          <w:sz w:val="24"/>
        </w:rPr>
        <w:t xml:space="preserve"> </w:t>
      </w:r>
      <w:r w:rsidRPr="00150EDC">
        <w:rPr>
          <w:sz w:val="24"/>
        </w:rPr>
        <w:t>Assistance</w:t>
      </w:r>
      <w:r w:rsidRPr="00150EDC">
        <w:rPr>
          <w:spacing w:val="-2"/>
          <w:sz w:val="24"/>
        </w:rPr>
        <w:t xml:space="preserve"> </w:t>
      </w:r>
      <w:r w:rsidRPr="00150EDC">
        <w:rPr>
          <w:sz w:val="24"/>
        </w:rPr>
        <w:t>Period</w:t>
      </w:r>
      <w:r w:rsidRPr="00150EDC">
        <w:rPr>
          <w:spacing w:val="-3"/>
          <w:sz w:val="24"/>
        </w:rPr>
        <w:t xml:space="preserve"> </w:t>
      </w:r>
      <w:r w:rsidRPr="00150EDC">
        <w:rPr>
          <w:sz w:val="24"/>
        </w:rPr>
        <w:t>the</w:t>
      </w:r>
      <w:r w:rsidRPr="00150EDC">
        <w:rPr>
          <w:spacing w:val="-3"/>
          <w:sz w:val="24"/>
        </w:rPr>
        <w:t xml:space="preserve"> </w:t>
      </w:r>
      <w:r w:rsidRPr="00150EDC">
        <w:rPr>
          <w:sz w:val="24"/>
        </w:rPr>
        <w:t>Supplier</w:t>
      </w:r>
      <w:r w:rsidRPr="00150EDC">
        <w:rPr>
          <w:spacing w:val="-4"/>
          <w:sz w:val="24"/>
        </w:rPr>
        <w:t xml:space="preserve"> </w:t>
      </w:r>
      <w:r w:rsidRPr="00150EDC">
        <w:rPr>
          <w:spacing w:val="-2"/>
          <w:sz w:val="24"/>
        </w:rPr>
        <w:t>shall:</w:t>
      </w:r>
    </w:p>
    <w:p w14:paraId="17BC746D" w14:textId="77777777" w:rsidR="004C7180" w:rsidRPr="00150EDC" w:rsidRDefault="00CF0754" w:rsidP="00B320C7">
      <w:pPr>
        <w:pStyle w:val="ListParagraph"/>
        <w:numPr>
          <w:ilvl w:val="2"/>
          <w:numId w:val="39"/>
        </w:numPr>
        <w:tabs>
          <w:tab w:val="left" w:pos="2117"/>
          <w:tab w:val="left" w:pos="2119"/>
        </w:tabs>
        <w:spacing w:before="120"/>
        <w:ind w:left="2119" w:right="1535"/>
        <w:rPr>
          <w:sz w:val="24"/>
        </w:rPr>
      </w:pPr>
      <w:r w:rsidRPr="00150EDC">
        <w:rPr>
          <w:sz w:val="24"/>
        </w:rPr>
        <w:t>continue</w:t>
      </w:r>
      <w:r w:rsidRPr="00150EDC">
        <w:rPr>
          <w:spacing w:val="-2"/>
          <w:sz w:val="24"/>
        </w:rPr>
        <w:t xml:space="preserve"> </w:t>
      </w:r>
      <w:r w:rsidRPr="00150EDC">
        <w:rPr>
          <w:sz w:val="24"/>
        </w:rPr>
        <w:t>to</w:t>
      </w:r>
      <w:r w:rsidRPr="00150EDC">
        <w:rPr>
          <w:spacing w:val="-2"/>
          <w:sz w:val="24"/>
        </w:rPr>
        <w:t xml:space="preserve"> </w:t>
      </w:r>
      <w:r w:rsidRPr="00150EDC">
        <w:rPr>
          <w:sz w:val="24"/>
        </w:rPr>
        <w:t>provide</w:t>
      </w:r>
      <w:r w:rsidRPr="00150EDC">
        <w:rPr>
          <w:spacing w:val="-2"/>
          <w:sz w:val="24"/>
        </w:rPr>
        <w:t xml:space="preserve"> </w:t>
      </w:r>
      <w:r w:rsidRPr="00150EDC">
        <w:rPr>
          <w:sz w:val="24"/>
        </w:rPr>
        <w:t>the</w:t>
      </w:r>
      <w:r w:rsidRPr="00150EDC">
        <w:rPr>
          <w:spacing w:val="-4"/>
          <w:sz w:val="24"/>
        </w:rPr>
        <w:t xml:space="preserve"> </w:t>
      </w:r>
      <w:r w:rsidRPr="00150EDC">
        <w:rPr>
          <w:sz w:val="24"/>
        </w:rPr>
        <w:t>Deliverables</w:t>
      </w:r>
      <w:r w:rsidRPr="00150EDC">
        <w:rPr>
          <w:spacing w:val="-3"/>
          <w:sz w:val="24"/>
        </w:rPr>
        <w:t xml:space="preserve"> </w:t>
      </w:r>
      <w:r w:rsidRPr="00150EDC">
        <w:rPr>
          <w:sz w:val="24"/>
        </w:rPr>
        <w:t>(as</w:t>
      </w:r>
      <w:r w:rsidRPr="00150EDC">
        <w:rPr>
          <w:spacing w:val="-5"/>
          <w:sz w:val="24"/>
        </w:rPr>
        <w:t xml:space="preserve"> </w:t>
      </w:r>
      <w:r w:rsidRPr="00150EDC">
        <w:rPr>
          <w:sz w:val="24"/>
        </w:rPr>
        <w:t>applicable)</w:t>
      </w:r>
      <w:r w:rsidRPr="00150EDC">
        <w:rPr>
          <w:spacing w:val="-4"/>
          <w:sz w:val="24"/>
        </w:rPr>
        <w:t xml:space="preserve"> </w:t>
      </w:r>
      <w:r w:rsidRPr="00150EDC">
        <w:rPr>
          <w:sz w:val="24"/>
        </w:rPr>
        <w:t>and</w:t>
      </w:r>
      <w:r w:rsidRPr="00150EDC">
        <w:rPr>
          <w:spacing w:val="-4"/>
          <w:sz w:val="24"/>
        </w:rPr>
        <w:t xml:space="preserve"> </w:t>
      </w:r>
      <w:r w:rsidRPr="00150EDC">
        <w:rPr>
          <w:sz w:val="24"/>
        </w:rPr>
        <w:t>otherwise</w:t>
      </w:r>
      <w:r w:rsidRPr="00150EDC">
        <w:rPr>
          <w:spacing w:val="-2"/>
          <w:sz w:val="24"/>
        </w:rPr>
        <w:t xml:space="preserve"> </w:t>
      </w:r>
      <w:r w:rsidRPr="00150EDC">
        <w:rPr>
          <w:sz w:val="24"/>
        </w:rPr>
        <w:t>perform</w:t>
      </w:r>
      <w:r w:rsidRPr="00150EDC">
        <w:rPr>
          <w:spacing w:val="-1"/>
          <w:sz w:val="24"/>
        </w:rPr>
        <w:t xml:space="preserve"> </w:t>
      </w:r>
      <w:r w:rsidRPr="00150EDC">
        <w:rPr>
          <w:sz w:val="24"/>
        </w:rPr>
        <w:t>its obligations under this Contract and, if required by the Buyer, provide the Termination Assistance;</w:t>
      </w:r>
    </w:p>
    <w:p w14:paraId="33CB3A43" w14:textId="77777777" w:rsidR="004C7180" w:rsidRPr="00150EDC" w:rsidRDefault="00CF0754" w:rsidP="00B320C7">
      <w:pPr>
        <w:pStyle w:val="ListParagraph"/>
        <w:numPr>
          <w:ilvl w:val="2"/>
          <w:numId w:val="39"/>
        </w:numPr>
        <w:tabs>
          <w:tab w:val="left" w:pos="2117"/>
          <w:tab w:val="left" w:pos="2119"/>
        </w:tabs>
        <w:spacing w:before="120"/>
        <w:ind w:left="2119" w:right="1524"/>
        <w:rPr>
          <w:sz w:val="24"/>
        </w:rPr>
      </w:pPr>
      <w:r w:rsidRPr="00150EDC">
        <w:rPr>
          <w:sz w:val="24"/>
        </w:rPr>
        <w:t>provide to the Buyer and/or its Replacement Supplier any reasonable assistance and/or access requested by the Buyer and/or its Replacement Supplier</w:t>
      </w:r>
      <w:r w:rsidRPr="00150EDC">
        <w:rPr>
          <w:spacing w:val="-4"/>
          <w:sz w:val="24"/>
        </w:rPr>
        <w:t xml:space="preserve"> </w:t>
      </w:r>
      <w:r w:rsidRPr="00150EDC">
        <w:rPr>
          <w:sz w:val="24"/>
        </w:rPr>
        <w:t>including</w:t>
      </w:r>
      <w:r w:rsidRPr="00150EDC">
        <w:rPr>
          <w:spacing w:val="-2"/>
          <w:sz w:val="24"/>
        </w:rPr>
        <w:t xml:space="preserve"> </w:t>
      </w:r>
      <w:r w:rsidRPr="00150EDC">
        <w:rPr>
          <w:sz w:val="24"/>
        </w:rPr>
        <w:t>assistance</w:t>
      </w:r>
      <w:r w:rsidRPr="00150EDC">
        <w:rPr>
          <w:spacing w:val="-4"/>
          <w:sz w:val="24"/>
        </w:rPr>
        <w:t xml:space="preserve"> </w:t>
      </w:r>
      <w:r w:rsidRPr="00150EDC">
        <w:rPr>
          <w:sz w:val="24"/>
        </w:rPr>
        <w:t>and/or</w:t>
      </w:r>
      <w:r w:rsidRPr="00150EDC">
        <w:rPr>
          <w:spacing w:val="-6"/>
          <w:sz w:val="24"/>
        </w:rPr>
        <w:t xml:space="preserve"> </w:t>
      </w:r>
      <w:r w:rsidRPr="00150EDC">
        <w:rPr>
          <w:sz w:val="24"/>
        </w:rPr>
        <w:t>access</w:t>
      </w:r>
      <w:r w:rsidRPr="00150EDC">
        <w:rPr>
          <w:spacing w:val="-3"/>
          <w:sz w:val="24"/>
        </w:rPr>
        <w:t xml:space="preserve"> </w:t>
      </w:r>
      <w:r w:rsidRPr="00150EDC">
        <w:rPr>
          <w:sz w:val="24"/>
        </w:rPr>
        <w:t>to</w:t>
      </w:r>
      <w:r w:rsidRPr="00150EDC">
        <w:rPr>
          <w:spacing w:val="-2"/>
          <w:sz w:val="24"/>
        </w:rPr>
        <w:t xml:space="preserve"> </w:t>
      </w:r>
      <w:r w:rsidRPr="00150EDC">
        <w:rPr>
          <w:sz w:val="24"/>
        </w:rPr>
        <w:t>facilitate</w:t>
      </w:r>
      <w:r w:rsidRPr="00150EDC">
        <w:rPr>
          <w:spacing w:val="-2"/>
          <w:sz w:val="24"/>
        </w:rPr>
        <w:t xml:space="preserve"> </w:t>
      </w:r>
      <w:r w:rsidRPr="00150EDC">
        <w:rPr>
          <w:sz w:val="24"/>
        </w:rPr>
        <w:t>the</w:t>
      </w:r>
      <w:r w:rsidRPr="00150EDC">
        <w:rPr>
          <w:spacing w:val="-4"/>
          <w:sz w:val="24"/>
        </w:rPr>
        <w:t xml:space="preserve"> </w:t>
      </w:r>
      <w:r w:rsidRPr="00150EDC">
        <w:rPr>
          <w:sz w:val="24"/>
        </w:rPr>
        <w:t>orderly</w:t>
      </w:r>
      <w:r w:rsidRPr="00150EDC">
        <w:rPr>
          <w:spacing w:val="-3"/>
          <w:sz w:val="24"/>
        </w:rPr>
        <w:t xml:space="preserve"> </w:t>
      </w:r>
      <w:r w:rsidRPr="00150EDC">
        <w:rPr>
          <w:sz w:val="24"/>
        </w:rPr>
        <w:t>transfer</w:t>
      </w:r>
      <w:r w:rsidRPr="00150EDC">
        <w:rPr>
          <w:spacing w:val="-4"/>
          <w:sz w:val="24"/>
        </w:rPr>
        <w:t xml:space="preserve"> </w:t>
      </w:r>
      <w:r w:rsidRPr="00150EDC">
        <w:rPr>
          <w:sz w:val="24"/>
        </w:rPr>
        <w:t>of responsibility for and conduct of the Deliverables to the Buyer and/or its Replacement Supplier;</w:t>
      </w:r>
    </w:p>
    <w:p w14:paraId="1686ECD1" w14:textId="77777777" w:rsidR="004C7180" w:rsidRPr="00150EDC" w:rsidRDefault="00CF0754" w:rsidP="00B320C7">
      <w:pPr>
        <w:pStyle w:val="ListParagraph"/>
        <w:numPr>
          <w:ilvl w:val="2"/>
          <w:numId w:val="39"/>
        </w:numPr>
        <w:tabs>
          <w:tab w:val="left" w:pos="2117"/>
          <w:tab w:val="left" w:pos="2119"/>
        </w:tabs>
        <w:spacing w:before="121"/>
        <w:ind w:left="2119" w:right="2287"/>
        <w:rPr>
          <w:sz w:val="24"/>
        </w:rPr>
      </w:pPr>
      <w:r w:rsidRPr="00150EDC">
        <w:rPr>
          <w:sz w:val="24"/>
        </w:rPr>
        <w:t>use</w:t>
      </w:r>
      <w:r w:rsidRPr="00150EDC">
        <w:rPr>
          <w:spacing w:val="-3"/>
          <w:sz w:val="24"/>
        </w:rPr>
        <w:t xml:space="preserve"> </w:t>
      </w:r>
      <w:r w:rsidRPr="00150EDC">
        <w:rPr>
          <w:sz w:val="24"/>
        </w:rPr>
        <w:t>all</w:t>
      </w:r>
      <w:r w:rsidRPr="00150EDC">
        <w:rPr>
          <w:spacing w:val="-4"/>
          <w:sz w:val="24"/>
        </w:rPr>
        <w:t xml:space="preserve"> </w:t>
      </w:r>
      <w:r w:rsidRPr="00150EDC">
        <w:rPr>
          <w:sz w:val="24"/>
        </w:rPr>
        <w:t>reasonable</w:t>
      </w:r>
      <w:r w:rsidRPr="00150EDC">
        <w:rPr>
          <w:spacing w:val="-5"/>
          <w:sz w:val="24"/>
        </w:rPr>
        <w:t xml:space="preserve"> </w:t>
      </w:r>
      <w:r w:rsidRPr="00150EDC">
        <w:rPr>
          <w:sz w:val="24"/>
        </w:rPr>
        <w:t>endeavours</w:t>
      </w:r>
      <w:r w:rsidRPr="00150EDC">
        <w:rPr>
          <w:spacing w:val="-4"/>
          <w:sz w:val="24"/>
        </w:rPr>
        <w:t xml:space="preserve"> </w:t>
      </w:r>
      <w:r w:rsidRPr="00150EDC">
        <w:rPr>
          <w:sz w:val="24"/>
        </w:rPr>
        <w:t>to</w:t>
      </w:r>
      <w:r w:rsidRPr="00150EDC">
        <w:rPr>
          <w:spacing w:val="-3"/>
          <w:sz w:val="24"/>
        </w:rPr>
        <w:t xml:space="preserve"> </w:t>
      </w:r>
      <w:r w:rsidRPr="00150EDC">
        <w:rPr>
          <w:sz w:val="24"/>
        </w:rPr>
        <w:t>reallocate</w:t>
      </w:r>
      <w:r w:rsidRPr="00150EDC">
        <w:rPr>
          <w:spacing w:val="-3"/>
          <w:sz w:val="24"/>
        </w:rPr>
        <w:t xml:space="preserve"> </w:t>
      </w:r>
      <w:r w:rsidRPr="00150EDC">
        <w:rPr>
          <w:sz w:val="24"/>
        </w:rPr>
        <w:t>resources</w:t>
      </w:r>
      <w:r w:rsidRPr="00150EDC">
        <w:rPr>
          <w:spacing w:val="-6"/>
          <w:sz w:val="24"/>
        </w:rPr>
        <w:t xml:space="preserve"> </w:t>
      </w:r>
      <w:r w:rsidRPr="00150EDC">
        <w:rPr>
          <w:sz w:val="24"/>
        </w:rPr>
        <w:t>to</w:t>
      </w:r>
      <w:r w:rsidRPr="00150EDC">
        <w:rPr>
          <w:spacing w:val="-5"/>
          <w:sz w:val="24"/>
        </w:rPr>
        <w:t xml:space="preserve"> </w:t>
      </w:r>
      <w:r w:rsidRPr="00150EDC">
        <w:rPr>
          <w:sz w:val="24"/>
        </w:rPr>
        <w:t>provide</w:t>
      </w:r>
      <w:r w:rsidRPr="00150EDC">
        <w:rPr>
          <w:spacing w:val="-3"/>
          <w:sz w:val="24"/>
        </w:rPr>
        <w:t xml:space="preserve"> </w:t>
      </w:r>
      <w:r w:rsidRPr="00150EDC">
        <w:rPr>
          <w:sz w:val="24"/>
        </w:rPr>
        <w:t>such assistance without additional costs to the Buyer;</w:t>
      </w:r>
    </w:p>
    <w:p w14:paraId="5137C48C" w14:textId="77777777" w:rsidR="004C7180" w:rsidRPr="00150EDC" w:rsidRDefault="00CF0754" w:rsidP="00B320C7">
      <w:pPr>
        <w:pStyle w:val="ListParagraph"/>
        <w:numPr>
          <w:ilvl w:val="2"/>
          <w:numId w:val="39"/>
        </w:numPr>
        <w:tabs>
          <w:tab w:val="left" w:pos="2117"/>
          <w:tab w:val="left" w:pos="2119"/>
        </w:tabs>
        <w:spacing w:before="120"/>
        <w:ind w:left="2119" w:right="1577"/>
        <w:rPr>
          <w:sz w:val="24"/>
        </w:rPr>
      </w:pPr>
      <w:r w:rsidRPr="00150EDC">
        <w:rPr>
          <w:sz w:val="24"/>
        </w:rPr>
        <w:t>subject to Paragraph 6.3, provide the Deliverables and the Termination Assistance at no detriment to the Performance Indicators (PI’s) or Service Levels,</w:t>
      </w:r>
      <w:r w:rsidRPr="00150EDC">
        <w:rPr>
          <w:spacing w:val="-4"/>
          <w:sz w:val="24"/>
        </w:rPr>
        <w:t xml:space="preserve"> </w:t>
      </w:r>
      <w:r w:rsidRPr="00150EDC">
        <w:rPr>
          <w:sz w:val="24"/>
        </w:rPr>
        <w:t>the</w:t>
      </w:r>
      <w:r w:rsidRPr="00150EDC">
        <w:rPr>
          <w:spacing w:val="-3"/>
          <w:sz w:val="24"/>
        </w:rPr>
        <w:t xml:space="preserve"> </w:t>
      </w:r>
      <w:r w:rsidRPr="00150EDC">
        <w:rPr>
          <w:sz w:val="24"/>
        </w:rPr>
        <w:t>provision</w:t>
      </w:r>
      <w:r w:rsidRPr="00150EDC">
        <w:rPr>
          <w:spacing w:val="-3"/>
          <w:sz w:val="24"/>
        </w:rPr>
        <w:t xml:space="preserve"> </w:t>
      </w:r>
      <w:r w:rsidRPr="00150EDC">
        <w:rPr>
          <w:sz w:val="24"/>
        </w:rPr>
        <w:t>of</w:t>
      </w:r>
      <w:r w:rsidRPr="00150EDC">
        <w:rPr>
          <w:spacing w:val="-4"/>
          <w:sz w:val="24"/>
        </w:rPr>
        <w:t xml:space="preserve"> </w:t>
      </w:r>
      <w:r w:rsidRPr="00150EDC">
        <w:rPr>
          <w:sz w:val="24"/>
        </w:rPr>
        <w:t>the</w:t>
      </w:r>
      <w:r w:rsidRPr="00150EDC">
        <w:rPr>
          <w:spacing w:val="-2"/>
          <w:sz w:val="24"/>
        </w:rPr>
        <w:t xml:space="preserve"> </w:t>
      </w:r>
      <w:r w:rsidRPr="00150EDC">
        <w:rPr>
          <w:sz w:val="24"/>
        </w:rPr>
        <w:t>Management</w:t>
      </w:r>
      <w:r w:rsidRPr="00150EDC">
        <w:rPr>
          <w:spacing w:val="-2"/>
          <w:sz w:val="24"/>
        </w:rPr>
        <w:t xml:space="preserve"> </w:t>
      </w:r>
      <w:r w:rsidRPr="00150EDC">
        <w:rPr>
          <w:sz w:val="24"/>
        </w:rPr>
        <w:t>Information</w:t>
      </w:r>
      <w:r w:rsidRPr="00150EDC">
        <w:rPr>
          <w:spacing w:val="-2"/>
          <w:sz w:val="24"/>
        </w:rPr>
        <w:t xml:space="preserve"> </w:t>
      </w:r>
      <w:r w:rsidRPr="00150EDC">
        <w:rPr>
          <w:sz w:val="24"/>
        </w:rPr>
        <w:t>or</w:t>
      </w:r>
      <w:r w:rsidRPr="00150EDC">
        <w:rPr>
          <w:spacing w:val="-5"/>
          <w:sz w:val="24"/>
        </w:rPr>
        <w:t xml:space="preserve"> </w:t>
      </w:r>
      <w:r w:rsidRPr="00150EDC">
        <w:rPr>
          <w:sz w:val="24"/>
        </w:rPr>
        <w:t>any</w:t>
      </w:r>
      <w:r w:rsidRPr="00150EDC">
        <w:rPr>
          <w:spacing w:val="-4"/>
          <w:sz w:val="24"/>
        </w:rPr>
        <w:t xml:space="preserve"> </w:t>
      </w:r>
      <w:r w:rsidRPr="00150EDC">
        <w:rPr>
          <w:sz w:val="24"/>
        </w:rPr>
        <w:t>other</w:t>
      </w:r>
      <w:r w:rsidRPr="00150EDC">
        <w:rPr>
          <w:spacing w:val="-3"/>
          <w:sz w:val="24"/>
        </w:rPr>
        <w:t xml:space="preserve"> </w:t>
      </w:r>
      <w:r w:rsidRPr="00150EDC">
        <w:rPr>
          <w:sz w:val="24"/>
        </w:rPr>
        <w:t>reports</w:t>
      </w:r>
      <w:r w:rsidRPr="00150EDC">
        <w:rPr>
          <w:spacing w:val="-2"/>
          <w:sz w:val="24"/>
        </w:rPr>
        <w:t xml:space="preserve"> </w:t>
      </w:r>
      <w:r w:rsidRPr="00150EDC">
        <w:rPr>
          <w:sz w:val="24"/>
        </w:rPr>
        <w:t>nor to any other of the Supplier's obligations under this Contract;</w:t>
      </w:r>
    </w:p>
    <w:p w14:paraId="637C18A8" w14:textId="77777777" w:rsidR="004C7180" w:rsidRPr="00150EDC" w:rsidRDefault="00CF0754" w:rsidP="00B320C7">
      <w:pPr>
        <w:pStyle w:val="ListParagraph"/>
        <w:numPr>
          <w:ilvl w:val="2"/>
          <w:numId w:val="39"/>
        </w:numPr>
        <w:tabs>
          <w:tab w:val="left" w:pos="2117"/>
          <w:tab w:val="left" w:pos="2119"/>
        </w:tabs>
        <w:spacing w:before="120"/>
        <w:ind w:left="2119" w:right="1572"/>
        <w:rPr>
          <w:sz w:val="24"/>
        </w:rPr>
      </w:pPr>
      <w:r w:rsidRPr="00150EDC">
        <w:rPr>
          <w:sz w:val="24"/>
        </w:rPr>
        <w:t>at</w:t>
      </w:r>
      <w:r w:rsidRPr="00150EDC">
        <w:rPr>
          <w:spacing w:val="-2"/>
          <w:sz w:val="24"/>
        </w:rPr>
        <w:t xml:space="preserve"> </w:t>
      </w:r>
      <w:r w:rsidRPr="00150EDC">
        <w:rPr>
          <w:sz w:val="24"/>
        </w:rPr>
        <w:t>the</w:t>
      </w:r>
      <w:r w:rsidRPr="00150EDC">
        <w:rPr>
          <w:spacing w:val="-2"/>
          <w:sz w:val="24"/>
        </w:rPr>
        <w:t xml:space="preserve"> </w:t>
      </w:r>
      <w:r w:rsidRPr="00150EDC">
        <w:rPr>
          <w:sz w:val="24"/>
        </w:rPr>
        <w:t>Buyer's</w:t>
      </w:r>
      <w:r w:rsidRPr="00150EDC">
        <w:rPr>
          <w:spacing w:val="-3"/>
          <w:sz w:val="24"/>
        </w:rPr>
        <w:t xml:space="preserve"> </w:t>
      </w:r>
      <w:r w:rsidRPr="00150EDC">
        <w:rPr>
          <w:sz w:val="24"/>
        </w:rPr>
        <w:t>request</w:t>
      </w:r>
      <w:r w:rsidRPr="00150EDC">
        <w:rPr>
          <w:spacing w:val="-7"/>
          <w:sz w:val="24"/>
        </w:rPr>
        <w:t xml:space="preserve"> </w:t>
      </w:r>
      <w:r w:rsidRPr="00150EDC">
        <w:rPr>
          <w:sz w:val="24"/>
        </w:rPr>
        <w:t>and</w:t>
      </w:r>
      <w:r w:rsidRPr="00150EDC">
        <w:rPr>
          <w:spacing w:val="-4"/>
          <w:sz w:val="24"/>
        </w:rPr>
        <w:t xml:space="preserve"> </w:t>
      </w:r>
      <w:r w:rsidRPr="00150EDC">
        <w:rPr>
          <w:sz w:val="24"/>
        </w:rPr>
        <w:t>on</w:t>
      </w:r>
      <w:r w:rsidRPr="00150EDC">
        <w:rPr>
          <w:spacing w:val="-2"/>
          <w:sz w:val="24"/>
        </w:rPr>
        <w:t xml:space="preserve"> </w:t>
      </w:r>
      <w:r w:rsidRPr="00150EDC">
        <w:rPr>
          <w:sz w:val="24"/>
        </w:rPr>
        <w:t>reasonable</w:t>
      </w:r>
      <w:r w:rsidRPr="00150EDC">
        <w:rPr>
          <w:spacing w:val="-4"/>
          <w:sz w:val="24"/>
        </w:rPr>
        <w:t xml:space="preserve"> </w:t>
      </w:r>
      <w:r w:rsidRPr="00150EDC">
        <w:rPr>
          <w:sz w:val="24"/>
        </w:rPr>
        <w:t>notice,</w:t>
      </w:r>
      <w:r w:rsidRPr="00150EDC">
        <w:rPr>
          <w:spacing w:val="-2"/>
          <w:sz w:val="24"/>
        </w:rPr>
        <w:t xml:space="preserve"> </w:t>
      </w:r>
      <w:r w:rsidRPr="00150EDC">
        <w:rPr>
          <w:sz w:val="24"/>
        </w:rPr>
        <w:t>deliver</w:t>
      </w:r>
      <w:r w:rsidRPr="00150EDC">
        <w:rPr>
          <w:spacing w:val="-4"/>
          <w:sz w:val="24"/>
        </w:rPr>
        <w:t xml:space="preserve"> </w:t>
      </w:r>
      <w:r w:rsidRPr="00150EDC">
        <w:rPr>
          <w:sz w:val="24"/>
        </w:rPr>
        <w:t>up-to-date</w:t>
      </w:r>
      <w:r w:rsidRPr="00150EDC">
        <w:rPr>
          <w:spacing w:val="-4"/>
          <w:sz w:val="24"/>
        </w:rPr>
        <w:t xml:space="preserve"> </w:t>
      </w:r>
      <w:r w:rsidRPr="00150EDC">
        <w:rPr>
          <w:sz w:val="24"/>
        </w:rPr>
        <w:t>Registers to the Buyer;</w:t>
      </w:r>
    </w:p>
    <w:p w14:paraId="2ACAD128" w14:textId="77777777" w:rsidR="004C7180" w:rsidRPr="00150EDC" w:rsidRDefault="00CF0754" w:rsidP="00B320C7">
      <w:pPr>
        <w:pStyle w:val="ListParagraph"/>
        <w:numPr>
          <w:ilvl w:val="2"/>
          <w:numId w:val="39"/>
        </w:numPr>
        <w:tabs>
          <w:tab w:val="left" w:pos="2117"/>
          <w:tab w:val="left" w:pos="2119"/>
        </w:tabs>
        <w:spacing w:before="120"/>
        <w:ind w:left="2119" w:right="1903"/>
        <w:rPr>
          <w:sz w:val="24"/>
        </w:rPr>
      </w:pPr>
      <w:r w:rsidRPr="00150EDC">
        <w:rPr>
          <w:sz w:val="24"/>
        </w:rPr>
        <w:t>seek</w:t>
      </w:r>
      <w:r w:rsidRPr="00150EDC">
        <w:rPr>
          <w:spacing w:val="-2"/>
          <w:sz w:val="24"/>
        </w:rPr>
        <w:t xml:space="preserve"> </w:t>
      </w:r>
      <w:r w:rsidRPr="00150EDC">
        <w:rPr>
          <w:sz w:val="24"/>
        </w:rPr>
        <w:t>the</w:t>
      </w:r>
      <w:r w:rsidRPr="00150EDC">
        <w:rPr>
          <w:spacing w:val="-1"/>
          <w:sz w:val="24"/>
        </w:rPr>
        <w:t xml:space="preserve"> </w:t>
      </w:r>
      <w:r w:rsidRPr="00150EDC">
        <w:rPr>
          <w:sz w:val="24"/>
        </w:rPr>
        <w:t>Buyer's</w:t>
      </w:r>
      <w:r w:rsidRPr="00150EDC">
        <w:rPr>
          <w:spacing w:val="-2"/>
          <w:sz w:val="24"/>
        </w:rPr>
        <w:t xml:space="preserve"> </w:t>
      </w:r>
      <w:r w:rsidRPr="00150EDC">
        <w:rPr>
          <w:sz w:val="24"/>
        </w:rPr>
        <w:t>prior</w:t>
      </w:r>
      <w:r w:rsidRPr="00150EDC">
        <w:rPr>
          <w:spacing w:val="-5"/>
          <w:sz w:val="24"/>
        </w:rPr>
        <w:t xml:space="preserve"> </w:t>
      </w:r>
      <w:r w:rsidRPr="00150EDC">
        <w:rPr>
          <w:sz w:val="24"/>
        </w:rPr>
        <w:t>written</w:t>
      </w:r>
      <w:r w:rsidRPr="00150EDC">
        <w:rPr>
          <w:spacing w:val="-1"/>
          <w:sz w:val="24"/>
        </w:rPr>
        <w:t xml:space="preserve"> </w:t>
      </w:r>
      <w:r w:rsidRPr="00150EDC">
        <w:rPr>
          <w:sz w:val="24"/>
        </w:rPr>
        <w:t>consent</w:t>
      </w:r>
      <w:r w:rsidRPr="00150EDC">
        <w:rPr>
          <w:spacing w:val="-4"/>
          <w:sz w:val="24"/>
        </w:rPr>
        <w:t xml:space="preserve"> </w:t>
      </w:r>
      <w:r w:rsidRPr="00150EDC">
        <w:rPr>
          <w:sz w:val="24"/>
        </w:rPr>
        <w:t>to</w:t>
      </w:r>
      <w:r w:rsidRPr="00150EDC">
        <w:rPr>
          <w:spacing w:val="-3"/>
          <w:sz w:val="24"/>
        </w:rPr>
        <w:t xml:space="preserve"> </w:t>
      </w:r>
      <w:r w:rsidRPr="00150EDC">
        <w:rPr>
          <w:sz w:val="24"/>
        </w:rPr>
        <w:t>access</w:t>
      </w:r>
      <w:r w:rsidRPr="00150EDC">
        <w:rPr>
          <w:spacing w:val="-2"/>
          <w:sz w:val="24"/>
        </w:rPr>
        <w:t xml:space="preserve"> </w:t>
      </w:r>
      <w:r w:rsidRPr="00150EDC">
        <w:rPr>
          <w:sz w:val="24"/>
        </w:rPr>
        <w:t>any</w:t>
      </w:r>
      <w:r w:rsidRPr="00150EDC">
        <w:rPr>
          <w:spacing w:val="-2"/>
          <w:sz w:val="24"/>
        </w:rPr>
        <w:t xml:space="preserve"> </w:t>
      </w:r>
      <w:r w:rsidRPr="00150EDC">
        <w:rPr>
          <w:sz w:val="24"/>
        </w:rPr>
        <w:t>Buyer</w:t>
      </w:r>
      <w:r w:rsidRPr="00150EDC">
        <w:rPr>
          <w:spacing w:val="-3"/>
          <w:sz w:val="24"/>
        </w:rPr>
        <w:t xml:space="preserve"> </w:t>
      </w:r>
      <w:r w:rsidRPr="00150EDC">
        <w:rPr>
          <w:sz w:val="24"/>
        </w:rPr>
        <w:t>Premises</w:t>
      </w:r>
      <w:r w:rsidRPr="00150EDC">
        <w:rPr>
          <w:spacing w:val="-4"/>
          <w:sz w:val="24"/>
        </w:rPr>
        <w:t xml:space="preserve"> </w:t>
      </w:r>
      <w:r w:rsidRPr="00150EDC">
        <w:rPr>
          <w:sz w:val="24"/>
        </w:rPr>
        <w:t>from which the de-installation or removal of Supplier Assets is required.</w:t>
      </w:r>
    </w:p>
    <w:p w14:paraId="41C6A321" w14:textId="77777777" w:rsidR="004C7180" w:rsidRPr="00150EDC" w:rsidRDefault="00CF0754" w:rsidP="00B320C7">
      <w:pPr>
        <w:pStyle w:val="ListParagraph"/>
        <w:numPr>
          <w:ilvl w:val="1"/>
          <w:numId w:val="39"/>
        </w:numPr>
        <w:tabs>
          <w:tab w:val="left" w:pos="2326"/>
          <w:tab w:val="left" w:pos="2328"/>
        </w:tabs>
        <w:spacing w:before="120"/>
        <w:ind w:right="1743"/>
        <w:jc w:val="both"/>
        <w:rPr>
          <w:sz w:val="24"/>
        </w:rPr>
      </w:pPr>
      <w:r w:rsidRPr="00150EDC">
        <w:rPr>
          <w:sz w:val="24"/>
        </w:rPr>
        <w:t>If</w:t>
      </w:r>
      <w:r w:rsidRPr="00150EDC">
        <w:rPr>
          <w:spacing w:val="-2"/>
          <w:sz w:val="24"/>
        </w:rPr>
        <w:t xml:space="preserve"> </w:t>
      </w:r>
      <w:r w:rsidRPr="00150EDC">
        <w:rPr>
          <w:sz w:val="24"/>
        </w:rPr>
        <w:t>it</w:t>
      </w:r>
      <w:r w:rsidRPr="00150EDC">
        <w:rPr>
          <w:spacing w:val="-2"/>
          <w:sz w:val="24"/>
        </w:rPr>
        <w:t xml:space="preserve"> </w:t>
      </w:r>
      <w:r w:rsidRPr="00150EDC">
        <w:rPr>
          <w:sz w:val="24"/>
        </w:rPr>
        <w:t>is</w:t>
      </w:r>
      <w:r w:rsidRPr="00150EDC">
        <w:rPr>
          <w:spacing w:val="-3"/>
          <w:sz w:val="24"/>
        </w:rPr>
        <w:t xml:space="preserve"> </w:t>
      </w:r>
      <w:r w:rsidRPr="00150EDC">
        <w:rPr>
          <w:sz w:val="24"/>
        </w:rPr>
        <w:t>not</w:t>
      </w:r>
      <w:r w:rsidRPr="00150EDC">
        <w:rPr>
          <w:spacing w:val="-2"/>
          <w:sz w:val="24"/>
        </w:rPr>
        <w:t xml:space="preserve"> </w:t>
      </w:r>
      <w:r w:rsidRPr="00150EDC">
        <w:rPr>
          <w:sz w:val="24"/>
        </w:rPr>
        <w:t>possible</w:t>
      </w:r>
      <w:r w:rsidRPr="00150EDC">
        <w:rPr>
          <w:spacing w:val="-4"/>
          <w:sz w:val="24"/>
        </w:rPr>
        <w:t xml:space="preserve"> </w:t>
      </w:r>
      <w:r w:rsidRPr="00150EDC">
        <w:rPr>
          <w:sz w:val="24"/>
        </w:rPr>
        <w:t>for</w:t>
      </w:r>
      <w:r w:rsidRPr="00150EDC">
        <w:rPr>
          <w:spacing w:val="-4"/>
          <w:sz w:val="24"/>
        </w:rPr>
        <w:t xml:space="preserve"> </w:t>
      </w:r>
      <w:r w:rsidRPr="00150EDC">
        <w:rPr>
          <w:sz w:val="24"/>
        </w:rPr>
        <w:t>the</w:t>
      </w:r>
      <w:r w:rsidRPr="00150EDC">
        <w:rPr>
          <w:spacing w:val="-2"/>
          <w:sz w:val="24"/>
        </w:rPr>
        <w:t xml:space="preserve"> </w:t>
      </w:r>
      <w:r w:rsidRPr="00150EDC">
        <w:rPr>
          <w:sz w:val="24"/>
        </w:rPr>
        <w:t>Supplier</w:t>
      </w:r>
      <w:r w:rsidRPr="00150EDC">
        <w:rPr>
          <w:spacing w:val="-4"/>
          <w:sz w:val="24"/>
        </w:rPr>
        <w:t xml:space="preserve"> </w:t>
      </w:r>
      <w:r w:rsidRPr="00150EDC">
        <w:rPr>
          <w:sz w:val="24"/>
        </w:rPr>
        <w:t>to</w:t>
      </w:r>
      <w:r w:rsidRPr="00150EDC">
        <w:rPr>
          <w:spacing w:val="-2"/>
          <w:sz w:val="24"/>
        </w:rPr>
        <w:t xml:space="preserve"> </w:t>
      </w:r>
      <w:r w:rsidRPr="00150EDC">
        <w:rPr>
          <w:sz w:val="24"/>
        </w:rPr>
        <w:t>reallocate</w:t>
      </w:r>
      <w:r w:rsidRPr="00150EDC">
        <w:rPr>
          <w:spacing w:val="-2"/>
          <w:sz w:val="24"/>
        </w:rPr>
        <w:t xml:space="preserve"> </w:t>
      </w:r>
      <w:r w:rsidRPr="00150EDC">
        <w:rPr>
          <w:sz w:val="24"/>
        </w:rPr>
        <w:t>resources</w:t>
      </w:r>
      <w:r w:rsidRPr="00150EDC">
        <w:rPr>
          <w:spacing w:val="-3"/>
          <w:sz w:val="24"/>
        </w:rPr>
        <w:t xml:space="preserve"> </w:t>
      </w:r>
      <w:r w:rsidRPr="00150EDC">
        <w:rPr>
          <w:sz w:val="24"/>
        </w:rPr>
        <w:t>to</w:t>
      </w:r>
      <w:r w:rsidRPr="00150EDC">
        <w:rPr>
          <w:spacing w:val="-4"/>
          <w:sz w:val="24"/>
        </w:rPr>
        <w:t xml:space="preserve"> </w:t>
      </w:r>
      <w:r w:rsidRPr="00150EDC">
        <w:rPr>
          <w:sz w:val="24"/>
        </w:rPr>
        <w:t>provide</w:t>
      </w:r>
      <w:r w:rsidRPr="00150EDC">
        <w:rPr>
          <w:spacing w:val="-4"/>
          <w:sz w:val="24"/>
        </w:rPr>
        <w:t xml:space="preserve"> </w:t>
      </w:r>
      <w:r w:rsidRPr="00150EDC">
        <w:rPr>
          <w:sz w:val="24"/>
        </w:rPr>
        <w:t>such assistance as is referred to in Paragraph 6.1.2 without additional costs to the Buyer, any additional costs incurred by the Supplier in providing</w:t>
      </w:r>
      <w:r w:rsidRPr="00150EDC">
        <w:rPr>
          <w:spacing w:val="-2"/>
          <w:sz w:val="24"/>
        </w:rPr>
        <w:t xml:space="preserve"> </w:t>
      </w:r>
      <w:r w:rsidRPr="00150EDC">
        <w:rPr>
          <w:sz w:val="24"/>
        </w:rPr>
        <w:t>such reasonable assistance shall be subject to the Variation Procedure.</w:t>
      </w:r>
    </w:p>
    <w:p w14:paraId="7C6CFA48" w14:textId="77777777" w:rsidR="004C7180" w:rsidRPr="00150EDC" w:rsidRDefault="00CF0754" w:rsidP="00B320C7">
      <w:pPr>
        <w:pStyle w:val="ListParagraph"/>
        <w:numPr>
          <w:ilvl w:val="1"/>
          <w:numId w:val="39"/>
        </w:numPr>
        <w:tabs>
          <w:tab w:val="left" w:pos="2326"/>
          <w:tab w:val="left" w:pos="2328"/>
        </w:tabs>
        <w:spacing w:before="120"/>
        <w:ind w:right="1517"/>
        <w:rPr>
          <w:sz w:val="24"/>
        </w:rPr>
      </w:pPr>
      <w:r w:rsidRPr="00150EDC">
        <w:rPr>
          <w:sz w:val="24"/>
        </w:rPr>
        <w:t>If the Supplier demonstrates to the Buyer's reasonable satisfaction that the provision of the Termination Assistance will have a material, unavoidable adverse effect on the Supplier's ability to meet one or more particular Service</w:t>
      </w:r>
      <w:r w:rsidRPr="00150EDC">
        <w:rPr>
          <w:spacing w:val="-3"/>
          <w:sz w:val="24"/>
        </w:rPr>
        <w:t xml:space="preserve"> </w:t>
      </w:r>
      <w:r w:rsidRPr="00150EDC">
        <w:rPr>
          <w:sz w:val="24"/>
        </w:rPr>
        <w:t>Levels,</w:t>
      </w:r>
      <w:r w:rsidRPr="00150EDC">
        <w:rPr>
          <w:spacing w:val="-3"/>
          <w:sz w:val="24"/>
        </w:rPr>
        <w:t xml:space="preserve"> </w:t>
      </w:r>
      <w:r w:rsidRPr="00150EDC">
        <w:rPr>
          <w:sz w:val="24"/>
        </w:rPr>
        <w:t>the</w:t>
      </w:r>
      <w:r w:rsidRPr="00150EDC">
        <w:rPr>
          <w:spacing w:val="-5"/>
          <w:sz w:val="24"/>
        </w:rPr>
        <w:t xml:space="preserve"> </w:t>
      </w:r>
      <w:r w:rsidRPr="00150EDC">
        <w:rPr>
          <w:sz w:val="24"/>
        </w:rPr>
        <w:t>Parties</w:t>
      </w:r>
      <w:r w:rsidRPr="00150EDC">
        <w:rPr>
          <w:spacing w:val="-4"/>
          <w:sz w:val="24"/>
        </w:rPr>
        <w:t xml:space="preserve"> </w:t>
      </w:r>
      <w:r w:rsidRPr="00150EDC">
        <w:rPr>
          <w:sz w:val="24"/>
        </w:rPr>
        <w:t>shall</w:t>
      </w:r>
      <w:r w:rsidRPr="00150EDC">
        <w:rPr>
          <w:spacing w:val="-4"/>
          <w:sz w:val="24"/>
        </w:rPr>
        <w:t xml:space="preserve"> </w:t>
      </w:r>
      <w:r w:rsidRPr="00150EDC">
        <w:rPr>
          <w:sz w:val="24"/>
        </w:rPr>
        <w:t>vary</w:t>
      </w:r>
      <w:r w:rsidRPr="00150EDC">
        <w:rPr>
          <w:spacing w:val="-4"/>
          <w:sz w:val="24"/>
        </w:rPr>
        <w:t xml:space="preserve"> </w:t>
      </w:r>
      <w:r w:rsidRPr="00150EDC">
        <w:rPr>
          <w:sz w:val="24"/>
        </w:rPr>
        <w:t>the</w:t>
      </w:r>
      <w:r w:rsidRPr="00150EDC">
        <w:rPr>
          <w:spacing w:val="-3"/>
          <w:sz w:val="24"/>
        </w:rPr>
        <w:t xml:space="preserve"> </w:t>
      </w:r>
      <w:r w:rsidRPr="00150EDC">
        <w:rPr>
          <w:sz w:val="24"/>
        </w:rPr>
        <w:t>relevant</w:t>
      </w:r>
      <w:r w:rsidRPr="00150EDC">
        <w:rPr>
          <w:spacing w:val="-3"/>
          <w:sz w:val="24"/>
        </w:rPr>
        <w:t xml:space="preserve"> </w:t>
      </w:r>
      <w:r w:rsidRPr="00150EDC">
        <w:rPr>
          <w:sz w:val="24"/>
        </w:rPr>
        <w:t>Service</w:t>
      </w:r>
      <w:r w:rsidRPr="00150EDC">
        <w:rPr>
          <w:spacing w:val="-3"/>
          <w:sz w:val="24"/>
        </w:rPr>
        <w:t xml:space="preserve"> </w:t>
      </w:r>
      <w:r w:rsidRPr="00150EDC">
        <w:rPr>
          <w:sz w:val="24"/>
        </w:rPr>
        <w:t>Levels</w:t>
      </w:r>
      <w:r w:rsidRPr="00150EDC">
        <w:rPr>
          <w:spacing w:val="-4"/>
          <w:sz w:val="24"/>
        </w:rPr>
        <w:t xml:space="preserve"> </w:t>
      </w:r>
      <w:r w:rsidRPr="00150EDC">
        <w:rPr>
          <w:sz w:val="24"/>
        </w:rPr>
        <w:t>and/or</w:t>
      </w:r>
      <w:r w:rsidRPr="00150EDC">
        <w:rPr>
          <w:spacing w:val="-5"/>
          <w:sz w:val="24"/>
        </w:rPr>
        <w:t xml:space="preserve"> </w:t>
      </w:r>
      <w:r w:rsidRPr="00150EDC">
        <w:rPr>
          <w:sz w:val="24"/>
        </w:rPr>
        <w:t>the applicable Service Credits accordingly.</w:t>
      </w:r>
    </w:p>
    <w:p w14:paraId="7BCA9F6D" w14:textId="77777777" w:rsidR="004C7180" w:rsidRPr="00150EDC" w:rsidRDefault="004C7180">
      <w:pPr>
        <w:pStyle w:val="BodyText"/>
        <w:spacing w:before="10"/>
        <w:rPr>
          <w:sz w:val="20"/>
        </w:rPr>
      </w:pPr>
    </w:p>
    <w:p w14:paraId="275321CB" w14:textId="77777777" w:rsidR="004C7180" w:rsidRPr="00150EDC" w:rsidRDefault="00CF0754" w:rsidP="00B320C7">
      <w:pPr>
        <w:pStyle w:val="Heading4"/>
        <w:numPr>
          <w:ilvl w:val="0"/>
          <w:numId w:val="39"/>
        </w:numPr>
        <w:tabs>
          <w:tab w:val="left" w:pos="2042"/>
        </w:tabs>
        <w:ind w:left="2042" w:hanging="359"/>
      </w:pPr>
      <w:r w:rsidRPr="00150EDC">
        <w:t>Obligations</w:t>
      </w:r>
      <w:r w:rsidRPr="00150EDC">
        <w:rPr>
          <w:spacing w:val="-2"/>
        </w:rPr>
        <w:t xml:space="preserve"> </w:t>
      </w:r>
      <w:r w:rsidRPr="00150EDC">
        <w:t>when</w:t>
      </w:r>
      <w:r w:rsidRPr="00150EDC">
        <w:rPr>
          <w:spacing w:val="-3"/>
        </w:rPr>
        <w:t xml:space="preserve"> </w:t>
      </w:r>
      <w:r w:rsidRPr="00150EDC">
        <w:t>the</w:t>
      </w:r>
      <w:r w:rsidRPr="00150EDC">
        <w:rPr>
          <w:spacing w:val="-3"/>
        </w:rPr>
        <w:t xml:space="preserve"> </w:t>
      </w:r>
      <w:r w:rsidRPr="00150EDC">
        <w:t>contract</w:t>
      </w:r>
      <w:r w:rsidRPr="00150EDC">
        <w:rPr>
          <w:spacing w:val="-4"/>
        </w:rPr>
        <w:t xml:space="preserve"> </w:t>
      </w:r>
      <w:r w:rsidRPr="00150EDC">
        <w:t>is</w:t>
      </w:r>
      <w:r w:rsidRPr="00150EDC">
        <w:rPr>
          <w:spacing w:val="-3"/>
        </w:rPr>
        <w:t xml:space="preserve"> </w:t>
      </w:r>
      <w:r w:rsidRPr="00150EDC">
        <w:rPr>
          <w:spacing w:val="-2"/>
        </w:rPr>
        <w:t>terminated</w:t>
      </w:r>
    </w:p>
    <w:p w14:paraId="3B4432B3" w14:textId="77777777" w:rsidR="004C7180" w:rsidRPr="00150EDC" w:rsidRDefault="004C7180">
      <w:pPr>
        <w:pStyle w:val="BodyText"/>
        <w:spacing w:before="8"/>
        <w:rPr>
          <w:b/>
          <w:sz w:val="20"/>
        </w:rPr>
      </w:pPr>
    </w:p>
    <w:p w14:paraId="4259E195" w14:textId="77777777" w:rsidR="004C7180" w:rsidRPr="00150EDC" w:rsidRDefault="00CF0754" w:rsidP="00B320C7">
      <w:pPr>
        <w:pStyle w:val="ListParagraph"/>
        <w:numPr>
          <w:ilvl w:val="1"/>
          <w:numId w:val="39"/>
        </w:numPr>
        <w:tabs>
          <w:tab w:val="left" w:pos="2326"/>
          <w:tab w:val="left" w:pos="2328"/>
        </w:tabs>
        <w:ind w:right="1970"/>
        <w:rPr>
          <w:sz w:val="24"/>
        </w:rPr>
      </w:pPr>
      <w:r w:rsidRPr="00150EDC">
        <w:rPr>
          <w:sz w:val="24"/>
        </w:rPr>
        <w:t>The</w:t>
      </w:r>
      <w:r w:rsidRPr="00150EDC">
        <w:rPr>
          <w:spacing w:val="-2"/>
          <w:sz w:val="24"/>
        </w:rPr>
        <w:t xml:space="preserve"> </w:t>
      </w:r>
      <w:r w:rsidRPr="00150EDC">
        <w:rPr>
          <w:sz w:val="24"/>
        </w:rPr>
        <w:t>Supplier</w:t>
      </w:r>
      <w:r w:rsidRPr="00150EDC">
        <w:rPr>
          <w:spacing w:val="-4"/>
          <w:sz w:val="24"/>
        </w:rPr>
        <w:t xml:space="preserve"> </w:t>
      </w:r>
      <w:r w:rsidRPr="00150EDC">
        <w:rPr>
          <w:sz w:val="24"/>
        </w:rPr>
        <w:t>shall</w:t>
      </w:r>
      <w:r w:rsidRPr="00150EDC">
        <w:rPr>
          <w:spacing w:val="-3"/>
          <w:sz w:val="24"/>
        </w:rPr>
        <w:t xml:space="preserve"> </w:t>
      </w:r>
      <w:r w:rsidRPr="00150EDC">
        <w:rPr>
          <w:sz w:val="24"/>
        </w:rPr>
        <w:t>comply</w:t>
      </w:r>
      <w:r w:rsidRPr="00150EDC">
        <w:rPr>
          <w:spacing w:val="-3"/>
          <w:sz w:val="24"/>
        </w:rPr>
        <w:t xml:space="preserve"> </w:t>
      </w:r>
      <w:r w:rsidRPr="00150EDC">
        <w:rPr>
          <w:sz w:val="24"/>
        </w:rPr>
        <w:t>with</w:t>
      </w:r>
      <w:r w:rsidRPr="00150EDC">
        <w:rPr>
          <w:spacing w:val="-2"/>
          <w:sz w:val="24"/>
        </w:rPr>
        <w:t xml:space="preserve"> </w:t>
      </w:r>
      <w:r w:rsidRPr="00150EDC">
        <w:rPr>
          <w:sz w:val="24"/>
        </w:rPr>
        <w:t>all</w:t>
      </w:r>
      <w:r w:rsidRPr="00150EDC">
        <w:rPr>
          <w:spacing w:val="-3"/>
          <w:sz w:val="24"/>
        </w:rPr>
        <w:t xml:space="preserve"> </w:t>
      </w:r>
      <w:r w:rsidRPr="00150EDC">
        <w:rPr>
          <w:sz w:val="24"/>
        </w:rPr>
        <w:t>of</w:t>
      </w:r>
      <w:r w:rsidRPr="00150EDC">
        <w:rPr>
          <w:spacing w:val="-5"/>
          <w:sz w:val="24"/>
        </w:rPr>
        <w:t xml:space="preserve"> </w:t>
      </w:r>
      <w:r w:rsidRPr="00150EDC">
        <w:rPr>
          <w:sz w:val="24"/>
        </w:rPr>
        <w:t>its</w:t>
      </w:r>
      <w:r w:rsidRPr="00150EDC">
        <w:rPr>
          <w:spacing w:val="-3"/>
          <w:sz w:val="24"/>
        </w:rPr>
        <w:t xml:space="preserve"> </w:t>
      </w:r>
      <w:r w:rsidRPr="00150EDC">
        <w:rPr>
          <w:sz w:val="24"/>
        </w:rPr>
        <w:t>obligations</w:t>
      </w:r>
      <w:r w:rsidRPr="00150EDC">
        <w:rPr>
          <w:spacing w:val="-3"/>
          <w:sz w:val="24"/>
        </w:rPr>
        <w:t xml:space="preserve"> </w:t>
      </w:r>
      <w:r w:rsidRPr="00150EDC">
        <w:rPr>
          <w:sz w:val="24"/>
        </w:rPr>
        <w:t>contained</w:t>
      </w:r>
      <w:r w:rsidRPr="00150EDC">
        <w:rPr>
          <w:spacing w:val="-2"/>
          <w:sz w:val="24"/>
        </w:rPr>
        <w:t xml:space="preserve"> </w:t>
      </w:r>
      <w:r w:rsidRPr="00150EDC">
        <w:rPr>
          <w:sz w:val="24"/>
        </w:rPr>
        <w:t>in</w:t>
      </w:r>
      <w:r w:rsidRPr="00150EDC">
        <w:rPr>
          <w:spacing w:val="-4"/>
          <w:sz w:val="24"/>
        </w:rPr>
        <w:t xml:space="preserve"> </w:t>
      </w:r>
      <w:r w:rsidRPr="00150EDC">
        <w:rPr>
          <w:sz w:val="24"/>
        </w:rPr>
        <w:t>the</w:t>
      </w:r>
      <w:r w:rsidRPr="00150EDC">
        <w:rPr>
          <w:spacing w:val="-2"/>
          <w:sz w:val="24"/>
        </w:rPr>
        <w:t xml:space="preserve"> </w:t>
      </w:r>
      <w:r w:rsidRPr="00150EDC">
        <w:rPr>
          <w:sz w:val="24"/>
        </w:rPr>
        <w:t xml:space="preserve">Exit </w:t>
      </w:r>
      <w:r w:rsidRPr="00150EDC">
        <w:rPr>
          <w:spacing w:val="-2"/>
          <w:sz w:val="24"/>
        </w:rPr>
        <w:t>Plan.</w:t>
      </w:r>
    </w:p>
    <w:p w14:paraId="0D2FE1D5" w14:textId="77777777" w:rsidR="004C7180" w:rsidRPr="00150EDC" w:rsidRDefault="00CF0754" w:rsidP="00B320C7">
      <w:pPr>
        <w:pStyle w:val="ListParagraph"/>
        <w:numPr>
          <w:ilvl w:val="1"/>
          <w:numId w:val="39"/>
        </w:numPr>
        <w:tabs>
          <w:tab w:val="left" w:pos="2326"/>
          <w:tab w:val="left" w:pos="2328"/>
        </w:tabs>
        <w:spacing w:before="120"/>
        <w:ind w:right="1457"/>
        <w:rPr>
          <w:sz w:val="24"/>
        </w:rPr>
      </w:pPr>
      <w:r w:rsidRPr="00150EDC">
        <w:rPr>
          <w:sz w:val="24"/>
        </w:rPr>
        <w:t>Upon termination or expiry or at the end of the Termination Assistance Period</w:t>
      </w:r>
      <w:r w:rsidRPr="00150EDC">
        <w:rPr>
          <w:spacing w:val="-2"/>
          <w:sz w:val="24"/>
        </w:rPr>
        <w:t xml:space="preserve"> </w:t>
      </w:r>
      <w:r w:rsidRPr="00150EDC">
        <w:rPr>
          <w:sz w:val="24"/>
        </w:rPr>
        <w:t>(or</w:t>
      </w:r>
      <w:r w:rsidRPr="00150EDC">
        <w:rPr>
          <w:spacing w:val="-4"/>
          <w:sz w:val="24"/>
        </w:rPr>
        <w:t xml:space="preserve"> </w:t>
      </w:r>
      <w:r w:rsidRPr="00150EDC">
        <w:rPr>
          <w:sz w:val="24"/>
        </w:rPr>
        <w:t>earlier</w:t>
      </w:r>
      <w:r w:rsidRPr="00150EDC">
        <w:rPr>
          <w:spacing w:val="-4"/>
          <w:sz w:val="24"/>
        </w:rPr>
        <w:t xml:space="preserve"> </w:t>
      </w:r>
      <w:r w:rsidRPr="00150EDC">
        <w:rPr>
          <w:sz w:val="24"/>
        </w:rPr>
        <w:t>if</w:t>
      </w:r>
      <w:r w:rsidRPr="00150EDC">
        <w:rPr>
          <w:spacing w:val="-2"/>
          <w:sz w:val="24"/>
        </w:rPr>
        <w:t xml:space="preserve"> </w:t>
      </w:r>
      <w:r w:rsidRPr="00150EDC">
        <w:rPr>
          <w:sz w:val="24"/>
        </w:rPr>
        <w:t>this</w:t>
      </w:r>
      <w:r w:rsidRPr="00150EDC">
        <w:rPr>
          <w:spacing w:val="-5"/>
          <w:sz w:val="24"/>
        </w:rPr>
        <w:t xml:space="preserve"> </w:t>
      </w:r>
      <w:r w:rsidRPr="00150EDC">
        <w:rPr>
          <w:sz w:val="24"/>
        </w:rPr>
        <w:t>does</w:t>
      </w:r>
      <w:r w:rsidRPr="00150EDC">
        <w:rPr>
          <w:spacing w:val="-5"/>
          <w:sz w:val="24"/>
        </w:rPr>
        <w:t xml:space="preserve"> </w:t>
      </w:r>
      <w:r w:rsidRPr="00150EDC">
        <w:rPr>
          <w:sz w:val="24"/>
        </w:rPr>
        <w:t>not</w:t>
      </w:r>
      <w:r w:rsidRPr="00150EDC">
        <w:rPr>
          <w:spacing w:val="-2"/>
          <w:sz w:val="24"/>
        </w:rPr>
        <w:t xml:space="preserve"> </w:t>
      </w:r>
      <w:r w:rsidRPr="00150EDC">
        <w:rPr>
          <w:sz w:val="24"/>
        </w:rPr>
        <w:t>adversely</w:t>
      </w:r>
      <w:r w:rsidRPr="00150EDC">
        <w:rPr>
          <w:spacing w:val="-3"/>
          <w:sz w:val="24"/>
        </w:rPr>
        <w:t xml:space="preserve"> </w:t>
      </w:r>
      <w:r w:rsidRPr="00150EDC">
        <w:rPr>
          <w:sz w:val="24"/>
        </w:rPr>
        <w:t>affect</w:t>
      </w:r>
      <w:r w:rsidRPr="00150EDC">
        <w:rPr>
          <w:spacing w:val="-2"/>
          <w:sz w:val="24"/>
        </w:rPr>
        <w:t xml:space="preserve"> </w:t>
      </w:r>
      <w:r w:rsidRPr="00150EDC">
        <w:rPr>
          <w:sz w:val="24"/>
        </w:rPr>
        <w:t>the</w:t>
      </w:r>
      <w:r w:rsidRPr="00150EDC">
        <w:rPr>
          <w:spacing w:val="-2"/>
          <w:sz w:val="24"/>
        </w:rPr>
        <w:t xml:space="preserve"> </w:t>
      </w:r>
      <w:r w:rsidRPr="00150EDC">
        <w:rPr>
          <w:sz w:val="24"/>
        </w:rPr>
        <w:t>Supplier's</w:t>
      </w:r>
      <w:r w:rsidRPr="00150EDC">
        <w:rPr>
          <w:spacing w:val="-5"/>
          <w:sz w:val="24"/>
        </w:rPr>
        <w:t xml:space="preserve"> </w:t>
      </w:r>
      <w:r w:rsidRPr="00150EDC">
        <w:rPr>
          <w:sz w:val="24"/>
        </w:rPr>
        <w:t>performance of the Deliverables and the Termination Assistance), the Supplier shall:</w:t>
      </w:r>
    </w:p>
    <w:p w14:paraId="00F74D8C" w14:textId="77777777" w:rsidR="004C7180" w:rsidRPr="00150EDC" w:rsidRDefault="00CF0754" w:rsidP="00B320C7">
      <w:pPr>
        <w:pStyle w:val="ListParagraph"/>
        <w:numPr>
          <w:ilvl w:val="2"/>
          <w:numId w:val="39"/>
        </w:numPr>
        <w:tabs>
          <w:tab w:val="left" w:pos="2117"/>
        </w:tabs>
        <w:spacing w:before="120"/>
        <w:ind w:left="2117" w:hanging="718"/>
        <w:rPr>
          <w:sz w:val="24"/>
        </w:rPr>
      </w:pPr>
      <w:r w:rsidRPr="00150EDC">
        <w:rPr>
          <w:sz w:val="24"/>
        </w:rPr>
        <w:t>vacate</w:t>
      </w:r>
      <w:r w:rsidRPr="00150EDC">
        <w:rPr>
          <w:spacing w:val="-2"/>
          <w:sz w:val="24"/>
        </w:rPr>
        <w:t xml:space="preserve"> </w:t>
      </w:r>
      <w:r w:rsidRPr="00150EDC">
        <w:rPr>
          <w:sz w:val="24"/>
        </w:rPr>
        <w:t>any</w:t>
      </w:r>
      <w:r w:rsidRPr="00150EDC">
        <w:rPr>
          <w:spacing w:val="-3"/>
          <w:sz w:val="24"/>
        </w:rPr>
        <w:t xml:space="preserve"> </w:t>
      </w:r>
      <w:r w:rsidRPr="00150EDC">
        <w:rPr>
          <w:sz w:val="24"/>
        </w:rPr>
        <w:t>Buyer</w:t>
      </w:r>
      <w:r w:rsidRPr="00150EDC">
        <w:rPr>
          <w:spacing w:val="-1"/>
          <w:sz w:val="24"/>
        </w:rPr>
        <w:t xml:space="preserve"> </w:t>
      </w:r>
      <w:r w:rsidRPr="00150EDC">
        <w:rPr>
          <w:spacing w:val="-2"/>
          <w:sz w:val="24"/>
        </w:rPr>
        <w:t>Premises;</w:t>
      </w:r>
    </w:p>
    <w:p w14:paraId="2A66AAEF" w14:textId="77777777" w:rsidR="004C7180" w:rsidRPr="00150EDC" w:rsidRDefault="00CF0754" w:rsidP="00B320C7">
      <w:pPr>
        <w:pStyle w:val="ListParagraph"/>
        <w:numPr>
          <w:ilvl w:val="2"/>
          <w:numId w:val="39"/>
        </w:numPr>
        <w:tabs>
          <w:tab w:val="left" w:pos="2117"/>
          <w:tab w:val="left" w:pos="2119"/>
        </w:tabs>
        <w:spacing w:before="120"/>
        <w:ind w:left="2119" w:right="1524"/>
        <w:rPr>
          <w:sz w:val="24"/>
        </w:rPr>
      </w:pPr>
      <w:r w:rsidRPr="00150EDC">
        <w:rPr>
          <w:sz w:val="24"/>
        </w:rPr>
        <w:t>remove</w:t>
      </w:r>
      <w:r w:rsidRPr="00150EDC">
        <w:rPr>
          <w:spacing w:val="-2"/>
          <w:sz w:val="24"/>
        </w:rPr>
        <w:t xml:space="preserve"> </w:t>
      </w:r>
      <w:r w:rsidRPr="00150EDC">
        <w:rPr>
          <w:sz w:val="24"/>
        </w:rPr>
        <w:t>the</w:t>
      </w:r>
      <w:r w:rsidRPr="00150EDC">
        <w:rPr>
          <w:spacing w:val="-2"/>
          <w:sz w:val="24"/>
        </w:rPr>
        <w:t xml:space="preserve"> </w:t>
      </w:r>
      <w:r w:rsidRPr="00150EDC">
        <w:rPr>
          <w:sz w:val="24"/>
        </w:rPr>
        <w:t>Supplier</w:t>
      </w:r>
      <w:r w:rsidRPr="00150EDC">
        <w:rPr>
          <w:spacing w:val="-6"/>
          <w:sz w:val="24"/>
        </w:rPr>
        <w:t xml:space="preserve"> </w:t>
      </w:r>
      <w:r w:rsidRPr="00150EDC">
        <w:rPr>
          <w:sz w:val="24"/>
        </w:rPr>
        <w:t>Equipment</w:t>
      </w:r>
      <w:r w:rsidRPr="00150EDC">
        <w:rPr>
          <w:spacing w:val="-2"/>
          <w:sz w:val="24"/>
        </w:rPr>
        <w:t xml:space="preserve"> </w:t>
      </w:r>
      <w:r w:rsidRPr="00150EDC">
        <w:rPr>
          <w:sz w:val="24"/>
        </w:rPr>
        <w:t>together</w:t>
      </w:r>
      <w:r w:rsidRPr="00150EDC">
        <w:rPr>
          <w:spacing w:val="-4"/>
          <w:sz w:val="24"/>
        </w:rPr>
        <w:t xml:space="preserve"> </w:t>
      </w:r>
      <w:r w:rsidRPr="00150EDC">
        <w:rPr>
          <w:sz w:val="24"/>
        </w:rPr>
        <w:t>with</w:t>
      </w:r>
      <w:r w:rsidRPr="00150EDC">
        <w:rPr>
          <w:spacing w:val="-4"/>
          <w:sz w:val="24"/>
        </w:rPr>
        <w:t xml:space="preserve"> </w:t>
      </w:r>
      <w:r w:rsidRPr="00150EDC">
        <w:rPr>
          <w:sz w:val="24"/>
        </w:rPr>
        <w:t>any</w:t>
      </w:r>
      <w:r w:rsidRPr="00150EDC">
        <w:rPr>
          <w:spacing w:val="-5"/>
          <w:sz w:val="24"/>
        </w:rPr>
        <w:t xml:space="preserve"> </w:t>
      </w:r>
      <w:r w:rsidRPr="00150EDC">
        <w:rPr>
          <w:sz w:val="24"/>
        </w:rPr>
        <w:t>other</w:t>
      </w:r>
      <w:r w:rsidRPr="00150EDC">
        <w:rPr>
          <w:spacing w:val="-4"/>
          <w:sz w:val="24"/>
        </w:rPr>
        <w:t xml:space="preserve"> </w:t>
      </w:r>
      <w:r w:rsidRPr="00150EDC">
        <w:rPr>
          <w:sz w:val="24"/>
        </w:rPr>
        <w:t>materials</w:t>
      </w:r>
      <w:r w:rsidRPr="00150EDC">
        <w:rPr>
          <w:spacing w:val="-3"/>
          <w:sz w:val="24"/>
        </w:rPr>
        <w:t xml:space="preserve"> </w:t>
      </w:r>
      <w:r w:rsidRPr="00150EDC">
        <w:rPr>
          <w:sz w:val="24"/>
        </w:rPr>
        <w:t>used</w:t>
      </w:r>
      <w:r w:rsidRPr="00150EDC">
        <w:rPr>
          <w:spacing w:val="-2"/>
          <w:sz w:val="24"/>
        </w:rPr>
        <w:t xml:space="preserve"> </w:t>
      </w:r>
      <w:r w:rsidRPr="00150EDC">
        <w:rPr>
          <w:sz w:val="24"/>
        </w:rPr>
        <w:t>by</w:t>
      </w:r>
      <w:r w:rsidRPr="00150EDC">
        <w:rPr>
          <w:spacing w:val="-5"/>
          <w:sz w:val="24"/>
        </w:rPr>
        <w:t xml:space="preserve"> </w:t>
      </w:r>
      <w:r w:rsidRPr="00150EDC">
        <w:rPr>
          <w:sz w:val="24"/>
        </w:rPr>
        <w:t>the Supplier to supply the Deliverables and shall leave the Sites in a clean, safe and tidy condition. The Supplier is solely responsible for making good any damage to the Sites or any objects contained thereon, other than fair wear and tear, which is caused by the Supplier;</w:t>
      </w:r>
    </w:p>
    <w:p w14:paraId="3FB859B5" w14:textId="77777777" w:rsidR="004C7180" w:rsidRPr="00150EDC" w:rsidRDefault="004C7180">
      <w:pPr>
        <w:rPr>
          <w:sz w:val="24"/>
        </w:rPr>
        <w:sectPr w:rsidR="004C7180" w:rsidRPr="00150EDC">
          <w:pgSz w:w="11910" w:h="16840"/>
          <w:pgMar w:top="1380" w:right="0" w:bottom="1380" w:left="40" w:header="715" w:footer="1192" w:gutter="0"/>
          <w:cols w:space="720"/>
        </w:sectPr>
      </w:pPr>
    </w:p>
    <w:p w14:paraId="1E5653A7" w14:textId="77777777" w:rsidR="004C7180" w:rsidRPr="00150EDC" w:rsidRDefault="004C7180">
      <w:pPr>
        <w:pStyle w:val="BodyText"/>
        <w:spacing w:before="5"/>
        <w:rPr>
          <w:sz w:val="15"/>
        </w:rPr>
      </w:pPr>
    </w:p>
    <w:p w14:paraId="70D3F632" w14:textId="77777777" w:rsidR="004C7180" w:rsidRPr="00150EDC" w:rsidRDefault="00CF0754" w:rsidP="00B320C7">
      <w:pPr>
        <w:pStyle w:val="ListParagraph"/>
        <w:numPr>
          <w:ilvl w:val="2"/>
          <w:numId w:val="39"/>
        </w:numPr>
        <w:tabs>
          <w:tab w:val="left" w:pos="2118"/>
          <w:tab w:val="left" w:pos="2120"/>
        </w:tabs>
        <w:spacing w:before="92"/>
        <w:ind w:right="1552"/>
        <w:rPr>
          <w:sz w:val="24"/>
        </w:rPr>
      </w:pPr>
      <w:r w:rsidRPr="00150EDC">
        <w:rPr>
          <w:sz w:val="24"/>
        </w:rPr>
        <w:t>provide access during normal working hours to the Buyer and/or the Replacement</w:t>
      </w:r>
      <w:r w:rsidRPr="00150EDC">
        <w:rPr>
          <w:spacing w:val="-2"/>
          <w:sz w:val="24"/>
        </w:rPr>
        <w:t xml:space="preserve"> </w:t>
      </w:r>
      <w:r w:rsidRPr="00150EDC">
        <w:rPr>
          <w:sz w:val="24"/>
        </w:rPr>
        <w:t>Supplier</w:t>
      </w:r>
      <w:r w:rsidRPr="00150EDC">
        <w:rPr>
          <w:spacing w:val="-5"/>
          <w:sz w:val="24"/>
        </w:rPr>
        <w:t xml:space="preserve"> </w:t>
      </w:r>
      <w:r w:rsidRPr="00150EDC">
        <w:rPr>
          <w:sz w:val="24"/>
        </w:rPr>
        <w:t>for</w:t>
      </w:r>
      <w:r w:rsidRPr="00150EDC">
        <w:rPr>
          <w:spacing w:val="-3"/>
          <w:sz w:val="24"/>
        </w:rPr>
        <w:t xml:space="preserve"> </w:t>
      </w:r>
      <w:r w:rsidRPr="00150EDC">
        <w:rPr>
          <w:sz w:val="24"/>
        </w:rPr>
        <w:t>up</w:t>
      </w:r>
      <w:r w:rsidRPr="00150EDC">
        <w:rPr>
          <w:spacing w:val="-3"/>
          <w:sz w:val="24"/>
        </w:rPr>
        <w:t xml:space="preserve"> </w:t>
      </w:r>
      <w:r w:rsidRPr="00150EDC">
        <w:rPr>
          <w:sz w:val="24"/>
        </w:rPr>
        <w:t>to</w:t>
      </w:r>
      <w:r w:rsidRPr="00150EDC">
        <w:rPr>
          <w:spacing w:val="-3"/>
          <w:sz w:val="24"/>
        </w:rPr>
        <w:t xml:space="preserve"> </w:t>
      </w:r>
      <w:r w:rsidRPr="00150EDC">
        <w:rPr>
          <w:sz w:val="24"/>
        </w:rPr>
        <w:t>twelve</w:t>
      </w:r>
      <w:r w:rsidRPr="00150EDC">
        <w:rPr>
          <w:spacing w:val="-2"/>
          <w:sz w:val="24"/>
        </w:rPr>
        <w:t xml:space="preserve"> </w:t>
      </w:r>
      <w:r w:rsidRPr="00150EDC">
        <w:rPr>
          <w:sz w:val="24"/>
        </w:rPr>
        <w:t>(12)</w:t>
      </w:r>
      <w:r w:rsidRPr="00150EDC">
        <w:rPr>
          <w:spacing w:val="-3"/>
          <w:sz w:val="24"/>
        </w:rPr>
        <w:t xml:space="preserve"> </w:t>
      </w:r>
      <w:r w:rsidRPr="00150EDC">
        <w:rPr>
          <w:sz w:val="24"/>
        </w:rPr>
        <w:t>Months</w:t>
      </w:r>
      <w:r w:rsidRPr="00150EDC">
        <w:rPr>
          <w:spacing w:val="-4"/>
          <w:sz w:val="24"/>
        </w:rPr>
        <w:t xml:space="preserve"> </w:t>
      </w:r>
      <w:r w:rsidRPr="00150EDC">
        <w:rPr>
          <w:sz w:val="24"/>
        </w:rPr>
        <w:t>after</w:t>
      </w:r>
      <w:r w:rsidRPr="00150EDC">
        <w:rPr>
          <w:spacing w:val="-3"/>
          <w:sz w:val="24"/>
        </w:rPr>
        <w:t xml:space="preserve"> </w:t>
      </w:r>
      <w:r w:rsidRPr="00150EDC">
        <w:rPr>
          <w:sz w:val="24"/>
        </w:rPr>
        <w:t>expiry</w:t>
      </w:r>
      <w:r w:rsidRPr="00150EDC">
        <w:rPr>
          <w:spacing w:val="-2"/>
          <w:sz w:val="24"/>
        </w:rPr>
        <w:t xml:space="preserve"> </w:t>
      </w:r>
      <w:r w:rsidRPr="00150EDC">
        <w:rPr>
          <w:sz w:val="24"/>
        </w:rPr>
        <w:t>or</w:t>
      </w:r>
      <w:r w:rsidRPr="00150EDC">
        <w:rPr>
          <w:spacing w:val="-5"/>
          <w:sz w:val="24"/>
        </w:rPr>
        <w:t xml:space="preserve"> </w:t>
      </w:r>
      <w:r w:rsidRPr="00150EDC">
        <w:rPr>
          <w:sz w:val="24"/>
        </w:rPr>
        <w:t xml:space="preserve">termination </w:t>
      </w:r>
      <w:r w:rsidRPr="00150EDC">
        <w:rPr>
          <w:spacing w:val="-4"/>
          <w:sz w:val="24"/>
        </w:rPr>
        <w:t>to:</w:t>
      </w:r>
    </w:p>
    <w:p w14:paraId="0E98D5C7" w14:textId="77777777" w:rsidR="004C7180" w:rsidRPr="00150EDC" w:rsidRDefault="00CF0754" w:rsidP="00B320C7">
      <w:pPr>
        <w:pStyle w:val="ListParagraph"/>
        <w:numPr>
          <w:ilvl w:val="3"/>
          <w:numId w:val="39"/>
        </w:numPr>
        <w:tabs>
          <w:tab w:val="left" w:pos="4671"/>
        </w:tabs>
        <w:spacing w:before="124" w:line="235" w:lineRule="auto"/>
        <w:ind w:right="1668"/>
        <w:rPr>
          <w:sz w:val="24"/>
        </w:rPr>
      </w:pPr>
      <w:r w:rsidRPr="00150EDC">
        <w:rPr>
          <w:sz w:val="24"/>
        </w:rPr>
        <w:t>such information relating to the Deliverables as remains</w:t>
      </w:r>
      <w:r w:rsidRPr="00150EDC">
        <w:rPr>
          <w:spacing w:val="-7"/>
          <w:sz w:val="24"/>
        </w:rPr>
        <w:t xml:space="preserve"> </w:t>
      </w:r>
      <w:r w:rsidRPr="00150EDC">
        <w:rPr>
          <w:sz w:val="24"/>
        </w:rPr>
        <w:t>in</w:t>
      </w:r>
      <w:r w:rsidRPr="00150EDC">
        <w:rPr>
          <w:spacing w:val="-4"/>
          <w:sz w:val="24"/>
        </w:rPr>
        <w:t xml:space="preserve"> </w:t>
      </w:r>
      <w:r w:rsidRPr="00150EDC">
        <w:rPr>
          <w:sz w:val="24"/>
        </w:rPr>
        <w:t>the</w:t>
      </w:r>
      <w:r w:rsidRPr="00150EDC">
        <w:rPr>
          <w:spacing w:val="-4"/>
          <w:sz w:val="24"/>
        </w:rPr>
        <w:t xml:space="preserve"> </w:t>
      </w:r>
      <w:r w:rsidRPr="00150EDC">
        <w:rPr>
          <w:sz w:val="24"/>
        </w:rPr>
        <w:t>possession</w:t>
      </w:r>
      <w:r w:rsidRPr="00150EDC">
        <w:rPr>
          <w:spacing w:val="-4"/>
          <w:sz w:val="24"/>
        </w:rPr>
        <w:t xml:space="preserve"> </w:t>
      </w:r>
      <w:r w:rsidRPr="00150EDC">
        <w:rPr>
          <w:sz w:val="24"/>
        </w:rPr>
        <w:t>or</w:t>
      </w:r>
      <w:r w:rsidRPr="00150EDC">
        <w:rPr>
          <w:spacing w:val="-6"/>
          <w:sz w:val="24"/>
        </w:rPr>
        <w:t xml:space="preserve"> </w:t>
      </w:r>
      <w:r w:rsidRPr="00150EDC">
        <w:rPr>
          <w:sz w:val="24"/>
        </w:rPr>
        <w:t>control</w:t>
      </w:r>
      <w:r w:rsidRPr="00150EDC">
        <w:rPr>
          <w:spacing w:val="-5"/>
          <w:sz w:val="24"/>
        </w:rPr>
        <w:t xml:space="preserve"> </w:t>
      </w:r>
      <w:r w:rsidRPr="00150EDC">
        <w:rPr>
          <w:sz w:val="24"/>
        </w:rPr>
        <w:t>of</w:t>
      </w:r>
      <w:r w:rsidRPr="00150EDC">
        <w:rPr>
          <w:spacing w:val="-4"/>
          <w:sz w:val="24"/>
        </w:rPr>
        <w:t xml:space="preserve"> </w:t>
      </w:r>
      <w:r w:rsidRPr="00150EDC">
        <w:rPr>
          <w:sz w:val="24"/>
        </w:rPr>
        <w:t>the</w:t>
      </w:r>
      <w:r w:rsidRPr="00150EDC">
        <w:rPr>
          <w:spacing w:val="-4"/>
          <w:sz w:val="24"/>
        </w:rPr>
        <w:t xml:space="preserve"> </w:t>
      </w:r>
      <w:r w:rsidRPr="00150EDC">
        <w:rPr>
          <w:sz w:val="24"/>
        </w:rPr>
        <w:t xml:space="preserve">Supplier; </w:t>
      </w:r>
      <w:r w:rsidRPr="00150EDC">
        <w:rPr>
          <w:spacing w:val="-4"/>
          <w:sz w:val="24"/>
        </w:rPr>
        <w:t>and</w:t>
      </w:r>
    </w:p>
    <w:p w14:paraId="184DDF47" w14:textId="77777777" w:rsidR="004C7180" w:rsidRPr="00150EDC" w:rsidRDefault="00CF0754" w:rsidP="00B320C7">
      <w:pPr>
        <w:pStyle w:val="ListParagraph"/>
        <w:numPr>
          <w:ilvl w:val="3"/>
          <w:numId w:val="39"/>
        </w:numPr>
        <w:tabs>
          <w:tab w:val="left" w:pos="4671"/>
        </w:tabs>
        <w:spacing w:before="120" w:line="237" w:lineRule="auto"/>
        <w:ind w:right="1481"/>
        <w:rPr>
          <w:sz w:val="24"/>
        </w:rPr>
      </w:pPr>
      <w:r w:rsidRPr="00150EDC">
        <w:rPr>
          <w:sz w:val="24"/>
        </w:rPr>
        <w:t>such members of the Supplier Staff as have been involved in the design, development and provision of the Deliverables and who are still employed by the Supplier, provided that the Buyer and/or the Replacement Supplier shall pay the reasonable costs of</w:t>
      </w:r>
      <w:r w:rsidRPr="00150EDC">
        <w:rPr>
          <w:spacing w:val="-4"/>
          <w:sz w:val="24"/>
        </w:rPr>
        <w:t xml:space="preserve"> </w:t>
      </w:r>
      <w:r w:rsidRPr="00150EDC">
        <w:rPr>
          <w:sz w:val="24"/>
        </w:rPr>
        <w:t>the</w:t>
      </w:r>
      <w:r w:rsidRPr="00150EDC">
        <w:rPr>
          <w:spacing w:val="-4"/>
          <w:sz w:val="24"/>
        </w:rPr>
        <w:t xml:space="preserve"> </w:t>
      </w:r>
      <w:r w:rsidRPr="00150EDC">
        <w:rPr>
          <w:sz w:val="24"/>
        </w:rPr>
        <w:t>Supplier</w:t>
      </w:r>
      <w:r w:rsidRPr="00150EDC">
        <w:rPr>
          <w:spacing w:val="-7"/>
          <w:sz w:val="24"/>
        </w:rPr>
        <w:t xml:space="preserve"> </w:t>
      </w:r>
      <w:r w:rsidRPr="00150EDC">
        <w:rPr>
          <w:sz w:val="24"/>
        </w:rPr>
        <w:t>actually</w:t>
      </w:r>
      <w:r w:rsidRPr="00150EDC">
        <w:rPr>
          <w:spacing w:val="-5"/>
          <w:sz w:val="24"/>
        </w:rPr>
        <w:t xml:space="preserve"> </w:t>
      </w:r>
      <w:r w:rsidRPr="00150EDC">
        <w:rPr>
          <w:sz w:val="24"/>
        </w:rPr>
        <w:t>incurred</w:t>
      </w:r>
      <w:r w:rsidRPr="00150EDC">
        <w:rPr>
          <w:spacing w:val="-4"/>
          <w:sz w:val="24"/>
        </w:rPr>
        <w:t xml:space="preserve"> </w:t>
      </w:r>
      <w:r w:rsidRPr="00150EDC">
        <w:rPr>
          <w:sz w:val="24"/>
        </w:rPr>
        <w:t>in</w:t>
      </w:r>
      <w:r w:rsidRPr="00150EDC">
        <w:rPr>
          <w:spacing w:val="-4"/>
          <w:sz w:val="24"/>
        </w:rPr>
        <w:t xml:space="preserve"> </w:t>
      </w:r>
      <w:r w:rsidRPr="00150EDC">
        <w:rPr>
          <w:sz w:val="24"/>
        </w:rPr>
        <w:t>responding</w:t>
      </w:r>
      <w:r w:rsidRPr="00150EDC">
        <w:rPr>
          <w:spacing w:val="-6"/>
          <w:sz w:val="24"/>
        </w:rPr>
        <w:t xml:space="preserve"> </w:t>
      </w:r>
      <w:r w:rsidRPr="00150EDC">
        <w:rPr>
          <w:sz w:val="24"/>
        </w:rPr>
        <w:t>to</w:t>
      </w:r>
      <w:r w:rsidRPr="00150EDC">
        <w:rPr>
          <w:spacing w:val="-4"/>
          <w:sz w:val="24"/>
        </w:rPr>
        <w:t xml:space="preserve"> </w:t>
      </w:r>
      <w:r w:rsidRPr="00150EDC">
        <w:rPr>
          <w:sz w:val="24"/>
        </w:rPr>
        <w:t>such requests for access.</w:t>
      </w:r>
    </w:p>
    <w:p w14:paraId="7E7B722B" w14:textId="77777777" w:rsidR="004C7180" w:rsidRPr="00150EDC" w:rsidRDefault="00CF0754" w:rsidP="00B320C7">
      <w:pPr>
        <w:pStyle w:val="ListParagraph"/>
        <w:numPr>
          <w:ilvl w:val="1"/>
          <w:numId w:val="39"/>
        </w:numPr>
        <w:tabs>
          <w:tab w:val="left" w:pos="2326"/>
          <w:tab w:val="left" w:pos="2328"/>
        </w:tabs>
        <w:spacing w:before="124"/>
        <w:ind w:right="1555"/>
        <w:rPr>
          <w:sz w:val="24"/>
        </w:rPr>
      </w:pPr>
      <w:r w:rsidRPr="00150EDC">
        <w:rPr>
          <w:sz w:val="24"/>
        </w:rPr>
        <w:t>Except where this Contract provides otherwise, all licences, leases and authorisations granted by the Buyer to the Supplier in relation to the Deliverables</w:t>
      </w:r>
      <w:r w:rsidRPr="00150EDC">
        <w:rPr>
          <w:spacing w:val="-3"/>
          <w:sz w:val="24"/>
        </w:rPr>
        <w:t xml:space="preserve"> </w:t>
      </w:r>
      <w:r w:rsidRPr="00150EDC">
        <w:rPr>
          <w:sz w:val="24"/>
        </w:rPr>
        <w:t>shall</w:t>
      </w:r>
      <w:r w:rsidRPr="00150EDC">
        <w:rPr>
          <w:spacing w:val="-3"/>
          <w:sz w:val="24"/>
        </w:rPr>
        <w:t xml:space="preserve"> </w:t>
      </w:r>
      <w:r w:rsidRPr="00150EDC">
        <w:rPr>
          <w:sz w:val="24"/>
        </w:rPr>
        <w:t>be</w:t>
      </w:r>
      <w:r w:rsidRPr="00150EDC">
        <w:rPr>
          <w:spacing w:val="-4"/>
          <w:sz w:val="24"/>
        </w:rPr>
        <w:t xml:space="preserve"> </w:t>
      </w:r>
      <w:r w:rsidRPr="00150EDC">
        <w:rPr>
          <w:sz w:val="24"/>
        </w:rPr>
        <w:t>terminated</w:t>
      </w:r>
      <w:r w:rsidRPr="00150EDC">
        <w:rPr>
          <w:spacing w:val="-4"/>
          <w:sz w:val="24"/>
        </w:rPr>
        <w:t xml:space="preserve"> </w:t>
      </w:r>
      <w:r w:rsidRPr="00150EDC">
        <w:rPr>
          <w:sz w:val="24"/>
        </w:rPr>
        <w:t>with</w:t>
      </w:r>
      <w:r w:rsidRPr="00150EDC">
        <w:rPr>
          <w:spacing w:val="-2"/>
          <w:sz w:val="24"/>
        </w:rPr>
        <w:t xml:space="preserve"> </w:t>
      </w:r>
      <w:r w:rsidRPr="00150EDC">
        <w:rPr>
          <w:sz w:val="24"/>
        </w:rPr>
        <w:t>effect</w:t>
      </w:r>
      <w:r w:rsidRPr="00150EDC">
        <w:rPr>
          <w:spacing w:val="-5"/>
          <w:sz w:val="24"/>
        </w:rPr>
        <w:t xml:space="preserve"> </w:t>
      </w:r>
      <w:r w:rsidRPr="00150EDC">
        <w:rPr>
          <w:sz w:val="24"/>
        </w:rPr>
        <w:t>from</w:t>
      </w:r>
      <w:r w:rsidRPr="00150EDC">
        <w:rPr>
          <w:spacing w:val="-4"/>
          <w:sz w:val="24"/>
        </w:rPr>
        <w:t xml:space="preserve"> </w:t>
      </w:r>
      <w:r w:rsidRPr="00150EDC">
        <w:rPr>
          <w:sz w:val="24"/>
        </w:rPr>
        <w:t>the</w:t>
      </w:r>
      <w:r w:rsidRPr="00150EDC">
        <w:rPr>
          <w:spacing w:val="-4"/>
          <w:sz w:val="24"/>
        </w:rPr>
        <w:t xml:space="preserve"> </w:t>
      </w:r>
      <w:r w:rsidRPr="00150EDC">
        <w:rPr>
          <w:sz w:val="24"/>
        </w:rPr>
        <w:t>end</w:t>
      </w:r>
      <w:r w:rsidRPr="00150EDC">
        <w:rPr>
          <w:spacing w:val="-2"/>
          <w:sz w:val="24"/>
        </w:rPr>
        <w:t xml:space="preserve"> </w:t>
      </w:r>
      <w:r w:rsidRPr="00150EDC">
        <w:rPr>
          <w:sz w:val="24"/>
        </w:rPr>
        <w:t>of</w:t>
      </w:r>
      <w:r w:rsidRPr="00150EDC">
        <w:rPr>
          <w:spacing w:val="-5"/>
          <w:sz w:val="24"/>
        </w:rPr>
        <w:t xml:space="preserve"> </w:t>
      </w:r>
      <w:r w:rsidRPr="00150EDC">
        <w:rPr>
          <w:sz w:val="24"/>
        </w:rPr>
        <w:t>the</w:t>
      </w:r>
      <w:r w:rsidRPr="00150EDC">
        <w:rPr>
          <w:spacing w:val="-2"/>
          <w:sz w:val="24"/>
        </w:rPr>
        <w:t xml:space="preserve"> </w:t>
      </w:r>
      <w:r w:rsidRPr="00150EDC">
        <w:rPr>
          <w:sz w:val="24"/>
        </w:rPr>
        <w:t>Termination Assistance Period.</w:t>
      </w:r>
    </w:p>
    <w:p w14:paraId="60D7D17B" w14:textId="77777777" w:rsidR="004C7180" w:rsidRPr="00150EDC" w:rsidRDefault="004C7180">
      <w:pPr>
        <w:pStyle w:val="BodyText"/>
        <w:spacing w:before="10"/>
        <w:rPr>
          <w:sz w:val="20"/>
        </w:rPr>
      </w:pPr>
    </w:p>
    <w:p w14:paraId="528C513F" w14:textId="77777777" w:rsidR="004C7180" w:rsidRPr="00150EDC" w:rsidRDefault="00CF0754" w:rsidP="00B320C7">
      <w:pPr>
        <w:pStyle w:val="Heading4"/>
        <w:numPr>
          <w:ilvl w:val="0"/>
          <w:numId w:val="39"/>
        </w:numPr>
        <w:tabs>
          <w:tab w:val="left" w:pos="2042"/>
        </w:tabs>
        <w:ind w:left="2042" w:hanging="359"/>
      </w:pPr>
      <w:r w:rsidRPr="00150EDC">
        <w:t>Assets,</w:t>
      </w:r>
      <w:r w:rsidRPr="00150EDC">
        <w:rPr>
          <w:spacing w:val="-6"/>
        </w:rPr>
        <w:t xml:space="preserve"> </w:t>
      </w:r>
      <w:r w:rsidRPr="00150EDC">
        <w:t>Sub-contracts</w:t>
      </w:r>
      <w:r w:rsidRPr="00150EDC">
        <w:rPr>
          <w:spacing w:val="-2"/>
        </w:rPr>
        <w:t xml:space="preserve"> </w:t>
      </w:r>
      <w:r w:rsidRPr="00150EDC">
        <w:t>and</w:t>
      </w:r>
      <w:r w:rsidRPr="00150EDC">
        <w:rPr>
          <w:spacing w:val="-3"/>
        </w:rPr>
        <w:t xml:space="preserve"> </w:t>
      </w:r>
      <w:r w:rsidRPr="00150EDC">
        <w:rPr>
          <w:spacing w:val="-2"/>
        </w:rPr>
        <w:t>Software</w:t>
      </w:r>
    </w:p>
    <w:p w14:paraId="6C15B780" w14:textId="77777777" w:rsidR="004C7180" w:rsidRPr="00150EDC" w:rsidRDefault="004C7180">
      <w:pPr>
        <w:pStyle w:val="BodyText"/>
        <w:spacing w:before="10"/>
        <w:rPr>
          <w:b/>
          <w:sz w:val="20"/>
        </w:rPr>
      </w:pPr>
    </w:p>
    <w:p w14:paraId="182D8CA2" w14:textId="77777777" w:rsidR="004C7180" w:rsidRPr="00150EDC" w:rsidRDefault="00CF0754" w:rsidP="00B320C7">
      <w:pPr>
        <w:pStyle w:val="ListParagraph"/>
        <w:numPr>
          <w:ilvl w:val="1"/>
          <w:numId w:val="39"/>
        </w:numPr>
        <w:tabs>
          <w:tab w:val="left" w:pos="2326"/>
          <w:tab w:val="left" w:pos="2328"/>
        </w:tabs>
        <w:ind w:right="1672"/>
        <w:rPr>
          <w:sz w:val="24"/>
        </w:rPr>
      </w:pPr>
      <w:r w:rsidRPr="00150EDC">
        <w:rPr>
          <w:sz w:val="24"/>
        </w:rPr>
        <w:t>Following</w:t>
      </w:r>
      <w:r w:rsidRPr="00150EDC">
        <w:rPr>
          <w:spacing w:val="-3"/>
          <w:sz w:val="24"/>
        </w:rPr>
        <w:t xml:space="preserve"> </w:t>
      </w:r>
      <w:r w:rsidRPr="00150EDC">
        <w:rPr>
          <w:sz w:val="24"/>
        </w:rPr>
        <w:t>notice</w:t>
      </w:r>
      <w:r w:rsidRPr="00150EDC">
        <w:rPr>
          <w:spacing w:val="-3"/>
          <w:sz w:val="24"/>
        </w:rPr>
        <w:t xml:space="preserve"> </w:t>
      </w:r>
      <w:r w:rsidRPr="00150EDC">
        <w:rPr>
          <w:sz w:val="24"/>
        </w:rPr>
        <w:t>of</w:t>
      </w:r>
      <w:r w:rsidRPr="00150EDC">
        <w:rPr>
          <w:spacing w:val="-3"/>
          <w:sz w:val="24"/>
        </w:rPr>
        <w:t xml:space="preserve"> </w:t>
      </w:r>
      <w:r w:rsidRPr="00150EDC">
        <w:rPr>
          <w:sz w:val="24"/>
        </w:rPr>
        <w:t>termination</w:t>
      </w:r>
      <w:r w:rsidRPr="00150EDC">
        <w:rPr>
          <w:spacing w:val="-5"/>
          <w:sz w:val="24"/>
        </w:rPr>
        <w:t xml:space="preserve"> </w:t>
      </w:r>
      <w:r w:rsidRPr="00150EDC">
        <w:rPr>
          <w:sz w:val="24"/>
        </w:rPr>
        <w:t>of</w:t>
      </w:r>
      <w:r w:rsidRPr="00150EDC">
        <w:rPr>
          <w:spacing w:val="-3"/>
          <w:sz w:val="24"/>
        </w:rPr>
        <w:t xml:space="preserve"> </w:t>
      </w:r>
      <w:r w:rsidRPr="00150EDC">
        <w:rPr>
          <w:sz w:val="24"/>
        </w:rPr>
        <w:t>this</w:t>
      </w:r>
      <w:r w:rsidRPr="00150EDC">
        <w:rPr>
          <w:spacing w:val="-4"/>
          <w:sz w:val="24"/>
        </w:rPr>
        <w:t xml:space="preserve"> </w:t>
      </w:r>
      <w:r w:rsidRPr="00150EDC">
        <w:rPr>
          <w:sz w:val="24"/>
        </w:rPr>
        <w:t>Contract</w:t>
      </w:r>
      <w:r w:rsidRPr="00150EDC">
        <w:rPr>
          <w:spacing w:val="-3"/>
          <w:sz w:val="24"/>
        </w:rPr>
        <w:t xml:space="preserve"> </w:t>
      </w:r>
      <w:r w:rsidRPr="00150EDC">
        <w:rPr>
          <w:sz w:val="24"/>
        </w:rPr>
        <w:t>and</w:t>
      </w:r>
      <w:r w:rsidRPr="00150EDC">
        <w:rPr>
          <w:spacing w:val="-3"/>
          <w:sz w:val="24"/>
        </w:rPr>
        <w:t xml:space="preserve"> </w:t>
      </w:r>
      <w:r w:rsidRPr="00150EDC">
        <w:rPr>
          <w:sz w:val="24"/>
        </w:rPr>
        <w:t>during</w:t>
      </w:r>
      <w:r w:rsidRPr="00150EDC">
        <w:rPr>
          <w:spacing w:val="-3"/>
          <w:sz w:val="24"/>
        </w:rPr>
        <w:t xml:space="preserve"> </w:t>
      </w:r>
      <w:r w:rsidRPr="00150EDC">
        <w:rPr>
          <w:sz w:val="24"/>
        </w:rPr>
        <w:t>the</w:t>
      </w:r>
      <w:r w:rsidRPr="00150EDC">
        <w:rPr>
          <w:spacing w:val="-3"/>
          <w:sz w:val="24"/>
        </w:rPr>
        <w:t xml:space="preserve"> </w:t>
      </w:r>
      <w:r w:rsidRPr="00150EDC">
        <w:rPr>
          <w:sz w:val="24"/>
        </w:rPr>
        <w:t xml:space="preserve">Termination Assistance Period, the Supplier shall not, without the Buyer's prior written </w:t>
      </w:r>
      <w:r w:rsidRPr="00150EDC">
        <w:rPr>
          <w:spacing w:val="-2"/>
          <w:sz w:val="24"/>
        </w:rPr>
        <w:t>consent:</w:t>
      </w:r>
    </w:p>
    <w:p w14:paraId="2678E251" w14:textId="77777777" w:rsidR="004C7180" w:rsidRPr="00150EDC" w:rsidRDefault="00CF0754" w:rsidP="00B320C7">
      <w:pPr>
        <w:pStyle w:val="ListParagraph"/>
        <w:numPr>
          <w:ilvl w:val="2"/>
          <w:numId w:val="39"/>
        </w:numPr>
        <w:tabs>
          <w:tab w:val="left" w:pos="2118"/>
          <w:tab w:val="left" w:pos="2120"/>
        </w:tabs>
        <w:spacing w:before="120"/>
        <w:ind w:right="1805"/>
        <w:rPr>
          <w:sz w:val="24"/>
        </w:rPr>
      </w:pPr>
      <w:r w:rsidRPr="00150EDC">
        <w:rPr>
          <w:sz w:val="24"/>
        </w:rPr>
        <w:t>terminate,</w:t>
      </w:r>
      <w:r w:rsidRPr="00150EDC">
        <w:rPr>
          <w:spacing w:val="-4"/>
          <w:sz w:val="24"/>
        </w:rPr>
        <w:t xml:space="preserve"> </w:t>
      </w:r>
      <w:r w:rsidRPr="00150EDC">
        <w:rPr>
          <w:sz w:val="24"/>
        </w:rPr>
        <w:t>enter</w:t>
      </w:r>
      <w:r w:rsidRPr="00150EDC">
        <w:rPr>
          <w:spacing w:val="-3"/>
          <w:sz w:val="24"/>
        </w:rPr>
        <w:t xml:space="preserve"> </w:t>
      </w:r>
      <w:r w:rsidRPr="00150EDC">
        <w:rPr>
          <w:sz w:val="24"/>
        </w:rPr>
        <w:t>into</w:t>
      </w:r>
      <w:r w:rsidRPr="00150EDC">
        <w:rPr>
          <w:spacing w:val="-1"/>
          <w:sz w:val="24"/>
        </w:rPr>
        <w:t xml:space="preserve"> </w:t>
      </w:r>
      <w:r w:rsidRPr="00150EDC">
        <w:rPr>
          <w:sz w:val="24"/>
        </w:rPr>
        <w:t>or</w:t>
      </w:r>
      <w:r w:rsidRPr="00150EDC">
        <w:rPr>
          <w:spacing w:val="-5"/>
          <w:sz w:val="24"/>
        </w:rPr>
        <w:t xml:space="preserve"> </w:t>
      </w:r>
      <w:r w:rsidRPr="00150EDC">
        <w:rPr>
          <w:sz w:val="24"/>
        </w:rPr>
        <w:t>vary</w:t>
      </w:r>
      <w:r w:rsidRPr="00150EDC">
        <w:rPr>
          <w:spacing w:val="-2"/>
          <w:sz w:val="24"/>
        </w:rPr>
        <w:t xml:space="preserve"> </w:t>
      </w:r>
      <w:r w:rsidRPr="00150EDC">
        <w:rPr>
          <w:sz w:val="24"/>
        </w:rPr>
        <w:t>any</w:t>
      </w:r>
      <w:r w:rsidRPr="00150EDC">
        <w:rPr>
          <w:spacing w:val="-4"/>
          <w:sz w:val="24"/>
        </w:rPr>
        <w:t xml:space="preserve"> </w:t>
      </w:r>
      <w:r w:rsidRPr="00150EDC">
        <w:rPr>
          <w:sz w:val="24"/>
        </w:rPr>
        <w:t>Sub-contract</w:t>
      </w:r>
      <w:r w:rsidRPr="00150EDC">
        <w:rPr>
          <w:spacing w:val="-4"/>
          <w:sz w:val="24"/>
        </w:rPr>
        <w:t xml:space="preserve"> </w:t>
      </w:r>
      <w:r w:rsidRPr="00150EDC">
        <w:rPr>
          <w:sz w:val="24"/>
        </w:rPr>
        <w:t>or</w:t>
      </w:r>
      <w:r w:rsidRPr="00150EDC">
        <w:rPr>
          <w:spacing w:val="-3"/>
          <w:sz w:val="24"/>
        </w:rPr>
        <w:t xml:space="preserve"> </w:t>
      </w:r>
      <w:r w:rsidRPr="00150EDC">
        <w:rPr>
          <w:sz w:val="24"/>
        </w:rPr>
        <w:t>licence</w:t>
      </w:r>
      <w:r w:rsidRPr="00150EDC">
        <w:rPr>
          <w:spacing w:val="-3"/>
          <w:sz w:val="24"/>
        </w:rPr>
        <w:t xml:space="preserve"> </w:t>
      </w:r>
      <w:r w:rsidRPr="00150EDC">
        <w:rPr>
          <w:sz w:val="24"/>
        </w:rPr>
        <w:t>for</w:t>
      </w:r>
      <w:r w:rsidRPr="00150EDC">
        <w:rPr>
          <w:spacing w:val="-3"/>
          <w:sz w:val="24"/>
        </w:rPr>
        <w:t xml:space="preserve"> </w:t>
      </w:r>
      <w:r w:rsidRPr="00150EDC">
        <w:rPr>
          <w:sz w:val="24"/>
        </w:rPr>
        <w:t>any</w:t>
      </w:r>
      <w:r w:rsidRPr="00150EDC">
        <w:rPr>
          <w:spacing w:val="-2"/>
          <w:sz w:val="24"/>
        </w:rPr>
        <w:t xml:space="preserve"> </w:t>
      </w:r>
      <w:r w:rsidRPr="00150EDC">
        <w:rPr>
          <w:sz w:val="24"/>
        </w:rPr>
        <w:t>software</w:t>
      </w:r>
      <w:r w:rsidRPr="00150EDC">
        <w:rPr>
          <w:spacing w:val="-1"/>
          <w:sz w:val="24"/>
        </w:rPr>
        <w:t xml:space="preserve"> </w:t>
      </w:r>
      <w:r w:rsidRPr="00150EDC">
        <w:rPr>
          <w:sz w:val="24"/>
        </w:rPr>
        <w:t>in connection with the Deliverables; or</w:t>
      </w:r>
    </w:p>
    <w:p w14:paraId="068F1180" w14:textId="77777777" w:rsidR="004C7180" w:rsidRPr="00150EDC" w:rsidRDefault="00CF0754" w:rsidP="00B320C7">
      <w:pPr>
        <w:pStyle w:val="ListParagraph"/>
        <w:numPr>
          <w:ilvl w:val="2"/>
          <w:numId w:val="39"/>
        </w:numPr>
        <w:tabs>
          <w:tab w:val="left" w:pos="2118"/>
          <w:tab w:val="left" w:pos="2120"/>
        </w:tabs>
        <w:spacing w:before="120"/>
        <w:ind w:right="1468"/>
        <w:rPr>
          <w:sz w:val="24"/>
        </w:rPr>
      </w:pPr>
      <w:r w:rsidRPr="00150EDC">
        <w:rPr>
          <w:sz w:val="24"/>
        </w:rPr>
        <w:t>(subject</w:t>
      </w:r>
      <w:r w:rsidRPr="00150EDC">
        <w:rPr>
          <w:spacing w:val="-2"/>
          <w:sz w:val="24"/>
        </w:rPr>
        <w:t xml:space="preserve"> </w:t>
      </w:r>
      <w:r w:rsidRPr="00150EDC">
        <w:rPr>
          <w:sz w:val="24"/>
        </w:rPr>
        <w:t>to</w:t>
      </w:r>
      <w:r w:rsidRPr="00150EDC">
        <w:rPr>
          <w:spacing w:val="-2"/>
          <w:sz w:val="24"/>
        </w:rPr>
        <w:t xml:space="preserve"> </w:t>
      </w:r>
      <w:r w:rsidRPr="00150EDC">
        <w:rPr>
          <w:sz w:val="24"/>
        </w:rPr>
        <w:t>normal</w:t>
      </w:r>
      <w:r w:rsidRPr="00150EDC">
        <w:rPr>
          <w:spacing w:val="-6"/>
          <w:sz w:val="24"/>
        </w:rPr>
        <w:t xml:space="preserve"> </w:t>
      </w:r>
      <w:r w:rsidRPr="00150EDC">
        <w:rPr>
          <w:sz w:val="24"/>
        </w:rPr>
        <w:t>maintenance</w:t>
      </w:r>
      <w:r w:rsidRPr="00150EDC">
        <w:rPr>
          <w:spacing w:val="-4"/>
          <w:sz w:val="24"/>
        </w:rPr>
        <w:t xml:space="preserve"> </w:t>
      </w:r>
      <w:r w:rsidRPr="00150EDC">
        <w:rPr>
          <w:sz w:val="24"/>
        </w:rPr>
        <w:t>requirements)</w:t>
      </w:r>
      <w:r w:rsidRPr="00150EDC">
        <w:rPr>
          <w:spacing w:val="-4"/>
          <w:sz w:val="24"/>
        </w:rPr>
        <w:t xml:space="preserve"> </w:t>
      </w:r>
      <w:r w:rsidRPr="00150EDC">
        <w:rPr>
          <w:sz w:val="24"/>
        </w:rPr>
        <w:t>make</w:t>
      </w:r>
      <w:r w:rsidRPr="00150EDC">
        <w:rPr>
          <w:spacing w:val="-4"/>
          <w:sz w:val="24"/>
        </w:rPr>
        <w:t xml:space="preserve"> </w:t>
      </w:r>
      <w:r w:rsidRPr="00150EDC">
        <w:rPr>
          <w:sz w:val="24"/>
        </w:rPr>
        <w:t>material</w:t>
      </w:r>
      <w:r w:rsidRPr="00150EDC">
        <w:rPr>
          <w:spacing w:val="-6"/>
          <w:sz w:val="24"/>
        </w:rPr>
        <w:t xml:space="preserve"> </w:t>
      </w:r>
      <w:r w:rsidRPr="00150EDC">
        <w:rPr>
          <w:sz w:val="24"/>
        </w:rPr>
        <w:t>modifications</w:t>
      </w:r>
      <w:r w:rsidRPr="00150EDC">
        <w:rPr>
          <w:spacing w:val="-5"/>
          <w:sz w:val="24"/>
        </w:rPr>
        <w:t xml:space="preserve"> </w:t>
      </w:r>
      <w:r w:rsidRPr="00150EDC">
        <w:rPr>
          <w:sz w:val="24"/>
        </w:rPr>
        <w:t xml:space="preserve">to, or dispose of, any existing Supplier Assets or acquire any new Supplier </w:t>
      </w:r>
      <w:r w:rsidRPr="00150EDC">
        <w:rPr>
          <w:spacing w:val="-2"/>
          <w:sz w:val="24"/>
        </w:rPr>
        <w:t>Assets.</w:t>
      </w:r>
    </w:p>
    <w:p w14:paraId="399F0755" w14:textId="77777777" w:rsidR="004C7180" w:rsidRPr="00150EDC" w:rsidRDefault="00CF0754" w:rsidP="00B320C7">
      <w:pPr>
        <w:pStyle w:val="ListParagraph"/>
        <w:numPr>
          <w:ilvl w:val="1"/>
          <w:numId w:val="39"/>
        </w:numPr>
        <w:tabs>
          <w:tab w:val="left" w:pos="2326"/>
          <w:tab w:val="left" w:pos="2328"/>
        </w:tabs>
        <w:spacing w:before="120"/>
        <w:ind w:right="1994"/>
        <w:rPr>
          <w:sz w:val="24"/>
        </w:rPr>
      </w:pPr>
      <w:r w:rsidRPr="00150EDC">
        <w:rPr>
          <w:sz w:val="24"/>
        </w:rPr>
        <w:t>Within twenty (20) Working Days of receipt of the up-to-date Registers provided</w:t>
      </w:r>
      <w:r w:rsidRPr="00150EDC">
        <w:rPr>
          <w:spacing w:val="-3"/>
          <w:sz w:val="24"/>
        </w:rPr>
        <w:t xml:space="preserve"> </w:t>
      </w:r>
      <w:r w:rsidRPr="00150EDC">
        <w:rPr>
          <w:sz w:val="24"/>
        </w:rPr>
        <w:t>by</w:t>
      </w:r>
      <w:r w:rsidRPr="00150EDC">
        <w:rPr>
          <w:spacing w:val="-2"/>
          <w:sz w:val="24"/>
        </w:rPr>
        <w:t xml:space="preserve"> </w:t>
      </w:r>
      <w:r w:rsidRPr="00150EDC">
        <w:rPr>
          <w:sz w:val="24"/>
        </w:rPr>
        <w:t>the</w:t>
      </w:r>
      <w:r w:rsidRPr="00150EDC">
        <w:rPr>
          <w:spacing w:val="-3"/>
          <w:sz w:val="24"/>
        </w:rPr>
        <w:t xml:space="preserve"> </w:t>
      </w:r>
      <w:r w:rsidRPr="00150EDC">
        <w:rPr>
          <w:sz w:val="24"/>
        </w:rPr>
        <w:t>Supplier,</w:t>
      </w:r>
      <w:r w:rsidRPr="00150EDC">
        <w:rPr>
          <w:spacing w:val="-1"/>
          <w:sz w:val="24"/>
        </w:rPr>
        <w:t xml:space="preserve"> </w:t>
      </w:r>
      <w:r w:rsidRPr="00150EDC">
        <w:rPr>
          <w:sz w:val="24"/>
        </w:rPr>
        <w:t>the</w:t>
      </w:r>
      <w:r w:rsidRPr="00150EDC">
        <w:rPr>
          <w:spacing w:val="-3"/>
          <w:sz w:val="24"/>
        </w:rPr>
        <w:t xml:space="preserve"> </w:t>
      </w:r>
      <w:r w:rsidRPr="00150EDC">
        <w:rPr>
          <w:sz w:val="24"/>
        </w:rPr>
        <w:t>Buyer</w:t>
      </w:r>
      <w:r w:rsidRPr="00150EDC">
        <w:rPr>
          <w:spacing w:val="-3"/>
          <w:sz w:val="24"/>
        </w:rPr>
        <w:t xml:space="preserve"> </w:t>
      </w:r>
      <w:r w:rsidRPr="00150EDC">
        <w:rPr>
          <w:sz w:val="24"/>
        </w:rPr>
        <w:t>shall</w:t>
      </w:r>
      <w:r w:rsidRPr="00150EDC">
        <w:rPr>
          <w:spacing w:val="-5"/>
          <w:sz w:val="24"/>
        </w:rPr>
        <w:t xml:space="preserve"> </w:t>
      </w:r>
      <w:r w:rsidRPr="00150EDC">
        <w:rPr>
          <w:sz w:val="24"/>
        </w:rPr>
        <w:t>notify</w:t>
      </w:r>
      <w:r w:rsidRPr="00150EDC">
        <w:rPr>
          <w:spacing w:val="-2"/>
          <w:sz w:val="24"/>
        </w:rPr>
        <w:t xml:space="preserve"> </w:t>
      </w:r>
      <w:r w:rsidRPr="00150EDC">
        <w:rPr>
          <w:sz w:val="24"/>
        </w:rPr>
        <w:t>the</w:t>
      </w:r>
      <w:r w:rsidRPr="00150EDC">
        <w:rPr>
          <w:spacing w:val="-3"/>
          <w:sz w:val="24"/>
        </w:rPr>
        <w:t xml:space="preserve"> </w:t>
      </w:r>
      <w:r w:rsidRPr="00150EDC">
        <w:rPr>
          <w:sz w:val="24"/>
        </w:rPr>
        <w:t>Supplier</w:t>
      </w:r>
      <w:r w:rsidRPr="00150EDC">
        <w:rPr>
          <w:spacing w:val="-3"/>
          <w:sz w:val="24"/>
        </w:rPr>
        <w:t xml:space="preserve"> </w:t>
      </w:r>
      <w:r w:rsidRPr="00150EDC">
        <w:rPr>
          <w:sz w:val="24"/>
        </w:rPr>
        <w:t>setting</w:t>
      </w:r>
      <w:r w:rsidRPr="00150EDC">
        <w:rPr>
          <w:spacing w:val="-3"/>
          <w:sz w:val="24"/>
        </w:rPr>
        <w:t xml:space="preserve"> </w:t>
      </w:r>
      <w:r w:rsidRPr="00150EDC">
        <w:rPr>
          <w:sz w:val="24"/>
        </w:rPr>
        <w:t>out:</w:t>
      </w:r>
    </w:p>
    <w:p w14:paraId="24E92BAF" w14:textId="77777777" w:rsidR="004C7180" w:rsidRPr="00150EDC" w:rsidRDefault="00CF0754" w:rsidP="00B320C7">
      <w:pPr>
        <w:pStyle w:val="ListParagraph"/>
        <w:numPr>
          <w:ilvl w:val="2"/>
          <w:numId w:val="39"/>
        </w:numPr>
        <w:tabs>
          <w:tab w:val="left" w:pos="2117"/>
          <w:tab w:val="left" w:pos="2119"/>
        </w:tabs>
        <w:spacing w:before="120"/>
        <w:ind w:left="2119" w:right="1632"/>
        <w:rPr>
          <w:sz w:val="24"/>
        </w:rPr>
      </w:pPr>
      <w:r w:rsidRPr="00150EDC">
        <w:rPr>
          <w:sz w:val="24"/>
        </w:rPr>
        <w:t>which,</w:t>
      </w:r>
      <w:r w:rsidRPr="00150EDC">
        <w:rPr>
          <w:spacing w:val="-2"/>
          <w:sz w:val="24"/>
        </w:rPr>
        <w:t xml:space="preserve"> </w:t>
      </w:r>
      <w:r w:rsidRPr="00150EDC">
        <w:rPr>
          <w:sz w:val="24"/>
        </w:rPr>
        <w:t>if</w:t>
      </w:r>
      <w:r w:rsidRPr="00150EDC">
        <w:rPr>
          <w:spacing w:val="-2"/>
          <w:sz w:val="24"/>
        </w:rPr>
        <w:t xml:space="preserve"> </w:t>
      </w:r>
      <w:r w:rsidRPr="00150EDC">
        <w:rPr>
          <w:sz w:val="24"/>
        </w:rPr>
        <w:t>any,</w:t>
      </w:r>
      <w:r w:rsidRPr="00150EDC">
        <w:rPr>
          <w:spacing w:val="-5"/>
          <w:sz w:val="24"/>
        </w:rPr>
        <w:t xml:space="preserve"> </w:t>
      </w:r>
      <w:r w:rsidRPr="00150EDC">
        <w:rPr>
          <w:sz w:val="24"/>
        </w:rPr>
        <w:t>of</w:t>
      </w:r>
      <w:r w:rsidRPr="00150EDC">
        <w:rPr>
          <w:spacing w:val="-2"/>
          <w:sz w:val="24"/>
        </w:rPr>
        <w:t xml:space="preserve"> </w:t>
      </w:r>
      <w:r w:rsidRPr="00150EDC">
        <w:rPr>
          <w:sz w:val="24"/>
        </w:rPr>
        <w:t>the</w:t>
      </w:r>
      <w:r w:rsidRPr="00150EDC">
        <w:rPr>
          <w:spacing w:val="-2"/>
          <w:sz w:val="24"/>
        </w:rPr>
        <w:t xml:space="preserve"> </w:t>
      </w:r>
      <w:r w:rsidRPr="00150EDC">
        <w:rPr>
          <w:sz w:val="24"/>
        </w:rPr>
        <w:t>Transferable</w:t>
      </w:r>
      <w:r w:rsidRPr="00150EDC">
        <w:rPr>
          <w:spacing w:val="-2"/>
          <w:sz w:val="24"/>
        </w:rPr>
        <w:t xml:space="preserve"> </w:t>
      </w:r>
      <w:r w:rsidRPr="00150EDC">
        <w:rPr>
          <w:sz w:val="24"/>
        </w:rPr>
        <w:t>Assets</w:t>
      </w:r>
      <w:r w:rsidRPr="00150EDC">
        <w:rPr>
          <w:spacing w:val="-3"/>
          <w:sz w:val="24"/>
        </w:rPr>
        <w:t xml:space="preserve"> </w:t>
      </w:r>
      <w:r w:rsidRPr="00150EDC">
        <w:rPr>
          <w:sz w:val="24"/>
        </w:rPr>
        <w:t>the</w:t>
      </w:r>
      <w:r w:rsidRPr="00150EDC">
        <w:rPr>
          <w:spacing w:val="-4"/>
          <w:sz w:val="24"/>
        </w:rPr>
        <w:t xml:space="preserve"> </w:t>
      </w:r>
      <w:r w:rsidRPr="00150EDC">
        <w:rPr>
          <w:sz w:val="24"/>
        </w:rPr>
        <w:t>Buyer</w:t>
      </w:r>
      <w:r w:rsidRPr="00150EDC">
        <w:rPr>
          <w:spacing w:val="-4"/>
          <w:sz w:val="24"/>
        </w:rPr>
        <w:t xml:space="preserve"> </w:t>
      </w:r>
      <w:r w:rsidRPr="00150EDC">
        <w:rPr>
          <w:sz w:val="24"/>
        </w:rPr>
        <w:t>requires</w:t>
      </w:r>
      <w:r w:rsidRPr="00150EDC">
        <w:rPr>
          <w:spacing w:val="-3"/>
          <w:sz w:val="24"/>
        </w:rPr>
        <w:t xml:space="preserve"> </w:t>
      </w:r>
      <w:r w:rsidRPr="00150EDC">
        <w:rPr>
          <w:sz w:val="24"/>
        </w:rPr>
        <w:t>to</w:t>
      </w:r>
      <w:r w:rsidRPr="00150EDC">
        <w:rPr>
          <w:spacing w:val="-4"/>
          <w:sz w:val="24"/>
        </w:rPr>
        <w:t xml:space="preserve"> </w:t>
      </w:r>
      <w:r w:rsidRPr="00150EDC">
        <w:rPr>
          <w:sz w:val="24"/>
        </w:rPr>
        <w:t>be</w:t>
      </w:r>
      <w:r w:rsidRPr="00150EDC">
        <w:rPr>
          <w:spacing w:val="-4"/>
          <w:sz w:val="24"/>
        </w:rPr>
        <w:t xml:space="preserve"> </w:t>
      </w:r>
      <w:r w:rsidRPr="00150EDC">
        <w:rPr>
          <w:sz w:val="24"/>
        </w:rPr>
        <w:t>transferred to the Buyer and/or the Replacement Supplier ("</w:t>
      </w:r>
      <w:r w:rsidRPr="00150EDC">
        <w:rPr>
          <w:b/>
          <w:sz w:val="24"/>
        </w:rPr>
        <w:t>Transferring Assets</w:t>
      </w:r>
      <w:r w:rsidRPr="00150EDC">
        <w:rPr>
          <w:sz w:val="24"/>
        </w:rPr>
        <w:t>");</w:t>
      </w:r>
    </w:p>
    <w:p w14:paraId="203DB051" w14:textId="77777777" w:rsidR="004C7180" w:rsidRPr="00150EDC" w:rsidRDefault="00CF0754" w:rsidP="00B320C7">
      <w:pPr>
        <w:pStyle w:val="ListParagraph"/>
        <w:numPr>
          <w:ilvl w:val="2"/>
          <w:numId w:val="39"/>
        </w:numPr>
        <w:tabs>
          <w:tab w:val="left" w:pos="2117"/>
        </w:tabs>
        <w:spacing w:before="120"/>
        <w:ind w:left="2117" w:hanging="718"/>
        <w:rPr>
          <w:sz w:val="24"/>
        </w:rPr>
      </w:pPr>
      <w:r w:rsidRPr="00150EDC">
        <w:rPr>
          <w:sz w:val="24"/>
        </w:rPr>
        <w:t>which,</w:t>
      </w:r>
      <w:r w:rsidRPr="00150EDC">
        <w:rPr>
          <w:spacing w:val="-1"/>
          <w:sz w:val="24"/>
        </w:rPr>
        <w:t xml:space="preserve"> </w:t>
      </w:r>
      <w:r w:rsidRPr="00150EDC">
        <w:rPr>
          <w:sz w:val="24"/>
        </w:rPr>
        <w:t>if</w:t>
      </w:r>
      <w:r w:rsidRPr="00150EDC">
        <w:rPr>
          <w:spacing w:val="-1"/>
          <w:sz w:val="24"/>
        </w:rPr>
        <w:t xml:space="preserve"> </w:t>
      </w:r>
      <w:r w:rsidRPr="00150EDC">
        <w:rPr>
          <w:sz w:val="24"/>
        </w:rPr>
        <w:t>any,</w:t>
      </w:r>
      <w:r w:rsidRPr="00150EDC">
        <w:rPr>
          <w:spacing w:val="-3"/>
          <w:sz w:val="24"/>
        </w:rPr>
        <w:t xml:space="preserve"> </w:t>
      </w:r>
      <w:r w:rsidRPr="00150EDC">
        <w:rPr>
          <w:spacing w:val="-5"/>
          <w:sz w:val="24"/>
        </w:rPr>
        <w:t>of:</w:t>
      </w:r>
    </w:p>
    <w:p w14:paraId="79A1E1CC" w14:textId="77777777" w:rsidR="004C7180" w:rsidRPr="00150EDC" w:rsidRDefault="00CF0754" w:rsidP="00B320C7">
      <w:pPr>
        <w:pStyle w:val="ListParagraph"/>
        <w:numPr>
          <w:ilvl w:val="3"/>
          <w:numId w:val="39"/>
        </w:numPr>
        <w:tabs>
          <w:tab w:val="left" w:pos="4671"/>
        </w:tabs>
        <w:spacing w:before="128" w:line="230" w:lineRule="auto"/>
        <w:ind w:right="1440"/>
        <w:rPr>
          <w:sz w:val="24"/>
        </w:rPr>
      </w:pPr>
      <w:r w:rsidRPr="00150EDC">
        <w:rPr>
          <w:sz w:val="24"/>
        </w:rPr>
        <w:t>the</w:t>
      </w:r>
      <w:r w:rsidRPr="00150EDC">
        <w:rPr>
          <w:spacing w:val="-4"/>
          <w:sz w:val="24"/>
        </w:rPr>
        <w:t xml:space="preserve"> </w:t>
      </w:r>
      <w:r w:rsidRPr="00150EDC">
        <w:rPr>
          <w:sz w:val="24"/>
        </w:rPr>
        <w:t>Exclusive</w:t>
      </w:r>
      <w:r w:rsidRPr="00150EDC">
        <w:rPr>
          <w:spacing w:val="-4"/>
          <w:sz w:val="24"/>
        </w:rPr>
        <w:t xml:space="preserve"> </w:t>
      </w:r>
      <w:r w:rsidRPr="00150EDC">
        <w:rPr>
          <w:sz w:val="24"/>
        </w:rPr>
        <w:t>Assets</w:t>
      </w:r>
      <w:r w:rsidRPr="00150EDC">
        <w:rPr>
          <w:spacing w:val="-5"/>
          <w:sz w:val="24"/>
        </w:rPr>
        <w:t xml:space="preserve"> </w:t>
      </w:r>
      <w:r w:rsidRPr="00150EDC">
        <w:rPr>
          <w:sz w:val="24"/>
        </w:rPr>
        <w:t>that</w:t>
      </w:r>
      <w:r w:rsidRPr="00150EDC">
        <w:rPr>
          <w:spacing w:val="-7"/>
          <w:sz w:val="24"/>
        </w:rPr>
        <w:t xml:space="preserve"> </w:t>
      </w:r>
      <w:r w:rsidRPr="00150EDC">
        <w:rPr>
          <w:sz w:val="24"/>
        </w:rPr>
        <w:t>are</w:t>
      </w:r>
      <w:r w:rsidRPr="00150EDC">
        <w:rPr>
          <w:spacing w:val="-4"/>
          <w:sz w:val="24"/>
        </w:rPr>
        <w:t xml:space="preserve"> </w:t>
      </w:r>
      <w:r w:rsidRPr="00150EDC">
        <w:rPr>
          <w:sz w:val="24"/>
        </w:rPr>
        <w:t>not</w:t>
      </w:r>
      <w:r w:rsidRPr="00150EDC">
        <w:rPr>
          <w:spacing w:val="-4"/>
          <w:sz w:val="24"/>
        </w:rPr>
        <w:t xml:space="preserve"> </w:t>
      </w:r>
      <w:r w:rsidRPr="00150EDC">
        <w:rPr>
          <w:sz w:val="24"/>
        </w:rPr>
        <w:t>Transferable</w:t>
      </w:r>
      <w:r w:rsidRPr="00150EDC">
        <w:rPr>
          <w:spacing w:val="-4"/>
          <w:sz w:val="24"/>
        </w:rPr>
        <w:t xml:space="preserve"> </w:t>
      </w:r>
      <w:r w:rsidRPr="00150EDC">
        <w:rPr>
          <w:sz w:val="24"/>
        </w:rPr>
        <w:t xml:space="preserve">Assets; </w:t>
      </w:r>
      <w:r w:rsidRPr="00150EDC">
        <w:rPr>
          <w:spacing w:val="-4"/>
          <w:sz w:val="24"/>
        </w:rPr>
        <w:t>and</w:t>
      </w:r>
    </w:p>
    <w:p w14:paraId="52604F29" w14:textId="77777777" w:rsidR="004C7180" w:rsidRPr="00150EDC" w:rsidRDefault="00CF0754" w:rsidP="00B320C7">
      <w:pPr>
        <w:pStyle w:val="ListParagraph"/>
        <w:numPr>
          <w:ilvl w:val="3"/>
          <w:numId w:val="39"/>
        </w:numPr>
        <w:tabs>
          <w:tab w:val="left" w:pos="4671"/>
        </w:tabs>
        <w:spacing w:before="122"/>
        <w:rPr>
          <w:sz w:val="24"/>
        </w:rPr>
      </w:pPr>
      <w:r w:rsidRPr="00150EDC">
        <w:rPr>
          <w:sz w:val="24"/>
        </w:rPr>
        <w:t>the</w:t>
      </w:r>
      <w:r w:rsidRPr="00150EDC">
        <w:rPr>
          <w:spacing w:val="-5"/>
          <w:sz w:val="24"/>
        </w:rPr>
        <w:t xml:space="preserve"> </w:t>
      </w:r>
      <w:r w:rsidRPr="00150EDC">
        <w:rPr>
          <w:sz w:val="24"/>
        </w:rPr>
        <w:t>Non-Exclusive</w:t>
      </w:r>
      <w:r w:rsidRPr="00150EDC">
        <w:rPr>
          <w:spacing w:val="-5"/>
          <w:sz w:val="24"/>
        </w:rPr>
        <w:t xml:space="preserve"> </w:t>
      </w:r>
      <w:r w:rsidRPr="00150EDC">
        <w:rPr>
          <w:spacing w:val="-2"/>
          <w:sz w:val="24"/>
        </w:rPr>
        <w:t>Assets,</w:t>
      </w:r>
    </w:p>
    <w:p w14:paraId="53C9C211" w14:textId="77777777" w:rsidR="004C7180" w:rsidRPr="00150EDC" w:rsidRDefault="00CF0754">
      <w:pPr>
        <w:pStyle w:val="BodyText"/>
        <w:spacing w:before="106"/>
        <w:ind w:left="3055" w:right="1459"/>
      </w:pPr>
      <w:r w:rsidRPr="00150EDC">
        <w:t>the</w:t>
      </w:r>
      <w:r w:rsidRPr="00150EDC">
        <w:rPr>
          <w:spacing w:val="-3"/>
        </w:rPr>
        <w:t xml:space="preserve"> </w:t>
      </w:r>
      <w:r w:rsidRPr="00150EDC">
        <w:t>Buyer</w:t>
      </w:r>
      <w:r w:rsidRPr="00150EDC">
        <w:rPr>
          <w:spacing w:val="-7"/>
        </w:rPr>
        <w:t xml:space="preserve"> </w:t>
      </w:r>
      <w:r w:rsidRPr="00150EDC">
        <w:t>and/or</w:t>
      </w:r>
      <w:r w:rsidRPr="00150EDC">
        <w:rPr>
          <w:spacing w:val="-5"/>
        </w:rPr>
        <w:t xml:space="preserve"> </w:t>
      </w:r>
      <w:r w:rsidRPr="00150EDC">
        <w:t>the</w:t>
      </w:r>
      <w:r w:rsidRPr="00150EDC">
        <w:rPr>
          <w:spacing w:val="-3"/>
        </w:rPr>
        <w:t xml:space="preserve"> </w:t>
      </w:r>
      <w:r w:rsidRPr="00150EDC">
        <w:t>Replacement</w:t>
      </w:r>
      <w:r w:rsidRPr="00150EDC">
        <w:rPr>
          <w:spacing w:val="-3"/>
        </w:rPr>
        <w:t xml:space="preserve"> </w:t>
      </w:r>
      <w:r w:rsidRPr="00150EDC">
        <w:t>Supplier</w:t>
      </w:r>
      <w:r w:rsidRPr="00150EDC">
        <w:rPr>
          <w:spacing w:val="-5"/>
        </w:rPr>
        <w:t xml:space="preserve"> </w:t>
      </w:r>
      <w:r w:rsidRPr="00150EDC">
        <w:t>requires</w:t>
      </w:r>
      <w:r w:rsidRPr="00150EDC">
        <w:rPr>
          <w:spacing w:val="-4"/>
        </w:rPr>
        <w:t xml:space="preserve"> </w:t>
      </w:r>
      <w:r w:rsidRPr="00150EDC">
        <w:t>the</w:t>
      </w:r>
      <w:r w:rsidRPr="00150EDC">
        <w:rPr>
          <w:spacing w:val="-3"/>
        </w:rPr>
        <w:t xml:space="preserve"> </w:t>
      </w:r>
      <w:r w:rsidRPr="00150EDC">
        <w:t>continued use of; and</w:t>
      </w:r>
    </w:p>
    <w:p w14:paraId="7E26EEC6" w14:textId="77777777" w:rsidR="004C7180" w:rsidRPr="00150EDC" w:rsidRDefault="00CF0754" w:rsidP="00B320C7">
      <w:pPr>
        <w:pStyle w:val="ListParagraph"/>
        <w:numPr>
          <w:ilvl w:val="2"/>
          <w:numId w:val="39"/>
        </w:numPr>
        <w:tabs>
          <w:tab w:val="left" w:pos="2117"/>
          <w:tab w:val="left" w:pos="2119"/>
        </w:tabs>
        <w:spacing w:before="120"/>
        <w:ind w:left="2119" w:right="1644"/>
        <w:rPr>
          <w:sz w:val="24"/>
        </w:rPr>
      </w:pPr>
      <w:r w:rsidRPr="00150EDC">
        <w:rPr>
          <w:sz w:val="24"/>
        </w:rPr>
        <w:t>which,</w:t>
      </w:r>
      <w:r w:rsidRPr="00150EDC">
        <w:rPr>
          <w:spacing w:val="-2"/>
          <w:sz w:val="24"/>
        </w:rPr>
        <w:t xml:space="preserve"> </w:t>
      </w:r>
      <w:r w:rsidRPr="00150EDC">
        <w:rPr>
          <w:sz w:val="24"/>
        </w:rPr>
        <w:t>if</w:t>
      </w:r>
      <w:r w:rsidRPr="00150EDC">
        <w:rPr>
          <w:spacing w:val="-2"/>
          <w:sz w:val="24"/>
        </w:rPr>
        <w:t xml:space="preserve"> </w:t>
      </w:r>
      <w:r w:rsidRPr="00150EDC">
        <w:rPr>
          <w:sz w:val="24"/>
        </w:rPr>
        <w:t>any,</w:t>
      </w:r>
      <w:r w:rsidRPr="00150EDC">
        <w:rPr>
          <w:spacing w:val="-4"/>
          <w:sz w:val="24"/>
        </w:rPr>
        <w:t xml:space="preserve"> </w:t>
      </w:r>
      <w:r w:rsidRPr="00150EDC">
        <w:rPr>
          <w:sz w:val="24"/>
        </w:rPr>
        <w:t>of</w:t>
      </w:r>
      <w:r w:rsidRPr="00150EDC">
        <w:rPr>
          <w:spacing w:val="-2"/>
          <w:sz w:val="24"/>
        </w:rPr>
        <w:t xml:space="preserve"> </w:t>
      </w:r>
      <w:r w:rsidRPr="00150EDC">
        <w:rPr>
          <w:sz w:val="24"/>
        </w:rPr>
        <w:t>Transferable</w:t>
      </w:r>
      <w:r w:rsidRPr="00150EDC">
        <w:rPr>
          <w:spacing w:val="-2"/>
          <w:sz w:val="24"/>
        </w:rPr>
        <w:t xml:space="preserve"> </w:t>
      </w:r>
      <w:r w:rsidRPr="00150EDC">
        <w:rPr>
          <w:sz w:val="24"/>
        </w:rPr>
        <w:t>Contracts</w:t>
      </w:r>
      <w:r w:rsidRPr="00150EDC">
        <w:rPr>
          <w:spacing w:val="-4"/>
          <w:sz w:val="24"/>
        </w:rPr>
        <w:t xml:space="preserve"> </w:t>
      </w:r>
      <w:r w:rsidRPr="00150EDC">
        <w:rPr>
          <w:sz w:val="24"/>
        </w:rPr>
        <w:t>the</w:t>
      </w:r>
      <w:r w:rsidRPr="00150EDC">
        <w:rPr>
          <w:spacing w:val="-3"/>
          <w:sz w:val="24"/>
        </w:rPr>
        <w:t xml:space="preserve"> </w:t>
      </w:r>
      <w:r w:rsidRPr="00150EDC">
        <w:rPr>
          <w:sz w:val="24"/>
        </w:rPr>
        <w:t>Buyer</w:t>
      </w:r>
      <w:r w:rsidRPr="00150EDC">
        <w:rPr>
          <w:spacing w:val="-3"/>
          <w:sz w:val="24"/>
        </w:rPr>
        <w:t xml:space="preserve"> </w:t>
      </w:r>
      <w:r w:rsidRPr="00150EDC">
        <w:rPr>
          <w:sz w:val="24"/>
        </w:rPr>
        <w:t>requires</w:t>
      </w:r>
      <w:r w:rsidRPr="00150EDC">
        <w:rPr>
          <w:spacing w:val="-2"/>
          <w:sz w:val="24"/>
        </w:rPr>
        <w:t xml:space="preserve"> </w:t>
      </w:r>
      <w:r w:rsidRPr="00150EDC">
        <w:rPr>
          <w:sz w:val="24"/>
        </w:rPr>
        <w:t>to</w:t>
      </w:r>
      <w:r w:rsidRPr="00150EDC">
        <w:rPr>
          <w:spacing w:val="-3"/>
          <w:sz w:val="24"/>
        </w:rPr>
        <w:t xml:space="preserve"> </w:t>
      </w:r>
      <w:r w:rsidRPr="00150EDC">
        <w:rPr>
          <w:sz w:val="24"/>
        </w:rPr>
        <w:t>be</w:t>
      </w:r>
      <w:r w:rsidRPr="00150EDC">
        <w:rPr>
          <w:spacing w:val="-3"/>
          <w:sz w:val="24"/>
        </w:rPr>
        <w:t xml:space="preserve"> </w:t>
      </w:r>
      <w:r w:rsidRPr="00150EDC">
        <w:rPr>
          <w:sz w:val="24"/>
        </w:rPr>
        <w:t>assigned</w:t>
      </w:r>
      <w:r w:rsidRPr="00150EDC">
        <w:rPr>
          <w:spacing w:val="-3"/>
          <w:sz w:val="24"/>
        </w:rPr>
        <w:t xml:space="preserve"> </w:t>
      </w:r>
      <w:r w:rsidRPr="00150EDC">
        <w:rPr>
          <w:sz w:val="24"/>
        </w:rPr>
        <w:t xml:space="preserve">or novated to the Buyer and/or the Replacement Supplier (the </w:t>
      </w:r>
      <w:r w:rsidRPr="00150EDC">
        <w:rPr>
          <w:b/>
          <w:sz w:val="24"/>
        </w:rPr>
        <w:t xml:space="preserve">"Transferring </w:t>
      </w:r>
      <w:r w:rsidRPr="00150EDC">
        <w:rPr>
          <w:b/>
          <w:spacing w:val="-2"/>
          <w:sz w:val="24"/>
        </w:rPr>
        <w:t>Contracts"</w:t>
      </w:r>
      <w:r w:rsidRPr="00150EDC">
        <w:rPr>
          <w:spacing w:val="-2"/>
          <w:sz w:val="24"/>
        </w:rPr>
        <w:t>),</w:t>
      </w:r>
    </w:p>
    <w:p w14:paraId="36A311A6" w14:textId="77777777" w:rsidR="004C7180" w:rsidRPr="00150EDC" w:rsidRDefault="00CF0754">
      <w:pPr>
        <w:pStyle w:val="BodyText"/>
        <w:spacing w:before="120"/>
        <w:ind w:left="2335" w:right="1459" w:hanging="348"/>
      </w:pPr>
      <w:r w:rsidRPr="00150EDC">
        <w:t>in order for the Buyer and/or its Replacement Supplier to provide the Deliverables</w:t>
      </w:r>
      <w:r w:rsidRPr="00150EDC">
        <w:rPr>
          <w:spacing w:val="-4"/>
        </w:rPr>
        <w:t xml:space="preserve"> </w:t>
      </w:r>
      <w:r w:rsidRPr="00150EDC">
        <w:t>from</w:t>
      </w:r>
      <w:r w:rsidRPr="00150EDC">
        <w:rPr>
          <w:spacing w:val="-2"/>
        </w:rPr>
        <w:t xml:space="preserve"> </w:t>
      </w:r>
      <w:r w:rsidRPr="00150EDC">
        <w:t>the</w:t>
      </w:r>
      <w:r w:rsidRPr="00150EDC">
        <w:rPr>
          <w:spacing w:val="-5"/>
        </w:rPr>
        <w:t xml:space="preserve"> </w:t>
      </w:r>
      <w:r w:rsidRPr="00150EDC">
        <w:t>expiry</w:t>
      </w:r>
      <w:r w:rsidRPr="00150EDC">
        <w:rPr>
          <w:spacing w:val="-4"/>
        </w:rPr>
        <w:t xml:space="preserve"> </w:t>
      </w:r>
      <w:r w:rsidRPr="00150EDC">
        <w:t>of</w:t>
      </w:r>
      <w:r w:rsidRPr="00150EDC">
        <w:rPr>
          <w:spacing w:val="-3"/>
        </w:rPr>
        <w:t xml:space="preserve"> </w:t>
      </w:r>
      <w:r w:rsidRPr="00150EDC">
        <w:t>the</w:t>
      </w:r>
      <w:r w:rsidRPr="00150EDC">
        <w:rPr>
          <w:spacing w:val="-3"/>
        </w:rPr>
        <w:t xml:space="preserve"> </w:t>
      </w:r>
      <w:r w:rsidRPr="00150EDC">
        <w:t>Termination</w:t>
      </w:r>
      <w:r w:rsidRPr="00150EDC">
        <w:rPr>
          <w:spacing w:val="-3"/>
        </w:rPr>
        <w:t xml:space="preserve"> </w:t>
      </w:r>
      <w:r w:rsidRPr="00150EDC">
        <w:t>Assistance</w:t>
      </w:r>
      <w:r w:rsidRPr="00150EDC">
        <w:rPr>
          <w:spacing w:val="-5"/>
        </w:rPr>
        <w:t xml:space="preserve"> </w:t>
      </w:r>
      <w:r w:rsidRPr="00150EDC">
        <w:t>Period.</w:t>
      </w:r>
      <w:r w:rsidRPr="00150EDC">
        <w:rPr>
          <w:spacing w:val="-6"/>
        </w:rPr>
        <w:t xml:space="preserve"> </w:t>
      </w:r>
      <w:r w:rsidRPr="00150EDC">
        <w:t>The</w:t>
      </w:r>
    </w:p>
    <w:p w14:paraId="28E8E08D" w14:textId="77777777" w:rsidR="004C7180" w:rsidRPr="00150EDC" w:rsidRDefault="004C7180">
      <w:pPr>
        <w:sectPr w:rsidR="004C7180" w:rsidRPr="00150EDC">
          <w:pgSz w:w="11910" w:h="16840"/>
          <w:pgMar w:top="1380" w:right="0" w:bottom="1380" w:left="40" w:header="715" w:footer="1192" w:gutter="0"/>
          <w:cols w:space="720"/>
        </w:sectPr>
      </w:pPr>
    </w:p>
    <w:p w14:paraId="08FB537F" w14:textId="77777777" w:rsidR="004C7180" w:rsidRPr="00150EDC" w:rsidRDefault="004C7180">
      <w:pPr>
        <w:pStyle w:val="BodyText"/>
        <w:spacing w:before="5"/>
        <w:rPr>
          <w:sz w:val="15"/>
        </w:rPr>
      </w:pPr>
    </w:p>
    <w:p w14:paraId="2CBEF38C" w14:textId="77777777" w:rsidR="004C7180" w:rsidRPr="00150EDC" w:rsidRDefault="00CF0754">
      <w:pPr>
        <w:pStyle w:val="BodyText"/>
        <w:spacing w:before="92"/>
        <w:ind w:left="2336" w:right="1520"/>
      </w:pPr>
      <w:r w:rsidRPr="00150EDC">
        <w:t>Supplier shall provide all reasonable assistance required by the Buyer and/or its Replacement Supplier to enable it to determine which Transferable</w:t>
      </w:r>
      <w:r w:rsidRPr="00150EDC">
        <w:rPr>
          <w:spacing w:val="-3"/>
        </w:rPr>
        <w:t xml:space="preserve"> </w:t>
      </w:r>
      <w:r w:rsidRPr="00150EDC">
        <w:t>Assets</w:t>
      </w:r>
      <w:r w:rsidRPr="00150EDC">
        <w:rPr>
          <w:spacing w:val="-4"/>
        </w:rPr>
        <w:t xml:space="preserve"> </w:t>
      </w:r>
      <w:r w:rsidRPr="00150EDC">
        <w:t>and</w:t>
      </w:r>
      <w:r w:rsidRPr="00150EDC">
        <w:rPr>
          <w:spacing w:val="-3"/>
        </w:rPr>
        <w:t xml:space="preserve"> </w:t>
      </w:r>
      <w:r w:rsidRPr="00150EDC">
        <w:t>Transferable</w:t>
      </w:r>
      <w:r w:rsidRPr="00150EDC">
        <w:rPr>
          <w:spacing w:val="-3"/>
        </w:rPr>
        <w:t xml:space="preserve"> </w:t>
      </w:r>
      <w:r w:rsidRPr="00150EDC">
        <w:t>Contracts</w:t>
      </w:r>
      <w:r w:rsidRPr="00150EDC">
        <w:rPr>
          <w:spacing w:val="-4"/>
        </w:rPr>
        <w:t xml:space="preserve"> </w:t>
      </w:r>
      <w:r w:rsidRPr="00150EDC">
        <w:t>are</w:t>
      </w:r>
      <w:r w:rsidRPr="00150EDC">
        <w:rPr>
          <w:spacing w:val="-3"/>
        </w:rPr>
        <w:t xml:space="preserve"> </w:t>
      </w:r>
      <w:r w:rsidRPr="00150EDC">
        <w:t>required</w:t>
      </w:r>
      <w:r w:rsidRPr="00150EDC">
        <w:rPr>
          <w:spacing w:val="-3"/>
        </w:rPr>
        <w:t xml:space="preserve"> </w:t>
      </w:r>
      <w:r w:rsidRPr="00150EDC">
        <w:t>to</w:t>
      </w:r>
      <w:r w:rsidRPr="00150EDC">
        <w:rPr>
          <w:spacing w:val="-5"/>
        </w:rPr>
        <w:t xml:space="preserve"> </w:t>
      </w:r>
      <w:r w:rsidRPr="00150EDC">
        <w:t>provide</w:t>
      </w:r>
      <w:r w:rsidRPr="00150EDC">
        <w:rPr>
          <w:spacing w:val="-3"/>
        </w:rPr>
        <w:t xml:space="preserve"> </w:t>
      </w:r>
      <w:r w:rsidRPr="00150EDC">
        <w:t>the Deliverables or the Replacement Goods and/or Replacement Services.</w:t>
      </w:r>
    </w:p>
    <w:p w14:paraId="3492157B" w14:textId="77777777" w:rsidR="004C7180" w:rsidRPr="00150EDC" w:rsidRDefault="00CF0754" w:rsidP="00B320C7">
      <w:pPr>
        <w:pStyle w:val="ListParagraph"/>
        <w:numPr>
          <w:ilvl w:val="1"/>
          <w:numId w:val="39"/>
        </w:numPr>
        <w:tabs>
          <w:tab w:val="left" w:pos="2326"/>
          <w:tab w:val="left" w:pos="2328"/>
        </w:tabs>
        <w:spacing w:before="120"/>
        <w:ind w:right="1887"/>
        <w:rPr>
          <w:sz w:val="24"/>
        </w:rPr>
      </w:pPr>
      <w:r w:rsidRPr="00150EDC">
        <w:rPr>
          <w:sz w:val="24"/>
        </w:rPr>
        <w:t>With effect from the expiry of the Termination Assistance Period, the Supplier shall sell the Transferring Assets to the Buyer and/or the Replacement</w:t>
      </w:r>
      <w:r w:rsidRPr="00150EDC">
        <w:rPr>
          <w:spacing w:val="-2"/>
          <w:sz w:val="24"/>
        </w:rPr>
        <w:t xml:space="preserve"> </w:t>
      </w:r>
      <w:r w:rsidRPr="00150EDC">
        <w:rPr>
          <w:sz w:val="24"/>
        </w:rPr>
        <w:t>Supplier</w:t>
      </w:r>
      <w:r w:rsidRPr="00150EDC">
        <w:rPr>
          <w:spacing w:val="-6"/>
          <w:sz w:val="24"/>
        </w:rPr>
        <w:t xml:space="preserve"> </w:t>
      </w:r>
      <w:r w:rsidRPr="00150EDC">
        <w:rPr>
          <w:sz w:val="24"/>
        </w:rPr>
        <w:t>for</w:t>
      </w:r>
      <w:r w:rsidRPr="00150EDC">
        <w:rPr>
          <w:spacing w:val="-4"/>
          <w:sz w:val="24"/>
        </w:rPr>
        <w:t xml:space="preserve"> </w:t>
      </w:r>
      <w:r w:rsidRPr="00150EDC">
        <w:rPr>
          <w:sz w:val="24"/>
        </w:rPr>
        <w:t>their</w:t>
      </w:r>
      <w:r w:rsidRPr="00150EDC">
        <w:rPr>
          <w:spacing w:val="-4"/>
          <w:sz w:val="24"/>
        </w:rPr>
        <w:t xml:space="preserve"> </w:t>
      </w:r>
      <w:r w:rsidRPr="00150EDC">
        <w:rPr>
          <w:sz w:val="24"/>
        </w:rPr>
        <w:t>Net</w:t>
      </w:r>
      <w:r w:rsidRPr="00150EDC">
        <w:rPr>
          <w:spacing w:val="-2"/>
          <w:sz w:val="24"/>
        </w:rPr>
        <w:t xml:space="preserve"> </w:t>
      </w:r>
      <w:r w:rsidRPr="00150EDC">
        <w:rPr>
          <w:sz w:val="24"/>
        </w:rPr>
        <w:t>Book</w:t>
      </w:r>
      <w:r w:rsidRPr="00150EDC">
        <w:rPr>
          <w:spacing w:val="-3"/>
          <w:sz w:val="24"/>
        </w:rPr>
        <w:t xml:space="preserve"> </w:t>
      </w:r>
      <w:r w:rsidRPr="00150EDC">
        <w:rPr>
          <w:sz w:val="24"/>
        </w:rPr>
        <w:t>Value</w:t>
      </w:r>
      <w:r w:rsidRPr="00150EDC">
        <w:rPr>
          <w:spacing w:val="-2"/>
          <w:sz w:val="24"/>
        </w:rPr>
        <w:t xml:space="preserve"> </w:t>
      </w:r>
      <w:r w:rsidRPr="00150EDC">
        <w:rPr>
          <w:sz w:val="24"/>
        </w:rPr>
        <w:t>less</w:t>
      </w:r>
      <w:r w:rsidRPr="00150EDC">
        <w:rPr>
          <w:spacing w:val="-3"/>
          <w:sz w:val="24"/>
        </w:rPr>
        <w:t xml:space="preserve"> </w:t>
      </w:r>
      <w:r w:rsidRPr="00150EDC">
        <w:rPr>
          <w:sz w:val="24"/>
        </w:rPr>
        <w:t>any</w:t>
      </w:r>
      <w:r w:rsidRPr="00150EDC">
        <w:rPr>
          <w:spacing w:val="-3"/>
          <w:sz w:val="24"/>
        </w:rPr>
        <w:t xml:space="preserve"> </w:t>
      </w:r>
      <w:r w:rsidRPr="00150EDC">
        <w:rPr>
          <w:sz w:val="24"/>
        </w:rPr>
        <w:t>amount</w:t>
      </w:r>
      <w:r w:rsidRPr="00150EDC">
        <w:rPr>
          <w:spacing w:val="-5"/>
          <w:sz w:val="24"/>
        </w:rPr>
        <w:t xml:space="preserve"> </w:t>
      </w:r>
      <w:r w:rsidRPr="00150EDC">
        <w:rPr>
          <w:sz w:val="24"/>
        </w:rPr>
        <w:t>already paid for them through the Charges.</w:t>
      </w:r>
    </w:p>
    <w:p w14:paraId="634EDE6E" w14:textId="77777777" w:rsidR="004C7180" w:rsidRPr="00150EDC" w:rsidRDefault="00CF0754" w:rsidP="00B320C7">
      <w:pPr>
        <w:pStyle w:val="ListParagraph"/>
        <w:numPr>
          <w:ilvl w:val="1"/>
          <w:numId w:val="39"/>
        </w:numPr>
        <w:tabs>
          <w:tab w:val="left" w:pos="2326"/>
          <w:tab w:val="left" w:pos="2328"/>
        </w:tabs>
        <w:spacing w:before="121"/>
        <w:ind w:right="1607"/>
        <w:rPr>
          <w:sz w:val="24"/>
        </w:rPr>
      </w:pPr>
      <w:r w:rsidRPr="00150EDC">
        <w:rPr>
          <w:sz w:val="24"/>
        </w:rPr>
        <w:t>Risk</w:t>
      </w:r>
      <w:r w:rsidRPr="00150EDC">
        <w:rPr>
          <w:spacing w:val="-3"/>
          <w:sz w:val="24"/>
        </w:rPr>
        <w:t xml:space="preserve"> </w:t>
      </w:r>
      <w:r w:rsidRPr="00150EDC">
        <w:rPr>
          <w:sz w:val="24"/>
        </w:rPr>
        <w:t>in</w:t>
      </w:r>
      <w:r w:rsidRPr="00150EDC">
        <w:rPr>
          <w:spacing w:val="-2"/>
          <w:sz w:val="24"/>
        </w:rPr>
        <w:t xml:space="preserve"> </w:t>
      </w:r>
      <w:r w:rsidRPr="00150EDC">
        <w:rPr>
          <w:sz w:val="24"/>
        </w:rPr>
        <w:t>the</w:t>
      </w:r>
      <w:r w:rsidRPr="00150EDC">
        <w:rPr>
          <w:spacing w:val="-2"/>
          <w:sz w:val="24"/>
        </w:rPr>
        <w:t xml:space="preserve"> </w:t>
      </w:r>
      <w:r w:rsidRPr="00150EDC">
        <w:rPr>
          <w:sz w:val="24"/>
        </w:rPr>
        <w:t>Transferring</w:t>
      </w:r>
      <w:r w:rsidRPr="00150EDC">
        <w:rPr>
          <w:spacing w:val="-2"/>
          <w:sz w:val="24"/>
        </w:rPr>
        <w:t xml:space="preserve"> </w:t>
      </w:r>
      <w:r w:rsidRPr="00150EDC">
        <w:rPr>
          <w:sz w:val="24"/>
        </w:rPr>
        <w:t>Assets</w:t>
      </w:r>
      <w:r w:rsidRPr="00150EDC">
        <w:rPr>
          <w:spacing w:val="-5"/>
          <w:sz w:val="24"/>
        </w:rPr>
        <w:t xml:space="preserve"> </w:t>
      </w:r>
      <w:r w:rsidRPr="00150EDC">
        <w:rPr>
          <w:sz w:val="24"/>
        </w:rPr>
        <w:t>shall</w:t>
      </w:r>
      <w:r w:rsidRPr="00150EDC">
        <w:rPr>
          <w:spacing w:val="-6"/>
          <w:sz w:val="24"/>
        </w:rPr>
        <w:t xml:space="preserve"> </w:t>
      </w:r>
      <w:r w:rsidRPr="00150EDC">
        <w:rPr>
          <w:sz w:val="24"/>
        </w:rPr>
        <w:t>pass</w:t>
      </w:r>
      <w:r w:rsidRPr="00150EDC">
        <w:rPr>
          <w:spacing w:val="-3"/>
          <w:sz w:val="24"/>
        </w:rPr>
        <w:t xml:space="preserve"> </w:t>
      </w:r>
      <w:r w:rsidRPr="00150EDC">
        <w:rPr>
          <w:sz w:val="24"/>
        </w:rPr>
        <w:t>to</w:t>
      </w:r>
      <w:r w:rsidRPr="00150EDC">
        <w:rPr>
          <w:spacing w:val="-2"/>
          <w:sz w:val="24"/>
        </w:rPr>
        <w:t xml:space="preserve"> </w:t>
      </w:r>
      <w:r w:rsidRPr="00150EDC">
        <w:rPr>
          <w:sz w:val="24"/>
        </w:rPr>
        <w:t>the</w:t>
      </w:r>
      <w:r w:rsidRPr="00150EDC">
        <w:rPr>
          <w:spacing w:val="-2"/>
          <w:sz w:val="24"/>
        </w:rPr>
        <w:t xml:space="preserve"> </w:t>
      </w:r>
      <w:r w:rsidRPr="00150EDC">
        <w:rPr>
          <w:sz w:val="24"/>
        </w:rPr>
        <w:t>Buyer</w:t>
      </w:r>
      <w:r w:rsidRPr="00150EDC">
        <w:rPr>
          <w:spacing w:val="-4"/>
          <w:sz w:val="24"/>
        </w:rPr>
        <w:t xml:space="preserve"> </w:t>
      </w:r>
      <w:r w:rsidRPr="00150EDC">
        <w:rPr>
          <w:sz w:val="24"/>
        </w:rPr>
        <w:t>or</w:t>
      </w:r>
      <w:r w:rsidRPr="00150EDC">
        <w:rPr>
          <w:spacing w:val="-4"/>
          <w:sz w:val="24"/>
        </w:rPr>
        <w:t xml:space="preserve"> </w:t>
      </w:r>
      <w:r w:rsidRPr="00150EDC">
        <w:rPr>
          <w:sz w:val="24"/>
        </w:rPr>
        <w:t>the</w:t>
      </w:r>
      <w:r w:rsidRPr="00150EDC">
        <w:rPr>
          <w:spacing w:val="-2"/>
          <w:sz w:val="24"/>
        </w:rPr>
        <w:t xml:space="preserve"> </w:t>
      </w:r>
      <w:r w:rsidRPr="00150EDC">
        <w:rPr>
          <w:sz w:val="24"/>
        </w:rPr>
        <w:t>Replacement Supplier (as appropriate) at the end of the Termination Assistance Period and title shall pass on payment for them.</w:t>
      </w:r>
    </w:p>
    <w:p w14:paraId="63B81E7D" w14:textId="77777777" w:rsidR="004C7180" w:rsidRPr="00150EDC" w:rsidRDefault="00CF0754" w:rsidP="00B320C7">
      <w:pPr>
        <w:pStyle w:val="ListParagraph"/>
        <w:numPr>
          <w:ilvl w:val="1"/>
          <w:numId w:val="39"/>
        </w:numPr>
        <w:tabs>
          <w:tab w:val="left" w:pos="2326"/>
          <w:tab w:val="left" w:pos="2328"/>
        </w:tabs>
        <w:spacing w:before="120"/>
        <w:ind w:right="1661"/>
        <w:rPr>
          <w:sz w:val="24"/>
        </w:rPr>
      </w:pPr>
      <w:r w:rsidRPr="00150EDC">
        <w:rPr>
          <w:sz w:val="24"/>
        </w:rPr>
        <w:t>Where</w:t>
      </w:r>
      <w:r w:rsidRPr="00150EDC">
        <w:rPr>
          <w:spacing w:val="-4"/>
          <w:sz w:val="24"/>
        </w:rPr>
        <w:t xml:space="preserve"> </w:t>
      </w:r>
      <w:r w:rsidRPr="00150EDC">
        <w:rPr>
          <w:sz w:val="24"/>
        </w:rPr>
        <w:t>the</w:t>
      </w:r>
      <w:r w:rsidRPr="00150EDC">
        <w:rPr>
          <w:spacing w:val="-2"/>
          <w:sz w:val="24"/>
        </w:rPr>
        <w:t xml:space="preserve"> </w:t>
      </w:r>
      <w:r w:rsidRPr="00150EDC">
        <w:rPr>
          <w:sz w:val="24"/>
        </w:rPr>
        <w:t>Buyer</w:t>
      </w:r>
      <w:r w:rsidRPr="00150EDC">
        <w:rPr>
          <w:spacing w:val="-4"/>
          <w:sz w:val="24"/>
        </w:rPr>
        <w:t xml:space="preserve"> </w:t>
      </w:r>
      <w:r w:rsidRPr="00150EDC">
        <w:rPr>
          <w:sz w:val="24"/>
        </w:rPr>
        <w:t>and/or</w:t>
      </w:r>
      <w:r w:rsidRPr="00150EDC">
        <w:rPr>
          <w:spacing w:val="-4"/>
          <w:sz w:val="24"/>
        </w:rPr>
        <w:t xml:space="preserve"> </w:t>
      </w:r>
      <w:r w:rsidRPr="00150EDC">
        <w:rPr>
          <w:sz w:val="24"/>
        </w:rPr>
        <w:t>the</w:t>
      </w:r>
      <w:r w:rsidRPr="00150EDC">
        <w:rPr>
          <w:spacing w:val="-2"/>
          <w:sz w:val="24"/>
        </w:rPr>
        <w:t xml:space="preserve"> </w:t>
      </w:r>
      <w:r w:rsidRPr="00150EDC">
        <w:rPr>
          <w:sz w:val="24"/>
        </w:rPr>
        <w:t>Replacement</w:t>
      </w:r>
      <w:r w:rsidRPr="00150EDC">
        <w:rPr>
          <w:spacing w:val="-5"/>
          <w:sz w:val="24"/>
        </w:rPr>
        <w:t xml:space="preserve"> </w:t>
      </w:r>
      <w:r w:rsidRPr="00150EDC">
        <w:rPr>
          <w:sz w:val="24"/>
        </w:rPr>
        <w:t>Supplier</w:t>
      </w:r>
      <w:r w:rsidRPr="00150EDC">
        <w:rPr>
          <w:spacing w:val="-4"/>
          <w:sz w:val="24"/>
        </w:rPr>
        <w:t xml:space="preserve"> </w:t>
      </w:r>
      <w:r w:rsidRPr="00150EDC">
        <w:rPr>
          <w:sz w:val="24"/>
        </w:rPr>
        <w:t>requires</w:t>
      </w:r>
      <w:r w:rsidRPr="00150EDC">
        <w:rPr>
          <w:spacing w:val="-5"/>
          <w:sz w:val="24"/>
        </w:rPr>
        <w:t xml:space="preserve"> </w:t>
      </w:r>
      <w:r w:rsidRPr="00150EDC">
        <w:rPr>
          <w:sz w:val="24"/>
        </w:rPr>
        <w:t>continued</w:t>
      </w:r>
      <w:r w:rsidRPr="00150EDC">
        <w:rPr>
          <w:spacing w:val="-2"/>
          <w:sz w:val="24"/>
        </w:rPr>
        <w:t xml:space="preserve"> </w:t>
      </w:r>
      <w:r w:rsidRPr="00150EDC">
        <w:rPr>
          <w:sz w:val="24"/>
        </w:rPr>
        <w:t>use of any Exclusive Assets that are not Transferable Assets or any Non- Exclusive Assets, the Supplier shall as soon as reasonably practicable:</w:t>
      </w:r>
    </w:p>
    <w:p w14:paraId="29769D45" w14:textId="77777777" w:rsidR="004C7180" w:rsidRPr="00150EDC" w:rsidRDefault="00CF0754" w:rsidP="00B320C7">
      <w:pPr>
        <w:pStyle w:val="ListParagraph"/>
        <w:numPr>
          <w:ilvl w:val="2"/>
          <w:numId w:val="39"/>
        </w:numPr>
        <w:tabs>
          <w:tab w:val="left" w:pos="2117"/>
          <w:tab w:val="left" w:pos="2119"/>
        </w:tabs>
        <w:spacing w:before="120"/>
        <w:ind w:left="2119" w:right="1723"/>
        <w:jc w:val="both"/>
        <w:rPr>
          <w:sz w:val="24"/>
        </w:rPr>
      </w:pPr>
      <w:r w:rsidRPr="00150EDC">
        <w:rPr>
          <w:sz w:val="24"/>
        </w:rPr>
        <w:t>procure</w:t>
      </w:r>
      <w:r w:rsidRPr="00150EDC">
        <w:rPr>
          <w:spacing w:val="-4"/>
          <w:sz w:val="24"/>
        </w:rPr>
        <w:t xml:space="preserve"> </w:t>
      </w:r>
      <w:r w:rsidRPr="00150EDC">
        <w:rPr>
          <w:sz w:val="24"/>
        </w:rPr>
        <w:t>a</w:t>
      </w:r>
      <w:r w:rsidRPr="00150EDC">
        <w:rPr>
          <w:spacing w:val="-3"/>
          <w:sz w:val="24"/>
        </w:rPr>
        <w:t xml:space="preserve"> </w:t>
      </w:r>
      <w:r w:rsidRPr="00150EDC">
        <w:rPr>
          <w:sz w:val="24"/>
        </w:rPr>
        <w:t>non-exclusive,</w:t>
      </w:r>
      <w:r w:rsidRPr="00150EDC">
        <w:rPr>
          <w:spacing w:val="-3"/>
          <w:sz w:val="24"/>
        </w:rPr>
        <w:t xml:space="preserve"> </w:t>
      </w:r>
      <w:r w:rsidRPr="00150EDC">
        <w:rPr>
          <w:sz w:val="24"/>
        </w:rPr>
        <w:t>perpetual,</w:t>
      </w:r>
      <w:r w:rsidRPr="00150EDC">
        <w:rPr>
          <w:spacing w:val="-3"/>
          <w:sz w:val="24"/>
        </w:rPr>
        <w:t xml:space="preserve"> </w:t>
      </w:r>
      <w:r w:rsidRPr="00150EDC">
        <w:rPr>
          <w:sz w:val="24"/>
        </w:rPr>
        <w:t>royalty-free</w:t>
      </w:r>
      <w:r w:rsidRPr="00150EDC">
        <w:rPr>
          <w:spacing w:val="-3"/>
          <w:sz w:val="24"/>
        </w:rPr>
        <w:t xml:space="preserve"> </w:t>
      </w:r>
      <w:r w:rsidRPr="00150EDC">
        <w:rPr>
          <w:sz w:val="24"/>
        </w:rPr>
        <w:t>licence</w:t>
      </w:r>
      <w:r w:rsidRPr="00150EDC">
        <w:rPr>
          <w:spacing w:val="-3"/>
          <w:sz w:val="24"/>
        </w:rPr>
        <w:t xml:space="preserve"> </w:t>
      </w:r>
      <w:r w:rsidRPr="00150EDC">
        <w:rPr>
          <w:sz w:val="24"/>
        </w:rPr>
        <w:t>for</w:t>
      </w:r>
      <w:r w:rsidRPr="00150EDC">
        <w:rPr>
          <w:spacing w:val="-6"/>
          <w:sz w:val="24"/>
        </w:rPr>
        <w:t xml:space="preserve"> </w:t>
      </w:r>
      <w:r w:rsidRPr="00150EDC">
        <w:rPr>
          <w:sz w:val="24"/>
        </w:rPr>
        <w:t>the</w:t>
      </w:r>
      <w:r w:rsidRPr="00150EDC">
        <w:rPr>
          <w:spacing w:val="-4"/>
          <w:sz w:val="24"/>
        </w:rPr>
        <w:t xml:space="preserve"> </w:t>
      </w:r>
      <w:r w:rsidRPr="00150EDC">
        <w:rPr>
          <w:sz w:val="24"/>
        </w:rPr>
        <w:t>Buyer</w:t>
      </w:r>
      <w:r w:rsidRPr="00150EDC">
        <w:rPr>
          <w:spacing w:val="-4"/>
          <w:sz w:val="24"/>
        </w:rPr>
        <w:t xml:space="preserve"> </w:t>
      </w:r>
      <w:r w:rsidRPr="00150EDC">
        <w:rPr>
          <w:sz w:val="24"/>
        </w:rPr>
        <w:t>and/or the Replacement Supplier to use such assets (with a right of sub-licence or assignment on the same terms); or failing which</w:t>
      </w:r>
    </w:p>
    <w:p w14:paraId="467C1D35" w14:textId="77777777" w:rsidR="004C7180" w:rsidRPr="00150EDC" w:rsidRDefault="00CF0754" w:rsidP="00B320C7">
      <w:pPr>
        <w:pStyle w:val="ListParagraph"/>
        <w:numPr>
          <w:ilvl w:val="2"/>
          <w:numId w:val="39"/>
        </w:numPr>
        <w:tabs>
          <w:tab w:val="left" w:pos="2118"/>
          <w:tab w:val="left" w:pos="2120"/>
        </w:tabs>
        <w:spacing w:before="120"/>
        <w:ind w:right="1736"/>
        <w:jc w:val="both"/>
        <w:rPr>
          <w:sz w:val="24"/>
        </w:rPr>
      </w:pPr>
      <w:r w:rsidRPr="00150EDC">
        <w:rPr>
          <w:sz w:val="24"/>
        </w:rPr>
        <w:t>procure</w:t>
      </w:r>
      <w:r w:rsidRPr="00150EDC">
        <w:rPr>
          <w:spacing w:val="-4"/>
          <w:sz w:val="24"/>
        </w:rPr>
        <w:t xml:space="preserve"> </w:t>
      </w:r>
      <w:r w:rsidRPr="00150EDC">
        <w:rPr>
          <w:sz w:val="24"/>
        </w:rPr>
        <w:t>a</w:t>
      </w:r>
      <w:r w:rsidRPr="00150EDC">
        <w:rPr>
          <w:spacing w:val="-2"/>
          <w:sz w:val="24"/>
        </w:rPr>
        <w:t xml:space="preserve"> </w:t>
      </w:r>
      <w:r w:rsidRPr="00150EDC">
        <w:rPr>
          <w:sz w:val="24"/>
        </w:rPr>
        <w:t>suitable</w:t>
      </w:r>
      <w:r w:rsidRPr="00150EDC">
        <w:rPr>
          <w:spacing w:val="-4"/>
          <w:sz w:val="24"/>
        </w:rPr>
        <w:t xml:space="preserve"> </w:t>
      </w:r>
      <w:r w:rsidRPr="00150EDC">
        <w:rPr>
          <w:sz w:val="24"/>
        </w:rPr>
        <w:t>alternative</w:t>
      </w:r>
      <w:r w:rsidRPr="00150EDC">
        <w:rPr>
          <w:spacing w:val="-4"/>
          <w:sz w:val="24"/>
        </w:rPr>
        <w:t xml:space="preserve"> </w:t>
      </w:r>
      <w:r w:rsidRPr="00150EDC">
        <w:rPr>
          <w:sz w:val="24"/>
        </w:rPr>
        <w:t>to</w:t>
      </w:r>
      <w:r w:rsidRPr="00150EDC">
        <w:rPr>
          <w:spacing w:val="-2"/>
          <w:sz w:val="24"/>
        </w:rPr>
        <w:t xml:space="preserve"> </w:t>
      </w:r>
      <w:r w:rsidRPr="00150EDC">
        <w:rPr>
          <w:sz w:val="24"/>
        </w:rPr>
        <w:t>such</w:t>
      </w:r>
      <w:r w:rsidRPr="00150EDC">
        <w:rPr>
          <w:spacing w:val="-4"/>
          <w:sz w:val="24"/>
        </w:rPr>
        <w:t xml:space="preserve"> </w:t>
      </w:r>
      <w:r w:rsidRPr="00150EDC">
        <w:rPr>
          <w:sz w:val="24"/>
        </w:rPr>
        <w:t>assets,</w:t>
      </w:r>
      <w:r w:rsidRPr="00150EDC">
        <w:rPr>
          <w:spacing w:val="-5"/>
          <w:sz w:val="24"/>
        </w:rPr>
        <w:t xml:space="preserve"> </w:t>
      </w:r>
      <w:r w:rsidRPr="00150EDC">
        <w:rPr>
          <w:sz w:val="24"/>
        </w:rPr>
        <w:t>the</w:t>
      </w:r>
      <w:r w:rsidRPr="00150EDC">
        <w:rPr>
          <w:spacing w:val="-2"/>
          <w:sz w:val="24"/>
        </w:rPr>
        <w:t xml:space="preserve"> </w:t>
      </w:r>
      <w:r w:rsidRPr="00150EDC">
        <w:rPr>
          <w:sz w:val="24"/>
        </w:rPr>
        <w:t>Buyer</w:t>
      </w:r>
      <w:r w:rsidRPr="00150EDC">
        <w:rPr>
          <w:spacing w:val="-4"/>
          <w:sz w:val="24"/>
        </w:rPr>
        <w:t xml:space="preserve"> </w:t>
      </w:r>
      <w:r w:rsidRPr="00150EDC">
        <w:rPr>
          <w:sz w:val="24"/>
        </w:rPr>
        <w:t>or</w:t>
      </w:r>
      <w:r w:rsidRPr="00150EDC">
        <w:rPr>
          <w:spacing w:val="-4"/>
          <w:sz w:val="24"/>
        </w:rPr>
        <w:t xml:space="preserve"> </w:t>
      </w:r>
      <w:r w:rsidRPr="00150EDC">
        <w:rPr>
          <w:sz w:val="24"/>
        </w:rPr>
        <w:t>the</w:t>
      </w:r>
      <w:r w:rsidRPr="00150EDC">
        <w:rPr>
          <w:spacing w:val="-2"/>
          <w:sz w:val="24"/>
        </w:rPr>
        <w:t xml:space="preserve"> </w:t>
      </w:r>
      <w:r w:rsidRPr="00150EDC">
        <w:rPr>
          <w:sz w:val="24"/>
        </w:rPr>
        <w:t>Replacement Supplier to bear the reasonable proven costs of procuring the same.</w:t>
      </w:r>
    </w:p>
    <w:p w14:paraId="22795C7D" w14:textId="77777777" w:rsidR="004C7180" w:rsidRPr="00150EDC" w:rsidRDefault="00CF0754" w:rsidP="00B320C7">
      <w:pPr>
        <w:pStyle w:val="ListParagraph"/>
        <w:numPr>
          <w:ilvl w:val="1"/>
          <w:numId w:val="39"/>
        </w:numPr>
        <w:tabs>
          <w:tab w:val="left" w:pos="2326"/>
          <w:tab w:val="left" w:pos="2328"/>
        </w:tabs>
        <w:spacing w:before="120"/>
        <w:ind w:right="1511"/>
        <w:rPr>
          <w:sz w:val="24"/>
        </w:rPr>
      </w:pPr>
      <w:r w:rsidRPr="00150EDC">
        <w:rPr>
          <w:sz w:val="24"/>
        </w:rPr>
        <w:t>The Supplier shall as soon as reasonably practicable assign or procure the novation</w:t>
      </w:r>
      <w:r w:rsidRPr="00150EDC">
        <w:rPr>
          <w:spacing w:val="-2"/>
          <w:sz w:val="24"/>
        </w:rPr>
        <w:t xml:space="preserve"> </w:t>
      </w:r>
      <w:r w:rsidRPr="00150EDC">
        <w:rPr>
          <w:sz w:val="24"/>
        </w:rPr>
        <w:t>of</w:t>
      </w:r>
      <w:r w:rsidRPr="00150EDC">
        <w:rPr>
          <w:spacing w:val="-2"/>
          <w:sz w:val="24"/>
        </w:rPr>
        <w:t xml:space="preserve"> </w:t>
      </w:r>
      <w:r w:rsidRPr="00150EDC">
        <w:rPr>
          <w:sz w:val="24"/>
        </w:rPr>
        <w:t>the</w:t>
      </w:r>
      <w:r w:rsidRPr="00150EDC">
        <w:rPr>
          <w:spacing w:val="-2"/>
          <w:sz w:val="24"/>
        </w:rPr>
        <w:t xml:space="preserve"> </w:t>
      </w:r>
      <w:r w:rsidRPr="00150EDC">
        <w:rPr>
          <w:sz w:val="24"/>
        </w:rPr>
        <w:t>Transferring</w:t>
      </w:r>
      <w:r w:rsidRPr="00150EDC">
        <w:rPr>
          <w:spacing w:val="-2"/>
          <w:sz w:val="24"/>
        </w:rPr>
        <w:t xml:space="preserve"> </w:t>
      </w:r>
      <w:r w:rsidRPr="00150EDC">
        <w:rPr>
          <w:sz w:val="24"/>
        </w:rPr>
        <w:t>Contracts</w:t>
      </w:r>
      <w:r w:rsidRPr="00150EDC">
        <w:rPr>
          <w:spacing w:val="-5"/>
          <w:sz w:val="24"/>
        </w:rPr>
        <w:t xml:space="preserve"> </w:t>
      </w:r>
      <w:r w:rsidRPr="00150EDC">
        <w:rPr>
          <w:sz w:val="24"/>
        </w:rPr>
        <w:t>to</w:t>
      </w:r>
      <w:r w:rsidRPr="00150EDC">
        <w:rPr>
          <w:spacing w:val="-2"/>
          <w:sz w:val="24"/>
        </w:rPr>
        <w:t xml:space="preserve"> </w:t>
      </w:r>
      <w:r w:rsidRPr="00150EDC">
        <w:rPr>
          <w:sz w:val="24"/>
        </w:rPr>
        <w:t>the</w:t>
      </w:r>
      <w:r w:rsidRPr="00150EDC">
        <w:rPr>
          <w:spacing w:val="-4"/>
          <w:sz w:val="24"/>
        </w:rPr>
        <w:t xml:space="preserve"> </w:t>
      </w:r>
      <w:r w:rsidRPr="00150EDC">
        <w:rPr>
          <w:sz w:val="24"/>
        </w:rPr>
        <w:t>Buyer</w:t>
      </w:r>
      <w:r w:rsidRPr="00150EDC">
        <w:rPr>
          <w:spacing w:val="-4"/>
          <w:sz w:val="24"/>
        </w:rPr>
        <w:t xml:space="preserve"> </w:t>
      </w:r>
      <w:r w:rsidRPr="00150EDC">
        <w:rPr>
          <w:sz w:val="24"/>
        </w:rPr>
        <w:t>and/or</w:t>
      </w:r>
      <w:r w:rsidRPr="00150EDC">
        <w:rPr>
          <w:spacing w:val="-4"/>
          <w:sz w:val="24"/>
        </w:rPr>
        <w:t xml:space="preserve"> </w:t>
      </w:r>
      <w:r w:rsidRPr="00150EDC">
        <w:rPr>
          <w:sz w:val="24"/>
        </w:rPr>
        <w:t>the</w:t>
      </w:r>
      <w:r w:rsidRPr="00150EDC">
        <w:rPr>
          <w:spacing w:val="-2"/>
          <w:sz w:val="24"/>
        </w:rPr>
        <w:t xml:space="preserve"> </w:t>
      </w:r>
      <w:r w:rsidRPr="00150EDC">
        <w:rPr>
          <w:sz w:val="24"/>
        </w:rPr>
        <w:t>Replacement Supplier.</w:t>
      </w:r>
      <w:r w:rsidRPr="00150EDC">
        <w:rPr>
          <w:spacing w:val="40"/>
          <w:sz w:val="24"/>
        </w:rPr>
        <w:t xml:space="preserve"> </w:t>
      </w:r>
      <w:r w:rsidRPr="00150EDC">
        <w:rPr>
          <w:sz w:val="24"/>
        </w:rPr>
        <w:t xml:space="preserve">The Supplier shall execute such documents and provide such other assistance as the Buyer reasonably requires to effect this novation or </w:t>
      </w:r>
      <w:r w:rsidRPr="00150EDC">
        <w:rPr>
          <w:spacing w:val="-2"/>
          <w:sz w:val="24"/>
        </w:rPr>
        <w:t>assignment.</w:t>
      </w:r>
    </w:p>
    <w:p w14:paraId="24DDDFE8" w14:textId="77777777" w:rsidR="004C7180" w:rsidRPr="00150EDC" w:rsidRDefault="00CF0754" w:rsidP="00B320C7">
      <w:pPr>
        <w:pStyle w:val="ListParagraph"/>
        <w:numPr>
          <w:ilvl w:val="1"/>
          <w:numId w:val="39"/>
        </w:numPr>
        <w:tabs>
          <w:tab w:val="left" w:pos="2326"/>
        </w:tabs>
        <w:spacing w:before="120"/>
        <w:ind w:left="2326" w:hanging="358"/>
        <w:rPr>
          <w:sz w:val="24"/>
        </w:rPr>
      </w:pPr>
      <w:r w:rsidRPr="00150EDC">
        <w:rPr>
          <w:sz w:val="24"/>
        </w:rPr>
        <w:t>The</w:t>
      </w:r>
      <w:r w:rsidRPr="00150EDC">
        <w:rPr>
          <w:spacing w:val="-1"/>
          <w:sz w:val="24"/>
        </w:rPr>
        <w:t xml:space="preserve"> </w:t>
      </w:r>
      <w:r w:rsidRPr="00150EDC">
        <w:rPr>
          <w:sz w:val="24"/>
        </w:rPr>
        <w:t>Buyer</w:t>
      </w:r>
      <w:r w:rsidRPr="00150EDC">
        <w:rPr>
          <w:spacing w:val="-2"/>
          <w:sz w:val="24"/>
        </w:rPr>
        <w:t xml:space="preserve"> shall:</w:t>
      </w:r>
    </w:p>
    <w:p w14:paraId="6EE39F78" w14:textId="77777777" w:rsidR="004C7180" w:rsidRPr="00150EDC" w:rsidRDefault="00CF0754" w:rsidP="00B320C7">
      <w:pPr>
        <w:pStyle w:val="ListParagraph"/>
        <w:numPr>
          <w:ilvl w:val="2"/>
          <w:numId w:val="39"/>
        </w:numPr>
        <w:tabs>
          <w:tab w:val="left" w:pos="2118"/>
          <w:tab w:val="left" w:pos="2120"/>
        </w:tabs>
        <w:spacing w:before="120"/>
        <w:ind w:right="1644"/>
        <w:rPr>
          <w:sz w:val="24"/>
        </w:rPr>
      </w:pPr>
      <w:r w:rsidRPr="00150EDC">
        <w:rPr>
          <w:sz w:val="24"/>
        </w:rPr>
        <w:t>accept</w:t>
      </w:r>
      <w:r w:rsidRPr="00150EDC">
        <w:rPr>
          <w:spacing w:val="-4"/>
          <w:sz w:val="24"/>
        </w:rPr>
        <w:t xml:space="preserve"> </w:t>
      </w:r>
      <w:r w:rsidRPr="00150EDC">
        <w:rPr>
          <w:sz w:val="24"/>
        </w:rPr>
        <w:t>assignments</w:t>
      </w:r>
      <w:r w:rsidRPr="00150EDC">
        <w:rPr>
          <w:spacing w:val="-4"/>
          <w:sz w:val="24"/>
        </w:rPr>
        <w:t xml:space="preserve"> </w:t>
      </w:r>
      <w:r w:rsidRPr="00150EDC">
        <w:rPr>
          <w:sz w:val="24"/>
        </w:rPr>
        <w:t>from</w:t>
      </w:r>
      <w:r w:rsidRPr="00150EDC">
        <w:rPr>
          <w:spacing w:val="-3"/>
          <w:sz w:val="24"/>
        </w:rPr>
        <w:t xml:space="preserve"> </w:t>
      </w:r>
      <w:r w:rsidRPr="00150EDC">
        <w:rPr>
          <w:sz w:val="24"/>
        </w:rPr>
        <w:t>the</w:t>
      </w:r>
      <w:r w:rsidRPr="00150EDC">
        <w:rPr>
          <w:spacing w:val="-3"/>
          <w:sz w:val="24"/>
        </w:rPr>
        <w:t xml:space="preserve"> </w:t>
      </w:r>
      <w:r w:rsidRPr="00150EDC">
        <w:rPr>
          <w:sz w:val="24"/>
        </w:rPr>
        <w:t>Supplier</w:t>
      </w:r>
      <w:r w:rsidRPr="00150EDC">
        <w:rPr>
          <w:spacing w:val="-3"/>
          <w:sz w:val="24"/>
        </w:rPr>
        <w:t xml:space="preserve"> </w:t>
      </w:r>
      <w:r w:rsidRPr="00150EDC">
        <w:rPr>
          <w:sz w:val="24"/>
        </w:rPr>
        <w:t>or</w:t>
      </w:r>
      <w:r w:rsidRPr="00150EDC">
        <w:rPr>
          <w:spacing w:val="-3"/>
          <w:sz w:val="24"/>
        </w:rPr>
        <w:t xml:space="preserve"> </w:t>
      </w:r>
      <w:r w:rsidRPr="00150EDC">
        <w:rPr>
          <w:sz w:val="24"/>
        </w:rPr>
        <w:t>join</w:t>
      </w:r>
      <w:r w:rsidRPr="00150EDC">
        <w:rPr>
          <w:spacing w:val="-3"/>
          <w:sz w:val="24"/>
        </w:rPr>
        <w:t xml:space="preserve"> </w:t>
      </w:r>
      <w:r w:rsidRPr="00150EDC">
        <w:rPr>
          <w:sz w:val="24"/>
        </w:rPr>
        <w:t>with</w:t>
      </w:r>
      <w:r w:rsidRPr="00150EDC">
        <w:rPr>
          <w:spacing w:val="-1"/>
          <w:sz w:val="24"/>
        </w:rPr>
        <w:t xml:space="preserve"> </w:t>
      </w:r>
      <w:r w:rsidRPr="00150EDC">
        <w:rPr>
          <w:sz w:val="24"/>
        </w:rPr>
        <w:t>the</w:t>
      </w:r>
      <w:r w:rsidRPr="00150EDC">
        <w:rPr>
          <w:spacing w:val="-1"/>
          <w:sz w:val="24"/>
        </w:rPr>
        <w:t xml:space="preserve"> </w:t>
      </w:r>
      <w:r w:rsidRPr="00150EDC">
        <w:rPr>
          <w:sz w:val="24"/>
        </w:rPr>
        <w:t>Supplier</w:t>
      </w:r>
      <w:r w:rsidRPr="00150EDC">
        <w:rPr>
          <w:spacing w:val="-3"/>
          <w:sz w:val="24"/>
        </w:rPr>
        <w:t xml:space="preserve"> </w:t>
      </w:r>
      <w:r w:rsidRPr="00150EDC">
        <w:rPr>
          <w:sz w:val="24"/>
        </w:rPr>
        <w:t>in</w:t>
      </w:r>
      <w:r w:rsidRPr="00150EDC">
        <w:rPr>
          <w:spacing w:val="-3"/>
          <w:sz w:val="24"/>
        </w:rPr>
        <w:t xml:space="preserve"> </w:t>
      </w:r>
      <w:r w:rsidRPr="00150EDC">
        <w:rPr>
          <w:sz w:val="24"/>
        </w:rPr>
        <w:t>procuring</w:t>
      </w:r>
      <w:r w:rsidRPr="00150EDC">
        <w:rPr>
          <w:spacing w:val="-3"/>
          <w:sz w:val="24"/>
        </w:rPr>
        <w:t xml:space="preserve"> </w:t>
      </w:r>
      <w:r w:rsidRPr="00150EDC">
        <w:rPr>
          <w:sz w:val="24"/>
        </w:rPr>
        <w:t>a novation of each Transferring Contract; and</w:t>
      </w:r>
    </w:p>
    <w:p w14:paraId="2D69B6C8" w14:textId="77777777" w:rsidR="004C7180" w:rsidRPr="00150EDC" w:rsidRDefault="00CF0754" w:rsidP="00B320C7">
      <w:pPr>
        <w:pStyle w:val="ListParagraph"/>
        <w:numPr>
          <w:ilvl w:val="2"/>
          <w:numId w:val="39"/>
        </w:numPr>
        <w:tabs>
          <w:tab w:val="left" w:pos="2117"/>
          <w:tab w:val="left" w:pos="2119"/>
        </w:tabs>
        <w:spacing w:before="120"/>
        <w:ind w:left="2119" w:right="1656"/>
        <w:rPr>
          <w:sz w:val="24"/>
        </w:rPr>
      </w:pPr>
      <w:r w:rsidRPr="00150EDC">
        <w:rPr>
          <w:sz w:val="24"/>
        </w:rPr>
        <w:t>once a Transferring Contract is novated or assigned to the Buyer and/or the Replacement</w:t>
      </w:r>
      <w:r w:rsidRPr="00150EDC">
        <w:rPr>
          <w:spacing w:val="-3"/>
          <w:sz w:val="24"/>
        </w:rPr>
        <w:t xml:space="preserve"> </w:t>
      </w:r>
      <w:r w:rsidRPr="00150EDC">
        <w:rPr>
          <w:sz w:val="24"/>
        </w:rPr>
        <w:t>Supplier,</w:t>
      </w:r>
      <w:r w:rsidRPr="00150EDC">
        <w:rPr>
          <w:spacing w:val="-5"/>
          <w:sz w:val="24"/>
        </w:rPr>
        <w:t xml:space="preserve"> </w:t>
      </w:r>
      <w:r w:rsidRPr="00150EDC">
        <w:rPr>
          <w:sz w:val="24"/>
        </w:rPr>
        <w:t>discharge</w:t>
      </w:r>
      <w:r w:rsidRPr="00150EDC">
        <w:rPr>
          <w:spacing w:val="-3"/>
          <w:sz w:val="24"/>
        </w:rPr>
        <w:t xml:space="preserve"> </w:t>
      </w:r>
      <w:r w:rsidRPr="00150EDC">
        <w:rPr>
          <w:sz w:val="24"/>
        </w:rPr>
        <w:t>all</w:t>
      </w:r>
      <w:r w:rsidRPr="00150EDC">
        <w:rPr>
          <w:spacing w:val="-4"/>
          <w:sz w:val="24"/>
        </w:rPr>
        <w:t xml:space="preserve"> </w:t>
      </w:r>
      <w:r w:rsidRPr="00150EDC">
        <w:rPr>
          <w:sz w:val="24"/>
        </w:rPr>
        <w:t>the</w:t>
      </w:r>
      <w:r w:rsidRPr="00150EDC">
        <w:rPr>
          <w:spacing w:val="-4"/>
          <w:sz w:val="24"/>
        </w:rPr>
        <w:t xml:space="preserve"> </w:t>
      </w:r>
      <w:r w:rsidRPr="00150EDC">
        <w:rPr>
          <w:sz w:val="24"/>
        </w:rPr>
        <w:t>obligations</w:t>
      </w:r>
      <w:r w:rsidRPr="00150EDC">
        <w:rPr>
          <w:spacing w:val="-5"/>
          <w:sz w:val="24"/>
        </w:rPr>
        <w:t xml:space="preserve"> </w:t>
      </w:r>
      <w:r w:rsidRPr="00150EDC">
        <w:rPr>
          <w:sz w:val="24"/>
        </w:rPr>
        <w:t>and</w:t>
      </w:r>
      <w:r w:rsidRPr="00150EDC">
        <w:rPr>
          <w:spacing w:val="-4"/>
          <w:sz w:val="24"/>
        </w:rPr>
        <w:t xml:space="preserve"> </w:t>
      </w:r>
      <w:r w:rsidRPr="00150EDC">
        <w:rPr>
          <w:sz w:val="24"/>
        </w:rPr>
        <w:t>liabilities</w:t>
      </w:r>
      <w:r w:rsidRPr="00150EDC">
        <w:rPr>
          <w:spacing w:val="-4"/>
          <w:sz w:val="24"/>
        </w:rPr>
        <w:t xml:space="preserve"> </w:t>
      </w:r>
      <w:r w:rsidRPr="00150EDC">
        <w:rPr>
          <w:sz w:val="24"/>
        </w:rPr>
        <w:t>created</w:t>
      </w:r>
      <w:r w:rsidRPr="00150EDC">
        <w:rPr>
          <w:spacing w:val="-3"/>
          <w:sz w:val="24"/>
        </w:rPr>
        <w:t xml:space="preserve"> </w:t>
      </w:r>
      <w:r w:rsidRPr="00150EDC">
        <w:rPr>
          <w:sz w:val="24"/>
        </w:rPr>
        <w:t>by or arising under that Transferring Contract and exercise its rights arising under that Transferring Contract, or as applicable, procure that the Replacement Supplier does the same.</w:t>
      </w:r>
    </w:p>
    <w:p w14:paraId="4B95D79E" w14:textId="77777777" w:rsidR="004C7180" w:rsidRPr="00150EDC" w:rsidRDefault="00CF0754" w:rsidP="00B320C7">
      <w:pPr>
        <w:pStyle w:val="ListParagraph"/>
        <w:numPr>
          <w:ilvl w:val="1"/>
          <w:numId w:val="39"/>
        </w:numPr>
        <w:tabs>
          <w:tab w:val="left" w:pos="2326"/>
          <w:tab w:val="left" w:pos="2328"/>
        </w:tabs>
        <w:spacing w:before="118"/>
        <w:ind w:right="1778"/>
        <w:rPr>
          <w:sz w:val="24"/>
        </w:rPr>
      </w:pPr>
      <w:r w:rsidRPr="00150EDC">
        <w:rPr>
          <w:sz w:val="24"/>
        </w:rPr>
        <w:t>The Supplier shall hold any Transferring Contracts on trust for the Buyer until</w:t>
      </w:r>
      <w:r w:rsidRPr="00150EDC">
        <w:rPr>
          <w:spacing w:val="-2"/>
          <w:sz w:val="24"/>
        </w:rPr>
        <w:t xml:space="preserve"> </w:t>
      </w:r>
      <w:r w:rsidRPr="00150EDC">
        <w:rPr>
          <w:sz w:val="24"/>
        </w:rPr>
        <w:t>the</w:t>
      </w:r>
      <w:r w:rsidRPr="00150EDC">
        <w:rPr>
          <w:spacing w:val="-2"/>
          <w:sz w:val="24"/>
        </w:rPr>
        <w:t xml:space="preserve"> </w:t>
      </w:r>
      <w:r w:rsidRPr="00150EDC">
        <w:rPr>
          <w:sz w:val="24"/>
        </w:rPr>
        <w:t>transfer</w:t>
      </w:r>
      <w:r w:rsidRPr="00150EDC">
        <w:rPr>
          <w:spacing w:val="-3"/>
          <w:sz w:val="24"/>
        </w:rPr>
        <w:t xml:space="preserve"> </w:t>
      </w:r>
      <w:r w:rsidRPr="00150EDC">
        <w:rPr>
          <w:sz w:val="24"/>
        </w:rPr>
        <w:t>of</w:t>
      </w:r>
      <w:r w:rsidRPr="00150EDC">
        <w:rPr>
          <w:spacing w:val="-2"/>
          <w:sz w:val="24"/>
        </w:rPr>
        <w:t xml:space="preserve"> </w:t>
      </w:r>
      <w:r w:rsidRPr="00150EDC">
        <w:rPr>
          <w:sz w:val="24"/>
        </w:rPr>
        <w:t>the</w:t>
      </w:r>
      <w:r w:rsidRPr="00150EDC">
        <w:rPr>
          <w:spacing w:val="-3"/>
          <w:sz w:val="24"/>
        </w:rPr>
        <w:t xml:space="preserve"> </w:t>
      </w:r>
      <w:r w:rsidRPr="00150EDC">
        <w:rPr>
          <w:sz w:val="24"/>
        </w:rPr>
        <w:t>relevant</w:t>
      </w:r>
      <w:r w:rsidRPr="00150EDC">
        <w:rPr>
          <w:spacing w:val="-2"/>
          <w:sz w:val="24"/>
        </w:rPr>
        <w:t xml:space="preserve"> </w:t>
      </w:r>
      <w:r w:rsidRPr="00150EDC">
        <w:rPr>
          <w:sz w:val="24"/>
        </w:rPr>
        <w:t>Transferring</w:t>
      </w:r>
      <w:r w:rsidRPr="00150EDC">
        <w:rPr>
          <w:spacing w:val="-3"/>
          <w:sz w:val="24"/>
        </w:rPr>
        <w:t xml:space="preserve"> </w:t>
      </w:r>
      <w:r w:rsidRPr="00150EDC">
        <w:rPr>
          <w:sz w:val="24"/>
        </w:rPr>
        <w:t>Contract</w:t>
      </w:r>
      <w:r w:rsidRPr="00150EDC">
        <w:rPr>
          <w:spacing w:val="-4"/>
          <w:sz w:val="24"/>
        </w:rPr>
        <w:t xml:space="preserve"> </w:t>
      </w:r>
      <w:r w:rsidRPr="00150EDC">
        <w:rPr>
          <w:sz w:val="24"/>
        </w:rPr>
        <w:t>to</w:t>
      </w:r>
      <w:r w:rsidRPr="00150EDC">
        <w:rPr>
          <w:spacing w:val="-3"/>
          <w:sz w:val="24"/>
        </w:rPr>
        <w:t xml:space="preserve"> </w:t>
      </w:r>
      <w:r w:rsidRPr="00150EDC">
        <w:rPr>
          <w:sz w:val="24"/>
        </w:rPr>
        <w:t>the</w:t>
      </w:r>
      <w:r w:rsidRPr="00150EDC">
        <w:rPr>
          <w:spacing w:val="-3"/>
          <w:sz w:val="24"/>
        </w:rPr>
        <w:t xml:space="preserve"> </w:t>
      </w:r>
      <w:r w:rsidRPr="00150EDC">
        <w:rPr>
          <w:sz w:val="24"/>
        </w:rPr>
        <w:t>Buyer</w:t>
      </w:r>
      <w:r w:rsidRPr="00150EDC">
        <w:rPr>
          <w:spacing w:val="-3"/>
          <w:sz w:val="24"/>
        </w:rPr>
        <w:t xml:space="preserve"> </w:t>
      </w:r>
      <w:r w:rsidRPr="00150EDC">
        <w:rPr>
          <w:sz w:val="24"/>
        </w:rPr>
        <w:t>and/or the Replacement Supplier has taken place.</w:t>
      </w:r>
    </w:p>
    <w:p w14:paraId="4E7DB4BF" w14:textId="77777777" w:rsidR="004C7180" w:rsidRPr="00150EDC" w:rsidRDefault="00CF0754" w:rsidP="00B320C7">
      <w:pPr>
        <w:pStyle w:val="ListParagraph"/>
        <w:numPr>
          <w:ilvl w:val="1"/>
          <w:numId w:val="39"/>
        </w:numPr>
        <w:tabs>
          <w:tab w:val="left" w:pos="2326"/>
          <w:tab w:val="left" w:pos="2328"/>
        </w:tabs>
        <w:spacing w:before="120"/>
        <w:ind w:right="1660"/>
        <w:rPr>
          <w:sz w:val="24"/>
        </w:rPr>
      </w:pPr>
      <w:r w:rsidRPr="00150EDC">
        <w:rPr>
          <w:sz w:val="24"/>
        </w:rPr>
        <w:t>The Supplier shall indemnify the Buyer (and/or the Replacement Supplier, as</w:t>
      </w:r>
      <w:r w:rsidRPr="00150EDC">
        <w:rPr>
          <w:spacing w:val="-2"/>
          <w:sz w:val="24"/>
        </w:rPr>
        <w:t xml:space="preserve"> </w:t>
      </w:r>
      <w:r w:rsidRPr="00150EDC">
        <w:rPr>
          <w:sz w:val="24"/>
        </w:rPr>
        <w:t>applicable)</w:t>
      </w:r>
      <w:r w:rsidRPr="00150EDC">
        <w:rPr>
          <w:spacing w:val="-5"/>
          <w:sz w:val="24"/>
        </w:rPr>
        <w:t xml:space="preserve"> </w:t>
      </w:r>
      <w:r w:rsidRPr="00150EDC">
        <w:rPr>
          <w:sz w:val="24"/>
        </w:rPr>
        <w:t>against</w:t>
      </w:r>
      <w:r w:rsidRPr="00150EDC">
        <w:rPr>
          <w:spacing w:val="-4"/>
          <w:sz w:val="24"/>
        </w:rPr>
        <w:t xml:space="preserve"> </w:t>
      </w:r>
      <w:r w:rsidRPr="00150EDC">
        <w:rPr>
          <w:sz w:val="24"/>
        </w:rPr>
        <w:t>each</w:t>
      </w:r>
      <w:r w:rsidRPr="00150EDC">
        <w:rPr>
          <w:spacing w:val="-1"/>
          <w:sz w:val="24"/>
        </w:rPr>
        <w:t xml:space="preserve"> </w:t>
      </w:r>
      <w:r w:rsidRPr="00150EDC">
        <w:rPr>
          <w:sz w:val="24"/>
        </w:rPr>
        <w:t>loss,</w:t>
      </w:r>
      <w:r w:rsidRPr="00150EDC">
        <w:rPr>
          <w:spacing w:val="-1"/>
          <w:sz w:val="24"/>
        </w:rPr>
        <w:t xml:space="preserve"> </w:t>
      </w:r>
      <w:r w:rsidRPr="00150EDC">
        <w:rPr>
          <w:sz w:val="24"/>
        </w:rPr>
        <w:t>liability</w:t>
      </w:r>
      <w:r w:rsidRPr="00150EDC">
        <w:rPr>
          <w:spacing w:val="-2"/>
          <w:sz w:val="24"/>
        </w:rPr>
        <w:t xml:space="preserve"> </w:t>
      </w:r>
      <w:r w:rsidRPr="00150EDC">
        <w:rPr>
          <w:sz w:val="24"/>
        </w:rPr>
        <w:t>and</w:t>
      </w:r>
      <w:r w:rsidRPr="00150EDC">
        <w:rPr>
          <w:spacing w:val="-3"/>
          <w:sz w:val="24"/>
        </w:rPr>
        <w:t xml:space="preserve"> </w:t>
      </w:r>
      <w:r w:rsidRPr="00150EDC">
        <w:rPr>
          <w:sz w:val="24"/>
        </w:rPr>
        <w:t>cost</w:t>
      </w:r>
      <w:r w:rsidRPr="00150EDC">
        <w:rPr>
          <w:spacing w:val="-1"/>
          <w:sz w:val="24"/>
        </w:rPr>
        <w:t xml:space="preserve"> </w:t>
      </w:r>
      <w:r w:rsidRPr="00150EDC">
        <w:rPr>
          <w:sz w:val="24"/>
        </w:rPr>
        <w:t>arising</w:t>
      </w:r>
      <w:r w:rsidRPr="00150EDC">
        <w:rPr>
          <w:spacing w:val="-3"/>
          <w:sz w:val="24"/>
        </w:rPr>
        <w:t xml:space="preserve"> </w:t>
      </w:r>
      <w:r w:rsidRPr="00150EDC">
        <w:rPr>
          <w:sz w:val="24"/>
        </w:rPr>
        <w:t>out</w:t>
      </w:r>
      <w:r w:rsidRPr="00150EDC">
        <w:rPr>
          <w:spacing w:val="-4"/>
          <w:sz w:val="24"/>
        </w:rPr>
        <w:t xml:space="preserve"> </w:t>
      </w:r>
      <w:r w:rsidRPr="00150EDC">
        <w:rPr>
          <w:sz w:val="24"/>
        </w:rPr>
        <w:t>of</w:t>
      </w:r>
      <w:r w:rsidRPr="00150EDC">
        <w:rPr>
          <w:spacing w:val="-4"/>
          <w:sz w:val="24"/>
        </w:rPr>
        <w:t xml:space="preserve"> </w:t>
      </w:r>
      <w:r w:rsidRPr="00150EDC">
        <w:rPr>
          <w:sz w:val="24"/>
        </w:rPr>
        <w:t>any</w:t>
      </w:r>
      <w:r w:rsidRPr="00150EDC">
        <w:rPr>
          <w:spacing w:val="-4"/>
          <w:sz w:val="24"/>
        </w:rPr>
        <w:t xml:space="preserve"> </w:t>
      </w:r>
      <w:r w:rsidRPr="00150EDC">
        <w:rPr>
          <w:sz w:val="24"/>
        </w:rPr>
        <w:t>claims made by a counterparty to a Transferring Contract which is assigned or novated to the Buyer (and/or Replacement Supplier) pursuant to Paragraph 8.6 in relation to any matters arising prior to the date of assignment or novation of such Transferring Contract. Clause 19 (Other</w:t>
      </w:r>
    </w:p>
    <w:p w14:paraId="478BCFE3" w14:textId="77777777" w:rsidR="004C7180" w:rsidRPr="00150EDC" w:rsidRDefault="00CF0754">
      <w:pPr>
        <w:pStyle w:val="BodyText"/>
        <w:ind w:left="2328" w:right="1459"/>
      </w:pPr>
      <w:r w:rsidRPr="00150EDC">
        <w:t>people's</w:t>
      </w:r>
      <w:r w:rsidRPr="00150EDC">
        <w:rPr>
          <w:spacing w:val="-3"/>
        </w:rPr>
        <w:t xml:space="preserve"> </w:t>
      </w:r>
      <w:r w:rsidRPr="00150EDC">
        <w:t>rights</w:t>
      </w:r>
      <w:r w:rsidRPr="00150EDC">
        <w:rPr>
          <w:spacing w:val="-3"/>
        </w:rPr>
        <w:t xml:space="preserve"> </w:t>
      </w:r>
      <w:r w:rsidRPr="00150EDC">
        <w:t>in</w:t>
      </w:r>
      <w:r w:rsidRPr="00150EDC">
        <w:rPr>
          <w:spacing w:val="-2"/>
        </w:rPr>
        <w:t xml:space="preserve"> </w:t>
      </w:r>
      <w:r w:rsidRPr="00150EDC">
        <w:t>this</w:t>
      </w:r>
      <w:r w:rsidRPr="00150EDC">
        <w:rPr>
          <w:spacing w:val="-3"/>
        </w:rPr>
        <w:t xml:space="preserve"> </w:t>
      </w:r>
      <w:r w:rsidRPr="00150EDC">
        <w:t>contract)</w:t>
      </w:r>
      <w:r w:rsidRPr="00150EDC">
        <w:rPr>
          <w:spacing w:val="-4"/>
        </w:rPr>
        <w:t xml:space="preserve"> </w:t>
      </w:r>
      <w:r w:rsidRPr="00150EDC">
        <w:t>shall</w:t>
      </w:r>
      <w:r w:rsidRPr="00150EDC">
        <w:rPr>
          <w:spacing w:val="-3"/>
        </w:rPr>
        <w:t xml:space="preserve"> </w:t>
      </w:r>
      <w:r w:rsidRPr="00150EDC">
        <w:t>not</w:t>
      </w:r>
      <w:r w:rsidRPr="00150EDC">
        <w:rPr>
          <w:spacing w:val="-2"/>
        </w:rPr>
        <w:t xml:space="preserve"> </w:t>
      </w:r>
      <w:r w:rsidRPr="00150EDC">
        <w:t>apply</w:t>
      </w:r>
      <w:r w:rsidRPr="00150EDC">
        <w:rPr>
          <w:spacing w:val="-5"/>
        </w:rPr>
        <w:t xml:space="preserve"> </w:t>
      </w:r>
      <w:r w:rsidRPr="00150EDC">
        <w:t>to</w:t>
      </w:r>
      <w:r w:rsidRPr="00150EDC">
        <w:rPr>
          <w:spacing w:val="-2"/>
        </w:rPr>
        <w:t xml:space="preserve"> </w:t>
      </w:r>
      <w:r w:rsidRPr="00150EDC">
        <w:t>this</w:t>
      </w:r>
      <w:r w:rsidRPr="00150EDC">
        <w:rPr>
          <w:spacing w:val="-3"/>
        </w:rPr>
        <w:t xml:space="preserve"> </w:t>
      </w:r>
      <w:r w:rsidRPr="00150EDC">
        <w:t>Paragraph</w:t>
      </w:r>
      <w:r w:rsidRPr="00150EDC">
        <w:rPr>
          <w:spacing w:val="-2"/>
        </w:rPr>
        <w:t xml:space="preserve"> </w:t>
      </w:r>
      <w:r w:rsidRPr="00150EDC">
        <w:t>8.9</w:t>
      </w:r>
      <w:r w:rsidRPr="00150EDC">
        <w:rPr>
          <w:spacing w:val="-4"/>
        </w:rPr>
        <w:t xml:space="preserve"> </w:t>
      </w:r>
      <w:r w:rsidRPr="00150EDC">
        <w:t>which</w:t>
      </w:r>
      <w:r w:rsidRPr="00150EDC">
        <w:rPr>
          <w:spacing w:val="-2"/>
        </w:rPr>
        <w:t xml:space="preserve"> </w:t>
      </w:r>
      <w:r w:rsidRPr="00150EDC">
        <w:t xml:space="preserve">is intended to be enforceable by Third Parties Beneficiaries by virtue of the </w:t>
      </w:r>
      <w:r w:rsidRPr="00150EDC">
        <w:rPr>
          <w:spacing w:val="-2"/>
        </w:rPr>
        <w:t>CRTPA.</w:t>
      </w:r>
    </w:p>
    <w:p w14:paraId="59B322C3" w14:textId="77777777" w:rsidR="004C7180" w:rsidRPr="00150EDC" w:rsidRDefault="004C7180">
      <w:pPr>
        <w:sectPr w:rsidR="004C7180" w:rsidRPr="00150EDC">
          <w:pgSz w:w="11910" w:h="16840"/>
          <w:pgMar w:top="1380" w:right="0" w:bottom="1380" w:left="40" w:header="715" w:footer="1192" w:gutter="0"/>
          <w:cols w:space="720"/>
        </w:sectPr>
      </w:pPr>
    </w:p>
    <w:p w14:paraId="484970E0" w14:textId="77777777" w:rsidR="004C7180" w:rsidRPr="00150EDC" w:rsidRDefault="004C7180">
      <w:pPr>
        <w:pStyle w:val="BodyText"/>
        <w:spacing w:before="5"/>
        <w:rPr>
          <w:sz w:val="15"/>
        </w:rPr>
      </w:pPr>
    </w:p>
    <w:p w14:paraId="447C19A4" w14:textId="77777777" w:rsidR="004C7180" w:rsidRPr="00150EDC" w:rsidRDefault="00CF0754" w:rsidP="00B320C7">
      <w:pPr>
        <w:pStyle w:val="Heading4"/>
        <w:numPr>
          <w:ilvl w:val="0"/>
          <w:numId w:val="39"/>
        </w:numPr>
        <w:tabs>
          <w:tab w:val="left" w:pos="2042"/>
        </w:tabs>
        <w:spacing w:before="92"/>
        <w:ind w:left="2042" w:hanging="359"/>
      </w:pPr>
      <w:r w:rsidRPr="00150EDC">
        <w:t>No</w:t>
      </w:r>
      <w:r w:rsidRPr="00150EDC">
        <w:rPr>
          <w:spacing w:val="-1"/>
        </w:rPr>
        <w:t xml:space="preserve"> </w:t>
      </w:r>
      <w:r w:rsidRPr="00150EDC">
        <w:rPr>
          <w:spacing w:val="-2"/>
        </w:rPr>
        <w:t>charges</w:t>
      </w:r>
    </w:p>
    <w:p w14:paraId="67F0815E" w14:textId="77777777" w:rsidR="004C7180" w:rsidRPr="00150EDC" w:rsidRDefault="004C7180">
      <w:pPr>
        <w:pStyle w:val="BodyText"/>
        <w:spacing w:before="10"/>
        <w:rPr>
          <w:b/>
          <w:sz w:val="20"/>
        </w:rPr>
      </w:pPr>
    </w:p>
    <w:p w14:paraId="109FD65B" w14:textId="77777777" w:rsidR="004C7180" w:rsidRPr="00150EDC" w:rsidRDefault="00CF0754" w:rsidP="00B320C7">
      <w:pPr>
        <w:pStyle w:val="ListParagraph"/>
        <w:numPr>
          <w:ilvl w:val="1"/>
          <w:numId w:val="39"/>
        </w:numPr>
        <w:tabs>
          <w:tab w:val="left" w:pos="2326"/>
          <w:tab w:val="left" w:pos="2328"/>
        </w:tabs>
        <w:ind w:right="1969"/>
        <w:rPr>
          <w:sz w:val="24"/>
        </w:rPr>
      </w:pPr>
      <w:r w:rsidRPr="00150EDC">
        <w:rPr>
          <w:sz w:val="24"/>
        </w:rPr>
        <w:t>Unless</w:t>
      </w:r>
      <w:r w:rsidRPr="00150EDC">
        <w:rPr>
          <w:spacing w:val="-1"/>
          <w:sz w:val="24"/>
        </w:rPr>
        <w:t xml:space="preserve"> </w:t>
      </w:r>
      <w:r w:rsidRPr="00150EDC">
        <w:rPr>
          <w:sz w:val="24"/>
        </w:rPr>
        <w:t>otherwise stated, the Buyer</w:t>
      </w:r>
      <w:r w:rsidRPr="00150EDC">
        <w:rPr>
          <w:spacing w:val="-2"/>
          <w:sz w:val="24"/>
        </w:rPr>
        <w:t xml:space="preserve"> </w:t>
      </w:r>
      <w:r w:rsidRPr="00150EDC">
        <w:rPr>
          <w:sz w:val="24"/>
        </w:rPr>
        <w:t>shall</w:t>
      </w:r>
      <w:r w:rsidRPr="00150EDC">
        <w:rPr>
          <w:spacing w:val="-1"/>
          <w:sz w:val="24"/>
        </w:rPr>
        <w:t xml:space="preserve"> </w:t>
      </w:r>
      <w:r w:rsidRPr="00150EDC">
        <w:rPr>
          <w:sz w:val="24"/>
        </w:rPr>
        <w:t>not</w:t>
      </w:r>
      <w:r w:rsidRPr="00150EDC">
        <w:rPr>
          <w:spacing w:val="-3"/>
          <w:sz w:val="24"/>
        </w:rPr>
        <w:t xml:space="preserve"> </w:t>
      </w:r>
      <w:r w:rsidRPr="00150EDC">
        <w:rPr>
          <w:sz w:val="24"/>
        </w:rPr>
        <w:t>be obliged to pay</w:t>
      </w:r>
      <w:r w:rsidRPr="00150EDC">
        <w:rPr>
          <w:spacing w:val="-1"/>
          <w:sz w:val="24"/>
        </w:rPr>
        <w:t xml:space="preserve"> </w:t>
      </w:r>
      <w:r w:rsidRPr="00150EDC">
        <w:rPr>
          <w:sz w:val="24"/>
        </w:rPr>
        <w:t>for</w:t>
      </w:r>
      <w:r w:rsidRPr="00150EDC">
        <w:rPr>
          <w:spacing w:val="-2"/>
          <w:sz w:val="24"/>
        </w:rPr>
        <w:t xml:space="preserve"> </w:t>
      </w:r>
      <w:r w:rsidRPr="00150EDC">
        <w:rPr>
          <w:sz w:val="24"/>
        </w:rPr>
        <w:t>costs incurred</w:t>
      </w:r>
      <w:r w:rsidRPr="00150EDC">
        <w:rPr>
          <w:spacing w:val="-2"/>
          <w:sz w:val="24"/>
        </w:rPr>
        <w:t xml:space="preserve"> </w:t>
      </w:r>
      <w:r w:rsidRPr="00150EDC">
        <w:rPr>
          <w:sz w:val="24"/>
        </w:rPr>
        <w:t>by</w:t>
      </w:r>
      <w:r w:rsidRPr="00150EDC">
        <w:rPr>
          <w:spacing w:val="-5"/>
          <w:sz w:val="24"/>
        </w:rPr>
        <w:t xml:space="preserve"> </w:t>
      </w:r>
      <w:r w:rsidRPr="00150EDC">
        <w:rPr>
          <w:sz w:val="24"/>
        </w:rPr>
        <w:t>the</w:t>
      </w:r>
      <w:r w:rsidRPr="00150EDC">
        <w:rPr>
          <w:spacing w:val="-4"/>
          <w:sz w:val="24"/>
        </w:rPr>
        <w:t xml:space="preserve"> </w:t>
      </w:r>
      <w:r w:rsidRPr="00150EDC">
        <w:rPr>
          <w:sz w:val="24"/>
        </w:rPr>
        <w:t>Supplier</w:t>
      </w:r>
      <w:r w:rsidRPr="00150EDC">
        <w:rPr>
          <w:spacing w:val="-4"/>
          <w:sz w:val="24"/>
        </w:rPr>
        <w:t xml:space="preserve"> </w:t>
      </w:r>
      <w:r w:rsidRPr="00150EDC">
        <w:rPr>
          <w:sz w:val="24"/>
        </w:rPr>
        <w:t>in</w:t>
      </w:r>
      <w:r w:rsidRPr="00150EDC">
        <w:rPr>
          <w:spacing w:val="-2"/>
          <w:sz w:val="24"/>
        </w:rPr>
        <w:t xml:space="preserve"> </w:t>
      </w:r>
      <w:r w:rsidRPr="00150EDC">
        <w:rPr>
          <w:sz w:val="24"/>
        </w:rPr>
        <w:t>relation</w:t>
      </w:r>
      <w:r w:rsidRPr="00150EDC">
        <w:rPr>
          <w:spacing w:val="-4"/>
          <w:sz w:val="24"/>
        </w:rPr>
        <w:t xml:space="preserve"> </w:t>
      </w:r>
      <w:r w:rsidRPr="00150EDC">
        <w:rPr>
          <w:sz w:val="24"/>
        </w:rPr>
        <w:t>to</w:t>
      </w:r>
      <w:r w:rsidRPr="00150EDC">
        <w:rPr>
          <w:spacing w:val="-2"/>
          <w:sz w:val="24"/>
        </w:rPr>
        <w:t xml:space="preserve"> </w:t>
      </w:r>
      <w:r w:rsidRPr="00150EDC">
        <w:rPr>
          <w:sz w:val="24"/>
        </w:rPr>
        <w:t>its</w:t>
      </w:r>
      <w:r w:rsidRPr="00150EDC">
        <w:rPr>
          <w:spacing w:val="-5"/>
          <w:sz w:val="24"/>
        </w:rPr>
        <w:t xml:space="preserve"> </w:t>
      </w:r>
      <w:r w:rsidRPr="00150EDC">
        <w:rPr>
          <w:sz w:val="24"/>
        </w:rPr>
        <w:t>compliance</w:t>
      </w:r>
      <w:r w:rsidRPr="00150EDC">
        <w:rPr>
          <w:spacing w:val="-2"/>
          <w:sz w:val="24"/>
        </w:rPr>
        <w:t xml:space="preserve"> </w:t>
      </w:r>
      <w:r w:rsidRPr="00150EDC">
        <w:rPr>
          <w:sz w:val="24"/>
        </w:rPr>
        <w:t>with</w:t>
      </w:r>
      <w:r w:rsidRPr="00150EDC">
        <w:rPr>
          <w:spacing w:val="-2"/>
          <w:sz w:val="24"/>
        </w:rPr>
        <w:t xml:space="preserve"> </w:t>
      </w:r>
      <w:r w:rsidRPr="00150EDC">
        <w:rPr>
          <w:sz w:val="24"/>
        </w:rPr>
        <w:t>this</w:t>
      </w:r>
      <w:r w:rsidRPr="00150EDC">
        <w:rPr>
          <w:spacing w:val="-3"/>
          <w:sz w:val="24"/>
        </w:rPr>
        <w:t xml:space="preserve"> </w:t>
      </w:r>
      <w:r w:rsidRPr="00150EDC">
        <w:rPr>
          <w:sz w:val="24"/>
        </w:rPr>
        <w:t>Schedule.</w:t>
      </w:r>
    </w:p>
    <w:p w14:paraId="5EEF276A" w14:textId="77777777" w:rsidR="004C7180" w:rsidRPr="00150EDC" w:rsidRDefault="004C7180">
      <w:pPr>
        <w:pStyle w:val="BodyText"/>
        <w:spacing w:before="10"/>
        <w:rPr>
          <w:sz w:val="20"/>
        </w:rPr>
      </w:pPr>
    </w:p>
    <w:p w14:paraId="17C7FCDB" w14:textId="77777777" w:rsidR="004C7180" w:rsidRPr="00150EDC" w:rsidRDefault="00CF0754" w:rsidP="00B320C7">
      <w:pPr>
        <w:pStyle w:val="Heading4"/>
        <w:numPr>
          <w:ilvl w:val="0"/>
          <w:numId w:val="39"/>
        </w:numPr>
        <w:tabs>
          <w:tab w:val="left" w:pos="2042"/>
        </w:tabs>
        <w:ind w:left="2042" w:hanging="359"/>
      </w:pPr>
      <w:r w:rsidRPr="00150EDC">
        <w:t>Dividing</w:t>
      </w:r>
      <w:r w:rsidRPr="00150EDC">
        <w:rPr>
          <w:spacing w:val="-5"/>
        </w:rPr>
        <w:t xml:space="preserve"> </w:t>
      </w:r>
      <w:r w:rsidRPr="00150EDC">
        <w:t>the</w:t>
      </w:r>
      <w:r w:rsidRPr="00150EDC">
        <w:rPr>
          <w:spacing w:val="-1"/>
        </w:rPr>
        <w:t xml:space="preserve"> </w:t>
      </w:r>
      <w:r w:rsidRPr="00150EDC">
        <w:rPr>
          <w:spacing w:val="-4"/>
        </w:rPr>
        <w:t>bills</w:t>
      </w:r>
    </w:p>
    <w:p w14:paraId="6E3C0DE3" w14:textId="77777777" w:rsidR="004C7180" w:rsidRPr="00150EDC" w:rsidRDefault="004C7180">
      <w:pPr>
        <w:pStyle w:val="BodyText"/>
        <w:spacing w:before="10"/>
        <w:rPr>
          <w:b/>
          <w:sz w:val="20"/>
        </w:rPr>
      </w:pPr>
    </w:p>
    <w:p w14:paraId="10ED9D60" w14:textId="77777777" w:rsidR="004C7180" w:rsidRPr="00150EDC" w:rsidRDefault="00CF0754" w:rsidP="00B320C7">
      <w:pPr>
        <w:pStyle w:val="ListParagraph"/>
        <w:numPr>
          <w:ilvl w:val="1"/>
          <w:numId w:val="39"/>
        </w:numPr>
        <w:tabs>
          <w:tab w:val="left" w:pos="2328"/>
          <w:tab w:val="left" w:pos="2839"/>
        </w:tabs>
        <w:ind w:right="1512"/>
        <w:rPr>
          <w:sz w:val="24"/>
        </w:rPr>
      </w:pPr>
      <w:r w:rsidRPr="00150EDC">
        <w:rPr>
          <w:sz w:val="24"/>
        </w:rPr>
        <w:t>All</w:t>
      </w:r>
      <w:r w:rsidRPr="00150EDC">
        <w:rPr>
          <w:spacing w:val="-3"/>
          <w:sz w:val="24"/>
        </w:rPr>
        <w:t xml:space="preserve"> </w:t>
      </w:r>
      <w:r w:rsidRPr="00150EDC">
        <w:rPr>
          <w:sz w:val="24"/>
        </w:rPr>
        <w:t>outgoings,</w:t>
      </w:r>
      <w:r w:rsidRPr="00150EDC">
        <w:rPr>
          <w:spacing w:val="-2"/>
          <w:sz w:val="24"/>
        </w:rPr>
        <w:t xml:space="preserve"> </w:t>
      </w:r>
      <w:r w:rsidRPr="00150EDC">
        <w:rPr>
          <w:sz w:val="24"/>
        </w:rPr>
        <w:t>expenses,</w:t>
      </w:r>
      <w:r w:rsidRPr="00150EDC">
        <w:rPr>
          <w:spacing w:val="-2"/>
          <w:sz w:val="24"/>
        </w:rPr>
        <w:t xml:space="preserve"> </w:t>
      </w:r>
      <w:r w:rsidRPr="00150EDC">
        <w:rPr>
          <w:sz w:val="24"/>
        </w:rPr>
        <w:t>rents,</w:t>
      </w:r>
      <w:r w:rsidRPr="00150EDC">
        <w:rPr>
          <w:spacing w:val="-5"/>
          <w:sz w:val="24"/>
        </w:rPr>
        <w:t xml:space="preserve"> </w:t>
      </w:r>
      <w:r w:rsidRPr="00150EDC">
        <w:rPr>
          <w:sz w:val="24"/>
        </w:rPr>
        <w:t>royalties</w:t>
      </w:r>
      <w:r w:rsidRPr="00150EDC">
        <w:rPr>
          <w:spacing w:val="-6"/>
          <w:sz w:val="24"/>
        </w:rPr>
        <w:t xml:space="preserve"> </w:t>
      </w:r>
      <w:r w:rsidRPr="00150EDC">
        <w:rPr>
          <w:sz w:val="24"/>
        </w:rPr>
        <w:t>and</w:t>
      </w:r>
      <w:r w:rsidRPr="00150EDC">
        <w:rPr>
          <w:spacing w:val="-7"/>
          <w:sz w:val="24"/>
        </w:rPr>
        <w:t xml:space="preserve"> </w:t>
      </w:r>
      <w:r w:rsidRPr="00150EDC">
        <w:rPr>
          <w:sz w:val="24"/>
        </w:rPr>
        <w:t>other</w:t>
      </w:r>
      <w:r w:rsidRPr="00150EDC">
        <w:rPr>
          <w:spacing w:val="-6"/>
          <w:sz w:val="24"/>
        </w:rPr>
        <w:t xml:space="preserve"> </w:t>
      </w:r>
      <w:r w:rsidRPr="00150EDC">
        <w:rPr>
          <w:sz w:val="24"/>
        </w:rPr>
        <w:t>periodical</w:t>
      </w:r>
      <w:r w:rsidRPr="00150EDC">
        <w:rPr>
          <w:spacing w:val="-6"/>
          <w:sz w:val="24"/>
        </w:rPr>
        <w:t xml:space="preserve"> </w:t>
      </w:r>
      <w:r w:rsidRPr="00150EDC">
        <w:rPr>
          <w:sz w:val="24"/>
        </w:rPr>
        <w:t>payments receivable in respect of the Transferring Assets and Transferring Contracts shall be apportioned between the Buyer and/or the Replacement and the Supplier as follows:</w:t>
      </w:r>
    </w:p>
    <w:p w14:paraId="06BB3289" w14:textId="77777777" w:rsidR="004C7180" w:rsidRPr="00150EDC" w:rsidRDefault="00CF0754" w:rsidP="00B320C7">
      <w:pPr>
        <w:pStyle w:val="ListParagraph"/>
        <w:numPr>
          <w:ilvl w:val="2"/>
          <w:numId w:val="39"/>
        </w:numPr>
        <w:tabs>
          <w:tab w:val="left" w:pos="2114"/>
        </w:tabs>
        <w:spacing w:before="121"/>
        <w:ind w:left="2114" w:hanging="715"/>
        <w:rPr>
          <w:sz w:val="24"/>
        </w:rPr>
      </w:pPr>
      <w:r w:rsidRPr="00150EDC">
        <w:rPr>
          <w:sz w:val="24"/>
        </w:rPr>
        <w:t>the</w:t>
      </w:r>
      <w:r w:rsidRPr="00150EDC">
        <w:rPr>
          <w:spacing w:val="-5"/>
          <w:sz w:val="24"/>
        </w:rPr>
        <w:t xml:space="preserve"> </w:t>
      </w:r>
      <w:r w:rsidRPr="00150EDC">
        <w:rPr>
          <w:sz w:val="24"/>
        </w:rPr>
        <w:t>amounts</w:t>
      </w:r>
      <w:r w:rsidRPr="00150EDC">
        <w:rPr>
          <w:spacing w:val="-2"/>
          <w:sz w:val="24"/>
        </w:rPr>
        <w:t xml:space="preserve"> </w:t>
      </w:r>
      <w:r w:rsidRPr="00150EDC">
        <w:rPr>
          <w:sz w:val="24"/>
        </w:rPr>
        <w:t>shall</w:t>
      </w:r>
      <w:r w:rsidRPr="00150EDC">
        <w:rPr>
          <w:spacing w:val="-3"/>
          <w:sz w:val="24"/>
        </w:rPr>
        <w:t xml:space="preserve"> </w:t>
      </w:r>
      <w:r w:rsidRPr="00150EDC">
        <w:rPr>
          <w:sz w:val="24"/>
        </w:rPr>
        <w:t>be</w:t>
      </w:r>
      <w:r w:rsidRPr="00150EDC">
        <w:rPr>
          <w:spacing w:val="-2"/>
          <w:sz w:val="24"/>
        </w:rPr>
        <w:t xml:space="preserve"> </w:t>
      </w:r>
      <w:r w:rsidRPr="00150EDC">
        <w:rPr>
          <w:sz w:val="24"/>
        </w:rPr>
        <w:t>annualised</w:t>
      </w:r>
      <w:r w:rsidRPr="00150EDC">
        <w:rPr>
          <w:spacing w:val="-2"/>
          <w:sz w:val="24"/>
        </w:rPr>
        <w:t xml:space="preserve"> </w:t>
      </w:r>
      <w:r w:rsidRPr="00150EDC">
        <w:rPr>
          <w:sz w:val="24"/>
        </w:rPr>
        <w:t>and</w:t>
      </w:r>
      <w:r w:rsidRPr="00150EDC">
        <w:rPr>
          <w:spacing w:val="-3"/>
          <w:sz w:val="24"/>
        </w:rPr>
        <w:t xml:space="preserve"> </w:t>
      </w:r>
      <w:r w:rsidRPr="00150EDC">
        <w:rPr>
          <w:sz w:val="24"/>
        </w:rPr>
        <w:t>divided</w:t>
      </w:r>
      <w:r w:rsidRPr="00150EDC">
        <w:rPr>
          <w:spacing w:val="-5"/>
          <w:sz w:val="24"/>
        </w:rPr>
        <w:t xml:space="preserve"> </w:t>
      </w:r>
      <w:r w:rsidRPr="00150EDC">
        <w:rPr>
          <w:sz w:val="24"/>
        </w:rPr>
        <w:t>by</w:t>
      </w:r>
      <w:r w:rsidRPr="00150EDC">
        <w:rPr>
          <w:spacing w:val="-2"/>
          <w:sz w:val="24"/>
        </w:rPr>
        <w:t xml:space="preserve"> </w:t>
      </w:r>
      <w:r w:rsidRPr="00150EDC">
        <w:rPr>
          <w:sz w:val="24"/>
        </w:rPr>
        <w:t>365</w:t>
      </w:r>
      <w:r w:rsidRPr="00150EDC">
        <w:rPr>
          <w:spacing w:val="-1"/>
          <w:sz w:val="24"/>
        </w:rPr>
        <w:t xml:space="preserve"> </w:t>
      </w:r>
      <w:r w:rsidRPr="00150EDC">
        <w:rPr>
          <w:sz w:val="24"/>
        </w:rPr>
        <w:t>to</w:t>
      </w:r>
      <w:r w:rsidRPr="00150EDC">
        <w:rPr>
          <w:spacing w:val="-2"/>
          <w:sz w:val="24"/>
        </w:rPr>
        <w:t xml:space="preserve"> </w:t>
      </w:r>
      <w:r w:rsidRPr="00150EDC">
        <w:rPr>
          <w:sz w:val="24"/>
        </w:rPr>
        <w:t>reach</w:t>
      </w:r>
      <w:r w:rsidRPr="00150EDC">
        <w:rPr>
          <w:spacing w:val="-1"/>
          <w:sz w:val="24"/>
        </w:rPr>
        <w:t xml:space="preserve"> </w:t>
      </w:r>
      <w:r w:rsidRPr="00150EDC">
        <w:rPr>
          <w:sz w:val="24"/>
        </w:rPr>
        <w:t>a</w:t>
      </w:r>
      <w:r w:rsidRPr="00150EDC">
        <w:rPr>
          <w:spacing w:val="-3"/>
          <w:sz w:val="24"/>
        </w:rPr>
        <w:t xml:space="preserve"> </w:t>
      </w:r>
      <w:r w:rsidRPr="00150EDC">
        <w:rPr>
          <w:sz w:val="24"/>
        </w:rPr>
        <w:t>daily</w:t>
      </w:r>
      <w:r w:rsidRPr="00150EDC">
        <w:rPr>
          <w:spacing w:val="-3"/>
          <w:sz w:val="24"/>
        </w:rPr>
        <w:t xml:space="preserve"> </w:t>
      </w:r>
      <w:r w:rsidRPr="00150EDC">
        <w:rPr>
          <w:spacing w:val="-2"/>
          <w:sz w:val="24"/>
        </w:rPr>
        <w:t>rate;</w:t>
      </w:r>
    </w:p>
    <w:p w14:paraId="568E7042" w14:textId="77777777" w:rsidR="004C7180" w:rsidRPr="00150EDC" w:rsidRDefault="00CF0754" w:rsidP="00B320C7">
      <w:pPr>
        <w:pStyle w:val="ListParagraph"/>
        <w:numPr>
          <w:ilvl w:val="2"/>
          <w:numId w:val="39"/>
        </w:numPr>
        <w:tabs>
          <w:tab w:val="left" w:pos="2114"/>
          <w:tab w:val="left" w:pos="2119"/>
        </w:tabs>
        <w:spacing w:before="120"/>
        <w:ind w:left="2119" w:right="1498"/>
        <w:rPr>
          <w:sz w:val="24"/>
        </w:rPr>
      </w:pPr>
      <w:r w:rsidRPr="00150EDC">
        <w:rPr>
          <w:sz w:val="24"/>
        </w:rPr>
        <w:t>the Buyer or Replacement Supplier (as applicable) shall be responsible for or entitled</w:t>
      </w:r>
      <w:r w:rsidRPr="00150EDC">
        <w:rPr>
          <w:spacing w:val="-1"/>
          <w:sz w:val="24"/>
        </w:rPr>
        <w:t xml:space="preserve"> </w:t>
      </w:r>
      <w:r w:rsidRPr="00150EDC">
        <w:rPr>
          <w:sz w:val="24"/>
        </w:rPr>
        <w:t>to</w:t>
      </w:r>
      <w:r w:rsidRPr="00150EDC">
        <w:rPr>
          <w:spacing w:val="-3"/>
          <w:sz w:val="24"/>
        </w:rPr>
        <w:t xml:space="preserve"> </w:t>
      </w:r>
      <w:r w:rsidRPr="00150EDC">
        <w:rPr>
          <w:sz w:val="24"/>
        </w:rPr>
        <w:t>(as</w:t>
      </w:r>
      <w:r w:rsidRPr="00150EDC">
        <w:rPr>
          <w:spacing w:val="-2"/>
          <w:sz w:val="24"/>
        </w:rPr>
        <w:t xml:space="preserve"> </w:t>
      </w:r>
      <w:r w:rsidRPr="00150EDC">
        <w:rPr>
          <w:sz w:val="24"/>
        </w:rPr>
        <w:t>the</w:t>
      </w:r>
      <w:r w:rsidRPr="00150EDC">
        <w:rPr>
          <w:spacing w:val="-1"/>
          <w:sz w:val="24"/>
        </w:rPr>
        <w:t xml:space="preserve"> </w:t>
      </w:r>
      <w:r w:rsidRPr="00150EDC">
        <w:rPr>
          <w:sz w:val="24"/>
        </w:rPr>
        <w:t>case</w:t>
      </w:r>
      <w:r w:rsidRPr="00150EDC">
        <w:rPr>
          <w:spacing w:val="-3"/>
          <w:sz w:val="24"/>
        </w:rPr>
        <w:t xml:space="preserve"> </w:t>
      </w:r>
      <w:r w:rsidRPr="00150EDC">
        <w:rPr>
          <w:sz w:val="24"/>
        </w:rPr>
        <w:t>may</w:t>
      </w:r>
      <w:r w:rsidRPr="00150EDC">
        <w:rPr>
          <w:spacing w:val="-4"/>
          <w:sz w:val="24"/>
        </w:rPr>
        <w:t xml:space="preserve"> </w:t>
      </w:r>
      <w:r w:rsidRPr="00150EDC">
        <w:rPr>
          <w:sz w:val="24"/>
        </w:rPr>
        <w:t>be)</w:t>
      </w:r>
      <w:r w:rsidRPr="00150EDC">
        <w:rPr>
          <w:spacing w:val="-3"/>
          <w:sz w:val="24"/>
        </w:rPr>
        <w:t xml:space="preserve"> </w:t>
      </w:r>
      <w:r w:rsidRPr="00150EDC">
        <w:rPr>
          <w:sz w:val="24"/>
        </w:rPr>
        <w:t>that</w:t>
      </w:r>
      <w:r w:rsidRPr="00150EDC">
        <w:rPr>
          <w:spacing w:val="-4"/>
          <w:sz w:val="24"/>
        </w:rPr>
        <w:t xml:space="preserve"> </w:t>
      </w:r>
      <w:r w:rsidRPr="00150EDC">
        <w:rPr>
          <w:sz w:val="24"/>
        </w:rPr>
        <w:t>part</w:t>
      </w:r>
      <w:r w:rsidRPr="00150EDC">
        <w:rPr>
          <w:spacing w:val="-4"/>
          <w:sz w:val="24"/>
        </w:rPr>
        <w:t xml:space="preserve"> </w:t>
      </w:r>
      <w:r w:rsidRPr="00150EDC">
        <w:rPr>
          <w:sz w:val="24"/>
        </w:rPr>
        <w:t>of</w:t>
      </w:r>
      <w:r w:rsidRPr="00150EDC">
        <w:rPr>
          <w:spacing w:val="-1"/>
          <w:sz w:val="24"/>
        </w:rPr>
        <w:t xml:space="preserve"> </w:t>
      </w:r>
      <w:r w:rsidRPr="00150EDC">
        <w:rPr>
          <w:sz w:val="24"/>
        </w:rPr>
        <w:t>the</w:t>
      </w:r>
      <w:r w:rsidRPr="00150EDC">
        <w:rPr>
          <w:spacing w:val="-1"/>
          <w:sz w:val="24"/>
        </w:rPr>
        <w:t xml:space="preserve"> </w:t>
      </w:r>
      <w:r w:rsidRPr="00150EDC">
        <w:rPr>
          <w:sz w:val="24"/>
        </w:rPr>
        <w:t>value</w:t>
      </w:r>
      <w:r w:rsidRPr="00150EDC">
        <w:rPr>
          <w:spacing w:val="-1"/>
          <w:sz w:val="24"/>
        </w:rPr>
        <w:t xml:space="preserve"> </w:t>
      </w:r>
      <w:r w:rsidRPr="00150EDC">
        <w:rPr>
          <w:sz w:val="24"/>
        </w:rPr>
        <w:t>of</w:t>
      </w:r>
      <w:r w:rsidRPr="00150EDC">
        <w:rPr>
          <w:spacing w:val="-4"/>
          <w:sz w:val="24"/>
        </w:rPr>
        <w:t xml:space="preserve"> </w:t>
      </w:r>
      <w:r w:rsidRPr="00150EDC">
        <w:rPr>
          <w:sz w:val="24"/>
        </w:rPr>
        <w:t>the</w:t>
      </w:r>
      <w:r w:rsidRPr="00150EDC">
        <w:rPr>
          <w:spacing w:val="-1"/>
          <w:sz w:val="24"/>
        </w:rPr>
        <w:t xml:space="preserve"> </w:t>
      </w:r>
      <w:r w:rsidRPr="00150EDC">
        <w:rPr>
          <w:sz w:val="24"/>
        </w:rPr>
        <w:t>invoice</w:t>
      </w:r>
      <w:r w:rsidRPr="00150EDC">
        <w:rPr>
          <w:spacing w:val="-3"/>
          <w:sz w:val="24"/>
        </w:rPr>
        <w:t xml:space="preserve"> </w:t>
      </w:r>
      <w:r w:rsidRPr="00150EDC">
        <w:rPr>
          <w:sz w:val="24"/>
        </w:rPr>
        <w:t>pro</w:t>
      </w:r>
      <w:r w:rsidRPr="00150EDC">
        <w:rPr>
          <w:spacing w:val="-1"/>
          <w:sz w:val="24"/>
        </w:rPr>
        <w:t xml:space="preserve"> </w:t>
      </w:r>
      <w:r w:rsidRPr="00150EDC">
        <w:rPr>
          <w:sz w:val="24"/>
        </w:rPr>
        <w:t>rata</w:t>
      </w:r>
      <w:r w:rsidRPr="00150EDC">
        <w:rPr>
          <w:spacing w:val="-1"/>
          <w:sz w:val="24"/>
        </w:rPr>
        <w:t xml:space="preserve"> </w:t>
      </w:r>
      <w:r w:rsidRPr="00150EDC">
        <w:rPr>
          <w:sz w:val="24"/>
        </w:rPr>
        <w:t>to the number of complete days following the transfer, multiplied by the daily rate; and</w:t>
      </w:r>
    </w:p>
    <w:p w14:paraId="3175808D" w14:textId="77777777" w:rsidR="004C7180" w:rsidRPr="00150EDC" w:rsidRDefault="00CF0754" w:rsidP="00B320C7">
      <w:pPr>
        <w:pStyle w:val="ListParagraph"/>
        <w:numPr>
          <w:ilvl w:val="2"/>
          <w:numId w:val="39"/>
        </w:numPr>
        <w:tabs>
          <w:tab w:val="left" w:pos="2114"/>
          <w:tab w:val="left" w:pos="2119"/>
        </w:tabs>
        <w:spacing w:before="120"/>
        <w:ind w:left="2119" w:right="1831"/>
        <w:rPr>
          <w:sz w:val="24"/>
        </w:rPr>
      </w:pPr>
      <w:r w:rsidRPr="00150EDC">
        <w:rPr>
          <w:sz w:val="24"/>
        </w:rPr>
        <w:t>the</w:t>
      </w:r>
      <w:r w:rsidRPr="00150EDC">
        <w:rPr>
          <w:spacing w:val="-1"/>
          <w:sz w:val="24"/>
        </w:rPr>
        <w:t xml:space="preserve"> </w:t>
      </w:r>
      <w:r w:rsidRPr="00150EDC">
        <w:rPr>
          <w:sz w:val="24"/>
        </w:rPr>
        <w:t>Supplier</w:t>
      </w:r>
      <w:r w:rsidRPr="00150EDC">
        <w:rPr>
          <w:spacing w:val="-3"/>
          <w:sz w:val="24"/>
        </w:rPr>
        <w:t xml:space="preserve"> </w:t>
      </w:r>
      <w:r w:rsidRPr="00150EDC">
        <w:rPr>
          <w:sz w:val="24"/>
        </w:rPr>
        <w:t>shall</w:t>
      </w:r>
      <w:r w:rsidRPr="00150EDC">
        <w:rPr>
          <w:spacing w:val="-2"/>
          <w:sz w:val="24"/>
        </w:rPr>
        <w:t xml:space="preserve"> </w:t>
      </w:r>
      <w:r w:rsidRPr="00150EDC">
        <w:rPr>
          <w:sz w:val="24"/>
        </w:rPr>
        <w:t>be</w:t>
      </w:r>
      <w:r w:rsidRPr="00150EDC">
        <w:rPr>
          <w:spacing w:val="-1"/>
          <w:sz w:val="24"/>
        </w:rPr>
        <w:t xml:space="preserve"> </w:t>
      </w:r>
      <w:r w:rsidRPr="00150EDC">
        <w:rPr>
          <w:sz w:val="24"/>
        </w:rPr>
        <w:t>responsible</w:t>
      </w:r>
      <w:r w:rsidRPr="00150EDC">
        <w:rPr>
          <w:spacing w:val="-3"/>
          <w:sz w:val="24"/>
        </w:rPr>
        <w:t xml:space="preserve"> </w:t>
      </w:r>
      <w:r w:rsidRPr="00150EDC">
        <w:rPr>
          <w:sz w:val="24"/>
        </w:rPr>
        <w:t>for</w:t>
      </w:r>
      <w:r w:rsidRPr="00150EDC">
        <w:rPr>
          <w:spacing w:val="-5"/>
          <w:sz w:val="24"/>
        </w:rPr>
        <w:t xml:space="preserve"> </w:t>
      </w:r>
      <w:r w:rsidRPr="00150EDC">
        <w:rPr>
          <w:sz w:val="24"/>
        </w:rPr>
        <w:t>or</w:t>
      </w:r>
      <w:r w:rsidRPr="00150EDC">
        <w:rPr>
          <w:spacing w:val="-3"/>
          <w:sz w:val="24"/>
        </w:rPr>
        <w:t xml:space="preserve"> </w:t>
      </w:r>
      <w:r w:rsidRPr="00150EDC">
        <w:rPr>
          <w:sz w:val="24"/>
        </w:rPr>
        <w:t>entitled</w:t>
      </w:r>
      <w:r w:rsidRPr="00150EDC">
        <w:rPr>
          <w:spacing w:val="-1"/>
          <w:sz w:val="24"/>
        </w:rPr>
        <w:t xml:space="preserve"> </w:t>
      </w:r>
      <w:r w:rsidRPr="00150EDC">
        <w:rPr>
          <w:sz w:val="24"/>
        </w:rPr>
        <w:t>to</w:t>
      </w:r>
      <w:r w:rsidRPr="00150EDC">
        <w:rPr>
          <w:spacing w:val="-1"/>
          <w:sz w:val="24"/>
        </w:rPr>
        <w:t xml:space="preserve"> </w:t>
      </w:r>
      <w:r w:rsidRPr="00150EDC">
        <w:rPr>
          <w:sz w:val="24"/>
        </w:rPr>
        <w:t>(as</w:t>
      </w:r>
      <w:r w:rsidRPr="00150EDC">
        <w:rPr>
          <w:spacing w:val="-4"/>
          <w:sz w:val="24"/>
        </w:rPr>
        <w:t xml:space="preserve"> </w:t>
      </w:r>
      <w:r w:rsidRPr="00150EDC">
        <w:rPr>
          <w:sz w:val="24"/>
        </w:rPr>
        <w:t>the</w:t>
      </w:r>
      <w:r w:rsidRPr="00150EDC">
        <w:rPr>
          <w:spacing w:val="-1"/>
          <w:sz w:val="24"/>
        </w:rPr>
        <w:t xml:space="preserve"> </w:t>
      </w:r>
      <w:r w:rsidRPr="00150EDC">
        <w:rPr>
          <w:sz w:val="24"/>
        </w:rPr>
        <w:t>case</w:t>
      </w:r>
      <w:r w:rsidRPr="00150EDC">
        <w:rPr>
          <w:spacing w:val="-3"/>
          <w:sz w:val="24"/>
        </w:rPr>
        <w:t xml:space="preserve"> </w:t>
      </w:r>
      <w:r w:rsidRPr="00150EDC">
        <w:rPr>
          <w:sz w:val="24"/>
        </w:rPr>
        <w:t>may</w:t>
      </w:r>
      <w:r w:rsidRPr="00150EDC">
        <w:rPr>
          <w:spacing w:val="-4"/>
          <w:sz w:val="24"/>
        </w:rPr>
        <w:t xml:space="preserve"> </w:t>
      </w:r>
      <w:r w:rsidRPr="00150EDC">
        <w:rPr>
          <w:sz w:val="24"/>
        </w:rPr>
        <w:t>be)</w:t>
      </w:r>
      <w:r w:rsidRPr="00150EDC">
        <w:rPr>
          <w:spacing w:val="-3"/>
          <w:sz w:val="24"/>
        </w:rPr>
        <w:t xml:space="preserve"> </w:t>
      </w:r>
      <w:r w:rsidRPr="00150EDC">
        <w:rPr>
          <w:sz w:val="24"/>
        </w:rPr>
        <w:t>the rest of the invoice.</w:t>
      </w:r>
    </w:p>
    <w:p w14:paraId="03D15C45" w14:textId="77777777" w:rsidR="004C7180" w:rsidRPr="00150EDC" w:rsidRDefault="004C7180">
      <w:pPr>
        <w:rPr>
          <w:sz w:val="24"/>
        </w:rPr>
        <w:sectPr w:rsidR="004C7180" w:rsidRPr="00150EDC">
          <w:pgSz w:w="11910" w:h="16840"/>
          <w:pgMar w:top="1380" w:right="0" w:bottom="1380" w:left="40" w:header="715" w:footer="1192" w:gutter="0"/>
          <w:cols w:space="720"/>
        </w:sectPr>
      </w:pPr>
    </w:p>
    <w:p w14:paraId="11CD7BA4" w14:textId="76D91FCE" w:rsidR="004C7180" w:rsidRPr="00150EDC" w:rsidRDefault="004C7180">
      <w:pPr>
        <w:pStyle w:val="BodyText"/>
        <w:spacing w:before="10"/>
        <w:rPr>
          <w:sz w:val="9"/>
        </w:rPr>
      </w:pPr>
    </w:p>
    <w:p w14:paraId="130CFB60" w14:textId="77777777" w:rsidR="004C7180" w:rsidRPr="00150EDC" w:rsidRDefault="00CF0754">
      <w:pPr>
        <w:pStyle w:val="Heading3"/>
      </w:pPr>
      <w:bookmarkStart w:id="43" w:name="DPS_Order_Schedule_14_-_Service_Levels_"/>
      <w:bookmarkEnd w:id="43"/>
      <w:r w:rsidRPr="00150EDC">
        <w:t>Order</w:t>
      </w:r>
      <w:r w:rsidRPr="00150EDC">
        <w:rPr>
          <w:spacing w:val="-3"/>
        </w:rPr>
        <w:t xml:space="preserve"> </w:t>
      </w:r>
      <w:r w:rsidRPr="00150EDC">
        <w:t>Schedule</w:t>
      </w:r>
      <w:r w:rsidRPr="00150EDC">
        <w:rPr>
          <w:spacing w:val="-2"/>
        </w:rPr>
        <w:t xml:space="preserve"> </w:t>
      </w:r>
      <w:r w:rsidRPr="00150EDC">
        <w:t>14</w:t>
      </w:r>
      <w:r w:rsidRPr="00150EDC">
        <w:rPr>
          <w:spacing w:val="-2"/>
        </w:rPr>
        <w:t xml:space="preserve"> </w:t>
      </w:r>
      <w:r w:rsidRPr="00150EDC">
        <w:t>(Service</w:t>
      </w:r>
      <w:r w:rsidRPr="00150EDC">
        <w:rPr>
          <w:spacing w:val="-1"/>
        </w:rPr>
        <w:t xml:space="preserve"> </w:t>
      </w:r>
      <w:r w:rsidRPr="00150EDC">
        <w:rPr>
          <w:spacing w:val="-2"/>
        </w:rPr>
        <w:t>Levels)</w:t>
      </w:r>
    </w:p>
    <w:p w14:paraId="74145F93" w14:textId="77777777" w:rsidR="004C7180" w:rsidRPr="00150EDC" w:rsidRDefault="004C7180">
      <w:pPr>
        <w:pStyle w:val="BodyText"/>
        <w:rPr>
          <w:b/>
          <w:sz w:val="30"/>
        </w:rPr>
      </w:pPr>
    </w:p>
    <w:p w14:paraId="4CA3721A" w14:textId="77777777" w:rsidR="004C7180" w:rsidRPr="00150EDC" w:rsidRDefault="00CF0754">
      <w:pPr>
        <w:spacing w:before="224"/>
        <w:ind w:left="1587"/>
        <w:rPr>
          <w:b/>
          <w:sz w:val="18"/>
        </w:rPr>
      </w:pPr>
      <w:bookmarkStart w:id="44" w:name="Definitions"/>
      <w:bookmarkEnd w:id="44"/>
      <w:r w:rsidRPr="00150EDC">
        <w:rPr>
          <w:b/>
          <w:spacing w:val="-2"/>
          <w:sz w:val="18"/>
        </w:rPr>
        <w:t>DEFINITIONS</w:t>
      </w:r>
    </w:p>
    <w:p w14:paraId="355D3845" w14:textId="77777777" w:rsidR="004C7180" w:rsidRPr="00150EDC" w:rsidRDefault="004C7180">
      <w:pPr>
        <w:pStyle w:val="BodyText"/>
        <w:rPr>
          <w:b/>
          <w:sz w:val="20"/>
        </w:rPr>
      </w:pPr>
    </w:p>
    <w:p w14:paraId="54448D53" w14:textId="77777777" w:rsidR="004C7180" w:rsidRPr="00150EDC" w:rsidRDefault="004C7180">
      <w:pPr>
        <w:pStyle w:val="BodyText"/>
        <w:spacing w:before="11"/>
        <w:rPr>
          <w:b/>
          <w:sz w:val="21"/>
        </w:rPr>
      </w:pPr>
    </w:p>
    <w:p w14:paraId="64EE9652" w14:textId="77777777" w:rsidR="004C7180" w:rsidRPr="00150EDC" w:rsidRDefault="00CF0754">
      <w:pPr>
        <w:spacing w:line="276" w:lineRule="auto"/>
        <w:ind w:left="1044" w:right="4123"/>
        <w:rPr>
          <w:sz w:val="18"/>
        </w:rPr>
      </w:pPr>
      <w:r w:rsidRPr="00150EDC">
        <w:rPr>
          <w:sz w:val="18"/>
        </w:rPr>
        <w:t>In this</w:t>
      </w:r>
      <w:r w:rsidRPr="00150EDC">
        <w:rPr>
          <w:spacing w:val="-3"/>
          <w:sz w:val="18"/>
        </w:rPr>
        <w:t xml:space="preserve"> </w:t>
      </w:r>
      <w:r w:rsidRPr="00150EDC">
        <w:rPr>
          <w:sz w:val="18"/>
        </w:rPr>
        <w:t>Schedule, the following words</w:t>
      </w:r>
      <w:r w:rsidRPr="00150EDC">
        <w:rPr>
          <w:spacing w:val="-1"/>
          <w:sz w:val="18"/>
        </w:rPr>
        <w:t xml:space="preserve"> </w:t>
      </w:r>
      <w:r w:rsidRPr="00150EDC">
        <w:rPr>
          <w:sz w:val="18"/>
        </w:rPr>
        <w:t>shall</w:t>
      </w:r>
      <w:r w:rsidRPr="00150EDC">
        <w:rPr>
          <w:spacing w:val="-1"/>
          <w:sz w:val="18"/>
        </w:rPr>
        <w:t xml:space="preserve"> </w:t>
      </w:r>
      <w:r w:rsidRPr="00150EDC">
        <w:rPr>
          <w:sz w:val="18"/>
        </w:rPr>
        <w:t>have the following</w:t>
      </w:r>
      <w:r w:rsidRPr="00150EDC">
        <w:rPr>
          <w:spacing w:val="-2"/>
          <w:sz w:val="18"/>
        </w:rPr>
        <w:t xml:space="preserve"> </w:t>
      </w:r>
      <w:r w:rsidRPr="00150EDC">
        <w:rPr>
          <w:sz w:val="18"/>
        </w:rPr>
        <w:t>meanings</w:t>
      </w:r>
      <w:r w:rsidRPr="00150EDC">
        <w:rPr>
          <w:spacing w:val="-1"/>
          <w:sz w:val="18"/>
        </w:rPr>
        <w:t xml:space="preserve"> </w:t>
      </w:r>
      <w:r w:rsidRPr="00150EDC">
        <w:rPr>
          <w:sz w:val="18"/>
        </w:rPr>
        <w:t>and they shall supplement Joint Schedule 1 (Definitions):</w:t>
      </w:r>
    </w:p>
    <w:p w14:paraId="3009BA95" w14:textId="77777777" w:rsidR="004C7180" w:rsidRPr="00150EDC" w:rsidRDefault="004C7180">
      <w:pPr>
        <w:pStyle w:val="BodyText"/>
        <w:rPr>
          <w:sz w:val="20"/>
        </w:rPr>
      </w:pPr>
    </w:p>
    <w:p w14:paraId="0047A419" w14:textId="77777777" w:rsidR="004C7180" w:rsidRPr="00150EDC" w:rsidRDefault="004C7180">
      <w:pPr>
        <w:pStyle w:val="BodyText"/>
        <w:spacing w:before="8"/>
        <w:rPr>
          <w:sz w:val="19"/>
        </w:rPr>
      </w:pPr>
    </w:p>
    <w:tbl>
      <w:tblPr>
        <w:tblW w:w="0" w:type="auto"/>
        <w:tblInd w:w="1002" w:type="dxa"/>
        <w:tblLayout w:type="fixed"/>
        <w:tblCellMar>
          <w:left w:w="0" w:type="dxa"/>
          <w:right w:w="0" w:type="dxa"/>
        </w:tblCellMar>
        <w:tblLook w:val="01E0" w:firstRow="1" w:lastRow="1" w:firstColumn="1" w:lastColumn="1" w:noHBand="0" w:noVBand="0"/>
      </w:tblPr>
      <w:tblGrid>
        <w:gridCol w:w="2148"/>
        <w:gridCol w:w="4356"/>
      </w:tblGrid>
      <w:tr w:rsidR="004569EE" w:rsidRPr="007D3144" w14:paraId="74113E66" w14:textId="77777777">
        <w:trPr>
          <w:trHeight w:val="458"/>
        </w:trPr>
        <w:tc>
          <w:tcPr>
            <w:tcW w:w="2148" w:type="dxa"/>
          </w:tcPr>
          <w:p w14:paraId="576F0EE0" w14:textId="77777777" w:rsidR="004C7180" w:rsidRPr="00150EDC" w:rsidRDefault="00CF0754">
            <w:pPr>
              <w:pStyle w:val="TableParagraph"/>
              <w:spacing w:before="0" w:line="240" w:lineRule="auto"/>
              <w:ind w:left="50"/>
              <w:rPr>
                <w:b/>
                <w:sz w:val="18"/>
              </w:rPr>
            </w:pPr>
            <w:r w:rsidRPr="00150EDC">
              <w:rPr>
                <w:b/>
                <w:sz w:val="18"/>
              </w:rPr>
              <w:t>"Key Performance Indicator"</w:t>
            </w:r>
            <w:r w:rsidRPr="00150EDC">
              <w:rPr>
                <w:b/>
                <w:spacing w:val="-4"/>
                <w:sz w:val="18"/>
              </w:rPr>
              <w:t xml:space="preserve"> </w:t>
            </w:r>
            <w:r w:rsidRPr="00150EDC">
              <w:rPr>
                <w:b/>
                <w:sz w:val="18"/>
              </w:rPr>
              <w:t>or</w:t>
            </w:r>
            <w:r w:rsidRPr="00150EDC">
              <w:rPr>
                <w:b/>
                <w:spacing w:val="-2"/>
                <w:sz w:val="18"/>
              </w:rPr>
              <w:t xml:space="preserve"> “KPI"</w:t>
            </w:r>
          </w:p>
        </w:tc>
        <w:tc>
          <w:tcPr>
            <w:tcW w:w="4356" w:type="dxa"/>
          </w:tcPr>
          <w:p w14:paraId="5A9A7F44" w14:textId="77777777" w:rsidR="004C7180" w:rsidRPr="00150EDC" w:rsidRDefault="00CF0754">
            <w:pPr>
              <w:pStyle w:val="TableParagraph"/>
              <w:spacing w:before="0" w:line="240" w:lineRule="auto"/>
              <w:ind w:left="122" w:right="66"/>
              <w:rPr>
                <w:sz w:val="18"/>
              </w:rPr>
            </w:pPr>
            <w:r w:rsidRPr="00150EDC">
              <w:rPr>
                <w:sz w:val="18"/>
              </w:rPr>
              <w:t>means</w:t>
            </w:r>
            <w:r w:rsidRPr="00150EDC">
              <w:rPr>
                <w:spacing w:val="-3"/>
                <w:sz w:val="18"/>
              </w:rPr>
              <w:t xml:space="preserve"> </w:t>
            </w:r>
            <w:r w:rsidRPr="00150EDC">
              <w:rPr>
                <w:sz w:val="18"/>
              </w:rPr>
              <w:t>each</w:t>
            </w:r>
            <w:r w:rsidRPr="00150EDC">
              <w:rPr>
                <w:spacing w:val="-4"/>
                <w:sz w:val="18"/>
              </w:rPr>
              <w:t xml:space="preserve"> </w:t>
            </w:r>
            <w:r w:rsidRPr="00150EDC">
              <w:rPr>
                <w:sz w:val="18"/>
              </w:rPr>
              <w:t>of</w:t>
            </w:r>
            <w:r w:rsidRPr="00150EDC">
              <w:rPr>
                <w:spacing w:val="-2"/>
                <w:sz w:val="18"/>
              </w:rPr>
              <w:t xml:space="preserve"> </w:t>
            </w:r>
            <w:r w:rsidRPr="00150EDC">
              <w:rPr>
                <w:sz w:val="18"/>
              </w:rPr>
              <w:t>the</w:t>
            </w:r>
            <w:r w:rsidRPr="00150EDC">
              <w:rPr>
                <w:spacing w:val="-2"/>
                <w:sz w:val="18"/>
              </w:rPr>
              <w:t xml:space="preserve"> </w:t>
            </w:r>
            <w:r w:rsidRPr="00150EDC">
              <w:rPr>
                <w:sz w:val="18"/>
              </w:rPr>
              <w:t>key</w:t>
            </w:r>
            <w:r w:rsidRPr="00150EDC">
              <w:rPr>
                <w:spacing w:val="-5"/>
                <w:sz w:val="18"/>
              </w:rPr>
              <w:t xml:space="preserve"> </w:t>
            </w:r>
            <w:r w:rsidRPr="00150EDC">
              <w:rPr>
                <w:sz w:val="18"/>
              </w:rPr>
              <w:t>performance</w:t>
            </w:r>
            <w:r w:rsidRPr="00150EDC">
              <w:rPr>
                <w:spacing w:val="-2"/>
                <w:sz w:val="18"/>
              </w:rPr>
              <w:t xml:space="preserve"> </w:t>
            </w:r>
            <w:r w:rsidRPr="00150EDC">
              <w:rPr>
                <w:sz w:val="18"/>
              </w:rPr>
              <w:t>indicators</w:t>
            </w:r>
            <w:r w:rsidRPr="00150EDC">
              <w:rPr>
                <w:spacing w:val="-3"/>
                <w:sz w:val="18"/>
              </w:rPr>
              <w:t xml:space="preserve"> </w:t>
            </w:r>
            <w:r w:rsidRPr="00150EDC">
              <w:rPr>
                <w:sz w:val="18"/>
              </w:rPr>
              <w:t>set out in the Annex to Part B of this Schedule;</w:t>
            </w:r>
          </w:p>
        </w:tc>
      </w:tr>
      <w:tr w:rsidR="004569EE" w:rsidRPr="007D3144" w14:paraId="79BE14CE" w14:textId="77777777">
        <w:trPr>
          <w:trHeight w:val="714"/>
        </w:trPr>
        <w:tc>
          <w:tcPr>
            <w:tcW w:w="2148" w:type="dxa"/>
          </w:tcPr>
          <w:p w14:paraId="5493C212" w14:textId="77777777" w:rsidR="004C7180" w:rsidRPr="00150EDC" w:rsidRDefault="00CF0754">
            <w:pPr>
              <w:pStyle w:val="TableParagraph"/>
              <w:spacing w:before="43" w:line="240" w:lineRule="auto"/>
              <w:ind w:left="50"/>
              <w:rPr>
                <w:b/>
                <w:sz w:val="18"/>
              </w:rPr>
            </w:pPr>
            <w:r w:rsidRPr="00150EDC">
              <w:rPr>
                <w:b/>
                <w:sz w:val="18"/>
              </w:rPr>
              <w:t xml:space="preserve">“KPI </w:t>
            </w:r>
            <w:r w:rsidRPr="00150EDC">
              <w:rPr>
                <w:b/>
                <w:spacing w:val="-2"/>
                <w:sz w:val="18"/>
              </w:rPr>
              <w:t>Failure”</w:t>
            </w:r>
          </w:p>
        </w:tc>
        <w:tc>
          <w:tcPr>
            <w:tcW w:w="4356" w:type="dxa"/>
          </w:tcPr>
          <w:p w14:paraId="4388FF7C" w14:textId="77777777" w:rsidR="004C7180" w:rsidRPr="00150EDC" w:rsidRDefault="00CF0754">
            <w:pPr>
              <w:pStyle w:val="TableParagraph"/>
              <w:spacing w:before="43" w:line="240" w:lineRule="auto"/>
              <w:ind w:left="122" w:right="67"/>
              <w:rPr>
                <w:sz w:val="18"/>
              </w:rPr>
            </w:pPr>
            <w:r w:rsidRPr="00150EDC">
              <w:rPr>
                <w:sz w:val="18"/>
              </w:rPr>
              <w:t>means</w:t>
            </w:r>
            <w:r w:rsidRPr="00150EDC">
              <w:rPr>
                <w:spacing w:val="-1"/>
                <w:sz w:val="18"/>
              </w:rPr>
              <w:t xml:space="preserve"> </w:t>
            </w:r>
            <w:r w:rsidRPr="00150EDC">
              <w:rPr>
                <w:sz w:val="18"/>
              </w:rPr>
              <w:t>a</w:t>
            </w:r>
            <w:r w:rsidRPr="00150EDC">
              <w:rPr>
                <w:spacing w:val="-2"/>
                <w:sz w:val="18"/>
              </w:rPr>
              <w:t xml:space="preserve"> </w:t>
            </w:r>
            <w:r w:rsidRPr="00150EDC">
              <w:rPr>
                <w:sz w:val="18"/>
              </w:rPr>
              <w:t>failure</w:t>
            </w:r>
            <w:r w:rsidRPr="00150EDC">
              <w:rPr>
                <w:spacing w:val="-2"/>
                <w:sz w:val="18"/>
              </w:rPr>
              <w:t xml:space="preserve"> </w:t>
            </w:r>
            <w:r w:rsidRPr="00150EDC">
              <w:rPr>
                <w:sz w:val="18"/>
              </w:rPr>
              <w:t>by</w:t>
            </w:r>
            <w:r w:rsidRPr="00150EDC">
              <w:rPr>
                <w:spacing w:val="-1"/>
                <w:sz w:val="18"/>
              </w:rPr>
              <w:t xml:space="preserve"> </w:t>
            </w:r>
            <w:r w:rsidRPr="00150EDC">
              <w:rPr>
                <w:sz w:val="18"/>
              </w:rPr>
              <w:t>the</w:t>
            </w:r>
            <w:r w:rsidRPr="00150EDC">
              <w:rPr>
                <w:spacing w:val="-2"/>
                <w:sz w:val="18"/>
              </w:rPr>
              <w:t xml:space="preserve"> </w:t>
            </w:r>
            <w:r w:rsidRPr="00150EDC">
              <w:rPr>
                <w:sz w:val="18"/>
              </w:rPr>
              <w:t>Supplier</w:t>
            </w:r>
            <w:r w:rsidRPr="00150EDC">
              <w:rPr>
                <w:spacing w:val="-3"/>
                <w:sz w:val="18"/>
              </w:rPr>
              <w:t xml:space="preserve"> </w:t>
            </w:r>
            <w:r w:rsidRPr="00150EDC">
              <w:rPr>
                <w:sz w:val="18"/>
              </w:rPr>
              <w:t>to deliver</w:t>
            </w:r>
            <w:r w:rsidRPr="00150EDC">
              <w:rPr>
                <w:spacing w:val="-1"/>
                <w:sz w:val="18"/>
              </w:rPr>
              <w:t xml:space="preserve"> </w:t>
            </w:r>
            <w:r w:rsidRPr="00150EDC">
              <w:rPr>
                <w:sz w:val="18"/>
              </w:rPr>
              <w:t>any</w:t>
            </w:r>
            <w:r w:rsidRPr="00150EDC">
              <w:rPr>
                <w:spacing w:val="-4"/>
                <w:sz w:val="18"/>
              </w:rPr>
              <w:t xml:space="preserve"> </w:t>
            </w:r>
            <w:r w:rsidRPr="00150EDC">
              <w:rPr>
                <w:sz w:val="18"/>
              </w:rPr>
              <w:t>part of the Services to performance meet or exceed the</w:t>
            </w:r>
            <w:r w:rsidRPr="00150EDC">
              <w:rPr>
                <w:spacing w:val="80"/>
                <w:sz w:val="18"/>
              </w:rPr>
              <w:t xml:space="preserve"> </w:t>
            </w:r>
            <w:r w:rsidRPr="00150EDC">
              <w:rPr>
                <w:sz w:val="18"/>
              </w:rPr>
              <w:t>KPI Threshold;</w:t>
            </w:r>
          </w:p>
        </w:tc>
      </w:tr>
      <w:tr w:rsidR="004569EE" w:rsidRPr="007D3144" w14:paraId="179904D1" w14:textId="77777777">
        <w:trPr>
          <w:trHeight w:val="714"/>
        </w:trPr>
        <w:tc>
          <w:tcPr>
            <w:tcW w:w="2148" w:type="dxa"/>
          </w:tcPr>
          <w:p w14:paraId="0C311E19" w14:textId="77777777" w:rsidR="004C7180" w:rsidRPr="00150EDC" w:rsidRDefault="00CF0754">
            <w:pPr>
              <w:pStyle w:val="TableParagraph"/>
              <w:spacing w:before="43" w:line="240" w:lineRule="auto"/>
              <w:ind w:left="50"/>
              <w:rPr>
                <w:b/>
                <w:sz w:val="18"/>
              </w:rPr>
            </w:pPr>
            <w:r w:rsidRPr="00150EDC">
              <w:rPr>
                <w:b/>
                <w:sz w:val="18"/>
              </w:rPr>
              <w:t xml:space="preserve">“KPI </w:t>
            </w:r>
            <w:r w:rsidRPr="00150EDC">
              <w:rPr>
                <w:b/>
                <w:spacing w:val="-2"/>
                <w:sz w:val="18"/>
              </w:rPr>
              <w:t>Threshold”</w:t>
            </w:r>
          </w:p>
        </w:tc>
        <w:tc>
          <w:tcPr>
            <w:tcW w:w="4356" w:type="dxa"/>
          </w:tcPr>
          <w:p w14:paraId="535C50EA" w14:textId="77777777" w:rsidR="004C7180" w:rsidRPr="00150EDC" w:rsidRDefault="00CF0754">
            <w:pPr>
              <w:pStyle w:val="TableParagraph"/>
              <w:spacing w:before="43" w:line="240" w:lineRule="auto"/>
              <w:ind w:left="122" w:right="66"/>
              <w:rPr>
                <w:sz w:val="18"/>
              </w:rPr>
            </w:pPr>
            <w:r w:rsidRPr="00150EDC">
              <w:rPr>
                <w:sz w:val="18"/>
              </w:rPr>
              <w:t>means the threshold which determines if the Supplier</w:t>
            </w:r>
            <w:r w:rsidRPr="00150EDC">
              <w:rPr>
                <w:spacing w:val="-3"/>
                <w:sz w:val="18"/>
              </w:rPr>
              <w:t xml:space="preserve"> </w:t>
            </w:r>
            <w:r w:rsidRPr="00150EDC">
              <w:rPr>
                <w:sz w:val="18"/>
              </w:rPr>
              <w:t>has</w:t>
            </w:r>
            <w:r w:rsidRPr="00150EDC">
              <w:rPr>
                <w:spacing w:val="-3"/>
                <w:sz w:val="18"/>
              </w:rPr>
              <w:t xml:space="preserve"> </w:t>
            </w:r>
            <w:r w:rsidRPr="00150EDC">
              <w:rPr>
                <w:sz w:val="18"/>
              </w:rPr>
              <w:t>achieved</w:t>
            </w:r>
            <w:r w:rsidRPr="00150EDC">
              <w:rPr>
                <w:spacing w:val="-2"/>
                <w:sz w:val="18"/>
              </w:rPr>
              <w:t xml:space="preserve"> </w:t>
            </w:r>
            <w:r w:rsidRPr="00150EDC">
              <w:rPr>
                <w:sz w:val="18"/>
              </w:rPr>
              <w:t>a</w:t>
            </w:r>
            <w:r w:rsidRPr="00150EDC">
              <w:rPr>
                <w:spacing w:val="-1"/>
                <w:sz w:val="18"/>
              </w:rPr>
              <w:t xml:space="preserve"> </w:t>
            </w:r>
            <w:r w:rsidRPr="00150EDC">
              <w:rPr>
                <w:sz w:val="18"/>
              </w:rPr>
              <w:t>KPI</w:t>
            </w:r>
            <w:r w:rsidRPr="00150EDC">
              <w:rPr>
                <w:spacing w:val="-2"/>
                <w:sz w:val="18"/>
              </w:rPr>
              <w:t xml:space="preserve"> </w:t>
            </w:r>
            <w:r w:rsidRPr="00150EDC">
              <w:rPr>
                <w:sz w:val="18"/>
              </w:rPr>
              <w:t>as</w:t>
            </w:r>
            <w:r w:rsidRPr="00150EDC">
              <w:rPr>
                <w:spacing w:val="-1"/>
                <w:sz w:val="18"/>
              </w:rPr>
              <w:t xml:space="preserve"> </w:t>
            </w:r>
            <w:r w:rsidRPr="00150EDC">
              <w:rPr>
                <w:sz w:val="18"/>
              </w:rPr>
              <w:t>set</w:t>
            </w:r>
            <w:r w:rsidRPr="00150EDC">
              <w:rPr>
                <w:spacing w:val="-1"/>
                <w:sz w:val="18"/>
              </w:rPr>
              <w:t xml:space="preserve"> </w:t>
            </w:r>
            <w:r w:rsidRPr="00150EDC">
              <w:rPr>
                <w:sz w:val="18"/>
              </w:rPr>
              <w:t>out</w:t>
            </w:r>
            <w:r w:rsidRPr="00150EDC">
              <w:rPr>
                <w:spacing w:val="-1"/>
                <w:sz w:val="18"/>
              </w:rPr>
              <w:t xml:space="preserve"> </w:t>
            </w:r>
            <w:r w:rsidRPr="00150EDC">
              <w:rPr>
                <w:sz w:val="18"/>
              </w:rPr>
              <w:t>in</w:t>
            </w:r>
            <w:r w:rsidRPr="00150EDC">
              <w:rPr>
                <w:spacing w:val="-2"/>
                <w:sz w:val="18"/>
              </w:rPr>
              <w:t xml:space="preserve"> </w:t>
            </w:r>
            <w:r w:rsidRPr="00150EDC">
              <w:rPr>
                <w:sz w:val="18"/>
              </w:rPr>
              <w:t>the</w:t>
            </w:r>
            <w:r w:rsidRPr="00150EDC">
              <w:rPr>
                <w:spacing w:val="-2"/>
                <w:sz w:val="18"/>
              </w:rPr>
              <w:t xml:space="preserve"> </w:t>
            </w:r>
            <w:r w:rsidRPr="00150EDC">
              <w:rPr>
                <w:sz w:val="18"/>
              </w:rPr>
              <w:t>Annex to Part B of this Schedule;</w:t>
            </w:r>
          </w:p>
        </w:tc>
      </w:tr>
      <w:tr w:rsidR="004569EE" w:rsidRPr="007D3144" w14:paraId="73A454CE" w14:textId="77777777">
        <w:trPr>
          <w:trHeight w:val="506"/>
        </w:trPr>
        <w:tc>
          <w:tcPr>
            <w:tcW w:w="2148" w:type="dxa"/>
          </w:tcPr>
          <w:p w14:paraId="645A774D" w14:textId="77777777" w:rsidR="004C7180" w:rsidRPr="00150EDC" w:rsidRDefault="00CF0754">
            <w:pPr>
              <w:pStyle w:val="TableParagraph"/>
              <w:spacing w:before="43" w:line="240" w:lineRule="auto"/>
              <w:ind w:left="50" w:right="21"/>
              <w:rPr>
                <w:b/>
                <w:sz w:val="18"/>
              </w:rPr>
            </w:pPr>
            <w:r w:rsidRPr="00150EDC">
              <w:rPr>
                <w:b/>
                <w:spacing w:val="-2"/>
                <w:sz w:val="18"/>
              </w:rPr>
              <w:t xml:space="preserve">“Performance </w:t>
            </w:r>
            <w:r w:rsidRPr="00150EDC">
              <w:rPr>
                <w:b/>
                <w:sz w:val="18"/>
              </w:rPr>
              <w:t>Monitoring</w:t>
            </w:r>
            <w:r w:rsidRPr="00150EDC">
              <w:rPr>
                <w:b/>
                <w:spacing w:val="-13"/>
                <w:sz w:val="18"/>
              </w:rPr>
              <w:t xml:space="preserve"> </w:t>
            </w:r>
            <w:r w:rsidRPr="00150EDC">
              <w:rPr>
                <w:b/>
                <w:sz w:val="18"/>
              </w:rPr>
              <w:t>Reports”</w:t>
            </w:r>
          </w:p>
        </w:tc>
        <w:tc>
          <w:tcPr>
            <w:tcW w:w="4356" w:type="dxa"/>
          </w:tcPr>
          <w:p w14:paraId="7D9FB9B5" w14:textId="77777777" w:rsidR="004C7180" w:rsidRPr="00150EDC" w:rsidRDefault="00CF0754">
            <w:pPr>
              <w:pStyle w:val="TableParagraph"/>
              <w:spacing w:before="43" w:line="240" w:lineRule="auto"/>
              <w:ind w:left="122"/>
              <w:rPr>
                <w:sz w:val="18"/>
              </w:rPr>
            </w:pPr>
            <w:r w:rsidRPr="00150EDC">
              <w:rPr>
                <w:sz w:val="18"/>
              </w:rPr>
              <w:t>as</w:t>
            </w:r>
            <w:r w:rsidRPr="00150EDC">
              <w:rPr>
                <w:spacing w:val="-3"/>
                <w:sz w:val="18"/>
              </w:rPr>
              <w:t xml:space="preserve"> </w:t>
            </w:r>
            <w:r w:rsidRPr="00150EDC">
              <w:rPr>
                <w:sz w:val="18"/>
              </w:rPr>
              <w:t>defined</w:t>
            </w:r>
            <w:r w:rsidRPr="00150EDC">
              <w:rPr>
                <w:spacing w:val="-3"/>
                <w:sz w:val="18"/>
              </w:rPr>
              <w:t xml:space="preserve"> </w:t>
            </w:r>
            <w:r w:rsidRPr="00150EDC">
              <w:rPr>
                <w:sz w:val="18"/>
              </w:rPr>
              <w:t>in</w:t>
            </w:r>
            <w:r w:rsidRPr="00150EDC">
              <w:rPr>
                <w:spacing w:val="-1"/>
                <w:sz w:val="18"/>
              </w:rPr>
              <w:t xml:space="preserve"> </w:t>
            </w:r>
            <w:r w:rsidRPr="00150EDC">
              <w:rPr>
                <w:sz w:val="18"/>
              </w:rPr>
              <w:t>Paragraph</w:t>
            </w:r>
            <w:r w:rsidRPr="00150EDC">
              <w:rPr>
                <w:spacing w:val="-1"/>
                <w:sz w:val="18"/>
              </w:rPr>
              <w:t xml:space="preserve"> </w:t>
            </w:r>
            <w:r w:rsidRPr="00150EDC">
              <w:rPr>
                <w:sz w:val="18"/>
              </w:rPr>
              <w:t>2.3</w:t>
            </w:r>
            <w:r w:rsidRPr="00150EDC">
              <w:rPr>
                <w:spacing w:val="-1"/>
                <w:sz w:val="18"/>
              </w:rPr>
              <w:t xml:space="preserve"> </w:t>
            </w:r>
            <w:r w:rsidRPr="00150EDC">
              <w:rPr>
                <w:sz w:val="18"/>
              </w:rPr>
              <w:t>of</w:t>
            </w:r>
            <w:r w:rsidRPr="00150EDC">
              <w:rPr>
                <w:spacing w:val="-3"/>
                <w:sz w:val="18"/>
              </w:rPr>
              <w:t xml:space="preserve"> </w:t>
            </w:r>
            <w:r w:rsidRPr="00150EDC">
              <w:rPr>
                <w:sz w:val="18"/>
              </w:rPr>
              <w:t>this</w:t>
            </w:r>
            <w:r w:rsidRPr="00150EDC">
              <w:rPr>
                <w:spacing w:val="-2"/>
                <w:sz w:val="18"/>
              </w:rPr>
              <w:t xml:space="preserve"> Schedule;</w:t>
            </w:r>
          </w:p>
        </w:tc>
      </w:tr>
      <w:tr w:rsidR="004569EE" w:rsidRPr="007D3144" w14:paraId="6461F5BE" w14:textId="77777777">
        <w:trPr>
          <w:trHeight w:val="714"/>
        </w:trPr>
        <w:tc>
          <w:tcPr>
            <w:tcW w:w="2148" w:type="dxa"/>
          </w:tcPr>
          <w:p w14:paraId="02564D03" w14:textId="77777777" w:rsidR="004C7180" w:rsidRPr="00150EDC" w:rsidRDefault="00CF0754">
            <w:pPr>
              <w:pStyle w:val="TableParagraph"/>
              <w:spacing w:before="43" w:line="240" w:lineRule="auto"/>
              <w:ind w:left="50"/>
              <w:rPr>
                <w:b/>
                <w:sz w:val="18"/>
              </w:rPr>
            </w:pPr>
            <w:r w:rsidRPr="00150EDC">
              <w:rPr>
                <w:b/>
                <w:sz w:val="18"/>
              </w:rPr>
              <w:t>"Service</w:t>
            </w:r>
            <w:r w:rsidRPr="00150EDC">
              <w:rPr>
                <w:b/>
                <w:spacing w:val="-2"/>
                <w:sz w:val="18"/>
              </w:rPr>
              <w:t xml:space="preserve"> Level"</w:t>
            </w:r>
          </w:p>
        </w:tc>
        <w:tc>
          <w:tcPr>
            <w:tcW w:w="4356" w:type="dxa"/>
          </w:tcPr>
          <w:p w14:paraId="43D52E67" w14:textId="77777777" w:rsidR="004C7180" w:rsidRPr="00150EDC" w:rsidRDefault="00CF0754">
            <w:pPr>
              <w:pStyle w:val="TableParagraph"/>
              <w:spacing w:before="43" w:line="240" w:lineRule="auto"/>
              <w:ind w:left="122" w:right="321"/>
              <w:jc w:val="both"/>
              <w:rPr>
                <w:sz w:val="18"/>
              </w:rPr>
            </w:pPr>
            <w:r w:rsidRPr="00150EDC">
              <w:rPr>
                <w:sz w:val="18"/>
              </w:rPr>
              <w:t>the</w:t>
            </w:r>
            <w:r w:rsidRPr="00150EDC">
              <w:rPr>
                <w:spacing w:val="-2"/>
                <w:sz w:val="18"/>
              </w:rPr>
              <w:t xml:space="preserve"> </w:t>
            </w:r>
            <w:r w:rsidRPr="00150EDC">
              <w:rPr>
                <w:sz w:val="18"/>
              </w:rPr>
              <w:t>service</w:t>
            </w:r>
            <w:r w:rsidRPr="00150EDC">
              <w:rPr>
                <w:spacing w:val="-2"/>
                <w:sz w:val="18"/>
              </w:rPr>
              <w:t xml:space="preserve"> </w:t>
            </w:r>
            <w:r w:rsidRPr="00150EDC">
              <w:rPr>
                <w:sz w:val="18"/>
              </w:rPr>
              <w:t>levels</w:t>
            </w:r>
            <w:r w:rsidRPr="00150EDC">
              <w:rPr>
                <w:spacing w:val="-3"/>
                <w:sz w:val="18"/>
              </w:rPr>
              <w:t xml:space="preserve"> </w:t>
            </w:r>
            <w:r w:rsidRPr="00150EDC">
              <w:rPr>
                <w:sz w:val="18"/>
              </w:rPr>
              <w:t>to</w:t>
            </w:r>
            <w:r w:rsidRPr="00150EDC">
              <w:rPr>
                <w:spacing w:val="-2"/>
                <w:sz w:val="18"/>
              </w:rPr>
              <w:t xml:space="preserve"> </w:t>
            </w:r>
            <w:r w:rsidRPr="00150EDC">
              <w:rPr>
                <w:sz w:val="18"/>
              </w:rPr>
              <w:t>which</w:t>
            </w:r>
            <w:r w:rsidRPr="00150EDC">
              <w:rPr>
                <w:spacing w:val="-2"/>
                <w:sz w:val="18"/>
              </w:rPr>
              <w:t xml:space="preserve"> </w:t>
            </w:r>
            <w:r w:rsidRPr="00150EDC">
              <w:rPr>
                <w:sz w:val="18"/>
              </w:rPr>
              <w:t>the</w:t>
            </w:r>
            <w:r w:rsidRPr="00150EDC">
              <w:rPr>
                <w:spacing w:val="-2"/>
                <w:sz w:val="18"/>
              </w:rPr>
              <w:t xml:space="preserve"> </w:t>
            </w:r>
            <w:r w:rsidRPr="00150EDC">
              <w:rPr>
                <w:sz w:val="18"/>
              </w:rPr>
              <w:t>Services</w:t>
            </w:r>
            <w:r w:rsidRPr="00150EDC">
              <w:rPr>
                <w:spacing w:val="-3"/>
                <w:sz w:val="18"/>
              </w:rPr>
              <w:t xml:space="preserve"> </w:t>
            </w:r>
            <w:r w:rsidRPr="00150EDC">
              <w:rPr>
                <w:sz w:val="18"/>
              </w:rPr>
              <w:t>are</w:t>
            </w:r>
            <w:r w:rsidRPr="00150EDC">
              <w:rPr>
                <w:spacing w:val="-4"/>
                <w:sz w:val="18"/>
              </w:rPr>
              <w:t xml:space="preserve"> </w:t>
            </w:r>
            <w:r w:rsidRPr="00150EDC">
              <w:rPr>
                <w:sz w:val="18"/>
              </w:rPr>
              <w:t>to</w:t>
            </w:r>
            <w:r w:rsidRPr="00150EDC">
              <w:rPr>
                <w:spacing w:val="-2"/>
                <w:sz w:val="18"/>
              </w:rPr>
              <w:t xml:space="preserve"> </w:t>
            </w:r>
            <w:r w:rsidRPr="00150EDC">
              <w:rPr>
                <w:sz w:val="18"/>
              </w:rPr>
              <w:t xml:space="preserve">be provided as set out in the Annex to Part A of this </w:t>
            </w:r>
            <w:r w:rsidRPr="00150EDC">
              <w:rPr>
                <w:spacing w:val="-2"/>
                <w:sz w:val="18"/>
              </w:rPr>
              <w:t>Schedule;</w:t>
            </w:r>
          </w:p>
        </w:tc>
      </w:tr>
      <w:tr w:rsidR="004569EE" w:rsidRPr="007D3144" w14:paraId="727DFA92" w14:textId="77777777">
        <w:trPr>
          <w:trHeight w:val="714"/>
        </w:trPr>
        <w:tc>
          <w:tcPr>
            <w:tcW w:w="2148" w:type="dxa"/>
          </w:tcPr>
          <w:p w14:paraId="1D1D6014" w14:textId="77777777" w:rsidR="004C7180" w:rsidRPr="00150EDC" w:rsidRDefault="00CF0754">
            <w:pPr>
              <w:pStyle w:val="TableParagraph"/>
              <w:spacing w:before="43" w:line="240" w:lineRule="auto"/>
              <w:ind w:left="50"/>
              <w:rPr>
                <w:b/>
                <w:sz w:val="18"/>
              </w:rPr>
            </w:pPr>
            <w:r w:rsidRPr="00150EDC">
              <w:rPr>
                <w:b/>
                <w:sz w:val="18"/>
              </w:rPr>
              <w:t>"Service</w:t>
            </w:r>
            <w:r w:rsidRPr="00150EDC">
              <w:rPr>
                <w:b/>
                <w:spacing w:val="-2"/>
                <w:sz w:val="18"/>
              </w:rPr>
              <w:t xml:space="preserve"> Credits"</w:t>
            </w:r>
          </w:p>
        </w:tc>
        <w:tc>
          <w:tcPr>
            <w:tcW w:w="4356" w:type="dxa"/>
          </w:tcPr>
          <w:p w14:paraId="0AFBA1E1" w14:textId="77777777" w:rsidR="004C7180" w:rsidRPr="00150EDC" w:rsidRDefault="00CF0754">
            <w:pPr>
              <w:pStyle w:val="TableParagraph"/>
              <w:spacing w:before="43" w:line="240" w:lineRule="auto"/>
              <w:ind w:left="122" w:right="300"/>
              <w:jc w:val="both"/>
              <w:rPr>
                <w:sz w:val="18"/>
              </w:rPr>
            </w:pPr>
            <w:r w:rsidRPr="00150EDC">
              <w:rPr>
                <w:sz w:val="18"/>
              </w:rPr>
              <w:t>means</w:t>
            </w:r>
            <w:r w:rsidRPr="00150EDC">
              <w:rPr>
                <w:spacing w:val="-2"/>
                <w:sz w:val="18"/>
              </w:rPr>
              <w:t xml:space="preserve"> </w:t>
            </w:r>
            <w:r w:rsidRPr="00150EDC">
              <w:rPr>
                <w:sz w:val="18"/>
              </w:rPr>
              <w:t>the</w:t>
            </w:r>
            <w:r w:rsidRPr="00150EDC">
              <w:rPr>
                <w:spacing w:val="-1"/>
                <w:sz w:val="18"/>
              </w:rPr>
              <w:t xml:space="preserve"> </w:t>
            </w:r>
            <w:r w:rsidRPr="00150EDC">
              <w:rPr>
                <w:sz w:val="18"/>
              </w:rPr>
              <w:t>sums</w:t>
            </w:r>
            <w:r w:rsidRPr="00150EDC">
              <w:rPr>
                <w:spacing w:val="-4"/>
                <w:sz w:val="18"/>
              </w:rPr>
              <w:t xml:space="preserve"> </w:t>
            </w:r>
            <w:r w:rsidRPr="00150EDC">
              <w:rPr>
                <w:sz w:val="18"/>
              </w:rPr>
              <w:t>set</w:t>
            </w:r>
            <w:r w:rsidRPr="00150EDC">
              <w:rPr>
                <w:spacing w:val="-3"/>
                <w:sz w:val="18"/>
              </w:rPr>
              <w:t xml:space="preserve"> </w:t>
            </w:r>
            <w:r w:rsidRPr="00150EDC">
              <w:rPr>
                <w:sz w:val="18"/>
              </w:rPr>
              <w:t>out</w:t>
            </w:r>
            <w:r w:rsidRPr="00150EDC">
              <w:rPr>
                <w:spacing w:val="-1"/>
                <w:sz w:val="18"/>
              </w:rPr>
              <w:t xml:space="preserve"> </w:t>
            </w:r>
            <w:r w:rsidRPr="00150EDC">
              <w:rPr>
                <w:sz w:val="18"/>
              </w:rPr>
              <w:t>in</w:t>
            </w:r>
            <w:r w:rsidRPr="00150EDC">
              <w:rPr>
                <w:spacing w:val="-1"/>
                <w:sz w:val="18"/>
              </w:rPr>
              <w:t xml:space="preserve"> </w:t>
            </w:r>
            <w:r w:rsidRPr="00150EDC">
              <w:rPr>
                <w:sz w:val="18"/>
              </w:rPr>
              <w:t>the</w:t>
            </w:r>
            <w:r w:rsidRPr="00150EDC">
              <w:rPr>
                <w:spacing w:val="-3"/>
                <w:sz w:val="18"/>
              </w:rPr>
              <w:t xml:space="preserve"> </w:t>
            </w:r>
            <w:r w:rsidRPr="00150EDC">
              <w:rPr>
                <w:sz w:val="18"/>
              </w:rPr>
              <w:t>Annex</w:t>
            </w:r>
            <w:r w:rsidRPr="00150EDC">
              <w:rPr>
                <w:spacing w:val="-2"/>
                <w:sz w:val="18"/>
              </w:rPr>
              <w:t xml:space="preserve"> </w:t>
            </w:r>
            <w:r w:rsidRPr="00150EDC">
              <w:rPr>
                <w:sz w:val="18"/>
              </w:rPr>
              <w:t>to</w:t>
            </w:r>
            <w:r w:rsidRPr="00150EDC">
              <w:rPr>
                <w:spacing w:val="-1"/>
                <w:sz w:val="18"/>
              </w:rPr>
              <w:t xml:space="preserve"> </w:t>
            </w:r>
            <w:r w:rsidRPr="00150EDC">
              <w:rPr>
                <w:sz w:val="18"/>
              </w:rPr>
              <w:t>Part</w:t>
            </w:r>
            <w:r w:rsidRPr="00150EDC">
              <w:rPr>
                <w:spacing w:val="-3"/>
                <w:sz w:val="18"/>
              </w:rPr>
              <w:t xml:space="preserve"> </w:t>
            </w:r>
            <w:r w:rsidRPr="00150EDC">
              <w:rPr>
                <w:sz w:val="18"/>
              </w:rPr>
              <w:t>A</w:t>
            </w:r>
            <w:r w:rsidRPr="00150EDC">
              <w:rPr>
                <w:spacing w:val="-1"/>
                <w:sz w:val="18"/>
              </w:rPr>
              <w:t xml:space="preserve"> </w:t>
            </w:r>
            <w:r w:rsidRPr="00150EDC">
              <w:rPr>
                <w:sz w:val="18"/>
              </w:rPr>
              <w:t>of this Schedule and payable by the Supplier to the Buyer if there is a Service Level Failure;</w:t>
            </w:r>
          </w:p>
        </w:tc>
      </w:tr>
      <w:tr w:rsidR="004569EE" w:rsidRPr="007D3144" w14:paraId="116E5E3A" w14:textId="77777777">
        <w:trPr>
          <w:trHeight w:val="714"/>
        </w:trPr>
        <w:tc>
          <w:tcPr>
            <w:tcW w:w="2148" w:type="dxa"/>
          </w:tcPr>
          <w:p w14:paraId="660297F7" w14:textId="77777777" w:rsidR="004C7180" w:rsidRPr="00150EDC" w:rsidRDefault="00CF0754">
            <w:pPr>
              <w:pStyle w:val="TableParagraph"/>
              <w:spacing w:before="43" w:line="240" w:lineRule="auto"/>
              <w:ind w:left="50"/>
              <w:rPr>
                <w:b/>
                <w:sz w:val="18"/>
              </w:rPr>
            </w:pPr>
            <w:r w:rsidRPr="00150EDC">
              <w:rPr>
                <w:b/>
                <w:sz w:val="18"/>
              </w:rPr>
              <w:t>"Service</w:t>
            </w:r>
            <w:r w:rsidRPr="00150EDC">
              <w:rPr>
                <w:b/>
                <w:spacing w:val="-3"/>
                <w:sz w:val="18"/>
              </w:rPr>
              <w:t xml:space="preserve"> </w:t>
            </w:r>
            <w:r w:rsidRPr="00150EDC">
              <w:rPr>
                <w:b/>
                <w:sz w:val="18"/>
              </w:rPr>
              <w:t>Level</w:t>
            </w:r>
            <w:r w:rsidRPr="00150EDC">
              <w:rPr>
                <w:b/>
                <w:spacing w:val="-2"/>
                <w:sz w:val="18"/>
              </w:rPr>
              <w:t xml:space="preserve"> Failure"</w:t>
            </w:r>
          </w:p>
        </w:tc>
        <w:tc>
          <w:tcPr>
            <w:tcW w:w="4356" w:type="dxa"/>
          </w:tcPr>
          <w:p w14:paraId="0C8CD259" w14:textId="77777777" w:rsidR="004C7180" w:rsidRPr="00150EDC" w:rsidRDefault="00CF0754">
            <w:pPr>
              <w:pStyle w:val="TableParagraph"/>
              <w:spacing w:before="43" w:line="240" w:lineRule="auto"/>
              <w:ind w:left="122"/>
              <w:rPr>
                <w:sz w:val="18"/>
              </w:rPr>
            </w:pPr>
            <w:r w:rsidRPr="00150EDC">
              <w:rPr>
                <w:sz w:val="18"/>
              </w:rPr>
              <w:t>means</w:t>
            </w:r>
            <w:r w:rsidRPr="00150EDC">
              <w:rPr>
                <w:spacing w:val="-1"/>
                <w:sz w:val="18"/>
              </w:rPr>
              <w:t xml:space="preserve"> </w:t>
            </w:r>
            <w:r w:rsidRPr="00150EDC">
              <w:rPr>
                <w:sz w:val="18"/>
              </w:rPr>
              <w:t>a</w:t>
            </w:r>
            <w:r w:rsidRPr="00150EDC">
              <w:rPr>
                <w:spacing w:val="-2"/>
                <w:sz w:val="18"/>
              </w:rPr>
              <w:t xml:space="preserve"> </w:t>
            </w:r>
            <w:r w:rsidRPr="00150EDC">
              <w:rPr>
                <w:sz w:val="18"/>
              </w:rPr>
              <w:t>failure</w:t>
            </w:r>
            <w:r w:rsidRPr="00150EDC">
              <w:rPr>
                <w:spacing w:val="-2"/>
                <w:sz w:val="18"/>
              </w:rPr>
              <w:t xml:space="preserve"> </w:t>
            </w:r>
            <w:r w:rsidRPr="00150EDC">
              <w:rPr>
                <w:sz w:val="18"/>
              </w:rPr>
              <w:t>by</w:t>
            </w:r>
            <w:r w:rsidRPr="00150EDC">
              <w:rPr>
                <w:spacing w:val="-1"/>
                <w:sz w:val="18"/>
              </w:rPr>
              <w:t xml:space="preserve"> </w:t>
            </w:r>
            <w:r w:rsidRPr="00150EDC">
              <w:rPr>
                <w:sz w:val="18"/>
              </w:rPr>
              <w:t>the</w:t>
            </w:r>
            <w:r w:rsidRPr="00150EDC">
              <w:rPr>
                <w:spacing w:val="-2"/>
                <w:sz w:val="18"/>
              </w:rPr>
              <w:t xml:space="preserve"> </w:t>
            </w:r>
            <w:r w:rsidRPr="00150EDC">
              <w:rPr>
                <w:sz w:val="18"/>
              </w:rPr>
              <w:t>Supplier</w:t>
            </w:r>
            <w:r w:rsidRPr="00150EDC">
              <w:rPr>
                <w:spacing w:val="-3"/>
                <w:sz w:val="18"/>
              </w:rPr>
              <w:t xml:space="preserve"> </w:t>
            </w:r>
            <w:r w:rsidRPr="00150EDC">
              <w:rPr>
                <w:sz w:val="18"/>
              </w:rPr>
              <w:t>to deliver</w:t>
            </w:r>
            <w:r w:rsidRPr="00150EDC">
              <w:rPr>
                <w:spacing w:val="-1"/>
                <w:sz w:val="18"/>
              </w:rPr>
              <w:t xml:space="preserve"> </w:t>
            </w:r>
            <w:r w:rsidRPr="00150EDC">
              <w:rPr>
                <w:sz w:val="18"/>
              </w:rPr>
              <w:t>any</w:t>
            </w:r>
            <w:r w:rsidRPr="00150EDC">
              <w:rPr>
                <w:spacing w:val="-4"/>
                <w:sz w:val="18"/>
              </w:rPr>
              <w:t xml:space="preserve"> </w:t>
            </w:r>
            <w:r w:rsidRPr="00150EDC">
              <w:rPr>
                <w:sz w:val="18"/>
              </w:rPr>
              <w:t xml:space="preserve">part of the Services to meet or exceed the Service Level </w:t>
            </w:r>
            <w:r w:rsidRPr="00150EDC">
              <w:rPr>
                <w:spacing w:val="-2"/>
                <w:sz w:val="18"/>
              </w:rPr>
              <w:t>Threshold;</w:t>
            </w:r>
          </w:p>
        </w:tc>
      </w:tr>
      <w:tr w:rsidR="004569EE" w:rsidRPr="007D3144" w14:paraId="70DB22D3" w14:textId="77777777">
        <w:trPr>
          <w:trHeight w:val="714"/>
        </w:trPr>
        <w:tc>
          <w:tcPr>
            <w:tcW w:w="2148" w:type="dxa"/>
          </w:tcPr>
          <w:p w14:paraId="52218BE5" w14:textId="77777777" w:rsidR="004C7180" w:rsidRPr="00150EDC" w:rsidRDefault="00CF0754">
            <w:pPr>
              <w:pStyle w:val="TableParagraph"/>
              <w:spacing w:before="43" w:line="240" w:lineRule="auto"/>
              <w:ind w:left="50"/>
              <w:rPr>
                <w:b/>
                <w:sz w:val="18"/>
              </w:rPr>
            </w:pPr>
            <w:r w:rsidRPr="00150EDC">
              <w:rPr>
                <w:b/>
                <w:sz w:val="18"/>
              </w:rPr>
              <w:t>"Service Level Performance</w:t>
            </w:r>
            <w:r w:rsidRPr="00150EDC">
              <w:rPr>
                <w:b/>
                <w:spacing w:val="-13"/>
                <w:sz w:val="18"/>
              </w:rPr>
              <w:t xml:space="preserve"> </w:t>
            </w:r>
            <w:r w:rsidRPr="00150EDC">
              <w:rPr>
                <w:b/>
                <w:sz w:val="18"/>
              </w:rPr>
              <w:t>Measure"</w:t>
            </w:r>
          </w:p>
        </w:tc>
        <w:tc>
          <w:tcPr>
            <w:tcW w:w="4356" w:type="dxa"/>
          </w:tcPr>
          <w:p w14:paraId="6C00AC33" w14:textId="77777777" w:rsidR="004C7180" w:rsidRPr="00150EDC" w:rsidRDefault="00CF0754">
            <w:pPr>
              <w:pStyle w:val="TableParagraph"/>
              <w:spacing w:before="43" w:line="240" w:lineRule="auto"/>
              <w:ind w:left="122" w:right="66"/>
              <w:rPr>
                <w:sz w:val="18"/>
              </w:rPr>
            </w:pPr>
            <w:r w:rsidRPr="00150EDC">
              <w:rPr>
                <w:sz w:val="18"/>
              </w:rPr>
              <w:t>means</w:t>
            </w:r>
            <w:r w:rsidRPr="00150EDC">
              <w:rPr>
                <w:spacing w:val="-3"/>
                <w:sz w:val="18"/>
              </w:rPr>
              <w:t xml:space="preserve"> </w:t>
            </w:r>
            <w:r w:rsidRPr="00150EDC">
              <w:rPr>
                <w:sz w:val="18"/>
              </w:rPr>
              <w:t>the</w:t>
            </w:r>
            <w:r w:rsidRPr="00150EDC">
              <w:rPr>
                <w:spacing w:val="-3"/>
                <w:sz w:val="18"/>
              </w:rPr>
              <w:t xml:space="preserve"> </w:t>
            </w:r>
            <w:r w:rsidRPr="00150EDC">
              <w:rPr>
                <w:sz w:val="18"/>
              </w:rPr>
              <w:t>metric</w:t>
            </w:r>
            <w:r w:rsidRPr="00150EDC">
              <w:rPr>
                <w:spacing w:val="-3"/>
                <w:sz w:val="18"/>
              </w:rPr>
              <w:t xml:space="preserve"> </w:t>
            </w:r>
            <w:r w:rsidRPr="00150EDC">
              <w:rPr>
                <w:sz w:val="18"/>
              </w:rPr>
              <w:t>used</w:t>
            </w:r>
            <w:r w:rsidRPr="00150EDC">
              <w:rPr>
                <w:spacing w:val="-3"/>
                <w:sz w:val="18"/>
              </w:rPr>
              <w:t xml:space="preserve"> </w:t>
            </w:r>
            <w:r w:rsidRPr="00150EDC">
              <w:rPr>
                <w:sz w:val="18"/>
              </w:rPr>
              <w:t>to</w:t>
            </w:r>
            <w:r w:rsidRPr="00150EDC">
              <w:rPr>
                <w:spacing w:val="-4"/>
                <w:sz w:val="18"/>
              </w:rPr>
              <w:t xml:space="preserve"> </w:t>
            </w:r>
            <w:r w:rsidRPr="00150EDC">
              <w:rPr>
                <w:sz w:val="18"/>
              </w:rPr>
              <w:t>measure</w:t>
            </w:r>
            <w:r w:rsidRPr="00150EDC">
              <w:rPr>
                <w:spacing w:val="-2"/>
                <w:sz w:val="18"/>
              </w:rPr>
              <w:t xml:space="preserve"> </w:t>
            </w:r>
            <w:r w:rsidRPr="00150EDC">
              <w:rPr>
                <w:sz w:val="18"/>
              </w:rPr>
              <w:t>the</w:t>
            </w:r>
            <w:r w:rsidRPr="00150EDC">
              <w:rPr>
                <w:spacing w:val="-3"/>
                <w:sz w:val="18"/>
              </w:rPr>
              <w:t xml:space="preserve"> </w:t>
            </w:r>
            <w:r w:rsidRPr="00150EDC">
              <w:rPr>
                <w:sz w:val="18"/>
              </w:rPr>
              <w:t>performance of a Service Level as set out in the Annex to Part A of this Schedule; and</w:t>
            </w:r>
          </w:p>
        </w:tc>
      </w:tr>
      <w:tr w:rsidR="004569EE" w:rsidRPr="007D3144" w14:paraId="44CA06B1" w14:textId="77777777">
        <w:trPr>
          <w:trHeight w:val="665"/>
        </w:trPr>
        <w:tc>
          <w:tcPr>
            <w:tcW w:w="2148" w:type="dxa"/>
          </w:tcPr>
          <w:p w14:paraId="21D3F410" w14:textId="77777777" w:rsidR="004C7180" w:rsidRPr="00150EDC" w:rsidRDefault="00CF0754">
            <w:pPr>
              <w:pStyle w:val="TableParagraph"/>
              <w:spacing w:before="43" w:line="240" w:lineRule="auto"/>
              <w:ind w:left="50"/>
              <w:rPr>
                <w:b/>
                <w:sz w:val="18"/>
              </w:rPr>
            </w:pPr>
            <w:r w:rsidRPr="00150EDC">
              <w:rPr>
                <w:b/>
                <w:sz w:val="18"/>
              </w:rPr>
              <w:t>"Service</w:t>
            </w:r>
            <w:r w:rsidRPr="00150EDC">
              <w:rPr>
                <w:b/>
                <w:spacing w:val="-13"/>
                <w:sz w:val="18"/>
              </w:rPr>
              <w:t xml:space="preserve"> </w:t>
            </w:r>
            <w:r w:rsidRPr="00150EDC">
              <w:rPr>
                <w:b/>
                <w:sz w:val="18"/>
              </w:rPr>
              <w:t xml:space="preserve">Level </w:t>
            </w:r>
            <w:r w:rsidRPr="00150EDC">
              <w:rPr>
                <w:b/>
                <w:spacing w:val="-2"/>
                <w:sz w:val="18"/>
              </w:rPr>
              <w:t>Threshold"</w:t>
            </w:r>
          </w:p>
        </w:tc>
        <w:tc>
          <w:tcPr>
            <w:tcW w:w="4356" w:type="dxa"/>
          </w:tcPr>
          <w:p w14:paraId="5B46C395" w14:textId="77777777" w:rsidR="004C7180" w:rsidRPr="00150EDC" w:rsidRDefault="00CF0754">
            <w:pPr>
              <w:pStyle w:val="TableParagraph"/>
              <w:spacing w:before="25" w:line="200" w:lineRule="atLeast"/>
              <w:ind w:left="122" w:right="178"/>
              <w:jc w:val="both"/>
              <w:rPr>
                <w:sz w:val="18"/>
              </w:rPr>
            </w:pPr>
            <w:r w:rsidRPr="00150EDC">
              <w:rPr>
                <w:sz w:val="18"/>
              </w:rPr>
              <w:t>the</w:t>
            </w:r>
            <w:r w:rsidRPr="00150EDC">
              <w:rPr>
                <w:spacing w:val="-2"/>
                <w:sz w:val="18"/>
              </w:rPr>
              <w:t xml:space="preserve"> </w:t>
            </w:r>
            <w:r w:rsidRPr="00150EDC">
              <w:rPr>
                <w:sz w:val="18"/>
              </w:rPr>
              <w:t>threshold,</w:t>
            </w:r>
            <w:r w:rsidRPr="00150EDC">
              <w:rPr>
                <w:spacing w:val="-2"/>
                <w:sz w:val="18"/>
              </w:rPr>
              <w:t xml:space="preserve"> </w:t>
            </w:r>
            <w:r w:rsidRPr="00150EDC">
              <w:rPr>
                <w:sz w:val="18"/>
              </w:rPr>
              <w:t>which</w:t>
            </w:r>
            <w:r w:rsidRPr="00150EDC">
              <w:rPr>
                <w:spacing w:val="-2"/>
                <w:sz w:val="18"/>
              </w:rPr>
              <w:t xml:space="preserve"> </w:t>
            </w:r>
            <w:r w:rsidRPr="00150EDC">
              <w:rPr>
                <w:sz w:val="18"/>
              </w:rPr>
              <w:t>determines</w:t>
            </w:r>
            <w:r w:rsidRPr="00150EDC">
              <w:rPr>
                <w:spacing w:val="-3"/>
                <w:sz w:val="18"/>
              </w:rPr>
              <w:t xml:space="preserve"> </w:t>
            </w:r>
            <w:r w:rsidRPr="00150EDC">
              <w:rPr>
                <w:sz w:val="18"/>
              </w:rPr>
              <w:t>if</w:t>
            </w:r>
            <w:r w:rsidRPr="00150EDC">
              <w:rPr>
                <w:spacing w:val="-4"/>
                <w:sz w:val="18"/>
              </w:rPr>
              <w:t xml:space="preserve"> </w:t>
            </w:r>
            <w:r w:rsidRPr="00150EDC">
              <w:rPr>
                <w:sz w:val="18"/>
              </w:rPr>
              <w:t>the</w:t>
            </w:r>
            <w:r w:rsidRPr="00150EDC">
              <w:rPr>
                <w:spacing w:val="-4"/>
                <w:sz w:val="18"/>
              </w:rPr>
              <w:t xml:space="preserve"> </w:t>
            </w:r>
            <w:r w:rsidRPr="00150EDC">
              <w:rPr>
                <w:sz w:val="18"/>
              </w:rPr>
              <w:t>Supplier</w:t>
            </w:r>
            <w:r w:rsidRPr="00150EDC">
              <w:rPr>
                <w:spacing w:val="-3"/>
                <w:sz w:val="18"/>
              </w:rPr>
              <w:t xml:space="preserve"> </w:t>
            </w:r>
            <w:r w:rsidRPr="00150EDC">
              <w:rPr>
                <w:sz w:val="18"/>
              </w:rPr>
              <w:t>has achieved a Service Level, as, set out in the Annex to Part A of this Schedule.</w:t>
            </w:r>
          </w:p>
        </w:tc>
      </w:tr>
    </w:tbl>
    <w:p w14:paraId="156F8CCB" w14:textId="77777777" w:rsidR="004C7180" w:rsidRPr="00150EDC" w:rsidRDefault="004C7180">
      <w:pPr>
        <w:spacing w:line="200" w:lineRule="atLeast"/>
        <w:jc w:val="both"/>
        <w:rPr>
          <w:sz w:val="18"/>
        </w:rPr>
        <w:sectPr w:rsidR="004C7180" w:rsidRPr="00150EDC">
          <w:headerReference w:type="default" r:id="rId87"/>
          <w:footerReference w:type="default" r:id="rId88"/>
          <w:pgSz w:w="11910" w:h="16840"/>
          <w:pgMar w:top="2940" w:right="0" w:bottom="3120" w:left="40" w:header="2612" w:footer="2929" w:gutter="0"/>
          <w:pgNumType w:start="1"/>
          <w:cols w:space="720"/>
        </w:sectPr>
      </w:pPr>
    </w:p>
    <w:p w14:paraId="73790F13" w14:textId="30177E4C" w:rsidR="004C7180" w:rsidRPr="00150EDC" w:rsidRDefault="004C7180">
      <w:pPr>
        <w:pStyle w:val="BodyText"/>
        <w:spacing w:before="7"/>
        <w:rPr>
          <w:sz w:val="9"/>
        </w:rPr>
      </w:pPr>
    </w:p>
    <w:p w14:paraId="0644491D" w14:textId="77777777" w:rsidR="004C7180" w:rsidRPr="00150EDC" w:rsidRDefault="00CF0754">
      <w:pPr>
        <w:spacing w:before="95"/>
        <w:ind w:left="1044"/>
        <w:rPr>
          <w:b/>
          <w:sz w:val="18"/>
        </w:rPr>
      </w:pPr>
      <w:r w:rsidRPr="00150EDC">
        <w:rPr>
          <w:b/>
          <w:sz w:val="18"/>
        </w:rPr>
        <w:t>Part</w:t>
      </w:r>
      <w:r w:rsidRPr="00150EDC">
        <w:rPr>
          <w:b/>
          <w:spacing w:val="-1"/>
          <w:sz w:val="18"/>
        </w:rPr>
        <w:t xml:space="preserve"> </w:t>
      </w:r>
      <w:r w:rsidRPr="00150EDC">
        <w:rPr>
          <w:b/>
          <w:sz w:val="18"/>
        </w:rPr>
        <w:t>A</w:t>
      </w:r>
      <w:r w:rsidRPr="00150EDC">
        <w:rPr>
          <w:b/>
          <w:spacing w:val="-1"/>
          <w:sz w:val="18"/>
        </w:rPr>
        <w:t xml:space="preserve"> </w:t>
      </w:r>
      <w:r w:rsidRPr="00150EDC">
        <w:rPr>
          <w:b/>
          <w:sz w:val="18"/>
        </w:rPr>
        <w:t>–</w:t>
      </w:r>
      <w:r w:rsidRPr="00150EDC">
        <w:rPr>
          <w:b/>
          <w:spacing w:val="-1"/>
          <w:sz w:val="18"/>
        </w:rPr>
        <w:t xml:space="preserve"> </w:t>
      </w:r>
      <w:r w:rsidRPr="00150EDC">
        <w:rPr>
          <w:b/>
          <w:sz w:val="18"/>
        </w:rPr>
        <w:t>Service</w:t>
      </w:r>
      <w:r w:rsidRPr="00150EDC">
        <w:rPr>
          <w:b/>
          <w:spacing w:val="-1"/>
          <w:sz w:val="18"/>
        </w:rPr>
        <w:t xml:space="preserve"> </w:t>
      </w:r>
      <w:r w:rsidRPr="00150EDC">
        <w:rPr>
          <w:b/>
          <w:spacing w:val="-2"/>
          <w:sz w:val="18"/>
        </w:rPr>
        <w:t>Levels</w:t>
      </w:r>
    </w:p>
    <w:p w14:paraId="04B57EBB" w14:textId="77777777" w:rsidR="004C7180" w:rsidRPr="00150EDC" w:rsidRDefault="004C7180">
      <w:pPr>
        <w:pStyle w:val="BodyText"/>
        <w:spacing w:before="7"/>
        <w:rPr>
          <w:b/>
          <w:sz w:val="18"/>
        </w:rPr>
      </w:pPr>
    </w:p>
    <w:p w14:paraId="41CB9151" w14:textId="77777777" w:rsidR="004C7180" w:rsidRPr="00150EDC" w:rsidRDefault="00CF0754" w:rsidP="00B320C7">
      <w:pPr>
        <w:pStyle w:val="ListParagraph"/>
        <w:numPr>
          <w:ilvl w:val="0"/>
          <w:numId w:val="38"/>
        </w:numPr>
        <w:tabs>
          <w:tab w:val="left" w:pos="1584"/>
        </w:tabs>
        <w:spacing w:before="1"/>
        <w:ind w:left="1584" w:hanging="540"/>
        <w:jc w:val="both"/>
        <w:rPr>
          <w:b/>
          <w:sz w:val="18"/>
        </w:rPr>
      </w:pPr>
      <w:bookmarkStart w:id="45" w:name="1._Service_Levels"/>
      <w:bookmarkEnd w:id="45"/>
      <w:r w:rsidRPr="00150EDC">
        <w:rPr>
          <w:b/>
          <w:sz w:val="18"/>
        </w:rPr>
        <w:t>Service</w:t>
      </w:r>
      <w:r w:rsidRPr="00150EDC">
        <w:rPr>
          <w:b/>
          <w:spacing w:val="-3"/>
          <w:sz w:val="18"/>
        </w:rPr>
        <w:t xml:space="preserve"> </w:t>
      </w:r>
      <w:r w:rsidRPr="00150EDC">
        <w:rPr>
          <w:b/>
          <w:spacing w:val="-2"/>
          <w:sz w:val="18"/>
        </w:rPr>
        <w:t>Levels</w:t>
      </w:r>
    </w:p>
    <w:p w14:paraId="3992B1E9" w14:textId="77777777" w:rsidR="004C7180" w:rsidRPr="00150EDC" w:rsidRDefault="004C7180">
      <w:pPr>
        <w:pStyle w:val="BodyText"/>
        <w:rPr>
          <w:b/>
          <w:sz w:val="20"/>
        </w:rPr>
      </w:pPr>
    </w:p>
    <w:p w14:paraId="4BBFF72F" w14:textId="77777777" w:rsidR="004C7180" w:rsidRPr="00150EDC" w:rsidRDefault="004C7180">
      <w:pPr>
        <w:pStyle w:val="BodyText"/>
        <w:spacing w:before="8"/>
        <w:rPr>
          <w:b/>
          <w:sz w:val="21"/>
        </w:rPr>
      </w:pPr>
    </w:p>
    <w:p w14:paraId="1E7AA11D" w14:textId="77777777" w:rsidR="004C7180" w:rsidRPr="00150EDC" w:rsidRDefault="00CF0754">
      <w:pPr>
        <w:ind w:left="1044"/>
        <w:rPr>
          <w:sz w:val="18"/>
        </w:rPr>
      </w:pPr>
      <w:r w:rsidRPr="00150EDC">
        <w:rPr>
          <w:sz w:val="18"/>
        </w:rPr>
        <w:t>Service</w:t>
      </w:r>
      <w:r w:rsidRPr="00150EDC">
        <w:rPr>
          <w:spacing w:val="-3"/>
          <w:sz w:val="18"/>
        </w:rPr>
        <w:t xml:space="preserve"> </w:t>
      </w:r>
      <w:r w:rsidRPr="00150EDC">
        <w:rPr>
          <w:spacing w:val="-2"/>
          <w:sz w:val="18"/>
        </w:rPr>
        <w:t>Levels</w:t>
      </w:r>
    </w:p>
    <w:p w14:paraId="6183A39C" w14:textId="77777777" w:rsidR="004C7180" w:rsidRPr="00150EDC" w:rsidRDefault="004C7180">
      <w:pPr>
        <w:pStyle w:val="BodyText"/>
        <w:spacing w:before="9"/>
        <w:rPr>
          <w:sz w:val="15"/>
        </w:rPr>
      </w:pPr>
    </w:p>
    <w:p w14:paraId="12287BDB" w14:textId="77777777" w:rsidR="004C7180" w:rsidRPr="00150EDC" w:rsidRDefault="00CF0754" w:rsidP="00B320C7">
      <w:pPr>
        <w:pStyle w:val="ListParagraph"/>
        <w:numPr>
          <w:ilvl w:val="1"/>
          <w:numId w:val="38"/>
        </w:numPr>
        <w:tabs>
          <w:tab w:val="left" w:pos="1584"/>
        </w:tabs>
        <w:ind w:right="4018" w:firstLine="0"/>
        <w:jc w:val="both"/>
        <w:rPr>
          <w:sz w:val="18"/>
        </w:rPr>
      </w:pPr>
      <w:r w:rsidRPr="00150EDC">
        <w:rPr>
          <w:sz w:val="18"/>
        </w:rPr>
        <w:t>The Supplier shall ensure that the Services meet or exceed the Service Level Threshold at all times from the Start Date.</w:t>
      </w:r>
    </w:p>
    <w:p w14:paraId="36242E6A" w14:textId="77777777" w:rsidR="004C7180" w:rsidRPr="00150EDC" w:rsidRDefault="00CF0754" w:rsidP="00B320C7">
      <w:pPr>
        <w:pStyle w:val="ListParagraph"/>
        <w:numPr>
          <w:ilvl w:val="1"/>
          <w:numId w:val="38"/>
        </w:numPr>
        <w:tabs>
          <w:tab w:val="left" w:pos="1584"/>
        </w:tabs>
        <w:spacing w:before="93"/>
        <w:ind w:right="4017" w:firstLine="0"/>
        <w:jc w:val="both"/>
        <w:rPr>
          <w:sz w:val="18"/>
        </w:rPr>
      </w:pPr>
      <w:r w:rsidRPr="00150EDC">
        <w:rPr>
          <w:sz w:val="18"/>
        </w:rPr>
        <w:t>The Supplier shall provide the Buyer with a monthly report detailing its performance in respect of each of the Service Levels ("</w:t>
      </w:r>
      <w:r w:rsidRPr="00150EDC">
        <w:rPr>
          <w:b/>
          <w:sz w:val="18"/>
        </w:rPr>
        <w:t xml:space="preserve">Performance Monitoring </w:t>
      </w:r>
      <w:r w:rsidRPr="00150EDC">
        <w:rPr>
          <w:b/>
          <w:spacing w:val="-2"/>
          <w:sz w:val="18"/>
        </w:rPr>
        <w:t>Reports</w:t>
      </w:r>
      <w:r w:rsidRPr="00150EDC">
        <w:rPr>
          <w:spacing w:val="-2"/>
          <w:sz w:val="18"/>
        </w:rPr>
        <w:t>").</w:t>
      </w:r>
    </w:p>
    <w:p w14:paraId="251578A5" w14:textId="77777777" w:rsidR="004C7180" w:rsidRPr="00150EDC" w:rsidRDefault="00CF0754" w:rsidP="00B320C7">
      <w:pPr>
        <w:pStyle w:val="ListParagraph"/>
        <w:numPr>
          <w:ilvl w:val="1"/>
          <w:numId w:val="38"/>
        </w:numPr>
        <w:tabs>
          <w:tab w:val="left" w:pos="1584"/>
        </w:tabs>
        <w:spacing w:before="93"/>
        <w:ind w:left="1584" w:hanging="540"/>
        <w:jc w:val="both"/>
        <w:rPr>
          <w:sz w:val="18"/>
        </w:rPr>
      </w:pPr>
      <w:r w:rsidRPr="00150EDC">
        <w:rPr>
          <w:sz w:val="18"/>
        </w:rPr>
        <w:t>Each</w:t>
      </w:r>
      <w:r w:rsidRPr="00150EDC">
        <w:rPr>
          <w:spacing w:val="-6"/>
          <w:sz w:val="18"/>
        </w:rPr>
        <w:t xml:space="preserve"> </w:t>
      </w:r>
      <w:r w:rsidRPr="00150EDC">
        <w:rPr>
          <w:sz w:val="18"/>
        </w:rPr>
        <w:t>Performance</w:t>
      </w:r>
      <w:r w:rsidRPr="00150EDC">
        <w:rPr>
          <w:spacing w:val="-2"/>
          <w:sz w:val="18"/>
        </w:rPr>
        <w:t xml:space="preserve"> </w:t>
      </w:r>
      <w:r w:rsidRPr="00150EDC">
        <w:rPr>
          <w:sz w:val="18"/>
        </w:rPr>
        <w:t>Monitoring</w:t>
      </w:r>
      <w:r w:rsidRPr="00150EDC">
        <w:rPr>
          <w:spacing w:val="-2"/>
          <w:sz w:val="18"/>
        </w:rPr>
        <w:t xml:space="preserve"> </w:t>
      </w:r>
      <w:r w:rsidRPr="00150EDC">
        <w:rPr>
          <w:sz w:val="18"/>
        </w:rPr>
        <w:t>Repot</w:t>
      </w:r>
      <w:r w:rsidRPr="00150EDC">
        <w:rPr>
          <w:spacing w:val="-4"/>
          <w:sz w:val="18"/>
        </w:rPr>
        <w:t xml:space="preserve"> </w:t>
      </w:r>
      <w:r w:rsidRPr="00150EDC">
        <w:rPr>
          <w:sz w:val="18"/>
        </w:rPr>
        <w:t>shall</w:t>
      </w:r>
      <w:r w:rsidRPr="00150EDC">
        <w:rPr>
          <w:spacing w:val="-2"/>
          <w:sz w:val="18"/>
        </w:rPr>
        <w:t xml:space="preserve"> </w:t>
      </w:r>
      <w:r w:rsidRPr="00150EDC">
        <w:rPr>
          <w:sz w:val="18"/>
        </w:rPr>
        <w:t>contain</w:t>
      </w:r>
      <w:r w:rsidRPr="00150EDC">
        <w:rPr>
          <w:spacing w:val="-4"/>
          <w:sz w:val="18"/>
        </w:rPr>
        <w:t xml:space="preserve"> </w:t>
      </w:r>
      <w:r w:rsidRPr="00150EDC">
        <w:rPr>
          <w:sz w:val="18"/>
        </w:rPr>
        <w:t>the</w:t>
      </w:r>
      <w:r w:rsidRPr="00150EDC">
        <w:rPr>
          <w:spacing w:val="-4"/>
          <w:sz w:val="18"/>
        </w:rPr>
        <w:t xml:space="preserve"> </w:t>
      </w:r>
      <w:r w:rsidRPr="00150EDC">
        <w:rPr>
          <w:sz w:val="18"/>
        </w:rPr>
        <w:t>following</w:t>
      </w:r>
      <w:r w:rsidRPr="00150EDC">
        <w:rPr>
          <w:spacing w:val="-3"/>
          <w:sz w:val="18"/>
        </w:rPr>
        <w:t xml:space="preserve"> </w:t>
      </w:r>
      <w:r w:rsidRPr="00150EDC">
        <w:rPr>
          <w:spacing w:val="-2"/>
          <w:sz w:val="18"/>
        </w:rPr>
        <w:t>information:</w:t>
      </w:r>
    </w:p>
    <w:p w14:paraId="43C20724" w14:textId="77777777" w:rsidR="004C7180" w:rsidRPr="00150EDC" w:rsidRDefault="00CF0754" w:rsidP="00B320C7">
      <w:pPr>
        <w:pStyle w:val="ListParagraph"/>
        <w:numPr>
          <w:ilvl w:val="2"/>
          <w:numId w:val="38"/>
        </w:numPr>
        <w:tabs>
          <w:tab w:val="left" w:pos="2665"/>
        </w:tabs>
        <w:spacing w:before="91"/>
        <w:ind w:left="2665" w:hanging="536"/>
        <w:jc w:val="both"/>
        <w:rPr>
          <w:sz w:val="18"/>
        </w:rPr>
      </w:pPr>
      <w:r w:rsidRPr="00150EDC">
        <w:rPr>
          <w:sz w:val="18"/>
        </w:rPr>
        <w:t>for</w:t>
      </w:r>
      <w:r w:rsidRPr="00150EDC">
        <w:rPr>
          <w:spacing w:val="-4"/>
          <w:sz w:val="18"/>
        </w:rPr>
        <w:t xml:space="preserve"> </w:t>
      </w:r>
      <w:r w:rsidRPr="00150EDC">
        <w:rPr>
          <w:sz w:val="18"/>
        </w:rPr>
        <w:t>each</w:t>
      </w:r>
      <w:r w:rsidRPr="00150EDC">
        <w:rPr>
          <w:spacing w:val="-1"/>
          <w:sz w:val="18"/>
        </w:rPr>
        <w:t xml:space="preserve"> </w:t>
      </w:r>
      <w:r w:rsidRPr="00150EDC">
        <w:rPr>
          <w:sz w:val="18"/>
        </w:rPr>
        <w:t>Service</w:t>
      </w:r>
      <w:r w:rsidRPr="00150EDC">
        <w:rPr>
          <w:spacing w:val="-1"/>
          <w:sz w:val="18"/>
        </w:rPr>
        <w:t xml:space="preserve"> </w:t>
      </w:r>
      <w:r w:rsidRPr="00150EDC">
        <w:rPr>
          <w:sz w:val="18"/>
        </w:rPr>
        <w:t>Level,</w:t>
      </w:r>
      <w:r w:rsidRPr="00150EDC">
        <w:rPr>
          <w:spacing w:val="-3"/>
          <w:sz w:val="18"/>
        </w:rPr>
        <w:t xml:space="preserve"> </w:t>
      </w:r>
      <w:r w:rsidRPr="00150EDC">
        <w:rPr>
          <w:sz w:val="18"/>
        </w:rPr>
        <w:t>the</w:t>
      </w:r>
      <w:r w:rsidRPr="00150EDC">
        <w:rPr>
          <w:spacing w:val="-3"/>
          <w:sz w:val="18"/>
        </w:rPr>
        <w:t xml:space="preserve"> </w:t>
      </w:r>
      <w:r w:rsidRPr="00150EDC">
        <w:rPr>
          <w:sz w:val="18"/>
        </w:rPr>
        <w:t>Service</w:t>
      </w:r>
      <w:r w:rsidRPr="00150EDC">
        <w:rPr>
          <w:spacing w:val="-3"/>
          <w:sz w:val="18"/>
        </w:rPr>
        <w:t xml:space="preserve"> </w:t>
      </w:r>
      <w:r w:rsidRPr="00150EDC">
        <w:rPr>
          <w:sz w:val="18"/>
        </w:rPr>
        <w:t>Level</w:t>
      </w:r>
      <w:r w:rsidRPr="00150EDC">
        <w:rPr>
          <w:spacing w:val="-2"/>
          <w:sz w:val="18"/>
        </w:rPr>
        <w:t xml:space="preserve"> </w:t>
      </w:r>
      <w:r w:rsidRPr="00150EDC">
        <w:rPr>
          <w:sz w:val="18"/>
        </w:rPr>
        <w:t>Threshold</w:t>
      </w:r>
      <w:r w:rsidRPr="00150EDC">
        <w:rPr>
          <w:spacing w:val="-2"/>
          <w:sz w:val="18"/>
        </w:rPr>
        <w:t xml:space="preserve"> achieved;</w:t>
      </w:r>
    </w:p>
    <w:p w14:paraId="0598C893" w14:textId="77777777" w:rsidR="004C7180" w:rsidRPr="00150EDC" w:rsidRDefault="00CF0754" w:rsidP="00B320C7">
      <w:pPr>
        <w:pStyle w:val="ListParagraph"/>
        <w:numPr>
          <w:ilvl w:val="2"/>
          <w:numId w:val="38"/>
        </w:numPr>
        <w:tabs>
          <w:tab w:val="left" w:pos="2665"/>
        </w:tabs>
        <w:spacing w:before="92"/>
        <w:ind w:left="2665" w:hanging="536"/>
        <w:jc w:val="both"/>
        <w:rPr>
          <w:sz w:val="18"/>
        </w:rPr>
      </w:pPr>
      <w:r w:rsidRPr="00150EDC">
        <w:rPr>
          <w:sz w:val="18"/>
        </w:rPr>
        <w:t>a</w:t>
      </w:r>
      <w:r w:rsidRPr="00150EDC">
        <w:rPr>
          <w:spacing w:val="-1"/>
          <w:sz w:val="18"/>
        </w:rPr>
        <w:t xml:space="preserve"> </w:t>
      </w:r>
      <w:r w:rsidRPr="00150EDC">
        <w:rPr>
          <w:sz w:val="18"/>
        </w:rPr>
        <w:t>summary</w:t>
      </w:r>
      <w:r w:rsidRPr="00150EDC">
        <w:rPr>
          <w:spacing w:val="-2"/>
          <w:sz w:val="18"/>
        </w:rPr>
        <w:t xml:space="preserve"> </w:t>
      </w:r>
      <w:r w:rsidRPr="00150EDC">
        <w:rPr>
          <w:sz w:val="18"/>
        </w:rPr>
        <w:t>of</w:t>
      </w:r>
      <w:r w:rsidRPr="00150EDC">
        <w:rPr>
          <w:spacing w:val="-2"/>
          <w:sz w:val="18"/>
        </w:rPr>
        <w:t xml:space="preserve"> </w:t>
      </w:r>
      <w:r w:rsidRPr="00150EDC">
        <w:rPr>
          <w:sz w:val="18"/>
        </w:rPr>
        <w:t>all</w:t>
      </w:r>
      <w:r w:rsidRPr="00150EDC">
        <w:rPr>
          <w:spacing w:val="-2"/>
          <w:sz w:val="18"/>
        </w:rPr>
        <w:t xml:space="preserve"> </w:t>
      </w:r>
      <w:r w:rsidRPr="00150EDC">
        <w:rPr>
          <w:sz w:val="18"/>
        </w:rPr>
        <w:t>Service</w:t>
      </w:r>
      <w:r w:rsidRPr="00150EDC">
        <w:rPr>
          <w:spacing w:val="-1"/>
          <w:sz w:val="18"/>
        </w:rPr>
        <w:t xml:space="preserve"> </w:t>
      </w:r>
      <w:r w:rsidRPr="00150EDC">
        <w:rPr>
          <w:sz w:val="18"/>
        </w:rPr>
        <w:t>Level</w:t>
      </w:r>
      <w:r w:rsidRPr="00150EDC">
        <w:rPr>
          <w:spacing w:val="-1"/>
          <w:sz w:val="18"/>
        </w:rPr>
        <w:t xml:space="preserve"> </w:t>
      </w:r>
      <w:r w:rsidRPr="00150EDC">
        <w:rPr>
          <w:spacing w:val="-2"/>
          <w:sz w:val="18"/>
        </w:rPr>
        <w:t>Failures;</w:t>
      </w:r>
    </w:p>
    <w:p w14:paraId="5153505F" w14:textId="77777777" w:rsidR="004C7180" w:rsidRPr="00150EDC" w:rsidRDefault="00CF0754" w:rsidP="00B320C7">
      <w:pPr>
        <w:pStyle w:val="ListParagraph"/>
        <w:numPr>
          <w:ilvl w:val="2"/>
          <w:numId w:val="38"/>
        </w:numPr>
        <w:tabs>
          <w:tab w:val="left" w:pos="2665"/>
          <w:tab w:val="left" w:pos="2668"/>
        </w:tabs>
        <w:spacing w:before="91"/>
        <w:ind w:right="4019"/>
        <w:rPr>
          <w:sz w:val="18"/>
        </w:rPr>
      </w:pPr>
      <w:r w:rsidRPr="00150EDC">
        <w:rPr>
          <w:sz w:val="18"/>
        </w:rPr>
        <w:t>for any repeat Service Level Failures, actions taken to rectify or to prevent the Service Level Failure from recurring;</w:t>
      </w:r>
    </w:p>
    <w:p w14:paraId="043F235C" w14:textId="77777777" w:rsidR="004C7180" w:rsidRPr="00150EDC" w:rsidRDefault="00CF0754" w:rsidP="00B320C7">
      <w:pPr>
        <w:pStyle w:val="ListParagraph"/>
        <w:numPr>
          <w:ilvl w:val="2"/>
          <w:numId w:val="38"/>
        </w:numPr>
        <w:tabs>
          <w:tab w:val="left" w:pos="2665"/>
        </w:tabs>
        <w:spacing w:before="92"/>
        <w:ind w:left="2665" w:hanging="536"/>
        <w:rPr>
          <w:sz w:val="18"/>
        </w:rPr>
      </w:pPr>
      <w:r w:rsidRPr="00150EDC">
        <w:rPr>
          <w:sz w:val="18"/>
        </w:rPr>
        <w:t>the</w:t>
      </w:r>
      <w:r w:rsidRPr="00150EDC">
        <w:rPr>
          <w:spacing w:val="-2"/>
          <w:sz w:val="18"/>
        </w:rPr>
        <w:t xml:space="preserve"> </w:t>
      </w:r>
      <w:r w:rsidRPr="00150EDC">
        <w:rPr>
          <w:sz w:val="18"/>
        </w:rPr>
        <w:t>Service</w:t>
      </w:r>
      <w:r w:rsidRPr="00150EDC">
        <w:rPr>
          <w:spacing w:val="-1"/>
          <w:sz w:val="18"/>
        </w:rPr>
        <w:t xml:space="preserve"> </w:t>
      </w:r>
      <w:r w:rsidRPr="00150EDC">
        <w:rPr>
          <w:sz w:val="18"/>
        </w:rPr>
        <w:t>Credits</w:t>
      </w:r>
      <w:r w:rsidRPr="00150EDC">
        <w:rPr>
          <w:spacing w:val="-2"/>
          <w:sz w:val="18"/>
        </w:rPr>
        <w:t xml:space="preserve"> </w:t>
      </w:r>
      <w:r w:rsidRPr="00150EDC">
        <w:rPr>
          <w:sz w:val="18"/>
        </w:rPr>
        <w:t>(if</w:t>
      </w:r>
      <w:r w:rsidRPr="00150EDC">
        <w:rPr>
          <w:spacing w:val="-2"/>
          <w:sz w:val="18"/>
        </w:rPr>
        <w:t xml:space="preserve"> </w:t>
      </w:r>
      <w:r w:rsidRPr="00150EDC">
        <w:rPr>
          <w:sz w:val="18"/>
        </w:rPr>
        <w:t>any)</w:t>
      </w:r>
      <w:r w:rsidRPr="00150EDC">
        <w:rPr>
          <w:spacing w:val="-2"/>
          <w:sz w:val="18"/>
        </w:rPr>
        <w:t xml:space="preserve"> </w:t>
      </w:r>
      <w:r w:rsidRPr="00150EDC">
        <w:rPr>
          <w:sz w:val="18"/>
        </w:rPr>
        <w:t>due</w:t>
      </w:r>
      <w:r w:rsidRPr="00150EDC">
        <w:rPr>
          <w:spacing w:val="-1"/>
          <w:sz w:val="18"/>
        </w:rPr>
        <w:t xml:space="preserve"> </w:t>
      </w:r>
      <w:r w:rsidRPr="00150EDC">
        <w:rPr>
          <w:sz w:val="18"/>
        </w:rPr>
        <w:t>to</w:t>
      </w:r>
      <w:r w:rsidRPr="00150EDC">
        <w:rPr>
          <w:spacing w:val="-1"/>
          <w:sz w:val="18"/>
        </w:rPr>
        <w:t xml:space="preserve"> </w:t>
      </w:r>
      <w:r w:rsidRPr="00150EDC">
        <w:rPr>
          <w:sz w:val="18"/>
        </w:rPr>
        <w:t>Buyer;</w:t>
      </w:r>
      <w:r w:rsidRPr="00150EDC">
        <w:rPr>
          <w:spacing w:val="-1"/>
          <w:sz w:val="18"/>
        </w:rPr>
        <w:t xml:space="preserve"> </w:t>
      </w:r>
      <w:r w:rsidRPr="00150EDC">
        <w:rPr>
          <w:spacing w:val="-5"/>
          <w:sz w:val="18"/>
        </w:rPr>
        <w:t>and</w:t>
      </w:r>
    </w:p>
    <w:p w14:paraId="053C218B" w14:textId="77777777" w:rsidR="004C7180" w:rsidRPr="00150EDC" w:rsidRDefault="00CF0754" w:rsidP="00B320C7">
      <w:pPr>
        <w:pStyle w:val="ListParagraph"/>
        <w:numPr>
          <w:ilvl w:val="2"/>
          <w:numId w:val="38"/>
        </w:numPr>
        <w:tabs>
          <w:tab w:val="left" w:pos="2665"/>
        </w:tabs>
        <w:spacing w:before="92"/>
        <w:ind w:left="2665" w:hanging="536"/>
        <w:rPr>
          <w:sz w:val="18"/>
        </w:rPr>
      </w:pPr>
      <w:r w:rsidRPr="00150EDC">
        <w:rPr>
          <w:sz w:val="18"/>
        </w:rPr>
        <w:t>such</w:t>
      </w:r>
      <w:r w:rsidRPr="00150EDC">
        <w:rPr>
          <w:spacing w:val="-1"/>
          <w:sz w:val="18"/>
        </w:rPr>
        <w:t xml:space="preserve"> </w:t>
      </w:r>
      <w:r w:rsidRPr="00150EDC">
        <w:rPr>
          <w:sz w:val="18"/>
        </w:rPr>
        <w:t>other</w:t>
      </w:r>
      <w:r w:rsidRPr="00150EDC">
        <w:rPr>
          <w:spacing w:val="-4"/>
          <w:sz w:val="18"/>
        </w:rPr>
        <w:t xml:space="preserve"> </w:t>
      </w:r>
      <w:r w:rsidRPr="00150EDC">
        <w:rPr>
          <w:sz w:val="18"/>
        </w:rPr>
        <w:t>details</w:t>
      </w:r>
      <w:r w:rsidRPr="00150EDC">
        <w:rPr>
          <w:spacing w:val="-1"/>
          <w:sz w:val="18"/>
        </w:rPr>
        <w:t xml:space="preserve"> </w:t>
      </w:r>
      <w:r w:rsidRPr="00150EDC">
        <w:rPr>
          <w:sz w:val="18"/>
        </w:rPr>
        <w:t>as</w:t>
      </w:r>
      <w:r w:rsidRPr="00150EDC">
        <w:rPr>
          <w:spacing w:val="-2"/>
          <w:sz w:val="18"/>
        </w:rPr>
        <w:t xml:space="preserve"> </w:t>
      </w:r>
      <w:r w:rsidRPr="00150EDC">
        <w:rPr>
          <w:sz w:val="18"/>
        </w:rPr>
        <w:t>the Buyer</w:t>
      </w:r>
      <w:r w:rsidRPr="00150EDC">
        <w:rPr>
          <w:spacing w:val="-4"/>
          <w:sz w:val="18"/>
        </w:rPr>
        <w:t xml:space="preserve"> </w:t>
      </w:r>
      <w:r w:rsidRPr="00150EDC">
        <w:rPr>
          <w:sz w:val="18"/>
        </w:rPr>
        <w:t>may</w:t>
      </w:r>
      <w:r w:rsidRPr="00150EDC">
        <w:rPr>
          <w:spacing w:val="-1"/>
          <w:sz w:val="18"/>
        </w:rPr>
        <w:t xml:space="preserve"> </w:t>
      </w:r>
      <w:r w:rsidRPr="00150EDC">
        <w:rPr>
          <w:sz w:val="18"/>
        </w:rPr>
        <w:t>request</w:t>
      </w:r>
      <w:r w:rsidRPr="00150EDC">
        <w:rPr>
          <w:spacing w:val="-3"/>
          <w:sz w:val="18"/>
        </w:rPr>
        <w:t xml:space="preserve"> </w:t>
      </w:r>
      <w:r w:rsidRPr="00150EDC">
        <w:rPr>
          <w:sz w:val="18"/>
        </w:rPr>
        <w:t>from time</w:t>
      </w:r>
      <w:r w:rsidRPr="00150EDC">
        <w:rPr>
          <w:spacing w:val="-3"/>
          <w:sz w:val="18"/>
        </w:rPr>
        <w:t xml:space="preserve"> </w:t>
      </w:r>
      <w:r w:rsidRPr="00150EDC">
        <w:rPr>
          <w:sz w:val="18"/>
        </w:rPr>
        <w:t>to</w:t>
      </w:r>
      <w:r w:rsidRPr="00150EDC">
        <w:rPr>
          <w:spacing w:val="-2"/>
          <w:sz w:val="18"/>
        </w:rPr>
        <w:t xml:space="preserve"> </w:t>
      </w:r>
      <w:r w:rsidRPr="00150EDC">
        <w:rPr>
          <w:spacing w:val="-4"/>
          <w:sz w:val="18"/>
        </w:rPr>
        <w:t>time.</w:t>
      </w:r>
    </w:p>
    <w:p w14:paraId="6EDF8FE9" w14:textId="77777777" w:rsidR="004C7180" w:rsidRPr="00150EDC" w:rsidRDefault="00CF0754" w:rsidP="00B320C7">
      <w:pPr>
        <w:pStyle w:val="ListParagraph"/>
        <w:numPr>
          <w:ilvl w:val="1"/>
          <w:numId w:val="38"/>
        </w:numPr>
        <w:tabs>
          <w:tab w:val="left" w:pos="1587"/>
        </w:tabs>
        <w:spacing w:before="91"/>
        <w:ind w:right="4018" w:firstLine="0"/>
        <w:rPr>
          <w:sz w:val="18"/>
        </w:rPr>
      </w:pPr>
      <w:r w:rsidRPr="00150EDC">
        <w:rPr>
          <w:sz w:val="18"/>
        </w:rPr>
        <w:t>The</w:t>
      </w:r>
      <w:r w:rsidRPr="00150EDC">
        <w:rPr>
          <w:spacing w:val="36"/>
          <w:sz w:val="18"/>
        </w:rPr>
        <w:t xml:space="preserve"> </w:t>
      </w:r>
      <w:r w:rsidRPr="00150EDC">
        <w:rPr>
          <w:sz w:val="18"/>
        </w:rPr>
        <w:t>Supplier</w:t>
      </w:r>
      <w:r w:rsidRPr="00150EDC">
        <w:rPr>
          <w:spacing w:val="35"/>
          <w:sz w:val="18"/>
        </w:rPr>
        <w:t xml:space="preserve"> </w:t>
      </w:r>
      <w:r w:rsidRPr="00150EDC">
        <w:rPr>
          <w:sz w:val="18"/>
        </w:rPr>
        <w:t>and</w:t>
      </w:r>
      <w:r w:rsidRPr="00150EDC">
        <w:rPr>
          <w:spacing w:val="36"/>
          <w:sz w:val="18"/>
        </w:rPr>
        <w:t xml:space="preserve"> </w:t>
      </w:r>
      <w:r w:rsidRPr="00150EDC">
        <w:rPr>
          <w:sz w:val="18"/>
        </w:rPr>
        <w:t>Buyer</w:t>
      </w:r>
      <w:r w:rsidRPr="00150EDC">
        <w:rPr>
          <w:spacing w:val="35"/>
          <w:sz w:val="18"/>
        </w:rPr>
        <w:t xml:space="preserve"> </w:t>
      </w:r>
      <w:r w:rsidRPr="00150EDC">
        <w:rPr>
          <w:sz w:val="18"/>
        </w:rPr>
        <w:t>shall</w:t>
      </w:r>
      <w:r w:rsidRPr="00150EDC">
        <w:rPr>
          <w:spacing w:val="33"/>
          <w:sz w:val="18"/>
        </w:rPr>
        <w:t xml:space="preserve"> </w:t>
      </w:r>
      <w:r w:rsidRPr="00150EDC">
        <w:rPr>
          <w:sz w:val="18"/>
        </w:rPr>
        <w:t>attend</w:t>
      </w:r>
      <w:r w:rsidRPr="00150EDC">
        <w:rPr>
          <w:spacing w:val="34"/>
          <w:sz w:val="18"/>
        </w:rPr>
        <w:t xml:space="preserve"> </w:t>
      </w:r>
      <w:r w:rsidRPr="00150EDC">
        <w:rPr>
          <w:sz w:val="18"/>
        </w:rPr>
        <w:t>meetings</w:t>
      </w:r>
      <w:r w:rsidRPr="00150EDC">
        <w:rPr>
          <w:spacing w:val="35"/>
          <w:sz w:val="18"/>
        </w:rPr>
        <w:t xml:space="preserve"> </w:t>
      </w:r>
      <w:r w:rsidRPr="00150EDC">
        <w:rPr>
          <w:sz w:val="18"/>
        </w:rPr>
        <w:t>to</w:t>
      </w:r>
      <w:r w:rsidRPr="00150EDC">
        <w:rPr>
          <w:spacing w:val="34"/>
          <w:sz w:val="18"/>
        </w:rPr>
        <w:t xml:space="preserve"> </w:t>
      </w:r>
      <w:r w:rsidRPr="00150EDC">
        <w:rPr>
          <w:sz w:val="18"/>
        </w:rPr>
        <w:t>discuss</w:t>
      </w:r>
      <w:r w:rsidRPr="00150EDC">
        <w:rPr>
          <w:spacing w:val="33"/>
          <w:sz w:val="18"/>
        </w:rPr>
        <w:t xml:space="preserve"> </w:t>
      </w:r>
      <w:r w:rsidRPr="00150EDC">
        <w:rPr>
          <w:sz w:val="18"/>
        </w:rPr>
        <w:t>the</w:t>
      </w:r>
      <w:r w:rsidRPr="00150EDC">
        <w:rPr>
          <w:spacing w:val="36"/>
          <w:sz w:val="18"/>
        </w:rPr>
        <w:t xml:space="preserve"> </w:t>
      </w:r>
      <w:r w:rsidRPr="00150EDC">
        <w:rPr>
          <w:sz w:val="18"/>
        </w:rPr>
        <w:t>Performance Monitoring Reports ("</w:t>
      </w:r>
      <w:r w:rsidRPr="00150EDC">
        <w:rPr>
          <w:b/>
          <w:sz w:val="18"/>
        </w:rPr>
        <w:t>Performance Meetings</w:t>
      </w:r>
      <w:r w:rsidRPr="00150EDC">
        <w:rPr>
          <w:sz w:val="18"/>
        </w:rPr>
        <w:t>") on a Monthly basis.</w:t>
      </w:r>
    </w:p>
    <w:p w14:paraId="11A0C340" w14:textId="77777777" w:rsidR="004C7180" w:rsidRPr="00150EDC" w:rsidRDefault="00CF0754" w:rsidP="00B320C7">
      <w:pPr>
        <w:pStyle w:val="ListParagraph"/>
        <w:numPr>
          <w:ilvl w:val="1"/>
          <w:numId w:val="38"/>
        </w:numPr>
        <w:tabs>
          <w:tab w:val="left" w:pos="1587"/>
        </w:tabs>
        <w:spacing w:before="92"/>
        <w:ind w:left="1587"/>
        <w:rPr>
          <w:sz w:val="18"/>
        </w:rPr>
      </w:pPr>
      <w:r w:rsidRPr="00150EDC">
        <w:rPr>
          <w:sz w:val="18"/>
        </w:rPr>
        <w:t>The</w:t>
      </w:r>
      <w:r w:rsidRPr="00150EDC">
        <w:rPr>
          <w:spacing w:val="-3"/>
          <w:sz w:val="18"/>
        </w:rPr>
        <w:t xml:space="preserve"> </w:t>
      </w:r>
      <w:r w:rsidRPr="00150EDC">
        <w:rPr>
          <w:sz w:val="18"/>
        </w:rPr>
        <w:t>Performance</w:t>
      </w:r>
      <w:r w:rsidRPr="00150EDC">
        <w:rPr>
          <w:spacing w:val="-4"/>
          <w:sz w:val="18"/>
        </w:rPr>
        <w:t xml:space="preserve"> </w:t>
      </w:r>
      <w:r w:rsidRPr="00150EDC">
        <w:rPr>
          <w:sz w:val="18"/>
        </w:rPr>
        <w:t>Meetings</w:t>
      </w:r>
      <w:r w:rsidRPr="00150EDC">
        <w:rPr>
          <w:spacing w:val="-3"/>
          <w:sz w:val="18"/>
        </w:rPr>
        <w:t xml:space="preserve"> </w:t>
      </w:r>
      <w:r w:rsidRPr="00150EDC">
        <w:rPr>
          <w:spacing w:val="-2"/>
          <w:sz w:val="18"/>
        </w:rPr>
        <w:t>shall:</w:t>
      </w:r>
    </w:p>
    <w:p w14:paraId="5F6F2D6A" w14:textId="77777777" w:rsidR="004C7180" w:rsidRPr="00150EDC" w:rsidRDefault="00CF0754" w:rsidP="00B320C7">
      <w:pPr>
        <w:pStyle w:val="ListParagraph"/>
        <w:numPr>
          <w:ilvl w:val="2"/>
          <w:numId w:val="38"/>
        </w:numPr>
        <w:tabs>
          <w:tab w:val="left" w:pos="2665"/>
          <w:tab w:val="left" w:pos="2668"/>
        </w:tabs>
        <w:spacing w:before="92"/>
        <w:ind w:right="4017"/>
        <w:jc w:val="both"/>
        <w:rPr>
          <w:sz w:val="18"/>
        </w:rPr>
      </w:pPr>
      <w:r w:rsidRPr="00150EDC">
        <w:rPr>
          <w:sz w:val="18"/>
        </w:rPr>
        <w:t>take place within one (1) week of the Performance Monitoring Reports</w:t>
      </w:r>
      <w:r w:rsidRPr="00150EDC">
        <w:rPr>
          <w:spacing w:val="-12"/>
          <w:sz w:val="18"/>
        </w:rPr>
        <w:t xml:space="preserve"> </w:t>
      </w:r>
      <w:r w:rsidRPr="00150EDC">
        <w:rPr>
          <w:sz w:val="18"/>
        </w:rPr>
        <w:t>being</w:t>
      </w:r>
      <w:r w:rsidRPr="00150EDC">
        <w:rPr>
          <w:spacing w:val="-11"/>
          <w:sz w:val="18"/>
        </w:rPr>
        <w:t xml:space="preserve"> </w:t>
      </w:r>
      <w:r w:rsidRPr="00150EDC">
        <w:rPr>
          <w:sz w:val="18"/>
        </w:rPr>
        <w:t>issued</w:t>
      </w:r>
      <w:r w:rsidRPr="00150EDC">
        <w:rPr>
          <w:spacing w:val="-11"/>
          <w:sz w:val="18"/>
        </w:rPr>
        <w:t xml:space="preserve"> </w:t>
      </w:r>
      <w:r w:rsidRPr="00150EDC">
        <w:rPr>
          <w:sz w:val="18"/>
        </w:rPr>
        <w:t>by</w:t>
      </w:r>
      <w:r w:rsidRPr="00150EDC">
        <w:rPr>
          <w:spacing w:val="-12"/>
          <w:sz w:val="18"/>
        </w:rPr>
        <w:t xml:space="preserve"> </w:t>
      </w:r>
      <w:r w:rsidRPr="00150EDC">
        <w:rPr>
          <w:sz w:val="18"/>
        </w:rPr>
        <w:t>the</w:t>
      </w:r>
      <w:r w:rsidRPr="00150EDC">
        <w:rPr>
          <w:spacing w:val="-11"/>
          <w:sz w:val="18"/>
        </w:rPr>
        <w:t xml:space="preserve"> </w:t>
      </w:r>
      <w:r w:rsidRPr="00150EDC">
        <w:rPr>
          <w:sz w:val="18"/>
        </w:rPr>
        <w:t>Supplier</w:t>
      </w:r>
      <w:r w:rsidRPr="00150EDC">
        <w:rPr>
          <w:spacing w:val="-12"/>
          <w:sz w:val="18"/>
        </w:rPr>
        <w:t xml:space="preserve"> </w:t>
      </w:r>
      <w:r w:rsidRPr="00150EDC">
        <w:rPr>
          <w:sz w:val="18"/>
        </w:rPr>
        <w:t>to</w:t>
      </w:r>
      <w:r w:rsidRPr="00150EDC">
        <w:rPr>
          <w:spacing w:val="-11"/>
          <w:sz w:val="18"/>
        </w:rPr>
        <w:t xml:space="preserve"> </w:t>
      </w:r>
      <w:r w:rsidRPr="00150EDC">
        <w:rPr>
          <w:sz w:val="18"/>
        </w:rPr>
        <w:t>the</w:t>
      </w:r>
      <w:r w:rsidRPr="00150EDC">
        <w:rPr>
          <w:spacing w:val="-11"/>
          <w:sz w:val="18"/>
        </w:rPr>
        <w:t xml:space="preserve"> </w:t>
      </w:r>
      <w:r w:rsidRPr="00150EDC">
        <w:rPr>
          <w:sz w:val="18"/>
        </w:rPr>
        <w:t>Buyer</w:t>
      </w:r>
      <w:r w:rsidRPr="00150EDC">
        <w:rPr>
          <w:spacing w:val="-12"/>
          <w:sz w:val="18"/>
        </w:rPr>
        <w:t xml:space="preserve"> </w:t>
      </w:r>
      <w:r w:rsidRPr="00150EDC">
        <w:rPr>
          <w:sz w:val="18"/>
        </w:rPr>
        <w:t>at</w:t>
      </w:r>
      <w:r w:rsidRPr="00150EDC">
        <w:rPr>
          <w:spacing w:val="-11"/>
          <w:sz w:val="18"/>
        </w:rPr>
        <w:t xml:space="preserve"> </w:t>
      </w:r>
      <w:r w:rsidRPr="00150EDC">
        <w:rPr>
          <w:sz w:val="18"/>
        </w:rPr>
        <w:t>such</w:t>
      </w:r>
      <w:r w:rsidRPr="00150EDC">
        <w:rPr>
          <w:spacing w:val="-11"/>
          <w:sz w:val="18"/>
        </w:rPr>
        <w:t xml:space="preserve"> </w:t>
      </w:r>
      <w:r w:rsidRPr="00150EDC">
        <w:rPr>
          <w:sz w:val="18"/>
        </w:rPr>
        <w:t>location and</w:t>
      </w:r>
      <w:r w:rsidRPr="00150EDC">
        <w:rPr>
          <w:spacing w:val="-7"/>
          <w:sz w:val="18"/>
        </w:rPr>
        <w:t xml:space="preserve"> </w:t>
      </w:r>
      <w:r w:rsidRPr="00150EDC">
        <w:rPr>
          <w:sz w:val="18"/>
        </w:rPr>
        <w:t>time</w:t>
      </w:r>
      <w:r w:rsidRPr="00150EDC">
        <w:rPr>
          <w:spacing w:val="-6"/>
          <w:sz w:val="18"/>
        </w:rPr>
        <w:t xml:space="preserve"> </w:t>
      </w:r>
      <w:r w:rsidRPr="00150EDC">
        <w:rPr>
          <w:sz w:val="18"/>
        </w:rPr>
        <w:t>(within</w:t>
      </w:r>
      <w:r w:rsidRPr="00150EDC">
        <w:rPr>
          <w:spacing w:val="-7"/>
          <w:sz w:val="18"/>
        </w:rPr>
        <w:t xml:space="preserve"> </w:t>
      </w:r>
      <w:r w:rsidRPr="00150EDC">
        <w:rPr>
          <w:sz w:val="18"/>
        </w:rPr>
        <w:t>normal</w:t>
      </w:r>
      <w:r w:rsidRPr="00150EDC">
        <w:rPr>
          <w:spacing w:val="-7"/>
          <w:sz w:val="18"/>
        </w:rPr>
        <w:t xml:space="preserve"> </w:t>
      </w:r>
      <w:r w:rsidRPr="00150EDC">
        <w:rPr>
          <w:sz w:val="18"/>
        </w:rPr>
        <w:t>business</w:t>
      </w:r>
      <w:r w:rsidRPr="00150EDC">
        <w:rPr>
          <w:spacing w:val="-6"/>
          <w:sz w:val="18"/>
        </w:rPr>
        <w:t xml:space="preserve"> </w:t>
      </w:r>
      <w:r w:rsidRPr="00150EDC">
        <w:rPr>
          <w:sz w:val="18"/>
        </w:rPr>
        <w:t>hours)</w:t>
      </w:r>
      <w:r w:rsidRPr="00150EDC">
        <w:rPr>
          <w:spacing w:val="-9"/>
          <w:sz w:val="18"/>
        </w:rPr>
        <w:t xml:space="preserve"> </w:t>
      </w:r>
      <w:r w:rsidRPr="00150EDC">
        <w:rPr>
          <w:sz w:val="18"/>
        </w:rPr>
        <w:t>as</w:t>
      </w:r>
      <w:r w:rsidRPr="00150EDC">
        <w:rPr>
          <w:spacing w:val="-6"/>
          <w:sz w:val="18"/>
        </w:rPr>
        <w:t xml:space="preserve"> </w:t>
      </w:r>
      <w:r w:rsidRPr="00150EDC">
        <w:rPr>
          <w:sz w:val="18"/>
        </w:rPr>
        <w:t>agreed</w:t>
      </w:r>
      <w:r w:rsidRPr="00150EDC">
        <w:rPr>
          <w:spacing w:val="-7"/>
          <w:sz w:val="18"/>
        </w:rPr>
        <w:t xml:space="preserve"> </w:t>
      </w:r>
      <w:r w:rsidRPr="00150EDC">
        <w:rPr>
          <w:sz w:val="18"/>
        </w:rPr>
        <w:t>by</w:t>
      </w:r>
      <w:r w:rsidRPr="00150EDC">
        <w:rPr>
          <w:spacing w:val="-6"/>
          <w:sz w:val="18"/>
        </w:rPr>
        <w:t xml:space="preserve"> </w:t>
      </w:r>
      <w:r w:rsidRPr="00150EDC">
        <w:rPr>
          <w:sz w:val="18"/>
        </w:rPr>
        <w:t>the</w:t>
      </w:r>
      <w:r w:rsidRPr="00150EDC">
        <w:rPr>
          <w:spacing w:val="-7"/>
          <w:sz w:val="18"/>
        </w:rPr>
        <w:t xml:space="preserve"> </w:t>
      </w:r>
      <w:r w:rsidRPr="00150EDC">
        <w:rPr>
          <w:sz w:val="18"/>
        </w:rPr>
        <w:t>parties;</w:t>
      </w:r>
    </w:p>
    <w:p w14:paraId="472E1A11" w14:textId="77777777" w:rsidR="004C7180" w:rsidRPr="00150EDC" w:rsidRDefault="00CF0754" w:rsidP="00B320C7">
      <w:pPr>
        <w:pStyle w:val="ListParagraph"/>
        <w:numPr>
          <w:ilvl w:val="2"/>
          <w:numId w:val="38"/>
        </w:numPr>
        <w:tabs>
          <w:tab w:val="left" w:pos="2665"/>
          <w:tab w:val="left" w:pos="2668"/>
        </w:tabs>
        <w:spacing w:before="93"/>
        <w:ind w:right="4017"/>
        <w:jc w:val="both"/>
        <w:rPr>
          <w:sz w:val="18"/>
        </w:rPr>
      </w:pPr>
      <w:r w:rsidRPr="00150EDC">
        <w:rPr>
          <w:sz w:val="18"/>
        </w:rPr>
        <w:t>be attended by the Supplier's Representative and the Buyer’s Representative; and</w:t>
      </w:r>
    </w:p>
    <w:p w14:paraId="4EAAE0DB" w14:textId="77777777" w:rsidR="004C7180" w:rsidRPr="00150EDC" w:rsidRDefault="00CF0754" w:rsidP="00B320C7">
      <w:pPr>
        <w:pStyle w:val="ListParagraph"/>
        <w:numPr>
          <w:ilvl w:val="2"/>
          <w:numId w:val="38"/>
        </w:numPr>
        <w:tabs>
          <w:tab w:val="left" w:pos="2665"/>
          <w:tab w:val="left" w:pos="2668"/>
        </w:tabs>
        <w:spacing w:before="92"/>
        <w:ind w:right="4017"/>
        <w:jc w:val="both"/>
        <w:rPr>
          <w:sz w:val="18"/>
        </w:rPr>
      </w:pPr>
      <w:r w:rsidRPr="00150EDC">
        <w:rPr>
          <w:sz w:val="18"/>
        </w:rPr>
        <w:t>be</w:t>
      </w:r>
      <w:r w:rsidRPr="00150EDC">
        <w:rPr>
          <w:spacing w:val="-5"/>
          <w:sz w:val="18"/>
        </w:rPr>
        <w:t xml:space="preserve"> </w:t>
      </w:r>
      <w:r w:rsidRPr="00150EDC">
        <w:rPr>
          <w:sz w:val="18"/>
        </w:rPr>
        <w:t>fully</w:t>
      </w:r>
      <w:r w:rsidRPr="00150EDC">
        <w:rPr>
          <w:spacing w:val="-5"/>
          <w:sz w:val="18"/>
        </w:rPr>
        <w:t xml:space="preserve"> </w:t>
      </w:r>
      <w:r w:rsidRPr="00150EDC">
        <w:rPr>
          <w:sz w:val="18"/>
        </w:rPr>
        <w:t>minuted</w:t>
      </w:r>
      <w:r w:rsidRPr="00150EDC">
        <w:rPr>
          <w:spacing w:val="-5"/>
          <w:sz w:val="18"/>
        </w:rPr>
        <w:t xml:space="preserve"> </w:t>
      </w:r>
      <w:r w:rsidRPr="00150EDC">
        <w:rPr>
          <w:sz w:val="18"/>
        </w:rPr>
        <w:t>by</w:t>
      </w:r>
      <w:r w:rsidRPr="00150EDC">
        <w:rPr>
          <w:spacing w:val="-7"/>
          <w:sz w:val="18"/>
        </w:rPr>
        <w:t xml:space="preserve"> </w:t>
      </w:r>
      <w:r w:rsidRPr="00150EDC">
        <w:rPr>
          <w:sz w:val="18"/>
        </w:rPr>
        <w:t>the</w:t>
      </w:r>
      <w:r w:rsidRPr="00150EDC">
        <w:rPr>
          <w:spacing w:val="-8"/>
          <w:sz w:val="18"/>
        </w:rPr>
        <w:t xml:space="preserve"> </w:t>
      </w:r>
      <w:r w:rsidRPr="00150EDC">
        <w:rPr>
          <w:sz w:val="18"/>
        </w:rPr>
        <w:t>Supplier</w:t>
      </w:r>
      <w:r w:rsidRPr="00150EDC">
        <w:rPr>
          <w:spacing w:val="-8"/>
          <w:sz w:val="18"/>
        </w:rPr>
        <w:t xml:space="preserve"> </w:t>
      </w:r>
      <w:r w:rsidRPr="00150EDC">
        <w:rPr>
          <w:sz w:val="18"/>
        </w:rPr>
        <w:t>and</w:t>
      </w:r>
      <w:r w:rsidRPr="00150EDC">
        <w:rPr>
          <w:spacing w:val="-6"/>
          <w:sz w:val="18"/>
        </w:rPr>
        <w:t xml:space="preserve"> </w:t>
      </w:r>
      <w:r w:rsidRPr="00150EDC">
        <w:rPr>
          <w:sz w:val="18"/>
        </w:rPr>
        <w:t>the</w:t>
      </w:r>
      <w:r w:rsidRPr="00150EDC">
        <w:rPr>
          <w:spacing w:val="-6"/>
          <w:sz w:val="18"/>
        </w:rPr>
        <w:t xml:space="preserve"> </w:t>
      </w:r>
      <w:r w:rsidRPr="00150EDC">
        <w:rPr>
          <w:sz w:val="18"/>
        </w:rPr>
        <w:t>minutes</w:t>
      </w:r>
      <w:r w:rsidRPr="00150EDC">
        <w:rPr>
          <w:spacing w:val="-5"/>
          <w:sz w:val="18"/>
        </w:rPr>
        <w:t xml:space="preserve"> </w:t>
      </w:r>
      <w:r w:rsidRPr="00150EDC">
        <w:rPr>
          <w:sz w:val="18"/>
        </w:rPr>
        <w:t>will</w:t>
      </w:r>
      <w:r w:rsidRPr="00150EDC">
        <w:rPr>
          <w:spacing w:val="-6"/>
          <w:sz w:val="18"/>
        </w:rPr>
        <w:t xml:space="preserve"> </w:t>
      </w:r>
      <w:r w:rsidRPr="00150EDC">
        <w:rPr>
          <w:sz w:val="18"/>
        </w:rPr>
        <w:t>be</w:t>
      </w:r>
      <w:r w:rsidRPr="00150EDC">
        <w:rPr>
          <w:spacing w:val="-5"/>
          <w:sz w:val="18"/>
        </w:rPr>
        <w:t xml:space="preserve"> </w:t>
      </w:r>
      <w:r w:rsidRPr="00150EDC">
        <w:rPr>
          <w:sz w:val="18"/>
        </w:rPr>
        <w:t>circulated by the Supplier to all attendees at the relevant meeting within 5 days</w:t>
      </w:r>
      <w:r w:rsidRPr="00150EDC">
        <w:rPr>
          <w:spacing w:val="-10"/>
          <w:sz w:val="18"/>
        </w:rPr>
        <w:t xml:space="preserve"> </w:t>
      </w:r>
      <w:r w:rsidRPr="00150EDC">
        <w:rPr>
          <w:sz w:val="18"/>
        </w:rPr>
        <w:t>of</w:t>
      </w:r>
      <w:r w:rsidRPr="00150EDC">
        <w:rPr>
          <w:spacing w:val="-11"/>
          <w:sz w:val="18"/>
        </w:rPr>
        <w:t xml:space="preserve"> </w:t>
      </w:r>
      <w:r w:rsidRPr="00150EDC">
        <w:rPr>
          <w:sz w:val="18"/>
        </w:rPr>
        <w:t>the</w:t>
      </w:r>
      <w:r w:rsidRPr="00150EDC">
        <w:rPr>
          <w:spacing w:val="-9"/>
          <w:sz w:val="18"/>
        </w:rPr>
        <w:t xml:space="preserve"> </w:t>
      </w:r>
      <w:r w:rsidRPr="00150EDC">
        <w:rPr>
          <w:sz w:val="18"/>
        </w:rPr>
        <w:t>Performance</w:t>
      </w:r>
      <w:r w:rsidRPr="00150EDC">
        <w:rPr>
          <w:spacing w:val="-9"/>
          <w:sz w:val="18"/>
        </w:rPr>
        <w:t xml:space="preserve"> </w:t>
      </w:r>
      <w:r w:rsidRPr="00150EDC">
        <w:rPr>
          <w:sz w:val="18"/>
        </w:rPr>
        <w:t>Meeting</w:t>
      </w:r>
      <w:r w:rsidRPr="00150EDC">
        <w:rPr>
          <w:spacing w:val="-9"/>
          <w:sz w:val="18"/>
        </w:rPr>
        <w:t xml:space="preserve"> </w:t>
      </w:r>
      <w:r w:rsidRPr="00150EDC">
        <w:rPr>
          <w:sz w:val="18"/>
        </w:rPr>
        <w:t>and</w:t>
      </w:r>
      <w:r w:rsidRPr="00150EDC">
        <w:rPr>
          <w:spacing w:val="-11"/>
          <w:sz w:val="18"/>
        </w:rPr>
        <w:t xml:space="preserve"> </w:t>
      </w:r>
      <w:r w:rsidRPr="00150EDC">
        <w:rPr>
          <w:sz w:val="18"/>
        </w:rPr>
        <w:t>any</w:t>
      </w:r>
      <w:r w:rsidRPr="00150EDC">
        <w:rPr>
          <w:spacing w:val="-10"/>
          <w:sz w:val="18"/>
        </w:rPr>
        <w:t xml:space="preserve"> </w:t>
      </w:r>
      <w:r w:rsidRPr="00150EDC">
        <w:rPr>
          <w:sz w:val="18"/>
        </w:rPr>
        <w:t>other</w:t>
      </w:r>
      <w:r w:rsidRPr="00150EDC">
        <w:rPr>
          <w:spacing w:val="-10"/>
          <w:sz w:val="18"/>
        </w:rPr>
        <w:t xml:space="preserve"> </w:t>
      </w:r>
      <w:r w:rsidRPr="00150EDC">
        <w:rPr>
          <w:sz w:val="18"/>
        </w:rPr>
        <w:t>recipients</w:t>
      </w:r>
      <w:r w:rsidRPr="00150EDC">
        <w:rPr>
          <w:spacing w:val="-12"/>
          <w:sz w:val="18"/>
        </w:rPr>
        <w:t xml:space="preserve"> </w:t>
      </w:r>
      <w:r w:rsidRPr="00150EDC">
        <w:rPr>
          <w:sz w:val="18"/>
        </w:rPr>
        <w:t>agreed at the relevant meeting.</w:t>
      </w:r>
    </w:p>
    <w:p w14:paraId="0C8113DE" w14:textId="77777777" w:rsidR="004C7180" w:rsidRPr="00150EDC" w:rsidRDefault="00CF0754" w:rsidP="00B320C7">
      <w:pPr>
        <w:pStyle w:val="ListParagraph"/>
        <w:numPr>
          <w:ilvl w:val="1"/>
          <w:numId w:val="38"/>
        </w:numPr>
        <w:tabs>
          <w:tab w:val="left" w:pos="1584"/>
        </w:tabs>
        <w:spacing w:before="94"/>
        <w:ind w:right="4017" w:firstLine="0"/>
        <w:jc w:val="both"/>
        <w:rPr>
          <w:sz w:val="18"/>
        </w:rPr>
      </w:pPr>
      <w:r w:rsidRPr="00150EDC">
        <w:rPr>
          <w:sz w:val="18"/>
        </w:rPr>
        <w:t>The</w:t>
      </w:r>
      <w:r w:rsidRPr="00150EDC">
        <w:rPr>
          <w:spacing w:val="-6"/>
          <w:sz w:val="18"/>
        </w:rPr>
        <w:t xml:space="preserve"> </w:t>
      </w:r>
      <w:r w:rsidRPr="00150EDC">
        <w:rPr>
          <w:sz w:val="18"/>
        </w:rPr>
        <w:t>minutes</w:t>
      </w:r>
      <w:r w:rsidRPr="00150EDC">
        <w:rPr>
          <w:spacing w:val="-5"/>
          <w:sz w:val="18"/>
        </w:rPr>
        <w:t xml:space="preserve"> </w:t>
      </w:r>
      <w:r w:rsidRPr="00150EDC">
        <w:rPr>
          <w:sz w:val="18"/>
        </w:rPr>
        <w:t>of</w:t>
      </w:r>
      <w:r w:rsidRPr="00150EDC">
        <w:rPr>
          <w:spacing w:val="-7"/>
          <w:sz w:val="18"/>
        </w:rPr>
        <w:t xml:space="preserve"> </w:t>
      </w:r>
      <w:r w:rsidRPr="00150EDC">
        <w:rPr>
          <w:sz w:val="18"/>
        </w:rPr>
        <w:t>the</w:t>
      </w:r>
      <w:r w:rsidRPr="00150EDC">
        <w:rPr>
          <w:spacing w:val="-5"/>
          <w:sz w:val="18"/>
        </w:rPr>
        <w:t xml:space="preserve"> </w:t>
      </w:r>
      <w:r w:rsidRPr="00150EDC">
        <w:rPr>
          <w:sz w:val="18"/>
        </w:rPr>
        <w:t>preceding</w:t>
      </w:r>
      <w:r w:rsidRPr="00150EDC">
        <w:rPr>
          <w:spacing w:val="-5"/>
          <w:sz w:val="18"/>
        </w:rPr>
        <w:t xml:space="preserve"> </w:t>
      </w:r>
      <w:r w:rsidRPr="00150EDC">
        <w:rPr>
          <w:sz w:val="18"/>
        </w:rPr>
        <w:t>Month's</w:t>
      </w:r>
      <w:r w:rsidRPr="00150EDC">
        <w:rPr>
          <w:spacing w:val="-5"/>
          <w:sz w:val="18"/>
        </w:rPr>
        <w:t xml:space="preserve"> </w:t>
      </w:r>
      <w:r w:rsidRPr="00150EDC">
        <w:rPr>
          <w:sz w:val="18"/>
        </w:rPr>
        <w:t>Performance</w:t>
      </w:r>
      <w:r w:rsidRPr="00150EDC">
        <w:rPr>
          <w:spacing w:val="-5"/>
          <w:sz w:val="18"/>
        </w:rPr>
        <w:t xml:space="preserve"> </w:t>
      </w:r>
      <w:r w:rsidRPr="00150EDC">
        <w:rPr>
          <w:sz w:val="18"/>
        </w:rPr>
        <w:t>Meeting</w:t>
      </w:r>
      <w:r w:rsidRPr="00150EDC">
        <w:rPr>
          <w:spacing w:val="-5"/>
          <w:sz w:val="18"/>
        </w:rPr>
        <w:t xml:space="preserve"> </w:t>
      </w:r>
      <w:r w:rsidRPr="00150EDC">
        <w:rPr>
          <w:sz w:val="18"/>
        </w:rPr>
        <w:t>will</w:t>
      </w:r>
      <w:r w:rsidRPr="00150EDC">
        <w:rPr>
          <w:spacing w:val="-6"/>
          <w:sz w:val="18"/>
        </w:rPr>
        <w:t xml:space="preserve"> </w:t>
      </w:r>
      <w:r w:rsidRPr="00150EDC">
        <w:rPr>
          <w:sz w:val="18"/>
        </w:rPr>
        <w:t>be</w:t>
      </w:r>
      <w:r w:rsidRPr="00150EDC">
        <w:rPr>
          <w:spacing w:val="-8"/>
          <w:sz w:val="18"/>
        </w:rPr>
        <w:t xml:space="preserve"> </w:t>
      </w:r>
      <w:r w:rsidRPr="00150EDC">
        <w:rPr>
          <w:sz w:val="18"/>
        </w:rPr>
        <w:t>agreed</w:t>
      </w:r>
      <w:r w:rsidRPr="00150EDC">
        <w:rPr>
          <w:spacing w:val="-5"/>
          <w:sz w:val="18"/>
        </w:rPr>
        <w:t xml:space="preserve"> </w:t>
      </w:r>
      <w:r w:rsidRPr="00150EDC">
        <w:rPr>
          <w:sz w:val="18"/>
        </w:rPr>
        <w:t>and signed</w:t>
      </w:r>
      <w:r w:rsidRPr="00150EDC">
        <w:rPr>
          <w:spacing w:val="-1"/>
          <w:sz w:val="18"/>
        </w:rPr>
        <w:t xml:space="preserve"> </w:t>
      </w:r>
      <w:r w:rsidRPr="00150EDC">
        <w:rPr>
          <w:sz w:val="18"/>
        </w:rPr>
        <w:t>by both</w:t>
      </w:r>
      <w:r w:rsidRPr="00150EDC">
        <w:rPr>
          <w:spacing w:val="-1"/>
          <w:sz w:val="18"/>
        </w:rPr>
        <w:t xml:space="preserve"> </w:t>
      </w:r>
      <w:r w:rsidRPr="00150EDC">
        <w:rPr>
          <w:sz w:val="18"/>
        </w:rPr>
        <w:t>the Supplier's Representative</w:t>
      </w:r>
      <w:r w:rsidRPr="00150EDC">
        <w:rPr>
          <w:spacing w:val="-3"/>
          <w:sz w:val="18"/>
        </w:rPr>
        <w:t xml:space="preserve"> </w:t>
      </w:r>
      <w:r w:rsidRPr="00150EDC">
        <w:rPr>
          <w:sz w:val="18"/>
        </w:rPr>
        <w:t>and</w:t>
      </w:r>
      <w:r w:rsidRPr="00150EDC">
        <w:rPr>
          <w:spacing w:val="-1"/>
          <w:sz w:val="18"/>
        </w:rPr>
        <w:t xml:space="preserve"> </w:t>
      </w:r>
      <w:r w:rsidRPr="00150EDC">
        <w:rPr>
          <w:sz w:val="18"/>
        </w:rPr>
        <w:t>the</w:t>
      </w:r>
      <w:r w:rsidRPr="00150EDC">
        <w:rPr>
          <w:spacing w:val="-1"/>
          <w:sz w:val="18"/>
        </w:rPr>
        <w:t xml:space="preserve"> </w:t>
      </w:r>
      <w:r w:rsidRPr="00150EDC">
        <w:rPr>
          <w:sz w:val="18"/>
        </w:rPr>
        <w:t>Buyer’s Representative at</w:t>
      </w:r>
      <w:r w:rsidRPr="00150EDC">
        <w:rPr>
          <w:spacing w:val="-1"/>
          <w:sz w:val="18"/>
        </w:rPr>
        <w:t xml:space="preserve"> </w:t>
      </w:r>
      <w:r w:rsidRPr="00150EDC">
        <w:rPr>
          <w:sz w:val="18"/>
        </w:rPr>
        <w:t xml:space="preserve">each </w:t>
      </w:r>
      <w:r w:rsidRPr="00150EDC">
        <w:rPr>
          <w:spacing w:val="-2"/>
          <w:sz w:val="18"/>
        </w:rPr>
        <w:t>meeting.</w:t>
      </w:r>
    </w:p>
    <w:p w14:paraId="4EE3EB1D" w14:textId="77777777" w:rsidR="004C7180" w:rsidRPr="00150EDC" w:rsidRDefault="00CF0754" w:rsidP="00B320C7">
      <w:pPr>
        <w:pStyle w:val="ListParagraph"/>
        <w:numPr>
          <w:ilvl w:val="1"/>
          <w:numId w:val="38"/>
        </w:numPr>
        <w:tabs>
          <w:tab w:val="left" w:pos="1584"/>
        </w:tabs>
        <w:spacing w:before="93"/>
        <w:ind w:right="4018" w:firstLine="0"/>
        <w:jc w:val="both"/>
        <w:rPr>
          <w:sz w:val="18"/>
        </w:rPr>
      </w:pPr>
      <w:r w:rsidRPr="00150EDC">
        <w:rPr>
          <w:sz w:val="18"/>
        </w:rPr>
        <w:t>The Supplier shall promptly provide to the Buyer such documentation as the Buyer may reasonably require in order to verify the Supplier's achievement of the Service Levels and calculation of Service Credits.</w:t>
      </w:r>
    </w:p>
    <w:p w14:paraId="18BF8B9C" w14:textId="77777777" w:rsidR="004C7180" w:rsidRPr="00150EDC" w:rsidRDefault="00CF0754" w:rsidP="00B320C7">
      <w:pPr>
        <w:pStyle w:val="ListParagraph"/>
        <w:numPr>
          <w:ilvl w:val="1"/>
          <w:numId w:val="38"/>
        </w:numPr>
        <w:tabs>
          <w:tab w:val="left" w:pos="1584"/>
        </w:tabs>
        <w:spacing w:before="94"/>
        <w:ind w:right="4016" w:firstLine="0"/>
        <w:jc w:val="both"/>
        <w:rPr>
          <w:sz w:val="18"/>
        </w:rPr>
      </w:pPr>
      <w:r w:rsidRPr="00150EDC">
        <w:rPr>
          <w:sz w:val="18"/>
        </w:rPr>
        <w:t>Not more than once in each Contract Year, the Buyer may, on giving the Supplier at least six (6) Months’ notice, change the weighting of Service Level Performance</w:t>
      </w:r>
      <w:r w:rsidRPr="00150EDC">
        <w:rPr>
          <w:spacing w:val="-5"/>
          <w:sz w:val="18"/>
        </w:rPr>
        <w:t xml:space="preserve"> </w:t>
      </w:r>
      <w:r w:rsidRPr="00150EDC">
        <w:rPr>
          <w:sz w:val="18"/>
        </w:rPr>
        <w:t>Measure</w:t>
      </w:r>
      <w:r w:rsidRPr="00150EDC">
        <w:rPr>
          <w:spacing w:val="-6"/>
          <w:sz w:val="18"/>
        </w:rPr>
        <w:t xml:space="preserve"> </w:t>
      </w:r>
      <w:r w:rsidRPr="00150EDC">
        <w:rPr>
          <w:sz w:val="18"/>
        </w:rPr>
        <w:t>in</w:t>
      </w:r>
      <w:r w:rsidRPr="00150EDC">
        <w:rPr>
          <w:spacing w:val="-5"/>
          <w:sz w:val="18"/>
        </w:rPr>
        <w:t xml:space="preserve"> </w:t>
      </w:r>
      <w:r w:rsidRPr="00150EDC">
        <w:rPr>
          <w:sz w:val="18"/>
        </w:rPr>
        <w:t>respect</w:t>
      </w:r>
      <w:r w:rsidRPr="00150EDC">
        <w:rPr>
          <w:spacing w:val="-5"/>
          <w:sz w:val="18"/>
        </w:rPr>
        <w:t xml:space="preserve"> </w:t>
      </w:r>
      <w:r w:rsidRPr="00150EDC">
        <w:rPr>
          <w:sz w:val="18"/>
        </w:rPr>
        <w:t>of</w:t>
      </w:r>
      <w:r w:rsidRPr="00150EDC">
        <w:rPr>
          <w:spacing w:val="-5"/>
          <w:sz w:val="18"/>
        </w:rPr>
        <w:t xml:space="preserve"> </w:t>
      </w:r>
      <w:r w:rsidRPr="00150EDC">
        <w:rPr>
          <w:sz w:val="18"/>
        </w:rPr>
        <w:t>one</w:t>
      </w:r>
      <w:r w:rsidRPr="00150EDC">
        <w:rPr>
          <w:spacing w:val="-5"/>
          <w:sz w:val="18"/>
        </w:rPr>
        <w:t xml:space="preserve"> </w:t>
      </w:r>
      <w:r w:rsidRPr="00150EDC">
        <w:rPr>
          <w:sz w:val="18"/>
        </w:rPr>
        <w:t>or</w:t>
      </w:r>
      <w:r w:rsidRPr="00150EDC">
        <w:rPr>
          <w:spacing w:val="-6"/>
          <w:sz w:val="18"/>
        </w:rPr>
        <w:t xml:space="preserve"> </w:t>
      </w:r>
      <w:r w:rsidRPr="00150EDC">
        <w:rPr>
          <w:sz w:val="18"/>
        </w:rPr>
        <w:t>more</w:t>
      </w:r>
      <w:r w:rsidRPr="00150EDC">
        <w:rPr>
          <w:spacing w:val="-5"/>
          <w:sz w:val="18"/>
        </w:rPr>
        <w:t xml:space="preserve"> </w:t>
      </w:r>
      <w:r w:rsidRPr="00150EDC">
        <w:rPr>
          <w:sz w:val="18"/>
        </w:rPr>
        <w:t>Service</w:t>
      </w:r>
      <w:r w:rsidRPr="00150EDC">
        <w:rPr>
          <w:spacing w:val="-5"/>
          <w:sz w:val="18"/>
        </w:rPr>
        <w:t xml:space="preserve"> </w:t>
      </w:r>
      <w:r w:rsidRPr="00150EDC">
        <w:rPr>
          <w:sz w:val="18"/>
        </w:rPr>
        <w:t>Levels</w:t>
      </w:r>
      <w:r w:rsidRPr="00150EDC">
        <w:rPr>
          <w:spacing w:val="-5"/>
          <w:sz w:val="18"/>
        </w:rPr>
        <w:t xml:space="preserve"> </w:t>
      </w:r>
      <w:r w:rsidRPr="00150EDC">
        <w:rPr>
          <w:sz w:val="18"/>
        </w:rPr>
        <w:t>and</w:t>
      </w:r>
      <w:r w:rsidRPr="00150EDC">
        <w:rPr>
          <w:spacing w:val="-5"/>
          <w:sz w:val="18"/>
        </w:rPr>
        <w:t xml:space="preserve"> </w:t>
      </w:r>
      <w:r w:rsidRPr="00150EDC">
        <w:rPr>
          <w:sz w:val="18"/>
        </w:rPr>
        <w:t>the</w:t>
      </w:r>
      <w:r w:rsidRPr="00150EDC">
        <w:rPr>
          <w:spacing w:val="-5"/>
          <w:sz w:val="18"/>
        </w:rPr>
        <w:t xml:space="preserve"> </w:t>
      </w:r>
      <w:r w:rsidRPr="00150EDC">
        <w:rPr>
          <w:sz w:val="18"/>
        </w:rPr>
        <w:t>Supplier</w:t>
      </w:r>
      <w:r w:rsidRPr="00150EDC">
        <w:rPr>
          <w:spacing w:val="-6"/>
          <w:sz w:val="18"/>
        </w:rPr>
        <w:t xml:space="preserve"> </w:t>
      </w:r>
      <w:r w:rsidRPr="00150EDC">
        <w:rPr>
          <w:sz w:val="18"/>
        </w:rPr>
        <w:t>shall not be entitled to object to, or increase the Charges as a result of such changes, provided that:</w:t>
      </w:r>
    </w:p>
    <w:p w14:paraId="075B8B82" w14:textId="77777777" w:rsidR="004C7180" w:rsidRPr="00150EDC" w:rsidRDefault="004C7180">
      <w:pPr>
        <w:jc w:val="both"/>
        <w:rPr>
          <w:sz w:val="18"/>
        </w:rPr>
        <w:sectPr w:rsidR="004C7180" w:rsidRPr="00150EDC">
          <w:pgSz w:w="11910" w:h="16840"/>
          <w:pgMar w:top="2940" w:right="0" w:bottom="3120" w:left="40" w:header="2612" w:footer="2929" w:gutter="0"/>
          <w:cols w:space="720"/>
        </w:sectPr>
      </w:pPr>
    </w:p>
    <w:p w14:paraId="5E03B7AB" w14:textId="18314B03" w:rsidR="004C7180" w:rsidRPr="00150EDC" w:rsidRDefault="004C7180">
      <w:pPr>
        <w:pStyle w:val="BodyText"/>
        <w:spacing w:before="7"/>
        <w:rPr>
          <w:sz w:val="9"/>
        </w:rPr>
      </w:pPr>
    </w:p>
    <w:p w14:paraId="4FA9F2DD" w14:textId="77777777" w:rsidR="004C7180" w:rsidRPr="00150EDC" w:rsidRDefault="00CF0754" w:rsidP="00B320C7">
      <w:pPr>
        <w:pStyle w:val="ListParagraph"/>
        <w:numPr>
          <w:ilvl w:val="2"/>
          <w:numId w:val="38"/>
        </w:numPr>
        <w:tabs>
          <w:tab w:val="left" w:pos="2665"/>
          <w:tab w:val="left" w:pos="2668"/>
        </w:tabs>
        <w:spacing w:before="95"/>
        <w:ind w:right="4016"/>
        <w:jc w:val="both"/>
        <w:rPr>
          <w:sz w:val="18"/>
        </w:rPr>
      </w:pPr>
      <w:r w:rsidRPr="00150EDC">
        <w:rPr>
          <w:sz w:val="18"/>
        </w:rPr>
        <w:t>the total number of Service Levels for which the Service Level Performance Measure weighting is to be changed does not exceed the number applicable as at the Start Date;</w:t>
      </w:r>
    </w:p>
    <w:p w14:paraId="45D6D6A9" w14:textId="77777777" w:rsidR="004C7180" w:rsidRPr="00150EDC" w:rsidRDefault="00CF0754" w:rsidP="00B320C7">
      <w:pPr>
        <w:pStyle w:val="ListParagraph"/>
        <w:numPr>
          <w:ilvl w:val="2"/>
          <w:numId w:val="38"/>
        </w:numPr>
        <w:tabs>
          <w:tab w:val="left" w:pos="2665"/>
          <w:tab w:val="left" w:pos="2668"/>
        </w:tabs>
        <w:spacing w:before="94"/>
        <w:ind w:right="4017"/>
        <w:jc w:val="both"/>
        <w:rPr>
          <w:sz w:val="18"/>
        </w:rPr>
      </w:pPr>
      <w:r w:rsidRPr="00150EDC">
        <w:rPr>
          <w:sz w:val="18"/>
        </w:rPr>
        <w:t>the principal purpose of the change is to reflect changes in the Buyer's business requirements and/or priorities or to reflect changing industry standards.</w:t>
      </w:r>
    </w:p>
    <w:p w14:paraId="5DF5EB15" w14:textId="77777777" w:rsidR="004C7180" w:rsidRPr="00150EDC" w:rsidRDefault="004C7180">
      <w:pPr>
        <w:pStyle w:val="BodyText"/>
        <w:rPr>
          <w:sz w:val="20"/>
        </w:rPr>
      </w:pPr>
    </w:p>
    <w:p w14:paraId="3E486EBA" w14:textId="77777777" w:rsidR="004C7180" w:rsidRPr="00150EDC" w:rsidRDefault="00CF0754">
      <w:pPr>
        <w:spacing w:before="161"/>
        <w:ind w:left="1044"/>
        <w:jc w:val="both"/>
        <w:rPr>
          <w:sz w:val="18"/>
        </w:rPr>
      </w:pPr>
      <w:r w:rsidRPr="00150EDC">
        <w:rPr>
          <w:sz w:val="18"/>
        </w:rPr>
        <w:t>Service</w:t>
      </w:r>
      <w:r w:rsidRPr="00150EDC">
        <w:rPr>
          <w:spacing w:val="-2"/>
          <w:sz w:val="18"/>
        </w:rPr>
        <w:t xml:space="preserve"> </w:t>
      </w:r>
      <w:r w:rsidRPr="00150EDC">
        <w:rPr>
          <w:sz w:val="18"/>
        </w:rPr>
        <w:t>Level</w:t>
      </w:r>
      <w:r w:rsidRPr="00150EDC">
        <w:rPr>
          <w:spacing w:val="-1"/>
          <w:sz w:val="18"/>
        </w:rPr>
        <w:t xml:space="preserve"> </w:t>
      </w:r>
      <w:r w:rsidRPr="00150EDC">
        <w:rPr>
          <w:spacing w:val="-2"/>
          <w:sz w:val="18"/>
        </w:rPr>
        <w:t>Failure</w:t>
      </w:r>
    </w:p>
    <w:p w14:paraId="7BCCB733" w14:textId="77777777" w:rsidR="004C7180" w:rsidRPr="00150EDC" w:rsidRDefault="00CF0754" w:rsidP="00B320C7">
      <w:pPr>
        <w:pStyle w:val="ListParagraph"/>
        <w:numPr>
          <w:ilvl w:val="1"/>
          <w:numId w:val="38"/>
        </w:numPr>
        <w:tabs>
          <w:tab w:val="left" w:pos="1584"/>
        </w:tabs>
        <w:spacing w:before="91"/>
        <w:ind w:left="1584" w:hanging="540"/>
        <w:jc w:val="both"/>
        <w:rPr>
          <w:sz w:val="18"/>
        </w:rPr>
      </w:pPr>
      <w:r w:rsidRPr="00150EDC">
        <w:rPr>
          <w:sz w:val="18"/>
        </w:rPr>
        <w:t>If</w:t>
      </w:r>
      <w:r w:rsidRPr="00150EDC">
        <w:rPr>
          <w:spacing w:val="-2"/>
          <w:sz w:val="18"/>
        </w:rPr>
        <w:t xml:space="preserve"> </w:t>
      </w:r>
      <w:r w:rsidRPr="00150EDC">
        <w:rPr>
          <w:sz w:val="18"/>
        </w:rPr>
        <w:t>there</w:t>
      </w:r>
      <w:r w:rsidRPr="00150EDC">
        <w:rPr>
          <w:spacing w:val="-1"/>
          <w:sz w:val="18"/>
        </w:rPr>
        <w:t xml:space="preserve"> </w:t>
      </w:r>
      <w:r w:rsidRPr="00150EDC">
        <w:rPr>
          <w:sz w:val="18"/>
        </w:rPr>
        <w:t>is</w:t>
      </w:r>
      <w:r w:rsidRPr="00150EDC">
        <w:rPr>
          <w:spacing w:val="-3"/>
          <w:sz w:val="18"/>
        </w:rPr>
        <w:t xml:space="preserve"> </w:t>
      </w:r>
      <w:r w:rsidRPr="00150EDC">
        <w:rPr>
          <w:sz w:val="18"/>
        </w:rPr>
        <w:t>a</w:t>
      </w:r>
      <w:r w:rsidRPr="00150EDC">
        <w:rPr>
          <w:spacing w:val="-3"/>
          <w:sz w:val="18"/>
        </w:rPr>
        <w:t xml:space="preserve"> </w:t>
      </w:r>
      <w:r w:rsidRPr="00150EDC">
        <w:rPr>
          <w:sz w:val="18"/>
        </w:rPr>
        <w:t>Service</w:t>
      </w:r>
      <w:r w:rsidRPr="00150EDC">
        <w:rPr>
          <w:spacing w:val="-3"/>
          <w:sz w:val="18"/>
        </w:rPr>
        <w:t xml:space="preserve"> </w:t>
      </w:r>
      <w:r w:rsidRPr="00150EDC">
        <w:rPr>
          <w:sz w:val="18"/>
        </w:rPr>
        <w:t>Level</w:t>
      </w:r>
      <w:r w:rsidRPr="00150EDC">
        <w:rPr>
          <w:spacing w:val="-2"/>
          <w:sz w:val="18"/>
        </w:rPr>
        <w:t xml:space="preserve"> </w:t>
      </w:r>
      <w:r w:rsidRPr="00150EDC">
        <w:rPr>
          <w:sz w:val="18"/>
        </w:rPr>
        <w:t>Failure,</w:t>
      </w:r>
      <w:r w:rsidRPr="00150EDC">
        <w:rPr>
          <w:spacing w:val="-2"/>
          <w:sz w:val="18"/>
        </w:rPr>
        <w:t xml:space="preserve"> </w:t>
      </w:r>
      <w:r w:rsidRPr="00150EDC">
        <w:rPr>
          <w:sz w:val="18"/>
        </w:rPr>
        <w:t>the</w:t>
      </w:r>
      <w:r w:rsidRPr="00150EDC">
        <w:rPr>
          <w:spacing w:val="-3"/>
          <w:sz w:val="18"/>
        </w:rPr>
        <w:t xml:space="preserve"> </w:t>
      </w:r>
      <w:r w:rsidRPr="00150EDC">
        <w:rPr>
          <w:sz w:val="18"/>
        </w:rPr>
        <w:t>Supplier</w:t>
      </w:r>
      <w:r w:rsidRPr="00150EDC">
        <w:rPr>
          <w:spacing w:val="-2"/>
          <w:sz w:val="18"/>
        </w:rPr>
        <w:t xml:space="preserve"> shall:</w:t>
      </w:r>
    </w:p>
    <w:p w14:paraId="779D135D" w14:textId="77777777" w:rsidR="004C7180" w:rsidRPr="00150EDC" w:rsidRDefault="00CF0754" w:rsidP="00B320C7">
      <w:pPr>
        <w:pStyle w:val="ListParagraph"/>
        <w:numPr>
          <w:ilvl w:val="2"/>
          <w:numId w:val="38"/>
        </w:numPr>
        <w:tabs>
          <w:tab w:val="left" w:pos="2665"/>
          <w:tab w:val="left" w:pos="2668"/>
        </w:tabs>
        <w:spacing w:before="92"/>
        <w:ind w:right="4016"/>
        <w:jc w:val="both"/>
        <w:rPr>
          <w:sz w:val="18"/>
        </w:rPr>
      </w:pPr>
      <w:r w:rsidRPr="00150EDC">
        <w:rPr>
          <w:sz w:val="18"/>
        </w:rPr>
        <w:t xml:space="preserve">immediately notify the Buyer in writing of the Service Level </w:t>
      </w:r>
      <w:r w:rsidRPr="00150EDC">
        <w:rPr>
          <w:spacing w:val="-2"/>
          <w:sz w:val="18"/>
        </w:rPr>
        <w:t>Failure;</w:t>
      </w:r>
    </w:p>
    <w:p w14:paraId="5FFCD018" w14:textId="77777777" w:rsidR="004C7180" w:rsidRPr="00150EDC" w:rsidRDefault="00CF0754" w:rsidP="00B320C7">
      <w:pPr>
        <w:pStyle w:val="ListParagraph"/>
        <w:numPr>
          <w:ilvl w:val="2"/>
          <w:numId w:val="38"/>
        </w:numPr>
        <w:tabs>
          <w:tab w:val="left" w:pos="2665"/>
          <w:tab w:val="left" w:pos="2668"/>
        </w:tabs>
        <w:spacing w:before="92"/>
        <w:ind w:right="4018"/>
        <w:jc w:val="both"/>
        <w:rPr>
          <w:sz w:val="18"/>
        </w:rPr>
      </w:pPr>
      <w:r w:rsidRPr="00150EDC">
        <w:rPr>
          <w:sz w:val="18"/>
        </w:rPr>
        <w:t>provide the Buyer with a Rectification Plan in accordance with Clause 10.3 (Rectification Plan Process) of the Contract;</w:t>
      </w:r>
    </w:p>
    <w:p w14:paraId="00C8058F" w14:textId="60589106" w:rsidR="004C7180" w:rsidRPr="00150EDC" w:rsidRDefault="00CF0754" w:rsidP="00B320C7">
      <w:pPr>
        <w:pStyle w:val="ListParagraph"/>
        <w:numPr>
          <w:ilvl w:val="2"/>
          <w:numId w:val="38"/>
        </w:numPr>
        <w:tabs>
          <w:tab w:val="left" w:pos="2665"/>
          <w:tab w:val="left" w:pos="2668"/>
        </w:tabs>
        <w:spacing w:before="92"/>
        <w:ind w:right="4017"/>
        <w:jc w:val="both"/>
        <w:rPr>
          <w:sz w:val="18"/>
        </w:rPr>
      </w:pPr>
      <w:r w:rsidRPr="00150EDC">
        <w:rPr>
          <w:sz w:val="18"/>
        </w:rPr>
        <w:t>deploy</w:t>
      </w:r>
      <w:r w:rsidRPr="00150EDC">
        <w:rPr>
          <w:spacing w:val="-6"/>
          <w:sz w:val="18"/>
        </w:rPr>
        <w:t xml:space="preserve"> </w:t>
      </w:r>
      <w:r w:rsidRPr="00150EDC">
        <w:rPr>
          <w:sz w:val="18"/>
        </w:rPr>
        <w:t>all</w:t>
      </w:r>
      <w:r w:rsidRPr="00150EDC">
        <w:rPr>
          <w:spacing w:val="-5"/>
          <w:sz w:val="18"/>
        </w:rPr>
        <w:t xml:space="preserve"> </w:t>
      </w:r>
      <w:r w:rsidRPr="00150EDC">
        <w:rPr>
          <w:sz w:val="18"/>
        </w:rPr>
        <w:t>additional</w:t>
      </w:r>
      <w:r w:rsidRPr="00150EDC">
        <w:rPr>
          <w:spacing w:val="-5"/>
          <w:sz w:val="18"/>
        </w:rPr>
        <w:t xml:space="preserve"> </w:t>
      </w:r>
      <w:r w:rsidRPr="00150EDC">
        <w:rPr>
          <w:sz w:val="18"/>
        </w:rPr>
        <w:t>resources</w:t>
      </w:r>
      <w:r w:rsidRPr="00150EDC">
        <w:rPr>
          <w:spacing w:val="-6"/>
          <w:sz w:val="18"/>
        </w:rPr>
        <w:t xml:space="preserve"> </w:t>
      </w:r>
      <w:r w:rsidRPr="00150EDC">
        <w:rPr>
          <w:sz w:val="18"/>
        </w:rPr>
        <w:t>and</w:t>
      </w:r>
      <w:r w:rsidRPr="00150EDC">
        <w:rPr>
          <w:spacing w:val="-6"/>
          <w:sz w:val="18"/>
        </w:rPr>
        <w:t xml:space="preserve"> </w:t>
      </w:r>
      <w:r w:rsidRPr="00150EDC">
        <w:rPr>
          <w:sz w:val="18"/>
        </w:rPr>
        <w:t>take</w:t>
      </w:r>
      <w:r w:rsidRPr="00150EDC">
        <w:rPr>
          <w:spacing w:val="-6"/>
          <w:sz w:val="18"/>
        </w:rPr>
        <w:t xml:space="preserve"> </w:t>
      </w:r>
      <w:r w:rsidRPr="00150EDC">
        <w:rPr>
          <w:sz w:val="18"/>
        </w:rPr>
        <w:t>all</w:t>
      </w:r>
      <w:r w:rsidRPr="00150EDC">
        <w:rPr>
          <w:spacing w:val="-5"/>
          <w:sz w:val="18"/>
        </w:rPr>
        <w:t xml:space="preserve"> </w:t>
      </w:r>
      <w:r w:rsidRPr="00150EDC">
        <w:rPr>
          <w:sz w:val="18"/>
        </w:rPr>
        <w:t>remedial</w:t>
      </w:r>
      <w:r w:rsidRPr="00150EDC">
        <w:rPr>
          <w:spacing w:val="-5"/>
          <w:sz w:val="18"/>
        </w:rPr>
        <w:t xml:space="preserve"> </w:t>
      </w:r>
      <w:r w:rsidRPr="00150EDC">
        <w:rPr>
          <w:sz w:val="18"/>
        </w:rPr>
        <w:t>action</w:t>
      </w:r>
      <w:r w:rsidRPr="00150EDC">
        <w:rPr>
          <w:spacing w:val="-6"/>
          <w:sz w:val="18"/>
        </w:rPr>
        <w:t xml:space="preserve"> </w:t>
      </w:r>
      <w:r w:rsidRPr="00150EDC">
        <w:rPr>
          <w:sz w:val="18"/>
        </w:rPr>
        <w:t>that</w:t>
      </w:r>
      <w:r w:rsidRPr="00150EDC">
        <w:rPr>
          <w:spacing w:val="-4"/>
          <w:sz w:val="18"/>
        </w:rPr>
        <w:t xml:space="preserve"> </w:t>
      </w:r>
      <w:r w:rsidRPr="00150EDC">
        <w:rPr>
          <w:sz w:val="18"/>
        </w:rPr>
        <w:t xml:space="preserve">is necessary to rectify or to prevent the Service Level Failure from recurring; </w:t>
      </w:r>
    </w:p>
    <w:p w14:paraId="58116461" w14:textId="77777777" w:rsidR="00523BC0" w:rsidRPr="00150EDC" w:rsidRDefault="00CF0754" w:rsidP="00B320C7">
      <w:pPr>
        <w:pStyle w:val="ListParagraph"/>
        <w:numPr>
          <w:ilvl w:val="2"/>
          <w:numId w:val="38"/>
        </w:numPr>
        <w:tabs>
          <w:tab w:val="left" w:pos="2665"/>
          <w:tab w:val="left" w:pos="2668"/>
        </w:tabs>
        <w:spacing w:before="94"/>
        <w:ind w:right="4018"/>
        <w:jc w:val="both"/>
        <w:rPr>
          <w:sz w:val="18"/>
        </w:rPr>
      </w:pPr>
      <w:r w:rsidRPr="00150EDC">
        <w:rPr>
          <w:sz w:val="18"/>
        </w:rPr>
        <w:t>carry out the actions identified in the Rectification Plan in accordance with its terms</w:t>
      </w:r>
      <w:r w:rsidR="00523BC0" w:rsidRPr="00150EDC">
        <w:rPr>
          <w:sz w:val="18"/>
        </w:rPr>
        <w:t xml:space="preserve">; </w:t>
      </w:r>
    </w:p>
    <w:p w14:paraId="3B9D86FC" w14:textId="107641E0" w:rsidR="00523BC0" w:rsidRPr="00150EDC" w:rsidRDefault="00523BC0" w:rsidP="00B320C7">
      <w:pPr>
        <w:pStyle w:val="ListParagraph"/>
        <w:numPr>
          <w:ilvl w:val="2"/>
          <w:numId w:val="38"/>
        </w:numPr>
        <w:tabs>
          <w:tab w:val="left" w:pos="2665"/>
          <w:tab w:val="left" w:pos="2668"/>
        </w:tabs>
        <w:spacing w:before="92"/>
        <w:ind w:right="4018"/>
        <w:jc w:val="both"/>
        <w:rPr>
          <w:sz w:val="18"/>
        </w:rPr>
      </w:pPr>
      <w:r w:rsidRPr="00150EDC">
        <w:rPr>
          <w:sz w:val="18"/>
        </w:rPr>
        <w:t>In the event of failure by a local authority and / or a provider contracted to a local authority, the Delivery supplier will not be penalised if the Supplier is able to provide evidence sufficient monitoring of the Supplier was carried out. The Buyer will review all evidence provided by the Supplier and determine if monitoring was sufficient.</w:t>
      </w:r>
    </w:p>
    <w:p w14:paraId="1489F473" w14:textId="545E2BC6" w:rsidR="004C7180" w:rsidRPr="00150EDC" w:rsidRDefault="004C7180" w:rsidP="00ED5D8D">
      <w:pPr>
        <w:tabs>
          <w:tab w:val="left" w:pos="2665"/>
          <w:tab w:val="left" w:pos="2668"/>
        </w:tabs>
        <w:spacing w:before="92"/>
        <w:ind w:left="2129" w:right="4018"/>
        <w:jc w:val="both"/>
        <w:rPr>
          <w:sz w:val="18"/>
        </w:rPr>
      </w:pPr>
    </w:p>
    <w:p w14:paraId="0B73ADC8" w14:textId="77777777" w:rsidR="004C7180" w:rsidRPr="00150EDC" w:rsidRDefault="00CF0754" w:rsidP="00B320C7">
      <w:pPr>
        <w:pStyle w:val="ListParagraph"/>
        <w:numPr>
          <w:ilvl w:val="1"/>
          <w:numId w:val="38"/>
        </w:numPr>
        <w:tabs>
          <w:tab w:val="left" w:pos="1583"/>
        </w:tabs>
        <w:spacing w:before="92"/>
        <w:ind w:right="4016" w:firstLine="0"/>
        <w:jc w:val="both"/>
        <w:rPr>
          <w:sz w:val="18"/>
        </w:rPr>
      </w:pPr>
      <w:r w:rsidRPr="00150EDC">
        <w:rPr>
          <w:sz w:val="18"/>
        </w:rPr>
        <w:t>The Supplier acknowledges</w:t>
      </w:r>
      <w:r w:rsidRPr="00150EDC">
        <w:rPr>
          <w:spacing w:val="-1"/>
          <w:sz w:val="18"/>
        </w:rPr>
        <w:t xml:space="preserve"> </w:t>
      </w:r>
      <w:r w:rsidRPr="00150EDC">
        <w:rPr>
          <w:sz w:val="18"/>
        </w:rPr>
        <w:t>that a Service Level Failure shall entitle</w:t>
      </w:r>
      <w:r w:rsidRPr="00150EDC">
        <w:rPr>
          <w:spacing w:val="-2"/>
          <w:sz w:val="18"/>
        </w:rPr>
        <w:t xml:space="preserve"> </w:t>
      </w:r>
      <w:r w:rsidRPr="00150EDC">
        <w:rPr>
          <w:sz w:val="18"/>
        </w:rPr>
        <w:t>the Buyer to</w:t>
      </w:r>
      <w:r w:rsidRPr="00150EDC">
        <w:rPr>
          <w:spacing w:val="-1"/>
          <w:sz w:val="18"/>
        </w:rPr>
        <w:t xml:space="preserve"> </w:t>
      </w:r>
      <w:r w:rsidRPr="00150EDC">
        <w:rPr>
          <w:sz w:val="18"/>
        </w:rPr>
        <w:t>the</w:t>
      </w:r>
      <w:r w:rsidRPr="00150EDC">
        <w:rPr>
          <w:spacing w:val="-3"/>
          <w:sz w:val="18"/>
        </w:rPr>
        <w:t xml:space="preserve"> </w:t>
      </w:r>
      <w:r w:rsidRPr="00150EDC">
        <w:rPr>
          <w:sz w:val="18"/>
        </w:rPr>
        <w:t>rights</w:t>
      </w:r>
      <w:r w:rsidRPr="00150EDC">
        <w:rPr>
          <w:spacing w:val="-3"/>
          <w:sz w:val="18"/>
        </w:rPr>
        <w:t xml:space="preserve"> </w:t>
      </w:r>
      <w:r w:rsidRPr="00150EDC">
        <w:rPr>
          <w:sz w:val="18"/>
        </w:rPr>
        <w:t>set</w:t>
      </w:r>
      <w:r w:rsidRPr="00150EDC">
        <w:rPr>
          <w:spacing w:val="-3"/>
          <w:sz w:val="18"/>
        </w:rPr>
        <w:t xml:space="preserve"> </w:t>
      </w:r>
      <w:r w:rsidRPr="00150EDC">
        <w:rPr>
          <w:sz w:val="18"/>
        </w:rPr>
        <w:t>out</w:t>
      </w:r>
      <w:r w:rsidRPr="00150EDC">
        <w:rPr>
          <w:spacing w:val="-1"/>
          <w:sz w:val="18"/>
        </w:rPr>
        <w:t xml:space="preserve"> </w:t>
      </w:r>
      <w:r w:rsidRPr="00150EDC">
        <w:rPr>
          <w:sz w:val="18"/>
        </w:rPr>
        <w:t>at</w:t>
      </w:r>
      <w:r w:rsidRPr="00150EDC">
        <w:rPr>
          <w:spacing w:val="-3"/>
          <w:sz w:val="18"/>
        </w:rPr>
        <w:t xml:space="preserve"> </w:t>
      </w:r>
      <w:r w:rsidRPr="00150EDC">
        <w:rPr>
          <w:sz w:val="18"/>
        </w:rPr>
        <w:t>Paragraphs</w:t>
      </w:r>
      <w:r w:rsidRPr="00150EDC">
        <w:rPr>
          <w:spacing w:val="-4"/>
          <w:sz w:val="18"/>
        </w:rPr>
        <w:t xml:space="preserve"> </w:t>
      </w:r>
      <w:hyperlink w:anchor="_bookmark0" w:history="1">
        <w:r w:rsidRPr="00150EDC">
          <w:rPr>
            <w:sz w:val="18"/>
          </w:rPr>
          <w:t>1.11</w:t>
        </w:r>
      </w:hyperlink>
      <w:r w:rsidRPr="00150EDC">
        <w:rPr>
          <w:spacing w:val="-3"/>
          <w:sz w:val="18"/>
        </w:rPr>
        <w:t xml:space="preserve"> </w:t>
      </w:r>
      <w:r w:rsidRPr="00150EDC">
        <w:rPr>
          <w:sz w:val="18"/>
        </w:rPr>
        <w:t>and</w:t>
      </w:r>
      <w:r w:rsidRPr="00150EDC">
        <w:rPr>
          <w:spacing w:val="-3"/>
          <w:sz w:val="18"/>
        </w:rPr>
        <w:t xml:space="preserve"> </w:t>
      </w:r>
      <w:hyperlink w:anchor="_bookmark1" w:history="1">
        <w:r w:rsidRPr="00150EDC">
          <w:rPr>
            <w:sz w:val="18"/>
          </w:rPr>
          <w:t>1.12</w:t>
        </w:r>
      </w:hyperlink>
      <w:r w:rsidRPr="00150EDC">
        <w:rPr>
          <w:spacing w:val="-1"/>
          <w:sz w:val="18"/>
        </w:rPr>
        <w:t xml:space="preserve"> </w:t>
      </w:r>
      <w:r w:rsidRPr="00150EDC">
        <w:rPr>
          <w:sz w:val="18"/>
        </w:rPr>
        <w:t>including</w:t>
      </w:r>
      <w:r w:rsidRPr="00150EDC">
        <w:rPr>
          <w:spacing w:val="-1"/>
          <w:sz w:val="18"/>
        </w:rPr>
        <w:t xml:space="preserve"> </w:t>
      </w:r>
      <w:r w:rsidRPr="00150EDC">
        <w:rPr>
          <w:sz w:val="18"/>
        </w:rPr>
        <w:t>the</w:t>
      </w:r>
      <w:r w:rsidRPr="00150EDC">
        <w:rPr>
          <w:spacing w:val="-3"/>
          <w:sz w:val="18"/>
        </w:rPr>
        <w:t xml:space="preserve"> </w:t>
      </w:r>
      <w:r w:rsidRPr="00150EDC">
        <w:rPr>
          <w:sz w:val="18"/>
        </w:rPr>
        <w:t>right</w:t>
      </w:r>
      <w:r w:rsidRPr="00150EDC">
        <w:rPr>
          <w:spacing w:val="-3"/>
          <w:sz w:val="18"/>
        </w:rPr>
        <w:t xml:space="preserve"> </w:t>
      </w:r>
      <w:r w:rsidRPr="00150EDC">
        <w:rPr>
          <w:sz w:val="18"/>
        </w:rPr>
        <w:t>to</w:t>
      </w:r>
      <w:r w:rsidRPr="00150EDC">
        <w:rPr>
          <w:spacing w:val="-1"/>
          <w:sz w:val="18"/>
        </w:rPr>
        <w:t xml:space="preserve"> </w:t>
      </w:r>
      <w:r w:rsidRPr="00150EDC">
        <w:rPr>
          <w:sz w:val="18"/>
        </w:rPr>
        <w:t>receive</w:t>
      </w:r>
      <w:r w:rsidRPr="00150EDC">
        <w:rPr>
          <w:spacing w:val="-3"/>
          <w:sz w:val="18"/>
        </w:rPr>
        <w:t xml:space="preserve"> </w:t>
      </w:r>
      <w:r w:rsidRPr="00150EDC">
        <w:rPr>
          <w:sz w:val="18"/>
        </w:rPr>
        <w:t xml:space="preserve">Service Credits. The parties agree that Service Credits are a price adjustment and not an estimate of the Loss that may be suffered by the Buyer as a result of a Service Level </w:t>
      </w:r>
      <w:r w:rsidRPr="00150EDC">
        <w:rPr>
          <w:spacing w:val="-2"/>
          <w:sz w:val="18"/>
        </w:rPr>
        <w:t>Failure.</w:t>
      </w:r>
    </w:p>
    <w:p w14:paraId="6FDE9401" w14:textId="77777777" w:rsidR="004C7180" w:rsidRPr="00150EDC" w:rsidRDefault="004C7180">
      <w:pPr>
        <w:pStyle w:val="BodyText"/>
        <w:rPr>
          <w:sz w:val="20"/>
        </w:rPr>
      </w:pPr>
    </w:p>
    <w:p w14:paraId="48E0D15A" w14:textId="77777777" w:rsidR="004C7180" w:rsidRPr="00150EDC" w:rsidRDefault="00CF0754">
      <w:pPr>
        <w:spacing w:before="163"/>
        <w:ind w:left="1044"/>
        <w:jc w:val="both"/>
        <w:rPr>
          <w:sz w:val="18"/>
        </w:rPr>
      </w:pPr>
      <w:r w:rsidRPr="00150EDC">
        <w:rPr>
          <w:sz w:val="18"/>
        </w:rPr>
        <w:t>Remedies</w:t>
      </w:r>
      <w:r w:rsidRPr="00150EDC">
        <w:rPr>
          <w:spacing w:val="-2"/>
          <w:sz w:val="18"/>
        </w:rPr>
        <w:t xml:space="preserve"> </w:t>
      </w:r>
      <w:r w:rsidRPr="00150EDC">
        <w:rPr>
          <w:sz w:val="18"/>
        </w:rPr>
        <w:t>for</w:t>
      </w:r>
      <w:r w:rsidRPr="00150EDC">
        <w:rPr>
          <w:spacing w:val="-2"/>
          <w:sz w:val="18"/>
        </w:rPr>
        <w:t xml:space="preserve"> </w:t>
      </w:r>
      <w:r w:rsidRPr="00150EDC">
        <w:rPr>
          <w:sz w:val="18"/>
        </w:rPr>
        <w:t>Service</w:t>
      </w:r>
      <w:r w:rsidRPr="00150EDC">
        <w:rPr>
          <w:spacing w:val="-3"/>
          <w:sz w:val="18"/>
        </w:rPr>
        <w:t xml:space="preserve"> </w:t>
      </w:r>
      <w:r w:rsidRPr="00150EDC">
        <w:rPr>
          <w:sz w:val="18"/>
        </w:rPr>
        <w:t>Level</w:t>
      </w:r>
      <w:r w:rsidRPr="00150EDC">
        <w:rPr>
          <w:spacing w:val="-1"/>
          <w:sz w:val="18"/>
        </w:rPr>
        <w:t xml:space="preserve"> </w:t>
      </w:r>
      <w:r w:rsidRPr="00150EDC">
        <w:rPr>
          <w:spacing w:val="-2"/>
          <w:sz w:val="18"/>
        </w:rPr>
        <w:t>Failures</w:t>
      </w:r>
    </w:p>
    <w:p w14:paraId="73CC49FA" w14:textId="77777777" w:rsidR="004C7180" w:rsidRPr="00150EDC" w:rsidRDefault="00CF0754" w:rsidP="00B320C7">
      <w:pPr>
        <w:pStyle w:val="ListParagraph"/>
        <w:numPr>
          <w:ilvl w:val="1"/>
          <w:numId w:val="38"/>
        </w:numPr>
        <w:tabs>
          <w:tab w:val="left" w:pos="1583"/>
        </w:tabs>
        <w:spacing w:before="92"/>
        <w:ind w:right="4017" w:firstLine="0"/>
        <w:jc w:val="both"/>
        <w:rPr>
          <w:sz w:val="18"/>
        </w:rPr>
      </w:pPr>
      <w:bookmarkStart w:id="46" w:name="_bookmark0"/>
      <w:bookmarkEnd w:id="46"/>
      <w:r w:rsidRPr="00150EDC">
        <w:rPr>
          <w:sz w:val="18"/>
        </w:rPr>
        <w:t>Subject</w:t>
      </w:r>
      <w:r w:rsidRPr="00150EDC">
        <w:rPr>
          <w:spacing w:val="-10"/>
          <w:sz w:val="18"/>
        </w:rPr>
        <w:t xml:space="preserve"> </w:t>
      </w:r>
      <w:r w:rsidRPr="00150EDC">
        <w:rPr>
          <w:sz w:val="18"/>
        </w:rPr>
        <w:t>to</w:t>
      </w:r>
      <w:r w:rsidRPr="00150EDC">
        <w:rPr>
          <w:spacing w:val="-9"/>
          <w:sz w:val="18"/>
        </w:rPr>
        <w:t xml:space="preserve"> </w:t>
      </w:r>
      <w:r w:rsidRPr="00150EDC">
        <w:rPr>
          <w:sz w:val="18"/>
        </w:rPr>
        <w:t>Paragraph</w:t>
      </w:r>
      <w:r w:rsidRPr="00150EDC">
        <w:rPr>
          <w:spacing w:val="-9"/>
          <w:sz w:val="18"/>
        </w:rPr>
        <w:t xml:space="preserve"> </w:t>
      </w:r>
      <w:hyperlink w:anchor="_bookmark1" w:history="1">
        <w:r w:rsidRPr="00150EDC">
          <w:rPr>
            <w:sz w:val="18"/>
          </w:rPr>
          <w:t>1.12</w:t>
        </w:r>
      </w:hyperlink>
      <w:r w:rsidRPr="00150EDC">
        <w:rPr>
          <w:sz w:val="18"/>
        </w:rPr>
        <w:t>,</w:t>
      </w:r>
      <w:r w:rsidRPr="00150EDC">
        <w:rPr>
          <w:spacing w:val="-10"/>
          <w:sz w:val="18"/>
        </w:rPr>
        <w:t xml:space="preserve"> </w:t>
      </w:r>
      <w:r w:rsidRPr="00150EDC">
        <w:rPr>
          <w:sz w:val="18"/>
        </w:rPr>
        <w:t>the</w:t>
      </w:r>
      <w:r w:rsidRPr="00150EDC">
        <w:rPr>
          <w:spacing w:val="-9"/>
          <w:sz w:val="18"/>
        </w:rPr>
        <w:t xml:space="preserve"> </w:t>
      </w:r>
      <w:r w:rsidRPr="00150EDC">
        <w:rPr>
          <w:sz w:val="18"/>
        </w:rPr>
        <w:t>Buyer</w:t>
      </w:r>
      <w:r w:rsidRPr="00150EDC">
        <w:rPr>
          <w:spacing w:val="-9"/>
          <w:sz w:val="18"/>
        </w:rPr>
        <w:t xml:space="preserve"> </w:t>
      </w:r>
      <w:r w:rsidRPr="00150EDC">
        <w:rPr>
          <w:sz w:val="18"/>
        </w:rPr>
        <w:t>shall</w:t>
      </w:r>
      <w:r w:rsidRPr="00150EDC">
        <w:rPr>
          <w:spacing w:val="-8"/>
          <w:sz w:val="18"/>
        </w:rPr>
        <w:t xml:space="preserve"> </w:t>
      </w:r>
      <w:r w:rsidRPr="00150EDC">
        <w:rPr>
          <w:sz w:val="18"/>
        </w:rPr>
        <w:t>be</w:t>
      </w:r>
      <w:r w:rsidRPr="00150EDC">
        <w:rPr>
          <w:spacing w:val="-9"/>
          <w:sz w:val="18"/>
        </w:rPr>
        <w:t xml:space="preserve"> </w:t>
      </w:r>
      <w:r w:rsidRPr="00150EDC">
        <w:rPr>
          <w:sz w:val="18"/>
        </w:rPr>
        <w:t>entitled</w:t>
      </w:r>
      <w:r w:rsidRPr="00150EDC">
        <w:rPr>
          <w:spacing w:val="-7"/>
          <w:sz w:val="18"/>
        </w:rPr>
        <w:t xml:space="preserve"> </w:t>
      </w:r>
      <w:r w:rsidRPr="00150EDC">
        <w:rPr>
          <w:sz w:val="18"/>
        </w:rPr>
        <w:t>to</w:t>
      </w:r>
      <w:r w:rsidRPr="00150EDC">
        <w:rPr>
          <w:spacing w:val="-9"/>
          <w:sz w:val="18"/>
        </w:rPr>
        <w:t xml:space="preserve"> </w:t>
      </w:r>
      <w:r w:rsidRPr="00150EDC">
        <w:rPr>
          <w:sz w:val="18"/>
        </w:rPr>
        <w:t>Service</w:t>
      </w:r>
      <w:r w:rsidRPr="00150EDC">
        <w:rPr>
          <w:spacing w:val="-9"/>
          <w:sz w:val="18"/>
        </w:rPr>
        <w:t xml:space="preserve"> </w:t>
      </w:r>
      <w:r w:rsidRPr="00150EDC">
        <w:rPr>
          <w:sz w:val="18"/>
        </w:rPr>
        <w:t>Credits</w:t>
      </w:r>
      <w:r w:rsidRPr="00150EDC">
        <w:rPr>
          <w:spacing w:val="-8"/>
          <w:sz w:val="18"/>
        </w:rPr>
        <w:t xml:space="preserve"> </w:t>
      </w:r>
      <w:r w:rsidRPr="00150EDC">
        <w:rPr>
          <w:sz w:val="18"/>
        </w:rPr>
        <w:t>for</w:t>
      </w:r>
      <w:r w:rsidRPr="00150EDC">
        <w:rPr>
          <w:spacing w:val="-9"/>
          <w:sz w:val="18"/>
        </w:rPr>
        <w:t xml:space="preserve"> </w:t>
      </w:r>
      <w:r w:rsidRPr="00150EDC">
        <w:rPr>
          <w:sz w:val="18"/>
        </w:rPr>
        <w:t>any Service Level Failure.</w:t>
      </w:r>
    </w:p>
    <w:p w14:paraId="7F3EE551" w14:textId="77777777" w:rsidR="004C7180" w:rsidRPr="00150EDC" w:rsidRDefault="00CF0754" w:rsidP="00B320C7">
      <w:pPr>
        <w:pStyle w:val="ListParagraph"/>
        <w:numPr>
          <w:ilvl w:val="1"/>
          <w:numId w:val="38"/>
        </w:numPr>
        <w:tabs>
          <w:tab w:val="left" w:pos="1583"/>
        </w:tabs>
        <w:spacing w:before="92"/>
        <w:ind w:right="4015" w:firstLine="0"/>
        <w:jc w:val="both"/>
        <w:rPr>
          <w:sz w:val="18"/>
        </w:rPr>
      </w:pPr>
      <w:bookmarkStart w:id="47" w:name="_bookmark1"/>
      <w:bookmarkEnd w:id="47"/>
      <w:r w:rsidRPr="00150EDC">
        <w:rPr>
          <w:sz w:val="18"/>
        </w:rPr>
        <w:t>Failure</w:t>
      </w:r>
      <w:r w:rsidRPr="00150EDC">
        <w:rPr>
          <w:spacing w:val="-10"/>
          <w:sz w:val="18"/>
        </w:rPr>
        <w:t xml:space="preserve"> </w:t>
      </w:r>
      <w:r w:rsidRPr="00150EDC">
        <w:rPr>
          <w:sz w:val="18"/>
        </w:rPr>
        <w:t>by</w:t>
      </w:r>
      <w:r w:rsidRPr="00150EDC">
        <w:rPr>
          <w:spacing w:val="-11"/>
          <w:sz w:val="18"/>
        </w:rPr>
        <w:t xml:space="preserve"> </w:t>
      </w:r>
      <w:r w:rsidRPr="00150EDC">
        <w:rPr>
          <w:sz w:val="18"/>
        </w:rPr>
        <w:t>the</w:t>
      </w:r>
      <w:r w:rsidRPr="00150EDC">
        <w:rPr>
          <w:spacing w:val="-12"/>
          <w:sz w:val="18"/>
        </w:rPr>
        <w:t xml:space="preserve"> </w:t>
      </w:r>
      <w:r w:rsidRPr="00150EDC">
        <w:rPr>
          <w:sz w:val="18"/>
        </w:rPr>
        <w:t>Supplier</w:t>
      </w:r>
      <w:r w:rsidRPr="00150EDC">
        <w:rPr>
          <w:spacing w:val="-11"/>
          <w:sz w:val="18"/>
        </w:rPr>
        <w:t xml:space="preserve"> </w:t>
      </w:r>
      <w:r w:rsidRPr="00150EDC">
        <w:rPr>
          <w:sz w:val="18"/>
        </w:rPr>
        <w:t>to</w:t>
      </w:r>
      <w:r w:rsidRPr="00150EDC">
        <w:rPr>
          <w:spacing w:val="-10"/>
          <w:sz w:val="18"/>
        </w:rPr>
        <w:t xml:space="preserve"> </w:t>
      </w:r>
      <w:r w:rsidRPr="00150EDC">
        <w:rPr>
          <w:sz w:val="18"/>
        </w:rPr>
        <w:t>achieve</w:t>
      </w:r>
      <w:r w:rsidRPr="00150EDC">
        <w:rPr>
          <w:spacing w:val="-10"/>
          <w:sz w:val="18"/>
        </w:rPr>
        <w:t xml:space="preserve"> </w:t>
      </w:r>
      <w:r w:rsidRPr="00150EDC">
        <w:rPr>
          <w:sz w:val="18"/>
        </w:rPr>
        <w:t>three</w:t>
      </w:r>
      <w:r w:rsidRPr="00150EDC">
        <w:rPr>
          <w:spacing w:val="-10"/>
          <w:sz w:val="18"/>
        </w:rPr>
        <w:t xml:space="preserve"> </w:t>
      </w:r>
      <w:r w:rsidRPr="00150EDC">
        <w:rPr>
          <w:sz w:val="18"/>
        </w:rPr>
        <w:t>(3)</w:t>
      </w:r>
      <w:r w:rsidRPr="00150EDC">
        <w:rPr>
          <w:spacing w:val="-11"/>
          <w:sz w:val="18"/>
        </w:rPr>
        <w:t xml:space="preserve"> </w:t>
      </w:r>
      <w:r w:rsidRPr="00150EDC">
        <w:rPr>
          <w:sz w:val="18"/>
        </w:rPr>
        <w:t>or</w:t>
      </w:r>
      <w:r w:rsidRPr="00150EDC">
        <w:rPr>
          <w:spacing w:val="-11"/>
          <w:sz w:val="18"/>
        </w:rPr>
        <w:t xml:space="preserve"> </w:t>
      </w:r>
      <w:r w:rsidRPr="00150EDC">
        <w:rPr>
          <w:sz w:val="18"/>
        </w:rPr>
        <w:t>more</w:t>
      </w:r>
      <w:r w:rsidRPr="00150EDC">
        <w:rPr>
          <w:spacing w:val="-10"/>
          <w:sz w:val="18"/>
        </w:rPr>
        <w:t xml:space="preserve"> </w:t>
      </w:r>
      <w:r w:rsidRPr="00150EDC">
        <w:rPr>
          <w:sz w:val="18"/>
        </w:rPr>
        <w:t>Service</w:t>
      </w:r>
      <w:r w:rsidRPr="00150EDC">
        <w:rPr>
          <w:spacing w:val="-10"/>
          <w:sz w:val="18"/>
        </w:rPr>
        <w:t xml:space="preserve"> </w:t>
      </w:r>
      <w:r w:rsidRPr="00150EDC">
        <w:rPr>
          <w:sz w:val="18"/>
        </w:rPr>
        <w:t>Levels</w:t>
      </w:r>
      <w:r w:rsidRPr="00150EDC">
        <w:rPr>
          <w:spacing w:val="-11"/>
          <w:sz w:val="18"/>
        </w:rPr>
        <w:t xml:space="preserve"> </w:t>
      </w:r>
      <w:r w:rsidRPr="00150EDC">
        <w:rPr>
          <w:sz w:val="18"/>
        </w:rPr>
        <w:t>in</w:t>
      </w:r>
      <w:r w:rsidRPr="00150EDC">
        <w:rPr>
          <w:spacing w:val="-10"/>
          <w:sz w:val="18"/>
        </w:rPr>
        <w:t xml:space="preserve"> </w:t>
      </w:r>
      <w:r w:rsidRPr="00150EDC">
        <w:rPr>
          <w:sz w:val="18"/>
        </w:rPr>
        <w:t>any</w:t>
      </w:r>
      <w:r w:rsidRPr="00150EDC">
        <w:rPr>
          <w:spacing w:val="-11"/>
          <w:sz w:val="18"/>
        </w:rPr>
        <w:t xml:space="preserve"> </w:t>
      </w:r>
      <w:r w:rsidRPr="00150EDC">
        <w:rPr>
          <w:sz w:val="18"/>
        </w:rPr>
        <w:t>period of six (6) consecutive Months will constitute a material Default, for which the Buyer is entitled</w:t>
      </w:r>
      <w:r w:rsidRPr="00150EDC">
        <w:rPr>
          <w:spacing w:val="-5"/>
          <w:sz w:val="18"/>
        </w:rPr>
        <w:t xml:space="preserve"> </w:t>
      </w:r>
      <w:r w:rsidRPr="00150EDC">
        <w:rPr>
          <w:sz w:val="18"/>
        </w:rPr>
        <w:t>to:</w:t>
      </w:r>
      <w:r w:rsidRPr="00150EDC">
        <w:rPr>
          <w:spacing w:val="-5"/>
          <w:sz w:val="18"/>
        </w:rPr>
        <w:t xml:space="preserve"> </w:t>
      </w:r>
      <w:r w:rsidRPr="00150EDC">
        <w:rPr>
          <w:sz w:val="18"/>
        </w:rPr>
        <w:t>(a)</w:t>
      </w:r>
      <w:r w:rsidRPr="00150EDC">
        <w:rPr>
          <w:spacing w:val="-6"/>
          <w:sz w:val="18"/>
        </w:rPr>
        <w:t xml:space="preserve"> </w:t>
      </w:r>
      <w:r w:rsidRPr="00150EDC">
        <w:rPr>
          <w:sz w:val="18"/>
        </w:rPr>
        <w:t>terminate</w:t>
      </w:r>
      <w:r w:rsidRPr="00150EDC">
        <w:rPr>
          <w:spacing w:val="-5"/>
          <w:sz w:val="18"/>
        </w:rPr>
        <w:t xml:space="preserve"> </w:t>
      </w:r>
      <w:r w:rsidRPr="00150EDC">
        <w:rPr>
          <w:sz w:val="18"/>
        </w:rPr>
        <w:t>the</w:t>
      </w:r>
      <w:r w:rsidRPr="00150EDC">
        <w:rPr>
          <w:spacing w:val="-5"/>
          <w:sz w:val="18"/>
        </w:rPr>
        <w:t xml:space="preserve"> </w:t>
      </w:r>
      <w:r w:rsidRPr="00150EDC">
        <w:rPr>
          <w:sz w:val="18"/>
        </w:rPr>
        <w:t>Contract</w:t>
      </w:r>
      <w:r w:rsidRPr="00150EDC">
        <w:rPr>
          <w:spacing w:val="-7"/>
          <w:sz w:val="18"/>
        </w:rPr>
        <w:t xml:space="preserve"> </w:t>
      </w:r>
      <w:r w:rsidRPr="00150EDC">
        <w:rPr>
          <w:sz w:val="18"/>
        </w:rPr>
        <w:t>pursuant</w:t>
      </w:r>
      <w:r w:rsidRPr="00150EDC">
        <w:rPr>
          <w:spacing w:val="-5"/>
          <w:sz w:val="18"/>
        </w:rPr>
        <w:t xml:space="preserve"> </w:t>
      </w:r>
      <w:r w:rsidRPr="00150EDC">
        <w:rPr>
          <w:sz w:val="18"/>
        </w:rPr>
        <w:t>to</w:t>
      </w:r>
      <w:r w:rsidRPr="00150EDC">
        <w:rPr>
          <w:spacing w:val="-6"/>
          <w:sz w:val="18"/>
        </w:rPr>
        <w:t xml:space="preserve"> </w:t>
      </w:r>
      <w:r w:rsidRPr="00150EDC">
        <w:rPr>
          <w:sz w:val="18"/>
        </w:rPr>
        <w:t>Clause</w:t>
      </w:r>
      <w:r w:rsidRPr="00150EDC">
        <w:rPr>
          <w:spacing w:val="-6"/>
          <w:sz w:val="18"/>
        </w:rPr>
        <w:t xml:space="preserve"> </w:t>
      </w:r>
      <w:r w:rsidRPr="00150EDC">
        <w:rPr>
          <w:sz w:val="18"/>
        </w:rPr>
        <w:t>10.4.1(d)</w:t>
      </w:r>
      <w:r w:rsidRPr="00150EDC">
        <w:rPr>
          <w:spacing w:val="-6"/>
          <w:sz w:val="18"/>
        </w:rPr>
        <w:t xml:space="preserve"> </w:t>
      </w:r>
      <w:r w:rsidRPr="00150EDC">
        <w:rPr>
          <w:sz w:val="18"/>
        </w:rPr>
        <w:t>of</w:t>
      </w:r>
      <w:r w:rsidRPr="00150EDC">
        <w:rPr>
          <w:spacing w:val="-7"/>
          <w:sz w:val="18"/>
        </w:rPr>
        <w:t xml:space="preserve"> </w:t>
      </w:r>
      <w:r w:rsidRPr="00150EDC">
        <w:rPr>
          <w:sz w:val="18"/>
        </w:rPr>
        <w:t>the</w:t>
      </w:r>
      <w:r w:rsidRPr="00150EDC">
        <w:rPr>
          <w:spacing w:val="-6"/>
          <w:sz w:val="18"/>
        </w:rPr>
        <w:t xml:space="preserve"> </w:t>
      </w:r>
      <w:r w:rsidRPr="00150EDC">
        <w:rPr>
          <w:sz w:val="18"/>
        </w:rPr>
        <w:t>Contract</w:t>
      </w:r>
      <w:r w:rsidRPr="00150EDC">
        <w:rPr>
          <w:spacing w:val="-7"/>
          <w:sz w:val="18"/>
        </w:rPr>
        <w:t xml:space="preserve"> </w:t>
      </w:r>
      <w:r w:rsidRPr="00150EDC">
        <w:rPr>
          <w:sz w:val="18"/>
        </w:rPr>
        <w:t>and</w:t>
      </w:r>
    </w:p>
    <w:p w14:paraId="2AF04B0A" w14:textId="77777777" w:rsidR="004C7180" w:rsidRPr="00150EDC" w:rsidRDefault="00CF0754">
      <w:pPr>
        <w:spacing w:before="3"/>
        <w:ind w:left="1044"/>
        <w:jc w:val="both"/>
        <w:rPr>
          <w:sz w:val="18"/>
        </w:rPr>
      </w:pPr>
      <w:r w:rsidRPr="00150EDC">
        <w:rPr>
          <w:sz w:val="18"/>
        </w:rPr>
        <w:t>(b)</w:t>
      </w:r>
      <w:r w:rsidRPr="00150EDC">
        <w:rPr>
          <w:spacing w:val="-2"/>
          <w:sz w:val="18"/>
        </w:rPr>
        <w:t xml:space="preserve"> </w:t>
      </w:r>
      <w:r w:rsidRPr="00150EDC">
        <w:rPr>
          <w:sz w:val="18"/>
        </w:rPr>
        <w:t>receive</w:t>
      </w:r>
      <w:r w:rsidRPr="00150EDC">
        <w:rPr>
          <w:spacing w:val="-1"/>
          <w:sz w:val="18"/>
        </w:rPr>
        <w:t xml:space="preserve"> </w:t>
      </w:r>
      <w:r w:rsidRPr="00150EDC">
        <w:rPr>
          <w:sz w:val="18"/>
        </w:rPr>
        <w:t>Service</w:t>
      </w:r>
      <w:r w:rsidRPr="00150EDC">
        <w:rPr>
          <w:spacing w:val="-2"/>
          <w:sz w:val="18"/>
        </w:rPr>
        <w:t xml:space="preserve"> Credits.</w:t>
      </w:r>
    </w:p>
    <w:p w14:paraId="0044E023" w14:textId="1AF006A3" w:rsidR="00523BC0" w:rsidRPr="00150EDC" w:rsidRDefault="00CF0754" w:rsidP="00B320C7">
      <w:pPr>
        <w:pStyle w:val="ListParagraph"/>
        <w:numPr>
          <w:ilvl w:val="1"/>
          <w:numId w:val="38"/>
        </w:numPr>
        <w:tabs>
          <w:tab w:val="left" w:pos="1583"/>
        </w:tabs>
        <w:spacing w:before="91"/>
        <w:ind w:right="4017" w:firstLine="0"/>
        <w:jc w:val="both"/>
        <w:rPr>
          <w:sz w:val="18"/>
        </w:rPr>
      </w:pPr>
      <w:r w:rsidRPr="00150EDC">
        <w:rPr>
          <w:sz w:val="18"/>
        </w:rPr>
        <w:t>Service Credits shall be shown as a deduction from the amount due from the Buyer to the Supplier in relation to the applicable invoice</w:t>
      </w:r>
      <w:r w:rsidR="00523BC0" w:rsidRPr="00150EDC">
        <w:rPr>
          <w:sz w:val="18"/>
        </w:rPr>
        <w:t>.</w:t>
      </w:r>
    </w:p>
    <w:p w14:paraId="5F7B86CA" w14:textId="6F29693D" w:rsidR="004C7180" w:rsidRPr="00150EDC" w:rsidRDefault="004C7180" w:rsidP="00523BC0">
      <w:pPr>
        <w:tabs>
          <w:tab w:val="left" w:pos="1583"/>
        </w:tabs>
        <w:spacing w:before="91"/>
        <w:ind w:left="1044" w:right="4017"/>
        <w:jc w:val="both"/>
        <w:rPr>
          <w:sz w:val="18"/>
        </w:rPr>
      </w:pPr>
    </w:p>
    <w:p w14:paraId="0CB417B2" w14:textId="189A7DEC" w:rsidR="00523BC0" w:rsidRPr="00150EDC" w:rsidRDefault="00523BC0" w:rsidP="00B320C7">
      <w:pPr>
        <w:pStyle w:val="ListParagraph"/>
        <w:numPr>
          <w:ilvl w:val="1"/>
          <w:numId w:val="38"/>
        </w:numPr>
        <w:tabs>
          <w:tab w:val="left" w:pos="1583"/>
        </w:tabs>
        <w:spacing w:before="92"/>
        <w:ind w:right="4015" w:firstLine="0"/>
        <w:jc w:val="both"/>
        <w:rPr>
          <w:sz w:val="18"/>
        </w:rPr>
      </w:pPr>
      <w:r w:rsidRPr="00150EDC">
        <w:rPr>
          <w:sz w:val="18"/>
        </w:rPr>
        <w:t>For milestones that are missed, revised milestones will be mutually agreed which will includ</w:t>
      </w:r>
      <w:r w:rsidR="000B4940" w:rsidRPr="00150EDC">
        <w:rPr>
          <w:sz w:val="18"/>
        </w:rPr>
        <w:t>e</w:t>
      </w:r>
      <w:r w:rsidR="006F2372" w:rsidRPr="00150EDC">
        <w:rPr>
          <w:sz w:val="18"/>
        </w:rPr>
        <w:t xml:space="preserve"> </w:t>
      </w:r>
      <w:r w:rsidR="000D199F" w:rsidRPr="00150EDC">
        <w:rPr>
          <w:sz w:val="18"/>
        </w:rPr>
        <w:t>revised</w:t>
      </w:r>
      <w:r w:rsidR="00EB491E" w:rsidRPr="00150EDC">
        <w:rPr>
          <w:sz w:val="18"/>
        </w:rPr>
        <w:t xml:space="preserve"> timings and revised</w:t>
      </w:r>
      <w:r w:rsidRPr="00150EDC">
        <w:rPr>
          <w:sz w:val="18"/>
        </w:rPr>
        <w:t xml:space="preserve"> services credit</w:t>
      </w:r>
      <w:r w:rsidR="00EB491E" w:rsidRPr="00150EDC">
        <w:rPr>
          <w:sz w:val="18"/>
        </w:rPr>
        <w:t>s which shall be determined reasonably</w:t>
      </w:r>
      <w:r w:rsidR="006F2372" w:rsidRPr="00150EDC">
        <w:rPr>
          <w:sz w:val="18"/>
        </w:rPr>
        <w:t xml:space="preserve"> by the buyer</w:t>
      </w:r>
      <w:r w:rsidRPr="00150EDC">
        <w:rPr>
          <w:sz w:val="18"/>
        </w:rPr>
        <w:t xml:space="preserve">. Any failure to meet the mutually </w:t>
      </w:r>
      <w:r w:rsidR="000B4940" w:rsidRPr="00150EDC">
        <w:rPr>
          <w:sz w:val="18"/>
        </w:rPr>
        <w:t xml:space="preserve">revised </w:t>
      </w:r>
      <w:r w:rsidR="000B4940" w:rsidRPr="00150EDC">
        <w:rPr>
          <w:sz w:val="18"/>
        </w:rPr>
        <w:lastRenderedPageBreak/>
        <w:t>milestones</w:t>
      </w:r>
      <w:r w:rsidRPr="00150EDC">
        <w:rPr>
          <w:sz w:val="18"/>
        </w:rPr>
        <w:t xml:space="preserve"> may result in service credits being payable to the Buyer subject to paragraph 1.12.</w:t>
      </w:r>
    </w:p>
    <w:p w14:paraId="20EECA27" w14:textId="77777777" w:rsidR="004C7180" w:rsidRPr="00150EDC" w:rsidRDefault="004C7180">
      <w:pPr>
        <w:jc w:val="both"/>
        <w:rPr>
          <w:sz w:val="18"/>
        </w:rPr>
        <w:sectPr w:rsidR="004C7180" w:rsidRPr="00150EDC">
          <w:pgSz w:w="11910" w:h="16840"/>
          <w:pgMar w:top="2940" w:right="0" w:bottom="3120" w:left="40" w:header="2612" w:footer="2929" w:gutter="0"/>
          <w:cols w:space="720"/>
        </w:sectPr>
      </w:pPr>
    </w:p>
    <w:p w14:paraId="03CDFAAF" w14:textId="2E5AC2B7" w:rsidR="004C7180" w:rsidRPr="00150EDC" w:rsidRDefault="004C7180">
      <w:pPr>
        <w:pStyle w:val="BodyText"/>
        <w:spacing w:before="9"/>
        <w:rPr>
          <w:sz w:val="9"/>
        </w:rPr>
      </w:pPr>
    </w:p>
    <w:p w14:paraId="1016CE1D" w14:textId="77777777" w:rsidR="004C7180" w:rsidRPr="00150EDC" w:rsidRDefault="00CF0754">
      <w:pPr>
        <w:pStyle w:val="Heading3"/>
        <w:spacing w:before="92" w:line="242" w:lineRule="auto"/>
        <w:ind w:right="4123"/>
      </w:pPr>
      <w:r w:rsidRPr="00150EDC">
        <w:t>Annex</w:t>
      </w:r>
      <w:r w:rsidRPr="00150EDC">
        <w:rPr>
          <w:spacing w:val="-2"/>
        </w:rPr>
        <w:t xml:space="preserve"> </w:t>
      </w:r>
      <w:r w:rsidRPr="00150EDC">
        <w:t>to</w:t>
      </w:r>
      <w:r w:rsidRPr="00150EDC">
        <w:rPr>
          <w:spacing w:val="-1"/>
        </w:rPr>
        <w:t xml:space="preserve"> </w:t>
      </w:r>
      <w:r w:rsidRPr="00150EDC">
        <w:t>Part</w:t>
      </w:r>
      <w:r w:rsidRPr="00150EDC">
        <w:rPr>
          <w:spacing w:val="-1"/>
        </w:rPr>
        <w:t xml:space="preserve"> </w:t>
      </w:r>
      <w:r w:rsidRPr="00150EDC">
        <w:t>A:</w:t>
      </w:r>
      <w:r w:rsidRPr="00150EDC">
        <w:rPr>
          <w:spacing w:val="-1"/>
        </w:rPr>
        <w:t xml:space="preserve"> </w:t>
      </w:r>
      <w:r w:rsidRPr="00150EDC">
        <w:t>Services</w:t>
      </w:r>
      <w:r w:rsidRPr="00150EDC">
        <w:rPr>
          <w:spacing w:val="-2"/>
        </w:rPr>
        <w:t xml:space="preserve"> </w:t>
      </w:r>
      <w:r w:rsidRPr="00150EDC">
        <w:t>Levels</w:t>
      </w:r>
      <w:r w:rsidRPr="00150EDC">
        <w:rPr>
          <w:spacing w:val="-2"/>
        </w:rPr>
        <w:t xml:space="preserve"> </w:t>
      </w:r>
      <w:r w:rsidRPr="00150EDC">
        <w:t>and</w:t>
      </w:r>
      <w:r w:rsidRPr="00150EDC">
        <w:rPr>
          <w:spacing w:val="-1"/>
        </w:rPr>
        <w:t xml:space="preserve"> </w:t>
      </w:r>
      <w:r w:rsidRPr="00150EDC">
        <w:t>Service Credits Table</w:t>
      </w:r>
    </w:p>
    <w:p w14:paraId="55EDED66" w14:textId="77777777" w:rsidR="004C7180" w:rsidRPr="00150EDC" w:rsidRDefault="004C7180">
      <w:pPr>
        <w:spacing w:line="242" w:lineRule="auto"/>
        <w:sectPr w:rsidR="004C7180" w:rsidRPr="00150EDC">
          <w:pgSz w:w="11910" w:h="16840"/>
          <w:pgMar w:top="2940" w:right="0" w:bottom="3120" w:left="40" w:header="2612" w:footer="2929" w:gutter="0"/>
          <w:cols w:space="720"/>
        </w:sectPr>
      </w:pPr>
    </w:p>
    <w:p w14:paraId="23B94B1B" w14:textId="152CF8CD" w:rsidR="004C7180" w:rsidRPr="00150EDC" w:rsidRDefault="004C7180">
      <w:pPr>
        <w:pStyle w:val="BodyText"/>
        <w:rPr>
          <w:b/>
          <w:sz w:val="20"/>
        </w:rPr>
      </w:pPr>
    </w:p>
    <w:p w14:paraId="1683179D" w14:textId="77777777" w:rsidR="004C7180" w:rsidRPr="00150EDC" w:rsidRDefault="004C7180">
      <w:pPr>
        <w:pStyle w:val="BodyText"/>
        <w:spacing w:before="8"/>
        <w:rPr>
          <w:b/>
          <w:sz w:val="12"/>
        </w:rPr>
      </w:pPr>
    </w:p>
    <w:tbl>
      <w:tblPr>
        <w:tblW w:w="0" w:type="auto"/>
        <w:tblInd w:w="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6"/>
        <w:gridCol w:w="3098"/>
        <w:gridCol w:w="2134"/>
        <w:gridCol w:w="1049"/>
        <w:gridCol w:w="740"/>
      </w:tblGrid>
      <w:tr w:rsidR="004569EE" w:rsidRPr="007D3144" w14:paraId="731B953B" w14:textId="77777777" w:rsidTr="46D4E117">
        <w:trPr>
          <w:trHeight w:val="351"/>
        </w:trPr>
        <w:tc>
          <w:tcPr>
            <w:tcW w:w="1276" w:type="dxa"/>
            <w:shd w:val="clear" w:color="auto" w:fill="D9D9D9" w:themeFill="background1" w:themeFillShade="D9"/>
          </w:tcPr>
          <w:p w14:paraId="3E2D9C7B" w14:textId="77777777" w:rsidR="004C7180" w:rsidRPr="00150EDC" w:rsidRDefault="00CF0754">
            <w:pPr>
              <w:pStyle w:val="TableParagraph"/>
              <w:spacing w:before="102" w:line="240" w:lineRule="auto"/>
              <w:ind w:left="81"/>
              <w:rPr>
                <w:b/>
                <w:sz w:val="13"/>
              </w:rPr>
            </w:pPr>
            <w:r w:rsidRPr="00150EDC">
              <w:rPr>
                <w:b/>
                <w:w w:val="105"/>
                <w:sz w:val="13"/>
              </w:rPr>
              <w:t>Service</w:t>
            </w:r>
            <w:r w:rsidRPr="00150EDC">
              <w:rPr>
                <w:b/>
                <w:spacing w:val="-7"/>
                <w:w w:val="105"/>
                <w:sz w:val="13"/>
              </w:rPr>
              <w:t xml:space="preserve"> </w:t>
            </w:r>
            <w:r w:rsidRPr="00150EDC">
              <w:rPr>
                <w:b/>
                <w:spacing w:val="-2"/>
                <w:w w:val="105"/>
                <w:sz w:val="13"/>
              </w:rPr>
              <w:t>Level</w:t>
            </w:r>
          </w:p>
        </w:tc>
        <w:tc>
          <w:tcPr>
            <w:tcW w:w="3098" w:type="dxa"/>
            <w:shd w:val="clear" w:color="auto" w:fill="D9D9D9" w:themeFill="background1" w:themeFillShade="D9"/>
          </w:tcPr>
          <w:p w14:paraId="76D8E83B" w14:textId="77777777" w:rsidR="004C7180" w:rsidRPr="00150EDC" w:rsidRDefault="00CF0754">
            <w:pPr>
              <w:pStyle w:val="TableParagraph"/>
              <w:spacing w:before="22" w:line="150" w:lineRule="atLeast"/>
              <w:ind w:left="82" w:right="17"/>
              <w:rPr>
                <w:b/>
                <w:sz w:val="13"/>
              </w:rPr>
            </w:pPr>
            <w:r w:rsidRPr="00150EDC">
              <w:rPr>
                <w:b/>
                <w:w w:val="105"/>
                <w:sz w:val="13"/>
              </w:rPr>
              <w:t>Service</w:t>
            </w:r>
            <w:r w:rsidRPr="00150EDC">
              <w:rPr>
                <w:b/>
                <w:spacing w:val="-10"/>
                <w:w w:val="105"/>
                <w:sz w:val="13"/>
              </w:rPr>
              <w:t xml:space="preserve"> </w:t>
            </w:r>
            <w:r w:rsidRPr="00150EDC">
              <w:rPr>
                <w:b/>
                <w:w w:val="105"/>
                <w:sz w:val="13"/>
              </w:rPr>
              <w:t>Level</w:t>
            </w:r>
            <w:r w:rsidRPr="00150EDC">
              <w:rPr>
                <w:b/>
                <w:spacing w:val="-9"/>
                <w:w w:val="105"/>
                <w:sz w:val="13"/>
              </w:rPr>
              <w:t xml:space="preserve"> </w:t>
            </w:r>
            <w:r w:rsidRPr="00150EDC">
              <w:rPr>
                <w:b/>
                <w:w w:val="105"/>
                <w:sz w:val="13"/>
              </w:rPr>
              <w:t>Performance</w:t>
            </w:r>
            <w:r w:rsidRPr="00150EDC">
              <w:rPr>
                <w:b/>
                <w:spacing w:val="-10"/>
                <w:w w:val="105"/>
                <w:sz w:val="13"/>
              </w:rPr>
              <w:t xml:space="preserve"> </w:t>
            </w:r>
            <w:r w:rsidRPr="00150EDC">
              <w:rPr>
                <w:b/>
                <w:w w:val="105"/>
                <w:sz w:val="13"/>
              </w:rPr>
              <w:t>Description</w:t>
            </w:r>
            <w:r w:rsidRPr="00150EDC">
              <w:rPr>
                <w:b/>
                <w:spacing w:val="-9"/>
                <w:w w:val="105"/>
                <w:sz w:val="13"/>
              </w:rPr>
              <w:t xml:space="preserve"> </w:t>
            </w:r>
            <w:r w:rsidRPr="00150EDC">
              <w:rPr>
                <w:b/>
                <w:w w:val="105"/>
                <w:sz w:val="13"/>
              </w:rPr>
              <w:t>and</w:t>
            </w:r>
            <w:r w:rsidRPr="00150EDC">
              <w:rPr>
                <w:b/>
                <w:spacing w:val="40"/>
                <w:w w:val="105"/>
                <w:sz w:val="13"/>
              </w:rPr>
              <w:t xml:space="preserve"> </w:t>
            </w:r>
            <w:r w:rsidRPr="00150EDC">
              <w:rPr>
                <w:b/>
                <w:spacing w:val="-2"/>
                <w:w w:val="105"/>
                <w:sz w:val="13"/>
              </w:rPr>
              <w:t>Measurement</w:t>
            </w:r>
          </w:p>
        </w:tc>
        <w:tc>
          <w:tcPr>
            <w:tcW w:w="2134" w:type="dxa"/>
            <w:shd w:val="clear" w:color="auto" w:fill="D9D9D9" w:themeFill="background1" w:themeFillShade="D9"/>
          </w:tcPr>
          <w:p w14:paraId="7A521F8F" w14:textId="77777777" w:rsidR="004C7180" w:rsidRPr="00150EDC" w:rsidRDefault="00CF0754">
            <w:pPr>
              <w:pStyle w:val="TableParagraph"/>
              <w:spacing w:before="22" w:line="150" w:lineRule="atLeast"/>
              <w:ind w:left="81" w:right="296"/>
              <w:rPr>
                <w:b/>
                <w:sz w:val="13"/>
              </w:rPr>
            </w:pPr>
            <w:r w:rsidRPr="00150EDC">
              <w:rPr>
                <w:b/>
                <w:w w:val="105"/>
                <w:sz w:val="13"/>
              </w:rPr>
              <w:t>Service</w:t>
            </w:r>
            <w:r w:rsidRPr="00150EDC">
              <w:rPr>
                <w:b/>
                <w:spacing w:val="-10"/>
                <w:w w:val="105"/>
                <w:sz w:val="13"/>
              </w:rPr>
              <w:t xml:space="preserve"> </w:t>
            </w:r>
            <w:r w:rsidRPr="00150EDC">
              <w:rPr>
                <w:b/>
                <w:w w:val="105"/>
                <w:sz w:val="13"/>
              </w:rPr>
              <w:t>Level</w:t>
            </w:r>
            <w:r w:rsidRPr="00150EDC">
              <w:rPr>
                <w:b/>
                <w:spacing w:val="-9"/>
                <w:w w:val="105"/>
                <w:sz w:val="13"/>
              </w:rPr>
              <w:t xml:space="preserve"> </w:t>
            </w:r>
            <w:r w:rsidRPr="00150EDC">
              <w:rPr>
                <w:b/>
                <w:w w:val="105"/>
                <w:sz w:val="13"/>
              </w:rPr>
              <w:t>Performance</w:t>
            </w:r>
            <w:r w:rsidRPr="00150EDC">
              <w:rPr>
                <w:b/>
                <w:spacing w:val="40"/>
                <w:w w:val="105"/>
                <w:sz w:val="13"/>
              </w:rPr>
              <w:t xml:space="preserve"> </w:t>
            </w:r>
            <w:r w:rsidRPr="00150EDC">
              <w:rPr>
                <w:b/>
                <w:spacing w:val="-2"/>
                <w:w w:val="105"/>
                <w:sz w:val="13"/>
              </w:rPr>
              <w:t>Measure</w:t>
            </w:r>
          </w:p>
        </w:tc>
        <w:tc>
          <w:tcPr>
            <w:tcW w:w="1049" w:type="dxa"/>
            <w:shd w:val="clear" w:color="auto" w:fill="D9D9D9" w:themeFill="background1" w:themeFillShade="D9"/>
          </w:tcPr>
          <w:p w14:paraId="3B91A22B" w14:textId="77777777" w:rsidR="004C7180" w:rsidRPr="00150EDC" w:rsidRDefault="00CF0754">
            <w:pPr>
              <w:pStyle w:val="TableParagraph"/>
              <w:spacing w:before="22" w:line="150" w:lineRule="atLeast"/>
              <w:ind w:left="82"/>
              <w:rPr>
                <w:b/>
                <w:sz w:val="13"/>
              </w:rPr>
            </w:pPr>
            <w:r w:rsidRPr="00150EDC">
              <w:rPr>
                <w:b/>
                <w:spacing w:val="-2"/>
                <w:w w:val="105"/>
                <w:sz w:val="13"/>
              </w:rPr>
              <w:t>Service</w:t>
            </w:r>
            <w:r w:rsidRPr="00150EDC">
              <w:rPr>
                <w:b/>
                <w:spacing w:val="-8"/>
                <w:w w:val="105"/>
                <w:sz w:val="13"/>
              </w:rPr>
              <w:t xml:space="preserve"> </w:t>
            </w:r>
            <w:r w:rsidRPr="00150EDC">
              <w:rPr>
                <w:b/>
                <w:spacing w:val="-2"/>
                <w:w w:val="105"/>
                <w:sz w:val="13"/>
              </w:rPr>
              <w:t>Level</w:t>
            </w:r>
            <w:r w:rsidRPr="00150EDC">
              <w:rPr>
                <w:b/>
                <w:spacing w:val="40"/>
                <w:w w:val="105"/>
                <w:sz w:val="13"/>
              </w:rPr>
              <w:t xml:space="preserve"> </w:t>
            </w:r>
            <w:r w:rsidRPr="00150EDC">
              <w:rPr>
                <w:b/>
                <w:spacing w:val="-2"/>
                <w:w w:val="105"/>
                <w:sz w:val="13"/>
              </w:rPr>
              <w:t>Threshold</w:t>
            </w:r>
          </w:p>
        </w:tc>
        <w:tc>
          <w:tcPr>
            <w:tcW w:w="740" w:type="dxa"/>
            <w:shd w:val="clear" w:color="auto" w:fill="D9D9D9" w:themeFill="background1" w:themeFillShade="D9"/>
          </w:tcPr>
          <w:p w14:paraId="5D0710C7" w14:textId="77777777" w:rsidR="004C7180" w:rsidRPr="00150EDC" w:rsidRDefault="00CF0754">
            <w:pPr>
              <w:pStyle w:val="TableParagraph"/>
              <w:spacing w:before="22" w:line="150" w:lineRule="atLeast"/>
              <w:ind w:left="84" w:right="154"/>
              <w:rPr>
                <w:b/>
                <w:sz w:val="13"/>
              </w:rPr>
            </w:pPr>
            <w:r w:rsidRPr="00150EDC">
              <w:rPr>
                <w:b/>
                <w:spacing w:val="-2"/>
                <w:w w:val="105"/>
                <w:sz w:val="13"/>
              </w:rPr>
              <w:t>Service</w:t>
            </w:r>
            <w:r w:rsidRPr="00150EDC">
              <w:rPr>
                <w:b/>
                <w:spacing w:val="40"/>
                <w:w w:val="105"/>
                <w:sz w:val="13"/>
              </w:rPr>
              <w:t xml:space="preserve"> </w:t>
            </w:r>
            <w:r w:rsidRPr="00150EDC">
              <w:rPr>
                <w:b/>
                <w:spacing w:val="-2"/>
                <w:w w:val="105"/>
                <w:sz w:val="13"/>
              </w:rPr>
              <w:t>Credits</w:t>
            </w:r>
          </w:p>
        </w:tc>
      </w:tr>
      <w:tr w:rsidR="004569EE" w:rsidRPr="007D3144" w14:paraId="263A922F" w14:textId="77777777" w:rsidTr="46D4E117">
        <w:trPr>
          <w:trHeight w:val="2155"/>
        </w:trPr>
        <w:tc>
          <w:tcPr>
            <w:tcW w:w="1276" w:type="dxa"/>
            <w:shd w:val="clear" w:color="auto" w:fill="F1F1F1"/>
          </w:tcPr>
          <w:p w14:paraId="0438EAB4" w14:textId="77777777" w:rsidR="004C7180" w:rsidRPr="00150EDC" w:rsidRDefault="004C7180">
            <w:pPr>
              <w:pStyle w:val="TableParagraph"/>
              <w:spacing w:before="0" w:line="240" w:lineRule="auto"/>
              <w:ind w:left="0"/>
              <w:rPr>
                <w:b/>
                <w:sz w:val="14"/>
              </w:rPr>
            </w:pPr>
          </w:p>
          <w:p w14:paraId="1690AF05" w14:textId="77777777" w:rsidR="004C7180" w:rsidRPr="00150EDC" w:rsidRDefault="004C7180">
            <w:pPr>
              <w:pStyle w:val="TableParagraph"/>
              <w:spacing w:before="0" w:line="240" w:lineRule="auto"/>
              <w:ind w:left="0"/>
              <w:rPr>
                <w:b/>
                <w:sz w:val="14"/>
              </w:rPr>
            </w:pPr>
          </w:p>
          <w:p w14:paraId="47970C10" w14:textId="77777777" w:rsidR="004C7180" w:rsidRPr="00150EDC" w:rsidRDefault="004C7180">
            <w:pPr>
              <w:pStyle w:val="TableParagraph"/>
              <w:spacing w:before="0" w:line="240" w:lineRule="auto"/>
              <w:ind w:left="0"/>
              <w:rPr>
                <w:b/>
                <w:sz w:val="14"/>
              </w:rPr>
            </w:pPr>
          </w:p>
          <w:p w14:paraId="08B692F7" w14:textId="77777777" w:rsidR="004C7180" w:rsidRPr="00150EDC" w:rsidRDefault="004C7180">
            <w:pPr>
              <w:pStyle w:val="TableParagraph"/>
              <w:spacing w:before="2" w:line="240" w:lineRule="auto"/>
              <w:ind w:left="0"/>
              <w:rPr>
                <w:b/>
                <w:sz w:val="18"/>
              </w:rPr>
            </w:pPr>
          </w:p>
          <w:p w14:paraId="5F30B657" w14:textId="77777777" w:rsidR="004C7180" w:rsidRPr="00150EDC" w:rsidRDefault="00CF0754">
            <w:pPr>
              <w:pStyle w:val="TableParagraph"/>
              <w:spacing w:before="0" w:line="252" w:lineRule="auto"/>
              <w:ind w:left="81" w:right="224"/>
              <w:jc w:val="both"/>
              <w:rPr>
                <w:b/>
                <w:sz w:val="13"/>
              </w:rPr>
            </w:pPr>
            <w:r w:rsidRPr="00150EDC">
              <w:rPr>
                <w:b/>
                <w:w w:val="105"/>
                <w:sz w:val="13"/>
              </w:rPr>
              <w:t>SLA</w:t>
            </w:r>
            <w:r w:rsidRPr="00150EDC">
              <w:rPr>
                <w:b/>
                <w:spacing w:val="-10"/>
                <w:w w:val="105"/>
                <w:sz w:val="13"/>
              </w:rPr>
              <w:t xml:space="preserve"> </w:t>
            </w:r>
            <w:r w:rsidRPr="00150EDC">
              <w:rPr>
                <w:b/>
                <w:w w:val="105"/>
                <w:sz w:val="13"/>
              </w:rPr>
              <w:t>1:</w:t>
            </w:r>
            <w:r w:rsidRPr="00150EDC">
              <w:rPr>
                <w:b/>
                <w:spacing w:val="-9"/>
                <w:w w:val="105"/>
                <w:sz w:val="13"/>
              </w:rPr>
              <w:t xml:space="preserve"> </w:t>
            </w:r>
            <w:r w:rsidRPr="00150EDC">
              <w:rPr>
                <w:b/>
                <w:w w:val="105"/>
                <w:sz w:val="13"/>
              </w:rPr>
              <w:t>Service</w:t>
            </w:r>
            <w:r w:rsidRPr="00150EDC">
              <w:rPr>
                <w:b/>
                <w:spacing w:val="40"/>
                <w:w w:val="105"/>
                <w:sz w:val="13"/>
              </w:rPr>
              <w:t xml:space="preserve"> </w:t>
            </w:r>
            <w:r w:rsidRPr="00150EDC">
              <w:rPr>
                <w:b/>
                <w:w w:val="105"/>
                <w:sz w:val="13"/>
              </w:rPr>
              <w:t>Provision</w:t>
            </w:r>
            <w:r w:rsidRPr="00150EDC">
              <w:rPr>
                <w:b/>
                <w:spacing w:val="-10"/>
                <w:w w:val="105"/>
                <w:sz w:val="13"/>
              </w:rPr>
              <w:t xml:space="preserve"> </w:t>
            </w:r>
            <w:r w:rsidRPr="00150EDC">
              <w:rPr>
                <w:b/>
                <w:w w:val="105"/>
                <w:sz w:val="13"/>
              </w:rPr>
              <w:t>–</w:t>
            </w:r>
            <w:r w:rsidRPr="00150EDC">
              <w:rPr>
                <w:b/>
                <w:spacing w:val="-9"/>
                <w:w w:val="105"/>
                <w:sz w:val="13"/>
              </w:rPr>
              <w:t xml:space="preserve"> </w:t>
            </w:r>
            <w:r w:rsidRPr="00150EDC">
              <w:rPr>
                <w:b/>
                <w:w w:val="105"/>
                <w:sz w:val="13"/>
              </w:rPr>
              <w:t>On</w:t>
            </w:r>
            <w:r w:rsidRPr="00150EDC">
              <w:rPr>
                <w:b/>
                <w:spacing w:val="40"/>
                <w:w w:val="105"/>
                <w:sz w:val="13"/>
              </w:rPr>
              <w:t xml:space="preserve"> </w:t>
            </w:r>
            <w:r w:rsidRPr="00150EDC">
              <w:rPr>
                <w:b/>
                <w:spacing w:val="-4"/>
                <w:w w:val="105"/>
                <w:sz w:val="13"/>
              </w:rPr>
              <w:t>Time</w:t>
            </w:r>
          </w:p>
          <w:p w14:paraId="6AD012AD" w14:textId="77777777" w:rsidR="004C7180" w:rsidRPr="00150EDC" w:rsidRDefault="00CF0754">
            <w:pPr>
              <w:pStyle w:val="TableParagraph"/>
              <w:spacing w:before="0" w:line="249" w:lineRule="auto"/>
              <w:ind w:left="81" w:right="155"/>
              <w:jc w:val="both"/>
              <w:rPr>
                <w:b/>
                <w:sz w:val="13"/>
              </w:rPr>
            </w:pPr>
            <w:r w:rsidRPr="00150EDC">
              <w:rPr>
                <w:b/>
                <w:spacing w:val="-2"/>
                <w:w w:val="105"/>
                <w:sz w:val="13"/>
              </w:rPr>
              <w:t>(Critical</w:t>
            </w:r>
            <w:r w:rsidRPr="00150EDC">
              <w:rPr>
                <w:b/>
                <w:spacing w:val="-8"/>
                <w:w w:val="105"/>
                <w:sz w:val="13"/>
              </w:rPr>
              <w:t xml:space="preserve"> </w:t>
            </w:r>
            <w:r w:rsidRPr="00150EDC">
              <w:rPr>
                <w:b/>
                <w:spacing w:val="-2"/>
                <w:w w:val="105"/>
                <w:sz w:val="13"/>
              </w:rPr>
              <w:t>Service</w:t>
            </w:r>
            <w:r w:rsidRPr="00150EDC">
              <w:rPr>
                <w:b/>
                <w:spacing w:val="40"/>
                <w:w w:val="105"/>
                <w:sz w:val="13"/>
              </w:rPr>
              <w:t xml:space="preserve"> </w:t>
            </w:r>
            <w:r w:rsidRPr="00150EDC">
              <w:rPr>
                <w:b/>
                <w:spacing w:val="-2"/>
                <w:w w:val="105"/>
                <w:sz w:val="13"/>
              </w:rPr>
              <w:t>Level)</w:t>
            </w:r>
          </w:p>
        </w:tc>
        <w:tc>
          <w:tcPr>
            <w:tcW w:w="3098" w:type="dxa"/>
          </w:tcPr>
          <w:p w14:paraId="4B696657" w14:textId="77777777" w:rsidR="004C7180" w:rsidRPr="00150EDC" w:rsidRDefault="00CF0754">
            <w:pPr>
              <w:pStyle w:val="TableParagraph"/>
              <w:spacing w:before="23" w:line="252" w:lineRule="auto"/>
              <w:ind w:left="82" w:right="17"/>
              <w:rPr>
                <w:sz w:val="13"/>
              </w:rPr>
            </w:pPr>
            <w:r w:rsidRPr="00150EDC">
              <w:rPr>
                <w:w w:val="105"/>
                <w:sz w:val="13"/>
              </w:rPr>
              <w:t>The Supplier shall adhere to the overarching</w:t>
            </w:r>
            <w:r w:rsidRPr="00150EDC">
              <w:rPr>
                <w:spacing w:val="40"/>
                <w:w w:val="105"/>
                <w:sz w:val="13"/>
              </w:rPr>
              <w:t xml:space="preserve"> </w:t>
            </w:r>
            <w:r w:rsidRPr="00150EDC">
              <w:rPr>
                <w:w w:val="105"/>
                <w:sz w:val="13"/>
              </w:rPr>
              <w:t>delivery</w:t>
            </w:r>
            <w:r w:rsidRPr="00150EDC">
              <w:rPr>
                <w:spacing w:val="-10"/>
                <w:w w:val="105"/>
                <w:sz w:val="13"/>
              </w:rPr>
              <w:t xml:space="preserve"> </w:t>
            </w:r>
            <w:r w:rsidRPr="00150EDC">
              <w:rPr>
                <w:w w:val="105"/>
                <w:sz w:val="13"/>
              </w:rPr>
              <w:t>plan</w:t>
            </w:r>
            <w:r w:rsidRPr="00150EDC">
              <w:rPr>
                <w:spacing w:val="-8"/>
                <w:w w:val="105"/>
                <w:sz w:val="13"/>
              </w:rPr>
              <w:t xml:space="preserve"> </w:t>
            </w:r>
            <w:r w:rsidRPr="00150EDC">
              <w:rPr>
                <w:w w:val="105"/>
                <w:sz w:val="13"/>
              </w:rPr>
              <w:t>and</w:t>
            </w:r>
            <w:r w:rsidRPr="00150EDC">
              <w:rPr>
                <w:spacing w:val="-9"/>
                <w:w w:val="105"/>
                <w:sz w:val="13"/>
              </w:rPr>
              <w:t xml:space="preserve"> </w:t>
            </w:r>
            <w:r w:rsidRPr="00150EDC">
              <w:rPr>
                <w:w w:val="105"/>
                <w:sz w:val="13"/>
              </w:rPr>
              <w:t>individual</w:t>
            </w:r>
            <w:r w:rsidRPr="00150EDC">
              <w:rPr>
                <w:spacing w:val="-10"/>
                <w:w w:val="105"/>
                <w:sz w:val="13"/>
              </w:rPr>
              <w:t xml:space="preserve"> </w:t>
            </w:r>
            <w:r w:rsidRPr="00150EDC">
              <w:rPr>
                <w:w w:val="105"/>
                <w:sz w:val="13"/>
              </w:rPr>
              <w:t>trial</w:t>
            </w:r>
            <w:r w:rsidRPr="00150EDC">
              <w:rPr>
                <w:spacing w:val="-8"/>
                <w:w w:val="105"/>
                <w:sz w:val="13"/>
              </w:rPr>
              <w:t xml:space="preserve"> </w:t>
            </w:r>
            <w:r w:rsidRPr="00150EDC">
              <w:rPr>
                <w:w w:val="105"/>
                <w:sz w:val="13"/>
              </w:rPr>
              <w:t>delivery</w:t>
            </w:r>
            <w:r w:rsidRPr="00150EDC">
              <w:rPr>
                <w:spacing w:val="-10"/>
                <w:w w:val="105"/>
                <w:sz w:val="13"/>
              </w:rPr>
              <w:t xml:space="preserve"> </w:t>
            </w:r>
            <w:r w:rsidRPr="00150EDC">
              <w:rPr>
                <w:w w:val="105"/>
                <w:sz w:val="13"/>
              </w:rPr>
              <w:t>plans.</w:t>
            </w:r>
          </w:p>
          <w:p w14:paraId="2587FC3C" w14:textId="77777777" w:rsidR="004C7180" w:rsidRPr="00150EDC" w:rsidRDefault="004C7180">
            <w:pPr>
              <w:pStyle w:val="TableParagraph"/>
              <w:spacing w:before="10" w:line="240" w:lineRule="auto"/>
              <w:ind w:left="0"/>
              <w:rPr>
                <w:b/>
                <w:sz w:val="13"/>
              </w:rPr>
            </w:pPr>
          </w:p>
          <w:p w14:paraId="528EEC5F" w14:textId="77777777" w:rsidR="004C7180" w:rsidRPr="00150EDC" w:rsidRDefault="00CF0754">
            <w:pPr>
              <w:pStyle w:val="TableParagraph"/>
              <w:spacing w:before="0" w:line="249" w:lineRule="auto"/>
              <w:ind w:left="82" w:right="17"/>
              <w:rPr>
                <w:i/>
                <w:spacing w:val="-4"/>
                <w:w w:val="105"/>
                <w:sz w:val="13"/>
              </w:rPr>
            </w:pPr>
            <w:r w:rsidRPr="00150EDC">
              <w:rPr>
                <w:i/>
                <w:w w:val="105"/>
                <w:sz w:val="13"/>
              </w:rPr>
              <w:t>Measurement: % of milestones completed on</w:t>
            </w:r>
            <w:r w:rsidRPr="00150EDC">
              <w:rPr>
                <w:i/>
                <w:spacing w:val="40"/>
                <w:w w:val="105"/>
                <w:sz w:val="13"/>
              </w:rPr>
              <w:t xml:space="preserve"> </w:t>
            </w:r>
            <w:r w:rsidRPr="00150EDC">
              <w:rPr>
                <w:i/>
                <w:w w:val="105"/>
                <w:sz w:val="13"/>
              </w:rPr>
              <w:t>time.</w:t>
            </w:r>
            <w:r w:rsidRPr="00150EDC">
              <w:rPr>
                <w:i/>
                <w:spacing w:val="-9"/>
                <w:w w:val="105"/>
                <w:sz w:val="13"/>
              </w:rPr>
              <w:t xml:space="preserve"> </w:t>
            </w:r>
            <w:r w:rsidRPr="00150EDC">
              <w:rPr>
                <w:i/>
                <w:w w:val="105"/>
                <w:sz w:val="13"/>
              </w:rPr>
              <w:t>Monitoring</w:t>
            </w:r>
            <w:r w:rsidRPr="00150EDC">
              <w:rPr>
                <w:i/>
                <w:spacing w:val="-10"/>
                <w:w w:val="105"/>
                <w:sz w:val="13"/>
              </w:rPr>
              <w:t xml:space="preserve"> </w:t>
            </w:r>
            <w:r w:rsidRPr="00150EDC">
              <w:rPr>
                <w:i/>
                <w:w w:val="105"/>
                <w:sz w:val="13"/>
              </w:rPr>
              <w:t>of</w:t>
            </w:r>
            <w:r w:rsidRPr="00150EDC">
              <w:rPr>
                <w:i/>
                <w:spacing w:val="-8"/>
                <w:w w:val="105"/>
                <w:sz w:val="13"/>
              </w:rPr>
              <w:t xml:space="preserve"> </w:t>
            </w:r>
            <w:r w:rsidRPr="00150EDC">
              <w:rPr>
                <w:i/>
                <w:w w:val="105"/>
                <w:sz w:val="13"/>
              </w:rPr>
              <w:t>written</w:t>
            </w:r>
            <w:r w:rsidRPr="00150EDC">
              <w:rPr>
                <w:i/>
                <w:spacing w:val="-10"/>
                <w:w w:val="105"/>
                <w:sz w:val="13"/>
              </w:rPr>
              <w:t xml:space="preserve"> </w:t>
            </w:r>
            <w:r w:rsidRPr="00150EDC">
              <w:rPr>
                <w:i/>
                <w:w w:val="105"/>
                <w:sz w:val="13"/>
              </w:rPr>
              <w:t>progress</w:t>
            </w:r>
            <w:r w:rsidRPr="00150EDC">
              <w:rPr>
                <w:i/>
                <w:spacing w:val="-8"/>
                <w:w w:val="105"/>
                <w:sz w:val="13"/>
              </w:rPr>
              <w:t xml:space="preserve"> </w:t>
            </w:r>
            <w:r w:rsidRPr="00150EDC">
              <w:rPr>
                <w:i/>
                <w:w w:val="105"/>
                <w:sz w:val="13"/>
              </w:rPr>
              <w:t>reports.</w:t>
            </w:r>
            <w:r w:rsidRPr="00150EDC">
              <w:rPr>
                <w:i/>
                <w:spacing w:val="-10"/>
                <w:w w:val="105"/>
                <w:sz w:val="13"/>
              </w:rPr>
              <w:t xml:space="preserve"> </w:t>
            </w:r>
            <w:r w:rsidRPr="00150EDC">
              <w:rPr>
                <w:i/>
                <w:w w:val="105"/>
                <w:sz w:val="13"/>
              </w:rPr>
              <w:t>by</w:t>
            </w:r>
            <w:r w:rsidRPr="00150EDC">
              <w:rPr>
                <w:i/>
                <w:spacing w:val="40"/>
                <w:w w:val="105"/>
                <w:sz w:val="13"/>
              </w:rPr>
              <w:t xml:space="preserve"> </w:t>
            </w:r>
            <w:r w:rsidRPr="00150EDC">
              <w:rPr>
                <w:i/>
                <w:spacing w:val="-4"/>
                <w:w w:val="105"/>
                <w:sz w:val="13"/>
              </w:rPr>
              <w:t>DfE.</w:t>
            </w:r>
          </w:p>
          <w:p w14:paraId="79D1F04D" w14:textId="77777777" w:rsidR="00523BC0" w:rsidRPr="00150EDC" w:rsidRDefault="00523BC0">
            <w:pPr>
              <w:pStyle w:val="TableParagraph"/>
              <w:spacing w:before="0" w:line="249" w:lineRule="auto"/>
              <w:ind w:left="82" w:right="17"/>
              <w:rPr>
                <w:i/>
                <w:spacing w:val="-4"/>
                <w:w w:val="105"/>
                <w:sz w:val="13"/>
              </w:rPr>
            </w:pPr>
          </w:p>
          <w:p w14:paraId="6CE46176" w14:textId="10F04D2E" w:rsidR="00523BC0" w:rsidRPr="00150EDC" w:rsidRDefault="00523BC0">
            <w:pPr>
              <w:pStyle w:val="TableParagraph"/>
              <w:spacing w:before="0" w:line="249" w:lineRule="auto"/>
              <w:ind w:left="82" w:right="17"/>
              <w:rPr>
                <w:iCs/>
                <w:sz w:val="13"/>
              </w:rPr>
            </w:pPr>
            <w:r w:rsidRPr="00150EDC">
              <w:rPr>
                <w:iCs/>
                <w:spacing w:val="-4"/>
                <w:w w:val="105"/>
                <w:sz w:val="13"/>
              </w:rPr>
              <w:t xml:space="preserve">Milestones will be mutually revised and agreed during trial set up.  Once a trail begins  milestones will be fixed. </w:t>
            </w:r>
          </w:p>
        </w:tc>
        <w:tc>
          <w:tcPr>
            <w:tcW w:w="2134" w:type="dxa"/>
          </w:tcPr>
          <w:p w14:paraId="107BD9A4" w14:textId="77777777" w:rsidR="004C7180" w:rsidRPr="00150EDC" w:rsidRDefault="004C7180">
            <w:pPr>
              <w:pStyle w:val="TableParagraph"/>
              <w:spacing w:before="7" w:line="240" w:lineRule="auto"/>
              <w:ind w:left="0"/>
              <w:rPr>
                <w:b/>
                <w:sz w:val="15"/>
              </w:rPr>
            </w:pPr>
          </w:p>
          <w:p w14:paraId="7A592019" w14:textId="77777777" w:rsidR="004C7180" w:rsidRPr="00150EDC" w:rsidRDefault="00CF0754">
            <w:pPr>
              <w:pStyle w:val="TableParagraph"/>
              <w:spacing w:before="1" w:line="249" w:lineRule="auto"/>
              <w:ind w:left="81" w:right="95"/>
              <w:rPr>
                <w:sz w:val="13"/>
              </w:rPr>
            </w:pPr>
            <w:r w:rsidRPr="00150EDC">
              <w:rPr>
                <w:b/>
                <w:w w:val="105"/>
                <w:sz w:val="13"/>
              </w:rPr>
              <w:t>Good</w:t>
            </w:r>
            <w:r w:rsidRPr="00150EDC">
              <w:rPr>
                <w:w w:val="105"/>
                <w:sz w:val="13"/>
              </w:rPr>
              <w:t>: 100% of milestones</w:t>
            </w:r>
            <w:r w:rsidRPr="00150EDC">
              <w:rPr>
                <w:spacing w:val="40"/>
                <w:w w:val="105"/>
                <w:sz w:val="13"/>
              </w:rPr>
              <w:t xml:space="preserve"> </w:t>
            </w:r>
            <w:r w:rsidRPr="00150EDC">
              <w:rPr>
                <w:w w:val="105"/>
                <w:sz w:val="13"/>
              </w:rPr>
              <w:t>completed on time</w:t>
            </w:r>
            <w:r w:rsidRPr="00150EDC">
              <w:rPr>
                <w:spacing w:val="40"/>
                <w:w w:val="105"/>
                <w:sz w:val="13"/>
              </w:rPr>
              <w:t xml:space="preserve"> </w:t>
            </w:r>
            <w:r w:rsidRPr="00150EDC">
              <w:rPr>
                <w:b/>
                <w:w w:val="105"/>
                <w:sz w:val="13"/>
              </w:rPr>
              <w:t>Approaching Target</w:t>
            </w:r>
            <w:r w:rsidRPr="00150EDC">
              <w:rPr>
                <w:w w:val="105"/>
                <w:sz w:val="13"/>
              </w:rPr>
              <w:t>: 97-99%</w:t>
            </w:r>
            <w:r w:rsidRPr="00150EDC">
              <w:rPr>
                <w:spacing w:val="40"/>
                <w:w w:val="105"/>
                <w:sz w:val="13"/>
              </w:rPr>
              <w:t xml:space="preserve"> </w:t>
            </w:r>
            <w:r w:rsidRPr="00150EDC">
              <w:rPr>
                <w:w w:val="105"/>
                <w:sz w:val="13"/>
              </w:rPr>
              <w:t>of</w:t>
            </w:r>
            <w:r w:rsidRPr="00150EDC">
              <w:rPr>
                <w:spacing w:val="-10"/>
                <w:w w:val="105"/>
                <w:sz w:val="13"/>
              </w:rPr>
              <w:t xml:space="preserve"> </w:t>
            </w:r>
            <w:r w:rsidRPr="00150EDC">
              <w:rPr>
                <w:w w:val="105"/>
                <w:sz w:val="13"/>
              </w:rPr>
              <w:t>milestones</w:t>
            </w:r>
            <w:r w:rsidRPr="00150EDC">
              <w:rPr>
                <w:spacing w:val="-9"/>
                <w:w w:val="105"/>
                <w:sz w:val="13"/>
              </w:rPr>
              <w:t xml:space="preserve"> </w:t>
            </w:r>
            <w:r w:rsidRPr="00150EDC">
              <w:rPr>
                <w:w w:val="105"/>
                <w:sz w:val="13"/>
              </w:rPr>
              <w:t>completed</w:t>
            </w:r>
            <w:r w:rsidRPr="00150EDC">
              <w:rPr>
                <w:spacing w:val="-10"/>
                <w:w w:val="105"/>
                <w:sz w:val="13"/>
              </w:rPr>
              <w:t xml:space="preserve"> </w:t>
            </w:r>
            <w:r w:rsidRPr="00150EDC">
              <w:rPr>
                <w:w w:val="105"/>
                <w:sz w:val="13"/>
              </w:rPr>
              <w:t>on</w:t>
            </w:r>
            <w:r w:rsidRPr="00150EDC">
              <w:rPr>
                <w:spacing w:val="-9"/>
                <w:w w:val="105"/>
                <w:sz w:val="13"/>
              </w:rPr>
              <w:t xml:space="preserve"> </w:t>
            </w:r>
            <w:r w:rsidRPr="00150EDC">
              <w:rPr>
                <w:w w:val="105"/>
                <w:sz w:val="13"/>
              </w:rPr>
              <w:t>time</w:t>
            </w:r>
          </w:p>
          <w:p w14:paraId="48314FC6" w14:textId="77777777" w:rsidR="004C7180" w:rsidRPr="00150EDC" w:rsidRDefault="004C7180">
            <w:pPr>
              <w:pStyle w:val="TableParagraph"/>
              <w:spacing w:before="8" w:line="240" w:lineRule="auto"/>
              <w:ind w:left="0"/>
              <w:rPr>
                <w:b/>
                <w:sz w:val="13"/>
              </w:rPr>
            </w:pPr>
          </w:p>
          <w:p w14:paraId="26CE3FF7" w14:textId="77777777" w:rsidR="004C7180" w:rsidRPr="00150EDC" w:rsidRDefault="00CF0754">
            <w:pPr>
              <w:pStyle w:val="TableParagraph"/>
              <w:spacing w:before="0" w:line="249" w:lineRule="auto"/>
              <w:ind w:left="81" w:right="37"/>
              <w:rPr>
                <w:sz w:val="13"/>
              </w:rPr>
            </w:pPr>
            <w:r w:rsidRPr="00150EDC">
              <w:rPr>
                <w:b/>
                <w:w w:val="105"/>
                <w:sz w:val="13"/>
              </w:rPr>
              <w:t>Requires Improvement</w:t>
            </w:r>
            <w:r w:rsidRPr="00150EDC">
              <w:rPr>
                <w:w w:val="105"/>
                <w:sz w:val="13"/>
              </w:rPr>
              <w:t>: 95-</w:t>
            </w:r>
            <w:r w:rsidRPr="00150EDC">
              <w:rPr>
                <w:spacing w:val="40"/>
                <w:w w:val="105"/>
                <w:sz w:val="13"/>
              </w:rPr>
              <w:t xml:space="preserve"> </w:t>
            </w:r>
            <w:r w:rsidRPr="00150EDC">
              <w:rPr>
                <w:w w:val="105"/>
                <w:sz w:val="13"/>
              </w:rPr>
              <w:t>96%</w:t>
            </w:r>
            <w:r w:rsidRPr="00150EDC">
              <w:rPr>
                <w:spacing w:val="-10"/>
                <w:w w:val="105"/>
                <w:sz w:val="13"/>
              </w:rPr>
              <w:t xml:space="preserve"> </w:t>
            </w:r>
            <w:r w:rsidRPr="00150EDC">
              <w:rPr>
                <w:w w:val="105"/>
                <w:sz w:val="13"/>
              </w:rPr>
              <w:t>of</w:t>
            </w:r>
            <w:r w:rsidRPr="00150EDC">
              <w:rPr>
                <w:spacing w:val="-9"/>
                <w:w w:val="105"/>
                <w:sz w:val="13"/>
              </w:rPr>
              <w:t xml:space="preserve"> </w:t>
            </w:r>
            <w:r w:rsidRPr="00150EDC">
              <w:rPr>
                <w:w w:val="105"/>
                <w:sz w:val="13"/>
              </w:rPr>
              <w:t>milestones</w:t>
            </w:r>
            <w:r w:rsidRPr="00150EDC">
              <w:rPr>
                <w:spacing w:val="-10"/>
                <w:w w:val="105"/>
                <w:sz w:val="13"/>
              </w:rPr>
              <w:t xml:space="preserve"> </w:t>
            </w:r>
            <w:r w:rsidRPr="00150EDC">
              <w:rPr>
                <w:w w:val="105"/>
                <w:sz w:val="13"/>
              </w:rPr>
              <w:t>completed</w:t>
            </w:r>
            <w:r w:rsidRPr="00150EDC">
              <w:rPr>
                <w:spacing w:val="-9"/>
                <w:w w:val="105"/>
                <w:sz w:val="13"/>
              </w:rPr>
              <w:t xml:space="preserve"> </w:t>
            </w:r>
            <w:r w:rsidRPr="00150EDC">
              <w:rPr>
                <w:w w:val="105"/>
                <w:sz w:val="13"/>
              </w:rPr>
              <w:t>on</w:t>
            </w:r>
            <w:r w:rsidRPr="00150EDC">
              <w:rPr>
                <w:spacing w:val="40"/>
                <w:w w:val="105"/>
                <w:sz w:val="13"/>
              </w:rPr>
              <w:t xml:space="preserve"> </w:t>
            </w:r>
            <w:r w:rsidRPr="00150EDC">
              <w:rPr>
                <w:spacing w:val="-4"/>
                <w:w w:val="105"/>
                <w:sz w:val="13"/>
              </w:rPr>
              <w:t>time</w:t>
            </w:r>
          </w:p>
          <w:p w14:paraId="5178A2D2" w14:textId="77777777" w:rsidR="004C7180" w:rsidRPr="00150EDC" w:rsidRDefault="004C7180">
            <w:pPr>
              <w:pStyle w:val="TableParagraph"/>
              <w:spacing w:before="8" w:line="240" w:lineRule="auto"/>
              <w:ind w:left="0"/>
              <w:rPr>
                <w:b/>
                <w:sz w:val="13"/>
              </w:rPr>
            </w:pPr>
          </w:p>
          <w:p w14:paraId="1C0B460E" w14:textId="77777777" w:rsidR="004C7180" w:rsidRPr="00150EDC" w:rsidRDefault="00CF0754">
            <w:pPr>
              <w:pStyle w:val="TableParagraph"/>
              <w:spacing w:before="0" w:line="249" w:lineRule="auto"/>
              <w:ind w:left="81" w:right="95"/>
              <w:rPr>
                <w:sz w:val="13"/>
              </w:rPr>
            </w:pPr>
            <w:r w:rsidRPr="00150EDC">
              <w:rPr>
                <w:b/>
                <w:w w:val="105"/>
                <w:sz w:val="13"/>
              </w:rPr>
              <w:t>Inadequate</w:t>
            </w:r>
            <w:r w:rsidRPr="00150EDC">
              <w:rPr>
                <w:w w:val="105"/>
                <w:sz w:val="13"/>
              </w:rPr>
              <w:t>:</w:t>
            </w:r>
            <w:r w:rsidRPr="00150EDC">
              <w:rPr>
                <w:spacing w:val="-10"/>
                <w:w w:val="105"/>
                <w:sz w:val="13"/>
              </w:rPr>
              <w:t xml:space="preserve"> </w:t>
            </w:r>
            <w:r w:rsidRPr="00150EDC">
              <w:rPr>
                <w:w w:val="105"/>
                <w:sz w:val="13"/>
              </w:rPr>
              <w:t>less</w:t>
            </w:r>
            <w:r w:rsidRPr="00150EDC">
              <w:rPr>
                <w:spacing w:val="-9"/>
                <w:w w:val="105"/>
                <w:sz w:val="13"/>
              </w:rPr>
              <w:t xml:space="preserve"> </w:t>
            </w:r>
            <w:r w:rsidRPr="00150EDC">
              <w:rPr>
                <w:w w:val="105"/>
                <w:sz w:val="13"/>
              </w:rPr>
              <w:t>than</w:t>
            </w:r>
            <w:r w:rsidRPr="00150EDC">
              <w:rPr>
                <w:spacing w:val="-10"/>
                <w:w w:val="105"/>
                <w:sz w:val="13"/>
              </w:rPr>
              <w:t xml:space="preserve"> </w:t>
            </w:r>
            <w:r w:rsidRPr="00150EDC">
              <w:rPr>
                <w:w w:val="105"/>
                <w:sz w:val="13"/>
              </w:rPr>
              <w:t>95%</w:t>
            </w:r>
            <w:r w:rsidRPr="00150EDC">
              <w:rPr>
                <w:spacing w:val="-9"/>
                <w:w w:val="105"/>
                <w:sz w:val="13"/>
              </w:rPr>
              <w:t xml:space="preserve"> </w:t>
            </w:r>
            <w:r w:rsidRPr="00150EDC">
              <w:rPr>
                <w:w w:val="105"/>
                <w:sz w:val="13"/>
              </w:rPr>
              <w:t>of</w:t>
            </w:r>
            <w:r w:rsidRPr="00150EDC">
              <w:rPr>
                <w:spacing w:val="40"/>
                <w:w w:val="105"/>
                <w:sz w:val="13"/>
              </w:rPr>
              <w:t xml:space="preserve"> </w:t>
            </w:r>
            <w:r w:rsidRPr="00150EDC">
              <w:rPr>
                <w:w w:val="105"/>
                <w:sz w:val="13"/>
              </w:rPr>
              <w:t>milestones</w:t>
            </w:r>
            <w:r w:rsidRPr="00150EDC">
              <w:rPr>
                <w:spacing w:val="-10"/>
                <w:w w:val="105"/>
                <w:sz w:val="13"/>
              </w:rPr>
              <w:t xml:space="preserve"> </w:t>
            </w:r>
            <w:r w:rsidRPr="00150EDC">
              <w:rPr>
                <w:w w:val="105"/>
                <w:sz w:val="13"/>
              </w:rPr>
              <w:t>completed</w:t>
            </w:r>
            <w:r w:rsidRPr="00150EDC">
              <w:rPr>
                <w:spacing w:val="-8"/>
                <w:w w:val="105"/>
                <w:sz w:val="13"/>
              </w:rPr>
              <w:t xml:space="preserve"> </w:t>
            </w:r>
            <w:r w:rsidRPr="00150EDC">
              <w:rPr>
                <w:w w:val="105"/>
                <w:sz w:val="13"/>
              </w:rPr>
              <w:t>on</w:t>
            </w:r>
            <w:r w:rsidRPr="00150EDC">
              <w:rPr>
                <w:spacing w:val="-10"/>
                <w:w w:val="105"/>
                <w:sz w:val="13"/>
              </w:rPr>
              <w:t xml:space="preserve"> </w:t>
            </w:r>
            <w:r w:rsidRPr="00150EDC">
              <w:rPr>
                <w:spacing w:val="-4"/>
                <w:w w:val="105"/>
                <w:sz w:val="13"/>
              </w:rPr>
              <w:t>time</w:t>
            </w:r>
          </w:p>
        </w:tc>
        <w:tc>
          <w:tcPr>
            <w:tcW w:w="1049" w:type="dxa"/>
          </w:tcPr>
          <w:p w14:paraId="778B52E9" w14:textId="4F95E667" w:rsidR="004C7180" w:rsidRPr="00150EDC" w:rsidRDefault="00CF0754">
            <w:pPr>
              <w:pStyle w:val="TableParagraph"/>
              <w:spacing w:before="23" w:line="252" w:lineRule="auto"/>
              <w:ind w:left="82" w:right="113"/>
              <w:rPr>
                <w:sz w:val="13"/>
              </w:rPr>
            </w:pPr>
            <w:r w:rsidRPr="00150EDC">
              <w:rPr>
                <w:w w:val="105"/>
                <w:sz w:val="13"/>
              </w:rPr>
              <w:t>Supplier</w:t>
            </w:r>
            <w:r w:rsidRPr="00150EDC">
              <w:rPr>
                <w:spacing w:val="-10"/>
                <w:w w:val="105"/>
                <w:sz w:val="13"/>
              </w:rPr>
              <w:t xml:space="preserve"> </w:t>
            </w:r>
            <w:r w:rsidRPr="00150EDC">
              <w:rPr>
                <w:w w:val="105"/>
                <w:sz w:val="13"/>
              </w:rPr>
              <w:t>to</w:t>
            </w:r>
            <w:r w:rsidRPr="00150EDC">
              <w:rPr>
                <w:spacing w:val="-9"/>
                <w:w w:val="105"/>
                <w:sz w:val="13"/>
              </w:rPr>
              <w:t xml:space="preserve"> </w:t>
            </w:r>
            <w:r w:rsidRPr="00150EDC">
              <w:rPr>
                <w:w w:val="105"/>
                <w:sz w:val="13"/>
              </w:rPr>
              <w:t>be</w:t>
            </w:r>
            <w:r w:rsidRPr="00150EDC">
              <w:rPr>
                <w:spacing w:val="40"/>
                <w:w w:val="105"/>
                <w:sz w:val="13"/>
              </w:rPr>
              <w:t xml:space="preserve"> </w:t>
            </w:r>
            <w:r w:rsidRPr="00150EDC">
              <w:rPr>
                <w:w w:val="105"/>
                <w:sz w:val="13"/>
              </w:rPr>
              <w:t>rated</w:t>
            </w:r>
            <w:r w:rsidRPr="00150EDC">
              <w:rPr>
                <w:spacing w:val="-2"/>
                <w:w w:val="105"/>
                <w:sz w:val="13"/>
              </w:rPr>
              <w:t xml:space="preserve"> </w:t>
            </w:r>
            <w:r w:rsidRPr="00150EDC">
              <w:rPr>
                <w:w w:val="105"/>
                <w:sz w:val="13"/>
              </w:rPr>
              <w:t>as</w:t>
            </w:r>
            <w:r w:rsidRPr="00150EDC">
              <w:rPr>
                <w:spacing w:val="40"/>
                <w:w w:val="105"/>
                <w:sz w:val="13"/>
              </w:rPr>
              <w:t xml:space="preserve"> </w:t>
            </w:r>
            <w:r w:rsidRPr="00150EDC">
              <w:rPr>
                <w:spacing w:val="-2"/>
                <w:w w:val="105"/>
                <w:sz w:val="13"/>
              </w:rPr>
              <w:t>‘Good’</w:t>
            </w:r>
            <w:r w:rsidR="00523BC0" w:rsidRPr="00150EDC">
              <w:rPr>
                <w:spacing w:val="-2"/>
                <w:w w:val="105"/>
                <w:sz w:val="13"/>
              </w:rPr>
              <w:t xml:space="preserve"> or “Approaching Target”</w:t>
            </w:r>
            <w:r w:rsidRPr="00150EDC">
              <w:rPr>
                <w:spacing w:val="-2"/>
                <w:w w:val="105"/>
                <w:sz w:val="13"/>
              </w:rPr>
              <w:t>.</w:t>
            </w:r>
          </w:p>
        </w:tc>
        <w:tc>
          <w:tcPr>
            <w:tcW w:w="740" w:type="dxa"/>
            <w:shd w:val="clear" w:color="auto" w:fill="F1F1F1"/>
          </w:tcPr>
          <w:p w14:paraId="36F8ADF4" w14:textId="77777777" w:rsidR="004C7180" w:rsidRPr="00150EDC" w:rsidRDefault="004C7180">
            <w:pPr>
              <w:pStyle w:val="TableParagraph"/>
              <w:spacing w:before="8" w:line="240" w:lineRule="auto"/>
              <w:ind w:left="0"/>
              <w:rPr>
                <w:b/>
                <w:sz w:val="17"/>
              </w:rPr>
            </w:pPr>
          </w:p>
          <w:p w14:paraId="7D364679" w14:textId="77777777" w:rsidR="004C7180" w:rsidRPr="00150EDC" w:rsidRDefault="00CF0754" w:rsidP="46D4E117">
            <w:pPr>
              <w:pStyle w:val="TableParagraph"/>
              <w:spacing w:before="0" w:line="249" w:lineRule="auto"/>
              <w:ind w:left="84" w:right="68"/>
              <w:rPr>
                <w:sz w:val="13"/>
                <w:szCs w:val="13"/>
              </w:rPr>
            </w:pPr>
            <w:r w:rsidRPr="00150EDC">
              <w:rPr>
                <w:w w:val="105"/>
                <w:sz w:val="13"/>
                <w:szCs w:val="13"/>
              </w:rPr>
              <w:t>2.5%</w:t>
            </w:r>
            <w:r w:rsidRPr="00150EDC">
              <w:rPr>
                <w:spacing w:val="-2"/>
                <w:w w:val="105"/>
                <w:sz w:val="13"/>
                <w:szCs w:val="13"/>
              </w:rPr>
              <w:t xml:space="preserve"> </w:t>
            </w:r>
            <w:r w:rsidRPr="00150EDC">
              <w:rPr>
                <w:w w:val="105"/>
                <w:sz w:val="13"/>
                <w:szCs w:val="13"/>
              </w:rPr>
              <w:t>of</w:t>
            </w:r>
            <w:r w:rsidRPr="00150EDC">
              <w:rPr>
                <w:spacing w:val="40"/>
                <w:w w:val="105"/>
                <w:sz w:val="13"/>
                <w:szCs w:val="13"/>
              </w:rPr>
              <w:t xml:space="preserve"> </w:t>
            </w:r>
            <w:r w:rsidRPr="00150EDC">
              <w:rPr>
                <w:spacing w:val="-2"/>
                <w:w w:val="105"/>
                <w:sz w:val="13"/>
                <w:szCs w:val="13"/>
              </w:rPr>
              <w:t>Monthly</w:t>
            </w:r>
            <w:r w:rsidRPr="00150EDC">
              <w:rPr>
                <w:spacing w:val="40"/>
                <w:w w:val="105"/>
                <w:sz w:val="13"/>
                <w:szCs w:val="13"/>
              </w:rPr>
              <w:t xml:space="preserve"> </w:t>
            </w:r>
            <w:r w:rsidRPr="00150EDC">
              <w:rPr>
                <w:spacing w:val="-2"/>
                <w:w w:val="105"/>
                <w:sz w:val="13"/>
                <w:szCs w:val="13"/>
              </w:rPr>
              <w:t>Manage</w:t>
            </w:r>
            <w:r w:rsidRPr="00150EDC">
              <w:rPr>
                <w:spacing w:val="40"/>
                <w:w w:val="105"/>
                <w:sz w:val="13"/>
                <w:szCs w:val="13"/>
              </w:rPr>
              <w:t xml:space="preserve"> </w:t>
            </w:r>
            <w:r w:rsidRPr="00150EDC">
              <w:rPr>
                <w:w w:val="105"/>
                <w:sz w:val="13"/>
                <w:szCs w:val="13"/>
              </w:rPr>
              <w:t>ment</w:t>
            </w:r>
            <w:r w:rsidRPr="00150EDC">
              <w:rPr>
                <w:spacing w:val="-10"/>
                <w:w w:val="105"/>
                <w:sz w:val="13"/>
                <w:szCs w:val="13"/>
              </w:rPr>
              <w:t xml:space="preserve"> </w:t>
            </w:r>
            <w:r w:rsidRPr="00150EDC">
              <w:rPr>
                <w:w w:val="105"/>
                <w:sz w:val="13"/>
                <w:szCs w:val="13"/>
              </w:rPr>
              <w:t>Fee</w:t>
            </w:r>
            <w:r w:rsidRPr="00150EDC">
              <w:rPr>
                <w:spacing w:val="40"/>
                <w:w w:val="105"/>
                <w:sz w:val="13"/>
                <w:szCs w:val="13"/>
              </w:rPr>
              <w:t xml:space="preserve"> </w:t>
            </w:r>
            <w:r w:rsidRPr="00150EDC">
              <w:rPr>
                <w:w w:val="105"/>
                <w:sz w:val="13"/>
                <w:szCs w:val="13"/>
              </w:rPr>
              <w:t>to</w:t>
            </w:r>
            <w:r w:rsidRPr="00150EDC">
              <w:rPr>
                <w:spacing w:val="-2"/>
                <w:w w:val="105"/>
                <w:sz w:val="13"/>
                <w:szCs w:val="13"/>
              </w:rPr>
              <w:t xml:space="preserve"> </w:t>
            </w:r>
            <w:r w:rsidRPr="00150EDC">
              <w:rPr>
                <w:w w:val="105"/>
                <w:sz w:val="13"/>
                <w:szCs w:val="13"/>
              </w:rPr>
              <w:t>be</w:t>
            </w:r>
            <w:r w:rsidRPr="00150EDC">
              <w:rPr>
                <w:spacing w:val="40"/>
                <w:w w:val="105"/>
                <w:sz w:val="13"/>
                <w:szCs w:val="13"/>
              </w:rPr>
              <w:t xml:space="preserve"> </w:t>
            </w:r>
            <w:r w:rsidRPr="00150EDC">
              <w:rPr>
                <w:w w:val="105"/>
                <w:sz w:val="13"/>
                <w:szCs w:val="13"/>
              </w:rPr>
              <w:t>paid</w:t>
            </w:r>
            <w:r w:rsidRPr="00150EDC">
              <w:rPr>
                <w:spacing w:val="-6"/>
                <w:w w:val="105"/>
                <w:sz w:val="13"/>
                <w:szCs w:val="13"/>
              </w:rPr>
              <w:t xml:space="preserve"> </w:t>
            </w:r>
            <w:r w:rsidRPr="00150EDC">
              <w:rPr>
                <w:w w:val="105"/>
                <w:sz w:val="13"/>
                <w:szCs w:val="13"/>
              </w:rPr>
              <w:t>by</w:t>
            </w:r>
            <w:r w:rsidRPr="00150EDC">
              <w:rPr>
                <w:spacing w:val="40"/>
                <w:w w:val="105"/>
                <w:sz w:val="13"/>
                <w:szCs w:val="13"/>
              </w:rPr>
              <w:t xml:space="preserve"> </w:t>
            </w:r>
            <w:r w:rsidRPr="00150EDC">
              <w:rPr>
                <w:spacing w:val="-2"/>
                <w:w w:val="105"/>
                <w:sz w:val="13"/>
                <w:szCs w:val="13"/>
              </w:rPr>
              <w:t>Supplier</w:t>
            </w:r>
            <w:r w:rsidRPr="00150EDC">
              <w:rPr>
                <w:spacing w:val="40"/>
                <w:w w:val="105"/>
                <w:sz w:val="13"/>
                <w:szCs w:val="13"/>
              </w:rPr>
              <w:t xml:space="preserve"> </w:t>
            </w:r>
            <w:r w:rsidRPr="00150EDC">
              <w:rPr>
                <w:w w:val="105"/>
                <w:sz w:val="13"/>
                <w:szCs w:val="13"/>
              </w:rPr>
              <w:t>to</w:t>
            </w:r>
            <w:r w:rsidRPr="00150EDC">
              <w:rPr>
                <w:spacing w:val="-2"/>
                <w:w w:val="105"/>
                <w:sz w:val="13"/>
                <w:szCs w:val="13"/>
              </w:rPr>
              <w:t xml:space="preserve"> </w:t>
            </w:r>
            <w:r w:rsidRPr="00150EDC">
              <w:rPr>
                <w:w w:val="105"/>
                <w:sz w:val="13"/>
                <w:szCs w:val="13"/>
              </w:rPr>
              <w:t>Buyer</w:t>
            </w:r>
          </w:p>
        </w:tc>
      </w:tr>
      <w:tr w:rsidR="004569EE" w:rsidRPr="007D3144" w14:paraId="1D9B55F4" w14:textId="77777777" w:rsidTr="46D4E117">
        <w:trPr>
          <w:trHeight w:val="2378"/>
        </w:trPr>
        <w:tc>
          <w:tcPr>
            <w:tcW w:w="1276" w:type="dxa"/>
            <w:shd w:val="clear" w:color="auto" w:fill="F1F1F1"/>
          </w:tcPr>
          <w:p w14:paraId="3006E33A" w14:textId="77777777" w:rsidR="004C7180" w:rsidRPr="00150EDC" w:rsidRDefault="004C7180">
            <w:pPr>
              <w:pStyle w:val="TableParagraph"/>
              <w:spacing w:before="0" w:line="240" w:lineRule="auto"/>
              <w:ind w:left="0"/>
              <w:rPr>
                <w:b/>
                <w:sz w:val="14"/>
              </w:rPr>
            </w:pPr>
          </w:p>
          <w:p w14:paraId="1347ECDC" w14:textId="77777777" w:rsidR="004C7180" w:rsidRPr="00150EDC" w:rsidRDefault="004C7180">
            <w:pPr>
              <w:pStyle w:val="TableParagraph"/>
              <w:spacing w:before="0" w:line="240" w:lineRule="auto"/>
              <w:ind w:left="0"/>
              <w:rPr>
                <w:b/>
                <w:sz w:val="14"/>
              </w:rPr>
            </w:pPr>
          </w:p>
          <w:p w14:paraId="49565DA8" w14:textId="77777777" w:rsidR="004C7180" w:rsidRPr="00150EDC" w:rsidRDefault="004C7180">
            <w:pPr>
              <w:pStyle w:val="TableParagraph"/>
              <w:spacing w:before="0" w:line="240" w:lineRule="auto"/>
              <w:ind w:left="0"/>
              <w:rPr>
                <w:b/>
                <w:sz w:val="14"/>
              </w:rPr>
            </w:pPr>
          </w:p>
          <w:p w14:paraId="1153D68B" w14:textId="77777777" w:rsidR="004C7180" w:rsidRPr="00150EDC" w:rsidRDefault="004C7180">
            <w:pPr>
              <w:pStyle w:val="TableParagraph"/>
              <w:spacing w:before="0" w:line="240" w:lineRule="auto"/>
              <w:ind w:left="0"/>
              <w:rPr>
                <w:b/>
                <w:sz w:val="14"/>
              </w:rPr>
            </w:pPr>
          </w:p>
          <w:p w14:paraId="585A442C" w14:textId="77777777" w:rsidR="004C7180" w:rsidRPr="00150EDC" w:rsidRDefault="00CF0754">
            <w:pPr>
              <w:pStyle w:val="TableParagraph"/>
              <w:spacing w:before="82" w:line="249" w:lineRule="auto"/>
              <w:ind w:left="81"/>
              <w:rPr>
                <w:b/>
                <w:sz w:val="13"/>
              </w:rPr>
            </w:pPr>
            <w:r w:rsidRPr="00150EDC">
              <w:rPr>
                <w:b/>
                <w:w w:val="105"/>
                <w:sz w:val="13"/>
              </w:rPr>
              <w:t>SLA 2: Service</w:t>
            </w:r>
            <w:r w:rsidRPr="00150EDC">
              <w:rPr>
                <w:b/>
                <w:spacing w:val="40"/>
                <w:w w:val="105"/>
                <w:sz w:val="13"/>
              </w:rPr>
              <w:t xml:space="preserve"> </w:t>
            </w:r>
            <w:r w:rsidRPr="00150EDC">
              <w:rPr>
                <w:b/>
                <w:w w:val="105"/>
                <w:sz w:val="13"/>
              </w:rPr>
              <w:t>Provision</w:t>
            </w:r>
            <w:r w:rsidRPr="00150EDC">
              <w:rPr>
                <w:b/>
                <w:spacing w:val="-6"/>
                <w:w w:val="105"/>
                <w:sz w:val="13"/>
              </w:rPr>
              <w:t xml:space="preserve"> </w:t>
            </w:r>
            <w:r w:rsidRPr="00150EDC">
              <w:rPr>
                <w:b/>
                <w:w w:val="105"/>
                <w:sz w:val="13"/>
              </w:rPr>
              <w:t>–</w:t>
            </w:r>
            <w:r w:rsidRPr="00150EDC">
              <w:rPr>
                <w:b/>
                <w:spacing w:val="40"/>
                <w:w w:val="105"/>
                <w:sz w:val="13"/>
              </w:rPr>
              <w:t xml:space="preserve"> </w:t>
            </w:r>
            <w:r w:rsidRPr="00150EDC">
              <w:rPr>
                <w:b/>
                <w:spacing w:val="-2"/>
                <w:w w:val="105"/>
                <w:sz w:val="13"/>
              </w:rPr>
              <w:t>Readiness</w:t>
            </w:r>
            <w:r w:rsidRPr="00150EDC">
              <w:rPr>
                <w:b/>
                <w:spacing w:val="40"/>
                <w:w w:val="105"/>
                <w:sz w:val="13"/>
              </w:rPr>
              <w:t xml:space="preserve"> </w:t>
            </w:r>
            <w:r w:rsidRPr="00150EDC">
              <w:rPr>
                <w:b/>
                <w:spacing w:val="-2"/>
                <w:w w:val="105"/>
                <w:sz w:val="13"/>
              </w:rPr>
              <w:t>Requirement</w:t>
            </w:r>
            <w:r w:rsidRPr="00150EDC">
              <w:rPr>
                <w:b/>
                <w:spacing w:val="40"/>
                <w:w w:val="105"/>
                <w:sz w:val="13"/>
              </w:rPr>
              <w:t xml:space="preserve"> </w:t>
            </w:r>
            <w:r w:rsidRPr="00150EDC">
              <w:rPr>
                <w:b/>
                <w:spacing w:val="-2"/>
                <w:w w:val="105"/>
                <w:sz w:val="13"/>
              </w:rPr>
              <w:t>(Critical</w:t>
            </w:r>
            <w:r w:rsidRPr="00150EDC">
              <w:rPr>
                <w:b/>
                <w:spacing w:val="-8"/>
                <w:w w:val="105"/>
                <w:sz w:val="13"/>
              </w:rPr>
              <w:t xml:space="preserve"> </w:t>
            </w:r>
            <w:r w:rsidRPr="00150EDC">
              <w:rPr>
                <w:b/>
                <w:spacing w:val="-2"/>
                <w:w w:val="105"/>
                <w:sz w:val="13"/>
              </w:rPr>
              <w:t>Service</w:t>
            </w:r>
            <w:r w:rsidRPr="00150EDC">
              <w:rPr>
                <w:b/>
                <w:spacing w:val="40"/>
                <w:w w:val="105"/>
                <w:sz w:val="13"/>
              </w:rPr>
              <w:t xml:space="preserve"> </w:t>
            </w:r>
            <w:r w:rsidRPr="00150EDC">
              <w:rPr>
                <w:b/>
                <w:spacing w:val="-2"/>
                <w:w w:val="105"/>
                <w:sz w:val="13"/>
              </w:rPr>
              <w:t>Level)</w:t>
            </w:r>
          </w:p>
        </w:tc>
        <w:tc>
          <w:tcPr>
            <w:tcW w:w="3098" w:type="dxa"/>
          </w:tcPr>
          <w:p w14:paraId="19F6363C" w14:textId="6C69AA36" w:rsidR="004C7180" w:rsidRPr="00150EDC" w:rsidRDefault="00CF0754">
            <w:pPr>
              <w:pStyle w:val="TableParagraph"/>
              <w:spacing w:before="25" w:line="249" w:lineRule="auto"/>
              <w:ind w:left="82" w:right="17"/>
              <w:rPr>
                <w:sz w:val="13"/>
                <w:szCs w:val="13"/>
              </w:rPr>
            </w:pPr>
            <w:r w:rsidRPr="00150EDC">
              <w:rPr>
                <w:w w:val="105"/>
                <w:sz w:val="13"/>
                <w:szCs w:val="13"/>
              </w:rPr>
              <w:t xml:space="preserve">The Supplier shall ensure that </w:t>
            </w:r>
            <w:r w:rsidR="00523BC0" w:rsidRPr="00150EDC">
              <w:rPr>
                <w:w w:val="105"/>
                <w:sz w:val="13"/>
                <w:szCs w:val="13"/>
              </w:rPr>
              <w:t xml:space="preserve">a sufficient number of </w:t>
            </w:r>
            <w:r w:rsidRPr="00150EDC">
              <w:rPr>
                <w:w w:val="105"/>
                <w:sz w:val="13"/>
                <w:szCs w:val="13"/>
              </w:rPr>
              <w:t xml:space="preserve"> learning</w:t>
            </w:r>
            <w:r w:rsidRPr="00150EDC">
              <w:rPr>
                <w:spacing w:val="40"/>
                <w:w w:val="105"/>
                <w:sz w:val="13"/>
                <w:szCs w:val="13"/>
              </w:rPr>
              <w:t xml:space="preserve"> </w:t>
            </w:r>
            <w:r w:rsidRPr="00150EDC">
              <w:rPr>
                <w:w w:val="105"/>
                <w:sz w:val="13"/>
                <w:szCs w:val="13"/>
              </w:rPr>
              <w:t>providers</w:t>
            </w:r>
            <w:r w:rsidRPr="00150EDC">
              <w:rPr>
                <w:spacing w:val="-10"/>
                <w:w w:val="105"/>
                <w:sz w:val="13"/>
                <w:szCs w:val="13"/>
              </w:rPr>
              <w:t xml:space="preserve"> </w:t>
            </w:r>
            <w:r w:rsidRPr="00150EDC">
              <w:rPr>
                <w:w w:val="105"/>
                <w:sz w:val="13"/>
                <w:szCs w:val="13"/>
              </w:rPr>
              <w:t>meet</w:t>
            </w:r>
            <w:r w:rsidRPr="00150EDC">
              <w:rPr>
                <w:spacing w:val="-8"/>
                <w:w w:val="105"/>
                <w:sz w:val="13"/>
                <w:szCs w:val="13"/>
              </w:rPr>
              <w:t xml:space="preserve"> </w:t>
            </w:r>
            <w:r w:rsidRPr="00150EDC">
              <w:rPr>
                <w:w w:val="105"/>
                <w:sz w:val="13"/>
                <w:szCs w:val="13"/>
              </w:rPr>
              <w:t>all</w:t>
            </w:r>
            <w:r w:rsidRPr="00150EDC">
              <w:rPr>
                <w:spacing w:val="-9"/>
                <w:w w:val="105"/>
                <w:sz w:val="13"/>
                <w:szCs w:val="13"/>
              </w:rPr>
              <w:t xml:space="preserve"> </w:t>
            </w:r>
            <w:r w:rsidRPr="00150EDC">
              <w:rPr>
                <w:w w:val="105"/>
                <w:sz w:val="13"/>
                <w:szCs w:val="13"/>
              </w:rPr>
              <w:t>readiness</w:t>
            </w:r>
            <w:r w:rsidRPr="00150EDC">
              <w:rPr>
                <w:spacing w:val="-9"/>
                <w:w w:val="105"/>
                <w:sz w:val="13"/>
                <w:szCs w:val="13"/>
              </w:rPr>
              <w:t xml:space="preserve"> </w:t>
            </w:r>
            <w:r w:rsidRPr="00150EDC">
              <w:rPr>
                <w:w w:val="105"/>
                <w:sz w:val="13"/>
                <w:szCs w:val="13"/>
              </w:rPr>
              <w:t>requirements</w:t>
            </w:r>
            <w:r w:rsidRPr="00150EDC">
              <w:rPr>
                <w:spacing w:val="-10"/>
                <w:w w:val="105"/>
                <w:sz w:val="13"/>
                <w:szCs w:val="13"/>
              </w:rPr>
              <w:t xml:space="preserve"> </w:t>
            </w:r>
            <w:r w:rsidRPr="00150EDC">
              <w:rPr>
                <w:w w:val="105"/>
                <w:sz w:val="13"/>
                <w:szCs w:val="13"/>
              </w:rPr>
              <w:t>in</w:t>
            </w:r>
            <w:r w:rsidRPr="00150EDC">
              <w:rPr>
                <w:spacing w:val="-9"/>
                <w:w w:val="105"/>
                <w:sz w:val="13"/>
                <w:szCs w:val="13"/>
              </w:rPr>
              <w:t xml:space="preserve"> </w:t>
            </w:r>
            <w:r w:rsidRPr="00150EDC">
              <w:rPr>
                <w:w w:val="105"/>
                <w:sz w:val="13"/>
                <w:szCs w:val="13"/>
              </w:rPr>
              <w:t>line</w:t>
            </w:r>
            <w:r w:rsidRPr="00150EDC">
              <w:rPr>
                <w:spacing w:val="40"/>
                <w:w w:val="105"/>
                <w:sz w:val="13"/>
                <w:szCs w:val="13"/>
              </w:rPr>
              <w:t xml:space="preserve"> </w:t>
            </w:r>
            <w:r w:rsidRPr="00150EDC">
              <w:rPr>
                <w:w w:val="105"/>
                <w:sz w:val="13"/>
                <w:szCs w:val="13"/>
              </w:rPr>
              <w:t>with the agreed project plan. Including training,</w:t>
            </w:r>
            <w:r w:rsidRPr="00150EDC">
              <w:rPr>
                <w:spacing w:val="40"/>
                <w:w w:val="105"/>
                <w:sz w:val="13"/>
                <w:szCs w:val="13"/>
              </w:rPr>
              <w:t xml:space="preserve"> </w:t>
            </w:r>
            <w:r w:rsidRPr="00150EDC">
              <w:rPr>
                <w:w w:val="105"/>
                <w:sz w:val="13"/>
                <w:szCs w:val="13"/>
              </w:rPr>
              <w:t>contracts/agreements in place, course</w:t>
            </w:r>
            <w:r w:rsidRPr="00150EDC">
              <w:rPr>
                <w:spacing w:val="40"/>
                <w:w w:val="105"/>
                <w:sz w:val="13"/>
                <w:szCs w:val="13"/>
              </w:rPr>
              <w:t xml:space="preserve"> </w:t>
            </w:r>
            <w:r w:rsidRPr="00150EDC">
              <w:rPr>
                <w:spacing w:val="-2"/>
                <w:w w:val="105"/>
                <w:sz w:val="13"/>
                <w:szCs w:val="13"/>
              </w:rPr>
              <w:t>advertisement.</w:t>
            </w:r>
          </w:p>
          <w:p w14:paraId="158B6501" w14:textId="77777777" w:rsidR="004C7180" w:rsidRPr="00150EDC" w:rsidRDefault="004C7180">
            <w:pPr>
              <w:pStyle w:val="TableParagraph"/>
              <w:spacing w:before="9" w:line="240" w:lineRule="auto"/>
              <w:ind w:left="0"/>
              <w:rPr>
                <w:b/>
                <w:sz w:val="13"/>
              </w:rPr>
            </w:pPr>
          </w:p>
          <w:p w14:paraId="1FAE9C99" w14:textId="648D302C" w:rsidR="004C7180" w:rsidRPr="00150EDC" w:rsidRDefault="00CF0754">
            <w:pPr>
              <w:pStyle w:val="TableParagraph"/>
              <w:spacing w:before="0" w:line="249" w:lineRule="auto"/>
              <w:ind w:left="82" w:right="152"/>
              <w:rPr>
                <w:i/>
                <w:sz w:val="13"/>
              </w:rPr>
            </w:pPr>
            <w:r w:rsidRPr="00150EDC">
              <w:rPr>
                <w:i/>
                <w:w w:val="105"/>
                <w:sz w:val="13"/>
              </w:rPr>
              <w:t xml:space="preserve">Measurement: </w:t>
            </w:r>
            <w:r w:rsidR="00523BC0" w:rsidRPr="00150EDC">
              <w:rPr>
                <w:i/>
                <w:w w:val="105"/>
                <w:sz w:val="13"/>
              </w:rPr>
              <w:t>A sufficient n</w:t>
            </w:r>
            <w:r w:rsidRPr="00150EDC">
              <w:rPr>
                <w:i/>
                <w:w w:val="105"/>
                <w:sz w:val="13"/>
              </w:rPr>
              <w:t>umber of trial providers that</w:t>
            </w:r>
            <w:r w:rsidRPr="00150EDC">
              <w:rPr>
                <w:i/>
                <w:spacing w:val="40"/>
                <w:w w:val="105"/>
                <w:sz w:val="13"/>
              </w:rPr>
              <w:t xml:space="preserve"> </w:t>
            </w:r>
            <w:r w:rsidRPr="00150EDC">
              <w:rPr>
                <w:i/>
                <w:w w:val="105"/>
                <w:sz w:val="13"/>
              </w:rPr>
              <w:t>meet the readiness requirements prior to trial</w:t>
            </w:r>
            <w:r w:rsidRPr="00150EDC">
              <w:rPr>
                <w:i/>
                <w:spacing w:val="40"/>
                <w:w w:val="105"/>
                <w:sz w:val="13"/>
              </w:rPr>
              <w:t xml:space="preserve"> </w:t>
            </w:r>
            <w:r w:rsidRPr="00150EDC">
              <w:rPr>
                <w:i/>
                <w:w w:val="105"/>
                <w:sz w:val="13"/>
              </w:rPr>
              <w:t>commencement.</w:t>
            </w:r>
            <w:r w:rsidRPr="00150EDC">
              <w:rPr>
                <w:i/>
                <w:spacing w:val="-10"/>
                <w:w w:val="105"/>
                <w:sz w:val="13"/>
              </w:rPr>
              <w:t xml:space="preserve"> </w:t>
            </w:r>
            <w:r w:rsidRPr="00150EDC">
              <w:rPr>
                <w:i/>
                <w:w w:val="105"/>
                <w:sz w:val="13"/>
              </w:rPr>
              <w:t>Proof</w:t>
            </w:r>
            <w:r w:rsidRPr="00150EDC">
              <w:rPr>
                <w:i/>
                <w:spacing w:val="-9"/>
                <w:w w:val="105"/>
                <w:sz w:val="13"/>
              </w:rPr>
              <w:t xml:space="preserve"> </w:t>
            </w:r>
            <w:r w:rsidRPr="00150EDC">
              <w:rPr>
                <w:i/>
                <w:w w:val="105"/>
                <w:sz w:val="13"/>
              </w:rPr>
              <w:t>that</w:t>
            </w:r>
            <w:r w:rsidRPr="00150EDC">
              <w:rPr>
                <w:i/>
                <w:spacing w:val="-10"/>
                <w:w w:val="105"/>
                <w:sz w:val="13"/>
              </w:rPr>
              <w:t xml:space="preserve"> </w:t>
            </w:r>
            <w:r w:rsidRPr="00150EDC">
              <w:rPr>
                <w:i/>
                <w:w w:val="105"/>
                <w:sz w:val="13"/>
              </w:rPr>
              <w:t>trial</w:t>
            </w:r>
            <w:r w:rsidRPr="00150EDC">
              <w:rPr>
                <w:i/>
                <w:spacing w:val="-9"/>
                <w:w w:val="105"/>
                <w:sz w:val="13"/>
              </w:rPr>
              <w:t xml:space="preserve"> </w:t>
            </w:r>
            <w:r w:rsidRPr="00150EDC">
              <w:rPr>
                <w:i/>
                <w:w w:val="105"/>
                <w:sz w:val="13"/>
              </w:rPr>
              <w:t>providers</w:t>
            </w:r>
            <w:r w:rsidRPr="00150EDC">
              <w:rPr>
                <w:i/>
                <w:spacing w:val="-10"/>
                <w:w w:val="105"/>
                <w:sz w:val="13"/>
              </w:rPr>
              <w:t xml:space="preserve"> </w:t>
            </w:r>
            <w:r w:rsidRPr="00150EDC">
              <w:rPr>
                <w:i/>
                <w:w w:val="105"/>
                <w:sz w:val="13"/>
              </w:rPr>
              <w:t>meet</w:t>
            </w:r>
            <w:r w:rsidRPr="00150EDC">
              <w:rPr>
                <w:i/>
                <w:spacing w:val="40"/>
                <w:w w:val="105"/>
                <w:sz w:val="13"/>
              </w:rPr>
              <w:t xml:space="preserve"> </w:t>
            </w:r>
            <w:r w:rsidRPr="00150EDC">
              <w:rPr>
                <w:i/>
                <w:w w:val="105"/>
                <w:sz w:val="13"/>
              </w:rPr>
              <w:t>the readiness requirements to be provided by</w:t>
            </w:r>
            <w:r w:rsidRPr="00150EDC">
              <w:rPr>
                <w:i/>
                <w:spacing w:val="40"/>
                <w:w w:val="105"/>
                <w:sz w:val="13"/>
              </w:rPr>
              <w:t xml:space="preserve"> </w:t>
            </w:r>
            <w:r w:rsidRPr="00150EDC">
              <w:rPr>
                <w:i/>
                <w:w w:val="105"/>
                <w:sz w:val="13"/>
              </w:rPr>
              <w:t>the Supplier to the Buyer, prior to the</w:t>
            </w:r>
            <w:r w:rsidRPr="00150EDC">
              <w:rPr>
                <w:i/>
                <w:spacing w:val="40"/>
                <w:w w:val="105"/>
                <w:sz w:val="13"/>
              </w:rPr>
              <w:t xml:space="preserve"> </w:t>
            </w:r>
            <w:r w:rsidRPr="00150EDC">
              <w:rPr>
                <w:i/>
                <w:w w:val="105"/>
                <w:sz w:val="13"/>
              </w:rPr>
              <w:t>commencement of each trial.</w:t>
            </w:r>
            <w:r w:rsidR="00523BC0" w:rsidRPr="00150EDC">
              <w:rPr>
                <w:i/>
                <w:w w:val="105"/>
                <w:sz w:val="13"/>
              </w:rPr>
              <w:t xml:space="preserve">  Evidence of readiness will be provided to the Buyer in table format. The Buyer will provide the appropriate template to the supplier to complete.</w:t>
            </w:r>
          </w:p>
        </w:tc>
        <w:tc>
          <w:tcPr>
            <w:tcW w:w="2134" w:type="dxa"/>
          </w:tcPr>
          <w:p w14:paraId="08BA6D21" w14:textId="7E260FC9" w:rsidR="004C7180" w:rsidRPr="00150EDC" w:rsidRDefault="00CF0754">
            <w:pPr>
              <w:pStyle w:val="TableParagraph"/>
              <w:spacing w:before="25" w:line="252" w:lineRule="auto"/>
              <w:ind w:left="81" w:right="198"/>
              <w:rPr>
                <w:sz w:val="13"/>
              </w:rPr>
            </w:pPr>
            <w:r w:rsidRPr="00150EDC">
              <w:rPr>
                <w:b/>
                <w:w w:val="105"/>
                <w:sz w:val="13"/>
              </w:rPr>
              <w:t>Good</w:t>
            </w:r>
            <w:r w:rsidRPr="00150EDC">
              <w:rPr>
                <w:w w:val="105"/>
                <w:sz w:val="13"/>
              </w:rPr>
              <w:t>:</w:t>
            </w:r>
            <w:r w:rsidRPr="00150EDC">
              <w:rPr>
                <w:spacing w:val="-10"/>
                <w:w w:val="105"/>
                <w:sz w:val="13"/>
              </w:rPr>
              <w:t xml:space="preserve"> </w:t>
            </w:r>
            <w:r w:rsidRPr="00150EDC">
              <w:rPr>
                <w:w w:val="105"/>
                <w:sz w:val="13"/>
              </w:rPr>
              <w:t>100%</w:t>
            </w:r>
            <w:r w:rsidRPr="00150EDC">
              <w:rPr>
                <w:spacing w:val="-9"/>
                <w:w w:val="105"/>
                <w:sz w:val="13"/>
              </w:rPr>
              <w:t xml:space="preserve"> </w:t>
            </w:r>
            <w:r w:rsidRPr="00150EDC">
              <w:rPr>
                <w:w w:val="105"/>
                <w:sz w:val="13"/>
              </w:rPr>
              <w:t>of</w:t>
            </w:r>
            <w:r w:rsidRPr="00150EDC">
              <w:rPr>
                <w:spacing w:val="-10"/>
                <w:w w:val="105"/>
                <w:sz w:val="13"/>
              </w:rPr>
              <w:t xml:space="preserve"> </w:t>
            </w:r>
            <w:r w:rsidRPr="00150EDC">
              <w:rPr>
                <w:w w:val="105"/>
                <w:sz w:val="13"/>
              </w:rPr>
              <w:t>trial</w:t>
            </w:r>
            <w:r w:rsidRPr="00150EDC">
              <w:rPr>
                <w:spacing w:val="-9"/>
                <w:w w:val="105"/>
                <w:sz w:val="13"/>
              </w:rPr>
              <w:t xml:space="preserve"> </w:t>
            </w:r>
            <w:r w:rsidRPr="00150EDC">
              <w:rPr>
                <w:w w:val="105"/>
                <w:sz w:val="13"/>
              </w:rPr>
              <w:t>providers</w:t>
            </w:r>
            <w:r w:rsidRPr="00150EDC">
              <w:rPr>
                <w:spacing w:val="40"/>
                <w:w w:val="105"/>
                <w:sz w:val="13"/>
              </w:rPr>
              <w:t xml:space="preserve"> </w:t>
            </w:r>
            <w:r w:rsidRPr="00150EDC">
              <w:rPr>
                <w:w w:val="105"/>
                <w:sz w:val="13"/>
              </w:rPr>
              <w:t>meet the readiness</w:t>
            </w:r>
            <w:r w:rsidRPr="00150EDC">
              <w:rPr>
                <w:spacing w:val="40"/>
                <w:w w:val="105"/>
                <w:sz w:val="13"/>
              </w:rPr>
              <w:t xml:space="preserve"> </w:t>
            </w:r>
            <w:r w:rsidRPr="00150EDC">
              <w:rPr>
                <w:spacing w:val="-2"/>
                <w:w w:val="105"/>
                <w:sz w:val="13"/>
              </w:rPr>
              <w:t>requirements</w:t>
            </w:r>
            <w:r w:rsidR="00523BC0" w:rsidRPr="00150EDC">
              <w:rPr>
                <w:spacing w:val="-2"/>
                <w:w w:val="105"/>
                <w:sz w:val="13"/>
              </w:rPr>
              <w:t xml:space="preserve"> as set by the Buyer.</w:t>
            </w:r>
          </w:p>
          <w:p w14:paraId="72F952C4" w14:textId="77777777" w:rsidR="004C7180" w:rsidRPr="00150EDC" w:rsidRDefault="004C7180">
            <w:pPr>
              <w:pStyle w:val="TableParagraph"/>
              <w:spacing w:before="3" w:line="240" w:lineRule="auto"/>
              <w:ind w:left="0"/>
              <w:rPr>
                <w:b/>
                <w:sz w:val="13"/>
              </w:rPr>
            </w:pPr>
          </w:p>
          <w:p w14:paraId="61E929DA" w14:textId="77777777" w:rsidR="004C7180" w:rsidRPr="00150EDC" w:rsidRDefault="00CF0754">
            <w:pPr>
              <w:pStyle w:val="TableParagraph"/>
              <w:spacing w:before="0" w:line="252" w:lineRule="auto"/>
              <w:ind w:left="81" w:right="198"/>
              <w:rPr>
                <w:sz w:val="13"/>
              </w:rPr>
            </w:pPr>
            <w:r w:rsidRPr="00150EDC">
              <w:rPr>
                <w:b/>
                <w:w w:val="105"/>
                <w:sz w:val="13"/>
              </w:rPr>
              <w:t>Approaching</w:t>
            </w:r>
            <w:r w:rsidRPr="00150EDC">
              <w:rPr>
                <w:b/>
                <w:spacing w:val="-10"/>
                <w:w w:val="105"/>
                <w:sz w:val="13"/>
              </w:rPr>
              <w:t xml:space="preserve"> </w:t>
            </w:r>
            <w:r w:rsidRPr="00150EDC">
              <w:rPr>
                <w:b/>
                <w:w w:val="105"/>
                <w:sz w:val="13"/>
              </w:rPr>
              <w:t>Target</w:t>
            </w:r>
            <w:r w:rsidRPr="00150EDC">
              <w:rPr>
                <w:w w:val="105"/>
                <w:sz w:val="13"/>
              </w:rPr>
              <w:t>:</w:t>
            </w:r>
            <w:r w:rsidRPr="00150EDC">
              <w:rPr>
                <w:spacing w:val="-9"/>
                <w:w w:val="105"/>
                <w:sz w:val="13"/>
              </w:rPr>
              <w:t xml:space="preserve"> </w:t>
            </w:r>
            <w:r w:rsidRPr="00150EDC">
              <w:rPr>
                <w:w w:val="105"/>
                <w:sz w:val="13"/>
              </w:rPr>
              <w:t>97-99%</w:t>
            </w:r>
            <w:r w:rsidRPr="00150EDC">
              <w:rPr>
                <w:spacing w:val="40"/>
                <w:w w:val="105"/>
                <w:sz w:val="13"/>
              </w:rPr>
              <w:t xml:space="preserve"> </w:t>
            </w:r>
            <w:r w:rsidRPr="00150EDC">
              <w:rPr>
                <w:w w:val="105"/>
                <w:sz w:val="13"/>
              </w:rPr>
              <w:t>of trial providers mee the</w:t>
            </w:r>
            <w:r w:rsidRPr="00150EDC">
              <w:rPr>
                <w:spacing w:val="40"/>
                <w:w w:val="105"/>
                <w:sz w:val="13"/>
              </w:rPr>
              <w:t xml:space="preserve"> </w:t>
            </w:r>
            <w:r w:rsidRPr="00150EDC">
              <w:rPr>
                <w:w w:val="105"/>
                <w:sz w:val="13"/>
              </w:rPr>
              <w:t>readiness</w:t>
            </w:r>
            <w:r w:rsidRPr="00150EDC">
              <w:rPr>
                <w:spacing w:val="-2"/>
                <w:w w:val="105"/>
                <w:sz w:val="13"/>
              </w:rPr>
              <w:t xml:space="preserve"> </w:t>
            </w:r>
            <w:r w:rsidRPr="00150EDC">
              <w:rPr>
                <w:w w:val="105"/>
                <w:sz w:val="13"/>
              </w:rPr>
              <w:t>requirements</w:t>
            </w:r>
          </w:p>
          <w:p w14:paraId="48F78BC0" w14:textId="77777777" w:rsidR="004C7180" w:rsidRPr="00150EDC" w:rsidRDefault="004C7180">
            <w:pPr>
              <w:pStyle w:val="TableParagraph"/>
              <w:spacing w:before="3" w:line="240" w:lineRule="auto"/>
              <w:ind w:left="0"/>
              <w:rPr>
                <w:b/>
                <w:sz w:val="13"/>
              </w:rPr>
            </w:pPr>
          </w:p>
          <w:p w14:paraId="5BB932BE" w14:textId="77777777" w:rsidR="004C7180" w:rsidRPr="00150EDC" w:rsidRDefault="00CF0754">
            <w:pPr>
              <w:pStyle w:val="TableParagraph"/>
              <w:spacing w:before="1" w:line="249" w:lineRule="auto"/>
              <w:ind w:left="81" w:right="95"/>
              <w:rPr>
                <w:sz w:val="13"/>
              </w:rPr>
            </w:pPr>
            <w:r w:rsidRPr="00150EDC">
              <w:rPr>
                <w:b/>
                <w:w w:val="105"/>
                <w:sz w:val="13"/>
              </w:rPr>
              <w:t>Requires Improvement</w:t>
            </w:r>
            <w:r w:rsidRPr="00150EDC">
              <w:rPr>
                <w:w w:val="105"/>
                <w:sz w:val="13"/>
              </w:rPr>
              <w:t>: 95-</w:t>
            </w:r>
            <w:r w:rsidRPr="00150EDC">
              <w:rPr>
                <w:spacing w:val="40"/>
                <w:w w:val="105"/>
                <w:sz w:val="13"/>
              </w:rPr>
              <w:t xml:space="preserve"> </w:t>
            </w:r>
            <w:r w:rsidRPr="00150EDC">
              <w:rPr>
                <w:w w:val="105"/>
                <w:sz w:val="13"/>
              </w:rPr>
              <w:t>96%</w:t>
            </w:r>
            <w:r w:rsidRPr="00150EDC">
              <w:rPr>
                <w:spacing w:val="-10"/>
                <w:w w:val="105"/>
                <w:sz w:val="13"/>
              </w:rPr>
              <w:t xml:space="preserve"> </w:t>
            </w:r>
            <w:r w:rsidRPr="00150EDC">
              <w:rPr>
                <w:w w:val="105"/>
                <w:sz w:val="13"/>
              </w:rPr>
              <w:t>of</w:t>
            </w:r>
            <w:r w:rsidRPr="00150EDC">
              <w:rPr>
                <w:spacing w:val="-9"/>
                <w:w w:val="105"/>
                <w:sz w:val="13"/>
              </w:rPr>
              <w:t xml:space="preserve"> </w:t>
            </w:r>
            <w:r w:rsidRPr="00150EDC">
              <w:rPr>
                <w:w w:val="105"/>
                <w:sz w:val="13"/>
              </w:rPr>
              <w:t>trial</w:t>
            </w:r>
            <w:r w:rsidRPr="00150EDC">
              <w:rPr>
                <w:spacing w:val="-10"/>
                <w:w w:val="105"/>
                <w:sz w:val="13"/>
              </w:rPr>
              <w:t xml:space="preserve"> </w:t>
            </w:r>
            <w:r w:rsidRPr="00150EDC">
              <w:rPr>
                <w:w w:val="105"/>
                <w:sz w:val="13"/>
              </w:rPr>
              <w:t>providers</w:t>
            </w:r>
            <w:r w:rsidRPr="00150EDC">
              <w:rPr>
                <w:spacing w:val="-9"/>
                <w:w w:val="105"/>
                <w:sz w:val="13"/>
              </w:rPr>
              <w:t xml:space="preserve"> </w:t>
            </w:r>
            <w:r w:rsidRPr="00150EDC">
              <w:rPr>
                <w:w w:val="105"/>
                <w:sz w:val="13"/>
              </w:rPr>
              <w:t>meet</w:t>
            </w:r>
            <w:r w:rsidRPr="00150EDC">
              <w:rPr>
                <w:spacing w:val="-10"/>
                <w:w w:val="105"/>
                <w:sz w:val="13"/>
              </w:rPr>
              <w:t xml:space="preserve"> </w:t>
            </w:r>
            <w:r w:rsidRPr="00150EDC">
              <w:rPr>
                <w:w w:val="105"/>
                <w:sz w:val="13"/>
              </w:rPr>
              <w:t>with</w:t>
            </w:r>
            <w:r w:rsidRPr="00150EDC">
              <w:rPr>
                <w:spacing w:val="40"/>
                <w:w w:val="105"/>
                <w:sz w:val="13"/>
              </w:rPr>
              <w:t xml:space="preserve"> </w:t>
            </w:r>
            <w:r w:rsidRPr="00150EDC">
              <w:rPr>
                <w:w w:val="105"/>
                <w:sz w:val="13"/>
              </w:rPr>
              <w:t>the readiness requirements</w:t>
            </w:r>
          </w:p>
          <w:p w14:paraId="6ADC95BD" w14:textId="77777777" w:rsidR="004C7180" w:rsidRPr="00150EDC" w:rsidRDefault="004C7180">
            <w:pPr>
              <w:pStyle w:val="TableParagraph"/>
              <w:spacing w:before="7" w:line="240" w:lineRule="auto"/>
              <w:ind w:left="0"/>
              <w:rPr>
                <w:b/>
                <w:sz w:val="13"/>
              </w:rPr>
            </w:pPr>
          </w:p>
          <w:p w14:paraId="2B695106" w14:textId="77777777" w:rsidR="004C7180" w:rsidRPr="00150EDC" w:rsidRDefault="00CF0754">
            <w:pPr>
              <w:pStyle w:val="TableParagraph"/>
              <w:spacing w:before="0" w:line="150" w:lineRule="atLeast"/>
              <w:ind w:left="81" w:right="95"/>
              <w:rPr>
                <w:sz w:val="13"/>
              </w:rPr>
            </w:pPr>
            <w:r w:rsidRPr="00150EDC">
              <w:rPr>
                <w:b/>
                <w:w w:val="105"/>
                <w:sz w:val="13"/>
              </w:rPr>
              <w:t>Inadequate</w:t>
            </w:r>
            <w:r w:rsidRPr="00150EDC">
              <w:rPr>
                <w:w w:val="105"/>
                <w:sz w:val="13"/>
              </w:rPr>
              <w:t>:</w:t>
            </w:r>
            <w:r w:rsidRPr="00150EDC">
              <w:rPr>
                <w:spacing w:val="-10"/>
                <w:w w:val="105"/>
                <w:sz w:val="13"/>
              </w:rPr>
              <w:t xml:space="preserve"> </w:t>
            </w:r>
            <w:r w:rsidRPr="00150EDC">
              <w:rPr>
                <w:w w:val="105"/>
                <w:sz w:val="13"/>
              </w:rPr>
              <w:t>less</w:t>
            </w:r>
            <w:r w:rsidRPr="00150EDC">
              <w:rPr>
                <w:spacing w:val="-9"/>
                <w:w w:val="105"/>
                <w:sz w:val="13"/>
              </w:rPr>
              <w:t xml:space="preserve"> </w:t>
            </w:r>
            <w:r w:rsidRPr="00150EDC">
              <w:rPr>
                <w:w w:val="105"/>
                <w:sz w:val="13"/>
              </w:rPr>
              <w:t>than</w:t>
            </w:r>
            <w:r w:rsidRPr="00150EDC">
              <w:rPr>
                <w:spacing w:val="-10"/>
                <w:w w:val="105"/>
                <w:sz w:val="13"/>
              </w:rPr>
              <w:t xml:space="preserve"> </w:t>
            </w:r>
            <w:r w:rsidRPr="00150EDC">
              <w:rPr>
                <w:w w:val="105"/>
                <w:sz w:val="13"/>
              </w:rPr>
              <w:t>95%</w:t>
            </w:r>
            <w:r w:rsidRPr="00150EDC">
              <w:rPr>
                <w:spacing w:val="-9"/>
                <w:w w:val="105"/>
                <w:sz w:val="13"/>
              </w:rPr>
              <w:t xml:space="preserve"> </w:t>
            </w:r>
            <w:r w:rsidRPr="00150EDC">
              <w:rPr>
                <w:w w:val="105"/>
                <w:sz w:val="13"/>
              </w:rPr>
              <w:t>of</w:t>
            </w:r>
            <w:r w:rsidRPr="00150EDC">
              <w:rPr>
                <w:spacing w:val="40"/>
                <w:w w:val="105"/>
                <w:sz w:val="13"/>
              </w:rPr>
              <w:t xml:space="preserve"> </w:t>
            </w:r>
            <w:r w:rsidRPr="00150EDC">
              <w:rPr>
                <w:w w:val="105"/>
                <w:sz w:val="13"/>
              </w:rPr>
              <w:t>trial providers meet with the</w:t>
            </w:r>
            <w:r w:rsidRPr="00150EDC">
              <w:rPr>
                <w:spacing w:val="40"/>
                <w:w w:val="105"/>
                <w:sz w:val="13"/>
              </w:rPr>
              <w:t xml:space="preserve"> </w:t>
            </w:r>
            <w:r w:rsidRPr="00150EDC">
              <w:rPr>
                <w:w w:val="105"/>
                <w:sz w:val="13"/>
              </w:rPr>
              <w:t>readiness</w:t>
            </w:r>
            <w:r w:rsidRPr="00150EDC">
              <w:rPr>
                <w:spacing w:val="-2"/>
                <w:w w:val="105"/>
                <w:sz w:val="13"/>
              </w:rPr>
              <w:t xml:space="preserve"> </w:t>
            </w:r>
            <w:r w:rsidRPr="00150EDC">
              <w:rPr>
                <w:w w:val="105"/>
                <w:sz w:val="13"/>
              </w:rPr>
              <w:t>requirements</w:t>
            </w:r>
          </w:p>
        </w:tc>
        <w:tc>
          <w:tcPr>
            <w:tcW w:w="1049" w:type="dxa"/>
          </w:tcPr>
          <w:p w14:paraId="0256133F" w14:textId="77777777" w:rsidR="004C7180" w:rsidRPr="00150EDC" w:rsidRDefault="00CF0754">
            <w:pPr>
              <w:pStyle w:val="TableParagraph"/>
              <w:spacing w:before="25" w:line="249" w:lineRule="auto"/>
              <w:ind w:left="82" w:right="113"/>
              <w:rPr>
                <w:sz w:val="13"/>
              </w:rPr>
            </w:pPr>
            <w:r w:rsidRPr="00150EDC">
              <w:rPr>
                <w:w w:val="105"/>
                <w:sz w:val="13"/>
              </w:rPr>
              <w:t>Supplier</w:t>
            </w:r>
            <w:r w:rsidRPr="00150EDC">
              <w:rPr>
                <w:spacing w:val="-10"/>
                <w:w w:val="105"/>
                <w:sz w:val="13"/>
              </w:rPr>
              <w:t xml:space="preserve"> </w:t>
            </w:r>
            <w:r w:rsidRPr="00150EDC">
              <w:rPr>
                <w:w w:val="105"/>
                <w:sz w:val="13"/>
              </w:rPr>
              <w:t>to</w:t>
            </w:r>
            <w:r w:rsidRPr="00150EDC">
              <w:rPr>
                <w:spacing w:val="-9"/>
                <w:w w:val="105"/>
                <w:sz w:val="13"/>
              </w:rPr>
              <w:t xml:space="preserve"> </w:t>
            </w:r>
            <w:r w:rsidRPr="00150EDC">
              <w:rPr>
                <w:w w:val="105"/>
                <w:sz w:val="13"/>
              </w:rPr>
              <w:t>be</w:t>
            </w:r>
            <w:r w:rsidRPr="00150EDC">
              <w:rPr>
                <w:spacing w:val="40"/>
                <w:w w:val="105"/>
                <w:sz w:val="13"/>
              </w:rPr>
              <w:t xml:space="preserve"> </w:t>
            </w:r>
            <w:r w:rsidRPr="00150EDC">
              <w:rPr>
                <w:w w:val="105"/>
                <w:sz w:val="13"/>
              </w:rPr>
              <w:t>rated</w:t>
            </w:r>
            <w:r w:rsidRPr="00150EDC">
              <w:rPr>
                <w:spacing w:val="-2"/>
                <w:w w:val="105"/>
                <w:sz w:val="13"/>
              </w:rPr>
              <w:t xml:space="preserve"> </w:t>
            </w:r>
            <w:r w:rsidRPr="00150EDC">
              <w:rPr>
                <w:w w:val="105"/>
                <w:sz w:val="13"/>
              </w:rPr>
              <w:t>as</w:t>
            </w:r>
            <w:r w:rsidRPr="00150EDC">
              <w:rPr>
                <w:spacing w:val="40"/>
                <w:w w:val="105"/>
                <w:sz w:val="13"/>
              </w:rPr>
              <w:t xml:space="preserve"> </w:t>
            </w:r>
            <w:r w:rsidRPr="00150EDC">
              <w:rPr>
                <w:w w:val="105"/>
                <w:sz w:val="13"/>
              </w:rPr>
              <w:t>‘Good’</w:t>
            </w:r>
            <w:r w:rsidRPr="00150EDC">
              <w:rPr>
                <w:spacing w:val="-6"/>
                <w:w w:val="105"/>
                <w:sz w:val="13"/>
              </w:rPr>
              <w:t xml:space="preserve"> </w:t>
            </w:r>
            <w:r w:rsidRPr="00150EDC">
              <w:rPr>
                <w:w w:val="105"/>
                <w:sz w:val="13"/>
              </w:rPr>
              <w:t>or</w:t>
            </w:r>
            <w:r w:rsidRPr="00150EDC">
              <w:rPr>
                <w:spacing w:val="40"/>
                <w:w w:val="105"/>
                <w:sz w:val="13"/>
              </w:rPr>
              <w:t xml:space="preserve"> </w:t>
            </w:r>
            <w:r w:rsidRPr="00150EDC">
              <w:rPr>
                <w:spacing w:val="-2"/>
                <w:w w:val="105"/>
                <w:sz w:val="13"/>
              </w:rPr>
              <w:t>‘Approaching</w:t>
            </w:r>
            <w:r w:rsidRPr="00150EDC">
              <w:rPr>
                <w:spacing w:val="40"/>
                <w:w w:val="105"/>
                <w:sz w:val="13"/>
              </w:rPr>
              <w:t xml:space="preserve"> </w:t>
            </w:r>
            <w:r w:rsidRPr="00150EDC">
              <w:rPr>
                <w:spacing w:val="-2"/>
                <w:w w:val="105"/>
                <w:sz w:val="13"/>
              </w:rPr>
              <w:t>Target’.</w:t>
            </w:r>
          </w:p>
        </w:tc>
        <w:tc>
          <w:tcPr>
            <w:tcW w:w="740" w:type="dxa"/>
            <w:shd w:val="clear" w:color="auto" w:fill="F1F1F1"/>
          </w:tcPr>
          <w:p w14:paraId="3B2D16FA" w14:textId="77777777" w:rsidR="004C7180" w:rsidRPr="00150EDC" w:rsidRDefault="004C7180">
            <w:pPr>
              <w:pStyle w:val="TableParagraph"/>
              <w:spacing w:before="10" w:line="240" w:lineRule="auto"/>
              <w:ind w:left="0"/>
              <w:rPr>
                <w:b/>
                <w:sz w:val="17"/>
              </w:rPr>
            </w:pPr>
          </w:p>
          <w:p w14:paraId="4BD74C6A" w14:textId="77777777" w:rsidR="004C7180" w:rsidRPr="00150EDC" w:rsidRDefault="00CF0754">
            <w:pPr>
              <w:pStyle w:val="TableParagraph"/>
              <w:spacing w:before="0" w:line="249" w:lineRule="auto"/>
              <w:ind w:left="84" w:right="68"/>
              <w:rPr>
                <w:sz w:val="13"/>
              </w:rPr>
            </w:pPr>
            <w:r w:rsidRPr="00150EDC">
              <w:rPr>
                <w:spacing w:val="-2"/>
                <w:w w:val="105"/>
                <w:sz w:val="13"/>
              </w:rPr>
              <w:t>2.5%of</w:t>
            </w:r>
            <w:r w:rsidRPr="00150EDC">
              <w:rPr>
                <w:spacing w:val="40"/>
                <w:w w:val="105"/>
                <w:sz w:val="13"/>
              </w:rPr>
              <w:t xml:space="preserve"> </w:t>
            </w:r>
            <w:r w:rsidRPr="00150EDC">
              <w:rPr>
                <w:spacing w:val="-2"/>
                <w:w w:val="105"/>
                <w:sz w:val="13"/>
              </w:rPr>
              <w:t>Monthly</w:t>
            </w:r>
            <w:r w:rsidRPr="00150EDC">
              <w:rPr>
                <w:spacing w:val="40"/>
                <w:w w:val="105"/>
                <w:sz w:val="13"/>
              </w:rPr>
              <w:t xml:space="preserve"> </w:t>
            </w:r>
            <w:r w:rsidRPr="00150EDC">
              <w:rPr>
                <w:spacing w:val="-2"/>
                <w:w w:val="105"/>
                <w:sz w:val="13"/>
              </w:rPr>
              <w:t>Manage</w:t>
            </w:r>
            <w:r w:rsidRPr="00150EDC">
              <w:rPr>
                <w:spacing w:val="40"/>
                <w:w w:val="105"/>
                <w:sz w:val="13"/>
              </w:rPr>
              <w:t xml:space="preserve"> </w:t>
            </w:r>
            <w:r w:rsidRPr="00150EDC">
              <w:rPr>
                <w:w w:val="105"/>
                <w:sz w:val="13"/>
              </w:rPr>
              <w:t>ment</w:t>
            </w:r>
            <w:r w:rsidRPr="00150EDC">
              <w:rPr>
                <w:spacing w:val="-10"/>
                <w:w w:val="105"/>
                <w:sz w:val="13"/>
              </w:rPr>
              <w:t xml:space="preserve"> </w:t>
            </w:r>
            <w:r w:rsidRPr="00150EDC">
              <w:rPr>
                <w:w w:val="105"/>
                <w:sz w:val="13"/>
              </w:rPr>
              <w:t>Fee</w:t>
            </w:r>
            <w:r w:rsidRPr="00150EDC">
              <w:rPr>
                <w:spacing w:val="40"/>
                <w:w w:val="105"/>
                <w:sz w:val="13"/>
              </w:rPr>
              <w:t xml:space="preserve"> </w:t>
            </w:r>
            <w:r w:rsidRPr="00150EDC">
              <w:rPr>
                <w:w w:val="105"/>
                <w:sz w:val="13"/>
              </w:rPr>
              <w:t>to</w:t>
            </w:r>
            <w:r w:rsidRPr="00150EDC">
              <w:rPr>
                <w:spacing w:val="-2"/>
                <w:w w:val="105"/>
                <w:sz w:val="13"/>
              </w:rPr>
              <w:t xml:space="preserve"> </w:t>
            </w:r>
            <w:r w:rsidRPr="00150EDC">
              <w:rPr>
                <w:w w:val="105"/>
                <w:sz w:val="13"/>
              </w:rPr>
              <w:t>be</w:t>
            </w:r>
            <w:r w:rsidRPr="00150EDC">
              <w:rPr>
                <w:spacing w:val="40"/>
                <w:w w:val="105"/>
                <w:sz w:val="13"/>
              </w:rPr>
              <w:t xml:space="preserve"> </w:t>
            </w:r>
            <w:r w:rsidRPr="00150EDC">
              <w:rPr>
                <w:w w:val="105"/>
                <w:sz w:val="13"/>
              </w:rPr>
              <w:t>paid</w:t>
            </w:r>
            <w:r w:rsidRPr="00150EDC">
              <w:rPr>
                <w:spacing w:val="-6"/>
                <w:w w:val="105"/>
                <w:sz w:val="13"/>
              </w:rPr>
              <w:t xml:space="preserve"> </w:t>
            </w:r>
            <w:r w:rsidRPr="00150EDC">
              <w:rPr>
                <w:w w:val="105"/>
                <w:sz w:val="13"/>
              </w:rPr>
              <w:t>by</w:t>
            </w:r>
            <w:r w:rsidRPr="00150EDC">
              <w:rPr>
                <w:spacing w:val="40"/>
                <w:w w:val="105"/>
                <w:sz w:val="13"/>
              </w:rPr>
              <w:t xml:space="preserve"> </w:t>
            </w:r>
            <w:r w:rsidRPr="00150EDC">
              <w:rPr>
                <w:spacing w:val="-2"/>
                <w:w w:val="105"/>
                <w:sz w:val="13"/>
              </w:rPr>
              <w:t>Supplier</w:t>
            </w:r>
            <w:r w:rsidRPr="00150EDC">
              <w:rPr>
                <w:spacing w:val="40"/>
                <w:w w:val="105"/>
                <w:sz w:val="13"/>
              </w:rPr>
              <w:t xml:space="preserve"> </w:t>
            </w:r>
            <w:r w:rsidRPr="00150EDC">
              <w:rPr>
                <w:w w:val="105"/>
                <w:sz w:val="13"/>
              </w:rPr>
              <w:t>to</w:t>
            </w:r>
            <w:r w:rsidRPr="00150EDC">
              <w:rPr>
                <w:spacing w:val="-2"/>
                <w:w w:val="105"/>
                <w:sz w:val="13"/>
              </w:rPr>
              <w:t xml:space="preserve"> </w:t>
            </w:r>
            <w:r w:rsidRPr="00150EDC">
              <w:rPr>
                <w:w w:val="105"/>
                <w:sz w:val="13"/>
              </w:rPr>
              <w:t>Buyer</w:t>
            </w:r>
          </w:p>
        </w:tc>
      </w:tr>
      <w:tr w:rsidR="004569EE" w:rsidRPr="007D3144" w14:paraId="2A907CF7" w14:textId="77777777" w:rsidTr="46D4E117">
        <w:trPr>
          <w:trHeight w:val="3002"/>
        </w:trPr>
        <w:tc>
          <w:tcPr>
            <w:tcW w:w="1276" w:type="dxa"/>
            <w:shd w:val="clear" w:color="auto" w:fill="F1F1F1"/>
          </w:tcPr>
          <w:p w14:paraId="6B3D2424" w14:textId="77777777" w:rsidR="004C7180" w:rsidRPr="00150EDC" w:rsidRDefault="004C7180">
            <w:pPr>
              <w:pStyle w:val="TableParagraph"/>
              <w:spacing w:before="0" w:line="240" w:lineRule="auto"/>
              <w:ind w:left="0"/>
              <w:rPr>
                <w:b/>
                <w:sz w:val="14"/>
              </w:rPr>
            </w:pPr>
          </w:p>
          <w:p w14:paraId="23A06341" w14:textId="77777777" w:rsidR="004C7180" w:rsidRPr="00150EDC" w:rsidRDefault="004C7180">
            <w:pPr>
              <w:pStyle w:val="TableParagraph"/>
              <w:spacing w:before="0" w:line="240" w:lineRule="auto"/>
              <w:ind w:left="0"/>
              <w:rPr>
                <w:b/>
                <w:sz w:val="14"/>
              </w:rPr>
            </w:pPr>
          </w:p>
          <w:p w14:paraId="5B0C76EC" w14:textId="77777777" w:rsidR="004C7180" w:rsidRPr="00150EDC" w:rsidRDefault="004C7180">
            <w:pPr>
              <w:pStyle w:val="TableParagraph"/>
              <w:spacing w:before="0" w:line="240" w:lineRule="auto"/>
              <w:ind w:left="0"/>
              <w:rPr>
                <w:b/>
                <w:sz w:val="14"/>
              </w:rPr>
            </w:pPr>
          </w:p>
          <w:p w14:paraId="083B326D" w14:textId="77777777" w:rsidR="004C7180" w:rsidRPr="00150EDC" w:rsidRDefault="004C7180">
            <w:pPr>
              <w:pStyle w:val="TableParagraph"/>
              <w:spacing w:before="0" w:line="240" w:lineRule="auto"/>
              <w:ind w:left="0"/>
              <w:rPr>
                <w:b/>
                <w:sz w:val="14"/>
              </w:rPr>
            </w:pPr>
          </w:p>
          <w:p w14:paraId="620A2848" w14:textId="77777777" w:rsidR="004C7180" w:rsidRPr="00150EDC" w:rsidRDefault="004C7180">
            <w:pPr>
              <w:pStyle w:val="TableParagraph"/>
              <w:spacing w:before="0" w:line="240" w:lineRule="auto"/>
              <w:ind w:left="0"/>
              <w:rPr>
                <w:b/>
                <w:sz w:val="14"/>
              </w:rPr>
            </w:pPr>
          </w:p>
          <w:p w14:paraId="3AB84433" w14:textId="77777777" w:rsidR="004C7180" w:rsidRPr="00150EDC" w:rsidRDefault="004C7180">
            <w:pPr>
              <w:pStyle w:val="TableParagraph"/>
              <w:spacing w:before="4" w:line="240" w:lineRule="auto"/>
              <w:ind w:left="0"/>
              <w:rPr>
                <w:b/>
                <w:sz w:val="20"/>
              </w:rPr>
            </w:pPr>
          </w:p>
          <w:p w14:paraId="4A1D1D89" w14:textId="77777777" w:rsidR="004C7180" w:rsidRPr="00150EDC" w:rsidRDefault="00CF0754">
            <w:pPr>
              <w:pStyle w:val="TableParagraph"/>
              <w:spacing w:before="0" w:line="249" w:lineRule="auto"/>
              <w:ind w:left="81" w:right="126"/>
              <w:rPr>
                <w:b/>
                <w:sz w:val="13"/>
              </w:rPr>
            </w:pPr>
            <w:r w:rsidRPr="00150EDC">
              <w:rPr>
                <w:b/>
                <w:w w:val="105"/>
                <w:sz w:val="13"/>
              </w:rPr>
              <w:t>SLA 3: Service</w:t>
            </w:r>
            <w:r w:rsidRPr="00150EDC">
              <w:rPr>
                <w:b/>
                <w:spacing w:val="40"/>
                <w:w w:val="105"/>
                <w:sz w:val="13"/>
              </w:rPr>
              <w:t xml:space="preserve"> </w:t>
            </w:r>
            <w:r w:rsidRPr="00150EDC">
              <w:rPr>
                <w:b/>
                <w:w w:val="105"/>
                <w:sz w:val="13"/>
              </w:rPr>
              <w:t>Provision</w:t>
            </w:r>
            <w:r w:rsidRPr="00150EDC">
              <w:rPr>
                <w:b/>
                <w:spacing w:val="-6"/>
                <w:w w:val="105"/>
                <w:sz w:val="13"/>
              </w:rPr>
              <w:t xml:space="preserve"> </w:t>
            </w:r>
            <w:r w:rsidRPr="00150EDC">
              <w:rPr>
                <w:b/>
                <w:w w:val="105"/>
                <w:sz w:val="13"/>
              </w:rPr>
              <w:t>–</w:t>
            </w:r>
            <w:r w:rsidRPr="00150EDC">
              <w:rPr>
                <w:b/>
                <w:spacing w:val="40"/>
                <w:w w:val="105"/>
                <w:sz w:val="13"/>
              </w:rPr>
              <w:t xml:space="preserve"> </w:t>
            </w:r>
            <w:r w:rsidRPr="00150EDC">
              <w:rPr>
                <w:b/>
                <w:spacing w:val="-2"/>
                <w:w w:val="105"/>
                <w:sz w:val="13"/>
              </w:rPr>
              <w:t>Payment</w:t>
            </w:r>
            <w:r w:rsidRPr="00150EDC">
              <w:rPr>
                <w:b/>
                <w:spacing w:val="40"/>
                <w:w w:val="105"/>
                <w:sz w:val="13"/>
              </w:rPr>
              <w:t xml:space="preserve"> </w:t>
            </w:r>
            <w:r w:rsidRPr="00150EDC">
              <w:rPr>
                <w:b/>
                <w:spacing w:val="-2"/>
                <w:w w:val="105"/>
                <w:sz w:val="13"/>
              </w:rPr>
              <w:t>Timeliness</w:t>
            </w:r>
            <w:r w:rsidRPr="00150EDC">
              <w:rPr>
                <w:b/>
                <w:spacing w:val="40"/>
                <w:w w:val="105"/>
                <w:sz w:val="13"/>
              </w:rPr>
              <w:t xml:space="preserve"> </w:t>
            </w:r>
            <w:r w:rsidRPr="00150EDC">
              <w:rPr>
                <w:b/>
                <w:spacing w:val="-2"/>
                <w:w w:val="105"/>
                <w:sz w:val="13"/>
              </w:rPr>
              <w:t>(Critical</w:t>
            </w:r>
            <w:r w:rsidRPr="00150EDC">
              <w:rPr>
                <w:b/>
                <w:spacing w:val="-8"/>
                <w:w w:val="105"/>
                <w:sz w:val="13"/>
              </w:rPr>
              <w:t xml:space="preserve"> </w:t>
            </w:r>
            <w:r w:rsidRPr="00150EDC">
              <w:rPr>
                <w:b/>
                <w:spacing w:val="-2"/>
                <w:w w:val="105"/>
                <w:sz w:val="13"/>
              </w:rPr>
              <w:t>Service</w:t>
            </w:r>
            <w:r w:rsidRPr="00150EDC">
              <w:rPr>
                <w:b/>
                <w:spacing w:val="40"/>
                <w:w w:val="105"/>
                <w:sz w:val="13"/>
              </w:rPr>
              <w:t xml:space="preserve"> </w:t>
            </w:r>
            <w:r w:rsidRPr="00150EDC">
              <w:rPr>
                <w:b/>
                <w:spacing w:val="-2"/>
                <w:w w:val="105"/>
                <w:sz w:val="13"/>
              </w:rPr>
              <w:t>Level)</w:t>
            </w:r>
          </w:p>
        </w:tc>
        <w:tc>
          <w:tcPr>
            <w:tcW w:w="3098" w:type="dxa"/>
          </w:tcPr>
          <w:p w14:paraId="5A02F5C6" w14:textId="77777777" w:rsidR="004C7180" w:rsidRPr="00150EDC" w:rsidRDefault="00CF0754">
            <w:pPr>
              <w:pStyle w:val="TableParagraph"/>
              <w:spacing w:before="25" w:line="249" w:lineRule="auto"/>
              <w:ind w:left="82" w:right="17"/>
              <w:rPr>
                <w:sz w:val="13"/>
              </w:rPr>
            </w:pPr>
            <w:r w:rsidRPr="00150EDC">
              <w:rPr>
                <w:w w:val="105"/>
                <w:sz w:val="13"/>
              </w:rPr>
              <w:t>The Supplier shall ensure that all payments</w:t>
            </w:r>
            <w:r w:rsidRPr="00150EDC">
              <w:rPr>
                <w:spacing w:val="40"/>
                <w:w w:val="105"/>
                <w:sz w:val="13"/>
              </w:rPr>
              <w:t xml:space="preserve"> </w:t>
            </w:r>
            <w:r w:rsidRPr="00150EDC">
              <w:rPr>
                <w:w w:val="105"/>
                <w:sz w:val="13"/>
              </w:rPr>
              <w:t>required</w:t>
            </w:r>
            <w:r w:rsidRPr="00150EDC">
              <w:rPr>
                <w:spacing w:val="-7"/>
                <w:w w:val="105"/>
                <w:sz w:val="13"/>
              </w:rPr>
              <w:t xml:space="preserve"> </w:t>
            </w:r>
            <w:r w:rsidRPr="00150EDC">
              <w:rPr>
                <w:w w:val="105"/>
                <w:sz w:val="13"/>
              </w:rPr>
              <w:t>to</w:t>
            </w:r>
            <w:r w:rsidRPr="00150EDC">
              <w:rPr>
                <w:spacing w:val="-8"/>
                <w:w w:val="105"/>
                <w:sz w:val="13"/>
              </w:rPr>
              <w:t xml:space="preserve"> </w:t>
            </w:r>
            <w:r w:rsidRPr="00150EDC">
              <w:rPr>
                <w:w w:val="105"/>
                <w:sz w:val="13"/>
              </w:rPr>
              <w:t>be</w:t>
            </w:r>
            <w:r w:rsidRPr="00150EDC">
              <w:rPr>
                <w:spacing w:val="-8"/>
                <w:w w:val="105"/>
                <w:sz w:val="13"/>
              </w:rPr>
              <w:t xml:space="preserve"> </w:t>
            </w:r>
            <w:r w:rsidRPr="00150EDC">
              <w:rPr>
                <w:w w:val="105"/>
                <w:sz w:val="13"/>
              </w:rPr>
              <w:t>made</w:t>
            </w:r>
            <w:r w:rsidRPr="00150EDC">
              <w:rPr>
                <w:spacing w:val="-7"/>
                <w:w w:val="105"/>
                <w:sz w:val="13"/>
              </w:rPr>
              <w:t xml:space="preserve"> </w:t>
            </w:r>
            <w:r w:rsidRPr="00150EDC">
              <w:rPr>
                <w:w w:val="105"/>
                <w:sz w:val="13"/>
              </w:rPr>
              <w:t>to</w:t>
            </w:r>
            <w:r w:rsidRPr="00150EDC">
              <w:rPr>
                <w:spacing w:val="-8"/>
                <w:w w:val="105"/>
                <w:sz w:val="13"/>
              </w:rPr>
              <w:t xml:space="preserve"> </w:t>
            </w:r>
            <w:r w:rsidRPr="00150EDC">
              <w:rPr>
                <w:w w:val="105"/>
                <w:sz w:val="13"/>
              </w:rPr>
              <w:t>any</w:t>
            </w:r>
            <w:r w:rsidRPr="00150EDC">
              <w:rPr>
                <w:spacing w:val="-7"/>
                <w:w w:val="105"/>
                <w:sz w:val="13"/>
              </w:rPr>
              <w:t xml:space="preserve"> </w:t>
            </w:r>
            <w:r w:rsidRPr="00150EDC">
              <w:rPr>
                <w:w w:val="105"/>
                <w:sz w:val="13"/>
              </w:rPr>
              <w:t>party</w:t>
            </w:r>
            <w:r w:rsidRPr="00150EDC">
              <w:rPr>
                <w:spacing w:val="-7"/>
                <w:w w:val="105"/>
                <w:sz w:val="13"/>
              </w:rPr>
              <w:t xml:space="preserve"> </w:t>
            </w:r>
            <w:r w:rsidRPr="00150EDC">
              <w:rPr>
                <w:w w:val="105"/>
                <w:sz w:val="13"/>
              </w:rPr>
              <w:t>being</w:t>
            </w:r>
            <w:r w:rsidRPr="00150EDC">
              <w:rPr>
                <w:spacing w:val="-8"/>
                <w:w w:val="105"/>
                <w:sz w:val="13"/>
              </w:rPr>
              <w:t xml:space="preserve"> </w:t>
            </w:r>
            <w:r w:rsidRPr="00150EDC">
              <w:rPr>
                <w:w w:val="105"/>
                <w:sz w:val="13"/>
              </w:rPr>
              <w:t>managed</w:t>
            </w:r>
            <w:r w:rsidRPr="00150EDC">
              <w:rPr>
                <w:spacing w:val="40"/>
                <w:w w:val="105"/>
                <w:sz w:val="13"/>
              </w:rPr>
              <w:t xml:space="preserve"> </w:t>
            </w:r>
            <w:r w:rsidRPr="00150EDC">
              <w:rPr>
                <w:w w:val="105"/>
                <w:sz w:val="13"/>
              </w:rPr>
              <w:t>on behalf of the Buyer during the trials, will be</w:t>
            </w:r>
            <w:r w:rsidRPr="00150EDC">
              <w:rPr>
                <w:spacing w:val="40"/>
                <w:w w:val="105"/>
                <w:sz w:val="13"/>
              </w:rPr>
              <w:t xml:space="preserve"> </w:t>
            </w:r>
            <w:r w:rsidRPr="00150EDC">
              <w:rPr>
                <w:w w:val="105"/>
                <w:sz w:val="13"/>
              </w:rPr>
              <w:t>paid in line with the DPS Core Terms.</w:t>
            </w:r>
          </w:p>
          <w:p w14:paraId="3E9B8113" w14:textId="77777777" w:rsidR="004C7180" w:rsidRPr="00150EDC" w:rsidRDefault="004C7180">
            <w:pPr>
              <w:pStyle w:val="TableParagraph"/>
              <w:spacing w:before="7" w:line="240" w:lineRule="auto"/>
              <w:ind w:left="0"/>
              <w:rPr>
                <w:b/>
                <w:sz w:val="13"/>
              </w:rPr>
            </w:pPr>
          </w:p>
          <w:p w14:paraId="17E0F5CE" w14:textId="77777777" w:rsidR="004C7180" w:rsidRPr="00150EDC" w:rsidRDefault="00CF0754">
            <w:pPr>
              <w:pStyle w:val="TableParagraph"/>
              <w:spacing w:before="1" w:line="252" w:lineRule="auto"/>
              <w:ind w:left="82" w:right="152"/>
              <w:rPr>
                <w:i/>
                <w:w w:val="105"/>
                <w:sz w:val="13"/>
              </w:rPr>
            </w:pPr>
            <w:r w:rsidRPr="00150EDC">
              <w:rPr>
                <w:i/>
                <w:w w:val="105"/>
                <w:sz w:val="13"/>
              </w:rPr>
              <w:t>Measurement:</w:t>
            </w:r>
            <w:r w:rsidRPr="00150EDC">
              <w:rPr>
                <w:i/>
                <w:spacing w:val="-10"/>
                <w:w w:val="105"/>
                <w:sz w:val="13"/>
              </w:rPr>
              <w:t xml:space="preserve"> </w:t>
            </w:r>
            <w:r w:rsidRPr="00150EDC">
              <w:rPr>
                <w:i/>
                <w:w w:val="105"/>
                <w:sz w:val="13"/>
              </w:rPr>
              <w:t>evidence</w:t>
            </w:r>
            <w:r w:rsidRPr="00150EDC">
              <w:rPr>
                <w:i/>
                <w:spacing w:val="-9"/>
                <w:w w:val="105"/>
                <w:sz w:val="13"/>
              </w:rPr>
              <w:t xml:space="preserve"> </w:t>
            </w:r>
            <w:r w:rsidRPr="00150EDC">
              <w:rPr>
                <w:i/>
                <w:w w:val="105"/>
                <w:sz w:val="13"/>
              </w:rPr>
              <w:t>of</w:t>
            </w:r>
            <w:r w:rsidRPr="00150EDC">
              <w:rPr>
                <w:i/>
                <w:spacing w:val="-10"/>
                <w:w w:val="105"/>
                <w:sz w:val="13"/>
              </w:rPr>
              <w:t xml:space="preserve"> </w:t>
            </w:r>
            <w:r w:rsidR="00523BC0" w:rsidRPr="00150EDC">
              <w:rPr>
                <w:i/>
                <w:spacing w:val="-10"/>
                <w:w w:val="105"/>
                <w:sz w:val="13"/>
              </w:rPr>
              <w:t xml:space="preserve">verified </w:t>
            </w:r>
            <w:r w:rsidRPr="00150EDC">
              <w:rPr>
                <w:i/>
                <w:w w:val="105"/>
                <w:sz w:val="13"/>
              </w:rPr>
              <w:t>payments</w:t>
            </w:r>
            <w:r w:rsidRPr="00150EDC">
              <w:rPr>
                <w:i/>
                <w:spacing w:val="-9"/>
                <w:w w:val="105"/>
                <w:sz w:val="13"/>
              </w:rPr>
              <w:t xml:space="preserve"> </w:t>
            </w:r>
            <w:r w:rsidRPr="00150EDC">
              <w:rPr>
                <w:i/>
                <w:w w:val="105"/>
                <w:sz w:val="13"/>
              </w:rPr>
              <w:t>made</w:t>
            </w:r>
            <w:r w:rsidRPr="00150EDC">
              <w:rPr>
                <w:i/>
                <w:spacing w:val="40"/>
                <w:w w:val="105"/>
                <w:sz w:val="13"/>
              </w:rPr>
              <w:t xml:space="preserve"> </w:t>
            </w:r>
            <w:r w:rsidRPr="00150EDC">
              <w:rPr>
                <w:i/>
                <w:w w:val="105"/>
                <w:sz w:val="13"/>
              </w:rPr>
              <w:t>within the 30-day time frame.</w:t>
            </w:r>
          </w:p>
          <w:p w14:paraId="62A088B5" w14:textId="77777777" w:rsidR="00523BC0" w:rsidRPr="00150EDC" w:rsidRDefault="00523BC0">
            <w:pPr>
              <w:pStyle w:val="TableParagraph"/>
              <w:spacing w:before="1" w:line="252" w:lineRule="auto"/>
              <w:ind w:left="82" w:right="152"/>
              <w:rPr>
                <w:i/>
                <w:w w:val="105"/>
                <w:sz w:val="13"/>
              </w:rPr>
            </w:pPr>
          </w:p>
          <w:p w14:paraId="6EB38F11" w14:textId="151DDBF0" w:rsidR="00523BC0" w:rsidRPr="00150EDC" w:rsidRDefault="00523BC0">
            <w:pPr>
              <w:pStyle w:val="TableParagraph"/>
              <w:spacing w:before="1" w:line="252" w:lineRule="auto"/>
              <w:ind w:left="82" w:right="152"/>
              <w:rPr>
                <w:i/>
                <w:sz w:val="13"/>
              </w:rPr>
            </w:pPr>
            <w:r w:rsidRPr="00150EDC">
              <w:rPr>
                <w:i/>
                <w:w w:val="105"/>
                <w:sz w:val="13"/>
              </w:rPr>
              <w:t>For exceptional circumstances the Supplier will notify the Buyer as soon as possible of any late payments. The supplier may be required to provide evidence and reasoning to the Buyer to prevent service credits.</w:t>
            </w:r>
          </w:p>
        </w:tc>
        <w:tc>
          <w:tcPr>
            <w:tcW w:w="2134" w:type="dxa"/>
          </w:tcPr>
          <w:p w14:paraId="79845EDB" w14:textId="77777777" w:rsidR="004C7180" w:rsidRPr="00150EDC" w:rsidRDefault="004C7180">
            <w:pPr>
              <w:pStyle w:val="TableParagraph"/>
              <w:spacing w:before="7" w:line="240" w:lineRule="auto"/>
              <w:ind w:left="0"/>
              <w:rPr>
                <w:b/>
                <w:sz w:val="15"/>
              </w:rPr>
            </w:pPr>
          </w:p>
          <w:p w14:paraId="6637F61C" w14:textId="77777777" w:rsidR="004C7180" w:rsidRPr="00150EDC" w:rsidRDefault="00CF0754">
            <w:pPr>
              <w:pStyle w:val="TableParagraph"/>
              <w:spacing w:before="1" w:line="252" w:lineRule="auto"/>
              <w:ind w:left="81" w:right="81"/>
              <w:rPr>
                <w:sz w:val="13"/>
              </w:rPr>
            </w:pPr>
            <w:r w:rsidRPr="00150EDC">
              <w:rPr>
                <w:b/>
                <w:w w:val="105"/>
                <w:sz w:val="13"/>
              </w:rPr>
              <w:t>Good</w:t>
            </w:r>
            <w:r w:rsidRPr="00150EDC">
              <w:rPr>
                <w:w w:val="105"/>
                <w:sz w:val="13"/>
              </w:rPr>
              <w:t>:</w:t>
            </w:r>
            <w:r w:rsidRPr="00150EDC">
              <w:rPr>
                <w:spacing w:val="-10"/>
                <w:w w:val="105"/>
                <w:sz w:val="13"/>
              </w:rPr>
              <w:t xml:space="preserve"> </w:t>
            </w:r>
            <w:r w:rsidRPr="00150EDC">
              <w:rPr>
                <w:w w:val="105"/>
                <w:sz w:val="13"/>
              </w:rPr>
              <w:t>100%</w:t>
            </w:r>
            <w:r w:rsidRPr="00150EDC">
              <w:rPr>
                <w:spacing w:val="-9"/>
                <w:w w:val="105"/>
                <w:sz w:val="13"/>
              </w:rPr>
              <w:t xml:space="preserve"> </w:t>
            </w:r>
            <w:r w:rsidRPr="00150EDC">
              <w:rPr>
                <w:w w:val="105"/>
                <w:sz w:val="13"/>
              </w:rPr>
              <w:t>of</w:t>
            </w:r>
            <w:r w:rsidRPr="00150EDC">
              <w:rPr>
                <w:spacing w:val="-10"/>
                <w:w w:val="105"/>
                <w:sz w:val="13"/>
              </w:rPr>
              <w:t xml:space="preserve"> </w:t>
            </w:r>
            <w:r w:rsidRPr="00150EDC">
              <w:rPr>
                <w:w w:val="105"/>
                <w:sz w:val="13"/>
              </w:rPr>
              <w:t>all</w:t>
            </w:r>
            <w:r w:rsidRPr="00150EDC">
              <w:rPr>
                <w:spacing w:val="-9"/>
                <w:w w:val="105"/>
                <w:sz w:val="13"/>
              </w:rPr>
              <w:t xml:space="preserve"> </w:t>
            </w:r>
            <w:r w:rsidRPr="00150EDC">
              <w:rPr>
                <w:w w:val="105"/>
                <w:sz w:val="13"/>
              </w:rPr>
              <w:t>payments</w:t>
            </w:r>
            <w:r w:rsidRPr="00150EDC">
              <w:rPr>
                <w:spacing w:val="-10"/>
                <w:w w:val="105"/>
                <w:sz w:val="13"/>
              </w:rPr>
              <w:t xml:space="preserve"> </w:t>
            </w:r>
            <w:r w:rsidRPr="00150EDC">
              <w:rPr>
                <w:w w:val="105"/>
                <w:sz w:val="13"/>
              </w:rPr>
              <w:t>are</w:t>
            </w:r>
            <w:r w:rsidRPr="00150EDC">
              <w:rPr>
                <w:spacing w:val="40"/>
                <w:w w:val="105"/>
                <w:sz w:val="13"/>
              </w:rPr>
              <w:t xml:space="preserve"> </w:t>
            </w:r>
            <w:r w:rsidRPr="00150EDC">
              <w:rPr>
                <w:w w:val="105"/>
                <w:sz w:val="13"/>
              </w:rPr>
              <w:t>made in accordance with</w:t>
            </w:r>
            <w:r w:rsidRPr="00150EDC">
              <w:rPr>
                <w:spacing w:val="40"/>
                <w:w w:val="105"/>
                <w:sz w:val="13"/>
              </w:rPr>
              <w:t xml:space="preserve"> </w:t>
            </w:r>
            <w:r w:rsidRPr="00150EDC">
              <w:rPr>
                <w:w w:val="105"/>
                <w:sz w:val="13"/>
              </w:rPr>
              <w:t>Buyer's payment commitment.</w:t>
            </w:r>
          </w:p>
          <w:p w14:paraId="0BE9886F" w14:textId="77777777" w:rsidR="004C7180" w:rsidRPr="00150EDC" w:rsidRDefault="004C7180">
            <w:pPr>
              <w:pStyle w:val="TableParagraph"/>
              <w:spacing w:before="3" w:line="240" w:lineRule="auto"/>
              <w:ind w:left="0"/>
              <w:rPr>
                <w:b/>
                <w:sz w:val="13"/>
              </w:rPr>
            </w:pPr>
          </w:p>
          <w:p w14:paraId="1923D242" w14:textId="77777777" w:rsidR="004C7180" w:rsidRPr="00150EDC" w:rsidRDefault="00CF0754">
            <w:pPr>
              <w:pStyle w:val="TableParagraph"/>
              <w:spacing w:before="0" w:line="249" w:lineRule="auto"/>
              <w:ind w:left="81" w:right="198"/>
              <w:rPr>
                <w:sz w:val="13"/>
              </w:rPr>
            </w:pPr>
            <w:r w:rsidRPr="00150EDC">
              <w:rPr>
                <w:b/>
                <w:w w:val="105"/>
                <w:sz w:val="13"/>
              </w:rPr>
              <w:t>Approaching</w:t>
            </w:r>
            <w:r w:rsidRPr="00150EDC">
              <w:rPr>
                <w:b/>
                <w:spacing w:val="-10"/>
                <w:w w:val="105"/>
                <w:sz w:val="13"/>
              </w:rPr>
              <w:t xml:space="preserve"> </w:t>
            </w:r>
            <w:r w:rsidRPr="00150EDC">
              <w:rPr>
                <w:b/>
                <w:w w:val="105"/>
                <w:sz w:val="13"/>
              </w:rPr>
              <w:t>Target</w:t>
            </w:r>
            <w:r w:rsidRPr="00150EDC">
              <w:rPr>
                <w:w w:val="105"/>
                <w:sz w:val="13"/>
              </w:rPr>
              <w:t>:</w:t>
            </w:r>
            <w:r w:rsidRPr="00150EDC">
              <w:rPr>
                <w:spacing w:val="-9"/>
                <w:w w:val="105"/>
                <w:sz w:val="13"/>
              </w:rPr>
              <w:t xml:space="preserve"> </w:t>
            </w:r>
            <w:r w:rsidRPr="00150EDC">
              <w:rPr>
                <w:w w:val="105"/>
                <w:sz w:val="13"/>
              </w:rPr>
              <w:t>97-99%</w:t>
            </w:r>
            <w:r w:rsidRPr="00150EDC">
              <w:rPr>
                <w:spacing w:val="40"/>
                <w:w w:val="105"/>
                <w:sz w:val="13"/>
              </w:rPr>
              <w:t xml:space="preserve"> </w:t>
            </w:r>
            <w:r w:rsidRPr="00150EDC">
              <w:rPr>
                <w:w w:val="105"/>
                <w:sz w:val="13"/>
              </w:rPr>
              <w:t>of all payments are made in</w:t>
            </w:r>
            <w:r w:rsidRPr="00150EDC">
              <w:rPr>
                <w:spacing w:val="40"/>
                <w:w w:val="105"/>
                <w:sz w:val="13"/>
              </w:rPr>
              <w:t xml:space="preserve"> </w:t>
            </w:r>
            <w:r w:rsidRPr="00150EDC">
              <w:rPr>
                <w:w w:val="105"/>
                <w:sz w:val="13"/>
              </w:rPr>
              <w:t>accordance with Buyer's</w:t>
            </w:r>
            <w:r w:rsidRPr="00150EDC">
              <w:rPr>
                <w:spacing w:val="40"/>
                <w:w w:val="105"/>
                <w:sz w:val="13"/>
              </w:rPr>
              <w:t xml:space="preserve"> </w:t>
            </w:r>
            <w:r w:rsidRPr="00150EDC">
              <w:rPr>
                <w:w w:val="105"/>
                <w:sz w:val="13"/>
              </w:rPr>
              <w:t>payment</w:t>
            </w:r>
            <w:r w:rsidRPr="00150EDC">
              <w:rPr>
                <w:spacing w:val="-6"/>
                <w:w w:val="105"/>
                <w:sz w:val="13"/>
              </w:rPr>
              <w:t xml:space="preserve"> </w:t>
            </w:r>
            <w:r w:rsidRPr="00150EDC">
              <w:rPr>
                <w:w w:val="105"/>
                <w:sz w:val="13"/>
              </w:rPr>
              <w:t>commitment</w:t>
            </w:r>
          </w:p>
          <w:p w14:paraId="0E45EFD8" w14:textId="77777777" w:rsidR="004C7180" w:rsidRPr="00150EDC" w:rsidRDefault="004C7180">
            <w:pPr>
              <w:pStyle w:val="TableParagraph"/>
              <w:spacing w:before="10" w:line="240" w:lineRule="auto"/>
              <w:ind w:left="0"/>
              <w:rPr>
                <w:b/>
                <w:sz w:val="13"/>
              </w:rPr>
            </w:pPr>
          </w:p>
          <w:p w14:paraId="2C0ED7FC" w14:textId="77777777" w:rsidR="004C7180" w:rsidRPr="00150EDC" w:rsidRDefault="00CF0754">
            <w:pPr>
              <w:pStyle w:val="TableParagraph"/>
              <w:spacing w:before="0" w:line="249" w:lineRule="auto"/>
              <w:ind w:left="81" w:right="198"/>
              <w:rPr>
                <w:sz w:val="13"/>
              </w:rPr>
            </w:pPr>
            <w:r w:rsidRPr="00150EDC">
              <w:rPr>
                <w:b/>
                <w:w w:val="105"/>
                <w:sz w:val="13"/>
              </w:rPr>
              <w:t>Requires Improvement</w:t>
            </w:r>
            <w:r w:rsidRPr="00150EDC">
              <w:rPr>
                <w:w w:val="105"/>
                <w:sz w:val="13"/>
              </w:rPr>
              <w:t>: 95-</w:t>
            </w:r>
            <w:r w:rsidRPr="00150EDC">
              <w:rPr>
                <w:spacing w:val="40"/>
                <w:w w:val="105"/>
                <w:sz w:val="13"/>
              </w:rPr>
              <w:t xml:space="preserve"> </w:t>
            </w:r>
            <w:r w:rsidRPr="00150EDC">
              <w:rPr>
                <w:w w:val="105"/>
                <w:sz w:val="13"/>
              </w:rPr>
              <w:t>96%</w:t>
            </w:r>
            <w:r w:rsidRPr="00150EDC">
              <w:rPr>
                <w:spacing w:val="-10"/>
                <w:w w:val="105"/>
                <w:sz w:val="13"/>
              </w:rPr>
              <w:t xml:space="preserve"> </w:t>
            </w:r>
            <w:r w:rsidRPr="00150EDC">
              <w:rPr>
                <w:w w:val="105"/>
                <w:sz w:val="13"/>
              </w:rPr>
              <w:t>of</w:t>
            </w:r>
            <w:r w:rsidRPr="00150EDC">
              <w:rPr>
                <w:spacing w:val="-9"/>
                <w:w w:val="105"/>
                <w:sz w:val="13"/>
              </w:rPr>
              <w:t xml:space="preserve"> </w:t>
            </w:r>
            <w:r w:rsidRPr="00150EDC">
              <w:rPr>
                <w:w w:val="105"/>
                <w:sz w:val="13"/>
              </w:rPr>
              <w:t>all</w:t>
            </w:r>
            <w:r w:rsidRPr="00150EDC">
              <w:rPr>
                <w:spacing w:val="-10"/>
                <w:w w:val="105"/>
                <w:sz w:val="13"/>
              </w:rPr>
              <w:t xml:space="preserve"> </w:t>
            </w:r>
            <w:r w:rsidRPr="00150EDC">
              <w:rPr>
                <w:w w:val="105"/>
                <w:sz w:val="13"/>
              </w:rPr>
              <w:t>payments</w:t>
            </w:r>
            <w:r w:rsidRPr="00150EDC">
              <w:rPr>
                <w:spacing w:val="-9"/>
                <w:w w:val="105"/>
                <w:sz w:val="13"/>
              </w:rPr>
              <w:t xml:space="preserve"> </w:t>
            </w:r>
            <w:r w:rsidRPr="00150EDC">
              <w:rPr>
                <w:w w:val="105"/>
                <w:sz w:val="13"/>
              </w:rPr>
              <w:t>are</w:t>
            </w:r>
            <w:r w:rsidRPr="00150EDC">
              <w:rPr>
                <w:spacing w:val="-10"/>
                <w:w w:val="105"/>
                <w:sz w:val="13"/>
              </w:rPr>
              <w:t xml:space="preserve"> </w:t>
            </w:r>
            <w:r w:rsidRPr="00150EDC">
              <w:rPr>
                <w:w w:val="105"/>
                <w:sz w:val="13"/>
              </w:rPr>
              <w:t>made</w:t>
            </w:r>
            <w:r w:rsidRPr="00150EDC">
              <w:rPr>
                <w:spacing w:val="40"/>
                <w:w w:val="105"/>
                <w:sz w:val="13"/>
              </w:rPr>
              <w:t xml:space="preserve"> </w:t>
            </w:r>
            <w:r w:rsidRPr="00150EDC">
              <w:rPr>
                <w:w w:val="105"/>
                <w:sz w:val="13"/>
              </w:rPr>
              <w:t>in accordance with Buyer's</w:t>
            </w:r>
            <w:r w:rsidRPr="00150EDC">
              <w:rPr>
                <w:spacing w:val="40"/>
                <w:w w:val="105"/>
                <w:sz w:val="13"/>
              </w:rPr>
              <w:t xml:space="preserve"> </w:t>
            </w:r>
            <w:r w:rsidRPr="00150EDC">
              <w:rPr>
                <w:w w:val="105"/>
                <w:sz w:val="13"/>
              </w:rPr>
              <w:t>payment</w:t>
            </w:r>
            <w:r w:rsidRPr="00150EDC">
              <w:rPr>
                <w:spacing w:val="-6"/>
                <w:w w:val="105"/>
                <w:sz w:val="13"/>
              </w:rPr>
              <w:t xml:space="preserve"> </w:t>
            </w:r>
            <w:r w:rsidRPr="00150EDC">
              <w:rPr>
                <w:w w:val="105"/>
                <w:sz w:val="13"/>
              </w:rPr>
              <w:t>commitment</w:t>
            </w:r>
          </w:p>
          <w:p w14:paraId="50809FF5" w14:textId="77777777" w:rsidR="004C7180" w:rsidRPr="00150EDC" w:rsidRDefault="004C7180">
            <w:pPr>
              <w:pStyle w:val="TableParagraph"/>
              <w:spacing w:before="7" w:line="240" w:lineRule="auto"/>
              <w:ind w:left="0"/>
              <w:rPr>
                <w:b/>
                <w:sz w:val="13"/>
              </w:rPr>
            </w:pPr>
          </w:p>
          <w:p w14:paraId="718569CB" w14:textId="77777777" w:rsidR="004C7180" w:rsidRPr="00150EDC" w:rsidRDefault="00CF0754">
            <w:pPr>
              <w:pStyle w:val="TableParagraph"/>
              <w:spacing w:before="1" w:line="249" w:lineRule="auto"/>
              <w:ind w:left="81" w:right="37"/>
              <w:rPr>
                <w:sz w:val="13"/>
              </w:rPr>
            </w:pPr>
            <w:r w:rsidRPr="00150EDC">
              <w:rPr>
                <w:b/>
                <w:w w:val="105"/>
                <w:sz w:val="13"/>
              </w:rPr>
              <w:t>Inadequate</w:t>
            </w:r>
            <w:r w:rsidRPr="00150EDC">
              <w:rPr>
                <w:w w:val="105"/>
                <w:sz w:val="13"/>
              </w:rPr>
              <w:t>:</w:t>
            </w:r>
            <w:r w:rsidRPr="00150EDC">
              <w:rPr>
                <w:spacing w:val="-10"/>
                <w:w w:val="105"/>
                <w:sz w:val="13"/>
              </w:rPr>
              <w:t xml:space="preserve"> </w:t>
            </w:r>
            <w:r w:rsidRPr="00150EDC">
              <w:rPr>
                <w:w w:val="105"/>
                <w:sz w:val="13"/>
              </w:rPr>
              <w:t>less</w:t>
            </w:r>
            <w:r w:rsidRPr="00150EDC">
              <w:rPr>
                <w:spacing w:val="-9"/>
                <w:w w:val="105"/>
                <w:sz w:val="13"/>
              </w:rPr>
              <w:t xml:space="preserve"> </w:t>
            </w:r>
            <w:r w:rsidRPr="00150EDC">
              <w:rPr>
                <w:w w:val="105"/>
                <w:sz w:val="13"/>
              </w:rPr>
              <w:t>than</w:t>
            </w:r>
            <w:r w:rsidRPr="00150EDC">
              <w:rPr>
                <w:spacing w:val="-10"/>
                <w:w w:val="105"/>
                <w:sz w:val="13"/>
              </w:rPr>
              <w:t xml:space="preserve"> </w:t>
            </w:r>
            <w:r w:rsidRPr="00150EDC">
              <w:rPr>
                <w:w w:val="105"/>
                <w:sz w:val="13"/>
              </w:rPr>
              <w:t>95%</w:t>
            </w:r>
            <w:r w:rsidRPr="00150EDC">
              <w:rPr>
                <w:spacing w:val="-9"/>
                <w:w w:val="105"/>
                <w:sz w:val="13"/>
              </w:rPr>
              <w:t xml:space="preserve"> </w:t>
            </w:r>
            <w:r w:rsidRPr="00150EDC">
              <w:rPr>
                <w:w w:val="105"/>
                <w:sz w:val="13"/>
              </w:rPr>
              <w:t>of</w:t>
            </w:r>
            <w:r w:rsidRPr="00150EDC">
              <w:rPr>
                <w:spacing w:val="-10"/>
                <w:w w:val="105"/>
                <w:sz w:val="13"/>
              </w:rPr>
              <w:t xml:space="preserve"> </w:t>
            </w:r>
            <w:r w:rsidRPr="00150EDC">
              <w:rPr>
                <w:w w:val="105"/>
                <w:sz w:val="13"/>
              </w:rPr>
              <w:t>all</w:t>
            </w:r>
            <w:r w:rsidRPr="00150EDC">
              <w:rPr>
                <w:spacing w:val="40"/>
                <w:w w:val="105"/>
                <w:sz w:val="13"/>
              </w:rPr>
              <w:t xml:space="preserve"> </w:t>
            </w:r>
            <w:r w:rsidRPr="00150EDC">
              <w:rPr>
                <w:w w:val="105"/>
                <w:sz w:val="13"/>
              </w:rPr>
              <w:t>payments are made in</w:t>
            </w:r>
            <w:r w:rsidRPr="00150EDC">
              <w:rPr>
                <w:spacing w:val="40"/>
                <w:w w:val="105"/>
                <w:sz w:val="13"/>
              </w:rPr>
              <w:t xml:space="preserve"> </w:t>
            </w:r>
            <w:r w:rsidRPr="00150EDC">
              <w:rPr>
                <w:w w:val="105"/>
                <w:sz w:val="13"/>
              </w:rPr>
              <w:t>accordance with Buyer's</w:t>
            </w:r>
          </w:p>
          <w:p w14:paraId="26389140" w14:textId="77777777" w:rsidR="004C7180" w:rsidRPr="00150EDC" w:rsidRDefault="00CF0754">
            <w:pPr>
              <w:pStyle w:val="TableParagraph"/>
              <w:spacing w:before="1" w:line="240" w:lineRule="auto"/>
              <w:ind w:left="81"/>
              <w:rPr>
                <w:sz w:val="13"/>
              </w:rPr>
            </w:pPr>
            <w:r w:rsidRPr="00150EDC">
              <w:rPr>
                <w:w w:val="105"/>
                <w:sz w:val="13"/>
              </w:rPr>
              <w:t>payment</w:t>
            </w:r>
            <w:r w:rsidRPr="00150EDC">
              <w:rPr>
                <w:spacing w:val="-8"/>
                <w:w w:val="105"/>
                <w:sz w:val="13"/>
              </w:rPr>
              <w:t xml:space="preserve"> </w:t>
            </w:r>
            <w:r w:rsidRPr="00150EDC">
              <w:rPr>
                <w:spacing w:val="-2"/>
                <w:w w:val="105"/>
                <w:sz w:val="13"/>
              </w:rPr>
              <w:t>commitment.</w:t>
            </w:r>
          </w:p>
        </w:tc>
        <w:tc>
          <w:tcPr>
            <w:tcW w:w="1049" w:type="dxa"/>
          </w:tcPr>
          <w:p w14:paraId="63290B81" w14:textId="77777777" w:rsidR="004C7180" w:rsidRPr="00150EDC" w:rsidRDefault="004C7180">
            <w:pPr>
              <w:pStyle w:val="TableParagraph"/>
              <w:spacing w:before="7" w:line="240" w:lineRule="auto"/>
              <w:ind w:left="0"/>
              <w:rPr>
                <w:b/>
                <w:sz w:val="15"/>
              </w:rPr>
            </w:pPr>
          </w:p>
          <w:p w14:paraId="38AB4A1A" w14:textId="77777777" w:rsidR="004C7180" w:rsidRPr="00150EDC" w:rsidRDefault="00CF0754">
            <w:pPr>
              <w:pStyle w:val="TableParagraph"/>
              <w:spacing w:before="1" w:line="252" w:lineRule="auto"/>
              <w:ind w:left="82" w:right="113"/>
              <w:rPr>
                <w:sz w:val="13"/>
              </w:rPr>
            </w:pPr>
            <w:r w:rsidRPr="00150EDC">
              <w:rPr>
                <w:w w:val="105"/>
                <w:sz w:val="13"/>
              </w:rPr>
              <w:t>Supplier</w:t>
            </w:r>
            <w:r w:rsidRPr="00150EDC">
              <w:rPr>
                <w:spacing w:val="-10"/>
                <w:w w:val="105"/>
                <w:sz w:val="13"/>
              </w:rPr>
              <w:t xml:space="preserve"> </w:t>
            </w:r>
            <w:r w:rsidRPr="00150EDC">
              <w:rPr>
                <w:w w:val="105"/>
                <w:sz w:val="13"/>
              </w:rPr>
              <w:t>to</w:t>
            </w:r>
            <w:r w:rsidRPr="00150EDC">
              <w:rPr>
                <w:spacing w:val="-9"/>
                <w:w w:val="105"/>
                <w:sz w:val="13"/>
              </w:rPr>
              <w:t xml:space="preserve"> </w:t>
            </w:r>
            <w:r w:rsidRPr="00150EDC">
              <w:rPr>
                <w:w w:val="105"/>
                <w:sz w:val="13"/>
              </w:rPr>
              <w:t>be</w:t>
            </w:r>
            <w:r w:rsidRPr="00150EDC">
              <w:rPr>
                <w:spacing w:val="40"/>
                <w:w w:val="105"/>
                <w:sz w:val="13"/>
              </w:rPr>
              <w:t xml:space="preserve"> </w:t>
            </w:r>
            <w:r w:rsidRPr="00150EDC">
              <w:rPr>
                <w:w w:val="105"/>
                <w:sz w:val="13"/>
              </w:rPr>
              <w:t>rated</w:t>
            </w:r>
            <w:r w:rsidRPr="00150EDC">
              <w:rPr>
                <w:spacing w:val="-2"/>
                <w:w w:val="105"/>
                <w:sz w:val="13"/>
              </w:rPr>
              <w:t xml:space="preserve"> </w:t>
            </w:r>
            <w:r w:rsidRPr="00150EDC">
              <w:rPr>
                <w:w w:val="105"/>
                <w:sz w:val="13"/>
              </w:rPr>
              <w:t>as</w:t>
            </w:r>
            <w:r w:rsidRPr="00150EDC">
              <w:rPr>
                <w:spacing w:val="40"/>
                <w:w w:val="105"/>
                <w:sz w:val="13"/>
              </w:rPr>
              <w:t xml:space="preserve"> </w:t>
            </w:r>
            <w:r w:rsidRPr="00150EDC">
              <w:rPr>
                <w:spacing w:val="-2"/>
                <w:w w:val="105"/>
                <w:sz w:val="13"/>
              </w:rPr>
              <w:t>‘Good’.</w:t>
            </w:r>
          </w:p>
        </w:tc>
        <w:tc>
          <w:tcPr>
            <w:tcW w:w="740" w:type="dxa"/>
            <w:shd w:val="clear" w:color="auto" w:fill="F1F1F1"/>
          </w:tcPr>
          <w:p w14:paraId="1E46930D" w14:textId="77777777" w:rsidR="004C7180" w:rsidRPr="00150EDC" w:rsidRDefault="004C7180">
            <w:pPr>
              <w:pStyle w:val="TableParagraph"/>
              <w:spacing w:before="10" w:line="240" w:lineRule="auto"/>
              <w:ind w:left="0"/>
              <w:rPr>
                <w:b/>
                <w:sz w:val="17"/>
              </w:rPr>
            </w:pPr>
          </w:p>
          <w:p w14:paraId="148417C4" w14:textId="77777777" w:rsidR="004C7180" w:rsidRPr="00150EDC" w:rsidRDefault="00CF0754">
            <w:pPr>
              <w:pStyle w:val="TableParagraph"/>
              <w:spacing w:before="0" w:line="249" w:lineRule="auto"/>
              <w:ind w:left="84" w:right="68"/>
              <w:rPr>
                <w:sz w:val="13"/>
              </w:rPr>
            </w:pPr>
            <w:r w:rsidRPr="00150EDC">
              <w:rPr>
                <w:spacing w:val="-2"/>
                <w:w w:val="105"/>
                <w:sz w:val="13"/>
              </w:rPr>
              <w:t>2.5%of</w:t>
            </w:r>
            <w:r w:rsidRPr="00150EDC">
              <w:rPr>
                <w:spacing w:val="40"/>
                <w:w w:val="105"/>
                <w:sz w:val="13"/>
              </w:rPr>
              <w:t xml:space="preserve"> </w:t>
            </w:r>
            <w:r w:rsidRPr="00150EDC">
              <w:rPr>
                <w:spacing w:val="-2"/>
                <w:w w:val="105"/>
                <w:sz w:val="13"/>
              </w:rPr>
              <w:t>Monthly</w:t>
            </w:r>
            <w:r w:rsidRPr="00150EDC">
              <w:rPr>
                <w:spacing w:val="40"/>
                <w:w w:val="105"/>
                <w:sz w:val="13"/>
              </w:rPr>
              <w:t xml:space="preserve"> </w:t>
            </w:r>
            <w:r w:rsidRPr="00150EDC">
              <w:rPr>
                <w:spacing w:val="-2"/>
                <w:w w:val="105"/>
                <w:sz w:val="13"/>
              </w:rPr>
              <w:t>Manage</w:t>
            </w:r>
            <w:r w:rsidRPr="00150EDC">
              <w:rPr>
                <w:spacing w:val="40"/>
                <w:w w:val="105"/>
                <w:sz w:val="13"/>
              </w:rPr>
              <w:t xml:space="preserve"> </w:t>
            </w:r>
            <w:r w:rsidRPr="00150EDC">
              <w:rPr>
                <w:w w:val="105"/>
                <w:sz w:val="13"/>
              </w:rPr>
              <w:t>ment</w:t>
            </w:r>
            <w:r w:rsidRPr="00150EDC">
              <w:rPr>
                <w:spacing w:val="-10"/>
                <w:w w:val="105"/>
                <w:sz w:val="13"/>
              </w:rPr>
              <w:t xml:space="preserve"> </w:t>
            </w:r>
            <w:r w:rsidRPr="00150EDC">
              <w:rPr>
                <w:w w:val="105"/>
                <w:sz w:val="13"/>
              </w:rPr>
              <w:t>Fee</w:t>
            </w:r>
            <w:r w:rsidRPr="00150EDC">
              <w:rPr>
                <w:spacing w:val="40"/>
                <w:w w:val="105"/>
                <w:sz w:val="13"/>
              </w:rPr>
              <w:t xml:space="preserve"> </w:t>
            </w:r>
            <w:r w:rsidRPr="00150EDC">
              <w:rPr>
                <w:w w:val="105"/>
                <w:sz w:val="13"/>
              </w:rPr>
              <w:t>to</w:t>
            </w:r>
            <w:r w:rsidRPr="00150EDC">
              <w:rPr>
                <w:spacing w:val="-2"/>
                <w:w w:val="105"/>
                <w:sz w:val="13"/>
              </w:rPr>
              <w:t xml:space="preserve"> </w:t>
            </w:r>
            <w:r w:rsidRPr="00150EDC">
              <w:rPr>
                <w:w w:val="105"/>
                <w:sz w:val="13"/>
              </w:rPr>
              <w:t>be</w:t>
            </w:r>
            <w:r w:rsidRPr="00150EDC">
              <w:rPr>
                <w:spacing w:val="40"/>
                <w:w w:val="105"/>
                <w:sz w:val="13"/>
              </w:rPr>
              <w:t xml:space="preserve"> </w:t>
            </w:r>
            <w:r w:rsidRPr="00150EDC">
              <w:rPr>
                <w:w w:val="105"/>
                <w:sz w:val="13"/>
              </w:rPr>
              <w:t>paid</w:t>
            </w:r>
            <w:r w:rsidRPr="00150EDC">
              <w:rPr>
                <w:spacing w:val="-6"/>
                <w:w w:val="105"/>
                <w:sz w:val="13"/>
              </w:rPr>
              <w:t xml:space="preserve"> </w:t>
            </w:r>
            <w:r w:rsidRPr="00150EDC">
              <w:rPr>
                <w:w w:val="105"/>
                <w:sz w:val="13"/>
              </w:rPr>
              <w:t>by</w:t>
            </w:r>
            <w:r w:rsidRPr="00150EDC">
              <w:rPr>
                <w:spacing w:val="40"/>
                <w:w w:val="105"/>
                <w:sz w:val="13"/>
              </w:rPr>
              <w:t xml:space="preserve"> </w:t>
            </w:r>
            <w:r w:rsidRPr="00150EDC">
              <w:rPr>
                <w:spacing w:val="-2"/>
                <w:w w:val="105"/>
                <w:sz w:val="13"/>
              </w:rPr>
              <w:t>Supplier</w:t>
            </w:r>
            <w:r w:rsidRPr="00150EDC">
              <w:rPr>
                <w:spacing w:val="40"/>
                <w:w w:val="105"/>
                <w:sz w:val="13"/>
              </w:rPr>
              <w:t xml:space="preserve"> </w:t>
            </w:r>
            <w:r w:rsidRPr="00150EDC">
              <w:rPr>
                <w:w w:val="105"/>
                <w:sz w:val="13"/>
              </w:rPr>
              <w:t>to</w:t>
            </w:r>
            <w:r w:rsidRPr="00150EDC">
              <w:rPr>
                <w:spacing w:val="-2"/>
                <w:w w:val="105"/>
                <w:sz w:val="13"/>
              </w:rPr>
              <w:t xml:space="preserve"> </w:t>
            </w:r>
            <w:r w:rsidRPr="00150EDC">
              <w:rPr>
                <w:w w:val="105"/>
                <w:sz w:val="13"/>
              </w:rPr>
              <w:t>Buyer</w:t>
            </w:r>
          </w:p>
        </w:tc>
      </w:tr>
      <w:tr w:rsidR="004569EE" w:rsidRPr="007D3144" w14:paraId="684761D2" w14:textId="77777777" w:rsidTr="46D4E117">
        <w:trPr>
          <w:trHeight w:val="2027"/>
        </w:trPr>
        <w:tc>
          <w:tcPr>
            <w:tcW w:w="1276" w:type="dxa"/>
            <w:shd w:val="clear" w:color="auto" w:fill="F1F1F1"/>
          </w:tcPr>
          <w:p w14:paraId="0416E381" w14:textId="77777777" w:rsidR="004C7180" w:rsidRPr="00150EDC" w:rsidRDefault="004C7180">
            <w:pPr>
              <w:pStyle w:val="TableParagraph"/>
              <w:spacing w:before="9" w:line="240" w:lineRule="auto"/>
              <w:ind w:left="0"/>
              <w:rPr>
                <w:b/>
                <w:sz w:val="15"/>
              </w:rPr>
            </w:pPr>
          </w:p>
          <w:p w14:paraId="7D22822F" w14:textId="77777777" w:rsidR="004C7180" w:rsidRPr="00150EDC" w:rsidRDefault="00CF0754">
            <w:pPr>
              <w:pStyle w:val="TableParagraph"/>
              <w:spacing w:before="0" w:line="249" w:lineRule="auto"/>
              <w:ind w:left="81" w:right="126"/>
              <w:rPr>
                <w:b/>
                <w:sz w:val="13"/>
              </w:rPr>
            </w:pPr>
            <w:r w:rsidRPr="00150EDC">
              <w:rPr>
                <w:b/>
                <w:w w:val="105"/>
                <w:sz w:val="13"/>
              </w:rPr>
              <w:t>SLA 4: Project</w:t>
            </w:r>
            <w:r w:rsidRPr="00150EDC">
              <w:rPr>
                <w:b/>
                <w:spacing w:val="40"/>
                <w:w w:val="105"/>
                <w:sz w:val="13"/>
              </w:rPr>
              <w:t xml:space="preserve"> </w:t>
            </w:r>
            <w:r w:rsidRPr="00150EDC">
              <w:rPr>
                <w:b/>
                <w:w w:val="105"/>
                <w:sz w:val="13"/>
              </w:rPr>
              <w:t>and</w:t>
            </w:r>
            <w:r w:rsidRPr="00150EDC">
              <w:rPr>
                <w:b/>
                <w:spacing w:val="-10"/>
                <w:w w:val="105"/>
                <w:sz w:val="13"/>
              </w:rPr>
              <w:t xml:space="preserve"> </w:t>
            </w:r>
            <w:r w:rsidRPr="00150EDC">
              <w:rPr>
                <w:b/>
                <w:w w:val="105"/>
                <w:sz w:val="13"/>
              </w:rPr>
              <w:t>Programme</w:t>
            </w:r>
            <w:r w:rsidRPr="00150EDC">
              <w:rPr>
                <w:b/>
                <w:spacing w:val="40"/>
                <w:w w:val="105"/>
                <w:sz w:val="13"/>
              </w:rPr>
              <w:t xml:space="preserve"> </w:t>
            </w:r>
            <w:r w:rsidRPr="00150EDC">
              <w:rPr>
                <w:b/>
                <w:w w:val="105"/>
                <w:sz w:val="13"/>
              </w:rPr>
              <w:t>Management</w:t>
            </w:r>
            <w:r w:rsidRPr="00150EDC">
              <w:rPr>
                <w:b/>
                <w:spacing w:val="40"/>
                <w:w w:val="105"/>
                <w:sz w:val="13"/>
              </w:rPr>
              <w:t xml:space="preserve"> </w:t>
            </w:r>
            <w:r w:rsidRPr="00150EDC">
              <w:rPr>
                <w:b/>
                <w:w w:val="105"/>
                <w:sz w:val="13"/>
              </w:rPr>
              <w:t>-</w:t>
            </w:r>
            <w:r w:rsidRPr="00150EDC">
              <w:rPr>
                <w:b/>
                <w:spacing w:val="40"/>
                <w:w w:val="105"/>
                <w:sz w:val="13"/>
              </w:rPr>
              <w:t xml:space="preserve"> </w:t>
            </w:r>
            <w:r w:rsidRPr="00150EDC">
              <w:rPr>
                <w:b/>
                <w:spacing w:val="-2"/>
                <w:w w:val="105"/>
                <w:sz w:val="13"/>
              </w:rPr>
              <w:t>Progress</w:t>
            </w:r>
            <w:r w:rsidRPr="00150EDC">
              <w:rPr>
                <w:b/>
                <w:spacing w:val="40"/>
                <w:w w:val="105"/>
                <w:sz w:val="13"/>
              </w:rPr>
              <w:t xml:space="preserve"> </w:t>
            </w:r>
            <w:r w:rsidRPr="00150EDC">
              <w:rPr>
                <w:b/>
                <w:spacing w:val="-2"/>
                <w:w w:val="105"/>
                <w:sz w:val="13"/>
              </w:rPr>
              <w:t>Reports</w:t>
            </w:r>
            <w:r w:rsidRPr="00150EDC">
              <w:rPr>
                <w:b/>
                <w:spacing w:val="-8"/>
                <w:w w:val="105"/>
                <w:sz w:val="13"/>
              </w:rPr>
              <w:t xml:space="preserve"> </w:t>
            </w:r>
            <w:r w:rsidRPr="00150EDC">
              <w:rPr>
                <w:b/>
                <w:spacing w:val="-2"/>
                <w:w w:val="105"/>
                <w:sz w:val="13"/>
              </w:rPr>
              <w:t>(Critical</w:t>
            </w:r>
            <w:r w:rsidRPr="00150EDC">
              <w:rPr>
                <w:b/>
                <w:spacing w:val="40"/>
                <w:w w:val="105"/>
                <w:sz w:val="13"/>
              </w:rPr>
              <w:t xml:space="preserve"> </w:t>
            </w:r>
            <w:r w:rsidRPr="00150EDC">
              <w:rPr>
                <w:b/>
                <w:w w:val="105"/>
                <w:sz w:val="13"/>
              </w:rPr>
              <w:t>Service</w:t>
            </w:r>
            <w:r w:rsidRPr="00150EDC">
              <w:rPr>
                <w:b/>
                <w:spacing w:val="-2"/>
                <w:w w:val="105"/>
                <w:sz w:val="13"/>
              </w:rPr>
              <w:t xml:space="preserve"> </w:t>
            </w:r>
            <w:r w:rsidRPr="00150EDC">
              <w:rPr>
                <w:b/>
                <w:w w:val="105"/>
                <w:sz w:val="13"/>
              </w:rPr>
              <w:t>Level)</w:t>
            </w:r>
          </w:p>
        </w:tc>
        <w:tc>
          <w:tcPr>
            <w:tcW w:w="3098" w:type="dxa"/>
          </w:tcPr>
          <w:p w14:paraId="2FE9395D" w14:textId="77777777" w:rsidR="004C7180" w:rsidRPr="00150EDC" w:rsidRDefault="004C7180">
            <w:pPr>
              <w:pStyle w:val="TableParagraph"/>
              <w:spacing w:before="0" w:line="240" w:lineRule="auto"/>
              <w:ind w:left="0"/>
              <w:rPr>
                <w:b/>
                <w:sz w:val="14"/>
              </w:rPr>
            </w:pPr>
          </w:p>
          <w:p w14:paraId="214A7B08" w14:textId="77777777" w:rsidR="004C7180" w:rsidRPr="00150EDC" w:rsidRDefault="004C7180">
            <w:pPr>
              <w:pStyle w:val="TableParagraph"/>
              <w:spacing w:before="11" w:line="240" w:lineRule="auto"/>
              <w:ind w:left="0"/>
              <w:rPr>
                <w:b/>
                <w:sz w:val="15"/>
              </w:rPr>
            </w:pPr>
          </w:p>
          <w:p w14:paraId="415E9801" w14:textId="77777777" w:rsidR="004C7180" w:rsidRPr="00150EDC" w:rsidRDefault="00CF0754">
            <w:pPr>
              <w:pStyle w:val="TableParagraph"/>
              <w:spacing w:before="0" w:line="268" w:lineRule="auto"/>
              <w:ind w:left="82" w:right="152"/>
              <w:rPr>
                <w:sz w:val="13"/>
              </w:rPr>
            </w:pPr>
            <w:r w:rsidRPr="00150EDC">
              <w:rPr>
                <w:w w:val="105"/>
                <w:sz w:val="13"/>
              </w:rPr>
              <w:t>Progress reports should be</w:t>
            </w:r>
            <w:r w:rsidRPr="00150EDC">
              <w:rPr>
                <w:spacing w:val="-1"/>
                <w:w w:val="105"/>
                <w:sz w:val="13"/>
              </w:rPr>
              <w:t xml:space="preserve"> </w:t>
            </w:r>
            <w:r w:rsidRPr="00150EDC">
              <w:rPr>
                <w:w w:val="105"/>
                <w:sz w:val="13"/>
              </w:rPr>
              <w:t>circulated</w:t>
            </w:r>
            <w:r w:rsidRPr="00150EDC">
              <w:rPr>
                <w:spacing w:val="-1"/>
                <w:w w:val="105"/>
                <w:sz w:val="13"/>
              </w:rPr>
              <w:t xml:space="preserve"> </w:t>
            </w:r>
            <w:r w:rsidRPr="00150EDC">
              <w:rPr>
                <w:w w:val="105"/>
                <w:sz w:val="13"/>
              </w:rPr>
              <w:t>by the</w:t>
            </w:r>
            <w:r w:rsidRPr="00150EDC">
              <w:rPr>
                <w:spacing w:val="40"/>
                <w:w w:val="105"/>
                <w:sz w:val="13"/>
              </w:rPr>
              <w:t xml:space="preserve"> </w:t>
            </w:r>
            <w:r w:rsidRPr="00150EDC">
              <w:rPr>
                <w:w w:val="105"/>
                <w:sz w:val="13"/>
              </w:rPr>
              <w:t>Supplier</w:t>
            </w:r>
            <w:r w:rsidRPr="00150EDC">
              <w:rPr>
                <w:spacing w:val="-8"/>
                <w:w w:val="105"/>
                <w:sz w:val="13"/>
              </w:rPr>
              <w:t xml:space="preserve"> </w:t>
            </w:r>
            <w:r w:rsidRPr="00150EDC">
              <w:rPr>
                <w:w w:val="105"/>
                <w:sz w:val="13"/>
              </w:rPr>
              <w:t>to</w:t>
            </w:r>
            <w:r w:rsidRPr="00150EDC">
              <w:rPr>
                <w:spacing w:val="-9"/>
                <w:w w:val="105"/>
                <w:sz w:val="13"/>
              </w:rPr>
              <w:t xml:space="preserve"> </w:t>
            </w:r>
            <w:r w:rsidRPr="00150EDC">
              <w:rPr>
                <w:w w:val="105"/>
                <w:sz w:val="13"/>
              </w:rPr>
              <w:t>the</w:t>
            </w:r>
            <w:r w:rsidRPr="00150EDC">
              <w:rPr>
                <w:spacing w:val="-7"/>
                <w:w w:val="105"/>
                <w:sz w:val="13"/>
              </w:rPr>
              <w:t xml:space="preserve"> </w:t>
            </w:r>
            <w:r w:rsidRPr="00150EDC">
              <w:rPr>
                <w:w w:val="105"/>
                <w:sz w:val="13"/>
              </w:rPr>
              <w:t>Buyer</w:t>
            </w:r>
            <w:r w:rsidRPr="00150EDC">
              <w:rPr>
                <w:spacing w:val="-8"/>
                <w:w w:val="105"/>
                <w:sz w:val="13"/>
              </w:rPr>
              <w:t xml:space="preserve"> </w:t>
            </w:r>
            <w:r w:rsidRPr="00150EDC">
              <w:rPr>
                <w:w w:val="105"/>
                <w:sz w:val="13"/>
              </w:rPr>
              <w:t>more</w:t>
            </w:r>
            <w:r w:rsidRPr="00150EDC">
              <w:rPr>
                <w:spacing w:val="-7"/>
                <w:w w:val="105"/>
                <w:sz w:val="13"/>
              </w:rPr>
              <w:t xml:space="preserve"> </w:t>
            </w:r>
            <w:r w:rsidRPr="00150EDC">
              <w:rPr>
                <w:w w:val="105"/>
                <w:sz w:val="13"/>
              </w:rPr>
              <w:t>than</w:t>
            </w:r>
            <w:r w:rsidRPr="00150EDC">
              <w:rPr>
                <w:spacing w:val="-7"/>
                <w:w w:val="105"/>
                <w:sz w:val="13"/>
              </w:rPr>
              <w:t xml:space="preserve"> </w:t>
            </w:r>
            <w:r w:rsidRPr="00150EDC">
              <w:rPr>
                <w:w w:val="105"/>
                <w:sz w:val="13"/>
              </w:rPr>
              <w:t>one</w:t>
            </w:r>
            <w:r w:rsidRPr="00150EDC">
              <w:rPr>
                <w:spacing w:val="-9"/>
                <w:w w:val="105"/>
                <w:sz w:val="13"/>
              </w:rPr>
              <w:t xml:space="preserve"> </w:t>
            </w:r>
            <w:r w:rsidRPr="00150EDC">
              <w:rPr>
                <w:w w:val="105"/>
                <w:sz w:val="13"/>
              </w:rPr>
              <w:t>Working</w:t>
            </w:r>
            <w:r w:rsidRPr="00150EDC">
              <w:rPr>
                <w:spacing w:val="40"/>
                <w:w w:val="105"/>
                <w:sz w:val="13"/>
              </w:rPr>
              <w:t xml:space="preserve"> </w:t>
            </w:r>
            <w:r w:rsidRPr="00150EDC">
              <w:rPr>
                <w:w w:val="105"/>
                <w:sz w:val="13"/>
              </w:rPr>
              <w:t>Day</w:t>
            </w:r>
            <w:r w:rsidRPr="00150EDC">
              <w:rPr>
                <w:spacing w:val="-1"/>
                <w:w w:val="105"/>
                <w:sz w:val="13"/>
              </w:rPr>
              <w:t xml:space="preserve"> </w:t>
            </w:r>
            <w:r w:rsidRPr="00150EDC">
              <w:rPr>
                <w:w w:val="105"/>
                <w:sz w:val="13"/>
              </w:rPr>
              <w:t>before</w:t>
            </w:r>
            <w:r w:rsidRPr="00150EDC">
              <w:rPr>
                <w:spacing w:val="-1"/>
                <w:w w:val="105"/>
                <w:sz w:val="13"/>
              </w:rPr>
              <w:t xml:space="preserve"> </w:t>
            </w:r>
            <w:r w:rsidRPr="00150EDC">
              <w:rPr>
                <w:w w:val="105"/>
                <w:sz w:val="13"/>
              </w:rPr>
              <w:t>the</w:t>
            </w:r>
            <w:r w:rsidRPr="00150EDC">
              <w:rPr>
                <w:spacing w:val="-3"/>
                <w:w w:val="105"/>
                <w:sz w:val="13"/>
              </w:rPr>
              <w:t xml:space="preserve"> </w:t>
            </w:r>
            <w:r w:rsidRPr="00150EDC">
              <w:rPr>
                <w:w w:val="105"/>
                <w:sz w:val="13"/>
              </w:rPr>
              <w:t>scheduled</w:t>
            </w:r>
            <w:r w:rsidRPr="00150EDC">
              <w:rPr>
                <w:spacing w:val="-3"/>
                <w:w w:val="105"/>
                <w:sz w:val="13"/>
              </w:rPr>
              <w:t xml:space="preserve"> </w:t>
            </w:r>
            <w:r w:rsidRPr="00150EDC">
              <w:rPr>
                <w:w w:val="105"/>
                <w:sz w:val="13"/>
              </w:rPr>
              <w:t>progress</w:t>
            </w:r>
            <w:r w:rsidRPr="00150EDC">
              <w:rPr>
                <w:spacing w:val="-1"/>
                <w:w w:val="105"/>
                <w:sz w:val="13"/>
              </w:rPr>
              <w:t xml:space="preserve"> </w:t>
            </w:r>
            <w:r w:rsidRPr="00150EDC">
              <w:rPr>
                <w:w w:val="105"/>
                <w:sz w:val="13"/>
              </w:rPr>
              <w:t>meeting.</w:t>
            </w:r>
          </w:p>
          <w:p w14:paraId="64FA3DBF" w14:textId="77777777" w:rsidR="004C7180" w:rsidRPr="00150EDC" w:rsidRDefault="004C7180">
            <w:pPr>
              <w:pStyle w:val="TableParagraph"/>
              <w:spacing w:before="10" w:line="240" w:lineRule="auto"/>
              <w:ind w:left="0"/>
              <w:rPr>
                <w:b/>
                <w:sz w:val="15"/>
              </w:rPr>
            </w:pPr>
          </w:p>
          <w:p w14:paraId="6F1FAAFD" w14:textId="77777777" w:rsidR="004C7180" w:rsidRPr="00150EDC" w:rsidRDefault="00CF0754">
            <w:pPr>
              <w:pStyle w:val="TableParagraph"/>
              <w:spacing w:before="1" w:line="252" w:lineRule="auto"/>
              <w:ind w:left="82" w:right="17"/>
              <w:rPr>
                <w:i/>
                <w:sz w:val="13"/>
              </w:rPr>
            </w:pPr>
            <w:r w:rsidRPr="00150EDC">
              <w:rPr>
                <w:i/>
                <w:w w:val="105"/>
                <w:sz w:val="13"/>
              </w:rPr>
              <w:t>Measurement:</w:t>
            </w:r>
            <w:r w:rsidRPr="00150EDC">
              <w:rPr>
                <w:i/>
                <w:spacing w:val="-10"/>
                <w:w w:val="105"/>
                <w:sz w:val="13"/>
              </w:rPr>
              <w:t xml:space="preserve"> </w:t>
            </w:r>
            <w:r w:rsidRPr="00150EDC">
              <w:rPr>
                <w:i/>
                <w:w w:val="105"/>
                <w:sz w:val="13"/>
              </w:rPr>
              <w:t>review</w:t>
            </w:r>
            <w:r w:rsidRPr="00150EDC">
              <w:rPr>
                <w:i/>
                <w:spacing w:val="-9"/>
                <w:w w:val="105"/>
                <w:sz w:val="13"/>
              </w:rPr>
              <w:t xml:space="preserve"> </w:t>
            </w:r>
            <w:r w:rsidRPr="00150EDC">
              <w:rPr>
                <w:i/>
                <w:w w:val="105"/>
                <w:sz w:val="13"/>
              </w:rPr>
              <w:t>of</w:t>
            </w:r>
            <w:r w:rsidRPr="00150EDC">
              <w:rPr>
                <w:i/>
                <w:spacing w:val="-8"/>
                <w:w w:val="105"/>
                <w:sz w:val="13"/>
              </w:rPr>
              <w:t xml:space="preserve"> </w:t>
            </w:r>
            <w:r w:rsidRPr="00150EDC">
              <w:rPr>
                <w:i/>
                <w:w w:val="105"/>
                <w:sz w:val="13"/>
              </w:rPr>
              <w:t>if</w:t>
            </w:r>
            <w:r w:rsidRPr="00150EDC">
              <w:rPr>
                <w:i/>
                <w:spacing w:val="-10"/>
                <w:w w:val="105"/>
                <w:sz w:val="13"/>
              </w:rPr>
              <w:t xml:space="preserve"> </w:t>
            </w:r>
            <w:r w:rsidRPr="00150EDC">
              <w:rPr>
                <w:i/>
                <w:w w:val="105"/>
                <w:sz w:val="13"/>
              </w:rPr>
              <w:t>and</w:t>
            </w:r>
            <w:r w:rsidRPr="00150EDC">
              <w:rPr>
                <w:i/>
                <w:spacing w:val="-9"/>
                <w:w w:val="105"/>
                <w:sz w:val="13"/>
              </w:rPr>
              <w:t xml:space="preserve"> </w:t>
            </w:r>
            <w:r w:rsidRPr="00150EDC">
              <w:rPr>
                <w:i/>
                <w:w w:val="105"/>
                <w:sz w:val="13"/>
              </w:rPr>
              <w:t>when</w:t>
            </w:r>
            <w:r w:rsidRPr="00150EDC">
              <w:rPr>
                <w:i/>
                <w:spacing w:val="-9"/>
                <w:w w:val="105"/>
                <w:sz w:val="13"/>
              </w:rPr>
              <w:t xml:space="preserve"> </w:t>
            </w:r>
            <w:r w:rsidRPr="00150EDC">
              <w:rPr>
                <w:i/>
                <w:w w:val="105"/>
                <w:sz w:val="13"/>
              </w:rPr>
              <w:t>progress</w:t>
            </w:r>
            <w:r w:rsidRPr="00150EDC">
              <w:rPr>
                <w:i/>
                <w:spacing w:val="40"/>
                <w:w w:val="105"/>
                <w:sz w:val="13"/>
              </w:rPr>
              <w:t xml:space="preserve"> </w:t>
            </w:r>
            <w:r w:rsidRPr="00150EDC">
              <w:rPr>
                <w:i/>
                <w:w w:val="105"/>
                <w:sz w:val="13"/>
              </w:rPr>
              <w:t>reports were received by the Buyer.</w:t>
            </w:r>
          </w:p>
        </w:tc>
        <w:tc>
          <w:tcPr>
            <w:tcW w:w="2134" w:type="dxa"/>
          </w:tcPr>
          <w:p w14:paraId="2CEFAD9D" w14:textId="77777777" w:rsidR="004C7180" w:rsidRPr="00150EDC" w:rsidRDefault="00CF0754">
            <w:pPr>
              <w:pStyle w:val="TableParagraph"/>
              <w:spacing w:before="115" w:line="249" w:lineRule="auto"/>
              <w:ind w:left="81" w:right="296"/>
              <w:rPr>
                <w:sz w:val="13"/>
              </w:rPr>
            </w:pPr>
            <w:r w:rsidRPr="00150EDC">
              <w:rPr>
                <w:b/>
                <w:w w:val="105"/>
                <w:sz w:val="13"/>
              </w:rPr>
              <w:t>Good:</w:t>
            </w:r>
            <w:r w:rsidRPr="00150EDC">
              <w:rPr>
                <w:b/>
                <w:spacing w:val="-10"/>
                <w:w w:val="105"/>
                <w:sz w:val="13"/>
              </w:rPr>
              <w:t xml:space="preserve"> </w:t>
            </w:r>
            <w:r w:rsidRPr="00150EDC">
              <w:rPr>
                <w:w w:val="105"/>
                <w:sz w:val="13"/>
              </w:rPr>
              <w:t>Supplier</w:t>
            </w:r>
            <w:r w:rsidRPr="00150EDC">
              <w:rPr>
                <w:spacing w:val="-9"/>
                <w:w w:val="105"/>
                <w:sz w:val="13"/>
              </w:rPr>
              <w:t xml:space="preserve"> </w:t>
            </w:r>
            <w:r w:rsidRPr="00150EDC">
              <w:rPr>
                <w:w w:val="105"/>
                <w:sz w:val="13"/>
              </w:rPr>
              <w:t>provides</w:t>
            </w:r>
            <w:r w:rsidRPr="00150EDC">
              <w:rPr>
                <w:spacing w:val="-10"/>
                <w:w w:val="105"/>
                <w:sz w:val="13"/>
              </w:rPr>
              <w:t xml:space="preserve"> </w:t>
            </w:r>
            <w:r w:rsidRPr="00150EDC">
              <w:rPr>
                <w:w w:val="105"/>
                <w:sz w:val="13"/>
              </w:rPr>
              <w:t>the</w:t>
            </w:r>
            <w:r w:rsidRPr="00150EDC">
              <w:rPr>
                <w:spacing w:val="40"/>
                <w:w w:val="105"/>
                <w:sz w:val="13"/>
              </w:rPr>
              <w:t xml:space="preserve"> </w:t>
            </w:r>
            <w:r w:rsidRPr="00150EDC">
              <w:rPr>
                <w:w w:val="105"/>
                <w:sz w:val="13"/>
              </w:rPr>
              <w:t>report</w:t>
            </w:r>
            <w:r w:rsidRPr="00150EDC">
              <w:rPr>
                <w:spacing w:val="-7"/>
                <w:w w:val="105"/>
                <w:sz w:val="13"/>
              </w:rPr>
              <w:t xml:space="preserve"> </w:t>
            </w:r>
            <w:r w:rsidRPr="00150EDC">
              <w:rPr>
                <w:w w:val="105"/>
                <w:sz w:val="13"/>
              </w:rPr>
              <w:t>to</w:t>
            </w:r>
            <w:r w:rsidRPr="00150EDC">
              <w:rPr>
                <w:spacing w:val="-7"/>
                <w:w w:val="105"/>
                <w:sz w:val="13"/>
              </w:rPr>
              <w:t xml:space="preserve"> </w:t>
            </w:r>
            <w:r w:rsidRPr="00150EDC">
              <w:rPr>
                <w:w w:val="105"/>
                <w:sz w:val="13"/>
              </w:rPr>
              <w:t>Buyer,</w:t>
            </w:r>
            <w:r w:rsidRPr="00150EDC">
              <w:rPr>
                <w:spacing w:val="-7"/>
                <w:w w:val="105"/>
                <w:sz w:val="13"/>
              </w:rPr>
              <w:t xml:space="preserve"> </w:t>
            </w:r>
            <w:r w:rsidRPr="00150EDC">
              <w:rPr>
                <w:w w:val="105"/>
                <w:sz w:val="13"/>
              </w:rPr>
              <w:t>on</w:t>
            </w:r>
            <w:r w:rsidRPr="00150EDC">
              <w:rPr>
                <w:spacing w:val="-7"/>
                <w:w w:val="105"/>
                <w:sz w:val="13"/>
              </w:rPr>
              <w:t xml:space="preserve"> </w:t>
            </w:r>
            <w:r w:rsidRPr="00150EDC">
              <w:rPr>
                <w:w w:val="105"/>
                <w:sz w:val="13"/>
              </w:rPr>
              <w:t>average,</w:t>
            </w:r>
            <w:r w:rsidRPr="00150EDC">
              <w:rPr>
                <w:spacing w:val="40"/>
                <w:w w:val="105"/>
                <w:sz w:val="13"/>
              </w:rPr>
              <w:t xml:space="preserve"> </w:t>
            </w:r>
            <w:r w:rsidRPr="00150EDC">
              <w:rPr>
                <w:w w:val="105"/>
                <w:sz w:val="13"/>
              </w:rPr>
              <w:t>more than 1 day before the</w:t>
            </w:r>
            <w:r w:rsidRPr="00150EDC">
              <w:rPr>
                <w:spacing w:val="40"/>
                <w:w w:val="105"/>
                <w:sz w:val="13"/>
              </w:rPr>
              <w:t xml:space="preserve"> </w:t>
            </w:r>
            <w:r w:rsidRPr="00150EDC">
              <w:rPr>
                <w:spacing w:val="-2"/>
                <w:w w:val="105"/>
                <w:sz w:val="13"/>
              </w:rPr>
              <w:t>meeting.</w:t>
            </w:r>
          </w:p>
          <w:p w14:paraId="01E423B3" w14:textId="77777777" w:rsidR="004C7180" w:rsidRPr="00150EDC" w:rsidRDefault="00CF0754">
            <w:pPr>
              <w:pStyle w:val="TableParagraph"/>
              <w:spacing w:before="92" w:line="249" w:lineRule="auto"/>
              <w:ind w:left="81" w:right="95"/>
              <w:rPr>
                <w:sz w:val="13"/>
              </w:rPr>
            </w:pPr>
            <w:r w:rsidRPr="00150EDC">
              <w:rPr>
                <w:b/>
                <w:w w:val="105"/>
                <w:sz w:val="13"/>
              </w:rPr>
              <w:t xml:space="preserve">Approaching target: </w:t>
            </w:r>
            <w:r w:rsidRPr="00150EDC">
              <w:rPr>
                <w:w w:val="105"/>
                <w:sz w:val="13"/>
              </w:rPr>
              <w:t>Supplier</w:t>
            </w:r>
            <w:r w:rsidRPr="00150EDC">
              <w:rPr>
                <w:spacing w:val="40"/>
                <w:w w:val="105"/>
                <w:sz w:val="13"/>
              </w:rPr>
              <w:t xml:space="preserve"> </w:t>
            </w:r>
            <w:r w:rsidRPr="00150EDC">
              <w:rPr>
                <w:w w:val="105"/>
                <w:sz w:val="13"/>
              </w:rPr>
              <w:t>provides</w:t>
            </w:r>
            <w:r w:rsidRPr="00150EDC">
              <w:rPr>
                <w:spacing w:val="-10"/>
                <w:w w:val="105"/>
                <w:sz w:val="13"/>
              </w:rPr>
              <w:t xml:space="preserve"> </w:t>
            </w:r>
            <w:r w:rsidRPr="00150EDC">
              <w:rPr>
                <w:w w:val="105"/>
                <w:sz w:val="13"/>
              </w:rPr>
              <w:t>the</w:t>
            </w:r>
            <w:r w:rsidRPr="00150EDC">
              <w:rPr>
                <w:spacing w:val="-9"/>
                <w:w w:val="105"/>
                <w:sz w:val="13"/>
              </w:rPr>
              <w:t xml:space="preserve"> </w:t>
            </w:r>
            <w:r w:rsidRPr="00150EDC">
              <w:rPr>
                <w:w w:val="105"/>
                <w:sz w:val="13"/>
              </w:rPr>
              <w:t>report</w:t>
            </w:r>
            <w:r w:rsidRPr="00150EDC">
              <w:rPr>
                <w:spacing w:val="-10"/>
                <w:w w:val="105"/>
                <w:sz w:val="13"/>
              </w:rPr>
              <w:t xml:space="preserve"> </w:t>
            </w:r>
            <w:r w:rsidRPr="00150EDC">
              <w:rPr>
                <w:w w:val="105"/>
                <w:sz w:val="13"/>
              </w:rPr>
              <w:t>to</w:t>
            </w:r>
            <w:r w:rsidRPr="00150EDC">
              <w:rPr>
                <w:spacing w:val="-9"/>
                <w:w w:val="105"/>
                <w:sz w:val="13"/>
              </w:rPr>
              <w:t xml:space="preserve"> </w:t>
            </w:r>
            <w:r w:rsidRPr="00150EDC">
              <w:rPr>
                <w:w w:val="105"/>
                <w:sz w:val="13"/>
              </w:rPr>
              <w:t>Buyer,</w:t>
            </w:r>
            <w:r w:rsidRPr="00150EDC">
              <w:rPr>
                <w:spacing w:val="-10"/>
                <w:w w:val="105"/>
                <w:sz w:val="13"/>
              </w:rPr>
              <w:t xml:space="preserve"> </w:t>
            </w:r>
            <w:r w:rsidRPr="00150EDC">
              <w:rPr>
                <w:w w:val="105"/>
                <w:sz w:val="13"/>
              </w:rPr>
              <w:t>on</w:t>
            </w:r>
            <w:r w:rsidRPr="00150EDC">
              <w:rPr>
                <w:spacing w:val="40"/>
                <w:w w:val="105"/>
                <w:sz w:val="13"/>
              </w:rPr>
              <w:t xml:space="preserve"> </w:t>
            </w:r>
            <w:r w:rsidRPr="00150EDC">
              <w:rPr>
                <w:w w:val="105"/>
                <w:sz w:val="13"/>
              </w:rPr>
              <w:t>average, 1 day before the</w:t>
            </w:r>
            <w:r w:rsidRPr="00150EDC">
              <w:rPr>
                <w:spacing w:val="40"/>
                <w:w w:val="105"/>
                <w:sz w:val="13"/>
              </w:rPr>
              <w:t xml:space="preserve"> </w:t>
            </w:r>
            <w:r w:rsidRPr="00150EDC">
              <w:rPr>
                <w:spacing w:val="-2"/>
                <w:w w:val="105"/>
                <w:sz w:val="13"/>
              </w:rPr>
              <w:t>meeting.</w:t>
            </w:r>
          </w:p>
          <w:p w14:paraId="283A3E54" w14:textId="77777777" w:rsidR="004C7180" w:rsidRPr="00150EDC" w:rsidRDefault="00CF0754">
            <w:pPr>
              <w:pStyle w:val="TableParagraph"/>
              <w:spacing w:before="93" w:line="240" w:lineRule="auto"/>
              <w:ind w:left="81"/>
              <w:rPr>
                <w:b/>
                <w:sz w:val="13"/>
              </w:rPr>
            </w:pPr>
            <w:r w:rsidRPr="00150EDC">
              <w:rPr>
                <w:b/>
                <w:w w:val="105"/>
                <w:sz w:val="13"/>
              </w:rPr>
              <w:t>Requires</w:t>
            </w:r>
            <w:r w:rsidRPr="00150EDC">
              <w:rPr>
                <w:b/>
                <w:spacing w:val="-8"/>
                <w:w w:val="105"/>
                <w:sz w:val="13"/>
              </w:rPr>
              <w:t xml:space="preserve"> </w:t>
            </w:r>
            <w:r w:rsidRPr="00150EDC">
              <w:rPr>
                <w:b/>
                <w:spacing w:val="-2"/>
                <w:w w:val="105"/>
                <w:sz w:val="13"/>
              </w:rPr>
              <w:t>Improvement:</w:t>
            </w:r>
          </w:p>
          <w:p w14:paraId="5D75EE1D" w14:textId="77777777" w:rsidR="004C7180" w:rsidRPr="00150EDC" w:rsidRDefault="00CF0754">
            <w:pPr>
              <w:pStyle w:val="TableParagraph"/>
              <w:spacing w:before="0" w:line="158" w:lineRule="exact"/>
              <w:ind w:left="81" w:right="37"/>
              <w:rPr>
                <w:sz w:val="13"/>
              </w:rPr>
            </w:pPr>
            <w:r w:rsidRPr="00150EDC">
              <w:rPr>
                <w:w w:val="105"/>
                <w:sz w:val="13"/>
              </w:rPr>
              <w:t>Supplier provides the report to</w:t>
            </w:r>
            <w:r w:rsidRPr="00150EDC">
              <w:rPr>
                <w:spacing w:val="40"/>
                <w:w w:val="105"/>
                <w:sz w:val="13"/>
              </w:rPr>
              <w:t xml:space="preserve"> </w:t>
            </w:r>
            <w:r w:rsidRPr="00150EDC">
              <w:rPr>
                <w:w w:val="105"/>
                <w:sz w:val="13"/>
              </w:rPr>
              <w:t>Buyer,</w:t>
            </w:r>
            <w:r w:rsidRPr="00150EDC">
              <w:rPr>
                <w:spacing w:val="-9"/>
                <w:w w:val="105"/>
                <w:sz w:val="13"/>
              </w:rPr>
              <w:t xml:space="preserve"> </w:t>
            </w:r>
            <w:r w:rsidRPr="00150EDC">
              <w:rPr>
                <w:w w:val="105"/>
                <w:sz w:val="13"/>
              </w:rPr>
              <w:t>on</w:t>
            </w:r>
            <w:r w:rsidRPr="00150EDC">
              <w:rPr>
                <w:spacing w:val="-8"/>
                <w:w w:val="105"/>
                <w:sz w:val="13"/>
              </w:rPr>
              <w:t xml:space="preserve"> </w:t>
            </w:r>
            <w:r w:rsidRPr="00150EDC">
              <w:rPr>
                <w:w w:val="105"/>
                <w:sz w:val="13"/>
              </w:rPr>
              <w:t>average,</w:t>
            </w:r>
            <w:r w:rsidRPr="00150EDC">
              <w:rPr>
                <w:spacing w:val="-9"/>
                <w:w w:val="105"/>
                <w:sz w:val="13"/>
              </w:rPr>
              <w:t xml:space="preserve"> </w:t>
            </w:r>
            <w:r w:rsidRPr="00150EDC">
              <w:rPr>
                <w:w w:val="105"/>
                <w:sz w:val="13"/>
              </w:rPr>
              <w:t>on</w:t>
            </w:r>
            <w:r w:rsidRPr="00150EDC">
              <w:rPr>
                <w:spacing w:val="-8"/>
                <w:w w:val="105"/>
                <w:sz w:val="13"/>
              </w:rPr>
              <w:t xml:space="preserve"> </w:t>
            </w:r>
            <w:r w:rsidRPr="00150EDC">
              <w:rPr>
                <w:w w:val="105"/>
                <w:sz w:val="13"/>
              </w:rPr>
              <w:t>the</w:t>
            </w:r>
            <w:r w:rsidRPr="00150EDC">
              <w:rPr>
                <w:spacing w:val="-8"/>
                <w:w w:val="105"/>
                <w:sz w:val="13"/>
              </w:rPr>
              <w:t xml:space="preserve"> </w:t>
            </w:r>
            <w:r w:rsidRPr="00150EDC">
              <w:rPr>
                <w:w w:val="105"/>
                <w:sz w:val="13"/>
              </w:rPr>
              <w:t>day</w:t>
            </w:r>
            <w:r w:rsidRPr="00150EDC">
              <w:rPr>
                <w:spacing w:val="-9"/>
                <w:w w:val="105"/>
                <w:sz w:val="13"/>
              </w:rPr>
              <w:t xml:space="preserve"> </w:t>
            </w:r>
            <w:r w:rsidRPr="00150EDC">
              <w:rPr>
                <w:w w:val="105"/>
                <w:sz w:val="13"/>
              </w:rPr>
              <w:t>of</w:t>
            </w:r>
          </w:p>
        </w:tc>
        <w:tc>
          <w:tcPr>
            <w:tcW w:w="1049" w:type="dxa"/>
          </w:tcPr>
          <w:p w14:paraId="103CB7F6" w14:textId="77777777" w:rsidR="004C7180" w:rsidRPr="00150EDC" w:rsidRDefault="004C7180">
            <w:pPr>
              <w:pStyle w:val="TableParagraph"/>
              <w:spacing w:before="10" w:line="240" w:lineRule="auto"/>
              <w:ind w:left="0"/>
              <w:rPr>
                <w:b/>
                <w:sz w:val="17"/>
              </w:rPr>
            </w:pPr>
          </w:p>
          <w:p w14:paraId="046A21A7" w14:textId="77777777" w:rsidR="004C7180" w:rsidRPr="00150EDC" w:rsidRDefault="00CF0754">
            <w:pPr>
              <w:pStyle w:val="TableParagraph"/>
              <w:spacing w:before="0" w:line="249" w:lineRule="auto"/>
              <w:ind w:left="82" w:right="113"/>
              <w:rPr>
                <w:sz w:val="13"/>
              </w:rPr>
            </w:pPr>
            <w:r w:rsidRPr="00150EDC">
              <w:rPr>
                <w:w w:val="105"/>
                <w:sz w:val="13"/>
              </w:rPr>
              <w:t>Supplier</w:t>
            </w:r>
            <w:r w:rsidRPr="00150EDC">
              <w:rPr>
                <w:spacing w:val="-10"/>
                <w:w w:val="105"/>
                <w:sz w:val="13"/>
              </w:rPr>
              <w:t xml:space="preserve"> </w:t>
            </w:r>
            <w:r w:rsidRPr="00150EDC">
              <w:rPr>
                <w:w w:val="105"/>
                <w:sz w:val="13"/>
              </w:rPr>
              <w:t>to</w:t>
            </w:r>
            <w:r w:rsidRPr="00150EDC">
              <w:rPr>
                <w:spacing w:val="-9"/>
                <w:w w:val="105"/>
                <w:sz w:val="13"/>
              </w:rPr>
              <w:t xml:space="preserve"> </w:t>
            </w:r>
            <w:r w:rsidRPr="00150EDC">
              <w:rPr>
                <w:w w:val="105"/>
                <w:sz w:val="13"/>
              </w:rPr>
              <w:t>be</w:t>
            </w:r>
            <w:r w:rsidRPr="00150EDC">
              <w:rPr>
                <w:spacing w:val="40"/>
                <w:w w:val="105"/>
                <w:sz w:val="13"/>
              </w:rPr>
              <w:t xml:space="preserve"> </w:t>
            </w:r>
            <w:r w:rsidRPr="00150EDC">
              <w:rPr>
                <w:w w:val="105"/>
                <w:sz w:val="13"/>
              </w:rPr>
              <w:t>rated</w:t>
            </w:r>
            <w:r w:rsidRPr="00150EDC">
              <w:rPr>
                <w:spacing w:val="-2"/>
                <w:w w:val="105"/>
                <w:sz w:val="13"/>
              </w:rPr>
              <w:t xml:space="preserve"> </w:t>
            </w:r>
            <w:r w:rsidRPr="00150EDC">
              <w:rPr>
                <w:w w:val="105"/>
                <w:sz w:val="13"/>
              </w:rPr>
              <w:t>as</w:t>
            </w:r>
            <w:r w:rsidRPr="00150EDC">
              <w:rPr>
                <w:spacing w:val="40"/>
                <w:w w:val="105"/>
                <w:sz w:val="13"/>
              </w:rPr>
              <w:t xml:space="preserve"> </w:t>
            </w:r>
            <w:r w:rsidRPr="00150EDC">
              <w:rPr>
                <w:w w:val="105"/>
                <w:sz w:val="13"/>
              </w:rPr>
              <w:t>‘Good’</w:t>
            </w:r>
            <w:r w:rsidRPr="00150EDC">
              <w:rPr>
                <w:spacing w:val="-6"/>
                <w:w w:val="105"/>
                <w:sz w:val="13"/>
              </w:rPr>
              <w:t xml:space="preserve"> </w:t>
            </w:r>
            <w:r w:rsidRPr="00150EDC">
              <w:rPr>
                <w:w w:val="105"/>
                <w:sz w:val="13"/>
              </w:rPr>
              <w:t>or</w:t>
            </w:r>
            <w:r w:rsidRPr="00150EDC">
              <w:rPr>
                <w:spacing w:val="40"/>
                <w:w w:val="105"/>
                <w:sz w:val="13"/>
              </w:rPr>
              <w:t xml:space="preserve"> </w:t>
            </w:r>
            <w:r w:rsidRPr="00150EDC">
              <w:rPr>
                <w:spacing w:val="-2"/>
                <w:w w:val="105"/>
                <w:sz w:val="13"/>
              </w:rPr>
              <w:t>‘Approaching</w:t>
            </w:r>
            <w:r w:rsidRPr="00150EDC">
              <w:rPr>
                <w:spacing w:val="40"/>
                <w:w w:val="105"/>
                <w:sz w:val="13"/>
              </w:rPr>
              <w:t xml:space="preserve"> </w:t>
            </w:r>
            <w:r w:rsidRPr="00150EDC">
              <w:rPr>
                <w:spacing w:val="-2"/>
                <w:w w:val="105"/>
                <w:sz w:val="13"/>
              </w:rPr>
              <w:t>Target’.</w:t>
            </w:r>
          </w:p>
        </w:tc>
        <w:tc>
          <w:tcPr>
            <w:tcW w:w="740" w:type="dxa"/>
            <w:shd w:val="clear" w:color="auto" w:fill="F1F1F1"/>
          </w:tcPr>
          <w:p w14:paraId="7699A981" w14:textId="77777777" w:rsidR="004C7180" w:rsidRPr="00150EDC" w:rsidRDefault="004C7180">
            <w:pPr>
              <w:pStyle w:val="TableParagraph"/>
              <w:spacing w:before="10" w:line="240" w:lineRule="auto"/>
              <w:ind w:left="0"/>
              <w:rPr>
                <w:b/>
                <w:sz w:val="17"/>
              </w:rPr>
            </w:pPr>
          </w:p>
          <w:p w14:paraId="0008AFA8" w14:textId="77777777" w:rsidR="004C7180" w:rsidRPr="00150EDC" w:rsidRDefault="00CF0754">
            <w:pPr>
              <w:pStyle w:val="TableParagraph"/>
              <w:spacing w:before="0" w:line="249" w:lineRule="auto"/>
              <w:ind w:left="84" w:right="68"/>
              <w:rPr>
                <w:sz w:val="13"/>
              </w:rPr>
            </w:pPr>
            <w:r w:rsidRPr="00150EDC">
              <w:rPr>
                <w:w w:val="105"/>
                <w:sz w:val="13"/>
              </w:rPr>
              <w:t>2.5%</w:t>
            </w:r>
            <w:r w:rsidRPr="00150EDC">
              <w:rPr>
                <w:spacing w:val="-2"/>
                <w:w w:val="105"/>
                <w:sz w:val="13"/>
              </w:rPr>
              <w:t xml:space="preserve"> </w:t>
            </w:r>
            <w:r w:rsidRPr="00150EDC">
              <w:rPr>
                <w:w w:val="105"/>
                <w:sz w:val="13"/>
              </w:rPr>
              <w:t>of</w:t>
            </w:r>
            <w:r w:rsidRPr="00150EDC">
              <w:rPr>
                <w:spacing w:val="40"/>
                <w:w w:val="105"/>
                <w:sz w:val="13"/>
              </w:rPr>
              <w:t xml:space="preserve"> </w:t>
            </w:r>
            <w:r w:rsidRPr="00150EDC">
              <w:rPr>
                <w:spacing w:val="-2"/>
                <w:w w:val="105"/>
                <w:sz w:val="13"/>
              </w:rPr>
              <w:t>Monthly</w:t>
            </w:r>
            <w:r w:rsidRPr="00150EDC">
              <w:rPr>
                <w:spacing w:val="40"/>
                <w:w w:val="105"/>
                <w:sz w:val="13"/>
              </w:rPr>
              <w:t xml:space="preserve"> </w:t>
            </w:r>
            <w:r w:rsidRPr="00150EDC">
              <w:rPr>
                <w:spacing w:val="-2"/>
                <w:w w:val="105"/>
                <w:sz w:val="13"/>
              </w:rPr>
              <w:t>Manage</w:t>
            </w:r>
            <w:r w:rsidRPr="00150EDC">
              <w:rPr>
                <w:spacing w:val="40"/>
                <w:w w:val="105"/>
                <w:sz w:val="13"/>
              </w:rPr>
              <w:t xml:space="preserve"> </w:t>
            </w:r>
            <w:r w:rsidRPr="00150EDC">
              <w:rPr>
                <w:w w:val="105"/>
                <w:sz w:val="13"/>
              </w:rPr>
              <w:t>ment</w:t>
            </w:r>
            <w:r w:rsidRPr="00150EDC">
              <w:rPr>
                <w:spacing w:val="-10"/>
                <w:w w:val="105"/>
                <w:sz w:val="13"/>
              </w:rPr>
              <w:t xml:space="preserve"> </w:t>
            </w:r>
            <w:r w:rsidRPr="00150EDC">
              <w:rPr>
                <w:w w:val="105"/>
                <w:sz w:val="13"/>
              </w:rPr>
              <w:t>Fee</w:t>
            </w:r>
            <w:r w:rsidRPr="00150EDC">
              <w:rPr>
                <w:spacing w:val="40"/>
                <w:w w:val="105"/>
                <w:sz w:val="13"/>
              </w:rPr>
              <w:t xml:space="preserve"> </w:t>
            </w:r>
            <w:r w:rsidRPr="00150EDC">
              <w:rPr>
                <w:w w:val="105"/>
                <w:sz w:val="13"/>
              </w:rPr>
              <w:t>to</w:t>
            </w:r>
            <w:r w:rsidRPr="00150EDC">
              <w:rPr>
                <w:spacing w:val="-2"/>
                <w:w w:val="105"/>
                <w:sz w:val="13"/>
              </w:rPr>
              <w:t xml:space="preserve"> </w:t>
            </w:r>
            <w:r w:rsidRPr="00150EDC">
              <w:rPr>
                <w:w w:val="105"/>
                <w:sz w:val="13"/>
              </w:rPr>
              <w:t>be</w:t>
            </w:r>
            <w:r w:rsidRPr="00150EDC">
              <w:rPr>
                <w:spacing w:val="40"/>
                <w:w w:val="105"/>
                <w:sz w:val="13"/>
              </w:rPr>
              <w:t xml:space="preserve"> </w:t>
            </w:r>
            <w:r w:rsidRPr="00150EDC">
              <w:rPr>
                <w:w w:val="105"/>
                <w:sz w:val="13"/>
              </w:rPr>
              <w:t>paid</w:t>
            </w:r>
            <w:r w:rsidRPr="00150EDC">
              <w:rPr>
                <w:spacing w:val="-6"/>
                <w:w w:val="105"/>
                <w:sz w:val="13"/>
              </w:rPr>
              <w:t xml:space="preserve"> </w:t>
            </w:r>
            <w:r w:rsidRPr="00150EDC">
              <w:rPr>
                <w:w w:val="105"/>
                <w:sz w:val="13"/>
              </w:rPr>
              <w:t>by</w:t>
            </w:r>
            <w:r w:rsidRPr="00150EDC">
              <w:rPr>
                <w:spacing w:val="40"/>
                <w:w w:val="105"/>
                <w:sz w:val="13"/>
              </w:rPr>
              <w:t xml:space="preserve"> </w:t>
            </w:r>
            <w:r w:rsidRPr="00150EDC">
              <w:rPr>
                <w:spacing w:val="-2"/>
                <w:w w:val="105"/>
                <w:sz w:val="13"/>
              </w:rPr>
              <w:t>Supplier</w:t>
            </w:r>
            <w:r w:rsidRPr="00150EDC">
              <w:rPr>
                <w:spacing w:val="40"/>
                <w:w w:val="105"/>
                <w:sz w:val="13"/>
              </w:rPr>
              <w:t xml:space="preserve"> </w:t>
            </w:r>
            <w:r w:rsidRPr="00150EDC">
              <w:rPr>
                <w:w w:val="105"/>
                <w:sz w:val="13"/>
              </w:rPr>
              <w:t>to</w:t>
            </w:r>
            <w:r w:rsidRPr="00150EDC">
              <w:rPr>
                <w:spacing w:val="-2"/>
                <w:w w:val="105"/>
                <w:sz w:val="13"/>
              </w:rPr>
              <w:t xml:space="preserve"> </w:t>
            </w:r>
            <w:r w:rsidRPr="00150EDC">
              <w:rPr>
                <w:w w:val="105"/>
                <w:sz w:val="13"/>
              </w:rPr>
              <w:t>Buyer</w:t>
            </w:r>
          </w:p>
        </w:tc>
      </w:tr>
    </w:tbl>
    <w:p w14:paraId="1580B26C" w14:textId="77777777" w:rsidR="004C7180" w:rsidRPr="00150EDC" w:rsidRDefault="004C7180">
      <w:pPr>
        <w:spacing w:line="249" w:lineRule="auto"/>
        <w:rPr>
          <w:sz w:val="13"/>
        </w:rPr>
        <w:sectPr w:rsidR="004C7180" w:rsidRPr="00150EDC">
          <w:pgSz w:w="11910" w:h="16840"/>
          <w:pgMar w:top="2940" w:right="0" w:bottom="3120" w:left="40" w:header="2612" w:footer="2929" w:gutter="0"/>
          <w:cols w:space="720"/>
        </w:sectPr>
      </w:pPr>
    </w:p>
    <w:p w14:paraId="0549A763" w14:textId="77777777" w:rsidR="004C7180" w:rsidRPr="00150EDC" w:rsidRDefault="004C7180">
      <w:pPr>
        <w:pStyle w:val="BodyText"/>
        <w:spacing w:before="8"/>
        <w:rPr>
          <w:b/>
          <w:sz w:val="11"/>
        </w:rPr>
      </w:pPr>
    </w:p>
    <w:tbl>
      <w:tblPr>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6"/>
        <w:gridCol w:w="3098"/>
        <w:gridCol w:w="2134"/>
        <w:gridCol w:w="1049"/>
        <w:gridCol w:w="96"/>
        <w:gridCol w:w="642"/>
        <w:gridCol w:w="3262"/>
      </w:tblGrid>
      <w:tr w:rsidR="004569EE" w:rsidRPr="007D3144" w14:paraId="64D23254" w14:textId="77777777">
        <w:trPr>
          <w:trHeight w:val="1083"/>
        </w:trPr>
        <w:tc>
          <w:tcPr>
            <w:tcW w:w="7653" w:type="dxa"/>
            <w:gridSpan w:val="5"/>
            <w:tcBorders>
              <w:top w:val="nil"/>
              <w:left w:val="nil"/>
              <w:right w:val="nil"/>
            </w:tcBorders>
          </w:tcPr>
          <w:p w14:paraId="75A745BF" w14:textId="77777777" w:rsidR="004C7180" w:rsidRPr="00150EDC" w:rsidRDefault="004C7180">
            <w:pPr>
              <w:pStyle w:val="TableParagraph"/>
              <w:spacing w:before="0" w:line="240" w:lineRule="auto"/>
              <w:ind w:left="0"/>
              <w:rPr>
                <w:b/>
                <w:sz w:val="16"/>
              </w:rPr>
            </w:pPr>
          </w:p>
          <w:p w14:paraId="2D2BA6DA" w14:textId="77777777" w:rsidR="004C7180" w:rsidRPr="00150EDC" w:rsidRDefault="004C7180">
            <w:pPr>
              <w:pStyle w:val="TableParagraph"/>
              <w:spacing w:before="0" w:line="240" w:lineRule="auto"/>
              <w:ind w:left="0"/>
              <w:rPr>
                <w:b/>
                <w:sz w:val="16"/>
              </w:rPr>
            </w:pPr>
          </w:p>
          <w:p w14:paraId="7EACB369" w14:textId="77777777" w:rsidR="004C7180" w:rsidRPr="00150EDC" w:rsidRDefault="004C7180">
            <w:pPr>
              <w:pStyle w:val="TableParagraph"/>
              <w:spacing w:before="4" w:line="240" w:lineRule="auto"/>
              <w:ind w:left="0"/>
              <w:rPr>
                <w:b/>
                <w:sz w:val="14"/>
              </w:rPr>
            </w:pPr>
          </w:p>
          <w:p w14:paraId="426BC884" w14:textId="77777777" w:rsidR="004C7180" w:rsidRPr="00150EDC" w:rsidRDefault="00CF0754">
            <w:pPr>
              <w:pStyle w:val="TableParagraph"/>
              <w:spacing w:before="0" w:line="240" w:lineRule="auto"/>
              <w:ind w:left="755"/>
              <w:rPr>
                <w:b/>
                <w:sz w:val="15"/>
              </w:rPr>
            </w:pPr>
            <w:r w:rsidRPr="00150EDC">
              <w:rPr>
                <w:b/>
                <w:sz w:val="15"/>
              </w:rPr>
              <w:t>Order</w:t>
            </w:r>
            <w:r w:rsidRPr="00150EDC">
              <w:rPr>
                <w:b/>
                <w:spacing w:val="-1"/>
                <w:sz w:val="15"/>
              </w:rPr>
              <w:t xml:space="preserve"> </w:t>
            </w:r>
            <w:r w:rsidRPr="00150EDC">
              <w:rPr>
                <w:b/>
                <w:sz w:val="15"/>
              </w:rPr>
              <w:t>Schedule</w:t>
            </w:r>
            <w:r w:rsidRPr="00150EDC">
              <w:rPr>
                <w:b/>
                <w:spacing w:val="-3"/>
                <w:sz w:val="15"/>
              </w:rPr>
              <w:t xml:space="preserve"> </w:t>
            </w:r>
            <w:r w:rsidRPr="00150EDC">
              <w:rPr>
                <w:b/>
                <w:sz w:val="15"/>
              </w:rPr>
              <w:t>14</w:t>
            </w:r>
            <w:r w:rsidRPr="00150EDC">
              <w:rPr>
                <w:b/>
                <w:spacing w:val="-1"/>
                <w:sz w:val="15"/>
              </w:rPr>
              <w:t xml:space="preserve"> </w:t>
            </w:r>
            <w:r w:rsidRPr="00150EDC">
              <w:rPr>
                <w:b/>
                <w:sz w:val="15"/>
              </w:rPr>
              <w:t>(Service</w:t>
            </w:r>
            <w:r w:rsidRPr="00150EDC">
              <w:rPr>
                <w:b/>
                <w:spacing w:val="-2"/>
                <w:sz w:val="15"/>
              </w:rPr>
              <w:t xml:space="preserve"> Levels)</w:t>
            </w:r>
          </w:p>
          <w:p w14:paraId="3BF85615" w14:textId="77777777" w:rsidR="004C7180" w:rsidRPr="00150EDC" w:rsidRDefault="00CF0754">
            <w:pPr>
              <w:pStyle w:val="TableParagraph"/>
              <w:spacing w:before="2" w:line="240" w:lineRule="auto"/>
              <w:ind w:left="755"/>
              <w:rPr>
                <w:sz w:val="15"/>
              </w:rPr>
            </w:pPr>
            <w:r w:rsidRPr="00150EDC">
              <w:rPr>
                <w:sz w:val="15"/>
              </w:rPr>
              <w:t>Crown</w:t>
            </w:r>
            <w:r w:rsidRPr="00150EDC">
              <w:rPr>
                <w:spacing w:val="-5"/>
                <w:sz w:val="15"/>
              </w:rPr>
              <w:t xml:space="preserve"> </w:t>
            </w:r>
            <w:r w:rsidRPr="00150EDC">
              <w:rPr>
                <w:sz w:val="15"/>
              </w:rPr>
              <w:t>Copyright</w:t>
            </w:r>
            <w:r w:rsidRPr="00150EDC">
              <w:rPr>
                <w:spacing w:val="-2"/>
                <w:sz w:val="15"/>
              </w:rPr>
              <w:t xml:space="preserve"> </w:t>
            </w:r>
            <w:r w:rsidRPr="00150EDC">
              <w:rPr>
                <w:spacing w:val="-4"/>
                <w:sz w:val="15"/>
              </w:rPr>
              <w:t>2022</w:t>
            </w:r>
          </w:p>
        </w:tc>
        <w:tc>
          <w:tcPr>
            <w:tcW w:w="3904" w:type="dxa"/>
            <w:gridSpan w:val="2"/>
            <w:tcBorders>
              <w:top w:val="nil"/>
              <w:left w:val="nil"/>
              <w:bottom w:val="nil"/>
              <w:right w:val="nil"/>
            </w:tcBorders>
            <w:shd w:val="clear" w:color="auto" w:fill="F1F1F1"/>
          </w:tcPr>
          <w:p w14:paraId="410B2D35" w14:textId="77777777" w:rsidR="004C7180" w:rsidRPr="00150EDC" w:rsidRDefault="004C7180">
            <w:pPr>
              <w:pStyle w:val="TableParagraph"/>
              <w:spacing w:before="0" w:line="240" w:lineRule="auto"/>
              <w:ind w:left="0"/>
              <w:rPr>
                <w:rFonts w:ascii="Times New Roman"/>
                <w:sz w:val="12"/>
              </w:rPr>
            </w:pPr>
          </w:p>
        </w:tc>
      </w:tr>
      <w:tr w:rsidR="004569EE" w:rsidRPr="007D3144" w14:paraId="76588815" w14:textId="77777777">
        <w:trPr>
          <w:trHeight w:val="217"/>
        </w:trPr>
        <w:tc>
          <w:tcPr>
            <w:tcW w:w="1276" w:type="dxa"/>
            <w:vMerge w:val="restart"/>
            <w:shd w:val="clear" w:color="auto" w:fill="F1F1F1"/>
          </w:tcPr>
          <w:p w14:paraId="6EE1A5D1" w14:textId="77777777" w:rsidR="004C7180" w:rsidRPr="00150EDC" w:rsidRDefault="004C7180">
            <w:pPr>
              <w:pStyle w:val="TableParagraph"/>
              <w:spacing w:before="0" w:line="240" w:lineRule="auto"/>
              <w:ind w:left="0"/>
              <w:rPr>
                <w:rFonts w:ascii="Times New Roman"/>
                <w:sz w:val="12"/>
              </w:rPr>
            </w:pPr>
          </w:p>
        </w:tc>
        <w:tc>
          <w:tcPr>
            <w:tcW w:w="3098" w:type="dxa"/>
            <w:vMerge w:val="restart"/>
          </w:tcPr>
          <w:p w14:paraId="61A332F1" w14:textId="77777777" w:rsidR="004C7180" w:rsidRPr="00150EDC" w:rsidRDefault="004C7180">
            <w:pPr>
              <w:pStyle w:val="TableParagraph"/>
              <w:spacing w:before="0" w:line="240" w:lineRule="auto"/>
              <w:ind w:left="0"/>
              <w:rPr>
                <w:rFonts w:ascii="Times New Roman"/>
                <w:sz w:val="12"/>
              </w:rPr>
            </w:pPr>
          </w:p>
        </w:tc>
        <w:tc>
          <w:tcPr>
            <w:tcW w:w="2134" w:type="dxa"/>
            <w:tcBorders>
              <w:bottom w:val="nil"/>
            </w:tcBorders>
          </w:tcPr>
          <w:p w14:paraId="4CE636AB" w14:textId="77777777" w:rsidR="004C7180" w:rsidRPr="00150EDC" w:rsidRDefault="00CF0754">
            <w:pPr>
              <w:pStyle w:val="TableParagraph"/>
              <w:spacing w:before="25" w:line="240" w:lineRule="auto"/>
              <w:ind w:left="81"/>
              <w:rPr>
                <w:sz w:val="13"/>
              </w:rPr>
            </w:pPr>
            <w:r w:rsidRPr="00150EDC">
              <w:rPr>
                <w:w w:val="105"/>
                <w:sz w:val="13"/>
              </w:rPr>
              <w:t>the</w:t>
            </w:r>
            <w:r w:rsidRPr="00150EDC">
              <w:rPr>
                <w:spacing w:val="-2"/>
                <w:w w:val="105"/>
                <w:sz w:val="13"/>
              </w:rPr>
              <w:t xml:space="preserve"> meeting.</w:t>
            </w:r>
          </w:p>
        </w:tc>
        <w:tc>
          <w:tcPr>
            <w:tcW w:w="1049" w:type="dxa"/>
            <w:vMerge w:val="restart"/>
          </w:tcPr>
          <w:p w14:paraId="36CC2646" w14:textId="77777777" w:rsidR="004C7180" w:rsidRPr="00150EDC" w:rsidRDefault="004C7180">
            <w:pPr>
              <w:pStyle w:val="TableParagraph"/>
              <w:spacing w:before="0" w:line="240" w:lineRule="auto"/>
              <w:ind w:left="0"/>
              <w:rPr>
                <w:rFonts w:ascii="Times New Roman"/>
                <w:sz w:val="12"/>
              </w:rPr>
            </w:pPr>
          </w:p>
        </w:tc>
        <w:tc>
          <w:tcPr>
            <w:tcW w:w="96" w:type="dxa"/>
            <w:vMerge w:val="restart"/>
            <w:tcBorders>
              <w:right w:val="nil"/>
            </w:tcBorders>
          </w:tcPr>
          <w:p w14:paraId="50E51156" w14:textId="77777777" w:rsidR="004C7180" w:rsidRPr="00150EDC" w:rsidRDefault="004C7180">
            <w:pPr>
              <w:pStyle w:val="TableParagraph"/>
              <w:spacing w:before="0" w:line="240" w:lineRule="auto"/>
              <w:ind w:left="0"/>
              <w:rPr>
                <w:rFonts w:ascii="Times New Roman"/>
                <w:sz w:val="12"/>
              </w:rPr>
            </w:pPr>
          </w:p>
        </w:tc>
        <w:tc>
          <w:tcPr>
            <w:tcW w:w="642" w:type="dxa"/>
            <w:vMerge w:val="restart"/>
            <w:tcBorders>
              <w:left w:val="nil"/>
            </w:tcBorders>
            <w:shd w:val="clear" w:color="auto" w:fill="F1F1F1"/>
          </w:tcPr>
          <w:p w14:paraId="7ED6FC23" w14:textId="77777777" w:rsidR="004C7180" w:rsidRPr="00150EDC" w:rsidRDefault="004C7180">
            <w:pPr>
              <w:pStyle w:val="TableParagraph"/>
              <w:spacing w:before="0" w:line="240" w:lineRule="auto"/>
              <w:ind w:left="0"/>
              <w:rPr>
                <w:rFonts w:ascii="Times New Roman"/>
                <w:sz w:val="12"/>
              </w:rPr>
            </w:pPr>
          </w:p>
        </w:tc>
        <w:tc>
          <w:tcPr>
            <w:tcW w:w="3262" w:type="dxa"/>
            <w:vMerge w:val="restart"/>
            <w:tcBorders>
              <w:top w:val="nil"/>
              <w:bottom w:val="nil"/>
              <w:right w:val="nil"/>
            </w:tcBorders>
            <w:shd w:val="clear" w:color="auto" w:fill="F1F1F1"/>
          </w:tcPr>
          <w:p w14:paraId="1893BA23" w14:textId="77777777" w:rsidR="004C7180" w:rsidRPr="00150EDC" w:rsidRDefault="004C7180">
            <w:pPr>
              <w:pStyle w:val="TableParagraph"/>
              <w:spacing w:before="0" w:line="240" w:lineRule="auto"/>
              <w:ind w:left="0"/>
              <w:rPr>
                <w:rFonts w:ascii="Times New Roman"/>
                <w:sz w:val="12"/>
              </w:rPr>
            </w:pPr>
          </w:p>
        </w:tc>
      </w:tr>
      <w:tr w:rsidR="004569EE" w:rsidRPr="007D3144" w14:paraId="0EBD24EF" w14:textId="77777777">
        <w:trPr>
          <w:trHeight w:val="525"/>
        </w:trPr>
        <w:tc>
          <w:tcPr>
            <w:tcW w:w="1276" w:type="dxa"/>
            <w:vMerge/>
            <w:tcBorders>
              <w:top w:val="nil"/>
            </w:tcBorders>
            <w:shd w:val="clear" w:color="auto" w:fill="F1F1F1"/>
          </w:tcPr>
          <w:p w14:paraId="3D6996C0" w14:textId="77777777" w:rsidR="004C7180" w:rsidRPr="007D3144" w:rsidRDefault="004C7180">
            <w:pPr>
              <w:rPr>
                <w:sz w:val="2"/>
                <w:szCs w:val="2"/>
              </w:rPr>
            </w:pPr>
          </w:p>
        </w:tc>
        <w:tc>
          <w:tcPr>
            <w:tcW w:w="3098" w:type="dxa"/>
            <w:vMerge/>
            <w:tcBorders>
              <w:top w:val="nil"/>
            </w:tcBorders>
          </w:tcPr>
          <w:p w14:paraId="16C906D0" w14:textId="77777777" w:rsidR="004C7180" w:rsidRPr="007D3144" w:rsidRDefault="004C7180">
            <w:pPr>
              <w:rPr>
                <w:sz w:val="2"/>
                <w:szCs w:val="2"/>
              </w:rPr>
            </w:pPr>
          </w:p>
        </w:tc>
        <w:tc>
          <w:tcPr>
            <w:tcW w:w="2134" w:type="dxa"/>
            <w:tcBorders>
              <w:top w:val="nil"/>
            </w:tcBorders>
          </w:tcPr>
          <w:p w14:paraId="391722D8" w14:textId="77777777" w:rsidR="004C7180" w:rsidRPr="00150EDC" w:rsidRDefault="00CF0754">
            <w:pPr>
              <w:pStyle w:val="TableParagraph"/>
              <w:spacing w:before="43" w:line="249" w:lineRule="auto"/>
              <w:ind w:left="81" w:right="95" w:hanging="1"/>
              <w:rPr>
                <w:sz w:val="13"/>
              </w:rPr>
            </w:pPr>
            <w:r w:rsidRPr="00150EDC">
              <w:rPr>
                <w:b/>
                <w:w w:val="105"/>
                <w:sz w:val="13"/>
              </w:rPr>
              <w:t xml:space="preserve">Inadequate: </w:t>
            </w:r>
            <w:r w:rsidRPr="00150EDC">
              <w:rPr>
                <w:w w:val="105"/>
                <w:sz w:val="13"/>
              </w:rPr>
              <w:t>supplier does not</w:t>
            </w:r>
            <w:r w:rsidRPr="00150EDC">
              <w:rPr>
                <w:spacing w:val="40"/>
                <w:w w:val="105"/>
                <w:sz w:val="13"/>
              </w:rPr>
              <w:t xml:space="preserve"> </w:t>
            </w:r>
            <w:r w:rsidRPr="00150EDC">
              <w:rPr>
                <w:w w:val="105"/>
                <w:sz w:val="13"/>
              </w:rPr>
              <w:t>provide</w:t>
            </w:r>
            <w:r w:rsidRPr="00150EDC">
              <w:rPr>
                <w:spacing w:val="-10"/>
                <w:w w:val="105"/>
                <w:sz w:val="13"/>
              </w:rPr>
              <w:t xml:space="preserve"> </w:t>
            </w:r>
            <w:r w:rsidRPr="00150EDC">
              <w:rPr>
                <w:w w:val="105"/>
                <w:sz w:val="13"/>
              </w:rPr>
              <w:t>Buyer,</w:t>
            </w:r>
            <w:r w:rsidRPr="00150EDC">
              <w:rPr>
                <w:spacing w:val="-9"/>
                <w:w w:val="105"/>
                <w:sz w:val="13"/>
              </w:rPr>
              <w:t xml:space="preserve"> </w:t>
            </w:r>
            <w:r w:rsidRPr="00150EDC">
              <w:rPr>
                <w:w w:val="105"/>
                <w:sz w:val="13"/>
              </w:rPr>
              <w:t>on</w:t>
            </w:r>
            <w:r w:rsidRPr="00150EDC">
              <w:rPr>
                <w:spacing w:val="-10"/>
                <w:w w:val="105"/>
                <w:sz w:val="13"/>
              </w:rPr>
              <w:t xml:space="preserve"> </w:t>
            </w:r>
            <w:r w:rsidRPr="00150EDC">
              <w:rPr>
                <w:w w:val="105"/>
                <w:sz w:val="13"/>
              </w:rPr>
              <w:t>average,</w:t>
            </w:r>
            <w:r w:rsidRPr="00150EDC">
              <w:rPr>
                <w:spacing w:val="-9"/>
                <w:w w:val="105"/>
                <w:sz w:val="13"/>
              </w:rPr>
              <w:t xml:space="preserve"> </w:t>
            </w:r>
            <w:r w:rsidRPr="00150EDC">
              <w:rPr>
                <w:w w:val="105"/>
                <w:sz w:val="13"/>
              </w:rPr>
              <w:t>with</w:t>
            </w:r>
          </w:p>
          <w:p w14:paraId="47A084AC" w14:textId="77777777" w:rsidR="004C7180" w:rsidRPr="00150EDC" w:rsidRDefault="00CF0754">
            <w:pPr>
              <w:pStyle w:val="TableParagraph"/>
              <w:spacing w:before="2" w:line="240" w:lineRule="auto"/>
              <w:ind w:left="81"/>
              <w:rPr>
                <w:sz w:val="13"/>
              </w:rPr>
            </w:pPr>
            <w:r w:rsidRPr="00150EDC">
              <w:rPr>
                <w:w w:val="105"/>
                <w:sz w:val="13"/>
              </w:rPr>
              <w:t>a</w:t>
            </w:r>
            <w:r w:rsidRPr="00150EDC">
              <w:rPr>
                <w:spacing w:val="-3"/>
                <w:w w:val="105"/>
                <w:sz w:val="13"/>
              </w:rPr>
              <w:t xml:space="preserve"> </w:t>
            </w:r>
            <w:r w:rsidRPr="00150EDC">
              <w:rPr>
                <w:w w:val="105"/>
                <w:sz w:val="13"/>
              </w:rPr>
              <w:t>report</w:t>
            </w:r>
            <w:r w:rsidRPr="00150EDC">
              <w:rPr>
                <w:spacing w:val="-3"/>
                <w:w w:val="105"/>
                <w:sz w:val="13"/>
              </w:rPr>
              <w:t xml:space="preserve"> </w:t>
            </w:r>
            <w:r w:rsidRPr="00150EDC">
              <w:rPr>
                <w:w w:val="105"/>
                <w:sz w:val="13"/>
              </w:rPr>
              <w:t>prior</w:t>
            </w:r>
            <w:r w:rsidRPr="00150EDC">
              <w:rPr>
                <w:spacing w:val="-3"/>
                <w:w w:val="105"/>
                <w:sz w:val="13"/>
              </w:rPr>
              <w:t xml:space="preserve"> </w:t>
            </w:r>
            <w:r w:rsidRPr="00150EDC">
              <w:rPr>
                <w:w w:val="105"/>
                <w:sz w:val="13"/>
              </w:rPr>
              <w:t>to</w:t>
            </w:r>
            <w:r w:rsidRPr="00150EDC">
              <w:rPr>
                <w:spacing w:val="-5"/>
                <w:w w:val="105"/>
                <w:sz w:val="13"/>
              </w:rPr>
              <w:t xml:space="preserve"> </w:t>
            </w:r>
            <w:r w:rsidRPr="00150EDC">
              <w:rPr>
                <w:w w:val="105"/>
                <w:sz w:val="13"/>
              </w:rPr>
              <w:t>the</w:t>
            </w:r>
            <w:r w:rsidRPr="00150EDC">
              <w:rPr>
                <w:spacing w:val="-4"/>
                <w:w w:val="105"/>
                <w:sz w:val="13"/>
              </w:rPr>
              <w:t xml:space="preserve"> </w:t>
            </w:r>
            <w:r w:rsidRPr="00150EDC">
              <w:rPr>
                <w:spacing w:val="-2"/>
                <w:w w:val="105"/>
                <w:sz w:val="13"/>
              </w:rPr>
              <w:t>meeting.</w:t>
            </w:r>
          </w:p>
        </w:tc>
        <w:tc>
          <w:tcPr>
            <w:tcW w:w="1049" w:type="dxa"/>
            <w:vMerge/>
            <w:tcBorders>
              <w:top w:val="nil"/>
            </w:tcBorders>
          </w:tcPr>
          <w:p w14:paraId="740E89E8" w14:textId="77777777" w:rsidR="004C7180" w:rsidRPr="007D3144" w:rsidRDefault="004C7180">
            <w:pPr>
              <w:rPr>
                <w:sz w:val="2"/>
                <w:szCs w:val="2"/>
              </w:rPr>
            </w:pPr>
          </w:p>
        </w:tc>
        <w:tc>
          <w:tcPr>
            <w:tcW w:w="96" w:type="dxa"/>
            <w:vMerge/>
            <w:tcBorders>
              <w:top w:val="nil"/>
              <w:right w:val="nil"/>
            </w:tcBorders>
          </w:tcPr>
          <w:p w14:paraId="6CCD77CC" w14:textId="77777777" w:rsidR="004C7180" w:rsidRPr="007D3144" w:rsidRDefault="004C7180">
            <w:pPr>
              <w:rPr>
                <w:sz w:val="2"/>
                <w:szCs w:val="2"/>
              </w:rPr>
            </w:pPr>
          </w:p>
        </w:tc>
        <w:tc>
          <w:tcPr>
            <w:tcW w:w="642" w:type="dxa"/>
            <w:vMerge/>
            <w:tcBorders>
              <w:top w:val="nil"/>
              <w:left w:val="nil"/>
            </w:tcBorders>
            <w:shd w:val="clear" w:color="auto" w:fill="F1F1F1"/>
          </w:tcPr>
          <w:p w14:paraId="2179CA51" w14:textId="77777777" w:rsidR="004C7180" w:rsidRPr="007D3144" w:rsidRDefault="004C7180">
            <w:pPr>
              <w:rPr>
                <w:sz w:val="2"/>
                <w:szCs w:val="2"/>
              </w:rPr>
            </w:pPr>
          </w:p>
        </w:tc>
        <w:tc>
          <w:tcPr>
            <w:tcW w:w="3262" w:type="dxa"/>
            <w:vMerge/>
            <w:tcBorders>
              <w:top w:val="nil"/>
              <w:bottom w:val="nil"/>
              <w:right w:val="nil"/>
            </w:tcBorders>
            <w:shd w:val="clear" w:color="auto" w:fill="F1F1F1"/>
          </w:tcPr>
          <w:p w14:paraId="58534CFB" w14:textId="77777777" w:rsidR="004C7180" w:rsidRPr="007D3144" w:rsidRDefault="004C7180">
            <w:pPr>
              <w:rPr>
                <w:sz w:val="2"/>
                <w:szCs w:val="2"/>
              </w:rPr>
            </w:pPr>
          </w:p>
        </w:tc>
      </w:tr>
      <w:tr w:rsidR="004569EE" w:rsidRPr="007D3144" w14:paraId="059B23D5" w14:textId="77777777">
        <w:trPr>
          <w:trHeight w:val="666"/>
        </w:trPr>
        <w:tc>
          <w:tcPr>
            <w:tcW w:w="1276" w:type="dxa"/>
            <w:tcBorders>
              <w:bottom w:val="nil"/>
            </w:tcBorders>
            <w:shd w:val="clear" w:color="auto" w:fill="F1F1F1"/>
          </w:tcPr>
          <w:p w14:paraId="093E9FF2" w14:textId="77777777" w:rsidR="004C7180" w:rsidRPr="00150EDC" w:rsidRDefault="004C7180">
            <w:pPr>
              <w:pStyle w:val="TableParagraph"/>
              <w:spacing w:before="0" w:line="240" w:lineRule="auto"/>
              <w:ind w:left="0"/>
              <w:rPr>
                <w:rFonts w:ascii="Times New Roman"/>
                <w:sz w:val="12"/>
              </w:rPr>
            </w:pPr>
          </w:p>
        </w:tc>
        <w:tc>
          <w:tcPr>
            <w:tcW w:w="3098" w:type="dxa"/>
            <w:tcBorders>
              <w:bottom w:val="nil"/>
            </w:tcBorders>
          </w:tcPr>
          <w:p w14:paraId="428AC674" w14:textId="77777777" w:rsidR="004C7180" w:rsidRPr="00150EDC" w:rsidRDefault="004C7180">
            <w:pPr>
              <w:pStyle w:val="TableParagraph"/>
              <w:spacing w:before="0" w:line="240" w:lineRule="auto"/>
              <w:ind w:left="0"/>
              <w:rPr>
                <w:rFonts w:ascii="Times New Roman"/>
                <w:sz w:val="12"/>
              </w:rPr>
            </w:pPr>
          </w:p>
        </w:tc>
        <w:tc>
          <w:tcPr>
            <w:tcW w:w="2134" w:type="dxa"/>
            <w:tcBorders>
              <w:bottom w:val="nil"/>
            </w:tcBorders>
          </w:tcPr>
          <w:p w14:paraId="60EC2B2D" w14:textId="77777777" w:rsidR="004C7180" w:rsidRPr="00150EDC" w:rsidRDefault="00CF0754">
            <w:pPr>
              <w:pStyle w:val="TableParagraph"/>
              <w:spacing w:before="115" w:line="252" w:lineRule="auto"/>
              <w:ind w:left="81" w:right="296"/>
              <w:rPr>
                <w:sz w:val="13"/>
              </w:rPr>
            </w:pPr>
            <w:r w:rsidRPr="00150EDC">
              <w:rPr>
                <w:b/>
                <w:w w:val="105"/>
                <w:sz w:val="13"/>
              </w:rPr>
              <w:t>Good:</w:t>
            </w:r>
            <w:r w:rsidRPr="00150EDC">
              <w:rPr>
                <w:b/>
                <w:spacing w:val="-10"/>
                <w:w w:val="105"/>
                <w:sz w:val="13"/>
              </w:rPr>
              <w:t xml:space="preserve"> </w:t>
            </w:r>
            <w:r w:rsidRPr="00150EDC">
              <w:rPr>
                <w:w w:val="105"/>
                <w:sz w:val="13"/>
              </w:rPr>
              <w:t>Supplier</w:t>
            </w:r>
            <w:r w:rsidRPr="00150EDC">
              <w:rPr>
                <w:spacing w:val="-9"/>
                <w:w w:val="105"/>
                <w:sz w:val="13"/>
              </w:rPr>
              <w:t xml:space="preserve"> </w:t>
            </w:r>
            <w:r w:rsidRPr="00150EDC">
              <w:rPr>
                <w:w w:val="105"/>
                <w:sz w:val="13"/>
              </w:rPr>
              <w:t>meets</w:t>
            </w:r>
            <w:r w:rsidRPr="00150EDC">
              <w:rPr>
                <w:spacing w:val="-10"/>
                <w:w w:val="105"/>
                <w:sz w:val="13"/>
              </w:rPr>
              <w:t xml:space="preserve"> </w:t>
            </w:r>
            <w:r w:rsidRPr="00150EDC">
              <w:rPr>
                <w:w w:val="105"/>
                <w:sz w:val="13"/>
              </w:rPr>
              <w:t>with</w:t>
            </w:r>
            <w:r w:rsidRPr="00150EDC">
              <w:rPr>
                <w:spacing w:val="40"/>
                <w:w w:val="105"/>
                <w:sz w:val="13"/>
              </w:rPr>
              <w:t xml:space="preserve"> </w:t>
            </w:r>
            <w:r w:rsidRPr="00150EDC">
              <w:rPr>
                <w:w w:val="105"/>
                <w:sz w:val="13"/>
              </w:rPr>
              <w:t>Buyer within 5 days of the</w:t>
            </w:r>
            <w:r w:rsidRPr="00150EDC">
              <w:rPr>
                <w:spacing w:val="40"/>
                <w:w w:val="105"/>
                <w:sz w:val="13"/>
              </w:rPr>
              <w:t xml:space="preserve"> </w:t>
            </w:r>
            <w:r w:rsidRPr="00150EDC">
              <w:rPr>
                <w:w w:val="105"/>
                <w:sz w:val="13"/>
              </w:rPr>
              <w:t>Buyer's</w:t>
            </w:r>
            <w:r w:rsidRPr="00150EDC">
              <w:rPr>
                <w:spacing w:val="-2"/>
                <w:w w:val="105"/>
                <w:sz w:val="13"/>
              </w:rPr>
              <w:t xml:space="preserve"> </w:t>
            </w:r>
            <w:r w:rsidRPr="00150EDC">
              <w:rPr>
                <w:w w:val="105"/>
                <w:sz w:val="13"/>
              </w:rPr>
              <w:t>request.</w:t>
            </w:r>
          </w:p>
        </w:tc>
        <w:tc>
          <w:tcPr>
            <w:tcW w:w="1049" w:type="dxa"/>
            <w:tcBorders>
              <w:bottom w:val="nil"/>
            </w:tcBorders>
          </w:tcPr>
          <w:p w14:paraId="5F4151C9" w14:textId="77777777" w:rsidR="004C7180" w:rsidRPr="00150EDC" w:rsidRDefault="004C7180">
            <w:pPr>
              <w:pStyle w:val="TableParagraph"/>
              <w:spacing w:before="10" w:line="240" w:lineRule="auto"/>
              <w:ind w:left="0"/>
              <w:rPr>
                <w:b/>
                <w:sz w:val="17"/>
              </w:rPr>
            </w:pPr>
          </w:p>
          <w:p w14:paraId="67EB7032" w14:textId="77777777" w:rsidR="004C7180" w:rsidRPr="00150EDC" w:rsidRDefault="00CF0754">
            <w:pPr>
              <w:pStyle w:val="TableParagraph"/>
              <w:spacing w:before="0" w:line="240" w:lineRule="auto"/>
              <w:ind w:left="82"/>
              <w:rPr>
                <w:sz w:val="13"/>
              </w:rPr>
            </w:pPr>
            <w:r w:rsidRPr="00150EDC">
              <w:rPr>
                <w:w w:val="105"/>
                <w:sz w:val="13"/>
              </w:rPr>
              <w:t>Supplier</w:t>
            </w:r>
            <w:r w:rsidRPr="00150EDC">
              <w:rPr>
                <w:spacing w:val="-6"/>
                <w:w w:val="105"/>
                <w:sz w:val="13"/>
              </w:rPr>
              <w:t xml:space="preserve"> </w:t>
            </w:r>
            <w:r w:rsidRPr="00150EDC">
              <w:rPr>
                <w:w w:val="105"/>
                <w:sz w:val="13"/>
              </w:rPr>
              <w:t>to</w:t>
            </w:r>
            <w:r w:rsidRPr="00150EDC">
              <w:rPr>
                <w:spacing w:val="-6"/>
                <w:w w:val="105"/>
                <w:sz w:val="13"/>
              </w:rPr>
              <w:t xml:space="preserve"> </w:t>
            </w:r>
            <w:r w:rsidRPr="00150EDC">
              <w:rPr>
                <w:spacing w:val="-5"/>
                <w:w w:val="105"/>
                <w:sz w:val="13"/>
              </w:rPr>
              <w:t>be</w:t>
            </w:r>
          </w:p>
          <w:p w14:paraId="4E3C28BF" w14:textId="77777777" w:rsidR="004C7180" w:rsidRPr="00150EDC" w:rsidRDefault="00CF0754">
            <w:pPr>
              <w:pStyle w:val="TableParagraph"/>
              <w:spacing w:before="0" w:line="150" w:lineRule="atLeast"/>
              <w:ind w:left="82" w:right="453"/>
              <w:rPr>
                <w:sz w:val="13"/>
              </w:rPr>
            </w:pPr>
            <w:r w:rsidRPr="00150EDC">
              <w:rPr>
                <w:w w:val="105"/>
                <w:sz w:val="13"/>
              </w:rPr>
              <w:t>rated</w:t>
            </w:r>
            <w:r w:rsidRPr="00150EDC">
              <w:rPr>
                <w:spacing w:val="-10"/>
                <w:w w:val="105"/>
                <w:sz w:val="13"/>
              </w:rPr>
              <w:t xml:space="preserve"> </w:t>
            </w:r>
            <w:r w:rsidRPr="00150EDC">
              <w:rPr>
                <w:w w:val="105"/>
                <w:sz w:val="13"/>
              </w:rPr>
              <w:t>as</w:t>
            </w:r>
            <w:r w:rsidRPr="00150EDC">
              <w:rPr>
                <w:spacing w:val="40"/>
                <w:w w:val="105"/>
                <w:sz w:val="13"/>
              </w:rPr>
              <w:t xml:space="preserve"> </w:t>
            </w:r>
            <w:r w:rsidRPr="00150EDC">
              <w:rPr>
                <w:spacing w:val="-2"/>
                <w:w w:val="105"/>
                <w:sz w:val="13"/>
              </w:rPr>
              <w:t>‘Good’.</w:t>
            </w:r>
          </w:p>
        </w:tc>
        <w:tc>
          <w:tcPr>
            <w:tcW w:w="96" w:type="dxa"/>
            <w:vMerge w:val="restart"/>
            <w:tcBorders>
              <w:right w:val="nil"/>
            </w:tcBorders>
          </w:tcPr>
          <w:p w14:paraId="74F40784" w14:textId="77777777" w:rsidR="004C7180" w:rsidRPr="00150EDC" w:rsidRDefault="004C7180">
            <w:pPr>
              <w:pStyle w:val="TableParagraph"/>
              <w:spacing w:before="0" w:line="240" w:lineRule="auto"/>
              <w:ind w:left="0"/>
              <w:rPr>
                <w:rFonts w:ascii="Times New Roman"/>
                <w:sz w:val="12"/>
              </w:rPr>
            </w:pPr>
          </w:p>
        </w:tc>
        <w:tc>
          <w:tcPr>
            <w:tcW w:w="642" w:type="dxa"/>
            <w:tcBorders>
              <w:left w:val="nil"/>
              <w:bottom w:val="nil"/>
            </w:tcBorders>
            <w:shd w:val="clear" w:color="auto" w:fill="F1F1F1"/>
          </w:tcPr>
          <w:p w14:paraId="50D154E1" w14:textId="77777777" w:rsidR="004C7180" w:rsidRPr="00150EDC" w:rsidRDefault="004C7180">
            <w:pPr>
              <w:pStyle w:val="TableParagraph"/>
              <w:spacing w:before="10" w:line="240" w:lineRule="auto"/>
              <w:ind w:left="0"/>
              <w:rPr>
                <w:b/>
                <w:sz w:val="17"/>
              </w:rPr>
            </w:pPr>
          </w:p>
          <w:p w14:paraId="09B21462" w14:textId="77777777" w:rsidR="004C7180" w:rsidRPr="00150EDC" w:rsidRDefault="00CF0754">
            <w:pPr>
              <w:pStyle w:val="TableParagraph"/>
              <w:spacing w:before="0" w:line="240" w:lineRule="auto"/>
              <w:ind w:left="-7"/>
              <w:rPr>
                <w:sz w:val="13"/>
              </w:rPr>
            </w:pPr>
            <w:r w:rsidRPr="00150EDC">
              <w:rPr>
                <w:spacing w:val="-5"/>
                <w:w w:val="105"/>
                <w:sz w:val="13"/>
              </w:rPr>
              <w:t>0%</w:t>
            </w:r>
          </w:p>
        </w:tc>
        <w:tc>
          <w:tcPr>
            <w:tcW w:w="3262" w:type="dxa"/>
            <w:vMerge/>
            <w:tcBorders>
              <w:top w:val="nil"/>
              <w:bottom w:val="nil"/>
              <w:right w:val="nil"/>
            </w:tcBorders>
            <w:shd w:val="clear" w:color="auto" w:fill="F1F1F1"/>
          </w:tcPr>
          <w:p w14:paraId="0FC4A283" w14:textId="77777777" w:rsidR="004C7180" w:rsidRPr="007D3144" w:rsidRDefault="004C7180">
            <w:pPr>
              <w:rPr>
                <w:sz w:val="2"/>
                <w:szCs w:val="2"/>
              </w:rPr>
            </w:pPr>
          </w:p>
        </w:tc>
      </w:tr>
      <w:tr w:rsidR="004569EE" w:rsidRPr="007D3144" w14:paraId="278798BE" w14:textId="77777777">
        <w:trPr>
          <w:trHeight w:val="526"/>
        </w:trPr>
        <w:tc>
          <w:tcPr>
            <w:tcW w:w="1276" w:type="dxa"/>
            <w:tcBorders>
              <w:top w:val="nil"/>
              <w:bottom w:val="nil"/>
            </w:tcBorders>
            <w:shd w:val="clear" w:color="auto" w:fill="F1F1F1"/>
          </w:tcPr>
          <w:p w14:paraId="2BBA4440" w14:textId="77777777" w:rsidR="004C7180" w:rsidRPr="00150EDC" w:rsidRDefault="004C7180">
            <w:pPr>
              <w:pStyle w:val="TableParagraph"/>
              <w:spacing w:before="0" w:line="240" w:lineRule="auto"/>
              <w:ind w:left="0"/>
              <w:rPr>
                <w:rFonts w:ascii="Times New Roman"/>
                <w:sz w:val="12"/>
              </w:rPr>
            </w:pPr>
          </w:p>
        </w:tc>
        <w:tc>
          <w:tcPr>
            <w:tcW w:w="3098" w:type="dxa"/>
            <w:tcBorders>
              <w:top w:val="nil"/>
              <w:bottom w:val="nil"/>
            </w:tcBorders>
          </w:tcPr>
          <w:p w14:paraId="23D902A0" w14:textId="77777777" w:rsidR="004C7180" w:rsidRPr="00150EDC" w:rsidRDefault="004C7180">
            <w:pPr>
              <w:pStyle w:val="TableParagraph"/>
              <w:spacing w:before="4" w:line="240" w:lineRule="auto"/>
              <w:ind w:left="0"/>
              <w:rPr>
                <w:b/>
                <w:sz w:val="14"/>
              </w:rPr>
            </w:pPr>
          </w:p>
          <w:p w14:paraId="57467084" w14:textId="77777777" w:rsidR="004C7180" w:rsidRPr="00150EDC" w:rsidRDefault="00CF0754">
            <w:pPr>
              <w:pStyle w:val="TableParagraph"/>
              <w:spacing w:before="0" w:line="170" w:lineRule="atLeast"/>
              <w:ind w:left="82" w:right="17"/>
              <w:rPr>
                <w:sz w:val="13"/>
              </w:rPr>
            </w:pPr>
            <w:r w:rsidRPr="00150EDC">
              <w:rPr>
                <w:w w:val="105"/>
                <w:sz w:val="13"/>
              </w:rPr>
              <w:t>The</w:t>
            </w:r>
            <w:r w:rsidRPr="00150EDC">
              <w:rPr>
                <w:spacing w:val="-8"/>
                <w:w w:val="105"/>
                <w:sz w:val="13"/>
              </w:rPr>
              <w:t xml:space="preserve"> </w:t>
            </w:r>
            <w:r w:rsidRPr="00150EDC">
              <w:rPr>
                <w:w w:val="105"/>
                <w:sz w:val="13"/>
              </w:rPr>
              <w:t>Supplier</w:t>
            </w:r>
            <w:r w:rsidRPr="00150EDC">
              <w:rPr>
                <w:spacing w:val="-8"/>
                <w:w w:val="105"/>
                <w:sz w:val="13"/>
              </w:rPr>
              <w:t xml:space="preserve"> </w:t>
            </w:r>
            <w:r w:rsidRPr="00150EDC">
              <w:rPr>
                <w:w w:val="105"/>
                <w:sz w:val="13"/>
              </w:rPr>
              <w:t>shall</w:t>
            </w:r>
            <w:r w:rsidRPr="00150EDC">
              <w:rPr>
                <w:spacing w:val="-8"/>
                <w:w w:val="105"/>
                <w:sz w:val="13"/>
              </w:rPr>
              <w:t xml:space="preserve"> </w:t>
            </w:r>
            <w:r w:rsidRPr="00150EDC">
              <w:rPr>
                <w:w w:val="105"/>
                <w:sz w:val="13"/>
              </w:rPr>
              <w:t>meet</w:t>
            </w:r>
            <w:r w:rsidRPr="00150EDC">
              <w:rPr>
                <w:spacing w:val="-8"/>
                <w:w w:val="105"/>
                <w:sz w:val="13"/>
              </w:rPr>
              <w:t xml:space="preserve"> </w:t>
            </w:r>
            <w:r w:rsidRPr="00150EDC">
              <w:rPr>
                <w:w w:val="105"/>
                <w:sz w:val="13"/>
              </w:rPr>
              <w:t>with</w:t>
            </w:r>
            <w:r w:rsidRPr="00150EDC">
              <w:rPr>
                <w:spacing w:val="-8"/>
                <w:w w:val="105"/>
                <w:sz w:val="13"/>
              </w:rPr>
              <w:t xml:space="preserve"> </w:t>
            </w:r>
            <w:r w:rsidRPr="00150EDC">
              <w:rPr>
                <w:w w:val="105"/>
                <w:sz w:val="13"/>
              </w:rPr>
              <w:t>Buyer</w:t>
            </w:r>
            <w:r w:rsidRPr="00150EDC">
              <w:rPr>
                <w:spacing w:val="-8"/>
                <w:w w:val="105"/>
                <w:sz w:val="13"/>
              </w:rPr>
              <w:t xml:space="preserve"> </w:t>
            </w:r>
            <w:r w:rsidRPr="00150EDC">
              <w:rPr>
                <w:w w:val="105"/>
                <w:sz w:val="13"/>
              </w:rPr>
              <w:t>within</w:t>
            </w:r>
            <w:r w:rsidRPr="00150EDC">
              <w:rPr>
                <w:spacing w:val="-9"/>
                <w:w w:val="105"/>
                <w:sz w:val="13"/>
              </w:rPr>
              <w:t xml:space="preserve"> </w:t>
            </w:r>
            <w:r w:rsidRPr="00150EDC">
              <w:rPr>
                <w:w w:val="105"/>
                <w:sz w:val="13"/>
              </w:rPr>
              <w:t>5</w:t>
            </w:r>
            <w:r w:rsidRPr="00150EDC">
              <w:rPr>
                <w:spacing w:val="40"/>
                <w:w w:val="105"/>
                <w:sz w:val="13"/>
              </w:rPr>
              <w:t xml:space="preserve"> </w:t>
            </w:r>
            <w:r w:rsidRPr="00150EDC">
              <w:rPr>
                <w:w w:val="105"/>
                <w:sz w:val="13"/>
              </w:rPr>
              <w:t>Working Days of the Buyer's request.</w:t>
            </w:r>
          </w:p>
        </w:tc>
        <w:tc>
          <w:tcPr>
            <w:tcW w:w="2134" w:type="dxa"/>
            <w:tcBorders>
              <w:top w:val="nil"/>
              <w:bottom w:val="nil"/>
            </w:tcBorders>
          </w:tcPr>
          <w:p w14:paraId="4457613A" w14:textId="77777777" w:rsidR="004C7180" w:rsidRPr="00150EDC" w:rsidRDefault="00CF0754">
            <w:pPr>
              <w:pStyle w:val="TableParagraph"/>
              <w:spacing w:before="0" w:line="252" w:lineRule="auto"/>
              <w:ind w:left="81" w:right="119"/>
              <w:rPr>
                <w:sz w:val="13"/>
              </w:rPr>
            </w:pPr>
            <w:r w:rsidRPr="00150EDC">
              <w:rPr>
                <w:b/>
                <w:spacing w:val="-2"/>
                <w:w w:val="105"/>
                <w:sz w:val="13"/>
              </w:rPr>
              <w:t xml:space="preserve">Approaching Target: </w:t>
            </w:r>
            <w:r w:rsidRPr="00150EDC">
              <w:rPr>
                <w:spacing w:val="-2"/>
                <w:w w:val="105"/>
                <w:sz w:val="13"/>
              </w:rPr>
              <w:t>Supplier</w:t>
            </w:r>
            <w:r w:rsidRPr="00150EDC">
              <w:rPr>
                <w:spacing w:val="40"/>
                <w:w w:val="105"/>
                <w:sz w:val="13"/>
              </w:rPr>
              <w:t xml:space="preserve"> </w:t>
            </w:r>
            <w:r w:rsidRPr="00150EDC">
              <w:rPr>
                <w:w w:val="105"/>
                <w:sz w:val="13"/>
              </w:rPr>
              <w:t>meets with Buyer on day 6 of</w:t>
            </w:r>
            <w:r w:rsidRPr="00150EDC">
              <w:rPr>
                <w:spacing w:val="40"/>
                <w:w w:val="105"/>
                <w:sz w:val="13"/>
              </w:rPr>
              <w:t xml:space="preserve"> </w:t>
            </w:r>
            <w:r w:rsidRPr="00150EDC">
              <w:rPr>
                <w:w w:val="105"/>
                <w:sz w:val="13"/>
              </w:rPr>
              <w:t>the Buyer's request.</w:t>
            </w:r>
          </w:p>
        </w:tc>
        <w:tc>
          <w:tcPr>
            <w:tcW w:w="1049" w:type="dxa"/>
            <w:tcBorders>
              <w:top w:val="nil"/>
              <w:bottom w:val="nil"/>
            </w:tcBorders>
          </w:tcPr>
          <w:p w14:paraId="6739CFC6" w14:textId="77777777" w:rsidR="004C7180" w:rsidRPr="00150EDC" w:rsidRDefault="004C7180">
            <w:pPr>
              <w:pStyle w:val="TableParagraph"/>
              <w:spacing w:before="0" w:line="240" w:lineRule="auto"/>
              <w:ind w:left="0"/>
              <w:rPr>
                <w:rFonts w:ascii="Times New Roman"/>
                <w:sz w:val="12"/>
              </w:rPr>
            </w:pPr>
          </w:p>
        </w:tc>
        <w:tc>
          <w:tcPr>
            <w:tcW w:w="96" w:type="dxa"/>
            <w:vMerge/>
            <w:tcBorders>
              <w:top w:val="nil"/>
              <w:right w:val="nil"/>
            </w:tcBorders>
          </w:tcPr>
          <w:p w14:paraId="2FE4D9BD" w14:textId="77777777" w:rsidR="004C7180" w:rsidRPr="007D3144" w:rsidRDefault="004C7180">
            <w:pPr>
              <w:rPr>
                <w:sz w:val="2"/>
                <w:szCs w:val="2"/>
              </w:rPr>
            </w:pPr>
          </w:p>
        </w:tc>
        <w:tc>
          <w:tcPr>
            <w:tcW w:w="642" w:type="dxa"/>
            <w:tcBorders>
              <w:top w:val="nil"/>
              <w:left w:val="nil"/>
              <w:bottom w:val="nil"/>
            </w:tcBorders>
            <w:shd w:val="clear" w:color="auto" w:fill="F1F1F1"/>
          </w:tcPr>
          <w:p w14:paraId="7981F655" w14:textId="77777777" w:rsidR="004C7180" w:rsidRPr="00150EDC" w:rsidRDefault="004C7180">
            <w:pPr>
              <w:pStyle w:val="TableParagraph"/>
              <w:spacing w:before="0" w:line="240" w:lineRule="auto"/>
              <w:ind w:left="0"/>
              <w:rPr>
                <w:rFonts w:ascii="Times New Roman"/>
                <w:sz w:val="12"/>
              </w:rPr>
            </w:pPr>
          </w:p>
        </w:tc>
        <w:tc>
          <w:tcPr>
            <w:tcW w:w="3262" w:type="dxa"/>
            <w:vMerge/>
            <w:tcBorders>
              <w:top w:val="nil"/>
              <w:bottom w:val="nil"/>
              <w:right w:val="nil"/>
            </w:tcBorders>
            <w:shd w:val="clear" w:color="auto" w:fill="F1F1F1"/>
          </w:tcPr>
          <w:p w14:paraId="09D41072" w14:textId="77777777" w:rsidR="004C7180" w:rsidRPr="007D3144" w:rsidRDefault="004C7180">
            <w:pPr>
              <w:rPr>
                <w:sz w:val="2"/>
                <w:szCs w:val="2"/>
              </w:rPr>
            </w:pPr>
          </w:p>
        </w:tc>
      </w:tr>
      <w:tr w:rsidR="004569EE" w:rsidRPr="007D3144" w14:paraId="372FC30E" w14:textId="77777777">
        <w:trPr>
          <w:trHeight w:val="524"/>
        </w:trPr>
        <w:tc>
          <w:tcPr>
            <w:tcW w:w="1276" w:type="dxa"/>
            <w:tcBorders>
              <w:top w:val="nil"/>
              <w:bottom w:val="nil"/>
            </w:tcBorders>
            <w:shd w:val="clear" w:color="auto" w:fill="F1F1F1"/>
          </w:tcPr>
          <w:p w14:paraId="17FB74C3" w14:textId="77777777" w:rsidR="004C7180" w:rsidRPr="00150EDC" w:rsidRDefault="004C7180">
            <w:pPr>
              <w:pStyle w:val="TableParagraph"/>
              <w:spacing w:before="0" w:line="240" w:lineRule="auto"/>
              <w:ind w:left="0"/>
              <w:rPr>
                <w:rFonts w:ascii="Times New Roman"/>
                <w:sz w:val="12"/>
              </w:rPr>
            </w:pPr>
          </w:p>
        </w:tc>
        <w:tc>
          <w:tcPr>
            <w:tcW w:w="3098" w:type="dxa"/>
            <w:tcBorders>
              <w:top w:val="nil"/>
              <w:bottom w:val="nil"/>
            </w:tcBorders>
          </w:tcPr>
          <w:p w14:paraId="24BB181C" w14:textId="77777777" w:rsidR="004C7180" w:rsidRPr="00150EDC" w:rsidRDefault="004C7180">
            <w:pPr>
              <w:pStyle w:val="TableParagraph"/>
              <w:spacing w:before="7" w:line="240" w:lineRule="auto"/>
              <w:ind w:left="0"/>
              <w:rPr>
                <w:b/>
                <w:sz w:val="14"/>
              </w:rPr>
            </w:pPr>
          </w:p>
          <w:p w14:paraId="3898B7A6" w14:textId="77777777" w:rsidR="004C7180" w:rsidRPr="00150EDC" w:rsidRDefault="00CF0754">
            <w:pPr>
              <w:pStyle w:val="TableParagraph"/>
              <w:spacing w:before="0" w:line="249" w:lineRule="auto"/>
              <w:ind w:left="82" w:right="17"/>
              <w:rPr>
                <w:i/>
                <w:sz w:val="13"/>
              </w:rPr>
            </w:pPr>
            <w:r w:rsidRPr="00150EDC">
              <w:rPr>
                <w:i/>
                <w:w w:val="105"/>
                <w:sz w:val="13"/>
              </w:rPr>
              <w:t>Measurement:</w:t>
            </w:r>
            <w:r w:rsidRPr="00150EDC">
              <w:rPr>
                <w:i/>
                <w:spacing w:val="-8"/>
                <w:w w:val="105"/>
                <w:sz w:val="13"/>
              </w:rPr>
              <w:t xml:space="preserve"> </w:t>
            </w:r>
            <w:r w:rsidRPr="00150EDC">
              <w:rPr>
                <w:i/>
                <w:w w:val="105"/>
                <w:sz w:val="13"/>
              </w:rPr>
              <w:t>review</w:t>
            </w:r>
            <w:r w:rsidRPr="00150EDC">
              <w:rPr>
                <w:i/>
                <w:spacing w:val="-8"/>
                <w:w w:val="105"/>
                <w:sz w:val="13"/>
              </w:rPr>
              <w:t xml:space="preserve"> </w:t>
            </w:r>
            <w:r w:rsidRPr="00150EDC">
              <w:rPr>
                <w:i/>
                <w:w w:val="105"/>
                <w:sz w:val="13"/>
              </w:rPr>
              <w:t>of</w:t>
            </w:r>
            <w:r w:rsidRPr="00150EDC">
              <w:rPr>
                <w:i/>
                <w:spacing w:val="-8"/>
                <w:w w:val="105"/>
                <w:sz w:val="13"/>
              </w:rPr>
              <w:t xml:space="preserve"> </w:t>
            </w:r>
            <w:r w:rsidRPr="00150EDC">
              <w:rPr>
                <w:i/>
                <w:w w:val="105"/>
                <w:sz w:val="13"/>
              </w:rPr>
              <w:t>if</w:t>
            </w:r>
            <w:r w:rsidRPr="00150EDC">
              <w:rPr>
                <w:i/>
                <w:spacing w:val="-9"/>
                <w:w w:val="105"/>
                <w:sz w:val="13"/>
              </w:rPr>
              <w:t xml:space="preserve"> </w:t>
            </w:r>
            <w:r w:rsidRPr="00150EDC">
              <w:rPr>
                <w:i/>
                <w:w w:val="105"/>
                <w:sz w:val="13"/>
              </w:rPr>
              <w:t>and</w:t>
            </w:r>
            <w:r w:rsidRPr="00150EDC">
              <w:rPr>
                <w:i/>
                <w:spacing w:val="-9"/>
                <w:w w:val="105"/>
                <w:sz w:val="13"/>
              </w:rPr>
              <w:t xml:space="preserve"> </w:t>
            </w:r>
            <w:r w:rsidRPr="00150EDC">
              <w:rPr>
                <w:i/>
                <w:w w:val="105"/>
                <w:sz w:val="13"/>
              </w:rPr>
              <w:t>when</w:t>
            </w:r>
            <w:r w:rsidRPr="00150EDC">
              <w:rPr>
                <w:i/>
                <w:spacing w:val="-8"/>
                <w:w w:val="105"/>
                <w:sz w:val="13"/>
              </w:rPr>
              <w:t xml:space="preserve"> </w:t>
            </w:r>
            <w:r w:rsidRPr="00150EDC">
              <w:rPr>
                <w:i/>
                <w:w w:val="105"/>
                <w:sz w:val="13"/>
              </w:rPr>
              <w:t>the</w:t>
            </w:r>
            <w:r w:rsidRPr="00150EDC">
              <w:rPr>
                <w:i/>
                <w:spacing w:val="-8"/>
                <w:w w:val="105"/>
                <w:sz w:val="13"/>
              </w:rPr>
              <w:t xml:space="preserve"> </w:t>
            </w:r>
            <w:r w:rsidRPr="00150EDC">
              <w:rPr>
                <w:i/>
                <w:w w:val="105"/>
                <w:sz w:val="13"/>
              </w:rPr>
              <w:t>meeting</w:t>
            </w:r>
            <w:r w:rsidRPr="00150EDC">
              <w:rPr>
                <w:i/>
                <w:spacing w:val="40"/>
                <w:w w:val="105"/>
                <w:sz w:val="13"/>
              </w:rPr>
              <w:t xml:space="preserve"> </w:t>
            </w:r>
            <w:r w:rsidRPr="00150EDC">
              <w:rPr>
                <w:i/>
                <w:w w:val="105"/>
                <w:sz w:val="13"/>
              </w:rPr>
              <w:t>took</w:t>
            </w:r>
            <w:r w:rsidRPr="00150EDC">
              <w:rPr>
                <w:i/>
                <w:spacing w:val="-4"/>
                <w:w w:val="105"/>
                <w:sz w:val="13"/>
              </w:rPr>
              <w:t xml:space="preserve"> </w:t>
            </w:r>
            <w:r w:rsidRPr="00150EDC">
              <w:rPr>
                <w:i/>
                <w:w w:val="105"/>
                <w:sz w:val="13"/>
              </w:rPr>
              <w:t>place.</w:t>
            </w:r>
          </w:p>
        </w:tc>
        <w:tc>
          <w:tcPr>
            <w:tcW w:w="2134" w:type="dxa"/>
            <w:tcBorders>
              <w:top w:val="nil"/>
              <w:bottom w:val="nil"/>
            </w:tcBorders>
          </w:tcPr>
          <w:p w14:paraId="55CA2E19" w14:textId="77777777" w:rsidR="004C7180" w:rsidRPr="00150EDC" w:rsidRDefault="00CF0754">
            <w:pPr>
              <w:pStyle w:val="TableParagraph"/>
              <w:spacing w:before="20" w:line="249" w:lineRule="auto"/>
              <w:ind w:left="81" w:right="198"/>
              <w:rPr>
                <w:sz w:val="13"/>
              </w:rPr>
            </w:pPr>
            <w:r w:rsidRPr="00150EDC">
              <w:rPr>
                <w:b/>
                <w:w w:val="105"/>
                <w:sz w:val="13"/>
              </w:rPr>
              <w:t>Requires</w:t>
            </w:r>
            <w:r w:rsidRPr="00150EDC">
              <w:rPr>
                <w:b/>
                <w:spacing w:val="-2"/>
                <w:w w:val="105"/>
                <w:sz w:val="13"/>
              </w:rPr>
              <w:t xml:space="preserve"> </w:t>
            </w:r>
            <w:r w:rsidRPr="00150EDC">
              <w:rPr>
                <w:b/>
                <w:w w:val="105"/>
                <w:sz w:val="13"/>
              </w:rPr>
              <w:t>Improvement:</w:t>
            </w:r>
            <w:r w:rsidRPr="00150EDC">
              <w:rPr>
                <w:b/>
                <w:spacing w:val="40"/>
                <w:w w:val="105"/>
                <w:sz w:val="13"/>
              </w:rPr>
              <w:t xml:space="preserve"> </w:t>
            </w:r>
            <w:r w:rsidRPr="00150EDC">
              <w:rPr>
                <w:w w:val="105"/>
                <w:sz w:val="13"/>
              </w:rPr>
              <w:t>Supplier</w:t>
            </w:r>
            <w:r w:rsidRPr="00150EDC">
              <w:rPr>
                <w:spacing w:val="-10"/>
                <w:w w:val="105"/>
                <w:sz w:val="13"/>
              </w:rPr>
              <w:t xml:space="preserve"> </w:t>
            </w:r>
            <w:r w:rsidRPr="00150EDC">
              <w:rPr>
                <w:w w:val="105"/>
                <w:sz w:val="13"/>
              </w:rPr>
              <w:t>meets</w:t>
            </w:r>
            <w:r w:rsidRPr="00150EDC">
              <w:rPr>
                <w:spacing w:val="-9"/>
                <w:w w:val="105"/>
                <w:sz w:val="13"/>
              </w:rPr>
              <w:t xml:space="preserve"> </w:t>
            </w:r>
            <w:r w:rsidRPr="00150EDC">
              <w:rPr>
                <w:w w:val="105"/>
                <w:sz w:val="13"/>
              </w:rPr>
              <w:t>with</w:t>
            </w:r>
            <w:r w:rsidRPr="00150EDC">
              <w:rPr>
                <w:spacing w:val="-10"/>
                <w:w w:val="105"/>
                <w:sz w:val="13"/>
              </w:rPr>
              <w:t xml:space="preserve"> </w:t>
            </w:r>
            <w:r w:rsidRPr="00150EDC">
              <w:rPr>
                <w:w w:val="105"/>
                <w:sz w:val="13"/>
              </w:rPr>
              <w:t>Buyer</w:t>
            </w:r>
            <w:r w:rsidRPr="00150EDC">
              <w:rPr>
                <w:spacing w:val="-9"/>
                <w:w w:val="105"/>
                <w:sz w:val="13"/>
              </w:rPr>
              <w:t xml:space="preserve"> </w:t>
            </w:r>
            <w:r w:rsidRPr="00150EDC">
              <w:rPr>
                <w:w w:val="105"/>
                <w:sz w:val="13"/>
              </w:rPr>
              <w:t>on</w:t>
            </w:r>
            <w:r w:rsidRPr="00150EDC">
              <w:rPr>
                <w:spacing w:val="40"/>
                <w:w w:val="105"/>
                <w:sz w:val="13"/>
              </w:rPr>
              <w:t xml:space="preserve"> </w:t>
            </w:r>
            <w:r w:rsidRPr="00150EDC">
              <w:rPr>
                <w:w w:val="105"/>
                <w:sz w:val="13"/>
              </w:rPr>
              <w:t>day</w:t>
            </w:r>
            <w:r w:rsidRPr="00150EDC">
              <w:rPr>
                <w:spacing w:val="-3"/>
                <w:w w:val="105"/>
                <w:sz w:val="13"/>
              </w:rPr>
              <w:t xml:space="preserve"> </w:t>
            </w:r>
            <w:r w:rsidRPr="00150EDC">
              <w:rPr>
                <w:w w:val="105"/>
                <w:sz w:val="13"/>
              </w:rPr>
              <w:t>7</w:t>
            </w:r>
            <w:r w:rsidRPr="00150EDC">
              <w:rPr>
                <w:spacing w:val="-1"/>
                <w:w w:val="105"/>
                <w:sz w:val="13"/>
              </w:rPr>
              <w:t xml:space="preserve"> </w:t>
            </w:r>
            <w:r w:rsidRPr="00150EDC">
              <w:rPr>
                <w:w w:val="105"/>
                <w:sz w:val="13"/>
              </w:rPr>
              <w:t>of</w:t>
            </w:r>
            <w:r w:rsidRPr="00150EDC">
              <w:rPr>
                <w:spacing w:val="-1"/>
                <w:w w:val="105"/>
                <w:sz w:val="13"/>
              </w:rPr>
              <w:t xml:space="preserve"> </w:t>
            </w:r>
            <w:r w:rsidRPr="00150EDC">
              <w:rPr>
                <w:w w:val="105"/>
                <w:sz w:val="13"/>
              </w:rPr>
              <w:t>the</w:t>
            </w:r>
            <w:r w:rsidRPr="00150EDC">
              <w:rPr>
                <w:spacing w:val="-1"/>
                <w:w w:val="105"/>
                <w:sz w:val="13"/>
              </w:rPr>
              <w:t xml:space="preserve"> </w:t>
            </w:r>
            <w:r w:rsidRPr="00150EDC">
              <w:rPr>
                <w:w w:val="105"/>
                <w:sz w:val="13"/>
              </w:rPr>
              <w:t>Buyer's</w:t>
            </w:r>
            <w:r w:rsidRPr="00150EDC">
              <w:rPr>
                <w:spacing w:val="-3"/>
                <w:w w:val="105"/>
                <w:sz w:val="13"/>
              </w:rPr>
              <w:t xml:space="preserve"> </w:t>
            </w:r>
            <w:r w:rsidRPr="00150EDC">
              <w:rPr>
                <w:w w:val="105"/>
                <w:sz w:val="13"/>
              </w:rPr>
              <w:t>request.</w:t>
            </w:r>
          </w:p>
        </w:tc>
        <w:tc>
          <w:tcPr>
            <w:tcW w:w="1049" w:type="dxa"/>
            <w:tcBorders>
              <w:top w:val="nil"/>
              <w:bottom w:val="nil"/>
            </w:tcBorders>
          </w:tcPr>
          <w:p w14:paraId="48576A45" w14:textId="77777777" w:rsidR="004C7180" w:rsidRPr="00150EDC" w:rsidRDefault="004C7180">
            <w:pPr>
              <w:pStyle w:val="TableParagraph"/>
              <w:spacing w:before="0" w:line="240" w:lineRule="auto"/>
              <w:ind w:left="0"/>
              <w:rPr>
                <w:rFonts w:ascii="Times New Roman"/>
                <w:sz w:val="12"/>
              </w:rPr>
            </w:pPr>
          </w:p>
        </w:tc>
        <w:tc>
          <w:tcPr>
            <w:tcW w:w="96" w:type="dxa"/>
            <w:vMerge/>
            <w:tcBorders>
              <w:top w:val="nil"/>
              <w:right w:val="nil"/>
            </w:tcBorders>
          </w:tcPr>
          <w:p w14:paraId="5C94B633" w14:textId="77777777" w:rsidR="004C7180" w:rsidRPr="007D3144" w:rsidRDefault="004C7180">
            <w:pPr>
              <w:rPr>
                <w:sz w:val="2"/>
                <w:szCs w:val="2"/>
              </w:rPr>
            </w:pPr>
          </w:p>
        </w:tc>
        <w:tc>
          <w:tcPr>
            <w:tcW w:w="642" w:type="dxa"/>
            <w:tcBorders>
              <w:top w:val="nil"/>
              <w:left w:val="nil"/>
              <w:bottom w:val="nil"/>
            </w:tcBorders>
            <w:shd w:val="clear" w:color="auto" w:fill="F1F1F1"/>
          </w:tcPr>
          <w:p w14:paraId="501EBA43" w14:textId="77777777" w:rsidR="004C7180" w:rsidRPr="00150EDC" w:rsidRDefault="004C7180">
            <w:pPr>
              <w:pStyle w:val="TableParagraph"/>
              <w:spacing w:before="0" w:line="240" w:lineRule="auto"/>
              <w:ind w:left="0"/>
              <w:rPr>
                <w:rFonts w:ascii="Times New Roman"/>
                <w:sz w:val="12"/>
              </w:rPr>
            </w:pPr>
          </w:p>
        </w:tc>
        <w:tc>
          <w:tcPr>
            <w:tcW w:w="3262" w:type="dxa"/>
            <w:vMerge/>
            <w:tcBorders>
              <w:top w:val="nil"/>
              <w:bottom w:val="nil"/>
              <w:right w:val="nil"/>
            </w:tcBorders>
            <w:shd w:val="clear" w:color="auto" w:fill="F1F1F1"/>
          </w:tcPr>
          <w:p w14:paraId="45DC8038" w14:textId="77777777" w:rsidR="004C7180" w:rsidRPr="007D3144" w:rsidRDefault="004C7180">
            <w:pPr>
              <w:rPr>
                <w:sz w:val="2"/>
                <w:szCs w:val="2"/>
              </w:rPr>
            </w:pPr>
          </w:p>
        </w:tc>
      </w:tr>
      <w:tr w:rsidR="004569EE" w:rsidRPr="007D3144" w14:paraId="4EF232C7" w14:textId="77777777">
        <w:trPr>
          <w:trHeight w:val="522"/>
        </w:trPr>
        <w:tc>
          <w:tcPr>
            <w:tcW w:w="1276" w:type="dxa"/>
            <w:tcBorders>
              <w:top w:val="nil"/>
              <w:bottom w:val="nil"/>
            </w:tcBorders>
            <w:shd w:val="clear" w:color="auto" w:fill="F1F1F1"/>
          </w:tcPr>
          <w:p w14:paraId="3E5ABA57" w14:textId="77777777" w:rsidR="004C7180" w:rsidRPr="00150EDC" w:rsidRDefault="004C7180">
            <w:pPr>
              <w:pStyle w:val="TableParagraph"/>
              <w:spacing w:before="0" w:line="240" w:lineRule="auto"/>
              <w:ind w:left="0"/>
              <w:rPr>
                <w:rFonts w:ascii="Times New Roman"/>
                <w:sz w:val="12"/>
              </w:rPr>
            </w:pPr>
          </w:p>
        </w:tc>
        <w:tc>
          <w:tcPr>
            <w:tcW w:w="3098" w:type="dxa"/>
            <w:tcBorders>
              <w:top w:val="nil"/>
              <w:bottom w:val="nil"/>
            </w:tcBorders>
          </w:tcPr>
          <w:p w14:paraId="39AB75AC" w14:textId="77777777" w:rsidR="004C7180" w:rsidRPr="00150EDC" w:rsidRDefault="004C7180">
            <w:pPr>
              <w:pStyle w:val="TableParagraph"/>
              <w:spacing w:before="0" w:line="240" w:lineRule="auto"/>
              <w:ind w:left="0"/>
              <w:rPr>
                <w:rFonts w:ascii="Times New Roman"/>
                <w:sz w:val="12"/>
              </w:rPr>
            </w:pPr>
          </w:p>
        </w:tc>
        <w:tc>
          <w:tcPr>
            <w:tcW w:w="2134" w:type="dxa"/>
            <w:tcBorders>
              <w:top w:val="nil"/>
              <w:bottom w:val="nil"/>
            </w:tcBorders>
          </w:tcPr>
          <w:p w14:paraId="01CE07B4" w14:textId="77777777" w:rsidR="004C7180" w:rsidRPr="00150EDC" w:rsidRDefault="00CF0754">
            <w:pPr>
              <w:pStyle w:val="TableParagraph"/>
              <w:spacing w:before="43" w:line="240" w:lineRule="auto"/>
              <w:ind w:left="81"/>
              <w:rPr>
                <w:sz w:val="13"/>
              </w:rPr>
            </w:pPr>
            <w:r w:rsidRPr="00150EDC">
              <w:rPr>
                <w:b/>
                <w:spacing w:val="-2"/>
                <w:w w:val="105"/>
                <w:sz w:val="13"/>
              </w:rPr>
              <w:t>Inadequate:</w:t>
            </w:r>
            <w:r w:rsidRPr="00150EDC">
              <w:rPr>
                <w:b/>
                <w:spacing w:val="8"/>
                <w:w w:val="105"/>
                <w:sz w:val="13"/>
              </w:rPr>
              <w:t xml:space="preserve"> </w:t>
            </w:r>
            <w:r w:rsidRPr="00150EDC">
              <w:rPr>
                <w:spacing w:val="-2"/>
                <w:w w:val="105"/>
                <w:sz w:val="13"/>
              </w:rPr>
              <w:t>Supplier</w:t>
            </w:r>
            <w:r w:rsidRPr="00150EDC">
              <w:rPr>
                <w:spacing w:val="8"/>
                <w:w w:val="105"/>
                <w:sz w:val="13"/>
              </w:rPr>
              <w:t xml:space="preserve"> </w:t>
            </w:r>
            <w:r w:rsidRPr="00150EDC">
              <w:rPr>
                <w:spacing w:val="-4"/>
                <w:w w:val="105"/>
                <w:sz w:val="13"/>
              </w:rPr>
              <w:t>meets</w:t>
            </w:r>
          </w:p>
          <w:p w14:paraId="580A2B0D" w14:textId="77777777" w:rsidR="004C7180" w:rsidRPr="00150EDC" w:rsidRDefault="00CF0754">
            <w:pPr>
              <w:pStyle w:val="TableParagraph"/>
              <w:spacing w:before="7" w:line="150" w:lineRule="atLeast"/>
              <w:ind w:left="81" w:right="95"/>
              <w:rPr>
                <w:sz w:val="13"/>
              </w:rPr>
            </w:pPr>
            <w:r w:rsidRPr="00150EDC">
              <w:rPr>
                <w:w w:val="105"/>
                <w:sz w:val="13"/>
              </w:rPr>
              <w:t>with Buyer</w:t>
            </w:r>
            <w:r w:rsidRPr="00150EDC">
              <w:rPr>
                <w:spacing w:val="-2"/>
                <w:w w:val="105"/>
                <w:sz w:val="13"/>
              </w:rPr>
              <w:t xml:space="preserve"> </w:t>
            </w:r>
            <w:r w:rsidRPr="00150EDC">
              <w:rPr>
                <w:w w:val="105"/>
                <w:sz w:val="13"/>
              </w:rPr>
              <w:t>more than</w:t>
            </w:r>
            <w:r w:rsidRPr="00150EDC">
              <w:rPr>
                <w:spacing w:val="-2"/>
                <w:w w:val="105"/>
                <w:sz w:val="13"/>
              </w:rPr>
              <w:t xml:space="preserve"> </w:t>
            </w:r>
            <w:r w:rsidRPr="00150EDC">
              <w:rPr>
                <w:w w:val="105"/>
                <w:sz w:val="13"/>
              </w:rPr>
              <w:t>7 days</w:t>
            </w:r>
            <w:r w:rsidRPr="00150EDC">
              <w:rPr>
                <w:spacing w:val="40"/>
                <w:w w:val="105"/>
                <w:sz w:val="13"/>
              </w:rPr>
              <w:t xml:space="preserve"> </w:t>
            </w:r>
            <w:r w:rsidRPr="00150EDC">
              <w:rPr>
                <w:w w:val="105"/>
                <w:sz w:val="13"/>
              </w:rPr>
              <w:t>following</w:t>
            </w:r>
            <w:r w:rsidRPr="00150EDC">
              <w:rPr>
                <w:spacing w:val="-10"/>
                <w:w w:val="105"/>
                <w:sz w:val="13"/>
              </w:rPr>
              <w:t xml:space="preserve"> </w:t>
            </w:r>
            <w:r w:rsidRPr="00150EDC">
              <w:rPr>
                <w:w w:val="105"/>
                <w:sz w:val="13"/>
              </w:rPr>
              <w:t>the</w:t>
            </w:r>
            <w:r w:rsidRPr="00150EDC">
              <w:rPr>
                <w:spacing w:val="-9"/>
                <w:w w:val="105"/>
                <w:sz w:val="13"/>
              </w:rPr>
              <w:t xml:space="preserve"> </w:t>
            </w:r>
            <w:r w:rsidRPr="00150EDC">
              <w:rPr>
                <w:w w:val="105"/>
                <w:sz w:val="13"/>
              </w:rPr>
              <w:t>Buyer's</w:t>
            </w:r>
            <w:r w:rsidRPr="00150EDC">
              <w:rPr>
                <w:spacing w:val="-10"/>
                <w:w w:val="105"/>
                <w:sz w:val="13"/>
              </w:rPr>
              <w:t xml:space="preserve"> </w:t>
            </w:r>
            <w:r w:rsidRPr="00150EDC">
              <w:rPr>
                <w:w w:val="105"/>
                <w:sz w:val="13"/>
              </w:rPr>
              <w:t>request.</w:t>
            </w:r>
          </w:p>
        </w:tc>
        <w:tc>
          <w:tcPr>
            <w:tcW w:w="1049" w:type="dxa"/>
            <w:tcBorders>
              <w:top w:val="nil"/>
              <w:bottom w:val="nil"/>
            </w:tcBorders>
          </w:tcPr>
          <w:p w14:paraId="19228771" w14:textId="77777777" w:rsidR="004C7180" w:rsidRPr="00150EDC" w:rsidRDefault="004C7180">
            <w:pPr>
              <w:pStyle w:val="TableParagraph"/>
              <w:spacing w:before="0" w:line="240" w:lineRule="auto"/>
              <w:ind w:left="0"/>
              <w:rPr>
                <w:rFonts w:ascii="Times New Roman"/>
                <w:sz w:val="12"/>
              </w:rPr>
            </w:pPr>
          </w:p>
        </w:tc>
        <w:tc>
          <w:tcPr>
            <w:tcW w:w="96" w:type="dxa"/>
            <w:vMerge/>
            <w:tcBorders>
              <w:top w:val="nil"/>
              <w:right w:val="nil"/>
            </w:tcBorders>
          </w:tcPr>
          <w:p w14:paraId="5CB2ABE0" w14:textId="77777777" w:rsidR="004C7180" w:rsidRPr="007D3144" w:rsidRDefault="004C7180">
            <w:pPr>
              <w:rPr>
                <w:sz w:val="2"/>
                <w:szCs w:val="2"/>
              </w:rPr>
            </w:pPr>
          </w:p>
        </w:tc>
        <w:tc>
          <w:tcPr>
            <w:tcW w:w="642" w:type="dxa"/>
            <w:tcBorders>
              <w:top w:val="nil"/>
              <w:left w:val="nil"/>
              <w:bottom w:val="nil"/>
            </w:tcBorders>
            <w:shd w:val="clear" w:color="auto" w:fill="F1F1F1"/>
          </w:tcPr>
          <w:p w14:paraId="4D78A88F" w14:textId="77777777" w:rsidR="004C7180" w:rsidRPr="00150EDC" w:rsidRDefault="004C7180">
            <w:pPr>
              <w:pStyle w:val="TableParagraph"/>
              <w:spacing w:before="0" w:line="240" w:lineRule="auto"/>
              <w:ind w:left="0"/>
              <w:rPr>
                <w:rFonts w:ascii="Times New Roman"/>
                <w:sz w:val="12"/>
              </w:rPr>
            </w:pPr>
          </w:p>
        </w:tc>
        <w:tc>
          <w:tcPr>
            <w:tcW w:w="3262" w:type="dxa"/>
            <w:vMerge/>
            <w:tcBorders>
              <w:top w:val="nil"/>
              <w:bottom w:val="nil"/>
              <w:right w:val="nil"/>
            </w:tcBorders>
            <w:shd w:val="clear" w:color="auto" w:fill="F1F1F1"/>
          </w:tcPr>
          <w:p w14:paraId="28E75D47" w14:textId="77777777" w:rsidR="004C7180" w:rsidRPr="007D3144" w:rsidRDefault="004C7180">
            <w:pPr>
              <w:rPr>
                <w:sz w:val="2"/>
                <w:szCs w:val="2"/>
              </w:rPr>
            </w:pPr>
          </w:p>
        </w:tc>
      </w:tr>
      <w:tr w:rsidR="004569EE" w:rsidRPr="007D3144" w14:paraId="0A4A57CC" w14:textId="77777777">
        <w:trPr>
          <w:trHeight w:val="84"/>
        </w:trPr>
        <w:tc>
          <w:tcPr>
            <w:tcW w:w="1276" w:type="dxa"/>
            <w:vMerge w:val="restart"/>
            <w:tcBorders>
              <w:top w:val="nil"/>
              <w:bottom w:val="nil"/>
            </w:tcBorders>
            <w:shd w:val="clear" w:color="auto" w:fill="F1F1F1"/>
          </w:tcPr>
          <w:p w14:paraId="3C92C8CC" w14:textId="77777777" w:rsidR="004C7180" w:rsidRPr="00150EDC" w:rsidRDefault="00CF0754">
            <w:pPr>
              <w:pStyle w:val="TableParagraph"/>
              <w:spacing w:before="16" w:line="240" w:lineRule="auto"/>
              <w:ind w:left="81"/>
              <w:rPr>
                <w:b/>
                <w:sz w:val="13"/>
              </w:rPr>
            </w:pPr>
            <w:r w:rsidRPr="00150EDC">
              <w:rPr>
                <w:b/>
                <w:w w:val="105"/>
                <w:sz w:val="13"/>
              </w:rPr>
              <w:t>SLA</w:t>
            </w:r>
            <w:r w:rsidRPr="00150EDC">
              <w:rPr>
                <w:b/>
                <w:spacing w:val="-4"/>
                <w:w w:val="105"/>
                <w:sz w:val="13"/>
              </w:rPr>
              <w:t xml:space="preserve"> </w:t>
            </w:r>
            <w:r w:rsidRPr="00150EDC">
              <w:rPr>
                <w:b/>
                <w:spacing w:val="-5"/>
                <w:w w:val="105"/>
                <w:sz w:val="13"/>
              </w:rPr>
              <w:t>6:</w:t>
            </w:r>
          </w:p>
          <w:p w14:paraId="662DFF0B" w14:textId="77777777" w:rsidR="004C7180" w:rsidRPr="00150EDC" w:rsidRDefault="00CF0754">
            <w:pPr>
              <w:pStyle w:val="TableParagraph"/>
              <w:spacing w:before="6" w:line="240" w:lineRule="auto"/>
              <w:ind w:left="81"/>
              <w:rPr>
                <w:b/>
                <w:sz w:val="13"/>
              </w:rPr>
            </w:pPr>
            <w:r w:rsidRPr="00150EDC">
              <w:rPr>
                <w:b/>
                <w:spacing w:val="-2"/>
                <w:w w:val="105"/>
                <w:sz w:val="13"/>
              </w:rPr>
              <w:t>Communication</w:t>
            </w:r>
          </w:p>
        </w:tc>
        <w:tc>
          <w:tcPr>
            <w:tcW w:w="3098" w:type="dxa"/>
            <w:tcBorders>
              <w:top w:val="nil"/>
            </w:tcBorders>
          </w:tcPr>
          <w:p w14:paraId="0D9E2709" w14:textId="77777777" w:rsidR="004C7180" w:rsidRPr="00150EDC" w:rsidRDefault="004C7180">
            <w:pPr>
              <w:pStyle w:val="TableParagraph"/>
              <w:spacing w:before="0" w:line="240" w:lineRule="auto"/>
              <w:ind w:left="0"/>
              <w:rPr>
                <w:rFonts w:ascii="Times New Roman"/>
                <w:sz w:val="2"/>
              </w:rPr>
            </w:pPr>
          </w:p>
        </w:tc>
        <w:tc>
          <w:tcPr>
            <w:tcW w:w="2134" w:type="dxa"/>
            <w:tcBorders>
              <w:top w:val="nil"/>
            </w:tcBorders>
          </w:tcPr>
          <w:p w14:paraId="074C362D" w14:textId="77777777" w:rsidR="004C7180" w:rsidRPr="00150EDC" w:rsidRDefault="004C7180">
            <w:pPr>
              <w:pStyle w:val="TableParagraph"/>
              <w:spacing w:before="0" w:line="240" w:lineRule="auto"/>
              <w:ind w:left="0"/>
              <w:rPr>
                <w:rFonts w:ascii="Times New Roman"/>
                <w:sz w:val="2"/>
              </w:rPr>
            </w:pPr>
          </w:p>
        </w:tc>
        <w:tc>
          <w:tcPr>
            <w:tcW w:w="1049" w:type="dxa"/>
            <w:tcBorders>
              <w:top w:val="nil"/>
            </w:tcBorders>
          </w:tcPr>
          <w:p w14:paraId="11C70EC7" w14:textId="77777777" w:rsidR="004C7180" w:rsidRPr="00150EDC" w:rsidRDefault="004C7180">
            <w:pPr>
              <w:pStyle w:val="TableParagraph"/>
              <w:spacing w:before="0" w:line="240" w:lineRule="auto"/>
              <w:ind w:left="0"/>
              <w:rPr>
                <w:rFonts w:ascii="Times New Roman"/>
                <w:sz w:val="2"/>
              </w:rPr>
            </w:pPr>
          </w:p>
        </w:tc>
        <w:tc>
          <w:tcPr>
            <w:tcW w:w="96" w:type="dxa"/>
            <w:vMerge/>
            <w:tcBorders>
              <w:top w:val="nil"/>
              <w:right w:val="nil"/>
            </w:tcBorders>
          </w:tcPr>
          <w:p w14:paraId="1C8EA523" w14:textId="77777777" w:rsidR="004C7180" w:rsidRPr="007D3144" w:rsidRDefault="004C7180">
            <w:pPr>
              <w:rPr>
                <w:sz w:val="2"/>
                <w:szCs w:val="2"/>
              </w:rPr>
            </w:pPr>
          </w:p>
        </w:tc>
        <w:tc>
          <w:tcPr>
            <w:tcW w:w="642" w:type="dxa"/>
            <w:tcBorders>
              <w:top w:val="nil"/>
              <w:left w:val="nil"/>
            </w:tcBorders>
            <w:shd w:val="clear" w:color="auto" w:fill="F1F1F1"/>
          </w:tcPr>
          <w:p w14:paraId="2761F613" w14:textId="77777777" w:rsidR="004C7180" w:rsidRPr="00150EDC" w:rsidRDefault="004C7180">
            <w:pPr>
              <w:pStyle w:val="TableParagraph"/>
              <w:spacing w:before="0" w:line="240" w:lineRule="auto"/>
              <w:ind w:left="0"/>
              <w:rPr>
                <w:rFonts w:ascii="Times New Roman"/>
                <w:sz w:val="2"/>
              </w:rPr>
            </w:pPr>
          </w:p>
        </w:tc>
        <w:tc>
          <w:tcPr>
            <w:tcW w:w="3262" w:type="dxa"/>
            <w:vMerge/>
            <w:tcBorders>
              <w:top w:val="nil"/>
              <w:bottom w:val="nil"/>
              <w:right w:val="nil"/>
            </w:tcBorders>
            <w:shd w:val="clear" w:color="auto" w:fill="F1F1F1"/>
          </w:tcPr>
          <w:p w14:paraId="7429FFE1" w14:textId="77777777" w:rsidR="004C7180" w:rsidRPr="007D3144" w:rsidRDefault="004C7180">
            <w:pPr>
              <w:rPr>
                <w:sz w:val="2"/>
                <w:szCs w:val="2"/>
              </w:rPr>
            </w:pPr>
          </w:p>
        </w:tc>
      </w:tr>
      <w:tr w:rsidR="004569EE" w:rsidRPr="007D3144" w14:paraId="1342F6CC" w14:textId="77777777">
        <w:trPr>
          <w:trHeight w:val="664"/>
        </w:trPr>
        <w:tc>
          <w:tcPr>
            <w:tcW w:w="1276" w:type="dxa"/>
            <w:vMerge/>
            <w:tcBorders>
              <w:top w:val="nil"/>
              <w:bottom w:val="nil"/>
            </w:tcBorders>
            <w:shd w:val="clear" w:color="auto" w:fill="F1F1F1"/>
          </w:tcPr>
          <w:p w14:paraId="6116E6BA" w14:textId="77777777" w:rsidR="004C7180" w:rsidRPr="007D3144" w:rsidRDefault="004C7180">
            <w:pPr>
              <w:rPr>
                <w:sz w:val="2"/>
                <w:szCs w:val="2"/>
              </w:rPr>
            </w:pPr>
          </w:p>
        </w:tc>
        <w:tc>
          <w:tcPr>
            <w:tcW w:w="3098" w:type="dxa"/>
            <w:tcBorders>
              <w:bottom w:val="nil"/>
            </w:tcBorders>
          </w:tcPr>
          <w:p w14:paraId="469E618F" w14:textId="77777777" w:rsidR="004C7180" w:rsidRPr="00150EDC" w:rsidRDefault="004C7180">
            <w:pPr>
              <w:pStyle w:val="TableParagraph"/>
              <w:spacing w:before="0" w:line="240" w:lineRule="auto"/>
              <w:ind w:left="0"/>
              <w:rPr>
                <w:rFonts w:ascii="Times New Roman"/>
                <w:sz w:val="12"/>
              </w:rPr>
            </w:pPr>
          </w:p>
        </w:tc>
        <w:tc>
          <w:tcPr>
            <w:tcW w:w="2134" w:type="dxa"/>
            <w:tcBorders>
              <w:bottom w:val="nil"/>
            </w:tcBorders>
          </w:tcPr>
          <w:p w14:paraId="45118BAF" w14:textId="77777777" w:rsidR="004C7180" w:rsidRPr="00150EDC" w:rsidRDefault="00CF0754">
            <w:pPr>
              <w:pStyle w:val="TableParagraph"/>
              <w:spacing w:before="115" w:line="249" w:lineRule="auto"/>
              <w:ind w:left="81" w:right="95"/>
              <w:rPr>
                <w:sz w:val="13"/>
              </w:rPr>
            </w:pPr>
            <w:r w:rsidRPr="00150EDC">
              <w:rPr>
                <w:b/>
                <w:w w:val="105"/>
                <w:sz w:val="13"/>
              </w:rPr>
              <w:t xml:space="preserve">Good: </w:t>
            </w:r>
            <w:r w:rsidRPr="00150EDC">
              <w:rPr>
                <w:w w:val="105"/>
                <w:sz w:val="13"/>
              </w:rPr>
              <w:t>Supplier provides</w:t>
            </w:r>
            <w:r w:rsidRPr="00150EDC">
              <w:rPr>
                <w:spacing w:val="40"/>
                <w:w w:val="105"/>
                <w:sz w:val="13"/>
              </w:rPr>
              <w:t xml:space="preserve"> </w:t>
            </w:r>
            <w:r w:rsidRPr="00150EDC">
              <w:rPr>
                <w:w w:val="105"/>
                <w:sz w:val="13"/>
              </w:rPr>
              <w:t>meeting</w:t>
            </w:r>
            <w:r w:rsidRPr="00150EDC">
              <w:rPr>
                <w:spacing w:val="-10"/>
                <w:w w:val="105"/>
                <w:sz w:val="13"/>
              </w:rPr>
              <w:t xml:space="preserve"> </w:t>
            </w:r>
            <w:r w:rsidRPr="00150EDC">
              <w:rPr>
                <w:w w:val="105"/>
                <w:sz w:val="13"/>
              </w:rPr>
              <w:t>notes</w:t>
            </w:r>
            <w:r w:rsidRPr="00150EDC">
              <w:rPr>
                <w:spacing w:val="-9"/>
                <w:w w:val="105"/>
                <w:sz w:val="13"/>
              </w:rPr>
              <w:t xml:space="preserve"> </w:t>
            </w:r>
            <w:r w:rsidRPr="00150EDC">
              <w:rPr>
                <w:w w:val="105"/>
                <w:sz w:val="13"/>
              </w:rPr>
              <w:t>to</w:t>
            </w:r>
            <w:r w:rsidRPr="00150EDC">
              <w:rPr>
                <w:spacing w:val="-10"/>
                <w:w w:val="105"/>
                <w:sz w:val="13"/>
              </w:rPr>
              <w:t xml:space="preserve"> </w:t>
            </w:r>
            <w:r w:rsidRPr="00150EDC">
              <w:rPr>
                <w:w w:val="105"/>
                <w:sz w:val="13"/>
              </w:rPr>
              <w:t>Buyer</w:t>
            </w:r>
            <w:r w:rsidRPr="00150EDC">
              <w:rPr>
                <w:spacing w:val="-9"/>
                <w:w w:val="105"/>
                <w:sz w:val="13"/>
              </w:rPr>
              <w:t xml:space="preserve"> </w:t>
            </w:r>
            <w:r w:rsidRPr="00150EDC">
              <w:rPr>
                <w:w w:val="105"/>
                <w:sz w:val="13"/>
              </w:rPr>
              <w:t>within</w:t>
            </w:r>
            <w:r w:rsidRPr="00150EDC">
              <w:rPr>
                <w:spacing w:val="-10"/>
                <w:w w:val="105"/>
                <w:sz w:val="13"/>
              </w:rPr>
              <w:t xml:space="preserve"> </w:t>
            </w:r>
            <w:r w:rsidRPr="00150EDC">
              <w:rPr>
                <w:w w:val="105"/>
                <w:sz w:val="13"/>
              </w:rPr>
              <w:t>5</w:t>
            </w:r>
            <w:r w:rsidRPr="00150EDC">
              <w:rPr>
                <w:spacing w:val="40"/>
                <w:w w:val="105"/>
                <w:sz w:val="13"/>
              </w:rPr>
              <w:t xml:space="preserve"> </w:t>
            </w:r>
            <w:r w:rsidRPr="00150EDC">
              <w:rPr>
                <w:w w:val="105"/>
                <w:sz w:val="13"/>
              </w:rPr>
              <w:t>days of the meeting.</w:t>
            </w:r>
          </w:p>
        </w:tc>
        <w:tc>
          <w:tcPr>
            <w:tcW w:w="1049" w:type="dxa"/>
            <w:tcBorders>
              <w:bottom w:val="nil"/>
            </w:tcBorders>
          </w:tcPr>
          <w:p w14:paraId="4D287F28" w14:textId="77777777" w:rsidR="004C7180" w:rsidRPr="00150EDC" w:rsidRDefault="004C7180">
            <w:pPr>
              <w:pStyle w:val="TableParagraph"/>
              <w:spacing w:before="10" w:line="240" w:lineRule="auto"/>
              <w:ind w:left="0"/>
              <w:rPr>
                <w:b/>
                <w:sz w:val="16"/>
              </w:rPr>
            </w:pPr>
          </w:p>
          <w:p w14:paraId="25A2FF6B" w14:textId="77777777" w:rsidR="004C7180" w:rsidRPr="00150EDC" w:rsidRDefault="00CF0754">
            <w:pPr>
              <w:pStyle w:val="TableParagraph"/>
              <w:spacing w:before="0" w:line="150" w:lineRule="atLeast"/>
              <w:ind w:left="82" w:right="113"/>
              <w:rPr>
                <w:sz w:val="13"/>
              </w:rPr>
            </w:pPr>
            <w:r w:rsidRPr="00150EDC">
              <w:rPr>
                <w:w w:val="105"/>
                <w:sz w:val="13"/>
              </w:rPr>
              <w:t>Supplier</w:t>
            </w:r>
            <w:r w:rsidRPr="00150EDC">
              <w:rPr>
                <w:spacing w:val="-10"/>
                <w:w w:val="105"/>
                <w:sz w:val="13"/>
              </w:rPr>
              <w:t xml:space="preserve"> </w:t>
            </w:r>
            <w:r w:rsidRPr="00150EDC">
              <w:rPr>
                <w:w w:val="105"/>
                <w:sz w:val="13"/>
              </w:rPr>
              <w:t>to</w:t>
            </w:r>
            <w:r w:rsidRPr="00150EDC">
              <w:rPr>
                <w:spacing w:val="-9"/>
                <w:w w:val="105"/>
                <w:sz w:val="13"/>
              </w:rPr>
              <w:t xml:space="preserve"> </w:t>
            </w:r>
            <w:r w:rsidRPr="00150EDC">
              <w:rPr>
                <w:w w:val="105"/>
                <w:sz w:val="13"/>
              </w:rPr>
              <w:t>be</w:t>
            </w:r>
            <w:r w:rsidRPr="00150EDC">
              <w:rPr>
                <w:spacing w:val="40"/>
                <w:w w:val="105"/>
                <w:sz w:val="13"/>
              </w:rPr>
              <w:t xml:space="preserve"> </w:t>
            </w:r>
            <w:r w:rsidRPr="00150EDC">
              <w:rPr>
                <w:w w:val="105"/>
                <w:sz w:val="13"/>
              </w:rPr>
              <w:t>rated</w:t>
            </w:r>
            <w:r w:rsidRPr="00150EDC">
              <w:rPr>
                <w:spacing w:val="-2"/>
                <w:w w:val="105"/>
                <w:sz w:val="13"/>
              </w:rPr>
              <w:t xml:space="preserve"> </w:t>
            </w:r>
            <w:r w:rsidRPr="00150EDC">
              <w:rPr>
                <w:w w:val="105"/>
                <w:sz w:val="13"/>
              </w:rPr>
              <w:t>as</w:t>
            </w:r>
            <w:r w:rsidRPr="00150EDC">
              <w:rPr>
                <w:spacing w:val="40"/>
                <w:w w:val="105"/>
                <w:sz w:val="13"/>
              </w:rPr>
              <w:t xml:space="preserve"> </w:t>
            </w:r>
            <w:r w:rsidRPr="00150EDC">
              <w:rPr>
                <w:spacing w:val="-2"/>
                <w:w w:val="105"/>
                <w:sz w:val="13"/>
              </w:rPr>
              <w:t>‘Good’.</w:t>
            </w:r>
          </w:p>
        </w:tc>
        <w:tc>
          <w:tcPr>
            <w:tcW w:w="96" w:type="dxa"/>
            <w:vMerge w:val="restart"/>
            <w:tcBorders>
              <w:right w:val="nil"/>
            </w:tcBorders>
          </w:tcPr>
          <w:p w14:paraId="792D7632" w14:textId="77777777" w:rsidR="004C7180" w:rsidRPr="00150EDC" w:rsidRDefault="004C7180">
            <w:pPr>
              <w:pStyle w:val="TableParagraph"/>
              <w:spacing w:before="0" w:line="240" w:lineRule="auto"/>
              <w:ind w:left="0"/>
              <w:rPr>
                <w:rFonts w:ascii="Times New Roman"/>
                <w:sz w:val="12"/>
              </w:rPr>
            </w:pPr>
          </w:p>
        </w:tc>
        <w:tc>
          <w:tcPr>
            <w:tcW w:w="642" w:type="dxa"/>
            <w:tcBorders>
              <w:left w:val="nil"/>
              <w:bottom w:val="nil"/>
            </w:tcBorders>
            <w:shd w:val="clear" w:color="auto" w:fill="F1F1F1"/>
          </w:tcPr>
          <w:p w14:paraId="601C638F" w14:textId="77777777" w:rsidR="004C7180" w:rsidRPr="00150EDC" w:rsidRDefault="004C7180">
            <w:pPr>
              <w:pStyle w:val="TableParagraph"/>
              <w:spacing w:before="10" w:line="240" w:lineRule="auto"/>
              <w:ind w:left="0"/>
              <w:rPr>
                <w:b/>
                <w:sz w:val="17"/>
              </w:rPr>
            </w:pPr>
          </w:p>
          <w:p w14:paraId="3C24477B" w14:textId="77777777" w:rsidR="004C7180" w:rsidRPr="00150EDC" w:rsidRDefault="00CF0754">
            <w:pPr>
              <w:pStyle w:val="TableParagraph"/>
              <w:spacing w:before="0" w:line="240" w:lineRule="auto"/>
              <w:ind w:left="-8"/>
              <w:rPr>
                <w:sz w:val="13"/>
              </w:rPr>
            </w:pPr>
            <w:r w:rsidRPr="00150EDC">
              <w:rPr>
                <w:spacing w:val="-5"/>
                <w:w w:val="105"/>
                <w:sz w:val="13"/>
              </w:rPr>
              <w:t>0%</w:t>
            </w:r>
          </w:p>
        </w:tc>
        <w:tc>
          <w:tcPr>
            <w:tcW w:w="3262" w:type="dxa"/>
            <w:vMerge/>
            <w:tcBorders>
              <w:top w:val="nil"/>
              <w:bottom w:val="nil"/>
              <w:right w:val="nil"/>
            </w:tcBorders>
            <w:shd w:val="clear" w:color="auto" w:fill="F1F1F1"/>
          </w:tcPr>
          <w:p w14:paraId="56D70E0D" w14:textId="77777777" w:rsidR="004C7180" w:rsidRPr="007D3144" w:rsidRDefault="004C7180">
            <w:pPr>
              <w:rPr>
                <w:sz w:val="2"/>
                <w:szCs w:val="2"/>
              </w:rPr>
            </w:pPr>
          </w:p>
        </w:tc>
      </w:tr>
      <w:tr w:rsidR="004569EE" w:rsidRPr="007D3144" w14:paraId="7BD999B4" w14:textId="77777777">
        <w:trPr>
          <w:trHeight w:val="1255"/>
        </w:trPr>
        <w:tc>
          <w:tcPr>
            <w:tcW w:w="1276" w:type="dxa"/>
            <w:tcBorders>
              <w:top w:val="nil"/>
              <w:bottom w:val="nil"/>
            </w:tcBorders>
            <w:shd w:val="clear" w:color="auto" w:fill="F1F1F1"/>
          </w:tcPr>
          <w:p w14:paraId="0B029D12" w14:textId="77777777" w:rsidR="004C7180" w:rsidRPr="00150EDC" w:rsidRDefault="004C7180">
            <w:pPr>
              <w:pStyle w:val="TableParagraph"/>
              <w:spacing w:before="0" w:line="240" w:lineRule="auto"/>
              <w:ind w:left="0"/>
              <w:rPr>
                <w:rFonts w:ascii="Times New Roman"/>
                <w:sz w:val="12"/>
              </w:rPr>
            </w:pPr>
          </w:p>
        </w:tc>
        <w:tc>
          <w:tcPr>
            <w:tcW w:w="3098" w:type="dxa"/>
            <w:tcBorders>
              <w:top w:val="nil"/>
              <w:bottom w:val="nil"/>
            </w:tcBorders>
          </w:tcPr>
          <w:p w14:paraId="7E506E69" w14:textId="77777777" w:rsidR="004C7180" w:rsidRPr="00150EDC" w:rsidRDefault="004C7180">
            <w:pPr>
              <w:pStyle w:val="TableParagraph"/>
              <w:spacing w:before="0" w:line="240" w:lineRule="auto"/>
              <w:ind w:left="0"/>
              <w:rPr>
                <w:b/>
                <w:sz w:val="14"/>
              </w:rPr>
            </w:pPr>
          </w:p>
          <w:p w14:paraId="6EA8BF28" w14:textId="77777777" w:rsidR="004C7180" w:rsidRPr="00150EDC" w:rsidRDefault="00CF0754">
            <w:pPr>
              <w:pStyle w:val="TableParagraph"/>
              <w:spacing w:before="99" w:line="268" w:lineRule="auto"/>
              <w:ind w:left="82" w:right="152"/>
              <w:rPr>
                <w:sz w:val="13"/>
              </w:rPr>
            </w:pPr>
            <w:r w:rsidRPr="00150EDC">
              <w:rPr>
                <w:w w:val="105"/>
                <w:sz w:val="13"/>
              </w:rPr>
              <w:t>The Supplier shall provide the Buyer with</w:t>
            </w:r>
            <w:r w:rsidRPr="00150EDC">
              <w:rPr>
                <w:spacing w:val="40"/>
                <w:w w:val="105"/>
                <w:sz w:val="13"/>
              </w:rPr>
              <w:t xml:space="preserve"> </w:t>
            </w:r>
            <w:r w:rsidRPr="00150EDC">
              <w:rPr>
                <w:w w:val="105"/>
                <w:sz w:val="13"/>
              </w:rPr>
              <w:t>meeting</w:t>
            </w:r>
            <w:r w:rsidRPr="00150EDC">
              <w:rPr>
                <w:spacing w:val="-9"/>
                <w:w w:val="105"/>
                <w:sz w:val="13"/>
              </w:rPr>
              <w:t xml:space="preserve"> </w:t>
            </w:r>
            <w:r w:rsidRPr="00150EDC">
              <w:rPr>
                <w:w w:val="105"/>
                <w:sz w:val="13"/>
              </w:rPr>
              <w:t>notes</w:t>
            </w:r>
            <w:r w:rsidRPr="00150EDC">
              <w:rPr>
                <w:spacing w:val="-7"/>
                <w:w w:val="105"/>
                <w:sz w:val="13"/>
              </w:rPr>
              <w:t xml:space="preserve"> </w:t>
            </w:r>
            <w:r w:rsidRPr="00150EDC">
              <w:rPr>
                <w:w w:val="105"/>
                <w:sz w:val="13"/>
              </w:rPr>
              <w:t>no</w:t>
            </w:r>
            <w:r w:rsidRPr="00150EDC">
              <w:rPr>
                <w:spacing w:val="-7"/>
                <w:w w:val="105"/>
                <w:sz w:val="13"/>
              </w:rPr>
              <w:t xml:space="preserve"> </w:t>
            </w:r>
            <w:r w:rsidRPr="00150EDC">
              <w:rPr>
                <w:w w:val="105"/>
                <w:sz w:val="13"/>
              </w:rPr>
              <w:t>later</w:t>
            </w:r>
            <w:r w:rsidRPr="00150EDC">
              <w:rPr>
                <w:spacing w:val="-8"/>
                <w:w w:val="105"/>
                <w:sz w:val="13"/>
              </w:rPr>
              <w:t xml:space="preserve"> </w:t>
            </w:r>
            <w:r w:rsidRPr="00150EDC">
              <w:rPr>
                <w:w w:val="105"/>
                <w:sz w:val="13"/>
              </w:rPr>
              <w:t>than</w:t>
            </w:r>
            <w:r w:rsidRPr="00150EDC">
              <w:rPr>
                <w:spacing w:val="-7"/>
                <w:w w:val="105"/>
                <w:sz w:val="13"/>
              </w:rPr>
              <w:t xml:space="preserve"> </w:t>
            </w:r>
            <w:r w:rsidRPr="00150EDC">
              <w:rPr>
                <w:w w:val="105"/>
                <w:sz w:val="13"/>
              </w:rPr>
              <w:t>5</w:t>
            </w:r>
            <w:r w:rsidRPr="00150EDC">
              <w:rPr>
                <w:spacing w:val="-10"/>
                <w:w w:val="105"/>
                <w:sz w:val="13"/>
              </w:rPr>
              <w:t xml:space="preserve"> </w:t>
            </w:r>
            <w:r w:rsidRPr="00150EDC">
              <w:rPr>
                <w:w w:val="105"/>
                <w:sz w:val="13"/>
              </w:rPr>
              <w:t>Working</w:t>
            </w:r>
            <w:r w:rsidRPr="00150EDC">
              <w:rPr>
                <w:spacing w:val="-7"/>
                <w:w w:val="105"/>
                <w:sz w:val="13"/>
              </w:rPr>
              <w:t xml:space="preserve"> </w:t>
            </w:r>
            <w:r w:rsidRPr="00150EDC">
              <w:rPr>
                <w:w w:val="105"/>
                <w:sz w:val="13"/>
              </w:rPr>
              <w:t>Days</w:t>
            </w:r>
            <w:r w:rsidRPr="00150EDC">
              <w:rPr>
                <w:spacing w:val="40"/>
                <w:w w:val="105"/>
                <w:sz w:val="13"/>
              </w:rPr>
              <w:t xml:space="preserve"> </w:t>
            </w:r>
            <w:r w:rsidRPr="00150EDC">
              <w:rPr>
                <w:w w:val="105"/>
                <w:sz w:val="13"/>
              </w:rPr>
              <w:t>after each meeting.</w:t>
            </w:r>
          </w:p>
          <w:p w14:paraId="5ABA5C0A" w14:textId="77777777" w:rsidR="004C7180" w:rsidRPr="00150EDC" w:rsidRDefault="004C7180">
            <w:pPr>
              <w:pStyle w:val="TableParagraph"/>
              <w:spacing w:before="0" w:line="240" w:lineRule="auto"/>
              <w:ind w:left="0"/>
              <w:rPr>
                <w:b/>
                <w:sz w:val="15"/>
              </w:rPr>
            </w:pPr>
          </w:p>
          <w:p w14:paraId="3A69C4E0" w14:textId="77777777" w:rsidR="004C7180" w:rsidRPr="00150EDC" w:rsidRDefault="00CF0754">
            <w:pPr>
              <w:pStyle w:val="TableParagraph"/>
              <w:spacing w:before="0" w:line="150" w:lineRule="atLeast"/>
              <w:ind w:left="82" w:right="17"/>
              <w:rPr>
                <w:i/>
                <w:sz w:val="13"/>
              </w:rPr>
            </w:pPr>
            <w:r w:rsidRPr="00150EDC">
              <w:rPr>
                <w:i/>
                <w:w w:val="105"/>
                <w:sz w:val="13"/>
              </w:rPr>
              <w:t>Measurement:</w:t>
            </w:r>
            <w:r w:rsidRPr="00150EDC">
              <w:rPr>
                <w:i/>
                <w:spacing w:val="-8"/>
                <w:w w:val="105"/>
                <w:sz w:val="13"/>
              </w:rPr>
              <w:t xml:space="preserve"> </w:t>
            </w:r>
            <w:r w:rsidRPr="00150EDC">
              <w:rPr>
                <w:i/>
                <w:w w:val="105"/>
                <w:sz w:val="13"/>
              </w:rPr>
              <w:t>review</w:t>
            </w:r>
            <w:r w:rsidRPr="00150EDC">
              <w:rPr>
                <w:i/>
                <w:spacing w:val="-8"/>
                <w:w w:val="105"/>
                <w:sz w:val="13"/>
              </w:rPr>
              <w:t xml:space="preserve"> </w:t>
            </w:r>
            <w:r w:rsidRPr="00150EDC">
              <w:rPr>
                <w:i/>
                <w:w w:val="105"/>
                <w:sz w:val="13"/>
              </w:rPr>
              <w:t>of</w:t>
            </w:r>
            <w:r w:rsidRPr="00150EDC">
              <w:rPr>
                <w:i/>
                <w:spacing w:val="-8"/>
                <w:w w:val="105"/>
                <w:sz w:val="13"/>
              </w:rPr>
              <w:t xml:space="preserve"> </w:t>
            </w:r>
            <w:r w:rsidRPr="00150EDC">
              <w:rPr>
                <w:i/>
                <w:w w:val="105"/>
                <w:sz w:val="13"/>
              </w:rPr>
              <w:t>if</w:t>
            </w:r>
            <w:r w:rsidRPr="00150EDC">
              <w:rPr>
                <w:i/>
                <w:spacing w:val="-9"/>
                <w:w w:val="105"/>
                <w:sz w:val="13"/>
              </w:rPr>
              <w:t xml:space="preserve"> </w:t>
            </w:r>
            <w:r w:rsidRPr="00150EDC">
              <w:rPr>
                <w:i/>
                <w:w w:val="105"/>
                <w:sz w:val="13"/>
              </w:rPr>
              <w:t>and</w:t>
            </w:r>
            <w:r w:rsidRPr="00150EDC">
              <w:rPr>
                <w:i/>
                <w:spacing w:val="-9"/>
                <w:w w:val="105"/>
                <w:sz w:val="13"/>
              </w:rPr>
              <w:t xml:space="preserve"> </w:t>
            </w:r>
            <w:r w:rsidRPr="00150EDC">
              <w:rPr>
                <w:i/>
                <w:w w:val="105"/>
                <w:sz w:val="13"/>
              </w:rPr>
              <w:t>when</w:t>
            </w:r>
            <w:r w:rsidRPr="00150EDC">
              <w:rPr>
                <w:i/>
                <w:spacing w:val="-8"/>
                <w:w w:val="105"/>
                <w:sz w:val="13"/>
              </w:rPr>
              <w:t xml:space="preserve"> </w:t>
            </w:r>
            <w:r w:rsidRPr="00150EDC">
              <w:rPr>
                <w:i/>
                <w:w w:val="105"/>
                <w:sz w:val="13"/>
              </w:rPr>
              <w:t>the</w:t>
            </w:r>
            <w:r w:rsidRPr="00150EDC">
              <w:rPr>
                <w:i/>
                <w:spacing w:val="-8"/>
                <w:w w:val="105"/>
                <w:sz w:val="13"/>
              </w:rPr>
              <w:t xml:space="preserve"> </w:t>
            </w:r>
            <w:r w:rsidRPr="00150EDC">
              <w:rPr>
                <w:i/>
                <w:w w:val="105"/>
                <w:sz w:val="13"/>
              </w:rPr>
              <w:t>meeting</w:t>
            </w:r>
            <w:r w:rsidRPr="00150EDC">
              <w:rPr>
                <w:i/>
                <w:spacing w:val="40"/>
                <w:w w:val="105"/>
                <w:sz w:val="13"/>
              </w:rPr>
              <w:t xml:space="preserve"> </w:t>
            </w:r>
            <w:r w:rsidRPr="00150EDC">
              <w:rPr>
                <w:i/>
                <w:w w:val="105"/>
                <w:sz w:val="13"/>
              </w:rPr>
              <w:t>notes were received by the Buyer.</w:t>
            </w:r>
          </w:p>
        </w:tc>
        <w:tc>
          <w:tcPr>
            <w:tcW w:w="2134" w:type="dxa"/>
            <w:tcBorders>
              <w:top w:val="nil"/>
              <w:bottom w:val="nil"/>
            </w:tcBorders>
          </w:tcPr>
          <w:p w14:paraId="06B285AB" w14:textId="77777777" w:rsidR="004C7180" w:rsidRPr="00150EDC" w:rsidRDefault="00CF0754">
            <w:pPr>
              <w:pStyle w:val="TableParagraph"/>
              <w:spacing w:before="0" w:line="252" w:lineRule="auto"/>
              <w:ind w:left="81" w:right="37"/>
              <w:rPr>
                <w:sz w:val="13"/>
              </w:rPr>
            </w:pPr>
            <w:r w:rsidRPr="00150EDC">
              <w:rPr>
                <w:b/>
                <w:w w:val="105"/>
                <w:sz w:val="13"/>
              </w:rPr>
              <w:t xml:space="preserve">Approaching Target: </w:t>
            </w:r>
            <w:r w:rsidRPr="00150EDC">
              <w:rPr>
                <w:w w:val="105"/>
                <w:sz w:val="13"/>
              </w:rPr>
              <w:t>Supplier</w:t>
            </w:r>
            <w:r w:rsidRPr="00150EDC">
              <w:rPr>
                <w:spacing w:val="40"/>
                <w:w w:val="105"/>
                <w:sz w:val="13"/>
              </w:rPr>
              <w:t xml:space="preserve"> </w:t>
            </w:r>
            <w:r w:rsidRPr="00150EDC">
              <w:rPr>
                <w:w w:val="105"/>
                <w:sz w:val="13"/>
              </w:rPr>
              <w:t>provides</w:t>
            </w:r>
            <w:r w:rsidRPr="00150EDC">
              <w:rPr>
                <w:spacing w:val="-10"/>
                <w:w w:val="105"/>
                <w:sz w:val="13"/>
              </w:rPr>
              <w:t xml:space="preserve"> </w:t>
            </w:r>
            <w:r w:rsidRPr="00150EDC">
              <w:rPr>
                <w:w w:val="105"/>
                <w:sz w:val="13"/>
              </w:rPr>
              <w:t>meeting</w:t>
            </w:r>
            <w:r w:rsidRPr="00150EDC">
              <w:rPr>
                <w:spacing w:val="-9"/>
                <w:w w:val="105"/>
                <w:sz w:val="13"/>
              </w:rPr>
              <w:t xml:space="preserve"> </w:t>
            </w:r>
            <w:r w:rsidRPr="00150EDC">
              <w:rPr>
                <w:w w:val="105"/>
                <w:sz w:val="13"/>
              </w:rPr>
              <w:t>notes</w:t>
            </w:r>
            <w:r w:rsidRPr="00150EDC">
              <w:rPr>
                <w:spacing w:val="-10"/>
                <w:w w:val="105"/>
                <w:sz w:val="13"/>
              </w:rPr>
              <w:t xml:space="preserve"> </w:t>
            </w:r>
            <w:r w:rsidRPr="00150EDC">
              <w:rPr>
                <w:w w:val="105"/>
                <w:sz w:val="13"/>
              </w:rPr>
              <w:t>to</w:t>
            </w:r>
            <w:r w:rsidRPr="00150EDC">
              <w:rPr>
                <w:spacing w:val="-9"/>
                <w:w w:val="105"/>
                <w:sz w:val="13"/>
              </w:rPr>
              <w:t xml:space="preserve"> </w:t>
            </w:r>
            <w:r w:rsidRPr="00150EDC">
              <w:rPr>
                <w:w w:val="105"/>
                <w:sz w:val="13"/>
              </w:rPr>
              <w:t>Buyer</w:t>
            </w:r>
            <w:r w:rsidRPr="00150EDC">
              <w:rPr>
                <w:spacing w:val="40"/>
                <w:w w:val="105"/>
                <w:sz w:val="13"/>
              </w:rPr>
              <w:t xml:space="preserve"> </w:t>
            </w:r>
            <w:r w:rsidRPr="00150EDC">
              <w:rPr>
                <w:w w:val="105"/>
                <w:sz w:val="13"/>
              </w:rPr>
              <w:t>on day 6 following the meeting.</w:t>
            </w:r>
          </w:p>
          <w:p w14:paraId="09BE9EC2" w14:textId="77777777" w:rsidR="004C7180" w:rsidRPr="00150EDC" w:rsidRDefault="00CF0754">
            <w:pPr>
              <w:pStyle w:val="TableParagraph"/>
              <w:spacing w:before="85" w:line="249" w:lineRule="auto"/>
              <w:ind w:left="81" w:right="101"/>
              <w:rPr>
                <w:sz w:val="13"/>
              </w:rPr>
            </w:pPr>
            <w:r w:rsidRPr="00150EDC">
              <w:rPr>
                <w:b/>
                <w:w w:val="105"/>
                <w:sz w:val="13"/>
              </w:rPr>
              <w:t>Requires</w:t>
            </w:r>
            <w:r w:rsidRPr="00150EDC">
              <w:rPr>
                <w:b/>
                <w:spacing w:val="-2"/>
                <w:w w:val="105"/>
                <w:sz w:val="13"/>
              </w:rPr>
              <w:t xml:space="preserve"> </w:t>
            </w:r>
            <w:r w:rsidRPr="00150EDC">
              <w:rPr>
                <w:b/>
                <w:w w:val="105"/>
                <w:sz w:val="13"/>
              </w:rPr>
              <w:t>Improvement:</w:t>
            </w:r>
            <w:r w:rsidRPr="00150EDC">
              <w:rPr>
                <w:b/>
                <w:spacing w:val="40"/>
                <w:w w:val="105"/>
                <w:sz w:val="13"/>
              </w:rPr>
              <w:t xml:space="preserve"> </w:t>
            </w:r>
            <w:r w:rsidRPr="00150EDC">
              <w:rPr>
                <w:w w:val="105"/>
                <w:sz w:val="13"/>
              </w:rPr>
              <w:t>Supplier</w:t>
            </w:r>
            <w:r w:rsidRPr="00150EDC">
              <w:rPr>
                <w:spacing w:val="-10"/>
                <w:w w:val="105"/>
                <w:sz w:val="13"/>
              </w:rPr>
              <w:t xml:space="preserve"> </w:t>
            </w:r>
            <w:r w:rsidRPr="00150EDC">
              <w:rPr>
                <w:w w:val="105"/>
                <w:sz w:val="13"/>
              </w:rPr>
              <w:t>provides</w:t>
            </w:r>
            <w:r w:rsidRPr="00150EDC">
              <w:rPr>
                <w:spacing w:val="-9"/>
                <w:w w:val="105"/>
                <w:sz w:val="13"/>
              </w:rPr>
              <w:t xml:space="preserve"> </w:t>
            </w:r>
            <w:r w:rsidRPr="00150EDC">
              <w:rPr>
                <w:w w:val="105"/>
                <w:sz w:val="13"/>
              </w:rPr>
              <w:t>meeting</w:t>
            </w:r>
            <w:r w:rsidRPr="00150EDC">
              <w:rPr>
                <w:spacing w:val="-10"/>
                <w:w w:val="105"/>
                <w:sz w:val="13"/>
              </w:rPr>
              <w:t xml:space="preserve"> </w:t>
            </w:r>
            <w:r w:rsidRPr="00150EDC">
              <w:rPr>
                <w:w w:val="105"/>
                <w:sz w:val="13"/>
              </w:rPr>
              <w:t>notes</w:t>
            </w:r>
            <w:r w:rsidRPr="00150EDC">
              <w:rPr>
                <w:spacing w:val="40"/>
                <w:w w:val="105"/>
                <w:sz w:val="13"/>
              </w:rPr>
              <w:t xml:space="preserve"> </w:t>
            </w:r>
            <w:r w:rsidRPr="00150EDC">
              <w:rPr>
                <w:w w:val="105"/>
                <w:sz w:val="13"/>
              </w:rPr>
              <w:t>to Buyer on day 7 following the</w:t>
            </w:r>
            <w:r w:rsidRPr="00150EDC">
              <w:rPr>
                <w:spacing w:val="40"/>
                <w:w w:val="105"/>
                <w:sz w:val="13"/>
              </w:rPr>
              <w:t xml:space="preserve"> </w:t>
            </w:r>
            <w:r w:rsidRPr="00150EDC">
              <w:rPr>
                <w:spacing w:val="-2"/>
                <w:w w:val="105"/>
                <w:sz w:val="13"/>
              </w:rPr>
              <w:t>meeting.</w:t>
            </w:r>
          </w:p>
        </w:tc>
        <w:tc>
          <w:tcPr>
            <w:tcW w:w="1049" w:type="dxa"/>
            <w:tcBorders>
              <w:top w:val="nil"/>
              <w:bottom w:val="nil"/>
            </w:tcBorders>
          </w:tcPr>
          <w:p w14:paraId="70DD1D57" w14:textId="77777777" w:rsidR="004C7180" w:rsidRPr="00150EDC" w:rsidRDefault="004C7180">
            <w:pPr>
              <w:pStyle w:val="TableParagraph"/>
              <w:spacing w:before="0" w:line="240" w:lineRule="auto"/>
              <w:ind w:left="0"/>
              <w:rPr>
                <w:rFonts w:ascii="Times New Roman"/>
                <w:sz w:val="12"/>
              </w:rPr>
            </w:pPr>
          </w:p>
        </w:tc>
        <w:tc>
          <w:tcPr>
            <w:tcW w:w="96" w:type="dxa"/>
            <w:vMerge/>
            <w:tcBorders>
              <w:top w:val="nil"/>
              <w:right w:val="nil"/>
            </w:tcBorders>
          </w:tcPr>
          <w:p w14:paraId="6DBB7A87" w14:textId="77777777" w:rsidR="004C7180" w:rsidRPr="007D3144" w:rsidRDefault="004C7180">
            <w:pPr>
              <w:rPr>
                <w:sz w:val="2"/>
                <w:szCs w:val="2"/>
              </w:rPr>
            </w:pPr>
          </w:p>
        </w:tc>
        <w:tc>
          <w:tcPr>
            <w:tcW w:w="642" w:type="dxa"/>
            <w:tcBorders>
              <w:top w:val="nil"/>
              <w:left w:val="nil"/>
              <w:bottom w:val="nil"/>
            </w:tcBorders>
            <w:shd w:val="clear" w:color="auto" w:fill="F1F1F1"/>
          </w:tcPr>
          <w:p w14:paraId="4C588AD9" w14:textId="77777777" w:rsidR="004C7180" w:rsidRPr="00150EDC" w:rsidRDefault="004C7180">
            <w:pPr>
              <w:pStyle w:val="TableParagraph"/>
              <w:spacing w:before="0" w:line="240" w:lineRule="auto"/>
              <w:ind w:left="0"/>
              <w:rPr>
                <w:rFonts w:ascii="Times New Roman"/>
                <w:sz w:val="12"/>
              </w:rPr>
            </w:pPr>
          </w:p>
        </w:tc>
        <w:tc>
          <w:tcPr>
            <w:tcW w:w="3262" w:type="dxa"/>
            <w:vMerge/>
            <w:tcBorders>
              <w:top w:val="nil"/>
              <w:bottom w:val="nil"/>
              <w:right w:val="nil"/>
            </w:tcBorders>
            <w:shd w:val="clear" w:color="auto" w:fill="F1F1F1"/>
          </w:tcPr>
          <w:p w14:paraId="7BD37FC5" w14:textId="77777777" w:rsidR="004C7180" w:rsidRPr="007D3144" w:rsidRDefault="004C7180">
            <w:pPr>
              <w:rPr>
                <w:sz w:val="2"/>
                <w:szCs w:val="2"/>
              </w:rPr>
            </w:pPr>
          </w:p>
        </w:tc>
      </w:tr>
      <w:tr w:rsidR="004569EE" w:rsidRPr="007D3144" w14:paraId="7D567BB1" w14:textId="77777777">
        <w:trPr>
          <w:trHeight w:val="734"/>
        </w:trPr>
        <w:tc>
          <w:tcPr>
            <w:tcW w:w="1276" w:type="dxa"/>
            <w:tcBorders>
              <w:top w:val="nil"/>
            </w:tcBorders>
            <w:shd w:val="clear" w:color="auto" w:fill="F1F1F1"/>
          </w:tcPr>
          <w:p w14:paraId="65EA9961" w14:textId="77777777" w:rsidR="004C7180" w:rsidRPr="00150EDC" w:rsidRDefault="004C7180">
            <w:pPr>
              <w:pStyle w:val="TableParagraph"/>
              <w:spacing w:before="0" w:line="240" w:lineRule="auto"/>
              <w:ind w:left="0"/>
              <w:rPr>
                <w:rFonts w:ascii="Times New Roman"/>
                <w:sz w:val="12"/>
              </w:rPr>
            </w:pPr>
          </w:p>
        </w:tc>
        <w:tc>
          <w:tcPr>
            <w:tcW w:w="3098" w:type="dxa"/>
            <w:tcBorders>
              <w:top w:val="nil"/>
            </w:tcBorders>
          </w:tcPr>
          <w:p w14:paraId="740B1C57" w14:textId="77777777" w:rsidR="004C7180" w:rsidRPr="00150EDC" w:rsidRDefault="004C7180">
            <w:pPr>
              <w:pStyle w:val="TableParagraph"/>
              <w:spacing w:before="0" w:line="240" w:lineRule="auto"/>
              <w:ind w:left="0"/>
              <w:rPr>
                <w:rFonts w:ascii="Times New Roman"/>
                <w:sz w:val="12"/>
              </w:rPr>
            </w:pPr>
          </w:p>
        </w:tc>
        <w:tc>
          <w:tcPr>
            <w:tcW w:w="2134" w:type="dxa"/>
            <w:tcBorders>
              <w:top w:val="nil"/>
            </w:tcBorders>
          </w:tcPr>
          <w:p w14:paraId="694B2A57" w14:textId="77777777" w:rsidR="004C7180" w:rsidRPr="00150EDC" w:rsidRDefault="00CF0754">
            <w:pPr>
              <w:pStyle w:val="TableParagraph"/>
              <w:spacing w:before="5" w:line="249" w:lineRule="auto"/>
              <w:ind w:left="81" w:right="183"/>
              <w:rPr>
                <w:sz w:val="13"/>
              </w:rPr>
            </w:pPr>
            <w:r w:rsidRPr="00150EDC">
              <w:rPr>
                <w:b/>
                <w:w w:val="105"/>
                <w:sz w:val="13"/>
              </w:rPr>
              <w:t>Inadequate:</w:t>
            </w:r>
            <w:r w:rsidRPr="00150EDC">
              <w:rPr>
                <w:b/>
                <w:spacing w:val="-10"/>
                <w:w w:val="105"/>
                <w:sz w:val="13"/>
              </w:rPr>
              <w:t xml:space="preserve"> </w:t>
            </w:r>
            <w:r w:rsidRPr="00150EDC">
              <w:rPr>
                <w:w w:val="105"/>
                <w:sz w:val="13"/>
              </w:rPr>
              <w:t>Supplier</w:t>
            </w:r>
            <w:r w:rsidRPr="00150EDC">
              <w:rPr>
                <w:spacing w:val="-9"/>
                <w:w w:val="105"/>
                <w:sz w:val="13"/>
              </w:rPr>
              <w:t xml:space="preserve"> </w:t>
            </w:r>
            <w:r w:rsidRPr="00150EDC">
              <w:rPr>
                <w:w w:val="105"/>
                <w:sz w:val="13"/>
              </w:rPr>
              <w:t>provides</w:t>
            </w:r>
            <w:r w:rsidRPr="00150EDC">
              <w:rPr>
                <w:spacing w:val="40"/>
                <w:w w:val="105"/>
                <w:sz w:val="13"/>
              </w:rPr>
              <w:t xml:space="preserve"> </w:t>
            </w:r>
            <w:r w:rsidRPr="00150EDC">
              <w:rPr>
                <w:w w:val="105"/>
                <w:sz w:val="13"/>
              </w:rPr>
              <w:t>meeting notes to Buyer more</w:t>
            </w:r>
            <w:r w:rsidRPr="00150EDC">
              <w:rPr>
                <w:spacing w:val="40"/>
                <w:w w:val="105"/>
                <w:sz w:val="13"/>
              </w:rPr>
              <w:t xml:space="preserve"> </w:t>
            </w:r>
            <w:r w:rsidRPr="00150EDC">
              <w:rPr>
                <w:w w:val="105"/>
                <w:sz w:val="13"/>
              </w:rPr>
              <w:t>than 7 days following the</w:t>
            </w:r>
            <w:r w:rsidRPr="00150EDC">
              <w:rPr>
                <w:spacing w:val="40"/>
                <w:w w:val="105"/>
                <w:sz w:val="13"/>
              </w:rPr>
              <w:t xml:space="preserve"> </w:t>
            </w:r>
            <w:r w:rsidRPr="00150EDC">
              <w:rPr>
                <w:spacing w:val="-2"/>
                <w:w w:val="105"/>
                <w:sz w:val="13"/>
              </w:rPr>
              <w:t>meeting.</w:t>
            </w:r>
          </w:p>
        </w:tc>
        <w:tc>
          <w:tcPr>
            <w:tcW w:w="1049" w:type="dxa"/>
            <w:tcBorders>
              <w:top w:val="nil"/>
            </w:tcBorders>
          </w:tcPr>
          <w:p w14:paraId="03A44BD0" w14:textId="77777777" w:rsidR="004C7180" w:rsidRPr="00150EDC" w:rsidRDefault="004C7180">
            <w:pPr>
              <w:pStyle w:val="TableParagraph"/>
              <w:spacing w:before="0" w:line="240" w:lineRule="auto"/>
              <w:ind w:left="0"/>
              <w:rPr>
                <w:rFonts w:ascii="Times New Roman"/>
                <w:sz w:val="12"/>
              </w:rPr>
            </w:pPr>
          </w:p>
        </w:tc>
        <w:tc>
          <w:tcPr>
            <w:tcW w:w="96" w:type="dxa"/>
            <w:vMerge/>
            <w:tcBorders>
              <w:top w:val="nil"/>
              <w:right w:val="nil"/>
            </w:tcBorders>
          </w:tcPr>
          <w:p w14:paraId="50FD15DF" w14:textId="77777777" w:rsidR="004C7180" w:rsidRPr="007D3144" w:rsidRDefault="004C7180">
            <w:pPr>
              <w:rPr>
                <w:sz w:val="2"/>
                <w:szCs w:val="2"/>
              </w:rPr>
            </w:pPr>
          </w:p>
        </w:tc>
        <w:tc>
          <w:tcPr>
            <w:tcW w:w="642" w:type="dxa"/>
            <w:tcBorders>
              <w:top w:val="nil"/>
              <w:left w:val="nil"/>
            </w:tcBorders>
            <w:shd w:val="clear" w:color="auto" w:fill="F1F1F1"/>
          </w:tcPr>
          <w:p w14:paraId="183CE567" w14:textId="77777777" w:rsidR="004C7180" w:rsidRPr="00150EDC" w:rsidRDefault="004C7180">
            <w:pPr>
              <w:pStyle w:val="TableParagraph"/>
              <w:spacing w:before="0" w:line="240" w:lineRule="auto"/>
              <w:ind w:left="0"/>
              <w:rPr>
                <w:rFonts w:ascii="Times New Roman"/>
                <w:sz w:val="12"/>
              </w:rPr>
            </w:pPr>
          </w:p>
        </w:tc>
        <w:tc>
          <w:tcPr>
            <w:tcW w:w="3262" w:type="dxa"/>
            <w:vMerge/>
            <w:tcBorders>
              <w:top w:val="nil"/>
              <w:bottom w:val="nil"/>
              <w:right w:val="nil"/>
            </w:tcBorders>
            <w:shd w:val="clear" w:color="auto" w:fill="F1F1F1"/>
          </w:tcPr>
          <w:p w14:paraId="73396EA4" w14:textId="77777777" w:rsidR="004C7180" w:rsidRPr="007D3144" w:rsidRDefault="004C7180">
            <w:pPr>
              <w:rPr>
                <w:sz w:val="2"/>
                <w:szCs w:val="2"/>
              </w:rPr>
            </w:pPr>
          </w:p>
        </w:tc>
      </w:tr>
      <w:tr w:rsidR="004569EE" w:rsidRPr="007D3144" w14:paraId="6E4367A6" w14:textId="77777777">
        <w:trPr>
          <w:trHeight w:val="664"/>
        </w:trPr>
        <w:tc>
          <w:tcPr>
            <w:tcW w:w="1276" w:type="dxa"/>
            <w:tcBorders>
              <w:bottom w:val="nil"/>
            </w:tcBorders>
            <w:shd w:val="clear" w:color="auto" w:fill="F1F1F1"/>
          </w:tcPr>
          <w:p w14:paraId="79D427B7" w14:textId="77777777" w:rsidR="004C7180" w:rsidRPr="00150EDC" w:rsidRDefault="004C7180">
            <w:pPr>
              <w:pStyle w:val="TableParagraph"/>
              <w:spacing w:before="0" w:line="240" w:lineRule="auto"/>
              <w:ind w:left="0"/>
              <w:rPr>
                <w:rFonts w:ascii="Times New Roman"/>
                <w:sz w:val="12"/>
              </w:rPr>
            </w:pPr>
          </w:p>
        </w:tc>
        <w:tc>
          <w:tcPr>
            <w:tcW w:w="3098" w:type="dxa"/>
            <w:tcBorders>
              <w:bottom w:val="nil"/>
            </w:tcBorders>
          </w:tcPr>
          <w:p w14:paraId="5B047F68" w14:textId="77777777" w:rsidR="004C7180" w:rsidRPr="00150EDC" w:rsidRDefault="004C7180">
            <w:pPr>
              <w:pStyle w:val="TableParagraph"/>
              <w:spacing w:before="0" w:line="240" w:lineRule="auto"/>
              <w:ind w:left="0"/>
              <w:rPr>
                <w:rFonts w:ascii="Times New Roman"/>
                <w:sz w:val="12"/>
              </w:rPr>
            </w:pPr>
          </w:p>
        </w:tc>
        <w:tc>
          <w:tcPr>
            <w:tcW w:w="2134" w:type="dxa"/>
            <w:tcBorders>
              <w:bottom w:val="nil"/>
            </w:tcBorders>
          </w:tcPr>
          <w:p w14:paraId="56989039" w14:textId="77777777" w:rsidR="004C7180" w:rsidRPr="00150EDC" w:rsidRDefault="00CF0754">
            <w:pPr>
              <w:pStyle w:val="TableParagraph"/>
              <w:spacing w:before="115" w:line="249" w:lineRule="auto"/>
              <w:ind w:left="81" w:right="95"/>
              <w:rPr>
                <w:sz w:val="13"/>
              </w:rPr>
            </w:pPr>
            <w:r w:rsidRPr="00150EDC">
              <w:rPr>
                <w:b/>
                <w:w w:val="105"/>
                <w:sz w:val="13"/>
              </w:rPr>
              <w:t xml:space="preserve">Good: </w:t>
            </w:r>
            <w:r w:rsidRPr="00150EDC">
              <w:rPr>
                <w:w w:val="105"/>
                <w:sz w:val="13"/>
              </w:rPr>
              <w:t>Supplier provides the</w:t>
            </w:r>
            <w:r w:rsidRPr="00150EDC">
              <w:rPr>
                <w:spacing w:val="40"/>
                <w:w w:val="105"/>
                <w:sz w:val="13"/>
              </w:rPr>
              <w:t xml:space="preserve"> </w:t>
            </w:r>
            <w:r w:rsidRPr="00150EDC">
              <w:rPr>
                <w:w w:val="105"/>
                <w:sz w:val="13"/>
              </w:rPr>
              <w:t>report</w:t>
            </w:r>
            <w:r w:rsidRPr="00150EDC">
              <w:rPr>
                <w:spacing w:val="-8"/>
                <w:w w:val="105"/>
                <w:sz w:val="13"/>
              </w:rPr>
              <w:t xml:space="preserve"> </w:t>
            </w:r>
            <w:r w:rsidRPr="00150EDC">
              <w:rPr>
                <w:w w:val="105"/>
                <w:sz w:val="13"/>
              </w:rPr>
              <w:t>to</w:t>
            </w:r>
            <w:r w:rsidRPr="00150EDC">
              <w:rPr>
                <w:spacing w:val="-8"/>
                <w:w w:val="105"/>
                <w:sz w:val="13"/>
              </w:rPr>
              <w:t xml:space="preserve"> </w:t>
            </w:r>
            <w:r w:rsidRPr="00150EDC">
              <w:rPr>
                <w:w w:val="105"/>
                <w:sz w:val="13"/>
              </w:rPr>
              <w:t>Buyer</w:t>
            </w:r>
            <w:r w:rsidRPr="00150EDC">
              <w:rPr>
                <w:spacing w:val="-9"/>
                <w:w w:val="105"/>
                <w:sz w:val="13"/>
              </w:rPr>
              <w:t xml:space="preserve"> </w:t>
            </w:r>
            <w:r w:rsidRPr="00150EDC">
              <w:rPr>
                <w:w w:val="105"/>
                <w:sz w:val="13"/>
              </w:rPr>
              <w:t>within</w:t>
            </w:r>
            <w:r w:rsidRPr="00150EDC">
              <w:rPr>
                <w:spacing w:val="-10"/>
                <w:w w:val="105"/>
                <w:sz w:val="13"/>
              </w:rPr>
              <w:t xml:space="preserve"> </w:t>
            </w:r>
            <w:r w:rsidRPr="00150EDC">
              <w:rPr>
                <w:w w:val="105"/>
                <w:sz w:val="13"/>
              </w:rPr>
              <w:t>5</w:t>
            </w:r>
            <w:r w:rsidRPr="00150EDC">
              <w:rPr>
                <w:spacing w:val="-8"/>
                <w:w w:val="105"/>
                <w:sz w:val="13"/>
              </w:rPr>
              <w:t xml:space="preserve"> </w:t>
            </w:r>
            <w:r w:rsidRPr="00150EDC">
              <w:rPr>
                <w:w w:val="105"/>
                <w:sz w:val="13"/>
              </w:rPr>
              <w:t>days</w:t>
            </w:r>
            <w:r w:rsidRPr="00150EDC">
              <w:rPr>
                <w:spacing w:val="-10"/>
                <w:w w:val="105"/>
                <w:sz w:val="13"/>
              </w:rPr>
              <w:t xml:space="preserve"> </w:t>
            </w:r>
            <w:r w:rsidRPr="00150EDC">
              <w:rPr>
                <w:w w:val="105"/>
                <w:sz w:val="13"/>
              </w:rPr>
              <w:t>of</w:t>
            </w:r>
            <w:r w:rsidRPr="00150EDC">
              <w:rPr>
                <w:spacing w:val="40"/>
                <w:w w:val="105"/>
                <w:sz w:val="13"/>
              </w:rPr>
              <w:t xml:space="preserve"> </w:t>
            </w:r>
            <w:r w:rsidRPr="00150EDC">
              <w:rPr>
                <w:w w:val="105"/>
                <w:sz w:val="13"/>
              </w:rPr>
              <w:t>Buyer's</w:t>
            </w:r>
            <w:r w:rsidRPr="00150EDC">
              <w:rPr>
                <w:spacing w:val="-2"/>
                <w:w w:val="105"/>
                <w:sz w:val="13"/>
              </w:rPr>
              <w:t xml:space="preserve"> </w:t>
            </w:r>
            <w:r w:rsidRPr="00150EDC">
              <w:rPr>
                <w:w w:val="105"/>
                <w:sz w:val="13"/>
              </w:rPr>
              <w:t>request.</w:t>
            </w:r>
          </w:p>
        </w:tc>
        <w:tc>
          <w:tcPr>
            <w:tcW w:w="1049" w:type="dxa"/>
            <w:tcBorders>
              <w:bottom w:val="nil"/>
            </w:tcBorders>
          </w:tcPr>
          <w:p w14:paraId="35E1B393" w14:textId="77777777" w:rsidR="004C7180" w:rsidRPr="00150EDC" w:rsidRDefault="004C7180">
            <w:pPr>
              <w:pStyle w:val="TableParagraph"/>
              <w:spacing w:before="10" w:line="240" w:lineRule="auto"/>
              <w:ind w:left="0"/>
              <w:rPr>
                <w:b/>
                <w:sz w:val="16"/>
              </w:rPr>
            </w:pPr>
          </w:p>
          <w:p w14:paraId="2EB2D237" w14:textId="77777777" w:rsidR="004C7180" w:rsidRPr="00150EDC" w:rsidRDefault="00CF0754">
            <w:pPr>
              <w:pStyle w:val="TableParagraph"/>
              <w:tabs>
                <w:tab w:val="left" w:pos="827"/>
              </w:tabs>
              <w:spacing w:before="0" w:line="150" w:lineRule="atLeast"/>
              <w:ind w:left="82" w:right="64"/>
              <w:jc w:val="both"/>
              <w:rPr>
                <w:sz w:val="13"/>
              </w:rPr>
            </w:pPr>
            <w:r w:rsidRPr="00150EDC">
              <w:rPr>
                <w:w w:val="105"/>
                <w:sz w:val="13"/>
              </w:rPr>
              <w:t>Supplier to be</w:t>
            </w:r>
            <w:r w:rsidRPr="00150EDC">
              <w:rPr>
                <w:spacing w:val="40"/>
                <w:w w:val="105"/>
                <w:sz w:val="13"/>
              </w:rPr>
              <w:t xml:space="preserve"> </w:t>
            </w:r>
            <w:r w:rsidRPr="00150EDC">
              <w:rPr>
                <w:spacing w:val="-2"/>
                <w:w w:val="105"/>
                <w:sz w:val="13"/>
              </w:rPr>
              <w:t>rated</w:t>
            </w:r>
            <w:r w:rsidRPr="00150EDC">
              <w:rPr>
                <w:sz w:val="13"/>
              </w:rPr>
              <w:tab/>
            </w:r>
            <w:r w:rsidRPr="00150EDC">
              <w:rPr>
                <w:spacing w:val="-6"/>
                <w:w w:val="105"/>
                <w:sz w:val="13"/>
              </w:rPr>
              <w:t>as</w:t>
            </w:r>
            <w:r w:rsidRPr="00150EDC">
              <w:rPr>
                <w:spacing w:val="40"/>
                <w:w w:val="105"/>
                <w:sz w:val="13"/>
              </w:rPr>
              <w:t xml:space="preserve"> </w:t>
            </w:r>
            <w:r w:rsidRPr="00150EDC">
              <w:rPr>
                <w:spacing w:val="-2"/>
                <w:w w:val="105"/>
                <w:sz w:val="13"/>
              </w:rPr>
              <w:t>‘Good’.</w:t>
            </w:r>
          </w:p>
        </w:tc>
        <w:tc>
          <w:tcPr>
            <w:tcW w:w="96" w:type="dxa"/>
            <w:vMerge w:val="restart"/>
            <w:tcBorders>
              <w:right w:val="nil"/>
            </w:tcBorders>
          </w:tcPr>
          <w:p w14:paraId="1D374A38" w14:textId="77777777" w:rsidR="004C7180" w:rsidRPr="00150EDC" w:rsidRDefault="004C7180">
            <w:pPr>
              <w:pStyle w:val="TableParagraph"/>
              <w:spacing w:before="0" w:line="240" w:lineRule="auto"/>
              <w:ind w:left="0"/>
              <w:rPr>
                <w:rFonts w:ascii="Times New Roman"/>
                <w:sz w:val="12"/>
              </w:rPr>
            </w:pPr>
          </w:p>
        </w:tc>
        <w:tc>
          <w:tcPr>
            <w:tcW w:w="642" w:type="dxa"/>
            <w:tcBorders>
              <w:left w:val="nil"/>
              <w:bottom w:val="nil"/>
            </w:tcBorders>
            <w:shd w:val="clear" w:color="auto" w:fill="F1F1F1"/>
          </w:tcPr>
          <w:p w14:paraId="6D270FB2" w14:textId="77777777" w:rsidR="004C7180" w:rsidRPr="00150EDC" w:rsidRDefault="004C7180">
            <w:pPr>
              <w:pStyle w:val="TableParagraph"/>
              <w:spacing w:before="10" w:line="240" w:lineRule="auto"/>
              <w:ind w:left="0"/>
              <w:rPr>
                <w:b/>
                <w:sz w:val="17"/>
              </w:rPr>
            </w:pPr>
          </w:p>
          <w:p w14:paraId="0E921933" w14:textId="77777777" w:rsidR="004C7180" w:rsidRPr="00150EDC" w:rsidRDefault="00CF0754">
            <w:pPr>
              <w:pStyle w:val="TableParagraph"/>
              <w:spacing w:before="0" w:line="240" w:lineRule="auto"/>
              <w:ind w:left="-7"/>
              <w:rPr>
                <w:sz w:val="13"/>
              </w:rPr>
            </w:pPr>
            <w:r w:rsidRPr="00150EDC">
              <w:rPr>
                <w:spacing w:val="-5"/>
                <w:w w:val="105"/>
                <w:sz w:val="13"/>
              </w:rPr>
              <w:t>0%</w:t>
            </w:r>
          </w:p>
        </w:tc>
        <w:tc>
          <w:tcPr>
            <w:tcW w:w="3262" w:type="dxa"/>
            <w:vMerge/>
            <w:tcBorders>
              <w:top w:val="nil"/>
              <w:bottom w:val="nil"/>
              <w:right w:val="nil"/>
            </w:tcBorders>
            <w:shd w:val="clear" w:color="auto" w:fill="F1F1F1"/>
          </w:tcPr>
          <w:p w14:paraId="15DD84FC" w14:textId="77777777" w:rsidR="004C7180" w:rsidRPr="007D3144" w:rsidRDefault="004C7180">
            <w:pPr>
              <w:rPr>
                <w:sz w:val="2"/>
                <w:szCs w:val="2"/>
              </w:rPr>
            </w:pPr>
          </w:p>
        </w:tc>
      </w:tr>
      <w:tr w:rsidR="004569EE" w:rsidRPr="007D3144" w14:paraId="421ACD61" w14:textId="77777777">
        <w:trPr>
          <w:trHeight w:val="2000"/>
        </w:trPr>
        <w:tc>
          <w:tcPr>
            <w:tcW w:w="1276" w:type="dxa"/>
            <w:tcBorders>
              <w:top w:val="nil"/>
            </w:tcBorders>
            <w:shd w:val="clear" w:color="auto" w:fill="F1F1F1"/>
          </w:tcPr>
          <w:p w14:paraId="2AEC3CAC" w14:textId="77777777" w:rsidR="004C7180" w:rsidRPr="00150EDC" w:rsidRDefault="004C7180">
            <w:pPr>
              <w:pStyle w:val="TableParagraph"/>
              <w:spacing w:before="0" w:line="240" w:lineRule="auto"/>
              <w:ind w:left="0"/>
              <w:rPr>
                <w:b/>
                <w:sz w:val="14"/>
              </w:rPr>
            </w:pPr>
          </w:p>
          <w:p w14:paraId="43E06594" w14:textId="77777777" w:rsidR="004C7180" w:rsidRPr="00150EDC" w:rsidRDefault="00CF0754">
            <w:pPr>
              <w:pStyle w:val="TableParagraph"/>
              <w:spacing w:before="117" w:line="249" w:lineRule="auto"/>
              <w:ind w:left="81" w:right="84"/>
              <w:rPr>
                <w:b/>
                <w:sz w:val="13"/>
              </w:rPr>
            </w:pPr>
            <w:r w:rsidRPr="00150EDC">
              <w:rPr>
                <w:b/>
                <w:w w:val="105"/>
                <w:sz w:val="13"/>
              </w:rPr>
              <w:t>SLA 7: Project</w:t>
            </w:r>
            <w:r w:rsidRPr="00150EDC">
              <w:rPr>
                <w:b/>
                <w:spacing w:val="40"/>
                <w:w w:val="105"/>
                <w:sz w:val="13"/>
              </w:rPr>
              <w:t xml:space="preserve"> </w:t>
            </w:r>
            <w:r w:rsidRPr="00150EDC">
              <w:rPr>
                <w:b/>
                <w:w w:val="105"/>
                <w:sz w:val="13"/>
              </w:rPr>
              <w:t>and</w:t>
            </w:r>
            <w:r w:rsidRPr="00150EDC">
              <w:rPr>
                <w:b/>
                <w:spacing w:val="-2"/>
                <w:w w:val="105"/>
                <w:sz w:val="13"/>
              </w:rPr>
              <w:t xml:space="preserve"> </w:t>
            </w:r>
            <w:r w:rsidRPr="00150EDC">
              <w:rPr>
                <w:b/>
                <w:w w:val="105"/>
                <w:sz w:val="13"/>
              </w:rPr>
              <w:t>Programme</w:t>
            </w:r>
            <w:r w:rsidRPr="00150EDC">
              <w:rPr>
                <w:b/>
                <w:spacing w:val="40"/>
                <w:w w:val="105"/>
                <w:sz w:val="13"/>
              </w:rPr>
              <w:t xml:space="preserve"> </w:t>
            </w:r>
            <w:r w:rsidRPr="00150EDC">
              <w:rPr>
                <w:b/>
                <w:w w:val="105"/>
                <w:sz w:val="13"/>
              </w:rPr>
              <w:t>Management</w:t>
            </w:r>
            <w:r w:rsidRPr="00150EDC">
              <w:rPr>
                <w:b/>
                <w:spacing w:val="40"/>
                <w:w w:val="105"/>
                <w:sz w:val="13"/>
              </w:rPr>
              <w:t xml:space="preserve"> </w:t>
            </w:r>
            <w:r w:rsidRPr="00150EDC">
              <w:rPr>
                <w:b/>
                <w:w w:val="105"/>
                <w:sz w:val="13"/>
              </w:rPr>
              <w:t>-</w:t>
            </w:r>
            <w:r w:rsidRPr="00150EDC">
              <w:rPr>
                <w:b/>
                <w:spacing w:val="40"/>
                <w:w w:val="105"/>
                <w:sz w:val="13"/>
              </w:rPr>
              <w:t xml:space="preserve"> </w:t>
            </w:r>
            <w:r w:rsidRPr="00150EDC">
              <w:rPr>
                <w:b/>
                <w:w w:val="105"/>
                <w:sz w:val="13"/>
              </w:rPr>
              <w:t>Ad</w:t>
            </w:r>
            <w:r w:rsidRPr="00150EDC">
              <w:rPr>
                <w:b/>
                <w:spacing w:val="-10"/>
                <w:w w:val="105"/>
                <w:sz w:val="13"/>
              </w:rPr>
              <w:t xml:space="preserve"> </w:t>
            </w:r>
            <w:r w:rsidRPr="00150EDC">
              <w:rPr>
                <w:b/>
                <w:w w:val="105"/>
                <w:sz w:val="13"/>
              </w:rPr>
              <w:t>hoc</w:t>
            </w:r>
            <w:r w:rsidRPr="00150EDC">
              <w:rPr>
                <w:b/>
                <w:spacing w:val="-9"/>
                <w:w w:val="105"/>
                <w:sz w:val="13"/>
              </w:rPr>
              <w:t xml:space="preserve"> </w:t>
            </w:r>
            <w:r w:rsidRPr="00150EDC">
              <w:rPr>
                <w:b/>
                <w:w w:val="105"/>
                <w:sz w:val="13"/>
              </w:rPr>
              <w:t>reporting</w:t>
            </w:r>
          </w:p>
        </w:tc>
        <w:tc>
          <w:tcPr>
            <w:tcW w:w="3098" w:type="dxa"/>
            <w:tcBorders>
              <w:top w:val="nil"/>
            </w:tcBorders>
          </w:tcPr>
          <w:p w14:paraId="12A5C977" w14:textId="77777777" w:rsidR="004C7180" w:rsidRPr="00150EDC" w:rsidRDefault="00CF0754">
            <w:pPr>
              <w:pStyle w:val="TableParagraph"/>
              <w:spacing w:before="90" w:line="271" w:lineRule="auto"/>
              <w:ind w:left="82" w:right="17"/>
              <w:rPr>
                <w:sz w:val="13"/>
              </w:rPr>
            </w:pPr>
            <w:r w:rsidRPr="00150EDC">
              <w:rPr>
                <w:w w:val="105"/>
                <w:sz w:val="13"/>
              </w:rPr>
              <w:t>The Supplier shall provide to the Buyer</w:t>
            </w:r>
            <w:r w:rsidRPr="00150EDC">
              <w:rPr>
                <w:spacing w:val="40"/>
                <w:w w:val="105"/>
                <w:sz w:val="13"/>
              </w:rPr>
              <w:t xml:space="preserve"> </w:t>
            </w:r>
            <w:r w:rsidRPr="00150EDC">
              <w:rPr>
                <w:w w:val="105"/>
                <w:sz w:val="13"/>
              </w:rPr>
              <w:t>reasonable</w:t>
            </w:r>
            <w:r w:rsidRPr="00150EDC">
              <w:rPr>
                <w:spacing w:val="-8"/>
                <w:w w:val="105"/>
                <w:sz w:val="13"/>
              </w:rPr>
              <w:t xml:space="preserve"> </w:t>
            </w:r>
            <w:r w:rsidRPr="00150EDC">
              <w:rPr>
                <w:w w:val="105"/>
                <w:sz w:val="13"/>
              </w:rPr>
              <w:t>requests</w:t>
            </w:r>
            <w:r w:rsidRPr="00150EDC">
              <w:rPr>
                <w:spacing w:val="-10"/>
                <w:w w:val="105"/>
                <w:sz w:val="13"/>
              </w:rPr>
              <w:t xml:space="preserve"> </w:t>
            </w:r>
            <w:r w:rsidRPr="00150EDC">
              <w:rPr>
                <w:w w:val="105"/>
                <w:sz w:val="13"/>
              </w:rPr>
              <w:t>for</w:t>
            </w:r>
            <w:r w:rsidRPr="00150EDC">
              <w:rPr>
                <w:spacing w:val="-8"/>
                <w:w w:val="105"/>
                <w:sz w:val="13"/>
              </w:rPr>
              <w:t xml:space="preserve"> </w:t>
            </w:r>
            <w:r w:rsidRPr="00150EDC">
              <w:rPr>
                <w:w w:val="105"/>
                <w:sz w:val="13"/>
              </w:rPr>
              <w:t>reports</w:t>
            </w:r>
            <w:r w:rsidRPr="00150EDC">
              <w:rPr>
                <w:spacing w:val="-8"/>
                <w:w w:val="105"/>
                <w:sz w:val="13"/>
              </w:rPr>
              <w:t xml:space="preserve"> </w:t>
            </w:r>
            <w:r w:rsidRPr="00150EDC">
              <w:rPr>
                <w:w w:val="105"/>
                <w:sz w:val="13"/>
              </w:rPr>
              <w:t>(e.g.,</w:t>
            </w:r>
            <w:r w:rsidRPr="00150EDC">
              <w:rPr>
                <w:spacing w:val="-8"/>
                <w:w w:val="105"/>
                <w:sz w:val="13"/>
              </w:rPr>
              <w:t xml:space="preserve"> </w:t>
            </w:r>
            <w:r w:rsidRPr="00150EDC">
              <w:rPr>
                <w:w w:val="105"/>
                <w:sz w:val="13"/>
              </w:rPr>
              <w:t>financial</w:t>
            </w:r>
            <w:r w:rsidRPr="00150EDC">
              <w:rPr>
                <w:spacing w:val="40"/>
                <w:w w:val="105"/>
                <w:sz w:val="13"/>
              </w:rPr>
              <w:t xml:space="preserve"> </w:t>
            </w:r>
            <w:r w:rsidRPr="00150EDC">
              <w:rPr>
                <w:w w:val="105"/>
                <w:sz w:val="13"/>
              </w:rPr>
              <w:t>reports and information reports) requested</w:t>
            </w:r>
            <w:r w:rsidRPr="00150EDC">
              <w:rPr>
                <w:spacing w:val="-1"/>
                <w:w w:val="105"/>
                <w:sz w:val="13"/>
              </w:rPr>
              <w:t xml:space="preserve"> </w:t>
            </w:r>
            <w:r w:rsidRPr="00150EDC">
              <w:rPr>
                <w:w w:val="105"/>
                <w:sz w:val="13"/>
              </w:rPr>
              <w:t>by</w:t>
            </w:r>
            <w:r w:rsidRPr="00150EDC">
              <w:rPr>
                <w:spacing w:val="40"/>
                <w:w w:val="105"/>
                <w:sz w:val="13"/>
              </w:rPr>
              <w:t xml:space="preserve"> </w:t>
            </w:r>
            <w:r w:rsidRPr="00150EDC">
              <w:rPr>
                <w:w w:val="105"/>
                <w:sz w:val="13"/>
              </w:rPr>
              <w:t>Buyer,</w:t>
            </w:r>
            <w:r w:rsidRPr="00150EDC">
              <w:rPr>
                <w:spacing w:val="-8"/>
                <w:w w:val="105"/>
                <w:sz w:val="13"/>
              </w:rPr>
              <w:t xml:space="preserve"> </w:t>
            </w:r>
            <w:r w:rsidRPr="00150EDC">
              <w:rPr>
                <w:w w:val="105"/>
                <w:sz w:val="13"/>
              </w:rPr>
              <w:t>in</w:t>
            </w:r>
            <w:r w:rsidRPr="00150EDC">
              <w:rPr>
                <w:spacing w:val="-7"/>
                <w:w w:val="105"/>
                <w:sz w:val="13"/>
              </w:rPr>
              <w:t xml:space="preserve"> </w:t>
            </w:r>
            <w:r w:rsidRPr="00150EDC">
              <w:rPr>
                <w:w w:val="105"/>
                <w:sz w:val="13"/>
              </w:rPr>
              <w:t>a</w:t>
            </w:r>
            <w:r w:rsidRPr="00150EDC">
              <w:rPr>
                <w:spacing w:val="-8"/>
                <w:w w:val="105"/>
                <w:sz w:val="13"/>
              </w:rPr>
              <w:t xml:space="preserve"> </w:t>
            </w:r>
            <w:r w:rsidRPr="00150EDC">
              <w:rPr>
                <w:w w:val="105"/>
                <w:sz w:val="13"/>
              </w:rPr>
              <w:t>format</w:t>
            </w:r>
            <w:r w:rsidRPr="00150EDC">
              <w:rPr>
                <w:spacing w:val="-7"/>
                <w:w w:val="105"/>
                <w:sz w:val="13"/>
              </w:rPr>
              <w:t xml:space="preserve"> </w:t>
            </w:r>
            <w:r w:rsidRPr="00150EDC">
              <w:rPr>
                <w:w w:val="105"/>
                <w:sz w:val="13"/>
              </w:rPr>
              <w:t>requested</w:t>
            </w:r>
            <w:r w:rsidRPr="00150EDC">
              <w:rPr>
                <w:spacing w:val="-7"/>
                <w:w w:val="105"/>
                <w:sz w:val="13"/>
              </w:rPr>
              <w:t xml:space="preserve"> </w:t>
            </w:r>
            <w:r w:rsidRPr="00150EDC">
              <w:rPr>
                <w:w w:val="105"/>
                <w:sz w:val="13"/>
              </w:rPr>
              <w:t>by</w:t>
            </w:r>
            <w:r w:rsidRPr="00150EDC">
              <w:rPr>
                <w:spacing w:val="-7"/>
                <w:w w:val="105"/>
                <w:sz w:val="13"/>
              </w:rPr>
              <w:t xml:space="preserve"> </w:t>
            </w:r>
            <w:r w:rsidRPr="00150EDC">
              <w:rPr>
                <w:w w:val="105"/>
                <w:sz w:val="13"/>
              </w:rPr>
              <w:t>Buyer</w:t>
            </w:r>
            <w:r w:rsidRPr="00150EDC">
              <w:rPr>
                <w:spacing w:val="-7"/>
                <w:w w:val="105"/>
                <w:sz w:val="13"/>
              </w:rPr>
              <w:t xml:space="preserve"> </w:t>
            </w:r>
            <w:r w:rsidRPr="00150EDC">
              <w:rPr>
                <w:w w:val="105"/>
                <w:sz w:val="13"/>
              </w:rPr>
              <w:t>within</w:t>
            </w:r>
            <w:r w:rsidRPr="00150EDC">
              <w:rPr>
                <w:spacing w:val="-8"/>
                <w:w w:val="105"/>
                <w:sz w:val="13"/>
              </w:rPr>
              <w:t xml:space="preserve"> </w:t>
            </w:r>
            <w:r w:rsidRPr="00150EDC">
              <w:rPr>
                <w:w w:val="105"/>
                <w:sz w:val="13"/>
              </w:rPr>
              <w:t>5</w:t>
            </w:r>
            <w:r w:rsidRPr="00150EDC">
              <w:rPr>
                <w:spacing w:val="40"/>
                <w:w w:val="105"/>
                <w:sz w:val="13"/>
              </w:rPr>
              <w:t xml:space="preserve"> </w:t>
            </w:r>
            <w:r w:rsidRPr="00150EDC">
              <w:rPr>
                <w:w w:val="105"/>
                <w:sz w:val="13"/>
              </w:rPr>
              <w:t>Working Days of Buyer's request.</w:t>
            </w:r>
          </w:p>
          <w:p w14:paraId="7D2EA6E1" w14:textId="77777777" w:rsidR="004C7180" w:rsidRPr="00150EDC" w:rsidRDefault="004C7180">
            <w:pPr>
              <w:pStyle w:val="TableParagraph"/>
              <w:spacing w:before="6" w:line="240" w:lineRule="auto"/>
              <w:ind w:left="0"/>
              <w:rPr>
                <w:b/>
                <w:sz w:val="15"/>
              </w:rPr>
            </w:pPr>
          </w:p>
          <w:p w14:paraId="01C4FEFA" w14:textId="77777777" w:rsidR="004C7180" w:rsidRPr="00150EDC" w:rsidRDefault="00CF0754">
            <w:pPr>
              <w:pStyle w:val="TableParagraph"/>
              <w:spacing w:before="0" w:line="249" w:lineRule="auto"/>
              <w:ind w:left="82" w:right="152"/>
              <w:rPr>
                <w:i/>
                <w:sz w:val="13"/>
              </w:rPr>
            </w:pPr>
            <w:r w:rsidRPr="00150EDC">
              <w:rPr>
                <w:i/>
                <w:w w:val="105"/>
                <w:sz w:val="13"/>
              </w:rPr>
              <w:t>Measurement:</w:t>
            </w:r>
            <w:r w:rsidRPr="00150EDC">
              <w:rPr>
                <w:i/>
                <w:spacing w:val="-10"/>
                <w:w w:val="105"/>
                <w:sz w:val="13"/>
              </w:rPr>
              <w:t xml:space="preserve"> </w:t>
            </w:r>
            <w:r w:rsidRPr="00150EDC">
              <w:rPr>
                <w:i/>
                <w:w w:val="105"/>
                <w:sz w:val="13"/>
              </w:rPr>
              <w:t>review</w:t>
            </w:r>
            <w:r w:rsidRPr="00150EDC">
              <w:rPr>
                <w:i/>
                <w:spacing w:val="-9"/>
                <w:w w:val="105"/>
                <w:sz w:val="13"/>
              </w:rPr>
              <w:t xml:space="preserve"> </w:t>
            </w:r>
            <w:r w:rsidRPr="00150EDC">
              <w:rPr>
                <w:i/>
                <w:w w:val="105"/>
                <w:sz w:val="13"/>
              </w:rPr>
              <w:t>of</w:t>
            </w:r>
            <w:r w:rsidRPr="00150EDC">
              <w:rPr>
                <w:i/>
                <w:spacing w:val="-8"/>
                <w:w w:val="105"/>
                <w:sz w:val="13"/>
              </w:rPr>
              <w:t xml:space="preserve"> </w:t>
            </w:r>
            <w:r w:rsidRPr="00150EDC">
              <w:rPr>
                <w:i/>
                <w:w w:val="105"/>
                <w:sz w:val="13"/>
              </w:rPr>
              <w:t>if</w:t>
            </w:r>
            <w:r w:rsidRPr="00150EDC">
              <w:rPr>
                <w:i/>
                <w:spacing w:val="-10"/>
                <w:w w:val="105"/>
                <w:sz w:val="13"/>
              </w:rPr>
              <w:t xml:space="preserve"> </w:t>
            </w:r>
            <w:r w:rsidRPr="00150EDC">
              <w:rPr>
                <w:i/>
                <w:w w:val="105"/>
                <w:sz w:val="13"/>
              </w:rPr>
              <w:t>and</w:t>
            </w:r>
            <w:r w:rsidRPr="00150EDC">
              <w:rPr>
                <w:i/>
                <w:spacing w:val="-9"/>
                <w:w w:val="105"/>
                <w:sz w:val="13"/>
              </w:rPr>
              <w:t xml:space="preserve"> </w:t>
            </w:r>
            <w:r w:rsidRPr="00150EDC">
              <w:rPr>
                <w:i/>
                <w:w w:val="105"/>
                <w:sz w:val="13"/>
              </w:rPr>
              <w:t>when</w:t>
            </w:r>
            <w:r w:rsidRPr="00150EDC">
              <w:rPr>
                <w:i/>
                <w:spacing w:val="-9"/>
                <w:w w:val="105"/>
                <w:sz w:val="13"/>
              </w:rPr>
              <w:t xml:space="preserve"> </w:t>
            </w:r>
            <w:r w:rsidRPr="00150EDC">
              <w:rPr>
                <w:i/>
                <w:w w:val="105"/>
                <w:sz w:val="13"/>
              </w:rPr>
              <w:t>reports</w:t>
            </w:r>
            <w:r w:rsidRPr="00150EDC">
              <w:rPr>
                <w:i/>
                <w:spacing w:val="40"/>
                <w:w w:val="105"/>
                <w:sz w:val="13"/>
              </w:rPr>
              <w:t xml:space="preserve"> </w:t>
            </w:r>
            <w:r w:rsidRPr="00150EDC">
              <w:rPr>
                <w:i/>
                <w:w w:val="105"/>
                <w:sz w:val="13"/>
              </w:rPr>
              <w:t>were received by the Buyer.</w:t>
            </w:r>
          </w:p>
        </w:tc>
        <w:tc>
          <w:tcPr>
            <w:tcW w:w="2134" w:type="dxa"/>
            <w:tcBorders>
              <w:top w:val="nil"/>
            </w:tcBorders>
          </w:tcPr>
          <w:p w14:paraId="7D766C65" w14:textId="77777777" w:rsidR="004C7180" w:rsidRPr="00150EDC" w:rsidRDefault="00CF0754">
            <w:pPr>
              <w:pStyle w:val="TableParagraph"/>
              <w:spacing w:before="0" w:line="252" w:lineRule="auto"/>
              <w:ind w:left="81" w:right="172"/>
              <w:jc w:val="both"/>
              <w:rPr>
                <w:sz w:val="13"/>
              </w:rPr>
            </w:pPr>
            <w:r w:rsidRPr="00150EDC">
              <w:rPr>
                <w:b/>
                <w:spacing w:val="-2"/>
                <w:w w:val="105"/>
                <w:sz w:val="13"/>
              </w:rPr>
              <w:t xml:space="preserve">Approaching Target: </w:t>
            </w:r>
            <w:r w:rsidRPr="00150EDC">
              <w:rPr>
                <w:spacing w:val="-2"/>
                <w:w w:val="105"/>
                <w:sz w:val="13"/>
              </w:rPr>
              <w:t>Supplier</w:t>
            </w:r>
            <w:r w:rsidRPr="00150EDC">
              <w:rPr>
                <w:spacing w:val="40"/>
                <w:w w:val="105"/>
                <w:sz w:val="13"/>
              </w:rPr>
              <w:t xml:space="preserve"> </w:t>
            </w:r>
            <w:r w:rsidRPr="00150EDC">
              <w:rPr>
                <w:w w:val="105"/>
                <w:sz w:val="13"/>
              </w:rPr>
              <w:t>provides</w:t>
            </w:r>
            <w:r w:rsidRPr="00150EDC">
              <w:rPr>
                <w:spacing w:val="-10"/>
                <w:w w:val="105"/>
                <w:sz w:val="13"/>
              </w:rPr>
              <w:t xml:space="preserve"> </w:t>
            </w:r>
            <w:r w:rsidRPr="00150EDC">
              <w:rPr>
                <w:w w:val="105"/>
                <w:sz w:val="13"/>
              </w:rPr>
              <w:t>the</w:t>
            </w:r>
            <w:r w:rsidRPr="00150EDC">
              <w:rPr>
                <w:spacing w:val="-9"/>
                <w:w w:val="105"/>
                <w:sz w:val="13"/>
              </w:rPr>
              <w:t xml:space="preserve"> </w:t>
            </w:r>
            <w:r w:rsidRPr="00150EDC">
              <w:rPr>
                <w:w w:val="105"/>
                <w:sz w:val="13"/>
              </w:rPr>
              <w:t>report</w:t>
            </w:r>
            <w:r w:rsidRPr="00150EDC">
              <w:rPr>
                <w:spacing w:val="-8"/>
                <w:w w:val="105"/>
                <w:sz w:val="13"/>
              </w:rPr>
              <w:t xml:space="preserve"> </w:t>
            </w:r>
            <w:r w:rsidRPr="00150EDC">
              <w:rPr>
                <w:w w:val="105"/>
                <w:sz w:val="13"/>
              </w:rPr>
              <w:t>to</w:t>
            </w:r>
            <w:r w:rsidRPr="00150EDC">
              <w:rPr>
                <w:spacing w:val="-8"/>
                <w:w w:val="105"/>
                <w:sz w:val="13"/>
              </w:rPr>
              <w:t xml:space="preserve"> </w:t>
            </w:r>
            <w:r w:rsidRPr="00150EDC">
              <w:rPr>
                <w:w w:val="105"/>
                <w:sz w:val="13"/>
              </w:rPr>
              <w:t>Buyer</w:t>
            </w:r>
            <w:r w:rsidRPr="00150EDC">
              <w:rPr>
                <w:spacing w:val="-10"/>
                <w:w w:val="105"/>
                <w:sz w:val="13"/>
              </w:rPr>
              <w:t xml:space="preserve"> </w:t>
            </w:r>
            <w:r w:rsidRPr="00150EDC">
              <w:rPr>
                <w:w w:val="105"/>
                <w:sz w:val="13"/>
              </w:rPr>
              <w:t>on</w:t>
            </w:r>
            <w:r w:rsidRPr="00150EDC">
              <w:rPr>
                <w:spacing w:val="40"/>
                <w:w w:val="105"/>
                <w:sz w:val="13"/>
              </w:rPr>
              <w:t xml:space="preserve"> </w:t>
            </w:r>
            <w:r w:rsidRPr="00150EDC">
              <w:rPr>
                <w:w w:val="105"/>
                <w:sz w:val="13"/>
              </w:rPr>
              <w:t>day 6 of Buyer's request.</w:t>
            </w:r>
          </w:p>
          <w:p w14:paraId="43296C02" w14:textId="77777777" w:rsidR="004C7180" w:rsidRPr="00150EDC" w:rsidRDefault="00CF0754">
            <w:pPr>
              <w:pStyle w:val="TableParagraph"/>
              <w:spacing w:before="85" w:line="249" w:lineRule="auto"/>
              <w:ind w:left="81" w:right="95"/>
              <w:rPr>
                <w:sz w:val="13"/>
              </w:rPr>
            </w:pPr>
            <w:r w:rsidRPr="00150EDC">
              <w:rPr>
                <w:b/>
                <w:w w:val="105"/>
                <w:sz w:val="13"/>
              </w:rPr>
              <w:t>Requires</w:t>
            </w:r>
            <w:r w:rsidRPr="00150EDC">
              <w:rPr>
                <w:b/>
                <w:spacing w:val="-2"/>
                <w:w w:val="105"/>
                <w:sz w:val="13"/>
              </w:rPr>
              <w:t xml:space="preserve"> </w:t>
            </w:r>
            <w:r w:rsidRPr="00150EDC">
              <w:rPr>
                <w:b/>
                <w:w w:val="105"/>
                <w:sz w:val="13"/>
              </w:rPr>
              <w:t>Improvement:</w:t>
            </w:r>
            <w:r w:rsidRPr="00150EDC">
              <w:rPr>
                <w:b/>
                <w:spacing w:val="40"/>
                <w:w w:val="105"/>
                <w:sz w:val="13"/>
              </w:rPr>
              <w:t xml:space="preserve"> </w:t>
            </w:r>
            <w:r w:rsidRPr="00150EDC">
              <w:rPr>
                <w:w w:val="105"/>
                <w:sz w:val="13"/>
              </w:rPr>
              <w:t>Supplier</w:t>
            </w:r>
            <w:r w:rsidRPr="00150EDC">
              <w:rPr>
                <w:spacing w:val="-10"/>
                <w:w w:val="105"/>
                <w:sz w:val="13"/>
              </w:rPr>
              <w:t xml:space="preserve"> </w:t>
            </w:r>
            <w:r w:rsidRPr="00150EDC">
              <w:rPr>
                <w:w w:val="105"/>
                <w:sz w:val="13"/>
              </w:rPr>
              <w:t>provides</w:t>
            </w:r>
            <w:r w:rsidRPr="00150EDC">
              <w:rPr>
                <w:spacing w:val="-9"/>
                <w:w w:val="105"/>
                <w:sz w:val="13"/>
              </w:rPr>
              <w:t xml:space="preserve"> </w:t>
            </w:r>
            <w:r w:rsidRPr="00150EDC">
              <w:rPr>
                <w:w w:val="105"/>
                <w:sz w:val="13"/>
              </w:rPr>
              <w:t>the</w:t>
            </w:r>
            <w:r w:rsidRPr="00150EDC">
              <w:rPr>
                <w:spacing w:val="-10"/>
                <w:w w:val="105"/>
                <w:sz w:val="13"/>
              </w:rPr>
              <w:t xml:space="preserve"> </w:t>
            </w:r>
            <w:r w:rsidRPr="00150EDC">
              <w:rPr>
                <w:w w:val="105"/>
                <w:sz w:val="13"/>
              </w:rPr>
              <w:t>report</w:t>
            </w:r>
            <w:r w:rsidRPr="00150EDC">
              <w:rPr>
                <w:spacing w:val="-9"/>
                <w:w w:val="105"/>
                <w:sz w:val="13"/>
              </w:rPr>
              <w:t xml:space="preserve"> </w:t>
            </w:r>
            <w:r w:rsidRPr="00150EDC">
              <w:rPr>
                <w:w w:val="105"/>
                <w:sz w:val="13"/>
              </w:rPr>
              <w:t>to</w:t>
            </w:r>
            <w:r w:rsidRPr="00150EDC">
              <w:rPr>
                <w:spacing w:val="40"/>
                <w:w w:val="105"/>
                <w:sz w:val="13"/>
              </w:rPr>
              <w:t xml:space="preserve"> </w:t>
            </w:r>
            <w:r w:rsidRPr="00150EDC">
              <w:rPr>
                <w:w w:val="105"/>
                <w:sz w:val="13"/>
              </w:rPr>
              <w:t>Buyer</w:t>
            </w:r>
            <w:r w:rsidRPr="00150EDC">
              <w:rPr>
                <w:spacing w:val="-3"/>
                <w:w w:val="105"/>
                <w:sz w:val="13"/>
              </w:rPr>
              <w:t xml:space="preserve"> </w:t>
            </w:r>
            <w:r w:rsidRPr="00150EDC">
              <w:rPr>
                <w:w w:val="105"/>
                <w:sz w:val="13"/>
              </w:rPr>
              <w:t>on</w:t>
            </w:r>
            <w:r w:rsidRPr="00150EDC">
              <w:rPr>
                <w:spacing w:val="-1"/>
                <w:w w:val="105"/>
                <w:sz w:val="13"/>
              </w:rPr>
              <w:t xml:space="preserve"> </w:t>
            </w:r>
            <w:r w:rsidRPr="00150EDC">
              <w:rPr>
                <w:w w:val="105"/>
                <w:sz w:val="13"/>
              </w:rPr>
              <w:t>day</w:t>
            </w:r>
            <w:r w:rsidRPr="00150EDC">
              <w:rPr>
                <w:spacing w:val="-1"/>
                <w:w w:val="105"/>
                <w:sz w:val="13"/>
              </w:rPr>
              <w:t xml:space="preserve"> </w:t>
            </w:r>
            <w:r w:rsidRPr="00150EDC">
              <w:rPr>
                <w:w w:val="105"/>
                <w:sz w:val="13"/>
              </w:rPr>
              <w:t>7</w:t>
            </w:r>
            <w:r w:rsidRPr="00150EDC">
              <w:rPr>
                <w:spacing w:val="-3"/>
                <w:w w:val="105"/>
                <w:sz w:val="13"/>
              </w:rPr>
              <w:t xml:space="preserve"> </w:t>
            </w:r>
            <w:r w:rsidRPr="00150EDC">
              <w:rPr>
                <w:w w:val="105"/>
                <w:sz w:val="13"/>
              </w:rPr>
              <w:t>of</w:t>
            </w:r>
            <w:r w:rsidRPr="00150EDC">
              <w:rPr>
                <w:spacing w:val="-1"/>
                <w:w w:val="105"/>
                <w:sz w:val="13"/>
              </w:rPr>
              <w:t xml:space="preserve"> </w:t>
            </w:r>
            <w:r w:rsidRPr="00150EDC">
              <w:rPr>
                <w:w w:val="105"/>
                <w:sz w:val="13"/>
              </w:rPr>
              <w:t>the</w:t>
            </w:r>
            <w:r w:rsidRPr="00150EDC">
              <w:rPr>
                <w:spacing w:val="-1"/>
                <w:w w:val="105"/>
                <w:sz w:val="13"/>
              </w:rPr>
              <w:t xml:space="preserve"> </w:t>
            </w:r>
            <w:r w:rsidRPr="00150EDC">
              <w:rPr>
                <w:w w:val="105"/>
                <w:sz w:val="13"/>
              </w:rPr>
              <w:t>Buyer's</w:t>
            </w:r>
            <w:r w:rsidRPr="00150EDC">
              <w:rPr>
                <w:spacing w:val="40"/>
                <w:w w:val="105"/>
                <w:sz w:val="13"/>
              </w:rPr>
              <w:t xml:space="preserve"> </w:t>
            </w:r>
            <w:r w:rsidRPr="00150EDC">
              <w:rPr>
                <w:spacing w:val="-2"/>
                <w:w w:val="105"/>
                <w:sz w:val="13"/>
              </w:rPr>
              <w:t>request.</w:t>
            </w:r>
          </w:p>
          <w:p w14:paraId="27216950" w14:textId="77777777" w:rsidR="004C7180" w:rsidRPr="00150EDC" w:rsidRDefault="004C7180">
            <w:pPr>
              <w:pStyle w:val="TableParagraph"/>
              <w:spacing w:before="10" w:line="240" w:lineRule="auto"/>
              <w:ind w:left="0"/>
              <w:rPr>
                <w:b/>
                <w:sz w:val="15"/>
              </w:rPr>
            </w:pPr>
          </w:p>
          <w:p w14:paraId="47D1DAB5" w14:textId="77777777" w:rsidR="004C7180" w:rsidRPr="00150EDC" w:rsidRDefault="00CF0754">
            <w:pPr>
              <w:pStyle w:val="TableParagraph"/>
              <w:spacing w:before="1" w:line="252" w:lineRule="auto"/>
              <w:ind w:left="81" w:right="66"/>
              <w:jc w:val="both"/>
              <w:rPr>
                <w:sz w:val="13"/>
              </w:rPr>
            </w:pPr>
            <w:r w:rsidRPr="00150EDC">
              <w:rPr>
                <w:b/>
                <w:w w:val="105"/>
                <w:sz w:val="13"/>
              </w:rPr>
              <w:t xml:space="preserve">Inadequate: </w:t>
            </w:r>
            <w:r w:rsidRPr="00150EDC">
              <w:rPr>
                <w:w w:val="105"/>
                <w:sz w:val="13"/>
              </w:rPr>
              <w:t>Supplier provides</w:t>
            </w:r>
            <w:r w:rsidRPr="00150EDC">
              <w:rPr>
                <w:spacing w:val="40"/>
                <w:w w:val="105"/>
                <w:sz w:val="13"/>
              </w:rPr>
              <w:t xml:space="preserve"> </w:t>
            </w:r>
            <w:r w:rsidRPr="00150EDC">
              <w:rPr>
                <w:w w:val="105"/>
                <w:sz w:val="13"/>
              </w:rPr>
              <w:t>the report to Buyer more than 7</w:t>
            </w:r>
            <w:r w:rsidRPr="00150EDC">
              <w:rPr>
                <w:spacing w:val="40"/>
                <w:w w:val="105"/>
                <w:sz w:val="13"/>
              </w:rPr>
              <w:t xml:space="preserve"> </w:t>
            </w:r>
            <w:r w:rsidRPr="00150EDC">
              <w:rPr>
                <w:w w:val="105"/>
                <w:sz w:val="13"/>
              </w:rPr>
              <w:t>days</w:t>
            </w:r>
            <w:r w:rsidRPr="00150EDC">
              <w:rPr>
                <w:spacing w:val="46"/>
                <w:w w:val="105"/>
                <w:sz w:val="13"/>
              </w:rPr>
              <w:t xml:space="preserve">  </w:t>
            </w:r>
            <w:r w:rsidRPr="00150EDC">
              <w:rPr>
                <w:w w:val="105"/>
                <w:sz w:val="13"/>
              </w:rPr>
              <w:t>following</w:t>
            </w:r>
            <w:r w:rsidRPr="00150EDC">
              <w:rPr>
                <w:spacing w:val="46"/>
                <w:w w:val="105"/>
                <w:sz w:val="13"/>
              </w:rPr>
              <w:t xml:space="preserve">  </w:t>
            </w:r>
            <w:r w:rsidRPr="00150EDC">
              <w:rPr>
                <w:w w:val="105"/>
                <w:sz w:val="13"/>
              </w:rPr>
              <w:t>the</w:t>
            </w:r>
            <w:r w:rsidRPr="00150EDC">
              <w:rPr>
                <w:spacing w:val="47"/>
                <w:w w:val="105"/>
                <w:sz w:val="13"/>
              </w:rPr>
              <w:t xml:space="preserve">  </w:t>
            </w:r>
            <w:r w:rsidRPr="00150EDC">
              <w:rPr>
                <w:spacing w:val="-2"/>
                <w:w w:val="105"/>
                <w:sz w:val="13"/>
              </w:rPr>
              <w:t>Buyer's</w:t>
            </w:r>
          </w:p>
          <w:p w14:paraId="58C037E1" w14:textId="77777777" w:rsidR="004C7180" w:rsidRPr="00150EDC" w:rsidRDefault="00CF0754">
            <w:pPr>
              <w:pStyle w:val="TableParagraph"/>
              <w:spacing w:before="0" w:line="147" w:lineRule="exact"/>
              <w:ind w:left="81"/>
              <w:rPr>
                <w:sz w:val="13"/>
              </w:rPr>
            </w:pPr>
            <w:r w:rsidRPr="00150EDC">
              <w:rPr>
                <w:spacing w:val="-2"/>
                <w:w w:val="105"/>
                <w:sz w:val="13"/>
              </w:rPr>
              <w:t>request.</w:t>
            </w:r>
          </w:p>
        </w:tc>
        <w:tc>
          <w:tcPr>
            <w:tcW w:w="1049" w:type="dxa"/>
            <w:tcBorders>
              <w:top w:val="nil"/>
            </w:tcBorders>
          </w:tcPr>
          <w:p w14:paraId="612CA2AE" w14:textId="77777777" w:rsidR="004C7180" w:rsidRPr="00150EDC" w:rsidRDefault="004C7180">
            <w:pPr>
              <w:pStyle w:val="TableParagraph"/>
              <w:spacing w:before="0" w:line="240" w:lineRule="auto"/>
              <w:ind w:left="0"/>
              <w:rPr>
                <w:rFonts w:ascii="Times New Roman"/>
                <w:sz w:val="12"/>
              </w:rPr>
            </w:pPr>
          </w:p>
        </w:tc>
        <w:tc>
          <w:tcPr>
            <w:tcW w:w="96" w:type="dxa"/>
            <w:vMerge/>
            <w:tcBorders>
              <w:top w:val="nil"/>
              <w:right w:val="nil"/>
            </w:tcBorders>
          </w:tcPr>
          <w:p w14:paraId="0869D54A" w14:textId="77777777" w:rsidR="004C7180" w:rsidRPr="007D3144" w:rsidRDefault="004C7180">
            <w:pPr>
              <w:rPr>
                <w:sz w:val="2"/>
                <w:szCs w:val="2"/>
              </w:rPr>
            </w:pPr>
          </w:p>
        </w:tc>
        <w:tc>
          <w:tcPr>
            <w:tcW w:w="642" w:type="dxa"/>
            <w:tcBorders>
              <w:top w:val="nil"/>
              <w:left w:val="nil"/>
            </w:tcBorders>
            <w:shd w:val="clear" w:color="auto" w:fill="F1F1F1"/>
          </w:tcPr>
          <w:p w14:paraId="5F2836D2" w14:textId="77777777" w:rsidR="004C7180" w:rsidRPr="00150EDC" w:rsidRDefault="004C7180">
            <w:pPr>
              <w:pStyle w:val="TableParagraph"/>
              <w:spacing w:before="0" w:line="240" w:lineRule="auto"/>
              <w:ind w:left="0"/>
              <w:rPr>
                <w:rFonts w:ascii="Times New Roman"/>
                <w:sz w:val="12"/>
              </w:rPr>
            </w:pPr>
          </w:p>
        </w:tc>
        <w:tc>
          <w:tcPr>
            <w:tcW w:w="3262" w:type="dxa"/>
            <w:vMerge/>
            <w:tcBorders>
              <w:top w:val="nil"/>
              <w:bottom w:val="nil"/>
              <w:right w:val="nil"/>
            </w:tcBorders>
            <w:shd w:val="clear" w:color="auto" w:fill="F1F1F1"/>
          </w:tcPr>
          <w:p w14:paraId="24CC064F" w14:textId="77777777" w:rsidR="004C7180" w:rsidRPr="007D3144" w:rsidRDefault="004C7180">
            <w:pPr>
              <w:rPr>
                <w:sz w:val="2"/>
                <w:szCs w:val="2"/>
              </w:rPr>
            </w:pPr>
          </w:p>
        </w:tc>
      </w:tr>
      <w:tr w:rsidR="004569EE" w:rsidRPr="007D3144" w14:paraId="3F9161A1" w14:textId="77777777">
        <w:trPr>
          <w:trHeight w:val="1714"/>
        </w:trPr>
        <w:tc>
          <w:tcPr>
            <w:tcW w:w="1276" w:type="dxa"/>
            <w:shd w:val="clear" w:color="auto" w:fill="F1F1F1"/>
          </w:tcPr>
          <w:p w14:paraId="1945E36C" w14:textId="77777777" w:rsidR="004C7180" w:rsidRPr="00150EDC" w:rsidRDefault="00CF0754">
            <w:pPr>
              <w:pStyle w:val="TableParagraph"/>
              <w:spacing w:before="25" w:line="249" w:lineRule="auto"/>
              <w:ind w:left="81" w:right="126"/>
              <w:rPr>
                <w:b/>
                <w:sz w:val="13"/>
              </w:rPr>
            </w:pPr>
            <w:r w:rsidRPr="00150EDC">
              <w:rPr>
                <w:b/>
                <w:w w:val="105"/>
                <w:sz w:val="13"/>
              </w:rPr>
              <w:t>SLA 8: Project</w:t>
            </w:r>
            <w:r w:rsidRPr="00150EDC">
              <w:rPr>
                <w:b/>
                <w:spacing w:val="40"/>
                <w:w w:val="105"/>
                <w:sz w:val="13"/>
              </w:rPr>
              <w:t xml:space="preserve"> </w:t>
            </w:r>
            <w:r w:rsidRPr="00150EDC">
              <w:rPr>
                <w:b/>
                <w:spacing w:val="-2"/>
                <w:w w:val="105"/>
                <w:sz w:val="13"/>
              </w:rPr>
              <w:t>and</w:t>
            </w:r>
            <w:r w:rsidRPr="00150EDC">
              <w:rPr>
                <w:b/>
                <w:spacing w:val="-8"/>
                <w:w w:val="105"/>
                <w:sz w:val="13"/>
              </w:rPr>
              <w:t xml:space="preserve"> </w:t>
            </w:r>
            <w:r w:rsidRPr="00150EDC">
              <w:rPr>
                <w:b/>
                <w:spacing w:val="-2"/>
                <w:w w:val="105"/>
                <w:sz w:val="13"/>
              </w:rPr>
              <w:t>Programme</w:t>
            </w:r>
            <w:r w:rsidRPr="00150EDC">
              <w:rPr>
                <w:b/>
                <w:spacing w:val="40"/>
                <w:w w:val="105"/>
                <w:sz w:val="13"/>
              </w:rPr>
              <w:t xml:space="preserve"> </w:t>
            </w:r>
            <w:r w:rsidRPr="00150EDC">
              <w:rPr>
                <w:b/>
                <w:w w:val="105"/>
                <w:sz w:val="13"/>
              </w:rPr>
              <w:t>Management</w:t>
            </w:r>
            <w:r w:rsidRPr="00150EDC">
              <w:rPr>
                <w:b/>
                <w:spacing w:val="40"/>
                <w:w w:val="105"/>
                <w:sz w:val="13"/>
              </w:rPr>
              <w:t xml:space="preserve"> </w:t>
            </w:r>
            <w:r w:rsidRPr="00150EDC">
              <w:rPr>
                <w:b/>
                <w:w w:val="105"/>
                <w:sz w:val="13"/>
              </w:rPr>
              <w:t>-</w:t>
            </w:r>
            <w:r w:rsidRPr="00150EDC">
              <w:rPr>
                <w:b/>
                <w:spacing w:val="40"/>
                <w:w w:val="105"/>
                <w:sz w:val="13"/>
              </w:rPr>
              <w:t xml:space="preserve"> </w:t>
            </w:r>
            <w:r w:rsidRPr="00150EDC">
              <w:rPr>
                <w:b/>
                <w:spacing w:val="-2"/>
                <w:w w:val="105"/>
                <w:sz w:val="13"/>
              </w:rPr>
              <w:t>Actions</w:t>
            </w:r>
          </w:p>
        </w:tc>
        <w:tc>
          <w:tcPr>
            <w:tcW w:w="3098" w:type="dxa"/>
          </w:tcPr>
          <w:p w14:paraId="29327044" w14:textId="77777777" w:rsidR="004C7180" w:rsidRPr="00150EDC" w:rsidRDefault="004C7180">
            <w:pPr>
              <w:pStyle w:val="TableParagraph"/>
              <w:spacing w:before="0" w:line="240" w:lineRule="auto"/>
              <w:ind w:left="0"/>
              <w:rPr>
                <w:b/>
                <w:sz w:val="14"/>
              </w:rPr>
            </w:pPr>
          </w:p>
          <w:p w14:paraId="0F09A5DE" w14:textId="77777777" w:rsidR="004C7180" w:rsidRPr="00150EDC" w:rsidRDefault="00CF0754">
            <w:pPr>
              <w:pStyle w:val="TableParagraph"/>
              <w:spacing w:before="124" w:line="268" w:lineRule="auto"/>
              <w:ind w:left="82" w:right="17"/>
              <w:rPr>
                <w:sz w:val="13"/>
              </w:rPr>
            </w:pPr>
            <w:r w:rsidRPr="00150EDC">
              <w:rPr>
                <w:w w:val="105"/>
                <w:sz w:val="13"/>
              </w:rPr>
              <w:t>All action points from scheduled progress</w:t>
            </w:r>
            <w:r w:rsidRPr="00150EDC">
              <w:rPr>
                <w:spacing w:val="40"/>
                <w:w w:val="105"/>
                <w:sz w:val="13"/>
              </w:rPr>
              <w:t xml:space="preserve"> </w:t>
            </w:r>
            <w:r w:rsidRPr="00150EDC">
              <w:rPr>
                <w:w w:val="105"/>
                <w:sz w:val="13"/>
              </w:rPr>
              <w:t>meetings</w:t>
            </w:r>
            <w:r w:rsidRPr="00150EDC">
              <w:rPr>
                <w:spacing w:val="-7"/>
                <w:w w:val="105"/>
                <w:sz w:val="13"/>
              </w:rPr>
              <w:t xml:space="preserve"> </w:t>
            </w:r>
            <w:r w:rsidRPr="00150EDC">
              <w:rPr>
                <w:w w:val="105"/>
                <w:sz w:val="13"/>
              </w:rPr>
              <w:t>to</w:t>
            </w:r>
            <w:r w:rsidRPr="00150EDC">
              <w:rPr>
                <w:spacing w:val="-8"/>
                <w:w w:val="105"/>
                <w:sz w:val="13"/>
              </w:rPr>
              <w:t xml:space="preserve"> </w:t>
            </w:r>
            <w:r w:rsidRPr="00150EDC">
              <w:rPr>
                <w:w w:val="105"/>
                <w:sz w:val="13"/>
              </w:rPr>
              <w:t>be</w:t>
            </w:r>
            <w:r w:rsidRPr="00150EDC">
              <w:rPr>
                <w:spacing w:val="-8"/>
                <w:w w:val="105"/>
                <w:sz w:val="13"/>
              </w:rPr>
              <w:t xml:space="preserve"> </w:t>
            </w:r>
            <w:r w:rsidRPr="00150EDC">
              <w:rPr>
                <w:w w:val="105"/>
                <w:sz w:val="13"/>
              </w:rPr>
              <w:t>circulated</w:t>
            </w:r>
            <w:r w:rsidRPr="00150EDC">
              <w:rPr>
                <w:spacing w:val="-8"/>
                <w:w w:val="105"/>
                <w:sz w:val="13"/>
              </w:rPr>
              <w:t xml:space="preserve"> </w:t>
            </w:r>
            <w:r w:rsidRPr="00150EDC">
              <w:rPr>
                <w:w w:val="105"/>
                <w:sz w:val="13"/>
              </w:rPr>
              <w:t>by</w:t>
            </w:r>
            <w:r w:rsidRPr="00150EDC">
              <w:rPr>
                <w:spacing w:val="-7"/>
                <w:w w:val="105"/>
                <w:sz w:val="13"/>
              </w:rPr>
              <w:t xml:space="preserve"> </w:t>
            </w:r>
            <w:r w:rsidRPr="00150EDC">
              <w:rPr>
                <w:w w:val="105"/>
                <w:sz w:val="13"/>
              </w:rPr>
              <w:t>the</w:t>
            </w:r>
            <w:r w:rsidRPr="00150EDC">
              <w:rPr>
                <w:spacing w:val="-7"/>
                <w:w w:val="105"/>
                <w:sz w:val="13"/>
              </w:rPr>
              <w:t xml:space="preserve"> </w:t>
            </w:r>
            <w:r w:rsidRPr="00150EDC">
              <w:rPr>
                <w:w w:val="105"/>
                <w:sz w:val="13"/>
              </w:rPr>
              <w:t>Supplier</w:t>
            </w:r>
            <w:r w:rsidRPr="00150EDC">
              <w:rPr>
                <w:spacing w:val="-8"/>
                <w:w w:val="105"/>
                <w:sz w:val="13"/>
              </w:rPr>
              <w:t xml:space="preserve"> </w:t>
            </w:r>
            <w:r w:rsidRPr="00150EDC">
              <w:rPr>
                <w:w w:val="105"/>
                <w:sz w:val="13"/>
              </w:rPr>
              <w:t>to</w:t>
            </w:r>
            <w:r w:rsidRPr="00150EDC">
              <w:rPr>
                <w:spacing w:val="-7"/>
                <w:w w:val="105"/>
                <w:sz w:val="13"/>
              </w:rPr>
              <w:t xml:space="preserve"> </w:t>
            </w:r>
            <w:r w:rsidRPr="00150EDC">
              <w:rPr>
                <w:w w:val="105"/>
                <w:sz w:val="13"/>
              </w:rPr>
              <w:t>the</w:t>
            </w:r>
            <w:r w:rsidRPr="00150EDC">
              <w:rPr>
                <w:spacing w:val="40"/>
                <w:w w:val="105"/>
                <w:sz w:val="13"/>
              </w:rPr>
              <w:t xml:space="preserve"> </w:t>
            </w:r>
            <w:r w:rsidRPr="00150EDC">
              <w:rPr>
                <w:w w:val="105"/>
                <w:sz w:val="13"/>
              </w:rPr>
              <w:t>Buyer within three days of the meeting.</w:t>
            </w:r>
          </w:p>
          <w:p w14:paraId="002CDBDE" w14:textId="77777777" w:rsidR="004C7180" w:rsidRPr="00150EDC" w:rsidRDefault="004C7180">
            <w:pPr>
              <w:pStyle w:val="TableParagraph"/>
              <w:spacing w:before="10" w:line="240" w:lineRule="auto"/>
              <w:ind w:left="0"/>
              <w:rPr>
                <w:b/>
                <w:sz w:val="15"/>
              </w:rPr>
            </w:pPr>
          </w:p>
          <w:p w14:paraId="53FB7930" w14:textId="77777777" w:rsidR="004C7180" w:rsidRPr="00150EDC" w:rsidRDefault="00CF0754">
            <w:pPr>
              <w:pStyle w:val="TableParagraph"/>
              <w:spacing w:before="0" w:line="249" w:lineRule="auto"/>
              <w:ind w:left="82" w:right="152"/>
              <w:rPr>
                <w:i/>
                <w:sz w:val="13"/>
              </w:rPr>
            </w:pPr>
            <w:r w:rsidRPr="00150EDC">
              <w:rPr>
                <w:i/>
                <w:w w:val="105"/>
                <w:sz w:val="13"/>
              </w:rPr>
              <w:t>Measurement:</w:t>
            </w:r>
            <w:r w:rsidRPr="00150EDC">
              <w:rPr>
                <w:i/>
                <w:spacing w:val="-9"/>
                <w:w w:val="105"/>
                <w:sz w:val="13"/>
              </w:rPr>
              <w:t xml:space="preserve"> </w:t>
            </w:r>
            <w:r w:rsidRPr="00150EDC">
              <w:rPr>
                <w:i/>
                <w:w w:val="105"/>
                <w:sz w:val="13"/>
              </w:rPr>
              <w:t>review</w:t>
            </w:r>
            <w:r w:rsidRPr="00150EDC">
              <w:rPr>
                <w:i/>
                <w:spacing w:val="-9"/>
                <w:w w:val="105"/>
                <w:sz w:val="13"/>
              </w:rPr>
              <w:t xml:space="preserve"> </w:t>
            </w:r>
            <w:r w:rsidRPr="00150EDC">
              <w:rPr>
                <w:i/>
                <w:w w:val="105"/>
                <w:sz w:val="13"/>
              </w:rPr>
              <w:t>of</w:t>
            </w:r>
            <w:r w:rsidRPr="00150EDC">
              <w:rPr>
                <w:i/>
                <w:spacing w:val="-9"/>
                <w:w w:val="105"/>
                <w:sz w:val="13"/>
              </w:rPr>
              <w:t xml:space="preserve"> </w:t>
            </w:r>
            <w:r w:rsidRPr="00150EDC">
              <w:rPr>
                <w:i/>
                <w:w w:val="105"/>
                <w:sz w:val="13"/>
              </w:rPr>
              <w:t>if</w:t>
            </w:r>
            <w:r w:rsidRPr="00150EDC">
              <w:rPr>
                <w:i/>
                <w:spacing w:val="-10"/>
                <w:w w:val="105"/>
                <w:sz w:val="13"/>
              </w:rPr>
              <w:t xml:space="preserve"> </w:t>
            </w:r>
            <w:r w:rsidRPr="00150EDC">
              <w:rPr>
                <w:i/>
                <w:w w:val="105"/>
                <w:sz w:val="13"/>
              </w:rPr>
              <w:t>and</w:t>
            </w:r>
            <w:r w:rsidRPr="00150EDC">
              <w:rPr>
                <w:i/>
                <w:spacing w:val="-9"/>
                <w:w w:val="105"/>
                <w:sz w:val="13"/>
              </w:rPr>
              <w:t xml:space="preserve"> </w:t>
            </w:r>
            <w:r w:rsidRPr="00150EDC">
              <w:rPr>
                <w:i/>
                <w:w w:val="105"/>
                <w:sz w:val="13"/>
              </w:rPr>
              <w:t>when</w:t>
            </w:r>
            <w:r w:rsidRPr="00150EDC">
              <w:rPr>
                <w:i/>
                <w:spacing w:val="-8"/>
                <w:w w:val="105"/>
                <w:sz w:val="13"/>
              </w:rPr>
              <w:t xml:space="preserve"> </w:t>
            </w:r>
            <w:r w:rsidRPr="00150EDC">
              <w:rPr>
                <w:i/>
                <w:w w:val="105"/>
                <w:sz w:val="13"/>
              </w:rPr>
              <w:t>action</w:t>
            </w:r>
            <w:r w:rsidRPr="00150EDC">
              <w:rPr>
                <w:i/>
                <w:spacing w:val="40"/>
                <w:w w:val="105"/>
                <w:sz w:val="13"/>
              </w:rPr>
              <w:t xml:space="preserve"> </w:t>
            </w:r>
            <w:r w:rsidRPr="00150EDC">
              <w:rPr>
                <w:i/>
                <w:w w:val="105"/>
                <w:sz w:val="13"/>
              </w:rPr>
              <w:t>points were received by the Buyer.</w:t>
            </w:r>
          </w:p>
        </w:tc>
        <w:tc>
          <w:tcPr>
            <w:tcW w:w="2134" w:type="dxa"/>
          </w:tcPr>
          <w:p w14:paraId="7165005A" w14:textId="77777777" w:rsidR="004C7180" w:rsidRPr="00150EDC" w:rsidRDefault="00CF0754">
            <w:pPr>
              <w:pStyle w:val="TableParagraph"/>
              <w:spacing w:before="115" w:line="249" w:lineRule="auto"/>
              <w:ind w:left="81" w:right="95"/>
              <w:rPr>
                <w:sz w:val="13"/>
              </w:rPr>
            </w:pPr>
            <w:r w:rsidRPr="00150EDC">
              <w:rPr>
                <w:b/>
                <w:w w:val="105"/>
                <w:sz w:val="13"/>
              </w:rPr>
              <w:t xml:space="preserve">Good: </w:t>
            </w:r>
            <w:r w:rsidRPr="00150EDC">
              <w:rPr>
                <w:w w:val="105"/>
                <w:sz w:val="13"/>
              </w:rPr>
              <w:t>Supplier provides action</w:t>
            </w:r>
            <w:r w:rsidRPr="00150EDC">
              <w:rPr>
                <w:spacing w:val="40"/>
                <w:w w:val="105"/>
                <w:sz w:val="13"/>
              </w:rPr>
              <w:t xml:space="preserve"> </w:t>
            </w:r>
            <w:r w:rsidRPr="00150EDC">
              <w:rPr>
                <w:w w:val="105"/>
                <w:sz w:val="13"/>
              </w:rPr>
              <w:t>points</w:t>
            </w:r>
            <w:r w:rsidRPr="00150EDC">
              <w:rPr>
                <w:spacing w:val="-10"/>
                <w:w w:val="105"/>
                <w:sz w:val="13"/>
              </w:rPr>
              <w:t xml:space="preserve"> </w:t>
            </w:r>
            <w:r w:rsidRPr="00150EDC">
              <w:rPr>
                <w:w w:val="105"/>
                <w:sz w:val="13"/>
              </w:rPr>
              <w:t>to</w:t>
            </w:r>
            <w:r w:rsidRPr="00150EDC">
              <w:rPr>
                <w:spacing w:val="-9"/>
                <w:w w:val="105"/>
                <w:sz w:val="13"/>
              </w:rPr>
              <w:t xml:space="preserve"> </w:t>
            </w:r>
            <w:r w:rsidRPr="00150EDC">
              <w:rPr>
                <w:w w:val="105"/>
                <w:sz w:val="13"/>
              </w:rPr>
              <w:t>Buyer</w:t>
            </w:r>
            <w:r w:rsidRPr="00150EDC">
              <w:rPr>
                <w:spacing w:val="-10"/>
                <w:w w:val="105"/>
                <w:sz w:val="13"/>
              </w:rPr>
              <w:t xml:space="preserve"> </w:t>
            </w:r>
            <w:r w:rsidRPr="00150EDC">
              <w:rPr>
                <w:w w:val="105"/>
                <w:sz w:val="13"/>
              </w:rPr>
              <w:t>within</w:t>
            </w:r>
            <w:r w:rsidRPr="00150EDC">
              <w:rPr>
                <w:spacing w:val="-9"/>
                <w:w w:val="105"/>
                <w:sz w:val="13"/>
              </w:rPr>
              <w:t xml:space="preserve"> </w:t>
            </w:r>
            <w:r w:rsidRPr="00150EDC">
              <w:rPr>
                <w:w w:val="105"/>
                <w:sz w:val="13"/>
              </w:rPr>
              <w:t>more</w:t>
            </w:r>
            <w:r w:rsidRPr="00150EDC">
              <w:rPr>
                <w:spacing w:val="-10"/>
                <w:w w:val="105"/>
                <w:sz w:val="13"/>
              </w:rPr>
              <w:t xml:space="preserve"> </w:t>
            </w:r>
            <w:r w:rsidRPr="00150EDC">
              <w:rPr>
                <w:w w:val="105"/>
                <w:sz w:val="13"/>
              </w:rPr>
              <w:t>than</w:t>
            </w:r>
            <w:r w:rsidRPr="00150EDC">
              <w:rPr>
                <w:spacing w:val="40"/>
                <w:w w:val="105"/>
                <w:sz w:val="13"/>
              </w:rPr>
              <w:t xml:space="preserve"> </w:t>
            </w:r>
            <w:r w:rsidRPr="00150EDC">
              <w:rPr>
                <w:w w:val="105"/>
                <w:sz w:val="13"/>
              </w:rPr>
              <w:t>3 days before the meeting.</w:t>
            </w:r>
          </w:p>
          <w:p w14:paraId="4ACB63B9" w14:textId="77777777" w:rsidR="004C7180" w:rsidRPr="00150EDC" w:rsidRDefault="00CF0754">
            <w:pPr>
              <w:pStyle w:val="TableParagraph"/>
              <w:spacing w:before="91" w:line="252" w:lineRule="auto"/>
              <w:ind w:left="81" w:right="172"/>
              <w:jc w:val="both"/>
              <w:rPr>
                <w:sz w:val="13"/>
              </w:rPr>
            </w:pPr>
            <w:r w:rsidRPr="00150EDC">
              <w:rPr>
                <w:b/>
                <w:spacing w:val="-2"/>
                <w:w w:val="105"/>
                <w:sz w:val="13"/>
              </w:rPr>
              <w:t xml:space="preserve">Approaching Target: </w:t>
            </w:r>
            <w:r w:rsidRPr="00150EDC">
              <w:rPr>
                <w:spacing w:val="-2"/>
                <w:w w:val="105"/>
                <w:sz w:val="13"/>
              </w:rPr>
              <w:t>Supplier</w:t>
            </w:r>
            <w:r w:rsidRPr="00150EDC">
              <w:rPr>
                <w:spacing w:val="40"/>
                <w:w w:val="105"/>
                <w:sz w:val="13"/>
              </w:rPr>
              <w:t xml:space="preserve"> </w:t>
            </w:r>
            <w:r w:rsidRPr="00150EDC">
              <w:rPr>
                <w:w w:val="105"/>
                <w:sz w:val="13"/>
              </w:rPr>
              <w:t>provides</w:t>
            </w:r>
            <w:r w:rsidRPr="00150EDC">
              <w:rPr>
                <w:spacing w:val="-10"/>
                <w:w w:val="105"/>
                <w:sz w:val="13"/>
              </w:rPr>
              <w:t xml:space="preserve"> </w:t>
            </w:r>
            <w:r w:rsidRPr="00150EDC">
              <w:rPr>
                <w:w w:val="105"/>
                <w:sz w:val="13"/>
              </w:rPr>
              <w:t>action</w:t>
            </w:r>
            <w:r w:rsidRPr="00150EDC">
              <w:rPr>
                <w:spacing w:val="-9"/>
                <w:w w:val="105"/>
                <w:sz w:val="13"/>
              </w:rPr>
              <w:t xml:space="preserve"> </w:t>
            </w:r>
            <w:r w:rsidRPr="00150EDC">
              <w:rPr>
                <w:w w:val="105"/>
                <w:sz w:val="13"/>
              </w:rPr>
              <w:t>points</w:t>
            </w:r>
            <w:r w:rsidRPr="00150EDC">
              <w:rPr>
                <w:spacing w:val="-9"/>
                <w:w w:val="105"/>
                <w:sz w:val="13"/>
              </w:rPr>
              <w:t xml:space="preserve"> </w:t>
            </w:r>
            <w:r w:rsidRPr="00150EDC">
              <w:rPr>
                <w:w w:val="105"/>
                <w:sz w:val="13"/>
              </w:rPr>
              <w:t>to</w:t>
            </w:r>
            <w:r w:rsidRPr="00150EDC">
              <w:rPr>
                <w:spacing w:val="-9"/>
                <w:w w:val="105"/>
                <w:sz w:val="13"/>
              </w:rPr>
              <w:t xml:space="preserve"> </w:t>
            </w:r>
            <w:r w:rsidRPr="00150EDC">
              <w:rPr>
                <w:w w:val="105"/>
                <w:sz w:val="13"/>
              </w:rPr>
              <w:t>Buyer</w:t>
            </w:r>
            <w:r w:rsidRPr="00150EDC">
              <w:rPr>
                <w:spacing w:val="40"/>
                <w:w w:val="105"/>
                <w:sz w:val="13"/>
              </w:rPr>
              <w:t xml:space="preserve"> </w:t>
            </w:r>
            <w:r w:rsidRPr="00150EDC">
              <w:rPr>
                <w:w w:val="105"/>
                <w:sz w:val="13"/>
              </w:rPr>
              <w:t>within 3 days of the meeting.</w:t>
            </w:r>
          </w:p>
          <w:p w14:paraId="77BD80C0" w14:textId="77777777" w:rsidR="004C7180" w:rsidRPr="00150EDC" w:rsidRDefault="00CF0754">
            <w:pPr>
              <w:pStyle w:val="TableParagraph"/>
              <w:spacing w:before="87" w:line="150" w:lineRule="atLeast"/>
              <w:ind w:left="81" w:right="119"/>
              <w:rPr>
                <w:sz w:val="13"/>
              </w:rPr>
            </w:pPr>
            <w:r w:rsidRPr="00150EDC">
              <w:rPr>
                <w:b/>
                <w:w w:val="105"/>
                <w:sz w:val="13"/>
              </w:rPr>
              <w:t>Requires</w:t>
            </w:r>
            <w:r w:rsidRPr="00150EDC">
              <w:rPr>
                <w:b/>
                <w:spacing w:val="-2"/>
                <w:w w:val="105"/>
                <w:sz w:val="13"/>
              </w:rPr>
              <w:t xml:space="preserve"> </w:t>
            </w:r>
            <w:r w:rsidRPr="00150EDC">
              <w:rPr>
                <w:b/>
                <w:w w:val="105"/>
                <w:sz w:val="13"/>
              </w:rPr>
              <w:t>Improvement:</w:t>
            </w:r>
            <w:r w:rsidRPr="00150EDC">
              <w:rPr>
                <w:b/>
                <w:spacing w:val="40"/>
                <w:w w:val="105"/>
                <w:sz w:val="13"/>
              </w:rPr>
              <w:t xml:space="preserve"> </w:t>
            </w:r>
            <w:r w:rsidRPr="00150EDC">
              <w:rPr>
                <w:w w:val="105"/>
                <w:sz w:val="13"/>
              </w:rPr>
              <w:t>Supplier</w:t>
            </w:r>
            <w:r w:rsidRPr="00150EDC">
              <w:rPr>
                <w:spacing w:val="-10"/>
                <w:w w:val="105"/>
                <w:sz w:val="13"/>
              </w:rPr>
              <w:t xml:space="preserve"> </w:t>
            </w:r>
            <w:r w:rsidRPr="00150EDC">
              <w:rPr>
                <w:w w:val="105"/>
                <w:sz w:val="13"/>
              </w:rPr>
              <w:t>provides</w:t>
            </w:r>
            <w:r w:rsidRPr="00150EDC">
              <w:rPr>
                <w:spacing w:val="-9"/>
                <w:w w:val="105"/>
                <w:sz w:val="13"/>
              </w:rPr>
              <w:t xml:space="preserve"> </w:t>
            </w:r>
            <w:r w:rsidRPr="00150EDC">
              <w:rPr>
                <w:w w:val="105"/>
                <w:sz w:val="13"/>
              </w:rPr>
              <w:t>action</w:t>
            </w:r>
            <w:r w:rsidRPr="00150EDC">
              <w:rPr>
                <w:spacing w:val="-10"/>
                <w:w w:val="105"/>
                <w:sz w:val="13"/>
              </w:rPr>
              <w:t xml:space="preserve"> </w:t>
            </w:r>
            <w:r w:rsidRPr="00150EDC">
              <w:rPr>
                <w:w w:val="105"/>
                <w:sz w:val="13"/>
              </w:rPr>
              <w:t>points</w:t>
            </w:r>
            <w:r w:rsidRPr="00150EDC">
              <w:rPr>
                <w:spacing w:val="40"/>
                <w:w w:val="105"/>
                <w:sz w:val="13"/>
              </w:rPr>
              <w:t xml:space="preserve"> </w:t>
            </w:r>
            <w:r w:rsidRPr="00150EDC">
              <w:rPr>
                <w:w w:val="105"/>
                <w:sz w:val="13"/>
              </w:rPr>
              <w:t>to Buyer more than 3 days</w:t>
            </w:r>
          </w:p>
        </w:tc>
        <w:tc>
          <w:tcPr>
            <w:tcW w:w="1049" w:type="dxa"/>
          </w:tcPr>
          <w:p w14:paraId="3C015011" w14:textId="77777777" w:rsidR="004C7180" w:rsidRPr="00150EDC" w:rsidRDefault="004C7180">
            <w:pPr>
              <w:pStyle w:val="TableParagraph"/>
              <w:spacing w:before="10" w:line="240" w:lineRule="auto"/>
              <w:ind w:left="0"/>
              <w:rPr>
                <w:b/>
                <w:sz w:val="17"/>
              </w:rPr>
            </w:pPr>
          </w:p>
          <w:p w14:paraId="19698202" w14:textId="77777777" w:rsidR="004C7180" w:rsidRPr="00150EDC" w:rsidRDefault="00CF0754">
            <w:pPr>
              <w:pStyle w:val="TableParagraph"/>
              <w:spacing w:before="0" w:line="249" w:lineRule="auto"/>
              <w:ind w:left="82" w:right="113"/>
              <w:rPr>
                <w:sz w:val="13"/>
              </w:rPr>
            </w:pPr>
            <w:r w:rsidRPr="00150EDC">
              <w:rPr>
                <w:w w:val="105"/>
                <w:sz w:val="13"/>
              </w:rPr>
              <w:t>Supplier</w:t>
            </w:r>
            <w:r w:rsidRPr="00150EDC">
              <w:rPr>
                <w:spacing w:val="-10"/>
                <w:w w:val="105"/>
                <w:sz w:val="13"/>
              </w:rPr>
              <w:t xml:space="preserve"> </w:t>
            </w:r>
            <w:r w:rsidRPr="00150EDC">
              <w:rPr>
                <w:w w:val="105"/>
                <w:sz w:val="13"/>
              </w:rPr>
              <w:t>to</w:t>
            </w:r>
            <w:r w:rsidRPr="00150EDC">
              <w:rPr>
                <w:spacing w:val="-9"/>
                <w:w w:val="105"/>
                <w:sz w:val="13"/>
              </w:rPr>
              <w:t xml:space="preserve"> </w:t>
            </w:r>
            <w:r w:rsidRPr="00150EDC">
              <w:rPr>
                <w:w w:val="105"/>
                <w:sz w:val="13"/>
              </w:rPr>
              <w:t>be</w:t>
            </w:r>
            <w:r w:rsidRPr="00150EDC">
              <w:rPr>
                <w:spacing w:val="40"/>
                <w:w w:val="105"/>
                <w:sz w:val="13"/>
              </w:rPr>
              <w:t xml:space="preserve"> </w:t>
            </w:r>
            <w:r w:rsidRPr="00150EDC">
              <w:rPr>
                <w:w w:val="105"/>
                <w:sz w:val="13"/>
              </w:rPr>
              <w:t>rated</w:t>
            </w:r>
            <w:r w:rsidRPr="00150EDC">
              <w:rPr>
                <w:spacing w:val="-2"/>
                <w:w w:val="105"/>
                <w:sz w:val="13"/>
              </w:rPr>
              <w:t xml:space="preserve"> </w:t>
            </w:r>
            <w:r w:rsidRPr="00150EDC">
              <w:rPr>
                <w:w w:val="105"/>
                <w:sz w:val="13"/>
              </w:rPr>
              <w:t>as</w:t>
            </w:r>
            <w:r w:rsidRPr="00150EDC">
              <w:rPr>
                <w:spacing w:val="40"/>
                <w:w w:val="105"/>
                <w:sz w:val="13"/>
              </w:rPr>
              <w:t xml:space="preserve"> </w:t>
            </w:r>
            <w:r w:rsidRPr="00150EDC">
              <w:rPr>
                <w:w w:val="105"/>
                <w:sz w:val="13"/>
              </w:rPr>
              <w:t>‘Good’</w:t>
            </w:r>
            <w:r w:rsidRPr="00150EDC">
              <w:rPr>
                <w:spacing w:val="-6"/>
                <w:w w:val="105"/>
                <w:sz w:val="13"/>
              </w:rPr>
              <w:t xml:space="preserve"> </w:t>
            </w:r>
            <w:r w:rsidRPr="00150EDC">
              <w:rPr>
                <w:w w:val="105"/>
                <w:sz w:val="13"/>
              </w:rPr>
              <w:t>or</w:t>
            </w:r>
            <w:r w:rsidRPr="00150EDC">
              <w:rPr>
                <w:spacing w:val="40"/>
                <w:w w:val="105"/>
                <w:sz w:val="13"/>
              </w:rPr>
              <w:t xml:space="preserve"> </w:t>
            </w:r>
            <w:r w:rsidRPr="00150EDC">
              <w:rPr>
                <w:spacing w:val="-2"/>
                <w:w w:val="105"/>
                <w:sz w:val="13"/>
              </w:rPr>
              <w:t>‘Approaching</w:t>
            </w:r>
            <w:r w:rsidRPr="00150EDC">
              <w:rPr>
                <w:spacing w:val="40"/>
                <w:w w:val="105"/>
                <w:sz w:val="13"/>
              </w:rPr>
              <w:t xml:space="preserve"> </w:t>
            </w:r>
            <w:r w:rsidRPr="00150EDC">
              <w:rPr>
                <w:spacing w:val="-2"/>
                <w:w w:val="105"/>
                <w:sz w:val="13"/>
              </w:rPr>
              <w:t>Target’.</w:t>
            </w:r>
          </w:p>
        </w:tc>
        <w:tc>
          <w:tcPr>
            <w:tcW w:w="96" w:type="dxa"/>
            <w:tcBorders>
              <w:right w:val="nil"/>
            </w:tcBorders>
          </w:tcPr>
          <w:p w14:paraId="7FAD346E" w14:textId="77777777" w:rsidR="004C7180" w:rsidRPr="00150EDC" w:rsidRDefault="004C7180">
            <w:pPr>
              <w:pStyle w:val="TableParagraph"/>
              <w:spacing w:before="0" w:line="240" w:lineRule="auto"/>
              <w:ind w:left="0"/>
              <w:rPr>
                <w:rFonts w:ascii="Times New Roman"/>
                <w:sz w:val="12"/>
              </w:rPr>
            </w:pPr>
          </w:p>
        </w:tc>
        <w:tc>
          <w:tcPr>
            <w:tcW w:w="642" w:type="dxa"/>
            <w:tcBorders>
              <w:left w:val="nil"/>
            </w:tcBorders>
            <w:shd w:val="clear" w:color="auto" w:fill="F1F1F1"/>
          </w:tcPr>
          <w:p w14:paraId="32C15886" w14:textId="77777777" w:rsidR="004C7180" w:rsidRPr="00150EDC" w:rsidRDefault="004C7180">
            <w:pPr>
              <w:pStyle w:val="TableParagraph"/>
              <w:spacing w:before="10" w:line="240" w:lineRule="auto"/>
              <w:ind w:left="0"/>
              <w:rPr>
                <w:b/>
                <w:sz w:val="17"/>
              </w:rPr>
            </w:pPr>
          </w:p>
          <w:p w14:paraId="3E6DCA32" w14:textId="77777777" w:rsidR="004C7180" w:rsidRPr="00150EDC" w:rsidRDefault="00CF0754">
            <w:pPr>
              <w:pStyle w:val="TableParagraph"/>
              <w:spacing w:before="0" w:line="240" w:lineRule="auto"/>
              <w:ind w:left="-7"/>
              <w:rPr>
                <w:sz w:val="13"/>
              </w:rPr>
            </w:pPr>
            <w:r w:rsidRPr="00150EDC">
              <w:rPr>
                <w:spacing w:val="-5"/>
                <w:w w:val="105"/>
                <w:sz w:val="13"/>
              </w:rPr>
              <w:t>0%</w:t>
            </w:r>
          </w:p>
        </w:tc>
        <w:tc>
          <w:tcPr>
            <w:tcW w:w="3262" w:type="dxa"/>
            <w:vMerge/>
            <w:tcBorders>
              <w:top w:val="nil"/>
              <w:bottom w:val="nil"/>
              <w:right w:val="nil"/>
            </w:tcBorders>
            <w:shd w:val="clear" w:color="auto" w:fill="F1F1F1"/>
          </w:tcPr>
          <w:p w14:paraId="14F2BEE0" w14:textId="77777777" w:rsidR="004C7180" w:rsidRPr="007D3144" w:rsidRDefault="004C7180">
            <w:pPr>
              <w:rPr>
                <w:sz w:val="2"/>
                <w:szCs w:val="2"/>
              </w:rPr>
            </w:pPr>
          </w:p>
        </w:tc>
      </w:tr>
      <w:tr w:rsidR="004569EE" w:rsidRPr="007D3144" w14:paraId="7617E105" w14:textId="77777777">
        <w:trPr>
          <w:trHeight w:val="1360"/>
        </w:trPr>
        <w:tc>
          <w:tcPr>
            <w:tcW w:w="4374" w:type="dxa"/>
            <w:gridSpan w:val="2"/>
            <w:tcBorders>
              <w:left w:val="nil"/>
              <w:bottom w:val="nil"/>
              <w:right w:val="nil"/>
            </w:tcBorders>
          </w:tcPr>
          <w:p w14:paraId="475B378D" w14:textId="77777777" w:rsidR="004C7180" w:rsidRPr="00150EDC" w:rsidRDefault="004C7180">
            <w:pPr>
              <w:pStyle w:val="TableParagraph"/>
              <w:spacing w:before="0" w:line="240" w:lineRule="auto"/>
              <w:ind w:left="0"/>
              <w:rPr>
                <w:b/>
                <w:sz w:val="16"/>
              </w:rPr>
            </w:pPr>
          </w:p>
          <w:p w14:paraId="116F02CD" w14:textId="77777777" w:rsidR="004C7180" w:rsidRPr="00150EDC" w:rsidRDefault="00CF0754">
            <w:pPr>
              <w:pStyle w:val="TableParagraph"/>
              <w:spacing w:before="122" w:line="240" w:lineRule="auto"/>
              <w:ind w:left="755"/>
              <w:rPr>
                <w:sz w:val="15"/>
              </w:rPr>
            </w:pPr>
            <w:r w:rsidRPr="00150EDC">
              <w:rPr>
                <w:sz w:val="15"/>
              </w:rPr>
              <w:t>DPS</w:t>
            </w:r>
            <w:r w:rsidRPr="00150EDC">
              <w:rPr>
                <w:spacing w:val="-3"/>
                <w:sz w:val="15"/>
              </w:rPr>
              <w:t xml:space="preserve"> </w:t>
            </w:r>
            <w:r w:rsidRPr="00150EDC">
              <w:rPr>
                <w:sz w:val="15"/>
              </w:rPr>
              <w:t xml:space="preserve">Ref: </w:t>
            </w:r>
            <w:r w:rsidRPr="00150EDC">
              <w:rPr>
                <w:spacing w:val="-2"/>
                <w:sz w:val="15"/>
              </w:rPr>
              <w:t>RM6322</w:t>
            </w:r>
          </w:p>
          <w:p w14:paraId="6ACB3F7F" w14:textId="77777777" w:rsidR="004C7180" w:rsidRPr="00150EDC" w:rsidRDefault="00CF0754">
            <w:pPr>
              <w:pStyle w:val="TableParagraph"/>
              <w:spacing w:before="1" w:line="240" w:lineRule="auto"/>
              <w:ind w:left="755" w:right="1867"/>
              <w:rPr>
                <w:sz w:val="15"/>
              </w:rPr>
            </w:pPr>
            <w:r w:rsidRPr="00150EDC">
              <w:rPr>
                <w:sz w:val="15"/>
              </w:rPr>
              <w:t>Project</w:t>
            </w:r>
            <w:r w:rsidRPr="00150EDC">
              <w:rPr>
                <w:spacing w:val="-11"/>
                <w:sz w:val="15"/>
              </w:rPr>
              <w:t xml:space="preserve"> </w:t>
            </w:r>
            <w:r w:rsidRPr="00150EDC">
              <w:rPr>
                <w:sz w:val="15"/>
              </w:rPr>
              <w:t>Version:</w:t>
            </w:r>
            <w:r w:rsidRPr="00150EDC">
              <w:rPr>
                <w:spacing w:val="-10"/>
                <w:sz w:val="15"/>
              </w:rPr>
              <w:t xml:space="preserve"> </w:t>
            </w:r>
            <w:r w:rsidRPr="00150EDC">
              <w:rPr>
                <w:sz w:val="15"/>
              </w:rPr>
              <w:t>v1.0 Model Version: v1.1</w:t>
            </w:r>
          </w:p>
        </w:tc>
        <w:tc>
          <w:tcPr>
            <w:tcW w:w="2134" w:type="dxa"/>
            <w:tcBorders>
              <w:left w:val="nil"/>
              <w:bottom w:val="nil"/>
              <w:right w:val="nil"/>
            </w:tcBorders>
          </w:tcPr>
          <w:p w14:paraId="124FE0DA" w14:textId="77777777" w:rsidR="004C7180" w:rsidRPr="00150EDC" w:rsidRDefault="004C7180">
            <w:pPr>
              <w:pStyle w:val="TableParagraph"/>
              <w:spacing w:before="0" w:line="240" w:lineRule="auto"/>
              <w:ind w:left="0"/>
              <w:rPr>
                <w:rFonts w:ascii="Times New Roman"/>
                <w:sz w:val="12"/>
              </w:rPr>
            </w:pPr>
          </w:p>
        </w:tc>
        <w:tc>
          <w:tcPr>
            <w:tcW w:w="1049" w:type="dxa"/>
            <w:tcBorders>
              <w:left w:val="nil"/>
              <w:bottom w:val="nil"/>
              <w:right w:val="nil"/>
            </w:tcBorders>
          </w:tcPr>
          <w:p w14:paraId="1D71CC76" w14:textId="77777777" w:rsidR="004C7180" w:rsidRPr="00150EDC" w:rsidRDefault="004C7180">
            <w:pPr>
              <w:pStyle w:val="TableParagraph"/>
              <w:spacing w:before="0" w:line="240" w:lineRule="auto"/>
              <w:ind w:left="0"/>
              <w:rPr>
                <w:b/>
                <w:sz w:val="16"/>
              </w:rPr>
            </w:pPr>
          </w:p>
          <w:p w14:paraId="31BD865D" w14:textId="77777777" w:rsidR="004C7180" w:rsidRPr="00150EDC" w:rsidRDefault="004C7180">
            <w:pPr>
              <w:pStyle w:val="TableParagraph"/>
              <w:spacing w:before="0" w:line="240" w:lineRule="auto"/>
              <w:ind w:left="0"/>
              <w:rPr>
                <w:b/>
                <w:sz w:val="16"/>
              </w:rPr>
            </w:pPr>
          </w:p>
          <w:p w14:paraId="4ED859CD" w14:textId="77777777" w:rsidR="004C7180" w:rsidRPr="00150EDC" w:rsidRDefault="00CF0754">
            <w:pPr>
              <w:pStyle w:val="TableParagraph"/>
              <w:spacing w:before="112" w:line="240" w:lineRule="auto"/>
              <w:ind w:left="0" w:right="1"/>
              <w:jc w:val="right"/>
              <w:rPr>
                <w:sz w:val="15"/>
              </w:rPr>
            </w:pPr>
            <w:r w:rsidRPr="00150EDC">
              <w:rPr>
                <w:sz w:val="15"/>
              </w:rPr>
              <w:t>6</w:t>
            </w:r>
          </w:p>
        </w:tc>
        <w:tc>
          <w:tcPr>
            <w:tcW w:w="96" w:type="dxa"/>
            <w:tcBorders>
              <w:left w:val="nil"/>
              <w:bottom w:val="nil"/>
              <w:right w:val="nil"/>
            </w:tcBorders>
          </w:tcPr>
          <w:p w14:paraId="5CF9FA44" w14:textId="77777777" w:rsidR="004C7180" w:rsidRPr="00150EDC" w:rsidRDefault="004C7180">
            <w:pPr>
              <w:pStyle w:val="TableParagraph"/>
              <w:spacing w:before="0" w:line="240" w:lineRule="auto"/>
              <w:ind w:left="0"/>
              <w:rPr>
                <w:rFonts w:ascii="Times New Roman"/>
                <w:sz w:val="12"/>
              </w:rPr>
            </w:pPr>
          </w:p>
        </w:tc>
        <w:tc>
          <w:tcPr>
            <w:tcW w:w="3904" w:type="dxa"/>
            <w:gridSpan w:val="2"/>
            <w:tcBorders>
              <w:top w:val="nil"/>
              <w:left w:val="nil"/>
              <w:bottom w:val="nil"/>
              <w:right w:val="nil"/>
            </w:tcBorders>
            <w:shd w:val="clear" w:color="auto" w:fill="F1F1F1"/>
          </w:tcPr>
          <w:p w14:paraId="7D02F903" w14:textId="77777777" w:rsidR="004C7180" w:rsidRPr="00150EDC" w:rsidRDefault="004C7180">
            <w:pPr>
              <w:pStyle w:val="TableParagraph"/>
              <w:spacing w:before="0" w:line="240" w:lineRule="auto"/>
              <w:ind w:left="0"/>
              <w:rPr>
                <w:rFonts w:ascii="Times New Roman"/>
                <w:sz w:val="12"/>
              </w:rPr>
            </w:pPr>
          </w:p>
        </w:tc>
      </w:tr>
    </w:tbl>
    <w:p w14:paraId="0D20839E" w14:textId="77777777" w:rsidR="004C7180" w:rsidRPr="00150EDC" w:rsidRDefault="004C7180">
      <w:pPr>
        <w:rPr>
          <w:rFonts w:ascii="Times New Roman"/>
          <w:sz w:val="12"/>
        </w:rPr>
        <w:sectPr w:rsidR="004C7180" w:rsidRPr="00150EDC">
          <w:headerReference w:type="default" r:id="rId89"/>
          <w:footerReference w:type="default" r:id="rId90"/>
          <w:pgSz w:w="11910" w:h="16840"/>
          <w:pgMar w:top="1920" w:right="0" w:bottom="280" w:left="40" w:header="0" w:footer="0" w:gutter="0"/>
          <w:cols w:space="720"/>
        </w:sectPr>
      </w:pPr>
    </w:p>
    <w:p w14:paraId="3365EF2F" w14:textId="77777777" w:rsidR="004C7180" w:rsidRPr="00150EDC" w:rsidRDefault="00CF0754">
      <w:pPr>
        <w:pStyle w:val="BodyText"/>
        <w:spacing w:before="4"/>
        <w:rPr>
          <w:b/>
          <w:sz w:val="17"/>
        </w:rPr>
      </w:pPr>
      <w:r w:rsidRPr="00150EDC">
        <w:rPr>
          <w:noProof/>
          <w:lang w:val="en-GB" w:eastAsia="en-GB"/>
        </w:rPr>
        <w:lastRenderedPageBreak/>
        <mc:AlternateContent>
          <mc:Choice Requires="wpg">
            <w:drawing>
              <wp:anchor distT="0" distB="0" distL="0" distR="0" simplePos="0" relativeHeight="251658260" behindDoc="1" locked="0" layoutInCell="1" allowOverlap="1" wp14:anchorId="4B8BF5FB" wp14:editId="75C2208C">
                <wp:simplePos x="0" y="0"/>
                <wp:positionH relativeFrom="page">
                  <wp:posOffset>203200</wp:posOffset>
                </wp:positionH>
                <wp:positionV relativeFrom="page">
                  <wp:posOffset>2015067</wp:posOffset>
                </wp:positionV>
                <wp:extent cx="5276596" cy="843915"/>
                <wp:effectExtent l="0" t="0" r="635" b="13335"/>
                <wp:wrapNone/>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76596" cy="843915"/>
                          <a:chOff x="0" y="688847"/>
                          <a:chExt cx="5276596" cy="843915"/>
                        </a:xfrm>
                      </wpg:grpSpPr>
                      <wps:wsp>
                        <wps:cNvPr id="136" name="Graphic 136"/>
                        <wps:cNvSpPr/>
                        <wps:spPr>
                          <a:xfrm>
                            <a:off x="4134231" y="688847"/>
                            <a:ext cx="1142365" cy="843915"/>
                          </a:xfrm>
                          <a:custGeom>
                            <a:avLst/>
                            <a:gdLst/>
                            <a:ahLst/>
                            <a:cxnLst/>
                            <a:rect l="l" t="t" r="r" b="b"/>
                            <a:pathLst>
                              <a:path w="1142365" h="843915">
                                <a:moveTo>
                                  <a:pt x="4597" y="4610"/>
                                </a:moveTo>
                                <a:lnTo>
                                  <a:pt x="0" y="4610"/>
                                </a:lnTo>
                                <a:lnTo>
                                  <a:pt x="0" y="18364"/>
                                </a:lnTo>
                                <a:lnTo>
                                  <a:pt x="4597" y="18364"/>
                                </a:lnTo>
                                <a:lnTo>
                                  <a:pt x="4597" y="4610"/>
                                </a:lnTo>
                                <a:close/>
                              </a:path>
                              <a:path w="1142365" h="843915">
                                <a:moveTo>
                                  <a:pt x="671614" y="18376"/>
                                </a:moveTo>
                                <a:lnTo>
                                  <a:pt x="667042" y="18376"/>
                                </a:lnTo>
                                <a:lnTo>
                                  <a:pt x="667042" y="839241"/>
                                </a:lnTo>
                                <a:lnTo>
                                  <a:pt x="4597" y="839241"/>
                                </a:lnTo>
                                <a:lnTo>
                                  <a:pt x="4597" y="18376"/>
                                </a:lnTo>
                                <a:lnTo>
                                  <a:pt x="0" y="18376"/>
                                </a:lnTo>
                                <a:lnTo>
                                  <a:pt x="0" y="839241"/>
                                </a:lnTo>
                                <a:lnTo>
                                  <a:pt x="0" y="843838"/>
                                </a:lnTo>
                                <a:lnTo>
                                  <a:pt x="4597" y="843838"/>
                                </a:lnTo>
                                <a:lnTo>
                                  <a:pt x="667042" y="843838"/>
                                </a:lnTo>
                                <a:lnTo>
                                  <a:pt x="671614" y="843838"/>
                                </a:lnTo>
                                <a:lnTo>
                                  <a:pt x="671614" y="839254"/>
                                </a:lnTo>
                                <a:lnTo>
                                  <a:pt x="671614" y="18376"/>
                                </a:lnTo>
                                <a:close/>
                              </a:path>
                              <a:path w="1142365" h="843915">
                                <a:moveTo>
                                  <a:pt x="671614" y="4610"/>
                                </a:moveTo>
                                <a:lnTo>
                                  <a:pt x="667042" y="4610"/>
                                </a:lnTo>
                                <a:lnTo>
                                  <a:pt x="667042" y="18364"/>
                                </a:lnTo>
                                <a:lnTo>
                                  <a:pt x="671614" y="18364"/>
                                </a:lnTo>
                                <a:lnTo>
                                  <a:pt x="671614" y="4610"/>
                                </a:lnTo>
                                <a:close/>
                              </a:path>
                              <a:path w="1142365" h="843915">
                                <a:moveTo>
                                  <a:pt x="671614" y="0"/>
                                </a:moveTo>
                                <a:lnTo>
                                  <a:pt x="667042" y="0"/>
                                </a:lnTo>
                                <a:lnTo>
                                  <a:pt x="4597" y="0"/>
                                </a:lnTo>
                                <a:lnTo>
                                  <a:pt x="0" y="0"/>
                                </a:lnTo>
                                <a:lnTo>
                                  <a:pt x="0" y="4597"/>
                                </a:lnTo>
                                <a:lnTo>
                                  <a:pt x="4597" y="4597"/>
                                </a:lnTo>
                                <a:lnTo>
                                  <a:pt x="667042" y="4597"/>
                                </a:lnTo>
                                <a:lnTo>
                                  <a:pt x="671614" y="4597"/>
                                </a:lnTo>
                                <a:lnTo>
                                  <a:pt x="671614" y="0"/>
                                </a:lnTo>
                                <a:close/>
                              </a:path>
                              <a:path w="1142365" h="843915">
                                <a:moveTo>
                                  <a:pt x="1142352" y="18376"/>
                                </a:moveTo>
                                <a:lnTo>
                                  <a:pt x="1137754" y="18376"/>
                                </a:lnTo>
                                <a:lnTo>
                                  <a:pt x="1137754" y="839241"/>
                                </a:lnTo>
                                <a:lnTo>
                                  <a:pt x="671626" y="839241"/>
                                </a:lnTo>
                                <a:lnTo>
                                  <a:pt x="671626" y="843838"/>
                                </a:lnTo>
                                <a:lnTo>
                                  <a:pt x="1137754" y="843838"/>
                                </a:lnTo>
                                <a:lnTo>
                                  <a:pt x="1142352" y="843838"/>
                                </a:lnTo>
                                <a:lnTo>
                                  <a:pt x="1142352" y="839254"/>
                                </a:lnTo>
                                <a:lnTo>
                                  <a:pt x="1142352" y="18376"/>
                                </a:lnTo>
                                <a:close/>
                              </a:path>
                              <a:path w="1142365" h="843915">
                                <a:moveTo>
                                  <a:pt x="1142352" y="0"/>
                                </a:moveTo>
                                <a:lnTo>
                                  <a:pt x="1137754" y="0"/>
                                </a:lnTo>
                                <a:lnTo>
                                  <a:pt x="671626" y="0"/>
                                </a:lnTo>
                                <a:lnTo>
                                  <a:pt x="671626" y="4597"/>
                                </a:lnTo>
                                <a:lnTo>
                                  <a:pt x="1137754" y="4597"/>
                                </a:lnTo>
                                <a:lnTo>
                                  <a:pt x="1137754" y="18364"/>
                                </a:lnTo>
                                <a:lnTo>
                                  <a:pt x="1142352" y="18364"/>
                                </a:lnTo>
                                <a:lnTo>
                                  <a:pt x="1142352" y="4597"/>
                                </a:lnTo>
                                <a:lnTo>
                                  <a:pt x="1142352" y="0"/>
                                </a:lnTo>
                                <a:close/>
                              </a:path>
                            </a:pathLst>
                          </a:custGeom>
                          <a:solidFill>
                            <a:srgbClr val="000000"/>
                          </a:solidFill>
                        </wps:spPr>
                        <wps:bodyPr wrap="square" lIns="0" tIns="0" rIns="0" bIns="0" rtlCol="0">
                          <a:prstTxWarp prst="textNoShape">
                            <a:avLst/>
                          </a:prstTxWarp>
                          <a:noAutofit/>
                        </wps:bodyPr>
                      </wps:wsp>
                      <wps:wsp>
                        <wps:cNvPr id="137" name="Textbox 137"/>
                        <wps:cNvSpPr txBox="1"/>
                        <wps:spPr>
                          <a:xfrm>
                            <a:off x="2780639" y="691146"/>
                            <a:ext cx="1356360" cy="839469"/>
                          </a:xfrm>
                          <a:prstGeom prst="rect">
                            <a:avLst/>
                          </a:prstGeom>
                          <a:ln w="4597">
                            <a:solidFill>
                              <a:srgbClr val="000000"/>
                            </a:solidFill>
                            <a:prstDash val="solid"/>
                          </a:ln>
                        </wps:spPr>
                        <wps:txbx>
                          <w:txbxContent>
                            <w:p w14:paraId="741CB9BC" w14:textId="77777777" w:rsidR="004C7180" w:rsidRDefault="00CF0754">
                              <w:pPr>
                                <w:spacing w:before="26"/>
                                <w:ind w:left="77"/>
                                <w:rPr>
                                  <w:sz w:val="13"/>
                                </w:rPr>
                              </w:pPr>
                              <w:r>
                                <w:rPr>
                                  <w:spacing w:val="-2"/>
                                  <w:w w:val="105"/>
                                  <w:sz w:val="13"/>
                                </w:rPr>
                                <w:t>following</w:t>
                              </w:r>
                              <w:r>
                                <w:rPr>
                                  <w:spacing w:val="8"/>
                                  <w:w w:val="105"/>
                                  <w:sz w:val="13"/>
                                </w:rPr>
                                <w:t xml:space="preserve"> </w:t>
                              </w:r>
                              <w:r>
                                <w:rPr>
                                  <w:spacing w:val="-2"/>
                                  <w:w w:val="105"/>
                                  <w:sz w:val="13"/>
                                </w:rPr>
                                <w:t>meeting.</w:t>
                              </w:r>
                            </w:p>
                            <w:p w14:paraId="0D0E5630" w14:textId="77777777" w:rsidR="004C7180" w:rsidRDefault="00CF0754">
                              <w:pPr>
                                <w:spacing w:before="96" w:line="252" w:lineRule="auto"/>
                                <w:ind w:left="77" w:right="67"/>
                                <w:rPr>
                                  <w:sz w:val="13"/>
                                </w:rPr>
                              </w:pPr>
                              <w:r>
                                <w:rPr>
                                  <w:b/>
                                  <w:w w:val="105"/>
                                  <w:sz w:val="13"/>
                                </w:rPr>
                                <w:t>Inadequate:</w:t>
                              </w:r>
                              <w:r>
                                <w:rPr>
                                  <w:b/>
                                  <w:spacing w:val="-10"/>
                                  <w:w w:val="105"/>
                                  <w:sz w:val="13"/>
                                </w:rPr>
                                <w:t xml:space="preserve"> </w:t>
                              </w:r>
                              <w:r>
                                <w:rPr>
                                  <w:w w:val="105"/>
                                  <w:sz w:val="13"/>
                                </w:rPr>
                                <w:t>the</w:t>
                              </w:r>
                              <w:r>
                                <w:rPr>
                                  <w:spacing w:val="-9"/>
                                  <w:w w:val="105"/>
                                  <w:sz w:val="13"/>
                                </w:rPr>
                                <w:t xml:space="preserve"> </w:t>
                              </w:r>
                              <w:r>
                                <w:rPr>
                                  <w:w w:val="105"/>
                                  <w:sz w:val="13"/>
                                </w:rPr>
                                <w:t>supplier</w:t>
                              </w:r>
                              <w:r>
                                <w:rPr>
                                  <w:spacing w:val="-10"/>
                                  <w:w w:val="105"/>
                                  <w:sz w:val="13"/>
                                </w:rPr>
                                <w:t xml:space="preserve"> </w:t>
                              </w:r>
                              <w:r>
                                <w:rPr>
                                  <w:w w:val="105"/>
                                  <w:sz w:val="13"/>
                                </w:rPr>
                                <w:t>does</w:t>
                              </w:r>
                              <w:r>
                                <w:rPr>
                                  <w:spacing w:val="40"/>
                                  <w:w w:val="105"/>
                                  <w:sz w:val="13"/>
                                </w:rPr>
                                <w:t xml:space="preserve"> </w:t>
                              </w:r>
                              <w:r>
                                <w:rPr>
                                  <w:w w:val="105"/>
                                  <w:sz w:val="13"/>
                                </w:rPr>
                                <w:t>not circulate action points to</w:t>
                              </w:r>
                              <w:r>
                                <w:rPr>
                                  <w:spacing w:val="40"/>
                                  <w:w w:val="105"/>
                                  <w:sz w:val="13"/>
                                </w:rPr>
                                <w:t xml:space="preserve"> </w:t>
                              </w:r>
                              <w:r>
                                <w:rPr>
                                  <w:spacing w:val="-2"/>
                                  <w:w w:val="105"/>
                                  <w:sz w:val="13"/>
                                </w:rPr>
                                <w:t>Buyer.</w:t>
                              </w:r>
                            </w:p>
                          </w:txbxContent>
                        </wps:txbx>
                        <wps:bodyPr wrap="square" lIns="0" tIns="0" rIns="0" bIns="0" rtlCol="0">
                          <a:noAutofit/>
                        </wps:bodyPr>
                      </wps:wsp>
                      <wps:wsp>
                        <wps:cNvPr id="139" name="Graphic 139"/>
                        <wps:cNvSpPr/>
                        <wps:spPr>
                          <a:xfrm>
                            <a:off x="0" y="688847"/>
                            <a:ext cx="810895" cy="18415"/>
                          </a:xfrm>
                          <a:custGeom>
                            <a:avLst/>
                            <a:gdLst/>
                            <a:ahLst/>
                            <a:cxnLst/>
                            <a:rect l="l" t="t" r="r" b="b"/>
                            <a:pathLst>
                              <a:path w="810895" h="18415">
                                <a:moveTo>
                                  <a:pt x="4584" y="0"/>
                                </a:moveTo>
                                <a:lnTo>
                                  <a:pt x="0" y="0"/>
                                </a:lnTo>
                                <a:lnTo>
                                  <a:pt x="0" y="4597"/>
                                </a:lnTo>
                                <a:lnTo>
                                  <a:pt x="0" y="18364"/>
                                </a:lnTo>
                                <a:lnTo>
                                  <a:pt x="4584" y="18364"/>
                                </a:lnTo>
                                <a:lnTo>
                                  <a:pt x="4584" y="4597"/>
                                </a:lnTo>
                                <a:lnTo>
                                  <a:pt x="4584" y="0"/>
                                </a:lnTo>
                                <a:close/>
                              </a:path>
                              <a:path w="810895" h="18415">
                                <a:moveTo>
                                  <a:pt x="810552" y="0"/>
                                </a:moveTo>
                                <a:lnTo>
                                  <a:pt x="4597" y="0"/>
                                </a:lnTo>
                                <a:lnTo>
                                  <a:pt x="4597" y="4597"/>
                                </a:lnTo>
                                <a:lnTo>
                                  <a:pt x="810552" y="4597"/>
                                </a:lnTo>
                                <a:lnTo>
                                  <a:pt x="810552" y="0"/>
                                </a:lnTo>
                                <a:close/>
                              </a:path>
                            </a:pathLst>
                          </a:custGeom>
                          <a:solidFill>
                            <a:srgbClr val="000000"/>
                          </a:solidFill>
                        </wps:spPr>
                        <wps:bodyPr wrap="square" lIns="0" tIns="0" rIns="0" bIns="0" rtlCol="0">
                          <a:prstTxWarp prst="textNoShape">
                            <a:avLst/>
                          </a:prstTxWarp>
                          <a:noAutofit/>
                        </wps:bodyPr>
                      </wps:wsp>
                      <wps:wsp>
                        <wps:cNvPr id="140" name="Graphic 140"/>
                        <wps:cNvSpPr/>
                        <wps:spPr>
                          <a:xfrm>
                            <a:off x="4597" y="693445"/>
                            <a:ext cx="806450" cy="13970"/>
                          </a:xfrm>
                          <a:custGeom>
                            <a:avLst/>
                            <a:gdLst/>
                            <a:ahLst/>
                            <a:cxnLst/>
                            <a:rect l="l" t="t" r="r" b="b"/>
                            <a:pathLst>
                              <a:path w="806450" h="13970">
                                <a:moveTo>
                                  <a:pt x="805954" y="0"/>
                                </a:moveTo>
                                <a:lnTo>
                                  <a:pt x="0" y="0"/>
                                </a:lnTo>
                                <a:lnTo>
                                  <a:pt x="0" y="13766"/>
                                </a:lnTo>
                                <a:lnTo>
                                  <a:pt x="805954" y="13766"/>
                                </a:lnTo>
                                <a:lnTo>
                                  <a:pt x="805954" y="0"/>
                                </a:lnTo>
                                <a:close/>
                              </a:path>
                            </a:pathLst>
                          </a:custGeom>
                          <a:solidFill>
                            <a:srgbClr val="F1F1F1"/>
                          </a:solidFill>
                        </wps:spPr>
                        <wps:bodyPr wrap="square" lIns="0" tIns="0" rIns="0" bIns="0" rtlCol="0">
                          <a:prstTxWarp prst="textNoShape">
                            <a:avLst/>
                          </a:prstTxWarp>
                          <a:noAutofit/>
                        </wps:bodyPr>
                      </wps:wsp>
                      <wps:wsp>
                        <wps:cNvPr id="141" name="Graphic 141"/>
                        <wps:cNvSpPr/>
                        <wps:spPr>
                          <a:xfrm>
                            <a:off x="810539" y="688847"/>
                            <a:ext cx="1967864" cy="18415"/>
                          </a:xfrm>
                          <a:custGeom>
                            <a:avLst/>
                            <a:gdLst/>
                            <a:ahLst/>
                            <a:cxnLst/>
                            <a:rect l="l" t="t" r="r" b="b"/>
                            <a:pathLst>
                              <a:path w="1967864" h="18415">
                                <a:moveTo>
                                  <a:pt x="4584" y="4610"/>
                                </a:moveTo>
                                <a:lnTo>
                                  <a:pt x="0" y="4610"/>
                                </a:lnTo>
                                <a:lnTo>
                                  <a:pt x="0" y="18364"/>
                                </a:lnTo>
                                <a:lnTo>
                                  <a:pt x="4584" y="18364"/>
                                </a:lnTo>
                                <a:lnTo>
                                  <a:pt x="4584" y="4610"/>
                                </a:lnTo>
                                <a:close/>
                              </a:path>
                              <a:path w="1967864" h="18415">
                                <a:moveTo>
                                  <a:pt x="1967801" y="0"/>
                                </a:moveTo>
                                <a:lnTo>
                                  <a:pt x="4584" y="0"/>
                                </a:lnTo>
                                <a:lnTo>
                                  <a:pt x="0" y="0"/>
                                </a:lnTo>
                                <a:lnTo>
                                  <a:pt x="0" y="4597"/>
                                </a:lnTo>
                                <a:lnTo>
                                  <a:pt x="4584" y="4597"/>
                                </a:lnTo>
                                <a:lnTo>
                                  <a:pt x="1967801" y="4597"/>
                                </a:lnTo>
                                <a:lnTo>
                                  <a:pt x="1967801" y="0"/>
                                </a:lnTo>
                                <a:close/>
                              </a:path>
                            </a:pathLst>
                          </a:custGeom>
                          <a:solidFill>
                            <a:srgbClr val="000000"/>
                          </a:solidFill>
                        </wps:spPr>
                        <wps:bodyPr wrap="square" lIns="0" tIns="0" rIns="0" bIns="0" rtlCol="0">
                          <a:prstTxWarp prst="textNoShape">
                            <a:avLst/>
                          </a:prstTxWarp>
                          <a:noAutofit/>
                        </wps:bodyPr>
                      </wps:wsp>
                      <wps:wsp>
                        <wps:cNvPr id="142" name="Graphic 142"/>
                        <wps:cNvSpPr/>
                        <wps:spPr>
                          <a:xfrm>
                            <a:off x="2298" y="1514322"/>
                            <a:ext cx="810895" cy="13970"/>
                          </a:xfrm>
                          <a:custGeom>
                            <a:avLst/>
                            <a:gdLst/>
                            <a:ahLst/>
                            <a:cxnLst/>
                            <a:rect l="l" t="t" r="r" b="b"/>
                            <a:pathLst>
                              <a:path w="810895" h="13970">
                                <a:moveTo>
                                  <a:pt x="810552" y="0"/>
                                </a:moveTo>
                                <a:lnTo>
                                  <a:pt x="0" y="0"/>
                                </a:lnTo>
                                <a:lnTo>
                                  <a:pt x="0" y="13779"/>
                                </a:lnTo>
                                <a:lnTo>
                                  <a:pt x="810552" y="13779"/>
                                </a:lnTo>
                                <a:lnTo>
                                  <a:pt x="810552" y="0"/>
                                </a:lnTo>
                                <a:close/>
                              </a:path>
                            </a:pathLst>
                          </a:custGeom>
                          <a:solidFill>
                            <a:srgbClr val="F1F1F1"/>
                          </a:solidFill>
                        </wps:spPr>
                        <wps:bodyPr wrap="square" lIns="0" tIns="0" rIns="0" bIns="0" rtlCol="0">
                          <a:prstTxWarp prst="textNoShape">
                            <a:avLst/>
                          </a:prstTxWarp>
                          <a:noAutofit/>
                        </wps:bodyPr>
                      </wps:wsp>
                      <wps:wsp>
                        <wps:cNvPr id="143" name="Graphic 143"/>
                        <wps:cNvSpPr/>
                        <wps:spPr>
                          <a:xfrm>
                            <a:off x="0" y="707224"/>
                            <a:ext cx="2778760" cy="825500"/>
                          </a:xfrm>
                          <a:custGeom>
                            <a:avLst/>
                            <a:gdLst/>
                            <a:ahLst/>
                            <a:cxnLst/>
                            <a:rect l="l" t="t" r="r" b="b"/>
                            <a:pathLst>
                              <a:path w="2778760" h="825500">
                                <a:moveTo>
                                  <a:pt x="4584" y="0"/>
                                </a:moveTo>
                                <a:lnTo>
                                  <a:pt x="0" y="0"/>
                                </a:lnTo>
                                <a:lnTo>
                                  <a:pt x="0" y="820864"/>
                                </a:lnTo>
                                <a:lnTo>
                                  <a:pt x="0" y="825461"/>
                                </a:lnTo>
                                <a:lnTo>
                                  <a:pt x="4584" y="825461"/>
                                </a:lnTo>
                                <a:lnTo>
                                  <a:pt x="4584" y="820877"/>
                                </a:lnTo>
                                <a:lnTo>
                                  <a:pt x="4584" y="0"/>
                                </a:lnTo>
                                <a:close/>
                              </a:path>
                              <a:path w="2778760" h="825500">
                                <a:moveTo>
                                  <a:pt x="2778341" y="820864"/>
                                </a:moveTo>
                                <a:lnTo>
                                  <a:pt x="815124" y="820864"/>
                                </a:lnTo>
                                <a:lnTo>
                                  <a:pt x="815124" y="0"/>
                                </a:lnTo>
                                <a:lnTo>
                                  <a:pt x="810539" y="0"/>
                                </a:lnTo>
                                <a:lnTo>
                                  <a:pt x="810539" y="820864"/>
                                </a:lnTo>
                                <a:lnTo>
                                  <a:pt x="4597" y="820864"/>
                                </a:lnTo>
                                <a:lnTo>
                                  <a:pt x="4597" y="825461"/>
                                </a:lnTo>
                                <a:lnTo>
                                  <a:pt x="810539" y="825461"/>
                                </a:lnTo>
                                <a:lnTo>
                                  <a:pt x="815124" y="825461"/>
                                </a:lnTo>
                                <a:lnTo>
                                  <a:pt x="2778341" y="825461"/>
                                </a:lnTo>
                                <a:lnTo>
                                  <a:pt x="2778341" y="820864"/>
                                </a:lnTo>
                                <a:close/>
                              </a:path>
                            </a:pathLst>
                          </a:custGeom>
                          <a:solidFill>
                            <a:srgbClr val="0000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8BF5FB" id="Group 134" o:spid="_x0000_s1027" style="position:absolute;margin-left:16pt;margin-top:158.65pt;width:415.5pt;height:66.45pt;z-index:-251658220;mso-wrap-distance-left:0;mso-wrap-distance-right:0;mso-position-horizontal-relative:page;mso-position-vertical-relative:page;mso-width-relative:margin;mso-height-relative:margin" coordorigin=",6888" coordsize="52765,8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">
                <v:shape id="Graphic 136" o:spid="_x0000_s1028" style="position:absolute;left:41342;top:6888;width:11423;height:8439;visibility:visible;mso-wrap-style:square;v-text-anchor:top" coordsize="1142365,84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" path="m4597,4610l,4610,,18364r4597,l4597,4610xem671614,18376r-4572,l667042,839241r-662445,l4597,18376,,18376,,839241r,4597l4597,843838r662445,l671614,843838r,-4584l671614,18376xem671614,4610r-4572,l667042,18364r4572,l671614,4610xem671614,r-4572,l4597,,,,,4597r4597,l667042,4597r4572,l671614,xem1142352,18376r-4598,l1137754,839241r-466128,l671626,843838r466128,l1142352,843838r,-4584l1142352,18376xem1142352,r-4598,l671626,r,4597l1137754,4597r,13767l1142352,18364r,-13767l1142352,xe" fillcolor="black" stroked="f">
                  <v:path arrowok="t"/>
                </v:shape>
                <v:shape id="Textbox 137" o:spid="_x0000_s1029" type="#_x0000_t202" style="position:absolute;left:27806;top:6911;width:13563;height:8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" filled="f" strokeweight=".1277mm">
                  <v:textbox inset="0,0,0,0">
                    <w:txbxContent>
                      <w:p w14:paraId="741CB9BC" w14:textId="77777777" w:rsidR="004C7180" w:rsidRDefault="00CF0754">
                        <w:pPr>
                          <w:spacing w:before="26"/>
                          <w:ind w:left="77"/>
                          <w:rPr>
                            <w:sz w:val="13"/>
                          </w:rPr>
                        </w:pPr>
                        <w:r>
                          <w:rPr>
                            <w:spacing w:val="-2"/>
                            <w:w w:val="105"/>
                            <w:sz w:val="13"/>
                          </w:rPr>
                          <w:t>following</w:t>
                        </w:r>
                        <w:r>
                          <w:rPr>
                            <w:spacing w:val="8"/>
                            <w:w w:val="105"/>
                            <w:sz w:val="13"/>
                          </w:rPr>
                          <w:t xml:space="preserve"> </w:t>
                        </w:r>
                        <w:r>
                          <w:rPr>
                            <w:spacing w:val="-2"/>
                            <w:w w:val="105"/>
                            <w:sz w:val="13"/>
                          </w:rPr>
                          <w:t>meeting.</w:t>
                        </w:r>
                      </w:p>
                      <w:p w14:paraId="0D0E5630" w14:textId="77777777" w:rsidR="004C7180" w:rsidRDefault="00CF0754">
                        <w:pPr>
                          <w:spacing w:before="96" w:line="252" w:lineRule="auto"/>
                          <w:ind w:left="77" w:right="67"/>
                          <w:rPr>
                            <w:sz w:val="13"/>
                          </w:rPr>
                        </w:pPr>
                        <w:r>
                          <w:rPr>
                            <w:b/>
                            <w:w w:val="105"/>
                            <w:sz w:val="13"/>
                          </w:rPr>
                          <w:t>Inadequate:</w:t>
                        </w:r>
                        <w:r>
                          <w:rPr>
                            <w:b/>
                            <w:spacing w:val="-10"/>
                            <w:w w:val="105"/>
                            <w:sz w:val="13"/>
                          </w:rPr>
                          <w:t xml:space="preserve"> </w:t>
                        </w:r>
                        <w:r>
                          <w:rPr>
                            <w:w w:val="105"/>
                            <w:sz w:val="13"/>
                          </w:rPr>
                          <w:t>the</w:t>
                        </w:r>
                        <w:r>
                          <w:rPr>
                            <w:spacing w:val="-9"/>
                            <w:w w:val="105"/>
                            <w:sz w:val="13"/>
                          </w:rPr>
                          <w:t xml:space="preserve"> </w:t>
                        </w:r>
                        <w:r>
                          <w:rPr>
                            <w:w w:val="105"/>
                            <w:sz w:val="13"/>
                          </w:rPr>
                          <w:t>supplier</w:t>
                        </w:r>
                        <w:r>
                          <w:rPr>
                            <w:spacing w:val="-10"/>
                            <w:w w:val="105"/>
                            <w:sz w:val="13"/>
                          </w:rPr>
                          <w:t xml:space="preserve"> </w:t>
                        </w:r>
                        <w:r>
                          <w:rPr>
                            <w:w w:val="105"/>
                            <w:sz w:val="13"/>
                          </w:rPr>
                          <w:t>does</w:t>
                        </w:r>
                        <w:r>
                          <w:rPr>
                            <w:spacing w:val="40"/>
                            <w:w w:val="105"/>
                            <w:sz w:val="13"/>
                          </w:rPr>
                          <w:t xml:space="preserve"> </w:t>
                        </w:r>
                        <w:r>
                          <w:rPr>
                            <w:w w:val="105"/>
                            <w:sz w:val="13"/>
                          </w:rPr>
                          <w:t>not circulate action points to</w:t>
                        </w:r>
                        <w:r>
                          <w:rPr>
                            <w:spacing w:val="40"/>
                            <w:w w:val="105"/>
                            <w:sz w:val="13"/>
                          </w:rPr>
                          <w:t xml:space="preserve"> </w:t>
                        </w:r>
                        <w:r>
                          <w:rPr>
                            <w:spacing w:val="-2"/>
                            <w:w w:val="105"/>
                            <w:sz w:val="13"/>
                          </w:rPr>
                          <w:t>Buyer.</w:t>
                        </w:r>
                      </w:p>
                    </w:txbxContent>
                  </v:textbox>
                </v:shape>
                <v:shape id="Graphic 139" o:spid="_x0000_s1030" style="position:absolute;top:6888;width:8108;height:184;visibility:visible;mso-wrap-style:square;v-text-anchor:top" coordsize="81089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" path="m4584,l,,,4597,,18364r4584,l4584,4597,4584,xem810552,l4597,r,4597l810552,4597r,-4597xe" fillcolor="black" stroked="f">
                  <v:path arrowok="t"/>
                </v:shape>
                <v:shape id="Graphic 140" o:spid="_x0000_s1031" style="position:absolute;left:45;top:6934;width:8065;height:140;visibility:visible;mso-wrap-style:square;v-text-anchor:top" coordsize="80645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" path="m805954,l,,,13766r805954,l805954,xe" fillcolor="#f1f1f1" stroked="f">
                  <v:path arrowok="t"/>
                </v:shape>
                <v:shape id="Graphic 141" o:spid="_x0000_s1032" style="position:absolute;left:8105;top:6888;width:19679;height:184;visibility:visible;mso-wrap-style:square;v-text-anchor:top" coordsize="1967864,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" path="m4584,4610l,4610,,18364r4584,l4584,4610xem1967801,l4584,,,,,4597r4584,l1967801,4597r,-4597xe" fillcolor="black" stroked="f">
                  <v:path arrowok="t"/>
                </v:shape>
                <v:shape id="Graphic 142" o:spid="_x0000_s1033" style="position:absolute;left:22;top:15143;width:8109;height:139;visibility:visible;mso-wrap-style:square;v-text-anchor:top" coordsize="81089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" path="m810552,l,,,13779r810552,l810552,xe" fillcolor="#f1f1f1" stroked="f">
                  <v:path arrowok="t"/>
                </v:shape>
                <v:shape id="Graphic 143" o:spid="_x0000_s1034" style="position:absolute;top:7072;width:27787;height:8255;visibility:visible;mso-wrap-style:square;v-text-anchor:top" coordsize="2778760,82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" path="m4584,l,,,820864r,4597l4584,825461r,-4584l4584,xem2778341,820864r-1963217,l815124,r-4585,l810539,820864r-805942,l4597,825461r805942,l815124,825461r1963217,l2778341,820864xe" fillcolor="black" stroked="f">
                  <v:path arrowok="t"/>
                </v:shape>
                <w10:wrap anchorx="page" anchory="page"/>
              </v:group>
            </w:pict>
          </mc:Fallback>
        </mc:AlternateContent>
      </w:r>
    </w:p>
    <w:p w14:paraId="6895AD0C" w14:textId="77777777" w:rsidR="004C7180" w:rsidRPr="00150EDC" w:rsidRDefault="004C7180">
      <w:pPr>
        <w:rPr>
          <w:sz w:val="17"/>
        </w:rPr>
        <w:sectPr w:rsidR="004C7180" w:rsidRPr="00150EDC">
          <w:headerReference w:type="default" r:id="rId91"/>
          <w:footerReference w:type="default" r:id="rId92"/>
          <w:pgSz w:w="11910" w:h="16840"/>
          <w:pgMar w:top="2940" w:right="0" w:bottom="3120" w:left="40" w:header="2612" w:footer="2929" w:gutter="0"/>
          <w:pgNumType w:start="7"/>
          <w:cols w:space="720"/>
        </w:sectPr>
      </w:pPr>
    </w:p>
    <w:p w14:paraId="511C906E" w14:textId="04366778" w:rsidR="004C7180" w:rsidRPr="00150EDC" w:rsidRDefault="004C7180">
      <w:pPr>
        <w:pStyle w:val="BodyText"/>
        <w:spacing w:before="7"/>
        <w:rPr>
          <w:b/>
          <w:sz w:val="9"/>
        </w:rPr>
      </w:pPr>
    </w:p>
    <w:p w14:paraId="4FDDBB74" w14:textId="77777777" w:rsidR="004C7180" w:rsidRPr="00150EDC" w:rsidRDefault="00CF0754">
      <w:pPr>
        <w:spacing w:before="95"/>
        <w:ind w:left="1044"/>
        <w:rPr>
          <w:b/>
          <w:sz w:val="18"/>
        </w:rPr>
      </w:pPr>
      <w:bookmarkStart w:id="48" w:name="Part_B:_Key_Performance_Indicator"/>
      <w:bookmarkEnd w:id="48"/>
      <w:r w:rsidRPr="00150EDC">
        <w:rPr>
          <w:b/>
          <w:sz w:val="18"/>
        </w:rPr>
        <w:t>Part</w:t>
      </w:r>
      <w:r w:rsidRPr="00150EDC">
        <w:rPr>
          <w:b/>
          <w:spacing w:val="-3"/>
          <w:sz w:val="18"/>
        </w:rPr>
        <w:t xml:space="preserve"> </w:t>
      </w:r>
      <w:r w:rsidRPr="00150EDC">
        <w:rPr>
          <w:b/>
          <w:sz w:val="18"/>
        </w:rPr>
        <w:t>B:</w:t>
      </w:r>
      <w:r w:rsidRPr="00150EDC">
        <w:rPr>
          <w:b/>
          <w:spacing w:val="-2"/>
          <w:sz w:val="18"/>
        </w:rPr>
        <w:t xml:space="preserve"> </w:t>
      </w:r>
      <w:r w:rsidRPr="00150EDC">
        <w:rPr>
          <w:b/>
          <w:sz w:val="18"/>
        </w:rPr>
        <w:t>Key</w:t>
      </w:r>
      <w:r w:rsidRPr="00150EDC">
        <w:rPr>
          <w:b/>
          <w:spacing w:val="-1"/>
          <w:sz w:val="18"/>
        </w:rPr>
        <w:t xml:space="preserve"> </w:t>
      </w:r>
      <w:r w:rsidRPr="00150EDC">
        <w:rPr>
          <w:b/>
          <w:sz w:val="18"/>
        </w:rPr>
        <w:t>Performance</w:t>
      </w:r>
      <w:r w:rsidRPr="00150EDC">
        <w:rPr>
          <w:b/>
          <w:spacing w:val="-1"/>
          <w:sz w:val="18"/>
        </w:rPr>
        <w:t xml:space="preserve"> </w:t>
      </w:r>
      <w:r w:rsidRPr="00150EDC">
        <w:rPr>
          <w:b/>
          <w:spacing w:val="-2"/>
          <w:sz w:val="18"/>
        </w:rPr>
        <w:t>Indicator</w:t>
      </w:r>
    </w:p>
    <w:p w14:paraId="086D35C6" w14:textId="77777777" w:rsidR="004C7180" w:rsidRPr="00150EDC" w:rsidRDefault="004C7180">
      <w:pPr>
        <w:pStyle w:val="BodyText"/>
        <w:rPr>
          <w:b/>
          <w:sz w:val="20"/>
        </w:rPr>
      </w:pPr>
    </w:p>
    <w:p w14:paraId="60B49E3B" w14:textId="77777777" w:rsidR="004C7180" w:rsidRPr="00150EDC" w:rsidRDefault="004C7180">
      <w:pPr>
        <w:pStyle w:val="BodyText"/>
        <w:spacing w:before="7"/>
        <w:rPr>
          <w:b/>
          <w:sz w:val="29"/>
        </w:rPr>
      </w:pPr>
    </w:p>
    <w:p w14:paraId="0C272B35" w14:textId="77777777" w:rsidR="004C7180" w:rsidRPr="00150EDC" w:rsidRDefault="00CF0754" w:rsidP="00B320C7">
      <w:pPr>
        <w:pStyle w:val="ListParagraph"/>
        <w:numPr>
          <w:ilvl w:val="0"/>
          <w:numId w:val="37"/>
        </w:numPr>
        <w:tabs>
          <w:tab w:val="left" w:pos="1245"/>
        </w:tabs>
        <w:ind w:left="1245" w:hanging="201"/>
        <w:rPr>
          <w:b/>
          <w:sz w:val="18"/>
        </w:rPr>
      </w:pPr>
      <w:bookmarkStart w:id="49" w:name="1._Key_Performance_Indicators"/>
      <w:bookmarkEnd w:id="49"/>
      <w:r w:rsidRPr="00150EDC">
        <w:rPr>
          <w:b/>
          <w:sz w:val="18"/>
        </w:rPr>
        <w:t>Key</w:t>
      </w:r>
      <w:r w:rsidRPr="00150EDC">
        <w:rPr>
          <w:b/>
          <w:spacing w:val="-4"/>
          <w:sz w:val="18"/>
        </w:rPr>
        <w:t xml:space="preserve"> </w:t>
      </w:r>
      <w:r w:rsidRPr="00150EDC">
        <w:rPr>
          <w:b/>
          <w:sz w:val="18"/>
        </w:rPr>
        <w:t>Performance</w:t>
      </w:r>
      <w:r w:rsidRPr="00150EDC">
        <w:rPr>
          <w:b/>
          <w:spacing w:val="-3"/>
          <w:sz w:val="18"/>
        </w:rPr>
        <w:t xml:space="preserve"> </w:t>
      </w:r>
      <w:r w:rsidRPr="00150EDC">
        <w:rPr>
          <w:b/>
          <w:spacing w:val="-2"/>
          <w:sz w:val="18"/>
        </w:rPr>
        <w:t>Indicators</w:t>
      </w:r>
    </w:p>
    <w:p w14:paraId="55B147B3" w14:textId="2C1A86D2" w:rsidR="004C7180" w:rsidRPr="00150EDC" w:rsidRDefault="00CF0754" w:rsidP="00B320C7">
      <w:pPr>
        <w:pStyle w:val="ListParagraph"/>
        <w:numPr>
          <w:ilvl w:val="1"/>
          <w:numId w:val="37"/>
        </w:numPr>
        <w:tabs>
          <w:tab w:val="left" w:pos="1587"/>
        </w:tabs>
        <w:spacing w:before="92"/>
        <w:ind w:right="4018" w:firstLine="0"/>
        <w:rPr>
          <w:sz w:val="18"/>
        </w:rPr>
      </w:pPr>
      <w:r w:rsidRPr="00150EDC">
        <w:rPr>
          <w:sz w:val="18"/>
        </w:rPr>
        <w:t>The Supplier shall ensure that the Services</w:t>
      </w:r>
      <w:r w:rsidRPr="00150EDC">
        <w:rPr>
          <w:spacing w:val="-1"/>
          <w:sz w:val="18"/>
        </w:rPr>
        <w:t xml:space="preserve"> </w:t>
      </w:r>
      <w:r w:rsidRPr="00150EDC">
        <w:rPr>
          <w:sz w:val="18"/>
        </w:rPr>
        <w:t>meet o</w:t>
      </w:r>
      <w:r w:rsidR="00D00FB8" w:rsidRPr="00150EDC">
        <w:rPr>
          <w:sz w:val="18"/>
        </w:rPr>
        <w:t>r</w:t>
      </w:r>
      <w:r w:rsidRPr="00150EDC">
        <w:rPr>
          <w:sz w:val="18"/>
        </w:rPr>
        <w:t xml:space="preserve"> exceed the KPI Threshold at all times from the Start Date.</w:t>
      </w:r>
    </w:p>
    <w:p w14:paraId="0D1887C1" w14:textId="77777777" w:rsidR="004C7180" w:rsidRPr="00150EDC" w:rsidRDefault="00CF0754" w:rsidP="00B320C7">
      <w:pPr>
        <w:pStyle w:val="ListParagraph"/>
        <w:numPr>
          <w:ilvl w:val="1"/>
          <w:numId w:val="37"/>
        </w:numPr>
        <w:tabs>
          <w:tab w:val="left" w:pos="1587"/>
        </w:tabs>
        <w:spacing w:before="92"/>
        <w:ind w:right="4987" w:firstLine="0"/>
        <w:rPr>
          <w:sz w:val="18"/>
        </w:rPr>
      </w:pPr>
      <w:r w:rsidRPr="00150EDC">
        <w:rPr>
          <w:sz w:val="18"/>
        </w:rPr>
        <w:t>The Supplier</w:t>
      </w:r>
      <w:r w:rsidRPr="00150EDC">
        <w:rPr>
          <w:spacing w:val="-1"/>
          <w:sz w:val="18"/>
        </w:rPr>
        <w:t xml:space="preserve"> </w:t>
      </w:r>
      <w:r w:rsidRPr="00150EDC">
        <w:rPr>
          <w:sz w:val="18"/>
        </w:rPr>
        <w:t>shall</w:t>
      </w:r>
      <w:r w:rsidRPr="00150EDC">
        <w:rPr>
          <w:spacing w:val="-1"/>
          <w:sz w:val="18"/>
        </w:rPr>
        <w:t xml:space="preserve"> </w:t>
      </w:r>
      <w:r w:rsidRPr="00150EDC">
        <w:rPr>
          <w:sz w:val="18"/>
        </w:rPr>
        <w:t>update the</w:t>
      </w:r>
      <w:r w:rsidRPr="00150EDC">
        <w:rPr>
          <w:spacing w:val="-2"/>
          <w:sz w:val="18"/>
        </w:rPr>
        <w:t xml:space="preserve"> </w:t>
      </w:r>
      <w:r w:rsidRPr="00150EDC">
        <w:rPr>
          <w:sz w:val="18"/>
        </w:rPr>
        <w:t>Buyer</w:t>
      </w:r>
      <w:r w:rsidRPr="00150EDC">
        <w:rPr>
          <w:spacing w:val="-3"/>
          <w:sz w:val="18"/>
        </w:rPr>
        <w:t xml:space="preserve"> </w:t>
      </w:r>
      <w:r w:rsidRPr="00150EDC">
        <w:rPr>
          <w:sz w:val="18"/>
        </w:rPr>
        <w:t>on</w:t>
      </w:r>
      <w:r w:rsidRPr="00150EDC">
        <w:rPr>
          <w:spacing w:val="-2"/>
          <w:sz w:val="18"/>
        </w:rPr>
        <w:t xml:space="preserve"> </w:t>
      </w:r>
      <w:r w:rsidRPr="00150EDC">
        <w:rPr>
          <w:sz w:val="18"/>
        </w:rPr>
        <w:t>the</w:t>
      </w:r>
      <w:r w:rsidRPr="00150EDC">
        <w:rPr>
          <w:spacing w:val="-2"/>
          <w:sz w:val="18"/>
        </w:rPr>
        <w:t xml:space="preserve"> </w:t>
      </w:r>
      <w:r w:rsidRPr="00150EDC">
        <w:rPr>
          <w:sz w:val="18"/>
        </w:rPr>
        <w:t>performance</w:t>
      </w:r>
      <w:r w:rsidRPr="00150EDC">
        <w:rPr>
          <w:spacing w:val="-2"/>
          <w:sz w:val="18"/>
        </w:rPr>
        <w:t xml:space="preserve"> </w:t>
      </w:r>
      <w:r w:rsidRPr="00150EDC">
        <w:rPr>
          <w:sz w:val="18"/>
        </w:rPr>
        <w:t>of</w:t>
      </w:r>
      <w:r w:rsidRPr="00150EDC">
        <w:rPr>
          <w:spacing w:val="-2"/>
          <w:sz w:val="18"/>
        </w:rPr>
        <w:t xml:space="preserve"> </w:t>
      </w:r>
      <w:r w:rsidRPr="00150EDC">
        <w:rPr>
          <w:sz w:val="18"/>
        </w:rPr>
        <w:t>all</w:t>
      </w:r>
      <w:r w:rsidRPr="00150EDC">
        <w:rPr>
          <w:spacing w:val="-1"/>
          <w:sz w:val="18"/>
        </w:rPr>
        <w:t xml:space="preserve"> </w:t>
      </w:r>
      <w:r w:rsidRPr="00150EDC">
        <w:rPr>
          <w:sz w:val="18"/>
        </w:rPr>
        <w:t>Key Performance Indicators via the monthly dashboard.</w:t>
      </w:r>
    </w:p>
    <w:p w14:paraId="011CB5E8" w14:textId="77777777" w:rsidR="004C7180" w:rsidRPr="00150EDC" w:rsidRDefault="00CF0754" w:rsidP="00B320C7">
      <w:pPr>
        <w:pStyle w:val="ListParagraph"/>
        <w:numPr>
          <w:ilvl w:val="1"/>
          <w:numId w:val="37"/>
        </w:numPr>
        <w:tabs>
          <w:tab w:val="left" w:pos="1587"/>
        </w:tabs>
        <w:spacing w:before="92"/>
        <w:ind w:right="4254" w:firstLine="0"/>
        <w:rPr>
          <w:sz w:val="18"/>
        </w:rPr>
      </w:pPr>
      <w:r w:rsidRPr="00150EDC">
        <w:rPr>
          <w:sz w:val="18"/>
        </w:rPr>
        <w:t>If the Supplier</w:t>
      </w:r>
      <w:r w:rsidRPr="00150EDC">
        <w:rPr>
          <w:spacing w:val="-1"/>
          <w:sz w:val="18"/>
        </w:rPr>
        <w:t xml:space="preserve"> </w:t>
      </w:r>
      <w:r w:rsidRPr="00150EDC">
        <w:rPr>
          <w:sz w:val="18"/>
        </w:rPr>
        <w:t>fails</w:t>
      </w:r>
      <w:r w:rsidRPr="00150EDC">
        <w:rPr>
          <w:spacing w:val="-1"/>
          <w:sz w:val="18"/>
        </w:rPr>
        <w:t xml:space="preserve"> </w:t>
      </w:r>
      <w:r w:rsidRPr="00150EDC">
        <w:rPr>
          <w:sz w:val="18"/>
        </w:rPr>
        <w:t>to</w:t>
      </w:r>
      <w:r w:rsidRPr="00150EDC">
        <w:rPr>
          <w:spacing w:val="-2"/>
          <w:sz w:val="18"/>
        </w:rPr>
        <w:t xml:space="preserve"> </w:t>
      </w:r>
      <w:r w:rsidRPr="00150EDC">
        <w:rPr>
          <w:sz w:val="18"/>
        </w:rPr>
        <w:t>deliver</w:t>
      </w:r>
      <w:r w:rsidRPr="00150EDC">
        <w:rPr>
          <w:spacing w:val="-1"/>
          <w:sz w:val="18"/>
        </w:rPr>
        <w:t xml:space="preserve"> </w:t>
      </w:r>
      <w:r w:rsidRPr="00150EDC">
        <w:rPr>
          <w:sz w:val="18"/>
        </w:rPr>
        <w:t>any</w:t>
      </w:r>
      <w:r w:rsidRPr="00150EDC">
        <w:rPr>
          <w:spacing w:val="-3"/>
          <w:sz w:val="18"/>
        </w:rPr>
        <w:t xml:space="preserve"> </w:t>
      </w:r>
      <w:r w:rsidRPr="00150EDC">
        <w:rPr>
          <w:sz w:val="18"/>
        </w:rPr>
        <w:t>part of the Services</w:t>
      </w:r>
      <w:r w:rsidRPr="00150EDC">
        <w:rPr>
          <w:spacing w:val="-1"/>
          <w:sz w:val="18"/>
        </w:rPr>
        <w:t xml:space="preserve"> </w:t>
      </w:r>
      <w:r w:rsidRPr="00150EDC">
        <w:rPr>
          <w:sz w:val="18"/>
        </w:rPr>
        <w:t>to</w:t>
      </w:r>
      <w:r w:rsidRPr="00150EDC">
        <w:rPr>
          <w:spacing w:val="-2"/>
          <w:sz w:val="18"/>
        </w:rPr>
        <w:t xml:space="preserve"> </w:t>
      </w:r>
      <w:r w:rsidRPr="00150EDC">
        <w:rPr>
          <w:sz w:val="18"/>
        </w:rPr>
        <w:t>meet</w:t>
      </w:r>
      <w:r w:rsidRPr="00150EDC">
        <w:rPr>
          <w:spacing w:val="-2"/>
          <w:sz w:val="18"/>
        </w:rPr>
        <w:t xml:space="preserve"> </w:t>
      </w:r>
      <w:r w:rsidRPr="00150EDC">
        <w:rPr>
          <w:sz w:val="18"/>
        </w:rPr>
        <w:t>or</w:t>
      </w:r>
      <w:r w:rsidRPr="00150EDC">
        <w:rPr>
          <w:spacing w:val="-1"/>
          <w:sz w:val="18"/>
        </w:rPr>
        <w:t xml:space="preserve"> </w:t>
      </w:r>
      <w:r w:rsidRPr="00150EDC">
        <w:rPr>
          <w:sz w:val="18"/>
        </w:rPr>
        <w:t>exceed</w:t>
      </w:r>
      <w:r w:rsidRPr="00150EDC">
        <w:rPr>
          <w:spacing w:val="-2"/>
          <w:sz w:val="18"/>
        </w:rPr>
        <w:t xml:space="preserve"> </w:t>
      </w:r>
      <w:r w:rsidRPr="00150EDC">
        <w:rPr>
          <w:sz w:val="18"/>
        </w:rPr>
        <w:t>the KPI Threshold, the Supplier shall:</w:t>
      </w:r>
    </w:p>
    <w:p w14:paraId="457B4100" w14:textId="77777777" w:rsidR="004C7180" w:rsidRPr="00150EDC" w:rsidRDefault="00CF0754" w:rsidP="00B320C7">
      <w:pPr>
        <w:pStyle w:val="ListParagraph"/>
        <w:numPr>
          <w:ilvl w:val="2"/>
          <w:numId w:val="37"/>
        </w:numPr>
        <w:tabs>
          <w:tab w:val="left" w:pos="2665"/>
        </w:tabs>
        <w:spacing w:before="92"/>
        <w:ind w:left="2665" w:hanging="536"/>
        <w:rPr>
          <w:sz w:val="18"/>
        </w:rPr>
      </w:pPr>
      <w:r w:rsidRPr="00150EDC">
        <w:rPr>
          <w:sz w:val="18"/>
        </w:rPr>
        <w:t>Immediately</w:t>
      </w:r>
      <w:r w:rsidRPr="00150EDC">
        <w:rPr>
          <w:spacing w:val="-2"/>
          <w:sz w:val="18"/>
        </w:rPr>
        <w:t xml:space="preserve"> </w:t>
      </w:r>
      <w:r w:rsidRPr="00150EDC">
        <w:rPr>
          <w:sz w:val="18"/>
        </w:rPr>
        <w:t>notify</w:t>
      </w:r>
      <w:r w:rsidRPr="00150EDC">
        <w:rPr>
          <w:spacing w:val="-4"/>
          <w:sz w:val="18"/>
        </w:rPr>
        <w:t xml:space="preserve"> </w:t>
      </w:r>
      <w:r w:rsidRPr="00150EDC">
        <w:rPr>
          <w:sz w:val="18"/>
        </w:rPr>
        <w:t>the</w:t>
      </w:r>
      <w:r w:rsidRPr="00150EDC">
        <w:rPr>
          <w:spacing w:val="-2"/>
          <w:sz w:val="18"/>
        </w:rPr>
        <w:t xml:space="preserve"> </w:t>
      </w:r>
      <w:r w:rsidRPr="00150EDC">
        <w:rPr>
          <w:sz w:val="18"/>
        </w:rPr>
        <w:t>Buyer</w:t>
      </w:r>
      <w:r w:rsidRPr="00150EDC">
        <w:rPr>
          <w:spacing w:val="-2"/>
          <w:sz w:val="18"/>
        </w:rPr>
        <w:t xml:space="preserve"> </w:t>
      </w:r>
      <w:r w:rsidRPr="00150EDC">
        <w:rPr>
          <w:sz w:val="18"/>
        </w:rPr>
        <w:t xml:space="preserve">in </w:t>
      </w:r>
      <w:r w:rsidRPr="00150EDC">
        <w:rPr>
          <w:spacing w:val="-2"/>
          <w:sz w:val="18"/>
        </w:rPr>
        <w:t>writing;</w:t>
      </w:r>
    </w:p>
    <w:p w14:paraId="24796DED" w14:textId="77777777" w:rsidR="004C7180" w:rsidRPr="00150EDC" w:rsidRDefault="00CF0754" w:rsidP="00B320C7">
      <w:pPr>
        <w:pStyle w:val="ListParagraph"/>
        <w:numPr>
          <w:ilvl w:val="2"/>
          <w:numId w:val="37"/>
        </w:numPr>
        <w:tabs>
          <w:tab w:val="left" w:pos="2665"/>
          <w:tab w:val="left" w:pos="2668"/>
        </w:tabs>
        <w:spacing w:before="92"/>
        <w:ind w:right="4016"/>
        <w:rPr>
          <w:sz w:val="18"/>
        </w:rPr>
      </w:pPr>
      <w:r w:rsidRPr="00150EDC">
        <w:rPr>
          <w:sz w:val="18"/>
        </w:rPr>
        <w:t>Provide the Buyer with a Rectification Plan in accordance with</w:t>
      </w:r>
      <w:r w:rsidRPr="00150EDC">
        <w:rPr>
          <w:spacing w:val="40"/>
          <w:sz w:val="18"/>
        </w:rPr>
        <w:t xml:space="preserve"> </w:t>
      </w:r>
      <w:r w:rsidRPr="00150EDC">
        <w:rPr>
          <w:sz w:val="18"/>
        </w:rPr>
        <w:t>Clause 10.3 (Rectification Plan Process) of the Contract;</w:t>
      </w:r>
    </w:p>
    <w:p w14:paraId="617AE2A1" w14:textId="77777777" w:rsidR="004C7180" w:rsidRPr="00150EDC" w:rsidRDefault="00CF0754" w:rsidP="00B320C7">
      <w:pPr>
        <w:pStyle w:val="ListParagraph"/>
        <w:numPr>
          <w:ilvl w:val="2"/>
          <w:numId w:val="37"/>
        </w:numPr>
        <w:tabs>
          <w:tab w:val="left" w:pos="2665"/>
          <w:tab w:val="left" w:pos="2668"/>
        </w:tabs>
        <w:spacing w:before="92"/>
        <w:ind w:right="4018"/>
        <w:jc w:val="both"/>
        <w:rPr>
          <w:sz w:val="18"/>
        </w:rPr>
      </w:pPr>
      <w:r w:rsidRPr="00150EDC">
        <w:rPr>
          <w:sz w:val="18"/>
        </w:rPr>
        <w:t>Deploy all additional resources and take all remedial action that</w:t>
      </w:r>
      <w:r w:rsidRPr="00150EDC">
        <w:rPr>
          <w:spacing w:val="40"/>
          <w:sz w:val="18"/>
        </w:rPr>
        <w:t xml:space="preserve"> </w:t>
      </w:r>
      <w:r w:rsidRPr="00150EDC">
        <w:rPr>
          <w:sz w:val="18"/>
        </w:rPr>
        <w:t>is</w:t>
      </w:r>
      <w:r w:rsidRPr="00150EDC">
        <w:rPr>
          <w:spacing w:val="-6"/>
          <w:sz w:val="18"/>
        </w:rPr>
        <w:t xml:space="preserve"> </w:t>
      </w:r>
      <w:r w:rsidRPr="00150EDC">
        <w:rPr>
          <w:sz w:val="18"/>
        </w:rPr>
        <w:t>necessary</w:t>
      </w:r>
      <w:r w:rsidRPr="00150EDC">
        <w:rPr>
          <w:spacing w:val="-8"/>
          <w:sz w:val="18"/>
        </w:rPr>
        <w:t xml:space="preserve"> </w:t>
      </w:r>
      <w:r w:rsidRPr="00150EDC">
        <w:rPr>
          <w:sz w:val="18"/>
        </w:rPr>
        <w:t>to</w:t>
      </w:r>
      <w:r w:rsidRPr="00150EDC">
        <w:rPr>
          <w:spacing w:val="-7"/>
          <w:sz w:val="18"/>
        </w:rPr>
        <w:t xml:space="preserve"> </w:t>
      </w:r>
      <w:r w:rsidRPr="00150EDC">
        <w:rPr>
          <w:sz w:val="18"/>
        </w:rPr>
        <w:t>rectify</w:t>
      </w:r>
      <w:r w:rsidRPr="00150EDC">
        <w:rPr>
          <w:spacing w:val="-10"/>
          <w:sz w:val="18"/>
        </w:rPr>
        <w:t xml:space="preserve"> </w:t>
      </w:r>
      <w:r w:rsidRPr="00150EDC">
        <w:rPr>
          <w:sz w:val="18"/>
        </w:rPr>
        <w:t>or</w:t>
      </w:r>
      <w:r w:rsidRPr="00150EDC">
        <w:rPr>
          <w:spacing w:val="-7"/>
          <w:sz w:val="18"/>
        </w:rPr>
        <w:t xml:space="preserve"> </w:t>
      </w:r>
      <w:r w:rsidRPr="00150EDC">
        <w:rPr>
          <w:sz w:val="18"/>
        </w:rPr>
        <w:t>to</w:t>
      </w:r>
      <w:r w:rsidRPr="00150EDC">
        <w:rPr>
          <w:spacing w:val="-7"/>
          <w:sz w:val="18"/>
        </w:rPr>
        <w:t xml:space="preserve"> </w:t>
      </w:r>
      <w:r w:rsidRPr="00150EDC">
        <w:rPr>
          <w:sz w:val="18"/>
        </w:rPr>
        <w:t>prevent</w:t>
      </w:r>
      <w:r w:rsidRPr="00150EDC">
        <w:rPr>
          <w:spacing w:val="-8"/>
          <w:sz w:val="18"/>
        </w:rPr>
        <w:t xml:space="preserve"> </w:t>
      </w:r>
      <w:r w:rsidRPr="00150EDC">
        <w:rPr>
          <w:sz w:val="18"/>
        </w:rPr>
        <w:t>the</w:t>
      </w:r>
      <w:r w:rsidRPr="00150EDC">
        <w:rPr>
          <w:spacing w:val="-7"/>
          <w:sz w:val="18"/>
        </w:rPr>
        <w:t xml:space="preserve"> </w:t>
      </w:r>
      <w:r w:rsidRPr="00150EDC">
        <w:rPr>
          <w:sz w:val="18"/>
        </w:rPr>
        <w:t>KPI</w:t>
      </w:r>
      <w:r w:rsidRPr="00150EDC">
        <w:rPr>
          <w:spacing w:val="-8"/>
          <w:sz w:val="18"/>
        </w:rPr>
        <w:t xml:space="preserve"> </w:t>
      </w:r>
      <w:r w:rsidRPr="00150EDC">
        <w:rPr>
          <w:sz w:val="18"/>
        </w:rPr>
        <w:t>failure</w:t>
      </w:r>
      <w:r w:rsidRPr="00150EDC">
        <w:rPr>
          <w:spacing w:val="-6"/>
          <w:sz w:val="18"/>
        </w:rPr>
        <w:t xml:space="preserve"> </w:t>
      </w:r>
      <w:r w:rsidRPr="00150EDC">
        <w:rPr>
          <w:sz w:val="18"/>
        </w:rPr>
        <w:t>from</w:t>
      </w:r>
      <w:r w:rsidRPr="00150EDC">
        <w:rPr>
          <w:spacing w:val="-7"/>
          <w:sz w:val="18"/>
        </w:rPr>
        <w:t xml:space="preserve"> </w:t>
      </w:r>
      <w:r w:rsidRPr="00150EDC">
        <w:rPr>
          <w:sz w:val="18"/>
        </w:rPr>
        <w:t xml:space="preserve">occurring; </w:t>
      </w:r>
      <w:r w:rsidRPr="00150EDC">
        <w:rPr>
          <w:spacing w:val="-4"/>
          <w:sz w:val="18"/>
        </w:rPr>
        <w:t>and</w:t>
      </w:r>
    </w:p>
    <w:p w14:paraId="425529E8" w14:textId="77777777" w:rsidR="004C7180" w:rsidRPr="00150EDC" w:rsidRDefault="00CF0754" w:rsidP="00B320C7">
      <w:pPr>
        <w:pStyle w:val="ListParagraph"/>
        <w:numPr>
          <w:ilvl w:val="2"/>
          <w:numId w:val="37"/>
        </w:numPr>
        <w:tabs>
          <w:tab w:val="left" w:pos="2665"/>
          <w:tab w:val="left" w:pos="2668"/>
        </w:tabs>
        <w:spacing w:before="93"/>
        <w:ind w:right="4018"/>
        <w:jc w:val="both"/>
        <w:rPr>
          <w:sz w:val="18"/>
        </w:rPr>
      </w:pPr>
      <w:r w:rsidRPr="00150EDC">
        <w:rPr>
          <w:sz w:val="18"/>
        </w:rPr>
        <w:t>Carry out the actions identified in the Rectification Plan in accordance with its terms.</w:t>
      </w:r>
    </w:p>
    <w:p w14:paraId="583586F1" w14:textId="77777777" w:rsidR="004C7180" w:rsidRPr="00150EDC" w:rsidRDefault="004C7180">
      <w:pPr>
        <w:jc w:val="both"/>
        <w:rPr>
          <w:sz w:val="18"/>
        </w:rPr>
        <w:sectPr w:rsidR="004C7180" w:rsidRPr="00150EDC">
          <w:pgSz w:w="11910" w:h="16840"/>
          <w:pgMar w:top="2940" w:right="0" w:bottom="3120" w:left="40" w:header="2612" w:footer="2929" w:gutter="0"/>
          <w:cols w:space="720"/>
        </w:sectPr>
      </w:pPr>
    </w:p>
    <w:p w14:paraId="1886A757" w14:textId="25599C58" w:rsidR="004C7180" w:rsidRPr="00150EDC" w:rsidRDefault="004C7180">
      <w:pPr>
        <w:pStyle w:val="BodyText"/>
        <w:spacing w:before="10"/>
        <w:rPr>
          <w:sz w:val="9"/>
        </w:rPr>
      </w:pPr>
    </w:p>
    <w:p w14:paraId="00CE7BA4" w14:textId="77777777" w:rsidR="004C7180" w:rsidRPr="00150EDC" w:rsidRDefault="00CF0754">
      <w:pPr>
        <w:pStyle w:val="Heading3"/>
      </w:pPr>
      <w:bookmarkStart w:id="50" w:name="Annex_to_Part_B:_Key_Performance_Indicat"/>
      <w:bookmarkEnd w:id="50"/>
      <w:r w:rsidRPr="00150EDC">
        <w:t>Annex</w:t>
      </w:r>
      <w:r w:rsidRPr="00150EDC">
        <w:rPr>
          <w:spacing w:val="-4"/>
        </w:rPr>
        <w:t xml:space="preserve"> </w:t>
      </w:r>
      <w:r w:rsidRPr="00150EDC">
        <w:t>to</w:t>
      </w:r>
      <w:r w:rsidRPr="00150EDC">
        <w:rPr>
          <w:spacing w:val="-1"/>
        </w:rPr>
        <w:t xml:space="preserve"> </w:t>
      </w:r>
      <w:r w:rsidRPr="00150EDC">
        <w:t>Part</w:t>
      </w:r>
      <w:r w:rsidRPr="00150EDC">
        <w:rPr>
          <w:spacing w:val="-2"/>
        </w:rPr>
        <w:t xml:space="preserve"> </w:t>
      </w:r>
      <w:r w:rsidRPr="00150EDC">
        <w:t>B:</w:t>
      </w:r>
      <w:r w:rsidRPr="00150EDC">
        <w:rPr>
          <w:spacing w:val="-1"/>
        </w:rPr>
        <w:t xml:space="preserve"> </w:t>
      </w:r>
      <w:r w:rsidRPr="00150EDC">
        <w:t>Key</w:t>
      </w:r>
      <w:r w:rsidRPr="00150EDC">
        <w:rPr>
          <w:spacing w:val="-2"/>
        </w:rPr>
        <w:t xml:space="preserve"> </w:t>
      </w:r>
      <w:r w:rsidRPr="00150EDC">
        <w:t>Performance</w:t>
      </w:r>
      <w:r w:rsidRPr="00150EDC">
        <w:rPr>
          <w:spacing w:val="-2"/>
        </w:rPr>
        <w:t xml:space="preserve"> </w:t>
      </w:r>
      <w:r w:rsidRPr="00150EDC">
        <w:t>Indicators</w:t>
      </w:r>
      <w:r w:rsidRPr="00150EDC">
        <w:rPr>
          <w:spacing w:val="-1"/>
        </w:rPr>
        <w:t xml:space="preserve"> </w:t>
      </w:r>
      <w:r w:rsidRPr="00150EDC">
        <w:rPr>
          <w:spacing w:val="-2"/>
        </w:rPr>
        <w:t>Table</w:t>
      </w:r>
    </w:p>
    <w:p w14:paraId="0C69FD8D" w14:textId="77777777" w:rsidR="004C7180" w:rsidRPr="00150EDC" w:rsidRDefault="004C7180">
      <w:pPr>
        <w:pStyle w:val="BodyText"/>
        <w:rPr>
          <w:b/>
          <w:sz w:val="30"/>
        </w:rPr>
      </w:pPr>
    </w:p>
    <w:p w14:paraId="5930BBD3" w14:textId="01B87014" w:rsidR="004C7180" w:rsidRPr="00150EDC" w:rsidRDefault="004C7180">
      <w:pPr>
        <w:pStyle w:val="BodyText"/>
        <w:spacing w:before="7"/>
        <w:rPr>
          <w:b/>
          <w:sz w:val="28"/>
        </w:rPr>
      </w:pPr>
    </w:p>
    <w:p w14:paraId="3DA27C6F" w14:textId="77777777" w:rsidR="004C7180" w:rsidRPr="00150EDC" w:rsidRDefault="00CF0754">
      <w:pPr>
        <w:ind w:left="1044"/>
        <w:rPr>
          <w:b/>
          <w:sz w:val="18"/>
        </w:rPr>
      </w:pPr>
      <w:r w:rsidRPr="00150EDC">
        <w:rPr>
          <w:noProof/>
          <w:lang w:val="en-GB" w:eastAsia="en-GB"/>
        </w:rPr>
        <mc:AlternateContent>
          <mc:Choice Requires="wps">
            <w:drawing>
              <wp:anchor distT="0" distB="0" distL="0" distR="0" simplePos="0" relativeHeight="251658247" behindDoc="0" locked="0" layoutInCell="1" allowOverlap="1" wp14:anchorId="7673DD42" wp14:editId="55FC2CE1">
                <wp:simplePos x="0" y="0"/>
                <wp:positionH relativeFrom="page">
                  <wp:posOffset>664730</wp:posOffset>
                </wp:positionH>
                <wp:positionV relativeFrom="paragraph">
                  <wp:posOffset>499862</wp:posOffset>
                </wp:positionV>
                <wp:extent cx="6985" cy="150495"/>
                <wp:effectExtent l="0" t="0" r="0" b="0"/>
                <wp:wrapNone/>
                <wp:docPr id="58991856" name="Free-form: Shape 589918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 cy="150495"/>
                        </a:xfrm>
                        <a:custGeom>
                          <a:avLst/>
                          <a:gdLst/>
                          <a:ahLst/>
                          <a:cxnLst/>
                          <a:rect l="l" t="t" r="r" b="b"/>
                          <a:pathLst>
                            <a:path w="6985" h="150495">
                              <a:moveTo>
                                <a:pt x="6896" y="0"/>
                              </a:moveTo>
                              <a:lnTo>
                                <a:pt x="0" y="0"/>
                              </a:lnTo>
                              <a:lnTo>
                                <a:pt x="0" y="143510"/>
                              </a:lnTo>
                              <a:lnTo>
                                <a:pt x="0" y="150393"/>
                              </a:lnTo>
                              <a:lnTo>
                                <a:pt x="6896" y="150393"/>
                              </a:lnTo>
                              <a:lnTo>
                                <a:pt x="6896" y="143510"/>
                              </a:lnTo>
                              <a:lnTo>
                                <a:pt x="68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D3FEA0" id="Free-form: Shape 58991856" o:spid="_x0000_s1026" style="position:absolute;margin-left:52.35pt;margin-top:39.35pt;width:.55pt;height:11.85pt;z-index:251658247;visibility:visible;mso-wrap-style:square;mso-wrap-distance-left:0;mso-wrap-distance-top:0;mso-wrap-distance-right:0;mso-wrap-distance-bottom:0;mso-position-horizontal:absolute;mso-position-horizontal-relative:page;mso-position-vertical:absolute;mso-position-vertical-relative:text;v-text-anchor:top" coordsize="6985,15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" path="m6896,l,,,143510r,6883l6896,150393r,-6883l6896,xe" fillcolor="black" stroked="f">
                <v:path arrowok="t"/>
                <w10:wrap anchorx="page"/>
              </v:shape>
            </w:pict>
          </mc:Fallback>
        </mc:AlternateContent>
      </w:r>
      <w:r w:rsidRPr="00150EDC">
        <w:rPr>
          <w:noProof/>
          <w:lang w:val="en-GB" w:eastAsia="en-GB"/>
        </w:rPr>
        <mc:AlternateContent>
          <mc:Choice Requires="wps">
            <w:drawing>
              <wp:anchor distT="0" distB="0" distL="0" distR="0" simplePos="0" relativeHeight="251658248" behindDoc="0" locked="0" layoutInCell="1" allowOverlap="1" wp14:anchorId="46528FFA" wp14:editId="686A344C">
                <wp:simplePos x="0" y="0"/>
                <wp:positionH relativeFrom="page">
                  <wp:posOffset>1296187</wp:posOffset>
                </wp:positionH>
                <wp:positionV relativeFrom="paragraph">
                  <wp:posOffset>499862</wp:posOffset>
                </wp:positionV>
                <wp:extent cx="3126740" cy="150495"/>
                <wp:effectExtent l="0" t="0" r="0" b="0"/>
                <wp:wrapNone/>
                <wp:docPr id="1499928043" name="Free-form: Shape 14999280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26740" cy="150495"/>
                        </a:xfrm>
                        <a:custGeom>
                          <a:avLst/>
                          <a:gdLst/>
                          <a:ahLst/>
                          <a:cxnLst/>
                          <a:rect l="l" t="t" r="r" b="b"/>
                          <a:pathLst>
                            <a:path w="3126740" h="150495">
                              <a:moveTo>
                                <a:pt x="3126219" y="0"/>
                              </a:moveTo>
                              <a:lnTo>
                                <a:pt x="3119323" y="0"/>
                              </a:lnTo>
                              <a:lnTo>
                                <a:pt x="3119323" y="143510"/>
                              </a:lnTo>
                              <a:lnTo>
                                <a:pt x="1908098" y="143510"/>
                              </a:lnTo>
                              <a:lnTo>
                                <a:pt x="1908098" y="0"/>
                              </a:lnTo>
                              <a:lnTo>
                                <a:pt x="1901215" y="0"/>
                              </a:lnTo>
                              <a:lnTo>
                                <a:pt x="1901215" y="143510"/>
                              </a:lnTo>
                              <a:lnTo>
                                <a:pt x="6883" y="143510"/>
                              </a:lnTo>
                              <a:lnTo>
                                <a:pt x="6883" y="0"/>
                              </a:lnTo>
                              <a:lnTo>
                                <a:pt x="0" y="0"/>
                              </a:lnTo>
                              <a:lnTo>
                                <a:pt x="0" y="143510"/>
                              </a:lnTo>
                              <a:lnTo>
                                <a:pt x="0" y="150393"/>
                              </a:lnTo>
                              <a:lnTo>
                                <a:pt x="3126219" y="150393"/>
                              </a:lnTo>
                              <a:lnTo>
                                <a:pt x="3126219" y="143510"/>
                              </a:lnTo>
                              <a:lnTo>
                                <a:pt x="312621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852D61" id="Free-form: Shape 1499928043" o:spid="_x0000_s1026" style="position:absolute;margin-left:102.05pt;margin-top:39.35pt;width:246.2pt;height:11.85pt;z-index:251658248;visibility:visible;mso-wrap-style:square;mso-wrap-distance-left:0;mso-wrap-distance-top:0;mso-wrap-distance-right:0;mso-wrap-distance-bottom:0;mso-position-horizontal:absolute;mso-position-horizontal-relative:page;mso-position-vertical:absolute;mso-position-vertical-relative:text;v-text-anchor:top" coordsize="3126740,15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" path="m3126219,r-6896,l3119323,143510r-1211225,l1908098,r-6883,l1901215,143510r-1894332,l6883,,,,,143510r,6883l3126219,150393r,-6883l3126219,xe" fillcolor="black" stroked="f">
                <v:path arrowok="t"/>
                <w10:wrap anchorx="page"/>
              </v:shape>
            </w:pict>
          </mc:Fallback>
        </mc:AlternateContent>
      </w:r>
      <w:bookmarkStart w:id="51" w:name="Key_Performance_Indicators"/>
      <w:bookmarkEnd w:id="51"/>
      <w:r w:rsidRPr="00150EDC">
        <w:rPr>
          <w:b/>
          <w:sz w:val="18"/>
        </w:rPr>
        <w:t>Key</w:t>
      </w:r>
      <w:r w:rsidRPr="00150EDC">
        <w:rPr>
          <w:b/>
          <w:spacing w:val="-3"/>
          <w:sz w:val="18"/>
        </w:rPr>
        <w:t xml:space="preserve"> </w:t>
      </w:r>
      <w:r w:rsidRPr="00150EDC">
        <w:rPr>
          <w:b/>
          <w:sz w:val="18"/>
        </w:rPr>
        <w:t>Performance</w:t>
      </w:r>
      <w:r w:rsidRPr="00150EDC">
        <w:rPr>
          <w:b/>
          <w:spacing w:val="-3"/>
          <w:sz w:val="18"/>
        </w:rPr>
        <w:t xml:space="preserve"> </w:t>
      </w:r>
      <w:r w:rsidRPr="00150EDC">
        <w:rPr>
          <w:b/>
          <w:spacing w:val="-2"/>
          <w:sz w:val="18"/>
        </w:rPr>
        <w:t>Indicators</w:t>
      </w:r>
    </w:p>
    <w:p w14:paraId="7222DEE1" w14:textId="77777777" w:rsidR="005C29CF" w:rsidRPr="00150EDC" w:rsidRDefault="005C29CF" w:rsidP="005C29CF">
      <w:pPr>
        <w:keepNext/>
        <w:adjustRightInd w:val="0"/>
        <w:spacing w:after="240"/>
        <w:outlineLvl w:val="1"/>
        <w:rPr>
          <w:rFonts w:eastAsia="STZhongsong"/>
          <w:b/>
          <w:sz w:val="24"/>
          <w:szCs w:val="24"/>
          <w:lang w:eastAsia="zh-CN"/>
        </w:rPr>
      </w:pPr>
      <w:r w:rsidRPr="00150EDC">
        <w:rPr>
          <w:rFonts w:eastAsia="STZhongsong"/>
          <w:b/>
          <w:sz w:val="24"/>
          <w:szCs w:val="24"/>
          <w:lang w:eastAsia="zh-CN"/>
        </w:rPr>
        <w:t>Key Performance Indicators</w:t>
      </w:r>
    </w:p>
    <w:p w14:paraId="3ECD58B2" w14:textId="79CF9224" w:rsidR="005C29CF" w:rsidRPr="00150EDC" w:rsidRDefault="00ED5D8D" w:rsidP="005C29CF">
      <w:pPr>
        <w:pStyle w:val="GPSSchAnnexname"/>
        <w:jc w:val="left"/>
        <w:rPr>
          <w:rFonts w:ascii="Arial" w:hAnsi="Arial" w:cs="Arial"/>
          <w:caps w:val="0"/>
          <w:sz w:val="24"/>
          <w:szCs w:val="24"/>
        </w:rPr>
      </w:pPr>
      <w:r w:rsidRPr="00150EDC">
        <w:rPr>
          <w:noProof/>
          <w:lang w:eastAsia="en-GB"/>
        </w:rPr>
        <mc:AlternateContent>
          <mc:Choice Requires="wpg">
            <w:drawing>
              <wp:anchor distT="0" distB="0" distL="0" distR="0" simplePos="0" relativeHeight="251658261" behindDoc="1" locked="0" layoutInCell="1" allowOverlap="1" wp14:anchorId="4B2EB388" wp14:editId="544EDCE4">
                <wp:simplePos x="0" y="0"/>
                <wp:positionH relativeFrom="page">
                  <wp:posOffset>347133</wp:posOffset>
                </wp:positionH>
                <wp:positionV relativeFrom="page">
                  <wp:posOffset>3124200</wp:posOffset>
                </wp:positionV>
                <wp:extent cx="5024142" cy="3958590"/>
                <wp:effectExtent l="0" t="0" r="5080" b="3810"/>
                <wp:wrapNone/>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24142" cy="3958590"/>
                          <a:chOff x="0" y="1808212"/>
                          <a:chExt cx="5024285" cy="3959060"/>
                        </a:xfrm>
                      </wpg:grpSpPr>
                      <wps:wsp>
                        <wps:cNvPr id="150" name="Graphic 147"/>
                        <wps:cNvSpPr/>
                        <wps:spPr>
                          <a:xfrm>
                            <a:off x="4075684" y="1815109"/>
                            <a:ext cx="941705" cy="143510"/>
                          </a:xfrm>
                          <a:custGeom>
                            <a:avLst/>
                            <a:gdLst/>
                            <a:ahLst/>
                            <a:cxnLst/>
                            <a:rect l="l" t="t" r="r" b="b"/>
                            <a:pathLst>
                              <a:path w="941705" h="143510">
                                <a:moveTo>
                                  <a:pt x="941425" y="0"/>
                                </a:moveTo>
                                <a:lnTo>
                                  <a:pt x="0" y="0"/>
                                </a:lnTo>
                                <a:lnTo>
                                  <a:pt x="0" y="143509"/>
                                </a:lnTo>
                                <a:lnTo>
                                  <a:pt x="941425" y="143509"/>
                                </a:lnTo>
                                <a:lnTo>
                                  <a:pt x="941425" y="0"/>
                                </a:lnTo>
                                <a:close/>
                              </a:path>
                            </a:pathLst>
                          </a:custGeom>
                          <a:solidFill>
                            <a:srgbClr val="7E7E7E"/>
                          </a:solidFill>
                        </wps:spPr>
                        <wps:bodyPr wrap="square" lIns="0" tIns="0" rIns="0" bIns="0" rtlCol="0">
                          <a:prstTxWarp prst="textNoShape">
                            <a:avLst/>
                          </a:prstTxWarp>
                          <a:noAutofit/>
                        </wps:bodyPr>
                      </wps:wsp>
                      <wps:wsp>
                        <wps:cNvPr id="151" name="Graphic 148"/>
                        <wps:cNvSpPr/>
                        <wps:spPr>
                          <a:xfrm>
                            <a:off x="2850680" y="1808212"/>
                            <a:ext cx="2173605" cy="1986280"/>
                          </a:xfrm>
                          <a:custGeom>
                            <a:avLst/>
                            <a:gdLst/>
                            <a:ahLst/>
                            <a:cxnLst/>
                            <a:rect l="l" t="t" r="r" b="b"/>
                            <a:pathLst>
                              <a:path w="2173605" h="1986280">
                                <a:moveTo>
                                  <a:pt x="6883" y="157302"/>
                                </a:moveTo>
                                <a:lnTo>
                                  <a:pt x="0" y="157302"/>
                                </a:lnTo>
                                <a:lnTo>
                                  <a:pt x="0" y="1986191"/>
                                </a:lnTo>
                                <a:lnTo>
                                  <a:pt x="6883" y="1986191"/>
                                </a:lnTo>
                                <a:lnTo>
                                  <a:pt x="6883" y="157302"/>
                                </a:lnTo>
                                <a:close/>
                              </a:path>
                              <a:path w="2173605" h="1986280">
                                <a:moveTo>
                                  <a:pt x="1225003" y="157302"/>
                                </a:moveTo>
                                <a:lnTo>
                                  <a:pt x="1218107" y="157302"/>
                                </a:lnTo>
                                <a:lnTo>
                                  <a:pt x="1218107" y="1986191"/>
                                </a:lnTo>
                                <a:lnTo>
                                  <a:pt x="1225003" y="1986191"/>
                                </a:lnTo>
                                <a:lnTo>
                                  <a:pt x="1225003" y="157302"/>
                                </a:lnTo>
                                <a:close/>
                              </a:path>
                              <a:path w="2173605" h="1986280">
                                <a:moveTo>
                                  <a:pt x="2173313" y="6908"/>
                                </a:moveTo>
                                <a:lnTo>
                                  <a:pt x="2166416" y="6908"/>
                                </a:lnTo>
                                <a:lnTo>
                                  <a:pt x="2166416" y="150418"/>
                                </a:lnTo>
                                <a:lnTo>
                                  <a:pt x="1225003" y="150418"/>
                                </a:lnTo>
                                <a:lnTo>
                                  <a:pt x="1225003" y="157302"/>
                                </a:lnTo>
                                <a:lnTo>
                                  <a:pt x="2166416" y="157302"/>
                                </a:lnTo>
                                <a:lnTo>
                                  <a:pt x="2166416" y="1986191"/>
                                </a:lnTo>
                                <a:lnTo>
                                  <a:pt x="2173313" y="1986191"/>
                                </a:lnTo>
                                <a:lnTo>
                                  <a:pt x="2173313" y="157302"/>
                                </a:lnTo>
                                <a:lnTo>
                                  <a:pt x="2173313" y="150418"/>
                                </a:lnTo>
                                <a:lnTo>
                                  <a:pt x="2173313" y="6908"/>
                                </a:lnTo>
                                <a:close/>
                              </a:path>
                              <a:path w="2173605" h="1986280">
                                <a:moveTo>
                                  <a:pt x="2173313" y="0"/>
                                </a:moveTo>
                                <a:lnTo>
                                  <a:pt x="2166429" y="0"/>
                                </a:lnTo>
                                <a:lnTo>
                                  <a:pt x="1225003" y="0"/>
                                </a:lnTo>
                                <a:lnTo>
                                  <a:pt x="1225003" y="6896"/>
                                </a:lnTo>
                                <a:lnTo>
                                  <a:pt x="2166416" y="6896"/>
                                </a:lnTo>
                                <a:lnTo>
                                  <a:pt x="2173313" y="6896"/>
                                </a:lnTo>
                                <a:lnTo>
                                  <a:pt x="2173313" y="0"/>
                                </a:lnTo>
                                <a:close/>
                              </a:path>
                            </a:pathLst>
                          </a:custGeom>
                          <a:solidFill>
                            <a:srgbClr val="000000"/>
                          </a:solidFill>
                        </wps:spPr>
                        <wps:bodyPr wrap="square" lIns="0" tIns="0" rIns="0" bIns="0" rtlCol="0">
                          <a:prstTxWarp prst="textNoShape">
                            <a:avLst/>
                          </a:prstTxWarp>
                          <a:noAutofit/>
                        </wps:bodyPr>
                      </wps:wsp>
                      <wps:wsp>
                        <wps:cNvPr id="154" name="Graphic 151"/>
                        <wps:cNvSpPr/>
                        <wps:spPr>
                          <a:xfrm>
                            <a:off x="6883" y="3794391"/>
                            <a:ext cx="5017135" cy="6985"/>
                          </a:xfrm>
                          <a:custGeom>
                            <a:avLst/>
                            <a:gdLst/>
                            <a:ahLst/>
                            <a:cxnLst/>
                            <a:rect l="l" t="t" r="r" b="b"/>
                            <a:pathLst>
                              <a:path w="5017135" h="6985">
                                <a:moveTo>
                                  <a:pt x="5017109" y="0"/>
                                </a:moveTo>
                                <a:lnTo>
                                  <a:pt x="5017109" y="0"/>
                                </a:lnTo>
                                <a:lnTo>
                                  <a:pt x="0" y="0"/>
                                </a:lnTo>
                                <a:lnTo>
                                  <a:pt x="0" y="6896"/>
                                </a:lnTo>
                                <a:lnTo>
                                  <a:pt x="5017109" y="6896"/>
                                </a:lnTo>
                                <a:lnTo>
                                  <a:pt x="5017109" y="0"/>
                                </a:lnTo>
                                <a:close/>
                              </a:path>
                            </a:pathLst>
                          </a:custGeom>
                          <a:solidFill>
                            <a:srgbClr val="000000"/>
                          </a:solidFill>
                        </wps:spPr>
                        <wps:bodyPr wrap="square" lIns="0" tIns="0" rIns="0" bIns="0" rtlCol="0">
                          <a:prstTxWarp prst="textNoShape">
                            <a:avLst/>
                          </a:prstTxWarp>
                          <a:noAutofit/>
                        </wps:bodyPr>
                      </wps:wsp>
                      <wps:wsp>
                        <wps:cNvPr id="157" name="Graphic 154"/>
                        <wps:cNvSpPr/>
                        <wps:spPr>
                          <a:xfrm>
                            <a:off x="6883" y="1958632"/>
                            <a:ext cx="311150" cy="6985"/>
                          </a:xfrm>
                          <a:custGeom>
                            <a:avLst/>
                            <a:gdLst/>
                            <a:ahLst/>
                            <a:cxnLst/>
                            <a:rect l="l" t="t" r="r" b="b"/>
                            <a:pathLst>
                              <a:path w="311150" h="6985">
                                <a:moveTo>
                                  <a:pt x="311124" y="0"/>
                                </a:moveTo>
                                <a:lnTo>
                                  <a:pt x="0" y="0"/>
                                </a:lnTo>
                                <a:lnTo>
                                  <a:pt x="0" y="6883"/>
                                </a:lnTo>
                                <a:lnTo>
                                  <a:pt x="311124" y="6883"/>
                                </a:lnTo>
                                <a:lnTo>
                                  <a:pt x="311124" y="0"/>
                                </a:lnTo>
                                <a:close/>
                              </a:path>
                            </a:pathLst>
                          </a:custGeom>
                          <a:solidFill>
                            <a:srgbClr val="000000"/>
                          </a:solidFill>
                        </wps:spPr>
                        <wps:bodyPr wrap="square" lIns="0" tIns="0" rIns="0" bIns="0" rtlCol="0">
                          <a:prstTxWarp prst="textNoShape">
                            <a:avLst/>
                          </a:prstTxWarp>
                          <a:noAutofit/>
                        </wps:bodyPr>
                      </wps:wsp>
                      <wps:wsp>
                        <wps:cNvPr id="159" name="Graphic 156"/>
                        <wps:cNvSpPr/>
                        <wps:spPr>
                          <a:xfrm>
                            <a:off x="954054" y="2060806"/>
                            <a:ext cx="3810" cy="3810"/>
                          </a:xfrm>
                          <a:custGeom>
                            <a:avLst/>
                            <a:gdLst/>
                            <a:ahLst/>
                            <a:cxnLst/>
                            <a:rect l="l" t="t" r="r" b="b"/>
                            <a:pathLst>
                              <a:path w="3810" h="3810">
                                <a:moveTo>
                                  <a:pt x="3441" y="3441"/>
                                </a:moveTo>
                                <a:lnTo>
                                  <a:pt x="0" y="0"/>
                                </a:lnTo>
                              </a:path>
                            </a:pathLst>
                          </a:custGeom>
                          <a:ln w="1143">
                            <a:solidFill>
                              <a:srgbClr val="D13438"/>
                            </a:solidFill>
                            <a:prstDash val="solid"/>
                          </a:ln>
                        </wps:spPr>
                        <wps:bodyPr wrap="square" lIns="0" tIns="0" rIns="0" bIns="0" rtlCol="0">
                          <a:prstTxWarp prst="textNoShape">
                            <a:avLst/>
                          </a:prstTxWarp>
                          <a:noAutofit/>
                        </wps:bodyPr>
                      </wps:wsp>
                      <wps:wsp>
                        <wps:cNvPr id="160" name="Graphic 157"/>
                        <wps:cNvSpPr/>
                        <wps:spPr>
                          <a:xfrm>
                            <a:off x="954051" y="1970100"/>
                            <a:ext cx="1270" cy="90805"/>
                          </a:xfrm>
                          <a:custGeom>
                            <a:avLst/>
                            <a:gdLst/>
                            <a:ahLst/>
                            <a:cxnLst/>
                            <a:rect l="l" t="t" r="r" b="b"/>
                            <a:pathLst>
                              <a:path h="90805">
                                <a:moveTo>
                                  <a:pt x="0" y="90703"/>
                                </a:moveTo>
                                <a:lnTo>
                                  <a:pt x="0" y="0"/>
                                </a:lnTo>
                              </a:path>
                            </a:pathLst>
                          </a:custGeom>
                          <a:ln w="1143">
                            <a:solidFill>
                              <a:srgbClr val="D13438"/>
                            </a:solidFill>
                            <a:prstDash val="solid"/>
                          </a:ln>
                        </wps:spPr>
                        <wps:bodyPr wrap="square" lIns="0" tIns="0" rIns="0" bIns="0" rtlCol="0">
                          <a:prstTxWarp prst="textNoShape">
                            <a:avLst/>
                          </a:prstTxWarp>
                          <a:noAutofit/>
                        </wps:bodyPr>
                      </wps:wsp>
                      <wps:wsp>
                        <wps:cNvPr id="161" name="Graphic 158"/>
                        <wps:cNvSpPr/>
                        <wps:spPr>
                          <a:xfrm>
                            <a:off x="954051" y="1966663"/>
                            <a:ext cx="3810" cy="3810"/>
                          </a:xfrm>
                          <a:custGeom>
                            <a:avLst/>
                            <a:gdLst/>
                            <a:ahLst/>
                            <a:cxnLst/>
                            <a:rect l="l" t="t" r="r" b="b"/>
                            <a:pathLst>
                              <a:path w="3810" h="3810">
                                <a:moveTo>
                                  <a:pt x="0" y="3441"/>
                                </a:moveTo>
                                <a:lnTo>
                                  <a:pt x="3441" y="0"/>
                                </a:lnTo>
                              </a:path>
                            </a:pathLst>
                          </a:custGeom>
                          <a:ln w="1143">
                            <a:solidFill>
                              <a:srgbClr val="D13438"/>
                            </a:solidFill>
                            <a:prstDash val="solid"/>
                          </a:ln>
                        </wps:spPr>
                        <wps:bodyPr wrap="square" lIns="0" tIns="0" rIns="0" bIns="0" rtlCol="0">
                          <a:prstTxWarp prst="textNoShape">
                            <a:avLst/>
                          </a:prstTxWarp>
                          <a:noAutofit/>
                        </wps:bodyPr>
                      </wps:wsp>
                      <wps:wsp>
                        <wps:cNvPr id="162" name="Graphic 159"/>
                        <wps:cNvSpPr/>
                        <wps:spPr>
                          <a:xfrm>
                            <a:off x="954054" y="2060806"/>
                            <a:ext cx="3810" cy="3810"/>
                          </a:xfrm>
                          <a:custGeom>
                            <a:avLst/>
                            <a:gdLst/>
                            <a:ahLst/>
                            <a:cxnLst/>
                            <a:rect l="l" t="t" r="r" b="b"/>
                            <a:pathLst>
                              <a:path w="3810" h="3810">
                                <a:moveTo>
                                  <a:pt x="3441" y="3441"/>
                                </a:moveTo>
                                <a:lnTo>
                                  <a:pt x="0" y="0"/>
                                </a:lnTo>
                              </a:path>
                            </a:pathLst>
                          </a:custGeom>
                          <a:ln w="1143">
                            <a:solidFill>
                              <a:srgbClr val="0078D3"/>
                            </a:solidFill>
                            <a:prstDash val="solid"/>
                          </a:ln>
                        </wps:spPr>
                        <wps:bodyPr wrap="square" lIns="0" tIns="0" rIns="0" bIns="0" rtlCol="0">
                          <a:prstTxWarp prst="textNoShape">
                            <a:avLst/>
                          </a:prstTxWarp>
                          <a:noAutofit/>
                        </wps:bodyPr>
                      </wps:wsp>
                      <wps:wsp>
                        <wps:cNvPr id="163" name="Graphic 160"/>
                        <wps:cNvSpPr/>
                        <wps:spPr>
                          <a:xfrm>
                            <a:off x="954051" y="1970100"/>
                            <a:ext cx="1270" cy="90805"/>
                          </a:xfrm>
                          <a:custGeom>
                            <a:avLst/>
                            <a:gdLst/>
                            <a:ahLst/>
                            <a:cxnLst/>
                            <a:rect l="l" t="t" r="r" b="b"/>
                            <a:pathLst>
                              <a:path h="90805">
                                <a:moveTo>
                                  <a:pt x="0" y="90703"/>
                                </a:moveTo>
                                <a:lnTo>
                                  <a:pt x="0" y="0"/>
                                </a:lnTo>
                              </a:path>
                            </a:pathLst>
                          </a:custGeom>
                          <a:ln w="1143">
                            <a:solidFill>
                              <a:srgbClr val="0078D3"/>
                            </a:solidFill>
                            <a:prstDash val="solid"/>
                          </a:ln>
                        </wps:spPr>
                        <wps:bodyPr wrap="square" lIns="0" tIns="0" rIns="0" bIns="0" rtlCol="0">
                          <a:prstTxWarp prst="textNoShape">
                            <a:avLst/>
                          </a:prstTxWarp>
                          <a:noAutofit/>
                        </wps:bodyPr>
                      </wps:wsp>
                      <wps:wsp>
                        <wps:cNvPr id="164" name="Graphic 161"/>
                        <wps:cNvSpPr/>
                        <wps:spPr>
                          <a:xfrm>
                            <a:off x="954051" y="1966663"/>
                            <a:ext cx="3810" cy="3810"/>
                          </a:xfrm>
                          <a:custGeom>
                            <a:avLst/>
                            <a:gdLst/>
                            <a:ahLst/>
                            <a:cxnLst/>
                            <a:rect l="l" t="t" r="r" b="b"/>
                            <a:pathLst>
                              <a:path w="3810" h="3810">
                                <a:moveTo>
                                  <a:pt x="0" y="3441"/>
                                </a:moveTo>
                                <a:lnTo>
                                  <a:pt x="3441" y="0"/>
                                </a:lnTo>
                              </a:path>
                            </a:pathLst>
                          </a:custGeom>
                          <a:ln w="1143">
                            <a:solidFill>
                              <a:srgbClr val="0078D3"/>
                            </a:solidFill>
                            <a:prstDash val="solid"/>
                          </a:ln>
                        </wps:spPr>
                        <wps:bodyPr wrap="square" lIns="0" tIns="0" rIns="0" bIns="0" rtlCol="0">
                          <a:prstTxWarp prst="textNoShape">
                            <a:avLst/>
                          </a:prstTxWarp>
                          <a:noAutofit/>
                        </wps:bodyPr>
                      </wps:wsp>
                      <wps:wsp>
                        <wps:cNvPr id="165" name="Graphic 162"/>
                        <wps:cNvSpPr/>
                        <wps:spPr>
                          <a:xfrm>
                            <a:off x="318008" y="1958631"/>
                            <a:ext cx="638810" cy="1835785"/>
                          </a:xfrm>
                          <a:custGeom>
                            <a:avLst/>
                            <a:gdLst/>
                            <a:ahLst/>
                            <a:cxnLst/>
                            <a:rect l="l" t="t" r="r" b="b"/>
                            <a:pathLst>
                              <a:path w="638810" h="1835785">
                                <a:moveTo>
                                  <a:pt x="6896" y="6883"/>
                                </a:moveTo>
                                <a:lnTo>
                                  <a:pt x="0" y="6883"/>
                                </a:lnTo>
                                <a:lnTo>
                                  <a:pt x="0" y="1835772"/>
                                </a:lnTo>
                                <a:lnTo>
                                  <a:pt x="6896" y="1835772"/>
                                </a:lnTo>
                                <a:lnTo>
                                  <a:pt x="6896" y="6883"/>
                                </a:lnTo>
                                <a:close/>
                              </a:path>
                              <a:path w="638810" h="1835785">
                                <a:moveTo>
                                  <a:pt x="631456" y="0"/>
                                </a:moveTo>
                                <a:lnTo>
                                  <a:pt x="6896" y="0"/>
                                </a:lnTo>
                                <a:lnTo>
                                  <a:pt x="6896" y="6883"/>
                                </a:lnTo>
                                <a:lnTo>
                                  <a:pt x="631456" y="6883"/>
                                </a:lnTo>
                                <a:lnTo>
                                  <a:pt x="631456" y="0"/>
                                </a:lnTo>
                                <a:close/>
                              </a:path>
                              <a:path w="638810" h="1835785">
                                <a:moveTo>
                                  <a:pt x="638340" y="6883"/>
                                </a:moveTo>
                                <a:lnTo>
                                  <a:pt x="631456" y="6883"/>
                                </a:lnTo>
                                <a:lnTo>
                                  <a:pt x="631456" y="1835772"/>
                                </a:lnTo>
                                <a:lnTo>
                                  <a:pt x="638340" y="1835772"/>
                                </a:lnTo>
                                <a:lnTo>
                                  <a:pt x="638340" y="6883"/>
                                </a:lnTo>
                                <a:close/>
                              </a:path>
                            </a:pathLst>
                          </a:custGeom>
                          <a:solidFill>
                            <a:srgbClr val="000000"/>
                          </a:solidFill>
                        </wps:spPr>
                        <wps:bodyPr wrap="square" lIns="0" tIns="0" rIns="0" bIns="0" rtlCol="0">
                          <a:prstTxWarp prst="textNoShape">
                            <a:avLst/>
                          </a:prstTxWarp>
                          <a:noAutofit/>
                        </wps:bodyPr>
                      </wps:wsp>
                      <wps:wsp>
                        <wps:cNvPr id="167" name="Graphic 164"/>
                        <wps:cNvSpPr/>
                        <wps:spPr>
                          <a:xfrm>
                            <a:off x="0" y="3801312"/>
                            <a:ext cx="5024120" cy="1965960"/>
                          </a:xfrm>
                          <a:custGeom>
                            <a:avLst/>
                            <a:gdLst/>
                            <a:ahLst/>
                            <a:cxnLst/>
                            <a:rect l="l" t="t" r="r" b="b"/>
                            <a:pathLst>
                              <a:path w="5024120" h="1965960">
                                <a:moveTo>
                                  <a:pt x="5023993" y="0"/>
                                </a:moveTo>
                                <a:lnTo>
                                  <a:pt x="5017097" y="0"/>
                                </a:lnTo>
                                <a:lnTo>
                                  <a:pt x="5017097" y="1958594"/>
                                </a:lnTo>
                                <a:lnTo>
                                  <a:pt x="4075684" y="1958594"/>
                                </a:lnTo>
                                <a:lnTo>
                                  <a:pt x="4075684" y="0"/>
                                </a:lnTo>
                                <a:lnTo>
                                  <a:pt x="4068788" y="0"/>
                                </a:lnTo>
                                <a:lnTo>
                                  <a:pt x="4068788" y="1958594"/>
                                </a:lnTo>
                                <a:lnTo>
                                  <a:pt x="2857563" y="1958594"/>
                                </a:lnTo>
                                <a:lnTo>
                                  <a:pt x="2857563" y="0"/>
                                </a:lnTo>
                                <a:lnTo>
                                  <a:pt x="2850680" y="0"/>
                                </a:lnTo>
                                <a:lnTo>
                                  <a:pt x="2850680" y="1958594"/>
                                </a:lnTo>
                                <a:lnTo>
                                  <a:pt x="956348" y="1958594"/>
                                </a:lnTo>
                                <a:lnTo>
                                  <a:pt x="956348" y="0"/>
                                </a:lnTo>
                                <a:lnTo>
                                  <a:pt x="949464" y="0"/>
                                </a:lnTo>
                                <a:lnTo>
                                  <a:pt x="949464" y="1958594"/>
                                </a:lnTo>
                                <a:lnTo>
                                  <a:pt x="324904" y="1958594"/>
                                </a:lnTo>
                                <a:lnTo>
                                  <a:pt x="324904" y="0"/>
                                </a:lnTo>
                                <a:lnTo>
                                  <a:pt x="318008" y="0"/>
                                </a:lnTo>
                                <a:lnTo>
                                  <a:pt x="318008" y="1958594"/>
                                </a:lnTo>
                                <a:lnTo>
                                  <a:pt x="6883" y="1958594"/>
                                </a:lnTo>
                                <a:lnTo>
                                  <a:pt x="6883" y="0"/>
                                </a:lnTo>
                                <a:lnTo>
                                  <a:pt x="0" y="0"/>
                                </a:lnTo>
                                <a:lnTo>
                                  <a:pt x="0" y="1958594"/>
                                </a:lnTo>
                                <a:lnTo>
                                  <a:pt x="0" y="1965490"/>
                                </a:lnTo>
                                <a:lnTo>
                                  <a:pt x="6883" y="1965490"/>
                                </a:lnTo>
                                <a:lnTo>
                                  <a:pt x="318008" y="1965490"/>
                                </a:lnTo>
                                <a:lnTo>
                                  <a:pt x="5023993" y="1965490"/>
                                </a:lnTo>
                                <a:lnTo>
                                  <a:pt x="5023993" y="1958606"/>
                                </a:lnTo>
                                <a:lnTo>
                                  <a:pt x="5023993" y="0"/>
                                </a:lnTo>
                                <a:close/>
                              </a:path>
                            </a:pathLst>
                          </a:custGeom>
                          <a:solidFill>
                            <a:srgbClr val="000000"/>
                          </a:solidFill>
                        </wps:spPr>
                        <wps:bodyPr wrap="square" lIns="0" tIns="0" rIns="0" bIns="0" rtlCol="0">
                          <a:prstTxWarp prst="textNoShape">
                            <a:avLst/>
                          </a:prstTxWarp>
                          <a:noAutofit/>
                        </wps:bodyPr>
                      </wps:wsp>
                      <wps:wsp>
                        <wps:cNvPr id="168" name="Graphic 165"/>
                        <wps:cNvSpPr/>
                        <wps:spPr>
                          <a:xfrm>
                            <a:off x="2146907" y="3546421"/>
                            <a:ext cx="3810" cy="3810"/>
                          </a:xfrm>
                          <a:custGeom>
                            <a:avLst/>
                            <a:gdLst/>
                            <a:ahLst/>
                            <a:cxnLst/>
                            <a:rect l="l" t="t" r="r" b="b"/>
                            <a:pathLst>
                              <a:path w="3810" h="3810">
                                <a:moveTo>
                                  <a:pt x="0" y="3441"/>
                                </a:moveTo>
                                <a:lnTo>
                                  <a:pt x="3441" y="0"/>
                                </a:lnTo>
                              </a:path>
                            </a:pathLst>
                          </a:custGeom>
                          <a:ln w="1143">
                            <a:solidFill>
                              <a:srgbClr val="D13438"/>
                            </a:solidFill>
                            <a:prstDash val="solid"/>
                          </a:ln>
                        </wps:spPr>
                        <wps:bodyPr wrap="square" lIns="0" tIns="0" rIns="0" bIns="0" rtlCol="0">
                          <a:prstTxWarp prst="textNoShape">
                            <a:avLst/>
                          </a:prstTxWarp>
                          <a:noAutofit/>
                        </wps:bodyPr>
                      </wps:wsp>
                      <wps:wsp>
                        <wps:cNvPr id="169" name="Graphic 166"/>
                        <wps:cNvSpPr/>
                        <wps:spPr>
                          <a:xfrm>
                            <a:off x="2150351" y="3454572"/>
                            <a:ext cx="1270" cy="92075"/>
                          </a:xfrm>
                          <a:custGeom>
                            <a:avLst/>
                            <a:gdLst/>
                            <a:ahLst/>
                            <a:cxnLst/>
                            <a:rect l="l" t="t" r="r" b="b"/>
                            <a:pathLst>
                              <a:path h="92075">
                                <a:moveTo>
                                  <a:pt x="0" y="91846"/>
                                </a:moveTo>
                                <a:lnTo>
                                  <a:pt x="0" y="0"/>
                                </a:lnTo>
                              </a:path>
                            </a:pathLst>
                          </a:custGeom>
                          <a:ln w="1143">
                            <a:solidFill>
                              <a:srgbClr val="D13438"/>
                            </a:solidFill>
                            <a:prstDash val="solid"/>
                          </a:ln>
                        </wps:spPr>
                        <wps:bodyPr wrap="square" lIns="0" tIns="0" rIns="0" bIns="0" rtlCol="0">
                          <a:prstTxWarp prst="textNoShape">
                            <a:avLst/>
                          </a:prstTxWarp>
                          <a:noAutofit/>
                        </wps:bodyPr>
                      </wps:wsp>
                      <wps:wsp>
                        <wps:cNvPr id="170" name="Graphic 167"/>
                        <wps:cNvSpPr/>
                        <wps:spPr>
                          <a:xfrm>
                            <a:off x="2146909" y="3451131"/>
                            <a:ext cx="3810" cy="3810"/>
                          </a:xfrm>
                          <a:custGeom>
                            <a:avLst/>
                            <a:gdLst/>
                            <a:ahLst/>
                            <a:cxnLst/>
                            <a:rect l="l" t="t" r="r" b="b"/>
                            <a:pathLst>
                              <a:path w="3810" h="3810">
                                <a:moveTo>
                                  <a:pt x="3441" y="3441"/>
                                </a:moveTo>
                                <a:lnTo>
                                  <a:pt x="0" y="0"/>
                                </a:lnTo>
                              </a:path>
                            </a:pathLst>
                          </a:custGeom>
                          <a:ln w="1143">
                            <a:solidFill>
                              <a:srgbClr val="D13438"/>
                            </a:solidFill>
                            <a:prstDash val="solid"/>
                          </a:ln>
                        </wps:spPr>
                        <wps:bodyPr wrap="square" lIns="0" tIns="0" rIns="0" bIns="0" rtlCol="0">
                          <a:prstTxWarp prst="textNoShape">
                            <a:avLst/>
                          </a:prstTxWarp>
                          <a:noAutofit/>
                        </wps:bodyPr>
                      </wps:wsp>
                      <wps:wsp>
                        <wps:cNvPr id="171" name="Graphic 168"/>
                        <wps:cNvSpPr/>
                        <wps:spPr>
                          <a:xfrm>
                            <a:off x="2146907" y="3546421"/>
                            <a:ext cx="3810" cy="3810"/>
                          </a:xfrm>
                          <a:custGeom>
                            <a:avLst/>
                            <a:gdLst/>
                            <a:ahLst/>
                            <a:cxnLst/>
                            <a:rect l="l" t="t" r="r" b="b"/>
                            <a:pathLst>
                              <a:path w="3810" h="3810">
                                <a:moveTo>
                                  <a:pt x="0" y="3441"/>
                                </a:moveTo>
                                <a:lnTo>
                                  <a:pt x="3441" y="0"/>
                                </a:lnTo>
                              </a:path>
                            </a:pathLst>
                          </a:custGeom>
                          <a:ln w="1143">
                            <a:solidFill>
                              <a:srgbClr val="0078D3"/>
                            </a:solidFill>
                            <a:prstDash val="solid"/>
                          </a:ln>
                        </wps:spPr>
                        <wps:bodyPr wrap="square" lIns="0" tIns="0" rIns="0" bIns="0" rtlCol="0">
                          <a:prstTxWarp prst="textNoShape">
                            <a:avLst/>
                          </a:prstTxWarp>
                          <a:noAutofit/>
                        </wps:bodyPr>
                      </wps:wsp>
                      <wps:wsp>
                        <wps:cNvPr id="172" name="Graphic 169"/>
                        <wps:cNvSpPr/>
                        <wps:spPr>
                          <a:xfrm>
                            <a:off x="2150351" y="3454572"/>
                            <a:ext cx="1270" cy="92075"/>
                          </a:xfrm>
                          <a:custGeom>
                            <a:avLst/>
                            <a:gdLst/>
                            <a:ahLst/>
                            <a:cxnLst/>
                            <a:rect l="l" t="t" r="r" b="b"/>
                            <a:pathLst>
                              <a:path h="92075">
                                <a:moveTo>
                                  <a:pt x="0" y="91846"/>
                                </a:moveTo>
                                <a:lnTo>
                                  <a:pt x="0" y="0"/>
                                </a:lnTo>
                              </a:path>
                            </a:pathLst>
                          </a:custGeom>
                          <a:ln w="1143">
                            <a:solidFill>
                              <a:srgbClr val="0078D3"/>
                            </a:solidFill>
                            <a:prstDash val="solid"/>
                          </a:ln>
                        </wps:spPr>
                        <wps:bodyPr wrap="square" lIns="0" tIns="0" rIns="0" bIns="0" rtlCol="0">
                          <a:prstTxWarp prst="textNoShape">
                            <a:avLst/>
                          </a:prstTxWarp>
                          <a:noAutofit/>
                        </wps:bodyPr>
                      </wps:wsp>
                      <wps:wsp>
                        <wps:cNvPr id="173" name="Graphic 170"/>
                        <wps:cNvSpPr/>
                        <wps:spPr>
                          <a:xfrm>
                            <a:off x="2146909" y="3451131"/>
                            <a:ext cx="3810" cy="3810"/>
                          </a:xfrm>
                          <a:custGeom>
                            <a:avLst/>
                            <a:gdLst/>
                            <a:ahLst/>
                            <a:cxnLst/>
                            <a:rect l="l" t="t" r="r" b="b"/>
                            <a:pathLst>
                              <a:path w="3810" h="3810">
                                <a:moveTo>
                                  <a:pt x="3441" y="3441"/>
                                </a:moveTo>
                                <a:lnTo>
                                  <a:pt x="0" y="0"/>
                                </a:lnTo>
                              </a:path>
                            </a:pathLst>
                          </a:custGeom>
                          <a:ln w="1143">
                            <a:solidFill>
                              <a:srgbClr val="0078D3"/>
                            </a:solidFill>
                            <a:prstDash val="solid"/>
                          </a:ln>
                        </wps:spPr>
                        <wps:bodyPr wrap="square" lIns="0" tIns="0" rIns="0" bIns="0" rtlCol="0">
                          <a:prstTxWarp prst="textNoShape">
                            <a:avLst/>
                          </a:prstTxWarp>
                          <a:noAutofit/>
                        </wps:bodyPr>
                      </wps:wsp>
                      <wps:wsp>
                        <wps:cNvPr id="174" name="Graphic 171"/>
                        <wps:cNvSpPr/>
                        <wps:spPr>
                          <a:xfrm>
                            <a:off x="4702533" y="3507384"/>
                            <a:ext cx="252729" cy="42545"/>
                          </a:xfrm>
                          <a:custGeom>
                            <a:avLst/>
                            <a:gdLst/>
                            <a:ahLst/>
                            <a:cxnLst/>
                            <a:rect l="l" t="t" r="r" b="b"/>
                            <a:pathLst>
                              <a:path w="252729" h="42545">
                                <a:moveTo>
                                  <a:pt x="252577" y="0"/>
                                </a:moveTo>
                                <a:lnTo>
                                  <a:pt x="0" y="42481"/>
                                </a:lnTo>
                              </a:path>
                            </a:pathLst>
                          </a:custGeom>
                          <a:ln w="1142">
                            <a:solidFill>
                              <a:srgbClr val="F3CACC"/>
                            </a:solidFill>
                            <a:prstDash val="dot"/>
                          </a:ln>
                        </wps:spPr>
                        <wps:bodyPr wrap="square" lIns="0" tIns="0" rIns="0" bIns="0" rtlCol="0">
                          <a:prstTxWarp prst="textNoShape">
                            <a:avLst/>
                          </a:prstTxWarp>
                          <a:noAutofit/>
                        </wps:bodyPr>
                      </wps:wsp>
                      <wps:wsp>
                        <wps:cNvPr id="175" name="Graphic 172"/>
                        <wps:cNvSpPr/>
                        <wps:spPr>
                          <a:xfrm>
                            <a:off x="2146912" y="3549863"/>
                            <a:ext cx="2555875" cy="1270"/>
                          </a:xfrm>
                          <a:custGeom>
                            <a:avLst/>
                            <a:gdLst/>
                            <a:ahLst/>
                            <a:cxnLst/>
                            <a:rect l="l" t="t" r="r" b="b"/>
                            <a:pathLst>
                              <a:path w="2555875">
                                <a:moveTo>
                                  <a:pt x="2555621" y="0"/>
                                </a:moveTo>
                                <a:lnTo>
                                  <a:pt x="0" y="0"/>
                                </a:lnTo>
                              </a:path>
                            </a:pathLst>
                          </a:custGeom>
                          <a:ln w="1143">
                            <a:solidFill>
                              <a:srgbClr val="F3CACC"/>
                            </a:solidFill>
                            <a:prstDash val="dot"/>
                          </a:ln>
                        </wps:spPr>
                        <wps:bodyPr wrap="square" lIns="0" tIns="0" rIns="0" bIns="0" rtlCol="0">
                          <a:prstTxWarp prst="textNoShape">
                            <a:avLst/>
                          </a:prstTxWarp>
                          <a:noAutofit/>
                        </wps:bodyPr>
                      </wps:wsp>
                      <wps:wsp>
                        <wps:cNvPr id="178" name="Graphic 175"/>
                        <wps:cNvSpPr/>
                        <wps:spPr>
                          <a:xfrm>
                            <a:off x="4702533" y="3549863"/>
                            <a:ext cx="252729" cy="201295"/>
                          </a:xfrm>
                          <a:custGeom>
                            <a:avLst/>
                            <a:gdLst/>
                            <a:ahLst/>
                            <a:cxnLst/>
                            <a:rect l="l" t="t" r="r" b="b"/>
                            <a:pathLst>
                              <a:path w="252729" h="201295">
                                <a:moveTo>
                                  <a:pt x="252577" y="200913"/>
                                </a:moveTo>
                                <a:lnTo>
                                  <a:pt x="0" y="0"/>
                                </a:lnTo>
                              </a:path>
                            </a:pathLst>
                          </a:custGeom>
                          <a:ln w="1143">
                            <a:solidFill>
                              <a:srgbClr val="B5DFFF"/>
                            </a:solidFill>
                            <a:prstDash val="dot"/>
                          </a:ln>
                        </wps:spPr>
                        <wps:bodyPr wrap="square" lIns="0" tIns="0" rIns="0" bIns="0" rtlCol="0">
                          <a:prstTxWarp prst="textNoShape">
                            <a:avLst/>
                          </a:prstTxWarp>
                          <a:noAutofit/>
                        </wps:bodyPr>
                      </wps:wsp>
                      <wps:wsp>
                        <wps:cNvPr id="179" name="Graphic 176"/>
                        <wps:cNvSpPr/>
                        <wps:spPr>
                          <a:xfrm>
                            <a:off x="2146912" y="3549863"/>
                            <a:ext cx="2555875" cy="1270"/>
                          </a:xfrm>
                          <a:custGeom>
                            <a:avLst/>
                            <a:gdLst/>
                            <a:ahLst/>
                            <a:cxnLst/>
                            <a:rect l="l" t="t" r="r" b="b"/>
                            <a:pathLst>
                              <a:path w="2555875">
                                <a:moveTo>
                                  <a:pt x="2555621" y="0"/>
                                </a:moveTo>
                                <a:lnTo>
                                  <a:pt x="0" y="0"/>
                                </a:lnTo>
                              </a:path>
                            </a:pathLst>
                          </a:custGeom>
                          <a:ln w="1143">
                            <a:solidFill>
                              <a:srgbClr val="B5DFFF"/>
                            </a:solidFill>
                            <a:prstDash val="dot"/>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0D5715" id="Group 145" o:spid="_x0000_s1026" style="position:absolute;margin-left:27.35pt;margin-top:246pt;width:395.6pt;height:311.7pt;z-index:-251658219;mso-wrap-distance-left:0;mso-wrap-distance-right:0;mso-position-horizontal-relative:page;mso-position-vertical-relative:page;mso-width-relative:margin;mso-height-relative:margin" coordorigin=",18082" coordsize="50242,39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">
                <v:shape id="Graphic 147" o:spid="_x0000_s1027" style="position:absolute;left:40756;top:18151;width:9417;height:1435;visibility:visible;mso-wrap-style:square;v-text-anchor:top" coordsize="94170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" path="m941425,l,,,143509r941425,l941425,xe" fillcolor="#7e7e7e" stroked="f">
                  <v:path arrowok="t"/>
                </v:shape>
                <v:shape id="Graphic 148" o:spid="_x0000_s1028" style="position:absolute;left:28506;top:18082;width:21736;height:19862;visibility:visible;mso-wrap-style:square;v-text-anchor:top" coordsize="2173605,198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" path="m6883,157302r-6883,l,1986191r6883,l6883,157302xem1225003,157302r-6896,l1218107,1986191r6896,l1225003,157302xem2173313,6908r-6897,l2166416,150418r-941413,l1225003,157302r941413,l2166416,1986191r6897,l2173313,157302r,-6884l2173313,6908xem2173313,r-6884,l1225003,r,6896l2166416,6896r6897,l2173313,xe" fillcolor="black" stroked="f">
                  <v:path arrowok="t"/>
                </v:shape>
                <v:shape id="Graphic 151" o:spid="_x0000_s1029" style="position:absolute;left:68;top:37943;width:50172;height:70;visibility:visible;mso-wrap-style:square;v-text-anchor:top" coordsize="501713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" path="m5017109,r,l,,,6896r5017109,l5017109,xe" fillcolor="black" stroked="f">
                  <v:path arrowok="t"/>
                </v:shape>
                <v:shape id="Graphic 154" o:spid="_x0000_s1030" style="position:absolute;left:68;top:19586;width:3112;height:70;visibility:visible;mso-wrap-style:square;v-text-anchor:top" coordsize="31115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" path="m311124,l,,,6883r311124,l311124,xe" fillcolor="black" stroked="f">
                  <v:path arrowok="t"/>
                </v:shape>
                <v:shape id="Graphic 156" o:spid="_x0000_s1031" style="position:absolute;left:9540;top:20608;width:38;height:38;visibility:visible;mso-wrap-style:square;v-text-anchor:top" coordsize="38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" path="m3441,3441l,e" filled="f" strokecolor="#d13438" strokeweight=".09pt">
                  <v:path arrowok="t"/>
                </v:shape>
                <v:shape id="Graphic 157" o:spid="_x0000_s1032" style="position:absolute;left:9540;top:19701;width:13;height:908;visibility:visible;mso-wrap-style:square;v-text-anchor:top" coordsize="127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" path="m,90703l,e" filled="f" strokecolor="#d13438" strokeweight=".09pt">
                  <v:path arrowok="t"/>
                </v:shape>
                <v:shape id="Graphic 158" o:spid="_x0000_s1033" style="position:absolute;left:9540;top:19666;width:38;height:38;visibility:visible;mso-wrap-style:square;v-text-anchor:top" coordsize="38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" path="m,3441l3441,e" filled="f" strokecolor="#d13438" strokeweight=".09pt">
                  <v:path arrowok="t"/>
                </v:shape>
                <v:shape id="Graphic 159" o:spid="_x0000_s1034" style="position:absolute;left:9540;top:20608;width:38;height:38;visibility:visible;mso-wrap-style:square;v-text-anchor:top" coordsize="38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" path="m3441,3441l,e" filled="f" strokecolor="#0078d3" strokeweight=".09pt">
                  <v:path arrowok="t"/>
                </v:shape>
                <v:shape id="Graphic 160" o:spid="_x0000_s1035" style="position:absolute;left:9540;top:19701;width:13;height:908;visibility:visible;mso-wrap-style:square;v-text-anchor:top" coordsize="127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" path="m,90703l,e" filled="f" strokecolor="#0078d3" strokeweight=".09pt">
                  <v:path arrowok="t"/>
                </v:shape>
                <v:shape id="Graphic 161" o:spid="_x0000_s1036" style="position:absolute;left:9540;top:19666;width:38;height:38;visibility:visible;mso-wrap-style:square;v-text-anchor:top" coordsize="38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" path="m,3441l3441,e" filled="f" strokecolor="#0078d3" strokeweight=".09pt">
                  <v:path arrowok="t"/>
                </v:shape>
                <v:shape id="Graphic 162" o:spid="_x0000_s1037" style="position:absolute;left:3180;top:19586;width:6388;height:18358;visibility:visible;mso-wrap-style:square;v-text-anchor:top" coordsize="638810,183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" path="m6896,6883l,6883,,1835772r6896,l6896,6883xem631456,l6896,r,6883l631456,6883r,-6883xem638340,6883r-6884,l631456,1835772r6884,l638340,6883xe" fillcolor="black" stroked="f">
                  <v:path arrowok="t"/>
                </v:shape>
                <v:shape id="Graphic 164" o:spid="_x0000_s1038" style="position:absolute;top:38013;width:50241;height:19659;visibility:visible;mso-wrap-style:square;v-text-anchor:top" coordsize="5024120,196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" path="m5023993,r-6896,l5017097,1958594r-941413,l4075684,r-6896,l4068788,1958594r-1211225,l2857563,r-6883,l2850680,1958594r-1894332,l956348,r-6884,l949464,1958594r-624560,l324904,r-6896,l318008,1958594r-311125,l6883,,,,,1958594r,6896l6883,1965490r311125,l5023993,1965490r,-6884l5023993,xe" fillcolor="black" stroked="f">
                  <v:path arrowok="t"/>
                </v:shape>
                <v:shape id="Graphic 165" o:spid="_x0000_s1039" style="position:absolute;left:21469;top:35464;width:38;height:38;visibility:visible;mso-wrap-style:square;v-text-anchor:top" coordsize="38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" path="m,3441l3441,e" filled="f" strokecolor="#d13438" strokeweight=".09pt">
                  <v:path arrowok="t"/>
                </v:shape>
                <v:shape id="Graphic 166" o:spid="_x0000_s1040" style="position:absolute;left:21503;top:34545;width:13;height:921;visibility:visible;mso-wrap-style:square;v-text-anchor:top" coordsize="1270,9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" path="m,91846l,e" filled="f" strokecolor="#d13438" strokeweight=".09pt">
                  <v:path arrowok="t"/>
                </v:shape>
                <v:shape id="Graphic 167" o:spid="_x0000_s1041" style="position:absolute;left:21469;top:34511;width:38;height:38;visibility:visible;mso-wrap-style:square;v-text-anchor:top" coordsize="38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" path="m3441,3441l,e" filled="f" strokecolor="#d13438" strokeweight=".09pt">
                  <v:path arrowok="t"/>
                </v:shape>
                <v:shape id="Graphic 168" o:spid="_x0000_s1042" style="position:absolute;left:21469;top:35464;width:38;height:38;visibility:visible;mso-wrap-style:square;v-text-anchor:top" coordsize="38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" path="m,3441l3441,e" filled="f" strokecolor="#0078d3" strokeweight=".09pt">
                  <v:path arrowok="t"/>
                </v:shape>
                <v:shape id="Graphic 169" o:spid="_x0000_s1043" style="position:absolute;left:21503;top:34545;width:13;height:921;visibility:visible;mso-wrap-style:square;v-text-anchor:top" coordsize="1270,9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" path="m,91846l,e" filled="f" strokecolor="#0078d3" strokeweight=".09pt">
                  <v:path arrowok="t"/>
                </v:shape>
                <v:shape id="Graphic 170" o:spid="_x0000_s1044" style="position:absolute;left:21469;top:34511;width:38;height:38;visibility:visible;mso-wrap-style:square;v-text-anchor:top" coordsize="38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" path="m3441,3441l,e" filled="f" strokecolor="#0078d3" strokeweight=".09pt">
                  <v:path arrowok="t"/>
                </v:shape>
                <v:shape id="Graphic 171" o:spid="_x0000_s1045" style="position:absolute;left:47025;top:35073;width:2527;height:426;visibility:visible;mso-wrap-style:square;v-text-anchor:top" coordsize="252729,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" path="m252577,l,42481e" filled="f" strokecolor="#f3cacc" strokeweight=".03172mm">
                  <v:stroke dashstyle="dot"/>
                  <v:path arrowok="t"/>
                </v:shape>
                <v:shape id="Graphic 172" o:spid="_x0000_s1046" style="position:absolute;left:21469;top:35498;width:25558;height:13;visibility:visible;mso-wrap-style:square;v-text-anchor:top" coordsize="25558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" path="m2555621,l,e" filled="f" strokecolor="#f3cacc" strokeweight=".09pt">
                  <v:stroke dashstyle="dot"/>
                  <v:path arrowok="t"/>
                </v:shape>
                <v:shape id="Graphic 175" o:spid="_x0000_s1047" style="position:absolute;left:47025;top:35498;width:2527;height:2013;visibility:visible;mso-wrap-style:square;v-text-anchor:top" coordsize="252729,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" path="m252577,200913l,e" filled="f" strokecolor="#b5dfff" strokeweight=".09pt">
                  <v:stroke dashstyle="dot"/>
                  <v:path arrowok="t"/>
                </v:shape>
                <v:shape id="Graphic 176" o:spid="_x0000_s1048" style="position:absolute;left:21469;top:35498;width:25558;height:13;visibility:visible;mso-wrap-style:square;v-text-anchor:top" coordsize="25558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" path="m2555621,l,e" filled="f" strokecolor="#b5dfff" strokeweight=".09pt">
                  <v:stroke dashstyle="dot"/>
                  <v:path arrowok="t"/>
                </v:shape>
                <w10:wrap anchorx="page" anchory="page"/>
              </v:group>
            </w:pict>
          </mc:Fallback>
        </mc:AlternateContent>
      </w:r>
    </w:p>
    <w:tbl>
      <w:tblPr>
        <w:tblW w:w="10490" w:type="dxa"/>
        <w:tblInd w:w="-71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66"/>
        <w:gridCol w:w="1319"/>
        <w:gridCol w:w="3974"/>
        <w:gridCol w:w="2547"/>
        <w:gridCol w:w="1984"/>
      </w:tblGrid>
      <w:tr w:rsidR="00150EDC" w:rsidRPr="007D3144" w14:paraId="2523BCE1" w14:textId="77777777">
        <w:trPr>
          <w:trHeight w:val="300"/>
        </w:trPr>
        <w:tc>
          <w:tcPr>
            <w:tcW w:w="666" w:type="dxa"/>
            <w:tcBorders>
              <w:top w:val="single" w:sz="6" w:space="0" w:color="auto"/>
              <w:left w:val="single" w:sz="6" w:space="0" w:color="auto"/>
              <w:bottom w:val="single" w:sz="6" w:space="0" w:color="auto"/>
              <w:right w:val="single" w:sz="6" w:space="0" w:color="auto"/>
            </w:tcBorders>
            <w:shd w:val="clear" w:color="auto" w:fill="7F7F7F" w:themeFill="text1" w:themeFillTint="80"/>
            <w:hideMark/>
          </w:tcPr>
          <w:p w14:paraId="66D08159" w14:textId="77777777" w:rsidR="005C29CF" w:rsidRPr="00150EDC" w:rsidRDefault="005C29CF">
            <w:pPr>
              <w:textAlignment w:val="baseline"/>
              <w:rPr>
                <w:rFonts w:ascii="Segoe UI" w:eastAsia="Times New Roman" w:hAnsi="Segoe UI" w:cs="Segoe UI"/>
                <w:sz w:val="18"/>
                <w:szCs w:val="18"/>
              </w:rPr>
            </w:pPr>
            <w:r w:rsidRPr="007D3144">
              <w:rPr>
                <w:rFonts w:eastAsia="Times New Roman"/>
                <w:b/>
                <w:bCs/>
                <w:sz w:val="18"/>
                <w:szCs w:val="18"/>
              </w:rPr>
              <w:t>KPI</w:t>
            </w:r>
            <w:r w:rsidRPr="007D3144">
              <w:rPr>
                <w:rFonts w:eastAsia="Times New Roman"/>
                <w:sz w:val="18"/>
                <w:szCs w:val="18"/>
              </w:rPr>
              <w:t> </w:t>
            </w:r>
          </w:p>
        </w:tc>
        <w:tc>
          <w:tcPr>
            <w:tcW w:w="1319" w:type="dxa"/>
            <w:tcBorders>
              <w:top w:val="single" w:sz="6" w:space="0" w:color="auto"/>
              <w:left w:val="single" w:sz="6" w:space="0" w:color="auto"/>
              <w:bottom w:val="single" w:sz="6" w:space="0" w:color="auto"/>
              <w:right w:val="single" w:sz="6" w:space="0" w:color="auto"/>
            </w:tcBorders>
            <w:shd w:val="clear" w:color="auto" w:fill="7F7F7F" w:themeFill="text1" w:themeFillTint="80"/>
            <w:hideMark/>
          </w:tcPr>
          <w:p w14:paraId="67FF279E" w14:textId="77777777" w:rsidR="005C29CF" w:rsidRPr="00150EDC" w:rsidRDefault="005C29CF">
            <w:pPr>
              <w:textAlignment w:val="baseline"/>
              <w:rPr>
                <w:rFonts w:ascii="Segoe UI" w:eastAsia="Times New Roman" w:hAnsi="Segoe UI" w:cs="Segoe UI"/>
                <w:sz w:val="18"/>
                <w:szCs w:val="18"/>
              </w:rPr>
            </w:pPr>
            <w:r w:rsidRPr="007D3144">
              <w:rPr>
                <w:rFonts w:eastAsia="Times New Roman"/>
                <w:b/>
                <w:bCs/>
                <w:sz w:val="18"/>
                <w:szCs w:val="18"/>
              </w:rPr>
              <w:t>Service Area</w:t>
            </w:r>
            <w:r w:rsidRPr="007D3144">
              <w:rPr>
                <w:rFonts w:eastAsia="Times New Roman"/>
                <w:sz w:val="18"/>
                <w:szCs w:val="18"/>
              </w:rPr>
              <w:t> </w:t>
            </w:r>
          </w:p>
        </w:tc>
        <w:tc>
          <w:tcPr>
            <w:tcW w:w="3974" w:type="dxa"/>
            <w:tcBorders>
              <w:top w:val="single" w:sz="6" w:space="0" w:color="auto"/>
              <w:left w:val="single" w:sz="6" w:space="0" w:color="auto"/>
              <w:bottom w:val="single" w:sz="6" w:space="0" w:color="auto"/>
              <w:right w:val="single" w:sz="6" w:space="0" w:color="auto"/>
            </w:tcBorders>
            <w:shd w:val="clear" w:color="auto" w:fill="7F7F7F" w:themeFill="text1" w:themeFillTint="80"/>
            <w:hideMark/>
          </w:tcPr>
          <w:p w14:paraId="429FD501" w14:textId="77777777" w:rsidR="005C29CF" w:rsidRPr="00150EDC" w:rsidRDefault="005C29CF">
            <w:pPr>
              <w:textAlignment w:val="baseline"/>
              <w:rPr>
                <w:rFonts w:ascii="Segoe UI" w:eastAsia="Times New Roman" w:hAnsi="Segoe UI" w:cs="Segoe UI"/>
                <w:sz w:val="18"/>
                <w:szCs w:val="18"/>
              </w:rPr>
            </w:pPr>
            <w:r w:rsidRPr="007D3144">
              <w:rPr>
                <w:rFonts w:eastAsia="Times New Roman"/>
                <w:b/>
                <w:bCs/>
                <w:sz w:val="18"/>
                <w:szCs w:val="18"/>
              </w:rPr>
              <w:t>KPI Description and Measurement</w:t>
            </w:r>
            <w:r w:rsidRPr="007D3144">
              <w:rPr>
                <w:rFonts w:eastAsia="Times New Roman"/>
                <w:sz w:val="18"/>
                <w:szCs w:val="18"/>
              </w:rPr>
              <w:t> </w:t>
            </w:r>
          </w:p>
        </w:tc>
        <w:tc>
          <w:tcPr>
            <w:tcW w:w="2547" w:type="dxa"/>
            <w:tcBorders>
              <w:top w:val="single" w:sz="6" w:space="0" w:color="auto"/>
              <w:left w:val="single" w:sz="6" w:space="0" w:color="auto"/>
              <w:bottom w:val="single" w:sz="6" w:space="0" w:color="auto"/>
              <w:right w:val="single" w:sz="6" w:space="0" w:color="auto"/>
            </w:tcBorders>
            <w:shd w:val="clear" w:color="auto" w:fill="7F7F7F" w:themeFill="text1" w:themeFillTint="80"/>
            <w:hideMark/>
          </w:tcPr>
          <w:p w14:paraId="08BB63D4" w14:textId="77777777" w:rsidR="005C29CF" w:rsidRPr="00150EDC" w:rsidRDefault="005C29CF">
            <w:pPr>
              <w:textAlignment w:val="baseline"/>
              <w:rPr>
                <w:rFonts w:ascii="Segoe UI" w:eastAsia="Times New Roman" w:hAnsi="Segoe UI" w:cs="Segoe UI"/>
                <w:sz w:val="18"/>
                <w:szCs w:val="18"/>
              </w:rPr>
            </w:pPr>
            <w:r w:rsidRPr="007D3144">
              <w:rPr>
                <w:rFonts w:eastAsia="Times New Roman"/>
                <w:b/>
                <w:bCs/>
                <w:sz w:val="18"/>
                <w:szCs w:val="18"/>
              </w:rPr>
              <w:t>KPI performance measure </w:t>
            </w:r>
            <w:r w:rsidRPr="007D3144">
              <w:rPr>
                <w:rFonts w:eastAsia="Times New Roman"/>
                <w:sz w:val="18"/>
                <w:szCs w:val="18"/>
              </w:rPr>
              <w:t> </w:t>
            </w:r>
          </w:p>
        </w:tc>
        <w:tc>
          <w:tcPr>
            <w:tcW w:w="1984" w:type="dxa"/>
            <w:tcBorders>
              <w:top w:val="single" w:sz="6" w:space="0" w:color="auto"/>
              <w:left w:val="single" w:sz="6" w:space="0" w:color="auto"/>
              <w:bottom w:val="single" w:sz="6" w:space="0" w:color="auto"/>
              <w:right w:val="single" w:sz="6" w:space="0" w:color="auto"/>
            </w:tcBorders>
            <w:shd w:val="clear" w:color="auto" w:fill="7F7F7F" w:themeFill="text1" w:themeFillTint="80"/>
            <w:hideMark/>
          </w:tcPr>
          <w:p w14:paraId="17F1750A" w14:textId="77777777" w:rsidR="005C29CF" w:rsidRPr="00150EDC" w:rsidRDefault="005C29CF">
            <w:pPr>
              <w:textAlignment w:val="baseline"/>
              <w:rPr>
                <w:rFonts w:ascii="Segoe UI" w:eastAsia="Times New Roman" w:hAnsi="Segoe UI" w:cs="Segoe UI"/>
                <w:sz w:val="18"/>
                <w:szCs w:val="18"/>
              </w:rPr>
            </w:pPr>
            <w:r w:rsidRPr="007D3144">
              <w:rPr>
                <w:rFonts w:eastAsia="Times New Roman"/>
                <w:b/>
                <w:bCs/>
                <w:sz w:val="18"/>
                <w:szCs w:val="18"/>
              </w:rPr>
              <w:t>KPI Threshold</w:t>
            </w:r>
          </w:p>
        </w:tc>
      </w:tr>
      <w:tr w:rsidR="00150EDC" w:rsidRPr="007D3144" w14:paraId="6E094AEF" w14:textId="77777777">
        <w:trPr>
          <w:trHeight w:val="300"/>
        </w:trPr>
        <w:tc>
          <w:tcPr>
            <w:tcW w:w="666"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6711B8B6" w14:textId="77777777" w:rsidR="005C29CF" w:rsidRPr="00150EDC" w:rsidRDefault="005C29CF">
            <w:pPr>
              <w:jc w:val="both"/>
              <w:textAlignment w:val="baseline"/>
              <w:rPr>
                <w:rFonts w:ascii="Segoe UI" w:eastAsia="Times New Roman" w:hAnsi="Segoe UI" w:cs="Segoe UI"/>
                <w:sz w:val="18"/>
                <w:szCs w:val="18"/>
              </w:rPr>
            </w:pPr>
            <w:r w:rsidRPr="00150EDC">
              <w:rPr>
                <w:rFonts w:eastAsia="Times New Roman"/>
                <w:sz w:val="18"/>
                <w:szCs w:val="18"/>
              </w:rPr>
              <w:t>1 </w:t>
            </w:r>
          </w:p>
        </w:tc>
        <w:tc>
          <w:tcPr>
            <w:tcW w:w="1319" w:type="dxa"/>
            <w:tcBorders>
              <w:top w:val="single" w:sz="6" w:space="0" w:color="auto"/>
              <w:left w:val="single" w:sz="6" w:space="0" w:color="auto"/>
              <w:bottom w:val="single" w:sz="6" w:space="0" w:color="auto"/>
              <w:right w:val="single" w:sz="6" w:space="0" w:color="auto"/>
            </w:tcBorders>
            <w:shd w:val="clear" w:color="auto" w:fill="auto"/>
            <w:hideMark/>
          </w:tcPr>
          <w:p w14:paraId="2DE80811" w14:textId="77777777" w:rsidR="005C29CF" w:rsidRPr="00150EDC" w:rsidRDefault="005C29CF">
            <w:pPr>
              <w:textAlignment w:val="baseline"/>
              <w:rPr>
                <w:rFonts w:ascii="Segoe UI" w:eastAsia="Times New Roman" w:hAnsi="Segoe UI" w:cs="Segoe UI"/>
                <w:sz w:val="18"/>
                <w:szCs w:val="18"/>
              </w:rPr>
            </w:pPr>
            <w:r w:rsidRPr="00150EDC">
              <w:rPr>
                <w:rFonts w:eastAsia="Times New Roman"/>
                <w:b/>
                <w:bCs/>
                <w:sz w:val="18"/>
                <w:szCs w:val="18"/>
                <w:shd w:val="clear" w:color="auto" w:fill="FFFFFF"/>
              </w:rPr>
              <w:t>Delivery Assurance</w:t>
            </w:r>
          </w:p>
        </w:tc>
        <w:tc>
          <w:tcPr>
            <w:tcW w:w="3974" w:type="dxa"/>
            <w:tcBorders>
              <w:top w:val="single" w:sz="6" w:space="0" w:color="auto"/>
              <w:left w:val="single" w:sz="6" w:space="0" w:color="auto"/>
              <w:bottom w:val="single" w:sz="6" w:space="0" w:color="auto"/>
              <w:right w:val="single" w:sz="6" w:space="0" w:color="auto"/>
            </w:tcBorders>
            <w:shd w:val="clear" w:color="auto" w:fill="auto"/>
            <w:hideMark/>
          </w:tcPr>
          <w:p w14:paraId="398A47DF" w14:textId="77777777" w:rsidR="005C29CF" w:rsidRPr="007D3144" w:rsidRDefault="005C29CF">
            <w:pPr>
              <w:spacing w:after="120"/>
              <w:ind w:right="113"/>
              <w:jc w:val="both"/>
              <w:rPr>
                <w:sz w:val="24"/>
                <w:szCs w:val="24"/>
              </w:rPr>
            </w:pPr>
            <w:r w:rsidRPr="00150EDC">
              <w:rPr>
                <w:rFonts w:eastAsia="Times New Roman"/>
                <w:sz w:val="18"/>
                <w:szCs w:val="18"/>
                <w:shd w:val="clear" w:color="auto" w:fill="FFFFFF"/>
              </w:rPr>
              <w:t>The Supplier shall use suitable delivery assurance processes throughout the contract as agreed with Buyer at the Start Date. </w:t>
            </w:r>
            <w:r w:rsidRPr="00150EDC">
              <w:rPr>
                <w:rFonts w:eastAsia="Times New Roman"/>
                <w:sz w:val="18"/>
                <w:szCs w:val="18"/>
              </w:rPr>
              <w:t>This should include plans that are tailored to the size and complexity of each trial, and incorporate the following core measures:</w:t>
            </w:r>
          </w:p>
          <w:p w14:paraId="08F40BBC" w14:textId="77777777" w:rsidR="005C29CF" w:rsidRPr="00150EDC" w:rsidRDefault="005C29CF" w:rsidP="00B320C7">
            <w:pPr>
              <w:pStyle w:val="ListParagraph"/>
              <w:widowControl/>
              <w:numPr>
                <w:ilvl w:val="0"/>
                <w:numId w:val="183"/>
              </w:numPr>
              <w:autoSpaceDE/>
              <w:autoSpaceDN/>
              <w:spacing w:after="120" w:line="276" w:lineRule="auto"/>
              <w:ind w:right="113"/>
              <w:contextualSpacing/>
              <w:jc w:val="both"/>
              <w:rPr>
                <w:rFonts w:eastAsia="Times New Roman"/>
                <w:sz w:val="18"/>
                <w:szCs w:val="18"/>
                <w:shd w:val="clear" w:color="auto" w:fill="FFFFFF"/>
              </w:rPr>
            </w:pPr>
            <w:r w:rsidRPr="00150EDC">
              <w:rPr>
                <w:rFonts w:eastAsia="Times New Roman"/>
                <w:sz w:val="18"/>
                <w:szCs w:val="18"/>
                <w:shd w:val="clear" w:color="auto" w:fill="FFFFFF"/>
              </w:rPr>
              <w:t>Robust supplier contracts</w:t>
            </w:r>
          </w:p>
          <w:p w14:paraId="1572D6FC" w14:textId="77777777" w:rsidR="005C29CF" w:rsidRPr="00150EDC" w:rsidRDefault="005C29CF" w:rsidP="00B320C7">
            <w:pPr>
              <w:pStyle w:val="ListParagraph"/>
              <w:widowControl/>
              <w:numPr>
                <w:ilvl w:val="0"/>
                <w:numId w:val="183"/>
              </w:numPr>
              <w:autoSpaceDE/>
              <w:autoSpaceDN/>
              <w:spacing w:after="120" w:line="276" w:lineRule="auto"/>
              <w:ind w:right="113"/>
              <w:contextualSpacing/>
              <w:jc w:val="both"/>
              <w:rPr>
                <w:rFonts w:eastAsia="Times New Roman"/>
                <w:sz w:val="18"/>
                <w:szCs w:val="18"/>
                <w:shd w:val="clear" w:color="auto" w:fill="FFFFFF"/>
              </w:rPr>
            </w:pPr>
            <w:r w:rsidRPr="00150EDC">
              <w:rPr>
                <w:rFonts w:eastAsia="Times New Roman"/>
                <w:sz w:val="18"/>
                <w:szCs w:val="18"/>
                <w:shd w:val="clear" w:color="auto" w:fill="FFFFFF"/>
              </w:rPr>
              <w:t>Delivery plan with documented performance milestones/deliverables</w:t>
            </w:r>
          </w:p>
          <w:p w14:paraId="71AE310C" w14:textId="77777777" w:rsidR="005C29CF" w:rsidRPr="00150EDC" w:rsidRDefault="005C29CF" w:rsidP="00B320C7">
            <w:pPr>
              <w:pStyle w:val="ListParagraph"/>
              <w:widowControl/>
              <w:numPr>
                <w:ilvl w:val="0"/>
                <w:numId w:val="183"/>
              </w:numPr>
              <w:autoSpaceDE/>
              <w:autoSpaceDN/>
              <w:spacing w:after="120" w:line="276" w:lineRule="auto"/>
              <w:ind w:right="113"/>
              <w:contextualSpacing/>
              <w:jc w:val="both"/>
              <w:rPr>
                <w:rFonts w:eastAsia="Times New Roman"/>
                <w:sz w:val="18"/>
                <w:szCs w:val="18"/>
                <w:shd w:val="clear" w:color="auto" w:fill="FFFFFF"/>
              </w:rPr>
            </w:pPr>
            <w:r w:rsidRPr="00150EDC">
              <w:rPr>
                <w:rFonts w:eastAsia="Times New Roman"/>
                <w:sz w:val="18"/>
                <w:szCs w:val="18"/>
                <w:shd w:val="clear" w:color="auto" w:fill="FFFFFF"/>
              </w:rPr>
              <w:t>Compliance checks</w:t>
            </w:r>
          </w:p>
          <w:p w14:paraId="429C9FB5" w14:textId="77777777" w:rsidR="005C29CF" w:rsidRPr="00150EDC" w:rsidRDefault="005C29CF">
            <w:pPr>
              <w:textAlignment w:val="baseline"/>
              <w:rPr>
                <w:rFonts w:ascii="Segoe UI" w:eastAsia="Times New Roman" w:hAnsi="Segoe UI" w:cs="Segoe UI"/>
                <w:sz w:val="18"/>
                <w:szCs w:val="18"/>
              </w:rPr>
            </w:pPr>
          </w:p>
          <w:p w14:paraId="0DA7B075" w14:textId="77777777" w:rsidR="005C29CF" w:rsidRPr="00150EDC" w:rsidRDefault="005C29CF">
            <w:pPr>
              <w:pStyle w:val="pf0"/>
              <w:rPr>
                <w:rFonts w:ascii="Arial" w:hAnsi="Arial" w:cs="Arial"/>
                <w:sz w:val="20"/>
                <w:szCs w:val="20"/>
              </w:rPr>
            </w:pPr>
            <w:r w:rsidRPr="00150EDC">
              <w:rPr>
                <w:rFonts w:ascii="Arial" w:hAnsi="Arial" w:cs="Arial"/>
                <w:i/>
                <w:sz w:val="18"/>
                <w:szCs w:val="18"/>
                <w:shd w:val="clear" w:color="auto" w:fill="FFFFFF"/>
              </w:rPr>
              <w:t xml:space="preserve">Measurement: </w:t>
            </w:r>
            <w:r w:rsidRPr="00150EDC">
              <w:t xml:space="preserve"> </w:t>
            </w:r>
            <w:r w:rsidRPr="00150EDC">
              <w:rPr>
                <w:rFonts w:ascii="Segoe UI" w:hAnsi="Segoe UI" w:cs="Segoe UI"/>
                <w:i/>
                <w:iCs/>
                <w:sz w:val="18"/>
                <w:szCs w:val="18"/>
                <w:shd w:val="clear" w:color="auto" w:fill="FFFFFF"/>
              </w:rPr>
              <w:t>Monitoring of written progress reports and actions plans by DfE during each monitoring period.</w:t>
            </w:r>
          </w:p>
          <w:p w14:paraId="752939D7" w14:textId="77777777" w:rsidR="005C29CF" w:rsidRPr="00150EDC" w:rsidRDefault="005C29CF">
            <w:pPr>
              <w:spacing w:before="100" w:beforeAutospacing="1" w:after="100" w:afterAutospacing="1"/>
              <w:rPr>
                <w:rFonts w:eastAsia="Times New Roman"/>
                <w:sz w:val="18"/>
                <w:szCs w:val="18"/>
              </w:rPr>
            </w:pPr>
            <w:r w:rsidRPr="00150EDC">
              <w:rPr>
                <w:rFonts w:ascii="Segoe UI" w:eastAsia="Times New Roman" w:hAnsi="Segoe UI" w:cs="Segoe UI"/>
                <w:i/>
                <w:iCs/>
                <w:sz w:val="18"/>
                <w:szCs w:val="18"/>
                <w:shd w:val="clear" w:color="auto" w:fill="FFFFFF"/>
              </w:rPr>
              <w:t xml:space="preserve">At the buyers discretion, customer survey feedback that delivery assurance processes are maintained ‘all’ or ‘almost all’ of the time during each monitoring period. Customers to include DfE research, policy, PPM and Other Suppliers </w:t>
            </w:r>
          </w:p>
          <w:p w14:paraId="499CD5EE" w14:textId="77777777" w:rsidR="005C29CF" w:rsidRPr="00150EDC" w:rsidRDefault="005C29CF">
            <w:pPr>
              <w:textAlignment w:val="baseline"/>
              <w:rPr>
                <w:rFonts w:eastAsia="Times New Roman"/>
                <w:sz w:val="18"/>
                <w:szCs w:val="18"/>
              </w:rPr>
            </w:pPr>
          </w:p>
        </w:tc>
        <w:tc>
          <w:tcPr>
            <w:tcW w:w="2547" w:type="dxa"/>
            <w:tcBorders>
              <w:top w:val="single" w:sz="6" w:space="0" w:color="auto"/>
              <w:left w:val="single" w:sz="6" w:space="0" w:color="auto"/>
              <w:bottom w:val="single" w:sz="6" w:space="0" w:color="auto"/>
              <w:right w:val="single" w:sz="6" w:space="0" w:color="auto"/>
            </w:tcBorders>
            <w:shd w:val="clear" w:color="auto" w:fill="auto"/>
            <w:hideMark/>
          </w:tcPr>
          <w:p w14:paraId="20C7E9CC" w14:textId="77777777" w:rsidR="005C29CF" w:rsidRPr="00150EDC" w:rsidRDefault="005C29CF">
            <w:pPr>
              <w:textAlignment w:val="baseline"/>
              <w:rPr>
                <w:rFonts w:eastAsia="Times New Roman"/>
                <w:sz w:val="18"/>
                <w:szCs w:val="18"/>
              </w:rPr>
            </w:pPr>
          </w:p>
          <w:p w14:paraId="306104E3" w14:textId="77777777" w:rsidR="005C29CF" w:rsidRPr="00150EDC" w:rsidRDefault="005C29CF">
            <w:pPr>
              <w:textAlignment w:val="baseline"/>
              <w:rPr>
                <w:rFonts w:eastAsia="Times New Roman"/>
                <w:sz w:val="18"/>
                <w:szCs w:val="18"/>
              </w:rPr>
            </w:pPr>
            <w:r w:rsidRPr="00150EDC">
              <w:rPr>
                <w:rFonts w:eastAsia="Times New Roman"/>
                <w:b/>
                <w:bCs/>
                <w:sz w:val="18"/>
                <w:szCs w:val="18"/>
              </w:rPr>
              <w:t>Good</w:t>
            </w:r>
            <w:r w:rsidRPr="00150EDC">
              <w:rPr>
                <w:rFonts w:eastAsia="Times New Roman"/>
                <w:sz w:val="18"/>
                <w:szCs w:val="18"/>
              </w:rPr>
              <w:t>: Supplier uses an agreed assurance process 100% of the time</w:t>
            </w:r>
          </w:p>
          <w:p w14:paraId="150540C6" w14:textId="77777777" w:rsidR="005C29CF" w:rsidRPr="00150EDC" w:rsidRDefault="005C29CF">
            <w:pPr>
              <w:textAlignment w:val="baseline"/>
              <w:rPr>
                <w:rFonts w:ascii="Segoe UI" w:eastAsia="Times New Roman" w:hAnsi="Segoe UI" w:cs="Segoe UI"/>
                <w:sz w:val="18"/>
                <w:szCs w:val="18"/>
              </w:rPr>
            </w:pPr>
          </w:p>
          <w:p w14:paraId="0592AA46" w14:textId="77777777" w:rsidR="005C29CF" w:rsidRPr="00150EDC" w:rsidRDefault="005C29CF">
            <w:pPr>
              <w:textAlignment w:val="baseline"/>
              <w:rPr>
                <w:rFonts w:eastAsia="Times New Roman"/>
                <w:sz w:val="18"/>
                <w:szCs w:val="18"/>
              </w:rPr>
            </w:pPr>
            <w:r w:rsidRPr="00150EDC">
              <w:rPr>
                <w:rFonts w:eastAsia="Times New Roman"/>
                <w:b/>
                <w:bCs/>
                <w:sz w:val="18"/>
                <w:szCs w:val="18"/>
              </w:rPr>
              <w:t>Approaching Target</w:t>
            </w:r>
            <w:r w:rsidRPr="00150EDC">
              <w:rPr>
                <w:rFonts w:eastAsia="Times New Roman"/>
                <w:sz w:val="18"/>
                <w:szCs w:val="18"/>
              </w:rPr>
              <w:t>: Supplier uses agreed quality assurance process 97-99% of the time</w:t>
            </w:r>
          </w:p>
          <w:p w14:paraId="669AF7B3" w14:textId="77777777" w:rsidR="005C29CF" w:rsidRPr="00150EDC" w:rsidRDefault="005C29CF">
            <w:pPr>
              <w:textAlignment w:val="baseline"/>
              <w:rPr>
                <w:rFonts w:ascii="Segoe UI" w:eastAsia="Times New Roman" w:hAnsi="Segoe UI" w:cs="Segoe UI"/>
                <w:sz w:val="18"/>
                <w:szCs w:val="18"/>
              </w:rPr>
            </w:pPr>
          </w:p>
          <w:p w14:paraId="621D77AD" w14:textId="77777777" w:rsidR="005C29CF" w:rsidRPr="00150EDC" w:rsidRDefault="005C29CF">
            <w:pPr>
              <w:textAlignment w:val="baseline"/>
              <w:rPr>
                <w:rFonts w:eastAsia="Times New Roman"/>
                <w:sz w:val="18"/>
                <w:szCs w:val="18"/>
              </w:rPr>
            </w:pPr>
            <w:r w:rsidRPr="00150EDC">
              <w:rPr>
                <w:rFonts w:eastAsia="Times New Roman"/>
                <w:b/>
                <w:bCs/>
                <w:sz w:val="18"/>
                <w:szCs w:val="18"/>
              </w:rPr>
              <w:t>Requires Improvement</w:t>
            </w:r>
            <w:r w:rsidRPr="00150EDC">
              <w:rPr>
                <w:rFonts w:eastAsia="Times New Roman"/>
                <w:sz w:val="18"/>
                <w:szCs w:val="18"/>
              </w:rPr>
              <w:t>: Supplier uses agreed quality assurance process 95-96% of the time</w:t>
            </w:r>
          </w:p>
          <w:p w14:paraId="1F850609" w14:textId="77777777" w:rsidR="005C29CF" w:rsidRPr="00150EDC" w:rsidRDefault="005C29CF">
            <w:pPr>
              <w:textAlignment w:val="baseline"/>
              <w:rPr>
                <w:rFonts w:ascii="Segoe UI" w:eastAsia="Times New Roman" w:hAnsi="Segoe UI" w:cs="Segoe UI"/>
                <w:sz w:val="18"/>
                <w:szCs w:val="18"/>
              </w:rPr>
            </w:pPr>
          </w:p>
          <w:p w14:paraId="4D45471C" w14:textId="77777777" w:rsidR="005C29CF" w:rsidRPr="00150EDC" w:rsidRDefault="005C29CF">
            <w:pPr>
              <w:textAlignment w:val="baseline"/>
              <w:rPr>
                <w:rFonts w:eastAsia="Times New Roman"/>
                <w:sz w:val="18"/>
                <w:szCs w:val="18"/>
              </w:rPr>
            </w:pPr>
            <w:r w:rsidRPr="00150EDC">
              <w:rPr>
                <w:rFonts w:eastAsia="Times New Roman"/>
                <w:b/>
                <w:bCs/>
                <w:sz w:val="18"/>
                <w:szCs w:val="18"/>
              </w:rPr>
              <w:t>Inadequate</w:t>
            </w:r>
            <w:r w:rsidRPr="00150EDC">
              <w:rPr>
                <w:rFonts w:eastAsia="Times New Roman"/>
                <w:sz w:val="18"/>
                <w:szCs w:val="18"/>
              </w:rPr>
              <w:t>: Supplier uses agreed quality assurance process less than 95% of the time</w:t>
            </w:r>
          </w:p>
          <w:p w14:paraId="75C5CDB8" w14:textId="77777777" w:rsidR="005C29CF" w:rsidRPr="00150EDC" w:rsidRDefault="005C29CF">
            <w:pPr>
              <w:textAlignment w:val="baseline"/>
              <w:rPr>
                <w:rFonts w:ascii="Segoe UI" w:eastAsia="Times New Roman" w:hAnsi="Segoe UI" w:cs="Segoe UI"/>
                <w:sz w:val="18"/>
                <w:szCs w:val="18"/>
              </w:rPr>
            </w:pPr>
          </w:p>
        </w:tc>
        <w:tc>
          <w:tcPr>
            <w:tcW w:w="1984" w:type="dxa"/>
            <w:tcBorders>
              <w:top w:val="single" w:sz="6" w:space="0" w:color="auto"/>
              <w:left w:val="single" w:sz="6" w:space="0" w:color="auto"/>
              <w:bottom w:val="single" w:sz="6" w:space="0" w:color="auto"/>
              <w:right w:val="single" w:sz="6" w:space="0" w:color="auto"/>
            </w:tcBorders>
            <w:shd w:val="clear" w:color="auto" w:fill="auto"/>
            <w:hideMark/>
          </w:tcPr>
          <w:p w14:paraId="4071EFCC" w14:textId="77777777" w:rsidR="005C29CF" w:rsidRPr="00150EDC" w:rsidRDefault="005C29CF">
            <w:pPr>
              <w:textAlignment w:val="baseline"/>
              <w:rPr>
                <w:rFonts w:ascii="Segoe UI" w:eastAsia="Times New Roman" w:hAnsi="Segoe UI" w:cs="Segoe UI"/>
                <w:sz w:val="18"/>
                <w:szCs w:val="18"/>
              </w:rPr>
            </w:pPr>
            <w:r w:rsidRPr="00150EDC">
              <w:rPr>
                <w:rFonts w:eastAsia="Times New Roman"/>
                <w:sz w:val="18"/>
                <w:szCs w:val="18"/>
              </w:rPr>
              <w:t>Supplier to be rated as ‘Good’ </w:t>
            </w:r>
          </w:p>
        </w:tc>
      </w:tr>
      <w:tr w:rsidR="00150EDC" w:rsidRPr="007D3144" w14:paraId="6A47A7BD" w14:textId="77777777">
        <w:trPr>
          <w:trHeight w:val="300"/>
        </w:trPr>
        <w:tc>
          <w:tcPr>
            <w:tcW w:w="666"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758CAD41" w14:textId="77777777" w:rsidR="005C29CF" w:rsidRPr="00150EDC" w:rsidRDefault="005C29CF">
            <w:pPr>
              <w:pStyle w:val="paragraph"/>
              <w:spacing w:before="0" w:beforeAutospacing="0" w:after="0" w:afterAutospacing="0"/>
              <w:ind w:right="45"/>
              <w:textAlignment w:val="baseline"/>
              <w:rPr>
                <w:rFonts w:ascii="Segoe UI" w:hAnsi="Segoe UI" w:cs="Segoe UI"/>
                <w:sz w:val="18"/>
                <w:szCs w:val="18"/>
              </w:rPr>
            </w:pPr>
            <w:r w:rsidRPr="00150EDC">
              <w:rPr>
                <w:rStyle w:val="normaltextrun"/>
                <w:rFonts w:ascii="Arial" w:hAnsi="Arial" w:cs="Arial"/>
                <w:bCs/>
                <w:sz w:val="18"/>
                <w:szCs w:val="18"/>
              </w:rPr>
              <w:t>2</w:t>
            </w:r>
          </w:p>
        </w:tc>
        <w:tc>
          <w:tcPr>
            <w:tcW w:w="1319" w:type="dxa"/>
            <w:tcBorders>
              <w:top w:val="single" w:sz="6" w:space="0" w:color="auto"/>
              <w:left w:val="single" w:sz="6" w:space="0" w:color="auto"/>
              <w:bottom w:val="single" w:sz="6" w:space="0" w:color="auto"/>
              <w:right w:val="single" w:sz="6" w:space="0" w:color="auto"/>
            </w:tcBorders>
            <w:shd w:val="clear" w:color="auto" w:fill="auto"/>
          </w:tcPr>
          <w:p w14:paraId="30DF8F53" w14:textId="77777777" w:rsidR="005C29CF" w:rsidRPr="00150EDC" w:rsidRDefault="005C29CF">
            <w:pPr>
              <w:textAlignment w:val="baseline"/>
              <w:rPr>
                <w:rFonts w:eastAsia="Times New Roman"/>
                <w:b/>
                <w:bCs/>
                <w:sz w:val="18"/>
                <w:szCs w:val="18"/>
                <w:shd w:val="clear" w:color="auto" w:fill="FFFFFF"/>
              </w:rPr>
            </w:pPr>
            <w:r w:rsidRPr="00150EDC">
              <w:rPr>
                <w:rStyle w:val="normaltextrun"/>
                <w:b/>
                <w:bCs/>
                <w:sz w:val="18"/>
                <w:szCs w:val="18"/>
              </w:rPr>
              <w:t>Social Value</w:t>
            </w:r>
            <w:r w:rsidRPr="00150EDC">
              <w:rPr>
                <w:rStyle w:val="eop"/>
                <w:b/>
                <w:bCs/>
                <w:sz w:val="18"/>
                <w:szCs w:val="18"/>
              </w:rPr>
              <w:t> </w:t>
            </w:r>
          </w:p>
        </w:tc>
        <w:tc>
          <w:tcPr>
            <w:tcW w:w="3974" w:type="dxa"/>
            <w:tcBorders>
              <w:top w:val="single" w:sz="6" w:space="0" w:color="auto"/>
              <w:left w:val="single" w:sz="6" w:space="0" w:color="auto"/>
              <w:bottom w:val="single" w:sz="6" w:space="0" w:color="auto"/>
              <w:right w:val="single" w:sz="6" w:space="0" w:color="auto"/>
            </w:tcBorders>
            <w:shd w:val="clear" w:color="auto" w:fill="auto"/>
          </w:tcPr>
          <w:p w14:paraId="0B8A2E9C" w14:textId="77777777" w:rsidR="005C29CF" w:rsidRPr="00150EDC" w:rsidRDefault="005C29CF">
            <w:pPr>
              <w:textAlignment w:val="baseline"/>
              <w:rPr>
                <w:sz w:val="18"/>
                <w:szCs w:val="18"/>
              </w:rPr>
            </w:pPr>
            <w:r w:rsidRPr="00150EDC">
              <w:rPr>
                <w:rStyle w:val="normaltextrun"/>
                <w:sz w:val="18"/>
                <w:szCs w:val="18"/>
              </w:rPr>
              <w:t>The Supplier shall meet the Social Value commitments as outlined in DPS Order schedule 4 – Order Tender ‘5. Tackling workforce inequality’. This KPI will be reviewed after the first 6 months of the contract when the social value commitment can be determined based on</w:t>
            </w:r>
            <w:r w:rsidRPr="00150EDC">
              <w:rPr>
                <w:sz w:val="18"/>
                <w:szCs w:val="18"/>
              </w:rPr>
              <w:t xml:space="preserve"> scale of delivery, working assumption for 13 trials is:</w:t>
            </w:r>
          </w:p>
          <w:p w14:paraId="4F2AC6C6" w14:textId="77777777" w:rsidR="005C29CF" w:rsidRPr="00150EDC" w:rsidRDefault="005C29CF" w:rsidP="00B320C7">
            <w:pPr>
              <w:pStyle w:val="ListParagraph"/>
              <w:widowControl/>
              <w:numPr>
                <w:ilvl w:val="0"/>
                <w:numId w:val="184"/>
              </w:numPr>
              <w:autoSpaceDE/>
              <w:autoSpaceDN/>
              <w:contextualSpacing/>
              <w:textAlignment w:val="baseline"/>
              <w:rPr>
                <w:rStyle w:val="normaltextrun"/>
                <w:sz w:val="18"/>
                <w:szCs w:val="18"/>
              </w:rPr>
            </w:pPr>
            <w:r w:rsidRPr="00150EDC">
              <w:rPr>
                <w:rStyle w:val="normaltextrun"/>
                <w:sz w:val="18"/>
                <w:szCs w:val="18"/>
              </w:rPr>
              <w:t>1 x Project manager apprentice</w:t>
            </w:r>
          </w:p>
          <w:p w14:paraId="37188B4C" w14:textId="77777777" w:rsidR="005C29CF" w:rsidRPr="00150EDC" w:rsidRDefault="005C29CF" w:rsidP="00B320C7">
            <w:pPr>
              <w:pStyle w:val="ListParagraph"/>
              <w:widowControl/>
              <w:numPr>
                <w:ilvl w:val="0"/>
                <w:numId w:val="184"/>
              </w:numPr>
              <w:autoSpaceDE/>
              <w:autoSpaceDN/>
              <w:contextualSpacing/>
              <w:textAlignment w:val="baseline"/>
              <w:rPr>
                <w:rStyle w:val="normaltextrun"/>
                <w:sz w:val="18"/>
                <w:szCs w:val="18"/>
              </w:rPr>
            </w:pPr>
            <w:r w:rsidRPr="00150EDC">
              <w:rPr>
                <w:rStyle w:val="normaltextrun"/>
                <w:sz w:val="18"/>
                <w:szCs w:val="18"/>
              </w:rPr>
              <w:t>1 x Finance and compliance apprentice</w:t>
            </w:r>
          </w:p>
          <w:p w14:paraId="43A4B5A1" w14:textId="77777777" w:rsidR="005C29CF" w:rsidRPr="00150EDC" w:rsidRDefault="005C29CF" w:rsidP="00B320C7">
            <w:pPr>
              <w:pStyle w:val="ListParagraph"/>
              <w:widowControl/>
              <w:numPr>
                <w:ilvl w:val="0"/>
                <w:numId w:val="184"/>
              </w:numPr>
              <w:autoSpaceDE/>
              <w:autoSpaceDN/>
              <w:contextualSpacing/>
              <w:textAlignment w:val="baseline"/>
              <w:rPr>
                <w:rStyle w:val="normaltextrun"/>
                <w:sz w:val="18"/>
                <w:szCs w:val="18"/>
              </w:rPr>
            </w:pPr>
            <w:r w:rsidRPr="00150EDC">
              <w:rPr>
                <w:rStyle w:val="normaltextrun"/>
                <w:sz w:val="18"/>
                <w:szCs w:val="18"/>
              </w:rPr>
              <w:t xml:space="preserve">2x5 week of T Level industry placement opportunities for under-represented individuals studying management, </w:t>
            </w:r>
            <w:r w:rsidRPr="00150EDC">
              <w:rPr>
                <w:rStyle w:val="normaltextrun"/>
                <w:sz w:val="18"/>
                <w:szCs w:val="18"/>
              </w:rPr>
              <w:lastRenderedPageBreak/>
              <w:t>administration, or finance, over the two year contract.</w:t>
            </w:r>
          </w:p>
          <w:p w14:paraId="20D8C538" w14:textId="77777777" w:rsidR="005C29CF" w:rsidRPr="00150EDC" w:rsidRDefault="005C29CF" w:rsidP="00B320C7">
            <w:pPr>
              <w:pStyle w:val="ListParagraph"/>
              <w:widowControl/>
              <w:numPr>
                <w:ilvl w:val="0"/>
                <w:numId w:val="184"/>
              </w:numPr>
              <w:autoSpaceDE/>
              <w:autoSpaceDN/>
              <w:spacing w:after="200" w:line="276" w:lineRule="auto"/>
              <w:contextualSpacing/>
              <w:rPr>
                <w:rStyle w:val="normaltextrun"/>
                <w:sz w:val="18"/>
                <w:szCs w:val="18"/>
              </w:rPr>
            </w:pPr>
            <w:r w:rsidRPr="00150EDC">
              <w:rPr>
                <w:rStyle w:val="normaltextrun"/>
                <w:sz w:val="18"/>
                <w:szCs w:val="18"/>
              </w:rPr>
              <w:t>400 people-hours of learning development achieved per year</w:t>
            </w:r>
          </w:p>
          <w:p w14:paraId="3712C61E" w14:textId="77777777" w:rsidR="005C29CF" w:rsidRPr="00150EDC" w:rsidRDefault="005C29CF">
            <w:pPr>
              <w:rPr>
                <w:rStyle w:val="normaltextrun"/>
                <w:rFonts w:eastAsia="Times New Roman"/>
                <w:i/>
                <w:iCs/>
                <w:sz w:val="18"/>
                <w:szCs w:val="18"/>
                <w:shd w:val="clear" w:color="auto" w:fill="FFFFFF"/>
              </w:rPr>
            </w:pPr>
            <w:r w:rsidRPr="00150EDC">
              <w:rPr>
                <w:rFonts w:eastAsia="Times New Roman"/>
                <w:i/>
                <w:iCs/>
                <w:sz w:val="18"/>
                <w:szCs w:val="18"/>
                <w:shd w:val="clear" w:color="auto" w:fill="FFFFFF"/>
              </w:rPr>
              <w:t>Measurement: Quarterly reports submitted to the DfE in an agreed format, together with evidence.</w:t>
            </w:r>
          </w:p>
        </w:tc>
        <w:tc>
          <w:tcPr>
            <w:tcW w:w="2547"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66473F64" w14:textId="77777777" w:rsidR="005C29CF" w:rsidRPr="00150EDC" w:rsidRDefault="005C29CF">
            <w:pPr>
              <w:textAlignment w:val="baseline"/>
              <w:rPr>
                <w:rFonts w:eastAsia="Times New Roman"/>
                <w:sz w:val="18"/>
                <w:szCs w:val="18"/>
              </w:rPr>
            </w:pPr>
            <w:r w:rsidRPr="00150EDC">
              <w:rPr>
                <w:rFonts w:eastAsia="Times New Roman"/>
                <w:b/>
                <w:bCs/>
                <w:sz w:val="18"/>
                <w:szCs w:val="18"/>
              </w:rPr>
              <w:lastRenderedPageBreak/>
              <w:t>Good</w:t>
            </w:r>
            <w:r w:rsidRPr="00150EDC">
              <w:rPr>
                <w:rFonts w:eastAsia="Times New Roman"/>
                <w:sz w:val="18"/>
                <w:szCs w:val="18"/>
              </w:rPr>
              <w:t>: Supplier meets all 4 commitments annually.</w:t>
            </w:r>
          </w:p>
          <w:p w14:paraId="5657DF01" w14:textId="77777777" w:rsidR="005C29CF" w:rsidRPr="00150EDC" w:rsidRDefault="005C29CF">
            <w:pPr>
              <w:textAlignment w:val="baseline"/>
              <w:rPr>
                <w:rFonts w:ascii="Segoe UI" w:eastAsia="Times New Roman" w:hAnsi="Segoe UI" w:cs="Segoe UI"/>
                <w:sz w:val="18"/>
                <w:szCs w:val="18"/>
              </w:rPr>
            </w:pPr>
          </w:p>
          <w:p w14:paraId="041316FD" w14:textId="77777777" w:rsidR="005C29CF" w:rsidRPr="00150EDC" w:rsidRDefault="005C29CF">
            <w:pPr>
              <w:textAlignment w:val="baseline"/>
              <w:rPr>
                <w:rFonts w:eastAsia="Times New Roman"/>
                <w:sz w:val="18"/>
                <w:szCs w:val="18"/>
              </w:rPr>
            </w:pPr>
            <w:r w:rsidRPr="00150EDC">
              <w:rPr>
                <w:rFonts w:eastAsia="Times New Roman"/>
                <w:b/>
                <w:bCs/>
                <w:sz w:val="18"/>
                <w:szCs w:val="18"/>
              </w:rPr>
              <w:t>Approaching Target</w:t>
            </w:r>
            <w:r w:rsidRPr="00150EDC">
              <w:rPr>
                <w:rFonts w:eastAsia="Times New Roman"/>
                <w:sz w:val="18"/>
                <w:szCs w:val="18"/>
              </w:rPr>
              <w:t>: Supplier meets 3/4 commitments annually.</w:t>
            </w:r>
          </w:p>
          <w:p w14:paraId="6B65916B" w14:textId="77777777" w:rsidR="005C29CF" w:rsidRPr="00150EDC" w:rsidRDefault="005C29CF">
            <w:pPr>
              <w:textAlignment w:val="baseline"/>
              <w:rPr>
                <w:rFonts w:ascii="Segoe UI" w:eastAsia="Times New Roman" w:hAnsi="Segoe UI" w:cs="Segoe UI"/>
                <w:sz w:val="18"/>
                <w:szCs w:val="18"/>
              </w:rPr>
            </w:pPr>
          </w:p>
          <w:p w14:paraId="3288A7D7" w14:textId="77777777" w:rsidR="005C29CF" w:rsidRPr="00150EDC" w:rsidRDefault="005C29CF">
            <w:pPr>
              <w:textAlignment w:val="baseline"/>
              <w:rPr>
                <w:rFonts w:eastAsia="Times New Roman"/>
                <w:sz w:val="18"/>
                <w:szCs w:val="18"/>
              </w:rPr>
            </w:pPr>
            <w:r w:rsidRPr="00150EDC">
              <w:rPr>
                <w:rFonts w:eastAsia="Times New Roman"/>
                <w:b/>
                <w:bCs/>
                <w:sz w:val="18"/>
                <w:szCs w:val="18"/>
              </w:rPr>
              <w:t>Requires Improvement</w:t>
            </w:r>
            <w:r w:rsidRPr="00150EDC">
              <w:rPr>
                <w:rFonts w:eastAsia="Times New Roman"/>
                <w:sz w:val="18"/>
                <w:szCs w:val="18"/>
              </w:rPr>
              <w:t>: Supplier meets 2/4 commitments annually.</w:t>
            </w:r>
          </w:p>
          <w:p w14:paraId="3F9BA139" w14:textId="77777777" w:rsidR="005C29CF" w:rsidRPr="00150EDC" w:rsidRDefault="005C29CF">
            <w:pPr>
              <w:textAlignment w:val="baseline"/>
              <w:rPr>
                <w:rFonts w:ascii="Segoe UI" w:eastAsia="Times New Roman" w:hAnsi="Segoe UI" w:cs="Segoe UI"/>
                <w:sz w:val="18"/>
                <w:szCs w:val="18"/>
              </w:rPr>
            </w:pPr>
          </w:p>
          <w:p w14:paraId="5084D170" w14:textId="77777777" w:rsidR="005C29CF" w:rsidRPr="00150EDC" w:rsidRDefault="005C29CF">
            <w:pPr>
              <w:textAlignment w:val="baseline"/>
              <w:rPr>
                <w:rFonts w:eastAsia="Times New Roman"/>
                <w:sz w:val="18"/>
                <w:szCs w:val="18"/>
              </w:rPr>
            </w:pPr>
            <w:r w:rsidRPr="00150EDC">
              <w:rPr>
                <w:rFonts w:eastAsia="Times New Roman"/>
                <w:b/>
                <w:bCs/>
                <w:sz w:val="18"/>
                <w:szCs w:val="18"/>
              </w:rPr>
              <w:lastRenderedPageBreak/>
              <w:t>Inadequate</w:t>
            </w:r>
            <w:r w:rsidRPr="00150EDC">
              <w:rPr>
                <w:rFonts w:eastAsia="Times New Roman"/>
                <w:sz w:val="18"/>
                <w:szCs w:val="18"/>
              </w:rPr>
              <w:t>: Supplier meets all 0 commitments annually.</w:t>
            </w:r>
          </w:p>
          <w:p w14:paraId="12638557" w14:textId="77777777" w:rsidR="005C29CF" w:rsidRPr="00150EDC" w:rsidRDefault="005C29CF">
            <w:pPr>
              <w:textAlignment w:val="baseline"/>
              <w:rPr>
                <w:rStyle w:val="normaltextrun"/>
                <w:sz w:val="18"/>
                <w:szCs w:val="18"/>
              </w:rPr>
            </w:pPr>
          </w:p>
        </w:tc>
        <w:tc>
          <w:tcPr>
            <w:tcW w:w="1984" w:type="dxa"/>
            <w:tcBorders>
              <w:top w:val="single" w:sz="6" w:space="0" w:color="auto"/>
              <w:left w:val="single" w:sz="6" w:space="0" w:color="auto"/>
              <w:bottom w:val="single" w:sz="6" w:space="0" w:color="auto"/>
              <w:right w:val="single" w:sz="6" w:space="0" w:color="auto"/>
            </w:tcBorders>
            <w:shd w:val="clear" w:color="auto" w:fill="auto"/>
          </w:tcPr>
          <w:p w14:paraId="0EFF114E" w14:textId="77777777" w:rsidR="005C29CF" w:rsidRPr="00150EDC" w:rsidRDefault="005C29CF">
            <w:pPr>
              <w:textAlignment w:val="baseline"/>
              <w:rPr>
                <w:rStyle w:val="normaltextrun"/>
                <w:sz w:val="18"/>
                <w:szCs w:val="18"/>
              </w:rPr>
            </w:pPr>
            <w:r w:rsidRPr="00150EDC">
              <w:rPr>
                <w:rFonts w:eastAsia="Times New Roman"/>
                <w:sz w:val="18"/>
                <w:szCs w:val="18"/>
              </w:rPr>
              <w:lastRenderedPageBreak/>
              <w:t>Supplier to be rated as ‘Good’ </w:t>
            </w:r>
          </w:p>
        </w:tc>
      </w:tr>
    </w:tbl>
    <w:p w14:paraId="1D8C8A57" w14:textId="74D735BC" w:rsidR="004C7180" w:rsidRPr="00150EDC" w:rsidRDefault="004C7180">
      <w:pPr>
        <w:pStyle w:val="BodyText"/>
        <w:rPr>
          <w:b/>
          <w:sz w:val="20"/>
        </w:rPr>
      </w:pPr>
    </w:p>
    <w:p w14:paraId="33A3E12E" w14:textId="77777777" w:rsidR="004C7180" w:rsidRPr="00150EDC" w:rsidRDefault="004C7180">
      <w:pPr>
        <w:pStyle w:val="BodyText"/>
        <w:rPr>
          <w:b/>
          <w:sz w:val="20"/>
        </w:rPr>
      </w:pPr>
    </w:p>
    <w:p w14:paraId="310276AE" w14:textId="2E577074" w:rsidR="004C7180" w:rsidRPr="00150EDC" w:rsidRDefault="004C7180">
      <w:pPr>
        <w:pStyle w:val="BodyText"/>
        <w:rPr>
          <w:b/>
          <w:sz w:val="20"/>
        </w:rPr>
      </w:pPr>
    </w:p>
    <w:p w14:paraId="468FCA4D" w14:textId="77777777" w:rsidR="004C7180" w:rsidRPr="00150EDC" w:rsidRDefault="004C7180">
      <w:pPr>
        <w:pStyle w:val="BodyText"/>
        <w:rPr>
          <w:b/>
          <w:sz w:val="20"/>
        </w:rPr>
      </w:pPr>
    </w:p>
    <w:p w14:paraId="1550C4B1" w14:textId="77777777" w:rsidR="004C7180" w:rsidRPr="00150EDC" w:rsidRDefault="004C7180">
      <w:pPr>
        <w:pStyle w:val="BodyText"/>
        <w:rPr>
          <w:b/>
          <w:sz w:val="20"/>
        </w:rPr>
      </w:pPr>
    </w:p>
    <w:p w14:paraId="5696702C" w14:textId="77777777" w:rsidR="004C7180" w:rsidRPr="00150EDC" w:rsidRDefault="004C7180">
      <w:pPr>
        <w:pStyle w:val="BodyText"/>
        <w:rPr>
          <w:b/>
          <w:sz w:val="20"/>
        </w:rPr>
      </w:pPr>
    </w:p>
    <w:p w14:paraId="645A38D3" w14:textId="77777777" w:rsidR="004C7180" w:rsidRPr="00150EDC" w:rsidRDefault="004C7180">
      <w:pPr>
        <w:pStyle w:val="BodyText"/>
        <w:rPr>
          <w:b/>
          <w:sz w:val="20"/>
        </w:rPr>
      </w:pPr>
    </w:p>
    <w:p w14:paraId="7442E59E" w14:textId="77777777" w:rsidR="004C7180" w:rsidRPr="00150EDC" w:rsidRDefault="004C7180">
      <w:pPr>
        <w:pStyle w:val="BodyText"/>
        <w:rPr>
          <w:b/>
          <w:sz w:val="20"/>
        </w:rPr>
      </w:pPr>
    </w:p>
    <w:p w14:paraId="456FDEFA" w14:textId="77777777" w:rsidR="004C7180" w:rsidRPr="00150EDC" w:rsidRDefault="004C7180">
      <w:pPr>
        <w:pStyle w:val="BodyText"/>
        <w:rPr>
          <w:b/>
          <w:sz w:val="20"/>
        </w:rPr>
      </w:pPr>
    </w:p>
    <w:p w14:paraId="6FC9EAF8" w14:textId="77777777" w:rsidR="004C7180" w:rsidRPr="00150EDC" w:rsidRDefault="004C7180">
      <w:pPr>
        <w:pStyle w:val="BodyText"/>
        <w:rPr>
          <w:b/>
          <w:sz w:val="20"/>
        </w:rPr>
      </w:pPr>
    </w:p>
    <w:p w14:paraId="3048173E" w14:textId="77777777" w:rsidR="004C7180" w:rsidRPr="00150EDC" w:rsidRDefault="004C7180">
      <w:pPr>
        <w:pStyle w:val="BodyText"/>
        <w:rPr>
          <w:b/>
          <w:sz w:val="20"/>
        </w:rPr>
      </w:pPr>
    </w:p>
    <w:p w14:paraId="58B075C5" w14:textId="77777777" w:rsidR="004C7180" w:rsidRPr="00150EDC" w:rsidRDefault="004C7180">
      <w:pPr>
        <w:pStyle w:val="BodyText"/>
        <w:rPr>
          <w:b/>
          <w:sz w:val="20"/>
        </w:rPr>
      </w:pPr>
    </w:p>
    <w:p w14:paraId="04A2F504" w14:textId="77777777" w:rsidR="004C7180" w:rsidRPr="00150EDC" w:rsidRDefault="004C7180">
      <w:pPr>
        <w:pStyle w:val="BodyText"/>
        <w:rPr>
          <w:b/>
          <w:sz w:val="26"/>
        </w:rPr>
      </w:pPr>
    </w:p>
    <w:p w14:paraId="115EB615" w14:textId="77777777" w:rsidR="004C7180" w:rsidRPr="00150EDC" w:rsidRDefault="004C7180">
      <w:pPr>
        <w:rPr>
          <w:rFonts w:ascii="Calibri"/>
          <w:sz w:val="12"/>
        </w:rPr>
        <w:sectPr w:rsidR="004C7180" w:rsidRPr="00150EDC">
          <w:pgSz w:w="11910" w:h="16840"/>
          <w:pgMar w:top="2940" w:right="0" w:bottom="3120" w:left="40" w:header="2612" w:footer="2929" w:gutter="0"/>
          <w:cols w:space="720"/>
        </w:sectPr>
      </w:pPr>
    </w:p>
    <w:p w14:paraId="797BF48E" w14:textId="0275FF35" w:rsidR="004C7180" w:rsidRPr="00150EDC" w:rsidRDefault="004C7180">
      <w:pPr>
        <w:pStyle w:val="BodyText"/>
        <w:spacing w:before="1"/>
        <w:rPr>
          <w:rFonts w:ascii="Calibri"/>
          <w:sz w:val="9"/>
        </w:rPr>
      </w:pPr>
    </w:p>
    <w:p w14:paraId="2361DCE1" w14:textId="77777777" w:rsidR="004C7180" w:rsidRPr="00150EDC" w:rsidRDefault="00CF0754">
      <w:pPr>
        <w:spacing w:before="95"/>
        <w:ind w:left="1044"/>
        <w:rPr>
          <w:b/>
          <w:sz w:val="18"/>
        </w:rPr>
      </w:pPr>
      <w:r w:rsidRPr="00150EDC">
        <w:rPr>
          <w:b/>
          <w:sz w:val="18"/>
        </w:rPr>
        <w:t>Collaboration</w:t>
      </w:r>
      <w:r w:rsidRPr="00150EDC">
        <w:rPr>
          <w:b/>
          <w:spacing w:val="-4"/>
          <w:sz w:val="18"/>
        </w:rPr>
        <w:t xml:space="preserve"> </w:t>
      </w:r>
      <w:r w:rsidRPr="00150EDC">
        <w:rPr>
          <w:b/>
          <w:sz w:val="18"/>
        </w:rPr>
        <w:t>Key</w:t>
      </w:r>
      <w:r w:rsidRPr="00150EDC">
        <w:rPr>
          <w:b/>
          <w:spacing w:val="-5"/>
          <w:sz w:val="18"/>
        </w:rPr>
        <w:t xml:space="preserve"> </w:t>
      </w:r>
      <w:r w:rsidRPr="00150EDC">
        <w:rPr>
          <w:b/>
          <w:sz w:val="18"/>
        </w:rPr>
        <w:t>Performance</w:t>
      </w:r>
      <w:r w:rsidRPr="00150EDC">
        <w:rPr>
          <w:b/>
          <w:spacing w:val="-3"/>
          <w:sz w:val="18"/>
        </w:rPr>
        <w:t xml:space="preserve"> </w:t>
      </w:r>
      <w:r w:rsidRPr="00150EDC">
        <w:rPr>
          <w:b/>
          <w:spacing w:val="-2"/>
          <w:sz w:val="18"/>
        </w:rPr>
        <w:t>Indicators</w:t>
      </w:r>
    </w:p>
    <w:p w14:paraId="7C636FCA" w14:textId="77777777" w:rsidR="004C7180" w:rsidRPr="00150EDC" w:rsidRDefault="004C7180">
      <w:pPr>
        <w:pStyle w:val="BodyText"/>
        <w:spacing w:before="4"/>
        <w:rPr>
          <w:b/>
          <w:sz w:val="16"/>
        </w:rPr>
      </w:pPr>
    </w:p>
    <w:p w14:paraId="0DC4803D" w14:textId="77777777" w:rsidR="004C7180" w:rsidRPr="00150EDC" w:rsidRDefault="00CF0754">
      <w:pPr>
        <w:spacing w:line="247" w:lineRule="auto"/>
        <w:ind w:left="1044" w:right="4044"/>
        <w:rPr>
          <w:sz w:val="16"/>
        </w:rPr>
      </w:pPr>
      <w:r w:rsidRPr="00150EDC">
        <w:rPr>
          <w:w w:val="105"/>
          <w:sz w:val="16"/>
        </w:rPr>
        <w:t xml:space="preserve">This section links to the information provided in Order Special Schedule 24 – Collaboration </w:t>
      </w:r>
      <w:r w:rsidRPr="00150EDC">
        <w:rPr>
          <w:spacing w:val="-2"/>
          <w:w w:val="105"/>
          <w:sz w:val="16"/>
        </w:rPr>
        <w:t>Schedule.</w:t>
      </w:r>
    </w:p>
    <w:p w14:paraId="46784E58" w14:textId="77777777" w:rsidR="004C7180" w:rsidRPr="00150EDC" w:rsidRDefault="004C7180">
      <w:pPr>
        <w:pStyle w:val="BodyText"/>
        <w:rPr>
          <w:sz w:val="20"/>
        </w:rPr>
      </w:pPr>
    </w:p>
    <w:p w14:paraId="106269ED" w14:textId="77777777" w:rsidR="004C7180" w:rsidRPr="00150EDC" w:rsidRDefault="004C7180">
      <w:pPr>
        <w:pStyle w:val="BodyText"/>
        <w:spacing w:before="11"/>
        <w:rPr>
          <w:sz w:val="11"/>
        </w:rPr>
      </w:pPr>
    </w:p>
    <w:tbl>
      <w:tblPr>
        <w:tblW w:w="0" w:type="auto"/>
        <w:tblInd w:w="5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175"/>
        <w:gridCol w:w="3202"/>
        <w:gridCol w:w="2030"/>
        <w:gridCol w:w="1493"/>
      </w:tblGrid>
      <w:tr w:rsidR="004569EE" w:rsidRPr="007D3144" w14:paraId="2269FF8D" w14:textId="77777777">
        <w:trPr>
          <w:trHeight w:val="225"/>
        </w:trPr>
        <w:tc>
          <w:tcPr>
            <w:tcW w:w="1175" w:type="dxa"/>
            <w:shd w:val="clear" w:color="auto" w:fill="D9D9D9"/>
          </w:tcPr>
          <w:p w14:paraId="2A86686A" w14:textId="77777777" w:rsidR="004C7180" w:rsidRPr="00150EDC" w:rsidRDefault="00CF0754">
            <w:pPr>
              <w:pStyle w:val="TableParagraph"/>
              <w:spacing w:before="0" w:line="240" w:lineRule="auto"/>
              <w:ind w:left="81"/>
              <w:rPr>
                <w:b/>
                <w:sz w:val="15"/>
              </w:rPr>
            </w:pPr>
            <w:r w:rsidRPr="00150EDC">
              <w:rPr>
                <w:b/>
                <w:spacing w:val="-5"/>
                <w:sz w:val="15"/>
              </w:rPr>
              <w:t>KPI</w:t>
            </w:r>
          </w:p>
        </w:tc>
        <w:tc>
          <w:tcPr>
            <w:tcW w:w="3202" w:type="dxa"/>
            <w:shd w:val="clear" w:color="auto" w:fill="D9D9D9"/>
          </w:tcPr>
          <w:p w14:paraId="016070A5" w14:textId="77777777" w:rsidR="004C7180" w:rsidRPr="00150EDC" w:rsidRDefault="00CF0754">
            <w:pPr>
              <w:pStyle w:val="TableParagraph"/>
              <w:spacing w:before="0" w:line="240" w:lineRule="auto"/>
              <w:ind w:left="82"/>
              <w:rPr>
                <w:b/>
                <w:sz w:val="15"/>
              </w:rPr>
            </w:pPr>
            <w:r w:rsidRPr="00150EDC">
              <w:rPr>
                <w:b/>
                <w:sz w:val="15"/>
              </w:rPr>
              <w:t>KPI</w:t>
            </w:r>
            <w:r w:rsidRPr="00150EDC">
              <w:rPr>
                <w:b/>
                <w:spacing w:val="-3"/>
                <w:sz w:val="15"/>
              </w:rPr>
              <w:t xml:space="preserve"> </w:t>
            </w:r>
            <w:r w:rsidRPr="00150EDC">
              <w:rPr>
                <w:b/>
                <w:sz w:val="15"/>
              </w:rPr>
              <w:t>Description</w:t>
            </w:r>
            <w:r w:rsidRPr="00150EDC">
              <w:rPr>
                <w:b/>
                <w:spacing w:val="-2"/>
                <w:sz w:val="15"/>
              </w:rPr>
              <w:t xml:space="preserve"> </w:t>
            </w:r>
            <w:r w:rsidRPr="00150EDC">
              <w:rPr>
                <w:b/>
                <w:sz w:val="15"/>
              </w:rPr>
              <w:t>and</w:t>
            </w:r>
            <w:r w:rsidRPr="00150EDC">
              <w:rPr>
                <w:b/>
                <w:spacing w:val="-1"/>
                <w:sz w:val="15"/>
              </w:rPr>
              <w:t xml:space="preserve"> </w:t>
            </w:r>
            <w:r w:rsidRPr="00150EDC">
              <w:rPr>
                <w:b/>
                <w:spacing w:val="-2"/>
                <w:sz w:val="15"/>
              </w:rPr>
              <w:t>Measurement</w:t>
            </w:r>
          </w:p>
        </w:tc>
        <w:tc>
          <w:tcPr>
            <w:tcW w:w="2030" w:type="dxa"/>
            <w:shd w:val="clear" w:color="auto" w:fill="D9D9D9"/>
          </w:tcPr>
          <w:p w14:paraId="6BCE1E04" w14:textId="77777777" w:rsidR="004C7180" w:rsidRPr="00150EDC" w:rsidRDefault="00CF0754">
            <w:pPr>
              <w:pStyle w:val="TableParagraph"/>
              <w:spacing w:before="0" w:line="240" w:lineRule="auto"/>
              <w:ind w:left="82"/>
              <w:rPr>
                <w:b/>
                <w:sz w:val="15"/>
              </w:rPr>
            </w:pPr>
            <w:r w:rsidRPr="00150EDC">
              <w:rPr>
                <w:b/>
                <w:sz w:val="15"/>
              </w:rPr>
              <w:t>Rating</w:t>
            </w:r>
            <w:r w:rsidRPr="00150EDC">
              <w:rPr>
                <w:b/>
                <w:spacing w:val="-4"/>
                <w:sz w:val="15"/>
              </w:rPr>
              <w:t xml:space="preserve"> </w:t>
            </w:r>
            <w:r w:rsidRPr="00150EDC">
              <w:rPr>
                <w:b/>
                <w:spacing w:val="-2"/>
                <w:sz w:val="15"/>
              </w:rPr>
              <w:t>Threshold</w:t>
            </w:r>
          </w:p>
        </w:tc>
        <w:tc>
          <w:tcPr>
            <w:tcW w:w="1493" w:type="dxa"/>
            <w:shd w:val="clear" w:color="auto" w:fill="D9D9D9"/>
          </w:tcPr>
          <w:p w14:paraId="5D626282" w14:textId="77777777" w:rsidR="004C7180" w:rsidRPr="00150EDC" w:rsidRDefault="00CF0754">
            <w:pPr>
              <w:pStyle w:val="TableParagraph"/>
              <w:spacing w:before="0" w:line="240" w:lineRule="auto"/>
              <w:ind w:left="82"/>
              <w:rPr>
                <w:b/>
                <w:sz w:val="15"/>
              </w:rPr>
            </w:pPr>
            <w:r w:rsidRPr="00150EDC">
              <w:rPr>
                <w:b/>
                <w:spacing w:val="-2"/>
                <w:sz w:val="15"/>
              </w:rPr>
              <w:t>Target</w:t>
            </w:r>
          </w:p>
        </w:tc>
      </w:tr>
      <w:tr w:rsidR="004569EE" w:rsidRPr="007D3144" w14:paraId="02F7FFD2" w14:textId="77777777">
        <w:trPr>
          <w:trHeight w:val="1870"/>
        </w:trPr>
        <w:tc>
          <w:tcPr>
            <w:tcW w:w="1175" w:type="dxa"/>
            <w:shd w:val="clear" w:color="auto" w:fill="F1F1F1"/>
          </w:tcPr>
          <w:p w14:paraId="577D9465" w14:textId="77777777" w:rsidR="004C7180" w:rsidRPr="00150EDC" w:rsidRDefault="00CF0754">
            <w:pPr>
              <w:pStyle w:val="TableParagraph"/>
              <w:spacing w:before="4" w:line="240" w:lineRule="auto"/>
              <w:ind w:left="81"/>
              <w:rPr>
                <w:b/>
                <w:sz w:val="13"/>
              </w:rPr>
            </w:pPr>
            <w:r w:rsidRPr="00150EDC">
              <w:rPr>
                <w:b/>
                <w:spacing w:val="-2"/>
                <w:w w:val="105"/>
                <w:sz w:val="13"/>
              </w:rPr>
              <w:t>Attendance</w:t>
            </w:r>
          </w:p>
        </w:tc>
        <w:tc>
          <w:tcPr>
            <w:tcW w:w="3202" w:type="dxa"/>
          </w:tcPr>
          <w:p w14:paraId="07B2CE2C" w14:textId="77777777" w:rsidR="004C7180" w:rsidRPr="00150EDC" w:rsidRDefault="00CF0754">
            <w:pPr>
              <w:pStyle w:val="TableParagraph"/>
              <w:spacing w:before="4" w:line="252" w:lineRule="auto"/>
              <w:ind w:left="82" w:right="92"/>
              <w:jc w:val="both"/>
              <w:rPr>
                <w:sz w:val="13"/>
              </w:rPr>
            </w:pPr>
            <w:r w:rsidRPr="00150EDC">
              <w:rPr>
                <w:w w:val="105"/>
                <w:sz w:val="13"/>
              </w:rPr>
              <w:t>Supplier</w:t>
            </w:r>
            <w:r w:rsidRPr="00150EDC">
              <w:rPr>
                <w:spacing w:val="-8"/>
                <w:w w:val="105"/>
                <w:sz w:val="13"/>
              </w:rPr>
              <w:t xml:space="preserve"> </w:t>
            </w:r>
            <w:r w:rsidRPr="00150EDC">
              <w:rPr>
                <w:w w:val="105"/>
                <w:sz w:val="13"/>
              </w:rPr>
              <w:t>attends</w:t>
            </w:r>
            <w:r w:rsidRPr="00150EDC">
              <w:rPr>
                <w:spacing w:val="-8"/>
                <w:w w:val="105"/>
                <w:sz w:val="13"/>
              </w:rPr>
              <w:t xml:space="preserve"> </w:t>
            </w:r>
            <w:r w:rsidRPr="00150EDC">
              <w:rPr>
                <w:w w:val="105"/>
                <w:sz w:val="13"/>
              </w:rPr>
              <w:t>each</w:t>
            </w:r>
            <w:r w:rsidRPr="00150EDC">
              <w:rPr>
                <w:spacing w:val="-9"/>
                <w:w w:val="105"/>
                <w:sz w:val="13"/>
              </w:rPr>
              <w:t xml:space="preserve"> </w:t>
            </w:r>
            <w:r w:rsidRPr="00150EDC">
              <w:rPr>
                <w:w w:val="105"/>
                <w:sz w:val="13"/>
              </w:rPr>
              <w:t>IDEA</w:t>
            </w:r>
            <w:r w:rsidRPr="00150EDC">
              <w:rPr>
                <w:spacing w:val="-8"/>
                <w:w w:val="105"/>
                <w:sz w:val="13"/>
              </w:rPr>
              <w:t xml:space="preserve"> </w:t>
            </w:r>
            <w:r w:rsidRPr="00150EDC">
              <w:rPr>
                <w:w w:val="105"/>
                <w:sz w:val="13"/>
              </w:rPr>
              <w:t>meeting,</w:t>
            </w:r>
            <w:r w:rsidRPr="00150EDC">
              <w:rPr>
                <w:spacing w:val="-8"/>
                <w:w w:val="105"/>
                <w:sz w:val="13"/>
              </w:rPr>
              <w:t xml:space="preserve"> </w:t>
            </w:r>
            <w:r w:rsidRPr="00150EDC">
              <w:rPr>
                <w:w w:val="105"/>
                <w:sz w:val="13"/>
              </w:rPr>
              <w:t>as</w:t>
            </w:r>
            <w:r w:rsidRPr="00150EDC">
              <w:rPr>
                <w:spacing w:val="-8"/>
                <w:w w:val="105"/>
                <w:sz w:val="13"/>
              </w:rPr>
              <w:t xml:space="preserve"> </w:t>
            </w:r>
            <w:r w:rsidRPr="00150EDC">
              <w:rPr>
                <w:w w:val="105"/>
                <w:sz w:val="13"/>
              </w:rPr>
              <w:t>agreed</w:t>
            </w:r>
            <w:r w:rsidRPr="00150EDC">
              <w:rPr>
                <w:spacing w:val="-9"/>
                <w:w w:val="105"/>
                <w:sz w:val="13"/>
              </w:rPr>
              <w:t xml:space="preserve"> </w:t>
            </w:r>
            <w:r w:rsidRPr="00150EDC">
              <w:rPr>
                <w:w w:val="105"/>
                <w:sz w:val="13"/>
              </w:rPr>
              <w:t>in</w:t>
            </w:r>
            <w:r w:rsidRPr="00150EDC">
              <w:rPr>
                <w:spacing w:val="40"/>
                <w:w w:val="105"/>
                <w:sz w:val="13"/>
              </w:rPr>
              <w:t xml:space="preserve"> </w:t>
            </w:r>
            <w:r w:rsidRPr="00150EDC">
              <w:rPr>
                <w:w w:val="105"/>
                <w:sz w:val="13"/>
              </w:rPr>
              <w:t>the</w:t>
            </w:r>
            <w:r w:rsidRPr="00150EDC">
              <w:rPr>
                <w:spacing w:val="-7"/>
                <w:w w:val="105"/>
                <w:sz w:val="13"/>
              </w:rPr>
              <w:t xml:space="preserve"> </w:t>
            </w:r>
            <w:r w:rsidRPr="00150EDC">
              <w:rPr>
                <w:w w:val="105"/>
                <w:sz w:val="13"/>
              </w:rPr>
              <w:t>IDEA</w:t>
            </w:r>
            <w:r w:rsidRPr="00150EDC">
              <w:rPr>
                <w:spacing w:val="-8"/>
                <w:w w:val="105"/>
                <w:sz w:val="13"/>
              </w:rPr>
              <w:t xml:space="preserve"> </w:t>
            </w:r>
            <w:r w:rsidRPr="00150EDC">
              <w:rPr>
                <w:w w:val="105"/>
                <w:sz w:val="13"/>
              </w:rPr>
              <w:t>delivery</w:t>
            </w:r>
            <w:r w:rsidRPr="00150EDC">
              <w:rPr>
                <w:spacing w:val="-7"/>
                <w:w w:val="105"/>
                <w:sz w:val="13"/>
              </w:rPr>
              <w:t xml:space="preserve"> </w:t>
            </w:r>
            <w:r w:rsidRPr="00150EDC">
              <w:rPr>
                <w:w w:val="105"/>
                <w:sz w:val="13"/>
              </w:rPr>
              <w:t>plan</w:t>
            </w:r>
            <w:r w:rsidRPr="00150EDC">
              <w:rPr>
                <w:spacing w:val="-7"/>
                <w:w w:val="105"/>
                <w:sz w:val="13"/>
              </w:rPr>
              <w:t xml:space="preserve"> </w:t>
            </w:r>
            <w:r w:rsidRPr="00150EDC">
              <w:rPr>
                <w:w w:val="105"/>
                <w:sz w:val="13"/>
              </w:rPr>
              <w:t>and</w:t>
            </w:r>
            <w:r w:rsidRPr="00150EDC">
              <w:rPr>
                <w:spacing w:val="-7"/>
                <w:w w:val="105"/>
                <w:sz w:val="13"/>
              </w:rPr>
              <w:t xml:space="preserve"> </w:t>
            </w:r>
            <w:r w:rsidRPr="00150EDC">
              <w:rPr>
                <w:w w:val="105"/>
                <w:sz w:val="13"/>
              </w:rPr>
              <w:t>approved</w:t>
            </w:r>
            <w:r w:rsidRPr="00150EDC">
              <w:rPr>
                <w:spacing w:val="-7"/>
                <w:w w:val="105"/>
                <w:sz w:val="13"/>
              </w:rPr>
              <w:t xml:space="preserve"> </w:t>
            </w:r>
            <w:r w:rsidRPr="00150EDC">
              <w:rPr>
                <w:w w:val="105"/>
                <w:sz w:val="13"/>
              </w:rPr>
              <w:t>by</w:t>
            </w:r>
            <w:r w:rsidRPr="00150EDC">
              <w:rPr>
                <w:spacing w:val="-7"/>
                <w:w w:val="105"/>
                <w:sz w:val="13"/>
              </w:rPr>
              <w:t xml:space="preserve"> </w:t>
            </w:r>
            <w:r w:rsidRPr="00150EDC">
              <w:rPr>
                <w:w w:val="105"/>
                <w:sz w:val="13"/>
              </w:rPr>
              <w:t>the</w:t>
            </w:r>
            <w:r w:rsidRPr="00150EDC">
              <w:rPr>
                <w:spacing w:val="-9"/>
                <w:w w:val="105"/>
                <w:sz w:val="13"/>
              </w:rPr>
              <w:t xml:space="preserve"> </w:t>
            </w:r>
            <w:r w:rsidRPr="00150EDC">
              <w:rPr>
                <w:w w:val="105"/>
                <w:sz w:val="13"/>
              </w:rPr>
              <w:t>Buyer</w:t>
            </w:r>
            <w:r w:rsidRPr="00150EDC">
              <w:rPr>
                <w:spacing w:val="40"/>
                <w:w w:val="105"/>
                <w:sz w:val="13"/>
              </w:rPr>
              <w:t xml:space="preserve"> </w:t>
            </w:r>
            <w:r w:rsidRPr="00150EDC">
              <w:rPr>
                <w:w w:val="105"/>
                <w:sz w:val="13"/>
              </w:rPr>
              <w:t>RCT Technical Steering Group.</w:t>
            </w:r>
          </w:p>
          <w:p w14:paraId="719C1B8A" w14:textId="77777777" w:rsidR="004C7180" w:rsidRPr="00150EDC" w:rsidRDefault="004C7180">
            <w:pPr>
              <w:pStyle w:val="TableParagraph"/>
              <w:spacing w:before="3" w:line="240" w:lineRule="auto"/>
              <w:ind w:left="0"/>
              <w:rPr>
                <w:sz w:val="13"/>
              </w:rPr>
            </w:pPr>
          </w:p>
          <w:p w14:paraId="0CD967C2" w14:textId="77777777" w:rsidR="004C7180" w:rsidRPr="00150EDC" w:rsidRDefault="00CF0754">
            <w:pPr>
              <w:pStyle w:val="TableParagraph"/>
              <w:spacing w:before="0" w:line="252" w:lineRule="auto"/>
              <w:ind w:left="82" w:right="79"/>
              <w:jc w:val="both"/>
              <w:rPr>
                <w:i/>
                <w:sz w:val="13"/>
              </w:rPr>
            </w:pPr>
            <w:r w:rsidRPr="00150EDC">
              <w:rPr>
                <w:i/>
                <w:w w:val="105"/>
                <w:sz w:val="13"/>
              </w:rPr>
              <w:t>Measurement:</w:t>
            </w:r>
            <w:r w:rsidRPr="00150EDC">
              <w:rPr>
                <w:i/>
                <w:spacing w:val="-10"/>
                <w:w w:val="105"/>
                <w:sz w:val="13"/>
              </w:rPr>
              <w:t xml:space="preserve"> </w:t>
            </w:r>
            <w:r w:rsidRPr="00150EDC">
              <w:rPr>
                <w:i/>
                <w:w w:val="105"/>
                <w:sz w:val="13"/>
              </w:rPr>
              <w:t>review</w:t>
            </w:r>
            <w:r w:rsidRPr="00150EDC">
              <w:rPr>
                <w:i/>
                <w:spacing w:val="-9"/>
                <w:w w:val="105"/>
                <w:sz w:val="13"/>
              </w:rPr>
              <w:t xml:space="preserve"> </w:t>
            </w:r>
            <w:r w:rsidRPr="00150EDC">
              <w:rPr>
                <w:i/>
                <w:w w:val="105"/>
                <w:sz w:val="13"/>
              </w:rPr>
              <w:t>of</w:t>
            </w:r>
            <w:r w:rsidRPr="00150EDC">
              <w:rPr>
                <w:i/>
                <w:spacing w:val="-10"/>
                <w:w w:val="105"/>
                <w:sz w:val="13"/>
              </w:rPr>
              <w:t xml:space="preserve"> </w:t>
            </w:r>
            <w:r w:rsidRPr="00150EDC">
              <w:rPr>
                <w:i/>
                <w:w w:val="105"/>
                <w:sz w:val="13"/>
              </w:rPr>
              <w:t>attendance</w:t>
            </w:r>
            <w:r w:rsidRPr="00150EDC">
              <w:rPr>
                <w:i/>
                <w:spacing w:val="-9"/>
                <w:w w:val="105"/>
                <w:sz w:val="13"/>
              </w:rPr>
              <w:t xml:space="preserve"> </w:t>
            </w:r>
            <w:r w:rsidRPr="00150EDC">
              <w:rPr>
                <w:i/>
                <w:w w:val="105"/>
                <w:sz w:val="13"/>
              </w:rPr>
              <w:t>list</w:t>
            </w:r>
            <w:r w:rsidRPr="00150EDC">
              <w:rPr>
                <w:i/>
                <w:spacing w:val="-9"/>
                <w:w w:val="105"/>
                <w:sz w:val="13"/>
              </w:rPr>
              <w:t xml:space="preserve"> </w:t>
            </w:r>
            <w:r w:rsidRPr="00150EDC">
              <w:rPr>
                <w:i/>
                <w:w w:val="105"/>
                <w:sz w:val="13"/>
              </w:rPr>
              <w:t>from</w:t>
            </w:r>
            <w:r w:rsidRPr="00150EDC">
              <w:rPr>
                <w:i/>
                <w:spacing w:val="-10"/>
                <w:w w:val="105"/>
                <w:sz w:val="13"/>
              </w:rPr>
              <w:t xml:space="preserve"> </w:t>
            </w:r>
            <w:r w:rsidRPr="00150EDC">
              <w:rPr>
                <w:i/>
                <w:w w:val="105"/>
                <w:sz w:val="13"/>
              </w:rPr>
              <w:t>IDEA</w:t>
            </w:r>
            <w:r w:rsidRPr="00150EDC">
              <w:rPr>
                <w:i/>
                <w:spacing w:val="40"/>
                <w:w w:val="105"/>
                <w:sz w:val="13"/>
              </w:rPr>
              <w:t xml:space="preserve"> </w:t>
            </w:r>
            <w:r w:rsidRPr="00150EDC">
              <w:rPr>
                <w:i/>
                <w:w w:val="105"/>
                <w:sz w:val="13"/>
              </w:rPr>
              <w:t>meeting</w:t>
            </w:r>
            <w:r w:rsidRPr="00150EDC">
              <w:rPr>
                <w:i/>
                <w:spacing w:val="-2"/>
                <w:w w:val="105"/>
                <w:sz w:val="13"/>
              </w:rPr>
              <w:t xml:space="preserve"> </w:t>
            </w:r>
            <w:r w:rsidRPr="00150EDC">
              <w:rPr>
                <w:i/>
                <w:w w:val="105"/>
                <w:sz w:val="13"/>
              </w:rPr>
              <w:t>minutes.</w:t>
            </w:r>
          </w:p>
        </w:tc>
        <w:tc>
          <w:tcPr>
            <w:tcW w:w="2030" w:type="dxa"/>
          </w:tcPr>
          <w:p w14:paraId="0B6E433D" w14:textId="77777777" w:rsidR="004C7180" w:rsidRPr="00150EDC" w:rsidRDefault="00CF0754">
            <w:pPr>
              <w:pStyle w:val="TableParagraph"/>
              <w:spacing w:before="4" w:line="252" w:lineRule="auto"/>
              <w:ind w:left="82" w:right="71"/>
              <w:rPr>
                <w:sz w:val="13"/>
              </w:rPr>
            </w:pPr>
            <w:r w:rsidRPr="00150EDC">
              <w:rPr>
                <w:b/>
                <w:w w:val="105"/>
                <w:sz w:val="13"/>
              </w:rPr>
              <w:t>Good</w:t>
            </w:r>
            <w:r w:rsidRPr="00150EDC">
              <w:rPr>
                <w:w w:val="105"/>
                <w:sz w:val="13"/>
              </w:rPr>
              <w:t>:</w:t>
            </w:r>
            <w:r w:rsidRPr="00150EDC">
              <w:rPr>
                <w:spacing w:val="-10"/>
                <w:w w:val="105"/>
                <w:sz w:val="13"/>
              </w:rPr>
              <w:t xml:space="preserve"> </w:t>
            </w:r>
            <w:r w:rsidRPr="00150EDC">
              <w:rPr>
                <w:w w:val="105"/>
                <w:sz w:val="13"/>
              </w:rPr>
              <w:t>Supplier</w:t>
            </w:r>
            <w:r w:rsidRPr="00150EDC">
              <w:rPr>
                <w:spacing w:val="-9"/>
                <w:w w:val="105"/>
                <w:sz w:val="13"/>
              </w:rPr>
              <w:t xml:space="preserve"> </w:t>
            </w:r>
            <w:r w:rsidRPr="00150EDC">
              <w:rPr>
                <w:w w:val="105"/>
                <w:sz w:val="13"/>
              </w:rPr>
              <w:t>attends</w:t>
            </w:r>
            <w:r w:rsidRPr="00150EDC">
              <w:rPr>
                <w:spacing w:val="-10"/>
                <w:w w:val="105"/>
                <w:sz w:val="13"/>
              </w:rPr>
              <w:t xml:space="preserve"> </w:t>
            </w:r>
            <w:r w:rsidRPr="00150EDC">
              <w:rPr>
                <w:w w:val="105"/>
                <w:sz w:val="13"/>
              </w:rPr>
              <w:t>100%</w:t>
            </w:r>
            <w:r w:rsidRPr="00150EDC">
              <w:rPr>
                <w:spacing w:val="40"/>
                <w:w w:val="105"/>
                <w:sz w:val="13"/>
              </w:rPr>
              <w:t xml:space="preserve"> </w:t>
            </w:r>
            <w:r w:rsidRPr="00150EDC">
              <w:rPr>
                <w:w w:val="105"/>
                <w:sz w:val="13"/>
              </w:rPr>
              <w:t>of</w:t>
            </w:r>
            <w:r w:rsidRPr="00150EDC">
              <w:rPr>
                <w:spacing w:val="-2"/>
                <w:w w:val="105"/>
                <w:sz w:val="13"/>
              </w:rPr>
              <w:t xml:space="preserve"> </w:t>
            </w:r>
            <w:r w:rsidRPr="00150EDC">
              <w:rPr>
                <w:w w:val="105"/>
                <w:sz w:val="13"/>
              </w:rPr>
              <w:t>meetings</w:t>
            </w:r>
          </w:p>
          <w:p w14:paraId="201632C2" w14:textId="77777777" w:rsidR="004C7180" w:rsidRPr="00150EDC" w:rsidRDefault="004C7180">
            <w:pPr>
              <w:pStyle w:val="TableParagraph"/>
              <w:spacing w:before="5" w:line="240" w:lineRule="auto"/>
              <w:ind w:left="0"/>
              <w:rPr>
                <w:sz w:val="13"/>
              </w:rPr>
            </w:pPr>
          </w:p>
          <w:p w14:paraId="0EA60DC7" w14:textId="77777777" w:rsidR="004C7180" w:rsidRPr="00150EDC" w:rsidRDefault="00CF0754">
            <w:pPr>
              <w:pStyle w:val="TableParagraph"/>
              <w:spacing w:before="0" w:line="249" w:lineRule="auto"/>
              <w:ind w:left="82"/>
              <w:rPr>
                <w:sz w:val="13"/>
              </w:rPr>
            </w:pPr>
            <w:r w:rsidRPr="00150EDC">
              <w:rPr>
                <w:b/>
                <w:spacing w:val="-2"/>
                <w:w w:val="105"/>
                <w:sz w:val="13"/>
              </w:rPr>
              <w:t>Approaching Target</w:t>
            </w:r>
            <w:r w:rsidRPr="00150EDC">
              <w:rPr>
                <w:spacing w:val="-2"/>
                <w:w w:val="105"/>
                <w:sz w:val="13"/>
              </w:rPr>
              <w:t>: Supplier</w:t>
            </w:r>
            <w:r w:rsidRPr="00150EDC">
              <w:rPr>
                <w:spacing w:val="40"/>
                <w:w w:val="105"/>
                <w:sz w:val="13"/>
              </w:rPr>
              <w:t xml:space="preserve"> </w:t>
            </w:r>
            <w:r w:rsidRPr="00150EDC">
              <w:rPr>
                <w:w w:val="105"/>
                <w:sz w:val="13"/>
              </w:rPr>
              <w:t>attends 97-99% of meetings</w:t>
            </w:r>
          </w:p>
          <w:p w14:paraId="136B41D8" w14:textId="77777777" w:rsidR="004C7180" w:rsidRPr="00150EDC" w:rsidRDefault="004C7180">
            <w:pPr>
              <w:pStyle w:val="TableParagraph"/>
              <w:spacing w:before="8" w:line="240" w:lineRule="auto"/>
              <w:ind w:left="0"/>
              <w:rPr>
                <w:sz w:val="13"/>
              </w:rPr>
            </w:pPr>
          </w:p>
          <w:p w14:paraId="14C9B7F0" w14:textId="77777777" w:rsidR="004C7180" w:rsidRPr="00150EDC" w:rsidRDefault="00CF0754">
            <w:pPr>
              <w:pStyle w:val="TableParagraph"/>
              <w:spacing w:before="0" w:line="240" w:lineRule="auto"/>
              <w:ind w:left="82"/>
              <w:rPr>
                <w:sz w:val="13"/>
              </w:rPr>
            </w:pPr>
            <w:r w:rsidRPr="00150EDC">
              <w:rPr>
                <w:b/>
                <w:spacing w:val="-2"/>
                <w:w w:val="105"/>
                <w:sz w:val="13"/>
              </w:rPr>
              <w:t>Requires</w:t>
            </w:r>
            <w:r w:rsidRPr="00150EDC">
              <w:rPr>
                <w:b/>
                <w:spacing w:val="9"/>
                <w:w w:val="105"/>
                <w:sz w:val="13"/>
              </w:rPr>
              <w:t xml:space="preserve"> </w:t>
            </w:r>
            <w:r w:rsidRPr="00150EDC">
              <w:rPr>
                <w:b/>
                <w:spacing w:val="-2"/>
                <w:w w:val="105"/>
                <w:sz w:val="13"/>
              </w:rPr>
              <w:t>Improvement</w:t>
            </w:r>
            <w:r w:rsidRPr="00150EDC">
              <w:rPr>
                <w:spacing w:val="-2"/>
                <w:w w:val="105"/>
                <w:sz w:val="13"/>
              </w:rPr>
              <w:t>:</w:t>
            </w:r>
            <w:r w:rsidRPr="00150EDC">
              <w:rPr>
                <w:spacing w:val="8"/>
                <w:w w:val="105"/>
                <w:sz w:val="13"/>
              </w:rPr>
              <w:t xml:space="preserve"> </w:t>
            </w:r>
            <w:r w:rsidRPr="00150EDC">
              <w:rPr>
                <w:spacing w:val="-5"/>
                <w:w w:val="105"/>
                <w:sz w:val="13"/>
              </w:rPr>
              <w:t>95-</w:t>
            </w:r>
          </w:p>
          <w:p w14:paraId="19A23C12" w14:textId="77777777" w:rsidR="004C7180" w:rsidRPr="00150EDC" w:rsidRDefault="00CF0754">
            <w:pPr>
              <w:pStyle w:val="TableParagraph"/>
              <w:spacing w:before="6" w:line="240" w:lineRule="auto"/>
              <w:ind w:left="82"/>
              <w:rPr>
                <w:sz w:val="13"/>
              </w:rPr>
            </w:pPr>
            <w:r w:rsidRPr="00150EDC">
              <w:rPr>
                <w:w w:val="105"/>
                <w:sz w:val="13"/>
              </w:rPr>
              <w:t>96%</w:t>
            </w:r>
            <w:r w:rsidRPr="00150EDC">
              <w:rPr>
                <w:spacing w:val="-2"/>
                <w:w w:val="105"/>
                <w:sz w:val="13"/>
              </w:rPr>
              <w:t xml:space="preserve"> </w:t>
            </w:r>
            <w:r w:rsidRPr="00150EDC">
              <w:rPr>
                <w:w w:val="105"/>
                <w:sz w:val="13"/>
              </w:rPr>
              <w:t>of</w:t>
            </w:r>
            <w:r w:rsidRPr="00150EDC">
              <w:rPr>
                <w:spacing w:val="-4"/>
                <w:w w:val="105"/>
                <w:sz w:val="13"/>
              </w:rPr>
              <w:t xml:space="preserve"> </w:t>
            </w:r>
            <w:r w:rsidRPr="00150EDC">
              <w:rPr>
                <w:spacing w:val="-2"/>
                <w:w w:val="105"/>
                <w:sz w:val="13"/>
              </w:rPr>
              <w:t>meetings</w:t>
            </w:r>
          </w:p>
          <w:p w14:paraId="7FE735C2" w14:textId="77777777" w:rsidR="004C7180" w:rsidRPr="00150EDC" w:rsidRDefault="004C7180">
            <w:pPr>
              <w:pStyle w:val="TableParagraph"/>
              <w:spacing w:before="2" w:line="240" w:lineRule="auto"/>
              <w:ind w:left="0"/>
              <w:rPr>
                <w:sz w:val="14"/>
              </w:rPr>
            </w:pPr>
          </w:p>
          <w:p w14:paraId="64064EA8" w14:textId="77777777" w:rsidR="004C7180" w:rsidRPr="00150EDC" w:rsidRDefault="00CF0754">
            <w:pPr>
              <w:pStyle w:val="TableParagraph"/>
              <w:spacing w:before="0" w:line="249" w:lineRule="auto"/>
              <w:ind w:left="82" w:right="149"/>
              <w:rPr>
                <w:sz w:val="13"/>
              </w:rPr>
            </w:pPr>
            <w:r w:rsidRPr="00150EDC">
              <w:rPr>
                <w:b/>
                <w:w w:val="105"/>
                <w:sz w:val="13"/>
              </w:rPr>
              <w:t>Inadequate</w:t>
            </w:r>
            <w:r w:rsidRPr="00150EDC">
              <w:rPr>
                <w:w w:val="105"/>
                <w:sz w:val="13"/>
              </w:rPr>
              <w:t>:</w:t>
            </w:r>
            <w:r w:rsidRPr="00150EDC">
              <w:rPr>
                <w:spacing w:val="-10"/>
                <w:w w:val="105"/>
                <w:sz w:val="13"/>
              </w:rPr>
              <w:t xml:space="preserve"> </w:t>
            </w:r>
            <w:r w:rsidRPr="00150EDC">
              <w:rPr>
                <w:w w:val="105"/>
                <w:sz w:val="13"/>
              </w:rPr>
              <w:t>Supplier</w:t>
            </w:r>
            <w:r w:rsidRPr="00150EDC">
              <w:rPr>
                <w:spacing w:val="-9"/>
                <w:w w:val="105"/>
                <w:sz w:val="13"/>
              </w:rPr>
              <w:t xml:space="preserve"> </w:t>
            </w:r>
            <w:r w:rsidRPr="00150EDC">
              <w:rPr>
                <w:w w:val="105"/>
                <w:sz w:val="13"/>
              </w:rPr>
              <w:t>attends</w:t>
            </w:r>
            <w:r w:rsidRPr="00150EDC">
              <w:rPr>
                <w:spacing w:val="40"/>
                <w:w w:val="105"/>
                <w:sz w:val="13"/>
              </w:rPr>
              <w:t xml:space="preserve"> </w:t>
            </w:r>
            <w:r w:rsidRPr="00150EDC">
              <w:rPr>
                <w:w w:val="105"/>
                <w:sz w:val="13"/>
              </w:rPr>
              <w:t>less than 95% of meetings</w:t>
            </w:r>
          </w:p>
        </w:tc>
        <w:tc>
          <w:tcPr>
            <w:tcW w:w="1493" w:type="dxa"/>
          </w:tcPr>
          <w:p w14:paraId="6104748C" w14:textId="77777777" w:rsidR="004C7180" w:rsidRPr="00150EDC" w:rsidRDefault="00CF0754">
            <w:pPr>
              <w:pStyle w:val="TableParagraph"/>
              <w:spacing w:before="4" w:line="252" w:lineRule="auto"/>
              <w:ind w:left="82" w:right="109"/>
              <w:rPr>
                <w:sz w:val="13"/>
              </w:rPr>
            </w:pPr>
            <w:r w:rsidRPr="00150EDC">
              <w:rPr>
                <w:w w:val="105"/>
                <w:sz w:val="13"/>
              </w:rPr>
              <w:t>Supplier</w:t>
            </w:r>
            <w:r w:rsidRPr="00150EDC">
              <w:rPr>
                <w:spacing w:val="-10"/>
                <w:w w:val="105"/>
                <w:sz w:val="13"/>
              </w:rPr>
              <w:t xml:space="preserve"> </w:t>
            </w:r>
            <w:r w:rsidRPr="00150EDC">
              <w:rPr>
                <w:w w:val="105"/>
                <w:sz w:val="13"/>
              </w:rPr>
              <w:t>to</w:t>
            </w:r>
            <w:r w:rsidRPr="00150EDC">
              <w:rPr>
                <w:spacing w:val="-9"/>
                <w:w w:val="105"/>
                <w:sz w:val="13"/>
              </w:rPr>
              <w:t xml:space="preserve"> </w:t>
            </w:r>
            <w:r w:rsidRPr="00150EDC">
              <w:rPr>
                <w:w w:val="105"/>
                <w:sz w:val="13"/>
              </w:rPr>
              <w:t>be</w:t>
            </w:r>
            <w:r w:rsidRPr="00150EDC">
              <w:rPr>
                <w:spacing w:val="-10"/>
                <w:w w:val="105"/>
                <w:sz w:val="13"/>
              </w:rPr>
              <w:t xml:space="preserve"> </w:t>
            </w:r>
            <w:r w:rsidRPr="00150EDC">
              <w:rPr>
                <w:w w:val="105"/>
                <w:sz w:val="13"/>
              </w:rPr>
              <w:t>rated</w:t>
            </w:r>
            <w:r w:rsidRPr="00150EDC">
              <w:rPr>
                <w:spacing w:val="40"/>
                <w:w w:val="105"/>
                <w:sz w:val="13"/>
              </w:rPr>
              <w:t xml:space="preserve"> </w:t>
            </w:r>
            <w:r w:rsidRPr="00150EDC">
              <w:rPr>
                <w:w w:val="105"/>
                <w:sz w:val="13"/>
              </w:rPr>
              <w:t>as</w:t>
            </w:r>
            <w:r w:rsidRPr="00150EDC">
              <w:rPr>
                <w:spacing w:val="-2"/>
                <w:w w:val="105"/>
                <w:sz w:val="13"/>
              </w:rPr>
              <w:t xml:space="preserve"> </w:t>
            </w:r>
            <w:r w:rsidRPr="00150EDC">
              <w:rPr>
                <w:w w:val="105"/>
                <w:sz w:val="13"/>
              </w:rPr>
              <w:t>‘Good’</w:t>
            </w:r>
          </w:p>
        </w:tc>
      </w:tr>
      <w:tr w:rsidR="004569EE" w:rsidRPr="007D3144" w14:paraId="5D86C77D" w14:textId="77777777">
        <w:trPr>
          <w:trHeight w:val="3275"/>
        </w:trPr>
        <w:tc>
          <w:tcPr>
            <w:tcW w:w="1175" w:type="dxa"/>
            <w:shd w:val="clear" w:color="auto" w:fill="F1F1F1"/>
          </w:tcPr>
          <w:p w14:paraId="7F1DD069" w14:textId="77777777" w:rsidR="004C7180" w:rsidRPr="00150EDC" w:rsidRDefault="00CF0754">
            <w:pPr>
              <w:pStyle w:val="TableParagraph"/>
              <w:spacing w:before="6" w:line="240" w:lineRule="auto"/>
              <w:ind w:left="81"/>
              <w:rPr>
                <w:b/>
                <w:sz w:val="13"/>
              </w:rPr>
            </w:pPr>
            <w:r w:rsidRPr="00150EDC">
              <w:rPr>
                <w:b/>
                <w:w w:val="105"/>
                <w:sz w:val="13"/>
              </w:rPr>
              <w:t>Access</w:t>
            </w:r>
            <w:r w:rsidRPr="00150EDC">
              <w:rPr>
                <w:b/>
                <w:spacing w:val="-5"/>
                <w:w w:val="105"/>
                <w:sz w:val="13"/>
              </w:rPr>
              <w:t xml:space="preserve"> </w:t>
            </w:r>
            <w:r w:rsidRPr="00150EDC">
              <w:rPr>
                <w:b/>
                <w:w w:val="105"/>
                <w:sz w:val="13"/>
              </w:rPr>
              <w:t>to</w:t>
            </w:r>
            <w:r w:rsidRPr="00150EDC">
              <w:rPr>
                <w:b/>
                <w:spacing w:val="-4"/>
                <w:w w:val="105"/>
                <w:sz w:val="13"/>
              </w:rPr>
              <w:t xml:space="preserve"> </w:t>
            </w:r>
            <w:r w:rsidRPr="00150EDC">
              <w:rPr>
                <w:b/>
                <w:spacing w:val="-2"/>
                <w:w w:val="105"/>
                <w:sz w:val="13"/>
              </w:rPr>
              <w:t>Staff</w:t>
            </w:r>
          </w:p>
        </w:tc>
        <w:tc>
          <w:tcPr>
            <w:tcW w:w="3202" w:type="dxa"/>
          </w:tcPr>
          <w:p w14:paraId="35D14408" w14:textId="77777777" w:rsidR="004C7180" w:rsidRPr="00150EDC" w:rsidRDefault="00CF0754">
            <w:pPr>
              <w:pStyle w:val="TableParagraph"/>
              <w:spacing w:before="6" w:line="249" w:lineRule="auto"/>
              <w:ind w:left="82" w:right="59"/>
              <w:rPr>
                <w:sz w:val="13"/>
              </w:rPr>
            </w:pPr>
            <w:r w:rsidRPr="00150EDC">
              <w:rPr>
                <w:w w:val="105"/>
                <w:sz w:val="13"/>
              </w:rPr>
              <w:t>Supplier ensures the most appropriate staff are</w:t>
            </w:r>
            <w:r w:rsidRPr="00150EDC">
              <w:rPr>
                <w:spacing w:val="40"/>
                <w:w w:val="105"/>
                <w:sz w:val="13"/>
              </w:rPr>
              <w:t xml:space="preserve"> </w:t>
            </w:r>
            <w:r w:rsidRPr="00150EDC">
              <w:rPr>
                <w:w w:val="105"/>
                <w:sz w:val="13"/>
              </w:rPr>
              <w:t>involved</w:t>
            </w:r>
            <w:r w:rsidRPr="00150EDC">
              <w:rPr>
                <w:spacing w:val="-10"/>
                <w:w w:val="105"/>
                <w:sz w:val="13"/>
              </w:rPr>
              <w:t xml:space="preserve"> </w:t>
            </w:r>
            <w:r w:rsidRPr="00150EDC">
              <w:rPr>
                <w:w w:val="105"/>
                <w:sz w:val="13"/>
              </w:rPr>
              <w:t>in</w:t>
            </w:r>
            <w:r w:rsidRPr="00150EDC">
              <w:rPr>
                <w:spacing w:val="-9"/>
                <w:w w:val="105"/>
                <w:sz w:val="13"/>
              </w:rPr>
              <w:t xml:space="preserve"> </w:t>
            </w:r>
            <w:r w:rsidRPr="00150EDC">
              <w:rPr>
                <w:w w:val="105"/>
                <w:sz w:val="13"/>
              </w:rPr>
              <w:t>collaborative</w:t>
            </w:r>
            <w:r w:rsidRPr="00150EDC">
              <w:rPr>
                <w:spacing w:val="-10"/>
                <w:w w:val="105"/>
                <w:sz w:val="13"/>
              </w:rPr>
              <w:t xml:space="preserve"> </w:t>
            </w:r>
            <w:r w:rsidRPr="00150EDC">
              <w:rPr>
                <w:w w:val="105"/>
                <w:sz w:val="13"/>
              </w:rPr>
              <w:t>working</w:t>
            </w:r>
            <w:r w:rsidRPr="00150EDC">
              <w:rPr>
                <w:spacing w:val="-9"/>
                <w:w w:val="105"/>
                <w:sz w:val="13"/>
              </w:rPr>
              <w:t xml:space="preserve"> </w:t>
            </w:r>
            <w:r w:rsidRPr="00150EDC">
              <w:rPr>
                <w:w w:val="105"/>
                <w:sz w:val="13"/>
              </w:rPr>
              <w:t>so</w:t>
            </w:r>
            <w:r w:rsidRPr="00150EDC">
              <w:rPr>
                <w:spacing w:val="-10"/>
                <w:w w:val="105"/>
                <w:sz w:val="13"/>
              </w:rPr>
              <w:t xml:space="preserve"> </w:t>
            </w:r>
            <w:r w:rsidRPr="00150EDC">
              <w:rPr>
                <w:w w:val="105"/>
                <w:sz w:val="13"/>
              </w:rPr>
              <w:t>expertise</w:t>
            </w:r>
            <w:r w:rsidRPr="00150EDC">
              <w:rPr>
                <w:spacing w:val="-9"/>
                <w:w w:val="105"/>
                <w:sz w:val="13"/>
              </w:rPr>
              <w:t xml:space="preserve"> </w:t>
            </w:r>
            <w:r w:rsidRPr="00150EDC">
              <w:rPr>
                <w:w w:val="105"/>
                <w:sz w:val="13"/>
              </w:rPr>
              <w:t>can</w:t>
            </w:r>
            <w:r w:rsidRPr="00150EDC">
              <w:rPr>
                <w:spacing w:val="40"/>
                <w:w w:val="105"/>
                <w:sz w:val="13"/>
              </w:rPr>
              <w:t xml:space="preserve"> </w:t>
            </w:r>
            <w:r w:rsidRPr="00150EDC">
              <w:rPr>
                <w:w w:val="105"/>
                <w:sz w:val="13"/>
              </w:rPr>
              <w:t>be shared and decisions made according to the</w:t>
            </w:r>
            <w:r w:rsidRPr="00150EDC">
              <w:rPr>
                <w:spacing w:val="40"/>
                <w:w w:val="105"/>
                <w:sz w:val="13"/>
              </w:rPr>
              <w:t xml:space="preserve"> </w:t>
            </w:r>
            <w:r w:rsidRPr="00150EDC">
              <w:rPr>
                <w:w w:val="105"/>
                <w:sz w:val="13"/>
              </w:rPr>
              <w:t>deadline(s) set in Order Schedule 24 –</w:t>
            </w:r>
            <w:r w:rsidRPr="00150EDC">
              <w:rPr>
                <w:spacing w:val="40"/>
                <w:w w:val="105"/>
                <w:sz w:val="13"/>
              </w:rPr>
              <w:t xml:space="preserve"> </w:t>
            </w:r>
            <w:r w:rsidRPr="00150EDC">
              <w:rPr>
                <w:w w:val="105"/>
                <w:sz w:val="13"/>
              </w:rPr>
              <w:t>Collaboration</w:t>
            </w:r>
            <w:r w:rsidRPr="00150EDC">
              <w:rPr>
                <w:spacing w:val="-2"/>
                <w:w w:val="105"/>
                <w:sz w:val="13"/>
              </w:rPr>
              <w:t xml:space="preserve"> </w:t>
            </w:r>
            <w:r w:rsidRPr="00150EDC">
              <w:rPr>
                <w:w w:val="105"/>
                <w:sz w:val="13"/>
              </w:rPr>
              <w:t>Schedule.</w:t>
            </w:r>
          </w:p>
          <w:p w14:paraId="382BC970" w14:textId="77777777" w:rsidR="004C7180" w:rsidRPr="00150EDC" w:rsidRDefault="004C7180">
            <w:pPr>
              <w:pStyle w:val="TableParagraph"/>
              <w:spacing w:before="8" w:line="240" w:lineRule="auto"/>
              <w:ind w:left="0"/>
              <w:rPr>
                <w:sz w:val="13"/>
              </w:rPr>
            </w:pPr>
          </w:p>
          <w:p w14:paraId="02DBA210" w14:textId="77777777" w:rsidR="004C7180" w:rsidRPr="00150EDC" w:rsidRDefault="00CF0754">
            <w:pPr>
              <w:pStyle w:val="TableParagraph"/>
              <w:spacing w:before="0" w:line="252" w:lineRule="auto"/>
              <w:ind w:left="82" w:right="59"/>
              <w:rPr>
                <w:sz w:val="13"/>
              </w:rPr>
            </w:pPr>
            <w:r w:rsidRPr="00150EDC">
              <w:rPr>
                <w:i/>
                <w:w w:val="105"/>
                <w:sz w:val="13"/>
              </w:rPr>
              <w:t>Measurement:</w:t>
            </w:r>
            <w:r w:rsidRPr="00150EDC">
              <w:rPr>
                <w:i/>
                <w:spacing w:val="-10"/>
                <w:w w:val="105"/>
                <w:sz w:val="13"/>
              </w:rPr>
              <w:t xml:space="preserve"> </w:t>
            </w:r>
            <w:r w:rsidRPr="00150EDC">
              <w:rPr>
                <w:w w:val="105"/>
                <w:sz w:val="13"/>
              </w:rPr>
              <w:t>the</w:t>
            </w:r>
            <w:r w:rsidRPr="00150EDC">
              <w:rPr>
                <w:spacing w:val="-9"/>
                <w:w w:val="105"/>
                <w:sz w:val="13"/>
              </w:rPr>
              <w:t xml:space="preserve"> </w:t>
            </w:r>
            <w:r w:rsidRPr="00150EDC">
              <w:rPr>
                <w:w w:val="105"/>
                <w:sz w:val="13"/>
              </w:rPr>
              <w:t>deadlines</w:t>
            </w:r>
            <w:r w:rsidRPr="00150EDC">
              <w:rPr>
                <w:spacing w:val="-10"/>
                <w:w w:val="105"/>
                <w:sz w:val="13"/>
              </w:rPr>
              <w:t xml:space="preserve"> </w:t>
            </w:r>
            <w:r w:rsidRPr="00150EDC">
              <w:rPr>
                <w:w w:val="105"/>
                <w:sz w:val="13"/>
              </w:rPr>
              <w:t>in</w:t>
            </w:r>
            <w:r w:rsidRPr="00150EDC">
              <w:rPr>
                <w:spacing w:val="-8"/>
                <w:w w:val="105"/>
                <w:sz w:val="13"/>
              </w:rPr>
              <w:t xml:space="preserve"> </w:t>
            </w:r>
            <w:r w:rsidRPr="00150EDC">
              <w:rPr>
                <w:w w:val="105"/>
                <w:sz w:val="13"/>
              </w:rPr>
              <w:t>Order</w:t>
            </w:r>
            <w:r w:rsidRPr="00150EDC">
              <w:rPr>
                <w:spacing w:val="-10"/>
                <w:w w:val="105"/>
                <w:sz w:val="13"/>
              </w:rPr>
              <w:t xml:space="preserve"> </w:t>
            </w:r>
            <w:r w:rsidRPr="00150EDC">
              <w:rPr>
                <w:w w:val="105"/>
                <w:sz w:val="13"/>
              </w:rPr>
              <w:t>Schedule</w:t>
            </w:r>
            <w:r w:rsidRPr="00150EDC">
              <w:rPr>
                <w:spacing w:val="-9"/>
                <w:w w:val="105"/>
                <w:sz w:val="13"/>
              </w:rPr>
              <w:t xml:space="preserve"> </w:t>
            </w:r>
            <w:r w:rsidRPr="00150EDC">
              <w:rPr>
                <w:w w:val="105"/>
                <w:sz w:val="13"/>
              </w:rPr>
              <w:t>24</w:t>
            </w:r>
            <w:r w:rsidRPr="00150EDC">
              <w:rPr>
                <w:spacing w:val="40"/>
                <w:w w:val="105"/>
                <w:sz w:val="13"/>
              </w:rPr>
              <w:t xml:space="preserve"> </w:t>
            </w:r>
            <w:r w:rsidRPr="00150EDC">
              <w:rPr>
                <w:w w:val="105"/>
                <w:sz w:val="13"/>
              </w:rPr>
              <w:t>– Collaboration Schedule are achieved by the</w:t>
            </w:r>
            <w:r w:rsidRPr="00150EDC">
              <w:rPr>
                <w:spacing w:val="40"/>
                <w:w w:val="105"/>
                <w:sz w:val="13"/>
              </w:rPr>
              <w:t xml:space="preserve"> </w:t>
            </w:r>
            <w:r w:rsidRPr="00150EDC">
              <w:rPr>
                <w:spacing w:val="-2"/>
                <w:w w:val="105"/>
                <w:sz w:val="13"/>
              </w:rPr>
              <w:t>Supplier.</w:t>
            </w:r>
          </w:p>
        </w:tc>
        <w:tc>
          <w:tcPr>
            <w:tcW w:w="2030" w:type="dxa"/>
          </w:tcPr>
          <w:p w14:paraId="3EE4E128" w14:textId="77777777" w:rsidR="004C7180" w:rsidRPr="00150EDC" w:rsidRDefault="00CF0754">
            <w:pPr>
              <w:pStyle w:val="TableParagraph"/>
              <w:spacing w:before="6" w:line="249" w:lineRule="auto"/>
              <w:ind w:left="82" w:right="422"/>
              <w:rPr>
                <w:sz w:val="13"/>
              </w:rPr>
            </w:pPr>
            <w:r w:rsidRPr="00150EDC">
              <w:rPr>
                <w:b/>
                <w:w w:val="105"/>
                <w:sz w:val="13"/>
              </w:rPr>
              <w:t>Good</w:t>
            </w:r>
            <w:r w:rsidRPr="00150EDC">
              <w:rPr>
                <w:w w:val="105"/>
                <w:sz w:val="13"/>
              </w:rPr>
              <w:t>:</w:t>
            </w:r>
            <w:r w:rsidRPr="00150EDC">
              <w:rPr>
                <w:spacing w:val="-10"/>
                <w:w w:val="105"/>
                <w:sz w:val="13"/>
              </w:rPr>
              <w:t xml:space="preserve"> </w:t>
            </w:r>
            <w:r w:rsidRPr="00150EDC">
              <w:rPr>
                <w:w w:val="105"/>
                <w:sz w:val="13"/>
              </w:rPr>
              <w:t>Supplier</w:t>
            </w:r>
            <w:r w:rsidRPr="00150EDC">
              <w:rPr>
                <w:spacing w:val="-9"/>
                <w:w w:val="105"/>
                <w:sz w:val="13"/>
              </w:rPr>
              <w:t xml:space="preserve"> </w:t>
            </w:r>
            <w:r w:rsidRPr="00150EDC">
              <w:rPr>
                <w:w w:val="105"/>
                <w:sz w:val="13"/>
              </w:rPr>
              <w:t>achieves</w:t>
            </w:r>
            <w:r w:rsidRPr="00150EDC">
              <w:rPr>
                <w:spacing w:val="40"/>
                <w:w w:val="105"/>
                <w:sz w:val="13"/>
              </w:rPr>
              <w:t xml:space="preserve"> </w:t>
            </w:r>
            <w:r w:rsidRPr="00150EDC">
              <w:rPr>
                <w:w w:val="105"/>
                <w:sz w:val="13"/>
              </w:rPr>
              <w:t>100%</w:t>
            </w:r>
            <w:r w:rsidRPr="00150EDC">
              <w:rPr>
                <w:spacing w:val="-9"/>
                <w:w w:val="105"/>
                <w:sz w:val="13"/>
              </w:rPr>
              <w:t xml:space="preserve"> </w:t>
            </w:r>
            <w:r w:rsidRPr="00150EDC">
              <w:rPr>
                <w:w w:val="105"/>
                <w:sz w:val="13"/>
              </w:rPr>
              <w:t>of</w:t>
            </w:r>
            <w:r w:rsidRPr="00150EDC">
              <w:rPr>
                <w:spacing w:val="-8"/>
                <w:w w:val="105"/>
                <w:sz w:val="13"/>
              </w:rPr>
              <w:t xml:space="preserve"> </w:t>
            </w:r>
            <w:r w:rsidRPr="00150EDC">
              <w:rPr>
                <w:w w:val="105"/>
                <w:sz w:val="13"/>
              </w:rPr>
              <w:t>the</w:t>
            </w:r>
            <w:r w:rsidRPr="00150EDC">
              <w:rPr>
                <w:spacing w:val="-8"/>
                <w:w w:val="105"/>
                <w:sz w:val="13"/>
              </w:rPr>
              <w:t xml:space="preserve"> </w:t>
            </w:r>
            <w:r w:rsidRPr="00150EDC">
              <w:rPr>
                <w:w w:val="105"/>
                <w:sz w:val="13"/>
              </w:rPr>
              <w:t>deadlines</w:t>
            </w:r>
            <w:r w:rsidRPr="00150EDC">
              <w:rPr>
                <w:spacing w:val="-8"/>
                <w:w w:val="105"/>
                <w:sz w:val="13"/>
              </w:rPr>
              <w:t xml:space="preserve"> </w:t>
            </w:r>
            <w:r w:rsidRPr="00150EDC">
              <w:rPr>
                <w:w w:val="105"/>
                <w:sz w:val="13"/>
              </w:rPr>
              <w:t>in</w:t>
            </w:r>
            <w:r w:rsidRPr="00150EDC">
              <w:rPr>
                <w:spacing w:val="40"/>
                <w:w w:val="105"/>
                <w:sz w:val="13"/>
              </w:rPr>
              <w:t xml:space="preserve"> </w:t>
            </w:r>
            <w:r w:rsidRPr="00150EDC">
              <w:rPr>
                <w:w w:val="105"/>
                <w:sz w:val="13"/>
              </w:rPr>
              <w:t>Order Schedule 24 –</w:t>
            </w:r>
            <w:r w:rsidRPr="00150EDC">
              <w:rPr>
                <w:spacing w:val="40"/>
                <w:w w:val="105"/>
                <w:sz w:val="13"/>
              </w:rPr>
              <w:t xml:space="preserve"> </w:t>
            </w:r>
            <w:r w:rsidRPr="00150EDC">
              <w:rPr>
                <w:w w:val="105"/>
                <w:sz w:val="13"/>
              </w:rPr>
              <w:t>Collaboration</w:t>
            </w:r>
            <w:r w:rsidRPr="00150EDC">
              <w:rPr>
                <w:spacing w:val="-2"/>
                <w:w w:val="105"/>
                <w:sz w:val="13"/>
              </w:rPr>
              <w:t xml:space="preserve"> </w:t>
            </w:r>
            <w:r w:rsidRPr="00150EDC">
              <w:rPr>
                <w:w w:val="105"/>
                <w:sz w:val="13"/>
              </w:rPr>
              <w:t>Schedule</w:t>
            </w:r>
          </w:p>
          <w:p w14:paraId="6D9E8EDA" w14:textId="77777777" w:rsidR="004C7180" w:rsidRPr="00150EDC" w:rsidRDefault="004C7180">
            <w:pPr>
              <w:pStyle w:val="TableParagraph"/>
              <w:spacing w:before="8" w:line="240" w:lineRule="auto"/>
              <w:ind w:left="0"/>
              <w:rPr>
                <w:sz w:val="13"/>
              </w:rPr>
            </w:pPr>
          </w:p>
          <w:p w14:paraId="76DB316F" w14:textId="77777777" w:rsidR="004C7180" w:rsidRPr="00150EDC" w:rsidRDefault="00CF0754">
            <w:pPr>
              <w:pStyle w:val="TableParagraph"/>
              <w:spacing w:before="0" w:line="249" w:lineRule="auto"/>
              <w:ind w:left="82" w:right="71"/>
              <w:rPr>
                <w:sz w:val="13"/>
              </w:rPr>
            </w:pPr>
            <w:r w:rsidRPr="00150EDC">
              <w:rPr>
                <w:b/>
                <w:spacing w:val="-2"/>
                <w:w w:val="105"/>
                <w:sz w:val="13"/>
              </w:rPr>
              <w:t>Approaching Target</w:t>
            </w:r>
            <w:r w:rsidRPr="00150EDC">
              <w:rPr>
                <w:spacing w:val="-2"/>
                <w:w w:val="105"/>
                <w:sz w:val="13"/>
              </w:rPr>
              <w:t>: Supplier</w:t>
            </w:r>
            <w:r w:rsidRPr="00150EDC">
              <w:rPr>
                <w:spacing w:val="40"/>
                <w:w w:val="105"/>
                <w:sz w:val="13"/>
              </w:rPr>
              <w:t xml:space="preserve"> </w:t>
            </w:r>
            <w:r w:rsidRPr="00150EDC">
              <w:rPr>
                <w:w w:val="105"/>
                <w:sz w:val="13"/>
              </w:rPr>
              <w:t>achieves 97-99% of the</w:t>
            </w:r>
            <w:r w:rsidRPr="00150EDC">
              <w:rPr>
                <w:spacing w:val="40"/>
                <w:w w:val="105"/>
                <w:sz w:val="13"/>
              </w:rPr>
              <w:t xml:space="preserve"> </w:t>
            </w:r>
            <w:r w:rsidRPr="00150EDC">
              <w:rPr>
                <w:w w:val="105"/>
                <w:sz w:val="13"/>
              </w:rPr>
              <w:t>deadlines in Order Schedule</w:t>
            </w:r>
            <w:r w:rsidRPr="00150EDC">
              <w:rPr>
                <w:spacing w:val="40"/>
                <w:w w:val="105"/>
                <w:sz w:val="13"/>
              </w:rPr>
              <w:t xml:space="preserve"> </w:t>
            </w:r>
            <w:r w:rsidRPr="00150EDC">
              <w:rPr>
                <w:w w:val="105"/>
                <w:sz w:val="13"/>
              </w:rPr>
              <w:t>24 – Collaboration Schedule</w:t>
            </w:r>
          </w:p>
          <w:p w14:paraId="5204736C" w14:textId="77777777" w:rsidR="004C7180" w:rsidRPr="00150EDC" w:rsidRDefault="004C7180">
            <w:pPr>
              <w:pStyle w:val="TableParagraph"/>
              <w:spacing w:before="8" w:line="240" w:lineRule="auto"/>
              <w:ind w:left="0"/>
              <w:rPr>
                <w:sz w:val="13"/>
              </w:rPr>
            </w:pPr>
          </w:p>
          <w:p w14:paraId="0FCCD911" w14:textId="77777777" w:rsidR="004C7180" w:rsidRPr="00150EDC" w:rsidRDefault="00CF0754">
            <w:pPr>
              <w:pStyle w:val="TableParagraph"/>
              <w:spacing w:before="0" w:line="249" w:lineRule="auto"/>
              <w:ind w:left="82" w:right="71"/>
              <w:rPr>
                <w:sz w:val="13"/>
              </w:rPr>
            </w:pPr>
            <w:r w:rsidRPr="00150EDC">
              <w:rPr>
                <w:b/>
                <w:w w:val="105"/>
                <w:sz w:val="13"/>
              </w:rPr>
              <w:t>Requires</w:t>
            </w:r>
            <w:r w:rsidRPr="00150EDC">
              <w:rPr>
                <w:b/>
                <w:spacing w:val="-2"/>
                <w:w w:val="105"/>
                <w:sz w:val="13"/>
              </w:rPr>
              <w:t xml:space="preserve"> </w:t>
            </w:r>
            <w:r w:rsidRPr="00150EDC">
              <w:rPr>
                <w:b/>
                <w:w w:val="105"/>
                <w:sz w:val="13"/>
              </w:rPr>
              <w:t>Improvement</w:t>
            </w:r>
            <w:r w:rsidRPr="00150EDC">
              <w:rPr>
                <w:w w:val="105"/>
                <w:sz w:val="13"/>
              </w:rPr>
              <w:t>:</w:t>
            </w:r>
            <w:r w:rsidRPr="00150EDC">
              <w:rPr>
                <w:spacing w:val="40"/>
                <w:w w:val="105"/>
                <w:sz w:val="13"/>
              </w:rPr>
              <w:t xml:space="preserve"> </w:t>
            </w:r>
            <w:r w:rsidRPr="00150EDC">
              <w:rPr>
                <w:w w:val="105"/>
                <w:sz w:val="13"/>
              </w:rPr>
              <w:t>Supplier</w:t>
            </w:r>
            <w:r w:rsidRPr="00150EDC">
              <w:rPr>
                <w:spacing w:val="-10"/>
                <w:w w:val="105"/>
                <w:sz w:val="13"/>
              </w:rPr>
              <w:t xml:space="preserve"> </w:t>
            </w:r>
            <w:r w:rsidRPr="00150EDC">
              <w:rPr>
                <w:w w:val="105"/>
                <w:sz w:val="13"/>
              </w:rPr>
              <w:t>achieves</w:t>
            </w:r>
            <w:r w:rsidRPr="00150EDC">
              <w:rPr>
                <w:spacing w:val="-9"/>
                <w:w w:val="105"/>
                <w:sz w:val="13"/>
              </w:rPr>
              <w:t xml:space="preserve"> </w:t>
            </w:r>
            <w:r w:rsidRPr="00150EDC">
              <w:rPr>
                <w:w w:val="105"/>
                <w:sz w:val="13"/>
              </w:rPr>
              <w:t>95-96%</w:t>
            </w:r>
            <w:r w:rsidRPr="00150EDC">
              <w:rPr>
                <w:spacing w:val="-10"/>
                <w:w w:val="105"/>
                <w:sz w:val="13"/>
              </w:rPr>
              <w:t xml:space="preserve"> </w:t>
            </w:r>
            <w:r w:rsidRPr="00150EDC">
              <w:rPr>
                <w:w w:val="105"/>
                <w:sz w:val="13"/>
              </w:rPr>
              <w:t>of</w:t>
            </w:r>
            <w:r w:rsidRPr="00150EDC">
              <w:rPr>
                <w:spacing w:val="40"/>
                <w:w w:val="105"/>
                <w:sz w:val="13"/>
              </w:rPr>
              <w:t xml:space="preserve"> </w:t>
            </w:r>
            <w:r w:rsidRPr="00150EDC">
              <w:rPr>
                <w:w w:val="105"/>
                <w:sz w:val="13"/>
              </w:rPr>
              <w:t>the deadlines in Order</w:t>
            </w:r>
            <w:r w:rsidRPr="00150EDC">
              <w:rPr>
                <w:spacing w:val="40"/>
                <w:w w:val="105"/>
                <w:sz w:val="13"/>
              </w:rPr>
              <w:t xml:space="preserve"> </w:t>
            </w:r>
            <w:r w:rsidRPr="00150EDC">
              <w:rPr>
                <w:w w:val="105"/>
                <w:sz w:val="13"/>
              </w:rPr>
              <w:t>Schedule</w:t>
            </w:r>
            <w:r w:rsidRPr="00150EDC">
              <w:rPr>
                <w:spacing w:val="-9"/>
                <w:w w:val="105"/>
                <w:sz w:val="13"/>
              </w:rPr>
              <w:t xml:space="preserve"> </w:t>
            </w:r>
            <w:r w:rsidRPr="00150EDC">
              <w:rPr>
                <w:w w:val="105"/>
                <w:sz w:val="13"/>
              </w:rPr>
              <w:t>24</w:t>
            </w:r>
            <w:r w:rsidRPr="00150EDC">
              <w:rPr>
                <w:spacing w:val="-7"/>
                <w:w w:val="105"/>
                <w:sz w:val="13"/>
              </w:rPr>
              <w:t xml:space="preserve"> </w:t>
            </w:r>
            <w:r w:rsidRPr="00150EDC">
              <w:rPr>
                <w:w w:val="105"/>
                <w:sz w:val="13"/>
              </w:rPr>
              <w:t>–</w:t>
            </w:r>
            <w:r w:rsidRPr="00150EDC">
              <w:rPr>
                <w:spacing w:val="-9"/>
                <w:w w:val="105"/>
                <w:sz w:val="13"/>
              </w:rPr>
              <w:t xml:space="preserve"> </w:t>
            </w:r>
            <w:r w:rsidRPr="00150EDC">
              <w:rPr>
                <w:w w:val="105"/>
                <w:sz w:val="13"/>
              </w:rPr>
              <w:t>Collaboration</w:t>
            </w:r>
            <w:r w:rsidRPr="00150EDC">
              <w:rPr>
                <w:spacing w:val="40"/>
                <w:w w:val="105"/>
                <w:sz w:val="13"/>
              </w:rPr>
              <w:t xml:space="preserve"> </w:t>
            </w:r>
            <w:r w:rsidRPr="00150EDC">
              <w:rPr>
                <w:spacing w:val="-2"/>
                <w:w w:val="105"/>
                <w:sz w:val="13"/>
              </w:rPr>
              <w:t>Schedule</w:t>
            </w:r>
          </w:p>
          <w:p w14:paraId="40B02B0E" w14:textId="77777777" w:rsidR="004C7180" w:rsidRPr="00150EDC" w:rsidRDefault="004C7180">
            <w:pPr>
              <w:pStyle w:val="TableParagraph"/>
              <w:spacing w:before="10" w:line="240" w:lineRule="auto"/>
              <w:ind w:left="0"/>
              <w:rPr>
                <w:sz w:val="13"/>
              </w:rPr>
            </w:pPr>
          </w:p>
          <w:p w14:paraId="417095AC" w14:textId="77777777" w:rsidR="004C7180" w:rsidRPr="00150EDC" w:rsidRDefault="00CF0754">
            <w:pPr>
              <w:pStyle w:val="TableParagraph"/>
              <w:spacing w:before="0" w:line="249" w:lineRule="auto"/>
              <w:ind w:left="82" w:right="96"/>
              <w:rPr>
                <w:sz w:val="13"/>
              </w:rPr>
            </w:pPr>
            <w:r w:rsidRPr="00150EDC">
              <w:rPr>
                <w:b/>
                <w:w w:val="105"/>
                <w:sz w:val="13"/>
              </w:rPr>
              <w:t>Inadequate</w:t>
            </w:r>
            <w:r w:rsidRPr="00150EDC">
              <w:rPr>
                <w:w w:val="105"/>
                <w:sz w:val="13"/>
              </w:rPr>
              <w:t>:</w:t>
            </w:r>
            <w:r w:rsidRPr="00150EDC">
              <w:rPr>
                <w:spacing w:val="-2"/>
                <w:w w:val="105"/>
                <w:sz w:val="13"/>
              </w:rPr>
              <w:t xml:space="preserve"> </w:t>
            </w:r>
            <w:r w:rsidRPr="00150EDC">
              <w:rPr>
                <w:w w:val="105"/>
                <w:sz w:val="13"/>
              </w:rPr>
              <w:t>Supplies</w:t>
            </w:r>
            <w:r w:rsidRPr="00150EDC">
              <w:rPr>
                <w:spacing w:val="40"/>
                <w:w w:val="105"/>
                <w:sz w:val="13"/>
              </w:rPr>
              <w:t xml:space="preserve"> </w:t>
            </w:r>
            <w:r w:rsidRPr="00150EDC">
              <w:rPr>
                <w:w w:val="105"/>
                <w:sz w:val="13"/>
              </w:rPr>
              <w:t>achieves</w:t>
            </w:r>
            <w:r w:rsidRPr="00150EDC">
              <w:rPr>
                <w:spacing w:val="-10"/>
                <w:w w:val="105"/>
                <w:sz w:val="13"/>
              </w:rPr>
              <w:t xml:space="preserve"> </w:t>
            </w:r>
            <w:r w:rsidRPr="00150EDC">
              <w:rPr>
                <w:w w:val="105"/>
                <w:sz w:val="13"/>
              </w:rPr>
              <w:t>less</w:t>
            </w:r>
            <w:r w:rsidRPr="00150EDC">
              <w:rPr>
                <w:spacing w:val="-9"/>
                <w:w w:val="105"/>
                <w:sz w:val="13"/>
              </w:rPr>
              <w:t xml:space="preserve"> </w:t>
            </w:r>
            <w:r w:rsidRPr="00150EDC">
              <w:rPr>
                <w:w w:val="105"/>
                <w:sz w:val="13"/>
              </w:rPr>
              <w:t>than</w:t>
            </w:r>
            <w:r w:rsidRPr="00150EDC">
              <w:rPr>
                <w:spacing w:val="-10"/>
                <w:w w:val="105"/>
                <w:sz w:val="13"/>
              </w:rPr>
              <w:t xml:space="preserve"> </w:t>
            </w:r>
            <w:r w:rsidRPr="00150EDC">
              <w:rPr>
                <w:w w:val="105"/>
                <w:sz w:val="13"/>
              </w:rPr>
              <w:t>95%</w:t>
            </w:r>
            <w:r w:rsidRPr="00150EDC">
              <w:rPr>
                <w:spacing w:val="-9"/>
                <w:w w:val="105"/>
                <w:sz w:val="13"/>
              </w:rPr>
              <w:t xml:space="preserve"> </w:t>
            </w:r>
            <w:r w:rsidRPr="00150EDC">
              <w:rPr>
                <w:w w:val="105"/>
                <w:sz w:val="13"/>
              </w:rPr>
              <w:t>of</w:t>
            </w:r>
            <w:r w:rsidRPr="00150EDC">
              <w:rPr>
                <w:spacing w:val="-10"/>
                <w:w w:val="105"/>
                <w:sz w:val="13"/>
              </w:rPr>
              <w:t xml:space="preserve"> </w:t>
            </w:r>
            <w:r w:rsidRPr="00150EDC">
              <w:rPr>
                <w:w w:val="105"/>
                <w:sz w:val="13"/>
              </w:rPr>
              <w:t>the</w:t>
            </w:r>
            <w:r w:rsidRPr="00150EDC">
              <w:rPr>
                <w:spacing w:val="40"/>
                <w:w w:val="105"/>
                <w:sz w:val="13"/>
              </w:rPr>
              <w:t xml:space="preserve"> </w:t>
            </w:r>
            <w:r w:rsidRPr="00150EDC">
              <w:rPr>
                <w:w w:val="105"/>
                <w:sz w:val="13"/>
              </w:rPr>
              <w:t>deadlines in Order Schedule</w:t>
            </w:r>
            <w:r w:rsidRPr="00150EDC">
              <w:rPr>
                <w:spacing w:val="40"/>
                <w:w w:val="105"/>
                <w:sz w:val="13"/>
              </w:rPr>
              <w:t xml:space="preserve"> </w:t>
            </w:r>
            <w:r w:rsidRPr="00150EDC">
              <w:rPr>
                <w:w w:val="105"/>
                <w:sz w:val="13"/>
              </w:rPr>
              <w:t>24 – Collaboration Schedule</w:t>
            </w:r>
          </w:p>
        </w:tc>
        <w:tc>
          <w:tcPr>
            <w:tcW w:w="1493" w:type="dxa"/>
          </w:tcPr>
          <w:p w14:paraId="172ABC4E" w14:textId="77777777" w:rsidR="004C7180" w:rsidRPr="00150EDC" w:rsidRDefault="00CF0754">
            <w:pPr>
              <w:pStyle w:val="TableParagraph"/>
              <w:spacing w:before="6" w:line="249" w:lineRule="auto"/>
              <w:ind w:left="82" w:right="109"/>
              <w:rPr>
                <w:sz w:val="13"/>
              </w:rPr>
            </w:pPr>
            <w:r w:rsidRPr="00150EDC">
              <w:rPr>
                <w:w w:val="105"/>
                <w:sz w:val="13"/>
              </w:rPr>
              <w:t>Supplier to be rated</w:t>
            </w:r>
            <w:r w:rsidRPr="00150EDC">
              <w:rPr>
                <w:spacing w:val="40"/>
                <w:w w:val="105"/>
                <w:sz w:val="13"/>
              </w:rPr>
              <w:t xml:space="preserve"> </w:t>
            </w:r>
            <w:r w:rsidRPr="00150EDC">
              <w:rPr>
                <w:w w:val="105"/>
                <w:sz w:val="13"/>
              </w:rPr>
              <w:t>as ‘Good’ or</w:t>
            </w:r>
            <w:r w:rsidRPr="00150EDC">
              <w:rPr>
                <w:spacing w:val="40"/>
                <w:w w:val="105"/>
                <w:sz w:val="13"/>
              </w:rPr>
              <w:t xml:space="preserve"> </w:t>
            </w:r>
            <w:r w:rsidRPr="00150EDC">
              <w:rPr>
                <w:spacing w:val="-2"/>
                <w:w w:val="105"/>
                <w:sz w:val="13"/>
              </w:rPr>
              <w:t>‘Approaching</w:t>
            </w:r>
            <w:r w:rsidRPr="00150EDC">
              <w:rPr>
                <w:spacing w:val="-7"/>
                <w:w w:val="105"/>
                <w:sz w:val="13"/>
              </w:rPr>
              <w:t xml:space="preserve"> </w:t>
            </w:r>
            <w:r w:rsidRPr="00150EDC">
              <w:rPr>
                <w:spacing w:val="-2"/>
                <w:w w:val="105"/>
                <w:sz w:val="13"/>
              </w:rPr>
              <w:t>Target’</w:t>
            </w:r>
          </w:p>
        </w:tc>
      </w:tr>
      <w:tr w:rsidR="004569EE" w:rsidRPr="007D3144" w14:paraId="4387C544" w14:textId="77777777">
        <w:trPr>
          <w:trHeight w:val="2807"/>
        </w:trPr>
        <w:tc>
          <w:tcPr>
            <w:tcW w:w="1175" w:type="dxa"/>
            <w:shd w:val="clear" w:color="auto" w:fill="F1F1F1"/>
          </w:tcPr>
          <w:p w14:paraId="169FE75F" w14:textId="77777777" w:rsidR="004C7180" w:rsidRPr="00150EDC" w:rsidRDefault="00CF0754">
            <w:pPr>
              <w:pStyle w:val="TableParagraph"/>
              <w:spacing w:before="4" w:line="240" w:lineRule="auto"/>
              <w:ind w:left="81"/>
              <w:rPr>
                <w:b/>
                <w:sz w:val="13"/>
              </w:rPr>
            </w:pPr>
            <w:r w:rsidRPr="00150EDC">
              <w:rPr>
                <w:b/>
                <w:spacing w:val="-2"/>
                <w:w w:val="105"/>
                <w:sz w:val="13"/>
              </w:rPr>
              <w:t>Transparency</w:t>
            </w:r>
          </w:p>
        </w:tc>
        <w:tc>
          <w:tcPr>
            <w:tcW w:w="3202" w:type="dxa"/>
          </w:tcPr>
          <w:p w14:paraId="0F7BDCA4" w14:textId="77777777" w:rsidR="004C7180" w:rsidRPr="00150EDC" w:rsidRDefault="00CF0754">
            <w:pPr>
              <w:pStyle w:val="TableParagraph"/>
              <w:spacing w:before="4" w:line="249" w:lineRule="auto"/>
              <w:ind w:left="82" w:right="100"/>
              <w:rPr>
                <w:sz w:val="13"/>
              </w:rPr>
            </w:pPr>
            <w:r w:rsidRPr="00150EDC">
              <w:rPr>
                <w:w w:val="105"/>
                <w:sz w:val="13"/>
              </w:rPr>
              <w:t>Supplier shares all required information, as</w:t>
            </w:r>
            <w:r w:rsidRPr="00150EDC">
              <w:rPr>
                <w:spacing w:val="40"/>
                <w:w w:val="105"/>
                <w:sz w:val="13"/>
              </w:rPr>
              <w:t xml:space="preserve"> </w:t>
            </w:r>
            <w:r w:rsidRPr="00150EDC">
              <w:rPr>
                <w:w w:val="105"/>
                <w:sz w:val="13"/>
              </w:rPr>
              <w:t>outlined</w:t>
            </w:r>
            <w:r w:rsidRPr="00150EDC">
              <w:rPr>
                <w:spacing w:val="-9"/>
                <w:w w:val="105"/>
                <w:sz w:val="13"/>
              </w:rPr>
              <w:t xml:space="preserve"> </w:t>
            </w:r>
            <w:r w:rsidRPr="00150EDC">
              <w:rPr>
                <w:w w:val="105"/>
                <w:sz w:val="13"/>
              </w:rPr>
              <w:t>in</w:t>
            </w:r>
            <w:r w:rsidRPr="00150EDC">
              <w:rPr>
                <w:spacing w:val="-8"/>
                <w:w w:val="105"/>
                <w:sz w:val="13"/>
              </w:rPr>
              <w:t xml:space="preserve"> </w:t>
            </w:r>
            <w:r w:rsidRPr="00150EDC">
              <w:rPr>
                <w:w w:val="105"/>
                <w:sz w:val="13"/>
              </w:rPr>
              <w:t>each</w:t>
            </w:r>
            <w:r w:rsidRPr="00150EDC">
              <w:rPr>
                <w:spacing w:val="-8"/>
                <w:w w:val="105"/>
                <w:sz w:val="13"/>
              </w:rPr>
              <w:t xml:space="preserve"> </w:t>
            </w:r>
            <w:r w:rsidRPr="00150EDC">
              <w:rPr>
                <w:w w:val="105"/>
                <w:sz w:val="13"/>
              </w:rPr>
              <w:t>relevant</w:t>
            </w:r>
            <w:r w:rsidRPr="00150EDC">
              <w:rPr>
                <w:spacing w:val="-8"/>
                <w:w w:val="105"/>
                <w:sz w:val="13"/>
              </w:rPr>
              <w:t xml:space="preserve"> </w:t>
            </w:r>
            <w:r w:rsidRPr="00150EDC">
              <w:rPr>
                <w:w w:val="105"/>
                <w:sz w:val="13"/>
              </w:rPr>
              <w:t>IDEA</w:t>
            </w:r>
            <w:r w:rsidRPr="00150EDC">
              <w:rPr>
                <w:spacing w:val="-9"/>
                <w:w w:val="105"/>
                <w:sz w:val="13"/>
              </w:rPr>
              <w:t xml:space="preserve"> </w:t>
            </w:r>
            <w:r w:rsidRPr="00150EDC">
              <w:rPr>
                <w:w w:val="105"/>
                <w:sz w:val="13"/>
              </w:rPr>
              <w:t>delivery</w:t>
            </w:r>
            <w:r w:rsidRPr="00150EDC">
              <w:rPr>
                <w:spacing w:val="-8"/>
                <w:w w:val="105"/>
                <w:sz w:val="13"/>
              </w:rPr>
              <w:t xml:space="preserve"> </w:t>
            </w:r>
            <w:r w:rsidRPr="00150EDC">
              <w:rPr>
                <w:w w:val="105"/>
                <w:sz w:val="13"/>
              </w:rPr>
              <w:t>plan,</w:t>
            </w:r>
            <w:r w:rsidRPr="00150EDC">
              <w:rPr>
                <w:spacing w:val="-9"/>
                <w:w w:val="105"/>
                <w:sz w:val="13"/>
              </w:rPr>
              <w:t xml:space="preserve"> </w:t>
            </w:r>
            <w:r w:rsidRPr="00150EDC">
              <w:rPr>
                <w:w w:val="105"/>
                <w:sz w:val="13"/>
              </w:rPr>
              <w:t>and</w:t>
            </w:r>
            <w:r w:rsidRPr="00150EDC">
              <w:rPr>
                <w:spacing w:val="40"/>
                <w:w w:val="105"/>
                <w:sz w:val="13"/>
              </w:rPr>
              <w:t xml:space="preserve"> </w:t>
            </w:r>
            <w:r w:rsidRPr="00150EDC">
              <w:rPr>
                <w:w w:val="105"/>
                <w:sz w:val="13"/>
              </w:rPr>
              <w:t>approved by the Buyer RCT Technical Steering</w:t>
            </w:r>
            <w:r w:rsidRPr="00150EDC">
              <w:rPr>
                <w:spacing w:val="40"/>
                <w:w w:val="105"/>
                <w:sz w:val="13"/>
              </w:rPr>
              <w:t xml:space="preserve"> </w:t>
            </w:r>
            <w:r w:rsidRPr="00150EDC">
              <w:rPr>
                <w:w w:val="105"/>
                <w:sz w:val="13"/>
              </w:rPr>
              <w:t>Group, with the RCT evaluator and the RCT</w:t>
            </w:r>
            <w:r w:rsidRPr="00150EDC">
              <w:rPr>
                <w:spacing w:val="40"/>
                <w:w w:val="105"/>
                <w:sz w:val="13"/>
              </w:rPr>
              <w:t xml:space="preserve"> </w:t>
            </w:r>
            <w:r w:rsidRPr="00150EDC">
              <w:rPr>
                <w:w w:val="105"/>
                <w:sz w:val="13"/>
              </w:rPr>
              <w:t>Products Supplier(s) by the deadline(s) in the</w:t>
            </w:r>
            <w:r w:rsidRPr="00150EDC">
              <w:rPr>
                <w:spacing w:val="40"/>
                <w:w w:val="105"/>
                <w:sz w:val="13"/>
              </w:rPr>
              <w:t xml:space="preserve"> </w:t>
            </w:r>
            <w:r w:rsidRPr="00150EDC">
              <w:rPr>
                <w:w w:val="105"/>
                <w:sz w:val="13"/>
              </w:rPr>
              <w:t>IDEA delivery plan.</w:t>
            </w:r>
          </w:p>
          <w:p w14:paraId="1DCC2ABD" w14:textId="77777777" w:rsidR="004C7180" w:rsidRPr="00150EDC" w:rsidRDefault="004C7180">
            <w:pPr>
              <w:pStyle w:val="TableParagraph"/>
              <w:spacing w:before="10" w:line="240" w:lineRule="auto"/>
              <w:ind w:left="0"/>
              <w:rPr>
                <w:sz w:val="13"/>
              </w:rPr>
            </w:pPr>
          </w:p>
          <w:p w14:paraId="3C90601D" w14:textId="77777777" w:rsidR="004C7180" w:rsidRPr="00150EDC" w:rsidRDefault="00CF0754">
            <w:pPr>
              <w:pStyle w:val="TableParagraph"/>
              <w:spacing w:before="0" w:line="249" w:lineRule="auto"/>
              <w:ind w:left="82" w:right="100"/>
              <w:rPr>
                <w:sz w:val="13"/>
              </w:rPr>
            </w:pPr>
            <w:r w:rsidRPr="00150EDC">
              <w:rPr>
                <w:i/>
                <w:w w:val="105"/>
                <w:sz w:val="13"/>
              </w:rPr>
              <w:t>Measurement:</w:t>
            </w:r>
            <w:r w:rsidRPr="00150EDC">
              <w:rPr>
                <w:i/>
                <w:spacing w:val="-10"/>
                <w:w w:val="105"/>
                <w:sz w:val="13"/>
              </w:rPr>
              <w:t xml:space="preserve"> </w:t>
            </w:r>
            <w:r w:rsidRPr="00150EDC">
              <w:rPr>
                <w:w w:val="105"/>
                <w:sz w:val="13"/>
              </w:rPr>
              <w:t>the</w:t>
            </w:r>
            <w:r w:rsidRPr="00150EDC">
              <w:rPr>
                <w:spacing w:val="-9"/>
                <w:w w:val="105"/>
                <w:sz w:val="13"/>
              </w:rPr>
              <w:t xml:space="preserve"> </w:t>
            </w:r>
            <w:r w:rsidRPr="00150EDC">
              <w:rPr>
                <w:w w:val="105"/>
                <w:sz w:val="13"/>
              </w:rPr>
              <w:t>deadlines</w:t>
            </w:r>
            <w:r w:rsidRPr="00150EDC">
              <w:rPr>
                <w:spacing w:val="-10"/>
                <w:w w:val="105"/>
                <w:sz w:val="13"/>
              </w:rPr>
              <w:t xml:space="preserve"> </w:t>
            </w:r>
            <w:r w:rsidRPr="00150EDC">
              <w:rPr>
                <w:w w:val="105"/>
                <w:sz w:val="13"/>
              </w:rPr>
              <w:t>to</w:t>
            </w:r>
            <w:r w:rsidRPr="00150EDC">
              <w:rPr>
                <w:spacing w:val="-9"/>
                <w:w w:val="105"/>
                <w:sz w:val="13"/>
              </w:rPr>
              <w:t xml:space="preserve"> </w:t>
            </w:r>
            <w:r w:rsidRPr="00150EDC">
              <w:rPr>
                <w:w w:val="105"/>
                <w:sz w:val="13"/>
              </w:rPr>
              <w:t>share</w:t>
            </w:r>
            <w:r w:rsidRPr="00150EDC">
              <w:rPr>
                <w:spacing w:val="-10"/>
                <w:w w:val="105"/>
                <w:sz w:val="13"/>
              </w:rPr>
              <w:t xml:space="preserve"> </w:t>
            </w:r>
            <w:r w:rsidRPr="00150EDC">
              <w:rPr>
                <w:w w:val="105"/>
                <w:sz w:val="13"/>
              </w:rPr>
              <w:t>information</w:t>
            </w:r>
            <w:r w:rsidRPr="00150EDC">
              <w:rPr>
                <w:spacing w:val="40"/>
                <w:w w:val="105"/>
                <w:sz w:val="13"/>
              </w:rPr>
              <w:t xml:space="preserve"> </w:t>
            </w:r>
            <w:r w:rsidRPr="00150EDC">
              <w:rPr>
                <w:w w:val="105"/>
                <w:sz w:val="13"/>
              </w:rPr>
              <w:t>in the IDEA delivery plan are achieved by the</w:t>
            </w:r>
            <w:r w:rsidRPr="00150EDC">
              <w:rPr>
                <w:spacing w:val="40"/>
                <w:w w:val="105"/>
                <w:sz w:val="13"/>
              </w:rPr>
              <w:t xml:space="preserve"> </w:t>
            </w:r>
            <w:r w:rsidRPr="00150EDC">
              <w:rPr>
                <w:spacing w:val="-2"/>
                <w:w w:val="105"/>
                <w:sz w:val="13"/>
              </w:rPr>
              <w:t>Supplier</w:t>
            </w:r>
          </w:p>
        </w:tc>
        <w:tc>
          <w:tcPr>
            <w:tcW w:w="2030" w:type="dxa"/>
          </w:tcPr>
          <w:p w14:paraId="09C40F02" w14:textId="77777777" w:rsidR="004C7180" w:rsidRPr="00150EDC" w:rsidRDefault="00CF0754">
            <w:pPr>
              <w:pStyle w:val="TableParagraph"/>
              <w:spacing w:before="4" w:line="252" w:lineRule="auto"/>
              <w:ind w:left="82" w:right="149"/>
              <w:rPr>
                <w:sz w:val="13"/>
              </w:rPr>
            </w:pPr>
            <w:r w:rsidRPr="00150EDC">
              <w:rPr>
                <w:b/>
                <w:w w:val="105"/>
                <w:sz w:val="13"/>
              </w:rPr>
              <w:t>Good</w:t>
            </w:r>
            <w:r w:rsidRPr="00150EDC">
              <w:rPr>
                <w:w w:val="105"/>
                <w:sz w:val="13"/>
              </w:rPr>
              <w:t>: Supplier achieves</w:t>
            </w:r>
            <w:r w:rsidRPr="00150EDC">
              <w:rPr>
                <w:spacing w:val="40"/>
                <w:w w:val="105"/>
                <w:sz w:val="13"/>
              </w:rPr>
              <w:t xml:space="preserve"> </w:t>
            </w:r>
            <w:r w:rsidRPr="00150EDC">
              <w:rPr>
                <w:w w:val="105"/>
                <w:sz w:val="13"/>
              </w:rPr>
              <w:t>100%</w:t>
            </w:r>
            <w:r w:rsidRPr="00150EDC">
              <w:rPr>
                <w:spacing w:val="-10"/>
                <w:w w:val="105"/>
                <w:sz w:val="13"/>
              </w:rPr>
              <w:t xml:space="preserve"> </w:t>
            </w:r>
            <w:r w:rsidRPr="00150EDC">
              <w:rPr>
                <w:w w:val="105"/>
                <w:sz w:val="13"/>
              </w:rPr>
              <w:t>of</w:t>
            </w:r>
            <w:r w:rsidRPr="00150EDC">
              <w:rPr>
                <w:spacing w:val="-9"/>
                <w:w w:val="105"/>
                <w:sz w:val="13"/>
              </w:rPr>
              <w:t xml:space="preserve"> </w:t>
            </w:r>
            <w:r w:rsidRPr="00150EDC">
              <w:rPr>
                <w:w w:val="105"/>
                <w:sz w:val="13"/>
              </w:rPr>
              <w:t>the</w:t>
            </w:r>
            <w:r w:rsidRPr="00150EDC">
              <w:rPr>
                <w:spacing w:val="-10"/>
                <w:w w:val="105"/>
                <w:sz w:val="13"/>
              </w:rPr>
              <w:t xml:space="preserve"> </w:t>
            </w:r>
            <w:r w:rsidRPr="00150EDC">
              <w:rPr>
                <w:w w:val="105"/>
                <w:sz w:val="13"/>
              </w:rPr>
              <w:t>deadlines</w:t>
            </w:r>
            <w:r w:rsidRPr="00150EDC">
              <w:rPr>
                <w:spacing w:val="-9"/>
                <w:w w:val="105"/>
                <w:sz w:val="13"/>
              </w:rPr>
              <w:t xml:space="preserve"> </w:t>
            </w:r>
            <w:r w:rsidRPr="00150EDC">
              <w:rPr>
                <w:w w:val="105"/>
                <w:sz w:val="13"/>
              </w:rPr>
              <w:t>in</w:t>
            </w:r>
            <w:r w:rsidRPr="00150EDC">
              <w:rPr>
                <w:spacing w:val="-9"/>
                <w:w w:val="105"/>
                <w:sz w:val="13"/>
              </w:rPr>
              <w:t xml:space="preserve"> </w:t>
            </w:r>
            <w:r w:rsidRPr="00150EDC">
              <w:rPr>
                <w:w w:val="105"/>
                <w:sz w:val="13"/>
              </w:rPr>
              <w:t>the</w:t>
            </w:r>
            <w:r w:rsidRPr="00150EDC">
              <w:rPr>
                <w:spacing w:val="40"/>
                <w:w w:val="105"/>
                <w:sz w:val="13"/>
              </w:rPr>
              <w:t xml:space="preserve"> </w:t>
            </w:r>
            <w:r w:rsidRPr="00150EDC">
              <w:rPr>
                <w:w w:val="105"/>
                <w:sz w:val="13"/>
              </w:rPr>
              <w:t>IDEA delivery plan</w:t>
            </w:r>
          </w:p>
          <w:p w14:paraId="4180645E" w14:textId="77777777" w:rsidR="004C7180" w:rsidRPr="00150EDC" w:rsidRDefault="004C7180">
            <w:pPr>
              <w:pStyle w:val="TableParagraph"/>
              <w:spacing w:before="3" w:line="240" w:lineRule="auto"/>
              <w:ind w:left="0"/>
              <w:rPr>
                <w:sz w:val="13"/>
              </w:rPr>
            </w:pPr>
          </w:p>
          <w:p w14:paraId="75973D2B" w14:textId="77777777" w:rsidR="004C7180" w:rsidRPr="00150EDC" w:rsidRDefault="00CF0754">
            <w:pPr>
              <w:pStyle w:val="TableParagraph"/>
              <w:spacing w:before="1" w:line="249" w:lineRule="auto"/>
              <w:ind w:left="82"/>
              <w:rPr>
                <w:sz w:val="13"/>
              </w:rPr>
            </w:pPr>
            <w:r w:rsidRPr="00150EDC">
              <w:rPr>
                <w:b/>
                <w:spacing w:val="-2"/>
                <w:w w:val="105"/>
                <w:sz w:val="13"/>
              </w:rPr>
              <w:t>Approaching Target</w:t>
            </w:r>
            <w:r w:rsidRPr="00150EDC">
              <w:rPr>
                <w:spacing w:val="-2"/>
                <w:w w:val="105"/>
                <w:sz w:val="13"/>
              </w:rPr>
              <w:t>: Supplier</w:t>
            </w:r>
            <w:r w:rsidRPr="00150EDC">
              <w:rPr>
                <w:spacing w:val="40"/>
                <w:w w:val="105"/>
                <w:sz w:val="13"/>
              </w:rPr>
              <w:t xml:space="preserve"> </w:t>
            </w:r>
            <w:r w:rsidRPr="00150EDC">
              <w:rPr>
                <w:w w:val="105"/>
                <w:sz w:val="13"/>
              </w:rPr>
              <w:t>achieves 97-99% of the</w:t>
            </w:r>
            <w:r w:rsidRPr="00150EDC">
              <w:rPr>
                <w:spacing w:val="40"/>
                <w:w w:val="105"/>
                <w:sz w:val="13"/>
              </w:rPr>
              <w:t xml:space="preserve"> </w:t>
            </w:r>
            <w:r w:rsidRPr="00150EDC">
              <w:rPr>
                <w:w w:val="105"/>
                <w:sz w:val="13"/>
              </w:rPr>
              <w:t>deadlines in the IDEA</w:t>
            </w:r>
            <w:r w:rsidRPr="00150EDC">
              <w:rPr>
                <w:spacing w:val="-1"/>
                <w:w w:val="105"/>
                <w:sz w:val="13"/>
              </w:rPr>
              <w:t xml:space="preserve"> </w:t>
            </w:r>
            <w:r w:rsidRPr="00150EDC">
              <w:rPr>
                <w:w w:val="105"/>
                <w:sz w:val="13"/>
              </w:rPr>
              <w:t>delivery</w:t>
            </w:r>
            <w:r w:rsidRPr="00150EDC">
              <w:rPr>
                <w:spacing w:val="40"/>
                <w:w w:val="105"/>
                <w:sz w:val="13"/>
              </w:rPr>
              <w:t xml:space="preserve"> </w:t>
            </w:r>
            <w:r w:rsidRPr="00150EDC">
              <w:rPr>
                <w:spacing w:val="-4"/>
                <w:w w:val="105"/>
                <w:sz w:val="13"/>
              </w:rPr>
              <w:t>plan</w:t>
            </w:r>
          </w:p>
          <w:p w14:paraId="46127E5A" w14:textId="77777777" w:rsidR="004C7180" w:rsidRPr="00150EDC" w:rsidRDefault="004C7180">
            <w:pPr>
              <w:pStyle w:val="TableParagraph"/>
              <w:spacing w:before="7" w:line="240" w:lineRule="auto"/>
              <w:ind w:left="0"/>
              <w:rPr>
                <w:sz w:val="13"/>
              </w:rPr>
            </w:pPr>
          </w:p>
          <w:p w14:paraId="4E86138B" w14:textId="77777777" w:rsidR="004C7180" w:rsidRPr="00150EDC" w:rsidRDefault="00CF0754">
            <w:pPr>
              <w:pStyle w:val="TableParagraph"/>
              <w:spacing w:before="1" w:line="249" w:lineRule="auto"/>
              <w:ind w:left="81" w:right="71"/>
              <w:rPr>
                <w:sz w:val="13"/>
              </w:rPr>
            </w:pPr>
            <w:r w:rsidRPr="00150EDC">
              <w:rPr>
                <w:b/>
                <w:w w:val="105"/>
                <w:sz w:val="13"/>
              </w:rPr>
              <w:t>Requires</w:t>
            </w:r>
            <w:r w:rsidRPr="00150EDC">
              <w:rPr>
                <w:b/>
                <w:spacing w:val="-2"/>
                <w:w w:val="105"/>
                <w:sz w:val="13"/>
              </w:rPr>
              <w:t xml:space="preserve"> </w:t>
            </w:r>
            <w:r w:rsidRPr="00150EDC">
              <w:rPr>
                <w:b/>
                <w:w w:val="105"/>
                <w:sz w:val="13"/>
              </w:rPr>
              <w:t>Improvement</w:t>
            </w:r>
            <w:r w:rsidRPr="00150EDC">
              <w:rPr>
                <w:w w:val="105"/>
                <w:sz w:val="13"/>
              </w:rPr>
              <w:t>:</w:t>
            </w:r>
            <w:r w:rsidRPr="00150EDC">
              <w:rPr>
                <w:spacing w:val="40"/>
                <w:w w:val="105"/>
                <w:sz w:val="13"/>
              </w:rPr>
              <w:t xml:space="preserve"> </w:t>
            </w:r>
            <w:r w:rsidRPr="00150EDC">
              <w:rPr>
                <w:w w:val="105"/>
                <w:sz w:val="13"/>
              </w:rPr>
              <w:t>Supplier</w:t>
            </w:r>
            <w:r w:rsidRPr="00150EDC">
              <w:rPr>
                <w:spacing w:val="-10"/>
                <w:w w:val="105"/>
                <w:sz w:val="13"/>
              </w:rPr>
              <w:t xml:space="preserve"> </w:t>
            </w:r>
            <w:r w:rsidRPr="00150EDC">
              <w:rPr>
                <w:w w:val="105"/>
                <w:sz w:val="13"/>
              </w:rPr>
              <w:t>achieves</w:t>
            </w:r>
            <w:r w:rsidRPr="00150EDC">
              <w:rPr>
                <w:spacing w:val="-9"/>
                <w:w w:val="105"/>
                <w:sz w:val="13"/>
              </w:rPr>
              <w:t xml:space="preserve"> </w:t>
            </w:r>
            <w:r w:rsidRPr="00150EDC">
              <w:rPr>
                <w:w w:val="105"/>
                <w:sz w:val="13"/>
              </w:rPr>
              <w:t>95-96%</w:t>
            </w:r>
            <w:r w:rsidRPr="00150EDC">
              <w:rPr>
                <w:spacing w:val="-10"/>
                <w:w w:val="105"/>
                <w:sz w:val="13"/>
              </w:rPr>
              <w:t xml:space="preserve"> </w:t>
            </w:r>
            <w:r w:rsidRPr="00150EDC">
              <w:rPr>
                <w:w w:val="105"/>
                <w:sz w:val="13"/>
              </w:rPr>
              <w:t>of</w:t>
            </w:r>
            <w:r w:rsidRPr="00150EDC">
              <w:rPr>
                <w:spacing w:val="40"/>
                <w:w w:val="105"/>
                <w:sz w:val="13"/>
              </w:rPr>
              <w:t xml:space="preserve"> </w:t>
            </w:r>
            <w:r w:rsidRPr="00150EDC">
              <w:rPr>
                <w:w w:val="105"/>
                <w:sz w:val="13"/>
              </w:rPr>
              <w:t>the deadlines in the IDEA</w:t>
            </w:r>
            <w:r w:rsidRPr="00150EDC">
              <w:rPr>
                <w:spacing w:val="40"/>
                <w:w w:val="105"/>
                <w:sz w:val="13"/>
              </w:rPr>
              <w:t xml:space="preserve"> </w:t>
            </w:r>
            <w:r w:rsidRPr="00150EDC">
              <w:rPr>
                <w:w w:val="105"/>
                <w:sz w:val="13"/>
              </w:rPr>
              <w:t>delivery</w:t>
            </w:r>
            <w:r w:rsidRPr="00150EDC">
              <w:rPr>
                <w:spacing w:val="-2"/>
                <w:w w:val="105"/>
                <w:sz w:val="13"/>
              </w:rPr>
              <w:t xml:space="preserve"> </w:t>
            </w:r>
            <w:r w:rsidRPr="00150EDC">
              <w:rPr>
                <w:w w:val="105"/>
                <w:sz w:val="13"/>
              </w:rPr>
              <w:t>plan</w:t>
            </w:r>
          </w:p>
          <w:p w14:paraId="08A894F7" w14:textId="77777777" w:rsidR="004C7180" w:rsidRPr="00150EDC" w:rsidRDefault="004C7180">
            <w:pPr>
              <w:pStyle w:val="TableParagraph"/>
              <w:spacing w:before="9" w:line="240" w:lineRule="auto"/>
              <w:ind w:left="0"/>
              <w:rPr>
                <w:sz w:val="13"/>
              </w:rPr>
            </w:pPr>
          </w:p>
          <w:p w14:paraId="46677690" w14:textId="77777777" w:rsidR="004C7180" w:rsidRPr="00150EDC" w:rsidRDefault="00CF0754">
            <w:pPr>
              <w:pStyle w:val="TableParagraph"/>
              <w:spacing w:before="0" w:line="249" w:lineRule="auto"/>
              <w:ind w:left="81" w:right="70"/>
              <w:jc w:val="both"/>
              <w:rPr>
                <w:sz w:val="13"/>
              </w:rPr>
            </w:pPr>
            <w:r w:rsidRPr="00150EDC">
              <w:rPr>
                <w:b/>
                <w:spacing w:val="-2"/>
                <w:w w:val="105"/>
                <w:sz w:val="13"/>
              </w:rPr>
              <w:t>Inadequate</w:t>
            </w:r>
            <w:r w:rsidRPr="00150EDC">
              <w:rPr>
                <w:spacing w:val="-2"/>
                <w:w w:val="105"/>
                <w:sz w:val="13"/>
              </w:rPr>
              <w:t>: Supplier achieves</w:t>
            </w:r>
            <w:r w:rsidRPr="00150EDC">
              <w:rPr>
                <w:spacing w:val="40"/>
                <w:w w:val="105"/>
                <w:sz w:val="13"/>
              </w:rPr>
              <w:t xml:space="preserve"> </w:t>
            </w:r>
            <w:r w:rsidRPr="00150EDC">
              <w:rPr>
                <w:w w:val="105"/>
                <w:sz w:val="13"/>
              </w:rPr>
              <w:t>less</w:t>
            </w:r>
            <w:r w:rsidRPr="00150EDC">
              <w:rPr>
                <w:spacing w:val="-7"/>
                <w:w w:val="105"/>
                <w:sz w:val="13"/>
              </w:rPr>
              <w:t xml:space="preserve"> </w:t>
            </w:r>
            <w:r w:rsidRPr="00150EDC">
              <w:rPr>
                <w:w w:val="105"/>
                <w:sz w:val="13"/>
              </w:rPr>
              <w:t>than</w:t>
            </w:r>
            <w:r w:rsidRPr="00150EDC">
              <w:rPr>
                <w:spacing w:val="-7"/>
                <w:w w:val="105"/>
                <w:sz w:val="13"/>
              </w:rPr>
              <w:t xml:space="preserve"> </w:t>
            </w:r>
            <w:r w:rsidRPr="00150EDC">
              <w:rPr>
                <w:w w:val="105"/>
                <w:sz w:val="13"/>
              </w:rPr>
              <w:t>95%</w:t>
            </w:r>
            <w:r w:rsidRPr="00150EDC">
              <w:rPr>
                <w:spacing w:val="-7"/>
                <w:w w:val="105"/>
                <w:sz w:val="13"/>
              </w:rPr>
              <w:t xml:space="preserve"> </w:t>
            </w:r>
            <w:r w:rsidRPr="00150EDC">
              <w:rPr>
                <w:w w:val="105"/>
                <w:sz w:val="13"/>
              </w:rPr>
              <w:t>of</w:t>
            </w:r>
            <w:r w:rsidRPr="00150EDC">
              <w:rPr>
                <w:spacing w:val="-9"/>
                <w:w w:val="105"/>
                <w:sz w:val="13"/>
              </w:rPr>
              <w:t xml:space="preserve"> </w:t>
            </w:r>
            <w:r w:rsidRPr="00150EDC">
              <w:rPr>
                <w:w w:val="105"/>
                <w:sz w:val="13"/>
              </w:rPr>
              <w:t>the</w:t>
            </w:r>
            <w:r w:rsidRPr="00150EDC">
              <w:rPr>
                <w:spacing w:val="-9"/>
                <w:w w:val="105"/>
                <w:sz w:val="13"/>
              </w:rPr>
              <w:t xml:space="preserve"> </w:t>
            </w:r>
            <w:r w:rsidRPr="00150EDC">
              <w:rPr>
                <w:w w:val="105"/>
                <w:sz w:val="13"/>
              </w:rPr>
              <w:t>deadlines</w:t>
            </w:r>
            <w:r w:rsidRPr="00150EDC">
              <w:rPr>
                <w:spacing w:val="40"/>
                <w:w w:val="105"/>
                <w:sz w:val="13"/>
              </w:rPr>
              <w:t xml:space="preserve"> </w:t>
            </w:r>
            <w:r w:rsidRPr="00150EDC">
              <w:rPr>
                <w:w w:val="105"/>
                <w:sz w:val="13"/>
              </w:rPr>
              <w:t>in the IDEA delivery plan</w:t>
            </w:r>
          </w:p>
        </w:tc>
        <w:tc>
          <w:tcPr>
            <w:tcW w:w="1493" w:type="dxa"/>
          </w:tcPr>
          <w:p w14:paraId="0A3C39F3" w14:textId="77777777" w:rsidR="004C7180" w:rsidRPr="00150EDC" w:rsidRDefault="00CF0754">
            <w:pPr>
              <w:pStyle w:val="TableParagraph"/>
              <w:spacing w:before="4" w:line="252" w:lineRule="auto"/>
              <w:ind w:left="82" w:right="109"/>
              <w:rPr>
                <w:sz w:val="13"/>
              </w:rPr>
            </w:pPr>
            <w:r w:rsidRPr="00150EDC">
              <w:rPr>
                <w:w w:val="105"/>
                <w:sz w:val="13"/>
              </w:rPr>
              <w:t>Supplier to be rated</w:t>
            </w:r>
            <w:r w:rsidRPr="00150EDC">
              <w:rPr>
                <w:spacing w:val="40"/>
                <w:w w:val="105"/>
                <w:sz w:val="13"/>
              </w:rPr>
              <w:t xml:space="preserve"> </w:t>
            </w:r>
            <w:r w:rsidRPr="00150EDC">
              <w:rPr>
                <w:w w:val="105"/>
                <w:sz w:val="13"/>
              </w:rPr>
              <w:t>as ‘Good’ or</w:t>
            </w:r>
            <w:r w:rsidRPr="00150EDC">
              <w:rPr>
                <w:spacing w:val="40"/>
                <w:w w:val="105"/>
                <w:sz w:val="13"/>
              </w:rPr>
              <w:t xml:space="preserve"> </w:t>
            </w:r>
            <w:r w:rsidRPr="00150EDC">
              <w:rPr>
                <w:spacing w:val="-2"/>
                <w:w w:val="105"/>
                <w:sz w:val="13"/>
              </w:rPr>
              <w:t>‘Approaching</w:t>
            </w:r>
            <w:r w:rsidRPr="00150EDC">
              <w:rPr>
                <w:spacing w:val="-7"/>
                <w:w w:val="105"/>
                <w:sz w:val="13"/>
              </w:rPr>
              <w:t xml:space="preserve"> </w:t>
            </w:r>
            <w:r w:rsidRPr="00150EDC">
              <w:rPr>
                <w:spacing w:val="-2"/>
                <w:w w:val="105"/>
                <w:sz w:val="13"/>
              </w:rPr>
              <w:t>Target’</w:t>
            </w:r>
          </w:p>
        </w:tc>
      </w:tr>
      <w:tr w:rsidR="004569EE" w:rsidRPr="007D3144" w14:paraId="7926C285" w14:textId="77777777">
        <w:trPr>
          <w:trHeight w:val="778"/>
        </w:trPr>
        <w:tc>
          <w:tcPr>
            <w:tcW w:w="1175" w:type="dxa"/>
            <w:tcBorders>
              <w:left w:val="single" w:sz="8" w:space="0" w:color="000000"/>
            </w:tcBorders>
            <w:shd w:val="clear" w:color="auto" w:fill="F1F1F1"/>
          </w:tcPr>
          <w:p w14:paraId="4AA79F10" w14:textId="77777777" w:rsidR="004C7180" w:rsidRPr="00150EDC" w:rsidRDefault="00CF0754">
            <w:pPr>
              <w:pStyle w:val="TableParagraph"/>
              <w:spacing w:before="4" w:line="249" w:lineRule="auto"/>
              <w:ind w:left="79" w:right="13"/>
              <w:rPr>
                <w:b/>
                <w:sz w:val="13"/>
              </w:rPr>
            </w:pPr>
            <w:r w:rsidRPr="00150EDC">
              <w:rPr>
                <w:b/>
                <w:spacing w:val="-2"/>
                <w:w w:val="105"/>
                <w:sz w:val="13"/>
              </w:rPr>
              <w:t>Responsive-</w:t>
            </w:r>
            <w:r w:rsidRPr="00150EDC">
              <w:rPr>
                <w:b/>
                <w:spacing w:val="40"/>
                <w:w w:val="105"/>
                <w:sz w:val="13"/>
              </w:rPr>
              <w:t xml:space="preserve"> </w:t>
            </w:r>
            <w:r w:rsidRPr="00150EDC">
              <w:rPr>
                <w:b/>
                <w:spacing w:val="-4"/>
                <w:w w:val="105"/>
                <w:sz w:val="13"/>
              </w:rPr>
              <w:t>ness</w:t>
            </w:r>
          </w:p>
        </w:tc>
        <w:tc>
          <w:tcPr>
            <w:tcW w:w="3202" w:type="dxa"/>
          </w:tcPr>
          <w:p w14:paraId="1B8E0F18" w14:textId="77777777" w:rsidR="004C7180" w:rsidRPr="00150EDC" w:rsidRDefault="00CF0754">
            <w:pPr>
              <w:pStyle w:val="TableParagraph"/>
              <w:spacing w:before="4" w:line="249" w:lineRule="auto"/>
              <w:ind w:left="82" w:right="59"/>
              <w:rPr>
                <w:i/>
                <w:sz w:val="13"/>
              </w:rPr>
            </w:pPr>
            <w:r w:rsidRPr="00150EDC">
              <w:rPr>
                <w:w w:val="105"/>
                <w:sz w:val="13"/>
              </w:rPr>
              <w:t>Supplier ensures they respond to requests from</w:t>
            </w:r>
            <w:r w:rsidRPr="00150EDC">
              <w:rPr>
                <w:spacing w:val="40"/>
                <w:w w:val="105"/>
                <w:sz w:val="13"/>
              </w:rPr>
              <w:t xml:space="preserve"> </w:t>
            </w:r>
            <w:r w:rsidRPr="00150EDC">
              <w:rPr>
                <w:w w:val="105"/>
                <w:sz w:val="13"/>
              </w:rPr>
              <w:t>the</w:t>
            </w:r>
            <w:r w:rsidRPr="007D3144">
              <w:rPr>
                <w:w w:val="105"/>
                <w:sz w:val="13"/>
                <w:u w:val="single" w:color="0078D3"/>
              </w:rPr>
              <w:t xml:space="preserve"> Buyer, the</w:t>
            </w:r>
            <w:r w:rsidRPr="007D3144">
              <w:rPr>
                <w:w w:val="105"/>
                <w:sz w:val="13"/>
              </w:rPr>
              <w:t xml:space="preserve"> </w:t>
            </w:r>
            <w:r w:rsidRPr="00150EDC">
              <w:rPr>
                <w:w w:val="105"/>
                <w:sz w:val="13"/>
              </w:rPr>
              <w:t>Products Supplier(s) and the</w:t>
            </w:r>
            <w:r w:rsidRPr="00150EDC">
              <w:rPr>
                <w:spacing w:val="40"/>
                <w:w w:val="105"/>
                <w:sz w:val="13"/>
              </w:rPr>
              <w:t xml:space="preserve"> </w:t>
            </w:r>
            <w:r w:rsidRPr="00150EDC">
              <w:rPr>
                <w:w w:val="105"/>
                <w:sz w:val="13"/>
              </w:rPr>
              <w:t>Evaluation</w:t>
            </w:r>
            <w:r w:rsidRPr="00150EDC">
              <w:rPr>
                <w:spacing w:val="-2"/>
                <w:w w:val="105"/>
                <w:sz w:val="13"/>
              </w:rPr>
              <w:t xml:space="preserve"> </w:t>
            </w:r>
            <w:r w:rsidRPr="00150EDC">
              <w:rPr>
                <w:w w:val="105"/>
                <w:sz w:val="13"/>
              </w:rPr>
              <w:t>Supplier</w:t>
            </w:r>
            <w:r w:rsidRPr="00150EDC">
              <w:rPr>
                <w:spacing w:val="-3"/>
                <w:w w:val="105"/>
                <w:sz w:val="13"/>
              </w:rPr>
              <w:t xml:space="preserve"> </w:t>
            </w:r>
            <w:r w:rsidRPr="00150EDC">
              <w:rPr>
                <w:w w:val="105"/>
                <w:sz w:val="13"/>
              </w:rPr>
              <w:t>within</w:t>
            </w:r>
            <w:r w:rsidRPr="00150EDC">
              <w:rPr>
                <w:spacing w:val="-4"/>
                <w:w w:val="105"/>
                <w:sz w:val="13"/>
              </w:rPr>
              <w:t xml:space="preserve"> </w:t>
            </w:r>
            <w:r w:rsidRPr="00150EDC">
              <w:rPr>
                <w:w w:val="105"/>
                <w:sz w:val="13"/>
              </w:rPr>
              <w:t>5</w:t>
            </w:r>
            <w:r w:rsidRPr="00150EDC">
              <w:rPr>
                <w:spacing w:val="-2"/>
                <w:w w:val="105"/>
                <w:sz w:val="13"/>
              </w:rPr>
              <w:t xml:space="preserve"> </w:t>
            </w:r>
            <w:r w:rsidRPr="00150EDC">
              <w:rPr>
                <w:w w:val="105"/>
                <w:sz w:val="13"/>
              </w:rPr>
              <w:t>working</w:t>
            </w:r>
            <w:r w:rsidRPr="00150EDC">
              <w:rPr>
                <w:spacing w:val="-2"/>
                <w:w w:val="105"/>
                <w:sz w:val="13"/>
              </w:rPr>
              <w:t xml:space="preserve"> </w:t>
            </w:r>
            <w:r w:rsidRPr="00150EDC">
              <w:rPr>
                <w:w w:val="105"/>
                <w:sz w:val="13"/>
              </w:rPr>
              <w:t>days</w:t>
            </w:r>
            <w:r w:rsidRPr="00150EDC">
              <w:rPr>
                <w:spacing w:val="-4"/>
                <w:w w:val="105"/>
                <w:sz w:val="13"/>
              </w:rPr>
              <w:t xml:space="preserve"> </w:t>
            </w:r>
            <w:r w:rsidRPr="00150EDC">
              <w:rPr>
                <w:w w:val="105"/>
                <w:sz w:val="13"/>
              </w:rPr>
              <w:t>of</w:t>
            </w:r>
            <w:r w:rsidRPr="00150EDC">
              <w:rPr>
                <w:spacing w:val="-2"/>
                <w:w w:val="105"/>
                <w:sz w:val="13"/>
              </w:rPr>
              <w:t xml:space="preserve"> </w:t>
            </w:r>
            <w:r w:rsidRPr="00150EDC">
              <w:rPr>
                <w:w w:val="105"/>
                <w:sz w:val="13"/>
              </w:rPr>
              <w:t>them</w:t>
            </w:r>
            <w:r w:rsidRPr="00150EDC">
              <w:rPr>
                <w:spacing w:val="40"/>
                <w:w w:val="105"/>
                <w:sz w:val="13"/>
              </w:rPr>
              <w:t xml:space="preserve"> </w:t>
            </w:r>
            <w:r w:rsidRPr="00150EDC">
              <w:rPr>
                <w:w w:val="105"/>
                <w:sz w:val="13"/>
              </w:rPr>
              <w:t>being</w:t>
            </w:r>
            <w:r w:rsidRPr="00150EDC">
              <w:rPr>
                <w:spacing w:val="-9"/>
                <w:w w:val="105"/>
                <w:sz w:val="13"/>
              </w:rPr>
              <w:t xml:space="preserve"> </w:t>
            </w:r>
            <w:r w:rsidRPr="00150EDC">
              <w:rPr>
                <w:w w:val="105"/>
                <w:sz w:val="13"/>
              </w:rPr>
              <w:t>made</w:t>
            </w:r>
            <w:r w:rsidRPr="00150EDC">
              <w:rPr>
                <w:spacing w:val="-7"/>
                <w:w w:val="105"/>
                <w:sz w:val="13"/>
              </w:rPr>
              <w:t xml:space="preserve"> </w:t>
            </w:r>
            <w:r w:rsidRPr="00150EDC">
              <w:rPr>
                <w:w w:val="105"/>
                <w:sz w:val="13"/>
              </w:rPr>
              <w:t>(</w:t>
            </w:r>
            <w:r w:rsidRPr="00150EDC">
              <w:rPr>
                <w:i/>
                <w:w w:val="105"/>
                <w:sz w:val="13"/>
              </w:rPr>
              <w:t>NB</w:t>
            </w:r>
            <w:r w:rsidRPr="00150EDC">
              <w:rPr>
                <w:i/>
                <w:spacing w:val="-8"/>
                <w:w w:val="105"/>
                <w:sz w:val="13"/>
              </w:rPr>
              <w:t xml:space="preserve"> </w:t>
            </w:r>
            <w:r w:rsidRPr="00150EDC">
              <w:rPr>
                <w:i/>
                <w:w w:val="105"/>
                <w:sz w:val="13"/>
              </w:rPr>
              <w:t>a</w:t>
            </w:r>
            <w:r w:rsidRPr="00150EDC">
              <w:rPr>
                <w:i/>
                <w:spacing w:val="-9"/>
                <w:w w:val="105"/>
                <w:sz w:val="13"/>
              </w:rPr>
              <w:t xml:space="preserve"> </w:t>
            </w:r>
            <w:r w:rsidRPr="00150EDC">
              <w:rPr>
                <w:i/>
                <w:w w:val="105"/>
                <w:sz w:val="13"/>
              </w:rPr>
              <w:t>response</w:t>
            </w:r>
            <w:r w:rsidRPr="00150EDC">
              <w:rPr>
                <w:i/>
                <w:spacing w:val="-9"/>
                <w:w w:val="105"/>
                <w:sz w:val="13"/>
              </w:rPr>
              <w:t xml:space="preserve"> </w:t>
            </w:r>
            <w:r w:rsidRPr="00150EDC">
              <w:rPr>
                <w:i/>
                <w:w w:val="105"/>
                <w:sz w:val="13"/>
              </w:rPr>
              <w:t>includes</w:t>
            </w:r>
            <w:r w:rsidRPr="00150EDC">
              <w:rPr>
                <w:i/>
                <w:spacing w:val="-9"/>
                <w:w w:val="105"/>
                <w:sz w:val="13"/>
              </w:rPr>
              <w:t xml:space="preserve"> </w:t>
            </w:r>
            <w:r w:rsidRPr="00150EDC">
              <w:rPr>
                <w:i/>
                <w:w w:val="105"/>
                <w:sz w:val="13"/>
              </w:rPr>
              <w:t>escalation</w:t>
            </w:r>
            <w:r w:rsidRPr="00150EDC">
              <w:rPr>
                <w:i/>
                <w:spacing w:val="-7"/>
                <w:w w:val="105"/>
                <w:sz w:val="13"/>
              </w:rPr>
              <w:t xml:space="preserve"> </w:t>
            </w:r>
            <w:r w:rsidRPr="00150EDC">
              <w:rPr>
                <w:i/>
                <w:w w:val="105"/>
                <w:sz w:val="13"/>
              </w:rPr>
              <w:t>to</w:t>
            </w:r>
          </w:p>
        </w:tc>
        <w:tc>
          <w:tcPr>
            <w:tcW w:w="2030" w:type="dxa"/>
          </w:tcPr>
          <w:p w14:paraId="33E5BCDF" w14:textId="77777777" w:rsidR="004C7180" w:rsidRPr="00150EDC" w:rsidRDefault="00CF0754">
            <w:pPr>
              <w:pStyle w:val="TableParagraph"/>
              <w:spacing w:before="4" w:line="249" w:lineRule="auto"/>
              <w:ind w:left="82"/>
              <w:rPr>
                <w:sz w:val="13"/>
              </w:rPr>
            </w:pPr>
            <w:r w:rsidRPr="00150EDC">
              <w:rPr>
                <w:b/>
                <w:w w:val="105"/>
                <w:sz w:val="13"/>
              </w:rPr>
              <w:t>Good</w:t>
            </w:r>
            <w:r w:rsidRPr="00150EDC">
              <w:rPr>
                <w:w w:val="105"/>
                <w:sz w:val="13"/>
              </w:rPr>
              <w:t>:</w:t>
            </w:r>
            <w:r w:rsidRPr="00150EDC">
              <w:rPr>
                <w:spacing w:val="-10"/>
                <w:w w:val="105"/>
                <w:sz w:val="13"/>
              </w:rPr>
              <w:t xml:space="preserve"> </w:t>
            </w:r>
            <w:r w:rsidRPr="00150EDC">
              <w:rPr>
                <w:w w:val="105"/>
                <w:sz w:val="13"/>
              </w:rPr>
              <w:t>Supplier</w:t>
            </w:r>
            <w:r w:rsidRPr="00150EDC">
              <w:rPr>
                <w:spacing w:val="-9"/>
                <w:w w:val="105"/>
                <w:sz w:val="13"/>
              </w:rPr>
              <w:t xml:space="preserve"> </w:t>
            </w:r>
            <w:r w:rsidRPr="00150EDC">
              <w:rPr>
                <w:w w:val="105"/>
                <w:sz w:val="13"/>
              </w:rPr>
              <w:t>responds</w:t>
            </w:r>
            <w:r w:rsidRPr="00150EDC">
              <w:rPr>
                <w:spacing w:val="-10"/>
                <w:w w:val="105"/>
                <w:sz w:val="13"/>
              </w:rPr>
              <w:t xml:space="preserve"> </w:t>
            </w:r>
            <w:r w:rsidRPr="00150EDC">
              <w:rPr>
                <w:w w:val="105"/>
                <w:sz w:val="13"/>
              </w:rPr>
              <w:t>to</w:t>
            </w:r>
            <w:r w:rsidRPr="00150EDC">
              <w:rPr>
                <w:spacing w:val="40"/>
                <w:w w:val="105"/>
                <w:sz w:val="13"/>
              </w:rPr>
              <w:t xml:space="preserve"> </w:t>
            </w:r>
            <w:r w:rsidRPr="00150EDC">
              <w:rPr>
                <w:w w:val="105"/>
                <w:sz w:val="13"/>
              </w:rPr>
              <w:t>100% of requests within 5</w:t>
            </w:r>
            <w:r w:rsidRPr="00150EDC">
              <w:rPr>
                <w:spacing w:val="40"/>
                <w:w w:val="105"/>
                <w:sz w:val="13"/>
              </w:rPr>
              <w:t xml:space="preserve"> </w:t>
            </w:r>
            <w:r w:rsidRPr="00150EDC">
              <w:rPr>
                <w:w w:val="105"/>
                <w:sz w:val="13"/>
              </w:rPr>
              <w:t>working days of a request</w:t>
            </w:r>
          </w:p>
        </w:tc>
        <w:tc>
          <w:tcPr>
            <w:tcW w:w="1493" w:type="dxa"/>
          </w:tcPr>
          <w:p w14:paraId="0F8B96D9" w14:textId="77777777" w:rsidR="004C7180" w:rsidRPr="00150EDC" w:rsidRDefault="00CF0754">
            <w:pPr>
              <w:pStyle w:val="TableParagraph"/>
              <w:spacing w:before="4" w:line="249" w:lineRule="auto"/>
              <w:ind w:left="82" w:right="109" w:firstLine="37"/>
              <w:rPr>
                <w:sz w:val="13"/>
              </w:rPr>
            </w:pPr>
            <w:r w:rsidRPr="00150EDC">
              <w:rPr>
                <w:w w:val="105"/>
                <w:sz w:val="13"/>
              </w:rPr>
              <w:t>Supplier</w:t>
            </w:r>
            <w:r w:rsidRPr="00150EDC">
              <w:rPr>
                <w:spacing w:val="-6"/>
                <w:w w:val="105"/>
                <w:sz w:val="13"/>
              </w:rPr>
              <w:t xml:space="preserve"> </w:t>
            </w:r>
            <w:r w:rsidRPr="00150EDC">
              <w:rPr>
                <w:w w:val="105"/>
                <w:sz w:val="13"/>
              </w:rPr>
              <w:t>to</w:t>
            </w:r>
            <w:r w:rsidRPr="00150EDC">
              <w:rPr>
                <w:spacing w:val="-5"/>
                <w:w w:val="105"/>
                <w:sz w:val="13"/>
              </w:rPr>
              <w:t xml:space="preserve"> </w:t>
            </w:r>
            <w:r w:rsidRPr="00150EDC">
              <w:rPr>
                <w:w w:val="105"/>
                <w:sz w:val="13"/>
              </w:rPr>
              <w:t>be</w:t>
            </w:r>
            <w:r w:rsidRPr="00150EDC">
              <w:rPr>
                <w:spacing w:val="-5"/>
                <w:w w:val="105"/>
                <w:sz w:val="13"/>
              </w:rPr>
              <w:t xml:space="preserve"> </w:t>
            </w:r>
            <w:r w:rsidRPr="00150EDC">
              <w:rPr>
                <w:w w:val="105"/>
                <w:sz w:val="13"/>
              </w:rPr>
              <w:t>rated</w:t>
            </w:r>
            <w:r w:rsidRPr="00150EDC">
              <w:rPr>
                <w:spacing w:val="40"/>
                <w:w w:val="105"/>
                <w:sz w:val="13"/>
              </w:rPr>
              <w:t xml:space="preserve"> </w:t>
            </w:r>
            <w:r w:rsidRPr="00150EDC">
              <w:rPr>
                <w:w w:val="105"/>
                <w:sz w:val="13"/>
              </w:rPr>
              <w:t>as ‘Good’ or</w:t>
            </w:r>
            <w:r w:rsidRPr="00150EDC">
              <w:rPr>
                <w:spacing w:val="40"/>
                <w:w w:val="105"/>
                <w:sz w:val="13"/>
              </w:rPr>
              <w:t xml:space="preserve"> </w:t>
            </w:r>
            <w:r w:rsidRPr="00150EDC">
              <w:rPr>
                <w:spacing w:val="-2"/>
                <w:w w:val="105"/>
                <w:sz w:val="13"/>
              </w:rPr>
              <w:t>‘Approaching</w:t>
            </w:r>
            <w:r w:rsidRPr="00150EDC">
              <w:rPr>
                <w:spacing w:val="-7"/>
                <w:w w:val="105"/>
                <w:sz w:val="13"/>
              </w:rPr>
              <w:t xml:space="preserve"> </w:t>
            </w:r>
            <w:r w:rsidRPr="00150EDC">
              <w:rPr>
                <w:spacing w:val="-2"/>
                <w:w w:val="105"/>
                <w:sz w:val="13"/>
              </w:rPr>
              <w:t>Target’</w:t>
            </w:r>
            <w:r w:rsidRPr="00150EDC">
              <w:rPr>
                <w:spacing w:val="40"/>
                <w:w w:val="105"/>
                <w:sz w:val="13"/>
              </w:rPr>
              <w:t xml:space="preserve"> </w:t>
            </w:r>
            <w:r w:rsidRPr="00150EDC">
              <w:rPr>
                <w:w w:val="105"/>
                <w:sz w:val="13"/>
              </w:rPr>
              <w:t>on both measures</w:t>
            </w:r>
          </w:p>
        </w:tc>
      </w:tr>
    </w:tbl>
    <w:p w14:paraId="5F01514A" w14:textId="77777777" w:rsidR="004C7180" w:rsidRPr="00150EDC" w:rsidRDefault="004C7180">
      <w:pPr>
        <w:spacing w:line="249" w:lineRule="auto"/>
        <w:rPr>
          <w:sz w:val="13"/>
        </w:rPr>
        <w:sectPr w:rsidR="004C7180" w:rsidRPr="00150EDC">
          <w:pgSz w:w="11910" w:h="16840"/>
          <w:pgMar w:top="2940" w:right="0" w:bottom="3120" w:left="40" w:header="2612" w:footer="2929" w:gutter="0"/>
          <w:cols w:space="720"/>
        </w:sectPr>
      </w:pPr>
    </w:p>
    <w:p w14:paraId="50987027" w14:textId="62D5D315" w:rsidR="004C7180" w:rsidRPr="00150EDC" w:rsidRDefault="004C7180">
      <w:pPr>
        <w:pStyle w:val="BodyText"/>
        <w:spacing w:before="4"/>
        <w:rPr>
          <w:sz w:val="17"/>
        </w:rPr>
      </w:pPr>
    </w:p>
    <w:p w14:paraId="03137412" w14:textId="77777777" w:rsidR="004C7180" w:rsidRPr="00150EDC" w:rsidRDefault="004C7180">
      <w:pPr>
        <w:rPr>
          <w:sz w:val="17"/>
        </w:rPr>
        <w:sectPr w:rsidR="004C7180" w:rsidRPr="00150EDC">
          <w:pgSz w:w="11910" w:h="16840"/>
          <w:pgMar w:top="2940" w:right="0" w:bottom="3120" w:left="40" w:header="2612" w:footer="2929" w:gutter="0"/>
          <w:cols w:space="720"/>
        </w:sectPr>
      </w:pPr>
    </w:p>
    <w:p w14:paraId="1C58793C" w14:textId="2421E828" w:rsidR="004C7180" w:rsidRPr="00150EDC" w:rsidRDefault="004C7180">
      <w:pPr>
        <w:pStyle w:val="BodyText"/>
        <w:rPr>
          <w:sz w:val="20"/>
        </w:rPr>
      </w:pPr>
    </w:p>
    <w:p w14:paraId="092FAA1A" w14:textId="77777777" w:rsidR="004C7180" w:rsidRPr="00150EDC" w:rsidRDefault="004C7180">
      <w:pPr>
        <w:pStyle w:val="BodyText"/>
        <w:spacing w:before="9"/>
        <w:rPr>
          <w:sz w:val="16"/>
        </w:rPr>
      </w:pPr>
    </w:p>
    <w:p w14:paraId="049D4D83" w14:textId="77777777" w:rsidR="004C7180" w:rsidRPr="00150EDC" w:rsidRDefault="00CF0754">
      <w:pPr>
        <w:pStyle w:val="Heading3"/>
      </w:pPr>
      <w:bookmarkStart w:id="52" w:name="DPS_Order_Schedule_15_-_Order_Contract_M"/>
      <w:bookmarkEnd w:id="52"/>
      <w:r w:rsidRPr="00150EDC">
        <w:t>Order</w:t>
      </w:r>
      <w:r w:rsidRPr="00150EDC">
        <w:rPr>
          <w:spacing w:val="-4"/>
        </w:rPr>
        <w:t xml:space="preserve"> </w:t>
      </w:r>
      <w:r w:rsidRPr="00150EDC">
        <w:t>Schedule</w:t>
      </w:r>
      <w:r w:rsidRPr="00150EDC">
        <w:rPr>
          <w:spacing w:val="-2"/>
        </w:rPr>
        <w:t xml:space="preserve"> </w:t>
      </w:r>
      <w:r w:rsidRPr="00150EDC">
        <w:t>15</w:t>
      </w:r>
      <w:r w:rsidRPr="00150EDC">
        <w:rPr>
          <w:spacing w:val="-2"/>
        </w:rPr>
        <w:t xml:space="preserve"> </w:t>
      </w:r>
      <w:r w:rsidRPr="00150EDC">
        <w:t>(Order</w:t>
      </w:r>
      <w:r w:rsidRPr="00150EDC">
        <w:rPr>
          <w:spacing w:val="-2"/>
        </w:rPr>
        <w:t xml:space="preserve"> </w:t>
      </w:r>
      <w:r w:rsidRPr="00150EDC">
        <w:t>Contract</w:t>
      </w:r>
      <w:r w:rsidRPr="00150EDC">
        <w:rPr>
          <w:spacing w:val="-1"/>
        </w:rPr>
        <w:t xml:space="preserve"> </w:t>
      </w:r>
      <w:r w:rsidRPr="00150EDC">
        <w:rPr>
          <w:spacing w:val="-2"/>
        </w:rPr>
        <w:t>Management)</w:t>
      </w:r>
    </w:p>
    <w:p w14:paraId="21B3588F" w14:textId="77777777" w:rsidR="004C7180" w:rsidRPr="00150EDC" w:rsidRDefault="004C7180">
      <w:pPr>
        <w:pStyle w:val="BodyText"/>
        <w:spacing w:before="8"/>
        <w:rPr>
          <w:b/>
          <w:sz w:val="31"/>
        </w:rPr>
      </w:pPr>
    </w:p>
    <w:p w14:paraId="785921BD" w14:textId="77777777" w:rsidR="004C7180" w:rsidRPr="00150EDC" w:rsidRDefault="00CF0754">
      <w:pPr>
        <w:pStyle w:val="ListParagraph"/>
        <w:numPr>
          <w:ilvl w:val="0"/>
          <w:numId w:val="36"/>
        </w:numPr>
        <w:tabs>
          <w:tab w:val="left" w:pos="1300"/>
        </w:tabs>
        <w:ind w:left="1300" w:hanging="256"/>
        <w:jc w:val="left"/>
        <w:rPr>
          <w:b/>
          <w:sz w:val="18"/>
        </w:rPr>
      </w:pPr>
      <w:bookmarkStart w:id="53" w:name="1.____Definitions"/>
      <w:bookmarkEnd w:id="53"/>
      <w:r w:rsidRPr="00150EDC">
        <w:rPr>
          <w:b/>
          <w:spacing w:val="-2"/>
          <w:sz w:val="18"/>
        </w:rPr>
        <w:t>Definitions</w:t>
      </w:r>
    </w:p>
    <w:p w14:paraId="0E704DEB" w14:textId="77777777" w:rsidR="004C7180" w:rsidRPr="00150EDC" w:rsidRDefault="004C7180">
      <w:pPr>
        <w:pStyle w:val="BodyText"/>
        <w:spacing w:before="8"/>
        <w:rPr>
          <w:b/>
          <w:sz w:val="23"/>
        </w:rPr>
      </w:pPr>
    </w:p>
    <w:p w14:paraId="0569E666" w14:textId="77777777" w:rsidR="004C7180" w:rsidRPr="00150EDC" w:rsidRDefault="00CF0754">
      <w:pPr>
        <w:pStyle w:val="ListParagraph"/>
        <w:numPr>
          <w:ilvl w:val="1"/>
          <w:numId w:val="36"/>
        </w:numPr>
        <w:tabs>
          <w:tab w:val="left" w:pos="1377"/>
        </w:tabs>
        <w:ind w:right="4017" w:firstLine="0"/>
        <w:rPr>
          <w:sz w:val="18"/>
        </w:rPr>
      </w:pPr>
      <w:bookmarkStart w:id="54" w:name="1.1__In_this_Schedule,_the_following_wor"/>
      <w:bookmarkEnd w:id="54"/>
      <w:r w:rsidRPr="00150EDC">
        <w:rPr>
          <w:sz w:val="18"/>
        </w:rPr>
        <w:t>In this Schedule, the following words shall have the following meanings and they shall supplement Joint Schedule 1 (Definitions):</w:t>
      </w:r>
    </w:p>
    <w:p w14:paraId="4AB8891B" w14:textId="77777777" w:rsidR="004C7180" w:rsidRPr="00150EDC" w:rsidRDefault="00CF0754">
      <w:pPr>
        <w:tabs>
          <w:tab w:val="left" w:pos="3476"/>
        </w:tabs>
        <w:spacing w:before="61" w:line="278" w:lineRule="auto"/>
        <w:ind w:left="3747" w:right="3935" w:hanging="2340"/>
        <w:rPr>
          <w:sz w:val="18"/>
        </w:rPr>
      </w:pPr>
      <w:r w:rsidRPr="00150EDC">
        <w:rPr>
          <w:b/>
          <w:sz w:val="18"/>
        </w:rPr>
        <w:t>"Operational Board"</w:t>
      </w:r>
      <w:r w:rsidRPr="00150EDC">
        <w:rPr>
          <w:b/>
          <w:sz w:val="18"/>
        </w:rPr>
        <w:tab/>
      </w:r>
      <w:r w:rsidRPr="00150EDC">
        <w:rPr>
          <w:sz w:val="18"/>
        </w:rPr>
        <w:t>the</w:t>
      </w:r>
      <w:r w:rsidRPr="00150EDC">
        <w:rPr>
          <w:spacing w:val="-4"/>
          <w:sz w:val="18"/>
        </w:rPr>
        <w:t xml:space="preserve"> </w:t>
      </w:r>
      <w:r w:rsidRPr="00150EDC">
        <w:rPr>
          <w:sz w:val="18"/>
        </w:rPr>
        <w:t>board</w:t>
      </w:r>
      <w:r w:rsidRPr="00150EDC">
        <w:rPr>
          <w:spacing w:val="-4"/>
          <w:sz w:val="18"/>
        </w:rPr>
        <w:t xml:space="preserve"> </w:t>
      </w:r>
      <w:r w:rsidRPr="00150EDC">
        <w:rPr>
          <w:sz w:val="18"/>
        </w:rPr>
        <w:t>established</w:t>
      </w:r>
      <w:r w:rsidRPr="00150EDC">
        <w:rPr>
          <w:spacing w:val="-2"/>
          <w:sz w:val="18"/>
        </w:rPr>
        <w:t xml:space="preserve"> </w:t>
      </w:r>
      <w:r w:rsidRPr="00150EDC">
        <w:rPr>
          <w:sz w:val="18"/>
        </w:rPr>
        <w:t>in</w:t>
      </w:r>
      <w:r w:rsidRPr="00150EDC">
        <w:rPr>
          <w:spacing w:val="-2"/>
          <w:sz w:val="18"/>
        </w:rPr>
        <w:t xml:space="preserve"> </w:t>
      </w:r>
      <w:r w:rsidRPr="00150EDC">
        <w:rPr>
          <w:sz w:val="18"/>
        </w:rPr>
        <w:t>accordance</w:t>
      </w:r>
      <w:r w:rsidRPr="00150EDC">
        <w:rPr>
          <w:spacing w:val="-2"/>
          <w:sz w:val="18"/>
        </w:rPr>
        <w:t xml:space="preserve"> </w:t>
      </w:r>
      <w:r w:rsidRPr="00150EDC">
        <w:rPr>
          <w:sz w:val="18"/>
        </w:rPr>
        <w:t>with</w:t>
      </w:r>
      <w:r w:rsidRPr="00150EDC">
        <w:rPr>
          <w:spacing w:val="-4"/>
          <w:sz w:val="18"/>
        </w:rPr>
        <w:t xml:space="preserve"> </w:t>
      </w:r>
      <w:r w:rsidRPr="00150EDC">
        <w:rPr>
          <w:sz w:val="18"/>
        </w:rPr>
        <w:t>paragraph</w:t>
      </w:r>
      <w:r w:rsidRPr="00150EDC">
        <w:rPr>
          <w:spacing w:val="-2"/>
          <w:sz w:val="18"/>
        </w:rPr>
        <w:t xml:space="preserve"> </w:t>
      </w:r>
      <w:r w:rsidRPr="00150EDC">
        <w:rPr>
          <w:sz w:val="18"/>
        </w:rPr>
        <w:t>4.1 of this Schedule; and</w:t>
      </w:r>
    </w:p>
    <w:p w14:paraId="2470B78A" w14:textId="77777777" w:rsidR="004C7180" w:rsidRPr="00150EDC" w:rsidRDefault="00CF0754">
      <w:pPr>
        <w:tabs>
          <w:tab w:val="left" w:pos="3476"/>
        </w:tabs>
        <w:spacing w:line="206" w:lineRule="exact"/>
        <w:ind w:left="1408"/>
        <w:rPr>
          <w:sz w:val="18"/>
        </w:rPr>
      </w:pPr>
      <w:r w:rsidRPr="00150EDC">
        <w:rPr>
          <w:b/>
          <w:sz w:val="18"/>
        </w:rPr>
        <w:t>"Project</w:t>
      </w:r>
      <w:r w:rsidRPr="00150EDC">
        <w:rPr>
          <w:b/>
          <w:spacing w:val="-2"/>
          <w:sz w:val="18"/>
        </w:rPr>
        <w:t xml:space="preserve"> Manager"</w:t>
      </w:r>
      <w:r w:rsidRPr="00150EDC">
        <w:rPr>
          <w:b/>
          <w:sz w:val="18"/>
        </w:rPr>
        <w:tab/>
      </w:r>
      <w:r w:rsidRPr="00150EDC">
        <w:rPr>
          <w:sz w:val="18"/>
        </w:rPr>
        <w:t>the</w:t>
      </w:r>
      <w:r w:rsidRPr="00150EDC">
        <w:rPr>
          <w:spacing w:val="-6"/>
          <w:sz w:val="18"/>
        </w:rPr>
        <w:t xml:space="preserve"> </w:t>
      </w:r>
      <w:r w:rsidRPr="00150EDC">
        <w:rPr>
          <w:sz w:val="18"/>
        </w:rPr>
        <w:t>manager</w:t>
      </w:r>
      <w:r w:rsidRPr="00150EDC">
        <w:rPr>
          <w:spacing w:val="-3"/>
          <w:sz w:val="18"/>
        </w:rPr>
        <w:t xml:space="preserve"> </w:t>
      </w:r>
      <w:r w:rsidRPr="00150EDC">
        <w:rPr>
          <w:sz w:val="18"/>
        </w:rPr>
        <w:t>appointed</w:t>
      </w:r>
      <w:r w:rsidRPr="00150EDC">
        <w:rPr>
          <w:spacing w:val="-2"/>
          <w:sz w:val="18"/>
        </w:rPr>
        <w:t xml:space="preserve"> </w:t>
      </w:r>
      <w:r w:rsidRPr="00150EDC">
        <w:rPr>
          <w:sz w:val="18"/>
        </w:rPr>
        <w:t>in</w:t>
      </w:r>
      <w:r w:rsidRPr="00150EDC">
        <w:rPr>
          <w:spacing w:val="-3"/>
          <w:sz w:val="18"/>
        </w:rPr>
        <w:t xml:space="preserve"> </w:t>
      </w:r>
      <w:r w:rsidRPr="00150EDC">
        <w:rPr>
          <w:sz w:val="18"/>
        </w:rPr>
        <w:t>accordance</w:t>
      </w:r>
      <w:r w:rsidRPr="00150EDC">
        <w:rPr>
          <w:spacing w:val="-2"/>
          <w:sz w:val="18"/>
        </w:rPr>
        <w:t xml:space="preserve"> </w:t>
      </w:r>
      <w:r w:rsidRPr="00150EDC">
        <w:rPr>
          <w:sz w:val="18"/>
        </w:rPr>
        <w:t>with</w:t>
      </w:r>
      <w:r w:rsidRPr="00150EDC">
        <w:rPr>
          <w:spacing w:val="-3"/>
          <w:sz w:val="18"/>
        </w:rPr>
        <w:t xml:space="preserve"> </w:t>
      </w:r>
      <w:r w:rsidRPr="00150EDC">
        <w:rPr>
          <w:spacing w:val="-2"/>
          <w:sz w:val="18"/>
        </w:rPr>
        <w:t>paragraph</w:t>
      </w:r>
    </w:p>
    <w:p w14:paraId="133DDDBC" w14:textId="77777777" w:rsidR="004C7180" w:rsidRPr="00150EDC" w:rsidRDefault="00CF0754">
      <w:pPr>
        <w:spacing w:before="32"/>
        <w:ind w:left="3747"/>
        <w:rPr>
          <w:sz w:val="18"/>
        </w:rPr>
      </w:pPr>
      <w:r w:rsidRPr="00150EDC">
        <w:rPr>
          <w:sz w:val="18"/>
        </w:rPr>
        <w:t>2.1</w:t>
      </w:r>
      <w:r w:rsidRPr="00150EDC">
        <w:rPr>
          <w:spacing w:val="-2"/>
          <w:sz w:val="18"/>
        </w:rPr>
        <w:t xml:space="preserve"> </w:t>
      </w:r>
      <w:r w:rsidRPr="00150EDC">
        <w:rPr>
          <w:sz w:val="18"/>
        </w:rPr>
        <w:t>of this</w:t>
      </w:r>
      <w:r w:rsidRPr="00150EDC">
        <w:rPr>
          <w:spacing w:val="-1"/>
          <w:sz w:val="18"/>
        </w:rPr>
        <w:t xml:space="preserve"> </w:t>
      </w:r>
      <w:r w:rsidRPr="00150EDC">
        <w:rPr>
          <w:spacing w:val="-2"/>
          <w:sz w:val="18"/>
        </w:rPr>
        <w:t>Schedule;-</w:t>
      </w:r>
    </w:p>
    <w:p w14:paraId="47703C67" w14:textId="77777777" w:rsidR="004C7180" w:rsidRPr="00150EDC" w:rsidRDefault="004C7180">
      <w:pPr>
        <w:pStyle w:val="BodyText"/>
        <w:rPr>
          <w:sz w:val="20"/>
        </w:rPr>
      </w:pPr>
    </w:p>
    <w:p w14:paraId="37CA23B8" w14:textId="77777777" w:rsidR="004C7180" w:rsidRPr="00150EDC" w:rsidRDefault="004C7180">
      <w:pPr>
        <w:pStyle w:val="BodyText"/>
        <w:rPr>
          <w:sz w:val="20"/>
        </w:rPr>
      </w:pPr>
    </w:p>
    <w:p w14:paraId="60C91DB0" w14:textId="77777777" w:rsidR="004C7180" w:rsidRPr="00150EDC" w:rsidRDefault="00CF0754">
      <w:pPr>
        <w:pStyle w:val="ListParagraph"/>
        <w:numPr>
          <w:ilvl w:val="0"/>
          <w:numId w:val="36"/>
        </w:numPr>
        <w:tabs>
          <w:tab w:val="left" w:pos="1299"/>
        </w:tabs>
        <w:spacing w:before="132"/>
        <w:ind w:left="1299" w:hanging="255"/>
        <w:jc w:val="left"/>
        <w:rPr>
          <w:b/>
          <w:sz w:val="18"/>
        </w:rPr>
      </w:pPr>
      <w:bookmarkStart w:id="55" w:name="2.____Project_Management"/>
      <w:bookmarkEnd w:id="55"/>
      <w:r w:rsidRPr="00150EDC">
        <w:rPr>
          <w:b/>
          <w:sz w:val="18"/>
        </w:rPr>
        <w:t>Project</w:t>
      </w:r>
      <w:r w:rsidRPr="00150EDC">
        <w:rPr>
          <w:b/>
          <w:spacing w:val="-3"/>
          <w:sz w:val="18"/>
        </w:rPr>
        <w:t xml:space="preserve"> </w:t>
      </w:r>
      <w:r w:rsidRPr="00150EDC">
        <w:rPr>
          <w:b/>
          <w:spacing w:val="-2"/>
          <w:sz w:val="18"/>
        </w:rPr>
        <w:t>Management</w:t>
      </w:r>
    </w:p>
    <w:p w14:paraId="1E84CC98" w14:textId="77777777" w:rsidR="004C7180" w:rsidRPr="00150EDC" w:rsidRDefault="004C7180">
      <w:pPr>
        <w:pStyle w:val="BodyText"/>
        <w:spacing w:before="8"/>
        <w:rPr>
          <w:b/>
          <w:sz w:val="23"/>
        </w:rPr>
      </w:pPr>
    </w:p>
    <w:p w14:paraId="67A9AD05" w14:textId="77777777" w:rsidR="004C7180" w:rsidRPr="00150EDC" w:rsidRDefault="00CF0754">
      <w:pPr>
        <w:pStyle w:val="ListParagraph"/>
        <w:numPr>
          <w:ilvl w:val="1"/>
          <w:numId w:val="36"/>
        </w:numPr>
        <w:tabs>
          <w:tab w:val="left" w:pos="1366"/>
        </w:tabs>
        <w:ind w:right="4017" w:firstLine="0"/>
        <w:jc w:val="both"/>
        <w:rPr>
          <w:sz w:val="18"/>
        </w:rPr>
      </w:pPr>
      <w:bookmarkStart w:id="56" w:name="2.1__The_Supplier_and_the_Buyer_shall_ea"/>
      <w:bookmarkEnd w:id="56"/>
      <w:r w:rsidRPr="00150EDC">
        <w:rPr>
          <w:sz w:val="18"/>
        </w:rPr>
        <w:t>The</w:t>
      </w:r>
      <w:r w:rsidRPr="00150EDC">
        <w:rPr>
          <w:spacing w:val="-5"/>
          <w:sz w:val="18"/>
        </w:rPr>
        <w:t xml:space="preserve"> </w:t>
      </w:r>
      <w:r w:rsidRPr="00150EDC">
        <w:rPr>
          <w:sz w:val="18"/>
        </w:rPr>
        <w:t>Supplier</w:t>
      </w:r>
      <w:r w:rsidRPr="00150EDC">
        <w:rPr>
          <w:spacing w:val="-6"/>
          <w:sz w:val="18"/>
        </w:rPr>
        <w:t xml:space="preserve"> </w:t>
      </w:r>
      <w:r w:rsidRPr="00150EDC">
        <w:rPr>
          <w:sz w:val="18"/>
        </w:rPr>
        <w:t>and</w:t>
      </w:r>
      <w:r w:rsidRPr="00150EDC">
        <w:rPr>
          <w:spacing w:val="-5"/>
          <w:sz w:val="18"/>
        </w:rPr>
        <w:t xml:space="preserve"> </w:t>
      </w:r>
      <w:r w:rsidRPr="00150EDC">
        <w:rPr>
          <w:sz w:val="18"/>
        </w:rPr>
        <w:t>the</w:t>
      </w:r>
      <w:r w:rsidRPr="00150EDC">
        <w:rPr>
          <w:spacing w:val="-5"/>
          <w:sz w:val="18"/>
        </w:rPr>
        <w:t xml:space="preserve"> </w:t>
      </w:r>
      <w:r w:rsidRPr="00150EDC">
        <w:rPr>
          <w:sz w:val="18"/>
        </w:rPr>
        <w:t>Buyer</w:t>
      </w:r>
      <w:r w:rsidRPr="00150EDC">
        <w:rPr>
          <w:spacing w:val="-6"/>
          <w:sz w:val="18"/>
        </w:rPr>
        <w:t xml:space="preserve"> </w:t>
      </w:r>
      <w:r w:rsidRPr="00150EDC">
        <w:rPr>
          <w:sz w:val="18"/>
        </w:rPr>
        <w:t>shall</w:t>
      </w:r>
      <w:r w:rsidRPr="00150EDC">
        <w:rPr>
          <w:spacing w:val="-4"/>
          <w:sz w:val="18"/>
        </w:rPr>
        <w:t xml:space="preserve"> </w:t>
      </w:r>
      <w:r w:rsidRPr="00150EDC">
        <w:rPr>
          <w:sz w:val="18"/>
        </w:rPr>
        <w:t>each</w:t>
      </w:r>
      <w:r w:rsidRPr="00150EDC">
        <w:rPr>
          <w:spacing w:val="-5"/>
          <w:sz w:val="18"/>
        </w:rPr>
        <w:t xml:space="preserve"> </w:t>
      </w:r>
      <w:r w:rsidRPr="00150EDC">
        <w:rPr>
          <w:sz w:val="18"/>
        </w:rPr>
        <w:t>appoint</w:t>
      </w:r>
      <w:r w:rsidRPr="00150EDC">
        <w:rPr>
          <w:spacing w:val="-5"/>
          <w:sz w:val="18"/>
        </w:rPr>
        <w:t xml:space="preserve"> </w:t>
      </w:r>
      <w:r w:rsidRPr="00150EDC">
        <w:rPr>
          <w:sz w:val="18"/>
        </w:rPr>
        <w:t>a</w:t>
      </w:r>
      <w:r w:rsidRPr="00150EDC">
        <w:rPr>
          <w:spacing w:val="-5"/>
          <w:sz w:val="18"/>
        </w:rPr>
        <w:t xml:space="preserve"> </w:t>
      </w:r>
      <w:r w:rsidRPr="00150EDC">
        <w:rPr>
          <w:sz w:val="18"/>
        </w:rPr>
        <w:t>Project/Contract</w:t>
      </w:r>
      <w:r w:rsidRPr="00150EDC">
        <w:rPr>
          <w:spacing w:val="-3"/>
          <w:sz w:val="18"/>
        </w:rPr>
        <w:t xml:space="preserve"> </w:t>
      </w:r>
      <w:r w:rsidRPr="00150EDC">
        <w:rPr>
          <w:sz w:val="18"/>
        </w:rPr>
        <w:t>Manager</w:t>
      </w:r>
      <w:r w:rsidRPr="00150EDC">
        <w:rPr>
          <w:spacing w:val="-6"/>
          <w:sz w:val="18"/>
        </w:rPr>
        <w:t xml:space="preserve"> </w:t>
      </w:r>
      <w:r w:rsidRPr="00150EDC">
        <w:rPr>
          <w:sz w:val="18"/>
        </w:rPr>
        <w:t>for</w:t>
      </w:r>
      <w:r w:rsidRPr="00150EDC">
        <w:rPr>
          <w:spacing w:val="-6"/>
          <w:sz w:val="18"/>
        </w:rPr>
        <w:t xml:space="preserve"> </w:t>
      </w:r>
      <w:r w:rsidRPr="00150EDC">
        <w:rPr>
          <w:sz w:val="18"/>
        </w:rPr>
        <w:t>the purposes of this Contract through whom the provision of the Services and the Deliverables shall be managed day-to-day.</w:t>
      </w:r>
    </w:p>
    <w:p w14:paraId="735F95CB" w14:textId="77777777" w:rsidR="004C7180" w:rsidRPr="00150EDC" w:rsidRDefault="004C7180">
      <w:pPr>
        <w:pStyle w:val="BodyText"/>
        <w:spacing w:before="9"/>
        <w:rPr>
          <w:sz w:val="23"/>
        </w:rPr>
      </w:pPr>
    </w:p>
    <w:p w14:paraId="35028C0D" w14:textId="77777777" w:rsidR="004C7180" w:rsidRPr="00150EDC" w:rsidRDefault="00CF0754">
      <w:pPr>
        <w:pStyle w:val="ListParagraph"/>
        <w:numPr>
          <w:ilvl w:val="1"/>
          <w:numId w:val="36"/>
        </w:numPr>
        <w:tabs>
          <w:tab w:val="left" w:pos="1371"/>
        </w:tabs>
        <w:spacing w:before="1"/>
        <w:ind w:right="4016" w:firstLine="0"/>
        <w:jc w:val="both"/>
        <w:rPr>
          <w:sz w:val="18"/>
        </w:rPr>
      </w:pPr>
      <w:bookmarkStart w:id="57" w:name="2.2__The_Parties_shall_ensure_that_appro"/>
      <w:bookmarkEnd w:id="57"/>
      <w:r w:rsidRPr="00150EDC">
        <w:rPr>
          <w:sz w:val="18"/>
        </w:rPr>
        <w:t>The</w:t>
      </w:r>
      <w:r w:rsidRPr="00150EDC">
        <w:rPr>
          <w:spacing w:val="-1"/>
          <w:sz w:val="18"/>
        </w:rPr>
        <w:t xml:space="preserve"> </w:t>
      </w:r>
      <w:r w:rsidRPr="00150EDC">
        <w:rPr>
          <w:sz w:val="18"/>
        </w:rPr>
        <w:t>Parties</w:t>
      </w:r>
      <w:r w:rsidRPr="00150EDC">
        <w:rPr>
          <w:spacing w:val="-2"/>
          <w:sz w:val="18"/>
        </w:rPr>
        <w:t xml:space="preserve"> </w:t>
      </w:r>
      <w:r w:rsidRPr="00150EDC">
        <w:rPr>
          <w:sz w:val="18"/>
        </w:rPr>
        <w:t>shall ensure</w:t>
      </w:r>
      <w:r w:rsidRPr="00150EDC">
        <w:rPr>
          <w:spacing w:val="-1"/>
          <w:sz w:val="18"/>
        </w:rPr>
        <w:t xml:space="preserve"> </w:t>
      </w:r>
      <w:r w:rsidRPr="00150EDC">
        <w:rPr>
          <w:sz w:val="18"/>
        </w:rPr>
        <w:t>that</w:t>
      </w:r>
      <w:r w:rsidRPr="00150EDC">
        <w:rPr>
          <w:spacing w:val="-1"/>
          <w:sz w:val="18"/>
        </w:rPr>
        <w:t xml:space="preserve"> </w:t>
      </w:r>
      <w:r w:rsidRPr="00150EDC">
        <w:rPr>
          <w:sz w:val="18"/>
        </w:rPr>
        <w:t>appropriate</w:t>
      </w:r>
      <w:r w:rsidRPr="00150EDC">
        <w:rPr>
          <w:spacing w:val="-3"/>
          <w:sz w:val="18"/>
        </w:rPr>
        <w:t xml:space="preserve"> </w:t>
      </w:r>
      <w:r w:rsidRPr="00150EDC">
        <w:rPr>
          <w:sz w:val="18"/>
        </w:rPr>
        <w:t>resource</w:t>
      </w:r>
      <w:r w:rsidRPr="00150EDC">
        <w:rPr>
          <w:spacing w:val="-1"/>
          <w:sz w:val="18"/>
        </w:rPr>
        <w:t xml:space="preserve"> </w:t>
      </w:r>
      <w:r w:rsidRPr="00150EDC">
        <w:rPr>
          <w:sz w:val="18"/>
        </w:rPr>
        <w:t>is</w:t>
      </w:r>
      <w:r w:rsidRPr="00150EDC">
        <w:rPr>
          <w:spacing w:val="-2"/>
          <w:sz w:val="18"/>
        </w:rPr>
        <w:t xml:space="preserve"> </w:t>
      </w:r>
      <w:r w:rsidRPr="00150EDC">
        <w:rPr>
          <w:sz w:val="18"/>
        </w:rPr>
        <w:t>made</w:t>
      </w:r>
      <w:r w:rsidRPr="00150EDC">
        <w:rPr>
          <w:spacing w:val="-1"/>
          <w:sz w:val="18"/>
        </w:rPr>
        <w:t xml:space="preserve"> </w:t>
      </w:r>
      <w:r w:rsidRPr="00150EDC">
        <w:rPr>
          <w:sz w:val="18"/>
        </w:rPr>
        <w:t>available</w:t>
      </w:r>
      <w:r w:rsidRPr="00150EDC">
        <w:rPr>
          <w:spacing w:val="-1"/>
          <w:sz w:val="18"/>
        </w:rPr>
        <w:t xml:space="preserve"> </w:t>
      </w:r>
      <w:r w:rsidRPr="00150EDC">
        <w:rPr>
          <w:sz w:val="18"/>
        </w:rPr>
        <w:t>on</w:t>
      </w:r>
      <w:r w:rsidRPr="00150EDC">
        <w:rPr>
          <w:spacing w:val="-1"/>
          <w:sz w:val="18"/>
        </w:rPr>
        <w:t xml:space="preserve"> </w:t>
      </w:r>
      <w:r w:rsidRPr="00150EDC">
        <w:rPr>
          <w:sz w:val="18"/>
        </w:rPr>
        <w:t>a</w:t>
      </w:r>
      <w:r w:rsidRPr="00150EDC">
        <w:rPr>
          <w:spacing w:val="-1"/>
          <w:sz w:val="18"/>
        </w:rPr>
        <w:t xml:space="preserve"> </w:t>
      </w:r>
      <w:r w:rsidRPr="00150EDC">
        <w:rPr>
          <w:sz w:val="18"/>
        </w:rPr>
        <w:t>regular basis such that the aims, objectives, and specific provisions of this Contract can be fully realised.</w:t>
      </w:r>
    </w:p>
    <w:p w14:paraId="3DC39994" w14:textId="77777777" w:rsidR="004C7180" w:rsidRPr="00150EDC" w:rsidRDefault="00CF0754">
      <w:pPr>
        <w:pStyle w:val="ListParagraph"/>
        <w:numPr>
          <w:ilvl w:val="0"/>
          <w:numId w:val="36"/>
        </w:numPr>
        <w:tabs>
          <w:tab w:val="left" w:pos="1585"/>
        </w:tabs>
        <w:spacing w:before="64"/>
        <w:ind w:left="1585" w:hanging="269"/>
        <w:jc w:val="both"/>
        <w:rPr>
          <w:sz w:val="18"/>
        </w:rPr>
      </w:pPr>
      <w:r w:rsidRPr="00150EDC">
        <w:rPr>
          <w:sz w:val="18"/>
        </w:rPr>
        <w:t>Role</w:t>
      </w:r>
      <w:r w:rsidRPr="00150EDC">
        <w:rPr>
          <w:spacing w:val="-2"/>
          <w:sz w:val="18"/>
        </w:rPr>
        <w:t xml:space="preserve"> </w:t>
      </w:r>
      <w:r w:rsidRPr="00150EDC">
        <w:rPr>
          <w:sz w:val="18"/>
        </w:rPr>
        <w:t>of</w:t>
      </w:r>
      <w:r w:rsidRPr="00150EDC">
        <w:rPr>
          <w:spacing w:val="-2"/>
          <w:sz w:val="18"/>
        </w:rPr>
        <w:t xml:space="preserve"> </w:t>
      </w:r>
      <w:r w:rsidRPr="00150EDC">
        <w:rPr>
          <w:sz w:val="18"/>
        </w:rPr>
        <w:t>the</w:t>
      </w:r>
      <w:r w:rsidRPr="00150EDC">
        <w:rPr>
          <w:spacing w:val="-3"/>
          <w:sz w:val="18"/>
        </w:rPr>
        <w:t xml:space="preserve"> </w:t>
      </w:r>
      <w:r w:rsidRPr="00150EDC">
        <w:rPr>
          <w:sz w:val="18"/>
        </w:rPr>
        <w:t>Supplier</w:t>
      </w:r>
      <w:r w:rsidRPr="00150EDC">
        <w:rPr>
          <w:spacing w:val="-2"/>
          <w:sz w:val="18"/>
        </w:rPr>
        <w:t xml:space="preserve"> </w:t>
      </w:r>
      <w:r w:rsidRPr="00150EDC">
        <w:rPr>
          <w:sz w:val="18"/>
        </w:rPr>
        <w:t>Contract</w:t>
      </w:r>
      <w:r w:rsidRPr="00150EDC">
        <w:rPr>
          <w:spacing w:val="-1"/>
          <w:sz w:val="18"/>
        </w:rPr>
        <w:t xml:space="preserve"> </w:t>
      </w:r>
      <w:r w:rsidRPr="00150EDC">
        <w:rPr>
          <w:spacing w:val="-2"/>
          <w:sz w:val="18"/>
        </w:rPr>
        <w:t>Manager</w:t>
      </w:r>
    </w:p>
    <w:p w14:paraId="13E787DA" w14:textId="77777777" w:rsidR="004C7180" w:rsidRPr="00150EDC" w:rsidRDefault="00CF0754">
      <w:pPr>
        <w:pStyle w:val="ListParagraph"/>
        <w:numPr>
          <w:ilvl w:val="0"/>
          <w:numId w:val="35"/>
        </w:numPr>
        <w:tabs>
          <w:tab w:val="left" w:pos="2127"/>
        </w:tabs>
        <w:spacing w:before="31"/>
        <w:ind w:left="2127" w:hanging="269"/>
        <w:jc w:val="both"/>
        <w:rPr>
          <w:sz w:val="18"/>
        </w:rPr>
      </w:pPr>
      <w:r w:rsidRPr="00150EDC">
        <w:rPr>
          <w:sz w:val="18"/>
        </w:rPr>
        <w:t>The</w:t>
      </w:r>
      <w:r w:rsidRPr="00150EDC">
        <w:rPr>
          <w:spacing w:val="-3"/>
          <w:sz w:val="18"/>
        </w:rPr>
        <w:t xml:space="preserve"> </w:t>
      </w:r>
      <w:r w:rsidRPr="00150EDC">
        <w:rPr>
          <w:sz w:val="18"/>
        </w:rPr>
        <w:t>Supplier's</w:t>
      </w:r>
      <w:r w:rsidRPr="00150EDC">
        <w:rPr>
          <w:spacing w:val="-4"/>
          <w:sz w:val="18"/>
        </w:rPr>
        <w:t xml:space="preserve"> </w:t>
      </w:r>
      <w:r w:rsidRPr="00150EDC">
        <w:rPr>
          <w:sz w:val="18"/>
        </w:rPr>
        <w:t>Contract</w:t>
      </w:r>
      <w:r w:rsidRPr="00150EDC">
        <w:rPr>
          <w:spacing w:val="-4"/>
          <w:sz w:val="18"/>
        </w:rPr>
        <w:t xml:space="preserve"> </w:t>
      </w:r>
      <w:r w:rsidRPr="00150EDC">
        <w:rPr>
          <w:sz w:val="18"/>
        </w:rPr>
        <w:t>Manager</w:t>
      </w:r>
      <w:r w:rsidRPr="00150EDC">
        <w:rPr>
          <w:spacing w:val="-4"/>
          <w:sz w:val="18"/>
        </w:rPr>
        <w:t xml:space="preserve"> </w:t>
      </w:r>
      <w:r w:rsidRPr="00150EDC">
        <w:rPr>
          <w:sz w:val="18"/>
        </w:rPr>
        <w:t>shall</w:t>
      </w:r>
      <w:r w:rsidRPr="00150EDC">
        <w:rPr>
          <w:spacing w:val="-3"/>
          <w:sz w:val="18"/>
        </w:rPr>
        <w:t xml:space="preserve"> </w:t>
      </w:r>
      <w:r w:rsidRPr="00150EDC">
        <w:rPr>
          <w:spacing w:val="-5"/>
          <w:sz w:val="18"/>
        </w:rPr>
        <w:t>be:</w:t>
      </w:r>
    </w:p>
    <w:p w14:paraId="34537BCE" w14:textId="77777777" w:rsidR="004C7180" w:rsidRPr="00150EDC" w:rsidRDefault="004C7180">
      <w:pPr>
        <w:pStyle w:val="BodyText"/>
        <w:spacing w:before="2"/>
        <w:rPr>
          <w:sz w:val="21"/>
        </w:rPr>
      </w:pPr>
    </w:p>
    <w:p w14:paraId="01C15DDD" w14:textId="77777777" w:rsidR="004C7180" w:rsidRPr="00150EDC" w:rsidRDefault="00CF0754">
      <w:pPr>
        <w:pStyle w:val="ListParagraph"/>
        <w:numPr>
          <w:ilvl w:val="2"/>
          <w:numId w:val="34"/>
        </w:numPr>
        <w:tabs>
          <w:tab w:val="left" w:pos="1878"/>
        </w:tabs>
        <w:ind w:right="4018" w:firstLine="0"/>
        <w:jc w:val="both"/>
        <w:rPr>
          <w:sz w:val="18"/>
        </w:rPr>
      </w:pPr>
      <w:bookmarkStart w:id="58" w:name="3.1.1______________the_primary_point_of_"/>
      <w:bookmarkEnd w:id="58"/>
      <w:r w:rsidRPr="00150EDC">
        <w:rPr>
          <w:sz w:val="18"/>
        </w:rPr>
        <w:t>the primary point of contact to receive communication from the Buyer and will also be the person primarily responsible for providing information to the Buyer;</w:t>
      </w:r>
    </w:p>
    <w:p w14:paraId="723A9A75" w14:textId="77777777" w:rsidR="004C7180" w:rsidRPr="00150EDC" w:rsidRDefault="004C7180">
      <w:pPr>
        <w:pStyle w:val="BodyText"/>
        <w:spacing w:before="5"/>
        <w:rPr>
          <w:sz w:val="18"/>
        </w:rPr>
      </w:pPr>
    </w:p>
    <w:p w14:paraId="4D447D08" w14:textId="77777777" w:rsidR="004C7180" w:rsidRPr="00150EDC" w:rsidRDefault="00CF0754">
      <w:pPr>
        <w:pStyle w:val="ListParagraph"/>
        <w:numPr>
          <w:ilvl w:val="2"/>
          <w:numId w:val="34"/>
        </w:numPr>
        <w:tabs>
          <w:tab w:val="left" w:pos="1990"/>
        </w:tabs>
        <w:ind w:right="4017" w:firstLine="0"/>
        <w:jc w:val="both"/>
        <w:rPr>
          <w:sz w:val="18"/>
        </w:rPr>
      </w:pPr>
      <w:bookmarkStart w:id="59" w:name="3.1.2______________able_to_delegate_his_"/>
      <w:bookmarkEnd w:id="59"/>
      <w:r w:rsidRPr="00150EDC">
        <w:rPr>
          <w:sz w:val="18"/>
        </w:rPr>
        <w:t>able to delegate his position to another suitably qualified person at the Supplier but must inform the Buyer in writing before proceeding with the delegation and it will be the delegated person's responsibility to fulfil the Contract Manager's responsibilities and obligations;</w:t>
      </w:r>
    </w:p>
    <w:p w14:paraId="577D767E" w14:textId="77777777" w:rsidR="004C7180" w:rsidRPr="00150EDC" w:rsidRDefault="004C7180">
      <w:pPr>
        <w:pStyle w:val="BodyText"/>
        <w:spacing w:before="8"/>
        <w:rPr>
          <w:sz w:val="18"/>
        </w:rPr>
      </w:pPr>
    </w:p>
    <w:p w14:paraId="0337B0C5" w14:textId="77777777" w:rsidR="004C7180" w:rsidRPr="00150EDC" w:rsidRDefault="00CF0754">
      <w:pPr>
        <w:pStyle w:val="ListParagraph"/>
        <w:numPr>
          <w:ilvl w:val="2"/>
          <w:numId w:val="34"/>
        </w:numPr>
        <w:tabs>
          <w:tab w:val="left" w:pos="1889"/>
        </w:tabs>
        <w:ind w:right="4019" w:firstLine="0"/>
        <w:jc w:val="both"/>
        <w:rPr>
          <w:sz w:val="18"/>
        </w:rPr>
      </w:pPr>
      <w:bookmarkStart w:id="60" w:name="3.1.3______________able_to_cancel_any_de"/>
      <w:bookmarkEnd w:id="60"/>
      <w:r w:rsidRPr="00150EDC">
        <w:rPr>
          <w:sz w:val="18"/>
        </w:rPr>
        <w:t>able to cancel any delegation and recommence the position themself and shall notify the Buyer in writing and</w:t>
      </w:r>
    </w:p>
    <w:p w14:paraId="0A8525C0" w14:textId="77777777" w:rsidR="004C7180" w:rsidRPr="00150EDC" w:rsidRDefault="004C7180">
      <w:pPr>
        <w:pStyle w:val="BodyText"/>
        <w:spacing w:before="5"/>
        <w:rPr>
          <w:sz w:val="18"/>
        </w:rPr>
      </w:pPr>
    </w:p>
    <w:p w14:paraId="3105E25D" w14:textId="77777777" w:rsidR="004C7180" w:rsidRPr="00150EDC" w:rsidRDefault="00CF0754">
      <w:pPr>
        <w:pStyle w:val="ListParagraph"/>
        <w:numPr>
          <w:ilvl w:val="2"/>
          <w:numId w:val="34"/>
        </w:numPr>
        <w:tabs>
          <w:tab w:val="left" w:pos="1862"/>
        </w:tabs>
        <w:spacing w:line="242" w:lineRule="auto"/>
        <w:ind w:right="4017" w:firstLine="0"/>
        <w:jc w:val="both"/>
        <w:rPr>
          <w:sz w:val="18"/>
        </w:rPr>
      </w:pPr>
      <w:bookmarkStart w:id="61" w:name="3.1.4______________replaced_by_another_s"/>
      <w:bookmarkEnd w:id="61"/>
      <w:r w:rsidRPr="00150EDC">
        <w:rPr>
          <w:sz w:val="18"/>
        </w:rPr>
        <w:t>replaced by another suitably qualified person as the supplier only after the Buyer has received written notification of the proposed change.</w:t>
      </w:r>
    </w:p>
    <w:p w14:paraId="49C9C951" w14:textId="77777777" w:rsidR="004C7180" w:rsidRPr="00150EDC" w:rsidRDefault="00CF0754">
      <w:pPr>
        <w:pStyle w:val="ListParagraph"/>
        <w:numPr>
          <w:ilvl w:val="0"/>
          <w:numId w:val="35"/>
        </w:numPr>
        <w:tabs>
          <w:tab w:val="left" w:pos="2126"/>
          <w:tab w:val="left" w:pos="2129"/>
        </w:tabs>
        <w:spacing w:before="59" w:line="276" w:lineRule="auto"/>
        <w:ind w:right="4193"/>
        <w:rPr>
          <w:sz w:val="18"/>
        </w:rPr>
      </w:pPr>
      <w:r w:rsidRPr="00150EDC">
        <w:rPr>
          <w:sz w:val="18"/>
        </w:rPr>
        <w:t>The Buyer</w:t>
      </w:r>
      <w:r w:rsidRPr="00150EDC">
        <w:rPr>
          <w:spacing w:val="-3"/>
          <w:sz w:val="18"/>
        </w:rPr>
        <w:t xml:space="preserve"> </w:t>
      </w:r>
      <w:r w:rsidRPr="00150EDC">
        <w:rPr>
          <w:sz w:val="18"/>
        </w:rPr>
        <w:t>may</w:t>
      </w:r>
      <w:r w:rsidRPr="00150EDC">
        <w:rPr>
          <w:spacing w:val="-3"/>
          <w:sz w:val="18"/>
        </w:rPr>
        <w:t xml:space="preserve"> </w:t>
      </w:r>
      <w:r w:rsidRPr="00150EDC">
        <w:rPr>
          <w:sz w:val="18"/>
        </w:rPr>
        <w:t>provide revised instructions</w:t>
      </w:r>
      <w:r w:rsidRPr="00150EDC">
        <w:rPr>
          <w:spacing w:val="-1"/>
          <w:sz w:val="18"/>
        </w:rPr>
        <w:t xml:space="preserve"> </w:t>
      </w:r>
      <w:r w:rsidRPr="00150EDC">
        <w:rPr>
          <w:sz w:val="18"/>
        </w:rPr>
        <w:t>to the Supplier's</w:t>
      </w:r>
      <w:r w:rsidRPr="00150EDC">
        <w:rPr>
          <w:spacing w:val="-1"/>
          <w:sz w:val="18"/>
        </w:rPr>
        <w:t xml:space="preserve"> </w:t>
      </w:r>
      <w:r w:rsidRPr="00150EDC">
        <w:rPr>
          <w:sz w:val="18"/>
        </w:rPr>
        <w:t>Contract Manager in regards to the Contract and it will be the Supplier's</w:t>
      </w:r>
    </w:p>
    <w:p w14:paraId="5D3CF437" w14:textId="77777777" w:rsidR="004C7180" w:rsidRPr="00150EDC" w:rsidRDefault="004C7180">
      <w:pPr>
        <w:pStyle w:val="BodyText"/>
        <w:rPr>
          <w:sz w:val="20"/>
        </w:rPr>
      </w:pPr>
    </w:p>
    <w:p w14:paraId="0671C497" w14:textId="77777777" w:rsidR="004C7180" w:rsidRPr="00150EDC" w:rsidRDefault="004C7180">
      <w:pPr>
        <w:pStyle w:val="BodyText"/>
        <w:rPr>
          <w:sz w:val="20"/>
        </w:rPr>
      </w:pPr>
    </w:p>
    <w:p w14:paraId="558F89D4" w14:textId="77777777" w:rsidR="004C7180" w:rsidRPr="00150EDC" w:rsidRDefault="004C7180">
      <w:pPr>
        <w:pStyle w:val="BodyText"/>
        <w:rPr>
          <w:sz w:val="20"/>
        </w:rPr>
      </w:pPr>
    </w:p>
    <w:p w14:paraId="7EA773F6" w14:textId="77777777" w:rsidR="004C7180" w:rsidRPr="00150EDC" w:rsidRDefault="004C7180">
      <w:pPr>
        <w:pStyle w:val="BodyText"/>
        <w:spacing w:before="10"/>
        <w:rPr>
          <w:sz w:val="26"/>
        </w:rPr>
      </w:pPr>
    </w:p>
    <w:p w14:paraId="79189E6C" w14:textId="77777777" w:rsidR="004C7180" w:rsidRPr="00150EDC" w:rsidRDefault="00CF0754">
      <w:pPr>
        <w:spacing w:before="95" w:line="172" w:lineRule="exact"/>
        <w:ind w:left="1044"/>
        <w:rPr>
          <w:sz w:val="15"/>
        </w:rPr>
      </w:pPr>
      <w:r w:rsidRPr="00150EDC">
        <w:rPr>
          <w:sz w:val="15"/>
        </w:rPr>
        <w:t>DPS</w:t>
      </w:r>
      <w:r w:rsidRPr="00150EDC">
        <w:rPr>
          <w:spacing w:val="-3"/>
          <w:sz w:val="15"/>
        </w:rPr>
        <w:t xml:space="preserve"> </w:t>
      </w:r>
      <w:r w:rsidRPr="00150EDC">
        <w:rPr>
          <w:sz w:val="15"/>
        </w:rPr>
        <w:t xml:space="preserve">Ref: </w:t>
      </w:r>
      <w:r w:rsidRPr="00150EDC">
        <w:rPr>
          <w:spacing w:val="-2"/>
          <w:sz w:val="15"/>
        </w:rPr>
        <w:t>RM6322</w:t>
      </w:r>
    </w:p>
    <w:p w14:paraId="40829164" w14:textId="77777777" w:rsidR="004C7180" w:rsidRPr="00150EDC" w:rsidRDefault="00CF0754">
      <w:pPr>
        <w:tabs>
          <w:tab w:val="right" w:pos="7844"/>
        </w:tabs>
        <w:spacing w:line="172" w:lineRule="exact"/>
        <w:ind w:left="1044"/>
        <w:rPr>
          <w:sz w:val="15"/>
        </w:rPr>
      </w:pPr>
      <w:r w:rsidRPr="00150EDC">
        <w:rPr>
          <w:noProof/>
          <w:lang w:val="en-GB" w:eastAsia="en-GB"/>
        </w:rPr>
        <mc:AlternateContent>
          <mc:Choice Requires="wps">
            <w:drawing>
              <wp:anchor distT="0" distB="0" distL="0" distR="0" simplePos="0" relativeHeight="251658262" behindDoc="1" locked="0" layoutInCell="1" allowOverlap="1" wp14:anchorId="22332287" wp14:editId="1EC049B8">
                <wp:simplePos x="0" y="0"/>
                <wp:positionH relativeFrom="page">
                  <wp:posOffset>4953965</wp:posOffset>
                </wp:positionH>
                <wp:positionV relativeFrom="paragraph">
                  <wp:posOffset>693</wp:posOffset>
                </wp:positionV>
                <wp:extent cx="53340" cy="109220"/>
                <wp:effectExtent l="0" t="0" r="0" b="0"/>
                <wp:wrapNone/>
                <wp:docPr id="198" name="Free-form: Shape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 cy="109220"/>
                        </a:xfrm>
                        <a:custGeom>
                          <a:avLst/>
                          <a:gdLst/>
                          <a:ahLst/>
                          <a:cxnLst/>
                          <a:rect l="l" t="t" r="r" b="b"/>
                          <a:pathLst>
                            <a:path w="53340" h="109220">
                              <a:moveTo>
                                <a:pt x="52806" y="0"/>
                              </a:moveTo>
                              <a:lnTo>
                                <a:pt x="0" y="0"/>
                              </a:lnTo>
                              <a:lnTo>
                                <a:pt x="0" y="109067"/>
                              </a:lnTo>
                              <a:lnTo>
                                <a:pt x="52806" y="109067"/>
                              </a:lnTo>
                              <a:lnTo>
                                <a:pt x="52806" y="0"/>
                              </a:lnTo>
                              <a:close/>
                            </a:path>
                          </a:pathLst>
                        </a:custGeom>
                        <a:solidFill>
                          <a:srgbClr val="E6E6E6"/>
                        </a:solidFill>
                      </wps:spPr>
                      <wps:bodyPr wrap="square" lIns="0" tIns="0" rIns="0" bIns="0" rtlCol="0">
                        <a:prstTxWarp prst="textNoShape">
                          <a:avLst/>
                        </a:prstTxWarp>
                        <a:noAutofit/>
                      </wps:bodyPr>
                    </wps:wsp>
                  </a:graphicData>
                </a:graphic>
              </wp:anchor>
            </w:drawing>
          </mc:Choice>
          <mc:Fallback>
            <w:pict>
              <v:shape w14:anchorId="315771FB" id="Free-form: Shape 198" o:spid="_x0000_s1026" style="position:absolute;margin-left:390.1pt;margin-top:.05pt;width:4.2pt;height:8.6pt;z-index:-251658218;visibility:visible;mso-wrap-style:square;mso-wrap-distance-left:0;mso-wrap-distance-top:0;mso-wrap-distance-right:0;mso-wrap-distance-bottom:0;mso-position-horizontal:absolute;mso-position-horizontal-relative:page;mso-position-vertical:absolute;mso-position-vertical-relative:text;v-text-anchor:top" coordsize="53340,109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" path="m52806,l,,,109067r52806,l52806,xe" fillcolor="#e6e6e6" stroked="f">
                <v:path arrowok="t"/>
                <w10:wrap anchorx="page"/>
              </v:shape>
            </w:pict>
          </mc:Fallback>
        </mc:AlternateContent>
      </w:r>
      <w:r w:rsidRPr="00150EDC">
        <w:rPr>
          <w:sz w:val="15"/>
        </w:rPr>
        <w:t>Project</w:t>
      </w:r>
      <w:r w:rsidRPr="00150EDC">
        <w:rPr>
          <w:spacing w:val="-4"/>
          <w:sz w:val="15"/>
        </w:rPr>
        <w:t xml:space="preserve"> </w:t>
      </w:r>
      <w:r w:rsidRPr="00150EDC">
        <w:rPr>
          <w:sz w:val="15"/>
        </w:rPr>
        <w:t>Version:</w:t>
      </w:r>
      <w:r w:rsidRPr="00150EDC">
        <w:rPr>
          <w:spacing w:val="-3"/>
          <w:sz w:val="15"/>
        </w:rPr>
        <w:t xml:space="preserve"> </w:t>
      </w:r>
      <w:r w:rsidRPr="00150EDC">
        <w:rPr>
          <w:spacing w:val="-4"/>
          <w:sz w:val="15"/>
        </w:rPr>
        <w:t>v1.0</w:t>
      </w:r>
      <w:r w:rsidRPr="00150EDC">
        <w:rPr>
          <w:sz w:val="15"/>
        </w:rPr>
        <w:tab/>
      </w:r>
      <w:r w:rsidRPr="007D3144">
        <w:rPr>
          <w:spacing w:val="-10"/>
          <w:sz w:val="15"/>
        </w:rPr>
        <w:t>1</w:t>
      </w:r>
    </w:p>
    <w:p w14:paraId="6C10826A" w14:textId="77777777" w:rsidR="004C7180" w:rsidRPr="00150EDC" w:rsidRDefault="004C7180">
      <w:pPr>
        <w:spacing w:line="172" w:lineRule="exact"/>
        <w:rPr>
          <w:sz w:val="15"/>
        </w:rPr>
        <w:sectPr w:rsidR="004C7180" w:rsidRPr="00150EDC">
          <w:headerReference w:type="default" r:id="rId93"/>
          <w:footerReference w:type="default" r:id="rId94"/>
          <w:pgSz w:w="11910" w:h="16850"/>
          <w:pgMar w:top="2940" w:right="0" w:bottom="2700" w:left="40" w:header="2612" w:footer="2510" w:gutter="0"/>
          <w:cols w:space="720"/>
        </w:sectPr>
      </w:pPr>
    </w:p>
    <w:p w14:paraId="50681B96" w14:textId="0AD95803" w:rsidR="004C7180" w:rsidRPr="00150EDC" w:rsidRDefault="004C7180">
      <w:pPr>
        <w:pStyle w:val="BodyText"/>
        <w:spacing w:before="10"/>
        <w:rPr>
          <w:sz w:val="17"/>
        </w:rPr>
      </w:pPr>
    </w:p>
    <w:p w14:paraId="44F725BB" w14:textId="77777777" w:rsidR="004C7180" w:rsidRPr="00150EDC" w:rsidRDefault="00CF0754">
      <w:pPr>
        <w:spacing w:line="276" w:lineRule="auto"/>
        <w:ind w:left="2129" w:right="4072"/>
        <w:rPr>
          <w:sz w:val="18"/>
        </w:rPr>
      </w:pPr>
      <w:r w:rsidRPr="00150EDC">
        <w:rPr>
          <w:sz w:val="18"/>
        </w:rPr>
        <w:t>Contract</w:t>
      </w:r>
      <w:r w:rsidRPr="00150EDC">
        <w:rPr>
          <w:spacing w:val="-1"/>
          <w:sz w:val="18"/>
        </w:rPr>
        <w:t xml:space="preserve"> </w:t>
      </w:r>
      <w:r w:rsidRPr="00150EDC">
        <w:rPr>
          <w:sz w:val="18"/>
        </w:rPr>
        <w:t>Manager's</w:t>
      </w:r>
      <w:r w:rsidRPr="00150EDC">
        <w:rPr>
          <w:spacing w:val="-2"/>
          <w:sz w:val="18"/>
        </w:rPr>
        <w:t xml:space="preserve"> </w:t>
      </w:r>
      <w:r w:rsidRPr="00150EDC">
        <w:rPr>
          <w:sz w:val="18"/>
        </w:rPr>
        <w:t>responsibility</w:t>
      </w:r>
      <w:r w:rsidRPr="00150EDC">
        <w:rPr>
          <w:spacing w:val="-2"/>
          <w:sz w:val="18"/>
        </w:rPr>
        <w:t xml:space="preserve"> </w:t>
      </w:r>
      <w:r w:rsidRPr="00150EDC">
        <w:rPr>
          <w:sz w:val="18"/>
        </w:rPr>
        <w:t>to</w:t>
      </w:r>
      <w:r w:rsidRPr="00150EDC">
        <w:rPr>
          <w:spacing w:val="-1"/>
          <w:sz w:val="18"/>
        </w:rPr>
        <w:t xml:space="preserve"> </w:t>
      </w:r>
      <w:r w:rsidRPr="00150EDC">
        <w:rPr>
          <w:sz w:val="18"/>
        </w:rPr>
        <w:t>ensure</w:t>
      </w:r>
      <w:r w:rsidRPr="00150EDC">
        <w:rPr>
          <w:spacing w:val="-3"/>
          <w:sz w:val="18"/>
        </w:rPr>
        <w:t xml:space="preserve"> </w:t>
      </w:r>
      <w:r w:rsidRPr="00150EDC">
        <w:rPr>
          <w:sz w:val="18"/>
        </w:rPr>
        <w:t>the</w:t>
      </w:r>
      <w:r w:rsidRPr="00150EDC">
        <w:rPr>
          <w:spacing w:val="-1"/>
          <w:sz w:val="18"/>
        </w:rPr>
        <w:t xml:space="preserve"> </w:t>
      </w:r>
      <w:r w:rsidRPr="00150EDC">
        <w:rPr>
          <w:sz w:val="18"/>
        </w:rPr>
        <w:t>information</w:t>
      </w:r>
      <w:r w:rsidRPr="00150EDC">
        <w:rPr>
          <w:spacing w:val="-1"/>
          <w:sz w:val="18"/>
        </w:rPr>
        <w:t xml:space="preserve"> </w:t>
      </w:r>
      <w:r w:rsidRPr="00150EDC">
        <w:rPr>
          <w:sz w:val="18"/>
        </w:rPr>
        <w:t>is</w:t>
      </w:r>
      <w:r w:rsidRPr="00150EDC">
        <w:rPr>
          <w:spacing w:val="-3"/>
          <w:sz w:val="18"/>
        </w:rPr>
        <w:t xml:space="preserve"> </w:t>
      </w:r>
      <w:r w:rsidRPr="00150EDC">
        <w:rPr>
          <w:sz w:val="18"/>
        </w:rPr>
        <w:t>provided to all Supplier staff and the actions implemented.</w:t>
      </w:r>
    </w:p>
    <w:p w14:paraId="586F4169" w14:textId="77777777" w:rsidR="004C7180" w:rsidRPr="00150EDC" w:rsidRDefault="00CF0754">
      <w:pPr>
        <w:pStyle w:val="ListParagraph"/>
        <w:numPr>
          <w:ilvl w:val="0"/>
          <w:numId w:val="35"/>
        </w:numPr>
        <w:tabs>
          <w:tab w:val="left" w:pos="2126"/>
          <w:tab w:val="left" w:pos="2129"/>
        </w:tabs>
        <w:spacing w:before="2" w:line="278" w:lineRule="auto"/>
        <w:ind w:right="4060"/>
        <w:rPr>
          <w:sz w:val="18"/>
        </w:rPr>
      </w:pPr>
      <w:r w:rsidRPr="00150EDC">
        <w:rPr>
          <w:sz w:val="18"/>
        </w:rPr>
        <w:t>Receipt</w:t>
      </w:r>
      <w:r w:rsidRPr="00150EDC">
        <w:rPr>
          <w:spacing w:val="-2"/>
          <w:sz w:val="18"/>
        </w:rPr>
        <w:t xml:space="preserve"> </w:t>
      </w:r>
      <w:r w:rsidRPr="00150EDC">
        <w:rPr>
          <w:sz w:val="18"/>
        </w:rPr>
        <w:t>of communication from the Supplier's</w:t>
      </w:r>
      <w:r w:rsidRPr="00150EDC">
        <w:rPr>
          <w:spacing w:val="-1"/>
          <w:sz w:val="18"/>
        </w:rPr>
        <w:t xml:space="preserve"> </w:t>
      </w:r>
      <w:r w:rsidRPr="00150EDC">
        <w:rPr>
          <w:sz w:val="18"/>
        </w:rPr>
        <w:t>Contract Manager</w:t>
      </w:r>
      <w:r w:rsidRPr="00150EDC">
        <w:rPr>
          <w:spacing w:val="-1"/>
          <w:sz w:val="18"/>
        </w:rPr>
        <w:t xml:space="preserve"> </w:t>
      </w:r>
      <w:r w:rsidRPr="00150EDC">
        <w:rPr>
          <w:sz w:val="18"/>
        </w:rPr>
        <w:t>by</w:t>
      </w:r>
      <w:r w:rsidRPr="00150EDC">
        <w:rPr>
          <w:spacing w:val="-3"/>
          <w:sz w:val="18"/>
        </w:rPr>
        <w:t xml:space="preserve"> </w:t>
      </w:r>
      <w:r w:rsidRPr="00150EDC">
        <w:rPr>
          <w:sz w:val="18"/>
        </w:rPr>
        <w:t>the Buyer does not absolve the Supplier from its responsibilities, obligations, or liabilities under the Contract.</w:t>
      </w:r>
    </w:p>
    <w:p w14:paraId="3F2D481D" w14:textId="77777777" w:rsidR="004C7180" w:rsidRPr="00150EDC" w:rsidRDefault="00CF0754">
      <w:pPr>
        <w:pStyle w:val="ListParagraph"/>
        <w:numPr>
          <w:ilvl w:val="0"/>
          <w:numId w:val="35"/>
        </w:numPr>
        <w:tabs>
          <w:tab w:val="left" w:pos="2126"/>
          <w:tab w:val="left" w:pos="2129"/>
        </w:tabs>
        <w:spacing w:line="276" w:lineRule="auto"/>
        <w:ind w:right="4022"/>
        <w:rPr>
          <w:sz w:val="18"/>
        </w:rPr>
      </w:pPr>
      <w:r w:rsidRPr="00150EDC">
        <w:rPr>
          <w:sz w:val="18"/>
        </w:rPr>
        <w:t>The supplier’s</w:t>
      </w:r>
      <w:r w:rsidRPr="00150EDC">
        <w:rPr>
          <w:spacing w:val="-1"/>
          <w:sz w:val="18"/>
        </w:rPr>
        <w:t xml:space="preserve"> </w:t>
      </w:r>
      <w:r w:rsidRPr="00150EDC">
        <w:rPr>
          <w:sz w:val="18"/>
        </w:rPr>
        <w:t>Contract</w:t>
      </w:r>
      <w:r w:rsidRPr="00150EDC">
        <w:rPr>
          <w:spacing w:val="-1"/>
          <w:sz w:val="18"/>
        </w:rPr>
        <w:t xml:space="preserve"> </w:t>
      </w:r>
      <w:r w:rsidRPr="00150EDC">
        <w:rPr>
          <w:sz w:val="18"/>
        </w:rPr>
        <w:t>Manger</w:t>
      </w:r>
      <w:r w:rsidRPr="00150EDC">
        <w:rPr>
          <w:spacing w:val="-1"/>
          <w:sz w:val="18"/>
        </w:rPr>
        <w:t xml:space="preserve"> </w:t>
      </w:r>
      <w:r w:rsidRPr="00150EDC">
        <w:rPr>
          <w:sz w:val="18"/>
        </w:rPr>
        <w:t>shall</w:t>
      </w:r>
      <w:r w:rsidRPr="00150EDC">
        <w:rPr>
          <w:spacing w:val="-1"/>
          <w:sz w:val="18"/>
        </w:rPr>
        <w:t xml:space="preserve"> </w:t>
      </w:r>
      <w:r w:rsidRPr="00150EDC">
        <w:rPr>
          <w:sz w:val="18"/>
        </w:rPr>
        <w:t>provide</w:t>
      </w:r>
      <w:r w:rsidRPr="00150EDC">
        <w:rPr>
          <w:spacing w:val="-2"/>
          <w:sz w:val="18"/>
        </w:rPr>
        <w:t xml:space="preserve"> </w:t>
      </w:r>
      <w:r w:rsidRPr="00150EDC">
        <w:rPr>
          <w:sz w:val="18"/>
        </w:rPr>
        <w:t>to Buyer</w:t>
      </w:r>
      <w:r w:rsidRPr="00150EDC">
        <w:rPr>
          <w:spacing w:val="-1"/>
          <w:sz w:val="18"/>
        </w:rPr>
        <w:t xml:space="preserve"> </w:t>
      </w:r>
      <w:r w:rsidRPr="00150EDC">
        <w:rPr>
          <w:sz w:val="18"/>
        </w:rPr>
        <w:t>such reports</w:t>
      </w:r>
      <w:r w:rsidRPr="00150EDC">
        <w:rPr>
          <w:spacing w:val="-3"/>
          <w:sz w:val="18"/>
        </w:rPr>
        <w:t xml:space="preserve"> </w:t>
      </w:r>
      <w:r w:rsidRPr="00150EDC">
        <w:rPr>
          <w:sz w:val="18"/>
        </w:rPr>
        <w:t>and join such meetings as identified in the Annex to this Schedule</w:t>
      </w:r>
    </w:p>
    <w:p w14:paraId="47345AC0" w14:textId="77777777" w:rsidR="004C7180" w:rsidRPr="00150EDC" w:rsidRDefault="004C7180">
      <w:pPr>
        <w:pStyle w:val="BodyText"/>
        <w:rPr>
          <w:sz w:val="20"/>
        </w:rPr>
      </w:pPr>
    </w:p>
    <w:p w14:paraId="3E8A45E7" w14:textId="77777777" w:rsidR="004C7180" w:rsidRPr="00150EDC" w:rsidRDefault="00CF0754">
      <w:pPr>
        <w:pStyle w:val="ListParagraph"/>
        <w:numPr>
          <w:ilvl w:val="0"/>
          <w:numId w:val="36"/>
        </w:numPr>
        <w:tabs>
          <w:tab w:val="left" w:pos="1300"/>
        </w:tabs>
        <w:spacing w:before="132"/>
        <w:ind w:left="1300" w:hanging="256"/>
        <w:jc w:val="left"/>
        <w:rPr>
          <w:b/>
          <w:sz w:val="18"/>
        </w:rPr>
      </w:pPr>
      <w:bookmarkStart w:id="62" w:name="4.____Role_of_the_Operational_Board"/>
      <w:bookmarkEnd w:id="62"/>
      <w:r w:rsidRPr="00150EDC">
        <w:rPr>
          <w:b/>
          <w:sz w:val="18"/>
        </w:rPr>
        <w:t>ROLE</w:t>
      </w:r>
      <w:r w:rsidRPr="00150EDC">
        <w:rPr>
          <w:b/>
          <w:spacing w:val="-6"/>
          <w:sz w:val="18"/>
        </w:rPr>
        <w:t xml:space="preserve"> </w:t>
      </w:r>
      <w:r w:rsidRPr="00150EDC">
        <w:rPr>
          <w:b/>
          <w:sz w:val="18"/>
        </w:rPr>
        <w:t>OF</w:t>
      </w:r>
      <w:r w:rsidRPr="00150EDC">
        <w:rPr>
          <w:b/>
          <w:spacing w:val="-4"/>
          <w:sz w:val="18"/>
        </w:rPr>
        <w:t xml:space="preserve"> </w:t>
      </w:r>
      <w:r w:rsidRPr="00150EDC">
        <w:rPr>
          <w:b/>
          <w:sz w:val="18"/>
        </w:rPr>
        <w:t>THE</w:t>
      </w:r>
      <w:r w:rsidRPr="00150EDC">
        <w:rPr>
          <w:b/>
          <w:spacing w:val="-1"/>
          <w:sz w:val="18"/>
        </w:rPr>
        <w:t xml:space="preserve"> </w:t>
      </w:r>
      <w:r w:rsidRPr="00150EDC">
        <w:rPr>
          <w:b/>
          <w:sz w:val="18"/>
        </w:rPr>
        <w:t>OPERATIONAL</w:t>
      </w:r>
      <w:r w:rsidRPr="00150EDC">
        <w:rPr>
          <w:b/>
          <w:spacing w:val="-2"/>
          <w:sz w:val="18"/>
        </w:rPr>
        <w:t xml:space="preserve"> BOARD</w:t>
      </w:r>
    </w:p>
    <w:p w14:paraId="59A873B3" w14:textId="77777777" w:rsidR="004C7180" w:rsidRPr="00150EDC" w:rsidRDefault="004C7180">
      <w:pPr>
        <w:pStyle w:val="BodyText"/>
        <w:spacing w:before="7"/>
        <w:rPr>
          <w:b/>
          <w:sz w:val="23"/>
        </w:rPr>
      </w:pPr>
    </w:p>
    <w:p w14:paraId="2E6B907E" w14:textId="77777777" w:rsidR="004C7180" w:rsidRPr="00150EDC" w:rsidRDefault="00CF0754">
      <w:pPr>
        <w:pStyle w:val="ListParagraph"/>
        <w:numPr>
          <w:ilvl w:val="1"/>
          <w:numId w:val="36"/>
        </w:numPr>
        <w:tabs>
          <w:tab w:val="left" w:pos="1351"/>
        </w:tabs>
        <w:ind w:right="4017" w:firstLine="0"/>
        <w:rPr>
          <w:sz w:val="18"/>
        </w:rPr>
      </w:pPr>
      <w:bookmarkStart w:id="63" w:name="4.1_The_Operational_Board_shall_be_estab"/>
      <w:bookmarkEnd w:id="63"/>
      <w:r w:rsidRPr="00150EDC">
        <w:rPr>
          <w:sz w:val="18"/>
        </w:rPr>
        <w:t>The Operational Board shall be established by the Buyer for the purposes of this Contract on which the Supplier and the Buyer shall be represented.</w:t>
      </w:r>
    </w:p>
    <w:p w14:paraId="6F92EBEA" w14:textId="77777777" w:rsidR="004C7180" w:rsidRPr="00150EDC" w:rsidRDefault="004C7180">
      <w:pPr>
        <w:pStyle w:val="BodyText"/>
        <w:spacing w:before="9"/>
        <w:rPr>
          <w:sz w:val="23"/>
        </w:rPr>
      </w:pPr>
    </w:p>
    <w:p w14:paraId="72716E69" w14:textId="27C4E411" w:rsidR="004C7180" w:rsidRPr="00150EDC" w:rsidRDefault="00236684" w:rsidP="46D4E117">
      <w:pPr>
        <w:pStyle w:val="ListParagraph"/>
        <w:numPr>
          <w:ilvl w:val="1"/>
          <w:numId w:val="36"/>
        </w:numPr>
        <w:tabs>
          <w:tab w:val="left" w:pos="1355"/>
        </w:tabs>
        <w:ind w:right="4018" w:firstLine="0"/>
        <w:rPr>
          <w:sz w:val="18"/>
          <w:szCs w:val="18"/>
        </w:rPr>
      </w:pPr>
      <w:r w:rsidRPr="00150EDC">
        <w:rPr>
          <w:noProof/>
          <w:lang w:val="en-GB" w:eastAsia="en-GB"/>
        </w:rPr>
        <mc:AlternateContent>
          <mc:Choice Requires="wpg">
            <w:drawing>
              <wp:anchor distT="0" distB="0" distL="0" distR="0" simplePos="0" relativeHeight="251658266" behindDoc="1" locked="0" layoutInCell="1" allowOverlap="1" wp14:anchorId="7691FA15" wp14:editId="7435B652">
                <wp:simplePos x="0" y="0"/>
                <wp:positionH relativeFrom="page">
                  <wp:posOffset>692150</wp:posOffset>
                </wp:positionH>
                <wp:positionV relativeFrom="paragraph">
                  <wp:posOffset>306705</wp:posOffset>
                </wp:positionV>
                <wp:extent cx="4371975" cy="3978910"/>
                <wp:effectExtent l="0" t="0" r="28575" b="21590"/>
                <wp:wrapNone/>
                <wp:docPr id="23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71975" cy="3978910"/>
                          <a:chOff x="4591" y="4597"/>
                          <a:chExt cx="4372482" cy="3979443"/>
                        </a:xfrm>
                      </wpg:grpSpPr>
                      <wps:wsp>
                        <wps:cNvPr id="234" name="Textbox 234"/>
                        <wps:cNvSpPr txBox="1"/>
                        <wps:spPr>
                          <a:xfrm>
                            <a:off x="4591" y="2277795"/>
                            <a:ext cx="798195" cy="1706245"/>
                          </a:xfrm>
                          <a:prstGeom prst="rect">
                            <a:avLst/>
                          </a:prstGeom>
                          <a:ln w="9182">
                            <a:solidFill>
                              <a:srgbClr val="000000"/>
                            </a:solidFill>
                            <a:prstDash val="solid"/>
                          </a:ln>
                        </wps:spPr>
                        <wps:txbx>
                          <w:txbxContent>
                            <w:p w14:paraId="516B3822" w14:textId="77777777" w:rsidR="004C7180" w:rsidRPr="00124297" w:rsidRDefault="00CF0754">
                              <w:pPr>
                                <w:spacing w:before="1"/>
                                <w:ind w:left="74" w:right="75"/>
                                <w:rPr>
                                  <w:sz w:val="18"/>
                                  <w:szCs w:val="18"/>
                                </w:rPr>
                              </w:pPr>
                              <w:r w:rsidRPr="00124297">
                                <w:rPr>
                                  <w:spacing w:val="-2"/>
                                  <w:sz w:val="18"/>
                                  <w:szCs w:val="18"/>
                                </w:rPr>
                                <w:t xml:space="preserve">Seniority </w:t>
                              </w:r>
                              <w:r w:rsidRPr="00124297">
                                <w:rPr>
                                  <w:sz w:val="18"/>
                                  <w:szCs w:val="18"/>
                                </w:rPr>
                                <w:t>Level 1</w:t>
                              </w:r>
                            </w:p>
                          </w:txbxContent>
                        </wps:txbx>
                        <wps:bodyPr wrap="square" lIns="0" tIns="0" rIns="0" bIns="0" rtlCol="0">
                          <a:noAutofit/>
                        </wps:bodyPr>
                      </wps:wsp>
                      <wps:wsp>
                        <wps:cNvPr id="235" name="Textbox 235"/>
                        <wps:cNvSpPr txBox="1"/>
                        <wps:spPr>
                          <a:xfrm>
                            <a:off x="4591" y="1608467"/>
                            <a:ext cx="798195" cy="669925"/>
                          </a:xfrm>
                          <a:prstGeom prst="rect">
                            <a:avLst/>
                          </a:prstGeom>
                          <a:ln w="9182">
                            <a:solidFill>
                              <a:srgbClr val="000000"/>
                            </a:solidFill>
                            <a:prstDash val="solid"/>
                          </a:ln>
                        </wps:spPr>
                        <wps:txbx>
                          <w:txbxContent>
                            <w:p w14:paraId="19554240" w14:textId="77777777" w:rsidR="004C7180" w:rsidRPr="00124297" w:rsidRDefault="00CF0754">
                              <w:pPr>
                                <w:spacing w:before="1"/>
                                <w:ind w:left="74"/>
                                <w:rPr>
                                  <w:sz w:val="18"/>
                                  <w:szCs w:val="18"/>
                                </w:rPr>
                              </w:pPr>
                              <w:r w:rsidRPr="00124297">
                                <w:rPr>
                                  <w:spacing w:val="-2"/>
                                  <w:sz w:val="18"/>
                                  <w:szCs w:val="18"/>
                                </w:rPr>
                                <w:t xml:space="preserve">Supporting </w:t>
                              </w:r>
                              <w:r w:rsidRPr="00124297">
                                <w:rPr>
                                  <w:spacing w:val="-4"/>
                                  <w:sz w:val="18"/>
                                  <w:szCs w:val="18"/>
                                </w:rPr>
                                <w:t>Role</w:t>
                              </w:r>
                            </w:p>
                          </w:txbxContent>
                        </wps:txbx>
                        <wps:bodyPr wrap="square" lIns="0" tIns="0" rIns="0" bIns="0" rtlCol="0">
                          <a:noAutofit/>
                        </wps:bodyPr>
                      </wps:wsp>
                      <wps:wsp>
                        <wps:cNvPr id="236" name="Textbox 236"/>
                        <wps:cNvSpPr txBox="1"/>
                        <wps:spPr>
                          <a:xfrm>
                            <a:off x="4591" y="277831"/>
                            <a:ext cx="798195" cy="1330960"/>
                          </a:xfrm>
                          <a:prstGeom prst="rect">
                            <a:avLst/>
                          </a:prstGeom>
                          <a:ln w="9182">
                            <a:solidFill>
                              <a:srgbClr val="000000"/>
                            </a:solidFill>
                            <a:prstDash val="solid"/>
                          </a:ln>
                        </wps:spPr>
                        <wps:txbx>
                          <w:txbxContent>
                            <w:p w14:paraId="76DB592E" w14:textId="77777777" w:rsidR="004C7180" w:rsidRPr="00124297" w:rsidRDefault="00CF0754">
                              <w:pPr>
                                <w:spacing w:before="3"/>
                                <w:ind w:left="74"/>
                                <w:rPr>
                                  <w:sz w:val="18"/>
                                  <w:szCs w:val="18"/>
                                </w:rPr>
                              </w:pPr>
                              <w:r w:rsidRPr="00124297">
                                <w:rPr>
                                  <w:sz w:val="18"/>
                                  <w:szCs w:val="18"/>
                                </w:rPr>
                                <w:t>Lead</w:t>
                              </w:r>
                              <w:r w:rsidRPr="00124297">
                                <w:rPr>
                                  <w:spacing w:val="-3"/>
                                  <w:sz w:val="18"/>
                                  <w:szCs w:val="18"/>
                                </w:rPr>
                                <w:t xml:space="preserve"> </w:t>
                              </w:r>
                              <w:r w:rsidRPr="00124297">
                                <w:rPr>
                                  <w:spacing w:val="-4"/>
                                  <w:sz w:val="18"/>
                                  <w:szCs w:val="18"/>
                                </w:rPr>
                                <w:t>Role</w:t>
                              </w:r>
                            </w:p>
                          </w:txbxContent>
                        </wps:txbx>
                        <wps:bodyPr wrap="square" lIns="0" tIns="0" rIns="0" bIns="0" rtlCol="0">
                          <a:noAutofit/>
                        </wps:bodyPr>
                      </wps:wsp>
                      <wps:wsp>
                        <wps:cNvPr id="237" name="Textbox 237"/>
                        <wps:cNvSpPr txBox="1"/>
                        <wps:spPr>
                          <a:xfrm>
                            <a:off x="802506" y="4597"/>
                            <a:ext cx="961390" cy="273685"/>
                          </a:xfrm>
                          <a:prstGeom prst="rect">
                            <a:avLst/>
                          </a:prstGeom>
                          <a:ln w="9182">
                            <a:solidFill>
                              <a:srgbClr val="000000"/>
                            </a:solidFill>
                            <a:prstDash val="solid"/>
                          </a:ln>
                        </wps:spPr>
                        <wps:txbx>
                          <w:txbxContent>
                            <w:p w14:paraId="57F921EF" w14:textId="77777777" w:rsidR="004C7180" w:rsidRPr="00124297" w:rsidRDefault="00CF0754">
                              <w:pPr>
                                <w:spacing w:before="1"/>
                                <w:ind w:left="74"/>
                                <w:rPr>
                                  <w:sz w:val="18"/>
                                  <w:szCs w:val="18"/>
                                </w:rPr>
                              </w:pPr>
                              <w:r w:rsidRPr="00124297">
                                <w:rPr>
                                  <w:sz w:val="18"/>
                                  <w:szCs w:val="18"/>
                                </w:rPr>
                                <w:t xml:space="preserve">Buyer </w:t>
                              </w:r>
                              <w:r w:rsidRPr="00124297">
                                <w:rPr>
                                  <w:spacing w:val="-2"/>
                                  <w:sz w:val="18"/>
                                  <w:szCs w:val="18"/>
                                </w:rPr>
                                <w:t>Contact</w:t>
                              </w:r>
                            </w:p>
                          </w:txbxContent>
                        </wps:txbx>
                        <wps:bodyPr wrap="square" lIns="0" tIns="0" rIns="0" bIns="0" rtlCol="0">
                          <a:noAutofit/>
                        </wps:bodyPr>
                      </wps:wsp>
                      <wps:wsp>
                        <wps:cNvPr id="238" name="Textbox 238"/>
                        <wps:cNvSpPr txBox="1"/>
                        <wps:spPr>
                          <a:xfrm>
                            <a:off x="1763452" y="4597"/>
                            <a:ext cx="862330" cy="273685"/>
                          </a:xfrm>
                          <a:prstGeom prst="rect">
                            <a:avLst/>
                          </a:prstGeom>
                          <a:ln w="9194">
                            <a:solidFill>
                              <a:srgbClr val="000000"/>
                            </a:solidFill>
                            <a:prstDash val="solid"/>
                          </a:ln>
                        </wps:spPr>
                        <wps:txbx>
                          <w:txbxContent>
                            <w:p w14:paraId="0B97C124" w14:textId="77777777" w:rsidR="004C7180" w:rsidRPr="00124297" w:rsidRDefault="00CF0754">
                              <w:pPr>
                                <w:spacing w:before="1"/>
                                <w:ind w:left="74"/>
                                <w:rPr>
                                  <w:sz w:val="18"/>
                                  <w:szCs w:val="18"/>
                                </w:rPr>
                              </w:pPr>
                              <w:r w:rsidRPr="00124297">
                                <w:rPr>
                                  <w:spacing w:val="-2"/>
                                  <w:sz w:val="18"/>
                                  <w:szCs w:val="18"/>
                                </w:rPr>
                                <w:t>Responsibility</w:t>
                              </w:r>
                            </w:p>
                          </w:txbxContent>
                        </wps:txbx>
                        <wps:bodyPr wrap="square" lIns="0" tIns="0" rIns="0" bIns="0" rtlCol="0">
                          <a:noAutofit/>
                        </wps:bodyPr>
                      </wps:wsp>
                      <wps:wsp>
                        <wps:cNvPr id="239" name="Textbox 239"/>
                        <wps:cNvSpPr txBox="1"/>
                        <wps:spPr>
                          <a:xfrm>
                            <a:off x="1768043" y="2679043"/>
                            <a:ext cx="853440" cy="1300480"/>
                          </a:xfrm>
                          <a:prstGeom prst="rect">
                            <a:avLst/>
                          </a:prstGeom>
                        </wps:spPr>
                        <wps:txbx>
                          <w:txbxContent>
                            <w:p w14:paraId="57D94A75" w14:textId="77777777" w:rsidR="004C7180" w:rsidRPr="00124297" w:rsidRDefault="00CF0754">
                              <w:pPr>
                                <w:spacing w:before="41" w:line="259" w:lineRule="auto"/>
                                <w:ind w:left="74" w:right="67"/>
                                <w:rPr>
                                  <w:sz w:val="18"/>
                                  <w:szCs w:val="18"/>
                                </w:rPr>
                              </w:pPr>
                              <w:r w:rsidRPr="00BA35CA">
                                <w:rPr>
                                  <w:spacing w:val="-2"/>
                                  <w:sz w:val="18"/>
                                  <w:szCs w:val="18"/>
                                  <w:shd w:val="clear" w:color="auto" w:fill="FFFF00"/>
                                </w:rPr>
                                <w:t>Contract</w:t>
                              </w:r>
                              <w:r w:rsidRPr="00BA35CA">
                                <w:rPr>
                                  <w:spacing w:val="-2"/>
                                  <w:sz w:val="18"/>
                                  <w:szCs w:val="18"/>
                                </w:rPr>
                                <w:t xml:space="preserve"> </w:t>
                              </w:r>
                              <w:r w:rsidRPr="00BA35CA">
                                <w:rPr>
                                  <w:sz w:val="18"/>
                                  <w:szCs w:val="18"/>
                                  <w:shd w:val="clear" w:color="auto" w:fill="FFFF00"/>
                                </w:rPr>
                                <w:t>Manager</w:t>
                              </w:r>
                              <w:r w:rsidRPr="00BA35CA">
                                <w:rPr>
                                  <w:spacing w:val="-13"/>
                                  <w:sz w:val="18"/>
                                  <w:szCs w:val="18"/>
                                  <w:shd w:val="clear" w:color="auto" w:fill="FFFF00"/>
                                </w:rPr>
                                <w:t xml:space="preserve"> </w:t>
                              </w:r>
                              <w:r w:rsidRPr="00BA35CA">
                                <w:rPr>
                                  <w:sz w:val="18"/>
                                  <w:szCs w:val="18"/>
                                  <w:shd w:val="clear" w:color="auto" w:fill="FFFF00"/>
                                </w:rPr>
                                <w:t>and</w:t>
                              </w:r>
                              <w:r w:rsidRPr="00BA35CA">
                                <w:rPr>
                                  <w:sz w:val="18"/>
                                  <w:szCs w:val="18"/>
                                </w:rPr>
                                <w:t xml:space="preserve"> </w:t>
                              </w:r>
                              <w:r w:rsidRPr="00BA35CA">
                                <w:rPr>
                                  <w:sz w:val="18"/>
                                  <w:szCs w:val="18"/>
                                  <w:shd w:val="clear" w:color="auto" w:fill="FFFF00"/>
                                </w:rPr>
                                <w:t>Policy Lead</w:t>
                              </w:r>
                              <w:r w:rsidRPr="00BA35CA">
                                <w:rPr>
                                  <w:sz w:val="18"/>
                                  <w:szCs w:val="18"/>
                                </w:rPr>
                                <w:t xml:space="preserve"> </w:t>
                              </w:r>
                              <w:r w:rsidRPr="00BA35CA">
                                <w:rPr>
                                  <w:sz w:val="18"/>
                                  <w:szCs w:val="18"/>
                                  <w:shd w:val="clear" w:color="auto" w:fill="FFFF00"/>
                                </w:rPr>
                                <w:t>and holds</w:t>
                              </w:r>
                              <w:r w:rsidRPr="00BA35CA">
                                <w:rPr>
                                  <w:sz w:val="18"/>
                                  <w:szCs w:val="18"/>
                                </w:rPr>
                                <w:t xml:space="preserve"> </w:t>
                              </w:r>
                              <w:r w:rsidRPr="00BA35CA">
                                <w:rPr>
                                  <w:spacing w:val="-2"/>
                                  <w:sz w:val="18"/>
                                  <w:szCs w:val="18"/>
                                  <w:shd w:val="clear" w:color="auto" w:fill="FFFF00"/>
                                </w:rPr>
                                <w:t>overal</w:t>
                              </w:r>
                              <w:r w:rsidRPr="00BA35CA">
                                <w:rPr>
                                  <w:spacing w:val="-2"/>
                                  <w:sz w:val="18"/>
                                  <w:szCs w:val="18"/>
                                </w:rPr>
                                <w:t xml:space="preserve">l </w:t>
                              </w:r>
                              <w:r w:rsidRPr="00BA35CA">
                                <w:rPr>
                                  <w:spacing w:val="-2"/>
                                  <w:sz w:val="18"/>
                                  <w:szCs w:val="18"/>
                                  <w:shd w:val="clear" w:color="auto" w:fill="FFFF00"/>
                                </w:rPr>
                                <w:t>responsibility</w:t>
                              </w:r>
                              <w:r w:rsidRPr="00BA35CA">
                                <w:rPr>
                                  <w:spacing w:val="-2"/>
                                  <w:sz w:val="18"/>
                                  <w:szCs w:val="18"/>
                                </w:rPr>
                                <w:t xml:space="preserve"> </w:t>
                              </w:r>
                              <w:r w:rsidRPr="00BA35CA">
                                <w:rPr>
                                  <w:sz w:val="18"/>
                                  <w:szCs w:val="18"/>
                                  <w:shd w:val="clear" w:color="auto" w:fill="FFFF00"/>
                                </w:rPr>
                                <w:t>for the</w:t>
                              </w:r>
                              <w:r w:rsidRPr="00BA35CA">
                                <w:rPr>
                                  <w:sz w:val="18"/>
                                  <w:szCs w:val="18"/>
                                </w:rPr>
                                <w:t xml:space="preserve"> </w:t>
                              </w:r>
                              <w:r w:rsidRPr="00BA35CA">
                                <w:rPr>
                                  <w:spacing w:val="-2"/>
                                  <w:sz w:val="18"/>
                                  <w:szCs w:val="18"/>
                                  <w:shd w:val="clear" w:color="auto" w:fill="FFFF00"/>
                                </w:rPr>
                                <w:t>intervention</w:t>
                              </w:r>
                              <w:r w:rsidRPr="00BA35CA">
                                <w:rPr>
                                  <w:spacing w:val="-2"/>
                                  <w:sz w:val="18"/>
                                  <w:szCs w:val="18"/>
                                </w:rPr>
                                <w:t xml:space="preserve"> </w:t>
                              </w:r>
                              <w:r w:rsidRPr="00BA35CA">
                                <w:rPr>
                                  <w:spacing w:val="-2"/>
                                  <w:sz w:val="18"/>
                                  <w:szCs w:val="18"/>
                                  <w:shd w:val="clear" w:color="auto" w:fill="FFFF00"/>
                                </w:rPr>
                                <w:t>delivery</w:t>
                              </w:r>
                              <w:r w:rsidR="00EF73E5" w:rsidRPr="00BA35CA">
                                <w:rPr>
                                  <w:spacing w:val="-2"/>
                                  <w:sz w:val="18"/>
                                  <w:szCs w:val="18"/>
                                  <w:shd w:val="clear" w:color="auto" w:fill="FFFF00"/>
                                </w:rPr>
                                <w:t>.</w:t>
                              </w:r>
                            </w:p>
                          </w:txbxContent>
                        </wps:txbx>
                        <wps:bodyPr wrap="square" lIns="0" tIns="0" rIns="0" bIns="0" rtlCol="0">
                          <a:noAutofit/>
                        </wps:bodyPr>
                      </wps:wsp>
                      <wps:wsp>
                        <wps:cNvPr id="240" name="Textbox 240"/>
                        <wps:cNvSpPr txBox="1"/>
                        <wps:spPr>
                          <a:xfrm>
                            <a:off x="1768043" y="2282386"/>
                            <a:ext cx="853440" cy="395605"/>
                          </a:xfrm>
                          <a:prstGeom prst="rect">
                            <a:avLst/>
                          </a:prstGeom>
                        </wps:spPr>
                        <wps:txbx>
                          <w:txbxContent>
                            <w:p w14:paraId="460A562D" w14:textId="77777777" w:rsidR="004C7180" w:rsidRPr="00124297" w:rsidRDefault="00CF0754">
                              <w:pPr>
                                <w:spacing w:before="1" w:line="256" w:lineRule="auto"/>
                                <w:ind w:left="74" w:right="67"/>
                                <w:rPr>
                                  <w:sz w:val="18"/>
                                  <w:szCs w:val="18"/>
                                </w:rPr>
                              </w:pPr>
                              <w:r w:rsidRPr="00BA35CA">
                                <w:rPr>
                                  <w:spacing w:val="-2"/>
                                  <w:sz w:val="18"/>
                                  <w:szCs w:val="18"/>
                                  <w:shd w:val="clear" w:color="auto" w:fill="FFFF00"/>
                                </w:rPr>
                                <w:t>Provides</w:t>
                              </w:r>
                              <w:r w:rsidRPr="00BA35CA">
                                <w:rPr>
                                  <w:spacing w:val="-2"/>
                                  <w:sz w:val="18"/>
                                  <w:szCs w:val="18"/>
                                </w:rPr>
                                <w:t xml:space="preserve"> </w:t>
                              </w:r>
                              <w:r w:rsidRPr="00BA35CA">
                                <w:rPr>
                                  <w:spacing w:val="-2"/>
                                  <w:sz w:val="18"/>
                                  <w:szCs w:val="18"/>
                                  <w:shd w:val="clear" w:color="auto" w:fill="FFFF00"/>
                                </w:rPr>
                                <w:t>additiona</w:t>
                              </w:r>
                              <w:r w:rsidRPr="00BA35CA">
                                <w:rPr>
                                  <w:spacing w:val="-2"/>
                                  <w:sz w:val="18"/>
                                  <w:szCs w:val="18"/>
                                </w:rPr>
                                <w:t>l</w:t>
                              </w:r>
                            </w:p>
                            <w:p w14:paraId="1598D6DD" w14:textId="77777777" w:rsidR="004C7180" w:rsidRPr="00124297" w:rsidRDefault="00CF0754">
                              <w:pPr>
                                <w:spacing w:before="2" w:line="177" w:lineRule="exact"/>
                                <w:ind w:left="74"/>
                                <w:rPr>
                                  <w:sz w:val="18"/>
                                  <w:szCs w:val="18"/>
                                </w:rPr>
                              </w:pPr>
                              <w:r w:rsidRPr="00BA35CA">
                                <w:rPr>
                                  <w:sz w:val="18"/>
                                  <w:szCs w:val="18"/>
                                  <w:shd w:val="clear" w:color="auto" w:fill="FFFF00"/>
                                </w:rPr>
                                <w:t>support</w:t>
                              </w:r>
                              <w:r w:rsidRPr="00BA35CA">
                                <w:rPr>
                                  <w:spacing w:val="-1"/>
                                  <w:sz w:val="18"/>
                                  <w:szCs w:val="18"/>
                                  <w:shd w:val="clear" w:color="auto" w:fill="FFFF00"/>
                                </w:rPr>
                                <w:t xml:space="preserve"> </w:t>
                              </w:r>
                              <w:r w:rsidRPr="00BA35CA">
                                <w:rPr>
                                  <w:sz w:val="18"/>
                                  <w:szCs w:val="18"/>
                                  <w:shd w:val="clear" w:color="auto" w:fill="FFFF00"/>
                                </w:rPr>
                                <w:t>to</w:t>
                              </w:r>
                              <w:r w:rsidRPr="00BA35CA">
                                <w:rPr>
                                  <w:spacing w:val="-2"/>
                                  <w:sz w:val="18"/>
                                  <w:szCs w:val="18"/>
                                  <w:shd w:val="clear" w:color="auto" w:fill="FFFF00"/>
                                </w:rPr>
                                <w:t xml:space="preserve"> </w:t>
                              </w:r>
                              <w:r w:rsidRPr="00BA35CA">
                                <w:rPr>
                                  <w:spacing w:val="-5"/>
                                  <w:sz w:val="18"/>
                                  <w:szCs w:val="18"/>
                                  <w:shd w:val="clear" w:color="auto" w:fill="FFFF00"/>
                                </w:rPr>
                                <w:t>the</w:t>
                              </w:r>
                            </w:p>
                          </w:txbxContent>
                        </wps:txbx>
                        <wps:bodyPr wrap="square" lIns="0" tIns="0" rIns="0" bIns="0" rtlCol="0">
                          <a:noAutofit/>
                        </wps:bodyPr>
                      </wps:wsp>
                      <wps:wsp>
                        <wps:cNvPr id="241" name="Textbox 241"/>
                        <wps:cNvSpPr txBox="1"/>
                        <wps:spPr>
                          <a:xfrm>
                            <a:off x="1768043" y="1877683"/>
                            <a:ext cx="853440" cy="395605"/>
                          </a:xfrm>
                          <a:prstGeom prst="rect">
                            <a:avLst/>
                          </a:prstGeom>
                        </wps:spPr>
                        <wps:txbx>
                          <w:txbxContent>
                            <w:p w14:paraId="23779FF3" w14:textId="77777777" w:rsidR="004C7180" w:rsidRPr="00124297" w:rsidRDefault="00CF0754">
                              <w:pPr>
                                <w:ind w:left="74" w:right="67"/>
                                <w:rPr>
                                  <w:sz w:val="18"/>
                                  <w:szCs w:val="18"/>
                                </w:rPr>
                              </w:pPr>
                              <w:r w:rsidRPr="00BA35CA">
                                <w:rPr>
                                  <w:sz w:val="18"/>
                                  <w:szCs w:val="18"/>
                                  <w:shd w:val="clear" w:color="auto" w:fill="FFFF00"/>
                                </w:rPr>
                                <w:t>support</w:t>
                              </w:r>
                              <w:r w:rsidRPr="00BA35CA">
                                <w:rPr>
                                  <w:spacing w:val="-15"/>
                                  <w:sz w:val="18"/>
                                  <w:szCs w:val="18"/>
                                  <w:shd w:val="clear" w:color="auto" w:fill="FFFF00"/>
                                </w:rPr>
                                <w:t xml:space="preserve"> </w:t>
                              </w:r>
                              <w:r w:rsidRPr="00BA35CA">
                                <w:rPr>
                                  <w:sz w:val="18"/>
                                  <w:szCs w:val="18"/>
                                  <w:shd w:val="clear" w:color="auto" w:fill="FFFF00"/>
                                </w:rPr>
                                <w:t>to</w:t>
                              </w:r>
                              <w:r w:rsidRPr="00BA35CA">
                                <w:rPr>
                                  <w:spacing w:val="-12"/>
                                  <w:sz w:val="18"/>
                                  <w:szCs w:val="18"/>
                                  <w:shd w:val="clear" w:color="auto" w:fill="FFFF00"/>
                                </w:rPr>
                                <w:t xml:space="preserve"> </w:t>
                              </w:r>
                              <w:r w:rsidRPr="00BA35CA">
                                <w:rPr>
                                  <w:sz w:val="18"/>
                                  <w:szCs w:val="18"/>
                                  <w:shd w:val="clear" w:color="auto" w:fill="FFFF00"/>
                                </w:rPr>
                                <w:t>the</w:t>
                              </w:r>
                              <w:r w:rsidRPr="00BA35CA">
                                <w:rPr>
                                  <w:sz w:val="18"/>
                                  <w:szCs w:val="18"/>
                                </w:rPr>
                                <w:t xml:space="preserve"> </w:t>
                              </w:r>
                              <w:r w:rsidRPr="00BA35CA">
                                <w:rPr>
                                  <w:spacing w:val="-2"/>
                                  <w:sz w:val="18"/>
                                  <w:szCs w:val="18"/>
                                  <w:shd w:val="clear" w:color="auto" w:fill="FFFF00"/>
                                </w:rPr>
                                <w:t>Contract</w:t>
                              </w:r>
                              <w:r w:rsidRPr="00BA35CA">
                                <w:rPr>
                                  <w:spacing w:val="-2"/>
                                  <w:sz w:val="18"/>
                                  <w:szCs w:val="18"/>
                                </w:rPr>
                                <w:t xml:space="preserve"> </w:t>
                              </w:r>
                              <w:r w:rsidRPr="00BA35CA">
                                <w:rPr>
                                  <w:spacing w:val="-2"/>
                                  <w:sz w:val="18"/>
                                  <w:szCs w:val="18"/>
                                  <w:shd w:val="clear" w:color="auto" w:fill="FFFF00"/>
                                </w:rPr>
                                <w:t>Manager</w:t>
                              </w:r>
                            </w:p>
                          </w:txbxContent>
                        </wps:txbx>
                        <wps:bodyPr wrap="square" lIns="0" tIns="0" rIns="0" bIns="0" rtlCol="0">
                          <a:noAutofit/>
                        </wps:bodyPr>
                      </wps:wsp>
                      <wps:wsp>
                        <wps:cNvPr id="242" name="Textbox 242"/>
                        <wps:cNvSpPr txBox="1"/>
                        <wps:spPr>
                          <a:xfrm>
                            <a:off x="1768043" y="1613058"/>
                            <a:ext cx="853440" cy="263525"/>
                          </a:xfrm>
                          <a:prstGeom prst="rect">
                            <a:avLst/>
                          </a:prstGeom>
                        </wps:spPr>
                        <wps:txbx>
                          <w:txbxContent>
                            <w:p w14:paraId="3F3FE194" w14:textId="77777777" w:rsidR="004C7180" w:rsidRPr="00124297" w:rsidRDefault="00CF0754">
                              <w:pPr>
                                <w:spacing w:before="1"/>
                                <w:ind w:left="74" w:right="67"/>
                                <w:rPr>
                                  <w:sz w:val="18"/>
                                  <w:szCs w:val="18"/>
                                </w:rPr>
                              </w:pPr>
                              <w:r w:rsidRPr="00BA35CA">
                                <w:rPr>
                                  <w:spacing w:val="-2"/>
                                  <w:sz w:val="18"/>
                                  <w:szCs w:val="18"/>
                                  <w:shd w:val="clear" w:color="auto" w:fill="FFFF00"/>
                                </w:rPr>
                                <w:t>Provides</w:t>
                              </w:r>
                              <w:r w:rsidRPr="00BA35CA">
                                <w:rPr>
                                  <w:spacing w:val="-2"/>
                                  <w:sz w:val="18"/>
                                  <w:szCs w:val="18"/>
                                </w:rPr>
                                <w:t xml:space="preserve"> </w:t>
                              </w:r>
                              <w:r w:rsidRPr="00BA35CA">
                                <w:rPr>
                                  <w:spacing w:val="-2"/>
                                  <w:sz w:val="18"/>
                                  <w:szCs w:val="18"/>
                                  <w:shd w:val="clear" w:color="auto" w:fill="FFFF00"/>
                                </w:rPr>
                                <w:t>additiona</w:t>
                              </w:r>
                              <w:r w:rsidRPr="00BA35CA">
                                <w:rPr>
                                  <w:spacing w:val="-2"/>
                                  <w:sz w:val="18"/>
                                  <w:szCs w:val="18"/>
                                </w:rPr>
                                <w:t>l</w:t>
                              </w:r>
                            </w:p>
                          </w:txbxContent>
                        </wps:txbx>
                        <wps:bodyPr wrap="square" lIns="0" tIns="0" rIns="0" bIns="0" rtlCol="0">
                          <a:noAutofit/>
                        </wps:bodyPr>
                      </wps:wsp>
                      <wps:wsp>
                        <wps:cNvPr id="244" name="Textbox 244"/>
                        <wps:cNvSpPr txBox="1"/>
                        <wps:spPr>
                          <a:xfrm>
                            <a:off x="1768043" y="282427"/>
                            <a:ext cx="853440" cy="1338030"/>
                          </a:xfrm>
                          <a:prstGeom prst="rect">
                            <a:avLst/>
                          </a:prstGeom>
                        </wps:spPr>
                        <wps:txbx>
                          <w:txbxContent>
                            <w:p w14:paraId="10BDBC5E" w14:textId="388088F8" w:rsidR="004C7180" w:rsidRPr="00124297" w:rsidRDefault="00015CCE">
                              <w:pPr>
                                <w:spacing w:before="3"/>
                                <w:ind w:left="74" w:right="67"/>
                                <w:rPr>
                                  <w:sz w:val="18"/>
                                  <w:szCs w:val="18"/>
                                </w:rPr>
                              </w:pPr>
                              <w:r w:rsidRPr="00BA35CA">
                                <w:rPr>
                                  <w:spacing w:val="-2"/>
                                  <w:sz w:val="18"/>
                                  <w:szCs w:val="18"/>
                                  <w:shd w:val="clear" w:color="auto" w:fill="FFFF00"/>
                                  <w:lang w:val="en-GB"/>
                                </w:rPr>
                                <w:t>Day-to-day project manager and key point of contact for the delivery supplier (and other buyer RCT suppliers).</w:t>
                              </w:r>
                            </w:p>
                          </w:txbxContent>
                        </wps:txbx>
                        <wps:bodyPr wrap="square" lIns="0" tIns="0" rIns="0" bIns="0" rtlCol="0">
                          <a:noAutofit/>
                        </wps:bodyPr>
                      </wps:wsp>
                      <wps:wsp>
                        <wps:cNvPr id="245" name="Textbox 245"/>
                        <wps:cNvSpPr txBox="1"/>
                        <wps:spPr>
                          <a:xfrm>
                            <a:off x="2625661" y="4597"/>
                            <a:ext cx="908685" cy="273685"/>
                          </a:xfrm>
                          <a:prstGeom prst="rect">
                            <a:avLst/>
                          </a:prstGeom>
                          <a:ln w="9182">
                            <a:solidFill>
                              <a:srgbClr val="000000"/>
                            </a:solidFill>
                            <a:prstDash val="solid"/>
                          </a:ln>
                        </wps:spPr>
                        <wps:txbx>
                          <w:txbxContent>
                            <w:p w14:paraId="59F00E34" w14:textId="77777777" w:rsidR="004C7180" w:rsidRPr="00124297" w:rsidRDefault="00CF0754">
                              <w:pPr>
                                <w:spacing w:before="1"/>
                                <w:ind w:left="74" w:right="111"/>
                                <w:rPr>
                                  <w:sz w:val="18"/>
                                  <w:szCs w:val="18"/>
                                </w:rPr>
                              </w:pPr>
                              <w:r w:rsidRPr="00124297">
                                <w:rPr>
                                  <w:spacing w:val="-2"/>
                                  <w:sz w:val="18"/>
                                  <w:szCs w:val="18"/>
                                </w:rPr>
                                <w:t>Supplier Contact</w:t>
                              </w:r>
                            </w:p>
                          </w:txbxContent>
                        </wps:txbx>
                        <wps:bodyPr wrap="square" lIns="0" tIns="0" rIns="0" bIns="0" rtlCol="0">
                          <a:noAutofit/>
                        </wps:bodyPr>
                      </wps:wsp>
                      <wps:wsp>
                        <wps:cNvPr id="246" name="Textbox 246"/>
                        <wps:cNvSpPr txBox="1"/>
                        <wps:spPr>
                          <a:xfrm>
                            <a:off x="2630258" y="2282386"/>
                            <a:ext cx="899160" cy="1697137"/>
                          </a:xfrm>
                          <a:prstGeom prst="rect">
                            <a:avLst/>
                          </a:prstGeom>
                        </wps:spPr>
                        <wps:txbx>
                          <w:txbxContent>
                            <w:p w14:paraId="001C3670" w14:textId="77777777" w:rsidR="001907B8" w:rsidRPr="00BA35CA" w:rsidRDefault="001907B8" w:rsidP="001907B8">
                              <w:pPr>
                                <w:spacing w:before="1"/>
                                <w:ind w:left="74"/>
                                <w:rPr>
                                  <w:spacing w:val="-2"/>
                                  <w:sz w:val="18"/>
                                  <w:szCs w:val="18"/>
                                  <w:shd w:val="clear" w:color="auto" w:fill="FFFF00"/>
                                  <w:lang w:val="en-GB"/>
                                </w:rPr>
                              </w:pPr>
                              <w:r w:rsidRPr="00BA35CA">
                                <w:rPr>
                                  <w:spacing w:val="-2"/>
                                  <w:sz w:val="18"/>
                                  <w:szCs w:val="18"/>
                                  <w:shd w:val="clear" w:color="auto" w:fill="FFFF00"/>
                                  <w:lang w:val="en-GB"/>
                                </w:rPr>
                                <w:t>Pending appointment</w:t>
                              </w:r>
                            </w:p>
                            <w:p w14:paraId="556123AE" w14:textId="77777777" w:rsidR="001907B8" w:rsidRPr="00BA35CA" w:rsidRDefault="001907B8" w:rsidP="001907B8">
                              <w:pPr>
                                <w:spacing w:before="1"/>
                                <w:ind w:left="74"/>
                                <w:rPr>
                                  <w:spacing w:val="-2"/>
                                  <w:sz w:val="18"/>
                                  <w:szCs w:val="18"/>
                                  <w:shd w:val="clear" w:color="auto" w:fill="FFFF00"/>
                                  <w:lang w:val="en-GB"/>
                                </w:rPr>
                              </w:pPr>
                              <w:r w:rsidRPr="00BA35CA">
                                <w:rPr>
                                  <w:spacing w:val="-2"/>
                                  <w:sz w:val="18"/>
                                  <w:szCs w:val="18"/>
                                  <w:shd w:val="clear" w:color="auto" w:fill="FFFF00"/>
                                  <w:lang w:val="en-GB"/>
                                </w:rPr>
                                <w:t>Gordon Carver as interim</w:t>
                              </w:r>
                            </w:p>
                            <w:p w14:paraId="695DD999" w14:textId="0615ED64" w:rsidR="004C7180" w:rsidRPr="00124297" w:rsidRDefault="001907B8" w:rsidP="001907B8">
                              <w:pPr>
                                <w:spacing w:before="1"/>
                                <w:ind w:left="74"/>
                                <w:rPr>
                                  <w:sz w:val="18"/>
                                  <w:szCs w:val="18"/>
                                </w:rPr>
                              </w:pPr>
                              <w:r w:rsidRPr="00BA35CA">
                                <w:rPr>
                                  <w:spacing w:val="-2"/>
                                  <w:sz w:val="18"/>
                                  <w:szCs w:val="18"/>
                                  <w:shd w:val="clear" w:color="auto" w:fill="FFFF00"/>
                                  <w:lang w:val="en-GB"/>
                                </w:rPr>
                                <w:t>Supplier Project Director</w:t>
                              </w:r>
                            </w:p>
                          </w:txbxContent>
                        </wps:txbx>
                        <wps:bodyPr wrap="square" lIns="0" tIns="0" rIns="0" bIns="0" rtlCol="0">
                          <a:noAutofit/>
                        </wps:bodyPr>
                      </wps:wsp>
                      <wps:wsp>
                        <wps:cNvPr id="247" name="Textbox 247"/>
                        <wps:cNvSpPr txBox="1"/>
                        <wps:spPr>
                          <a:xfrm>
                            <a:off x="2630258" y="1613057"/>
                            <a:ext cx="899160" cy="691182"/>
                          </a:xfrm>
                          <a:prstGeom prst="rect">
                            <a:avLst/>
                          </a:prstGeom>
                        </wps:spPr>
                        <wps:txbx>
                          <w:txbxContent>
                            <w:p w14:paraId="7FA7551D" w14:textId="77777777" w:rsidR="00DF3C4F" w:rsidRPr="00BA35CA" w:rsidRDefault="00DF3C4F" w:rsidP="00DF3C4F">
                              <w:pPr>
                                <w:spacing w:before="1"/>
                                <w:ind w:left="74"/>
                                <w:rPr>
                                  <w:spacing w:val="-2"/>
                                  <w:sz w:val="18"/>
                                  <w:szCs w:val="18"/>
                                  <w:shd w:val="clear" w:color="auto" w:fill="FFFF00"/>
                                  <w:lang w:val="en-GB"/>
                                </w:rPr>
                              </w:pPr>
                              <w:r w:rsidRPr="00BA35CA">
                                <w:rPr>
                                  <w:spacing w:val="-2"/>
                                  <w:sz w:val="18"/>
                                  <w:szCs w:val="18"/>
                                  <w:shd w:val="clear" w:color="auto" w:fill="FFFF00"/>
                                  <w:lang w:val="en-GB"/>
                                </w:rPr>
                                <w:t>Inika Palaram</w:t>
                              </w:r>
                            </w:p>
                            <w:p w14:paraId="5071B453" w14:textId="7D12DDEE" w:rsidR="004C7180" w:rsidRPr="00124297" w:rsidRDefault="00DF3C4F" w:rsidP="00DF3C4F">
                              <w:pPr>
                                <w:spacing w:before="1"/>
                                <w:ind w:left="74"/>
                                <w:rPr>
                                  <w:sz w:val="18"/>
                                  <w:szCs w:val="18"/>
                                </w:rPr>
                              </w:pPr>
                              <w:r w:rsidRPr="00BA35CA">
                                <w:rPr>
                                  <w:spacing w:val="-2"/>
                                  <w:sz w:val="18"/>
                                  <w:szCs w:val="18"/>
                                  <w:shd w:val="clear" w:color="auto" w:fill="FFFF00"/>
                                  <w:lang w:val="en-GB"/>
                                </w:rPr>
                                <w:t>Assistant Project Manager</w:t>
                              </w:r>
                            </w:p>
                          </w:txbxContent>
                        </wps:txbx>
                        <wps:bodyPr wrap="square" lIns="0" tIns="0" rIns="0" bIns="0" rtlCol="0">
                          <a:noAutofit/>
                        </wps:bodyPr>
                      </wps:wsp>
                      <wps:wsp>
                        <wps:cNvPr id="248" name="Textbox 248"/>
                        <wps:cNvSpPr txBox="1"/>
                        <wps:spPr>
                          <a:xfrm>
                            <a:off x="2630258" y="282428"/>
                            <a:ext cx="899160" cy="1338029"/>
                          </a:xfrm>
                          <a:prstGeom prst="rect">
                            <a:avLst/>
                          </a:prstGeom>
                        </wps:spPr>
                        <wps:txbx>
                          <w:txbxContent>
                            <w:p w14:paraId="2C48387B" w14:textId="77777777" w:rsidR="00B64F50" w:rsidRPr="00BA35CA" w:rsidRDefault="00B64F50" w:rsidP="00B64F50">
                              <w:pPr>
                                <w:spacing w:before="3"/>
                                <w:ind w:left="74"/>
                                <w:rPr>
                                  <w:spacing w:val="-2"/>
                                  <w:sz w:val="18"/>
                                  <w:szCs w:val="18"/>
                                  <w:shd w:val="clear" w:color="auto" w:fill="FFFF00"/>
                                  <w:lang w:val="en-GB"/>
                                </w:rPr>
                              </w:pPr>
                              <w:r w:rsidRPr="00BA35CA">
                                <w:rPr>
                                  <w:spacing w:val="-2"/>
                                  <w:sz w:val="18"/>
                                  <w:szCs w:val="18"/>
                                  <w:shd w:val="clear" w:color="auto" w:fill="FFFF00"/>
                                  <w:lang w:val="en-GB"/>
                                </w:rPr>
                                <w:t>Cherie Pham</w:t>
                              </w:r>
                            </w:p>
                            <w:p w14:paraId="351FA3A7" w14:textId="3693F964" w:rsidR="004C7180" w:rsidRPr="00124297" w:rsidRDefault="00B64F50" w:rsidP="00B64F50">
                              <w:pPr>
                                <w:spacing w:before="3"/>
                                <w:ind w:left="74"/>
                                <w:rPr>
                                  <w:sz w:val="18"/>
                                  <w:szCs w:val="18"/>
                                </w:rPr>
                              </w:pPr>
                              <w:r w:rsidRPr="00BA35CA">
                                <w:rPr>
                                  <w:spacing w:val="-2"/>
                                  <w:sz w:val="18"/>
                                  <w:szCs w:val="18"/>
                                  <w:shd w:val="clear" w:color="auto" w:fill="FFFF00"/>
                                  <w:lang w:val="en-GB"/>
                                </w:rPr>
                                <w:t>Supplier Project Manager</w:t>
                              </w:r>
                            </w:p>
                          </w:txbxContent>
                        </wps:txbx>
                        <wps:bodyPr wrap="square" lIns="0" tIns="0" rIns="0" bIns="0" rtlCol="0">
                          <a:noAutofit/>
                        </wps:bodyPr>
                      </wps:wsp>
                      <wps:wsp>
                        <wps:cNvPr id="249" name="Textbox 249"/>
                        <wps:cNvSpPr txBox="1"/>
                        <wps:spPr>
                          <a:xfrm>
                            <a:off x="3533793" y="4597"/>
                            <a:ext cx="843280" cy="273685"/>
                          </a:xfrm>
                          <a:prstGeom prst="rect">
                            <a:avLst/>
                          </a:prstGeom>
                          <a:ln w="9194">
                            <a:solidFill>
                              <a:srgbClr val="000000"/>
                            </a:solidFill>
                            <a:prstDash val="solid"/>
                          </a:ln>
                        </wps:spPr>
                        <wps:txbx>
                          <w:txbxContent>
                            <w:p w14:paraId="19D60CCB" w14:textId="77777777" w:rsidR="004C7180" w:rsidRPr="00124297" w:rsidRDefault="00CF0754">
                              <w:pPr>
                                <w:spacing w:before="1"/>
                                <w:ind w:left="74"/>
                                <w:rPr>
                                  <w:sz w:val="18"/>
                                  <w:szCs w:val="18"/>
                                </w:rPr>
                              </w:pPr>
                              <w:r w:rsidRPr="00124297">
                                <w:rPr>
                                  <w:spacing w:val="-2"/>
                                  <w:sz w:val="18"/>
                                  <w:szCs w:val="18"/>
                                </w:rPr>
                                <w:t>Responsibility</w:t>
                              </w:r>
                            </w:p>
                          </w:txbxContent>
                        </wps:txbx>
                        <wps:bodyPr wrap="square" lIns="0" tIns="0" rIns="0" bIns="0" rtlCol="0">
                          <a:noAutofit/>
                        </wps:bodyPr>
                      </wps:wsp>
                      <wps:wsp>
                        <wps:cNvPr id="250" name="Textbox 250"/>
                        <wps:cNvSpPr txBox="1"/>
                        <wps:spPr>
                          <a:xfrm>
                            <a:off x="3538385" y="2282386"/>
                            <a:ext cx="833755" cy="1685142"/>
                          </a:xfrm>
                          <a:prstGeom prst="rect">
                            <a:avLst/>
                          </a:prstGeom>
                        </wps:spPr>
                        <wps:txbx>
                          <w:txbxContent>
                            <w:p w14:paraId="43B59A64" w14:textId="1FF5824C" w:rsidR="004C7180" w:rsidRPr="00124297" w:rsidRDefault="003D0F76">
                              <w:pPr>
                                <w:spacing w:before="1"/>
                                <w:ind w:left="74"/>
                                <w:rPr>
                                  <w:sz w:val="18"/>
                                  <w:szCs w:val="18"/>
                                </w:rPr>
                              </w:pPr>
                              <w:r w:rsidRPr="00BA35CA">
                                <w:rPr>
                                  <w:spacing w:val="-2"/>
                                  <w:sz w:val="18"/>
                                  <w:szCs w:val="18"/>
                                  <w:shd w:val="clear" w:color="auto" w:fill="FFFF00"/>
                                  <w:lang w:val="en-GB"/>
                                </w:rPr>
                                <w:t>Provides additional support to the Project Manager and Assistant Project Manager and holds overall responsibility for the intervention delivery.</w:t>
                              </w:r>
                            </w:p>
                          </w:txbxContent>
                        </wps:txbx>
                        <wps:bodyPr wrap="square" lIns="0" tIns="0" rIns="0" bIns="0" rtlCol="0">
                          <a:noAutofit/>
                        </wps:bodyPr>
                      </wps:wsp>
                      <wps:wsp>
                        <wps:cNvPr id="251" name="Textbox 251"/>
                        <wps:cNvSpPr txBox="1"/>
                        <wps:spPr>
                          <a:xfrm>
                            <a:off x="3538385" y="1613058"/>
                            <a:ext cx="833755" cy="639740"/>
                          </a:xfrm>
                          <a:prstGeom prst="rect">
                            <a:avLst/>
                          </a:prstGeom>
                        </wps:spPr>
                        <wps:txbx>
                          <w:txbxContent>
                            <w:p w14:paraId="28F0D595" w14:textId="13326888" w:rsidR="004C7180" w:rsidRPr="00124297" w:rsidRDefault="00C12395">
                              <w:pPr>
                                <w:spacing w:before="1"/>
                                <w:ind w:left="74"/>
                                <w:rPr>
                                  <w:sz w:val="18"/>
                                  <w:szCs w:val="18"/>
                                </w:rPr>
                              </w:pPr>
                              <w:r w:rsidRPr="00BA35CA">
                                <w:rPr>
                                  <w:spacing w:val="-2"/>
                                  <w:sz w:val="18"/>
                                  <w:szCs w:val="18"/>
                                  <w:shd w:val="clear" w:color="auto" w:fill="FFFF00"/>
                                  <w:lang w:val="en-GB"/>
                                </w:rPr>
                                <w:t>Provides additional support to the Project Manager</w:t>
                              </w:r>
                            </w:p>
                          </w:txbxContent>
                        </wps:txbx>
                        <wps:bodyPr wrap="square" lIns="0" tIns="0" rIns="0" bIns="0" rtlCol="0">
                          <a:noAutofit/>
                        </wps:bodyPr>
                      </wps:wsp>
                      <wps:wsp>
                        <wps:cNvPr id="252" name="Textbox 252"/>
                        <wps:cNvSpPr txBox="1"/>
                        <wps:spPr>
                          <a:xfrm>
                            <a:off x="3538385" y="282427"/>
                            <a:ext cx="833755" cy="1328019"/>
                          </a:xfrm>
                          <a:prstGeom prst="rect">
                            <a:avLst/>
                          </a:prstGeom>
                        </wps:spPr>
                        <wps:txbx>
                          <w:txbxContent>
                            <w:p w14:paraId="3A3E7425" w14:textId="32FA97F2" w:rsidR="004C7180" w:rsidRPr="00124297" w:rsidRDefault="00F80FD6">
                              <w:pPr>
                                <w:spacing w:before="3"/>
                                <w:ind w:left="74"/>
                                <w:rPr>
                                  <w:sz w:val="18"/>
                                  <w:szCs w:val="18"/>
                                </w:rPr>
                              </w:pPr>
                              <w:r w:rsidRPr="00BA35CA">
                                <w:rPr>
                                  <w:spacing w:val="-2"/>
                                  <w:sz w:val="18"/>
                                  <w:szCs w:val="18"/>
                                  <w:shd w:val="clear" w:color="auto" w:fill="FFFF00"/>
                                  <w:lang w:val="en-GB"/>
                                </w:rPr>
                                <w:t>Day-to-day project manager and key point of contact for the buyer (and other buyer RCT suppliers).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691FA15" id="Group 233" o:spid="_x0000_s1035" style="position:absolute;left:0;text-align:left;margin-left:54.5pt;margin-top:24.15pt;width:344.25pt;height:313.3pt;z-index:-251658214;mso-wrap-distance-left:0;mso-wrap-distance-right:0;mso-position-horizontal-relative:page;mso-width-relative:margin;mso-height-relative:margin" coordorigin="45,45" coordsize="43724,39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">
                <v:shape id="Textbox 234" o:spid="_x0000_s1036" type="#_x0000_t202" style="position:absolute;left:45;top:22777;width:7982;height:17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" filled="f" strokeweight=".25506mm">
                  <v:textbox inset="0,0,0,0">
                    <w:txbxContent>
                      <w:p w14:paraId="516B3822" w14:textId="77777777" w:rsidR="004C7180" w:rsidRPr="00124297" w:rsidRDefault="00CF0754">
                        <w:pPr>
                          <w:spacing w:before="1"/>
                          <w:ind w:left="74" w:right="75"/>
                          <w:rPr>
                            <w:sz w:val="18"/>
                            <w:szCs w:val="18"/>
                          </w:rPr>
                        </w:pPr>
                        <w:r w:rsidRPr="00124297">
                          <w:rPr>
                            <w:spacing w:val="-2"/>
                            <w:sz w:val="18"/>
                            <w:szCs w:val="18"/>
                          </w:rPr>
                          <w:t xml:space="preserve">Seniority </w:t>
                        </w:r>
                        <w:r w:rsidRPr="00124297">
                          <w:rPr>
                            <w:sz w:val="18"/>
                            <w:szCs w:val="18"/>
                          </w:rPr>
                          <w:t>Level 1</w:t>
                        </w:r>
                      </w:p>
                    </w:txbxContent>
                  </v:textbox>
                </v:shape>
                <v:shape id="Textbox 235" o:spid="_x0000_s1037" type="#_x0000_t202" style="position:absolute;left:45;top:16084;width:7982;height:6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" filled="f" strokeweight=".25506mm">
                  <v:textbox inset="0,0,0,0">
                    <w:txbxContent>
                      <w:p w14:paraId="19554240" w14:textId="77777777" w:rsidR="004C7180" w:rsidRPr="00124297" w:rsidRDefault="00CF0754">
                        <w:pPr>
                          <w:spacing w:before="1"/>
                          <w:ind w:left="74"/>
                          <w:rPr>
                            <w:sz w:val="18"/>
                            <w:szCs w:val="18"/>
                          </w:rPr>
                        </w:pPr>
                        <w:r w:rsidRPr="00124297">
                          <w:rPr>
                            <w:spacing w:val="-2"/>
                            <w:sz w:val="18"/>
                            <w:szCs w:val="18"/>
                          </w:rPr>
                          <w:t xml:space="preserve">Supporting </w:t>
                        </w:r>
                        <w:r w:rsidRPr="00124297">
                          <w:rPr>
                            <w:spacing w:val="-4"/>
                            <w:sz w:val="18"/>
                            <w:szCs w:val="18"/>
                          </w:rPr>
                          <w:t>Role</w:t>
                        </w:r>
                      </w:p>
                    </w:txbxContent>
                  </v:textbox>
                </v:shape>
                <v:shape id="Textbox 236" o:spid="_x0000_s1038" type="#_x0000_t202" style="position:absolute;left:45;top:2778;width:7982;height:1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" filled="f" strokeweight=".25506mm">
                  <v:textbox inset="0,0,0,0">
                    <w:txbxContent>
                      <w:p w14:paraId="76DB592E" w14:textId="77777777" w:rsidR="004C7180" w:rsidRPr="00124297" w:rsidRDefault="00CF0754">
                        <w:pPr>
                          <w:spacing w:before="3"/>
                          <w:ind w:left="74"/>
                          <w:rPr>
                            <w:sz w:val="18"/>
                            <w:szCs w:val="18"/>
                          </w:rPr>
                        </w:pPr>
                        <w:r w:rsidRPr="00124297">
                          <w:rPr>
                            <w:sz w:val="18"/>
                            <w:szCs w:val="18"/>
                          </w:rPr>
                          <w:t>Lead</w:t>
                        </w:r>
                        <w:r w:rsidRPr="00124297">
                          <w:rPr>
                            <w:spacing w:val="-3"/>
                            <w:sz w:val="18"/>
                            <w:szCs w:val="18"/>
                          </w:rPr>
                          <w:t xml:space="preserve"> </w:t>
                        </w:r>
                        <w:r w:rsidRPr="00124297">
                          <w:rPr>
                            <w:spacing w:val="-4"/>
                            <w:sz w:val="18"/>
                            <w:szCs w:val="18"/>
                          </w:rPr>
                          <w:t>Role</w:t>
                        </w:r>
                      </w:p>
                    </w:txbxContent>
                  </v:textbox>
                </v:shape>
                <v:shape id="Textbox 237" o:spid="_x0000_s1039" type="#_x0000_t202" style="position:absolute;left:8025;top:45;width:9613;height: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" filled="f" strokeweight=".25506mm">
                  <v:textbox inset="0,0,0,0">
                    <w:txbxContent>
                      <w:p w14:paraId="57F921EF" w14:textId="77777777" w:rsidR="004C7180" w:rsidRPr="00124297" w:rsidRDefault="00CF0754">
                        <w:pPr>
                          <w:spacing w:before="1"/>
                          <w:ind w:left="74"/>
                          <w:rPr>
                            <w:sz w:val="18"/>
                            <w:szCs w:val="18"/>
                          </w:rPr>
                        </w:pPr>
                        <w:r w:rsidRPr="00124297">
                          <w:rPr>
                            <w:sz w:val="18"/>
                            <w:szCs w:val="18"/>
                          </w:rPr>
                          <w:t xml:space="preserve">Buyer </w:t>
                        </w:r>
                        <w:r w:rsidRPr="00124297">
                          <w:rPr>
                            <w:spacing w:val="-2"/>
                            <w:sz w:val="18"/>
                            <w:szCs w:val="18"/>
                          </w:rPr>
                          <w:t>Contact</w:t>
                        </w:r>
                      </w:p>
                    </w:txbxContent>
                  </v:textbox>
                </v:shape>
                <v:shape id="Textbox 238" o:spid="_x0000_s1040" type="#_x0000_t202" style="position:absolute;left:17634;top:45;width:8623;height: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" filled="f" strokeweight=".25539mm">
                  <v:textbox inset="0,0,0,0">
                    <w:txbxContent>
                      <w:p w14:paraId="0B97C124" w14:textId="77777777" w:rsidR="004C7180" w:rsidRPr="00124297" w:rsidRDefault="00CF0754">
                        <w:pPr>
                          <w:spacing w:before="1"/>
                          <w:ind w:left="74"/>
                          <w:rPr>
                            <w:sz w:val="18"/>
                            <w:szCs w:val="18"/>
                          </w:rPr>
                        </w:pPr>
                        <w:r w:rsidRPr="00124297">
                          <w:rPr>
                            <w:spacing w:val="-2"/>
                            <w:sz w:val="18"/>
                            <w:szCs w:val="18"/>
                          </w:rPr>
                          <w:t>Responsibility</w:t>
                        </w:r>
                      </w:p>
                    </w:txbxContent>
                  </v:textbox>
                </v:shape>
                <v:shape id="Textbox 239" o:spid="_x0000_s1041" type="#_x0000_t202" style="position:absolute;left:17680;top:26790;width:8534;height:1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14:paraId="57D94A75" w14:textId="77777777" w:rsidR="004C7180" w:rsidRPr="00124297" w:rsidRDefault="00CF0754">
                        <w:pPr>
                          <w:spacing w:before="41" w:line="259" w:lineRule="auto"/>
                          <w:ind w:left="74" w:right="67"/>
                          <w:rPr>
                            <w:sz w:val="18"/>
                            <w:szCs w:val="18"/>
                          </w:rPr>
                        </w:pPr>
                        <w:r w:rsidRPr="00BA35CA">
                          <w:rPr>
                            <w:spacing w:val="-2"/>
                            <w:sz w:val="18"/>
                            <w:szCs w:val="18"/>
                            <w:shd w:val="clear" w:color="auto" w:fill="FFFF00"/>
                          </w:rPr>
                          <w:t>Contract</w:t>
                        </w:r>
                        <w:r w:rsidRPr="00BA35CA">
                          <w:rPr>
                            <w:spacing w:val="-2"/>
                            <w:sz w:val="18"/>
                            <w:szCs w:val="18"/>
                          </w:rPr>
                          <w:t xml:space="preserve"> </w:t>
                        </w:r>
                        <w:r w:rsidRPr="00BA35CA">
                          <w:rPr>
                            <w:sz w:val="18"/>
                            <w:szCs w:val="18"/>
                            <w:shd w:val="clear" w:color="auto" w:fill="FFFF00"/>
                          </w:rPr>
                          <w:t>Manager</w:t>
                        </w:r>
                        <w:r w:rsidRPr="00BA35CA">
                          <w:rPr>
                            <w:spacing w:val="-13"/>
                            <w:sz w:val="18"/>
                            <w:szCs w:val="18"/>
                            <w:shd w:val="clear" w:color="auto" w:fill="FFFF00"/>
                          </w:rPr>
                          <w:t xml:space="preserve"> </w:t>
                        </w:r>
                        <w:r w:rsidRPr="00BA35CA">
                          <w:rPr>
                            <w:sz w:val="18"/>
                            <w:szCs w:val="18"/>
                            <w:shd w:val="clear" w:color="auto" w:fill="FFFF00"/>
                          </w:rPr>
                          <w:t>and</w:t>
                        </w:r>
                        <w:r w:rsidRPr="00BA35CA">
                          <w:rPr>
                            <w:sz w:val="18"/>
                            <w:szCs w:val="18"/>
                          </w:rPr>
                          <w:t xml:space="preserve"> </w:t>
                        </w:r>
                        <w:r w:rsidRPr="00BA35CA">
                          <w:rPr>
                            <w:sz w:val="18"/>
                            <w:szCs w:val="18"/>
                            <w:shd w:val="clear" w:color="auto" w:fill="FFFF00"/>
                          </w:rPr>
                          <w:t>Policy Lead</w:t>
                        </w:r>
                        <w:r w:rsidRPr="00BA35CA">
                          <w:rPr>
                            <w:sz w:val="18"/>
                            <w:szCs w:val="18"/>
                          </w:rPr>
                          <w:t xml:space="preserve"> </w:t>
                        </w:r>
                        <w:r w:rsidRPr="00BA35CA">
                          <w:rPr>
                            <w:sz w:val="18"/>
                            <w:szCs w:val="18"/>
                            <w:shd w:val="clear" w:color="auto" w:fill="FFFF00"/>
                          </w:rPr>
                          <w:t>and holds</w:t>
                        </w:r>
                        <w:r w:rsidRPr="00BA35CA">
                          <w:rPr>
                            <w:sz w:val="18"/>
                            <w:szCs w:val="18"/>
                          </w:rPr>
                          <w:t xml:space="preserve"> </w:t>
                        </w:r>
                        <w:r w:rsidRPr="00BA35CA">
                          <w:rPr>
                            <w:spacing w:val="-2"/>
                            <w:sz w:val="18"/>
                            <w:szCs w:val="18"/>
                            <w:shd w:val="clear" w:color="auto" w:fill="FFFF00"/>
                          </w:rPr>
                          <w:t>overal</w:t>
                        </w:r>
                        <w:r w:rsidRPr="00BA35CA">
                          <w:rPr>
                            <w:spacing w:val="-2"/>
                            <w:sz w:val="18"/>
                            <w:szCs w:val="18"/>
                          </w:rPr>
                          <w:t xml:space="preserve">l </w:t>
                        </w:r>
                        <w:r w:rsidRPr="00BA35CA">
                          <w:rPr>
                            <w:spacing w:val="-2"/>
                            <w:sz w:val="18"/>
                            <w:szCs w:val="18"/>
                            <w:shd w:val="clear" w:color="auto" w:fill="FFFF00"/>
                          </w:rPr>
                          <w:t>responsibility</w:t>
                        </w:r>
                        <w:r w:rsidRPr="00BA35CA">
                          <w:rPr>
                            <w:spacing w:val="-2"/>
                            <w:sz w:val="18"/>
                            <w:szCs w:val="18"/>
                          </w:rPr>
                          <w:t xml:space="preserve"> </w:t>
                        </w:r>
                        <w:r w:rsidRPr="00BA35CA">
                          <w:rPr>
                            <w:sz w:val="18"/>
                            <w:szCs w:val="18"/>
                            <w:shd w:val="clear" w:color="auto" w:fill="FFFF00"/>
                          </w:rPr>
                          <w:t>for the</w:t>
                        </w:r>
                        <w:r w:rsidRPr="00BA35CA">
                          <w:rPr>
                            <w:sz w:val="18"/>
                            <w:szCs w:val="18"/>
                          </w:rPr>
                          <w:t xml:space="preserve"> </w:t>
                        </w:r>
                        <w:r w:rsidRPr="00BA35CA">
                          <w:rPr>
                            <w:spacing w:val="-2"/>
                            <w:sz w:val="18"/>
                            <w:szCs w:val="18"/>
                            <w:shd w:val="clear" w:color="auto" w:fill="FFFF00"/>
                          </w:rPr>
                          <w:t>intervention</w:t>
                        </w:r>
                        <w:r w:rsidRPr="00BA35CA">
                          <w:rPr>
                            <w:spacing w:val="-2"/>
                            <w:sz w:val="18"/>
                            <w:szCs w:val="18"/>
                          </w:rPr>
                          <w:t xml:space="preserve"> </w:t>
                        </w:r>
                        <w:r w:rsidRPr="00BA35CA">
                          <w:rPr>
                            <w:spacing w:val="-2"/>
                            <w:sz w:val="18"/>
                            <w:szCs w:val="18"/>
                            <w:shd w:val="clear" w:color="auto" w:fill="FFFF00"/>
                          </w:rPr>
                          <w:t>delivery</w:t>
                        </w:r>
                        <w:r w:rsidR="00EF73E5" w:rsidRPr="00BA35CA">
                          <w:rPr>
                            <w:spacing w:val="-2"/>
                            <w:sz w:val="18"/>
                            <w:szCs w:val="18"/>
                            <w:shd w:val="clear" w:color="auto" w:fill="FFFF00"/>
                          </w:rPr>
                          <w:t>.</w:t>
                        </w:r>
                      </w:p>
                    </w:txbxContent>
                  </v:textbox>
                </v:shape>
                <v:shape id="Textbox 240" o:spid="_x0000_s1042" type="#_x0000_t202" style="position:absolute;left:17680;top:22823;width:8534;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14:paraId="460A562D" w14:textId="77777777" w:rsidR="004C7180" w:rsidRPr="00124297" w:rsidRDefault="00CF0754">
                        <w:pPr>
                          <w:spacing w:before="1" w:line="256" w:lineRule="auto"/>
                          <w:ind w:left="74" w:right="67"/>
                          <w:rPr>
                            <w:sz w:val="18"/>
                            <w:szCs w:val="18"/>
                          </w:rPr>
                        </w:pPr>
                        <w:r w:rsidRPr="00BA35CA">
                          <w:rPr>
                            <w:spacing w:val="-2"/>
                            <w:sz w:val="18"/>
                            <w:szCs w:val="18"/>
                            <w:shd w:val="clear" w:color="auto" w:fill="FFFF00"/>
                          </w:rPr>
                          <w:t>Provides</w:t>
                        </w:r>
                        <w:r w:rsidRPr="00BA35CA">
                          <w:rPr>
                            <w:spacing w:val="-2"/>
                            <w:sz w:val="18"/>
                            <w:szCs w:val="18"/>
                          </w:rPr>
                          <w:t xml:space="preserve"> </w:t>
                        </w:r>
                        <w:r w:rsidRPr="00BA35CA">
                          <w:rPr>
                            <w:spacing w:val="-2"/>
                            <w:sz w:val="18"/>
                            <w:szCs w:val="18"/>
                            <w:shd w:val="clear" w:color="auto" w:fill="FFFF00"/>
                          </w:rPr>
                          <w:t>additiona</w:t>
                        </w:r>
                        <w:r w:rsidRPr="00BA35CA">
                          <w:rPr>
                            <w:spacing w:val="-2"/>
                            <w:sz w:val="18"/>
                            <w:szCs w:val="18"/>
                          </w:rPr>
                          <w:t>l</w:t>
                        </w:r>
                      </w:p>
                      <w:p w14:paraId="1598D6DD" w14:textId="77777777" w:rsidR="004C7180" w:rsidRPr="00124297" w:rsidRDefault="00CF0754">
                        <w:pPr>
                          <w:spacing w:before="2" w:line="177" w:lineRule="exact"/>
                          <w:ind w:left="74"/>
                          <w:rPr>
                            <w:sz w:val="18"/>
                            <w:szCs w:val="18"/>
                          </w:rPr>
                        </w:pPr>
                        <w:r w:rsidRPr="00BA35CA">
                          <w:rPr>
                            <w:sz w:val="18"/>
                            <w:szCs w:val="18"/>
                            <w:shd w:val="clear" w:color="auto" w:fill="FFFF00"/>
                          </w:rPr>
                          <w:t>support</w:t>
                        </w:r>
                        <w:r w:rsidRPr="00BA35CA">
                          <w:rPr>
                            <w:spacing w:val="-1"/>
                            <w:sz w:val="18"/>
                            <w:szCs w:val="18"/>
                            <w:shd w:val="clear" w:color="auto" w:fill="FFFF00"/>
                          </w:rPr>
                          <w:t xml:space="preserve"> </w:t>
                        </w:r>
                        <w:r w:rsidRPr="00BA35CA">
                          <w:rPr>
                            <w:sz w:val="18"/>
                            <w:szCs w:val="18"/>
                            <w:shd w:val="clear" w:color="auto" w:fill="FFFF00"/>
                          </w:rPr>
                          <w:t>to</w:t>
                        </w:r>
                        <w:r w:rsidRPr="00BA35CA">
                          <w:rPr>
                            <w:spacing w:val="-2"/>
                            <w:sz w:val="18"/>
                            <w:szCs w:val="18"/>
                            <w:shd w:val="clear" w:color="auto" w:fill="FFFF00"/>
                          </w:rPr>
                          <w:t xml:space="preserve"> </w:t>
                        </w:r>
                        <w:r w:rsidRPr="00BA35CA">
                          <w:rPr>
                            <w:spacing w:val="-5"/>
                            <w:sz w:val="18"/>
                            <w:szCs w:val="18"/>
                            <w:shd w:val="clear" w:color="auto" w:fill="FFFF00"/>
                          </w:rPr>
                          <w:t>the</w:t>
                        </w:r>
                      </w:p>
                    </w:txbxContent>
                  </v:textbox>
                </v:shape>
                <v:shape id="Textbox 241" o:spid="_x0000_s1043" type="#_x0000_t202" style="position:absolute;left:17680;top:18776;width:8534;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14:paraId="23779FF3" w14:textId="77777777" w:rsidR="004C7180" w:rsidRPr="00124297" w:rsidRDefault="00CF0754">
                        <w:pPr>
                          <w:ind w:left="74" w:right="67"/>
                          <w:rPr>
                            <w:sz w:val="18"/>
                            <w:szCs w:val="18"/>
                          </w:rPr>
                        </w:pPr>
                        <w:r w:rsidRPr="00BA35CA">
                          <w:rPr>
                            <w:sz w:val="18"/>
                            <w:szCs w:val="18"/>
                            <w:shd w:val="clear" w:color="auto" w:fill="FFFF00"/>
                          </w:rPr>
                          <w:t>support</w:t>
                        </w:r>
                        <w:r w:rsidRPr="00BA35CA">
                          <w:rPr>
                            <w:spacing w:val="-15"/>
                            <w:sz w:val="18"/>
                            <w:szCs w:val="18"/>
                            <w:shd w:val="clear" w:color="auto" w:fill="FFFF00"/>
                          </w:rPr>
                          <w:t xml:space="preserve"> </w:t>
                        </w:r>
                        <w:r w:rsidRPr="00BA35CA">
                          <w:rPr>
                            <w:sz w:val="18"/>
                            <w:szCs w:val="18"/>
                            <w:shd w:val="clear" w:color="auto" w:fill="FFFF00"/>
                          </w:rPr>
                          <w:t>to</w:t>
                        </w:r>
                        <w:r w:rsidRPr="00BA35CA">
                          <w:rPr>
                            <w:spacing w:val="-12"/>
                            <w:sz w:val="18"/>
                            <w:szCs w:val="18"/>
                            <w:shd w:val="clear" w:color="auto" w:fill="FFFF00"/>
                          </w:rPr>
                          <w:t xml:space="preserve"> </w:t>
                        </w:r>
                        <w:r w:rsidRPr="00BA35CA">
                          <w:rPr>
                            <w:sz w:val="18"/>
                            <w:szCs w:val="18"/>
                            <w:shd w:val="clear" w:color="auto" w:fill="FFFF00"/>
                          </w:rPr>
                          <w:t>the</w:t>
                        </w:r>
                        <w:r w:rsidRPr="00BA35CA">
                          <w:rPr>
                            <w:sz w:val="18"/>
                            <w:szCs w:val="18"/>
                          </w:rPr>
                          <w:t xml:space="preserve"> </w:t>
                        </w:r>
                        <w:r w:rsidRPr="00BA35CA">
                          <w:rPr>
                            <w:spacing w:val="-2"/>
                            <w:sz w:val="18"/>
                            <w:szCs w:val="18"/>
                            <w:shd w:val="clear" w:color="auto" w:fill="FFFF00"/>
                          </w:rPr>
                          <w:t>Contract</w:t>
                        </w:r>
                        <w:r w:rsidRPr="00BA35CA">
                          <w:rPr>
                            <w:spacing w:val="-2"/>
                            <w:sz w:val="18"/>
                            <w:szCs w:val="18"/>
                          </w:rPr>
                          <w:t xml:space="preserve"> </w:t>
                        </w:r>
                        <w:r w:rsidRPr="00BA35CA">
                          <w:rPr>
                            <w:spacing w:val="-2"/>
                            <w:sz w:val="18"/>
                            <w:szCs w:val="18"/>
                            <w:shd w:val="clear" w:color="auto" w:fill="FFFF00"/>
                          </w:rPr>
                          <w:t>Manager</w:t>
                        </w:r>
                      </w:p>
                    </w:txbxContent>
                  </v:textbox>
                </v:shape>
                <v:shape id="Textbox 242" o:spid="_x0000_s1044" type="#_x0000_t202" style="position:absolute;left:17680;top:16130;width:8534;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14:paraId="3F3FE194" w14:textId="77777777" w:rsidR="004C7180" w:rsidRPr="00124297" w:rsidRDefault="00CF0754">
                        <w:pPr>
                          <w:spacing w:before="1"/>
                          <w:ind w:left="74" w:right="67"/>
                          <w:rPr>
                            <w:sz w:val="18"/>
                            <w:szCs w:val="18"/>
                          </w:rPr>
                        </w:pPr>
                        <w:r w:rsidRPr="00BA35CA">
                          <w:rPr>
                            <w:spacing w:val="-2"/>
                            <w:sz w:val="18"/>
                            <w:szCs w:val="18"/>
                            <w:shd w:val="clear" w:color="auto" w:fill="FFFF00"/>
                          </w:rPr>
                          <w:t>Provides</w:t>
                        </w:r>
                        <w:r w:rsidRPr="00BA35CA">
                          <w:rPr>
                            <w:spacing w:val="-2"/>
                            <w:sz w:val="18"/>
                            <w:szCs w:val="18"/>
                          </w:rPr>
                          <w:t xml:space="preserve"> </w:t>
                        </w:r>
                        <w:r w:rsidRPr="00BA35CA">
                          <w:rPr>
                            <w:spacing w:val="-2"/>
                            <w:sz w:val="18"/>
                            <w:szCs w:val="18"/>
                            <w:shd w:val="clear" w:color="auto" w:fill="FFFF00"/>
                          </w:rPr>
                          <w:t>additiona</w:t>
                        </w:r>
                        <w:r w:rsidRPr="00BA35CA">
                          <w:rPr>
                            <w:spacing w:val="-2"/>
                            <w:sz w:val="18"/>
                            <w:szCs w:val="18"/>
                          </w:rPr>
                          <w:t>l</w:t>
                        </w:r>
                      </w:p>
                    </w:txbxContent>
                  </v:textbox>
                </v:shape>
                <v:shape id="Textbox 244" o:spid="_x0000_s1045" type="#_x0000_t202" style="position:absolute;left:17680;top:2824;width:8534;height:13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p w14:paraId="10BDBC5E" w14:textId="388088F8" w:rsidR="004C7180" w:rsidRPr="00124297" w:rsidRDefault="00015CCE">
                        <w:pPr>
                          <w:spacing w:before="3"/>
                          <w:ind w:left="74" w:right="67"/>
                          <w:rPr>
                            <w:sz w:val="18"/>
                            <w:szCs w:val="18"/>
                          </w:rPr>
                        </w:pPr>
                        <w:r w:rsidRPr="00BA35CA">
                          <w:rPr>
                            <w:spacing w:val="-2"/>
                            <w:sz w:val="18"/>
                            <w:szCs w:val="18"/>
                            <w:shd w:val="clear" w:color="auto" w:fill="FFFF00"/>
                            <w:lang w:val="en-GB"/>
                          </w:rPr>
                          <w:t>Day-to-day project manager and key point of contact for the delivery supplier (and other buyer RCT suppliers).</w:t>
                        </w:r>
                      </w:p>
                    </w:txbxContent>
                  </v:textbox>
                </v:shape>
                <v:shape id="Textbox 245" o:spid="_x0000_s1046" type="#_x0000_t202" style="position:absolute;left:26256;top:45;width:9087;height: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" filled="f" strokeweight=".25506mm">
                  <v:textbox inset="0,0,0,0">
                    <w:txbxContent>
                      <w:p w14:paraId="59F00E34" w14:textId="77777777" w:rsidR="004C7180" w:rsidRPr="00124297" w:rsidRDefault="00CF0754">
                        <w:pPr>
                          <w:spacing w:before="1"/>
                          <w:ind w:left="74" w:right="111"/>
                          <w:rPr>
                            <w:sz w:val="18"/>
                            <w:szCs w:val="18"/>
                          </w:rPr>
                        </w:pPr>
                        <w:r w:rsidRPr="00124297">
                          <w:rPr>
                            <w:spacing w:val="-2"/>
                            <w:sz w:val="18"/>
                            <w:szCs w:val="18"/>
                          </w:rPr>
                          <w:t>Supplier Contact</w:t>
                        </w:r>
                      </w:p>
                    </w:txbxContent>
                  </v:textbox>
                </v:shape>
                <v:shape id="Textbox 246" o:spid="_x0000_s1047" type="#_x0000_t202" style="position:absolute;left:26302;top:22823;width:8992;height:16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14:paraId="001C3670" w14:textId="77777777" w:rsidR="001907B8" w:rsidRPr="00BA35CA" w:rsidRDefault="001907B8" w:rsidP="001907B8">
                        <w:pPr>
                          <w:spacing w:before="1"/>
                          <w:ind w:left="74"/>
                          <w:rPr>
                            <w:spacing w:val="-2"/>
                            <w:sz w:val="18"/>
                            <w:szCs w:val="18"/>
                            <w:shd w:val="clear" w:color="auto" w:fill="FFFF00"/>
                            <w:lang w:val="en-GB"/>
                          </w:rPr>
                        </w:pPr>
                        <w:r w:rsidRPr="00BA35CA">
                          <w:rPr>
                            <w:spacing w:val="-2"/>
                            <w:sz w:val="18"/>
                            <w:szCs w:val="18"/>
                            <w:shd w:val="clear" w:color="auto" w:fill="FFFF00"/>
                            <w:lang w:val="en-GB"/>
                          </w:rPr>
                          <w:t>Pending appointment</w:t>
                        </w:r>
                      </w:p>
                      <w:p w14:paraId="556123AE" w14:textId="77777777" w:rsidR="001907B8" w:rsidRPr="00BA35CA" w:rsidRDefault="001907B8" w:rsidP="001907B8">
                        <w:pPr>
                          <w:spacing w:before="1"/>
                          <w:ind w:left="74"/>
                          <w:rPr>
                            <w:spacing w:val="-2"/>
                            <w:sz w:val="18"/>
                            <w:szCs w:val="18"/>
                            <w:shd w:val="clear" w:color="auto" w:fill="FFFF00"/>
                            <w:lang w:val="en-GB"/>
                          </w:rPr>
                        </w:pPr>
                        <w:r w:rsidRPr="00BA35CA">
                          <w:rPr>
                            <w:spacing w:val="-2"/>
                            <w:sz w:val="18"/>
                            <w:szCs w:val="18"/>
                            <w:shd w:val="clear" w:color="auto" w:fill="FFFF00"/>
                            <w:lang w:val="en-GB"/>
                          </w:rPr>
                          <w:t>Gordon Carver as interim</w:t>
                        </w:r>
                      </w:p>
                      <w:p w14:paraId="695DD999" w14:textId="0615ED64" w:rsidR="004C7180" w:rsidRPr="00124297" w:rsidRDefault="001907B8" w:rsidP="001907B8">
                        <w:pPr>
                          <w:spacing w:before="1"/>
                          <w:ind w:left="74"/>
                          <w:rPr>
                            <w:sz w:val="18"/>
                            <w:szCs w:val="18"/>
                          </w:rPr>
                        </w:pPr>
                        <w:r w:rsidRPr="00BA35CA">
                          <w:rPr>
                            <w:spacing w:val="-2"/>
                            <w:sz w:val="18"/>
                            <w:szCs w:val="18"/>
                            <w:shd w:val="clear" w:color="auto" w:fill="FFFF00"/>
                            <w:lang w:val="en-GB"/>
                          </w:rPr>
                          <w:t>Supplier Project Director</w:t>
                        </w:r>
                      </w:p>
                    </w:txbxContent>
                  </v:textbox>
                </v:shape>
                <v:shape id="Textbox 247" o:spid="_x0000_s1048" type="#_x0000_t202" style="position:absolute;left:26302;top:16130;width:8992;height:6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En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o3gRJ8YAAADcAAAA&#10;DwAAAAAAAAAAAAAAAAAHAgAAZHJzL2Rvd25yZXYueG1sUEsFBgAAAAADAAMAtwAAAPoCAAAAAA==&#10;" filled="f" stroked="f">
                  <v:textbox inset="0,0,0,0">
                    <w:txbxContent>
                      <w:p w14:paraId="7FA7551D" w14:textId="77777777" w:rsidR="00DF3C4F" w:rsidRPr="00BA35CA" w:rsidRDefault="00DF3C4F" w:rsidP="00DF3C4F">
                        <w:pPr>
                          <w:spacing w:before="1"/>
                          <w:ind w:left="74"/>
                          <w:rPr>
                            <w:spacing w:val="-2"/>
                            <w:sz w:val="18"/>
                            <w:szCs w:val="18"/>
                            <w:shd w:val="clear" w:color="auto" w:fill="FFFF00"/>
                            <w:lang w:val="en-GB"/>
                          </w:rPr>
                        </w:pPr>
                        <w:r w:rsidRPr="00BA35CA">
                          <w:rPr>
                            <w:spacing w:val="-2"/>
                            <w:sz w:val="18"/>
                            <w:szCs w:val="18"/>
                            <w:shd w:val="clear" w:color="auto" w:fill="FFFF00"/>
                            <w:lang w:val="en-GB"/>
                          </w:rPr>
                          <w:t>Inika Palaram</w:t>
                        </w:r>
                      </w:p>
                      <w:p w14:paraId="5071B453" w14:textId="7D12DDEE" w:rsidR="004C7180" w:rsidRPr="00124297" w:rsidRDefault="00DF3C4F" w:rsidP="00DF3C4F">
                        <w:pPr>
                          <w:spacing w:before="1"/>
                          <w:ind w:left="74"/>
                          <w:rPr>
                            <w:sz w:val="18"/>
                            <w:szCs w:val="18"/>
                          </w:rPr>
                        </w:pPr>
                        <w:r w:rsidRPr="00BA35CA">
                          <w:rPr>
                            <w:spacing w:val="-2"/>
                            <w:sz w:val="18"/>
                            <w:szCs w:val="18"/>
                            <w:shd w:val="clear" w:color="auto" w:fill="FFFF00"/>
                            <w:lang w:val="en-GB"/>
                          </w:rPr>
                          <w:t>Assistant Project Manager</w:t>
                        </w:r>
                      </w:p>
                    </w:txbxContent>
                  </v:textbox>
                </v:shape>
                <v:shape id="Textbox 248" o:spid="_x0000_s1049" type="#_x0000_t202" style="position:absolute;left:26302;top:2824;width:8992;height:13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4VVwQAAANwAAAAPAAAAZHJzL2Rvd25yZXYueG1sRE9Ni8Iw&#10;EL0v+B/CCN7WVB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NLnhVXBAAAA3AAAAA8AAAAA&#10;AAAAAAAAAAAABwIAAGRycy9kb3ducmV2LnhtbFBLBQYAAAAAAwADALcAAAD1AgAAAAA=&#10;" filled="f" stroked="f">
                  <v:textbox inset="0,0,0,0">
                    <w:txbxContent>
                      <w:p w14:paraId="2C48387B" w14:textId="77777777" w:rsidR="00B64F50" w:rsidRPr="00BA35CA" w:rsidRDefault="00B64F50" w:rsidP="00B64F50">
                        <w:pPr>
                          <w:spacing w:before="3"/>
                          <w:ind w:left="74"/>
                          <w:rPr>
                            <w:spacing w:val="-2"/>
                            <w:sz w:val="18"/>
                            <w:szCs w:val="18"/>
                            <w:shd w:val="clear" w:color="auto" w:fill="FFFF00"/>
                            <w:lang w:val="en-GB"/>
                          </w:rPr>
                        </w:pPr>
                        <w:r w:rsidRPr="00BA35CA">
                          <w:rPr>
                            <w:spacing w:val="-2"/>
                            <w:sz w:val="18"/>
                            <w:szCs w:val="18"/>
                            <w:shd w:val="clear" w:color="auto" w:fill="FFFF00"/>
                            <w:lang w:val="en-GB"/>
                          </w:rPr>
                          <w:t>Cherie Pham</w:t>
                        </w:r>
                      </w:p>
                      <w:p w14:paraId="351FA3A7" w14:textId="3693F964" w:rsidR="004C7180" w:rsidRPr="00124297" w:rsidRDefault="00B64F50" w:rsidP="00B64F50">
                        <w:pPr>
                          <w:spacing w:before="3"/>
                          <w:ind w:left="74"/>
                          <w:rPr>
                            <w:sz w:val="18"/>
                            <w:szCs w:val="18"/>
                          </w:rPr>
                        </w:pPr>
                        <w:r w:rsidRPr="00BA35CA">
                          <w:rPr>
                            <w:spacing w:val="-2"/>
                            <w:sz w:val="18"/>
                            <w:szCs w:val="18"/>
                            <w:shd w:val="clear" w:color="auto" w:fill="FFFF00"/>
                            <w:lang w:val="en-GB"/>
                          </w:rPr>
                          <w:t>Supplier Project Manager</w:t>
                        </w:r>
                      </w:p>
                    </w:txbxContent>
                  </v:textbox>
                </v:shape>
                <v:shape id="Textbox 249" o:spid="_x0000_s1050" type="#_x0000_t202" style="position:absolute;left:35337;top:45;width:8433;height: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" filled="f" strokeweight=".25539mm">
                  <v:textbox inset="0,0,0,0">
                    <w:txbxContent>
                      <w:p w14:paraId="19D60CCB" w14:textId="77777777" w:rsidR="004C7180" w:rsidRPr="00124297" w:rsidRDefault="00CF0754">
                        <w:pPr>
                          <w:spacing w:before="1"/>
                          <w:ind w:left="74"/>
                          <w:rPr>
                            <w:sz w:val="18"/>
                            <w:szCs w:val="18"/>
                          </w:rPr>
                        </w:pPr>
                        <w:r w:rsidRPr="00124297">
                          <w:rPr>
                            <w:spacing w:val="-2"/>
                            <w:sz w:val="18"/>
                            <w:szCs w:val="18"/>
                          </w:rPr>
                          <w:t>Responsibility</w:t>
                        </w:r>
                      </w:p>
                    </w:txbxContent>
                  </v:textbox>
                </v:shape>
                <v:shape id="Textbox 250" o:spid="_x0000_s1051" type="#_x0000_t202" style="position:absolute;left:35383;top:22823;width:8338;height:16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OwQAAANwAAAAPAAAAZHJzL2Rvd25yZXYueG1sRE9Ni8Iw&#10;EL0v+B/CCN7WVE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KlIH47BAAAA3AAAAA8AAAAA&#10;AAAAAAAAAAAABwIAAGRycy9kb3ducmV2LnhtbFBLBQYAAAAAAwADALcAAAD1AgAAAAA=&#10;" filled="f" stroked="f">
                  <v:textbox inset="0,0,0,0">
                    <w:txbxContent>
                      <w:p w14:paraId="43B59A64" w14:textId="1FF5824C" w:rsidR="004C7180" w:rsidRPr="00124297" w:rsidRDefault="003D0F76">
                        <w:pPr>
                          <w:spacing w:before="1"/>
                          <w:ind w:left="74"/>
                          <w:rPr>
                            <w:sz w:val="18"/>
                            <w:szCs w:val="18"/>
                          </w:rPr>
                        </w:pPr>
                        <w:r w:rsidRPr="00BA35CA">
                          <w:rPr>
                            <w:spacing w:val="-2"/>
                            <w:sz w:val="18"/>
                            <w:szCs w:val="18"/>
                            <w:shd w:val="clear" w:color="auto" w:fill="FFFF00"/>
                            <w:lang w:val="en-GB"/>
                          </w:rPr>
                          <w:t>Provides additional support to the Project Manager and Assistant Project Manager and holds overall responsibility for the intervention delivery.</w:t>
                        </w:r>
                      </w:p>
                    </w:txbxContent>
                  </v:textbox>
                </v:shape>
                <v:shape id="Textbox 251" o:spid="_x0000_s1052" type="#_x0000_t202" style="position:absolute;left:35383;top:16130;width:8338;height:6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oVxAAAANwAAAAPAAAAZHJzL2Rvd25yZXYueG1sRI9Ba8JA&#10;FITvgv9heYI33Sgo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MYEuhXEAAAA3AAAAA8A&#10;AAAAAAAAAAAAAAAABwIAAGRycy9kb3ducmV2LnhtbFBLBQYAAAAAAwADALcAAAD4AgAAAAA=&#10;" filled="f" stroked="f">
                  <v:textbox inset="0,0,0,0">
                    <w:txbxContent>
                      <w:p w14:paraId="28F0D595" w14:textId="13326888" w:rsidR="004C7180" w:rsidRPr="00124297" w:rsidRDefault="00C12395">
                        <w:pPr>
                          <w:spacing w:before="1"/>
                          <w:ind w:left="74"/>
                          <w:rPr>
                            <w:sz w:val="18"/>
                            <w:szCs w:val="18"/>
                          </w:rPr>
                        </w:pPr>
                        <w:r w:rsidRPr="00BA35CA">
                          <w:rPr>
                            <w:spacing w:val="-2"/>
                            <w:sz w:val="18"/>
                            <w:szCs w:val="18"/>
                            <w:shd w:val="clear" w:color="auto" w:fill="FFFF00"/>
                            <w:lang w:val="en-GB"/>
                          </w:rPr>
                          <w:t>Provides additional support to the Project Manager</w:t>
                        </w:r>
                      </w:p>
                    </w:txbxContent>
                  </v:textbox>
                </v:shape>
                <v:shape id="Textbox 252" o:spid="_x0000_s1053" type="#_x0000_t202" style="position:absolute;left:35383;top:2824;width:8338;height:13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iRixQAAANwAAAAPAAAAZHJzL2Rvd25yZXYueG1sRI9Ba8JA&#10;FITvBf/D8oTe6sZApU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A21iRixQAAANwAAAAP&#10;AAAAAAAAAAAAAAAAAAcCAABkcnMvZG93bnJldi54bWxQSwUGAAAAAAMAAwC3AAAA+QIAAAAA&#10;" filled="f" stroked="f">
                  <v:textbox inset="0,0,0,0">
                    <w:txbxContent>
                      <w:p w14:paraId="3A3E7425" w14:textId="32FA97F2" w:rsidR="004C7180" w:rsidRPr="00124297" w:rsidRDefault="00F80FD6">
                        <w:pPr>
                          <w:spacing w:before="3"/>
                          <w:ind w:left="74"/>
                          <w:rPr>
                            <w:sz w:val="18"/>
                            <w:szCs w:val="18"/>
                          </w:rPr>
                        </w:pPr>
                        <w:r w:rsidRPr="00BA35CA">
                          <w:rPr>
                            <w:spacing w:val="-2"/>
                            <w:sz w:val="18"/>
                            <w:szCs w:val="18"/>
                            <w:shd w:val="clear" w:color="auto" w:fill="FFFF00"/>
                            <w:lang w:val="en-GB"/>
                          </w:rPr>
                          <w:t>Day-to-day project manager and key point of contact for the buyer (and other buyer RCT suppliers).</w:t>
                        </w:r>
                      </w:p>
                    </w:txbxContent>
                  </v:textbox>
                </v:shape>
                <w10:wrap anchorx="page"/>
              </v:group>
            </w:pict>
          </mc:Fallback>
        </mc:AlternateContent>
      </w:r>
      <w:r w:rsidR="00CF0754" w:rsidRPr="00150EDC">
        <w:rPr>
          <w:noProof/>
          <w:lang w:val="en-GB" w:eastAsia="en-GB"/>
        </w:rPr>
        <mc:AlternateContent>
          <mc:Choice Requires="wps">
            <w:drawing>
              <wp:anchor distT="0" distB="0" distL="0" distR="0" simplePos="0" relativeHeight="251658277" behindDoc="1" locked="0" layoutInCell="1" allowOverlap="1" wp14:anchorId="5EFA9171" wp14:editId="4DAA7C2F">
                <wp:simplePos x="0" y="0"/>
                <wp:positionH relativeFrom="page">
                  <wp:posOffset>688848</wp:posOffset>
                </wp:positionH>
                <wp:positionV relativeFrom="paragraph">
                  <wp:posOffset>301242</wp:posOffset>
                </wp:positionV>
                <wp:extent cx="798195" cy="273685"/>
                <wp:effectExtent l="0" t="0" r="0" b="0"/>
                <wp:wrapTopAndBottom/>
                <wp:docPr id="1890577009" name="Free-form: Shape 18905770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8195" cy="273685"/>
                        </a:xfrm>
                        <a:custGeom>
                          <a:avLst/>
                          <a:gdLst/>
                          <a:ahLst/>
                          <a:cxnLst/>
                          <a:rect l="l" t="t" r="r" b="b"/>
                          <a:pathLst>
                            <a:path w="798195" h="273685">
                              <a:moveTo>
                                <a:pt x="797915" y="0"/>
                              </a:moveTo>
                              <a:lnTo>
                                <a:pt x="9182" y="0"/>
                              </a:lnTo>
                              <a:lnTo>
                                <a:pt x="0" y="0"/>
                              </a:lnTo>
                              <a:lnTo>
                                <a:pt x="0" y="9169"/>
                              </a:lnTo>
                              <a:lnTo>
                                <a:pt x="0" y="273227"/>
                              </a:lnTo>
                              <a:lnTo>
                                <a:pt x="9182" y="273227"/>
                              </a:lnTo>
                              <a:lnTo>
                                <a:pt x="9182" y="9182"/>
                              </a:lnTo>
                              <a:lnTo>
                                <a:pt x="797915" y="9182"/>
                              </a:lnTo>
                              <a:lnTo>
                                <a:pt x="79791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3B8927" id="Free-form: Shape 1890577009" o:spid="_x0000_s1026" style="position:absolute;margin-left:54.25pt;margin-top:23.7pt;width:62.85pt;height:21.55pt;z-index:-251658203;visibility:visible;mso-wrap-style:square;mso-wrap-distance-left:0;mso-wrap-distance-top:0;mso-wrap-distance-right:0;mso-wrap-distance-bottom:0;mso-position-horizontal:absolute;mso-position-horizontal-relative:page;mso-position-vertical:absolute;mso-position-vertical-relative:text;v-text-anchor:top" coordsize="798195,273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" path="m797915,l9182,,,,,9169,,273227r9182,l9182,9182r788733,l797915,xe" fillcolor="black" stroked="f">
                <v:path arrowok="t"/>
                <w10:wrap type="topAndBottom" anchorx="page"/>
              </v:shape>
            </w:pict>
          </mc:Fallback>
        </mc:AlternateContent>
      </w:r>
      <w:r w:rsidR="00CF0754" w:rsidRPr="00150EDC">
        <w:rPr>
          <w:noProof/>
          <w:lang w:val="en-GB" w:eastAsia="en-GB"/>
        </w:rPr>
        <mc:AlternateContent>
          <mc:Choice Requires="wpg">
            <w:drawing>
              <wp:anchor distT="0" distB="0" distL="0" distR="0" simplePos="0" relativeHeight="251658265" behindDoc="1" locked="0" layoutInCell="1" allowOverlap="1" wp14:anchorId="206AF2A4" wp14:editId="41EB2FB5">
                <wp:simplePos x="0" y="0"/>
                <wp:positionH relativeFrom="page">
                  <wp:posOffset>1540151</wp:posOffset>
                </wp:positionH>
                <wp:positionV relativeFrom="paragraph">
                  <wp:posOffset>585392</wp:posOffset>
                </wp:positionV>
                <wp:extent cx="5080" cy="133350"/>
                <wp:effectExtent l="0" t="0" r="0" b="0"/>
                <wp:wrapNone/>
                <wp:docPr id="241834411" name="Group 241834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80" cy="133350"/>
                          <a:chOff x="0" y="0"/>
                          <a:chExt cx="5080" cy="133350"/>
                        </a:xfrm>
                      </wpg:grpSpPr>
                      <wps:wsp>
                        <wps:cNvPr id="1751438923" name="Graphic 230"/>
                        <wps:cNvSpPr/>
                        <wps:spPr>
                          <a:xfrm>
                            <a:off x="574" y="129156"/>
                            <a:ext cx="3810" cy="3810"/>
                          </a:xfrm>
                          <a:custGeom>
                            <a:avLst/>
                            <a:gdLst/>
                            <a:ahLst/>
                            <a:cxnLst/>
                            <a:rect l="l" t="t" r="r" b="b"/>
                            <a:pathLst>
                              <a:path w="3810" h="3810">
                                <a:moveTo>
                                  <a:pt x="3441" y="3441"/>
                                </a:moveTo>
                                <a:lnTo>
                                  <a:pt x="0" y="0"/>
                                </a:lnTo>
                              </a:path>
                            </a:pathLst>
                          </a:custGeom>
                          <a:ln w="1143">
                            <a:solidFill>
                              <a:srgbClr val="D13438"/>
                            </a:solidFill>
                            <a:prstDash val="solid"/>
                          </a:ln>
                        </wps:spPr>
                        <wps:bodyPr wrap="square" lIns="0" tIns="0" rIns="0" bIns="0" rtlCol="0">
                          <a:prstTxWarp prst="textNoShape">
                            <a:avLst/>
                          </a:prstTxWarp>
                          <a:noAutofit/>
                        </wps:bodyPr>
                      </wps:wsp>
                      <wps:wsp>
                        <wps:cNvPr id="1779815254" name="Graphic 231"/>
                        <wps:cNvSpPr/>
                        <wps:spPr>
                          <a:xfrm>
                            <a:off x="571" y="4008"/>
                            <a:ext cx="1270" cy="125730"/>
                          </a:xfrm>
                          <a:custGeom>
                            <a:avLst/>
                            <a:gdLst/>
                            <a:ahLst/>
                            <a:cxnLst/>
                            <a:rect l="l" t="t" r="r" b="b"/>
                            <a:pathLst>
                              <a:path h="125730">
                                <a:moveTo>
                                  <a:pt x="0" y="125145"/>
                                </a:moveTo>
                                <a:lnTo>
                                  <a:pt x="0" y="0"/>
                                </a:lnTo>
                              </a:path>
                            </a:pathLst>
                          </a:custGeom>
                          <a:ln w="1143">
                            <a:solidFill>
                              <a:srgbClr val="D13438"/>
                            </a:solidFill>
                            <a:prstDash val="solid"/>
                          </a:ln>
                        </wps:spPr>
                        <wps:bodyPr wrap="square" lIns="0" tIns="0" rIns="0" bIns="0" rtlCol="0">
                          <a:prstTxWarp prst="textNoShape">
                            <a:avLst/>
                          </a:prstTxWarp>
                          <a:noAutofit/>
                        </wps:bodyPr>
                      </wps:wsp>
                      <wps:wsp>
                        <wps:cNvPr id="733603453" name="Graphic 232"/>
                        <wps:cNvSpPr/>
                        <wps:spPr>
                          <a:xfrm>
                            <a:off x="571" y="571"/>
                            <a:ext cx="3810" cy="3810"/>
                          </a:xfrm>
                          <a:custGeom>
                            <a:avLst/>
                            <a:gdLst/>
                            <a:ahLst/>
                            <a:cxnLst/>
                            <a:rect l="l" t="t" r="r" b="b"/>
                            <a:pathLst>
                              <a:path w="3810" h="3810">
                                <a:moveTo>
                                  <a:pt x="0" y="3441"/>
                                </a:moveTo>
                                <a:lnTo>
                                  <a:pt x="3441" y="0"/>
                                </a:lnTo>
                              </a:path>
                            </a:pathLst>
                          </a:custGeom>
                          <a:ln w="1143">
                            <a:solidFill>
                              <a:srgbClr val="D13438"/>
                            </a:solidFill>
                            <a:prstDash val="solid"/>
                          </a:ln>
                        </wps:spPr>
                        <wps:bodyPr wrap="square" lIns="0" tIns="0" rIns="0" bIns="0" rtlCol="0">
                          <a:prstTxWarp prst="textNoShape">
                            <a:avLst/>
                          </a:prstTxWarp>
                          <a:noAutofit/>
                        </wps:bodyPr>
                      </wps:wsp>
                    </wpg:wgp>
                  </a:graphicData>
                </a:graphic>
              </wp:anchor>
            </w:drawing>
          </mc:Choice>
          <mc:Fallback>
            <w:pict>
              <v:group w14:anchorId="02CA3F2D" id="Group 241834411" o:spid="_x0000_s1026" style="position:absolute;margin-left:121.25pt;margin-top:46.1pt;width:.4pt;height:10.5pt;z-index:-251658215;mso-wrap-distance-left:0;mso-wrap-distance-right:0;mso-position-horizontal-relative:page" coordsize="5080,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">
                <v:shape id="Graphic 230" o:spid="_x0000_s1027" style="position:absolute;left:574;top:129156;width:3810;height:3810;visibility:visible;mso-wrap-style:square;v-text-anchor:top" coordsize="38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" path="m3441,3441l,e" filled="f" strokecolor="#d13438" strokeweight=".09pt">
                  <v:path arrowok="t"/>
                </v:shape>
                <v:shape id="Graphic 231" o:spid="_x0000_s1028" style="position:absolute;left:571;top:4008;width:1270;height:125730;visibility:visible;mso-wrap-style:square;v-text-anchor:top" coordsize="1270,12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" path="m,125145l,e" filled="f" strokecolor="#d13438" strokeweight=".09pt">
                  <v:path arrowok="t"/>
                </v:shape>
                <v:shape id="Graphic 232" o:spid="_x0000_s1029" style="position:absolute;left:571;top:571;width:3810;height:3810;visibility:visible;mso-wrap-style:square;v-text-anchor:top" coordsize="38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" path="m,3441l3441,e" filled="f" strokecolor="#d13438" strokeweight=".09pt">
                  <v:path arrowok="t"/>
                </v:shape>
                <w10:wrap anchorx="page"/>
              </v:group>
            </w:pict>
          </mc:Fallback>
        </mc:AlternateContent>
      </w:r>
      <w:bookmarkStart w:id="64" w:name="4.2_The_Operational_Board_members,_frequ"/>
      <w:bookmarkEnd w:id="64"/>
      <w:r w:rsidR="00CF0754" w:rsidRPr="00150EDC">
        <w:rPr>
          <w:sz w:val="18"/>
          <w:szCs w:val="18"/>
        </w:rPr>
        <w:t xml:space="preserve">The Operational Board members, frequency and location of board meetings and </w:t>
      </w:r>
      <w:r w:rsidR="00CF0754" w:rsidRPr="00150EDC">
        <w:rPr>
          <w:spacing w:val="-2"/>
          <w:sz w:val="18"/>
          <w:szCs w:val="18"/>
        </w:rPr>
        <w:t>planned:</w:t>
      </w:r>
    </w:p>
    <w:p w14:paraId="6B8442A2" w14:textId="4F1220BD" w:rsidR="00C13005" w:rsidRPr="00124297" w:rsidRDefault="00864244" w:rsidP="00C13005">
      <w:pPr>
        <w:spacing w:before="17"/>
        <w:ind w:left="2389" w:right="8129"/>
        <w:rPr>
          <w:spacing w:val="-2"/>
          <w:sz w:val="18"/>
          <w:shd w:val="clear" w:color="auto" w:fill="F8DCDD"/>
        </w:rPr>
      </w:pPr>
      <w:r w:rsidRPr="00124297">
        <w:rPr>
          <w:noProof/>
          <w:lang w:val="en-GB" w:eastAsia="en-GB"/>
        </w:rPr>
        <mc:AlternateContent>
          <mc:Choice Requires="wpg">
            <w:drawing>
              <wp:anchor distT="0" distB="0" distL="0" distR="0" simplePos="0" relativeHeight="251658263" behindDoc="1" locked="0" layoutInCell="1" allowOverlap="1" wp14:anchorId="51D8E5EB" wp14:editId="6F507B5B">
                <wp:simplePos x="0" y="0"/>
                <wp:positionH relativeFrom="page">
                  <wp:posOffset>1498349</wp:posOffset>
                </wp:positionH>
                <wp:positionV relativeFrom="page">
                  <wp:posOffset>4603687</wp:posOffset>
                </wp:positionV>
                <wp:extent cx="3574291" cy="3715385"/>
                <wp:effectExtent l="0" t="0" r="7620" b="0"/>
                <wp:wrapNone/>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74291" cy="3715385"/>
                          <a:chOff x="0" y="3297275"/>
                          <a:chExt cx="3574415" cy="3715741"/>
                        </a:xfrm>
                      </wpg:grpSpPr>
                      <wps:wsp>
                        <wps:cNvPr id="204" name="Graphic 201"/>
                        <wps:cNvSpPr/>
                        <wps:spPr>
                          <a:xfrm>
                            <a:off x="951763" y="3297275"/>
                            <a:ext cx="2622550" cy="1330960"/>
                          </a:xfrm>
                          <a:custGeom>
                            <a:avLst/>
                            <a:gdLst/>
                            <a:ahLst/>
                            <a:cxnLst/>
                            <a:rect l="l" t="t" r="r" b="b"/>
                            <a:pathLst>
                              <a:path w="2622550" h="1330960">
                                <a:moveTo>
                                  <a:pt x="1770329" y="0"/>
                                </a:moveTo>
                                <a:lnTo>
                                  <a:pt x="871385" y="0"/>
                                </a:lnTo>
                                <a:lnTo>
                                  <a:pt x="862203" y="0"/>
                                </a:lnTo>
                                <a:lnTo>
                                  <a:pt x="9182" y="0"/>
                                </a:lnTo>
                                <a:lnTo>
                                  <a:pt x="0" y="0"/>
                                </a:lnTo>
                                <a:lnTo>
                                  <a:pt x="0" y="9194"/>
                                </a:lnTo>
                                <a:lnTo>
                                  <a:pt x="0" y="1330642"/>
                                </a:lnTo>
                                <a:lnTo>
                                  <a:pt x="9182" y="1330642"/>
                                </a:lnTo>
                                <a:lnTo>
                                  <a:pt x="9182" y="9194"/>
                                </a:lnTo>
                                <a:lnTo>
                                  <a:pt x="862203" y="9194"/>
                                </a:lnTo>
                                <a:lnTo>
                                  <a:pt x="862203" y="1330642"/>
                                </a:lnTo>
                                <a:lnTo>
                                  <a:pt x="871385" y="1330642"/>
                                </a:lnTo>
                                <a:lnTo>
                                  <a:pt x="871385" y="9194"/>
                                </a:lnTo>
                                <a:lnTo>
                                  <a:pt x="1770329" y="9194"/>
                                </a:lnTo>
                                <a:lnTo>
                                  <a:pt x="1770329" y="0"/>
                                </a:lnTo>
                                <a:close/>
                              </a:path>
                              <a:path w="2622550" h="1330960">
                                <a:moveTo>
                                  <a:pt x="2613012" y="0"/>
                                </a:moveTo>
                                <a:lnTo>
                                  <a:pt x="1779524" y="0"/>
                                </a:lnTo>
                                <a:lnTo>
                                  <a:pt x="1770341" y="0"/>
                                </a:lnTo>
                                <a:lnTo>
                                  <a:pt x="1770341" y="9194"/>
                                </a:lnTo>
                                <a:lnTo>
                                  <a:pt x="1770341" y="1330642"/>
                                </a:lnTo>
                                <a:lnTo>
                                  <a:pt x="1779524" y="1330642"/>
                                </a:lnTo>
                                <a:lnTo>
                                  <a:pt x="1779524" y="9194"/>
                                </a:lnTo>
                                <a:lnTo>
                                  <a:pt x="2613012" y="9194"/>
                                </a:lnTo>
                                <a:lnTo>
                                  <a:pt x="2613012" y="0"/>
                                </a:lnTo>
                                <a:close/>
                              </a:path>
                              <a:path w="2622550" h="1330960">
                                <a:moveTo>
                                  <a:pt x="2622219" y="0"/>
                                </a:moveTo>
                                <a:lnTo>
                                  <a:pt x="2613025" y="0"/>
                                </a:lnTo>
                                <a:lnTo>
                                  <a:pt x="2613025" y="9194"/>
                                </a:lnTo>
                                <a:lnTo>
                                  <a:pt x="2613025" y="1330642"/>
                                </a:lnTo>
                                <a:lnTo>
                                  <a:pt x="2622219" y="1330642"/>
                                </a:lnTo>
                                <a:lnTo>
                                  <a:pt x="2622219" y="9194"/>
                                </a:lnTo>
                                <a:lnTo>
                                  <a:pt x="2622219" y="0"/>
                                </a:lnTo>
                                <a:close/>
                              </a:path>
                            </a:pathLst>
                          </a:custGeom>
                          <a:solidFill>
                            <a:srgbClr val="000000"/>
                          </a:solidFill>
                        </wps:spPr>
                        <wps:bodyPr wrap="square" lIns="0" tIns="0" rIns="0" bIns="0" rtlCol="0">
                          <a:prstTxWarp prst="textNoShape">
                            <a:avLst/>
                          </a:prstTxWarp>
                          <a:noAutofit/>
                        </wps:bodyPr>
                      </wps:wsp>
                      <wps:wsp>
                        <wps:cNvPr id="205" name="Graphic 202"/>
                        <wps:cNvSpPr/>
                        <wps:spPr>
                          <a:xfrm>
                            <a:off x="44780" y="4766830"/>
                            <a:ext cx="3810" cy="3810"/>
                          </a:xfrm>
                          <a:custGeom>
                            <a:avLst/>
                            <a:gdLst/>
                            <a:ahLst/>
                            <a:cxnLst/>
                            <a:rect l="l" t="t" r="r" b="b"/>
                            <a:pathLst>
                              <a:path w="3810" h="3810">
                                <a:moveTo>
                                  <a:pt x="3441" y="3441"/>
                                </a:moveTo>
                                <a:lnTo>
                                  <a:pt x="0" y="0"/>
                                </a:lnTo>
                              </a:path>
                            </a:pathLst>
                          </a:custGeom>
                          <a:ln w="1143">
                            <a:solidFill>
                              <a:srgbClr val="D13438"/>
                            </a:solidFill>
                            <a:prstDash val="solid"/>
                          </a:ln>
                        </wps:spPr>
                        <wps:bodyPr wrap="square" lIns="0" tIns="0" rIns="0" bIns="0" rtlCol="0">
                          <a:prstTxWarp prst="textNoShape">
                            <a:avLst/>
                          </a:prstTxWarp>
                          <a:noAutofit/>
                        </wps:bodyPr>
                      </wps:wsp>
                      <wps:wsp>
                        <wps:cNvPr id="206" name="Graphic 203"/>
                        <wps:cNvSpPr/>
                        <wps:spPr>
                          <a:xfrm>
                            <a:off x="44777" y="4641682"/>
                            <a:ext cx="1270" cy="125730"/>
                          </a:xfrm>
                          <a:custGeom>
                            <a:avLst/>
                            <a:gdLst/>
                            <a:ahLst/>
                            <a:cxnLst/>
                            <a:rect l="l" t="t" r="r" b="b"/>
                            <a:pathLst>
                              <a:path h="125730">
                                <a:moveTo>
                                  <a:pt x="0" y="125145"/>
                                </a:moveTo>
                                <a:lnTo>
                                  <a:pt x="0" y="0"/>
                                </a:lnTo>
                              </a:path>
                            </a:pathLst>
                          </a:custGeom>
                          <a:ln w="1143">
                            <a:solidFill>
                              <a:srgbClr val="D13438"/>
                            </a:solidFill>
                            <a:prstDash val="solid"/>
                          </a:ln>
                        </wps:spPr>
                        <wps:bodyPr wrap="square" lIns="0" tIns="0" rIns="0" bIns="0" rtlCol="0">
                          <a:prstTxWarp prst="textNoShape">
                            <a:avLst/>
                          </a:prstTxWarp>
                          <a:noAutofit/>
                        </wps:bodyPr>
                      </wps:wsp>
                      <wps:wsp>
                        <wps:cNvPr id="207" name="Graphic 204"/>
                        <wps:cNvSpPr/>
                        <wps:spPr>
                          <a:xfrm>
                            <a:off x="44777" y="4638245"/>
                            <a:ext cx="3810" cy="3810"/>
                          </a:xfrm>
                          <a:custGeom>
                            <a:avLst/>
                            <a:gdLst/>
                            <a:ahLst/>
                            <a:cxnLst/>
                            <a:rect l="l" t="t" r="r" b="b"/>
                            <a:pathLst>
                              <a:path w="3810" h="3810">
                                <a:moveTo>
                                  <a:pt x="0" y="3441"/>
                                </a:moveTo>
                                <a:lnTo>
                                  <a:pt x="3441" y="0"/>
                                </a:lnTo>
                              </a:path>
                            </a:pathLst>
                          </a:custGeom>
                          <a:ln w="1143">
                            <a:solidFill>
                              <a:srgbClr val="D13438"/>
                            </a:solidFill>
                            <a:prstDash val="solid"/>
                          </a:ln>
                        </wps:spPr>
                        <wps:bodyPr wrap="square" lIns="0" tIns="0" rIns="0" bIns="0" rtlCol="0">
                          <a:prstTxWarp prst="textNoShape">
                            <a:avLst/>
                          </a:prstTxWarp>
                          <a:noAutofit/>
                        </wps:bodyPr>
                      </wps:wsp>
                      <wps:wsp>
                        <wps:cNvPr id="208" name="Graphic 205"/>
                        <wps:cNvSpPr/>
                        <wps:spPr>
                          <a:xfrm>
                            <a:off x="0" y="4627917"/>
                            <a:ext cx="3574415" cy="669925"/>
                          </a:xfrm>
                          <a:custGeom>
                            <a:avLst/>
                            <a:gdLst/>
                            <a:ahLst/>
                            <a:cxnLst/>
                            <a:rect l="l" t="t" r="r" b="b"/>
                            <a:pathLst>
                              <a:path w="3574415" h="669925">
                                <a:moveTo>
                                  <a:pt x="2722092" y="0"/>
                                </a:moveTo>
                                <a:lnTo>
                                  <a:pt x="2722092" y="0"/>
                                </a:lnTo>
                                <a:lnTo>
                                  <a:pt x="0" y="0"/>
                                </a:lnTo>
                                <a:lnTo>
                                  <a:pt x="0" y="9182"/>
                                </a:lnTo>
                                <a:lnTo>
                                  <a:pt x="951763" y="9182"/>
                                </a:lnTo>
                                <a:lnTo>
                                  <a:pt x="951763" y="669328"/>
                                </a:lnTo>
                                <a:lnTo>
                                  <a:pt x="960945" y="669328"/>
                                </a:lnTo>
                                <a:lnTo>
                                  <a:pt x="960945" y="9182"/>
                                </a:lnTo>
                                <a:lnTo>
                                  <a:pt x="1813966" y="9182"/>
                                </a:lnTo>
                                <a:lnTo>
                                  <a:pt x="1813966" y="669328"/>
                                </a:lnTo>
                                <a:lnTo>
                                  <a:pt x="1823148" y="669328"/>
                                </a:lnTo>
                                <a:lnTo>
                                  <a:pt x="1823148" y="9182"/>
                                </a:lnTo>
                                <a:lnTo>
                                  <a:pt x="2722092" y="9182"/>
                                </a:lnTo>
                                <a:lnTo>
                                  <a:pt x="2722092" y="0"/>
                                </a:lnTo>
                                <a:close/>
                              </a:path>
                              <a:path w="3574415" h="669925">
                                <a:moveTo>
                                  <a:pt x="3564775" y="0"/>
                                </a:moveTo>
                                <a:lnTo>
                                  <a:pt x="2731287" y="0"/>
                                </a:lnTo>
                                <a:lnTo>
                                  <a:pt x="2722105" y="0"/>
                                </a:lnTo>
                                <a:lnTo>
                                  <a:pt x="2722105" y="9182"/>
                                </a:lnTo>
                                <a:lnTo>
                                  <a:pt x="2722105" y="669328"/>
                                </a:lnTo>
                                <a:lnTo>
                                  <a:pt x="2731287" y="669328"/>
                                </a:lnTo>
                                <a:lnTo>
                                  <a:pt x="2731287" y="9182"/>
                                </a:lnTo>
                                <a:lnTo>
                                  <a:pt x="3564775" y="9182"/>
                                </a:lnTo>
                                <a:lnTo>
                                  <a:pt x="3564775" y="0"/>
                                </a:lnTo>
                                <a:close/>
                              </a:path>
                              <a:path w="3574415" h="669925">
                                <a:moveTo>
                                  <a:pt x="3573983" y="0"/>
                                </a:moveTo>
                                <a:lnTo>
                                  <a:pt x="3564788" y="0"/>
                                </a:lnTo>
                                <a:lnTo>
                                  <a:pt x="3564788" y="9182"/>
                                </a:lnTo>
                                <a:lnTo>
                                  <a:pt x="3564788" y="669328"/>
                                </a:lnTo>
                                <a:lnTo>
                                  <a:pt x="3573983" y="669328"/>
                                </a:lnTo>
                                <a:lnTo>
                                  <a:pt x="3573983" y="9182"/>
                                </a:lnTo>
                                <a:lnTo>
                                  <a:pt x="3573983" y="0"/>
                                </a:lnTo>
                                <a:close/>
                              </a:path>
                            </a:pathLst>
                          </a:custGeom>
                          <a:solidFill>
                            <a:srgbClr val="000000"/>
                          </a:solidFill>
                        </wps:spPr>
                        <wps:bodyPr wrap="square" lIns="0" tIns="0" rIns="0" bIns="0" rtlCol="0">
                          <a:prstTxWarp prst="textNoShape">
                            <a:avLst/>
                          </a:prstTxWarp>
                          <a:noAutofit/>
                        </wps:bodyPr>
                      </wps:wsp>
                      <wps:wsp>
                        <wps:cNvPr id="209" name="Graphic 206"/>
                        <wps:cNvSpPr/>
                        <wps:spPr>
                          <a:xfrm>
                            <a:off x="44780" y="5436161"/>
                            <a:ext cx="3810" cy="3810"/>
                          </a:xfrm>
                          <a:custGeom>
                            <a:avLst/>
                            <a:gdLst/>
                            <a:ahLst/>
                            <a:cxnLst/>
                            <a:rect l="l" t="t" r="r" b="b"/>
                            <a:pathLst>
                              <a:path w="3810" h="3810">
                                <a:moveTo>
                                  <a:pt x="3441" y="3441"/>
                                </a:moveTo>
                                <a:lnTo>
                                  <a:pt x="0" y="0"/>
                                </a:lnTo>
                              </a:path>
                            </a:pathLst>
                          </a:custGeom>
                          <a:ln w="1143">
                            <a:solidFill>
                              <a:srgbClr val="D13438"/>
                            </a:solidFill>
                            <a:prstDash val="solid"/>
                          </a:ln>
                        </wps:spPr>
                        <wps:bodyPr wrap="square" lIns="0" tIns="0" rIns="0" bIns="0" rtlCol="0">
                          <a:prstTxWarp prst="textNoShape">
                            <a:avLst/>
                          </a:prstTxWarp>
                          <a:noAutofit/>
                        </wps:bodyPr>
                      </wps:wsp>
                      <wps:wsp>
                        <wps:cNvPr id="210" name="Graphic 207"/>
                        <wps:cNvSpPr/>
                        <wps:spPr>
                          <a:xfrm>
                            <a:off x="44777" y="5311013"/>
                            <a:ext cx="1270" cy="125730"/>
                          </a:xfrm>
                          <a:custGeom>
                            <a:avLst/>
                            <a:gdLst/>
                            <a:ahLst/>
                            <a:cxnLst/>
                            <a:rect l="l" t="t" r="r" b="b"/>
                            <a:pathLst>
                              <a:path h="125730">
                                <a:moveTo>
                                  <a:pt x="0" y="125145"/>
                                </a:moveTo>
                                <a:lnTo>
                                  <a:pt x="0" y="0"/>
                                </a:lnTo>
                              </a:path>
                            </a:pathLst>
                          </a:custGeom>
                          <a:ln w="1143">
                            <a:solidFill>
                              <a:srgbClr val="D13438"/>
                            </a:solidFill>
                            <a:prstDash val="solid"/>
                          </a:ln>
                        </wps:spPr>
                        <wps:bodyPr wrap="square" lIns="0" tIns="0" rIns="0" bIns="0" rtlCol="0">
                          <a:prstTxWarp prst="textNoShape">
                            <a:avLst/>
                          </a:prstTxWarp>
                          <a:noAutofit/>
                        </wps:bodyPr>
                      </wps:wsp>
                      <wps:wsp>
                        <wps:cNvPr id="211" name="Graphic 208"/>
                        <wps:cNvSpPr/>
                        <wps:spPr>
                          <a:xfrm>
                            <a:off x="44777" y="5307576"/>
                            <a:ext cx="3810" cy="3810"/>
                          </a:xfrm>
                          <a:custGeom>
                            <a:avLst/>
                            <a:gdLst/>
                            <a:ahLst/>
                            <a:cxnLst/>
                            <a:rect l="l" t="t" r="r" b="b"/>
                            <a:pathLst>
                              <a:path w="3810" h="3810">
                                <a:moveTo>
                                  <a:pt x="0" y="3441"/>
                                </a:moveTo>
                                <a:lnTo>
                                  <a:pt x="3441" y="0"/>
                                </a:lnTo>
                              </a:path>
                            </a:pathLst>
                          </a:custGeom>
                          <a:ln w="1143">
                            <a:solidFill>
                              <a:srgbClr val="D13438"/>
                            </a:solidFill>
                            <a:prstDash val="solid"/>
                          </a:ln>
                        </wps:spPr>
                        <wps:bodyPr wrap="square" lIns="0" tIns="0" rIns="0" bIns="0" rtlCol="0">
                          <a:prstTxWarp prst="textNoShape">
                            <a:avLst/>
                          </a:prstTxWarp>
                          <a:noAutofit/>
                        </wps:bodyPr>
                      </wps:wsp>
                      <wps:wsp>
                        <wps:cNvPr id="212" name="Graphic 209"/>
                        <wps:cNvSpPr/>
                        <wps:spPr>
                          <a:xfrm>
                            <a:off x="447753" y="5700219"/>
                            <a:ext cx="3810" cy="3810"/>
                          </a:xfrm>
                          <a:custGeom>
                            <a:avLst/>
                            <a:gdLst/>
                            <a:ahLst/>
                            <a:cxnLst/>
                            <a:rect l="l" t="t" r="r" b="b"/>
                            <a:pathLst>
                              <a:path w="3810" h="3810">
                                <a:moveTo>
                                  <a:pt x="0" y="3441"/>
                                </a:moveTo>
                                <a:lnTo>
                                  <a:pt x="3441" y="0"/>
                                </a:lnTo>
                              </a:path>
                            </a:pathLst>
                          </a:custGeom>
                          <a:ln w="1143">
                            <a:solidFill>
                              <a:srgbClr val="D13438"/>
                            </a:solidFill>
                            <a:prstDash val="solid"/>
                          </a:ln>
                        </wps:spPr>
                        <wps:bodyPr wrap="square" lIns="0" tIns="0" rIns="0" bIns="0" rtlCol="0">
                          <a:prstTxWarp prst="textNoShape">
                            <a:avLst/>
                          </a:prstTxWarp>
                          <a:noAutofit/>
                        </wps:bodyPr>
                      </wps:wsp>
                      <wps:wsp>
                        <wps:cNvPr id="213" name="Graphic 210"/>
                        <wps:cNvSpPr/>
                        <wps:spPr>
                          <a:xfrm>
                            <a:off x="451197" y="5575071"/>
                            <a:ext cx="1270" cy="125730"/>
                          </a:xfrm>
                          <a:custGeom>
                            <a:avLst/>
                            <a:gdLst/>
                            <a:ahLst/>
                            <a:cxnLst/>
                            <a:rect l="l" t="t" r="r" b="b"/>
                            <a:pathLst>
                              <a:path h="125730">
                                <a:moveTo>
                                  <a:pt x="0" y="125145"/>
                                </a:moveTo>
                                <a:lnTo>
                                  <a:pt x="0" y="0"/>
                                </a:lnTo>
                              </a:path>
                            </a:pathLst>
                          </a:custGeom>
                          <a:ln w="1143">
                            <a:solidFill>
                              <a:srgbClr val="D13438"/>
                            </a:solidFill>
                            <a:prstDash val="solid"/>
                          </a:ln>
                        </wps:spPr>
                        <wps:bodyPr wrap="square" lIns="0" tIns="0" rIns="0" bIns="0" rtlCol="0">
                          <a:prstTxWarp prst="textNoShape">
                            <a:avLst/>
                          </a:prstTxWarp>
                          <a:noAutofit/>
                        </wps:bodyPr>
                      </wps:wsp>
                      <wps:wsp>
                        <wps:cNvPr id="214" name="Graphic 211"/>
                        <wps:cNvSpPr/>
                        <wps:spPr>
                          <a:xfrm>
                            <a:off x="447756" y="5571634"/>
                            <a:ext cx="3810" cy="3810"/>
                          </a:xfrm>
                          <a:custGeom>
                            <a:avLst/>
                            <a:gdLst/>
                            <a:ahLst/>
                            <a:cxnLst/>
                            <a:rect l="l" t="t" r="r" b="b"/>
                            <a:pathLst>
                              <a:path w="3810" h="3810">
                                <a:moveTo>
                                  <a:pt x="3441" y="3441"/>
                                </a:moveTo>
                                <a:lnTo>
                                  <a:pt x="0" y="0"/>
                                </a:lnTo>
                              </a:path>
                            </a:pathLst>
                          </a:custGeom>
                          <a:ln w="1143">
                            <a:solidFill>
                              <a:srgbClr val="D13438"/>
                            </a:solidFill>
                            <a:prstDash val="solid"/>
                          </a:ln>
                        </wps:spPr>
                        <wps:bodyPr wrap="square" lIns="0" tIns="0" rIns="0" bIns="0" rtlCol="0">
                          <a:prstTxWarp prst="textNoShape">
                            <a:avLst/>
                          </a:prstTxWarp>
                          <a:noAutofit/>
                        </wps:bodyPr>
                      </wps:wsp>
                      <wps:wsp>
                        <wps:cNvPr id="215" name="Graphic 212"/>
                        <wps:cNvSpPr/>
                        <wps:spPr>
                          <a:xfrm>
                            <a:off x="0" y="5297246"/>
                            <a:ext cx="3574415" cy="1715770"/>
                          </a:xfrm>
                          <a:custGeom>
                            <a:avLst/>
                            <a:gdLst/>
                            <a:ahLst/>
                            <a:cxnLst/>
                            <a:rect l="l" t="t" r="r" b="b"/>
                            <a:pathLst>
                              <a:path w="3574415" h="1715770">
                                <a:moveTo>
                                  <a:pt x="2722092" y="1706029"/>
                                </a:moveTo>
                                <a:lnTo>
                                  <a:pt x="1823148" y="1706029"/>
                                </a:lnTo>
                                <a:lnTo>
                                  <a:pt x="1823148" y="9194"/>
                                </a:lnTo>
                                <a:lnTo>
                                  <a:pt x="1813966" y="9194"/>
                                </a:lnTo>
                                <a:lnTo>
                                  <a:pt x="1813966" y="1706029"/>
                                </a:lnTo>
                                <a:lnTo>
                                  <a:pt x="960945" y="1706029"/>
                                </a:lnTo>
                                <a:lnTo>
                                  <a:pt x="960945" y="9194"/>
                                </a:lnTo>
                                <a:lnTo>
                                  <a:pt x="951763" y="9194"/>
                                </a:lnTo>
                                <a:lnTo>
                                  <a:pt x="951763" y="1706029"/>
                                </a:lnTo>
                                <a:lnTo>
                                  <a:pt x="0" y="1706029"/>
                                </a:lnTo>
                                <a:lnTo>
                                  <a:pt x="0" y="1715223"/>
                                </a:lnTo>
                                <a:lnTo>
                                  <a:pt x="2722092" y="1715223"/>
                                </a:lnTo>
                                <a:lnTo>
                                  <a:pt x="2722092" y="1706029"/>
                                </a:lnTo>
                                <a:close/>
                              </a:path>
                              <a:path w="3574415" h="1715770">
                                <a:moveTo>
                                  <a:pt x="2722092" y="0"/>
                                </a:moveTo>
                                <a:lnTo>
                                  <a:pt x="2722092" y="0"/>
                                </a:lnTo>
                                <a:lnTo>
                                  <a:pt x="0" y="0"/>
                                </a:lnTo>
                                <a:lnTo>
                                  <a:pt x="0" y="9182"/>
                                </a:lnTo>
                                <a:lnTo>
                                  <a:pt x="2722092" y="9182"/>
                                </a:lnTo>
                                <a:lnTo>
                                  <a:pt x="2722092" y="0"/>
                                </a:lnTo>
                                <a:close/>
                              </a:path>
                              <a:path w="3574415" h="1715770">
                                <a:moveTo>
                                  <a:pt x="3564775" y="1706029"/>
                                </a:moveTo>
                                <a:lnTo>
                                  <a:pt x="2731287" y="1706029"/>
                                </a:lnTo>
                                <a:lnTo>
                                  <a:pt x="2731287" y="9194"/>
                                </a:lnTo>
                                <a:lnTo>
                                  <a:pt x="2722105" y="9194"/>
                                </a:lnTo>
                                <a:lnTo>
                                  <a:pt x="2722105" y="1706029"/>
                                </a:lnTo>
                                <a:lnTo>
                                  <a:pt x="2722105" y="1715223"/>
                                </a:lnTo>
                                <a:lnTo>
                                  <a:pt x="2731274" y="1715223"/>
                                </a:lnTo>
                                <a:lnTo>
                                  <a:pt x="3564775" y="1715223"/>
                                </a:lnTo>
                                <a:lnTo>
                                  <a:pt x="3564775" y="1706029"/>
                                </a:lnTo>
                                <a:close/>
                              </a:path>
                              <a:path w="3574415" h="1715770">
                                <a:moveTo>
                                  <a:pt x="3564775" y="0"/>
                                </a:moveTo>
                                <a:lnTo>
                                  <a:pt x="2731287" y="0"/>
                                </a:lnTo>
                                <a:lnTo>
                                  <a:pt x="2722105" y="0"/>
                                </a:lnTo>
                                <a:lnTo>
                                  <a:pt x="2722105" y="9182"/>
                                </a:lnTo>
                                <a:lnTo>
                                  <a:pt x="2731274" y="9182"/>
                                </a:lnTo>
                                <a:lnTo>
                                  <a:pt x="3564775" y="9182"/>
                                </a:lnTo>
                                <a:lnTo>
                                  <a:pt x="3564775" y="0"/>
                                </a:lnTo>
                                <a:close/>
                              </a:path>
                              <a:path w="3574415" h="1715770">
                                <a:moveTo>
                                  <a:pt x="3573983" y="9194"/>
                                </a:moveTo>
                                <a:lnTo>
                                  <a:pt x="3564788" y="9194"/>
                                </a:lnTo>
                                <a:lnTo>
                                  <a:pt x="3564788" y="1706029"/>
                                </a:lnTo>
                                <a:lnTo>
                                  <a:pt x="3564788" y="1715223"/>
                                </a:lnTo>
                                <a:lnTo>
                                  <a:pt x="3573983" y="1715223"/>
                                </a:lnTo>
                                <a:lnTo>
                                  <a:pt x="3573983" y="1706041"/>
                                </a:lnTo>
                                <a:lnTo>
                                  <a:pt x="3573983" y="9194"/>
                                </a:lnTo>
                                <a:close/>
                              </a:path>
                              <a:path w="3574415" h="1715770">
                                <a:moveTo>
                                  <a:pt x="3573983" y="0"/>
                                </a:moveTo>
                                <a:lnTo>
                                  <a:pt x="3564788" y="0"/>
                                </a:lnTo>
                                <a:lnTo>
                                  <a:pt x="3564788" y="9182"/>
                                </a:lnTo>
                                <a:lnTo>
                                  <a:pt x="3573983" y="9182"/>
                                </a:lnTo>
                                <a:lnTo>
                                  <a:pt x="3573983" y="0"/>
                                </a:lnTo>
                                <a:close/>
                              </a:path>
                            </a:pathLst>
                          </a:custGeom>
                          <a:solidFill>
                            <a:srgbClr val="000000"/>
                          </a:solidFill>
                        </wps:spPr>
                        <wps:bodyPr wrap="square" lIns="0" tIns="0" rIns="0" bIns="0" rtlCol="0">
                          <a:prstTxWarp prst="textNoShape">
                            <a:avLst/>
                          </a:prstTxWarp>
                          <a:noAutofit/>
                        </wps:bodyPr>
                      </wps:wsp>
                      <wps:wsp>
                        <wps:cNvPr id="217" name="Graphic 214"/>
                        <wps:cNvSpPr/>
                        <wps:spPr>
                          <a:xfrm>
                            <a:off x="499417" y="3701412"/>
                            <a:ext cx="3810" cy="3810"/>
                          </a:xfrm>
                          <a:custGeom>
                            <a:avLst/>
                            <a:gdLst/>
                            <a:ahLst/>
                            <a:cxnLst/>
                            <a:rect l="l" t="t" r="r" b="b"/>
                            <a:pathLst>
                              <a:path w="3810" h="3810">
                                <a:moveTo>
                                  <a:pt x="0" y="3441"/>
                                </a:moveTo>
                                <a:lnTo>
                                  <a:pt x="3441" y="0"/>
                                </a:lnTo>
                              </a:path>
                            </a:pathLst>
                          </a:custGeom>
                          <a:ln w="1143">
                            <a:solidFill>
                              <a:srgbClr val="D13438"/>
                            </a:solidFill>
                            <a:prstDash val="solid"/>
                          </a:ln>
                        </wps:spPr>
                        <wps:bodyPr wrap="square" lIns="0" tIns="0" rIns="0" bIns="0" rtlCol="0">
                          <a:prstTxWarp prst="textNoShape">
                            <a:avLst/>
                          </a:prstTxWarp>
                          <a:noAutofit/>
                        </wps:bodyPr>
                      </wps:wsp>
                      <wps:wsp>
                        <wps:cNvPr id="218" name="Graphic 215"/>
                        <wps:cNvSpPr/>
                        <wps:spPr>
                          <a:xfrm>
                            <a:off x="502861" y="3576264"/>
                            <a:ext cx="1270" cy="125730"/>
                          </a:xfrm>
                          <a:custGeom>
                            <a:avLst/>
                            <a:gdLst/>
                            <a:ahLst/>
                            <a:cxnLst/>
                            <a:rect l="l" t="t" r="r" b="b"/>
                            <a:pathLst>
                              <a:path h="125730">
                                <a:moveTo>
                                  <a:pt x="0" y="125145"/>
                                </a:moveTo>
                                <a:lnTo>
                                  <a:pt x="0" y="0"/>
                                </a:lnTo>
                              </a:path>
                            </a:pathLst>
                          </a:custGeom>
                          <a:ln w="1143">
                            <a:solidFill>
                              <a:srgbClr val="D13438"/>
                            </a:solidFill>
                            <a:prstDash val="solid"/>
                          </a:ln>
                        </wps:spPr>
                        <wps:bodyPr wrap="square" lIns="0" tIns="0" rIns="0" bIns="0" rtlCol="0">
                          <a:prstTxWarp prst="textNoShape">
                            <a:avLst/>
                          </a:prstTxWarp>
                          <a:noAutofit/>
                        </wps:bodyPr>
                      </wps:wsp>
                      <wps:wsp>
                        <wps:cNvPr id="219" name="Graphic 216"/>
                        <wps:cNvSpPr/>
                        <wps:spPr>
                          <a:xfrm>
                            <a:off x="499419" y="3572827"/>
                            <a:ext cx="3810" cy="3810"/>
                          </a:xfrm>
                          <a:custGeom>
                            <a:avLst/>
                            <a:gdLst/>
                            <a:ahLst/>
                            <a:cxnLst/>
                            <a:rect l="l" t="t" r="r" b="b"/>
                            <a:pathLst>
                              <a:path w="3810" h="3810">
                                <a:moveTo>
                                  <a:pt x="3441" y="3441"/>
                                </a:moveTo>
                                <a:lnTo>
                                  <a:pt x="0" y="0"/>
                                </a:lnTo>
                              </a:path>
                            </a:pathLst>
                          </a:custGeom>
                          <a:ln w="1143">
                            <a:solidFill>
                              <a:srgbClr val="D13438"/>
                            </a:solidFill>
                            <a:prstDash val="solid"/>
                          </a:ln>
                        </wps:spPr>
                        <wps:bodyPr wrap="square" lIns="0" tIns="0" rIns="0" bIns="0" rtlCol="0">
                          <a:prstTxWarp prst="textNoShape">
                            <a:avLst/>
                          </a:prstTxWarp>
                          <a:noAutofit/>
                        </wps:bodyPr>
                      </wps:wsp>
                      <wps:wsp>
                        <wps:cNvPr id="223" name="Graphic 220"/>
                        <wps:cNvSpPr/>
                        <wps:spPr>
                          <a:xfrm>
                            <a:off x="300799" y="4898859"/>
                            <a:ext cx="3810" cy="3810"/>
                          </a:xfrm>
                          <a:custGeom>
                            <a:avLst/>
                            <a:gdLst/>
                            <a:ahLst/>
                            <a:cxnLst/>
                            <a:rect l="l" t="t" r="r" b="b"/>
                            <a:pathLst>
                              <a:path w="3810" h="3810">
                                <a:moveTo>
                                  <a:pt x="0" y="3441"/>
                                </a:moveTo>
                                <a:lnTo>
                                  <a:pt x="3441" y="0"/>
                                </a:lnTo>
                              </a:path>
                            </a:pathLst>
                          </a:custGeom>
                          <a:ln w="1143">
                            <a:solidFill>
                              <a:srgbClr val="D13438"/>
                            </a:solidFill>
                            <a:prstDash val="solid"/>
                          </a:ln>
                        </wps:spPr>
                        <wps:bodyPr wrap="square" lIns="0" tIns="0" rIns="0" bIns="0" rtlCol="0">
                          <a:prstTxWarp prst="textNoShape">
                            <a:avLst/>
                          </a:prstTxWarp>
                          <a:noAutofit/>
                        </wps:bodyPr>
                      </wps:wsp>
                      <wps:wsp>
                        <wps:cNvPr id="224" name="Graphic 221"/>
                        <wps:cNvSpPr/>
                        <wps:spPr>
                          <a:xfrm>
                            <a:off x="304243" y="4773711"/>
                            <a:ext cx="1270" cy="125730"/>
                          </a:xfrm>
                          <a:custGeom>
                            <a:avLst/>
                            <a:gdLst/>
                            <a:ahLst/>
                            <a:cxnLst/>
                            <a:rect l="l" t="t" r="r" b="b"/>
                            <a:pathLst>
                              <a:path h="125730">
                                <a:moveTo>
                                  <a:pt x="0" y="125145"/>
                                </a:moveTo>
                                <a:lnTo>
                                  <a:pt x="0" y="0"/>
                                </a:lnTo>
                              </a:path>
                            </a:pathLst>
                          </a:custGeom>
                          <a:ln w="1143">
                            <a:solidFill>
                              <a:srgbClr val="D13438"/>
                            </a:solidFill>
                            <a:prstDash val="solid"/>
                          </a:ln>
                        </wps:spPr>
                        <wps:bodyPr wrap="square" lIns="0" tIns="0" rIns="0" bIns="0" rtlCol="0">
                          <a:prstTxWarp prst="textNoShape">
                            <a:avLst/>
                          </a:prstTxWarp>
                          <a:noAutofit/>
                        </wps:bodyPr>
                      </wps:wsp>
                      <wps:wsp>
                        <wps:cNvPr id="225" name="Graphic 222"/>
                        <wps:cNvSpPr/>
                        <wps:spPr>
                          <a:xfrm>
                            <a:off x="300802" y="4770275"/>
                            <a:ext cx="3810" cy="3810"/>
                          </a:xfrm>
                          <a:custGeom>
                            <a:avLst/>
                            <a:gdLst/>
                            <a:ahLst/>
                            <a:cxnLst/>
                            <a:rect l="l" t="t" r="r" b="b"/>
                            <a:pathLst>
                              <a:path w="3810" h="3810">
                                <a:moveTo>
                                  <a:pt x="3441" y="3441"/>
                                </a:moveTo>
                                <a:lnTo>
                                  <a:pt x="0" y="0"/>
                                </a:lnTo>
                              </a:path>
                            </a:pathLst>
                          </a:custGeom>
                          <a:ln w="1143">
                            <a:solidFill>
                              <a:srgbClr val="D13438"/>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4AE6C5" id="Group 199" o:spid="_x0000_s1026" style="position:absolute;margin-left:118pt;margin-top:362.5pt;width:281.45pt;height:292.55pt;z-index:-251658217;mso-wrap-distance-left:0;mso-wrap-distance-right:0;mso-position-horizontal-relative:page;mso-position-vertical-relative:page;mso-width-relative:margin;mso-height-relative:margin" coordorigin=",32972" coordsize="35744,37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">
                <v:shape id="Graphic 201" o:spid="_x0000_s1027" style="position:absolute;left:9517;top:32972;width:26226;height:13310;visibility:visible;mso-wrap-style:square;v-text-anchor:top" coordsize="2622550,133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" path="m1770329,l871385,r-9182,l9182,,,,,9194,,1330642r9182,l9182,9194r853021,l862203,1330642r9182,l871385,9194r898944,l1770329,xem2613012,l1779524,r-9183,l1770341,9194r,1321448l1779524,1330642r,-1321448l2613012,9194r,-9194xem2622219,r-9194,l2613025,9194r,1321448l2622219,1330642r,-1321448l2622219,xe" fillcolor="black" stroked="f">
                  <v:path arrowok="t"/>
                </v:shape>
                <v:shape id="Graphic 202" o:spid="_x0000_s1028" style="position:absolute;left:447;top:47668;width:38;height:38;visibility:visible;mso-wrap-style:square;v-text-anchor:top" coordsize="38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" path="m3441,3441l,e" filled="f" strokecolor="#d13438" strokeweight=".09pt">
                  <v:path arrowok="t"/>
                </v:shape>
                <v:shape id="Graphic 203" o:spid="_x0000_s1029" style="position:absolute;left:447;top:46416;width:13;height:1258;visibility:visible;mso-wrap-style:square;v-text-anchor:top" coordsize="1270,12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" path="m,125145l,e" filled="f" strokecolor="#d13438" strokeweight=".09pt">
                  <v:path arrowok="t"/>
                </v:shape>
                <v:shape id="Graphic 204" o:spid="_x0000_s1030" style="position:absolute;left:447;top:46382;width:38;height:38;visibility:visible;mso-wrap-style:square;v-text-anchor:top" coordsize="38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" path="m,3441l3441,e" filled="f" strokecolor="#d13438" strokeweight=".09pt">
                  <v:path arrowok="t"/>
                </v:shape>
                <v:shape id="Graphic 205" o:spid="_x0000_s1031" style="position:absolute;top:46279;width:35744;height:6699;visibility:visible;mso-wrap-style:square;v-text-anchor:top" coordsize="3574415,669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" path="m2722092,r,l,,,9182r951763,l951763,669328r9182,l960945,9182r853021,l1813966,669328r9182,l1823148,9182r898944,l2722092,xem3564775,l2731287,r-9182,l2722105,9182r,660146l2731287,669328r,-660146l3564775,9182r,-9182xem3573983,r-9195,l3564788,9182r,660146l3573983,669328r,-660146l3573983,xe" fillcolor="black" stroked="f">
                  <v:path arrowok="t"/>
                </v:shape>
                <v:shape id="Graphic 206" o:spid="_x0000_s1032" style="position:absolute;left:447;top:54361;width:38;height:38;visibility:visible;mso-wrap-style:square;v-text-anchor:top" coordsize="38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" path="m3441,3441l,e" filled="f" strokecolor="#d13438" strokeweight=".09pt">
                  <v:path arrowok="t"/>
                </v:shape>
                <v:shape id="Graphic 207" o:spid="_x0000_s1033" style="position:absolute;left:447;top:53110;width:13;height:1257;visibility:visible;mso-wrap-style:square;v-text-anchor:top" coordsize="1270,12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" path="m,125145l,e" filled="f" strokecolor="#d13438" strokeweight=".09pt">
                  <v:path arrowok="t"/>
                </v:shape>
                <v:shape id="Graphic 208" o:spid="_x0000_s1034" style="position:absolute;left:447;top:53075;width:38;height:38;visibility:visible;mso-wrap-style:square;v-text-anchor:top" coordsize="38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" path="m,3441l3441,e" filled="f" strokecolor="#d13438" strokeweight=".09pt">
                  <v:path arrowok="t"/>
                </v:shape>
                <v:shape id="Graphic 209" o:spid="_x0000_s1035" style="position:absolute;left:4477;top:57002;width:38;height:38;visibility:visible;mso-wrap-style:square;v-text-anchor:top" coordsize="38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" path="m,3441l3441,e" filled="f" strokecolor="#d13438" strokeweight=".09pt">
                  <v:path arrowok="t"/>
                </v:shape>
                <v:shape id="Graphic 210" o:spid="_x0000_s1036" style="position:absolute;left:4511;top:55750;width:13;height:1258;visibility:visible;mso-wrap-style:square;v-text-anchor:top" coordsize="1270,12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" path="m,125145l,e" filled="f" strokecolor="#d13438" strokeweight=".09pt">
                  <v:path arrowok="t"/>
                </v:shape>
                <v:shape id="Graphic 211" o:spid="_x0000_s1037" style="position:absolute;left:4477;top:55716;width:38;height:38;visibility:visible;mso-wrap-style:square;v-text-anchor:top" coordsize="38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" path="m3441,3441l,e" filled="f" strokecolor="#d13438" strokeweight=".09pt">
                  <v:path arrowok="t"/>
                </v:shape>
                <v:shape id="Graphic 212" o:spid="_x0000_s1038" style="position:absolute;top:52972;width:35744;height:17158;visibility:visible;mso-wrap-style:square;v-text-anchor:top" coordsize="3574415,1715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" path="m2722092,1706029r-898944,l1823148,9194r-9182,l1813966,1706029r-853021,l960945,9194r-9182,l951763,1706029,,1706029r,9194l2722092,1715223r,-9194xem2722092,r,l,,,9182r2722092,l2722092,xem3564775,1706029r-833488,l2731287,9194r-9182,l2722105,1706029r,9194l2731274,1715223r833501,l3564775,1706029xem3564775,l2731287,r-9182,l2722105,9182r9169,l3564775,9182r,-9182xem3573983,9194r-9195,l3564788,1706029r,9194l3573983,1715223r,-9182l3573983,9194xem3573983,r-9195,l3564788,9182r9195,l3573983,xe" fillcolor="black" stroked="f">
                  <v:path arrowok="t"/>
                </v:shape>
                <v:shape id="Graphic 214" o:spid="_x0000_s1039" style="position:absolute;left:4994;top:37014;width:38;height:38;visibility:visible;mso-wrap-style:square;v-text-anchor:top" coordsize="38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" path="m,3441l3441,e" filled="f" strokecolor="#d13438" strokeweight=".09pt">
                  <v:path arrowok="t"/>
                </v:shape>
                <v:shape id="Graphic 215" o:spid="_x0000_s1040" style="position:absolute;left:5028;top:35762;width:13;height:1257;visibility:visible;mso-wrap-style:square;v-text-anchor:top" coordsize="1270,12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" path="m,125145l,e" filled="f" strokecolor="#d13438" strokeweight=".09pt">
                  <v:path arrowok="t"/>
                </v:shape>
                <v:shape id="Graphic 216" o:spid="_x0000_s1041" style="position:absolute;left:4994;top:35728;width:38;height:38;visibility:visible;mso-wrap-style:square;v-text-anchor:top" coordsize="38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" path="m3441,3441l,e" filled="f" strokecolor="#d13438" strokeweight=".09pt">
                  <v:path arrowok="t"/>
                </v:shape>
                <v:shape id="Graphic 220" o:spid="_x0000_s1042" style="position:absolute;left:3007;top:48988;width:39;height:38;visibility:visible;mso-wrap-style:square;v-text-anchor:top" coordsize="38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" path="m,3441l3441,e" filled="f" strokecolor="#d13438" strokeweight=".09pt">
                  <v:path arrowok="t"/>
                </v:shape>
                <v:shape id="Graphic 221" o:spid="_x0000_s1043" style="position:absolute;left:3042;top:47737;width:13;height:1257;visibility:visible;mso-wrap-style:square;v-text-anchor:top" coordsize="1270,12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" path="m,125145l,e" filled="f" strokecolor="#d13438" strokeweight=".09pt">
                  <v:path arrowok="t"/>
                </v:shape>
                <v:shape id="Graphic 222" o:spid="_x0000_s1044" style="position:absolute;left:3008;top:47702;width:38;height:38;visibility:visible;mso-wrap-style:square;v-text-anchor:top" coordsize="38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" path="m3441,3441l,e" filled="f" strokecolor="#d13438" strokeweight=".09pt">
                  <v:path arrowok="t"/>
                </v:shape>
                <w10:wrap anchorx="page" anchory="page"/>
              </v:group>
            </w:pict>
          </mc:Fallback>
        </mc:AlternateContent>
      </w:r>
      <w:r w:rsidR="00C13005" w:rsidRPr="00124297">
        <w:rPr>
          <w:spacing w:val="-2"/>
          <w:sz w:val="18"/>
          <w:shd w:val="clear" w:color="auto" w:fill="F8DCDD"/>
        </w:rPr>
        <w:t>Suraj Keshwala</w:t>
      </w:r>
    </w:p>
    <w:p w14:paraId="47446385" w14:textId="77777777" w:rsidR="00864244" w:rsidRPr="00124297" w:rsidRDefault="00C13005" w:rsidP="00864244">
      <w:pPr>
        <w:pStyle w:val="BodyText"/>
        <w:ind w:left="2389"/>
        <w:rPr>
          <w:spacing w:val="-2"/>
          <w:sz w:val="18"/>
          <w:shd w:val="clear" w:color="auto" w:fill="F8DCDD"/>
        </w:rPr>
      </w:pPr>
      <w:r w:rsidRPr="00124297">
        <w:rPr>
          <w:spacing w:val="-2"/>
          <w:sz w:val="18"/>
          <w:shd w:val="clear" w:color="auto" w:fill="F8DCDD"/>
        </w:rPr>
        <w:t>Buyer Contract/</w:t>
      </w:r>
    </w:p>
    <w:p w14:paraId="607077D7" w14:textId="0642AF1B" w:rsidR="004C7180" w:rsidRPr="00150EDC" w:rsidRDefault="00C13005" w:rsidP="00864244">
      <w:pPr>
        <w:pStyle w:val="BodyText"/>
        <w:ind w:left="2389"/>
        <w:rPr>
          <w:sz w:val="20"/>
        </w:rPr>
      </w:pPr>
      <w:r w:rsidRPr="00124297">
        <w:rPr>
          <w:spacing w:val="-2"/>
          <w:sz w:val="18"/>
          <w:shd w:val="clear" w:color="auto" w:fill="F8DCDD"/>
        </w:rPr>
        <w:t>Project Manager</w:t>
      </w:r>
    </w:p>
    <w:p w14:paraId="55B2618C" w14:textId="77777777" w:rsidR="004C7180" w:rsidRPr="00150EDC" w:rsidRDefault="004C7180">
      <w:pPr>
        <w:pStyle w:val="BodyText"/>
        <w:rPr>
          <w:sz w:val="20"/>
        </w:rPr>
      </w:pPr>
    </w:p>
    <w:p w14:paraId="37552E06" w14:textId="77777777" w:rsidR="004C7180" w:rsidRPr="00150EDC" w:rsidRDefault="004C7180">
      <w:pPr>
        <w:pStyle w:val="BodyText"/>
        <w:rPr>
          <w:sz w:val="20"/>
        </w:rPr>
      </w:pPr>
    </w:p>
    <w:p w14:paraId="59D360D0" w14:textId="77777777" w:rsidR="004C7180" w:rsidRPr="00150EDC" w:rsidRDefault="004C7180">
      <w:pPr>
        <w:pStyle w:val="BodyText"/>
        <w:rPr>
          <w:sz w:val="20"/>
        </w:rPr>
      </w:pPr>
    </w:p>
    <w:p w14:paraId="1D35F417" w14:textId="77777777" w:rsidR="004C7180" w:rsidRPr="00150EDC" w:rsidRDefault="004C7180">
      <w:pPr>
        <w:pStyle w:val="BodyText"/>
        <w:rPr>
          <w:sz w:val="20"/>
        </w:rPr>
      </w:pPr>
    </w:p>
    <w:p w14:paraId="39E1D8BE" w14:textId="6A63770D" w:rsidR="004C7180" w:rsidRPr="00150EDC" w:rsidRDefault="00617C5E" w:rsidP="00ED5D8D">
      <w:pPr>
        <w:pStyle w:val="BodyText"/>
        <w:tabs>
          <w:tab w:val="left" w:pos="2900"/>
        </w:tabs>
        <w:spacing w:before="9"/>
        <w:rPr>
          <w:sz w:val="19"/>
        </w:rPr>
      </w:pPr>
      <w:r w:rsidRPr="00150EDC">
        <w:rPr>
          <w:sz w:val="19"/>
        </w:rPr>
        <w:tab/>
      </w:r>
    </w:p>
    <w:p w14:paraId="31A0EC7A" w14:textId="77777777" w:rsidR="00864244" w:rsidRPr="007D3144" w:rsidRDefault="00864244">
      <w:pPr>
        <w:spacing w:before="95"/>
        <w:ind w:left="2389" w:right="8129"/>
        <w:rPr>
          <w:sz w:val="18"/>
          <w:shd w:val="clear" w:color="auto" w:fill="F8DCDD"/>
        </w:rPr>
      </w:pPr>
    </w:p>
    <w:p w14:paraId="7995B370" w14:textId="656419B1" w:rsidR="00940958" w:rsidRPr="007D3144" w:rsidRDefault="00FC03FE">
      <w:pPr>
        <w:spacing w:before="95"/>
        <w:ind w:left="2389" w:right="8129"/>
        <w:rPr>
          <w:sz w:val="18"/>
          <w:shd w:val="clear" w:color="auto" w:fill="F8DCDD"/>
        </w:rPr>
      </w:pPr>
      <w:r w:rsidRPr="007D3144">
        <w:rPr>
          <w:sz w:val="18"/>
          <w:shd w:val="clear" w:color="auto" w:fill="F8DCDD"/>
        </w:rPr>
        <w:t xml:space="preserve">Katie </w:t>
      </w:r>
      <w:r w:rsidR="00477B35" w:rsidRPr="007D3144">
        <w:rPr>
          <w:sz w:val="18"/>
          <w:shd w:val="clear" w:color="auto" w:fill="F8DCDD"/>
        </w:rPr>
        <w:t>O’Driscoll</w:t>
      </w:r>
    </w:p>
    <w:p w14:paraId="2844C851" w14:textId="6BA02419" w:rsidR="004C7180" w:rsidRPr="00150EDC" w:rsidRDefault="00CF0754">
      <w:pPr>
        <w:spacing w:before="95"/>
        <w:ind w:left="2389" w:right="8129"/>
        <w:rPr>
          <w:sz w:val="18"/>
        </w:rPr>
      </w:pPr>
      <w:r w:rsidRPr="00124297">
        <w:rPr>
          <w:sz w:val="18"/>
          <w:shd w:val="clear" w:color="auto" w:fill="F8DCDD"/>
        </w:rPr>
        <w:t>Buyer</w:t>
      </w:r>
      <w:r w:rsidRPr="00124297">
        <w:rPr>
          <w:spacing w:val="-13"/>
          <w:sz w:val="18"/>
          <w:shd w:val="clear" w:color="auto" w:fill="F8DCDD"/>
        </w:rPr>
        <w:t xml:space="preserve"> </w:t>
      </w:r>
      <w:r w:rsidRPr="007D3144">
        <w:rPr>
          <w:sz w:val="18"/>
          <w:shd w:val="clear" w:color="auto" w:fill="F8DCDD"/>
        </w:rPr>
        <w:t>Policy</w:t>
      </w:r>
      <w:r w:rsidRPr="007D3144">
        <w:rPr>
          <w:sz w:val="18"/>
        </w:rPr>
        <w:t xml:space="preserve"> </w:t>
      </w:r>
      <w:r w:rsidRPr="007D3144">
        <w:rPr>
          <w:spacing w:val="-4"/>
          <w:sz w:val="18"/>
          <w:shd w:val="clear" w:color="auto" w:fill="F8DCDD"/>
        </w:rPr>
        <w:t>Lead</w:t>
      </w:r>
    </w:p>
    <w:p w14:paraId="71C5965A" w14:textId="77777777" w:rsidR="004C7180" w:rsidRPr="00150EDC" w:rsidRDefault="004C7180">
      <w:pPr>
        <w:pStyle w:val="BodyText"/>
        <w:rPr>
          <w:sz w:val="20"/>
        </w:rPr>
      </w:pPr>
    </w:p>
    <w:p w14:paraId="4425ED1C" w14:textId="77777777" w:rsidR="004C7180" w:rsidRPr="00150EDC" w:rsidRDefault="004C7180">
      <w:pPr>
        <w:pStyle w:val="BodyText"/>
        <w:spacing w:before="5"/>
        <w:rPr>
          <w:sz w:val="27"/>
        </w:rPr>
      </w:pPr>
    </w:p>
    <w:p w14:paraId="178CB8D6" w14:textId="373B3452" w:rsidR="001C1B23" w:rsidRPr="007D3144" w:rsidRDefault="001C1B23">
      <w:pPr>
        <w:spacing w:before="95"/>
        <w:ind w:left="2389" w:right="8129"/>
        <w:rPr>
          <w:spacing w:val="-2"/>
          <w:sz w:val="18"/>
          <w:shd w:val="clear" w:color="auto" w:fill="F8DCDD"/>
        </w:rPr>
      </w:pPr>
      <w:r w:rsidRPr="007D3144">
        <w:rPr>
          <w:spacing w:val="-2"/>
          <w:sz w:val="18"/>
          <w:shd w:val="clear" w:color="auto" w:fill="F8DCDD"/>
        </w:rPr>
        <w:t>Claire Stee</w:t>
      </w:r>
      <w:r w:rsidR="00C30A2E" w:rsidRPr="007D3144">
        <w:rPr>
          <w:spacing w:val="-2"/>
          <w:sz w:val="18"/>
          <w:shd w:val="clear" w:color="auto" w:fill="F8DCDD"/>
        </w:rPr>
        <w:t>k</w:t>
      </w:r>
      <w:r w:rsidRPr="007D3144">
        <w:rPr>
          <w:spacing w:val="-2"/>
          <w:sz w:val="18"/>
          <w:shd w:val="clear" w:color="auto" w:fill="F8DCDD"/>
        </w:rPr>
        <w:t>sma</w:t>
      </w:r>
    </w:p>
    <w:p w14:paraId="7E063318" w14:textId="08148DB3" w:rsidR="004C7180" w:rsidRPr="00150EDC" w:rsidRDefault="00CF0754">
      <w:pPr>
        <w:spacing w:before="95"/>
        <w:ind w:left="2389" w:right="8129"/>
        <w:rPr>
          <w:sz w:val="18"/>
        </w:rPr>
      </w:pPr>
      <w:r w:rsidRPr="007D3144">
        <w:rPr>
          <w:spacing w:val="-2"/>
          <w:sz w:val="18"/>
          <w:shd w:val="clear" w:color="auto" w:fill="F8DCDD"/>
        </w:rPr>
        <w:t>Buyer</w:t>
      </w:r>
      <w:r w:rsidRPr="007D3144">
        <w:rPr>
          <w:spacing w:val="-2"/>
          <w:sz w:val="18"/>
        </w:rPr>
        <w:t xml:space="preserve"> </w:t>
      </w:r>
      <w:r w:rsidRPr="007D3144">
        <w:rPr>
          <w:spacing w:val="-2"/>
          <w:sz w:val="18"/>
          <w:shd w:val="clear" w:color="auto" w:fill="F8DCDD"/>
        </w:rPr>
        <w:t>Programme</w:t>
      </w:r>
      <w:r w:rsidRPr="007D3144">
        <w:rPr>
          <w:spacing w:val="-2"/>
          <w:sz w:val="18"/>
        </w:rPr>
        <w:t xml:space="preserve"> </w:t>
      </w:r>
      <w:r w:rsidRPr="007D3144">
        <w:rPr>
          <w:spacing w:val="-2"/>
          <w:sz w:val="18"/>
          <w:shd w:val="clear" w:color="auto" w:fill="F8DCDD"/>
        </w:rPr>
        <w:t>Director</w:t>
      </w:r>
    </w:p>
    <w:p w14:paraId="4EE31D73" w14:textId="77777777" w:rsidR="004C7180" w:rsidRPr="00150EDC" w:rsidRDefault="004C7180">
      <w:pPr>
        <w:pStyle w:val="BodyText"/>
        <w:rPr>
          <w:sz w:val="20"/>
        </w:rPr>
      </w:pPr>
    </w:p>
    <w:p w14:paraId="79ED96D2" w14:textId="77777777" w:rsidR="004C7180" w:rsidRPr="00150EDC" w:rsidRDefault="004C7180">
      <w:pPr>
        <w:pStyle w:val="BodyText"/>
        <w:rPr>
          <w:sz w:val="20"/>
        </w:rPr>
      </w:pPr>
    </w:p>
    <w:p w14:paraId="2ABFF286" w14:textId="77777777" w:rsidR="004C7180" w:rsidRPr="00150EDC" w:rsidRDefault="004C7180">
      <w:pPr>
        <w:pStyle w:val="BodyText"/>
        <w:rPr>
          <w:sz w:val="20"/>
        </w:rPr>
      </w:pPr>
    </w:p>
    <w:p w14:paraId="20C7B874" w14:textId="77777777" w:rsidR="004C7180" w:rsidRPr="00150EDC" w:rsidRDefault="004C7180">
      <w:pPr>
        <w:pStyle w:val="BodyText"/>
        <w:rPr>
          <w:sz w:val="20"/>
        </w:rPr>
      </w:pPr>
    </w:p>
    <w:p w14:paraId="28FBEF57" w14:textId="77777777" w:rsidR="004C7180" w:rsidRPr="00150EDC" w:rsidRDefault="004C7180">
      <w:pPr>
        <w:pStyle w:val="BodyText"/>
        <w:rPr>
          <w:sz w:val="20"/>
        </w:rPr>
      </w:pPr>
    </w:p>
    <w:p w14:paraId="6419B518" w14:textId="77777777" w:rsidR="004C7180" w:rsidRPr="00150EDC" w:rsidRDefault="004C7180">
      <w:pPr>
        <w:pStyle w:val="BodyText"/>
        <w:rPr>
          <w:sz w:val="20"/>
        </w:rPr>
      </w:pPr>
    </w:p>
    <w:p w14:paraId="4945476A" w14:textId="77777777" w:rsidR="004C7180" w:rsidRPr="00150EDC" w:rsidRDefault="004C7180">
      <w:pPr>
        <w:pStyle w:val="BodyText"/>
        <w:rPr>
          <w:sz w:val="20"/>
        </w:rPr>
      </w:pPr>
    </w:p>
    <w:p w14:paraId="01D1845B" w14:textId="77777777" w:rsidR="004C7180" w:rsidRPr="00150EDC" w:rsidRDefault="004C7180">
      <w:pPr>
        <w:pStyle w:val="BodyText"/>
        <w:rPr>
          <w:sz w:val="20"/>
        </w:rPr>
      </w:pPr>
    </w:p>
    <w:p w14:paraId="5DCF382D" w14:textId="77777777" w:rsidR="004C7180" w:rsidRPr="00150EDC" w:rsidRDefault="004C7180">
      <w:pPr>
        <w:pStyle w:val="BodyText"/>
        <w:rPr>
          <w:sz w:val="20"/>
        </w:rPr>
      </w:pPr>
    </w:p>
    <w:p w14:paraId="71AAFB20" w14:textId="77777777" w:rsidR="004C7180" w:rsidRPr="00150EDC" w:rsidRDefault="004C7180">
      <w:pPr>
        <w:pStyle w:val="BodyText"/>
        <w:rPr>
          <w:sz w:val="20"/>
        </w:rPr>
      </w:pPr>
    </w:p>
    <w:p w14:paraId="4770F73B" w14:textId="77777777" w:rsidR="004C7180" w:rsidRPr="00150EDC" w:rsidRDefault="004C7180">
      <w:pPr>
        <w:pStyle w:val="BodyText"/>
        <w:spacing w:before="6"/>
        <w:rPr>
          <w:sz w:val="22"/>
        </w:rPr>
      </w:pPr>
    </w:p>
    <w:p w14:paraId="53C96EF8" w14:textId="77777777" w:rsidR="004C7180" w:rsidRPr="00150EDC" w:rsidRDefault="00CF0754">
      <w:pPr>
        <w:spacing w:before="96" w:line="172" w:lineRule="exact"/>
        <w:ind w:left="1044"/>
        <w:rPr>
          <w:sz w:val="15"/>
        </w:rPr>
      </w:pPr>
      <w:r w:rsidRPr="00150EDC">
        <w:rPr>
          <w:sz w:val="15"/>
        </w:rPr>
        <w:t>DPS</w:t>
      </w:r>
      <w:r w:rsidRPr="00150EDC">
        <w:rPr>
          <w:spacing w:val="-3"/>
          <w:sz w:val="15"/>
        </w:rPr>
        <w:t xml:space="preserve"> </w:t>
      </w:r>
      <w:r w:rsidRPr="00150EDC">
        <w:rPr>
          <w:sz w:val="15"/>
        </w:rPr>
        <w:t xml:space="preserve">Ref: </w:t>
      </w:r>
      <w:r w:rsidRPr="00150EDC">
        <w:rPr>
          <w:spacing w:val="-2"/>
          <w:sz w:val="15"/>
        </w:rPr>
        <w:t>RM6322</w:t>
      </w:r>
    </w:p>
    <w:p w14:paraId="71B30671" w14:textId="77777777" w:rsidR="004C7180" w:rsidRPr="00150EDC" w:rsidRDefault="00CF0754">
      <w:pPr>
        <w:tabs>
          <w:tab w:val="right" w:pos="7844"/>
        </w:tabs>
        <w:spacing w:line="172" w:lineRule="exact"/>
        <w:ind w:left="1044"/>
        <w:rPr>
          <w:sz w:val="15"/>
        </w:rPr>
      </w:pPr>
      <w:r w:rsidRPr="00150EDC">
        <w:rPr>
          <w:noProof/>
          <w:lang w:val="en-GB" w:eastAsia="en-GB"/>
        </w:rPr>
        <mc:AlternateContent>
          <mc:Choice Requires="wps">
            <w:drawing>
              <wp:anchor distT="0" distB="0" distL="0" distR="0" simplePos="0" relativeHeight="251658264" behindDoc="1" locked="0" layoutInCell="1" allowOverlap="1" wp14:anchorId="7CCFF81B" wp14:editId="516E1E64">
                <wp:simplePos x="0" y="0"/>
                <wp:positionH relativeFrom="page">
                  <wp:posOffset>4953965</wp:posOffset>
                </wp:positionH>
                <wp:positionV relativeFrom="paragraph">
                  <wp:posOffset>693</wp:posOffset>
                </wp:positionV>
                <wp:extent cx="53340" cy="109220"/>
                <wp:effectExtent l="0" t="0" r="0" b="0"/>
                <wp:wrapNone/>
                <wp:docPr id="256" name="Free-form: Shape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 cy="109220"/>
                        </a:xfrm>
                        <a:custGeom>
                          <a:avLst/>
                          <a:gdLst/>
                          <a:ahLst/>
                          <a:cxnLst/>
                          <a:rect l="l" t="t" r="r" b="b"/>
                          <a:pathLst>
                            <a:path w="53340" h="109220">
                              <a:moveTo>
                                <a:pt x="52806" y="0"/>
                              </a:moveTo>
                              <a:lnTo>
                                <a:pt x="0" y="0"/>
                              </a:lnTo>
                              <a:lnTo>
                                <a:pt x="0" y="109067"/>
                              </a:lnTo>
                              <a:lnTo>
                                <a:pt x="52806" y="109067"/>
                              </a:lnTo>
                              <a:lnTo>
                                <a:pt x="52806" y="0"/>
                              </a:lnTo>
                              <a:close/>
                            </a:path>
                          </a:pathLst>
                        </a:custGeom>
                        <a:solidFill>
                          <a:srgbClr val="E6E6E6"/>
                        </a:solidFill>
                      </wps:spPr>
                      <wps:bodyPr wrap="square" lIns="0" tIns="0" rIns="0" bIns="0" rtlCol="0">
                        <a:prstTxWarp prst="textNoShape">
                          <a:avLst/>
                        </a:prstTxWarp>
                        <a:noAutofit/>
                      </wps:bodyPr>
                    </wps:wsp>
                  </a:graphicData>
                </a:graphic>
              </wp:anchor>
            </w:drawing>
          </mc:Choice>
          <mc:Fallback>
            <w:pict>
              <v:shape w14:anchorId="33019909" id="Free-form: Shape 256" o:spid="_x0000_s1026" style="position:absolute;margin-left:390.1pt;margin-top:.05pt;width:4.2pt;height:8.6pt;z-index:-251658216;visibility:visible;mso-wrap-style:square;mso-wrap-distance-left:0;mso-wrap-distance-top:0;mso-wrap-distance-right:0;mso-wrap-distance-bottom:0;mso-position-horizontal:absolute;mso-position-horizontal-relative:page;mso-position-vertical:absolute;mso-position-vertical-relative:text;v-text-anchor:top" coordsize="53340,109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" path="m52806,l,,,109067r52806,l52806,xe" fillcolor="#e6e6e6" stroked="f">
                <v:path arrowok="t"/>
                <w10:wrap anchorx="page"/>
              </v:shape>
            </w:pict>
          </mc:Fallback>
        </mc:AlternateContent>
      </w:r>
      <w:r w:rsidRPr="00150EDC">
        <w:rPr>
          <w:sz w:val="15"/>
        </w:rPr>
        <w:t>Project</w:t>
      </w:r>
      <w:r w:rsidRPr="00150EDC">
        <w:rPr>
          <w:spacing w:val="-4"/>
          <w:sz w:val="15"/>
        </w:rPr>
        <w:t xml:space="preserve"> </w:t>
      </w:r>
      <w:r w:rsidRPr="00150EDC">
        <w:rPr>
          <w:sz w:val="15"/>
        </w:rPr>
        <w:t>Version:</w:t>
      </w:r>
      <w:r w:rsidRPr="00150EDC">
        <w:rPr>
          <w:spacing w:val="-3"/>
          <w:sz w:val="15"/>
        </w:rPr>
        <w:t xml:space="preserve"> </w:t>
      </w:r>
      <w:r w:rsidRPr="00150EDC">
        <w:rPr>
          <w:spacing w:val="-4"/>
          <w:sz w:val="15"/>
        </w:rPr>
        <w:t>v1.0</w:t>
      </w:r>
      <w:r w:rsidRPr="00150EDC">
        <w:rPr>
          <w:sz w:val="15"/>
        </w:rPr>
        <w:tab/>
      </w:r>
      <w:r w:rsidRPr="007D3144">
        <w:rPr>
          <w:spacing w:val="-10"/>
          <w:sz w:val="15"/>
        </w:rPr>
        <w:t>2</w:t>
      </w:r>
    </w:p>
    <w:p w14:paraId="7C0B21E5" w14:textId="77777777" w:rsidR="004C7180" w:rsidRPr="00150EDC" w:rsidRDefault="004C7180">
      <w:pPr>
        <w:spacing w:line="172" w:lineRule="exact"/>
        <w:rPr>
          <w:sz w:val="15"/>
        </w:rPr>
        <w:sectPr w:rsidR="004C7180" w:rsidRPr="00150EDC">
          <w:pgSz w:w="11910" w:h="16850"/>
          <w:pgMar w:top="2940" w:right="0" w:bottom="2700" w:left="40" w:header="2612" w:footer="2510" w:gutter="0"/>
          <w:cols w:space="720"/>
        </w:sectPr>
      </w:pPr>
    </w:p>
    <w:p w14:paraId="52205057" w14:textId="6075CA7E" w:rsidR="004C7180" w:rsidRPr="00150EDC" w:rsidRDefault="004C7180">
      <w:pPr>
        <w:pStyle w:val="BodyText"/>
        <w:spacing w:before="9"/>
        <w:rPr>
          <w:sz w:val="17"/>
        </w:rPr>
      </w:pPr>
    </w:p>
    <w:tbl>
      <w:tblPr>
        <w:tblW w:w="0" w:type="auto"/>
        <w:tblInd w:w="10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57"/>
        <w:gridCol w:w="78"/>
        <w:gridCol w:w="541"/>
        <w:gridCol w:w="895"/>
        <w:gridCol w:w="1358"/>
        <w:gridCol w:w="1430"/>
        <w:gridCol w:w="1327"/>
      </w:tblGrid>
      <w:tr w:rsidR="004569EE" w:rsidRPr="007D3144" w14:paraId="08F416DA" w14:textId="77777777">
        <w:trPr>
          <w:trHeight w:val="446"/>
        </w:trPr>
        <w:tc>
          <w:tcPr>
            <w:tcW w:w="1257" w:type="dxa"/>
          </w:tcPr>
          <w:p w14:paraId="3CB70714" w14:textId="77777777" w:rsidR="004C7180" w:rsidRPr="00150EDC" w:rsidRDefault="004C7180">
            <w:pPr>
              <w:pStyle w:val="TableParagraph"/>
              <w:spacing w:before="0" w:line="240" w:lineRule="auto"/>
              <w:ind w:left="0"/>
              <w:rPr>
                <w:rFonts w:ascii="Times New Roman"/>
                <w:sz w:val="16"/>
              </w:rPr>
            </w:pPr>
          </w:p>
        </w:tc>
        <w:tc>
          <w:tcPr>
            <w:tcW w:w="1514" w:type="dxa"/>
            <w:gridSpan w:val="3"/>
          </w:tcPr>
          <w:p w14:paraId="54974C34" w14:textId="77777777" w:rsidR="004C7180" w:rsidRPr="00150EDC" w:rsidRDefault="004C7180">
            <w:pPr>
              <w:pStyle w:val="TableParagraph"/>
              <w:spacing w:before="0" w:line="240" w:lineRule="auto"/>
              <w:ind w:left="0"/>
              <w:rPr>
                <w:rFonts w:ascii="Times New Roman"/>
                <w:sz w:val="16"/>
              </w:rPr>
            </w:pPr>
          </w:p>
        </w:tc>
        <w:tc>
          <w:tcPr>
            <w:tcW w:w="1358" w:type="dxa"/>
          </w:tcPr>
          <w:p w14:paraId="530121F3" w14:textId="439D9D2A" w:rsidR="004C7180" w:rsidRPr="00150EDC" w:rsidRDefault="004C7180">
            <w:pPr>
              <w:pStyle w:val="TableParagraph"/>
              <w:spacing w:before="15" w:line="203" w:lineRule="exact"/>
              <w:ind w:left="79"/>
              <w:rPr>
                <w:sz w:val="18"/>
              </w:rPr>
            </w:pPr>
          </w:p>
        </w:tc>
        <w:tc>
          <w:tcPr>
            <w:tcW w:w="1430" w:type="dxa"/>
          </w:tcPr>
          <w:p w14:paraId="6D805771" w14:textId="77777777" w:rsidR="004C7180" w:rsidRPr="00150EDC" w:rsidRDefault="004C7180">
            <w:pPr>
              <w:pStyle w:val="TableParagraph"/>
              <w:spacing w:before="0" w:line="240" w:lineRule="auto"/>
              <w:ind w:left="0"/>
              <w:rPr>
                <w:rFonts w:ascii="Times New Roman"/>
                <w:sz w:val="16"/>
              </w:rPr>
            </w:pPr>
          </w:p>
        </w:tc>
        <w:tc>
          <w:tcPr>
            <w:tcW w:w="1327" w:type="dxa"/>
          </w:tcPr>
          <w:p w14:paraId="6FA78707" w14:textId="77777777" w:rsidR="004C7180" w:rsidRPr="00150EDC" w:rsidRDefault="004C7180">
            <w:pPr>
              <w:pStyle w:val="TableParagraph"/>
              <w:spacing w:before="0" w:line="240" w:lineRule="auto"/>
              <w:ind w:left="0"/>
              <w:rPr>
                <w:rFonts w:ascii="Times New Roman"/>
                <w:sz w:val="16"/>
              </w:rPr>
            </w:pPr>
          </w:p>
        </w:tc>
      </w:tr>
      <w:tr w:rsidR="004569EE" w:rsidRPr="007D3144" w14:paraId="59952E72" w14:textId="77777777">
        <w:trPr>
          <w:trHeight w:val="201"/>
        </w:trPr>
        <w:tc>
          <w:tcPr>
            <w:tcW w:w="1257" w:type="dxa"/>
            <w:tcBorders>
              <w:bottom w:val="nil"/>
            </w:tcBorders>
          </w:tcPr>
          <w:p w14:paraId="171D4DB0" w14:textId="77777777" w:rsidR="004C7180" w:rsidRPr="00150EDC" w:rsidRDefault="00CF0754">
            <w:pPr>
              <w:pStyle w:val="TableParagraph"/>
              <w:spacing w:before="1" w:line="183" w:lineRule="exact"/>
              <w:ind w:left="81"/>
              <w:rPr>
                <w:sz w:val="18"/>
              </w:rPr>
            </w:pPr>
            <w:bookmarkStart w:id="65" w:name="_Hlk149042339"/>
            <w:r w:rsidRPr="00150EDC">
              <w:rPr>
                <w:spacing w:val="-2"/>
                <w:sz w:val="18"/>
              </w:rPr>
              <w:t>Seniority</w:t>
            </w:r>
          </w:p>
        </w:tc>
        <w:tc>
          <w:tcPr>
            <w:tcW w:w="78" w:type="dxa"/>
            <w:tcBorders>
              <w:bottom w:val="nil"/>
              <w:right w:val="single" w:sz="2" w:space="0" w:color="D13438"/>
            </w:tcBorders>
          </w:tcPr>
          <w:p w14:paraId="5A3A1E05" w14:textId="77777777" w:rsidR="004C7180" w:rsidRPr="00150EDC" w:rsidRDefault="004C7180">
            <w:pPr>
              <w:pStyle w:val="TableParagraph"/>
              <w:spacing w:before="0" w:line="240" w:lineRule="auto"/>
              <w:ind w:left="0"/>
              <w:rPr>
                <w:rFonts w:ascii="Times New Roman"/>
                <w:sz w:val="14"/>
              </w:rPr>
            </w:pPr>
          </w:p>
        </w:tc>
        <w:tc>
          <w:tcPr>
            <w:tcW w:w="1436" w:type="dxa"/>
            <w:gridSpan w:val="2"/>
            <w:tcBorders>
              <w:left w:val="single" w:sz="2" w:space="0" w:color="D13438"/>
              <w:bottom w:val="nil"/>
            </w:tcBorders>
          </w:tcPr>
          <w:p w14:paraId="029E91CB" w14:textId="67176DB2" w:rsidR="004C7180" w:rsidRPr="00150EDC" w:rsidRDefault="00286171">
            <w:pPr>
              <w:pStyle w:val="TableParagraph"/>
              <w:spacing w:before="1" w:line="181" w:lineRule="exact"/>
              <w:ind w:left="7"/>
              <w:rPr>
                <w:sz w:val="18"/>
              </w:rPr>
            </w:pPr>
            <w:r w:rsidRPr="007D3144">
              <w:rPr>
                <w:spacing w:val="-2"/>
                <w:sz w:val="18"/>
                <w:shd w:val="clear" w:color="auto" w:fill="F8DCDD"/>
                <w:lang w:val="en-GB"/>
              </w:rPr>
              <w:t>Richard Vaughan</w:t>
            </w:r>
            <w:r w:rsidR="00421D5C" w:rsidRPr="007D3144">
              <w:rPr>
                <w:spacing w:val="-2"/>
                <w:sz w:val="18"/>
                <w:shd w:val="clear" w:color="auto" w:fill="F8DCDD"/>
                <w:lang w:val="en-GB"/>
              </w:rPr>
              <w:t xml:space="preserve"> </w:t>
            </w:r>
            <w:r w:rsidR="00CF0754" w:rsidRPr="007D3144">
              <w:rPr>
                <w:spacing w:val="-2"/>
                <w:sz w:val="18"/>
                <w:shd w:val="clear" w:color="auto" w:fill="F8DCDD"/>
              </w:rPr>
              <w:t>Senior</w:t>
            </w:r>
          </w:p>
        </w:tc>
        <w:tc>
          <w:tcPr>
            <w:tcW w:w="1358" w:type="dxa"/>
            <w:vMerge w:val="restart"/>
            <w:tcBorders>
              <w:bottom w:val="dotted" w:sz="2" w:space="0" w:color="D13438"/>
            </w:tcBorders>
          </w:tcPr>
          <w:p w14:paraId="184BC269" w14:textId="77777777" w:rsidR="004C7180" w:rsidRPr="00150EDC" w:rsidRDefault="00CF0754">
            <w:pPr>
              <w:pStyle w:val="TableParagraph"/>
              <w:spacing w:before="0" w:line="200" w:lineRule="atLeast"/>
              <w:ind w:left="79" w:right="84"/>
              <w:jc w:val="both"/>
              <w:rPr>
                <w:sz w:val="18"/>
              </w:rPr>
            </w:pPr>
            <w:r w:rsidRPr="007D3144">
              <w:rPr>
                <w:sz w:val="18"/>
                <w:shd w:val="clear" w:color="auto" w:fill="FFFF00"/>
              </w:rPr>
              <w:t>Holds overal</w:t>
            </w:r>
            <w:r w:rsidRPr="007D3144">
              <w:rPr>
                <w:sz w:val="18"/>
              </w:rPr>
              <w:t xml:space="preserve">l </w:t>
            </w:r>
            <w:r w:rsidRPr="007D3144">
              <w:rPr>
                <w:spacing w:val="-2"/>
                <w:sz w:val="18"/>
                <w:shd w:val="clear" w:color="auto" w:fill="FFFF00"/>
              </w:rPr>
              <w:t>accountability</w:t>
            </w:r>
            <w:r w:rsidRPr="007D3144">
              <w:rPr>
                <w:spacing w:val="-2"/>
                <w:sz w:val="18"/>
              </w:rPr>
              <w:t xml:space="preserve"> </w:t>
            </w:r>
            <w:r w:rsidRPr="007D3144">
              <w:rPr>
                <w:sz w:val="18"/>
                <w:shd w:val="clear" w:color="auto" w:fill="FFFF00"/>
              </w:rPr>
              <w:t>for</w:t>
            </w:r>
            <w:r w:rsidRPr="007D3144">
              <w:rPr>
                <w:spacing w:val="-15"/>
                <w:sz w:val="18"/>
                <w:shd w:val="clear" w:color="auto" w:fill="FFFF00"/>
              </w:rPr>
              <w:t xml:space="preserve"> </w:t>
            </w:r>
            <w:r w:rsidRPr="007D3144">
              <w:rPr>
                <w:sz w:val="18"/>
                <w:shd w:val="clear" w:color="auto" w:fill="FFFF00"/>
              </w:rPr>
              <w:t>the</w:t>
            </w:r>
            <w:r w:rsidRPr="007D3144">
              <w:rPr>
                <w:spacing w:val="-12"/>
                <w:sz w:val="18"/>
                <w:shd w:val="clear" w:color="auto" w:fill="FFFF00"/>
              </w:rPr>
              <w:t xml:space="preserve"> </w:t>
            </w:r>
            <w:r w:rsidRPr="007D3144">
              <w:rPr>
                <w:sz w:val="18"/>
                <w:shd w:val="clear" w:color="auto" w:fill="FFFF00"/>
              </w:rPr>
              <w:t>Multiply</w:t>
            </w:r>
          </w:p>
        </w:tc>
        <w:tc>
          <w:tcPr>
            <w:tcW w:w="1430" w:type="dxa"/>
            <w:vMerge w:val="restart"/>
            <w:tcBorders>
              <w:bottom w:val="dotted" w:sz="2" w:space="0" w:color="D13438"/>
            </w:tcBorders>
          </w:tcPr>
          <w:p w14:paraId="5E41600A" w14:textId="77777777" w:rsidR="00FD0FFB" w:rsidRPr="007D3144" w:rsidRDefault="00FD0FFB" w:rsidP="00FD0FFB">
            <w:pPr>
              <w:pStyle w:val="TableParagraph"/>
              <w:spacing w:before="1" w:line="240" w:lineRule="auto"/>
              <w:ind w:left="79"/>
              <w:rPr>
                <w:spacing w:val="-2"/>
                <w:sz w:val="18"/>
                <w:shd w:val="clear" w:color="auto" w:fill="FFFF00"/>
                <w:lang w:val="en-GB"/>
              </w:rPr>
            </w:pPr>
            <w:r w:rsidRPr="007D3144">
              <w:rPr>
                <w:spacing w:val="-2"/>
                <w:sz w:val="18"/>
                <w:shd w:val="clear" w:color="auto" w:fill="FFFF00"/>
                <w:lang w:val="en-GB"/>
              </w:rPr>
              <w:t>Kathryn Harris-Gurner</w:t>
            </w:r>
          </w:p>
          <w:p w14:paraId="2D6DE953" w14:textId="69E89CC0" w:rsidR="004C7180" w:rsidRPr="00150EDC" w:rsidRDefault="00FD0FFB">
            <w:pPr>
              <w:pStyle w:val="TableParagraph"/>
              <w:spacing w:before="1" w:line="240" w:lineRule="auto"/>
              <w:ind w:left="79"/>
              <w:rPr>
                <w:sz w:val="18"/>
              </w:rPr>
            </w:pPr>
            <w:r w:rsidRPr="007D3144">
              <w:rPr>
                <w:spacing w:val="-2"/>
                <w:sz w:val="18"/>
                <w:shd w:val="clear" w:color="auto" w:fill="FFFF00"/>
                <w:lang w:val="en-GB"/>
              </w:rPr>
              <w:t>Operations &amp; Performance Director</w:t>
            </w:r>
          </w:p>
        </w:tc>
        <w:tc>
          <w:tcPr>
            <w:tcW w:w="1327" w:type="dxa"/>
            <w:vMerge w:val="restart"/>
            <w:tcBorders>
              <w:bottom w:val="dotted" w:sz="2" w:space="0" w:color="D13438"/>
            </w:tcBorders>
          </w:tcPr>
          <w:p w14:paraId="6C9CE1F4" w14:textId="2F615EF7" w:rsidR="004C7180" w:rsidRPr="00150EDC" w:rsidRDefault="00AC116C">
            <w:pPr>
              <w:pStyle w:val="TableParagraph"/>
              <w:spacing w:before="1" w:line="240" w:lineRule="auto"/>
              <w:ind w:left="79"/>
              <w:rPr>
                <w:sz w:val="18"/>
              </w:rPr>
            </w:pPr>
            <w:r w:rsidRPr="007D3144">
              <w:rPr>
                <w:spacing w:val="-2"/>
                <w:sz w:val="18"/>
                <w:shd w:val="clear" w:color="auto" w:fill="FFFF00"/>
                <w:lang w:val="en-GB"/>
              </w:rPr>
              <w:t>Holds overall accountability for Tribal’s actions in the Multiply Delivery Board.</w:t>
            </w:r>
          </w:p>
        </w:tc>
      </w:tr>
      <w:tr w:rsidR="004569EE" w:rsidRPr="007D3144" w14:paraId="58E8A19F" w14:textId="77777777" w:rsidTr="00ED5D8D">
        <w:trPr>
          <w:trHeight w:val="516"/>
        </w:trPr>
        <w:tc>
          <w:tcPr>
            <w:tcW w:w="1257" w:type="dxa"/>
            <w:tcBorders>
              <w:top w:val="nil"/>
              <w:bottom w:val="nil"/>
            </w:tcBorders>
          </w:tcPr>
          <w:p w14:paraId="4B23BF54" w14:textId="77777777" w:rsidR="004C7180" w:rsidRPr="00150EDC" w:rsidRDefault="00CF0754">
            <w:pPr>
              <w:pStyle w:val="TableParagraph"/>
              <w:spacing w:before="0" w:line="192" w:lineRule="exact"/>
              <w:ind w:left="81"/>
              <w:rPr>
                <w:sz w:val="18"/>
              </w:rPr>
            </w:pPr>
            <w:r w:rsidRPr="00150EDC">
              <w:rPr>
                <w:sz w:val="18"/>
              </w:rPr>
              <w:t>Level</w:t>
            </w:r>
            <w:r w:rsidRPr="00150EDC">
              <w:rPr>
                <w:spacing w:val="-2"/>
                <w:sz w:val="18"/>
              </w:rPr>
              <w:t xml:space="preserve"> </w:t>
            </w:r>
            <w:r w:rsidRPr="00150EDC">
              <w:rPr>
                <w:spacing w:val="-10"/>
                <w:sz w:val="18"/>
              </w:rPr>
              <w:t>2</w:t>
            </w:r>
          </w:p>
        </w:tc>
        <w:tc>
          <w:tcPr>
            <w:tcW w:w="1514" w:type="dxa"/>
            <w:gridSpan w:val="3"/>
            <w:tcBorders>
              <w:top w:val="nil"/>
              <w:bottom w:val="nil"/>
            </w:tcBorders>
          </w:tcPr>
          <w:p w14:paraId="356FD348" w14:textId="77777777" w:rsidR="004C7180" w:rsidRPr="00150EDC" w:rsidRDefault="00CF0754">
            <w:pPr>
              <w:pStyle w:val="TableParagraph"/>
              <w:spacing w:before="2" w:line="192" w:lineRule="exact"/>
              <w:ind w:left="80"/>
              <w:rPr>
                <w:sz w:val="18"/>
              </w:rPr>
            </w:pPr>
            <w:r w:rsidRPr="007D3144">
              <w:rPr>
                <w:spacing w:val="-2"/>
                <w:sz w:val="18"/>
                <w:shd w:val="clear" w:color="auto" w:fill="F8DCDD"/>
              </w:rPr>
              <w:t>Responsible</w:t>
            </w:r>
          </w:p>
        </w:tc>
        <w:tc>
          <w:tcPr>
            <w:tcW w:w="1358" w:type="dxa"/>
            <w:vMerge/>
            <w:tcBorders>
              <w:top w:val="nil"/>
              <w:bottom w:val="dotted" w:sz="2" w:space="0" w:color="D13438"/>
            </w:tcBorders>
          </w:tcPr>
          <w:p w14:paraId="1E093BDD" w14:textId="77777777" w:rsidR="004C7180" w:rsidRPr="007D3144" w:rsidRDefault="004C7180">
            <w:pPr>
              <w:rPr>
                <w:sz w:val="2"/>
                <w:szCs w:val="2"/>
              </w:rPr>
            </w:pPr>
          </w:p>
        </w:tc>
        <w:tc>
          <w:tcPr>
            <w:tcW w:w="1430" w:type="dxa"/>
            <w:vMerge/>
            <w:tcBorders>
              <w:top w:val="nil"/>
              <w:bottom w:val="dotted" w:sz="2" w:space="0" w:color="D13438"/>
            </w:tcBorders>
          </w:tcPr>
          <w:p w14:paraId="634A446E" w14:textId="77777777" w:rsidR="004C7180" w:rsidRPr="007D3144" w:rsidRDefault="004C7180">
            <w:pPr>
              <w:rPr>
                <w:sz w:val="2"/>
                <w:szCs w:val="2"/>
              </w:rPr>
            </w:pPr>
          </w:p>
        </w:tc>
        <w:tc>
          <w:tcPr>
            <w:tcW w:w="1327" w:type="dxa"/>
            <w:vMerge/>
            <w:tcBorders>
              <w:top w:val="nil"/>
              <w:bottom w:val="dotted" w:sz="2" w:space="0" w:color="D13438"/>
            </w:tcBorders>
          </w:tcPr>
          <w:p w14:paraId="3330242D" w14:textId="77777777" w:rsidR="004C7180" w:rsidRPr="007D3144" w:rsidRDefault="004C7180">
            <w:pPr>
              <w:rPr>
                <w:sz w:val="2"/>
                <w:szCs w:val="2"/>
              </w:rPr>
            </w:pPr>
          </w:p>
        </w:tc>
      </w:tr>
      <w:bookmarkEnd w:id="65"/>
      <w:tr w:rsidR="004569EE" w:rsidRPr="007D3144" w14:paraId="6286DF2F" w14:textId="77777777">
        <w:trPr>
          <w:trHeight w:val="195"/>
        </w:trPr>
        <w:tc>
          <w:tcPr>
            <w:tcW w:w="1257" w:type="dxa"/>
            <w:tcBorders>
              <w:top w:val="nil"/>
              <w:bottom w:val="nil"/>
            </w:tcBorders>
          </w:tcPr>
          <w:p w14:paraId="6F8D3157" w14:textId="77777777" w:rsidR="004C7180" w:rsidRPr="00150EDC" w:rsidRDefault="004C7180">
            <w:pPr>
              <w:pStyle w:val="TableParagraph"/>
              <w:spacing w:before="0" w:line="240" w:lineRule="auto"/>
              <w:ind w:left="0"/>
              <w:rPr>
                <w:rFonts w:ascii="Times New Roman"/>
                <w:sz w:val="12"/>
              </w:rPr>
            </w:pPr>
          </w:p>
        </w:tc>
        <w:tc>
          <w:tcPr>
            <w:tcW w:w="619" w:type="dxa"/>
            <w:gridSpan w:val="2"/>
            <w:tcBorders>
              <w:top w:val="nil"/>
              <w:bottom w:val="nil"/>
              <w:right w:val="single" w:sz="2" w:space="0" w:color="D13438"/>
            </w:tcBorders>
          </w:tcPr>
          <w:p w14:paraId="16AADBFB" w14:textId="77777777" w:rsidR="004C7180" w:rsidRPr="00150EDC" w:rsidRDefault="00CF0754">
            <w:pPr>
              <w:pStyle w:val="TableParagraph"/>
              <w:spacing w:before="0" w:line="176" w:lineRule="exact"/>
              <w:ind w:left="80" w:right="-15"/>
              <w:rPr>
                <w:sz w:val="18"/>
              </w:rPr>
            </w:pPr>
            <w:r w:rsidRPr="007D3144">
              <w:rPr>
                <w:spacing w:val="-2"/>
                <w:sz w:val="18"/>
                <w:shd w:val="clear" w:color="auto" w:fill="F8DCDD"/>
              </w:rPr>
              <w:t>Officer</w:t>
            </w:r>
          </w:p>
        </w:tc>
        <w:tc>
          <w:tcPr>
            <w:tcW w:w="895" w:type="dxa"/>
            <w:tcBorders>
              <w:top w:val="nil"/>
              <w:left w:val="single" w:sz="2" w:space="0" w:color="D13438"/>
              <w:bottom w:val="dotted" w:sz="2" w:space="0" w:color="D13438"/>
            </w:tcBorders>
          </w:tcPr>
          <w:p w14:paraId="33C5EBF3" w14:textId="77777777" w:rsidR="004C7180" w:rsidRPr="00150EDC" w:rsidRDefault="00CF0754">
            <w:pPr>
              <w:pStyle w:val="TableParagraph"/>
              <w:spacing w:before="0" w:line="176" w:lineRule="exact"/>
              <w:ind w:left="50"/>
              <w:rPr>
                <w:sz w:val="18"/>
              </w:rPr>
            </w:pPr>
            <w:r w:rsidRPr="00150EDC">
              <w:rPr>
                <w:spacing w:val="-5"/>
                <w:sz w:val="18"/>
              </w:rPr>
              <w:t>for</w:t>
            </w:r>
          </w:p>
        </w:tc>
        <w:tc>
          <w:tcPr>
            <w:tcW w:w="1358" w:type="dxa"/>
            <w:vMerge/>
            <w:tcBorders>
              <w:top w:val="nil"/>
              <w:bottom w:val="dotted" w:sz="2" w:space="0" w:color="D13438"/>
            </w:tcBorders>
          </w:tcPr>
          <w:p w14:paraId="4AF992DB" w14:textId="77777777" w:rsidR="004C7180" w:rsidRPr="007D3144" w:rsidRDefault="004C7180">
            <w:pPr>
              <w:rPr>
                <w:sz w:val="2"/>
                <w:szCs w:val="2"/>
              </w:rPr>
            </w:pPr>
          </w:p>
        </w:tc>
        <w:tc>
          <w:tcPr>
            <w:tcW w:w="1430" w:type="dxa"/>
            <w:vMerge/>
            <w:tcBorders>
              <w:top w:val="nil"/>
              <w:bottom w:val="dotted" w:sz="2" w:space="0" w:color="D13438"/>
            </w:tcBorders>
          </w:tcPr>
          <w:p w14:paraId="6383C3A2" w14:textId="77777777" w:rsidR="004C7180" w:rsidRPr="007D3144" w:rsidRDefault="004C7180">
            <w:pPr>
              <w:rPr>
                <w:sz w:val="2"/>
                <w:szCs w:val="2"/>
              </w:rPr>
            </w:pPr>
          </w:p>
        </w:tc>
        <w:tc>
          <w:tcPr>
            <w:tcW w:w="1327" w:type="dxa"/>
            <w:vMerge/>
            <w:tcBorders>
              <w:top w:val="nil"/>
              <w:bottom w:val="dotted" w:sz="2" w:space="0" w:color="D13438"/>
            </w:tcBorders>
          </w:tcPr>
          <w:p w14:paraId="50F50327" w14:textId="77777777" w:rsidR="004C7180" w:rsidRPr="007D3144" w:rsidRDefault="004C7180">
            <w:pPr>
              <w:rPr>
                <w:sz w:val="2"/>
                <w:szCs w:val="2"/>
              </w:rPr>
            </w:pPr>
          </w:p>
        </w:tc>
      </w:tr>
      <w:tr w:rsidR="004569EE" w:rsidRPr="007D3144" w14:paraId="27A2C75D" w14:textId="77777777">
        <w:trPr>
          <w:trHeight w:val="201"/>
        </w:trPr>
        <w:tc>
          <w:tcPr>
            <w:tcW w:w="1257" w:type="dxa"/>
            <w:tcBorders>
              <w:top w:val="nil"/>
              <w:bottom w:val="nil"/>
            </w:tcBorders>
          </w:tcPr>
          <w:p w14:paraId="6B2CFD1E" w14:textId="77777777" w:rsidR="004C7180" w:rsidRPr="00150EDC" w:rsidRDefault="004C7180">
            <w:pPr>
              <w:pStyle w:val="TableParagraph"/>
              <w:spacing w:before="0" w:line="240" w:lineRule="auto"/>
              <w:ind w:left="0"/>
              <w:rPr>
                <w:rFonts w:ascii="Times New Roman"/>
                <w:sz w:val="14"/>
              </w:rPr>
            </w:pPr>
          </w:p>
        </w:tc>
        <w:tc>
          <w:tcPr>
            <w:tcW w:w="1514" w:type="dxa"/>
            <w:gridSpan w:val="3"/>
            <w:tcBorders>
              <w:top w:val="nil"/>
              <w:bottom w:val="nil"/>
            </w:tcBorders>
          </w:tcPr>
          <w:p w14:paraId="37F74915" w14:textId="77777777" w:rsidR="004C7180" w:rsidRPr="00150EDC" w:rsidRDefault="00CF0754">
            <w:pPr>
              <w:pStyle w:val="TableParagraph"/>
              <w:spacing w:before="0" w:line="181" w:lineRule="exact"/>
              <w:ind w:left="80"/>
              <w:rPr>
                <w:sz w:val="18"/>
              </w:rPr>
            </w:pPr>
            <w:r w:rsidRPr="00150EDC">
              <w:rPr>
                <w:spacing w:val="-2"/>
                <w:sz w:val="18"/>
              </w:rPr>
              <w:t>Multiply</w:t>
            </w:r>
          </w:p>
        </w:tc>
        <w:tc>
          <w:tcPr>
            <w:tcW w:w="1358" w:type="dxa"/>
            <w:tcBorders>
              <w:top w:val="dotted" w:sz="2" w:space="0" w:color="D13438"/>
              <w:bottom w:val="nil"/>
            </w:tcBorders>
          </w:tcPr>
          <w:p w14:paraId="24BB74BC" w14:textId="77777777" w:rsidR="004C7180" w:rsidRPr="00150EDC" w:rsidRDefault="00CF0754">
            <w:pPr>
              <w:pStyle w:val="TableParagraph"/>
              <w:spacing w:before="0" w:line="181" w:lineRule="exact"/>
              <w:ind w:left="79"/>
              <w:rPr>
                <w:sz w:val="18"/>
              </w:rPr>
            </w:pPr>
            <w:r w:rsidRPr="007D3144">
              <w:rPr>
                <w:spacing w:val="-2"/>
                <w:sz w:val="18"/>
                <w:shd w:val="clear" w:color="auto" w:fill="FFFF00"/>
              </w:rPr>
              <w:t>programme</w:t>
            </w:r>
          </w:p>
        </w:tc>
        <w:tc>
          <w:tcPr>
            <w:tcW w:w="1430" w:type="dxa"/>
            <w:vMerge w:val="restart"/>
            <w:tcBorders>
              <w:top w:val="dotted" w:sz="2" w:space="0" w:color="D13438"/>
            </w:tcBorders>
          </w:tcPr>
          <w:p w14:paraId="467A1C6D" w14:textId="77777777" w:rsidR="004C7180" w:rsidRPr="00150EDC" w:rsidRDefault="004C7180">
            <w:pPr>
              <w:pStyle w:val="TableParagraph"/>
              <w:spacing w:before="0" w:line="240" w:lineRule="auto"/>
              <w:ind w:left="0"/>
              <w:rPr>
                <w:rFonts w:ascii="Times New Roman"/>
                <w:sz w:val="16"/>
              </w:rPr>
            </w:pPr>
          </w:p>
        </w:tc>
        <w:tc>
          <w:tcPr>
            <w:tcW w:w="1327" w:type="dxa"/>
            <w:vMerge w:val="restart"/>
            <w:tcBorders>
              <w:top w:val="dotted" w:sz="2" w:space="0" w:color="D13438"/>
            </w:tcBorders>
          </w:tcPr>
          <w:p w14:paraId="55A14A0D" w14:textId="77777777" w:rsidR="004C7180" w:rsidRPr="00150EDC" w:rsidRDefault="004C7180">
            <w:pPr>
              <w:pStyle w:val="TableParagraph"/>
              <w:spacing w:before="0" w:line="240" w:lineRule="auto"/>
              <w:ind w:left="0"/>
              <w:rPr>
                <w:rFonts w:ascii="Times New Roman"/>
                <w:sz w:val="16"/>
              </w:rPr>
            </w:pPr>
          </w:p>
        </w:tc>
      </w:tr>
      <w:tr w:rsidR="004569EE" w:rsidRPr="007D3144" w14:paraId="4D2F876F" w14:textId="77777777">
        <w:trPr>
          <w:trHeight w:val="192"/>
        </w:trPr>
        <w:tc>
          <w:tcPr>
            <w:tcW w:w="1257" w:type="dxa"/>
            <w:tcBorders>
              <w:top w:val="nil"/>
              <w:bottom w:val="nil"/>
            </w:tcBorders>
          </w:tcPr>
          <w:p w14:paraId="2AC7112E" w14:textId="77777777" w:rsidR="004C7180" w:rsidRPr="00150EDC" w:rsidRDefault="004C7180">
            <w:pPr>
              <w:pStyle w:val="TableParagraph"/>
              <w:spacing w:before="0" w:line="240" w:lineRule="auto"/>
              <w:ind w:left="0"/>
              <w:rPr>
                <w:rFonts w:ascii="Times New Roman"/>
                <w:sz w:val="12"/>
              </w:rPr>
            </w:pPr>
          </w:p>
        </w:tc>
        <w:tc>
          <w:tcPr>
            <w:tcW w:w="1514" w:type="dxa"/>
            <w:gridSpan w:val="3"/>
            <w:tcBorders>
              <w:top w:val="nil"/>
              <w:bottom w:val="nil"/>
            </w:tcBorders>
          </w:tcPr>
          <w:p w14:paraId="31EAD5BF" w14:textId="77777777" w:rsidR="004C7180" w:rsidRPr="00150EDC" w:rsidRDefault="00CF0754">
            <w:pPr>
              <w:pStyle w:val="TableParagraph"/>
              <w:spacing w:before="0" w:line="173" w:lineRule="exact"/>
              <w:ind w:left="80"/>
              <w:rPr>
                <w:sz w:val="18"/>
              </w:rPr>
            </w:pPr>
            <w:r w:rsidRPr="00150EDC">
              <w:rPr>
                <w:sz w:val="18"/>
              </w:rPr>
              <w:t>programme</w:t>
            </w:r>
            <w:r w:rsidRPr="00150EDC">
              <w:rPr>
                <w:spacing w:val="-5"/>
                <w:sz w:val="18"/>
              </w:rPr>
              <w:t xml:space="preserve"> </w:t>
            </w:r>
            <w:r w:rsidRPr="00150EDC">
              <w:rPr>
                <w:spacing w:val="-10"/>
                <w:sz w:val="18"/>
              </w:rPr>
              <w:t>–</w:t>
            </w:r>
          </w:p>
        </w:tc>
        <w:tc>
          <w:tcPr>
            <w:tcW w:w="1358" w:type="dxa"/>
            <w:tcBorders>
              <w:top w:val="nil"/>
              <w:bottom w:val="nil"/>
            </w:tcBorders>
          </w:tcPr>
          <w:p w14:paraId="1916D788" w14:textId="77777777" w:rsidR="004C7180" w:rsidRPr="00150EDC" w:rsidRDefault="00CF0754">
            <w:pPr>
              <w:pStyle w:val="TableParagraph"/>
              <w:spacing w:before="0" w:line="173" w:lineRule="exact"/>
              <w:ind w:left="79"/>
              <w:rPr>
                <w:sz w:val="18"/>
              </w:rPr>
            </w:pPr>
            <w:r w:rsidRPr="007D3144">
              <w:rPr>
                <w:sz w:val="18"/>
                <w:shd w:val="clear" w:color="auto" w:fill="FFFF00"/>
              </w:rPr>
              <w:t>and</w:t>
            </w:r>
            <w:r w:rsidRPr="007D3144">
              <w:rPr>
                <w:spacing w:val="-2"/>
                <w:sz w:val="18"/>
                <w:shd w:val="clear" w:color="auto" w:fill="FFFF00"/>
              </w:rPr>
              <w:t xml:space="preserve"> </w:t>
            </w:r>
            <w:r w:rsidRPr="007D3144">
              <w:rPr>
                <w:sz w:val="18"/>
                <w:shd w:val="clear" w:color="auto" w:fill="FFFF00"/>
              </w:rPr>
              <w:t>chairs</w:t>
            </w:r>
            <w:r w:rsidRPr="007D3144">
              <w:rPr>
                <w:spacing w:val="-1"/>
                <w:sz w:val="18"/>
                <w:shd w:val="clear" w:color="auto" w:fill="FFFF00"/>
              </w:rPr>
              <w:t xml:space="preserve"> </w:t>
            </w:r>
            <w:r w:rsidRPr="007D3144">
              <w:rPr>
                <w:spacing w:val="-5"/>
                <w:sz w:val="18"/>
                <w:shd w:val="clear" w:color="auto" w:fill="FFFF00"/>
              </w:rPr>
              <w:t>the</w:t>
            </w:r>
          </w:p>
        </w:tc>
        <w:tc>
          <w:tcPr>
            <w:tcW w:w="1430" w:type="dxa"/>
            <w:vMerge/>
            <w:tcBorders>
              <w:top w:val="nil"/>
            </w:tcBorders>
          </w:tcPr>
          <w:p w14:paraId="1C573966" w14:textId="77777777" w:rsidR="004C7180" w:rsidRPr="007D3144" w:rsidRDefault="004C7180">
            <w:pPr>
              <w:rPr>
                <w:sz w:val="2"/>
                <w:szCs w:val="2"/>
              </w:rPr>
            </w:pPr>
          </w:p>
        </w:tc>
        <w:tc>
          <w:tcPr>
            <w:tcW w:w="1327" w:type="dxa"/>
            <w:vMerge/>
            <w:tcBorders>
              <w:top w:val="nil"/>
            </w:tcBorders>
          </w:tcPr>
          <w:p w14:paraId="5941D259" w14:textId="77777777" w:rsidR="004C7180" w:rsidRPr="007D3144" w:rsidRDefault="004C7180">
            <w:pPr>
              <w:rPr>
                <w:sz w:val="2"/>
                <w:szCs w:val="2"/>
              </w:rPr>
            </w:pPr>
          </w:p>
        </w:tc>
      </w:tr>
      <w:tr w:rsidR="004569EE" w:rsidRPr="007D3144" w14:paraId="6AEE91E1" w14:textId="77777777">
        <w:trPr>
          <w:trHeight w:val="192"/>
        </w:trPr>
        <w:tc>
          <w:tcPr>
            <w:tcW w:w="1257" w:type="dxa"/>
            <w:tcBorders>
              <w:top w:val="nil"/>
              <w:bottom w:val="nil"/>
            </w:tcBorders>
          </w:tcPr>
          <w:p w14:paraId="336B84C4" w14:textId="77777777" w:rsidR="004C7180" w:rsidRPr="00150EDC" w:rsidRDefault="004C7180">
            <w:pPr>
              <w:pStyle w:val="TableParagraph"/>
              <w:spacing w:before="0" w:line="240" w:lineRule="auto"/>
              <w:ind w:left="0"/>
              <w:rPr>
                <w:rFonts w:ascii="Times New Roman"/>
                <w:sz w:val="12"/>
              </w:rPr>
            </w:pPr>
          </w:p>
        </w:tc>
        <w:tc>
          <w:tcPr>
            <w:tcW w:w="1514" w:type="dxa"/>
            <w:gridSpan w:val="3"/>
            <w:tcBorders>
              <w:top w:val="nil"/>
              <w:bottom w:val="nil"/>
            </w:tcBorders>
          </w:tcPr>
          <w:p w14:paraId="3ED12C12" w14:textId="77777777" w:rsidR="004C7180" w:rsidRPr="00150EDC" w:rsidRDefault="00CF0754">
            <w:pPr>
              <w:pStyle w:val="TableParagraph"/>
              <w:spacing w:before="0" w:line="173" w:lineRule="exact"/>
              <w:ind w:left="80"/>
              <w:rPr>
                <w:sz w:val="18"/>
              </w:rPr>
            </w:pPr>
            <w:r w:rsidRPr="00150EDC">
              <w:rPr>
                <w:sz w:val="18"/>
              </w:rPr>
              <w:t>Deputy</w:t>
            </w:r>
            <w:r w:rsidRPr="00150EDC">
              <w:rPr>
                <w:spacing w:val="-1"/>
                <w:sz w:val="18"/>
              </w:rPr>
              <w:t xml:space="preserve"> </w:t>
            </w:r>
            <w:r w:rsidRPr="00150EDC">
              <w:rPr>
                <w:spacing w:val="-2"/>
                <w:sz w:val="18"/>
              </w:rPr>
              <w:t>Director</w:t>
            </w:r>
          </w:p>
        </w:tc>
        <w:tc>
          <w:tcPr>
            <w:tcW w:w="1358" w:type="dxa"/>
            <w:tcBorders>
              <w:top w:val="nil"/>
              <w:bottom w:val="nil"/>
            </w:tcBorders>
          </w:tcPr>
          <w:p w14:paraId="79947259" w14:textId="77777777" w:rsidR="004C7180" w:rsidRPr="00150EDC" w:rsidRDefault="00CF0754">
            <w:pPr>
              <w:pStyle w:val="TableParagraph"/>
              <w:spacing w:before="0" w:line="173" w:lineRule="exact"/>
              <w:ind w:left="79"/>
              <w:rPr>
                <w:sz w:val="18"/>
              </w:rPr>
            </w:pPr>
            <w:r w:rsidRPr="007D3144">
              <w:rPr>
                <w:spacing w:val="-2"/>
                <w:sz w:val="18"/>
                <w:shd w:val="clear" w:color="auto" w:fill="FFFF00"/>
              </w:rPr>
              <w:t>Multiply</w:t>
            </w:r>
          </w:p>
        </w:tc>
        <w:tc>
          <w:tcPr>
            <w:tcW w:w="1430" w:type="dxa"/>
            <w:vMerge/>
            <w:tcBorders>
              <w:top w:val="nil"/>
            </w:tcBorders>
          </w:tcPr>
          <w:p w14:paraId="4EF3A8EE" w14:textId="77777777" w:rsidR="004C7180" w:rsidRPr="007D3144" w:rsidRDefault="004C7180">
            <w:pPr>
              <w:rPr>
                <w:sz w:val="2"/>
                <w:szCs w:val="2"/>
              </w:rPr>
            </w:pPr>
          </w:p>
        </w:tc>
        <w:tc>
          <w:tcPr>
            <w:tcW w:w="1327" w:type="dxa"/>
            <w:vMerge/>
            <w:tcBorders>
              <w:top w:val="nil"/>
            </w:tcBorders>
          </w:tcPr>
          <w:p w14:paraId="74A4A22D" w14:textId="77777777" w:rsidR="004C7180" w:rsidRPr="007D3144" w:rsidRDefault="004C7180">
            <w:pPr>
              <w:rPr>
                <w:sz w:val="2"/>
                <w:szCs w:val="2"/>
              </w:rPr>
            </w:pPr>
          </w:p>
        </w:tc>
      </w:tr>
      <w:tr w:rsidR="004569EE" w:rsidRPr="007D3144" w14:paraId="638A0D73" w14:textId="77777777">
        <w:trPr>
          <w:trHeight w:val="192"/>
        </w:trPr>
        <w:tc>
          <w:tcPr>
            <w:tcW w:w="1257" w:type="dxa"/>
            <w:tcBorders>
              <w:top w:val="nil"/>
              <w:bottom w:val="nil"/>
            </w:tcBorders>
          </w:tcPr>
          <w:p w14:paraId="5D5F568E" w14:textId="77777777" w:rsidR="004C7180" w:rsidRPr="00150EDC" w:rsidRDefault="004C7180">
            <w:pPr>
              <w:pStyle w:val="TableParagraph"/>
              <w:spacing w:before="0" w:line="240" w:lineRule="auto"/>
              <w:ind w:left="0"/>
              <w:rPr>
                <w:rFonts w:ascii="Times New Roman"/>
                <w:sz w:val="12"/>
              </w:rPr>
            </w:pPr>
          </w:p>
        </w:tc>
        <w:tc>
          <w:tcPr>
            <w:tcW w:w="1514" w:type="dxa"/>
            <w:gridSpan w:val="3"/>
            <w:tcBorders>
              <w:top w:val="nil"/>
              <w:bottom w:val="nil"/>
            </w:tcBorders>
          </w:tcPr>
          <w:p w14:paraId="2D885C21" w14:textId="77777777" w:rsidR="004C7180" w:rsidRPr="00150EDC" w:rsidRDefault="00CF0754">
            <w:pPr>
              <w:pStyle w:val="TableParagraph"/>
              <w:spacing w:before="0" w:line="173" w:lineRule="exact"/>
              <w:ind w:left="80"/>
              <w:rPr>
                <w:sz w:val="18"/>
              </w:rPr>
            </w:pPr>
            <w:r w:rsidRPr="00150EDC">
              <w:rPr>
                <w:sz w:val="18"/>
              </w:rPr>
              <w:t>for</w:t>
            </w:r>
            <w:r w:rsidRPr="00150EDC">
              <w:rPr>
                <w:spacing w:val="-2"/>
                <w:sz w:val="18"/>
              </w:rPr>
              <w:t xml:space="preserve"> </w:t>
            </w:r>
            <w:r w:rsidRPr="00150EDC">
              <w:rPr>
                <w:sz w:val="18"/>
              </w:rPr>
              <w:t>Multiply</w:t>
            </w:r>
            <w:r w:rsidRPr="00150EDC">
              <w:rPr>
                <w:spacing w:val="-2"/>
                <w:sz w:val="18"/>
              </w:rPr>
              <w:t xml:space="preserve"> </w:t>
            </w:r>
            <w:r w:rsidRPr="00150EDC">
              <w:rPr>
                <w:spacing w:val="-5"/>
                <w:sz w:val="18"/>
              </w:rPr>
              <w:t>and</w:t>
            </w:r>
          </w:p>
        </w:tc>
        <w:tc>
          <w:tcPr>
            <w:tcW w:w="1358" w:type="dxa"/>
            <w:tcBorders>
              <w:top w:val="nil"/>
              <w:bottom w:val="nil"/>
            </w:tcBorders>
          </w:tcPr>
          <w:p w14:paraId="63432FF5" w14:textId="77777777" w:rsidR="004C7180" w:rsidRPr="00150EDC" w:rsidRDefault="00CF0754">
            <w:pPr>
              <w:pStyle w:val="TableParagraph"/>
              <w:spacing w:before="0" w:line="173" w:lineRule="exact"/>
              <w:ind w:left="79"/>
              <w:rPr>
                <w:sz w:val="18"/>
              </w:rPr>
            </w:pPr>
            <w:r w:rsidRPr="007D3144">
              <w:rPr>
                <w:sz w:val="18"/>
                <w:shd w:val="clear" w:color="auto" w:fill="FFFF00"/>
              </w:rPr>
              <w:t>Delivery</w:t>
            </w:r>
            <w:r w:rsidRPr="007D3144">
              <w:rPr>
                <w:spacing w:val="-4"/>
                <w:sz w:val="18"/>
                <w:shd w:val="clear" w:color="auto" w:fill="FFFF00"/>
              </w:rPr>
              <w:t xml:space="preserve"> </w:t>
            </w:r>
            <w:r w:rsidRPr="007D3144">
              <w:rPr>
                <w:spacing w:val="-2"/>
                <w:sz w:val="18"/>
                <w:shd w:val="clear" w:color="auto" w:fill="FFFF00"/>
              </w:rPr>
              <w:t>Board</w:t>
            </w:r>
          </w:p>
        </w:tc>
        <w:tc>
          <w:tcPr>
            <w:tcW w:w="1430" w:type="dxa"/>
            <w:vMerge/>
            <w:tcBorders>
              <w:top w:val="nil"/>
            </w:tcBorders>
          </w:tcPr>
          <w:p w14:paraId="2393BF45" w14:textId="77777777" w:rsidR="004C7180" w:rsidRPr="007D3144" w:rsidRDefault="004C7180">
            <w:pPr>
              <w:rPr>
                <w:sz w:val="2"/>
                <w:szCs w:val="2"/>
              </w:rPr>
            </w:pPr>
          </w:p>
        </w:tc>
        <w:tc>
          <w:tcPr>
            <w:tcW w:w="1327" w:type="dxa"/>
            <w:vMerge/>
            <w:tcBorders>
              <w:top w:val="nil"/>
            </w:tcBorders>
          </w:tcPr>
          <w:p w14:paraId="761D77CE" w14:textId="77777777" w:rsidR="004C7180" w:rsidRPr="007D3144" w:rsidRDefault="004C7180">
            <w:pPr>
              <w:rPr>
                <w:sz w:val="2"/>
                <w:szCs w:val="2"/>
              </w:rPr>
            </w:pPr>
          </w:p>
        </w:tc>
      </w:tr>
      <w:tr w:rsidR="004569EE" w:rsidRPr="007D3144" w14:paraId="1B71DC2F" w14:textId="77777777">
        <w:trPr>
          <w:trHeight w:val="196"/>
        </w:trPr>
        <w:tc>
          <w:tcPr>
            <w:tcW w:w="1257" w:type="dxa"/>
            <w:tcBorders>
              <w:top w:val="nil"/>
            </w:tcBorders>
          </w:tcPr>
          <w:p w14:paraId="4232D91B" w14:textId="77777777" w:rsidR="004C7180" w:rsidRPr="00150EDC" w:rsidRDefault="004C7180">
            <w:pPr>
              <w:pStyle w:val="TableParagraph"/>
              <w:spacing w:before="0" w:line="240" w:lineRule="auto"/>
              <w:ind w:left="0"/>
              <w:rPr>
                <w:rFonts w:ascii="Times New Roman"/>
                <w:sz w:val="12"/>
              </w:rPr>
            </w:pPr>
          </w:p>
        </w:tc>
        <w:tc>
          <w:tcPr>
            <w:tcW w:w="1514" w:type="dxa"/>
            <w:gridSpan w:val="3"/>
            <w:tcBorders>
              <w:top w:val="nil"/>
            </w:tcBorders>
          </w:tcPr>
          <w:p w14:paraId="33BFC2F7" w14:textId="77777777" w:rsidR="004C7180" w:rsidRPr="00150EDC" w:rsidRDefault="00CF0754">
            <w:pPr>
              <w:pStyle w:val="TableParagraph"/>
              <w:spacing w:before="0" w:line="177" w:lineRule="exact"/>
              <w:ind w:left="80"/>
              <w:rPr>
                <w:sz w:val="18"/>
              </w:rPr>
            </w:pPr>
            <w:r w:rsidRPr="00150EDC">
              <w:rPr>
                <w:sz w:val="18"/>
              </w:rPr>
              <w:t>Essential</w:t>
            </w:r>
            <w:r w:rsidRPr="00150EDC">
              <w:rPr>
                <w:spacing w:val="-3"/>
                <w:sz w:val="18"/>
              </w:rPr>
              <w:t xml:space="preserve"> </w:t>
            </w:r>
            <w:r w:rsidRPr="00150EDC">
              <w:rPr>
                <w:spacing w:val="-2"/>
                <w:sz w:val="18"/>
              </w:rPr>
              <w:t>Skills</w:t>
            </w:r>
          </w:p>
        </w:tc>
        <w:tc>
          <w:tcPr>
            <w:tcW w:w="1358" w:type="dxa"/>
            <w:tcBorders>
              <w:top w:val="nil"/>
            </w:tcBorders>
          </w:tcPr>
          <w:p w14:paraId="5EA7559F" w14:textId="77777777" w:rsidR="004C7180" w:rsidRPr="00150EDC" w:rsidRDefault="004C7180">
            <w:pPr>
              <w:pStyle w:val="TableParagraph"/>
              <w:spacing w:before="0" w:line="240" w:lineRule="auto"/>
              <w:ind w:left="0"/>
              <w:rPr>
                <w:rFonts w:ascii="Times New Roman"/>
                <w:sz w:val="12"/>
              </w:rPr>
            </w:pPr>
          </w:p>
        </w:tc>
        <w:tc>
          <w:tcPr>
            <w:tcW w:w="1430" w:type="dxa"/>
            <w:vMerge/>
            <w:tcBorders>
              <w:top w:val="nil"/>
            </w:tcBorders>
          </w:tcPr>
          <w:p w14:paraId="548C9113" w14:textId="77777777" w:rsidR="004C7180" w:rsidRPr="007D3144" w:rsidRDefault="004C7180">
            <w:pPr>
              <w:rPr>
                <w:sz w:val="2"/>
                <w:szCs w:val="2"/>
              </w:rPr>
            </w:pPr>
          </w:p>
        </w:tc>
        <w:tc>
          <w:tcPr>
            <w:tcW w:w="1327" w:type="dxa"/>
            <w:vMerge/>
            <w:tcBorders>
              <w:top w:val="nil"/>
            </w:tcBorders>
          </w:tcPr>
          <w:p w14:paraId="2FA6575A" w14:textId="77777777" w:rsidR="004C7180" w:rsidRPr="007D3144" w:rsidRDefault="004C7180">
            <w:pPr>
              <w:rPr>
                <w:sz w:val="2"/>
                <w:szCs w:val="2"/>
              </w:rPr>
            </w:pPr>
          </w:p>
        </w:tc>
      </w:tr>
    </w:tbl>
    <w:p w14:paraId="7A18AB4C" w14:textId="77777777" w:rsidR="004C7180" w:rsidRPr="00150EDC" w:rsidRDefault="004C7180">
      <w:pPr>
        <w:pStyle w:val="BodyText"/>
        <w:rPr>
          <w:sz w:val="20"/>
        </w:rPr>
      </w:pPr>
    </w:p>
    <w:p w14:paraId="1F70739B" w14:textId="77777777" w:rsidR="004C7180" w:rsidRPr="00150EDC" w:rsidRDefault="004C7180">
      <w:pPr>
        <w:pStyle w:val="BodyText"/>
        <w:rPr>
          <w:sz w:val="20"/>
        </w:rPr>
      </w:pPr>
    </w:p>
    <w:p w14:paraId="380FB17D" w14:textId="77777777" w:rsidR="004C7180" w:rsidRPr="00150EDC" w:rsidRDefault="004C7180">
      <w:pPr>
        <w:pStyle w:val="BodyText"/>
        <w:rPr>
          <w:sz w:val="20"/>
        </w:rPr>
      </w:pPr>
    </w:p>
    <w:p w14:paraId="4D18DA62" w14:textId="77777777" w:rsidR="004C7180" w:rsidRPr="00150EDC" w:rsidRDefault="004C7180">
      <w:pPr>
        <w:pStyle w:val="BodyText"/>
        <w:rPr>
          <w:sz w:val="20"/>
        </w:rPr>
      </w:pPr>
    </w:p>
    <w:p w14:paraId="4D7EB080" w14:textId="77777777" w:rsidR="004C7180" w:rsidRPr="00150EDC" w:rsidRDefault="004C7180">
      <w:pPr>
        <w:pStyle w:val="BodyText"/>
        <w:rPr>
          <w:sz w:val="20"/>
        </w:rPr>
      </w:pPr>
    </w:p>
    <w:p w14:paraId="1046029C" w14:textId="77777777" w:rsidR="004C7180" w:rsidRPr="00150EDC" w:rsidRDefault="004C7180">
      <w:pPr>
        <w:pStyle w:val="BodyText"/>
        <w:rPr>
          <w:sz w:val="20"/>
        </w:rPr>
      </w:pPr>
    </w:p>
    <w:p w14:paraId="68DEC18F" w14:textId="77777777" w:rsidR="004C7180" w:rsidRPr="00150EDC" w:rsidRDefault="004C7180">
      <w:pPr>
        <w:pStyle w:val="BodyText"/>
        <w:rPr>
          <w:sz w:val="20"/>
        </w:rPr>
      </w:pPr>
    </w:p>
    <w:p w14:paraId="44B46F34" w14:textId="77777777" w:rsidR="004C7180" w:rsidRPr="00150EDC" w:rsidRDefault="004C7180">
      <w:pPr>
        <w:pStyle w:val="BodyText"/>
        <w:rPr>
          <w:sz w:val="20"/>
        </w:rPr>
      </w:pPr>
    </w:p>
    <w:p w14:paraId="591AF914" w14:textId="77777777" w:rsidR="004C7180" w:rsidRPr="00150EDC" w:rsidRDefault="004C7180">
      <w:pPr>
        <w:pStyle w:val="BodyText"/>
        <w:rPr>
          <w:sz w:val="20"/>
        </w:rPr>
      </w:pPr>
    </w:p>
    <w:p w14:paraId="7AD25046" w14:textId="77777777" w:rsidR="004C7180" w:rsidRPr="00150EDC" w:rsidRDefault="004C7180">
      <w:pPr>
        <w:pStyle w:val="BodyText"/>
        <w:rPr>
          <w:sz w:val="20"/>
        </w:rPr>
      </w:pPr>
    </w:p>
    <w:p w14:paraId="715E8FBA" w14:textId="77777777" w:rsidR="004C7180" w:rsidRPr="00150EDC" w:rsidRDefault="004C7180">
      <w:pPr>
        <w:pStyle w:val="BodyText"/>
        <w:rPr>
          <w:sz w:val="20"/>
        </w:rPr>
      </w:pPr>
    </w:p>
    <w:p w14:paraId="53BCCDFA" w14:textId="77777777" w:rsidR="004C7180" w:rsidRPr="00150EDC" w:rsidRDefault="004C7180">
      <w:pPr>
        <w:pStyle w:val="BodyText"/>
        <w:rPr>
          <w:sz w:val="20"/>
        </w:rPr>
      </w:pPr>
    </w:p>
    <w:p w14:paraId="0D36CFF5" w14:textId="77777777" w:rsidR="004C7180" w:rsidRPr="00150EDC" w:rsidRDefault="004C7180">
      <w:pPr>
        <w:pStyle w:val="BodyText"/>
        <w:rPr>
          <w:sz w:val="20"/>
        </w:rPr>
      </w:pPr>
    </w:p>
    <w:p w14:paraId="0AD49F35" w14:textId="77777777" w:rsidR="004C7180" w:rsidRPr="00150EDC" w:rsidRDefault="004C7180">
      <w:pPr>
        <w:pStyle w:val="BodyText"/>
        <w:rPr>
          <w:sz w:val="20"/>
        </w:rPr>
      </w:pPr>
    </w:p>
    <w:p w14:paraId="19EC6662" w14:textId="77777777" w:rsidR="004C7180" w:rsidRPr="00150EDC" w:rsidRDefault="004C7180">
      <w:pPr>
        <w:pStyle w:val="BodyText"/>
        <w:rPr>
          <w:sz w:val="20"/>
        </w:rPr>
      </w:pPr>
    </w:p>
    <w:p w14:paraId="1D2084F0" w14:textId="77777777" w:rsidR="004C7180" w:rsidRPr="00150EDC" w:rsidRDefault="004C7180">
      <w:pPr>
        <w:pStyle w:val="BodyText"/>
        <w:rPr>
          <w:sz w:val="20"/>
        </w:rPr>
      </w:pPr>
    </w:p>
    <w:p w14:paraId="03989BAC" w14:textId="77777777" w:rsidR="004C7180" w:rsidRPr="00150EDC" w:rsidRDefault="004C7180">
      <w:pPr>
        <w:pStyle w:val="BodyText"/>
        <w:rPr>
          <w:sz w:val="20"/>
        </w:rPr>
      </w:pPr>
    </w:p>
    <w:p w14:paraId="1098B69B" w14:textId="77777777" w:rsidR="004C7180" w:rsidRPr="00150EDC" w:rsidRDefault="004C7180">
      <w:pPr>
        <w:pStyle w:val="BodyText"/>
        <w:rPr>
          <w:sz w:val="20"/>
        </w:rPr>
      </w:pPr>
    </w:p>
    <w:p w14:paraId="4DA216B9" w14:textId="77777777" w:rsidR="004C7180" w:rsidRPr="00150EDC" w:rsidRDefault="004C7180">
      <w:pPr>
        <w:pStyle w:val="BodyText"/>
        <w:rPr>
          <w:sz w:val="20"/>
        </w:rPr>
      </w:pPr>
    </w:p>
    <w:p w14:paraId="5E4E9CCF" w14:textId="77777777" w:rsidR="004C7180" w:rsidRPr="00150EDC" w:rsidRDefault="004C7180">
      <w:pPr>
        <w:pStyle w:val="BodyText"/>
        <w:rPr>
          <w:sz w:val="20"/>
        </w:rPr>
      </w:pPr>
    </w:p>
    <w:p w14:paraId="08E296BB" w14:textId="77777777" w:rsidR="004C7180" w:rsidRPr="00150EDC" w:rsidRDefault="004C7180">
      <w:pPr>
        <w:pStyle w:val="BodyText"/>
        <w:rPr>
          <w:sz w:val="20"/>
        </w:rPr>
      </w:pPr>
    </w:p>
    <w:p w14:paraId="77BD3C20" w14:textId="77777777" w:rsidR="004C7180" w:rsidRPr="00150EDC" w:rsidRDefault="004C7180">
      <w:pPr>
        <w:pStyle w:val="BodyText"/>
        <w:rPr>
          <w:sz w:val="20"/>
        </w:rPr>
      </w:pPr>
    </w:p>
    <w:p w14:paraId="31B8A0AC" w14:textId="77777777" w:rsidR="004C7180" w:rsidRPr="00150EDC" w:rsidRDefault="004C7180">
      <w:pPr>
        <w:pStyle w:val="BodyText"/>
        <w:rPr>
          <w:sz w:val="20"/>
        </w:rPr>
      </w:pPr>
    </w:p>
    <w:p w14:paraId="12F8A281" w14:textId="77777777" w:rsidR="004C7180" w:rsidRPr="00150EDC" w:rsidRDefault="004C7180">
      <w:pPr>
        <w:pStyle w:val="BodyText"/>
        <w:rPr>
          <w:sz w:val="20"/>
        </w:rPr>
      </w:pPr>
    </w:p>
    <w:p w14:paraId="677EF54B" w14:textId="77777777" w:rsidR="004C7180" w:rsidRPr="00150EDC" w:rsidRDefault="004C7180">
      <w:pPr>
        <w:pStyle w:val="BodyText"/>
        <w:rPr>
          <w:sz w:val="20"/>
        </w:rPr>
      </w:pPr>
    </w:p>
    <w:p w14:paraId="0C953490" w14:textId="77777777" w:rsidR="004C7180" w:rsidRPr="00150EDC" w:rsidRDefault="004C7180">
      <w:pPr>
        <w:pStyle w:val="BodyText"/>
        <w:rPr>
          <w:sz w:val="20"/>
        </w:rPr>
      </w:pPr>
    </w:p>
    <w:p w14:paraId="530E2485" w14:textId="77777777" w:rsidR="004C7180" w:rsidRPr="00150EDC" w:rsidRDefault="004C7180">
      <w:pPr>
        <w:pStyle w:val="BodyText"/>
        <w:rPr>
          <w:sz w:val="20"/>
        </w:rPr>
      </w:pPr>
    </w:p>
    <w:p w14:paraId="609BE299" w14:textId="77777777" w:rsidR="004C7180" w:rsidRPr="00150EDC" w:rsidRDefault="004C7180">
      <w:pPr>
        <w:pStyle w:val="BodyText"/>
        <w:rPr>
          <w:sz w:val="20"/>
        </w:rPr>
      </w:pPr>
    </w:p>
    <w:p w14:paraId="5750F114" w14:textId="77777777" w:rsidR="004C7180" w:rsidRPr="00150EDC" w:rsidRDefault="004C7180">
      <w:pPr>
        <w:pStyle w:val="BodyText"/>
        <w:rPr>
          <w:sz w:val="20"/>
        </w:rPr>
      </w:pPr>
    </w:p>
    <w:p w14:paraId="573D82E0" w14:textId="77777777" w:rsidR="004C7180" w:rsidRPr="00150EDC" w:rsidRDefault="004C7180">
      <w:pPr>
        <w:pStyle w:val="BodyText"/>
        <w:rPr>
          <w:sz w:val="20"/>
        </w:rPr>
      </w:pPr>
    </w:p>
    <w:p w14:paraId="6DD2B9D1" w14:textId="77777777" w:rsidR="004C7180" w:rsidRPr="00150EDC" w:rsidRDefault="004C7180">
      <w:pPr>
        <w:pStyle w:val="BodyText"/>
        <w:rPr>
          <w:sz w:val="20"/>
        </w:rPr>
      </w:pPr>
    </w:p>
    <w:p w14:paraId="482F7D16" w14:textId="77777777" w:rsidR="004C7180" w:rsidRPr="00150EDC" w:rsidRDefault="004C7180">
      <w:pPr>
        <w:pStyle w:val="BodyText"/>
        <w:rPr>
          <w:sz w:val="20"/>
        </w:rPr>
      </w:pPr>
    </w:p>
    <w:p w14:paraId="60DEA010" w14:textId="77777777" w:rsidR="004C7180" w:rsidRPr="00150EDC" w:rsidRDefault="004C7180">
      <w:pPr>
        <w:pStyle w:val="BodyText"/>
        <w:rPr>
          <w:sz w:val="20"/>
        </w:rPr>
      </w:pPr>
    </w:p>
    <w:p w14:paraId="57AF754E" w14:textId="77777777" w:rsidR="004C7180" w:rsidRPr="00150EDC" w:rsidRDefault="004C7180">
      <w:pPr>
        <w:pStyle w:val="BodyText"/>
        <w:rPr>
          <w:sz w:val="20"/>
        </w:rPr>
      </w:pPr>
    </w:p>
    <w:p w14:paraId="013415F8" w14:textId="77777777" w:rsidR="004C7180" w:rsidRPr="00150EDC" w:rsidRDefault="004C7180">
      <w:pPr>
        <w:pStyle w:val="BodyText"/>
        <w:rPr>
          <w:sz w:val="20"/>
        </w:rPr>
      </w:pPr>
    </w:p>
    <w:p w14:paraId="463B7C66" w14:textId="77777777" w:rsidR="004C7180" w:rsidRPr="00150EDC" w:rsidRDefault="004C7180">
      <w:pPr>
        <w:pStyle w:val="BodyText"/>
        <w:spacing w:before="2"/>
        <w:rPr>
          <w:sz w:val="22"/>
        </w:rPr>
      </w:pPr>
    </w:p>
    <w:p w14:paraId="73201C76" w14:textId="77777777" w:rsidR="004C7180" w:rsidRPr="00150EDC" w:rsidRDefault="00CF0754">
      <w:pPr>
        <w:spacing w:before="96" w:line="172" w:lineRule="exact"/>
        <w:ind w:left="1044"/>
        <w:rPr>
          <w:sz w:val="15"/>
        </w:rPr>
      </w:pPr>
      <w:r w:rsidRPr="00150EDC">
        <w:rPr>
          <w:sz w:val="15"/>
        </w:rPr>
        <w:t>DPS</w:t>
      </w:r>
      <w:r w:rsidRPr="00150EDC">
        <w:rPr>
          <w:spacing w:val="-3"/>
          <w:sz w:val="15"/>
        </w:rPr>
        <w:t xml:space="preserve"> </w:t>
      </w:r>
      <w:r w:rsidRPr="00150EDC">
        <w:rPr>
          <w:sz w:val="15"/>
        </w:rPr>
        <w:t xml:space="preserve">Ref: </w:t>
      </w:r>
      <w:r w:rsidRPr="00150EDC">
        <w:rPr>
          <w:spacing w:val="-2"/>
          <w:sz w:val="15"/>
        </w:rPr>
        <w:t>RM6322</w:t>
      </w:r>
    </w:p>
    <w:p w14:paraId="7CA17ADB" w14:textId="2B20C1C2" w:rsidR="004C7180" w:rsidRPr="00150EDC" w:rsidRDefault="00CF0754" w:rsidP="00696CF4">
      <w:pPr>
        <w:tabs>
          <w:tab w:val="right" w:pos="7844"/>
        </w:tabs>
        <w:spacing w:line="172" w:lineRule="exact"/>
        <w:ind w:left="1044"/>
        <w:rPr>
          <w:sz w:val="15"/>
        </w:rPr>
        <w:sectPr w:rsidR="004C7180" w:rsidRPr="00150EDC">
          <w:pgSz w:w="11910" w:h="16850"/>
          <w:pgMar w:top="2940" w:right="0" w:bottom="2700" w:left="40" w:header="2612" w:footer="2510" w:gutter="0"/>
          <w:cols w:space="720"/>
        </w:sectPr>
      </w:pPr>
      <w:r w:rsidRPr="00150EDC">
        <w:rPr>
          <w:noProof/>
          <w:lang w:val="en-GB" w:eastAsia="en-GB"/>
        </w:rPr>
        <mc:AlternateContent>
          <mc:Choice Requires="wps">
            <w:drawing>
              <wp:anchor distT="0" distB="0" distL="0" distR="0" simplePos="0" relativeHeight="251658267" behindDoc="1" locked="0" layoutInCell="1" allowOverlap="1" wp14:anchorId="5493C873" wp14:editId="447DD179">
                <wp:simplePos x="0" y="0"/>
                <wp:positionH relativeFrom="page">
                  <wp:posOffset>4953965</wp:posOffset>
                </wp:positionH>
                <wp:positionV relativeFrom="paragraph">
                  <wp:posOffset>693</wp:posOffset>
                </wp:positionV>
                <wp:extent cx="53340" cy="109220"/>
                <wp:effectExtent l="0" t="0" r="0" b="0"/>
                <wp:wrapNone/>
                <wp:docPr id="1455741169" name="Free-form: Shape 1455741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 cy="109220"/>
                        </a:xfrm>
                        <a:custGeom>
                          <a:avLst/>
                          <a:gdLst/>
                          <a:ahLst/>
                          <a:cxnLst/>
                          <a:rect l="l" t="t" r="r" b="b"/>
                          <a:pathLst>
                            <a:path w="53340" h="109220">
                              <a:moveTo>
                                <a:pt x="52806" y="0"/>
                              </a:moveTo>
                              <a:lnTo>
                                <a:pt x="0" y="0"/>
                              </a:lnTo>
                              <a:lnTo>
                                <a:pt x="0" y="109067"/>
                              </a:lnTo>
                              <a:lnTo>
                                <a:pt x="52806" y="109067"/>
                              </a:lnTo>
                              <a:lnTo>
                                <a:pt x="52806" y="0"/>
                              </a:lnTo>
                              <a:close/>
                            </a:path>
                          </a:pathLst>
                        </a:custGeom>
                        <a:solidFill>
                          <a:srgbClr val="E6E6E6"/>
                        </a:solidFill>
                      </wps:spPr>
                      <wps:bodyPr wrap="square" lIns="0" tIns="0" rIns="0" bIns="0" rtlCol="0">
                        <a:prstTxWarp prst="textNoShape">
                          <a:avLst/>
                        </a:prstTxWarp>
                        <a:noAutofit/>
                      </wps:bodyPr>
                    </wps:wsp>
                  </a:graphicData>
                </a:graphic>
              </wp:anchor>
            </w:drawing>
          </mc:Choice>
          <mc:Fallback>
            <w:pict>
              <v:shape w14:anchorId="2FE7BE1E" id="Free-form: Shape 1455741169" o:spid="_x0000_s1026" style="position:absolute;margin-left:390.1pt;margin-top:.05pt;width:4.2pt;height:8.6pt;z-index:-251658213;visibility:visible;mso-wrap-style:square;mso-wrap-distance-left:0;mso-wrap-distance-top:0;mso-wrap-distance-right:0;mso-wrap-distance-bottom:0;mso-position-horizontal:absolute;mso-position-horizontal-relative:page;mso-position-vertical:absolute;mso-position-vertical-relative:text;v-text-anchor:top" coordsize="53340,109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" path="m52806,l,,,109067r52806,l52806,xe" fillcolor="#e6e6e6" stroked="f">
                <v:path arrowok="t"/>
                <w10:wrap anchorx="page"/>
              </v:shape>
            </w:pict>
          </mc:Fallback>
        </mc:AlternateContent>
      </w:r>
      <w:r w:rsidRPr="00150EDC">
        <w:rPr>
          <w:sz w:val="15"/>
        </w:rPr>
        <w:t>Project</w:t>
      </w:r>
      <w:r w:rsidRPr="00150EDC">
        <w:rPr>
          <w:spacing w:val="-4"/>
          <w:sz w:val="15"/>
        </w:rPr>
        <w:t xml:space="preserve"> </w:t>
      </w:r>
      <w:r w:rsidRPr="00150EDC">
        <w:rPr>
          <w:sz w:val="15"/>
        </w:rPr>
        <w:t>Version:</w:t>
      </w:r>
      <w:r w:rsidRPr="00150EDC">
        <w:rPr>
          <w:spacing w:val="-3"/>
          <w:sz w:val="15"/>
        </w:rPr>
        <w:t xml:space="preserve"> </w:t>
      </w:r>
      <w:r w:rsidRPr="00150EDC">
        <w:rPr>
          <w:spacing w:val="-4"/>
          <w:sz w:val="15"/>
        </w:rPr>
        <w:t>v1.0</w:t>
      </w:r>
      <w:r w:rsidRPr="00150EDC">
        <w:rPr>
          <w:sz w:val="15"/>
        </w:rPr>
        <w:tab/>
      </w:r>
      <w:r w:rsidRPr="007D3144">
        <w:rPr>
          <w:spacing w:val="-10"/>
          <w:sz w:val="15"/>
        </w:rPr>
        <w:t>3</w:t>
      </w:r>
    </w:p>
    <w:p w14:paraId="59F32555" w14:textId="249A35FB" w:rsidR="004C7180" w:rsidRPr="00150EDC" w:rsidRDefault="004C7180">
      <w:pPr>
        <w:pStyle w:val="BodyText"/>
        <w:rPr>
          <w:sz w:val="20"/>
        </w:rPr>
      </w:pPr>
    </w:p>
    <w:p w14:paraId="5FEC1ECB" w14:textId="77777777" w:rsidR="004C7180" w:rsidRPr="00150EDC" w:rsidRDefault="004C7180">
      <w:pPr>
        <w:pStyle w:val="BodyText"/>
        <w:spacing w:before="4"/>
        <w:rPr>
          <w:sz w:val="28"/>
        </w:rPr>
      </w:pPr>
    </w:p>
    <w:p w14:paraId="006647B0" w14:textId="15C19AE0" w:rsidR="004C7180" w:rsidRPr="00150EDC" w:rsidRDefault="00CF0754">
      <w:pPr>
        <w:pStyle w:val="ListParagraph"/>
        <w:numPr>
          <w:ilvl w:val="1"/>
          <w:numId w:val="36"/>
        </w:numPr>
        <w:tabs>
          <w:tab w:val="left" w:pos="1443"/>
        </w:tabs>
        <w:spacing w:before="95"/>
        <w:ind w:right="4017" w:firstLine="0"/>
        <w:jc w:val="both"/>
        <w:rPr>
          <w:sz w:val="18"/>
        </w:rPr>
      </w:pPr>
      <w:bookmarkStart w:id="66" w:name="4.3__In_the_event_that_either_Party_wish"/>
      <w:bookmarkEnd w:id="66"/>
      <w:r w:rsidRPr="00150EDC">
        <w:rPr>
          <w:sz w:val="18"/>
        </w:rPr>
        <w:t>In the event that either Party wishes to replace any of its appointed board members, that Party shall notify the other in writing for approval by the other Party (such approval not to be unreasonably withheld or delayed). Each Buyer board member shall have at all times a counterpart Supplier board member of equivalent seniority and expertise.</w:t>
      </w:r>
    </w:p>
    <w:p w14:paraId="6ED8DAAA" w14:textId="77777777" w:rsidR="004C7180" w:rsidRPr="00150EDC" w:rsidRDefault="004C7180">
      <w:pPr>
        <w:pStyle w:val="BodyText"/>
        <w:spacing w:before="11"/>
        <w:rPr>
          <w:sz w:val="23"/>
        </w:rPr>
      </w:pPr>
    </w:p>
    <w:p w14:paraId="1049A0A7" w14:textId="77777777" w:rsidR="004C7180" w:rsidRPr="00150EDC" w:rsidRDefault="00CF0754">
      <w:pPr>
        <w:pStyle w:val="ListParagraph"/>
        <w:numPr>
          <w:ilvl w:val="1"/>
          <w:numId w:val="36"/>
        </w:numPr>
        <w:tabs>
          <w:tab w:val="left" w:pos="1373"/>
        </w:tabs>
        <w:ind w:right="4015" w:firstLine="0"/>
        <w:jc w:val="both"/>
        <w:rPr>
          <w:sz w:val="18"/>
        </w:rPr>
      </w:pPr>
      <w:bookmarkStart w:id="67" w:name="4.4__Each_Party_shall_ensure_that_its_bo"/>
      <w:bookmarkEnd w:id="67"/>
      <w:r w:rsidRPr="00150EDC">
        <w:rPr>
          <w:sz w:val="18"/>
        </w:rPr>
        <w:t>Each Party shall ensure that its board members shall make all reasonable efforts to attend</w:t>
      </w:r>
      <w:r w:rsidRPr="00150EDC">
        <w:rPr>
          <w:spacing w:val="-1"/>
          <w:sz w:val="18"/>
        </w:rPr>
        <w:t xml:space="preserve"> </w:t>
      </w:r>
      <w:r w:rsidRPr="00150EDC">
        <w:rPr>
          <w:sz w:val="18"/>
        </w:rPr>
        <w:t>board</w:t>
      </w:r>
      <w:r w:rsidRPr="00150EDC">
        <w:rPr>
          <w:spacing w:val="-1"/>
          <w:sz w:val="18"/>
        </w:rPr>
        <w:t xml:space="preserve"> </w:t>
      </w:r>
      <w:r w:rsidRPr="00150EDC">
        <w:rPr>
          <w:sz w:val="18"/>
        </w:rPr>
        <w:t>meetings at</w:t>
      </w:r>
      <w:r w:rsidRPr="00150EDC">
        <w:rPr>
          <w:spacing w:val="-1"/>
          <w:sz w:val="18"/>
        </w:rPr>
        <w:t xml:space="preserve"> </w:t>
      </w:r>
      <w:r w:rsidRPr="00150EDC">
        <w:rPr>
          <w:sz w:val="18"/>
        </w:rPr>
        <w:t>which</w:t>
      </w:r>
      <w:r w:rsidRPr="00150EDC">
        <w:rPr>
          <w:spacing w:val="-1"/>
          <w:sz w:val="18"/>
        </w:rPr>
        <w:t xml:space="preserve"> </w:t>
      </w:r>
      <w:r w:rsidRPr="00150EDC">
        <w:rPr>
          <w:sz w:val="18"/>
        </w:rPr>
        <w:t>that board</w:t>
      </w:r>
      <w:r w:rsidRPr="00150EDC">
        <w:rPr>
          <w:spacing w:val="-3"/>
          <w:sz w:val="18"/>
        </w:rPr>
        <w:t xml:space="preserve"> </w:t>
      </w:r>
      <w:r w:rsidRPr="00150EDC">
        <w:rPr>
          <w:sz w:val="18"/>
        </w:rPr>
        <w:t>member’s attendance</w:t>
      </w:r>
      <w:r w:rsidRPr="00150EDC">
        <w:rPr>
          <w:spacing w:val="-1"/>
          <w:sz w:val="18"/>
        </w:rPr>
        <w:t xml:space="preserve"> </w:t>
      </w:r>
      <w:r w:rsidRPr="00150EDC">
        <w:rPr>
          <w:sz w:val="18"/>
        </w:rPr>
        <w:t>is required. If</w:t>
      </w:r>
      <w:r w:rsidRPr="00150EDC">
        <w:rPr>
          <w:spacing w:val="-2"/>
          <w:sz w:val="18"/>
        </w:rPr>
        <w:t xml:space="preserve"> </w:t>
      </w:r>
      <w:r w:rsidRPr="00150EDC">
        <w:rPr>
          <w:sz w:val="18"/>
        </w:rPr>
        <w:t>any board member is not able to attend a board meeting, that person shall use all reasonable endeavours to ensure that an appropriate delegate attends the Operational</w:t>
      </w:r>
      <w:r w:rsidRPr="00150EDC">
        <w:rPr>
          <w:spacing w:val="-2"/>
          <w:sz w:val="18"/>
        </w:rPr>
        <w:t xml:space="preserve"> </w:t>
      </w:r>
      <w:r w:rsidRPr="00150EDC">
        <w:rPr>
          <w:sz w:val="18"/>
        </w:rPr>
        <w:t>Board</w:t>
      </w:r>
      <w:r w:rsidRPr="00150EDC">
        <w:rPr>
          <w:spacing w:val="-1"/>
          <w:sz w:val="18"/>
        </w:rPr>
        <w:t xml:space="preserve"> </w:t>
      </w:r>
      <w:r w:rsidRPr="00150EDC">
        <w:rPr>
          <w:sz w:val="18"/>
        </w:rPr>
        <w:t>meeting</w:t>
      </w:r>
      <w:r w:rsidRPr="00150EDC">
        <w:rPr>
          <w:spacing w:val="-1"/>
          <w:sz w:val="18"/>
        </w:rPr>
        <w:t xml:space="preserve"> </w:t>
      </w:r>
      <w:r w:rsidRPr="00150EDC">
        <w:rPr>
          <w:sz w:val="18"/>
        </w:rPr>
        <w:t>in his/her</w:t>
      </w:r>
      <w:r w:rsidRPr="00150EDC">
        <w:rPr>
          <w:spacing w:val="-2"/>
          <w:sz w:val="18"/>
        </w:rPr>
        <w:t xml:space="preserve"> </w:t>
      </w:r>
      <w:r w:rsidRPr="00150EDC">
        <w:rPr>
          <w:sz w:val="18"/>
        </w:rPr>
        <w:t>place</w:t>
      </w:r>
      <w:r w:rsidRPr="00150EDC">
        <w:rPr>
          <w:spacing w:val="-1"/>
          <w:sz w:val="18"/>
        </w:rPr>
        <w:t xml:space="preserve"> </w:t>
      </w:r>
      <w:r w:rsidRPr="00150EDC">
        <w:rPr>
          <w:sz w:val="18"/>
        </w:rPr>
        <w:t>(wherever possible)</w:t>
      </w:r>
      <w:r w:rsidRPr="00150EDC">
        <w:rPr>
          <w:spacing w:val="-2"/>
          <w:sz w:val="18"/>
        </w:rPr>
        <w:t xml:space="preserve"> </w:t>
      </w:r>
      <w:r w:rsidRPr="00150EDC">
        <w:rPr>
          <w:sz w:val="18"/>
        </w:rPr>
        <w:t>and that</w:t>
      </w:r>
      <w:r w:rsidRPr="00150EDC">
        <w:rPr>
          <w:spacing w:val="-1"/>
          <w:sz w:val="18"/>
        </w:rPr>
        <w:t xml:space="preserve"> </w:t>
      </w:r>
      <w:r w:rsidRPr="00150EDC">
        <w:rPr>
          <w:sz w:val="18"/>
        </w:rPr>
        <w:t>the</w:t>
      </w:r>
      <w:r w:rsidRPr="00150EDC">
        <w:rPr>
          <w:spacing w:val="-1"/>
          <w:sz w:val="18"/>
        </w:rPr>
        <w:t xml:space="preserve"> </w:t>
      </w:r>
      <w:r w:rsidRPr="00150EDC">
        <w:rPr>
          <w:sz w:val="18"/>
        </w:rPr>
        <w:t>delegate is properly briefed and prepared and that he/she is debriefed by such delegate after the board meeting.</w:t>
      </w:r>
    </w:p>
    <w:p w14:paraId="73A4CFF3" w14:textId="77777777" w:rsidR="004C7180" w:rsidRPr="00150EDC" w:rsidRDefault="004C7180">
      <w:pPr>
        <w:pStyle w:val="BodyText"/>
        <w:spacing w:before="2"/>
      </w:pPr>
    </w:p>
    <w:p w14:paraId="14CAA0B4" w14:textId="77777777" w:rsidR="004C7180" w:rsidRPr="00150EDC" w:rsidRDefault="00CF0754">
      <w:pPr>
        <w:pStyle w:val="ListParagraph"/>
        <w:numPr>
          <w:ilvl w:val="1"/>
          <w:numId w:val="36"/>
        </w:numPr>
        <w:tabs>
          <w:tab w:val="left" w:pos="1409"/>
        </w:tabs>
        <w:ind w:right="4018" w:firstLine="0"/>
        <w:jc w:val="both"/>
        <w:rPr>
          <w:sz w:val="18"/>
        </w:rPr>
      </w:pPr>
      <w:bookmarkStart w:id="68" w:name="4.5__The_purpose_of_the_Operational_Boar"/>
      <w:bookmarkEnd w:id="68"/>
      <w:r w:rsidRPr="00150EDC">
        <w:rPr>
          <w:sz w:val="18"/>
        </w:rPr>
        <w:t>The purpose of the Operational Board meetings (Contract Review Meetings – Annex</w:t>
      </w:r>
      <w:r w:rsidRPr="00150EDC">
        <w:rPr>
          <w:spacing w:val="-12"/>
          <w:sz w:val="18"/>
        </w:rPr>
        <w:t xml:space="preserve"> </w:t>
      </w:r>
      <w:r w:rsidRPr="00150EDC">
        <w:rPr>
          <w:sz w:val="18"/>
        </w:rPr>
        <w:t>A)</w:t>
      </w:r>
      <w:r w:rsidRPr="00150EDC">
        <w:rPr>
          <w:spacing w:val="-10"/>
          <w:sz w:val="18"/>
        </w:rPr>
        <w:t xml:space="preserve"> </w:t>
      </w:r>
      <w:r w:rsidRPr="00150EDC">
        <w:rPr>
          <w:sz w:val="18"/>
        </w:rPr>
        <w:t>will</w:t>
      </w:r>
      <w:r w:rsidRPr="00150EDC">
        <w:rPr>
          <w:spacing w:val="-10"/>
          <w:sz w:val="18"/>
        </w:rPr>
        <w:t xml:space="preserve"> </w:t>
      </w:r>
      <w:r w:rsidRPr="00150EDC">
        <w:rPr>
          <w:sz w:val="18"/>
        </w:rPr>
        <w:t>be</w:t>
      </w:r>
      <w:r w:rsidRPr="00150EDC">
        <w:rPr>
          <w:spacing w:val="-9"/>
          <w:sz w:val="18"/>
        </w:rPr>
        <w:t xml:space="preserve"> </w:t>
      </w:r>
      <w:r w:rsidRPr="00150EDC">
        <w:rPr>
          <w:sz w:val="18"/>
        </w:rPr>
        <w:t>to</w:t>
      </w:r>
      <w:r w:rsidRPr="00150EDC">
        <w:rPr>
          <w:spacing w:val="-9"/>
          <w:sz w:val="18"/>
        </w:rPr>
        <w:t xml:space="preserve"> </w:t>
      </w:r>
      <w:r w:rsidRPr="00150EDC">
        <w:rPr>
          <w:sz w:val="18"/>
        </w:rPr>
        <w:t>review</w:t>
      </w:r>
      <w:r w:rsidRPr="00150EDC">
        <w:rPr>
          <w:spacing w:val="-10"/>
          <w:sz w:val="18"/>
        </w:rPr>
        <w:t xml:space="preserve"> </w:t>
      </w:r>
      <w:r w:rsidRPr="00150EDC">
        <w:rPr>
          <w:sz w:val="18"/>
        </w:rPr>
        <w:t>the</w:t>
      </w:r>
      <w:r w:rsidRPr="00150EDC">
        <w:rPr>
          <w:spacing w:val="-9"/>
          <w:sz w:val="18"/>
        </w:rPr>
        <w:t xml:space="preserve"> </w:t>
      </w:r>
      <w:r w:rsidRPr="00150EDC">
        <w:rPr>
          <w:sz w:val="18"/>
        </w:rPr>
        <w:t>Supplier’s</w:t>
      </w:r>
      <w:r w:rsidRPr="00150EDC">
        <w:rPr>
          <w:spacing w:val="-10"/>
          <w:sz w:val="18"/>
        </w:rPr>
        <w:t xml:space="preserve"> </w:t>
      </w:r>
      <w:r w:rsidRPr="00150EDC">
        <w:rPr>
          <w:sz w:val="18"/>
        </w:rPr>
        <w:t>performance</w:t>
      </w:r>
      <w:r w:rsidRPr="00150EDC">
        <w:rPr>
          <w:spacing w:val="-9"/>
          <w:sz w:val="18"/>
        </w:rPr>
        <w:t xml:space="preserve"> </w:t>
      </w:r>
      <w:r w:rsidRPr="00150EDC">
        <w:rPr>
          <w:sz w:val="18"/>
        </w:rPr>
        <w:t>under</w:t>
      </w:r>
      <w:r w:rsidRPr="00150EDC">
        <w:rPr>
          <w:spacing w:val="-10"/>
          <w:sz w:val="18"/>
        </w:rPr>
        <w:t xml:space="preserve"> </w:t>
      </w:r>
      <w:r w:rsidRPr="00150EDC">
        <w:rPr>
          <w:sz w:val="18"/>
        </w:rPr>
        <w:t>this</w:t>
      </w:r>
      <w:r w:rsidRPr="00150EDC">
        <w:rPr>
          <w:spacing w:val="-12"/>
          <w:sz w:val="18"/>
        </w:rPr>
        <w:t xml:space="preserve"> </w:t>
      </w:r>
      <w:r w:rsidRPr="00150EDC">
        <w:rPr>
          <w:sz w:val="18"/>
        </w:rPr>
        <w:t>Contract.</w:t>
      </w:r>
      <w:r w:rsidRPr="00150EDC">
        <w:rPr>
          <w:spacing w:val="-10"/>
          <w:sz w:val="18"/>
        </w:rPr>
        <w:t xml:space="preserve"> </w:t>
      </w:r>
      <w:r w:rsidRPr="00150EDC">
        <w:rPr>
          <w:sz w:val="18"/>
        </w:rPr>
        <w:t>The</w:t>
      </w:r>
      <w:r w:rsidRPr="00150EDC">
        <w:rPr>
          <w:spacing w:val="-11"/>
          <w:sz w:val="18"/>
        </w:rPr>
        <w:t xml:space="preserve"> </w:t>
      </w:r>
      <w:r w:rsidRPr="00150EDC">
        <w:rPr>
          <w:sz w:val="18"/>
        </w:rPr>
        <w:t>agenda for each meeting shall be set by the Buyer and communicated to the Supplier in advance of that meeting.</w:t>
      </w:r>
    </w:p>
    <w:p w14:paraId="3C83E3F2" w14:textId="77777777" w:rsidR="004C7180" w:rsidRPr="00150EDC" w:rsidRDefault="00CF0754" w:rsidP="00B320C7">
      <w:pPr>
        <w:pStyle w:val="ListParagraph"/>
        <w:numPr>
          <w:ilvl w:val="0"/>
          <w:numId w:val="90"/>
        </w:numPr>
        <w:tabs>
          <w:tab w:val="left" w:pos="1585"/>
        </w:tabs>
        <w:spacing w:before="63"/>
        <w:ind w:left="1585" w:hanging="269"/>
        <w:jc w:val="both"/>
        <w:rPr>
          <w:sz w:val="18"/>
        </w:rPr>
      </w:pPr>
      <w:r w:rsidRPr="00150EDC">
        <w:rPr>
          <w:sz w:val="18"/>
        </w:rPr>
        <w:t>Contract</w:t>
      </w:r>
      <w:r w:rsidRPr="00150EDC">
        <w:rPr>
          <w:spacing w:val="-2"/>
          <w:sz w:val="18"/>
        </w:rPr>
        <w:t xml:space="preserve"> </w:t>
      </w:r>
      <w:r w:rsidRPr="00150EDC">
        <w:rPr>
          <w:sz w:val="18"/>
        </w:rPr>
        <w:t>Risk</w:t>
      </w:r>
      <w:r w:rsidRPr="00150EDC">
        <w:rPr>
          <w:spacing w:val="-1"/>
          <w:sz w:val="18"/>
        </w:rPr>
        <w:t xml:space="preserve"> </w:t>
      </w:r>
      <w:r w:rsidRPr="00150EDC">
        <w:rPr>
          <w:spacing w:val="-2"/>
          <w:sz w:val="18"/>
        </w:rPr>
        <w:t>Management</w:t>
      </w:r>
    </w:p>
    <w:p w14:paraId="2ACC8A7D" w14:textId="77777777" w:rsidR="004C7180" w:rsidRPr="00150EDC" w:rsidRDefault="00CF0754">
      <w:pPr>
        <w:pStyle w:val="ListParagraph"/>
        <w:numPr>
          <w:ilvl w:val="0"/>
          <w:numId w:val="33"/>
        </w:numPr>
        <w:tabs>
          <w:tab w:val="left" w:pos="2126"/>
          <w:tab w:val="left" w:pos="2129"/>
        </w:tabs>
        <w:spacing w:before="32" w:line="276" w:lineRule="auto"/>
        <w:ind w:right="4255"/>
        <w:jc w:val="both"/>
        <w:rPr>
          <w:sz w:val="18"/>
        </w:rPr>
      </w:pPr>
      <w:r w:rsidRPr="00150EDC">
        <w:rPr>
          <w:sz w:val="18"/>
        </w:rPr>
        <w:t>Both</w:t>
      </w:r>
      <w:r w:rsidRPr="00150EDC">
        <w:rPr>
          <w:spacing w:val="-2"/>
          <w:sz w:val="18"/>
        </w:rPr>
        <w:t xml:space="preserve"> </w:t>
      </w:r>
      <w:r w:rsidRPr="00150EDC">
        <w:rPr>
          <w:sz w:val="18"/>
        </w:rPr>
        <w:t>Parties</w:t>
      </w:r>
      <w:r w:rsidRPr="00150EDC">
        <w:rPr>
          <w:spacing w:val="-1"/>
          <w:sz w:val="18"/>
        </w:rPr>
        <w:t xml:space="preserve"> </w:t>
      </w:r>
      <w:r w:rsidRPr="00150EDC">
        <w:rPr>
          <w:sz w:val="18"/>
        </w:rPr>
        <w:t>shall</w:t>
      </w:r>
      <w:r w:rsidRPr="00150EDC">
        <w:rPr>
          <w:spacing w:val="-1"/>
          <w:sz w:val="18"/>
        </w:rPr>
        <w:t xml:space="preserve"> </w:t>
      </w:r>
      <w:r w:rsidRPr="00150EDC">
        <w:rPr>
          <w:sz w:val="18"/>
        </w:rPr>
        <w:t>pro-actively</w:t>
      </w:r>
      <w:r w:rsidRPr="00150EDC">
        <w:rPr>
          <w:spacing w:val="-1"/>
          <w:sz w:val="18"/>
        </w:rPr>
        <w:t xml:space="preserve"> </w:t>
      </w:r>
      <w:r w:rsidRPr="00150EDC">
        <w:rPr>
          <w:sz w:val="18"/>
        </w:rPr>
        <w:t>manage</w:t>
      </w:r>
      <w:r w:rsidRPr="00150EDC">
        <w:rPr>
          <w:spacing w:val="-2"/>
          <w:sz w:val="18"/>
        </w:rPr>
        <w:t xml:space="preserve"> </w:t>
      </w:r>
      <w:r w:rsidRPr="00150EDC">
        <w:rPr>
          <w:sz w:val="18"/>
        </w:rPr>
        <w:t>risks</w:t>
      </w:r>
      <w:r w:rsidRPr="00150EDC">
        <w:rPr>
          <w:spacing w:val="-1"/>
          <w:sz w:val="18"/>
        </w:rPr>
        <w:t xml:space="preserve"> </w:t>
      </w:r>
      <w:r w:rsidRPr="00150EDC">
        <w:rPr>
          <w:sz w:val="18"/>
        </w:rPr>
        <w:t>attributed to them under the terms of this Order Contract.</w:t>
      </w:r>
    </w:p>
    <w:p w14:paraId="03E9B382" w14:textId="77777777" w:rsidR="004C7180" w:rsidRPr="00150EDC" w:rsidRDefault="00CF0754">
      <w:pPr>
        <w:pStyle w:val="ListParagraph"/>
        <w:numPr>
          <w:ilvl w:val="0"/>
          <w:numId w:val="33"/>
        </w:numPr>
        <w:tabs>
          <w:tab w:val="left" w:pos="2126"/>
          <w:tab w:val="left" w:pos="2129"/>
        </w:tabs>
        <w:spacing w:before="3" w:line="276" w:lineRule="auto"/>
        <w:ind w:right="4195"/>
        <w:jc w:val="both"/>
        <w:rPr>
          <w:sz w:val="18"/>
        </w:rPr>
      </w:pPr>
      <w:r w:rsidRPr="00150EDC">
        <w:rPr>
          <w:sz w:val="18"/>
        </w:rPr>
        <w:t>The Supplier</w:t>
      </w:r>
      <w:r w:rsidRPr="00150EDC">
        <w:rPr>
          <w:spacing w:val="-1"/>
          <w:sz w:val="18"/>
        </w:rPr>
        <w:t xml:space="preserve"> </w:t>
      </w:r>
      <w:r w:rsidRPr="00150EDC">
        <w:rPr>
          <w:sz w:val="18"/>
        </w:rPr>
        <w:t>shall</w:t>
      </w:r>
      <w:r w:rsidRPr="00150EDC">
        <w:rPr>
          <w:spacing w:val="-1"/>
          <w:sz w:val="18"/>
        </w:rPr>
        <w:t xml:space="preserve"> </w:t>
      </w:r>
      <w:r w:rsidRPr="00150EDC">
        <w:rPr>
          <w:sz w:val="18"/>
        </w:rPr>
        <w:t>develop,</w:t>
      </w:r>
      <w:r w:rsidRPr="00150EDC">
        <w:rPr>
          <w:spacing w:val="-2"/>
          <w:sz w:val="18"/>
        </w:rPr>
        <w:t xml:space="preserve"> </w:t>
      </w:r>
      <w:r w:rsidRPr="00150EDC">
        <w:rPr>
          <w:sz w:val="18"/>
        </w:rPr>
        <w:t>operate,</w:t>
      </w:r>
      <w:r w:rsidRPr="00150EDC">
        <w:rPr>
          <w:spacing w:val="-2"/>
          <w:sz w:val="18"/>
        </w:rPr>
        <w:t xml:space="preserve"> </w:t>
      </w:r>
      <w:r w:rsidRPr="00150EDC">
        <w:rPr>
          <w:sz w:val="18"/>
        </w:rPr>
        <w:t>maintain, and amend,</w:t>
      </w:r>
      <w:r w:rsidRPr="00150EDC">
        <w:rPr>
          <w:spacing w:val="-2"/>
          <w:sz w:val="18"/>
        </w:rPr>
        <w:t xml:space="preserve"> </w:t>
      </w:r>
      <w:r w:rsidRPr="00150EDC">
        <w:rPr>
          <w:sz w:val="18"/>
        </w:rPr>
        <w:t>as</w:t>
      </w:r>
      <w:r w:rsidRPr="00150EDC">
        <w:rPr>
          <w:spacing w:val="-1"/>
          <w:sz w:val="18"/>
        </w:rPr>
        <w:t xml:space="preserve"> </w:t>
      </w:r>
      <w:r w:rsidRPr="00150EDC">
        <w:rPr>
          <w:sz w:val="18"/>
        </w:rPr>
        <w:t>agreed with the Buyer, processes for:</w:t>
      </w:r>
    </w:p>
    <w:p w14:paraId="37982A64" w14:textId="77777777" w:rsidR="004C7180" w:rsidRPr="00150EDC" w:rsidRDefault="004C7180">
      <w:pPr>
        <w:pStyle w:val="BodyText"/>
        <w:spacing w:before="6"/>
        <w:rPr>
          <w:sz w:val="18"/>
        </w:rPr>
      </w:pPr>
    </w:p>
    <w:p w14:paraId="639EFF97" w14:textId="77777777" w:rsidR="004C7180" w:rsidRPr="00150EDC" w:rsidRDefault="00CF0754">
      <w:pPr>
        <w:pStyle w:val="ListParagraph"/>
        <w:numPr>
          <w:ilvl w:val="2"/>
          <w:numId w:val="32"/>
        </w:numPr>
        <w:tabs>
          <w:tab w:val="left" w:pos="1816"/>
        </w:tabs>
        <w:ind w:hanging="772"/>
        <w:rPr>
          <w:sz w:val="18"/>
        </w:rPr>
      </w:pPr>
      <w:bookmarkStart w:id="69" w:name="5.2.1______________the_identification_an"/>
      <w:bookmarkEnd w:id="69"/>
      <w:r w:rsidRPr="00150EDC">
        <w:rPr>
          <w:sz w:val="18"/>
        </w:rPr>
        <w:t>the</w:t>
      </w:r>
      <w:r w:rsidRPr="00150EDC">
        <w:rPr>
          <w:spacing w:val="-5"/>
          <w:sz w:val="18"/>
        </w:rPr>
        <w:t xml:space="preserve"> </w:t>
      </w:r>
      <w:r w:rsidRPr="00150EDC">
        <w:rPr>
          <w:sz w:val="18"/>
        </w:rPr>
        <w:t>identification</w:t>
      </w:r>
      <w:r w:rsidRPr="00150EDC">
        <w:rPr>
          <w:spacing w:val="-2"/>
          <w:sz w:val="18"/>
        </w:rPr>
        <w:t xml:space="preserve"> </w:t>
      </w:r>
      <w:r w:rsidRPr="00150EDC">
        <w:rPr>
          <w:sz w:val="18"/>
        </w:rPr>
        <w:t>and</w:t>
      </w:r>
      <w:r w:rsidRPr="00150EDC">
        <w:rPr>
          <w:spacing w:val="-4"/>
          <w:sz w:val="18"/>
        </w:rPr>
        <w:t xml:space="preserve"> </w:t>
      </w:r>
      <w:r w:rsidRPr="00150EDC">
        <w:rPr>
          <w:sz w:val="18"/>
        </w:rPr>
        <w:t>management</w:t>
      </w:r>
      <w:r w:rsidRPr="00150EDC">
        <w:rPr>
          <w:spacing w:val="-4"/>
          <w:sz w:val="18"/>
        </w:rPr>
        <w:t xml:space="preserve"> </w:t>
      </w:r>
      <w:r w:rsidRPr="00150EDC">
        <w:rPr>
          <w:sz w:val="18"/>
        </w:rPr>
        <w:t>of</w:t>
      </w:r>
      <w:r w:rsidRPr="00150EDC">
        <w:rPr>
          <w:spacing w:val="-2"/>
          <w:sz w:val="18"/>
        </w:rPr>
        <w:t xml:space="preserve"> risks;</w:t>
      </w:r>
    </w:p>
    <w:p w14:paraId="65C025B6" w14:textId="77777777" w:rsidR="004C7180" w:rsidRPr="00150EDC" w:rsidRDefault="00CF0754">
      <w:pPr>
        <w:pStyle w:val="ListParagraph"/>
        <w:numPr>
          <w:ilvl w:val="3"/>
          <w:numId w:val="32"/>
        </w:numPr>
        <w:tabs>
          <w:tab w:val="left" w:pos="3214"/>
        </w:tabs>
        <w:spacing w:before="60"/>
        <w:rPr>
          <w:sz w:val="18"/>
        </w:rPr>
      </w:pPr>
      <w:r w:rsidRPr="00150EDC">
        <w:rPr>
          <w:sz w:val="18"/>
        </w:rPr>
        <w:t>the</w:t>
      </w:r>
      <w:r w:rsidRPr="00150EDC">
        <w:rPr>
          <w:spacing w:val="-3"/>
          <w:sz w:val="18"/>
        </w:rPr>
        <w:t xml:space="preserve"> </w:t>
      </w:r>
      <w:r w:rsidRPr="00150EDC">
        <w:rPr>
          <w:sz w:val="18"/>
        </w:rPr>
        <w:t>identification</w:t>
      </w:r>
      <w:r w:rsidRPr="00150EDC">
        <w:rPr>
          <w:spacing w:val="-4"/>
          <w:sz w:val="18"/>
        </w:rPr>
        <w:t xml:space="preserve"> </w:t>
      </w:r>
      <w:r w:rsidRPr="00150EDC">
        <w:rPr>
          <w:sz w:val="18"/>
        </w:rPr>
        <w:t>and</w:t>
      </w:r>
      <w:r w:rsidRPr="00150EDC">
        <w:rPr>
          <w:spacing w:val="-4"/>
          <w:sz w:val="18"/>
        </w:rPr>
        <w:t xml:space="preserve"> </w:t>
      </w:r>
      <w:r w:rsidRPr="00150EDC">
        <w:rPr>
          <w:sz w:val="18"/>
        </w:rPr>
        <w:t>management</w:t>
      </w:r>
      <w:r w:rsidRPr="00150EDC">
        <w:rPr>
          <w:spacing w:val="-4"/>
          <w:sz w:val="18"/>
        </w:rPr>
        <w:t xml:space="preserve"> </w:t>
      </w:r>
      <w:r w:rsidRPr="00150EDC">
        <w:rPr>
          <w:sz w:val="18"/>
        </w:rPr>
        <w:t>of</w:t>
      </w:r>
      <w:r w:rsidRPr="00150EDC">
        <w:rPr>
          <w:spacing w:val="-2"/>
          <w:sz w:val="18"/>
        </w:rPr>
        <w:t xml:space="preserve"> </w:t>
      </w:r>
      <w:r w:rsidRPr="00150EDC">
        <w:rPr>
          <w:sz w:val="18"/>
        </w:rPr>
        <w:t>issues;</w:t>
      </w:r>
      <w:r w:rsidRPr="00150EDC">
        <w:rPr>
          <w:spacing w:val="-2"/>
          <w:sz w:val="18"/>
        </w:rPr>
        <w:t xml:space="preserve"> </w:t>
      </w:r>
      <w:r w:rsidRPr="00150EDC">
        <w:rPr>
          <w:spacing w:val="-5"/>
          <w:sz w:val="18"/>
        </w:rPr>
        <w:t>and</w:t>
      </w:r>
    </w:p>
    <w:p w14:paraId="17739980" w14:textId="77777777" w:rsidR="004C7180" w:rsidRPr="00150EDC" w:rsidRDefault="00CF0754">
      <w:pPr>
        <w:pStyle w:val="ListParagraph"/>
        <w:numPr>
          <w:ilvl w:val="3"/>
          <w:numId w:val="32"/>
        </w:numPr>
        <w:tabs>
          <w:tab w:val="left" w:pos="3214"/>
        </w:tabs>
        <w:spacing w:before="32"/>
        <w:rPr>
          <w:sz w:val="18"/>
        </w:rPr>
      </w:pPr>
      <w:r w:rsidRPr="00150EDC">
        <w:rPr>
          <w:sz w:val="18"/>
        </w:rPr>
        <w:t>monitoring</w:t>
      </w:r>
      <w:r w:rsidRPr="00150EDC">
        <w:rPr>
          <w:spacing w:val="-5"/>
          <w:sz w:val="18"/>
        </w:rPr>
        <w:t xml:space="preserve"> </w:t>
      </w:r>
      <w:r w:rsidRPr="00150EDC">
        <w:rPr>
          <w:sz w:val="18"/>
        </w:rPr>
        <w:t>and</w:t>
      </w:r>
      <w:r w:rsidRPr="00150EDC">
        <w:rPr>
          <w:spacing w:val="-4"/>
          <w:sz w:val="18"/>
        </w:rPr>
        <w:t xml:space="preserve"> </w:t>
      </w:r>
      <w:r w:rsidRPr="00150EDC">
        <w:rPr>
          <w:sz w:val="18"/>
        </w:rPr>
        <w:t>controlling</w:t>
      </w:r>
      <w:r w:rsidRPr="00150EDC">
        <w:rPr>
          <w:spacing w:val="-3"/>
          <w:sz w:val="18"/>
        </w:rPr>
        <w:t xml:space="preserve"> </w:t>
      </w:r>
      <w:r w:rsidRPr="00150EDC">
        <w:rPr>
          <w:sz w:val="18"/>
        </w:rPr>
        <w:t>project</w:t>
      </w:r>
      <w:r w:rsidRPr="00150EDC">
        <w:rPr>
          <w:spacing w:val="-2"/>
          <w:sz w:val="18"/>
        </w:rPr>
        <w:t xml:space="preserve"> plans.</w:t>
      </w:r>
    </w:p>
    <w:p w14:paraId="48D489EF" w14:textId="77777777" w:rsidR="004C7180" w:rsidRPr="00150EDC" w:rsidRDefault="00CF0754">
      <w:pPr>
        <w:pStyle w:val="ListParagraph"/>
        <w:numPr>
          <w:ilvl w:val="0"/>
          <w:numId w:val="33"/>
        </w:numPr>
        <w:tabs>
          <w:tab w:val="left" w:pos="2126"/>
          <w:tab w:val="left" w:pos="2129"/>
        </w:tabs>
        <w:spacing w:before="34" w:line="276" w:lineRule="auto"/>
        <w:ind w:right="4084"/>
        <w:jc w:val="left"/>
        <w:rPr>
          <w:sz w:val="18"/>
        </w:rPr>
      </w:pPr>
      <w:r w:rsidRPr="00150EDC">
        <w:rPr>
          <w:sz w:val="18"/>
        </w:rPr>
        <w:t>The Supplier allows the Buyer to inspect at any time within working hours</w:t>
      </w:r>
      <w:r w:rsidRPr="00150EDC">
        <w:rPr>
          <w:spacing w:val="-1"/>
          <w:sz w:val="18"/>
        </w:rPr>
        <w:t xml:space="preserve"> </w:t>
      </w:r>
      <w:r w:rsidRPr="00150EDC">
        <w:rPr>
          <w:sz w:val="18"/>
        </w:rPr>
        <w:t>the</w:t>
      </w:r>
      <w:r w:rsidRPr="00150EDC">
        <w:rPr>
          <w:spacing w:val="-2"/>
          <w:sz w:val="18"/>
        </w:rPr>
        <w:t xml:space="preserve"> </w:t>
      </w:r>
      <w:r w:rsidRPr="00150EDC">
        <w:rPr>
          <w:sz w:val="18"/>
        </w:rPr>
        <w:t>accounts</w:t>
      </w:r>
      <w:r w:rsidRPr="00150EDC">
        <w:rPr>
          <w:spacing w:val="-3"/>
          <w:sz w:val="18"/>
        </w:rPr>
        <w:t xml:space="preserve"> </w:t>
      </w:r>
      <w:r w:rsidRPr="00150EDC">
        <w:rPr>
          <w:sz w:val="18"/>
        </w:rPr>
        <w:t>and records</w:t>
      </w:r>
      <w:r w:rsidRPr="00150EDC">
        <w:rPr>
          <w:spacing w:val="-1"/>
          <w:sz w:val="18"/>
        </w:rPr>
        <w:t xml:space="preserve"> </w:t>
      </w:r>
      <w:r w:rsidRPr="00150EDC">
        <w:rPr>
          <w:sz w:val="18"/>
        </w:rPr>
        <w:t>which the Supplier</w:t>
      </w:r>
      <w:r w:rsidRPr="00150EDC">
        <w:rPr>
          <w:spacing w:val="-1"/>
          <w:sz w:val="18"/>
        </w:rPr>
        <w:t xml:space="preserve"> </w:t>
      </w:r>
      <w:r w:rsidRPr="00150EDC">
        <w:rPr>
          <w:sz w:val="18"/>
        </w:rPr>
        <w:t>is</w:t>
      </w:r>
      <w:r w:rsidRPr="00150EDC">
        <w:rPr>
          <w:spacing w:val="-1"/>
          <w:sz w:val="18"/>
        </w:rPr>
        <w:t xml:space="preserve"> </w:t>
      </w:r>
      <w:r w:rsidRPr="00150EDC">
        <w:rPr>
          <w:sz w:val="18"/>
        </w:rPr>
        <w:t>required to</w:t>
      </w:r>
      <w:r w:rsidRPr="00150EDC">
        <w:rPr>
          <w:spacing w:val="-2"/>
          <w:sz w:val="18"/>
        </w:rPr>
        <w:t xml:space="preserve"> </w:t>
      </w:r>
      <w:r w:rsidRPr="00150EDC">
        <w:rPr>
          <w:sz w:val="18"/>
        </w:rPr>
        <w:t>keep.</w:t>
      </w:r>
    </w:p>
    <w:p w14:paraId="1CBC65C6" w14:textId="77777777" w:rsidR="004C7180" w:rsidRPr="00150EDC" w:rsidRDefault="00CF0754">
      <w:pPr>
        <w:pStyle w:val="ListParagraph"/>
        <w:numPr>
          <w:ilvl w:val="0"/>
          <w:numId w:val="33"/>
        </w:numPr>
        <w:tabs>
          <w:tab w:val="left" w:pos="2126"/>
          <w:tab w:val="left" w:pos="2129"/>
        </w:tabs>
        <w:spacing w:before="1" w:line="276" w:lineRule="auto"/>
        <w:ind w:right="4466"/>
        <w:jc w:val="left"/>
        <w:rPr>
          <w:sz w:val="18"/>
        </w:rPr>
      </w:pPr>
      <w:r w:rsidRPr="00150EDC">
        <w:rPr>
          <w:sz w:val="18"/>
        </w:rPr>
        <w:t>The Supplier</w:t>
      </w:r>
      <w:r w:rsidRPr="00150EDC">
        <w:rPr>
          <w:spacing w:val="-1"/>
          <w:sz w:val="18"/>
        </w:rPr>
        <w:t xml:space="preserve"> </w:t>
      </w:r>
      <w:r w:rsidRPr="00150EDC">
        <w:rPr>
          <w:sz w:val="18"/>
        </w:rPr>
        <w:t>will</w:t>
      </w:r>
      <w:r w:rsidRPr="00150EDC">
        <w:rPr>
          <w:spacing w:val="-1"/>
          <w:sz w:val="18"/>
        </w:rPr>
        <w:t xml:space="preserve"> </w:t>
      </w:r>
      <w:r w:rsidRPr="00150EDC">
        <w:rPr>
          <w:sz w:val="18"/>
        </w:rPr>
        <w:t>maintain a risk</w:t>
      </w:r>
      <w:r w:rsidRPr="00150EDC">
        <w:rPr>
          <w:spacing w:val="-1"/>
          <w:sz w:val="18"/>
        </w:rPr>
        <w:t xml:space="preserve"> </w:t>
      </w:r>
      <w:r w:rsidRPr="00150EDC">
        <w:rPr>
          <w:sz w:val="18"/>
        </w:rPr>
        <w:t>register</w:t>
      </w:r>
      <w:r w:rsidRPr="00150EDC">
        <w:rPr>
          <w:spacing w:val="-1"/>
          <w:sz w:val="18"/>
        </w:rPr>
        <w:t xml:space="preserve"> </w:t>
      </w:r>
      <w:r w:rsidRPr="00150EDC">
        <w:rPr>
          <w:sz w:val="18"/>
        </w:rPr>
        <w:t>of</w:t>
      </w:r>
      <w:r w:rsidRPr="00150EDC">
        <w:rPr>
          <w:spacing w:val="-2"/>
          <w:sz w:val="18"/>
        </w:rPr>
        <w:t xml:space="preserve"> </w:t>
      </w:r>
      <w:r w:rsidRPr="00150EDC">
        <w:rPr>
          <w:sz w:val="18"/>
        </w:rPr>
        <w:t>the risks</w:t>
      </w:r>
      <w:r w:rsidRPr="00150EDC">
        <w:rPr>
          <w:spacing w:val="-1"/>
          <w:sz w:val="18"/>
        </w:rPr>
        <w:t xml:space="preserve"> </w:t>
      </w:r>
      <w:r w:rsidRPr="00150EDC">
        <w:rPr>
          <w:sz w:val="18"/>
        </w:rPr>
        <w:t>relating</w:t>
      </w:r>
      <w:r w:rsidRPr="00150EDC">
        <w:rPr>
          <w:spacing w:val="-2"/>
          <w:sz w:val="18"/>
        </w:rPr>
        <w:t xml:space="preserve"> </w:t>
      </w:r>
      <w:r w:rsidRPr="00150EDC">
        <w:rPr>
          <w:sz w:val="18"/>
        </w:rPr>
        <w:t>to</w:t>
      </w:r>
      <w:r w:rsidRPr="00150EDC">
        <w:rPr>
          <w:spacing w:val="-2"/>
          <w:sz w:val="18"/>
        </w:rPr>
        <w:t xml:space="preserve"> </w:t>
      </w:r>
      <w:r w:rsidRPr="00150EDC">
        <w:rPr>
          <w:sz w:val="18"/>
        </w:rPr>
        <w:t>the Order Contract which the Buyer and the Supplier have identified.</w:t>
      </w:r>
    </w:p>
    <w:p w14:paraId="02992F81" w14:textId="77777777" w:rsidR="004C7180" w:rsidRPr="00150EDC" w:rsidRDefault="00CF0754">
      <w:pPr>
        <w:pStyle w:val="ListParagraph"/>
        <w:numPr>
          <w:ilvl w:val="0"/>
          <w:numId w:val="33"/>
        </w:numPr>
        <w:tabs>
          <w:tab w:val="left" w:pos="1584"/>
        </w:tabs>
        <w:spacing w:before="3"/>
        <w:ind w:left="1584" w:hanging="269"/>
        <w:jc w:val="left"/>
        <w:rPr>
          <w:sz w:val="18"/>
        </w:rPr>
      </w:pPr>
      <w:r w:rsidRPr="00150EDC">
        <w:rPr>
          <w:sz w:val="18"/>
        </w:rPr>
        <w:t>Contract</w:t>
      </w:r>
      <w:r w:rsidRPr="00150EDC">
        <w:rPr>
          <w:spacing w:val="-7"/>
          <w:sz w:val="18"/>
        </w:rPr>
        <w:t xml:space="preserve"> </w:t>
      </w:r>
      <w:r w:rsidRPr="00150EDC">
        <w:rPr>
          <w:sz w:val="18"/>
        </w:rPr>
        <w:t>Management</w:t>
      </w:r>
      <w:r w:rsidRPr="00150EDC">
        <w:rPr>
          <w:spacing w:val="-5"/>
          <w:sz w:val="18"/>
        </w:rPr>
        <w:t xml:space="preserve"> </w:t>
      </w:r>
      <w:r w:rsidRPr="00150EDC">
        <w:rPr>
          <w:spacing w:val="-4"/>
          <w:sz w:val="18"/>
        </w:rPr>
        <w:t>Plan</w:t>
      </w:r>
    </w:p>
    <w:p w14:paraId="49C021C8" w14:textId="77777777" w:rsidR="004C7180" w:rsidRPr="00150EDC" w:rsidRDefault="004C7180">
      <w:pPr>
        <w:pStyle w:val="BodyText"/>
        <w:spacing w:before="4"/>
        <w:rPr>
          <w:sz w:val="26"/>
        </w:rPr>
      </w:pPr>
    </w:p>
    <w:p w14:paraId="6ADCDF28" w14:textId="77777777" w:rsidR="004C7180" w:rsidRPr="00150EDC" w:rsidRDefault="00CF0754">
      <w:pPr>
        <w:ind w:left="1044" w:right="4017"/>
        <w:jc w:val="both"/>
        <w:rPr>
          <w:sz w:val="18"/>
        </w:rPr>
      </w:pPr>
      <w:bookmarkStart w:id="70" w:name="6.1_The_Buyer_and_Supplier_will_agree_a_"/>
      <w:bookmarkEnd w:id="70"/>
      <w:r w:rsidRPr="00150EDC">
        <w:rPr>
          <w:sz w:val="18"/>
        </w:rPr>
        <w:t>6.1</w:t>
      </w:r>
      <w:r w:rsidRPr="00150EDC">
        <w:rPr>
          <w:spacing w:val="-13"/>
          <w:sz w:val="18"/>
        </w:rPr>
        <w:t xml:space="preserve"> </w:t>
      </w:r>
      <w:r w:rsidRPr="00150EDC">
        <w:rPr>
          <w:sz w:val="18"/>
        </w:rPr>
        <w:t>The</w:t>
      </w:r>
      <w:r w:rsidRPr="00150EDC">
        <w:rPr>
          <w:spacing w:val="-12"/>
          <w:sz w:val="18"/>
        </w:rPr>
        <w:t xml:space="preserve"> </w:t>
      </w:r>
      <w:r w:rsidRPr="00150EDC">
        <w:rPr>
          <w:sz w:val="18"/>
        </w:rPr>
        <w:t>Buyer</w:t>
      </w:r>
      <w:r w:rsidRPr="00150EDC">
        <w:rPr>
          <w:spacing w:val="-13"/>
          <w:sz w:val="18"/>
        </w:rPr>
        <w:t xml:space="preserve"> </w:t>
      </w:r>
      <w:r w:rsidRPr="00150EDC">
        <w:rPr>
          <w:sz w:val="18"/>
        </w:rPr>
        <w:t>and</w:t>
      </w:r>
      <w:r w:rsidRPr="00150EDC">
        <w:rPr>
          <w:spacing w:val="-12"/>
          <w:sz w:val="18"/>
        </w:rPr>
        <w:t xml:space="preserve"> </w:t>
      </w:r>
      <w:r w:rsidRPr="00150EDC">
        <w:rPr>
          <w:sz w:val="18"/>
        </w:rPr>
        <w:t>Supplier</w:t>
      </w:r>
      <w:r w:rsidRPr="00150EDC">
        <w:rPr>
          <w:spacing w:val="-13"/>
          <w:sz w:val="18"/>
        </w:rPr>
        <w:t xml:space="preserve"> </w:t>
      </w:r>
      <w:r w:rsidRPr="00150EDC">
        <w:rPr>
          <w:sz w:val="18"/>
        </w:rPr>
        <w:t>will</w:t>
      </w:r>
      <w:r w:rsidRPr="00150EDC">
        <w:rPr>
          <w:spacing w:val="-13"/>
          <w:sz w:val="18"/>
        </w:rPr>
        <w:t xml:space="preserve"> </w:t>
      </w:r>
      <w:r w:rsidRPr="00150EDC">
        <w:rPr>
          <w:sz w:val="18"/>
        </w:rPr>
        <w:t>agree</w:t>
      </w:r>
      <w:r w:rsidRPr="00150EDC">
        <w:rPr>
          <w:spacing w:val="-12"/>
          <w:sz w:val="18"/>
        </w:rPr>
        <w:t xml:space="preserve"> </w:t>
      </w:r>
      <w:r w:rsidRPr="00150EDC">
        <w:rPr>
          <w:sz w:val="18"/>
        </w:rPr>
        <w:t>a</w:t>
      </w:r>
      <w:r w:rsidRPr="00150EDC">
        <w:rPr>
          <w:spacing w:val="-13"/>
          <w:sz w:val="18"/>
        </w:rPr>
        <w:t xml:space="preserve"> </w:t>
      </w:r>
      <w:r w:rsidRPr="00150EDC">
        <w:rPr>
          <w:sz w:val="18"/>
        </w:rPr>
        <w:t>contract</w:t>
      </w:r>
      <w:r w:rsidRPr="00150EDC">
        <w:rPr>
          <w:spacing w:val="-10"/>
          <w:sz w:val="18"/>
        </w:rPr>
        <w:t xml:space="preserve"> </w:t>
      </w:r>
      <w:r w:rsidRPr="00150EDC">
        <w:rPr>
          <w:sz w:val="18"/>
        </w:rPr>
        <w:t>management</w:t>
      </w:r>
      <w:r w:rsidRPr="00150EDC">
        <w:rPr>
          <w:spacing w:val="-12"/>
          <w:sz w:val="18"/>
        </w:rPr>
        <w:t xml:space="preserve"> </w:t>
      </w:r>
      <w:r w:rsidRPr="00150EDC">
        <w:rPr>
          <w:sz w:val="18"/>
        </w:rPr>
        <w:t>plan</w:t>
      </w:r>
      <w:r w:rsidRPr="00150EDC">
        <w:rPr>
          <w:spacing w:val="-12"/>
          <w:sz w:val="18"/>
        </w:rPr>
        <w:t xml:space="preserve"> </w:t>
      </w:r>
      <w:r w:rsidRPr="00150EDC">
        <w:rPr>
          <w:sz w:val="18"/>
        </w:rPr>
        <w:t>prior</w:t>
      </w:r>
      <w:r w:rsidRPr="00150EDC">
        <w:rPr>
          <w:spacing w:val="-11"/>
          <w:sz w:val="18"/>
        </w:rPr>
        <w:t xml:space="preserve"> </w:t>
      </w:r>
      <w:r w:rsidRPr="00150EDC">
        <w:rPr>
          <w:sz w:val="18"/>
        </w:rPr>
        <w:t>to</w:t>
      </w:r>
      <w:r w:rsidRPr="00150EDC">
        <w:rPr>
          <w:spacing w:val="-10"/>
          <w:sz w:val="18"/>
        </w:rPr>
        <w:t xml:space="preserve"> </w:t>
      </w:r>
      <w:r w:rsidRPr="00150EDC">
        <w:rPr>
          <w:sz w:val="18"/>
        </w:rPr>
        <w:t>the</w:t>
      </w:r>
      <w:r w:rsidRPr="00150EDC">
        <w:rPr>
          <w:spacing w:val="-10"/>
          <w:sz w:val="18"/>
        </w:rPr>
        <w:t xml:space="preserve"> </w:t>
      </w:r>
      <w:r w:rsidRPr="00150EDC">
        <w:rPr>
          <w:sz w:val="18"/>
        </w:rPr>
        <w:t>contract going</w:t>
      </w:r>
      <w:r w:rsidRPr="00150EDC">
        <w:rPr>
          <w:spacing w:val="-13"/>
          <w:sz w:val="18"/>
        </w:rPr>
        <w:t xml:space="preserve"> </w:t>
      </w:r>
      <w:r w:rsidRPr="00150EDC">
        <w:rPr>
          <w:sz w:val="18"/>
        </w:rPr>
        <w:t>live</w:t>
      </w:r>
      <w:r w:rsidRPr="00150EDC">
        <w:rPr>
          <w:spacing w:val="-12"/>
          <w:sz w:val="18"/>
        </w:rPr>
        <w:t xml:space="preserve"> </w:t>
      </w:r>
      <w:r w:rsidRPr="00150EDC">
        <w:rPr>
          <w:sz w:val="18"/>
        </w:rPr>
        <w:t>which</w:t>
      </w:r>
      <w:r w:rsidRPr="00150EDC">
        <w:rPr>
          <w:spacing w:val="-13"/>
          <w:sz w:val="18"/>
        </w:rPr>
        <w:t xml:space="preserve"> </w:t>
      </w:r>
      <w:r w:rsidRPr="00150EDC">
        <w:rPr>
          <w:sz w:val="18"/>
        </w:rPr>
        <w:t>will</w:t>
      </w:r>
      <w:r w:rsidRPr="00150EDC">
        <w:rPr>
          <w:spacing w:val="-12"/>
          <w:sz w:val="18"/>
        </w:rPr>
        <w:t xml:space="preserve"> </w:t>
      </w:r>
      <w:r w:rsidRPr="00150EDC">
        <w:rPr>
          <w:sz w:val="18"/>
        </w:rPr>
        <w:t>include</w:t>
      </w:r>
      <w:r w:rsidRPr="00150EDC">
        <w:rPr>
          <w:spacing w:val="-13"/>
          <w:sz w:val="18"/>
        </w:rPr>
        <w:t xml:space="preserve"> </w:t>
      </w:r>
      <w:r w:rsidRPr="00150EDC">
        <w:rPr>
          <w:sz w:val="18"/>
        </w:rPr>
        <w:t>how</w:t>
      </w:r>
      <w:r w:rsidRPr="00150EDC">
        <w:rPr>
          <w:spacing w:val="-13"/>
          <w:sz w:val="18"/>
        </w:rPr>
        <w:t xml:space="preserve"> </w:t>
      </w:r>
      <w:r w:rsidRPr="00150EDC">
        <w:rPr>
          <w:sz w:val="18"/>
        </w:rPr>
        <w:t>the</w:t>
      </w:r>
      <w:r w:rsidRPr="00150EDC">
        <w:rPr>
          <w:spacing w:val="-12"/>
          <w:sz w:val="18"/>
        </w:rPr>
        <w:t xml:space="preserve"> </w:t>
      </w:r>
      <w:r w:rsidRPr="00150EDC">
        <w:rPr>
          <w:sz w:val="18"/>
        </w:rPr>
        <w:t>Buyer</w:t>
      </w:r>
      <w:r w:rsidRPr="00150EDC">
        <w:rPr>
          <w:spacing w:val="-13"/>
          <w:sz w:val="18"/>
        </w:rPr>
        <w:t xml:space="preserve"> </w:t>
      </w:r>
      <w:r w:rsidRPr="00150EDC">
        <w:rPr>
          <w:sz w:val="18"/>
        </w:rPr>
        <w:t>will</w:t>
      </w:r>
      <w:r w:rsidRPr="00150EDC">
        <w:rPr>
          <w:spacing w:val="-12"/>
          <w:sz w:val="18"/>
        </w:rPr>
        <w:t xml:space="preserve"> </w:t>
      </w:r>
      <w:r w:rsidRPr="00150EDC">
        <w:rPr>
          <w:sz w:val="18"/>
        </w:rPr>
        <w:t>assure</w:t>
      </w:r>
      <w:r w:rsidRPr="00150EDC">
        <w:rPr>
          <w:spacing w:val="-13"/>
          <w:sz w:val="18"/>
        </w:rPr>
        <w:t xml:space="preserve"> </w:t>
      </w:r>
      <w:r w:rsidRPr="00150EDC">
        <w:rPr>
          <w:sz w:val="18"/>
        </w:rPr>
        <w:t>the</w:t>
      </w:r>
      <w:r w:rsidRPr="00150EDC">
        <w:rPr>
          <w:spacing w:val="-12"/>
          <w:sz w:val="18"/>
        </w:rPr>
        <w:t xml:space="preserve"> </w:t>
      </w:r>
      <w:r w:rsidRPr="00150EDC">
        <w:rPr>
          <w:sz w:val="18"/>
        </w:rPr>
        <w:t>Suppliers</w:t>
      </w:r>
      <w:r w:rsidRPr="00150EDC">
        <w:rPr>
          <w:spacing w:val="-13"/>
          <w:sz w:val="18"/>
        </w:rPr>
        <w:t xml:space="preserve"> </w:t>
      </w:r>
      <w:r w:rsidRPr="00150EDC">
        <w:rPr>
          <w:sz w:val="18"/>
        </w:rPr>
        <w:t>delivery</w:t>
      </w:r>
      <w:r w:rsidRPr="00150EDC">
        <w:rPr>
          <w:spacing w:val="-12"/>
          <w:sz w:val="18"/>
        </w:rPr>
        <w:t xml:space="preserve"> </w:t>
      </w:r>
      <w:r w:rsidRPr="00150EDC">
        <w:rPr>
          <w:sz w:val="18"/>
        </w:rPr>
        <w:t>and</w:t>
      </w:r>
      <w:r w:rsidRPr="00150EDC">
        <w:rPr>
          <w:spacing w:val="-12"/>
          <w:sz w:val="18"/>
        </w:rPr>
        <w:t xml:space="preserve"> </w:t>
      </w:r>
      <w:r w:rsidRPr="00150EDC">
        <w:rPr>
          <w:sz w:val="18"/>
        </w:rPr>
        <w:t>spend and key contacts to be involved:</w:t>
      </w:r>
    </w:p>
    <w:p w14:paraId="3669E8C9" w14:textId="77777777" w:rsidR="004C7180" w:rsidRPr="00150EDC" w:rsidRDefault="004C7180">
      <w:pPr>
        <w:pStyle w:val="BodyText"/>
        <w:spacing w:before="6"/>
        <w:rPr>
          <w:sz w:val="20"/>
        </w:rPr>
      </w:pPr>
    </w:p>
    <w:p w14:paraId="18142630" w14:textId="77777777" w:rsidR="004C7180" w:rsidRPr="00150EDC" w:rsidRDefault="00CF0754">
      <w:pPr>
        <w:pStyle w:val="Heading3"/>
        <w:spacing w:before="0"/>
      </w:pPr>
      <w:r w:rsidRPr="00150EDC">
        <w:t>Annex</w:t>
      </w:r>
      <w:r w:rsidRPr="00150EDC">
        <w:rPr>
          <w:spacing w:val="-3"/>
        </w:rPr>
        <w:t xml:space="preserve"> </w:t>
      </w:r>
      <w:r w:rsidRPr="00150EDC">
        <w:t>A:</w:t>
      </w:r>
      <w:r w:rsidRPr="00150EDC">
        <w:rPr>
          <w:spacing w:val="-2"/>
        </w:rPr>
        <w:t xml:space="preserve"> </w:t>
      </w:r>
      <w:r w:rsidRPr="00150EDC">
        <w:t>Progress</w:t>
      </w:r>
      <w:r w:rsidRPr="00150EDC">
        <w:rPr>
          <w:spacing w:val="-2"/>
        </w:rPr>
        <w:t xml:space="preserve"> Reporting</w:t>
      </w:r>
    </w:p>
    <w:p w14:paraId="5809B7A2" w14:textId="77777777" w:rsidR="004C7180" w:rsidRPr="00150EDC" w:rsidRDefault="00CF0754">
      <w:pPr>
        <w:spacing w:before="47"/>
        <w:ind w:left="1044"/>
        <w:rPr>
          <w:b/>
          <w:sz w:val="18"/>
        </w:rPr>
      </w:pPr>
      <w:r w:rsidRPr="00150EDC">
        <w:rPr>
          <w:b/>
          <w:sz w:val="18"/>
        </w:rPr>
        <w:t>Progress</w:t>
      </w:r>
      <w:r w:rsidRPr="00150EDC">
        <w:rPr>
          <w:b/>
          <w:spacing w:val="-3"/>
          <w:sz w:val="18"/>
        </w:rPr>
        <w:t xml:space="preserve"> </w:t>
      </w:r>
      <w:r w:rsidRPr="00150EDC">
        <w:rPr>
          <w:b/>
          <w:spacing w:val="-2"/>
          <w:sz w:val="18"/>
        </w:rPr>
        <w:t>Reports;</w:t>
      </w:r>
    </w:p>
    <w:p w14:paraId="07D6A489" w14:textId="77777777" w:rsidR="004C7180" w:rsidRPr="00150EDC" w:rsidRDefault="00CF0754">
      <w:pPr>
        <w:spacing w:before="34" w:line="276" w:lineRule="auto"/>
        <w:ind w:left="1046" w:right="4072" w:hanging="2"/>
        <w:rPr>
          <w:sz w:val="18"/>
        </w:rPr>
      </w:pPr>
      <w:r w:rsidRPr="007D3144">
        <w:rPr>
          <w:sz w:val="18"/>
        </w:rPr>
        <w:t>The Supplier's Contract Manager will be required to provide, the following documentation</w:t>
      </w:r>
      <w:r w:rsidRPr="007D3144">
        <w:rPr>
          <w:spacing w:val="-2"/>
          <w:sz w:val="18"/>
        </w:rPr>
        <w:t xml:space="preserve"> </w:t>
      </w:r>
      <w:r w:rsidRPr="007D3144">
        <w:rPr>
          <w:sz w:val="18"/>
        </w:rPr>
        <w:t>and</w:t>
      </w:r>
      <w:r w:rsidRPr="007D3144">
        <w:rPr>
          <w:spacing w:val="-2"/>
          <w:sz w:val="18"/>
        </w:rPr>
        <w:t xml:space="preserve"> </w:t>
      </w:r>
      <w:r w:rsidRPr="007D3144">
        <w:rPr>
          <w:sz w:val="18"/>
        </w:rPr>
        <w:t>information to the Buyer’s</w:t>
      </w:r>
      <w:r w:rsidRPr="007D3144">
        <w:rPr>
          <w:spacing w:val="-1"/>
          <w:sz w:val="18"/>
        </w:rPr>
        <w:t xml:space="preserve"> </w:t>
      </w:r>
      <w:r w:rsidRPr="007D3144">
        <w:rPr>
          <w:sz w:val="18"/>
        </w:rPr>
        <w:t>Contract Manager,</w:t>
      </w:r>
      <w:r w:rsidRPr="007D3144">
        <w:rPr>
          <w:spacing w:val="-2"/>
          <w:sz w:val="18"/>
        </w:rPr>
        <w:t xml:space="preserve"> </w:t>
      </w:r>
      <w:r w:rsidRPr="007D3144">
        <w:rPr>
          <w:sz w:val="18"/>
        </w:rPr>
        <w:t>at</w:t>
      </w:r>
      <w:r w:rsidRPr="007D3144">
        <w:rPr>
          <w:spacing w:val="-2"/>
          <w:sz w:val="18"/>
        </w:rPr>
        <w:t xml:space="preserve"> </w:t>
      </w:r>
      <w:r w:rsidRPr="007D3144">
        <w:rPr>
          <w:sz w:val="18"/>
        </w:rPr>
        <w:t>the specified</w:t>
      </w:r>
    </w:p>
    <w:p w14:paraId="5072D7B6" w14:textId="77777777" w:rsidR="004C7180" w:rsidRPr="00150EDC" w:rsidRDefault="004C7180">
      <w:pPr>
        <w:pStyle w:val="BodyText"/>
        <w:rPr>
          <w:sz w:val="20"/>
        </w:rPr>
      </w:pPr>
    </w:p>
    <w:p w14:paraId="60CA46F1" w14:textId="77777777" w:rsidR="004C7180" w:rsidRPr="00150EDC" w:rsidRDefault="004C7180">
      <w:pPr>
        <w:pStyle w:val="BodyText"/>
        <w:spacing w:before="9"/>
        <w:rPr>
          <w:sz w:val="25"/>
        </w:rPr>
      </w:pPr>
    </w:p>
    <w:p w14:paraId="4B1085FC" w14:textId="77777777" w:rsidR="004C7180" w:rsidRPr="00150EDC" w:rsidRDefault="00CF0754">
      <w:pPr>
        <w:spacing w:before="96" w:line="172" w:lineRule="exact"/>
        <w:ind w:left="1044"/>
        <w:rPr>
          <w:sz w:val="15"/>
        </w:rPr>
      </w:pPr>
      <w:r w:rsidRPr="00150EDC">
        <w:rPr>
          <w:sz w:val="15"/>
        </w:rPr>
        <w:t>DPS</w:t>
      </w:r>
      <w:r w:rsidRPr="00150EDC">
        <w:rPr>
          <w:spacing w:val="-3"/>
          <w:sz w:val="15"/>
        </w:rPr>
        <w:t xml:space="preserve"> </w:t>
      </w:r>
      <w:r w:rsidRPr="00150EDC">
        <w:rPr>
          <w:sz w:val="15"/>
        </w:rPr>
        <w:t xml:space="preserve">Ref: </w:t>
      </w:r>
      <w:r w:rsidRPr="00150EDC">
        <w:rPr>
          <w:spacing w:val="-2"/>
          <w:sz w:val="15"/>
        </w:rPr>
        <w:t>RM6322</w:t>
      </w:r>
    </w:p>
    <w:p w14:paraId="53F0E6BE" w14:textId="77777777" w:rsidR="004C7180" w:rsidRPr="00150EDC" w:rsidRDefault="00CF0754">
      <w:pPr>
        <w:tabs>
          <w:tab w:val="right" w:pos="7844"/>
        </w:tabs>
        <w:spacing w:line="172" w:lineRule="exact"/>
        <w:ind w:left="1044"/>
        <w:rPr>
          <w:sz w:val="15"/>
        </w:rPr>
      </w:pPr>
      <w:r w:rsidRPr="00150EDC">
        <w:rPr>
          <w:noProof/>
          <w:lang w:val="en-GB" w:eastAsia="en-GB"/>
        </w:rPr>
        <mc:AlternateContent>
          <mc:Choice Requires="wps">
            <w:drawing>
              <wp:anchor distT="0" distB="0" distL="0" distR="0" simplePos="0" relativeHeight="251658268" behindDoc="1" locked="0" layoutInCell="1" allowOverlap="1" wp14:anchorId="03FE656C" wp14:editId="51859F79">
                <wp:simplePos x="0" y="0"/>
                <wp:positionH relativeFrom="page">
                  <wp:posOffset>4953965</wp:posOffset>
                </wp:positionH>
                <wp:positionV relativeFrom="paragraph">
                  <wp:posOffset>693</wp:posOffset>
                </wp:positionV>
                <wp:extent cx="53340" cy="109220"/>
                <wp:effectExtent l="0" t="0" r="0" b="0"/>
                <wp:wrapNone/>
                <wp:docPr id="264" name="Free-form: Shape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 cy="109220"/>
                        </a:xfrm>
                        <a:custGeom>
                          <a:avLst/>
                          <a:gdLst/>
                          <a:ahLst/>
                          <a:cxnLst/>
                          <a:rect l="l" t="t" r="r" b="b"/>
                          <a:pathLst>
                            <a:path w="53340" h="109220">
                              <a:moveTo>
                                <a:pt x="52806" y="0"/>
                              </a:moveTo>
                              <a:lnTo>
                                <a:pt x="0" y="0"/>
                              </a:lnTo>
                              <a:lnTo>
                                <a:pt x="0" y="109067"/>
                              </a:lnTo>
                              <a:lnTo>
                                <a:pt x="52806" y="109067"/>
                              </a:lnTo>
                              <a:lnTo>
                                <a:pt x="52806" y="0"/>
                              </a:lnTo>
                              <a:close/>
                            </a:path>
                          </a:pathLst>
                        </a:custGeom>
                        <a:solidFill>
                          <a:srgbClr val="E6E6E6"/>
                        </a:solidFill>
                      </wps:spPr>
                      <wps:bodyPr wrap="square" lIns="0" tIns="0" rIns="0" bIns="0" rtlCol="0">
                        <a:prstTxWarp prst="textNoShape">
                          <a:avLst/>
                        </a:prstTxWarp>
                        <a:noAutofit/>
                      </wps:bodyPr>
                    </wps:wsp>
                  </a:graphicData>
                </a:graphic>
              </wp:anchor>
            </w:drawing>
          </mc:Choice>
          <mc:Fallback>
            <w:pict>
              <v:shape w14:anchorId="248284CB" id="Free-form: Shape 264" o:spid="_x0000_s1026" style="position:absolute;margin-left:390.1pt;margin-top:.05pt;width:4.2pt;height:8.6pt;z-index:-251658212;visibility:visible;mso-wrap-style:square;mso-wrap-distance-left:0;mso-wrap-distance-top:0;mso-wrap-distance-right:0;mso-wrap-distance-bottom:0;mso-position-horizontal:absolute;mso-position-horizontal-relative:page;mso-position-vertical:absolute;mso-position-vertical-relative:text;v-text-anchor:top" coordsize="53340,109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" path="m52806,l,,,109067r52806,l52806,xe" fillcolor="#e6e6e6" stroked="f">
                <v:path arrowok="t"/>
                <w10:wrap anchorx="page"/>
              </v:shape>
            </w:pict>
          </mc:Fallback>
        </mc:AlternateContent>
      </w:r>
      <w:r w:rsidRPr="00150EDC">
        <w:rPr>
          <w:sz w:val="15"/>
        </w:rPr>
        <w:t>Project</w:t>
      </w:r>
      <w:r w:rsidRPr="00150EDC">
        <w:rPr>
          <w:spacing w:val="-4"/>
          <w:sz w:val="15"/>
        </w:rPr>
        <w:t xml:space="preserve"> </w:t>
      </w:r>
      <w:r w:rsidRPr="00150EDC">
        <w:rPr>
          <w:sz w:val="15"/>
        </w:rPr>
        <w:t>Version:</w:t>
      </w:r>
      <w:r w:rsidRPr="00150EDC">
        <w:rPr>
          <w:spacing w:val="-3"/>
          <w:sz w:val="15"/>
        </w:rPr>
        <w:t xml:space="preserve"> </w:t>
      </w:r>
      <w:r w:rsidRPr="00150EDC">
        <w:rPr>
          <w:spacing w:val="-4"/>
          <w:sz w:val="15"/>
        </w:rPr>
        <w:t>v1.0</w:t>
      </w:r>
      <w:r w:rsidRPr="00150EDC">
        <w:rPr>
          <w:sz w:val="15"/>
        </w:rPr>
        <w:tab/>
      </w:r>
      <w:r w:rsidRPr="007D3144">
        <w:rPr>
          <w:spacing w:val="-10"/>
          <w:sz w:val="15"/>
        </w:rPr>
        <w:t>4</w:t>
      </w:r>
    </w:p>
    <w:p w14:paraId="5BD0EAD4" w14:textId="77777777" w:rsidR="004C7180" w:rsidRPr="00150EDC" w:rsidRDefault="004C7180">
      <w:pPr>
        <w:spacing w:line="172" w:lineRule="exact"/>
        <w:rPr>
          <w:sz w:val="15"/>
        </w:rPr>
        <w:sectPr w:rsidR="004C7180" w:rsidRPr="00150EDC">
          <w:pgSz w:w="11910" w:h="16850"/>
          <w:pgMar w:top="2940" w:right="0" w:bottom="2700" w:left="40" w:header="2612" w:footer="2510" w:gutter="0"/>
          <w:cols w:space="720"/>
        </w:sectPr>
      </w:pPr>
    </w:p>
    <w:p w14:paraId="78CD9EC1" w14:textId="04C31F89" w:rsidR="004C7180" w:rsidRPr="00150EDC" w:rsidRDefault="004C7180">
      <w:pPr>
        <w:pStyle w:val="BodyText"/>
        <w:spacing w:before="10"/>
        <w:rPr>
          <w:sz w:val="17"/>
        </w:rPr>
      </w:pPr>
    </w:p>
    <w:p w14:paraId="035046DB" w14:textId="77777777" w:rsidR="004C7180" w:rsidRPr="00150EDC" w:rsidRDefault="00CF0754">
      <w:pPr>
        <w:spacing w:line="276" w:lineRule="auto"/>
        <w:ind w:left="1046" w:right="4072"/>
        <w:rPr>
          <w:sz w:val="18"/>
        </w:rPr>
      </w:pPr>
      <w:r w:rsidRPr="007D3144">
        <w:rPr>
          <w:sz w:val="18"/>
        </w:rPr>
        <w:t>intervals</w:t>
      </w:r>
      <w:r w:rsidRPr="007D3144">
        <w:rPr>
          <w:spacing w:val="-1"/>
          <w:sz w:val="18"/>
        </w:rPr>
        <w:t xml:space="preserve"> </w:t>
      </w:r>
      <w:r w:rsidRPr="007D3144">
        <w:rPr>
          <w:sz w:val="18"/>
        </w:rPr>
        <w:t>and such</w:t>
      </w:r>
      <w:r w:rsidRPr="007D3144">
        <w:rPr>
          <w:spacing w:val="-2"/>
          <w:sz w:val="18"/>
        </w:rPr>
        <w:t xml:space="preserve"> </w:t>
      </w:r>
      <w:r w:rsidRPr="007D3144">
        <w:rPr>
          <w:sz w:val="18"/>
        </w:rPr>
        <w:t>other</w:t>
      </w:r>
      <w:r w:rsidRPr="007D3144">
        <w:rPr>
          <w:spacing w:val="-1"/>
          <w:sz w:val="18"/>
        </w:rPr>
        <w:t xml:space="preserve"> </w:t>
      </w:r>
      <w:r w:rsidRPr="007D3144">
        <w:rPr>
          <w:sz w:val="18"/>
        </w:rPr>
        <w:t>documentation</w:t>
      </w:r>
      <w:r w:rsidRPr="007D3144">
        <w:rPr>
          <w:spacing w:val="-2"/>
          <w:sz w:val="18"/>
        </w:rPr>
        <w:t xml:space="preserve"> </w:t>
      </w:r>
      <w:r w:rsidRPr="007D3144">
        <w:rPr>
          <w:sz w:val="18"/>
        </w:rPr>
        <w:t>and information requested</w:t>
      </w:r>
      <w:r w:rsidRPr="007D3144">
        <w:rPr>
          <w:spacing w:val="-2"/>
          <w:sz w:val="18"/>
        </w:rPr>
        <w:t xml:space="preserve"> </w:t>
      </w:r>
      <w:r w:rsidRPr="007D3144">
        <w:rPr>
          <w:sz w:val="18"/>
        </w:rPr>
        <w:t>by</w:t>
      </w:r>
      <w:r w:rsidRPr="007D3144">
        <w:rPr>
          <w:spacing w:val="-1"/>
          <w:sz w:val="18"/>
        </w:rPr>
        <w:t xml:space="preserve"> </w:t>
      </w:r>
      <w:r w:rsidRPr="007D3144">
        <w:rPr>
          <w:sz w:val="18"/>
        </w:rPr>
        <w:t>Buyer</w:t>
      </w:r>
      <w:r w:rsidRPr="007D3144">
        <w:rPr>
          <w:spacing w:val="-1"/>
          <w:sz w:val="18"/>
        </w:rPr>
        <w:t xml:space="preserve"> </w:t>
      </w:r>
      <w:r w:rsidRPr="007D3144">
        <w:rPr>
          <w:sz w:val="18"/>
        </w:rPr>
        <w:t>from time to time in relation to the services;</w:t>
      </w:r>
    </w:p>
    <w:tbl>
      <w:tblPr>
        <w:tblW w:w="0" w:type="auto"/>
        <w:tblInd w:w="10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551"/>
        <w:gridCol w:w="3240"/>
      </w:tblGrid>
      <w:tr w:rsidR="004569EE" w:rsidRPr="007D3144" w14:paraId="2FC21AF2" w14:textId="77777777">
        <w:trPr>
          <w:trHeight w:val="239"/>
        </w:trPr>
        <w:tc>
          <w:tcPr>
            <w:tcW w:w="3551" w:type="dxa"/>
            <w:shd w:val="clear" w:color="auto" w:fill="DBE4F0"/>
          </w:tcPr>
          <w:p w14:paraId="39BAF309" w14:textId="77777777" w:rsidR="004C7180" w:rsidRPr="00150EDC" w:rsidRDefault="00CF0754">
            <w:pPr>
              <w:pStyle w:val="TableParagraph"/>
              <w:spacing w:before="2" w:line="240" w:lineRule="auto"/>
              <w:ind w:left="81"/>
              <w:rPr>
                <w:b/>
                <w:sz w:val="18"/>
              </w:rPr>
            </w:pPr>
            <w:r w:rsidRPr="00150EDC">
              <w:rPr>
                <w:b/>
                <w:spacing w:val="-2"/>
                <w:sz w:val="18"/>
              </w:rPr>
              <w:t>Documentation/Information</w:t>
            </w:r>
          </w:p>
        </w:tc>
        <w:tc>
          <w:tcPr>
            <w:tcW w:w="3240" w:type="dxa"/>
            <w:shd w:val="clear" w:color="auto" w:fill="DBE4F0"/>
          </w:tcPr>
          <w:p w14:paraId="540A71F1" w14:textId="77777777" w:rsidR="004C7180" w:rsidRPr="00150EDC" w:rsidRDefault="00CF0754">
            <w:pPr>
              <w:pStyle w:val="TableParagraph"/>
              <w:spacing w:before="2" w:line="240" w:lineRule="auto"/>
              <w:ind w:left="81"/>
              <w:rPr>
                <w:b/>
                <w:sz w:val="18"/>
              </w:rPr>
            </w:pPr>
            <w:r w:rsidRPr="00150EDC">
              <w:rPr>
                <w:b/>
                <w:sz w:val="18"/>
              </w:rPr>
              <w:t>Reporting</w:t>
            </w:r>
            <w:r w:rsidRPr="00150EDC">
              <w:rPr>
                <w:b/>
                <w:spacing w:val="-5"/>
                <w:sz w:val="18"/>
              </w:rPr>
              <w:t xml:space="preserve"> </w:t>
            </w:r>
            <w:r w:rsidRPr="00150EDC">
              <w:rPr>
                <w:b/>
                <w:spacing w:val="-2"/>
                <w:sz w:val="18"/>
              </w:rPr>
              <w:t>Frequency</w:t>
            </w:r>
          </w:p>
        </w:tc>
      </w:tr>
      <w:tr w:rsidR="004569EE" w:rsidRPr="007D3144" w14:paraId="0F6B004C" w14:textId="77777777">
        <w:trPr>
          <w:trHeight w:val="1196"/>
        </w:trPr>
        <w:tc>
          <w:tcPr>
            <w:tcW w:w="3551" w:type="dxa"/>
          </w:tcPr>
          <w:p w14:paraId="44907B13" w14:textId="77777777" w:rsidR="004C7180" w:rsidRPr="00150EDC" w:rsidRDefault="00CF0754">
            <w:pPr>
              <w:pStyle w:val="TableParagraph"/>
              <w:spacing w:before="1" w:line="278" w:lineRule="auto"/>
              <w:ind w:left="81" w:right="119"/>
              <w:rPr>
                <w:sz w:val="18"/>
              </w:rPr>
            </w:pPr>
            <w:r w:rsidRPr="00150EDC">
              <w:rPr>
                <w:sz w:val="18"/>
              </w:rPr>
              <w:t>Details</w:t>
            </w:r>
            <w:r w:rsidRPr="00150EDC">
              <w:rPr>
                <w:spacing w:val="-4"/>
                <w:sz w:val="18"/>
              </w:rPr>
              <w:t xml:space="preserve"> </w:t>
            </w:r>
            <w:r w:rsidRPr="00150EDC">
              <w:rPr>
                <w:sz w:val="18"/>
              </w:rPr>
              <w:t>of</w:t>
            </w:r>
            <w:r w:rsidRPr="00150EDC">
              <w:rPr>
                <w:spacing w:val="-5"/>
                <w:sz w:val="18"/>
              </w:rPr>
              <w:t xml:space="preserve"> </w:t>
            </w:r>
            <w:r w:rsidRPr="00150EDC">
              <w:rPr>
                <w:sz w:val="18"/>
              </w:rPr>
              <w:t>the</w:t>
            </w:r>
            <w:r w:rsidRPr="00150EDC">
              <w:rPr>
                <w:spacing w:val="-5"/>
                <w:sz w:val="18"/>
              </w:rPr>
              <w:t xml:space="preserve"> </w:t>
            </w:r>
            <w:r w:rsidRPr="00150EDC">
              <w:rPr>
                <w:sz w:val="18"/>
              </w:rPr>
              <w:t>Supplier</w:t>
            </w:r>
            <w:r w:rsidRPr="00150EDC">
              <w:rPr>
                <w:spacing w:val="-6"/>
                <w:sz w:val="18"/>
              </w:rPr>
              <w:t xml:space="preserve"> </w:t>
            </w:r>
            <w:r w:rsidRPr="00150EDC">
              <w:rPr>
                <w:sz w:val="18"/>
              </w:rPr>
              <w:t>Staff</w:t>
            </w:r>
            <w:r w:rsidRPr="00150EDC">
              <w:rPr>
                <w:spacing w:val="-5"/>
                <w:sz w:val="18"/>
              </w:rPr>
              <w:t xml:space="preserve"> </w:t>
            </w:r>
            <w:r w:rsidRPr="00150EDC">
              <w:rPr>
                <w:sz w:val="18"/>
              </w:rPr>
              <w:t>including: name of each Supplier Staff;</w:t>
            </w:r>
          </w:p>
          <w:p w14:paraId="75CE547A" w14:textId="77777777" w:rsidR="004C7180" w:rsidRPr="00150EDC" w:rsidRDefault="00CF0754">
            <w:pPr>
              <w:pStyle w:val="TableParagraph"/>
              <w:spacing w:before="0" w:line="206" w:lineRule="exact"/>
              <w:ind w:left="81"/>
              <w:rPr>
                <w:sz w:val="18"/>
              </w:rPr>
            </w:pPr>
            <w:r w:rsidRPr="00150EDC">
              <w:rPr>
                <w:sz w:val="18"/>
              </w:rPr>
              <w:t>role</w:t>
            </w:r>
            <w:r w:rsidRPr="00150EDC">
              <w:rPr>
                <w:spacing w:val="-1"/>
                <w:sz w:val="18"/>
              </w:rPr>
              <w:t xml:space="preserve"> </w:t>
            </w:r>
            <w:r w:rsidRPr="00150EDC">
              <w:rPr>
                <w:sz w:val="18"/>
              </w:rPr>
              <w:t>of</w:t>
            </w:r>
            <w:r w:rsidRPr="00150EDC">
              <w:rPr>
                <w:spacing w:val="-3"/>
                <w:sz w:val="18"/>
              </w:rPr>
              <w:t xml:space="preserve"> </w:t>
            </w:r>
            <w:r w:rsidRPr="00150EDC">
              <w:rPr>
                <w:sz w:val="18"/>
              </w:rPr>
              <w:t>each</w:t>
            </w:r>
            <w:r w:rsidRPr="00150EDC">
              <w:rPr>
                <w:spacing w:val="-2"/>
                <w:sz w:val="18"/>
              </w:rPr>
              <w:t xml:space="preserve"> </w:t>
            </w:r>
            <w:r w:rsidRPr="00150EDC">
              <w:rPr>
                <w:sz w:val="18"/>
              </w:rPr>
              <w:t>Supplier</w:t>
            </w:r>
            <w:r w:rsidRPr="00150EDC">
              <w:rPr>
                <w:spacing w:val="-1"/>
                <w:sz w:val="18"/>
              </w:rPr>
              <w:t xml:space="preserve"> </w:t>
            </w:r>
            <w:r w:rsidRPr="00150EDC">
              <w:rPr>
                <w:spacing w:val="-2"/>
                <w:sz w:val="18"/>
              </w:rPr>
              <w:t>Staff;</w:t>
            </w:r>
          </w:p>
          <w:p w14:paraId="078BBE97" w14:textId="77777777" w:rsidR="004C7180" w:rsidRPr="00150EDC" w:rsidRDefault="00CF0754">
            <w:pPr>
              <w:pStyle w:val="TableParagraph"/>
              <w:spacing w:before="0" w:line="240" w:lineRule="atLeast"/>
              <w:ind w:left="81"/>
              <w:rPr>
                <w:sz w:val="18"/>
              </w:rPr>
            </w:pPr>
            <w:r w:rsidRPr="00150EDC">
              <w:rPr>
                <w:sz w:val="18"/>
              </w:rPr>
              <w:t>contact details of each Supplier Staff: access</w:t>
            </w:r>
            <w:r w:rsidRPr="00150EDC">
              <w:rPr>
                <w:spacing w:val="-5"/>
                <w:sz w:val="18"/>
              </w:rPr>
              <w:t xml:space="preserve"> </w:t>
            </w:r>
            <w:r w:rsidRPr="00150EDC">
              <w:rPr>
                <w:sz w:val="18"/>
              </w:rPr>
              <w:t>requirements</w:t>
            </w:r>
            <w:r w:rsidRPr="00150EDC">
              <w:rPr>
                <w:spacing w:val="-7"/>
                <w:sz w:val="18"/>
              </w:rPr>
              <w:t xml:space="preserve"> </w:t>
            </w:r>
            <w:r w:rsidRPr="00150EDC">
              <w:rPr>
                <w:sz w:val="18"/>
              </w:rPr>
              <w:t>e.g.</w:t>
            </w:r>
            <w:r w:rsidRPr="00150EDC">
              <w:rPr>
                <w:spacing w:val="-4"/>
                <w:sz w:val="18"/>
              </w:rPr>
              <w:t xml:space="preserve"> </w:t>
            </w:r>
            <w:r w:rsidRPr="00150EDC">
              <w:rPr>
                <w:sz w:val="18"/>
              </w:rPr>
              <w:t>building</w:t>
            </w:r>
            <w:r w:rsidRPr="00150EDC">
              <w:rPr>
                <w:spacing w:val="-6"/>
                <w:sz w:val="18"/>
              </w:rPr>
              <w:t xml:space="preserve"> </w:t>
            </w:r>
            <w:r w:rsidRPr="00150EDC">
              <w:rPr>
                <w:sz w:val="18"/>
              </w:rPr>
              <w:t>access;</w:t>
            </w:r>
          </w:p>
        </w:tc>
        <w:tc>
          <w:tcPr>
            <w:tcW w:w="3240" w:type="dxa"/>
          </w:tcPr>
          <w:p w14:paraId="171B5A7C" w14:textId="77777777" w:rsidR="004C7180" w:rsidRPr="00150EDC" w:rsidRDefault="00CF0754">
            <w:pPr>
              <w:pStyle w:val="TableParagraph"/>
              <w:spacing w:before="1" w:line="278" w:lineRule="auto"/>
              <w:ind w:left="81"/>
              <w:rPr>
                <w:sz w:val="18"/>
              </w:rPr>
            </w:pPr>
            <w:r w:rsidRPr="00150EDC">
              <w:rPr>
                <w:sz w:val="18"/>
              </w:rPr>
              <w:t>At Contract Award and prior to any changes</w:t>
            </w:r>
            <w:r w:rsidRPr="00150EDC">
              <w:rPr>
                <w:spacing w:val="-5"/>
                <w:sz w:val="18"/>
              </w:rPr>
              <w:t xml:space="preserve"> </w:t>
            </w:r>
            <w:r w:rsidRPr="00150EDC">
              <w:rPr>
                <w:sz w:val="18"/>
              </w:rPr>
              <w:t>to</w:t>
            </w:r>
            <w:r w:rsidRPr="00150EDC">
              <w:rPr>
                <w:spacing w:val="-4"/>
                <w:sz w:val="18"/>
              </w:rPr>
              <w:t xml:space="preserve"> </w:t>
            </w:r>
            <w:r w:rsidRPr="00150EDC">
              <w:rPr>
                <w:sz w:val="18"/>
              </w:rPr>
              <w:t>the</w:t>
            </w:r>
            <w:r w:rsidRPr="00150EDC">
              <w:rPr>
                <w:spacing w:val="-4"/>
                <w:sz w:val="18"/>
              </w:rPr>
              <w:t xml:space="preserve"> </w:t>
            </w:r>
            <w:r w:rsidRPr="00150EDC">
              <w:rPr>
                <w:sz w:val="18"/>
              </w:rPr>
              <w:t>Supplier</w:t>
            </w:r>
            <w:r w:rsidRPr="00150EDC">
              <w:rPr>
                <w:spacing w:val="-5"/>
                <w:sz w:val="18"/>
              </w:rPr>
              <w:t xml:space="preserve"> </w:t>
            </w:r>
            <w:r w:rsidRPr="00150EDC">
              <w:rPr>
                <w:sz w:val="18"/>
              </w:rPr>
              <w:t>Staff</w:t>
            </w:r>
            <w:r w:rsidRPr="00150EDC">
              <w:rPr>
                <w:spacing w:val="-6"/>
                <w:sz w:val="18"/>
              </w:rPr>
              <w:t xml:space="preserve"> </w:t>
            </w:r>
            <w:r w:rsidRPr="00150EDC">
              <w:rPr>
                <w:sz w:val="18"/>
              </w:rPr>
              <w:t>details.</w:t>
            </w:r>
          </w:p>
        </w:tc>
      </w:tr>
      <w:tr w:rsidR="004569EE" w:rsidRPr="007D3144" w14:paraId="0A3A8122" w14:textId="77777777">
        <w:trPr>
          <w:trHeight w:val="5936"/>
        </w:trPr>
        <w:tc>
          <w:tcPr>
            <w:tcW w:w="3551" w:type="dxa"/>
          </w:tcPr>
          <w:p w14:paraId="16F70E65" w14:textId="77777777" w:rsidR="004C7180" w:rsidRPr="00150EDC" w:rsidRDefault="00CF0754">
            <w:pPr>
              <w:pStyle w:val="TableParagraph"/>
              <w:spacing w:before="1" w:line="276" w:lineRule="auto"/>
              <w:ind w:left="81"/>
              <w:rPr>
                <w:sz w:val="18"/>
              </w:rPr>
            </w:pPr>
            <w:r w:rsidRPr="00150EDC">
              <w:rPr>
                <w:sz w:val="18"/>
              </w:rPr>
              <w:t>Project</w:t>
            </w:r>
            <w:r w:rsidRPr="00150EDC">
              <w:rPr>
                <w:spacing w:val="-3"/>
                <w:sz w:val="18"/>
              </w:rPr>
              <w:t xml:space="preserve"> </w:t>
            </w:r>
            <w:r w:rsidRPr="00150EDC">
              <w:rPr>
                <w:sz w:val="18"/>
              </w:rPr>
              <w:t>Plan</w:t>
            </w:r>
            <w:r w:rsidRPr="00150EDC">
              <w:rPr>
                <w:spacing w:val="-3"/>
                <w:sz w:val="18"/>
              </w:rPr>
              <w:t xml:space="preserve"> </w:t>
            </w:r>
            <w:r w:rsidRPr="00150EDC">
              <w:rPr>
                <w:sz w:val="18"/>
              </w:rPr>
              <w:t>–</w:t>
            </w:r>
            <w:r w:rsidRPr="00150EDC">
              <w:rPr>
                <w:spacing w:val="-5"/>
                <w:sz w:val="18"/>
              </w:rPr>
              <w:t xml:space="preserve"> </w:t>
            </w:r>
            <w:r w:rsidRPr="00150EDC">
              <w:rPr>
                <w:sz w:val="18"/>
              </w:rPr>
              <w:t>with</w:t>
            </w:r>
            <w:r w:rsidRPr="00150EDC">
              <w:rPr>
                <w:spacing w:val="-3"/>
                <w:sz w:val="18"/>
              </w:rPr>
              <w:t xml:space="preserve"> </w:t>
            </w:r>
            <w:r w:rsidRPr="00150EDC">
              <w:rPr>
                <w:sz w:val="18"/>
              </w:rPr>
              <w:t>dates</w:t>
            </w:r>
            <w:r w:rsidRPr="00150EDC">
              <w:rPr>
                <w:spacing w:val="-4"/>
                <w:sz w:val="18"/>
              </w:rPr>
              <w:t xml:space="preserve"> </w:t>
            </w:r>
            <w:r w:rsidRPr="00150EDC">
              <w:rPr>
                <w:sz w:val="18"/>
              </w:rPr>
              <w:t>aligned</w:t>
            </w:r>
            <w:r w:rsidRPr="00150EDC">
              <w:rPr>
                <w:spacing w:val="-3"/>
                <w:sz w:val="18"/>
              </w:rPr>
              <w:t xml:space="preserve"> </w:t>
            </w:r>
            <w:r w:rsidRPr="00150EDC">
              <w:rPr>
                <w:sz w:val="18"/>
              </w:rPr>
              <w:t>to</w:t>
            </w:r>
            <w:r w:rsidRPr="00150EDC">
              <w:rPr>
                <w:spacing w:val="-3"/>
                <w:sz w:val="18"/>
              </w:rPr>
              <w:t xml:space="preserve"> </w:t>
            </w:r>
            <w:r w:rsidRPr="00150EDC">
              <w:rPr>
                <w:sz w:val="18"/>
              </w:rPr>
              <w:t>the Document 3: Specification - Section 6 Milestone dates.</w:t>
            </w:r>
          </w:p>
        </w:tc>
        <w:tc>
          <w:tcPr>
            <w:tcW w:w="3240" w:type="dxa"/>
          </w:tcPr>
          <w:p w14:paraId="1EF007AB" w14:textId="77777777" w:rsidR="004C7180" w:rsidRPr="00150EDC" w:rsidRDefault="00CF0754">
            <w:pPr>
              <w:pStyle w:val="TableParagraph"/>
              <w:spacing w:before="1" w:line="278" w:lineRule="auto"/>
              <w:ind w:left="81" w:right="135"/>
              <w:rPr>
                <w:sz w:val="18"/>
              </w:rPr>
            </w:pPr>
            <w:r w:rsidRPr="00150EDC">
              <w:rPr>
                <w:sz w:val="18"/>
              </w:rPr>
              <w:t>The</w:t>
            </w:r>
            <w:r w:rsidRPr="00150EDC">
              <w:rPr>
                <w:spacing w:val="-5"/>
                <w:sz w:val="18"/>
              </w:rPr>
              <w:t xml:space="preserve"> </w:t>
            </w:r>
            <w:r w:rsidRPr="00150EDC">
              <w:rPr>
                <w:sz w:val="18"/>
              </w:rPr>
              <w:t>Supplier</w:t>
            </w:r>
            <w:r w:rsidRPr="00150EDC">
              <w:rPr>
                <w:spacing w:val="-6"/>
                <w:sz w:val="18"/>
              </w:rPr>
              <w:t xml:space="preserve"> </w:t>
            </w:r>
            <w:r w:rsidRPr="00150EDC">
              <w:rPr>
                <w:sz w:val="18"/>
              </w:rPr>
              <w:t>shall</w:t>
            </w:r>
            <w:r w:rsidRPr="00150EDC">
              <w:rPr>
                <w:spacing w:val="-6"/>
                <w:sz w:val="18"/>
              </w:rPr>
              <w:t xml:space="preserve"> </w:t>
            </w:r>
            <w:r w:rsidRPr="00150EDC">
              <w:rPr>
                <w:sz w:val="18"/>
              </w:rPr>
              <w:t>provide</w:t>
            </w:r>
            <w:r w:rsidRPr="00150EDC">
              <w:rPr>
                <w:spacing w:val="-5"/>
                <w:sz w:val="18"/>
              </w:rPr>
              <w:t xml:space="preserve"> </w:t>
            </w:r>
            <w:r w:rsidRPr="00150EDC">
              <w:rPr>
                <w:sz w:val="18"/>
              </w:rPr>
              <w:t>the</w:t>
            </w:r>
            <w:r w:rsidRPr="00150EDC">
              <w:rPr>
                <w:spacing w:val="-5"/>
                <w:sz w:val="18"/>
              </w:rPr>
              <w:t xml:space="preserve"> </w:t>
            </w:r>
            <w:r w:rsidRPr="00150EDC">
              <w:rPr>
                <w:sz w:val="18"/>
              </w:rPr>
              <w:t xml:space="preserve">Project Plan to the Buyer following attendance at the first round of IDEA </w:t>
            </w:r>
            <w:r w:rsidRPr="00150EDC">
              <w:rPr>
                <w:spacing w:val="-2"/>
                <w:sz w:val="18"/>
              </w:rPr>
              <w:t>meetings.</w:t>
            </w:r>
          </w:p>
          <w:p w14:paraId="7962EFD4" w14:textId="77777777" w:rsidR="004C7180" w:rsidRPr="00150EDC" w:rsidRDefault="004C7180">
            <w:pPr>
              <w:pStyle w:val="TableParagraph"/>
              <w:spacing w:before="10" w:line="240" w:lineRule="auto"/>
              <w:ind w:left="0"/>
              <w:rPr>
                <w:sz w:val="16"/>
              </w:rPr>
            </w:pPr>
          </w:p>
          <w:p w14:paraId="63978782" w14:textId="77777777" w:rsidR="004C7180" w:rsidRPr="00150EDC" w:rsidRDefault="00CF0754">
            <w:pPr>
              <w:pStyle w:val="TableParagraph"/>
              <w:spacing w:before="0" w:line="278" w:lineRule="auto"/>
              <w:ind w:left="81" w:right="72"/>
              <w:rPr>
                <w:sz w:val="18"/>
              </w:rPr>
            </w:pPr>
            <w:r w:rsidRPr="00150EDC">
              <w:rPr>
                <w:sz w:val="18"/>
              </w:rPr>
              <w:t>The</w:t>
            </w:r>
            <w:r w:rsidRPr="00150EDC">
              <w:rPr>
                <w:spacing w:val="-6"/>
                <w:sz w:val="18"/>
              </w:rPr>
              <w:t xml:space="preserve"> </w:t>
            </w:r>
            <w:r w:rsidRPr="00150EDC">
              <w:rPr>
                <w:sz w:val="18"/>
              </w:rPr>
              <w:t>Supplier's</w:t>
            </w:r>
            <w:r w:rsidRPr="00150EDC">
              <w:rPr>
                <w:spacing w:val="-6"/>
                <w:sz w:val="18"/>
              </w:rPr>
              <w:t xml:space="preserve"> </w:t>
            </w:r>
            <w:r w:rsidRPr="00150EDC">
              <w:rPr>
                <w:sz w:val="18"/>
              </w:rPr>
              <w:t>Contract</w:t>
            </w:r>
            <w:r w:rsidRPr="00150EDC">
              <w:rPr>
                <w:spacing w:val="-6"/>
                <w:sz w:val="18"/>
              </w:rPr>
              <w:t xml:space="preserve"> </w:t>
            </w:r>
            <w:r w:rsidRPr="00150EDC">
              <w:rPr>
                <w:sz w:val="18"/>
              </w:rPr>
              <w:t>Manager</w:t>
            </w:r>
            <w:r w:rsidRPr="00150EDC">
              <w:rPr>
                <w:spacing w:val="-6"/>
                <w:sz w:val="18"/>
              </w:rPr>
              <w:t xml:space="preserve"> </w:t>
            </w:r>
            <w:r w:rsidRPr="00150EDC">
              <w:rPr>
                <w:sz w:val="18"/>
              </w:rPr>
              <w:t>shall attend weekly progress meetings (at date and time agreed by the parties) and as required by Buyer from time to time. The purpose of the meetings is</w:t>
            </w:r>
            <w:r w:rsidRPr="00150EDC">
              <w:rPr>
                <w:spacing w:val="40"/>
                <w:sz w:val="18"/>
              </w:rPr>
              <w:t xml:space="preserve"> </w:t>
            </w:r>
            <w:r w:rsidRPr="00150EDC">
              <w:rPr>
                <w:sz w:val="18"/>
              </w:rPr>
              <w:t>to monitor and review Supplier's compliance with the Project Plan ("Project Plan Progress Meeting").</w:t>
            </w:r>
          </w:p>
          <w:p w14:paraId="47366ADB" w14:textId="77777777" w:rsidR="004C7180" w:rsidRPr="00150EDC" w:rsidRDefault="00CF0754">
            <w:pPr>
              <w:pStyle w:val="TableParagraph"/>
              <w:spacing w:before="0" w:line="278" w:lineRule="auto"/>
              <w:ind w:left="81" w:right="82"/>
              <w:rPr>
                <w:sz w:val="18"/>
              </w:rPr>
            </w:pPr>
            <w:r w:rsidRPr="00150EDC">
              <w:rPr>
                <w:sz w:val="18"/>
              </w:rPr>
              <w:t>The</w:t>
            </w:r>
            <w:r w:rsidRPr="00150EDC">
              <w:rPr>
                <w:spacing w:val="-6"/>
                <w:sz w:val="18"/>
              </w:rPr>
              <w:t xml:space="preserve"> </w:t>
            </w:r>
            <w:r w:rsidRPr="00150EDC">
              <w:rPr>
                <w:sz w:val="18"/>
              </w:rPr>
              <w:t>Supplier's</w:t>
            </w:r>
            <w:r w:rsidRPr="00150EDC">
              <w:rPr>
                <w:spacing w:val="-6"/>
                <w:sz w:val="18"/>
              </w:rPr>
              <w:t xml:space="preserve"> </w:t>
            </w:r>
            <w:r w:rsidRPr="00150EDC">
              <w:rPr>
                <w:sz w:val="18"/>
              </w:rPr>
              <w:t>Contract</w:t>
            </w:r>
            <w:r w:rsidRPr="00150EDC">
              <w:rPr>
                <w:spacing w:val="-6"/>
                <w:sz w:val="18"/>
              </w:rPr>
              <w:t xml:space="preserve"> </w:t>
            </w:r>
            <w:r w:rsidRPr="00150EDC">
              <w:rPr>
                <w:sz w:val="18"/>
              </w:rPr>
              <w:t>Manager</w:t>
            </w:r>
            <w:r w:rsidRPr="00150EDC">
              <w:rPr>
                <w:spacing w:val="-6"/>
                <w:sz w:val="18"/>
              </w:rPr>
              <w:t xml:space="preserve"> </w:t>
            </w:r>
            <w:r w:rsidRPr="00150EDC">
              <w:rPr>
                <w:sz w:val="18"/>
              </w:rPr>
              <w:t>shall provide a weekly</w:t>
            </w:r>
            <w:r w:rsidRPr="00150EDC">
              <w:rPr>
                <w:spacing w:val="-1"/>
                <w:sz w:val="18"/>
              </w:rPr>
              <w:t xml:space="preserve"> </w:t>
            </w:r>
            <w:r w:rsidRPr="00150EDC">
              <w:rPr>
                <w:sz w:val="18"/>
              </w:rPr>
              <w:t>update (via email) to Buyer on the progress of the Project Plan. The update should include: (a) Supplier's progress since the last Project Plan Progress Meeting, (b)</w:t>
            </w:r>
            <w:r w:rsidRPr="00150EDC">
              <w:rPr>
                <w:spacing w:val="40"/>
                <w:sz w:val="18"/>
              </w:rPr>
              <w:t xml:space="preserve"> </w:t>
            </w:r>
            <w:r w:rsidRPr="00150EDC">
              <w:rPr>
                <w:sz w:val="18"/>
              </w:rPr>
              <w:t>trial delivery status (including readiness requirements), (c) forthcoming deadlines/milestones and</w:t>
            </w:r>
          </w:p>
          <w:p w14:paraId="0DAE2B3A" w14:textId="77777777" w:rsidR="004C7180" w:rsidRPr="00150EDC" w:rsidRDefault="00CF0754">
            <w:pPr>
              <w:pStyle w:val="TableParagraph"/>
              <w:spacing w:before="0" w:line="276" w:lineRule="auto"/>
              <w:ind w:left="81"/>
              <w:rPr>
                <w:sz w:val="18"/>
              </w:rPr>
            </w:pPr>
            <w:r w:rsidRPr="00150EDC">
              <w:rPr>
                <w:sz w:val="18"/>
              </w:rPr>
              <w:t>(d) any risks or issues identified by Supplier</w:t>
            </w:r>
            <w:r w:rsidRPr="00150EDC">
              <w:rPr>
                <w:spacing w:val="-4"/>
                <w:sz w:val="18"/>
              </w:rPr>
              <w:t xml:space="preserve"> </w:t>
            </w:r>
            <w:r w:rsidRPr="00150EDC">
              <w:rPr>
                <w:sz w:val="18"/>
              </w:rPr>
              <w:t>which</w:t>
            </w:r>
            <w:r w:rsidRPr="00150EDC">
              <w:rPr>
                <w:spacing w:val="-5"/>
                <w:sz w:val="18"/>
              </w:rPr>
              <w:t xml:space="preserve"> </w:t>
            </w:r>
            <w:r w:rsidRPr="00150EDC">
              <w:rPr>
                <w:sz w:val="18"/>
              </w:rPr>
              <w:t>may</w:t>
            </w:r>
            <w:r w:rsidRPr="00150EDC">
              <w:rPr>
                <w:spacing w:val="-4"/>
                <w:sz w:val="18"/>
              </w:rPr>
              <w:t xml:space="preserve"> </w:t>
            </w:r>
            <w:r w:rsidRPr="00150EDC">
              <w:rPr>
                <w:sz w:val="18"/>
              </w:rPr>
              <w:t>impact</w:t>
            </w:r>
            <w:r w:rsidRPr="00150EDC">
              <w:rPr>
                <w:spacing w:val="-5"/>
                <w:sz w:val="18"/>
              </w:rPr>
              <w:t xml:space="preserve"> </w:t>
            </w:r>
            <w:r w:rsidRPr="00150EDC">
              <w:rPr>
                <w:sz w:val="18"/>
              </w:rPr>
              <w:t>delivery</w:t>
            </w:r>
            <w:r w:rsidRPr="00150EDC">
              <w:rPr>
                <w:spacing w:val="-4"/>
                <w:sz w:val="18"/>
              </w:rPr>
              <w:t xml:space="preserve"> </w:t>
            </w:r>
            <w:r w:rsidRPr="00150EDC">
              <w:rPr>
                <w:sz w:val="18"/>
              </w:rPr>
              <w:t>of</w:t>
            </w:r>
          </w:p>
          <w:p w14:paraId="6DBD1779" w14:textId="77777777" w:rsidR="004C7180" w:rsidRPr="00150EDC" w:rsidRDefault="00CF0754">
            <w:pPr>
              <w:pStyle w:val="TableParagraph"/>
              <w:spacing w:before="0" w:line="240" w:lineRule="auto"/>
              <w:ind w:left="81"/>
              <w:rPr>
                <w:sz w:val="18"/>
              </w:rPr>
            </w:pPr>
            <w:r w:rsidRPr="00150EDC">
              <w:rPr>
                <w:sz w:val="18"/>
              </w:rPr>
              <w:t>the</w:t>
            </w:r>
            <w:r w:rsidRPr="00150EDC">
              <w:rPr>
                <w:spacing w:val="-2"/>
                <w:sz w:val="18"/>
              </w:rPr>
              <w:t xml:space="preserve"> </w:t>
            </w:r>
            <w:r w:rsidRPr="00150EDC">
              <w:rPr>
                <w:sz w:val="18"/>
              </w:rPr>
              <w:t>project</w:t>
            </w:r>
            <w:r w:rsidRPr="00150EDC">
              <w:rPr>
                <w:spacing w:val="-2"/>
                <w:sz w:val="18"/>
              </w:rPr>
              <w:t xml:space="preserve"> plan.</w:t>
            </w:r>
          </w:p>
        </w:tc>
      </w:tr>
      <w:tr w:rsidR="004569EE" w:rsidRPr="007D3144" w14:paraId="735C9E3A" w14:textId="77777777">
        <w:trPr>
          <w:trHeight w:val="1194"/>
        </w:trPr>
        <w:tc>
          <w:tcPr>
            <w:tcW w:w="3551" w:type="dxa"/>
          </w:tcPr>
          <w:p w14:paraId="0178B8B7" w14:textId="77777777" w:rsidR="004C7180" w:rsidRPr="00150EDC" w:rsidRDefault="00CF0754">
            <w:pPr>
              <w:pStyle w:val="TableParagraph"/>
              <w:spacing w:before="1" w:line="278" w:lineRule="auto"/>
              <w:ind w:left="81" w:right="119"/>
              <w:rPr>
                <w:sz w:val="18"/>
              </w:rPr>
            </w:pPr>
            <w:r w:rsidRPr="00150EDC">
              <w:rPr>
                <w:sz w:val="18"/>
              </w:rPr>
              <w:t>Supplier Recruitment and Delivery Assurance</w:t>
            </w:r>
            <w:r w:rsidRPr="00150EDC">
              <w:rPr>
                <w:spacing w:val="-5"/>
                <w:sz w:val="18"/>
              </w:rPr>
              <w:t xml:space="preserve"> </w:t>
            </w:r>
            <w:r w:rsidRPr="00150EDC">
              <w:rPr>
                <w:sz w:val="18"/>
              </w:rPr>
              <w:t>–</w:t>
            </w:r>
            <w:r w:rsidRPr="00150EDC">
              <w:rPr>
                <w:spacing w:val="-5"/>
                <w:sz w:val="18"/>
              </w:rPr>
              <w:t xml:space="preserve"> </w:t>
            </w:r>
            <w:r w:rsidRPr="00150EDC">
              <w:rPr>
                <w:sz w:val="18"/>
              </w:rPr>
              <w:t>To</w:t>
            </w:r>
            <w:r w:rsidRPr="00150EDC">
              <w:rPr>
                <w:spacing w:val="-5"/>
                <w:sz w:val="18"/>
              </w:rPr>
              <w:t xml:space="preserve"> </w:t>
            </w:r>
            <w:r w:rsidRPr="00150EDC">
              <w:rPr>
                <w:sz w:val="18"/>
              </w:rPr>
              <w:t>include</w:t>
            </w:r>
            <w:r w:rsidRPr="00150EDC">
              <w:rPr>
                <w:spacing w:val="-5"/>
                <w:sz w:val="18"/>
              </w:rPr>
              <w:t xml:space="preserve"> </w:t>
            </w:r>
            <w:r w:rsidRPr="00150EDC">
              <w:rPr>
                <w:sz w:val="18"/>
              </w:rPr>
              <w:t>evidence</w:t>
            </w:r>
            <w:r w:rsidRPr="00150EDC">
              <w:rPr>
                <w:spacing w:val="-7"/>
                <w:sz w:val="18"/>
              </w:rPr>
              <w:t xml:space="preserve"> </w:t>
            </w:r>
            <w:r w:rsidRPr="00150EDC">
              <w:rPr>
                <w:sz w:val="18"/>
              </w:rPr>
              <w:t>that what is funded is being delivered (recruitment and delivery) and action</w:t>
            </w:r>
          </w:p>
          <w:p w14:paraId="0F530346" w14:textId="77777777" w:rsidR="004C7180" w:rsidRPr="00150EDC" w:rsidRDefault="00CF0754">
            <w:pPr>
              <w:pStyle w:val="TableParagraph"/>
              <w:spacing w:before="0" w:line="203" w:lineRule="exact"/>
              <w:ind w:left="81"/>
              <w:rPr>
                <w:sz w:val="18"/>
              </w:rPr>
            </w:pPr>
            <w:r w:rsidRPr="00150EDC">
              <w:rPr>
                <w:sz w:val="18"/>
              </w:rPr>
              <w:t>taken</w:t>
            </w:r>
            <w:r w:rsidRPr="00150EDC">
              <w:rPr>
                <w:spacing w:val="-2"/>
                <w:sz w:val="18"/>
              </w:rPr>
              <w:t xml:space="preserve"> </w:t>
            </w:r>
            <w:r w:rsidRPr="00150EDC">
              <w:rPr>
                <w:sz w:val="18"/>
              </w:rPr>
              <w:t>to</w:t>
            </w:r>
            <w:r w:rsidRPr="00150EDC">
              <w:rPr>
                <w:spacing w:val="-2"/>
                <w:sz w:val="18"/>
              </w:rPr>
              <w:t xml:space="preserve"> </w:t>
            </w:r>
            <w:r w:rsidRPr="00150EDC">
              <w:rPr>
                <w:sz w:val="18"/>
              </w:rPr>
              <w:t>address</w:t>
            </w:r>
            <w:r w:rsidRPr="00150EDC">
              <w:rPr>
                <w:spacing w:val="-1"/>
                <w:sz w:val="18"/>
              </w:rPr>
              <w:t xml:space="preserve"> </w:t>
            </w:r>
            <w:r w:rsidRPr="00150EDC">
              <w:rPr>
                <w:spacing w:val="-2"/>
                <w:sz w:val="18"/>
              </w:rPr>
              <w:t>issues.</w:t>
            </w:r>
          </w:p>
        </w:tc>
        <w:tc>
          <w:tcPr>
            <w:tcW w:w="3240" w:type="dxa"/>
          </w:tcPr>
          <w:p w14:paraId="7EB15025" w14:textId="77777777" w:rsidR="004C7180" w:rsidRPr="00150EDC" w:rsidRDefault="00CF0754">
            <w:pPr>
              <w:pStyle w:val="TableParagraph"/>
              <w:spacing w:before="1" w:line="240" w:lineRule="auto"/>
              <w:ind w:left="81"/>
              <w:rPr>
                <w:sz w:val="18"/>
              </w:rPr>
            </w:pPr>
            <w:r w:rsidRPr="00150EDC">
              <w:rPr>
                <w:sz w:val="18"/>
              </w:rPr>
              <w:t>Monthly</w:t>
            </w:r>
            <w:r w:rsidRPr="00150EDC">
              <w:rPr>
                <w:spacing w:val="-2"/>
                <w:sz w:val="18"/>
              </w:rPr>
              <w:t xml:space="preserve"> Updates</w:t>
            </w:r>
          </w:p>
        </w:tc>
      </w:tr>
      <w:tr w:rsidR="004569EE" w:rsidRPr="007D3144" w14:paraId="5E8311A2" w14:textId="77777777">
        <w:trPr>
          <w:trHeight w:val="239"/>
        </w:trPr>
        <w:tc>
          <w:tcPr>
            <w:tcW w:w="3551" w:type="dxa"/>
          </w:tcPr>
          <w:p w14:paraId="432F0630" w14:textId="77777777" w:rsidR="004C7180" w:rsidRPr="00150EDC" w:rsidRDefault="00CF0754">
            <w:pPr>
              <w:pStyle w:val="TableParagraph"/>
              <w:spacing w:before="2" w:line="240" w:lineRule="auto"/>
              <w:ind w:left="81"/>
              <w:rPr>
                <w:sz w:val="18"/>
              </w:rPr>
            </w:pPr>
            <w:r w:rsidRPr="00150EDC">
              <w:rPr>
                <w:sz w:val="18"/>
              </w:rPr>
              <w:t>Supplier</w:t>
            </w:r>
            <w:r w:rsidRPr="00150EDC">
              <w:rPr>
                <w:spacing w:val="-3"/>
                <w:sz w:val="18"/>
              </w:rPr>
              <w:t xml:space="preserve"> </w:t>
            </w:r>
            <w:r w:rsidRPr="00150EDC">
              <w:rPr>
                <w:sz w:val="18"/>
              </w:rPr>
              <w:t>RAID</w:t>
            </w:r>
            <w:r w:rsidRPr="00150EDC">
              <w:rPr>
                <w:spacing w:val="-2"/>
                <w:sz w:val="18"/>
              </w:rPr>
              <w:t xml:space="preserve"> </w:t>
            </w:r>
            <w:r w:rsidRPr="00150EDC">
              <w:rPr>
                <w:spacing w:val="-5"/>
                <w:sz w:val="18"/>
              </w:rPr>
              <w:t>Log</w:t>
            </w:r>
          </w:p>
        </w:tc>
        <w:tc>
          <w:tcPr>
            <w:tcW w:w="3240" w:type="dxa"/>
          </w:tcPr>
          <w:p w14:paraId="7E0D47A9" w14:textId="77777777" w:rsidR="004C7180" w:rsidRPr="00150EDC" w:rsidRDefault="00CF0754">
            <w:pPr>
              <w:pStyle w:val="TableParagraph"/>
              <w:spacing w:before="2" w:line="240" w:lineRule="auto"/>
              <w:ind w:left="81"/>
              <w:rPr>
                <w:sz w:val="18"/>
              </w:rPr>
            </w:pPr>
            <w:r w:rsidRPr="00150EDC">
              <w:rPr>
                <w:spacing w:val="-2"/>
                <w:sz w:val="18"/>
              </w:rPr>
              <w:t>Weekly</w:t>
            </w:r>
          </w:p>
        </w:tc>
      </w:tr>
    </w:tbl>
    <w:p w14:paraId="65485BC6" w14:textId="77777777" w:rsidR="004C7180" w:rsidRPr="00150EDC" w:rsidRDefault="004C7180">
      <w:pPr>
        <w:pStyle w:val="BodyText"/>
        <w:spacing w:before="7"/>
        <w:rPr>
          <w:sz w:val="17"/>
        </w:rPr>
      </w:pPr>
    </w:p>
    <w:p w14:paraId="23F5B8A9" w14:textId="77777777" w:rsidR="004C7180" w:rsidRPr="00150EDC" w:rsidRDefault="00CF0754">
      <w:pPr>
        <w:ind w:left="1044"/>
        <w:rPr>
          <w:b/>
          <w:sz w:val="18"/>
        </w:rPr>
      </w:pPr>
      <w:r w:rsidRPr="00150EDC">
        <w:rPr>
          <w:b/>
          <w:sz w:val="18"/>
        </w:rPr>
        <w:t>Progress</w:t>
      </w:r>
      <w:r w:rsidRPr="00150EDC">
        <w:rPr>
          <w:b/>
          <w:spacing w:val="-3"/>
          <w:sz w:val="18"/>
        </w:rPr>
        <w:t xml:space="preserve"> </w:t>
      </w:r>
      <w:r w:rsidRPr="00150EDC">
        <w:rPr>
          <w:b/>
          <w:spacing w:val="-2"/>
          <w:sz w:val="18"/>
        </w:rPr>
        <w:t>Meetings:</w:t>
      </w:r>
    </w:p>
    <w:p w14:paraId="24B9FD4B" w14:textId="77777777" w:rsidR="004C7180" w:rsidRPr="00150EDC" w:rsidRDefault="00CF0754">
      <w:pPr>
        <w:spacing w:before="34" w:line="276" w:lineRule="auto"/>
        <w:ind w:left="1044" w:right="4072"/>
        <w:rPr>
          <w:sz w:val="18"/>
        </w:rPr>
      </w:pPr>
      <w:r w:rsidRPr="00150EDC">
        <w:rPr>
          <w:sz w:val="18"/>
        </w:rPr>
        <w:t>The Supplier's Contract Manager will be required to attend, together with any other relevant</w:t>
      </w:r>
      <w:r w:rsidRPr="00150EDC">
        <w:rPr>
          <w:spacing w:val="-1"/>
          <w:sz w:val="18"/>
        </w:rPr>
        <w:t xml:space="preserve"> </w:t>
      </w:r>
      <w:r w:rsidRPr="00150EDC">
        <w:rPr>
          <w:sz w:val="18"/>
        </w:rPr>
        <w:t>Supplier Staff</w:t>
      </w:r>
      <w:r w:rsidRPr="00150EDC">
        <w:rPr>
          <w:spacing w:val="-1"/>
          <w:sz w:val="18"/>
        </w:rPr>
        <w:t xml:space="preserve"> </w:t>
      </w:r>
      <w:r w:rsidRPr="00150EDC">
        <w:rPr>
          <w:sz w:val="18"/>
        </w:rPr>
        <w:t>who are</w:t>
      </w:r>
      <w:r w:rsidRPr="00150EDC">
        <w:rPr>
          <w:spacing w:val="-1"/>
          <w:sz w:val="18"/>
        </w:rPr>
        <w:t xml:space="preserve"> </w:t>
      </w:r>
      <w:r w:rsidRPr="00150EDC">
        <w:rPr>
          <w:sz w:val="18"/>
        </w:rPr>
        <w:t>engaged in</w:t>
      </w:r>
      <w:r w:rsidRPr="00150EDC">
        <w:rPr>
          <w:spacing w:val="-1"/>
          <w:sz w:val="18"/>
        </w:rPr>
        <w:t xml:space="preserve"> </w:t>
      </w:r>
      <w:r w:rsidRPr="00150EDC">
        <w:rPr>
          <w:sz w:val="18"/>
        </w:rPr>
        <w:t>the delivery</w:t>
      </w:r>
      <w:r w:rsidRPr="00150EDC">
        <w:rPr>
          <w:spacing w:val="-2"/>
          <w:sz w:val="18"/>
        </w:rPr>
        <w:t xml:space="preserve"> </w:t>
      </w:r>
      <w:r w:rsidRPr="00150EDC">
        <w:rPr>
          <w:sz w:val="18"/>
        </w:rPr>
        <w:t>of the Supplier's obligations</w:t>
      </w:r>
    </w:p>
    <w:p w14:paraId="0E36EE2E" w14:textId="77777777" w:rsidR="004C7180" w:rsidRPr="00150EDC" w:rsidRDefault="004C7180">
      <w:pPr>
        <w:pStyle w:val="BodyText"/>
        <w:spacing w:before="1"/>
        <w:rPr>
          <w:sz w:val="14"/>
        </w:rPr>
      </w:pPr>
    </w:p>
    <w:p w14:paraId="6C5C1C92" w14:textId="77777777" w:rsidR="004C7180" w:rsidRPr="00150EDC" w:rsidRDefault="00CF0754">
      <w:pPr>
        <w:spacing w:before="95" w:line="172" w:lineRule="exact"/>
        <w:ind w:left="1044"/>
        <w:rPr>
          <w:sz w:val="15"/>
        </w:rPr>
      </w:pPr>
      <w:r w:rsidRPr="00150EDC">
        <w:rPr>
          <w:sz w:val="15"/>
        </w:rPr>
        <w:t>DPS</w:t>
      </w:r>
      <w:r w:rsidRPr="00150EDC">
        <w:rPr>
          <w:spacing w:val="-3"/>
          <w:sz w:val="15"/>
        </w:rPr>
        <w:t xml:space="preserve"> </w:t>
      </w:r>
      <w:r w:rsidRPr="00150EDC">
        <w:rPr>
          <w:sz w:val="15"/>
        </w:rPr>
        <w:t xml:space="preserve">Ref: </w:t>
      </w:r>
      <w:r w:rsidRPr="00150EDC">
        <w:rPr>
          <w:spacing w:val="-2"/>
          <w:sz w:val="15"/>
        </w:rPr>
        <w:t>RM6322</w:t>
      </w:r>
    </w:p>
    <w:p w14:paraId="24C10048" w14:textId="77777777" w:rsidR="004C7180" w:rsidRPr="00150EDC" w:rsidRDefault="00CF0754">
      <w:pPr>
        <w:tabs>
          <w:tab w:val="right" w:pos="7844"/>
        </w:tabs>
        <w:spacing w:line="172" w:lineRule="exact"/>
        <w:ind w:left="1044"/>
        <w:rPr>
          <w:sz w:val="15"/>
        </w:rPr>
      </w:pPr>
      <w:r w:rsidRPr="00150EDC">
        <w:rPr>
          <w:noProof/>
          <w:lang w:val="en-GB" w:eastAsia="en-GB"/>
        </w:rPr>
        <mc:AlternateContent>
          <mc:Choice Requires="wps">
            <w:drawing>
              <wp:anchor distT="0" distB="0" distL="0" distR="0" simplePos="0" relativeHeight="251658269" behindDoc="1" locked="0" layoutInCell="1" allowOverlap="1" wp14:anchorId="15FE7DFE" wp14:editId="5F343537">
                <wp:simplePos x="0" y="0"/>
                <wp:positionH relativeFrom="page">
                  <wp:posOffset>4953965</wp:posOffset>
                </wp:positionH>
                <wp:positionV relativeFrom="paragraph">
                  <wp:posOffset>693</wp:posOffset>
                </wp:positionV>
                <wp:extent cx="53340" cy="109220"/>
                <wp:effectExtent l="0" t="0" r="0" b="0"/>
                <wp:wrapNone/>
                <wp:docPr id="266" name="Free-form: Shape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 cy="109220"/>
                        </a:xfrm>
                        <a:custGeom>
                          <a:avLst/>
                          <a:gdLst/>
                          <a:ahLst/>
                          <a:cxnLst/>
                          <a:rect l="l" t="t" r="r" b="b"/>
                          <a:pathLst>
                            <a:path w="53340" h="109220">
                              <a:moveTo>
                                <a:pt x="52806" y="0"/>
                              </a:moveTo>
                              <a:lnTo>
                                <a:pt x="0" y="0"/>
                              </a:lnTo>
                              <a:lnTo>
                                <a:pt x="0" y="109067"/>
                              </a:lnTo>
                              <a:lnTo>
                                <a:pt x="52806" y="109067"/>
                              </a:lnTo>
                              <a:lnTo>
                                <a:pt x="52806" y="0"/>
                              </a:lnTo>
                              <a:close/>
                            </a:path>
                          </a:pathLst>
                        </a:custGeom>
                        <a:solidFill>
                          <a:srgbClr val="E6E6E6"/>
                        </a:solidFill>
                      </wps:spPr>
                      <wps:bodyPr wrap="square" lIns="0" tIns="0" rIns="0" bIns="0" rtlCol="0">
                        <a:prstTxWarp prst="textNoShape">
                          <a:avLst/>
                        </a:prstTxWarp>
                        <a:noAutofit/>
                      </wps:bodyPr>
                    </wps:wsp>
                  </a:graphicData>
                </a:graphic>
              </wp:anchor>
            </w:drawing>
          </mc:Choice>
          <mc:Fallback>
            <w:pict>
              <v:shape w14:anchorId="2EDF771F" id="Free-form: Shape 266" o:spid="_x0000_s1026" style="position:absolute;margin-left:390.1pt;margin-top:.05pt;width:4.2pt;height:8.6pt;z-index:-251658211;visibility:visible;mso-wrap-style:square;mso-wrap-distance-left:0;mso-wrap-distance-top:0;mso-wrap-distance-right:0;mso-wrap-distance-bottom:0;mso-position-horizontal:absolute;mso-position-horizontal-relative:page;mso-position-vertical:absolute;mso-position-vertical-relative:text;v-text-anchor:top" coordsize="53340,109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" path="m52806,l,,,109067r52806,l52806,xe" fillcolor="#e6e6e6" stroked="f">
                <v:path arrowok="t"/>
                <w10:wrap anchorx="page"/>
              </v:shape>
            </w:pict>
          </mc:Fallback>
        </mc:AlternateContent>
      </w:r>
      <w:r w:rsidRPr="00150EDC">
        <w:rPr>
          <w:sz w:val="15"/>
        </w:rPr>
        <w:t>Project</w:t>
      </w:r>
      <w:r w:rsidRPr="00150EDC">
        <w:rPr>
          <w:spacing w:val="-4"/>
          <w:sz w:val="15"/>
        </w:rPr>
        <w:t xml:space="preserve"> </w:t>
      </w:r>
      <w:r w:rsidRPr="00150EDC">
        <w:rPr>
          <w:sz w:val="15"/>
        </w:rPr>
        <w:t>Version:</w:t>
      </w:r>
      <w:r w:rsidRPr="00150EDC">
        <w:rPr>
          <w:spacing w:val="-3"/>
          <w:sz w:val="15"/>
        </w:rPr>
        <w:t xml:space="preserve"> </w:t>
      </w:r>
      <w:r w:rsidRPr="00150EDC">
        <w:rPr>
          <w:spacing w:val="-4"/>
          <w:sz w:val="15"/>
        </w:rPr>
        <w:t>v1.0</w:t>
      </w:r>
      <w:r w:rsidRPr="00150EDC">
        <w:rPr>
          <w:sz w:val="15"/>
        </w:rPr>
        <w:tab/>
      </w:r>
      <w:r w:rsidRPr="007D3144">
        <w:rPr>
          <w:spacing w:val="-10"/>
          <w:sz w:val="15"/>
        </w:rPr>
        <w:t>5</w:t>
      </w:r>
    </w:p>
    <w:p w14:paraId="1B348BB9" w14:textId="77777777" w:rsidR="004C7180" w:rsidRPr="00150EDC" w:rsidRDefault="004C7180">
      <w:pPr>
        <w:spacing w:line="172" w:lineRule="exact"/>
        <w:rPr>
          <w:sz w:val="15"/>
        </w:rPr>
        <w:sectPr w:rsidR="004C7180" w:rsidRPr="00150EDC">
          <w:pgSz w:w="11910" w:h="16850"/>
          <w:pgMar w:top="2940" w:right="0" w:bottom="2700" w:left="40" w:header="2612" w:footer="2510" w:gutter="0"/>
          <w:cols w:space="720"/>
        </w:sectPr>
      </w:pPr>
    </w:p>
    <w:p w14:paraId="49E0E936" w14:textId="66D1414D" w:rsidR="004C7180" w:rsidRPr="00150EDC" w:rsidRDefault="00CF0754">
      <w:pPr>
        <w:spacing w:before="206" w:line="276" w:lineRule="auto"/>
        <w:ind w:left="1044" w:right="4021"/>
        <w:rPr>
          <w:sz w:val="18"/>
        </w:rPr>
      </w:pPr>
      <w:r w:rsidRPr="00150EDC">
        <w:rPr>
          <w:noProof/>
          <w:lang w:val="en-GB" w:eastAsia="en-GB"/>
        </w:rPr>
        <w:lastRenderedPageBreak/>
        <mc:AlternateContent>
          <mc:Choice Requires="wps">
            <w:drawing>
              <wp:anchor distT="0" distB="0" distL="0" distR="0" simplePos="0" relativeHeight="251658249" behindDoc="0" locked="0" layoutInCell="1" allowOverlap="1" wp14:anchorId="4C17826A" wp14:editId="3CF2E7F6">
                <wp:simplePos x="0" y="0"/>
                <wp:positionH relativeFrom="page">
                  <wp:posOffset>344424</wp:posOffset>
                </wp:positionH>
                <wp:positionV relativeFrom="paragraph">
                  <wp:posOffset>1642126</wp:posOffset>
                </wp:positionV>
                <wp:extent cx="6985" cy="455930"/>
                <wp:effectExtent l="0" t="0" r="0" b="0"/>
                <wp:wrapNone/>
                <wp:docPr id="268" name="Free-form: Shape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 cy="455930"/>
                        </a:xfrm>
                        <a:custGeom>
                          <a:avLst/>
                          <a:gdLst/>
                          <a:ahLst/>
                          <a:cxnLst/>
                          <a:rect l="l" t="t" r="r" b="b"/>
                          <a:pathLst>
                            <a:path w="6985" h="455930">
                              <a:moveTo>
                                <a:pt x="6896" y="0"/>
                              </a:moveTo>
                              <a:lnTo>
                                <a:pt x="0" y="0"/>
                              </a:lnTo>
                              <a:lnTo>
                                <a:pt x="0" y="455777"/>
                              </a:lnTo>
                              <a:lnTo>
                                <a:pt x="6896" y="455777"/>
                              </a:lnTo>
                              <a:lnTo>
                                <a:pt x="68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A9EE2EF" id="Free-form: Shape 268" o:spid="_x0000_s1026" style="position:absolute;margin-left:27.1pt;margin-top:129.3pt;width:.55pt;height:35.9pt;z-index:251658249;visibility:visible;mso-wrap-style:square;mso-wrap-distance-left:0;mso-wrap-distance-top:0;mso-wrap-distance-right:0;mso-wrap-distance-bottom:0;mso-position-horizontal:absolute;mso-position-horizontal-relative:page;mso-position-vertical:absolute;mso-position-vertical-relative:text;v-text-anchor:top" coordsize="6985,455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" path="m6896,l,,,455777r6896,l6896,xe" fillcolor="black" stroked="f">
                <v:path arrowok="t"/>
                <w10:wrap anchorx="page"/>
              </v:shape>
            </w:pict>
          </mc:Fallback>
        </mc:AlternateContent>
      </w:r>
      <w:r w:rsidRPr="00150EDC">
        <w:rPr>
          <w:sz w:val="18"/>
        </w:rPr>
        <w:t>under the Order Contract, the following meetings, either face to face or remotely,</w:t>
      </w:r>
      <w:r w:rsidRPr="00150EDC">
        <w:rPr>
          <w:spacing w:val="80"/>
          <w:sz w:val="18"/>
        </w:rPr>
        <w:t xml:space="preserve"> </w:t>
      </w:r>
      <w:r w:rsidRPr="00150EDC">
        <w:rPr>
          <w:sz w:val="18"/>
        </w:rPr>
        <w:t>with the</w:t>
      </w:r>
      <w:r w:rsidRPr="00150EDC">
        <w:rPr>
          <w:spacing w:val="-2"/>
          <w:sz w:val="18"/>
        </w:rPr>
        <w:t xml:space="preserve"> </w:t>
      </w:r>
      <w:r w:rsidRPr="00150EDC">
        <w:rPr>
          <w:sz w:val="18"/>
        </w:rPr>
        <w:t>Buyer</w:t>
      </w:r>
      <w:r w:rsidRPr="00150EDC">
        <w:rPr>
          <w:spacing w:val="-1"/>
          <w:sz w:val="18"/>
        </w:rPr>
        <w:t xml:space="preserve"> </w:t>
      </w:r>
      <w:r w:rsidRPr="00150EDC">
        <w:rPr>
          <w:sz w:val="18"/>
        </w:rPr>
        <w:t>throughout the Contract</w:t>
      </w:r>
      <w:r w:rsidRPr="00150EDC">
        <w:rPr>
          <w:spacing w:val="-2"/>
          <w:sz w:val="18"/>
        </w:rPr>
        <w:t xml:space="preserve"> </w:t>
      </w:r>
      <w:r w:rsidRPr="00150EDC">
        <w:rPr>
          <w:sz w:val="18"/>
        </w:rPr>
        <w:t>Period and such other</w:t>
      </w:r>
      <w:r w:rsidRPr="00150EDC">
        <w:rPr>
          <w:spacing w:val="-3"/>
          <w:sz w:val="18"/>
        </w:rPr>
        <w:t xml:space="preserve"> </w:t>
      </w:r>
      <w:r w:rsidRPr="00150EDC">
        <w:rPr>
          <w:sz w:val="18"/>
        </w:rPr>
        <w:t>meetings</w:t>
      </w:r>
      <w:r w:rsidRPr="00150EDC">
        <w:rPr>
          <w:spacing w:val="-1"/>
          <w:sz w:val="18"/>
        </w:rPr>
        <w:t xml:space="preserve"> </w:t>
      </w:r>
      <w:r w:rsidRPr="007D3144">
        <w:rPr>
          <w:sz w:val="18"/>
        </w:rPr>
        <w:t>requested</w:t>
      </w:r>
      <w:r w:rsidRPr="007D3144">
        <w:rPr>
          <w:spacing w:val="-2"/>
          <w:sz w:val="18"/>
        </w:rPr>
        <w:t xml:space="preserve"> </w:t>
      </w:r>
      <w:r w:rsidRPr="007D3144">
        <w:rPr>
          <w:sz w:val="18"/>
        </w:rPr>
        <w:t>by Buyer from time to time</w:t>
      </w:r>
      <w:r w:rsidRPr="00150EDC">
        <w:rPr>
          <w:sz w:val="18"/>
        </w:rPr>
        <w:t>.</w:t>
      </w:r>
    </w:p>
    <w:p w14:paraId="545F8E83" w14:textId="77777777" w:rsidR="004C7180" w:rsidRPr="00150EDC" w:rsidRDefault="004C7180">
      <w:pPr>
        <w:pStyle w:val="BodyText"/>
        <w:spacing w:before="6"/>
        <w:rPr>
          <w:sz w:val="17"/>
        </w:rPr>
      </w:pPr>
    </w:p>
    <w:tbl>
      <w:tblPr>
        <w:tblW w:w="0" w:type="auto"/>
        <w:tblInd w:w="10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137"/>
        <w:gridCol w:w="1987"/>
        <w:gridCol w:w="1667"/>
      </w:tblGrid>
      <w:tr w:rsidR="004569EE" w:rsidRPr="007D3144" w14:paraId="18CCE122" w14:textId="77777777">
        <w:trPr>
          <w:trHeight w:val="478"/>
        </w:trPr>
        <w:tc>
          <w:tcPr>
            <w:tcW w:w="3137" w:type="dxa"/>
            <w:shd w:val="clear" w:color="auto" w:fill="DBE4F0"/>
          </w:tcPr>
          <w:p w14:paraId="70EB25E2" w14:textId="77777777" w:rsidR="004C7180" w:rsidRPr="00150EDC" w:rsidRDefault="00CF0754">
            <w:pPr>
              <w:pStyle w:val="TableParagraph"/>
              <w:spacing w:before="1" w:line="240" w:lineRule="auto"/>
              <w:ind w:left="81"/>
              <w:rPr>
                <w:b/>
                <w:sz w:val="18"/>
              </w:rPr>
            </w:pPr>
            <w:r w:rsidRPr="00150EDC">
              <w:rPr>
                <w:b/>
                <w:sz w:val="18"/>
              </w:rPr>
              <w:t>Progress</w:t>
            </w:r>
            <w:r w:rsidRPr="00150EDC">
              <w:rPr>
                <w:b/>
                <w:spacing w:val="-3"/>
                <w:sz w:val="18"/>
              </w:rPr>
              <w:t xml:space="preserve"> </w:t>
            </w:r>
            <w:r w:rsidRPr="00150EDC">
              <w:rPr>
                <w:b/>
                <w:spacing w:val="-2"/>
                <w:sz w:val="18"/>
              </w:rPr>
              <w:t>Meeting</w:t>
            </w:r>
          </w:p>
          <w:p w14:paraId="08193755" w14:textId="77777777" w:rsidR="004C7180" w:rsidRPr="00150EDC" w:rsidRDefault="00CF0754">
            <w:pPr>
              <w:pStyle w:val="TableParagraph"/>
              <w:spacing w:before="31" w:line="240" w:lineRule="auto"/>
              <w:ind w:left="81"/>
              <w:rPr>
                <w:b/>
                <w:sz w:val="18"/>
              </w:rPr>
            </w:pPr>
            <w:r w:rsidRPr="00150EDC">
              <w:rPr>
                <w:b/>
                <w:spacing w:val="-2"/>
                <w:sz w:val="18"/>
              </w:rPr>
              <w:t>Name/Description</w:t>
            </w:r>
          </w:p>
        </w:tc>
        <w:tc>
          <w:tcPr>
            <w:tcW w:w="1987" w:type="dxa"/>
            <w:shd w:val="clear" w:color="auto" w:fill="DBE4F0"/>
          </w:tcPr>
          <w:p w14:paraId="4A6C5E77" w14:textId="77777777" w:rsidR="004C7180" w:rsidRPr="00150EDC" w:rsidRDefault="00CF0754">
            <w:pPr>
              <w:pStyle w:val="TableParagraph"/>
              <w:spacing w:before="1" w:line="240" w:lineRule="auto"/>
              <w:ind w:left="80"/>
              <w:rPr>
                <w:b/>
                <w:sz w:val="18"/>
              </w:rPr>
            </w:pPr>
            <w:r w:rsidRPr="00150EDC">
              <w:rPr>
                <w:b/>
                <w:spacing w:val="-2"/>
                <w:sz w:val="18"/>
              </w:rPr>
              <w:t>Attendees</w:t>
            </w:r>
          </w:p>
        </w:tc>
        <w:tc>
          <w:tcPr>
            <w:tcW w:w="1667" w:type="dxa"/>
            <w:shd w:val="clear" w:color="auto" w:fill="DBE4F0"/>
          </w:tcPr>
          <w:p w14:paraId="3A70E9FA" w14:textId="77777777" w:rsidR="004C7180" w:rsidRPr="00150EDC" w:rsidRDefault="00CF0754">
            <w:pPr>
              <w:pStyle w:val="TableParagraph"/>
              <w:spacing w:before="120" w:line="240" w:lineRule="auto"/>
              <w:ind w:left="80"/>
              <w:rPr>
                <w:b/>
                <w:sz w:val="18"/>
              </w:rPr>
            </w:pPr>
            <w:r w:rsidRPr="00150EDC">
              <w:rPr>
                <w:b/>
                <w:spacing w:val="-2"/>
                <w:sz w:val="18"/>
              </w:rPr>
              <w:t>Frequency</w:t>
            </w:r>
          </w:p>
        </w:tc>
      </w:tr>
      <w:tr w:rsidR="004569EE" w:rsidRPr="007D3144" w14:paraId="3BEDE219" w14:textId="77777777">
        <w:trPr>
          <w:trHeight w:val="1673"/>
        </w:trPr>
        <w:tc>
          <w:tcPr>
            <w:tcW w:w="3137" w:type="dxa"/>
          </w:tcPr>
          <w:p w14:paraId="06E58981" w14:textId="77777777" w:rsidR="004C7180" w:rsidRPr="00150EDC" w:rsidRDefault="00CF0754">
            <w:pPr>
              <w:pStyle w:val="TableParagraph"/>
              <w:spacing w:before="1" w:line="278" w:lineRule="auto"/>
              <w:ind w:left="81" w:right="150"/>
              <w:rPr>
                <w:sz w:val="18"/>
              </w:rPr>
            </w:pPr>
            <w:r w:rsidRPr="00150EDC">
              <w:rPr>
                <w:b/>
                <w:sz w:val="18"/>
              </w:rPr>
              <w:t xml:space="preserve">Project Plan Progress Meeting </w:t>
            </w:r>
            <w:r w:rsidRPr="00150EDC">
              <w:rPr>
                <w:sz w:val="18"/>
              </w:rPr>
              <w:t>- on</w:t>
            </w:r>
            <w:r w:rsidRPr="00150EDC">
              <w:rPr>
                <w:spacing w:val="-6"/>
                <w:sz w:val="18"/>
              </w:rPr>
              <w:t xml:space="preserve"> </w:t>
            </w:r>
            <w:r w:rsidRPr="00150EDC">
              <w:rPr>
                <w:sz w:val="18"/>
              </w:rPr>
              <w:t>progress</w:t>
            </w:r>
            <w:r w:rsidRPr="00150EDC">
              <w:rPr>
                <w:spacing w:val="-7"/>
                <w:sz w:val="18"/>
              </w:rPr>
              <w:t xml:space="preserve"> </w:t>
            </w:r>
            <w:r w:rsidRPr="00150EDC">
              <w:rPr>
                <w:sz w:val="18"/>
              </w:rPr>
              <w:t>against</w:t>
            </w:r>
            <w:r w:rsidRPr="00150EDC">
              <w:rPr>
                <w:spacing w:val="-6"/>
                <w:sz w:val="18"/>
              </w:rPr>
              <w:t xml:space="preserve"> </w:t>
            </w:r>
            <w:r w:rsidRPr="00150EDC">
              <w:rPr>
                <w:sz w:val="18"/>
              </w:rPr>
              <w:t>the</w:t>
            </w:r>
            <w:r w:rsidRPr="00150EDC">
              <w:rPr>
                <w:spacing w:val="-6"/>
                <w:sz w:val="18"/>
              </w:rPr>
              <w:t xml:space="preserve"> </w:t>
            </w:r>
            <w:r w:rsidRPr="00150EDC">
              <w:rPr>
                <w:sz w:val="18"/>
              </w:rPr>
              <w:t>milestones. (assume 95% virtual meetings).</w:t>
            </w:r>
          </w:p>
        </w:tc>
        <w:tc>
          <w:tcPr>
            <w:tcW w:w="1987" w:type="dxa"/>
          </w:tcPr>
          <w:p w14:paraId="2ED8DD86" w14:textId="77777777" w:rsidR="004C7180" w:rsidRPr="00150EDC" w:rsidRDefault="00CF0754">
            <w:pPr>
              <w:pStyle w:val="TableParagraph"/>
              <w:spacing w:before="1" w:line="276" w:lineRule="auto"/>
              <w:ind w:left="80"/>
              <w:rPr>
                <w:sz w:val="18"/>
              </w:rPr>
            </w:pPr>
            <w:r w:rsidRPr="00150EDC">
              <w:rPr>
                <w:spacing w:val="-2"/>
                <w:sz w:val="18"/>
              </w:rPr>
              <w:t xml:space="preserve">Supplier </w:t>
            </w:r>
            <w:r w:rsidRPr="00150EDC">
              <w:rPr>
                <w:sz w:val="18"/>
              </w:rPr>
              <w:t>representatives, DfE project manager (Multiply Contract Manager)</w:t>
            </w:r>
            <w:r w:rsidRPr="00150EDC">
              <w:rPr>
                <w:spacing w:val="-15"/>
                <w:sz w:val="18"/>
              </w:rPr>
              <w:t xml:space="preserve"> </w:t>
            </w:r>
            <w:r w:rsidRPr="007D3144">
              <w:rPr>
                <w:sz w:val="18"/>
                <w:u w:val="single" w:color="0078D3"/>
              </w:rPr>
              <w:t>and</w:t>
            </w:r>
            <w:r w:rsidRPr="007D3144">
              <w:rPr>
                <w:spacing w:val="-12"/>
                <w:sz w:val="18"/>
                <w:u w:val="single" w:color="0078D3"/>
              </w:rPr>
              <w:t xml:space="preserve"> </w:t>
            </w:r>
            <w:r w:rsidRPr="007D3144">
              <w:rPr>
                <w:sz w:val="18"/>
                <w:u w:val="single" w:color="0078D3"/>
              </w:rPr>
              <w:t>where</w:t>
            </w:r>
            <w:r w:rsidRPr="007D3144">
              <w:rPr>
                <w:sz w:val="18"/>
              </w:rPr>
              <w:t xml:space="preserve"> </w:t>
            </w:r>
            <w:r w:rsidRPr="007D3144">
              <w:rPr>
                <w:sz w:val="18"/>
                <w:u w:val="single" w:color="0078D3"/>
              </w:rPr>
              <w:t>necessary the</w:t>
            </w:r>
          </w:p>
          <w:p w14:paraId="50B73858" w14:textId="77777777" w:rsidR="004C7180" w:rsidRPr="00150EDC" w:rsidRDefault="00CF0754">
            <w:pPr>
              <w:pStyle w:val="TableParagraph"/>
              <w:spacing w:before="5" w:line="240" w:lineRule="auto"/>
              <w:ind w:left="80"/>
              <w:rPr>
                <w:sz w:val="18"/>
              </w:rPr>
            </w:pPr>
            <w:r w:rsidRPr="007D3144">
              <w:rPr>
                <w:sz w:val="18"/>
                <w:u w:val="single" w:color="0078D3"/>
              </w:rPr>
              <w:t>evaluation</w:t>
            </w:r>
            <w:r w:rsidRPr="007D3144">
              <w:rPr>
                <w:spacing w:val="-3"/>
                <w:sz w:val="18"/>
                <w:u w:val="single" w:color="0078D3"/>
              </w:rPr>
              <w:t xml:space="preserve"> </w:t>
            </w:r>
            <w:r w:rsidRPr="007D3144">
              <w:rPr>
                <w:spacing w:val="-2"/>
                <w:sz w:val="18"/>
                <w:u w:val="single" w:color="0078D3"/>
              </w:rPr>
              <w:t>supplier.</w:t>
            </w:r>
          </w:p>
        </w:tc>
        <w:tc>
          <w:tcPr>
            <w:tcW w:w="1667" w:type="dxa"/>
          </w:tcPr>
          <w:p w14:paraId="1FF95991" w14:textId="77777777" w:rsidR="004C7180" w:rsidRPr="00150EDC" w:rsidRDefault="00CF0754">
            <w:pPr>
              <w:pStyle w:val="TableParagraph"/>
              <w:spacing w:before="1" w:line="278" w:lineRule="auto"/>
              <w:ind w:left="80" w:right="259"/>
              <w:jc w:val="both"/>
              <w:rPr>
                <w:sz w:val="18"/>
              </w:rPr>
            </w:pPr>
            <w:r w:rsidRPr="00150EDC">
              <w:rPr>
                <w:sz w:val="18"/>
              </w:rPr>
              <w:t>Weekly (at date and</w:t>
            </w:r>
            <w:r w:rsidRPr="00150EDC">
              <w:rPr>
                <w:spacing w:val="-15"/>
                <w:sz w:val="18"/>
              </w:rPr>
              <w:t xml:space="preserve"> </w:t>
            </w:r>
            <w:r w:rsidRPr="00150EDC">
              <w:rPr>
                <w:sz w:val="18"/>
              </w:rPr>
              <w:t>time</w:t>
            </w:r>
            <w:r w:rsidRPr="00150EDC">
              <w:rPr>
                <w:spacing w:val="-12"/>
                <w:sz w:val="18"/>
              </w:rPr>
              <w:t xml:space="preserve"> </w:t>
            </w:r>
            <w:r w:rsidRPr="00150EDC">
              <w:rPr>
                <w:sz w:val="18"/>
              </w:rPr>
              <w:t>agreed by the parties)</w:t>
            </w:r>
          </w:p>
        </w:tc>
      </w:tr>
      <w:tr w:rsidR="004569EE" w:rsidRPr="007D3144" w14:paraId="4C463478" w14:textId="77777777">
        <w:trPr>
          <w:trHeight w:val="1912"/>
        </w:trPr>
        <w:tc>
          <w:tcPr>
            <w:tcW w:w="3137" w:type="dxa"/>
          </w:tcPr>
          <w:p w14:paraId="3007AB6E" w14:textId="77777777" w:rsidR="004C7180" w:rsidRPr="00150EDC" w:rsidRDefault="00CF0754">
            <w:pPr>
              <w:pStyle w:val="TableParagraph"/>
              <w:spacing w:before="1" w:line="278" w:lineRule="auto"/>
              <w:ind w:left="81" w:right="50"/>
              <w:rPr>
                <w:sz w:val="18"/>
              </w:rPr>
            </w:pPr>
            <w:r w:rsidRPr="00150EDC">
              <w:rPr>
                <w:b/>
                <w:sz w:val="18"/>
              </w:rPr>
              <w:t xml:space="preserve">RCT Technical Steering Group </w:t>
            </w:r>
            <w:r w:rsidRPr="00150EDC">
              <w:rPr>
                <w:sz w:val="18"/>
              </w:rPr>
              <w:t>- Will complete the trial readiness assessment which advises DfE on whether</w:t>
            </w:r>
            <w:r w:rsidRPr="00150EDC">
              <w:rPr>
                <w:spacing w:val="-4"/>
                <w:sz w:val="18"/>
              </w:rPr>
              <w:t xml:space="preserve"> </w:t>
            </w:r>
            <w:r w:rsidRPr="00150EDC">
              <w:rPr>
                <w:sz w:val="18"/>
              </w:rPr>
              <w:t>the</w:t>
            </w:r>
            <w:r w:rsidRPr="00150EDC">
              <w:rPr>
                <w:spacing w:val="-5"/>
                <w:sz w:val="18"/>
              </w:rPr>
              <w:t xml:space="preserve"> </w:t>
            </w:r>
            <w:r w:rsidRPr="00150EDC">
              <w:rPr>
                <w:sz w:val="18"/>
              </w:rPr>
              <w:t>product</w:t>
            </w:r>
            <w:r w:rsidRPr="00150EDC">
              <w:rPr>
                <w:spacing w:val="-3"/>
                <w:sz w:val="18"/>
              </w:rPr>
              <w:t xml:space="preserve"> </w:t>
            </w:r>
            <w:r w:rsidRPr="00150EDC">
              <w:rPr>
                <w:sz w:val="18"/>
              </w:rPr>
              <w:t>is</w:t>
            </w:r>
            <w:r w:rsidRPr="00150EDC">
              <w:rPr>
                <w:spacing w:val="-6"/>
                <w:sz w:val="18"/>
              </w:rPr>
              <w:t xml:space="preserve"> </w:t>
            </w:r>
            <w:r w:rsidRPr="00150EDC">
              <w:rPr>
                <w:sz w:val="18"/>
              </w:rPr>
              <w:t>ready</w:t>
            </w:r>
            <w:r w:rsidRPr="00150EDC">
              <w:rPr>
                <w:spacing w:val="-4"/>
                <w:sz w:val="18"/>
              </w:rPr>
              <w:t xml:space="preserve"> </w:t>
            </w:r>
            <w:r w:rsidRPr="00150EDC">
              <w:rPr>
                <w:sz w:val="18"/>
              </w:rPr>
              <w:t>for</w:t>
            </w:r>
            <w:r w:rsidRPr="00150EDC">
              <w:rPr>
                <w:spacing w:val="-4"/>
                <w:sz w:val="18"/>
              </w:rPr>
              <w:t xml:space="preserve"> </w:t>
            </w:r>
            <w:r w:rsidRPr="00150EDC">
              <w:rPr>
                <w:sz w:val="18"/>
              </w:rPr>
              <w:t>trial.</w:t>
            </w:r>
          </w:p>
        </w:tc>
        <w:tc>
          <w:tcPr>
            <w:tcW w:w="1987" w:type="dxa"/>
          </w:tcPr>
          <w:p w14:paraId="31486657" w14:textId="77777777" w:rsidR="004C7180" w:rsidRPr="00150EDC" w:rsidRDefault="00CF0754">
            <w:pPr>
              <w:pStyle w:val="TableParagraph"/>
              <w:spacing w:before="1" w:line="276" w:lineRule="auto"/>
              <w:ind w:left="80" w:right="71"/>
              <w:rPr>
                <w:sz w:val="18"/>
              </w:rPr>
            </w:pPr>
            <w:r w:rsidRPr="00150EDC">
              <w:rPr>
                <w:spacing w:val="-2"/>
                <w:sz w:val="18"/>
              </w:rPr>
              <w:t xml:space="preserve">Supplier representatives, </w:t>
            </w:r>
            <w:r w:rsidRPr="00150EDC">
              <w:rPr>
                <w:sz w:val="18"/>
              </w:rPr>
              <w:t>Cabinet Office Evaluation</w:t>
            </w:r>
            <w:r w:rsidRPr="00150EDC">
              <w:rPr>
                <w:spacing w:val="-13"/>
                <w:sz w:val="18"/>
              </w:rPr>
              <w:t xml:space="preserve"> </w:t>
            </w:r>
            <w:r w:rsidRPr="00150EDC">
              <w:rPr>
                <w:sz w:val="18"/>
              </w:rPr>
              <w:t>Taskforce, DfE (policy, commercial and research), and</w:t>
            </w:r>
          </w:p>
          <w:p w14:paraId="418AE71B" w14:textId="77777777" w:rsidR="004C7180" w:rsidRPr="00150EDC" w:rsidRDefault="00CF0754">
            <w:pPr>
              <w:pStyle w:val="TableParagraph"/>
              <w:spacing w:before="8" w:line="240" w:lineRule="auto"/>
              <w:ind w:left="80"/>
              <w:rPr>
                <w:sz w:val="18"/>
              </w:rPr>
            </w:pPr>
            <w:r w:rsidRPr="00150EDC">
              <w:rPr>
                <w:spacing w:val="-4"/>
                <w:sz w:val="18"/>
              </w:rPr>
              <w:t>DLUHC</w:t>
            </w:r>
          </w:p>
        </w:tc>
        <w:tc>
          <w:tcPr>
            <w:tcW w:w="1667" w:type="dxa"/>
          </w:tcPr>
          <w:p w14:paraId="08D0C5F0" w14:textId="77777777" w:rsidR="004C7180" w:rsidRPr="00150EDC" w:rsidRDefault="00CF0754">
            <w:pPr>
              <w:pStyle w:val="TableParagraph"/>
              <w:spacing w:before="1" w:line="278" w:lineRule="auto"/>
              <w:ind w:left="80" w:right="259"/>
              <w:jc w:val="both"/>
              <w:rPr>
                <w:sz w:val="18"/>
              </w:rPr>
            </w:pPr>
            <w:r w:rsidRPr="00150EDC">
              <w:rPr>
                <w:sz w:val="18"/>
              </w:rPr>
              <w:t>Monthly</w:t>
            </w:r>
            <w:r w:rsidRPr="00150EDC">
              <w:rPr>
                <w:spacing w:val="-9"/>
                <w:sz w:val="18"/>
              </w:rPr>
              <w:t xml:space="preserve"> </w:t>
            </w:r>
            <w:r w:rsidRPr="00150EDC">
              <w:rPr>
                <w:sz w:val="18"/>
              </w:rPr>
              <w:t>(at</w:t>
            </w:r>
            <w:r w:rsidRPr="00150EDC">
              <w:rPr>
                <w:spacing w:val="-10"/>
                <w:sz w:val="18"/>
              </w:rPr>
              <w:t xml:space="preserve"> </w:t>
            </w:r>
            <w:r w:rsidRPr="00150EDC">
              <w:rPr>
                <w:sz w:val="18"/>
              </w:rPr>
              <w:t>date and</w:t>
            </w:r>
            <w:r w:rsidRPr="00150EDC">
              <w:rPr>
                <w:spacing w:val="-15"/>
                <w:sz w:val="18"/>
              </w:rPr>
              <w:t xml:space="preserve"> </w:t>
            </w:r>
            <w:r w:rsidRPr="00150EDC">
              <w:rPr>
                <w:sz w:val="18"/>
              </w:rPr>
              <w:t>time</w:t>
            </w:r>
            <w:r w:rsidRPr="00150EDC">
              <w:rPr>
                <w:spacing w:val="-12"/>
                <w:sz w:val="18"/>
              </w:rPr>
              <w:t xml:space="preserve"> </w:t>
            </w:r>
            <w:r w:rsidRPr="00150EDC">
              <w:rPr>
                <w:sz w:val="18"/>
              </w:rPr>
              <w:t>agreed by the parties).</w:t>
            </w:r>
          </w:p>
        </w:tc>
      </w:tr>
      <w:tr w:rsidR="004569EE" w:rsidRPr="007D3144" w14:paraId="1F64F25F" w14:textId="77777777">
        <w:trPr>
          <w:trHeight w:val="955"/>
        </w:trPr>
        <w:tc>
          <w:tcPr>
            <w:tcW w:w="3137" w:type="dxa"/>
          </w:tcPr>
          <w:p w14:paraId="3C57C6D8" w14:textId="77777777" w:rsidR="004C7180" w:rsidRPr="00150EDC" w:rsidRDefault="00CF0754">
            <w:pPr>
              <w:pStyle w:val="TableParagraph"/>
              <w:spacing w:before="1" w:line="278" w:lineRule="auto"/>
              <w:ind w:left="81"/>
              <w:rPr>
                <w:sz w:val="18"/>
              </w:rPr>
            </w:pPr>
            <w:r w:rsidRPr="00150EDC">
              <w:rPr>
                <w:b/>
                <w:sz w:val="18"/>
              </w:rPr>
              <w:t>Contract Review meetings (Operational</w:t>
            </w:r>
            <w:r w:rsidRPr="00150EDC">
              <w:rPr>
                <w:b/>
                <w:spacing w:val="-15"/>
                <w:sz w:val="18"/>
              </w:rPr>
              <w:t xml:space="preserve"> </w:t>
            </w:r>
            <w:r w:rsidRPr="00150EDC">
              <w:rPr>
                <w:b/>
                <w:sz w:val="18"/>
              </w:rPr>
              <w:t>Board)</w:t>
            </w:r>
            <w:r w:rsidRPr="00150EDC">
              <w:rPr>
                <w:b/>
                <w:spacing w:val="-12"/>
                <w:sz w:val="18"/>
              </w:rPr>
              <w:t xml:space="preserve"> </w:t>
            </w:r>
            <w:r w:rsidRPr="00150EDC">
              <w:rPr>
                <w:sz w:val="18"/>
              </w:rPr>
              <w:t>(review Supplier's performance of its</w:t>
            </w:r>
          </w:p>
          <w:p w14:paraId="0E7431DA" w14:textId="77777777" w:rsidR="004C7180" w:rsidRPr="00150EDC" w:rsidRDefault="00CF0754">
            <w:pPr>
              <w:pStyle w:val="TableParagraph"/>
              <w:spacing w:before="0" w:line="204" w:lineRule="exact"/>
              <w:ind w:left="81"/>
              <w:rPr>
                <w:sz w:val="18"/>
              </w:rPr>
            </w:pPr>
            <w:r w:rsidRPr="00150EDC">
              <w:rPr>
                <w:sz w:val="18"/>
              </w:rPr>
              <w:t>obligations</w:t>
            </w:r>
            <w:r w:rsidRPr="00150EDC">
              <w:rPr>
                <w:spacing w:val="-4"/>
                <w:sz w:val="18"/>
              </w:rPr>
              <w:t xml:space="preserve"> </w:t>
            </w:r>
            <w:r w:rsidRPr="00150EDC">
              <w:rPr>
                <w:sz w:val="18"/>
              </w:rPr>
              <w:t>under</w:t>
            </w:r>
            <w:r w:rsidRPr="00150EDC">
              <w:rPr>
                <w:spacing w:val="-3"/>
                <w:sz w:val="18"/>
              </w:rPr>
              <w:t xml:space="preserve"> </w:t>
            </w:r>
            <w:r w:rsidRPr="00150EDC">
              <w:rPr>
                <w:sz w:val="18"/>
              </w:rPr>
              <w:t>the</w:t>
            </w:r>
            <w:r w:rsidRPr="00150EDC">
              <w:rPr>
                <w:spacing w:val="-5"/>
                <w:sz w:val="18"/>
              </w:rPr>
              <w:t xml:space="preserve"> </w:t>
            </w:r>
            <w:r w:rsidRPr="00150EDC">
              <w:rPr>
                <w:spacing w:val="-2"/>
                <w:sz w:val="18"/>
              </w:rPr>
              <w:t>Contract)</w:t>
            </w:r>
          </w:p>
        </w:tc>
        <w:tc>
          <w:tcPr>
            <w:tcW w:w="1987" w:type="dxa"/>
          </w:tcPr>
          <w:p w14:paraId="1AA92275" w14:textId="77777777" w:rsidR="004C7180" w:rsidRPr="00150EDC" w:rsidRDefault="00CF0754">
            <w:pPr>
              <w:pStyle w:val="TableParagraph"/>
              <w:spacing w:before="1" w:line="278" w:lineRule="auto"/>
              <w:ind w:left="80"/>
              <w:rPr>
                <w:sz w:val="18"/>
              </w:rPr>
            </w:pPr>
            <w:r w:rsidRPr="00150EDC">
              <w:rPr>
                <w:spacing w:val="-2"/>
                <w:sz w:val="18"/>
              </w:rPr>
              <w:t xml:space="preserve">Supplier </w:t>
            </w:r>
            <w:r w:rsidRPr="00150EDC">
              <w:rPr>
                <w:sz w:val="18"/>
              </w:rPr>
              <w:t>representatives,</w:t>
            </w:r>
            <w:r w:rsidRPr="00150EDC">
              <w:rPr>
                <w:spacing w:val="-13"/>
                <w:sz w:val="18"/>
              </w:rPr>
              <w:t xml:space="preserve"> </w:t>
            </w:r>
            <w:r w:rsidRPr="00150EDC">
              <w:rPr>
                <w:sz w:val="18"/>
              </w:rPr>
              <w:t xml:space="preserve">Buyer </w:t>
            </w:r>
            <w:r w:rsidRPr="00150EDC">
              <w:rPr>
                <w:spacing w:val="-2"/>
                <w:sz w:val="18"/>
              </w:rPr>
              <w:t>representatives</w:t>
            </w:r>
          </w:p>
        </w:tc>
        <w:tc>
          <w:tcPr>
            <w:tcW w:w="1667" w:type="dxa"/>
          </w:tcPr>
          <w:p w14:paraId="659BA710" w14:textId="77777777" w:rsidR="004C7180" w:rsidRPr="00150EDC" w:rsidRDefault="00CF0754">
            <w:pPr>
              <w:pStyle w:val="TableParagraph"/>
              <w:spacing w:before="1" w:line="278" w:lineRule="auto"/>
              <w:ind w:left="80" w:right="101"/>
              <w:rPr>
                <w:sz w:val="18"/>
              </w:rPr>
            </w:pPr>
            <w:r w:rsidRPr="00150EDC">
              <w:rPr>
                <w:sz w:val="18"/>
              </w:rPr>
              <w:t>Quarterly</w:t>
            </w:r>
            <w:r w:rsidRPr="00150EDC">
              <w:rPr>
                <w:spacing w:val="-15"/>
                <w:sz w:val="18"/>
              </w:rPr>
              <w:t xml:space="preserve"> </w:t>
            </w:r>
            <w:r w:rsidRPr="00150EDC">
              <w:rPr>
                <w:sz w:val="18"/>
              </w:rPr>
              <w:t>(at</w:t>
            </w:r>
            <w:r w:rsidRPr="00150EDC">
              <w:rPr>
                <w:spacing w:val="-12"/>
                <w:sz w:val="18"/>
              </w:rPr>
              <w:t xml:space="preserve"> </w:t>
            </w:r>
            <w:r w:rsidRPr="00150EDC">
              <w:rPr>
                <w:sz w:val="18"/>
              </w:rPr>
              <w:t>date and time agreed by the parties).</w:t>
            </w:r>
          </w:p>
        </w:tc>
      </w:tr>
      <w:tr w:rsidR="004569EE" w:rsidRPr="007D3144" w14:paraId="0FC2C0FA" w14:textId="77777777">
        <w:trPr>
          <w:trHeight w:val="957"/>
        </w:trPr>
        <w:tc>
          <w:tcPr>
            <w:tcW w:w="3137" w:type="dxa"/>
          </w:tcPr>
          <w:p w14:paraId="7EB2ED04" w14:textId="77777777" w:rsidR="004C7180" w:rsidRPr="00150EDC" w:rsidRDefault="00CF0754">
            <w:pPr>
              <w:pStyle w:val="TableParagraph"/>
              <w:spacing w:before="2" w:line="276" w:lineRule="auto"/>
              <w:ind w:left="81"/>
              <w:rPr>
                <w:b/>
                <w:sz w:val="18"/>
              </w:rPr>
            </w:pPr>
            <w:r w:rsidRPr="00150EDC">
              <w:rPr>
                <w:b/>
                <w:sz w:val="18"/>
              </w:rPr>
              <w:t>Review</w:t>
            </w:r>
            <w:r w:rsidRPr="00150EDC">
              <w:rPr>
                <w:b/>
                <w:spacing w:val="-9"/>
                <w:sz w:val="18"/>
              </w:rPr>
              <w:t xml:space="preserve"> </w:t>
            </w:r>
            <w:r w:rsidRPr="00150EDC">
              <w:rPr>
                <w:b/>
                <w:sz w:val="18"/>
              </w:rPr>
              <w:t>of</w:t>
            </w:r>
            <w:r w:rsidRPr="00150EDC">
              <w:rPr>
                <w:b/>
                <w:spacing w:val="-8"/>
                <w:sz w:val="18"/>
              </w:rPr>
              <w:t xml:space="preserve"> </w:t>
            </w:r>
            <w:r w:rsidRPr="00150EDC">
              <w:rPr>
                <w:b/>
                <w:sz w:val="18"/>
              </w:rPr>
              <w:t>Supplier's</w:t>
            </w:r>
            <w:r w:rsidRPr="00150EDC">
              <w:rPr>
                <w:b/>
                <w:spacing w:val="-9"/>
                <w:sz w:val="18"/>
              </w:rPr>
              <w:t xml:space="preserve"> </w:t>
            </w:r>
            <w:r w:rsidRPr="00150EDC">
              <w:rPr>
                <w:b/>
                <w:sz w:val="18"/>
              </w:rPr>
              <w:t xml:space="preserve">compliance with the KPIs in Schedule [25] </w:t>
            </w:r>
            <w:r w:rsidRPr="00150EDC">
              <w:rPr>
                <w:b/>
                <w:spacing w:val="-2"/>
                <w:sz w:val="18"/>
              </w:rPr>
              <w:t>(Collaboration)</w:t>
            </w:r>
          </w:p>
        </w:tc>
        <w:tc>
          <w:tcPr>
            <w:tcW w:w="1987" w:type="dxa"/>
          </w:tcPr>
          <w:p w14:paraId="313BAFBC" w14:textId="77777777" w:rsidR="004C7180" w:rsidRPr="00150EDC" w:rsidRDefault="00CF0754">
            <w:pPr>
              <w:pStyle w:val="TableParagraph"/>
              <w:spacing w:before="2" w:line="276" w:lineRule="auto"/>
              <w:ind w:left="80"/>
              <w:rPr>
                <w:sz w:val="18"/>
              </w:rPr>
            </w:pPr>
            <w:r w:rsidRPr="00150EDC">
              <w:rPr>
                <w:spacing w:val="-2"/>
                <w:sz w:val="18"/>
              </w:rPr>
              <w:t xml:space="preserve">Supplier </w:t>
            </w:r>
            <w:r w:rsidRPr="00150EDC">
              <w:rPr>
                <w:sz w:val="18"/>
              </w:rPr>
              <w:t>representatives,</w:t>
            </w:r>
            <w:r w:rsidRPr="00150EDC">
              <w:rPr>
                <w:spacing w:val="-13"/>
                <w:sz w:val="18"/>
              </w:rPr>
              <w:t xml:space="preserve"> </w:t>
            </w:r>
            <w:r w:rsidRPr="00150EDC">
              <w:rPr>
                <w:sz w:val="18"/>
              </w:rPr>
              <w:t xml:space="preserve">Buyer </w:t>
            </w:r>
            <w:r w:rsidRPr="00150EDC">
              <w:rPr>
                <w:spacing w:val="-2"/>
                <w:sz w:val="18"/>
              </w:rPr>
              <w:t>representatives</w:t>
            </w:r>
          </w:p>
        </w:tc>
        <w:tc>
          <w:tcPr>
            <w:tcW w:w="1667" w:type="dxa"/>
          </w:tcPr>
          <w:p w14:paraId="59D18DBF" w14:textId="77777777" w:rsidR="004C7180" w:rsidRPr="00150EDC" w:rsidRDefault="00CF0754">
            <w:pPr>
              <w:pStyle w:val="TableParagraph"/>
              <w:spacing w:before="2" w:line="276" w:lineRule="auto"/>
              <w:ind w:left="80"/>
              <w:rPr>
                <w:sz w:val="18"/>
              </w:rPr>
            </w:pPr>
            <w:r w:rsidRPr="00150EDC">
              <w:rPr>
                <w:sz w:val="18"/>
              </w:rPr>
              <w:t>Every</w:t>
            </w:r>
            <w:r w:rsidRPr="00150EDC">
              <w:rPr>
                <w:spacing w:val="-10"/>
                <w:sz w:val="18"/>
              </w:rPr>
              <w:t xml:space="preserve"> </w:t>
            </w:r>
            <w:r w:rsidRPr="00150EDC">
              <w:rPr>
                <w:sz w:val="18"/>
              </w:rPr>
              <w:t>6</w:t>
            </w:r>
            <w:r w:rsidRPr="00150EDC">
              <w:rPr>
                <w:spacing w:val="-10"/>
                <w:sz w:val="18"/>
              </w:rPr>
              <w:t xml:space="preserve"> </w:t>
            </w:r>
            <w:r w:rsidRPr="00150EDC">
              <w:rPr>
                <w:sz w:val="18"/>
              </w:rPr>
              <w:t>weeks</w:t>
            </w:r>
            <w:r w:rsidRPr="00150EDC">
              <w:rPr>
                <w:spacing w:val="-10"/>
                <w:sz w:val="18"/>
              </w:rPr>
              <w:t xml:space="preserve"> </w:t>
            </w:r>
            <w:r w:rsidRPr="00150EDC">
              <w:rPr>
                <w:sz w:val="18"/>
              </w:rPr>
              <w:t>(at date and time agreed by the</w:t>
            </w:r>
          </w:p>
          <w:p w14:paraId="5737B90B" w14:textId="77777777" w:rsidR="004C7180" w:rsidRPr="00150EDC" w:rsidRDefault="00CF0754">
            <w:pPr>
              <w:pStyle w:val="TableParagraph"/>
              <w:spacing w:before="2" w:line="240" w:lineRule="auto"/>
              <w:ind w:left="80"/>
              <w:rPr>
                <w:sz w:val="18"/>
              </w:rPr>
            </w:pPr>
            <w:r w:rsidRPr="00150EDC">
              <w:rPr>
                <w:spacing w:val="-2"/>
                <w:sz w:val="18"/>
              </w:rPr>
              <w:t>parties).</w:t>
            </w:r>
          </w:p>
        </w:tc>
      </w:tr>
    </w:tbl>
    <w:p w14:paraId="3D71F277" w14:textId="77777777" w:rsidR="004C7180" w:rsidRPr="00150EDC" w:rsidRDefault="004C7180">
      <w:pPr>
        <w:pStyle w:val="BodyText"/>
        <w:rPr>
          <w:sz w:val="20"/>
        </w:rPr>
      </w:pPr>
    </w:p>
    <w:p w14:paraId="576F892F" w14:textId="77777777" w:rsidR="004C7180" w:rsidRPr="00150EDC" w:rsidRDefault="004C7180">
      <w:pPr>
        <w:pStyle w:val="BodyText"/>
        <w:rPr>
          <w:sz w:val="20"/>
        </w:rPr>
      </w:pPr>
    </w:p>
    <w:p w14:paraId="6CEEB4A0" w14:textId="77777777" w:rsidR="004C7180" w:rsidRPr="00150EDC" w:rsidRDefault="004C7180">
      <w:pPr>
        <w:pStyle w:val="BodyText"/>
        <w:rPr>
          <w:sz w:val="20"/>
        </w:rPr>
      </w:pPr>
    </w:p>
    <w:p w14:paraId="1C945530" w14:textId="77777777" w:rsidR="004C7180" w:rsidRPr="00150EDC" w:rsidRDefault="004C7180">
      <w:pPr>
        <w:pStyle w:val="BodyText"/>
        <w:rPr>
          <w:sz w:val="20"/>
        </w:rPr>
      </w:pPr>
    </w:p>
    <w:p w14:paraId="0194DE0B" w14:textId="77777777" w:rsidR="004C7180" w:rsidRPr="00150EDC" w:rsidRDefault="004C7180">
      <w:pPr>
        <w:pStyle w:val="BodyText"/>
        <w:rPr>
          <w:sz w:val="20"/>
        </w:rPr>
      </w:pPr>
    </w:p>
    <w:p w14:paraId="47170A09" w14:textId="77777777" w:rsidR="004C7180" w:rsidRPr="00150EDC" w:rsidRDefault="004C7180">
      <w:pPr>
        <w:pStyle w:val="BodyText"/>
        <w:rPr>
          <w:sz w:val="20"/>
        </w:rPr>
      </w:pPr>
    </w:p>
    <w:p w14:paraId="59E8E465" w14:textId="77777777" w:rsidR="004C7180" w:rsidRPr="00150EDC" w:rsidRDefault="004C7180">
      <w:pPr>
        <w:pStyle w:val="BodyText"/>
        <w:rPr>
          <w:sz w:val="20"/>
        </w:rPr>
      </w:pPr>
    </w:p>
    <w:p w14:paraId="568ED5ED" w14:textId="77777777" w:rsidR="004C7180" w:rsidRPr="00150EDC" w:rsidRDefault="004C7180">
      <w:pPr>
        <w:pStyle w:val="BodyText"/>
        <w:rPr>
          <w:sz w:val="20"/>
        </w:rPr>
      </w:pPr>
    </w:p>
    <w:p w14:paraId="40B1B9C4" w14:textId="77777777" w:rsidR="004C7180" w:rsidRPr="00150EDC" w:rsidRDefault="004C7180">
      <w:pPr>
        <w:pStyle w:val="BodyText"/>
        <w:rPr>
          <w:sz w:val="20"/>
        </w:rPr>
      </w:pPr>
    </w:p>
    <w:p w14:paraId="7D3077C8" w14:textId="77777777" w:rsidR="004C7180" w:rsidRPr="00150EDC" w:rsidRDefault="004C7180">
      <w:pPr>
        <w:pStyle w:val="BodyText"/>
        <w:rPr>
          <w:sz w:val="20"/>
        </w:rPr>
      </w:pPr>
    </w:p>
    <w:p w14:paraId="47701CDB" w14:textId="77777777" w:rsidR="004C7180" w:rsidRPr="00150EDC" w:rsidRDefault="004C7180">
      <w:pPr>
        <w:pStyle w:val="BodyText"/>
        <w:rPr>
          <w:sz w:val="20"/>
        </w:rPr>
      </w:pPr>
    </w:p>
    <w:p w14:paraId="330FD84C" w14:textId="77777777" w:rsidR="004C7180" w:rsidRPr="00150EDC" w:rsidRDefault="004C7180">
      <w:pPr>
        <w:pStyle w:val="BodyText"/>
        <w:rPr>
          <w:sz w:val="20"/>
        </w:rPr>
      </w:pPr>
    </w:p>
    <w:p w14:paraId="01E9B42E" w14:textId="77777777" w:rsidR="004C7180" w:rsidRPr="00150EDC" w:rsidRDefault="004C7180">
      <w:pPr>
        <w:pStyle w:val="BodyText"/>
        <w:rPr>
          <w:sz w:val="20"/>
        </w:rPr>
      </w:pPr>
    </w:p>
    <w:p w14:paraId="7DB1F0A5" w14:textId="77777777" w:rsidR="004C7180" w:rsidRPr="00150EDC" w:rsidRDefault="004C7180">
      <w:pPr>
        <w:pStyle w:val="BodyText"/>
        <w:rPr>
          <w:sz w:val="20"/>
        </w:rPr>
      </w:pPr>
    </w:p>
    <w:p w14:paraId="2E69E307" w14:textId="77777777" w:rsidR="004C7180" w:rsidRPr="00150EDC" w:rsidRDefault="004C7180">
      <w:pPr>
        <w:pStyle w:val="BodyText"/>
        <w:rPr>
          <w:sz w:val="20"/>
        </w:rPr>
      </w:pPr>
    </w:p>
    <w:p w14:paraId="2F37627A" w14:textId="77777777" w:rsidR="004C7180" w:rsidRPr="00150EDC" w:rsidRDefault="00CF0754">
      <w:pPr>
        <w:spacing w:before="117" w:line="172" w:lineRule="exact"/>
        <w:ind w:left="1044"/>
        <w:rPr>
          <w:sz w:val="15"/>
        </w:rPr>
      </w:pPr>
      <w:r w:rsidRPr="00150EDC">
        <w:rPr>
          <w:sz w:val="15"/>
        </w:rPr>
        <w:t>DPS</w:t>
      </w:r>
      <w:r w:rsidRPr="00150EDC">
        <w:rPr>
          <w:spacing w:val="-3"/>
          <w:sz w:val="15"/>
        </w:rPr>
        <w:t xml:space="preserve"> </w:t>
      </w:r>
      <w:r w:rsidRPr="00150EDC">
        <w:rPr>
          <w:sz w:val="15"/>
        </w:rPr>
        <w:t xml:space="preserve">Ref: </w:t>
      </w:r>
      <w:r w:rsidRPr="00150EDC">
        <w:rPr>
          <w:spacing w:val="-2"/>
          <w:sz w:val="15"/>
        </w:rPr>
        <w:t>RM6322</w:t>
      </w:r>
    </w:p>
    <w:p w14:paraId="7AC9C17A" w14:textId="77777777" w:rsidR="004C7180" w:rsidRPr="00150EDC" w:rsidRDefault="00CF0754">
      <w:pPr>
        <w:tabs>
          <w:tab w:val="left" w:pos="7761"/>
        </w:tabs>
        <w:spacing w:line="172" w:lineRule="exact"/>
        <w:ind w:left="1044"/>
        <w:rPr>
          <w:sz w:val="15"/>
        </w:rPr>
      </w:pPr>
      <w:r w:rsidRPr="00150EDC">
        <w:rPr>
          <w:noProof/>
          <w:lang w:val="en-GB" w:eastAsia="en-GB"/>
        </w:rPr>
        <mc:AlternateContent>
          <mc:Choice Requires="wps">
            <w:drawing>
              <wp:anchor distT="0" distB="0" distL="0" distR="0" simplePos="0" relativeHeight="251658270" behindDoc="1" locked="0" layoutInCell="1" allowOverlap="1" wp14:anchorId="4DB99ED5" wp14:editId="650F42BE">
                <wp:simplePos x="0" y="0"/>
                <wp:positionH relativeFrom="page">
                  <wp:posOffset>4953965</wp:posOffset>
                </wp:positionH>
                <wp:positionV relativeFrom="paragraph">
                  <wp:posOffset>693</wp:posOffset>
                </wp:positionV>
                <wp:extent cx="53340" cy="109220"/>
                <wp:effectExtent l="0" t="0" r="0" b="0"/>
                <wp:wrapNone/>
                <wp:docPr id="269" name="Free-form: Shape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 cy="109220"/>
                        </a:xfrm>
                        <a:custGeom>
                          <a:avLst/>
                          <a:gdLst/>
                          <a:ahLst/>
                          <a:cxnLst/>
                          <a:rect l="l" t="t" r="r" b="b"/>
                          <a:pathLst>
                            <a:path w="53340" h="109220">
                              <a:moveTo>
                                <a:pt x="52806" y="0"/>
                              </a:moveTo>
                              <a:lnTo>
                                <a:pt x="0" y="0"/>
                              </a:lnTo>
                              <a:lnTo>
                                <a:pt x="0" y="109067"/>
                              </a:lnTo>
                              <a:lnTo>
                                <a:pt x="52806" y="109067"/>
                              </a:lnTo>
                              <a:lnTo>
                                <a:pt x="52806" y="0"/>
                              </a:lnTo>
                              <a:close/>
                            </a:path>
                          </a:pathLst>
                        </a:custGeom>
                        <a:solidFill>
                          <a:srgbClr val="E6E6E6"/>
                        </a:solidFill>
                      </wps:spPr>
                      <wps:bodyPr wrap="square" lIns="0" tIns="0" rIns="0" bIns="0" rtlCol="0">
                        <a:prstTxWarp prst="textNoShape">
                          <a:avLst/>
                        </a:prstTxWarp>
                        <a:noAutofit/>
                      </wps:bodyPr>
                    </wps:wsp>
                  </a:graphicData>
                </a:graphic>
              </wp:anchor>
            </w:drawing>
          </mc:Choice>
          <mc:Fallback>
            <w:pict>
              <v:shape w14:anchorId="447086B5" id="Free-form: Shape 269" o:spid="_x0000_s1026" style="position:absolute;margin-left:390.1pt;margin-top:.05pt;width:4.2pt;height:8.6pt;z-index:-251658210;visibility:visible;mso-wrap-style:square;mso-wrap-distance-left:0;mso-wrap-distance-top:0;mso-wrap-distance-right:0;mso-wrap-distance-bottom:0;mso-position-horizontal:absolute;mso-position-horizontal-relative:page;mso-position-vertical:absolute;mso-position-vertical-relative:text;v-text-anchor:top" coordsize="53340,109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" path="m52806,l,,,109067r52806,l52806,xe" fillcolor="#e6e6e6" stroked="f">
                <v:path arrowok="t"/>
                <w10:wrap anchorx="page"/>
              </v:shape>
            </w:pict>
          </mc:Fallback>
        </mc:AlternateContent>
      </w:r>
      <w:r w:rsidRPr="00150EDC">
        <w:rPr>
          <w:sz w:val="15"/>
        </w:rPr>
        <w:t>Project</w:t>
      </w:r>
      <w:r w:rsidRPr="00150EDC">
        <w:rPr>
          <w:spacing w:val="-4"/>
          <w:sz w:val="15"/>
        </w:rPr>
        <w:t xml:space="preserve"> </w:t>
      </w:r>
      <w:r w:rsidRPr="00150EDC">
        <w:rPr>
          <w:sz w:val="15"/>
        </w:rPr>
        <w:t>Version:</w:t>
      </w:r>
      <w:r w:rsidRPr="00150EDC">
        <w:rPr>
          <w:spacing w:val="-3"/>
          <w:sz w:val="15"/>
        </w:rPr>
        <w:t xml:space="preserve"> </w:t>
      </w:r>
      <w:r w:rsidRPr="00150EDC">
        <w:rPr>
          <w:spacing w:val="-4"/>
          <w:sz w:val="15"/>
        </w:rPr>
        <w:t>v1.0</w:t>
      </w:r>
      <w:r w:rsidRPr="00150EDC">
        <w:rPr>
          <w:sz w:val="15"/>
        </w:rPr>
        <w:tab/>
      </w:r>
      <w:r w:rsidRPr="007D3144">
        <w:rPr>
          <w:spacing w:val="-10"/>
          <w:sz w:val="15"/>
        </w:rPr>
        <w:t>6</w:t>
      </w:r>
    </w:p>
    <w:p w14:paraId="29105963" w14:textId="77777777" w:rsidR="004C7180" w:rsidRPr="00150EDC" w:rsidRDefault="004C7180">
      <w:pPr>
        <w:spacing w:line="172" w:lineRule="exact"/>
        <w:rPr>
          <w:sz w:val="15"/>
        </w:rPr>
        <w:sectPr w:rsidR="004C7180" w:rsidRPr="00150EDC">
          <w:pgSz w:w="11910" w:h="16850"/>
          <w:pgMar w:top="2940" w:right="0" w:bottom="2700" w:left="40" w:header="2612" w:footer="2510" w:gutter="0"/>
          <w:cols w:space="720"/>
        </w:sectPr>
      </w:pPr>
    </w:p>
    <w:p w14:paraId="7341EC60" w14:textId="77777777" w:rsidR="004C7180" w:rsidRPr="00150EDC" w:rsidRDefault="004C7180">
      <w:pPr>
        <w:pStyle w:val="BodyText"/>
        <w:rPr>
          <w:sz w:val="40"/>
        </w:rPr>
      </w:pPr>
    </w:p>
    <w:p w14:paraId="43160EAB" w14:textId="77777777" w:rsidR="004C7180" w:rsidRPr="00150EDC" w:rsidRDefault="004C7180">
      <w:pPr>
        <w:pStyle w:val="BodyText"/>
        <w:rPr>
          <w:sz w:val="37"/>
        </w:rPr>
      </w:pPr>
    </w:p>
    <w:p w14:paraId="403D9043" w14:textId="77777777" w:rsidR="004C7180" w:rsidRPr="00150EDC" w:rsidRDefault="00CF0754">
      <w:pPr>
        <w:pStyle w:val="Heading1"/>
        <w:ind w:left="1400" w:firstLine="0"/>
      </w:pPr>
      <w:bookmarkStart w:id="71" w:name="DPS_Order_Schedule_20_-_Specification_v1"/>
      <w:bookmarkEnd w:id="71"/>
      <w:r w:rsidRPr="00150EDC">
        <w:t>Order</w:t>
      </w:r>
      <w:r w:rsidRPr="00150EDC">
        <w:rPr>
          <w:spacing w:val="-7"/>
        </w:rPr>
        <w:t xml:space="preserve"> </w:t>
      </w:r>
      <w:r w:rsidRPr="00150EDC">
        <w:t>Schedule</w:t>
      </w:r>
      <w:r w:rsidRPr="00150EDC">
        <w:rPr>
          <w:spacing w:val="-4"/>
        </w:rPr>
        <w:t xml:space="preserve"> </w:t>
      </w:r>
      <w:r w:rsidRPr="00150EDC">
        <w:t>20</w:t>
      </w:r>
      <w:r w:rsidRPr="00150EDC">
        <w:rPr>
          <w:spacing w:val="-4"/>
        </w:rPr>
        <w:t xml:space="preserve"> </w:t>
      </w:r>
      <w:r w:rsidRPr="00150EDC">
        <w:t>(Order</w:t>
      </w:r>
      <w:r w:rsidRPr="00150EDC">
        <w:rPr>
          <w:spacing w:val="-4"/>
        </w:rPr>
        <w:t xml:space="preserve"> </w:t>
      </w:r>
      <w:r w:rsidRPr="00150EDC">
        <w:rPr>
          <w:spacing w:val="-2"/>
        </w:rPr>
        <w:t>Specification)</w:t>
      </w:r>
    </w:p>
    <w:p w14:paraId="14D42186" w14:textId="77777777" w:rsidR="004C7180" w:rsidRPr="00150EDC" w:rsidRDefault="00CF0754">
      <w:pPr>
        <w:pStyle w:val="BodyText"/>
        <w:spacing w:before="260"/>
        <w:ind w:left="1400" w:right="1682"/>
      </w:pPr>
      <w:r w:rsidRPr="00150EDC">
        <w:t>This</w:t>
      </w:r>
      <w:r w:rsidRPr="00150EDC">
        <w:rPr>
          <w:spacing w:val="-3"/>
        </w:rPr>
        <w:t xml:space="preserve"> </w:t>
      </w:r>
      <w:r w:rsidRPr="00150EDC">
        <w:t>Schedule</w:t>
      </w:r>
      <w:r w:rsidRPr="00150EDC">
        <w:rPr>
          <w:spacing w:val="-2"/>
        </w:rPr>
        <w:t xml:space="preserve"> </w:t>
      </w:r>
      <w:r w:rsidRPr="00150EDC">
        <w:t>sets</w:t>
      </w:r>
      <w:r w:rsidRPr="00150EDC">
        <w:rPr>
          <w:spacing w:val="-5"/>
        </w:rPr>
        <w:t xml:space="preserve"> </w:t>
      </w:r>
      <w:r w:rsidRPr="00150EDC">
        <w:t>out</w:t>
      </w:r>
      <w:r w:rsidRPr="00150EDC">
        <w:rPr>
          <w:spacing w:val="-5"/>
        </w:rPr>
        <w:t xml:space="preserve"> </w:t>
      </w:r>
      <w:r w:rsidRPr="00150EDC">
        <w:t>the</w:t>
      </w:r>
      <w:r w:rsidRPr="00150EDC">
        <w:rPr>
          <w:spacing w:val="-2"/>
        </w:rPr>
        <w:t xml:space="preserve"> </w:t>
      </w:r>
      <w:r w:rsidRPr="00150EDC">
        <w:t>characteristics</w:t>
      </w:r>
      <w:r w:rsidRPr="00150EDC">
        <w:rPr>
          <w:spacing w:val="-3"/>
        </w:rPr>
        <w:t xml:space="preserve"> </w:t>
      </w:r>
      <w:r w:rsidRPr="00150EDC">
        <w:t>of</w:t>
      </w:r>
      <w:r w:rsidRPr="00150EDC">
        <w:rPr>
          <w:spacing w:val="-5"/>
        </w:rPr>
        <w:t xml:space="preserve"> </w:t>
      </w:r>
      <w:r w:rsidRPr="00150EDC">
        <w:t>the</w:t>
      </w:r>
      <w:r w:rsidRPr="00150EDC">
        <w:rPr>
          <w:spacing w:val="-2"/>
        </w:rPr>
        <w:t xml:space="preserve"> </w:t>
      </w:r>
      <w:r w:rsidRPr="00150EDC">
        <w:t>Deliverables</w:t>
      </w:r>
      <w:r w:rsidRPr="00150EDC">
        <w:rPr>
          <w:spacing w:val="-3"/>
        </w:rPr>
        <w:t xml:space="preserve"> </w:t>
      </w:r>
      <w:r w:rsidRPr="00150EDC">
        <w:t>that</w:t>
      </w:r>
      <w:r w:rsidRPr="00150EDC">
        <w:rPr>
          <w:spacing w:val="-5"/>
        </w:rPr>
        <w:t xml:space="preserve"> </w:t>
      </w:r>
      <w:r w:rsidRPr="00150EDC">
        <w:t>the</w:t>
      </w:r>
      <w:r w:rsidRPr="00150EDC">
        <w:rPr>
          <w:spacing w:val="-2"/>
        </w:rPr>
        <w:t xml:space="preserve"> </w:t>
      </w:r>
      <w:r w:rsidRPr="00150EDC">
        <w:t>Supplier</w:t>
      </w:r>
      <w:r w:rsidRPr="00150EDC">
        <w:rPr>
          <w:spacing w:val="-4"/>
        </w:rPr>
        <w:t xml:space="preserve"> </w:t>
      </w:r>
      <w:r w:rsidRPr="00150EDC">
        <w:t>will be required to make to the Buyers under this Order Contract</w:t>
      </w:r>
    </w:p>
    <w:p w14:paraId="2916DA96" w14:textId="77777777" w:rsidR="004C7180" w:rsidRPr="00150EDC" w:rsidRDefault="004C7180">
      <w:pPr>
        <w:pStyle w:val="BodyText"/>
        <w:rPr>
          <w:sz w:val="26"/>
        </w:rPr>
      </w:pPr>
    </w:p>
    <w:p w14:paraId="6CCC7C37" w14:textId="77777777" w:rsidR="004C7180" w:rsidRPr="00150EDC" w:rsidRDefault="004C7180">
      <w:pPr>
        <w:pStyle w:val="BodyText"/>
        <w:rPr>
          <w:sz w:val="33"/>
        </w:rPr>
      </w:pPr>
    </w:p>
    <w:p w14:paraId="7BC62E02" w14:textId="77777777" w:rsidR="004C7180" w:rsidRPr="00150EDC" w:rsidRDefault="00CF0754">
      <w:pPr>
        <w:ind w:left="1400"/>
        <w:rPr>
          <w:rFonts w:ascii="Calibri"/>
          <w:sz w:val="32"/>
        </w:rPr>
      </w:pPr>
      <w:r w:rsidRPr="007D3144">
        <w:rPr>
          <w:rFonts w:ascii="Calibri"/>
          <w:spacing w:val="-2"/>
          <w:sz w:val="32"/>
        </w:rPr>
        <w:t>Contents</w:t>
      </w:r>
    </w:p>
    <w:sdt>
      <w:sdtPr>
        <w:id w:val="-1462797183"/>
        <w:docPartObj>
          <w:docPartGallery w:val="Table of Contents"/>
          <w:docPartUnique/>
        </w:docPartObj>
      </w:sdtPr>
      <w:sdtContent>
        <w:p w14:paraId="7CDFEF72" w14:textId="77777777" w:rsidR="004C7180" w:rsidRPr="00150EDC" w:rsidRDefault="00000000">
          <w:pPr>
            <w:pStyle w:val="TOC1"/>
            <w:numPr>
              <w:ilvl w:val="0"/>
              <w:numId w:val="31"/>
            </w:numPr>
            <w:tabs>
              <w:tab w:val="left" w:pos="2119"/>
              <w:tab w:val="left" w:leader="dot" w:pos="10279"/>
            </w:tabs>
            <w:spacing w:before="30"/>
            <w:ind w:left="2119" w:hanging="479"/>
            <w:rPr>
              <w:b w:val="0"/>
              <w:u w:val="none"/>
            </w:rPr>
          </w:pPr>
          <w:hyperlink w:anchor="_bookmark2" w:history="1">
            <w:r w:rsidR="00CF0754" w:rsidRPr="007D3144">
              <w:rPr>
                <w:spacing w:val="-2"/>
                <w:u w:color="0000FF"/>
              </w:rPr>
              <w:t>Purpose</w:t>
            </w:r>
            <w:r w:rsidR="00CF0754" w:rsidRPr="007D3144">
              <w:rPr>
                <w:u w:val="none"/>
              </w:rPr>
              <w:tab/>
            </w:r>
            <w:r w:rsidR="00CF0754" w:rsidRPr="00150EDC">
              <w:rPr>
                <w:b w:val="0"/>
                <w:spacing w:val="-10"/>
                <w:u w:val="none"/>
              </w:rPr>
              <w:t>1</w:t>
            </w:r>
          </w:hyperlink>
        </w:p>
        <w:p w14:paraId="35F1D7D5" w14:textId="77777777" w:rsidR="004C7180" w:rsidRPr="00150EDC" w:rsidRDefault="00000000">
          <w:pPr>
            <w:pStyle w:val="TOC1"/>
            <w:numPr>
              <w:ilvl w:val="0"/>
              <w:numId w:val="31"/>
            </w:numPr>
            <w:tabs>
              <w:tab w:val="left" w:pos="2119"/>
              <w:tab w:val="left" w:leader="dot" w:pos="10279"/>
            </w:tabs>
            <w:ind w:left="2119" w:hanging="479"/>
            <w:rPr>
              <w:b w:val="0"/>
              <w:u w:val="none"/>
            </w:rPr>
          </w:pPr>
          <w:hyperlink w:anchor="_bookmark5" w:history="1">
            <w:r w:rsidR="00CF0754" w:rsidRPr="007D3144">
              <w:rPr>
                <w:spacing w:val="-2"/>
                <w:u w:color="0000FF"/>
              </w:rPr>
              <w:t>Definitions</w:t>
            </w:r>
            <w:r w:rsidR="00CF0754" w:rsidRPr="007D3144">
              <w:rPr>
                <w:u w:val="none"/>
              </w:rPr>
              <w:tab/>
            </w:r>
            <w:r w:rsidR="00CF0754" w:rsidRPr="00150EDC">
              <w:rPr>
                <w:b w:val="0"/>
                <w:spacing w:val="-10"/>
                <w:u w:val="none"/>
              </w:rPr>
              <w:t>2</w:t>
            </w:r>
          </w:hyperlink>
        </w:p>
        <w:p w14:paraId="19F1E41E" w14:textId="77777777" w:rsidR="004C7180" w:rsidRPr="00150EDC" w:rsidRDefault="00000000">
          <w:pPr>
            <w:pStyle w:val="TOC1"/>
            <w:numPr>
              <w:ilvl w:val="0"/>
              <w:numId w:val="31"/>
            </w:numPr>
            <w:tabs>
              <w:tab w:val="left" w:pos="2119"/>
              <w:tab w:val="left" w:leader="dot" w:pos="10279"/>
            </w:tabs>
            <w:ind w:left="2119" w:hanging="479"/>
            <w:rPr>
              <w:b w:val="0"/>
              <w:u w:val="none"/>
            </w:rPr>
          </w:pPr>
          <w:hyperlink w:anchor="_bookmark6" w:history="1">
            <w:r w:rsidR="00CF0754" w:rsidRPr="007D3144">
              <w:rPr>
                <w:u w:color="0000FF"/>
              </w:rPr>
              <w:t>Background</w:t>
            </w:r>
            <w:r w:rsidR="00CF0754" w:rsidRPr="007D3144">
              <w:rPr>
                <w:spacing w:val="-4"/>
                <w:u w:color="0000FF"/>
              </w:rPr>
              <w:t xml:space="preserve"> </w:t>
            </w:r>
            <w:r w:rsidR="00CF0754" w:rsidRPr="007D3144">
              <w:rPr>
                <w:u w:color="0000FF"/>
              </w:rPr>
              <w:t>to</w:t>
            </w:r>
            <w:r w:rsidR="00CF0754" w:rsidRPr="007D3144">
              <w:rPr>
                <w:spacing w:val="-3"/>
                <w:u w:color="0000FF"/>
              </w:rPr>
              <w:t xml:space="preserve"> </w:t>
            </w:r>
            <w:r w:rsidR="00CF0754" w:rsidRPr="007D3144">
              <w:rPr>
                <w:u w:color="0000FF"/>
              </w:rPr>
              <w:t>Multiply</w:t>
            </w:r>
            <w:r w:rsidR="00CF0754" w:rsidRPr="007D3144">
              <w:rPr>
                <w:spacing w:val="-2"/>
                <w:u w:color="0000FF"/>
              </w:rPr>
              <w:t xml:space="preserve"> </w:t>
            </w:r>
            <w:r w:rsidR="00CF0754" w:rsidRPr="007D3144">
              <w:rPr>
                <w:u w:color="0000FF"/>
              </w:rPr>
              <w:t>and</w:t>
            </w:r>
            <w:r w:rsidR="00CF0754" w:rsidRPr="007D3144">
              <w:rPr>
                <w:spacing w:val="-3"/>
                <w:u w:color="0000FF"/>
              </w:rPr>
              <w:t xml:space="preserve"> </w:t>
            </w:r>
            <w:r w:rsidR="00CF0754" w:rsidRPr="007D3144">
              <w:rPr>
                <w:u w:color="0000FF"/>
              </w:rPr>
              <w:t>Policy</w:t>
            </w:r>
            <w:r w:rsidR="00CF0754" w:rsidRPr="007D3144">
              <w:rPr>
                <w:spacing w:val="-2"/>
                <w:u w:color="0000FF"/>
              </w:rPr>
              <w:t xml:space="preserve"> </w:t>
            </w:r>
            <w:r w:rsidR="00CF0754" w:rsidRPr="007D3144">
              <w:rPr>
                <w:spacing w:val="-4"/>
                <w:u w:color="0000FF"/>
              </w:rPr>
              <w:t>Need</w:t>
            </w:r>
            <w:r w:rsidR="00CF0754" w:rsidRPr="007D3144">
              <w:rPr>
                <w:u w:val="none"/>
              </w:rPr>
              <w:tab/>
            </w:r>
            <w:r w:rsidR="00CF0754" w:rsidRPr="00150EDC">
              <w:rPr>
                <w:b w:val="0"/>
                <w:spacing w:val="-10"/>
                <w:u w:val="none"/>
              </w:rPr>
              <w:t>2</w:t>
            </w:r>
          </w:hyperlink>
        </w:p>
        <w:p w14:paraId="6FC90F4A" w14:textId="77777777" w:rsidR="004C7180" w:rsidRPr="00150EDC" w:rsidRDefault="00000000">
          <w:pPr>
            <w:pStyle w:val="TOC1"/>
            <w:numPr>
              <w:ilvl w:val="0"/>
              <w:numId w:val="31"/>
            </w:numPr>
            <w:tabs>
              <w:tab w:val="left" w:pos="2119"/>
              <w:tab w:val="left" w:leader="dot" w:pos="10279"/>
            </w:tabs>
            <w:spacing w:before="98"/>
            <w:ind w:left="2119" w:hanging="479"/>
            <w:rPr>
              <w:b w:val="0"/>
              <w:u w:val="none"/>
            </w:rPr>
          </w:pPr>
          <w:hyperlink w:anchor="_bookmark10" w:history="1">
            <w:r w:rsidR="00CF0754" w:rsidRPr="007D3144">
              <w:rPr>
                <w:u w:color="0000FF"/>
              </w:rPr>
              <w:t>The</w:t>
            </w:r>
            <w:r w:rsidR="00CF0754" w:rsidRPr="007D3144">
              <w:rPr>
                <w:spacing w:val="-2"/>
                <w:u w:color="0000FF"/>
              </w:rPr>
              <w:t xml:space="preserve"> </w:t>
            </w:r>
            <w:r w:rsidR="00CF0754" w:rsidRPr="007D3144">
              <w:rPr>
                <w:u w:color="0000FF"/>
              </w:rPr>
              <w:t>Multiply</w:t>
            </w:r>
            <w:r w:rsidR="00CF0754" w:rsidRPr="007D3144">
              <w:rPr>
                <w:spacing w:val="-1"/>
                <w:u w:color="0000FF"/>
              </w:rPr>
              <w:t xml:space="preserve"> </w:t>
            </w:r>
            <w:r w:rsidR="00CF0754" w:rsidRPr="007D3144">
              <w:rPr>
                <w:u w:color="0000FF"/>
              </w:rPr>
              <w:t>What</w:t>
            </w:r>
            <w:r w:rsidR="00CF0754" w:rsidRPr="007D3144">
              <w:rPr>
                <w:spacing w:val="-3"/>
                <w:u w:color="0000FF"/>
              </w:rPr>
              <w:t xml:space="preserve"> </w:t>
            </w:r>
            <w:r w:rsidR="00CF0754" w:rsidRPr="007D3144">
              <w:rPr>
                <w:u w:color="0000FF"/>
              </w:rPr>
              <w:t>Works</w:t>
            </w:r>
            <w:r w:rsidR="00CF0754" w:rsidRPr="007D3144">
              <w:rPr>
                <w:spacing w:val="-1"/>
                <w:u w:color="0000FF"/>
              </w:rPr>
              <w:t xml:space="preserve"> </w:t>
            </w:r>
            <w:r w:rsidR="00CF0754" w:rsidRPr="007D3144">
              <w:rPr>
                <w:spacing w:val="-2"/>
                <w:u w:color="0000FF"/>
              </w:rPr>
              <w:t>Programme</w:t>
            </w:r>
            <w:r w:rsidR="00CF0754" w:rsidRPr="007D3144">
              <w:rPr>
                <w:u w:val="none"/>
              </w:rPr>
              <w:tab/>
            </w:r>
            <w:r w:rsidR="00CF0754" w:rsidRPr="00150EDC">
              <w:rPr>
                <w:b w:val="0"/>
                <w:spacing w:val="-10"/>
                <w:u w:val="none"/>
              </w:rPr>
              <w:t>4</w:t>
            </w:r>
          </w:hyperlink>
        </w:p>
        <w:p w14:paraId="0F5C7329" w14:textId="77777777" w:rsidR="004C7180" w:rsidRPr="00150EDC" w:rsidRDefault="00000000">
          <w:pPr>
            <w:pStyle w:val="TOC1"/>
            <w:numPr>
              <w:ilvl w:val="1"/>
              <w:numId w:val="31"/>
            </w:numPr>
            <w:tabs>
              <w:tab w:val="left" w:pos="1973"/>
              <w:tab w:val="left" w:leader="dot" w:pos="10279"/>
            </w:tabs>
            <w:ind w:left="1973" w:hanging="333"/>
            <w:rPr>
              <w:b w:val="0"/>
              <w:u w:val="none"/>
            </w:rPr>
          </w:pPr>
          <w:hyperlink w:anchor="_bookmark11" w:history="1">
            <w:r w:rsidR="00CF0754" w:rsidRPr="007D3144">
              <w:rPr>
                <w:spacing w:val="-4"/>
                <w:u w:color="0000FF"/>
              </w:rPr>
              <w:t xml:space="preserve"> </w:t>
            </w:r>
            <w:r w:rsidR="00CF0754" w:rsidRPr="007D3144">
              <w:rPr>
                <w:u w:color="0000FF"/>
              </w:rPr>
              <w:t>The</w:t>
            </w:r>
            <w:r w:rsidR="00CF0754" w:rsidRPr="007D3144">
              <w:rPr>
                <w:spacing w:val="-4"/>
                <w:u w:color="0000FF"/>
              </w:rPr>
              <w:t xml:space="preserve"> </w:t>
            </w:r>
            <w:r w:rsidR="00CF0754" w:rsidRPr="007D3144">
              <w:rPr>
                <w:u w:color="0000FF"/>
              </w:rPr>
              <w:t>Multiply</w:t>
            </w:r>
            <w:r w:rsidR="00CF0754" w:rsidRPr="007D3144">
              <w:rPr>
                <w:spacing w:val="-2"/>
                <w:u w:color="0000FF"/>
              </w:rPr>
              <w:t xml:space="preserve"> </w:t>
            </w:r>
            <w:r w:rsidR="00CF0754" w:rsidRPr="007D3144">
              <w:rPr>
                <w:u w:color="0000FF"/>
              </w:rPr>
              <w:t>Randomised</w:t>
            </w:r>
            <w:r w:rsidR="00CF0754" w:rsidRPr="007D3144">
              <w:rPr>
                <w:spacing w:val="-3"/>
                <w:u w:color="0000FF"/>
              </w:rPr>
              <w:t xml:space="preserve"> </w:t>
            </w:r>
            <w:r w:rsidR="00CF0754" w:rsidRPr="007D3144">
              <w:rPr>
                <w:u w:color="0000FF"/>
              </w:rPr>
              <w:t>Controlled</w:t>
            </w:r>
            <w:r w:rsidR="00CF0754" w:rsidRPr="007D3144">
              <w:rPr>
                <w:spacing w:val="-3"/>
                <w:u w:color="0000FF"/>
              </w:rPr>
              <w:t xml:space="preserve"> </w:t>
            </w:r>
            <w:r w:rsidR="00CF0754" w:rsidRPr="007D3144">
              <w:rPr>
                <w:u w:color="0000FF"/>
              </w:rPr>
              <w:t>trials</w:t>
            </w:r>
            <w:r w:rsidR="00CF0754" w:rsidRPr="007D3144">
              <w:rPr>
                <w:spacing w:val="-2"/>
                <w:u w:color="0000FF"/>
              </w:rPr>
              <w:t xml:space="preserve"> (RCTs)</w:t>
            </w:r>
            <w:r w:rsidR="00CF0754" w:rsidRPr="007D3144">
              <w:rPr>
                <w:u w:val="none"/>
              </w:rPr>
              <w:tab/>
            </w:r>
            <w:r w:rsidR="00CF0754" w:rsidRPr="00150EDC">
              <w:rPr>
                <w:b w:val="0"/>
                <w:spacing w:val="-10"/>
                <w:u w:val="none"/>
              </w:rPr>
              <w:t>4</w:t>
            </w:r>
          </w:hyperlink>
        </w:p>
        <w:p w14:paraId="68BAA74F" w14:textId="77777777" w:rsidR="004C7180" w:rsidRPr="00150EDC" w:rsidRDefault="00000000">
          <w:pPr>
            <w:pStyle w:val="TOC1"/>
            <w:numPr>
              <w:ilvl w:val="0"/>
              <w:numId w:val="31"/>
            </w:numPr>
            <w:tabs>
              <w:tab w:val="left" w:pos="2119"/>
              <w:tab w:val="left" w:leader="dot" w:pos="10279"/>
            </w:tabs>
            <w:ind w:left="2119" w:hanging="479"/>
            <w:rPr>
              <w:b w:val="0"/>
              <w:u w:val="none"/>
            </w:rPr>
          </w:pPr>
          <w:hyperlink w:anchor="_bookmark13" w:history="1">
            <w:r w:rsidR="00CF0754" w:rsidRPr="007D3144">
              <w:rPr>
                <w:u w:color="0000FF"/>
              </w:rPr>
              <w:t>The</w:t>
            </w:r>
            <w:r w:rsidR="00CF0754" w:rsidRPr="007D3144">
              <w:rPr>
                <w:spacing w:val="2"/>
                <w:u w:color="0000FF"/>
              </w:rPr>
              <w:t xml:space="preserve"> </w:t>
            </w:r>
            <w:r w:rsidR="00CF0754" w:rsidRPr="007D3144">
              <w:rPr>
                <w:spacing w:val="-2"/>
                <w:u w:color="0000FF"/>
              </w:rPr>
              <w:t>Requirement</w:t>
            </w:r>
            <w:r w:rsidR="00CF0754" w:rsidRPr="007D3144">
              <w:rPr>
                <w:u w:val="none"/>
              </w:rPr>
              <w:tab/>
            </w:r>
            <w:r w:rsidR="00CF0754" w:rsidRPr="00150EDC">
              <w:rPr>
                <w:b w:val="0"/>
                <w:spacing w:val="-10"/>
                <w:u w:val="none"/>
              </w:rPr>
              <w:t>6</w:t>
            </w:r>
          </w:hyperlink>
        </w:p>
        <w:p w14:paraId="5BB18379" w14:textId="77777777" w:rsidR="004C7180" w:rsidRPr="00150EDC" w:rsidRDefault="00000000">
          <w:pPr>
            <w:pStyle w:val="TOC1"/>
            <w:numPr>
              <w:ilvl w:val="1"/>
              <w:numId w:val="31"/>
            </w:numPr>
            <w:tabs>
              <w:tab w:val="left" w:pos="2118"/>
              <w:tab w:val="left" w:pos="2120"/>
              <w:tab w:val="left" w:leader="dot" w:pos="10279"/>
            </w:tabs>
            <w:spacing w:before="98"/>
            <w:ind w:left="2120" w:right="1450" w:hanging="480"/>
            <w:rPr>
              <w:b w:val="0"/>
              <w:u w:val="none"/>
            </w:rPr>
          </w:pPr>
          <w:hyperlink w:anchor="_bookmark14" w:history="1">
            <w:r w:rsidR="00CF0754" w:rsidRPr="007D3144">
              <w:rPr>
                <w:u w:color="0000FF"/>
              </w:rPr>
              <w:t>Project Portfolio Management including stakeholder management,</w:t>
            </w:r>
          </w:hyperlink>
          <w:r w:rsidR="00CF0754" w:rsidRPr="007D3144">
            <w:rPr>
              <w:u w:val="none"/>
            </w:rPr>
            <w:t xml:space="preserve"> </w:t>
          </w:r>
          <w:hyperlink w:anchor="_bookmark14" w:history="1">
            <w:r w:rsidR="00CF0754" w:rsidRPr="007D3144">
              <w:rPr>
                <w:u w:color="0000FF"/>
              </w:rPr>
              <w:t>subcontracting and programme management</w:t>
            </w:r>
            <w:r w:rsidR="00CF0754" w:rsidRPr="007D3144">
              <w:rPr>
                <w:u w:val="none"/>
              </w:rPr>
              <w:tab/>
            </w:r>
            <w:r w:rsidR="00CF0754" w:rsidRPr="00150EDC">
              <w:rPr>
                <w:b w:val="0"/>
                <w:spacing w:val="-10"/>
                <w:u w:val="none"/>
              </w:rPr>
              <w:t>7</w:t>
            </w:r>
          </w:hyperlink>
        </w:p>
        <w:p w14:paraId="440DA9E0" w14:textId="77777777" w:rsidR="004C7180" w:rsidRPr="00150EDC" w:rsidRDefault="00000000">
          <w:pPr>
            <w:pStyle w:val="TOC1"/>
            <w:numPr>
              <w:ilvl w:val="1"/>
              <w:numId w:val="31"/>
            </w:numPr>
            <w:tabs>
              <w:tab w:val="left" w:pos="2118"/>
            </w:tabs>
            <w:ind w:left="2118" w:hanging="478"/>
            <w:rPr>
              <w:b w:val="0"/>
              <w:u w:val="none"/>
            </w:rPr>
          </w:pPr>
          <w:hyperlink w:anchor="_bookmark17" w:history="1">
            <w:r w:rsidR="00CF0754" w:rsidRPr="007D3144">
              <w:rPr>
                <w:u w:color="0000FF"/>
              </w:rPr>
              <w:t>Trial</w:t>
            </w:r>
            <w:r w:rsidR="00CF0754" w:rsidRPr="007D3144">
              <w:rPr>
                <w:spacing w:val="-4"/>
                <w:u w:color="0000FF"/>
              </w:rPr>
              <w:t xml:space="preserve"> </w:t>
            </w:r>
            <w:r w:rsidR="00CF0754" w:rsidRPr="007D3144">
              <w:rPr>
                <w:u w:color="0000FF"/>
              </w:rPr>
              <w:t>set</w:t>
            </w:r>
            <w:r w:rsidR="00CF0754" w:rsidRPr="007D3144">
              <w:rPr>
                <w:spacing w:val="-3"/>
                <w:u w:color="0000FF"/>
              </w:rPr>
              <w:t xml:space="preserve"> </w:t>
            </w:r>
            <w:r w:rsidR="00CF0754" w:rsidRPr="007D3144">
              <w:rPr>
                <w:u w:color="0000FF"/>
              </w:rPr>
              <w:t>up</w:t>
            </w:r>
            <w:r w:rsidR="00CF0754" w:rsidRPr="007D3144">
              <w:rPr>
                <w:spacing w:val="-2"/>
                <w:u w:color="0000FF"/>
              </w:rPr>
              <w:t xml:space="preserve"> </w:t>
            </w:r>
            <w:r w:rsidR="00CF0754" w:rsidRPr="007D3144">
              <w:rPr>
                <w:u w:color="0000FF"/>
              </w:rPr>
              <w:t>including</w:t>
            </w:r>
            <w:r w:rsidR="00CF0754" w:rsidRPr="007D3144">
              <w:rPr>
                <w:spacing w:val="-5"/>
                <w:u w:color="0000FF"/>
              </w:rPr>
              <w:t xml:space="preserve"> </w:t>
            </w:r>
            <w:r w:rsidR="00CF0754" w:rsidRPr="007D3144">
              <w:rPr>
                <w:u w:color="0000FF"/>
              </w:rPr>
              <w:t>recruitment</w:t>
            </w:r>
            <w:r w:rsidR="00CF0754" w:rsidRPr="007D3144">
              <w:rPr>
                <w:spacing w:val="-2"/>
                <w:u w:color="0000FF"/>
              </w:rPr>
              <w:t xml:space="preserve"> </w:t>
            </w:r>
            <w:r w:rsidR="00CF0754" w:rsidRPr="007D3144">
              <w:rPr>
                <w:u w:color="0000FF"/>
              </w:rPr>
              <w:t>of</w:t>
            </w:r>
            <w:r w:rsidR="00CF0754" w:rsidRPr="007D3144">
              <w:rPr>
                <w:spacing w:val="-3"/>
                <w:u w:color="0000FF"/>
              </w:rPr>
              <w:t xml:space="preserve"> </w:t>
            </w:r>
            <w:r w:rsidR="00CF0754" w:rsidRPr="007D3144">
              <w:rPr>
                <w:u w:color="0000FF"/>
              </w:rPr>
              <w:t>local</w:t>
            </w:r>
            <w:r w:rsidR="00CF0754" w:rsidRPr="007D3144">
              <w:rPr>
                <w:spacing w:val="-4"/>
                <w:u w:color="0000FF"/>
              </w:rPr>
              <w:t xml:space="preserve"> </w:t>
            </w:r>
            <w:r w:rsidR="00CF0754" w:rsidRPr="007D3144">
              <w:rPr>
                <w:u w:color="0000FF"/>
              </w:rPr>
              <w:t>areas,</w:t>
            </w:r>
            <w:r w:rsidR="00CF0754" w:rsidRPr="007D3144">
              <w:rPr>
                <w:spacing w:val="-1"/>
                <w:u w:color="0000FF"/>
              </w:rPr>
              <w:t xml:space="preserve"> </w:t>
            </w:r>
            <w:r w:rsidR="00CF0754" w:rsidRPr="007D3144">
              <w:rPr>
                <w:u w:color="0000FF"/>
              </w:rPr>
              <w:t>providers</w:t>
            </w:r>
            <w:r w:rsidR="00CF0754" w:rsidRPr="007D3144">
              <w:rPr>
                <w:spacing w:val="-3"/>
                <w:u w:color="0000FF"/>
              </w:rPr>
              <w:t xml:space="preserve"> </w:t>
            </w:r>
            <w:r w:rsidR="00CF0754" w:rsidRPr="007D3144">
              <w:rPr>
                <w:u w:color="0000FF"/>
              </w:rPr>
              <w:t>and</w:t>
            </w:r>
            <w:r w:rsidR="00CF0754" w:rsidRPr="007D3144">
              <w:rPr>
                <w:spacing w:val="-4"/>
                <w:u w:color="0000FF"/>
              </w:rPr>
              <w:t xml:space="preserve"> </w:t>
            </w:r>
            <w:r w:rsidR="00CF0754" w:rsidRPr="007D3144">
              <w:rPr>
                <w:u w:color="0000FF"/>
              </w:rPr>
              <w:t>learners</w:t>
            </w:r>
            <w:r w:rsidR="00CF0754" w:rsidRPr="007D3144">
              <w:rPr>
                <w:spacing w:val="-33"/>
                <w:u w:val="none"/>
              </w:rPr>
              <w:t xml:space="preserve"> </w:t>
            </w:r>
            <w:r w:rsidR="00CF0754" w:rsidRPr="00150EDC">
              <w:rPr>
                <w:b w:val="0"/>
                <w:spacing w:val="-10"/>
                <w:u w:val="none"/>
              </w:rPr>
              <w:t>9</w:t>
            </w:r>
          </w:hyperlink>
        </w:p>
        <w:p w14:paraId="5B3AC5F3" w14:textId="77777777" w:rsidR="004C7180" w:rsidRPr="00150EDC" w:rsidRDefault="00000000">
          <w:pPr>
            <w:pStyle w:val="TOC1"/>
            <w:numPr>
              <w:ilvl w:val="1"/>
              <w:numId w:val="31"/>
            </w:numPr>
            <w:tabs>
              <w:tab w:val="left" w:pos="2118"/>
              <w:tab w:val="left" w:leader="dot" w:pos="10147"/>
            </w:tabs>
            <w:spacing w:before="99"/>
            <w:ind w:left="2118" w:hanging="478"/>
            <w:rPr>
              <w:b w:val="0"/>
              <w:u w:val="none"/>
            </w:rPr>
          </w:pPr>
          <w:hyperlink w:anchor="_bookmark18" w:history="1">
            <w:r w:rsidR="00CF0754" w:rsidRPr="007D3144">
              <w:rPr>
                <w:u w:color="0000FF"/>
              </w:rPr>
              <w:t>Intervention</w:t>
            </w:r>
            <w:r w:rsidR="00CF0754" w:rsidRPr="007D3144">
              <w:rPr>
                <w:spacing w:val="-3"/>
                <w:u w:color="0000FF"/>
              </w:rPr>
              <w:t xml:space="preserve"> </w:t>
            </w:r>
            <w:r w:rsidR="00CF0754" w:rsidRPr="007D3144">
              <w:rPr>
                <w:spacing w:val="-2"/>
                <w:u w:color="0000FF"/>
              </w:rPr>
              <w:t>Delivery</w:t>
            </w:r>
            <w:r w:rsidR="00CF0754" w:rsidRPr="007D3144">
              <w:rPr>
                <w:u w:val="none"/>
              </w:rPr>
              <w:tab/>
            </w:r>
            <w:r w:rsidR="00CF0754" w:rsidRPr="00150EDC">
              <w:rPr>
                <w:b w:val="0"/>
                <w:spacing w:val="-5"/>
                <w:u w:val="none"/>
              </w:rPr>
              <w:t>11</w:t>
            </w:r>
          </w:hyperlink>
        </w:p>
        <w:p w14:paraId="78C8D15E" w14:textId="77777777" w:rsidR="004C7180" w:rsidRPr="00150EDC" w:rsidRDefault="00000000">
          <w:pPr>
            <w:pStyle w:val="TOC1"/>
            <w:numPr>
              <w:ilvl w:val="1"/>
              <w:numId w:val="31"/>
            </w:numPr>
            <w:tabs>
              <w:tab w:val="left" w:pos="2118"/>
              <w:tab w:val="left" w:pos="2120"/>
              <w:tab w:val="left" w:leader="dot" w:pos="10147"/>
            </w:tabs>
            <w:spacing w:before="100"/>
            <w:ind w:left="2120" w:right="1447" w:hanging="480"/>
            <w:rPr>
              <w:b w:val="0"/>
              <w:u w:val="none"/>
            </w:rPr>
          </w:pPr>
          <w:hyperlink w:anchor="_bookmark19" w:history="1">
            <w:r w:rsidR="00CF0754" w:rsidRPr="007D3144">
              <w:rPr>
                <w:u w:color="0000FF"/>
              </w:rPr>
              <w:t>Managing the distribution of funding for the interventions to</w:t>
            </w:r>
          </w:hyperlink>
          <w:r w:rsidR="00CF0754" w:rsidRPr="007D3144">
            <w:rPr>
              <w:u w:val="none"/>
            </w:rPr>
            <w:t xml:space="preserve"> </w:t>
          </w:r>
          <w:hyperlink w:anchor="_bookmark19" w:history="1">
            <w:r w:rsidR="00CF0754" w:rsidRPr="007D3144">
              <w:rPr>
                <w:u w:color="0000FF"/>
              </w:rPr>
              <w:t>organisations</w:t>
            </w:r>
            <w:r w:rsidR="00CF0754" w:rsidRPr="007D3144">
              <w:rPr>
                <w:spacing w:val="-4"/>
                <w:u w:color="0000FF"/>
              </w:rPr>
              <w:t xml:space="preserve"> </w:t>
            </w:r>
            <w:r w:rsidR="00CF0754" w:rsidRPr="007D3144">
              <w:rPr>
                <w:u w:color="0000FF"/>
              </w:rPr>
              <w:t>delivering</w:t>
            </w:r>
            <w:r w:rsidR="00CF0754" w:rsidRPr="007D3144">
              <w:rPr>
                <w:spacing w:val="-4"/>
                <w:u w:color="0000FF"/>
              </w:rPr>
              <w:t xml:space="preserve"> </w:t>
            </w:r>
            <w:r w:rsidR="00CF0754" w:rsidRPr="007D3144">
              <w:rPr>
                <w:u w:color="0000FF"/>
              </w:rPr>
              <w:t>the</w:t>
            </w:r>
            <w:r w:rsidR="00CF0754" w:rsidRPr="007D3144">
              <w:rPr>
                <w:spacing w:val="-4"/>
                <w:u w:color="0000FF"/>
              </w:rPr>
              <w:t xml:space="preserve"> </w:t>
            </w:r>
            <w:r w:rsidR="00CF0754" w:rsidRPr="007D3144">
              <w:rPr>
                <w:u w:color="0000FF"/>
              </w:rPr>
              <w:t>trial</w:t>
            </w:r>
            <w:r w:rsidR="00CF0754" w:rsidRPr="007D3144">
              <w:rPr>
                <w:spacing w:val="-3"/>
                <w:u w:color="0000FF"/>
              </w:rPr>
              <w:t xml:space="preserve"> </w:t>
            </w:r>
            <w:r w:rsidR="00CF0754" w:rsidRPr="007D3144">
              <w:rPr>
                <w:spacing w:val="-2"/>
                <w:u w:color="0000FF"/>
              </w:rPr>
              <w:t>interventions</w:t>
            </w:r>
            <w:r w:rsidR="00CF0754" w:rsidRPr="007D3144">
              <w:rPr>
                <w:u w:val="none"/>
              </w:rPr>
              <w:tab/>
            </w:r>
            <w:r w:rsidR="00CF0754" w:rsidRPr="00150EDC">
              <w:rPr>
                <w:b w:val="0"/>
                <w:spacing w:val="-5"/>
                <w:u w:val="none"/>
              </w:rPr>
              <w:t>12</w:t>
            </w:r>
          </w:hyperlink>
        </w:p>
        <w:p w14:paraId="4B14F809" w14:textId="77777777" w:rsidR="004C7180" w:rsidRPr="00150EDC" w:rsidRDefault="00000000">
          <w:pPr>
            <w:pStyle w:val="TOC1"/>
            <w:numPr>
              <w:ilvl w:val="0"/>
              <w:numId w:val="31"/>
            </w:numPr>
            <w:tabs>
              <w:tab w:val="left" w:pos="2119"/>
              <w:tab w:val="left" w:leader="dot" w:pos="10147"/>
            </w:tabs>
            <w:ind w:left="2119" w:hanging="479"/>
            <w:rPr>
              <w:b w:val="0"/>
              <w:u w:val="none"/>
            </w:rPr>
          </w:pPr>
          <w:hyperlink w:anchor="_bookmark20" w:history="1">
            <w:r w:rsidR="00CF0754" w:rsidRPr="007D3144">
              <w:rPr>
                <w:u w:color="0000FF"/>
              </w:rPr>
              <w:t>Key</w:t>
            </w:r>
            <w:r w:rsidR="00CF0754" w:rsidRPr="007D3144">
              <w:rPr>
                <w:spacing w:val="-2"/>
                <w:u w:color="0000FF"/>
              </w:rPr>
              <w:t xml:space="preserve"> </w:t>
            </w:r>
            <w:r w:rsidR="00CF0754" w:rsidRPr="007D3144">
              <w:rPr>
                <w:u w:color="0000FF"/>
              </w:rPr>
              <w:t>Milestones</w:t>
            </w:r>
            <w:r w:rsidR="00CF0754" w:rsidRPr="007D3144">
              <w:rPr>
                <w:spacing w:val="-3"/>
                <w:u w:color="0000FF"/>
              </w:rPr>
              <w:t xml:space="preserve"> </w:t>
            </w:r>
            <w:r w:rsidR="00CF0754" w:rsidRPr="007D3144">
              <w:rPr>
                <w:u w:color="0000FF"/>
              </w:rPr>
              <w:t>and</w:t>
            </w:r>
            <w:r w:rsidR="00CF0754" w:rsidRPr="007D3144">
              <w:rPr>
                <w:spacing w:val="-5"/>
                <w:u w:color="0000FF"/>
              </w:rPr>
              <w:t xml:space="preserve"> </w:t>
            </w:r>
            <w:r w:rsidR="00CF0754" w:rsidRPr="007D3144">
              <w:rPr>
                <w:spacing w:val="-2"/>
                <w:u w:color="0000FF"/>
              </w:rPr>
              <w:t>Deliverables</w:t>
            </w:r>
            <w:r w:rsidR="00CF0754" w:rsidRPr="007D3144">
              <w:rPr>
                <w:u w:val="none"/>
              </w:rPr>
              <w:tab/>
            </w:r>
            <w:r w:rsidR="00CF0754" w:rsidRPr="00150EDC">
              <w:rPr>
                <w:b w:val="0"/>
                <w:spacing w:val="-5"/>
                <w:u w:val="none"/>
              </w:rPr>
              <w:t>13</w:t>
            </w:r>
          </w:hyperlink>
        </w:p>
        <w:p w14:paraId="7E7C58E4" w14:textId="77777777" w:rsidR="004C7180" w:rsidRPr="00150EDC" w:rsidRDefault="00000000">
          <w:pPr>
            <w:pStyle w:val="TOC1"/>
            <w:numPr>
              <w:ilvl w:val="0"/>
              <w:numId w:val="31"/>
            </w:numPr>
            <w:tabs>
              <w:tab w:val="left" w:pos="1841"/>
              <w:tab w:val="left" w:leader="dot" w:pos="10147"/>
            </w:tabs>
            <w:spacing w:before="99"/>
            <w:ind w:left="1841" w:hanging="201"/>
            <w:rPr>
              <w:b w:val="0"/>
              <w:u w:val="none"/>
            </w:rPr>
          </w:pPr>
          <w:hyperlink w:anchor="_bookmark21" w:history="1">
            <w:r w:rsidR="00CF0754" w:rsidRPr="007D3144">
              <w:rPr>
                <w:spacing w:val="-2"/>
                <w:u w:color="0000FF"/>
              </w:rPr>
              <w:t xml:space="preserve"> </w:t>
            </w:r>
            <w:r w:rsidR="00CF0754" w:rsidRPr="007D3144">
              <w:rPr>
                <w:u w:color="0000FF"/>
              </w:rPr>
              <w:t>Staff</w:t>
            </w:r>
            <w:r w:rsidR="00CF0754" w:rsidRPr="007D3144">
              <w:rPr>
                <w:spacing w:val="-2"/>
                <w:u w:color="0000FF"/>
              </w:rPr>
              <w:t xml:space="preserve"> </w:t>
            </w:r>
            <w:r w:rsidR="00CF0754" w:rsidRPr="007D3144">
              <w:rPr>
                <w:u w:color="0000FF"/>
              </w:rPr>
              <w:t>and</w:t>
            </w:r>
            <w:r w:rsidR="00CF0754" w:rsidRPr="007D3144">
              <w:rPr>
                <w:spacing w:val="-2"/>
                <w:u w:color="0000FF"/>
              </w:rPr>
              <w:t xml:space="preserve"> </w:t>
            </w:r>
            <w:r w:rsidR="00CF0754" w:rsidRPr="007D3144">
              <w:rPr>
                <w:u w:color="0000FF"/>
              </w:rPr>
              <w:t>Customer</w:t>
            </w:r>
            <w:r w:rsidR="00CF0754" w:rsidRPr="007D3144">
              <w:rPr>
                <w:spacing w:val="-2"/>
                <w:u w:color="0000FF"/>
              </w:rPr>
              <w:t xml:space="preserve"> Service</w:t>
            </w:r>
            <w:r w:rsidR="00CF0754" w:rsidRPr="007D3144">
              <w:rPr>
                <w:u w:val="none"/>
              </w:rPr>
              <w:tab/>
            </w:r>
            <w:r w:rsidR="00CF0754" w:rsidRPr="00150EDC">
              <w:rPr>
                <w:b w:val="0"/>
                <w:spacing w:val="-5"/>
                <w:u w:val="none"/>
              </w:rPr>
              <w:t>14</w:t>
            </w:r>
          </w:hyperlink>
        </w:p>
        <w:p w14:paraId="036B2B0D" w14:textId="77777777" w:rsidR="004C7180" w:rsidRPr="00150EDC" w:rsidRDefault="00000000">
          <w:pPr>
            <w:pStyle w:val="TOC1"/>
            <w:tabs>
              <w:tab w:val="left" w:leader="dot" w:pos="10279"/>
            </w:tabs>
            <w:ind w:left="1640" w:firstLine="0"/>
            <w:rPr>
              <w:b w:val="0"/>
              <w:u w:val="none"/>
            </w:rPr>
          </w:pPr>
          <w:hyperlink w:anchor="_bookmark22" w:history="1">
            <w:r w:rsidR="00CF0754" w:rsidRPr="007D3144">
              <w:rPr>
                <w:spacing w:val="-2"/>
                <w:u w:color="0000FF"/>
              </w:rPr>
              <w:t>Annexes</w:t>
            </w:r>
            <w:r w:rsidR="00CF0754" w:rsidRPr="007D3144">
              <w:rPr>
                <w:u w:val="none"/>
              </w:rPr>
              <w:tab/>
            </w:r>
            <w:r w:rsidR="00CF0754" w:rsidRPr="00150EDC">
              <w:rPr>
                <w:b w:val="0"/>
                <w:spacing w:val="-10"/>
                <w:u w:val="none"/>
              </w:rPr>
              <w:t>1</w:t>
            </w:r>
          </w:hyperlink>
        </w:p>
      </w:sdtContent>
    </w:sdt>
    <w:p w14:paraId="415F4DE4" w14:textId="77777777" w:rsidR="004C7180" w:rsidRPr="00150EDC" w:rsidRDefault="004C7180">
      <w:pPr>
        <w:sectPr w:rsidR="004C7180" w:rsidRPr="00150EDC">
          <w:headerReference w:type="default" r:id="rId95"/>
          <w:footerReference w:type="default" r:id="rId96"/>
          <w:pgSz w:w="11910" w:h="16840"/>
          <w:pgMar w:top="1220" w:right="0" w:bottom="660" w:left="40" w:header="149" w:footer="465" w:gutter="0"/>
          <w:cols w:space="720"/>
        </w:sectPr>
      </w:pPr>
    </w:p>
    <w:p w14:paraId="003BF834" w14:textId="77777777" w:rsidR="004C7180" w:rsidRPr="00150EDC" w:rsidRDefault="00CF0754">
      <w:pPr>
        <w:pStyle w:val="Heading1"/>
        <w:numPr>
          <w:ilvl w:val="0"/>
          <w:numId w:val="30"/>
        </w:numPr>
        <w:tabs>
          <w:tab w:val="left" w:pos="1756"/>
        </w:tabs>
        <w:spacing w:before="206"/>
        <w:ind w:left="1756" w:hanging="356"/>
      </w:pPr>
      <w:bookmarkStart w:id="72" w:name="1._Purpose"/>
      <w:bookmarkStart w:id="73" w:name="_bookmark2"/>
      <w:bookmarkEnd w:id="72"/>
      <w:bookmarkEnd w:id="73"/>
      <w:r w:rsidRPr="00150EDC">
        <w:rPr>
          <w:spacing w:val="-2"/>
        </w:rPr>
        <w:lastRenderedPageBreak/>
        <w:t>Purpose</w:t>
      </w:r>
    </w:p>
    <w:p w14:paraId="17AD843D" w14:textId="77777777" w:rsidR="004C7180" w:rsidRPr="00150EDC" w:rsidRDefault="00CF0754">
      <w:pPr>
        <w:spacing w:before="1" w:line="276" w:lineRule="auto"/>
        <w:ind w:left="1399" w:right="1520"/>
        <w:rPr>
          <w:sz w:val="24"/>
        </w:rPr>
      </w:pPr>
      <w:r w:rsidRPr="00150EDC">
        <w:rPr>
          <w:sz w:val="24"/>
        </w:rPr>
        <w:t xml:space="preserve">The Department for Education is looking for a </w:t>
      </w:r>
      <w:r w:rsidRPr="00150EDC">
        <w:rPr>
          <w:b/>
          <w:sz w:val="24"/>
        </w:rPr>
        <w:t xml:space="preserve">management of intervention delivery supplier (delivery supplier) </w:t>
      </w:r>
      <w:r w:rsidRPr="00150EDC">
        <w:rPr>
          <w:sz w:val="24"/>
        </w:rPr>
        <w:t>to oversee the delivery of numeracy interventions</w:t>
      </w:r>
      <w:r w:rsidRPr="00150EDC">
        <w:rPr>
          <w:spacing w:val="-2"/>
          <w:sz w:val="24"/>
        </w:rPr>
        <w:t xml:space="preserve"> </w:t>
      </w:r>
      <w:r w:rsidRPr="00150EDC">
        <w:rPr>
          <w:sz w:val="24"/>
        </w:rPr>
        <w:t>(including</w:t>
      </w:r>
      <w:r w:rsidRPr="00150EDC">
        <w:rPr>
          <w:spacing w:val="-3"/>
          <w:sz w:val="24"/>
        </w:rPr>
        <w:t xml:space="preserve"> </w:t>
      </w:r>
      <w:r w:rsidRPr="00150EDC">
        <w:rPr>
          <w:sz w:val="24"/>
        </w:rPr>
        <w:t>courses</w:t>
      </w:r>
      <w:r w:rsidRPr="00150EDC">
        <w:rPr>
          <w:spacing w:val="-4"/>
          <w:sz w:val="24"/>
        </w:rPr>
        <w:t xml:space="preserve"> </w:t>
      </w:r>
      <w:r w:rsidRPr="00150EDC">
        <w:rPr>
          <w:sz w:val="24"/>
        </w:rPr>
        <w:t>and</w:t>
      </w:r>
      <w:r w:rsidRPr="00150EDC">
        <w:rPr>
          <w:spacing w:val="-3"/>
          <w:sz w:val="24"/>
        </w:rPr>
        <w:t xml:space="preserve"> </w:t>
      </w:r>
      <w:r w:rsidRPr="00150EDC">
        <w:rPr>
          <w:sz w:val="24"/>
        </w:rPr>
        <w:t>outreach</w:t>
      </w:r>
      <w:r w:rsidRPr="00150EDC">
        <w:rPr>
          <w:spacing w:val="-6"/>
          <w:sz w:val="24"/>
        </w:rPr>
        <w:t xml:space="preserve"> </w:t>
      </w:r>
      <w:r w:rsidRPr="00150EDC">
        <w:rPr>
          <w:sz w:val="24"/>
        </w:rPr>
        <w:t>activity)</w:t>
      </w:r>
      <w:r w:rsidRPr="00150EDC">
        <w:rPr>
          <w:spacing w:val="-3"/>
          <w:sz w:val="24"/>
        </w:rPr>
        <w:t xml:space="preserve"> </w:t>
      </w:r>
      <w:r w:rsidRPr="00150EDC">
        <w:rPr>
          <w:sz w:val="24"/>
        </w:rPr>
        <w:t>that</w:t>
      </w:r>
      <w:r w:rsidRPr="00150EDC">
        <w:rPr>
          <w:spacing w:val="-4"/>
          <w:sz w:val="24"/>
        </w:rPr>
        <w:t xml:space="preserve"> </w:t>
      </w:r>
      <w:r w:rsidRPr="00150EDC">
        <w:rPr>
          <w:sz w:val="24"/>
        </w:rPr>
        <w:t>will</w:t>
      </w:r>
      <w:r w:rsidRPr="00150EDC">
        <w:rPr>
          <w:spacing w:val="-2"/>
          <w:sz w:val="24"/>
        </w:rPr>
        <w:t xml:space="preserve"> </w:t>
      </w:r>
      <w:r w:rsidRPr="00150EDC">
        <w:rPr>
          <w:sz w:val="24"/>
        </w:rPr>
        <w:t>be</w:t>
      </w:r>
      <w:r w:rsidRPr="00150EDC">
        <w:rPr>
          <w:spacing w:val="-1"/>
          <w:sz w:val="24"/>
        </w:rPr>
        <w:t xml:space="preserve"> </w:t>
      </w:r>
      <w:r w:rsidRPr="00150EDC">
        <w:rPr>
          <w:sz w:val="24"/>
        </w:rPr>
        <w:t>tested</w:t>
      </w:r>
      <w:r w:rsidRPr="00150EDC">
        <w:rPr>
          <w:spacing w:val="-3"/>
          <w:sz w:val="24"/>
        </w:rPr>
        <w:t xml:space="preserve"> </w:t>
      </w:r>
      <w:r w:rsidRPr="00150EDC">
        <w:rPr>
          <w:sz w:val="24"/>
        </w:rPr>
        <w:t>as</w:t>
      </w:r>
      <w:r w:rsidRPr="00150EDC">
        <w:rPr>
          <w:spacing w:val="-2"/>
          <w:sz w:val="24"/>
        </w:rPr>
        <w:t xml:space="preserve"> </w:t>
      </w:r>
      <w:r w:rsidRPr="00150EDC">
        <w:rPr>
          <w:sz w:val="24"/>
        </w:rPr>
        <w:t>part</w:t>
      </w:r>
      <w:r w:rsidRPr="00150EDC">
        <w:rPr>
          <w:spacing w:val="-1"/>
          <w:sz w:val="24"/>
        </w:rPr>
        <w:t xml:space="preserve"> </w:t>
      </w:r>
      <w:r w:rsidRPr="00150EDC">
        <w:rPr>
          <w:sz w:val="24"/>
        </w:rPr>
        <w:t>of</w:t>
      </w:r>
      <w:r w:rsidRPr="00150EDC">
        <w:rPr>
          <w:spacing w:val="-4"/>
          <w:sz w:val="24"/>
        </w:rPr>
        <w:t xml:space="preserve"> </w:t>
      </w:r>
      <w:r w:rsidRPr="00150EDC">
        <w:rPr>
          <w:sz w:val="24"/>
        </w:rPr>
        <w:t>a series of randomised controlled trials (RCTs).</w:t>
      </w:r>
    </w:p>
    <w:p w14:paraId="76B6C51E" w14:textId="77777777" w:rsidR="004C7180" w:rsidRPr="00150EDC" w:rsidRDefault="004C7180">
      <w:pPr>
        <w:pStyle w:val="BodyText"/>
        <w:spacing w:before="10"/>
        <w:rPr>
          <w:sz w:val="20"/>
        </w:rPr>
      </w:pPr>
    </w:p>
    <w:p w14:paraId="5CB4F781" w14:textId="77777777" w:rsidR="004C7180" w:rsidRPr="00150EDC" w:rsidRDefault="00CF0754">
      <w:pPr>
        <w:pStyle w:val="BodyText"/>
        <w:ind w:left="1399"/>
      </w:pPr>
      <w:r w:rsidRPr="00150EDC">
        <w:t>We</w:t>
      </w:r>
      <w:r w:rsidRPr="00150EDC">
        <w:rPr>
          <w:spacing w:val="-3"/>
        </w:rPr>
        <w:t xml:space="preserve"> </w:t>
      </w:r>
      <w:r w:rsidRPr="00150EDC">
        <w:t>anticipate</w:t>
      </w:r>
      <w:r w:rsidRPr="00150EDC">
        <w:rPr>
          <w:spacing w:val="-3"/>
        </w:rPr>
        <w:t xml:space="preserve"> </w:t>
      </w:r>
      <w:r w:rsidRPr="00150EDC">
        <w:t>three</w:t>
      </w:r>
      <w:r w:rsidRPr="00150EDC">
        <w:rPr>
          <w:spacing w:val="-3"/>
        </w:rPr>
        <w:t xml:space="preserve"> </w:t>
      </w:r>
      <w:r w:rsidRPr="00150EDC">
        <w:t>delivery</w:t>
      </w:r>
      <w:r w:rsidRPr="00150EDC">
        <w:rPr>
          <w:spacing w:val="-1"/>
        </w:rPr>
        <w:t xml:space="preserve"> </w:t>
      </w:r>
      <w:r w:rsidRPr="00150EDC">
        <w:rPr>
          <w:spacing w:val="-2"/>
        </w:rPr>
        <w:t>models:</w:t>
      </w:r>
    </w:p>
    <w:p w14:paraId="2587F997" w14:textId="77777777" w:rsidR="004C7180" w:rsidRPr="00150EDC" w:rsidRDefault="004C7180">
      <w:pPr>
        <w:pStyle w:val="BodyText"/>
        <w:spacing w:before="7"/>
      </w:pPr>
    </w:p>
    <w:p w14:paraId="6C7ED4A5" w14:textId="77777777" w:rsidR="004C7180" w:rsidRPr="00150EDC" w:rsidRDefault="00CF0754">
      <w:pPr>
        <w:pStyle w:val="ListParagraph"/>
        <w:numPr>
          <w:ilvl w:val="0"/>
          <w:numId w:val="26"/>
        </w:numPr>
        <w:tabs>
          <w:tab w:val="left" w:pos="2120"/>
        </w:tabs>
        <w:ind w:right="1458"/>
        <w:rPr>
          <w:sz w:val="24"/>
        </w:rPr>
      </w:pPr>
      <w:r w:rsidRPr="00150EDC">
        <w:rPr>
          <w:sz w:val="24"/>
        </w:rPr>
        <w:t>Local</w:t>
      </w:r>
      <w:r w:rsidRPr="00150EDC">
        <w:rPr>
          <w:spacing w:val="-6"/>
          <w:sz w:val="24"/>
        </w:rPr>
        <w:t xml:space="preserve"> </w:t>
      </w:r>
      <w:r w:rsidRPr="00150EDC">
        <w:rPr>
          <w:sz w:val="24"/>
        </w:rPr>
        <w:t>delivery</w:t>
      </w:r>
      <w:r w:rsidRPr="00150EDC">
        <w:rPr>
          <w:spacing w:val="-3"/>
          <w:sz w:val="24"/>
        </w:rPr>
        <w:t xml:space="preserve"> </w:t>
      </w:r>
      <w:r w:rsidRPr="00150EDC">
        <w:rPr>
          <w:sz w:val="24"/>
        </w:rPr>
        <w:t>of</w:t>
      </w:r>
      <w:r w:rsidRPr="00150EDC">
        <w:rPr>
          <w:spacing w:val="-5"/>
          <w:sz w:val="24"/>
        </w:rPr>
        <w:t xml:space="preserve"> </w:t>
      </w:r>
      <w:r w:rsidRPr="00150EDC">
        <w:rPr>
          <w:sz w:val="24"/>
        </w:rPr>
        <w:t>course</w:t>
      </w:r>
      <w:r w:rsidRPr="00150EDC">
        <w:rPr>
          <w:spacing w:val="-2"/>
          <w:sz w:val="24"/>
        </w:rPr>
        <w:t xml:space="preserve"> </w:t>
      </w:r>
      <w:r w:rsidRPr="00150EDC">
        <w:rPr>
          <w:sz w:val="24"/>
        </w:rPr>
        <w:t>based</w:t>
      </w:r>
      <w:r w:rsidRPr="00150EDC">
        <w:rPr>
          <w:spacing w:val="-4"/>
          <w:sz w:val="24"/>
        </w:rPr>
        <w:t xml:space="preserve"> </w:t>
      </w:r>
      <w:r w:rsidRPr="00150EDC">
        <w:rPr>
          <w:sz w:val="24"/>
        </w:rPr>
        <w:t>provision</w:t>
      </w:r>
      <w:hyperlink w:anchor="_bookmark3" w:history="1">
        <w:r w:rsidRPr="00150EDC">
          <w:rPr>
            <w:rFonts w:ascii="Times New Roman"/>
            <w:position w:val="8"/>
            <w:sz w:val="14"/>
          </w:rPr>
          <w:t>1</w:t>
        </w:r>
      </w:hyperlink>
      <w:r w:rsidRPr="00150EDC">
        <w:rPr>
          <w:sz w:val="24"/>
        </w:rPr>
        <w:t>:</w:t>
      </w:r>
      <w:r w:rsidRPr="00150EDC">
        <w:rPr>
          <w:spacing w:val="-2"/>
          <w:sz w:val="24"/>
        </w:rPr>
        <w:t xml:space="preserve"> </w:t>
      </w:r>
      <w:r w:rsidRPr="00150EDC">
        <w:rPr>
          <w:sz w:val="24"/>
        </w:rPr>
        <w:t>Where</w:t>
      </w:r>
      <w:r w:rsidRPr="00150EDC">
        <w:rPr>
          <w:spacing w:val="-2"/>
          <w:sz w:val="24"/>
        </w:rPr>
        <w:t xml:space="preserve"> </w:t>
      </w:r>
      <w:r w:rsidRPr="00150EDC">
        <w:rPr>
          <w:sz w:val="24"/>
        </w:rPr>
        <w:t>capacity</w:t>
      </w:r>
      <w:r w:rsidRPr="00150EDC">
        <w:rPr>
          <w:spacing w:val="-3"/>
          <w:sz w:val="24"/>
        </w:rPr>
        <w:t xml:space="preserve"> </w:t>
      </w:r>
      <w:r w:rsidRPr="00150EDC">
        <w:rPr>
          <w:sz w:val="24"/>
        </w:rPr>
        <w:t>exists,</w:t>
      </w:r>
      <w:r w:rsidRPr="00150EDC">
        <w:rPr>
          <w:spacing w:val="-2"/>
          <w:sz w:val="24"/>
        </w:rPr>
        <w:t xml:space="preserve"> </w:t>
      </w:r>
      <w:r w:rsidRPr="00150EDC">
        <w:rPr>
          <w:b/>
          <w:sz w:val="24"/>
        </w:rPr>
        <w:t>the</w:t>
      </w:r>
      <w:r w:rsidRPr="00150EDC">
        <w:rPr>
          <w:b/>
          <w:spacing w:val="-2"/>
          <w:sz w:val="24"/>
        </w:rPr>
        <w:t xml:space="preserve"> </w:t>
      </w:r>
      <w:r w:rsidRPr="00150EDC">
        <w:rPr>
          <w:b/>
          <w:sz w:val="24"/>
        </w:rPr>
        <w:t xml:space="preserve">delivery supplier will work with local areas </w:t>
      </w:r>
      <w:r w:rsidRPr="00150EDC">
        <w:rPr>
          <w:sz w:val="24"/>
        </w:rPr>
        <w:t>in England, such as the Greater London Authority, Mayoral Combined Authorities and upper tier local authorities outside of those areas, to commission delivery from providers.</w:t>
      </w:r>
    </w:p>
    <w:p w14:paraId="58B0A005" w14:textId="77777777" w:rsidR="004C7180" w:rsidRPr="00150EDC" w:rsidRDefault="00CF0754">
      <w:pPr>
        <w:pStyle w:val="ListParagraph"/>
        <w:numPr>
          <w:ilvl w:val="0"/>
          <w:numId w:val="26"/>
        </w:numPr>
        <w:tabs>
          <w:tab w:val="left" w:pos="2119"/>
        </w:tabs>
        <w:ind w:left="2119" w:right="1591"/>
        <w:rPr>
          <w:sz w:val="24"/>
        </w:rPr>
      </w:pPr>
      <w:r w:rsidRPr="00150EDC">
        <w:rPr>
          <w:sz w:val="24"/>
        </w:rPr>
        <w:t>Local</w:t>
      </w:r>
      <w:r w:rsidRPr="00150EDC">
        <w:rPr>
          <w:spacing w:val="-5"/>
          <w:sz w:val="24"/>
        </w:rPr>
        <w:t xml:space="preserve"> </w:t>
      </w:r>
      <w:r w:rsidRPr="00150EDC">
        <w:rPr>
          <w:sz w:val="24"/>
        </w:rPr>
        <w:t>delivery</w:t>
      </w:r>
      <w:r w:rsidRPr="00150EDC">
        <w:rPr>
          <w:spacing w:val="-2"/>
          <w:sz w:val="24"/>
        </w:rPr>
        <w:t xml:space="preserve"> </w:t>
      </w:r>
      <w:r w:rsidRPr="00150EDC">
        <w:rPr>
          <w:sz w:val="24"/>
        </w:rPr>
        <w:t>of</w:t>
      </w:r>
      <w:r w:rsidRPr="00150EDC">
        <w:rPr>
          <w:spacing w:val="-4"/>
          <w:sz w:val="24"/>
        </w:rPr>
        <w:t xml:space="preserve"> </w:t>
      </w:r>
      <w:r w:rsidRPr="00150EDC">
        <w:rPr>
          <w:sz w:val="24"/>
        </w:rPr>
        <w:t>course</w:t>
      </w:r>
      <w:r w:rsidRPr="00150EDC">
        <w:rPr>
          <w:spacing w:val="-1"/>
          <w:sz w:val="24"/>
        </w:rPr>
        <w:t xml:space="preserve"> </w:t>
      </w:r>
      <w:r w:rsidRPr="00150EDC">
        <w:rPr>
          <w:sz w:val="24"/>
        </w:rPr>
        <w:t>based</w:t>
      </w:r>
      <w:r w:rsidRPr="00150EDC">
        <w:rPr>
          <w:spacing w:val="-3"/>
          <w:sz w:val="24"/>
        </w:rPr>
        <w:t xml:space="preserve"> </w:t>
      </w:r>
      <w:r w:rsidRPr="00150EDC">
        <w:rPr>
          <w:sz w:val="24"/>
        </w:rPr>
        <w:t>provision:</w:t>
      </w:r>
      <w:r w:rsidRPr="00150EDC">
        <w:rPr>
          <w:spacing w:val="-4"/>
          <w:sz w:val="24"/>
        </w:rPr>
        <w:t xml:space="preserve"> </w:t>
      </w:r>
      <w:r w:rsidRPr="00150EDC">
        <w:rPr>
          <w:sz w:val="24"/>
        </w:rPr>
        <w:t>Where</w:t>
      </w:r>
      <w:r w:rsidRPr="00150EDC">
        <w:rPr>
          <w:spacing w:val="-1"/>
          <w:sz w:val="24"/>
        </w:rPr>
        <w:t xml:space="preserve"> </w:t>
      </w:r>
      <w:r w:rsidRPr="00150EDC">
        <w:rPr>
          <w:sz w:val="24"/>
        </w:rPr>
        <w:t>local</w:t>
      </w:r>
      <w:r w:rsidRPr="00150EDC">
        <w:rPr>
          <w:spacing w:val="-5"/>
          <w:sz w:val="24"/>
        </w:rPr>
        <w:t xml:space="preserve"> </w:t>
      </w:r>
      <w:r w:rsidRPr="00150EDC">
        <w:rPr>
          <w:sz w:val="24"/>
        </w:rPr>
        <w:t>area</w:t>
      </w:r>
      <w:r w:rsidRPr="00150EDC">
        <w:rPr>
          <w:spacing w:val="-1"/>
          <w:sz w:val="24"/>
        </w:rPr>
        <w:t xml:space="preserve"> </w:t>
      </w:r>
      <w:r w:rsidRPr="00150EDC">
        <w:rPr>
          <w:sz w:val="24"/>
        </w:rPr>
        <w:t>capacity</w:t>
      </w:r>
      <w:r w:rsidRPr="00150EDC">
        <w:rPr>
          <w:spacing w:val="-4"/>
          <w:sz w:val="24"/>
        </w:rPr>
        <w:t xml:space="preserve"> </w:t>
      </w:r>
      <w:r w:rsidRPr="00150EDC">
        <w:rPr>
          <w:sz w:val="24"/>
        </w:rPr>
        <w:t>does</w:t>
      </w:r>
      <w:r w:rsidRPr="00150EDC">
        <w:rPr>
          <w:spacing w:val="-4"/>
          <w:sz w:val="24"/>
        </w:rPr>
        <w:t xml:space="preserve"> </w:t>
      </w:r>
      <w:r w:rsidRPr="00150EDC">
        <w:rPr>
          <w:sz w:val="24"/>
        </w:rPr>
        <w:t xml:space="preserve">not exist, the </w:t>
      </w:r>
      <w:r w:rsidRPr="00150EDC">
        <w:rPr>
          <w:b/>
          <w:sz w:val="24"/>
        </w:rPr>
        <w:t xml:space="preserve">delivery supplier will commission activity directly from </w:t>
      </w:r>
      <w:r w:rsidRPr="00150EDC">
        <w:rPr>
          <w:b/>
          <w:spacing w:val="-2"/>
          <w:sz w:val="24"/>
        </w:rPr>
        <w:t>providers</w:t>
      </w:r>
      <w:r w:rsidRPr="00150EDC">
        <w:rPr>
          <w:spacing w:val="-2"/>
          <w:sz w:val="24"/>
        </w:rPr>
        <w:t>.</w:t>
      </w:r>
    </w:p>
    <w:p w14:paraId="0AF7D72E" w14:textId="77777777" w:rsidR="004C7180" w:rsidRPr="00150EDC" w:rsidRDefault="00CF0754">
      <w:pPr>
        <w:pStyle w:val="ListParagraph"/>
        <w:numPr>
          <w:ilvl w:val="0"/>
          <w:numId w:val="26"/>
        </w:numPr>
        <w:tabs>
          <w:tab w:val="left" w:pos="2119"/>
        </w:tabs>
        <w:spacing w:before="1"/>
        <w:ind w:left="2119" w:right="1767"/>
        <w:rPr>
          <w:sz w:val="24"/>
        </w:rPr>
      </w:pPr>
      <w:r w:rsidRPr="00150EDC">
        <w:rPr>
          <w:sz w:val="24"/>
        </w:rPr>
        <w:t>National delivery/non-course based provision</w:t>
      </w:r>
      <w:hyperlink w:anchor="_bookmark4" w:history="1">
        <w:r w:rsidRPr="00150EDC">
          <w:rPr>
            <w:rFonts w:ascii="Times New Roman"/>
            <w:position w:val="8"/>
            <w:sz w:val="14"/>
          </w:rPr>
          <w:t>2</w:t>
        </w:r>
      </w:hyperlink>
      <w:r w:rsidRPr="00150EDC">
        <w:rPr>
          <w:sz w:val="24"/>
        </w:rPr>
        <w:t xml:space="preserve">: For non-course based provision, the </w:t>
      </w:r>
      <w:r w:rsidRPr="00150EDC">
        <w:rPr>
          <w:b/>
          <w:sz w:val="24"/>
        </w:rPr>
        <w:t xml:space="preserve">delivery supplier </w:t>
      </w:r>
      <w:r w:rsidRPr="00150EDC">
        <w:rPr>
          <w:sz w:val="24"/>
        </w:rPr>
        <w:t xml:space="preserve">may choose to work directly with </w:t>
      </w:r>
      <w:r w:rsidRPr="00150EDC">
        <w:rPr>
          <w:b/>
          <w:sz w:val="24"/>
        </w:rPr>
        <w:t>national organisations</w:t>
      </w:r>
      <w:r w:rsidRPr="00150EDC">
        <w:rPr>
          <w:b/>
          <w:spacing w:val="-4"/>
          <w:sz w:val="24"/>
        </w:rPr>
        <w:t xml:space="preserve"> </w:t>
      </w:r>
      <w:r w:rsidRPr="00150EDC">
        <w:rPr>
          <w:sz w:val="24"/>
        </w:rPr>
        <w:t>who</w:t>
      </w:r>
      <w:r w:rsidRPr="00150EDC">
        <w:rPr>
          <w:spacing w:val="-4"/>
          <w:sz w:val="24"/>
        </w:rPr>
        <w:t xml:space="preserve"> </w:t>
      </w:r>
      <w:r w:rsidRPr="00150EDC">
        <w:rPr>
          <w:sz w:val="24"/>
        </w:rPr>
        <w:t>can</w:t>
      </w:r>
      <w:r w:rsidRPr="00150EDC">
        <w:rPr>
          <w:spacing w:val="-4"/>
          <w:sz w:val="24"/>
        </w:rPr>
        <w:t xml:space="preserve"> </w:t>
      </w:r>
      <w:r w:rsidRPr="00150EDC">
        <w:rPr>
          <w:sz w:val="24"/>
        </w:rPr>
        <w:t>deliver</w:t>
      </w:r>
      <w:r w:rsidRPr="00150EDC">
        <w:rPr>
          <w:spacing w:val="-8"/>
          <w:sz w:val="24"/>
        </w:rPr>
        <w:t xml:space="preserve"> </w:t>
      </w:r>
      <w:r w:rsidRPr="00150EDC">
        <w:rPr>
          <w:sz w:val="24"/>
        </w:rPr>
        <w:t>at</w:t>
      </w:r>
      <w:r w:rsidRPr="00150EDC">
        <w:rPr>
          <w:spacing w:val="-4"/>
          <w:sz w:val="24"/>
        </w:rPr>
        <w:t xml:space="preserve"> </w:t>
      </w:r>
      <w:r w:rsidRPr="00150EDC">
        <w:rPr>
          <w:sz w:val="24"/>
        </w:rPr>
        <w:t>the</w:t>
      </w:r>
      <w:r w:rsidRPr="00150EDC">
        <w:rPr>
          <w:spacing w:val="-4"/>
          <w:sz w:val="24"/>
        </w:rPr>
        <w:t xml:space="preserve"> </w:t>
      </w:r>
      <w:r w:rsidRPr="00150EDC">
        <w:rPr>
          <w:sz w:val="24"/>
        </w:rPr>
        <w:t>scale</w:t>
      </w:r>
      <w:r w:rsidRPr="00150EDC">
        <w:rPr>
          <w:spacing w:val="-4"/>
          <w:sz w:val="24"/>
        </w:rPr>
        <w:t xml:space="preserve"> </w:t>
      </w:r>
      <w:r w:rsidRPr="00150EDC">
        <w:rPr>
          <w:sz w:val="24"/>
        </w:rPr>
        <w:t>required,</w:t>
      </w:r>
      <w:r w:rsidRPr="00150EDC">
        <w:rPr>
          <w:spacing w:val="-4"/>
          <w:sz w:val="24"/>
        </w:rPr>
        <w:t xml:space="preserve"> </w:t>
      </w:r>
      <w:r w:rsidRPr="00150EDC">
        <w:rPr>
          <w:sz w:val="24"/>
        </w:rPr>
        <w:t>although</w:t>
      </w:r>
      <w:r w:rsidRPr="00150EDC">
        <w:rPr>
          <w:spacing w:val="-4"/>
          <w:sz w:val="24"/>
        </w:rPr>
        <w:t xml:space="preserve"> </w:t>
      </w:r>
      <w:r w:rsidRPr="00150EDC">
        <w:rPr>
          <w:sz w:val="24"/>
        </w:rPr>
        <w:t>coordination with local areas will still be required.</w:t>
      </w:r>
    </w:p>
    <w:p w14:paraId="6106C0BF" w14:textId="77777777" w:rsidR="004C7180" w:rsidRPr="00150EDC" w:rsidRDefault="004C7180">
      <w:pPr>
        <w:pStyle w:val="BodyText"/>
        <w:spacing w:before="11"/>
        <w:rPr>
          <w:sz w:val="23"/>
        </w:rPr>
      </w:pPr>
    </w:p>
    <w:p w14:paraId="5B1D52B3" w14:textId="77777777" w:rsidR="004C7180" w:rsidRPr="00150EDC" w:rsidRDefault="00CF0754">
      <w:pPr>
        <w:pStyle w:val="BodyText"/>
        <w:spacing w:line="276" w:lineRule="auto"/>
        <w:ind w:left="1760" w:right="1459"/>
      </w:pPr>
      <w:r w:rsidRPr="00150EDC">
        <w:t xml:space="preserve">The </w:t>
      </w:r>
      <w:r w:rsidRPr="00150EDC">
        <w:rPr>
          <w:b/>
        </w:rPr>
        <w:t xml:space="preserve">delivery supplier </w:t>
      </w:r>
      <w:r w:rsidRPr="00150EDC">
        <w:t>will also be required to work collaboratively with other suppliers</w:t>
      </w:r>
      <w:r w:rsidRPr="00150EDC">
        <w:rPr>
          <w:spacing w:val="-3"/>
        </w:rPr>
        <w:t xml:space="preserve"> </w:t>
      </w:r>
      <w:r w:rsidRPr="00150EDC">
        <w:t>for</w:t>
      </w:r>
      <w:r w:rsidRPr="00150EDC">
        <w:rPr>
          <w:spacing w:val="-4"/>
        </w:rPr>
        <w:t xml:space="preserve"> </w:t>
      </w:r>
      <w:r w:rsidRPr="00150EDC">
        <w:t>the</w:t>
      </w:r>
      <w:r w:rsidRPr="00150EDC">
        <w:rPr>
          <w:spacing w:val="-4"/>
        </w:rPr>
        <w:t xml:space="preserve"> </w:t>
      </w:r>
      <w:r w:rsidRPr="00150EDC">
        <w:t>duration</w:t>
      </w:r>
      <w:r w:rsidRPr="00150EDC">
        <w:rPr>
          <w:spacing w:val="-2"/>
        </w:rPr>
        <w:t xml:space="preserve"> </w:t>
      </w:r>
      <w:r w:rsidRPr="00150EDC">
        <w:t>of</w:t>
      </w:r>
      <w:r w:rsidRPr="00150EDC">
        <w:rPr>
          <w:spacing w:val="-2"/>
        </w:rPr>
        <w:t xml:space="preserve"> </w:t>
      </w:r>
      <w:r w:rsidRPr="00150EDC">
        <w:t>the</w:t>
      </w:r>
      <w:r w:rsidRPr="00150EDC">
        <w:rPr>
          <w:spacing w:val="-2"/>
        </w:rPr>
        <w:t xml:space="preserve"> </w:t>
      </w:r>
      <w:r w:rsidRPr="00150EDC">
        <w:t>programme,</w:t>
      </w:r>
      <w:r w:rsidRPr="00150EDC">
        <w:rPr>
          <w:spacing w:val="-2"/>
        </w:rPr>
        <w:t xml:space="preserve"> </w:t>
      </w:r>
      <w:r w:rsidRPr="00150EDC">
        <w:t>to</w:t>
      </w:r>
      <w:r w:rsidRPr="00150EDC">
        <w:rPr>
          <w:spacing w:val="-2"/>
        </w:rPr>
        <w:t xml:space="preserve"> </w:t>
      </w:r>
      <w:r w:rsidRPr="00150EDC">
        <w:t>ensure</w:t>
      </w:r>
      <w:r w:rsidRPr="00150EDC">
        <w:rPr>
          <w:spacing w:val="-2"/>
        </w:rPr>
        <w:t xml:space="preserve"> </w:t>
      </w:r>
      <w:r w:rsidRPr="00150EDC">
        <w:t>successful</w:t>
      </w:r>
      <w:r w:rsidRPr="00150EDC">
        <w:rPr>
          <w:spacing w:val="-6"/>
        </w:rPr>
        <w:t xml:space="preserve"> </w:t>
      </w:r>
      <w:r w:rsidRPr="00150EDC">
        <w:t>delivery</w:t>
      </w:r>
      <w:r w:rsidRPr="00150EDC">
        <w:rPr>
          <w:spacing w:val="-3"/>
        </w:rPr>
        <w:t xml:space="preserve"> </w:t>
      </w:r>
      <w:r w:rsidRPr="00150EDC">
        <w:t>of</w:t>
      </w:r>
      <w:r w:rsidRPr="00150EDC">
        <w:rPr>
          <w:spacing w:val="-2"/>
        </w:rPr>
        <w:t xml:space="preserve"> </w:t>
      </w:r>
      <w:r w:rsidRPr="00150EDC">
        <w:t>the objectives for the RCTs, as outlined in section 4 of this document:</w:t>
      </w:r>
    </w:p>
    <w:p w14:paraId="0EFA8BC6" w14:textId="77777777" w:rsidR="004C7180" w:rsidRPr="00150EDC" w:rsidRDefault="004C7180">
      <w:pPr>
        <w:pStyle w:val="BodyText"/>
        <w:spacing w:before="8"/>
        <w:rPr>
          <w:sz w:val="20"/>
        </w:rPr>
      </w:pPr>
    </w:p>
    <w:p w14:paraId="3CD0F03D" w14:textId="77777777" w:rsidR="004C7180" w:rsidRPr="00150EDC" w:rsidRDefault="00CF0754">
      <w:pPr>
        <w:pStyle w:val="ListParagraph"/>
        <w:numPr>
          <w:ilvl w:val="0"/>
          <w:numId w:val="29"/>
        </w:numPr>
        <w:tabs>
          <w:tab w:val="left" w:pos="2120"/>
        </w:tabs>
        <w:ind w:right="1435"/>
        <w:jc w:val="both"/>
        <w:rPr>
          <w:sz w:val="24"/>
        </w:rPr>
      </w:pPr>
      <w:r w:rsidRPr="00150EDC">
        <w:rPr>
          <w:sz w:val="24"/>
        </w:rPr>
        <w:t>A</w:t>
      </w:r>
      <w:r w:rsidRPr="00150EDC">
        <w:rPr>
          <w:spacing w:val="-14"/>
          <w:sz w:val="24"/>
        </w:rPr>
        <w:t xml:space="preserve"> </w:t>
      </w:r>
      <w:r w:rsidRPr="00150EDC">
        <w:rPr>
          <w:sz w:val="24"/>
        </w:rPr>
        <w:t>number</w:t>
      </w:r>
      <w:r w:rsidRPr="00150EDC">
        <w:rPr>
          <w:spacing w:val="-16"/>
          <w:sz w:val="24"/>
        </w:rPr>
        <w:t xml:space="preserve"> </w:t>
      </w:r>
      <w:r w:rsidRPr="00150EDC">
        <w:rPr>
          <w:sz w:val="24"/>
        </w:rPr>
        <w:t>of</w:t>
      </w:r>
      <w:r w:rsidRPr="00150EDC">
        <w:rPr>
          <w:spacing w:val="-14"/>
          <w:sz w:val="24"/>
        </w:rPr>
        <w:t xml:space="preserve"> </w:t>
      </w:r>
      <w:r w:rsidRPr="00150EDC">
        <w:rPr>
          <w:sz w:val="24"/>
          <w:u w:val="single"/>
        </w:rPr>
        <w:t>product</w:t>
      </w:r>
      <w:r w:rsidRPr="00150EDC">
        <w:rPr>
          <w:spacing w:val="-14"/>
          <w:sz w:val="24"/>
          <w:u w:val="single"/>
        </w:rPr>
        <w:t xml:space="preserve"> </w:t>
      </w:r>
      <w:r w:rsidRPr="00150EDC">
        <w:rPr>
          <w:sz w:val="24"/>
          <w:u w:val="single"/>
        </w:rPr>
        <w:t>development</w:t>
      </w:r>
      <w:r w:rsidRPr="00150EDC">
        <w:rPr>
          <w:spacing w:val="-14"/>
          <w:sz w:val="24"/>
          <w:u w:val="single"/>
        </w:rPr>
        <w:t xml:space="preserve"> </w:t>
      </w:r>
      <w:r w:rsidRPr="00150EDC">
        <w:rPr>
          <w:sz w:val="24"/>
          <w:u w:val="single"/>
        </w:rPr>
        <w:t>suppliers</w:t>
      </w:r>
      <w:r w:rsidRPr="00150EDC">
        <w:rPr>
          <w:sz w:val="24"/>
        </w:rPr>
        <w:t>,</w:t>
      </w:r>
      <w:r w:rsidRPr="00150EDC">
        <w:rPr>
          <w:spacing w:val="-17"/>
          <w:sz w:val="24"/>
        </w:rPr>
        <w:t xml:space="preserve"> </w:t>
      </w:r>
      <w:r w:rsidRPr="00150EDC">
        <w:rPr>
          <w:sz w:val="24"/>
        </w:rPr>
        <w:t>appointed</w:t>
      </w:r>
      <w:r w:rsidRPr="00150EDC">
        <w:rPr>
          <w:spacing w:val="-14"/>
          <w:sz w:val="24"/>
        </w:rPr>
        <w:t xml:space="preserve"> </w:t>
      </w:r>
      <w:r w:rsidRPr="00150EDC">
        <w:rPr>
          <w:sz w:val="24"/>
        </w:rPr>
        <w:t>to</w:t>
      </w:r>
      <w:r w:rsidRPr="00150EDC">
        <w:rPr>
          <w:spacing w:val="-14"/>
          <w:sz w:val="24"/>
        </w:rPr>
        <w:t xml:space="preserve"> </w:t>
      </w:r>
      <w:r w:rsidRPr="00150EDC">
        <w:rPr>
          <w:sz w:val="24"/>
        </w:rPr>
        <w:t>develop</w:t>
      </w:r>
      <w:r w:rsidRPr="00150EDC">
        <w:rPr>
          <w:spacing w:val="-14"/>
          <w:sz w:val="24"/>
        </w:rPr>
        <w:t xml:space="preserve"> </w:t>
      </w:r>
      <w:r w:rsidRPr="00150EDC">
        <w:rPr>
          <w:sz w:val="24"/>
        </w:rPr>
        <w:t>and/or</w:t>
      </w:r>
      <w:r w:rsidRPr="00150EDC">
        <w:rPr>
          <w:spacing w:val="-16"/>
          <w:sz w:val="24"/>
        </w:rPr>
        <w:t xml:space="preserve"> </w:t>
      </w:r>
      <w:r w:rsidRPr="00150EDC">
        <w:rPr>
          <w:sz w:val="24"/>
        </w:rPr>
        <w:t xml:space="preserve">refine products or approaches that will be tested as part of the RCTs. The product development suppliers will also be responsible for providing training on implementing the products and approaches, where this is deemed necessary by </w:t>
      </w:r>
      <w:r w:rsidRPr="00150EDC">
        <w:rPr>
          <w:b/>
          <w:sz w:val="24"/>
        </w:rPr>
        <w:t xml:space="preserve">the delivery supplier </w:t>
      </w:r>
      <w:r w:rsidRPr="00150EDC">
        <w:rPr>
          <w:sz w:val="24"/>
        </w:rPr>
        <w:t>and the evaluation supplier.</w:t>
      </w:r>
    </w:p>
    <w:p w14:paraId="369D2EAD" w14:textId="77777777" w:rsidR="004C7180" w:rsidRPr="00150EDC" w:rsidRDefault="004C7180">
      <w:pPr>
        <w:pStyle w:val="BodyText"/>
        <w:rPr>
          <w:sz w:val="23"/>
        </w:rPr>
      </w:pPr>
    </w:p>
    <w:p w14:paraId="47146682" w14:textId="77777777" w:rsidR="004C7180" w:rsidRPr="00150EDC" w:rsidRDefault="00CF0754">
      <w:pPr>
        <w:pStyle w:val="ListParagraph"/>
        <w:numPr>
          <w:ilvl w:val="0"/>
          <w:numId w:val="29"/>
        </w:numPr>
        <w:tabs>
          <w:tab w:val="left" w:pos="2118"/>
          <w:tab w:val="left" w:pos="2120"/>
        </w:tabs>
        <w:ind w:right="1483"/>
        <w:rPr>
          <w:i/>
          <w:sz w:val="20"/>
        </w:rPr>
      </w:pPr>
      <w:r w:rsidRPr="00150EDC">
        <w:rPr>
          <w:sz w:val="24"/>
        </w:rPr>
        <w:t xml:space="preserve">An </w:t>
      </w:r>
      <w:r w:rsidRPr="00150EDC">
        <w:rPr>
          <w:sz w:val="24"/>
          <w:u w:val="single"/>
        </w:rPr>
        <w:t>evaluation supplier</w:t>
      </w:r>
      <w:r w:rsidRPr="00150EDC">
        <w:rPr>
          <w:sz w:val="24"/>
        </w:rPr>
        <w:t xml:space="preserve"> appointed to deliver, quality assure and report on the trials.</w:t>
      </w:r>
      <w:r w:rsidRPr="00150EDC">
        <w:rPr>
          <w:spacing w:val="-2"/>
          <w:sz w:val="24"/>
        </w:rPr>
        <w:t xml:space="preserve"> </w:t>
      </w:r>
      <w:r w:rsidRPr="00150EDC">
        <w:rPr>
          <w:sz w:val="24"/>
        </w:rPr>
        <w:t>Responsible for: the design of each trial and the development of trial protocols; the collection of data to measure the efficacy of the interventions, including primary research, from both learners and providers; an Implementation</w:t>
      </w:r>
      <w:r w:rsidRPr="00150EDC">
        <w:rPr>
          <w:spacing w:val="-2"/>
          <w:sz w:val="24"/>
        </w:rPr>
        <w:t xml:space="preserve"> </w:t>
      </w:r>
      <w:r w:rsidRPr="00150EDC">
        <w:rPr>
          <w:sz w:val="24"/>
        </w:rPr>
        <w:t>and Process</w:t>
      </w:r>
      <w:r w:rsidRPr="00150EDC">
        <w:rPr>
          <w:spacing w:val="-1"/>
          <w:sz w:val="24"/>
        </w:rPr>
        <w:t xml:space="preserve"> </w:t>
      </w:r>
      <w:r w:rsidRPr="00150EDC">
        <w:rPr>
          <w:sz w:val="24"/>
        </w:rPr>
        <w:t>Evaluation</w:t>
      </w:r>
      <w:r w:rsidRPr="00150EDC">
        <w:rPr>
          <w:spacing w:val="-2"/>
          <w:sz w:val="24"/>
        </w:rPr>
        <w:t xml:space="preserve"> </w:t>
      </w:r>
      <w:r w:rsidRPr="00150EDC">
        <w:rPr>
          <w:sz w:val="24"/>
        </w:rPr>
        <w:t>of</w:t>
      </w:r>
      <w:r w:rsidRPr="00150EDC">
        <w:rPr>
          <w:spacing w:val="-1"/>
          <w:sz w:val="24"/>
        </w:rPr>
        <w:t xml:space="preserve"> </w:t>
      </w:r>
      <w:r w:rsidRPr="00150EDC">
        <w:rPr>
          <w:sz w:val="24"/>
        </w:rPr>
        <w:t>each trial</w:t>
      </w:r>
      <w:r w:rsidRPr="00150EDC">
        <w:rPr>
          <w:spacing w:val="-1"/>
          <w:sz w:val="24"/>
        </w:rPr>
        <w:t xml:space="preserve"> </w:t>
      </w:r>
      <w:r w:rsidRPr="00150EDC">
        <w:rPr>
          <w:sz w:val="24"/>
        </w:rPr>
        <w:t>to</w:t>
      </w:r>
      <w:r w:rsidRPr="00150EDC">
        <w:rPr>
          <w:spacing w:val="-2"/>
          <w:sz w:val="24"/>
        </w:rPr>
        <w:t xml:space="preserve"> </w:t>
      </w:r>
      <w:r w:rsidRPr="00150EDC">
        <w:rPr>
          <w:sz w:val="24"/>
        </w:rPr>
        <w:t>assess</w:t>
      </w:r>
      <w:r w:rsidRPr="00150EDC">
        <w:rPr>
          <w:spacing w:val="-3"/>
          <w:sz w:val="24"/>
        </w:rPr>
        <w:t xml:space="preserve"> </w:t>
      </w:r>
      <w:r w:rsidRPr="00150EDC">
        <w:rPr>
          <w:sz w:val="24"/>
        </w:rPr>
        <w:t>how</w:t>
      </w:r>
      <w:r w:rsidRPr="00150EDC">
        <w:rPr>
          <w:spacing w:val="-1"/>
          <w:sz w:val="24"/>
        </w:rPr>
        <w:t xml:space="preserve"> </w:t>
      </w:r>
      <w:r w:rsidRPr="00150EDC">
        <w:rPr>
          <w:sz w:val="24"/>
        </w:rPr>
        <w:t>rigorously the</w:t>
      </w:r>
      <w:r w:rsidRPr="00150EDC">
        <w:rPr>
          <w:spacing w:val="-2"/>
          <w:sz w:val="24"/>
        </w:rPr>
        <w:t xml:space="preserve"> </w:t>
      </w:r>
      <w:r w:rsidRPr="00150EDC">
        <w:rPr>
          <w:sz w:val="24"/>
        </w:rPr>
        <w:t>trial</w:t>
      </w:r>
      <w:r w:rsidRPr="00150EDC">
        <w:rPr>
          <w:spacing w:val="-5"/>
          <w:sz w:val="24"/>
        </w:rPr>
        <w:t xml:space="preserve"> </w:t>
      </w:r>
      <w:r w:rsidRPr="00150EDC">
        <w:rPr>
          <w:sz w:val="24"/>
        </w:rPr>
        <w:t>protocols</w:t>
      </w:r>
      <w:r w:rsidRPr="00150EDC">
        <w:rPr>
          <w:spacing w:val="-3"/>
          <w:sz w:val="24"/>
        </w:rPr>
        <w:t xml:space="preserve"> </w:t>
      </w:r>
      <w:r w:rsidRPr="00150EDC">
        <w:rPr>
          <w:sz w:val="24"/>
        </w:rPr>
        <w:t>were</w:t>
      </w:r>
      <w:r w:rsidRPr="00150EDC">
        <w:rPr>
          <w:spacing w:val="-4"/>
          <w:sz w:val="24"/>
        </w:rPr>
        <w:t xml:space="preserve"> </w:t>
      </w:r>
      <w:r w:rsidRPr="00150EDC">
        <w:rPr>
          <w:sz w:val="24"/>
        </w:rPr>
        <w:t>implemented</w:t>
      </w:r>
      <w:r w:rsidRPr="00150EDC">
        <w:rPr>
          <w:spacing w:val="-2"/>
          <w:sz w:val="24"/>
        </w:rPr>
        <w:t xml:space="preserve"> </w:t>
      </w:r>
      <w:r w:rsidRPr="00150EDC">
        <w:rPr>
          <w:sz w:val="24"/>
        </w:rPr>
        <w:t>and</w:t>
      </w:r>
      <w:r w:rsidRPr="00150EDC">
        <w:rPr>
          <w:spacing w:val="-2"/>
          <w:sz w:val="24"/>
        </w:rPr>
        <w:t xml:space="preserve"> </w:t>
      </w:r>
      <w:r w:rsidRPr="00150EDC">
        <w:rPr>
          <w:sz w:val="24"/>
        </w:rPr>
        <w:t>to</w:t>
      </w:r>
      <w:r w:rsidRPr="00150EDC">
        <w:rPr>
          <w:spacing w:val="-2"/>
          <w:sz w:val="24"/>
        </w:rPr>
        <w:t xml:space="preserve"> </w:t>
      </w:r>
      <w:r w:rsidRPr="00150EDC">
        <w:rPr>
          <w:sz w:val="24"/>
        </w:rPr>
        <w:t>identify</w:t>
      </w:r>
      <w:r w:rsidRPr="00150EDC">
        <w:rPr>
          <w:spacing w:val="-5"/>
          <w:sz w:val="24"/>
        </w:rPr>
        <w:t xml:space="preserve"> </w:t>
      </w:r>
      <w:r w:rsidRPr="00150EDC">
        <w:rPr>
          <w:sz w:val="24"/>
        </w:rPr>
        <w:t>any</w:t>
      </w:r>
      <w:r w:rsidRPr="00150EDC">
        <w:rPr>
          <w:spacing w:val="-3"/>
          <w:sz w:val="24"/>
        </w:rPr>
        <w:t xml:space="preserve"> </w:t>
      </w:r>
      <w:r w:rsidRPr="00150EDC">
        <w:rPr>
          <w:sz w:val="24"/>
        </w:rPr>
        <w:t>issues</w:t>
      </w:r>
      <w:r w:rsidRPr="00150EDC">
        <w:rPr>
          <w:spacing w:val="-3"/>
          <w:sz w:val="24"/>
        </w:rPr>
        <w:t xml:space="preserve"> </w:t>
      </w:r>
      <w:r w:rsidRPr="00150EDC">
        <w:rPr>
          <w:sz w:val="24"/>
        </w:rPr>
        <w:t>that</w:t>
      </w:r>
      <w:r w:rsidRPr="00150EDC">
        <w:rPr>
          <w:spacing w:val="-5"/>
          <w:sz w:val="24"/>
        </w:rPr>
        <w:t xml:space="preserve"> </w:t>
      </w:r>
      <w:r w:rsidRPr="00150EDC">
        <w:rPr>
          <w:sz w:val="24"/>
        </w:rPr>
        <w:t>may</w:t>
      </w:r>
      <w:r w:rsidRPr="00150EDC">
        <w:rPr>
          <w:spacing w:val="-5"/>
          <w:sz w:val="24"/>
        </w:rPr>
        <w:t xml:space="preserve"> </w:t>
      </w:r>
      <w:r w:rsidRPr="00150EDC">
        <w:rPr>
          <w:sz w:val="24"/>
        </w:rPr>
        <w:t>affect the security of the results; analysis of data for each trial and a peer reviewed report for each trial, plus an overview report for the programme as a whole.</w:t>
      </w:r>
    </w:p>
    <w:p w14:paraId="74AD63E3" w14:textId="77777777" w:rsidR="004C7180" w:rsidRPr="00150EDC" w:rsidRDefault="004C7180">
      <w:pPr>
        <w:pStyle w:val="BodyText"/>
      </w:pPr>
    </w:p>
    <w:p w14:paraId="3ADDF36D" w14:textId="77777777" w:rsidR="004C7180" w:rsidRPr="00150EDC" w:rsidRDefault="00CF0754">
      <w:pPr>
        <w:pStyle w:val="ListParagraph"/>
        <w:numPr>
          <w:ilvl w:val="0"/>
          <w:numId w:val="29"/>
        </w:numPr>
        <w:tabs>
          <w:tab w:val="left" w:pos="2120"/>
        </w:tabs>
        <w:ind w:right="1436"/>
        <w:jc w:val="both"/>
        <w:rPr>
          <w:sz w:val="24"/>
        </w:rPr>
      </w:pPr>
      <w:r w:rsidRPr="00150EDC">
        <w:rPr>
          <w:sz w:val="24"/>
        </w:rPr>
        <w:t>The Department expect all suppliers to follow the guidelines on collaborative working to successfully deliver RCTs as outlined in Order schedule 24.</w:t>
      </w:r>
    </w:p>
    <w:p w14:paraId="6FD06F17" w14:textId="77777777" w:rsidR="004C7180" w:rsidRPr="00150EDC" w:rsidRDefault="004C7180">
      <w:pPr>
        <w:pStyle w:val="BodyText"/>
        <w:rPr>
          <w:sz w:val="20"/>
        </w:rPr>
      </w:pPr>
    </w:p>
    <w:p w14:paraId="2A42C509" w14:textId="77777777" w:rsidR="004C7180" w:rsidRPr="00150EDC" w:rsidRDefault="004C7180">
      <w:pPr>
        <w:pStyle w:val="BodyText"/>
        <w:rPr>
          <w:sz w:val="20"/>
        </w:rPr>
      </w:pPr>
    </w:p>
    <w:p w14:paraId="5E8DB186" w14:textId="77777777" w:rsidR="004C7180" w:rsidRPr="00150EDC" w:rsidRDefault="004C7180">
      <w:pPr>
        <w:pStyle w:val="BodyText"/>
        <w:rPr>
          <w:sz w:val="20"/>
        </w:rPr>
      </w:pPr>
    </w:p>
    <w:p w14:paraId="7CE057EA" w14:textId="77777777" w:rsidR="004C7180" w:rsidRPr="00150EDC" w:rsidRDefault="004C7180">
      <w:pPr>
        <w:pStyle w:val="BodyText"/>
        <w:rPr>
          <w:sz w:val="20"/>
        </w:rPr>
      </w:pPr>
    </w:p>
    <w:p w14:paraId="45999DF9" w14:textId="77777777" w:rsidR="004C7180" w:rsidRPr="00150EDC" w:rsidRDefault="004C7180">
      <w:pPr>
        <w:pStyle w:val="BodyText"/>
        <w:rPr>
          <w:sz w:val="20"/>
        </w:rPr>
      </w:pPr>
    </w:p>
    <w:p w14:paraId="314E3DF0" w14:textId="77777777" w:rsidR="004C7180" w:rsidRPr="00150EDC" w:rsidRDefault="00CF0754">
      <w:pPr>
        <w:pStyle w:val="BodyText"/>
        <w:spacing w:before="10"/>
        <w:rPr>
          <w:sz w:val="12"/>
        </w:rPr>
      </w:pPr>
      <w:r w:rsidRPr="00150EDC">
        <w:rPr>
          <w:noProof/>
          <w:lang w:val="en-GB" w:eastAsia="en-GB"/>
        </w:rPr>
        <mc:AlternateContent>
          <mc:Choice Requires="wps">
            <w:drawing>
              <wp:anchor distT="0" distB="0" distL="0" distR="0" simplePos="0" relativeHeight="251658278" behindDoc="1" locked="0" layoutInCell="1" allowOverlap="1" wp14:anchorId="15806C69" wp14:editId="7ACBB582">
                <wp:simplePos x="0" y="0"/>
                <wp:positionH relativeFrom="page">
                  <wp:posOffset>914400</wp:posOffset>
                </wp:positionH>
                <wp:positionV relativeFrom="paragraph">
                  <wp:posOffset>109655</wp:posOffset>
                </wp:positionV>
                <wp:extent cx="1828800" cy="9525"/>
                <wp:effectExtent l="0" t="0" r="0" b="0"/>
                <wp:wrapTopAndBottom/>
                <wp:docPr id="274" name="Free-form: Shape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5CC17C" id="Free-form: Shape 274" o:spid="_x0000_s1026" style="position:absolute;margin-left:1in;margin-top:8.65pt;width:2in;height:.75pt;z-index:-251658202;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" path="m1828800,l,,,9144r1828800,l1828800,xe" fillcolor="black" stroked="f">
                <v:path arrowok="t"/>
                <w10:wrap type="topAndBottom" anchorx="page"/>
              </v:shape>
            </w:pict>
          </mc:Fallback>
        </mc:AlternateContent>
      </w:r>
    </w:p>
    <w:p w14:paraId="21AAE9EB" w14:textId="77777777" w:rsidR="004C7180" w:rsidRPr="00150EDC" w:rsidRDefault="00CF0754">
      <w:pPr>
        <w:spacing w:before="102"/>
        <w:ind w:left="2119" w:right="1459" w:hanging="720"/>
        <w:rPr>
          <w:sz w:val="16"/>
        </w:rPr>
      </w:pPr>
      <w:bookmarkStart w:id="74" w:name="_bookmark3"/>
      <w:bookmarkEnd w:id="74"/>
      <w:r w:rsidRPr="00150EDC">
        <w:rPr>
          <w:rFonts w:ascii="Times New Roman" w:hAnsi="Times New Roman"/>
          <w:sz w:val="16"/>
          <w:vertAlign w:val="superscript"/>
        </w:rPr>
        <w:t>1</w:t>
      </w:r>
      <w:r w:rsidRPr="00150EDC">
        <w:rPr>
          <w:rFonts w:ascii="Times New Roman" w:hAnsi="Times New Roman"/>
          <w:sz w:val="16"/>
        </w:rPr>
        <w:t xml:space="preserve"> </w:t>
      </w:r>
      <w:r w:rsidRPr="00150EDC">
        <w:rPr>
          <w:sz w:val="16"/>
        </w:rPr>
        <w:t>Where</w:t>
      </w:r>
      <w:r w:rsidRPr="00150EDC">
        <w:rPr>
          <w:spacing w:val="-2"/>
          <w:sz w:val="16"/>
        </w:rPr>
        <w:t xml:space="preserve"> </w:t>
      </w:r>
      <w:r w:rsidRPr="00150EDC">
        <w:rPr>
          <w:sz w:val="16"/>
        </w:rPr>
        <w:t>we</w:t>
      </w:r>
      <w:r w:rsidRPr="00150EDC">
        <w:rPr>
          <w:spacing w:val="-2"/>
          <w:sz w:val="16"/>
        </w:rPr>
        <w:t xml:space="preserve"> </w:t>
      </w:r>
      <w:r w:rsidRPr="00150EDC">
        <w:rPr>
          <w:sz w:val="16"/>
        </w:rPr>
        <w:t>refer</w:t>
      </w:r>
      <w:r w:rsidRPr="00150EDC">
        <w:rPr>
          <w:spacing w:val="-4"/>
          <w:sz w:val="16"/>
        </w:rPr>
        <w:t xml:space="preserve"> </w:t>
      </w:r>
      <w:r w:rsidRPr="00150EDC">
        <w:rPr>
          <w:sz w:val="16"/>
        </w:rPr>
        <w:t>to</w:t>
      </w:r>
      <w:r w:rsidRPr="00150EDC">
        <w:rPr>
          <w:spacing w:val="-4"/>
          <w:sz w:val="16"/>
        </w:rPr>
        <w:t xml:space="preserve"> </w:t>
      </w:r>
      <w:r w:rsidRPr="00150EDC">
        <w:rPr>
          <w:sz w:val="16"/>
        </w:rPr>
        <w:t>course-based</w:t>
      </w:r>
      <w:r w:rsidRPr="00150EDC">
        <w:rPr>
          <w:spacing w:val="-7"/>
          <w:sz w:val="16"/>
        </w:rPr>
        <w:t xml:space="preserve"> </w:t>
      </w:r>
      <w:r w:rsidRPr="00150EDC">
        <w:rPr>
          <w:sz w:val="16"/>
        </w:rPr>
        <w:t>provision, we</w:t>
      </w:r>
      <w:r w:rsidRPr="00150EDC">
        <w:rPr>
          <w:spacing w:val="-4"/>
          <w:sz w:val="16"/>
        </w:rPr>
        <w:t xml:space="preserve"> </w:t>
      </w:r>
      <w:r w:rsidRPr="00150EDC">
        <w:rPr>
          <w:sz w:val="16"/>
        </w:rPr>
        <w:t>mean</w:t>
      </w:r>
      <w:r w:rsidRPr="00150EDC">
        <w:rPr>
          <w:spacing w:val="-2"/>
          <w:sz w:val="16"/>
        </w:rPr>
        <w:t xml:space="preserve"> </w:t>
      </w:r>
      <w:r w:rsidRPr="00150EDC">
        <w:rPr>
          <w:sz w:val="16"/>
        </w:rPr>
        <w:t>products</w:t>
      </w:r>
      <w:r w:rsidRPr="00150EDC">
        <w:rPr>
          <w:spacing w:val="-2"/>
          <w:sz w:val="16"/>
        </w:rPr>
        <w:t xml:space="preserve"> </w:t>
      </w:r>
      <w:r w:rsidRPr="00150EDC">
        <w:rPr>
          <w:sz w:val="16"/>
        </w:rPr>
        <w:t>that</w:t>
      </w:r>
      <w:r w:rsidRPr="00150EDC">
        <w:rPr>
          <w:spacing w:val="-3"/>
          <w:sz w:val="16"/>
        </w:rPr>
        <w:t xml:space="preserve"> </w:t>
      </w:r>
      <w:r w:rsidRPr="00150EDC">
        <w:rPr>
          <w:sz w:val="16"/>
        </w:rPr>
        <w:t>we</w:t>
      </w:r>
      <w:r w:rsidRPr="00150EDC">
        <w:rPr>
          <w:spacing w:val="-2"/>
          <w:sz w:val="16"/>
        </w:rPr>
        <w:t xml:space="preserve"> </w:t>
      </w:r>
      <w:r w:rsidRPr="00150EDC">
        <w:rPr>
          <w:sz w:val="16"/>
        </w:rPr>
        <w:t>assume</w:t>
      </w:r>
      <w:r w:rsidRPr="00150EDC">
        <w:rPr>
          <w:spacing w:val="-2"/>
          <w:sz w:val="16"/>
        </w:rPr>
        <w:t xml:space="preserve"> </w:t>
      </w:r>
      <w:r w:rsidRPr="00150EDC">
        <w:rPr>
          <w:sz w:val="16"/>
        </w:rPr>
        <w:t>will</w:t>
      </w:r>
      <w:r w:rsidRPr="00150EDC">
        <w:rPr>
          <w:spacing w:val="-1"/>
          <w:sz w:val="16"/>
        </w:rPr>
        <w:t xml:space="preserve"> </w:t>
      </w:r>
      <w:r w:rsidRPr="00150EDC">
        <w:rPr>
          <w:sz w:val="16"/>
        </w:rPr>
        <w:t>be</w:t>
      </w:r>
      <w:r w:rsidRPr="00150EDC">
        <w:rPr>
          <w:spacing w:val="-2"/>
          <w:sz w:val="16"/>
        </w:rPr>
        <w:t xml:space="preserve"> </w:t>
      </w:r>
      <w:r w:rsidRPr="00150EDC">
        <w:rPr>
          <w:sz w:val="16"/>
        </w:rPr>
        <w:t>delivered</w:t>
      </w:r>
      <w:r w:rsidRPr="00150EDC">
        <w:rPr>
          <w:spacing w:val="-2"/>
          <w:sz w:val="16"/>
        </w:rPr>
        <w:t xml:space="preserve"> </w:t>
      </w:r>
      <w:r w:rsidRPr="00150EDC">
        <w:rPr>
          <w:sz w:val="16"/>
        </w:rPr>
        <w:t>by</w:t>
      </w:r>
      <w:r w:rsidRPr="00150EDC">
        <w:rPr>
          <w:spacing w:val="-3"/>
          <w:sz w:val="16"/>
        </w:rPr>
        <w:t xml:space="preserve"> </w:t>
      </w:r>
      <w:r w:rsidRPr="00150EDC">
        <w:rPr>
          <w:sz w:val="16"/>
        </w:rPr>
        <w:t>‘providers’</w:t>
      </w:r>
      <w:r w:rsidRPr="00150EDC">
        <w:rPr>
          <w:spacing w:val="-3"/>
          <w:sz w:val="16"/>
        </w:rPr>
        <w:t xml:space="preserve"> </w:t>
      </w:r>
      <w:r w:rsidRPr="00150EDC">
        <w:rPr>
          <w:sz w:val="16"/>
        </w:rPr>
        <w:t>i.e. adult education colleges.</w:t>
      </w:r>
    </w:p>
    <w:p w14:paraId="34DCAC05" w14:textId="77777777" w:rsidR="004C7180" w:rsidRPr="00150EDC" w:rsidRDefault="00CF0754">
      <w:pPr>
        <w:spacing w:before="58"/>
        <w:ind w:left="2119" w:right="1323" w:hanging="720"/>
        <w:rPr>
          <w:sz w:val="16"/>
        </w:rPr>
      </w:pPr>
      <w:bookmarkStart w:id="75" w:name="_bookmark4"/>
      <w:bookmarkEnd w:id="75"/>
      <w:r w:rsidRPr="00150EDC">
        <w:rPr>
          <w:rFonts w:ascii="Times New Roman"/>
          <w:sz w:val="16"/>
          <w:vertAlign w:val="superscript"/>
        </w:rPr>
        <w:t>2</w:t>
      </w:r>
      <w:r w:rsidRPr="00150EDC">
        <w:rPr>
          <w:rFonts w:ascii="Times New Roman"/>
          <w:sz w:val="16"/>
        </w:rPr>
        <w:t xml:space="preserve"> </w:t>
      </w:r>
      <w:r w:rsidRPr="00150EDC">
        <w:rPr>
          <w:sz w:val="16"/>
        </w:rPr>
        <w:t>Where</w:t>
      </w:r>
      <w:r w:rsidRPr="00150EDC">
        <w:rPr>
          <w:spacing w:val="-4"/>
          <w:sz w:val="16"/>
        </w:rPr>
        <w:t xml:space="preserve"> </w:t>
      </w:r>
      <w:r w:rsidRPr="00150EDC">
        <w:rPr>
          <w:sz w:val="16"/>
        </w:rPr>
        <w:t>we</w:t>
      </w:r>
      <w:r w:rsidRPr="00150EDC">
        <w:rPr>
          <w:spacing w:val="-7"/>
          <w:sz w:val="16"/>
        </w:rPr>
        <w:t xml:space="preserve"> </w:t>
      </w:r>
      <w:r w:rsidRPr="00150EDC">
        <w:rPr>
          <w:sz w:val="16"/>
        </w:rPr>
        <w:t>refer</w:t>
      </w:r>
      <w:r w:rsidRPr="00150EDC">
        <w:rPr>
          <w:spacing w:val="-7"/>
          <w:sz w:val="16"/>
        </w:rPr>
        <w:t xml:space="preserve"> </w:t>
      </w:r>
      <w:r w:rsidRPr="00150EDC">
        <w:rPr>
          <w:sz w:val="16"/>
        </w:rPr>
        <w:t>to</w:t>
      </w:r>
      <w:r w:rsidRPr="00150EDC">
        <w:rPr>
          <w:spacing w:val="-7"/>
          <w:sz w:val="16"/>
        </w:rPr>
        <w:t xml:space="preserve"> </w:t>
      </w:r>
      <w:r w:rsidRPr="00150EDC">
        <w:rPr>
          <w:sz w:val="16"/>
        </w:rPr>
        <w:t>national</w:t>
      </w:r>
      <w:r w:rsidRPr="00150EDC">
        <w:rPr>
          <w:spacing w:val="-6"/>
          <w:sz w:val="16"/>
        </w:rPr>
        <w:t xml:space="preserve"> </w:t>
      </w:r>
      <w:r w:rsidRPr="00150EDC">
        <w:rPr>
          <w:sz w:val="16"/>
        </w:rPr>
        <w:t>delivery/non-course</w:t>
      </w:r>
      <w:r w:rsidRPr="00150EDC">
        <w:rPr>
          <w:spacing w:val="-4"/>
          <w:sz w:val="16"/>
        </w:rPr>
        <w:t xml:space="preserve"> </w:t>
      </w:r>
      <w:r w:rsidRPr="00150EDC">
        <w:rPr>
          <w:sz w:val="16"/>
        </w:rPr>
        <w:t>based</w:t>
      </w:r>
      <w:r w:rsidRPr="00150EDC">
        <w:rPr>
          <w:spacing w:val="-7"/>
          <w:sz w:val="16"/>
        </w:rPr>
        <w:t xml:space="preserve"> </w:t>
      </w:r>
      <w:r w:rsidRPr="00150EDC">
        <w:rPr>
          <w:sz w:val="16"/>
        </w:rPr>
        <w:t>provision,</w:t>
      </w:r>
      <w:r w:rsidRPr="00150EDC">
        <w:rPr>
          <w:spacing w:val="-5"/>
          <w:sz w:val="16"/>
        </w:rPr>
        <w:t xml:space="preserve"> </w:t>
      </w:r>
      <w:r w:rsidRPr="00150EDC">
        <w:rPr>
          <w:sz w:val="16"/>
        </w:rPr>
        <w:t>we</w:t>
      </w:r>
      <w:r w:rsidRPr="00150EDC">
        <w:rPr>
          <w:spacing w:val="-9"/>
          <w:sz w:val="16"/>
        </w:rPr>
        <w:t xml:space="preserve"> </w:t>
      </w:r>
      <w:r w:rsidRPr="00150EDC">
        <w:rPr>
          <w:sz w:val="16"/>
        </w:rPr>
        <w:t>mean</w:t>
      </w:r>
      <w:r w:rsidRPr="00150EDC">
        <w:rPr>
          <w:spacing w:val="-4"/>
          <w:sz w:val="16"/>
        </w:rPr>
        <w:t xml:space="preserve"> </w:t>
      </w:r>
      <w:r w:rsidRPr="00150EDC">
        <w:rPr>
          <w:sz w:val="16"/>
        </w:rPr>
        <w:t>products</w:t>
      </w:r>
      <w:r w:rsidRPr="00150EDC">
        <w:rPr>
          <w:spacing w:val="-7"/>
          <w:sz w:val="16"/>
        </w:rPr>
        <w:t xml:space="preserve"> </w:t>
      </w:r>
      <w:r w:rsidRPr="00150EDC">
        <w:rPr>
          <w:sz w:val="16"/>
        </w:rPr>
        <w:t>that</w:t>
      </w:r>
      <w:r w:rsidRPr="00150EDC">
        <w:rPr>
          <w:spacing w:val="-5"/>
          <w:sz w:val="16"/>
        </w:rPr>
        <w:t xml:space="preserve"> </w:t>
      </w:r>
      <w:r w:rsidRPr="00150EDC">
        <w:rPr>
          <w:sz w:val="16"/>
        </w:rPr>
        <w:t>we</w:t>
      </w:r>
      <w:r w:rsidRPr="00150EDC">
        <w:rPr>
          <w:spacing w:val="-4"/>
          <w:sz w:val="16"/>
        </w:rPr>
        <w:t xml:space="preserve"> </w:t>
      </w:r>
      <w:r w:rsidRPr="00150EDC">
        <w:rPr>
          <w:sz w:val="16"/>
        </w:rPr>
        <w:t>assume</w:t>
      </w:r>
      <w:r w:rsidRPr="00150EDC">
        <w:rPr>
          <w:spacing w:val="-7"/>
          <w:sz w:val="16"/>
        </w:rPr>
        <w:t xml:space="preserve"> </w:t>
      </w:r>
      <w:r w:rsidRPr="00150EDC">
        <w:rPr>
          <w:sz w:val="16"/>
        </w:rPr>
        <w:t>will</w:t>
      </w:r>
      <w:r w:rsidRPr="00150EDC">
        <w:rPr>
          <w:spacing w:val="-3"/>
          <w:sz w:val="16"/>
        </w:rPr>
        <w:t xml:space="preserve"> </w:t>
      </w:r>
      <w:r w:rsidRPr="00150EDC">
        <w:rPr>
          <w:sz w:val="16"/>
        </w:rPr>
        <w:t>be</w:t>
      </w:r>
      <w:r w:rsidRPr="00150EDC">
        <w:rPr>
          <w:spacing w:val="-7"/>
          <w:sz w:val="16"/>
        </w:rPr>
        <w:t xml:space="preserve"> </w:t>
      </w:r>
      <w:r w:rsidRPr="00150EDC">
        <w:rPr>
          <w:sz w:val="16"/>
        </w:rPr>
        <w:t>delivered</w:t>
      </w:r>
      <w:r w:rsidRPr="00150EDC">
        <w:rPr>
          <w:spacing w:val="-7"/>
          <w:sz w:val="16"/>
        </w:rPr>
        <w:t xml:space="preserve"> </w:t>
      </w:r>
      <w:r w:rsidRPr="00150EDC">
        <w:rPr>
          <w:sz w:val="16"/>
        </w:rPr>
        <w:t>in</w:t>
      </w:r>
      <w:r w:rsidRPr="00150EDC">
        <w:rPr>
          <w:spacing w:val="-7"/>
          <w:sz w:val="16"/>
        </w:rPr>
        <w:t xml:space="preserve"> </w:t>
      </w:r>
      <w:r w:rsidRPr="00150EDC">
        <w:rPr>
          <w:sz w:val="16"/>
        </w:rPr>
        <w:t>settings such as workplaces, schools, local community settings etc.</w:t>
      </w:r>
    </w:p>
    <w:p w14:paraId="10C018E1" w14:textId="77777777" w:rsidR="004C7180" w:rsidRPr="00150EDC" w:rsidRDefault="004C7180">
      <w:pPr>
        <w:rPr>
          <w:sz w:val="16"/>
        </w:rPr>
        <w:sectPr w:rsidR="004C7180" w:rsidRPr="00150EDC">
          <w:headerReference w:type="default" r:id="rId97"/>
          <w:footerReference w:type="default" r:id="rId98"/>
          <w:pgSz w:w="11910" w:h="16840"/>
          <w:pgMar w:top="1220" w:right="0" w:bottom="660" w:left="40" w:header="149" w:footer="465" w:gutter="0"/>
          <w:pgNumType w:start="1"/>
          <w:cols w:space="720"/>
        </w:sectPr>
      </w:pPr>
    </w:p>
    <w:p w14:paraId="34873A25" w14:textId="77777777" w:rsidR="004C7180" w:rsidRPr="00150EDC" w:rsidRDefault="004C7180">
      <w:pPr>
        <w:pStyle w:val="BodyText"/>
        <w:spacing w:before="1"/>
        <w:rPr>
          <w:sz w:val="18"/>
        </w:rPr>
      </w:pPr>
    </w:p>
    <w:p w14:paraId="42CE5F14" w14:textId="77777777" w:rsidR="004C7180" w:rsidRPr="00150EDC" w:rsidRDefault="00CF0754">
      <w:pPr>
        <w:pStyle w:val="BodyText"/>
        <w:ind w:left="2120"/>
        <w:rPr>
          <w:sz w:val="20"/>
        </w:rPr>
      </w:pPr>
      <w:bookmarkStart w:id="76" w:name="_bookmark8"/>
      <w:bookmarkEnd w:id="76"/>
      <w:r w:rsidRPr="00150EDC">
        <w:rPr>
          <w:noProof/>
          <w:sz w:val="20"/>
          <w:lang w:val="en-GB" w:eastAsia="en-GB"/>
        </w:rPr>
        <w:drawing>
          <wp:inline distT="0" distB="0" distL="0" distR="0" wp14:anchorId="73FF335C" wp14:editId="2062496F">
            <wp:extent cx="5163747" cy="2815780"/>
            <wp:effectExtent l="0" t="0" r="0" b="0"/>
            <wp:docPr id="275" name="Picture 275" descr="A diagram of a supply chain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5" name="Image 275" descr="A diagram of a supply chain  Description automatically generated "/>
                    <pic:cNvPicPr/>
                  </pic:nvPicPr>
                  <pic:blipFill>
                    <a:blip r:embed="rId99" cstate="print"/>
                    <a:stretch>
                      <a:fillRect/>
                    </a:stretch>
                  </pic:blipFill>
                  <pic:spPr>
                    <a:xfrm>
                      <a:off x="0" y="0"/>
                      <a:ext cx="5163747" cy="2815780"/>
                    </a:xfrm>
                    <a:prstGeom prst="rect">
                      <a:avLst/>
                    </a:prstGeom>
                  </pic:spPr>
                </pic:pic>
              </a:graphicData>
            </a:graphic>
          </wp:inline>
        </w:drawing>
      </w:r>
    </w:p>
    <w:p w14:paraId="0222609B" w14:textId="77777777" w:rsidR="004C7180" w:rsidRPr="00150EDC" w:rsidRDefault="004C7180">
      <w:pPr>
        <w:pStyle w:val="BodyText"/>
        <w:spacing w:before="10"/>
        <w:rPr>
          <w:sz w:val="28"/>
        </w:rPr>
      </w:pPr>
    </w:p>
    <w:p w14:paraId="7BE0C1B8" w14:textId="77777777" w:rsidR="004C7180" w:rsidRPr="00150EDC" w:rsidRDefault="00CF0754">
      <w:pPr>
        <w:pStyle w:val="Heading1"/>
        <w:numPr>
          <w:ilvl w:val="0"/>
          <w:numId w:val="30"/>
        </w:numPr>
        <w:tabs>
          <w:tab w:val="left" w:pos="1756"/>
        </w:tabs>
        <w:spacing w:before="89" w:after="3"/>
        <w:ind w:left="1756" w:hanging="356"/>
      </w:pPr>
      <w:bookmarkStart w:id="77" w:name="2._Definitions"/>
      <w:bookmarkStart w:id="78" w:name="_bookmark5"/>
      <w:bookmarkEnd w:id="77"/>
      <w:bookmarkEnd w:id="78"/>
      <w:r w:rsidRPr="00150EDC">
        <w:rPr>
          <w:spacing w:val="-2"/>
        </w:rPr>
        <w:t>Definitions</w:t>
      </w:r>
    </w:p>
    <w:tbl>
      <w:tblPr>
        <w:tblW w:w="0" w:type="auto"/>
        <w:tblInd w:w="218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883"/>
        <w:gridCol w:w="6414"/>
      </w:tblGrid>
      <w:tr w:rsidR="004569EE" w:rsidRPr="007D3144" w14:paraId="5B755040" w14:textId="77777777">
        <w:trPr>
          <w:trHeight w:val="275"/>
        </w:trPr>
        <w:tc>
          <w:tcPr>
            <w:tcW w:w="1883" w:type="dxa"/>
            <w:tcBorders>
              <w:bottom w:val="single" w:sz="6" w:space="0" w:color="000000"/>
              <w:right w:val="single" w:sz="6" w:space="0" w:color="000000"/>
            </w:tcBorders>
            <w:shd w:val="clear" w:color="auto" w:fill="B8CCE3"/>
          </w:tcPr>
          <w:p w14:paraId="78749E83" w14:textId="77777777" w:rsidR="004C7180" w:rsidRPr="00150EDC" w:rsidRDefault="00CF0754">
            <w:pPr>
              <w:pStyle w:val="TableParagraph"/>
              <w:spacing w:before="0" w:line="255" w:lineRule="exact"/>
              <w:ind w:left="75"/>
              <w:rPr>
                <w:sz w:val="24"/>
              </w:rPr>
            </w:pPr>
            <w:r w:rsidRPr="00150EDC">
              <w:rPr>
                <w:spacing w:val="-2"/>
                <w:sz w:val="24"/>
              </w:rPr>
              <w:t>Acronym</w:t>
            </w:r>
          </w:p>
        </w:tc>
        <w:tc>
          <w:tcPr>
            <w:tcW w:w="6414" w:type="dxa"/>
            <w:tcBorders>
              <w:left w:val="single" w:sz="6" w:space="0" w:color="000000"/>
              <w:bottom w:val="single" w:sz="6" w:space="0" w:color="000000"/>
            </w:tcBorders>
            <w:shd w:val="clear" w:color="auto" w:fill="B8CCE3"/>
          </w:tcPr>
          <w:p w14:paraId="2CF2034C" w14:textId="77777777" w:rsidR="004C7180" w:rsidRPr="00150EDC" w:rsidRDefault="00CF0754">
            <w:pPr>
              <w:pStyle w:val="TableParagraph"/>
              <w:spacing w:before="0" w:line="255" w:lineRule="exact"/>
              <w:ind w:left="99"/>
              <w:rPr>
                <w:sz w:val="24"/>
              </w:rPr>
            </w:pPr>
            <w:r w:rsidRPr="00150EDC">
              <w:rPr>
                <w:spacing w:val="-2"/>
                <w:sz w:val="24"/>
              </w:rPr>
              <w:t>Definition</w:t>
            </w:r>
          </w:p>
        </w:tc>
      </w:tr>
      <w:tr w:rsidR="004569EE" w:rsidRPr="007D3144" w14:paraId="0F892E7F" w14:textId="77777777">
        <w:trPr>
          <w:trHeight w:val="275"/>
        </w:trPr>
        <w:tc>
          <w:tcPr>
            <w:tcW w:w="1883" w:type="dxa"/>
            <w:tcBorders>
              <w:top w:val="single" w:sz="6" w:space="0" w:color="000000"/>
              <w:bottom w:val="single" w:sz="6" w:space="0" w:color="000000"/>
              <w:right w:val="single" w:sz="6" w:space="0" w:color="000000"/>
            </w:tcBorders>
          </w:tcPr>
          <w:p w14:paraId="3E9498B1" w14:textId="77777777" w:rsidR="004C7180" w:rsidRPr="00150EDC" w:rsidRDefault="00CF0754">
            <w:pPr>
              <w:pStyle w:val="TableParagraph"/>
              <w:spacing w:before="0" w:line="255" w:lineRule="exact"/>
              <w:ind w:left="75"/>
              <w:rPr>
                <w:sz w:val="24"/>
              </w:rPr>
            </w:pPr>
            <w:r w:rsidRPr="00150EDC">
              <w:rPr>
                <w:spacing w:val="-5"/>
                <w:sz w:val="24"/>
              </w:rPr>
              <w:t>AEB</w:t>
            </w:r>
          </w:p>
        </w:tc>
        <w:tc>
          <w:tcPr>
            <w:tcW w:w="6414" w:type="dxa"/>
            <w:tcBorders>
              <w:top w:val="single" w:sz="6" w:space="0" w:color="000000"/>
              <w:left w:val="single" w:sz="6" w:space="0" w:color="000000"/>
              <w:bottom w:val="single" w:sz="6" w:space="0" w:color="000000"/>
            </w:tcBorders>
          </w:tcPr>
          <w:p w14:paraId="65B2984A" w14:textId="77777777" w:rsidR="004C7180" w:rsidRPr="00150EDC" w:rsidRDefault="00CF0754">
            <w:pPr>
              <w:pStyle w:val="TableParagraph"/>
              <w:spacing w:before="0" w:line="255" w:lineRule="exact"/>
              <w:ind w:left="99"/>
              <w:rPr>
                <w:sz w:val="24"/>
              </w:rPr>
            </w:pPr>
            <w:r w:rsidRPr="00150EDC">
              <w:rPr>
                <w:sz w:val="24"/>
              </w:rPr>
              <w:t>Adult</w:t>
            </w:r>
            <w:r w:rsidRPr="00150EDC">
              <w:rPr>
                <w:spacing w:val="-4"/>
                <w:sz w:val="24"/>
              </w:rPr>
              <w:t xml:space="preserve"> </w:t>
            </w:r>
            <w:r w:rsidRPr="00150EDC">
              <w:rPr>
                <w:sz w:val="24"/>
              </w:rPr>
              <w:t>Education</w:t>
            </w:r>
            <w:r w:rsidRPr="00150EDC">
              <w:rPr>
                <w:spacing w:val="-3"/>
                <w:sz w:val="24"/>
              </w:rPr>
              <w:t xml:space="preserve"> </w:t>
            </w:r>
            <w:r w:rsidRPr="00150EDC">
              <w:rPr>
                <w:spacing w:val="-2"/>
                <w:sz w:val="24"/>
              </w:rPr>
              <w:t>Budget</w:t>
            </w:r>
          </w:p>
        </w:tc>
      </w:tr>
      <w:tr w:rsidR="004569EE" w:rsidRPr="007D3144" w14:paraId="061AAED5" w14:textId="77777777">
        <w:trPr>
          <w:trHeight w:val="366"/>
        </w:trPr>
        <w:tc>
          <w:tcPr>
            <w:tcW w:w="1883" w:type="dxa"/>
            <w:tcBorders>
              <w:top w:val="single" w:sz="6" w:space="0" w:color="000000"/>
              <w:bottom w:val="single" w:sz="6" w:space="0" w:color="000000"/>
              <w:right w:val="single" w:sz="6" w:space="0" w:color="000000"/>
            </w:tcBorders>
          </w:tcPr>
          <w:p w14:paraId="1CC968EC" w14:textId="77777777" w:rsidR="004C7180" w:rsidRPr="00150EDC" w:rsidRDefault="00CF0754">
            <w:pPr>
              <w:pStyle w:val="TableParagraph"/>
              <w:spacing w:before="0" w:line="240" w:lineRule="auto"/>
              <w:ind w:left="75"/>
              <w:rPr>
                <w:sz w:val="24"/>
              </w:rPr>
            </w:pPr>
            <w:r w:rsidRPr="00150EDC">
              <w:rPr>
                <w:spacing w:val="-5"/>
                <w:sz w:val="24"/>
              </w:rPr>
              <w:t>DfE</w:t>
            </w:r>
          </w:p>
        </w:tc>
        <w:tc>
          <w:tcPr>
            <w:tcW w:w="6414" w:type="dxa"/>
            <w:tcBorders>
              <w:top w:val="single" w:sz="6" w:space="0" w:color="000000"/>
              <w:left w:val="single" w:sz="6" w:space="0" w:color="000000"/>
              <w:bottom w:val="single" w:sz="6" w:space="0" w:color="000000"/>
            </w:tcBorders>
          </w:tcPr>
          <w:p w14:paraId="75CAF4B5" w14:textId="77777777" w:rsidR="004C7180" w:rsidRPr="00150EDC" w:rsidRDefault="00CF0754">
            <w:pPr>
              <w:pStyle w:val="TableParagraph"/>
              <w:spacing w:before="0" w:line="240" w:lineRule="auto"/>
              <w:ind w:left="99"/>
              <w:rPr>
                <w:sz w:val="24"/>
              </w:rPr>
            </w:pPr>
            <w:r w:rsidRPr="00150EDC">
              <w:rPr>
                <w:sz w:val="24"/>
              </w:rPr>
              <w:t>Department</w:t>
            </w:r>
            <w:r w:rsidRPr="00150EDC">
              <w:rPr>
                <w:spacing w:val="-3"/>
                <w:sz w:val="24"/>
              </w:rPr>
              <w:t xml:space="preserve"> </w:t>
            </w:r>
            <w:r w:rsidRPr="00150EDC">
              <w:rPr>
                <w:sz w:val="24"/>
              </w:rPr>
              <w:t>for</w:t>
            </w:r>
            <w:r w:rsidRPr="00150EDC">
              <w:rPr>
                <w:spacing w:val="-3"/>
                <w:sz w:val="24"/>
              </w:rPr>
              <w:t xml:space="preserve"> </w:t>
            </w:r>
            <w:r w:rsidRPr="00150EDC">
              <w:rPr>
                <w:spacing w:val="-2"/>
                <w:sz w:val="24"/>
              </w:rPr>
              <w:t>Education</w:t>
            </w:r>
          </w:p>
        </w:tc>
      </w:tr>
      <w:tr w:rsidR="004569EE" w:rsidRPr="007D3144" w14:paraId="28EF8819" w14:textId="77777777">
        <w:trPr>
          <w:trHeight w:val="275"/>
        </w:trPr>
        <w:tc>
          <w:tcPr>
            <w:tcW w:w="1883" w:type="dxa"/>
            <w:tcBorders>
              <w:top w:val="single" w:sz="6" w:space="0" w:color="000000"/>
              <w:bottom w:val="single" w:sz="6" w:space="0" w:color="000000"/>
              <w:right w:val="single" w:sz="6" w:space="0" w:color="000000"/>
            </w:tcBorders>
          </w:tcPr>
          <w:p w14:paraId="48B1C438" w14:textId="77777777" w:rsidR="004C7180" w:rsidRPr="00150EDC" w:rsidRDefault="00CF0754">
            <w:pPr>
              <w:pStyle w:val="TableParagraph"/>
              <w:spacing w:before="0" w:line="255" w:lineRule="exact"/>
              <w:ind w:left="75"/>
              <w:rPr>
                <w:sz w:val="24"/>
              </w:rPr>
            </w:pPr>
            <w:r w:rsidRPr="00150EDC">
              <w:rPr>
                <w:spacing w:val="-2"/>
                <w:sz w:val="24"/>
              </w:rPr>
              <w:t>DLUHC</w:t>
            </w:r>
          </w:p>
        </w:tc>
        <w:tc>
          <w:tcPr>
            <w:tcW w:w="6414" w:type="dxa"/>
            <w:tcBorders>
              <w:top w:val="single" w:sz="6" w:space="0" w:color="000000"/>
              <w:left w:val="single" w:sz="6" w:space="0" w:color="000000"/>
              <w:bottom w:val="single" w:sz="6" w:space="0" w:color="000000"/>
            </w:tcBorders>
          </w:tcPr>
          <w:p w14:paraId="66C183F0" w14:textId="77777777" w:rsidR="004C7180" w:rsidRPr="00150EDC" w:rsidRDefault="00CF0754">
            <w:pPr>
              <w:pStyle w:val="TableParagraph"/>
              <w:spacing w:before="0" w:line="255" w:lineRule="exact"/>
              <w:ind w:left="99"/>
              <w:rPr>
                <w:sz w:val="24"/>
              </w:rPr>
            </w:pPr>
            <w:r w:rsidRPr="00150EDC">
              <w:rPr>
                <w:sz w:val="24"/>
              </w:rPr>
              <w:t>Department</w:t>
            </w:r>
            <w:r w:rsidRPr="00150EDC">
              <w:rPr>
                <w:spacing w:val="-5"/>
                <w:sz w:val="24"/>
              </w:rPr>
              <w:t xml:space="preserve"> </w:t>
            </w:r>
            <w:r w:rsidRPr="00150EDC">
              <w:rPr>
                <w:sz w:val="24"/>
              </w:rPr>
              <w:t>for</w:t>
            </w:r>
            <w:r w:rsidRPr="00150EDC">
              <w:rPr>
                <w:spacing w:val="-5"/>
                <w:sz w:val="24"/>
              </w:rPr>
              <w:t xml:space="preserve"> </w:t>
            </w:r>
            <w:r w:rsidRPr="00150EDC">
              <w:rPr>
                <w:sz w:val="24"/>
              </w:rPr>
              <w:t>Levelling</w:t>
            </w:r>
            <w:r w:rsidRPr="00150EDC">
              <w:rPr>
                <w:spacing w:val="-1"/>
                <w:sz w:val="24"/>
              </w:rPr>
              <w:t xml:space="preserve"> </w:t>
            </w:r>
            <w:r w:rsidRPr="00150EDC">
              <w:rPr>
                <w:sz w:val="24"/>
              </w:rPr>
              <w:t>up,</w:t>
            </w:r>
            <w:r w:rsidRPr="00150EDC">
              <w:rPr>
                <w:spacing w:val="-1"/>
                <w:sz w:val="24"/>
              </w:rPr>
              <w:t xml:space="preserve"> </w:t>
            </w:r>
            <w:r w:rsidRPr="00150EDC">
              <w:rPr>
                <w:sz w:val="24"/>
              </w:rPr>
              <w:t>Housing</w:t>
            </w:r>
            <w:r w:rsidRPr="00150EDC">
              <w:rPr>
                <w:spacing w:val="-3"/>
                <w:sz w:val="24"/>
              </w:rPr>
              <w:t xml:space="preserve"> </w:t>
            </w:r>
            <w:r w:rsidRPr="00150EDC">
              <w:rPr>
                <w:sz w:val="24"/>
              </w:rPr>
              <w:t>and</w:t>
            </w:r>
            <w:r w:rsidRPr="00150EDC">
              <w:rPr>
                <w:spacing w:val="-1"/>
                <w:sz w:val="24"/>
              </w:rPr>
              <w:t xml:space="preserve"> </w:t>
            </w:r>
            <w:r w:rsidRPr="00150EDC">
              <w:rPr>
                <w:spacing w:val="-2"/>
                <w:sz w:val="24"/>
              </w:rPr>
              <w:t>Communities</w:t>
            </w:r>
          </w:p>
        </w:tc>
      </w:tr>
      <w:tr w:rsidR="004569EE" w:rsidRPr="007D3144" w14:paraId="417AD285" w14:textId="77777777">
        <w:trPr>
          <w:trHeight w:val="275"/>
        </w:trPr>
        <w:tc>
          <w:tcPr>
            <w:tcW w:w="1883" w:type="dxa"/>
            <w:tcBorders>
              <w:top w:val="single" w:sz="6" w:space="0" w:color="000000"/>
              <w:bottom w:val="single" w:sz="6" w:space="0" w:color="000000"/>
              <w:right w:val="single" w:sz="6" w:space="0" w:color="000000"/>
            </w:tcBorders>
          </w:tcPr>
          <w:p w14:paraId="0844EEDE" w14:textId="77777777" w:rsidR="004C7180" w:rsidRPr="00150EDC" w:rsidRDefault="00CF0754">
            <w:pPr>
              <w:pStyle w:val="TableParagraph"/>
              <w:spacing w:before="0" w:line="255" w:lineRule="exact"/>
              <w:ind w:left="75"/>
              <w:rPr>
                <w:sz w:val="24"/>
              </w:rPr>
            </w:pPr>
            <w:r w:rsidRPr="00150EDC">
              <w:rPr>
                <w:spacing w:val="-5"/>
                <w:sz w:val="24"/>
              </w:rPr>
              <w:t>FSQ</w:t>
            </w:r>
          </w:p>
        </w:tc>
        <w:tc>
          <w:tcPr>
            <w:tcW w:w="6414" w:type="dxa"/>
            <w:tcBorders>
              <w:top w:val="single" w:sz="6" w:space="0" w:color="000000"/>
              <w:left w:val="single" w:sz="6" w:space="0" w:color="000000"/>
              <w:bottom w:val="single" w:sz="6" w:space="0" w:color="000000"/>
            </w:tcBorders>
          </w:tcPr>
          <w:p w14:paraId="578C6E93" w14:textId="77777777" w:rsidR="004C7180" w:rsidRPr="00150EDC" w:rsidRDefault="00CF0754">
            <w:pPr>
              <w:pStyle w:val="TableParagraph"/>
              <w:spacing w:before="0" w:line="255" w:lineRule="exact"/>
              <w:ind w:left="99"/>
              <w:rPr>
                <w:sz w:val="24"/>
              </w:rPr>
            </w:pPr>
            <w:r w:rsidRPr="00150EDC">
              <w:rPr>
                <w:sz w:val="24"/>
              </w:rPr>
              <w:t>Functional</w:t>
            </w:r>
            <w:r w:rsidRPr="00150EDC">
              <w:rPr>
                <w:spacing w:val="-4"/>
                <w:sz w:val="24"/>
              </w:rPr>
              <w:t xml:space="preserve"> </w:t>
            </w:r>
            <w:r w:rsidRPr="00150EDC">
              <w:rPr>
                <w:sz w:val="24"/>
              </w:rPr>
              <w:t>Skills</w:t>
            </w:r>
            <w:r w:rsidRPr="00150EDC">
              <w:rPr>
                <w:spacing w:val="-3"/>
                <w:sz w:val="24"/>
              </w:rPr>
              <w:t xml:space="preserve"> </w:t>
            </w:r>
            <w:r w:rsidRPr="00150EDC">
              <w:rPr>
                <w:spacing w:val="-2"/>
                <w:sz w:val="24"/>
              </w:rPr>
              <w:t>Qualifications</w:t>
            </w:r>
          </w:p>
        </w:tc>
      </w:tr>
      <w:tr w:rsidR="004569EE" w:rsidRPr="007D3144" w14:paraId="160E230A" w14:textId="77777777">
        <w:trPr>
          <w:trHeight w:val="301"/>
        </w:trPr>
        <w:tc>
          <w:tcPr>
            <w:tcW w:w="1883" w:type="dxa"/>
            <w:tcBorders>
              <w:top w:val="single" w:sz="6" w:space="0" w:color="000000"/>
              <w:bottom w:val="single" w:sz="6" w:space="0" w:color="000000"/>
              <w:right w:val="single" w:sz="6" w:space="0" w:color="000000"/>
            </w:tcBorders>
          </w:tcPr>
          <w:p w14:paraId="1FEB1F58" w14:textId="77777777" w:rsidR="004C7180" w:rsidRPr="00150EDC" w:rsidRDefault="00CF0754">
            <w:pPr>
              <w:pStyle w:val="TableParagraph"/>
              <w:spacing w:before="2" w:line="240" w:lineRule="auto"/>
              <w:ind w:left="75"/>
              <w:rPr>
                <w:sz w:val="24"/>
              </w:rPr>
            </w:pPr>
            <w:r w:rsidRPr="00150EDC">
              <w:rPr>
                <w:spacing w:val="-5"/>
                <w:sz w:val="24"/>
              </w:rPr>
              <w:t>GLA</w:t>
            </w:r>
          </w:p>
        </w:tc>
        <w:tc>
          <w:tcPr>
            <w:tcW w:w="6414" w:type="dxa"/>
            <w:tcBorders>
              <w:top w:val="single" w:sz="6" w:space="0" w:color="000000"/>
              <w:left w:val="single" w:sz="6" w:space="0" w:color="000000"/>
              <w:bottom w:val="single" w:sz="6" w:space="0" w:color="000000"/>
            </w:tcBorders>
          </w:tcPr>
          <w:p w14:paraId="1A1E4372" w14:textId="77777777" w:rsidR="004C7180" w:rsidRPr="00150EDC" w:rsidRDefault="00CF0754">
            <w:pPr>
              <w:pStyle w:val="TableParagraph"/>
              <w:spacing w:before="2" w:line="240" w:lineRule="auto"/>
              <w:ind w:left="99"/>
              <w:rPr>
                <w:sz w:val="24"/>
              </w:rPr>
            </w:pPr>
            <w:r w:rsidRPr="00150EDC">
              <w:rPr>
                <w:sz w:val="24"/>
              </w:rPr>
              <w:t>Greater</w:t>
            </w:r>
            <w:r w:rsidRPr="00150EDC">
              <w:rPr>
                <w:spacing w:val="-4"/>
                <w:sz w:val="24"/>
              </w:rPr>
              <w:t xml:space="preserve"> </w:t>
            </w:r>
            <w:r w:rsidRPr="00150EDC">
              <w:rPr>
                <w:sz w:val="24"/>
              </w:rPr>
              <w:t>London</w:t>
            </w:r>
            <w:r w:rsidRPr="00150EDC">
              <w:rPr>
                <w:spacing w:val="-1"/>
                <w:sz w:val="24"/>
              </w:rPr>
              <w:t xml:space="preserve"> </w:t>
            </w:r>
            <w:r w:rsidRPr="00150EDC">
              <w:rPr>
                <w:spacing w:val="-2"/>
                <w:sz w:val="24"/>
              </w:rPr>
              <w:t>Authority</w:t>
            </w:r>
          </w:p>
        </w:tc>
      </w:tr>
      <w:tr w:rsidR="004569EE" w:rsidRPr="007D3144" w14:paraId="50CF2392" w14:textId="77777777">
        <w:trPr>
          <w:trHeight w:val="275"/>
        </w:trPr>
        <w:tc>
          <w:tcPr>
            <w:tcW w:w="1883" w:type="dxa"/>
            <w:tcBorders>
              <w:top w:val="single" w:sz="6" w:space="0" w:color="000000"/>
              <w:bottom w:val="single" w:sz="6" w:space="0" w:color="000000"/>
              <w:right w:val="single" w:sz="6" w:space="0" w:color="000000"/>
            </w:tcBorders>
          </w:tcPr>
          <w:p w14:paraId="3762FA12" w14:textId="77777777" w:rsidR="004C7180" w:rsidRPr="00150EDC" w:rsidRDefault="00CF0754">
            <w:pPr>
              <w:pStyle w:val="TableParagraph"/>
              <w:spacing w:before="0" w:line="255" w:lineRule="exact"/>
              <w:ind w:left="75"/>
              <w:rPr>
                <w:sz w:val="24"/>
              </w:rPr>
            </w:pPr>
            <w:r w:rsidRPr="00150EDC">
              <w:rPr>
                <w:spacing w:val="-5"/>
                <w:sz w:val="24"/>
              </w:rPr>
              <w:t>HMT</w:t>
            </w:r>
          </w:p>
        </w:tc>
        <w:tc>
          <w:tcPr>
            <w:tcW w:w="6414" w:type="dxa"/>
            <w:tcBorders>
              <w:top w:val="single" w:sz="6" w:space="0" w:color="000000"/>
              <w:left w:val="single" w:sz="6" w:space="0" w:color="000000"/>
              <w:bottom w:val="single" w:sz="6" w:space="0" w:color="000000"/>
            </w:tcBorders>
          </w:tcPr>
          <w:p w14:paraId="6B204A4C" w14:textId="77777777" w:rsidR="004C7180" w:rsidRPr="00150EDC" w:rsidRDefault="00CF0754">
            <w:pPr>
              <w:pStyle w:val="TableParagraph"/>
              <w:spacing w:before="0" w:line="255" w:lineRule="exact"/>
              <w:ind w:left="99"/>
              <w:rPr>
                <w:sz w:val="24"/>
              </w:rPr>
            </w:pPr>
            <w:r w:rsidRPr="00150EDC">
              <w:rPr>
                <w:sz w:val="24"/>
              </w:rPr>
              <w:t>His</w:t>
            </w:r>
            <w:r w:rsidRPr="00150EDC">
              <w:rPr>
                <w:spacing w:val="-3"/>
                <w:sz w:val="24"/>
              </w:rPr>
              <w:t xml:space="preserve"> </w:t>
            </w:r>
            <w:r w:rsidRPr="00150EDC">
              <w:rPr>
                <w:sz w:val="24"/>
              </w:rPr>
              <w:t>Majesty’s</w:t>
            </w:r>
            <w:r w:rsidRPr="00150EDC">
              <w:rPr>
                <w:spacing w:val="-3"/>
                <w:sz w:val="24"/>
              </w:rPr>
              <w:t xml:space="preserve"> </w:t>
            </w:r>
            <w:r w:rsidRPr="00150EDC">
              <w:rPr>
                <w:spacing w:val="-2"/>
                <w:sz w:val="24"/>
              </w:rPr>
              <w:t>Treasury</w:t>
            </w:r>
          </w:p>
        </w:tc>
      </w:tr>
      <w:tr w:rsidR="004569EE" w:rsidRPr="007D3144" w14:paraId="1C85BFC8" w14:textId="77777777">
        <w:trPr>
          <w:trHeight w:val="275"/>
        </w:trPr>
        <w:tc>
          <w:tcPr>
            <w:tcW w:w="1883" w:type="dxa"/>
            <w:tcBorders>
              <w:top w:val="single" w:sz="6" w:space="0" w:color="000000"/>
              <w:bottom w:val="single" w:sz="6" w:space="0" w:color="000000"/>
              <w:right w:val="single" w:sz="6" w:space="0" w:color="000000"/>
            </w:tcBorders>
          </w:tcPr>
          <w:p w14:paraId="3594697D" w14:textId="77777777" w:rsidR="004C7180" w:rsidRPr="00150EDC" w:rsidRDefault="00CF0754">
            <w:pPr>
              <w:pStyle w:val="TableParagraph"/>
              <w:spacing w:before="0" w:line="255" w:lineRule="exact"/>
              <w:ind w:left="75"/>
              <w:rPr>
                <w:sz w:val="24"/>
              </w:rPr>
            </w:pPr>
            <w:r w:rsidRPr="00150EDC">
              <w:rPr>
                <w:spacing w:val="-4"/>
                <w:sz w:val="24"/>
              </w:rPr>
              <w:t>IDEA</w:t>
            </w:r>
          </w:p>
        </w:tc>
        <w:tc>
          <w:tcPr>
            <w:tcW w:w="6414" w:type="dxa"/>
            <w:tcBorders>
              <w:top w:val="single" w:sz="6" w:space="0" w:color="000000"/>
              <w:left w:val="single" w:sz="6" w:space="0" w:color="000000"/>
              <w:bottom w:val="single" w:sz="6" w:space="0" w:color="000000"/>
            </w:tcBorders>
          </w:tcPr>
          <w:p w14:paraId="199FA4E6" w14:textId="77777777" w:rsidR="004C7180" w:rsidRPr="00150EDC" w:rsidRDefault="00CF0754">
            <w:pPr>
              <w:pStyle w:val="TableParagraph"/>
              <w:spacing w:before="0" w:line="255" w:lineRule="exact"/>
              <w:ind w:left="99"/>
              <w:rPr>
                <w:sz w:val="24"/>
              </w:rPr>
            </w:pPr>
            <w:r w:rsidRPr="00150EDC">
              <w:rPr>
                <w:sz w:val="24"/>
              </w:rPr>
              <w:t>Intervention</w:t>
            </w:r>
            <w:r w:rsidRPr="00150EDC">
              <w:rPr>
                <w:spacing w:val="-5"/>
                <w:sz w:val="24"/>
              </w:rPr>
              <w:t xml:space="preserve"> </w:t>
            </w:r>
            <w:r w:rsidRPr="00150EDC">
              <w:rPr>
                <w:sz w:val="24"/>
              </w:rPr>
              <w:t>Delivery</w:t>
            </w:r>
            <w:r w:rsidRPr="00150EDC">
              <w:rPr>
                <w:spacing w:val="-3"/>
                <w:sz w:val="24"/>
              </w:rPr>
              <w:t xml:space="preserve"> </w:t>
            </w:r>
            <w:r w:rsidRPr="00150EDC">
              <w:rPr>
                <w:sz w:val="24"/>
              </w:rPr>
              <w:t>and</w:t>
            </w:r>
            <w:r w:rsidRPr="00150EDC">
              <w:rPr>
                <w:spacing w:val="-2"/>
                <w:sz w:val="24"/>
              </w:rPr>
              <w:t xml:space="preserve"> </w:t>
            </w:r>
            <w:r w:rsidRPr="00150EDC">
              <w:rPr>
                <w:sz w:val="24"/>
              </w:rPr>
              <w:t>Evaluation</w:t>
            </w:r>
            <w:r w:rsidRPr="00150EDC">
              <w:rPr>
                <w:spacing w:val="-2"/>
                <w:sz w:val="24"/>
              </w:rPr>
              <w:t xml:space="preserve"> Analysis</w:t>
            </w:r>
          </w:p>
        </w:tc>
      </w:tr>
      <w:tr w:rsidR="004569EE" w:rsidRPr="007D3144" w14:paraId="569B58C8" w14:textId="77777777">
        <w:trPr>
          <w:trHeight w:val="275"/>
        </w:trPr>
        <w:tc>
          <w:tcPr>
            <w:tcW w:w="1883" w:type="dxa"/>
            <w:tcBorders>
              <w:top w:val="single" w:sz="6" w:space="0" w:color="000000"/>
              <w:bottom w:val="single" w:sz="6" w:space="0" w:color="000000"/>
              <w:right w:val="single" w:sz="6" w:space="0" w:color="000000"/>
            </w:tcBorders>
          </w:tcPr>
          <w:p w14:paraId="521B2649" w14:textId="77777777" w:rsidR="004C7180" w:rsidRPr="00150EDC" w:rsidRDefault="00CF0754">
            <w:pPr>
              <w:pStyle w:val="TableParagraph"/>
              <w:spacing w:before="0" w:line="255" w:lineRule="exact"/>
              <w:ind w:left="75"/>
              <w:rPr>
                <w:sz w:val="24"/>
              </w:rPr>
            </w:pPr>
            <w:r w:rsidRPr="00150EDC">
              <w:rPr>
                <w:spacing w:val="-5"/>
                <w:sz w:val="24"/>
              </w:rPr>
              <w:t>ILR</w:t>
            </w:r>
          </w:p>
        </w:tc>
        <w:tc>
          <w:tcPr>
            <w:tcW w:w="6414" w:type="dxa"/>
            <w:tcBorders>
              <w:top w:val="single" w:sz="6" w:space="0" w:color="000000"/>
              <w:left w:val="single" w:sz="6" w:space="0" w:color="000000"/>
              <w:bottom w:val="single" w:sz="6" w:space="0" w:color="000000"/>
            </w:tcBorders>
          </w:tcPr>
          <w:p w14:paraId="7698950F" w14:textId="77777777" w:rsidR="004C7180" w:rsidRPr="00150EDC" w:rsidRDefault="00CF0754">
            <w:pPr>
              <w:pStyle w:val="TableParagraph"/>
              <w:spacing w:before="0" w:line="255" w:lineRule="exact"/>
              <w:ind w:left="99"/>
              <w:rPr>
                <w:sz w:val="24"/>
              </w:rPr>
            </w:pPr>
            <w:r w:rsidRPr="00150EDC">
              <w:rPr>
                <w:sz w:val="24"/>
              </w:rPr>
              <w:t>Individualised</w:t>
            </w:r>
            <w:r w:rsidRPr="00150EDC">
              <w:rPr>
                <w:spacing w:val="-6"/>
                <w:sz w:val="24"/>
              </w:rPr>
              <w:t xml:space="preserve"> </w:t>
            </w:r>
            <w:r w:rsidRPr="00150EDC">
              <w:rPr>
                <w:sz w:val="24"/>
              </w:rPr>
              <w:t>Learner</w:t>
            </w:r>
            <w:r w:rsidRPr="00150EDC">
              <w:rPr>
                <w:spacing w:val="-7"/>
                <w:sz w:val="24"/>
              </w:rPr>
              <w:t xml:space="preserve"> </w:t>
            </w:r>
            <w:r w:rsidRPr="00150EDC">
              <w:rPr>
                <w:spacing w:val="-2"/>
                <w:sz w:val="24"/>
              </w:rPr>
              <w:t>Record</w:t>
            </w:r>
          </w:p>
        </w:tc>
      </w:tr>
      <w:tr w:rsidR="004569EE" w:rsidRPr="007D3144" w14:paraId="6A9D855A" w14:textId="77777777">
        <w:trPr>
          <w:trHeight w:val="277"/>
        </w:trPr>
        <w:tc>
          <w:tcPr>
            <w:tcW w:w="1883" w:type="dxa"/>
            <w:tcBorders>
              <w:top w:val="single" w:sz="6" w:space="0" w:color="000000"/>
              <w:bottom w:val="single" w:sz="6" w:space="0" w:color="000000"/>
              <w:right w:val="single" w:sz="6" w:space="0" w:color="000000"/>
            </w:tcBorders>
          </w:tcPr>
          <w:p w14:paraId="20A9E612" w14:textId="77777777" w:rsidR="004C7180" w:rsidRPr="00150EDC" w:rsidRDefault="00CF0754">
            <w:pPr>
              <w:pStyle w:val="TableParagraph"/>
              <w:spacing w:before="2" w:line="255" w:lineRule="exact"/>
              <w:ind w:left="75"/>
              <w:rPr>
                <w:sz w:val="24"/>
              </w:rPr>
            </w:pPr>
            <w:r w:rsidRPr="00150EDC">
              <w:rPr>
                <w:spacing w:val="-5"/>
                <w:sz w:val="24"/>
              </w:rPr>
              <w:t>MCA</w:t>
            </w:r>
          </w:p>
        </w:tc>
        <w:tc>
          <w:tcPr>
            <w:tcW w:w="6414" w:type="dxa"/>
            <w:tcBorders>
              <w:top w:val="single" w:sz="6" w:space="0" w:color="000000"/>
              <w:left w:val="single" w:sz="6" w:space="0" w:color="000000"/>
              <w:bottom w:val="single" w:sz="6" w:space="0" w:color="000000"/>
            </w:tcBorders>
          </w:tcPr>
          <w:p w14:paraId="30EC0C38" w14:textId="77777777" w:rsidR="004C7180" w:rsidRPr="00150EDC" w:rsidRDefault="00CF0754">
            <w:pPr>
              <w:pStyle w:val="TableParagraph"/>
              <w:spacing w:before="2" w:line="255" w:lineRule="exact"/>
              <w:ind w:left="99"/>
              <w:rPr>
                <w:sz w:val="24"/>
              </w:rPr>
            </w:pPr>
            <w:r w:rsidRPr="00150EDC">
              <w:rPr>
                <w:sz w:val="24"/>
              </w:rPr>
              <w:t>Mayoral</w:t>
            </w:r>
            <w:r w:rsidRPr="00150EDC">
              <w:rPr>
                <w:spacing w:val="-4"/>
                <w:sz w:val="24"/>
              </w:rPr>
              <w:t xml:space="preserve"> </w:t>
            </w:r>
            <w:r w:rsidRPr="00150EDC">
              <w:rPr>
                <w:sz w:val="24"/>
              </w:rPr>
              <w:t>Combined</w:t>
            </w:r>
            <w:r w:rsidRPr="00150EDC">
              <w:rPr>
                <w:spacing w:val="-2"/>
                <w:sz w:val="24"/>
              </w:rPr>
              <w:t xml:space="preserve"> Authority</w:t>
            </w:r>
          </w:p>
        </w:tc>
      </w:tr>
      <w:tr w:rsidR="004569EE" w:rsidRPr="007D3144" w14:paraId="3F93DE26" w14:textId="77777777">
        <w:trPr>
          <w:trHeight w:val="275"/>
        </w:trPr>
        <w:tc>
          <w:tcPr>
            <w:tcW w:w="1883" w:type="dxa"/>
            <w:tcBorders>
              <w:top w:val="single" w:sz="6" w:space="0" w:color="000000"/>
              <w:bottom w:val="single" w:sz="6" w:space="0" w:color="000000"/>
              <w:right w:val="single" w:sz="6" w:space="0" w:color="000000"/>
            </w:tcBorders>
          </w:tcPr>
          <w:p w14:paraId="3811B2B3" w14:textId="77777777" w:rsidR="004C7180" w:rsidRPr="00150EDC" w:rsidRDefault="00CF0754">
            <w:pPr>
              <w:pStyle w:val="TableParagraph"/>
              <w:spacing w:before="0" w:line="255" w:lineRule="exact"/>
              <w:ind w:left="75"/>
              <w:rPr>
                <w:sz w:val="24"/>
              </w:rPr>
            </w:pPr>
            <w:r w:rsidRPr="00150EDC">
              <w:rPr>
                <w:spacing w:val="-5"/>
                <w:sz w:val="24"/>
              </w:rPr>
              <w:t>NPD</w:t>
            </w:r>
          </w:p>
        </w:tc>
        <w:tc>
          <w:tcPr>
            <w:tcW w:w="6414" w:type="dxa"/>
            <w:tcBorders>
              <w:top w:val="single" w:sz="6" w:space="0" w:color="000000"/>
              <w:left w:val="single" w:sz="6" w:space="0" w:color="000000"/>
              <w:bottom w:val="single" w:sz="6" w:space="0" w:color="000000"/>
            </w:tcBorders>
          </w:tcPr>
          <w:p w14:paraId="1A01512D" w14:textId="77777777" w:rsidR="004C7180" w:rsidRPr="00150EDC" w:rsidRDefault="00CF0754">
            <w:pPr>
              <w:pStyle w:val="TableParagraph"/>
              <w:spacing w:before="0" w:line="255" w:lineRule="exact"/>
              <w:ind w:left="99"/>
              <w:rPr>
                <w:sz w:val="24"/>
              </w:rPr>
            </w:pPr>
            <w:r w:rsidRPr="00150EDC">
              <w:rPr>
                <w:sz w:val="24"/>
              </w:rPr>
              <w:t>National</w:t>
            </w:r>
            <w:r w:rsidRPr="00150EDC">
              <w:rPr>
                <w:spacing w:val="-4"/>
                <w:sz w:val="24"/>
              </w:rPr>
              <w:t xml:space="preserve"> </w:t>
            </w:r>
            <w:r w:rsidRPr="00150EDC">
              <w:rPr>
                <w:sz w:val="24"/>
              </w:rPr>
              <w:t>Pupil</w:t>
            </w:r>
            <w:r w:rsidRPr="00150EDC">
              <w:rPr>
                <w:spacing w:val="-1"/>
                <w:sz w:val="24"/>
              </w:rPr>
              <w:t xml:space="preserve"> </w:t>
            </w:r>
            <w:r w:rsidRPr="00150EDC">
              <w:rPr>
                <w:spacing w:val="-2"/>
                <w:sz w:val="24"/>
              </w:rPr>
              <w:t>Database</w:t>
            </w:r>
          </w:p>
        </w:tc>
      </w:tr>
      <w:tr w:rsidR="004569EE" w:rsidRPr="007D3144" w14:paraId="085F9BE6" w14:textId="77777777">
        <w:trPr>
          <w:trHeight w:val="275"/>
        </w:trPr>
        <w:tc>
          <w:tcPr>
            <w:tcW w:w="1883" w:type="dxa"/>
            <w:tcBorders>
              <w:top w:val="single" w:sz="6" w:space="0" w:color="000000"/>
              <w:bottom w:val="single" w:sz="6" w:space="0" w:color="000000"/>
              <w:right w:val="single" w:sz="6" w:space="0" w:color="000000"/>
            </w:tcBorders>
          </w:tcPr>
          <w:p w14:paraId="26BE377D" w14:textId="77777777" w:rsidR="004C7180" w:rsidRPr="00150EDC" w:rsidRDefault="00CF0754">
            <w:pPr>
              <w:pStyle w:val="TableParagraph"/>
              <w:spacing w:before="0" w:line="255" w:lineRule="exact"/>
              <w:ind w:left="75"/>
              <w:rPr>
                <w:sz w:val="24"/>
              </w:rPr>
            </w:pPr>
            <w:r w:rsidRPr="00150EDC">
              <w:rPr>
                <w:spacing w:val="-5"/>
                <w:sz w:val="24"/>
              </w:rPr>
              <w:t>QED</w:t>
            </w:r>
          </w:p>
        </w:tc>
        <w:tc>
          <w:tcPr>
            <w:tcW w:w="6414" w:type="dxa"/>
            <w:tcBorders>
              <w:top w:val="single" w:sz="6" w:space="0" w:color="000000"/>
              <w:left w:val="single" w:sz="6" w:space="0" w:color="000000"/>
              <w:bottom w:val="single" w:sz="6" w:space="0" w:color="000000"/>
            </w:tcBorders>
          </w:tcPr>
          <w:p w14:paraId="6A638E86" w14:textId="77777777" w:rsidR="004C7180" w:rsidRPr="00150EDC" w:rsidRDefault="00CF0754">
            <w:pPr>
              <w:pStyle w:val="TableParagraph"/>
              <w:spacing w:before="0" w:line="255" w:lineRule="exact"/>
              <w:ind w:left="99"/>
              <w:rPr>
                <w:sz w:val="24"/>
              </w:rPr>
            </w:pPr>
            <w:r w:rsidRPr="00150EDC">
              <w:rPr>
                <w:sz w:val="24"/>
              </w:rPr>
              <w:t>Quasi-Experimental</w:t>
            </w:r>
            <w:r w:rsidRPr="00150EDC">
              <w:rPr>
                <w:spacing w:val="-7"/>
                <w:sz w:val="24"/>
              </w:rPr>
              <w:t xml:space="preserve"> </w:t>
            </w:r>
            <w:r w:rsidRPr="00150EDC">
              <w:rPr>
                <w:spacing w:val="-2"/>
                <w:sz w:val="24"/>
              </w:rPr>
              <w:t>Design</w:t>
            </w:r>
          </w:p>
        </w:tc>
      </w:tr>
      <w:tr w:rsidR="004569EE" w:rsidRPr="007D3144" w14:paraId="1A337977" w14:textId="77777777">
        <w:trPr>
          <w:trHeight w:val="275"/>
        </w:trPr>
        <w:tc>
          <w:tcPr>
            <w:tcW w:w="1883" w:type="dxa"/>
            <w:tcBorders>
              <w:top w:val="single" w:sz="6" w:space="0" w:color="000000"/>
              <w:bottom w:val="single" w:sz="6" w:space="0" w:color="000000"/>
              <w:right w:val="single" w:sz="6" w:space="0" w:color="000000"/>
            </w:tcBorders>
          </w:tcPr>
          <w:p w14:paraId="56EC8BA3" w14:textId="77777777" w:rsidR="004C7180" w:rsidRPr="00150EDC" w:rsidRDefault="00CF0754">
            <w:pPr>
              <w:pStyle w:val="TableParagraph"/>
              <w:spacing w:before="0" w:line="255" w:lineRule="exact"/>
              <w:ind w:left="75"/>
              <w:rPr>
                <w:sz w:val="24"/>
              </w:rPr>
            </w:pPr>
            <w:r w:rsidRPr="00150EDC">
              <w:rPr>
                <w:spacing w:val="-5"/>
                <w:sz w:val="24"/>
              </w:rPr>
              <w:t>RCT</w:t>
            </w:r>
          </w:p>
        </w:tc>
        <w:tc>
          <w:tcPr>
            <w:tcW w:w="6414" w:type="dxa"/>
            <w:tcBorders>
              <w:top w:val="single" w:sz="6" w:space="0" w:color="000000"/>
              <w:left w:val="single" w:sz="6" w:space="0" w:color="000000"/>
              <w:bottom w:val="single" w:sz="6" w:space="0" w:color="000000"/>
            </w:tcBorders>
          </w:tcPr>
          <w:p w14:paraId="4BB5D830" w14:textId="77777777" w:rsidR="004C7180" w:rsidRPr="00150EDC" w:rsidRDefault="00CF0754">
            <w:pPr>
              <w:pStyle w:val="TableParagraph"/>
              <w:spacing w:before="0" w:line="255" w:lineRule="exact"/>
              <w:ind w:left="99"/>
              <w:rPr>
                <w:sz w:val="24"/>
              </w:rPr>
            </w:pPr>
            <w:r w:rsidRPr="00150EDC">
              <w:rPr>
                <w:sz w:val="24"/>
              </w:rPr>
              <w:t>Randomised</w:t>
            </w:r>
            <w:r w:rsidRPr="00150EDC">
              <w:rPr>
                <w:spacing w:val="-5"/>
                <w:sz w:val="24"/>
              </w:rPr>
              <w:t xml:space="preserve"> </w:t>
            </w:r>
            <w:r w:rsidRPr="00150EDC">
              <w:rPr>
                <w:sz w:val="24"/>
              </w:rPr>
              <w:t>Controlled</w:t>
            </w:r>
            <w:r w:rsidRPr="00150EDC">
              <w:rPr>
                <w:spacing w:val="-5"/>
                <w:sz w:val="24"/>
              </w:rPr>
              <w:t xml:space="preserve"> </w:t>
            </w:r>
            <w:r w:rsidRPr="00150EDC">
              <w:rPr>
                <w:spacing w:val="-2"/>
                <w:sz w:val="24"/>
              </w:rPr>
              <w:t>Trial</w:t>
            </w:r>
          </w:p>
        </w:tc>
      </w:tr>
      <w:tr w:rsidR="004569EE" w:rsidRPr="007D3144" w14:paraId="6F36396C" w14:textId="77777777">
        <w:trPr>
          <w:trHeight w:val="278"/>
        </w:trPr>
        <w:tc>
          <w:tcPr>
            <w:tcW w:w="1883" w:type="dxa"/>
            <w:tcBorders>
              <w:top w:val="single" w:sz="6" w:space="0" w:color="000000"/>
              <w:right w:val="single" w:sz="6" w:space="0" w:color="000000"/>
            </w:tcBorders>
          </w:tcPr>
          <w:p w14:paraId="43C77D68" w14:textId="77777777" w:rsidR="004C7180" w:rsidRPr="00150EDC" w:rsidRDefault="00CF0754">
            <w:pPr>
              <w:pStyle w:val="TableParagraph"/>
              <w:spacing w:before="2" w:line="256" w:lineRule="exact"/>
              <w:ind w:left="75"/>
              <w:rPr>
                <w:sz w:val="24"/>
              </w:rPr>
            </w:pPr>
            <w:r w:rsidRPr="00150EDC">
              <w:rPr>
                <w:spacing w:val="-2"/>
                <w:sz w:val="24"/>
              </w:rPr>
              <w:t>UKSPF</w:t>
            </w:r>
          </w:p>
        </w:tc>
        <w:tc>
          <w:tcPr>
            <w:tcW w:w="6414" w:type="dxa"/>
            <w:tcBorders>
              <w:top w:val="single" w:sz="6" w:space="0" w:color="000000"/>
              <w:left w:val="single" w:sz="6" w:space="0" w:color="000000"/>
            </w:tcBorders>
          </w:tcPr>
          <w:p w14:paraId="5722DAF1" w14:textId="77777777" w:rsidR="004C7180" w:rsidRPr="00150EDC" w:rsidRDefault="00CF0754">
            <w:pPr>
              <w:pStyle w:val="TableParagraph"/>
              <w:spacing w:before="2" w:line="256" w:lineRule="exact"/>
              <w:ind w:left="99"/>
              <w:rPr>
                <w:sz w:val="24"/>
              </w:rPr>
            </w:pPr>
            <w:r w:rsidRPr="00150EDC">
              <w:rPr>
                <w:sz w:val="24"/>
              </w:rPr>
              <w:t>United</w:t>
            </w:r>
            <w:r w:rsidRPr="00150EDC">
              <w:rPr>
                <w:spacing w:val="-4"/>
                <w:sz w:val="24"/>
              </w:rPr>
              <w:t xml:space="preserve"> </w:t>
            </w:r>
            <w:r w:rsidRPr="00150EDC">
              <w:rPr>
                <w:sz w:val="24"/>
              </w:rPr>
              <w:t>Kingdom</w:t>
            </w:r>
            <w:r w:rsidRPr="00150EDC">
              <w:rPr>
                <w:spacing w:val="-5"/>
                <w:sz w:val="24"/>
              </w:rPr>
              <w:t xml:space="preserve"> </w:t>
            </w:r>
            <w:r w:rsidRPr="00150EDC">
              <w:rPr>
                <w:sz w:val="24"/>
              </w:rPr>
              <w:t>Shared</w:t>
            </w:r>
            <w:r w:rsidRPr="00150EDC">
              <w:rPr>
                <w:spacing w:val="-3"/>
                <w:sz w:val="24"/>
              </w:rPr>
              <w:t xml:space="preserve"> </w:t>
            </w:r>
            <w:r w:rsidRPr="00150EDC">
              <w:rPr>
                <w:sz w:val="24"/>
              </w:rPr>
              <w:t>Prosperity</w:t>
            </w:r>
            <w:r w:rsidRPr="00150EDC">
              <w:rPr>
                <w:spacing w:val="-4"/>
                <w:sz w:val="24"/>
              </w:rPr>
              <w:t xml:space="preserve"> Fund</w:t>
            </w:r>
          </w:p>
        </w:tc>
      </w:tr>
    </w:tbl>
    <w:p w14:paraId="0E45D754" w14:textId="77777777" w:rsidR="004C7180" w:rsidRPr="00150EDC" w:rsidRDefault="004C7180">
      <w:pPr>
        <w:pStyle w:val="BodyText"/>
        <w:spacing w:before="1"/>
        <w:rPr>
          <w:b/>
          <w:sz w:val="59"/>
        </w:rPr>
      </w:pPr>
    </w:p>
    <w:p w14:paraId="286264FE" w14:textId="77777777" w:rsidR="004C7180" w:rsidRPr="00150EDC" w:rsidRDefault="00CF0754">
      <w:pPr>
        <w:pStyle w:val="Heading1"/>
        <w:numPr>
          <w:ilvl w:val="0"/>
          <w:numId w:val="30"/>
        </w:numPr>
        <w:tabs>
          <w:tab w:val="left" w:pos="1756"/>
        </w:tabs>
        <w:ind w:left="1756" w:hanging="356"/>
      </w:pPr>
      <w:bookmarkStart w:id="79" w:name="3._Background_to_Multiply_and_Policy_Nee"/>
      <w:bookmarkStart w:id="80" w:name="_bookmark6"/>
      <w:bookmarkEnd w:id="79"/>
      <w:bookmarkEnd w:id="80"/>
      <w:r w:rsidRPr="00150EDC">
        <w:t>Background</w:t>
      </w:r>
      <w:r w:rsidRPr="00150EDC">
        <w:rPr>
          <w:spacing w:val="-3"/>
        </w:rPr>
        <w:t xml:space="preserve"> </w:t>
      </w:r>
      <w:r w:rsidRPr="00150EDC">
        <w:t>to</w:t>
      </w:r>
      <w:r w:rsidRPr="00150EDC">
        <w:rPr>
          <w:spacing w:val="-2"/>
        </w:rPr>
        <w:t xml:space="preserve"> </w:t>
      </w:r>
      <w:r w:rsidRPr="00150EDC">
        <w:t>Multiply</w:t>
      </w:r>
      <w:r w:rsidRPr="00150EDC">
        <w:rPr>
          <w:spacing w:val="-5"/>
        </w:rPr>
        <w:t xml:space="preserve"> </w:t>
      </w:r>
      <w:r w:rsidRPr="00150EDC">
        <w:t>and</w:t>
      </w:r>
      <w:r w:rsidRPr="00150EDC">
        <w:rPr>
          <w:spacing w:val="-4"/>
        </w:rPr>
        <w:t xml:space="preserve"> </w:t>
      </w:r>
      <w:r w:rsidRPr="00150EDC">
        <w:t>Policy</w:t>
      </w:r>
      <w:r w:rsidRPr="00150EDC">
        <w:rPr>
          <w:spacing w:val="-4"/>
        </w:rPr>
        <w:t xml:space="preserve"> Need</w:t>
      </w:r>
    </w:p>
    <w:p w14:paraId="61C935F2" w14:textId="296A7105" w:rsidR="004C7180" w:rsidRPr="00150EDC" w:rsidRDefault="00CF0754">
      <w:pPr>
        <w:pStyle w:val="BodyText"/>
        <w:spacing w:before="284" w:line="276" w:lineRule="auto"/>
        <w:ind w:left="1400" w:right="1520"/>
      </w:pPr>
      <w:r w:rsidRPr="00150EDC">
        <w:t>Seventeen</w:t>
      </w:r>
      <w:r w:rsidRPr="00150EDC">
        <w:rPr>
          <w:spacing w:val="-4"/>
        </w:rPr>
        <w:t xml:space="preserve"> </w:t>
      </w:r>
      <w:r w:rsidRPr="00150EDC">
        <w:t>million</w:t>
      </w:r>
      <w:r w:rsidRPr="00150EDC">
        <w:rPr>
          <w:spacing w:val="-2"/>
        </w:rPr>
        <w:t xml:space="preserve"> </w:t>
      </w:r>
      <w:r w:rsidRPr="00150EDC">
        <w:t>adults</w:t>
      </w:r>
      <w:r w:rsidRPr="00150EDC">
        <w:rPr>
          <w:spacing w:val="-3"/>
        </w:rPr>
        <w:t xml:space="preserve"> </w:t>
      </w:r>
      <w:r w:rsidRPr="00150EDC">
        <w:t>in</w:t>
      </w:r>
      <w:r w:rsidRPr="00150EDC">
        <w:rPr>
          <w:spacing w:val="-2"/>
        </w:rPr>
        <w:t xml:space="preserve"> </w:t>
      </w:r>
      <w:r w:rsidRPr="00150EDC">
        <w:t>England</w:t>
      </w:r>
      <w:r w:rsidRPr="00150EDC">
        <w:rPr>
          <w:spacing w:val="-2"/>
        </w:rPr>
        <w:t xml:space="preserve"> </w:t>
      </w:r>
      <w:r w:rsidRPr="00150EDC">
        <w:t>-</w:t>
      </w:r>
      <w:r w:rsidRPr="00150EDC">
        <w:rPr>
          <w:spacing w:val="-4"/>
        </w:rPr>
        <w:t xml:space="preserve"> </w:t>
      </w:r>
      <w:r w:rsidRPr="00150EDC">
        <w:t>have</w:t>
      </w:r>
      <w:r w:rsidRPr="00150EDC">
        <w:rPr>
          <w:spacing w:val="-4"/>
        </w:rPr>
        <w:t xml:space="preserve"> </w:t>
      </w:r>
      <w:r w:rsidRPr="00150EDC">
        <w:t>everyday</w:t>
      </w:r>
      <w:r w:rsidRPr="00150EDC">
        <w:rPr>
          <w:spacing w:val="-5"/>
        </w:rPr>
        <w:t xml:space="preserve"> </w:t>
      </w:r>
      <w:r w:rsidRPr="00150EDC">
        <w:t>maths</w:t>
      </w:r>
      <w:r w:rsidRPr="00150EDC">
        <w:rPr>
          <w:spacing w:val="-3"/>
        </w:rPr>
        <w:t xml:space="preserve"> </w:t>
      </w:r>
      <w:r w:rsidRPr="00150EDC">
        <w:t>skills</w:t>
      </w:r>
      <w:r w:rsidRPr="00150EDC">
        <w:rPr>
          <w:spacing w:val="-3"/>
        </w:rPr>
        <w:t xml:space="preserve"> </w:t>
      </w:r>
      <w:r w:rsidRPr="00150EDC">
        <w:t>roughly</w:t>
      </w:r>
      <w:r w:rsidRPr="00150EDC">
        <w:rPr>
          <w:spacing w:val="-3"/>
        </w:rPr>
        <w:t xml:space="preserve"> </w:t>
      </w:r>
      <w:r w:rsidRPr="00150EDC">
        <w:t>equivalent to those expected of a primary school child (Entry Level)</w:t>
      </w:r>
      <w:hyperlink w:anchor="_bookmark7" w:history="1">
        <w:r w:rsidRPr="00150EDC">
          <w:rPr>
            <w:rFonts w:ascii="Times New Roman" w:hAnsi="Times New Roman"/>
            <w:position w:val="8"/>
            <w:sz w:val="14"/>
          </w:rPr>
          <w:t>3</w:t>
        </w:r>
      </w:hyperlink>
      <w:r w:rsidRPr="00150EDC">
        <w:t>. This compares poorly internationally – below the OECD average</w:t>
      </w:r>
      <w:hyperlink w:anchor="_bookmark8" w:history="1">
        <w:r w:rsidRPr="00150EDC">
          <w:rPr>
            <w:rFonts w:ascii="Times New Roman" w:hAnsi="Times New Roman"/>
            <w:position w:val="8"/>
            <w:sz w:val="14"/>
          </w:rPr>
          <w:t>4</w:t>
        </w:r>
      </w:hyperlink>
      <w:r w:rsidRPr="00150EDC">
        <w:t>. To boost existing efforts to address these</w:t>
      </w:r>
      <w:r w:rsidRPr="00150EDC">
        <w:rPr>
          <w:spacing w:val="-2"/>
        </w:rPr>
        <w:t xml:space="preserve"> </w:t>
      </w:r>
      <w:r w:rsidRPr="00150EDC">
        <w:t>low</w:t>
      </w:r>
      <w:r w:rsidRPr="00150EDC">
        <w:rPr>
          <w:spacing w:val="-1"/>
        </w:rPr>
        <w:t xml:space="preserve"> </w:t>
      </w:r>
      <w:r w:rsidRPr="00150EDC">
        <w:t>levels</w:t>
      </w:r>
      <w:r w:rsidRPr="00150EDC">
        <w:rPr>
          <w:spacing w:val="-3"/>
        </w:rPr>
        <w:t xml:space="preserve"> </w:t>
      </w:r>
      <w:r w:rsidRPr="00150EDC">
        <w:t>of adult numeracy,</w:t>
      </w:r>
      <w:r w:rsidRPr="00150EDC">
        <w:rPr>
          <w:spacing w:val="-3"/>
        </w:rPr>
        <w:t xml:space="preserve"> </w:t>
      </w:r>
      <w:r w:rsidRPr="00150EDC">
        <w:t>the UK Government has</w:t>
      </w:r>
      <w:r w:rsidRPr="00150EDC">
        <w:rPr>
          <w:spacing w:val="-3"/>
        </w:rPr>
        <w:t xml:space="preserve"> </w:t>
      </w:r>
      <w:r w:rsidRPr="00150EDC">
        <w:t>committed that</w:t>
      </w:r>
      <w:r w:rsidRPr="00150EDC">
        <w:rPr>
          <w:spacing w:val="-3"/>
        </w:rPr>
        <w:t xml:space="preserve"> </w:t>
      </w:r>
      <w:r w:rsidRPr="00150EDC">
        <w:t>the first priority of the new UK Shared Prosperity Fund (UKSPF) is the Multiply adult numeracy programme.</w:t>
      </w:r>
      <w:r w:rsidRPr="00150EDC">
        <w:rPr>
          <w:spacing w:val="40"/>
        </w:rPr>
        <w:t xml:space="preserve"> </w:t>
      </w:r>
      <w:r w:rsidRPr="00150EDC">
        <w:t>The Department for Education is responsible</w:t>
      </w:r>
    </w:p>
    <w:p w14:paraId="7F275E4D" w14:textId="77777777" w:rsidR="004C7180" w:rsidRPr="00150EDC" w:rsidRDefault="004C7180">
      <w:pPr>
        <w:pStyle w:val="BodyText"/>
        <w:rPr>
          <w:sz w:val="20"/>
        </w:rPr>
      </w:pPr>
    </w:p>
    <w:p w14:paraId="2459A490" w14:textId="77777777" w:rsidR="004C7180" w:rsidRPr="00150EDC" w:rsidRDefault="00CF0754">
      <w:pPr>
        <w:pStyle w:val="BodyText"/>
        <w:spacing w:before="5"/>
        <w:rPr>
          <w:sz w:val="14"/>
        </w:rPr>
      </w:pPr>
      <w:r w:rsidRPr="00150EDC">
        <w:rPr>
          <w:noProof/>
          <w:lang w:val="en-GB" w:eastAsia="en-GB"/>
        </w:rPr>
        <mc:AlternateContent>
          <mc:Choice Requires="wps">
            <w:drawing>
              <wp:anchor distT="0" distB="0" distL="0" distR="0" simplePos="0" relativeHeight="251658279" behindDoc="1" locked="0" layoutInCell="1" allowOverlap="1" wp14:anchorId="75A7E849" wp14:editId="458724DE">
                <wp:simplePos x="0" y="0"/>
                <wp:positionH relativeFrom="page">
                  <wp:posOffset>914400</wp:posOffset>
                </wp:positionH>
                <wp:positionV relativeFrom="paragraph">
                  <wp:posOffset>121268</wp:posOffset>
                </wp:positionV>
                <wp:extent cx="1828800" cy="9525"/>
                <wp:effectExtent l="0" t="0" r="0" b="0"/>
                <wp:wrapTopAndBottom/>
                <wp:docPr id="276" name="Free-form: Shape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FA08D9E" id="Free-form: Shape 276" o:spid="_x0000_s1026" style="position:absolute;margin-left:1in;margin-top:9.55pt;width:2in;height:.75pt;z-index:-251658201;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" path="m1828800,l,,,9143r1828800,l1828800,xe" fillcolor="black" stroked="f">
                <v:path arrowok="t"/>
                <w10:wrap type="topAndBottom" anchorx="page"/>
              </v:shape>
            </w:pict>
          </mc:Fallback>
        </mc:AlternateContent>
      </w:r>
    </w:p>
    <w:p w14:paraId="1E0AF411" w14:textId="77777777" w:rsidR="004C7180" w:rsidRPr="00150EDC" w:rsidRDefault="00CF0754">
      <w:pPr>
        <w:pStyle w:val="BodyText"/>
        <w:spacing w:before="101"/>
        <w:ind w:left="1400"/>
      </w:pPr>
      <w:bookmarkStart w:id="81" w:name="_bookmark7"/>
      <w:bookmarkEnd w:id="81"/>
      <w:r w:rsidRPr="00150EDC">
        <w:rPr>
          <w:rFonts w:ascii="Times New Roman"/>
          <w:position w:val="6"/>
          <w:sz w:val="10"/>
        </w:rPr>
        <w:t>3</w:t>
      </w:r>
      <w:r w:rsidRPr="00150EDC">
        <w:rPr>
          <w:rFonts w:ascii="Times New Roman"/>
          <w:spacing w:val="15"/>
          <w:position w:val="6"/>
          <w:sz w:val="10"/>
        </w:rPr>
        <w:t xml:space="preserve"> </w:t>
      </w:r>
      <w:hyperlink r:id="rId100">
        <w:r w:rsidRPr="007D3144">
          <w:rPr>
            <w:u w:val="single" w:color="0000FF"/>
          </w:rPr>
          <w:t>IWP0006</w:t>
        </w:r>
        <w:r w:rsidRPr="007D3144">
          <w:rPr>
            <w:spacing w:val="-2"/>
            <w:u w:val="single" w:color="0000FF"/>
          </w:rPr>
          <w:t xml:space="preserve"> </w:t>
        </w:r>
        <w:r w:rsidRPr="007D3144">
          <w:rPr>
            <w:u w:val="single" w:color="0000FF"/>
          </w:rPr>
          <w:t>-</w:t>
        </w:r>
        <w:r w:rsidRPr="007D3144">
          <w:rPr>
            <w:spacing w:val="-5"/>
            <w:u w:val="single" w:color="0000FF"/>
          </w:rPr>
          <w:t xml:space="preserve"> </w:t>
        </w:r>
        <w:r w:rsidRPr="007D3144">
          <w:rPr>
            <w:u w:val="single" w:color="0000FF"/>
          </w:rPr>
          <w:t>Evidence</w:t>
        </w:r>
        <w:r w:rsidRPr="007D3144">
          <w:rPr>
            <w:spacing w:val="-2"/>
            <w:u w:val="single" w:color="0000FF"/>
          </w:rPr>
          <w:t xml:space="preserve"> </w:t>
        </w:r>
        <w:r w:rsidRPr="007D3144">
          <w:rPr>
            <w:u w:val="single" w:color="0000FF"/>
          </w:rPr>
          <w:t>on</w:t>
        </w:r>
        <w:r w:rsidRPr="007D3144">
          <w:rPr>
            <w:spacing w:val="-2"/>
            <w:u w:val="single" w:color="0000FF"/>
          </w:rPr>
          <w:t xml:space="preserve"> </w:t>
        </w:r>
        <w:r w:rsidRPr="007D3144">
          <w:rPr>
            <w:u w:val="single" w:color="0000FF"/>
          </w:rPr>
          <w:t>Universal</w:t>
        </w:r>
        <w:r w:rsidRPr="007D3144">
          <w:rPr>
            <w:spacing w:val="-3"/>
            <w:u w:val="single" w:color="0000FF"/>
          </w:rPr>
          <w:t xml:space="preserve"> </w:t>
        </w:r>
        <w:r w:rsidRPr="007D3144">
          <w:rPr>
            <w:u w:val="single" w:color="0000FF"/>
          </w:rPr>
          <w:t>Credit</w:t>
        </w:r>
        <w:r w:rsidRPr="007D3144">
          <w:rPr>
            <w:spacing w:val="-2"/>
            <w:u w:val="single" w:color="0000FF"/>
          </w:rPr>
          <w:t xml:space="preserve"> </w:t>
        </w:r>
        <w:r w:rsidRPr="007D3144">
          <w:rPr>
            <w:u w:val="single" w:color="0000FF"/>
          </w:rPr>
          <w:t>in-work</w:t>
        </w:r>
        <w:r w:rsidRPr="007D3144">
          <w:rPr>
            <w:spacing w:val="-3"/>
            <w:u w:val="single" w:color="0000FF"/>
          </w:rPr>
          <w:t xml:space="preserve"> </w:t>
        </w:r>
        <w:r w:rsidRPr="007D3144">
          <w:rPr>
            <w:u w:val="single" w:color="0000FF"/>
          </w:rPr>
          <w:t>progression</w:t>
        </w:r>
        <w:r w:rsidRPr="007D3144">
          <w:rPr>
            <w:spacing w:val="-2"/>
            <w:u w:val="single" w:color="0000FF"/>
          </w:rPr>
          <w:t xml:space="preserve"> (parliament.uk)</w:t>
        </w:r>
      </w:hyperlink>
    </w:p>
    <w:p w14:paraId="2541FC28" w14:textId="77777777" w:rsidR="004C7180" w:rsidRPr="00150EDC" w:rsidRDefault="004C7180">
      <w:pPr>
        <w:sectPr w:rsidR="004C7180" w:rsidRPr="00150EDC">
          <w:pgSz w:w="11910" w:h="16840"/>
          <w:pgMar w:top="1220" w:right="0" w:bottom="660" w:left="40" w:header="149" w:footer="465" w:gutter="0"/>
          <w:cols w:space="720"/>
        </w:sectPr>
      </w:pPr>
    </w:p>
    <w:p w14:paraId="6F73450C" w14:textId="77777777" w:rsidR="004C7180" w:rsidRPr="00150EDC" w:rsidRDefault="004C7180">
      <w:pPr>
        <w:pStyle w:val="BodyText"/>
        <w:spacing w:before="1"/>
        <w:rPr>
          <w:sz w:val="10"/>
        </w:rPr>
      </w:pPr>
    </w:p>
    <w:p w14:paraId="342CD83E" w14:textId="27E5754C" w:rsidR="004C7180" w:rsidRPr="00150EDC" w:rsidRDefault="00CF0754">
      <w:pPr>
        <w:pStyle w:val="BodyText"/>
        <w:spacing w:before="92" w:line="276" w:lineRule="auto"/>
        <w:ind w:left="1400" w:right="1459"/>
      </w:pPr>
      <w:r w:rsidRPr="00150EDC">
        <w:t>for</w:t>
      </w:r>
      <w:r w:rsidRPr="00150EDC">
        <w:rPr>
          <w:spacing w:val="-3"/>
        </w:rPr>
        <w:t xml:space="preserve"> </w:t>
      </w:r>
      <w:r w:rsidRPr="00150EDC">
        <w:t>delivery</w:t>
      </w:r>
      <w:r w:rsidRPr="00150EDC">
        <w:rPr>
          <w:spacing w:val="-2"/>
        </w:rPr>
        <w:t xml:space="preserve"> </w:t>
      </w:r>
      <w:r w:rsidRPr="00150EDC">
        <w:t>of</w:t>
      </w:r>
      <w:r w:rsidRPr="00150EDC">
        <w:rPr>
          <w:spacing w:val="-1"/>
        </w:rPr>
        <w:t xml:space="preserve"> </w:t>
      </w:r>
      <w:r w:rsidRPr="00150EDC">
        <w:t>up</w:t>
      </w:r>
      <w:r w:rsidRPr="00150EDC">
        <w:rPr>
          <w:spacing w:val="-1"/>
        </w:rPr>
        <w:t xml:space="preserve"> </w:t>
      </w:r>
      <w:r w:rsidRPr="00150EDC">
        <w:t>to</w:t>
      </w:r>
      <w:r w:rsidRPr="00150EDC">
        <w:rPr>
          <w:spacing w:val="-3"/>
        </w:rPr>
        <w:t xml:space="preserve"> </w:t>
      </w:r>
      <w:r w:rsidRPr="00150EDC">
        <w:t>£270</w:t>
      </w:r>
      <w:r w:rsidRPr="00150EDC">
        <w:rPr>
          <w:spacing w:val="-3"/>
        </w:rPr>
        <w:t xml:space="preserve"> </w:t>
      </w:r>
      <w:r w:rsidRPr="00150EDC">
        <w:t>million</w:t>
      </w:r>
      <w:r w:rsidRPr="00150EDC">
        <w:rPr>
          <w:spacing w:val="-1"/>
        </w:rPr>
        <w:t xml:space="preserve"> </w:t>
      </w:r>
      <w:r w:rsidRPr="00150EDC">
        <w:t>funding</w:t>
      </w:r>
      <w:r w:rsidRPr="00150EDC">
        <w:rPr>
          <w:spacing w:val="-1"/>
        </w:rPr>
        <w:t xml:space="preserve"> </w:t>
      </w:r>
      <w:r w:rsidRPr="00150EDC">
        <w:t>to</w:t>
      </w:r>
      <w:r w:rsidRPr="00150EDC">
        <w:rPr>
          <w:spacing w:val="-3"/>
        </w:rPr>
        <w:t xml:space="preserve"> </w:t>
      </w:r>
      <w:r w:rsidRPr="00150EDC">
        <w:t>local</w:t>
      </w:r>
      <w:r w:rsidRPr="00150EDC">
        <w:rPr>
          <w:spacing w:val="-2"/>
        </w:rPr>
        <w:t xml:space="preserve"> </w:t>
      </w:r>
      <w:r w:rsidRPr="00150EDC">
        <w:t>authorities</w:t>
      </w:r>
      <w:r w:rsidRPr="00150EDC">
        <w:rPr>
          <w:spacing w:val="-2"/>
        </w:rPr>
        <w:t xml:space="preserve"> </w:t>
      </w:r>
      <w:r w:rsidRPr="00150EDC">
        <w:t>in</w:t>
      </w:r>
      <w:r w:rsidRPr="00150EDC">
        <w:rPr>
          <w:spacing w:val="-3"/>
        </w:rPr>
        <w:t xml:space="preserve"> </w:t>
      </w:r>
      <w:r w:rsidRPr="00150EDC">
        <w:t>England,</w:t>
      </w:r>
      <w:r w:rsidR="00293D50" w:rsidRPr="00150EDC">
        <w:t xml:space="preserve"> to deliver innovative numeracy interventions</w:t>
      </w:r>
      <w:r w:rsidR="00293D50" w:rsidRPr="00150EDC">
        <w:rPr>
          <w:spacing w:val="-4"/>
        </w:rPr>
        <w:t>. The department is also building the evidence base on what works,</w:t>
      </w:r>
      <w:r w:rsidRPr="00150EDC">
        <w:rPr>
          <w:spacing w:val="-4"/>
        </w:rPr>
        <w:t xml:space="preserve"> </w:t>
      </w:r>
      <w:r w:rsidR="007D5F9B" w:rsidRPr="00150EDC">
        <w:t xml:space="preserve">to improve adult numeracy as well as driving demand to the programme through targeted communications. </w:t>
      </w:r>
      <w:r w:rsidRPr="00150EDC">
        <w:t>It</w:t>
      </w:r>
      <w:r w:rsidRPr="00150EDC">
        <w:rPr>
          <w:spacing w:val="-2"/>
        </w:rPr>
        <w:t xml:space="preserve"> </w:t>
      </w:r>
      <w:r w:rsidRPr="00150EDC">
        <w:t>is expected that local areas will invest in meaningful adult numeracy provision to improve adult functional numeracy skills in daily life, home, and work.</w:t>
      </w:r>
    </w:p>
    <w:p w14:paraId="3770982B" w14:textId="77777777" w:rsidR="004C7180" w:rsidRPr="00150EDC" w:rsidRDefault="004C7180">
      <w:pPr>
        <w:pStyle w:val="BodyText"/>
        <w:spacing w:before="4"/>
      </w:pPr>
    </w:p>
    <w:p w14:paraId="758A74B2" w14:textId="77777777" w:rsidR="004C7180" w:rsidRPr="00150EDC" w:rsidRDefault="00CF0754">
      <w:pPr>
        <w:pStyle w:val="BodyText"/>
        <w:spacing w:before="1" w:line="276" w:lineRule="auto"/>
        <w:ind w:left="1400" w:right="1459"/>
      </w:pPr>
      <w:r w:rsidRPr="00150EDC">
        <w:t>The</w:t>
      </w:r>
      <w:r w:rsidRPr="00150EDC">
        <w:rPr>
          <w:spacing w:val="-3"/>
        </w:rPr>
        <w:t xml:space="preserve"> </w:t>
      </w:r>
      <w:r w:rsidRPr="00150EDC">
        <w:t>Department</w:t>
      </w:r>
      <w:r w:rsidRPr="00150EDC">
        <w:rPr>
          <w:spacing w:val="-5"/>
        </w:rPr>
        <w:t xml:space="preserve"> </w:t>
      </w:r>
      <w:r w:rsidRPr="00150EDC">
        <w:t>for</w:t>
      </w:r>
      <w:r w:rsidRPr="00150EDC">
        <w:rPr>
          <w:spacing w:val="-4"/>
        </w:rPr>
        <w:t xml:space="preserve"> </w:t>
      </w:r>
      <w:r w:rsidRPr="00150EDC">
        <w:t>Levelling</w:t>
      </w:r>
      <w:r w:rsidRPr="00150EDC">
        <w:rPr>
          <w:spacing w:val="-3"/>
        </w:rPr>
        <w:t xml:space="preserve"> </w:t>
      </w:r>
      <w:r w:rsidRPr="00150EDC">
        <w:t>Up,</w:t>
      </w:r>
      <w:r w:rsidRPr="00150EDC">
        <w:rPr>
          <w:spacing w:val="-3"/>
        </w:rPr>
        <w:t xml:space="preserve"> </w:t>
      </w:r>
      <w:r w:rsidRPr="00150EDC">
        <w:t>Housing</w:t>
      </w:r>
      <w:r w:rsidRPr="00150EDC">
        <w:rPr>
          <w:spacing w:val="-4"/>
        </w:rPr>
        <w:t xml:space="preserve"> </w:t>
      </w:r>
      <w:r w:rsidRPr="00150EDC">
        <w:t>and</w:t>
      </w:r>
      <w:r w:rsidRPr="00150EDC">
        <w:rPr>
          <w:spacing w:val="-3"/>
        </w:rPr>
        <w:t xml:space="preserve"> </w:t>
      </w:r>
      <w:r w:rsidRPr="00150EDC">
        <w:t>Communities</w:t>
      </w:r>
      <w:r w:rsidRPr="00150EDC">
        <w:rPr>
          <w:spacing w:val="-4"/>
        </w:rPr>
        <w:t xml:space="preserve"> </w:t>
      </w:r>
      <w:r w:rsidRPr="00150EDC">
        <w:t>(DLUHC)</w:t>
      </w:r>
      <w:r w:rsidRPr="00150EDC">
        <w:rPr>
          <w:spacing w:val="-4"/>
        </w:rPr>
        <w:t xml:space="preserve"> </w:t>
      </w:r>
      <w:r w:rsidRPr="00150EDC">
        <w:t>is</w:t>
      </w:r>
      <w:r w:rsidRPr="00150EDC">
        <w:rPr>
          <w:spacing w:val="-4"/>
        </w:rPr>
        <w:t xml:space="preserve"> </w:t>
      </w:r>
      <w:r w:rsidRPr="00150EDC">
        <w:t>responsible for c£160 million funding for delivery of Multiply in Scotland, Wales and Northern Ireland, in line with the broader UK Shared Prosperity Fund (UKSPF).</w:t>
      </w:r>
    </w:p>
    <w:p w14:paraId="5BABD104" w14:textId="77777777" w:rsidR="004C7180" w:rsidRPr="00150EDC" w:rsidRDefault="004C7180">
      <w:pPr>
        <w:pStyle w:val="BodyText"/>
        <w:spacing w:before="6"/>
        <w:rPr>
          <w:sz w:val="27"/>
        </w:rPr>
      </w:pPr>
    </w:p>
    <w:p w14:paraId="697E6622" w14:textId="77777777" w:rsidR="004C7180" w:rsidRPr="00150EDC" w:rsidRDefault="00CF0754">
      <w:pPr>
        <w:pStyle w:val="BodyText"/>
        <w:spacing w:before="1" w:line="273" w:lineRule="auto"/>
        <w:ind w:left="1400" w:right="1435"/>
        <w:jc w:val="both"/>
      </w:pPr>
      <w:r w:rsidRPr="00150EDC">
        <w:t>Adults</w:t>
      </w:r>
      <w:r w:rsidRPr="00150EDC">
        <w:rPr>
          <w:spacing w:val="-7"/>
        </w:rPr>
        <w:t xml:space="preserve"> </w:t>
      </w:r>
      <w:r w:rsidRPr="00150EDC">
        <w:t>in</w:t>
      </w:r>
      <w:r w:rsidRPr="00150EDC">
        <w:rPr>
          <w:spacing w:val="-6"/>
        </w:rPr>
        <w:t xml:space="preserve"> </w:t>
      </w:r>
      <w:r w:rsidRPr="00150EDC">
        <w:t>England</w:t>
      </w:r>
      <w:r w:rsidRPr="00150EDC">
        <w:rPr>
          <w:spacing w:val="-8"/>
        </w:rPr>
        <w:t xml:space="preserve"> </w:t>
      </w:r>
      <w:r w:rsidRPr="00150EDC">
        <w:t>have</w:t>
      </w:r>
      <w:r w:rsidRPr="00150EDC">
        <w:rPr>
          <w:spacing w:val="-8"/>
        </w:rPr>
        <w:t xml:space="preserve"> </w:t>
      </w:r>
      <w:r w:rsidRPr="00150EDC">
        <w:t>a</w:t>
      </w:r>
      <w:r w:rsidRPr="00150EDC">
        <w:rPr>
          <w:spacing w:val="-6"/>
        </w:rPr>
        <w:t xml:space="preserve"> </w:t>
      </w:r>
      <w:r w:rsidRPr="00150EDC">
        <w:t>statutory</w:t>
      </w:r>
      <w:r w:rsidRPr="00150EDC">
        <w:rPr>
          <w:spacing w:val="-7"/>
        </w:rPr>
        <w:t xml:space="preserve"> </w:t>
      </w:r>
      <w:r w:rsidRPr="00150EDC">
        <w:t>entitlement</w:t>
      </w:r>
      <w:r w:rsidRPr="00150EDC">
        <w:rPr>
          <w:spacing w:val="-9"/>
        </w:rPr>
        <w:t xml:space="preserve"> </w:t>
      </w:r>
      <w:r w:rsidRPr="00150EDC">
        <w:t>to</w:t>
      </w:r>
      <w:r w:rsidRPr="00150EDC">
        <w:rPr>
          <w:spacing w:val="-6"/>
        </w:rPr>
        <w:t xml:space="preserve"> </w:t>
      </w:r>
      <w:r w:rsidRPr="00150EDC">
        <w:t>fully</w:t>
      </w:r>
      <w:r w:rsidRPr="00150EDC">
        <w:rPr>
          <w:spacing w:val="-7"/>
        </w:rPr>
        <w:t xml:space="preserve"> </w:t>
      </w:r>
      <w:r w:rsidRPr="00150EDC">
        <w:t>funded</w:t>
      </w:r>
      <w:r w:rsidRPr="00150EDC">
        <w:rPr>
          <w:spacing w:val="-6"/>
        </w:rPr>
        <w:t xml:space="preserve"> </w:t>
      </w:r>
      <w:r w:rsidRPr="00150EDC">
        <w:t>English</w:t>
      </w:r>
      <w:r w:rsidRPr="00150EDC">
        <w:rPr>
          <w:spacing w:val="-8"/>
        </w:rPr>
        <w:t xml:space="preserve"> </w:t>
      </w:r>
      <w:r w:rsidRPr="00150EDC">
        <w:t>and</w:t>
      </w:r>
      <w:r w:rsidRPr="00150EDC">
        <w:rPr>
          <w:spacing w:val="-6"/>
        </w:rPr>
        <w:t xml:space="preserve"> </w:t>
      </w:r>
      <w:r w:rsidRPr="00150EDC">
        <w:t>Maths</w:t>
      </w:r>
      <w:r w:rsidRPr="00150EDC">
        <w:rPr>
          <w:spacing w:val="-7"/>
        </w:rPr>
        <w:t xml:space="preserve"> </w:t>
      </w:r>
      <w:r w:rsidRPr="00150EDC">
        <w:t>up</w:t>
      </w:r>
      <w:r w:rsidRPr="00150EDC">
        <w:rPr>
          <w:spacing w:val="-6"/>
        </w:rPr>
        <w:t xml:space="preserve"> </w:t>
      </w:r>
      <w:r w:rsidRPr="00150EDC">
        <w:t>to Level</w:t>
      </w:r>
      <w:r w:rsidRPr="00150EDC">
        <w:rPr>
          <w:spacing w:val="-5"/>
        </w:rPr>
        <w:t xml:space="preserve"> </w:t>
      </w:r>
      <w:r w:rsidRPr="00150EDC">
        <w:t>2</w:t>
      </w:r>
      <w:r w:rsidRPr="00150EDC">
        <w:rPr>
          <w:spacing w:val="-3"/>
        </w:rPr>
        <w:t xml:space="preserve"> </w:t>
      </w:r>
      <w:r w:rsidRPr="00150EDC">
        <w:t>(GCSE)</w:t>
      </w:r>
      <w:r w:rsidRPr="00150EDC">
        <w:rPr>
          <w:spacing w:val="-5"/>
        </w:rPr>
        <w:t xml:space="preserve"> </w:t>
      </w:r>
      <w:r w:rsidRPr="00150EDC">
        <w:t>through</w:t>
      </w:r>
      <w:r w:rsidRPr="00150EDC">
        <w:rPr>
          <w:spacing w:val="-3"/>
        </w:rPr>
        <w:t xml:space="preserve"> </w:t>
      </w:r>
      <w:r w:rsidRPr="00150EDC">
        <w:t>the</w:t>
      </w:r>
      <w:r w:rsidRPr="00150EDC">
        <w:rPr>
          <w:spacing w:val="-3"/>
        </w:rPr>
        <w:t xml:space="preserve"> </w:t>
      </w:r>
      <w:r w:rsidRPr="00150EDC">
        <w:t>Adult</w:t>
      </w:r>
      <w:r w:rsidRPr="00150EDC">
        <w:rPr>
          <w:spacing w:val="-4"/>
        </w:rPr>
        <w:t xml:space="preserve"> </w:t>
      </w:r>
      <w:r w:rsidRPr="00150EDC">
        <w:t>Education</w:t>
      </w:r>
      <w:r w:rsidRPr="00150EDC">
        <w:rPr>
          <w:spacing w:val="-6"/>
        </w:rPr>
        <w:t xml:space="preserve"> </w:t>
      </w:r>
      <w:r w:rsidRPr="00150EDC">
        <w:t>Budget.</w:t>
      </w:r>
      <w:r w:rsidRPr="00150EDC">
        <w:rPr>
          <w:spacing w:val="-4"/>
        </w:rPr>
        <w:t xml:space="preserve"> </w:t>
      </w:r>
      <w:r w:rsidRPr="00150EDC">
        <w:t>However,</w:t>
      </w:r>
      <w:r w:rsidRPr="00150EDC">
        <w:rPr>
          <w:spacing w:val="-4"/>
        </w:rPr>
        <w:t xml:space="preserve"> </w:t>
      </w:r>
      <w:r w:rsidRPr="00150EDC">
        <w:t>take</w:t>
      </w:r>
      <w:r w:rsidRPr="00150EDC">
        <w:rPr>
          <w:spacing w:val="-6"/>
        </w:rPr>
        <w:t xml:space="preserve"> </w:t>
      </w:r>
      <w:r w:rsidRPr="00150EDC">
        <w:t>up</w:t>
      </w:r>
      <w:r w:rsidRPr="00150EDC">
        <w:rPr>
          <w:spacing w:val="-3"/>
        </w:rPr>
        <w:t xml:space="preserve"> </w:t>
      </w:r>
      <w:r w:rsidRPr="00150EDC">
        <w:t>is</w:t>
      </w:r>
      <w:r w:rsidRPr="00150EDC">
        <w:rPr>
          <w:spacing w:val="-4"/>
        </w:rPr>
        <w:t xml:space="preserve"> </w:t>
      </w:r>
      <w:r w:rsidRPr="00150EDC">
        <w:t>low</w:t>
      </w:r>
      <w:r w:rsidRPr="00150EDC">
        <w:rPr>
          <w:spacing w:val="-5"/>
        </w:rPr>
        <w:t xml:space="preserve"> </w:t>
      </w:r>
      <w:r w:rsidRPr="00150EDC">
        <w:t>relative to the eligible population. Of the 10 million adults without a Level 2 in English and/or Maths,</w:t>
      </w:r>
      <w:r w:rsidRPr="00150EDC">
        <w:rPr>
          <w:spacing w:val="-19"/>
        </w:rPr>
        <w:t xml:space="preserve"> </w:t>
      </w:r>
      <w:r w:rsidRPr="00150EDC">
        <w:t>only</w:t>
      </w:r>
      <w:r w:rsidRPr="00150EDC">
        <w:rPr>
          <w:spacing w:val="-15"/>
        </w:rPr>
        <w:t xml:space="preserve"> </w:t>
      </w:r>
      <w:r w:rsidRPr="00150EDC">
        <w:t>344,000</w:t>
      </w:r>
      <w:r w:rsidRPr="00150EDC">
        <w:rPr>
          <w:spacing w:val="-15"/>
        </w:rPr>
        <w:t xml:space="preserve"> </w:t>
      </w:r>
      <w:r w:rsidRPr="00150EDC">
        <w:t>took</w:t>
      </w:r>
      <w:r w:rsidRPr="00150EDC">
        <w:rPr>
          <w:spacing w:val="-14"/>
        </w:rPr>
        <w:t xml:space="preserve"> </w:t>
      </w:r>
      <w:r w:rsidRPr="00150EDC">
        <w:t>funded</w:t>
      </w:r>
      <w:r w:rsidRPr="00150EDC">
        <w:rPr>
          <w:spacing w:val="-13"/>
        </w:rPr>
        <w:t xml:space="preserve"> </w:t>
      </w:r>
      <w:r w:rsidRPr="00150EDC">
        <w:t>English</w:t>
      </w:r>
      <w:r w:rsidRPr="00150EDC">
        <w:rPr>
          <w:spacing w:val="-15"/>
        </w:rPr>
        <w:t xml:space="preserve"> </w:t>
      </w:r>
      <w:r w:rsidRPr="00150EDC">
        <w:t>and</w:t>
      </w:r>
      <w:r w:rsidRPr="00150EDC">
        <w:rPr>
          <w:spacing w:val="-17"/>
        </w:rPr>
        <w:t xml:space="preserve"> </w:t>
      </w:r>
      <w:r w:rsidRPr="00150EDC">
        <w:t>Maths</w:t>
      </w:r>
      <w:r w:rsidRPr="00150EDC">
        <w:rPr>
          <w:spacing w:val="-14"/>
        </w:rPr>
        <w:t xml:space="preserve"> </w:t>
      </w:r>
      <w:r w:rsidRPr="00150EDC">
        <w:t>Level</w:t>
      </w:r>
      <w:r w:rsidRPr="00150EDC">
        <w:rPr>
          <w:spacing w:val="-16"/>
        </w:rPr>
        <w:t xml:space="preserve"> </w:t>
      </w:r>
      <w:r w:rsidRPr="00150EDC">
        <w:t>2</w:t>
      </w:r>
      <w:r w:rsidRPr="00150EDC">
        <w:rPr>
          <w:spacing w:val="-13"/>
        </w:rPr>
        <w:t xml:space="preserve"> </w:t>
      </w:r>
      <w:r w:rsidRPr="00150EDC">
        <w:t>qualifications</w:t>
      </w:r>
      <w:r w:rsidRPr="00150EDC">
        <w:rPr>
          <w:spacing w:val="-14"/>
        </w:rPr>
        <w:t xml:space="preserve"> </w:t>
      </w:r>
      <w:r w:rsidRPr="00150EDC">
        <w:t>in</w:t>
      </w:r>
      <w:r w:rsidRPr="00150EDC">
        <w:rPr>
          <w:spacing w:val="-15"/>
        </w:rPr>
        <w:t xml:space="preserve"> </w:t>
      </w:r>
      <w:r w:rsidRPr="00150EDC">
        <w:rPr>
          <w:spacing w:val="-2"/>
        </w:rPr>
        <w:t>2018/19</w:t>
      </w:r>
      <w:hyperlink w:anchor="_bookmark9" w:history="1">
        <w:r w:rsidRPr="00150EDC">
          <w:rPr>
            <w:spacing w:val="-2"/>
            <w:position w:val="8"/>
            <w:sz w:val="16"/>
          </w:rPr>
          <w:t>5</w:t>
        </w:r>
      </w:hyperlink>
      <w:r w:rsidRPr="00150EDC">
        <w:rPr>
          <w:spacing w:val="-2"/>
        </w:rPr>
        <w:t>.</w:t>
      </w:r>
    </w:p>
    <w:p w14:paraId="312124D5" w14:textId="77777777" w:rsidR="004C7180" w:rsidRPr="00150EDC" w:rsidRDefault="004C7180">
      <w:pPr>
        <w:pStyle w:val="BodyText"/>
        <w:rPr>
          <w:sz w:val="28"/>
        </w:rPr>
      </w:pPr>
    </w:p>
    <w:p w14:paraId="5F8ECA3B" w14:textId="77777777" w:rsidR="004C7180" w:rsidRPr="00150EDC" w:rsidRDefault="00CF0754">
      <w:pPr>
        <w:pStyle w:val="BodyText"/>
        <w:spacing w:before="1" w:line="276" w:lineRule="auto"/>
        <w:ind w:left="1400" w:right="1435"/>
        <w:jc w:val="both"/>
      </w:pPr>
      <w:r w:rsidRPr="00150EDC">
        <w:t>This</w:t>
      </w:r>
      <w:r w:rsidRPr="00150EDC">
        <w:rPr>
          <w:spacing w:val="-3"/>
        </w:rPr>
        <w:t xml:space="preserve"> </w:t>
      </w:r>
      <w:r w:rsidRPr="00150EDC">
        <w:t>enhanced</w:t>
      </w:r>
      <w:r w:rsidRPr="00150EDC">
        <w:rPr>
          <w:spacing w:val="-2"/>
        </w:rPr>
        <w:t xml:space="preserve"> </w:t>
      </w:r>
      <w:r w:rsidRPr="00150EDC">
        <w:t>provision</w:t>
      </w:r>
      <w:r w:rsidRPr="00150EDC">
        <w:rPr>
          <w:spacing w:val="-2"/>
        </w:rPr>
        <w:t xml:space="preserve"> </w:t>
      </w:r>
      <w:r w:rsidRPr="00150EDC">
        <w:t>will</w:t>
      </w:r>
      <w:r w:rsidRPr="00150EDC">
        <w:rPr>
          <w:spacing w:val="-3"/>
        </w:rPr>
        <w:t xml:space="preserve"> </w:t>
      </w:r>
      <w:r w:rsidRPr="00150EDC">
        <w:t>allow</w:t>
      </w:r>
      <w:r w:rsidRPr="00150EDC">
        <w:rPr>
          <w:spacing w:val="-3"/>
        </w:rPr>
        <w:t xml:space="preserve"> </w:t>
      </w:r>
      <w:r w:rsidRPr="00150EDC">
        <w:t>all</w:t>
      </w:r>
      <w:r w:rsidRPr="00150EDC">
        <w:rPr>
          <w:spacing w:val="-3"/>
        </w:rPr>
        <w:t xml:space="preserve"> </w:t>
      </w:r>
      <w:r w:rsidRPr="00150EDC">
        <w:t>adults</w:t>
      </w:r>
      <w:r w:rsidRPr="00150EDC">
        <w:rPr>
          <w:spacing w:val="-5"/>
        </w:rPr>
        <w:t xml:space="preserve"> </w:t>
      </w:r>
      <w:r w:rsidRPr="00150EDC">
        <w:t>19+</w:t>
      </w:r>
      <w:r w:rsidRPr="00150EDC">
        <w:rPr>
          <w:spacing w:val="-4"/>
        </w:rPr>
        <w:t xml:space="preserve"> </w:t>
      </w:r>
      <w:r w:rsidRPr="00150EDC">
        <w:t>who</w:t>
      </w:r>
      <w:r w:rsidRPr="00150EDC">
        <w:rPr>
          <w:spacing w:val="-2"/>
        </w:rPr>
        <w:t xml:space="preserve"> </w:t>
      </w:r>
      <w:r w:rsidRPr="00150EDC">
        <w:t>want</w:t>
      </w:r>
      <w:r w:rsidRPr="00150EDC">
        <w:rPr>
          <w:spacing w:val="-2"/>
        </w:rPr>
        <w:t xml:space="preserve"> </w:t>
      </w:r>
      <w:r w:rsidRPr="00150EDC">
        <w:t>to</w:t>
      </w:r>
      <w:r w:rsidRPr="00150EDC">
        <w:rPr>
          <w:spacing w:val="-2"/>
        </w:rPr>
        <w:t xml:space="preserve"> </w:t>
      </w:r>
      <w:r w:rsidRPr="00150EDC">
        <w:t>improve</w:t>
      </w:r>
      <w:r w:rsidRPr="00150EDC">
        <w:rPr>
          <w:spacing w:val="-2"/>
        </w:rPr>
        <w:t xml:space="preserve"> </w:t>
      </w:r>
      <w:r w:rsidRPr="00150EDC">
        <w:t>their</w:t>
      </w:r>
      <w:r w:rsidRPr="00150EDC">
        <w:rPr>
          <w:spacing w:val="-4"/>
        </w:rPr>
        <w:t xml:space="preserve"> </w:t>
      </w:r>
      <w:r w:rsidRPr="00150EDC">
        <w:t>numeracy (up</w:t>
      </w:r>
      <w:r w:rsidRPr="00150EDC">
        <w:rPr>
          <w:spacing w:val="-8"/>
        </w:rPr>
        <w:t xml:space="preserve"> </w:t>
      </w:r>
      <w:r w:rsidRPr="00150EDC">
        <w:t>to,</w:t>
      </w:r>
      <w:r w:rsidRPr="00150EDC">
        <w:rPr>
          <w:spacing w:val="-11"/>
        </w:rPr>
        <w:t xml:space="preserve"> </w:t>
      </w:r>
      <w:r w:rsidRPr="00150EDC">
        <w:t>and</w:t>
      </w:r>
      <w:r w:rsidRPr="00150EDC">
        <w:rPr>
          <w:spacing w:val="-11"/>
        </w:rPr>
        <w:t xml:space="preserve"> </w:t>
      </w:r>
      <w:r w:rsidRPr="00150EDC">
        <w:t>including,</w:t>
      </w:r>
      <w:r w:rsidRPr="00150EDC">
        <w:rPr>
          <w:spacing w:val="-11"/>
        </w:rPr>
        <w:t xml:space="preserve"> </w:t>
      </w:r>
      <w:r w:rsidRPr="00150EDC">
        <w:t>Level</w:t>
      </w:r>
      <w:r w:rsidRPr="00150EDC">
        <w:rPr>
          <w:spacing w:val="-12"/>
        </w:rPr>
        <w:t xml:space="preserve"> </w:t>
      </w:r>
      <w:r w:rsidRPr="00150EDC">
        <w:t>2</w:t>
      </w:r>
      <w:r w:rsidRPr="00150EDC">
        <w:rPr>
          <w:spacing w:val="-11"/>
        </w:rPr>
        <w:t xml:space="preserve"> </w:t>
      </w:r>
      <w:r w:rsidRPr="00150EDC">
        <w:t>or</w:t>
      </w:r>
      <w:r w:rsidRPr="00150EDC">
        <w:rPr>
          <w:spacing w:val="-12"/>
        </w:rPr>
        <w:t xml:space="preserve"> </w:t>
      </w:r>
      <w:r w:rsidRPr="00150EDC">
        <w:t>equivalent),</w:t>
      </w:r>
      <w:r w:rsidRPr="00150EDC">
        <w:rPr>
          <w:spacing w:val="-11"/>
        </w:rPr>
        <w:t xml:space="preserve"> </w:t>
      </w:r>
      <w:r w:rsidRPr="00150EDC">
        <w:t>who</w:t>
      </w:r>
      <w:r w:rsidRPr="00150EDC">
        <w:rPr>
          <w:spacing w:val="-11"/>
        </w:rPr>
        <w:t xml:space="preserve"> </w:t>
      </w:r>
      <w:r w:rsidRPr="00150EDC">
        <w:t>do</w:t>
      </w:r>
      <w:r w:rsidRPr="00150EDC">
        <w:rPr>
          <w:spacing w:val="-11"/>
        </w:rPr>
        <w:t xml:space="preserve"> </w:t>
      </w:r>
      <w:r w:rsidRPr="00150EDC">
        <w:t>not</w:t>
      </w:r>
      <w:r w:rsidRPr="00150EDC">
        <w:rPr>
          <w:spacing w:val="-11"/>
        </w:rPr>
        <w:t xml:space="preserve"> </w:t>
      </w:r>
      <w:r w:rsidRPr="00150EDC">
        <w:t>currently</w:t>
      </w:r>
      <w:r w:rsidRPr="00150EDC">
        <w:rPr>
          <w:spacing w:val="-12"/>
        </w:rPr>
        <w:t xml:space="preserve"> </w:t>
      </w:r>
      <w:r w:rsidRPr="00150EDC">
        <w:t>have</w:t>
      </w:r>
      <w:r w:rsidRPr="00150EDC">
        <w:rPr>
          <w:spacing w:val="-8"/>
        </w:rPr>
        <w:t xml:space="preserve"> </w:t>
      </w:r>
      <w:r w:rsidRPr="00150EDC">
        <w:t>a</w:t>
      </w:r>
      <w:r w:rsidRPr="00150EDC">
        <w:rPr>
          <w:spacing w:val="-11"/>
        </w:rPr>
        <w:t xml:space="preserve"> </w:t>
      </w:r>
      <w:r w:rsidRPr="00150EDC">
        <w:t>GCSE</w:t>
      </w:r>
      <w:r w:rsidRPr="00150EDC">
        <w:rPr>
          <w:spacing w:val="-11"/>
        </w:rPr>
        <w:t xml:space="preserve"> </w:t>
      </w:r>
      <w:r w:rsidRPr="00150EDC">
        <w:t>Grade 4 / C or equivalent in maths, whether in employment or not, to access free flexible courses that</w:t>
      </w:r>
      <w:r w:rsidRPr="00150EDC">
        <w:rPr>
          <w:spacing w:val="-1"/>
        </w:rPr>
        <w:t xml:space="preserve"> </w:t>
      </w:r>
      <w:r w:rsidRPr="00150EDC">
        <w:t>fit</w:t>
      </w:r>
      <w:r w:rsidRPr="00150EDC">
        <w:rPr>
          <w:spacing w:val="-1"/>
        </w:rPr>
        <w:t xml:space="preserve"> </w:t>
      </w:r>
      <w:r w:rsidRPr="00150EDC">
        <w:t>around</w:t>
      </w:r>
      <w:r w:rsidRPr="00150EDC">
        <w:rPr>
          <w:spacing w:val="-1"/>
        </w:rPr>
        <w:t xml:space="preserve"> </w:t>
      </w:r>
      <w:r w:rsidRPr="00150EDC">
        <w:t>their lives, whether that be</w:t>
      </w:r>
      <w:r w:rsidRPr="00150EDC">
        <w:rPr>
          <w:spacing w:val="-1"/>
        </w:rPr>
        <w:t xml:space="preserve"> </w:t>
      </w:r>
      <w:r w:rsidRPr="00150EDC">
        <w:t>at</w:t>
      </w:r>
      <w:r w:rsidRPr="00150EDC">
        <w:rPr>
          <w:spacing w:val="-1"/>
        </w:rPr>
        <w:t xml:space="preserve"> </w:t>
      </w:r>
      <w:r w:rsidRPr="00150EDC">
        <w:t>work or in</w:t>
      </w:r>
      <w:r w:rsidRPr="00150EDC">
        <w:rPr>
          <w:spacing w:val="-1"/>
        </w:rPr>
        <w:t xml:space="preserve"> </w:t>
      </w:r>
      <w:r w:rsidRPr="00150EDC">
        <w:t>the evening, part time or intensive.</w:t>
      </w:r>
    </w:p>
    <w:p w14:paraId="03F124E2" w14:textId="77777777" w:rsidR="004C7180" w:rsidRPr="00150EDC" w:rsidRDefault="004C7180">
      <w:pPr>
        <w:pStyle w:val="BodyText"/>
        <w:spacing w:before="5"/>
        <w:rPr>
          <w:sz w:val="27"/>
        </w:rPr>
      </w:pPr>
    </w:p>
    <w:p w14:paraId="5520B7B5" w14:textId="77777777" w:rsidR="004C7180" w:rsidRPr="00150EDC" w:rsidRDefault="00CF0754">
      <w:pPr>
        <w:pStyle w:val="BodyText"/>
        <w:spacing w:line="276" w:lineRule="auto"/>
        <w:ind w:left="1400" w:right="1459"/>
      </w:pPr>
      <w:r w:rsidRPr="00150EDC">
        <w:t>Multiply</w:t>
      </w:r>
      <w:r w:rsidRPr="00150EDC">
        <w:rPr>
          <w:spacing w:val="-3"/>
        </w:rPr>
        <w:t xml:space="preserve"> </w:t>
      </w:r>
      <w:r w:rsidRPr="00150EDC">
        <w:t>funding</w:t>
      </w:r>
      <w:r w:rsidRPr="00150EDC">
        <w:rPr>
          <w:spacing w:val="-2"/>
        </w:rPr>
        <w:t xml:space="preserve"> </w:t>
      </w:r>
      <w:r w:rsidRPr="00150EDC">
        <w:t>is</w:t>
      </w:r>
      <w:r w:rsidRPr="00150EDC">
        <w:rPr>
          <w:spacing w:val="-5"/>
        </w:rPr>
        <w:t xml:space="preserve"> </w:t>
      </w:r>
      <w:r w:rsidRPr="00150EDC">
        <w:t>additional</w:t>
      </w:r>
      <w:r w:rsidRPr="00150EDC">
        <w:rPr>
          <w:spacing w:val="-6"/>
        </w:rPr>
        <w:t xml:space="preserve"> </w:t>
      </w:r>
      <w:r w:rsidRPr="00150EDC">
        <w:t>and</w:t>
      </w:r>
      <w:r w:rsidRPr="00150EDC">
        <w:rPr>
          <w:spacing w:val="-4"/>
        </w:rPr>
        <w:t xml:space="preserve"> </w:t>
      </w:r>
      <w:r w:rsidRPr="00150EDC">
        <w:t>differentiated</w:t>
      </w:r>
      <w:r w:rsidRPr="00150EDC">
        <w:rPr>
          <w:spacing w:val="-2"/>
        </w:rPr>
        <w:t xml:space="preserve"> </w:t>
      </w:r>
      <w:r w:rsidRPr="00150EDC">
        <w:t>from</w:t>
      </w:r>
      <w:r w:rsidRPr="00150EDC">
        <w:rPr>
          <w:spacing w:val="-1"/>
        </w:rPr>
        <w:t xml:space="preserve"> </w:t>
      </w:r>
      <w:r w:rsidRPr="00150EDC">
        <w:t>that</w:t>
      </w:r>
      <w:r w:rsidRPr="00150EDC">
        <w:rPr>
          <w:spacing w:val="-2"/>
        </w:rPr>
        <w:t xml:space="preserve"> </w:t>
      </w:r>
      <w:r w:rsidRPr="00150EDC">
        <w:t>which</w:t>
      </w:r>
      <w:r w:rsidRPr="00150EDC">
        <w:rPr>
          <w:spacing w:val="-2"/>
        </w:rPr>
        <w:t xml:space="preserve"> </w:t>
      </w:r>
      <w:r w:rsidRPr="00150EDC">
        <w:t>is</w:t>
      </w:r>
      <w:r w:rsidRPr="00150EDC">
        <w:rPr>
          <w:spacing w:val="-3"/>
        </w:rPr>
        <w:t xml:space="preserve"> </w:t>
      </w:r>
      <w:r w:rsidRPr="00150EDC">
        <w:t>already</w:t>
      </w:r>
      <w:r w:rsidRPr="00150EDC">
        <w:rPr>
          <w:spacing w:val="-5"/>
        </w:rPr>
        <w:t xml:space="preserve"> </w:t>
      </w:r>
      <w:r w:rsidRPr="00150EDC">
        <w:t>fully</w:t>
      </w:r>
      <w:r w:rsidRPr="00150EDC">
        <w:rPr>
          <w:spacing w:val="-3"/>
        </w:rPr>
        <w:t xml:space="preserve"> </w:t>
      </w:r>
      <w:r w:rsidRPr="00150EDC">
        <w:t>funded through the Adult Education Budget (AEB) legal entitlement and should not displace that provision. Multiply funding is ring-fenced for numeracy interventions, and it is expected that it will, in large part, flow to harder-to-reach learners.</w:t>
      </w:r>
    </w:p>
    <w:p w14:paraId="63349124" w14:textId="77777777" w:rsidR="004C7180" w:rsidRPr="00150EDC" w:rsidRDefault="004C7180">
      <w:pPr>
        <w:pStyle w:val="BodyText"/>
        <w:spacing w:before="5"/>
      </w:pPr>
    </w:p>
    <w:p w14:paraId="72B0EB9D" w14:textId="77777777" w:rsidR="004C7180" w:rsidRPr="00150EDC" w:rsidRDefault="00CF0754">
      <w:pPr>
        <w:pStyle w:val="BodyText"/>
        <w:ind w:left="1400" w:right="1682"/>
      </w:pPr>
      <w:r w:rsidRPr="00150EDC">
        <w:t>The overall objective of Multiply is to increase</w:t>
      </w:r>
      <w:r w:rsidRPr="00150EDC">
        <w:rPr>
          <w:spacing w:val="-1"/>
        </w:rPr>
        <w:t xml:space="preserve"> </w:t>
      </w:r>
      <w:r w:rsidRPr="00150EDC">
        <w:t>the levels of functional</w:t>
      </w:r>
      <w:r w:rsidRPr="00150EDC">
        <w:rPr>
          <w:spacing w:val="-3"/>
        </w:rPr>
        <w:t xml:space="preserve"> </w:t>
      </w:r>
      <w:r w:rsidRPr="00150EDC">
        <w:t>numeracy in the adult population across the UK, as well as strengthening the evidence base around</w:t>
      </w:r>
      <w:r w:rsidRPr="00150EDC">
        <w:rPr>
          <w:spacing w:val="-2"/>
        </w:rPr>
        <w:t xml:space="preserve"> </w:t>
      </w:r>
      <w:r w:rsidRPr="00150EDC">
        <w:t>what</w:t>
      </w:r>
      <w:r w:rsidRPr="00150EDC">
        <w:rPr>
          <w:spacing w:val="-2"/>
        </w:rPr>
        <w:t xml:space="preserve"> </w:t>
      </w:r>
      <w:r w:rsidRPr="00150EDC">
        <w:t>works</w:t>
      </w:r>
      <w:r w:rsidRPr="00150EDC">
        <w:rPr>
          <w:spacing w:val="-3"/>
        </w:rPr>
        <w:t xml:space="preserve"> </w:t>
      </w:r>
      <w:r w:rsidRPr="00150EDC">
        <w:t>to</w:t>
      </w:r>
      <w:r w:rsidRPr="00150EDC">
        <w:rPr>
          <w:spacing w:val="-4"/>
        </w:rPr>
        <w:t xml:space="preserve"> </w:t>
      </w:r>
      <w:r w:rsidRPr="00150EDC">
        <w:t>improve</w:t>
      </w:r>
      <w:r w:rsidRPr="00150EDC">
        <w:rPr>
          <w:spacing w:val="-2"/>
        </w:rPr>
        <w:t xml:space="preserve"> </w:t>
      </w:r>
      <w:r w:rsidRPr="00150EDC">
        <w:t>adult</w:t>
      </w:r>
      <w:r w:rsidRPr="00150EDC">
        <w:rPr>
          <w:spacing w:val="-2"/>
        </w:rPr>
        <w:t xml:space="preserve"> </w:t>
      </w:r>
      <w:r w:rsidRPr="00150EDC">
        <w:t>numeracy</w:t>
      </w:r>
      <w:r w:rsidRPr="00150EDC">
        <w:rPr>
          <w:spacing w:val="-3"/>
        </w:rPr>
        <w:t xml:space="preserve"> </w:t>
      </w:r>
      <w:r w:rsidRPr="00150EDC">
        <w:t>and</w:t>
      </w:r>
      <w:r w:rsidRPr="00150EDC">
        <w:rPr>
          <w:spacing w:val="-4"/>
        </w:rPr>
        <w:t xml:space="preserve"> </w:t>
      </w:r>
      <w:r w:rsidRPr="00150EDC">
        <w:t>to</w:t>
      </w:r>
      <w:r w:rsidRPr="00150EDC">
        <w:rPr>
          <w:spacing w:val="-2"/>
        </w:rPr>
        <w:t xml:space="preserve"> </w:t>
      </w:r>
      <w:r w:rsidRPr="00150EDC">
        <w:t>share</w:t>
      </w:r>
      <w:r w:rsidRPr="00150EDC">
        <w:rPr>
          <w:spacing w:val="-4"/>
        </w:rPr>
        <w:t xml:space="preserve"> </w:t>
      </w:r>
      <w:r w:rsidRPr="00150EDC">
        <w:t>this</w:t>
      </w:r>
      <w:r w:rsidRPr="00150EDC">
        <w:rPr>
          <w:spacing w:val="-3"/>
        </w:rPr>
        <w:t xml:space="preserve"> </w:t>
      </w:r>
      <w:r w:rsidRPr="00150EDC">
        <w:t>with</w:t>
      </w:r>
      <w:r w:rsidRPr="00150EDC">
        <w:rPr>
          <w:spacing w:val="-4"/>
        </w:rPr>
        <w:t xml:space="preserve"> </w:t>
      </w:r>
      <w:r w:rsidRPr="00150EDC">
        <w:t>practitioners, inform local delivery and to increase positive outcomes.</w:t>
      </w:r>
    </w:p>
    <w:p w14:paraId="084BE890" w14:textId="77777777" w:rsidR="004C7180" w:rsidRPr="00150EDC" w:rsidRDefault="004C7180">
      <w:pPr>
        <w:pStyle w:val="BodyText"/>
        <w:spacing w:before="5"/>
      </w:pPr>
    </w:p>
    <w:p w14:paraId="63259FF9" w14:textId="77777777" w:rsidR="004C7180" w:rsidRPr="00150EDC" w:rsidRDefault="00CF0754">
      <w:pPr>
        <w:pStyle w:val="BodyText"/>
        <w:ind w:left="1400"/>
      </w:pPr>
      <w:r w:rsidRPr="00150EDC">
        <w:t>Related</w:t>
      </w:r>
      <w:r w:rsidRPr="00150EDC">
        <w:rPr>
          <w:spacing w:val="-4"/>
        </w:rPr>
        <w:t xml:space="preserve"> </w:t>
      </w:r>
      <w:r w:rsidRPr="00150EDC">
        <w:t>to</w:t>
      </w:r>
      <w:r w:rsidRPr="00150EDC">
        <w:rPr>
          <w:spacing w:val="-3"/>
        </w:rPr>
        <w:t xml:space="preserve"> </w:t>
      </w:r>
      <w:r w:rsidRPr="00150EDC">
        <w:t>this,</w:t>
      </w:r>
      <w:r w:rsidRPr="00150EDC">
        <w:rPr>
          <w:spacing w:val="-1"/>
        </w:rPr>
        <w:t xml:space="preserve"> </w:t>
      </w:r>
      <w:r w:rsidRPr="00150EDC">
        <w:t>the</w:t>
      </w:r>
      <w:r w:rsidRPr="00150EDC">
        <w:rPr>
          <w:spacing w:val="-4"/>
        </w:rPr>
        <w:t xml:space="preserve"> </w:t>
      </w:r>
      <w:r w:rsidRPr="00150EDC">
        <w:t>high-level</w:t>
      </w:r>
      <w:r w:rsidRPr="00150EDC">
        <w:rPr>
          <w:spacing w:val="-2"/>
        </w:rPr>
        <w:t xml:space="preserve"> </w:t>
      </w:r>
      <w:r w:rsidRPr="00150EDC">
        <w:t>outcomes</w:t>
      </w:r>
      <w:r w:rsidRPr="00150EDC">
        <w:rPr>
          <w:spacing w:val="-2"/>
        </w:rPr>
        <w:t xml:space="preserve"> </w:t>
      </w:r>
      <w:r w:rsidRPr="00150EDC">
        <w:t>for</w:t>
      </w:r>
      <w:r w:rsidRPr="00150EDC">
        <w:rPr>
          <w:spacing w:val="-4"/>
        </w:rPr>
        <w:t xml:space="preserve"> </w:t>
      </w:r>
      <w:r w:rsidRPr="00150EDC">
        <w:t>the</w:t>
      </w:r>
      <w:r w:rsidRPr="00150EDC">
        <w:rPr>
          <w:spacing w:val="-1"/>
        </w:rPr>
        <w:t xml:space="preserve"> </w:t>
      </w:r>
      <w:r w:rsidRPr="00150EDC">
        <w:t>programme</w:t>
      </w:r>
      <w:r w:rsidRPr="00150EDC">
        <w:rPr>
          <w:spacing w:val="-3"/>
        </w:rPr>
        <w:t xml:space="preserve"> </w:t>
      </w:r>
      <w:r w:rsidRPr="00150EDC">
        <w:rPr>
          <w:spacing w:val="-4"/>
        </w:rPr>
        <w:t>are:</w:t>
      </w:r>
    </w:p>
    <w:p w14:paraId="3576EE1F" w14:textId="77777777" w:rsidR="004C7180" w:rsidRPr="00150EDC" w:rsidRDefault="004C7180">
      <w:pPr>
        <w:pStyle w:val="BodyText"/>
        <w:spacing w:before="6"/>
      </w:pPr>
    </w:p>
    <w:p w14:paraId="2E99ECDC" w14:textId="77777777" w:rsidR="004C7180" w:rsidRPr="00150EDC" w:rsidRDefault="00CF0754">
      <w:pPr>
        <w:pStyle w:val="ListParagraph"/>
        <w:numPr>
          <w:ilvl w:val="0"/>
          <w:numId w:val="28"/>
        </w:numPr>
        <w:tabs>
          <w:tab w:val="left" w:pos="2120"/>
        </w:tabs>
        <w:ind w:right="1433"/>
        <w:jc w:val="both"/>
        <w:rPr>
          <w:sz w:val="24"/>
        </w:rPr>
      </w:pPr>
      <w:r w:rsidRPr="00150EDC">
        <w:rPr>
          <w:b/>
          <w:sz w:val="24"/>
        </w:rPr>
        <w:t>More adults achieving maths qualifications / participating in numeracy courses up to, and including, Level 2</w:t>
      </w:r>
      <w:r w:rsidRPr="00150EDC">
        <w:rPr>
          <w:sz w:val="24"/>
        </w:rPr>
        <w:t>, with GCSEs and Functional Skills Qualifications (FSQs) as the qualifications of choice in England – and qualifications comparable to Level 2 in Scotland, Wales and Northern Ireland</w:t>
      </w:r>
    </w:p>
    <w:p w14:paraId="62208657" w14:textId="77777777" w:rsidR="004C7180" w:rsidRPr="00150EDC" w:rsidRDefault="004C7180">
      <w:pPr>
        <w:pStyle w:val="BodyText"/>
        <w:spacing w:before="8"/>
        <w:rPr>
          <w:sz w:val="20"/>
        </w:rPr>
      </w:pPr>
    </w:p>
    <w:p w14:paraId="14CEB051" w14:textId="77777777" w:rsidR="004C7180" w:rsidRPr="00150EDC" w:rsidRDefault="00CF0754">
      <w:pPr>
        <w:pStyle w:val="ListParagraph"/>
        <w:numPr>
          <w:ilvl w:val="0"/>
          <w:numId w:val="28"/>
        </w:numPr>
        <w:tabs>
          <w:tab w:val="left" w:pos="2119"/>
        </w:tabs>
        <w:spacing w:before="1"/>
        <w:ind w:left="2119" w:hanging="359"/>
        <w:rPr>
          <w:sz w:val="24"/>
        </w:rPr>
      </w:pPr>
      <w:r w:rsidRPr="00150EDC">
        <w:rPr>
          <w:b/>
          <w:sz w:val="24"/>
        </w:rPr>
        <w:t>Improved</w:t>
      </w:r>
      <w:r w:rsidRPr="00150EDC">
        <w:rPr>
          <w:b/>
          <w:spacing w:val="-4"/>
          <w:sz w:val="24"/>
        </w:rPr>
        <w:t xml:space="preserve"> </w:t>
      </w:r>
      <w:r w:rsidRPr="00150EDC">
        <w:rPr>
          <w:b/>
          <w:sz w:val="24"/>
        </w:rPr>
        <w:t>labour</w:t>
      </w:r>
      <w:r w:rsidRPr="00150EDC">
        <w:rPr>
          <w:b/>
          <w:spacing w:val="-4"/>
          <w:sz w:val="24"/>
        </w:rPr>
        <w:t xml:space="preserve"> </w:t>
      </w:r>
      <w:r w:rsidRPr="00150EDC">
        <w:rPr>
          <w:b/>
          <w:sz w:val="24"/>
        </w:rPr>
        <w:t>market</w:t>
      </w:r>
      <w:r w:rsidRPr="00150EDC">
        <w:rPr>
          <w:b/>
          <w:spacing w:val="-4"/>
          <w:sz w:val="24"/>
        </w:rPr>
        <w:t xml:space="preserve"> </w:t>
      </w:r>
      <w:r w:rsidRPr="00150EDC">
        <w:rPr>
          <w:b/>
          <w:sz w:val="24"/>
        </w:rPr>
        <w:t>outcomes</w:t>
      </w:r>
      <w:r w:rsidRPr="00150EDC">
        <w:rPr>
          <w:b/>
          <w:spacing w:val="-4"/>
          <w:sz w:val="24"/>
        </w:rPr>
        <w:t xml:space="preserve"> </w:t>
      </w:r>
      <w:r w:rsidRPr="00150EDC">
        <w:rPr>
          <w:spacing w:val="-2"/>
          <w:sz w:val="24"/>
        </w:rPr>
        <w:t>including;</w:t>
      </w:r>
    </w:p>
    <w:p w14:paraId="584EDECD" w14:textId="77777777" w:rsidR="004C7180" w:rsidRPr="00150EDC" w:rsidRDefault="00CF0754">
      <w:pPr>
        <w:pStyle w:val="ListParagraph"/>
        <w:numPr>
          <w:ilvl w:val="1"/>
          <w:numId w:val="28"/>
        </w:numPr>
        <w:tabs>
          <w:tab w:val="left" w:pos="2410"/>
        </w:tabs>
        <w:spacing w:before="235" w:line="278" w:lineRule="auto"/>
        <w:ind w:left="2119" w:right="1435" w:firstLine="0"/>
        <w:rPr>
          <w:sz w:val="24"/>
        </w:rPr>
      </w:pPr>
      <w:r w:rsidRPr="00150EDC">
        <w:rPr>
          <w:sz w:val="24"/>
        </w:rPr>
        <w:t>Employers targeted by specific Multiply interventions reporting at least one positive benefit on their business.</w:t>
      </w:r>
    </w:p>
    <w:p w14:paraId="64C65455" w14:textId="77777777" w:rsidR="004C7180" w:rsidRPr="00150EDC" w:rsidRDefault="004C7180">
      <w:pPr>
        <w:pStyle w:val="BodyText"/>
        <w:rPr>
          <w:sz w:val="20"/>
        </w:rPr>
      </w:pPr>
    </w:p>
    <w:p w14:paraId="279E365E" w14:textId="77777777" w:rsidR="004C7180" w:rsidRPr="00150EDC" w:rsidRDefault="004C7180">
      <w:pPr>
        <w:pStyle w:val="BodyText"/>
        <w:rPr>
          <w:sz w:val="20"/>
        </w:rPr>
      </w:pPr>
    </w:p>
    <w:p w14:paraId="7B9886CB" w14:textId="77777777" w:rsidR="004C7180" w:rsidRPr="00150EDC" w:rsidRDefault="004C7180">
      <w:pPr>
        <w:pStyle w:val="BodyText"/>
        <w:rPr>
          <w:sz w:val="20"/>
        </w:rPr>
      </w:pPr>
    </w:p>
    <w:p w14:paraId="25780100" w14:textId="77777777" w:rsidR="004C7180" w:rsidRPr="00150EDC" w:rsidRDefault="00CF0754">
      <w:pPr>
        <w:pStyle w:val="BodyText"/>
        <w:spacing w:before="4"/>
        <w:rPr>
          <w:sz w:val="20"/>
        </w:rPr>
      </w:pPr>
      <w:r w:rsidRPr="00150EDC">
        <w:rPr>
          <w:noProof/>
          <w:lang w:val="en-GB" w:eastAsia="en-GB"/>
        </w:rPr>
        <mc:AlternateContent>
          <mc:Choice Requires="wps">
            <w:drawing>
              <wp:anchor distT="0" distB="0" distL="0" distR="0" simplePos="0" relativeHeight="251658280" behindDoc="1" locked="0" layoutInCell="1" allowOverlap="1" wp14:anchorId="6C9E254C" wp14:editId="0A09CDD9">
                <wp:simplePos x="0" y="0"/>
                <wp:positionH relativeFrom="page">
                  <wp:posOffset>914400</wp:posOffset>
                </wp:positionH>
                <wp:positionV relativeFrom="paragraph">
                  <wp:posOffset>164326</wp:posOffset>
                </wp:positionV>
                <wp:extent cx="1828800" cy="9525"/>
                <wp:effectExtent l="0" t="0" r="0" b="0"/>
                <wp:wrapTopAndBottom/>
                <wp:docPr id="277" name="Free-form: Shape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84E961" id="Free-form: Shape 277" o:spid="_x0000_s1026" style="position:absolute;margin-left:1in;margin-top:12.95pt;width:2in;height:.75pt;z-index:-251658200;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" path="m1828800,l,,,9143r1828800,l1828800,xe" fillcolor="black" stroked="f">
                <v:path arrowok="t"/>
                <w10:wrap type="topAndBottom" anchorx="page"/>
              </v:shape>
            </w:pict>
          </mc:Fallback>
        </mc:AlternateContent>
      </w:r>
    </w:p>
    <w:p w14:paraId="07CB1C2B" w14:textId="77777777" w:rsidR="004C7180" w:rsidRPr="00150EDC" w:rsidRDefault="00CF0754">
      <w:pPr>
        <w:spacing w:before="102"/>
        <w:ind w:left="1400"/>
        <w:rPr>
          <w:sz w:val="16"/>
        </w:rPr>
      </w:pPr>
      <w:bookmarkStart w:id="82" w:name="_bookmark9"/>
      <w:bookmarkEnd w:id="82"/>
      <w:r w:rsidRPr="00150EDC">
        <w:rPr>
          <w:rFonts w:ascii="Times New Roman"/>
          <w:sz w:val="16"/>
          <w:vertAlign w:val="superscript"/>
        </w:rPr>
        <w:t>5</w:t>
      </w:r>
      <w:r w:rsidRPr="00150EDC">
        <w:rPr>
          <w:sz w:val="16"/>
        </w:rPr>
        <w:t xml:space="preserve">DfE </w:t>
      </w:r>
      <w:r w:rsidRPr="00150EDC">
        <w:rPr>
          <w:spacing w:val="-4"/>
          <w:sz w:val="16"/>
        </w:rPr>
        <w:t>data</w:t>
      </w:r>
    </w:p>
    <w:p w14:paraId="160455D2" w14:textId="77777777" w:rsidR="004C7180" w:rsidRPr="00150EDC" w:rsidRDefault="004C7180">
      <w:pPr>
        <w:rPr>
          <w:sz w:val="16"/>
        </w:rPr>
        <w:sectPr w:rsidR="004C7180" w:rsidRPr="00150EDC">
          <w:pgSz w:w="11910" w:h="16840"/>
          <w:pgMar w:top="1220" w:right="0" w:bottom="660" w:left="40" w:header="149" w:footer="465" w:gutter="0"/>
          <w:cols w:space="720"/>
        </w:sectPr>
      </w:pPr>
    </w:p>
    <w:p w14:paraId="3F5D159B" w14:textId="77777777" w:rsidR="004C7180" w:rsidRPr="00150EDC" w:rsidRDefault="004C7180">
      <w:pPr>
        <w:pStyle w:val="BodyText"/>
        <w:spacing w:before="1"/>
        <w:rPr>
          <w:sz w:val="10"/>
        </w:rPr>
      </w:pPr>
    </w:p>
    <w:p w14:paraId="7112BD9D" w14:textId="77777777" w:rsidR="004C7180" w:rsidRPr="00150EDC" w:rsidRDefault="00CF0754">
      <w:pPr>
        <w:pStyle w:val="ListParagraph"/>
        <w:numPr>
          <w:ilvl w:val="1"/>
          <w:numId w:val="28"/>
        </w:numPr>
        <w:tabs>
          <w:tab w:val="left" w:pos="2432"/>
        </w:tabs>
        <w:spacing w:before="92" w:line="276" w:lineRule="auto"/>
        <w:ind w:right="1435" w:firstLine="0"/>
        <w:jc w:val="both"/>
        <w:rPr>
          <w:sz w:val="24"/>
        </w:rPr>
      </w:pPr>
      <w:r w:rsidRPr="00150EDC">
        <w:rPr>
          <w:sz w:val="24"/>
        </w:rPr>
        <w:t>A sustained increase in the proportion of adults who complete a Multiply intervention that progress into employment, education or training and</w:t>
      </w:r>
    </w:p>
    <w:p w14:paraId="770115DC" w14:textId="77777777" w:rsidR="004C7180" w:rsidRPr="00150EDC" w:rsidRDefault="004C7180">
      <w:pPr>
        <w:pStyle w:val="BodyText"/>
        <w:spacing w:before="9"/>
        <w:rPr>
          <w:sz w:val="20"/>
        </w:rPr>
      </w:pPr>
    </w:p>
    <w:p w14:paraId="7FB0936D" w14:textId="77777777" w:rsidR="004C7180" w:rsidRPr="00150EDC" w:rsidRDefault="00CF0754">
      <w:pPr>
        <w:pStyle w:val="ListParagraph"/>
        <w:numPr>
          <w:ilvl w:val="1"/>
          <w:numId w:val="28"/>
        </w:numPr>
        <w:tabs>
          <w:tab w:val="left" w:pos="2393"/>
        </w:tabs>
        <w:spacing w:line="278" w:lineRule="auto"/>
        <w:ind w:right="1435" w:firstLine="0"/>
        <w:jc w:val="both"/>
        <w:rPr>
          <w:sz w:val="24"/>
        </w:rPr>
      </w:pPr>
      <w:r w:rsidRPr="00150EDC">
        <w:rPr>
          <w:sz w:val="24"/>
        </w:rPr>
        <w:t>an increase in the number of learners achieving a Level 2 qualification who see a significant increase in their earnings within 6 years</w:t>
      </w:r>
    </w:p>
    <w:p w14:paraId="3414BC34" w14:textId="77777777" w:rsidR="004C7180" w:rsidRPr="00150EDC" w:rsidRDefault="004C7180">
      <w:pPr>
        <w:pStyle w:val="BodyText"/>
        <w:spacing w:before="6"/>
        <w:rPr>
          <w:sz w:val="20"/>
        </w:rPr>
      </w:pPr>
    </w:p>
    <w:p w14:paraId="1A84D742" w14:textId="77777777" w:rsidR="004C7180" w:rsidRPr="00150EDC" w:rsidRDefault="00CF0754">
      <w:pPr>
        <w:pStyle w:val="ListParagraph"/>
        <w:numPr>
          <w:ilvl w:val="0"/>
          <w:numId w:val="28"/>
        </w:numPr>
        <w:tabs>
          <w:tab w:val="left" w:pos="2120"/>
        </w:tabs>
        <w:ind w:right="1433"/>
        <w:jc w:val="both"/>
        <w:rPr>
          <w:sz w:val="24"/>
        </w:rPr>
      </w:pPr>
      <w:r w:rsidRPr="00150EDC">
        <w:rPr>
          <w:b/>
          <w:sz w:val="24"/>
        </w:rPr>
        <w:t>Increased</w:t>
      </w:r>
      <w:r w:rsidRPr="00150EDC">
        <w:rPr>
          <w:b/>
          <w:spacing w:val="-10"/>
          <w:sz w:val="24"/>
        </w:rPr>
        <w:t xml:space="preserve"> </w:t>
      </w:r>
      <w:r w:rsidRPr="00150EDC">
        <w:rPr>
          <w:b/>
          <w:sz w:val="24"/>
        </w:rPr>
        <w:t>adult</w:t>
      </w:r>
      <w:r w:rsidRPr="00150EDC">
        <w:rPr>
          <w:b/>
          <w:spacing w:val="-9"/>
          <w:sz w:val="24"/>
        </w:rPr>
        <w:t xml:space="preserve"> </w:t>
      </w:r>
      <w:r w:rsidRPr="00150EDC">
        <w:rPr>
          <w:b/>
          <w:sz w:val="24"/>
        </w:rPr>
        <w:t>numeracy</w:t>
      </w:r>
      <w:r w:rsidRPr="00150EDC">
        <w:rPr>
          <w:sz w:val="24"/>
        </w:rPr>
        <w:t>–</w:t>
      </w:r>
      <w:r w:rsidRPr="00150EDC">
        <w:rPr>
          <w:spacing w:val="-8"/>
          <w:sz w:val="24"/>
        </w:rPr>
        <w:t xml:space="preserve"> </w:t>
      </w:r>
      <w:r w:rsidRPr="00150EDC">
        <w:rPr>
          <w:sz w:val="24"/>
        </w:rPr>
        <w:t>this</w:t>
      </w:r>
      <w:r w:rsidRPr="00150EDC">
        <w:rPr>
          <w:spacing w:val="-9"/>
          <w:sz w:val="24"/>
        </w:rPr>
        <w:t xml:space="preserve"> </w:t>
      </w:r>
      <w:r w:rsidRPr="00150EDC">
        <w:rPr>
          <w:sz w:val="24"/>
        </w:rPr>
        <w:t>overall</w:t>
      </w:r>
      <w:r w:rsidRPr="00150EDC">
        <w:rPr>
          <w:spacing w:val="-9"/>
          <w:sz w:val="24"/>
        </w:rPr>
        <w:t xml:space="preserve"> </w:t>
      </w:r>
      <w:r w:rsidRPr="00150EDC">
        <w:rPr>
          <w:sz w:val="24"/>
        </w:rPr>
        <w:t>impact,</w:t>
      </w:r>
      <w:r w:rsidRPr="00150EDC">
        <w:rPr>
          <w:spacing w:val="-8"/>
          <w:sz w:val="24"/>
        </w:rPr>
        <w:t xml:space="preserve"> </w:t>
      </w:r>
      <w:r w:rsidRPr="00150EDC">
        <w:rPr>
          <w:sz w:val="24"/>
        </w:rPr>
        <w:t>which</w:t>
      </w:r>
      <w:r w:rsidRPr="00150EDC">
        <w:rPr>
          <w:spacing w:val="-9"/>
          <w:sz w:val="24"/>
        </w:rPr>
        <w:t xml:space="preserve"> </w:t>
      </w:r>
      <w:r w:rsidRPr="00150EDC">
        <w:rPr>
          <w:sz w:val="24"/>
        </w:rPr>
        <w:t>goes</w:t>
      </w:r>
      <w:r w:rsidRPr="00150EDC">
        <w:rPr>
          <w:spacing w:val="-10"/>
          <w:sz w:val="24"/>
        </w:rPr>
        <w:t xml:space="preserve"> </w:t>
      </w:r>
      <w:r w:rsidRPr="00150EDC">
        <w:rPr>
          <w:sz w:val="24"/>
        </w:rPr>
        <w:t>beyond</w:t>
      </w:r>
      <w:r w:rsidRPr="00150EDC">
        <w:rPr>
          <w:spacing w:val="-8"/>
          <w:sz w:val="24"/>
        </w:rPr>
        <w:t xml:space="preserve"> </w:t>
      </w:r>
      <w:r w:rsidRPr="00150EDC">
        <w:rPr>
          <w:sz w:val="24"/>
        </w:rPr>
        <w:t>achieving certificates or qualifications, will track both the</w:t>
      </w:r>
      <w:r w:rsidRPr="00150EDC">
        <w:rPr>
          <w:spacing w:val="-1"/>
          <w:sz w:val="24"/>
        </w:rPr>
        <w:t xml:space="preserve"> </w:t>
      </w:r>
      <w:r w:rsidRPr="00150EDC">
        <w:rPr>
          <w:sz w:val="24"/>
        </w:rPr>
        <w:t>perceived and actual</w:t>
      </w:r>
      <w:r w:rsidRPr="00150EDC">
        <w:rPr>
          <w:spacing w:val="-2"/>
          <w:sz w:val="24"/>
        </w:rPr>
        <w:t xml:space="preserve"> </w:t>
      </w:r>
      <w:r w:rsidRPr="00150EDC">
        <w:rPr>
          <w:sz w:val="24"/>
        </w:rPr>
        <w:t>difference taking part in the programme makes in supporting learners to improve their understanding</w:t>
      </w:r>
      <w:r w:rsidRPr="00150EDC">
        <w:rPr>
          <w:spacing w:val="-1"/>
          <w:sz w:val="24"/>
        </w:rPr>
        <w:t xml:space="preserve"> </w:t>
      </w:r>
      <w:r w:rsidRPr="00150EDC">
        <w:rPr>
          <w:sz w:val="24"/>
        </w:rPr>
        <w:t>and</w:t>
      </w:r>
      <w:r w:rsidRPr="00150EDC">
        <w:rPr>
          <w:spacing w:val="-3"/>
          <w:sz w:val="24"/>
        </w:rPr>
        <w:t xml:space="preserve"> </w:t>
      </w:r>
      <w:r w:rsidRPr="00150EDC">
        <w:rPr>
          <w:sz w:val="24"/>
        </w:rPr>
        <w:t>use</w:t>
      </w:r>
      <w:r w:rsidRPr="00150EDC">
        <w:rPr>
          <w:spacing w:val="-3"/>
          <w:sz w:val="24"/>
        </w:rPr>
        <w:t xml:space="preserve"> </w:t>
      </w:r>
      <w:r w:rsidRPr="00150EDC">
        <w:rPr>
          <w:sz w:val="24"/>
        </w:rPr>
        <w:t>of</w:t>
      </w:r>
      <w:r w:rsidRPr="00150EDC">
        <w:rPr>
          <w:spacing w:val="-1"/>
          <w:sz w:val="24"/>
        </w:rPr>
        <w:t xml:space="preserve"> </w:t>
      </w:r>
      <w:r w:rsidRPr="00150EDC">
        <w:rPr>
          <w:sz w:val="24"/>
        </w:rPr>
        <w:t>maths</w:t>
      </w:r>
      <w:r w:rsidRPr="00150EDC">
        <w:rPr>
          <w:spacing w:val="-2"/>
          <w:sz w:val="24"/>
        </w:rPr>
        <w:t xml:space="preserve"> </w:t>
      </w:r>
      <w:r w:rsidRPr="00150EDC">
        <w:rPr>
          <w:sz w:val="24"/>
        </w:rPr>
        <w:t>in</w:t>
      </w:r>
      <w:r w:rsidRPr="00150EDC">
        <w:rPr>
          <w:spacing w:val="-3"/>
          <w:sz w:val="24"/>
        </w:rPr>
        <w:t xml:space="preserve"> </w:t>
      </w:r>
      <w:r w:rsidRPr="00150EDC">
        <w:rPr>
          <w:sz w:val="24"/>
        </w:rPr>
        <w:t>their</w:t>
      </w:r>
      <w:r w:rsidRPr="00150EDC">
        <w:rPr>
          <w:spacing w:val="-3"/>
          <w:sz w:val="24"/>
        </w:rPr>
        <w:t xml:space="preserve"> </w:t>
      </w:r>
      <w:r w:rsidRPr="00150EDC">
        <w:rPr>
          <w:sz w:val="24"/>
        </w:rPr>
        <w:t>daily</w:t>
      </w:r>
      <w:r w:rsidRPr="00150EDC">
        <w:rPr>
          <w:spacing w:val="-2"/>
          <w:sz w:val="24"/>
        </w:rPr>
        <w:t xml:space="preserve"> </w:t>
      </w:r>
      <w:r w:rsidRPr="00150EDC">
        <w:rPr>
          <w:sz w:val="24"/>
        </w:rPr>
        <w:t>lives,</w:t>
      </w:r>
      <w:r w:rsidRPr="00150EDC">
        <w:rPr>
          <w:spacing w:val="-1"/>
          <w:sz w:val="24"/>
        </w:rPr>
        <w:t xml:space="preserve"> </w:t>
      </w:r>
      <w:r w:rsidRPr="00150EDC">
        <w:rPr>
          <w:sz w:val="24"/>
        </w:rPr>
        <w:t>at</w:t>
      </w:r>
      <w:r w:rsidRPr="00150EDC">
        <w:rPr>
          <w:spacing w:val="-1"/>
          <w:sz w:val="24"/>
        </w:rPr>
        <w:t xml:space="preserve"> </w:t>
      </w:r>
      <w:r w:rsidRPr="00150EDC">
        <w:rPr>
          <w:sz w:val="24"/>
        </w:rPr>
        <w:t>home</w:t>
      </w:r>
      <w:r w:rsidRPr="00150EDC">
        <w:rPr>
          <w:spacing w:val="-1"/>
          <w:sz w:val="24"/>
        </w:rPr>
        <w:t xml:space="preserve"> </w:t>
      </w:r>
      <w:r w:rsidRPr="00150EDC">
        <w:rPr>
          <w:sz w:val="24"/>
        </w:rPr>
        <w:t>and</w:t>
      </w:r>
      <w:r w:rsidRPr="00150EDC">
        <w:rPr>
          <w:spacing w:val="-1"/>
          <w:sz w:val="24"/>
        </w:rPr>
        <w:t xml:space="preserve"> </w:t>
      </w:r>
      <w:r w:rsidRPr="00150EDC">
        <w:rPr>
          <w:sz w:val="24"/>
        </w:rPr>
        <w:t>at</w:t>
      </w:r>
      <w:r w:rsidRPr="00150EDC">
        <w:rPr>
          <w:spacing w:val="-4"/>
          <w:sz w:val="24"/>
        </w:rPr>
        <w:t xml:space="preserve"> </w:t>
      </w:r>
      <w:r w:rsidRPr="00150EDC">
        <w:rPr>
          <w:sz w:val="24"/>
        </w:rPr>
        <w:t>work</w:t>
      </w:r>
      <w:r w:rsidRPr="00150EDC">
        <w:rPr>
          <w:spacing w:val="-2"/>
          <w:sz w:val="24"/>
        </w:rPr>
        <w:t xml:space="preserve"> </w:t>
      </w:r>
      <w:r w:rsidRPr="00150EDC">
        <w:rPr>
          <w:sz w:val="24"/>
        </w:rPr>
        <w:t>–</w:t>
      </w:r>
      <w:r w:rsidRPr="00150EDC">
        <w:rPr>
          <w:spacing w:val="-2"/>
          <w:sz w:val="24"/>
        </w:rPr>
        <w:t xml:space="preserve"> </w:t>
      </w:r>
      <w:r w:rsidRPr="00150EDC">
        <w:rPr>
          <w:sz w:val="24"/>
        </w:rPr>
        <w:t>and to feel more confident when doing so.</w:t>
      </w:r>
    </w:p>
    <w:p w14:paraId="7542B393" w14:textId="77777777" w:rsidR="004C7180" w:rsidRPr="00150EDC" w:rsidRDefault="004C7180">
      <w:pPr>
        <w:pStyle w:val="BodyText"/>
        <w:spacing w:before="9"/>
        <w:rPr>
          <w:sz w:val="20"/>
        </w:rPr>
      </w:pPr>
    </w:p>
    <w:p w14:paraId="1AEFFBE0" w14:textId="77777777" w:rsidR="004C7180" w:rsidRPr="00150EDC" w:rsidRDefault="00CF0754">
      <w:pPr>
        <w:pStyle w:val="BodyText"/>
        <w:spacing w:line="276" w:lineRule="auto"/>
        <w:ind w:left="1400" w:right="1710"/>
      </w:pPr>
      <w:r w:rsidRPr="00150EDC">
        <w:t xml:space="preserve">More information about Multiply can be found at: </w:t>
      </w:r>
      <w:hyperlink r:id="rId101">
        <w:r w:rsidRPr="00150EDC">
          <w:rPr>
            <w:spacing w:val="-2"/>
          </w:rPr>
          <w:t>https://www.gov.uk/government/publications/multiply-funding-available-to-improve-</w:t>
        </w:r>
      </w:hyperlink>
      <w:r w:rsidRPr="00150EDC">
        <w:rPr>
          <w:spacing w:val="-2"/>
        </w:rPr>
        <w:t xml:space="preserve"> </w:t>
      </w:r>
      <w:hyperlink r:id="rId102">
        <w:r w:rsidRPr="00150EDC">
          <w:rPr>
            <w:spacing w:val="-2"/>
          </w:rPr>
          <w:t>numeracy-skills</w:t>
        </w:r>
      </w:hyperlink>
    </w:p>
    <w:p w14:paraId="039E8264" w14:textId="77777777" w:rsidR="004C7180" w:rsidRPr="00150EDC" w:rsidRDefault="004C7180">
      <w:pPr>
        <w:pStyle w:val="BodyText"/>
        <w:spacing w:before="4"/>
        <w:rPr>
          <w:sz w:val="27"/>
        </w:rPr>
      </w:pPr>
    </w:p>
    <w:p w14:paraId="72FCEAC6" w14:textId="77777777" w:rsidR="004C7180" w:rsidRPr="00150EDC" w:rsidRDefault="00CF0754">
      <w:pPr>
        <w:pStyle w:val="Heading1"/>
        <w:numPr>
          <w:ilvl w:val="0"/>
          <w:numId w:val="30"/>
        </w:numPr>
        <w:tabs>
          <w:tab w:val="left" w:pos="1758"/>
        </w:tabs>
        <w:spacing w:before="1"/>
        <w:ind w:left="1758"/>
      </w:pPr>
      <w:bookmarkStart w:id="83" w:name="4._The_Multiply_What_Works_Programme"/>
      <w:bookmarkStart w:id="84" w:name="_bookmark10"/>
      <w:bookmarkEnd w:id="83"/>
      <w:bookmarkEnd w:id="84"/>
      <w:r w:rsidRPr="00150EDC">
        <w:t>The</w:t>
      </w:r>
      <w:r w:rsidRPr="00150EDC">
        <w:rPr>
          <w:spacing w:val="-6"/>
        </w:rPr>
        <w:t xml:space="preserve"> </w:t>
      </w:r>
      <w:r w:rsidRPr="00150EDC">
        <w:t>Multiply</w:t>
      </w:r>
      <w:r w:rsidRPr="00150EDC">
        <w:rPr>
          <w:spacing w:val="-5"/>
        </w:rPr>
        <w:t xml:space="preserve"> </w:t>
      </w:r>
      <w:r w:rsidRPr="00150EDC">
        <w:t>What</w:t>
      </w:r>
      <w:r w:rsidRPr="00150EDC">
        <w:rPr>
          <w:spacing w:val="-2"/>
        </w:rPr>
        <w:t xml:space="preserve"> </w:t>
      </w:r>
      <w:r w:rsidRPr="00150EDC">
        <w:t>Works</w:t>
      </w:r>
      <w:r w:rsidRPr="00150EDC">
        <w:rPr>
          <w:spacing w:val="-3"/>
        </w:rPr>
        <w:t xml:space="preserve"> </w:t>
      </w:r>
      <w:r w:rsidRPr="00150EDC">
        <w:rPr>
          <w:spacing w:val="-2"/>
        </w:rPr>
        <w:t>Programme</w:t>
      </w:r>
    </w:p>
    <w:p w14:paraId="6BC7B3D3" w14:textId="77777777" w:rsidR="004C7180" w:rsidRPr="00150EDC" w:rsidRDefault="00CF0754">
      <w:pPr>
        <w:pStyle w:val="BodyText"/>
        <w:spacing w:before="1"/>
        <w:ind w:left="1368"/>
        <w:jc w:val="both"/>
      </w:pPr>
      <w:r w:rsidRPr="00150EDC">
        <w:t>The</w:t>
      </w:r>
      <w:r w:rsidRPr="00150EDC">
        <w:rPr>
          <w:spacing w:val="-4"/>
        </w:rPr>
        <w:t xml:space="preserve"> </w:t>
      </w:r>
      <w:r w:rsidRPr="00150EDC">
        <w:t>What</w:t>
      </w:r>
      <w:r w:rsidRPr="00150EDC">
        <w:rPr>
          <w:spacing w:val="-3"/>
        </w:rPr>
        <w:t xml:space="preserve"> </w:t>
      </w:r>
      <w:r w:rsidRPr="00150EDC">
        <w:t>Works</w:t>
      </w:r>
      <w:r w:rsidRPr="00150EDC">
        <w:rPr>
          <w:spacing w:val="-2"/>
        </w:rPr>
        <w:t xml:space="preserve"> </w:t>
      </w:r>
      <w:r w:rsidRPr="00150EDC">
        <w:t>programme</w:t>
      </w:r>
      <w:r w:rsidRPr="00150EDC">
        <w:rPr>
          <w:spacing w:val="-1"/>
        </w:rPr>
        <w:t xml:space="preserve"> </w:t>
      </w:r>
      <w:r w:rsidRPr="00150EDC">
        <w:t>is</w:t>
      </w:r>
      <w:r w:rsidRPr="00150EDC">
        <w:rPr>
          <w:spacing w:val="-2"/>
        </w:rPr>
        <w:t xml:space="preserve"> </w:t>
      </w:r>
      <w:r w:rsidRPr="00150EDC">
        <w:t>split</w:t>
      </w:r>
      <w:r w:rsidRPr="00150EDC">
        <w:rPr>
          <w:spacing w:val="-1"/>
        </w:rPr>
        <w:t xml:space="preserve"> </w:t>
      </w:r>
      <w:r w:rsidRPr="00150EDC">
        <w:t>into</w:t>
      </w:r>
      <w:r w:rsidRPr="00150EDC">
        <w:rPr>
          <w:spacing w:val="-3"/>
        </w:rPr>
        <w:t xml:space="preserve"> </w:t>
      </w:r>
      <w:r w:rsidRPr="00150EDC">
        <w:t>three</w:t>
      </w:r>
      <w:r w:rsidRPr="00150EDC">
        <w:rPr>
          <w:spacing w:val="-1"/>
        </w:rPr>
        <w:t xml:space="preserve"> </w:t>
      </w:r>
      <w:r w:rsidRPr="00150EDC">
        <w:rPr>
          <w:spacing w:val="-2"/>
        </w:rPr>
        <w:t>projects:</w:t>
      </w:r>
    </w:p>
    <w:p w14:paraId="674A9644" w14:textId="77777777" w:rsidR="004C7180" w:rsidRPr="00150EDC" w:rsidRDefault="00CF0754">
      <w:pPr>
        <w:pStyle w:val="ListParagraph"/>
        <w:numPr>
          <w:ilvl w:val="0"/>
          <w:numId w:val="27"/>
        </w:numPr>
        <w:tabs>
          <w:tab w:val="left" w:pos="2177"/>
        </w:tabs>
        <w:spacing w:before="41"/>
        <w:ind w:left="2177" w:hanging="357"/>
        <w:jc w:val="both"/>
        <w:rPr>
          <w:sz w:val="24"/>
        </w:rPr>
      </w:pPr>
      <w:r w:rsidRPr="00150EDC">
        <w:rPr>
          <w:sz w:val="24"/>
        </w:rPr>
        <w:t>A</w:t>
      </w:r>
      <w:r w:rsidRPr="00150EDC">
        <w:rPr>
          <w:spacing w:val="-2"/>
          <w:sz w:val="24"/>
        </w:rPr>
        <w:t xml:space="preserve"> </w:t>
      </w:r>
      <w:r w:rsidRPr="00150EDC">
        <w:rPr>
          <w:sz w:val="24"/>
          <w:u w:val="single"/>
        </w:rPr>
        <w:t>systematic</w:t>
      </w:r>
      <w:r w:rsidRPr="00150EDC">
        <w:rPr>
          <w:spacing w:val="-3"/>
          <w:sz w:val="24"/>
          <w:u w:val="single"/>
        </w:rPr>
        <w:t xml:space="preserve"> </w:t>
      </w:r>
      <w:r w:rsidRPr="00150EDC">
        <w:rPr>
          <w:sz w:val="24"/>
          <w:u w:val="single"/>
        </w:rPr>
        <w:t>review</w:t>
      </w:r>
      <w:r w:rsidRPr="00150EDC">
        <w:rPr>
          <w:sz w:val="24"/>
        </w:rPr>
        <w:t>,</w:t>
      </w:r>
      <w:r w:rsidRPr="00150EDC">
        <w:rPr>
          <w:spacing w:val="-1"/>
          <w:sz w:val="24"/>
        </w:rPr>
        <w:t xml:space="preserve"> </w:t>
      </w:r>
      <w:r w:rsidRPr="00150EDC">
        <w:rPr>
          <w:sz w:val="24"/>
        </w:rPr>
        <w:t>focused</w:t>
      </w:r>
      <w:r w:rsidRPr="00150EDC">
        <w:rPr>
          <w:spacing w:val="-3"/>
          <w:sz w:val="24"/>
        </w:rPr>
        <w:t xml:space="preserve"> </w:t>
      </w:r>
      <w:r w:rsidRPr="00150EDC">
        <w:rPr>
          <w:spacing w:val="-5"/>
          <w:sz w:val="24"/>
        </w:rPr>
        <w:t>on</w:t>
      </w:r>
    </w:p>
    <w:p w14:paraId="3373AF35" w14:textId="77777777" w:rsidR="004C7180" w:rsidRPr="00150EDC" w:rsidRDefault="00CF0754">
      <w:pPr>
        <w:pStyle w:val="ListParagraph"/>
        <w:numPr>
          <w:ilvl w:val="1"/>
          <w:numId w:val="27"/>
        </w:numPr>
        <w:tabs>
          <w:tab w:val="left" w:pos="2574"/>
        </w:tabs>
        <w:spacing w:before="118" w:line="276" w:lineRule="auto"/>
        <w:ind w:right="1493" w:firstLine="0"/>
        <w:jc w:val="both"/>
        <w:rPr>
          <w:sz w:val="24"/>
        </w:rPr>
      </w:pPr>
      <w:r w:rsidRPr="00150EDC">
        <w:rPr>
          <w:sz w:val="24"/>
        </w:rPr>
        <w:t>improving our understanding of the socio-economic demographics, attitudes and behaviours of the target learner base;</w:t>
      </w:r>
    </w:p>
    <w:p w14:paraId="78154B6F" w14:textId="77777777" w:rsidR="004C7180" w:rsidRPr="00150EDC" w:rsidRDefault="00CF0754">
      <w:pPr>
        <w:pStyle w:val="ListParagraph"/>
        <w:numPr>
          <w:ilvl w:val="1"/>
          <w:numId w:val="27"/>
        </w:numPr>
        <w:tabs>
          <w:tab w:val="left" w:pos="2452"/>
        </w:tabs>
        <w:spacing w:before="121" w:line="276" w:lineRule="auto"/>
        <w:ind w:left="2146" w:right="1493" w:firstLine="0"/>
        <w:jc w:val="both"/>
        <w:rPr>
          <w:sz w:val="24"/>
        </w:rPr>
      </w:pPr>
      <w:r w:rsidRPr="00150EDC">
        <w:rPr>
          <w:sz w:val="24"/>
        </w:rPr>
        <w:t>assessing which specific approaches, both in the UK and internationally, appear to be the most and least successful in supporting adults to improve their numeracy skills and</w:t>
      </w:r>
    </w:p>
    <w:p w14:paraId="63FBD097" w14:textId="77777777" w:rsidR="004C7180" w:rsidRPr="00150EDC" w:rsidRDefault="00CF0754">
      <w:pPr>
        <w:pStyle w:val="ListParagraph"/>
        <w:numPr>
          <w:ilvl w:val="1"/>
          <w:numId w:val="27"/>
        </w:numPr>
        <w:tabs>
          <w:tab w:val="left" w:pos="2536"/>
        </w:tabs>
        <w:spacing w:before="119" w:line="276" w:lineRule="auto"/>
        <w:ind w:left="2146" w:right="1495" w:firstLine="0"/>
        <w:jc w:val="both"/>
        <w:rPr>
          <w:sz w:val="24"/>
        </w:rPr>
      </w:pPr>
      <w:r w:rsidRPr="00150EDC">
        <w:rPr>
          <w:sz w:val="24"/>
        </w:rPr>
        <w:t>understanding the wider impact of various adult numeracy policy interventions in the UK over the last 20 years.</w:t>
      </w:r>
    </w:p>
    <w:p w14:paraId="4E7E2704" w14:textId="77777777" w:rsidR="004C7180" w:rsidRPr="00150EDC" w:rsidRDefault="00CF0754">
      <w:pPr>
        <w:pStyle w:val="BodyText"/>
        <w:spacing w:before="121" w:line="276" w:lineRule="auto"/>
        <w:ind w:left="2146" w:right="1494"/>
      </w:pPr>
      <w:r w:rsidRPr="00150EDC">
        <w:t>Alma Economics has undertaken this work and the report is available here:</w:t>
      </w:r>
      <w:r w:rsidRPr="00150EDC">
        <w:rPr>
          <w:spacing w:val="40"/>
        </w:rPr>
        <w:t xml:space="preserve"> </w:t>
      </w:r>
      <w:hyperlink r:id="rId103">
        <w:r w:rsidRPr="00150EDC">
          <w:rPr>
            <w:spacing w:val="-2"/>
          </w:rPr>
          <w:t>https://www.gov.uk/government/publications/review-of-the-evidence-on-the-</w:t>
        </w:r>
      </w:hyperlink>
      <w:r w:rsidRPr="00150EDC">
        <w:rPr>
          <w:spacing w:val="-2"/>
        </w:rPr>
        <w:t xml:space="preserve"> </w:t>
      </w:r>
      <w:hyperlink r:id="rId104">
        <w:r w:rsidRPr="00150EDC">
          <w:rPr>
            <w:spacing w:val="-2"/>
          </w:rPr>
          <w:t>numeracy-skills-interventions-for-adults</w:t>
        </w:r>
      </w:hyperlink>
      <w:r w:rsidRPr="00150EDC">
        <w:rPr>
          <w:spacing w:val="-2"/>
        </w:rPr>
        <w:t>.</w:t>
      </w:r>
    </w:p>
    <w:p w14:paraId="58ABAF73" w14:textId="77777777" w:rsidR="004C7180" w:rsidRPr="00150EDC" w:rsidRDefault="00CF0754">
      <w:pPr>
        <w:pStyle w:val="ListParagraph"/>
        <w:numPr>
          <w:ilvl w:val="0"/>
          <w:numId w:val="27"/>
        </w:numPr>
        <w:tabs>
          <w:tab w:val="left" w:pos="2120"/>
        </w:tabs>
        <w:ind w:right="1492" w:hanging="360"/>
        <w:jc w:val="both"/>
        <w:rPr>
          <w:sz w:val="24"/>
        </w:rPr>
      </w:pPr>
      <w:r w:rsidRPr="00150EDC">
        <w:rPr>
          <w:sz w:val="24"/>
        </w:rPr>
        <w:t>A</w:t>
      </w:r>
      <w:r w:rsidRPr="00150EDC">
        <w:rPr>
          <w:spacing w:val="-16"/>
          <w:sz w:val="24"/>
        </w:rPr>
        <w:t xml:space="preserve"> </w:t>
      </w:r>
      <w:r w:rsidRPr="00150EDC">
        <w:rPr>
          <w:sz w:val="24"/>
          <w:u w:val="single"/>
        </w:rPr>
        <w:t>programme</w:t>
      </w:r>
      <w:r w:rsidRPr="00150EDC">
        <w:rPr>
          <w:spacing w:val="-16"/>
          <w:sz w:val="24"/>
          <w:u w:val="single"/>
        </w:rPr>
        <w:t xml:space="preserve"> </w:t>
      </w:r>
      <w:r w:rsidRPr="00150EDC">
        <w:rPr>
          <w:sz w:val="24"/>
          <w:u w:val="single"/>
        </w:rPr>
        <w:t>evaluation</w:t>
      </w:r>
      <w:r w:rsidRPr="00150EDC">
        <w:rPr>
          <w:sz w:val="24"/>
        </w:rPr>
        <w:t>,</w:t>
      </w:r>
      <w:r w:rsidRPr="00150EDC">
        <w:rPr>
          <w:spacing w:val="-15"/>
          <w:sz w:val="24"/>
        </w:rPr>
        <w:t xml:space="preserve"> </w:t>
      </w:r>
      <w:r w:rsidRPr="00150EDC">
        <w:rPr>
          <w:sz w:val="24"/>
        </w:rPr>
        <w:t>which</w:t>
      </w:r>
      <w:r w:rsidRPr="00150EDC">
        <w:rPr>
          <w:spacing w:val="-15"/>
          <w:sz w:val="24"/>
        </w:rPr>
        <w:t xml:space="preserve"> </w:t>
      </w:r>
      <w:r w:rsidRPr="00150EDC">
        <w:rPr>
          <w:sz w:val="24"/>
        </w:rPr>
        <w:t>will</w:t>
      </w:r>
      <w:r w:rsidRPr="00150EDC">
        <w:rPr>
          <w:spacing w:val="-16"/>
          <w:sz w:val="24"/>
        </w:rPr>
        <w:t xml:space="preserve"> </w:t>
      </w:r>
      <w:r w:rsidRPr="00150EDC">
        <w:rPr>
          <w:sz w:val="24"/>
        </w:rPr>
        <w:t>assess</w:t>
      </w:r>
      <w:r w:rsidRPr="00150EDC">
        <w:rPr>
          <w:spacing w:val="-16"/>
          <w:sz w:val="24"/>
        </w:rPr>
        <w:t xml:space="preserve"> </w:t>
      </w:r>
      <w:r w:rsidRPr="00150EDC">
        <w:rPr>
          <w:sz w:val="24"/>
        </w:rPr>
        <w:t>the</w:t>
      </w:r>
      <w:r w:rsidRPr="00150EDC">
        <w:rPr>
          <w:spacing w:val="-17"/>
          <w:sz w:val="24"/>
        </w:rPr>
        <w:t xml:space="preserve"> </w:t>
      </w:r>
      <w:r w:rsidRPr="00150EDC">
        <w:rPr>
          <w:sz w:val="24"/>
        </w:rPr>
        <w:t>impact</w:t>
      </w:r>
      <w:r w:rsidRPr="00150EDC">
        <w:rPr>
          <w:spacing w:val="-17"/>
          <w:sz w:val="24"/>
        </w:rPr>
        <w:t xml:space="preserve"> </w:t>
      </w:r>
      <w:r w:rsidRPr="00150EDC">
        <w:rPr>
          <w:sz w:val="24"/>
        </w:rPr>
        <w:t>and</w:t>
      </w:r>
      <w:r w:rsidRPr="00150EDC">
        <w:rPr>
          <w:spacing w:val="-14"/>
          <w:sz w:val="24"/>
        </w:rPr>
        <w:t xml:space="preserve"> </w:t>
      </w:r>
      <w:r w:rsidRPr="00150EDC">
        <w:rPr>
          <w:sz w:val="24"/>
        </w:rPr>
        <w:t>value</w:t>
      </w:r>
      <w:r w:rsidRPr="00150EDC">
        <w:rPr>
          <w:spacing w:val="-17"/>
          <w:sz w:val="24"/>
        </w:rPr>
        <w:t xml:space="preserve"> </w:t>
      </w:r>
      <w:r w:rsidRPr="00150EDC">
        <w:rPr>
          <w:sz w:val="24"/>
        </w:rPr>
        <w:t>of</w:t>
      </w:r>
      <w:r w:rsidRPr="00150EDC">
        <w:rPr>
          <w:spacing w:val="-17"/>
          <w:sz w:val="24"/>
        </w:rPr>
        <w:t xml:space="preserve"> </w:t>
      </w:r>
      <w:r w:rsidRPr="00150EDC">
        <w:rPr>
          <w:sz w:val="24"/>
        </w:rPr>
        <w:t>the</w:t>
      </w:r>
      <w:r w:rsidRPr="00150EDC">
        <w:rPr>
          <w:spacing w:val="-14"/>
          <w:sz w:val="24"/>
        </w:rPr>
        <w:t xml:space="preserve"> </w:t>
      </w:r>
      <w:r w:rsidRPr="00150EDC">
        <w:rPr>
          <w:sz w:val="24"/>
        </w:rPr>
        <w:t>Multiply programme, understand how effectively those involved in Multiply think it is being delivered and could be improved, and summarise lessons learned and best practice. Kantar and the Institute for Fiscal Studies have been commissioned for this work and evaluation activity is now underway.</w:t>
      </w:r>
    </w:p>
    <w:p w14:paraId="4D76B74D" w14:textId="77777777" w:rsidR="004C7180" w:rsidRPr="00150EDC" w:rsidRDefault="00CF0754">
      <w:pPr>
        <w:pStyle w:val="ListParagraph"/>
        <w:numPr>
          <w:ilvl w:val="0"/>
          <w:numId w:val="27"/>
        </w:numPr>
        <w:tabs>
          <w:tab w:val="left" w:pos="2120"/>
        </w:tabs>
        <w:ind w:right="1579" w:hanging="360"/>
        <w:rPr>
          <w:sz w:val="24"/>
        </w:rPr>
      </w:pPr>
      <w:r w:rsidRPr="00150EDC">
        <w:rPr>
          <w:sz w:val="24"/>
        </w:rPr>
        <w:t xml:space="preserve">A series of </w:t>
      </w:r>
      <w:r w:rsidRPr="00150EDC">
        <w:rPr>
          <w:sz w:val="24"/>
          <w:u w:val="single"/>
        </w:rPr>
        <w:t>randomised controlled trials (RCTs) and quasi-experimental trials</w:t>
      </w:r>
      <w:r w:rsidRPr="00150EDC">
        <w:rPr>
          <w:sz w:val="24"/>
        </w:rPr>
        <w:t xml:space="preserve"> </w:t>
      </w:r>
      <w:r w:rsidRPr="00150EDC">
        <w:rPr>
          <w:sz w:val="24"/>
          <w:u w:val="single"/>
        </w:rPr>
        <w:t>(this contract).</w:t>
      </w:r>
      <w:r w:rsidRPr="00150EDC">
        <w:rPr>
          <w:sz w:val="24"/>
        </w:rPr>
        <w:t xml:space="preserve"> These will robustly test promising approaches to improving adult numeracy, including approaches that are being used elsewhere in the Multiply</w:t>
      </w:r>
      <w:r w:rsidRPr="00150EDC">
        <w:rPr>
          <w:spacing w:val="-3"/>
          <w:sz w:val="24"/>
        </w:rPr>
        <w:t xml:space="preserve"> </w:t>
      </w:r>
      <w:r w:rsidRPr="00150EDC">
        <w:rPr>
          <w:sz w:val="24"/>
        </w:rPr>
        <w:t>programme,</w:t>
      </w:r>
      <w:r w:rsidRPr="00150EDC">
        <w:rPr>
          <w:spacing w:val="-5"/>
          <w:sz w:val="24"/>
        </w:rPr>
        <w:t xml:space="preserve"> </w:t>
      </w:r>
      <w:r w:rsidRPr="00150EDC">
        <w:rPr>
          <w:sz w:val="24"/>
        </w:rPr>
        <w:t>as</w:t>
      </w:r>
      <w:r w:rsidRPr="00150EDC">
        <w:rPr>
          <w:spacing w:val="-3"/>
          <w:sz w:val="24"/>
        </w:rPr>
        <w:t xml:space="preserve"> </w:t>
      </w:r>
      <w:r w:rsidRPr="00150EDC">
        <w:rPr>
          <w:sz w:val="24"/>
        </w:rPr>
        <w:t>well</w:t>
      </w:r>
      <w:r w:rsidRPr="00150EDC">
        <w:rPr>
          <w:spacing w:val="-3"/>
          <w:sz w:val="24"/>
        </w:rPr>
        <w:t xml:space="preserve"> </w:t>
      </w:r>
      <w:r w:rsidRPr="00150EDC">
        <w:rPr>
          <w:sz w:val="24"/>
        </w:rPr>
        <w:t>as</w:t>
      </w:r>
      <w:r w:rsidRPr="00150EDC">
        <w:rPr>
          <w:spacing w:val="-3"/>
          <w:sz w:val="24"/>
        </w:rPr>
        <w:t xml:space="preserve"> </w:t>
      </w:r>
      <w:r w:rsidRPr="00150EDC">
        <w:rPr>
          <w:sz w:val="24"/>
        </w:rPr>
        <w:t>new</w:t>
      </w:r>
      <w:r w:rsidRPr="00150EDC">
        <w:rPr>
          <w:spacing w:val="-6"/>
          <w:sz w:val="24"/>
        </w:rPr>
        <w:t xml:space="preserve"> </w:t>
      </w:r>
      <w:r w:rsidRPr="00150EDC">
        <w:rPr>
          <w:sz w:val="24"/>
        </w:rPr>
        <w:t>ones.</w:t>
      </w:r>
      <w:r w:rsidRPr="00150EDC">
        <w:rPr>
          <w:spacing w:val="-2"/>
          <w:sz w:val="24"/>
        </w:rPr>
        <w:t xml:space="preserve"> </w:t>
      </w:r>
      <w:r w:rsidRPr="00150EDC">
        <w:rPr>
          <w:sz w:val="24"/>
        </w:rPr>
        <w:t>The</w:t>
      </w:r>
      <w:r w:rsidRPr="00150EDC">
        <w:rPr>
          <w:spacing w:val="-2"/>
          <w:sz w:val="24"/>
        </w:rPr>
        <w:t xml:space="preserve"> </w:t>
      </w:r>
      <w:r w:rsidRPr="00150EDC">
        <w:rPr>
          <w:sz w:val="24"/>
        </w:rPr>
        <w:t>majority</w:t>
      </w:r>
      <w:r w:rsidRPr="00150EDC">
        <w:rPr>
          <w:spacing w:val="-3"/>
          <w:sz w:val="24"/>
        </w:rPr>
        <w:t xml:space="preserve"> </w:t>
      </w:r>
      <w:r w:rsidRPr="00150EDC">
        <w:rPr>
          <w:sz w:val="24"/>
        </w:rPr>
        <w:t>of</w:t>
      </w:r>
      <w:r w:rsidRPr="00150EDC">
        <w:rPr>
          <w:spacing w:val="-5"/>
          <w:sz w:val="24"/>
        </w:rPr>
        <w:t xml:space="preserve"> </w:t>
      </w:r>
      <w:r w:rsidRPr="00150EDC">
        <w:rPr>
          <w:sz w:val="24"/>
        </w:rPr>
        <w:t>trials</w:t>
      </w:r>
      <w:r w:rsidRPr="00150EDC">
        <w:rPr>
          <w:spacing w:val="-3"/>
          <w:sz w:val="24"/>
        </w:rPr>
        <w:t xml:space="preserve"> </w:t>
      </w:r>
      <w:r w:rsidRPr="00150EDC">
        <w:rPr>
          <w:sz w:val="24"/>
        </w:rPr>
        <w:t>will</w:t>
      </w:r>
      <w:r w:rsidRPr="00150EDC">
        <w:rPr>
          <w:spacing w:val="-3"/>
          <w:sz w:val="24"/>
        </w:rPr>
        <w:t xml:space="preserve"> </w:t>
      </w:r>
      <w:r w:rsidRPr="00150EDC">
        <w:rPr>
          <w:sz w:val="24"/>
        </w:rPr>
        <w:t>be</w:t>
      </w:r>
      <w:r w:rsidRPr="00150EDC">
        <w:rPr>
          <w:spacing w:val="-2"/>
          <w:sz w:val="24"/>
        </w:rPr>
        <w:t xml:space="preserve"> </w:t>
      </w:r>
      <w:r w:rsidRPr="00150EDC">
        <w:rPr>
          <w:sz w:val="24"/>
        </w:rPr>
        <w:t xml:space="preserve">RCTs, which are the gold standard research design to identify what is, and isn’t, </w:t>
      </w:r>
      <w:r w:rsidRPr="00150EDC">
        <w:rPr>
          <w:spacing w:val="-2"/>
          <w:sz w:val="24"/>
        </w:rPr>
        <w:t>effective.</w:t>
      </w:r>
    </w:p>
    <w:p w14:paraId="5E62EDB9" w14:textId="77777777" w:rsidR="004C7180" w:rsidRPr="00150EDC" w:rsidRDefault="004C7180">
      <w:pPr>
        <w:pStyle w:val="BodyText"/>
        <w:spacing w:before="2"/>
        <w:rPr>
          <w:sz w:val="27"/>
        </w:rPr>
      </w:pPr>
    </w:p>
    <w:p w14:paraId="1446A980" w14:textId="77777777" w:rsidR="004C7180" w:rsidRPr="00150EDC" w:rsidRDefault="00CF0754">
      <w:pPr>
        <w:pStyle w:val="Heading4"/>
        <w:numPr>
          <w:ilvl w:val="1"/>
          <w:numId w:val="30"/>
        </w:numPr>
        <w:tabs>
          <w:tab w:val="left" w:pos="1799"/>
        </w:tabs>
        <w:ind w:left="1799" w:hanging="399"/>
      </w:pPr>
      <w:bookmarkStart w:id="85" w:name="4.1_The_Multiply_Randomised_Controlled_t"/>
      <w:bookmarkStart w:id="86" w:name="_bookmark11"/>
      <w:bookmarkEnd w:id="85"/>
      <w:bookmarkEnd w:id="86"/>
      <w:r w:rsidRPr="00150EDC">
        <w:t>The</w:t>
      </w:r>
      <w:r w:rsidRPr="00150EDC">
        <w:rPr>
          <w:spacing w:val="-5"/>
        </w:rPr>
        <w:t xml:space="preserve"> </w:t>
      </w:r>
      <w:r w:rsidRPr="00150EDC">
        <w:t>Multiply</w:t>
      </w:r>
      <w:r w:rsidRPr="00150EDC">
        <w:rPr>
          <w:spacing w:val="-3"/>
        </w:rPr>
        <w:t xml:space="preserve"> </w:t>
      </w:r>
      <w:r w:rsidRPr="00150EDC">
        <w:t>Randomised</w:t>
      </w:r>
      <w:r w:rsidRPr="00150EDC">
        <w:rPr>
          <w:spacing w:val="-3"/>
        </w:rPr>
        <w:t xml:space="preserve"> </w:t>
      </w:r>
      <w:r w:rsidRPr="00150EDC">
        <w:t>Controlled</w:t>
      </w:r>
      <w:r w:rsidRPr="00150EDC">
        <w:rPr>
          <w:spacing w:val="-4"/>
        </w:rPr>
        <w:t xml:space="preserve"> </w:t>
      </w:r>
      <w:r w:rsidRPr="00150EDC">
        <w:t>trials</w:t>
      </w:r>
      <w:r w:rsidRPr="00150EDC">
        <w:rPr>
          <w:spacing w:val="-2"/>
        </w:rPr>
        <w:t xml:space="preserve"> (RCTs)</w:t>
      </w:r>
    </w:p>
    <w:p w14:paraId="75E15E6D" w14:textId="77777777" w:rsidR="004C7180" w:rsidRPr="00150EDC" w:rsidRDefault="004C7180">
      <w:pPr>
        <w:pStyle w:val="BodyText"/>
        <w:spacing w:before="1"/>
        <w:rPr>
          <w:b/>
          <w:sz w:val="21"/>
        </w:rPr>
      </w:pPr>
    </w:p>
    <w:p w14:paraId="61F06E03" w14:textId="77777777" w:rsidR="004C7180" w:rsidRPr="00150EDC" w:rsidRDefault="00CF0754">
      <w:pPr>
        <w:pStyle w:val="BodyText"/>
        <w:ind w:left="1400"/>
        <w:jc w:val="both"/>
      </w:pPr>
      <w:r w:rsidRPr="00150EDC">
        <w:t>The</w:t>
      </w:r>
      <w:r w:rsidRPr="00150EDC">
        <w:rPr>
          <w:spacing w:val="-5"/>
        </w:rPr>
        <w:t xml:space="preserve"> </w:t>
      </w:r>
      <w:r w:rsidRPr="00150EDC">
        <w:t>focus</w:t>
      </w:r>
      <w:r w:rsidRPr="00150EDC">
        <w:rPr>
          <w:spacing w:val="-4"/>
        </w:rPr>
        <w:t xml:space="preserve"> </w:t>
      </w:r>
      <w:r w:rsidRPr="00150EDC">
        <w:t>of</w:t>
      </w:r>
      <w:r w:rsidRPr="00150EDC">
        <w:rPr>
          <w:spacing w:val="-3"/>
        </w:rPr>
        <w:t xml:space="preserve"> </w:t>
      </w:r>
      <w:r w:rsidRPr="00150EDC">
        <w:t>this</w:t>
      </w:r>
      <w:r w:rsidRPr="00150EDC">
        <w:rPr>
          <w:spacing w:val="-5"/>
        </w:rPr>
        <w:t xml:space="preserve"> </w:t>
      </w:r>
      <w:r w:rsidRPr="00150EDC">
        <w:t>tender</w:t>
      </w:r>
      <w:r w:rsidRPr="00150EDC">
        <w:rPr>
          <w:spacing w:val="-5"/>
        </w:rPr>
        <w:t xml:space="preserve"> </w:t>
      </w:r>
      <w:r w:rsidRPr="00150EDC">
        <w:t>is</w:t>
      </w:r>
      <w:r w:rsidRPr="00150EDC">
        <w:rPr>
          <w:spacing w:val="-4"/>
        </w:rPr>
        <w:t xml:space="preserve"> </w:t>
      </w:r>
      <w:r w:rsidRPr="00150EDC">
        <w:t>the</w:t>
      </w:r>
      <w:r w:rsidRPr="00150EDC">
        <w:rPr>
          <w:spacing w:val="-3"/>
        </w:rPr>
        <w:t xml:space="preserve"> </w:t>
      </w:r>
      <w:r w:rsidRPr="00150EDC">
        <w:t>Multiply</w:t>
      </w:r>
      <w:r w:rsidRPr="00150EDC">
        <w:rPr>
          <w:spacing w:val="-3"/>
        </w:rPr>
        <w:t xml:space="preserve"> </w:t>
      </w:r>
      <w:r w:rsidRPr="00150EDC">
        <w:t>RCTs,</w:t>
      </w:r>
      <w:r w:rsidRPr="00150EDC">
        <w:rPr>
          <w:spacing w:val="-6"/>
        </w:rPr>
        <w:t xml:space="preserve"> </w:t>
      </w:r>
      <w:r w:rsidRPr="00150EDC">
        <w:t>the</w:t>
      </w:r>
      <w:r w:rsidRPr="00150EDC">
        <w:rPr>
          <w:spacing w:val="-3"/>
        </w:rPr>
        <w:t xml:space="preserve"> </w:t>
      </w:r>
      <w:r w:rsidRPr="00150EDC">
        <w:t>core</w:t>
      </w:r>
      <w:r w:rsidRPr="00150EDC">
        <w:rPr>
          <w:spacing w:val="-5"/>
        </w:rPr>
        <w:t xml:space="preserve"> </w:t>
      </w:r>
      <w:r w:rsidRPr="00150EDC">
        <w:t>objectives</w:t>
      </w:r>
      <w:r w:rsidRPr="00150EDC">
        <w:rPr>
          <w:spacing w:val="-5"/>
        </w:rPr>
        <w:t xml:space="preserve"> </w:t>
      </w:r>
      <w:r w:rsidRPr="00150EDC">
        <w:t>of</w:t>
      </w:r>
      <w:r w:rsidRPr="00150EDC">
        <w:rPr>
          <w:spacing w:val="-3"/>
        </w:rPr>
        <w:t xml:space="preserve"> </w:t>
      </w:r>
      <w:r w:rsidRPr="00150EDC">
        <w:t>which</w:t>
      </w:r>
      <w:r w:rsidRPr="00150EDC">
        <w:rPr>
          <w:spacing w:val="-3"/>
        </w:rPr>
        <w:t xml:space="preserve"> </w:t>
      </w:r>
      <w:r w:rsidRPr="00150EDC">
        <w:t>are</w:t>
      </w:r>
      <w:r w:rsidRPr="00150EDC">
        <w:rPr>
          <w:spacing w:val="-4"/>
        </w:rPr>
        <w:t xml:space="preserve"> </w:t>
      </w:r>
      <w:r w:rsidRPr="00150EDC">
        <w:rPr>
          <w:spacing w:val="-5"/>
        </w:rPr>
        <w:t>to:</w:t>
      </w:r>
    </w:p>
    <w:p w14:paraId="5FB95104" w14:textId="77777777" w:rsidR="004C7180" w:rsidRPr="00150EDC" w:rsidRDefault="004C7180">
      <w:pPr>
        <w:jc w:val="both"/>
        <w:sectPr w:rsidR="004C7180" w:rsidRPr="00150EDC">
          <w:pgSz w:w="11910" w:h="16840"/>
          <w:pgMar w:top="1220" w:right="0" w:bottom="660" w:left="40" w:header="149" w:footer="465" w:gutter="0"/>
          <w:cols w:space="720"/>
        </w:sectPr>
      </w:pPr>
    </w:p>
    <w:p w14:paraId="6365DDD1" w14:textId="77777777" w:rsidR="004C7180" w:rsidRPr="00150EDC" w:rsidRDefault="004C7180">
      <w:pPr>
        <w:pStyle w:val="BodyText"/>
        <w:spacing w:before="5"/>
        <w:rPr>
          <w:sz w:val="9"/>
        </w:rPr>
      </w:pPr>
    </w:p>
    <w:p w14:paraId="55FB932F" w14:textId="77777777" w:rsidR="004C7180" w:rsidRPr="00150EDC" w:rsidRDefault="00CF0754">
      <w:pPr>
        <w:pStyle w:val="ListParagraph"/>
        <w:numPr>
          <w:ilvl w:val="2"/>
          <w:numId w:val="30"/>
        </w:numPr>
        <w:tabs>
          <w:tab w:val="left" w:pos="2120"/>
        </w:tabs>
        <w:spacing w:before="100"/>
        <w:ind w:right="1446"/>
        <w:jc w:val="both"/>
        <w:rPr>
          <w:sz w:val="24"/>
        </w:rPr>
      </w:pPr>
      <w:r w:rsidRPr="00150EDC">
        <w:rPr>
          <w:b/>
          <w:sz w:val="24"/>
        </w:rPr>
        <w:t>generate</w:t>
      </w:r>
      <w:r w:rsidRPr="00150EDC">
        <w:rPr>
          <w:b/>
          <w:spacing w:val="-3"/>
          <w:sz w:val="24"/>
        </w:rPr>
        <w:t xml:space="preserve"> </w:t>
      </w:r>
      <w:r w:rsidRPr="00150EDC">
        <w:rPr>
          <w:b/>
          <w:sz w:val="24"/>
        </w:rPr>
        <w:t>new,</w:t>
      </w:r>
      <w:r w:rsidRPr="00150EDC">
        <w:rPr>
          <w:b/>
          <w:spacing w:val="-3"/>
          <w:sz w:val="24"/>
        </w:rPr>
        <w:t xml:space="preserve"> </w:t>
      </w:r>
      <w:r w:rsidRPr="00150EDC">
        <w:rPr>
          <w:b/>
          <w:sz w:val="24"/>
        </w:rPr>
        <w:t>high-quality</w:t>
      </w:r>
      <w:r w:rsidRPr="00150EDC">
        <w:rPr>
          <w:b/>
          <w:spacing w:val="-3"/>
          <w:sz w:val="24"/>
        </w:rPr>
        <w:t xml:space="preserve"> </w:t>
      </w:r>
      <w:r w:rsidRPr="00150EDC">
        <w:rPr>
          <w:b/>
          <w:sz w:val="24"/>
        </w:rPr>
        <w:t>evidence</w:t>
      </w:r>
      <w:r w:rsidRPr="00150EDC">
        <w:rPr>
          <w:b/>
          <w:spacing w:val="-3"/>
          <w:sz w:val="24"/>
        </w:rPr>
        <w:t xml:space="preserve"> </w:t>
      </w:r>
      <w:r w:rsidRPr="00150EDC">
        <w:rPr>
          <w:b/>
          <w:sz w:val="24"/>
        </w:rPr>
        <w:t>on</w:t>
      </w:r>
      <w:r w:rsidRPr="00150EDC">
        <w:rPr>
          <w:b/>
          <w:spacing w:val="-4"/>
          <w:sz w:val="24"/>
        </w:rPr>
        <w:t xml:space="preserve"> </w:t>
      </w:r>
      <w:r w:rsidRPr="00150EDC">
        <w:rPr>
          <w:b/>
          <w:sz w:val="24"/>
        </w:rPr>
        <w:t>what</w:t>
      </w:r>
      <w:r w:rsidRPr="00150EDC">
        <w:rPr>
          <w:b/>
          <w:spacing w:val="-5"/>
          <w:sz w:val="24"/>
        </w:rPr>
        <w:t xml:space="preserve"> </w:t>
      </w:r>
      <w:r w:rsidRPr="00150EDC">
        <w:rPr>
          <w:b/>
          <w:sz w:val="24"/>
        </w:rPr>
        <w:t>works</w:t>
      </w:r>
      <w:r w:rsidRPr="00150EDC">
        <w:rPr>
          <w:b/>
          <w:spacing w:val="-5"/>
          <w:sz w:val="24"/>
        </w:rPr>
        <w:t xml:space="preserve"> </w:t>
      </w:r>
      <w:r w:rsidRPr="00150EDC">
        <w:rPr>
          <w:b/>
          <w:sz w:val="24"/>
        </w:rPr>
        <w:t>in</w:t>
      </w:r>
      <w:r w:rsidRPr="00150EDC">
        <w:rPr>
          <w:b/>
          <w:spacing w:val="-4"/>
          <w:sz w:val="24"/>
        </w:rPr>
        <w:t xml:space="preserve"> </w:t>
      </w:r>
      <w:r w:rsidRPr="00150EDC">
        <w:rPr>
          <w:b/>
          <w:sz w:val="24"/>
        </w:rPr>
        <w:t>adult</w:t>
      </w:r>
      <w:r w:rsidRPr="00150EDC">
        <w:rPr>
          <w:b/>
          <w:spacing w:val="-5"/>
          <w:sz w:val="24"/>
        </w:rPr>
        <w:t xml:space="preserve"> </w:t>
      </w:r>
      <w:r w:rsidRPr="00150EDC">
        <w:rPr>
          <w:b/>
          <w:sz w:val="24"/>
        </w:rPr>
        <w:t>numeracy</w:t>
      </w:r>
      <w:r w:rsidRPr="00150EDC">
        <w:rPr>
          <w:sz w:val="24"/>
        </w:rPr>
        <w:t>,</w:t>
      </w:r>
      <w:r w:rsidRPr="00150EDC">
        <w:rPr>
          <w:spacing w:val="-3"/>
          <w:sz w:val="24"/>
        </w:rPr>
        <w:t xml:space="preserve"> </w:t>
      </w:r>
      <w:r w:rsidRPr="00150EDC">
        <w:rPr>
          <w:sz w:val="24"/>
        </w:rPr>
        <w:t>in order to fill evidence gaps.</w:t>
      </w:r>
    </w:p>
    <w:p w14:paraId="2F4A605F" w14:textId="77777777" w:rsidR="004C7180" w:rsidRPr="00150EDC" w:rsidRDefault="004C7180">
      <w:pPr>
        <w:pStyle w:val="BodyText"/>
        <w:spacing w:before="7"/>
        <w:rPr>
          <w:sz w:val="20"/>
        </w:rPr>
      </w:pPr>
    </w:p>
    <w:p w14:paraId="535FDE5F" w14:textId="77777777" w:rsidR="004C7180" w:rsidRPr="00150EDC" w:rsidRDefault="00CF0754">
      <w:pPr>
        <w:pStyle w:val="ListParagraph"/>
        <w:numPr>
          <w:ilvl w:val="2"/>
          <w:numId w:val="30"/>
        </w:numPr>
        <w:tabs>
          <w:tab w:val="left" w:pos="2120"/>
        </w:tabs>
        <w:ind w:right="1436"/>
        <w:jc w:val="both"/>
        <w:rPr>
          <w:sz w:val="24"/>
        </w:rPr>
      </w:pPr>
      <w:r w:rsidRPr="00150EDC">
        <w:rPr>
          <w:b/>
          <w:sz w:val="24"/>
        </w:rPr>
        <w:t xml:space="preserve">directly support Multiply delivery in local authorities and improve its effectiveness, </w:t>
      </w:r>
      <w:r w:rsidRPr="00150EDC">
        <w:rPr>
          <w:sz w:val="24"/>
        </w:rPr>
        <w:t>through providing an evidence base to underpin decisions around all aspects of the learner cycle</w:t>
      </w:r>
      <w:hyperlink w:anchor="_bookmark12" w:history="1">
        <w:r w:rsidRPr="00150EDC">
          <w:rPr>
            <w:rFonts w:ascii="Times New Roman" w:hAnsi="Times New Roman"/>
            <w:position w:val="8"/>
            <w:sz w:val="14"/>
          </w:rPr>
          <w:t>6</w:t>
        </w:r>
      </w:hyperlink>
      <w:r w:rsidRPr="00150EDC">
        <w:rPr>
          <w:sz w:val="24"/>
        </w:rPr>
        <w:t>. Some of the trials undertaken in Tranche 1 may inform Multiply core delivery in Year 3.</w:t>
      </w:r>
    </w:p>
    <w:p w14:paraId="1FE2D5C1" w14:textId="77777777" w:rsidR="004C7180" w:rsidRPr="00150EDC" w:rsidRDefault="004C7180">
      <w:pPr>
        <w:pStyle w:val="BodyText"/>
        <w:spacing w:before="8"/>
        <w:rPr>
          <w:sz w:val="20"/>
        </w:rPr>
      </w:pPr>
    </w:p>
    <w:p w14:paraId="5C2F0E86" w14:textId="77777777" w:rsidR="004C7180" w:rsidRPr="00150EDC" w:rsidRDefault="00CF0754">
      <w:pPr>
        <w:pStyle w:val="ListParagraph"/>
        <w:numPr>
          <w:ilvl w:val="2"/>
          <w:numId w:val="30"/>
        </w:numPr>
        <w:tabs>
          <w:tab w:val="left" w:pos="2120"/>
        </w:tabs>
        <w:spacing w:before="1"/>
        <w:ind w:right="1433"/>
        <w:jc w:val="both"/>
        <w:rPr>
          <w:sz w:val="24"/>
        </w:rPr>
      </w:pPr>
      <w:r w:rsidRPr="00150EDC">
        <w:rPr>
          <w:b/>
          <w:sz w:val="24"/>
        </w:rPr>
        <w:t>support broader efforts to ensure the value for money of DfE spend in adult education</w:t>
      </w:r>
      <w:r w:rsidRPr="00150EDC">
        <w:rPr>
          <w:sz w:val="24"/>
        </w:rPr>
        <w:t>, with delivery of Multiply interventions to c. 15,000 additional beneficiaries and ensuring funding flows towards approaches underpinned by a good quality evidence base. Where it focuses on established practice, the programme will help evaluate this spend and the extent to which it provides good value for money.</w:t>
      </w:r>
    </w:p>
    <w:p w14:paraId="144D1A7A" w14:textId="77777777" w:rsidR="004C7180" w:rsidRPr="00150EDC" w:rsidRDefault="004C7180">
      <w:pPr>
        <w:pStyle w:val="BodyText"/>
        <w:spacing w:before="8"/>
        <w:rPr>
          <w:sz w:val="20"/>
        </w:rPr>
      </w:pPr>
    </w:p>
    <w:p w14:paraId="6CFD6E18" w14:textId="77777777" w:rsidR="004C7180" w:rsidRPr="00150EDC" w:rsidRDefault="00CF0754">
      <w:pPr>
        <w:pStyle w:val="Heading4"/>
        <w:spacing w:line="276" w:lineRule="auto"/>
        <w:ind w:right="1436"/>
        <w:jc w:val="both"/>
      </w:pPr>
      <w:r w:rsidRPr="00150EDC">
        <w:t xml:space="preserve">This invitation to tender concerns </w:t>
      </w:r>
      <w:r w:rsidRPr="00150EDC">
        <w:rPr>
          <w:u w:val="single"/>
        </w:rPr>
        <w:t>the management of intervention delivery</w:t>
      </w:r>
      <w:r w:rsidRPr="00150EDC">
        <w:t xml:space="preserve"> </w:t>
      </w:r>
      <w:r w:rsidRPr="00150EDC">
        <w:rPr>
          <w:u w:val="single"/>
        </w:rPr>
        <w:t>element</w:t>
      </w:r>
      <w:r w:rsidRPr="00150EDC">
        <w:t xml:space="preserve"> of the RCTs/trials only.</w:t>
      </w:r>
    </w:p>
    <w:p w14:paraId="51757C43" w14:textId="77777777" w:rsidR="004C7180" w:rsidRPr="00150EDC" w:rsidRDefault="00CF0754">
      <w:pPr>
        <w:pStyle w:val="BodyText"/>
        <w:spacing w:before="121" w:line="276" w:lineRule="auto"/>
        <w:ind w:left="1400" w:right="1433"/>
        <w:jc w:val="both"/>
      </w:pPr>
      <w:r w:rsidRPr="00150EDC">
        <w:t>The</w:t>
      </w:r>
      <w:r w:rsidRPr="00150EDC">
        <w:rPr>
          <w:spacing w:val="-4"/>
        </w:rPr>
        <w:t xml:space="preserve"> </w:t>
      </w:r>
      <w:r w:rsidRPr="00150EDC">
        <w:t>Multiply</w:t>
      </w:r>
      <w:r w:rsidRPr="00150EDC">
        <w:rPr>
          <w:spacing w:val="-5"/>
        </w:rPr>
        <w:t xml:space="preserve"> </w:t>
      </w:r>
      <w:r w:rsidRPr="00150EDC">
        <w:t>RCTs</w:t>
      </w:r>
      <w:r w:rsidRPr="00150EDC">
        <w:rPr>
          <w:spacing w:val="-5"/>
        </w:rPr>
        <w:t xml:space="preserve"> </w:t>
      </w:r>
      <w:r w:rsidRPr="00150EDC">
        <w:t>will</w:t>
      </w:r>
      <w:r w:rsidRPr="00150EDC">
        <w:rPr>
          <w:spacing w:val="-1"/>
        </w:rPr>
        <w:t xml:space="preserve"> </w:t>
      </w:r>
      <w:r w:rsidRPr="00150EDC">
        <w:t>involve</w:t>
      </w:r>
      <w:r w:rsidRPr="00150EDC">
        <w:rPr>
          <w:spacing w:val="-4"/>
        </w:rPr>
        <w:t xml:space="preserve"> </w:t>
      </w:r>
      <w:r w:rsidRPr="00150EDC">
        <w:t>up</w:t>
      </w:r>
      <w:r w:rsidRPr="00150EDC">
        <w:rPr>
          <w:spacing w:val="-4"/>
        </w:rPr>
        <w:t xml:space="preserve"> </w:t>
      </w:r>
      <w:r w:rsidRPr="00150EDC">
        <w:t>to</w:t>
      </w:r>
      <w:r w:rsidRPr="00150EDC">
        <w:rPr>
          <w:spacing w:val="-4"/>
        </w:rPr>
        <w:t xml:space="preserve"> </w:t>
      </w:r>
      <w:r w:rsidRPr="00150EDC">
        <w:t>25</w:t>
      </w:r>
      <w:r w:rsidRPr="00150EDC">
        <w:rPr>
          <w:spacing w:val="-4"/>
        </w:rPr>
        <w:t xml:space="preserve"> </w:t>
      </w:r>
      <w:r w:rsidRPr="00150EDC">
        <w:rPr>
          <w:u w:val="single"/>
        </w:rPr>
        <w:t>randomised</w:t>
      </w:r>
      <w:r w:rsidRPr="00150EDC">
        <w:rPr>
          <w:spacing w:val="-4"/>
          <w:u w:val="single"/>
        </w:rPr>
        <w:t xml:space="preserve"> </w:t>
      </w:r>
      <w:r w:rsidRPr="00150EDC">
        <w:rPr>
          <w:u w:val="single"/>
        </w:rPr>
        <w:t>controlled</w:t>
      </w:r>
      <w:r w:rsidRPr="00150EDC">
        <w:rPr>
          <w:spacing w:val="-4"/>
          <w:u w:val="single"/>
        </w:rPr>
        <w:t xml:space="preserve"> </w:t>
      </w:r>
      <w:r w:rsidRPr="00150EDC">
        <w:rPr>
          <w:u w:val="single"/>
        </w:rPr>
        <w:t>trials</w:t>
      </w:r>
      <w:r w:rsidRPr="00150EDC">
        <w:rPr>
          <w:spacing w:val="-8"/>
          <w:u w:val="single"/>
        </w:rPr>
        <w:t xml:space="preserve"> </w:t>
      </w:r>
      <w:r w:rsidRPr="00150EDC">
        <w:rPr>
          <w:u w:val="single"/>
        </w:rPr>
        <w:t>(RCTs)</w:t>
      </w:r>
      <w:r w:rsidRPr="00150EDC">
        <w:rPr>
          <w:spacing w:val="-6"/>
          <w:u w:val="single"/>
        </w:rPr>
        <w:t xml:space="preserve"> </w:t>
      </w:r>
      <w:r w:rsidRPr="00150EDC">
        <w:rPr>
          <w:u w:val="single"/>
        </w:rPr>
        <w:t>and</w:t>
      </w:r>
      <w:r w:rsidRPr="00150EDC">
        <w:rPr>
          <w:spacing w:val="-4"/>
          <w:u w:val="single"/>
        </w:rPr>
        <w:t xml:space="preserve"> </w:t>
      </w:r>
      <w:r w:rsidRPr="00150EDC">
        <w:rPr>
          <w:u w:val="single"/>
        </w:rPr>
        <w:t>other</w:t>
      </w:r>
      <w:r w:rsidRPr="00150EDC">
        <w:t xml:space="preserve"> </w:t>
      </w:r>
      <w:r w:rsidRPr="00150EDC">
        <w:rPr>
          <w:u w:val="single"/>
        </w:rPr>
        <w:t>experimental activity, including quasi-experimental trials</w:t>
      </w:r>
      <w:r w:rsidRPr="00150EDC">
        <w:t xml:space="preserve"> to robustly test promising products/approaches to improving adult numeracy. The trials will be split across two </w:t>
      </w:r>
      <w:r w:rsidRPr="00150EDC">
        <w:rPr>
          <w:spacing w:val="-2"/>
        </w:rPr>
        <w:t>tranches:</w:t>
      </w:r>
    </w:p>
    <w:p w14:paraId="232D05C3" w14:textId="77777777" w:rsidR="004C7180" w:rsidRPr="00150EDC" w:rsidRDefault="004C7180">
      <w:pPr>
        <w:pStyle w:val="BodyText"/>
        <w:spacing w:before="10"/>
        <w:rPr>
          <w:sz w:val="20"/>
        </w:rPr>
      </w:pPr>
    </w:p>
    <w:p w14:paraId="1142C124" w14:textId="77777777" w:rsidR="004C7180" w:rsidRPr="00150EDC" w:rsidRDefault="00CF0754">
      <w:pPr>
        <w:pStyle w:val="BodyText"/>
        <w:spacing w:line="276" w:lineRule="auto"/>
        <w:ind w:left="2120" w:right="1434" w:hanging="360"/>
        <w:jc w:val="both"/>
      </w:pPr>
      <w:r w:rsidRPr="00150EDC">
        <w:t>Tranche 1 will include up to 15 trials, which will take place across England only. Key delivery dates are outlined below. Two comms trials are out of scope of this contract as we expect them to have commenced before the supplier is appointed, so the 13 trials outlined in Annex A are expected to be delivered through this contract.</w:t>
      </w:r>
    </w:p>
    <w:p w14:paraId="48F83780" w14:textId="77777777" w:rsidR="004C7180" w:rsidRPr="00150EDC" w:rsidRDefault="004C7180">
      <w:pPr>
        <w:pStyle w:val="BodyText"/>
        <w:spacing w:before="9"/>
        <w:rPr>
          <w:sz w:val="20"/>
        </w:rPr>
      </w:pPr>
    </w:p>
    <w:tbl>
      <w:tblPr>
        <w:tblW w:w="0" w:type="auto"/>
        <w:tblInd w:w="1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7"/>
        <w:gridCol w:w="4509"/>
      </w:tblGrid>
      <w:tr w:rsidR="004569EE" w:rsidRPr="007D3144" w14:paraId="4EA75CB8" w14:textId="77777777">
        <w:trPr>
          <w:trHeight w:val="515"/>
        </w:trPr>
        <w:tc>
          <w:tcPr>
            <w:tcW w:w="4507" w:type="dxa"/>
          </w:tcPr>
          <w:p w14:paraId="757616E4" w14:textId="77777777" w:rsidR="004C7180" w:rsidRPr="00150EDC" w:rsidRDefault="00CF0754">
            <w:pPr>
              <w:pStyle w:val="TableParagraph"/>
              <w:spacing w:before="0" w:line="240" w:lineRule="auto"/>
              <w:ind w:left="107"/>
              <w:rPr>
                <w:b/>
                <w:sz w:val="24"/>
              </w:rPr>
            </w:pPr>
            <w:r w:rsidRPr="00150EDC">
              <w:rPr>
                <w:b/>
                <w:spacing w:val="-2"/>
                <w:sz w:val="24"/>
              </w:rPr>
              <w:t>Activity</w:t>
            </w:r>
          </w:p>
        </w:tc>
        <w:tc>
          <w:tcPr>
            <w:tcW w:w="4509" w:type="dxa"/>
          </w:tcPr>
          <w:p w14:paraId="4E593086" w14:textId="77777777" w:rsidR="004C7180" w:rsidRPr="00150EDC" w:rsidRDefault="00CF0754">
            <w:pPr>
              <w:pStyle w:val="TableParagraph"/>
              <w:spacing w:before="0" w:line="240" w:lineRule="auto"/>
              <w:ind w:left="108"/>
              <w:rPr>
                <w:b/>
                <w:sz w:val="24"/>
              </w:rPr>
            </w:pPr>
            <w:r w:rsidRPr="00150EDC">
              <w:rPr>
                <w:b/>
                <w:spacing w:val="-4"/>
                <w:sz w:val="24"/>
              </w:rPr>
              <w:t>Date</w:t>
            </w:r>
          </w:p>
        </w:tc>
      </w:tr>
      <w:tr w:rsidR="004569EE" w:rsidRPr="007D3144" w14:paraId="75C17754" w14:textId="77777777">
        <w:trPr>
          <w:trHeight w:val="515"/>
        </w:trPr>
        <w:tc>
          <w:tcPr>
            <w:tcW w:w="4507" w:type="dxa"/>
          </w:tcPr>
          <w:p w14:paraId="059CE919" w14:textId="77777777" w:rsidR="004C7180" w:rsidRPr="00150EDC" w:rsidRDefault="00CF0754">
            <w:pPr>
              <w:pStyle w:val="TableParagraph"/>
              <w:spacing w:before="0" w:line="240" w:lineRule="auto"/>
              <w:ind w:left="107"/>
              <w:rPr>
                <w:sz w:val="24"/>
              </w:rPr>
            </w:pPr>
            <w:r w:rsidRPr="00150EDC">
              <w:rPr>
                <w:sz w:val="24"/>
              </w:rPr>
              <w:t>Trial</w:t>
            </w:r>
            <w:r w:rsidRPr="00150EDC">
              <w:rPr>
                <w:spacing w:val="-4"/>
                <w:sz w:val="24"/>
              </w:rPr>
              <w:t xml:space="preserve"> </w:t>
            </w:r>
            <w:r w:rsidRPr="00150EDC">
              <w:rPr>
                <w:sz w:val="24"/>
              </w:rPr>
              <w:t>recruitment</w:t>
            </w:r>
            <w:r w:rsidRPr="00150EDC">
              <w:rPr>
                <w:spacing w:val="-2"/>
                <w:sz w:val="24"/>
              </w:rPr>
              <w:t xml:space="preserve"> starts</w:t>
            </w:r>
          </w:p>
        </w:tc>
        <w:tc>
          <w:tcPr>
            <w:tcW w:w="4509" w:type="dxa"/>
          </w:tcPr>
          <w:p w14:paraId="6FA706EC" w14:textId="77C10F3A" w:rsidR="004C7180" w:rsidRPr="00150EDC" w:rsidRDefault="00CF0754">
            <w:pPr>
              <w:pStyle w:val="TableParagraph"/>
              <w:spacing w:before="0" w:line="240" w:lineRule="auto"/>
              <w:ind w:left="108"/>
              <w:rPr>
                <w:sz w:val="24"/>
              </w:rPr>
            </w:pPr>
            <w:r w:rsidRPr="00150EDC">
              <w:rPr>
                <w:sz w:val="24"/>
              </w:rPr>
              <w:t>From</w:t>
            </w:r>
            <w:r w:rsidRPr="00150EDC">
              <w:rPr>
                <w:spacing w:val="-3"/>
                <w:sz w:val="24"/>
              </w:rPr>
              <w:t xml:space="preserve"> </w:t>
            </w:r>
            <w:r w:rsidR="0003334C" w:rsidRPr="00150EDC">
              <w:rPr>
                <w:sz w:val="24"/>
              </w:rPr>
              <w:t>November</w:t>
            </w:r>
            <w:r w:rsidR="0003334C" w:rsidRPr="00150EDC">
              <w:rPr>
                <w:spacing w:val="-4"/>
                <w:sz w:val="24"/>
              </w:rPr>
              <w:t xml:space="preserve"> </w:t>
            </w:r>
            <w:r w:rsidRPr="00150EDC">
              <w:rPr>
                <w:spacing w:val="-4"/>
                <w:sz w:val="24"/>
              </w:rPr>
              <w:t>2023</w:t>
            </w:r>
          </w:p>
        </w:tc>
      </w:tr>
      <w:tr w:rsidR="004569EE" w:rsidRPr="007D3144" w14:paraId="64212F65" w14:textId="77777777">
        <w:trPr>
          <w:trHeight w:val="515"/>
        </w:trPr>
        <w:tc>
          <w:tcPr>
            <w:tcW w:w="4507" w:type="dxa"/>
          </w:tcPr>
          <w:p w14:paraId="1A0BCB6D" w14:textId="77777777" w:rsidR="004C7180" w:rsidRPr="00150EDC" w:rsidRDefault="00CF0754">
            <w:pPr>
              <w:pStyle w:val="TableParagraph"/>
              <w:spacing w:before="0" w:line="240" w:lineRule="auto"/>
              <w:ind w:left="107"/>
              <w:rPr>
                <w:sz w:val="24"/>
              </w:rPr>
            </w:pPr>
            <w:r w:rsidRPr="00150EDC">
              <w:rPr>
                <w:sz w:val="24"/>
              </w:rPr>
              <w:t>Intervention</w:t>
            </w:r>
            <w:r w:rsidRPr="00150EDC">
              <w:rPr>
                <w:spacing w:val="-4"/>
                <w:sz w:val="24"/>
              </w:rPr>
              <w:t xml:space="preserve"> </w:t>
            </w:r>
            <w:r w:rsidRPr="00150EDC">
              <w:rPr>
                <w:sz w:val="24"/>
              </w:rPr>
              <w:t>delivery</w:t>
            </w:r>
            <w:r w:rsidRPr="00150EDC">
              <w:rPr>
                <w:spacing w:val="-2"/>
                <w:sz w:val="24"/>
              </w:rPr>
              <w:t xml:space="preserve"> starts</w:t>
            </w:r>
          </w:p>
        </w:tc>
        <w:tc>
          <w:tcPr>
            <w:tcW w:w="4509" w:type="dxa"/>
          </w:tcPr>
          <w:p w14:paraId="5187DC74" w14:textId="77777777" w:rsidR="004C7180" w:rsidRPr="00150EDC" w:rsidRDefault="00CF0754">
            <w:pPr>
              <w:pStyle w:val="TableParagraph"/>
              <w:spacing w:before="0" w:line="240" w:lineRule="auto"/>
              <w:ind w:left="108"/>
              <w:rPr>
                <w:sz w:val="24"/>
              </w:rPr>
            </w:pPr>
            <w:r w:rsidRPr="00150EDC">
              <w:rPr>
                <w:sz w:val="24"/>
              </w:rPr>
              <w:t>From</w:t>
            </w:r>
            <w:r w:rsidRPr="00150EDC">
              <w:rPr>
                <w:spacing w:val="-3"/>
                <w:sz w:val="24"/>
              </w:rPr>
              <w:t xml:space="preserve"> </w:t>
            </w:r>
            <w:r w:rsidRPr="00150EDC">
              <w:rPr>
                <w:sz w:val="24"/>
              </w:rPr>
              <w:t>January</w:t>
            </w:r>
            <w:r w:rsidRPr="00150EDC">
              <w:rPr>
                <w:spacing w:val="-4"/>
                <w:sz w:val="24"/>
              </w:rPr>
              <w:t xml:space="preserve"> 2024</w:t>
            </w:r>
          </w:p>
        </w:tc>
      </w:tr>
      <w:tr w:rsidR="004569EE" w:rsidRPr="007D3144" w14:paraId="30731F94" w14:textId="77777777">
        <w:trPr>
          <w:trHeight w:val="515"/>
        </w:trPr>
        <w:tc>
          <w:tcPr>
            <w:tcW w:w="4507" w:type="dxa"/>
          </w:tcPr>
          <w:p w14:paraId="68242D0D" w14:textId="77777777" w:rsidR="004C7180" w:rsidRPr="00150EDC" w:rsidRDefault="00CF0754">
            <w:pPr>
              <w:pStyle w:val="TableParagraph"/>
              <w:spacing w:before="0" w:line="240" w:lineRule="auto"/>
              <w:ind w:left="107"/>
              <w:rPr>
                <w:sz w:val="24"/>
              </w:rPr>
            </w:pPr>
            <w:r w:rsidRPr="00150EDC">
              <w:rPr>
                <w:sz w:val="24"/>
              </w:rPr>
              <w:t>Interim</w:t>
            </w:r>
            <w:r w:rsidRPr="00150EDC">
              <w:rPr>
                <w:spacing w:val="-3"/>
                <w:sz w:val="24"/>
              </w:rPr>
              <w:t xml:space="preserve"> </w:t>
            </w:r>
            <w:r w:rsidRPr="00150EDC">
              <w:rPr>
                <w:sz w:val="24"/>
              </w:rPr>
              <w:t>results</w:t>
            </w:r>
            <w:r w:rsidRPr="00150EDC">
              <w:rPr>
                <w:spacing w:val="-2"/>
                <w:sz w:val="24"/>
              </w:rPr>
              <w:t xml:space="preserve"> </w:t>
            </w:r>
            <w:r w:rsidRPr="00150EDC">
              <w:rPr>
                <w:sz w:val="24"/>
              </w:rPr>
              <w:t>from</w:t>
            </w:r>
            <w:r w:rsidRPr="00150EDC">
              <w:rPr>
                <w:spacing w:val="-1"/>
                <w:sz w:val="24"/>
              </w:rPr>
              <w:t xml:space="preserve"> </w:t>
            </w:r>
            <w:r w:rsidRPr="00150EDC">
              <w:rPr>
                <w:sz w:val="24"/>
              </w:rPr>
              <w:t>c.</w:t>
            </w:r>
            <w:r w:rsidRPr="00150EDC">
              <w:rPr>
                <w:spacing w:val="-3"/>
                <w:sz w:val="24"/>
              </w:rPr>
              <w:t xml:space="preserve"> </w:t>
            </w:r>
            <w:r w:rsidRPr="00150EDC">
              <w:rPr>
                <w:sz w:val="24"/>
              </w:rPr>
              <w:t>6</w:t>
            </w:r>
            <w:r w:rsidRPr="00150EDC">
              <w:rPr>
                <w:spacing w:val="-1"/>
                <w:sz w:val="24"/>
              </w:rPr>
              <w:t xml:space="preserve"> </w:t>
            </w:r>
            <w:r w:rsidRPr="00150EDC">
              <w:rPr>
                <w:spacing w:val="-2"/>
                <w:sz w:val="24"/>
              </w:rPr>
              <w:t>trials</w:t>
            </w:r>
          </w:p>
        </w:tc>
        <w:tc>
          <w:tcPr>
            <w:tcW w:w="4509" w:type="dxa"/>
          </w:tcPr>
          <w:p w14:paraId="4EE13320" w14:textId="77777777" w:rsidR="004C7180" w:rsidRPr="00150EDC" w:rsidRDefault="00CF0754">
            <w:pPr>
              <w:pStyle w:val="TableParagraph"/>
              <w:spacing w:before="0" w:line="240" w:lineRule="auto"/>
              <w:ind w:left="108"/>
              <w:rPr>
                <w:sz w:val="24"/>
              </w:rPr>
            </w:pPr>
            <w:r w:rsidRPr="00150EDC">
              <w:rPr>
                <w:sz w:val="24"/>
              </w:rPr>
              <w:t>Spring</w:t>
            </w:r>
            <w:r w:rsidRPr="00150EDC">
              <w:rPr>
                <w:spacing w:val="-3"/>
                <w:sz w:val="24"/>
              </w:rPr>
              <w:t xml:space="preserve"> </w:t>
            </w:r>
            <w:r w:rsidRPr="00150EDC">
              <w:rPr>
                <w:spacing w:val="-4"/>
                <w:sz w:val="24"/>
              </w:rPr>
              <w:t>2024</w:t>
            </w:r>
          </w:p>
        </w:tc>
      </w:tr>
      <w:tr w:rsidR="004569EE" w:rsidRPr="007D3144" w14:paraId="45F92F0C" w14:textId="77777777">
        <w:trPr>
          <w:trHeight w:val="518"/>
        </w:trPr>
        <w:tc>
          <w:tcPr>
            <w:tcW w:w="4507" w:type="dxa"/>
          </w:tcPr>
          <w:p w14:paraId="4B8F3925" w14:textId="77777777" w:rsidR="004C7180" w:rsidRPr="00150EDC" w:rsidRDefault="00CF0754">
            <w:pPr>
              <w:pStyle w:val="TableParagraph"/>
              <w:spacing w:before="2" w:line="240" w:lineRule="auto"/>
              <w:ind w:left="107"/>
              <w:rPr>
                <w:sz w:val="24"/>
              </w:rPr>
            </w:pPr>
            <w:r w:rsidRPr="00150EDC">
              <w:rPr>
                <w:sz w:val="24"/>
              </w:rPr>
              <w:t>Analysis</w:t>
            </w:r>
            <w:r w:rsidRPr="00150EDC">
              <w:rPr>
                <w:spacing w:val="-2"/>
                <w:sz w:val="24"/>
              </w:rPr>
              <w:t xml:space="preserve"> </w:t>
            </w:r>
            <w:r w:rsidRPr="00150EDC">
              <w:rPr>
                <w:sz w:val="24"/>
              </w:rPr>
              <w:t>and</w:t>
            </w:r>
            <w:r w:rsidRPr="00150EDC">
              <w:rPr>
                <w:spacing w:val="-1"/>
                <w:sz w:val="24"/>
              </w:rPr>
              <w:t xml:space="preserve"> </w:t>
            </w:r>
            <w:r w:rsidRPr="00150EDC">
              <w:rPr>
                <w:sz w:val="24"/>
              </w:rPr>
              <w:t>reporting</w:t>
            </w:r>
            <w:r w:rsidRPr="00150EDC">
              <w:rPr>
                <w:spacing w:val="-5"/>
                <w:sz w:val="24"/>
              </w:rPr>
              <w:t xml:space="preserve"> </w:t>
            </w:r>
            <w:r w:rsidRPr="00150EDC">
              <w:rPr>
                <w:sz w:val="24"/>
              </w:rPr>
              <w:t>for</w:t>
            </w:r>
            <w:r w:rsidRPr="00150EDC">
              <w:rPr>
                <w:spacing w:val="-2"/>
                <w:sz w:val="24"/>
              </w:rPr>
              <w:t xml:space="preserve"> </w:t>
            </w:r>
            <w:r w:rsidRPr="00150EDC">
              <w:rPr>
                <w:sz w:val="24"/>
              </w:rPr>
              <w:t>c.</w:t>
            </w:r>
            <w:r w:rsidRPr="00150EDC">
              <w:rPr>
                <w:spacing w:val="-1"/>
                <w:sz w:val="24"/>
              </w:rPr>
              <w:t xml:space="preserve"> </w:t>
            </w:r>
            <w:r w:rsidRPr="00150EDC">
              <w:rPr>
                <w:sz w:val="24"/>
              </w:rPr>
              <w:t>6</w:t>
            </w:r>
            <w:r w:rsidRPr="00150EDC">
              <w:rPr>
                <w:spacing w:val="-2"/>
                <w:sz w:val="24"/>
              </w:rPr>
              <w:t xml:space="preserve"> trials</w:t>
            </w:r>
          </w:p>
        </w:tc>
        <w:tc>
          <w:tcPr>
            <w:tcW w:w="4509" w:type="dxa"/>
          </w:tcPr>
          <w:p w14:paraId="50902C1D" w14:textId="77777777" w:rsidR="004C7180" w:rsidRPr="00150EDC" w:rsidRDefault="00CF0754">
            <w:pPr>
              <w:pStyle w:val="TableParagraph"/>
              <w:spacing w:before="2" w:line="240" w:lineRule="auto"/>
              <w:ind w:left="108"/>
              <w:rPr>
                <w:sz w:val="24"/>
              </w:rPr>
            </w:pPr>
            <w:r w:rsidRPr="00150EDC">
              <w:rPr>
                <w:sz w:val="24"/>
              </w:rPr>
              <w:t>December</w:t>
            </w:r>
            <w:r w:rsidRPr="00150EDC">
              <w:rPr>
                <w:spacing w:val="-5"/>
                <w:sz w:val="24"/>
              </w:rPr>
              <w:t xml:space="preserve"> </w:t>
            </w:r>
            <w:r w:rsidRPr="00150EDC">
              <w:rPr>
                <w:spacing w:val="-4"/>
                <w:sz w:val="24"/>
              </w:rPr>
              <w:t>2024</w:t>
            </w:r>
          </w:p>
        </w:tc>
      </w:tr>
      <w:tr w:rsidR="004569EE" w:rsidRPr="007D3144" w14:paraId="3714F54D" w14:textId="77777777">
        <w:trPr>
          <w:trHeight w:val="791"/>
        </w:trPr>
        <w:tc>
          <w:tcPr>
            <w:tcW w:w="4507" w:type="dxa"/>
          </w:tcPr>
          <w:p w14:paraId="038EC963" w14:textId="77777777" w:rsidR="004C7180" w:rsidRPr="00150EDC" w:rsidRDefault="00CF0754">
            <w:pPr>
              <w:pStyle w:val="TableParagraph"/>
              <w:tabs>
                <w:tab w:val="left" w:pos="1598"/>
                <w:tab w:val="left" w:pos="2075"/>
                <w:tab w:val="left" w:pos="2855"/>
                <w:tab w:val="left" w:pos="4000"/>
              </w:tabs>
              <w:spacing w:before="0" w:line="240" w:lineRule="auto"/>
              <w:ind w:left="107" w:right="94"/>
              <w:rPr>
                <w:sz w:val="24"/>
              </w:rPr>
            </w:pPr>
            <w:r w:rsidRPr="00150EDC">
              <w:rPr>
                <w:spacing w:val="-2"/>
                <w:sz w:val="24"/>
              </w:rPr>
              <w:t>Completion</w:t>
            </w:r>
            <w:r w:rsidRPr="00150EDC">
              <w:rPr>
                <w:sz w:val="24"/>
              </w:rPr>
              <w:tab/>
            </w:r>
            <w:r w:rsidRPr="00150EDC">
              <w:rPr>
                <w:spacing w:val="-6"/>
                <w:sz w:val="24"/>
              </w:rPr>
              <w:t>of</w:t>
            </w:r>
            <w:r w:rsidRPr="00150EDC">
              <w:rPr>
                <w:sz w:val="24"/>
              </w:rPr>
              <w:tab/>
            </w:r>
            <w:r w:rsidRPr="00150EDC">
              <w:rPr>
                <w:spacing w:val="-2"/>
                <w:sz w:val="24"/>
              </w:rPr>
              <w:t>trials</w:t>
            </w:r>
            <w:r w:rsidRPr="00150EDC">
              <w:rPr>
                <w:sz w:val="24"/>
              </w:rPr>
              <w:tab/>
            </w:r>
            <w:r w:rsidRPr="00150EDC">
              <w:rPr>
                <w:spacing w:val="-2"/>
                <w:sz w:val="24"/>
              </w:rPr>
              <w:t>analysis</w:t>
            </w:r>
            <w:r w:rsidRPr="00150EDC">
              <w:rPr>
                <w:sz w:val="24"/>
              </w:rPr>
              <w:tab/>
            </w:r>
            <w:r w:rsidRPr="00150EDC">
              <w:rPr>
                <w:spacing w:val="-4"/>
                <w:sz w:val="24"/>
              </w:rPr>
              <w:t xml:space="preserve">and </w:t>
            </w:r>
            <w:r w:rsidRPr="00150EDC">
              <w:rPr>
                <w:sz w:val="24"/>
              </w:rPr>
              <w:t>reporting for remaining trials</w:t>
            </w:r>
          </w:p>
        </w:tc>
        <w:tc>
          <w:tcPr>
            <w:tcW w:w="4509" w:type="dxa"/>
          </w:tcPr>
          <w:p w14:paraId="17D08F44" w14:textId="77777777" w:rsidR="004C7180" w:rsidRPr="00150EDC" w:rsidRDefault="00CF0754">
            <w:pPr>
              <w:pStyle w:val="TableParagraph"/>
              <w:spacing w:before="0" w:line="240" w:lineRule="auto"/>
              <w:ind w:left="108"/>
              <w:rPr>
                <w:sz w:val="24"/>
              </w:rPr>
            </w:pPr>
            <w:r w:rsidRPr="00150EDC">
              <w:rPr>
                <w:sz w:val="24"/>
              </w:rPr>
              <w:t>By</w:t>
            </w:r>
            <w:r w:rsidRPr="00150EDC">
              <w:rPr>
                <w:spacing w:val="-4"/>
                <w:sz w:val="24"/>
              </w:rPr>
              <w:t xml:space="preserve"> </w:t>
            </w:r>
            <w:r w:rsidRPr="00150EDC">
              <w:rPr>
                <w:sz w:val="24"/>
              </w:rPr>
              <w:t>December</w:t>
            </w:r>
            <w:r w:rsidRPr="00150EDC">
              <w:rPr>
                <w:spacing w:val="-3"/>
                <w:sz w:val="24"/>
              </w:rPr>
              <w:t xml:space="preserve"> </w:t>
            </w:r>
            <w:r w:rsidRPr="00150EDC">
              <w:rPr>
                <w:spacing w:val="-4"/>
                <w:sz w:val="24"/>
              </w:rPr>
              <w:t>2025</w:t>
            </w:r>
          </w:p>
        </w:tc>
      </w:tr>
    </w:tbl>
    <w:p w14:paraId="3A135D65" w14:textId="77777777" w:rsidR="004C7180" w:rsidRPr="00150EDC" w:rsidRDefault="004C7180">
      <w:pPr>
        <w:pStyle w:val="BodyText"/>
        <w:rPr>
          <w:sz w:val="26"/>
        </w:rPr>
      </w:pPr>
    </w:p>
    <w:p w14:paraId="13F2BE0A" w14:textId="77777777" w:rsidR="004C7180" w:rsidRPr="00150EDC" w:rsidRDefault="004C7180">
      <w:pPr>
        <w:pStyle w:val="BodyText"/>
        <w:spacing w:before="7"/>
        <w:rPr>
          <w:sz w:val="22"/>
        </w:rPr>
      </w:pPr>
    </w:p>
    <w:p w14:paraId="62715102" w14:textId="77777777" w:rsidR="004C7180" w:rsidRPr="00150EDC" w:rsidRDefault="00CF0754">
      <w:pPr>
        <w:pStyle w:val="BodyText"/>
        <w:spacing w:before="1" w:line="276" w:lineRule="auto"/>
        <w:ind w:left="1400" w:right="1432"/>
        <w:jc w:val="both"/>
      </w:pPr>
      <w:r w:rsidRPr="00150EDC">
        <w:t>Tranche</w:t>
      </w:r>
      <w:r w:rsidRPr="00150EDC">
        <w:rPr>
          <w:spacing w:val="-6"/>
        </w:rPr>
        <w:t xml:space="preserve"> </w:t>
      </w:r>
      <w:r w:rsidRPr="00150EDC">
        <w:t>2</w:t>
      </w:r>
      <w:r w:rsidRPr="00150EDC">
        <w:rPr>
          <w:spacing w:val="-3"/>
        </w:rPr>
        <w:t xml:space="preserve"> </w:t>
      </w:r>
      <w:r w:rsidRPr="00150EDC">
        <w:t>is</w:t>
      </w:r>
      <w:r w:rsidRPr="00150EDC">
        <w:rPr>
          <w:spacing w:val="-4"/>
        </w:rPr>
        <w:t xml:space="preserve"> </w:t>
      </w:r>
      <w:r w:rsidRPr="00150EDC">
        <w:t>still</w:t>
      </w:r>
      <w:r w:rsidRPr="00150EDC">
        <w:rPr>
          <w:spacing w:val="-5"/>
        </w:rPr>
        <w:t xml:space="preserve"> </w:t>
      </w:r>
      <w:r w:rsidRPr="00150EDC">
        <w:t>in</w:t>
      </w:r>
      <w:r w:rsidRPr="00150EDC">
        <w:rPr>
          <w:spacing w:val="-3"/>
        </w:rPr>
        <w:t xml:space="preserve"> </w:t>
      </w:r>
      <w:r w:rsidRPr="00150EDC">
        <w:t>the</w:t>
      </w:r>
      <w:r w:rsidRPr="00150EDC">
        <w:rPr>
          <w:spacing w:val="-6"/>
        </w:rPr>
        <w:t xml:space="preserve"> </w:t>
      </w:r>
      <w:r w:rsidRPr="00150EDC">
        <w:t>early</w:t>
      </w:r>
      <w:r w:rsidRPr="00150EDC">
        <w:rPr>
          <w:spacing w:val="-4"/>
        </w:rPr>
        <w:t xml:space="preserve"> </w:t>
      </w:r>
      <w:r w:rsidRPr="00150EDC">
        <w:t>stages</w:t>
      </w:r>
      <w:r w:rsidRPr="00150EDC">
        <w:rPr>
          <w:spacing w:val="-7"/>
        </w:rPr>
        <w:t xml:space="preserve"> </w:t>
      </w:r>
      <w:r w:rsidRPr="00150EDC">
        <w:t>of</w:t>
      </w:r>
      <w:r w:rsidRPr="00150EDC">
        <w:rPr>
          <w:spacing w:val="-6"/>
        </w:rPr>
        <w:t xml:space="preserve"> </w:t>
      </w:r>
      <w:r w:rsidRPr="00150EDC">
        <w:t>development.</w:t>
      </w:r>
      <w:r w:rsidRPr="00150EDC">
        <w:rPr>
          <w:spacing w:val="-6"/>
        </w:rPr>
        <w:t xml:space="preserve"> </w:t>
      </w:r>
      <w:r w:rsidRPr="00150EDC">
        <w:t>Up</w:t>
      </w:r>
      <w:r w:rsidRPr="00150EDC">
        <w:rPr>
          <w:spacing w:val="-3"/>
        </w:rPr>
        <w:t xml:space="preserve"> </w:t>
      </w:r>
      <w:r w:rsidRPr="00150EDC">
        <w:t>to</w:t>
      </w:r>
      <w:r w:rsidRPr="00150EDC">
        <w:rPr>
          <w:spacing w:val="-6"/>
        </w:rPr>
        <w:t xml:space="preserve"> </w:t>
      </w:r>
      <w:r w:rsidRPr="00150EDC">
        <w:t>10</w:t>
      </w:r>
      <w:r w:rsidRPr="00150EDC">
        <w:rPr>
          <w:spacing w:val="-6"/>
        </w:rPr>
        <w:t xml:space="preserve"> </w:t>
      </w:r>
      <w:r w:rsidRPr="00150EDC">
        <w:t>trials</w:t>
      </w:r>
      <w:r w:rsidRPr="00150EDC">
        <w:rPr>
          <w:spacing w:val="-7"/>
        </w:rPr>
        <w:t xml:space="preserve"> </w:t>
      </w:r>
      <w:r w:rsidRPr="00150EDC">
        <w:t>will</w:t>
      </w:r>
      <w:r w:rsidRPr="00150EDC">
        <w:rPr>
          <w:spacing w:val="-5"/>
        </w:rPr>
        <w:t xml:space="preserve"> </w:t>
      </w:r>
      <w:r w:rsidRPr="00150EDC">
        <w:t>be</w:t>
      </w:r>
      <w:r w:rsidRPr="00150EDC">
        <w:rPr>
          <w:spacing w:val="-3"/>
        </w:rPr>
        <w:t xml:space="preserve"> </w:t>
      </w:r>
      <w:r w:rsidRPr="00150EDC">
        <w:t>undertaken in</w:t>
      </w:r>
      <w:r w:rsidRPr="00150EDC">
        <w:rPr>
          <w:spacing w:val="25"/>
        </w:rPr>
        <w:t xml:space="preserve"> </w:t>
      </w:r>
      <w:r w:rsidRPr="00150EDC">
        <w:t>this</w:t>
      </w:r>
      <w:r w:rsidRPr="00150EDC">
        <w:rPr>
          <w:spacing w:val="24"/>
        </w:rPr>
        <w:t xml:space="preserve"> </w:t>
      </w:r>
      <w:r w:rsidRPr="00150EDC">
        <w:t>tranche</w:t>
      </w:r>
      <w:r w:rsidRPr="00150EDC">
        <w:rPr>
          <w:spacing w:val="23"/>
        </w:rPr>
        <w:t xml:space="preserve"> </w:t>
      </w:r>
      <w:r w:rsidRPr="00150EDC">
        <w:t>of</w:t>
      </w:r>
      <w:r w:rsidRPr="00150EDC">
        <w:rPr>
          <w:spacing w:val="23"/>
        </w:rPr>
        <w:t xml:space="preserve"> </w:t>
      </w:r>
      <w:r w:rsidRPr="00150EDC">
        <w:t>activity.</w:t>
      </w:r>
      <w:r w:rsidRPr="00150EDC">
        <w:rPr>
          <w:spacing w:val="25"/>
        </w:rPr>
        <w:t xml:space="preserve"> </w:t>
      </w:r>
      <w:r w:rsidRPr="00150EDC">
        <w:t>Tranche</w:t>
      </w:r>
      <w:r w:rsidRPr="00150EDC">
        <w:rPr>
          <w:spacing w:val="25"/>
        </w:rPr>
        <w:t xml:space="preserve"> </w:t>
      </w:r>
      <w:r w:rsidRPr="00150EDC">
        <w:t>2</w:t>
      </w:r>
      <w:r w:rsidRPr="00150EDC">
        <w:rPr>
          <w:spacing w:val="25"/>
        </w:rPr>
        <w:t xml:space="preserve"> </w:t>
      </w:r>
      <w:r w:rsidRPr="00150EDC">
        <w:t>will</w:t>
      </w:r>
      <w:r w:rsidRPr="00150EDC">
        <w:rPr>
          <w:spacing w:val="24"/>
        </w:rPr>
        <w:t xml:space="preserve"> </w:t>
      </w:r>
      <w:r w:rsidRPr="00150EDC">
        <w:t>fill</w:t>
      </w:r>
      <w:r w:rsidRPr="00150EDC">
        <w:rPr>
          <w:spacing w:val="24"/>
        </w:rPr>
        <w:t xml:space="preserve"> </w:t>
      </w:r>
      <w:r w:rsidRPr="00150EDC">
        <w:t>remaining</w:t>
      </w:r>
      <w:r w:rsidRPr="00150EDC">
        <w:rPr>
          <w:spacing w:val="23"/>
        </w:rPr>
        <w:t xml:space="preserve"> </w:t>
      </w:r>
      <w:r w:rsidRPr="00150EDC">
        <w:t>evidence</w:t>
      </w:r>
      <w:r w:rsidRPr="00150EDC">
        <w:rPr>
          <w:spacing w:val="23"/>
        </w:rPr>
        <w:t xml:space="preserve"> </w:t>
      </w:r>
      <w:r w:rsidRPr="00150EDC">
        <w:t>gaps</w:t>
      </w:r>
      <w:r w:rsidRPr="00150EDC">
        <w:rPr>
          <w:spacing w:val="24"/>
        </w:rPr>
        <w:t xml:space="preserve"> </w:t>
      </w:r>
      <w:r w:rsidRPr="00150EDC">
        <w:t>that</w:t>
      </w:r>
      <w:r w:rsidRPr="00150EDC">
        <w:rPr>
          <w:spacing w:val="25"/>
        </w:rPr>
        <w:t xml:space="preserve"> </w:t>
      </w:r>
      <w:r w:rsidRPr="00150EDC">
        <w:t>have</w:t>
      </w:r>
      <w:r w:rsidRPr="00150EDC">
        <w:rPr>
          <w:spacing w:val="23"/>
        </w:rPr>
        <w:t xml:space="preserve"> </w:t>
      </w:r>
      <w:r w:rsidRPr="00150EDC">
        <w:t>not</w:t>
      </w:r>
    </w:p>
    <w:p w14:paraId="303DAF97" w14:textId="77777777" w:rsidR="004C7180" w:rsidRPr="00150EDC" w:rsidRDefault="004C7180">
      <w:pPr>
        <w:pStyle w:val="BodyText"/>
        <w:rPr>
          <w:sz w:val="20"/>
        </w:rPr>
      </w:pPr>
    </w:p>
    <w:p w14:paraId="498602FB" w14:textId="77777777" w:rsidR="004C7180" w:rsidRPr="00150EDC" w:rsidRDefault="00CF0754">
      <w:pPr>
        <w:pStyle w:val="BodyText"/>
        <w:spacing w:before="10"/>
        <w:rPr>
          <w:sz w:val="14"/>
        </w:rPr>
      </w:pPr>
      <w:r w:rsidRPr="00150EDC">
        <w:rPr>
          <w:noProof/>
          <w:lang w:val="en-GB" w:eastAsia="en-GB"/>
        </w:rPr>
        <mc:AlternateContent>
          <mc:Choice Requires="wps">
            <w:drawing>
              <wp:anchor distT="0" distB="0" distL="0" distR="0" simplePos="0" relativeHeight="251658281" behindDoc="1" locked="0" layoutInCell="1" allowOverlap="1" wp14:anchorId="352AAD6A" wp14:editId="414B7C19">
                <wp:simplePos x="0" y="0"/>
                <wp:positionH relativeFrom="page">
                  <wp:posOffset>914400</wp:posOffset>
                </wp:positionH>
                <wp:positionV relativeFrom="paragraph">
                  <wp:posOffset>124168</wp:posOffset>
                </wp:positionV>
                <wp:extent cx="1828800" cy="9525"/>
                <wp:effectExtent l="0" t="0" r="0" b="0"/>
                <wp:wrapTopAndBottom/>
                <wp:docPr id="278" name="Free-form: Shape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ED5CA1" id="Free-form: Shape 278" o:spid="_x0000_s1026" style="position:absolute;margin-left:1in;margin-top:9.8pt;width:2in;height:.75pt;z-index:-251658199;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" path="m1828800,l,,,9144r1828800,l1828800,xe" fillcolor="black" stroked="f">
                <v:path arrowok="t"/>
                <w10:wrap type="topAndBottom" anchorx="page"/>
              </v:shape>
            </w:pict>
          </mc:Fallback>
        </mc:AlternateContent>
      </w:r>
    </w:p>
    <w:p w14:paraId="352D29D5" w14:textId="77777777" w:rsidR="004C7180" w:rsidRPr="00150EDC" w:rsidRDefault="00CF0754">
      <w:pPr>
        <w:spacing w:before="102"/>
        <w:ind w:left="2119" w:right="1435" w:hanging="720"/>
        <w:jc w:val="both"/>
        <w:rPr>
          <w:sz w:val="16"/>
        </w:rPr>
      </w:pPr>
      <w:bookmarkStart w:id="87" w:name="_bookmark12"/>
      <w:bookmarkEnd w:id="87"/>
      <w:r w:rsidRPr="00150EDC">
        <w:rPr>
          <w:rFonts w:ascii="Times New Roman"/>
          <w:sz w:val="16"/>
          <w:vertAlign w:val="superscript"/>
        </w:rPr>
        <w:t>6</w:t>
      </w:r>
      <w:r w:rsidRPr="00150EDC">
        <w:rPr>
          <w:rFonts w:ascii="Times New Roman"/>
          <w:sz w:val="16"/>
        </w:rPr>
        <w:t xml:space="preserve"> </w:t>
      </w:r>
      <w:r w:rsidRPr="00150EDC">
        <w:rPr>
          <w:sz w:val="16"/>
        </w:rPr>
        <w:t>identifying numeracy issues; effective engagement and communications; addressing barriers to learning; effective delivery channels; effective ways of teaching; understanding the impact of different types of learning support and ways to effectively support positive progression.</w:t>
      </w:r>
    </w:p>
    <w:p w14:paraId="20AA9145" w14:textId="77777777" w:rsidR="004C7180" w:rsidRPr="00150EDC" w:rsidRDefault="004C7180">
      <w:pPr>
        <w:jc w:val="both"/>
        <w:rPr>
          <w:sz w:val="16"/>
        </w:rPr>
        <w:sectPr w:rsidR="004C7180" w:rsidRPr="00150EDC">
          <w:pgSz w:w="11910" w:h="16840"/>
          <w:pgMar w:top="1220" w:right="0" w:bottom="660" w:left="40" w:header="149" w:footer="465" w:gutter="0"/>
          <w:cols w:space="720"/>
        </w:sectPr>
      </w:pPr>
    </w:p>
    <w:p w14:paraId="4A93C315" w14:textId="77777777" w:rsidR="004C7180" w:rsidRPr="00150EDC" w:rsidRDefault="004C7180">
      <w:pPr>
        <w:pStyle w:val="BodyText"/>
        <w:spacing w:before="1"/>
        <w:rPr>
          <w:sz w:val="10"/>
        </w:rPr>
      </w:pPr>
    </w:p>
    <w:p w14:paraId="21AFCD41" w14:textId="77777777" w:rsidR="004C7180" w:rsidRPr="00150EDC" w:rsidRDefault="00CF0754">
      <w:pPr>
        <w:pStyle w:val="BodyText"/>
        <w:spacing w:before="92" w:line="276" w:lineRule="auto"/>
        <w:ind w:left="1400" w:right="1435"/>
        <w:jc w:val="both"/>
      </w:pPr>
      <w:r w:rsidRPr="00150EDC">
        <w:t>been included in Tranche 1, such as testing the impact of incentives-based approaches, conducting trials with specific cohorts such as prisoners and those leaving</w:t>
      </w:r>
      <w:r w:rsidRPr="00150EDC">
        <w:rPr>
          <w:spacing w:val="-9"/>
        </w:rPr>
        <w:t xml:space="preserve"> </w:t>
      </w:r>
      <w:r w:rsidRPr="00150EDC">
        <w:t>the</w:t>
      </w:r>
      <w:r w:rsidRPr="00150EDC">
        <w:rPr>
          <w:spacing w:val="-7"/>
        </w:rPr>
        <w:t xml:space="preserve"> </w:t>
      </w:r>
      <w:r w:rsidRPr="00150EDC">
        <w:t>prison</w:t>
      </w:r>
      <w:r w:rsidRPr="00150EDC">
        <w:rPr>
          <w:spacing w:val="-9"/>
        </w:rPr>
        <w:t xml:space="preserve"> </w:t>
      </w:r>
      <w:r w:rsidRPr="00150EDC">
        <w:t>and</w:t>
      </w:r>
      <w:r w:rsidRPr="00150EDC">
        <w:rPr>
          <w:spacing w:val="-12"/>
        </w:rPr>
        <w:t xml:space="preserve"> </w:t>
      </w:r>
      <w:r w:rsidRPr="00150EDC">
        <w:t>care</w:t>
      </w:r>
      <w:r w:rsidRPr="00150EDC">
        <w:rPr>
          <w:spacing w:val="-7"/>
        </w:rPr>
        <w:t xml:space="preserve"> </w:t>
      </w:r>
      <w:r w:rsidRPr="00150EDC">
        <w:t>systems,</w:t>
      </w:r>
      <w:r w:rsidRPr="00150EDC">
        <w:rPr>
          <w:spacing w:val="-10"/>
        </w:rPr>
        <w:t xml:space="preserve"> </w:t>
      </w:r>
      <w:r w:rsidRPr="00150EDC">
        <w:t>and</w:t>
      </w:r>
      <w:r w:rsidRPr="00150EDC">
        <w:rPr>
          <w:spacing w:val="-9"/>
        </w:rPr>
        <w:t xml:space="preserve"> </w:t>
      </w:r>
      <w:r w:rsidRPr="00150EDC">
        <w:t>trials</w:t>
      </w:r>
      <w:r w:rsidRPr="00150EDC">
        <w:rPr>
          <w:spacing w:val="-8"/>
        </w:rPr>
        <w:t xml:space="preserve"> </w:t>
      </w:r>
      <w:r w:rsidRPr="00150EDC">
        <w:t>developed</w:t>
      </w:r>
      <w:r w:rsidRPr="00150EDC">
        <w:rPr>
          <w:spacing w:val="-7"/>
        </w:rPr>
        <w:t xml:space="preserve"> </w:t>
      </w:r>
      <w:r w:rsidRPr="00150EDC">
        <w:t>with</w:t>
      </w:r>
      <w:r w:rsidRPr="00150EDC">
        <w:rPr>
          <w:spacing w:val="-9"/>
        </w:rPr>
        <w:t xml:space="preserve"> </w:t>
      </w:r>
      <w:r w:rsidRPr="00150EDC">
        <w:t>employers.</w:t>
      </w:r>
      <w:r w:rsidRPr="00150EDC">
        <w:rPr>
          <w:spacing w:val="-7"/>
        </w:rPr>
        <w:t xml:space="preserve"> </w:t>
      </w:r>
      <w:r w:rsidRPr="00150EDC">
        <w:t>This</w:t>
      </w:r>
      <w:r w:rsidRPr="00150EDC">
        <w:rPr>
          <w:spacing w:val="-10"/>
        </w:rPr>
        <w:t xml:space="preserve"> </w:t>
      </w:r>
      <w:r w:rsidRPr="00150EDC">
        <w:t>will</w:t>
      </w:r>
      <w:r w:rsidRPr="00150EDC">
        <w:rPr>
          <w:spacing w:val="-8"/>
        </w:rPr>
        <w:t xml:space="preserve"> </w:t>
      </w:r>
      <w:r w:rsidRPr="00150EDC">
        <w:t>be an optional extension to this contract which may be taken up and will depend on the scope</w:t>
      </w:r>
      <w:r w:rsidRPr="00150EDC">
        <w:rPr>
          <w:spacing w:val="-13"/>
        </w:rPr>
        <w:t xml:space="preserve"> </w:t>
      </w:r>
      <w:r w:rsidRPr="00150EDC">
        <w:t>of</w:t>
      </w:r>
      <w:r w:rsidRPr="00150EDC">
        <w:rPr>
          <w:spacing w:val="-11"/>
        </w:rPr>
        <w:t xml:space="preserve"> </w:t>
      </w:r>
      <w:r w:rsidRPr="00150EDC">
        <w:t>the</w:t>
      </w:r>
      <w:r w:rsidRPr="00150EDC">
        <w:rPr>
          <w:spacing w:val="-11"/>
        </w:rPr>
        <w:t xml:space="preserve"> </w:t>
      </w:r>
      <w:r w:rsidRPr="00150EDC">
        <w:t>services</w:t>
      </w:r>
      <w:r w:rsidRPr="00150EDC">
        <w:rPr>
          <w:spacing w:val="-12"/>
        </w:rPr>
        <w:t xml:space="preserve"> </w:t>
      </w:r>
      <w:r w:rsidRPr="00150EDC">
        <w:t>required.</w:t>
      </w:r>
      <w:r w:rsidRPr="00150EDC">
        <w:rPr>
          <w:spacing w:val="-11"/>
        </w:rPr>
        <w:t xml:space="preserve"> </w:t>
      </w:r>
      <w:r w:rsidRPr="00150EDC">
        <w:t>It</w:t>
      </w:r>
      <w:r w:rsidRPr="00150EDC">
        <w:rPr>
          <w:spacing w:val="-11"/>
        </w:rPr>
        <w:t xml:space="preserve"> </w:t>
      </w:r>
      <w:r w:rsidRPr="00150EDC">
        <w:t>is</w:t>
      </w:r>
      <w:r w:rsidRPr="00150EDC">
        <w:rPr>
          <w:spacing w:val="-12"/>
        </w:rPr>
        <w:t xml:space="preserve"> </w:t>
      </w:r>
      <w:r w:rsidRPr="00150EDC">
        <w:t>expected</w:t>
      </w:r>
      <w:r w:rsidRPr="00150EDC">
        <w:rPr>
          <w:spacing w:val="-11"/>
        </w:rPr>
        <w:t xml:space="preserve"> </w:t>
      </w:r>
      <w:r w:rsidRPr="00150EDC">
        <w:t>to</w:t>
      </w:r>
      <w:r w:rsidRPr="00150EDC">
        <w:rPr>
          <w:spacing w:val="-11"/>
        </w:rPr>
        <w:t xml:space="preserve"> </w:t>
      </w:r>
      <w:r w:rsidRPr="00150EDC">
        <w:t>complete</w:t>
      </w:r>
      <w:r w:rsidRPr="00150EDC">
        <w:rPr>
          <w:spacing w:val="-11"/>
        </w:rPr>
        <w:t xml:space="preserve"> </w:t>
      </w:r>
      <w:r w:rsidRPr="00150EDC">
        <w:t>at</w:t>
      </w:r>
      <w:r w:rsidRPr="00150EDC">
        <w:rPr>
          <w:spacing w:val="-13"/>
        </w:rPr>
        <w:t xml:space="preserve"> </w:t>
      </w:r>
      <w:r w:rsidRPr="00150EDC">
        <w:t>the</w:t>
      </w:r>
      <w:r w:rsidRPr="00150EDC">
        <w:rPr>
          <w:spacing w:val="-11"/>
        </w:rPr>
        <w:t xml:space="preserve"> </w:t>
      </w:r>
      <w:r w:rsidRPr="00150EDC">
        <w:t>same</w:t>
      </w:r>
      <w:r w:rsidRPr="00150EDC">
        <w:rPr>
          <w:spacing w:val="-11"/>
        </w:rPr>
        <w:t xml:space="preserve"> </w:t>
      </w:r>
      <w:r w:rsidRPr="00150EDC">
        <w:t>time</w:t>
      </w:r>
      <w:r w:rsidRPr="00150EDC">
        <w:rPr>
          <w:spacing w:val="-11"/>
        </w:rPr>
        <w:t xml:space="preserve"> </w:t>
      </w:r>
      <w:r w:rsidRPr="00150EDC">
        <w:t>as</w:t>
      </w:r>
      <w:r w:rsidRPr="00150EDC">
        <w:rPr>
          <w:spacing w:val="-12"/>
        </w:rPr>
        <w:t xml:space="preserve"> </w:t>
      </w:r>
      <w:r w:rsidRPr="00150EDC">
        <w:t xml:space="preserve">Tranche </w:t>
      </w:r>
      <w:r w:rsidRPr="00150EDC">
        <w:rPr>
          <w:spacing w:val="-6"/>
        </w:rPr>
        <w:t>1.</w:t>
      </w:r>
    </w:p>
    <w:p w14:paraId="7061FB2C" w14:textId="77777777" w:rsidR="004C7180" w:rsidRPr="00150EDC" w:rsidRDefault="004C7180">
      <w:pPr>
        <w:pStyle w:val="BodyText"/>
        <w:spacing w:before="9"/>
        <w:rPr>
          <w:sz w:val="20"/>
        </w:rPr>
      </w:pPr>
    </w:p>
    <w:p w14:paraId="79EDA88A" w14:textId="77777777" w:rsidR="004C7180" w:rsidRPr="00150EDC" w:rsidRDefault="00CF0754">
      <w:pPr>
        <w:pStyle w:val="BodyText"/>
        <w:spacing w:line="278" w:lineRule="auto"/>
        <w:ind w:left="1400" w:right="1436"/>
        <w:jc w:val="both"/>
      </w:pPr>
      <w:r w:rsidRPr="00150EDC">
        <w:t>Detail on how Tranche 1 and Tranche 2 will be priced is included in Document 4 – Pricing Schedule.</w:t>
      </w:r>
    </w:p>
    <w:p w14:paraId="2D67A328" w14:textId="77777777" w:rsidR="004C7180" w:rsidRPr="00150EDC" w:rsidRDefault="004C7180">
      <w:pPr>
        <w:pStyle w:val="BodyText"/>
        <w:spacing w:before="6"/>
        <w:rPr>
          <w:sz w:val="20"/>
        </w:rPr>
      </w:pPr>
    </w:p>
    <w:p w14:paraId="7BEAF418" w14:textId="77777777" w:rsidR="004C7180" w:rsidRPr="00150EDC" w:rsidRDefault="00CF0754">
      <w:pPr>
        <w:ind w:left="1400"/>
        <w:rPr>
          <w:sz w:val="24"/>
        </w:rPr>
      </w:pPr>
      <w:r w:rsidRPr="00150EDC">
        <w:rPr>
          <w:sz w:val="24"/>
        </w:rPr>
        <w:t>The</w:t>
      </w:r>
      <w:r w:rsidRPr="00150EDC">
        <w:rPr>
          <w:spacing w:val="-3"/>
          <w:sz w:val="24"/>
        </w:rPr>
        <w:t xml:space="preserve"> </w:t>
      </w:r>
      <w:r w:rsidRPr="00150EDC">
        <w:rPr>
          <w:b/>
          <w:sz w:val="24"/>
        </w:rPr>
        <w:t>delivery</w:t>
      </w:r>
      <w:r w:rsidRPr="00150EDC">
        <w:rPr>
          <w:b/>
          <w:spacing w:val="-2"/>
          <w:sz w:val="24"/>
        </w:rPr>
        <w:t xml:space="preserve"> </w:t>
      </w:r>
      <w:r w:rsidRPr="00150EDC">
        <w:rPr>
          <w:b/>
          <w:sz w:val="24"/>
        </w:rPr>
        <w:t>supplier</w:t>
      </w:r>
      <w:r w:rsidRPr="00150EDC">
        <w:rPr>
          <w:b/>
          <w:spacing w:val="-4"/>
          <w:sz w:val="24"/>
        </w:rPr>
        <w:t xml:space="preserve"> </w:t>
      </w:r>
      <w:r w:rsidRPr="00150EDC">
        <w:rPr>
          <w:sz w:val="24"/>
        </w:rPr>
        <w:t>will</w:t>
      </w:r>
      <w:r w:rsidRPr="00150EDC">
        <w:rPr>
          <w:spacing w:val="-3"/>
          <w:sz w:val="24"/>
        </w:rPr>
        <w:t xml:space="preserve"> </w:t>
      </w:r>
      <w:r w:rsidRPr="00150EDC">
        <w:rPr>
          <w:sz w:val="24"/>
        </w:rPr>
        <w:t>be</w:t>
      </w:r>
      <w:r w:rsidRPr="00150EDC">
        <w:rPr>
          <w:spacing w:val="-2"/>
          <w:sz w:val="24"/>
        </w:rPr>
        <w:t xml:space="preserve"> </w:t>
      </w:r>
      <w:r w:rsidRPr="00150EDC">
        <w:rPr>
          <w:sz w:val="24"/>
        </w:rPr>
        <w:t>responsible</w:t>
      </w:r>
      <w:r w:rsidRPr="00150EDC">
        <w:rPr>
          <w:spacing w:val="-2"/>
          <w:sz w:val="24"/>
        </w:rPr>
        <w:t xml:space="preserve"> </w:t>
      </w:r>
      <w:r w:rsidRPr="00150EDC">
        <w:rPr>
          <w:spacing w:val="-4"/>
          <w:sz w:val="24"/>
        </w:rPr>
        <w:t>for:</w:t>
      </w:r>
    </w:p>
    <w:p w14:paraId="7FA33041" w14:textId="77777777" w:rsidR="004C7180" w:rsidRPr="00150EDC" w:rsidRDefault="00CF0754">
      <w:pPr>
        <w:pStyle w:val="ListParagraph"/>
        <w:numPr>
          <w:ilvl w:val="0"/>
          <w:numId w:val="25"/>
        </w:numPr>
        <w:tabs>
          <w:tab w:val="left" w:pos="2480"/>
        </w:tabs>
        <w:spacing w:before="121"/>
        <w:ind w:right="1534"/>
        <w:rPr>
          <w:b/>
          <w:sz w:val="24"/>
        </w:rPr>
      </w:pPr>
      <w:r w:rsidRPr="00150EDC">
        <w:rPr>
          <w:sz w:val="24"/>
        </w:rPr>
        <w:t>Working</w:t>
      </w:r>
      <w:r w:rsidRPr="00150EDC">
        <w:rPr>
          <w:spacing w:val="-2"/>
          <w:sz w:val="24"/>
        </w:rPr>
        <w:t xml:space="preserve"> </w:t>
      </w:r>
      <w:r w:rsidRPr="00150EDC">
        <w:rPr>
          <w:sz w:val="24"/>
        </w:rPr>
        <w:t>with</w:t>
      </w:r>
      <w:r w:rsidRPr="00150EDC">
        <w:rPr>
          <w:spacing w:val="-2"/>
          <w:sz w:val="24"/>
        </w:rPr>
        <w:t xml:space="preserve"> </w:t>
      </w:r>
      <w:r w:rsidRPr="00150EDC">
        <w:rPr>
          <w:sz w:val="24"/>
        </w:rPr>
        <w:t>the</w:t>
      </w:r>
      <w:r w:rsidRPr="00150EDC">
        <w:rPr>
          <w:spacing w:val="-2"/>
          <w:sz w:val="24"/>
        </w:rPr>
        <w:t xml:space="preserve"> </w:t>
      </w:r>
      <w:r w:rsidRPr="00150EDC">
        <w:rPr>
          <w:sz w:val="24"/>
        </w:rPr>
        <w:t>GLA,</w:t>
      </w:r>
      <w:r w:rsidRPr="00150EDC">
        <w:rPr>
          <w:spacing w:val="-5"/>
          <w:sz w:val="24"/>
        </w:rPr>
        <w:t xml:space="preserve"> </w:t>
      </w:r>
      <w:r w:rsidRPr="00150EDC">
        <w:rPr>
          <w:sz w:val="24"/>
        </w:rPr>
        <w:t>MCAs</w:t>
      </w:r>
      <w:r w:rsidRPr="00150EDC">
        <w:rPr>
          <w:spacing w:val="-3"/>
          <w:sz w:val="24"/>
        </w:rPr>
        <w:t xml:space="preserve"> </w:t>
      </w:r>
      <w:r w:rsidRPr="00150EDC">
        <w:rPr>
          <w:sz w:val="24"/>
        </w:rPr>
        <w:t>and</w:t>
      </w:r>
      <w:r w:rsidRPr="00150EDC">
        <w:rPr>
          <w:spacing w:val="-4"/>
          <w:sz w:val="24"/>
        </w:rPr>
        <w:t xml:space="preserve"> </w:t>
      </w:r>
      <w:r w:rsidRPr="00150EDC">
        <w:rPr>
          <w:sz w:val="24"/>
        </w:rPr>
        <w:t>upper</w:t>
      </w:r>
      <w:r w:rsidRPr="00150EDC">
        <w:rPr>
          <w:spacing w:val="-4"/>
          <w:sz w:val="24"/>
        </w:rPr>
        <w:t xml:space="preserve"> </w:t>
      </w:r>
      <w:r w:rsidRPr="00150EDC">
        <w:rPr>
          <w:sz w:val="24"/>
        </w:rPr>
        <w:t>tier</w:t>
      </w:r>
      <w:r w:rsidRPr="00150EDC">
        <w:rPr>
          <w:spacing w:val="-4"/>
          <w:sz w:val="24"/>
        </w:rPr>
        <w:t xml:space="preserve"> </w:t>
      </w:r>
      <w:r w:rsidRPr="00150EDC">
        <w:rPr>
          <w:sz w:val="24"/>
        </w:rPr>
        <w:t>authorities</w:t>
      </w:r>
      <w:r w:rsidRPr="00150EDC">
        <w:rPr>
          <w:spacing w:val="-5"/>
          <w:sz w:val="24"/>
        </w:rPr>
        <w:t xml:space="preserve"> </w:t>
      </w:r>
      <w:r w:rsidRPr="00150EDC">
        <w:rPr>
          <w:sz w:val="24"/>
        </w:rPr>
        <w:t>to</w:t>
      </w:r>
      <w:r w:rsidRPr="00150EDC">
        <w:rPr>
          <w:spacing w:val="-2"/>
          <w:sz w:val="24"/>
        </w:rPr>
        <w:t xml:space="preserve"> </w:t>
      </w:r>
      <w:r w:rsidRPr="00150EDC">
        <w:rPr>
          <w:sz w:val="24"/>
        </w:rPr>
        <w:t>identify</w:t>
      </w:r>
      <w:r w:rsidRPr="00150EDC">
        <w:rPr>
          <w:spacing w:val="-5"/>
          <w:sz w:val="24"/>
        </w:rPr>
        <w:t xml:space="preserve"> </w:t>
      </w:r>
      <w:r w:rsidRPr="00150EDC">
        <w:rPr>
          <w:sz w:val="24"/>
        </w:rPr>
        <w:t xml:space="preserve">whether course based provision can be delivered through their existing delivery networks, and if so, </w:t>
      </w:r>
      <w:r w:rsidRPr="00150EDC">
        <w:rPr>
          <w:b/>
          <w:sz w:val="24"/>
        </w:rPr>
        <w:t>overseeing delivery agreements with local areas and their providers.</w:t>
      </w:r>
    </w:p>
    <w:p w14:paraId="327F316A" w14:textId="77777777" w:rsidR="004C7180" w:rsidRPr="00150EDC" w:rsidRDefault="00CF0754">
      <w:pPr>
        <w:pStyle w:val="ListParagraph"/>
        <w:numPr>
          <w:ilvl w:val="0"/>
          <w:numId w:val="25"/>
        </w:numPr>
        <w:tabs>
          <w:tab w:val="left" w:pos="2480"/>
        </w:tabs>
        <w:ind w:right="1804"/>
        <w:rPr>
          <w:b/>
          <w:sz w:val="24"/>
        </w:rPr>
      </w:pPr>
      <w:r w:rsidRPr="00150EDC">
        <w:rPr>
          <w:sz w:val="24"/>
        </w:rPr>
        <w:t>Where</w:t>
      </w:r>
      <w:r w:rsidRPr="00150EDC">
        <w:rPr>
          <w:spacing w:val="-5"/>
          <w:sz w:val="24"/>
        </w:rPr>
        <w:t xml:space="preserve"> </w:t>
      </w:r>
      <w:r w:rsidRPr="00150EDC">
        <w:rPr>
          <w:sz w:val="24"/>
        </w:rPr>
        <w:t>course-based</w:t>
      </w:r>
      <w:r w:rsidRPr="00150EDC">
        <w:rPr>
          <w:spacing w:val="-4"/>
          <w:sz w:val="24"/>
        </w:rPr>
        <w:t xml:space="preserve"> </w:t>
      </w:r>
      <w:r w:rsidRPr="00150EDC">
        <w:rPr>
          <w:sz w:val="24"/>
        </w:rPr>
        <w:t>provision</w:t>
      </w:r>
      <w:r w:rsidRPr="00150EDC">
        <w:rPr>
          <w:spacing w:val="-4"/>
          <w:sz w:val="24"/>
        </w:rPr>
        <w:t xml:space="preserve"> </w:t>
      </w:r>
      <w:r w:rsidRPr="00150EDC">
        <w:rPr>
          <w:sz w:val="24"/>
        </w:rPr>
        <w:t>cannot</w:t>
      </w:r>
      <w:r w:rsidRPr="00150EDC">
        <w:rPr>
          <w:spacing w:val="-6"/>
          <w:sz w:val="24"/>
        </w:rPr>
        <w:t xml:space="preserve"> </w:t>
      </w:r>
      <w:r w:rsidRPr="00150EDC">
        <w:rPr>
          <w:sz w:val="24"/>
        </w:rPr>
        <w:t>be</w:t>
      </w:r>
      <w:r w:rsidRPr="00150EDC">
        <w:rPr>
          <w:spacing w:val="-5"/>
          <w:sz w:val="24"/>
        </w:rPr>
        <w:t xml:space="preserve"> </w:t>
      </w:r>
      <w:r w:rsidRPr="00150EDC">
        <w:rPr>
          <w:sz w:val="24"/>
        </w:rPr>
        <w:t>delivered</w:t>
      </w:r>
      <w:r w:rsidRPr="00150EDC">
        <w:rPr>
          <w:spacing w:val="-4"/>
          <w:sz w:val="24"/>
        </w:rPr>
        <w:t xml:space="preserve"> </w:t>
      </w:r>
      <w:r w:rsidRPr="00150EDC">
        <w:rPr>
          <w:sz w:val="24"/>
        </w:rPr>
        <w:t>through</w:t>
      </w:r>
      <w:r w:rsidRPr="00150EDC">
        <w:rPr>
          <w:spacing w:val="-4"/>
          <w:sz w:val="24"/>
        </w:rPr>
        <w:t xml:space="preserve"> </w:t>
      </w:r>
      <w:r w:rsidRPr="00150EDC">
        <w:rPr>
          <w:sz w:val="24"/>
        </w:rPr>
        <w:t>local</w:t>
      </w:r>
      <w:r w:rsidRPr="00150EDC">
        <w:rPr>
          <w:spacing w:val="-4"/>
          <w:sz w:val="24"/>
        </w:rPr>
        <w:t xml:space="preserve"> </w:t>
      </w:r>
      <w:r w:rsidRPr="00150EDC">
        <w:rPr>
          <w:sz w:val="24"/>
        </w:rPr>
        <w:t>areas’ existing</w:t>
      </w:r>
      <w:r w:rsidRPr="00150EDC">
        <w:rPr>
          <w:spacing w:val="-5"/>
          <w:sz w:val="24"/>
        </w:rPr>
        <w:t xml:space="preserve"> </w:t>
      </w:r>
      <w:r w:rsidRPr="00150EDC">
        <w:rPr>
          <w:sz w:val="24"/>
        </w:rPr>
        <w:t>delivery</w:t>
      </w:r>
      <w:r w:rsidRPr="00150EDC">
        <w:rPr>
          <w:spacing w:val="-4"/>
          <w:sz w:val="24"/>
        </w:rPr>
        <w:t xml:space="preserve"> </w:t>
      </w:r>
      <w:r w:rsidRPr="00150EDC">
        <w:rPr>
          <w:sz w:val="24"/>
        </w:rPr>
        <w:t>networks</w:t>
      </w:r>
      <w:r w:rsidRPr="00150EDC">
        <w:rPr>
          <w:b/>
          <w:sz w:val="24"/>
        </w:rPr>
        <w:t>,</w:t>
      </w:r>
      <w:r w:rsidRPr="00150EDC">
        <w:rPr>
          <w:b/>
          <w:spacing w:val="-3"/>
          <w:sz w:val="24"/>
        </w:rPr>
        <w:t xml:space="preserve"> </w:t>
      </w:r>
      <w:r w:rsidRPr="00150EDC">
        <w:rPr>
          <w:sz w:val="24"/>
        </w:rPr>
        <w:t>overseeing</w:t>
      </w:r>
      <w:r w:rsidRPr="00150EDC">
        <w:rPr>
          <w:spacing w:val="-3"/>
          <w:sz w:val="24"/>
        </w:rPr>
        <w:t xml:space="preserve"> </w:t>
      </w:r>
      <w:r w:rsidRPr="00150EDC">
        <w:rPr>
          <w:sz w:val="24"/>
        </w:rPr>
        <w:t>the</w:t>
      </w:r>
      <w:r w:rsidRPr="00150EDC">
        <w:rPr>
          <w:spacing w:val="-3"/>
          <w:sz w:val="24"/>
        </w:rPr>
        <w:t xml:space="preserve"> </w:t>
      </w:r>
      <w:r w:rsidRPr="00150EDC">
        <w:rPr>
          <w:b/>
          <w:sz w:val="24"/>
        </w:rPr>
        <w:t>recruitment</w:t>
      </w:r>
      <w:r w:rsidRPr="00150EDC">
        <w:rPr>
          <w:b/>
          <w:spacing w:val="-5"/>
          <w:sz w:val="24"/>
        </w:rPr>
        <w:t xml:space="preserve"> </w:t>
      </w:r>
      <w:r w:rsidRPr="00150EDC">
        <w:rPr>
          <w:b/>
          <w:sz w:val="24"/>
        </w:rPr>
        <w:t>of</w:t>
      </w:r>
      <w:r w:rsidRPr="00150EDC">
        <w:rPr>
          <w:b/>
          <w:spacing w:val="-5"/>
          <w:sz w:val="24"/>
        </w:rPr>
        <w:t xml:space="preserve"> </w:t>
      </w:r>
      <w:r w:rsidRPr="00150EDC">
        <w:rPr>
          <w:b/>
          <w:sz w:val="24"/>
        </w:rPr>
        <w:t>providers</w:t>
      </w:r>
      <w:r w:rsidRPr="00150EDC">
        <w:rPr>
          <w:b/>
          <w:spacing w:val="-5"/>
          <w:sz w:val="24"/>
        </w:rPr>
        <w:t xml:space="preserve"> </w:t>
      </w:r>
      <w:r w:rsidRPr="00150EDC">
        <w:rPr>
          <w:b/>
          <w:sz w:val="24"/>
        </w:rPr>
        <w:t xml:space="preserve">to deliver the interventions and setting up appropriate commercial </w:t>
      </w:r>
      <w:r w:rsidRPr="00150EDC">
        <w:rPr>
          <w:b/>
          <w:spacing w:val="-2"/>
          <w:sz w:val="24"/>
        </w:rPr>
        <w:t>arrangements.</w:t>
      </w:r>
    </w:p>
    <w:p w14:paraId="54977677" w14:textId="77777777" w:rsidR="004C7180" w:rsidRPr="00150EDC" w:rsidRDefault="00CF0754">
      <w:pPr>
        <w:pStyle w:val="Heading4"/>
        <w:numPr>
          <w:ilvl w:val="0"/>
          <w:numId w:val="25"/>
        </w:numPr>
        <w:tabs>
          <w:tab w:val="left" w:pos="2480"/>
        </w:tabs>
        <w:ind w:right="1730"/>
      </w:pPr>
      <w:r w:rsidRPr="00150EDC">
        <w:rPr>
          <w:b w:val="0"/>
        </w:rPr>
        <w:t>Overseeing</w:t>
      </w:r>
      <w:r w:rsidRPr="00150EDC">
        <w:rPr>
          <w:b w:val="0"/>
          <w:spacing w:val="-4"/>
        </w:rPr>
        <w:t xml:space="preserve"> </w:t>
      </w:r>
      <w:r w:rsidRPr="00150EDC">
        <w:rPr>
          <w:b w:val="0"/>
        </w:rPr>
        <w:t>the</w:t>
      </w:r>
      <w:r w:rsidRPr="00150EDC">
        <w:rPr>
          <w:b w:val="0"/>
          <w:spacing w:val="-4"/>
        </w:rPr>
        <w:t xml:space="preserve"> </w:t>
      </w:r>
      <w:r w:rsidRPr="00150EDC">
        <w:t>recruitment</w:t>
      </w:r>
      <w:r w:rsidRPr="00150EDC">
        <w:rPr>
          <w:spacing w:val="-6"/>
        </w:rPr>
        <w:t xml:space="preserve"> </w:t>
      </w:r>
      <w:r w:rsidRPr="00150EDC">
        <w:t>of</w:t>
      </w:r>
      <w:r w:rsidRPr="00150EDC">
        <w:rPr>
          <w:spacing w:val="-6"/>
        </w:rPr>
        <w:t xml:space="preserve"> </w:t>
      </w:r>
      <w:r w:rsidRPr="00150EDC">
        <w:t>national</w:t>
      </w:r>
      <w:r w:rsidRPr="00150EDC">
        <w:rPr>
          <w:spacing w:val="-4"/>
        </w:rPr>
        <w:t xml:space="preserve"> </w:t>
      </w:r>
      <w:r w:rsidRPr="00150EDC">
        <w:t>organisations</w:t>
      </w:r>
      <w:r w:rsidRPr="00150EDC">
        <w:rPr>
          <w:spacing w:val="-4"/>
        </w:rPr>
        <w:t xml:space="preserve"> </w:t>
      </w:r>
      <w:r w:rsidRPr="00150EDC">
        <w:t>to</w:t>
      </w:r>
      <w:r w:rsidRPr="00150EDC">
        <w:rPr>
          <w:spacing w:val="-5"/>
        </w:rPr>
        <w:t xml:space="preserve"> </w:t>
      </w:r>
      <w:r w:rsidRPr="00150EDC">
        <w:t>deliver</w:t>
      </w:r>
      <w:r w:rsidRPr="00150EDC">
        <w:rPr>
          <w:spacing w:val="-5"/>
        </w:rPr>
        <w:t xml:space="preserve"> </w:t>
      </w:r>
      <w:r w:rsidRPr="00150EDC">
        <w:t xml:space="preserve">non- course-based provision and setting up appropriate commercial </w:t>
      </w:r>
      <w:r w:rsidRPr="00150EDC">
        <w:rPr>
          <w:spacing w:val="-2"/>
        </w:rPr>
        <w:t>arrangements.</w:t>
      </w:r>
    </w:p>
    <w:p w14:paraId="51A88D98" w14:textId="77777777" w:rsidR="004C7180" w:rsidRPr="00150EDC" w:rsidRDefault="00CF0754">
      <w:pPr>
        <w:pStyle w:val="ListParagraph"/>
        <w:numPr>
          <w:ilvl w:val="0"/>
          <w:numId w:val="25"/>
        </w:numPr>
        <w:tabs>
          <w:tab w:val="left" w:pos="2480"/>
        </w:tabs>
        <w:ind w:right="1692"/>
        <w:rPr>
          <w:b/>
          <w:sz w:val="24"/>
        </w:rPr>
      </w:pPr>
      <w:r w:rsidRPr="00150EDC">
        <w:rPr>
          <w:b/>
          <w:sz w:val="24"/>
        </w:rPr>
        <w:t>Supporting</w:t>
      </w:r>
      <w:r w:rsidRPr="00150EDC">
        <w:rPr>
          <w:b/>
          <w:spacing w:val="-7"/>
          <w:sz w:val="24"/>
        </w:rPr>
        <w:t xml:space="preserve"> </w:t>
      </w:r>
      <w:r w:rsidRPr="00150EDC">
        <w:rPr>
          <w:b/>
          <w:sz w:val="24"/>
        </w:rPr>
        <w:t>local</w:t>
      </w:r>
      <w:r w:rsidRPr="00150EDC">
        <w:rPr>
          <w:b/>
          <w:spacing w:val="-9"/>
          <w:sz w:val="24"/>
        </w:rPr>
        <w:t xml:space="preserve"> </w:t>
      </w:r>
      <w:r w:rsidRPr="00150EDC">
        <w:rPr>
          <w:b/>
          <w:sz w:val="24"/>
        </w:rPr>
        <w:t>areas/providers/national</w:t>
      </w:r>
      <w:r w:rsidRPr="00150EDC">
        <w:rPr>
          <w:b/>
          <w:spacing w:val="-9"/>
          <w:sz w:val="24"/>
        </w:rPr>
        <w:t xml:space="preserve"> </w:t>
      </w:r>
      <w:r w:rsidRPr="00150EDC">
        <w:rPr>
          <w:b/>
          <w:sz w:val="24"/>
        </w:rPr>
        <w:t>organisations</w:t>
      </w:r>
      <w:r w:rsidRPr="00150EDC">
        <w:rPr>
          <w:b/>
          <w:spacing w:val="-6"/>
          <w:sz w:val="24"/>
        </w:rPr>
        <w:t xml:space="preserve"> </w:t>
      </w:r>
      <w:r w:rsidRPr="00150EDC">
        <w:rPr>
          <w:b/>
          <w:sz w:val="24"/>
        </w:rPr>
        <w:t>to</w:t>
      </w:r>
      <w:r w:rsidRPr="00150EDC">
        <w:rPr>
          <w:b/>
          <w:spacing w:val="-7"/>
          <w:sz w:val="24"/>
        </w:rPr>
        <w:t xml:space="preserve"> </w:t>
      </w:r>
      <w:r w:rsidRPr="00150EDC">
        <w:rPr>
          <w:b/>
          <w:sz w:val="24"/>
        </w:rPr>
        <w:t>promote the trials to learners.</w:t>
      </w:r>
    </w:p>
    <w:p w14:paraId="4A4CDC4E" w14:textId="77777777" w:rsidR="004C7180" w:rsidRPr="00150EDC" w:rsidRDefault="00CF0754">
      <w:pPr>
        <w:pStyle w:val="ListParagraph"/>
        <w:numPr>
          <w:ilvl w:val="0"/>
          <w:numId w:val="25"/>
        </w:numPr>
        <w:tabs>
          <w:tab w:val="left" w:pos="2480"/>
        </w:tabs>
        <w:ind w:right="1460"/>
        <w:rPr>
          <w:sz w:val="24"/>
        </w:rPr>
      </w:pPr>
      <w:r w:rsidRPr="00150EDC">
        <w:rPr>
          <w:b/>
          <w:sz w:val="24"/>
        </w:rPr>
        <w:t>Monitoring</w:t>
      </w:r>
      <w:r w:rsidRPr="00150EDC">
        <w:rPr>
          <w:b/>
          <w:spacing w:val="-5"/>
          <w:sz w:val="24"/>
        </w:rPr>
        <w:t xml:space="preserve"> </w:t>
      </w:r>
      <w:r w:rsidRPr="00150EDC">
        <w:rPr>
          <w:b/>
          <w:sz w:val="24"/>
        </w:rPr>
        <w:t>learner</w:t>
      </w:r>
      <w:r w:rsidRPr="00150EDC">
        <w:rPr>
          <w:b/>
          <w:spacing w:val="-5"/>
          <w:sz w:val="24"/>
        </w:rPr>
        <w:t xml:space="preserve"> </w:t>
      </w:r>
      <w:r w:rsidRPr="00150EDC">
        <w:rPr>
          <w:b/>
          <w:sz w:val="24"/>
        </w:rPr>
        <w:t>recruitment</w:t>
      </w:r>
      <w:r w:rsidRPr="00150EDC">
        <w:rPr>
          <w:b/>
          <w:spacing w:val="-6"/>
          <w:sz w:val="24"/>
        </w:rPr>
        <w:t xml:space="preserve"> </w:t>
      </w:r>
      <w:r w:rsidRPr="00150EDC">
        <w:rPr>
          <w:b/>
          <w:sz w:val="24"/>
        </w:rPr>
        <w:t>activities</w:t>
      </w:r>
      <w:r w:rsidRPr="00150EDC">
        <w:rPr>
          <w:b/>
          <w:spacing w:val="-4"/>
          <w:sz w:val="24"/>
        </w:rPr>
        <w:t xml:space="preserve"> </w:t>
      </w:r>
      <w:r w:rsidRPr="00150EDC">
        <w:rPr>
          <w:b/>
          <w:sz w:val="24"/>
        </w:rPr>
        <w:t>and</w:t>
      </w:r>
      <w:r w:rsidRPr="00150EDC">
        <w:rPr>
          <w:b/>
          <w:spacing w:val="-5"/>
          <w:sz w:val="24"/>
        </w:rPr>
        <w:t xml:space="preserve"> </w:t>
      </w:r>
      <w:r w:rsidRPr="00150EDC">
        <w:rPr>
          <w:b/>
          <w:sz w:val="24"/>
        </w:rPr>
        <w:t>delivery</w:t>
      </w:r>
      <w:r w:rsidRPr="00150EDC">
        <w:rPr>
          <w:b/>
          <w:spacing w:val="-4"/>
          <w:sz w:val="24"/>
        </w:rPr>
        <w:t xml:space="preserve"> </w:t>
      </w:r>
      <w:r w:rsidRPr="00150EDC">
        <w:rPr>
          <w:b/>
          <w:sz w:val="24"/>
        </w:rPr>
        <w:t>of</w:t>
      </w:r>
      <w:r w:rsidRPr="00150EDC">
        <w:rPr>
          <w:b/>
          <w:spacing w:val="-6"/>
          <w:sz w:val="24"/>
        </w:rPr>
        <w:t xml:space="preserve"> </w:t>
      </w:r>
      <w:r w:rsidRPr="00150EDC">
        <w:rPr>
          <w:b/>
          <w:sz w:val="24"/>
        </w:rPr>
        <w:t>the</w:t>
      </w:r>
      <w:r w:rsidRPr="00150EDC">
        <w:rPr>
          <w:b/>
          <w:spacing w:val="-4"/>
          <w:sz w:val="24"/>
        </w:rPr>
        <w:t xml:space="preserve"> </w:t>
      </w:r>
      <w:r w:rsidRPr="00150EDC">
        <w:rPr>
          <w:b/>
          <w:sz w:val="24"/>
        </w:rPr>
        <w:t xml:space="preserve">provision </w:t>
      </w:r>
      <w:r w:rsidRPr="00150EDC">
        <w:rPr>
          <w:sz w:val="24"/>
        </w:rPr>
        <w:t xml:space="preserve">and working to </w:t>
      </w:r>
      <w:r w:rsidRPr="00150EDC">
        <w:rPr>
          <w:b/>
          <w:sz w:val="24"/>
        </w:rPr>
        <w:t xml:space="preserve">resolve any issues </w:t>
      </w:r>
      <w:r w:rsidRPr="00150EDC">
        <w:rPr>
          <w:sz w:val="24"/>
        </w:rPr>
        <w:t xml:space="preserve">providers are having with these </w:t>
      </w:r>
      <w:r w:rsidRPr="00150EDC">
        <w:rPr>
          <w:spacing w:val="-2"/>
          <w:sz w:val="24"/>
        </w:rPr>
        <w:t>activities.</w:t>
      </w:r>
    </w:p>
    <w:p w14:paraId="01AC7F3F" w14:textId="77777777" w:rsidR="004C7180" w:rsidRPr="00150EDC" w:rsidRDefault="00CF0754">
      <w:pPr>
        <w:pStyle w:val="ListParagraph"/>
        <w:numPr>
          <w:ilvl w:val="0"/>
          <w:numId w:val="25"/>
        </w:numPr>
        <w:tabs>
          <w:tab w:val="left" w:pos="2480"/>
        </w:tabs>
        <w:ind w:right="1632"/>
        <w:rPr>
          <w:sz w:val="24"/>
        </w:rPr>
      </w:pPr>
      <w:r w:rsidRPr="00150EDC">
        <w:rPr>
          <w:sz w:val="24"/>
        </w:rPr>
        <w:t>Assuring</w:t>
      </w:r>
      <w:r w:rsidRPr="00150EDC">
        <w:rPr>
          <w:spacing w:val="-4"/>
          <w:sz w:val="24"/>
        </w:rPr>
        <w:t xml:space="preserve"> </w:t>
      </w:r>
      <w:r w:rsidRPr="00150EDC">
        <w:rPr>
          <w:sz w:val="24"/>
        </w:rPr>
        <w:t>provider</w:t>
      </w:r>
      <w:r w:rsidRPr="00150EDC">
        <w:rPr>
          <w:spacing w:val="-4"/>
          <w:sz w:val="24"/>
        </w:rPr>
        <w:t xml:space="preserve"> </w:t>
      </w:r>
      <w:r w:rsidRPr="00150EDC">
        <w:rPr>
          <w:sz w:val="24"/>
        </w:rPr>
        <w:t>recruitment</w:t>
      </w:r>
      <w:r w:rsidRPr="00150EDC">
        <w:rPr>
          <w:spacing w:val="-5"/>
          <w:sz w:val="24"/>
        </w:rPr>
        <w:t xml:space="preserve"> </w:t>
      </w:r>
      <w:r w:rsidRPr="00150EDC">
        <w:rPr>
          <w:sz w:val="24"/>
        </w:rPr>
        <w:t>and</w:t>
      </w:r>
      <w:r w:rsidRPr="00150EDC">
        <w:rPr>
          <w:spacing w:val="-4"/>
          <w:sz w:val="24"/>
        </w:rPr>
        <w:t xml:space="preserve"> </w:t>
      </w:r>
      <w:r w:rsidRPr="00150EDC">
        <w:rPr>
          <w:sz w:val="24"/>
        </w:rPr>
        <w:t>delivery</w:t>
      </w:r>
      <w:r w:rsidRPr="00150EDC">
        <w:rPr>
          <w:spacing w:val="-5"/>
          <w:sz w:val="24"/>
        </w:rPr>
        <w:t xml:space="preserve"> </w:t>
      </w:r>
      <w:r w:rsidRPr="00150EDC">
        <w:rPr>
          <w:sz w:val="24"/>
        </w:rPr>
        <w:t>activities</w:t>
      </w:r>
      <w:r w:rsidRPr="00150EDC">
        <w:rPr>
          <w:spacing w:val="-3"/>
          <w:sz w:val="24"/>
        </w:rPr>
        <w:t xml:space="preserve"> </w:t>
      </w:r>
      <w:r w:rsidRPr="00150EDC">
        <w:rPr>
          <w:sz w:val="24"/>
        </w:rPr>
        <w:t>and</w:t>
      </w:r>
      <w:r w:rsidRPr="00150EDC">
        <w:rPr>
          <w:spacing w:val="-4"/>
          <w:sz w:val="24"/>
        </w:rPr>
        <w:t xml:space="preserve"> </w:t>
      </w:r>
      <w:r w:rsidRPr="00150EDC">
        <w:rPr>
          <w:sz w:val="24"/>
        </w:rPr>
        <w:t>adhering</w:t>
      </w:r>
      <w:r w:rsidRPr="00150EDC">
        <w:rPr>
          <w:spacing w:val="-4"/>
          <w:sz w:val="24"/>
        </w:rPr>
        <w:t xml:space="preserve"> </w:t>
      </w:r>
      <w:r w:rsidRPr="00150EDC">
        <w:rPr>
          <w:sz w:val="24"/>
        </w:rPr>
        <w:t>to</w:t>
      </w:r>
      <w:r w:rsidRPr="00150EDC">
        <w:rPr>
          <w:spacing w:val="-2"/>
          <w:sz w:val="24"/>
        </w:rPr>
        <w:t xml:space="preserve"> </w:t>
      </w:r>
      <w:r w:rsidRPr="00150EDC">
        <w:rPr>
          <w:sz w:val="24"/>
        </w:rPr>
        <w:t>data collection requirements specified by the evaluation supplier.</w:t>
      </w:r>
    </w:p>
    <w:p w14:paraId="519A3E5F" w14:textId="77777777" w:rsidR="004C7180" w:rsidRPr="00150EDC" w:rsidRDefault="00CF0754">
      <w:pPr>
        <w:pStyle w:val="ListParagraph"/>
        <w:numPr>
          <w:ilvl w:val="0"/>
          <w:numId w:val="25"/>
        </w:numPr>
        <w:tabs>
          <w:tab w:val="left" w:pos="2480"/>
        </w:tabs>
        <w:ind w:right="1674"/>
        <w:rPr>
          <w:sz w:val="24"/>
        </w:rPr>
      </w:pPr>
      <w:r w:rsidRPr="00150EDC">
        <w:rPr>
          <w:b/>
          <w:sz w:val="24"/>
        </w:rPr>
        <w:t>Ensuring</w:t>
      </w:r>
      <w:r w:rsidRPr="00150EDC">
        <w:rPr>
          <w:b/>
          <w:spacing w:val="-5"/>
          <w:sz w:val="24"/>
        </w:rPr>
        <w:t xml:space="preserve"> </w:t>
      </w:r>
      <w:r w:rsidRPr="00150EDC">
        <w:rPr>
          <w:b/>
          <w:sz w:val="24"/>
        </w:rPr>
        <w:t>providers</w:t>
      </w:r>
      <w:r w:rsidRPr="00150EDC">
        <w:rPr>
          <w:b/>
          <w:spacing w:val="-6"/>
          <w:sz w:val="24"/>
        </w:rPr>
        <w:t xml:space="preserve"> </w:t>
      </w:r>
      <w:r w:rsidRPr="00150EDC">
        <w:rPr>
          <w:b/>
          <w:sz w:val="24"/>
        </w:rPr>
        <w:t>are</w:t>
      </w:r>
      <w:r w:rsidRPr="00150EDC">
        <w:rPr>
          <w:b/>
          <w:spacing w:val="-4"/>
          <w:sz w:val="24"/>
        </w:rPr>
        <w:t xml:space="preserve"> </w:t>
      </w:r>
      <w:r w:rsidRPr="00150EDC">
        <w:rPr>
          <w:b/>
          <w:sz w:val="24"/>
        </w:rPr>
        <w:t>trained</w:t>
      </w:r>
      <w:r w:rsidRPr="00150EDC">
        <w:rPr>
          <w:b/>
          <w:spacing w:val="-7"/>
          <w:sz w:val="24"/>
        </w:rPr>
        <w:t xml:space="preserve"> </w:t>
      </w:r>
      <w:r w:rsidRPr="00150EDC">
        <w:rPr>
          <w:sz w:val="24"/>
        </w:rPr>
        <w:t>by</w:t>
      </w:r>
      <w:r w:rsidRPr="00150EDC">
        <w:rPr>
          <w:spacing w:val="-5"/>
          <w:sz w:val="24"/>
        </w:rPr>
        <w:t xml:space="preserve"> </w:t>
      </w:r>
      <w:r w:rsidRPr="00150EDC">
        <w:rPr>
          <w:sz w:val="24"/>
        </w:rPr>
        <w:t>the</w:t>
      </w:r>
      <w:r w:rsidRPr="00150EDC">
        <w:rPr>
          <w:spacing w:val="-6"/>
          <w:sz w:val="24"/>
        </w:rPr>
        <w:t xml:space="preserve"> </w:t>
      </w:r>
      <w:r w:rsidRPr="00150EDC">
        <w:rPr>
          <w:sz w:val="24"/>
        </w:rPr>
        <w:t>product</w:t>
      </w:r>
      <w:r w:rsidRPr="00150EDC">
        <w:rPr>
          <w:spacing w:val="-4"/>
          <w:sz w:val="24"/>
        </w:rPr>
        <w:t xml:space="preserve"> </w:t>
      </w:r>
      <w:r w:rsidRPr="00150EDC">
        <w:rPr>
          <w:sz w:val="24"/>
        </w:rPr>
        <w:t>development</w:t>
      </w:r>
      <w:r w:rsidRPr="00150EDC">
        <w:rPr>
          <w:spacing w:val="-4"/>
          <w:sz w:val="24"/>
        </w:rPr>
        <w:t xml:space="preserve"> </w:t>
      </w:r>
      <w:r w:rsidRPr="00150EDC">
        <w:rPr>
          <w:sz w:val="24"/>
        </w:rPr>
        <w:t>supplier(s) in delivering the provision, where necessary.</w:t>
      </w:r>
    </w:p>
    <w:p w14:paraId="25579BFB" w14:textId="77777777" w:rsidR="004C7180" w:rsidRPr="00150EDC" w:rsidRDefault="00CF0754">
      <w:pPr>
        <w:pStyle w:val="ListParagraph"/>
        <w:numPr>
          <w:ilvl w:val="0"/>
          <w:numId w:val="25"/>
        </w:numPr>
        <w:tabs>
          <w:tab w:val="left" w:pos="2480"/>
        </w:tabs>
        <w:ind w:right="1521"/>
        <w:rPr>
          <w:sz w:val="24"/>
        </w:rPr>
      </w:pPr>
      <w:r w:rsidRPr="00150EDC">
        <w:rPr>
          <w:b/>
          <w:sz w:val="24"/>
        </w:rPr>
        <w:t xml:space="preserve">Managing the distribution of funding </w:t>
      </w:r>
      <w:r w:rsidRPr="00150EDC">
        <w:rPr>
          <w:sz w:val="24"/>
        </w:rPr>
        <w:t>for the provision to local areas/providers/national</w:t>
      </w:r>
      <w:r w:rsidRPr="00150EDC">
        <w:rPr>
          <w:spacing w:val="-7"/>
          <w:sz w:val="24"/>
        </w:rPr>
        <w:t xml:space="preserve"> </w:t>
      </w:r>
      <w:r w:rsidRPr="00150EDC">
        <w:rPr>
          <w:sz w:val="24"/>
        </w:rPr>
        <w:t>organisations</w:t>
      </w:r>
      <w:r w:rsidRPr="00150EDC">
        <w:rPr>
          <w:spacing w:val="-6"/>
          <w:sz w:val="24"/>
        </w:rPr>
        <w:t xml:space="preserve"> </w:t>
      </w:r>
      <w:r w:rsidRPr="00150EDC">
        <w:rPr>
          <w:sz w:val="24"/>
        </w:rPr>
        <w:t>including</w:t>
      </w:r>
      <w:r w:rsidRPr="00150EDC">
        <w:rPr>
          <w:spacing w:val="-5"/>
          <w:sz w:val="24"/>
        </w:rPr>
        <w:t xml:space="preserve"> </w:t>
      </w:r>
      <w:r w:rsidRPr="00150EDC">
        <w:rPr>
          <w:sz w:val="24"/>
        </w:rPr>
        <w:t>checking</w:t>
      </w:r>
      <w:r w:rsidRPr="00150EDC">
        <w:rPr>
          <w:spacing w:val="-5"/>
          <w:sz w:val="24"/>
        </w:rPr>
        <w:t xml:space="preserve"> </w:t>
      </w:r>
      <w:r w:rsidRPr="00150EDC">
        <w:rPr>
          <w:sz w:val="24"/>
        </w:rPr>
        <w:t>invoices</w:t>
      </w:r>
      <w:r w:rsidRPr="00150EDC">
        <w:rPr>
          <w:spacing w:val="-8"/>
          <w:sz w:val="24"/>
        </w:rPr>
        <w:t xml:space="preserve"> </w:t>
      </w:r>
      <w:r w:rsidRPr="00150EDC">
        <w:rPr>
          <w:sz w:val="24"/>
        </w:rPr>
        <w:t>against what has been delivered before releasing payment.</w:t>
      </w:r>
    </w:p>
    <w:p w14:paraId="2D07B205" w14:textId="77777777" w:rsidR="004C7180" w:rsidRPr="00150EDC" w:rsidRDefault="00CF0754">
      <w:pPr>
        <w:pStyle w:val="ListParagraph"/>
        <w:numPr>
          <w:ilvl w:val="0"/>
          <w:numId w:val="25"/>
        </w:numPr>
        <w:tabs>
          <w:tab w:val="left" w:pos="2480"/>
        </w:tabs>
        <w:spacing w:line="237" w:lineRule="auto"/>
        <w:ind w:right="1592"/>
        <w:rPr>
          <w:sz w:val="24"/>
        </w:rPr>
      </w:pPr>
      <w:r w:rsidRPr="00150EDC">
        <w:rPr>
          <w:b/>
          <w:sz w:val="24"/>
        </w:rPr>
        <w:t>Working</w:t>
      </w:r>
      <w:r w:rsidRPr="00150EDC">
        <w:rPr>
          <w:b/>
          <w:spacing w:val="-4"/>
          <w:sz w:val="24"/>
        </w:rPr>
        <w:t xml:space="preserve"> </w:t>
      </w:r>
      <w:r w:rsidRPr="00150EDC">
        <w:rPr>
          <w:b/>
          <w:sz w:val="24"/>
        </w:rPr>
        <w:t>collaboratively</w:t>
      </w:r>
      <w:r w:rsidRPr="00150EDC">
        <w:rPr>
          <w:b/>
          <w:spacing w:val="-3"/>
          <w:sz w:val="24"/>
        </w:rPr>
        <w:t xml:space="preserve"> </w:t>
      </w:r>
      <w:r w:rsidRPr="00150EDC">
        <w:rPr>
          <w:sz w:val="24"/>
        </w:rPr>
        <w:t>with</w:t>
      </w:r>
      <w:r w:rsidRPr="00150EDC">
        <w:rPr>
          <w:spacing w:val="-5"/>
          <w:sz w:val="24"/>
        </w:rPr>
        <w:t xml:space="preserve"> </w:t>
      </w:r>
      <w:r w:rsidRPr="00150EDC">
        <w:rPr>
          <w:sz w:val="24"/>
        </w:rPr>
        <w:t>the</w:t>
      </w:r>
      <w:r w:rsidRPr="00150EDC">
        <w:rPr>
          <w:spacing w:val="-3"/>
          <w:sz w:val="24"/>
        </w:rPr>
        <w:t xml:space="preserve"> </w:t>
      </w:r>
      <w:r w:rsidRPr="00150EDC">
        <w:rPr>
          <w:sz w:val="24"/>
        </w:rPr>
        <w:t>other</w:t>
      </w:r>
      <w:r w:rsidRPr="00150EDC">
        <w:rPr>
          <w:spacing w:val="-5"/>
          <w:sz w:val="24"/>
        </w:rPr>
        <w:t xml:space="preserve"> </w:t>
      </w:r>
      <w:r w:rsidRPr="00150EDC">
        <w:rPr>
          <w:sz w:val="24"/>
        </w:rPr>
        <w:t>suppliers</w:t>
      </w:r>
      <w:r w:rsidRPr="00150EDC">
        <w:rPr>
          <w:spacing w:val="-4"/>
          <w:sz w:val="24"/>
        </w:rPr>
        <w:t xml:space="preserve"> </w:t>
      </w:r>
      <w:r w:rsidRPr="00150EDC">
        <w:rPr>
          <w:sz w:val="24"/>
        </w:rPr>
        <w:t>involved</w:t>
      </w:r>
      <w:r w:rsidRPr="00150EDC">
        <w:rPr>
          <w:spacing w:val="-3"/>
          <w:sz w:val="24"/>
        </w:rPr>
        <w:t xml:space="preserve"> </w:t>
      </w:r>
      <w:r w:rsidRPr="00150EDC">
        <w:rPr>
          <w:sz w:val="24"/>
        </w:rPr>
        <w:t>in</w:t>
      </w:r>
      <w:r w:rsidRPr="00150EDC">
        <w:rPr>
          <w:spacing w:val="-5"/>
          <w:sz w:val="24"/>
        </w:rPr>
        <w:t xml:space="preserve"> </w:t>
      </w:r>
      <w:r w:rsidRPr="00150EDC">
        <w:rPr>
          <w:sz w:val="24"/>
        </w:rPr>
        <w:t>the</w:t>
      </w:r>
      <w:r w:rsidRPr="00150EDC">
        <w:rPr>
          <w:spacing w:val="-5"/>
          <w:sz w:val="24"/>
        </w:rPr>
        <w:t xml:space="preserve"> </w:t>
      </w:r>
      <w:r w:rsidRPr="00150EDC">
        <w:rPr>
          <w:sz w:val="24"/>
        </w:rPr>
        <w:t>RCTs</w:t>
      </w:r>
      <w:r w:rsidRPr="00150EDC">
        <w:rPr>
          <w:spacing w:val="-4"/>
          <w:sz w:val="24"/>
        </w:rPr>
        <w:t xml:space="preserve"> </w:t>
      </w:r>
      <w:r w:rsidRPr="00150EDC">
        <w:rPr>
          <w:sz w:val="24"/>
        </w:rPr>
        <w:t>to ensure successful delivery.</w:t>
      </w:r>
    </w:p>
    <w:p w14:paraId="1B452862" w14:textId="77777777" w:rsidR="004C7180" w:rsidRPr="00150EDC" w:rsidRDefault="004C7180">
      <w:pPr>
        <w:pStyle w:val="BodyText"/>
        <w:spacing w:before="7"/>
        <w:rPr>
          <w:sz w:val="22"/>
        </w:rPr>
      </w:pPr>
    </w:p>
    <w:p w14:paraId="472B04C7" w14:textId="77777777" w:rsidR="004C7180" w:rsidRPr="00150EDC" w:rsidRDefault="00CF0754">
      <w:pPr>
        <w:pStyle w:val="Heading1"/>
        <w:numPr>
          <w:ilvl w:val="0"/>
          <w:numId w:val="30"/>
        </w:numPr>
        <w:tabs>
          <w:tab w:val="left" w:pos="1758"/>
        </w:tabs>
        <w:spacing w:before="1"/>
        <w:ind w:left="1758"/>
      </w:pPr>
      <w:bookmarkStart w:id="88" w:name="5._The_Requirement"/>
      <w:bookmarkStart w:id="89" w:name="_bookmark13"/>
      <w:bookmarkEnd w:id="88"/>
      <w:bookmarkEnd w:id="89"/>
      <w:r w:rsidRPr="00150EDC">
        <w:t>The</w:t>
      </w:r>
      <w:r w:rsidRPr="00150EDC">
        <w:rPr>
          <w:spacing w:val="-1"/>
        </w:rPr>
        <w:t xml:space="preserve"> </w:t>
      </w:r>
      <w:r w:rsidRPr="00150EDC">
        <w:rPr>
          <w:spacing w:val="-2"/>
        </w:rPr>
        <w:t>Requirement</w:t>
      </w:r>
    </w:p>
    <w:p w14:paraId="58632394" w14:textId="77777777" w:rsidR="004C7180" w:rsidRPr="00150EDC" w:rsidRDefault="00CF0754">
      <w:pPr>
        <w:pStyle w:val="BodyText"/>
        <w:spacing w:before="3" w:line="276" w:lineRule="auto"/>
        <w:ind w:left="1400" w:right="1463"/>
      </w:pPr>
      <w:r w:rsidRPr="00150EDC">
        <w:t>Last year, DfE put out a call for ideas to local authorities, provider representative groups, sector experts and academics, alongside conducting analysis of local area investment</w:t>
      </w:r>
      <w:r w:rsidRPr="00150EDC">
        <w:rPr>
          <w:spacing w:val="-5"/>
        </w:rPr>
        <w:t xml:space="preserve"> </w:t>
      </w:r>
      <w:r w:rsidRPr="00150EDC">
        <w:t>plans</w:t>
      </w:r>
      <w:r w:rsidRPr="00150EDC">
        <w:rPr>
          <w:spacing w:val="-3"/>
        </w:rPr>
        <w:t xml:space="preserve"> </w:t>
      </w:r>
      <w:r w:rsidRPr="00150EDC">
        <w:t>and</w:t>
      </w:r>
      <w:r w:rsidRPr="00150EDC">
        <w:rPr>
          <w:spacing w:val="-2"/>
        </w:rPr>
        <w:t xml:space="preserve"> </w:t>
      </w:r>
      <w:r w:rsidRPr="00150EDC">
        <w:t>the</w:t>
      </w:r>
      <w:r w:rsidRPr="00150EDC">
        <w:rPr>
          <w:spacing w:val="-2"/>
        </w:rPr>
        <w:t xml:space="preserve"> </w:t>
      </w:r>
      <w:r w:rsidRPr="00150EDC">
        <w:t>content</w:t>
      </w:r>
      <w:r w:rsidRPr="00150EDC">
        <w:rPr>
          <w:spacing w:val="-5"/>
        </w:rPr>
        <w:t xml:space="preserve"> </w:t>
      </w:r>
      <w:r w:rsidRPr="00150EDC">
        <w:t>of</w:t>
      </w:r>
      <w:r w:rsidRPr="00150EDC">
        <w:rPr>
          <w:spacing w:val="-2"/>
        </w:rPr>
        <w:t xml:space="preserve"> </w:t>
      </w:r>
      <w:r w:rsidRPr="00150EDC">
        <w:t>the</w:t>
      </w:r>
      <w:r w:rsidRPr="00150EDC">
        <w:rPr>
          <w:spacing w:val="-2"/>
        </w:rPr>
        <w:t xml:space="preserve"> </w:t>
      </w:r>
      <w:r w:rsidRPr="00150EDC">
        <w:t>Systematic</w:t>
      </w:r>
      <w:r w:rsidRPr="00150EDC">
        <w:rPr>
          <w:spacing w:val="-3"/>
        </w:rPr>
        <w:t xml:space="preserve"> </w:t>
      </w:r>
      <w:r w:rsidRPr="00150EDC">
        <w:t>Review.</w:t>
      </w:r>
      <w:r w:rsidRPr="00150EDC">
        <w:rPr>
          <w:spacing w:val="-2"/>
        </w:rPr>
        <w:t xml:space="preserve"> </w:t>
      </w:r>
      <w:r w:rsidRPr="00150EDC">
        <w:t>Through</w:t>
      </w:r>
      <w:r w:rsidRPr="00150EDC">
        <w:rPr>
          <w:spacing w:val="-4"/>
        </w:rPr>
        <w:t xml:space="preserve"> </w:t>
      </w:r>
      <w:r w:rsidRPr="00150EDC">
        <w:t>these</w:t>
      </w:r>
      <w:r w:rsidRPr="00150EDC">
        <w:rPr>
          <w:spacing w:val="-2"/>
        </w:rPr>
        <w:t xml:space="preserve"> </w:t>
      </w:r>
      <w:r w:rsidRPr="00150EDC">
        <w:t>activities, we created a long list of ideas which went through several rounds of assessment to agree a final list of 15. To note, two of these ideas are out of scope of this contract</w:t>
      </w:r>
      <w:r w:rsidRPr="00150EDC">
        <w:rPr>
          <w:spacing w:val="40"/>
        </w:rPr>
        <w:t xml:space="preserve"> </w:t>
      </w:r>
      <w:r w:rsidRPr="00150EDC">
        <w:t xml:space="preserve">as we expect delivery to commence before the appointment of the </w:t>
      </w:r>
      <w:r w:rsidRPr="00150EDC">
        <w:rPr>
          <w:b/>
        </w:rPr>
        <w:t>delivery</w:t>
      </w:r>
      <w:r w:rsidRPr="00150EDC">
        <w:rPr>
          <w:b/>
          <w:spacing w:val="80"/>
        </w:rPr>
        <w:t xml:space="preserve"> </w:t>
      </w:r>
      <w:r w:rsidRPr="00150EDC">
        <w:rPr>
          <w:b/>
          <w:spacing w:val="-2"/>
        </w:rPr>
        <w:t>supplier</w:t>
      </w:r>
      <w:r w:rsidRPr="00150EDC">
        <w:rPr>
          <w:spacing w:val="-2"/>
        </w:rPr>
        <w:t>.</w:t>
      </w:r>
    </w:p>
    <w:p w14:paraId="6E58C412" w14:textId="77777777" w:rsidR="004C7180" w:rsidRPr="00150EDC" w:rsidRDefault="00CF0754">
      <w:pPr>
        <w:spacing w:before="200"/>
        <w:ind w:left="1399"/>
        <w:rPr>
          <w:sz w:val="24"/>
        </w:rPr>
      </w:pPr>
      <w:r w:rsidRPr="00150EDC">
        <w:rPr>
          <w:sz w:val="24"/>
        </w:rPr>
        <w:t>A</w:t>
      </w:r>
      <w:r w:rsidRPr="00150EDC">
        <w:rPr>
          <w:spacing w:val="-2"/>
          <w:sz w:val="24"/>
        </w:rPr>
        <w:t xml:space="preserve"> </w:t>
      </w:r>
      <w:hyperlink r:id="rId105">
        <w:r w:rsidRPr="007D3144">
          <w:rPr>
            <w:b/>
            <w:sz w:val="24"/>
            <w:u w:val="single" w:color="0000FF"/>
          </w:rPr>
          <w:t>product</w:t>
        </w:r>
        <w:r w:rsidRPr="007D3144">
          <w:rPr>
            <w:b/>
            <w:spacing w:val="-4"/>
            <w:sz w:val="24"/>
            <w:u w:val="single" w:color="0000FF"/>
          </w:rPr>
          <w:t xml:space="preserve"> </w:t>
        </w:r>
        <w:r w:rsidRPr="007D3144">
          <w:rPr>
            <w:b/>
            <w:sz w:val="24"/>
            <w:u w:val="single" w:color="0000FF"/>
          </w:rPr>
          <w:t>developer</w:t>
        </w:r>
        <w:r w:rsidRPr="007D3144">
          <w:rPr>
            <w:b/>
            <w:spacing w:val="-4"/>
            <w:sz w:val="24"/>
            <w:u w:val="single" w:color="0000FF"/>
          </w:rPr>
          <w:t xml:space="preserve"> </w:t>
        </w:r>
        <w:r w:rsidRPr="007D3144">
          <w:rPr>
            <w:b/>
            <w:sz w:val="24"/>
            <w:u w:val="single" w:color="0000FF"/>
          </w:rPr>
          <w:t>has</w:t>
        </w:r>
        <w:r w:rsidRPr="007D3144">
          <w:rPr>
            <w:b/>
            <w:spacing w:val="-2"/>
            <w:sz w:val="24"/>
            <w:u w:val="single" w:color="0000FF"/>
          </w:rPr>
          <w:t xml:space="preserve"> </w:t>
        </w:r>
        <w:r w:rsidRPr="007D3144">
          <w:rPr>
            <w:b/>
            <w:sz w:val="24"/>
            <w:u w:val="single" w:color="0000FF"/>
          </w:rPr>
          <w:t>been</w:t>
        </w:r>
        <w:r w:rsidRPr="007D3144">
          <w:rPr>
            <w:b/>
            <w:spacing w:val="-2"/>
            <w:sz w:val="24"/>
            <w:u w:val="single" w:color="0000FF"/>
          </w:rPr>
          <w:t xml:space="preserve"> </w:t>
        </w:r>
        <w:r w:rsidRPr="007D3144">
          <w:rPr>
            <w:b/>
            <w:sz w:val="24"/>
            <w:u w:val="single" w:color="0000FF"/>
          </w:rPr>
          <w:t>appointed</w:t>
        </w:r>
      </w:hyperlink>
      <w:r w:rsidRPr="007D3144">
        <w:rPr>
          <w:b/>
          <w:spacing w:val="-3"/>
          <w:sz w:val="24"/>
        </w:rPr>
        <w:t xml:space="preserve"> </w:t>
      </w:r>
      <w:r w:rsidRPr="00150EDC">
        <w:rPr>
          <w:sz w:val="24"/>
        </w:rPr>
        <w:t>to</w:t>
      </w:r>
      <w:r w:rsidRPr="00150EDC">
        <w:rPr>
          <w:spacing w:val="-2"/>
          <w:sz w:val="24"/>
        </w:rPr>
        <w:t xml:space="preserve"> </w:t>
      </w:r>
      <w:r w:rsidRPr="00150EDC">
        <w:rPr>
          <w:sz w:val="24"/>
        </w:rPr>
        <w:t>develop</w:t>
      </w:r>
      <w:r w:rsidRPr="00150EDC">
        <w:rPr>
          <w:spacing w:val="-3"/>
          <w:sz w:val="24"/>
        </w:rPr>
        <w:t xml:space="preserve"> </w:t>
      </w:r>
      <w:r w:rsidRPr="00150EDC">
        <w:rPr>
          <w:sz w:val="24"/>
        </w:rPr>
        <w:t>the</w:t>
      </w:r>
      <w:r w:rsidRPr="00150EDC">
        <w:rPr>
          <w:spacing w:val="-4"/>
          <w:sz w:val="24"/>
        </w:rPr>
        <w:t xml:space="preserve"> </w:t>
      </w:r>
      <w:r w:rsidRPr="00150EDC">
        <w:rPr>
          <w:sz w:val="24"/>
        </w:rPr>
        <w:t>first</w:t>
      </w:r>
      <w:r w:rsidRPr="00150EDC">
        <w:rPr>
          <w:spacing w:val="-1"/>
          <w:sz w:val="24"/>
        </w:rPr>
        <w:t xml:space="preserve"> </w:t>
      </w:r>
      <w:r w:rsidRPr="00150EDC">
        <w:rPr>
          <w:sz w:val="24"/>
        </w:rPr>
        <w:t>five</w:t>
      </w:r>
      <w:r w:rsidRPr="00150EDC">
        <w:rPr>
          <w:spacing w:val="-4"/>
          <w:sz w:val="24"/>
        </w:rPr>
        <w:t xml:space="preserve"> </w:t>
      </w:r>
      <w:r w:rsidRPr="00150EDC">
        <w:rPr>
          <w:sz w:val="24"/>
        </w:rPr>
        <w:t>products,</w:t>
      </w:r>
      <w:r w:rsidRPr="00150EDC">
        <w:rPr>
          <w:spacing w:val="-1"/>
          <w:sz w:val="24"/>
        </w:rPr>
        <w:t xml:space="preserve"> </w:t>
      </w:r>
      <w:r w:rsidRPr="00150EDC">
        <w:rPr>
          <w:spacing w:val="-5"/>
          <w:sz w:val="24"/>
        </w:rPr>
        <w:t>and</w:t>
      </w:r>
    </w:p>
    <w:p w14:paraId="5E66E88A" w14:textId="77777777" w:rsidR="004C7180" w:rsidRPr="00150EDC" w:rsidRDefault="004C7180">
      <w:pPr>
        <w:rPr>
          <w:sz w:val="24"/>
        </w:rPr>
        <w:sectPr w:rsidR="004C7180" w:rsidRPr="00150EDC">
          <w:pgSz w:w="11910" w:h="16840"/>
          <w:pgMar w:top="1220" w:right="0" w:bottom="660" w:left="40" w:header="149" w:footer="465" w:gutter="0"/>
          <w:cols w:space="720"/>
        </w:sectPr>
      </w:pPr>
    </w:p>
    <w:p w14:paraId="2CF3D5AB" w14:textId="77777777" w:rsidR="004C7180" w:rsidRPr="00150EDC" w:rsidRDefault="004C7180">
      <w:pPr>
        <w:pStyle w:val="BodyText"/>
        <w:spacing w:before="1"/>
        <w:rPr>
          <w:sz w:val="10"/>
        </w:rPr>
      </w:pPr>
    </w:p>
    <w:p w14:paraId="2158CB4D" w14:textId="77777777" w:rsidR="004C7180" w:rsidRPr="00150EDC" w:rsidRDefault="00CF0754">
      <w:pPr>
        <w:spacing w:before="92" w:line="276" w:lineRule="auto"/>
        <w:ind w:left="1399" w:right="1459"/>
        <w:rPr>
          <w:sz w:val="24"/>
        </w:rPr>
      </w:pPr>
      <w:r w:rsidRPr="00150EDC">
        <w:rPr>
          <w:sz w:val="24"/>
        </w:rPr>
        <w:t>there are currently 4 live Invitations to Quote</w:t>
      </w:r>
      <w:hyperlink w:anchor="_bookmark15" w:history="1">
        <w:r w:rsidRPr="00150EDC">
          <w:rPr>
            <w:rFonts w:ascii="Times New Roman"/>
            <w:position w:val="8"/>
            <w:sz w:val="14"/>
          </w:rPr>
          <w:t>7</w:t>
        </w:r>
      </w:hyperlink>
      <w:r w:rsidRPr="00150EDC">
        <w:rPr>
          <w:rFonts w:ascii="Times New Roman"/>
          <w:spacing w:val="40"/>
          <w:position w:val="8"/>
          <w:sz w:val="14"/>
        </w:rPr>
        <w:t xml:space="preserve"> </w:t>
      </w:r>
      <w:r w:rsidRPr="00150EDC">
        <w:rPr>
          <w:sz w:val="24"/>
        </w:rPr>
        <w:t>for an additional 5 products.</w:t>
      </w:r>
      <w:r w:rsidRPr="00150EDC">
        <w:rPr>
          <w:spacing w:val="40"/>
          <w:sz w:val="24"/>
        </w:rPr>
        <w:t xml:space="preserve"> </w:t>
      </w:r>
      <w:r w:rsidRPr="00150EDC">
        <w:rPr>
          <w:rFonts w:ascii="Segoe UI"/>
          <w:sz w:val="18"/>
        </w:rPr>
        <w:t>Two additional approaches will be developed by an expert maths consultant, with the remaining products being developed</w:t>
      </w:r>
      <w:r w:rsidRPr="00150EDC">
        <w:rPr>
          <w:rFonts w:ascii="Segoe UI"/>
          <w:spacing w:val="-2"/>
          <w:sz w:val="18"/>
        </w:rPr>
        <w:t xml:space="preserve"> </w:t>
      </w:r>
      <w:r w:rsidRPr="00150EDC">
        <w:rPr>
          <w:rFonts w:ascii="Segoe UI"/>
          <w:sz w:val="18"/>
        </w:rPr>
        <w:t>in</w:t>
      </w:r>
      <w:r w:rsidRPr="00150EDC">
        <w:rPr>
          <w:rFonts w:ascii="Segoe UI"/>
          <w:spacing w:val="-2"/>
          <w:sz w:val="18"/>
        </w:rPr>
        <w:t xml:space="preserve"> </w:t>
      </w:r>
      <w:r w:rsidRPr="00150EDC">
        <w:rPr>
          <w:rFonts w:ascii="Segoe UI"/>
          <w:sz w:val="18"/>
        </w:rPr>
        <w:t>house</w:t>
      </w:r>
      <w:r w:rsidRPr="00150EDC">
        <w:rPr>
          <w:rFonts w:ascii="Segoe UI"/>
          <w:spacing w:val="-2"/>
          <w:sz w:val="18"/>
        </w:rPr>
        <w:t xml:space="preserve"> </w:t>
      </w:r>
      <w:r w:rsidRPr="00150EDC">
        <w:rPr>
          <w:rFonts w:ascii="Segoe UI"/>
          <w:sz w:val="18"/>
        </w:rPr>
        <w:t>by</w:t>
      </w:r>
      <w:r w:rsidRPr="00150EDC">
        <w:rPr>
          <w:rFonts w:ascii="Segoe UI"/>
          <w:spacing w:val="-2"/>
          <w:sz w:val="18"/>
        </w:rPr>
        <w:t xml:space="preserve"> </w:t>
      </w:r>
      <w:r w:rsidRPr="00150EDC">
        <w:rPr>
          <w:rFonts w:ascii="Segoe UI"/>
          <w:sz w:val="18"/>
        </w:rPr>
        <w:t>DfE</w:t>
      </w:r>
      <w:r w:rsidRPr="00150EDC">
        <w:rPr>
          <w:rFonts w:ascii="Segoe UI"/>
          <w:spacing w:val="-1"/>
          <w:sz w:val="18"/>
        </w:rPr>
        <w:t xml:space="preserve"> </w:t>
      </w:r>
      <w:r w:rsidRPr="00150EDC">
        <w:rPr>
          <w:rFonts w:ascii="Segoe UI"/>
          <w:sz w:val="18"/>
        </w:rPr>
        <w:t>teams.</w:t>
      </w:r>
      <w:r w:rsidRPr="00150EDC">
        <w:rPr>
          <w:rFonts w:ascii="Segoe UI"/>
          <w:spacing w:val="-2"/>
          <w:sz w:val="18"/>
        </w:rPr>
        <w:t xml:space="preserve"> </w:t>
      </w:r>
      <w:r w:rsidRPr="00150EDC">
        <w:rPr>
          <w:sz w:val="24"/>
        </w:rPr>
        <w:t>Detail</w:t>
      </w:r>
      <w:r w:rsidRPr="00150EDC">
        <w:rPr>
          <w:spacing w:val="-3"/>
          <w:sz w:val="24"/>
        </w:rPr>
        <w:t xml:space="preserve"> </w:t>
      </w:r>
      <w:r w:rsidRPr="00150EDC">
        <w:rPr>
          <w:sz w:val="24"/>
        </w:rPr>
        <w:t>on</w:t>
      </w:r>
      <w:r w:rsidRPr="00150EDC">
        <w:rPr>
          <w:spacing w:val="-2"/>
          <w:sz w:val="24"/>
        </w:rPr>
        <w:t xml:space="preserve"> </w:t>
      </w:r>
      <w:r w:rsidRPr="00150EDC">
        <w:rPr>
          <w:sz w:val="24"/>
        </w:rPr>
        <w:t>the</w:t>
      </w:r>
      <w:r w:rsidRPr="00150EDC">
        <w:rPr>
          <w:spacing w:val="-2"/>
          <w:sz w:val="24"/>
        </w:rPr>
        <w:t xml:space="preserve"> </w:t>
      </w:r>
      <w:r w:rsidRPr="00150EDC">
        <w:rPr>
          <w:sz w:val="24"/>
        </w:rPr>
        <w:t>Tranche</w:t>
      </w:r>
      <w:r w:rsidRPr="00150EDC">
        <w:rPr>
          <w:spacing w:val="-2"/>
          <w:sz w:val="24"/>
        </w:rPr>
        <w:t xml:space="preserve"> </w:t>
      </w:r>
      <w:r w:rsidRPr="00150EDC">
        <w:rPr>
          <w:sz w:val="24"/>
        </w:rPr>
        <w:t>1</w:t>
      </w:r>
      <w:r w:rsidRPr="00150EDC">
        <w:rPr>
          <w:spacing w:val="-4"/>
          <w:sz w:val="24"/>
        </w:rPr>
        <w:t xml:space="preserve"> </w:t>
      </w:r>
      <w:r w:rsidRPr="00150EDC">
        <w:rPr>
          <w:sz w:val="24"/>
        </w:rPr>
        <w:t>trial</w:t>
      </w:r>
      <w:r w:rsidRPr="00150EDC">
        <w:rPr>
          <w:spacing w:val="-3"/>
          <w:sz w:val="24"/>
        </w:rPr>
        <w:t xml:space="preserve"> </w:t>
      </w:r>
      <w:r w:rsidRPr="00150EDC">
        <w:rPr>
          <w:sz w:val="24"/>
        </w:rPr>
        <w:t>ideas</w:t>
      </w:r>
      <w:r w:rsidRPr="00150EDC">
        <w:rPr>
          <w:spacing w:val="-3"/>
          <w:sz w:val="24"/>
        </w:rPr>
        <w:t xml:space="preserve"> </w:t>
      </w:r>
      <w:r w:rsidRPr="00150EDC">
        <w:rPr>
          <w:sz w:val="24"/>
        </w:rPr>
        <w:t>is</w:t>
      </w:r>
      <w:r w:rsidRPr="00150EDC">
        <w:rPr>
          <w:spacing w:val="-3"/>
          <w:sz w:val="24"/>
        </w:rPr>
        <w:t xml:space="preserve"> </w:t>
      </w:r>
      <w:r w:rsidRPr="00150EDC">
        <w:rPr>
          <w:sz w:val="24"/>
        </w:rPr>
        <w:t>included</w:t>
      </w:r>
      <w:r w:rsidRPr="00150EDC">
        <w:rPr>
          <w:spacing w:val="-2"/>
          <w:sz w:val="24"/>
        </w:rPr>
        <w:t xml:space="preserve"> </w:t>
      </w:r>
      <w:r w:rsidRPr="00150EDC">
        <w:rPr>
          <w:sz w:val="24"/>
        </w:rPr>
        <w:t>in</w:t>
      </w:r>
      <w:r w:rsidRPr="00150EDC">
        <w:rPr>
          <w:spacing w:val="-2"/>
          <w:sz w:val="24"/>
        </w:rPr>
        <w:t xml:space="preserve"> </w:t>
      </w:r>
      <w:r w:rsidRPr="00150EDC">
        <w:rPr>
          <w:b/>
          <w:sz w:val="24"/>
        </w:rPr>
        <w:t>Annex</w:t>
      </w:r>
      <w:r w:rsidRPr="00150EDC">
        <w:rPr>
          <w:b/>
          <w:spacing w:val="-2"/>
          <w:sz w:val="24"/>
        </w:rPr>
        <w:t xml:space="preserve"> </w:t>
      </w:r>
      <w:r w:rsidRPr="00150EDC">
        <w:rPr>
          <w:b/>
          <w:sz w:val="24"/>
        </w:rPr>
        <w:t xml:space="preserve">A, </w:t>
      </w:r>
      <w:r w:rsidRPr="00150EDC">
        <w:rPr>
          <w:sz w:val="24"/>
        </w:rPr>
        <w:t>including an initial outline of the interventions and associated research questions.</w:t>
      </w:r>
    </w:p>
    <w:p w14:paraId="667C1C11" w14:textId="77777777" w:rsidR="004C7180" w:rsidRPr="00150EDC" w:rsidRDefault="00CF0754">
      <w:pPr>
        <w:pStyle w:val="BodyText"/>
        <w:spacing w:before="201"/>
        <w:ind w:left="1400"/>
      </w:pPr>
      <w:r w:rsidRPr="00150EDC">
        <w:t>For</w:t>
      </w:r>
      <w:r w:rsidRPr="00150EDC">
        <w:rPr>
          <w:spacing w:val="-3"/>
        </w:rPr>
        <w:t xml:space="preserve"> </w:t>
      </w:r>
      <w:r w:rsidRPr="00150EDC">
        <w:t>a</w:t>
      </w:r>
      <w:r w:rsidRPr="00150EDC">
        <w:rPr>
          <w:spacing w:val="-1"/>
        </w:rPr>
        <w:t xml:space="preserve"> </w:t>
      </w:r>
      <w:r w:rsidRPr="00150EDC">
        <w:t>product</w:t>
      </w:r>
      <w:r w:rsidRPr="00150EDC">
        <w:rPr>
          <w:spacing w:val="-3"/>
        </w:rPr>
        <w:t xml:space="preserve"> </w:t>
      </w:r>
      <w:r w:rsidRPr="00150EDC">
        <w:t>to</w:t>
      </w:r>
      <w:r w:rsidRPr="00150EDC">
        <w:rPr>
          <w:spacing w:val="-3"/>
        </w:rPr>
        <w:t xml:space="preserve"> </w:t>
      </w:r>
      <w:r w:rsidRPr="00150EDC">
        <w:t>proceed</w:t>
      </w:r>
      <w:r w:rsidRPr="00150EDC">
        <w:rPr>
          <w:spacing w:val="-1"/>
        </w:rPr>
        <w:t xml:space="preserve"> </w:t>
      </w:r>
      <w:r w:rsidRPr="00150EDC">
        <w:t>to trial</w:t>
      </w:r>
      <w:r w:rsidRPr="00150EDC">
        <w:rPr>
          <w:spacing w:val="-2"/>
        </w:rPr>
        <w:t xml:space="preserve"> </w:t>
      </w:r>
      <w:r w:rsidRPr="00150EDC">
        <w:t>set-up</w:t>
      </w:r>
      <w:r w:rsidRPr="00150EDC">
        <w:rPr>
          <w:spacing w:val="-1"/>
        </w:rPr>
        <w:t xml:space="preserve"> </w:t>
      </w:r>
      <w:r w:rsidRPr="00150EDC">
        <w:t>it</w:t>
      </w:r>
      <w:r w:rsidRPr="00150EDC">
        <w:rPr>
          <w:spacing w:val="-1"/>
        </w:rPr>
        <w:t xml:space="preserve"> </w:t>
      </w:r>
      <w:r w:rsidRPr="00150EDC">
        <w:t>will</w:t>
      </w:r>
      <w:r w:rsidRPr="00150EDC">
        <w:rPr>
          <w:spacing w:val="-4"/>
        </w:rPr>
        <w:t xml:space="preserve"> </w:t>
      </w:r>
      <w:r w:rsidRPr="00150EDC">
        <w:t>need</w:t>
      </w:r>
      <w:r w:rsidRPr="00150EDC">
        <w:rPr>
          <w:spacing w:val="-1"/>
        </w:rPr>
        <w:t xml:space="preserve"> </w:t>
      </w:r>
      <w:r w:rsidRPr="00150EDC">
        <w:t>to</w:t>
      </w:r>
      <w:r w:rsidRPr="00150EDC">
        <w:rPr>
          <w:spacing w:val="-2"/>
        </w:rPr>
        <w:t xml:space="preserve"> pass:</w:t>
      </w:r>
    </w:p>
    <w:p w14:paraId="424DA2E0" w14:textId="77777777" w:rsidR="004C7180" w:rsidRPr="00150EDC" w:rsidRDefault="004C7180">
      <w:pPr>
        <w:pStyle w:val="BodyText"/>
        <w:spacing w:before="5"/>
      </w:pPr>
    </w:p>
    <w:p w14:paraId="376E3807" w14:textId="77777777" w:rsidR="004C7180" w:rsidRPr="00150EDC" w:rsidRDefault="00CF0754">
      <w:pPr>
        <w:pStyle w:val="ListParagraph"/>
        <w:numPr>
          <w:ilvl w:val="0"/>
          <w:numId w:val="24"/>
        </w:numPr>
        <w:tabs>
          <w:tab w:val="left" w:pos="2189"/>
        </w:tabs>
        <w:ind w:right="1436"/>
        <w:jc w:val="both"/>
        <w:rPr>
          <w:sz w:val="24"/>
        </w:rPr>
      </w:pPr>
      <w:r w:rsidRPr="00150EDC">
        <w:rPr>
          <w:sz w:val="24"/>
        </w:rPr>
        <w:t>A DfE quality assurance assessment which will assess the quality of the intervention content and design.</w:t>
      </w:r>
    </w:p>
    <w:p w14:paraId="1A68376B" w14:textId="77777777" w:rsidR="004C7180" w:rsidRPr="00150EDC" w:rsidRDefault="004C7180">
      <w:pPr>
        <w:pStyle w:val="BodyText"/>
        <w:spacing w:before="6"/>
        <w:rPr>
          <w:sz w:val="20"/>
        </w:rPr>
      </w:pPr>
    </w:p>
    <w:p w14:paraId="2B22B34D" w14:textId="77777777" w:rsidR="004C7180" w:rsidRPr="00150EDC" w:rsidRDefault="00CF0754">
      <w:pPr>
        <w:pStyle w:val="ListParagraph"/>
        <w:numPr>
          <w:ilvl w:val="0"/>
          <w:numId w:val="24"/>
        </w:numPr>
        <w:tabs>
          <w:tab w:val="left" w:pos="2189"/>
        </w:tabs>
        <w:spacing w:before="1"/>
        <w:ind w:right="1436"/>
        <w:jc w:val="both"/>
        <w:rPr>
          <w:sz w:val="24"/>
        </w:rPr>
      </w:pPr>
      <w:r w:rsidRPr="00150EDC">
        <w:rPr>
          <w:sz w:val="24"/>
        </w:rPr>
        <w:t>A</w:t>
      </w:r>
      <w:r w:rsidRPr="00150EDC">
        <w:rPr>
          <w:spacing w:val="-5"/>
          <w:sz w:val="24"/>
        </w:rPr>
        <w:t xml:space="preserve"> </w:t>
      </w:r>
      <w:r w:rsidRPr="00150EDC">
        <w:rPr>
          <w:sz w:val="24"/>
        </w:rPr>
        <w:t>trial</w:t>
      </w:r>
      <w:r w:rsidRPr="00150EDC">
        <w:rPr>
          <w:spacing w:val="-6"/>
          <w:sz w:val="24"/>
        </w:rPr>
        <w:t xml:space="preserve"> </w:t>
      </w:r>
      <w:r w:rsidRPr="00150EDC">
        <w:rPr>
          <w:sz w:val="24"/>
        </w:rPr>
        <w:t>feasibility</w:t>
      </w:r>
      <w:r w:rsidRPr="00150EDC">
        <w:rPr>
          <w:spacing w:val="-8"/>
          <w:sz w:val="24"/>
        </w:rPr>
        <w:t xml:space="preserve"> </w:t>
      </w:r>
      <w:r w:rsidRPr="00150EDC">
        <w:rPr>
          <w:sz w:val="24"/>
        </w:rPr>
        <w:t>assessment,</w:t>
      </w:r>
      <w:r w:rsidRPr="00150EDC">
        <w:rPr>
          <w:spacing w:val="-5"/>
          <w:sz w:val="24"/>
        </w:rPr>
        <w:t xml:space="preserve"> </w:t>
      </w:r>
      <w:r w:rsidRPr="00150EDC">
        <w:rPr>
          <w:sz w:val="24"/>
        </w:rPr>
        <w:t>conducted</w:t>
      </w:r>
      <w:r w:rsidRPr="00150EDC">
        <w:rPr>
          <w:spacing w:val="-7"/>
          <w:sz w:val="24"/>
        </w:rPr>
        <w:t xml:space="preserve"> </w:t>
      </w:r>
      <w:r w:rsidRPr="00150EDC">
        <w:rPr>
          <w:sz w:val="24"/>
        </w:rPr>
        <w:t>by</w:t>
      </w:r>
      <w:r w:rsidRPr="00150EDC">
        <w:rPr>
          <w:spacing w:val="-5"/>
          <w:sz w:val="24"/>
        </w:rPr>
        <w:t xml:space="preserve"> </w:t>
      </w:r>
      <w:r w:rsidRPr="00150EDC">
        <w:rPr>
          <w:sz w:val="24"/>
        </w:rPr>
        <w:t>the</w:t>
      </w:r>
      <w:r w:rsidRPr="00150EDC">
        <w:rPr>
          <w:spacing w:val="-5"/>
          <w:sz w:val="24"/>
        </w:rPr>
        <w:t xml:space="preserve"> </w:t>
      </w:r>
      <w:r w:rsidRPr="00150EDC">
        <w:rPr>
          <w:sz w:val="24"/>
        </w:rPr>
        <w:t>Evaluation</w:t>
      </w:r>
      <w:r w:rsidRPr="00150EDC">
        <w:rPr>
          <w:spacing w:val="-5"/>
          <w:sz w:val="24"/>
        </w:rPr>
        <w:t xml:space="preserve"> </w:t>
      </w:r>
      <w:r w:rsidRPr="00150EDC">
        <w:rPr>
          <w:sz w:val="24"/>
        </w:rPr>
        <w:t>Supplier,</w:t>
      </w:r>
      <w:r w:rsidRPr="00150EDC">
        <w:rPr>
          <w:spacing w:val="-5"/>
          <w:sz w:val="24"/>
        </w:rPr>
        <w:t xml:space="preserve"> </w:t>
      </w:r>
      <w:r w:rsidRPr="00150EDC">
        <w:rPr>
          <w:sz w:val="24"/>
        </w:rPr>
        <w:t>which</w:t>
      </w:r>
      <w:r w:rsidRPr="00150EDC">
        <w:rPr>
          <w:spacing w:val="-5"/>
          <w:sz w:val="24"/>
        </w:rPr>
        <w:t xml:space="preserve"> </w:t>
      </w:r>
      <w:r w:rsidRPr="00150EDC">
        <w:rPr>
          <w:sz w:val="24"/>
        </w:rPr>
        <w:t>will assess</w:t>
      </w:r>
      <w:r w:rsidRPr="00150EDC">
        <w:rPr>
          <w:spacing w:val="-10"/>
          <w:sz w:val="24"/>
        </w:rPr>
        <w:t xml:space="preserve"> </w:t>
      </w:r>
      <w:r w:rsidRPr="00150EDC">
        <w:rPr>
          <w:sz w:val="24"/>
        </w:rPr>
        <w:t>the</w:t>
      </w:r>
      <w:r w:rsidRPr="00150EDC">
        <w:rPr>
          <w:spacing w:val="-9"/>
          <w:sz w:val="24"/>
        </w:rPr>
        <w:t xml:space="preserve"> </w:t>
      </w:r>
      <w:r w:rsidRPr="00150EDC">
        <w:rPr>
          <w:sz w:val="24"/>
        </w:rPr>
        <w:t>operational,</w:t>
      </w:r>
      <w:r w:rsidRPr="00150EDC">
        <w:rPr>
          <w:spacing w:val="-12"/>
          <w:sz w:val="24"/>
        </w:rPr>
        <w:t xml:space="preserve"> </w:t>
      </w:r>
      <w:r w:rsidRPr="00150EDC">
        <w:rPr>
          <w:sz w:val="24"/>
        </w:rPr>
        <w:t>technical,</w:t>
      </w:r>
      <w:r w:rsidRPr="00150EDC">
        <w:rPr>
          <w:spacing w:val="-10"/>
          <w:sz w:val="24"/>
        </w:rPr>
        <w:t xml:space="preserve"> </w:t>
      </w:r>
      <w:r w:rsidRPr="00150EDC">
        <w:rPr>
          <w:sz w:val="24"/>
        </w:rPr>
        <w:t>scheduling</w:t>
      </w:r>
      <w:r w:rsidRPr="00150EDC">
        <w:rPr>
          <w:spacing w:val="-12"/>
          <w:sz w:val="24"/>
        </w:rPr>
        <w:t xml:space="preserve"> </w:t>
      </w:r>
      <w:r w:rsidRPr="00150EDC">
        <w:rPr>
          <w:sz w:val="24"/>
        </w:rPr>
        <w:t>and</w:t>
      </w:r>
      <w:r w:rsidRPr="00150EDC">
        <w:rPr>
          <w:spacing w:val="-9"/>
          <w:sz w:val="24"/>
        </w:rPr>
        <w:t xml:space="preserve"> </w:t>
      </w:r>
      <w:r w:rsidRPr="00150EDC">
        <w:rPr>
          <w:sz w:val="24"/>
        </w:rPr>
        <w:t>economic</w:t>
      </w:r>
      <w:r w:rsidRPr="00150EDC">
        <w:rPr>
          <w:spacing w:val="-10"/>
          <w:sz w:val="24"/>
        </w:rPr>
        <w:t xml:space="preserve"> </w:t>
      </w:r>
      <w:r w:rsidRPr="00150EDC">
        <w:rPr>
          <w:sz w:val="24"/>
        </w:rPr>
        <w:t>feasibility</w:t>
      </w:r>
      <w:r w:rsidRPr="00150EDC">
        <w:rPr>
          <w:spacing w:val="-10"/>
          <w:sz w:val="24"/>
        </w:rPr>
        <w:t xml:space="preserve"> </w:t>
      </w:r>
      <w:r w:rsidRPr="00150EDC">
        <w:rPr>
          <w:sz w:val="24"/>
        </w:rPr>
        <w:t>of</w:t>
      </w:r>
      <w:r w:rsidRPr="00150EDC">
        <w:rPr>
          <w:spacing w:val="-10"/>
          <w:sz w:val="24"/>
        </w:rPr>
        <w:t xml:space="preserve"> </w:t>
      </w:r>
      <w:r w:rsidRPr="00150EDC">
        <w:rPr>
          <w:sz w:val="24"/>
        </w:rPr>
        <w:t>a</w:t>
      </w:r>
      <w:r w:rsidRPr="00150EDC">
        <w:rPr>
          <w:spacing w:val="-9"/>
          <w:sz w:val="24"/>
        </w:rPr>
        <w:t xml:space="preserve"> </w:t>
      </w:r>
      <w:r w:rsidRPr="00150EDC">
        <w:rPr>
          <w:sz w:val="24"/>
        </w:rPr>
        <w:t>trial of the product.</w:t>
      </w:r>
    </w:p>
    <w:p w14:paraId="6D4569FC" w14:textId="77777777" w:rsidR="004C7180" w:rsidRPr="00150EDC" w:rsidRDefault="004C7180">
      <w:pPr>
        <w:pStyle w:val="BodyText"/>
        <w:spacing w:before="8"/>
        <w:rPr>
          <w:sz w:val="20"/>
        </w:rPr>
      </w:pPr>
    </w:p>
    <w:p w14:paraId="1AFFE0A9" w14:textId="77777777" w:rsidR="004C7180" w:rsidRPr="00150EDC" w:rsidRDefault="00CF0754">
      <w:pPr>
        <w:pStyle w:val="Heading4"/>
        <w:spacing w:line="276" w:lineRule="auto"/>
        <w:ind w:right="1437"/>
        <w:jc w:val="both"/>
      </w:pPr>
      <w:r w:rsidRPr="00150EDC">
        <w:t>It</w:t>
      </w:r>
      <w:r w:rsidRPr="00150EDC">
        <w:rPr>
          <w:spacing w:val="-13"/>
        </w:rPr>
        <w:t xml:space="preserve"> </w:t>
      </w:r>
      <w:r w:rsidRPr="00150EDC">
        <w:t>is</w:t>
      </w:r>
      <w:r w:rsidRPr="00150EDC">
        <w:rPr>
          <w:spacing w:val="-12"/>
        </w:rPr>
        <w:t xml:space="preserve"> </w:t>
      </w:r>
      <w:r w:rsidRPr="00150EDC">
        <w:t>unlikely</w:t>
      </w:r>
      <w:r w:rsidRPr="00150EDC">
        <w:rPr>
          <w:spacing w:val="-14"/>
        </w:rPr>
        <w:t xml:space="preserve"> </w:t>
      </w:r>
      <w:r w:rsidRPr="00150EDC">
        <w:t>that</w:t>
      </w:r>
      <w:r w:rsidRPr="00150EDC">
        <w:rPr>
          <w:spacing w:val="-13"/>
        </w:rPr>
        <w:t xml:space="preserve"> </w:t>
      </w:r>
      <w:r w:rsidRPr="00150EDC">
        <w:rPr>
          <w:u w:val="single"/>
        </w:rPr>
        <w:t>all</w:t>
      </w:r>
      <w:r w:rsidRPr="00150EDC">
        <w:rPr>
          <w:spacing w:val="-12"/>
        </w:rPr>
        <w:t xml:space="preserve"> </w:t>
      </w:r>
      <w:r w:rsidRPr="00150EDC">
        <w:t>products</w:t>
      </w:r>
      <w:r w:rsidRPr="00150EDC">
        <w:rPr>
          <w:spacing w:val="-12"/>
        </w:rPr>
        <w:t xml:space="preserve"> </w:t>
      </w:r>
      <w:r w:rsidRPr="00150EDC">
        <w:t>will</w:t>
      </w:r>
      <w:r w:rsidRPr="00150EDC">
        <w:rPr>
          <w:spacing w:val="-12"/>
        </w:rPr>
        <w:t xml:space="preserve"> </w:t>
      </w:r>
      <w:r w:rsidRPr="00150EDC">
        <w:t>pass</w:t>
      </w:r>
      <w:r w:rsidRPr="00150EDC">
        <w:rPr>
          <w:spacing w:val="-12"/>
        </w:rPr>
        <w:t xml:space="preserve"> </w:t>
      </w:r>
      <w:r w:rsidRPr="00150EDC">
        <w:t>these</w:t>
      </w:r>
      <w:r w:rsidRPr="00150EDC">
        <w:rPr>
          <w:spacing w:val="-12"/>
        </w:rPr>
        <w:t xml:space="preserve"> </w:t>
      </w:r>
      <w:r w:rsidRPr="00150EDC">
        <w:t>two</w:t>
      </w:r>
      <w:r w:rsidRPr="00150EDC">
        <w:rPr>
          <w:spacing w:val="-13"/>
        </w:rPr>
        <w:t xml:space="preserve"> </w:t>
      </w:r>
      <w:r w:rsidRPr="00150EDC">
        <w:t>assessments</w:t>
      </w:r>
      <w:r w:rsidRPr="00150EDC">
        <w:rPr>
          <w:spacing w:val="-14"/>
        </w:rPr>
        <w:t xml:space="preserve"> </w:t>
      </w:r>
      <w:r w:rsidRPr="00150EDC">
        <w:t>and</w:t>
      </w:r>
      <w:r w:rsidRPr="00150EDC">
        <w:rPr>
          <w:spacing w:val="-13"/>
        </w:rPr>
        <w:t xml:space="preserve"> </w:t>
      </w:r>
      <w:r w:rsidRPr="00150EDC">
        <w:t>therefore</w:t>
      </w:r>
      <w:r w:rsidRPr="00150EDC">
        <w:rPr>
          <w:spacing w:val="-12"/>
        </w:rPr>
        <w:t xml:space="preserve"> </w:t>
      </w:r>
      <w:r w:rsidRPr="00150EDC">
        <w:t>the total number of Tranche 1 trials may be less than 15 (i.e. less than 13 for this specific contract).</w:t>
      </w:r>
    </w:p>
    <w:p w14:paraId="655A6D76" w14:textId="77777777" w:rsidR="004C7180" w:rsidRPr="00150EDC" w:rsidRDefault="004C7180">
      <w:pPr>
        <w:pStyle w:val="BodyText"/>
        <w:spacing w:before="10"/>
        <w:rPr>
          <w:b/>
          <w:sz w:val="20"/>
        </w:rPr>
      </w:pPr>
    </w:p>
    <w:p w14:paraId="59263F4D" w14:textId="77777777" w:rsidR="004C7180" w:rsidRPr="00150EDC" w:rsidRDefault="00CF0754">
      <w:pPr>
        <w:pStyle w:val="BodyText"/>
        <w:spacing w:before="1" w:line="276" w:lineRule="auto"/>
        <w:ind w:left="1400" w:right="1433"/>
        <w:jc w:val="both"/>
      </w:pPr>
      <w:r w:rsidRPr="00150EDC">
        <w:t>Once a product has passed these assessments, the evaluation supplier will finalise the</w:t>
      </w:r>
      <w:r w:rsidRPr="00150EDC">
        <w:rPr>
          <w:spacing w:val="-6"/>
        </w:rPr>
        <w:t xml:space="preserve"> </w:t>
      </w:r>
      <w:r w:rsidRPr="00150EDC">
        <w:t>trial</w:t>
      </w:r>
      <w:r w:rsidRPr="00150EDC">
        <w:rPr>
          <w:spacing w:val="-5"/>
        </w:rPr>
        <w:t xml:space="preserve"> </w:t>
      </w:r>
      <w:r w:rsidRPr="00150EDC">
        <w:t>protocol</w:t>
      </w:r>
      <w:r w:rsidRPr="00150EDC">
        <w:rPr>
          <w:spacing w:val="-5"/>
        </w:rPr>
        <w:t xml:space="preserve"> </w:t>
      </w:r>
      <w:r w:rsidRPr="00150EDC">
        <w:t>which</w:t>
      </w:r>
      <w:r w:rsidRPr="00150EDC">
        <w:rPr>
          <w:spacing w:val="-6"/>
        </w:rPr>
        <w:t xml:space="preserve"> </w:t>
      </w:r>
      <w:r w:rsidRPr="00150EDC">
        <w:t>sets</w:t>
      </w:r>
      <w:r w:rsidRPr="00150EDC">
        <w:rPr>
          <w:spacing w:val="-4"/>
        </w:rPr>
        <w:t xml:space="preserve"> </w:t>
      </w:r>
      <w:r w:rsidRPr="00150EDC">
        <w:t>out</w:t>
      </w:r>
      <w:r w:rsidRPr="00150EDC">
        <w:rPr>
          <w:spacing w:val="-6"/>
        </w:rPr>
        <w:t xml:space="preserve"> </w:t>
      </w:r>
      <w:r w:rsidRPr="00150EDC">
        <w:t>in</w:t>
      </w:r>
      <w:r w:rsidRPr="00150EDC">
        <w:rPr>
          <w:spacing w:val="-6"/>
        </w:rPr>
        <w:t xml:space="preserve"> </w:t>
      </w:r>
      <w:r w:rsidRPr="00150EDC">
        <w:t>detail</w:t>
      </w:r>
      <w:r w:rsidRPr="00150EDC">
        <w:rPr>
          <w:spacing w:val="-5"/>
        </w:rPr>
        <w:t xml:space="preserve"> </w:t>
      </w:r>
      <w:r w:rsidRPr="00150EDC">
        <w:t>how</w:t>
      </w:r>
      <w:r w:rsidRPr="00150EDC">
        <w:rPr>
          <w:spacing w:val="-7"/>
        </w:rPr>
        <w:t xml:space="preserve"> </w:t>
      </w:r>
      <w:r w:rsidRPr="00150EDC">
        <w:t>each</w:t>
      </w:r>
      <w:r w:rsidRPr="00150EDC">
        <w:rPr>
          <w:spacing w:val="-6"/>
        </w:rPr>
        <w:t xml:space="preserve"> </w:t>
      </w:r>
      <w:r w:rsidRPr="00150EDC">
        <w:t>product</w:t>
      </w:r>
      <w:r w:rsidRPr="00150EDC">
        <w:rPr>
          <w:spacing w:val="-4"/>
        </w:rPr>
        <w:t xml:space="preserve"> </w:t>
      </w:r>
      <w:r w:rsidRPr="00150EDC">
        <w:t>will</w:t>
      </w:r>
      <w:r w:rsidRPr="00150EDC">
        <w:rPr>
          <w:spacing w:val="-5"/>
        </w:rPr>
        <w:t xml:space="preserve"> </w:t>
      </w:r>
      <w:r w:rsidRPr="00150EDC">
        <w:t>be</w:t>
      </w:r>
      <w:r w:rsidRPr="00150EDC">
        <w:rPr>
          <w:spacing w:val="-3"/>
        </w:rPr>
        <w:t xml:space="preserve"> </w:t>
      </w:r>
      <w:r w:rsidRPr="00150EDC">
        <w:t>tested.</w:t>
      </w:r>
      <w:r w:rsidRPr="00150EDC">
        <w:rPr>
          <w:spacing w:val="-4"/>
        </w:rPr>
        <w:t xml:space="preserve"> </w:t>
      </w:r>
      <w:r w:rsidRPr="00150EDC">
        <w:t>The</w:t>
      </w:r>
      <w:r w:rsidRPr="00150EDC">
        <w:rPr>
          <w:spacing w:val="-6"/>
        </w:rPr>
        <w:t xml:space="preserve"> </w:t>
      </w:r>
      <w:r w:rsidRPr="00150EDC">
        <w:t>protocol will need to be approved by the DfE RCT Technical Steering Group before any fieldwork can start.</w:t>
      </w:r>
    </w:p>
    <w:p w14:paraId="2B575B58" w14:textId="77777777" w:rsidR="004C7180" w:rsidRPr="00150EDC" w:rsidRDefault="004C7180">
      <w:pPr>
        <w:pStyle w:val="BodyText"/>
        <w:spacing w:before="9"/>
        <w:rPr>
          <w:sz w:val="20"/>
        </w:rPr>
      </w:pPr>
    </w:p>
    <w:p w14:paraId="515807CC" w14:textId="77777777" w:rsidR="004C7180" w:rsidRPr="00150EDC" w:rsidRDefault="00CF0754">
      <w:pPr>
        <w:pStyle w:val="BodyText"/>
        <w:spacing w:before="1" w:line="276" w:lineRule="auto"/>
        <w:ind w:left="1400" w:right="1433"/>
        <w:jc w:val="both"/>
      </w:pPr>
      <w:r w:rsidRPr="00150EDC">
        <w:t xml:space="preserve">If approval is given, the </w:t>
      </w:r>
      <w:r w:rsidRPr="00150EDC">
        <w:rPr>
          <w:b/>
        </w:rPr>
        <w:t xml:space="preserve">delivery supplier </w:t>
      </w:r>
      <w:r w:rsidRPr="00150EDC">
        <w:t>will then work alongside local areas in England, such as GLA, MCAs and upper tier local authorities/providers/national organisations, to commission delivery.</w:t>
      </w:r>
    </w:p>
    <w:p w14:paraId="39300C3B" w14:textId="77777777" w:rsidR="004C7180" w:rsidRPr="00150EDC" w:rsidRDefault="004C7180">
      <w:pPr>
        <w:pStyle w:val="BodyText"/>
        <w:spacing w:before="10"/>
        <w:rPr>
          <w:sz w:val="20"/>
        </w:rPr>
      </w:pPr>
    </w:p>
    <w:p w14:paraId="0351F53A" w14:textId="77777777" w:rsidR="004C7180" w:rsidRPr="00150EDC" w:rsidRDefault="00CF0754">
      <w:pPr>
        <w:pStyle w:val="BodyText"/>
        <w:ind w:left="1399"/>
        <w:jc w:val="both"/>
      </w:pPr>
      <w:r w:rsidRPr="00150EDC">
        <w:t>The</w:t>
      </w:r>
      <w:r w:rsidRPr="00150EDC">
        <w:rPr>
          <w:spacing w:val="-2"/>
        </w:rPr>
        <w:t xml:space="preserve"> requirements:</w:t>
      </w:r>
    </w:p>
    <w:p w14:paraId="7A39519D" w14:textId="77777777" w:rsidR="004C7180" w:rsidRPr="00150EDC" w:rsidRDefault="004C7180">
      <w:pPr>
        <w:pStyle w:val="BodyText"/>
        <w:spacing w:before="5"/>
      </w:pPr>
    </w:p>
    <w:p w14:paraId="03FCDFF0" w14:textId="77777777" w:rsidR="004C7180" w:rsidRPr="00150EDC" w:rsidRDefault="00CF0754">
      <w:pPr>
        <w:pStyle w:val="Heading4"/>
        <w:numPr>
          <w:ilvl w:val="1"/>
          <w:numId w:val="30"/>
        </w:numPr>
        <w:tabs>
          <w:tab w:val="left" w:pos="1728"/>
          <w:tab w:val="left" w:pos="1731"/>
        </w:tabs>
        <w:ind w:left="1731" w:right="2571" w:hanging="363"/>
        <w:jc w:val="both"/>
      </w:pPr>
      <w:bookmarkStart w:id="90" w:name="5.1_Project_Portfolio_Management_includi"/>
      <w:bookmarkStart w:id="91" w:name="_bookmark14"/>
      <w:bookmarkEnd w:id="90"/>
      <w:bookmarkEnd w:id="91"/>
      <w:r w:rsidRPr="00150EDC">
        <w:t>Project</w:t>
      </w:r>
      <w:r w:rsidRPr="00150EDC">
        <w:rPr>
          <w:spacing w:val="-7"/>
        </w:rPr>
        <w:t xml:space="preserve"> </w:t>
      </w:r>
      <w:r w:rsidRPr="00150EDC">
        <w:t>Portfolio</w:t>
      </w:r>
      <w:r w:rsidRPr="00150EDC">
        <w:rPr>
          <w:spacing w:val="-6"/>
        </w:rPr>
        <w:t xml:space="preserve"> </w:t>
      </w:r>
      <w:r w:rsidRPr="00150EDC">
        <w:t>Management</w:t>
      </w:r>
      <w:r w:rsidRPr="00150EDC">
        <w:rPr>
          <w:spacing w:val="-7"/>
        </w:rPr>
        <w:t xml:space="preserve"> </w:t>
      </w:r>
      <w:r w:rsidRPr="00150EDC">
        <w:t>including</w:t>
      </w:r>
      <w:r w:rsidRPr="00150EDC">
        <w:rPr>
          <w:spacing w:val="-6"/>
        </w:rPr>
        <w:t xml:space="preserve"> </w:t>
      </w:r>
      <w:r w:rsidRPr="00150EDC">
        <w:t>stakeholder</w:t>
      </w:r>
      <w:r w:rsidRPr="00150EDC">
        <w:rPr>
          <w:spacing w:val="-6"/>
        </w:rPr>
        <w:t xml:space="preserve"> </w:t>
      </w:r>
      <w:r w:rsidRPr="00150EDC">
        <w:t>management, subcontracting and programme management.</w:t>
      </w:r>
    </w:p>
    <w:p w14:paraId="1727B3F6" w14:textId="77777777" w:rsidR="004C7180" w:rsidRPr="00150EDC" w:rsidRDefault="00CF0754">
      <w:pPr>
        <w:pStyle w:val="BodyText"/>
        <w:spacing w:line="276" w:lineRule="auto"/>
        <w:ind w:left="1399" w:right="1434"/>
        <w:jc w:val="both"/>
      </w:pPr>
      <w:r w:rsidRPr="00150EDC">
        <w:t xml:space="preserve">The </w:t>
      </w:r>
      <w:r w:rsidRPr="00150EDC">
        <w:rPr>
          <w:b/>
        </w:rPr>
        <w:t xml:space="preserve">delivery supplier </w:t>
      </w:r>
      <w:r w:rsidRPr="00150EDC">
        <w:t>will need to engage, and set up contracts with local areas, providers and national organisations who will undertake recruitment of learners and delivery for the Multiply trials.</w:t>
      </w:r>
    </w:p>
    <w:p w14:paraId="692F9990" w14:textId="77777777" w:rsidR="004C7180" w:rsidRPr="00150EDC" w:rsidRDefault="004C7180">
      <w:pPr>
        <w:pStyle w:val="BodyText"/>
        <w:spacing w:before="11"/>
        <w:rPr>
          <w:sz w:val="20"/>
        </w:rPr>
      </w:pPr>
    </w:p>
    <w:p w14:paraId="6223282A" w14:textId="77777777" w:rsidR="004C7180" w:rsidRPr="00150EDC" w:rsidRDefault="00CF0754">
      <w:pPr>
        <w:pStyle w:val="BodyText"/>
        <w:spacing w:line="276" w:lineRule="auto"/>
        <w:ind w:left="1399" w:right="1434"/>
        <w:jc w:val="both"/>
      </w:pPr>
      <w:r w:rsidRPr="00150EDC">
        <w:t>The</w:t>
      </w:r>
      <w:r w:rsidRPr="00150EDC">
        <w:rPr>
          <w:spacing w:val="-7"/>
        </w:rPr>
        <w:t xml:space="preserve"> </w:t>
      </w:r>
      <w:r w:rsidRPr="00150EDC">
        <w:t>Department</w:t>
      </w:r>
      <w:r w:rsidRPr="00150EDC">
        <w:rPr>
          <w:spacing w:val="-7"/>
        </w:rPr>
        <w:t xml:space="preserve"> </w:t>
      </w:r>
      <w:r w:rsidRPr="00150EDC">
        <w:t>has</w:t>
      </w:r>
      <w:r w:rsidRPr="00150EDC">
        <w:rPr>
          <w:spacing w:val="-8"/>
        </w:rPr>
        <w:t xml:space="preserve"> </w:t>
      </w:r>
      <w:r w:rsidRPr="00150EDC">
        <w:t>invited</w:t>
      </w:r>
      <w:r w:rsidRPr="00150EDC">
        <w:rPr>
          <w:spacing w:val="-7"/>
        </w:rPr>
        <w:t xml:space="preserve"> </w:t>
      </w:r>
      <w:r w:rsidRPr="00150EDC">
        <w:t>a</w:t>
      </w:r>
      <w:r w:rsidRPr="00150EDC">
        <w:rPr>
          <w:spacing w:val="-9"/>
        </w:rPr>
        <w:t xml:space="preserve"> </w:t>
      </w:r>
      <w:r w:rsidRPr="00150EDC">
        <w:t>total</w:t>
      </w:r>
      <w:r w:rsidRPr="00150EDC">
        <w:rPr>
          <w:spacing w:val="-10"/>
        </w:rPr>
        <w:t xml:space="preserve"> </w:t>
      </w:r>
      <w:r w:rsidRPr="00150EDC">
        <w:t>of</w:t>
      </w:r>
      <w:r w:rsidRPr="00150EDC">
        <w:rPr>
          <w:spacing w:val="-7"/>
        </w:rPr>
        <w:t xml:space="preserve"> </w:t>
      </w:r>
      <w:r w:rsidRPr="00150EDC">
        <w:t>81</w:t>
      </w:r>
      <w:r w:rsidRPr="00150EDC">
        <w:rPr>
          <w:spacing w:val="-7"/>
        </w:rPr>
        <w:t xml:space="preserve"> </w:t>
      </w:r>
      <w:r w:rsidRPr="00150EDC">
        <w:t>local</w:t>
      </w:r>
      <w:r w:rsidRPr="00150EDC">
        <w:rPr>
          <w:spacing w:val="-10"/>
        </w:rPr>
        <w:t xml:space="preserve"> </w:t>
      </w:r>
      <w:r w:rsidRPr="00150EDC">
        <w:t>areas</w:t>
      </w:r>
      <w:r w:rsidRPr="00150EDC">
        <w:rPr>
          <w:spacing w:val="-8"/>
        </w:rPr>
        <w:t xml:space="preserve"> </w:t>
      </w:r>
      <w:r w:rsidRPr="00150EDC">
        <w:t>currently</w:t>
      </w:r>
      <w:r w:rsidRPr="00150EDC">
        <w:rPr>
          <w:spacing w:val="-8"/>
        </w:rPr>
        <w:t xml:space="preserve"> </w:t>
      </w:r>
      <w:r w:rsidRPr="00150EDC">
        <w:t>involved</w:t>
      </w:r>
      <w:r w:rsidRPr="00150EDC">
        <w:rPr>
          <w:spacing w:val="-7"/>
        </w:rPr>
        <w:t xml:space="preserve"> </w:t>
      </w:r>
      <w:r w:rsidRPr="00150EDC">
        <w:t>in</w:t>
      </w:r>
      <w:r w:rsidRPr="00150EDC">
        <w:rPr>
          <w:spacing w:val="-7"/>
        </w:rPr>
        <w:t xml:space="preserve"> </w:t>
      </w:r>
      <w:r w:rsidRPr="00150EDC">
        <w:t>Multiply</w:t>
      </w:r>
      <w:r w:rsidRPr="00150EDC">
        <w:rPr>
          <w:spacing w:val="-10"/>
        </w:rPr>
        <w:t xml:space="preserve"> </w:t>
      </w:r>
      <w:r w:rsidRPr="00150EDC">
        <w:t xml:space="preserve">core delivery to be involved in the Multiply RCT programme. The Department has conducted initial engagement with local areas to gauge their provisional interest in involvement in the RCTs. 28 local areas said they would definitely or likely be able to support the commissioning, monitoring and marketing of interventions for the RCTs, including 4 MCAs. 14 areas said they would be unlikely to or definitely not able to support this, including 2 MCAs. The remaining local areas did not respond. The </w:t>
      </w:r>
      <w:r w:rsidRPr="00150EDC">
        <w:rPr>
          <w:b/>
        </w:rPr>
        <w:t>delivery</w:t>
      </w:r>
      <w:r w:rsidRPr="00150EDC">
        <w:rPr>
          <w:b/>
          <w:spacing w:val="-17"/>
        </w:rPr>
        <w:t xml:space="preserve"> </w:t>
      </w:r>
      <w:r w:rsidRPr="00150EDC">
        <w:rPr>
          <w:b/>
        </w:rPr>
        <w:t>supplier</w:t>
      </w:r>
      <w:r w:rsidRPr="00150EDC">
        <w:rPr>
          <w:b/>
          <w:spacing w:val="-17"/>
        </w:rPr>
        <w:t xml:space="preserve"> </w:t>
      </w:r>
      <w:r w:rsidRPr="00150EDC">
        <w:t>will</w:t>
      </w:r>
      <w:r w:rsidRPr="00150EDC">
        <w:rPr>
          <w:spacing w:val="-17"/>
        </w:rPr>
        <w:t xml:space="preserve"> </w:t>
      </w:r>
      <w:r w:rsidRPr="00150EDC">
        <w:t>be</w:t>
      </w:r>
      <w:r w:rsidRPr="00150EDC">
        <w:rPr>
          <w:spacing w:val="-16"/>
        </w:rPr>
        <w:t xml:space="preserve"> </w:t>
      </w:r>
      <w:r w:rsidRPr="00150EDC">
        <w:t>responsible</w:t>
      </w:r>
      <w:r w:rsidRPr="00150EDC">
        <w:rPr>
          <w:spacing w:val="-17"/>
        </w:rPr>
        <w:t xml:space="preserve"> </w:t>
      </w:r>
      <w:r w:rsidRPr="00150EDC">
        <w:t>for</w:t>
      </w:r>
      <w:r w:rsidRPr="00150EDC">
        <w:rPr>
          <w:spacing w:val="-17"/>
        </w:rPr>
        <w:t xml:space="preserve"> </w:t>
      </w:r>
      <w:r w:rsidRPr="00150EDC">
        <w:t>following</w:t>
      </w:r>
      <w:r w:rsidRPr="00150EDC">
        <w:rPr>
          <w:spacing w:val="-17"/>
        </w:rPr>
        <w:t xml:space="preserve"> </w:t>
      </w:r>
      <w:r w:rsidRPr="00150EDC">
        <w:t>up</w:t>
      </w:r>
      <w:r w:rsidRPr="00150EDC">
        <w:rPr>
          <w:spacing w:val="-16"/>
        </w:rPr>
        <w:t xml:space="preserve"> </w:t>
      </w:r>
      <w:r w:rsidRPr="00150EDC">
        <w:t>on</w:t>
      </w:r>
      <w:r w:rsidRPr="00150EDC">
        <w:rPr>
          <w:spacing w:val="-17"/>
        </w:rPr>
        <w:t xml:space="preserve"> </w:t>
      </w:r>
      <w:r w:rsidRPr="00150EDC">
        <w:t>this</w:t>
      </w:r>
      <w:r w:rsidRPr="00150EDC">
        <w:rPr>
          <w:spacing w:val="-17"/>
        </w:rPr>
        <w:t xml:space="preserve"> </w:t>
      </w:r>
      <w:r w:rsidRPr="00150EDC">
        <w:t>initial</w:t>
      </w:r>
      <w:r w:rsidRPr="00150EDC">
        <w:rPr>
          <w:spacing w:val="-17"/>
        </w:rPr>
        <w:t xml:space="preserve"> </w:t>
      </w:r>
      <w:r w:rsidRPr="00150EDC">
        <w:t>engagement</w:t>
      </w:r>
      <w:r w:rsidRPr="00150EDC">
        <w:rPr>
          <w:spacing w:val="-16"/>
        </w:rPr>
        <w:t xml:space="preserve"> </w:t>
      </w:r>
      <w:r w:rsidRPr="00150EDC">
        <w:t>activity</w:t>
      </w:r>
    </w:p>
    <w:p w14:paraId="79C8C0F3" w14:textId="77777777" w:rsidR="004C7180" w:rsidRPr="00150EDC" w:rsidRDefault="004C7180">
      <w:pPr>
        <w:pStyle w:val="BodyText"/>
        <w:rPr>
          <w:sz w:val="20"/>
        </w:rPr>
      </w:pPr>
    </w:p>
    <w:p w14:paraId="259F277C" w14:textId="77777777" w:rsidR="004C7180" w:rsidRPr="00150EDC" w:rsidRDefault="00CF0754">
      <w:pPr>
        <w:pStyle w:val="BodyText"/>
        <w:spacing w:before="7"/>
        <w:rPr>
          <w:sz w:val="15"/>
        </w:rPr>
      </w:pPr>
      <w:r w:rsidRPr="00150EDC">
        <w:rPr>
          <w:noProof/>
          <w:lang w:val="en-GB" w:eastAsia="en-GB"/>
        </w:rPr>
        <mc:AlternateContent>
          <mc:Choice Requires="wps">
            <w:drawing>
              <wp:anchor distT="0" distB="0" distL="0" distR="0" simplePos="0" relativeHeight="251658282" behindDoc="1" locked="0" layoutInCell="1" allowOverlap="1" wp14:anchorId="07E49497" wp14:editId="67251F99">
                <wp:simplePos x="0" y="0"/>
                <wp:positionH relativeFrom="page">
                  <wp:posOffset>914400</wp:posOffset>
                </wp:positionH>
                <wp:positionV relativeFrom="paragraph">
                  <wp:posOffset>129814</wp:posOffset>
                </wp:positionV>
                <wp:extent cx="1828800" cy="9525"/>
                <wp:effectExtent l="0" t="0" r="0" b="0"/>
                <wp:wrapTopAndBottom/>
                <wp:docPr id="279" name="Free-form: Shape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331BD74" id="Free-form: Shape 279" o:spid="_x0000_s1026" style="position:absolute;margin-left:1in;margin-top:10.2pt;width:2in;height:.75pt;z-index:-251658198;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" path="m1828800,l,,,9144r1828800,l1828800,xe" fillcolor="black" stroked="f">
                <v:path arrowok="t"/>
                <w10:wrap type="topAndBottom" anchorx="page"/>
              </v:shape>
            </w:pict>
          </mc:Fallback>
        </mc:AlternateContent>
      </w:r>
    </w:p>
    <w:p w14:paraId="65BA879A" w14:textId="77777777" w:rsidR="004C7180" w:rsidRPr="00150EDC" w:rsidRDefault="00CF0754">
      <w:pPr>
        <w:spacing w:before="102"/>
        <w:ind w:left="2120" w:right="1434" w:hanging="720"/>
        <w:jc w:val="both"/>
        <w:rPr>
          <w:sz w:val="16"/>
        </w:rPr>
      </w:pPr>
      <w:bookmarkStart w:id="92" w:name="_bookmark15"/>
      <w:bookmarkEnd w:id="92"/>
      <w:r w:rsidRPr="00150EDC">
        <w:rPr>
          <w:rFonts w:ascii="Times New Roman"/>
          <w:sz w:val="16"/>
          <w:vertAlign w:val="superscript"/>
        </w:rPr>
        <w:t>7</w:t>
      </w:r>
      <w:r w:rsidRPr="00150EDC">
        <w:rPr>
          <w:rFonts w:ascii="Times New Roman"/>
          <w:sz w:val="16"/>
        </w:rPr>
        <w:t xml:space="preserve"> </w:t>
      </w:r>
      <w:hyperlink r:id="rId106">
        <w:r w:rsidRPr="007D3144">
          <w:rPr>
            <w:sz w:val="16"/>
            <w:u w:val="single" w:color="0000FF"/>
          </w:rPr>
          <w:t>Multiply Randomised Controlled Trials (RCTs) Products - Contract 1 - Mastery Approach - Contracts Finder</w:t>
        </w:r>
        <w:r w:rsidRPr="00150EDC">
          <w:rPr>
            <w:sz w:val="16"/>
          </w:rPr>
          <w:t>;</w:t>
        </w:r>
      </w:hyperlink>
      <w:r w:rsidRPr="00150EDC">
        <w:rPr>
          <w:sz w:val="16"/>
        </w:rPr>
        <w:t xml:space="preserve"> </w:t>
      </w:r>
      <w:hyperlink r:id="rId107">
        <w:r w:rsidRPr="007D3144">
          <w:rPr>
            <w:sz w:val="16"/>
            <w:u w:val="single" w:color="0000FF"/>
          </w:rPr>
          <w:t>Multiply</w:t>
        </w:r>
      </w:hyperlink>
      <w:r w:rsidRPr="007D3144">
        <w:rPr>
          <w:sz w:val="16"/>
        </w:rPr>
        <w:t xml:space="preserve"> </w:t>
      </w:r>
      <w:hyperlink r:id="rId108">
        <w:r w:rsidRPr="007D3144">
          <w:rPr>
            <w:sz w:val="16"/>
            <w:u w:val="single" w:color="0000FF"/>
          </w:rPr>
          <w:t>Randomised Controlled Trials (RCTs) Products - Contract 2 Contextualised Curriculum and Maths by Stealth -</w:t>
        </w:r>
      </w:hyperlink>
      <w:r w:rsidRPr="007D3144">
        <w:rPr>
          <w:sz w:val="16"/>
        </w:rPr>
        <w:t xml:space="preserve"> </w:t>
      </w:r>
      <w:hyperlink r:id="rId109">
        <w:r w:rsidRPr="007D3144">
          <w:rPr>
            <w:sz w:val="16"/>
            <w:u w:val="single" w:color="0000FF"/>
          </w:rPr>
          <w:t>Contracts</w:t>
        </w:r>
        <w:r w:rsidRPr="007D3144">
          <w:rPr>
            <w:spacing w:val="-2"/>
            <w:sz w:val="16"/>
            <w:u w:val="single" w:color="0000FF"/>
          </w:rPr>
          <w:t xml:space="preserve"> </w:t>
        </w:r>
        <w:r w:rsidRPr="007D3144">
          <w:rPr>
            <w:sz w:val="16"/>
            <w:u w:val="single" w:color="0000FF"/>
          </w:rPr>
          <w:t>Finder</w:t>
        </w:r>
        <w:r w:rsidRPr="00150EDC">
          <w:rPr>
            <w:sz w:val="16"/>
          </w:rPr>
          <w:t>;</w:t>
        </w:r>
      </w:hyperlink>
      <w:r w:rsidRPr="00150EDC">
        <w:rPr>
          <w:spacing w:val="-5"/>
          <w:sz w:val="16"/>
        </w:rPr>
        <w:t xml:space="preserve"> </w:t>
      </w:r>
      <w:hyperlink r:id="rId110">
        <w:r w:rsidRPr="007D3144">
          <w:rPr>
            <w:sz w:val="16"/>
            <w:u w:val="single" w:color="0000FF"/>
          </w:rPr>
          <w:t>Multiply</w:t>
        </w:r>
        <w:r w:rsidRPr="007D3144">
          <w:rPr>
            <w:spacing w:val="-2"/>
            <w:sz w:val="16"/>
            <w:u w:val="single" w:color="0000FF"/>
          </w:rPr>
          <w:t xml:space="preserve"> </w:t>
        </w:r>
        <w:r w:rsidRPr="007D3144">
          <w:rPr>
            <w:sz w:val="16"/>
            <w:u w:val="single" w:color="0000FF"/>
          </w:rPr>
          <w:t>Randomised</w:t>
        </w:r>
        <w:r w:rsidRPr="007D3144">
          <w:rPr>
            <w:spacing w:val="-4"/>
            <w:sz w:val="16"/>
            <w:u w:val="single" w:color="0000FF"/>
          </w:rPr>
          <w:t xml:space="preserve"> </w:t>
        </w:r>
        <w:r w:rsidRPr="007D3144">
          <w:rPr>
            <w:sz w:val="16"/>
            <w:u w:val="single" w:color="0000FF"/>
          </w:rPr>
          <w:t>Controlled</w:t>
        </w:r>
        <w:r w:rsidRPr="007D3144">
          <w:rPr>
            <w:spacing w:val="-4"/>
            <w:sz w:val="16"/>
            <w:u w:val="single" w:color="0000FF"/>
          </w:rPr>
          <w:t xml:space="preserve"> </w:t>
        </w:r>
        <w:r w:rsidRPr="007D3144">
          <w:rPr>
            <w:sz w:val="16"/>
            <w:u w:val="single" w:color="0000FF"/>
          </w:rPr>
          <w:t>Trials</w:t>
        </w:r>
        <w:r w:rsidRPr="007D3144">
          <w:rPr>
            <w:spacing w:val="-2"/>
            <w:sz w:val="16"/>
            <w:u w:val="single" w:color="0000FF"/>
          </w:rPr>
          <w:t xml:space="preserve"> </w:t>
        </w:r>
        <w:r w:rsidRPr="007D3144">
          <w:rPr>
            <w:sz w:val="16"/>
            <w:u w:val="single" w:color="0000FF"/>
          </w:rPr>
          <w:t>(RCTs)</w:t>
        </w:r>
        <w:r w:rsidRPr="007D3144">
          <w:rPr>
            <w:spacing w:val="-4"/>
            <w:sz w:val="16"/>
            <w:u w:val="single" w:color="0000FF"/>
          </w:rPr>
          <w:t xml:space="preserve"> </w:t>
        </w:r>
        <w:r w:rsidRPr="007D3144">
          <w:rPr>
            <w:sz w:val="16"/>
            <w:u w:val="single" w:color="0000FF"/>
          </w:rPr>
          <w:t>Products</w:t>
        </w:r>
        <w:r w:rsidRPr="007D3144">
          <w:rPr>
            <w:spacing w:val="-2"/>
            <w:sz w:val="16"/>
            <w:u w:val="single" w:color="0000FF"/>
          </w:rPr>
          <w:t xml:space="preserve"> </w:t>
        </w:r>
        <w:r w:rsidRPr="007D3144">
          <w:rPr>
            <w:sz w:val="16"/>
            <w:u w:val="single" w:color="0000FF"/>
          </w:rPr>
          <w:t>-</w:t>
        </w:r>
        <w:r w:rsidRPr="007D3144">
          <w:rPr>
            <w:spacing w:val="-4"/>
            <w:sz w:val="16"/>
            <w:u w:val="single" w:color="0000FF"/>
          </w:rPr>
          <w:t xml:space="preserve"> </w:t>
        </w:r>
        <w:r w:rsidRPr="007D3144">
          <w:rPr>
            <w:sz w:val="16"/>
            <w:u w:val="single" w:color="0000FF"/>
          </w:rPr>
          <w:t>Contract</w:t>
        </w:r>
        <w:r w:rsidRPr="007D3144">
          <w:rPr>
            <w:spacing w:val="-3"/>
            <w:sz w:val="16"/>
            <w:u w:val="single" w:color="0000FF"/>
          </w:rPr>
          <w:t xml:space="preserve"> </w:t>
        </w:r>
        <w:r w:rsidRPr="007D3144">
          <w:rPr>
            <w:sz w:val="16"/>
            <w:u w:val="single" w:color="0000FF"/>
          </w:rPr>
          <w:t>3</w:t>
        </w:r>
        <w:r w:rsidRPr="007D3144">
          <w:rPr>
            <w:spacing w:val="-7"/>
            <w:sz w:val="16"/>
            <w:u w:val="single" w:color="0000FF"/>
          </w:rPr>
          <w:t xml:space="preserve"> </w:t>
        </w:r>
        <w:r w:rsidRPr="007D3144">
          <w:rPr>
            <w:sz w:val="16"/>
            <w:u w:val="single" w:color="0000FF"/>
          </w:rPr>
          <w:t>Bite-sized</w:t>
        </w:r>
        <w:r w:rsidRPr="007D3144">
          <w:rPr>
            <w:spacing w:val="-4"/>
            <w:sz w:val="16"/>
            <w:u w:val="single" w:color="0000FF"/>
          </w:rPr>
          <w:t xml:space="preserve"> </w:t>
        </w:r>
        <w:r w:rsidRPr="007D3144">
          <w:rPr>
            <w:sz w:val="16"/>
            <w:u w:val="single" w:color="0000FF"/>
          </w:rPr>
          <w:t>Learning</w:t>
        </w:r>
        <w:r w:rsidRPr="007D3144">
          <w:rPr>
            <w:spacing w:val="-4"/>
            <w:sz w:val="16"/>
            <w:u w:val="single" w:color="0000FF"/>
          </w:rPr>
          <w:t xml:space="preserve"> </w:t>
        </w:r>
        <w:r w:rsidRPr="007D3144">
          <w:rPr>
            <w:sz w:val="16"/>
            <w:u w:val="single" w:color="0000FF"/>
          </w:rPr>
          <w:t>-</w:t>
        </w:r>
        <w:r w:rsidRPr="007D3144">
          <w:rPr>
            <w:spacing w:val="-4"/>
            <w:sz w:val="16"/>
            <w:u w:val="single" w:color="0000FF"/>
          </w:rPr>
          <w:t xml:space="preserve"> </w:t>
        </w:r>
        <w:r w:rsidRPr="007D3144">
          <w:rPr>
            <w:sz w:val="16"/>
            <w:u w:val="single" w:color="0000FF"/>
          </w:rPr>
          <w:t>Contracts</w:t>
        </w:r>
      </w:hyperlink>
      <w:r w:rsidRPr="007D3144">
        <w:rPr>
          <w:sz w:val="16"/>
        </w:rPr>
        <w:t xml:space="preserve"> </w:t>
      </w:r>
      <w:hyperlink r:id="rId111">
        <w:r w:rsidRPr="007D3144">
          <w:rPr>
            <w:sz w:val="16"/>
            <w:u w:val="single" w:color="0000FF"/>
          </w:rPr>
          <w:t>Finder</w:t>
        </w:r>
        <w:r w:rsidRPr="00150EDC">
          <w:rPr>
            <w:sz w:val="16"/>
          </w:rPr>
          <w:t>;</w:t>
        </w:r>
      </w:hyperlink>
      <w:r w:rsidRPr="00150EDC">
        <w:rPr>
          <w:sz w:val="16"/>
        </w:rPr>
        <w:t xml:space="preserve"> </w:t>
      </w:r>
      <w:hyperlink r:id="rId112">
        <w:r w:rsidRPr="007D3144">
          <w:rPr>
            <w:sz w:val="16"/>
            <w:u w:val="single" w:color="0000FF"/>
          </w:rPr>
          <w:t>Multiply Randomised Controlled Trials (RCTs) Products - Contract 4 Family Numeracy - Contracts Finder</w:t>
        </w:r>
      </w:hyperlink>
    </w:p>
    <w:p w14:paraId="3FF10AB1" w14:textId="77777777" w:rsidR="004C7180" w:rsidRPr="00150EDC" w:rsidRDefault="004C7180">
      <w:pPr>
        <w:jc w:val="both"/>
        <w:rPr>
          <w:sz w:val="16"/>
        </w:rPr>
        <w:sectPr w:rsidR="004C7180" w:rsidRPr="00150EDC">
          <w:pgSz w:w="11910" w:h="16840"/>
          <w:pgMar w:top="1220" w:right="0" w:bottom="660" w:left="40" w:header="149" w:footer="465" w:gutter="0"/>
          <w:cols w:space="720"/>
        </w:sectPr>
      </w:pPr>
    </w:p>
    <w:p w14:paraId="1D3409C9" w14:textId="77777777" w:rsidR="004C7180" w:rsidRPr="00150EDC" w:rsidRDefault="004C7180">
      <w:pPr>
        <w:pStyle w:val="BodyText"/>
        <w:spacing w:before="1"/>
        <w:rPr>
          <w:sz w:val="10"/>
        </w:rPr>
      </w:pPr>
    </w:p>
    <w:p w14:paraId="7068238E" w14:textId="77777777" w:rsidR="004C7180" w:rsidRPr="00150EDC" w:rsidRDefault="00CF0754">
      <w:pPr>
        <w:pStyle w:val="BodyText"/>
        <w:spacing w:before="92" w:line="276" w:lineRule="auto"/>
        <w:ind w:left="1399" w:right="1435"/>
        <w:jc w:val="both"/>
      </w:pPr>
      <w:r w:rsidRPr="00150EDC">
        <w:t>to</w:t>
      </w:r>
      <w:r w:rsidRPr="00150EDC">
        <w:rPr>
          <w:spacing w:val="-17"/>
        </w:rPr>
        <w:t xml:space="preserve"> </w:t>
      </w:r>
      <w:r w:rsidRPr="00150EDC">
        <w:t>confirm</w:t>
      </w:r>
      <w:r w:rsidRPr="00150EDC">
        <w:rPr>
          <w:spacing w:val="-17"/>
        </w:rPr>
        <w:t xml:space="preserve"> </w:t>
      </w:r>
      <w:r w:rsidRPr="00150EDC">
        <w:t>local</w:t>
      </w:r>
      <w:r w:rsidRPr="00150EDC">
        <w:rPr>
          <w:spacing w:val="-16"/>
        </w:rPr>
        <w:t xml:space="preserve"> </w:t>
      </w:r>
      <w:r w:rsidRPr="00150EDC">
        <w:t>area</w:t>
      </w:r>
      <w:r w:rsidRPr="00150EDC">
        <w:rPr>
          <w:spacing w:val="-17"/>
        </w:rPr>
        <w:t xml:space="preserve"> </w:t>
      </w:r>
      <w:r w:rsidRPr="00150EDC">
        <w:t>participation,</w:t>
      </w:r>
      <w:r w:rsidRPr="00150EDC">
        <w:rPr>
          <w:spacing w:val="-17"/>
        </w:rPr>
        <w:t xml:space="preserve"> </w:t>
      </w:r>
      <w:r w:rsidRPr="00150EDC">
        <w:t>preferences</w:t>
      </w:r>
      <w:r w:rsidRPr="00150EDC">
        <w:rPr>
          <w:spacing w:val="-17"/>
        </w:rPr>
        <w:t xml:space="preserve"> </w:t>
      </w:r>
      <w:r w:rsidRPr="00150EDC">
        <w:t>for</w:t>
      </w:r>
      <w:r w:rsidRPr="00150EDC">
        <w:rPr>
          <w:spacing w:val="-16"/>
        </w:rPr>
        <w:t xml:space="preserve"> </w:t>
      </w:r>
      <w:r w:rsidRPr="00150EDC">
        <w:t>individual</w:t>
      </w:r>
      <w:r w:rsidRPr="00150EDC">
        <w:rPr>
          <w:spacing w:val="-17"/>
        </w:rPr>
        <w:t xml:space="preserve"> </w:t>
      </w:r>
      <w:r w:rsidRPr="00150EDC">
        <w:t>trials,</w:t>
      </w:r>
      <w:r w:rsidRPr="00150EDC">
        <w:rPr>
          <w:spacing w:val="-17"/>
        </w:rPr>
        <w:t xml:space="preserve"> </w:t>
      </w:r>
      <w:r w:rsidRPr="00150EDC">
        <w:t>current</w:t>
      </w:r>
      <w:r w:rsidRPr="00150EDC">
        <w:rPr>
          <w:spacing w:val="-16"/>
        </w:rPr>
        <w:t xml:space="preserve"> </w:t>
      </w:r>
      <w:r w:rsidRPr="00150EDC">
        <w:t>and</w:t>
      </w:r>
      <w:r w:rsidRPr="00150EDC">
        <w:rPr>
          <w:spacing w:val="-16"/>
        </w:rPr>
        <w:t xml:space="preserve"> </w:t>
      </w:r>
      <w:r w:rsidRPr="00150EDC">
        <w:t>planned activity in relation to trial topics, lead-in time needed, and to confirm the providers these local areas will be working with. This will inform the contracts they set up with local areas for learner recruitment and intervention delivery.</w:t>
      </w:r>
    </w:p>
    <w:p w14:paraId="6628FFFC" w14:textId="77777777" w:rsidR="004C7180" w:rsidRPr="00150EDC" w:rsidRDefault="004C7180">
      <w:pPr>
        <w:pStyle w:val="BodyText"/>
        <w:spacing w:before="10"/>
        <w:rPr>
          <w:sz w:val="20"/>
        </w:rPr>
      </w:pPr>
    </w:p>
    <w:p w14:paraId="4DF15B0F" w14:textId="77777777" w:rsidR="004C7180" w:rsidRPr="00150EDC" w:rsidRDefault="00CF0754">
      <w:pPr>
        <w:pStyle w:val="BodyText"/>
        <w:spacing w:line="276" w:lineRule="auto"/>
        <w:ind w:left="1399" w:right="1433"/>
        <w:jc w:val="both"/>
      </w:pPr>
      <w:r w:rsidRPr="00150EDC">
        <w:t>Where</w:t>
      </w:r>
      <w:r w:rsidRPr="00150EDC">
        <w:rPr>
          <w:spacing w:val="-13"/>
        </w:rPr>
        <w:t xml:space="preserve"> </w:t>
      </w:r>
      <w:r w:rsidRPr="00150EDC">
        <w:t>local</w:t>
      </w:r>
      <w:r w:rsidRPr="00150EDC">
        <w:rPr>
          <w:spacing w:val="-12"/>
        </w:rPr>
        <w:t xml:space="preserve"> </w:t>
      </w:r>
      <w:r w:rsidRPr="00150EDC">
        <w:t>areas</w:t>
      </w:r>
      <w:r w:rsidRPr="00150EDC">
        <w:rPr>
          <w:spacing w:val="-14"/>
        </w:rPr>
        <w:t xml:space="preserve"> </w:t>
      </w:r>
      <w:r w:rsidRPr="00150EDC">
        <w:t>do</w:t>
      </w:r>
      <w:r w:rsidRPr="00150EDC">
        <w:rPr>
          <w:spacing w:val="-13"/>
        </w:rPr>
        <w:t xml:space="preserve"> </w:t>
      </w:r>
      <w:r w:rsidRPr="00150EDC">
        <w:t>not</w:t>
      </w:r>
      <w:r w:rsidRPr="00150EDC">
        <w:rPr>
          <w:spacing w:val="-13"/>
        </w:rPr>
        <w:t xml:space="preserve"> </w:t>
      </w:r>
      <w:r w:rsidRPr="00150EDC">
        <w:t>have</w:t>
      </w:r>
      <w:r w:rsidRPr="00150EDC">
        <w:rPr>
          <w:spacing w:val="-13"/>
        </w:rPr>
        <w:t xml:space="preserve"> </w:t>
      </w:r>
      <w:r w:rsidRPr="00150EDC">
        <w:t>capacity</w:t>
      </w:r>
      <w:r w:rsidRPr="00150EDC">
        <w:rPr>
          <w:spacing w:val="-14"/>
        </w:rPr>
        <w:t xml:space="preserve"> </w:t>
      </w:r>
      <w:r w:rsidRPr="00150EDC">
        <w:t>or</w:t>
      </w:r>
      <w:r w:rsidRPr="00150EDC">
        <w:rPr>
          <w:spacing w:val="-15"/>
        </w:rPr>
        <w:t xml:space="preserve"> </w:t>
      </w:r>
      <w:r w:rsidRPr="00150EDC">
        <w:t>capability</w:t>
      </w:r>
      <w:r w:rsidRPr="00150EDC">
        <w:rPr>
          <w:spacing w:val="-12"/>
        </w:rPr>
        <w:t xml:space="preserve"> </w:t>
      </w:r>
      <w:r w:rsidRPr="00150EDC">
        <w:t>to</w:t>
      </w:r>
      <w:r w:rsidRPr="00150EDC">
        <w:rPr>
          <w:spacing w:val="-12"/>
        </w:rPr>
        <w:t xml:space="preserve"> </w:t>
      </w:r>
      <w:r w:rsidRPr="00150EDC">
        <w:t>commission</w:t>
      </w:r>
      <w:r w:rsidRPr="00150EDC">
        <w:rPr>
          <w:spacing w:val="-13"/>
        </w:rPr>
        <w:t xml:space="preserve"> </w:t>
      </w:r>
      <w:r w:rsidRPr="00150EDC">
        <w:t>trials,</w:t>
      </w:r>
      <w:r w:rsidRPr="00150EDC">
        <w:rPr>
          <w:spacing w:val="-12"/>
        </w:rPr>
        <w:t xml:space="preserve"> </w:t>
      </w:r>
      <w:r w:rsidRPr="00150EDC">
        <w:t>the</w:t>
      </w:r>
      <w:r w:rsidRPr="00150EDC">
        <w:rPr>
          <w:spacing w:val="-13"/>
        </w:rPr>
        <w:t xml:space="preserve"> </w:t>
      </w:r>
      <w:r w:rsidRPr="00150EDC">
        <w:rPr>
          <w:b/>
        </w:rPr>
        <w:t xml:space="preserve">delivery supplier </w:t>
      </w:r>
      <w:r w:rsidRPr="00150EDC">
        <w:t xml:space="preserve">will need to engage directly with providers. This will require the </w:t>
      </w:r>
      <w:r w:rsidRPr="00150EDC">
        <w:rPr>
          <w:b/>
        </w:rPr>
        <w:t xml:space="preserve">delivery supplier </w:t>
      </w:r>
      <w:r w:rsidRPr="00150EDC">
        <w:t>to conduct a provider mapping exercise (that will feed into the engagement strategy) to understand the potential provider pool.</w:t>
      </w:r>
      <w:r w:rsidRPr="00150EDC">
        <w:rPr>
          <w:spacing w:val="40"/>
        </w:rPr>
        <w:t xml:space="preserve"> </w:t>
      </w:r>
      <w:r w:rsidRPr="00150EDC">
        <w:t>Our assumption is that in areas where</w:t>
      </w:r>
      <w:r w:rsidRPr="00150EDC">
        <w:rPr>
          <w:spacing w:val="-6"/>
        </w:rPr>
        <w:t xml:space="preserve"> </w:t>
      </w:r>
      <w:r w:rsidRPr="00150EDC">
        <w:t>the</w:t>
      </w:r>
      <w:r w:rsidRPr="00150EDC">
        <w:rPr>
          <w:spacing w:val="-6"/>
        </w:rPr>
        <w:t xml:space="preserve"> </w:t>
      </w:r>
      <w:r w:rsidRPr="00150EDC">
        <w:rPr>
          <w:b/>
        </w:rPr>
        <w:t>delivery</w:t>
      </w:r>
      <w:r w:rsidRPr="00150EDC">
        <w:rPr>
          <w:b/>
          <w:spacing w:val="-8"/>
        </w:rPr>
        <w:t xml:space="preserve"> </w:t>
      </w:r>
      <w:r w:rsidRPr="00150EDC">
        <w:rPr>
          <w:b/>
        </w:rPr>
        <w:t>supplier</w:t>
      </w:r>
      <w:r w:rsidRPr="00150EDC">
        <w:rPr>
          <w:b/>
          <w:spacing w:val="-7"/>
        </w:rPr>
        <w:t xml:space="preserve"> </w:t>
      </w:r>
      <w:r w:rsidRPr="00150EDC">
        <w:t>is</w:t>
      </w:r>
      <w:r w:rsidRPr="00150EDC">
        <w:rPr>
          <w:spacing w:val="-7"/>
        </w:rPr>
        <w:t xml:space="preserve"> </w:t>
      </w:r>
      <w:r w:rsidRPr="00150EDC">
        <w:t>working</w:t>
      </w:r>
      <w:r w:rsidRPr="00150EDC">
        <w:rPr>
          <w:spacing w:val="-6"/>
        </w:rPr>
        <w:t xml:space="preserve"> </w:t>
      </w:r>
      <w:r w:rsidRPr="00150EDC">
        <w:t>directly</w:t>
      </w:r>
      <w:r w:rsidRPr="00150EDC">
        <w:rPr>
          <w:spacing w:val="-7"/>
        </w:rPr>
        <w:t xml:space="preserve"> </w:t>
      </w:r>
      <w:r w:rsidRPr="00150EDC">
        <w:t>with</w:t>
      </w:r>
      <w:r w:rsidRPr="00150EDC">
        <w:rPr>
          <w:spacing w:val="-6"/>
        </w:rPr>
        <w:t xml:space="preserve"> </w:t>
      </w:r>
      <w:r w:rsidRPr="00150EDC">
        <w:t>providers,</w:t>
      </w:r>
      <w:r w:rsidRPr="00150EDC">
        <w:rPr>
          <w:spacing w:val="-6"/>
        </w:rPr>
        <w:t xml:space="preserve"> </w:t>
      </w:r>
      <w:r w:rsidRPr="00150EDC">
        <w:t>both</w:t>
      </w:r>
      <w:r w:rsidRPr="00150EDC">
        <w:rPr>
          <w:spacing w:val="-8"/>
        </w:rPr>
        <w:t xml:space="preserve"> </w:t>
      </w:r>
      <w:r w:rsidRPr="00150EDC">
        <w:t>Multiply</w:t>
      </w:r>
      <w:r w:rsidRPr="00150EDC">
        <w:rPr>
          <w:spacing w:val="-7"/>
        </w:rPr>
        <w:t xml:space="preserve"> </w:t>
      </w:r>
      <w:r w:rsidRPr="00150EDC">
        <w:t>providers (some of whom also deliver AEB), and providers who deliver AEB but not Multiply, could take part in the Multiply RCTs.</w:t>
      </w:r>
    </w:p>
    <w:p w14:paraId="3F3F3999" w14:textId="77777777" w:rsidR="004C7180" w:rsidRPr="00150EDC" w:rsidRDefault="004C7180">
      <w:pPr>
        <w:pStyle w:val="BodyText"/>
        <w:spacing w:before="11"/>
        <w:rPr>
          <w:sz w:val="20"/>
        </w:rPr>
      </w:pPr>
    </w:p>
    <w:p w14:paraId="779172AD" w14:textId="356B5E95" w:rsidR="004C7180" w:rsidRPr="00150EDC" w:rsidRDefault="00CF0754">
      <w:pPr>
        <w:pStyle w:val="BodyText"/>
        <w:spacing w:line="276" w:lineRule="auto"/>
        <w:ind w:left="1399" w:right="1434"/>
        <w:jc w:val="both"/>
      </w:pPr>
      <w:r w:rsidRPr="00150EDC">
        <w:t xml:space="preserve">DfE </w:t>
      </w:r>
      <w:r w:rsidR="00337ED4" w:rsidRPr="00150EDC">
        <w:t>has carried</w:t>
      </w:r>
      <w:r w:rsidRPr="00150EDC">
        <w:t xml:space="preserve"> out some market warming activities with providers</w:t>
      </w:r>
      <w:r w:rsidR="00644A8D" w:rsidRPr="00150EDC">
        <w:t>, through sector representative bodies and through a provider engagement event to</w:t>
      </w:r>
      <w:r w:rsidR="00644A8D" w:rsidRPr="00150EDC" w:rsidDel="00644A8D">
        <w:t xml:space="preserve"> </w:t>
      </w:r>
      <w:r w:rsidRPr="00150EDC">
        <w:t>gauge</w:t>
      </w:r>
      <w:r w:rsidRPr="00150EDC">
        <w:rPr>
          <w:spacing w:val="-9"/>
        </w:rPr>
        <w:t xml:space="preserve"> </w:t>
      </w:r>
      <w:r w:rsidRPr="00150EDC">
        <w:t xml:space="preserve">interest in specific trials and explore any operational challenges to delivery. The </w:t>
      </w:r>
      <w:r w:rsidRPr="00150EDC">
        <w:rPr>
          <w:b/>
        </w:rPr>
        <w:t xml:space="preserve">delivery supplier </w:t>
      </w:r>
      <w:r w:rsidRPr="00150EDC">
        <w:t>will be</w:t>
      </w:r>
      <w:r w:rsidRPr="00150EDC">
        <w:rPr>
          <w:spacing w:val="-1"/>
        </w:rPr>
        <w:t xml:space="preserve"> </w:t>
      </w:r>
      <w:r w:rsidRPr="00150EDC">
        <w:t>expected to keep local areas</w:t>
      </w:r>
      <w:r w:rsidRPr="00150EDC">
        <w:rPr>
          <w:spacing w:val="-4"/>
        </w:rPr>
        <w:t xml:space="preserve"> </w:t>
      </w:r>
      <w:r w:rsidRPr="00150EDC">
        <w:t>informed of activity</w:t>
      </w:r>
      <w:r w:rsidRPr="00150EDC">
        <w:rPr>
          <w:spacing w:val="-2"/>
        </w:rPr>
        <w:t xml:space="preserve"> </w:t>
      </w:r>
      <w:r w:rsidRPr="00150EDC">
        <w:t>taking place in</w:t>
      </w:r>
      <w:r w:rsidRPr="00150EDC">
        <w:rPr>
          <w:spacing w:val="-1"/>
        </w:rPr>
        <w:t xml:space="preserve"> </w:t>
      </w:r>
      <w:r w:rsidRPr="00150EDC">
        <w:t>their area, even where they have not opted to be part of the trials work.</w:t>
      </w:r>
    </w:p>
    <w:p w14:paraId="21E95DB9" w14:textId="77777777" w:rsidR="004C7180" w:rsidRPr="00150EDC" w:rsidRDefault="004C7180">
      <w:pPr>
        <w:pStyle w:val="BodyText"/>
        <w:spacing w:before="9"/>
        <w:rPr>
          <w:sz w:val="20"/>
        </w:rPr>
      </w:pPr>
    </w:p>
    <w:p w14:paraId="10BD33E3" w14:textId="77777777" w:rsidR="004C7180" w:rsidRPr="00150EDC" w:rsidRDefault="00CF0754">
      <w:pPr>
        <w:pStyle w:val="BodyText"/>
        <w:spacing w:before="1" w:line="276" w:lineRule="auto"/>
        <w:ind w:left="1399" w:right="1434"/>
        <w:jc w:val="both"/>
      </w:pPr>
      <w:r w:rsidRPr="00150EDC">
        <w:t xml:space="preserve">The </w:t>
      </w:r>
      <w:r w:rsidRPr="00150EDC">
        <w:rPr>
          <w:b/>
        </w:rPr>
        <w:t xml:space="preserve">delivery supplier </w:t>
      </w:r>
      <w:r w:rsidRPr="00150EDC">
        <w:t>will work closely with the evaluation supplier to develop a staggered</w:t>
      </w:r>
      <w:r w:rsidRPr="00150EDC">
        <w:rPr>
          <w:spacing w:val="-17"/>
        </w:rPr>
        <w:t xml:space="preserve"> </w:t>
      </w:r>
      <w:r w:rsidRPr="00150EDC">
        <w:t>intervention</w:t>
      </w:r>
      <w:r w:rsidRPr="00150EDC">
        <w:rPr>
          <w:spacing w:val="-17"/>
        </w:rPr>
        <w:t xml:space="preserve"> </w:t>
      </w:r>
      <w:r w:rsidRPr="00150EDC">
        <w:t>delivery/fieldwork</w:t>
      </w:r>
      <w:r w:rsidRPr="00150EDC">
        <w:rPr>
          <w:spacing w:val="-16"/>
        </w:rPr>
        <w:t xml:space="preserve"> </w:t>
      </w:r>
      <w:r w:rsidRPr="00150EDC">
        <w:t>timeline</w:t>
      </w:r>
      <w:r w:rsidRPr="00150EDC">
        <w:rPr>
          <w:spacing w:val="-17"/>
        </w:rPr>
        <w:t xml:space="preserve"> </w:t>
      </w:r>
      <w:r w:rsidRPr="00150EDC">
        <w:t>for</w:t>
      </w:r>
      <w:r w:rsidRPr="00150EDC">
        <w:rPr>
          <w:spacing w:val="-17"/>
        </w:rPr>
        <w:t xml:space="preserve"> </w:t>
      </w:r>
      <w:r w:rsidRPr="00150EDC">
        <w:t>the</w:t>
      </w:r>
      <w:r w:rsidRPr="00150EDC">
        <w:rPr>
          <w:spacing w:val="-17"/>
        </w:rPr>
        <w:t xml:space="preserve"> </w:t>
      </w:r>
      <w:r w:rsidRPr="00150EDC">
        <w:t>trials</w:t>
      </w:r>
      <w:r w:rsidRPr="00150EDC">
        <w:rPr>
          <w:spacing w:val="-16"/>
        </w:rPr>
        <w:t xml:space="preserve"> </w:t>
      </w:r>
      <w:r w:rsidRPr="00150EDC">
        <w:t>to</w:t>
      </w:r>
      <w:r w:rsidRPr="00150EDC">
        <w:rPr>
          <w:spacing w:val="-17"/>
        </w:rPr>
        <w:t xml:space="preserve"> </w:t>
      </w:r>
      <w:r w:rsidRPr="00150EDC">
        <w:t>avoid</w:t>
      </w:r>
      <w:r w:rsidRPr="00150EDC">
        <w:rPr>
          <w:spacing w:val="-17"/>
        </w:rPr>
        <w:t xml:space="preserve"> </w:t>
      </w:r>
      <w:r w:rsidRPr="00150EDC">
        <w:t>saturating</w:t>
      </w:r>
      <w:r w:rsidRPr="00150EDC">
        <w:rPr>
          <w:spacing w:val="-16"/>
        </w:rPr>
        <w:t xml:space="preserve"> </w:t>
      </w:r>
      <w:r w:rsidRPr="00150EDC">
        <w:t>areas with interventions</w:t>
      </w:r>
      <w:hyperlink w:anchor="_bookmark16" w:history="1">
        <w:r w:rsidRPr="00150EDC">
          <w:rPr>
            <w:rFonts w:ascii="Times New Roman" w:hAnsi="Times New Roman"/>
            <w:position w:val="8"/>
            <w:sz w:val="14"/>
          </w:rPr>
          <w:t>8</w:t>
        </w:r>
      </w:hyperlink>
      <w:r w:rsidRPr="00150EDC">
        <w:rPr>
          <w:rFonts w:ascii="Times New Roman" w:hAnsi="Times New Roman"/>
          <w:spacing w:val="40"/>
          <w:position w:val="8"/>
          <w:sz w:val="14"/>
        </w:rPr>
        <w:t xml:space="preserve"> </w:t>
      </w:r>
      <w:r w:rsidRPr="00150EDC">
        <w:t>and distracting from core Multiply delivery, and also to avoid contamination between trials. The current provisional timeline for the Multiply Randomised</w:t>
      </w:r>
      <w:r w:rsidRPr="00150EDC">
        <w:rPr>
          <w:spacing w:val="-8"/>
        </w:rPr>
        <w:t xml:space="preserve"> </w:t>
      </w:r>
      <w:r w:rsidRPr="00150EDC">
        <w:t>Controlled</w:t>
      </w:r>
      <w:r w:rsidRPr="00150EDC">
        <w:rPr>
          <w:spacing w:val="-8"/>
        </w:rPr>
        <w:t xml:space="preserve"> </w:t>
      </w:r>
      <w:r w:rsidRPr="00150EDC">
        <w:t>Trials</w:t>
      </w:r>
      <w:r w:rsidRPr="00150EDC">
        <w:rPr>
          <w:spacing w:val="-9"/>
        </w:rPr>
        <w:t xml:space="preserve"> </w:t>
      </w:r>
      <w:r w:rsidRPr="00150EDC">
        <w:t>is</w:t>
      </w:r>
      <w:r w:rsidRPr="00150EDC">
        <w:rPr>
          <w:spacing w:val="-9"/>
        </w:rPr>
        <w:t xml:space="preserve"> </w:t>
      </w:r>
      <w:r w:rsidRPr="00150EDC">
        <w:t>included</w:t>
      </w:r>
      <w:r w:rsidRPr="00150EDC">
        <w:rPr>
          <w:spacing w:val="-8"/>
        </w:rPr>
        <w:t xml:space="preserve"> </w:t>
      </w:r>
      <w:r w:rsidRPr="00150EDC">
        <w:t>in</w:t>
      </w:r>
      <w:r w:rsidRPr="00150EDC">
        <w:rPr>
          <w:spacing w:val="-8"/>
        </w:rPr>
        <w:t xml:space="preserve"> </w:t>
      </w:r>
      <w:r w:rsidRPr="00150EDC">
        <w:t>Annex</w:t>
      </w:r>
      <w:r w:rsidRPr="00150EDC">
        <w:rPr>
          <w:spacing w:val="-9"/>
        </w:rPr>
        <w:t xml:space="preserve"> </w:t>
      </w:r>
      <w:r w:rsidRPr="00150EDC">
        <w:t>B.</w:t>
      </w:r>
      <w:r w:rsidRPr="00150EDC">
        <w:rPr>
          <w:spacing w:val="-9"/>
        </w:rPr>
        <w:t xml:space="preserve"> </w:t>
      </w:r>
      <w:r w:rsidRPr="00150EDC">
        <w:t>The</w:t>
      </w:r>
      <w:r w:rsidRPr="00150EDC">
        <w:rPr>
          <w:spacing w:val="40"/>
        </w:rPr>
        <w:t xml:space="preserve"> </w:t>
      </w:r>
      <w:r w:rsidRPr="00150EDC">
        <w:rPr>
          <w:b/>
        </w:rPr>
        <w:t>delivery</w:t>
      </w:r>
      <w:r w:rsidRPr="00150EDC">
        <w:rPr>
          <w:b/>
          <w:spacing w:val="-11"/>
        </w:rPr>
        <w:t xml:space="preserve"> </w:t>
      </w:r>
      <w:r w:rsidRPr="00150EDC">
        <w:rPr>
          <w:b/>
        </w:rPr>
        <w:t>supplier</w:t>
      </w:r>
      <w:r w:rsidRPr="00150EDC">
        <w:rPr>
          <w:b/>
          <w:spacing w:val="-9"/>
        </w:rPr>
        <w:t xml:space="preserve"> </w:t>
      </w:r>
      <w:r w:rsidRPr="00150EDC">
        <w:t>will</w:t>
      </w:r>
      <w:r w:rsidRPr="00150EDC">
        <w:rPr>
          <w:spacing w:val="-10"/>
        </w:rPr>
        <w:t xml:space="preserve"> </w:t>
      </w:r>
      <w:r w:rsidRPr="00150EDC">
        <w:t>start to</w:t>
      </w:r>
      <w:r w:rsidRPr="00150EDC">
        <w:rPr>
          <w:spacing w:val="-11"/>
        </w:rPr>
        <w:t xml:space="preserve"> </w:t>
      </w:r>
      <w:r w:rsidRPr="00150EDC">
        <w:t>‘manage’</w:t>
      </w:r>
      <w:r w:rsidRPr="00150EDC">
        <w:rPr>
          <w:spacing w:val="-12"/>
        </w:rPr>
        <w:t xml:space="preserve"> </w:t>
      </w:r>
      <w:r w:rsidRPr="00150EDC">
        <w:t>a</w:t>
      </w:r>
      <w:r w:rsidRPr="00150EDC">
        <w:rPr>
          <w:spacing w:val="-13"/>
        </w:rPr>
        <w:t xml:space="preserve"> </w:t>
      </w:r>
      <w:r w:rsidRPr="00150EDC">
        <w:t>trial</w:t>
      </w:r>
      <w:r w:rsidRPr="00150EDC">
        <w:rPr>
          <w:spacing w:val="-12"/>
        </w:rPr>
        <w:t xml:space="preserve"> </w:t>
      </w:r>
      <w:r w:rsidRPr="00150EDC">
        <w:t>as</w:t>
      </w:r>
      <w:r w:rsidRPr="00150EDC">
        <w:rPr>
          <w:spacing w:val="-12"/>
        </w:rPr>
        <w:t xml:space="preserve"> </w:t>
      </w:r>
      <w:r w:rsidRPr="00150EDC">
        <w:t>soon</w:t>
      </w:r>
      <w:r w:rsidRPr="00150EDC">
        <w:rPr>
          <w:spacing w:val="-13"/>
        </w:rPr>
        <w:t xml:space="preserve"> </w:t>
      </w:r>
      <w:r w:rsidRPr="00150EDC">
        <w:t>as</w:t>
      </w:r>
      <w:r w:rsidRPr="00150EDC">
        <w:rPr>
          <w:spacing w:val="-12"/>
        </w:rPr>
        <w:t xml:space="preserve"> </w:t>
      </w:r>
      <w:r w:rsidRPr="00150EDC">
        <w:t>the</w:t>
      </w:r>
      <w:r w:rsidRPr="00150EDC">
        <w:rPr>
          <w:spacing w:val="-11"/>
        </w:rPr>
        <w:t xml:space="preserve"> </w:t>
      </w:r>
      <w:r w:rsidRPr="00150EDC">
        <w:t>IDEA</w:t>
      </w:r>
      <w:r w:rsidRPr="00150EDC">
        <w:rPr>
          <w:spacing w:val="-11"/>
        </w:rPr>
        <w:t xml:space="preserve"> </w:t>
      </w:r>
      <w:r w:rsidRPr="00150EDC">
        <w:t>meetings</w:t>
      </w:r>
      <w:r w:rsidRPr="00150EDC">
        <w:rPr>
          <w:spacing w:val="-12"/>
        </w:rPr>
        <w:t xml:space="preserve"> </w:t>
      </w:r>
      <w:r w:rsidRPr="00150EDC">
        <w:t>start,</w:t>
      </w:r>
      <w:r w:rsidRPr="00150EDC">
        <w:rPr>
          <w:spacing w:val="-11"/>
        </w:rPr>
        <w:t xml:space="preserve"> </w:t>
      </w:r>
      <w:r w:rsidRPr="00150EDC">
        <w:t>shortly</w:t>
      </w:r>
      <w:r w:rsidRPr="00150EDC">
        <w:rPr>
          <w:spacing w:val="-12"/>
        </w:rPr>
        <w:t xml:space="preserve"> </w:t>
      </w:r>
      <w:r w:rsidRPr="00150EDC">
        <w:t>after</w:t>
      </w:r>
      <w:r w:rsidRPr="00150EDC">
        <w:rPr>
          <w:spacing w:val="-12"/>
        </w:rPr>
        <w:t xml:space="preserve"> </w:t>
      </w:r>
      <w:r w:rsidRPr="00150EDC">
        <w:t>a</w:t>
      </w:r>
      <w:r w:rsidRPr="00150EDC">
        <w:rPr>
          <w:spacing w:val="-11"/>
        </w:rPr>
        <w:t xml:space="preserve"> </w:t>
      </w:r>
      <w:r w:rsidRPr="00150EDC">
        <w:t>draft</w:t>
      </w:r>
      <w:r w:rsidRPr="00150EDC">
        <w:rPr>
          <w:spacing w:val="-13"/>
        </w:rPr>
        <w:t xml:space="preserve"> </w:t>
      </w:r>
      <w:r w:rsidRPr="00150EDC">
        <w:t>product</w:t>
      </w:r>
      <w:r w:rsidRPr="00150EDC">
        <w:rPr>
          <w:spacing w:val="-13"/>
        </w:rPr>
        <w:t xml:space="preserve"> </w:t>
      </w:r>
      <w:r w:rsidRPr="00150EDC">
        <w:t>has been handed over to the Evaluation Supplier.</w:t>
      </w:r>
    </w:p>
    <w:p w14:paraId="457C4F5A" w14:textId="77777777" w:rsidR="004C7180" w:rsidRPr="00150EDC" w:rsidRDefault="004C7180">
      <w:pPr>
        <w:pStyle w:val="BodyText"/>
        <w:spacing w:before="8"/>
        <w:rPr>
          <w:sz w:val="20"/>
        </w:rPr>
      </w:pPr>
    </w:p>
    <w:p w14:paraId="4CFCF8E6" w14:textId="77777777" w:rsidR="004C7180" w:rsidRPr="00150EDC" w:rsidRDefault="00CF0754">
      <w:pPr>
        <w:pStyle w:val="BodyText"/>
        <w:spacing w:line="278" w:lineRule="auto"/>
        <w:ind w:left="1400" w:right="1432"/>
        <w:jc w:val="both"/>
      </w:pPr>
      <w:r w:rsidRPr="00150EDC">
        <w:t xml:space="preserve">Core activities for the </w:t>
      </w:r>
      <w:r w:rsidRPr="00150EDC">
        <w:rPr>
          <w:b/>
        </w:rPr>
        <w:t xml:space="preserve">delivery supplier </w:t>
      </w:r>
      <w:r w:rsidRPr="00150EDC">
        <w:t xml:space="preserve">in respect of project portfolio management </w:t>
      </w:r>
      <w:r w:rsidRPr="00150EDC">
        <w:rPr>
          <w:spacing w:val="-2"/>
        </w:rPr>
        <w:t>include:</w:t>
      </w:r>
    </w:p>
    <w:p w14:paraId="1FE57B27" w14:textId="77777777" w:rsidR="004C7180" w:rsidRPr="00150EDC" w:rsidRDefault="004C7180">
      <w:pPr>
        <w:pStyle w:val="BodyText"/>
        <w:spacing w:before="6"/>
        <w:rPr>
          <w:sz w:val="20"/>
        </w:rPr>
      </w:pPr>
    </w:p>
    <w:p w14:paraId="41B25AB7" w14:textId="77777777" w:rsidR="004C7180" w:rsidRPr="00150EDC" w:rsidRDefault="00CF0754">
      <w:pPr>
        <w:pStyle w:val="ListParagraph"/>
        <w:numPr>
          <w:ilvl w:val="0"/>
          <w:numId w:val="23"/>
        </w:numPr>
        <w:tabs>
          <w:tab w:val="left" w:pos="2089"/>
          <w:tab w:val="left" w:pos="2091"/>
        </w:tabs>
        <w:ind w:right="1435"/>
        <w:jc w:val="both"/>
        <w:rPr>
          <w:sz w:val="24"/>
        </w:rPr>
      </w:pPr>
      <w:r w:rsidRPr="00150EDC">
        <w:rPr>
          <w:sz w:val="24"/>
        </w:rPr>
        <w:t>Developing, in collaboration with the evaluation supplier, an overarching Delivery Plan. This will cover key milestones from across the individual trials, together with other PPM activity including reporting, engagement and assurance activities.</w:t>
      </w:r>
    </w:p>
    <w:p w14:paraId="724EE642" w14:textId="77777777" w:rsidR="004C7180" w:rsidRPr="00150EDC" w:rsidRDefault="00CF0754">
      <w:pPr>
        <w:pStyle w:val="ListParagraph"/>
        <w:numPr>
          <w:ilvl w:val="0"/>
          <w:numId w:val="23"/>
        </w:numPr>
        <w:tabs>
          <w:tab w:val="left" w:pos="2089"/>
          <w:tab w:val="left" w:pos="2091"/>
        </w:tabs>
        <w:ind w:right="1431"/>
        <w:jc w:val="both"/>
        <w:rPr>
          <w:sz w:val="24"/>
        </w:rPr>
      </w:pPr>
      <w:r w:rsidRPr="00150EDC">
        <w:rPr>
          <w:sz w:val="24"/>
        </w:rPr>
        <w:t>Developing and delivering an engagement strategy to guide their interactions with key stakeholders including local areas, providers, and other Multiply RCT Suppliers. At a minimum, the plan should outline key stakeholder groups required for successful delivery of the contract, how key points of contact will be</w:t>
      </w:r>
      <w:r w:rsidRPr="00150EDC">
        <w:rPr>
          <w:spacing w:val="-6"/>
          <w:sz w:val="24"/>
        </w:rPr>
        <w:t xml:space="preserve"> </w:t>
      </w:r>
      <w:r w:rsidRPr="00150EDC">
        <w:rPr>
          <w:sz w:val="24"/>
        </w:rPr>
        <w:t>identified</w:t>
      </w:r>
      <w:r w:rsidRPr="00150EDC">
        <w:rPr>
          <w:spacing w:val="-8"/>
          <w:sz w:val="24"/>
        </w:rPr>
        <w:t xml:space="preserve"> </w:t>
      </w:r>
      <w:r w:rsidRPr="00150EDC">
        <w:rPr>
          <w:sz w:val="24"/>
        </w:rPr>
        <w:t>(inc.</w:t>
      </w:r>
      <w:r w:rsidRPr="00150EDC">
        <w:rPr>
          <w:spacing w:val="-9"/>
          <w:sz w:val="24"/>
        </w:rPr>
        <w:t xml:space="preserve"> </w:t>
      </w:r>
      <w:r w:rsidRPr="00150EDC">
        <w:rPr>
          <w:sz w:val="24"/>
        </w:rPr>
        <w:t>provider</w:t>
      </w:r>
      <w:r w:rsidRPr="00150EDC">
        <w:rPr>
          <w:spacing w:val="-10"/>
          <w:sz w:val="24"/>
        </w:rPr>
        <w:t xml:space="preserve"> </w:t>
      </w:r>
      <w:r w:rsidRPr="00150EDC">
        <w:rPr>
          <w:sz w:val="24"/>
        </w:rPr>
        <w:t>mapping),</w:t>
      </w:r>
      <w:r w:rsidRPr="00150EDC">
        <w:rPr>
          <w:spacing w:val="-9"/>
          <w:sz w:val="24"/>
        </w:rPr>
        <w:t xml:space="preserve"> </w:t>
      </w:r>
      <w:r w:rsidRPr="00150EDC">
        <w:rPr>
          <w:sz w:val="24"/>
        </w:rPr>
        <w:t>how</w:t>
      </w:r>
      <w:r w:rsidRPr="00150EDC">
        <w:rPr>
          <w:spacing w:val="-7"/>
          <w:sz w:val="24"/>
        </w:rPr>
        <w:t xml:space="preserve"> </w:t>
      </w:r>
      <w:r w:rsidRPr="00150EDC">
        <w:rPr>
          <w:sz w:val="24"/>
        </w:rPr>
        <w:t>they</w:t>
      </w:r>
      <w:r w:rsidRPr="00150EDC">
        <w:rPr>
          <w:spacing w:val="-7"/>
          <w:sz w:val="24"/>
        </w:rPr>
        <w:t xml:space="preserve"> </w:t>
      </w:r>
      <w:r w:rsidRPr="00150EDC">
        <w:rPr>
          <w:sz w:val="24"/>
        </w:rPr>
        <w:t>will</w:t>
      </w:r>
      <w:r w:rsidRPr="00150EDC">
        <w:rPr>
          <w:spacing w:val="-7"/>
          <w:sz w:val="24"/>
        </w:rPr>
        <w:t xml:space="preserve"> </w:t>
      </w:r>
      <w:r w:rsidRPr="00150EDC">
        <w:rPr>
          <w:sz w:val="24"/>
        </w:rPr>
        <w:t>be</w:t>
      </w:r>
      <w:r w:rsidRPr="00150EDC">
        <w:rPr>
          <w:spacing w:val="-8"/>
          <w:sz w:val="24"/>
        </w:rPr>
        <w:t xml:space="preserve"> </w:t>
      </w:r>
      <w:r w:rsidRPr="00150EDC">
        <w:rPr>
          <w:sz w:val="24"/>
        </w:rPr>
        <w:t>engaged</w:t>
      </w:r>
      <w:r w:rsidRPr="00150EDC">
        <w:rPr>
          <w:spacing w:val="-8"/>
          <w:sz w:val="24"/>
        </w:rPr>
        <w:t xml:space="preserve"> </w:t>
      </w:r>
      <w:r w:rsidRPr="00150EDC">
        <w:rPr>
          <w:sz w:val="24"/>
        </w:rPr>
        <w:t>(when,</w:t>
      </w:r>
      <w:r w:rsidRPr="00150EDC">
        <w:rPr>
          <w:spacing w:val="-9"/>
          <w:sz w:val="24"/>
        </w:rPr>
        <w:t xml:space="preserve"> </w:t>
      </w:r>
      <w:r w:rsidRPr="00150EDC">
        <w:rPr>
          <w:sz w:val="24"/>
        </w:rPr>
        <w:t>how</w:t>
      </w:r>
      <w:r w:rsidRPr="00150EDC">
        <w:rPr>
          <w:spacing w:val="-10"/>
          <w:sz w:val="24"/>
        </w:rPr>
        <w:t xml:space="preserve"> </w:t>
      </w:r>
      <w:r w:rsidRPr="00150EDC">
        <w:rPr>
          <w:sz w:val="24"/>
        </w:rPr>
        <w:t>and what) and how they would use the Department to support this work.</w:t>
      </w:r>
    </w:p>
    <w:p w14:paraId="57E472A1" w14:textId="77777777" w:rsidR="004C7180" w:rsidRPr="00150EDC" w:rsidRDefault="00CF0754">
      <w:pPr>
        <w:pStyle w:val="ListParagraph"/>
        <w:numPr>
          <w:ilvl w:val="0"/>
          <w:numId w:val="23"/>
        </w:numPr>
        <w:tabs>
          <w:tab w:val="left" w:pos="2091"/>
        </w:tabs>
        <w:ind w:right="1433"/>
        <w:jc w:val="both"/>
        <w:rPr>
          <w:sz w:val="24"/>
        </w:rPr>
      </w:pPr>
      <w:r w:rsidRPr="00150EDC">
        <w:rPr>
          <w:sz w:val="24"/>
        </w:rPr>
        <w:t>Developing</w:t>
      </w:r>
      <w:r w:rsidRPr="00150EDC">
        <w:rPr>
          <w:spacing w:val="-2"/>
          <w:sz w:val="24"/>
        </w:rPr>
        <w:t xml:space="preserve"> </w:t>
      </w:r>
      <w:r w:rsidRPr="00150EDC">
        <w:rPr>
          <w:sz w:val="24"/>
        </w:rPr>
        <w:t>a</w:t>
      </w:r>
      <w:r w:rsidRPr="00150EDC">
        <w:rPr>
          <w:spacing w:val="-4"/>
          <w:sz w:val="24"/>
        </w:rPr>
        <w:t xml:space="preserve"> </w:t>
      </w:r>
      <w:r w:rsidRPr="00150EDC">
        <w:rPr>
          <w:sz w:val="24"/>
        </w:rPr>
        <w:t>trial</w:t>
      </w:r>
      <w:r w:rsidRPr="00150EDC">
        <w:rPr>
          <w:spacing w:val="-3"/>
          <w:sz w:val="24"/>
        </w:rPr>
        <w:t xml:space="preserve"> </w:t>
      </w:r>
      <w:r w:rsidRPr="00150EDC">
        <w:rPr>
          <w:sz w:val="24"/>
        </w:rPr>
        <w:t>recruitment</w:t>
      </w:r>
      <w:r w:rsidRPr="00150EDC">
        <w:rPr>
          <w:spacing w:val="-5"/>
          <w:sz w:val="24"/>
        </w:rPr>
        <w:t xml:space="preserve"> </w:t>
      </w:r>
      <w:r w:rsidRPr="00150EDC">
        <w:rPr>
          <w:sz w:val="24"/>
        </w:rPr>
        <w:t>and</w:t>
      </w:r>
      <w:r w:rsidRPr="00150EDC">
        <w:rPr>
          <w:spacing w:val="-4"/>
          <w:sz w:val="24"/>
        </w:rPr>
        <w:t xml:space="preserve"> </w:t>
      </w:r>
      <w:r w:rsidRPr="00150EDC">
        <w:rPr>
          <w:sz w:val="24"/>
        </w:rPr>
        <w:t>delivery</w:t>
      </w:r>
      <w:r w:rsidRPr="00150EDC">
        <w:rPr>
          <w:spacing w:val="-3"/>
          <w:sz w:val="24"/>
        </w:rPr>
        <w:t xml:space="preserve"> </w:t>
      </w:r>
      <w:r w:rsidRPr="00150EDC">
        <w:rPr>
          <w:sz w:val="24"/>
        </w:rPr>
        <w:t>assurance</w:t>
      </w:r>
      <w:r w:rsidRPr="00150EDC">
        <w:rPr>
          <w:spacing w:val="-4"/>
          <w:sz w:val="24"/>
        </w:rPr>
        <w:t xml:space="preserve"> </w:t>
      </w:r>
      <w:r w:rsidRPr="00150EDC">
        <w:rPr>
          <w:sz w:val="24"/>
        </w:rPr>
        <w:t>plan</w:t>
      </w:r>
      <w:r w:rsidRPr="00150EDC">
        <w:rPr>
          <w:spacing w:val="-4"/>
          <w:sz w:val="24"/>
        </w:rPr>
        <w:t xml:space="preserve"> </w:t>
      </w:r>
      <w:r w:rsidRPr="00150EDC">
        <w:rPr>
          <w:sz w:val="24"/>
        </w:rPr>
        <w:t>(5.3),</w:t>
      </w:r>
      <w:r w:rsidRPr="00150EDC">
        <w:rPr>
          <w:spacing w:val="-5"/>
          <w:sz w:val="24"/>
        </w:rPr>
        <w:t xml:space="preserve"> </w:t>
      </w:r>
      <w:r w:rsidRPr="00150EDC">
        <w:rPr>
          <w:sz w:val="24"/>
        </w:rPr>
        <w:t>to</w:t>
      </w:r>
      <w:r w:rsidRPr="00150EDC">
        <w:rPr>
          <w:spacing w:val="-4"/>
          <w:sz w:val="24"/>
        </w:rPr>
        <w:t xml:space="preserve"> </w:t>
      </w:r>
      <w:r w:rsidRPr="00150EDC">
        <w:rPr>
          <w:sz w:val="24"/>
        </w:rPr>
        <w:t>ensure</w:t>
      </w:r>
      <w:r w:rsidRPr="00150EDC">
        <w:rPr>
          <w:spacing w:val="-4"/>
          <w:sz w:val="24"/>
        </w:rPr>
        <w:t xml:space="preserve"> </w:t>
      </w:r>
      <w:r w:rsidRPr="00150EDC">
        <w:rPr>
          <w:sz w:val="24"/>
        </w:rPr>
        <w:t>that what is funded is being delivered, including what steps would be taken to resolve issues when they are identified.</w:t>
      </w:r>
    </w:p>
    <w:p w14:paraId="720E5FAE" w14:textId="77777777" w:rsidR="004C7180" w:rsidRPr="00150EDC" w:rsidRDefault="00CF0754">
      <w:pPr>
        <w:pStyle w:val="ListParagraph"/>
        <w:numPr>
          <w:ilvl w:val="0"/>
          <w:numId w:val="23"/>
        </w:numPr>
        <w:tabs>
          <w:tab w:val="left" w:pos="2089"/>
        </w:tabs>
        <w:ind w:left="2089" w:hanging="358"/>
        <w:jc w:val="both"/>
        <w:rPr>
          <w:sz w:val="24"/>
        </w:rPr>
      </w:pPr>
      <w:r w:rsidRPr="00150EDC">
        <w:rPr>
          <w:sz w:val="24"/>
        </w:rPr>
        <w:t>Identifying</w:t>
      </w:r>
      <w:r w:rsidRPr="00150EDC">
        <w:rPr>
          <w:spacing w:val="8"/>
          <w:sz w:val="24"/>
        </w:rPr>
        <w:t xml:space="preserve"> </w:t>
      </w:r>
      <w:r w:rsidRPr="00150EDC">
        <w:rPr>
          <w:sz w:val="24"/>
        </w:rPr>
        <w:t>and</w:t>
      </w:r>
      <w:r w:rsidRPr="00150EDC">
        <w:rPr>
          <w:spacing w:val="10"/>
          <w:sz w:val="24"/>
        </w:rPr>
        <w:t xml:space="preserve"> </w:t>
      </w:r>
      <w:r w:rsidRPr="00150EDC">
        <w:rPr>
          <w:sz w:val="24"/>
        </w:rPr>
        <w:t>managing</w:t>
      </w:r>
      <w:r w:rsidRPr="00150EDC">
        <w:rPr>
          <w:spacing w:val="12"/>
          <w:sz w:val="24"/>
        </w:rPr>
        <w:t xml:space="preserve"> </w:t>
      </w:r>
      <w:r w:rsidRPr="00150EDC">
        <w:rPr>
          <w:sz w:val="24"/>
        </w:rPr>
        <w:t>risks</w:t>
      </w:r>
      <w:r w:rsidRPr="00150EDC">
        <w:rPr>
          <w:spacing w:val="9"/>
          <w:sz w:val="24"/>
        </w:rPr>
        <w:t xml:space="preserve"> </w:t>
      </w:r>
      <w:r w:rsidRPr="00150EDC">
        <w:rPr>
          <w:sz w:val="24"/>
        </w:rPr>
        <w:t>to</w:t>
      </w:r>
      <w:r w:rsidRPr="00150EDC">
        <w:rPr>
          <w:spacing w:val="10"/>
          <w:sz w:val="24"/>
        </w:rPr>
        <w:t xml:space="preserve"> </w:t>
      </w:r>
      <w:r w:rsidRPr="00150EDC">
        <w:rPr>
          <w:sz w:val="24"/>
        </w:rPr>
        <w:t>delivery</w:t>
      </w:r>
      <w:r w:rsidRPr="00150EDC">
        <w:rPr>
          <w:spacing w:val="11"/>
          <w:sz w:val="24"/>
        </w:rPr>
        <w:t xml:space="preserve"> </w:t>
      </w:r>
      <w:r w:rsidRPr="00150EDC">
        <w:rPr>
          <w:sz w:val="24"/>
        </w:rPr>
        <w:t>across</w:t>
      </w:r>
      <w:r w:rsidRPr="00150EDC">
        <w:rPr>
          <w:spacing w:val="12"/>
          <w:sz w:val="24"/>
        </w:rPr>
        <w:t xml:space="preserve"> </w:t>
      </w:r>
      <w:r w:rsidRPr="00150EDC">
        <w:rPr>
          <w:sz w:val="24"/>
        </w:rPr>
        <w:t>the</w:t>
      </w:r>
      <w:r w:rsidRPr="00150EDC">
        <w:rPr>
          <w:spacing w:val="10"/>
          <w:sz w:val="24"/>
        </w:rPr>
        <w:t xml:space="preserve"> </w:t>
      </w:r>
      <w:r w:rsidRPr="00150EDC">
        <w:rPr>
          <w:sz w:val="24"/>
        </w:rPr>
        <w:t>portfolio</w:t>
      </w:r>
      <w:r w:rsidRPr="00150EDC">
        <w:rPr>
          <w:spacing w:val="10"/>
          <w:sz w:val="24"/>
        </w:rPr>
        <w:t xml:space="preserve"> </w:t>
      </w:r>
      <w:r w:rsidRPr="00150EDC">
        <w:rPr>
          <w:sz w:val="24"/>
        </w:rPr>
        <w:t>of</w:t>
      </w:r>
      <w:r w:rsidRPr="00150EDC">
        <w:rPr>
          <w:spacing w:val="10"/>
          <w:sz w:val="24"/>
        </w:rPr>
        <w:t xml:space="preserve"> </w:t>
      </w:r>
      <w:r w:rsidRPr="00150EDC">
        <w:rPr>
          <w:sz w:val="24"/>
        </w:rPr>
        <w:t>trials</w:t>
      </w:r>
      <w:r w:rsidRPr="00150EDC">
        <w:rPr>
          <w:spacing w:val="11"/>
          <w:sz w:val="24"/>
        </w:rPr>
        <w:t xml:space="preserve"> </w:t>
      </w:r>
      <w:r w:rsidRPr="00150EDC">
        <w:rPr>
          <w:sz w:val="24"/>
        </w:rPr>
        <w:t>as</w:t>
      </w:r>
      <w:r w:rsidRPr="00150EDC">
        <w:rPr>
          <w:spacing w:val="10"/>
          <w:sz w:val="24"/>
        </w:rPr>
        <w:t xml:space="preserve"> </w:t>
      </w:r>
      <w:r w:rsidRPr="00150EDC">
        <w:rPr>
          <w:spacing w:val="-4"/>
          <w:sz w:val="24"/>
        </w:rPr>
        <w:t>they</w:t>
      </w:r>
    </w:p>
    <w:p w14:paraId="2C798435" w14:textId="77777777" w:rsidR="004C7180" w:rsidRPr="00150EDC" w:rsidRDefault="00CF0754">
      <w:pPr>
        <w:pStyle w:val="BodyText"/>
        <w:spacing w:before="1"/>
        <w:rPr>
          <w:sz w:val="12"/>
        </w:rPr>
      </w:pPr>
      <w:r w:rsidRPr="00150EDC">
        <w:rPr>
          <w:noProof/>
          <w:lang w:val="en-GB" w:eastAsia="en-GB"/>
        </w:rPr>
        <mc:AlternateContent>
          <mc:Choice Requires="wps">
            <w:drawing>
              <wp:anchor distT="0" distB="0" distL="0" distR="0" simplePos="0" relativeHeight="251658283" behindDoc="1" locked="0" layoutInCell="1" allowOverlap="1" wp14:anchorId="163A1A02" wp14:editId="4E048802">
                <wp:simplePos x="0" y="0"/>
                <wp:positionH relativeFrom="page">
                  <wp:posOffset>914400</wp:posOffset>
                </wp:positionH>
                <wp:positionV relativeFrom="paragraph">
                  <wp:posOffset>103626</wp:posOffset>
                </wp:positionV>
                <wp:extent cx="1828800" cy="9525"/>
                <wp:effectExtent l="0" t="0" r="0" b="0"/>
                <wp:wrapTopAndBottom/>
                <wp:docPr id="280" name="Free-form: Shape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AD8349" id="Free-form: Shape 280" o:spid="_x0000_s1026" style="position:absolute;margin-left:1in;margin-top:8.15pt;width:2in;height:.75pt;z-index:-251658197;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" path="m1828800,l,,,9144r1828800,l1828800,xe" fillcolor="black" stroked="f">
                <v:path arrowok="t"/>
                <w10:wrap type="topAndBottom" anchorx="page"/>
              </v:shape>
            </w:pict>
          </mc:Fallback>
        </mc:AlternateContent>
      </w:r>
    </w:p>
    <w:p w14:paraId="4CD1B19B" w14:textId="77777777" w:rsidR="004C7180" w:rsidRPr="00150EDC" w:rsidRDefault="00CF0754">
      <w:pPr>
        <w:spacing w:before="100"/>
        <w:ind w:left="2119" w:right="1682" w:hanging="720"/>
        <w:rPr>
          <w:sz w:val="18"/>
        </w:rPr>
      </w:pPr>
      <w:bookmarkStart w:id="93" w:name="_bookmark16"/>
      <w:bookmarkEnd w:id="93"/>
      <w:r w:rsidRPr="00150EDC">
        <w:rPr>
          <w:rFonts w:ascii="Times New Roman"/>
          <w:position w:val="6"/>
          <w:sz w:val="10"/>
        </w:rPr>
        <w:t>8</w:t>
      </w:r>
      <w:r w:rsidRPr="00150EDC">
        <w:rPr>
          <w:rFonts w:ascii="Times New Roman"/>
          <w:spacing w:val="26"/>
          <w:position w:val="6"/>
          <w:sz w:val="10"/>
        </w:rPr>
        <w:t xml:space="preserve"> </w:t>
      </w:r>
      <w:r w:rsidRPr="00150EDC">
        <w:rPr>
          <w:sz w:val="18"/>
        </w:rPr>
        <w:t>Our working assumptions are that a) we will ask organisations eligible for more than one trial what their preference</w:t>
      </w:r>
      <w:r w:rsidRPr="00150EDC">
        <w:rPr>
          <w:spacing w:val="-3"/>
          <w:sz w:val="18"/>
        </w:rPr>
        <w:t xml:space="preserve"> </w:t>
      </w:r>
      <w:r w:rsidRPr="00150EDC">
        <w:rPr>
          <w:sz w:val="18"/>
        </w:rPr>
        <w:t>is</w:t>
      </w:r>
      <w:r w:rsidRPr="00150EDC">
        <w:rPr>
          <w:spacing w:val="-2"/>
          <w:sz w:val="18"/>
        </w:rPr>
        <w:t xml:space="preserve"> </w:t>
      </w:r>
      <w:r w:rsidRPr="00150EDC">
        <w:rPr>
          <w:sz w:val="18"/>
        </w:rPr>
        <w:t>and</w:t>
      </w:r>
      <w:r w:rsidRPr="00150EDC">
        <w:rPr>
          <w:spacing w:val="-3"/>
          <w:sz w:val="18"/>
        </w:rPr>
        <w:t xml:space="preserve"> </w:t>
      </w:r>
      <w:r w:rsidRPr="00150EDC">
        <w:rPr>
          <w:sz w:val="18"/>
        </w:rPr>
        <w:t>try</w:t>
      </w:r>
      <w:r w:rsidRPr="00150EDC">
        <w:rPr>
          <w:spacing w:val="-2"/>
          <w:sz w:val="18"/>
        </w:rPr>
        <w:t xml:space="preserve"> </w:t>
      </w:r>
      <w:r w:rsidRPr="00150EDC">
        <w:rPr>
          <w:sz w:val="18"/>
        </w:rPr>
        <w:t>to</w:t>
      </w:r>
      <w:r w:rsidRPr="00150EDC">
        <w:rPr>
          <w:spacing w:val="-3"/>
          <w:sz w:val="18"/>
        </w:rPr>
        <w:t xml:space="preserve"> </w:t>
      </w:r>
      <w:r w:rsidRPr="00150EDC">
        <w:rPr>
          <w:sz w:val="18"/>
        </w:rPr>
        <w:t>meet</w:t>
      </w:r>
      <w:r w:rsidRPr="00150EDC">
        <w:rPr>
          <w:spacing w:val="-3"/>
          <w:sz w:val="18"/>
        </w:rPr>
        <w:t xml:space="preserve"> </w:t>
      </w:r>
      <w:r w:rsidRPr="00150EDC">
        <w:rPr>
          <w:sz w:val="18"/>
        </w:rPr>
        <w:t>that</w:t>
      </w:r>
      <w:r w:rsidRPr="00150EDC">
        <w:rPr>
          <w:spacing w:val="-1"/>
          <w:sz w:val="18"/>
        </w:rPr>
        <w:t xml:space="preserve"> </w:t>
      </w:r>
      <w:r w:rsidRPr="00150EDC">
        <w:rPr>
          <w:sz w:val="18"/>
        </w:rPr>
        <w:t>if</w:t>
      </w:r>
      <w:r w:rsidRPr="00150EDC">
        <w:rPr>
          <w:spacing w:val="-3"/>
          <w:sz w:val="18"/>
        </w:rPr>
        <w:t xml:space="preserve"> </w:t>
      </w:r>
      <w:r w:rsidRPr="00150EDC">
        <w:rPr>
          <w:sz w:val="18"/>
        </w:rPr>
        <w:t>possible</w:t>
      </w:r>
      <w:r w:rsidRPr="00150EDC">
        <w:rPr>
          <w:spacing w:val="-3"/>
          <w:sz w:val="18"/>
        </w:rPr>
        <w:t xml:space="preserve"> </w:t>
      </w:r>
      <w:r w:rsidRPr="00150EDC">
        <w:rPr>
          <w:sz w:val="18"/>
        </w:rPr>
        <w:t>and</w:t>
      </w:r>
      <w:r w:rsidRPr="00150EDC">
        <w:rPr>
          <w:spacing w:val="-3"/>
          <w:sz w:val="18"/>
        </w:rPr>
        <w:t xml:space="preserve"> </w:t>
      </w:r>
      <w:r w:rsidRPr="00150EDC">
        <w:rPr>
          <w:sz w:val="18"/>
        </w:rPr>
        <w:t>b)</w:t>
      </w:r>
      <w:r w:rsidRPr="00150EDC">
        <w:rPr>
          <w:spacing w:val="-1"/>
          <w:sz w:val="18"/>
        </w:rPr>
        <w:t xml:space="preserve"> </w:t>
      </w:r>
      <w:r w:rsidRPr="00150EDC">
        <w:rPr>
          <w:sz w:val="18"/>
        </w:rPr>
        <w:t>not</w:t>
      </w:r>
      <w:r w:rsidRPr="00150EDC">
        <w:rPr>
          <w:spacing w:val="-1"/>
          <w:sz w:val="18"/>
        </w:rPr>
        <w:t xml:space="preserve"> </w:t>
      </w:r>
      <w:r w:rsidRPr="00150EDC">
        <w:rPr>
          <w:sz w:val="18"/>
        </w:rPr>
        <w:t>sample an</w:t>
      </w:r>
      <w:r w:rsidRPr="00150EDC">
        <w:rPr>
          <w:spacing w:val="-3"/>
          <w:sz w:val="18"/>
        </w:rPr>
        <w:t xml:space="preserve"> </w:t>
      </w:r>
      <w:r w:rsidRPr="00150EDC">
        <w:rPr>
          <w:sz w:val="18"/>
        </w:rPr>
        <w:t>organisation or</w:t>
      </w:r>
      <w:r w:rsidRPr="00150EDC">
        <w:rPr>
          <w:spacing w:val="-3"/>
          <w:sz w:val="18"/>
        </w:rPr>
        <w:t xml:space="preserve"> </w:t>
      </w:r>
      <w:r w:rsidRPr="00150EDC">
        <w:rPr>
          <w:sz w:val="18"/>
        </w:rPr>
        <w:t>area</w:t>
      </w:r>
      <w:r w:rsidRPr="00150EDC">
        <w:rPr>
          <w:spacing w:val="-3"/>
          <w:sz w:val="18"/>
        </w:rPr>
        <w:t xml:space="preserve"> </w:t>
      </w:r>
      <w:r w:rsidRPr="00150EDC">
        <w:rPr>
          <w:sz w:val="18"/>
        </w:rPr>
        <w:t>more than</w:t>
      </w:r>
      <w:r w:rsidRPr="00150EDC">
        <w:rPr>
          <w:spacing w:val="-3"/>
          <w:sz w:val="18"/>
        </w:rPr>
        <w:t xml:space="preserve"> </w:t>
      </w:r>
      <w:r w:rsidRPr="00150EDC">
        <w:rPr>
          <w:sz w:val="18"/>
        </w:rPr>
        <w:t>3 times over the fieldwork period.</w:t>
      </w:r>
    </w:p>
    <w:p w14:paraId="239764AC" w14:textId="77777777" w:rsidR="004C7180" w:rsidRPr="00150EDC" w:rsidRDefault="004C7180">
      <w:pPr>
        <w:rPr>
          <w:sz w:val="18"/>
        </w:rPr>
        <w:sectPr w:rsidR="004C7180" w:rsidRPr="00150EDC">
          <w:pgSz w:w="11910" w:h="16840"/>
          <w:pgMar w:top="1220" w:right="0" w:bottom="660" w:left="40" w:header="149" w:footer="465" w:gutter="0"/>
          <w:cols w:space="720"/>
        </w:sectPr>
      </w:pPr>
    </w:p>
    <w:p w14:paraId="01FDDA67" w14:textId="77777777" w:rsidR="004C7180" w:rsidRPr="00150EDC" w:rsidRDefault="004C7180">
      <w:pPr>
        <w:pStyle w:val="BodyText"/>
        <w:spacing w:before="1"/>
        <w:rPr>
          <w:sz w:val="10"/>
        </w:rPr>
      </w:pPr>
    </w:p>
    <w:p w14:paraId="02B05293" w14:textId="77777777" w:rsidR="004C7180" w:rsidRPr="00150EDC" w:rsidRDefault="00CF0754">
      <w:pPr>
        <w:pStyle w:val="BodyText"/>
        <w:spacing w:before="92"/>
        <w:ind w:left="2091" w:right="1433"/>
        <w:jc w:val="both"/>
      </w:pPr>
      <w:r w:rsidRPr="00150EDC">
        <w:t>emerge.</w:t>
      </w:r>
      <w:r w:rsidRPr="00150EDC">
        <w:rPr>
          <w:spacing w:val="-1"/>
        </w:rPr>
        <w:t xml:space="preserve"> </w:t>
      </w:r>
      <w:r w:rsidRPr="00150EDC">
        <w:t>This</w:t>
      </w:r>
      <w:r w:rsidRPr="00150EDC">
        <w:rPr>
          <w:spacing w:val="-2"/>
        </w:rPr>
        <w:t xml:space="preserve"> </w:t>
      </w:r>
      <w:r w:rsidRPr="00150EDC">
        <w:t>will</w:t>
      </w:r>
      <w:r w:rsidRPr="00150EDC">
        <w:rPr>
          <w:spacing w:val="-2"/>
        </w:rPr>
        <w:t xml:space="preserve"> </w:t>
      </w:r>
      <w:r w:rsidRPr="00150EDC">
        <w:t>include</w:t>
      </w:r>
      <w:r w:rsidRPr="00150EDC">
        <w:rPr>
          <w:spacing w:val="-1"/>
        </w:rPr>
        <w:t xml:space="preserve"> </w:t>
      </w:r>
      <w:r w:rsidRPr="00150EDC">
        <w:t>submission</w:t>
      </w:r>
      <w:r w:rsidRPr="00150EDC">
        <w:rPr>
          <w:spacing w:val="-3"/>
        </w:rPr>
        <w:t xml:space="preserve"> </w:t>
      </w:r>
      <w:r w:rsidRPr="00150EDC">
        <w:t>of</w:t>
      </w:r>
      <w:r w:rsidRPr="00150EDC">
        <w:rPr>
          <w:spacing w:val="-1"/>
        </w:rPr>
        <w:t xml:space="preserve"> </w:t>
      </w:r>
      <w:r w:rsidRPr="00150EDC">
        <w:t>an</w:t>
      </w:r>
      <w:r w:rsidRPr="00150EDC">
        <w:rPr>
          <w:spacing w:val="-3"/>
        </w:rPr>
        <w:t xml:space="preserve"> </w:t>
      </w:r>
      <w:r w:rsidRPr="00150EDC">
        <w:t>updated</w:t>
      </w:r>
      <w:r w:rsidRPr="00150EDC">
        <w:rPr>
          <w:spacing w:val="-1"/>
        </w:rPr>
        <w:t xml:space="preserve"> </w:t>
      </w:r>
      <w:r w:rsidRPr="00150EDC">
        <w:t>RAID</w:t>
      </w:r>
      <w:r w:rsidRPr="00150EDC">
        <w:rPr>
          <w:spacing w:val="-2"/>
        </w:rPr>
        <w:t xml:space="preserve"> </w:t>
      </w:r>
      <w:r w:rsidRPr="00150EDC">
        <w:t>log</w:t>
      </w:r>
      <w:r w:rsidRPr="00150EDC">
        <w:rPr>
          <w:spacing w:val="-3"/>
        </w:rPr>
        <w:t xml:space="preserve"> </w:t>
      </w:r>
      <w:r w:rsidRPr="00150EDC">
        <w:t>as</w:t>
      </w:r>
      <w:r w:rsidRPr="00150EDC">
        <w:rPr>
          <w:spacing w:val="-2"/>
        </w:rPr>
        <w:t xml:space="preserve"> </w:t>
      </w:r>
      <w:r w:rsidRPr="00150EDC">
        <w:t>part</w:t>
      </w:r>
      <w:r w:rsidRPr="00150EDC">
        <w:rPr>
          <w:spacing w:val="-1"/>
        </w:rPr>
        <w:t xml:space="preserve"> </w:t>
      </w:r>
      <w:r w:rsidRPr="00150EDC">
        <w:t>of</w:t>
      </w:r>
      <w:r w:rsidRPr="00150EDC">
        <w:rPr>
          <w:spacing w:val="-1"/>
        </w:rPr>
        <w:t xml:space="preserve"> </w:t>
      </w:r>
      <w:r w:rsidRPr="00150EDC">
        <w:t>weekly progress</w:t>
      </w:r>
      <w:r w:rsidRPr="00150EDC">
        <w:rPr>
          <w:spacing w:val="-17"/>
        </w:rPr>
        <w:t xml:space="preserve"> </w:t>
      </w:r>
      <w:r w:rsidRPr="00150EDC">
        <w:t>updates</w:t>
      </w:r>
      <w:r w:rsidRPr="00150EDC">
        <w:rPr>
          <w:spacing w:val="-17"/>
        </w:rPr>
        <w:t xml:space="preserve"> </w:t>
      </w:r>
      <w:r w:rsidRPr="00150EDC">
        <w:t>highlighting</w:t>
      </w:r>
      <w:r w:rsidRPr="00150EDC">
        <w:rPr>
          <w:spacing w:val="-16"/>
        </w:rPr>
        <w:t xml:space="preserve"> </w:t>
      </w:r>
      <w:r w:rsidRPr="00150EDC">
        <w:t>where</w:t>
      </w:r>
      <w:r w:rsidRPr="00150EDC">
        <w:rPr>
          <w:spacing w:val="-17"/>
        </w:rPr>
        <w:t xml:space="preserve"> </w:t>
      </w:r>
      <w:r w:rsidRPr="00150EDC">
        <w:t>new</w:t>
      </w:r>
      <w:r w:rsidRPr="00150EDC">
        <w:rPr>
          <w:spacing w:val="-17"/>
        </w:rPr>
        <w:t xml:space="preserve"> </w:t>
      </w:r>
      <w:r w:rsidRPr="00150EDC">
        <w:t>risks</w:t>
      </w:r>
      <w:r w:rsidRPr="00150EDC">
        <w:rPr>
          <w:spacing w:val="-17"/>
        </w:rPr>
        <w:t xml:space="preserve"> </w:t>
      </w:r>
      <w:r w:rsidRPr="00150EDC">
        <w:t>emerge,</w:t>
      </w:r>
      <w:r w:rsidRPr="00150EDC">
        <w:rPr>
          <w:spacing w:val="-16"/>
        </w:rPr>
        <w:t xml:space="preserve"> </w:t>
      </w:r>
      <w:r w:rsidRPr="00150EDC">
        <w:t>risk</w:t>
      </w:r>
      <w:r w:rsidRPr="00150EDC">
        <w:rPr>
          <w:spacing w:val="-17"/>
        </w:rPr>
        <w:t xml:space="preserve"> </w:t>
      </w:r>
      <w:r w:rsidRPr="00150EDC">
        <w:t>ratings</w:t>
      </w:r>
      <w:r w:rsidRPr="00150EDC">
        <w:rPr>
          <w:spacing w:val="-17"/>
        </w:rPr>
        <w:t xml:space="preserve"> </w:t>
      </w:r>
      <w:r w:rsidRPr="00150EDC">
        <w:t>change,</w:t>
      </w:r>
      <w:r w:rsidRPr="00150EDC">
        <w:rPr>
          <w:spacing w:val="-16"/>
        </w:rPr>
        <w:t xml:space="preserve"> </w:t>
      </w:r>
      <w:r w:rsidRPr="00150EDC">
        <w:t>and mitigations are developed and delivered.</w:t>
      </w:r>
    </w:p>
    <w:p w14:paraId="415C8AE0" w14:textId="77777777" w:rsidR="004C7180" w:rsidRPr="00150EDC" w:rsidRDefault="00CF0754">
      <w:pPr>
        <w:pStyle w:val="ListParagraph"/>
        <w:numPr>
          <w:ilvl w:val="0"/>
          <w:numId w:val="23"/>
        </w:numPr>
        <w:tabs>
          <w:tab w:val="left" w:pos="2089"/>
          <w:tab w:val="left" w:pos="2091"/>
        </w:tabs>
        <w:ind w:right="1435"/>
        <w:jc w:val="both"/>
        <w:rPr>
          <w:sz w:val="24"/>
        </w:rPr>
      </w:pPr>
      <w:r w:rsidRPr="00150EDC">
        <w:rPr>
          <w:sz w:val="24"/>
        </w:rPr>
        <w:t>Adhering to, and ensuring all subcontractors adhere to, DfE’s</w:t>
      </w:r>
      <w:r w:rsidRPr="00150EDC">
        <w:rPr>
          <w:spacing w:val="-6"/>
          <w:sz w:val="24"/>
        </w:rPr>
        <w:t xml:space="preserve"> </w:t>
      </w:r>
      <w:r w:rsidRPr="00150EDC">
        <w:rPr>
          <w:sz w:val="24"/>
        </w:rPr>
        <w:t xml:space="preserve">branding, data security and other guidance, which will be provided to the </w:t>
      </w:r>
      <w:r w:rsidRPr="00150EDC">
        <w:rPr>
          <w:b/>
          <w:sz w:val="24"/>
        </w:rPr>
        <w:t xml:space="preserve">delivery supplier </w:t>
      </w:r>
      <w:r w:rsidRPr="00150EDC">
        <w:rPr>
          <w:sz w:val="24"/>
        </w:rPr>
        <w:t>upon appointment.</w:t>
      </w:r>
    </w:p>
    <w:p w14:paraId="16488A11" w14:textId="77777777" w:rsidR="004C7180" w:rsidRPr="00150EDC" w:rsidRDefault="00CF0754">
      <w:pPr>
        <w:pStyle w:val="ListParagraph"/>
        <w:numPr>
          <w:ilvl w:val="0"/>
          <w:numId w:val="23"/>
        </w:numPr>
        <w:tabs>
          <w:tab w:val="left" w:pos="2089"/>
          <w:tab w:val="left" w:pos="2091"/>
        </w:tabs>
        <w:ind w:right="1434"/>
        <w:jc w:val="both"/>
        <w:rPr>
          <w:sz w:val="24"/>
        </w:rPr>
      </w:pPr>
      <w:r w:rsidRPr="00150EDC">
        <w:rPr>
          <w:sz w:val="24"/>
        </w:rPr>
        <w:t>Effective collaboration with the evaluation supplier and product development suppliers to ensure successful delivery.</w:t>
      </w:r>
    </w:p>
    <w:p w14:paraId="77E56013" w14:textId="77777777" w:rsidR="004C7180" w:rsidRPr="00150EDC" w:rsidRDefault="004C7180">
      <w:pPr>
        <w:pStyle w:val="BodyText"/>
        <w:spacing w:before="7"/>
        <w:rPr>
          <w:sz w:val="27"/>
        </w:rPr>
      </w:pPr>
    </w:p>
    <w:p w14:paraId="35A3B80E" w14:textId="77777777" w:rsidR="004C7180" w:rsidRPr="00150EDC" w:rsidRDefault="00CF0754">
      <w:pPr>
        <w:pStyle w:val="Heading4"/>
        <w:numPr>
          <w:ilvl w:val="1"/>
          <w:numId w:val="30"/>
        </w:numPr>
        <w:tabs>
          <w:tab w:val="left" w:pos="1728"/>
        </w:tabs>
        <w:ind w:left="1728" w:hanging="360"/>
        <w:jc w:val="both"/>
      </w:pPr>
      <w:bookmarkStart w:id="94" w:name="5.2_Trial_set_up_including_recruitment_o"/>
      <w:bookmarkStart w:id="95" w:name="_bookmark17"/>
      <w:bookmarkEnd w:id="94"/>
      <w:bookmarkEnd w:id="95"/>
      <w:r w:rsidRPr="00150EDC">
        <w:t>Trial</w:t>
      </w:r>
      <w:r w:rsidRPr="00150EDC">
        <w:rPr>
          <w:spacing w:val="-3"/>
        </w:rPr>
        <w:t xml:space="preserve"> </w:t>
      </w:r>
      <w:r w:rsidRPr="00150EDC">
        <w:t>set</w:t>
      </w:r>
      <w:r w:rsidRPr="00150EDC">
        <w:rPr>
          <w:spacing w:val="-3"/>
        </w:rPr>
        <w:t xml:space="preserve"> </w:t>
      </w:r>
      <w:r w:rsidRPr="00150EDC">
        <w:t>up</w:t>
      </w:r>
      <w:r w:rsidRPr="00150EDC">
        <w:rPr>
          <w:spacing w:val="-1"/>
        </w:rPr>
        <w:t xml:space="preserve"> </w:t>
      </w:r>
      <w:r w:rsidRPr="00150EDC">
        <w:t>including</w:t>
      </w:r>
      <w:r w:rsidRPr="00150EDC">
        <w:rPr>
          <w:spacing w:val="-5"/>
        </w:rPr>
        <w:t xml:space="preserve"> </w:t>
      </w:r>
      <w:r w:rsidRPr="00150EDC">
        <w:t>recruitment</w:t>
      </w:r>
      <w:r w:rsidRPr="00150EDC">
        <w:rPr>
          <w:spacing w:val="-2"/>
        </w:rPr>
        <w:t xml:space="preserve"> </w:t>
      </w:r>
      <w:r w:rsidRPr="00150EDC">
        <w:t>of</w:t>
      </w:r>
      <w:r w:rsidRPr="00150EDC">
        <w:rPr>
          <w:spacing w:val="-3"/>
        </w:rPr>
        <w:t xml:space="preserve"> </w:t>
      </w:r>
      <w:r w:rsidRPr="00150EDC">
        <w:t>local</w:t>
      </w:r>
      <w:r w:rsidRPr="00150EDC">
        <w:rPr>
          <w:spacing w:val="-3"/>
        </w:rPr>
        <w:t xml:space="preserve"> </w:t>
      </w:r>
      <w:r w:rsidRPr="00150EDC">
        <w:t>areas,</w:t>
      </w:r>
      <w:r w:rsidRPr="00150EDC">
        <w:rPr>
          <w:spacing w:val="-1"/>
        </w:rPr>
        <w:t xml:space="preserve"> </w:t>
      </w:r>
      <w:r w:rsidRPr="00150EDC">
        <w:t>providers</w:t>
      </w:r>
      <w:r w:rsidRPr="00150EDC">
        <w:rPr>
          <w:spacing w:val="-2"/>
        </w:rPr>
        <w:t xml:space="preserve"> </w:t>
      </w:r>
      <w:r w:rsidRPr="00150EDC">
        <w:t>and</w:t>
      </w:r>
      <w:r w:rsidRPr="00150EDC">
        <w:rPr>
          <w:spacing w:val="-4"/>
        </w:rPr>
        <w:t xml:space="preserve"> </w:t>
      </w:r>
      <w:r w:rsidRPr="00150EDC">
        <w:rPr>
          <w:spacing w:val="-2"/>
        </w:rPr>
        <w:t>learners</w:t>
      </w:r>
    </w:p>
    <w:p w14:paraId="64D8D45D" w14:textId="77777777" w:rsidR="004C7180" w:rsidRPr="00150EDC" w:rsidRDefault="00CF0754">
      <w:pPr>
        <w:pStyle w:val="BodyText"/>
        <w:spacing w:line="276" w:lineRule="auto"/>
        <w:ind w:left="1400" w:right="1434"/>
        <w:jc w:val="both"/>
      </w:pPr>
      <w:r w:rsidRPr="00150EDC">
        <w:t>We</w:t>
      </w:r>
      <w:r w:rsidRPr="00150EDC">
        <w:rPr>
          <w:spacing w:val="-17"/>
        </w:rPr>
        <w:t xml:space="preserve"> </w:t>
      </w:r>
      <w:r w:rsidRPr="00150EDC">
        <w:t>envisage</w:t>
      </w:r>
      <w:r w:rsidRPr="00150EDC">
        <w:rPr>
          <w:spacing w:val="-17"/>
        </w:rPr>
        <w:t xml:space="preserve"> </w:t>
      </w:r>
      <w:r w:rsidRPr="00150EDC">
        <w:t>that</w:t>
      </w:r>
      <w:r w:rsidRPr="00150EDC">
        <w:rPr>
          <w:spacing w:val="-16"/>
        </w:rPr>
        <w:t xml:space="preserve"> </w:t>
      </w:r>
      <w:r w:rsidRPr="00150EDC">
        <w:t>there</w:t>
      </w:r>
      <w:r w:rsidRPr="00150EDC">
        <w:rPr>
          <w:spacing w:val="-17"/>
        </w:rPr>
        <w:t xml:space="preserve"> </w:t>
      </w:r>
      <w:r w:rsidRPr="00150EDC">
        <w:t>will</w:t>
      </w:r>
      <w:r w:rsidRPr="00150EDC">
        <w:rPr>
          <w:spacing w:val="-17"/>
        </w:rPr>
        <w:t xml:space="preserve"> </w:t>
      </w:r>
      <w:r w:rsidRPr="00150EDC">
        <w:t>be</w:t>
      </w:r>
      <w:r w:rsidRPr="00150EDC">
        <w:rPr>
          <w:spacing w:val="-17"/>
        </w:rPr>
        <w:t xml:space="preserve"> </w:t>
      </w:r>
      <w:r w:rsidRPr="00150EDC">
        <w:t>a</w:t>
      </w:r>
      <w:r w:rsidRPr="00150EDC">
        <w:rPr>
          <w:spacing w:val="-16"/>
        </w:rPr>
        <w:t xml:space="preserve"> </w:t>
      </w:r>
      <w:r w:rsidRPr="00150EDC">
        <w:t>combination</w:t>
      </w:r>
      <w:r w:rsidRPr="00150EDC">
        <w:rPr>
          <w:spacing w:val="-17"/>
        </w:rPr>
        <w:t xml:space="preserve"> </w:t>
      </w:r>
      <w:r w:rsidRPr="00150EDC">
        <w:t>of</w:t>
      </w:r>
      <w:r w:rsidRPr="00150EDC">
        <w:rPr>
          <w:spacing w:val="-17"/>
        </w:rPr>
        <w:t xml:space="preserve"> </w:t>
      </w:r>
      <w:r w:rsidRPr="00150EDC">
        <w:t>approaches</w:t>
      </w:r>
      <w:r w:rsidRPr="00150EDC">
        <w:rPr>
          <w:spacing w:val="-16"/>
        </w:rPr>
        <w:t xml:space="preserve"> </w:t>
      </w:r>
      <w:r w:rsidRPr="00150EDC">
        <w:t>to</w:t>
      </w:r>
      <w:r w:rsidRPr="00150EDC">
        <w:rPr>
          <w:spacing w:val="-17"/>
        </w:rPr>
        <w:t xml:space="preserve"> </w:t>
      </w:r>
      <w:r w:rsidRPr="00150EDC">
        <w:t>delivery</w:t>
      </w:r>
      <w:r w:rsidRPr="00150EDC">
        <w:rPr>
          <w:spacing w:val="-17"/>
        </w:rPr>
        <w:t xml:space="preserve"> </w:t>
      </w:r>
      <w:r w:rsidRPr="00150EDC">
        <w:t>for</w:t>
      </w:r>
      <w:r w:rsidRPr="00150EDC">
        <w:rPr>
          <w:spacing w:val="-16"/>
        </w:rPr>
        <w:t xml:space="preserve"> </w:t>
      </w:r>
      <w:r w:rsidRPr="00150EDC">
        <w:t>the</w:t>
      </w:r>
      <w:r w:rsidRPr="00150EDC">
        <w:rPr>
          <w:spacing w:val="-17"/>
        </w:rPr>
        <w:t xml:space="preserve"> </w:t>
      </w:r>
      <w:r w:rsidRPr="00150EDC">
        <w:rPr>
          <w:b/>
        </w:rPr>
        <w:t xml:space="preserve">delivery supplier </w:t>
      </w:r>
      <w:r w:rsidRPr="00150EDC">
        <w:t xml:space="preserve">to manage, depending on local area capacity and the type of intervention being trialled through the RCTs. We expect each approach will demand a different level of oversight /input from the </w:t>
      </w:r>
      <w:r w:rsidRPr="00150EDC">
        <w:rPr>
          <w:b/>
        </w:rPr>
        <w:t xml:space="preserve">delivery supplier </w:t>
      </w:r>
      <w:r w:rsidRPr="00150EDC">
        <w:t>and is likely to include:</w:t>
      </w:r>
    </w:p>
    <w:p w14:paraId="6D57E779" w14:textId="77777777" w:rsidR="004C7180" w:rsidRPr="00150EDC" w:rsidRDefault="004C7180">
      <w:pPr>
        <w:pStyle w:val="BodyText"/>
        <w:spacing w:before="4"/>
      </w:pPr>
    </w:p>
    <w:p w14:paraId="6057F82E" w14:textId="77777777" w:rsidR="004C7180" w:rsidRPr="00150EDC" w:rsidRDefault="00CF0754">
      <w:pPr>
        <w:pStyle w:val="ListParagraph"/>
        <w:numPr>
          <w:ilvl w:val="0"/>
          <w:numId w:val="22"/>
        </w:numPr>
        <w:tabs>
          <w:tab w:val="left" w:pos="2120"/>
        </w:tabs>
        <w:spacing w:before="1"/>
        <w:ind w:right="1433"/>
        <w:jc w:val="both"/>
        <w:rPr>
          <w:sz w:val="24"/>
        </w:rPr>
      </w:pPr>
      <w:r w:rsidRPr="00150EDC">
        <w:rPr>
          <w:b/>
          <w:sz w:val="24"/>
        </w:rPr>
        <w:t>Local delivery of course based provision: GLA, MCAs and upper tier authorities with capacity will lead on commissioning the courses to be tested in their areas</w:t>
      </w:r>
      <w:r w:rsidRPr="00150EDC">
        <w:rPr>
          <w:sz w:val="24"/>
        </w:rPr>
        <w:t>, utilising their existing commercial arrangements where possible. This is consistent with our approach taken for core Multiply local delivery.</w:t>
      </w:r>
      <w:r w:rsidRPr="00150EDC">
        <w:rPr>
          <w:spacing w:val="-9"/>
          <w:sz w:val="24"/>
        </w:rPr>
        <w:t xml:space="preserve"> </w:t>
      </w:r>
      <w:r w:rsidRPr="00150EDC">
        <w:rPr>
          <w:sz w:val="24"/>
        </w:rPr>
        <w:t>The</w:t>
      </w:r>
      <w:r w:rsidRPr="00150EDC">
        <w:rPr>
          <w:spacing w:val="-8"/>
          <w:sz w:val="24"/>
        </w:rPr>
        <w:t xml:space="preserve"> </w:t>
      </w:r>
      <w:r w:rsidRPr="00150EDC">
        <w:rPr>
          <w:b/>
          <w:sz w:val="24"/>
        </w:rPr>
        <w:t>delivery</w:t>
      </w:r>
      <w:r w:rsidRPr="00150EDC">
        <w:rPr>
          <w:b/>
          <w:spacing w:val="-11"/>
          <w:sz w:val="24"/>
        </w:rPr>
        <w:t xml:space="preserve"> </w:t>
      </w:r>
      <w:r w:rsidRPr="00150EDC">
        <w:rPr>
          <w:b/>
          <w:sz w:val="24"/>
        </w:rPr>
        <w:t>supplie</w:t>
      </w:r>
      <w:r w:rsidRPr="00150EDC">
        <w:rPr>
          <w:sz w:val="24"/>
        </w:rPr>
        <w:t>r</w:t>
      </w:r>
      <w:r w:rsidRPr="00150EDC">
        <w:rPr>
          <w:spacing w:val="-10"/>
          <w:sz w:val="24"/>
        </w:rPr>
        <w:t xml:space="preserve"> </w:t>
      </w:r>
      <w:r w:rsidRPr="00150EDC">
        <w:rPr>
          <w:sz w:val="24"/>
        </w:rPr>
        <w:t>will</w:t>
      </w:r>
      <w:r w:rsidRPr="00150EDC">
        <w:rPr>
          <w:spacing w:val="-10"/>
          <w:sz w:val="24"/>
        </w:rPr>
        <w:t xml:space="preserve"> </w:t>
      </w:r>
      <w:r w:rsidRPr="00150EDC">
        <w:rPr>
          <w:sz w:val="24"/>
        </w:rPr>
        <w:t>monitor,</w:t>
      </w:r>
      <w:r w:rsidRPr="00150EDC">
        <w:rPr>
          <w:spacing w:val="-11"/>
          <w:sz w:val="24"/>
        </w:rPr>
        <w:t xml:space="preserve"> </w:t>
      </w:r>
      <w:r w:rsidRPr="00150EDC">
        <w:rPr>
          <w:sz w:val="24"/>
        </w:rPr>
        <w:t>and</w:t>
      </w:r>
      <w:r w:rsidRPr="00150EDC">
        <w:rPr>
          <w:spacing w:val="-11"/>
          <w:sz w:val="24"/>
        </w:rPr>
        <w:t xml:space="preserve"> </w:t>
      </w:r>
      <w:r w:rsidRPr="00150EDC">
        <w:rPr>
          <w:sz w:val="24"/>
        </w:rPr>
        <w:t>assure</w:t>
      </w:r>
      <w:r w:rsidRPr="00150EDC">
        <w:rPr>
          <w:spacing w:val="-11"/>
          <w:sz w:val="24"/>
        </w:rPr>
        <w:t xml:space="preserve"> </w:t>
      </w:r>
      <w:r w:rsidRPr="00150EDC">
        <w:rPr>
          <w:sz w:val="24"/>
        </w:rPr>
        <w:t>this</w:t>
      </w:r>
      <w:r w:rsidRPr="00150EDC">
        <w:rPr>
          <w:spacing w:val="-12"/>
          <w:sz w:val="24"/>
        </w:rPr>
        <w:t xml:space="preserve"> </w:t>
      </w:r>
      <w:r w:rsidRPr="00150EDC">
        <w:rPr>
          <w:sz w:val="24"/>
        </w:rPr>
        <w:t>delivery,</w:t>
      </w:r>
      <w:r w:rsidRPr="00150EDC">
        <w:rPr>
          <w:spacing w:val="-11"/>
          <w:sz w:val="24"/>
        </w:rPr>
        <w:t xml:space="preserve"> </w:t>
      </w:r>
      <w:r w:rsidRPr="00150EDC">
        <w:rPr>
          <w:sz w:val="24"/>
        </w:rPr>
        <w:t>to</w:t>
      </w:r>
      <w:r w:rsidRPr="00150EDC">
        <w:rPr>
          <w:spacing w:val="-11"/>
          <w:sz w:val="24"/>
        </w:rPr>
        <w:t xml:space="preserve"> </w:t>
      </w:r>
      <w:r w:rsidRPr="00150EDC">
        <w:rPr>
          <w:sz w:val="24"/>
        </w:rPr>
        <w:t xml:space="preserve">ensure that it is following the trial protocol. Local areas will invoice the </w:t>
      </w:r>
      <w:r w:rsidRPr="00150EDC">
        <w:rPr>
          <w:b/>
          <w:sz w:val="24"/>
        </w:rPr>
        <w:t xml:space="preserve">delivery supplier </w:t>
      </w:r>
      <w:r w:rsidRPr="00150EDC">
        <w:rPr>
          <w:sz w:val="24"/>
        </w:rPr>
        <w:t xml:space="preserve">once milestones have been met, and, once they have completed checks on the invoices, the </w:t>
      </w:r>
      <w:r w:rsidRPr="00150EDC">
        <w:rPr>
          <w:b/>
          <w:sz w:val="24"/>
        </w:rPr>
        <w:t xml:space="preserve">delivery supplier </w:t>
      </w:r>
      <w:r w:rsidRPr="00150EDC">
        <w:rPr>
          <w:sz w:val="24"/>
        </w:rPr>
        <w:t xml:space="preserve">will release funding to the local </w:t>
      </w:r>
      <w:r w:rsidRPr="00150EDC">
        <w:rPr>
          <w:spacing w:val="-2"/>
          <w:sz w:val="24"/>
        </w:rPr>
        <w:t>areas.</w:t>
      </w:r>
    </w:p>
    <w:p w14:paraId="29D8D3DB" w14:textId="77777777" w:rsidR="004C7180" w:rsidRPr="00150EDC" w:rsidRDefault="004C7180">
      <w:pPr>
        <w:pStyle w:val="BodyText"/>
        <w:spacing w:before="6"/>
        <w:rPr>
          <w:sz w:val="27"/>
        </w:rPr>
      </w:pPr>
    </w:p>
    <w:p w14:paraId="7E44358C" w14:textId="77777777" w:rsidR="004C7180" w:rsidRPr="00150EDC" w:rsidRDefault="00CF0754">
      <w:pPr>
        <w:pStyle w:val="ListParagraph"/>
        <w:numPr>
          <w:ilvl w:val="0"/>
          <w:numId w:val="22"/>
        </w:numPr>
        <w:tabs>
          <w:tab w:val="left" w:pos="2120"/>
        </w:tabs>
        <w:ind w:right="1433"/>
        <w:jc w:val="both"/>
        <w:rPr>
          <w:sz w:val="24"/>
        </w:rPr>
      </w:pPr>
      <w:r w:rsidRPr="00150EDC">
        <w:rPr>
          <w:b/>
          <w:sz w:val="24"/>
        </w:rPr>
        <w:t xml:space="preserve">Local delivery of course based provision: The delivery supplier works directly with providers </w:t>
      </w:r>
      <w:r w:rsidRPr="00150EDC">
        <w:rPr>
          <w:sz w:val="24"/>
        </w:rPr>
        <w:t>- where local areas do not have capacity to commission the interventions, the Supplier will directly commission providers (FE colleges, Independent Training Providers, the voluntary sector) to deliver the interventions. The</w:t>
      </w:r>
      <w:r w:rsidRPr="00150EDC">
        <w:rPr>
          <w:spacing w:val="-1"/>
          <w:sz w:val="24"/>
        </w:rPr>
        <w:t xml:space="preserve"> </w:t>
      </w:r>
      <w:r w:rsidRPr="00150EDC">
        <w:rPr>
          <w:b/>
          <w:sz w:val="24"/>
        </w:rPr>
        <w:t>delivery supplier</w:t>
      </w:r>
      <w:r w:rsidRPr="00150EDC">
        <w:rPr>
          <w:b/>
          <w:spacing w:val="-1"/>
          <w:sz w:val="24"/>
        </w:rPr>
        <w:t xml:space="preserve"> </w:t>
      </w:r>
      <w:r w:rsidRPr="00150EDC">
        <w:rPr>
          <w:sz w:val="24"/>
        </w:rPr>
        <w:t>will monitor, and assure this</w:t>
      </w:r>
      <w:r w:rsidRPr="00150EDC">
        <w:rPr>
          <w:spacing w:val="-1"/>
          <w:sz w:val="24"/>
        </w:rPr>
        <w:t xml:space="preserve"> </w:t>
      </w:r>
      <w:r w:rsidRPr="00150EDC">
        <w:rPr>
          <w:sz w:val="24"/>
        </w:rPr>
        <w:t>delivery, to ensure that it is following the trial protocol. They will also release funding straight to providers upon receipt, and checking, of invoices.</w:t>
      </w:r>
    </w:p>
    <w:p w14:paraId="19C73685" w14:textId="77777777" w:rsidR="004C7180" w:rsidRPr="00150EDC" w:rsidRDefault="004C7180">
      <w:pPr>
        <w:pStyle w:val="BodyText"/>
      </w:pPr>
    </w:p>
    <w:p w14:paraId="0A834D22" w14:textId="77777777" w:rsidR="004C7180" w:rsidRPr="00150EDC" w:rsidRDefault="00CF0754">
      <w:pPr>
        <w:pStyle w:val="ListParagraph"/>
        <w:numPr>
          <w:ilvl w:val="0"/>
          <w:numId w:val="22"/>
        </w:numPr>
        <w:tabs>
          <w:tab w:val="left" w:pos="2120"/>
        </w:tabs>
        <w:ind w:right="1435"/>
        <w:jc w:val="both"/>
        <w:rPr>
          <w:sz w:val="24"/>
        </w:rPr>
      </w:pPr>
      <w:r w:rsidRPr="00150EDC">
        <w:rPr>
          <w:b/>
          <w:sz w:val="24"/>
        </w:rPr>
        <w:t>National delivery/Non-course based provision</w:t>
      </w:r>
      <w:r w:rsidRPr="00150EDC">
        <w:rPr>
          <w:sz w:val="24"/>
        </w:rPr>
        <w:t xml:space="preserve">– the </w:t>
      </w:r>
      <w:r w:rsidRPr="00150EDC">
        <w:rPr>
          <w:b/>
          <w:sz w:val="24"/>
        </w:rPr>
        <w:t xml:space="preserve">delivery supplier </w:t>
      </w:r>
      <w:r w:rsidRPr="00150EDC">
        <w:rPr>
          <w:sz w:val="24"/>
        </w:rPr>
        <w:t>will commission national</w:t>
      </w:r>
      <w:r w:rsidRPr="00150EDC">
        <w:rPr>
          <w:spacing w:val="-1"/>
          <w:sz w:val="24"/>
        </w:rPr>
        <w:t xml:space="preserve"> </w:t>
      </w:r>
      <w:r w:rsidRPr="00150EDC">
        <w:rPr>
          <w:sz w:val="24"/>
        </w:rPr>
        <w:t xml:space="preserve">organisations to run up to 4 non-course based trials. The trials potentially in scope are: Numeracy Champions (x2), Personalised Assessment, and Confidence Workshops. The </w:t>
      </w:r>
      <w:r w:rsidRPr="00150EDC">
        <w:rPr>
          <w:b/>
          <w:sz w:val="24"/>
        </w:rPr>
        <w:t xml:space="preserve">delivery supplier </w:t>
      </w:r>
      <w:r w:rsidRPr="00150EDC">
        <w:rPr>
          <w:sz w:val="24"/>
        </w:rPr>
        <w:t>will be expected to keep local areas updated on any national delivery taking place in their area and involve them as needed.</w:t>
      </w:r>
    </w:p>
    <w:p w14:paraId="6A32C965" w14:textId="77777777" w:rsidR="004C7180" w:rsidRPr="00150EDC" w:rsidRDefault="004C7180">
      <w:pPr>
        <w:pStyle w:val="BodyText"/>
        <w:spacing w:before="7"/>
        <w:rPr>
          <w:sz w:val="27"/>
        </w:rPr>
      </w:pPr>
    </w:p>
    <w:p w14:paraId="396522CD" w14:textId="77777777" w:rsidR="004C7180" w:rsidRPr="00150EDC" w:rsidRDefault="00CF0754">
      <w:pPr>
        <w:pStyle w:val="BodyText"/>
        <w:spacing w:line="276" w:lineRule="auto"/>
        <w:ind w:left="1400" w:right="1520"/>
      </w:pPr>
      <w:r w:rsidRPr="00150EDC">
        <w:t>The</w:t>
      </w:r>
      <w:r w:rsidRPr="00150EDC">
        <w:rPr>
          <w:spacing w:val="-3"/>
        </w:rPr>
        <w:t xml:space="preserve"> </w:t>
      </w:r>
      <w:r w:rsidRPr="00150EDC">
        <w:rPr>
          <w:b/>
        </w:rPr>
        <w:t>delivery</w:t>
      </w:r>
      <w:r w:rsidRPr="00150EDC">
        <w:rPr>
          <w:b/>
          <w:spacing w:val="-3"/>
        </w:rPr>
        <w:t xml:space="preserve"> </w:t>
      </w:r>
      <w:r w:rsidRPr="00150EDC">
        <w:rPr>
          <w:b/>
        </w:rPr>
        <w:t>supplier</w:t>
      </w:r>
      <w:r w:rsidRPr="00150EDC">
        <w:rPr>
          <w:b/>
          <w:spacing w:val="-6"/>
        </w:rPr>
        <w:t xml:space="preserve"> </w:t>
      </w:r>
      <w:r w:rsidRPr="00150EDC">
        <w:t>will</w:t>
      </w:r>
      <w:r w:rsidRPr="00150EDC">
        <w:rPr>
          <w:spacing w:val="-4"/>
        </w:rPr>
        <w:t xml:space="preserve"> </w:t>
      </w:r>
      <w:r w:rsidRPr="00150EDC">
        <w:t>commission</w:t>
      </w:r>
      <w:r w:rsidRPr="00150EDC">
        <w:rPr>
          <w:spacing w:val="-5"/>
        </w:rPr>
        <w:t xml:space="preserve"> </w:t>
      </w:r>
      <w:r w:rsidRPr="00150EDC">
        <w:t>local</w:t>
      </w:r>
      <w:r w:rsidRPr="00150EDC">
        <w:rPr>
          <w:spacing w:val="-7"/>
        </w:rPr>
        <w:t xml:space="preserve"> </w:t>
      </w:r>
      <w:r w:rsidRPr="00150EDC">
        <w:t>areas/providers/national</w:t>
      </w:r>
      <w:r w:rsidRPr="00150EDC">
        <w:rPr>
          <w:spacing w:val="-7"/>
        </w:rPr>
        <w:t xml:space="preserve"> </w:t>
      </w:r>
      <w:r w:rsidRPr="00150EDC">
        <w:t>organisations to</w:t>
      </w:r>
      <w:r w:rsidRPr="00150EDC">
        <w:rPr>
          <w:spacing w:val="-2"/>
        </w:rPr>
        <w:t xml:space="preserve"> </w:t>
      </w:r>
      <w:r w:rsidRPr="00150EDC">
        <w:t>carry</w:t>
      </w:r>
      <w:r w:rsidRPr="00150EDC">
        <w:rPr>
          <w:spacing w:val="-2"/>
        </w:rPr>
        <w:t xml:space="preserve"> </w:t>
      </w:r>
      <w:r w:rsidRPr="00150EDC">
        <w:t>out</w:t>
      </w:r>
      <w:r w:rsidRPr="00150EDC">
        <w:rPr>
          <w:spacing w:val="-2"/>
        </w:rPr>
        <w:t xml:space="preserve"> </w:t>
      </w:r>
      <w:r w:rsidRPr="00150EDC">
        <w:t>learner</w:t>
      </w:r>
      <w:r w:rsidRPr="00150EDC">
        <w:rPr>
          <w:spacing w:val="-3"/>
        </w:rPr>
        <w:t xml:space="preserve"> </w:t>
      </w:r>
      <w:r w:rsidRPr="00150EDC">
        <w:t>recruitment</w:t>
      </w:r>
      <w:r w:rsidRPr="00150EDC">
        <w:rPr>
          <w:spacing w:val="-2"/>
        </w:rPr>
        <w:t xml:space="preserve"> </w:t>
      </w:r>
      <w:r w:rsidRPr="00150EDC">
        <w:t>activities,</w:t>
      </w:r>
      <w:r w:rsidRPr="00150EDC">
        <w:rPr>
          <w:spacing w:val="-2"/>
        </w:rPr>
        <w:t xml:space="preserve"> </w:t>
      </w:r>
      <w:r w:rsidRPr="00150EDC">
        <w:t>ensuring</w:t>
      </w:r>
      <w:r w:rsidRPr="00150EDC">
        <w:rPr>
          <w:spacing w:val="-2"/>
        </w:rPr>
        <w:t xml:space="preserve"> </w:t>
      </w:r>
      <w:r w:rsidRPr="00150EDC">
        <w:t>that</w:t>
      </w:r>
      <w:r w:rsidRPr="00150EDC">
        <w:rPr>
          <w:spacing w:val="-2"/>
        </w:rPr>
        <w:t xml:space="preserve"> </w:t>
      </w:r>
      <w:r w:rsidRPr="00150EDC">
        <w:t>Data</w:t>
      </w:r>
      <w:r w:rsidRPr="00150EDC">
        <w:rPr>
          <w:spacing w:val="-3"/>
        </w:rPr>
        <w:t xml:space="preserve"> </w:t>
      </w:r>
      <w:r w:rsidRPr="00150EDC">
        <w:t>Protection</w:t>
      </w:r>
      <w:r w:rsidRPr="00150EDC">
        <w:rPr>
          <w:spacing w:val="-2"/>
        </w:rPr>
        <w:t xml:space="preserve"> </w:t>
      </w:r>
      <w:r w:rsidRPr="00150EDC">
        <w:t>guidance</w:t>
      </w:r>
      <w:r w:rsidRPr="00150EDC">
        <w:rPr>
          <w:spacing w:val="-2"/>
        </w:rPr>
        <w:t xml:space="preserve"> </w:t>
      </w:r>
      <w:r w:rsidRPr="00150EDC">
        <w:t xml:space="preserve">is followed - this will include gaining informed consent. The </w:t>
      </w:r>
      <w:r w:rsidRPr="00150EDC">
        <w:rPr>
          <w:b/>
        </w:rPr>
        <w:t xml:space="preserve">evaluation supplier </w:t>
      </w:r>
      <w:r w:rsidRPr="00150EDC">
        <w:t>will develop participation information sheets informing organisations and participants about what the different trials involve to be used as part of these activities.</w:t>
      </w:r>
    </w:p>
    <w:p w14:paraId="77F4D6A8" w14:textId="77777777" w:rsidR="004C7180" w:rsidRPr="00150EDC" w:rsidRDefault="004C7180">
      <w:pPr>
        <w:pStyle w:val="BodyText"/>
        <w:spacing w:before="6"/>
        <w:rPr>
          <w:sz w:val="27"/>
        </w:rPr>
      </w:pPr>
    </w:p>
    <w:p w14:paraId="06DBD01D" w14:textId="77777777" w:rsidR="004C7180" w:rsidRPr="00150EDC" w:rsidRDefault="00CF0754">
      <w:pPr>
        <w:pStyle w:val="BodyText"/>
        <w:spacing w:line="278" w:lineRule="auto"/>
        <w:ind w:left="1400" w:right="673"/>
      </w:pPr>
      <w:r w:rsidRPr="00150EDC">
        <w:t xml:space="preserve">We expect the </w:t>
      </w:r>
      <w:r w:rsidRPr="00150EDC">
        <w:rPr>
          <w:b/>
        </w:rPr>
        <w:t xml:space="preserve">delivery supplier </w:t>
      </w:r>
      <w:r w:rsidRPr="00150EDC">
        <w:t>to ask local areas/providers to confirm that funding provided</w:t>
      </w:r>
      <w:r w:rsidRPr="00150EDC">
        <w:rPr>
          <w:spacing w:val="-13"/>
        </w:rPr>
        <w:t xml:space="preserve"> </w:t>
      </w:r>
      <w:r w:rsidRPr="00150EDC">
        <w:t>does</w:t>
      </w:r>
      <w:r w:rsidRPr="00150EDC">
        <w:rPr>
          <w:spacing w:val="-12"/>
        </w:rPr>
        <w:t xml:space="preserve"> </w:t>
      </w:r>
      <w:r w:rsidRPr="00150EDC">
        <w:t>not</w:t>
      </w:r>
      <w:r w:rsidRPr="00150EDC">
        <w:rPr>
          <w:spacing w:val="-11"/>
        </w:rPr>
        <w:t xml:space="preserve"> </w:t>
      </w:r>
      <w:r w:rsidRPr="00150EDC">
        <w:t>duplicate</w:t>
      </w:r>
      <w:r w:rsidRPr="00150EDC">
        <w:rPr>
          <w:spacing w:val="-11"/>
        </w:rPr>
        <w:t xml:space="preserve"> </w:t>
      </w:r>
      <w:r w:rsidRPr="00150EDC">
        <w:t>funding</w:t>
      </w:r>
      <w:r w:rsidRPr="00150EDC">
        <w:rPr>
          <w:spacing w:val="-11"/>
        </w:rPr>
        <w:t xml:space="preserve"> </w:t>
      </w:r>
      <w:r w:rsidRPr="00150EDC">
        <w:t>provided</w:t>
      </w:r>
      <w:r w:rsidRPr="00150EDC">
        <w:rPr>
          <w:spacing w:val="-12"/>
        </w:rPr>
        <w:t xml:space="preserve"> </w:t>
      </w:r>
      <w:r w:rsidRPr="00150EDC">
        <w:t>for</w:t>
      </w:r>
      <w:r w:rsidRPr="00150EDC">
        <w:rPr>
          <w:spacing w:val="-10"/>
        </w:rPr>
        <w:t xml:space="preserve"> </w:t>
      </w:r>
      <w:r w:rsidRPr="00150EDC">
        <w:t>the</w:t>
      </w:r>
      <w:r w:rsidRPr="00150EDC">
        <w:rPr>
          <w:spacing w:val="-11"/>
        </w:rPr>
        <w:t xml:space="preserve"> </w:t>
      </w:r>
      <w:r w:rsidRPr="00150EDC">
        <w:t>same</w:t>
      </w:r>
      <w:r w:rsidRPr="00150EDC">
        <w:rPr>
          <w:spacing w:val="-11"/>
        </w:rPr>
        <w:t xml:space="preserve"> </w:t>
      </w:r>
      <w:r w:rsidRPr="00150EDC">
        <w:t>activity</w:t>
      </w:r>
      <w:r w:rsidRPr="00150EDC">
        <w:rPr>
          <w:spacing w:val="-12"/>
        </w:rPr>
        <w:t xml:space="preserve"> </w:t>
      </w:r>
      <w:r w:rsidRPr="00150EDC">
        <w:t>that</w:t>
      </w:r>
      <w:r w:rsidRPr="00150EDC">
        <w:rPr>
          <w:spacing w:val="-9"/>
        </w:rPr>
        <w:t xml:space="preserve"> </w:t>
      </w:r>
      <w:r w:rsidRPr="00150EDC">
        <w:t>is</w:t>
      </w:r>
      <w:r w:rsidRPr="00150EDC">
        <w:rPr>
          <w:spacing w:val="-11"/>
        </w:rPr>
        <w:t xml:space="preserve"> </w:t>
      </w:r>
      <w:r w:rsidRPr="00150EDC">
        <w:rPr>
          <w:spacing w:val="-2"/>
        </w:rPr>
        <w:t>administered</w:t>
      </w:r>
    </w:p>
    <w:p w14:paraId="39CB9D5C" w14:textId="77777777" w:rsidR="004C7180" w:rsidRPr="00150EDC" w:rsidRDefault="004C7180">
      <w:pPr>
        <w:spacing w:line="278" w:lineRule="auto"/>
        <w:sectPr w:rsidR="004C7180" w:rsidRPr="00150EDC">
          <w:pgSz w:w="11910" w:h="16840"/>
          <w:pgMar w:top="1220" w:right="0" w:bottom="660" w:left="40" w:header="149" w:footer="465" w:gutter="0"/>
          <w:cols w:space="720"/>
        </w:sectPr>
      </w:pPr>
    </w:p>
    <w:p w14:paraId="5360AE6F" w14:textId="77777777" w:rsidR="004C7180" w:rsidRPr="00150EDC" w:rsidRDefault="004C7180">
      <w:pPr>
        <w:pStyle w:val="BodyText"/>
        <w:spacing w:before="1"/>
        <w:rPr>
          <w:sz w:val="10"/>
        </w:rPr>
      </w:pPr>
    </w:p>
    <w:p w14:paraId="3F10B443" w14:textId="77777777" w:rsidR="004C7180" w:rsidRPr="00150EDC" w:rsidRDefault="00CF0754">
      <w:pPr>
        <w:pStyle w:val="BodyText"/>
        <w:spacing w:before="92"/>
        <w:ind w:left="1400"/>
      </w:pPr>
      <w:r w:rsidRPr="00150EDC">
        <w:rPr>
          <w:spacing w:val="-2"/>
        </w:rPr>
        <w:t>through:</w:t>
      </w:r>
    </w:p>
    <w:p w14:paraId="7EE0434E" w14:textId="77777777" w:rsidR="004C7180" w:rsidRPr="00150EDC" w:rsidRDefault="004C7180">
      <w:pPr>
        <w:pStyle w:val="BodyText"/>
        <w:spacing w:before="5"/>
      </w:pPr>
    </w:p>
    <w:p w14:paraId="7C8306C9" w14:textId="77777777" w:rsidR="004C7180" w:rsidRPr="00150EDC" w:rsidRDefault="00CF0754">
      <w:pPr>
        <w:pStyle w:val="ListParagraph"/>
        <w:numPr>
          <w:ilvl w:val="1"/>
          <w:numId w:val="22"/>
        </w:numPr>
        <w:tabs>
          <w:tab w:val="left" w:pos="2089"/>
        </w:tabs>
        <w:ind w:left="2089" w:hanging="358"/>
        <w:rPr>
          <w:sz w:val="24"/>
        </w:rPr>
      </w:pPr>
      <w:r w:rsidRPr="00150EDC">
        <w:rPr>
          <w:sz w:val="24"/>
        </w:rPr>
        <w:t>core</w:t>
      </w:r>
      <w:r w:rsidRPr="00150EDC">
        <w:rPr>
          <w:spacing w:val="-2"/>
          <w:sz w:val="24"/>
        </w:rPr>
        <w:t xml:space="preserve"> </w:t>
      </w:r>
      <w:r w:rsidRPr="00150EDC">
        <w:rPr>
          <w:sz w:val="24"/>
        </w:rPr>
        <w:t>Multiply</w:t>
      </w:r>
      <w:r w:rsidRPr="00150EDC">
        <w:rPr>
          <w:spacing w:val="-2"/>
          <w:sz w:val="24"/>
        </w:rPr>
        <w:t xml:space="preserve"> delivery;</w:t>
      </w:r>
    </w:p>
    <w:p w14:paraId="49A84C2C" w14:textId="77777777" w:rsidR="004C7180" w:rsidRPr="00150EDC" w:rsidRDefault="00CF0754">
      <w:pPr>
        <w:pStyle w:val="ListParagraph"/>
        <w:numPr>
          <w:ilvl w:val="1"/>
          <w:numId w:val="22"/>
        </w:numPr>
        <w:tabs>
          <w:tab w:val="left" w:pos="2089"/>
        </w:tabs>
        <w:ind w:left="2089" w:hanging="358"/>
        <w:rPr>
          <w:sz w:val="24"/>
        </w:rPr>
      </w:pPr>
      <w:r w:rsidRPr="00150EDC">
        <w:rPr>
          <w:sz w:val="24"/>
        </w:rPr>
        <w:t>the</w:t>
      </w:r>
      <w:r w:rsidRPr="00150EDC">
        <w:rPr>
          <w:spacing w:val="-2"/>
          <w:sz w:val="24"/>
        </w:rPr>
        <w:t xml:space="preserve"> </w:t>
      </w:r>
      <w:r w:rsidRPr="00150EDC">
        <w:rPr>
          <w:sz w:val="24"/>
        </w:rPr>
        <w:t>Adult</w:t>
      </w:r>
      <w:r w:rsidRPr="00150EDC">
        <w:rPr>
          <w:spacing w:val="-4"/>
          <w:sz w:val="24"/>
        </w:rPr>
        <w:t xml:space="preserve"> </w:t>
      </w:r>
      <w:r w:rsidRPr="00150EDC">
        <w:rPr>
          <w:sz w:val="24"/>
        </w:rPr>
        <w:t>Education</w:t>
      </w:r>
      <w:r w:rsidRPr="00150EDC">
        <w:rPr>
          <w:spacing w:val="-2"/>
          <w:sz w:val="24"/>
        </w:rPr>
        <w:t xml:space="preserve"> </w:t>
      </w:r>
      <w:r w:rsidRPr="00150EDC">
        <w:rPr>
          <w:sz w:val="24"/>
        </w:rPr>
        <w:t>Budget;</w:t>
      </w:r>
      <w:r w:rsidRPr="00150EDC">
        <w:rPr>
          <w:spacing w:val="-1"/>
          <w:sz w:val="24"/>
        </w:rPr>
        <w:t xml:space="preserve"> </w:t>
      </w:r>
      <w:r w:rsidRPr="00150EDC">
        <w:rPr>
          <w:spacing w:val="-5"/>
          <w:sz w:val="24"/>
        </w:rPr>
        <w:t>or</w:t>
      </w:r>
    </w:p>
    <w:p w14:paraId="587F1743" w14:textId="77777777" w:rsidR="004C7180" w:rsidRPr="00150EDC" w:rsidRDefault="00CF0754">
      <w:pPr>
        <w:pStyle w:val="ListParagraph"/>
        <w:numPr>
          <w:ilvl w:val="1"/>
          <w:numId w:val="22"/>
        </w:numPr>
        <w:tabs>
          <w:tab w:val="left" w:pos="2090"/>
        </w:tabs>
        <w:ind w:left="2090" w:hanging="359"/>
        <w:rPr>
          <w:sz w:val="24"/>
        </w:rPr>
      </w:pPr>
      <w:r w:rsidRPr="00150EDC">
        <w:rPr>
          <w:sz w:val="24"/>
        </w:rPr>
        <w:t>wider</w:t>
      </w:r>
      <w:r w:rsidRPr="00150EDC">
        <w:rPr>
          <w:spacing w:val="-3"/>
          <w:sz w:val="24"/>
        </w:rPr>
        <w:t xml:space="preserve"> </w:t>
      </w:r>
      <w:r w:rsidRPr="00150EDC">
        <w:rPr>
          <w:sz w:val="24"/>
        </w:rPr>
        <w:t>Adult</w:t>
      </w:r>
      <w:r w:rsidRPr="00150EDC">
        <w:rPr>
          <w:spacing w:val="-4"/>
          <w:sz w:val="24"/>
        </w:rPr>
        <w:t xml:space="preserve"> </w:t>
      </w:r>
      <w:r w:rsidRPr="00150EDC">
        <w:rPr>
          <w:sz w:val="24"/>
        </w:rPr>
        <w:t>Skills</w:t>
      </w:r>
      <w:r w:rsidRPr="00150EDC">
        <w:rPr>
          <w:spacing w:val="-2"/>
          <w:sz w:val="24"/>
        </w:rPr>
        <w:t xml:space="preserve"> programmes.</w:t>
      </w:r>
    </w:p>
    <w:p w14:paraId="1EAC5908" w14:textId="77777777" w:rsidR="004C7180" w:rsidRPr="00150EDC" w:rsidRDefault="00CF0754">
      <w:pPr>
        <w:pStyle w:val="BodyText"/>
        <w:spacing w:line="276" w:lineRule="auto"/>
        <w:ind w:left="1400" w:right="1435"/>
        <w:jc w:val="both"/>
      </w:pPr>
      <w:r w:rsidRPr="00150EDC">
        <w:t>This reflects the requirement included in the local area grant agreements and Memorandums of Understanding with DfE. We do not expect the delivery supplier to conduct any assurance of this information.</w:t>
      </w:r>
    </w:p>
    <w:p w14:paraId="54E04CC4" w14:textId="77777777" w:rsidR="004C7180" w:rsidRPr="00150EDC" w:rsidRDefault="004C7180">
      <w:pPr>
        <w:pStyle w:val="BodyText"/>
        <w:spacing w:before="11"/>
        <w:rPr>
          <w:sz w:val="20"/>
        </w:rPr>
      </w:pPr>
    </w:p>
    <w:p w14:paraId="3BEDD245" w14:textId="77777777" w:rsidR="004C7180" w:rsidRPr="00150EDC" w:rsidRDefault="00CF0754">
      <w:pPr>
        <w:pStyle w:val="BodyText"/>
        <w:spacing w:line="276" w:lineRule="auto"/>
        <w:ind w:left="1400" w:right="1434"/>
        <w:jc w:val="both"/>
      </w:pPr>
      <w:r w:rsidRPr="00150EDC">
        <w:t>The required number of local areas, providers, learners will be set out in the trial protocol</w:t>
      </w:r>
      <w:r w:rsidRPr="00150EDC">
        <w:rPr>
          <w:spacing w:val="-2"/>
        </w:rPr>
        <w:t xml:space="preserve"> </w:t>
      </w:r>
      <w:r w:rsidRPr="00150EDC">
        <w:t>and</w:t>
      </w:r>
      <w:r w:rsidRPr="00150EDC">
        <w:rPr>
          <w:spacing w:val="-1"/>
        </w:rPr>
        <w:t xml:space="preserve"> </w:t>
      </w:r>
      <w:r w:rsidRPr="00150EDC">
        <w:t>delivery</w:t>
      </w:r>
      <w:r w:rsidRPr="00150EDC">
        <w:rPr>
          <w:spacing w:val="-2"/>
        </w:rPr>
        <w:t xml:space="preserve"> </w:t>
      </w:r>
      <w:r w:rsidRPr="00150EDC">
        <w:t>plan.</w:t>
      </w:r>
      <w:r w:rsidRPr="00150EDC">
        <w:rPr>
          <w:spacing w:val="-1"/>
        </w:rPr>
        <w:t xml:space="preserve"> </w:t>
      </w:r>
      <w:r w:rsidRPr="00150EDC">
        <w:t>If</w:t>
      </w:r>
      <w:r w:rsidRPr="00150EDC">
        <w:rPr>
          <w:spacing w:val="-1"/>
        </w:rPr>
        <w:t xml:space="preserve"> </w:t>
      </w:r>
      <w:r w:rsidRPr="00150EDC">
        <w:t>the</w:t>
      </w:r>
      <w:r w:rsidRPr="00150EDC">
        <w:rPr>
          <w:spacing w:val="-1"/>
        </w:rPr>
        <w:t xml:space="preserve"> </w:t>
      </w:r>
      <w:r w:rsidRPr="00150EDC">
        <w:t>required</w:t>
      </w:r>
      <w:r w:rsidRPr="00150EDC">
        <w:rPr>
          <w:spacing w:val="-1"/>
        </w:rPr>
        <w:t xml:space="preserve"> </w:t>
      </w:r>
      <w:r w:rsidRPr="00150EDC">
        <w:t>numbers</w:t>
      </w:r>
      <w:r w:rsidRPr="00150EDC">
        <w:rPr>
          <w:spacing w:val="-2"/>
        </w:rPr>
        <w:t xml:space="preserve"> </w:t>
      </w:r>
      <w:r w:rsidRPr="00150EDC">
        <w:t>aren’t recruited</w:t>
      </w:r>
      <w:r w:rsidRPr="00150EDC">
        <w:rPr>
          <w:spacing w:val="-3"/>
        </w:rPr>
        <w:t xml:space="preserve"> </w:t>
      </w:r>
      <w:r w:rsidRPr="00150EDC">
        <w:t>the</w:t>
      </w:r>
      <w:r w:rsidRPr="00150EDC">
        <w:rPr>
          <w:spacing w:val="-1"/>
        </w:rPr>
        <w:t xml:space="preserve"> </w:t>
      </w:r>
      <w:r w:rsidRPr="00150EDC">
        <w:t>trial will not</w:t>
      </w:r>
      <w:r w:rsidRPr="00150EDC">
        <w:rPr>
          <w:spacing w:val="-1"/>
        </w:rPr>
        <w:t xml:space="preserve"> </w:t>
      </w:r>
      <w:r w:rsidRPr="00150EDC">
        <w:t xml:space="preserve">go </w:t>
      </w:r>
      <w:r w:rsidRPr="00150EDC">
        <w:rPr>
          <w:spacing w:val="-2"/>
        </w:rPr>
        <w:t>ahead.</w:t>
      </w:r>
    </w:p>
    <w:p w14:paraId="2DA87D74" w14:textId="77777777" w:rsidR="004C7180" w:rsidRPr="00150EDC" w:rsidRDefault="004C7180">
      <w:pPr>
        <w:pStyle w:val="BodyText"/>
        <w:spacing w:before="10"/>
        <w:rPr>
          <w:sz w:val="20"/>
        </w:rPr>
      </w:pPr>
    </w:p>
    <w:p w14:paraId="33E1A38F" w14:textId="77777777" w:rsidR="004C7180" w:rsidRPr="00150EDC" w:rsidRDefault="00CF0754">
      <w:pPr>
        <w:pStyle w:val="BodyText"/>
        <w:spacing w:before="1" w:line="276" w:lineRule="auto"/>
        <w:ind w:left="1400" w:right="1433"/>
        <w:jc w:val="both"/>
      </w:pPr>
      <w:r w:rsidRPr="00150EDC">
        <w:t>Once</w:t>
      </w:r>
      <w:r w:rsidRPr="00150EDC">
        <w:rPr>
          <w:spacing w:val="-6"/>
        </w:rPr>
        <w:t xml:space="preserve"> </w:t>
      </w:r>
      <w:r w:rsidRPr="00150EDC">
        <w:t>learners</w:t>
      </w:r>
      <w:r w:rsidRPr="00150EDC">
        <w:rPr>
          <w:spacing w:val="-7"/>
        </w:rPr>
        <w:t xml:space="preserve"> </w:t>
      </w:r>
      <w:r w:rsidRPr="00150EDC">
        <w:t>have</w:t>
      </w:r>
      <w:r w:rsidRPr="00150EDC">
        <w:rPr>
          <w:spacing w:val="-8"/>
        </w:rPr>
        <w:t xml:space="preserve"> </w:t>
      </w:r>
      <w:r w:rsidRPr="00150EDC">
        <w:t>been</w:t>
      </w:r>
      <w:r w:rsidRPr="00150EDC">
        <w:rPr>
          <w:spacing w:val="-6"/>
        </w:rPr>
        <w:t xml:space="preserve"> </w:t>
      </w:r>
      <w:r w:rsidRPr="00150EDC">
        <w:t>recruited</w:t>
      </w:r>
      <w:r w:rsidRPr="00150EDC">
        <w:rPr>
          <w:spacing w:val="-6"/>
        </w:rPr>
        <w:t xml:space="preserve"> </w:t>
      </w:r>
      <w:r w:rsidRPr="00150EDC">
        <w:t>to</w:t>
      </w:r>
      <w:r w:rsidRPr="00150EDC">
        <w:rPr>
          <w:spacing w:val="-6"/>
        </w:rPr>
        <w:t xml:space="preserve"> </w:t>
      </w:r>
      <w:r w:rsidRPr="00150EDC">
        <w:t>the</w:t>
      </w:r>
      <w:r w:rsidRPr="00150EDC">
        <w:rPr>
          <w:spacing w:val="-6"/>
        </w:rPr>
        <w:t xml:space="preserve"> </w:t>
      </w:r>
      <w:r w:rsidRPr="00150EDC">
        <w:t>trial,</w:t>
      </w:r>
      <w:r w:rsidRPr="00150EDC">
        <w:rPr>
          <w:spacing w:val="-6"/>
        </w:rPr>
        <w:t xml:space="preserve"> </w:t>
      </w:r>
      <w:r w:rsidRPr="00150EDC">
        <w:t>the</w:t>
      </w:r>
      <w:r w:rsidRPr="00150EDC">
        <w:rPr>
          <w:spacing w:val="-6"/>
        </w:rPr>
        <w:t xml:space="preserve"> </w:t>
      </w:r>
      <w:r w:rsidRPr="00150EDC">
        <w:rPr>
          <w:b/>
        </w:rPr>
        <w:t>evaluation</w:t>
      </w:r>
      <w:r w:rsidRPr="00150EDC">
        <w:rPr>
          <w:b/>
          <w:spacing w:val="-7"/>
        </w:rPr>
        <w:t xml:space="preserve"> </w:t>
      </w:r>
      <w:r w:rsidRPr="00150EDC">
        <w:rPr>
          <w:b/>
        </w:rPr>
        <w:t>supplier</w:t>
      </w:r>
      <w:r w:rsidRPr="00150EDC">
        <w:rPr>
          <w:b/>
          <w:spacing w:val="-7"/>
        </w:rPr>
        <w:t xml:space="preserve"> </w:t>
      </w:r>
      <w:r w:rsidRPr="00150EDC">
        <w:t>will</w:t>
      </w:r>
      <w:r w:rsidRPr="00150EDC">
        <w:rPr>
          <w:spacing w:val="-7"/>
        </w:rPr>
        <w:t xml:space="preserve"> </w:t>
      </w:r>
      <w:r w:rsidRPr="00150EDC">
        <w:t>undertake baseline</w:t>
      </w:r>
      <w:r w:rsidRPr="00150EDC">
        <w:rPr>
          <w:spacing w:val="-9"/>
        </w:rPr>
        <w:t xml:space="preserve"> </w:t>
      </w:r>
      <w:r w:rsidRPr="00150EDC">
        <w:t>data</w:t>
      </w:r>
      <w:r w:rsidRPr="00150EDC">
        <w:rPr>
          <w:spacing w:val="-9"/>
        </w:rPr>
        <w:t xml:space="preserve"> </w:t>
      </w:r>
      <w:r w:rsidRPr="00150EDC">
        <w:t>collection</w:t>
      </w:r>
      <w:r w:rsidRPr="00150EDC">
        <w:rPr>
          <w:spacing w:val="-7"/>
        </w:rPr>
        <w:t xml:space="preserve"> </w:t>
      </w:r>
      <w:r w:rsidRPr="00150EDC">
        <w:t>from</w:t>
      </w:r>
      <w:r w:rsidRPr="00150EDC">
        <w:rPr>
          <w:spacing w:val="-8"/>
        </w:rPr>
        <w:t xml:space="preserve"> </w:t>
      </w:r>
      <w:r w:rsidRPr="00150EDC">
        <w:t>all</w:t>
      </w:r>
      <w:r w:rsidRPr="00150EDC">
        <w:rPr>
          <w:spacing w:val="-8"/>
        </w:rPr>
        <w:t xml:space="preserve"> </w:t>
      </w:r>
      <w:r w:rsidRPr="00150EDC">
        <w:t>participants,</w:t>
      </w:r>
      <w:r w:rsidRPr="00150EDC">
        <w:rPr>
          <w:spacing w:val="-10"/>
        </w:rPr>
        <w:t xml:space="preserve"> </w:t>
      </w:r>
      <w:r w:rsidRPr="00150EDC">
        <w:t>and</w:t>
      </w:r>
      <w:r w:rsidRPr="00150EDC">
        <w:rPr>
          <w:spacing w:val="-9"/>
        </w:rPr>
        <w:t xml:space="preserve"> </w:t>
      </w:r>
      <w:r w:rsidRPr="00150EDC">
        <w:t>then</w:t>
      </w:r>
      <w:r w:rsidRPr="00150EDC">
        <w:rPr>
          <w:spacing w:val="-10"/>
        </w:rPr>
        <w:t xml:space="preserve"> </w:t>
      </w:r>
      <w:r w:rsidRPr="00150EDC">
        <w:t>randomise</w:t>
      </w:r>
      <w:r w:rsidRPr="00150EDC">
        <w:rPr>
          <w:spacing w:val="-7"/>
        </w:rPr>
        <w:t xml:space="preserve"> </w:t>
      </w:r>
      <w:r w:rsidRPr="00150EDC">
        <w:t>them</w:t>
      </w:r>
      <w:r w:rsidRPr="00150EDC">
        <w:rPr>
          <w:spacing w:val="-8"/>
        </w:rPr>
        <w:t xml:space="preserve"> </w:t>
      </w:r>
      <w:r w:rsidRPr="00150EDC">
        <w:t>to</w:t>
      </w:r>
      <w:r w:rsidRPr="00150EDC">
        <w:rPr>
          <w:spacing w:val="-9"/>
        </w:rPr>
        <w:t xml:space="preserve"> </w:t>
      </w:r>
      <w:r w:rsidRPr="00150EDC">
        <w:t>each</w:t>
      </w:r>
      <w:r w:rsidRPr="00150EDC">
        <w:rPr>
          <w:spacing w:val="-9"/>
        </w:rPr>
        <w:t xml:space="preserve"> </w:t>
      </w:r>
      <w:r w:rsidRPr="00150EDC">
        <w:t>arm</w:t>
      </w:r>
      <w:r w:rsidRPr="00150EDC">
        <w:rPr>
          <w:spacing w:val="-8"/>
        </w:rPr>
        <w:t xml:space="preserve"> </w:t>
      </w:r>
      <w:r w:rsidRPr="00150EDC">
        <w:t>of the</w:t>
      </w:r>
      <w:r w:rsidRPr="00150EDC">
        <w:rPr>
          <w:spacing w:val="-17"/>
        </w:rPr>
        <w:t xml:space="preserve"> </w:t>
      </w:r>
      <w:r w:rsidRPr="00150EDC">
        <w:t>trial</w:t>
      </w:r>
      <w:r w:rsidRPr="00150EDC">
        <w:rPr>
          <w:spacing w:val="-17"/>
        </w:rPr>
        <w:t xml:space="preserve"> </w:t>
      </w:r>
      <w:r w:rsidRPr="00150EDC">
        <w:t>(i.e.</w:t>
      </w:r>
      <w:r w:rsidRPr="00150EDC">
        <w:rPr>
          <w:spacing w:val="-16"/>
        </w:rPr>
        <w:t xml:space="preserve"> </w:t>
      </w:r>
      <w:r w:rsidRPr="00150EDC">
        <w:t>the</w:t>
      </w:r>
      <w:r w:rsidRPr="00150EDC">
        <w:rPr>
          <w:spacing w:val="-17"/>
        </w:rPr>
        <w:t xml:space="preserve"> </w:t>
      </w:r>
      <w:r w:rsidRPr="00150EDC">
        <w:t>intervention</w:t>
      </w:r>
      <w:r w:rsidRPr="00150EDC">
        <w:rPr>
          <w:spacing w:val="-17"/>
        </w:rPr>
        <w:t xml:space="preserve"> </w:t>
      </w:r>
      <w:r w:rsidRPr="00150EDC">
        <w:t>arm</w:t>
      </w:r>
      <w:r w:rsidRPr="00150EDC">
        <w:rPr>
          <w:spacing w:val="-17"/>
        </w:rPr>
        <w:t xml:space="preserve"> </w:t>
      </w:r>
      <w:r w:rsidRPr="00150EDC">
        <w:t>or</w:t>
      </w:r>
      <w:r w:rsidRPr="00150EDC">
        <w:rPr>
          <w:spacing w:val="-16"/>
        </w:rPr>
        <w:t xml:space="preserve"> </w:t>
      </w:r>
      <w:r w:rsidRPr="00150EDC">
        <w:t>the</w:t>
      </w:r>
      <w:r w:rsidRPr="00150EDC">
        <w:rPr>
          <w:spacing w:val="-17"/>
        </w:rPr>
        <w:t xml:space="preserve"> </w:t>
      </w:r>
      <w:r w:rsidRPr="00150EDC">
        <w:t>control</w:t>
      </w:r>
      <w:r w:rsidRPr="00150EDC">
        <w:rPr>
          <w:spacing w:val="-17"/>
        </w:rPr>
        <w:t xml:space="preserve"> </w:t>
      </w:r>
      <w:r w:rsidRPr="00150EDC">
        <w:t>arm)</w:t>
      </w:r>
      <w:r w:rsidRPr="00150EDC">
        <w:rPr>
          <w:spacing w:val="-16"/>
        </w:rPr>
        <w:t xml:space="preserve"> </w:t>
      </w:r>
      <w:r w:rsidRPr="00150EDC">
        <w:t>before</w:t>
      </w:r>
      <w:r w:rsidRPr="00150EDC">
        <w:rPr>
          <w:spacing w:val="-17"/>
        </w:rPr>
        <w:t xml:space="preserve"> </w:t>
      </w:r>
      <w:r w:rsidRPr="00150EDC">
        <w:t>delivery</w:t>
      </w:r>
      <w:r w:rsidRPr="00150EDC">
        <w:rPr>
          <w:spacing w:val="-16"/>
        </w:rPr>
        <w:t xml:space="preserve"> </w:t>
      </w:r>
      <w:r w:rsidRPr="00150EDC">
        <w:t>can</w:t>
      </w:r>
      <w:r w:rsidRPr="00150EDC">
        <w:rPr>
          <w:spacing w:val="-15"/>
        </w:rPr>
        <w:t xml:space="preserve"> </w:t>
      </w:r>
      <w:r w:rsidRPr="00150EDC">
        <w:t>start.</w:t>
      </w:r>
      <w:r w:rsidRPr="00150EDC">
        <w:rPr>
          <w:spacing w:val="-16"/>
        </w:rPr>
        <w:t xml:space="preserve"> </w:t>
      </w:r>
      <w:r w:rsidRPr="00150EDC">
        <w:t>For</w:t>
      </w:r>
      <w:r w:rsidRPr="00150EDC">
        <w:rPr>
          <w:spacing w:val="-17"/>
        </w:rPr>
        <w:t xml:space="preserve"> </w:t>
      </w:r>
      <w:r w:rsidRPr="00150EDC">
        <w:t>some instances, this will involve randomising at an individual level, whilst for others it will mean randomising at a class, provider or even a local area level.</w:t>
      </w:r>
    </w:p>
    <w:p w14:paraId="724C654F" w14:textId="77777777" w:rsidR="004C7180" w:rsidRPr="00150EDC" w:rsidRDefault="004C7180">
      <w:pPr>
        <w:pStyle w:val="BodyText"/>
        <w:spacing w:before="9"/>
        <w:rPr>
          <w:sz w:val="20"/>
        </w:rPr>
      </w:pPr>
    </w:p>
    <w:p w14:paraId="77D78906" w14:textId="77777777" w:rsidR="004C7180" w:rsidRPr="00150EDC" w:rsidRDefault="00CF0754">
      <w:pPr>
        <w:ind w:left="1400"/>
        <w:rPr>
          <w:sz w:val="24"/>
        </w:rPr>
      </w:pPr>
      <w:r w:rsidRPr="00150EDC">
        <w:rPr>
          <w:sz w:val="24"/>
        </w:rPr>
        <w:t>Core</w:t>
      </w:r>
      <w:r w:rsidRPr="00150EDC">
        <w:rPr>
          <w:spacing w:val="-1"/>
          <w:sz w:val="24"/>
        </w:rPr>
        <w:t xml:space="preserve"> </w:t>
      </w:r>
      <w:r w:rsidRPr="00150EDC">
        <w:rPr>
          <w:sz w:val="24"/>
        </w:rPr>
        <w:t>activities</w:t>
      </w:r>
      <w:r w:rsidRPr="00150EDC">
        <w:rPr>
          <w:spacing w:val="-2"/>
          <w:sz w:val="24"/>
        </w:rPr>
        <w:t xml:space="preserve"> </w:t>
      </w:r>
      <w:r w:rsidRPr="00150EDC">
        <w:rPr>
          <w:sz w:val="24"/>
        </w:rPr>
        <w:t>for</w:t>
      </w:r>
      <w:r w:rsidRPr="00150EDC">
        <w:rPr>
          <w:spacing w:val="-3"/>
          <w:sz w:val="24"/>
        </w:rPr>
        <w:t xml:space="preserve"> </w:t>
      </w:r>
      <w:r w:rsidRPr="00150EDC">
        <w:rPr>
          <w:sz w:val="24"/>
        </w:rPr>
        <w:t>the</w:t>
      </w:r>
      <w:r w:rsidRPr="00150EDC">
        <w:rPr>
          <w:spacing w:val="-3"/>
          <w:sz w:val="24"/>
        </w:rPr>
        <w:t xml:space="preserve"> </w:t>
      </w:r>
      <w:r w:rsidRPr="00150EDC">
        <w:rPr>
          <w:b/>
          <w:sz w:val="24"/>
        </w:rPr>
        <w:t>delivery</w:t>
      </w:r>
      <w:r w:rsidRPr="00150EDC">
        <w:rPr>
          <w:b/>
          <w:spacing w:val="-3"/>
          <w:sz w:val="24"/>
        </w:rPr>
        <w:t xml:space="preserve"> </w:t>
      </w:r>
      <w:r w:rsidRPr="00150EDC">
        <w:rPr>
          <w:b/>
          <w:sz w:val="24"/>
        </w:rPr>
        <w:t>supplier</w:t>
      </w:r>
      <w:r w:rsidRPr="00150EDC">
        <w:rPr>
          <w:b/>
          <w:spacing w:val="-2"/>
          <w:sz w:val="24"/>
        </w:rPr>
        <w:t xml:space="preserve"> </w:t>
      </w:r>
      <w:r w:rsidRPr="00150EDC">
        <w:rPr>
          <w:sz w:val="24"/>
        </w:rPr>
        <w:t>in</w:t>
      </w:r>
      <w:r w:rsidRPr="00150EDC">
        <w:rPr>
          <w:spacing w:val="-1"/>
          <w:sz w:val="24"/>
        </w:rPr>
        <w:t xml:space="preserve"> </w:t>
      </w:r>
      <w:r w:rsidRPr="00150EDC">
        <w:rPr>
          <w:sz w:val="24"/>
        </w:rPr>
        <w:t>the</w:t>
      </w:r>
      <w:r w:rsidRPr="00150EDC">
        <w:rPr>
          <w:spacing w:val="-1"/>
          <w:sz w:val="24"/>
        </w:rPr>
        <w:t xml:space="preserve"> </w:t>
      </w:r>
      <w:r w:rsidRPr="00150EDC">
        <w:rPr>
          <w:sz w:val="24"/>
        </w:rPr>
        <w:t>trial</w:t>
      </w:r>
      <w:r w:rsidRPr="00150EDC">
        <w:rPr>
          <w:spacing w:val="-1"/>
          <w:sz w:val="24"/>
        </w:rPr>
        <w:t xml:space="preserve"> </w:t>
      </w:r>
      <w:r w:rsidRPr="00150EDC">
        <w:rPr>
          <w:sz w:val="24"/>
        </w:rPr>
        <w:t>set</w:t>
      </w:r>
      <w:r w:rsidRPr="00150EDC">
        <w:rPr>
          <w:spacing w:val="-4"/>
          <w:sz w:val="24"/>
        </w:rPr>
        <w:t xml:space="preserve"> </w:t>
      </w:r>
      <w:r w:rsidRPr="00150EDC">
        <w:rPr>
          <w:sz w:val="24"/>
        </w:rPr>
        <w:t>up</w:t>
      </w:r>
      <w:r w:rsidRPr="00150EDC">
        <w:rPr>
          <w:spacing w:val="-3"/>
          <w:sz w:val="24"/>
        </w:rPr>
        <w:t xml:space="preserve"> </w:t>
      </w:r>
      <w:r w:rsidRPr="00150EDC">
        <w:rPr>
          <w:sz w:val="24"/>
        </w:rPr>
        <w:t xml:space="preserve">phase </w:t>
      </w:r>
      <w:r w:rsidRPr="00150EDC">
        <w:rPr>
          <w:spacing w:val="-2"/>
          <w:sz w:val="24"/>
        </w:rPr>
        <w:t>include:</w:t>
      </w:r>
    </w:p>
    <w:p w14:paraId="22B098CD" w14:textId="77777777" w:rsidR="004C7180" w:rsidRPr="00150EDC" w:rsidRDefault="004C7180">
      <w:pPr>
        <w:pStyle w:val="BodyText"/>
        <w:spacing w:before="5"/>
      </w:pPr>
    </w:p>
    <w:p w14:paraId="6BE2C06B" w14:textId="77777777" w:rsidR="004C7180" w:rsidRPr="00150EDC" w:rsidRDefault="00CF0754">
      <w:pPr>
        <w:pStyle w:val="ListParagraph"/>
        <w:numPr>
          <w:ilvl w:val="1"/>
          <w:numId w:val="22"/>
        </w:numPr>
        <w:tabs>
          <w:tab w:val="left" w:pos="2089"/>
          <w:tab w:val="left" w:pos="2091"/>
        </w:tabs>
        <w:ind w:right="1527"/>
        <w:rPr>
          <w:sz w:val="24"/>
        </w:rPr>
      </w:pPr>
      <w:r w:rsidRPr="00150EDC">
        <w:rPr>
          <w:sz w:val="24"/>
        </w:rPr>
        <w:t>Development of a trial Delivery Plan - developed in collaboration with the product</w:t>
      </w:r>
      <w:r w:rsidRPr="00150EDC">
        <w:rPr>
          <w:spacing w:val="-1"/>
          <w:sz w:val="24"/>
        </w:rPr>
        <w:t xml:space="preserve"> </w:t>
      </w:r>
      <w:r w:rsidRPr="00150EDC">
        <w:rPr>
          <w:sz w:val="24"/>
        </w:rPr>
        <w:t>development</w:t>
      </w:r>
      <w:r w:rsidRPr="00150EDC">
        <w:rPr>
          <w:spacing w:val="-1"/>
          <w:sz w:val="24"/>
        </w:rPr>
        <w:t xml:space="preserve"> </w:t>
      </w:r>
      <w:r w:rsidRPr="00150EDC">
        <w:rPr>
          <w:sz w:val="24"/>
        </w:rPr>
        <w:t>and evaluation suppliers, each Delivery Plan should set out</w:t>
      </w:r>
      <w:r w:rsidRPr="00150EDC">
        <w:rPr>
          <w:spacing w:val="-3"/>
          <w:sz w:val="24"/>
        </w:rPr>
        <w:t xml:space="preserve"> </w:t>
      </w:r>
      <w:r w:rsidRPr="00150EDC">
        <w:rPr>
          <w:sz w:val="24"/>
        </w:rPr>
        <w:t>what</w:t>
      </w:r>
      <w:r w:rsidRPr="00150EDC">
        <w:rPr>
          <w:spacing w:val="-3"/>
          <w:sz w:val="24"/>
        </w:rPr>
        <w:t xml:space="preserve"> </w:t>
      </w:r>
      <w:r w:rsidRPr="00150EDC">
        <w:rPr>
          <w:sz w:val="24"/>
        </w:rPr>
        <w:t>success</w:t>
      </w:r>
      <w:r w:rsidRPr="00150EDC">
        <w:rPr>
          <w:spacing w:val="-4"/>
          <w:sz w:val="24"/>
        </w:rPr>
        <w:t xml:space="preserve"> </w:t>
      </w:r>
      <w:r w:rsidRPr="00150EDC">
        <w:rPr>
          <w:sz w:val="24"/>
        </w:rPr>
        <w:t>looks</w:t>
      </w:r>
      <w:r w:rsidRPr="00150EDC">
        <w:rPr>
          <w:spacing w:val="-4"/>
          <w:sz w:val="24"/>
        </w:rPr>
        <w:t xml:space="preserve"> </w:t>
      </w:r>
      <w:r w:rsidRPr="00150EDC">
        <w:rPr>
          <w:sz w:val="24"/>
        </w:rPr>
        <w:t>like</w:t>
      </w:r>
      <w:r w:rsidRPr="00150EDC">
        <w:rPr>
          <w:spacing w:val="-3"/>
          <w:sz w:val="24"/>
        </w:rPr>
        <w:t xml:space="preserve"> </w:t>
      </w:r>
      <w:r w:rsidRPr="00150EDC">
        <w:rPr>
          <w:sz w:val="24"/>
        </w:rPr>
        <w:t>and</w:t>
      </w:r>
      <w:r w:rsidRPr="00150EDC">
        <w:rPr>
          <w:spacing w:val="-3"/>
          <w:sz w:val="24"/>
        </w:rPr>
        <w:t xml:space="preserve"> </w:t>
      </w:r>
      <w:r w:rsidRPr="00150EDC">
        <w:rPr>
          <w:sz w:val="24"/>
        </w:rPr>
        <w:t>associated</w:t>
      </w:r>
      <w:r w:rsidRPr="00150EDC">
        <w:rPr>
          <w:spacing w:val="-3"/>
          <w:sz w:val="24"/>
        </w:rPr>
        <w:t xml:space="preserve"> </w:t>
      </w:r>
      <w:r w:rsidRPr="00150EDC">
        <w:rPr>
          <w:sz w:val="24"/>
        </w:rPr>
        <w:t>KPIs</w:t>
      </w:r>
      <w:r w:rsidRPr="00150EDC">
        <w:rPr>
          <w:spacing w:val="-4"/>
          <w:sz w:val="24"/>
        </w:rPr>
        <w:t xml:space="preserve"> </w:t>
      </w:r>
      <w:r w:rsidRPr="00150EDC">
        <w:rPr>
          <w:sz w:val="24"/>
        </w:rPr>
        <w:t>that</w:t>
      </w:r>
      <w:r w:rsidRPr="00150EDC">
        <w:rPr>
          <w:spacing w:val="-3"/>
          <w:sz w:val="24"/>
        </w:rPr>
        <w:t xml:space="preserve"> </w:t>
      </w:r>
      <w:r w:rsidRPr="00150EDC">
        <w:rPr>
          <w:sz w:val="24"/>
        </w:rPr>
        <w:t>the</w:t>
      </w:r>
      <w:r w:rsidRPr="00150EDC">
        <w:rPr>
          <w:spacing w:val="-3"/>
          <w:sz w:val="24"/>
        </w:rPr>
        <w:t xml:space="preserve"> </w:t>
      </w:r>
      <w:r w:rsidRPr="00150EDC">
        <w:rPr>
          <w:sz w:val="24"/>
        </w:rPr>
        <w:t>Department</w:t>
      </w:r>
      <w:r w:rsidRPr="00150EDC">
        <w:rPr>
          <w:spacing w:val="-3"/>
          <w:sz w:val="24"/>
        </w:rPr>
        <w:t xml:space="preserve"> </w:t>
      </w:r>
      <w:r w:rsidRPr="00150EDC">
        <w:rPr>
          <w:sz w:val="24"/>
        </w:rPr>
        <w:t>can</w:t>
      </w:r>
      <w:r w:rsidRPr="00150EDC">
        <w:rPr>
          <w:spacing w:val="-3"/>
          <w:sz w:val="24"/>
        </w:rPr>
        <w:t xml:space="preserve"> </w:t>
      </w:r>
      <w:r w:rsidRPr="00150EDC">
        <w:rPr>
          <w:sz w:val="24"/>
        </w:rPr>
        <w:t>use to review the performance for each supplier on each RCT. The Department will develop a template Delivery Plan for suppliers to use.</w:t>
      </w:r>
      <w:r w:rsidRPr="00150EDC">
        <w:rPr>
          <w:spacing w:val="40"/>
          <w:sz w:val="24"/>
        </w:rPr>
        <w:t xml:space="preserve"> </w:t>
      </w:r>
      <w:r w:rsidRPr="00150EDC">
        <w:rPr>
          <w:sz w:val="24"/>
        </w:rPr>
        <w:t>All three suppliers will need to attend Intervention Delivery and Evaluation Analysis (IDEA) meetings to explore each product and agree the division of roles and responsibilities to be included in each Plan.</w:t>
      </w:r>
    </w:p>
    <w:p w14:paraId="74FCC1CD" w14:textId="77777777" w:rsidR="004C7180" w:rsidRPr="00150EDC" w:rsidRDefault="00CF0754">
      <w:pPr>
        <w:pStyle w:val="ListParagraph"/>
        <w:numPr>
          <w:ilvl w:val="1"/>
          <w:numId w:val="22"/>
        </w:numPr>
        <w:tabs>
          <w:tab w:val="left" w:pos="2089"/>
          <w:tab w:val="left" w:pos="2091"/>
        </w:tabs>
        <w:ind w:right="1432"/>
        <w:rPr>
          <w:sz w:val="24"/>
        </w:rPr>
      </w:pPr>
      <w:r w:rsidRPr="00150EDC">
        <w:rPr>
          <w:sz w:val="24"/>
        </w:rPr>
        <w:t>Ensuring,</w:t>
      </w:r>
      <w:r w:rsidRPr="00150EDC">
        <w:rPr>
          <w:spacing w:val="40"/>
          <w:sz w:val="24"/>
        </w:rPr>
        <w:t xml:space="preserve"> </w:t>
      </w:r>
      <w:r w:rsidRPr="00150EDC">
        <w:rPr>
          <w:sz w:val="24"/>
        </w:rPr>
        <w:t>either</w:t>
      </w:r>
      <w:r w:rsidRPr="00150EDC">
        <w:rPr>
          <w:spacing w:val="40"/>
          <w:sz w:val="24"/>
        </w:rPr>
        <w:t xml:space="preserve"> </w:t>
      </w:r>
      <w:r w:rsidRPr="00150EDC">
        <w:rPr>
          <w:sz w:val="24"/>
        </w:rPr>
        <w:t>through</w:t>
      </w:r>
      <w:r w:rsidRPr="00150EDC">
        <w:rPr>
          <w:spacing w:val="40"/>
          <w:sz w:val="24"/>
        </w:rPr>
        <w:t xml:space="preserve"> </w:t>
      </w:r>
      <w:r w:rsidRPr="00150EDC">
        <w:rPr>
          <w:sz w:val="24"/>
        </w:rPr>
        <w:t>direct</w:t>
      </w:r>
      <w:r w:rsidRPr="00150EDC">
        <w:rPr>
          <w:spacing w:val="40"/>
          <w:sz w:val="24"/>
        </w:rPr>
        <w:t xml:space="preserve"> </w:t>
      </w:r>
      <w:r w:rsidRPr="00150EDC">
        <w:rPr>
          <w:sz w:val="24"/>
        </w:rPr>
        <w:t>delivery</w:t>
      </w:r>
      <w:r w:rsidRPr="00150EDC">
        <w:rPr>
          <w:spacing w:val="40"/>
          <w:sz w:val="24"/>
        </w:rPr>
        <w:t xml:space="preserve"> </w:t>
      </w:r>
      <w:r w:rsidRPr="00150EDC">
        <w:rPr>
          <w:sz w:val="24"/>
        </w:rPr>
        <w:t>or</w:t>
      </w:r>
      <w:r w:rsidRPr="00150EDC">
        <w:rPr>
          <w:spacing w:val="40"/>
          <w:sz w:val="24"/>
        </w:rPr>
        <w:t xml:space="preserve"> </w:t>
      </w:r>
      <w:r w:rsidRPr="00150EDC">
        <w:rPr>
          <w:sz w:val="24"/>
        </w:rPr>
        <w:t>by</w:t>
      </w:r>
      <w:r w:rsidRPr="00150EDC">
        <w:rPr>
          <w:spacing w:val="40"/>
          <w:sz w:val="24"/>
        </w:rPr>
        <w:t xml:space="preserve"> </w:t>
      </w:r>
      <w:r w:rsidRPr="00150EDC">
        <w:rPr>
          <w:sz w:val="24"/>
        </w:rPr>
        <w:t>overseeing</w:t>
      </w:r>
      <w:r w:rsidRPr="00150EDC">
        <w:rPr>
          <w:spacing w:val="40"/>
          <w:sz w:val="24"/>
        </w:rPr>
        <w:t xml:space="preserve"> </w:t>
      </w:r>
      <w:r w:rsidRPr="00150EDC">
        <w:rPr>
          <w:sz w:val="24"/>
        </w:rPr>
        <w:t>local</w:t>
      </w:r>
      <w:r w:rsidRPr="00150EDC">
        <w:rPr>
          <w:spacing w:val="40"/>
          <w:sz w:val="24"/>
        </w:rPr>
        <w:t xml:space="preserve"> </w:t>
      </w:r>
      <w:r w:rsidRPr="00150EDC">
        <w:rPr>
          <w:sz w:val="24"/>
        </w:rPr>
        <w:t>areas</w:t>
      </w:r>
      <w:r w:rsidRPr="00150EDC">
        <w:rPr>
          <w:spacing w:val="40"/>
          <w:sz w:val="24"/>
        </w:rPr>
        <w:t xml:space="preserve"> </w:t>
      </w:r>
      <w:r w:rsidRPr="00150EDC">
        <w:rPr>
          <w:sz w:val="24"/>
        </w:rPr>
        <w:t>and</w:t>
      </w:r>
      <w:r w:rsidRPr="00150EDC">
        <w:rPr>
          <w:spacing w:val="40"/>
          <w:sz w:val="24"/>
        </w:rPr>
        <w:t xml:space="preserve"> </w:t>
      </w:r>
      <w:r w:rsidRPr="00150EDC">
        <w:rPr>
          <w:sz w:val="24"/>
        </w:rPr>
        <w:t>providers if/when they assume the intervention delivery role, that:</w:t>
      </w:r>
    </w:p>
    <w:p w14:paraId="1FA3DC45" w14:textId="77777777" w:rsidR="004C7180" w:rsidRPr="00150EDC" w:rsidRDefault="004C7180">
      <w:pPr>
        <w:pStyle w:val="BodyText"/>
        <w:spacing w:before="3"/>
        <w:rPr>
          <w:sz w:val="28"/>
        </w:rPr>
      </w:pPr>
    </w:p>
    <w:p w14:paraId="6C461436" w14:textId="77777777" w:rsidR="004C7180" w:rsidRPr="00150EDC" w:rsidRDefault="00CF0754">
      <w:pPr>
        <w:pStyle w:val="ListParagraph"/>
        <w:numPr>
          <w:ilvl w:val="2"/>
          <w:numId w:val="22"/>
        </w:numPr>
        <w:tabs>
          <w:tab w:val="left" w:pos="2811"/>
        </w:tabs>
        <w:spacing w:line="230" w:lineRule="auto"/>
        <w:ind w:right="1435"/>
        <w:jc w:val="both"/>
        <w:rPr>
          <w:sz w:val="24"/>
        </w:rPr>
      </w:pPr>
      <w:r w:rsidRPr="00150EDC">
        <w:rPr>
          <w:sz w:val="24"/>
        </w:rPr>
        <w:t>each provider is fully briefed on the trial protocol, the need to adhere to it</w:t>
      </w:r>
      <w:r w:rsidRPr="00150EDC">
        <w:rPr>
          <w:spacing w:val="-9"/>
          <w:sz w:val="24"/>
        </w:rPr>
        <w:t xml:space="preserve"> </w:t>
      </w:r>
      <w:r w:rsidRPr="00150EDC">
        <w:rPr>
          <w:sz w:val="24"/>
        </w:rPr>
        <w:t>and</w:t>
      </w:r>
      <w:r w:rsidRPr="00150EDC">
        <w:rPr>
          <w:spacing w:val="-8"/>
          <w:sz w:val="24"/>
        </w:rPr>
        <w:t xml:space="preserve"> </w:t>
      </w:r>
      <w:r w:rsidRPr="00150EDC">
        <w:rPr>
          <w:sz w:val="24"/>
        </w:rPr>
        <w:t>what</w:t>
      </w:r>
      <w:r w:rsidRPr="00150EDC">
        <w:rPr>
          <w:spacing w:val="-9"/>
          <w:sz w:val="24"/>
        </w:rPr>
        <w:t xml:space="preserve"> </w:t>
      </w:r>
      <w:r w:rsidRPr="00150EDC">
        <w:rPr>
          <w:sz w:val="24"/>
        </w:rPr>
        <w:t>to</w:t>
      </w:r>
      <w:r w:rsidRPr="00150EDC">
        <w:rPr>
          <w:spacing w:val="-11"/>
          <w:sz w:val="24"/>
        </w:rPr>
        <w:t xml:space="preserve"> </w:t>
      </w:r>
      <w:r w:rsidRPr="00150EDC">
        <w:rPr>
          <w:sz w:val="24"/>
        </w:rPr>
        <w:t>do</w:t>
      </w:r>
      <w:r w:rsidRPr="00150EDC">
        <w:rPr>
          <w:spacing w:val="-8"/>
          <w:sz w:val="24"/>
        </w:rPr>
        <w:t xml:space="preserve"> </w:t>
      </w:r>
      <w:r w:rsidRPr="00150EDC">
        <w:rPr>
          <w:sz w:val="24"/>
        </w:rPr>
        <w:t>if</w:t>
      </w:r>
      <w:r w:rsidRPr="00150EDC">
        <w:rPr>
          <w:spacing w:val="-11"/>
          <w:sz w:val="24"/>
        </w:rPr>
        <w:t xml:space="preserve"> </w:t>
      </w:r>
      <w:r w:rsidRPr="00150EDC">
        <w:rPr>
          <w:sz w:val="24"/>
        </w:rPr>
        <w:t>this</w:t>
      </w:r>
      <w:r w:rsidRPr="00150EDC">
        <w:rPr>
          <w:spacing w:val="-12"/>
          <w:sz w:val="24"/>
        </w:rPr>
        <w:t xml:space="preserve"> </w:t>
      </w:r>
      <w:r w:rsidRPr="00150EDC">
        <w:rPr>
          <w:sz w:val="24"/>
        </w:rPr>
        <w:t>doesn’t</w:t>
      </w:r>
      <w:r w:rsidRPr="00150EDC">
        <w:rPr>
          <w:spacing w:val="-9"/>
          <w:sz w:val="24"/>
        </w:rPr>
        <w:t xml:space="preserve"> </w:t>
      </w:r>
      <w:r w:rsidRPr="00150EDC">
        <w:rPr>
          <w:sz w:val="24"/>
        </w:rPr>
        <w:t>happen</w:t>
      </w:r>
      <w:r w:rsidRPr="00150EDC">
        <w:rPr>
          <w:spacing w:val="-11"/>
          <w:sz w:val="24"/>
        </w:rPr>
        <w:t xml:space="preserve"> </w:t>
      </w:r>
      <w:r w:rsidRPr="00150EDC">
        <w:rPr>
          <w:sz w:val="24"/>
        </w:rPr>
        <w:t>or</w:t>
      </w:r>
      <w:r w:rsidRPr="00150EDC">
        <w:rPr>
          <w:spacing w:val="-12"/>
          <w:sz w:val="24"/>
        </w:rPr>
        <w:t xml:space="preserve"> </w:t>
      </w:r>
      <w:r w:rsidRPr="00150EDC">
        <w:rPr>
          <w:sz w:val="24"/>
        </w:rPr>
        <w:t>an</w:t>
      </w:r>
      <w:r w:rsidRPr="00150EDC">
        <w:rPr>
          <w:spacing w:val="-11"/>
          <w:sz w:val="24"/>
        </w:rPr>
        <w:t xml:space="preserve"> </w:t>
      </w:r>
      <w:r w:rsidRPr="00150EDC">
        <w:rPr>
          <w:sz w:val="24"/>
        </w:rPr>
        <w:t>alternative</w:t>
      </w:r>
      <w:r w:rsidRPr="00150EDC">
        <w:rPr>
          <w:spacing w:val="-11"/>
          <w:sz w:val="24"/>
        </w:rPr>
        <w:t xml:space="preserve"> </w:t>
      </w:r>
      <w:r w:rsidRPr="00150EDC">
        <w:rPr>
          <w:sz w:val="24"/>
        </w:rPr>
        <w:t>problem</w:t>
      </w:r>
      <w:r w:rsidRPr="00150EDC">
        <w:rPr>
          <w:spacing w:val="-10"/>
          <w:sz w:val="24"/>
        </w:rPr>
        <w:t xml:space="preserve"> </w:t>
      </w:r>
      <w:r w:rsidRPr="00150EDC">
        <w:rPr>
          <w:sz w:val="24"/>
        </w:rPr>
        <w:t>or</w:t>
      </w:r>
      <w:r w:rsidRPr="00150EDC">
        <w:rPr>
          <w:spacing w:val="-10"/>
          <w:sz w:val="24"/>
        </w:rPr>
        <w:t xml:space="preserve"> </w:t>
      </w:r>
      <w:r w:rsidRPr="00150EDC">
        <w:rPr>
          <w:sz w:val="24"/>
        </w:rPr>
        <w:t xml:space="preserve">issue </w:t>
      </w:r>
      <w:r w:rsidRPr="00150EDC">
        <w:rPr>
          <w:spacing w:val="-2"/>
          <w:sz w:val="24"/>
        </w:rPr>
        <w:t>occurs.</w:t>
      </w:r>
    </w:p>
    <w:p w14:paraId="578250F4" w14:textId="77777777" w:rsidR="004C7180" w:rsidRPr="00150EDC" w:rsidRDefault="00CF0754">
      <w:pPr>
        <w:pStyle w:val="ListParagraph"/>
        <w:numPr>
          <w:ilvl w:val="2"/>
          <w:numId w:val="22"/>
        </w:numPr>
        <w:tabs>
          <w:tab w:val="left" w:pos="2811"/>
        </w:tabs>
        <w:spacing w:before="12" w:line="230" w:lineRule="auto"/>
        <w:ind w:right="1434"/>
        <w:jc w:val="both"/>
        <w:rPr>
          <w:sz w:val="24"/>
        </w:rPr>
      </w:pPr>
      <w:r w:rsidRPr="00150EDC">
        <w:rPr>
          <w:sz w:val="24"/>
        </w:rPr>
        <w:t xml:space="preserve">providers are confident in the materials they are using, including arranging training, if necessary, on the products from the product </w:t>
      </w:r>
      <w:r w:rsidRPr="00150EDC">
        <w:rPr>
          <w:spacing w:val="-2"/>
          <w:sz w:val="24"/>
        </w:rPr>
        <w:t>developer</w:t>
      </w:r>
    </w:p>
    <w:p w14:paraId="3D688BDD" w14:textId="77777777" w:rsidR="004C7180" w:rsidRPr="00150EDC" w:rsidRDefault="00CF0754">
      <w:pPr>
        <w:pStyle w:val="ListParagraph"/>
        <w:numPr>
          <w:ilvl w:val="2"/>
          <w:numId w:val="22"/>
        </w:numPr>
        <w:tabs>
          <w:tab w:val="left" w:pos="2811"/>
        </w:tabs>
        <w:spacing w:before="12" w:line="230" w:lineRule="auto"/>
        <w:ind w:right="1435"/>
        <w:jc w:val="both"/>
        <w:rPr>
          <w:sz w:val="24"/>
        </w:rPr>
      </w:pPr>
      <w:r w:rsidRPr="00150EDC">
        <w:rPr>
          <w:sz w:val="24"/>
        </w:rPr>
        <w:t>providers complete any necessary setup for the trial interventions, including, where relevant, booking venues, recruiting training staff, training teachers/trainers, and advertising courses</w:t>
      </w:r>
    </w:p>
    <w:p w14:paraId="6ECA7459" w14:textId="77777777" w:rsidR="004C7180" w:rsidRPr="00150EDC" w:rsidRDefault="00CF0754">
      <w:pPr>
        <w:pStyle w:val="ListParagraph"/>
        <w:numPr>
          <w:ilvl w:val="2"/>
          <w:numId w:val="22"/>
        </w:numPr>
        <w:tabs>
          <w:tab w:val="left" w:pos="2811"/>
        </w:tabs>
        <w:spacing w:before="12" w:line="230" w:lineRule="auto"/>
        <w:ind w:right="1435"/>
        <w:jc w:val="both"/>
        <w:rPr>
          <w:sz w:val="24"/>
        </w:rPr>
      </w:pPr>
      <w:r w:rsidRPr="00150EDC">
        <w:rPr>
          <w:sz w:val="24"/>
        </w:rPr>
        <w:t>participant recruitment eligibility criteria are monitored, and providers make best efforts to recruit the number of participants specified in the trial protocol</w:t>
      </w:r>
    </w:p>
    <w:p w14:paraId="67DE7D14" w14:textId="77777777" w:rsidR="004C7180" w:rsidRPr="00150EDC" w:rsidRDefault="00CF0754">
      <w:pPr>
        <w:pStyle w:val="ListParagraph"/>
        <w:numPr>
          <w:ilvl w:val="2"/>
          <w:numId w:val="22"/>
        </w:numPr>
        <w:tabs>
          <w:tab w:val="left" w:pos="2811"/>
        </w:tabs>
        <w:spacing w:before="8" w:line="235" w:lineRule="auto"/>
        <w:ind w:right="1434"/>
        <w:jc w:val="both"/>
        <w:rPr>
          <w:sz w:val="24"/>
        </w:rPr>
      </w:pPr>
      <w:r w:rsidRPr="00150EDC">
        <w:rPr>
          <w:sz w:val="24"/>
        </w:rPr>
        <w:t>the</w:t>
      </w:r>
      <w:r w:rsidRPr="00150EDC">
        <w:rPr>
          <w:spacing w:val="-8"/>
          <w:sz w:val="24"/>
        </w:rPr>
        <w:t xml:space="preserve"> </w:t>
      </w:r>
      <w:r w:rsidRPr="00150EDC">
        <w:rPr>
          <w:sz w:val="24"/>
        </w:rPr>
        <w:t>costs</w:t>
      </w:r>
      <w:r w:rsidRPr="00150EDC">
        <w:rPr>
          <w:spacing w:val="-9"/>
          <w:sz w:val="24"/>
        </w:rPr>
        <w:t xml:space="preserve"> </w:t>
      </w:r>
      <w:r w:rsidRPr="00150EDC">
        <w:rPr>
          <w:sz w:val="24"/>
        </w:rPr>
        <w:t>for</w:t>
      </w:r>
      <w:r w:rsidRPr="00150EDC">
        <w:rPr>
          <w:spacing w:val="-10"/>
          <w:sz w:val="24"/>
        </w:rPr>
        <w:t xml:space="preserve"> </w:t>
      </w:r>
      <w:r w:rsidRPr="00150EDC">
        <w:rPr>
          <w:sz w:val="24"/>
        </w:rPr>
        <w:t>delivering</w:t>
      </w:r>
      <w:r w:rsidRPr="00150EDC">
        <w:rPr>
          <w:spacing w:val="-11"/>
          <w:sz w:val="24"/>
        </w:rPr>
        <w:t xml:space="preserve"> </w:t>
      </w:r>
      <w:r w:rsidRPr="00150EDC">
        <w:rPr>
          <w:sz w:val="24"/>
        </w:rPr>
        <w:t>the</w:t>
      </w:r>
      <w:r w:rsidRPr="00150EDC">
        <w:rPr>
          <w:spacing w:val="-8"/>
          <w:sz w:val="24"/>
        </w:rPr>
        <w:t xml:space="preserve"> </w:t>
      </w:r>
      <w:r w:rsidRPr="00150EDC">
        <w:rPr>
          <w:sz w:val="24"/>
        </w:rPr>
        <w:t>trial</w:t>
      </w:r>
      <w:r w:rsidRPr="00150EDC">
        <w:rPr>
          <w:spacing w:val="-10"/>
          <w:sz w:val="24"/>
        </w:rPr>
        <w:t xml:space="preserve"> </w:t>
      </w:r>
      <w:r w:rsidRPr="00150EDC">
        <w:rPr>
          <w:sz w:val="24"/>
        </w:rPr>
        <w:t>fall</w:t>
      </w:r>
      <w:r w:rsidRPr="00150EDC">
        <w:rPr>
          <w:spacing w:val="-10"/>
          <w:sz w:val="24"/>
        </w:rPr>
        <w:t xml:space="preserve"> </w:t>
      </w:r>
      <w:r w:rsidRPr="00150EDC">
        <w:rPr>
          <w:sz w:val="24"/>
        </w:rPr>
        <w:t>within</w:t>
      </w:r>
      <w:r w:rsidRPr="00150EDC">
        <w:rPr>
          <w:spacing w:val="-8"/>
          <w:sz w:val="24"/>
        </w:rPr>
        <w:t xml:space="preserve"> </w:t>
      </w:r>
      <w:r w:rsidRPr="00150EDC">
        <w:rPr>
          <w:sz w:val="24"/>
        </w:rPr>
        <w:t>the</w:t>
      </w:r>
      <w:r w:rsidRPr="00150EDC">
        <w:rPr>
          <w:spacing w:val="-8"/>
          <w:sz w:val="24"/>
        </w:rPr>
        <w:t xml:space="preserve"> </w:t>
      </w:r>
      <w:r w:rsidRPr="00150EDC">
        <w:rPr>
          <w:sz w:val="24"/>
        </w:rPr>
        <w:t>limit</w:t>
      </w:r>
      <w:r w:rsidRPr="00150EDC">
        <w:rPr>
          <w:spacing w:val="-9"/>
          <w:sz w:val="24"/>
        </w:rPr>
        <w:t xml:space="preserve"> </w:t>
      </w:r>
      <w:r w:rsidRPr="00150EDC">
        <w:rPr>
          <w:sz w:val="24"/>
        </w:rPr>
        <w:t>set</w:t>
      </w:r>
      <w:r w:rsidRPr="00150EDC">
        <w:rPr>
          <w:spacing w:val="-9"/>
          <w:sz w:val="24"/>
        </w:rPr>
        <w:t xml:space="preserve"> </w:t>
      </w:r>
      <w:r w:rsidRPr="00150EDC">
        <w:rPr>
          <w:sz w:val="24"/>
        </w:rPr>
        <w:t>by</w:t>
      </w:r>
      <w:r w:rsidRPr="00150EDC">
        <w:rPr>
          <w:spacing w:val="-9"/>
          <w:sz w:val="24"/>
        </w:rPr>
        <w:t xml:space="preserve"> </w:t>
      </w:r>
      <w:r w:rsidRPr="00150EDC">
        <w:rPr>
          <w:sz w:val="24"/>
        </w:rPr>
        <w:t>the</w:t>
      </w:r>
      <w:r w:rsidRPr="00150EDC">
        <w:rPr>
          <w:spacing w:val="-8"/>
          <w:sz w:val="24"/>
        </w:rPr>
        <w:t xml:space="preserve"> </w:t>
      </w:r>
      <w:r w:rsidRPr="00150EDC">
        <w:rPr>
          <w:sz w:val="24"/>
        </w:rPr>
        <w:t>Department. Any proposed costs which exceed the upper funding limit for their type of</w:t>
      </w:r>
      <w:r w:rsidRPr="00150EDC">
        <w:rPr>
          <w:spacing w:val="-1"/>
          <w:sz w:val="24"/>
        </w:rPr>
        <w:t xml:space="preserve"> </w:t>
      </w:r>
      <w:r w:rsidRPr="00150EDC">
        <w:rPr>
          <w:sz w:val="24"/>
        </w:rPr>
        <w:t>intervention</w:t>
      </w:r>
      <w:r w:rsidRPr="00150EDC">
        <w:rPr>
          <w:spacing w:val="-1"/>
          <w:sz w:val="24"/>
        </w:rPr>
        <w:t xml:space="preserve"> </w:t>
      </w:r>
      <w:r w:rsidRPr="00150EDC">
        <w:rPr>
          <w:sz w:val="24"/>
        </w:rPr>
        <w:t>should</w:t>
      </w:r>
      <w:r w:rsidRPr="00150EDC">
        <w:rPr>
          <w:spacing w:val="-2"/>
          <w:sz w:val="24"/>
        </w:rPr>
        <w:t xml:space="preserve"> </w:t>
      </w:r>
      <w:r w:rsidRPr="00150EDC">
        <w:rPr>
          <w:sz w:val="24"/>
        </w:rPr>
        <w:t>be</w:t>
      </w:r>
      <w:r w:rsidRPr="00150EDC">
        <w:rPr>
          <w:spacing w:val="-1"/>
          <w:sz w:val="24"/>
        </w:rPr>
        <w:t xml:space="preserve"> </w:t>
      </w:r>
      <w:r w:rsidRPr="00150EDC">
        <w:rPr>
          <w:sz w:val="24"/>
        </w:rPr>
        <w:t>referred</w:t>
      </w:r>
      <w:r w:rsidRPr="00150EDC">
        <w:rPr>
          <w:spacing w:val="-1"/>
          <w:sz w:val="24"/>
        </w:rPr>
        <w:t xml:space="preserve"> </w:t>
      </w:r>
      <w:r w:rsidRPr="00150EDC">
        <w:rPr>
          <w:sz w:val="24"/>
        </w:rPr>
        <w:t>to</w:t>
      </w:r>
      <w:r w:rsidRPr="00150EDC">
        <w:rPr>
          <w:spacing w:val="-1"/>
          <w:sz w:val="24"/>
        </w:rPr>
        <w:t xml:space="preserve"> </w:t>
      </w:r>
      <w:r w:rsidRPr="00150EDC">
        <w:rPr>
          <w:sz w:val="24"/>
        </w:rPr>
        <w:t>the</w:t>
      </w:r>
      <w:r w:rsidRPr="00150EDC">
        <w:rPr>
          <w:spacing w:val="-1"/>
          <w:sz w:val="24"/>
        </w:rPr>
        <w:t xml:space="preserve"> </w:t>
      </w:r>
      <w:r w:rsidRPr="00150EDC">
        <w:rPr>
          <w:sz w:val="24"/>
        </w:rPr>
        <w:t>Department</w:t>
      </w:r>
      <w:r w:rsidRPr="00150EDC">
        <w:rPr>
          <w:spacing w:val="-1"/>
          <w:sz w:val="24"/>
        </w:rPr>
        <w:t xml:space="preserve"> </w:t>
      </w:r>
      <w:r w:rsidRPr="00150EDC">
        <w:rPr>
          <w:sz w:val="24"/>
        </w:rPr>
        <w:t>for</w:t>
      </w:r>
      <w:r w:rsidRPr="00150EDC">
        <w:rPr>
          <w:spacing w:val="-2"/>
          <w:sz w:val="24"/>
        </w:rPr>
        <w:t xml:space="preserve"> </w:t>
      </w:r>
      <w:r w:rsidRPr="00150EDC">
        <w:rPr>
          <w:sz w:val="24"/>
        </w:rPr>
        <w:t>approval</w:t>
      </w:r>
      <w:r w:rsidRPr="00150EDC">
        <w:rPr>
          <w:spacing w:val="-3"/>
          <w:sz w:val="24"/>
        </w:rPr>
        <w:t xml:space="preserve"> </w:t>
      </w:r>
      <w:r w:rsidRPr="00150EDC">
        <w:rPr>
          <w:sz w:val="24"/>
        </w:rPr>
        <w:t>before any</w:t>
      </w:r>
      <w:r w:rsidRPr="00150EDC">
        <w:rPr>
          <w:spacing w:val="-11"/>
          <w:sz w:val="24"/>
        </w:rPr>
        <w:t xml:space="preserve"> </w:t>
      </w:r>
      <w:r w:rsidRPr="00150EDC">
        <w:rPr>
          <w:sz w:val="24"/>
        </w:rPr>
        <w:t>activity</w:t>
      </w:r>
      <w:r w:rsidRPr="00150EDC">
        <w:rPr>
          <w:spacing w:val="-9"/>
          <w:sz w:val="24"/>
        </w:rPr>
        <w:t xml:space="preserve"> </w:t>
      </w:r>
      <w:r w:rsidRPr="00150EDC">
        <w:rPr>
          <w:sz w:val="24"/>
        </w:rPr>
        <w:t>starts,</w:t>
      </w:r>
      <w:r w:rsidRPr="00150EDC">
        <w:rPr>
          <w:spacing w:val="-8"/>
          <w:sz w:val="24"/>
        </w:rPr>
        <w:t xml:space="preserve"> </w:t>
      </w:r>
      <w:r w:rsidRPr="00150EDC">
        <w:rPr>
          <w:sz w:val="24"/>
        </w:rPr>
        <w:t>with</w:t>
      </w:r>
      <w:r w:rsidRPr="00150EDC">
        <w:rPr>
          <w:spacing w:val="-13"/>
          <w:sz w:val="24"/>
        </w:rPr>
        <w:t xml:space="preserve"> </w:t>
      </w:r>
      <w:r w:rsidRPr="00150EDC">
        <w:rPr>
          <w:sz w:val="24"/>
        </w:rPr>
        <w:t>a</w:t>
      </w:r>
      <w:r w:rsidRPr="00150EDC">
        <w:rPr>
          <w:spacing w:val="-8"/>
          <w:sz w:val="24"/>
        </w:rPr>
        <w:t xml:space="preserve"> </w:t>
      </w:r>
      <w:r w:rsidRPr="00150EDC">
        <w:rPr>
          <w:sz w:val="24"/>
        </w:rPr>
        <w:t>narrative</w:t>
      </w:r>
      <w:r w:rsidRPr="00150EDC">
        <w:rPr>
          <w:spacing w:val="-8"/>
          <w:sz w:val="24"/>
        </w:rPr>
        <w:t xml:space="preserve"> </w:t>
      </w:r>
      <w:r w:rsidRPr="00150EDC">
        <w:rPr>
          <w:sz w:val="24"/>
        </w:rPr>
        <w:t>from</w:t>
      </w:r>
      <w:r w:rsidRPr="00150EDC">
        <w:rPr>
          <w:spacing w:val="-9"/>
          <w:sz w:val="24"/>
        </w:rPr>
        <w:t xml:space="preserve"> </w:t>
      </w:r>
      <w:r w:rsidRPr="00150EDC">
        <w:rPr>
          <w:sz w:val="24"/>
        </w:rPr>
        <w:t>the</w:t>
      </w:r>
      <w:r w:rsidRPr="00150EDC">
        <w:rPr>
          <w:spacing w:val="-8"/>
          <w:sz w:val="24"/>
        </w:rPr>
        <w:t xml:space="preserve"> </w:t>
      </w:r>
      <w:r w:rsidRPr="00150EDC">
        <w:rPr>
          <w:b/>
          <w:sz w:val="24"/>
        </w:rPr>
        <w:t>delivery</w:t>
      </w:r>
      <w:r w:rsidRPr="00150EDC">
        <w:rPr>
          <w:b/>
          <w:spacing w:val="-8"/>
          <w:sz w:val="24"/>
        </w:rPr>
        <w:t xml:space="preserve"> </w:t>
      </w:r>
      <w:r w:rsidRPr="00150EDC">
        <w:rPr>
          <w:b/>
          <w:sz w:val="24"/>
        </w:rPr>
        <w:t>supplier</w:t>
      </w:r>
      <w:r w:rsidRPr="00150EDC">
        <w:rPr>
          <w:b/>
          <w:spacing w:val="-11"/>
          <w:sz w:val="24"/>
        </w:rPr>
        <w:t xml:space="preserve"> </w:t>
      </w:r>
      <w:r w:rsidRPr="00150EDC">
        <w:rPr>
          <w:sz w:val="24"/>
        </w:rPr>
        <w:t>explaining why</w:t>
      </w:r>
      <w:r w:rsidRPr="00150EDC">
        <w:rPr>
          <w:spacing w:val="-10"/>
          <w:sz w:val="24"/>
        </w:rPr>
        <w:t xml:space="preserve"> </w:t>
      </w:r>
      <w:r w:rsidRPr="00150EDC">
        <w:rPr>
          <w:sz w:val="24"/>
        </w:rPr>
        <w:t>they</w:t>
      </w:r>
      <w:r w:rsidRPr="00150EDC">
        <w:rPr>
          <w:spacing w:val="-13"/>
          <w:sz w:val="24"/>
        </w:rPr>
        <w:t xml:space="preserve"> </w:t>
      </w:r>
      <w:r w:rsidRPr="00150EDC">
        <w:rPr>
          <w:sz w:val="24"/>
        </w:rPr>
        <w:t>exceed</w:t>
      </w:r>
      <w:r w:rsidRPr="00150EDC">
        <w:rPr>
          <w:spacing w:val="-9"/>
          <w:sz w:val="24"/>
        </w:rPr>
        <w:t xml:space="preserve"> </w:t>
      </w:r>
      <w:r w:rsidRPr="00150EDC">
        <w:rPr>
          <w:sz w:val="24"/>
        </w:rPr>
        <w:t>the</w:t>
      </w:r>
      <w:r w:rsidRPr="00150EDC">
        <w:rPr>
          <w:spacing w:val="-12"/>
          <w:sz w:val="24"/>
        </w:rPr>
        <w:t xml:space="preserve"> </w:t>
      </w:r>
      <w:r w:rsidRPr="00150EDC">
        <w:rPr>
          <w:sz w:val="24"/>
        </w:rPr>
        <w:t>limit</w:t>
      </w:r>
      <w:r w:rsidRPr="00150EDC">
        <w:rPr>
          <w:spacing w:val="-12"/>
          <w:sz w:val="24"/>
        </w:rPr>
        <w:t xml:space="preserve"> </w:t>
      </w:r>
      <w:r w:rsidRPr="00150EDC">
        <w:rPr>
          <w:sz w:val="24"/>
        </w:rPr>
        <w:t>and</w:t>
      </w:r>
      <w:r w:rsidRPr="00150EDC">
        <w:rPr>
          <w:spacing w:val="-12"/>
          <w:sz w:val="24"/>
        </w:rPr>
        <w:t xml:space="preserve"> </w:t>
      </w:r>
      <w:r w:rsidRPr="00150EDC">
        <w:rPr>
          <w:sz w:val="24"/>
        </w:rPr>
        <w:t>advising</w:t>
      </w:r>
      <w:r w:rsidRPr="00150EDC">
        <w:rPr>
          <w:spacing w:val="-12"/>
          <w:sz w:val="24"/>
        </w:rPr>
        <w:t xml:space="preserve"> </w:t>
      </w:r>
      <w:r w:rsidRPr="00150EDC">
        <w:rPr>
          <w:sz w:val="24"/>
        </w:rPr>
        <w:t>on</w:t>
      </w:r>
      <w:r w:rsidRPr="00150EDC">
        <w:rPr>
          <w:spacing w:val="-12"/>
          <w:sz w:val="24"/>
        </w:rPr>
        <w:t xml:space="preserve"> </w:t>
      </w:r>
      <w:r w:rsidRPr="00150EDC">
        <w:rPr>
          <w:sz w:val="24"/>
        </w:rPr>
        <w:t>whether</w:t>
      </w:r>
      <w:r w:rsidRPr="00150EDC">
        <w:rPr>
          <w:spacing w:val="-13"/>
          <w:sz w:val="24"/>
        </w:rPr>
        <w:t xml:space="preserve"> </w:t>
      </w:r>
      <w:r w:rsidRPr="00150EDC">
        <w:rPr>
          <w:sz w:val="24"/>
        </w:rPr>
        <w:t>they</w:t>
      </w:r>
      <w:r w:rsidRPr="00150EDC">
        <w:rPr>
          <w:spacing w:val="-10"/>
          <w:sz w:val="24"/>
        </w:rPr>
        <w:t xml:space="preserve"> </w:t>
      </w:r>
      <w:r w:rsidRPr="00150EDC">
        <w:rPr>
          <w:sz w:val="24"/>
        </w:rPr>
        <w:t>provide</w:t>
      </w:r>
      <w:r w:rsidRPr="00150EDC">
        <w:rPr>
          <w:spacing w:val="-12"/>
          <w:sz w:val="24"/>
        </w:rPr>
        <w:t xml:space="preserve"> </w:t>
      </w:r>
      <w:r w:rsidRPr="00150EDC">
        <w:rPr>
          <w:sz w:val="24"/>
        </w:rPr>
        <w:t>value</w:t>
      </w:r>
      <w:r w:rsidRPr="00150EDC">
        <w:rPr>
          <w:spacing w:val="-9"/>
          <w:sz w:val="24"/>
        </w:rPr>
        <w:t xml:space="preserve"> </w:t>
      </w:r>
      <w:r w:rsidRPr="00150EDC">
        <w:rPr>
          <w:sz w:val="24"/>
        </w:rPr>
        <w:t>for</w:t>
      </w:r>
    </w:p>
    <w:p w14:paraId="5D71671E" w14:textId="77777777" w:rsidR="004C7180" w:rsidRPr="00150EDC" w:rsidRDefault="004C7180">
      <w:pPr>
        <w:spacing w:line="235" w:lineRule="auto"/>
        <w:jc w:val="both"/>
        <w:rPr>
          <w:sz w:val="24"/>
        </w:rPr>
        <w:sectPr w:rsidR="004C7180" w:rsidRPr="00150EDC">
          <w:pgSz w:w="11910" w:h="16840"/>
          <w:pgMar w:top="1220" w:right="0" w:bottom="660" w:left="40" w:header="149" w:footer="465" w:gutter="0"/>
          <w:cols w:space="720"/>
        </w:sectPr>
      </w:pPr>
    </w:p>
    <w:p w14:paraId="628DD797" w14:textId="77777777" w:rsidR="004C7180" w:rsidRPr="00150EDC" w:rsidRDefault="004C7180">
      <w:pPr>
        <w:pStyle w:val="BodyText"/>
        <w:spacing w:before="1"/>
        <w:rPr>
          <w:sz w:val="10"/>
        </w:rPr>
      </w:pPr>
    </w:p>
    <w:p w14:paraId="7694B90F" w14:textId="77777777" w:rsidR="004C7180" w:rsidRPr="00150EDC" w:rsidRDefault="00CF0754">
      <w:pPr>
        <w:pStyle w:val="BodyText"/>
        <w:spacing w:before="92"/>
        <w:ind w:left="2811"/>
      </w:pPr>
      <w:r w:rsidRPr="00150EDC">
        <w:rPr>
          <w:spacing w:val="-2"/>
        </w:rPr>
        <w:t>money.</w:t>
      </w:r>
    </w:p>
    <w:p w14:paraId="428C624B" w14:textId="77777777" w:rsidR="004C7180" w:rsidRPr="00150EDC" w:rsidRDefault="00CF0754">
      <w:pPr>
        <w:pStyle w:val="ListParagraph"/>
        <w:numPr>
          <w:ilvl w:val="2"/>
          <w:numId w:val="22"/>
        </w:numPr>
        <w:tabs>
          <w:tab w:val="left" w:pos="2811"/>
        </w:tabs>
        <w:spacing w:before="4" w:line="235" w:lineRule="auto"/>
        <w:ind w:right="1436"/>
        <w:jc w:val="both"/>
        <w:rPr>
          <w:sz w:val="24"/>
        </w:rPr>
      </w:pPr>
      <w:r w:rsidRPr="00150EDC">
        <w:rPr>
          <w:sz w:val="24"/>
        </w:rPr>
        <w:t>appropriate</w:t>
      </w:r>
      <w:r w:rsidRPr="00150EDC">
        <w:rPr>
          <w:spacing w:val="-10"/>
          <w:sz w:val="24"/>
        </w:rPr>
        <w:t xml:space="preserve"> </w:t>
      </w:r>
      <w:r w:rsidRPr="00150EDC">
        <w:rPr>
          <w:sz w:val="24"/>
        </w:rPr>
        <w:t>agreements</w:t>
      </w:r>
      <w:r w:rsidRPr="00150EDC">
        <w:rPr>
          <w:spacing w:val="-11"/>
          <w:sz w:val="24"/>
        </w:rPr>
        <w:t xml:space="preserve"> </w:t>
      </w:r>
      <w:r w:rsidRPr="00150EDC">
        <w:rPr>
          <w:sz w:val="24"/>
        </w:rPr>
        <w:t>are</w:t>
      </w:r>
      <w:r w:rsidRPr="00150EDC">
        <w:rPr>
          <w:spacing w:val="-10"/>
          <w:sz w:val="24"/>
        </w:rPr>
        <w:t xml:space="preserve"> </w:t>
      </w:r>
      <w:r w:rsidRPr="00150EDC">
        <w:rPr>
          <w:sz w:val="24"/>
        </w:rPr>
        <w:t>in</w:t>
      </w:r>
      <w:r w:rsidRPr="00150EDC">
        <w:rPr>
          <w:spacing w:val="-10"/>
          <w:sz w:val="24"/>
        </w:rPr>
        <w:t xml:space="preserve"> </w:t>
      </w:r>
      <w:r w:rsidRPr="00150EDC">
        <w:rPr>
          <w:sz w:val="24"/>
        </w:rPr>
        <w:t>place</w:t>
      </w:r>
      <w:r w:rsidRPr="00150EDC">
        <w:rPr>
          <w:spacing w:val="-10"/>
          <w:sz w:val="24"/>
        </w:rPr>
        <w:t xml:space="preserve"> </w:t>
      </w:r>
      <w:r w:rsidRPr="00150EDC">
        <w:rPr>
          <w:sz w:val="24"/>
        </w:rPr>
        <w:t>between</w:t>
      </w:r>
      <w:r w:rsidRPr="00150EDC">
        <w:rPr>
          <w:spacing w:val="-10"/>
          <w:sz w:val="24"/>
        </w:rPr>
        <w:t xml:space="preserve"> </w:t>
      </w:r>
      <w:r w:rsidRPr="00150EDC">
        <w:rPr>
          <w:sz w:val="24"/>
        </w:rPr>
        <w:t>the</w:t>
      </w:r>
      <w:r w:rsidRPr="00150EDC">
        <w:rPr>
          <w:spacing w:val="-10"/>
          <w:sz w:val="24"/>
        </w:rPr>
        <w:t xml:space="preserve"> </w:t>
      </w:r>
      <w:r w:rsidRPr="00150EDC">
        <w:rPr>
          <w:b/>
          <w:sz w:val="24"/>
        </w:rPr>
        <w:t>delivery</w:t>
      </w:r>
      <w:r w:rsidRPr="00150EDC">
        <w:rPr>
          <w:b/>
          <w:spacing w:val="-10"/>
          <w:sz w:val="24"/>
        </w:rPr>
        <w:t xml:space="preserve"> </w:t>
      </w:r>
      <w:r w:rsidRPr="00150EDC">
        <w:rPr>
          <w:b/>
          <w:sz w:val="24"/>
        </w:rPr>
        <w:t>supplier</w:t>
      </w:r>
      <w:r w:rsidRPr="00150EDC">
        <w:rPr>
          <w:b/>
          <w:spacing w:val="-14"/>
          <w:sz w:val="24"/>
        </w:rPr>
        <w:t xml:space="preserve"> </w:t>
      </w:r>
      <w:r w:rsidRPr="00150EDC">
        <w:rPr>
          <w:sz w:val="24"/>
        </w:rPr>
        <w:t>and each provider, covering (at a minimum) roles and responsibilities, a timeline of activity, deliverables, costs and agreement on what to do in the case of underperformance against the planned activity.</w:t>
      </w:r>
    </w:p>
    <w:p w14:paraId="1EA3BC2D" w14:textId="77777777" w:rsidR="004C7180" w:rsidRPr="00150EDC" w:rsidRDefault="004C7180">
      <w:pPr>
        <w:pStyle w:val="BodyText"/>
        <w:rPr>
          <w:sz w:val="26"/>
        </w:rPr>
      </w:pPr>
    </w:p>
    <w:p w14:paraId="0A76D787" w14:textId="77777777" w:rsidR="004C7180" w:rsidRPr="00150EDC" w:rsidRDefault="004C7180">
      <w:pPr>
        <w:pStyle w:val="BodyText"/>
        <w:spacing w:before="2"/>
        <w:rPr>
          <w:sz w:val="22"/>
        </w:rPr>
      </w:pPr>
    </w:p>
    <w:p w14:paraId="0C370CF8" w14:textId="77777777" w:rsidR="004C7180" w:rsidRPr="00150EDC" w:rsidRDefault="00CF0754">
      <w:pPr>
        <w:pStyle w:val="Heading4"/>
        <w:numPr>
          <w:ilvl w:val="1"/>
          <w:numId w:val="30"/>
        </w:numPr>
        <w:tabs>
          <w:tab w:val="left" w:pos="1728"/>
        </w:tabs>
        <w:ind w:left="1728" w:hanging="360"/>
        <w:jc w:val="both"/>
      </w:pPr>
      <w:bookmarkStart w:id="96" w:name="5.3_Intervention_Delivery"/>
      <w:bookmarkStart w:id="97" w:name="_bookmark18"/>
      <w:bookmarkEnd w:id="96"/>
      <w:bookmarkEnd w:id="97"/>
      <w:r w:rsidRPr="00150EDC">
        <w:t>Intervention</w:t>
      </w:r>
      <w:r w:rsidRPr="00150EDC">
        <w:rPr>
          <w:spacing w:val="-3"/>
        </w:rPr>
        <w:t xml:space="preserve"> </w:t>
      </w:r>
      <w:r w:rsidRPr="00150EDC">
        <w:rPr>
          <w:spacing w:val="-2"/>
        </w:rPr>
        <w:t>Delivery</w:t>
      </w:r>
    </w:p>
    <w:p w14:paraId="36F93F0A" w14:textId="77777777" w:rsidR="004C7180" w:rsidRPr="00150EDC" w:rsidRDefault="00CF0754">
      <w:pPr>
        <w:pStyle w:val="BodyText"/>
        <w:spacing w:line="276" w:lineRule="auto"/>
        <w:ind w:left="1400" w:right="1431"/>
        <w:jc w:val="both"/>
      </w:pPr>
      <w:r w:rsidRPr="00150EDC">
        <w:t xml:space="preserve">The </w:t>
      </w:r>
      <w:r w:rsidRPr="00150EDC">
        <w:rPr>
          <w:b/>
        </w:rPr>
        <w:t xml:space="preserve">delivery supplier </w:t>
      </w:r>
      <w:r w:rsidRPr="00150EDC">
        <w:t>will be responsible for ensuring intervention delivery across each trial adheres to the specification in the relevant trial protocol. Some trials will be larger and/or more complex than others, and</w:t>
      </w:r>
      <w:r w:rsidRPr="00150EDC">
        <w:rPr>
          <w:spacing w:val="-1"/>
        </w:rPr>
        <w:t xml:space="preserve"> </w:t>
      </w:r>
      <w:r w:rsidRPr="00150EDC">
        <w:t>thus require different levels of</w:t>
      </w:r>
      <w:r w:rsidRPr="00150EDC">
        <w:rPr>
          <w:spacing w:val="-1"/>
        </w:rPr>
        <w:t xml:space="preserve"> </w:t>
      </w:r>
      <w:r w:rsidRPr="00150EDC">
        <w:t xml:space="preserve">oversight from the </w:t>
      </w:r>
      <w:r w:rsidRPr="00150EDC">
        <w:rPr>
          <w:b/>
        </w:rPr>
        <w:t>delivery supplier</w:t>
      </w:r>
      <w:r w:rsidRPr="00150EDC">
        <w:t>.</w:t>
      </w:r>
      <w:r w:rsidRPr="00150EDC">
        <w:rPr>
          <w:spacing w:val="40"/>
        </w:rPr>
        <w:t xml:space="preserve"> </w:t>
      </w:r>
      <w:r w:rsidRPr="00150EDC">
        <w:t>Variables influencing this include:</w:t>
      </w:r>
    </w:p>
    <w:p w14:paraId="12F43E46" w14:textId="77777777" w:rsidR="004C7180" w:rsidRPr="00150EDC" w:rsidRDefault="00CF0754">
      <w:pPr>
        <w:pStyle w:val="ListParagraph"/>
        <w:numPr>
          <w:ilvl w:val="0"/>
          <w:numId w:val="21"/>
        </w:numPr>
        <w:tabs>
          <w:tab w:val="left" w:pos="2119"/>
        </w:tabs>
        <w:spacing w:before="120"/>
        <w:ind w:left="2119" w:hanging="359"/>
        <w:jc w:val="both"/>
        <w:rPr>
          <w:sz w:val="24"/>
        </w:rPr>
      </w:pPr>
      <w:r w:rsidRPr="00150EDC">
        <w:rPr>
          <w:sz w:val="24"/>
        </w:rPr>
        <w:t>Number</w:t>
      </w:r>
      <w:r w:rsidRPr="00150EDC">
        <w:rPr>
          <w:spacing w:val="-6"/>
          <w:sz w:val="24"/>
        </w:rPr>
        <w:t xml:space="preserve"> </w:t>
      </w:r>
      <w:r w:rsidRPr="00150EDC">
        <w:rPr>
          <w:sz w:val="24"/>
        </w:rPr>
        <w:t>of</w:t>
      </w:r>
      <w:r w:rsidRPr="00150EDC">
        <w:rPr>
          <w:spacing w:val="-5"/>
          <w:sz w:val="24"/>
        </w:rPr>
        <w:t xml:space="preserve"> </w:t>
      </w:r>
      <w:r w:rsidRPr="00150EDC">
        <w:rPr>
          <w:sz w:val="24"/>
        </w:rPr>
        <w:t>providers</w:t>
      </w:r>
      <w:r w:rsidRPr="00150EDC">
        <w:rPr>
          <w:spacing w:val="-4"/>
          <w:sz w:val="24"/>
        </w:rPr>
        <w:t xml:space="preserve"> </w:t>
      </w:r>
      <w:r w:rsidRPr="00150EDC">
        <w:rPr>
          <w:sz w:val="24"/>
        </w:rPr>
        <w:t>and</w:t>
      </w:r>
      <w:r w:rsidRPr="00150EDC">
        <w:rPr>
          <w:spacing w:val="-2"/>
          <w:sz w:val="24"/>
        </w:rPr>
        <w:t xml:space="preserve"> </w:t>
      </w:r>
      <w:r w:rsidRPr="00150EDC">
        <w:rPr>
          <w:sz w:val="24"/>
        </w:rPr>
        <w:t>participants</w:t>
      </w:r>
      <w:r w:rsidRPr="00150EDC">
        <w:rPr>
          <w:spacing w:val="-2"/>
          <w:sz w:val="24"/>
        </w:rPr>
        <w:t xml:space="preserve"> </w:t>
      </w:r>
      <w:r w:rsidRPr="00150EDC">
        <w:rPr>
          <w:sz w:val="24"/>
        </w:rPr>
        <w:t>required</w:t>
      </w:r>
      <w:r w:rsidRPr="00150EDC">
        <w:rPr>
          <w:spacing w:val="-2"/>
          <w:sz w:val="24"/>
        </w:rPr>
        <w:t xml:space="preserve"> </w:t>
      </w:r>
      <w:r w:rsidRPr="00150EDC">
        <w:rPr>
          <w:sz w:val="24"/>
        </w:rPr>
        <w:t>to</w:t>
      </w:r>
      <w:r w:rsidRPr="00150EDC">
        <w:rPr>
          <w:spacing w:val="-3"/>
          <w:sz w:val="24"/>
        </w:rPr>
        <w:t xml:space="preserve"> </w:t>
      </w:r>
      <w:r w:rsidRPr="00150EDC">
        <w:rPr>
          <w:spacing w:val="-2"/>
          <w:sz w:val="24"/>
        </w:rPr>
        <w:t>participate</w:t>
      </w:r>
    </w:p>
    <w:p w14:paraId="3F05BC87" w14:textId="77777777" w:rsidR="004C7180" w:rsidRPr="00150EDC" w:rsidRDefault="00CF0754">
      <w:pPr>
        <w:pStyle w:val="ListParagraph"/>
        <w:numPr>
          <w:ilvl w:val="0"/>
          <w:numId w:val="21"/>
        </w:numPr>
        <w:tabs>
          <w:tab w:val="left" w:pos="2120"/>
        </w:tabs>
        <w:ind w:right="1434"/>
        <w:jc w:val="both"/>
        <w:rPr>
          <w:sz w:val="24"/>
        </w:rPr>
      </w:pPr>
      <w:r w:rsidRPr="00150EDC">
        <w:rPr>
          <w:sz w:val="24"/>
        </w:rPr>
        <w:t>Type</w:t>
      </w:r>
      <w:r w:rsidRPr="00150EDC">
        <w:rPr>
          <w:spacing w:val="-17"/>
          <w:sz w:val="24"/>
        </w:rPr>
        <w:t xml:space="preserve"> </w:t>
      </w:r>
      <w:r w:rsidRPr="00150EDC">
        <w:rPr>
          <w:sz w:val="24"/>
        </w:rPr>
        <w:t>of</w:t>
      </w:r>
      <w:r w:rsidRPr="00150EDC">
        <w:rPr>
          <w:spacing w:val="-17"/>
          <w:sz w:val="24"/>
        </w:rPr>
        <w:t xml:space="preserve"> </w:t>
      </w:r>
      <w:r w:rsidRPr="00150EDC">
        <w:rPr>
          <w:sz w:val="24"/>
        </w:rPr>
        <w:t>providers</w:t>
      </w:r>
      <w:r w:rsidRPr="00150EDC">
        <w:rPr>
          <w:spacing w:val="-16"/>
          <w:sz w:val="24"/>
        </w:rPr>
        <w:t xml:space="preserve"> </w:t>
      </w:r>
      <w:r w:rsidRPr="00150EDC">
        <w:rPr>
          <w:sz w:val="24"/>
        </w:rPr>
        <w:t>involved</w:t>
      </w:r>
      <w:r w:rsidRPr="00150EDC">
        <w:rPr>
          <w:spacing w:val="-17"/>
          <w:sz w:val="24"/>
        </w:rPr>
        <w:t xml:space="preserve"> </w:t>
      </w:r>
      <w:r w:rsidRPr="00150EDC">
        <w:rPr>
          <w:sz w:val="24"/>
        </w:rPr>
        <w:t>e.g.</w:t>
      </w:r>
      <w:r w:rsidRPr="00150EDC">
        <w:rPr>
          <w:spacing w:val="-17"/>
          <w:sz w:val="24"/>
        </w:rPr>
        <w:t xml:space="preserve"> </w:t>
      </w:r>
      <w:r w:rsidRPr="00150EDC">
        <w:rPr>
          <w:sz w:val="24"/>
        </w:rPr>
        <w:t>further</w:t>
      </w:r>
      <w:r w:rsidRPr="00150EDC">
        <w:rPr>
          <w:spacing w:val="-17"/>
          <w:sz w:val="24"/>
        </w:rPr>
        <w:t xml:space="preserve"> </w:t>
      </w:r>
      <w:r w:rsidRPr="00150EDC">
        <w:rPr>
          <w:sz w:val="24"/>
        </w:rPr>
        <w:t>education</w:t>
      </w:r>
      <w:r w:rsidRPr="00150EDC">
        <w:rPr>
          <w:spacing w:val="-16"/>
          <w:sz w:val="24"/>
        </w:rPr>
        <w:t xml:space="preserve"> </w:t>
      </w:r>
      <w:r w:rsidRPr="00150EDC">
        <w:rPr>
          <w:sz w:val="24"/>
        </w:rPr>
        <w:t>colleges,</w:t>
      </w:r>
      <w:r w:rsidRPr="00150EDC">
        <w:rPr>
          <w:spacing w:val="-17"/>
          <w:sz w:val="24"/>
        </w:rPr>
        <w:t xml:space="preserve"> </w:t>
      </w:r>
      <w:r w:rsidRPr="00150EDC">
        <w:rPr>
          <w:sz w:val="24"/>
        </w:rPr>
        <w:t>employers,</w:t>
      </w:r>
      <w:r w:rsidRPr="00150EDC">
        <w:rPr>
          <w:spacing w:val="-17"/>
          <w:sz w:val="24"/>
        </w:rPr>
        <w:t xml:space="preserve"> </w:t>
      </w:r>
      <w:r w:rsidRPr="00150EDC">
        <w:rPr>
          <w:sz w:val="24"/>
        </w:rPr>
        <w:t xml:space="preserve">voluntary </w:t>
      </w:r>
      <w:r w:rsidRPr="00150EDC">
        <w:rPr>
          <w:spacing w:val="-2"/>
          <w:sz w:val="24"/>
        </w:rPr>
        <w:t>sector.</w:t>
      </w:r>
    </w:p>
    <w:p w14:paraId="5A1E4A41" w14:textId="77777777" w:rsidR="004C7180" w:rsidRPr="00150EDC" w:rsidRDefault="00CF0754">
      <w:pPr>
        <w:pStyle w:val="ListParagraph"/>
        <w:numPr>
          <w:ilvl w:val="0"/>
          <w:numId w:val="21"/>
        </w:numPr>
        <w:tabs>
          <w:tab w:val="left" w:pos="2120"/>
        </w:tabs>
        <w:ind w:right="1435"/>
        <w:jc w:val="both"/>
        <w:rPr>
          <w:sz w:val="24"/>
        </w:rPr>
      </w:pPr>
      <w:r w:rsidRPr="00150EDC">
        <w:rPr>
          <w:sz w:val="24"/>
        </w:rPr>
        <w:t>Type of intervention, e.g. some maths courses to be tested in the trials could already</w:t>
      </w:r>
      <w:r w:rsidRPr="00150EDC">
        <w:rPr>
          <w:spacing w:val="-1"/>
          <w:sz w:val="24"/>
        </w:rPr>
        <w:t xml:space="preserve"> </w:t>
      </w:r>
      <w:r w:rsidRPr="00150EDC">
        <w:rPr>
          <w:sz w:val="24"/>
        </w:rPr>
        <w:t>exist</w:t>
      </w:r>
      <w:r w:rsidRPr="00150EDC">
        <w:rPr>
          <w:spacing w:val="-2"/>
          <w:sz w:val="24"/>
        </w:rPr>
        <w:t xml:space="preserve"> </w:t>
      </w:r>
      <w:r w:rsidRPr="00150EDC">
        <w:rPr>
          <w:sz w:val="24"/>
        </w:rPr>
        <w:t>and the intervention could require a relatively</w:t>
      </w:r>
      <w:r w:rsidRPr="00150EDC">
        <w:rPr>
          <w:spacing w:val="-1"/>
          <w:sz w:val="24"/>
        </w:rPr>
        <w:t xml:space="preserve"> </w:t>
      </w:r>
      <w:r w:rsidRPr="00150EDC">
        <w:rPr>
          <w:sz w:val="24"/>
        </w:rPr>
        <w:t>small</w:t>
      </w:r>
      <w:r w:rsidRPr="00150EDC">
        <w:rPr>
          <w:spacing w:val="-1"/>
          <w:sz w:val="24"/>
        </w:rPr>
        <w:t xml:space="preserve"> </w:t>
      </w:r>
      <w:r w:rsidRPr="00150EDC">
        <w:rPr>
          <w:sz w:val="24"/>
        </w:rPr>
        <w:t>change to</w:t>
      </w:r>
      <w:r w:rsidRPr="00150EDC">
        <w:rPr>
          <w:spacing w:val="-2"/>
          <w:sz w:val="24"/>
        </w:rPr>
        <w:t xml:space="preserve"> </w:t>
      </w:r>
      <w:r w:rsidRPr="00150EDC">
        <w:rPr>
          <w:sz w:val="24"/>
        </w:rPr>
        <w:t>an existing curriculum, while others are entirely new interventions</w:t>
      </w:r>
    </w:p>
    <w:p w14:paraId="571376D4" w14:textId="77777777" w:rsidR="004C7180" w:rsidRPr="00150EDC" w:rsidRDefault="00CF0754">
      <w:pPr>
        <w:pStyle w:val="ListParagraph"/>
        <w:numPr>
          <w:ilvl w:val="0"/>
          <w:numId w:val="21"/>
        </w:numPr>
        <w:tabs>
          <w:tab w:val="left" w:pos="2119"/>
        </w:tabs>
        <w:ind w:left="2119" w:hanging="359"/>
        <w:jc w:val="both"/>
        <w:rPr>
          <w:sz w:val="24"/>
        </w:rPr>
      </w:pPr>
      <w:r w:rsidRPr="00150EDC">
        <w:rPr>
          <w:sz w:val="24"/>
        </w:rPr>
        <w:t>Scale</w:t>
      </w:r>
      <w:r w:rsidRPr="00150EDC">
        <w:rPr>
          <w:spacing w:val="-3"/>
          <w:sz w:val="24"/>
        </w:rPr>
        <w:t xml:space="preserve"> </w:t>
      </w:r>
      <w:r w:rsidRPr="00150EDC">
        <w:rPr>
          <w:sz w:val="24"/>
        </w:rPr>
        <w:t>of</w:t>
      </w:r>
      <w:r w:rsidRPr="00150EDC">
        <w:rPr>
          <w:spacing w:val="-2"/>
          <w:sz w:val="24"/>
        </w:rPr>
        <w:t xml:space="preserve"> </w:t>
      </w:r>
      <w:r w:rsidRPr="00150EDC">
        <w:rPr>
          <w:sz w:val="24"/>
        </w:rPr>
        <w:t>geographic</w:t>
      </w:r>
      <w:r w:rsidRPr="00150EDC">
        <w:rPr>
          <w:spacing w:val="-2"/>
          <w:sz w:val="24"/>
        </w:rPr>
        <w:t xml:space="preserve"> coverage</w:t>
      </w:r>
    </w:p>
    <w:p w14:paraId="20C28D57" w14:textId="77777777" w:rsidR="004C7180" w:rsidRPr="00150EDC" w:rsidRDefault="00CF0754">
      <w:pPr>
        <w:pStyle w:val="ListParagraph"/>
        <w:numPr>
          <w:ilvl w:val="0"/>
          <w:numId w:val="21"/>
        </w:numPr>
        <w:tabs>
          <w:tab w:val="left" w:pos="2119"/>
        </w:tabs>
        <w:ind w:left="2119" w:hanging="359"/>
        <w:jc w:val="both"/>
        <w:rPr>
          <w:sz w:val="24"/>
        </w:rPr>
      </w:pPr>
      <w:r w:rsidRPr="00150EDC">
        <w:rPr>
          <w:sz w:val="24"/>
        </w:rPr>
        <w:t>Length</w:t>
      </w:r>
      <w:r w:rsidRPr="00150EDC">
        <w:rPr>
          <w:spacing w:val="-1"/>
          <w:sz w:val="24"/>
        </w:rPr>
        <w:t xml:space="preserve"> </w:t>
      </w:r>
      <w:r w:rsidRPr="00150EDC">
        <w:rPr>
          <w:sz w:val="24"/>
        </w:rPr>
        <w:t>of</w:t>
      </w:r>
      <w:r w:rsidRPr="00150EDC">
        <w:rPr>
          <w:spacing w:val="1"/>
          <w:sz w:val="24"/>
        </w:rPr>
        <w:t xml:space="preserve"> </w:t>
      </w:r>
      <w:r w:rsidRPr="00150EDC">
        <w:rPr>
          <w:spacing w:val="-2"/>
          <w:sz w:val="24"/>
        </w:rPr>
        <w:t>trial</w:t>
      </w:r>
    </w:p>
    <w:p w14:paraId="62B512C7" w14:textId="77777777" w:rsidR="004C7180" w:rsidRPr="00150EDC" w:rsidRDefault="004C7180">
      <w:pPr>
        <w:pStyle w:val="BodyText"/>
        <w:spacing w:before="6"/>
        <w:rPr>
          <w:sz w:val="27"/>
        </w:rPr>
      </w:pPr>
    </w:p>
    <w:p w14:paraId="579E43C5" w14:textId="77777777" w:rsidR="004C7180" w:rsidRPr="00150EDC" w:rsidRDefault="00CF0754">
      <w:pPr>
        <w:pStyle w:val="BodyText"/>
        <w:spacing w:before="1" w:line="278" w:lineRule="auto"/>
        <w:ind w:left="1400" w:right="1433"/>
        <w:jc w:val="both"/>
      </w:pPr>
      <w:r w:rsidRPr="00150EDC">
        <w:t xml:space="preserve">Relevant details will be confirmed with the </w:t>
      </w:r>
      <w:r w:rsidRPr="00150EDC">
        <w:rPr>
          <w:b/>
        </w:rPr>
        <w:t xml:space="preserve">delivery supplier </w:t>
      </w:r>
      <w:r w:rsidRPr="00150EDC">
        <w:t>during the trial protocol development phase.</w:t>
      </w:r>
    </w:p>
    <w:p w14:paraId="6D9AB07C" w14:textId="77777777" w:rsidR="004C7180" w:rsidRPr="00150EDC" w:rsidRDefault="004C7180">
      <w:pPr>
        <w:pStyle w:val="BodyText"/>
        <w:spacing w:before="2"/>
        <w:rPr>
          <w:sz w:val="27"/>
        </w:rPr>
      </w:pPr>
    </w:p>
    <w:p w14:paraId="62716FAB" w14:textId="77777777" w:rsidR="004C7180" w:rsidRPr="00150EDC" w:rsidRDefault="00CF0754">
      <w:pPr>
        <w:ind w:left="1400"/>
        <w:jc w:val="both"/>
        <w:rPr>
          <w:sz w:val="24"/>
        </w:rPr>
      </w:pPr>
      <w:r w:rsidRPr="00150EDC">
        <w:rPr>
          <w:sz w:val="24"/>
        </w:rPr>
        <w:t>Core</w:t>
      </w:r>
      <w:r w:rsidRPr="00150EDC">
        <w:rPr>
          <w:spacing w:val="-4"/>
          <w:sz w:val="24"/>
        </w:rPr>
        <w:t xml:space="preserve"> </w:t>
      </w:r>
      <w:r w:rsidRPr="00150EDC">
        <w:rPr>
          <w:sz w:val="24"/>
        </w:rPr>
        <w:t>activities</w:t>
      </w:r>
      <w:r w:rsidRPr="00150EDC">
        <w:rPr>
          <w:spacing w:val="-2"/>
          <w:sz w:val="24"/>
        </w:rPr>
        <w:t xml:space="preserve"> </w:t>
      </w:r>
      <w:r w:rsidRPr="00150EDC">
        <w:rPr>
          <w:sz w:val="24"/>
        </w:rPr>
        <w:t>for</w:t>
      </w:r>
      <w:r w:rsidRPr="00150EDC">
        <w:rPr>
          <w:spacing w:val="-4"/>
          <w:sz w:val="24"/>
        </w:rPr>
        <w:t xml:space="preserve"> </w:t>
      </w:r>
      <w:r w:rsidRPr="00150EDC">
        <w:rPr>
          <w:sz w:val="24"/>
        </w:rPr>
        <w:t>the</w:t>
      </w:r>
      <w:r w:rsidRPr="00150EDC">
        <w:rPr>
          <w:spacing w:val="-4"/>
          <w:sz w:val="24"/>
        </w:rPr>
        <w:t xml:space="preserve"> </w:t>
      </w:r>
      <w:r w:rsidRPr="00150EDC">
        <w:rPr>
          <w:b/>
          <w:sz w:val="24"/>
        </w:rPr>
        <w:t>delivery</w:t>
      </w:r>
      <w:r w:rsidRPr="00150EDC">
        <w:rPr>
          <w:b/>
          <w:spacing w:val="-3"/>
          <w:sz w:val="24"/>
        </w:rPr>
        <w:t xml:space="preserve"> </w:t>
      </w:r>
      <w:r w:rsidRPr="00150EDC">
        <w:rPr>
          <w:b/>
          <w:sz w:val="24"/>
        </w:rPr>
        <w:t>supplier</w:t>
      </w:r>
      <w:r w:rsidRPr="00150EDC">
        <w:rPr>
          <w:b/>
          <w:spacing w:val="-3"/>
          <w:sz w:val="24"/>
        </w:rPr>
        <w:t xml:space="preserve"> </w:t>
      </w:r>
      <w:r w:rsidRPr="00150EDC">
        <w:rPr>
          <w:sz w:val="24"/>
        </w:rPr>
        <w:t>in</w:t>
      </w:r>
      <w:r w:rsidRPr="00150EDC">
        <w:rPr>
          <w:spacing w:val="-1"/>
          <w:sz w:val="24"/>
        </w:rPr>
        <w:t xml:space="preserve"> </w:t>
      </w:r>
      <w:r w:rsidRPr="00150EDC">
        <w:rPr>
          <w:sz w:val="24"/>
        </w:rPr>
        <w:t>the</w:t>
      </w:r>
      <w:r w:rsidRPr="00150EDC">
        <w:rPr>
          <w:spacing w:val="-1"/>
          <w:sz w:val="24"/>
        </w:rPr>
        <w:t xml:space="preserve"> </w:t>
      </w:r>
      <w:r w:rsidRPr="00150EDC">
        <w:rPr>
          <w:sz w:val="24"/>
        </w:rPr>
        <w:t>trial</w:t>
      </w:r>
      <w:r w:rsidRPr="00150EDC">
        <w:rPr>
          <w:spacing w:val="-3"/>
          <w:sz w:val="24"/>
        </w:rPr>
        <w:t xml:space="preserve"> </w:t>
      </w:r>
      <w:r w:rsidRPr="00150EDC">
        <w:rPr>
          <w:sz w:val="24"/>
        </w:rPr>
        <w:t>delivery</w:t>
      </w:r>
      <w:r w:rsidRPr="00150EDC">
        <w:rPr>
          <w:spacing w:val="-4"/>
          <w:sz w:val="24"/>
        </w:rPr>
        <w:t xml:space="preserve"> </w:t>
      </w:r>
      <w:r w:rsidRPr="00150EDC">
        <w:rPr>
          <w:sz w:val="24"/>
        </w:rPr>
        <w:t>phase</w:t>
      </w:r>
      <w:r w:rsidRPr="00150EDC">
        <w:rPr>
          <w:spacing w:val="-1"/>
          <w:sz w:val="24"/>
        </w:rPr>
        <w:t xml:space="preserve"> </w:t>
      </w:r>
      <w:r w:rsidRPr="00150EDC">
        <w:rPr>
          <w:spacing w:val="-2"/>
          <w:sz w:val="24"/>
        </w:rPr>
        <w:t>include:</w:t>
      </w:r>
    </w:p>
    <w:p w14:paraId="34D5DF3E" w14:textId="77777777" w:rsidR="004C7180" w:rsidRPr="00150EDC" w:rsidRDefault="004C7180">
      <w:pPr>
        <w:pStyle w:val="BodyText"/>
        <w:spacing w:before="1"/>
        <w:rPr>
          <w:sz w:val="31"/>
        </w:rPr>
      </w:pPr>
    </w:p>
    <w:p w14:paraId="0BE22B7D" w14:textId="77777777" w:rsidR="004C7180" w:rsidRPr="00150EDC" w:rsidRDefault="00CF0754">
      <w:pPr>
        <w:pStyle w:val="ListParagraph"/>
        <w:numPr>
          <w:ilvl w:val="0"/>
          <w:numId w:val="20"/>
        </w:numPr>
        <w:tabs>
          <w:tab w:val="left" w:pos="2119"/>
        </w:tabs>
        <w:ind w:left="2119" w:hanging="359"/>
        <w:jc w:val="both"/>
        <w:rPr>
          <w:sz w:val="24"/>
        </w:rPr>
      </w:pPr>
      <w:r w:rsidRPr="00150EDC">
        <w:rPr>
          <w:sz w:val="24"/>
        </w:rPr>
        <w:t>Implementation</w:t>
      </w:r>
      <w:r w:rsidRPr="00150EDC">
        <w:rPr>
          <w:spacing w:val="-6"/>
          <w:sz w:val="24"/>
        </w:rPr>
        <w:t xml:space="preserve"> </w:t>
      </w:r>
      <w:r w:rsidRPr="00150EDC">
        <w:rPr>
          <w:sz w:val="24"/>
        </w:rPr>
        <w:t>of</w:t>
      </w:r>
      <w:r w:rsidRPr="00150EDC">
        <w:rPr>
          <w:spacing w:val="-2"/>
          <w:sz w:val="24"/>
        </w:rPr>
        <w:t xml:space="preserve"> </w:t>
      </w:r>
      <w:r w:rsidRPr="00150EDC">
        <w:rPr>
          <w:sz w:val="24"/>
        </w:rPr>
        <w:t>the</w:t>
      </w:r>
      <w:r w:rsidRPr="00150EDC">
        <w:rPr>
          <w:spacing w:val="-4"/>
          <w:sz w:val="24"/>
        </w:rPr>
        <w:t xml:space="preserve"> </w:t>
      </w:r>
      <w:r w:rsidRPr="00150EDC">
        <w:rPr>
          <w:sz w:val="24"/>
        </w:rPr>
        <w:t>delivery</w:t>
      </w:r>
      <w:r w:rsidRPr="00150EDC">
        <w:rPr>
          <w:spacing w:val="-2"/>
          <w:sz w:val="24"/>
        </w:rPr>
        <w:t xml:space="preserve"> </w:t>
      </w:r>
      <w:r w:rsidRPr="00150EDC">
        <w:rPr>
          <w:sz w:val="24"/>
        </w:rPr>
        <w:t>assurance</w:t>
      </w:r>
      <w:r w:rsidRPr="00150EDC">
        <w:rPr>
          <w:spacing w:val="-4"/>
          <w:sz w:val="24"/>
        </w:rPr>
        <w:t xml:space="preserve"> </w:t>
      </w:r>
      <w:r w:rsidRPr="00150EDC">
        <w:rPr>
          <w:sz w:val="24"/>
        </w:rPr>
        <w:t>plan</w:t>
      </w:r>
      <w:r w:rsidRPr="00150EDC">
        <w:rPr>
          <w:spacing w:val="-2"/>
          <w:sz w:val="24"/>
        </w:rPr>
        <w:t xml:space="preserve"> </w:t>
      </w:r>
      <w:r w:rsidRPr="00150EDC">
        <w:rPr>
          <w:sz w:val="24"/>
        </w:rPr>
        <w:t>including</w:t>
      </w:r>
      <w:r w:rsidRPr="00150EDC">
        <w:rPr>
          <w:spacing w:val="-1"/>
          <w:sz w:val="24"/>
        </w:rPr>
        <w:t xml:space="preserve"> </w:t>
      </w:r>
      <w:r w:rsidRPr="00150EDC">
        <w:rPr>
          <w:spacing w:val="-2"/>
          <w:sz w:val="24"/>
        </w:rPr>
        <w:t>ensuring:</w:t>
      </w:r>
    </w:p>
    <w:p w14:paraId="7EAB0557" w14:textId="77777777" w:rsidR="004C7180" w:rsidRPr="00150EDC" w:rsidRDefault="00CF0754">
      <w:pPr>
        <w:pStyle w:val="ListParagraph"/>
        <w:numPr>
          <w:ilvl w:val="1"/>
          <w:numId w:val="20"/>
        </w:numPr>
        <w:tabs>
          <w:tab w:val="left" w:pos="2840"/>
        </w:tabs>
        <w:ind w:right="1436"/>
        <w:jc w:val="both"/>
        <w:rPr>
          <w:sz w:val="24"/>
        </w:rPr>
      </w:pPr>
      <w:r w:rsidRPr="00150EDC">
        <w:rPr>
          <w:sz w:val="24"/>
        </w:rPr>
        <w:t>providers</w:t>
      </w:r>
      <w:r w:rsidRPr="00150EDC">
        <w:rPr>
          <w:spacing w:val="-11"/>
          <w:sz w:val="24"/>
        </w:rPr>
        <w:t xml:space="preserve"> </w:t>
      </w:r>
      <w:r w:rsidRPr="00150EDC">
        <w:rPr>
          <w:sz w:val="24"/>
        </w:rPr>
        <w:t>adhere</w:t>
      </w:r>
      <w:r w:rsidRPr="00150EDC">
        <w:rPr>
          <w:spacing w:val="-10"/>
          <w:sz w:val="24"/>
        </w:rPr>
        <w:t xml:space="preserve"> </w:t>
      </w:r>
      <w:r w:rsidRPr="00150EDC">
        <w:rPr>
          <w:sz w:val="24"/>
        </w:rPr>
        <w:t>to</w:t>
      </w:r>
      <w:r w:rsidRPr="00150EDC">
        <w:rPr>
          <w:spacing w:val="-10"/>
          <w:sz w:val="24"/>
        </w:rPr>
        <w:t xml:space="preserve"> </w:t>
      </w:r>
      <w:r w:rsidRPr="00150EDC">
        <w:rPr>
          <w:sz w:val="24"/>
        </w:rPr>
        <w:t>data</w:t>
      </w:r>
      <w:r w:rsidRPr="00150EDC">
        <w:rPr>
          <w:spacing w:val="-8"/>
          <w:sz w:val="24"/>
        </w:rPr>
        <w:t xml:space="preserve"> </w:t>
      </w:r>
      <w:r w:rsidRPr="00150EDC">
        <w:rPr>
          <w:sz w:val="24"/>
        </w:rPr>
        <w:t>collection</w:t>
      </w:r>
      <w:r w:rsidRPr="00150EDC">
        <w:rPr>
          <w:spacing w:val="-10"/>
          <w:sz w:val="24"/>
        </w:rPr>
        <w:t xml:space="preserve"> </w:t>
      </w:r>
      <w:r w:rsidRPr="00150EDC">
        <w:rPr>
          <w:sz w:val="24"/>
        </w:rPr>
        <w:t>requirements,</w:t>
      </w:r>
      <w:r w:rsidRPr="00150EDC">
        <w:rPr>
          <w:spacing w:val="-11"/>
          <w:sz w:val="24"/>
        </w:rPr>
        <w:t xml:space="preserve"> </w:t>
      </w:r>
      <w:r w:rsidRPr="00150EDC">
        <w:rPr>
          <w:sz w:val="24"/>
        </w:rPr>
        <w:t>as</w:t>
      </w:r>
      <w:r w:rsidRPr="00150EDC">
        <w:rPr>
          <w:spacing w:val="-9"/>
          <w:sz w:val="24"/>
        </w:rPr>
        <w:t xml:space="preserve"> </w:t>
      </w:r>
      <w:r w:rsidRPr="00150EDC">
        <w:rPr>
          <w:sz w:val="24"/>
        </w:rPr>
        <w:t>specified</w:t>
      </w:r>
      <w:r w:rsidRPr="00150EDC">
        <w:rPr>
          <w:spacing w:val="-8"/>
          <w:sz w:val="24"/>
        </w:rPr>
        <w:t xml:space="preserve"> </w:t>
      </w:r>
      <w:r w:rsidRPr="00150EDC">
        <w:rPr>
          <w:sz w:val="24"/>
        </w:rPr>
        <w:t>in</w:t>
      </w:r>
      <w:r w:rsidRPr="00150EDC">
        <w:rPr>
          <w:spacing w:val="-8"/>
          <w:sz w:val="24"/>
        </w:rPr>
        <w:t xml:space="preserve"> </w:t>
      </w:r>
      <w:r w:rsidRPr="00150EDC">
        <w:rPr>
          <w:sz w:val="24"/>
        </w:rPr>
        <w:t>the</w:t>
      </w:r>
      <w:r w:rsidRPr="00150EDC">
        <w:rPr>
          <w:spacing w:val="-13"/>
          <w:sz w:val="24"/>
        </w:rPr>
        <w:t xml:space="preserve"> </w:t>
      </w:r>
      <w:r w:rsidRPr="00150EDC">
        <w:rPr>
          <w:sz w:val="24"/>
        </w:rPr>
        <w:t xml:space="preserve">trial </w:t>
      </w:r>
      <w:r w:rsidRPr="00150EDC">
        <w:rPr>
          <w:spacing w:val="-2"/>
          <w:sz w:val="24"/>
        </w:rPr>
        <w:t>protocol.</w:t>
      </w:r>
    </w:p>
    <w:p w14:paraId="01F8DDE2" w14:textId="77777777" w:rsidR="004C7180" w:rsidRPr="00150EDC" w:rsidRDefault="00CF0754">
      <w:pPr>
        <w:pStyle w:val="ListParagraph"/>
        <w:numPr>
          <w:ilvl w:val="1"/>
          <w:numId w:val="20"/>
        </w:numPr>
        <w:tabs>
          <w:tab w:val="left" w:pos="2839"/>
        </w:tabs>
        <w:ind w:left="2839" w:right="1437"/>
        <w:jc w:val="both"/>
        <w:rPr>
          <w:sz w:val="24"/>
        </w:rPr>
      </w:pPr>
      <w:r w:rsidRPr="00150EDC">
        <w:rPr>
          <w:sz w:val="24"/>
        </w:rPr>
        <w:t xml:space="preserve">robust data is captured on the delivery of interventions, including numbers of participants, so accurate payments can be made to </w:t>
      </w:r>
      <w:r w:rsidRPr="00150EDC">
        <w:rPr>
          <w:spacing w:val="-2"/>
          <w:sz w:val="24"/>
        </w:rPr>
        <w:t>providers.</w:t>
      </w:r>
    </w:p>
    <w:p w14:paraId="4364E392" w14:textId="77777777" w:rsidR="004C7180" w:rsidRPr="00150EDC" w:rsidRDefault="00CF0754">
      <w:pPr>
        <w:pStyle w:val="ListParagraph"/>
        <w:numPr>
          <w:ilvl w:val="1"/>
          <w:numId w:val="20"/>
        </w:numPr>
        <w:tabs>
          <w:tab w:val="left" w:pos="2839"/>
        </w:tabs>
        <w:ind w:left="2839" w:right="1434"/>
        <w:jc w:val="both"/>
        <w:rPr>
          <w:sz w:val="24"/>
        </w:rPr>
      </w:pPr>
      <w:r w:rsidRPr="00150EDC">
        <w:rPr>
          <w:sz w:val="24"/>
        </w:rPr>
        <w:t>monitor and assure the activity of providers against what was agreed, identify underperformance</w:t>
      </w:r>
    </w:p>
    <w:p w14:paraId="107B21ED" w14:textId="77777777" w:rsidR="004C7180" w:rsidRPr="00150EDC" w:rsidRDefault="00CF0754">
      <w:pPr>
        <w:pStyle w:val="ListParagraph"/>
        <w:numPr>
          <w:ilvl w:val="0"/>
          <w:numId w:val="20"/>
        </w:numPr>
        <w:tabs>
          <w:tab w:val="left" w:pos="2119"/>
        </w:tabs>
        <w:ind w:left="2119" w:right="1435"/>
        <w:jc w:val="both"/>
        <w:rPr>
          <w:sz w:val="24"/>
        </w:rPr>
      </w:pPr>
      <w:r w:rsidRPr="00150EDC">
        <w:rPr>
          <w:sz w:val="24"/>
        </w:rPr>
        <w:t xml:space="preserve">Escalating issues identified through the assurance activities, that cannot be resolved by the </w:t>
      </w:r>
      <w:r w:rsidRPr="00150EDC">
        <w:rPr>
          <w:b/>
          <w:sz w:val="24"/>
        </w:rPr>
        <w:t xml:space="preserve">delivery supplier, </w:t>
      </w:r>
      <w:r w:rsidRPr="00150EDC">
        <w:rPr>
          <w:sz w:val="24"/>
        </w:rPr>
        <w:t xml:space="preserve">to the DfE SRO Steering Group for a </w:t>
      </w:r>
      <w:r w:rsidRPr="00150EDC">
        <w:rPr>
          <w:spacing w:val="-2"/>
          <w:sz w:val="24"/>
        </w:rPr>
        <w:t>decision.</w:t>
      </w:r>
    </w:p>
    <w:p w14:paraId="5ED128F5" w14:textId="77777777" w:rsidR="004C7180" w:rsidRPr="00150EDC" w:rsidRDefault="004C7180">
      <w:pPr>
        <w:pStyle w:val="BodyText"/>
        <w:spacing w:before="9"/>
        <w:rPr>
          <w:sz w:val="27"/>
        </w:rPr>
      </w:pPr>
    </w:p>
    <w:p w14:paraId="191D311F" w14:textId="77777777" w:rsidR="004C7180" w:rsidRPr="00150EDC" w:rsidRDefault="00CF0754">
      <w:pPr>
        <w:pStyle w:val="BodyText"/>
        <w:spacing w:line="276" w:lineRule="auto"/>
        <w:ind w:left="1399" w:right="1433"/>
        <w:jc w:val="both"/>
      </w:pPr>
      <w:r w:rsidRPr="00150EDC">
        <w:t xml:space="preserve">The roles and responsibilities set out in 5.2 and 5.3 will be confirmed and agreed between the evaluation supplier and the </w:t>
      </w:r>
      <w:r w:rsidRPr="00150EDC">
        <w:rPr>
          <w:b/>
        </w:rPr>
        <w:t xml:space="preserve">delivery supplier </w:t>
      </w:r>
      <w:r w:rsidRPr="00150EDC">
        <w:t>(and the product developer,</w:t>
      </w:r>
      <w:r w:rsidRPr="00150EDC">
        <w:rPr>
          <w:spacing w:val="-13"/>
        </w:rPr>
        <w:t xml:space="preserve"> </w:t>
      </w:r>
      <w:r w:rsidRPr="00150EDC">
        <w:t>where</w:t>
      </w:r>
      <w:r w:rsidRPr="00150EDC">
        <w:rPr>
          <w:spacing w:val="-13"/>
        </w:rPr>
        <w:t xml:space="preserve"> </w:t>
      </w:r>
      <w:r w:rsidRPr="00150EDC">
        <w:t>necessary)</w:t>
      </w:r>
      <w:r w:rsidRPr="00150EDC">
        <w:rPr>
          <w:spacing w:val="-15"/>
        </w:rPr>
        <w:t xml:space="preserve"> </w:t>
      </w:r>
      <w:r w:rsidRPr="00150EDC">
        <w:t>in</w:t>
      </w:r>
      <w:r w:rsidRPr="00150EDC">
        <w:rPr>
          <w:spacing w:val="-13"/>
        </w:rPr>
        <w:t xml:space="preserve"> </w:t>
      </w:r>
      <w:r w:rsidRPr="00150EDC">
        <w:t>each</w:t>
      </w:r>
      <w:r w:rsidRPr="00150EDC">
        <w:rPr>
          <w:spacing w:val="-15"/>
        </w:rPr>
        <w:t xml:space="preserve"> </w:t>
      </w:r>
      <w:r w:rsidRPr="00150EDC">
        <w:t>trial</w:t>
      </w:r>
      <w:r w:rsidRPr="00150EDC">
        <w:rPr>
          <w:spacing w:val="-14"/>
        </w:rPr>
        <w:t xml:space="preserve"> </w:t>
      </w:r>
      <w:r w:rsidRPr="00150EDC">
        <w:t>Delivery</w:t>
      </w:r>
      <w:r w:rsidRPr="00150EDC">
        <w:rPr>
          <w:spacing w:val="-14"/>
        </w:rPr>
        <w:t xml:space="preserve"> </w:t>
      </w:r>
      <w:r w:rsidRPr="00150EDC">
        <w:t>Plan</w:t>
      </w:r>
      <w:r w:rsidRPr="00150EDC">
        <w:rPr>
          <w:spacing w:val="-13"/>
        </w:rPr>
        <w:t xml:space="preserve"> </w:t>
      </w:r>
      <w:r w:rsidRPr="00150EDC">
        <w:t>and</w:t>
      </w:r>
      <w:r w:rsidRPr="00150EDC">
        <w:rPr>
          <w:spacing w:val="-15"/>
        </w:rPr>
        <w:t xml:space="preserve"> </w:t>
      </w:r>
      <w:r w:rsidRPr="00150EDC">
        <w:t>agreed</w:t>
      </w:r>
      <w:r w:rsidRPr="00150EDC">
        <w:rPr>
          <w:spacing w:val="-13"/>
        </w:rPr>
        <w:t xml:space="preserve"> </w:t>
      </w:r>
      <w:r w:rsidRPr="00150EDC">
        <w:t>ahead</w:t>
      </w:r>
      <w:r w:rsidRPr="00150EDC">
        <w:rPr>
          <w:spacing w:val="-13"/>
        </w:rPr>
        <w:t xml:space="preserve"> </w:t>
      </w:r>
      <w:r w:rsidRPr="00150EDC">
        <w:t>of</w:t>
      </w:r>
      <w:r w:rsidRPr="00150EDC">
        <w:rPr>
          <w:spacing w:val="-16"/>
        </w:rPr>
        <w:t xml:space="preserve"> </w:t>
      </w:r>
      <w:r w:rsidRPr="00150EDC">
        <w:t>each</w:t>
      </w:r>
      <w:r w:rsidRPr="00150EDC">
        <w:rPr>
          <w:spacing w:val="-15"/>
        </w:rPr>
        <w:t xml:space="preserve"> </w:t>
      </w:r>
      <w:r w:rsidRPr="00150EDC">
        <w:t>trial protocol being reviewed by the DfE RCT Steering Group.</w:t>
      </w:r>
    </w:p>
    <w:p w14:paraId="0FF23E3E" w14:textId="77777777" w:rsidR="004C7180" w:rsidRPr="00150EDC" w:rsidRDefault="004C7180">
      <w:pPr>
        <w:spacing w:line="276" w:lineRule="auto"/>
        <w:jc w:val="both"/>
        <w:sectPr w:rsidR="004C7180" w:rsidRPr="00150EDC">
          <w:pgSz w:w="11910" w:h="16840"/>
          <w:pgMar w:top="1220" w:right="0" w:bottom="660" w:left="40" w:header="149" w:footer="465" w:gutter="0"/>
          <w:cols w:space="720"/>
        </w:sectPr>
      </w:pPr>
    </w:p>
    <w:p w14:paraId="5B4A8B0B" w14:textId="77777777" w:rsidR="004C7180" w:rsidRPr="00150EDC" w:rsidRDefault="004C7180">
      <w:pPr>
        <w:pStyle w:val="BodyText"/>
        <w:spacing w:before="1"/>
        <w:rPr>
          <w:sz w:val="10"/>
        </w:rPr>
      </w:pPr>
    </w:p>
    <w:p w14:paraId="55C4F984" w14:textId="77777777" w:rsidR="004C7180" w:rsidRPr="00150EDC" w:rsidRDefault="00CF0754">
      <w:pPr>
        <w:pStyle w:val="Heading4"/>
        <w:numPr>
          <w:ilvl w:val="1"/>
          <w:numId w:val="30"/>
        </w:numPr>
        <w:tabs>
          <w:tab w:val="left" w:pos="1728"/>
          <w:tab w:val="left" w:pos="1731"/>
        </w:tabs>
        <w:spacing w:before="92"/>
        <w:ind w:left="1731" w:right="1639" w:hanging="363"/>
      </w:pPr>
      <w:bookmarkStart w:id="98" w:name="5.4_Managing_the_distribution_of_funding"/>
      <w:bookmarkStart w:id="99" w:name="_bookmark19"/>
      <w:bookmarkEnd w:id="98"/>
      <w:bookmarkEnd w:id="99"/>
      <w:r w:rsidRPr="00150EDC">
        <w:t>Managing</w:t>
      </w:r>
      <w:r w:rsidRPr="00150EDC">
        <w:rPr>
          <w:spacing w:val="-4"/>
        </w:rPr>
        <w:t xml:space="preserve"> </w:t>
      </w:r>
      <w:r w:rsidRPr="00150EDC">
        <w:t>the</w:t>
      </w:r>
      <w:r w:rsidRPr="00150EDC">
        <w:rPr>
          <w:spacing w:val="-3"/>
        </w:rPr>
        <w:t xml:space="preserve"> </w:t>
      </w:r>
      <w:r w:rsidRPr="00150EDC">
        <w:t>distribution</w:t>
      </w:r>
      <w:r w:rsidRPr="00150EDC">
        <w:rPr>
          <w:spacing w:val="-4"/>
        </w:rPr>
        <w:t xml:space="preserve"> </w:t>
      </w:r>
      <w:r w:rsidRPr="00150EDC">
        <w:t>of</w:t>
      </w:r>
      <w:r w:rsidRPr="00150EDC">
        <w:rPr>
          <w:spacing w:val="-5"/>
        </w:rPr>
        <w:t xml:space="preserve"> </w:t>
      </w:r>
      <w:r w:rsidRPr="00150EDC">
        <w:t>funding</w:t>
      </w:r>
      <w:r w:rsidRPr="00150EDC">
        <w:rPr>
          <w:spacing w:val="-4"/>
        </w:rPr>
        <w:t xml:space="preserve"> </w:t>
      </w:r>
      <w:r w:rsidRPr="00150EDC">
        <w:t>for</w:t>
      </w:r>
      <w:r w:rsidRPr="00150EDC">
        <w:rPr>
          <w:spacing w:val="-4"/>
        </w:rPr>
        <w:t xml:space="preserve"> </w:t>
      </w:r>
      <w:r w:rsidRPr="00150EDC">
        <w:t>the</w:t>
      </w:r>
      <w:r w:rsidRPr="00150EDC">
        <w:rPr>
          <w:spacing w:val="-3"/>
        </w:rPr>
        <w:t xml:space="preserve"> </w:t>
      </w:r>
      <w:r w:rsidRPr="00150EDC">
        <w:t>interventions</w:t>
      </w:r>
      <w:r w:rsidRPr="00150EDC">
        <w:rPr>
          <w:spacing w:val="-3"/>
        </w:rPr>
        <w:t xml:space="preserve"> </w:t>
      </w:r>
      <w:r w:rsidRPr="00150EDC">
        <w:t>to</w:t>
      </w:r>
      <w:r w:rsidRPr="00150EDC">
        <w:rPr>
          <w:spacing w:val="-4"/>
        </w:rPr>
        <w:t xml:space="preserve"> </w:t>
      </w:r>
      <w:r w:rsidRPr="00150EDC">
        <w:t>organisations delivering the trial interventions</w:t>
      </w:r>
    </w:p>
    <w:p w14:paraId="00A5129A" w14:textId="77777777" w:rsidR="004C7180" w:rsidRPr="00150EDC" w:rsidRDefault="00CF0754">
      <w:pPr>
        <w:pStyle w:val="BodyText"/>
        <w:spacing w:line="276" w:lineRule="auto"/>
        <w:ind w:left="1368" w:right="1459"/>
      </w:pPr>
      <w:r w:rsidRPr="00150EDC">
        <w:t>The</w:t>
      </w:r>
      <w:r w:rsidRPr="00150EDC">
        <w:rPr>
          <w:spacing w:val="-2"/>
        </w:rPr>
        <w:t xml:space="preserve"> </w:t>
      </w:r>
      <w:r w:rsidRPr="00150EDC">
        <w:rPr>
          <w:b/>
        </w:rPr>
        <w:t>delivery</w:t>
      </w:r>
      <w:r w:rsidRPr="00150EDC">
        <w:rPr>
          <w:b/>
          <w:spacing w:val="-2"/>
        </w:rPr>
        <w:t xml:space="preserve"> </w:t>
      </w:r>
      <w:r w:rsidRPr="00150EDC">
        <w:rPr>
          <w:b/>
        </w:rPr>
        <w:t>supplier</w:t>
      </w:r>
      <w:r w:rsidRPr="00150EDC">
        <w:rPr>
          <w:b/>
          <w:spacing w:val="-5"/>
        </w:rPr>
        <w:t xml:space="preserve"> </w:t>
      </w:r>
      <w:r w:rsidRPr="00150EDC">
        <w:t>will</w:t>
      </w:r>
      <w:r w:rsidRPr="00150EDC">
        <w:rPr>
          <w:spacing w:val="-3"/>
        </w:rPr>
        <w:t xml:space="preserve"> </w:t>
      </w:r>
      <w:r w:rsidRPr="00150EDC">
        <w:t>be</w:t>
      </w:r>
      <w:r w:rsidRPr="00150EDC">
        <w:rPr>
          <w:spacing w:val="-2"/>
        </w:rPr>
        <w:t xml:space="preserve"> </w:t>
      </w:r>
      <w:r w:rsidRPr="00150EDC">
        <w:t>responsible</w:t>
      </w:r>
      <w:r w:rsidRPr="00150EDC">
        <w:rPr>
          <w:spacing w:val="-2"/>
        </w:rPr>
        <w:t xml:space="preserve"> </w:t>
      </w:r>
      <w:r w:rsidRPr="00150EDC">
        <w:t>for</w:t>
      </w:r>
      <w:r w:rsidRPr="00150EDC">
        <w:rPr>
          <w:spacing w:val="-6"/>
        </w:rPr>
        <w:t xml:space="preserve"> </w:t>
      </w:r>
      <w:r w:rsidRPr="00150EDC">
        <w:t>making</w:t>
      </w:r>
      <w:r w:rsidRPr="00150EDC">
        <w:rPr>
          <w:spacing w:val="-2"/>
        </w:rPr>
        <w:t xml:space="preserve"> </w:t>
      </w:r>
      <w:r w:rsidRPr="00150EDC">
        <w:t>payments</w:t>
      </w:r>
      <w:r w:rsidRPr="00150EDC">
        <w:rPr>
          <w:spacing w:val="-5"/>
        </w:rPr>
        <w:t xml:space="preserve"> </w:t>
      </w:r>
      <w:r w:rsidRPr="00150EDC">
        <w:t>to</w:t>
      </w:r>
      <w:r w:rsidRPr="00150EDC">
        <w:rPr>
          <w:spacing w:val="-4"/>
        </w:rPr>
        <w:t xml:space="preserve"> </w:t>
      </w:r>
      <w:r w:rsidRPr="00150EDC">
        <w:t>all</w:t>
      </w:r>
      <w:r w:rsidRPr="00150EDC">
        <w:rPr>
          <w:spacing w:val="-3"/>
        </w:rPr>
        <w:t xml:space="preserve"> </w:t>
      </w:r>
      <w:r w:rsidRPr="00150EDC">
        <w:t>parties</w:t>
      </w:r>
      <w:r w:rsidRPr="00150EDC">
        <w:rPr>
          <w:spacing w:val="-3"/>
        </w:rPr>
        <w:t xml:space="preserve"> </w:t>
      </w:r>
      <w:r w:rsidRPr="00150EDC">
        <w:t>involved in delivering the trials. We expect payments to be made in arrears, once the supplier is satisfied that interventions have been delivered to the expected standard.</w:t>
      </w:r>
    </w:p>
    <w:p w14:paraId="57C742A9" w14:textId="77777777" w:rsidR="004C7180" w:rsidRPr="00150EDC" w:rsidRDefault="004C7180">
      <w:pPr>
        <w:pStyle w:val="BodyText"/>
        <w:spacing w:before="11"/>
        <w:rPr>
          <w:sz w:val="20"/>
        </w:rPr>
      </w:pPr>
    </w:p>
    <w:p w14:paraId="12552763" w14:textId="77777777" w:rsidR="004C7180" w:rsidRPr="00150EDC" w:rsidRDefault="00CF0754">
      <w:pPr>
        <w:pStyle w:val="BodyText"/>
        <w:spacing w:line="276" w:lineRule="auto"/>
        <w:ind w:left="1368" w:right="1459"/>
      </w:pPr>
      <w:r w:rsidRPr="00150EDC">
        <w:t>The costs for the course-based interventions will be determined by the Department before contract award, based on the existing funding model for the Adult Education Budget, and an upper funding limit for each intervention will be set. For non-course based,</w:t>
      </w:r>
      <w:r w:rsidRPr="00150EDC">
        <w:rPr>
          <w:spacing w:val="-3"/>
        </w:rPr>
        <w:t xml:space="preserve"> </w:t>
      </w:r>
      <w:r w:rsidRPr="00150EDC">
        <w:t>national</w:t>
      </w:r>
      <w:r w:rsidRPr="00150EDC">
        <w:rPr>
          <w:spacing w:val="-4"/>
        </w:rPr>
        <w:t xml:space="preserve"> </w:t>
      </w:r>
      <w:r w:rsidRPr="00150EDC">
        <w:t>provision,</w:t>
      </w:r>
      <w:r w:rsidRPr="00150EDC">
        <w:rPr>
          <w:spacing w:val="-3"/>
        </w:rPr>
        <w:t xml:space="preserve"> </w:t>
      </w:r>
      <w:r w:rsidRPr="00150EDC">
        <w:t>the</w:t>
      </w:r>
      <w:r w:rsidRPr="00150EDC">
        <w:rPr>
          <w:spacing w:val="-3"/>
        </w:rPr>
        <w:t xml:space="preserve"> </w:t>
      </w:r>
      <w:r w:rsidRPr="00150EDC">
        <w:rPr>
          <w:b/>
        </w:rPr>
        <w:t>delivery</w:t>
      </w:r>
      <w:r w:rsidRPr="00150EDC">
        <w:rPr>
          <w:b/>
          <w:spacing w:val="-5"/>
        </w:rPr>
        <w:t xml:space="preserve"> </w:t>
      </w:r>
      <w:r w:rsidRPr="00150EDC">
        <w:rPr>
          <w:b/>
        </w:rPr>
        <w:t>supplier</w:t>
      </w:r>
      <w:r w:rsidRPr="00150EDC">
        <w:rPr>
          <w:b/>
          <w:spacing w:val="-4"/>
        </w:rPr>
        <w:t xml:space="preserve"> </w:t>
      </w:r>
      <w:r w:rsidRPr="00150EDC">
        <w:t>will</w:t>
      </w:r>
      <w:r w:rsidRPr="00150EDC">
        <w:rPr>
          <w:spacing w:val="-4"/>
        </w:rPr>
        <w:t xml:space="preserve"> </w:t>
      </w:r>
      <w:r w:rsidRPr="00150EDC">
        <w:t>need</w:t>
      </w:r>
      <w:r w:rsidRPr="00150EDC">
        <w:rPr>
          <w:spacing w:val="-3"/>
        </w:rPr>
        <w:t xml:space="preserve"> </w:t>
      </w:r>
      <w:r w:rsidRPr="00150EDC">
        <w:t>to</w:t>
      </w:r>
      <w:r w:rsidRPr="00150EDC">
        <w:rPr>
          <w:spacing w:val="-3"/>
        </w:rPr>
        <w:t xml:space="preserve"> </w:t>
      </w:r>
      <w:r w:rsidRPr="00150EDC">
        <w:t>determine</w:t>
      </w:r>
      <w:r w:rsidRPr="00150EDC">
        <w:rPr>
          <w:spacing w:val="-3"/>
        </w:rPr>
        <w:t xml:space="preserve"> </w:t>
      </w:r>
      <w:r w:rsidRPr="00150EDC">
        <w:t>a</w:t>
      </w:r>
      <w:r w:rsidRPr="00150EDC">
        <w:rPr>
          <w:spacing w:val="-5"/>
        </w:rPr>
        <w:t xml:space="preserve"> </w:t>
      </w:r>
      <w:r w:rsidRPr="00150EDC">
        <w:t>cost</w:t>
      </w:r>
      <w:r w:rsidRPr="00150EDC">
        <w:rPr>
          <w:spacing w:val="-3"/>
        </w:rPr>
        <w:t xml:space="preserve"> </w:t>
      </w:r>
      <w:r w:rsidRPr="00150EDC">
        <w:t>which provides good value for money.</w:t>
      </w:r>
    </w:p>
    <w:p w14:paraId="67D4C5AC" w14:textId="77777777" w:rsidR="004C7180" w:rsidRPr="00150EDC" w:rsidRDefault="004C7180">
      <w:pPr>
        <w:pStyle w:val="BodyText"/>
        <w:spacing w:before="9"/>
        <w:rPr>
          <w:sz w:val="20"/>
        </w:rPr>
      </w:pPr>
    </w:p>
    <w:p w14:paraId="68B046FA" w14:textId="77777777" w:rsidR="004C7180" w:rsidRPr="00150EDC" w:rsidRDefault="00CF0754">
      <w:pPr>
        <w:pStyle w:val="BodyText"/>
        <w:spacing w:line="276" w:lineRule="auto"/>
        <w:ind w:left="1400" w:right="1434"/>
        <w:jc w:val="both"/>
      </w:pPr>
      <w:r w:rsidRPr="00150EDC">
        <w:t>The interventions are estimated to cost approximately £5.8 million, of which this will be split at approximately 36% for nationally delivered trials, and 64% for locally delivered</w:t>
      </w:r>
      <w:r w:rsidRPr="00150EDC">
        <w:rPr>
          <w:spacing w:val="-6"/>
        </w:rPr>
        <w:t xml:space="preserve"> </w:t>
      </w:r>
      <w:r w:rsidRPr="00150EDC">
        <w:t>trials.</w:t>
      </w:r>
      <w:r w:rsidRPr="00150EDC">
        <w:rPr>
          <w:spacing w:val="-4"/>
        </w:rPr>
        <w:t xml:space="preserve"> </w:t>
      </w:r>
      <w:r w:rsidRPr="00150EDC">
        <w:t>These</w:t>
      </w:r>
      <w:r w:rsidRPr="00150EDC">
        <w:rPr>
          <w:spacing w:val="-6"/>
        </w:rPr>
        <w:t xml:space="preserve"> </w:t>
      </w:r>
      <w:r w:rsidRPr="00150EDC">
        <w:t>numbers</w:t>
      </w:r>
      <w:r w:rsidRPr="00150EDC">
        <w:rPr>
          <w:spacing w:val="-7"/>
        </w:rPr>
        <w:t xml:space="preserve"> </w:t>
      </w:r>
      <w:r w:rsidRPr="00150EDC">
        <w:t>are</w:t>
      </w:r>
      <w:r w:rsidRPr="00150EDC">
        <w:rPr>
          <w:spacing w:val="-3"/>
        </w:rPr>
        <w:t xml:space="preserve"> </w:t>
      </w:r>
      <w:r w:rsidRPr="00150EDC">
        <w:t>based</w:t>
      </w:r>
      <w:r w:rsidRPr="00150EDC">
        <w:rPr>
          <w:spacing w:val="-6"/>
        </w:rPr>
        <w:t xml:space="preserve"> </w:t>
      </w:r>
      <w:r w:rsidRPr="00150EDC">
        <w:t>on</w:t>
      </w:r>
      <w:r w:rsidRPr="00150EDC">
        <w:rPr>
          <w:spacing w:val="-6"/>
        </w:rPr>
        <w:t xml:space="preserve"> </w:t>
      </w:r>
      <w:r w:rsidRPr="00150EDC">
        <w:t>a</w:t>
      </w:r>
      <w:r w:rsidRPr="00150EDC">
        <w:rPr>
          <w:spacing w:val="-3"/>
        </w:rPr>
        <w:t xml:space="preserve"> </w:t>
      </w:r>
      <w:r w:rsidRPr="00150EDC">
        <w:t>number</w:t>
      </w:r>
      <w:r w:rsidRPr="00150EDC">
        <w:rPr>
          <w:spacing w:val="-5"/>
        </w:rPr>
        <w:t xml:space="preserve"> </w:t>
      </w:r>
      <w:r w:rsidRPr="00150EDC">
        <w:t>of</w:t>
      </w:r>
      <w:r w:rsidRPr="00150EDC">
        <w:rPr>
          <w:spacing w:val="-4"/>
        </w:rPr>
        <w:t xml:space="preserve"> </w:t>
      </w:r>
      <w:r w:rsidRPr="00150EDC">
        <w:t>assumptions</w:t>
      </w:r>
      <w:r w:rsidRPr="00150EDC">
        <w:rPr>
          <w:spacing w:val="-4"/>
        </w:rPr>
        <w:t xml:space="preserve"> </w:t>
      </w:r>
      <w:r w:rsidRPr="00150EDC">
        <w:t>which</w:t>
      </w:r>
      <w:r w:rsidRPr="00150EDC">
        <w:rPr>
          <w:spacing w:val="-6"/>
        </w:rPr>
        <w:t xml:space="preserve"> </w:t>
      </w:r>
      <w:r w:rsidRPr="00150EDC">
        <w:t>will</w:t>
      </w:r>
      <w:r w:rsidRPr="00150EDC">
        <w:rPr>
          <w:spacing w:val="-5"/>
        </w:rPr>
        <w:t xml:space="preserve"> </w:t>
      </w:r>
      <w:r w:rsidRPr="00150EDC">
        <w:t>not be confirmed until products and trial protocols are finalised, including:</w:t>
      </w:r>
    </w:p>
    <w:p w14:paraId="4D9FC973" w14:textId="77777777" w:rsidR="004C7180" w:rsidRPr="00150EDC" w:rsidRDefault="00CF0754">
      <w:pPr>
        <w:pStyle w:val="ListParagraph"/>
        <w:numPr>
          <w:ilvl w:val="0"/>
          <w:numId w:val="19"/>
        </w:numPr>
        <w:tabs>
          <w:tab w:val="left" w:pos="2840"/>
        </w:tabs>
        <w:spacing w:before="200"/>
        <w:ind w:right="1437"/>
        <w:rPr>
          <w:sz w:val="24"/>
        </w:rPr>
      </w:pPr>
      <w:r w:rsidRPr="00150EDC">
        <w:rPr>
          <w:sz w:val="24"/>
        </w:rPr>
        <w:t>the</w:t>
      </w:r>
      <w:r w:rsidRPr="00150EDC">
        <w:rPr>
          <w:spacing w:val="40"/>
          <w:sz w:val="24"/>
        </w:rPr>
        <w:t xml:space="preserve"> </w:t>
      </w:r>
      <w:r w:rsidRPr="00150EDC">
        <w:rPr>
          <w:sz w:val="24"/>
        </w:rPr>
        <w:t>number</w:t>
      </w:r>
      <w:r w:rsidRPr="00150EDC">
        <w:rPr>
          <w:spacing w:val="40"/>
          <w:sz w:val="24"/>
        </w:rPr>
        <w:t xml:space="preserve"> </w:t>
      </w:r>
      <w:r w:rsidRPr="00150EDC">
        <w:rPr>
          <w:sz w:val="24"/>
        </w:rPr>
        <w:t>of</w:t>
      </w:r>
      <w:r w:rsidRPr="00150EDC">
        <w:rPr>
          <w:spacing w:val="40"/>
          <w:sz w:val="24"/>
        </w:rPr>
        <w:t xml:space="preserve"> </w:t>
      </w:r>
      <w:r w:rsidRPr="00150EDC">
        <w:rPr>
          <w:sz w:val="24"/>
        </w:rPr>
        <w:t>trials</w:t>
      </w:r>
      <w:r w:rsidRPr="00150EDC">
        <w:rPr>
          <w:spacing w:val="40"/>
          <w:sz w:val="24"/>
        </w:rPr>
        <w:t xml:space="preserve"> </w:t>
      </w:r>
      <w:r w:rsidRPr="00150EDC">
        <w:rPr>
          <w:sz w:val="24"/>
        </w:rPr>
        <w:t>that</w:t>
      </w:r>
      <w:r w:rsidRPr="00150EDC">
        <w:rPr>
          <w:spacing w:val="40"/>
          <w:sz w:val="24"/>
        </w:rPr>
        <w:t xml:space="preserve"> </w:t>
      </w:r>
      <w:r w:rsidRPr="00150EDC">
        <w:rPr>
          <w:sz w:val="24"/>
        </w:rPr>
        <w:t>will</w:t>
      </w:r>
      <w:r w:rsidRPr="00150EDC">
        <w:rPr>
          <w:spacing w:val="40"/>
          <w:sz w:val="24"/>
        </w:rPr>
        <w:t xml:space="preserve"> </w:t>
      </w:r>
      <w:r w:rsidRPr="00150EDC">
        <w:rPr>
          <w:sz w:val="24"/>
        </w:rPr>
        <w:t>go</w:t>
      </w:r>
      <w:r w:rsidRPr="00150EDC">
        <w:rPr>
          <w:spacing w:val="40"/>
          <w:sz w:val="24"/>
        </w:rPr>
        <w:t xml:space="preserve"> </w:t>
      </w:r>
      <w:r w:rsidRPr="00150EDC">
        <w:rPr>
          <w:sz w:val="24"/>
        </w:rPr>
        <w:t>ahead</w:t>
      </w:r>
      <w:r w:rsidRPr="00150EDC">
        <w:rPr>
          <w:spacing w:val="40"/>
          <w:sz w:val="24"/>
        </w:rPr>
        <w:t xml:space="preserve"> </w:t>
      </w:r>
      <w:r w:rsidRPr="00150EDC">
        <w:rPr>
          <w:sz w:val="24"/>
        </w:rPr>
        <w:t>(i.e.</w:t>
      </w:r>
      <w:r w:rsidRPr="00150EDC">
        <w:rPr>
          <w:spacing w:val="40"/>
          <w:sz w:val="24"/>
        </w:rPr>
        <w:t xml:space="preserve"> </w:t>
      </w:r>
      <w:r w:rsidRPr="00150EDC">
        <w:rPr>
          <w:sz w:val="24"/>
        </w:rPr>
        <w:t>pass</w:t>
      </w:r>
      <w:r w:rsidRPr="00150EDC">
        <w:rPr>
          <w:spacing w:val="40"/>
          <w:sz w:val="24"/>
        </w:rPr>
        <w:t xml:space="preserve"> </w:t>
      </w:r>
      <w:r w:rsidRPr="00150EDC">
        <w:rPr>
          <w:sz w:val="24"/>
        </w:rPr>
        <w:t>the</w:t>
      </w:r>
      <w:r w:rsidRPr="00150EDC">
        <w:rPr>
          <w:spacing w:val="40"/>
          <w:sz w:val="24"/>
        </w:rPr>
        <w:t xml:space="preserve"> </w:t>
      </w:r>
      <w:r w:rsidRPr="00150EDC">
        <w:rPr>
          <w:sz w:val="24"/>
        </w:rPr>
        <w:t>trial</w:t>
      </w:r>
      <w:r w:rsidRPr="00150EDC">
        <w:rPr>
          <w:spacing w:val="40"/>
          <w:sz w:val="24"/>
        </w:rPr>
        <w:t xml:space="preserve"> </w:t>
      </w:r>
      <w:r w:rsidRPr="00150EDC">
        <w:rPr>
          <w:sz w:val="24"/>
        </w:rPr>
        <w:t xml:space="preserve">readiness </w:t>
      </w:r>
      <w:r w:rsidRPr="00150EDC">
        <w:rPr>
          <w:spacing w:val="-2"/>
          <w:sz w:val="24"/>
        </w:rPr>
        <w:t>assessment)</w:t>
      </w:r>
    </w:p>
    <w:p w14:paraId="06001873" w14:textId="77777777" w:rsidR="004C7180" w:rsidRPr="00150EDC" w:rsidRDefault="00CF0754">
      <w:pPr>
        <w:pStyle w:val="ListParagraph"/>
        <w:numPr>
          <w:ilvl w:val="0"/>
          <w:numId w:val="19"/>
        </w:numPr>
        <w:tabs>
          <w:tab w:val="left" w:pos="2839"/>
        </w:tabs>
        <w:ind w:left="2839" w:hanging="359"/>
        <w:rPr>
          <w:sz w:val="24"/>
        </w:rPr>
      </w:pPr>
      <w:r w:rsidRPr="00150EDC">
        <w:rPr>
          <w:sz w:val="24"/>
        </w:rPr>
        <w:t>the</w:t>
      </w:r>
      <w:r w:rsidRPr="00150EDC">
        <w:rPr>
          <w:spacing w:val="-6"/>
          <w:sz w:val="24"/>
        </w:rPr>
        <w:t xml:space="preserve"> </w:t>
      </w:r>
      <w:r w:rsidRPr="00150EDC">
        <w:rPr>
          <w:sz w:val="24"/>
        </w:rPr>
        <w:t>number</w:t>
      </w:r>
      <w:r w:rsidRPr="00150EDC">
        <w:rPr>
          <w:spacing w:val="-5"/>
          <w:sz w:val="24"/>
        </w:rPr>
        <w:t xml:space="preserve"> </w:t>
      </w:r>
      <w:r w:rsidRPr="00150EDC">
        <w:rPr>
          <w:sz w:val="24"/>
        </w:rPr>
        <w:t>of</w:t>
      </w:r>
      <w:r w:rsidRPr="00150EDC">
        <w:rPr>
          <w:spacing w:val="-1"/>
          <w:sz w:val="24"/>
        </w:rPr>
        <w:t xml:space="preserve"> </w:t>
      </w:r>
      <w:r w:rsidRPr="00150EDC">
        <w:rPr>
          <w:sz w:val="24"/>
        </w:rPr>
        <w:t>Guided</w:t>
      </w:r>
      <w:r w:rsidRPr="00150EDC">
        <w:rPr>
          <w:spacing w:val="-4"/>
          <w:sz w:val="24"/>
        </w:rPr>
        <w:t xml:space="preserve"> </w:t>
      </w:r>
      <w:r w:rsidRPr="00150EDC">
        <w:rPr>
          <w:sz w:val="24"/>
        </w:rPr>
        <w:t>Learning</w:t>
      </w:r>
      <w:r w:rsidRPr="00150EDC">
        <w:rPr>
          <w:spacing w:val="-1"/>
          <w:sz w:val="24"/>
        </w:rPr>
        <w:t xml:space="preserve"> </w:t>
      </w:r>
      <w:r w:rsidRPr="00150EDC">
        <w:rPr>
          <w:sz w:val="24"/>
        </w:rPr>
        <w:t>Hours</w:t>
      </w:r>
      <w:r w:rsidRPr="00150EDC">
        <w:rPr>
          <w:spacing w:val="-2"/>
          <w:sz w:val="24"/>
        </w:rPr>
        <w:t xml:space="preserve"> </w:t>
      </w:r>
      <w:r w:rsidRPr="00150EDC">
        <w:rPr>
          <w:sz w:val="24"/>
        </w:rPr>
        <w:t>for</w:t>
      </w:r>
      <w:r w:rsidRPr="00150EDC">
        <w:rPr>
          <w:spacing w:val="-4"/>
          <w:sz w:val="24"/>
        </w:rPr>
        <w:t xml:space="preserve"> </w:t>
      </w:r>
      <w:r w:rsidRPr="00150EDC">
        <w:rPr>
          <w:sz w:val="24"/>
        </w:rPr>
        <w:t>course</w:t>
      </w:r>
      <w:r w:rsidRPr="00150EDC">
        <w:rPr>
          <w:spacing w:val="-1"/>
          <w:sz w:val="24"/>
        </w:rPr>
        <w:t xml:space="preserve"> </w:t>
      </w:r>
      <w:r w:rsidRPr="00150EDC">
        <w:rPr>
          <w:sz w:val="24"/>
        </w:rPr>
        <w:t>based</w:t>
      </w:r>
      <w:r w:rsidRPr="00150EDC">
        <w:rPr>
          <w:spacing w:val="-1"/>
          <w:sz w:val="24"/>
        </w:rPr>
        <w:t xml:space="preserve"> </w:t>
      </w:r>
      <w:r w:rsidRPr="00150EDC">
        <w:rPr>
          <w:spacing w:val="-2"/>
          <w:sz w:val="24"/>
        </w:rPr>
        <w:t>provision</w:t>
      </w:r>
    </w:p>
    <w:p w14:paraId="4CB694D2" w14:textId="77777777" w:rsidR="004C7180" w:rsidRPr="00150EDC" w:rsidRDefault="00CF0754">
      <w:pPr>
        <w:pStyle w:val="ListParagraph"/>
        <w:numPr>
          <w:ilvl w:val="0"/>
          <w:numId w:val="19"/>
        </w:numPr>
        <w:tabs>
          <w:tab w:val="left" w:pos="2839"/>
        </w:tabs>
        <w:ind w:left="2839"/>
        <w:rPr>
          <w:sz w:val="24"/>
        </w:rPr>
      </w:pPr>
      <w:r w:rsidRPr="00150EDC">
        <w:rPr>
          <w:sz w:val="24"/>
        </w:rPr>
        <w:t>the</w:t>
      </w:r>
      <w:r w:rsidRPr="00150EDC">
        <w:rPr>
          <w:spacing w:val="-4"/>
          <w:sz w:val="24"/>
        </w:rPr>
        <w:t xml:space="preserve"> </w:t>
      </w:r>
      <w:r w:rsidRPr="00150EDC">
        <w:rPr>
          <w:sz w:val="24"/>
        </w:rPr>
        <w:t>per</w:t>
      </w:r>
      <w:r w:rsidRPr="00150EDC">
        <w:rPr>
          <w:spacing w:val="-3"/>
          <w:sz w:val="24"/>
        </w:rPr>
        <w:t xml:space="preserve"> </w:t>
      </w:r>
      <w:r w:rsidRPr="00150EDC">
        <w:rPr>
          <w:sz w:val="24"/>
        </w:rPr>
        <w:t>capita</w:t>
      </w:r>
      <w:r w:rsidRPr="00150EDC">
        <w:rPr>
          <w:spacing w:val="-1"/>
          <w:sz w:val="24"/>
        </w:rPr>
        <w:t xml:space="preserve"> </w:t>
      </w:r>
      <w:r w:rsidRPr="00150EDC">
        <w:rPr>
          <w:sz w:val="24"/>
        </w:rPr>
        <w:t>cost</w:t>
      </w:r>
      <w:r w:rsidRPr="00150EDC">
        <w:rPr>
          <w:spacing w:val="-1"/>
          <w:sz w:val="24"/>
        </w:rPr>
        <w:t xml:space="preserve"> </w:t>
      </w:r>
      <w:r w:rsidRPr="00150EDC">
        <w:rPr>
          <w:sz w:val="24"/>
        </w:rPr>
        <w:t>of</w:t>
      </w:r>
      <w:r w:rsidRPr="00150EDC">
        <w:rPr>
          <w:spacing w:val="-1"/>
          <w:sz w:val="24"/>
        </w:rPr>
        <w:t xml:space="preserve"> </w:t>
      </w:r>
      <w:r w:rsidRPr="00150EDC">
        <w:rPr>
          <w:sz w:val="24"/>
        </w:rPr>
        <w:t>non-course</w:t>
      </w:r>
      <w:r w:rsidRPr="00150EDC">
        <w:rPr>
          <w:spacing w:val="-3"/>
          <w:sz w:val="24"/>
        </w:rPr>
        <w:t xml:space="preserve"> </w:t>
      </w:r>
      <w:r w:rsidRPr="00150EDC">
        <w:rPr>
          <w:sz w:val="24"/>
        </w:rPr>
        <w:t>based</w:t>
      </w:r>
      <w:r w:rsidRPr="00150EDC">
        <w:rPr>
          <w:spacing w:val="-3"/>
          <w:sz w:val="24"/>
        </w:rPr>
        <w:t xml:space="preserve"> </w:t>
      </w:r>
      <w:r w:rsidRPr="00150EDC">
        <w:rPr>
          <w:spacing w:val="-2"/>
          <w:sz w:val="24"/>
        </w:rPr>
        <w:t>provision</w:t>
      </w:r>
    </w:p>
    <w:p w14:paraId="13781A1A" w14:textId="77777777" w:rsidR="004C7180" w:rsidRPr="00150EDC" w:rsidRDefault="00CF0754">
      <w:pPr>
        <w:pStyle w:val="ListParagraph"/>
        <w:numPr>
          <w:ilvl w:val="0"/>
          <w:numId w:val="19"/>
        </w:numPr>
        <w:tabs>
          <w:tab w:val="left" w:pos="2839"/>
        </w:tabs>
        <w:ind w:left="2839"/>
        <w:rPr>
          <w:sz w:val="24"/>
        </w:rPr>
      </w:pPr>
      <w:r w:rsidRPr="00150EDC">
        <w:rPr>
          <w:sz w:val="24"/>
        </w:rPr>
        <w:t>the</w:t>
      </w:r>
      <w:r w:rsidRPr="00150EDC">
        <w:rPr>
          <w:spacing w:val="-4"/>
          <w:sz w:val="24"/>
        </w:rPr>
        <w:t xml:space="preserve"> </w:t>
      </w:r>
      <w:r w:rsidRPr="00150EDC">
        <w:rPr>
          <w:sz w:val="24"/>
        </w:rPr>
        <w:t>number</w:t>
      </w:r>
      <w:r w:rsidRPr="00150EDC">
        <w:rPr>
          <w:spacing w:val="-5"/>
          <w:sz w:val="24"/>
        </w:rPr>
        <w:t xml:space="preserve"> </w:t>
      </w:r>
      <w:r w:rsidRPr="00150EDC">
        <w:rPr>
          <w:sz w:val="24"/>
        </w:rPr>
        <w:t>of</w:t>
      </w:r>
      <w:r w:rsidRPr="00150EDC">
        <w:rPr>
          <w:spacing w:val="-5"/>
          <w:sz w:val="24"/>
        </w:rPr>
        <w:t xml:space="preserve"> </w:t>
      </w:r>
      <w:r w:rsidRPr="00150EDC">
        <w:rPr>
          <w:sz w:val="24"/>
        </w:rPr>
        <w:t>providers/learners</w:t>
      </w:r>
      <w:r w:rsidRPr="00150EDC">
        <w:rPr>
          <w:spacing w:val="-2"/>
          <w:sz w:val="24"/>
        </w:rPr>
        <w:t xml:space="preserve"> </w:t>
      </w:r>
      <w:r w:rsidRPr="00150EDC">
        <w:rPr>
          <w:sz w:val="24"/>
        </w:rPr>
        <w:t>to</w:t>
      </w:r>
      <w:r w:rsidRPr="00150EDC">
        <w:rPr>
          <w:spacing w:val="-2"/>
          <w:sz w:val="24"/>
        </w:rPr>
        <w:t xml:space="preserve"> </w:t>
      </w:r>
      <w:r w:rsidRPr="00150EDC">
        <w:rPr>
          <w:sz w:val="24"/>
        </w:rPr>
        <w:t>be</w:t>
      </w:r>
      <w:r w:rsidRPr="00150EDC">
        <w:rPr>
          <w:spacing w:val="-1"/>
          <w:sz w:val="24"/>
        </w:rPr>
        <w:t xml:space="preserve"> </w:t>
      </w:r>
      <w:r w:rsidRPr="00150EDC">
        <w:rPr>
          <w:sz w:val="24"/>
        </w:rPr>
        <w:t>recruited</w:t>
      </w:r>
      <w:r w:rsidRPr="00150EDC">
        <w:rPr>
          <w:spacing w:val="-2"/>
          <w:sz w:val="24"/>
        </w:rPr>
        <w:t xml:space="preserve"> </w:t>
      </w:r>
      <w:r w:rsidRPr="00150EDC">
        <w:rPr>
          <w:sz w:val="24"/>
        </w:rPr>
        <w:t>to</w:t>
      </w:r>
      <w:r w:rsidRPr="00150EDC">
        <w:rPr>
          <w:spacing w:val="-1"/>
          <w:sz w:val="24"/>
        </w:rPr>
        <w:t xml:space="preserve"> </w:t>
      </w:r>
      <w:r w:rsidRPr="00150EDC">
        <w:rPr>
          <w:sz w:val="24"/>
        </w:rPr>
        <w:t>each</w:t>
      </w:r>
      <w:r w:rsidRPr="00150EDC">
        <w:rPr>
          <w:spacing w:val="-1"/>
          <w:sz w:val="24"/>
        </w:rPr>
        <w:t xml:space="preserve"> </w:t>
      </w:r>
      <w:r w:rsidRPr="00150EDC">
        <w:rPr>
          <w:spacing w:val="-2"/>
          <w:sz w:val="24"/>
        </w:rPr>
        <w:t>trial</w:t>
      </w:r>
    </w:p>
    <w:p w14:paraId="018E1ACF" w14:textId="77777777" w:rsidR="004C7180" w:rsidRPr="00150EDC" w:rsidRDefault="00CF0754">
      <w:pPr>
        <w:pStyle w:val="BodyText"/>
        <w:spacing w:line="276" w:lineRule="auto"/>
        <w:ind w:left="1399" w:right="1459"/>
      </w:pPr>
      <w:r w:rsidRPr="00150EDC">
        <w:t>However, further information about the intervention costs will be confirmed with the supplier as soon as they are available.</w:t>
      </w:r>
    </w:p>
    <w:p w14:paraId="43A735FD" w14:textId="77777777" w:rsidR="004C7180" w:rsidRPr="00150EDC" w:rsidRDefault="00CF0754">
      <w:pPr>
        <w:pStyle w:val="BodyText"/>
        <w:spacing w:before="200" w:line="276" w:lineRule="auto"/>
        <w:ind w:left="1399" w:right="1524"/>
        <w:jc w:val="both"/>
      </w:pPr>
      <w:r w:rsidRPr="00150EDC">
        <w:t>An</w:t>
      </w:r>
      <w:r w:rsidRPr="00150EDC">
        <w:rPr>
          <w:spacing w:val="-1"/>
        </w:rPr>
        <w:t xml:space="preserve"> </w:t>
      </w:r>
      <w:r w:rsidRPr="00150EDC">
        <w:t>additional</w:t>
      </w:r>
      <w:r w:rsidRPr="00150EDC">
        <w:rPr>
          <w:spacing w:val="-2"/>
        </w:rPr>
        <w:t xml:space="preserve"> </w:t>
      </w:r>
      <w:r w:rsidRPr="00150EDC">
        <w:t>c</w:t>
      </w:r>
      <w:r w:rsidRPr="00150EDC">
        <w:rPr>
          <w:spacing w:val="-4"/>
        </w:rPr>
        <w:t xml:space="preserve"> </w:t>
      </w:r>
      <w:r w:rsidRPr="00150EDC">
        <w:t>£4</w:t>
      </w:r>
      <w:r w:rsidRPr="00150EDC">
        <w:rPr>
          <w:spacing w:val="-3"/>
        </w:rPr>
        <w:t xml:space="preserve"> </w:t>
      </w:r>
      <w:r w:rsidRPr="00150EDC">
        <w:t>million</w:t>
      </w:r>
      <w:r w:rsidRPr="00150EDC">
        <w:rPr>
          <w:spacing w:val="-1"/>
        </w:rPr>
        <w:t xml:space="preserve"> </w:t>
      </w:r>
      <w:r w:rsidRPr="00150EDC">
        <w:t>is</w:t>
      </w:r>
      <w:r w:rsidRPr="00150EDC">
        <w:rPr>
          <w:spacing w:val="-2"/>
        </w:rPr>
        <w:t xml:space="preserve"> </w:t>
      </w:r>
      <w:r w:rsidRPr="00150EDC">
        <w:t>available</w:t>
      </w:r>
      <w:r w:rsidRPr="00150EDC">
        <w:rPr>
          <w:spacing w:val="-3"/>
        </w:rPr>
        <w:t xml:space="preserve"> </w:t>
      </w:r>
      <w:r w:rsidRPr="00150EDC">
        <w:t>for</w:t>
      </w:r>
      <w:r w:rsidRPr="00150EDC">
        <w:rPr>
          <w:spacing w:val="-3"/>
        </w:rPr>
        <w:t xml:space="preserve"> </w:t>
      </w:r>
      <w:r w:rsidRPr="00150EDC">
        <w:t>Tranche</w:t>
      </w:r>
      <w:r w:rsidRPr="00150EDC">
        <w:rPr>
          <w:spacing w:val="-1"/>
        </w:rPr>
        <w:t xml:space="preserve"> </w:t>
      </w:r>
      <w:r w:rsidRPr="00150EDC">
        <w:t>2,</w:t>
      </w:r>
      <w:r w:rsidRPr="00150EDC">
        <w:rPr>
          <w:spacing w:val="-1"/>
        </w:rPr>
        <w:t xml:space="preserve"> </w:t>
      </w:r>
      <w:r w:rsidRPr="00150EDC">
        <w:t>which</w:t>
      </w:r>
      <w:r w:rsidRPr="00150EDC">
        <w:rPr>
          <w:spacing w:val="-1"/>
        </w:rPr>
        <w:t xml:space="preserve"> </w:t>
      </w:r>
      <w:r w:rsidRPr="00150EDC">
        <w:t>we</w:t>
      </w:r>
      <w:r w:rsidRPr="00150EDC">
        <w:rPr>
          <w:spacing w:val="-3"/>
        </w:rPr>
        <w:t xml:space="preserve"> </w:t>
      </w:r>
      <w:r w:rsidRPr="00150EDC">
        <w:t>may</w:t>
      </w:r>
      <w:r w:rsidRPr="00150EDC">
        <w:rPr>
          <w:spacing w:val="-2"/>
        </w:rPr>
        <w:t xml:space="preserve"> </w:t>
      </w:r>
      <w:r w:rsidRPr="00150EDC">
        <w:t>include</w:t>
      </w:r>
      <w:r w:rsidRPr="00150EDC">
        <w:rPr>
          <w:spacing w:val="-3"/>
        </w:rPr>
        <w:t xml:space="preserve"> </w:t>
      </w:r>
      <w:r w:rsidRPr="00150EDC">
        <w:t>as</w:t>
      </w:r>
      <w:r w:rsidRPr="00150EDC">
        <w:rPr>
          <w:spacing w:val="-2"/>
        </w:rPr>
        <w:t xml:space="preserve"> </w:t>
      </w:r>
      <w:r w:rsidRPr="00150EDC">
        <w:t>part</w:t>
      </w:r>
      <w:r w:rsidRPr="00150EDC">
        <w:rPr>
          <w:spacing w:val="-1"/>
        </w:rPr>
        <w:t xml:space="preserve"> </w:t>
      </w:r>
      <w:r w:rsidRPr="00150EDC">
        <w:t>of an optional extension to the contract.</w:t>
      </w:r>
    </w:p>
    <w:p w14:paraId="00CF0CFF" w14:textId="77777777" w:rsidR="004C7180" w:rsidRPr="00150EDC" w:rsidRDefault="00CF0754">
      <w:pPr>
        <w:pStyle w:val="BodyText"/>
        <w:spacing w:before="201" w:line="276" w:lineRule="auto"/>
        <w:ind w:left="1400" w:right="1442"/>
      </w:pPr>
      <w:r w:rsidRPr="00150EDC">
        <w:t xml:space="preserve">In entering a contract with the </w:t>
      </w:r>
      <w:r w:rsidRPr="00150EDC">
        <w:rPr>
          <w:b/>
        </w:rPr>
        <w:t>delivery supplier</w:t>
      </w:r>
      <w:r w:rsidRPr="00150EDC">
        <w:t>, the Department is not committing</w:t>
      </w:r>
      <w:r w:rsidRPr="00150EDC">
        <w:rPr>
          <w:spacing w:val="40"/>
        </w:rPr>
        <w:t xml:space="preserve"> </w:t>
      </w:r>
      <w:r w:rsidRPr="00150EDC">
        <w:t>to spend the entire budget.</w:t>
      </w:r>
      <w:r w:rsidRPr="00150EDC">
        <w:rPr>
          <w:spacing w:val="80"/>
        </w:rPr>
        <w:t xml:space="preserve"> </w:t>
      </w:r>
      <w:r w:rsidRPr="00150EDC">
        <w:t xml:space="preserve">The total spend is </w:t>
      </w:r>
      <w:r w:rsidRPr="00150EDC">
        <w:rPr>
          <w:u w:val="single"/>
        </w:rPr>
        <w:t>dependent on the number of RCTs</w:t>
      </w:r>
      <w:r w:rsidRPr="00150EDC">
        <w:t xml:space="preserve"> </w:t>
      </w:r>
      <w:r w:rsidRPr="00150EDC">
        <w:rPr>
          <w:u w:val="single"/>
        </w:rPr>
        <w:t>that</w:t>
      </w:r>
      <w:r w:rsidRPr="00150EDC">
        <w:rPr>
          <w:spacing w:val="-4"/>
          <w:u w:val="single"/>
        </w:rPr>
        <w:t xml:space="preserve"> </w:t>
      </w:r>
      <w:r w:rsidRPr="00150EDC">
        <w:rPr>
          <w:u w:val="single"/>
        </w:rPr>
        <w:t>are</w:t>
      </w:r>
      <w:r w:rsidRPr="00150EDC">
        <w:rPr>
          <w:spacing w:val="-1"/>
          <w:u w:val="single"/>
        </w:rPr>
        <w:t xml:space="preserve"> </w:t>
      </w:r>
      <w:r w:rsidRPr="00150EDC">
        <w:rPr>
          <w:u w:val="single"/>
        </w:rPr>
        <w:t>approved</w:t>
      </w:r>
      <w:r w:rsidRPr="00150EDC">
        <w:rPr>
          <w:spacing w:val="-5"/>
        </w:rPr>
        <w:t xml:space="preserve"> </w:t>
      </w:r>
      <w:r w:rsidRPr="00150EDC">
        <w:t>by</w:t>
      </w:r>
      <w:r w:rsidRPr="00150EDC">
        <w:rPr>
          <w:spacing w:val="-2"/>
        </w:rPr>
        <w:t xml:space="preserve"> </w:t>
      </w:r>
      <w:r w:rsidRPr="00150EDC">
        <w:t>the</w:t>
      </w:r>
      <w:r w:rsidRPr="00150EDC">
        <w:rPr>
          <w:spacing w:val="-1"/>
        </w:rPr>
        <w:t xml:space="preserve"> </w:t>
      </w:r>
      <w:r w:rsidRPr="00150EDC">
        <w:t>DfE</w:t>
      </w:r>
      <w:r w:rsidRPr="00150EDC">
        <w:rPr>
          <w:spacing w:val="-1"/>
        </w:rPr>
        <w:t xml:space="preserve"> </w:t>
      </w:r>
      <w:r w:rsidRPr="00150EDC">
        <w:t>RCT</w:t>
      </w:r>
      <w:r w:rsidRPr="00150EDC">
        <w:rPr>
          <w:spacing w:val="-2"/>
        </w:rPr>
        <w:t xml:space="preserve"> </w:t>
      </w:r>
      <w:r w:rsidRPr="00150EDC">
        <w:t>Steering</w:t>
      </w:r>
      <w:r w:rsidRPr="00150EDC">
        <w:rPr>
          <w:spacing w:val="-3"/>
        </w:rPr>
        <w:t xml:space="preserve"> </w:t>
      </w:r>
      <w:r w:rsidRPr="00150EDC">
        <w:t>Group.</w:t>
      </w:r>
      <w:r w:rsidRPr="00150EDC">
        <w:rPr>
          <w:spacing w:val="-1"/>
        </w:rPr>
        <w:t xml:space="preserve"> </w:t>
      </w:r>
      <w:r w:rsidRPr="00150EDC">
        <w:t>However,</w:t>
      </w:r>
      <w:r w:rsidRPr="00150EDC">
        <w:rPr>
          <w:spacing w:val="-1"/>
        </w:rPr>
        <w:t xml:space="preserve"> </w:t>
      </w:r>
      <w:r w:rsidRPr="00150EDC">
        <w:t>if</w:t>
      </w:r>
      <w:r w:rsidRPr="00150EDC">
        <w:rPr>
          <w:spacing w:val="-4"/>
        </w:rPr>
        <w:t xml:space="preserve"> </w:t>
      </w:r>
      <w:r w:rsidRPr="00150EDC">
        <w:t>the</w:t>
      </w:r>
      <w:r w:rsidRPr="00150EDC">
        <w:rPr>
          <w:spacing w:val="-3"/>
        </w:rPr>
        <w:t xml:space="preserve"> </w:t>
      </w:r>
      <w:r w:rsidRPr="00150EDC">
        <w:t>number</w:t>
      </w:r>
      <w:r w:rsidRPr="00150EDC">
        <w:rPr>
          <w:spacing w:val="-5"/>
        </w:rPr>
        <w:t xml:space="preserve"> </w:t>
      </w:r>
      <w:r w:rsidRPr="00150EDC">
        <w:t>of</w:t>
      </w:r>
      <w:r w:rsidRPr="00150EDC">
        <w:rPr>
          <w:spacing w:val="-1"/>
        </w:rPr>
        <w:t xml:space="preserve"> </w:t>
      </w:r>
      <w:r w:rsidRPr="00150EDC">
        <w:t>trials</w:t>
      </w:r>
      <w:r w:rsidRPr="00150EDC">
        <w:rPr>
          <w:spacing w:val="-2"/>
        </w:rPr>
        <w:t xml:space="preserve"> </w:t>
      </w:r>
      <w:r w:rsidRPr="00150EDC">
        <w:t>is reduced, the intention is to increase the number of learners recruited to each trial so that the total number of learners involved is c.15,000 across the 15 trials (12,000 across the 13 trials outlined in Annex A to be delivered through this contract).</w:t>
      </w:r>
    </w:p>
    <w:p w14:paraId="223248AA" w14:textId="77777777" w:rsidR="004C7180" w:rsidRPr="00150EDC" w:rsidRDefault="00CF0754">
      <w:pPr>
        <w:pStyle w:val="BodyText"/>
        <w:spacing w:before="200" w:line="276" w:lineRule="auto"/>
        <w:ind w:left="1400" w:right="1459"/>
      </w:pPr>
      <w:r w:rsidRPr="00150EDC">
        <w:t>The</w:t>
      </w:r>
      <w:r w:rsidRPr="00150EDC">
        <w:rPr>
          <w:spacing w:val="-2"/>
        </w:rPr>
        <w:t xml:space="preserve"> </w:t>
      </w:r>
      <w:r w:rsidRPr="00150EDC">
        <w:t>Department</w:t>
      </w:r>
      <w:r w:rsidRPr="00150EDC">
        <w:rPr>
          <w:spacing w:val="-5"/>
        </w:rPr>
        <w:t xml:space="preserve"> </w:t>
      </w:r>
      <w:r w:rsidRPr="00150EDC">
        <w:t>will</w:t>
      </w:r>
      <w:r w:rsidRPr="00150EDC">
        <w:rPr>
          <w:spacing w:val="-3"/>
        </w:rPr>
        <w:t xml:space="preserve"> </w:t>
      </w:r>
      <w:r w:rsidRPr="00150EDC">
        <w:t>agree</w:t>
      </w:r>
      <w:r w:rsidRPr="00150EDC">
        <w:rPr>
          <w:spacing w:val="-2"/>
        </w:rPr>
        <w:t xml:space="preserve"> </w:t>
      </w:r>
      <w:r w:rsidRPr="00150EDC">
        <w:t>a</w:t>
      </w:r>
      <w:r w:rsidRPr="00150EDC">
        <w:rPr>
          <w:spacing w:val="-4"/>
        </w:rPr>
        <w:t xml:space="preserve"> </w:t>
      </w:r>
      <w:r w:rsidRPr="00150EDC">
        <w:t>series</w:t>
      </w:r>
      <w:r w:rsidRPr="00150EDC">
        <w:rPr>
          <w:spacing w:val="-3"/>
        </w:rPr>
        <w:t xml:space="preserve"> </w:t>
      </w:r>
      <w:r w:rsidRPr="00150EDC">
        <w:t>of</w:t>
      </w:r>
      <w:r w:rsidRPr="00150EDC">
        <w:rPr>
          <w:spacing w:val="-2"/>
        </w:rPr>
        <w:t xml:space="preserve"> </w:t>
      </w:r>
      <w:r w:rsidRPr="00150EDC">
        <w:t>costed</w:t>
      </w:r>
      <w:r w:rsidRPr="00150EDC">
        <w:rPr>
          <w:spacing w:val="-4"/>
        </w:rPr>
        <w:t xml:space="preserve"> </w:t>
      </w:r>
      <w:r w:rsidRPr="00150EDC">
        <w:t>Statements</w:t>
      </w:r>
      <w:r w:rsidRPr="00150EDC">
        <w:rPr>
          <w:spacing w:val="-5"/>
        </w:rPr>
        <w:t xml:space="preserve"> </w:t>
      </w:r>
      <w:r w:rsidRPr="00150EDC">
        <w:t>of</w:t>
      </w:r>
      <w:r w:rsidRPr="00150EDC">
        <w:rPr>
          <w:spacing w:val="-5"/>
        </w:rPr>
        <w:t xml:space="preserve"> </w:t>
      </w:r>
      <w:r w:rsidRPr="00150EDC">
        <w:t>Work</w:t>
      </w:r>
      <w:r w:rsidRPr="00150EDC">
        <w:rPr>
          <w:spacing w:val="-3"/>
        </w:rPr>
        <w:t xml:space="preserve"> </w:t>
      </w:r>
      <w:r w:rsidRPr="00150EDC">
        <w:t>with</w:t>
      </w:r>
      <w:r w:rsidRPr="00150EDC">
        <w:rPr>
          <w:spacing w:val="-2"/>
        </w:rPr>
        <w:t xml:space="preserve"> </w:t>
      </w:r>
      <w:r w:rsidRPr="00150EDC">
        <w:t>the</w:t>
      </w:r>
      <w:r w:rsidRPr="00150EDC">
        <w:rPr>
          <w:spacing w:val="-2"/>
        </w:rPr>
        <w:t xml:space="preserve"> </w:t>
      </w:r>
      <w:r w:rsidRPr="00150EDC">
        <w:rPr>
          <w:b/>
        </w:rPr>
        <w:t>delivery supplier</w:t>
      </w:r>
      <w:r w:rsidRPr="00150EDC">
        <w:rPr>
          <w:b/>
          <w:spacing w:val="-2"/>
        </w:rPr>
        <w:t xml:space="preserve"> </w:t>
      </w:r>
      <w:r w:rsidRPr="00150EDC">
        <w:t>to</w:t>
      </w:r>
      <w:r w:rsidRPr="00150EDC">
        <w:rPr>
          <w:spacing w:val="-1"/>
        </w:rPr>
        <w:t xml:space="preserve"> </w:t>
      </w:r>
      <w:r w:rsidRPr="00150EDC">
        <w:t>reflect</w:t>
      </w:r>
      <w:r w:rsidRPr="00150EDC">
        <w:rPr>
          <w:spacing w:val="-1"/>
        </w:rPr>
        <w:t xml:space="preserve"> </w:t>
      </w:r>
      <w:r w:rsidRPr="00150EDC">
        <w:t>the</w:t>
      </w:r>
      <w:r w:rsidRPr="00150EDC">
        <w:rPr>
          <w:spacing w:val="-3"/>
        </w:rPr>
        <w:t xml:space="preserve"> </w:t>
      </w:r>
      <w:r w:rsidRPr="00150EDC">
        <w:t>scope</w:t>
      </w:r>
      <w:r w:rsidRPr="00150EDC">
        <w:rPr>
          <w:spacing w:val="-3"/>
        </w:rPr>
        <w:t xml:space="preserve"> </w:t>
      </w:r>
      <w:r w:rsidRPr="00150EDC">
        <w:t>and</w:t>
      </w:r>
      <w:r w:rsidRPr="00150EDC">
        <w:rPr>
          <w:spacing w:val="-3"/>
        </w:rPr>
        <w:t xml:space="preserve"> </w:t>
      </w:r>
      <w:r w:rsidRPr="00150EDC">
        <w:t>price</w:t>
      </w:r>
      <w:r w:rsidRPr="00150EDC">
        <w:rPr>
          <w:spacing w:val="-3"/>
        </w:rPr>
        <w:t xml:space="preserve"> </w:t>
      </w:r>
      <w:r w:rsidRPr="00150EDC">
        <w:t>of</w:t>
      </w:r>
      <w:r w:rsidRPr="00150EDC">
        <w:rPr>
          <w:spacing w:val="-1"/>
        </w:rPr>
        <w:t xml:space="preserve"> </w:t>
      </w:r>
      <w:r w:rsidRPr="00150EDC">
        <w:t>each</w:t>
      </w:r>
      <w:r w:rsidRPr="00150EDC">
        <w:rPr>
          <w:spacing w:val="-1"/>
        </w:rPr>
        <w:t xml:space="preserve"> </w:t>
      </w:r>
      <w:r w:rsidRPr="00150EDC">
        <w:t>trial</w:t>
      </w:r>
      <w:r w:rsidRPr="00150EDC">
        <w:rPr>
          <w:spacing w:val="-2"/>
        </w:rPr>
        <w:t xml:space="preserve"> </w:t>
      </w:r>
      <w:r w:rsidRPr="00150EDC">
        <w:t>that</w:t>
      </w:r>
      <w:r w:rsidRPr="00150EDC">
        <w:rPr>
          <w:spacing w:val="-1"/>
        </w:rPr>
        <w:t xml:space="preserve"> </w:t>
      </w:r>
      <w:r w:rsidRPr="00150EDC">
        <w:t>is</w:t>
      </w:r>
      <w:r w:rsidRPr="00150EDC">
        <w:rPr>
          <w:spacing w:val="-2"/>
        </w:rPr>
        <w:t xml:space="preserve"> </w:t>
      </w:r>
      <w:r w:rsidRPr="00150EDC">
        <w:t>approved</w:t>
      </w:r>
      <w:r w:rsidRPr="00150EDC">
        <w:rPr>
          <w:spacing w:val="-3"/>
        </w:rPr>
        <w:t xml:space="preserve"> </w:t>
      </w:r>
      <w:r w:rsidRPr="00150EDC">
        <w:t>to</w:t>
      </w:r>
      <w:r w:rsidRPr="00150EDC">
        <w:rPr>
          <w:spacing w:val="-1"/>
        </w:rPr>
        <w:t xml:space="preserve"> </w:t>
      </w:r>
      <w:r w:rsidRPr="00150EDC">
        <w:t>go</w:t>
      </w:r>
      <w:r w:rsidRPr="00150EDC">
        <w:rPr>
          <w:spacing w:val="-1"/>
        </w:rPr>
        <w:t xml:space="preserve"> </w:t>
      </w:r>
      <w:r w:rsidRPr="00150EDC">
        <w:t>into</w:t>
      </w:r>
      <w:r w:rsidRPr="00150EDC">
        <w:rPr>
          <w:spacing w:val="-1"/>
        </w:rPr>
        <w:t xml:space="preserve"> </w:t>
      </w:r>
      <w:r w:rsidRPr="00150EDC">
        <w:t>field, payment will be in arrears on the completion of milestones. Please see Order Schedule 5 for further information.</w:t>
      </w:r>
    </w:p>
    <w:p w14:paraId="7E1A53CF" w14:textId="77777777" w:rsidR="004C7180" w:rsidRPr="00150EDC" w:rsidRDefault="00CF0754">
      <w:pPr>
        <w:pStyle w:val="BodyText"/>
        <w:spacing w:before="200" w:line="276" w:lineRule="auto"/>
        <w:ind w:left="1400" w:right="1436"/>
        <w:jc w:val="both"/>
      </w:pPr>
      <w:r w:rsidRPr="00150EDC">
        <w:t>The</w:t>
      </w:r>
      <w:r w:rsidRPr="00150EDC">
        <w:rPr>
          <w:spacing w:val="-17"/>
        </w:rPr>
        <w:t xml:space="preserve"> </w:t>
      </w:r>
      <w:r w:rsidRPr="00150EDC">
        <w:t>maximum</w:t>
      </w:r>
      <w:r w:rsidRPr="00150EDC">
        <w:rPr>
          <w:spacing w:val="-17"/>
        </w:rPr>
        <w:t xml:space="preserve"> </w:t>
      </w:r>
      <w:r w:rsidRPr="00150EDC">
        <w:t>budget</w:t>
      </w:r>
      <w:r w:rsidRPr="00150EDC">
        <w:rPr>
          <w:spacing w:val="-16"/>
        </w:rPr>
        <w:t xml:space="preserve"> </w:t>
      </w:r>
      <w:r w:rsidRPr="00150EDC">
        <w:t>is</w:t>
      </w:r>
      <w:r w:rsidRPr="00150EDC">
        <w:rPr>
          <w:spacing w:val="-17"/>
        </w:rPr>
        <w:t xml:space="preserve"> </w:t>
      </w:r>
      <w:r w:rsidRPr="00150EDC">
        <w:t>fixed</w:t>
      </w:r>
      <w:r w:rsidRPr="00150EDC">
        <w:rPr>
          <w:spacing w:val="-17"/>
        </w:rPr>
        <w:t xml:space="preserve"> </w:t>
      </w:r>
      <w:r w:rsidRPr="00150EDC">
        <w:t>so</w:t>
      </w:r>
      <w:r w:rsidRPr="00150EDC">
        <w:rPr>
          <w:spacing w:val="-17"/>
        </w:rPr>
        <w:t xml:space="preserve"> </w:t>
      </w:r>
      <w:r w:rsidRPr="00150EDC">
        <w:t>potential</w:t>
      </w:r>
      <w:r w:rsidRPr="00150EDC">
        <w:rPr>
          <w:spacing w:val="-16"/>
        </w:rPr>
        <w:t xml:space="preserve"> </w:t>
      </w:r>
      <w:r w:rsidRPr="00150EDC">
        <w:rPr>
          <w:b/>
        </w:rPr>
        <w:t>delivery</w:t>
      </w:r>
      <w:r w:rsidRPr="00150EDC">
        <w:rPr>
          <w:b/>
          <w:spacing w:val="-17"/>
        </w:rPr>
        <w:t xml:space="preserve"> </w:t>
      </w:r>
      <w:r w:rsidRPr="00150EDC">
        <w:rPr>
          <w:b/>
        </w:rPr>
        <w:t>suppliers</w:t>
      </w:r>
      <w:r w:rsidRPr="00150EDC">
        <w:rPr>
          <w:b/>
          <w:spacing w:val="-17"/>
        </w:rPr>
        <w:t xml:space="preserve"> </w:t>
      </w:r>
      <w:r w:rsidRPr="00150EDC">
        <w:t>should</w:t>
      </w:r>
      <w:r w:rsidRPr="00150EDC">
        <w:rPr>
          <w:spacing w:val="-16"/>
        </w:rPr>
        <w:t xml:space="preserve"> </w:t>
      </w:r>
      <w:r w:rsidRPr="00150EDC">
        <w:t>take</w:t>
      </w:r>
      <w:r w:rsidRPr="00150EDC">
        <w:rPr>
          <w:spacing w:val="-16"/>
        </w:rPr>
        <w:t xml:space="preserve"> </w:t>
      </w:r>
      <w:r w:rsidRPr="00150EDC">
        <w:t>into</w:t>
      </w:r>
      <w:r w:rsidRPr="00150EDC">
        <w:rPr>
          <w:spacing w:val="-15"/>
        </w:rPr>
        <w:t xml:space="preserve"> </w:t>
      </w:r>
      <w:r w:rsidRPr="00150EDC">
        <w:t>account inflation over the period the project will be live when submitting their price.</w:t>
      </w:r>
    </w:p>
    <w:p w14:paraId="530E1E6D" w14:textId="77777777" w:rsidR="004C7180" w:rsidRPr="00150EDC" w:rsidRDefault="004C7180">
      <w:pPr>
        <w:pStyle w:val="BodyText"/>
        <w:spacing w:before="8"/>
        <w:rPr>
          <w:sz w:val="20"/>
        </w:rPr>
      </w:pPr>
    </w:p>
    <w:p w14:paraId="5FB22552" w14:textId="77777777" w:rsidR="004C7180" w:rsidRPr="00150EDC" w:rsidRDefault="00CF0754">
      <w:pPr>
        <w:pStyle w:val="BodyText"/>
        <w:spacing w:before="1" w:line="278" w:lineRule="auto"/>
        <w:ind w:left="1400" w:right="1459"/>
      </w:pPr>
      <w:r w:rsidRPr="00150EDC">
        <w:t>The</w:t>
      </w:r>
      <w:r w:rsidRPr="00150EDC">
        <w:rPr>
          <w:spacing w:val="-2"/>
        </w:rPr>
        <w:t xml:space="preserve"> </w:t>
      </w:r>
      <w:r w:rsidRPr="00150EDC">
        <w:rPr>
          <w:b/>
        </w:rPr>
        <w:t>delivery</w:t>
      </w:r>
      <w:r w:rsidRPr="00150EDC">
        <w:rPr>
          <w:b/>
          <w:spacing w:val="-2"/>
        </w:rPr>
        <w:t xml:space="preserve"> </w:t>
      </w:r>
      <w:r w:rsidRPr="00150EDC">
        <w:rPr>
          <w:b/>
        </w:rPr>
        <w:t>supplier</w:t>
      </w:r>
      <w:r w:rsidRPr="00150EDC">
        <w:rPr>
          <w:b/>
          <w:spacing w:val="-5"/>
        </w:rPr>
        <w:t xml:space="preserve"> </w:t>
      </w:r>
      <w:r w:rsidRPr="00150EDC">
        <w:t>will</w:t>
      </w:r>
      <w:r w:rsidRPr="00150EDC">
        <w:rPr>
          <w:spacing w:val="-3"/>
        </w:rPr>
        <w:t xml:space="preserve"> </w:t>
      </w:r>
      <w:r w:rsidRPr="00150EDC">
        <w:t>be</w:t>
      </w:r>
      <w:r w:rsidRPr="00150EDC">
        <w:rPr>
          <w:spacing w:val="-2"/>
        </w:rPr>
        <w:t xml:space="preserve"> </w:t>
      </w:r>
      <w:r w:rsidRPr="00150EDC">
        <w:t>responsible</w:t>
      </w:r>
      <w:r w:rsidRPr="00150EDC">
        <w:rPr>
          <w:spacing w:val="-2"/>
        </w:rPr>
        <w:t xml:space="preserve"> </w:t>
      </w:r>
      <w:r w:rsidRPr="00150EDC">
        <w:t>for</w:t>
      </w:r>
      <w:r w:rsidRPr="00150EDC">
        <w:rPr>
          <w:spacing w:val="-6"/>
        </w:rPr>
        <w:t xml:space="preserve"> </w:t>
      </w:r>
      <w:r w:rsidRPr="00150EDC">
        <w:t>administration</w:t>
      </w:r>
      <w:r w:rsidRPr="00150EDC">
        <w:rPr>
          <w:spacing w:val="-4"/>
        </w:rPr>
        <w:t xml:space="preserve"> </w:t>
      </w:r>
      <w:r w:rsidRPr="00150EDC">
        <w:t>of</w:t>
      </w:r>
      <w:r w:rsidRPr="00150EDC">
        <w:rPr>
          <w:spacing w:val="-5"/>
        </w:rPr>
        <w:t xml:space="preserve"> </w:t>
      </w:r>
      <w:r w:rsidRPr="00150EDC">
        <w:t>these</w:t>
      </w:r>
      <w:r w:rsidRPr="00150EDC">
        <w:rPr>
          <w:spacing w:val="-4"/>
        </w:rPr>
        <w:t xml:space="preserve"> </w:t>
      </w:r>
      <w:r w:rsidRPr="00150EDC">
        <w:t>payments,</w:t>
      </w:r>
      <w:r w:rsidRPr="00150EDC">
        <w:rPr>
          <w:spacing w:val="-2"/>
        </w:rPr>
        <w:t xml:space="preserve"> </w:t>
      </w:r>
      <w:r w:rsidRPr="00150EDC">
        <w:t xml:space="preserve">to </w:t>
      </w:r>
      <w:r w:rsidRPr="00150EDC">
        <w:rPr>
          <w:spacing w:val="-2"/>
        </w:rPr>
        <w:t>include:</w:t>
      </w:r>
    </w:p>
    <w:p w14:paraId="504E9FF1" w14:textId="77777777" w:rsidR="004C7180" w:rsidRPr="00150EDC" w:rsidRDefault="00CF0754">
      <w:pPr>
        <w:pStyle w:val="ListParagraph"/>
        <w:numPr>
          <w:ilvl w:val="0"/>
          <w:numId w:val="18"/>
        </w:numPr>
        <w:tabs>
          <w:tab w:val="left" w:pos="2091"/>
        </w:tabs>
        <w:spacing w:before="195"/>
        <w:ind w:right="1605"/>
        <w:rPr>
          <w:sz w:val="24"/>
        </w:rPr>
      </w:pPr>
      <w:r w:rsidRPr="00150EDC">
        <w:rPr>
          <w:sz w:val="24"/>
        </w:rPr>
        <w:t>Acting</w:t>
      </w:r>
      <w:r w:rsidRPr="00150EDC">
        <w:rPr>
          <w:spacing w:val="-3"/>
          <w:sz w:val="24"/>
        </w:rPr>
        <w:t xml:space="preserve"> </w:t>
      </w:r>
      <w:r w:rsidRPr="00150EDC">
        <w:rPr>
          <w:sz w:val="24"/>
        </w:rPr>
        <w:t>as</w:t>
      </w:r>
      <w:r w:rsidRPr="00150EDC">
        <w:rPr>
          <w:spacing w:val="-3"/>
          <w:sz w:val="24"/>
        </w:rPr>
        <w:t xml:space="preserve"> </w:t>
      </w:r>
      <w:r w:rsidRPr="00150EDC">
        <w:rPr>
          <w:sz w:val="24"/>
        </w:rPr>
        <w:t>the</w:t>
      </w:r>
      <w:r w:rsidRPr="00150EDC">
        <w:rPr>
          <w:spacing w:val="-3"/>
          <w:sz w:val="24"/>
        </w:rPr>
        <w:t xml:space="preserve"> </w:t>
      </w:r>
      <w:r w:rsidRPr="00150EDC">
        <w:rPr>
          <w:sz w:val="24"/>
        </w:rPr>
        <w:t>main</w:t>
      </w:r>
      <w:r w:rsidRPr="00150EDC">
        <w:rPr>
          <w:spacing w:val="-4"/>
          <w:sz w:val="24"/>
        </w:rPr>
        <w:t xml:space="preserve"> </w:t>
      </w:r>
      <w:r w:rsidRPr="00150EDC">
        <w:rPr>
          <w:sz w:val="24"/>
        </w:rPr>
        <w:t>point</w:t>
      </w:r>
      <w:r w:rsidRPr="00150EDC">
        <w:rPr>
          <w:spacing w:val="-2"/>
          <w:sz w:val="24"/>
        </w:rPr>
        <w:t xml:space="preserve"> </w:t>
      </w:r>
      <w:r w:rsidRPr="00150EDC">
        <w:rPr>
          <w:sz w:val="24"/>
        </w:rPr>
        <w:t>of</w:t>
      </w:r>
      <w:r w:rsidRPr="00150EDC">
        <w:rPr>
          <w:spacing w:val="-4"/>
          <w:sz w:val="24"/>
        </w:rPr>
        <w:t xml:space="preserve"> </w:t>
      </w:r>
      <w:r w:rsidRPr="00150EDC">
        <w:rPr>
          <w:sz w:val="24"/>
        </w:rPr>
        <w:t>contact</w:t>
      </w:r>
      <w:r w:rsidRPr="00150EDC">
        <w:rPr>
          <w:spacing w:val="-4"/>
          <w:sz w:val="24"/>
        </w:rPr>
        <w:t xml:space="preserve"> </w:t>
      </w:r>
      <w:r w:rsidRPr="00150EDC">
        <w:rPr>
          <w:sz w:val="24"/>
        </w:rPr>
        <w:t>for</w:t>
      </w:r>
      <w:r w:rsidRPr="00150EDC">
        <w:rPr>
          <w:spacing w:val="-3"/>
          <w:sz w:val="24"/>
        </w:rPr>
        <w:t xml:space="preserve"> </w:t>
      </w:r>
      <w:r w:rsidRPr="00150EDC">
        <w:rPr>
          <w:sz w:val="24"/>
        </w:rPr>
        <w:t>funding</w:t>
      </w:r>
      <w:r w:rsidRPr="00150EDC">
        <w:rPr>
          <w:spacing w:val="-2"/>
          <w:sz w:val="24"/>
        </w:rPr>
        <w:t xml:space="preserve"> </w:t>
      </w:r>
      <w:r w:rsidRPr="00150EDC">
        <w:rPr>
          <w:sz w:val="24"/>
        </w:rPr>
        <w:t>recipients</w:t>
      </w:r>
      <w:r w:rsidRPr="00150EDC">
        <w:rPr>
          <w:spacing w:val="-3"/>
          <w:sz w:val="24"/>
        </w:rPr>
        <w:t xml:space="preserve"> </w:t>
      </w:r>
      <w:r w:rsidRPr="00150EDC">
        <w:rPr>
          <w:sz w:val="24"/>
        </w:rPr>
        <w:t>(the</w:t>
      </w:r>
      <w:r w:rsidRPr="00150EDC">
        <w:rPr>
          <w:spacing w:val="-3"/>
          <w:sz w:val="24"/>
        </w:rPr>
        <w:t xml:space="preserve"> </w:t>
      </w:r>
      <w:r w:rsidRPr="00150EDC">
        <w:rPr>
          <w:sz w:val="24"/>
        </w:rPr>
        <w:t>providers).</w:t>
      </w:r>
      <w:r w:rsidRPr="00150EDC">
        <w:rPr>
          <w:spacing w:val="-2"/>
          <w:sz w:val="24"/>
        </w:rPr>
        <w:t xml:space="preserve"> </w:t>
      </w:r>
      <w:r w:rsidRPr="00150EDC">
        <w:rPr>
          <w:sz w:val="24"/>
        </w:rPr>
        <w:t>This includes</w:t>
      </w:r>
      <w:r w:rsidRPr="00150EDC">
        <w:rPr>
          <w:spacing w:val="-1"/>
          <w:sz w:val="24"/>
        </w:rPr>
        <w:t xml:space="preserve"> </w:t>
      </w:r>
      <w:r w:rsidRPr="00150EDC">
        <w:rPr>
          <w:sz w:val="24"/>
        </w:rPr>
        <w:t>managing relationships with all recipients</w:t>
      </w:r>
      <w:r w:rsidRPr="00150EDC">
        <w:rPr>
          <w:spacing w:val="-1"/>
          <w:sz w:val="24"/>
        </w:rPr>
        <w:t xml:space="preserve"> </w:t>
      </w:r>
      <w:r w:rsidRPr="00150EDC">
        <w:rPr>
          <w:sz w:val="24"/>
        </w:rPr>
        <w:t>and relevant stakeholders</w:t>
      </w:r>
    </w:p>
    <w:p w14:paraId="735AC2A1" w14:textId="77777777" w:rsidR="004C7180" w:rsidRPr="00150EDC" w:rsidRDefault="004C7180">
      <w:pPr>
        <w:rPr>
          <w:sz w:val="24"/>
        </w:rPr>
        <w:sectPr w:rsidR="004C7180" w:rsidRPr="00150EDC">
          <w:pgSz w:w="11910" w:h="16840"/>
          <w:pgMar w:top="1220" w:right="0" w:bottom="660" w:left="40" w:header="149" w:footer="465" w:gutter="0"/>
          <w:cols w:space="720"/>
        </w:sectPr>
      </w:pPr>
    </w:p>
    <w:p w14:paraId="7BE991C5" w14:textId="77777777" w:rsidR="004C7180" w:rsidRPr="00150EDC" w:rsidRDefault="004C7180">
      <w:pPr>
        <w:pStyle w:val="BodyText"/>
        <w:spacing w:before="1"/>
        <w:rPr>
          <w:sz w:val="10"/>
        </w:rPr>
      </w:pPr>
    </w:p>
    <w:p w14:paraId="4A8A395D" w14:textId="77777777" w:rsidR="004C7180" w:rsidRPr="00150EDC" w:rsidRDefault="00CF0754">
      <w:pPr>
        <w:pStyle w:val="BodyText"/>
        <w:spacing w:before="92"/>
        <w:ind w:left="2091" w:right="1459"/>
      </w:pPr>
      <w:r w:rsidRPr="00150EDC">
        <w:t>by</w:t>
      </w:r>
      <w:r w:rsidRPr="00150EDC">
        <w:rPr>
          <w:spacing w:val="-3"/>
        </w:rPr>
        <w:t xml:space="preserve"> </w:t>
      </w:r>
      <w:r w:rsidRPr="00150EDC">
        <w:t>providing</w:t>
      </w:r>
      <w:r w:rsidRPr="00150EDC">
        <w:rPr>
          <w:spacing w:val="-2"/>
        </w:rPr>
        <w:t xml:space="preserve"> </w:t>
      </w:r>
      <w:r w:rsidRPr="00150EDC">
        <w:t>advice</w:t>
      </w:r>
      <w:r w:rsidRPr="00150EDC">
        <w:rPr>
          <w:spacing w:val="-2"/>
        </w:rPr>
        <w:t xml:space="preserve"> </w:t>
      </w:r>
      <w:r w:rsidRPr="00150EDC">
        <w:t>or</w:t>
      </w:r>
      <w:r w:rsidRPr="00150EDC">
        <w:rPr>
          <w:spacing w:val="-6"/>
        </w:rPr>
        <w:t xml:space="preserve"> </w:t>
      </w:r>
      <w:r w:rsidRPr="00150EDC">
        <w:t>addressing</w:t>
      </w:r>
      <w:r w:rsidRPr="00150EDC">
        <w:rPr>
          <w:spacing w:val="-2"/>
        </w:rPr>
        <w:t xml:space="preserve"> </w:t>
      </w:r>
      <w:r w:rsidRPr="00150EDC">
        <w:t>queries</w:t>
      </w:r>
      <w:r w:rsidRPr="00150EDC">
        <w:rPr>
          <w:spacing w:val="-5"/>
        </w:rPr>
        <w:t xml:space="preserve"> </w:t>
      </w:r>
      <w:r w:rsidRPr="00150EDC">
        <w:t>about</w:t>
      </w:r>
      <w:r w:rsidRPr="00150EDC">
        <w:rPr>
          <w:spacing w:val="-2"/>
        </w:rPr>
        <w:t xml:space="preserve"> </w:t>
      </w:r>
      <w:r w:rsidRPr="00150EDC">
        <w:t>the</w:t>
      </w:r>
      <w:r w:rsidRPr="00150EDC">
        <w:rPr>
          <w:spacing w:val="-4"/>
        </w:rPr>
        <w:t xml:space="preserve"> </w:t>
      </w:r>
      <w:r w:rsidRPr="00150EDC">
        <w:t>payments</w:t>
      </w:r>
      <w:r w:rsidRPr="00150EDC">
        <w:rPr>
          <w:spacing w:val="-3"/>
        </w:rPr>
        <w:t xml:space="preserve"> </w:t>
      </w:r>
      <w:r w:rsidRPr="00150EDC">
        <w:t>process,</w:t>
      </w:r>
      <w:r w:rsidRPr="00150EDC">
        <w:rPr>
          <w:spacing w:val="-2"/>
        </w:rPr>
        <w:t xml:space="preserve"> </w:t>
      </w:r>
      <w:r w:rsidRPr="00150EDC">
        <w:t xml:space="preserve">as </w:t>
      </w:r>
      <w:r w:rsidRPr="00150EDC">
        <w:rPr>
          <w:spacing w:val="-2"/>
        </w:rPr>
        <w:t>necessary.</w:t>
      </w:r>
    </w:p>
    <w:p w14:paraId="33C775EF" w14:textId="77777777" w:rsidR="004C7180" w:rsidRPr="00150EDC" w:rsidRDefault="004C7180">
      <w:pPr>
        <w:pStyle w:val="BodyText"/>
        <w:spacing w:before="7"/>
        <w:rPr>
          <w:sz w:val="27"/>
        </w:rPr>
      </w:pPr>
    </w:p>
    <w:p w14:paraId="060420CD" w14:textId="77777777" w:rsidR="004C7180" w:rsidRPr="00150EDC" w:rsidRDefault="00CF0754">
      <w:pPr>
        <w:pStyle w:val="ListParagraph"/>
        <w:numPr>
          <w:ilvl w:val="0"/>
          <w:numId w:val="18"/>
        </w:numPr>
        <w:tabs>
          <w:tab w:val="left" w:pos="2091"/>
        </w:tabs>
        <w:ind w:right="1815"/>
        <w:rPr>
          <w:sz w:val="24"/>
        </w:rPr>
      </w:pPr>
      <w:r w:rsidRPr="00150EDC">
        <w:rPr>
          <w:sz w:val="24"/>
        </w:rPr>
        <w:t>Establishing</w:t>
      </w:r>
      <w:r w:rsidRPr="00150EDC">
        <w:rPr>
          <w:spacing w:val="-2"/>
          <w:sz w:val="24"/>
        </w:rPr>
        <w:t xml:space="preserve"> </w:t>
      </w:r>
      <w:r w:rsidRPr="00150EDC">
        <w:rPr>
          <w:sz w:val="24"/>
        </w:rPr>
        <w:t>and</w:t>
      </w:r>
      <w:r w:rsidRPr="00150EDC">
        <w:rPr>
          <w:spacing w:val="-4"/>
          <w:sz w:val="24"/>
        </w:rPr>
        <w:t xml:space="preserve"> </w:t>
      </w:r>
      <w:r w:rsidRPr="00150EDC">
        <w:rPr>
          <w:sz w:val="24"/>
        </w:rPr>
        <w:t>managing</w:t>
      </w:r>
      <w:r w:rsidRPr="00150EDC">
        <w:rPr>
          <w:spacing w:val="-4"/>
          <w:sz w:val="24"/>
        </w:rPr>
        <w:t xml:space="preserve"> </w:t>
      </w:r>
      <w:r w:rsidRPr="00150EDC">
        <w:rPr>
          <w:sz w:val="24"/>
        </w:rPr>
        <w:t>a</w:t>
      </w:r>
      <w:r w:rsidRPr="00150EDC">
        <w:rPr>
          <w:spacing w:val="-2"/>
          <w:sz w:val="24"/>
        </w:rPr>
        <w:t xml:space="preserve"> </w:t>
      </w:r>
      <w:r w:rsidRPr="00150EDC">
        <w:rPr>
          <w:sz w:val="24"/>
        </w:rPr>
        <w:t>process</w:t>
      </w:r>
      <w:r w:rsidRPr="00150EDC">
        <w:rPr>
          <w:spacing w:val="-3"/>
          <w:sz w:val="24"/>
        </w:rPr>
        <w:t xml:space="preserve"> </w:t>
      </w:r>
      <w:r w:rsidRPr="00150EDC">
        <w:rPr>
          <w:sz w:val="24"/>
        </w:rPr>
        <w:t>to</w:t>
      </w:r>
      <w:r w:rsidRPr="00150EDC">
        <w:rPr>
          <w:spacing w:val="-4"/>
          <w:sz w:val="24"/>
        </w:rPr>
        <w:t xml:space="preserve"> </w:t>
      </w:r>
      <w:r w:rsidRPr="00150EDC">
        <w:rPr>
          <w:sz w:val="24"/>
        </w:rPr>
        <w:t>securely</w:t>
      </w:r>
      <w:r w:rsidRPr="00150EDC">
        <w:rPr>
          <w:spacing w:val="-3"/>
          <w:sz w:val="24"/>
        </w:rPr>
        <w:t xml:space="preserve"> </w:t>
      </w:r>
      <w:r w:rsidRPr="00150EDC">
        <w:rPr>
          <w:sz w:val="24"/>
        </w:rPr>
        <w:t>collect,</w:t>
      </w:r>
      <w:r w:rsidRPr="00150EDC">
        <w:rPr>
          <w:spacing w:val="-2"/>
          <w:sz w:val="24"/>
        </w:rPr>
        <w:t xml:space="preserve"> </w:t>
      </w:r>
      <w:r w:rsidRPr="00150EDC">
        <w:rPr>
          <w:sz w:val="24"/>
        </w:rPr>
        <w:t>store</w:t>
      </w:r>
      <w:r w:rsidRPr="00150EDC">
        <w:rPr>
          <w:spacing w:val="-2"/>
          <w:sz w:val="24"/>
        </w:rPr>
        <w:t xml:space="preserve"> </w:t>
      </w:r>
      <w:r w:rsidRPr="00150EDC">
        <w:rPr>
          <w:sz w:val="24"/>
        </w:rPr>
        <w:t>and</w:t>
      </w:r>
      <w:r w:rsidRPr="00150EDC">
        <w:rPr>
          <w:spacing w:val="-4"/>
          <w:sz w:val="24"/>
        </w:rPr>
        <w:t xml:space="preserve"> </w:t>
      </w:r>
      <w:r w:rsidRPr="00150EDC">
        <w:rPr>
          <w:sz w:val="24"/>
        </w:rPr>
        <w:t>destroy evidence relating to claims, in accordance with data protection legislation.</w:t>
      </w:r>
    </w:p>
    <w:p w14:paraId="676B1D2E" w14:textId="77777777" w:rsidR="004C7180" w:rsidRPr="00150EDC" w:rsidRDefault="004C7180">
      <w:pPr>
        <w:pStyle w:val="BodyText"/>
        <w:spacing w:before="10"/>
        <w:rPr>
          <w:sz w:val="23"/>
        </w:rPr>
      </w:pPr>
    </w:p>
    <w:p w14:paraId="134B5D35" w14:textId="77777777" w:rsidR="004C7180" w:rsidRPr="00150EDC" w:rsidRDefault="00CF0754">
      <w:pPr>
        <w:pStyle w:val="ListParagraph"/>
        <w:numPr>
          <w:ilvl w:val="0"/>
          <w:numId w:val="18"/>
        </w:numPr>
        <w:tabs>
          <w:tab w:val="left" w:pos="2091"/>
        </w:tabs>
        <w:spacing w:before="1"/>
        <w:ind w:right="1499"/>
        <w:rPr>
          <w:sz w:val="24"/>
        </w:rPr>
      </w:pPr>
      <w:r w:rsidRPr="00150EDC">
        <w:rPr>
          <w:sz w:val="24"/>
        </w:rPr>
        <w:t>Developing a process and related guidance on: a) what evidence is acceptable</w:t>
      </w:r>
      <w:r w:rsidRPr="00150EDC">
        <w:rPr>
          <w:spacing w:val="-3"/>
          <w:sz w:val="24"/>
        </w:rPr>
        <w:t xml:space="preserve"> </w:t>
      </w:r>
      <w:r w:rsidRPr="00150EDC">
        <w:rPr>
          <w:sz w:val="24"/>
        </w:rPr>
        <w:t>to</w:t>
      </w:r>
      <w:r w:rsidRPr="00150EDC">
        <w:rPr>
          <w:spacing w:val="-1"/>
          <w:sz w:val="24"/>
        </w:rPr>
        <w:t xml:space="preserve"> </w:t>
      </w:r>
      <w:r w:rsidRPr="00150EDC">
        <w:rPr>
          <w:sz w:val="24"/>
        </w:rPr>
        <w:t>support</w:t>
      </w:r>
      <w:r w:rsidRPr="00150EDC">
        <w:rPr>
          <w:spacing w:val="-4"/>
          <w:sz w:val="24"/>
        </w:rPr>
        <w:t xml:space="preserve"> </w:t>
      </w:r>
      <w:r w:rsidRPr="00150EDC">
        <w:rPr>
          <w:sz w:val="24"/>
        </w:rPr>
        <w:t>a</w:t>
      </w:r>
      <w:r w:rsidRPr="00150EDC">
        <w:rPr>
          <w:spacing w:val="-1"/>
          <w:sz w:val="24"/>
        </w:rPr>
        <w:t xml:space="preserve"> </w:t>
      </w:r>
      <w:r w:rsidRPr="00150EDC">
        <w:rPr>
          <w:sz w:val="24"/>
        </w:rPr>
        <w:t>claim,</w:t>
      </w:r>
      <w:r w:rsidRPr="00150EDC">
        <w:rPr>
          <w:spacing w:val="-4"/>
          <w:sz w:val="24"/>
        </w:rPr>
        <w:t xml:space="preserve"> </w:t>
      </w:r>
      <w:r w:rsidRPr="00150EDC">
        <w:rPr>
          <w:sz w:val="24"/>
        </w:rPr>
        <w:t>b)</w:t>
      </w:r>
      <w:r w:rsidRPr="00150EDC">
        <w:rPr>
          <w:spacing w:val="-3"/>
          <w:sz w:val="24"/>
        </w:rPr>
        <w:t xml:space="preserve"> </w:t>
      </w:r>
      <w:r w:rsidRPr="00150EDC">
        <w:rPr>
          <w:sz w:val="24"/>
        </w:rPr>
        <w:t>how</w:t>
      </w:r>
      <w:r w:rsidRPr="00150EDC">
        <w:rPr>
          <w:spacing w:val="-2"/>
          <w:sz w:val="24"/>
        </w:rPr>
        <w:t xml:space="preserve"> </w:t>
      </w:r>
      <w:r w:rsidRPr="00150EDC">
        <w:rPr>
          <w:sz w:val="24"/>
        </w:rPr>
        <w:t>claims</w:t>
      </w:r>
      <w:r w:rsidRPr="00150EDC">
        <w:rPr>
          <w:spacing w:val="-7"/>
          <w:sz w:val="24"/>
        </w:rPr>
        <w:t xml:space="preserve"> </w:t>
      </w:r>
      <w:r w:rsidRPr="00150EDC">
        <w:rPr>
          <w:sz w:val="24"/>
        </w:rPr>
        <w:t>will</w:t>
      </w:r>
      <w:r w:rsidRPr="00150EDC">
        <w:rPr>
          <w:spacing w:val="-2"/>
          <w:sz w:val="24"/>
        </w:rPr>
        <w:t xml:space="preserve"> </w:t>
      </w:r>
      <w:r w:rsidRPr="00150EDC">
        <w:rPr>
          <w:sz w:val="24"/>
        </w:rPr>
        <w:t>be</w:t>
      </w:r>
      <w:r w:rsidRPr="00150EDC">
        <w:rPr>
          <w:spacing w:val="-1"/>
          <w:sz w:val="24"/>
        </w:rPr>
        <w:t xml:space="preserve"> </w:t>
      </w:r>
      <w:r w:rsidRPr="00150EDC">
        <w:rPr>
          <w:sz w:val="24"/>
        </w:rPr>
        <w:t>verified,</w:t>
      </w:r>
      <w:r w:rsidRPr="00150EDC">
        <w:rPr>
          <w:spacing w:val="-1"/>
          <w:sz w:val="24"/>
        </w:rPr>
        <w:t xml:space="preserve"> </w:t>
      </w:r>
      <w:r w:rsidRPr="00150EDC">
        <w:rPr>
          <w:sz w:val="24"/>
        </w:rPr>
        <w:t>c)</w:t>
      </w:r>
      <w:r w:rsidRPr="00150EDC">
        <w:rPr>
          <w:spacing w:val="-5"/>
          <w:sz w:val="24"/>
        </w:rPr>
        <w:t xml:space="preserve"> </w:t>
      </w:r>
      <w:r w:rsidRPr="00150EDC">
        <w:rPr>
          <w:sz w:val="24"/>
        </w:rPr>
        <w:t>processed</w:t>
      </w:r>
      <w:r w:rsidRPr="00150EDC">
        <w:rPr>
          <w:spacing w:val="-3"/>
          <w:sz w:val="24"/>
        </w:rPr>
        <w:t xml:space="preserve"> </w:t>
      </w:r>
      <w:r w:rsidRPr="00150EDC">
        <w:rPr>
          <w:sz w:val="24"/>
        </w:rPr>
        <w:t>and</w:t>
      </w:r>
    </w:p>
    <w:p w14:paraId="4D437885" w14:textId="77777777" w:rsidR="004C7180" w:rsidRPr="00150EDC" w:rsidRDefault="00CF0754">
      <w:pPr>
        <w:pStyle w:val="BodyText"/>
        <w:ind w:left="2091" w:right="1459"/>
      </w:pPr>
      <w:r w:rsidRPr="00150EDC">
        <w:t>d)</w:t>
      </w:r>
      <w:r w:rsidRPr="00150EDC">
        <w:rPr>
          <w:spacing w:val="-4"/>
        </w:rPr>
        <w:t xml:space="preserve"> </w:t>
      </w:r>
      <w:r w:rsidRPr="00150EDC">
        <w:t>paid,</w:t>
      </w:r>
      <w:r w:rsidRPr="00150EDC">
        <w:rPr>
          <w:spacing w:val="-5"/>
        </w:rPr>
        <w:t xml:space="preserve"> </w:t>
      </w:r>
      <w:r w:rsidRPr="00150EDC">
        <w:t>communicating</w:t>
      </w:r>
      <w:r w:rsidRPr="00150EDC">
        <w:rPr>
          <w:spacing w:val="-2"/>
        </w:rPr>
        <w:t xml:space="preserve"> </w:t>
      </w:r>
      <w:r w:rsidRPr="00150EDC">
        <w:t>this</w:t>
      </w:r>
      <w:r w:rsidRPr="00150EDC">
        <w:rPr>
          <w:spacing w:val="-3"/>
        </w:rPr>
        <w:t xml:space="preserve"> </w:t>
      </w:r>
      <w:r w:rsidRPr="00150EDC">
        <w:t>to</w:t>
      </w:r>
      <w:r w:rsidRPr="00150EDC">
        <w:rPr>
          <w:spacing w:val="-2"/>
        </w:rPr>
        <w:t xml:space="preserve"> </w:t>
      </w:r>
      <w:r w:rsidRPr="00150EDC">
        <w:t>all</w:t>
      </w:r>
      <w:r w:rsidRPr="00150EDC">
        <w:rPr>
          <w:spacing w:val="-3"/>
        </w:rPr>
        <w:t xml:space="preserve"> </w:t>
      </w:r>
      <w:r w:rsidRPr="00150EDC">
        <w:t>recipients</w:t>
      </w:r>
      <w:r w:rsidRPr="00150EDC">
        <w:rPr>
          <w:spacing w:val="-5"/>
        </w:rPr>
        <w:t xml:space="preserve"> </w:t>
      </w:r>
      <w:r w:rsidRPr="00150EDC">
        <w:t>and</w:t>
      </w:r>
      <w:r w:rsidRPr="00150EDC">
        <w:rPr>
          <w:spacing w:val="-2"/>
        </w:rPr>
        <w:t xml:space="preserve"> </w:t>
      </w:r>
      <w:r w:rsidRPr="00150EDC">
        <w:t>embedding</w:t>
      </w:r>
      <w:r w:rsidRPr="00150EDC">
        <w:rPr>
          <w:spacing w:val="-2"/>
        </w:rPr>
        <w:t xml:space="preserve"> </w:t>
      </w:r>
      <w:r w:rsidRPr="00150EDC">
        <w:t>it</w:t>
      </w:r>
      <w:r w:rsidRPr="00150EDC">
        <w:rPr>
          <w:spacing w:val="-5"/>
        </w:rPr>
        <w:t xml:space="preserve"> </w:t>
      </w:r>
      <w:r w:rsidRPr="00150EDC">
        <w:t>into</w:t>
      </w:r>
      <w:r w:rsidRPr="00150EDC">
        <w:rPr>
          <w:spacing w:val="-4"/>
        </w:rPr>
        <w:t xml:space="preserve"> </w:t>
      </w:r>
      <w:r w:rsidRPr="00150EDC">
        <w:t>contracts and other delivery agreements with providers as required.</w:t>
      </w:r>
    </w:p>
    <w:p w14:paraId="30735DFC" w14:textId="77777777" w:rsidR="004C7180" w:rsidRPr="00150EDC" w:rsidRDefault="004C7180">
      <w:pPr>
        <w:pStyle w:val="BodyText"/>
        <w:spacing w:before="7"/>
        <w:rPr>
          <w:sz w:val="23"/>
        </w:rPr>
      </w:pPr>
    </w:p>
    <w:p w14:paraId="54E953F4" w14:textId="77777777" w:rsidR="004C7180" w:rsidRPr="00150EDC" w:rsidRDefault="00CF0754">
      <w:pPr>
        <w:pStyle w:val="ListParagraph"/>
        <w:numPr>
          <w:ilvl w:val="0"/>
          <w:numId w:val="18"/>
        </w:numPr>
        <w:tabs>
          <w:tab w:val="left" w:pos="2091"/>
        </w:tabs>
        <w:ind w:right="1808"/>
        <w:rPr>
          <w:sz w:val="24"/>
        </w:rPr>
      </w:pPr>
      <w:r w:rsidRPr="00150EDC">
        <w:rPr>
          <w:sz w:val="24"/>
        </w:rPr>
        <w:t>Reviewing claims, deciding which are verifiable and supporting recipients whose</w:t>
      </w:r>
      <w:r w:rsidRPr="00150EDC">
        <w:rPr>
          <w:spacing w:val="-2"/>
          <w:sz w:val="24"/>
        </w:rPr>
        <w:t xml:space="preserve"> </w:t>
      </w:r>
      <w:r w:rsidRPr="00150EDC">
        <w:rPr>
          <w:sz w:val="24"/>
        </w:rPr>
        <w:t>claims</w:t>
      </w:r>
      <w:r w:rsidRPr="00150EDC">
        <w:rPr>
          <w:spacing w:val="-3"/>
          <w:sz w:val="24"/>
        </w:rPr>
        <w:t xml:space="preserve"> </w:t>
      </w:r>
      <w:r w:rsidRPr="00150EDC">
        <w:rPr>
          <w:sz w:val="24"/>
        </w:rPr>
        <w:t>are</w:t>
      </w:r>
      <w:r w:rsidRPr="00150EDC">
        <w:rPr>
          <w:spacing w:val="-4"/>
          <w:sz w:val="24"/>
        </w:rPr>
        <w:t xml:space="preserve"> </w:t>
      </w:r>
      <w:r w:rsidRPr="00150EDC">
        <w:rPr>
          <w:sz w:val="24"/>
        </w:rPr>
        <w:t>not</w:t>
      </w:r>
      <w:r w:rsidRPr="00150EDC">
        <w:rPr>
          <w:spacing w:val="-2"/>
          <w:sz w:val="24"/>
        </w:rPr>
        <w:t xml:space="preserve"> </w:t>
      </w:r>
      <w:r w:rsidRPr="00150EDC">
        <w:rPr>
          <w:sz w:val="24"/>
        </w:rPr>
        <w:t>deemed</w:t>
      </w:r>
      <w:r w:rsidRPr="00150EDC">
        <w:rPr>
          <w:spacing w:val="-4"/>
          <w:sz w:val="24"/>
        </w:rPr>
        <w:t xml:space="preserve"> </w:t>
      </w:r>
      <w:r w:rsidRPr="00150EDC">
        <w:rPr>
          <w:sz w:val="24"/>
        </w:rPr>
        <w:t>to</w:t>
      </w:r>
      <w:r w:rsidRPr="00150EDC">
        <w:rPr>
          <w:spacing w:val="-4"/>
          <w:sz w:val="24"/>
        </w:rPr>
        <w:t xml:space="preserve"> </w:t>
      </w:r>
      <w:r w:rsidRPr="00150EDC">
        <w:rPr>
          <w:sz w:val="24"/>
        </w:rPr>
        <w:t>be</w:t>
      </w:r>
      <w:r w:rsidRPr="00150EDC">
        <w:rPr>
          <w:spacing w:val="-2"/>
          <w:sz w:val="24"/>
        </w:rPr>
        <w:t xml:space="preserve"> </w:t>
      </w:r>
      <w:r w:rsidRPr="00150EDC">
        <w:rPr>
          <w:sz w:val="24"/>
        </w:rPr>
        <w:t>thus</w:t>
      </w:r>
      <w:r w:rsidRPr="00150EDC">
        <w:rPr>
          <w:spacing w:val="-5"/>
          <w:sz w:val="24"/>
        </w:rPr>
        <w:t xml:space="preserve"> </w:t>
      </w:r>
      <w:r w:rsidRPr="00150EDC">
        <w:rPr>
          <w:sz w:val="24"/>
        </w:rPr>
        <w:t>to</w:t>
      </w:r>
      <w:r w:rsidRPr="00150EDC">
        <w:rPr>
          <w:spacing w:val="-2"/>
          <w:sz w:val="24"/>
        </w:rPr>
        <w:t xml:space="preserve"> </w:t>
      </w:r>
      <w:r w:rsidRPr="00150EDC">
        <w:rPr>
          <w:sz w:val="24"/>
        </w:rPr>
        <w:t>collect</w:t>
      </w:r>
      <w:r w:rsidRPr="00150EDC">
        <w:rPr>
          <w:spacing w:val="-2"/>
          <w:sz w:val="24"/>
        </w:rPr>
        <w:t xml:space="preserve"> </w:t>
      </w:r>
      <w:r w:rsidRPr="00150EDC">
        <w:rPr>
          <w:sz w:val="24"/>
        </w:rPr>
        <w:t>the</w:t>
      </w:r>
      <w:r w:rsidRPr="00150EDC">
        <w:rPr>
          <w:spacing w:val="-4"/>
          <w:sz w:val="24"/>
        </w:rPr>
        <w:t xml:space="preserve"> </w:t>
      </w:r>
      <w:r w:rsidRPr="00150EDC">
        <w:rPr>
          <w:sz w:val="24"/>
        </w:rPr>
        <w:t>required</w:t>
      </w:r>
      <w:r w:rsidRPr="00150EDC">
        <w:rPr>
          <w:spacing w:val="-2"/>
          <w:sz w:val="24"/>
        </w:rPr>
        <w:t xml:space="preserve"> </w:t>
      </w:r>
      <w:r w:rsidRPr="00150EDC">
        <w:rPr>
          <w:sz w:val="24"/>
        </w:rPr>
        <w:t>evidence</w:t>
      </w:r>
      <w:r w:rsidRPr="00150EDC">
        <w:rPr>
          <w:spacing w:val="-2"/>
          <w:sz w:val="24"/>
        </w:rPr>
        <w:t xml:space="preserve"> </w:t>
      </w:r>
      <w:r w:rsidRPr="00150EDC">
        <w:rPr>
          <w:sz w:val="24"/>
        </w:rPr>
        <w:t>to enable them to be processed</w:t>
      </w:r>
    </w:p>
    <w:p w14:paraId="16469574" w14:textId="77777777" w:rsidR="004C7180" w:rsidRPr="00150EDC" w:rsidRDefault="004C7180">
      <w:pPr>
        <w:pStyle w:val="BodyText"/>
        <w:spacing w:before="11"/>
        <w:rPr>
          <w:sz w:val="23"/>
        </w:rPr>
      </w:pPr>
    </w:p>
    <w:p w14:paraId="2CE04681" w14:textId="77777777" w:rsidR="004C7180" w:rsidRPr="00150EDC" w:rsidRDefault="00CF0754">
      <w:pPr>
        <w:pStyle w:val="ListParagraph"/>
        <w:numPr>
          <w:ilvl w:val="0"/>
          <w:numId w:val="18"/>
        </w:numPr>
        <w:tabs>
          <w:tab w:val="left" w:pos="2091"/>
        </w:tabs>
        <w:ind w:right="1708"/>
        <w:rPr>
          <w:sz w:val="24"/>
        </w:rPr>
      </w:pPr>
      <w:r w:rsidRPr="00150EDC">
        <w:rPr>
          <w:sz w:val="24"/>
        </w:rPr>
        <w:t>Assessing</w:t>
      </w:r>
      <w:r w:rsidRPr="00150EDC">
        <w:rPr>
          <w:spacing w:val="-4"/>
          <w:sz w:val="24"/>
        </w:rPr>
        <w:t xml:space="preserve"> </w:t>
      </w:r>
      <w:r w:rsidRPr="00150EDC">
        <w:rPr>
          <w:sz w:val="24"/>
        </w:rPr>
        <w:t>all</w:t>
      </w:r>
      <w:r w:rsidRPr="00150EDC">
        <w:rPr>
          <w:spacing w:val="-3"/>
          <w:sz w:val="24"/>
        </w:rPr>
        <w:t xml:space="preserve"> </w:t>
      </w:r>
      <w:r w:rsidRPr="00150EDC">
        <w:rPr>
          <w:sz w:val="24"/>
        </w:rPr>
        <w:t>verifiable</w:t>
      </w:r>
      <w:r w:rsidRPr="00150EDC">
        <w:rPr>
          <w:spacing w:val="-4"/>
          <w:sz w:val="24"/>
        </w:rPr>
        <w:t xml:space="preserve"> </w:t>
      </w:r>
      <w:r w:rsidRPr="00150EDC">
        <w:rPr>
          <w:sz w:val="24"/>
        </w:rPr>
        <w:t>claims</w:t>
      </w:r>
      <w:r w:rsidRPr="00150EDC">
        <w:rPr>
          <w:spacing w:val="-3"/>
          <w:sz w:val="24"/>
        </w:rPr>
        <w:t xml:space="preserve"> </w:t>
      </w:r>
      <w:r w:rsidRPr="00150EDC">
        <w:rPr>
          <w:sz w:val="24"/>
        </w:rPr>
        <w:t>against</w:t>
      </w:r>
      <w:r w:rsidRPr="00150EDC">
        <w:rPr>
          <w:spacing w:val="-2"/>
          <w:sz w:val="24"/>
        </w:rPr>
        <w:t xml:space="preserve"> </w:t>
      </w:r>
      <w:r w:rsidRPr="00150EDC">
        <w:rPr>
          <w:sz w:val="24"/>
        </w:rPr>
        <w:t>agreed</w:t>
      </w:r>
      <w:r w:rsidRPr="00150EDC">
        <w:rPr>
          <w:spacing w:val="-4"/>
          <w:sz w:val="24"/>
        </w:rPr>
        <w:t xml:space="preserve"> </w:t>
      </w:r>
      <w:r w:rsidRPr="00150EDC">
        <w:rPr>
          <w:sz w:val="24"/>
        </w:rPr>
        <w:t>costs</w:t>
      </w:r>
      <w:r w:rsidRPr="00150EDC">
        <w:rPr>
          <w:spacing w:val="-3"/>
          <w:sz w:val="24"/>
        </w:rPr>
        <w:t xml:space="preserve"> </w:t>
      </w:r>
      <w:r w:rsidRPr="00150EDC">
        <w:rPr>
          <w:sz w:val="24"/>
        </w:rPr>
        <w:t>and,</w:t>
      </w:r>
      <w:r w:rsidRPr="00150EDC">
        <w:rPr>
          <w:spacing w:val="-5"/>
          <w:sz w:val="24"/>
        </w:rPr>
        <w:t xml:space="preserve"> </w:t>
      </w:r>
      <w:r w:rsidRPr="00150EDC">
        <w:rPr>
          <w:sz w:val="24"/>
        </w:rPr>
        <w:t>where</w:t>
      </w:r>
      <w:r w:rsidRPr="00150EDC">
        <w:rPr>
          <w:spacing w:val="-4"/>
          <w:sz w:val="24"/>
        </w:rPr>
        <w:t xml:space="preserve"> </w:t>
      </w:r>
      <w:r w:rsidRPr="00150EDC">
        <w:rPr>
          <w:sz w:val="24"/>
        </w:rPr>
        <w:t>appropriate, agreed payment schedules and any performance management issues, and agreeing which can be paid</w:t>
      </w:r>
    </w:p>
    <w:p w14:paraId="32FD81A8" w14:textId="77777777" w:rsidR="004C7180" w:rsidRPr="00150EDC" w:rsidRDefault="004C7180">
      <w:pPr>
        <w:pStyle w:val="BodyText"/>
        <w:spacing w:before="10"/>
        <w:rPr>
          <w:sz w:val="23"/>
        </w:rPr>
      </w:pPr>
    </w:p>
    <w:p w14:paraId="4263C5C0" w14:textId="77777777" w:rsidR="004C7180" w:rsidRPr="00150EDC" w:rsidRDefault="00CF0754">
      <w:pPr>
        <w:pStyle w:val="ListParagraph"/>
        <w:numPr>
          <w:ilvl w:val="0"/>
          <w:numId w:val="18"/>
        </w:numPr>
        <w:tabs>
          <w:tab w:val="left" w:pos="2091"/>
        </w:tabs>
        <w:rPr>
          <w:sz w:val="24"/>
        </w:rPr>
      </w:pPr>
      <w:r w:rsidRPr="00150EDC">
        <w:rPr>
          <w:sz w:val="24"/>
        </w:rPr>
        <w:t>Making</w:t>
      </w:r>
      <w:r w:rsidRPr="00150EDC">
        <w:rPr>
          <w:spacing w:val="-1"/>
          <w:sz w:val="24"/>
        </w:rPr>
        <w:t xml:space="preserve"> </w:t>
      </w:r>
      <w:r w:rsidRPr="00150EDC">
        <w:rPr>
          <w:sz w:val="24"/>
        </w:rPr>
        <w:t>payment</w:t>
      </w:r>
      <w:r w:rsidRPr="00150EDC">
        <w:rPr>
          <w:spacing w:val="-2"/>
          <w:sz w:val="24"/>
        </w:rPr>
        <w:t xml:space="preserve"> </w:t>
      </w:r>
      <w:r w:rsidRPr="00150EDC">
        <w:rPr>
          <w:sz w:val="24"/>
        </w:rPr>
        <w:t xml:space="preserve">to </w:t>
      </w:r>
      <w:r w:rsidRPr="00150EDC">
        <w:rPr>
          <w:spacing w:val="-2"/>
          <w:sz w:val="24"/>
        </w:rPr>
        <w:t>recipients</w:t>
      </w:r>
    </w:p>
    <w:p w14:paraId="08A627AD" w14:textId="77777777" w:rsidR="004C7180" w:rsidRPr="00150EDC" w:rsidRDefault="004C7180">
      <w:pPr>
        <w:pStyle w:val="BodyText"/>
        <w:spacing w:before="10"/>
        <w:rPr>
          <w:sz w:val="23"/>
        </w:rPr>
      </w:pPr>
    </w:p>
    <w:p w14:paraId="694CD1EA" w14:textId="77777777" w:rsidR="004C7180" w:rsidRPr="00150EDC" w:rsidRDefault="00CF0754">
      <w:pPr>
        <w:pStyle w:val="BodyText"/>
        <w:spacing w:line="276" w:lineRule="auto"/>
        <w:ind w:left="1400" w:right="1459"/>
      </w:pPr>
      <w:r w:rsidRPr="00150EDC">
        <w:t>Through</w:t>
      </w:r>
      <w:r w:rsidRPr="00150EDC">
        <w:rPr>
          <w:spacing w:val="-2"/>
        </w:rPr>
        <w:t xml:space="preserve"> </w:t>
      </w:r>
      <w:r w:rsidRPr="00150EDC">
        <w:t>this</w:t>
      </w:r>
      <w:r w:rsidRPr="00150EDC">
        <w:rPr>
          <w:spacing w:val="-5"/>
        </w:rPr>
        <w:t xml:space="preserve"> </w:t>
      </w:r>
      <w:r w:rsidRPr="00150EDC">
        <w:t>activity,</w:t>
      </w:r>
      <w:r w:rsidRPr="00150EDC">
        <w:rPr>
          <w:spacing w:val="-2"/>
        </w:rPr>
        <w:t xml:space="preserve"> </w:t>
      </w:r>
      <w:r w:rsidRPr="00150EDC">
        <w:t>it</w:t>
      </w:r>
      <w:r w:rsidRPr="00150EDC">
        <w:rPr>
          <w:spacing w:val="-5"/>
        </w:rPr>
        <w:t xml:space="preserve"> </w:t>
      </w:r>
      <w:r w:rsidRPr="00150EDC">
        <w:t>is</w:t>
      </w:r>
      <w:r w:rsidRPr="00150EDC">
        <w:rPr>
          <w:spacing w:val="-3"/>
        </w:rPr>
        <w:t xml:space="preserve"> </w:t>
      </w:r>
      <w:r w:rsidRPr="00150EDC">
        <w:t>expected</w:t>
      </w:r>
      <w:r w:rsidRPr="00150EDC">
        <w:rPr>
          <w:spacing w:val="-4"/>
        </w:rPr>
        <w:t xml:space="preserve"> </w:t>
      </w:r>
      <w:r w:rsidRPr="00150EDC">
        <w:t>that</w:t>
      </w:r>
      <w:r w:rsidRPr="00150EDC">
        <w:rPr>
          <w:spacing w:val="-2"/>
        </w:rPr>
        <w:t xml:space="preserve"> </w:t>
      </w:r>
      <w:r w:rsidRPr="00150EDC">
        <w:t>the</w:t>
      </w:r>
      <w:r w:rsidRPr="00150EDC">
        <w:rPr>
          <w:spacing w:val="-2"/>
        </w:rPr>
        <w:t xml:space="preserve"> </w:t>
      </w:r>
      <w:r w:rsidRPr="00150EDC">
        <w:rPr>
          <w:b/>
        </w:rPr>
        <w:t>delivery</w:t>
      </w:r>
      <w:r w:rsidRPr="00150EDC">
        <w:rPr>
          <w:b/>
          <w:spacing w:val="-2"/>
        </w:rPr>
        <w:t xml:space="preserve"> </w:t>
      </w:r>
      <w:r w:rsidRPr="00150EDC">
        <w:rPr>
          <w:b/>
        </w:rPr>
        <w:t>supplier</w:t>
      </w:r>
      <w:r w:rsidRPr="00150EDC">
        <w:rPr>
          <w:b/>
          <w:spacing w:val="-3"/>
        </w:rPr>
        <w:t xml:space="preserve"> </w:t>
      </w:r>
      <w:r w:rsidRPr="00150EDC">
        <w:t>will</w:t>
      </w:r>
      <w:r w:rsidRPr="00150EDC">
        <w:rPr>
          <w:spacing w:val="-3"/>
        </w:rPr>
        <w:t xml:space="preserve"> </w:t>
      </w:r>
      <w:r w:rsidRPr="00150EDC">
        <w:t>ensure</w:t>
      </w:r>
      <w:r w:rsidRPr="00150EDC">
        <w:rPr>
          <w:spacing w:val="-2"/>
        </w:rPr>
        <w:t xml:space="preserve"> </w:t>
      </w:r>
      <w:r w:rsidRPr="00150EDC">
        <w:t>that</w:t>
      </w:r>
      <w:r w:rsidRPr="00150EDC">
        <w:rPr>
          <w:spacing w:val="-2"/>
        </w:rPr>
        <w:t xml:space="preserve"> </w:t>
      </w:r>
      <w:r w:rsidRPr="00150EDC">
        <w:t xml:space="preserve">all providers are reimbursed for the trial interventions they deliver as part of the </w:t>
      </w:r>
      <w:r w:rsidRPr="00150EDC">
        <w:rPr>
          <w:spacing w:val="-2"/>
        </w:rPr>
        <w:t>programme.</w:t>
      </w:r>
    </w:p>
    <w:p w14:paraId="431DF572" w14:textId="77777777" w:rsidR="004C7180" w:rsidRPr="00150EDC" w:rsidRDefault="004C7180">
      <w:pPr>
        <w:pStyle w:val="BodyText"/>
        <w:spacing w:before="8"/>
        <w:rPr>
          <w:sz w:val="20"/>
        </w:rPr>
      </w:pPr>
    </w:p>
    <w:p w14:paraId="6F5DDE6B" w14:textId="77777777" w:rsidR="004C7180" w:rsidRPr="00150EDC" w:rsidRDefault="00CF0754">
      <w:pPr>
        <w:pStyle w:val="BodyText"/>
        <w:spacing w:line="278" w:lineRule="auto"/>
        <w:ind w:left="1400" w:right="1459"/>
      </w:pPr>
      <w:r w:rsidRPr="00150EDC">
        <w:t>In</w:t>
      </w:r>
      <w:r w:rsidRPr="00150EDC">
        <w:rPr>
          <w:spacing w:val="-2"/>
        </w:rPr>
        <w:t xml:space="preserve"> </w:t>
      </w:r>
      <w:r w:rsidRPr="00150EDC">
        <w:t>addition</w:t>
      </w:r>
      <w:r w:rsidRPr="00150EDC">
        <w:rPr>
          <w:spacing w:val="-4"/>
        </w:rPr>
        <w:t xml:space="preserve"> </w:t>
      </w:r>
      <w:r w:rsidRPr="00150EDC">
        <w:t>to</w:t>
      </w:r>
      <w:r w:rsidRPr="00150EDC">
        <w:rPr>
          <w:spacing w:val="-4"/>
        </w:rPr>
        <w:t xml:space="preserve"> </w:t>
      </w:r>
      <w:r w:rsidRPr="00150EDC">
        <w:t>administering</w:t>
      </w:r>
      <w:r w:rsidRPr="00150EDC">
        <w:rPr>
          <w:spacing w:val="-2"/>
        </w:rPr>
        <w:t xml:space="preserve"> </w:t>
      </w:r>
      <w:r w:rsidRPr="00150EDC">
        <w:t>these</w:t>
      </w:r>
      <w:r w:rsidRPr="00150EDC">
        <w:rPr>
          <w:spacing w:val="-4"/>
        </w:rPr>
        <w:t xml:space="preserve"> </w:t>
      </w:r>
      <w:r w:rsidRPr="00150EDC">
        <w:t>payments,</w:t>
      </w:r>
      <w:r w:rsidRPr="00150EDC">
        <w:rPr>
          <w:spacing w:val="-5"/>
        </w:rPr>
        <w:t xml:space="preserve"> </w:t>
      </w:r>
      <w:r w:rsidRPr="00150EDC">
        <w:t>the</w:t>
      </w:r>
      <w:r w:rsidRPr="00150EDC">
        <w:rPr>
          <w:spacing w:val="-2"/>
        </w:rPr>
        <w:t xml:space="preserve"> </w:t>
      </w:r>
      <w:r w:rsidRPr="00150EDC">
        <w:rPr>
          <w:b/>
        </w:rPr>
        <w:t>delivery</w:t>
      </w:r>
      <w:r w:rsidRPr="00150EDC">
        <w:rPr>
          <w:b/>
          <w:spacing w:val="-4"/>
        </w:rPr>
        <w:t xml:space="preserve"> </w:t>
      </w:r>
      <w:r w:rsidRPr="00150EDC">
        <w:rPr>
          <w:b/>
        </w:rPr>
        <w:t>supplier</w:t>
      </w:r>
      <w:r w:rsidRPr="00150EDC">
        <w:rPr>
          <w:b/>
          <w:spacing w:val="-8"/>
        </w:rPr>
        <w:t xml:space="preserve"> </w:t>
      </w:r>
      <w:r w:rsidRPr="00150EDC">
        <w:t>will</w:t>
      </w:r>
      <w:r w:rsidRPr="00150EDC">
        <w:rPr>
          <w:spacing w:val="-3"/>
        </w:rPr>
        <w:t xml:space="preserve"> </w:t>
      </w:r>
      <w:r w:rsidRPr="00150EDC">
        <w:t>also</w:t>
      </w:r>
      <w:r w:rsidRPr="00150EDC">
        <w:rPr>
          <w:spacing w:val="-2"/>
        </w:rPr>
        <w:t xml:space="preserve"> </w:t>
      </w:r>
      <w:r w:rsidRPr="00150EDC">
        <w:t>be responsible for:</w:t>
      </w:r>
    </w:p>
    <w:p w14:paraId="7F2A9E10" w14:textId="77777777" w:rsidR="004C7180" w:rsidRPr="00150EDC" w:rsidRDefault="004C7180">
      <w:pPr>
        <w:pStyle w:val="BodyText"/>
        <w:spacing w:before="6"/>
        <w:rPr>
          <w:sz w:val="20"/>
        </w:rPr>
      </w:pPr>
    </w:p>
    <w:p w14:paraId="20FEBAEF" w14:textId="77777777" w:rsidR="004C7180" w:rsidRPr="00150EDC" w:rsidRDefault="00CF0754">
      <w:pPr>
        <w:pStyle w:val="ListParagraph"/>
        <w:numPr>
          <w:ilvl w:val="0"/>
          <w:numId w:val="18"/>
        </w:numPr>
        <w:tabs>
          <w:tab w:val="left" w:pos="2112"/>
        </w:tabs>
        <w:spacing w:before="1"/>
        <w:ind w:left="2112" w:right="1477" w:hanging="356"/>
        <w:rPr>
          <w:sz w:val="24"/>
        </w:rPr>
      </w:pPr>
      <w:r w:rsidRPr="00150EDC">
        <w:rPr>
          <w:sz w:val="24"/>
        </w:rPr>
        <w:t>Providing management and financial information reports against agreed timeframes, for the Department to use for financial assurance purposes. This is</w:t>
      </w:r>
      <w:r w:rsidRPr="00150EDC">
        <w:rPr>
          <w:spacing w:val="-3"/>
          <w:sz w:val="24"/>
        </w:rPr>
        <w:t xml:space="preserve"> </w:t>
      </w:r>
      <w:r w:rsidRPr="00150EDC">
        <w:rPr>
          <w:sz w:val="24"/>
        </w:rPr>
        <w:t>likely</w:t>
      </w:r>
      <w:r w:rsidRPr="00150EDC">
        <w:rPr>
          <w:spacing w:val="-3"/>
          <w:sz w:val="24"/>
        </w:rPr>
        <w:t xml:space="preserve"> </w:t>
      </w:r>
      <w:r w:rsidRPr="00150EDC">
        <w:rPr>
          <w:sz w:val="24"/>
        </w:rPr>
        <w:t>to</w:t>
      </w:r>
      <w:r w:rsidRPr="00150EDC">
        <w:rPr>
          <w:spacing w:val="-2"/>
          <w:sz w:val="24"/>
        </w:rPr>
        <w:t xml:space="preserve"> </w:t>
      </w:r>
      <w:r w:rsidRPr="00150EDC">
        <w:rPr>
          <w:sz w:val="24"/>
        </w:rPr>
        <w:t>take</w:t>
      </w:r>
      <w:r w:rsidRPr="00150EDC">
        <w:rPr>
          <w:spacing w:val="-2"/>
          <w:sz w:val="24"/>
        </w:rPr>
        <w:t xml:space="preserve"> </w:t>
      </w:r>
      <w:r w:rsidRPr="00150EDC">
        <w:rPr>
          <w:sz w:val="24"/>
        </w:rPr>
        <w:t>the</w:t>
      </w:r>
      <w:r w:rsidRPr="00150EDC">
        <w:rPr>
          <w:spacing w:val="-2"/>
          <w:sz w:val="24"/>
        </w:rPr>
        <w:t xml:space="preserve"> </w:t>
      </w:r>
      <w:r w:rsidRPr="00150EDC">
        <w:rPr>
          <w:sz w:val="24"/>
        </w:rPr>
        <w:t>form</w:t>
      </w:r>
      <w:r w:rsidRPr="00150EDC">
        <w:rPr>
          <w:spacing w:val="-1"/>
          <w:sz w:val="24"/>
        </w:rPr>
        <w:t xml:space="preserve"> </w:t>
      </w:r>
      <w:r w:rsidRPr="00150EDC">
        <w:rPr>
          <w:sz w:val="24"/>
        </w:rPr>
        <w:t>of</w:t>
      </w:r>
      <w:r w:rsidRPr="00150EDC">
        <w:rPr>
          <w:spacing w:val="-2"/>
          <w:sz w:val="24"/>
        </w:rPr>
        <w:t xml:space="preserve"> </w:t>
      </w:r>
      <w:r w:rsidRPr="00150EDC">
        <w:rPr>
          <w:sz w:val="24"/>
        </w:rPr>
        <w:t>quarterly</w:t>
      </w:r>
      <w:r w:rsidRPr="00150EDC">
        <w:rPr>
          <w:spacing w:val="-3"/>
          <w:sz w:val="24"/>
        </w:rPr>
        <w:t xml:space="preserve"> </w:t>
      </w:r>
      <w:r w:rsidRPr="00150EDC">
        <w:rPr>
          <w:sz w:val="24"/>
        </w:rPr>
        <w:t>reporting</w:t>
      </w:r>
      <w:r w:rsidRPr="00150EDC">
        <w:rPr>
          <w:spacing w:val="-2"/>
          <w:sz w:val="24"/>
        </w:rPr>
        <w:t xml:space="preserve"> </w:t>
      </w:r>
      <w:r w:rsidRPr="00150EDC">
        <w:rPr>
          <w:sz w:val="24"/>
        </w:rPr>
        <w:t>to</w:t>
      </w:r>
      <w:r w:rsidRPr="00150EDC">
        <w:rPr>
          <w:spacing w:val="-4"/>
          <w:sz w:val="24"/>
        </w:rPr>
        <w:t xml:space="preserve"> </w:t>
      </w:r>
      <w:r w:rsidRPr="00150EDC">
        <w:rPr>
          <w:sz w:val="24"/>
        </w:rPr>
        <w:t>the</w:t>
      </w:r>
      <w:r w:rsidRPr="00150EDC">
        <w:rPr>
          <w:spacing w:val="-4"/>
          <w:sz w:val="24"/>
        </w:rPr>
        <w:t xml:space="preserve"> </w:t>
      </w:r>
      <w:r w:rsidRPr="00150EDC">
        <w:rPr>
          <w:sz w:val="24"/>
        </w:rPr>
        <w:t>Department</w:t>
      </w:r>
      <w:r w:rsidRPr="00150EDC">
        <w:rPr>
          <w:spacing w:val="-4"/>
          <w:sz w:val="24"/>
        </w:rPr>
        <w:t xml:space="preserve"> </w:t>
      </w:r>
      <w:r w:rsidRPr="00150EDC">
        <w:rPr>
          <w:sz w:val="24"/>
        </w:rPr>
        <w:t>on</w:t>
      </w:r>
      <w:r w:rsidRPr="00150EDC">
        <w:rPr>
          <w:spacing w:val="-4"/>
          <w:sz w:val="24"/>
        </w:rPr>
        <w:t xml:space="preserve"> </w:t>
      </w:r>
      <w:r w:rsidRPr="00150EDC">
        <w:rPr>
          <w:sz w:val="24"/>
        </w:rPr>
        <w:t>how</w:t>
      </w:r>
      <w:r w:rsidRPr="00150EDC">
        <w:rPr>
          <w:spacing w:val="-5"/>
          <w:sz w:val="24"/>
        </w:rPr>
        <w:t xml:space="preserve"> </w:t>
      </w:r>
      <w:r w:rsidRPr="00150EDC">
        <w:rPr>
          <w:sz w:val="24"/>
        </w:rPr>
        <w:t>much money has been released to date,</w:t>
      </w:r>
      <w:r w:rsidRPr="00150EDC">
        <w:rPr>
          <w:spacing w:val="-1"/>
          <w:sz w:val="24"/>
        </w:rPr>
        <w:t xml:space="preserve"> </w:t>
      </w:r>
      <w:r w:rsidRPr="00150EDC">
        <w:rPr>
          <w:sz w:val="24"/>
        </w:rPr>
        <w:t>to which providers and for what</w:t>
      </w:r>
      <w:r w:rsidRPr="00150EDC">
        <w:rPr>
          <w:spacing w:val="-1"/>
          <w:sz w:val="24"/>
        </w:rPr>
        <w:t xml:space="preserve"> </w:t>
      </w:r>
      <w:r w:rsidRPr="00150EDC">
        <w:rPr>
          <w:sz w:val="24"/>
        </w:rPr>
        <w:t>activity but this will be confirmed at the point of contract.</w:t>
      </w:r>
    </w:p>
    <w:p w14:paraId="675624AF" w14:textId="77777777" w:rsidR="004C7180" w:rsidRPr="00150EDC" w:rsidRDefault="004C7180">
      <w:pPr>
        <w:pStyle w:val="BodyText"/>
        <w:spacing w:before="5"/>
        <w:rPr>
          <w:sz w:val="27"/>
        </w:rPr>
      </w:pPr>
    </w:p>
    <w:p w14:paraId="6ECA40D0" w14:textId="77777777" w:rsidR="004C7180" w:rsidRPr="00150EDC" w:rsidRDefault="00CF0754">
      <w:pPr>
        <w:pStyle w:val="ListParagraph"/>
        <w:numPr>
          <w:ilvl w:val="0"/>
          <w:numId w:val="18"/>
        </w:numPr>
        <w:tabs>
          <w:tab w:val="left" w:pos="2091"/>
        </w:tabs>
        <w:ind w:right="2193"/>
        <w:rPr>
          <w:sz w:val="24"/>
        </w:rPr>
      </w:pPr>
      <w:r w:rsidRPr="00150EDC">
        <w:rPr>
          <w:sz w:val="24"/>
        </w:rPr>
        <w:t>Complying</w:t>
      </w:r>
      <w:r w:rsidRPr="00150EDC">
        <w:rPr>
          <w:spacing w:val="-3"/>
          <w:sz w:val="24"/>
        </w:rPr>
        <w:t xml:space="preserve"> </w:t>
      </w:r>
      <w:r w:rsidRPr="00150EDC">
        <w:rPr>
          <w:sz w:val="24"/>
        </w:rPr>
        <w:t>with</w:t>
      </w:r>
      <w:r w:rsidRPr="00150EDC">
        <w:rPr>
          <w:spacing w:val="-3"/>
          <w:sz w:val="24"/>
        </w:rPr>
        <w:t xml:space="preserve"> </w:t>
      </w:r>
      <w:r w:rsidRPr="00150EDC">
        <w:rPr>
          <w:sz w:val="24"/>
        </w:rPr>
        <w:t>the</w:t>
      </w:r>
      <w:r w:rsidRPr="00150EDC">
        <w:rPr>
          <w:spacing w:val="-3"/>
          <w:sz w:val="24"/>
        </w:rPr>
        <w:t xml:space="preserve"> </w:t>
      </w:r>
      <w:r w:rsidRPr="00150EDC">
        <w:rPr>
          <w:sz w:val="24"/>
        </w:rPr>
        <w:t>security</w:t>
      </w:r>
      <w:r w:rsidRPr="00150EDC">
        <w:rPr>
          <w:spacing w:val="-4"/>
          <w:sz w:val="24"/>
        </w:rPr>
        <w:t xml:space="preserve"> </w:t>
      </w:r>
      <w:r w:rsidRPr="00150EDC">
        <w:rPr>
          <w:sz w:val="24"/>
        </w:rPr>
        <w:t>of</w:t>
      </w:r>
      <w:r w:rsidRPr="00150EDC">
        <w:rPr>
          <w:spacing w:val="-3"/>
          <w:sz w:val="24"/>
        </w:rPr>
        <w:t xml:space="preserve"> </w:t>
      </w:r>
      <w:r w:rsidRPr="00150EDC">
        <w:rPr>
          <w:sz w:val="24"/>
        </w:rPr>
        <w:t>data</w:t>
      </w:r>
      <w:r w:rsidRPr="00150EDC">
        <w:rPr>
          <w:spacing w:val="-5"/>
          <w:sz w:val="24"/>
        </w:rPr>
        <w:t xml:space="preserve"> </w:t>
      </w:r>
      <w:r w:rsidRPr="00150EDC">
        <w:rPr>
          <w:sz w:val="24"/>
        </w:rPr>
        <w:t>plan</w:t>
      </w:r>
      <w:r w:rsidRPr="00150EDC">
        <w:rPr>
          <w:spacing w:val="-3"/>
          <w:sz w:val="24"/>
        </w:rPr>
        <w:t xml:space="preserve"> </w:t>
      </w:r>
      <w:r w:rsidRPr="00150EDC">
        <w:rPr>
          <w:sz w:val="24"/>
        </w:rPr>
        <w:t>when</w:t>
      </w:r>
      <w:r w:rsidRPr="00150EDC">
        <w:rPr>
          <w:spacing w:val="-3"/>
          <w:sz w:val="24"/>
        </w:rPr>
        <w:t xml:space="preserve"> </w:t>
      </w:r>
      <w:r w:rsidRPr="00150EDC">
        <w:rPr>
          <w:sz w:val="24"/>
        </w:rPr>
        <w:t>recording</w:t>
      </w:r>
      <w:r w:rsidRPr="00150EDC">
        <w:rPr>
          <w:spacing w:val="-3"/>
          <w:sz w:val="24"/>
        </w:rPr>
        <w:t xml:space="preserve"> </w:t>
      </w:r>
      <w:r w:rsidRPr="00150EDC">
        <w:rPr>
          <w:sz w:val="24"/>
        </w:rPr>
        <w:t>and</w:t>
      </w:r>
      <w:r w:rsidRPr="00150EDC">
        <w:rPr>
          <w:spacing w:val="-3"/>
          <w:sz w:val="24"/>
        </w:rPr>
        <w:t xml:space="preserve"> </w:t>
      </w:r>
      <w:r w:rsidRPr="00150EDC">
        <w:rPr>
          <w:sz w:val="24"/>
        </w:rPr>
        <w:t>sharing</w:t>
      </w:r>
      <w:r w:rsidRPr="00150EDC">
        <w:rPr>
          <w:spacing w:val="-3"/>
          <w:sz w:val="24"/>
        </w:rPr>
        <w:t xml:space="preserve"> </w:t>
      </w:r>
      <w:r w:rsidRPr="00150EDC">
        <w:rPr>
          <w:sz w:val="24"/>
        </w:rPr>
        <w:t>all financial information to ensure the Department has all the necessary information to process any checks.</w:t>
      </w:r>
    </w:p>
    <w:p w14:paraId="60255356" w14:textId="77777777" w:rsidR="004C7180" w:rsidRPr="00150EDC" w:rsidRDefault="004C7180">
      <w:pPr>
        <w:pStyle w:val="BodyText"/>
        <w:spacing w:before="7"/>
        <w:rPr>
          <w:sz w:val="23"/>
        </w:rPr>
      </w:pPr>
    </w:p>
    <w:p w14:paraId="12FAFA1D" w14:textId="77777777" w:rsidR="004C7180" w:rsidRPr="00150EDC" w:rsidRDefault="00CF0754">
      <w:pPr>
        <w:pStyle w:val="ListParagraph"/>
        <w:numPr>
          <w:ilvl w:val="0"/>
          <w:numId w:val="18"/>
        </w:numPr>
        <w:tabs>
          <w:tab w:val="left" w:pos="2091"/>
        </w:tabs>
        <w:spacing w:before="1"/>
        <w:ind w:right="1606"/>
        <w:rPr>
          <w:sz w:val="24"/>
        </w:rPr>
      </w:pPr>
      <w:r w:rsidRPr="00150EDC">
        <w:rPr>
          <w:sz w:val="24"/>
        </w:rPr>
        <w:t>Developing</w:t>
      </w:r>
      <w:r w:rsidRPr="00150EDC">
        <w:rPr>
          <w:spacing w:val="-2"/>
          <w:sz w:val="24"/>
        </w:rPr>
        <w:t xml:space="preserve"> </w:t>
      </w:r>
      <w:r w:rsidRPr="00150EDC">
        <w:rPr>
          <w:sz w:val="24"/>
        </w:rPr>
        <w:t>a</w:t>
      </w:r>
      <w:r w:rsidRPr="00150EDC">
        <w:rPr>
          <w:spacing w:val="-4"/>
          <w:sz w:val="24"/>
        </w:rPr>
        <w:t xml:space="preserve"> </w:t>
      </w:r>
      <w:r w:rsidRPr="00150EDC">
        <w:rPr>
          <w:sz w:val="24"/>
        </w:rPr>
        <w:t>fraud</w:t>
      </w:r>
      <w:r w:rsidRPr="00150EDC">
        <w:rPr>
          <w:spacing w:val="-4"/>
          <w:sz w:val="24"/>
        </w:rPr>
        <w:t xml:space="preserve"> </w:t>
      </w:r>
      <w:r w:rsidRPr="00150EDC">
        <w:rPr>
          <w:sz w:val="24"/>
        </w:rPr>
        <w:t>plan</w:t>
      </w:r>
      <w:r w:rsidRPr="00150EDC">
        <w:rPr>
          <w:spacing w:val="-2"/>
          <w:sz w:val="24"/>
        </w:rPr>
        <w:t xml:space="preserve"> </w:t>
      </w:r>
      <w:r w:rsidRPr="00150EDC">
        <w:rPr>
          <w:sz w:val="24"/>
        </w:rPr>
        <w:t>and</w:t>
      </w:r>
      <w:r w:rsidRPr="00150EDC">
        <w:rPr>
          <w:spacing w:val="-2"/>
          <w:sz w:val="24"/>
        </w:rPr>
        <w:t xml:space="preserve"> </w:t>
      </w:r>
      <w:r w:rsidRPr="00150EDC">
        <w:rPr>
          <w:sz w:val="24"/>
        </w:rPr>
        <w:t>an</w:t>
      </w:r>
      <w:r w:rsidRPr="00150EDC">
        <w:rPr>
          <w:spacing w:val="-2"/>
          <w:sz w:val="24"/>
        </w:rPr>
        <w:t xml:space="preserve"> </w:t>
      </w:r>
      <w:r w:rsidRPr="00150EDC">
        <w:rPr>
          <w:sz w:val="24"/>
        </w:rPr>
        <w:t>investigations</w:t>
      </w:r>
      <w:r w:rsidRPr="00150EDC">
        <w:rPr>
          <w:spacing w:val="-5"/>
          <w:sz w:val="24"/>
        </w:rPr>
        <w:t xml:space="preserve"> </w:t>
      </w:r>
      <w:r w:rsidRPr="00150EDC">
        <w:rPr>
          <w:sz w:val="24"/>
        </w:rPr>
        <w:t>process</w:t>
      </w:r>
      <w:r w:rsidRPr="00150EDC">
        <w:rPr>
          <w:spacing w:val="-5"/>
          <w:sz w:val="24"/>
        </w:rPr>
        <w:t xml:space="preserve"> </w:t>
      </w:r>
      <w:r w:rsidRPr="00150EDC">
        <w:rPr>
          <w:sz w:val="24"/>
        </w:rPr>
        <w:t>and</w:t>
      </w:r>
      <w:r w:rsidRPr="00150EDC">
        <w:rPr>
          <w:spacing w:val="-4"/>
          <w:sz w:val="24"/>
        </w:rPr>
        <w:t xml:space="preserve"> </w:t>
      </w:r>
      <w:r w:rsidRPr="00150EDC">
        <w:rPr>
          <w:sz w:val="24"/>
        </w:rPr>
        <w:t>agreeing</w:t>
      </w:r>
      <w:r w:rsidRPr="00150EDC">
        <w:rPr>
          <w:spacing w:val="-7"/>
          <w:sz w:val="24"/>
        </w:rPr>
        <w:t xml:space="preserve"> </w:t>
      </w:r>
      <w:r w:rsidRPr="00150EDC">
        <w:rPr>
          <w:sz w:val="24"/>
        </w:rPr>
        <w:t>this</w:t>
      </w:r>
      <w:r w:rsidRPr="00150EDC">
        <w:rPr>
          <w:spacing w:val="-3"/>
          <w:sz w:val="24"/>
        </w:rPr>
        <w:t xml:space="preserve"> </w:t>
      </w:r>
      <w:r w:rsidRPr="00150EDC">
        <w:rPr>
          <w:sz w:val="24"/>
        </w:rPr>
        <w:t xml:space="preserve">with the Department; monitoring and actively managing any risks of fraudulent </w:t>
      </w:r>
      <w:bookmarkStart w:id="100" w:name="6._Key_Milestones_and_Deliverables"/>
      <w:bookmarkStart w:id="101" w:name="_bookmark20"/>
      <w:bookmarkEnd w:id="100"/>
      <w:bookmarkEnd w:id="101"/>
      <w:r w:rsidRPr="00150EDC">
        <w:rPr>
          <w:spacing w:val="-2"/>
          <w:sz w:val="24"/>
        </w:rPr>
        <w:t>activity.</w:t>
      </w:r>
    </w:p>
    <w:p w14:paraId="4159E547" w14:textId="77777777" w:rsidR="004C7180" w:rsidRPr="00150EDC" w:rsidRDefault="00CF0754">
      <w:pPr>
        <w:pStyle w:val="Heading1"/>
        <w:numPr>
          <w:ilvl w:val="0"/>
          <w:numId w:val="30"/>
        </w:numPr>
        <w:tabs>
          <w:tab w:val="left" w:pos="1758"/>
        </w:tabs>
        <w:spacing w:line="410" w:lineRule="exact"/>
        <w:ind w:left="1758"/>
      </w:pPr>
      <w:r w:rsidRPr="00150EDC">
        <w:t>Key</w:t>
      </w:r>
      <w:r w:rsidRPr="00150EDC">
        <w:rPr>
          <w:spacing w:val="-4"/>
        </w:rPr>
        <w:t xml:space="preserve"> </w:t>
      </w:r>
      <w:r w:rsidRPr="00150EDC">
        <w:t>Milestones</w:t>
      </w:r>
      <w:r w:rsidRPr="00150EDC">
        <w:rPr>
          <w:spacing w:val="-4"/>
        </w:rPr>
        <w:t xml:space="preserve"> </w:t>
      </w:r>
      <w:r w:rsidRPr="00150EDC">
        <w:t>and</w:t>
      </w:r>
      <w:r w:rsidRPr="00150EDC">
        <w:rPr>
          <w:spacing w:val="-1"/>
        </w:rPr>
        <w:t xml:space="preserve"> </w:t>
      </w:r>
      <w:r w:rsidRPr="00150EDC">
        <w:rPr>
          <w:spacing w:val="-2"/>
        </w:rPr>
        <w:t>Deliverables</w:t>
      </w:r>
    </w:p>
    <w:p w14:paraId="30BDBE38" w14:textId="77777777" w:rsidR="004C7180" w:rsidRPr="00150EDC" w:rsidRDefault="00CF0754">
      <w:pPr>
        <w:pStyle w:val="BodyText"/>
        <w:spacing w:before="3"/>
        <w:ind w:left="1400"/>
      </w:pPr>
      <w:r w:rsidRPr="00150EDC">
        <w:t>The</w:t>
      </w:r>
      <w:r w:rsidRPr="00150EDC">
        <w:rPr>
          <w:spacing w:val="-5"/>
        </w:rPr>
        <w:t xml:space="preserve"> </w:t>
      </w:r>
      <w:r w:rsidRPr="00150EDC">
        <w:t>following</w:t>
      </w:r>
      <w:r w:rsidRPr="00150EDC">
        <w:rPr>
          <w:spacing w:val="-4"/>
        </w:rPr>
        <w:t xml:space="preserve"> </w:t>
      </w:r>
      <w:r w:rsidRPr="00150EDC">
        <w:t>Contract</w:t>
      </w:r>
      <w:r w:rsidRPr="00150EDC">
        <w:rPr>
          <w:spacing w:val="-6"/>
        </w:rPr>
        <w:t xml:space="preserve"> </w:t>
      </w:r>
      <w:r w:rsidRPr="00150EDC">
        <w:t>milestones/deliverables</w:t>
      </w:r>
      <w:r w:rsidRPr="00150EDC">
        <w:rPr>
          <w:spacing w:val="-5"/>
        </w:rPr>
        <w:t xml:space="preserve"> </w:t>
      </w:r>
      <w:r w:rsidRPr="00150EDC">
        <w:t>shall</w:t>
      </w:r>
      <w:r w:rsidRPr="00150EDC">
        <w:rPr>
          <w:spacing w:val="-5"/>
        </w:rPr>
        <w:t xml:space="preserve"> </w:t>
      </w:r>
      <w:r w:rsidRPr="00150EDC">
        <w:rPr>
          <w:spacing w:val="-2"/>
        </w:rPr>
        <w:t>apply:</w:t>
      </w:r>
    </w:p>
    <w:p w14:paraId="7A37339F" w14:textId="77777777" w:rsidR="004C7180" w:rsidRPr="00150EDC" w:rsidRDefault="004C7180">
      <w:pPr>
        <w:pStyle w:val="BodyText"/>
        <w:spacing w:before="4"/>
      </w:pPr>
    </w:p>
    <w:tbl>
      <w:tblPr>
        <w:tblW w:w="0" w:type="auto"/>
        <w:tblInd w:w="14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702"/>
        <w:gridCol w:w="4918"/>
        <w:gridCol w:w="2400"/>
      </w:tblGrid>
      <w:tr w:rsidR="004569EE" w:rsidRPr="007D3144" w14:paraId="628F2678" w14:textId="77777777">
        <w:trPr>
          <w:trHeight w:val="551"/>
        </w:trPr>
        <w:tc>
          <w:tcPr>
            <w:tcW w:w="1702" w:type="dxa"/>
            <w:tcBorders>
              <w:bottom w:val="single" w:sz="6" w:space="0" w:color="000000"/>
              <w:right w:val="single" w:sz="6" w:space="0" w:color="000000"/>
            </w:tcBorders>
            <w:shd w:val="clear" w:color="auto" w:fill="B8CCE3"/>
          </w:tcPr>
          <w:p w14:paraId="32C44D54" w14:textId="77777777" w:rsidR="004C7180" w:rsidRPr="00150EDC" w:rsidRDefault="00CF0754">
            <w:pPr>
              <w:pStyle w:val="TableParagraph"/>
              <w:spacing w:before="0" w:line="240" w:lineRule="auto"/>
              <w:ind w:left="76"/>
              <w:rPr>
                <w:b/>
                <w:sz w:val="24"/>
              </w:rPr>
            </w:pPr>
            <w:r w:rsidRPr="00150EDC">
              <w:rPr>
                <w:b/>
                <w:spacing w:val="-5"/>
                <w:sz w:val="24"/>
              </w:rPr>
              <w:t>PPM</w:t>
            </w:r>
          </w:p>
          <w:p w14:paraId="2FD75F04" w14:textId="77777777" w:rsidR="004C7180" w:rsidRPr="00150EDC" w:rsidRDefault="00CF0754">
            <w:pPr>
              <w:pStyle w:val="TableParagraph"/>
              <w:spacing w:before="0" w:line="255" w:lineRule="exact"/>
              <w:ind w:left="76"/>
              <w:rPr>
                <w:b/>
                <w:sz w:val="24"/>
              </w:rPr>
            </w:pPr>
            <w:r w:rsidRPr="00150EDC">
              <w:rPr>
                <w:b/>
                <w:spacing w:val="-2"/>
                <w:sz w:val="24"/>
              </w:rPr>
              <w:t>Milestone</w:t>
            </w:r>
          </w:p>
        </w:tc>
        <w:tc>
          <w:tcPr>
            <w:tcW w:w="4918" w:type="dxa"/>
            <w:tcBorders>
              <w:left w:val="single" w:sz="6" w:space="0" w:color="000000"/>
              <w:bottom w:val="single" w:sz="6" w:space="0" w:color="000000"/>
              <w:right w:val="single" w:sz="6" w:space="0" w:color="000000"/>
            </w:tcBorders>
            <w:shd w:val="clear" w:color="auto" w:fill="B8CCE3"/>
          </w:tcPr>
          <w:p w14:paraId="7464EB93" w14:textId="77777777" w:rsidR="004C7180" w:rsidRPr="00150EDC" w:rsidRDefault="00CF0754">
            <w:pPr>
              <w:pStyle w:val="TableParagraph"/>
              <w:spacing w:before="139" w:line="240" w:lineRule="auto"/>
              <w:ind w:left="83"/>
              <w:rPr>
                <w:b/>
                <w:sz w:val="24"/>
              </w:rPr>
            </w:pPr>
            <w:r w:rsidRPr="00150EDC">
              <w:rPr>
                <w:b/>
                <w:spacing w:val="-2"/>
                <w:sz w:val="24"/>
              </w:rPr>
              <w:t>Description</w:t>
            </w:r>
          </w:p>
        </w:tc>
        <w:tc>
          <w:tcPr>
            <w:tcW w:w="2400" w:type="dxa"/>
            <w:tcBorders>
              <w:left w:val="single" w:sz="6" w:space="0" w:color="000000"/>
              <w:bottom w:val="single" w:sz="6" w:space="0" w:color="000000"/>
            </w:tcBorders>
            <w:shd w:val="clear" w:color="auto" w:fill="B8CCE3"/>
          </w:tcPr>
          <w:p w14:paraId="5EAE5F69" w14:textId="77777777" w:rsidR="004C7180" w:rsidRPr="00150EDC" w:rsidRDefault="00CF0754">
            <w:pPr>
              <w:pStyle w:val="TableParagraph"/>
              <w:spacing w:before="0" w:line="270" w:lineRule="atLeast"/>
              <w:ind w:left="82"/>
              <w:rPr>
                <w:b/>
                <w:sz w:val="24"/>
              </w:rPr>
            </w:pPr>
            <w:r w:rsidRPr="00150EDC">
              <w:rPr>
                <w:b/>
                <w:sz w:val="24"/>
              </w:rPr>
              <w:t>Delivery</w:t>
            </w:r>
            <w:r w:rsidRPr="00150EDC">
              <w:rPr>
                <w:b/>
                <w:spacing w:val="-17"/>
                <w:sz w:val="24"/>
              </w:rPr>
              <w:t xml:space="preserve"> </w:t>
            </w:r>
            <w:r w:rsidRPr="00150EDC">
              <w:rPr>
                <w:b/>
                <w:sz w:val="24"/>
              </w:rPr>
              <w:t>Date</w:t>
            </w:r>
            <w:r w:rsidRPr="00150EDC">
              <w:rPr>
                <w:b/>
                <w:spacing w:val="-17"/>
                <w:sz w:val="24"/>
              </w:rPr>
              <w:t xml:space="preserve"> </w:t>
            </w:r>
            <w:r w:rsidRPr="00150EDC">
              <w:rPr>
                <w:b/>
                <w:sz w:val="24"/>
              </w:rPr>
              <w:t xml:space="preserve">or </w:t>
            </w:r>
            <w:r w:rsidRPr="00150EDC">
              <w:rPr>
                <w:b/>
                <w:spacing w:val="-2"/>
                <w:sz w:val="24"/>
              </w:rPr>
              <w:t>Timeframe</w:t>
            </w:r>
          </w:p>
        </w:tc>
      </w:tr>
      <w:tr w:rsidR="004569EE" w:rsidRPr="007D3144" w14:paraId="10CC86DB" w14:textId="77777777">
        <w:trPr>
          <w:trHeight w:val="276"/>
        </w:trPr>
        <w:tc>
          <w:tcPr>
            <w:tcW w:w="1702" w:type="dxa"/>
            <w:tcBorders>
              <w:top w:val="single" w:sz="6" w:space="0" w:color="000000"/>
              <w:bottom w:val="single" w:sz="4" w:space="0" w:color="000000"/>
              <w:right w:val="single" w:sz="4" w:space="0" w:color="000000"/>
            </w:tcBorders>
          </w:tcPr>
          <w:p w14:paraId="28C3B5F1" w14:textId="77777777" w:rsidR="004C7180" w:rsidRPr="00150EDC" w:rsidRDefault="00CF0754">
            <w:pPr>
              <w:pStyle w:val="TableParagraph"/>
              <w:spacing w:before="1" w:line="255" w:lineRule="exact"/>
              <w:ind w:left="76"/>
              <w:rPr>
                <w:sz w:val="24"/>
              </w:rPr>
            </w:pPr>
            <w:r w:rsidRPr="00150EDC">
              <w:rPr>
                <w:spacing w:val="-5"/>
                <w:sz w:val="24"/>
              </w:rPr>
              <w:t>#1</w:t>
            </w:r>
          </w:p>
        </w:tc>
        <w:tc>
          <w:tcPr>
            <w:tcW w:w="4918" w:type="dxa"/>
            <w:tcBorders>
              <w:top w:val="single" w:sz="6" w:space="0" w:color="000000"/>
              <w:left w:val="single" w:sz="4" w:space="0" w:color="000000"/>
              <w:bottom w:val="single" w:sz="4" w:space="0" w:color="000000"/>
              <w:right w:val="single" w:sz="4" w:space="0" w:color="000000"/>
            </w:tcBorders>
          </w:tcPr>
          <w:p w14:paraId="7727AB0D" w14:textId="77777777" w:rsidR="004C7180" w:rsidRPr="00150EDC" w:rsidRDefault="00CF0754">
            <w:pPr>
              <w:pStyle w:val="TableParagraph"/>
              <w:spacing w:before="1" w:line="255" w:lineRule="exact"/>
              <w:ind w:left="85"/>
              <w:rPr>
                <w:sz w:val="24"/>
              </w:rPr>
            </w:pPr>
            <w:r w:rsidRPr="00150EDC">
              <w:rPr>
                <w:sz w:val="24"/>
              </w:rPr>
              <w:t>Contract</w:t>
            </w:r>
            <w:r w:rsidRPr="00150EDC">
              <w:rPr>
                <w:spacing w:val="1"/>
                <w:sz w:val="24"/>
              </w:rPr>
              <w:t xml:space="preserve"> </w:t>
            </w:r>
            <w:r w:rsidRPr="00150EDC">
              <w:rPr>
                <w:spacing w:val="-2"/>
                <w:sz w:val="24"/>
              </w:rPr>
              <w:t>signed</w:t>
            </w:r>
          </w:p>
        </w:tc>
        <w:tc>
          <w:tcPr>
            <w:tcW w:w="2400" w:type="dxa"/>
            <w:tcBorders>
              <w:top w:val="single" w:sz="6" w:space="0" w:color="000000"/>
              <w:left w:val="single" w:sz="4" w:space="0" w:color="000000"/>
              <w:bottom w:val="single" w:sz="4" w:space="0" w:color="000000"/>
            </w:tcBorders>
          </w:tcPr>
          <w:p w14:paraId="47D9FD05" w14:textId="5DBD7A18" w:rsidR="004C7180" w:rsidRPr="00150EDC" w:rsidRDefault="00202F59">
            <w:pPr>
              <w:pStyle w:val="TableParagraph"/>
              <w:spacing w:before="1" w:line="255" w:lineRule="exact"/>
              <w:ind w:left="83"/>
              <w:rPr>
                <w:sz w:val="24"/>
              </w:rPr>
            </w:pPr>
            <w:r>
              <w:rPr>
                <w:sz w:val="24"/>
              </w:rPr>
              <w:t>November</w:t>
            </w:r>
            <w:r w:rsidRPr="00150EDC">
              <w:rPr>
                <w:spacing w:val="-5"/>
                <w:sz w:val="24"/>
              </w:rPr>
              <w:t xml:space="preserve"> </w:t>
            </w:r>
            <w:r w:rsidR="00CF0754" w:rsidRPr="00150EDC">
              <w:rPr>
                <w:spacing w:val="-4"/>
                <w:sz w:val="24"/>
              </w:rPr>
              <w:t>2023</w:t>
            </w:r>
          </w:p>
        </w:tc>
      </w:tr>
      <w:tr w:rsidR="004569EE" w:rsidRPr="007D3144" w14:paraId="7C0BAE84" w14:textId="77777777">
        <w:trPr>
          <w:trHeight w:val="275"/>
        </w:trPr>
        <w:tc>
          <w:tcPr>
            <w:tcW w:w="1702" w:type="dxa"/>
            <w:tcBorders>
              <w:top w:val="single" w:sz="4" w:space="0" w:color="000000"/>
              <w:bottom w:val="single" w:sz="4" w:space="0" w:color="000000"/>
              <w:right w:val="single" w:sz="4" w:space="0" w:color="000000"/>
            </w:tcBorders>
          </w:tcPr>
          <w:p w14:paraId="115E3177" w14:textId="77777777" w:rsidR="004C7180" w:rsidRPr="00150EDC" w:rsidRDefault="00CF0754">
            <w:pPr>
              <w:pStyle w:val="TableParagraph"/>
              <w:spacing w:before="0" w:line="255" w:lineRule="exact"/>
              <w:ind w:left="76"/>
              <w:rPr>
                <w:sz w:val="24"/>
              </w:rPr>
            </w:pPr>
            <w:r w:rsidRPr="00150EDC">
              <w:rPr>
                <w:spacing w:val="-5"/>
                <w:sz w:val="24"/>
              </w:rPr>
              <w:t>#2</w:t>
            </w:r>
          </w:p>
        </w:tc>
        <w:tc>
          <w:tcPr>
            <w:tcW w:w="4918" w:type="dxa"/>
            <w:tcBorders>
              <w:top w:val="single" w:sz="4" w:space="0" w:color="000000"/>
              <w:left w:val="single" w:sz="4" w:space="0" w:color="000000"/>
              <w:bottom w:val="single" w:sz="4" w:space="0" w:color="000000"/>
              <w:right w:val="single" w:sz="4" w:space="0" w:color="000000"/>
            </w:tcBorders>
          </w:tcPr>
          <w:p w14:paraId="659C54A8" w14:textId="77777777" w:rsidR="004C7180" w:rsidRPr="00150EDC" w:rsidRDefault="00CF0754">
            <w:pPr>
              <w:pStyle w:val="TableParagraph"/>
              <w:spacing w:before="0" w:line="255" w:lineRule="exact"/>
              <w:ind w:left="85"/>
              <w:rPr>
                <w:sz w:val="24"/>
              </w:rPr>
            </w:pPr>
            <w:r w:rsidRPr="00150EDC">
              <w:rPr>
                <w:sz w:val="24"/>
              </w:rPr>
              <w:t>Project</w:t>
            </w:r>
            <w:r w:rsidRPr="00150EDC">
              <w:rPr>
                <w:spacing w:val="-4"/>
                <w:sz w:val="24"/>
              </w:rPr>
              <w:t xml:space="preserve"> </w:t>
            </w:r>
            <w:r w:rsidRPr="00150EDC">
              <w:rPr>
                <w:sz w:val="24"/>
              </w:rPr>
              <w:t>work</w:t>
            </w:r>
            <w:r w:rsidRPr="00150EDC">
              <w:rPr>
                <w:spacing w:val="-1"/>
                <w:sz w:val="24"/>
              </w:rPr>
              <w:t xml:space="preserve"> </w:t>
            </w:r>
            <w:r w:rsidRPr="00150EDC">
              <w:rPr>
                <w:spacing w:val="-2"/>
                <w:sz w:val="24"/>
              </w:rPr>
              <w:t>begins</w:t>
            </w:r>
          </w:p>
        </w:tc>
        <w:tc>
          <w:tcPr>
            <w:tcW w:w="2400" w:type="dxa"/>
            <w:tcBorders>
              <w:top w:val="single" w:sz="4" w:space="0" w:color="000000"/>
              <w:left w:val="single" w:sz="4" w:space="0" w:color="000000"/>
              <w:bottom w:val="single" w:sz="4" w:space="0" w:color="000000"/>
            </w:tcBorders>
          </w:tcPr>
          <w:p w14:paraId="3968943D" w14:textId="0F005343" w:rsidR="004C7180" w:rsidRPr="00150EDC" w:rsidRDefault="005F58AB">
            <w:pPr>
              <w:pStyle w:val="TableParagraph"/>
              <w:spacing w:before="0" w:line="255" w:lineRule="exact"/>
              <w:ind w:left="83"/>
              <w:rPr>
                <w:sz w:val="24"/>
              </w:rPr>
            </w:pPr>
            <w:r w:rsidRPr="00150EDC">
              <w:rPr>
                <w:sz w:val="24"/>
              </w:rPr>
              <w:t>November</w:t>
            </w:r>
            <w:r w:rsidRPr="00150EDC">
              <w:rPr>
                <w:spacing w:val="-5"/>
                <w:sz w:val="24"/>
              </w:rPr>
              <w:t xml:space="preserve"> </w:t>
            </w:r>
            <w:r w:rsidR="00CF0754" w:rsidRPr="00150EDC">
              <w:rPr>
                <w:spacing w:val="-4"/>
                <w:sz w:val="24"/>
              </w:rPr>
              <w:t>2023</w:t>
            </w:r>
          </w:p>
        </w:tc>
      </w:tr>
    </w:tbl>
    <w:p w14:paraId="6732ED4B" w14:textId="77777777" w:rsidR="004C7180" w:rsidRPr="00150EDC" w:rsidRDefault="004C7180">
      <w:pPr>
        <w:spacing w:line="255" w:lineRule="exact"/>
        <w:rPr>
          <w:sz w:val="24"/>
        </w:rPr>
        <w:sectPr w:rsidR="004C7180" w:rsidRPr="00150EDC">
          <w:pgSz w:w="11910" w:h="16840"/>
          <w:pgMar w:top="1220" w:right="0" w:bottom="660" w:left="40" w:header="149" w:footer="465" w:gutter="0"/>
          <w:cols w:space="720"/>
        </w:sectPr>
      </w:pPr>
    </w:p>
    <w:p w14:paraId="27C65374" w14:textId="77777777" w:rsidR="004C7180" w:rsidRPr="00150EDC" w:rsidRDefault="004C7180">
      <w:pPr>
        <w:pStyle w:val="BodyText"/>
        <w:spacing w:before="1"/>
        <w:rPr>
          <w:sz w:val="18"/>
        </w:rPr>
      </w:pPr>
    </w:p>
    <w:tbl>
      <w:tblPr>
        <w:tblW w:w="0" w:type="auto"/>
        <w:tblInd w:w="1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4918"/>
        <w:gridCol w:w="2400"/>
      </w:tblGrid>
      <w:tr w:rsidR="004569EE" w:rsidRPr="007D3144" w14:paraId="2CCA60B3" w14:textId="77777777" w:rsidTr="2583C4EE">
        <w:trPr>
          <w:trHeight w:val="275"/>
        </w:trPr>
        <w:tc>
          <w:tcPr>
            <w:tcW w:w="1702" w:type="dxa"/>
            <w:tcBorders>
              <w:left w:val="single" w:sz="12" w:space="0" w:color="000000" w:themeColor="text1"/>
            </w:tcBorders>
          </w:tcPr>
          <w:p w14:paraId="7E7C509E" w14:textId="77777777" w:rsidR="004C7180" w:rsidRPr="00150EDC" w:rsidRDefault="00CF0754">
            <w:pPr>
              <w:pStyle w:val="TableParagraph"/>
              <w:spacing w:before="0" w:line="255" w:lineRule="exact"/>
              <w:ind w:left="76"/>
              <w:rPr>
                <w:sz w:val="24"/>
              </w:rPr>
            </w:pPr>
            <w:r w:rsidRPr="00150EDC">
              <w:rPr>
                <w:spacing w:val="-5"/>
                <w:sz w:val="24"/>
              </w:rPr>
              <w:t>#3</w:t>
            </w:r>
          </w:p>
        </w:tc>
        <w:tc>
          <w:tcPr>
            <w:tcW w:w="4918" w:type="dxa"/>
          </w:tcPr>
          <w:p w14:paraId="022DC88B" w14:textId="77777777" w:rsidR="004C7180" w:rsidRPr="00150EDC" w:rsidRDefault="00CF0754">
            <w:pPr>
              <w:pStyle w:val="TableParagraph"/>
              <w:spacing w:before="0" w:line="255" w:lineRule="exact"/>
              <w:ind w:left="85"/>
              <w:rPr>
                <w:sz w:val="24"/>
              </w:rPr>
            </w:pPr>
            <w:r w:rsidRPr="00150EDC">
              <w:rPr>
                <w:sz w:val="24"/>
              </w:rPr>
              <w:t>Stakeholder</w:t>
            </w:r>
            <w:r w:rsidRPr="00150EDC">
              <w:rPr>
                <w:spacing w:val="-4"/>
                <w:sz w:val="24"/>
              </w:rPr>
              <w:t xml:space="preserve"> </w:t>
            </w:r>
            <w:r w:rsidRPr="00150EDC">
              <w:rPr>
                <w:sz w:val="24"/>
              </w:rPr>
              <w:t>engagement</w:t>
            </w:r>
            <w:r w:rsidRPr="00150EDC">
              <w:rPr>
                <w:spacing w:val="-5"/>
                <w:sz w:val="24"/>
              </w:rPr>
              <w:t xml:space="preserve"> </w:t>
            </w:r>
            <w:r w:rsidRPr="00150EDC">
              <w:rPr>
                <w:sz w:val="24"/>
              </w:rPr>
              <w:t>plan</w:t>
            </w:r>
            <w:r w:rsidRPr="00150EDC">
              <w:rPr>
                <w:spacing w:val="-2"/>
                <w:sz w:val="24"/>
              </w:rPr>
              <w:t xml:space="preserve"> submitted</w:t>
            </w:r>
          </w:p>
        </w:tc>
        <w:tc>
          <w:tcPr>
            <w:tcW w:w="2400" w:type="dxa"/>
            <w:tcBorders>
              <w:right w:val="single" w:sz="12" w:space="0" w:color="000000" w:themeColor="text1"/>
            </w:tcBorders>
          </w:tcPr>
          <w:p w14:paraId="31733BD0" w14:textId="29B0BE04" w:rsidR="004C7180" w:rsidRPr="00150EDC" w:rsidRDefault="000671C3">
            <w:pPr>
              <w:pStyle w:val="TableParagraph"/>
              <w:spacing w:before="0" w:line="255" w:lineRule="exact"/>
              <w:ind w:left="83"/>
              <w:rPr>
                <w:sz w:val="24"/>
              </w:rPr>
            </w:pPr>
            <w:r>
              <w:rPr>
                <w:sz w:val="24"/>
              </w:rPr>
              <w:t>November</w:t>
            </w:r>
            <w:r w:rsidR="004569EE" w:rsidRPr="00150EDC">
              <w:rPr>
                <w:spacing w:val="-5"/>
                <w:sz w:val="24"/>
              </w:rPr>
              <w:t xml:space="preserve"> </w:t>
            </w:r>
            <w:r w:rsidR="00CF0754" w:rsidRPr="00150EDC">
              <w:rPr>
                <w:spacing w:val="-4"/>
                <w:sz w:val="24"/>
              </w:rPr>
              <w:t>2023</w:t>
            </w:r>
          </w:p>
        </w:tc>
      </w:tr>
      <w:tr w:rsidR="004569EE" w:rsidRPr="007D3144" w14:paraId="341C93DD" w14:textId="77777777" w:rsidTr="2583C4EE">
        <w:trPr>
          <w:trHeight w:val="275"/>
        </w:trPr>
        <w:tc>
          <w:tcPr>
            <w:tcW w:w="1702" w:type="dxa"/>
            <w:tcBorders>
              <w:left w:val="single" w:sz="12" w:space="0" w:color="000000" w:themeColor="text1"/>
            </w:tcBorders>
          </w:tcPr>
          <w:p w14:paraId="6AEC7E1A" w14:textId="77777777" w:rsidR="004C7180" w:rsidRPr="00150EDC" w:rsidRDefault="00CF0754">
            <w:pPr>
              <w:pStyle w:val="TableParagraph"/>
              <w:spacing w:before="0" w:line="255" w:lineRule="exact"/>
              <w:ind w:left="76"/>
              <w:rPr>
                <w:sz w:val="24"/>
              </w:rPr>
            </w:pPr>
            <w:r w:rsidRPr="00150EDC">
              <w:rPr>
                <w:spacing w:val="-5"/>
                <w:sz w:val="24"/>
              </w:rPr>
              <w:t>#4</w:t>
            </w:r>
          </w:p>
        </w:tc>
        <w:tc>
          <w:tcPr>
            <w:tcW w:w="4918" w:type="dxa"/>
          </w:tcPr>
          <w:p w14:paraId="0DAEABCD" w14:textId="77777777" w:rsidR="004C7180" w:rsidRPr="00150EDC" w:rsidRDefault="00CF0754">
            <w:pPr>
              <w:pStyle w:val="TableParagraph"/>
              <w:spacing w:before="0" w:line="255" w:lineRule="exact"/>
              <w:ind w:left="85"/>
              <w:rPr>
                <w:sz w:val="24"/>
              </w:rPr>
            </w:pPr>
            <w:r w:rsidRPr="00150EDC">
              <w:rPr>
                <w:sz w:val="24"/>
              </w:rPr>
              <w:t>RAID</w:t>
            </w:r>
            <w:r w:rsidRPr="00150EDC">
              <w:rPr>
                <w:spacing w:val="-1"/>
                <w:sz w:val="24"/>
              </w:rPr>
              <w:t xml:space="preserve"> </w:t>
            </w:r>
            <w:r w:rsidRPr="00150EDC">
              <w:rPr>
                <w:sz w:val="24"/>
              </w:rPr>
              <w:t xml:space="preserve">log </w:t>
            </w:r>
            <w:r w:rsidRPr="00150EDC">
              <w:rPr>
                <w:spacing w:val="-2"/>
                <w:sz w:val="24"/>
              </w:rPr>
              <w:t>submitted</w:t>
            </w:r>
          </w:p>
        </w:tc>
        <w:tc>
          <w:tcPr>
            <w:tcW w:w="2400" w:type="dxa"/>
            <w:tcBorders>
              <w:right w:val="single" w:sz="12" w:space="0" w:color="000000" w:themeColor="text1"/>
            </w:tcBorders>
          </w:tcPr>
          <w:p w14:paraId="010190CC" w14:textId="55F80EDF" w:rsidR="004C7180" w:rsidRPr="00150EDC" w:rsidRDefault="004569EE">
            <w:pPr>
              <w:pStyle w:val="TableParagraph"/>
              <w:spacing w:before="0" w:line="255" w:lineRule="exact"/>
              <w:ind w:left="83"/>
              <w:rPr>
                <w:sz w:val="24"/>
              </w:rPr>
            </w:pPr>
            <w:r>
              <w:rPr>
                <w:sz w:val="24"/>
              </w:rPr>
              <w:t>December</w:t>
            </w:r>
            <w:r w:rsidR="00EF5568" w:rsidRPr="00150EDC">
              <w:rPr>
                <w:spacing w:val="-5"/>
                <w:sz w:val="24"/>
              </w:rPr>
              <w:t xml:space="preserve"> </w:t>
            </w:r>
            <w:r w:rsidR="00CF0754" w:rsidRPr="00150EDC">
              <w:rPr>
                <w:spacing w:val="-4"/>
                <w:sz w:val="24"/>
              </w:rPr>
              <w:t>2023</w:t>
            </w:r>
          </w:p>
        </w:tc>
      </w:tr>
      <w:tr w:rsidR="004569EE" w:rsidRPr="007D3144" w14:paraId="405D7CF4" w14:textId="77777777" w:rsidTr="2583C4EE">
        <w:trPr>
          <w:trHeight w:val="551"/>
        </w:trPr>
        <w:tc>
          <w:tcPr>
            <w:tcW w:w="1702" w:type="dxa"/>
            <w:tcBorders>
              <w:left w:val="single" w:sz="12" w:space="0" w:color="000000" w:themeColor="text1"/>
            </w:tcBorders>
          </w:tcPr>
          <w:p w14:paraId="47615024" w14:textId="77777777" w:rsidR="004C7180" w:rsidRPr="00150EDC" w:rsidRDefault="00CF0754">
            <w:pPr>
              <w:pStyle w:val="TableParagraph"/>
              <w:spacing w:before="139" w:line="240" w:lineRule="auto"/>
              <w:ind w:left="76"/>
              <w:rPr>
                <w:sz w:val="24"/>
              </w:rPr>
            </w:pPr>
            <w:r w:rsidRPr="00150EDC">
              <w:rPr>
                <w:spacing w:val="-5"/>
                <w:sz w:val="24"/>
              </w:rPr>
              <w:t>#5</w:t>
            </w:r>
          </w:p>
        </w:tc>
        <w:tc>
          <w:tcPr>
            <w:tcW w:w="4918" w:type="dxa"/>
          </w:tcPr>
          <w:p w14:paraId="7B4C45A9" w14:textId="77777777" w:rsidR="004C7180" w:rsidRPr="00150EDC" w:rsidRDefault="00CF0754">
            <w:pPr>
              <w:pStyle w:val="TableParagraph"/>
              <w:spacing w:before="0" w:line="270" w:lineRule="atLeast"/>
              <w:ind w:left="85" w:right="93"/>
              <w:rPr>
                <w:sz w:val="24"/>
              </w:rPr>
            </w:pPr>
            <w:r w:rsidRPr="00150EDC">
              <w:rPr>
                <w:sz w:val="24"/>
              </w:rPr>
              <w:t>Overarching</w:t>
            </w:r>
            <w:r w:rsidRPr="00150EDC">
              <w:rPr>
                <w:spacing w:val="-10"/>
                <w:sz w:val="24"/>
              </w:rPr>
              <w:t xml:space="preserve"> </w:t>
            </w:r>
            <w:r w:rsidRPr="00150EDC">
              <w:rPr>
                <w:sz w:val="24"/>
              </w:rPr>
              <w:t>delivery</w:t>
            </w:r>
            <w:r w:rsidRPr="00150EDC">
              <w:rPr>
                <w:spacing w:val="-9"/>
                <w:sz w:val="24"/>
              </w:rPr>
              <w:t xml:space="preserve"> </w:t>
            </w:r>
            <w:r w:rsidRPr="00150EDC">
              <w:rPr>
                <w:sz w:val="24"/>
              </w:rPr>
              <w:t>plan</w:t>
            </w:r>
            <w:r w:rsidRPr="00150EDC">
              <w:rPr>
                <w:spacing w:val="-8"/>
                <w:sz w:val="24"/>
              </w:rPr>
              <w:t xml:space="preserve"> </w:t>
            </w:r>
            <w:r w:rsidRPr="00150EDC">
              <w:rPr>
                <w:sz w:val="24"/>
              </w:rPr>
              <w:t>and</w:t>
            </w:r>
            <w:r w:rsidRPr="00150EDC">
              <w:rPr>
                <w:spacing w:val="-8"/>
                <w:sz w:val="24"/>
              </w:rPr>
              <w:t xml:space="preserve"> </w:t>
            </w:r>
            <w:r w:rsidRPr="00150EDC">
              <w:rPr>
                <w:sz w:val="24"/>
              </w:rPr>
              <w:t>recruitment and delivery assurance plan submitted</w:t>
            </w:r>
          </w:p>
        </w:tc>
        <w:tc>
          <w:tcPr>
            <w:tcW w:w="2400" w:type="dxa"/>
            <w:tcBorders>
              <w:right w:val="single" w:sz="12" w:space="0" w:color="000000" w:themeColor="text1"/>
            </w:tcBorders>
          </w:tcPr>
          <w:p w14:paraId="38195EFA" w14:textId="26E7941B" w:rsidR="004C7180" w:rsidRPr="00150EDC" w:rsidRDefault="00091DFB">
            <w:pPr>
              <w:pStyle w:val="TableParagraph"/>
              <w:spacing w:before="139" w:line="240" w:lineRule="auto"/>
              <w:ind w:left="83"/>
              <w:rPr>
                <w:sz w:val="24"/>
              </w:rPr>
            </w:pPr>
            <w:r>
              <w:rPr>
                <w:sz w:val="24"/>
              </w:rPr>
              <w:t>December</w:t>
            </w:r>
            <w:r w:rsidR="00EF5568" w:rsidRPr="00150EDC">
              <w:rPr>
                <w:spacing w:val="-5"/>
                <w:sz w:val="24"/>
              </w:rPr>
              <w:t xml:space="preserve"> </w:t>
            </w:r>
            <w:r w:rsidR="00CF0754" w:rsidRPr="00150EDC">
              <w:rPr>
                <w:spacing w:val="-4"/>
                <w:sz w:val="24"/>
              </w:rPr>
              <w:t>2023</w:t>
            </w:r>
          </w:p>
        </w:tc>
      </w:tr>
      <w:tr w:rsidR="004569EE" w:rsidRPr="007D3144" w14:paraId="75C6D8AA" w14:textId="77777777" w:rsidTr="2583C4EE">
        <w:trPr>
          <w:trHeight w:val="553"/>
        </w:trPr>
        <w:tc>
          <w:tcPr>
            <w:tcW w:w="1702" w:type="dxa"/>
            <w:tcBorders>
              <w:left w:val="single" w:sz="12" w:space="0" w:color="000000" w:themeColor="text1"/>
            </w:tcBorders>
          </w:tcPr>
          <w:p w14:paraId="5D8F7834" w14:textId="77777777" w:rsidR="004C7180" w:rsidRPr="00150EDC" w:rsidRDefault="00CF0754">
            <w:pPr>
              <w:pStyle w:val="TableParagraph"/>
              <w:spacing w:before="139" w:line="240" w:lineRule="auto"/>
              <w:ind w:left="76"/>
              <w:rPr>
                <w:sz w:val="24"/>
              </w:rPr>
            </w:pPr>
            <w:r w:rsidRPr="00150EDC">
              <w:rPr>
                <w:spacing w:val="-5"/>
                <w:sz w:val="24"/>
              </w:rPr>
              <w:t>#6</w:t>
            </w:r>
          </w:p>
        </w:tc>
        <w:tc>
          <w:tcPr>
            <w:tcW w:w="4918" w:type="dxa"/>
          </w:tcPr>
          <w:p w14:paraId="64033B61" w14:textId="77777777" w:rsidR="004C7180" w:rsidRPr="00150EDC" w:rsidRDefault="00CF0754">
            <w:pPr>
              <w:pStyle w:val="TableParagraph"/>
              <w:spacing w:before="0" w:line="270" w:lineRule="atLeast"/>
              <w:ind w:left="85" w:right="77"/>
              <w:rPr>
                <w:sz w:val="24"/>
              </w:rPr>
            </w:pPr>
            <w:r w:rsidRPr="00150EDC">
              <w:rPr>
                <w:sz w:val="24"/>
              </w:rPr>
              <w:t>Intervention</w:t>
            </w:r>
            <w:r w:rsidRPr="00150EDC">
              <w:rPr>
                <w:spacing w:val="-13"/>
                <w:sz w:val="24"/>
              </w:rPr>
              <w:t xml:space="preserve"> </w:t>
            </w:r>
            <w:r w:rsidRPr="00150EDC">
              <w:rPr>
                <w:sz w:val="24"/>
              </w:rPr>
              <w:t>delivery</w:t>
            </w:r>
            <w:r w:rsidRPr="00150EDC">
              <w:rPr>
                <w:spacing w:val="-12"/>
                <w:sz w:val="24"/>
              </w:rPr>
              <w:t xml:space="preserve"> </w:t>
            </w:r>
            <w:r w:rsidRPr="00150EDC">
              <w:rPr>
                <w:sz w:val="24"/>
              </w:rPr>
              <w:t>starts</w:t>
            </w:r>
            <w:r w:rsidRPr="00150EDC">
              <w:rPr>
                <w:spacing w:val="-12"/>
                <w:sz w:val="24"/>
              </w:rPr>
              <w:t xml:space="preserve"> </w:t>
            </w:r>
            <w:r w:rsidRPr="00150EDC">
              <w:rPr>
                <w:sz w:val="24"/>
              </w:rPr>
              <w:t>(non-course based provision)</w:t>
            </w:r>
          </w:p>
        </w:tc>
        <w:tc>
          <w:tcPr>
            <w:tcW w:w="2400" w:type="dxa"/>
            <w:tcBorders>
              <w:right w:val="single" w:sz="12" w:space="0" w:color="000000" w:themeColor="text1"/>
            </w:tcBorders>
          </w:tcPr>
          <w:p w14:paraId="6B09E5EE" w14:textId="15D23109" w:rsidR="004C7180" w:rsidRPr="00150EDC" w:rsidRDefault="00CF0754">
            <w:pPr>
              <w:pStyle w:val="TableParagraph"/>
              <w:spacing w:before="139" w:line="240" w:lineRule="auto"/>
              <w:ind w:left="83"/>
              <w:rPr>
                <w:sz w:val="24"/>
                <w:szCs w:val="24"/>
              </w:rPr>
            </w:pPr>
            <w:r w:rsidRPr="00150EDC">
              <w:rPr>
                <w:sz w:val="24"/>
                <w:szCs w:val="24"/>
              </w:rPr>
              <w:t>From</w:t>
            </w:r>
            <w:r w:rsidRPr="00150EDC">
              <w:rPr>
                <w:spacing w:val="-3"/>
                <w:sz w:val="24"/>
                <w:szCs w:val="24"/>
              </w:rPr>
              <w:t xml:space="preserve"> </w:t>
            </w:r>
            <w:r w:rsidRPr="00150EDC">
              <w:rPr>
                <w:sz w:val="24"/>
                <w:szCs w:val="24"/>
              </w:rPr>
              <w:t>January</w:t>
            </w:r>
            <w:r w:rsidRPr="00150EDC">
              <w:rPr>
                <w:spacing w:val="-4"/>
                <w:sz w:val="24"/>
                <w:szCs w:val="24"/>
              </w:rPr>
              <w:t xml:space="preserve"> 202</w:t>
            </w:r>
            <w:r w:rsidR="00A71522" w:rsidRPr="00150EDC">
              <w:rPr>
                <w:sz w:val="24"/>
                <w:szCs w:val="24"/>
              </w:rPr>
              <w:t>4</w:t>
            </w:r>
          </w:p>
        </w:tc>
      </w:tr>
      <w:tr w:rsidR="004569EE" w:rsidRPr="007D3144" w14:paraId="69D68FE3" w14:textId="77777777" w:rsidTr="2583C4EE">
        <w:trPr>
          <w:trHeight w:val="1103"/>
        </w:trPr>
        <w:tc>
          <w:tcPr>
            <w:tcW w:w="1702" w:type="dxa"/>
            <w:tcBorders>
              <w:left w:val="single" w:sz="12" w:space="0" w:color="000000" w:themeColor="text1"/>
            </w:tcBorders>
          </w:tcPr>
          <w:p w14:paraId="6872DFAD" w14:textId="77777777" w:rsidR="004C7180" w:rsidRPr="00150EDC" w:rsidRDefault="004C7180">
            <w:pPr>
              <w:pStyle w:val="TableParagraph"/>
              <w:spacing w:before="10" w:line="240" w:lineRule="auto"/>
              <w:ind w:left="0"/>
              <w:rPr>
                <w:sz w:val="35"/>
              </w:rPr>
            </w:pPr>
          </w:p>
          <w:p w14:paraId="19FBDBAC" w14:textId="77777777" w:rsidR="004C7180" w:rsidRPr="00150EDC" w:rsidRDefault="00CF0754">
            <w:pPr>
              <w:pStyle w:val="TableParagraph"/>
              <w:spacing w:before="0" w:line="240" w:lineRule="auto"/>
              <w:ind w:left="76"/>
              <w:rPr>
                <w:sz w:val="24"/>
              </w:rPr>
            </w:pPr>
            <w:r w:rsidRPr="00150EDC">
              <w:rPr>
                <w:spacing w:val="-5"/>
                <w:sz w:val="24"/>
              </w:rPr>
              <w:t>#7</w:t>
            </w:r>
          </w:p>
        </w:tc>
        <w:tc>
          <w:tcPr>
            <w:tcW w:w="4918" w:type="dxa"/>
          </w:tcPr>
          <w:p w14:paraId="6E271792" w14:textId="77777777" w:rsidR="004C7180" w:rsidRPr="00150EDC" w:rsidRDefault="00CF0754">
            <w:pPr>
              <w:pStyle w:val="TableParagraph"/>
              <w:spacing w:before="0" w:line="270" w:lineRule="atLeast"/>
              <w:ind w:left="85" w:right="93"/>
              <w:rPr>
                <w:sz w:val="24"/>
              </w:rPr>
            </w:pPr>
            <w:r w:rsidRPr="00150EDC">
              <w:rPr>
                <w:sz w:val="24"/>
              </w:rPr>
              <w:t>Expected end-date for trial delivery. (Optional extension - October 2025 – December 2025 possible light touch engagement</w:t>
            </w:r>
            <w:r w:rsidRPr="00150EDC">
              <w:rPr>
                <w:spacing w:val="-12"/>
                <w:sz w:val="24"/>
              </w:rPr>
              <w:t xml:space="preserve"> </w:t>
            </w:r>
            <w:r w:rsidRPr="00150EDC">
              <w:rPr>
                <w:sz w:val="24"/>
              </w:rPr>
              <w:t>with</w:t>
            </w:r>
            <w:r w:rsidRPr="00150EDC">
              <w:rPr>
                <w:spacing w:val="-13"/>
                <w:sz w:val="24"/>
              </w:rPr>
              <w:t xml:space="preserve"> </w:t>
            </w:r>
            <w:r w:rsidRPr="00150EDC">
              <w:rPr>
                <w:sz w:val="24"/>
              </w:rPr>
              <w:t>Evaluation</w:t>
            </w:r>
            <w:r w:rsidRPr="00150EDC">
              <w:rPr>
                <w:spacing w:val="-12"/>
                <w:sz w:val="24"/>
              </w:rPr>
              <w:t xml:space="preserve"> </w:t>
            </w:r>
            <w:r w:rsidRPr="00150EDC">
              <w:rPr>
                <w:sz w:val="24"/>
              </w:rPr>
              <w:t>Supplier)</w:t>
            </w:r>
          </w:p>
        </w:tc>
        <w:tc>
          <w:tcPr>
            <w:tcW w:w="2400" w:type="dxa"/>
            <w:tcBorders>
              <w:right w:val="single" w:sz="12" w:space="0" w:color="000000" w:themeColor="text1"/>
            </w:tcBorders>
          </w:tcPr>
          <w:p w14:paraId="6CC01DD1" w14:textId="77777777" w:rsidR="004C7180" w:rsidRPr="00150EDC" w:rsidRDefault="004C7180">
            <w:pPr>
              <w:pStyle w:val="TableParagraph"/>
              <w:spacing w:before="6" w:line="240" w:lineRule="auto"/>
              <w:ind w:left="0"/>
              <w:rPr>
                <w:sz w:val="23"/>
              </w:rPr>
            </w:pPr>
          </w:p>
          <w:p w14:paraId="2144DCC7" w14:textId="77777777" w:rsidR="004C7180" w:rsidRPr="00150EDC" w:rsidRDefault="00CF0754">
            <w:pPr>
              <w:pStyle w:val="TableParagraph"/>
              <w:spacing w:before="1" w:line="240" w:lineRule="auto"/>
              <w:ind w:left="83" w:right="670"/>
              <w:rPr>
                <w:sz w:val="24"/>
              </w:rPr>
            </w:pPr>
            <w:r w:rsidRPr="00150EDC">
              <w:rPr>
                <w:sz w:val="24"/>
              </w:rPr>
              <w:t>30</w:t>
            </w:r>
            <w:r w:rsidRPr="00150EDC">
              <w:rPr>
                <w:position w:val="8"/>
                <w:sz w:val="16"/>
              </w:rPr>
              <w:t>th</w:t>
            </w:r>
            <w:r w:rsidRPr="00150EDC">
              <w:rPr>
                <w:spacing w:val="-12"/>
                <w:position w:val="8"/>
                <w:sz w:val="16"/>
              </w:rPr>
              <w:t xml:space="preserve"> </w:t>
            </w:r>
            <w:r w:rsidRPr="00150EDC">
              <w:rPr>
                <w:sz w:val="24"/>
              </w:rPr>
              <w:t xml:space="preserve">September </w:t>
            </w:r>
            <w:r w:rsidRPr="00150EDC">
              <w:rPr>
                <w:spacing w:val="-4"/>
                <w:sz w:val="24"/>
              </w:rPr>
              <w:t>2025</w:t>
            </w:r>
          </w:p>
        </w:tc>
      </w:tr>
      <w:tr w:rsidR="004569EE" w:rsidRPr="007D3144" w14:paraId="4BDFA5DE" w14:textId="77777777" w:rsidTr="2583C4EE">
        <w:trPr>
          <w:trHeight w:val="551"/>
        </w:trPr>
        <w:tc>
          <w:tcPr>
            <w:tcW w:w="1702" w:type="dxa"/>
            <w:tcBorders>
              <w:left w:val="single" w:sz="12" w:space="0" w:color="000000" w:themeColor="text1"/>
            </w:tcBorders>
          </w:tcPr>
          <w:p w14:paraId="675AF03F" w14:textId="77777777" w:rsidR="004C7180" w:rsidRPr="00150EDC" w:rsidRDefault="00CF0754">
            <w:pPr>
              <w:pStyle w:val="TableParagraph"/>
              <w:spacing w:before="136" w:line="240" w:lineRule="auto"/>
              <w:ind w:left="76"/>
              <w:rPr>
                <w:sz w:val="24"/>
              </w:rPr>
            </w:pPr>
            <w:r w:rsidRPr="00150EDC">
              <w:rPr>
                <w:spacing w:val="-5"/>
                <w:sz w:val="24"/>
              </w:rPr>
              <w:t>#8</w:t>
            </w:r>
          </w:p>
        </w:tc>
        <w:tc>
          <w:tcPr>
            <w:tcW w:w="4918" w:type="dxa"/>
          </w:tcPr>
          <w:p w14:paraId="26BF9999" w14:textId="77777777" w:rsidR="004C7180" w:rsidRPr="00150EDC" w:rsidRDefault="00CF0754">
            <w:pPr>
              <w:pStyle w:val="TableParagraph"/>
              <w:spacing w:before="0" w:line="270" w:lineRule="atLeast"/>
              <w:ind w:left="85"/>
              <w:rPr>
                <w:sz w:val="24"/>
              </w:rPr>
            </w:pPr>
            <w:r w:rsidRPr="00150EDC">
              <w:rPr>
                <w:sz w:val="24"/>
              </w:rPr>
              <w:t>Final</w:t>
            </w:r>
            <w:r w:rsidRPr="00150EDC">
              <w:rPr>
                <w:spacing w:val="-7"/>
                <w:sz w:val="24"/>
              </w:rPr>
              <w:t xml:space="preserve"> </w:t>
            </w:r>
            <w:r w:rsidRPr="00150EDC">
              <w:rPr>
                <w:sz w:val="24"/>
              </w:rPr>
              <w:t>payments</w:t>
            </w:r>
            <w:r w:rsidRPr="00150EDC">
              <w:rPr>
                <w:spacing w:val="-7"/>
                <w:sz w:val="24"/>
              </w:rPr>
              <w:t xml:space="preserve"> </w:t>
            </w:r>
            <w:r w:rsidRPr="00150EDC">
              <w:rPr>
                <w:sz w:val="24"/>
              </w:rPr>
              <w:t>for</w:t>
            </w:r>
            <w:r w:rsidRPr="00150EDC">
              <w:rPr>
                <w:spacing w:val="-8"/>
                <w:sz w:val="24"/>
              </w:rPr>
              <w:t xml:space="preserve"> </w:t>
            </w:r>
            <w:r w:rsidRPr="00150EDC">
              <w:rPr>
                <w:sz w:val="24"/>
              </w:rPr>
              <w:t>interventions</w:t>
            </w:r>
            <w:r w:rsidRPr="00150EDC">
              <w:rPr>
                <w:spacing w:val="-9"/>
                <w:sz w:val="24"/>
              </w:rPr>
              <w:t xml:space="preserve"> </w:t>
            </w:r>
            <w:r w:rsidRPr="00150EDC">
              <w:rPr>
                <w:sz w:val="24"/>
              </w:rPr>
              <w:t>made</w:t>
            </w:r>
            <w:r w:rsidRPr="00150EDC">
              <w:rPr>
                <w:spacing w:val="-8"/>
                <w:sz w:val="24"/>
              </w:rPr>
              <w:t xml:space="preserve"> </w:t>
            </w:r>
            <w:r w:rsidRPr="00150EDC">
              <w:rPr>
                <w:sz w:val="24"/>
              </w:rPr>
              <w:t>and project complete</w:t>
            </w:r>
          </w:p>
        </w:tc>
        <w:tc>
          <w:tcPr>
            <w:tcW w:w="2400" w:type="dxa"/>
            <w:tcBorders>
              <w:right w:val="single" w:sz="12" w:space="0" w:color="000000" w:themeColor="text1"/>
            </w:tcBorders>
          </w:tcPr>
          <w:p w14:paraId="1F744DF6" w14:textId="77777777" w:rsidR="004C7180" w:rsidRPr="00150EDC" w:rsidRDefault="00CF0754">
            <w:pPr>
              <w:pStyle w:val="TableParagraph"/>
              <w:spacing w:before="136" w:line="240" w:lineRule="auto"/>
              <w:ind w:left="83"/>
              <w:rPr>
                <w:sz w:val="24"/>
              </w:rPr>
            </w:pPr>
            <w:r w:rsidRPr="00150EDC">
              <w:rPr>
                <w:sz w:val="24"/>
              </w:rPr>
              <w:t>September</w:t>
            </w:r>
            <w:r w:rsidRPr="00150EDC">
              <w:rPr>
                <w:spacing w:val="-2"/>
                <w:sz w:val="24"/>
              </w:rPr>
              <w:t xml:space="preserve"> </w:t>
            </w:r>
            <w:r w:rsidRPr="00150EDC">
              <w:rPr>
                <w:spacing w:val="-4"/>
                <w:sz w:val="24"/>
              </w:rPr>
              <w:t>2025</w:t>
            </w:r>
          </w:p>
        </w:tc>
      </w:tr>
    </w:tbl>
    <w:p w14:paraId="5DEB04C5" w14:textId="77777777" w:rsidR="004C7180" w:rsidRPr="00150EDC" w:rsidRDefault="004C7180">
      <w:pPr>
        <w:pStyle w:val="BodyText"/>
        <w:rPr>
          <w:sz w:val="20"/>
        </w:rPr>
      </w:pPr>
    </w:p>
    <w:p w14:paraId="1C22F294" w14:textId="77777777" w:rsidR="004C7180" w:rsidRPr="00150EDC" w:rsidRDefault="004C7180">
      <w:pPr>
        <w:pStyle w:val="BodyText"/>
        <w:spacing w:before="8"/>
        <w:rPr>
          <w:sz w:val="28"/>
        </w:rPr>
      </w:pPr>
    </w:p>
    <w:tbl>
      <w:tblPr>
        <w:tblW w:w="0" w:type="auto"/>
        <w:tblInd w:w="14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06"/>
        <w:gridCol w:w="4066"/>
        <w:gridCol w:w="3948"/>
      </w:tblGrid>
      <w:tr w:rsidR="004569EE" w:rsidRPr="007D3144" w14:paraId="6DBE6DA7" w14:textId="77777777">
        <w:trPr>
          <w:trHeight w:val="1105"/>
        </w:trPr>
        <w:tc>
          <w:tcPr>
            <w:tcW w:w="1006" w:type="dxa"/>
            <w:tcBorders>
              <w:bottom w:val="single" w:sz="6" w:space="0" w:color="000000"/>
              <w:right w:val="single" w:sz="6" w:space="0" w:color="000000"/>
            </w:tcBorders>
            <w:shd w:val="clear" w:color="auto" w:fill="B8CCE3"/>
          </w:tcPr>
          <w:p w14:paraId="03C0D8A8" w14:textId="77777777" w:rsidR="004C7180" w:rsidRPr="00150EDC" w:rsidRDefault="00CF0754">
            <w:pPr>
              <w:pStyle w:val="TableParagraph"/>
              <w:spacing w:before="0" w:line="270" w:lineRule="atLeast"/>
              <w:ind w:left="76" w:right="185"/>
              <w:rPr>
                <w:b/>
                <w:sz w:val="24"/>
              </w:rPr>
            </w:pPr>
            <w:r w:rsidRPr="00150EDC">
              <w:rPr>
                <w:b/>
                <w:spacing w:val="-2"/>
                <w:sz w:val="24"/>
              </w:rPr>
              <w:t xml:space="preserve">Trial set-up Milest </w:t>
            </w:r>
            <w:r w:rsidRPr="00150EDC">
              <w:rPr>
                <w:b/>
                <w:spacing w:val="-4"/>
                <w:sz w:val="24"/>
              </w:rPr>
              <w:t>ones</w:t>
            </w:r>
          </w:p>
        </w:tc>
        <w:tc>
          <w:tcPr>
            <w:tcW w:w="4066" w:type="dxa"/>
            <w:tcBorders>
              <w:left w:val="single" w:sz="6" w:space="0" w:color="000000"/>
              <w:bottom w:val="single" w:sz="6" w:space="0" w:color="000000"/>
              <w:right w:val="single" w:sz="6" w:space="0" w:color="000000"/>
            </w:tcBorders>
            <w:shd w:val="clear" w:color="auto" w:fill="B8CCE3"/>
          </w:tcPr>
          <w:p w14:paraId="1844640C" w14:textId="77777777" w:rsidR="004C7180" w:rsidRPr="00150EDC" w:rsidRDefault="004C7180">
            <w:pPr>
              <w:pStyle w:val="TableParagraph"/>
              <w:spacing w:before="1" w:line="240" w:lineRule="auto"/>
              <w:ind w:left="0"/>
              <w:rPr>
                <w:sz w:val="36"/>
              </w:rPr>
            </w:pPr>
          </w:p>
          <w:p w14:paraId="12BEF0FC" w14:textId="77777777" w:rsidR="004C7180" w:rsidRPr="00150EDC" w:rsidRDefault="00CF0754">
            <w:pPr>
              <w:pStyle w:val="TableParagraph"/>
              <w:spacing w:before="0" w:line="240" w:lineRule="auto"/>
              <w:ind w:left="83"/>
              <w:rPr>
                <w:b/>
                <w:sz w:val="24"/>
              </w:rPr>
            </w:pPr>
            <w:r w:rsidRPr="00150EDC">
              <w:rPr>
                <w:b/>
                <w:spacing w:val="-2"/>
                <w:sz w:val="24"/>
              </w:rPr>
              <w:t>Description</w:t>
            </w:r>
          </w:p>
        </w:tc>
        <w:tc>
          <w:tcPr>
            <w:tcW w:w="3948" w:type="dxa"/>
            <w:tcBorders>
              <w:left w:val="single" w:sz="6" w:space="0" w:color="000000"/>
              <w:bottom w:val="single" w:sz="6" w:space="0" w:color="000000"/>
            </w:tcBorders>
            <w:shd w:val="clear" w:color="auto" w:fill="B8CCE3"/>
          </w:tcPr>
          <w:p w14:paraId="422FB81B" w14:textId="77777777" w:rsidR="004C7180" w:rsidRPr="00150EDC" w:rsidRDefault="004C7180">
            <w:pPr>
              <w:pStyle w:val="TableParagraph"/>
              <w:spacing w:before="1" w:line="240" w:lineRule="auto"/>
              <w:ind w:left="0"/>
              <w:rPr>
                <w:sz w:val="36"/>
              </w:rPr>
            </w:pPr>
          </w:p>
          <w:p w14:paraId="3BB6C55E" w14:textId="77777777" w:rsidR="004C7180" w:rsidRPr="00150EDC" w:rsidRDefault="00CF0754">
            <w:pPr>
              <w:pStyle w:val="TableParagraph"/>
              <w:spacing w:before="0" w:line="240" w:lineRule="auto"/>
              <w:ind w:left="82"/>
              <w:rPr>
                <w:b/>
                <w:sz w:val="24"/>
              </w:rPr>
            </w:pPr>
            <w:r w:rsidRPr="00150EDC">
              <w:rPr>
                <w:b/>
                <w:sz w:val="24"/>
              </w:rPr>
              <w:t>Delivery</w:t>
            </w:r>
            <w:r w:rsidRPr="00150EDC">
              <w:rPr>
                <w:b/>
                <w:spacing w:val="-2"/>
                <w:sz w:val="24"/>
              </w:rPr>
              <w:t xml:space="preserve"> </w:t>
            </w:r>
            <w:r w:rsidRPr="00150EDC">
              <w:rPr>
                <w:b/>
                <w:sz w:val="24"/>
              </w:rPr>
              <w:t>Date</w:t>
            </w:r>
            <w:r w:rsidRPr="00150EDC">
              <w:rPr>
                <w:b/>
                <w:spacing w:val="-1"/>
                <w:sz w:val="24"/>
              </w:rPr>
              <w:t xml:space="preserve"> </w:t>
            </w:r>
            <w:r w:rsidRPr="00150EDC">
              <w:rPr>
                <w:b/>
                <w:sz w:val="24"/>
              </w:rPr>
              <w:t>or</w:t>
            </w:r>
            <w:r w:rsidRPr="00150EDC">
              <w:rPr>
                <w:b/>
                <w:spacing w:val="-6"/>
                <w:sz w:val="24"/>
              </w:rPr>
              <w:t xml:space="preserve"> </w:t>
            </w:r>
            <w:r w:rsidRPr="00150EDC">
              <w:rPr>
                <w:b/>
                <w:spacing w:val="-2"/>
                <w:sz w:val="24"/>
              </w:rPr>
              <w:t>Timeframe</w:t>
            </w:r>
          </w:p>
        </w:tc>
      </w:tr>
      <w:tr w:rsidR="004569EE" w:rsidRPr="007D3144" w14:paraId="02128F01" w14:textId="77777777">
        <w:trPr>
          <w:trHeight w:val="1655"/>
        </w:trPr>
        <w:tc>
          <w:tcPr>
            <w:tcW w:w="1006" w:type="dxa"/>
            <w:vMerge w:val="restart"/>
            <w:tcBorders>
              <w:top w:val="single" w:sz="6" w:space="0" w:color="000000"/>
              <w:bottom w:val="single" w:sz="4" w:space="0" w:color="000000"/>
              <w:right w:val="single" w:sz="4" w:space="0" w:color="000000"/>
            </w:tcBorders>
          </w:tcPr>
          <w:p w14:paraId="3D819CF3" w14:textId="77777777" w:rsidR="004C7180" w:rsidRPr="00150EDC" w:rsidRDefault="004C7180">
            <w:pPr>
              <w:pStyle w:val="TableParagraph"/>
              <w:spacing w:before="0" w:line="240" w:lineRule="auto"/>
              <w:ind w:left="0"/>
              <w:rPr>
                <w:sz w:val="26"/>
              </w:rPr>
            </w:pPr>
          </w:p>
          <w:p w14:paraId="306EE4BB" w14:textId="77777777" w:rsidR="004C7180" w:rsidRPr="00150EDC" w:rsidRDefault="004C7180">
            <w:pPr>
              <w:pStyle w:val="TableParagraph"/>
              <w:spacing w:before="0" w:line="240" w:lineRule="auto"/>
              <w:ind w:left="0"/>
              <w:rPr>
                <w:sz w:val="26"/>
              </w:rPr>
            </w:pPr>
          </w:p>
          <w:p w14:paraId="2949943B" w14:textId="77777777" w:rsidR="004C7180" w:rsidRPr="00150EDC" w:rsidRDefault="004C7180">
            <w:pPr>
              <w:pStyle w:val="TableParagraph"/>
              <w:spacing w:before="7" w:line="240" w:lineRule="auto"/>
              <w:ind w:left="0"/>
              <w:rPr>
                <w:sz w:val="20"/>
              </w:rPr>
            </w:pPr>
          </w:p>
          <w:p w14:paraId="06C85B0D" w14:textId="77777777" w:rsidR="004C7180" w:rsidRPr="00150EDC" w:rsidRDefault="00CF0754">
            <w:pPr>
              <w:pStyle w:val="TableParagraph"/>
              <w:spacing w:before="0" w:line="240" w:lineRule="auto"/>
              <w:ind w:left="76"/>
              <w:rPr>
                <w:sz w:val="24"/>
              </w:rPr>
            </w:pPr>
            <w:r w:rsidRPr="00150EDC">
              <w:rPr>
                <w:spacing w:val="-5"/>
                <w:sz w:val="24"/>
              </w:rPr>
              <w:t>#1</w:t>
            </w:r>
          </w:p>
        </w:tc>
        <w:tc>
          <w:tcPr>
            <w:tcW w:w="4066" w:type="dxa"/>
            <w:tcBorders>
              <w:top w:val="single" w:sz="6" w:space="0" w:color="000000"/>
              <w:left w:val="single" w:sz="4" w:space="0" w:color="000000"/>
              <w:bottom w:val="single" w:sz="4" w:space="0" w:color="000000"/>
              <w:right w:val="single" w:sz="4" w:space="0" w:color="000000"/>
            </w:tcBorders>
          </w:tcPr>
          <w:p w14:paraId="4F59BD5D" w14:textId="77777777" w:rsidR="004C7180" w:rsidRPr="00150EDC" w:rsidRDefault="00CF0754">
            <w:pPr>
              <w:pStyle w:val="TableParagraph"/>
              <w:spacing w:before="0" w:line="270" w:lineRule="atLeast"/>
              <w:ind w:left="85" w:right="190"/>
              <w:rPr>
                <w:sz w:val="24"/>
              </w:rPr>
            </w:pPr>
            <w:r w:rsidRPr="00150EDC">
              <w:rPr>
                <w:b/>
                <w:sz w:val="24"/>
              </w:rPr>
              <w:t>a) Logic Model and TiDIER Framework</w:t>
            </w:r>
            <w:r w:rsidRPr="00150EDC">
              <w:rPr>
                <w:b/>
                <w:spacing w:val="-10"/>
                <w:sz w:val="24"/>
              </w:rPr>
              <w:t xml:space="preserve"> </w:t>
            </w:r>
            <w:r w:rsidRPr="00150EDC">
              <w:rPr>
                <w:b/>
                <w:sz w:val="24"/>
              </w:rPr>
              <w:t>Completed</w:t>
            </w:r>
            <w:r w:rsidRPr="00150EDC">
              <w:rPr>
                <w:b/>
                <w:spacing w:val="-9"/>
                <w:sz w:val="24"/>
              </w:rPr>
              <w:t xml:space="preserve"> </w:t>
            </w:r>
            <w:r w:rsidRPr="00150EDC">
              <w:rPr>
                <w:sz w:val="24"/>
              </w:rPr>
              <w:t>(led</w:t>
            </w:r>
            <w:r w:rsidRPr="00150EDC">
              <w:rPr>
                <w:spacing w:val="-8"/>
                <w:sz w:val="24"/>
              </w:rPr>
              <w:t xml:space="preserve"> </w:t>
            </w:r>
            <w:r w:rsidRPr="00150EDC">
              <w:rPr>
                <w:sz w:val="24"/>
              </w:rPr>
              <w:t>by</w:t>
            </w:r>
            <w:r w:rsidRPr="00150EDC">
              <w:rPr>
                <w:spacing w:val="-9"/>
                <w:sz w:val="24"/>
              </w:rPr>
              <w:t xml:space="preserve"> </w:t>
            </w:r>
            <w:r w:rsidRPr="00150EDC">
              <w:rPr>
                <w:sz w:val="24"/>
              </w:rPr>
              <w:t xml:space="preserve">the evaluation supplier with input from the products suppliers and the </w:t>
            </w:r>
            <w:r w:rsidRPr="00150EDC">
              <w:rPr>
                <w:b/>
                <w:sz w:val="24"/>
              </w:rPr>
              <w:t xml:space="preserve">delivery supplier </w:t>
            </w:r>
            <w:r w:rsidRPr="00150EDC">
              <w:rPr>
                <w:sz w:val="24"/>
              </w:rPr>
              <w:t>through the series of IDEA meetings)</w:t>
            </w:r>
          </w:p>
        </w:tc>
        <w:tc>
          <w:tcPr>
            <w:tcW w:w="3948" w:type="dxa"/>
            <w:tcBorders>
              <w:top w:val="single" w:sz="6" w:space="0" w:color="000000"/>
              <w:left w:val="single" w:sz="4" w:space="0" w:color="000000"/>
              <w:bottom w:val="single" w:sz="4" w:space="0" w:color="000000"/>
            </w:tcBorders>
          </w:tcPr>
          <w:p w14:paraId="40C2891A" w14:textId="77777777" w:rsidR="004C7180" w:rsidRPr="00150EDC" w:rsidRDefault="004C7180">
            <w:pPr>
              <w:pStyle w:val="TableParagraph"/>
              <w:spacing w:before="0" w:line="240" w:lineRule="auto"/>
              <w:ind w:left="0"/>
              <w:rPr>
                <w:rFonts w:ascii="Times New Roman"/>
                <w:sz w:val="24"/>
              </w:rPr>
            </w:pPr>
          </w:p>
        </w:tc>
      </w:tr>
      <w:tr w:rsidR="004569EE" w:rsidRPr="007D3144" w14:paraId="0196735D" w14:textId="77777777">
        <w:trPr>
          <w:trHeight w:val="556"/>
        </w:trPr>
        <w:tc>
          <w:tcPr>
            <w:tcW w:w="1006" w:type="dxa"/>
            <w:vMerge/>
            <w:tcBorders>
              <w:top w:val="nil"/>
              <w:bottom w:val="single" w:sz="4" w:space="0" w:color="000000"/>
              <w:right w:val="single" w:sz="4" w:space="0" w:color="000000"/>
            </w:tcBorders>
          </w:tcPr>
          <w:p w14:paraId="1D04C3B3" w14:textId="77777777" w:rsidR="004C7180" w:rsidRPr="007D3144" w:rsidRDefault="004C7180">
            <w:pPr>
              <w:rPr>
                <w:sz w:val="2"/>
                <w:szCs w:val="2"/>
              </w:rPr>
            </w:pPr>
          </w:p>
        </w:tc>
        <w:tc>
          <w:tcPr>
            <w:tcW w:w="4066" w:type="dxa"/>
            <w:tcBorders>
              <w:top w:val="single" w:sz="4" w:space="0" w:color="000000"/>
              <w:left w:val="single" w:sz="4" w:space="0" w:color="000000"/>
              <w:bottom w:val="single" w:sz="4" w:space="0" w:color="000000"/>
              <w:right w:val="single" w:sz="4" w:space="0" w:color="000000"/>
            </w:tcBorders>
          </w:tcPr>
          <w:p w14:paraId="5AD4758E" w14:textId="77777777" w:rsidR="004C7180" w:rsidRPr="00150EDC" w:rsidRDefault="00CF0754">
            <w:pPr>
              <w:pStyle w:val="TableParagraph"/>
              <w:spacing w:before="0" w:line="270" w:lineRule="atLeast"/>
              <w:ind w:left="85"/>
              <w:rPr>
                <w:b/>
                <w:sz w:val="24"/>
              </w:rPr>
            </w:pPr>
            <w:r w:rsidRPr="00150EDC">
              <w:rPr>
                <w:b/>
                <w:sz w:val="24"/>
              </w:rPr>
              <w:t>b)</w:t>
            </w:r>
            <w:r w:rsidRPr="00150EDC">
              <w:rPr>
                <w:b/>
                <w:spacing w:val="-8"/>
                <w:sz w:val="24"/>
              </w:rPr>
              <w:t xml:space="preserve"> </w:t>
            </w:r>
            <w:r w:rsidRPr="00150EDC">
              <w:rPr>
                <w:b/>
                <w:sz w:val="24"/>
              </w:rPr>
              <w:t>Delivery</w:t>
            </w:r>
            <w:r w:rsidRPr="00150EDC">
              <w:rPr>
                <w:b/>
                <w:spacing w:val="-6"/>
                <w:sz w:val="24"/>
              </w:rPr>
              <w:t xml:space="preserve"> </w:t>
            </w:r>
            <w:r w:rsidRPr="00150EDC">
              <w:rPr>
                <w:b/>
                <w:sz w:val="24"/>
              </w:rPr>
              <w:t>Plan</w:t>
            </w:r>
            <w:r w:rsidRPr="00150EDC">
              <w:rPr>
                <w:b/>
                <w:spacing w:val="-7"/>
                <w:sz w:val="24"/>
              </w:rPr>
              <w:t xml:space="preserve"> </w:t>
            </w:r>
            <w:r w:rsidRPr="00150EDC">
              <w:rPr>
                <w:b/>
                <w:sz w:val="24"/>
              </w:rPr>
              <w:t>and</w:t>
            </w:r>
            <w:r w:rsidRPr="00150EDC">
              <w:rPr>
                <w:b/>
                <w:spacing w:val="-10"/>
                <w:sz w:val="24"/>
              </w:rPr>
              <w:t xml:space="preserve"> </w:t>
            </w:r>
            <w:r w:rsidRPr="00150EDC">
              <w:rPr>
                <w:b/>
                <w:sz w:val="24"/>
              </w:rPr>
              <w:t>Final</w:t>
            </w:r>
            <w:r w:rsidRPr="00150EDC">
              <w:rPr>
                <w:b/>
                <w:spacing w:val="-6"/>
                <w:sz w:val="24"/>
              </w:rPr>
              <w:t xml:space="preserve"> </w:t>
            </w:r>
            <w:r w:rsidRPr="00150EDC">
              <w:rPr>
                <w:b/>
                <w:sz w:val="24"/>
              </w:rPr>
              <w:t>Budget Completed &amp; Signed Off</w:t>
            </w:r>
          </w:p>
        </w:tc>
        <w:tc>
          <w:tcPr>
            <w:tcW w:w="3948" w:type="dxa"/>
            <w:tcBorders>
              <w:top w:val="single" w:sz="4" w:space="0" w:color="000000"/>
              <w:left w:val="single" w:sz="4" w:space="0" w:color="000000"/>
              <w:bottom w:val="single" w:sz="4" w:space="0" w:color="000000"/>
            </w:tcBorders>
          </w:tcPr>
          <w:p w14:paraId="23AEBD07" w14:textId="77777777" w:rsidR="004C7180" w:rsidRPr="00150EDC" w:rsidRDefault="004C7180">
            <w:pPr>
              <w:pStyle w:val="TableParagraph"/>
              <w:spacing w:before="0" w:line="240" w:lineRule="auto"/>
              <w:ind w:left="0"/>
              <w:rPr>
                <w:rFonts w:ascii="Times New Roman"/>
                <w:sz w:val="24"/>
              </w:rPr>
            </w:pPr>
          </w:p>
        </w:tc>
      </w:tr>
      <w:tr w:rsidR="004569EE" w:rsidRPr="007D3144" w14:paraId="5107C708" w14:textId="77777777">
        <w:trPr>
          <w:trHeight w:val="3311"/>
        </w:trPr>
        <w:tc>
          <w:tcPr>
            <w:tcW w:w="1006" w:type="dxa"/>
            <w:tcBorders>
              <w:top w:val="single" w:sz="4" w:space="0" w:color="000000"/>
              <w:bottom w:val="single" w:sz="4" w:space="0" w:color="000000"/>
              <w:right w:val="single" w:sz="4" w:space="0" w:color="000000"/>
            </w:tcBorders>
          </w:tcPr>
          <w:p w14:paraId="03D464A5" w14:textId="77777777" w:rsidR="004C7180" w:rsidRPr="00150EDC" w:rsidRDefault="004C7180">
            <w:pPr>
              <w:pStyle w:val="TableParagraph"/>
              <w:spacing w:before="0" w:line="240" w:lineRule="auto"/>
              <w:ind w:left="0"/>
              <w:rPr>
                <w:sz w:val="26"/>
              </w:rPr>
            </w:pPr>
          </w:p>
          <w:p w14:paraId="0625C7B7" w14:textId="77777777" w:rsidR="004C7180" w:rsidRPr="00150EDC" w:rsidRDefault="004C7180">
            <w:pPr>
              <w:pStyle w:val="TableParagraph"/>
              <w:spacing w:before="0" w:line="240" w:lineRule="auto"/>
              <w:ind w:left="0"/>
              <w:rPr>
                <w:sz w:val="26"/>
              </w:rPr>
            </w:pPr>
          </w:p>
          <w:p w14:paraId="726B782C" w14:textId="77777777" w:rsidR="004C7180" w:rsidRPr="00150EDC" w:rsidRDefault="004C7180">
            <w:pPr>
              <w:pStyle w:val="TableParagraph"/>
              <w:spacing w:before="0" w:line="240" w:lineRule="auto"/>
              <w:ind w:left="0"/>
              <w:rPr>
                <w:sz w:val="26"/>
              </w:rPr>
            </w:pPr>
          </w:p>
          <w:p w14:paraId="1FEE35DC" w14:textId="77777777" w:rsidR="004C7180" w:rsidRPr="00150EDC" w:rsidRDefault="004C7180">
            <w:pPr>
              <w:pStyle w:val="TableParagraph"/>
              <w:spacing w:before="0" w:line="240" w:lineRule="auto"/>
              <w:ind w:left="0"/>
              <w:rPr>
                <w:sz w:val="26"/>
              </w:rPr>
            </w:pPr>
          </w:p>
          <w:p w14:paraId="10950354" w14:textId="77777777" w:rsidR="004C7180" w:rsidRPr="00150EDC" w:rsidRDefault="004C7180">
            <w:pPr>
              <w:pStyle w:val="TableParagraph"/>
              <w:spacing w:before="1" w:line="240" w:lineRule="auto"/>
              <w:ind w:left="0"/>
              <w:rPr>
                <w:sz w:val="28"/>
              </w:rPr>
            </w:pPr>
          </w:p>
          <w:p w14:paraId="3FAD6F27" w14:textId="77777777" w:rsidR="004C7180" w:rsidRPr="00150EDC" w:rsidRDefault="00CF0754">
            <w:pPr>
              <w:pStyle w:val="TableParagraph"/>
              <w:spacing w:before="0" w:line="240" w:lineRule="auto"/>
              <w:ind w:left="76"/>
              <w:rPr>
                <w:sz w:val="24"/>
              </w:rPr>
            </w:pPr>
            <w:r w:rsidRPr="00150EDC">
              <w:rPr>
                <w:spacing w:val="-5"/>
                <w:sz w:val="24"/>
              </w:rPr>
              <w:t>#2</w:t>
            </w:r>
          </w:p>
        </w:tc>
        <w:tc>
          <w:tcPr>
            <w:tcW w:w="4066" w:type="dxa"/>
            <w:tcBorders>
              <w:top w:val="single" w:sz="4" w:space="0" w:color="000000"/>
              <w:left w:val="single" w:sz="4" w:space="0" w:color="000000"/>
              <w:bottom w:val="single" w:sz="4" w:space="0" w:color="000000"/>
              <w:right w:val="single" w:sz="4" w:space="0" w:color="000000"/>
            </w:tcBorders>
          </w:tcPr>
          <w:p w14:paraId="7B8E0980" w14:textId="77777777" w:rsidR="004C7180" w:rsidRPr="00150EDC" w:rsidRDefault="00CF0754">
            <w:pPr>
              <w:pStyle w:val="TableParagraph"/>
              <w:spacing w:before="0" w:line="270" w:lineRule="atLeast"/>
              <w:ind w:left="85" w:right="190"/>
              <w:rPr>
                <w:sz w:val="24"/>
              </w:rPr>
            </w:pPr>
            <w:r w:rsidRPr="00150EDC">
              <w:rPr>
                <w:b/>
                <w:sz w:val="24"/>
              </w:rPr>
              <w:t xml:space="preserve">Recruitment Progress Report </w:t>
            </w:r>
            <w:r w:rsidRPr="00150EDC">
              <w:rPr>
                <w:sz w:val="24"/>
              </w:rPr>
              <w:t>This report will set out the planned approach to provider recruitment including the hierarchy of recruitment approaches that</w:t>
            </w:r>
            <w:r w:rsidRPr="00150EDC">
              <w:rPr>
                <w:spacing w:val="-1"/>
                <w:sz w:val="24"/>
              </w:rPr>
              <w:t xml:space="preserve"> </w:t>
            </w:r>
            <w:r w:rsidRPr="00150EDC">
              <w:rPr>
                <w:sz w:val="24"/>
              </w:rPr>
              <w:t>will be implemented (e.g. mass mailings, phone</w:t>
            </w:r>
            <w:r w:rsidRPr="00150EDC">
              <w:rPr>
                <w:spacing w:val="-6"/>
                <w:sz w:val="24"/>
              </w:rPr>
              <w:t xml:space="preserve"> </w:t>
            </w:r>
            <w:r w:rsidRPr="00150EDC">
              <w:rPr>
                <w:sz w:val="24"/>
              </w:rPr>
              <w:t>calls,</w:t>
            </w:r>
            <w:r w:rsidRPr="00150EDC">
              <w:rPr>
                <w:spacing w:val="-9"/>
                <w:sz w:val="24"/>
              </w:rPr>
              <w:t xml:space="preserve"> </w:t>
            </w:r>
            <w:r w:rsidRPr="00150EDC">
              <w:rPr>
                <w:sz w:val="24"/>
              </w:rPr>
              <w:t>face</w:t>
            </w:r>
            <w:r w:rsidRPr="00150EDC">
              <w:rPr>
                <w:spacing w:val="-8"/>
                <w:sz w:val="24"/>
              </w:rPr>
              <w:t xml:space="preserve"> </w:t>
            </w:r>
            <w:r w:rsidRPr="00150EDC">
              <w:rPr>
                <w:sz w:val="24"/>
              </w:rPr>
              <w:t>to</w:t>
            </w:r>
            <w:r w:rsidRPr="00150EDC">
              <w:rPr>
                <w:spacing w:val="-8"/>
                <w:sz w:val="24"/>
              </w:rPr>
              <w:t xml:space="preserve"> </w:t>
            </w:r>
            <w:r w:rsidRPr="00150EDC">
              <w:rPr>
                <w:sz w:val="24"/>
              </w:rPr>
              <w:t>face</w:t>
            </w:r>
            <w:r w:rsidRPr="00150EDC">
              <w:rPr>
                <w:spacing w:val="-6"/>
                <w:sz w:val="24"/>
              </w:rPr>
              <w:t xml:space="preserve"> </w:t>
            </w:r>
            <w:r w:rsidRPr="00150EDC">
              <w:rPr>
                <w:sz w:val="24"/>
              </w:rPr>
              <w:t>interaction etc.), the recruitment targets, the proposed volume of activity, and a tracker of activity delivered, and recruitment numbers achieved (providers and learners).</w:t>
            </w:r>
          </w:p>
        </w:tc>
        <w:tc>
          <w:tcPr>
            <w:tcW w:w="3948" w:type="dxa"/>
            <w:tcBorders>
              <w:top w:val="single" w:sz="4" w:space="0" w:color="000000"/>
              <w:left w:val="single" w:sz="4" w:space="0" w:color="000000"/>
              <w:bottom w:val="single" w:sz="4" w:space="0" w:color="000000"/>
            </w:tcBorders>
          </w:tcPr>
          <w:p w14:paraId="130F67A4" w14:textId="77777777" w:rsidR="004C7180" w:rsidRPr="00150EDC" w:rsidRDefault="004C7180">
            <w:pPr>
              <w:pStyle w:val="TableParagraph"/>
              <w:spacing w:before="0" w:line="240" w:lineRule="auto"/>
              <w:ind w:left="0"/>
              <w:rPr>
                <w:rFonts w:ascii="Times New Roman"/>
                <w:sz w:val="24"/>
              </w:rPr>
            </w:pPr>
          </w:p>
        </w:tc>
      </w:tr>
      <w:tr w:rsidR="004569EE" w:rsidRPr="007D3144" w14:paraId="38EBDD72" w14:textId="77777777">
        <w:trPr>
          <w:trHeight w:val="553"/>
        </w:trPr>
        <w:tc>
          <w:tcPr>
            <w:tcW w:w="1006" w:type="dxa"/>
            <w:tcBorders>
              <w:top w:val="single" w:sz="4" w:space="0" w:color="000000"/>
              <w:bottom w:val="single" w:sz="4" w:space="0" w:color="000000"/>
              <w:right w:val="single" w:sz="4" w:space="0" w:color="000000"/>
            </w:tcBorders>
          </w:tcPr>
          <w:p w14:paraId="326B708C" w14:textId="77777777" w:rsidR="004C7180" w:rsidRPr="00150EDC" w:rsidRDefault="00CF0754">
            <w:pPr>
              <w:pStyle w:val="TableParagraph"/>
              <w:spacing w:before="139" w:line="240" w:lineRule="auto"/>
              <w:ind w:left="76"/>
              <w:rPr>
                <w:sz w:val="24"/>
              </w:rPr>
            </w:pPr>
            <w:r w:rsidRPr="00150EDC">
              <w:rPr>
                <w:spacing w:val="-5"/>
                <w:sz w:val="24"/>
              </w:rPr>
              <w:t>#3</w:t>
            </w:r>
          </w:p>
        </w:tc>
        <w:tc>
          <w:tcPr>
            <w:tcW w:w="4066" w:type="dxa"/>
            <w:tcBorders>
              <w:top w:val="single" w:sz="4" w:space="0" w:color="000000"/>
              <w:left w:val="single" w:sz="4" w:space="0" w:color="000000"/>
              <w:bottom w:val="single" w:sz="4" w:space="0" w:color="000000"/>
              <w:right w:val="single" w:sz="4" w:space="0" w:color="000000"/>
            </w:tcBorders>
          </w:tcPr>
          <w:p w14:paraId="5EC98140" w14:textId="77777777" w:rsidR="004C7180" w:rsidRPr="00150EDC" w:rsidRDefault="00CF0754">
            <w:pPr>
              <w:pStyle w:val="TableParagraph"/>
              <w:spacing w:before="0" w:line="270" w:lineRule="atLeast"/>
              <w:ind w:left="85" w:right="190"/>
              <w:rPr>
                <w:b/>
                <w:sz w:val="24"/>
              </w:rPr>
            </w:pPr>
            <w:r w:rsidRPr="00150EDC">
              <w:rPr>
                <w:b/>
                <w:sz w:val="24"/>
              </w:rPr>
              <w:t>Providers</w:t>
            </w:r>
            <w:r w:rsidRPr="00150EDC">
              <w:rPr>
                <w:b/>
                <w:spacing w:val="-16"/>
                <w:sz w:val="24"/>
              </w:rPr>
              <w:t xml:space="preserve"> </w:t>
            </w:r>
            <w:r w:rsidRPr="00150EDC">
              <w:rPr>
                <w:b/>
                <w:sz w:val="24"/>
              </w:rPr>
              <w:t>Agreement</w:t>
            </w:r>
            <w:r w:rsidRPr="00150EDC">
              <w:rPr>
                <w:b/>
                <w:spacing w:val="-17"/>
                <w:sz w:val="24"/>
              </w:rPr>
              <w:t xml:space="preserve"> </w:t>
            </w:r>
            <w:r w:rsidRPr="00150EDC">
              <w:rPr>
                <w:b/>
                <w:sz w:val="24"/>
              </w:rPr>
              <w:t>Completed &amp; Signed</w:t>
            </w:r>
          </w:p>
        </w:tc>
        <w:tc>
          <w:tcPr>
            <w:tcW w:w="3948" w:type="dxa"/>
            <w:tcBorders>
              <w:top w:val="single" w:sz="4" w:space="0" w:color="000000"/>
              <w:left w:val="single" w:sz="4" w:space="0" w:color="000000"/>
              <w:bottom w:val="single" w:sz="4" w:space="0" w:color="000000"/>
            </w:tcBorders>
          </w:tcPr>
          <w:p w14:paraId="73705EA5" w14:textId="77777777" w:rsidR="004C7180" w:rsidRPr="00150EDC" w:rsidRDefault="004C7180">
            <w:pPr>
              <w:pStyle w:val="TableParagraph"/>
              <w:spacing w:before="0" w:line="240" w:lineRule="auto"/>
              <w:ind w:left="0"/>
              <w:rPr>
                <w:rFonts w:ascii="Times New Roman"/>
                <w:sz w:val="24"/>
              </w:rPr>
            </w:pPr>
          </w:p>
        </w:tc>
      </w:tr>
    </w:tbl>
    <w:p w14:paraId="4B9B41D8" w14:textId="77777777" w:rsidR="004C7180" w:rsidRPr="00150EDC" w:rsidRDefault="004C7180">
      <w:pPr>
        <w:pStyle w:val="BodyText"/>
        <w:rPr>
          <w:sz w:val="20"/>
        </w:rPr>
      </w:pPr>
    </w:p>
    <w:p w14:paraId="1E39D6BC" w14:textId="77777777" w:rsidR="004C7180" w:rsidRPr="00150EDC" w:rsidRDefault="004C7180">
      <w:pPr>
        <w:pStyle w:val="BodyText"/>
        <w:spacing w:before="5"/>
        <w:rPr>
          <w:sz w:val="17"/>
        </w:rPr>
      </w:pPr>
    </w:p>
    <w:p w14:paraId="2BEFA6EA" w14:textId="77777777" w:rsidR="004C7180" w:rsidRPr="00150EDC" w:rsidRDefault="00CF0754">
      <w:pPr>
        <w:pStyle w:val="Heading1"/>
        <w:numPr>
          <w:ilvl w:val="0"/>
          <w:numId w:val="30"/>
        </w:numPr>
        <w:tabs>
          <w:tab w:val="left" w:pos="1799"/>
        </w:tabs>
        <w:spacing w:before="88"/>
        <w:ind w:left="1799" w:hanging="399"/>
      </w:pPr>
      <w:bookmarkStart w:id="102" w:name="7._Staff_and_Customer_Service"/>
      <w:bookmarkStart w:id="103" w:name="_bookmark21"/>
      <w:bookmarkEnd w:id="102"/>
      <w:bookmarkEnd w:id="103"/>
      <w:r w:rsidRPr="00150EDC">
        <w:t>Staff</w:t>
      </w:r>
      <w:r w:rsidRPr="00150EDC">
        <w:rPr>
          <w:spacing w:val="-4"/>
        </w:rPr>
        <w:t xml:space="preserve"> </w:t>
      </w:r>
      <w:r w:rsidRPr="00150EDC">
        <w:t>and</w:t>
      </w:r>
      <w:r w:rsidRPr="00150EDC">
        <w:rPr>
          <w:spacing w:val="-3"/>
        </w:rPr>
        <w:t xml:space="preserve"> </w:t>
      </w:r>
      <w:r w:rsidRPr="00150EDC">
        <w:t>Customer</w:t>
      </w:r>
      <w:r w:rsidRPr="00150EDC">
        <w:rPr>
          <w:spacing w:val="-4"/>
        </w:rPr>
        <w:t xml:space="preserve"> </w:t>
      </w:r>
      <w:r w:rsidRPr="00150EDC">
        <w:rPr>
          <w:spacing w:val="-2"/>
        </w:rPr>
        <w:t>Service</w:t>
      </w:r>
    </w:p>
    <w:p w14:paraId="23E336D3" w14:textId="77777777" w:rsidR="004C7180" w:rsidRPr="00150EDC" w:rsidRDefault="00CF0754">
      <w:pPr>
        <w:pStyle w:val="BodyText"/>
        <w:spacing w:before="263" w:line="276" w:lineRule="auto"/>
        <w:ind w:left="1400" w:right="673"/>
      </w:pPr>
      <w:r w:rsidRPr="00150EDC">
        <w:t>The</w:t>
      </w:r>
      <w:r w:rsidRPr="00150EDC">
        <w:rPr>
          <w:spacing w:val="-1"/>
        </w:rPr>
        <w:t xml:space="preserve"> </w:t>
      </w:r>
      <w:r w:rsidRPr="00150EDC">
        <w:t>Supplier</w:t>
      </w:r>
      <w:r w:rsidRPr="00150EDC">
        <w:rPr>
          <w:spacing w:val="-3"/>
        </w:rPr>
        <w:t xml:space="preserve"> </w:t>
      </w:r>
      <w:r w:rsidRPr="00150EDC">
        <w:t>shall</w:t>
      </w:r>
      <w:r w:rsidRPr="00150EDC">
        <w:rPr>
          <w:spacing w:val="-5"/>
        </w:rPr>
        <w:t xml:space="preserve"> </w:t>
      </w:r>
      <w:r w:rsidRPr="00150EDC">
        <w:t>provide</w:t>
      </w:r>
      <w:r w:rsidRPr="00150EDC">
        <w:rPr>
          <w:spacing w:val="-1"/>
        </w:rPr>
        <w:t xml:space="preserve"> </w:t>
      </w:r>
      <w:r w:rsidRPr="00150EDC">
        <w:t>a</w:t>
      </w:r>
      <w:r w:rsidRPr="00150EDC">
        <w:rPr>
          <w:spacing w:val="-3"/>
        </w:rPr>
        <w:t xml:space="preserve"> </w:t>
      </w:r>
      <w:r w:rsidRPr="00150EDC">
        <w:t>sufficient</w:t>
      </w:r>
      <w:r w:rsidRPr="00150EDC">
        <w:rPr>
          <w:spacing w:val="-1"/>
        </w:rPr>
        <w:t xml:space="preserve"> </w:t>
      </w:r>
      <w:r w:rsidRPr="00150EDC">
        <w:t>level</w:t>
      </w:r>
      <w:r w:rsidRPr="00150EDC">
        <w:rPr>
          <w:spacing w:val="-5"/>
        </w:rPr>
        <w:t xml:space="preserve"> </w:t>
      </w:r>
      <w:r w:rsidRPr="00150EDC">
        <w:t>of</w:t>
      </w:r>
      <w:r w:rsidRPr="00150EDC">
        <w:rPr>
          <w:spacing w:val="-4"/>
        </w:rPr>
        <w:t xml:space="preserve"> </w:t>
      </w:r>
      <w:r w:rsidRPr="00150EDC">
        <w:t>resource</w:t>
      </w:r>
      <w:r w:rsidRPr="00150EDC">
        <w:rPr>
          <w:spacing w:val="-3"/>
        </w:rPr>
        <w:t xml:space="preserve"> </w:t>
      </w:r>
      <w:r w:rsidRPr="00150EDC">
        <w:t>throughout</w:t>
      </w:r>
      <w:r w:rsidRPr="00150EDC">
        <w:rPr>
          <w:spacing w:val="-4"/>
        </w:rPr>
        <w:t xml:space="preserve"> </w:t>
      </w:r>
      <w:r w:rsidRPr="00150EDC">
        <w:t>the</w:t>
      </w:r>
      <w:r w:rsidRPr="00150EDC">
        <w:rPr>
          <w:spacing w:val="-1"/>
        </w:rPr>
        <w:t xml:space="preserve"> </w:t>
      </w:r>
      <w:r w:rsidRPr="00150EDC">
        <w:t>duration</w:t>
      </w:r>
      <w:r w:rsidRPr="00150EDC">
        <w:rPr>
          <w:spacing w:val="-3"/>
        </w:rPr>
        <w:t xml:space="preserve"> </w:t>
      </w:r>
      <w:r w:rsidRPr="00150EDC">
        <w:t>of</w:t>
      </w:r>
      <w:r w:rsidRPr="00150EDC">
        <w:rPr>
          <w:spacing w:val="-4"/>
        </w:rPr>
        <w:t xml:space="preserve"> </w:t>
      </w:r>
      <w:r w:rsidRPr="00150EDC">
        <w:t>the Contract to consistently deliver a high-quality service.</w:t>
      </w:r>
    </w:p>
    <w:p w14:paraId="5EBB11FE" w14:textId="77777777" w:rsidR="004C7180" w:rsidRPr="00150EDC" w:rsidRDefault="004C7180">
      <w:pPr>
        <w:pStyle w:val="BodyText"/>
        <w:spacing w:before="8"/>
        <w:rPr>
          <w:sz w:val="20"/>
        </w:rPr>
      </w:pPr>
    </w:p>
    <w:p w14:paraId="49AE3934" w14:textId="77777777" w:rsidR="004C7180" w:rsidRPr="00150EDC" w:rsidRDefault="00CF0754">
      <w:pPr>
        <w:pStyle w:val="BodyText"/>
        <w:spacing w:before="1" w:line="278" w:lineRule="auto"/>
        <w:ind w:left="1399" w:right="673"/>
      </w:pPr>
      <w:r w:rsidRPr="00150EDC">
        <w:t>The</w:t>
      </w:r>
      <w:r w:rsidRPr="00150EDC">
        <w:rPr>
          <w:spacing w:val="-9"/>
        </w:rPr>
        <w:t xml:space="preserve"> </w:t>
      </w:r>
      <w:r w:rsidRPr="00150EDC">
        <w:t>Supplier’s</w:t>
      </w:r>
      <w:r w:rsidRPr="00150EDC">
        <w:rPr>
          <w:spacing w:val="-10"/>
        </w:rPr>
        <w:t xml:space="preserve"> </w:t>
      </w:r>
      <w:r w:rsidRPr="00150EDC">
        <w:t>staff</w:t>
      </w:r>
      <w:r w:rsidRPr="00150EDC">
        <w:rPr>
          <w:spacing w:val="-11"/>
        </w:rPr>
        <w:t xml:space="preserve"> </w:t>
      </w:r>
      <w:r w:rsidRPr="00150EDC">
        <w:t>assigned</w:t>
      </w:r>
      <w:r w:rsidRPr="00150EDC">
        <w:rPr>
          <w:spacing w:val="-11"/>
        </w:rPr>
        <w:t xml:space="preserve"> </w:t>
      </w:r>
      <w:r w:rsidRPr="00150EDC">
        <w:t>to</w:t>
      </w:r>
      <w:r w:rsidRPr="00150EDC">
        <w:rPr>
          <w:spacing w:val="-11"/>
        </w:rPr>
        <w:t xml:space="preserve"> </w:t>
      </w:r>
      <w:r w:rsidRPr="00150EDC">
        <w:t>the</w:t>
      </w:r>
      <w:r w:rsidRPr="00150EDC">
        <w:rPr>
          <w:spacing w:val="-9"/>
        </w:rPr>
        <w:t xml:space="preserve"> </w:t>
      </w:r>
      <w:r w:rsidRPr="00150EDC">
        <w:t>Contract</w:t>
      </w:r>
      <w:r w:rsidRPr="00150EDC">
        <w:rPr>
          <w:spacing w:val="-11"/>
        </w:rPr>
        <w:t xml:space="preserve"> </w:t>
      </w:r>
      <w:r w:rsidRPr="00150EDC">
        <w:t>shall</w:t>
      </w:r>
      <w:r w:rsidRPr="00150EDC">
        <w:rPr>
          <w:spacing w:val="-10"/>
        </w:rPr>
        <w:t xml:space="preserve"> </w:t>
      </w:r>
      <w:r w:rsidRPr="00150EDC">
        <w:t>have</w:t>
      </w:r>
      <w:r w:rsidRPr="00150EDC">
        <w:rPr>
          <w:spacing w:val="-9"/>
        </w:rPr>
        <w:t xml:space="preserve"> </w:t>
      </w:r>
      <w:r w:rsidRPr="00150EDC">
        <w:t>the</w:t>
      </w:r>
      <w:r w:rsidRPr="00150EDC">
        <w:rPr>
          <w:spacing w:val="-9"/>
        </w:rPr>
        <w:t xml:space="preserve"> </w:t>
      </w:r>
      <w:r w:rsidRPr="00150EDC">
        <w:t>relevant</w:t>
      </w:r>
      <w:r w:rsidRPr="00150EDC">
        <w:rPr>
          <w:spacing w:val="-11"/>
        </w:rPr>
        <w:t xml:space="preserve"> </w:t>
      </w:r>
      <w:r w:rsidRPr="00150EDC">
        <w:t>qualifications</w:t>
      </w:r>
      <w:r w:rsidRPr="00150EDC">
        <w:rPr>
          <w:spacing w:val="-10"/>
        </w:rPr>
        <w:t xml:space="preserve"> </w:t>
      </w:r>
      <w:r w:rsidRPr="00150EDC">
        <w:t>and experience to deliver the Contract to the required standard.</w:t>
      </w:r>
    </w:p>
    <w:p w14:paraId="3BD56A5D" w14:textId="77777777" w:rsidR="004C7180" w:rsidRPr="00150EDC" w:rsidRDefault="004C7180">
      <w:pPr>
        <w:spacing w:line="278" w:lineRule="auto"/>
        <w:sectPr w:rsidR="004C7180" w:rsidRPr="00150EDC">
          <w:pgSz w:w="11910" w:h="16840"/>
          <w:pgMar w:top="1220" w:right="0" w:bottom="660" w:left="40" w:header="149" w:footer="465" w:gutter="0"/>
          <w:cols w:space="720"/>
        </w:sectPr>
      </w:pPr>
    </w:p>
    <w:p w14:paraId="055E4FE6" w14:textId="77777777" w:rsidR="004C7180" w:rsidRPr="00150EDC" w:rsidRDefault="004C7180">
      <w:pPr>
        <w:pStyle w:val="BodyText"/>
        <w:spacing w:before="1"/>
        <w:rPr>
          <w:sz w:val="10"/>
        </w:rPr>
      </w:pPr>
    </w:p>
    <w:p w14:paraId="0E2BE36E" w14:textId="77777777" w:rsidR="004C7180" w:rsidRPr="00150EDC" w:rsidRDefault="00CF0754">
      <w:pPr>
        <w:pStyle w:val="BodyText"/>
        <w:spacing w:before="92" w:line="276" w:lineRule="auto"/>
        <w:ind w:left="1400" w:right="1434"/>
        <w:jc w:val="both"/>
      </w:pPr>
      <w:r w:rsidRPr="00150EDC">
        <w:t>The</w:t>
      </w:r>
      <w:r w:rsidRPr="00150EDC">
        <w:rPr>
          <w:spacing w:val="-14"/>
        </w:rPr>
        <w:t xml:space="preserve"> </w:t>
      </w:r>
      <w:r w:rsidRPr="00150EDC">
        <w:t>Supplier</w:t>
      </w:r>
      <w:r w:rsidRPr="00150EDC">
        <w:rPr>
          <w:spacing w:val="-16"/>
        </w:rPr>
        <w:t xml:space="preserve"> </w:t>
      </w:r>
      <w:r w:rsidRPr="00150EDC">
        <w:t>shall</w:t>
      </w:r>
      <w:r w:rsidRPr="00150EDC">
        <w:rPr>
          <w:spacing w:val="-15"/>
        </w:rPr>
        <w:t xml:space="preserve"> </w:t>
      </w:r>
      <w:r w:rsidRPr="00150EDC">
        <w:t>ensure</w:t>
      </w:r>
      <w:r w:rsidRPr="00150EDC">
        <w:rPr>
          <w:spacing w:val="-14"/>
        </w:rPr>
        <w:t xml:space="preserve"> </w:t>
      </w:r>
      <w:r w:rsidRPr="00150EDC">
        <w:t>that</w:t>
      </w:r>
      <w:r w:rsidRPr="00150EDC">
        <w:rPr>
          <w:spacing w:val="-14"/>
        </w:rPr>
        <w:t xml:space="preserve"> </w:t>
      </w:r>
      <w:r w:rsidRPr="00150EDC">
        <w:t>staff</w:t>
      </w:r>
      <w:r w:rsidRPr="00150EDC">
        <w:rPr>
          <w:spacing w:val="-14"/>
        </w:rPr>
        <w:t xml:space="preserve"> </w:t>
      </w:r>
      <w:r w:rsidRPr="00150EDC">
        <w:t>understand</w:t>
      </w:r>
      <w:r w:rsidRPr="00150EDC">
        <w:rPr>
          <w:spacing w:val="-14"/>
        </w:rPr>
        <w:t xml:space="preserve"> </w:t>
      </w:r>
      <w:r w:rsidRPr="00150EDC">
        <w:t>the</w:t>
      </w:r>
      <w:r w:rsidRPr="00150EDC">
        <w:rPr>
          <w:spacing w:val="-14"/>
        </w:rPr>
        <w:t xml:space="preserve"> </w:t>
      </w:r>
      <w:r w:rsidRPr="00150EDC">
        <w:t>Department’s</w:t>
      </w:r>
      <w:r w:rsidRPr="00150EDC">
        <w:rPr>
          <w:spacing w:val="-15"/>
        </w:rPr>
        <w:t xml:space="preserve"> </w:t>
      </w:r>
      <w:r w:rsidRPr="00150EDC">
        <w:t>vision</w:t>
      </w:r>
      <w:r w:rsidRPr="00150EDC">
        <w:rPr>
          <w:spacing w:val="-14"/>
        </w:rPr>
        <w:t xml:space="preserve"> </w:t>
      </w:r>
      <w:r w:rsidRPr="00150EDC">
        <w:t>and</w:t>
      </w:r>
      <w:r w:rsidRPr="00150EDC">
        <w:rPr>
          <w:spacing w:val="-14"/>
        </w:rPr>
        <w:t xml:space="preserve"> </w:t>
      </w:r>
      <w:r w:rsidRPr="00150EDC">
        <w:t>objectives and</w:t>
      </w:r>
      <w:r w:rsidRPr="00150EDC">
        <w:rPr>
          <w:spacing w:val="-9"/>
        </w:rPr>
        <w:t xml:space="preserve"> </w:t>
      </w:r>
      <w:r w:rsidRPr="00150EDC">
        <w:t>will</w:t>
      </w:r>
      <w:r w:rsidRPr="00150EDC">
        <w:rPr>
          <w:spacing w:val="-8"/>
        </w:rPr>
        <w:t xml:space="preserve"> </w:t>
      </w:r>
      <w:r w:rsidRPr="00150EDC">
        <w:t>provide</w:t>
      </w:r>
      <w:r w:rsidRPr="00150EDC">
        <w:rPr>
          <w:spacing w:val="-9"/>
        </w:rPr>
        <w:t xml:space="preserve"> </w:t>
      </w:r>
      <w:r w:rsidRPr="00150EDC">
        <w:t>excellent</w:t>
      </w:r>
      <w:r w:rsidRPr="00150EDC">
        <w:rPr>
          <w:spacing w:val="-7"/>
        </w:rPr>
        <w:t xml:space="preserve"> </w:t>
      </w:r>
      <w:r w:rsidRPr="00150EDC">
        <w:t>customer</w:t>
      </w:r>
      <w:r w:rsidRPr="00150EDC">
        <w:rPr>
          <w:spacing w:val="-8"/>
        </w:rPr>
        <w:t xml:space="preserve"> </w:t>
      </w:r>
      <w:r w:rsidRPr="00150EDC">
        <w:t>service</w:t>
      </w:r>
      <w:r w:rsidRPr="00150EDC">
        <w:rPr>
          <w:spacing w:val="-7"/>
        </w:rPr>
        <w:t xml:space="preserve"> </w:t>
      </w:r>
      <w:r w:rsidRPr="00150EDC">
        <w:t>to</w:t>
      </w:r>
      <w:r w:rsidRPr="00150EDC">
        <w:rPr>
          <w:spacing w:val="-12"/>
        </w:rPr>
        <w:t xml:space="preserve"> </w:t>
      </w:r>
      <w:r w:rsidRPr="00150EDC">
        <w:t>the</w:t>
      </w:r>
      <w:r w:rsidRPr="00150EDC">
        <w:rPr>
          <w:spacing w:val="-7"/>
        </w:rPr>
        <w:t xml:space="preserve"> </w:t>
      </w:r>
      <w:r w:rsidRPr="00150EDC">
        <w:t>Department</w:t>
      </w:r>
      <w:r w:rsidRPr="00150EDC">
        <w:rPr>
          <w:spacing w:val="-10"/>
        </w:rPr>
        <w:t xml:space="preserve"> </w:t>
      </w:r>
      <w:r w:rsidRPr="00150EDC">
        <w:t>throughout</w:t>
      </w:r>
      <w:r w:rsidRPr="00150EDC">
        <w:rPr>
          <w:spacing w:val="-10"/>
        </w:rPr>
        <w:t xml:space="preserve"> </w:t>
      </w:r>
      <w:r w:rsidRPr="00150EDC">
        <w:t>the</w:t>
      </w:r>
      <w:r w:rsidRPr="00150EDC">
        <w:rPr>
          <w:spacing w:val="-9"/>
        </w:rPr>
        <w:t xml:space="preserve"> </w:t>
      </w:r>
      <w:r w:rsidRPr="00150EDC">
        <w:t>duration of the Contract.</w:t>
      </w:r>
    </w:p>
    <w:p w14:paraId="44C0A144" w14:textId="77777777" w:rsidR="004C7180" w:rsidRPr="00150EDC" w:rsidRDefault="004C7180">
      <w:pPr>
        <w:pStyle w:val="BodyText"/>
        <w:spacing w:before="11"/>
        <w:rPr>
          <w:sz w:val="20"/>
        </w:rPr>
      </w:pPr>
    </w:p>
    <w:p w14:paraId="2CF79149" w14:textId="77777777" w:rsidR="004C7180" w:rsidRPr="00150EDC" w:rsidRDefault="00CF0754">
      <w:pPr>
        <w:pStyle w:val="BodyText"/>
        <w:spacing w:line="276" w:lineRule="auto"/>
        <w:ind w:left="1400" w:right="1432"/>
        <w:jc w:val="both"/>
      </w:pPr>
      <w:r w:rsidRPr="00150EDC">
        <w:t>The Supplier shall communicate all changes to the Key Personnel as defined in the Call-Off Contract throughout the Term.</w:t>
      </w:r>
    </w:p>
    <w:p w14:paraId="308D605B" w14:textId="77777777" w:rsidR="004C7180" w:rsidRPr="00150EDC" w:rsidRDefault="004C7180">
      <w:pPr>
        <w:spacing w:line="276" w:lineRule="auto"/>
        <w:jc w:val="both"/>
        <w:sectPr w:rsidR="004C7180" w:rsidRPr="00150EDC">
          <w:pgSz w:w="11910" w:h="16840"/>
          <w:pgMar w:top="1220" w:right="0" w:bottom="660" w:left="40" w:header="149" w:footer="465" w:gutter="0"/>
          <w:cols w:space="720"/>
        </w:sectPr>
      </w:pPr>
    </w:p>
    <w:p w14:paraId="3AB65DCC" w14:textId="77777777" w:rsidR="004C7180" w:rsidRPr="00150EDC" w:rsidRDefault="004C7180">
      <w:pPr>
        <w:pStyle w:val="BodyText"/>
        <w:rPr>
          <w:sz w:val="16"/>
        </w:rPr>
      </w:pPr>
    </w:p>
    <w:p w14:paraId="013933AE" w14:textId="77777777" w:rsidR="004C7180" w:rsidRPr="00150EDC" w:rsidRDefault="00CF0754">
      <w:pPr>
        <w:pStyle w:val="Heading1"/>
        <w:spacing w:before="89"/>
        <w:ind w:left="1400" w:firstLine="0"/>
      </w:pPr>
      <w:bookmarkStart w:id="104" w:name="Annexes"/>
      <w:bookmarkStart w:id="105" w:name="_bookmark22"/>
      <w:bookmarkEnd w:id="104"/>
      <w:bookmarkEnd w:id="105"/>
      <w:r w:rsidRPr="00150EDC">
        <w:rPr>
          <w:spacing w:val="-2"/>
        </w:rPr>
        <w:t>Annexes</w:t>
      </w:r>
    </w:p>
    <w:p w14:paraId="0A804227" w14:textId="77777777" w:rsidR="004C7180" w:rsidRPr="00150EDC" w:rsidRDefault="00CF0754">
      <w:pPr>
        <w:pStyle w:val="BodyText"/>
        <w:spacing w:before="262" w:line="276" w:lineRule="auto"/>
        <w:ind w:left="1399" w:right="1459"/>
      </w:pPr>
      <w:r w:rsidRPr="00150EDC">
        <w:t>Annex A Overview of products/approaches to be trialled (subject to feasibility test by the evaluation supplier):</w:t>
      </w:r>
    </w:p>
    <w:p w14:paraId="75767E86" w14:textId="77777777" w:rsidR="004C7180" w:rsidRPr="00150EDC" w:rsidRDefault="004C7180">
      <w:pPr>
        <w:pStyle w:val="BodyText"/>
        <w:spacing w:before="8" w:after="1"/>
        <w:rPr>
          <w:sz w:val="20"/>
        </w:rPr>
      </w:pPr>
    </w:p>
    <w:tbl>
      <w:tblPr>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77"/>
        <w:gridCol w:w="4961"/>
        <w:gridCol w:w="1277"/>
        <w:gridCol w:w="994"/>
        <w:gridCol w:w="2988"/>
      </w:tblGrid>
      <w:tr w:rsidR="004569EE" w:rsidRPr="007D3144" w14:paraId="23BE6CF6" w14:textId="77777777" w:rsidTr="46D4E117">
        <w:trPr>
          <w:trHeight w:val="841"/>
        </w:trPr>
        <w:tc>
          <w:tcPr>
            <w:tcW w:w="1277" w:type="dxa"/>
            <w:tcBorders>
              <w:bottom w:val="single" w:sz="4" w:space="0" w:color="000000" w:themeColor="text1"/>
              <w:right w:val="single" w:sz="4" w:space="0" w:color="000000" w:themeColor="text1"/>
            </w:tcBorders>
            <w:shd w:val="clear" w:color="auto" w:fill="D9D9D9" w:themeFill="background1" w:themeFillShade="D9"/>
          </w:tcPr>
          <w:p w14:paraId="5DE0D466" w14:textId="77777777" w:rsidR="004C7180" w:rsidRPr="00150EDC" w:rsidRDefault="004C7180">
            <w:pPr>
              <w:pStyle w:val="TableParagraph"/>
              <w:spacing w:before="8" w:line="240" w:lineRule="auto"/>
              <w:ind w:left="0"/>
              <w:rPr>
                <w:sz w:val="24"/>
              </w:rPr>
            </w:pPr>
          </w:p>
          <w:p w14:paraId="15413D13" w14:textId="77777777" w:rsidR="004C7180" w:rsidRPr="00150EDC" w:rsidRDefault="00CF0754">
            <w:pPr>
              <w:pStyle w:val="TableParagraph"/>
              <w:spacing w:before="0" w:line="240" w:lineRule="auto"/>
              <w:ind w:left="436"/>
              <w:rPr>
                <w:rFonts w:ascii="Calibri"/>
                <w:b/>
              </w:rPr>
            </w:pPr>
            <w:r w:rsidRPr="00150EDC">
              <w:rPr>
                <w:rFonts w:ascii="Calibri"/>
                <w:b/>
                <w:spacing w:val="-2"/>
                <w:u w:val="single"/>
              </w:rPr>
              <w:t>Title</w:t>
            </w:r>
          </w:p>
        </w:tc>
        <w:tc>
          <w:tcPr>
            <w:tcW w:w="4961" w:type="dxa"/>
            <w:tcBorders>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02D0CA96" w14:textId="77777777" w:rsidR="004C7180" w:rsidRPr="00150EDC" w:rsidRDefault="00CF0754">
            <w:pPr>
              <w:pStyle w:val="TableParagraph"/>
              <w:spacing w:before="20" w:line="237" w:lineRule="auto"/>
              <w:ind w:left="143" w:right="122"/>
              <w:jc w:val="center"/>
              <w:rPr>
                <w:rFonts w:ascii="Calibri"/>
                <w:b/>
              </w:rPr>
            </w:pPr>
            <w:r w:rsidRPr="00150EDC">
              <w:rPr>
                <w:rFonts w:ascii="Calibri"/>
                <w:b/>
                <w:u w:val="single"/>
              </w:rPr>
              <w:t>Provisional Trial Description (the intervention</w:t>
            </w:r>
            <w:r w:rsidRPr="00150EDC">
              <w:rPr>
                <w:rFonts w:ascii="Calibri"/>
                <w:b/>
              </w:rPr>
              <w:t xml:space="preserve"> </w:t>
            </w:r>
            <w:r w:rsidRPr="00150EDC">
              <w:rPr>
                <w:rFonts w:ascii="Calibri"/>
                <w:b/>
                <w:u w:val="single"/>
              </w:rPr>
              <w:t>description</w:t>
            </w:r>
            <w:r w:rsidRPr="00150EDC">
              <w:rPr>
                <w:rFonts w:ascii="Calibri"/>
                <w:b/>
                <w:spacing w:val="-5"/>
                <w:u w:val="single"/>
              </w:rPr>
              <w:t xml:space="preserve"> </w:t>
            </w:r>
            <w:r w:rsidRPr="00150EDC">
              <w:rPr>
                <w:rFonts w:ascii="Calibri"/>
                <w:b/>
                <w:u w:val="single"/>
              </w:rPr>
              <w:t>may</w:t>
            </w:r>
            <w:r w:rsidRPr="00150EDC">
              <w:rPr>
                <w:rFonts w:ascii="Calibri"/>
                <w:b/>
                <w:spacing w:val="-5"/>
                <w:u w:val="single"/>
              </w:rPr>
              <w:t xml:space="preserve"> </w:t>
            </w:r>
            <w:r w:rsidRPr="00150EDC">
              <w:rPr>
                <w:rFonts w:ascii="Calibri"/>
                <w:b/>
                <w:u w:val="single"/>
              </w:rPr>
              <w:t>change</w:t>
            </w:r>
            <w:r w:rsidRPr="00150EDC">
              <w:rPr>
                <w:rFonts w:ascii="Calibri"/>
                <w:b/>
                <w:spacing w:val="-5"/>
                <w:u w:val="single"/>
              </w:rPr>
              <w:t xml:space="preserve"> </w:t>
            </w:r>
            <w:r w:rsidRPr="00150EDC">
              <w:rPr>
                <w:rFonts w:ascii="Calibri"/>
                <w:b/>
                <w:u w:val="single"/>
              </w:rPr>
              <w:t>as</w:t>
            </w:r>
            <w:r w:rsidRPr="00150EDC">
              <w:rPr>
                <w:rFonts w:ascii="Calibri"/>
                <w:b/>
                <w:spacing w:val="-6"/>
                <w:u w:val="single"/>
              </w:rPr>
              <w:t xml:space="preserve"> </w:t>
            </w:r>
            <w:r w:rsidRPr="00150EDC">
              <w:rPr>
                <w:rFonts w:ascii="Calibri"/>
                <w:b/>
                <w:u w:val="single"/>
              </w:rPr>
              <w:t>the</w:t>
            </w:r>
            <w:r w:rsidRPr="00150EDC">
              <w:rPr>
                <w:rFonts w:ascii="Calibri"/>
                <w:b/>
                <w:spacing w:val="-5"/>
                <w:u w:val="single"/>
              </w:rPr>
              <w:t xml:space="preserve"> </w:t>
            </w:r>
            <w:r w:rsidRPr="00150EDC">
              <w:rPr>
                <w:rFonts w:ascii="Calibri"/>
                <w:b/>
                <w:u w:val="single"/>
              </w:rPr>
              <w:t>products</w:t>
            </w:r>
            <w:r w:rsidRPr="00150EDC">
              <w:rPr>
                <w:rFonts w:ascii="Calibri"/>
                <w:b/>
                <w:spacing w:val="-6"/>
                <w:u w:val="single"/>
              </w:rPr>
              <w:t xml:space="preserve"> </w:t>
            </w:r>
            <w:r w:rsidRPr="00150EDC">
              <w:rPr>
                <w:rFonts w:ascii="Calibri"/>
                <w:b/>
                <w:u w:val="single"/>
              </w:rPr>
              <w:t>are</w:t>
            </w:r>
            <w:r w:rsidRPr="00150EDC">
              <w:rPr>
                <w:rFonts w:ascii="Calibri"/>
                <w:b/>
                <w:spacing w:val="-5"/>
                <w:u w:val="single"/>
              </w:rPr>
              <w:t xml:space="preserve"> </w:t>
            </w:r>
            <w:r w:rsidRPr="00150EDC">
              <w:rPr>
                <w:rFonts w:ascii="Calibri"/>
                <w:b/>
                <w:u w:val="single"/>
              </w:rPr>
              <w:t>refined</w:t>
            </w:r>
          </w:p>
          <w:p w14:paraId="1EF89750" w14:textId="77777777" w:rsidR="004C7180" w:rsidRPr="00150EDC" w:rsidRDefault="00CF0754">
            <w:pPr>
              <w:pStyle w:val="TableParagraph"/>
              <w:spacing w:before="1" w:line="240" w:lineRule="auto"/>
              <w:ind w:left="142" w:right="122"/>
              <w:jc w:val="center"/>
              <w:rPr>
                <w:rFonts w:ascii="Calibri"/>
                <w:b/>
              </w:rPr>
            </w:pPr>
            <w:r w:rsidRPr="00150EDC">
              <w:rPr>
                <w:rFonts w:ascii="Calibri"/>
                <w:b/>
                <w:u w:val="single"/>
              </w:rPr>
              <w:t xml:space="preserve">by </w:t>
            </w:r>
            <w:r w:rsidRPr="00150EDC">
              <w:rPr>
                <w:rFonts w:ascii="Calibri"/>
                <w:b/>
                <w:spacing w:val="-2"/>
                <w:u w:val="single"/>
              </w:rPr>
              <w:t>developers)</w:t>
            </w:r>
          </w:p>
        </w:tc>
        <w:tc>
          <w:tcPr>
            <w:tcW w:w="1277" w:type="dxa"/>
            <w:tcBorders>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41D1A218" w14:textId="77777777" w:rsidR="004C7180" w:rsidRPr="00150EDC" w:rsidRDefault="00CF0754">
            <w:pPr>
              <w:pStyle w:val="TableParagraph"/>
              <w:spacing w:before="154" w:line="237" w:lineRule="auto"/>
              <w:ind w:left="263" w:right="233" w:firstLine="19"/>
              <w:rPr>
                <w:rFonts w:ascii="Calibri"/>
                <w:b/>
              </w:rPr>
            </w:pPr>
            <w:r w:rsidRPr="00150EDC">
              <w:rPr>
                <w:rFonts w:ascii="Calibri"/>
                <w:b/>
                <w:spacing w:val="-2"/>
                <w:u w:val="single"/>
              </w:rPr>
              <w:t>Product</w:t>
            </w:r>
            <w:r w:rsidRPr="00150EDC">
              <w:rPr>
                <w:rFonts w:ascii="Calibri"/>
                <w:b/>
                <w:spacing w:val="-2"/>
              </w:rPr>
              <w:t xml:space="preserve"> </w:t>
            </w:r>
            <w:r w:rsidRPr="00150EDC">
              <w:rPr>
                <w:rFonts w:ascii="Calibri"/>
                <w:b/>
                <w:spacing w:val="-2"/>
                <w:u w:val="single"/>
              </w:rPr>
              <w:t>Supplier</w:t>
            </w:r>
          </w:p>
        </w:tc>
        <w:tc>
          <w:tcPr>
            <w:tcW w:w="994" w:type="dxa"/>
            <w:tcBorders>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22444EE2" w14:textId="77777777" w:rsidR="004C7180" w:rsidRPr="00150EDC" w:rsidRDefault="00CF0754">
            <w:pPr>
              <w:pStyle w:val="TableParagraph"/>
              <w:spacing w:before="20" w:line="237" w:lineRule="auto"/>
              <w:ind w:left="116" w:right="98"/>
              <w:jc w:val="center"/>
              <w:rPr>
                <w:rFonts w:ascii="Calibri"/>
                <w:b/>
              </w:rPr>
            </w:pPr>
            <w:r w:rsidRPr="00150EDC">
              <w:rPr>
                <w:rFonts w:ascii="Calibri"/>
                <w:b/>
                <w:spacing w:val="-2"/>
                <w:u w:val="single"/>
              </w:rPr>
              <w:t>Delivery</w:t>
            </w:r>
            <w:r w:rsidRPr="00150EDC">
              <w:rPr>
                <w:rFonts w:ascii="Calibri"/>
                <w:b/>
                <w:spacing w:val="-2"/>
              </w:rPr>
              <w:t xml:space="preserve"> </w:t>
            </w:r>
            <w:r w:rsidRPr="00150EDC">
              <w:rPr>
                <w:rFonts w:ascii="Calibri"/>
                <w:b/>
                <w:spacing w:val="-2"/>
                <w:u w:val="single"/>
              </w:rPr>
              <w:t>Approac</w:t>
            </w:r>
          </w:p>
          <w:p w14:paraId="3192F79D" w14:textId="77777777" w:rsidR="004C7180" w:rsidRPr="00150EDC" w:rsidRDefault="00CF0754">
            <w:pPr>
              <w:pStyle w:val="TableParagraph"/>
              <w:spacing w:before="1" w:line="240" w:lineRule="auto"/>
              <w:ind w:left="16"/>
              <w:jc w:val="center"/>
              <w:rPr>
                <w:rFonts w:ascii="Calibri"/>
                <w:b/>
              </w:rPr>
            </w:pPr>
            <w:r w:rsidRPr="00150EDC">
              <w:rPr>
                <w:rFonts w:ascii="Calibri"/>
                <w:b/>
                <w:u w:val="single"/>
              </w:rPr>
              <w:t>h</w:t>
            </w:r>
          </w:p>
        </w:tc>
        <w:tc>
          <w:tcPr>
            <w:tcW w:w="2988" w:type="dxa"/>
            <w:tcBorders>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6E320EC2" w14:textId="77777777" w:rsidR="004C7180" w:rsidRPr="00150EDC" w:rsidRDefault="004C7180">
            <w:pPr>
              <w:pStyle w:val="TableParagraph"/>
              <w:spacing w:before="8" w:line="240" w:lineRule="auto"/>
              <w:ind w:left="0"/>
              <w:rPr>
                <w:sz w:val="24"/>
              </w:rPr>
            </w:pPr>
          </w:p>
          <w:p w14:paraId="116D28AF" w14:textId="77777777" w:rsidR="004C7180" w:rsidRPr="00150EDC" w:rsidRDefault="00CF0754">
            <w:pPr>
              <w:pStyle w:val="TableParagraph"/>
              <w:spacing w:before="0" w:line="240" w:lineRule="auto"/>
              <w:ind w:left="332"/>
              <w:rPr>
                <w:rFonts w:ascii="Calibri"/>
                <w:b/>
              </w:rPr>
            </w:pPr>
            <w:r w:rsidRPr="00150EDC">
              <w:rPr>
                <w:rFonts w:ascii="Calibri"/>
                <w:b/>
                <w:u w:val="single"/>
              </w:rPr>
              <w:t>Draft</w:t>
            </w:r>
            <w:r w:rsidRPr="00150EDC">
              <w:rPr>
                <w:rFonts w:ascii="Calibri"/>
                <w:b/>
                <w:spacing w:val="-4"/>
                <w:u w:val="single"/>
              </w:rPr>
              <w:t xml:space="preserve"> </w:t>
            </w:r>
            <w:r w:rsidRPr="00150EDC">
              <w:rPr>
                <w:rFonts w:ascii="Calibri"/>
                <w:b/>
                <w:u w:val="single"/>
              </w:rPr>
              <w:t>Research</w:t>
            </w:r>
            <w:r w:rsidRPr="00150EDC">
              <w:rPr>
                <w:rFonts w:ascii="Calibri"/>
                <w:b/>
                <w:spacing w:val="-4"/>
                <w:u w:val="single"/>
              </w:rPr>
              <w:t xml:space="preserve"> </w:t>
            </w:r>
            <w:r w:rsidRPr="00150EDC">
              <w:rPr>
                <w:rFonts w:ascii="Calibri"/>
                <w:b/>
                <w:spacing w:val="-2"/>
                <w:u w:val="single"/>
              </w:rPr>
              <w:t>Questions</w:t>
            </w:r>
          </w:p>
        </w:tc>
      </w:tr>
      <w:tr w:rsidR="004569EE" w:rsidRPr="007D3144" w14:paraId="502A029D" w14:textId="77777777" w:rsidTr="46D4E117">
        <w:trPr>
          <w:trHeight w:val="5668"/>
        </w:trPr>
        <w:tc>
          <w:tcPr>
            <w:tcW w:w="1277" w:type="dxa"/>
            <w:tcBorders>
              <w:top w:val="single" w:sz="4" w:space="0" w:color="000000" w:themeColor="text1"/>
              <w:bottom w:val="single" w:sz="4" w:space="0" w:color="000000" w:themeColor="text1"/>
              <w:right w:val="single" w:sz="4" w:space="0" w:color="000000" w:themeColor="text1"/>
            </w:tcBorders>
          </w:tcPr>
          <w:p w14:paraId="5B66D35C" w14:textId="77777777" w:rsidR="004C7180" w:rsidRPr="00150EDC" w:rsidRDefault="004C7180">
            <w:pPr>
              <w:pStyle w:val="TableParagraph"/>
              <w:spacing w:before="0" w:line="240" w:lineRule="auto"/>
              <w:ind w:left="0"/>
            </w:pPr>
          </w:p>
          <w:p w14:paraId="12C760E4" w14:textId="77777777" w:rsidR="004C7180" w:rsidRPr="00150EDC" w:rsidRDefault="004C7180">
            <w:pPr>
              <w:pStyle w:val="TableParagraph"/>
              <w:spacing w:before="0" w:line="240" w:lineRule="auto"/>
              <w:ind w:left="0"/>
            </w:pPr>
          </w:p>
          <w:p w14:paraId="05DCD6F6" w14:textId="77777777" w:rsidR="004C7180" w:rsidRPr="00150EDC" w:rsidRDefault="004C7180">
            <w:pPr>
              <w:pStyle w:val="TableParagraph"/>
              <w:spacing w:before="0" w:line="240" w:lineRule="auto"/>
              <w:ind w:left="0"/>
            </w:pPr>
          </w:p>
          <w:p w14:paraId="042F3D77" w14:textId="77777777" w:rsidR="004C7180" w:rsidRPr="00150EDC" w:rsidRDefault="004C7180">
            <w:pPr>
              <w:pStyle w:val="TableParagraph"/>
              <w:spacing w:before="0" w:line="240" w:lineRule="auto"/>
              <w:ind w:left="0"/>
            </w:pPr>
          </w:p>
          <w:p w14:paraId="2355A425" w14:textId="77777777" w:rsidR="004C7180" w:rsidRPr="00150EDC" w:rsidRDefault="004C7180">
            <w:pPr>
              <w:pStyle w:val="TableParagraph"/>
              <w:spacing w:before="0" w:line="240" w:lineRule="auto"/>
              <w:ind w:left="0"/>
            </w:pPr>
          </w:p>
          <w:p w14:paraId="2786F5D6" w14:textId="77777777" w:rsidR="004C7180" w:rsidRPr="00150EDC" w:rsidRDefault="004C7180">
            <w:pPr>
              <w:pStyle w:val="TableParagraph"/>
              <w:spacing w:before="0" w:line="240" w:lineRule="auto"/>
              <w:ind w:left="0"/>
            </w:pPr>
          </w:p>
          <w:p w14:paraId="7F91D6C6" w14:textId="77777777" w:rsidR="004C7180" w:rsidRPr="00150EDC" w:rsidRDefault="004C7180">
            <w:pPr>
              <w:pStyle w:val="TableParagraph"/>
              <w:spacing w:before="0" w:line="240" w:lineRule="auto"/>
              <w:ind w:left="0"/>
            </w:pPr>
          </w:p>
          <w:p w14:paraId="18E96770" w14:textId="77777777" w:rsidR="004C7180" w:rsidRPr="00150EDC" w:rsidRDefault="004C7180">
            <w:pPr>
              <w:pStyle w:val="TableParagraph"/>
              <w:spacing w:before="0" w:line="240" w:lineRule="auto"/>
              <w:ind w:left="0"/>
            </w:pPr>
          </w:p>
          <w:p w14:paraId="4D31F0C1" w14:textId="77777777" w:rsidR="004C7180" w:rsidRPr="00150EDC" w:rsidRDefault="004C7180">
            <w:pPr>
              <w:pStyle w:val="TableParagraph"/>
              <w:spacing w:before="7" w:line="240" w:lineRule="auto"/>
              <w:ind w:left="0"/>
              <w:rPr>
                <w:sz w:val="23"/>
              </w:rPr>
            </w:pPr>
          </w:p>
          <w:p w14:paraId="0FEDF761" w14:textId="77777777" w:rsidR="004C7180" w:rsidRPr="00150EDC" w:rsidRDefault="00CF0754">
            <w:pPr>
              <w:pStyle w:val="TableParagraph"/>
              <w:spacing w:before="0" w:line="240" w:lineRule="auto"/>
              <w:ind w:left="107"/>
              <w:rPr>
                <w:rFonts w:ascii="Calibri"/>
                <w:b/>
              </w:rPr>
            </w:pPr>
            <w:r w:rsidRPr="00150EDC">
              <w:rPr>
                <w:rFonts w:ascii="Calibri"/>
                <w:b/>
                <w:spacing w:val="-2"/>
              </w:rPr>
              <w:t>Numeracy Champions</w:t>
            </w:r>
          </w:p>
          <w:p w14:paraId="373800DB" w14:textId="77777777" w:rsidR="004C7180" w:rsidRPr="00150EDC" w:rsidRDefault="00CF0754">
            <w:pPr>
              <w:pStyle w:val="TableParagraph"/>
              <w:spacing w:before="1" w:line="240" w:lineRule="auto"/>
              <w:ind w:left="107"/>
              <w:rPr>
                <w:rFonts w:ascii="Calibri"/>
                <w:b/>
              </w:rPr>
            </w:pPr>
            <w:r w:rsidRPr="00150EDC">
              <w:rPr>
                <w:rFonts w:ascii="Calibri"/>
                <w:b/>
              </w:rPr>
              <w:t>-</w:t>
            </w:r>
          </w:p>
          <w:p w14:paraId="7A85A95F" w14:textId="77777777" w:rsidR="004C7180" w:rsidRPr="00150EDC" w:rsidRDefault="00CF0754" w:rsidP="46D4E117">
            <w:pPr>
              <w:pStyle w:val="TableParagraph"/>
              <w:spacing w:before="0" w:line="240" w:lineRule="auto"/>
              <w:ind w:left="107"/>
              <w:rPr>
                <w:rFonts w:ascii="Calibri"/>
                <w:b/>
                <w:bCs/>
              </w:rPr>
            </w:pPr>
            <w:r w:rsidRPr="00150EDC">
              <w:rPr>
                <w:rFonts w:ascii="Calibri"/>
                <w:b/>
                <w:bCs/>
                <w:spacing w:val="-2"/>
              </w:rPr>
              <w:t>workplaces</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BF9D37" w14:textId="77777777" w:rsidR="004C7180" w:rsidRPr="00150EDC" w:rsidRDefault="004C7180">
            <w:pPr>
              <w:pStyle w:val="TableParagraph"/>
              <w:spacing w:before="0" w:line="240" w:lineRule="auto"/>
              <w:ind w:left="0"/>
            </w:pPr>
          </w:p>
          <w:p w14:paraId="75FF42FC" w14:textId="77777777" w:rsidR="004C7180" w:rsidRPr="00150EDC" w:rsidRDefault="004C7180">
            <w:pPr>
              <w:pStyle w:val="TableParagraph"/>
              <w:spacing w:before="0" w:line="240" w:lineRule="auto"/>
              <w:ind w:left="0"/>
            </w:pPr>
          </w:p>
          <w:p w14:paraId="5CB9AF10" w14:textId="77777777" w:rsidR="004C7180" w:rsidRPr="00150EDC" w:rsidRDefault="004C7180">
            <w:pPr>
              <w:pStyle w:val="TableParagraph"/>
              <w:spacing w:before="3" w:line="240" w:lineRule="auto"/>
              <w:ind w:left="0"/>
              <w:rPr>
                <w:sz w:val="27"/>
              </w:rPr>
            </w:pPr>
          </w:p>
          <w:p w14:paraId="5A7DD9D8" w14:textId="77777777" w:rsidR="004C7180" w:rsidRPr="00150EDC" w:rsidRDefault="00CF0754">
            <w:pPr>
              <w:pStyle w:val="TableParagraph"/>
              <w:spacing w:before="0" w:line="240" w:lineRule="auto"/>
              <w:ind w:left="112" w:right="165"/>
              <w:rPr>
                <w:rFonts w:ascii="Calibri"/>
              </w:rPr>
            </w:pPr>
            <w:r w:rsidRPr="00150EDC">
              <w:rPr>
                <w:rFonts w:ascii="Calibri"/>
              </w:rPr>
              <w:t>This trial will look at the impact of 'Numeracy Champions'</w:t>
            </w:r>
            <w:r w:rsidRPr="00150EDC">
              <w:rPr>
                <w:rFonts w:ascii="Calibri"/>
                <w:spacing w:val="-4"/>
              </w:rPr>
              <w:t xml:space="preserve"> </w:t>
            </w:r>
            <w:r w:rsidRPr="00150EDC">
              <w:rPr>
                <w:rFonts w:ascii="Calibri"/>
              </w:rPr>
              <w:t>in</w:t>
            </w:r>
            <w:r w:rsidRPr="00150EDC">
              <w:rPr>
                <w:rFonts w:ascii="Calibri"/>
                <w:spacing w:val="-6"/>
              </w:rPr>
              <w:t xml:space="preserve"> </w:t>
            </w:r>
            <w:r w:rsidRPr="00150EDC">
              <w:rPr>
                <w:rFonts w:ascii="Calibri"/>
              </w:rPr>
              <w:t>the</w:t>
            </w:r>
            <w:r w:rsidRPr="00150EDC">
              <w:rPr>
                <w:rFonts w:ascii="Calibri"/>
                <w:spacing w:val="-5"/>
              </w:rPr>
              <w:t xml:space="preserve"> </w:t>
            </w:r>
            <w:r w:rsidRPr="00150EDC">
              <w:rPr>
                <w:rFonts w:ascii="Calibri"/>
              </w:rPr>
              <w:t>workplace.</w:t>
            </w:r>
            <w:r w:rsidRPr="00150EDC">
              <w:rPr>
                <w:rFonts w:ascii="Calibri"/>
                <w:spacing w:val="-3"/>
              </w:rPr>
              <w:t xml:space="preserve"> </w:t>
            </w:r>
            <w:r w:rsidRPr="00150EDC">
              <w:rPr>
                <w:rFonts w:ascii="Calibri"/>
              </w:rPr>
              <w:t>Numeracy</w:t>
            </w:r>
            <w:r w:rsidRPr="00150EDC">
              <w:rPr>
                <w:rFonts w:ascii="Calibri"/>
                <w:spacing w:val="-4"/>
              </w:rPr>
              <w:t xml:space="preserve"> </w:t>
            </w:r>
            <w:r w:rsidRPr="00150EDC">
              <w:rPr>
                <w:rFonts w:ascii="Calibri"/>
              </w:rPr>
              <w:t>Champions are</w:t>
            </w:r>
            <w:r w:rsidRPr="00150EDC">
              <w:rPr>
                <w:rFonts w:ascii="Calibri"/>
                <w:spacing w:val="-5"/>
              </w:rPr>
              <w:t xml:space="preserve"> </w:t>
            </w:r>
            <w:r w:rsidRPr="00150EDC">
              <w:rPr>
                <w:rFonts w:ascii="Calibri"/>
              </w:rPr>
              <w:t>volunteers</w:t>
            </w:r>
            <w:r w:rsidRPr="00150EDC">
              <w:rPr>
                <w:rFonts w:ascii="Calibri"/>
                <w:spacing w:val="-7"/>
              </w:rPr>
              <w:t xml:space="preserve"> </w:t>
            </w:r>
            <w:r w:rsidRPr="00150EDC">
              <w:rPr>
                <w:rFonts w:ascii="Calibri"/>
              </w:rPr>
              <w:t>who</w:t>
            </w:r>
            <w:r w:rsidRPr="00150EDC">
              <w:rPr>
                <w:rFonts w:ascii="Calibri"/>
                <w:spacing w:val="-5"/>
              </w:rPr>
              <w:t xml:space="preserve"> </w:t>
            </w:r>
            <w:r w:rsidRPr="00150EDC">
              <w:rPr>
                <w:rFonts w:ascii="Calibri"/>
              </w:rPr>
              <w:t>provide</w:t>
            </w:r>
            <w:r w:rsidRPr="00150EDC">
              <w:rPr>
                <w:rFonts w:ascii="Calibri"/>
                <w:spacing w:val="-5"/>
              </w:rPr>
              <w:t xml:space="preserve"> </w:t>
            </w:r>
            <w:r w:rsidRPr="00150EDC">
              <w:rPr>
                <w:rFonts w:ascii="Calibri"/>
              </w:rPr>
              <w:t>support</w:t>
            </w:r>
            <w:r w:rsidRPr="00150EDC">
              <w:rPr>
                <w:rFonts w:ascii="Calibri"/>
                <w:spacing w:val="-7"/>
              </w:rPr>
              <w:t xml:space="preserve"> </w:t>
            </w:r>
            <w:r w:rsidRPr="00150EDC">
              <w:rPr>
                <w:rFonts w:ascii="Calibri"/>
              </w:rPr>
              <w:t>and</w:t>
            </w:r>
            <w:r w:rsidRPr="00150EDC">
              <w:rPr>
                <w:rFonts w:ascii="Calibri"/>
                <w:spacing w:val="-7"/>
              </w:rPr>
              <w:t xml:space="preserve"> </w:t>
            </w:r>
            <w:r w:rsidRPr="00150EDC">
              <w:rPr>
                <w:rFonts w:ascii="Calibri"/>
              </w:rPr>
              <w:t>signposting on improving numeracy skills. They receive two three-hour training sessions over the course of a fortnight together with a toolkit of materials for delivery. They then receive some ongoing support (through best practice sharing forums). This intervention has been developed over a number of years by the specialist maths charity National Numeracy. The trial aims to examine how effective Numeracy Champions are at increasing the number of employees signing up to and completing maths courses. This trial idea originates from local area investment plans.</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1B15ED" w14:textId="77777777" w:rsidR="004C7180" w:rsidRPr="00150EDC" w:rsidRDefault="004C7180">
            <w:pPr>
              <w:pStyle w:val="TableParagraph"/>
              <w:spacing w:before="0" w:line="240" w:lineRule="auto"/>
              <w:ind w:left="0"/>
            </w:pPr>
          </w:p>
          <w:p w14:paraId="0F24F280" w14:textId="77777777" w:rsidR="004C7180" w:rsidRPr="00150EDC" w:rsidRDefault="004C7180">
            <w:pPr>
              <w:pStyle w:val="TableParagraph"/>
              <w:spacing w:before="0" w:line="240" w:lineRule="auto"/>
              <w:ind w:left="0"/>
            </w:pPr>
          </w:p>
          <w:p w14:paraId="1777E455" w14:textId="77777777" w:rsidR="004C7180" w:rsidRPr="00150EDC" w:rsidRDefault="004C7180">
            <w:pPr>
              <w:pStyle w:val="TableParagraph"/>
              <w:spacing w:before="0" w:line="240" w:lineRule="auto"/>
              <w:ind w:left="0"/>
            </w:pPr>
          </w:p>
          <w:p w14:paraId="6D7F3D75" w14:textId="77777777" w:rsidR="004C7180" w:rsidRPr="00150EDC" w:rsidRDefault="004C7180">
            <w:pPr>
              <w:pStyle w:val="TableParagraph"/>
              <w:spacing w:before="0" w:line="240" w:lineRule="auto"/>
              <w:ind w:left="0"/>
            </w:pPr>
          </w:p>
          <w:p w14:paraId="4565B4A1" w14:textId="77777777" w:rsidR="004C7180" w:rsidRPr="00150EDC" w:rsidRDefault="004C7180">
            <w:pPr>
              <w:pStyle w:val="TableParagraph"/>
              <w:spacing w:before="0" w:line="240" w:lineRule="auto"/>
              <w:ind w:left="0"/>
            </w:pPr>
          </w:p>
          <w:p w14:paraId="69CF5988" w14:textId="77777777" w:rsidR="004C7180" w:rsidRPr="00150EDC" w:rsidRDefault="004C7180">
            <w:pPr>
              <w:pStyle w:val="TableParagraph"/>
              <w:spacing w:before="0" w:line="240" w:lineRule="auto"/>
              <w:ind w:left="0"/>
            </w:pPr>
          </w:p>
          <w:p w14:paraId="52AA9677" w14:textId="77777777" w:rsidR="004C7180" w:rsidRPr="00150EDC" w:rsidRDefault="004C7180">
            <w:pPr>
              <w:pStyle w:val="TableParagraph"/>
              <w:spacing w:before="0" w:line="240" w:lineRule="auto"/>
              <w:ind w:left="0"/>
            </w:pPr>
          </w:p>
          <w:p w14:paraId="755B27D2" w14:textId="77777777" w:rsidR="004C7180" w:rsidRPr="00150EDC" w:rsidRDefault="004C7180">
            <w:pPr>
              <w:pStyle w:val="TableParagraph"/>
              <w:spacing w:before="0" w:line="240" w:lineRule="auto"/>
              <w:ind w:left="0"/>
            </w:pPr>
          </w:p>
          <w:p w14:paraId="4513A644" w14:textId="77777777" w:rsidR="004C7180" w:rsidRPr="00150EDC" w:rsidRDefault="004C7180">
            <w:pPr>
              <w:pStyle w:val="TableParagraph"/>
              <w:spacing w:before="0" w:line="240" w:lineRule="auto"/>
              <w:ind w:left="0"/>
            </w:pPr>
          </w:p>
          <w:p w14:paraId="1DDE45AA" w14:textId="77777777" w:rsidR="004C7180" w:rsidRPr="00150EDC" w:rsidRDefault="004C7180">
            <w:pPr>
              <w:pStyle w:val="TableParagraph"/>
              <w:spacing w:before="10" w:line="240" w:lineRule="auto"/>
              <w:ind w:left="0"/>
              <w:rPr>
                <w:sz w:val="24"/>
              </w:rPr>
            </w:pPr>
          </w:p>
          <w:p w14:paraId="73233EC1" w14:textId="77777777" w:rsidR="004C7180" w:rsidRPr="00150EDC" w:rsidRDefault="00CF0754">
            <w:pPr>
              <w:pStyle w:val="TableParagraph"/>
              <w:spacing w:before="0" w:line="240" w:lineRule="auto"/>
              <w:ind w:left="112" w:right="233"/>
              <w:rPr>
                <w:rFonts w:ascii="Calibri"/>
              </w:rPr>
            </w:pPr>
            <w:r w:rsidRPr="00150EDC">
              <w:rPr>
                <w:rFonts w:ascii="Calibri"/>
                <w:spacing w:val="-2"/>
              </w:rPr>
              <w:t>National Numeracy</w:t>
            </w: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2B7491" w14:textId="77777777" w:rsidR="004C7180" w:rsidRPr="00150EDC" w:rsidRDefault="004C7180">
            <w:pPr>
              <w:pStyle w:val="TableParagraph"/>
              <w:spacing w:before="0" w:line="240" w:lineRule="auto"/>
              <w:ind w:left="0"/>
            </w:pPr>
          </w:p>
          <w:p w14:paraId="60239B4B" w14:textId="77777777" w:rsidR="004C7180" w:rsidRPr="00150EDC" w:rsidRDefault="004C7180">
            <w:pPr>
              <w:pStyle w:val="TableParagraph"/>
              <w:spacing w:before="0" w:line="240" w:lineRule="auto"/>
              <w:ind w:left="0"/>
            </w:pPr>
          </w:p>
          <w:p w14:paraId="51096410" w14:textId="77777777" w:rsidR="004C7180" w:rsidRPr="00150EDC" w:rsidRDefault="004C7180">
            <w:pPr>
              <w:pStyle w:val="TableParagraph"/>
              <w:spacing w:before="0" w:line="240" w:lineRule="auto"/>
              <w:ind w:left="0"/>
            </w:pPr>
          </w:p>
          <w:p w14:paraId="70508F27" w14:textId="77777777" w:rsidR="004C7180" w:rsidRPr="00150EDC" w:rsidRDefault="004C7180">
            <w:pPr>
              <w:pStyle w:val="TableParagraph"/>
              <w:spacing w:before="0" w:line="240" w:lineRule="auto"/>
              <w:ind w:left="0"/>
            </w:pPr>
          </w:p>
          <w:p w14:paraId="5D90C719" w14:textId="77777777" w:rsidR="004C7180" w:rsidRPr="00150EDC" w:rsidRDefault="004C7180">
            <w:pPr>
              <w:pStyle w:val="TableParagraph"/>
              <w:spacing w:before="0" w:line="240" w:lineRule="auto"/>
              <w:ind w:left="0"/>
            </w:pPr>
          </w:p>
          <w:p w14:paraId="1632F4B5" w14:textId="77777777" w:rsidR="004C7180" w:rsidRPr="00150EDC" w:rsidRDefault="004C7180">
            <w:pPr>
              <w:pStyle w:val="TableParagraph"/>
              <w:spacing w:before="0" w:line="240" w:lineRule="auto"/>
              <w:ind w:left="0"/>
            </w:pPr>
          </w:p>
          <w:p w14:paraId="3BE28970" w14:textId="77777777" w:rsidR="004C7180" w:rsidRPr="00150EDC" w:rsidRDefault="004C7180">
            <w:pPr>
              <w:pStyle w:val="TableParagraph"/>
              <w:spacing w:before="0" w:line="240" w:lineRule="auto"/>
              <w:ind w:left="0"/>
            </w:pPr>
          </w:p>
          <w:p w14:paraId="7CBF64AD" w14:textId="77777777" w:rsidR="004C7180" w:rsidRPr="00150EDC" w:rsidRDefault="004C7180">
            <w:pPr>
              <w:pStyle w:val="TableParagraph"/>
              <w:spacing w:before="0" w:line="240" w:lineRule="auto"/>
              <w:ind w:left="0"/>
            </w:pPr>
          </w:p>
          <w:p w14:paraId="55863CA1" w14:textId="77777777" w:rsidR="004C7180" w:rsidRPr="00150EDC" w:rsidRDefault="00CF0754">
            <w:pPr>
              <w:pStyle w:val="TableParagraph"/>
              <w:spacing w:before="136" w:line="240" w:lineRule="auto"/>
              <w:ind w:left="112" w:right="108"/>
              <w:rPr>
                <w:rFonts w:ascii="Calibri"/>
              </w:rPr>
            </w:pPr>
            <w:r w:rsidRPr="00150EDC">
              <w:rPr>
                <w:rFonts w:ascii="Calibri"/>
                <w:spacing w:val="-2"/>
              </w:rPr>
              <w:t xml:space="preserve">National </w:t>
            </w:r>
            <w:r w:rsidRPr="00150EDC">
              <w:rPr>
                <w:rFonts w:ascii="Calibri"/>
                <w:spacing w:val="-6"/>
              </w:rPr>
              <w:t xml:space="preserve">ly </w:t>
            </w:r>
            <w:r w:rsidRPr="00150EDC">
              <w:rPr>
                <w:rFonts w:ascii="Calibri"/>
                <w:spacing w:val="-2"/>
              </w:rPr>
              <w:t>Commis sioned Trial</w:t>
            </w:r>
          </w:p>
        </w:tc>
        <w:tc>
          <w:tcPr>
            <w:tcW w:w="29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D0C907" w14:textId="77777777" w:rsidR="004C7180" w:rsidRPr="00150EDC" w:rsidRDefault="00CF0754">
            <w:pPr>
              <w:pStyle w:val="TableParagraph"/>
              <w:numPr>
                <w:ilvl w:val="0"/>
                <w:numId w:val="17"/>
              </w:numPr>
              <w:tabs>
                <w:tab w:val="left" w:pos="226"/>
              </w:tabs>
              <w:spacing w:before="13" w:line="240" w:lineRule="auto"/>
              <w:ind w:right="116" w:firstLine="0"/>
              <w:rPr>
                <w:rFonts w:ascii="Calibri" w:hAnsi="Calibri"/>
              </w:rPr>
            </w:pPr>
            <w:r w:rsidRPr="00150EDC">
              <w:rPr>
                <w:rFonts w:ascii="Calibri" w:hAnsi="Calibri"/>
              </w:rPr>
              <w:t>What is the difference in take-up of maths provision by employees aged 19+ without Level 2 maths qualifications in workplaces with specially trained numeracy champions, in comparison to comparable employees in control workplaces</w:t>
            </w:r>
            <w:r w:rsidRPr="00150EDC">
              <w:rPr>
                <w:rFonts w:ascii="Calibri" w:hAnsi="Calibri"/>
                <w:spacing w:val="-13"/>
              </w:rPr>
              <w:t xml:space="preserve"> </w:t>
            </w:r>
            <w:r w:rsidRPr="00150EDC">
              <w:rPr>
                <w:rFonts w:ascii="Calibri" w:hAnsi="Calibri"/>
              </w:rPr>
              <w:t>receiving</w:t>
            </w:r>
            <w:r w:rsidRPr="00150EDC">
              <w:rPr>
                <w:rFonts w:ascii="Calibri" w:hAnsi="Calibri"/>
                <w:spacing w:val="-12"/>
              </w:rPr>
              <w:t xml:space="preserve"> </w:t>
            </w:r>
            <w:r w:rsidRPr="00150EDC">
              <w:rPr>
                <w:rFonts w:ascii="Calibri" w:hAnsi="Calibri"/>
              </w:rPr>
              <w:t>business- as-usual treatment?</w:t>
            </w:r>
          </w:p>
          <w:p w14:paraId="79BCD187" w14:textId="77777777" w:rsidR="004C7180" w:rsidRPr="00150EDC" w:rsidRDefault="00CF0754">
            <w:pPr>
              <w:pStyle w:val="TableParagraph"/>
              <w:numPr>
                <w:ilvl w:val="0"/>
                <w:numId w:val="17"/>
              </w:numPr>
              <w:tabs>
                <w:tab w:val="left" w:pos="225"/>
              </w:tabs>
              <w:spacing w:before="0" w:line="240" w:lineRule="auto"/>
              <w:ind w:left="108" w:right="116" w:firstLine="0"/>
              <w:rPr>
                <w:rFonts w:ascii="Calibri" w:hAnsi="Calibri"/>
              </w:rPr>
            </w:pPr>
            <w:r w:rsidRPr="00150EDC">
              <w:rPr>
                <w:rFonts w:ascii="Calibri" w:hAnsi="Calibri"/>
              </w:rPr>
              <w:t>What is the difference in completion</w:t>
            </w:r>
            <w:r w:rsidRPr="00150EDC">
              <w:rPr>
                <w:rFonts w:ascii="Calibri" w:hAnsi="Calibri"/>
                <w:spacing w:val="-7"/>
              </w:rPr>
              <w:t xml:space="preserve"> </w:t>
            </w:r>
            <w:r w:rsidRPr="00150EDC">
              <w:rPr>
                <w:rFonts w:ascii="Calibri" w:hAnsi="Calibri"/>
              </w:rPr>
              <w:t>of</w:t>
            </w:r>
            <w:r w:rsidRPr="00150EDC">
              <w:rPr>
                <w:rFonts w:ascii="Calibri" w:hAnsi="Calibri"/>
                <w:spacing w:val="-7"/>
              </w:rPr>
              <w:t xml:space="preserve"> </w:t>
            </w:r>
            <w:r w:rsidRPr="00150EDC">
              <w:rPr>
                <w:rFonts w:ascii="Calibri" w:hAnsi="Calibri"/>
              </w:rPr>
              <w:t>maths</w:t>
            </w:r>
            <w:r w:rsidRPr="00150EDC">
              <w:rPr>
                <w:rFonts w:ascii="Calibri" w:hAnsi="Calibri"/>
                <w:spacing w:val="-4"/>
              </w:rPr>
              <w:t xml:space="preserve"> </w:t>
            </w:r>
            <w:r w:rsidRPr="00150EDC">
              <w:rPr>
                <w:rFonts w:ascii="Calibri" w:hAnsi="Calibri"/>
              </w:rPr>
              <w:t>provision by employees aged 19+ without Level 2 maths qualifications in workplaces with specially trained numeracy champions, in comparison to comparable employees in control workplaces</w:t>
            </w:r>
            <w:r w:rsidRPr="00150EDC">
              <w:rPr>
                <w:rFonts w:ascii="Calibri" w:hAnsi="Calibri"/>
                <w:spacing w:val="-13"/>
              </w:rPr>
              <w:t xml:space="preserve"> </w:t>
            </w:r>
            <w:r w:rsidRPr="00150EDC">
              <w:rPr>
                <w:rFonts w:ascii="Calibri" w:hAnsi="Calibri"/>
              </w:rPr>
              <w:t>receiving</w:t>
            </w:r>
            <w:r w:rsidRPr="00150EDC">
              <w:rPr>
                <w:rFonts w:ascii="Calibri" w:hAnsi="Calibri"/>
                <w:spacing w:val="-12"/>
              </w:rPr>
              <w:t xml:space="preserve"> </w:t>
            </w:r>
            <w:r w:rsidRPr="00150EDC">
              <w:rPr>
                <w:rFonts w:ascii="Calibri" w:hAnsi="Calibri"/>
              </w:rPr>
              <w:t>business-</w:t>
            </w:r>
          </w:p>
          <w:p w14:paraId="5BBF2CE4" w14:textId="77777777" w:rsidR="004C7180" w:rsidRPr="00150EDC" w:rsidRDefault="00CF0754">
            <w:pPr>
              <w:pStyle w:val="TableParagraph"/>
              <w:spacing w:before="0" w:line="264" w:lineRule="exact"/>
              <w:ind w:left="109"/>
              <w:rPr>
                <w:rFonts w:ascii="Calibri"/>
              </w:rPr>
            </w:pPr>
            <w:r w:rsidRPr="00150EDC">
              <w:rPr>
                <w:rFonts w:ascii="Calibri"/>
              </w:rPr>
              <w:t>as-usual</w:t>
            </w:r>
            <w:r w:rsidRPr="00150EDC">
              <w:rPr>
                <w:rFonts w:ascii="Calibri"/>
                <w:spacing w:val="-5"/>
              </w:rPr>
              <w:t xml:space="preserve"> </w:t>
            </w:r>
            <w:r w:rsidRPr="00150EDC">
              <w:rPr>
                <w:rFonts w:ascii="Calibri"/>
                <w:spacing w:val="-2"/>
              </w:rPr>
              <w:t>treatment?</w:t>
            </w:r>
          </w:p>
        </w:tc>
      </w:tr>
      <w:tr w:rsidR="004569EE" w:rsidRPr="007D3144" w14:paraId="2443FAF2" w14:textId="77777777" w:rsidTr="46D4E117">
        <w:trPr>
          <w:trHeight w:val="5402"/>
        </w:trPr>
        <w:tc>
          <w:tcPr>
            <w:tcW w:w="1277" w:type="dxa"/>
            <w:tcBorders>
              <w:top w:val="single" w:sz="4" w:space="0" w:color="000000" w:themeColor="text1"/>
              <w:bottom w:val="single" w:sz="4" w:space="0" w:color="000000" w:themeColor="text1"/>
              <w:right w:val="single" w:sz="4" w:space="0" w:color="000000" w:themeColor="text1"/>
            </w:tcBorders>
          </w:tcPr>
          <w:p w14:paraId="76B32E6D" w14:textId="77777777" w:rsidR="004C7180" w:rsidRPr="00150EDC" w:rsidRDefault="004C7180">
            <w:pPr>
              <w:pStyle w:val="TableParagraph"/>
              <w:spacing w:before="0" w:line="240" w:lineRule="auto"/>
              <w:ind w:left="0"/>
            </w:pPr>
          </w:p>
          <w:p w14:paraId="5309134B" w14:textId="77777777" w:rsidR="004C7180" w:rsidRPr="00150EDC" w:rsidRDefault="004C7180">
            <w:pPr>
              <w:pStyle w:val="TableParagraph"/>
              <w:spacing w:before="0" w:line="240" w:lineRule="auto"/>
              <w:ind w:left="0"/>
            </w:pPr>
          </w:p>
          <w:p w14:paraId="1E35FC4A" w14:textId="77777777" w:rsidR="004C7180" w:rsidRPr="00150EDC" w:rsidRDefault="004C7180">
            <w:pPr>
              <w:pStyle w:val="TableParagraph"/>
              <w:spacing w:before="0" w:line="240" w:lineRule="auto"/>
              <w:ind w:left="0"/>
            </w:pPr>
          </w:p>
          <w:p w14:paraId="181C66C5" w14:textId="77777777" w:rsidR="004C7180" w:rsidRPr="00150EDC" w:rsidRDefault="004C7180">
            <w:pPr>
              <w:pStyle w:val="TableParagraph"/>
              <w:spacing w:before="0" w:line="240" w:lineRule="auto"/>
              <w:ind w:left="0"/>
            </w:pPr>
          </w:p>
          <w:p w14:paraId="149F5CC6" w14:textId="77777777" w:rsidR="004C7180" w:rsidRPr="00150EDC" w:rsidRDefault="004C7180">
            <w:pPr>
              <w:pStyle w:val="TableParagraph"/>
              <w:spacing w:before="0" w:line="240" w:lineRule="auto"/>
              <w:ind w:left="0"/>
            </w:pPr>
          </w:p>
          <w:p w14:paraId="40B6DD2A" w14:textId="77777777" w:rsidR="004C7180" w:rsidRPr="00150EDC" w:rsidRDefault="004C7180">
            <w:pPr>
              <w:pStyle w:val="TableParagraph"/>
              <w:spacing w:before="0" w:line="240" w:lineRule="auto"/>
              <w:ind w:left="0"/>
            </w:pPr>
          </w:p>
          <w:p w14:paraId="424F67CE" w14:textId="77777777" w:rsidR="004C7180" w:rsidRPr="00150EDC" w:rsidRDefault="004C7180">
            <w:pPr>
              <w:pStyle w:val="TableParagraph"/>
              <w:spacing w:before="0" w:line="240" w:lineRule="auto"/>
              <w:ind w:left="0"/>
            </w:pPr>
          </w:p>
          <w:p w14:paraId="7B4E119D" w14:textId="77777777" w:rsidR="004C7180" w:rsidRPr="00150EDC" w:rsidRDefault="004C7180">
            <w:pPr>
              <w:pStyle w:val="TableParagraph"/>
              <w:spacing w:before="0" w:line="240" w:lineRule="auto"/>
              <w:ind w:left="0"/>
            </w:pPr>
          </w:p>
          <w:p w14:paraId="7D06B4AF" w14:textId="77777777" w:rsidR="004C7180" w:rsidRPr="00150EDC" w:rsidRDefault="00CF0754">
            <w:pPr>
              <w:pStyle w:val="TableParagraph"/>
              <w:spacing w:before="142" w:line="237" w:lineRule="auto"/>
              <w:ind w:left="107"/>
              <w:rPr>
                <w:rFonts w:ascii="Calibri"/>
                <w:b/>
              </w:rPr>
            </w:pPr>
            <w:r w:rsidRPr="00150EDC">
              <w:rPr>
                <w:rFonts w:ascii="Calibri"/>
                <w:b/>
                <w:spacing w:val="-2"/>
              </w:rPr>
              <w:t>Numeracy Champions</w:t>
            </w:r>
          </w:p>
          <w:p w14:paraId="054E9923" w14:textId="77777777" w:rsidR="004C7180" w:rsidRPr="00150EDC" w:rsidRDefault="00CF0754">
            <w:pPr>
              <w:pStyle w:val="TableParagraph"/>
              <w:spacing w:before="1" w:line="240" w:lineRule="auto"/>
              <w:ind w:left="107" w:right="603"/>
              <w:rPr>
                <w:rFonts w:ascii="Calibri"/>
                <w:b/>
              </w:rPr>
            </w:pPr>
            <w:r w:rsidRPr="00150EDC">
              <w:rPr>
                <w:rFonts w:ascii="Calibri"/>
                <w:b/>
              </w:rPr>
              <w:t>-</w:t>
            </w:r>
            <w:r w:rsidRPr="00150EDC">
              <w:rPr>
                <w:rFonts w:ascii="Calibri"/>
                <w:b/>
                <w:spacing w:val="-13"/>
              </w:rPr>
              <w:t xml:space="preserve"> </w:t>
            </w:r>
            <w:r w:rsidRPr="00150EDC">
              <w:rPr>
                <w:rFonts w:ascii="Calibri"/>
                <w:b/>
              </w:rPr>
              <w:t xml:space="preserve">local </w:t>
            </w:r>
            <w:r w:rsidRPr="00150EDC">
              <w:rPr>
                <w:rFonts w:ascii="Calibri"/>
                <w:b/>
                <w:spacing w:val="-2"/>
              </w:rPr>
              <w:t>areas</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55750F" w14:textId="77777777" w:rsidR="004C7180" w:rsidRPr="00150EDC" w:rsidRDefault="004C7180">
            <w:pPr>
              <w:pStyle w:val="TableParagraph"/>
              <w:spacing w:before="0" w:line="240" w:lineRule="auto"/>
              <w:ind w:left="0"/>
            </w:pPr>
          </w:p>
          <w:p w14:paraId="707893C4" w14:textId="77777777" w:rsidR="004C7180" w:rsidRPr="00150EDC" w:rsidRDefault="004C7180">
            <w:pPr>
              <w:pStyle w:val="TableParagraph"/>
              <w:spacing w:before="0" w:line="240" w:lineRule="auto"/>
              <w:ind w:left="0"/>
            </w:pPr>
          </w:p>
          <w:p w14:paraId="5CC9C5CE" w14:textId="77777777" w:rsidR="004C7180" w:rsidRPr="00150EDC" w:rsidRDefault="004C7180">
            <w:pPr>
              <w:pStyle w:val="TableParagraph"/>
              <w:spacing w:before="3" w:line="240" w:lineRule="auto"/>
              <w:ind w:left="0"/>
              <w:rPr>
                <w:sz w:val="27"/>
              </w:rPr>
            </w:pPr>
          </w:p>
          <w:p w14:paraId="43B65690" w14:textId="77777777" w:rsidR="004C7180" w:rsidRPr="00150EDC" w:rsidRDefault="00CF0754">
            <w:pPr>
              <w:pStyle w:val="TableParagraph"/>
              <w:spacing w:before="0" w:line="240" w:lineRule="auto"/>
              <w:ind w:left="112" w:right="76"/>
              <w:rPr>
                <w:rFonts w:ascii="Calibri"/>
              </w:rPr>
            </w:pPr>
            <w:r w:rsidRPr="00150EDC">
              <w:rPr>
                <w:rFonts w:ascii="Calibri"/>
              </w:rPr>
              <w:t>This trial will look at the impact of 'Numeracy Champions' in local areas. Numeracy Champions are volunteers who provide support and signposting on improving numeracy skills. They receive two three- hour training sessions over the course of a fortnight together</w:t>
            </w:r>
            <w:r w:rsidRPr="00150EDC">
              <w:rPr>
                <w:rFonts w:ascii="Calibri"/>
                <w:spacing w:val="-4"/>
              </w:rPr>
              <w:t xml:space="preserve"> </w:t>
            </w:r>
            <w:r w:rsidRPr="00150EDC">
              <w:rPr>
                <w:rFonts w:ascii="Calibri"/>
              </w:rPr>
              <w:t>with</w:t>
            </w:r>
            <w:r w:rsidRPr="00150EDC">
              <w:rPr>
                <w:rFonts w:ascii="Calibri"/>
                <w:spacing w:val="-5"/>
              </w:rPr>
              <w:t xml:space="preserve"> </w:t>
            </w:r>
            <w:r w:rsidRPr="00150EDC">
              <w:rPr>
                <w:rFonts w:ascii="Calibri"/>
              </w:rPr>
              <w:t>a</w:t>
            </w:r>
            <w:r w:rsidRPr="00150EDC">
              <w:rPr>
                <w:rFonts w:ascii="Calibri"/>
                <w:spacing w:val="-6"/>
              </w:rPr>
              <w:t xml:space="preserve"> </w:t>
            </w:r>
            <w:r w:rsidRPr="00150EDC">
              <w:rPr>
                <w:rFonts w:ascii="Calibri"/>
              </w:rPr>
              <w:t>toolkit</w:t>
            </w:r>
            <w:r w:rsidRPr="00150EDC">
              <w:rPr>
                <w:rFonts w:ascii="Calibri"/>
                <w:spacing w:val="-6"/>
              </w:rPr>
              <w:t xml:space="preserve"> </w:t>
            </w:r>
            <w:r w:rsidRPr="00150EDC">
              <w:rPr>
                <w:rFonts w:ascii="Calibri"/>
              </w:rPr>
              <w:t>of</w:t>
            </w:r>
            <w:r w:rsidRPr="00150EDC">
              <w:rPr>
                <w:rFonts w:ascii="Calibri"/>
                <w:spacing w:val="-9"/>
              </w:rPr>
              <w:t xml:space="preserve"> </w:t>
            </w:r>
            <w:r w:rsidRPr="00150EDC">
              <w:rPr>
                <w:rFonts w:ascii="Calibri"/>
              </w:rPr>
              <w:t>materials</w:t>
            </w:r>
            <w:r w:rsidRPr="00150EDC">
              <w:rPr>
                <w:rFonts w:ascii="Calibri"/>
                <w:spacing w:val="-4"/>
              </w:rPr>
              <w:t xml:space="preserve"> </w:t>
            </w:r>
            <w:r w:rsidRPr="00150EDC">
              <w:rPr>
                <w:rFonts w:ascii="Calibri"/>
              </w:rPr>
              <w:t>for</w:t>
            </w:r>
            <w:r w:rsidRPr="00150EDC">
              <w:rPr>
                <w:rFonts w:ascii="Calibri"/>
                <w:spacing w:val="-4"/>
              </w:rPr>
              <w:t xml:space="preserve"> </w:t>
            </w:r>
            <w:r w:rsidRPr="00150EDC">
              <w:rPr>
                <w:rFonts w:ascii="Calibri"/>
              </w:rPr>
              <w:t>delivery.</w:t>
            </w:r>
            <w:r w:rsidRPr="00150EDC">
              <w:rPr>
                <w:rFonts w:ascii="Calibri"/>
                <w:spacing w:val="-4"/>
              </w:rPr>
              <w:t xml:space="preserve"> </w:t>
            </w:r>
            <w:r w:rsidRPr="00150EDC">
              <w:rPr>
                <w:rFonts w:ascii="Calibri"/>
              </w:rPr>
              <w:t>They then receive some ongoing support (through best practice sharing forums). This intervention has been developed over a number of years by the specialist maths charity National Numeracy. The trial aims to examine how effective Numeracy Champions are at increasing the number of employees signing up to and completing maths courses. This trial idea originates from local area investment plans.</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3AD47" w14:textId="77777777" w:rsidR="004C7180" w:rsidRPr="00150EDC" w:rsidRDefault="004C7180">
            <w:pPr>
              <w:pStyle w:val="TableParagraph"/>
              <w:spacing w:before="0" w:line="240" w:lineRule="auto"/>
              <w:ind w:left="0"/>
            </w:pPr>
          </w:p>
          <w:p w14:paraId="04BB43E7" w14:textId="77777777" w:rsidR="004C7180" w:rsidRPr="00150EDC" w:rsidRDefault="004C7180">
            <w:pPr>
              <w:pStyle w:val="TableParagraph"/>
              <w:spacing w:before="0" w:line="240" w:lineRule="auto"/>
              <w:ind w:left="0"/>
            </w:pPr>
          </w:p>
          <w:p w14:paraId="1F28B6DB" w14:textId="77777777" w:rsidR="004C7180" w:rsidRPr="00150EDC" w:rsidRDefault="004C7180">
            <w:pPr>
              <w:pStyle w:val="TableParagraph"/>
              <w:spacing w:before="0" w:line="240" w:lineRule="auto"/>
              <w:ind w:left="0"/>
            </w:pPr>
          </w:p>
          <w:p w14:paraId="77FBC366" w14:textId="77777777" w:rsidR="004C7180" w:rsidRPr="00150EDC" w:rsidRDefault="004C7180">
            <w:pPr>
              <w:pStyle w:val="TableParagraph"/>
              <w:spacing w:before="0" w:line="240" w:lineRule="auto"/>
              <w:ind w:left="0"/>
            </w:pPr>
          </w:p>
          <w:p w14:paraId="10842A13" w14:textId="77777777" w:rsidR="004C7180" w:rsidRPr="00150EDC" w:rsidRDefault="004C7180">
            <w:pPr>
              <w:pStyle w:val="TableParagraph"/>
              <w:spacing w:before="0" w:line="240" w:lineRule="auto"/>
              <w:ind w:left="0"/>
            </w:pPr>
          </w:p>
          <w:p w14:paraId="394EE4DB" w14:textId="77777777" w:rsidR="004C7180" w:rsidRPr="00150EDC" w:rsidRDefault="004C7180">
            <w:pPr>
              <w:pStyle w:val="TableParagraph"/>
              <w:spacing w:before="0" w:line="240" w:lineRule="auto"/>
              <w:ind w:left="0"/>
            </w:pPr>
          </w:p>
          <w:p w14:paraId="22AE8A1D" w14:textId="77777777" w:rsidR="004C7180" w:rsidRPr="00150EDC" w:rsidRDefault="004C7180">
            <w:pPr>
              <w:pStyle w:val="TableParagraph"/>
              <w:spacing w:before="0" w:line="240" w:lineRule="auto"/>
              <w:ind w:left="0"/>
            </w:pPr>
          </w:p>
          <w:p w14:paraId="1CF54B3C" w14:textId="77777777" w:rsidR="004C7180" w:rsidRPr="00150EDC" w:rsidRDefault="004C7180">
            <w:pPr>
              <w:pStyle w:val="TableParagraph"/>
              <w:spacing w:before="0" w:line="240" w:lineRule="auto"/>
              <w:ind w:left="0"/>
            </w:pPr>
          </w:p>
          <w:p w14:paraId="09540854" w14:textId="77777777" w:rsidR="004C7180" w:rsidRPr="00150EDC" w:rsidRDefault="004C7180">
            <w:pPr>
              <w:pStyle w:val="TableParagraph"/>
              <w:spacing w:before="0" w:line="240" w:lineRule="auto"/>
              <w:ind w:left="0"/>
            </w:pPr>
          </w:p>
          <w:p w14:paraId="77D03596" w14:textId="77777777" w:rsidR="004C7180" w:rsidRPr="00150EDC" w:rsidRDefault="00CF0754">
            <w:pPr>
              <w:pStyle w:val="TableParagraph"/>
              <w:spacing w:before="152" w:line="240" w:lineRule="auto"/>
              <w:ind w:left="111" w:right="233"/>
              <w:rPr>
                <w:rFonts w:ascii="Calibri"/>
              </w:rPr>
            </w:pPr>
            <w:r w:rsidRPr="00150EDC">
              <w:rPr>
                <w:rFonts w:ascii="Calibri"/>
                <w:spacing w:val="-2"/>
              </w:rPr>
              <w:t>National Numeracy</w:t>
            </w: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A4A8BE" w14:textId="77777777" w:rsidR="004C7180" w:rsidRPr="00150EDC" w:rsidRDefault="004C7180">
            <w:pPr>
              <w:pStyle w:val="TableParagraph"/>
              <w:spacing w:before="0" w:line="240" w:lineRule="auto"/>
              <w:ind w:left="0"/>
            </w:pPr>
          </w:p>
          <w:p w14:paraId="0CEA2E35" w14:textId="77777777" w:rsidR="004C7180" w:rsidRPr="00150EDC" w:rsidRDefault="004C7180">
            <w:pPr>
              <w:pStyle w:val="TableParagraph"/>
              <w:spacing w:before="0" w:line="240" w:lineRule="auto"/>
              <w:ind w:left="0"/>
            </w:pPr>
          </w:p>
          <w:p w14:paraId="0EFB6F0A" w14:textId="77777777" w:rsidR="004C7180" w:rsidRPr="00150EDC" w:rsidRDefault="004C7180">
            <w:pPr>
              <w:pStyle w:val="TableParagraph"/>
              <w:spacing w:before="0" w:line="240" w:lineRule="auto"/>
              <w:ind w:left="0"/>
            </w:pPr>
          </w:p>
          <w:p w14:paraId="5EDF868E" w14:textId="77777777" w:rsidR="004C7180" w:rsidRPr="00150EDC" w:rsidRDefault="004C7180">
            <w:pPr>
              <w:pStyle w:val="TableParagraph"/>
              <w:spacing w:before="0" w:line="240" w:lineRule="auto"/>
              <w:ind w:left="0"/>
            </w:pPr>
          </w:p>
          <w:p w14:paraId="4039F111" w14:textId="77777777" w:rsidR="004C7180" w:rsidRPr="00150EDC" w:rsidRDefault="004C7180">
            <w:pPr>
              <w:pStyle w:val="TableParagraph"/>
              <w:spacing w:before="0" w:line="240" w:lineRule="auto"/>
              <w:ind w:left="0"/>
            </w:pPr>
          </w:p>
          <w:p w14:paraId="09E20035" w14:textId="77777777" w:rsidR="004C7180" w:rsidRPr="00150EDC" w:rsidRDefault="004C7180">
            <w:pPr>
              <w:pStyle w:val="TableParagraph"/>
              <w:spacing w:before="0" w:line="240" w:lineRule="auto"/>
              <w:ind w:left="0"/>
            </w:pPr>
          </w:p>
          <w:p w14:paraId="3E2E9B5D" w14:textId="77777777" w:rsidR="004C7180" w:rsidRPr="00150EDC" w:rsidRDefault="004C7180">
            <w:pPr>
              <w:pStyle w:val="TableParagraph"/>
              <w:spacing w:before="0" w:line="240" w:lineRule="auto"/>
              <w:ind w:left="0"/>
            </w:pPr>
          </w:p>
          <w:p w14:paraId="1D0B1BC6" w14:textId="77777777" w:rsidR="004C7180" w:rsidRPr="00150EDC" w:rsidRDefault="004C7180">
            <w:pPr>
              <w:pStyle w:val="TableParagraph"/>
              <w:spacing w:before="4" w:line="240" w:lineRule="auto"/>
              <w:ind w:left="0"/>
            </w:pPr>
          </w:p>
          <w:p w14:paraId="4E353E5D" w14:textId="77777777" w:rsidR="004C7180" w:rsidRPr="00150EDC" w:rsidRDefault="00CF0754">
            <w:pPr>
              <w:pStyle w:val="TableParagraph"/>
              <w:spacing w:before="0" w:line="240" w:lineRule="auto"/>
              <w:ind w:left="111" w:right="108"/>
              <w:rPr>
                <w:rFonts w:ascii="Calibri"/>
              </w:rPr>
            </w:pPr>
            <w:r w:rsidRPr="00150EDC">
              <w:rPr>
                <w:rFonts w:ascii="Calibri"/>
                <w:spacing w:val="-2"/>
              </w:rPr>
              <w:t xml:space="preserve">National </w:t>
            </w:r>
            <w:r w:rsidRPr="00150EDC">
              <w:rPr>
                <w:rFonts w:ascii="Calibri"/>
                <w:spacing w:val="-6"/>
              </w:rPr>
              <w:t xml:space="preserve">ly </w:t>
            </w:r>
            <w:r w:rsidRPr="00150EDC">
              <w:rPr>
                <w:rFonts w:ascii="Calibri"/>
                <w:spacing w:val="-2"/>
              </w:rPr>
              <w:t>Commis sioned Trial</w:t>
            </w:r>
          </w:p>
        </w:tc>
        <w:tc>
          <w:tcPr>
            <w:tcW w:w="29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A661E8" w14:textId="77777777" w:rsidR="004C7180" w:rsidRPr="00150EDC" w:rsidRDefault="00CF0754">
            <w:pPr>
              <w:pStyle w:val="TableParagraph"/>
              <w:numPr>
                <w:ilvl w:val="0"/>
                <w:numId w:val="16"/>
              </w:numPr>
              <w:tabs>
                <w:tab w:val="left" w:pos="226"/>
              </w:tabs>
              <w:spacing w:before="13" w:line="240" w:lineRule="auto"/>
              <w:ind w:right="155" w:firstLine="0"/>
              <w:rPr>
                <w:rFonts w:ascii="Calibri" w:hAnsi="Calibri"/>
              </w:rPr>
            </w:pPr>
            <w:r w:rsidRPr="00150EDC">
              <w:rPr>
                <w:rFonts w:ascii="Calibri" w:hAnsi="Calibri"/>
              </w:rPr>
              <w:t>What is the difference in take-up of maths provision by adults aged</w:t>
            </w:r>
            <w:r w:rsidRPr="00150EDC">
              <w:rPr>
                <w:rFonts w:ascii="Calibri" w:hAnsi="Calibri"/>
                <w:spacing w:val="-1"/>
              </w:rPr>
              <w:t xml:space="preserve"> </w:t>
            </w:r>
            <w:r w:rsidRPr="00150EDC">
              <w:rPr>
                <w:rFonts w:ascii="Calibri" w:hAnsi="Calibri"/>
              </w:rPr>
              <w:t>19+</w:t>
            </w:r>
            <w:r w:rsidRPr="00150EDC">
              <w:rPr>
                <w:rFonts w:ascii="Calibri" w:hAnsi="Calibri"/>
                <w:spacing w:val="-2"/>
              </w:rPr>
              <w:t xml:space="preserve"> </w:t>
            </w:r>
            <w:r w:rsidRPr="00150EDC">
              <w:rPr>
                <w:rFonts w:ascii="Calibri" w:hAnsi="Calibri"/>
              </w:rPr>
              <w:t>without</w:t>
            </w:r>
            <w:r w:rsidRPr="00150EDC">
              <w:rPr>
                <w:rFonts w:ascii="Calibri" w:hAnsi="Calibri"/>
                <w:spacing w:val="-2"/>
              </w:rPr>
              <w:t xml:space="preserve"> </w:t>
            </w:r>
            <w:r w:rsidRPr="00150EDC">
              <w:rPr>
                <w:rFonts w:ascii="Calibri" w:hAnsi="Calibri"/>
              </w:rPr>
              <w:t>Level 2</w:t>
            </w:r>
            <w:r w:rsidRPr="00150EDC">
              <w:rPr>
                <w:rFonts w:ascii="Calibri" w:hAnsi="Calibri"/>
                <w:spacing w:val="-10"/>
              </w:rPr>
              <w:t xml:space="preserve"> </w:t>
            </w:r>
            <w:r w:rsidRPr="00150EDC">
              <w:rPr>
                <w:rFonts w:ascii="Calibri" w:hAnsi="Calibri"/>
              </w:rPr>
              <w:t>maths</w:t>
            </w:r>
            <w:r w:rsidRPr="00150EDC">
              <w:rPr>
                <w:rFonts w:ascii="Calibri" w:hAnsi="Calibri"/>
                <w:spacing w:val="-9"/>
              </w:rPr>
              <w:t xml:space="preserve"> </w:t>
            </w:r>
            <w:r w:rsidRPr="00150EDC">
              <w:rPr>
                <w:rFonts w:ascii="Calibri" w:hAnsi="Calibri"/>
              </w:rPr>
              <w:t>qualifications</w:t>
            </w:r>
            <w:r w:rsidRPr="00150EDC">
              <w:rPr>
                <w:rFonts w:ascii="Calibri" w:hAnsi="Calibri"/>
                <w:spacing w:val="-9"/>
              </w:rPr>
              <w:t xml:space="preserve"> </w:t>
            </w:r>
            <w:r w:rsidRPr="00150EDC">
              <w:rPr>
                <w:rFonts w:ascii="Calibri" w:hAnsi="Calibri"/>
              </w:rPr>
              <w:t>in</w:t>
            </w:r>
            <w:r w:rsidRPr="00150EDC">
              <w:rPr>
                <w:rFonts w:ascii="Calibri" w:hAnsi="Calibri"/>
                <w:spacing w:val="-12"/>
              </w:rPr>
              <w:t xml:space="preserve"> </w:t>
            </w:r>
            <w:r w:rsidRPr="00150EDC">
              <w:rPr>
                <w:rFonts w:ascii="Calibri" w:hAnsi="Calibri"/>
              </w:rPr>
              <w:t xml:space="preserve">areas with specially trained numeracy champions, in comparison to comparable people in control areas receiving business-as-usual </w:t>
            </w:r>
            <w:r w:rsidRPr="00150EDC">
              <w:rPr>
                <w:rFonts w:ascii="Calibri" w:hAnsi="Calibri"/>
                <w:spacing w:val="-2"/>
              </w:rPr>
              <w:t>treatment?</w:t>
            </w:r>
          </w:p>
          <w:p w14:paraId="6906DF3D" w14:textId="77777777" w:rsidR="004C7180" w:rsidRPr="00150EDC" w:rsidRDefault="00CF0754">
            <w:pPr>
              <w:pStyle w:val="TableParagraph"/>
              <w:numPr>
                <w:ilvl w:val="0"/>
                <w:numId w:val="16"/>
              </w:numPr>
              <w:tabs>
                <w:tab w:val="left" w:pos="225"/>
              </w:tabs>
              <w:spacing w:before="0" w:line="240" w:lineRule="auto"/>
              <w:ind w:left="108" w:right="132" w:firstLine="0"/>
              <w:rPr>
                <w:rFonts w:ascii="Calibri" w:hAnsi="Calibri"/>
              </w:rPr>
            </w:pPr>
            <w:r w:rsidRPr="00150EDC">
              <w:rPr>
                <w:rFonts w:ascii="Calibri" w:hAnsi="Calibri"/>
              </w:rPr>
              <w:t>What is the difference in completion</w:t>
            </w:r>
            <w:r w:rsidRPr="00150EDC">
              <w:rPr>
                <w:rFonts w:ascii="Calibri" w:hAnsi="Calibri"/>
                <w:spacing w:val="-12"/>
              </w:rPr>
              <w:t xml:space="preserve"> </w:t>
            </w:r>
            <w:r w:rsidRPr="00150EDC">
              <w:rPr>
                <w:rFonts w:ascii="Calibri" w:hAnsi="Calibri"/>
              </w:rPr>
              <w:t>of</w:t>
            </w:r>
            <w:r w:rsidRPr="00150EDC">
              <w:rPr>
                <w:rFonts w:ascii="Calibri" w:hAnsi="Calibri"/>
                <w:spacing w:val="-12"/>
              </w:rPr>
              <w:t xml:space="preserve"> </w:t>
            </w:r>
            <w:r w:rsidRPr="00150EDC">
              <w:rPr>
                <w:rFonts w:ascii="Calibri" w:hAnsi="Calibri"/>
              </w:rPr>
              <w:t>maths</w:t>
            </w:r>
            <w:r w:rsidRPr="00150EDC">
              <w:rPr>
                <w:rFonts w:ascii="Calibri" w:hAnsi="Calibri"/>
                <w:spacing w:val="-10"/>
              </w:rPr>
              <w:t xml:space="preserve"> </w:t>
            </w:r>
            <w:r w:rsidRPr="00150EDC">
              <w:rPr>
                <w:rFonts w:ascii="Calibri" w:hAnsi="Calibri"/>
              </w:rPr>
              <w:t>provision by adults aged 19+ without Level</w:t>
            </w:r>
            <w:r w:rsidRPr="00150EDC">
              <w:rPr>
                <w:rFonts w:ascii="Calibri" w:hAnsi="Calibri"/>
                <w:spacing w:val="-1"/>
              </w:rPr>
              <w:t xml:space="preserve"> </w:t>
            </w:r>
            <w:r w:rsidRPr="00150EDC">
              <w:rPr>
                <w:rFonts w:ascii="Calibri" w:hAnsi="Calibri"/>
              </w:rPr>
              <w:t>2 maths qualifications in areas with specially trained numeracy champions, in comparison to comparable people in control areas receiving business-as-usual</w:t>
            </w:r>
          </w:p>
          <w:p w14:paraId="47AF1EF8" w14:textId="77777777" w:rsidR="004C7180" w:rsidRPr="00150EDC" w:rsidRDefault="00CF0754">
            <w:pPr>
              <w:pStyle w:val="TableParagraph"/>
              <w:spacing w:before="0" w:line="266" w:lineRule="exact"/>
              <w:ind w:left="109"/>
              <w:rPr>
                <w:rFonts w:ascii="Calibri"/>
              </w:rPr>
            </w:pPr>
            <w:r w:rsidRPr="00150EDC">
              <w:rPr>
                <w:rFonts w:ascii="Calibri"/>
                <w:spacing w:val="-2"/>
              </w:rPr>
              <w:t>treatment?</w:t>
            </w:r>
          </w:p>
        </w:tc>
      </w:tr>
    </w:tbl>
    <w:p w14:paraId="5EFECA23" w14:textId="77777777" w:rsidR="004C7180" w:rsidRPr="00150EDC" w:rsidRDefault="004C7180">
      <w:pPr>
        <w:spacing w:line="266" w:lineRule="exact"/>
        <w:rPr>
          <w:rFonts w:ascii="Calibri"/>
        </w:rPr>
        <w:sectPr w:rsidR="004C7180" w:rsidRPr="00150EDC">
          <w:headerReference w:type="default" r:id="rId113"/>
          <w:footerReference w:type="default" r:id="rId114"/>
          <w:pgSz w:w="11910" w:h="16840"/>
          <w:pgMar w:top="1160" w:right="0" w:bottom="1440" w:left="40" w:header="715" w:footer="1259" w:gutter="0"/>
          <w:cols w:space="720"/>
        </w:sectPr>
      </w:pPr>
    </w:p>
    <w:p w14:paraId="6F9D91B4" w14:textId="77777777" w:rsidR="004C7180" w:rsidRPr="00150EDC" w:rsidRDefault="004C7180">
      <w:pPr>
        <w:pStyle w:val="BodyText"/>
        <w:spacing w:before="7"/>
        <w:rPr>
          <w:sz w:val="23"/>
        </w:rPr>
      </w:pPr>
    </w:p>
    <w:tbl>
      <w:tblPr>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7"/>
        <w:gridCol w:w="4961"/>
        <w:gridCol w:w="1277"/>
        <w:gridCol w:w="994"/>
        <w:gridCol w:w="2988"/>
      </w:tblGrid>
      <w:tr w:rsidR="004569EE" w:rsidRPr="007D3144" w14:paraId="4F4DD042" w14:textId="77777777">
        <w:trPr>
          <w:trHeight w:val="8891"/>
        </w:trPr>
        <w:tc>
          <w:tcPr>
            <w:tcW w:w="1277" w:type="dxa"/>
            <w:tcBorders>
              <w:left w:val="single" w:sz="8" w:space="0" w:color="000000"/>
            </w:tcBorders>
          </w:tcPr>
          <w:p w14:paraId="0AEBA34D" w14:textId="77777777" w:rsidR="004C7180" w:rsidRPr="00150EDC" w:rsidRDefault="004C7180">
            <w:pPr>
              <w:pStyle w:val="TableParagraph"/>
              <w:spacing w:before="0" w:line="240" w:lineRule="auto"/>
              <w:ind w:left="0"/>
            </w:pPr>
          </w:p>
          <w:p w14:paraId="0CE46CA9" w14:textId="77777777" w:rsidR="004C7180" w:rsidRPr="00150EDC" w:rsidRDefault="004C7180">
            <w:pPr>
              <w:pStyle w:val="TableParagraph"/>
              <w:spacing w:before="0" w:line="240" w:lineRule="auto"/>
              <w:ind w:left="0"/>
            </w:pPr>
          </w:p>
          <w:p w14:paraId="32293EE6" w14:textId="77777777" w:rsidR="004C7180" w:rsidRPr="00150EDC" w:rsidRDefault="004C7180">
            <w:pPr>
              <w:pStyle w:val="TableParagraph"/>
              <w:spacing w:before="0" w:line="240" w:lineRule="auto"/>
              <w:ind w:left="0"/>
            </w:pPr>
          </w:p>
          <w:p w14:paraId="735EDD89" w14:textId="77777777" w:rsidR="004C7180" w:rsidRPr="00150EDC" w:rsidRDefault="004C7180">
            <w:pPr>
              <w:pStyle w:val="TableParagraph"/>
              <w:spacing w:before="0" w:line="240" w:lineRule="auto"/>
              <w:ind w:left="0"/>
            </w:pPr>
          </w:p>
          <w:p w14:paraId="1965C4C3" w14:textId="77777777" w:rsidR="004C7180" w:rsidRPr="00150EDC" w:rsidRDefault="004C7180">
            <w:pPr>
              <w:pStyle w:val="TableParagraph"/>
              <w:spacing w:before="0" w:line="240" w:lineRule="auto"/>
              <w:ind w:left="0"/>
            </w:pPr>
          </w:p>
          <w:p w14:paraId="703A2735" w14:textId="77777777" w:rsidR="004C7180" w:rsidRPr="00150EDC" w:rsidRDefault="004C7180">
            <w:pPr>
              <w:pStyle w:val="TableParagraph"/>
              <w:spacing w:before="0" w:line="240" w:lineRule="auto"/>
              <w:ind w:left="0"/>
            </w:pPr>
          </w:p>
          <w:p w14:paraId="01FF0934" w14:textId="77777777" w:rsidR="004C7180" w:rsidRPr="00150EDC" w:rsidRDefault="004C7180">
            <w:pPr>
              <w:pStyle w:val="TableParagraph"/>
              <w:spacing w:before="0" w:line="240" w:lineRule="auto"/>
              <w:ind w:left="0"/>
            </w:pPr>
          </w:p>
          <w:p w14:paraId="3010C790" w14:textId="77777777" w:rsidR="004C7180" w:rsidRPr="00150EDC" w:rsidRDefault="004C7180">
            <w:pPr>
              <w:pStyle w:val="TableParagraph"/>
              <w:spacing w:before="0" w:line="240" w:lineRule="auto"/>
              <w:ind w:left="0"/>
            </w:pPr>
          </w:p>
          <w:p w14:paraId="0EC4B795" w14:textId="77777777" w:rsidR="004C7180" w:rsidRPr="00150EDC" w:rsidRDefault="004C7180">
            <w:pPr>
              <w:pStyle w:val="TableParagraph"/>
              <w:spacing w:before="0" w:line="240" w:lineRule="auto"/>
              <w:ind w:left="0"/>
            </w:pPr>
          </w:p>
          <w:p w14:paraId="2BC3988F" w14:textId="77777777" w:rsidR="004C7180" w:rsidRPr="00150EDC" w:rsidRDefault="004C7180">
            <w:pPr>
              <w:pStyle w:val="TableParagraph"/>
              <w:spacing w:before="0" w:line="240" w:lineRule="auto"/>
              <w:ind w:left="0"/>
            </w:pPr>
          </w:p>
          <w:p w14:paraId="09C08017" w14:textId="77777777" w:rsidR="004C7180" w:rsidRPr="00150EDC" w:rsidRDefault="004C7180">
            <w:pPr>
              <w:pStyle w:val="TableParagraph"/>
              <w:spacing w:before="0" w:line="240" w:lineRule="auto"/>
              <w:ind w:left="0"/>
            </w:pPr>
          </w:p>
          <w:p w14:paraId="38FEB98A" w14:textId="77777777" w:rsidR="004C7180" w:rsidRPr="00150EDC" w:rsidRDefault="004C7180">
            <w:pPr>
              <w:pStyle w:val="TableParagraph"/>
              <w:spacing w:before="0" w:line="240" w:lineRule="auto"/>
              <w:ind w:left="0"/>
            </w:pPr>
          </w:p>
          <w:p w14:paraId="1F20AC0A" w14:textId="77777777" w:rsidR="004C7180" w:rsidRPr="00150EDC" w:rsidRDefault="004C7180">
            <w:pPr>
              <w:pStyle w:val="TableParagraph"/>
              <w:spacing w:before="0" w:line="240" w:lineRule="auto"/>
              <w:ind w:left="0"/>
            </w:pPr>
          </w:p>
          <w:p w14:paraId="4374CB5B" w14:textId="77777777" w:rsidR="004C7180" w:rsidRPr="00150EDC" w:rsidRDefault="004C7180">
            <w:pPr>
              <w:pStyle w:val="TableParagraph"/>
              <w:spacing w:before="0" w:line="240" w:lineRule="auto"/>
              <w:ind w:left="0"/>
            </w:pPr>
          </w:p>
          <w:p w14:paraId="72AA4616" w14:textId="77777777" w:rsidR="004C7180" w:rsidRPr="00150EDC" w:rsidRDefault="004C7180">
            <w:pPr>
              <w:pStyle w:val="TableParagraph"/>
              <w:spacing w:before="0" w:line="240" w:lineRule="auto"/>
              <w:ind w:left="0"/>
            </w:pPr>
          </w:p>
          <w:p w14:paraId="094FA6A4" w14:textId="77777777" w:rsidR="004C7180" w:rsidRPr="00150EDC" w:rsidRDefault="004C7180">
            <w:pPr>
              <w:pStyle w:val="TableParagraph"/>
              <w:spacing w:before="6" w:line="240" w:lineRule="auto"/>
              <w:ind w:left="0"/>
              <w:rPr>
                <w:sz w:val="21"/>
              </w:rPr>
            </w:pPr>
          </w:p>
          <w:p w14:paraId="4FB8A3BD" w14:textId="77777777" w:rsidR="004C7180" w:rsidRPr="00150EDC" w:rsidRDefault="00CF0754">
            <w:pPr>
              <w:pStyle w:val="TableParagraph"/>
              <w:spacing w:before="1" w:line="240" w:lineRule="auto"/>
              <w:ind w:left="107"/>
              <w:rPr>
                <w:rFonts w:ascii="Calibri"/>
                <w:b/>
              </w:rPr>
            </w:pPr>
            <w:r w:rsidRPr="00150EDC">
              <w:rPr>
                <w:rFonts w:ascii="Calibri"/>
                <w:b/>
                <w:spacing w:val="-2"/>
              </w:rPr>
              <w:t>Confidence building workshops</w:t>
            </w:r>
          </w:p>
        </w:tc>
        <w:tc>
          <w:tcPr>
            <w:tcW w:w="4961" w:type="dxa"/>
          </w:tcPr>
          <w:p w14:paraId="796E7268" w14:textId="77777777" w:rsidR="004C7180" w:rsidRPr="00150EDC" w:rsidRDefault="004C7180">
            <w:pPr>
              <w:pStyle w:val="TableParagraph"/>
              <w:spacing w:before="0" w:line="240" w:lineRule="auto"/>
              <w:ind w:left="0"/>
            </w:pPr>
          </w:p>
          <w:p w14:paraId="1D27FD70" w14:textId="77777777" w:rsidR="004C7180" w:rsidRPr="00150EDC" w:rsidRDefault="004C7180">
            <w:pPr>
              <w:pStyle w:val="TableParagraph"/>
              <w:spacing w:before="0" w:line="240" w:lineRule="auto"/>
              <w:ind w:left="0"/>
            </w:pPr>
          </w:p>
          <w:p w14:paraId="22327CB1" w14:textId="77777777" w:rsidR="004C7180" w:rsidRPr="00150EDC" w:rsidRDefault="004C7180">
            <w:pPr>
              <w:pStyle w:val="TableParagraph"/>
              <w:spacing w:before="0" w:line="240" w:lineRule="auto"/>
              <w:ind w:left="0"/>
            </w:pPr>
          </w:p>
          <w:p w14:paraId="05E66553" w14:textId="77777777" w:rsidR="004C7180" w:rsidRPr="00150EDC" w:rsidRDefault="004C7180">
            <w:pPr>
              <w:pStyle w:val="TableParagraph"/>
              <w:spacing w:before="0" w:line="240" w:lineRule="auto"/>
              <w:ind w:left="0"/>
            </w:pPr>
          </w:p>
          <w:p w14:paraId="72C9DE84" w14:textId="77777777" w:rsidR="004C7180" w:rsidRPr="00150EDC" w:rsidRDefault="004C7180">
            <w:pPr>
              <w:pStyle w:val="TableParagraph"/>
              <w:spacing w:before="0" w:line="240" w:lineRule="auto"/>
              <w:ind w:left="0"/>
            </w:pPr>
          </w:p>
          <w:p w14:paraId="456A6517" w14:textId="77777777" w:rsidR="004C7180" w:rsidRPr="00150EDC" w:rsidRDefault="004C7180">
            <w:pPr>
              <w:pStyle w:val="TableParagraph"/>
              <w:spacing w:before="0" w:line="240" w:lineRule="auto"/>
              <w:ind w:left="0"/>
            </w:pPr>
          </w:p>
          <w:p w14:paraId="1DB4F601" w14:textId="77777777" w:rsidR="004C7180" w:rsidRPr="00150EDC" w:rsidRDefault="004C7180">
            <w:pPr>
              <w:pStyle w:val="TableParagraph"/>
              <w:spacing w:before="0" w:line="240" w:lineRule="auto"/>
              <w:ind w:left="0"/>
            </w:pPr>
          </w:p>
          <w:p w14:paraId="424E4540" w14:textId="77777777" w:rsidR="004C7180" w:rsidRPr="00150EDC" w:rsidRDefault="004C7180">
            <w:pPr>
              <w:pStyle w:val="TableParagraph"/>
              <w:spacing w:before="0" w:line="240" w:lineRule="auto"/>
              <w:ind w:left="0"/>
            </w:pPr>
          </w:p>
          <w:p w14:paraId="4FC38DA1" w14:textId="77777777" w:rsidR="004C7180" w:rsidRPr="00150EDC" w:rsidRDefault="004C7180">
            <w:pPr>
              <w:pStyle w:val="TableParagraph"/>
              <w:spacing w:before="0" w:line="240" w:lineRule="auto"/>
              <w:ind w:left="0"/>
            </w:pPr>
          </w:p>
          <w:p w14:paraId="1C1D2A1D" w14:textId="77777777" w:rsidR="004C7180" w:rsidRPr="00150EDC" w:rsidRDefault="004C7180">
            <w:pPr>
              <w:pStyle w:val="TableParagraph"/>
              <w:spacing w:before="0" w:line="240" w:lineRule="auto"/>
              <w:ind w:left="0"/>
            </w:pPr>
          </w:p>
          <w:p w14:paraId="25E55F19" w14:textId="77777777" w:rsidR="004C7180" w:rsidRPr="00150EDC" w:rsidRDefault="00CF0754">
            <w:pPr>
              <w:pStyle w:val="TableParagraph"/>
              <w:spacing w:before="169" w:line="240" w:lineRule="auto"/>
              <w:ind w:left="112" w:right="76"/>
              <w:rPr>
                <w:rFonts w:ascii="Calibri"/>
              </w:rPr>
            </w:pPr>
            <w:r w:rsidRPr="00150EDC">
              <w:rPr>
                <w:rFonts w:ascii="Calibri"/>
              </w:rPr>
              <w:t>This trial will look at the impact of confidence building workshops on participants' maths confidence, and their sign up and completion of maths</w:t>
            </w:r>
            <w:r w:rsidRPr="00150EDC">
              <w:rPr>
                <w:rFonts w:ascii="Calibri"/>
                <w:spacing w:val="-2"/>
              </w:rPr>
              <w:t xml:space="preserve"> </w:t>
            </w:r>
            <w:r w:rsidRPr="00150EDC">
              <w:rPr>
                <w:rFonts w:ascii="Calibri"/>
              </w:rPr>
              <w:t>courses. Hour long</w:t>
            </w:r>
            <w:r w:rsidRPr="00150EDC">
              <w:rPr>
                <w:rFonts w:ascii="Calibri"/>
                <w:spacing w:val="-1"/>
              </w:rPr>
              <w:t xml:space="preserve"> </w:t>
            </w:r>
            <w:r w:rsidRPr="00150EDC">
              <w:rPr>
                <w:rFonts w:ascii="Calibri"/>
              </w:rPr>
              <w:t>confidence</w:t>
            </w:r>
            <w:r w:rsidRPr="00150EDC">
              <w:rPr>
                <w:rFonts w:ascii="Calibri"/>
                <w:spacing w:val="-2"/>
              </w:rPr>
              <w:t xml:space="preserve"> </w:t>
            </w:r>
            <w:r w:rsidRPr="00150EDC">
              <w:rPr>
                <w:rFonts w:ascii="Calibri"/>
              </w:rPr>
              <w:t>workshops will be</w:t>
            </w:r>
            <w:r w:rsidRPr="00150EDC">
              <w:rPr>
                <w:rFonts w:ascii="Calibri"/>
                <w:spacing w:val="-4"/>
              </w:rPr>
              <w:t xml:space="preserve"> </w:t>
            </w:r>
            <w:r w:rsidRPr="00150EDC">
              <w:rPr>
                <w:rFonts w:ascii="Calibri"/>
              </w:rPr>
              <w:t>delivered</w:t>
            </w:r>
            <w:r w:rsidRPr="00150EDC">
              <w:rPr>
                <w:rFonts w:ascii="Calibri"/>
                <w:spacing w:val="-5"/>
              </w:rPr>
              <w:t xml:space="preserve"> </w:t>
            </w:r>
            <w:r w:rsidRPr="00150EDC">
              <w:rPr>
                <w:rFonts w:ascii="Calibri"/>
              </w:rPr>
              <w:t>by</w:t>
            </w:r>
            <w:r w:rsidRPr="00150EDC">
              <w:rPr>
                <w:rFonts w:ascii="Calibri"/>
                <w:spacing w:val="40"/>
              </w:rPr>
              <w:t xml:space="preserve"> </w:t>
            </w:r>
            <w:r w:rsidRPr="00150EDC">
              <w:rPr>
                <w:rFonts w:ascii="Calibri"/>
              </w:rPr>
              <w:t>Numeracy</w:t>
            </w:r>
            <w:r w:rsidRPr="00150EDC">
              <w:rPr>
                <w:rFonts w:ascii="Calibri"/>
                <w:spacing w:val="-5"/>
              </w:rPr>
              <w:t xml:space="preserve"> </w:t>
            </w:r>
            <w:r w:rsidRPr="00150EDC">
              <w:rPr>
                <w:rFonts w:ascii="Calibri"/>
              </w:rPr>
              <w:t>Champions</w:t>
            </w:r>
            <w:r w:rsidRPr="00150EDC">
              <w:rPr>
                <w:rFonts w:ascii="Calibri"/>
                <w:spacing w:val="-6"/>
              </w:rPr>
              <w:t xml:space="preserve"> </w:t>
            </w:r>
            <w:r w:rsidRPr="00150EDC">
              <w:rPr>
                <w:rFonts w:ascii="Calibri"/>
              </w:rPr>
              <w:t>who</w:t>
            </w:r>
            <w:r w:rsidRPr="00150EDC">
              <w:rPr>
                <w:rFonts w:ascii="Calibri"/>
                <w:spacing w:val="-5"/>
              </w:rPr>
              <w:t xml:space="preserve"> </w:t>
            </w:r>
            <w:r w:rsidRPr="00150EDC">
              <w:rPr>
                <w:rFonts w:ascii="Calibri"/>
              </w:rPr>
              <w:t>will</w:t>
            </w:r>
            <w:r w:rsidRPr="00150EDC">
              <w:rPr>
                <w:rFonts w:ascii="Calibri"/>
                <w:spacing w:val="-4"/>
              </w:rPr>
              <w:t xml:space="preserve"> </w:t>
            </w:r>
            <w:r w:rsidRPr="00150EDC">
              <w:rPr>
                <w:rFonts w:ascii="Calibri"/>
              </w:rPr>
              <w:t>have received two three-hour training sessions over the course of a fortnight together with a toolkit of materials for delivery. Numeracy Champions trained by National Numeracy, have delivered hundreds of these workshops to date. It is anticipated that delivery will take place in person to groups of attendees. This trial idea originates from local area investment plans.</w:t>
            </w:r>
          </w:p>
        </w:tc>
        <w:tc>
          <w:tcPr>
            <w:tcW w:w="1277" w:type="dxa"/>
          </w:tcPr>
          <w:p w14:paraId="6B7DFD46" w14:textId="77777777" w:rsidR="004C7180" w:rsidRPr="00150EDC" w:rsidRDefault="004C7180">
            <w:pPr>
              <w:pStyle w:val="TableParagraph"/>
              <w:spacing w:before="0" w:line="240" w:lineRule="auto"/>
              <w:ind w:left="0"/>
            </w:pPr>
          </w:p>
          <w:p w14:paraId="5B6A534D" w14:textId="77777777" w:rsidR="004C7180" w:rsidRPr="00150EDC" w:rsidRDefault="004C7180">
            <w:pPr>
              <w:pStyle w:val="TableParagraph"/>
              <w:spacing w:before="0" w:line="240" w:lineRule="auto"/>
              <w:ind w:left="0"/>
            </w:pPr>
          </w:p>
          <w:p w14:paraId="190A87F8" w14:textId="77777777" w:rsidR="004C7180" w:rsidRPr="00150EDC" w:rsidRDefault="004C7180">
            <w:pPr>
              <w:pStyle w:val="TableParagraph"/>
              <w:spacing w:before="0" w:line="240" w:lineRule="auto"/>
              <w:ind w:left="0"/>
            </w:pPr>
          </w:p>
          <w:p w14:paraId="440EE426" w14:textId="77777777" w:rsidR="004C7180" w:rsidRPr="00150EDC" w:rsidRDefault="004C7180">
            <w:pPr>
              <w:pStyle w:val="TableParagraph"/>
              <w:spacing w:before="0" w:line="240" w:lineRule="auto"/>
              <w:ind w:left="0"/>
            </w:pPr>
          </w:p>
          <w:p w14:paraId="0A536258" w14:textId="77777777" w:rsidR="004C7180" w:rsidRPr="00150EDC" w:rsidRDefault="004C7180">
            <w:pPr>
              <w:pStyle w:val="TableParagraph"/>
              <w:spacing w:before="0" w:line="240" w:lineRule="auto"/>
              <w:ind w:left="0"/>
            </w:pPr>
          </w:p>
          <w:p w14:paraId="3BF089F5" w14:textId="77777777" w:rsidR="004C7180" w:rsidRPr="00150EDC" w:rsidRDefault="004C7180">
            <w:pPr>
              <w:pStyle w:val="TableParagraph"/>
              <w:spacing w:before="0" w:line="240" w:lineRule="auto"/>
              <w:ind w:left="0"/>
            </w:pPr>
          </w:p>
          <w:p w14:paraId="15E95A7E" w14:textId="77777777" w:rsidR="004C7180" w:rsidRPr="00150EDC" w:rsidRDefault="004C7180">
            <w:pPr>
              <w:pStyle w:val="TableParagraph"/>
              <w:spacing w:before="0" w:line="240" w:lineRule="auto"/>
              <w:ind w:left="0"/>
            </w:pPr>
          </w:p>
          <w:p w14:paraId="34414920" w14:textId="77777777" w:rsidR="004C7180" w:rsidRPr="00150EDC" w:rsidRDefault="004C7180">
            <w:pPr>
              <w:pStyle w:val="TableParagraph"/>
              <w:spacing w:before="0" w:line="240" w:lineRule="auto"/>
              <w:ind w:left="0"/>
            </w:pPr>
          </w:p>
          <w:p w14:paraId="479F10B0" w14:textId="77777777" w:rsidR="004C7180" w:rsidRPr="00150EDC" w:rsidRDefault="004C7180">
            <w:pPr>
              <w:pStyle w:val="TableParagraph"/>
              <w:spacing w:before="0" w:line="240" w:lineRule="auto"/>
              <w:ind w:left="0"/>
            </w:pPr>
          </w:p>
          <w:p w14:paraId="3C501564" w14:textId="77777777" w:rsidR="004C7180" w:rsidRPr="00150EDC" w:rsidRDefault="004C7180">
            <w:pPr>
              <w:pStyle w:val="TableParagraph"/>
              <w:spacing w:before="0" w:line="240" w:lineRule="auto"/>
              <w:ind w:left="0"/>
            </w:pPr>
          </w:p>
          <w:p w14:paraId="675174EB" w14:textId="77777777" w:rsidR="004C7180" w:rsidRPr="00150EDC" w:rsidRDefault="004C7180">
            <w:pPr>
              <w:pStyle w:val="TableParagraph"/>
              <w:spacing w:before="0" w:line="240" w:lineRule="auto"/>
              <w:ind w:left="0"/>
            </w:pPr>
          </w:p>
          <w:p w14:paraId="3AFF422C" w14:textId="77777777" w:rsidR="004C7180" w:rsidRPr="00150EDC" w:rsidRDefault="004C7180">
            <w:pPr>
              <w:pStyle w:val="TableParagraph"/>
              <w:spacing w:before="0" w:line="240" w:lineRule="auto"/>
              <w:ind w:left="0"/>
            </w:pPr>
          </w:p>
          <w:p w14:paraId="6D9A73EA" w14:textId="77777777" w:rsidR="004C7180" w:rsidRPr="00150EDC" w:rsidRDefault="004C7180">
            <w:pPr>
              <w:pStyle w:val="TableParagraph"/>
              <w:spacing w:before="0" w:line="240" w:lineRule="auto"/>
              <w:ind w:left="0"/>
            </w:pPr>
          </w:p>
          <w:p w14:paraId="595DC15B" w14:textId="77777777" w:rsidR="004C7180" w:rsidRPr="00150EDC" w:rsidRDefault="004C7180">
            <w:pPr>
              <w:pStyle w:val="TableParagraph"/>
              <w:spacing w:before="0" w:line="240" w:lineRule="auto"/>
              <w:ind w:left="0"/>
            </w:pPr>
          </w:p>
          <w:p w14:paraId="7CCFA8E1" w14:textId="77777777" w:rsidR="004C7180" w:rsidRPr="00150EDC" w:rsidRDefault="004C7180">
            <w:pPr>
              <w:pStyle w:val="TableParagraph"/>
              <w:spacing w:before="0" w:line="240" w:lineRule="auto"/>
              <w:ind w:left="0"/>
            </w:pPr>
          </w:p>
          <w:p w14:paraId="458EC45D" w14:textId="77777777" w:rsidR="004C7180" w:rsidRPr="00150EDC" w:rsidRDefault="004C7180">
            <w:pPr>
              <w:pStyle w:val="TableParagraph"/>
              <w:spacing w:before="0" w:line="240" w:lineRule="auto"/>
              <w:ind w:left="0"/>
            </w:pPr>
          </w:p>
          <w:p w14:paraId="110FEABF" w14:textId="77777777" w:rsidR="004C7180" w:rsidRPr="00150EDC" w:rsidRDefault="00CF0754">
            <w:pPr>
              <w:pStyle w:val="TableParagraph"/>
              <w:spacing w:before="129" w:line="240" w:lineRule="auto"/>
              <w:ind w:left="112" w:right="233"/>
              <w:rPr>
                <w:rFonts w:ascii="Calibri"/>
              </w:rPr>
            </w:pPr>
            <w:r w:rsidRPr="00150EDC">
              <w:rPr>
                <w:rFonts w:ascii="Calibri"/>
                <w:spacing w:val="-2"/>
              </w:rPr>
              <w:t>National Numeracy</w:t>
            </w:r>
          </w:p>
        </w:tc>
        <w:tc>
          <w:tcPr>
            <w:tcW w:w="994" w:type="dxa"/>
          </w:tcPr>
          <w:p w14:paraId="2AAD5563" w14:textId="77777777" w:rsidR="004C7180" w:rsidRPr="00150EDC" w:rsidRDefault="004C7180">
            <w:pPr>
              <w:pStyle w:val="TableParagraph"/>
              <w:spacing w:before="0" w:line="240" w:lineRule="auto"/>
              <w:ind w:left="0"/>
            </w:pPr>
          </w:p>
          <w:p w14:paraId="56B1930D" w14:textId="77777777" w:rsidR="004C7180" w:rsidRPr="00150EDC" w:rsidRDefault="004C7180">
            <w:pPr>
              <w:pStyle w:val="TableParagraph"/>
              <w:spacing w:before="0" w:line="240" w:lineRule="auto"/>
              <w:ind w:left="0"/>
            </w:pPr>
          </w:p>
          <w:p w14:paraId="75633CA0" w14:textId="77777777" w:rsidR="004C7180" w:rsidRPr="00150EDC" w:rsidRDefault="004C7180">
            <w:pPr>
              <w:pStyle w:val="TableParagraph"/>
              <w:spacing w:before="0" w:line="240" w:lineRule="auto"/>
              <w:ind w:left="0"/>
            </w:pPr>
          </w:p>
          <w:p w14:paraId="7B19BD55" w14:textId="77777777" w:rsidR="004C7180" w:rsidRPr="00150EDC" w:rsidRDefault="004C7180">
            <w:pPr>
              <w:pStyle w:val="TableParagraph"/>
              <w:spacing w:before="0" w:line="240" w:lineRule="auto"/>
              <w:ind w:left="0"/>
            </w:pPr>
          </w:p>
          <w:p w14:paraId="258165C9" w14:textId="77777777" w:rsidR="004C7180" w:rsidRPr="00150EDC" w:rsidRDefault="004C7180">
            <w:pPr>
              <w:pStyle w:val="TableParagraph"/>
              <w:spacing w:before="0" w:line="240" w:lineRule="auto"/>
              <w:ind w:left="0"/>
            </w:pPr>
          </w:p>
          <w:p w14:paraId="702A85E4" w14:textId="77777777" w:rsidR="004C7180" w:rsidRPr="00150EDC" w:rsidRDefault="004C7180">
            <w:pPr>
              <w:pStyle w:val="TableParagraph"/>
              <w:spacing w:before="0" w:line="240" w:lineRule="auto"/>
              <w:ind w:left="0"/>
            </w:pPr>
          </w:p>
          <w:p w14:paraId="2A5F6CAC" w14:textId="77777777" w:rsidR="004C7180" w:rsidRPr="00150EDC" w:rsidRDefault="004C7180">
            <w:pPr>
              <w:pStyle w:val="TableParagraph"/>
              <w:spacing w:before="0" w:line="240" w:lineRule="auto"/>
              <w:ind w:left="0"/>
            </w:pPr>
          </w:p>
          <w:p w14:paraId="29D8CB3E" w14:textId="77777777" w:rsidR="004C7180" w:rsidRPr="00150EDC" w:rsidRDefault="004C7180">
            <w:pPr>
              <w:pStyle w:val="TableParagraph"/>
              <w:spacing w:before="0" w:line="240" w:lineRule="auto"/>
              <w:ind w:left="0"/>
            </w:pPr>
          </w:p>
          <w:p w14:paraId="7CF9CB4F" w14:textId="77777777" w:rsidR="004C7180" w:rsidRPr="00150EDC" w:rsidRDefault="004C7180">
            <w:pPr>
              <w:pStyle w:val="TableParagraph"/>
              <w:spacing w:before="0" w:line="240" w:lineRule="auto"/>
              <w:ind w:left="0"/>
            </w:pPr>
          </w:p>
          <w:p w14:paraId="15F981F9" w14:textId="77777777" w:rsidR="004C7180" w:rsidRPr="00150EDC" w:rsidRDefault="004C7180">
            <w:pPr>
              <w:pStyle w:val="TableParagraph"/>
              <w:spacing w:before="0" w:line="240" w:lineRule="auto"/>
              <w:ind w:left="0"/>
            </w:pPr>
          </w:p>
          <w:p w14:paraId="1FFBF311" w14:textId="77777777" w:rsidR="004C7180" w:rsidRPr="00150EDC" w:rsidRDefault="004C7180">
            <w:pPr>
              <w:pStyle w:val="TableParagraph"/>
              <w:spacing w:before="0" w:line="240" w:lineRule="auto"/>
              <w:ind w:left="0"/>
            </w:pPr>
          </w:p>
          <w:p w14:paraId="1FA8A334" w14:textId="77777777" w:rsidR="004C7180" w:rsidRPr="00150EDC" w:rsidRDefault="004C7180">
            <w:pPr>
              <w:pStyle w:val="TableParagraph"/>
              <w:spacing w:before="0" w:line="240" w:lineRule="auto"/>
              <w:ind w:left="0"/>
            </w:pPr>
          </w:p>
          <w:p w14:paraId="2389B512" w14:textId="77777777" w:rsidR="004C7180" w:rsidRPr="00150EDC" w:rsidRDefault="004C7180">
            <w:pPr>
              <w:pStyle w:val="TableParagraph"/>
              <w:spacing w:before="0" w:line="240" w:lineRule="auto"/>
              <w:ind w:left="0"/>
            </w:pPr>
          </w:p>
          <w:p w14:paraId="74F42956" w14:textId="77777777" w:rsidR="004C7180" w:rsidRPr="00150EDC" w:rsidRDefault="004C7180">
            <w:pPr>
              <w:pStyle w:val="TableParagraph"/>
              <w:spacing w:before="0" w:line="240" w:lineRule="auto"/>
              <w:ind w:left="0"/>
            </w:pPr>
          </w:p>
          <w:p w14:paraId="55E2B21D" w14:textId="77777777" w:rsidR="004C7180" w:rsidRPr="00150EDC" w:rsidRDefault="004C7180">
            <w:pPr>
              <w:pStyle w:val="TableParagraph"/>
              <w:spacing w:before="1" w:line="240" w:lineRule="auto"/>
              <w:ind w:left="0"/>
              <w:rPr>
                <w:sz w:val="20"/>
              </w:rPr>
            </w:pPr>
          </w:p>
          <w:p w14:paraId="74D7F5B2" w14:textId="77777777" w:rsidR="004C7180" w:rsidRPr="00150EDC" w:rsidRDefault="00CF0754">
            <w:pPr>
              <w:pStyle w:val="TableParagraph"/>
              <w:spacing w:before="0" w:line="240" w:lineRule="auto"/>
              <w:ind w:left="112" w:right="108"/>
              <w:rPr>
                <w:rFonts w:ascii="Calibri"/>
              </w:rPr>
            </w:pPr>
            <w:r w:rsidRPr="00150EDC">
              <w:rPr>
                <w:rFonts w:ascii="Calibri"/>
                <w:spacing w:val="-2"/>
              </w:rPr>
              <w:t xml:space="preserve">National </w:t>
            </w:r>
            <w:r w:rsidRPr="00150EDC">
              <w:rPr>
                <w:rFonts w:ascii="Calibri"/>
                <w:spacing w:val="-6"/>
              </w:rPr>
              <w:t xml:space="preserve">ly </w:t>
            </w:r>
            <w:r w:rsidRPr="00150EDC">
              <w:rPr>
                <w:rFonts w:ascii="Calibri"/>
                <w:spacing w:val="-2"/>
              </w:rPr>
              <w:t>Commis sioned Trial</w:t>
            </w:r>
          </w:p>
        </w:tc>
        <w:tc>
          <w:tcPr>
            <w:tcW w:w="2988" w:type="dxa"/>
          </w:tcPr>
          <w:p w14:paraId="1BF9B4D6" w14:textId="77777777" w:rsidR="004C7180" w:rsidRPr="00150EDC" w:rsidRDefault="00CF0754">
            <w:pPr>
              <w:pStyle w:val="TableParagraph"/>
              <w:numPr>
                <w:ilvl w:val="0"/>
                <w:numId w:val="15"/>
              </w:numPr>
              <w:tabs>
                <w:tab w:val="left" w:pos="226"/>
              </w:tabs>
              <w:spacing w:before="13" w:line="240" w:lineRule="auto"/>
              <w:ind w:right="188" w:firstLine="0"/>
              <w:rPr>
                <w:rFonts w:ascii="Calibri" w:hAnsi="Calibri"/>
              </w:rPr>
            </w:pPr>
            <w:r w:rsidRPr="00150EDC">
              <w:rPr>
                <w:rFonts w:ascii="Calibri" w:hAnsi="Calibri"/>
              </w:rPr>
              <w:t>What is the difference in take-up</w:t>
            </w:r>
            <w:r w:rsidRPr="00150EDC">
              <w:rPr>
                <w:rFonts w:ascii="Calibri" w:hAnsi="Calibri"/>
                <w:spacing w:val="-8"/>
              </w:rPr>
              <w:t xml:space="preserve"> </w:t>
            </w:r>
            <w:r w:rsidRPr="00150EDC">
              <w:rPr>
                <w:rFonts w:ascii="Calibri" w:hAnsi="Calibri"/>
              </w:rPr>
              <w:t>of</w:t>
            </w:r>
            <w:r w:rsidRPr="00150EDC">
              <w:rPr>
                <w:rFonts w:ascii="Calibri" w:hAnsi="Calibri"/>
                <w:spacing w:val="-8"/>
              </w:rPr>
              <w:t xml:space="preserve"> </w:t>
            </w:r>
            <w:r w:rsidRPr="00150EDC">
              <w:rPr>
                <w:rFonts w:ascii="Calibri" w:hAnsi="Calibri"/>
              </w:rPr>
              <w:t>maths</w:t>
            </w:r>
            <w:r w:rsidRPr="00150EDC">
              <w:rPr>
                <w:rFonts w:ascii="Calibri" w:hAnsi="Calibri"/>
                <w:spacing w:val="-5"/>
              </w:rPr>
              <w:t xml:space="preserve"> </w:t>
            </w:r>
            <w:r w:rsidRPr="00150EDC">
              <w:rPr>
                <w:rFonts w:ascii="Calibri" w:hAnsi="Calibri"/>
              </w:rPr>
              <w:t>provision</w:t>
            </w:r>
            <w:r w:rsidRPr="00150EDC">
              <w:rPr>
                <w:rFonts w:ascii="Calibri" w:hAnsi="Calibri"/>
                <w:spacing w:val="-8"/>
              </w:rPr>
              <w:t xml:space="preserve"> </w:t>
            </w:r>
            <w:r w:rsidRPr="00150EDC">
              <w:rPr>
                <w:rFonts w:ascii="Calibri" w:hAnsi="Calibri"/>
              </w:rPr>
              <w:t>by adults</w:t>
            </w:r>
            <w:r w:rsidRPr="00150EDC">
              <w:rPr>
                <w:rFonts w:ascii="Calibri" w:hAnsi="Calibri"/>
                <w:spacing w:val="-8"/>
              </w:rPr>
              <w:t xml:space="preserve"> </w:t>
            </w:r>
            <w:r w:rsidRPr="00150EDC">
              <w:rPr>
                <w:rFonts w:ascii="Calibri" w:hAnsi="Calibri"/>
              </w:rPr>
              <w:t>aged</w:t>
            </w:r>
            <w:r w:rsidRPr="00150EDC">
              <w:rPr>
                <w:rFonts w:ascii="Calibri" w:hAnsi="Calibri"/>
                <w:spacing w:val="-9"/>
              </w:rPr>
              <w:t xml:space="preserve"> </w:t>
            </w:r>
            <w:r w:rsidRPr="00150EDC">
              <w:rPr>
                <w:rFonts w:ascii="Calibri" w:hAnsi="Calibri"/>
              </w:rPr>
              <w:t>19+</w:t>
            </w:r>
            <w:r w:rsidRPr="00150EDC">
              <w:rPr>
                <w:rFonts w:ascii="Calibri" w:hAnsi="Calibri"/>
                <w:spacing w:val="-10"/>
              </w:rPr>
              <w:t xml:space="preserve"> </w:t>
            </w:r>
            <w:r w:rsidRPr="00150EDC">
              <w:rPr>
                <w:rFonts w:ascii="Calibri" w:hAnsi="Calibri"/>
              </w:rPr>
              <w:t>without</w:t>
            </w:r>
            <w:r w:rsidRPr="00150EDC">
              <w:rPr>
                <w:rFonts w:ascii="Calibri" w:hAnsi="Calibri"/>
                <w:spacing w:val="-10"/>
              </w:rPr>
              <w:t xml:space="preserve"> </w:t>
            </w:r>
            <w:r w:rsidRPr="00150EDC">
              <w:rPr>
                <w:rFonts w:ascii="Calibri" w:hAnsi="Calibri"/>
              </w:rPr>
              <w:t xml:space="preserve">Level 2 maths qualifications and lacking confidence in maths who receive signposting to maths provision and participate in confidence- building workshops, in comparison to comparable adults who only receive </w:t>
            </w:r>
            <w:r w:rsidRPr="00150EDC">
              <w:rPr>
                <w:rFonts w:ascii="Calibri" w:hAnsi="Calibri"/>
                <w:spacing w:val="-2"/>
              </w:rPr>
              <w:t>signposting?</w:t>
            </w:r>
          </w:p>
          <w:p w14:paraId="559B434B" w14:textId="77777777" w:rsidR="004C7180" w:rsidRPr="00150EDC" w:rsidRDefault="00CF0754">
            <w:pPr>
              <w:pStyle w:val="TableParagraph"/>
              <w:numPr>
                <w:ilvl w:val="0"/>
                <w:numId w:val="15"/>
              </w:numPr>
              <w:tabs>
                <w:tab w:val="left" w:pos="225"/>
              </w:tabs>
              <w:spacing w:before="0" w:line="240" w:lineRule="auto"/>
              <w:ind w:left="108" w:right="188" w:firstLine="0"/>
              <w:rPr>
                <w:rFonts w:ascii="Calibri" w:hAnsi="Calibri"/>
              </w:rPr>
            </w:pPr>
            <w:r w:rsidRPr="00150EDC">
              <w:rPr>
                <w:rFonts w:ascii="Calibri" w:hAnsi="Calibri"/>
              </w:rPr>
              <w:t xml:space="preserve">What is the impact of </w:t>
            </w:r>
            <w:r w:rsidRPr="00150EDC">
              <w:rPr>
                <w:rFonts w:ascii="Calibri" w:hAnsi="Calibri"/>
                <w:spacing w:val="-2"/>
              </w:rPr>
              <w:t xml:space="preserve">confidence-building </w:t>
            </w:r>
            <w:r w:rsidRPr="00150EDC">
              <w:rPr>
                <w:rFonts w:ascii="Calibri" w:hAnsi="Calibri"/>
              </w:rPr>
              <w:t>workshops on confidence of adults</w:t>
            </w:r>
            <w:r w:rsidRPr="00150EDC">
              <w:rPr>
                <w:rFonts w:ascii="Calibri" w:hAnsi="Calibri"/>
                <w:spacing w:val="-8"/>
              </w:rPr>
              <w:t xml:space="preserve"> </w:t>
            </w:r>
            <w:r w:rsidRPr="00150EDC">
              <w:rPr>
                <w:rFonts w:ascii="Calibri" w:hAnsi="Calibri"/>
              </w:rPr>
              <w:t>aged</w:t>
            </w:r>
            <w:r w:rsidRPr="00150EDC">
              <w:rPr>
                <w:rFonts w:ascii="Calibri" w:hAnsi="Calibri"/>
                <w:spacing w:val="-9"/>
              </w:rPr>
              <w:t xml:space="preserve"> </w:t>
            </w:r>
            <w:r w:rsidRPr="00150EDC">
              <w:rPr>
                <w:rFonts w:ascii="Calibri" w:hAnsi="Calibri"/>
              </w:rPr>
              <w:t>19+</w:t>
            </w:r>
            <w:r w:rsidRPr="00150EDC">
              <w:rPr>
                <w:rFonts w:ascii="Calibri" w:hAnsi="Calibri"/>
                <w:spacing w:val="-10"/>
              </w:rPr>
              <w:t xml:space="preserve"> </w:t>
            </w:r>
            <w:r w:rsidRPr="00150EDC">
              <w:rPr>
                <w:rFonts w:ascii="Calibri" w:hAnsi="Calibri"/>
              </w:rPr>
              <w:t>without</w:t>
            </w:r>
            <w:r w:rsidRPr="00150EDC">
              <w:rPr>
                <w:rFonts w:ascii="Calibri" w:hAnsi="Calibri"/>
                <w:spacing w:val="-10"/>
              </w:rPr>
              <w:t xml:space="preserve"> </w:t>
            </w:r>
            <w:r w:rsidRPr="00150EDC">
              <w:rPr>
                <w:rFonts w:ascii="Calibri" w:hAnsi="Calibri"/>
              </w:rPr>
              <w:t>Level 2 maths qualifications and lacking confidence in maths, compared to adults who do not participate in</w:t>
            </w:r>
            <w:r w:rsidRPr="00150EDC">
              <w:rPr>
                <w:rFonts w:ascii="Calibri" w:hAnsi="Calibri"/>
                <w:spacing w:val="-3"/>
              </w:rPr>
              <w:t xml:space="preserve"> </w:t>
            </w:r>
            <w:r w:rsidRPr="00150EDC">
              <w:rPr>
                <w:rFonts w:ascii="Calibri" w:hAnsi="Calibri"/>
              </w:rPr>
              <w:t>confidence- building workshops?</w:t>
            </w:r>
          </w:p>
          <w:p w14:paraId="40716E03" w14:textId="77777777" w:rsidR="004C7180" w:rsidRPr="00150EDC" w:rsidRDefault="00CF0754">
            <w:pPr>
              <w:pStyle w:val="TableParagraph"/>
              <w:numPr>
                <w:ilvl w:val="0"/>
                <w:numId w:val="15"/>
              </w:numPr>
              <w:tabs>
                <w:tab w:val="left" w:pos="225"/>
              </w:tabs>
              <w:spacing w:before="0" w:line="240" w:lineRule="auto"/>
              <w:ind w:left="108" w:right="106" w:firstLine="0"/>
              <w:rPr>
                <w:rFonts w:ascii="Calibri" w:hAnsi="Calibri"/>
              </w:rPr>
            </w:pPr>
            <w:r w:rsidRPr="00150EDC">
              <w:rPr>
                <w:rFonts w:ascii="Calibri" w:hAnsi="Calibri"/>
              </w:rPr>
              <w:t>What is the difference in completion</w:t>
            </w:r>
            <w:r w:rsidRPr="00150EDC">
              <w:rPr>
                <w:rFonts w:ascii="Calibri" w:hAnsi="Calibri"/>
                <w:spacing w:val="-4"/>
              </w:rPr>
              <w:t xml:space="preserve"> </w:t>
            </w:r>
            <w:r w:rsidRPr="00150EDC">
              <w:rPr>
                <w:rFonts w:ascii="Calibri" w:hAnsi="Calibri"/>
              </w:rPr>
              <w:t>of</w:t>
            </w:r>
            <w:r w:rsidRPr="00150EDC">
              <w:rPr>
                <w:rFonts w:ascii="Calibri" w:hAnsi="Calibri"/>
                <w:spacing w:val="-4"/>
              </w:rPr>
              <w:t xml:space="preserve"> </w:t>
            </w:r>
            <w:r w:rsidRPr="00150EDC">
              <w:rPr>
                <w:rFonts w:ascii="Calibri" w:hAnsi="Calibri"/>
              </w:rPr>
              <w:t>maths</w:t>
            </w:r>
            <w:r w:rsidRPr="00150EDC">
              <w:rPr>
                <w:rFonts w:ascii="Calibri" w:hAnsi="Calibri"/>
                <w:spacing w:val="-1"/>
              </w:rPr>
              <w:t xml:space="preserve"> </w:t>
            </w:r>
            <w:r w:rsidRPr="00150EDC">
              <w:rPr>
                <w:rFonts w:ascii="Calibri" w:hAnsi="Calibri"/>
              </w:rPr>
              <w:t>provision by adults aged 19+ without Level 2 maths qualifications and lacking confidence in maths</w:t>
            </w:r>
            <w:r w:rsidRPr="00150EDC">
              <w:rPr>
                <w:rFonts w:ascii="Calibri" w:hAnsi="Calibri"/>
                <w:spacing w:val="-13"/>
              </w:rPr>
              <w:t xml:space="preserve"> </w:t>
            </w:r>
            <w:r w:rsidRPr="00150EDC">
              <w:rPr>
                <w:rFonts w:ascii="Calibri" w:hAnsi="Calibri"/>
              </w:rPr>
              <w:t>who</w:t>
            </w:r>
            <w:r w:rsidRPr="00150EDC">
              <w:rPr>
                <w:rFonts w:ascii="Calibri" w:hAnsi="Calibri"/>
                <w:spacing w:val="-12"/>
              </w:rPr>
              <w:t xml:space="preserve"> </w:t>
            </w:r>
            <w:r w:rsidRPr="00150EDC">
              <w:rPr>
                <w:rFonts w:ascii="Calibri" w:hAnsi="Calibri"/>
              </w:rPr>
              <w:t>receive</w:t>
            </w:r>
            <w:r w:rsidRPr="00150EDC">
              <w:rPr>
                <w:rFonts w:ascii="Calibri" w:hAnsi="Calibri"/>
                <w:spacing w:val="-11"/>
              </w:rPr>
              <w:t xml:space="preserve"> </w:t>
            </w:r>
            <w:r w:rsidRPr="00150EDC">
              <w:rPr>
                <w:rFonts w:ascii="Calibri" w:hAnsi="Calibri"/>
              </w:rPr>
              <w:t>signposting to maths provision and participate in confidence- building workshops, in comparison to comparable adults who only receive</w:t>
            </w:r>
          </w:p>
          <w:p w14:paraId="5A9633CB" w14:textId="77777777" w:rsidR="004C7180" w:rsidRPr="00150EDC" w:rsidRDefault="00CF0754">
            <w:pPr>
              <w:pStyle w:val="TableParagraph"/>
              <w:spacing w:before="1" w:line="264" w:lineRule="exact"/>
              <w:ind w:left="109"/>
              <w:rPr>
                <w:rFonts w:ascii="Calibri"/>
              </w:rPr>
            </w:pPr>
            <w:r w:rsidRPr="00150EDC">
              <w:rPr>
                <w:rFonts w:ascii="Calibri"/>
                <w:spacing w:val="-2"/>
              </w:rPr>
              <w:t>signposting?</w:t>
            </w:r>
          </w:p>
        </w:tc>
      </w:tr>
      <w:tr w:rsidR="004569EE" w:rsidRPr="007D3144" w14:paraId="005B110A" w14:textId="77777777">
        <w:trPr>
          <w:trHeight w:val="4595"/>
        </w:trPr>
        <w:tc>
          <w:tcPr>
            <w:tcW w:w="1277" w:type="dxa"/>
            <w:tcBorders>
              <w:left w:val="single" w:sz="8" w:space="0" w:color="000000"/>
            </w:tcBorders>
          </w:tcPr>
          <w:p w14:paraId="773B41D3" w14:textId="77777777" w:rsidR="004C7180" w:rsidRPr="00150EDC" w:rsidRDefault="004C7180">
            <w:pPr>
              <w:pStyle w:val="TableParagraph"/>
              <w:spacing w:before="0" w:line="240" w:lineRule="auto"/>
              <w:ind w:left="0"/>
            </w:pPr>
          </w:p>
          <w:p w14:paraId="3759314A" w14:textId="77777777" w:rsidR="004C7180" w:rsidRPr="00150EDC" w:rsidRDefault="004C7180">
            <w:pPr>
              <w:pStyle w:val="TableParagraph"/>
              <w:spacing w:before="0" w:line="240" w:lineRule="auto"/>
              <w:ind w:left="0"/>
            </w:pPr>
          </w:p>
          <w:p w14:paraId="73C4C49D" w14:textId="77777777" w:rsidR="004C7180" w:rsidRPr="00150EDC" w:rsidRDefault="004C7180">
            <w:pPr>
              <w:pStyle w:val="TableParagraph"/>
              <w:spacing w:before="0" w:line="240" w:lineRule="auto"/>
              <w:ind w:left="0"/>
            </w:pPr>
          </w:p>
          <w:p w14:paraId="5EB7A7FB" w14:textId="77777777" w:rsidR="004C7180" w:rsidRPr="00150EDC" w:rsidRDefault="004C7180">
            <w:pPr>
              <w:pStyle w:val="TableParagraph"/>
              <w:spacing w:before="0" w:line="240" w:lineRule="auto"/>
              <w:ind w:left="0"/>
            </w:pPr>
          </w:p>
          <w:p w14:paraId="46B42638" w14:textId="77777777" w:rsidR="004C7180" w:rsidRPr="00150EDC" w:rsidRDefault="004C7180">
            <w:pPr>
              <w:pStyle w:val="TableParagraph"/>
              <w:spacing w:before="0" w:line="240" w:lineRule="auto"/>
              <w:ind w:left="0"/>
            </w:pPr>
          </w:p>
          <w:p w14:paraId="082B0A9D" w14:textId="77777777" w:rsidR="004C7180" w:rsidRPr="00150EDC" w:rsidRDefault="004C7180">
            <w:pPr>
              <w:pStyle w:val="TableParagraph"/>
              <w:spacing w:before="4" w:line="240" w:lineRule="auto"/>
              <w:ind w:left="0"/>
              <w:rPr>
                <w:sz w:val="31"/>
              </w:rPr>
            </w:pPr>
          </w:p>
          <w:p w14:paraId="7642DB75" w14:textId="77777777" w:rsidR="004C7180" w:rsidRPr="00150EDC" w:rsidRDefault="00CF0754">
            <w:pPr>
              <w:pStyle w:val="TableParagraph"/>
              <w:spacing w:before="1" w:line="240" w:lineRule="auto"/>
              <w:ind w:left="107" w:right="98"/>
              <w:rPr>
                <w:rFonts w:ascii="Calibri"/>
                <w:b/>
              </w:rPr>
            </w:pPr>
            <w:r w:rsidRPr="00150EDC">
              <w:rPr>
                <w:rFonts w:ascii="Calibri"/>
                <w:b/>
                <w:spacing w:val="-2"/>
              </w:rPr>
              <w:t xml:space="preserve">Personalise </w:t>
            </w:r>
            <w:r w:rsidRPr="00150EDC">
              <w:rPr>
                <w:rFonts w:ascii="Calibri"/>
                <w:b/>
                <w:spacing w:val="-10"/>
              </w:rPr>
              <w:t>d</w:t>
            </w:r>
            <w:r w:rsidRPr="00150EDC">
              <w:rPr>
                <w:rFonts w:ascii="Calibri"/>
                <w:b/>
                <w:spacing w:val="80"/>
              </w:rPr>
              <w:t xml:space="preserve"> </w:t>
            </w:r>
            <w:r w:rsidRPr="00150EDC">
              <w:rPr>
                <w:rFonts w:ascii="Calibri"/>
                <w:b/>
                <w:spacing w:val="-2"/>
              </w:rPr>
              <w:t>numeracy needs assessment</w:t>
            </w:r>
          </w:p>
        </w:tc>
        <w:tc>
          <w:tcPr>
            <w:tcW w:w="4961" w:type="dxa"/>
          </w:tcPr>
          <w:p w14:paraId="7DEA2112" w14:textId="77777777" w:rsidR="004C7180" w:rsidRPr="00150EDC" w:rsidRDefault="004C7180">
            <w:pPr>
              <w:pStyle w:val="TableParagraph"/>
              <w:spacing w:before="0" w:line="240" w:lineRule="auto"/>
              <w:ind w:left="0"/>
            </w:pPr>
          </w:p>
          <w:p w14:paraId="1A039C43" w14:textId="77777777" w:rsidR="004C7180" w:rsidRPr="00150EDC" w:rsidRDefault="004C7180">
            <w:pPr>
              <w:pStyle w:val="TableParagraph"/>
              <w:spacing w:before="0" w:line="240" w:lineRule="auto"/>
              <w:ind w:left="0"/>
            </w:pPr>
          </w:p>
          <w:p w14:paraId="178E7F66" w14:textId="77777777" w:rsidR="004C7180" w:rsidRPr="00150EDC" w:rsidRDefault="004C7180">
            <w:pPr>
              <w:pStyle w:val="TableParagraph"/>
              <w:spacing w:before="3" w:line="240" w:lineRule="auto"/>
              <w:ind w:left="0"/>
              <w:rPr>
                <w:sz w:val="27"/>
              </w:rPr>
            </w:pPr>
          </w:p>
          <w:p w14:paraId="50BA235A" w14:textId="77777777" w:rsidR="004C7180" w:rsidRPr="00150EDC" w:rsidRDefault="00CF0754">
            <w:pPr>
              <w:pStyle w:val="TableParagraph"/>
              <w:spacing w:before="0" w:line="240" w:lineRule="auto"/>
              <w:ind w:left="112" w:right="76"/>
              <w:rPr>
                <w:rFonts w:ascii="Calibri"/>
              </w:rPr>
            </w:pPr>
            <w:r w:rsidRPr="00150EDC">
              <w:rPr>
                <w:rFonts w:ascii="Calibri"/>
              </w:rPr>
              <w:t>This trial will look at the impact on unemployed adults sign</w:t>
            </w:r>
            <w:r w:rsidRPr="00150EDC">
              <w:rPr>
                <w:rFonts w:ascii="Calibri"/>
                <w:spacing w:val="-1"/>
              </w:rPr>
              <w:t xml:space="preserve"> </w:t>
            </w:r>
            <w:r w:rsidRPr="00150EDC">
              <w:rPr>
                <w:rFonts w:ascii="Calibri"/>
              </w:rPr>
              <w:t>up</w:t>
            </w:r>
            <w:r w:rsidRPr="00150EDC">
              <w:rPr>
                <w:rFonts w:ascii="Calibri"/>
                <w:spacing w:val="-1"/>
              </w:rPr>
              <w:t xml:space="preserve"> </w:t>
            </w:r>
            <w:r w:rsidRPr="00150EDC">
              <w:rPr>
                <w:rFonts w:ascii="Calibri"/>
              </w:rPr>
              <w:t>and</w:t>
            </w:r>
            <w:r w:rsidRPr="00150EDC">
              <w:rPr>
                <w:rFonts w:ascii="Calibri"/>
                <w:spacing w:val="-1"/>
              </w:rPr>
              <w:t xml:space="preserve"> </w:t>
            </w:r>
            <w:r w:rsidRPr="00150EDC">
              <w:rPr>
                <w:rFonts w:ascii="Calibri"/>
              </w:rPr>
              <w:t>completion</w:t>
            </w:r>
            <w:r w:rsidRPr="00150EDC">
              <w:rPr>
                <w:rFonts w:ascii="Calibri"/>
                <w:spacing w:val="-1"/>
              </w:rPr>
              <w:t xml:space="preserve"> </w:t>
            </w:r>
            <w:r w:rsidRPr="00150EDC">
              <w:rPr>
                <w:rFonts w:ascii="Calibri"/>
              </w:rPr>
              <w:t>of</w:t>
            </w:r>
            <w:r w:rsidRPr="00150EDC">
              <w:rPr>
                <w:rFonts w:ascii="Calibri"/>
                <w:spacing w:val="40"/>
              </w:rPr>
              <w:t xml:space="preserve"> </w:t>
            </w:r>
            <w:r w:rsidRPr="00150EDC">
              <w:rPr>
                <w:rFonts w:ascii="Calibri"/>
              </w:rPr>
              <w:t>maths</w:t>
            </w:r>
            <w:r w:rsidRPr="00150EDC">
              <w:rPr>
                <w:rFonts w:ascii="Calibri"/>
                <w:spacing w:val="-2"/>
              </w:rPr>
              <w:t xml:space="preserve"> </w:t>
            </w:r>
            <w:r w:rsidRPr="00150EDC">
              <w:rPr>
                <w:rFonts w:ascii="Calibri"/>
              </w:rPr>
              <w:t>courses</w:t>
            </w:r>
            <w:r w:rsidRPr="00150EDC">
              <w:rPr>
                <w:rFonts w:ascii="Calibri"/>
                <w:spacing w:val="-2"/>
              </w:rPr>
              <w:t xml:space="preserve"> </w:t>
            </w:r>
            <w:r w:rsidRPr="00150EDC">
              <w:rPr>
                <w:rFonts w:ascii="Calibri"/>
              </w:rPr>
              <w:t>of a personalised numeracy needs assessment (with accompanying support). The needs assessment will be</w:t>
            </w:r>
            <w:r w:rsidRPr="00150EDC">
              <w:rPr>
                <w:rFonts w:ascii="Calibri"/>
                <w:spacing w:val="-3"/>
              </w:rPr>
              <w:t xml:space="preserve"> </w:t>
            </w:r>
            <w:r w:rsidRPr="00150EDC">
              <w:rPr>
                <w:rFonts w:ascii="Calibri"/>
              </w:rPr>
              <w:t>based</w:t>
            </w:r>
            <w:r w:rsidRPr="00150EDC">
              <w:rPr>
                <w:rFonts w:ascii="Calibri"/>
                <w:spacing w:val="-7"/>
              </w:rPr>
              <w:t xml:space="preserve"> </w:t>
            </w:r>
            <w:r w:rsidRPr="00150EDC">
              <w:rPr>
                <w:rFonts w:ascii="Calibri"/>
              </w:rPr>
              <w:t>on</w:t>
            </w:r>
            <w:r w:rsidRPr="00150EDC">
              <w:rPr>
                <w:rFonts w:ascii="Calibri"/>
                <w:spacing w:val="-5"/>
              </w:rPr>
              <w:t xml:space="preserve"> </w:t>
            </w:r>
            <w:r w:rsidRPr="00150EDC">
              <w:rPr>
                <w:rFonts w:ascii="Calibri"/>
              </w:rPr>
              <w:t>the</w:t>
            </w:r>
            <w:r w:rsidRPr="00150EDC">
              <w:rPr>
                <w:rFonts w:ascii="Calibri"/>
                <w:spacing w:val="-6"/>
              </w:rPr>
              <w:t xml:space="preserve"> </w:t>
            </w:r>
            <w:r w:rsidRPr="00150EDC">
              <w:rPr>
                <w:rFonts w:ascii="Calibri"/>
              </w:rPr>
              <w:t>National</w:t>
            </w:r>
            <w:r w:rsidRPr="00150EDC">
              <w:rPr>
                <w:rFonts w:ascii="Calibri"/>
                <w:spacing w:val="-7"/>
              </w:rPr>
              <w:t xml:space="preserve"> </w:t>
            </w:r>
            <w:r w:rsidRPr="00150EDC">
              <w:rPr>
                <w:rFonts w:ascii="Calibri"/>
              </w:rPr>
              <w:t>Numeracy</w:t>
            </w:r>
            <w:r w:rsidRPr="00150EDC">
              <w:rPr>
                <w:rFonts w:ascii="Calibri"/>
                <w:spacing w:val="-3"/>
              </w:rPr>
              <w:t xml:space="preserve"> </w:t>
            </w:r>
            <w:r w:rsidRPr="00150EDC">
              <w:rPr>
                <w:rFonts w:ascii="Calibri"/>
              </w:rPr>
              <w:t>Challenge</w:t>
            </w:r>
            <w:r w:rsidRPr="00150EDC">
              <w:rPr>
                <w:rFonts w:ascii="Calibri"/>
                <w:spacing w:val="-3"/>
              </w:rPr>
              <w:t xml:space="preserve"> </w:t>
            </w:r>
            <w:r w:rsidRPr="00150EDC">
              <w:rPr>
                <w:rFonts w:ascii="Calibri"/>
              </w:rPr>
              <w:t>which has been used with over 500,000 adults to date.</w:t>
            </w:r>
          </w:p>
          <w:p w14:paraId="0FEB0F7C" w14:textId="77777777" w:rsidR="004C7180" w:rsidRPr="00150EDC" w:rsidRDefault="00CF0754">
            <w:pPr>
              <w:pStyle w:val="TableParagraph"/>
              <w:spacing w:before="1" w:line="240" w:lineRule="auto"/>
              <w:ind w:left="112" w:right="76"/>
              <w:rPr>
                <w:rFonts w:ascii="Calibri"/>
              </w:rPr>
            </w:pPr>
            <w:r w:rsidRPr="00150EDC">
              <w:rPr>
                <w:rFonts w:ascii="Calibri"/>
              </w:rPr>
              <w:t>Unemployed</w:t>
            </w:r>
            <w:r w:rsidRPr="00150EDC">
              <w:rPr>
                <w:rFonts w:ascii="Calibri"/>
                <w:spacing w:val="-3"/>
              </w:rPr>
              <w:t xml:space="preserve"> </w:t>
            </w:r>
            <w:r w:rsidRPr="00150EDC">
              <w:rPr>
                <w:rFonts w:ascii="Calibri"/>
              </w:rPr>
              <w:t>adults</w:t>
            </w:r>
            <w:r w:rsidRPr="00150EDC">
              <w:rPr>
                <w:rFonts w:ascii="Calibri"/>
                <w:spacing w:val="-2"/>
              </w:rPr>
              <w:t xml:space="preserve"> </w:t>
            </w:r>
            <w:r w:rsidRPr="00150EDC">
              <w:rPr>
                <w:rFonts w:ascii="Calibri"/>
              </w:rPr>
              <w:t>selected</w:t>
            </w:r>
            <w:r w:rsidRPr="00150EDC">
              <w:rPr>
                <w:rFonts w:ascii="Calibri"/>
                <w:spacing w:val="-3"/>
              </w:rPr>
              <w:t xml:space="preserve"> </w:t>
            </w:r>
            <w:r w:rsidRPr="00150EDC">
              <w:rPr>
                <w:rFonts w:ascii="Calibri"/>
              </w:rPr>
              <w:t>for</w:t>
            </w:r>
            <w:r w:rsidRPr="00150EDC">
              <w:rPr>
                <w:rFonts w:ascii="Calibri"/>
                <w:spacing w:val="-2"/>
              </w:rPr>
              <w:t xml:space="preserve"> </w:t>
            </w:r>
            <w:r w:rsidRPr="00150EDC">
              <w:rPr>
                <w:rFonts w:ascii="Calibri"/>
              </w:rPr>
              <w:t>the</w:t>
            </w:r>
            <w:r w:rsidRPr="00150EDC">
              <w:rPr>
                <w:rFonts w:ascii="Calibri"/>
                <w:spacing w:val="-1"/>
              </w:rPr>
              <w:t xml:space="preserve"> </w:t>
            </w:r>
            <w:r w:rsidRPr="00150EDC">
              <w:rPr>
                <w:rFonts w:ascii="Calibri"/>
              </w:rPr>
              <w:t>intervention</w:t>
            </w:r>
            <w:r w:rsidRPr="00150EDC">
              <w:rPr>
                <w:rFonts w:ascii="Calibri"/>
                <w:spacing w:val="-5"/>
              </w:rPr>
              <w:t xml:space="preserve"> </w:t>
            </w:r>
            <w:r w:rsidRPr="00150EDC">
              <w:rPr>
                <w:rFonts w:ascii="Calibri"/>
              </w:rPr>
              <w:t>will do the needs assessment, and then be offered personalised</w:t>
            </w:r>
            <w:r w:rsidRPr="00150EDC">
              <w:rPr>
                <w:rFonts w:ascii="Calibri"/>
                <w:spacing w:val="-8"/>
              </w:rPr>
              <w:t xml:space="preserve"> </w:t>
            </w:r>
            <w:r w:rsidRPr="00150EDC">
              <w:rPr>
                <w:rFonts w:ascii="Calibri"/>
              </w:rPr>
              <w:t>support</w:t>
            </w:r>
            <w:r w:rsidRPr="00150EDC">
              <w:rPr>
                <w:rFonts w:ascii="Calibri"/>
                <w:spacing w:val="-7"/>
              </w:rPr>
              <w:t xml:space="preserve"> </w:t>
            </w:r>
            <w:r w:rsidRPr="00150EDC">
              <w:rPr>
                <w:rFonts w:ascii="Calibri"/>
              </w:rPr>
              <w:t>and</w:t>
            </w:r>
            <w:r w:rsidRPr="00150EDC">
              <w:rPr>
                <w:rFonts w:ascii="Calibri"/>
                <w:spacing w:val="-6"/>
              </w:rPr>
              <w:t xml:space="preserve"> </w:t>
            </w:r>
            <w:r w:rsidRPr="00150EDC">
              <w:rPr>
                <w:rFonts w:ascii="Calibri"/>
              </w:rPr>
              <w:t>signposting</w:t>
            </w:r>
            <w:r w:rsidRPr="00150EDC">
              <w:rPr>
                <w:rFonts w:ascii="Calibri"/>
                <w:spacing w:val="-6"/>
              </w:rPr>
              <w:t xml:space="preserve"> </w:t>
            </w:r>
            <w:r w:rsidRPr="00150EDC">
              <w:rPr>
                <w:rFonts w:ascii="Calibri"/>
              </w:rPr>
              <w:t>to</w:t>
            </w:r>
            <w:r w:rsidRPr="00150EDC">
              <w:rPr>
                <w:rFonts w:ascii="Calibri"/>
                <w:spacing w:val="-6"/>
              </w:rPr>
              <w:t xml:space="preserve"> </w:t>
            </w:r>
            <w:r w:rsidRPr="00150EDC">
              <w:rPr>
                <w:rFonts w:ascii="Calibri"/>
              </w:rPr>
              <w:t>local</w:t>
            </w:r>
            <w:r w:rsidRPr="00150EDC">
              <w:rPr>
                <w:rFonts w:ascii="Calibri"/>
                <w:spacing w:val="-5"/>
              </w:rPr>
              <w:t xml:space="preserve"> </w:t>
            </w:r>
            <w:r w:rsidRPr="00150EDC">
              <w:rPr>
                <w:rFonts w:ascii="Calibri"/>
              </w:rPr>
              <w:t>activity to encourage them to improve their numeracy skills. This</w:t>
            </w:r>
            <w:r w:rsidRPr="00150EDC">
              <w:rPr>
                <w:rFonts w:ascii="Calibri"/>
                <w:spacing w:val="-5"/>
              </w:rPr>
              <w:t xml:space="preserve"> </w:t>
            </w:r>
            <w:r w:rsidRPr="00150EDC">
              <w:rPr>
                <w:rFonts w:ascii="Calibri"/>
              </w:rPr>
              <w:t>trial</w:t>
            </w:r>
            <w:r w:rsidRPr="00150EDC">
              <w:rPr>
                <w:rFonts w:ascii="Calibri"/>
                <w:spacing w:val="-8"/>
              </w:rPr>
              <w:t xml:space="preserve"> </w:t>
            </w:r>
            <w:r w:rsidRPr="00150EDC">
              <w:rPr>
                <w:rFonts w:ascii="Calibri"/>
              </w:rPr>
              <w:t>originates</w:t>
            </w:r>
            <w:r w:rsidRPr="00150EDC">
              <w:rPr>
                <w:rFonts w:ascii="Calibri"/>
                <w:spacing w:val="-7"/>
              </w:rPr>
              <w:t xml:space="preserve"> </w:t>
            </w:r>
            <w:r w:rsidRPr="00150EDC">
              <w:rPr>
                <w:rFonts w:ascii="Calibri"/>
              </w:rPr>
              <w:t>from</w:t>
            </w:r>
            <w:r w:rsidRPr="00150EDC">
              <w:rPr>
                <w:rFonts w:ascii="Calibri"/>
                <w:spacing w:val="-4"/>
              </w:rPr>
              <w:t xml:space="preserve"> </w:t>
            </w:r>
            <w:r w:rsidRPr="00150EDC">
              <w:rPr>
                <w:rFonts w:ascii="Calibri"/>
              </w:rPr>
              <w:t>local</w:t>
            </w:r>
            <w:r w:rsidRPr="00150EDC">
              <w:rPr>
                <w:rFonts w:ascii="Calibri"/>
                <w:spacing w:val="-5"/>
              </w:rPr>
              <w:t xml:space="preserve"> </w:t>
            </w:r>
            <w:r w:rsidRPr="00150EDC">
              <w:rPr>
                <w:rFonts w:ascii="Calibri"/>
              </w:rPr>
              <w:t>area</w:t>
            </w:r>
            <w:r w:rsidRPr="00150EDC">
              <w:rPr>
                <w:rFonts w:ascii="Calibri"/>
                <w:spacing w:val="-5"/>
              </w:rPr>
              <w:t xml:space="preserve"> </w:t>
            </w:r>
            <w:r w:rsidRPr="00150EDC">
              <w:rPr>
                <w:rFonts w:ascii="Calibri"/>
              </w:rPr>
              <w:t>investment</w:t>
            </w:r>
            <w:r w:rsidRPr="00150EDC">
              <w:rPr>
                <w:rFonts w:ascii="Calibri"/>
                <w:spacing w:val="-4"/>
              </w:rPr>
              <w:t xml:space="preserve"> </w:t>
            </w:r>
            <w:r w:rsidRPr="00150EDC">
              <w:rPr>
                <w:rFonts w:ascii="Calibri"/>
              </w:rPr>
              <w:t>plans.</w:t>
            </w:r>
          </w:p>
        </w:tc>
        <w:tc>
          <w:tcPr>
            <w:tcW w:w="1277" w:type="dxa"/>
          </w:tcPr>
          <w:p w14:paraId="47BDCF14" w14:textId="77777777" w:rsidR="004C7180" w:rsidRPr="00150EDC" w:rsidRDefault="004C7180">
            <w:pPr>
              <w:pStyle w:val="TableParagraph"/>
              <w:spacing w:before="0" w:line="240" w:lineRule="auto"/>
              <w:ind w:left="0"/>
            </w:pPr>
          </w:p>
          <w:p w14:paraId="57BE1399" w14:textId="77777777" w:rsidR="004C7180" w:rsidRPr="00150EDC" w:rsidRDefault="004C7180">
            <w:pPr>
              <w:pStyle w:val="TableParagraph"/>
              <w:spacing w:before="0" w:line="240" w:lineRule="auto"/>
              <w:ind w:left="0"/>
            </w:pPr>
          </w:p>
          <w:p w14:paraId="3202AC8D" w14:textId="77777777" w:rsidR="004C7180" w:rsidRPr="00150EDC" w:rsidRDefault="004C7180">
            <w:pPr>
              <w:pStyle w:val="TableParagraph"/>
              <w:spacing w:before="0" w:line="240" w:lineRule="auto"/>
              <w:ind w:left="0"/>
            </w:pPr>
          </w:p>
          <w:p w14:paraId="2BA25A24" w14:textId="77777777" w:rsidR="004C7180" w:rsidRPr="00150EDC" w:rsidRDefault="004C7180">
            <w:pPr>
              <w:pStyle w:val="TableParagraph"/>
              <w:spacing w:before="0" w:line="240" w:lineRule="auto"/>
              <w:ind w:left="0"/>
            </w:pPr>
          </w:p>
          <w:p w14:paraId="0E68E468" w14:textId="77777777" w:rsidR="004C7180" w:rsidRPr="00150EDC" w:rsidRDefault="004C7180">
            <w:pPr>
              <w:pStyle w:val="TableParagraph"/>
              <w:spacing w:before="0" w:line="240" w:lineRule="auto"/>
              <w:ind w:left="0"/>
            </w:pPr>
          </w:p>
          <w:p w14:paraId="690F2EA3" w14:textId="77777777" w:rsidR="004C7180" w:rsidRPr="00150EDC" w:rsidRDefault="004C7180">
            <w:pPr>
              <w:pStyle w:val="TableParagraph"/>
              <w:spacing w:before="0" w:line="240" w:lineRule="auto"/>
              <w:ind w:left="0"/>
            </w:pPr>
          </w:p>
          <w:p w14:paraId="067D20A6" w14:textId="77777777" w:rsidR="004C7180" w:rsidRPr="00150EDC" w:rsidRDefault="004C7180">
            <w:pPr>
              <w:pStyle w:val="TableParagraph"/>
              <w:spacing w:before="0" w:line="240" w:lineRule="auto"/>
              <w:ind w:left="0"/>
            </w:pPr>
          </w:p>
          <w:p w14:paraId="095A3655" w14:textId="77777777" w:rsidR="004C7180" w:rsidRPr="00150EDC" w:rsidRDefault="004C7180">
            <w:pPr>
              <w:pStyle w:val="TableParagraph"/>
              <w:spacing w:before="4" w:line="240" w:lineRule="auto"/>
              <w:ind w:left="0"/>
            </w:pPr>
          </w:p>
          <w:p w14:paraId="64E30CEE" w14:textId="77777777" w:rsidR="004C7180" w:rsidRPr="00150EDC" w:rsidRDefault="00CF0754">
            <w:pPr>
              <w:pStyle w:val="TableParagraph"/>
              <w:spacing w:before="1" w:line="240" w:lineRule="auto"/>
              <w:ind w:left="112" w:right="233"/>
              <w:rPr>
                <w:rFonts w:ascii="Calibri"/>
              </w:rPr>
            </w:pPr>
            <w:r w:rsidRPr="00150EDC">
              <w:rPr>
                <w:rFonts w:ascii="Calibri"/>
                <w:spacing w:val="-2"/>
              </w:rPr>
              <w:t>National Numeracy</w:t>
            </w:r>
          </w:p>
        </w:tc>
        <w:tc>
          <w:tcPr>
            <w:tcW w:w="994" w:type="dxa"/>
          </w:tcPr>
          <w:p w14:paraId="7573ED2F" w14:textId="77777777" w:rsidR="004C7180" w:rsidRPr="00150EDC" w:rsidRDefault="004C7180">
            <w:pPr>
              <w:pStyle w:val="TableParagraph"/>
              <w:spacing w:before="0" w:line="240" w:lineRule="auto"/>
              <w:ind w:left="0"/>
            </w:pPr>
          </w:p>
          <w:p w14:paraId="7B5F2566" w14:textId="77777777" w:rsidR="004C7180" w:rsidRPr="00150EDC" w:rsidRDefault="004C7180">
            <w:pPr>
              <w:pStyle w:val="TableParagraph"/>
              <w:spacing w:before="0" w:line="240" w:lineRule="auto"/>
              <w:ind w:left="0"/>
            </w:pPr>
          </w:p>
          <w:p w14:paraId="0C2AA7AE" w14:textId="77777777" w:rsidR="004C7180" w:rsidRPr="00150EDC" w:rsidRDefault="004C7180">
            <w:pPr>
              <w:pStyle w:val="TableParagraph"/>
              <w:spacing w:before="0" w:line="240" w:lineRule="auto"/>
              <w:ind w:left="0"/>
            </w:pPr>
          </w:p>
          <w:p w14:paraId="5B6F67CB" w14:textId="77777777" w:rsidR="004C7180" w:rsidRPr="00150EDC" w:rsidRDefault="004C7180">
            <w:pPr>
              <w:pStyle w:val="TableParagraph"/>
              <w:spacing w:before="0" w:line="240" w:lineRule="auto"/>
              <w:ind w:left="0"/>
            </w:pPr>
          </w:p>
          <w:p w14:paraId="5BEDCFAE" w14:textId="77777777" w:rsidR="004C7180" w:rsidRPr="00150EDC" w:rsidRDefault="004C7180">
            <w:pPr>
              <w:pStyle w:val="TableParagraph"/>
              <w:spacing w:before="0" w:line="240" w:lineRule="auto"/>
              <w:ind w:left="0"/>
            </w:pPr>
          </w:p>
          <w:p w14:paraId="4D45267E" w14:textId="77777777" w:rsidR="004C7180" w:rsidRPr="00150EDC" w:rsidRDefault="004C7180">
            <w:pPr>
              <w:pStyle w:val="TableParagraph"/>
              <w:spacing w:before="4" w:line="240" w:lineRule="auto"/>
              <w:ind w:left="0"/>
              <w:rPr>
                <w:sz w:val="31"/>
              </w:rPr>
            </w:pPr>
          </w:p>
          <w:p w14:paraId="70E29945" w14:textId="77777777" w:rsidR="004C7180" w:rsidRPr="00150EDC" w:rsidRDefault="00CF0754">
            <w:pPr>
              <w:pStyle w:val="TableParagraph"/>
              <w:spacing w:before="0" w:line="240" w:lineRule="auto"/>
              <w:ind w:left="111" w:right="108"/>
              <w:rPr>
                <w:rFonts w:ascii="Calibri"/>
              </w:rPr>
            </w:pPr>
            <w:r w:rsidRPr="00150EDC">
              <w:rPr>
                <w:rFonts w:ascii="Calibri"/>
                <w:spacing w:val="-2"/>
              </w:rPr>
              <w:t xml:space="preserve">National </w:t>
            </w:r>
            <w:r w:rsidRPr="00150EDC">
              <w:rPr>
                <w:rFonts w:ascii="Calibri"/>
                <w:spacing w:val="-6"/>
              </w:rPr>
              <w:t xml:space="preserve">ly </w:t>
            </w:r>
            <w:r w:rsidRPr="00150EDC">
              <w:rPr>
                <w:rFonts w:ascii="Calibri"/>
                <w:spacing w:val="-2"/>
              </w:rPr>
              <w:t>Commis sioned Trial</w:t>
            </w:r>
          </w:p>
        </w:tc>
        <w:tc>
          <w:tcPr>
            <w:tcW w:w="2988" w:type="dxa"/>
          </w:tcPr>
          <w:p w14:paraId="401EE2AE" w14:textId="77777777" w:rsidR="004C7180" w:rsidRPr="00150EDC" w:rsidRDefault="00CF0754">
            <w:pPr>
              <w:pStyle w:val="TableParagraph"/>
              <w:numPr>
                <w:ilvl w:val="0"/>
                <w:numId w:val="14"/>
              </w:numPr>
              <w:tabs>
                <w:tab w:val="left" w:pos="226"/>
              </w:tabs>
              <w:spacing w:before="16" w:line="240" w:lineRule="auto"/>
              <w:ind w:right="199" w:firstLine="0"/>
              <w:rPr>
                <w:rFonts w:ascii="Calibri" w:hAnsi="Calibri"/>
              </w:rPr>
            </w:pPr>
            <w:r w:rsidRPr="00150EDC">
              <w:rPr>
                <w:rFonts w:ascii="Calibri" w:hAnsi="Calibri"/>
              </w:rPr>
              <w:t>What is the difference in take-up</w:t>
            </w:r>
            <w:r w:rsidRPr="00150EDC">
              <w:rPr>
                <w:rFonts w:ascii="Calibri" w:hAnsi="Calibri"/>
                <w:spacing w:val="-10"/>
              </w:rPr>
              <w:t xml:space="preserve"> </w:t>
            </w:r>
            <w:r w:rsidRPr="00150EDC">
              <w:rPr>
                <w:rFonts w:ascii="Calibri" w:hAnsi="Calibri"/>
              </w:rPr>
              <w:t>of</w:t>
            </w:r>
            <w:r w:rsidRPr="00150EDC">
              <w:rPr>
                <w:rFonts w:ascii="Calibri" w:hAnsi="Calibri"/>
                <w:spacing w:val="-10"/>
              </w:rPr>
              <w:t xml:space="preserve"> </w:t>
            </w:r>
            <w:r w:rsidRPr="00150EDC">
              <w:rPr>
                <w:rFonts w:ascii="Calibri" w:hAnsi="Calibri"/>
              </w:rPr>
              <w:t>maths</w:t>
            </w:r>
            <w:r w:rsidRPr="00150EDC">
              <w:rPr>
                <w:rFonts w:ascii="Calibri" w:hAnsi="Calibri"/>
                <w:spacing w:val="-8"/>
              </w:rPr>
              <w:t xml:space="preserve"> </w:t>
            </w:r>
            <w:r w:rsidRPr="00150EDC">
              <w:rPr>
                <w:rFonts w:ascii="Calibri" w:hAnsi="Calibri"/>
              </w:rPr>
              <w:t>provision</w:t>
            </w:r>
            <w:r w:rsidRPr="00150EDC">
              <w:rPr>
                <w:rFonts w:ascii="Calibri" w:hAnsi="Calibri"/>
                <w:spacing w:val="-10"/>
              </w:rPr>
              <w:t xml:space="preserve"> </w:t>
            </w:r>
            <w:r w:rsidRPr="00150EDC">
              <w:rPr>
                <w:rFonts w:ascii="Calibri" w:hAnsi="Calibri"/>
              </w:rPr>
              <w:t>by unemployed adults aged 19+ without Level 2 maths qualifications who receive a personalised</w:t>
            </w:r>
            <w:r w:rsidRPr="00150EDC">
              <w:rPr>
                <w:rFonts w:ascii="Calibri" w:hAnsi="Calibri"/>
                <w:spacing w:val="-13"/>
              </w:rPr>
              <w:t xml:space="preserve"> </w:t>
            </w:r>
            <w:r w:rsidRPr="00150EDC">
              <w:rPr>
                <w:rFonts w:ascii="Calibri" w:hAnsi="Calibri"/>
              </w:rPr>
              <w:t>numeracy</w:t>
            </w:r>
            <w:r w:rsidRPr="00150EDC">
              <w:rPr>
                <w:rFonts w:ascii="Calibri" w:hAnsi="Calibri"/>
                <w:spacing w:val="-12"/>
              </w:rPr>
              <w:t xml:space="preserve"> </w:t>
            </w:r>
            <w:r w:rsidRPr="00150EDC">
              <w:rPr>
                <w:rFonts w:ascii="Calibri" w:hAnsi="Calibri"/>
              </w:rPr>
              <w:t>needs assessment and tailored signposting/support with signing up to provision, in comparison to comparable adults who only receive generic signposting?</w:t>
            </w:r>
          </w:p>
          <w:p w14:paraId="7BEAF55D" w14:textId="77777777" w:rsidR="004C7180" w:rsidRPr="00150EDC" w:rsidRDefault="00CF0754">
            <w:pPr>
              <w:pStyle w:val="TableParagraph"/>
              <w:numPr>
                <w:ilvl w:val="0"/>
                <w:numId w:val="14"/>
              </w:numPr>
              <w:tabs>
                <w:tab w:val="left" w:pos="225"/>
              </w:tabs>
              <w:spacing w:before="0" w:line="240" w:lineRule="auto"/>
              <w:ind w:left="108" w:right="132" w:firstLine="0"/>
              <w:rPr>
                <w:rFonts w:ascii="Calibri" w:hAnsi="Calibri"/>
              </w:rPr>
            </w:pPr>
            <w:r w:rsidRPr="00150EDC">
              <w:rPr>
                <w:rFonts w:ascii="Calibri" w:hAnsi="Calibri"/>
              </w:rPr>
              <w:t>What is the difference in completion</w:t>
            </w:r>
            <w:r w:rsidRPr="00150EDC">
              <w:rPr>
                <w:rFonts w:ascii="Calibri" w:hAnsi="Calibri"/>
                <w:spacing w:val="-12"/>
              </w:rPr>
              <w:t xml:space="preserve"> </w:t>
            </w:r>
            <w:r w:rsidRPr="00150EDC">
              <w:rPr>
                <w:rFonts w:ascii="Calibri" w:hAnsi="Calibri"/>
              </w:rPr>
              <w:t>of</w:t>
            </w:r>
            <w:r w:rsidRPr="00150EDC">
              <w:rPr>
                <w:rFonts w:ascii="Calibri" w:hAnsi="Calibri"/>
                <w:spacing w:val="-12"/>
              </w:rPr>
              <w:t xml:space="preserve"> </w:t>
            </w:r>
            <w:r w:rsidRPr="00150EDC">
              <w:rPr>
                <w:rFonts w:ascii="Calibri" w:hAnsi="Calibri"/>
              </w:rPr>
              <w:t>maths</w:t>
            </w:r>
            <w:r w:rsidRPr="00150EDC">
              <w:rPr>
                <w:rFonts w:ascii="Calibri" w:hAnsi="Calibri"/>
                <w:spacing w:val="-10"/>
              </w:rPr>
              <w:t xml:space="preserve"> </w:t>
            </w:r>
            <w:r w:rsidRPr="00150EDC">
              <w:rPr>
                <w:rFonts w:ascii="Calibri" w:hAnsi="Calibri"/>
              </w:rPr>
              <w:t>provision by unemployed adults aged 19+ without Level 2 maths</w:t>
            </w:r>
          </w:p>
          <w:p w14:paraId="7FD3EDE9" w14:textId="77777777" w:rsidR="004C7180" w:rsidRPr="00150EDC" w:rsidRDefault="00CF0754">
            <w:pPr>
              <w:pStyle w:val="TableParagraph"/>
              <w:spacing w:before="0" w:line="264" w:lineRule="exact"/>
              <w:ind w:left="109"/>
              <w:rPr>
                <w:rFonts w:ascii="Calibri"/>
              </w:rPr>
            </w:pPr>
            <w:r w:rsidRPr="00150EDC">
              <w:rPr>
                <w:rFonts w:ascii="Calibri"/>
              </w:rPr>
              <w:t>qualifications</w:t>
            </w:r>
            <w:r w:rsidRPr="00150EDC">
              <w:rPr>
                <w:rFonts w:ascii="Calibri"/>
                <w:spacing w:val="-9"/>
              </w:rPr>
              <w:t xml:space="preserve"> </w:t>
            </w:r>
            <w:r w:rsidRPr="00150EDC">
              <w:rPr>
                <w:rFonts w:ascii="Calibri"/>
              </w:rPr>
              <w:t>who</w:t>
            </w:r>
            <w:r w:rsidRPr="00150EDC">
              <w:rPr>
                <w:rFonts w:ascii="Calibri"/>
                <w:spacing w:val="-5"/>
              </w:rPr>
              <w:t xml:space="preserve"> </w:t>
            </w:r>
            <w:r w:rsidRPr="00150EDC">
              <w:rPr>
                <w:rFonts w:ascii="Calibri"/>
              </w:rPr>
              <w:t>receive</w:t>
            </w:r>
            <w:r w:rsidRPr="00150EDC">
              <w:rPr>
                <w:rFonts w:ascii="Calibri"/>
                <w:spacing w:val="-8"/>
              </w:rPr>
              <w:t xml:space="preserve"> </w:t>
            </w:r>
            <w:r w:rsidRPr="00150EDC">
              <w:rPr>
                <w:rFonts w:ascii="Calibri"/>
                <w:spacing w:val="-10"/>
              </w:rPr>
              <w:t>a</w:t>
            </w:r>
          </w:p>
        </w:tc>
      </w:tr>
    </w:tbl>
    <w:p w14:paraId="40A956D1" w14:textId="77777777" w:rsidR="004C7180" w:rsidRPr="00150EDC" w:rsidRDefault="004C7180">
      <w:pPr>
        <w:spacing w:line="264" w:lineRule="exact"/>
        <w:rPr>
          <w:rFonts w:ascii="Calibri"/>
        </w:rPr>
        <w:sectPr w:rsidR="004C7180" w:rsidRPr="00150EDC">
          <w:pgSz w:w="11910" w:h="16840"/>
          <w:pgMar w:top="1160" w:right="0" w:bottom="1440" w:left="40" w:header="715" w:footer="1259" w:gutter="0"/>
          <w:cols w:space="720"/>
        </w:sectPr>
      </w:pPr>
    </w:p>
    <w:p w14:paraId="3B7473E2" w14:textId="77777777" w:rsidR="004C7180" w:rsidRPr="00150EDC" w:rsidRDefault="004C7180">
      <w:pPr>
        <w:pStyle w:val="BodyText"/>
        <w:spacing w:before="7"/>
        <w:rPr>
          <w:sz w:val="23"/>
        </w:rPr>
      </w:pPr>
    </w:p>
    <w:tbl>
      <w:tblPr>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7"/>
        <w:gridCol w:w="4961"/>
        <w:gridCol w:w="1277"/>
        <w:gridCol w:w="994"/>
        <w:gridCol w:w="2988"/>
      </w:tblGrid>
      <w:tr w:rsidR="004569EE" w:rsidRPr="007D3144" w14:paraId="67981F59" w14:textId="77777777">
        <w:trPr>
          <w:trHeight w:val="3030"/>
        </w:trPr>
        <w:tc>
          <w:tcPr>
            <w:tcW w:w="1277" w:type="dxa"/>
            <w:tcBorders>
              <w:left w:val="single" w:sz="8" w:space="0" w:color="000000"/>
            </w:tcBorders>
          </w:tcPr>
          <w:p w14:paraId="7D8E72CC" w14:textId="77777777" w:rsidR="004C7180" w:rsidRPr="00150EDC" w:rsidRDefault="004C7180">
            <w:pPr>
              <w:pStyle w:val="TableParagraph"/>
              <w:spacing w:before="0" w:line="240" w:lineRule="auto"/>
              <w:ind w:left="0"/>
              <w:rPr>
                <w:rFonts w:ascii="Times New Roman"/>
                <w:sz w:val="20"/>
              </w:rPr>
            </w:pPr>
          </w:p>
        </w:tc>
        <w:tc>
          <w:tcPr>
            <w:tcW w:w="4961" w:type="dxa"/>
          </w:tcPr>
          <w:p w14:paraId="5CD70A2C" w14:textId="77777777" w:rsidR="004C7180" w:rsidRPr="00150EDC" w:rsidRDefault="004C7180">
            <w:pPr>
              <w:pStyle w:val="TableParagraph"/>
              <w:spacing w:before="0" w:line="240" w:lineRule="auto"/>
              <w:ind w:left="0"/>
              <w:rPr>
                <w:rFonts w:ascii="Times New Roman"/>
                <w:sz w:val="20"/>
              </w:rPr>
            </w:pPr>
          </w:p>
        </w:tc>
        <w:tc>
          <w:tcPr>
            <w:tcW w:w="1277" w:type="dxa"/>
          </w:tcPr>
          <w:p w14:paraId="40AE22CF" w14:textId="77777777" w:rsidR="004C7180" w:rsidRPr="00150EDC" w:rsidRDefault="004C7180">
            <w:pPr>
              <w:pStyle w:val="TableParagraph"/>
              <w:spacing w:before="0" w:line="240" w:lineRule="auto"/>
              <w:ind w:left="0"/>
              <w:rPr>
                <w:rFonts w:ascii="Times New Roman"/>
                <w:sz w:val="20"/>
              </w:rPr>
            </w:pPr>
          </w:p>
        </w:tc>
        <w:tc>
          <w:tcPr>
            <w:tcW w:w="994" w:type="dxa"/>
          </w:tcPr>
          <w:p w14:paraId="737A3D75" w14:textId="77777777" w:rsidR="004C7180" w:rsidRPr="00150EDC" w:rsidRDefault="004C7180">
            <w:pPr>
              <w:pStyle w:val="TableParagraph"/>
              <w:spacing w:before="0" w:line="240" w:lineRule="auto"/>
              <w:ind w:left="0"/>
              <w:rPr>
                <w:rFonts w:ascii="Times New Roman"/>
                <w:sz w:val="20"/>
              </w:rPr>
            </w:pPr>
          </w:p>
        </w:tc>
        <w:tc>
          <w:tcPr>
            <w:tcW w:w="2988" w:type="dxa"/>
          </w:tcPr>
          <w:p w14:paraId="33949EAD" w14:textId="77777777" w:rsidR="004C7180" w:rsidRPr="00150EDC" w:rsidRDefault="00CF0754">
            <w:pPr>
              <w:pStyle w:val="TableParagraph"/>
              <w:spacing w:before="13" w:line="240" w:lineRule="auto"/>
              <w:ind w:left="109" w:right="116"/>
              <w:rPr>
                <w:rFonts w:ascii="Calibri"/>
              </w:rPr>
            </w:pPr>
            <w:r w:rsidRPr="00150EDC">
              <w:rPr>
                <w:rFonts w:ascii="Calibri"/>
              </w:rPr>
              <w:t>personalised</w:t>
            </w:r>
            <w:r w:rsidRPr="00150EDC">
              <w:rPr>
                <w:rFonts w:ascii="Calibri"/>
                <w:spacing w:val="-13"/>
              </w:rPr>
              <w:t xml:space="preserve"> </w:t>
            </w:r>
            <w:r w:rsidRPr="00150EDC">
              <w:rPr>
                <w:rFonts w:ascii="Calibri"/>
              </w:rPr>
              <w:t>numeracy</w:t>
            </w:r>
            <w:r w:rsidRPr="00150EDC">
              <w:rPr>
                <w:rFonts w:ascii="Calibri"/>
                <w:spacing w:val="-12"/>
              </w:rPr>
              <w:t xml:space="preserve"> </w:t>
            </w:r>
            <w:r w:rsidRPr="00150EDC">
              <w:rPr>
                <w:rFonts w:ascii="Calibri"/>
              </w:rPr>
              <w:t>needs assessment and tailored signposting/support with signing up to provision, in comparison to comparable adults who only receive generic signposting?</w:t>
            </w:r>
          </w:p>
        </w:tc>
      </w:tr>
      <w:tr w:rsidR="004569EE" w:rsidRPr="007D3144" w14:paraId="01A515AF" w14:textId="77777777">
        <w:trPr>
          <w:trHeight w:val="7550"/>
        </w:trPr>
        <w:tc>
          <w:tcPr>
            <w:tcW w:w="1277" w:type="dxa"/>
            <w:tcBorders>
              <w:left w:val="single" w:sz="8" w:space="0" w:color="000000"/>
            </w:tcBorders>
          </w:tcPr>
          <w:p w14:paraId="51F784A1" w14:textId="77777777" w:rsidR="004C7180" w:rsidRPr="00150EDC" w:rsidRDefault="004C7180">
            <w:pPr>
              <w:pStyle w:val="TableParagraph"/>
              <w:spacing w:before="0" w:line="240" w:lineRule="auto"/>
              <w:ind w:left="0"/>
            </w:pPr>
          </w:p>
          <w:p w14:paraId="1FA7F287" w14:textId="77777777" w:rsidR="004C7180" w:rsidRPr="00150EDC" w:rsidRDefault="004C7180">
            <w:pPr>
              <w:pStyle w:val="TableParagraph"/>
              <w:spacing w:before="0" w:line="240" w:lineRule="auto"/>
              <w:ind w:left="0"/>
            </w:pPr>
          </w:p>
          <w:p w14:paraId="090FD6F3" w14:textId="77777777" w:rsidR="004C7180" w:rsidRPr="00150EDC" w:rsidRDefault="004C7180">
            <w:pPr>
              <w:pStyle w:val="TableParagraph"/>
              <w:spacing w:before="0" w:line="240" w:lineRule="auto"/>
              <w:ind w:left="0"/>
            </w:pPr>
          </w:p>
          <w:p w14:paraId="3FB5DAB4" w14:textId="77777777" w:rsidR="004C7180" w:rsidRPr="00150EDC" w:rsidRDefault="004C7180">
            <w:pPr>
              <w:pStyle w:val="TableParagraph"/>
              <w:spacing w:before="0" w:line="240" w:lineRule="auto"/>
              <w:ind w:left="0"/>
            </w:pPr>
          </w:p>
          <w:p w14:paraId="3E940E99" w14:textId="77777777" w:rsidR="004C7180" w:rsidRPr="00150EDC" w:rsidRDefault="004C7180">
            <w:pPr>
              <w:pStyle w:val="TableParagraph"/>
              <w:spacing w:before="0" w:line="240" w:lineRule="auto"/>
              <w:ind w:left="0"/>
            </w:pPr>
          </w:p>
          <w:p w14:paraId="5100C9F0" w14:textId="77777777" w:rsidR="004C7180" w:rsidRPr="00150EDC" w:rsidRDefault="004C7180">
            <w:pPr>
              <w:pStyle w:val="TableParagraph"/>
              <w:spacing w:before="0" w:line="240" w:lineRule="auto"/>
              <w:ind w:left="0"/>
            </w:pPr>
          </w:p>
          <w:p w14:paraId="264FEB88" w14:textId="77777777" w:rsidR="004C7180" w:rsidRPr="00150EDC" w:rsidRDefault="004C7180">
            <w:pPr>
              <w:pStyle w:val="TableParagraph"/>
              <w:spacing w:before="0" w:line="240" w:lineRule="auto"/>
              <w:ind w:left="0"/>
            </w:pPr>
          </w:p>
          <w:p w14:paraId="630B9719" w14:textId="77777777" w:rsidR="004C7180" w:rsidRPr="00150EDC" w:rsidRDefault="004C7180">
            <w:pPr>
              <w:pStyle w:val="TableParagraph"/>
              <w:spacing w:before="0" w:line="240" w:lineRule="auto"/>
              <w:ind w:left="0"/>
            </w:pPr>
          </w:p>
          <w:p w14:paraId="4EB079FD" w14:textId="77777777" w:rsidR="004C7180" w:rsidRPr="00150EDC" w:rsidRDefault="004C7180">
            <w:pPr>
              <w:pStyle w:val="TableParagraph"/>
              <w:spacing w:before="0" w:line="240" w:lineRule="auto"/>
              <w:ind w:left="0"/>
            </w:pPr>
          </w:p>
          <w:p w14:paraId="6344CBEE" w14:textId="77777777" w:rsidR="004C7180" w:rsidRPr="00150EDC" w:rsidRDefault="004C7180">
            <w:pPr>
              <w:pStyle w:val="TableParagraph"/>
              <w:spacing w:before="0" w:line="240" w:lineRule="auto"/>
              <w:ind w:left="0"/>
            </w:pPr>
          </w:p>
          <w:p w14:paraId="61504E50" w14:textId="77777777" w:rsidR="004C7180" w:rsidRPr="00150EDC" w:rsidRDefault="004C7180">
            <w:pPr>
              <w:pStyle w:val="TableParagraph"/>
              <w:spacing w:before="0" w:line="240" w:lineRule="auto"/>
              <w:ind w:left="0"/>
            </w:pPr>
          </w:p>
          <w:p w14:paraId="60D93FA2" w14:textId="77777777" w:rsidR="004C7180" w:rsidRPr="00150EDC" w:rsidRDefault="004C7180">
            <w:pPr>
              <w:pStyle w:val="TableParagraph"/>
              <w:spacing w:before="0" w:line="240" w:lineRule="auto"/>
              <w:ind w:left="0"/>
            </w:pPr>
          </w:p>
          <w:p w14:paraId="096B0B43" w14:textId="77777777" w:rsidR="004C7180" w:rsidRPr="00150EDC" w:rsidRDefault="004C7180">
            <w:pPr>
              <w:pStyle w:val="TableParagraph"/>
              <w:spacing w:before="0" w:line="240" w:lineRule="auto"/>
              <w:ind w:left="0"/>
            </w:pPr>
          </w:p>
          <w:p w14:paraId="6A9BC1E9" w14:textId="77777777" w:rsidR="004C7180" w:rsidRPr="00150EDC" w:rsidRDefault="004C7180">
            <w:pPr>
              <w:pStyle w:val="TableParagraph"/>
              <w:spacing w:before="9" w:line="240" w:lineRule="auto"/>
              <w:ind w:left="0"/>
              <w:rPr>
                <w:sz w:val="18"/>
              </w:rPr>
            </w:pPr>
          </w:p>
          <w:p w14:paraId="746AE6CD" w14:textId="77777777" w:rsidR="004C7180" w:rsidRPr="00150EDC" w:rsidRDefault="00CF0754">
            <w:pPr>
              <w:pStyle w:val="TableParagraph"/>
              <w:spacing w:before="1" w:line="240" w:lineRule="auto"/>
              <w:ind w:left="107" w:right="108"/>
              <w:rPr>
                <w:rFonts w:ascii="Calibri"/>
                <w:b/>
              </w:rPr>
            </w:pPr>
            <w:r w:rsidRPr="00150EDC">
              <w:rPr>
                <w:rFonts w:ascii="Calibri"/>
                <w:b/>
                <w:spacing w:val="-2"/>
              </w:rPr>
              <w:t xml:space="preserve">Preparatio </w:t>
            </w:r>
            <w:r w:rsidRPr="00150EDC">
              <w:rPr>
                <w:rFonts w:ascii="Calibri"/>
                <w:b/>
              </w:rPr>
              <w:t>n</w:t>
            </w:r>
            <w:r w:rsidRPr="00150EDC">
              <w:rPr>
                <w:rFonts w:ascii="Calibri"/>
                <w:b/>
                <w:spacing w:val="-3"/>
              </w:rPr>
              <w:t xml:space="preserve"> </w:t>
            </w:r>
            <w:r w:rsidRPr="00150EDC">
              <w:rPr>
                <w:rFonts w:ascii="Calibri"/>
                <w:b/>
              </w:rPr>
              <w:t xml:space="preserve">for </w:t>
            </w:r>
            <w:r w:rsidRPr="00150EDC">
              <w:rPr>
                <w:rFonts w:ascii="Calibri"/>
                <w:b/>
                <w:spacing w:val="-4"/>
              </w:rPr>
              <w:t>GCSE</w:t>
            </w:r>
          </w:p>
        </w:tc>
        <w:tc>
          <w:tcPr>
            <w:tcW w:w="4961" w:type="dxa"/>
          </w:tcPr>
          <w:p w14:paraId="44253A89" w14:textId="77777777" w:rsidR="004C7180" w:rsidRPr="00150EDC" w:rsidRDefault="004C7180">
            <w:pPr>
              <w:pStyle w:val="TableParagraph"/>
              <w:spacing w:before="0" w:line="240" w:lineRule="auto"/>
              <w:ind w:left="0"/>
            </w:pPr>
          </w:p>
          <w:p w14:paraId="6343818B" w14:textId="77777777" w:rsidR="004C7180" w:rsidRPr="00150EDC" w:rsidRDefault="004C7180">
            <w:pPr>
              <w:pStyle w:val="TableParagraph"/>
              <w:spacing w:before="0" w:line="240" w:lineRule="auto"/>
              <w:ind w:left="0"/>
            </w:pPr>
          </w:p>
          <w:p w14:paraId="2FCDA14A" w14:textId="77777777" w:rsidR="004C7180" w:rsidRPr="00150EDC" w:rsidRDefault="004C7180">
            <w:pPr>
              <w:pStyle w:val="TableParagraph"/>
              <w:spacing w:before="0" w:line="240" w:lineRule="auto"/>
              <w:ind w:left="0"/>
            </w:pPr>
          </w:p>
          <w:p w14:paraId="7EB16E05" w14:textId="77777777" w:rsidR="004C7180" w:rsidRPr="00150EDC" w:rsidRDefault="004C7180">
            <w:pPr>
              <w:pStyle w:val="TableParagraph"/>
              <w:spacing w:before="0" w:line="240" w:lineRule="auto"/>
              <w:ind w:left="0"/>
            </w:pPr>
          </w:p>
          <w:p w14:paraId="77D6A35C" w14:textId="77777777" w:rsidR="004C7180" w:rsidRPr="00150EDC" w:rsidRDefault="004C7180">
            <w:pPr>
              <w:pStyle w:val="TableParagraph"/>
              <w:spacing w:before="0" w:line="240" w:lineRule="auto"/>
              <w:ind w:left="0"/>
            </w:pPr>
          </w:p>
          <w:p w14:paraId="0045EFD8" w14:textId="77777777" w:rsidR="004C7180" w:rsidRPr="00150EDC" w:rsidRDefault="004C7180">
            <w:pPr>
              <w:pStyle w:val="TableParagraph"/>
              <w:spacing w:before="0" w:line="240" w:lineRule="auto"/>
              <w:ind w:left="0"/>
            </w:pPr>
          </w:p>
          <w:p w14:paraId="160EE8D8" w14:textId="77777777" w:rsidR="004C7180" w:rsidRPr="00150EDC" w:rsidRDefault="004C7180">
            <w:pPr>
              <w:pStyle w:val="TableParagraph"/>
              <w:spacing w:before="0" w:line="240" w:lineRule="auto"/>
              <w:ind w:left="0"/>
            </w:pPr>
          </w:p>
          <w:p w14:paraId="550762DD" w14:textId="77777777" w:rsidR="004C7180" w:rsidRPr="00150EDC" w:rsidRDefault="004C7180">
            <w:pPr>
              <w:pStyle w:val="TableParagraph"/>
              <w:spacing w:before="0" w:line="240" w:lineRule="auto"/>
              <w:ind w:left="0"/>
            </w:pPr>
          </w:p>
          <w:p w14:paraId="17688991" w14:textId="77777777" w:rsidR="004C7180" w:rsidRPr="00150EDC" w:rsidRDefault="004C7180">
            <w:pPr>
              <w:pStyle w:val="TableParagraph"/>
              <w:spacing w:before="0" w:line="240" w:lineRule="auto"/>
              <w:ind w:left="0"/>
            </w:pPr>
          </w:p>
          <w:p w14:paraId="20723E18" w14:textId="77777777" w:rsidR="004C7180" w:rsidRPr="00150EDC" w:rsidRDefault="004C7180">
            <w:pPr>
              <w:pStyle w:val="TableParagraph"/>
              <w:spacing w:before="0" w:line="240" w:lineRule="auto"/>
              <w:ind w:left="0"/>
            </w:pPr>
          </w:p>
          <w:p w14:paraId="59C4DDF5" w14:textId="77777777" w:rsidR="004C7180" w:rsidRPr="00150EDC" w:rsidRDefault="004C7180">
            <w:pPr>
              <w:pStyle w:val="TableParagraph"/>
              <w:spacing w:before="0" w:line="240" w:lineRule="auto"/>
              <w:ind w:left="0"/>
            </w:pPr>
          </w:p>
          <w:p w14:paraId="7083E587" w14:textId="77777777" w:rsidR="004C7180" w:rsidRPr="00150EDC" w:rsidRDefault="00CF0754">
            <w:pPr>
              <w:pStyle w:val="TableParagraph"/>
              <w:spacing w:before="185" w:line="240" w:lineRule="auto"/>
              <w:ind w:left="112" w:right="165"/>
              <w:rPr>
                <w:rFonts w:ascii="Calibri"/>
              </w:rPr>
            </w:pPr>
            <w:r w:rsidRPr="00150EDC">
              <w:rPr>
                <w:rFonts w:ascii="Calibri"/>
              </w:rPr>
              <w:t>This trial will look at the impact of completing a Preparation</w:t>
            </w:r>
            <w:r w:rsidRPr="00150EDC">
              <w:rPr>
                <w:rFonts w:ascii="Calibri"/>
                <w:spacing w:val="-6"/>
              </w:rPr>
              <w:t xml:space="preserve"> </w:t>
            </w:r>
            <w:r w:rsidRPr="00150EDC">
              <w:rPr>
                <w:rFonts w:ascii="Calibri"/>
              </w:rPr>
              <w:t>for</w:t>
            </w:r>
            <w:r w:rsidRPr="00150EDC">
              <w:rPr>
                <w:rFonts w:ascii="Calibri"/>
                <w:spacing w:val="-5"/>
              </w:rPr>
              <w:t xml:space="preserve"> </w:t>
            </w:r>
            <w:r w:rsidRPr="00150EDC">
              <w:rPr>
                <w:rFonts w:ascii="Calibri"/>
              </w:rPr>
              <w:t>GCSE</w:t>
            </w:r>
            <w:r w:rsidRPr="00150EDC">
              <w:rPr>
                <w:rFonts w:ascii="Calibri"/>
                <w:spacing w:val="-5"/>
              </w:rPr>
              <w:t xml:space="preserve"> </w:t>
            </w:r>
            <w:r w:rsidRPr="00150EDC">
              <w:rPr>
                <w:rFonts w:ascii="Calibri"/>
              </w:rPr>
              <w:t>course</w:t>
            </w:r>
            <w:r w:rsidRPr="00150EDC">
              <w:rPr>
                <w:rFonts w:ascii="Calibri"/>
                <w:spacing w:val="-4"/>
              </w:rPr>
              <w:t xml:space="preserve"> </w:t>
            </w:r>
            <w:r w:rsidRPr="00150EDC">
              <w:rPr>
                <w:rFonts w:ascii="Calibri"/>
              </w:rPr>
              <w:t>on</w:t>
            </w:r>
            <w:r w:rsidRPr="00150EDC">
              <w:rPr>
                <w:rFonts w:ascii="Calibri"/>
                <w:spacing w:val="-6"/>
              </w:rPr>
              <w:t xml:space="preserve"> </w:t>
            </w:r>
            <w:r w:rsidRPr="00150EDC">
              <w:rPr>
                <w:rFonts w:ascii="Calibri"/>
              </w:rPr>
              <w:t>learner</w:t>
            </w:r>
            <w:r w:rsidRPr="00150EDC">
              <w:rPr>
                <w:rFonts w:ascii="Calibri"/>
                <w:spacing w:val="-7"/>
              </w:rPr>
              <w:t xml:space="preserve"> </w:t>
            </w:r>
            <w:r w:rsidRPr="00150EDC">
              <w:rPr>
                <w:rFonts w:ascii="Calibri"/>
              </w:rPr>
              <w:t>outcomes</w:t>
            </w:r>
            <w:r w:rsidRPr="00150EDC">
              <w:rPr>
                <w:rFonts w:ascii="Calibri"/>
                <w:spacing w:val="-7"/>
              </w:rPr>
              <w:t xml:space="preserve"> </w:t>
            </w:r>
            <w:r w:rsidRPr="00150EDC">
              <w:rPr>
                <w:rFonts w:ascii="Calibri"/>
              </w:rPr>
              <w:t>in maths GCSEs. This course will focus on study and revision skills as preparation for the demands of taking a GCSE. The trial was originally suggested by local areas.</w:t>
            </w:r>
          </w:p>
        </w:tc>
        <w:tc>
          <w:tcPr>
            <w:tcW w:w="1277" w:type="dxa"/>
          </w:tcPr>
          <w:p w14:paraId="0F0970F8" w14:textId="77777777" w:rsidR="004C7180" w:rsidRPr="00150EDC" w:rsidRDefault="004C7180">
            <w:pPr>
              <w:pStyle w:val="TableParagraph"/>
              <w:spacing w:before="0" w:line="240" w:lineRule="auto"/>
              <w:ind w:left="0"/>
            </w:pPr>
          </w:p>
          <w:p w14:paraId="783F968F" w14:textId="77777777" w:rsidR="004C7180" w:rsidRPr="00150EDC" w:rsidRDefault="004C7180">
            <w:pPr>
              <w:pStyle w:val="TableParagraph"/>
              <w:spacing w:before="0" w:line="240" w:lineRule="auto"/>
              <w:ind w:left="0"/>
            </w:pPr>
          </w:p>
          <w:p w14:paraId="3A7FDC31" w14:textId="77777777" w:rsidR="004C7180" w:rsidRPr="00150EDC" w:rsidRDefault="004C7180">
            <w:pPr>
              <w:pStyle w:val="TableParagraph"/>
              <w:spacing w:before="0" w:line="240" w:lineRule="auto"/>
              <w:ind w:left="0"/>
            </w:pPr>
          </w:p>
          <w:p w14:paraId="562F2189" w14:textId="77777777" w:rsidR="004C7180" w:rsidRPr="00150EDC" w:rsidRDefault="004C7180">
            <w:pPr>
              <w:pStyle w:val="TableParagraph"/>
              <w:spacing w:before="0" w:line="240" w:lineRule="auto"/>
              <w:ind w:left="0"/>
            </w:pPr>
          </w:p>
          <w:p w14:paraId="69266786" w14:textId="77777777" w:rsidR="004C7180" w:rsidRPr="00150EDC" w:rsidRDefault="004C7180">
            <w:pPr>
              <w:pStyle w:val="TableParagraph"/>
              <w:spacing w:before="0" w:line="240" w:lineRule="auto"/>
              <w:ind w:left="0"/>
            </w:pPr>
          </w:p>
          <w:p w14:paraId="015E68F5" w14:textId="77777777" w:rsidR="004C7180" w:rsidRPr="00150EDC" w:rsidRDefault="004C7180">
            <w:pPr>
              <w:pStyle w:val="TableParagraph"/>
              <w:spacing w:before="0" w:line="240" w:lineRule="auto"/>
              <w:ind w:left="0"/>
            </w:pPr>
          </w:p>
          <w:p w14:paraId="1DED3A59" w14:textId="77777777" w:rsidR="004C7180" w:rsidRPr="00150EDC" w:rsidRDefault="004C7180">
            <w:pPr>
              <w:pStyle w:val="TableParagraph"/>
              <w:spacing w:before="0" w:line="240" w:lineRule="auto"/>
              <w:ind w:left="0"/>
            </w:pPr>
          </w:p>
          <w:p w14:paraId="30E43CC7" w14:textId="77777777" w:rsidR="004C7180" w:rsidRPr="00150EDC" w:rsidRDefault="004C7180">
            <w:pPr>
              <w:pStyle w:val="TableParagraph"/>
              <w:spacing w:before="0" w:line="240" w:lineRule="auto"/>
              <w:ind w:left="0"/>
            </w:pPr>
          </w:p>
          <w:p w14:paraId="3EFC7878" w14:textId="77777777" w:rsidR="004C7180" w:rsidRPr="00150EDC" w:rsidRDefault="004C7180">
            <w:pPr>
              <w:pStyle w:val="TableParagraph"/>
              <w:spacing w:before="0" w:line="240" w:lineRule="auto"/>
              <w:ind w:left="0"/>
            </w:pPr>
          </w:p>
          <w:p w14:paraId="76A67170" w14:textId="77777777" w:rsidR="004C7180" w:rsidRPr="00150EDC" w:rsidRDefault="004C7180">
            <w:pPr>
              <w:pStyle w:val="TableParagraph"/>
              <w:spacing w:before="0" w:line="240" w:lineRule="auto"/>
              <w:ind w:left="0"/>
            </w:pPr>
          </w:p>
          <w:p w14:paraId="6A5AD61D" w14:textId="77777777" w:rsidR="004C7180" w:rsidRPr="00150EDC" w:rsidRDefault="004C7180">
            <w:pPr>
              <w:pStyle w:val="TableParagraph"/>
              <w:spacing w:before="0" w:line="240" w:lineRule="auto"/>
              <w:ind w:left="0"/>
            </w:pPr>
          </w:p>
          <w:p w14:paraId="39D4FD43" w14:textId="77777777" w:rsidR="004C7180" w:rsidRPr="00150EDC" w:rsidRDefault="004C7180">
            <w:pPr>
              <w:pStyle w:val="TableParagraph"/>
              <w:spacing w:before="0" w:line="240" w:lineRule="auto"/>
              <w:ind w:left="0"/>
            </w:pPr>
          </w:p>
          <w:p w14:paraId="3B04CE4E" w14:textId="77777777" w:rsidR="004C7180" w:rsidRPr="00150EDC" w:rsidRDefault="004C7180">
            <w:pPr>
              <w:pStyle w:val="TableParagraph"/>
              <w:spacing w:before="5" w:line="240" w:lineRule="auto"/>
              <w:ind w:left="0"/>
              <w:rPr>
                <w:sz w:val="17"/>
              </w:rPr>
            </w:pPr>
          </w:p>
          <w:p w14:paraId="426B4D71" w14:textId="77777777" w:rsidR="004C7180" w:rsidRPr="00150EDC" w:rsidRDefault="00CF0754">
            <w:pPr>
              <w:pStyle w:val="TableParagraph"/>
              <w:spacing w:before="0" w:line="240" w:lineRule="auto"/>
              <w:ind w:left="111" w:right="37"/>
              <w:rPr>
                <w:rFonts w:ascii="Calibri"/>
              </w:rPr>
            </w:pPr>
            <w:r w:rsidRPr="00150EDC">
              <w:rPr>
                <w:rFonts w:ascii="Calibri"/>
                <w:spacing w:val="-2"/>
              </w:rPr>
              <w:t xml:space="preserve">National Numeracy: subcontrac </w:t>
            </w:r>
            <w:r w:rsidRPr="00150EDC">
              <w:rPr>
                <w:rFonts w:ascii="Calibri"/>
              </w:rPr>
              <w:t>ted to MEI</w:t>
            </w:r>
          </w:p>
        </w:tc>
        <w:tc>
          <w:tcPr>
            <w:tcW w:w="994" w:type="dxa"/>
          </w:tcPr>
          <w:p w14:paraId="2986D05A" w14:textId="77777777" w:rsidR="004C7180" w:rsidRPr="00150EDC" w:rsidRDefault="004C7180">
            <w:pPr>
              <w:pStyle w:val="TableParagraph"/>
              <w:spacing w:before="0" w:line="240" w:lineRule="auto"/>
              <w:ind w:left="0"/>
            </w:pPr>
          </w:p>
          <w:p w14:paraId="33F3E08B" w14:textId="77777777" w:rsidR="004C7180" w:rsidRPr="00150EDC" w:rsidRDefault="004C7180">
            <w:pPr>
              <w:pStyle w:val="TableParagraph"/>
              <w:spacing w:before="0" w:line="240" w:lineRule="auto"/>
              <w:ind w:left="0"/>
            </w:pPr>
          </w:p>
          <w:p w14:paraId="2DF9F1CA" w14:textId="77777777" w:rsidR="004C7180" w:rsidRPr="00150EDC" w:rsidRDefault="004C7180">
            <w:pPr>
              <w:pStyle w:val="TableParagraph"/>
              <w:spacing w:before="0" w:line="240" w:lineRule="auto"/>
              <w:ind w:left="0"/>
            </w:pPr>
          </w:p>
          <w:p w14:paraId="68BD9C2F" w14:textId="77777777" w:rsidR="004C7180" w:rsidRPr="00150EDC" w:rsidRDefault="004C7180">
            <w:pPr>
              <w:pStyle w:val="TableParagraph"/>
              <w:spacing w:before="0" w:line="240" w:lineRule="auto"/>
              <w:ind w:left="0"/>
            </w:pPr>
          </w:p>
          <w:p w14:paraId="4D1DB40E" w14:textId="77777777" w:rsidR="004C7180" w:rsidRPr="00150EDC" w:rsidRDefault="004C7180">
            <w:pPr>
              <w:pStyle w:val="TableParagraph"/>
              <w:spacing w:before="0" w:line="240" w:lineRule="auto"/>
              <w:ind w:left="0"/>
            </w:pPr>
          </w:p>
          <w:p w14:paraId="07915608" w14:textId="77777777" w:rsidR="004C7180" w:rsidRPr="00150EDC" w:rsidRDefault="004C7180">
            <w:pPr>
              <w:pStyle w:val="TableParagraph"/>
              <w:spacing w:before="0" w:line="240" w:lineRule="auto"/>
              <w:ind w:left="0"/>
            </w:pPr>
          </w:p>
          <w:p w14:paraId="6D9E1552" w14:textId="77777777" w:rsidR="004C7180" w:rsidRPr="00150EDC" w:rsidRDefault="004C7180">
            <w:pPr>
              <w:pStyle w:val="TableParagraph"/>
              <w:spacing w:before="0" w:line="240" w:lineRule="auto"/>
              <w:ind w:left="0"/>
            </w:pPr>
          </w:p>
          <w:p w14:paraId="64A4CF44" w14:textId="77777777" w:rsidR="004C7180" w:rsidRPr="00150EDC" w:rsidRDefault="004C7180">
            <w:pPr>
              <w:pStyle w:val="TableParagraph"/>
              <w:spacing w:before="0" w:line="240" w:lineRule="auto"/>
              <w:ind w:left="0"/>
            </w:pPr>
          </w:p>
          <w:p w14:paraId="21B053DF" w14:textId="77777777" w:rsidR="004C7180" w:rsidRPr="00150EDC" w:rsidRDefault="004C7180">
            <w:pPr>
              <w:pStyle w:val="TableParagraph"/>
              <w:spacing w:before="0" w:line="240" w:lineRule="auto"/>
              <w:ind w:left="0"/>
            </w:pPr>
          </w:p>
          <w:p w14:paraId="048E68A2" w14:textId="77777777" w:rsidR="004C7180" w:rsidRPr="00150EDC" w:rsidRDefault="004C7180">
            <w:pPr>
              <w:pStyle w:val="TableParagraph"/>
              <w:spacing w:before="0" w:line="240" w:lineRule="auto"/>
              <w:ind w:left="0"/>
            </w:pPr>
          </w:p>
          <w:p w14:paraId="6650C16D" w14:textId="77777777" w:rsidR="004C7180" w:rsidRPr="00150EDC" w:rsidRDefault="004C7180">
            <w:pPr>
              <w:pStyle w:val="TableParagraph"/>
              <w:spacing w:before="0" w:line="240" w:lineRule="auto"/>
              <w:ind w:left="0"/>
            </w:pPr>
          </w:p>
          <w:p w14:paraId="431963BD" w14:textId="77777777" w:rsidR="004C7180" w:rsidRPr="00150EDC" w:rsidRDefault="004C7180">
            <w:pPr>
              <w:pStyle w:val="TableParagraph"/>
              <w:spacing w:before="0" w:line="240" w:lineRule="auto"/>
              <w:ind w:left="0"/>
            </w:pPr>
          </w:p>
          <w:p w14:paraId="40142E24" w14:textId="77777777" w:rsidR="004C7180" w:rsidRPr="00150EDC" w:rsidRDefault="004C7180">
            <w:pPr>
              <w:pStyle w:val="TableParagraph"/>
              <w:spacing w:before="5" w:line="240" w:lineRule="auto"/>
              <w:ind w:left="0"/>
              <w:rPr>
                <w:sz w:val="17"/>
              </w:rPr>
            </w:pPr>
          </w:p>
          <w:p w14:paraId="613AE4CE" w14:textId="77777777" w:rsidR="004C7180" w:rsidRPr="00150EDC" w:rsidRDefault="00CF0754">
            <w:pPr>
              <w:pStyle w:val="TableParagraph"/>
              <w:spacing w:before="0" w:line="240" w:lineRule="auto"/>
              <w:ind w:left="111" w:right="143"/>
              <w:rPr>
                <w:rFonts w:ascii="Calibri"/>
              </w:rPr>
            </w:pPr>
            <w:r w:rsidRPr="00150EDC">
              <w:rPr>
                <w:rFonts w:ascii="Calibri"/>
                <w:spacing w:val="-2"/>
              </w:rPr>
              <w:t>Locally Commis sioned Trial</w:t>
            </w:r>
          </w:p>
        </w:tc>
        <w:tc>
          <w:tcPr>
            <w:tcW w:w="2988" w:type="dxa"/>
          </w:tcPr>
          <w:p w14:paraId="2B68A8D9" w14:textId="77777777" w:rsidR="004C7180" w:rsidRPr="00150EDC" w:rsidRDefault="00CF0754">
            <w:pPr>
              <w:pStyle w:val="TableParagraph"/>
              <w:numPr>
                <w:ilvl w:val="0"/>
                <w:numId w:val="13"/>
              </w:numPr>
              <w:tabs>
                <w:tab w:val="left" w:pos="226"/>
              </w:tabs>
              <w:spacing w:before="13" w:line="240" w:lineRule="auto"/>
              <w:ind w:right="167" w:firstLine="0"/>
              <w:rPr>
                <w:rFonts w:ascii="Calibri" w:hAnsi="Calibri"/>
              </w:rPr>
            </w:pPr>
            <w:r w:rsidRPr="00150EDC">
              <w:rPr>
                <w:rFonts w:ascii="Calibri" w:hAnsi="Calibri"/>
              </w:rPr>
              <w:t>What is the impact of a 'preparation for GCSE' study skills</w:t>
            </w:r>
            <w:r w:rsidRPr="00150EDC">
              <w:rPr>
                <w:rFonts w:ascii="Calibri" w:hAnsi="Calibri"/>
                <w:spacing w:val="-7"/>
              </w:rPr>
              <w:t xml:space="preserve"> </w:t>
            </w:r>
            <w:r w:rsidRPr="00150EDC">
              <w:rPr>
                <w:rFonts w:ascii="Calibri" w:hAnsi="Calibri"/>
              </w:rPr>
              <w:t>course</w:t>
            </w:r>
            <w:r w:rsidRPr="00150EDC">
              <w:rPr>
                <w:rFonts w:ascii="Calibri" w:hAnsi="Calibri"/>
                <w:spacing w:val="-9"/>
              </w:rPr>
              <w:t xml:space="preserve"> </w:t>
            </w:r>
            <w:r w:rsidRPr="00150EDC">
              <w:rPr>
                <w:rFonts w:ascii="Calibri" w:hAnsi="Calibri"/>
              </w:rPr>
              <w:t>on</w:t>
            </w:r>
            <w:r w:rsidRPr="00150EDC">
              <w:rPr>
                <w:rFonts w:ascii="Calibri" w:hAnsi="Calibri"/>
                <w:spacing w:val="-8"/>
              </w:rPr>
              <w:t xml:space="preserve"> </w:t>
            </w:r>
            <w:r w:rsidRPr="00150EDC">
              <w:rPr>
                <w:rFonts w:ascii="Calibri" w:hAnsi="Calibri"/>
              </w:rPr>
              <w:t>progression</w:t>
            </w:r>
            <w:r w:rsidRPr="00150EDC">
              <w:rPr>
                <w:rFonts w:ascii="Calibri" w:hAnsi="Calibri"/>
                <w:spacing w:val="-10"/>
              </w:rPr>
              <w:t xml:space="preserve"> </w:t>
            </w:r>
            <w:r w:rsidRPr="00150EDC">
              <w:rPr>
                <w:rFonts w:ascii="Calibri" w:hAnsi="Calibri"/>
              </w:rPr>
              <w:t>to a GCSE maths course for learners aged 19+ completing Level 1 maths courses, compared to comparable learners</w:t>
            </w:r>
            <w:r w:rsidRPr="00150EDC">
              <w:rPr>
                <w:rFonts w:ascii="Calibri" w:hAnsi="Calibri"/>
                <w:spacing w:val="-11"/>
              </w:rPr>
              <w:t xml:space="preserve"> </w:t>
            </w:r>
            <w:r w:rsidRPr="00150EDC">
              <w:rPr>
                <w:rFonts w:ascii="Calibri" w:hAnsi="Calibri"/>
              </w:rPr>
              <w:t>who</w:t>
            </w:r>
            <w:r w:rsidRPr="00150EDC">
              <w:rPr>
                <w:rFonts w:ascii="Calibri" w:hAnsi="Calibri"/>
                <w:spacing w:val="-9"/>
              </w:rPr>
              <w:t xml:space="preserve"> </w:t>
            </w:r>
            <w:r w:rsidRPr="00150EDC">
              <w:rPr>
                <w:rFonts w:ascii="Calibri" w:hAnsi="Calibri"/>
              </w:rPr>
              <w:t>do</w:t>
            </w:r>
            <w:r w:rsidRPr="00150EDC">
              <w:rPr>
                <w:rFonts w:ascii="Calibri" w:hAnsi="Calibri"/>
                <w:spacing w:val="-9"/>
              </w:rPr>
              <w:t xml:space="preserve"> </w:t>
            </w:r>
            <w:r w:rsidRPr="00150EDC">
              <w:rPr>
                <w:rFonts w:ascii="Calibri" w:hAnsi="Calibri"/>
              </w:rPr>
              <w:t>not</w:t>
            </w:r>
            <w:r w:rsidRPr="00150EDC">
              <w:rPr>
                <w:rFonts w:ascii="Calibri" w:hAnsi="Calibri"/>
                <w:spacing w:val="-9"/>
              </w:rPr>
              <w:t xml:space="preserve"> </w:t>
            </w:r>
            <w:r w:rsidRPr="00150EDC">
              <w:rPr>
                <w:rFonts w:ascii="Calibri" w:hAnsi="Calibri"/>
              </w:rPr>
              <w:t xml:space="preserve">complete a preparation for GCSE </w:t>
            </w:r>
            <w:r w:rsidRPr="00150EDC">
              <w:rPr>
                <w:rFonts w:ascii="Calibri" w:hAnsi="Calibri"/>
                <w:spacing w:val="-2"/>
              </w:rPr>
              <w:t>course?</w:t>
            </w:r>
          </w:p>
          <w:p w14:paraId="692269E4" w14:textId="77777777" w:rsidR="004C7180" w:rsidRPr="00150EDC" w:rsidRDefault="00CF0754">
            <w:pPr>
              <w:pStyle w:val="TableParagraph"/>
              <w:numPr>
                <w:ilvl w:val="0"/>
                <w:numId w:val="13"/>
              </w:numPr>
              <w:tabs>
                <w:tab w:val="left" w:pos="225"/>
              </w:tabs>
              <w:spacing w:before="0" w:line="240" w:lineRule="auto"/>
              <w:ind w:left="108" w:right="117" w:firstLine="0"/>
              <w:rPr>
                <w:rFonts w:ascii="Calibri" w:hAnsi="Calibri"/>
              </w:rPr>
            </w:pPr>
            <w:r w:rsidRPr="00150EDC">
              <w:rPr>
                <w:rFonts w:ascii="Calibri" w:hAnsi="Calibri"/>
              </w:rPr>
              <w:t>What is the difference in GCSE course attendance of learners aged 19+ who have participated in a 'preparation for GCSE' study skills course, compared to comparable learners</w:t>
            </w:r>
            <w:r w:rsidRPr="00150EDC">
              <w:rPr>
                <w:rFonts w:ascii="Calibri" w:hAnsi="Calibri"/>
                <w:spacing w:val="-10"/>
              </w:rPr>
              <w:t xml:space="preserve"> </w:t>
            </w:r>
            <w:r w:rsidRPr="00150EDC">
              <w:rPr>
                <w:rFonts w:ascii="Calibri" w:hAnsi="Calibri"/>
              </w:rPr>
              <w:t>who</w:t>
            </w:r>
            <w:r w:rsidRPr="00150EDC">
              <w:rPr>
                <w:rFonts w:ascii="Calibri" w:hAnsi="Calibri"/>
                <w:spacing w:val="-8"/>
              </w:rPr>
              <w:t xml:space="preserve"> </w:t>
            </w:r>
            <w:r w:rsidRPr="00150EDC">
              <w:rPr>
                <w:rFonts w:ascii="Calibri" w:hAnsi="Calibri"/>
              </w:rPr>
              <w:t>did</w:t>
            </w:r>
            <w:r w:rsidRPr="00150EDC">
              <w:rPr>
                <w:rFonts w:ascii="Calibri" w:hAnsi="Calibri"/>
                <w:spacing w:val="-9"/>
              </w:rPr>
              <w:t xml:space="preserve"> </w:t>
            </w:r>
            <w:r w:rsidRPr="00150EDC">
              <w:rPr>
                <w:rFonts w:ascii="Calibri" w:hAnsi="Calibri"/>
              </w:rPr>
              <w:t>not</w:t>
            </w:r>
            <w:r w:rsidRPr="00150EDC">
              <w:rPr>
                <w:rFonts w:ascii="Calibri" w:hAnsi="Calibri"/>
                <w:spacing w:val="-10"/>
              </w:rPr>
              <w:t xml:space="preserve"> </w:t>
            </w:r>
            <w:r w:rsidRPr="00150EDC">
              <w:rPr>
                <w:rFonts w:ascii="Calibri" w:hAnsi="Calibri"/>
              </w:rPr>
              <w:t>complete a preparation for GCSE</w:t>
            </w:r>
            <w:r w:rsidRPr="00150EDC">
              <w:rPr>
                <w:rFonts w:ascii="Calibri" w:hAnsi="Calibri"/>
                <w:spacing w:val="40"/>
              </w:rPr>
              <w:t xml:space="preserve"> </w:t>
            </w:r>
            <w:r w:rsidRPr="00150EDC">
              <w:rPr>
                <w:rFonts w:ascii="Calibri" w:hAnsi="Calibri"/>
                <w:spacing w:val="-2"/>
              </w:rPr>
              <w:t>course?</w:t>
            </w:r>
          </w:p>
          <w:p w14:paraId="68454098" w14:textId="77777777" w:rsidR="004C7180" w:rsidRPr="00150EDC" w:rsidRDefault="00CF0754">
            <w:pPr>
              <w:pStyle w:val="TableParagraph"/>
              <w:numPr>
                <w:ilvl w:val="0"/>
                <w:numId w:val="13"/>
              </w:numPr>
              <w:tabs>
                <w:tab w:val="left" w:pos="225"/>
              </w:tabs>
              <w:spacing w:before="0" w:line="240" w:lineRule="auto"/>
              <w:ind w:left="108" w:right="117" w:firstLine="0"/>
              <w:rPr>
                <w:rFonts w:ascii="Calibri" w:hAnsi="Calibri"/>
              </w:rPr>
            </w:pPr>
            <w:r w:rsidRPr="00150EDC">
              <w:rPr>
                <w:rFonts w:ascii="Calibri" w:hAnsi="Calibri"/>
              </w:rPr>
              <w:t>What is the difference in GCSE course completion of learners aged 19+ who have participated in a 'preparation for GCSE' study skills course, compared to comparable learners</w:t>
            </w:r>
            <w:r w:rsidRPr="00150EDC">
              <w:rPr>
                <w:rFonts w:ascii="Calibri" w:hAnsi="Calibri"/>
                <w:spacing w:val="-10"/>
              </w:rPr>
              <w:t xml:space="preserve"> </w:t>
            </w:r>
            <w:r w:rsidRPr="00150EDC">
              <w:rPr>
                <w:rFonts w:ascii="Calibri" w:hAnsi="Calibri"/>
              </w:rPr>
              <w:t>who</w:t>
            </w:r>
            <w:r w:rsidRPr="00150EDC">
              <w:rPr>
                <w:rFonts w:ascii="Calibri" w:hAnsi="Calibri"/>
                <w:spacing w:val="-8"/>
              </w:rPr>
              <w:t xml:space="preserve"> </w:t>
            </w:r>
            <w:r w:rsidRPr="00150EDC">
              <w:rPr>
                <w:rFonts w:ascii="Calibri" w:hAnsi="Calibri"/>
              </w:rPr>
              <w:t>did</w:t>
            </w:r>
            <w:r w:rsidRPr="00150EDC">
              <w:rPr>
                <w:rFonts w:ascii="Calibri" w:hAnsi="Calibri"/>
                <w:spacing w:val="-9"/>
              </w:rPr>
              <w:t xml:space="preserve"> </w:t>
            </w:r>
            <w:r w:rsidRPr="00150EDC">
              <w:rPr>
                <w:rFonts w:ascii="Calibri" w:hAnsi="Calibri"/>
              </w:rPr>
              <w:t>not</w:t>
            </w:r>
            <w:r w:rsidRPr="00150EDC">
              <w:rPr>
                <w:rFonts w:ascii="Calibri" w:hAnsi="Calibri"/>
                <w:spacing w:val="-10"/>
              </w:rPr>
              <w:t xml:space="preserve"> </w:t>
            </w:r>
            <w:r w:rsidRPr="00150EDC">
              <w:rPr>
                <w:rFonts w:ascii="Calibri" w:hAnsi="Calibri"/>
              </w:rPr>
              <w:t>complete a preparation for GCSE</w:t>
            </w:r>
          </w:p>
          <w:p w14:paraId="43CBEF38" w14:textId="77777777" w:rsidR="004C7180" w:rsidRPr="00150EDC" w:rsidRDefault="00CF0754">
            <w:pPr>
              <w:pStyle w:val="TableParagraph"/>
              <w:spacing w:before="0" w:line="266" w:lineRule="exact"/>
              <w:ind w:left="109"/>
              <w:rPr>
                <w:rFonts w:ascii="Calibri"/>
              </w:rPr>
            </w:pPr>
            <w:r w:rsidRPr="00150EDC">
              <w:rPr>
                <w:rFonts w:ascii="Calibri"/>
                <w:spacing w:val="-2"/>
              </w:rPr>
              <w:t>course?</w:t>
            </w:r>
          </w:p>
        </w:tc>
      </w:tr>
    </w:tbl>
    <w:p w14:paraId="353D81FD" w14:textId="77777777" w:rsidR="004C7180" w:rsidRPr="00150EDC" w:rsidRDefault="004C7180">
      <w:pPr>
        <w:spacing w:line="266" w:lineRule="exact"/>
        <w:rPr>
          <w:rFonts w:ascii="Calibri"/>
        </w:rPr>
        <w:sectPr w:rsidR="004C7180" w:rsidRPr="00150EDC">
          <w:pgSz w:w="11910" w:h="16840"/>
          <w:pgMar w:top="1160" w:right="0" w:bottom="1440" w:left="40" w:header="715" w:footer="1259" w:gutter="0"/>
          <w:cols w:space="720"/>
        </w:sectPr>
      </w:pPr>
    </w:p>
    <w:p w14:paraId="13B08F38" w14:textId="77777777" w:rsidR="004C7180" w:rsidRPr="00150EDC" w:rsidRDefault="004C7180">
      <w:pPr>
        <w:pStyle w:val="BodyText"/>
        <w:spacing w:before="7"/>
        <w:rPr>
          <w:sz w:val="23"/>
        </w:rPr>
      </w:pPr>
    </w:p>
    <w:tbl>
      <w:tblPr>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7"/>
        <w:gridCol w:w="4961"/>
        <w:gridCol w:w="1277"/>
        <w:gridCol w:w="994"/>
        <w:gridCol w:w="2988"/>
      </w:tblGrid>
      <w:tr w:rsidR="004569EE" w:rsidRPr="007D3144" w14:paraId="266C63F9" w14:textId="77777777">
        <w:trPr>
          <w:trHeight w:val="7550"/>
        </w:trPr>
        <w:tc>
          <w:tcPr>
            <w:tcW w:w="1277" w:type="dxa"/>
            <w:tcBorders>
              <w:left w:val="single" w:sz="8" w:space="0" w:color="000000"/>
            </w:tcBorders>
          </w:tcPr>
          <w:p w14:paraId="7773212F" w14:textId="77777777" w:rsidR="004C7180" w:rsidRPr="00150EDC" w:rsidRDefault="004C7180">
            <w:pPr>
              <w:pStyle w:val="TableParagraph"/>
              <w:spacing w:before="0" w:line="240" w:lineRule="auto"/>
              <w:ind w:left="0"/>
            </w:pPr>
          </w:p>
          <w:p w14:paraId="16CCF55C" w14:textId="77777777" w:rsidR="004C7180" w:rsidRPr="00150EDC" w:rsidRDefault="004C7180">
            <w:pPr>
              <w:pStyle w:val="TableParagraph"/>
              <w:spacing w:before="0" w:line="240" w:lineRule="auto"/>
              <w:ind w:left="0"/>
            </w:pPr>
          </w:p>
          <w:p w14:paraId="4FED8E3B" w14:textId="77777777" w:rsidR="004C7180" w:rsidRPr="00150EDC" w:rsidRDefault="004C7180">
            <w:pPr>
              <w:pStyle w:val="TableParagraph"/>
              <w:spacing w:before="0" w:line="240" w:lineRule="auto"/>
              <w:ind w:left="0"/>
            </w:pPr>
          </w:p>
          <w:p w14:paraId="67765608" w14:textId="77777777" w:rsidR="004C7180" w:rsidRPr="00150EDC" w:rsidRDefault="004C7180">
            <w:pPr>
              <w:pStyle w:val="TableParagraph"/>
              <w:spacing w:before="0" w:line="240" w:lineRule="auto"/>
              <w:ind w:left="0"/>
            </w:pPr>
          </w:p>
          <w:p w14:paraId="41CF60A0" w14:textId="77777777" w:rsidR="004C7180" w:rsidRPr="00150EDC" w:rsidRDefault="004C7180">
            <w:pPr>
              <w:pStyle w:val="TableParagraph"/>
              <w:spacing w:before="0" w:line="240" w:lineRule="auto"/>
              <w:ind w:left="0"/>
            </w:pPr>
          </w:p>
          <w:p w14:paraId="4BBAAD4C" w14:textId="77777777" w:rsidR="004C7180" w:rsidRPr="00150EDC" w:rsidRDefault="004C7180">
            <w:pPr>
              <w:pStyle w:val="TableParagraph"/>
              <w:spacing w:before="0" w:line="240" w:lineRule="auto"/>
              <w:ind w:left="0"/>
            </w:pPr>
          </w:p>
          <w:p w14:paraId="539707E9" w14:textId="77777777" w:rsidR="004C7180" w:rsidRPr="00150EDC" w:rsidRDefault="004C7180">
            <w:pPr>
              <w:pStyle w:val="TableParagraph"/>
              <w:spacing w:before="0" w:line="240" w:lineRule="auto"/>
              <w:ind w:left="0"/>
            </w:pPr>
          </w:p>
          <w:p w14:paraId="64176489" w14:textId="77777777" w:rsidR="004C7180" w:rsidRPr="00150EDC" w:rsidRDefault="004C7180">
            <w:pPr>
              <w:pStyle w:val="TableParagraph"/>
              <w:spacing w:before="0" w:line="240" w:lineRule="auto"/>
              <w:ind w:left="0"/>
            </w:pPr>
          </w:p>
          <w:p w14:paraId="7078D560" w14:textId="77777777" w:rsidR="004C7180" w:rsidRPr="00150EDC" w:rsidRDefault="004C7180">
            <w:pPr>
              <w:pStyle w:val="TableParagraph"/>
              <w:spacing w:before="0" w:line="240" w:lineRule="auto"/>
              <w:ind w:left="0"/>
            </w:pPr>
          </w:p>
          <w:p w14:paraId="669EBC82" w14:textId="77777777" w:rsidR="004C7180" w:rsidRPr="00150EDC" w:rsidRDefault="004C7180">
            <w:pPr>
              <w:pStyle w:val="TableParagraph"/>
              <w:spacing w:before="0" w:line="240" w:lineRule="auto"/>
              <w:ind w:left="0"/>
            </w:pPr>
          </w:p>
          <w:p w14:paraId="72B2B225" w14:textId="77777777" w:rsidR="004C7180" w:rsidRPr="00150EDC" w:rsidRDefault="004C7180">
            <w:pPr>
              <w:pStyle w:val="TableParagraph"/>
              <w:spacing w:before="0" w:line="240" w:lineRule="auto"/>
              <w:ind w:left="0"/>
            </w:pPr>
          </w:p>
          <w:p w14:paraId="4C693D5C" w14:textId="77777777" w:rsidR="004C7180" w:rsidRPr="00150EDC" w:rsidRDefault="004C7180">
            <w:pPr>
              <w:pStyle w:val="TableParagraph"/>
              <w:spacing w:before="0" w:line="240" w:lineRule="auto"/>
              <w:ind w:left="0"/>
            </w:pPr>
          </w:p>
          <w:p w14:paraId="7C63DF70" w14:textId="77777777" w:rsidR="004C7180" w:rsidRPr="00150EDC" w:rsidRDefault="004C7180">
            <w:pPr>
              <w:pStyle w:val="TableParagraph"/>
              <w:spacing w:before="0" w:line="240" w:lineRule="auto"/>
              <w:ind w:left="0"/>
            </w:pPr>
          </w:p>
          <w:p w14:paraId="1E7FD6E8" w14:textId="77777777" w:rsidR="004C7180" w:rsidRPr="00150EDC" w:rsidRDefault="004C7180">
            <w:pPr>
              <w:pStyle w:val="TableParagraph"/>
              <w:spacing w:before="9" w:line="240" w:lineRule="auto"/>
              <w:ind w:left="0"/>
              <w:rPr>
                <w:sz w:val="18"/>
              </w:rPr>
            </w:pPr>
          </w:p>
          <w:p w14:paraId="296448A4" w14:textId="77777777" w:rsidR="004C7180" w:rsidRPr="00150EDC" w:rsidRDefault="00CF0754">
            <w:pPr>
              <w:pStyle w:val="TableParagraph"/>
              <w:spacing w:before="1" w:line="240" w:lineRule="auto"/>
              <w:ind w:left="107"/>
              <w:rPr>
                <w:rFonts w:ascii="Calibri"/>
                <w:b/>
              </w:rPr>
            </w:pPr>
            <w:r w:rsidRPr="00150EDC">
              <w:rPr>
                <w:rFonts w:ascii="Calibri"/>
                <w:b/>
                <w:spacing w:val="-2"/>
              </w:rPr>
              <w:t>Mastery Approach</w:t>
            </w:r>
          </w:p>
        </w:tc>
        <w:tc>
          <w:tcPr>
            <w:tcW w:w="4961" w:type="dxa"/>
          </w:tcPr>
          <w:p w14:paraId="07438490" w14:textId="77777777" w:rsidR="004C7180" w:rsidRPr="00150EDC" w:rsidRDefault="00CF0754">
            <w:pPr>
              <w:pStyle w:val="TableParagraph"/>
              <w:spacing w:before="13" w:line="240" w:lineRule="auto"/>
              <w:ind w:left="111" w:right="124"/>
              <w:rPr>
                <w:rFonts w:ascii="Calibri"/>
              </w:rPr>
            </w:pPr>
            <w:r w:rsidRPr="00150EDC">
              <w:rPr>
                <w:rFonts w:ascii="Calibri"/>
              </w:rPr>
              <w:t>This trial will look at the impact on adult learner outcomes of using a mastery approach to maths, such as that used by the National Centre for Excellence</w:t>
            </w:r>
            <w:r w:rsidRPr="00150EDC">
              <w:rPr>
                <w:rFonts w:ascii="Calibri"/>
                <w:spacing w:val="-4"/>
              </w:rPr>
              <w:t xml:space="preserve"> </w:t>
            </w:r>
            <w:r w:rsidRPr="00150EDC">
              <w:rPr>
                <w:rFonts w:ascii="Calibri"/>
              </w:rPr>
              <w:t>in</w:t>
            </w:r>
            <w:r w:rsidRPr="00150EDC">
              <w:rPr>
                <w:rFonts w:ascii="Calibri"/>
                <w:spacing w:val="-8"/>
              </w:rPr>
              <w:t xml:space="preserve"> </w:t>
            </w:r>
            <w:r w:rsidRPr="00150EDC">
              <w:rPr>
                <w:rFonts w:ascii="Calibri"/>
              </w:rPr>
              <w:t>the</w:t>
            </w:r>
            <w:r w:rsidRPr="00150EDC">
              <w:rPr>
                <w:rFonts w:ascii="Calibri"/>
                <w:spacing w:val="-4"/>
              </w:rPr>
              <w:t xml:space="preserve"> </w:t>
            </w:r>
            <w:r w:rsidRPr="00150EDC">
              <w:rPr>
                <w:rFonts w:ascii="Calibri"/>
              </w:rPr>
              <w:t>Teaching</w:t>
            </w:r>
            <w:r w:rsidRPr="00150EDC">
              <w:rPr>
                <w:rFonts w:ascii="Calibri"/>
                <w:spacing w:val="-8"/>
              </w:rPr>
              <w:t xml:space="preserve"> </w:t>
            </w:r>
            <w:r w:rsidRPr="00150EDC">
              <w:rPr>
                <w:rFonts w:ascii="Calibri"/>
              </w:rPr>
              <w:t>of</w:t>
            </w:r>
            <w:r w:rsidRPr="00150EDC">
              <w:rPr>
                <w:rFonts w:ascii="Calibri"/>
                <w:spacing w:val="-8"/>
              </w:rPr>
              <w:t xml:space="preserve"> </w:t>
            </w:r>
            <w:r w:rsidRPr="00150EDC">
              <w:rPr>
                <w:rFonts w:ascii="Calibri"/>
              </w:rPr>
              <w:t>Mathematics</w:t>
            </w:r>
            <w:r w:rsidRPr="00150EDC">
              <w:rPr>
                <w:rFonts w:ascii="Calibri"/>
                <w:spacing w:val="-5"/>
              </w:rPr>
              <w:t xml:space="preserve"> </w:t>
            </w:r>
            <w:r w:rsidRPr="00150EDC">
              <w:rPr>
                <w:rFonts w:ascii="Calibri"/>
              </w:rPr>
              <w:t>(NCETM). The principles of the mastery approach are outlined here: https://</w:t>
            </w:r>
            <w:hyperlink r:id="rId115">
              <w:r w:rsidRPr="00150EDC">
                <w:rPr>
                  <w:rFonts w:ascii="Calibri"/>
                </w:rPr>
                <w:t>www.ncetm.org.uk/teaching-for-</w:t>
              </w:r>
            </w:hyperlink>
            <w:r w:rsidRPr="00150EDC">
              <w:rPr>
                <w:rFonts w:ascii="Calibri"/>
              </w:rPr>
              <w:t xml:space="preserve"> </w:t>
            </w:r>
            <w:r w:rsidRPr="00150EDC">
              <w:rPr>
                <w:rFonts w:ascii="Calibri"/>
                <w:spacing w:val="-2"/>
              </w:rPr>
              <w:t xml:space="preserve">mastery/mastery-explained/five-big-ideas-in- </w:t>
            </w:r>
            <w:r w:rsidRPr="00150EDC">
              <w:rPr>
                <w:rFonts w:ascii="Calibri"/>
              </w:rPr>
              <w:t xml:space="preserve">teaching-for-mastery/ and here: </w:t>
            </w:r>
            <w:r w:rsidRPr="00150EDC">
              <w:rPr>
                <w:rFonts w:ascii="Calibri"/>
                <w:spacing w:val="-2"/>
              </w:rPr>
              <w:t>https://</w:t>
            </w:r>
            <w:hyperlink r:id="rId116">
              <w:r w:rsidRPr="00150EDC">
                <w:rPr>
                  <w:rFonts w:ascii="Calibri"/>
                  <w:spacing w:val="-2"/>
                </w:rPr>
                <w:t>www.ncetm.org.uk/teaching-for-</w:t>
              </w:r>
            </w:hyperlink>
            <w:r w:rsidRPr="00150EDC">
              <w:rPr>
                <w:rFonts w:ascii="Calibri"/>
                <w:spacing w:val="-2"/>
              </w:rPr>
              <w:t xml:space="preserve"> mastery/mastery-explained/the-essence-of- </w:t>
            </w:r>
            <w:r w:rsidRPr="00150EDC">
              <w:rPr>
                <w:rFonts w:ascii="Calibri"/>
              </w:rPr>
              <w:t>mathematics-teaching-for-mastery/ The trial was originally suggested by local areas.</w:t>
            </w:r>
          </w:p>
          <w:p w14:paraId="444138A4" w14:textId="77777777" w:rsidR="004C7180" w:rsidRPr="00150EDC" w:rsidRDefault="004C7180">
            <w:pPr>
              <w:pStyle w:val="TableParagraph"/>
              <w:spacing w:before="4" w:line="240" w:lineRule="auto"/>
              <w:ind w:left="0"/>
              <w:rPr>
                <w:sz w:val="23"/>
              </w:rPr>
            </w:pPr>
          </w:p>
          <w:p w14:paraId="1526CB7D" w14:textId="77777777" w:rsidR="004C7180" w:rsidRPr="00150EDC" w:rsidRDefault="00CF0754">
            <w:pPr>
              <w:pStyle w:val="TableParagraph"/>
              <w:spacing w:before="0" w:line="240" w:lineRule="auto"/>
              <w:ind w:left="111" w:right="160"/>
              <w:rPr>
                <w:rFonts w:ascii="Calibri"/>
              </w:rPr>
            </w:pPr>
            <w:r w:rsidRPr="00150EDC">
              <w:rPr>
                <w:rFonts w:ascii="Calibri"/>
              </w:rPr>
              <w:t>This approach has already been investigated with 16-19</w:t>
            </w:r>
            <w:r w:rsidRPr="00150EDC">
              <w:rPr>
                <w:rFonts w:ascii="Calibri"/>
                <w:spacing w:val="-5"/>
              </w:rPr>
              <w:t xml:space="preserve"> </w:t>
            </w:r>
            <w:r w:rsidRPr="00150EDC">
              <w:rPr>
                <w:rFonts w:ascii="Calibri"/>
              </w:rPr>
              <w:t>year</w:t>
            </w:r>
            <w:r w:rsidRPr="00150EDC">
              <w:rPr>
                <w:rFonts w:ascii="Calibri"/>
                <w:spacing w:val="-6"/>
              </w:rPr>
              <w:t xml:space="preserve"> </w:t>
            </w:r>
            <w:r w:rsidRPr="00150EDC">
              <w:rPr>
                <w:rFonts w:ascii="Calibri"/>
              </w:rPr>
              <w:t>olds.</w:t>
            </w:r>
            <w:r w:rsidRPr="00150EDC">
              <w:rPr>
                <w:rFonts w:ascii="Calibri"/>
                <w:spacing w:val="-7"/>
              </w:rPr>
              <w:t xml:space="preserve"> </w:t>
            </w:r>
            <w:r w:rsidRPr="00150EDC">
              <w:rPr>
                <w:rFonts w:ascii="Calibri"/>
              </w:rPr>
              <w:t>The</w:t>
            </w:r>
            <w:r w:rsidRPr="00150EDC">
              <w:rPr>
                <w:rFonts w:ascii="Calibri"/>
                <w:spacing w:val="-3"/>
              </w:rPr>
              <w:t xml:space="preserve"> </w:t>
            </w:r>
            <w:r w:rsidRPr="00150EDC">
              <w:rPr>
                <w:rFonts w:ascii="Calibri"/>
              </w:rPr>
              <w:t>Centres</w:t>
            </w:r>
            <w:r w:rsidRPr="00150EDC">
              <w:rPr>
                <w:rFonts w:ascii="Calibri"/>
                <w:spacing w:val="-4"/>
              </w:rPr>
              <w:t xml:space="preserve"> </w:t>
            </w:r>
            <w:r w:rsidRPr="00150EDC">
              <w:rPr>
                <w:rFonts w:ascii="Calibri"/>
              </w:rPr>
              <w:t>for</w:t>
            </w:r>
            <w:r w:rsidRPr="00150EDC">
              <w:rPr>
                <w:rFonts w:ascii="Calibri"/>
                <w:spacing w:val="-4"/>
              </w:rPr>
              <w:t xml:space="preserve"> </w:t>
            </w:r>
            <w:r w:rsidRPr="00150EDC">
              <w:rPr>
                <w:rFonts w:ascii="Calibri"/>
              </w:rPr>
              <w:t>Excellence</w:t>
            </w:r>
            <w:r w:rsidRPr="00150EDC">
              <w:rPr>
                <w:rFonts w:ascii="Calibri"/>
                <w:spacing w:val="-3"/>
              </w:rPr>
              <w:t xml:space="preserve"> </w:t>
            </w:r>
            <w:r w:rsidRPr="00150EDC">
              <w:rPr>
                <w:rFonts w:ascii="Calibri"/>
              </w:rPr>
              <w:t>in</w:t>
            </w:r>
            <w:r w:rsidRPr="00150EDC">
              <w:rPr>
                <w:rFonts w:ascii="Calibri"/>
                <w:spacing w:val="-7"/>
              </w:rPr>
              <w:t xml:space="preserve"> </w:t>
            </w:r>
            <w:r w:rsidRPr="00150EDC">
              <w:rPr>
                <w:rFonts w:ascii="Calibri"/>
              </w:rPr>
              <w:t xml:space="preserve">Maths (CfEM) programme, funded by the DfE, commissioned an adapted mastery approach </w:t>
            </w:r>
            <w:r w:rsidRPr="00150EDC">
              <w:rPr>
                <w:rFonts w:ascii="Calibri"/>
                <w:spacing w:val="-2"/>
              </w:rPr>
              <w:t>(https://</w:t>
            </w:r>
            <w:hyperlink r:id="rId117">
              <w:r w:rsidRPr="00150EDC">
                <w:rPr>
                  <w:rFonts w:ascii="Calibri"/>
                  <w:spacing w:val="-2"/>
                </w:rPr>
                <w:t>www.et-foundation.co.uk/wp-</w:t>
              </w:r>
            </w:hyperlink>
            <w:r w:rsidRPr="00150EDC">
              <w:rPr>
                <w:rFonts w:ascii="Calibri"/>
                <w:spacing w:val="-2"/>
              </w:rPr>
              <w:t xml:space="preserve"> content/uploads/2020/03/CfEM_Mastery_Handboo</w:t>
            </w:r>
          </w:p>
          <w:p w14:paraId="0C594112" w14:textId="77777777" w:rsidR="004C7180" w:rsidRPr="00150EDC" w:rsidRDefault="00CF0754">
            <w:pPr>
              <w:pStyle w:val="TableParagraph"/>
              <w:spacing w:before="0" w:line="240" w:lineRule="auto"/>
              <w:ind w:left="111" w:right="103"/>
              <w:rPr>
                <w:rFonts w:ascii="Calibri"/>
              </w:rPr>
            </w:pPr>
            <w:r w:rsidRPr="00150EDC">
              <w:rPr>
                <w:rFonts w:ascii="Calibri"/>
              </w:rPr>
              <w:t>k.pdf)</w:t>
            </w:r>
            <w:r w:rsidRPr="00150EDC">
              <w:rPr>
                <w:rFonts w:ascii="Calibri"/>
                <w:spacing w:val="-5"/>
              </w:rPr>
              <w:t xml:space="preserve"> </w:t>
            </w:r>
            <w:r w:rsidRPr="00150EDC">
              <w:rPr>
                <w:rFonts w:ascii="Calibri"/>
              </w:rPr>
              <w:t>for</w:t>
            </w:r>
            <w:r w:rsidRPr="00150EDC">
              <w:rPr>
                <w:rFonts w:ascii="Calibri"/>
                <w:spacing w:val="-7"/>
              </w:rPr>
              <w:t xml:space="preserve"> </w:t>
            </w:r>
            <w:r w:rsidRPr="00150EDC">
              <w:rPr>
                <w:rFonts w:ascii="Calibri"/>
              </w:rPr>
              <w:t>the</w:t>
            </w:r>
            <w:r w:rsidRPr="00150EDC">
              <w:rPr>
                <w:rFonts w:ascii="Calibri"/>
                <w:spacing w:val="-4"/>
              </w:rPr>
              <w:t xml:space="preserve"> </w:t>
            </w:r>
            <w:r w:rsidRPr="00150EDC">
              <w:rPr>
                <w:rFonts w:ascii="Calibri"/>
              </w:rPr>
              <w:t>post-16</w:t>
            </w:r>
            <w:r w:rsidRPr="00150EDC">
              <w:rPr>
                <w:rFonts w:ascii="Calibri"/>
                <w:spacing w:val="-4"/>
              </w:rPr>
              <w:t xml:space="preserve"> </w:t>
            </w:r>
            <w:r w:rsidRPr="00150EDC">
              <w:rPr>
                <w:rFonts w:ascii="Calibri"/>
              </w:rPr>
              <w:t>sector</w:t>
            </w:r>
            <w:r w:rsidRPr="00150EDC">
              <w:rPr>
                <w:rFonts w:ascii="Calibri"/>
                <w:spacing w:val="-5"/>
              </w:rPr>
              <w:t xml:space="preserve"> </w:t>
            </w:r>
            <w:r w:rsidRPr="00150EDC">
              <w:rPr>
                <w:rFonts w:ascii="Calibri"/>
              </w:rPr>
              <w:t>which</w:t>
            </w:r>
            <w:r w:rsidRPr="00150EDC">
              <w:rPr>
                <w:rFonts w:ascii="Calibri"/>
                <w:spacing w:val="-6"/>
              </w:rPr>
              <w:t xml:space="preserve"> </w:t>
            </w:r>
            <w:r w:rsidRPr="00150EDC">
              <w:rPr>
                <w:rFonts w:ascii="Calibri"/>
              </w:rPr>
              <w:t>targeted</w:t>
            </w:r>
            <w:r w:rsidRPr="00150EDC">
              <w:rPr>
                <w:rFonts w:ascii="Calibri"/>
                <w:spacing w:val="-8"/>
              </w:rPr>
              <w:t xml:space="preserve"> </w:t>
            </w:r>
            <w:r w:rsidRPr="00150EDC">
              <w:rPr>
                <w:rFonts w:ascii="Calibri"/>
              </w:rPr>
              <w:t xml:space="preserve">teachers of students undertaking post-16 GCSE mathematics resit classes. A randomised controlled trial </w:t>
            </w:r>
            <w:r w:rsidRPr="00150EDC">
              <w:rPr>
                <w:rFonts w:ascii="Calibri"/>
                <w:spacing w:val="-2"/>
              </w:rPr>
              <w:t>(https://</w:t>
            </w:r>
            <w:hyperlink r:id="rId118">
              <w:r w:rsidRPr="00150EDC">
                <w:rPr>
                  <w:rFonts w:ascii="Calibri"/>
                  <w:spacing w:val="-2"/>
                </w:rPr>
                <w:t>www.nottingham.ac.uk/research/groups/cr</w:t>
              </w:r>
            </w:hyperlink>
            <w:r w:rsidRPr="00150EDC">
              <w:rPr>
                <w:rFonts w:ascii="Calibri"/>
                <w:spacing w:val="-2"/>
              </w:rPr>
              <w:t xml:space="preserve"> </w:t>
            </w:r>
            <w:r w:rsidRPr="00150EDC">
              <w:rPr>
                <w:rFonts w:ascii="Calibri"/>
              </w:rPr>
              <w:t>me/documents/cfem-tfm-report.pdf)</w:t>
            </w:r>
            <w:r w:rsidRPr="00150EDC">
              <w:rPr>
                <w:rFonts w:ascii="Calibri"/>
                <w:spacing w:val="-11"/>
              </w:rPr>
              <w:t xml:space="preserve"> </w:t>
            </w:r>
            <w:r w:rsidRPr="00150EDC">
              <w:rPr>
                <w:rFonts w:ascii="Calibri"/>
              </w:rPr>
              <w:t>of</w:t>
            </w:r>
            <w:r w:rsidRPr="00150EDC">
              <w:rPr>
                <w:rFonts w:ascii="Calibri"/>
                <w:spacing w:val="-9"/>
              </w:rPr>
              <w:t xml:space="preserve"> </w:t>
            </w:r>
            <w:r w:rsidRPr="00150EDC">
              <w:rPr>
                <w:rFonts w:ascii="Calibri"/>
              </w:rPr>
              <w:t>this</w:t>
            </w:r>
            <w:r w:rsidRPr="00150EDC">
              <w:rPr>
                <w:rFonts w:ascii="Calibri"/>
                <w:spacing w:val="-11"/>
              </w:rPr>
              <w:t xml:space="preserve"> </w:t>
            </w:r>
            <w:r w:rsidRPr="00150EDC">
              <w:rPr>
                <w:rFonts w:ascii="Calibri"/>
              </w:rPr>
              <w:t>mastery approach, carried out by the University of Nottingham as part of the CfEM programme, demonstrated a small but positive impact on</w:t>
            </w:r>
          </w:p>
          <w:p w14:paraId="57220E07" w14:textId="77777777" w:rsidR="004C7180" w:rsidRPr="00150EDC" w:rsidRDefault="00CF0754">
            <w:pPr>
              <w:pStyle w:val="TableParagraph"/>
              <w:spacing w:before="2" w:line="264" w:lineRule="exact"/>
              <w:ind w:left="112"/>
              <w:rPr>
                <w:rFonts w:ascii="Calibri"/>
              </w:rPr>
            </w:pPr>
            <w:r w:rsidRPr="00150EDC">
              <w:rPr>
                <w:rFonts w:ascii="Calibri"/>
              </w:rPr>
              <w:t>learning</w:t>
            </w:r>
            <w:r w:rsidRPr="00150EDC">
              <w:rPr>
                <w:rFonts w:ascii="Calibri"/>
                <w:spacing w:val="-4"/>
              </w:rPr>
              <w:t xml:space="preserve"> </w:t>
            </w:r>
            <w:r w:rsidRPr="00150EDC">
              <w:rPr>
                <w:rFonts w:ascii="Calibri"/>
              </w:rPr>
              <w:t>compared</w:t>
            </w:r>
            <w:r w:rsidRPr="00150EDC">
              <w:rPr>
                <w:rFonts w:ascii="Calibri"/>
                <w:spacing w:val="-6"/>
              </w:rPr>
              <w:t xml:space="preserve"> </w:t>
            </w:r>
            <w:r w:rsidRPr="00150EDC">
              <w:rPr>
                <w:rFonts w:ascii="Calibri"/>
              </w:rPr>
              <w:t>to</w:t>
            </w:r>
            <w:r w:rsidRPr="00150EDC">
              <w:rPr>
                <w:rFonts w:ascii="Calibri"/>
                <w:spacing w:val="-4"/>
              </w:rPr>
              <w:t xml:space="preserve"> </w:t>
            </w:r>
            <w:r w:rsidRPr="00150EDC">
              <w:rPr>
                <w:rFonts w:ascii="Calibri"/>
              </w:rPr>
              <w:t>business</w:t>
            </w:r>
            <w:r w:rsidRPr="00150EDC">
              <w:rPr>
                <w:rFonts w:ascii="Calibri"/>
                <w:spacing w:val="-3"/>
              </w:rPr>
              <w:t xml:space="preserve"> </w:t>
            </w:r>
            <w:r w:rsidRPr="00150EDC">
              <w:rPr>
                <w:rFonts w:ascii="Calibri"/>
              </w:rPr>
              <w:t>as</w:t>
            </w:r>
            <w:r w:rsidRPr="00150EDC">
              <w:rPr>
                <w:rFonts w:ascii="Calibri"/>
                <w:spacing w:val="-3"/>
              </w:rPr>
              <w:t xml:space="preserve"> </w:t>
            </w:r>
            <w:r w:rsidRPr="00150EDC">
              <w:rPr>
                <w:rFonts w:ascii="Calibri"/>
                <w:spacing w:val="-2"/>
              </w:rPr>
              <w:t>usual.</w:t>
            </w:r>
          </w:p>
        </w:tc>
        <w:tc>
          <w:tcPr>
            <w:tcW w:w="1277" w:type="dxa"/>
          </w:tcPr>
          <w:p w14:paraId="50810F1D" w14:textId="77777777" w:rsidR="004C7180" w:rsidRPr="00150EDC" w:rsidRDefault="004C7180">
            <w:pPr>
              <w:pStyle w:val="TableParagraph"/>
              <w:spacing w:before="0" w:line="240" w:lineRule="auto"/>
              <w:ind w:left="0"/>
            </w:pPr>
          </w:p>
          <w:p w14:paraId="022DACF2" w14:textId="77777777" w:rsidR="004C7180" w:rsidRPr="00150EDC" w:rsidRDefault="004C7180">
            <w:pPr>
              <w:pStyle w:val="TableParagraph"/>
              <w:spacing w:before="0" w:line="240" w:lineRule="auto"/>
              <w:ind w:left="0"/>
            </w:pPr>
          </w:p>
          <w:p w14:paraId="2D50787D" w14:textId="77777777" w:rsidR="004C7180" w:rsidRPr="00150EDC" w:rsidRDefault="004C7180">
            <w:pPr>
              <w:pStyle w:val="TableParagraph"/>
              <w:spacing w:before="0" w:line="240" w:lineRule="auto"/>
              <w:ind w:left="0"/>
            </w:pPr>
          </w:p>
          <w:p w14:paraId="032B0C36" w14:textId="77777777" w:rsidR="004C7180" w:rsidRPr="00150EDC" w:rsidRDefault="004C7180">
            <w:pPr>
              <w:pStyle w:val="TableParagraph"/>
              <w:spacing w:before="0" w:line="240" w:lineRule="auto"/>
              <w:ind w:left="0"/>
            </w:pPr>
          </w:p>
          <w:p w14:paraId="258031F6" w14:textId="77777777" w:rsidR="004C7180" w:rsidRPr="00150EDC" w:rsidRDefault="004C7180">
            <w:pPr>
              <w:pStyle w:val="TableParagraph"/>
              <w:spacing w:before="0" w:line="240" w:lineRule="auto"/>
              <w:ind w:left="0"/>
            </w:pPr>
          </w:p>
          <w:p w14:paraId="420962A4" w14:textId="77777777" w:rsidR="004C7180" w:rsidRPr="00150EDC" w:rsidRDefault="004C7180">
            <w:pPr>
              <w:pStyle w:val="TableParagraph"/>
              <w:spacing w:before="0" w:line="240" w:lineRule="auto"/>
              <w:ind w:left="0"/>
            </w:pPr>
          </w:p>
          <w:p w14:paraId="7D1A07DD" w14:textId="77777777" w:rsidR="004C7180" w:rsidRPr="00150EDC" w:rsidRDefault="004C7180">
            <w:pPr>
              <w:pStyle w:val="TableParagraph"/>
              <w:spacing w:before="0" w:line="240" w:lineRule="auto"/>
              <w:ind w:left="0"/>
            </w:pPr>
          </w:p>
          <w:p w14:paraId="6AACA4C4" w14:textId="77777777" w:rsidR="004C7180" w:rsidRPr="00150EDC" w:rsidRDefault="004C7180">
            <w:pPr>
              <w:pStyle w:val="TableParagraph"/>
              <w:spacing w:before="0" w:line="240" w:lineRule="auto"/>
              <w:ind w:left="0"/>
            </w:pPr>
          </w:p>
          <w:p w14:paraId="7C39DA3A" w14:textId="77777777" w:rsidR="004C7180" w:rsidRPr="00150EDC" w:rsidRDefault="004C7180">
            <w:pPr>
              <w:pStyle w:val="TableParagraph"/>
              <w:spacing w:before="0" w:line="240" w:lineRule="auto"/>
              <w:ind w:left="0"/>
            </w:pPr>
          </w:p>
          <w:p w14:paraId="5275D9E8" w14:textId="77777777" w:rsidR="004C7180" w:rsidRPr="00150EDC" w:rsidRDefault="004C7180">
            <w:pPr>
              <w:pStyle w:val="TableParagraph"/>
              <w:spacing w:before="0" w:line="240" w:lineRule="auto"/>
              <w:ind w:left="0"/>
            </w:pPr>
          </w:p>
          <w:p w14:paraId="0E35766C" w14:textId="77777777" w:rsidR="004C7180" w:rsidRPr="00150EDC" w:rsidRDefault="004C7180">
            <w:pPr>
              <w:pStyle w:val="TableParagraph"/>
              <w:spacing w:before="0" w:line="240" w:lineRule="auto"/>
              <w:ind w:left="0"/>
            </w:pPr>
          </w:p>
          <w:p w14:paraId="340CB83F" w14:textId="77777777" w:rsidR="004C7180" w:rsidRPr="00150EDC" w:rsidRDefault="004C7180">
            <w:pPr>
              <w:pStyle w:val="TableParagraph"/>
              <w:spacing w:before="0" w:line="240" w:lineRule="auto"/>
              <w:ind w:left="0"/>
            </w:pPr>
          </w:p>
          <w:p w14:paraId="67050667" w14:textId="77777777" w:rsidR="004C7180" w:rsidRPr="00150EDC" w:rsidRDefault="004C7180">
            <w:pPr>
              <w:pStyle w:val="TableParagraph"/>
              <w:spacing w:before="5" w:line="240" w:lineRule="auto"/>
              <w:ind w:left="0"/>
              <w:rPr>
                <w:sz w:val="17"/>
              </w:rPr>
            </w:pPr>
          </w:p>
          <w:p w14:paraId="46D37C21" w14:textId="77777777" w:rsidR="004C7180" w:rsidRPr="00150EDC" w:rsidRDefault="00CF0754">
            <w:pPr>
              <w:pStyle w:val="TableParagraph"/>
              <w:spacing w:before="0" w:line="240" w:lineRule="auto"/>
              <w:ind w:left="112" w:right="124"/>
              <w:rPr>
                <w:rFonts w:ascii="Calibri"/>
              </w:rPr>
            </w:pPr>
            <w:r w:rsidRPr="00150EDC">
              <w:rPr>
                <w:rFonts w:ascii="Calibri"/>
                <w:spacing w:val="-4"/>
              </w:rPr>
              <w:t xml:space="preserve">The </w:t>
            </w:r>
            <w:r w:rsidRPr="00150EDC">
              <w:rPr>
                <w:rFonts w:ascii="Calibri"/>
                <w:spacing w:val="-2"/>
              </w:rPr>
              <w:t xml:space="preserve">Education </w:t>
            </w:r>
            <w:r w:rsidRPr="00150EDC">
              <w:rPr>
                <w:rFonts w:ascii="Calibri"/>
              </w:rPr>
              <w:t xml:space="preserve">&amp; Training </w:t>
            </w:r>
            <w:r w:rsidRPr="00150EDC">
              <w:rPr>
                <w:rFonts w:ascii="Calibri"/>
                <w:spacing w:val="-2"/>
              </w:rPr>
              <w:t>Foundation</w:t>
            </w:r>
          </w:p>
        </w:tc>
        <w:tc>
          <w:tcPr>
            <w:tcW w:w="994" w:type="dxa"/>
          </w:tcPr>
          <w:p w14:paraId="3A4DC83E" w14:textId="77777777" w:rsidR="004C7180" w:rsidRPr="00150EDC" w:rsidRDefault="004C7180">
            <w:pPr>
              <w:pStyle w:val="TableParagraph"/>
              <w:spacing w:before="0" w:line="240" w:lineRule="auto"/>
              <w:ind w:left="0"/>
            </w:pPr>
          </w:p>
          <w:p w14:paraId="5507CC96" w14:textId="77777777" w:rsidR="004C7180" w:rsidRPr="00150EDC" w:rsidRDefault="004C7180">
            <w:pPr>
              <w:pStyle w:val="TableParagraph"/>
              <w:spacing w:before="0" w:line="240" w:lineRule="auto"/>
              <w:ind w:left="0"/>
            </w:pPr>
          </w:p>
          <w:p w14:paraId="27407D12" w14:textId="77777777" w:rsidR="004C7180" w:rsidRPr="00150EDC" w:rsidRDefault="004C7180">
            <w:pPr>
              <w:pStyle w:val="TableParagraph"/>
              <w:spacing w:before="0" w:line="240" w:lineRule="auto"/>
              <w:ind w:left="0"/>
            </w:pPr>
          </w:p>
          <w:p w14:paraId="700AE890" w14:textId="77777777" w:rsidR="004C7180" w:rsidRPr="00150EDC" w:rsidRDefault="004C7180">
            <w:pPr>
              <w:pStyle w:val="TableParagraph"/>
              <w:spacing w:before="0" w:line="240" w:lineRule="auto"/>
              <w:ind w:left="0"/>
            </w:pPr>
          </w:p>
          <w:p w14:paraId="6D88D206" w14:textId="77777777" w:rsidR="004C7180" w:rsidRPr="00150EDC" w:rsidRDefault="004C7180">
            <w:pPr>
              <w:pStyle w:val="TableParagraph"/>
              <w:spacing w:before="0" w:line="240" w:lineRule="auto"/>
              <w:ind w:left="0"/>
            </w:pPr>
          </w:p>
          <w:p w14:paraId="34EE17CE" w14:textId="77777777" w:rsidR="004C7180" w:rsidRPr="00150EDC" w:rsidRDefault="004C7180">
            <w:pPr>
              <w:pStyle w:val="TableParagraph"/>
              <w:spacing w:before="0" w:line="240" w:lineRule="auto"/>
              <w:ind w:left="0"/>
            </w:pPr>
          </w:p>
          <w:p w14:paraId="2D141BC5" w14:textId="77777777" w:rsidR="004C7180" w:rsidRPr="00150EDC" w:rsidRDefault="004C7180">
            <w:pPr>
              <w:pStyle w:val="TableParagraph"/>
              <w:spacing w:before="0" w:line="240" w:lineRule="auto"/>
              <w:ind w:left="0"/>
            </w:pPr>
          </w:p>
          <w:p w14:paraId="777A178D" w14:textId="77777777" w:rsidR="004C7180" w:rsidRPr="00150EDC" w:rsidRDefault="004C7180">
            <w:pPr>
              <w:pStyle w:val="TableParagraph"/>
              <w:spacing w:before="0" w:line="240" w:lineRule="auto"/>
              <w:ind w:left="0"/>
            </w:pPr>
          </w:p>
          <w:p w14:paraId="21E664E6" w14:textId="77777777" w:rsidR="004C7180" w:rsidRPr="00150EDC" w:rsidRDefault="004C7180">
            <w:pPr>
              <w:pStyle w:val="TableParagraph"/>
              <w:spacing w:before="0" w:line="240" w:lineRule="auto"/>
              <w:ind w:left="0"/>
            </w:pPr>
          </w:p>
          <w:p w14:paraId="1EB99BF5" w14:textId="77777777" w:rsidR="004C7180" w:rsidRPr="00150EDC" w:rsidRDefault="004C7180">
            <w:pPr>
              <w:pStyle w:val="TableParagraph"/>
              <w:spacing w:before="0" w:line="240" w:lineRule="auto"/>
              <w:ind w:left="0"/>
            </w:pPr>
          </w:p>
          <w:p w14:paraId="51A0B5A8" w14:textId="77777777" w:rsidR="004C7180" w:rsidRPr="00150EDC" w:rsidRDefault="004C7180">
            <w:pPr>
              <w:pStyle w:val="TableParagraph"/>
              <w:spacing w:before="0" w:line="240" w:lineRule="auto"/>
              <w:ind w:left="0"/>
            </w:pPr>
          </w:p>
          <w:p w14:paraId="1D65DBF4" w14:textId="77777777" w:rsidR="004C7180" w:rsidRPr="00150EDC" w:rsidRDefault="004C7180">
            <w:pPr>
              <w:pStyle w:val="TableParagraph"/>
              <w:spacing w:before="0" w:line="240" w:lineRule="auto"/>
              <w:ind w:left="0"/>
            </w:pPr>
          </w:p>
          <w:p w14:paraId="67B3E506" w14:textId="77777777" w:rsidR="004C7180" w:rsidRPr="00150EDC" w:rsidRDefault="004C7180">
            <w:pPr>
              <w:pStyle w:val="TableParagraph"/>
              <w:spacing w:before="5" w:line="240" w:lineRule="auto"/>
              <w:ind w:left="0"/>
              <w:rPr>
                <w:sz w:val="17"/>
              </w:rPr>
            </w:pPr>
          </w:p>
          <w:p w14:paraId="7B65F8A8" w14:textId="77777777" w:rsidR="004C7180" w:rsidRPr="00150EDC" w:rsidRDefault="00CF0754">
            <w:pPr>
              <w:pStyle w:val="TableParagraph"/>
              <w:spacing w:before="0" w:line="240" w:lineRule="auto"/>
              <w:ind w:left="112" w:right="142"/>
              <w:rPr>
                <w:rFonts w:ascii="Calibri"/>
              </w:rPr>
            </w:pPr>
            <w:r w:rsidRPr="00150EDC">
              <w:rPr>
                <w:rFonts w:ascii="Calibri"/>
                <w:spacing w:val="-2"/>
              </w:rPr>
              <w:t>Locally Commis sioned Trial</w:t>
            </w:r>
          </w:p>
        </w:tc>
        <w:tc>
          <w:tcPr>
            <w:tcW w:w="2988" w:type="dxa"/>
          </w:tcPr>
          <w:p w14:paraId="1201514D" w14:textId="77777777" w:rsidR="004C7180" w:rsidRPr="00150EDC" w:rsidRDefault="004C7180">
            <w:pPr>
              <w:pStyle w:val="TableParagraph"/>
              <w:spacing w:before="0" w:line="240" w:lineRule="auto"/>
              <w:ind w:left="0"/>
            </w:pPr>
          </w:p>
          <w:p w14:paraId="5798ABA5" w14:textId="77777777" w:rsidR="004C7180" w:rsidRPr="00150EDC" w:rsidRDefault="004C7180">
            <w:pPr>
              <w:pStyle w:val="TableParagraph"/>
              <w:spacing w:before="0" w:line="240" w:lineRule="auto"/>
              <w:ind w:left="0"/>
            </w:pPr>
          </w:p>
          <w:p w14:paraId="16FDCD62" w14:textId="77777777" w:rsidR="004C7180" w:rsidRPr="00150EDC" w:rsidRDefault="004C7180">
            <w:pPr>
              <w:pStyle w:val="TableParagraph"/>
              <w:spacing w:before="2" w:line="240" w:lineRule="auto"/>
              <w:ind w:left="0"/>
              <w:rPr>
                <w:sz w:val="27"/>
              </w:rPr>
            </w:pPr>
          </w:p>
          <w:p w14:paraId="21BCE66B" w14:textId="77777777" w:rsidR="004C7180" w:rsidRPr="00150EDC" w:rsidRDefault="00CF0754">
            <w:pPr>
              <w:pStyle w:val="TableParagraph"/>
              <w:numPr>
                <w:ilvl w:val="0"/>
                <w:numId w:val="12"/>
              </w:numPr>
              <w:tabs>
                <w:tab w:val="left" w:pos="226"/>
              </w:tabs>
              <w:spacing w:before="1" w:line="240" w:lineRule="auto"/>
              <w:ind w:right="201" w:firstLine="0"/>
              <w:rPr>
                <w:rFonts w:ascii="Calibri" w:hAnsi="Calibri"/>
              </w:rPr>
            </w:pPr>
            <w:r w:rsidRPr="00150EDC">
              <w:rPr>
                <w:rFonts w:ascii="Calibri" w:hAnsi="Calibri"/>
              </w:rPr>
              <w:t>What is the impact of a maths mastery approach on maths skills of learners aged 19+</w:t>
            </w:r>
            <w:r w:rsidRPr="00150EDC">
              <w:rPr>
                <w:rFonts w:ascii="Calibri" w:hAnsi="Calibri"/>
                <w:spacing w:val="-10"/>
              </w:rPr>
              <w:t xml:space="preserve"> </w:t>
            </w:r>
            <w:r w:rsidRPr="00150EDC">
              <w:rPr>
                <w:rFonts w:ascii="Calibri" w:hAnsi="Calibri"/>
              </w:rPr>
              <w:t>completing</w:t>
            </w:r>
            <w:r w:rsidRPr="00150EDC">
              <w:rPr>
                <w:rFonts w:ascii="Calibri" w:hAnsi="Calibri"/>
                <w:spacing w:val="-10"/>
              </w:rPr>
              <w:t xml:space="preserve"> </w:t>
            </w:r>
            <w:r w:rsidRPr="00150EDC">
              <w:rPr>
                <w:rFonts w:ascii="Calibri" w:hAnsi="Calibri"/>
              </w:rPr>
              <w:t>Level</w:t>
            </w:r>
            <w:r w:rsidRPr="00150EDC">
              <w:rPr>
                <w:rFonts w:ascii="Calibri" w:hAnsi="Calibri"/>
                <w:spacing w:val="-9"/>
              </w:rPr>
              <w:t xml:space="preserve"> </w:t>
            </w:r>
            <w:r w:rsidRPr="00150EDC">
              <w:rPr>
                <w:rFonts w:ascii="Calibri" w:hAnsi="Calibri"/>
              </w:rPr>
              <w:t>1</w:t>
            </w:r>
            <w:r w:rsidRPr="00150EDC">
              <w:rPr>
                <w:rFonts w:ascii="Calibri" w:hAnsi="Calibri"/>
                <w:spacing w:val="-10"/>
              </w:rPr>
              <w:t xml:space="preserve"> </w:t>
            </w:r>
            <w:r w:rsidRPr="00150EDC">
              <w:rPr>
                <w:rFonts w:ascii="Calibri" w:hAnsi="Calibri"/>
              </w:rPr>
              <w:t xml:space="preserve">maths courses, compared to the impact of business as usual </w:t>
            </w:r>
            <w:r w:rsidRPr="00150EDC">
              <w:rPr>
                <w:rFonts w:ascii="Calibri" w:hAnsi="Calibri"/>
                <w:spacing w:val="-2"/>
              </w:rPr>
              <w:t>treatment?</w:t>
            </w:r>
          </w:p>
          <w:p w14:paraId="66E06B17" w14:textId="77777777" w:rsidR="004C7180" w:rsidRPr="00150EDC" w:rsidRDefault="00CF0754">
            <w:pPr>
              <w:pStyle w:val="TableParagraph"/>
              <w:numPr>
                <w:ilvl w:val="0"/>
                <w:numId w:val="12"/>
              </w:numPr>
              <w:tabs>
                <w:tab w:val="left" w:pos="225"/>
              </w:tabs>
              <w:spacing w:before="0" w:line="240" w:lineRule="auto"/>
              <w:ind w:left="108" w:right="201" w:firstLine="0"/>
              <w:rPr>
                <w:rFonts w:ascii="Calibri" w:hAnsi="Calibri"/>
              </w:rPr>
            </w:pPr>
            <w:r w:rsidRPr="00150EDC">
              <w:rPr>
                <w:rFonts w:ascii="Calibri" w:hAnsi="Calibri"/>
              </w:rPr>
              <w:t>What is the impact of a maths mastery approach on confidence of learners aged 19+</w:t>
            </w:r>
            <w:r w:rsidRPr="00150EDC">
              <w:rPr>
                <w:rFonts w:ascii="Calibri" w:hAnsi="Calibri"/>
                <w:spacing w:val="-10"/>
              </w:rPr>
              <w:t xml:space="preserve"> </w:t>
            </w:r>
            <w:r w:rsidRPr="00150EDC">
              <w:rPr>
                <w:rFonts w:ascii="Calibri" w:hAnsi="Calibri"/>
              </w:rPr>
              <w:t>completing</w:t>
            </w:r>
            <w:r w:rsidRPr="00150EDC">
              <w:rPr>
                <w:rFonts w:ascii="Calibri" w:hAnsi="Calibri"/>
                <w:spacing w:val="-9"/>
              </w:rPr>
              <w:t xml:space="preserve"> </w:t>
            </w:r>
            <w:r w:rsidRPr="00150EDC">
              <w:rPr>
                <w:rFonts w:ascii="Calibri" w:hAnsi="Calibri"/>
              </w:rPr>
              <w:t>Level</w:t>
            </w:r>
            <w:r w:rsidRPr="00150EDC">
              <w:rPr>
                <w:rFonts w:ascii="Calibri" w:hAnsi="Calibri"/>
                <w:spacing w:val="-9"/>
              </w:rPr>
              <w:t xml:space="preserve"> </w:t>
            </w:r>
            <w:r w:rsidRPr="00150EDC">
              <w:rPr>
                <w:rFonts w:ascii="Calibri" w:hAnsi="Calibri"/>
              </w:rPr>
              <w:t>1</w:t>
            </w:r>
            <w:r w:rsidRPr="00150EDC">
              <w:rPr>
                <w:rFonts w:ascii="Calibri" w:hAnsi="Calibri"/>
                <w:spacing w:val="-9"/>
              </w:rPr>
              <w:t xml:space="preserve"> </w:t>
            </w:r>
            <w:r w:rsidRPr="00150EDC">
              <w:rPr>
                <w:rFonts w:ascii="Calibri" w:hAnsi="Calibri"/>
              </w:rPr>
              <w:t xml:space="preserve">maths courses, compared to the impact of business as usual </w:t>
            </w:r>
            <w:r w:rsidRPr="00150EDC">
              <w:rPr>
                <w:rFonts w:ascii="Calibri" w:hAnsi="Calibri"/>
                <w:spacing w:val="-2"/>
              </w:rPr>
              <w:t>treatment?</w:t>
            </w:r>
          </w:p>
          <w:p w14:paraId="4A79317D" w14:textId="77777777" w:rsidR="004C7180" w:rsidRPr="00150EDC" w:rsidRDefault="00CF0754">
            <w:pPr>
              <w:pStyle w:val="TableParagraph"/>
              <w:numPr>
                <w:ilvl w:val="0"/>
                <w:numId w:val="12"/>
              </w:numPr>
              <w:tabs>
                <w:tab w:val="left" w:pos="225"/>
              </w:tabs>
              <w:spacing w:before="0" w:line="240" w:lineRule="auto"/>
              <w:ind w:left="108" w:right="192" w:firstLine="0"/>
              <w:rPr>
                <w:rFonts w:ascii="Calibri" w:hAnsi="Calibri"/>
              </w:rPr>
            </w:pPr>
            <w:r w:rsidRPr="00150EDC">
              <w:rPr>
                <w:rFonts w:ascii="Calibri" w:hAnsi="Calibri"/>
              </w:rPr>
              <w:t>What is the difference in course</w:t>
            </w:r>
            <w:r w:rsidRPr="00150EDC">
              <w:rPr>
                <w:rFonts w:ascii="Calibri" w:hAnsi="Calibri"/>
                <w:spacing w:val="-13"/>
              </w:rPr>
              <w:t xml:space="preserve"> </w:t>
            </w:r>
            <w:r w:rsidRPr="00150EDC">
              <w:rPr>
                <w:rFonts w:ascii="Calibri" w:hAnsi="Calibri"/>
              </w:rPr>
              <w:t>completion</w:t>
            </w:r>
            <w:r w:rsidRPr="00150EDC">
              <w:rPr>
                <w:rFonts w:ascii="Calibri" w:hAnsi="Calibri"/>
                <w:spacing w:val="-12"/>
              </w:rPr>
              <w:t xml:space="preserve"> </w:t>
            </w:r>
            <w:r w:rsidRPr="00150EDC">
              <w:rPr>
                <w:rFonts w:ascii="Calibri" w:hAnsi="Calibri"/>
              </w:rPr>
              <w:t>of</w:t>
            </w:r>
            <w:r w:rsidRPr="00150EDC">
              <w:rPr>
                <w:rFonts w:ascii="Calibri" w:hAnsi="Calibri"/>
                <w:spacing w:val="-13"/>
              </w:rPr>
              <w:t xml:space="preserve"> </w:t>
            </w:r>
            <w:r w:rsidRPr="00150EDC">
              <w:rPr>
                <w:rFonts w:ascii="Calibri" w:hAnsi="Calibri"/>
              </w:rPr>
              <w:t xml:space="preserve">learners aged 19+ on Level 1 maths courses taught using a maths mastery approach, compared to comparable learners who received business as usual </w:t>
            </w:r>
            <w:r w:rsidRPr="00150EDC">
              <w:rPr>
                <w:rFonts w:ascii="Calibri" w:hAnsi="Calibri"/>
                <w:spacing w:val="-2"/>
              </w:rPr>
              <w:t>treatment?</w:t>
            </w:r>
          </w:p>
        </w:tc>
      </w:tr>
      <w:tr w:rsidR="004569EE" w:rsidRPr="007D3144" w14:paraId="314970F8" w14:textId="77777777">
        <w:trPr>
          <w:trHeight w:val="5937"/>
        </w:trPr>
        <w:tc>
          <w:tcPr>
            <w:tcW w:w="1277" w:type="dxa"/>
            <w:tcBorders>
              <w:left w:val="single" w:sz="8" w:space="0" w:color="000000"/>
            </w:tcBorders>
          </w:tcPr>
          <w:p w14:paraId="27441FF3" w14:textId="77777777" w:rsidR="004C7180" w:rsidRPr="00150EDC" w:rsidRDefault="004C7180">
            <w:pPr>
              <w:pStyle w:val="TableParagraph"/>
              <w:spacing w:before="0" w:line="240" w:lineRule="auto"/>
              <w:ind w:left="0"/>
            </w:pPr>
          </w:p>
          <w:p w14:paraId="7B8A749B" w14:textId="77777777" w:rsidR="004C7180" w:rsidRPr="00150EDC" w:rsidRDefault="004C7180">
            <w:pPr>
              <w:pStyle w:val="TableParagraph"/>
              <w:spacing w:before="0" w:line="240" w:lineRule="auto"/>
              <w:ind w:left="0"/>
            </w:pPr>
          </w:p>
          <w:p w14:paraId="09A85B84" w14:textId="77777777" w:rsidR="004C7180" w:rsidRPr="00150EDC" w:rsidRDefault="004C7180">
            <w:pPr>
              <w:pStyle w:val="TableParagraph"/>
              <w:spacing w:before="0" w:line="240" w:lineRule="auto"/>
              <w:ind w:left="0"/>
            </w:pPr>
          </w:p>
          <w:p w14:paraId="1ACB9E83" w14:textId="77777777" w:rsidR="004C7180" w:rsidRPr="00150EDC" w:rsidRDefault="004C7180">
            <w:pPr>
              <w:pStyle w:val="TableParagraph"/>
              <w:spacing w:before="0" w:line="240" w:lineRule="auto"/>
              <w:ind w:left="0"/>
            </w:pPr>
          </w:p>
          <w:p w14:paraId="108CCCFA" w14:textId="77777777" w:rsidR="004C7180" w:rsidRPr="00150EDC" w:rsidRDefault="004C7180">
            <w:pPr>
              <w:pStyle w:val="TableParagraph"/>
              <w:spacing w:before="0" w:line="240" w:lineRule="auto"/>
              <w:ind w:left="0"/>
            </w:pPr>
          </w:p>
          <w:p w14:paraId="04A04DF1" w14:textId="77777777" w:rsidR="004C7180" w:rsidRPr="00150EDC" w:rsidRDefault="004C7180">
            <w:pPr>
              <w:pStyle w:val="TableParagraph"/>
              <w:spacing w:before="0" w:line="240" w:lineRule="auto"/>
              <w:ind w:left="0"/>
            </w:pPr>
          </w:p>
          <w:p w14:paraId="14DAD618" w14:textId="77777777" w:rsidR="004C7180" w:rsidRPr="00150EDC" w:rsidRDefault="004C7180">
            <w:pPr>
              <w:pStyle w:val="TableParagraph"/>
              <w:spacing w:before="0" w:line="240" w:lineRule="auto"/>
              <w:ind w:left="0"/>
            </w:pPr>
          </w:p>
          <w:p w14:paraId="2A540B65" w14:textId="77777777" w:rsidR="004C7180" w:rsidRPr="00150EDC" w:rsidRDefault="004C7180">
            <w:pPr>
              <w:pStyle w:val="TableParagraph"/>
              <w:spacing w:before="0" w:line="240" w:lineRule="auto"/>
              <w:ind w:left="0"/>
            </w:pPr>
          </w:p>
          <w:p w14:paraId="7545EFC4" w14:textId="77777777" w:rsidR="004C7180" w:rsidRPr="00150EDC" w:rsidRDefault="004C7180">
            <w:pPr>
              <w:pStyle w:val="TableParagraph"/>
              <w:spacing w:before="0" w:line="240" w:lineRule="auto"/>
              <w:ind w:left="0"/>
            </w:pPr>
          </w:p>
          <w:p w14:paraId="170C1663" w14:textId="77777777" w:rsidR="004C7180" w:rsidRPr="00150EDC" w:rsidRDefault="004C7180">
            <w:pPr>
              <w:pStyle w:val="TableParagraph"/>
              <w:spacing w:before="0" w:line="240" w:lineRule="auto"/>
              <w:ind w:left="0"/>
              <w:rPr>
                <w:sz w:val="25"/>
              </w:rPr>
            </w:pPr>
          </w:p>
          <w:p w14:paraId="45C381E5" w14:textId="77777777" w:rsidR="004C7180" w:rsidRPr="00150EDC" w:rsidRDefault="00CF0754">
            <w:pPr>
              <w:pStyle w:val="TableParagraph"/>
              <w:spacing w:before="0" w:line="240" w:lineRule="auto"/>
              <w:ind w:left="107"/>
              <w:rPr>
                <w:rFonts w:ascii="Calibri"/>
                <w:b/>
              </w:rPr>
            </w:pPr>
            <w:r w:rsidRPr="00150EDC">
              <w:rPr>
                <w:rFonts w:ascii="Calibri"/>
                <w:b/>
                <w:spacing w:val="-2"/>
              </w:rPr>
              <w:t xml:space="preserve">Contextuali </w:t>
            </w:r>
            <w:r w:rsidRPr="00150EDC">
              <w:rPr>
                <w:rFonts w:ascii="Calibri"/>
                <w:b/>
                <w:spacing w:val="-4"/>
              </w:rPr>
              <w:t xml:space="preserve">sed </w:t>
            </w:r>
            <w:r w:rsidRPr="00150EDC">
              <w:rPr>
                <w:rFonts w:ascii="Calibri"/>
                <w:b/>
                <w:spacing w:val="-2"/>
              </w:rPr>
              <w:t>Curriculum</w:t>
            </w:r>
          </w:p>
        </w:tc>
        <w:tc>
          <w:tcPr>
            <w:tcW w:w="4961" w:type="dxa"/>
          </w:tcPr>
          <w:p w14:paraId="785B154A" w14:textId="77777777" w:rsidR="004C7180" w:rsidRPr="00150EDC" w:rsidRDefault="004C7180">
            <w:pPr>
              <w:pStyle w:val="TableParagraph"/>
              <w:spacing w:before="0" w:line="240" w:lineRule="auto"/>
              <w:ind w:left="0"/>
            </w:pPr>
          </w:p>
          <w:p w14:paraId="594CB5B0" w14:textId="77777777" w:rsidR="004C7180" w:rsidRPr="00150EDC" w:rsidRDefault="004C7180">
            <w:pPr>
              <w:pStyle w:val="TableParagraph"/>
              <w:spacing w:before="0" w:line="240" w:lineRule="auto"/>
              <w:ind w:left="0"/>
            </w:pPr>
          </w:p>
          <w:p w14:paraId="6EE2F9E0" w14:textId="77777777" w:rsidR="004C7180" w:rsidRPr="00150EDC" w:rsidRDefault="004C7180">
            <w:pPr>
              <w:pStyle w:val="TableParagraph"/>
              <w:spacing w:before="0" w:line="240" w:lineRule="auto"/>
              <w:ind w:left="0"/>
            </w:pPr>
          </w:p>
          <w:p w14:paraId="1498F785" w14:textId="77777777" w:rsidR="004C7180" w:rsidRPr="00150EDC" w:rsidRDefault="004C7180">
            <w:pPr>
              <w:pStyle w:val="TableParagraph"/>
              <w:spacing w:before="0" w:line="240" w:lineRule="auto"/>
              <w:ind w:left="0"/>
            </w:pPr>
          </w:p>
          <w:p w14:paraId="4B5C6795" w14:textId="77777777" w:rsidR="004C7180" w:rsidRPr="00150EDC" w:rsidRDefault="004C7180">
            <w:pPr>
              <w:pStyle w:val="TableParagraph"/>
              <w:spacing w:before="0" w:line="240" w:lineRule="auto"/>
              <w:ind w:left="0"/>
            </w:pPr>
          </w:p>
          <w:p w14:paraId="32FE96CC" w14:textId="77777777" w:rsidR="004C7180" w:rsidRPr="00150EDC" w:rsidRDefault="004C7180">
            <w:pPr>
              <w:pStyle w:val="TableParagraph"/>
              <w:spacing w:before="4" w:line="240" w:lineRule="auto"/>
              <w:ind w:left="0"/>
              <w:rPr>
                <w:sz w:val="31"/>
              </w:rPr>
            </w:pPr>
          </w:p>
          <w:p w14:paraId="6BEBD784" w14:textId="77777777" w:rsidR="004C7180" w:rsidRPr="00150EDC" w:rsidRDefault="00CF0754">
            <w:pPr>
              <w:pStyle w:val="TableParagraph"/>
              <w:spacing w:before="0" w:line="240" w:lineRule="auto"/>
              <w:ind w:left="112" w:right="76"/>
              <w:rPr>
                <w:rFonts w:ascii="Calibri"/>
              </w:rPr>
            </w:pPr>
            <w:r w:rsidRPr="00150EDC">
              <w:rPr>
                <w:rFonts w:ascii="Calibri"/>
              </w:rPr>
              <w:t>This</w:t>
            </w:r>
            <w:r w:rsidRPr="00150EDC">
              <w:rPr>
                <w:rFonts w:ascii="Calibri"/>
                <w:spacing w:val="-3"/>
              </w:rPr>
              <w:t xml:space="preserve"> </w:t>
            </w:r>
            <w:r w:rsidRPr="00150EDC">
              <w:rPr>
                <w:rFonts w:ascii="Calibri"/>
              </w:rPr>
              <w:t>trial</w:t>
            </w:r>
            <w:r w:rsidRPr="00150EDC">
              <w:rPr>
                <w:rFonts w:ascii="Calibri"/>
                <w:spacing w:val="-6"/>
              </w:rPr>
              <w:t xml:space="preserve"> </w:t>
            </w:r>
            <w:r w:rsidRPr="00150EDC">
              <w:rPr>
                <w:rFonts w:ascii="Calibri"/>
              </w:rPr>
              <w:t>will</w:t>
            </w:r>
            <w:r w:rsidRPr="00150EDC">
              <w:rPr>
                <w:rFonts w:ascii="Calibri"/>
                <w:spacing w:val="-3"/>
              </w:rPr>
              <w:t xml:space="preserve"> </w:t>
            </w:r>
            <w:r w:rsidRPr="00150EDC">
              <w:rPr>
                <w:rFonts w:ascii="Calibri"/>
              </w:rPr>
              <w:t>look</w:t>
            </w:r>
            <w:r w:rsidRPr="00150EDC">
              <w:rPr>
                <w:rFonts w:ascii="Calibri"/>
                <w:spacing w:val="-5"/>
              </w:rPr>
              <w:t xml:space="preserve"> </w:t>
            </w:r>
            <w:r w:rsidRPr="00150EDC">
              <w:rPr>
                <w:rFonts w:ascii="Calibri"/>
              </w:rPr>
              <w:t>at</w:t>
            </w:r>
            <w:r w:rsidRPr="00150EDC">
              <w:rPr>
                <w:rFonts w:ascii="Calibri"/>
                <w:spacing w:val="-5"/>
              </w:rPr>
              <w:t xml:space="preserve"> </w:t>
            </w:r>
            <w:r w:rsidRPr="00150EDC">
              <w:rPr>
                <w:rFonts w:ascii="Calibri"/>
              </w:rPr>
              <w:t>the</w:t>
            </w:r>
            <w:r w:rsidRPr="00150EDC">
              <w:rPr>
                <w:rFonts w:ascii="Calibri"/>
                <w:spacing w:val="-2"/>
              </w:rPr>
              <w:t xml:space="preserve"> </w:t>
            </w:r>
            <w:r w:rsidRPr="00150EDC">
              <w:rPr>
                <w:rFonts w:ascii="Calibri"/>
              </w:rPr>
              <w:t>impact</w:t>
            </w:r>
            <w:r w:rsidRPr="00150EDC">
              <w:rPr>
                <w:rFonts w:ascii="Calibri"/>
                <w:spacing w:val="-2"/>
              </w:rPr>
              <w:t xml:space="preserve"> </w:t>
            </w:r>
            <w:r w:rsidRPr="00150EDC">
              <w:rPr>
                <w:rFonts w:ascii="Calibri"/>
              </w:rPr>
              <w:t>on</w:t>
            </w:r>
            <w:r w:rsidRPr="00150EDC">
              <w:rPr>
                <w:rFonts w:ascii="Calibri"/>
                <w:spacing w:val="-4"/>
              </w:rPr>
              <w:t xml:space="preserve"> </w:t>
            </w:r>
            <w:r w:rsidRPr="00150EDC">
              <w:rPr>
                <w:rFonts w:ascii="Calibri"/>
              </w:rPr>
              <w:t>learner</w:t>
            </w:r>
            <w:r w:rsidRPr="00150EDC">
              <w:rPr>
                <w:rFonts w:ascii="Calibri"/>
                <w:spacing w:val="-5"/>
              </w:rPr>
              <w:t xml:space="preserve"> </w:t>
            </w:r>
            <w:r w:rsidRPr="00150EDC">
              <w:rPr>
                <w:rFonts w:ascii="Calibri"/>
              </w:rPr>
              <w:t>outcomes of</w:t>
            </w:r>
            <w:r w:rsidRPr="00150EDC">
              <w:rPr>
                <w:rFonts w:ascii="Calibri"/>
                <w:spacing w:val="-4"/>
              </w:rPr>
              <w:t xml:space="preserve"> </w:t>
            </w:r>
            <w:r w:rsidRPr="00150EDC">
              <w:rPr>
                <w:rFonts w:ascii="Calibri"/>
              </w:rPr>
              <w:t>a</w:t>
            </w:r>
            <w:r w:rsidRPr="00150EDC">
              <w:rPr>
                <w:rFonts w:ascii="Calibri"/>
                <w:spacing w:val="-4"/>
              </w:rPr>
              <w:t xml:space="preserve"> </w:t>
            </w:r>
            <w:r w:rsidRPr="00150EDC">
              <w:rPr>
                <w:rFonts w:ascii="Calibri"/>
              </w:rPr>
              <w:t>scheme</w:t>
            </w:r>
            <w:r w:rsidRPr="00150EDC">
              <w:rPr>
                <w:rFonts w:ascii="Calibri"/>
                <w:spacing w:val="-6"/>
              </w:rPr>
              <w:t xml:space="preserve"> </w:t>
            </w:r>
            <w:r w:rsidRPr="00150EDC">
              <w:rPr>
                <w:rFonts w:ascii="Calibri"/>
              </w:rPr>
              <w:t>of</w:t>
            </w:r>
            <w:r w:rsidRPr="00150EDC">
              <w:rPr>
                <w:rFonts w:ascii="Calibri"/>
                <w:spacing w:val="-6"/>
              </w:rPr>
              <w:t xml:space="preserve"> </w:t>
            </w:r>
            <w:r w:rsidRPr="00150EDC">
              <w:rPr>
                <w:rFonts w:ascii="Calibri"/>
              </w:rPr>
              <w:t>work</w:t>
            </w:r>
            <w:r w:rsidRPr="00150EDC">
              <w:rPr>
                <w:rFonts w:ascii="Calibri"/>
                <w:spacing w:val="-3"/>
              </w:rPr>
              <w:t xml:space="preserve"> </w:t>
            </w:r>
            <w:r w:rsidRPr="00150EDC">
              <w:rPr>
                <w:rFonts w:ascii="Calibri"/>
              </w:rPr>
              <w:t>that</w:t>
            </w:r>
            <w:r w:rsidRPr="00150EDC">
              <w:rPr>
                <w:rFonts w:ascii="Calibri"/>
                <w:spacing w:val="-3"/>
              </w:rPr>
              <w:t xml:space="preserve"> </w:t>
            </w:r>
            <w:r w:rsidRPr="00150EDC">
              <w:rPr>
                <w:rFonts w:ascii="Calibri"/>
              </w:rPr>
              <w:t>contextualis</w:t>
            </w:r>
            <w:r w:rsidRPr="00150EDC">
              <w:rPr>
                <w:rFonts w:ascii="Calibri"/>
                <w:spacing w:val="-6"/>
              </w:rPr>
              <w:t xml:space="preserve"> </w:t>
            </w:r>
            <w:r w:rsidRPr="00150EDC">
              <w:rPr>
                <w:rFonts w:ascii="Calibri"/>
              </w:rPr>
              <w:t>maths</w:t>
            </w:r>
            <w:r w:rsidRPr="00150EDC">
              <w:rPr>
                <w:rFonts w:ascii="Calibri"/>
                <w:spacing w:val="-6"/>
              </w:rPr>
              <w:t xml:space="preserve"> </w:t>
            </w:r>
            <w:r w:rsidRPr="00150EDC">
              <w:rPr>
                <w:rFonts w:ascii="Calibri"/>
              </w:rPr>
              <w:t>content in every day acitvities, such as baking a cake or managing money, in a Level 1 maths course.</w:t>
            </w:r>
          </w:p>
          <w:p w14:paraId="51B7C0C3" w14:textId="77777777" w:rsidR="004C7180" w:rsidRPr="00150EDC" w:rsidRDefault="00CF0754">
            <w:pPr>
              <w:pStyle w:val="TableParagraph"/>
              <w:spacing w:before="0" w:line="240" w:lineRule="auto"/>
              <w:ind w:left="112" w:right="165"/>
              <w:rPr>
                <w:rFonts w:ascii="Calibri"/>
              </w:rPr>
            </w:pPr>
            <w:r w:rsidRPr="00150EDC">
              <w:rPr>
                <w:rFonts w:ascii="Calibri"/>
              </w:rPr>
              <w:t>Learners will be exposed to content which uses maths</w:t>
            </w:r>
            <w:r w:rsidRPr="00150EDC">
              <w:rPr>
                <w:rFonts w:ascii="Calibri"/>
                <w:spacing w:val="-5"/>
              </w:rPr>
              <w:t xml:space="preserve"> </w:t>
            </w:r>
            <w:r w:rsidRPr="00150EDC">
              <w:rPr>
                <w:rFonts w:ascii="Calibri"/>
              </w:rPr>
              <w:t>in</w:t>
            </w:r>
            <w:r w:rsidRPr="00150EDC">
              <w:rPr>
                <w:rFonts w:ascii="Calibri"/>
                <w:spacing w:val="-8"/>
              </w:rPr>
              <w:t xml:space="preserve"> </w:t>
            </w:r>
            <w:r w:rsidRPr="00150EDC">
              <w:rPr>
                <w:rFonts w:ascii="Calibri"/>
              </w:rPr>
              <w:t>everyday</w:t>
            </w:r>
            <w:r w:rsidRPr="00150EDC">
              <w:rPr>
                <w:rFonts w:ascii="Calibri"/>
                <w:spacing w:val="-4"/>
              </w:rPr>
              <w:t xml:space="preserve"> </w:t>
            </w:r>
            <w:r w:rsidRPr="00150EDC">
              <w:rPr>
                <w:rFonts w:ascii="Calibri"/>
              </w:rPr>
              <w:t>situations.</w:t>
            </w:r>
            <w:r w:rsidRPr="00150EDC">
              <w:rPr>
                <w:rFonts w:ascii="Calibri"/>
                <w:spacing w:val="-5"/>
              </w:rPr>
              <w:t xml:space="preserve"> </w:t>
            </w:r>
            <w:r w:rsidRPr="00150EDC">
              <w:rPr>
                <w:rFonts w:ascii="Calibri"/>
              </w:rPr>
              <w:t>The</w:t>
            </w:r>
            <w:r w:rsidRPr="00150EDC">
              <w:rPr>
                <w:rFonts w:ascii="Calibri"/>
                <w:spacing w:val="-4"/>
              </w:rPr>
              <w:t xml:space="preserve"> </w:t>
            </w:r>
            <w:r w:rsidRPr="00150EDC">
              <w:rPr>
                <w:rFonts w:ascii="Calibri"/>
              </w:rPr>
              <w:t>number</w:t>
            </w:r>
            <w:r w:rsidRPr="00150EDC">
              <w:rPr>
                <w:rFonts w:ascii="Calibri"/>
                <w:spacing w:val="-7"/>
              </w:rPr>
              <w:t xml:space="preserve"> </w:t>
            </w:r>
            <w:r w:rsidRPr="00150EDC">
              <w:rPr>
                <w:rFonts w:ascii="Calibri"/>
              </w:rPr>
              <w:t>of</w:t>
            </w:r>
            <w:r w:rsidRPr="00150EDC">
              <w:rPr>
                <w:rFonts w:ascii="Calibri"/>
                <w:spacing w:val="-5"/>
              </w:rPr>
              <w:t xml:space="preserve"> </w:t>
            </w:r>
            <w:r w:rsidRPr="00150EDC">
              <w:rPr>
                <w:rFonts w:ascii="Calibri"/>
              </w:rPr>
              <w:t>guided learning hours required to complete the scheme of work and the split across different lessons will be determined</w:t>
            </w:r>
            <w:r w:rsidRPr="00150EDC">
              <w:rPr>
                <w:rFonts w:ascii="Calibri"/>
                <w:spacing w:val="-1"/>
              </w:rPr>
              <w:t xml:space="preserve"> </w:t>
            </w:r>
            <w:r w:rsidRPr="00150EDC">
              <w:rPr>
                <w:rFonts w:ascii="Calibri"/>
              </w:rPr>
              <w:t>by</w:t>
            </w:r>
            <w:r w:rsidRPr="00150EDC">
              <w:rPr>
                <w:rFonts w:ascii="Calibri"/>
                <w:spacing w:val="-1"/>
              </w:rPr>
              <w:t xml:space="preserve"> </w:t>
            </w:r>
            <w:r w:rsidRPr="00150EDC">
              <w:rPr>
                <w:rFonts w:ascii="Calibri"/>
              </w:rPr>
              <w:t>the product</w:t>
            </w:r>
            <w:r w:rsidRPr="00150EDC">
              <w:rPr>
                <w:rFonts w:ascii="Calibri"/>
                <w:spacing w:val="-2"/>
              </w:rPr>
              <w:t xml:space="preserve"> </w:t>
            </w:r>
            <w:r w:rsidRPr="00150EDC">
              <w:rPr>
                <w:rFonts w:ascii="Calibri"/>
              </w:rPr>
              <w:t>developer.</w:t>
            </w:r>
            <w:r w:rsidRPr="00150EDC">
              <w:rPr>
                <w:rFonts w:ascii="Calibri"/>
                <w:spacing w:val="-3"/>
              </w:rPr>
              <w:t xml:space="preserve"> </w:t>
            </w:r>
            <w:r w:rsidRPr="00150EDC">
              <w:rPr>
                <w:rFonts w:ascii="Calibri"/>
              </w:rPr>
              <w:t>The</w:t>
            </w:r>
            <w:r w:rsidRPr="00150EDC">
              <w:rPr>
                <w:rFonts w:ascii="Calibri"/>
                <w:spacing w:val="-2"/>
              </w:rPr>
              <w:t xml:space="preserve"> </w:t>
            </w:r>
            <w:r w:rsidRPr="00150EDC">
              <w:rPr>
                <w:rFonts w:ascii="Calibri"/>
              </w:rPr>
              <w:t>trial was originally suggested by local areas.</w:t>
            </w:r>
          </w:p>
        </w:tc>
        <w:tc>
          <w:tcPr>
            <w:tcW w:w="1277" w:type="dxa"/>
          </w:tcPr>
          <w:p w14:paraId="116AE291" w14:textId="77777777" w:rsidR="004C7180" w:rsidRPr="00150EDC" w:rsidRDefault="004C7180">
            <w:pPr>
              <w:pStyle w:val="TableParagraph"/>
              <w:spacing w:before="0" w:line="240" w:lineRule="auto"/>
              <w:ind w:left="0"/>
            </w:pPr>
          </w:p>
          <w:p w14:paraId="4C829377" w14:textId="77777777" w:rsidR="004C7180" w:rsidRPr="00150EDC" w:rsidRDefault="004C7180">
            <w:pPr>
              <w:pStyle w:val="TableParagraph"/>
              <w:spacing w:before="0" w:line="240" w:lineRule="auto"/>
              <w:ind w:left="0"/>
            </w:pPr>
          </w:p>
          <w:p w14:paraId="48601E50" w14:textId="77777777" w:rsidR="004C7180" w:rsidRPr="00150EDC" w:rsidRDefault="004C7180">
            <w:pPr>
              <w:pStyle w:val="TableParagraph"/>
              <w:spacing w:before="0" w:line="240" w:lineRule="auto"/>
              <w:ind w:left="0"/>
            </w:pPr>
          </w:p>
          <w:p w14:paraId="2A77B3FD" w14:textId="77777777" w:rsidR="004C7180" w:rsidRPr="00150EDC" w:rsidRDefault="004C7180">
            <w:pPr>
              <w:pStyle w:val="TableParagraph"/>
              <w:spacing w:before="0" w:line="240" w:lineRule="auto"/>
              <w:ind w:left="0"/>
            </w:pPr>
          </w:p>
          <w:p w14:paraId="4D40AAFB" w14:textId="77777777" w:rsidR="004C7180" w:rsidRPr="00150EDC" w:rsidRDefault="004C7180">
            <w:pPr>
              <w:pStyle w:val="TableParagraph"/>
              <w:spacing w:before="0" w:line="240" w:lineRule="auto"/>
              <w:ind w:left="0"/>
            </w:pPr>
          </w:p>
          <w:p w14:paraId="44EC3042" w14:textId="77777777" w:rsidR="004C7180" w:rsidRPr="00150EDC" w:rsidRDefault="004C7180">
            <w:pPr>
              <w:pStyle w:val="TableParagraph"/>
              <w:spacing w:before="0" w:line="240" w:lineRule="auto"/>
              <w:ind w:left="0"/>
            </w:pPr>
          </w:p>
          <w:p w14:paraId="34041BFC" w14:textId="77777777" w:rsidR="004C7180" w:rsidRPr="00150EDC" w:rsidRDefault="004C7180">
            <w:pPr>
              <w:pStyle w:val="TableParagraph"/>
              <w:spacing w:before="0" w:line="240" w:lineRule="auto"/>
              <w:ind w:left="0"/>
            </w:pPr>
          </w:p>
          <w:p w14:paraId="1CB25B61" w14:textId="77777777" w:rsidR="004C7180" w:rsidRPr="00150EDC" w:rsidRDefault="004C7180">
            <w:pPr>
              <w:pStyle w:val="TableParagraph"/>
              <w:spacing w:before="0" w:line="240" w:lineRule="auto"/>
              <w:ind w:left="0"/>
            </w:pPr>
          </w:p>
          <w:p w14:paraId="016860FF" w14:textId="77777777" w:rsidR="004C7180" w:rsidRPr="00150EDC" w:rsidRDefault="004C7180">
            <w:pPr>
              <w:pStyle w:val="TableParagraph"/>
              <w:spacing w:before="0" w:line="240" w:lineRule="auto"/>
              <w:ind w:left="0"/>
            </w:pPr>
          </w:p>
          <w:p w14:paraId="1C5DD86D" w14:textId="77777777" w:rsidR="004C7180" w:rsidRPr="00150EDC" w:rsidRDefault="00CF0754">
            <w:pPr>
              <w:pStyle w:val="TableParagraph"/>
              <w:spacing w:before="153" w:line="240" w:lineRule="auto"/>
              <w:ind w:left="111" w:right="125"/>
              <w:rPr>
                <w:rFonts w:ascii="Calibri"/>
              </w:rPr>
            </w:pPr>
            <w:r w:rsidRPr="00150EDC">
              <w:rPr>
                <w:rFonts w:ascii="Calibri"/>
                <w:spacing w:val="-4"/>
              </w:rPr>
              <w:t xml:space="preserve">The </w:t>
            </w:r>
            <w:r w:rsidRPr="00150EDC">
              <w:rPr>
                <w:rFonts w:ascii="Calibri"/>
                <w:spacing w:val="-2"/>
              </w:rPr>
              <w:t xml:space="preserve">Education </w:t>
            </w:r>
            <w:r w:rsidRPr="00150EDC">
              <w:rPr>
                <w:rFonts w:ascii="Calibri"/>
              </w:rPr>
              <w:t xml:space="preserve">&amp; Training </w:t>
            </w:r>
            <w:r w:rsidRPr="00150EDC">
              <w:rPr>
                <w:rFonts w:ascii="Calibri"/>
                <w:spacing w:val="-2"/>
              </w:rPr>
              <w:t>Foundation</w:t>
            </w:r>
          </w:p>
        </w:tc>
        <w:tc>
          <w:tcPr>
            <w:tcW w:w="994" w:type="dxa"/>
          </w:tcPr>
          <w:p w14:paraId="57449381" w14:textId="77777777" w:rsidR="004C7180" w:rsidRPr="00150EDC" w:rsidRDefault="004C7180">
            <w:pPr>
              <w:pStyle w:val="TableParagraph"/>
              <w:spacing w:before="0" w:line="240" w:lineRule="auto"/>
              <w:ind w:left="0"/>
            </w:pPr>
          </w:p>
          <w:p w14:paraId="7CDBB342" w14:textId="77777777" w:rsidR="004C7180" w:rsidRPr="00150EDC" w:rsidRDefault="004C7180">
            <w:pPr>
              <w:pStyle w:val="TableParagraph"/>
              <w:spacing w:before="0" w:line="240" w:lineRule="auto"/>
              <w:ind w:left="0"/>
            </w:pPr>
          </w:p>
          <w:p w14:paraId="1378E902" w14:textId="77777777" w:rsidR="004C7180" w:rsidRPr="00150EDC" w:rsidRDefault="004C7180">
            <w:pPr>
              <w:pStyle w:val="TableParagraph"/>
              <w:spacing w:before="0" w:line="240" w:lineRule="auto"/>
              <w:ind w:left="0"/>
            </w:pPr>
          </w:p>
          <w:p w14:paraId="208FB949" w14:textId="77777777" w:rsidR="004C7180" w:rsidRPr="00150EDC" w:rsidRDefault="004C7180">
            <w:pPr>
              <w:pStyle w:val="TableParagraph"/>
              <w:spacing w:before="0" w:line="240" w:lineRule="auto"/>
              <w:ind w:left="0"/>
            </w:pPr>
          </w:p>
          <w:p w14:paraId="44C3EAE7" w14:textId="77777777" w:rsidR="004C7180" w:rsidRPr="00150EDC" w:rsidRDefault="004C7180">
            <w:pPr>
              <w:pStyle w:val="TableParagraph"/>
              <w:spacing w:before="0" w:line="240" w:lineRule="auto"/>
              <w:ind w:left="0"/>
            </w:pPr>
          </w:p>
          <w:p w14:paraId="2B178167" w14:textId="77777777" w:rsidR="004C7180" w:rsidRPr="00150EDC" w:rsidRDefault="004C7180">
            <w:pPr>
              <w:pStyle w:val="TableParagraph"/>
              <w:spacing w:before="0" w:line="240" w:lineRule="auto"/>
              <w:ind w:left="0"/>
            </w:pPr>
          </w:p>
          <w:p w14:paraId="3FCC0BF5" w14:textId="77777777" w:rsidR="004C7180" w:rsidRPr="00150EDC" w:rsidRDefault="004C7180">
            <w:pPr>
              <w:pStyle w:val="TableParagraph"/>
              <w:spacing w:before="0" w:line="240" w:lineRule="auto"/>
              <w:ind w:left="0"/>
            </w:pPr>
          </w:p>
          <w:p w14:paraId="11F3910B" w14:textId="77777777" w:rsidR="004C7180" w:rsidRPr="00150EDC" w:rsidRDefault="004C7180">
            <w:pPr>
              <w:pStyle w:val="TableParagraph"/>
              <w:spacing w:before="0" w:line="240" w:lineRule="auto"/>
              <w:ind w:left="0"/>
            </w:pPr>
          </w:p>
          <w:p w14:paraId="48102112" w14:textId="77777777" w:rsidR="004C7180" w:rsidRPr="00150EDC" w:rsidRDefault="004C7180">
            <w:pPr>
              <w:pStyle w:val="TableParagraph"/>
              <w:spacing w:before="0" w:line="240" w:lineRule="auto"/>
              <w:ind w:left="0"/>
            </w:pPr>
          </w:p>
          <w:p w14:paraId="2DD193B8" w14:textId="77777777" w:rsidR="004C7180" w:rsidRPr="00150EDC" w:rsidRDefault="00CF0754">
            <w:pPr>
              <w:pStyle w:val="TableParagraph"/>
              <w:spacing w:before="152" w:line="240" w:lineRule="auto"/>
              <w:ind w:left="111" w:right="143"/>
              <w:rPr>
                <w:rFonts w:ascii="Calibri"/>
              </w:rPr>
            </w:pPr>
            <w:r w:rsidRPr="00150EDC">
              <w:rPr>
                <w:rFonts w:ascii="Calibri"/>
                <w:spacing w:val="-2"/>
              </w:rPr>
              <w:t>Locally Commis sioned Trial</w:t>
            </w:r>
          </w:p>
        </w:tc>
        <w:tc>
          <w:tcPr>
            <w:tcW w:w="2988" w:type="dxa"/>
          </w:tcPr>
          <w:p w14:paraId="5C1CCE10" w14:textId="77777777" w:rsidR="004C7180" w:rsidRPr="00150EDC" w:rsidRDefault="00CF0754">
            <w:pPr>
              <w:pStyle w:val="TableParagraph"/>
              <w:numPr>
                <w:ilvl w:val="0"/>
                <w:numId w:val="11"/>
              </w:numPr>
              <w:tabs>
                <w:tab w:val="left" w:pos="226"/>
              </w:tabs>
              <w:spacing w:before="13" w:line="240" w:lineRule="auto"/>
              <w:ind w:right="103" w:firstLine="0"/>
              <w:rPr>
                <w:rFonts w:ascii="Calibri" w:hAnsi="Calibri"/>
              </w:rPr>
            </w:pPr>
            <w:r w:rsidRPr="00150EDC">
              <w:rPr>
                <w:rFonts w:ascii="Calibri" w:hAnsi="Calibri"/>
              </w:rPr>
              <w:t>What is the difference in course attendance of learners aged 19+ completing Level 1 maths courses who are taught using</w:t>
            </w:r>
            <w:r w:rsidRPr="00150EDC">
              <w:rPr>
                <w:rFonts w:ascii="Calibri" w:hAnsi="Calibri"/>
                <w:spacing w:val="-13"/>
              </w:rPr>
              <w:t xml:space="preserve"> </w:t>
            </w:r>
            <w:r w:rsidRPr="00150EDC">
              <w:rPr>
                <w:rFonts w:ascii="Calibri" w:hAnsi="Calibri"/>
              </w:rPr>
              <w:t>a</w:t>
            </w:r>
            <w:r w:rsidRPr="00150EDC">
              <w:rPr>
                <w:rFonts w:ascii="Calibri" w:hAnsi="Calibri"/>
                <w:spacing w:val="-12"/>
              </w:rPr>
              <w:t xml:space="preserve"> </w:t>
            </w:r>
            <w:r w:rsidRPr="00150EDC">
              <w:rPr>
                <w:rFonts w:ascii="Calibri" w:hAnsi="Calibri"/>
              </w:rPr>
              <w:t>contextualised</w:t>
            </w:r>
            <w:r w:rsidRPr="00150EDC">
              <w:rPr>
                <w:rFonts w:ascii="Calibri" w:hAnsi="Calibri"/>
                <w:spacing w:val="-13"/>
              </w:rPr>
              <w:t xml:space="preserve"> </w:t>
            </w:r>
            <w:r w:rsidRPr="00150EDC">
              <w:rPr>
                <w:rFonts w:ascii="Calibri" w:hAnsi="Calibri"/>
              </w:rPr>
              <w:t xml:space="preserve">learning approach, compared to comparable learners who receive business as usual </w:t>
            </w:r>
            <w:r w:rsidRPr="00150EDC">
              <w:rPr>
                <w:rFonts w:ascii="Calibri" w:hAnsi="Calibri"/>
                <w:spacing w:val="-2"/>
              </w:rPr>
              <w:t>treatment?</w:t>
            </w:r>
          </w:p>
          <w:p w14:paraId="581A1BF2" w14:textId="77777777" w:rsidR="004C7180" w:rsidRPr="00150EDC" w:rsidRDefault="00CF0754">
            <w:pPr>
              <w:pStyle w:val="TableParagraph"/>
              <w:numPr>
                <w:ilvl w:val="0"/>
                <w:numId w:val="11"/>
              </w:numPr>
              <w:tabs>
                <w:tab w:val="left" w:pos="225"/>
              </w:tabs>
              <w:spacing w:before="0" w:line="240" w:lineRule="auto"/>
              <w:ind w:left="108" w:right="104" w:firstLine="0"/>
              <w:rPr>
                <w:rFonts w:ascii="Calibri" w:hAnsi="Calibri"/>
              </w:rPr>
            </w:pPr>
            <w:r w:rsidRPr="00150EDC">
              <w:rPr>
                <w:rFonts w:ascii="Calibri" w:hAnsi="Calibri"/>
              </w:rPr>
              <w:t>What is the difference in course completion of learners aged 19+ completing Level 1 maths courses who are taught using</w:t>
            </w:r>
            <w:r w:rsidRPr="00150EDC">
              <w:rPr>
                <w:rFonts w:ascii="Calibri" w:hAnsi="Calibri"/>
                <w:spacing w:val="-13"/>
              </w:rPr>
              <w:t xml:space="preserve"> </w:t>
            </w:r>
            <w:r w:rsidRPr="00150EDC">
              <w:rPr>
                <w:rFonts w:ascii="Calibri" w:hAnsi="Calibri"/>
              </w:rPr>
              <w:t>a</w:t>
            </w:r>
            <w:r w:rsidRPr="00150EDC">
              <w:rPr>
                <w:rFonts w:ascii="Calibri" w:hAnsi="Calibri"/>
                <w:spacing w:val="-12"/>
              </w:rPr>
              <w:t xml:space="preserve"> </w:t>
            </w:r>
            <w:r w:rsidRPr="00150EDC">
              <w:rPr>
                <w:rFonts w:ascii="Calibri" w:hAnsi="Calibri"/>
              </w:rPr>
              <w:t>contextualised</w:t>
            </w:r>
            <w:r w:rsidRPr="00150EDC">
              <w:rPr>
                <w:rFonts w:ascii="Calibri" w:hAnsi="Calibri"/>
                <w:spacing w:val="-13"/>
              </w:rPr>
              <w:t xml:space="preserve"> </w:t>
            </w:r>
            <w:r w:rsidRPr="00150EDC">
              <w:rPr>
                <w:rFonts w:ascii="Calibri" w:hAnsi="Calibri"/>
              </w:rPr>
              <w:t xml:space="preserve">learning approach, compared to comparable learners who receive business as usual </w:t>
            </w:r>
            <w:r w:rsidRPr="00150EDC">
              <w:rPr>
                <w:rFonts w:ascii="Calibri" w:hAnsi="Calibri"/>
                <w:spacing w:val="-2"/>
              </w:rPr>
              <w:t>treatment?</w:t>
            </w:r>
          </w:p>
          <w:p w14:paraId="7CAEEE79" w14:textId="77777777" w:rsidR="004C7180" w:rsidRPr="00150EDC" w:rsidRDefault="00CF0754">
            <w:pPr>
              <w:pStyle w:val="TableParagraph"/>
              <w:numPr>
                <w:ilvl w:val="0"/>
                <w:numId w:val="11"/>
              </w:numPr>
              <w:tabs>
                <w:tab w:val="left" w:pos="225"/>
              </w:tabs>
              <w:spacing w:before="0" w:line="240" w:lineRule="auto"/>
              <w:ind w:left="108" w:right="472" w:firstLine="0"/>
              <w:rPr>
                <w:rFonts w:ascii="Calibri" w:hAnsi="Calibri"/>
              </w:rPr>
            </w:pPr>
            <w:r w:rsidRPr="00150EDC">
              <w:rPr>
                <w:rFonts w:ascii="Calibri" w:hAnsi="Calibri"/>
              </w:rPr>
              <w:t>What is the impact of a contextualised learning approach</w:t>
            </w:r>
            <w:r w:rsidRPr="00150EDC">
              <w:rPr>
                <w:rFonts w:ascii="Calibri" w:hAnsi="Calibri"/>
                <w:spacing w:val="-13"/>
              </w:rPr>
              <w:t xml:space="preserve"> </w:t>
            </w:r>
            <w:r w:rsidRPr="00150EDC">
              <w:rPr>
                <w:rFonts w:ascii="Calibri" w:hAnsi="Calibri"/>
              </w:rPr>
              <w:t>on</w:t>
            </w:r>
            <w:r w:rsidRPr="00150EDC">
              <w:rPr>
                <w:rFonts w:ascii="Calibri" w:hAnsi="Calibri"/>
                <w:spacing w:val="-11"/>
              </w:rPr>
              <w:t xml:space="preserve"> </w:t>
            </w:r>
            <w:r w:rsidRPr="00150EDC">
              <w:rPr>
                <w:rFonts w:ascii="Calibri" w:hAnsi="Calibri"/>
              </w:rPr>
              <w:t>confidence</w:t>
            </w:r>
            <w:r w:rsidRPr="00150EDC">
              <w:rPr>
                <w:rFonts w:ascii="Calibri" w:hAnsi="Calibri"/>
                <w:spacing w:val="-12"/>
              </w:rPr>
              <w:t xml:space="preserve"> </w:t>
            </w:r>
            <w:r w:rsidRPr="00150EDC">
              <w:rPr>
                <w:rFonts w:ascii="Calibri" w:hAnsi="Calibri"/>
              </w:rPr>
              <w:t>of</w:t>
            </w:r>
          </w:p>
          <w:p w14:paraId="5DFF96CF" w14:textId="77777777" w:rsidR="004C7180" w:rsidRPr="00150EDC" w:rsidRDefault="00CF0754">
            <w:pPr>
              <w:pStyle w:val="TableParagraph"/>
              <w:spacing w:before="1" w:line="264" w:lineRule="exact"/>
              <w:ind w:left="109"/>
              <w:rPr>
                <w:rFonts w:ascii="Calibri"/>
              </w:rPr>
            </w:pPr>
            <w:r w:rsidRPr="00150EDC">
              <w:rPr>
                <w:rFonts w:ascii="Calibri"/>
              </w:rPr>
              <w:t>learners</w:t>
            </w:r>
            <w:r w:rsidRPr="00150EDC">
              <w:rPr>
                <w:rFonts w:ascii="Calibri"/>
                <w:spacing w:val="-4"/>
              </w:rPr>
              <w:t xml:space="preserve"> </w:t>
            </w:r>
            <w:r w:rsidRPr="00150EDC">
              <w:rPr>
                <w:rFonts w:ascii="Calibri"/>
              </w:rPr>
              <w:t>aged</w:t>
            </w:r>
            <w:r w:rsidRPr="00150EDC">
              <w:rPr>
                <w:rFonts w:ascii="Calibri"/>
                <w:spacing w:val="-6"/>
              </w:rPr>
              <w:t xml:space="preserve"> </w:t>
            </w:r>
            <w:r w:rsidRPr="00150EDC">
              <w:rPr>
                <w:rFonts w:ascii="Calibri"/>
              </w:rPr>
              <w:t>19+</w:t>
            </w:r>
            <w:r w:rsidRPr="00150EDC">
              <w:rPr>
                <w:rFonts w:ascii="Calibri"/>
                <w:spacing w:val="-4"/>
              </w:rPr>
              <w:t xml:space="preserve"> </w:t>
            </w:r>
            <w:r w:rsidRPr="00150EDC">
              <w:rPr>
                <w:rFonts w:ascii="Calibri"/>
                <w:spacing w:val="-2"/>
              </w:rPr>
              <w:t>completing</w:t>
            </w:r>
          </w:p>
        </w:tc>
      </w:tr>
    </w:tbl>
    <w:p w14:paraId="697FB7E7" w14:textId="77777777" w:rsidR="004C7180" w:rsidRPr="00150EDC" w:rsidRDefault="004C7180">
      <w:pPr>
        <w:spacing w:line="264" w:lineRule="exact"/>
        <w:rPr>
          <w:rFonts w:ascii="Calibri"/>
        </w:rPr>
        <w:sectPr w:rsidR="004C7180" w:rsidRPr="00150EDC">
          <w:pgSz w:w="11910" w:h="16840"/>
          <w:pgMar w:top="1160" w:right="0" w:bottom="1440" w:left="40" w:header="715" w:footer="1259" w:gutter="0"/>
          <w:cols w:space="720"/>
        </w:sectPr>
      </w:pPr>
    </w:p>
    <w:p w14:paraId="63BF02A4" w14:textId="77777777" w:rsidR="004C7180" w:rsidRPr="00150EDC" w:rsidRDefault="004C7180">
      <w:pPr>
        <w:pStyle w:val="BodyText"/>
        <w:spacing w:before="7"/>
        <w:rPr>
          <w:sz w:val="23"/>
        </w:rPr>
      </w:pPr>
    </w:p>
    <w:tbl>
      <w:tblPr>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7"/>
        <w:gridCol w:w="4961"/>
        <w:gridCol w:w="1277"/>
        <w:gridCol w:w="994"/>
        <w:gridCol w:w="2988"/>
      </w:tblGrid>
      <w:tr w:rsidR="004569EE" w:rsidRPr="007D3144" w14:paraId="32AF7DF0" w14:textId="77777777">
        <w:trPr>
          <w:trHeight w:val="3030"/>
        </w:trPr>
        <w:tc>
          <w:tcPr>
            <w:tcW w:w="1277" w:type="dxa"/>
            <w:tcBorders>
              <w:left w:val="single" w:sz="8" w:space="0" w:color="000000"/>
            </w:tcBorders>
          </w:tcPr>
          <w:p w14:paraId="31D532BC" w14:textId="77777777" w:rsidR="004C7180" w:rsidRPr="00150EDC" w:rsidRDefault="004C7180">
            <w:pPr>
              <w:pStyle w:val="TableParagraph"/>
              <w:spacing w:before="0" w:line="240" w:lineRule="auto"/>
              <w:ind w:left="0"/>
              <w:rPr>
                <w:rFonts w:ascii="Times New Roman"/>
                <w:sz w:val="20"/>
              </w:rPr>
            </w:pPr>
          </w:p>
        </w:tc>
        <w:tc>
          <w:tcPr>
            <w:tcW w:w="4961" w:type="dxa"/>
          </w:tcPr>
          <w:p w14:paraId="5B081203" w14:textId="77777777" w:rsidR="004C7180" w:rsidRPr="00150EDC" w:rsidRDefault="004C7180">
            <w:pPr>
              <w:pStyle w:val="TableParagraph"/>
              <w:spacing w:before="0" w:line="240" w:lineRule="auto"/>
              <w:ind w:left="0"/>
              <w:rPr>
                <w:rFonts w:ascii="Times New Roman"/>
                <w:sz w:val="20"/>
              </w:rPr>
            </w:pPr>
          </w:p>
        </w:tc>
        <w:tc>
          <w:tcPr>
            <w:tcW w:w="1277" w:type="dxa"/>
          </w:tcPr>
          <w:p w14:paraId="5FA7F460" w14:textId="77777777" w:rsidR="004C7180" w:rsidRPr="00150EDC" w:rsidRDefault="004C7180">
            <w:pPr>
              <w:pStyle w:val="TableParagraph"/>
              <w:spacing w:before="0" w:line="240" w:lineRule="auto"/>
              <w:ind w:left="0"/>
              <w:rPr>
                <w:rFonts w:ascii="Times New Roman"/>
                <w:sz w:val="20"/>
              </w:rPr>
            </w:pPr>
          </w:p>
        </w:tc>
        <w:tc>
          <w:tcPr>
            <w:tcW w:w="994" w:type="dxa"/>
          </w:tcPr>
          <w:p w14:paraId="4956E74F" w14:textId="77777777" w:rsidR="004C7180" w:rsidRPr="00150EDC" w:rsidRDefault="004C7180">
            <w:pPr>
              <w:pStyle w:val="TableParagraph"/>
              <w:spacing w:before="0" w:line="240" w:lineRule="auto"/>
              <w:ind w:left="0"/>
              <w:rPr>
                <w:rFonts w:ascii="Times New Roman"/>
                <w:sz w:val="20"/>
              </w:rPr>
            </w:pPr>
          </w:p>
        </w:tc>
        <w:tc>
          <w:tcPr>
            <w:tcW w:w="2988" w:type="dxa"/>
          </w:tcPr>
          <w:p w14:paraId="25F492C6" w14:textId="77777777" w:rsidR="004C7180" w:rsidRPr="00150EDC" w:rsidRDefault="00CF0754">
            <w:pPr>
              <w:pStyle w:val="TableParagraph"/>
              <w:spacing w:before="13" w:line="240" w:lineRule="auto"/>
              <w:ind w:left="109"/>
              <w:rPr>
                <w:rFonts w:ascii="Calibri"/>
              </w:rPr>
            </w:pPr>
            <w:r w:rsidRPr="00150EDC">
              <w:rPr>
                <w:rFonts w:ascii="Calibri"/>
              </w:rPr>
              <w:t>Level 1 maths courses, compared to the impact of business</w:t>
            </w:r>
            <w:r w:rsidRPr="00150EDC">
              <w:rPr>
                <w:rFonts w:ascii="Calibri"/>
                <w:spacing w:val="-13"/>
              </w:rPr>
              <w:t xml:space="preserve"> </w:t>
            </w:r>
            <w:r w:rsidRPr="00150EDC">
              <w:rPr>
                <w:rFonts w:ascii="Calibri"/>
              </w:rPr>
              <w:t>as</w:t>
            </w:r>
            <w:r w:rsidRPr="00150EDC">
              <w:rPr>
                <w:rFonts w:ascii="Calibri"/>
                <w:spacing w:val="-11"/>
              </w:rPr>
              <w:t xml:space="preserve"> </w:t>
            </w:r>
            <w:r w:rsidRPr="00150EDC">
              <w:rPr>
                <w:rFonts w:ascii="Calibri"/>
              </w:rPr>
              <w:t>usual</w:t>
            </w:r>
            <w:r w:rsidRPr="00150EDC">
              <w:rPr>
                <w:rFonts w:ascii="Calibri"/>
                <w:spacing w:val="-13"/>
              </w:rPr>
              <w:t xml:space="preserve"> </w:t>
            </w:r>
            <w:r w:rsidRPr="00150EDC">
              <w:rPr>
                <w:rFonts w:ascii="Calibri"/>
              </w:rPr>
              <w:t>treatment?</w:t>
            </w:r>
          </w:p>
        </w:tc>
      </w:tr>
      <w:tr w:rsidR="004569EE" w:rsidRPr="007D3144" w14:paraId="16A9265E" w14:textId="77777777">
        <w:trPr>
          <w:trHeight w:val="5130"/>
        </w:trPr>
        <w:tc>
          <w:tcPr>
            <w:tcW w:w="1277" w:type="dxa"/>
            <w:tcBorders>
              <w:left w:val="single" w:sz="8" w:space="0" w:color="000000"/>
            </w:tcBorders>
          </w:tcPr>
          <w:p w14:paraId="117F2905" w14:textId="77777777" w:rsidR="004C7180" w:rsidRPr="00150EDC" w:rsidRDefault="004C7180">
            <w:pPr>
              <w:pStyle w:val="TableParagraph"/>
              <w:spacing w:before="0" w:line="240" w:lineRule="auto"/>
              <w:ind w:left="0"/>
            </w:pPr>
          </w:p>
          <w:p w14:paraId="56556D92" w14:textId="77777777" w:rsidR="004C7180" w:rsidRPr="00150EDC" w:rsidRDefault="004C7180">
            <w:pPr>
              <w:pStyle w:val="TableParagraph"/>
              <w:spacing w:before="0" w:line="240" w:lineRule="auto"/>
              <w:ind w:left="0"/>
            </w:pPr>
          </w:p>
          <w:p w14:paraId="26596231" w14:textId="77777777" w:rsidR="004C7180" w:rsidRPr="00150EDC" w:rsidRDefault="004C7180">
            <w:pPr>
              <w:pStyle w:val="TableParagraph"/>
              <w:spacing w:before="0" w:line="240" w:lineRule="auto"/>
              <w:ind w:left="0"/>
            </w:pPr>
          </w:p>
          <w:p w14:paraId="4E18B7B5" w14:textId="77777777" w:rsidR="004C7180" w:rsidRPr="00150EDC" w:rsidRDefault="004C7180">
            <w:pPr>
              <w:pStyle w:val="TableParagraph"/>
              <w:spacing w:before="0" w:line="240" w:lineRule="auto"/>
              <w:ind w:left="0"/>
            </w:pPr>
          </w:p>
          <w:p w14:paraId="254C86A7" w14:textId="77777777" w:rsidR="004C7180" w:rsidRPr="00150EDC" w:rsidRDefault="004C7180">
            <w:pPr>
              <w:pStyle w:val="TableParagraph"/>
              <w:spacing w:before="0" w:line="240" w:lineRule="auto"/>
              <w:ind w:left="0"/>
            </w:pPr>
          </w:p>
          <w:p w14:paraId="03D67DBA" w14:textId="77777777" w:rsidR="004C7180" w:rsidRPr="00150EDC" w:rsidRDefault="004C7180">
            <w:pPr>
              <w:pStyle w:val="TableParagraph"/>
              <w:spacing w:before="0" w:line="240" w:lineRule="auto"/>
              <w:ind w:left="0"/>
            </w:pPr>
          </w:p>
          <w:p w14:paraId="56A1FFDE" w14:textId="77777777" w:rsidR="004C7180" w:rsidRPr="00150EDC" w:rsidRDefault="004C7180">
            <w:pPr>
              <w:pStyle w:val="TableParagraph"/>
              <w:spacing w:before="0" w:line="240" w:lineRule="auto"/>
              <w:ind w:left="0"/>
            </w:pPr>
          </w:p>
          <w:p w14:paraId="1FE1C370" w14:textId="77777777" w:rsidR="004C7180" w:rsidRPr="00150EDC" w:rsidRDefault="004C7180">
            <w:pPr>
              <w:pStyle w:val="TableParagraph"/>
              <w:spacing w:before="0" w:line="240" w:lineRule="auto"/>
              <w:ind w:left="0"/>
            </w:pPr>
          </w:p>
          <w:p w14:paraId="331366B8" w14:textId="77777777" w:rsidR="004C7180" w:rsidRPr="00150EDC" w:rsidRDefault="004C7180">
            <w:pPr>
              <w:pStyle w:val="TableParagraph"/>
              <w:spacing w:before="7" w:line="240" w:lineRule="auto"/>
              <w:ind w:left="0"/>
              <w:rPr>
                <w:sz w:val="23"/>
              </w:rPr>
            </w:pPr>
          </w:p>
          <w:p w14:paraId="0A58822E" w14:textId="77777777" w:rsidR="004C7180" w:rsidRPr="00150EDC" w:rsidRDefault="00CF0754">
            <w:pPr>
              <w:pStyle w:val="TableParagraph"/>
              <w:spacing w:before="0" w:line="240" w:lineRule="auto"/>
              <w:ind w:left="107" w:right="293"/>
              <w:rPr>
                <w:rFonts w:ascii="Calibri"/>
                <w:b/>
              </w:rPr>
            </w:pPr>
            <w:r w:rsidRPr="00150EDC">
              <w:rPr>
                <w:rFonts w:ascii="Calibri"/>
                <w:b/>
              </w:rPr>
              <w:t>Maths</w:t>
            </w:r>
            <w:r w:rsidRPr="00150EDC">
              <w:rPr>
                <w:rFonts w:ascii="Calibri"/>
                <w:b/>
                <w:spacing w:val="-13"/>
              </w:rPr>
              <w:t xml:space="preserve"> </w:t>
            </w:r>
            <w:r w:rsidRPr="00150EDC">
              <w:rPr>
                <w:rFonts w:ascii="Calibri"/>
                <w:b/>
              </w:rPr>
              <w:t xml:space="preserve">by </w:t>
            </w:r>
            <w:r w:rsidRPr="00150EDC">
              <w:rPr>
                <w:rFonts w:ascii="Calibri"/>
                <w:b/>
                <w:spacing w:val="-2"/>
              </w:rPr>
              <w:t>Stealth</w:t>
            </w:r>
          </w:p>
        </w:tc>
        <w:tc>
          <w:tcPr>
            <w:tcW w:w="4961" w:type="dxa"/>
          </w:tcPr>
          <w:p w14:paraId="0086D051" w14:textId="77777777" w:rsidR="004C7180" w:rsidRPr="00150EDC" w:rsidRDefault="004C7180">
            <w:pPr>
              <w:pStyle w:val="TableParagraph"/>
              <w:spacing w:before="0" w:line="240" w:lineRule="auto"/>
              <w:ind w:left="0"/>
            </w:pPr>
          </w:p>
          <w:p w14:paraId="4EF27058" w14:textId="77777777" w:rsidR="004C7180" w:rsidRPr="00150EDC" w:rsidRDefault="004C7180">
            <w:pPr>
              <w:pStyle w:val="TableParagraph"/>
              <w:spacing w:before="0" w:line="240" w:lineRule="auto"/>
              <w:ind w:left="0"/>
            </w:pPr>
          </w:p>
          <w:p w14:paraId="45CCAD4C" w14:textId="77777777" w:rsidR="004C7180" w:rsidRPr="00150EDC" w:rsidRDefault="004C7180">
            <w:pPr>
              <w:pStyle w:val="TableParagraph"/>
              <w:spacing w:before="0" w:line="240" w:lineRule="auto"/>
              <w:ind w:left="0"/>
            </w:pPr>
          </w:p>
          <w:p w14:paraId="58210CEE" w14:textId="77777777" w:rsidR="004C7180" w:rsidRPr="00150EDC" w:rsidRDefault="004C7180">
            <w:pPr>
              <w:pStyle w:val="TableParagraph"/>
              <w:spacing w:before="0" w:line="240" w:lineRule="auto"/>
              <w:ind w:left="0"/>
            </w:pPr>
          </w:p>
          <w:p w14:paraId="06F9FBE1" w14:textId="77777777" w:rsidR="004C7180" w:rsidRPr="00150EDC" w:rsidRDefault="004C7180">
            <w:pPr>
              <w:pStyle w:val="TableParagraph"/>
              <w:spacing w:before="0" w:line="240" w:lineRule="auto"/>
              <w:ind w:left="0"/>
            </w:pPr>
          </w:p>
          <w:p w14:paraId="3F408C0E" w14:textId="77777777" w:rsidR="004C7180" w:rsidRPr="00150EDC" w:rsidRDefault="004C7180">
            <w:pPr>
              <w:pStyle w:val="TableParagraph"/>
              <w:spacing w:before="5" w:line="240" w:lineRule="auto"/>
              <w:ind w:left="0"/>
              <w:rPr>
                <w:sz w:val="19"/>
              </w:rPr>
            </w:pPr>
          </w:p>
          <w:p w14:paraId="2A49BA19" w14:textId="77777777" w:rsidR="004C7180" w:rsidRPr="00150EDC" w:rsidRDefault="00CF0754">
            <w:pPr>
              <w:pStyle w:val="TableParagraph"/>
              <w:spacing w:before="1" w:line="240" w:lineRule="auto"/>
              <w:ind w:left="112" w:right="165"/>
              <w:rPr>
                <w:rFonts w:ascii="Calibri"/>
              </w:rPr>
            </w:pPr>
            <w:r w:rsidRPr="00150EDC">
              <w:rPr>
                <w:rFonts w:ascii="Calibri"/>
              </w:rPr>
              <w:t>This trial will look at the impact on numeracy skills and progression to specific maths provision of embedding maths content into a Level 1 or Level 2 vocational</w:t>
            </w:r>
            <w:r w:rsidRPr="00150EDC">
              <w:rPr>
                <w:rFonts w:ascii="Calibri"/>
                <w:spacing w:val="-2"/>
              </w:rPr>
              <w:t xml:space="preserve"> </w:t>
            </w:r>
            <w:r w:rsidRPr="00150EDC">
              <w:rPr>
                <w:rFonts w:ascii="Calibri"/>
              </w:rPr>
              <w:t>course (such as</w:t>
            </w:r>
            <w:r w:rsidRPr="00150EDC">
              <w:rPr>
                <w:rFonts w:ascii="Calibri"/>
                <w:spacing w:val="-1"/>
              </w:rPr>
              <w:t xml:space="preserve"> </w:t>
            </w:r>
            <w:r w:rsidRPr="00150EDC">
              <w:rPr>
                <w:rFonts w:ascii="Calibri"/>
              </w:rPr>
              <w:t>hairdressing or</w:t>
            </w:r>
            <w:r w:rsidRPr="00150EDC">
              <w:rPr>
                <w:rFonts w:ascii="Calibri"/>
                <w:spacing w:val="-1"/>
              </w:rPr>
              <w:t xml:space="preserve"> </w:t>
            </w:r>
            <w:r w:rsidRPr="00150EDC">
              <w:rPr>
                <w:rFonts w:ascii="Calibri"/>
              </w:rPr>
              <w:t>catering). The</w:t>
            </w:r>
            <w:r w:rsidRPr="00150EDC">
              <w:rPr>
                <w:rFonts w:ascii="Calibri"/>
                <w:spacing w:val="-4"/>
              </w:rPr>
              <w:t xml:space="preserve"> </w:t>
            </w:r>
            <w:r w:rsidRPr="00150EDC">
              <w:rPr>
                <w:rFonts w:ascii="Calibri"/>
              </w:rPr>
              <w:t>type</w:t>
            </w:r>
            <w:r w:rsidRPr="00150EDC">
              <w:rPr>
                <w:rFonts w:ascii="Calibri"/>
                <w:spacing w:val="-7"/>
              </w:rPr>
              <w:t xml:space="preserve"> </w:t>
            </w:r>
            <w:r w:rsidRPr="00150EDC">
              <w:rPr>
                <w:rFonts w:ascii="Calibri"/>
              </w:rPr>
              <w:t>of</w:t>
            </w:r>
            <w:r w:rsidRPr="00150EDC">
              <w:rPr>
                <w:rFonts w:ascii="Calibri"/>
                <w:spacing w:val="-7"/>
              </w:rPr>
              <w:t xml:space="preserve"> </w:t>
            </w:r>
            <w:r w:rsidRPr="00150EDC">
              <w:rPr>
                <w:rFonts w:ascii="Calibri"/>
              </w:rPr>
              <w:t>vocational</w:t>
            </w:r>
            <w:r w:rsidRPr="00150EDC">
              <w:rPr>
                <w:rFonts w:ascii="Calibri"/>
                <w:spacing w:val="-5"/>
              </w:rPr>
              <w:t xml:space="preserve"> </w:t>
            </w:r>
            <w:r w:rsidRPr="00150EDC">
              <w:rPr>
                <w:rFonts w:ascii="Calibri"/>
              </w:rPr>
              <w:t>course,</w:t>
            </w:r>
            <w:r w:rsidRPr="00150EDC">
              <w:rPr>
                <w:rFonts w:ascii="Calibri"/>
                <w:spacing w:val="-5"/>
              </w:rPr>
              <w:t xml:space="preserve"> </w:t>
            </w:r>
            <w:r w:rsidRPr="00150EDC">
              <w:rPr>
                <w:rFonts w:ascii="Calibri"/>
              </w:rPr>
              <w:t>including</w:t>
            </w:r>
            <w:r w:rsidRPr="00150EDC">
              <w:rPr>
                <w:rFonts w:ascii="Calibri"/>
                <w:spacing w:val="-6"/>
              </w:rPr>
              <w:t xml:space="preserve"> </w:t>
            </w:r>
            <w:r w:rsidRPr="00150EDC">
              <w:rPr>
                <w:rFonts w:ascii="Calibri"/>
              </w:rPr>
              <w:t>the</w:t>
            </w:r>
            <w:r w:rsidRPr="00150EDC">
              <w:rPr>
                <w:rFonts w:ascii="Calibri"/>
                <w:spacing w:val="-4"/>
              </w:rPr>
              <w:t xml:space="preserve"> </w:t>
            </w:r>
            <w:r w:rsidRPr="00150EDC">
              <w:rPr>
                <w:rFonts w:ascii="Calibri"/>
              </w:rPr>
              <w:t>number of guided learning hours and lessons, will be determined by the product developer. This trial originates from local area investment plans.</w:t>
            </w:r>
          </w:p>
        </w:tc>
        <w:tc>
          <w:tcPr>
            <w:tcW w:w="1277" w:type="dxa"/>
          </w:tcPr>
          <w:p w14:paraId="69750FB8" w14:textId="77777777" w:rsidR="004C7180" w:rsidRPr="00150EDC" w:rsidRDefault="004C7180">
            <w:pPr>
              <w:pStyle w:val="TableParagraph"/>
              <w:spacing w:before="0" w:line="240" w:lineRule="auto"/>
              <w:ind w:left="0"/>
            </w:pPr>
          </w:p>
          <w:p w14:paraId="4AE9005A" w14:textId="77777777" w:rsidR="004C7180" w:rsidRPr="00150EDC" w:rsidRDefault="004C7180">
            <w:pPr>
              <w:pStyle w:val="TableParagraph"/>
              <w:spacing w:before="0" w:line="240" w:lineRule="auto"/>
              <w:ind w:left="0"/>
            </w:pPr>
          </w:p>
          <w:p w14:paraId="67BF55DC" w14:textId="77777777" w:rsidR="004C7180" w:rsidRPr="00150EDC" w:rsidRDefault="004C7180">
            <w:pPr>
              <w:pStyle w:val="TableParagraph"/>
              <w:spacing w:before="0" w:line="240" w:lineRule="auto"/>
              <w:ind w:left="0"/>
            </w:pPr>
          </w:p>
          <w:p w14:paraId="324DB89B" w14:textId="77777777" w:rsidR="004C7180" w:rsidRPr="00150EDC" w:rsidRDefault="004C7180">
            <w:pPr>
              <w:pStyle w:val="TableParagraph"/>
              <w:spacing w:before="0" w:line="240" w:lineRule="auto"/>
              <w:ind w:left="0"/>
            </w:pPr>
          </w:p>
          <w:p w14:paraId="6AAFEA6C" w14:textId="77777777" w:rsidR="004C7180" w:rsidRPr="00150EDC" w:rsidRDefault="004C7180">
            <w:pPr>
              <w:pStyle w:val="TableParagraph"/>
              <w:spacing w:before="0" w:line="240" w:lineRule="auto"/>
              <w:ind w:left="0"/>
            </w:pPr>
          </w:p>
          <w:p w14:paraId="79C12273" w14:textId="77777777" w:rsidR="004C7180" w:rsidRPr="00150EDC" w:rsidRDefault="004C7180">
            <w:pPr>
              <w:pStyle w:val="TableParagraph"/>
              <w:spacing w:before="0" w:line="240" w:lineRule="auto"/>
              <w:ind w:left="0"/>
            </w:pPr>
          </w:p>
          <w:p w14:paraId="0153813B" w14:textId="77777777" w:rsidR="004C7180" w:rsidRPr="00150EDC" w:rsidRDefault="004C7180">
            <w:pPr>
              <w:pStyle w:val="TableParagraph"/>
              <w:spacing w:before="0" w:line="240" w:lineRule="auto"/>
              <w:ind w:left="0"/>
            </w:pPr>
          </w:p>
          <w:p w14:paraId="7B9153D3" w14:textId="77777777" w:rsidR="004C7180" w:rsidRPr="00150EDC" w:rsidRDefault="004C7180">
            <w:pPr>
              <w:pStyle w:val="TableParagraph"/>
              <w:spacing w:before="2" w:line="240" w:lineRule="auto"/>
              <w:ind w:left="0"/>
            </w:pPr>
          </w:p>
          <w:p w14:paraId="1149C9FB" w14:textId="77777777" w:rsidR="004C7180" w:rsidRPr="00150EDC" w:rsidRDefault="00CF0754">
            <w:pPr>
              <w:pStyle w:val="TableParagraph"/>
              <w:spacing w:before="0" w:line="240" w:lineRule="auto"/>
              <w:ind w:left="112" w:right="124"/>
              <w:rPr>
                <w:rFonts w:ascii="Calibri"/>
              </w:rPr>
            </w:pPr>
            <w:r w:rsidRPr="00150EDC">
              <w:rPr>
                <w:rFonts w:ascii="Calibri"/>
                <w:spacing w:val="-4"/>
              </w:rPr>
              <w:t xml:space="preserve">The </w:t>
            </w:r>
            <w:r w:rsidRPr="00150EDC">
              <w:rPr>
                <w:rFonts w:ascii="Calibri"/>
                <w:spacing w:val="-2"/>
              </w:rPr>
              <w:t xml:space="preserve">Education </w:t>
            </w:r>
            <w:r w:rsidRPr="00150EDC">
              <w:rPr>
                <w:rFonts w:ascii="Calibri"/>
              </w:rPr>
              <w:t xml:space="preserve">&amp; Training </w:t>
            </w:r>
            <w:r w:rsidRPr="00150EDC">
              <w:rPr>
                <w:rFonts w:ascii="Calibri"/>
                <w:spacing w:val="-2"/>
              </w:rPr>
              <w:t>Foundation</w:t>
            </w:r>
          </w:p>
        </w:tc>
        <w:tc>
          <w:tcPr>
            <w:tcW w:w="994" w:type="dxa"/>
          </w:tcPr>
          <w:p w14:paraId="56D658A8" w14:textId="77777777" w:rsidR="004C7180" w:rsidRPr="00150EDC" w:rsidRDefault="004C7180">
            <w:pPr>
              <w:pStyle w:val="TableParagraph"/>
              <w:spacing w:before="0" w:line="240" w:lineRule="auto"/>
              <w:ind w:left="0"/>
            </w:pPr>
          </w:p>
          <w:p w14:paraId="781400E4" w14:textId="77777777" w:rsidR="004C7180" w:rsidRPr="00150EDC" w:rsidRDefault="004C7180">
            <w:pPr>
              <w:pStyle w:val="TableParagraph"/>
              <w:spacing w:before="0" w:line="240" w:lineRule="auto"/>
              <w:ind w:left="0"/>
            </w:pPr>
          </w:p>
          <w:p w14:paraId="32731F31" w14:textId="77777777" w:rsidR="004C7180" w:rsidRPr="00150EDC" w:rsidRDefault="004C7180">
            <w:pPr>
              <w:pStyle w:val="TableParagraph"/>
              <w:spacing w:before="0" w:line="240" w:lineRule="auto"/>
              <w:ind w:left="0"/>
            </w:pPr>
          </w:p>
          <w:p w14:paraId="05807817" w14:textId="77777777" w:rsidR="004C7180" w:rsidRPr="00150EDC" w:rsidRDefault="004C7180">
            <w:pPr>
              <w:pStyle w:val="TableParagraph"/>
              <w:spacing w:before="0" w:line="240" w:lineRule="auto"/>
              <w:ind w:left="0"/>
            </w:pPr>
          </w:p>
          <w:p w14:paraId="2C8BC34D" w14:textId="77777777" w:rsidR="004C7180" w:rsidRPr="00150EDC" w:rsidRDefault="004C7180">
            <w:pPr>
              <w:pStyle w:val="TableParagraph"/>
              <w:spacing w:before="0" w:line="240" w:lineRule="auto"/>
              <w:ind w:left="0"/>
            </w:pPr>
          </w:p>
          <w:p w14:paraId="08D03C9D" w14:textId="77777777" w:rsidR="004C7180" w:rsidRPr="00150EDC" w:rsidRDefault="004C7180">
            <w:pPr>
              <w:pStyle w:val="TableParagraph"/>
              <w:spacing w:before="0" w:line="240" w:lineRule="auto"/>
              <w:ind w:left="0"/>
            </w:pPr>
          </w:p>
          <w:p w14:paraId="37B20C22" w14:textId="77777777" w:rsidR="004C7180" w:rsidRPr="00150EDC" w:rsidRDefault="004C7180">
            <w:pPr>
              <w:pStyle w:val="TableParagraph"/>
              <w:spacing w:before="0" w:line="240" w:lineRule="auto"/>
              <w:ind w:left="0"/>
            </w:pPr>
          </w:p>
          <w:p w14:paraId="44883790" w14:textId="77777777" w:rsidR="004C7180" w:rsidRPr="00150EDC" w:rsidRDefault="004C7180">
            <w:pPr>
              <w:pStyle w:val="TableParagraph"/>
              <w:spacing w:before="2" w:line="240" w:lineRule="auto"/>
              <w:ind w:left="0"/>
            </w:pPr>
          </w:p>
          <w:p w14:paraId="38C86688" w14:textId="77777777" w:rsidR="004C7180" w:rsidRPr="00150EDC" w:rsidRDefault="00CF0754">
            <w:pPr>
              <w:pStyle w:val="TableParagraph"/>
              <w:spacing w:before="0" w:line="240" w:lineRule="auto"/>
              <w:ind w:left="112" w:right="142"/>
              <w:rPr>
                <w:rFonts w:ascii="Calibri"/>
              </w:rPr>
            </w:pPr>
            <w:r w:rsidRPr="00150EDC">
              <w:rPr>
                <w:rFonts w:ascii="Calibri"/>
                <w:spacing w:val="-2"/>
              </w:rPr>
              <w:t>Locally Commis sioned Trial</w:t>
            </w:r>
          </w:p>
        </w:tc>
        <w:tc>
          <w:tcPr>
            <w:tcW w:w="2988" w:type="dxa"/>
          </w:tcPr>
          <w:p w14:paraId="7B12335D" w14:textId="77777777" w:rsidR="004C7180" w:rsidRPr="00150EDC" w:rsidRDefault="00CF0754">
            <w:pPr>
              <w:pStyle w:val="TableParagraph"/>
              <w:numPr>
                <w:ilvl w:val="0"/>
                <w:numId w:val="10"/>
              </w:numPr>
              <w:tabs>
                <w:tab w:val="left" w:pos="226"/>
              </w:tabs>
              <w:spacing w:before="13" w:line="240" w:lineRule="auto"/>
              <w:ind w:right="264" w:firstLine="0"/>
              <w:rPr>
                <w:rFonts w:ascii="Calibri" w:hAnsi="Calibri"/>
              </w:rPr>
            </w:pPr>
            <w:r w:rsidRPr="00150EDC">
              <w:rPr>
                <w:rFonts w:ascii="Calibri" w:hAnsi="Calibri"/>
              </w:rPr>
              <w:t>What is the impact of vocational courses with embedded</w:t>
            </w:r>
            <w:r w:rsidRPr="00150EDC">
              <w:rPr>
                <w:rFonts w:ascii="Calibri" w:hAnsi="Calibri"/>
                <w:spacing w:val="-13"/>
              </w:rPr>
              <w:t xml:space="preserve"> </w:t>
            </w:r>
            <w:r w:rsidRPr="00150EDC">
              <w:rPr>
                <w:rFonts w:ascii="Calibri" w:hAnsi="Calibri"/>
              </w:rPr>
              <w:t>maths</w:t>
            </w:r>
            <w:r w:rsidRPr="00150EDC">
              <w:rPr>
                <w:rFonts w:ascii="Calibri" w:hAnsi="Calibri"/>
                <w:spacing w:val="-11"/>
              </w:rPr>
              <w:t xml:space="preserve"> </w:t>
            </w:r>
            <w:r w:rsidRPr="00150EDC">
              <w:rPr>
                <w:rFonts w:ascii="Calibri" w:hAnsi="Calibri"/>
              </w:rPr>
              <w:t>content</w:t>
            </w:r>
            <w:r w:rsidRPr="00150EDC">
              <w:rPr>
                <w:rFonts w:ascii="Calibri" w:hAnsi="Calibri"/>
                <w:spacing w:val="-12"/>
              </w:rPr>
              <w:t xml:space="preserve"> </w:t>
            </w:r>
            <w:r w:rsidRPr="00150EDC">
              <w:rPr>
                <w:rFonts w:ascii="Calibri" w:hAnsi="Calibri"/>
              </w:rPr>
              <w:t>on maths skills of learners aged 19+ without Level 2 maths qualifications, compared to the impact of business as usual vocational courses?</w:t>
            </w:r>
          </w:p>
          <w:p w14:paraId="04496D53" w14:textId="77777777" w:rsidR="004C7180" w:rsidRPr="00150EDC" w:rsidRDefault="00CF0754">
            <w:pPr>
              <w:pStyle w:val="TableParagraph"/>
              <w:numPr>
                <w:ilvl w:val="0"/>
                <w:numId w:val="10"/>
              </w:numPr>
              <w:tabs>
                <w:tab w:val="left" w:pos="225"/>
              </w:tabs>
              <w:spacing w:before="0" w:line="240" w:lineRule="auto"/>
              <w:ind w:left="108" w:right="127" w:firstLine="0"/>
              <w:rPr>
                <w:rFonts w:ascii="Calibri" w:hAnsi="Calibri"/>
              </w:rPr>
            </w:pPr>
            <w:r w:rsidRPr="00150EDC">
              <w:rPr>
                <w:rFonts w:ascii="Calibri" w:hAnsi="Calibri"/>
              </w:rPr>
              <w:t>What is the difference in progression to further maths provision</w:t>
            </w:r>
            <w:r w:rsidRPr="00150EDC">
              <w:rPr>
                <w:rFonts w:ascii="Calibri" w:hAnsi="Calibri"/>
                <w:spacing w:val="-8"/>
              </w:rPr>
              <w:t xml:space="preserve"> </w:t>
            </w:r>
            <w:r w:rsidRPr="00150EDC">
              <w:rPr>
                <w:rFonts w:ascii="Calibri" w:hAnsi="Calibri"/>
              </w:rPr>
              <w:t>by</w:t>
            </w:r>
            <w:r w:rsidRPr="00150EDC">
              <w:rPr>
                <w:rFonts w:ascii="Calibri" w:hAnsi="Calibri"/>
                <w:spacing w:val="-8"/>
              </w:rPr>
              <w:t xml:space="preserve"> </w:t>
            </w:r>
            <w:r w:rsidRPr="00150EDC">
              <w:rPr>
                <w:rFonts w:ascii="Calibri" w:hAnsi="Calibri"/>
              </w:rPr>
              <w:t>learners</w:t>
            </w:r>
            <w:r w:rsidRPr="00150EDC">
              <w:rPr>
                <w:rFonts w:ascii="Calibri" w:hAnsi="Calibri"/>
                <w:spacing w:val="-9"/>
              </w:rPr>
              <w:t xml:space="preserve"> </w:t>
            </w:r>
            <w:r w:rsidRPr="00150EDC">
              <w:rPr>
                <w:rFonts w:ascii="Calibri" w:hAnsi="Calibri"/>
              </w:rPr>
              <w:t>aged</w:t>
            </w:r>
            <w:r w:rsidRPr="00150EDC">
              <w:rPr>
                <w:rFonts w:ascii="Calibri" w:hAnsi="Calibri"/>
                <w:spacing w:val="-10"/>
              </w:rPr>
              <w:t xml:space="preserve"> </w:t>
            </w:r>
            <w:r w:rsidRPr="00150EDC">
              <w:rPr>
                <w:rFonts w:ascii="Calibri" w:hAnsi="Calibri"/>
              </w:rPr>
              <w:t>19+ without Level 2 maths qualifications who</w:t>
            </w:r>
            <w:r w:rsidRPr="00150EDC">
              <w:rPr>
                <w:rFonts w:ascii="Calibri" w:hAnsi="Calibri"/>
                <w:spacing w:val="40"/>
              </w:rPr>
              <w:t xml:space="preserve"> </w:t>
            </w:r>
            <w:r w:rsidRPr="00150EDC">
              <w:rPr>
                <w:rFonts w:ascii="Calibri" w:hAnsi="Calibri"/>
              </w:rPr>
              <w:t>complete vocational courses with embedded</w:t>
            </w:r>
            <w:r w:rsidRPr="00150EDC">
              <w:rPr>
                <w:rFonts w:ascii="Calibri" w:hAnsi="Calibri"/>
                <w:spacing w:val="-2"/>
              </w:rPr>
              <w:t xml:space="preserve"> </w:t>
            </w:r>
            <w:r w:rsidRPr="00150EDC">
              <w:rPr>
                <w:rFonts w:ascii="Calibri" w:hAnsi="Calibri"/>
              </w:rPr>
              <w:t>maths content</w:t>
            </w:r>
            <w:r w:rsidRPr="00150EDC">
              <w:rPr>
                <w:rFonts w:ascii="Calibri" w:hAnsi="Calibri"/>
                <w:spacing w:val="-3"/>
              </w:rPr>
              <w:t xml:space="preserve"> </w:t>
            </w:r>
            <w:r w:rsidRPr="00150EDC">
              <w:rPr>
                <w:rFonts w:ascii="Calibri" w:hAnsi="Calibri"/>
              </w:rPr>
              <w:t>and receive signposting to maths provision, compared to comparable</w:t>
            </w:r>
            <w:r w:rsidRPr="00150EDC">
              <w:rPr>
                <w:rFonts w:ascii="Calibri" w:hAnsi="Calibri"/>
                <w:spacing w:val="-2"/>
              </w:rPr>
              <w:t xml:space="preserve"> </w:t>
            </w:r>
            <w:r w:rsidRPr="00150EDC">
              <w:rPr>
                <w:rFonts w:ascii="Calibri" w:hAnsi="Calibri"/>
              </w:rPr>
              <w:t>learners</w:t>
            </w:r>
            <w:r w:rsidRPr="00150EDC">
              <w:rPr>
                <w:rFonts w:ascii="Calibri" w:hAnsi="Calibri"/>
                <w:spacing w:val="-5"/>
              </w:rPr>
              <w:t xml:space="preserve"> </w:t>
            </w:r>
            <w:r w:rsidRPr="00150EDC">
              <w:rPr>
                <w:rFonts w:ascii="Calibri" w:hAnsi="Calibri"/>
              </w:rPr>
              <w:t>who</w:t>
            </w:r>
            <w:r w:rsidRPr="00150EDC">
              <w:rPr>
                <w:rFonts w:ascii="Calibri" w:hAnsi="Calibri"/>
                <w:spacing w:val="-4"/>
              </w:rPr>
              <w:t xml:space="preserve"> </w:t>
            </w:r>
            <w:r w:rsidRPr="00150EDC">
              <w:rPr>
                <w:rFonts w:ascii="Calibri" w:hAnsi="Calibri"/>
              </w:rPr>
              <w:t>only</w:t>
            </w:r>
          </w:p>
          <w:p w14:paraId="0FF3CA6B" w14:textId="77777777" w:rsidR="004C7180" w:rsidRPr="00150EDC" w:rsidRDefault="00CF0754">
            <w:pPr>
              <w:pStyle w:val="TableParagraph"/>
              <w:spacing w:before="0" w:line="264" w:lineRule="exact"/>
              <w:ind w:left="109"/>
              <w:rPr>
                <w:rFonts w:ascii="Calibri"/>
              </w:rPr>
            </w:pPr>
            <w:r w:rsidRPr="00150EDC">
              <w:rPr>
                <w:rFonts w:ascii="Calibri"/>
              </w:rPr>
              <w:t>receive</w:t>
            </w:r>
            <w:r w:rsidRPr="00150EDC">
              <w:rPr>
                <w:rFonts w:ascii="Calibri"/>
                <w:spacing w:val="-2"/>
              </w:rPr>
              <w:t xml:space="preserve"> signposting?</w:t>
            </w:r>
          </w:p>
        </w:tc>
      </w:tr>
      <w:tr w:rsidR="004569EE" w:rsidRPr="007D3144" w14:paraId="19ED845C" w14:textId="77777777">
        <w:trPr>
          <w:trHeight w:val="4864"/>
        </w:trPr>
        <w:tc>
          <w:tcPr>
            <w:tcW w:w="1277" w:type="dxa"/>
            <w:tcBorders>
              <w:left w:val="single" w:sz="8" w:space="0" w:color="000000"/>
            </w:tcBorders>
          </w:tcPr>
          <w:p w14:paraId="7231A02A" w14:textId="77777777" w:rsidR="004C7180" w:rsidRPr="00150EDC" w:rsidRDefault="004C7180">
            <w:pPr>
              <w:pStyle w:val="TableParagraph"/>
              <w:spacing w:before="0" w:line="240" w:lineRule="auto"/>
              <w:ind w:left="0"/>
            </w:pPr>
          </w:p>
          <w:p w14:paraId="74DA580D" w14:textId="77777777" w:rsidR="004C7180" w:rsidRPr="00150EDC" w:rsidRDefault="004C7180">
            <w:pPr>
              <w:pStyle w:val="TableParagraph"/>
              <w:spacing w:before="0" w:line="240" w:lineRule="auto"/>
              <w:ind w:left="0"/>
            </w:pPr>
          </w:p>
          <w:p w14:paraId="7770E108" w14:textId="77777777" w:rsidR="004C7180" w:rsidRPr="00150EDC" w:rsidRDefault="004C7180">
            <w:pPr>
              <w:pStyle w:val="TableParagraph"/>
              <w:spacing w:before="0" w:line="240" w:lineRule="auto"/>
              <w:ind w:left="0"/>
            </w:pPr>
          </w:p>
          <w:p w14:paraId="4075E8EA" w14:textId="77777777" w:rsidR="004C7180" w:rsidRPr="00150EDC" w:rsidRDefault="004C7180">
            <w:pPr>
              <w:pStyle w:val="TableParagraph"/>
              <w:spacing w:before="0" w:line="240" w:lineRule="auto"/>
              <w:ind w:left="0"/>
            </w:pPr>
          </w:p>
          <w:p w14:paraId="06754056" w14:textId="77777777" w:rsidR="004C7180" w:rsidRPr="00150EDC" w:rsidRDefault="004C7180">
            <w:pPr>
              <w:pStyle w:val="TableParagraph"/>
              <w:spacing w:before="0" w:line="240" w:lineRule="auto"/>
              <w:ind w:left="0"/>
            </w:pPr>
          </w:p>
          <w:p w14:paraId="5B31E939" w14:textId="77777777" w:rsidR="004C7180" w:rsidRPr="00150EDC" w:rsidRDefault="004C7180">
            <w:pPr>
              <w:pStyle w:val="TableParagraph"/>
              <w:spacing w:before="0" w:line="240" w:lineRule="auto"/>
              <w:ind w:left="0"/>
            </w:pPr>
          </w:p>
          <w:p w14:paraId="24CD2293" w14:textId="77777777" w:rsidR="004C7180" w:rsidRPr="00150EDC" w:rsidRDefault="004C7180">
            <w:pPr>
              <w:pStyle w:val="TableParagraph"/>
              <w:spacing w:before="0" w:line="240" w:lineRule="auto"/>
              <w:ind w:left="0"/>
            </w:pPr>
          </w:p>
          <w:p w14:paraId="6CB42655" w14:textId="77777777" w:rsidR="004C7180" w:rsidRPr="00150EDC" w:rsidRDefault="004C7180">
            <w:pPr>
              <w:pStyle w:val="TableParagraph"/>
              <w:spacing w:before="0" w:line="240" w:lineRule="auto"/>
              <w:ind w:left="0"/>
            </w:pPr>
          </w:p>
          <w:p w14:paraId="562F8F47" w14:textId="77777777" w:rsidR="004C7180" w:rsidRPr="00150EDC" w:rsidRDefault="00CF0754">
            <w:pPr>
              <w:pStyle w:val="TableParagraph"/>
              <w:spacing w:before="140" w:line="240" w:lineRule="auto"/>
              <w:ind w:left="107"/>
              <w:rPr>
                <w:rFonts w:ascii="Calibri"/>
                <w:b/>
              </w:rPr>
            </w:pPr>
            <w:r w:rsidRPr="00150EDC">
              <w:rPr>
                <w:rFonts w:ascii="Calibri"/>
                <w:b/>
                <w:spacing w:val="-2"/>
              </w:rPr>
              <w:t>Bite-Sized Learning</w:t>
            </w:r>
          </w:p>
        </w:tc>
        <w:tc>
          <w:tcPr>
            <w:tcW w:w="4961" w:type="dxa"/>
          </w:tcPr>
          <w:p w14:paraId="79986F21" w14:textId="77777777" w:rsidR="004C7180" w:rsidRPr="00150EDC" w:rsidRDefault="004C7180">
            <w:pPr>
              <w:pStyle w:val="TableParagraph"/>
              <w:spacing w:before="0" w:line="240" w:lineRule="auto"/>
              <w:ind w:left="0"/>
            </w:pPr>
          </w:p>
          <w:p w14:paraId="67EC4B1C" w14:textId="77777777" w:rsidR="004C7180" w:rsidRPr="00150EDC" w:rsidRDefault="004C7180">
            <w:pPr>
              <w:pStyle w:val="TableParagraph"/>
              <w:spacing w:before="0" w:line="240" w:lineRule="auto"/>
              <w:ind w:left="0"/>
            </w:pPr>
          </w:p>
          <w:p w14:paraId="6F0A5067" w14:textId="77777777" w:rsidR="004C7180" w:rsidRPr="00150EDC" w:rsidRDefault="004C7180">
            <w:pPr>
              <w:pStyle w:val="TableParagraph"/>
              <w:spacing w:before="0" w:line="240" w:lineRule="auto"/>
              <w:ind w:left="0"/>
            </w:pPr>
          </w:p>
          <w:p w14:paraId="79BB7A72" w14:textId="77777777" w:rsidR="004C7180" w:rsidRPr="00150EDC" w:rsidRDefault="004C7180">
            <w:pPr>
              <w:pStyle w:val="TableParagraph"/>
              <w:spacing w:before="0" w:line="240" w:lineRule="auto"/>
              <w:ind w:left="0"/>
            </w:pPr>
          </w:p>
          <w:p w14:paraId="28557182" w14:textId="77777777" w:rsidR="004C7180" w:rsidRPr="00150EDC" w:rsidRDefault="004C7180">
            <w:pPr>
              <w:pStyle w:val="TableParagraph"/>
              <w:spacing w:before="0" w:line="240" w:lineRule="auto"/>
              <w:ind w:left="0"/>
              <w:rPr>
                <w:sz w:val="30"/>
              </w:rPr>
            </w:pPr>
          </w:p>
          <w:p w14:paraId="70F05912" w14:textId="77777777" w:rsidR="004C7180" w:rsidRPr="00150EDC" w:rsidRDefault="00CF0754">
            <w:pPr>
              <w:pStyle w:val="TableParagraph"/>
              <w:spacing w:before="0" w:line="240" w:lineRule="auto"/>
              <w:ind w:left="112" w:right="76"/>
              <w:rPr>
                <w:rFonts w:ascii="Calibri"/>
              </w:rPr>
            </w:pPr>
            <w:r w:rsidRPr="00150EDC">
              <w:rPr>
                <w:rFonts w:ascii="Calibri"/>
              </w:rPr>
              <w:t>This</w:t>
            </w:r>
            <w:r w:rsidRPr="00150EDC">
              <w:rPr>
                <w:rFonts w:ascii="Calibri"/>
                <w:spacing w:val="-4"/>
              </w:rPr>
              <w:t xml:space="preserve"> </w:t>
            </w:r>
            <w:r w:rsidRPr="00150EDC">
              <w:rPr>
                <w:rFonts w:ascii="Calibri"/>
              </w:rPr>
              <w:t>trial</w:t>
            </w:r>
            <w:r w:rsidRPr="00150EDC">
              <w:rPr>
                <w:rFonts w:ascii="Calibri"/>
                <w:spacing w:val="-6"/>
              </w:rPr>
              <w:t xml:space="preserve"> </w:t>
            </w:r>
            <w:r w:rsidRPr="00150EDC">
              <w:rPr>
                <w:rFonts w:ascii="Calibri"/>
              </w:rPr>
              <w:t>will</w:t>
            </w:r>
            <w:r w:rsidRPr="00150EDC">
              <w:rPr>
                <w:rFonts w:ascii="Calibri"/>
                <w:spacing w:val="-4"/>
              </w:rPr>
              <w:t xml:space="preserve"> </w:t>
            </w:r>
            <w:r w:rsidRPr="00150EDC">
              <w:rPr>
                <w:rFonts w:ascii="Calibri"/>
              </w:rPr>
              <w:t>look</w:t>
            </w:r>
            <w:r w:rsidRPr="00150EDC">
              <w:rPr>
                <w:rFonts w:ascii="Calibri"/>
                <w:spacing w:val="-6"/>
              </w:rPr>
              <w:t xml:space="preserve"> </w:t>
            </w:r>
            <w:r w:rsidRPr="00150EDC">
              <w:rPr>
                <w:rFonts w:ascii="Calibri"/>
              </w:rPr>
              <w:t>at</w:t>
            </w:r>
            <w:r w:rsidRPr="00150EDC">
              <w:rPr>
                <w:rFonts w:ascii="Calibri"/>
                <w:spacing w:val="-6"/>
              </w:rPr>
              <w:t xml:space="preserve"> </w:t>
            </w:r>
            <w:r w:rsidRPr="00150EDC">
              <w:rPr>
                <w:rFonts w:ascii="Calibri"/>
              </w:rPr>
              <w:t>the</w:t>
            </w:r>
            <w:r w:rsidRPr="00150EDC">
              <w:rPr>
                <w:rFonts w:ascii="Calibri"/>
                <w:spacing w:val="-3"/>
              </w:rPr>
              <w:t xml:space="preserve"> </w:t>
            </w:r>
            <w:r w:rsidRPr="00150EDC">
              <w:rPr>
                <w:rFonts w:ascii="Calibri"/>
              </w:rPr>
              <w:t>impact</w:t>
            </w:r>
            <w:r w:rsidRPr="00150EDC">
              <w:rPr>
                <w:rFonts w:ascii="Calibri"/>
                <w:spacing w:val="-3"/>
              </w:rPr>
              <w:t xml:space="preserve"> </w:t>
            </w:r>
            <w:r w:rsidRPr="00150EDC">
              <w:rPr>
                <w:rFonts w:ascii="Calibri"/>
              </w:rPr>
              <w:t>on</w:t>
            </w:r>
            <w:r w:rsidRPr="00150EDC">
              <w:rPr>
                <w:rFonts w:ascii="Calibri"/>
                <w:spacing w:val="-5"/>
              </w:rPr>
              <w:t xml:space="preserve"> </w:t>
            </w:r>
            <w:r w:rsidRPr="00150EDC">
              <w:rPr>
                <w:rFonts w:ascii="Calibri"/>
              </w:rPr>
              <w:t>learner</w:t>
            </w:r>
            <w:r w:rsidRPr="00150EDC">
              <w:rPr>
                <w:rFonts w:ascii="Calibri"/>
                <w:spacing w:val="-6"/>
              </w:rPr>
              <w:t xml:space="preserve"> </w:t>
            </w:r>
            <w:r w:rsidRPr="00150EDC">
              <w:rPr>
                <w:rFonts w:ascii="Calibri"/>
              </w:rPr>
              <w:t>outcomes of bite-sized numeracy courses delivered to low- income staff. The numeracy courses will be on specific numeracy domains, such as statistics or fractions, linked to the Entry Level 2/3 curriculum.</w:t>
            </w:r>
          </w:p>
          <w:p w14:paraId="4F96075E" w14:textId="77777777" w:rsidR="004C7180" w:rsidRPr="00150EDC" w:rsidRDefault="00CF0754">
            <w:pPr>
              <w:pStyle w:val="TableParagraph"/>
              <w:spacing w:before="1" w:line="240" w:lineRule="auto"/>
              <w:ind w:left="111" w:right="165"/>
              <w:rPr>
                <w:rFonts w:ascii="Calibri"/>
              </w:rPr>
            </w:pPr>
            <w:r w:rsidRPr="00150EDC">
              <w:rPr>
                <w:rFonts w:ascii="Calibri"/>
              </w:rPr>
              <w:t>Each</w:t>
            </w:r>
            <w:r w:rsidRPr="00150EDC">
              <w:rPr>
                <w:rFonts w:ascii="Calibri"/>
                <w:spacing w:val="-5"/>
              </w:rPr>
              <w:t xml:space="preserve"> </w:t>
            </w:r>
            <w:r w:rsidRPr="00150EDC">
              <w:rPr>
                <w:rFonts w:ascii="Calibri"/>
              </w:rPr>
              <w:t>bite-sized</w:t>
            </w:r>
            <w:r w:rsidRPr="00150EDC">
              <w:rPr>
                <w:rFonts w:ascii="Calibri"/>
                <w:spacing w:val="-7"/>
              </w:rPr>
              <w:t xml:space="preserve"> </w:t>
            </w:r>
            <w:r w:rsidRPr="00150EDC">
              <w:rPr>
                <w:rFonts w:ascii="Calibri"/>
              </w:rPr>
              <w:t>session</w:t>
            </w:r>
            <w:r w:rsidRPr="00150EDC">
              <w:rPr>
                <w:rFonts w:ascii="Calibri"/>
                <w:spacing w:val="-5"/>
              </w:rPr>
              <w:t xml:space="preserve"> </w:t>
            </w:r>
            <w:r w:rsidRPr="00150EDC">
              <w:rPr>
                <w:rFonts w:ascii="Calibri"/>
              </w:rPr>
              <w:t>will</w:t>
            </w:r>
            <w:r w:rsidRPr="00150EDC">
              <w:rPr>
                <w:rFonts w:ascii="Calibri"/>
                <w:spacing w:val="-9"/>
              </w:rPr>
              <w:t xml:space="preserve"> </w:t>
            </w:r>
            <w:r w:rsidRPr="00150EDC">
              <w:rPr>
                <w:rFonts w:ascii="Calibri"/>
              </w:rPr>
              <w:t>be</w:t>
            </w:r>
            <w:r w:rsidRPr="00150EDC">
              <w:rPr>
                <w:rFonts w:ascii="Calibri"/>
                <w:spacing w:val="-3"/>
              </w:rPr>
              <w:t xml:space="preserve"> </w:t>
            </w:r>
            <w:r w:rsidRPr="00150EDC">
              <w:rPr>
                <w:rFonts w:ascii="Calibri"/>
              </w:rPr>
              <w:t>deliverable</w:t>
            </w:r>
            <w:r w:rsidRPr="00150EDC">
              <w:rPr>
                <w:rFonts w:ascii="Calibri"/>
                <w:spacing w:val="-6"/>
              </w:rPr>
              <w:t xml:space="preserve"> </w:t>
            </w:r>
            <w:r w:rsidRPr="00150EDC">
              <w:rPr>
                <w:rFonts w:ascii="Calibri"/>
              </w:rPr>
              <w:t>within</w:t>
            </w:r>
            <w:r w:rsidRPr="00150EDC">
              <w:rPr>
                <w:rFonts w:ascii="Calibri"/>
                <w:spacing w:val="-5"/>
              </w:rPr>
              <w:t xml:space="preserve"> </w:t>
            </w:r>
            <w:r w:rsidRPr="00150EDC">
              <w:rPr>
                <w:rFonts w:ascii="Calibri"/>
              </w:rPr>
              <w:t>20 minutes. This trial was originally suggested by an education provider and an NHS worker.</w:t>
            </w:r>
          </w:p>
        </w:tc>
        <w:tc>
          <w:tcPr>
            <w:tcW w:w="1277" w:type="dxa"/>
          </w:tcPr>
          <w:p w14:paraId="49A5767E" w14:textId="77777777" w:rsidR="004C7180" w:rsidRPr="00150EDC" w:rsidRDefault="004C7180">
            <w:pPr>
              <w:pStyle w:val="TableParagraph"/>
              <w:spacing w:before="0" w:line="240" w:lineRule="auto"/>
              <w:ind w:left="0"/>
            </w:pPr>
          </w:p>
          <w:p w14:paraId="6BBF9557" w14:textId="77777777" w:rsidR="004C7180" w:rsidRPr="00150EDC" w:rsidRDefault="004C7180">
            <w:pPr>
              <w:pStyle w:val="TableParagraph"/>
              <w:spacing w:before="0" w:line="240" w:lineRule="auto"/>
              <w:ind w:left="0"/>
            </w:pPr>
          </w:p>
          <w:p w14:paraId="2FD11514" w14:textId="77777777" w:rsidR="004C7180" w:rsidRPr="00150EDC" w:rsidRDefault="004C7180">
            <w:pPr>
              <w:pStyle w:val="TableParagraph"/>
              <w:spacing w:before="0" w:line="240" w:lineRule="auto"/>
              <w:ind w:left="0"/>
            </w:pPr>
          </w:p>
          <w:p w14:paraId="03227E74" w14:textId="77777777" w:rsidR="004C7180" w:rsidRPr="00150EDC" w:rsidRDefault="004C7180">
            <w:pPr>
              <w:pStyle w:val="TableParagraph"/>
              <w:spacing w:before="0" w:line="240" w:lineRule="auto"/>
              <w:ind w:left="0"/>
            </w:pPr>
          </w:p>
          <w:p w14:paraId="5D59E7FA" w14:textId="77777777" w:rsidR="004C7180" w:rsidRPr="00150EDC" w:rsidRDefault="004C7180">
            <w:pPr>
              <w:pStyle w:val="TableParagraph"/>
              <w:spacing w:before="0" w:line="240" w:lineRule="auto"/>
              <w:ind w:left="0"/>
            </w:pPr>
          </w:p>
          <w:p w14:paraId="5D2558BB" w14:textId="77777777" w:rsidR="004C7180" w:rsidRPr="00150EDC" w:rsidRDefault="004C7180">
            <w:pPr>
              <w:pStyle w:val="TableParagraph"/>
              <w:spacing w:before="0" w:line="240" w:lineRule="auto"/>
              <w:ind w:left="0"/>
            </w:pPr>
          </w:p>
          <w:p w14:paraId="7CC9F8E3" w14:textId="77777777" w:rsidR="004C7180" w:rsidRPr="00150EDC" w:rsidRDefault="004C7180">
            <w:pPr>
              <w:pStyle w:val="TableParagraph"/>
              <w:spacing w:before="8" w:line="240" w:lineRule="auto"/>
              <w:ind w:left="0"/>
              <w:rPr>
                <w:sz w:val="32"/>
              </w:rPr>
            </w:pPr>
          </w:p>
          <w:p w14:paraId="6B5E1F70" w14:textId="77777777" w:rsidR="004C7180" w:rsidRPr="00150EDC" w:rsidRDefault="00CF0754">
            <w:pPr>
              <w:pStyle w:val="TableParagraph"/>
              <w:spacing w:before="0" w:line="240" w:lineRule="auto"/>
              <w:ind w:left="111" w:right="37"/>
              <w:rPr>
                <w:rFonts w:ascii="Calibri"/>
              </w:rPr>
            </w:pPr>
            <w:r w:rsidRPr="00150EDC">
              <w:rPr>
                <w:rFonts w:ascii="Calibri"/>
              </w:rPr>
              <w:t xml:space="preserve">To be </w:t>
            </w:r>
            <w:r w:rsidRPr="00150EDC">
              <w:rPr>
                <w:rFonts w:ascii="Calibri"/>
                <w:spacing w:val="-2"/>
              </w:rPr>
              <w:t xml:space="preserve">developed </w:t>
            </w:r>
            <w:r w:rsidRPr="00150EDC">
              <w:rPr>
                <w:rFonts w:ascii="Calibri"/>
              </w:rPr>
              <w:t>by</w:t>
            </w:r>
            <w:r w:rsidRPr="00150EDC">
              <w:rPr>
                <w:rFonts w:ascii="Calibri"/>
                <w:spacing w:val="-13"/>
              </w:rPr>
              <w:t xml:space="preserve"> </w:t>
            </w:r>
            <w:r w:rsidRPr="00150EDC">
              <w:rPr>
                <w:rFonts w:ascii="Calibri"/>
              </w:rPr>
              <w:t>a</w:t>
            </w:r>
            <w:r w:rsidRPr="00150EDC">
              <w:rPr>
                <w:rFonts w:ascii="Calibri"/>
                <w:spacing w:val="-12"/>
              </w:rPr>
              <w:t xml:space="preserve"> </w:t>
            </w:r>
            <w:r w:rsidRPr="00150EDC">
              <w:rPr>
                <w:rFonts w:ascii="Calibri"/>
              </w:rPr>
              <w:t xml:space="preserve">maths </w:t>
            </w:r>
            <w:r w:rsidRPr="00150EDC">
              <w:rPr>
                <w:rFonts w:ascii="Calibri"/>
                <w:spacing w:val="-2"/>
              </w:rPr>
              <w:t>consultant</w:t>
            </w:r>
          </w:p>
        </w:tc>
        <w:tc>
          <w:tcPr>
            <w:tcW w:w="994" w:type="dxa"/>
          </w:tcPr>
          <w:p w14:paraId="14E8F903" w14:textId="77777777" w:rsidR="004C7180" w:rsidRPr="00150EDC" w:rsidRDefault="004C7180">
            <w:pPr>
              <w:pStyle w:val="TableParagraph"/>
              <w:spacing w:before="0" w:line="240" w:lineRule="auto"/>
              <w:ind w:left="0"/>
            </w:pPr>
          </w:p>
          <w:p w14:paraId="48A59C2A" w14:textId="77777777" w:rsidR="004C7180" w:rsidRPr="00150EDC" w:rsidRDefault="004C7180">
            <w:pPr>
              <w:pStyle w:val="TableParagraph"/>
              <w:spacing w:before="0" w:line="240" w:lineRule="auto"/>
              <w:ind w:left="0"/>
            </w:pPr>
          </w:p>
          <w:p w14:paraId="1464DA51" w14:textId="77777777" w:rsidR="004C7180" w:rsidRPr="00150EDC" w:rsidRDefault="004C7180">
            <w:pPr>
              <w:pStyle w:val="TableParagraph"/>
              <w:spacing w:before="0" w:line="240" w:lineRule="auto"/>
              <w:ind w:left="0"/>
            </w:pPr>
          </w:p>
          <w:p w14:paraId="7C180DD8" w14:textId="77777777" w:rsidR="004C7180" w:rsidRPr="00150EDC" w:rsidRDefault="004C7180">
            <w:pPr>
              <w:pStyle w:val="TableParagraph"/>
              <w:spacing w:before="0" w:line="240" w:lineRule="auto"/>
              <w:ind w:left="0"/>
            </w:pPr>
          </w:p>
          <w:p w14:paraId="41D80F0E" w14:textId="77777777" w:rsidR="004C7180" w:rsidRPr="00150EDC" w:rsidRDefault="004C7180">
            <w:pPr>
              <w:pStyle w:val="TableParagraph"/>
              <w:spacing w:before="0" w:line="240" w:lineRule="auto"/>
              <w:ind w:left="0"/>
            </w:pPr>
          </w:p>
          <w:p w14:paraId="18C66208" w14:textId="77777777" w:rsidR="004C7180" w:rsidRPr="00150EDC" w:rsidRDefault="004C7180">
            <w:pPr>
              <w:pStyle w:val="TableParagraph"/>
              <w:spacing w:before="0" w:line="240" w:lineRule="auto"/>
              <w:ind w:left="0"/>
            </w:pPr>
          </w:p>
          <w:p w14:paraId="0DAB8D7F" w14:textId="77777777" w:rsidR="004C7180" w:rsidRPr="00150EDC" w:rsidRDefault="004C7180">
            <w:pPr>
              <w:pStyle w:val="TableParagraph"/>
              <w:spacing w:before="8" w:line="240" w:lineRule="auto"/>
              <w:ind w:left="0"/>
              <w:rPr>
                <w:sz w:val="32"/>
              </w:rPr>
            </w:pPr>
          </w:p>
          <w:p w14:paraId="09600AA5" w14:textId="77777777" w:rsidR="004C7180" w:rsidRPr="00150EDC" w:rsidRDefault="00CF0754">
            <w:pPr>
              <w:pStyle w:val="TableParagraph"/>
              <w:spacing w:before="0" w:line="240" w:lineRule="auto"/>
              <w:ind w:left="111" w:right="143"/>
              <w:rPr>
                <w:rFonts w:ascii="Calibri"/>
              </w:rPr>
            </w:pPr>
            <w:r w:rsidRPr="00150EDC">
              <w:rPr>
                <w:rFonts w:ascii="Calibri"/>
                <w:spacing w:val="-2"/>
              </w:rPr>
              <w:t>Locally Commis sioned Trial</w:t>
            </w:r>
          </w:p>
        </w:tc>
        <w:tc>
          <w:tcPr>
            <w:tcW w:w="2988" w:type="dxa"/>
          </w:tcPr>
          <w:p w14:paraId="448516AF" w14:textId="77777777" w:rsidR="004C7180" w:rsidRPr="00150EDC" w:rsidRDefault="00CF0754">
            <w:pPr>
              <w:pStyle w:val="TableParagraph"/>
              <w:numPr>
                <w:ilvl w:val="0"/>
                <w:numId w:val="9"/>
              </w:numPr>
              <w:tabs>
                <w:tab w:val="left" w:pos="226"/>
              </w:tabs>
              <w:spacing w:before="16" w:line="240" w:lineRule="auto"/>
              <w:ind w:right="157" w:firstLine="0"/>
              <w:rPr>
                <w:rFonts w:ascii="Calibri" w:hAnsi="Calibri"/>
              </w:rPr>
            </w:pPr>
            <w:r w:rsidRPr="00150EDC">
              <w:rPr>
                <w:rFonts w:ascii="Calibri" w:hAnsi="Calibri"/>
              </w:rPr>
              <w:t>What is the impact of bitesized numeracy sessions on maths skills of low-income staff</w:t>
            </w:r>
            <w:r w:rsidRPr="00150EDC">
              <w:rPr>
                <w:rFonts w:ascii="Calibri" w:hAnsi="Calibri"/>
                <w:spacing w:val="-3"/>
              </w:rPr>
              <w:t xml:space="preserve"> </w:t>
            </w:r>
            <w:r w:rsidRPr="00150EDC">
              <w:rPr>
                <w:rFonts w:ascii="Calibri" w:hAnsi="Calibri"/>
              </w:rPr>
              <w:t>aged</w:t>
            </w:r>
            <w:r w:rsidRPr="00150EDC">
              <w:rPr>
                <w:rFonts w:ascii="Calibri" w:hAnsi="Calibri"/>
                <w:spacing w:val="-6"/>
              </w:rPr>
              <w:t xml:space="preserve"> </w:t>
            </w:r>
            <w:r w:rsidRPr="00150EDC">
              <w:rPr>
                <w:rFonts w:ascii="Calibri" w:hAnsi="Calibri"/>
              </w:rPr>
              <w:t>19+</w:t>
            </w:r>
            <w:r w:rsidRPr="00150EDC">
              <w:rPr>
                <w:rFonts w:ascii="Calibri" w:hAnsi="Calibri"/>
                <w:spacing w:val="-2"/>
              </w:rPr>
              <w:t xml:space="preserve"> </w:t>
            </w:r>
            <w:r w:rsidRPr="00150EDC">
              <w:rPr>
                <w:rFonts w:ascii="Calibri" w:hAnsi="Calibri"/>
              </w:rPr>
              <w:t>without</w:t>
            </w:r>
            <w:r w:rsidRPr="00150EDC">
              <w:rPr>
                <w:rFonts w:ascii="Calibri" w:hAnsi="Calibri"/>
                <w:spacing w:val="-5"/>
              </w:rPr>
              <w:t xml:space="preserve"> </w:t>
            </w:r>
            <w:r w:rsidRPr="00150EDC">
              <w:rPr>
                <w:rFonts w:ascii="Calibri" w:hAnsi="Calibri"/>
              </w:rPr>
              <w:t>Level</w:t>
            </w:r>
            <w:r w:rsidRPr="00150EDC">
              <w:rPr>
                <w:rFonts w:ascii="Calibri" w:hAnsi="Calibri"/>
                <w:spacing w:val="-3"/>
              </w:rPr>
              <w:t xml:space="preserve"> </w:t>
            </w:r>
            <w:r w:rsidRPr="00150EDC">
              <w:rPr>
                <w:rFonts w:ascii="Calibri" w:hAnsi="Calibri"/>
              </w:rPr>
              <w:t>2 maths qualifications, compared</w:t>
            </w:r>
            <w:r w:rsidRPr="00150EDC">
              <w:rPr>
                <w:rFonts w:ascii="Calibri" w:hAnsi="Calibri"/>
                <w:spacing w:val="-13"/>
              </w:rPr>
              <w:t xml:space="preserve"> </w:t>
            </w:r>
            <w:r w:rsidRPr="00150EDC">
              <w:rPr>
                <w:rFonts w:ascii="Calibri" w:hAnsi="Calibri"/>
              </w:rPr>
              <w:t>to</w:t>
            </w:r>
            <w:r w:rsidRPr="00150EDC">
              <w:rPr>
                <w:rFonts w:ascii="Calibri" w:hAnsi="Calibri"/>
                <w:spacing w:val="-12"/>
              </w:rPr>
              <w:t xml:space="preserve"> </w:t>
            </w:r>
            <w:r w:rsidRPr="00150EDC">
              <w:rPr>
                <w:rFonts w:ascii="Calibri" w:hAnsi="Calibri"/>
              </w:rPr>
              <w:t>comparable</w:t>
            </w:r>
            <w:r w:rsidRPr="00150EDC">
              <w:rPr>
                <w:rFonts w:ascii="Calibri" w:hAnsi="Calibri"/>
                <w:spacing w:val="-13"/>
              </w:rPr>
              <w:t xml:space="preserve"> </w:t>
            </w:r>
            <w:r w:rsidRPr="00150EDC">
              <w:rPr>
                <w:rFonts w:ascii="Calibri" w:hAnsi="Calibri"/>
              </w:rPr>
              <w:t>staff who do not participate in numeracy provision?</w:t>
            </w:r>
          </w:p>
          <w:p w14:paraId="40C42100" w14:textId="77777777" w:rsidR="004C7180" w:rsidRPr="00150EDC" w:rsidRDefault="00CF0754">
            <w:pPr>
              <w:pStyle w:val="TableParagraph"/>
              <w:numPr>
                <w:ilvl w:val="0"/>
                <w:numId w:val="9"/>
              </w:numPr>
              <w:tabs>
                <w:tab w:val="left" w:pos="225"/>
              </w:tabs>
              <w:spacing w:before="0" w:line="240" w:lineRule="auto"/>
              <w:ind w:left="108" w:right="342" w:firstLine="0"/>
              <w:rPr>
                <w:rFonts w:ascii="Calibri" w:hAnsi="Calibri"/>
              </w:rPr>
            </w:pPr>
            <w:r w:rsidRPr="00150EDC">
              <w:rPr>
                <w:rFonts w:ascii="Calibri" w:hAnsi="Calibri"/>
              </w:rPr>
              <w:t>What is the impact of bitesized</w:t>
            </w:r>
            <w:r w:rsidRPr="00150EDC">
              <w:rPr>
                <w:rFonts w:ascii="Calibri" w:hAnsi="Calibri"/>
                <w:spacing w:val="-13"/>
              </w:rPr>
              <w:t xml:space="preserve"> </w:t>
            </w:r>
            <w:r w:rsidRPr="00150EDC">
              <w:rPr>
                <w:rFonts w:ascii="Calibri" w:hAnsi="Calibri"/>
              </w:rPr>
              <w:t>numeracy</w:t>
            </w:r>
            <w:r w:rsidRPr="00150EDC">
              <w:rPr>
                <w:rFonts w:ascii="Calibri" w:hAnsi="Calibri"/>
                <w:spacing w:val="-12"/>
              </w:rPr>
              <w:t xml:space="preserve"> </w:t>
            </w:r>
            <w:r w:rsidRPr="00150EDC">
              <w:rPr>
                <w:rFonts w:ascii="Calibri" w:hAnsi="Calibri"/>
              </w:rPr>
              <w:t>sessions and signposting to maths provision on progression to further maths provision for low-paid staff aged 19+ without Level 2 maths qualifications, compared to comparable staff who only</w:t>
            </w:r>
          </w:p>
          <w:p w14:paraId="3F32C648" w14:textId="77777777" w:rsidR="004C7180" w:rsidRPr="00150EDC" w:rsidRDefault="00CF0754">
            <w:pPr>
              <w:pStyle w:val="TableParagraph"/>
              <w:spacing w:before="0" w:line="264" w:lineRule="exact"/>
              <w:ind w:left="109"/>
              <w:rPr>
                <w:rFonts w:ascii="Calibri"/>
              </w:rPr>
            </w:pPr>
            <w:r w:rsidRPr="00150EDC">
              <w:rPr>
                <w:rFonts w:ascii="Calibri"/>
              </w:rPr>
              <w:t>receive</w:t>
            </w:r>
            <w:r w:rsidRPr="00150EDC">
              <w:rPr>
                <w:rFonts w:ascii="Calibri"/>
                <w:spacing w:val="-2"/>
              </w:rPr>
              <w:t xml:space="preserve"> signposting?</w:t>
            </w:r>
          </w:p>
        </w:tc>
      </w:tr>
    </w:tbl>
    <w:p w14:paraId="47FB8CD9" w14:textId="77777777" w:rsidR="004C7180" w:rsidRPr="00150EDC" w:rsidRDefault="004C7180">
      <w:pPr>
        <w:spacing w:line="264" w:lineRule="exact"/>
        <w:rPr>
          <w:rFonts w:ascii="Calibri"/>
        </w:rPr>
        <w:sectPr w:rsidR="004C7180" w:rsidRPr="00150EDC">
          <w:pgSz w:w="11910" w:h="16840"/>
          <w:pgMar w:top="1160" w:right="0" w:bottom="1440" w:left="40" w:header="715" w:footer="1259" w:gutter="0"/>
          <w:cols w:space="720"/>
        </w:sectPr>
      </w:pPr>
    </w:p>
    <w:p w14:paraId="185728FE" w14:textId="77777777" w:rsidR="004C7180" w:rsidRPr="00150EDC" w:rsidRDefault="004C7180">
      <w:pPr>
        <w:pStyle w:val="BodyText"/>
        <w:spacing w:before="7"/>
        <w:rPr>
          <w:sz w:val="23"/>
        </w:rPr>
      </w:pPr>
    </w:p>
    <w:tbl>
      <w:tblPr>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7"/>
        <w:gridCol w:w="4961"/>
        <w:gridCol w:w="1277"/>
        <w:gridCol w:w="994"/>
        <w:gridCol w:w="2988"/>
      </w:tblGrid>
      <w:tr w:rsidR="004569EE" w:rsidRPr="007D3144" w14:paraId="6C47B6A1" w14:textId="77777777">
        <w:trPr>
          <w:trHeight w:val="5670"/>
        </w:trPr>
        <w:tc>
          <w:tcPr>
            <w:tcW w:w="1277" w:type="dxa"/>
            <w:tcBorders>
              <w:left w:val="single" w:sz="8" w:space="0" w:color="000000"/>
            </w:tcBorders>
          </w:tcPr>
          <w:p w14:paraId="62CC48AD" w14:textId="77777777" w:rsidR="004C7180" w:rsidRPr="00150EDC" w:rsidRDefault="004C7180">
            <w:pPr>
              <w:pStyle w:val="TableParagraph"/>
              <w:spacing w:before="0" w:line="240" w:lineRule="auto"/>
              <w:ind w:left="0"/>
            </w:pPr>
          </w:p>
          <w:p w14:paraId="520CFBB9" w14:textId="77777777" w:rsidR="004C7180" w:rsidRPr="00150EDC" w:rsidRDefault="004C7180">
            <w:pPr>
              <w:pStyle w:val="TableParagraph"/>
              <w:spacing w:before="0" w:line="240" w:lineRule="auto"/>
              <w:ind w:left="0"/>
            </w:pPr>
          </w:p>
          <w:p w14:paraId="5721D11B" w14:textId="77777777" w:rsidR="004C7180" w:rsidRPr="00150EDC" w:rsidRDefault="004C7180">
            <w:pPr>
              <w:pStyle w:val="TableParagraph"/>
              <w:spacing w:before="0" w:line="240" w:lineRule="auto"/>
              <w:ind w:left="0"/>
            </w:pPr>
          </w:p>
          <w:p w14:paraId="475FDE09" w14:textId="77777777" w:rsidR="004C7180" w:rsidRPr="00150EDC" w:rsidRDefault="004C7180">
            <w:pPr>
              <w:pStyle w:val="TableParagraph"/>
              <w:spacing w:before="0" w:line="240" w:lineRule="auto"/>
              <w:ind w:left="0"/>
            </w:pPr>
          </w:p>
          <w:p w14:paraId="43D5E852" w14:textId="77777777" w:rsidR="004C7180" w:rsidRPr="00150EDC" w:rsidRDefault="004C7180">
            <w:pPr>
              <w:pStyle w:val="TableParagraph"/>
              <w:spacing w:before="0" w:line="240" w:lineRule="auto"/>
              <w:ind w:left="0"/>
            </w:pPr>
          </w:p>
          <w:p w14:paraId="003E5E98" w14:textId="77777777" w:rsidR="004C7180" w:rsidRPr="00150EDC" w:rsidRDefault="004C7180">
            <w:pPr>
              <w:pStyle w:val="TableParagraph"/>
              <w:spacing w:before="0" w:line="240" w:lineRule="auto"/>
              <w:ind w:left="0"/>
            </w:pPr>
          </w:p>
          <w:p w14:paraId="73BFA7A9" w14:textId="77777777" w:rsidR="004C7180" w:rsidRPr="00150EDC" w:rsidRDefault="004C7180">
            <w:pPr>
              <w:pStyle w:val="TableParagraph"/>
              <w:spacing w:before="0" w:line="240" w:lineRule="auto"/>
              <w:ind w:left="0"/>
            </w:pPr>
          </w:p>
          <w:p w14:paraId="1A8FF250" w14:textId="77777777" w:rsidR="004C7180" w:rsidRPr="00150EDC" w:rsidRDefault="004C7180">
            <w:pPr>
              <w:pStyle w:val="TableParagraph"/>
              <w:spacing w:before="0" w:line="240" w:lineRule="auto"/>
              <w:ind w:left="0"/>
            </w:pPr>
          </w:p>
          <w:p w14:paraId="1F4FA8ED" w14:textId="77777777" w:rsidR="004C7180" w:rsidRPr="00150EDC" w:rsidRDefault="004C7180">
            <w:pPr>
              <w:pStyle w:val="TableParagraph"/>
              <w:spacing w:before="0" w:line="240" w:lineRule="auto"/>
              <w:ind w:left="0"/>
            </w:pPr>
          </w:p>
          <w:p w14:paraId="4E1058F9" w14:textId="77777777" w:rsidR="004C7180" w:rsidRPr="00150EDC" w:rsidRDefault="004C7180">
            <w:pPr>
              <w:pStyle w:val="TableParagraph"/>
              <w:spacing w:before="0" w:line="240" w:lineRule="auto"/>
              <w:ind w:left="0"/>
              <w:rPr>
                <w:sz w:val="25"/>
              </w:rPr>
            </w:pPr>
          </w:p>
          <w:p w14:paraId="6432303B" w14:textId="77777777" w:rsidR="004C7180" w:rsidRPr="00150EDC" w:rsidRDefault="00CF0754">
            <w:pPr>
              <w:pStyle w:val="TableParagraph"/>
              <w:spacing w:before="0" w:line="240" w:lineRule="auto"/>
              <w:ind w:left="107"/>
              <w:rPr>
                <w:rFonts w:ascii="Calibri"/>
                <w:b/>
              </w:rPr>
            </w:pPr>
            <w:r w:rsidRPr="00150EDC">
              <w:rPr>
                <w:rFonts w:ascii="Calibri"/>
                <w:b/>
                <w:spacing w:val="-2"/>
              </w:rPr>
              <w:t>Family Numeracy</w:t>
            </w:r>
          </w:p>
        </w:tc>
        <w:tc>
          <w:tcPr>
            <w:tcW w:w="4961" w:type="dxa"/>
          </w:tcPr>
          <w:p w14:paraId="74713739" w14:textId="77777777" w:rsidR="004C7180" w:rsidRPr="00150EDC" w:rsidRDefault="004C7180">
            <w:pPr>
              <w:pStyle w:val="TableParagraph"/>
              <w:spacing w:before="0" w:line="240" w:lineRule="auto"/>
              <w:ind w:left="0"/>
            </w:pPr>
          </w:p>
          <w:p w14:paraId="36608636" w14:textId="77777777" w:rsidR="004C7180" w:rsidRPr="00150EDC" w:rsidRDefault="004C7180">
            <w:pPr>
              <w:pStyle w:val="TableParagraph"/>
              <w:spacing w:before="0" w:line="240" w:lineRule="auto"/>
              <w:ind w:left="0"/>
            </w:pPr>
          </w:p>
          <w:p w14:paraId="30098CE0" w14:textId="77777777" w:rsidR="004C7180" w:rsidRPr="00150EDC" w:rsidRDefault="004C7180">
            <w:pPr>
              <w:pStyle w:val="TableParagraph"/>
              <w:spacing w:before="0" w:line="240" w:lineRule="auto"/>
              <w:ind w:left="0"/>
            </w:pPr>
          </w:p>
          <w:p w14:paraId="796E3D3F" w14:textId="77777777" w:rsidR="004C7180" w:rsidRPr="00150EDC" w:rsidRDefault="004C7180">
            <w:pPr>
              <w:pStyle w:val="TableParagraph"/>
              <w:spacing w:before="0" w:line="240" w:lineRule="auto"/>
              <w:ind w:left="0"/>
            </w:pPr>
          </w:p>
          <w:p w14:paraId="15308BDB" w14:textId="77777777" w:rsidR="004C7180" w:rsidRPr="00150EDC" w:rsidRDefault="004C7180">
            <w:pPr>
              <w:pStyle w:val="TableParagraph"/>
              <w:spacing w:before="0" w:line="240" w:lineRule="auto"/>
              <w:ind w:left="0"/>
              <w:rPr>
                <w:sz w:val="30"/>
              </w:rPr>
            </w:pPr>
          </w:p>
          <w:p w14:paraId="02720EAE" w14:textId="77777777" w:rsidR="004C7180" w:rsidRPr="00150EDC" w:rsidRDefault="00CF0754">
            <w:pPr>
              <w:pStyle w:val="TableParagraph"/>
              <w:spacing w:before="0" w:line="240" w:lineRule="auto"/>
              <w:ind w:left="112" w:right="165"/>
              <w:rPr>
                <w:rFonts w:ascii="Calibri"/>
              </w:rPr>
            </w:pPr>
            <w:r w:rsidRPr="00150EDC">
              <w:rPr>
                <w:rFonts w:ascii="Calibri"/>
              </w:rPr>
              <w:t>This trial will measure the impact of a family numeracy programme on parental maths skills and progression to further maths provision. The programme will be aimed at families with primary school aged children and include support for differentiated curriculum content to enable family learning in maths at KS1/KS2 level. The number of guided learning hours and the split across different lessons will be determined</w:t>
            </w:r>
            <w:r w:rsidRPr="00150EDC">
              <w:rPr>
                <w:rFonts w:ascii="Calibri"/>
                <w:spacing w:val="-1"/>
              </w:rPr>
              <w:t xml:space="preserve"> </w:t>
            </w:r>
            <w:r w:rsidRPr="00150EDC">
              <w:rPr>
                <w:rFonts w:ascii="Calibri"/>
              </w:rPr>
              <w:t>by the product supplier. This</w:t>
            </w:r>
            <w:r w:rsidRPr="00150EDC">
              <w:rPr>
                <w:rFonts w:ascii="Calibri"/>
                <w:spacing w:val="-5"/>
              </w:rPr>
              <w:t xml:space="preserve"> </w:t>
            </w:r>
            <w:r w:rsidRPr="00150EDC">
              <w:rPr>
                <w:rFonts w:ascii="Calibri"/>
              </w:rPr>
              <w:t>trial</w:t>
            </w:r>
            <w:r w:rsidRPr="00150EDC">
              <w:rPr>
                <w:rFonts w:ascii="Calibri"/>
                <w:spacing w:val="-8"/>
              </w:rPr>
              <w:t xml:space="preserve"> </w:t>
            </w:r>
            <w:r w:rsidRPr="00150EDC">
              <w:rPr>
                <w:rFonts w:ascii="Calibri"/>
              </w:rPr>
              <w:t>was</w:t>
            </w:r>
            <w:r w:rsidRPr="00150EDC">
              <w:rPr>
                <w:rFonts w:ascii="Calibri"/>
                <w:spacing w:val="-7"/>
              </w:rPr>
              <w:t xml:space="preserve"> </w:t>
            </w:r>
            <w:r w:rsidRPr="00150EDC">
              <w:rPr>
                <w:rFonts w:ascii="Calibri"/>
              </w:rPr>
              <w:t>originally</w:t>
            </w:r>
            <w:r w:rsidRPr="00150EDC">
              <w:rPr>
                <w:rFonts w:ascii="Calibri"/>
                <w:spacing w:val="-4"/>
              </w:rPr>
              <w:t xml:space="preserve"> </w:t>
            </w:r>
            <w:r w:rsidRPr="00150EDC">
              <w:rPr>
                <w:rFonts w:ascii="Calibri"/>
              </w:rPr>
              <w:t>suggested</w:t>
            </w:r>
            <w:r w:rsidRPr="00150EDC">
              <w:rPr>
                <w:rFonts w:ascii="Calibri"/>
                <w:spacing w:val="-6"/>
              </w:rPr>
              <w:t xml:space="preserve"> </w:t>
            </w:r>
            <w:r w:rsidRPr="00150EDC">
              <w:rPr>
                <w:rFonts w:ascii="Calibri"/>
              </w:rPr>
              <w:t>by</w:t>
            </w:r>
            <w:r w:rsidRPr="00150EDC">
              <w:rPr>
                <w:rFonts w:ascii="Calibri"/>
                <w:spacing w:val="-4"/>
              </w:rPr>
              <w:t xml:space="preserve"> </w:t>
            </w:r>
            <w:r w:rsidRPr="00150EDC">
              <w:rPr>
                <w:rFonts w:ascii="Calibri"/>
              </w:rPr>
              <w:t>an</w:t>
            </w:r>
            <w:r w:rsidRPr="00150EDC">
              <w:rPr>
                <w:rFonts w:ascii="Calibri"/>
                <w:spacing w:val="-6"/>
              </w:rPr>
              <w:t xml:space="preserve"> </w:t>
            </w:r>
            <w:r w:rsidRPr="00150EDC">
              <w:rPr>
                <w:rFonts w:ascii="Calibri"/>
              </w:rPr>
              <w:t xml:space="preserve">educational </w:t>
            </w:r>
            <w:r w:rsidRPr="00150EDC">
              <w:rPr>
                <w:rFonts w:ascii="Calibri"/>
                <w:spacing w:val="-2"/>
              </w:rPr>
              <w:t>charity.</w:t>
            </w:r>
          </w:p>
        </w:tc>
        <w:tc>
          <w:tcPr>
            <w:tcW w:w="1277" w:type="dxa"/>
          </w:tcPr>
          <w:p w14:paraId="6CA9CC93" w14:textId="77777777" w:rsidR="004C7180" w:rsidRPr="00150EDC" w:rsidRDefault="004C7180">
            <w:pPr>
              <w:pStyle w:val="TableParagraph"/>
              <w:spacing w:before="0" w:line="240" w:lineRule="auto"/>
              <w:ind w:left="0"/>
            </w:pPr>
          </w:p>
          <w:p w14:paraId="491A196B" w14:textId="77777777" w:rsidR="004C7180" w:rsidRPr="00150EDC" w:rsidRDefault="004C7180">
            <w:pPr>
              <w:pStyle w:val="TableParagraph"/>
              <w:spacing w:before="0" w:line="240" w:lineRule="auto"/>
              <w:ind w:left="0"/>
            </w:pPr>
          </w:p>
          <w:p w14:paraId="094DEB93" w14:textId="77777777" w:rsidR="004C7180" w:rsidRPr="00150EDC" w:rsidRDefault="004C7180">
            <w:pPr>
              <w:pStyle w:val="TableParagraph"/>
              <w:spacing w:before="0" w:line="240" w:lineRule="auto"/>
              <w:ind w:left="0"/>
            </w:pPr>
          </w:p>
          <w:p w14:paraId="0D5327BE" w14:textId="77777777" w:rsidR="004C7180" w:rsidRPr="00150EDC" w:rsidRDefault="004C7180">
            <w:pPr>
              <w:pStyle w:val="TableParagraph"/>
              <w:spacing w:before="0" w:line="240" w:lineRule="auto"/>
              <w:ind w:left="0"/>
            </w:pPr>
          </w:p>
          <w:p w14:paraId="4A28667C" w14:textId="77777777" w:rsidR="004C7180" w:rsidRPr="00150EDC" w:rsidRDefault="004C7180">
            <w:pPr>
              <w:pStyle w:val="TableParagraph"/>
              <w:spacing w:before="0" w:line="240" w:lineRule="auto"/>
              <w:ind w:left="0"/>
            </w:pPr>
          </w:p>
          <w:p w14:paraId="0AF0814F" w14:textId="77777777" w:rsidR="004C7180" w:rsidRPr="00150EDC" w:rsidRDefault="004C7180">
            <w:pPr>
              <w:pStyle w:val="TableParagraph"/>
              <w:spacing w:before="0" w:line="240" w:lineRule="auto"/>
              <w:ind w:left="0"/>
            </w:pPr>
          </w:p>
          <w:p w14:paraId="479D7A82" w14:textId="77777777" w:rsidR="004C7180" w:rsidRPr="00150EDC" w:rsidRDefault="004C7180">
            <w:pPr>
              <w:pStyle w:val="TableParagraph"/>
              <w:spacing w:before="0" w:line="240" w:lineRule="auto"/>
              <w:ind w:left="0"/>
            </w:pPr>
          </w:p>
          <w:p w14:paraId="7F7199A6" w14:textId="77777777" w:rsidR="004C7180" w:rsidRPr="00150EDC" w:rsidRDefault="004C7180">
            <w:pPr>
              <w:pStyle w:val="TableParagraph"/>
              <w:spacing w:before="0" w:line="240" w:lineRule="auto"/>
              <w:ind w:left="0"/>
            </w:pPr>
          </w:p>
          <w:p w14:paraId="44207FFF" w14:textId="77777777" w:rsidR="004C7180" w:rsidRPr="00150EDC" w:rsidRDefault="004C7180">
            <w:pPr>
              <w:pStyle w:val="TableParagraph"/>
              <w:spacing w:before="0" w:line="240" w:lineRule="auto"/>
              <w:ind w:left="0"/>
            </w:pPr>
          </w:p>
          <w:p w14:paraId="2DDB3BDF" w14:textId="77777777" w:rsidR="004C7180" w:rsidRPr="00150EDC" w:rsidRDefault="00CF0754">
            <w:pPr>
              <w:pStyle w:val="TableParagraph"/>
              <w:spacing w:before="153" w:line="240" w:lineRule="auto"/>
              <w:ind w:left="112" w:right="173"/>
              <w:rPr>
                <w:rFonts w:ascii="Calibri"/>
              </w:rPr>
            </w:pPr>
            <w:r w:rsidRPr="00150EDC">
              <w:rPr>
                <w:rFonts w:ascii="Calibri"/>
                <w:spacing w:val="-2"/>
              </w:rPr>
              <w:t xml:space="preserve">Campaign </w:t>
            </w:r>
            <w:r w:rsidRPr="00150EDC">
              <w:rPr>
                <w:rFonts w:ascii="Calibri"/>
                <w:spacing w:val="-4"/>
              </w:rPr>
              <w:t xml:space="preserve">for </w:t>
            </w:r>
            <w:r w:rsidRPr="00150EDC">
              <w:rPr>
                <w:rFonts w:ascii="Calibri"/>
                <w:spacing w:val="-2"/>
              </w:rPr>
              <w:t>Learning</w:t>
            </w:r>
          </w:p>
        </w:tc>
        <w:tc>
          <w:tcPr>
            <w:tcW w:w="994" w:type="dxa"/>
          </w:tcPr>
          <w:p w14:paraId="4E949282" w14:textId="77777777" w:rsidR="004C7180" w:rsidRPr="00150EDC" w:rsidRDefault="004C7180">
            <w:pPr>
              <w:pStyle w:val="TableParagraph"/>
              <w:spacing w:before="0" w:line="240" w:lineRule="auto"/>
              <w:ind w:left="0"/>
            </w:pPr>
          </w:p>
          <w:p w14:paraId="34C55D6B" w14:textId="77777777" w:rsidR="004C7180" w:rsidRPr="00150EDC" w:rsidRDefault="004C7180">
            <w:pPr>
              <w:pStyle w:val="TableParagraph"/>
              <w:spacing w:before="0" w:line="240" w:lineRule="auto"/>
              <w:ind w:left="0"/>
            </w:pPr>
          </w:p>
          <w:p w14:paraId="129DA3B2" w14:textId="77777777" w:rsidR="004C7180" w:rsidRPr="00150EDC" w:rsidRDefault="004C7180">
            <w:pPr>
              <w:pStyle w:val="TableParagraph"/>
              <w:spacing w:before="0" w:line="240" w:lineRule="auto"/>
              <w:ind w:left="0"/>
            </w:pPr>
          </w:p>
          <w:p w14:paraId="449DA4A0" w14:textId="77777777" w:rsidR="004C7180" w:rsidRPr="00150EDC" w:rsidRDefault="004C7180">
            <w:pPr>
              <w:pStyle w:val="TableParagraph"/>
              <w:spacing w:before="0" w:line="240" w:lineRule="auto"/>
              <w:ind w:left="0"/>
            </w:pPr>
          </w:p>
          <w:p w14:paraId="6EC17A78" w14:textId="77777777" w:rsidR="004C7180" w:rsidRPr="00150EDC" w:rsidRDefault="004C7180">
            <w:pPr>
              <w:pStyle w:val="TableParagraph"/>
              <w:spacing w:before="0" w:line="240" w:lineRule="auto"/>
              <w:ind w:left="0"/>
            </w:pPr>
          </w:p>
          <w:p w14:paraId="0F844076" w14:textId="77777777" w:rsidR="004C7180" w:rsidRPr="00150EDC" w:rsidRDefault="004C7180">
            <w:pPr>
              <w:pStyle w:val="TableParagraph"/>
              <w:spacing w:before="0" w:line="240" w:lineRule="auto"/>
              <w:ind w:left="0"/>
            </w:pPr>
          </w:p>
          <w:p w14:paraId="5FA9B3E0" w14:textId="77777777" w:rsidR="004C7180" w:rsidRPr="00150EDC" w:rsidRDefault="004C7180">
            <w:pPr>
              <w:pStyle w:val="TableParagraph"/>
              <w:spacing w:before="0" w:line="240" w:lineRule="auto"/>
              <w:ind w:left="0"/>
            </w:pPr>
          </w:p>
          <w:p w14:paraId="0C667D62" w14:textId="77777777" w:rsidR="004C7180" w:rsidRPr="00150EDC" w:rsidRDefault="004C7180">
            <w:pPr>
              <w:pStyle w:val="TableParagraph"/>
              <w:spacing w:before="0" w:line="240" w:lineRule="auto"/>
              <w:ind w:left="0"/>
            </w:pPr>
          </w:p>
          <w:p w14:paraId="52E4C662" w14:textId="77777777" w:rsidR="004C7180" w:rsidRPr="00150EDC" w:rsidRDefault="004C7180">
            <w:pPr>
              <w:pStyle w:val="TableParagraph"/>
              <w:spacing w:before="6" w:line="240" w:lineRule="auto"/>
              <w:ind w:left="0"/>
              <w:rPr>
                <w:sz w:val="23"/>
              </w:rPr>
            </w:pPr>
          </w:p>
          <w:p w14:paraId="2D9B76C5" w14:textId="77777777" w:rsidR="004C7180" w:rsidRPr="00150EDC" w:rsidRDefault="00CF0754">
            <w:pPr>
              <w:pStyle w:val="TableParagraph"/>
              <w:spacing w:before="1" w:line="240" w:lineRule="auto"/>
              <w:ind w:left="112" w:right="142"/>
              <w:rPr>
                <w:rFonts w:ascii="Calibri"/>
              </w:rPr>
            </w:pPr>
            <w:r w:rsidRPr="00150EDC">
              <w:rPr>
                <w:rFonts w:ascii="Calibri"/>
                <w:spacing w:val="-2"/>
              </w:rPr>
              <w:t>Locally Commis sioned Trial</w:t>
            </w:r>
          </w:p>
        </w:tc>
        <w:tc>
          <w:tcPr>
            <w:tcW w:w="2988" w:type="dxa"/>
          </w:tcPr>
          <w:p w14:paraId="40281CE3" w14:textId="77777777" w:rsidR="004C7180" w:rsidRPr="00150EDC" w:rsidRDefault="00CF0754">
            <w:pPr>
              <w:pStyle w:val="TableParagraph"/>
              <w:numPr>
                <w:ilvl w:val="0"/>
                <w:numId w:val="8"/>
              </w:numPr>
              <w:tabs>
                <w:tab w:val="left" w:pos="226"/>
              </w:tabs>
              <w:spacing w:before="13" w:line="240" w:lineRule="auto"/>
              <w:ind w:right="128" w:firstLine="0"/>
              <w:rPr>
                <w:rFonts w:ascii="Calibri" w:hAnsi="Calibri"/>
              </w:rPr>
            </w:pPr>
            <w:r w:rsidRPr="00150EDC">
              <w:rPr>
                <w:rFonts w:ascii="Calibri" w:hAnsi="Calibri"/>
              </w:rPr>
              <w:t>What is the impact of a family numeracy course and signposting</w:t>
            </w:r>
            <w:r w:rsidRPr="00150EDC">
              <w:rPr>
                <w:rFonts w:ascii="Calibri" w:hAnsi="Calibri"/>
                <w:spacing w:val="-13"/>
              </w:rPr>
              <w:t xml:space="preserve"> </w:t>
            </w:r>
            <w:r w:rsidRPr="00150EDC">
              <w:rPr>
                <w:rFonts w:ascii="Calibri" w:hAnsi="Calibri"/>
              </w:rPr>
              <w:t>to</w:t>
            </w:r>
            <w:r w:rsidRPr="00150EDC">
              <w:rPr>
                <w:rFonts w:ascii="Calibri" w:hAnsi="Calibri"/>
                <w:spacing w:val="-12"/>
              </w:rPr>
              <w:t xml:space="preserve"> </w:t>
            </w:r>
            <w:r w:rsidRPr="00150EDC">
              <w:rPr>
                <w:rFonts w:ascii="Calibri" w:hAnsi="Calibri"/>
              </w:rPr>
              <w:t>maths</w:t>
            </w:r>
            <w:r w:rsidRPr="00150EDC">
              <w:rPr>
                <w:rFonts w:ascii="Calibri" w:hAnsi="Calibri"/>
                <w:spacing w:val="-13"/>
              </w:rPr>
              <w:t xml:space="preserve"> </w:t>
            </w:r>
            <w:r w:rsidRPr="00150EDC">
              <w:rPr>
                <w:rFonts w:ascii="Calibri" w:hAnsi="Calibri"/>
              </w:rPr>
              <w:t>provision on progression to further maths</w:t>
            </w:r>
            <w:r w:rsidRPr="00150EDC">
              <w:rPr>
                <w:rFonts w:ascii="Calibri" w:hAnsi="Calibri"/>
                <w:spacing w:val="-2"/>
              </w:rPr>
              <w:t xml:space="preserve"> </w:t>
            </w:r>
            <w:r w:rsidRPr="00150EDC">
              <w:rPr>
                <w:rFonts w:ascii="Calibri" w:hAnsi="Calibri"/>
              </w:rPr>
              <w:t>provision</w:t>
            </w:r>
            <w:r w:rsidRPr="00150EDC">
              <w:rPr>
                <w:rFonts w:ascii="Calibri" w:hAnsi="Calibri"/>
                <w:spacing w:val="-3"/>
              </w:rPr>
              <w:t xml:space="preserve"> </w:t>
            </w:r>
            <w:r w:rsidRPr="00150EDC">
              <w:rPr>
                <w:rFonts w:ascii="Calibri" w:hAnsi="Calibri"/>
              </w:rPr>
              <w:t>for</w:t>
            </w:r>
            <w:r w:rsidRPr="00150EDC">
              <w:rPr>
                <w:rFonts w:ascii="Calibri" w:hAnsi="Calibri"/>
                <w:spacing w:val="-2"/>
              </w:rPr>
              <w:t xml:space="preserve"> </w:t>
            </w:r>
            <w:r w:rsidRPr="00150EDC">
              <w:rPr>
                <w:rFonts w:ascii="Calibri" w:hAnsi="Calibri"/>
              </w:rPr>
              <w:t>parents</w:t>
            </w:r>
            <w:r w:rsidRPr="00150EDC">
              <w:rPr>
                <w:rFonts w:ascii="Calibri" w:hAnsi="Calibri"/>
                <w:spacing w:val="-2"/>
              </w:rPr>
              <w:t xml:space="preserve"> </w:t>
            </w:r>
            <w:r w:rsidRPr="00150EDC">
              <w:rPr>
                <w:rFonts w:ascii="Calibri" w:hAnsi="Calibri"/>
              </w:rPr>
              <w:t xml:space="preserve">of primary school aged children aged 19+ without Level 2 maths qualifications, compared to comparable parents who only receive </w:t>
            </w:r>
            <w:r w:rsidRPr="00150EDC">
              <w:rPr>
                <w:rFonts w:ascii="Calibri" w:hAnsi="Calibri"/>
                <w:spacing w:val="-2"/>
              </w:rPr>
              <w:t>signposting?</w:t>
            </w:r>
          </w:p>
          <w:p w14:paraId="5DE90894" w14:textId="77777777" w:rsidR="004C7180" w:rsidRPr="00150EDC" w:rsidRDefault="00CF0754">
            <w:pPr>
              <w:pStyle w:val="TableParagraph"/>
              <w:numPr>
                <w:ilvl w:val="0"/>
                <w:numId w:val="8"/>
              </w:numPr>
              <w:tabs>
                <w:tab w:val="left" w:pos="225"/>
              </w:tabs>
              <w:spacing w:before="0" w:line="240" w:lineRule="auto"/>
              <w:ind w:left="108" w:right="279" w:firstLine="0"/>
              <w:rPr>
                <w:rFonts w:ascii="Calibri" w:hAnsi="Calibri"/>
              </w:rPr>
            </w:pPr>
            <w:r w:rsidRPr="00150EDC">
              <w:rPr>
                <w:rFonts w:ascii="Calibri" w:hAnsi="Calibri"/>
              </w:rPr>
              <w:t>What is the impact of a family numeracy course on maths skills of parents of primary</w:t>
            </w:r>
            <w:r w:rsidRPr="00150EDC">
              <w:rPr>
                <w:rFonts w:ascii="Calibri" w:hAnsi="Calibri"/>
                <w:spacing w:val="-13"/>
              </w:rPr>
              <w:t xml:space="preserve"> </w:t>
            </w:r>
            <w:r w:rsidRPr="00150EDC">
              <w:rPr>
                <w:rFonts w:ascii="Calibri" w:hAnsi="Calibri"/>
              </w:rPr>
              <w:t>school</w:t>
            </w:r>
            <w:r w:rsidRPr="00150EDC">
              <w:rPr>
                <w:rFonts w:ascii="Calibri" w:hAnsi="Calibri"/>
                <w:spacing w:val="-12"/>
              </w:rPr>
              <w:t xml:space="preserve"> </w:t>
            </w:r>
            <w:r w:rsidRPr="00150EDC">
              <w:rPr>
                <w:rFonts w:ascii="Calibri" w:hAnsi="Calibri"/>
              </w:rPr>
              <w:t>aged</w:t>
            </w:r>
            <w:r w:rsidRPr="00150EDC">
              <w:rPr>
                <w:rFonts w:ascii="Calibri" w:hAnsi="Calibri"/>
                <w:spacing w:val="-12"/>
              </w:rPr>
              <w:t xml:space="preserve"> </w:t>
            </w:r>
            <w:r w:rsidRPr="00150EDC">
              <w:rPr>
                <w:rFonts w:ascii="Calibri" w:hAnsi="Calibri"/>
              </w:rPr>
              <w:t>children aged 19+ without Level 2 maths qualifications, compared to comparable parents who do not participate in a family</w:t>
            </w:r>
          </w:p>
          <w:p w14:paraId="4FFB06FB" w14:textId="77777777" w:rsidR="004C7180" w:rsidRPr="00150EDC" w:rsidRDefault="00CF0754">
            <w:pPr>
              <w:pStyle w:val="TableParagraph"/>
              <w:spacing w:before="0" w:line="266" w:lineRule="exact"/>
              <w:ind w:left="109"/>
              <w:rPr>
                <w:rFonts w:ascii="Calibri"/>
              </w:rPr>
            </w:pPr>
            <w:r w:rsidRPr="00150EDC">
              <w:rPr>
                <w:rFonts w:ascii="Calibri"/>
              </w:rPr>
              <w:t>numeracy</w:t>
            </w:r>
            <w:r w:rsidRPr="00150EDC">
              <w:rPr>
                <w:rFonts w:ascii="Calibri"/>
                <w:spacing w:val="-5"/>
              </w:rPr>
              <w:t xml:space="preserve"> </w:t>
            </w:r>
            <w:r w:rsidRPr="00150EDC">
              <w:rPr>
                <w:rFonts w:ascii="Calibri"/>
                <w:spacing w:val="-2"/>
              </w:rPr>
              <w:t>course?</w:t>
            </w:r>
          </w:p>
        </w:tc>
      </w:tr>
      <w:tr w:rsidR="004569EE" w:rsidRPr="007D3144" w14:paraId="4127B24D" w14:textId="77777777">
        <w:trPr>
          <w:trHeight w:val="6474"/>
        </w:trPr>
        <w:tc>
          <w:tcPr>
            <w:tcW w:w="1277" w:type="dxa"/>
            <w:tcBorders>
              <w:left w:val="single" w:sz="8" w:space="0" w:color="000000"/>
            </w:tcBorders>
          </w:tcPr>
          <w:p w14:paraId="16362A76" w14:textId="77777777" w:rsidR="004C7180" w:rsidRPr="00150EDC" w:rsidRDefault="004C7180">
            <w:pPr>
              <w:pStyle w:val="TableParagraph"/>
              <w:spacing w:before="0" w:line="240" w:lineRule="auto"/>
              <w:ind w:left="0"/>
            </w:pPr>
          </w:p>
          <w:p w14:paraId="3707C0F7" w14:textId="77777777" w:rsidR="004C7180" w:rsidRPr="00150EDC" w:rsidRDefault="004C7180">
            <w:pPr>
              <w:pStyle w:val="TableParagraph"/>
              <w:spacing w:before="0" w:line="240" w:lineRule="auto"/>
              <w:ind w:left="0"/>
            </w:pPr>
          </w:p>
          <w:p w14:paraId="3F82A43D" w14:textId="77777777" w:rsidR="004C7180" w:rsidRPr="00150EDC" w:rsidRDefault="004C7180">
            <w:pPr>
              <w:pStyle w:val="TableParagraph"/>
              <w:spacing w:before="0" w:line="240" w:lineRule="auto"/>
              <w:ind w:left="0"/>
            </w:pPr>
          </w:p>
          <w:p w14:paraId="11E39034" w14:textId="77777777" w:rsidR="004C7180" w:rsidRPr="00150EDC" w:rsidRDefault="004C7180">
            <w:pPr>
              <w:pStyle w:val="TableParagraph"/>
              <w:spacing w:before="0" w:line="240" w:lineRule="auto"/>
              <w:ind w:left="0"/>
            </w:pPr>
          </w:p>
          <w:p w14:paraId="621FDEC6" w14:textId="77777777" w:rsidR="004C7180" w:rsidRPr="00150EDC" w:rsidRDefault="004C7180">
            <w:pPr>
              <w:pStyle w:val="TableParagraph"/>
              <w:spacing w:before="0" w:line="240" w:lineRule="auto"/>
              <w:ind w:left="0"/>
            </w:pPr>
          </w:p>
          <w:p w14:paraId="7BB2417F" w14:textId="77777777" w:rsidR="004C7180" w:rsidRPr="00150EDC" w:rsidRDefault="004C7180">
            <w:pPr>
              <w:pStyle w:val="TableParagraph"/>
              <w:spacing w:before="0" w:line="240" w:lineRule="auto"/>
              <w:ind w:left="0"/>
            </w:pPr>
          </w:p>
          <w:p w14:paraId="008790BD" w14:textId="77777777" w:rsidR="004C7180" w:rsidRPr="00150EDC" w:rsidRDefault="004C7180">
            <w:pPr>
              <w:pStyle w:val="TableParagraph"/>
              <w:spacing w:before="0" w:line="240" w:lineRule="auto"/>
              <w:ind w:left="0"/>
            </w:pPr>
          </w:p>
          <w:p w14:paraId="6BC84FD7" w14:textId="77777777" w:rsidR="004C7180" w:rsidRPr="00150EDC" w:rsidRDefault="004C7180">
            <w:pPr>
              <w:pStyle w:val="TableParagraph"/>
              <w:spacing w:before="0" w:line="240" w:lineRule="auto"/>
              <w:ind w:left="0"/>
            </w:pPr>
          </w:p>
          <w:p w14:paraId="7EABD93F" w14:textId="77777777" w:rsidR="004C7180" w:rsidRPr="00150EDC" w:rsidRDefault="004C7180">
            <w:pPr>
              <w:pStyle w:val="TableParagraph"/>
              <w:spacing w:before="0" w:line="240" w:lineRule="auto"/>
              <w:ind w:left="0"/>
            </w:pPr>
          </w:p>
          <w:p w14:paraId="21BA5214" w14:textId="77777777" w:rsidR="004C7180" w:rsidRPr="00150EDC" w:rsidRDefault="004C7180">
            <w:pPr>
              <w:pStyle w:val="TableParagraph"/>
              <w:spacing w:before="0" w:line="240" w:lineRule="auto"/>
              <w:ind w:left="0"/>
            </w:pPr>
          </w:p>
          <w:p w14:paraId="03EB9D6A" w14:textId="77777777" w:rsidR="004C7180" w:rsidRPr="00150EDC" w:rsidRDefault="004C7180">
            <w:pPr>
              <w:pStyle w:val="TableParagraph"/>
              <w:spacing w:before="4" w:line="240" w:lineRule="auto"/>
              <w:ind w:left="0"/>
              <w:rPr>
                <w:sz w:val="26"/>
              </w:rPr>
            </w:pPr>
          </w:p>
          <w:p w14:paraId="01029E50" w14:textId="77777777" w:rsidR="004C7180" w:rsidRPr="00150EDC" w:rsidRDefault="00CF0754">
            <w:pPr>
              <w:pStyle w:val="TableParagraph"/>
              <w:spacing w:before="0" w:line="240" w:lineRule="auto"/>
              <w:ind w:left="107" w:right="160"/>
              <w:rPr>
                <w:rFonts w:ascii="Calibri"/>
                <w:b/>
              </w:rPr>
            </w:pPr>
            <w:r w:rsidRPr="00150EDC">
              <w:rPr>
                <w:rFonts w:ascii="Calibri"/>
                <w:b/>
                <w:spacing w:val="-2"/>
              </w:rPr>
              <w:t xml:space="preserve">Tutoring </w:t>
            </w:r>
            <w:r w:rsidRPr="00150EDC">
              <w:rPr>
                <w:rFonts w:ascii="Calibri"/>
                <w:b/>
                <w:spacing w:val="-4"/>
              </w:rPr>
              <w:t xml:space="preserve">for </w:t>
            </w:r>
            <w:r w:rsidRPr="00150EDC">
              <w:rPr>
                <w:rFonts w:ascii="Calibri"/>
                <w:b/>
                <w:spacing w:val="-2"/>
              </w:rPr>
              <w:t>GCSE/FSQ</w:t>
            </w:r>
          </w:p>
        </w:tc>
        <w:tc>
          <w:tcPr>
            <w:tcW w:w="4961" w:type="dxa"/>
          </w:tcPr>
          <w:p w14:paraId="5C801C62" w14:textId="77777777" w:rsidR="004C7180" w:rsidRPr="00150EDC" w:rsidRDefault="004C7180">
            <w:pPr>
              <w:pStyle w:val="TableParagraph"/>
              <w:spacing w:before="0" w:line="240" w:lineRule="auto"/>
              <w:ind w:left="0"/>
            </w:pPr>
          </w:p>
          <w:p w14:paraId="39CDB3B8" w14:textId="77777777" w:rsidR="004C7180" w:rsidRPr="00150EDC" w:rsidRDefault="004C7180">
            <w:pPr>
              <w:pStyle w:val="TableParagraph"/>
              <w:spacing w:before="0" w:line="240" w:lineRule="auto"/>
              <w:ind w:left="0"/>
            </w:pPr>
          </w:p>
          <w:p w14:paraId="2374702A" w14:textId="77777777" w:rsidR="004C7180" w:rsidRPr="00150EDC" w:rsidRDefault="004C7180">
            <w:pPr>
              <w:pStyle w:val="TableParagraph"/>
              <w:spacing w:before="0" w:line="240" w:lineRule="auto"/>
              <w:ind w:left="0"/>
            </w:pPr>
          </w:p>
          <w:p w14:paraId="44FFB853" w14:textId="77777777" w:rsidR="004C7180" w:rsidRPr="00150EDC" w:rsidRDefault="004C7180">
            <w:pPr>
              <w:pStyle w:val="TableParagraph"/>
              <w:spacing w:before="0" w:line="240" w:lineRule="auto"/>
              <w:ind w:left="0"/>
            </w:pPr>
          </w:p>
          <w:p w14:paraId="214F236B" w14:textId="77777777" w:rsidR="004C7180" w:rsidRPr="00150EDC" w:rsidRDefault="004C7180">
            <w:pPr>
              <w:pStyle w:val="TableParagraph"/>
              <w:spacing w:before="0" w:line="240" w:lineRule="auto"/>
              <w:ind w:left="0"/>
            </w:pPr>
          </w:p>
          <w:p w14:paraId="740E7C7C" w14:textId="77777777" w:rsidR="004C7180" w:rsidRPr="00150EDC" w:rsidRDefault="004C7180">
            <w:pPr>
              <w:pStyle w:val="TableParagraph"/>
              <w:spacing w:before="0" w:line="240" w:lineRule="auto"/>
              <w:ind w:left="0"/>
            </w:pPr>
          </w:p>
          <w:p w14:paraId="6ACA9F39" w14:textId="77777777" w:rsidR="004C7180" w:rsidRPr="00150EDC" w:rsidRDefault="004C7180">
            <w:pPr>
              <w:pStyle w:val="TableParagraph"/>
              <w:spacing w:before="0" w:line="240" w:lineRule="auto"/>
              <w:ind w:left="0"/>
            </w:pPr>
          </w:p>
          <w:p w14:paraId="7A4B4969" w14:textId="77777777" w:rsidR="004C7180" w:rsidRPr="00150EDC" w:rsidRDefault="004C7180">
            <w:pPr>
              <w:pStyle w:val="TableParagraph"/>
              <w:spacing w:before="0" w:line="240" w:lineRule="auto"/>
              <w:ind w:left="0"/>
            </w:pPr>
          </w:p>
          <w:p w14:paraId="354C3D27" w14:textId="77777777" w:rsidR="004C7180" w:rsidRPr="00150EDC" w:rsidRDefault="00CF0754">
            <w:pPr>
              <w:pStyle w:val="TableParagraph"/>
              <w:spacing w:before="137" w:line="240" w:lineRule="auto"/>
              <w:ind w:left="112" w:right="76"/>
              <w:rPr>
                <w:rFonts w:ascii="Calibri"/>
              </w:rPr>
            </w:pPr>
            <w:r w:rsidRPr="00150EDC">
              <w:rPr>
                <w:rFonts w:ascii="Calibri"/>
              </w:rPr>
              <w:t>This</w:t>
            </w:r>
            <w:r w:rsidRPr="00150EDC">
              <w:rPr>
                <w:rFonts w:ascii="Calibri"/>
                <w:spacing w:val="-2"/>
              </w:rPr>
              <w:t xml:space="preserve"> </w:t>
            </w:r>
            <w:r w:rsidRPr="00150EDC">
              <w:rPr>
                <w:rFonts w:ascii="Calibri"/>
              </w:rPr>
              <w:t>trial</w:t>
            </w:r>
            <w:r w:rsidRPr="00150EDC">
              <w:rPr>
                <w:rFonts w:ascii="Calibri"/>
                <w:spacing w:val="-5"/>
              </w:rPr>
              <w:t xml:space="preserve"> </w:t>
            </w:r>
            <w:r w:rsidRPr="00150EDC">
              <w:rPr>
                <w:rFonts w:ascii="Calibri"/>
              </w:rPr>
              <w:t>will</w:t>
            </w:r>
            <w:r w:rsidRPr="00150EDC">
              <w:rPr>
                <w:rFonts w:ascii="Calibri"/>
                <w:spacing w:val="-2"/>
              </w:rPr>
              <w:t xml:space="preserve"> </w:t>
            </w:r>
            <w:r w:rsidRPr="00150EDC">
              <w:rPr>
                <w:rFonts w:ascii="Calibri"/>
              </w:rPr>
              <w:t>look</w:t>
            </w:r>
            <w:r w:rsidRPr="00150EDC">
              <w:rPr>
                <w:rFonts w:ascii="Calibri"/>
                <w:spacing w:val="-4"/>
              </w:rPr>
              <w:t xml:space="preserve"> </w:t>
            </w:r>
            <w:r w:rsidRPr="00150EDC">
              <w:rPr>
                <w:rFonts w:ascii="Calibri"/>
              </w:rPr>
              <w:t>at</w:t>
            </w:r>
            <w:r w:rsidRPr="00150EDC">
              <w:rPr>
                <w:rFonts w:ascii="Calibri"/>
                <w:spacing w:val="-4"/>
              </w:rPr>
              <w:t xml:space="preserve"> </w:t>
            </w:r>
            <w:r w:rsidRPr="00150EDC">
              <w:rPr>
                <w:rFonts w:ascii="Calibri"/>
              </w:rPr>
              <w:t>the</w:t>
            </w:r>
            <w:r w:rsidRPr="00150EDC">
              <w:rPr>
                <w:rFonts w:ascii="Calibri"/>
                <w:spacing w:val="-1"/>
              </w:rPr>
              <w:t xml:space="preserve"> </w:t>
            </w:r>
            <w:r w:rsidRPr="00150EDC">
              <w:rPr>
                <w:rFonts w:ascii="Calibri"/>
              </w:rPr>
              <w:t>impact</w:t>
            </w:r>
            <w:r w:rsidRPr="00150EDC">
              <w:rPr>
                <w:rFonts w:ascii="Calibri"/>
                <w:spacing w:val="-1"/>
              </w:rPr>
              <w:t xml:space="preserve"> </w:t>
            </w:r>
            <w:r w:rsidRPr="00150EDC">
              <w:rPr>
                <w:rFonts w:ascii="Calibri"/>
              </w:rPr>
              <w:t>on</w:t>
            </w:r>
            <w:r w:rsidRPr="00150EDC">
              <w:rPr>
                <w:rFonts w:ascii="Calibri"/>
                <w:spacing w:val="-3"/>
              </w:rPr>
              <w:t xml:space="preserve"> </w:t>
            </w:r>
            <w:r w:rsidRPr="00150EDC">
              <w:rPr>
                <w:rFonts w:ascii="Calibri"/>
              </w:rPr>
              <w:t>learner</w:t>
            </w:r>
            <w:r w:rsidRPr="00150EDC">
              <w:rPr>
                <w:rFonts w:ascii="Calibri"/>
                <w:spacing w:val="-4"/>
              </w:rPr>
              <w:t xml:space="preserve"> </w:t>
            </w:r>
            <w:r w:rsidRPr="00150EDC">
              <w:rPr>
                <w:rFonts w:ascii="Calibri"/>
              </w:rPr>
              <w:t>outcomes of providing small group or one-to-one tuition to learners preparing for Level 2 exams, in addition to normal classroom learning. A maths expert will determine the dosage of tuition and the skillset required by the tutors. This trial was suggested by various</w:t>
            </w:r>
            <w:r w:rsidRPr="00150EDC">
              <w:rPr>
                <w:rFonts w:ascii="Calibri"/>
                <w:spacing w:val="-7"/>
              </w:rPr>
              <w:t xml:space="preserve"> </w:t>
            </w:r>
            <w:r w:rsidRPr="00150EDC">
              <w:rPr>
                <w:rFonts w:ascii="Calibri"/>
              </w:rPr>
              <w:t>sources,</w:t>
            </w:r>
            <w:r w:rsidRPr="00150EDC">
              <w:rPr>
                <w:rFonts w:ascii="Calibri"/>
                <w:spacing w:val="-5"/>
              </w:rPr>
              <w:t xml:space="preserve"> </w:t>
            </w:r>
            <w:r w:rsidRPr="00150EDC">
              <w:rPr>
                <w:rFonts w:ascii="Calibri"/>
              </w:rPr>
              <w:t>including</w:t>
            </w:r>
            <w:r w:rsidRPr="00150EDC">
              <w:rPr>
                <w:rFonts w:ascii="Calibri"/>
                <w:spacing w:val="-6"/>
              </w:rPr>
              <w:t xml:space="preserve"> </w:t>
            </w:r>
            <w:r w:rsidRPr="00150EDC">
              <w:rPr>
                <w:rFonts w:ascii="Calibri"/>
              </w:rPr>
              <w:t>an</w:t>
            </w:r>
            <w:r w:rsidRPr="00150EDC">
              <w:rPr>
                <w:rFonts w:ascii="Calibri"/>
                <w:spacing w:val="-6"/>
              </w:rPr>
              <w:t xml:space="preserve"> </w:t>
            </w:r>
            <w:r w:rsidRPr="00150EDC">
              <w:rPr>
                <w:rFonts w:ascii="Calibri"/>
              </w:rPr>
              <w:t>educational</w:t>
            </w:r>
            <w:r w:rsidRPr="00150EDC">
              <w:rPr>
                <w:rFonts w:ascii="Calibri"/>
                <w:spacing w:val="-8"/>
              </w:rPr>
              <w:t xml:space="preserve"> </w:t>
            </w:r>
            <w:r w:rsidRPr="00150EDC">
              <w:rPr>
                <w:rFonts w:ascii="Calibri"/>
              </w:rPr>
              <w:t>charity</w:t>
            </w:r>
            <w:r w:rsidRPr="00150EDC">
              <w:rPr>
                <w:rFonts w:ascii="Calibri"/>
                <w:spacing w:val="-5"/>
              </w:rPr>
              <w:t xml:space="preserve"> </w:t>
            </w:r>
            <w:r w:rsidRPr="00150EDC">
              <w:rPr>
                <w:rFonts w:ascii="Calibri"/>
              </w:rPr>
              <w:t>and a college.</w:t>
            </w:r>
          </w:p>
        </w:tc>
        <w:tc>
          <w:tcPr>
            <w:tcW w:w="1277" w:type="dxa"/>
          </w:tcPr>
          <w:p w14:paraId="48D2CC52" w14:textId="77777777" w:rsidR="004C7180" w:rsidRPr="00150EDC" w:rsidRDefault="004C7180">
            <w:pPr>
              <w:pStyle w:val="TableParagraph"/>
              <w:spacing w:before="0" w:line="240" w:lineRule="auto"/>
              <w:ind w:left="0"/>
            </w:pPr>
          </w:p>
          <w:p w14:paraId="59F546BF" w14:textId="77777777" w:rsidR="004C7180" w:rsidRPr="00150EDC" w:rsidRDefault="004C7180">
            <w:pPr>
              <w:pStyle w:val="TableParagraph"/>
              <w:spacing w:before="0" w:line="240" w:lineRule="auto"/>
              <w:ind w:left="0"/>
            </w:pPr>
          </w:p>
          <w:p w14:paraId="31A7E8E0" w14:textId="77777777" w:rsidR="004C7180" w:rsidRPr="00150EDC" w:rsidRDefault="004C7180">
            <w:pPr>
              <w:pStyle w:val="TableParagraph"/>
              <w:spacing w:before="0" w:line="240" w:lineRule="auto"/>
              <w:ind w:left="0"/>
            </w:pPr>
          </w:p>
          <w:p w14:paraId="119DAAE6" w14:textId="77777777" w:rsidR="004C7180" w:rsidRPr="00150EDC" w:rsidRDefault="004C7180">
            <w:pPr>
              <w:pStyle w:val="TableParagraph"/>
              <w:spacing w:before="0" w:line="240" w:lineRule="auto"/>
              <w:ind w:left="0"/>
            </w:pPr>
          </w:p>
          <w:p w14:paraId="68B20501" w14:textId="77777777" w:rsidR="004C7180" w:rsidRPr="00150EDC" w:rsidRDefault="004C7180">
            <w:pPr>
              <w:pStyle w:val="TableParagraph"/>
              <w:spacing w:before="0" w:line="240" w:lineRule="auto"/>
              <w:ind w:left="0"/>
            </w:pPr>
          </w:p>
          <w:p w14:paraId="1076F432" w14:textId="77777777" w:rsidR="004C7180" w:rsidRPr="00150EDC" w:rsidRDefault="004C7180">
            <w:pPr>
              <w:pStyle w:val="TableParagraph"/>
              <w:spacing w:before="0" w:line="240" w:lineRule="auto"/>
              <w:ind w:left="0"/>
            </w:pPr>
          </w:p>
          <w:p w14:paraId="3E82ED2B" w14:textId="77777777" w:rsidR="004C7180" w:rsidRPr="00150EDC" w:rsidRDefault="004C7180">
            <w:pPr>
              <w:pStyle w:val="TableParagraph"/>
              <w:spacing w:before="0" w:line="240" w:lineRule="auto"/>
              <w:ind w:left="0"/>
            </w:pPr>
          </w:p>
          <w:p w14:paraId="3FD15DA4" w14:textId="77777777" w:rsidR="004C7180" w:rsidRPr="00150EDC" w:rsidRDefault="004C7180">
            <w:pPr>
              <w:pStyle w:val="TableParagraph"/>
              <w:spacing w:before="0" w:line="240" w:lineRule="auto"/>
              <w:ind w:left="0"/>
            </w:pPr>
          </w:p>
          <w:p w14:paraId="5E02404E" w14:textId="77777777" w:rsidR="004C7180" w:rsidRPr="00150EDC" w:rsidRDefault="004C7180">
            <w:pPr>
              <w:pStyle w:val="TableParagraph"/>
              <w:spacing w:before="0" w:line="240" w:lineRule="auto"/>
              <w:ind w:left="0"/>
            </w:pPr>
          </w:p>
          <w:p w14:paraId="1769E77A" w14:textId="77777777" w:rsidR="004C7180" w:rsidRPr="00150EDC" w:rsidRDefault="004C7180">
            <w:pPr>
              <w:pStyle w:val="TableParagraph"/>
              <w:spacing w:before="0" w:line="240" w:lineRule="auto"/>
              <w:ind w:left="0"/>
            </w:pPr>
          </w:p>
          <w:p w14:paraId="54E1DF74" w14:textId="77777777" w:rsidR="004C7180" w:rsidRPr="00150EDC" w:rsidRDefault="00CF0754">
            <w:pPr>
              <w:pStyle w:val="TableParagraph"/>
              <w:spacing w:before="169" w:line="240" w:lineRule="auto"/>
              <w:ind w:left="111" w:right="37"/>
              <w:rPr>
                <w:rFonts w:ascii="Calibri"/>
              </w:rPr>
            </w:pPr>
            <w:r w:rsidRPr="00150EDC">
              <w:rPr>
                <w:rFonts w:ascii="Calibri"/>
              </w:rPr>
              <w:t xml:space="preserve">To be </w:t>
            </w:r>
            <w:r w:rsidRPr="00150EDC">
              <w:rPr>
                <w:rFonts w:ascii="Calibri"/>
                <w:spacing w:val="-2"/>
              </w:rPr>
              <w:t xml:space="preserve">developed </w:t>
            </w:r>
            <w:r w:rsidRPr="00150EDC">
              <w:rPr>
                <w:rFonts w:ascii="Calibri"/>
              </w:rPr>
              <w:t>by</w:t>
            </w:r>
            <w:r w:rsidRPr="00150EDC">
              <w:rPr>
                <w:rFonts w:ascii="Calibri"/>
                <w:spacing w:val="-13"/>
              </w:rPr>
              <w:t xml:space="preserve"> </w:t>
            </w:r>
            <w:r w:rsidRPr="00150EDC">
              <w:rPr>
                <w:rFonts w:ascii="Calibri"/>
              </w:rPr>
              <w:t>a</w:t>
            </w:r>
            <w:r w:rsidRPr="00150EDC">
              <w:rPr>
                <w:rFonts w:ascii="Calibri"/>
                <w:spacing w:val="-12"/>
              </w:rPr>
              <w:t xml:space="preserve"> </w:t>
            </w:r>
            <w:r w:rsidRPr="00150EDC">
              <w:rPr>
                <w:rFonts w:ascii="Calibri"/>
              </w:rPr>
              <w:t xml:space="preserve">maths </w:t>
            </w:r>
            <w:r w:rsidRPr="00150EDC">
              <w:rPr>
                <w:rFonts w:ascii="Calibri"/>
                <w:spacing w:val="-2"/>
              </w:rPr>
              <w:t>consultant</w:t>
            </w:r>
          </w:p>
        </w:tc>
        <w:tc>
          <w:tcPr>
            <w:tcW w:w="994" w:type="dxa"/>
          </w:tcPr>
          <w:p w14:paraId="78463E74" w14:textId="77777777" w:rsidR="004C7180" w:rsidRPr="00150EDC" w:rsidRDefault="004C7180">
            <w:pPr>
              <w:pStyle w:val="TableParagraph"/>
              <w:spacing w:before="0" w:line="240" w:lineRule="auto"/>
              <w:ind w:left="0"/>
            </w:pPr>
          </w:p>
          <w:p w14:paraId="39D6D5C3" w14:textId="77777777" w:rsidR="004C7180" w:rsidRPr="00150EDC" w:rsidRDefault="004C7180">
            <w:pPr>
              <w:pStyle w:val="TableParagraph"/>
              <w:spacing w:before="0" w:line="240" w:lineRule="auto"/>
              <w:ind w:left="0"/>
            </w:pPr>
          </w:p>
          <w:p w14:paraId="01D369CB" w14:textId="77777777" w:rsidR="004C7180" w:rsidRPr="00150EDC" w:rsidRDefault="004C7180">
            <w:pPr>
              <w:pStyle w:val="TableParagraph"/>
              <w:spacing w:before="0" w:line="240" w:lineRule="auto"/>
              <w:ind w:left="0"/>
            </w:pPr>
          </w:p>
          <w:p w14:paraId="268E3CF5" w14:textId="77777777" w:rsidR="004C7180" w:rsidRPr="00150EDC" w:rsidRDefault="004C7180">
            <w:pPr>
              <w:pStyle w:val="TableParagraph"/>
              <w:spacing w:before="0" w:line="240" w:lineRule="auto"/>
              <w:ind w:left="0"/>
            </w:pPr>
          </w:p>
          <w:p w14:paraId="39C53CED" w14:textId="77777777" w:rsidR="004C7180" w:rsidRPr="00150EDC" w:rsidRDefault="004C7180">
            <w:pPr>
              <w:pStyle w:val="TableParagraph"/>
              <w:spacing w:before="0" w:line="240" w:lineRule="auto"/>
              <w:ind w:left="0"/>
            </w:pPr>
          </w:p>
          <w:p w14:paraId="5EBF2A3C" w14:textId="77777777" w:rsidR="004C7180" w:rsidRPr="00150EDC" w:rsidRDefault="004C7180">
            <w:pPr>
              <w:pStyle w:val="TableParagraph"/>
              <w:spacing w:before="0" w:line="240" w:lineRule="auto"/>
              <w:ind w:left="0"/>
            </w:pPr>
          </w:p>
          <w:p w14:paraId="66C42D57" w14:textId="77777777" w:rsidR="004C7180" w:rsidRPr="00150EDC" w:rsidRDefault="004C7180">
            <w:pPr>
              <w:pStyle w:val="TableParagraph"/>
              <w:spacing w:before="0" w:line="240" w:lineRule="auto"/>
              <w:ind w:left="0"/>
            </w:pPr>
          </w:p>
          <w:p w14:paraId="0F0C51E1" w14:textId="77777777" w:rsidR="004C7180" w:rsidRPr="00150EDC" w:rsidRDefault="004C7180">
            <w:pPr>
              <w:pStyle w:val="TableParagraph"/>
              <w:spacing w:before="0" w:line="240" w:lineRule="auto"/>
              <w:ind w:left="0"/>
            </w:pPr>
          </w:p>
          <w:p w14:paraId="66ADCE19" w14:textId="77777777" w:rsidR="004C7180" w:rsidRPr="00150EDC" w:rsidRDefault="004C7180">
            <w:pPr>
              <w:pStyle w:val="TableParagraph"/>
              <w:spacing w:before="0" w:line="240" w:lineRule="auto"/>
              <w:ind w:left="0"/>
            </w:pPr>
          </w:p>
          <w:p w14:paraId="34C8791D" w14:textId="77777777" w:rsidR="004C7180" w:rsidRPr="00150EDC" w:rsidRDefault="004C7180">
            <w:pPr>
              <w:pStyle w:val="TableParagraph"/>
              <w:spacing w:before="0" w:line="240" w:lineRule="auto"/>
              <w:ind w:left="0"/>
            </w:pPr>
          </w:p>
          <w:p w14:paraId="09DB13D2" w14:textId="77777777" w:rsidR="004C7180" w:rsidRPr="00150EDC" w:rsidRDefault="00CF0754">
            <w:pPr>
              <w:pStyle w:val="TableParagraph"/>
              <w:spacing w:before="168" w:line="240" w:lineRule="auto"/>
              <w:ind w:left="111" w:right="143"/>
              <w:rPr>
                <w:rFonts w:ascii="Calibri"/>
              </w:rPr>
            </w:pPr>
            <w:r w:rsidRPr="00150EDC">
              <w:rPr>
                <w:rFonts w:ascii="Calibri"/>
                <w:spacing w:val="-2"/>
              </w:rPr>
              <w:t>Locally Commis sioned Trial</w:t>
            </w:r>
          </w:p>
        </w:tc>
        <w:tc>
          <w:tcPr>
            <w:tcW w:w="2988" w:type="dxa"/>
          </w:tcPr>
          <w:p w14:paraId="3494214D" w14:textId="77777777" w:rsidR="004C7180" w:rsidRPr="00150EDC" w:rsidRDefault="00CF0754">
            <w:pPr>
              <w:pStyle w:val="TableParagraph"/>
              <w:numPr>
                <w:ilvl w:val="0"/>
                <w:numId w:val="7"/>
              </w:numPr>
              <w:tabs>
                <w:tab w:val="left" w:pos="226"/>
              </w:tabs>
              <w:spacing w:before="13" w:line="240" w:lineRule="auto"/>
              <w:ind w:right="156" w:firstLine="0"/>
              <w:rPr>
                <w:rFonts w:ascii="Calibri" w:hAnsi="Calibri"/>
              </w:rPr>
            </w:pPr>
            <w:r w:rsidRPr="00150EDC">
              <w:rPr>
                <w:rFonts w:ascii="Calibri" w:hAnsi="Calibri"/>
              </w:rPr>
              <w:t>What is the difference in qualification pass rates of learners aged 19+ completing Level 2 maths courses who receive</w:t>
            </w:r>
            <w:r w:rsidRPr="00150EDC">
              <w:rPr>
                <w:rFonts w:ascii="Calibri" w:hAnsi="Calibri"/>
                <w:spacing w:val="-13"/>
              </w:rPr>
              <w:t xml:space="preserve"> </w:t>
            </w:r>
            <w:r w:rsidRPr="00150EDC">
              <w:rPr>
                <w:rFonts w:ascii="Calibri" w:hAnsi="Calibri"/>
              </w:rPr>
              <w:t>additional</w:t>
            </w:r>
            <w:r w:rsidRPr="00150EDC">
              <w:rPr>
                <w:rFonts w:ascii="Calibri" w:hAnsi="Calibri"/>
                <w:spacing w:val="-12"/>
              </w:rPr>
              <w:t xml:space="preserve"> </w:t>
            </w:r>
            <w:r w:rsidRPr="00150EDC">
              <w:rPr>
                <w:rFonts w:ascii="Calibri" w:hAnsi="Calibri"/>
              </w:rPr>
              <w:t>small-group tuition, compared to comparable learners who do not receive tuition?</w:t>
            </w:r>
          </w:p>
          <w:p w14:paraId="31CE61C9" w14:textId="77777777" w:rsidR="004C7180" w:rsidRPr="00150EDC" w:rsidRDefault="00CF0754">
            <w:pPr>
              <w:pStyle w:val="TableParagraph"/>
              <w:numPr>
                <w:ilvl w:val="0"/>
                <w:numId w:val="7"/>
              </w:numPr>
              <w:tabs>
                <w:tab w:val="left" w:pos="225"/>
              </w:tabs>
              <w:spacing w:before="0" w:line="240" w:lineRule="auto"/>
              <w:ind w:left="108" w:right="152" w:firstLine="0"/>
              <w:rPr>
                <w:rFonts w:ascii="Calibri" w:hAnsi="Calibri"/>
              </w:rPr>
            </w:pPr>
            <w:r w:rsidRPr="00150EDC">
              <w:rPr>
                <w:rFonts w:ascii="Calibri" w:hAnsi="Calibri"/>
              </w:rPr>
              <w:t>What is the difference in course</w:t>
            </w:r>
            <w:r w:rsidRPr="00150EDC">
              <w:rPr>
                <w:rFonts w:ascii="Calibri" w:hAnsi="Calibri"/>
                <w:spacing w:val="-1"/>
              </w:rPr>
              <w:t xml:space="preserve"> </w:t>
            </w:r>
            <w:r w:rsidRPr="00150EDC">
              <w:rPr>
                <w:rFonts w:ascii="Calibri" w:hAnsi="Calibri"/>
              </w:rPr>
              <w:t>attendance</w:t>
            </w:r>
            <w:r w:rsidRPr="00150EDC">
              <w:rPr>
                <w:rFonts w:ascii="Calibri" w:hAnsi="Calibri"/>
                <w:spacing w:val="-1"/>
              </w:rPr>
              <w:t xml:space="preserve"> </w:t>
            </w:r>
            <w:r w:rsidRPr="00150EDC">
              <w:rPr>
                <w:rFonts w:ascii="Calibri" w:hAnsi="Calibri"/>
              </w:rPr>
              <w:t>of learners aged 19+ completing Level 2 maths courses who receive additional</w:t>
            </w:r>
            <w:r w:rsidRPr="00150EDC">
              <w:rPr>
                <w:rFonts w:ascii="Calibri" w:hAnsi="Calibri"/>
                <w:spacing w:val="-13"/>
              </w:rPr>
              <w:t xml:space="preserve"> </w:t>
            </w:r>
            <w:r w:rsidRPr="00150EDC">
              <w:rPr>
                <w:rFonts w:ascii="Calibri" w:hAnsi="Calibri"/>
              </w:rPr>
              <w:t>small-group</w:t>
            </w:r>
            <w:r w:rsidRPr="00150EDC">
              <w:rPr>
                <w:rFonts w:ascii="Calibri" w:hAnsi="Calibri"/>
                <w:spacing w:val="-12"/>
              </w:rPr>
              <w:t xml:space="preserve"> </w:t>
            </w:r>
            <w:r w:rsidRPr="00150EDC">
              <w:rPr>
                <w:rFonts w:ascii="Calibri" w:hAnsi="Calibri"/>
              </w:rPr>
              <w:t xml:space="preserve">tuition, compared to comparable learners who do not receive </w:t>
            </w:r>
            <w:r w:rsidRPr="00150EDC">
              <w:rPr>
                <w:rFonts w:ascii="Calibri" w:hAnsi="Calibri"/>
                <w:spacing w:val="-2"/>
              </w:rPr>
              <w:t>tuition?</w:t>
            </w:r>
          </w:p>
          <w:p w14:paraId="558A3B8D" w14:textId="77777777" w:rsidR="004C7180" w:rsidRPr="00150EDC" w:rsidRDefault="00CF0754">
            <w:pPr>
              <w:pStyle w:val="TableParagraph"/>
              <w:numPr>
                <w:ilvl w:val="0"/>
                <w:numId w:val="7"/>
              </w:numPr>
              <w:tabs>
                <w:tab w:val="left" w:pos="225"/>
              </w:tabs>
              <w:spacing w:before="0" w:line="240" w:lineRule="auto"/>
              <w:ind w:left="108" w:right="153" w:firstLine="0"/>
              <w:rPr>
                <w:rFonts w:ascii="Calibri" w:hAnsi="Calibri"/>
              </w:rPr>
            </w:pPr>
            <w:r w:rsidRPr="00150EDC">
              <w:rPr>
                <w:rFonts w:ascii="Calibri" w:hAnsi="Calibri"/>
              </w:rPr>
              <w:t>What is the difference in course completion</w:t>
            </w:r>
            <w:r w:rsidRPr="00150EDC">
              <w:rPr>
                <w:rFonts w:ascii="Calibri" w:hAnsi="Calibri"/>
                <w:spacing w:val="-1"/>
              </w:rPr>
              <w:t xml:space="preserve"> </w:t>
            </w:r>
            <w:r w:rsidRPr="00150EDC">
              <w:rPr>
                <w:rFonts w:ascii="Calibri" w:hAnsi="Calibri"/>
              </w:rPr>
              <w:t>of learners aged 19+ completing Level 2 maths courses who receive additional</w:t>
            </w:r>
            <w:r w:rsidRPr="00150EDC">
              <w:rPr>
                <w:rFonts w:ascii="Calibri" w:hAnsi="Calibri"/>
                <w:spacing w:val="-13"/>
              </w:rPr>
              <w:t xml:space="preserve"> </w:t>
            </w:r>
            <w:r w:rsidRPr="00150EDC">
              <w:rPr>
                <w:rFonts w:ascii="Calibri" w:hAnsi="Calibri"/>
              </w:rPr>
              <w:t>small-group</w:t>
            </w:r>
            <w:r w:rsidRPr="00150EDC">
              <w:rPr>
                <w:rFonts w:ascii="Calibri" w:hAnsi="Calibri"/>
                <w:spacing w:val="-12"/>
              </w:rPr>
              <w:t xml:space="preserve"> </w:t>
            </w:r>
            <w:r w:rsidRPr="00150EDC">
              <w:rPr>
                <w:rFonts w:ascii="Calibri" w:hAnsi="Calibri"/>
              </w:rPr>
              <w:t>tuition, compared to comparable learners who do not receive</w:t>
            </w:r>
          </w:p>
          <w:p w14:paraId="331B80C4" w14:textId="77777777" w:rsidR="004C7180" w:rsidRPr="00150EDC" w:rsidRDefault="00CF0754">
            <w:pPr>
              <w:pStyle w:val="TableParagraph"/>
              <w:spacing w:before="0" w:line="266" w:lineRule="exact"/>
              <w:ind w:left="109"/>
              <w:rPr>
                <w:rFonts w:ascii="Calibri"/>
              </w:rPr>
            </w:pPr>
            <w:r w:rsidRPr="00150EDC">
              <w:rPr>
                <w:rFonts w:ascii="Calibri"/>
                <w:spacing w:val="-2"/>
              </w:rPr>
              <w:t>tuition?</w:t>
            </w:r>
          </w:p>
        </w:tc>
      </w:tr>
    </w:tbl>
    <w:p w14:paraId="2AEFF84F" w14:textId="77777777" w:rsidR="004C7180" w:rsidRPr="00150EDC" w:rsidRDefault="004C7180">
      <w:pPr>
        <w:spacing w:line="266" w:lineRule="exact"/>
        <w:rPr>
          <w:rFonts w:ascii="Calibri"/>
        </w:rPr>
        <w:sectPr w:rsidR="004C7180" w:rsidRPr="00150EDC">
          <w:pgSz w:w="11910" w:h="16840"/>
          <w:pgMar w:top="1160" w:right="0" w:bottom="1440" w:left="40" w:header="715" w:footer="1259" w:gutter="0"/>
          <w:cols w:space="720"/>
        </w:sectPr>
      </w:pPr>
    </w:p>
    <w:p w14:paraId="5315BB5A" w14:textId="77777777" w:rsidR="004C7180" w:rsidRPr="00150EDC" w:rsidRDefault="004C7180">
      <w:pPr>
        <w:pStyle w:val="BodyText"/>
        <w:spacing w:before="7"/>
        <w:rPr>
          <w:sz w:val="23"/>
        </w:rPr>
      </w:pPr>
    </w:p>
    <w:tbl>
      <w:tblPr>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7"/>
        <w:gridCol w:w="4961"/>
        <w:gridCol w:w="1277"/>
        <w:gridCol w:w="994"/>
        <w:gridCol w:w="2988"/>
      </w:tblGrid>
      <w:tr w:rsidR="004569EE" w:rsidRPr="007D3144" w14:paraId="60079D28" w14:textId="77777777">
        <w:trPr>
          <w:trHeight w:val="3030"/>
        </w:trPr>
        <w:tc>
          <w:tcPr>
            <w:tcW w:w="1277" w:type="dxa"/>
            <w:tcBorders>
              <w:left w:val="single" w:sz="8" w:space="0" w:color="000000"/>
            </w:tcBorders>
          </w:tcPr>
          <w:p w14:paraId="03C13E92" w14:textId="77777777" w:rsidR="004C7180" w:rsidRPr="00150EDC" w:rsidRDefault="004C7180">
            <w:pPr>
              <w:pStyle w:val="TableParagraph"/>
              <w:spacing w:before="0" w:line="240" w:lineRule="auto"/>
              <w:ind w:left="0"/>
            </w:pPr>
          </w:p>
          <w:p w14:paraId="278A1678" w14:textId="77777777" w:rsidR="004C7180" w:rsidRPr="00150EDC" w:rsidRDefault="004C7180">
            <w:pPr>
              <w:pStyle w:val="TableParagraph"/>
              <w:spacing w:before="0" w:line="240" w:lineRule="auto"/>
              <w:ind w:left="0"/>
            </w:pPr>
          </w:p>
          <w:p w14:paraId="778CD29B" w14:textId="77777777" w:rsidR="004C7180" w:rsidRPr="00150EDC" w:rsidRDefault="004C7180">
            <w:pPr>
              <w:pStyle w:val="TableParagraph"/>
              <w:spacing w:before="0" w:line="240" w:lineRule="auto"/>
              <w:ind w:left="0"/>
            </w:pPr>
          </w:p>
          <w:p w14:paraId="70787C6B" w14:textId="77777777" w:rsidR="004C7180" w:rsidRPr="00150EDC" w:rsidRDefault="004C7180">
            <w:pPr>
              <w:pStyle w:val="TableParagraph"/>
              <w:spacing w:before="6" w:line="240" w:lineRule="auto"/>
              <w:ind w:left="0"/>
              <w:rPr>
                <w:sz w:val="30"/>
              </w:rPr>
            </w:pPr>
          </w:p>
          <w:p w14:paraId="5949F54D" w14:textId="77777777" w:rsidR="004C7180" w:rsidRPr="00150EDC" w:rsidRDefault="00CF0754">
            <w:pPr>
              <w:pStyle w:val="TableParagraph"/>
              <w:spacing w:before="0" w:line="240" w:lineRule="auto"/>
              <w:ind w:left="107" w:right="98"/>
              <w:rPr>
                <w:rFonts w:ascii="Calibri"/>
                <w:b/>
              </w:rPr>
            </w:pPr>
            <w:r w:rsidRPr="00150EDC">
              <w:rPr>
                <w:rFonts w:ascii="Calibri"/>
                <w:b/>
                <w:spacing w:val="-2"/>
              </w:rPr>
              <w:t xml:space="preserve">Homework </w:t>
            </w:r>
            <w:r w:rsidRPr="00150EDC">
              <w:rPr>
                <w:rFonts w:ascii="Calibri"/>
                <w:b/>
                <w:spacing w:val="-4"/>
              </w:rPr>
              <w:t xml:space="preserve">for </w:t>
            </w:r>
            <w:r w:rsidRPr="00150EDC">
              <w:rPr>
                <w:rFonts w:ascii="Calibri"/>
                <w:b/>
                <w:spacing w:val="-2"/>
              </w:rPr>
              <w:t>GCSE/FSQ</w:t>
            </w:r>
          </w:p>
        </w:tc>
        <w:tc>
          <w:tcPr>
            <w:tcW w:w="4961" w:type="dxa"/>
          </w:tcPr>
          <w:p w14:paraId="0554827D" w14:textId="77777777" w:rsidR="004C7180" w:rsidRPr="00150EDC" w:rsidRDefault="004C7180">
            <w:pPr>
              <w:pStyle w:val="TableParagraph"/>
              <w:spacing w:before="0" w:line="240" w:lineRule="auto"/>
              <w:ind w:left="0"/>
            </w:pPr>
          </w:p>
          <w:p w14:paraId="161E9E06" w14:textId="77777777" w:rsidR="004C7180" w:rsidRPr="00150EDC" w:rsidRDefault="004C7180">
            <w:pPr>
              <w:pStyle w:val="TableParagraph"/>
              <w:spacing w:before="0" w:line="240" w:lineRule="auto"/>
              <w:ind w:left="0"/>
            </w:pPr>
          </w:p>
          <w:p w14:paraId="2FA110E4" w14:textId="77777777" w:rsidR="004C7180" w:rsidRPr="00150EDC" w:rsidRDefault="004C7180">
            <w:pPr>
              <w:pStyle w:val="TableParagraph"/>
              <w:spacing w:before="7" w:line="240" w:lineRule="auto"/>
              <w:ind w:left="0"/>
              <w:rPr>
                <w:sz w:val="17"/>
              </w:rPr>
            </w:pPr>
          </w:p>
          <w:p w14:paraId="5111C3F5" w14:textId="77777777" w:rsidR="004C7180" w:rsidRPr="00150EDC" w:rsidRDefault="00CF0754">
            <w:pPr>
              <w:pStyle w:val="TableParagraph"/>
              <w:spacing w:before="1" w:line="240" w:lineRule="auto"/>
              <w:ind w:left="112" w:right="76"/>
              <w:rPr>
                <w:rFonts w:ascii="Calibri"/>
              </w:rPr>
            </w:pPr>
            <w:r w:rsidRPr="00150EDC">
              <w:rPr>
                <w:rFonts w:ascii="Calibri"/>
              </w:rPr>
              <w:t>This</w:t>
            </w:r>
            <w:r w:rsidRPr="00150EDC">
              <w:rPr>
                <w:rFonts w:ascii="Calibri"/>
                <w:spacing w:val="-4"/>
              </w:rPr>
              <w:t xml:space="preserve"> </w:t>
            </w:r>
            <w:r w:rsidRPr="00150EDC">
              <w:rPr>
                <w:rFonts w:ascii="Calibri"/>
              </w:rPr>
              <w:t>trial</w:t>
            </w:r>
            <w:r w:rsidRPr="00150EDC">
              <w:rPr>
                <w:rFonts w:ascii="Calibri"/>
                <w:spacing w:val="-6"/>
              </w:rPr>
              <w:t xml:space="preserve"> </w:t>
            </w:r>
            <w:r w:rsidRPr="00150EDC">
              <w:rPr>
                <w:rFonts w:ascii="Calibri"/>
              </w:rPr>
              <w:t>will</w:t>
            </w:r>
            <w:r w:rsidRPr="00150EDC">
              <w:rPr>
                <w:rFonts w:ascii="Calibri"/>
                <w:spacing w:val="-4"/>
              </w:rPr>
              <w:t xml:space="preserve"> </w:t>
            </w:r>
            <w:r w:rsidRPr="00150EDC">
              <w:rPr>
                <w:rFonts w:ascii="Calibri"/>
              </w:rPr>
              <w:t>look</w:t>
            </w:r>
            <w:r w:rsidRPr="00150EDC">
              <w:rPr>
                <w:rFonts w:ascii="Calibri"/>
                <w:spacing w:val="-5"/>
              </w:rPr>
              <w:t xml:space="preserve"> </w:t>
            </w:r>
            <w:r w:rsidRPr="00150EDC">
              <w:rPr>
                <w:rFonts w:ascii="Calibri"/>
              </w:rPr>
              <w:t>at</w:t>
            </w:r>
            <w:r w:rsidRPr="00150EDC">
              <w:rPr>
                <w:rFonts w:ascii="Calibri"/>
                <w:spacing w:val="-5"/>
              </w:rPr>
              <w:t xml:space="preserve"> </w:t>
            </w:r>
            <w:r w:rsidRPr="00150EDC">
              <w:rPr>
                <w:rFonts w:ascii="Calibri"/>
              </w:rPr>
              <w:t>the</w:t>
            </w:r>
            <w:r w:rsidRPr="00150EDC">
              <w:rPr>
                <w:rFonts w:ascii="Calibri"/>
                <w:spacing w:val="-3"/>
              </w:rPr>
              <w:t xml:space="preserve"> </w:t>
            </w:r>
            <w:r w:rsidRPr="00150EDC">
              <w:rPr>
                <w:rFonts w:ascii="Calibri"/>
              </w:rPr>
              <w:t>impact</w:t>
            </w:r>
            <w:r w:rsidRPr="00150EDC">
              <w:rPr>
                <w:rFonts w:ascii="Calibri"/>
                <w:spacing w:val="-3"/>
              </w:rPr>
              <w:t xml:space="preserve"> </w:t>
            </w:r>
            <w:r w:rsidRPr="00150EDC">
              <w:rPr>
                <w:rFonts w:ascii="Calibri"/>
              </w:rPr>
              <w:t>on</w:t>
            </w:r>
            <w:r w:rsidRPr="00150EDC">
              <w:rPr>
                <w:rFonts w:ascii="Calibri"/>
                <w:spacing w:val="-4"/>
              </w:rPr>
              <w:t xml:space="preserve"> </w:t>
            </w:r>
            <w:r w:rsidRPr="00150EDC">
              <w:rPr>
                <w:rFonts w:ascii="Calibri"/>
              </w:rPr>
              <w:t>learner</w:t>
            </w:r>
            <w:r w:rsidRPr="00150EDC">
              <w:rPr>
                <w:rFonts w:ascii="Calibri"/>
                <w:spacing w:val="-5"/>
              </w:rPr>
              <w:t xml:space="preserve"> </w:t>
            </w:r>
            <w:r w:rsidRPr="00150EDC">
              <w:rPr>
                <w:rFonts w:ascii="Calibri"/>
              </w:rPr>
              <w:t>outcomes of embedding additional homework tasks within existing curricula in GCSE and FSQ courses to consolidate learning. A maths expert will determine the dosage of homework. The trial was originally suggested by local areas.</w:t>
            </w:r>
          </w:p>
        </w:tc>
        <w:tc>
          <w:tcPr>
            <w:tcW w:w="1277" w:type="dxa"/>
          </w:tcPr>
          <w:p w14:paraId="319772A2" w14:textId="77777777" w:rsidR="004C7180" w:rsidRPr="00150EDC" w:rsidRDefault="004C7180">
            <w:pPr>
              <w:pStyle w:val="TableParagraph"/>
              <w:spacing w:before="0" w:line="240" w:lineRule="auto"/>
              <w:ind w:left="0"/>
            </w:pPr>
          </w:p>
          <w:p w14:paraId="1A158885" w14:textId="77777777" w:rsidR="004C7180" w:rsidRPr="00150EDC" w:rsidRDefault="004C7180">
            <w:pPr>
              <w:pStyle w:val="TableParagraph"/>
              <w:spacing w:before="0" w:line="240" w:lineRule="auto"/>
              <w:ind w:left="0"/>
            </w:pPr>
          </w:p>
          <w:p w14:paraId="47231DB9" w14:textId="77777777" w:rsidR="004C7180" w:rsidRPr="00150EDC" w:rsidRDefault="004C7180">
            <w:pPr>
              <w:pStyle w:val="TableParagraph"/>
              <w:spacing w:before="0" w:line="240" w:lineRule="auto"/>
              <w:ind w:left="0"/>
            </w:pPr>
          </w:p>
          <w:p w14:paraId="29382005" w14:textId="77777777" w:rsidR="004C7180" w:rsidRPr="00150EDC" w:rsidRDefault="004C7180">
            <w:pPr>
              <w:pStyle w:val="TableParagraph"/>
              <w:spacing w:before="0" w:line="240" w:lineRule="auto"/>
              <w:ind w:left="0"/>
              <w:rPr>
                <w:sz w:val="19"/>
              </w:rPr>
            </w:pPr>
          </w:p>
          <w:p w14:paraId="6931232D" w14:textId="77777777" w:rsidR="004C7180" w:rsidRPr="00150EDC" w:rsidRDefault="00CF0754">
            <w:pPr>
              <w:pStyle w:val="TableParagraph"/>
              <w:spacing w:before="0" w:line="240" w:lineRule="auto"/>
              <w:ind w:left="112" w:right="37"/>
              <w:rPr>
                <w:rFonts w:ascii="Calibri"/>
              </w:rPr>
            </w:pPr>
            <w:r w:rsidRPr="00150EDC">
              <w:rPr>
                <w:rFonts w:ascii="Calibri"/>
              </w:rPr>
              <w:t xml:space="preserve">To be </w:t>
            </w:r>
            <w:r w:rsidRPr="00150EDC">
              <w:rPr>
                <w:rFonts w:ascii="Calibri"/>
                <w:spacing w:val="-2"/>
              </w:rPr>
              <w:t xml:space="preserve">developed </w:t>
            </w:r>
            <w:r w:rsidRPr="00150EDC">
              <w:rPr>
                <w:rFonts w:ascii="Calibri"/>
              </w:rPr>
              <w:t>by</w:t>
            </w:r>
            <w:r w:rsidRPr="00150EDC">
              <w:rPr>
                <w:rFonts w:ascii="Calibri"/>
                <w:spacing w:val="-13"/>
              </w:rPr>
              <w:t xml:space="preserve"> </w:t>
            </w:r>
            <w:r w:rsidRPr="00150EDC">
              <w:rPr>
                <w:rFonts w:ascii="Calibri"/>
              </w:rPr>
              <w:t>a</w:t>
            </w:r>
            <w:r w:rsidRPr="00150EDC">
              <w:rPr>
                <w:rFonts w:ascii="Calibri"/>
                <w:spacing w:val="-12"/>
              </w:rPr>
              <w:t xml:space="preserve"> </w:t>
            </w:r>
            <w:r w:rsidRPr="00150EDC">
              <w:rPr>
                <w:rFonts w:ascii="Calibri"/>
              </w:rPr>
              <w:t xml:space="preserve">maths </w:t>
            </w:r>
            <w:r w:rsidRPr="00150EDC">
              <w:rPr>
                <w:rFonts w:ascii="Calibri"/>
                <w:spacing w:val="-2"/>
              </w:rPr>
              <w:t>consultant</w:t>
            </w:r>
          </w:p>
        </w:tc>
        <w:tc>
          <w:tcPr>
            <w:tcW w:w="994" w:type="dxa"/>
          </w:tcPr>
          <w:p w14:paraId="1D1F5A81" w14:textId="77777777" w:rsidR="004C7180" w:rsidRPr="00150EDC" w:rsidRDefault="004C7180">
            <w:pPr>
              <w:pStyle w:val="TableParagraph"/>
              <w:spacing w:before="0" w:line="240" w:lineRule="auto"/>
              <w:ind w:left="0"/>
            </w:pPr>
          </w:p>
          <w:p w14:paraId="56DFC294" w14:textId="77777777" w:rsidR="004C7180" w:rsidRPr="00150EDC" w:rsidRDefault="004C7180">
            <w:pPr>
              <w:pStyle w:val="TableParagraph"/>
              <w:spacing w:before="0" w:line="240" w:lineRule="auto"/>
              <w:ind w:left="0"/>
            </w:pPr>
          </w:p>
          <w:p w14:paraId="61389F0D" w14:textId="77777777" w:rsidR="004C7180" w:rsidRPr="00150EDC" w:rsidRDefault="004C7180">
            <w:pPr>
              <w:pStyle w:val="TableParagraph"/>
              <w:spacing w:before="0" w:line="240" w:lineRule="auto"/>
              <w:ind w:left="0"/>
            </w:pPr>
          </w:p>
          <w:p w14:paraId="543A9628" w14:textId="77777777" w:rsidR="004C7180" w:rsidRPr="00150EDC" w:rsidRDefault="004C7180">
            <w:pPr>
              <w:pStyle w:val="TableParagraph"/>
              <w:spacing w:before="0" w:line="240" w:lineRule="auto"/>
              <w:ind w:left="0"/>
              <w:rPr>
                <w:sz w:val="19"/>
              </w:rPr>
            </w:pPr>
          </w:p>
          <w:p w14:paraId="669F4D9A" w14:textId="77777777" w:rsidR="004C7180" w:rsidRPr="00150EDC" w:rsidRDefault="00CF0754">
            <w:pPr>
              <w:pStyle w:val="TableParagraph"/>
              <w:spacing w:before="0" w:line="240" w:lineRule="auto"/>
              <w:ind w:left="112" w:right="142"/>
              <w:rPr>
                <w:rFonts w:ascii="Calibri"/>
              </w:rPr>
            </w:pPr>
            <w:r w:rsidRPr="00150EDC">
              <w:rPr>
                <w:rFonts w:ascii="Calibri"/>
                <w:spacing w:val="-2"/>
              </w:rPr>
              <w:t>Locally Commis sioned Trial</w:t>
            </w:r>
          </w:p>
        </w:tc>
        <w:tc>
          <w:tcPr>
            <w:tcW w:w="2988" w:type="dxa"/>
          </w:tcPr>
          <w:p w14:paraId="0870FB52" w14:textId="77777777" w:rsidR="004C7180" w:rsidRPr="00150EDC" w:rsidRDefault="004C7180">
            <w:pPr>
              <w:pStyle w:val="TableParagraph"/>
              <w:spacing w:before="0" w:line="240" w:lineRule="auto"/>
              <w:ind w:left="0"/>
            </w:pPr>
          </w:p>
          <w:p w14:paraId="71661B41" w14:textId="77777777" w:rsidR="004C7180" w:rsidRPr="00150EDC" w:rsidRDefault="004C7180">
            <w:pPr>
              <w:pStyle w:val="TableParagraph"/>
              <w:spacing w:before="0" w:line="240" w:lineRule="auto"/>
              <w:ind w:left="0"/>
              <w:rPr>
                <w:sz w:val="28"/>
              </w:rPr>
            </w:pPr>
          </w:p>
          <w:p w14:paraId="75307BBB" w14:textId="77777777" w:rsidR="004C7180" w:rsidRPr="00150EDC" w:rsidRDefault="00CF0754">
            <w:pPr>
              <w:pStyle w:val="TableParagraph"/>
              <w:spacing w:before="0" w:line="240" w:lineRule="auto"/>
              <w:ind w:left="109" w:right="116"/>
              <w:rPr>
                <w:rFonts w:ascii="Calibri"/>
              </w:rPr>
            </w:pPr>
            <w:r w:rsidRPr="00150EDC">
              <w:rPr>
                <w:rFonts w:ascii="Calibri"/>
              </w:rPr>
              <w:t>- What is the difference in maths</w:t>
            </w:r>
            <w:r w:rsidRPr="00150EDC">
              <w:rPr>
                <w:rFonts w:ascii="Calibri"/>
                <w:spacing w:val="-12"/>
              </w:rPr>
              <w:t xml:space="preserve"> </w:t>
            </w:r>
            <w:r w:rsidRPr="00150EDC">
              <w:rPr>
                <w:rFonts w:ascii="Calibri"/>
              </w:rPr>
              <w:t>qualification</w:t>
            </w:r>
            <w:r w:rsidRPr="00150EDC">
              <w:rPr>
                <w:rFonts w:ascii="Calibri"/>
                <w:spacing w:val="-13"/>
              </w:rPr>
              <w:t xml:space="preserve"> </w:t>
            </w:r>
            <w:r w:rsidRPr="00150EDC">
              <w:rPr>
                <w:rFonts w:ascii="Calibri"/>
              </w:rPr>
              <w:t>pass</w:t>
            </w:r>
            <w:r w:rsidRPr="00150EDC">
              <w:rPr>
                <w:rFonts w:ascii="Calibri"/>
                <w:spacing w:val="-12"/>
              </w:rPr>
              <w:t xml:space="preserve"> </w:t>
            </w:r>
            <w:r w:rsidRPr="00150EDC">
              <w:rPr>
                <w:rFonts w:ascii="Calibri"/>
              </w:rPr>
              <w:t>rates of learners aged 19+ completing Level 2 maths courses</w:t>
            </w:r>
            <w:r w:rsidRPr="00150EDC">
              <w:rPr>
                <w:rFonts w:ascii="Calibri"/>
                <w:spacing w:val="-1"/>
              </w:rPr>
              <w:t xml:space="preserve"> </w:t>
            </w:r>
            <w:r w:rsidRPr="00150EDC">
              <w:rPr>
                <w:rFonts w:ascii="Calibri"/>
              </w:rPr>
              <w:t>are</w:t>
            </w:r>
            <w:r w:rsidRPr="00150EDC">
              <w:rPr>
                <w:rFonts w:ascii="Calibri"/>
                <w:spacing w:val="-1"/>
              </w:rPr>
              <w:t xml:space="preserve"> </w:t>
            </w:r>
            <w:r w:rsidRPr="00150EDC">
              <w:rPr>
                <w:rFonts w:ascii="Calibri"/>
              </w:rPr>
              <w:t>given homework, compared to comparable learners who are not?</w:t>
            </w:r>
          </w:p>
        </w:tc>
      </w:tr>
    </w:tbl>
    <w:p w14:paraId="1F24FAD9" w14:textId="77777777" w:rsidR="004C7180" w:rsidRPr="00150EDC" w:rsidRDefault="004C7180">
      <w:pPr>
        <w:rPr>
          <w:rFonts w:ascii="Calibri"/>
        </w:rPr>
        <w:sectPr w:rsidR="004C7180" w:rsidRPr="00150EDC">
          <w:pgSz w:w="11910" w:h="16840"/>
          <w:pgMar w:top="1160" w:right="0" w:bottom="1440" w:left="40" w:header="715" w:footer="1259" w:gutter="0"/>
          <w:cols w:space="720"/>
        </w:sectPr>
      </w:pPr>
    </w:p>
    <w:p w14:paraId="68B81F36" w14:textId="77777777" w:rsidR="004C7180" w:rsidRPr="00150EDC" w:rsidRDefault="004C7180">
      <w:pPr>
        <w:pStyle w:val="BodyText"/>
        <w:rPr>
          <w:sz w:val="20"/>
        </w:rPr>
      </w:pPr>
    </w:p>
    <w:p w14:paraId="7A924649" w14:textId="77777777" w:rsidR="004C7180" w:rsidRPr="00150EDC" w:rsidRDefault="004C7180">
      <w:pPr>
        <w:pStyle w:val="BodyText"/>
        <w:rPr>
          <w:sz w:val="20"/>
        </w:rPr>
      </w:pPr>
    </w:p>
    <w:p w14:paraId="589F5F65" w14:textId="77777777" w:rsidR="004C7180" w:rsidRPr="00150EDC" w:rsidRDefault="004C7180">
      <w:pPr>
        <w:pStyle w:val="BodyText"/>
        <w:spacing w:before="1"/>
      </w:pPr>
    </w:p>
    <w:p w14:paraId="751B8FB6" w14:textId="77777777" w:rsidR="004C7180" w:rsidRPr="00150EDC" w:rsidRDefault="00CF0754">
      <w:pPr>
        <w:pStyle w:val="BodyText"/>
        <w:spacing w:before="92"/>
        <w:ind w:left="1400"/>
      </w:pPr>
      <w:r w:rsidRPr="00150EDC">
        <w:t>Annex</w:t>
      </w:r>
      <w:r w:rsidRPr="00150EDC">
        <w:rPr>
          <w:spacing w:val="-5"/>
        </w:rPr>
        <w:t xml:space="preserve"> </w:t>
      </w:r>
      <w:r w:rsidRPr="00150EDC">
        <w:t>B</w:t>
      </w:r>
      <w:r w:rsidRPr="00150EDC">
        <w:rPr>
          <w:spacing w:val="-2"/>
        </w:rPr>
        <w:t xml:space="preserve"> </w:t>
      </w:r>
      <w:r w:rsidRPr="00150EDC">
        <w:t>Provisional</w:t>
      </w:r>
      <w:r w:rsidRPr="00150EDC">
        <w:rPr>
          <w:spacing w:val="-3"/>
        </w:rPr>
        <w:t xml:space="preserve"> </w:t>
      </w:r>
      <w:r w:rsidRPr="00150EDC">
        <w:t>Multiply</w:t>
      </w:r>
      <w:r w:rsidRPr="00150EDC">
        <w:rPr>
          <w:spacing w:val="-3"/>
        </w:rPr>
        <w:t xml:space="preserve"> </w:t>
      </w:r>
      <w:r w:rsidRPr="00150EDC">
        <w:t>RCT</w:t>
      </w:r>
      <w:r w:rsidRPr="00150EDC">
        <w:rPr>
          <w:spacing w:val="-3"/>
        </w:rPr>
        <w:t xml:space="preserve"> </w:t>
      </w:r>
      <w:r w:rsidRPr="00150EDC">
        <w:rPr>
          <w:spacing w:val="-2"/>
        </w:rPr>
        <w:t>timeline</w:t>
      </w:r>
    </w:p>
    <w:p w14:paraId="3D653A25" w14:textId="77777777" w:rsidR="004C7180" w:rsidRPr="00150EDC" w:rsidRDefault="004C7180">
      <w:pPr>
        <w:pStyle w:val="BodyText"/>
        <w:rPr>
          <w:sz w:val="20"/>
        </w:rPr>
      </w:pPr>
    </w:p>
    <w:p w14:paraId="6F746F30" w14:textId="77777777" w:rsidR="004C7180" w:rsidRPr="00150EDC" w:rsidRDefault="00CF0754">
      <w:pPr>
        <w:pStyle w:val="BodyText"/>
        <w:spacing w:before="3"/>
        <w:rPr>
          <w:sz w:val="29"/>
        </w:rPr>
      </w:pPr>
      <w:r w:rsidRPr="00150EDC">
        <w:rPr>
          <w:noProof/>
          <w:lang w:val="en-GB" w:eastAsia="en-GB"/>
        </w:rPr>
        <w:drawing>
          <wp:anchor distT="0" distB="0" distL="0" distR="0" simplePos="0" relativeHeight="251658284" behindDoc="1" locked="0" layoutInCell="1" allowOverlap="1" wp14:anchorId="1EE280EE" wp14:editId="7278F9E2">
            <wp:simplePos x="0" y="0"/>
            <wp:positionH relativeFrom="page">
              <wp:posOffset>914400</wp:posOffset>
            </wp:positionH>
            <wp:positionV relativeFrom="paragraph">
              <wp:posOffset>229109</wp:posOffset>
            </wp:positionV>
            <wp:extent cx="5659461" cy="2856166"/>
            <wp:effectExtent l="0" t="0" r="0" b="0"/>
            <wp:wrapTopAndBottom/>
            <wp:docPr id="283" name="Picture 283" descr="A screenshot of a computer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3" name="Image 283" descr="A screenshot of a computer  Description automatically generated "/>
                    <pic:cNvPicPr/>
                  </pic:nvPicPr>
                  <pic:blipFill>
                    <a:blip r:embed="rId119" cstate="print"/>
                    <a:stretch>
                      <a:fillRect/>
                    </a:stretch>
                  </pic:blipFill>
                  <pic:spPr>
                    <a:xfrm>
                      <a:off x="0" y="0"/>
                      <a:ext cx="5659461" cy="2856166"/>
                    </a:xfrm>
                    <a:prstGeom prst="rect">
                      <a:avLst/>
                    </a:prstGeom>
                  </pic:spPr>
                </pic:pic>
              </a:graphicData>
            </a:graphic>
          </wp:anchor>
        </w:drawing>
      </w:r>
    </w:p>
    <w:p w14:paraId="7F7681FD" w14:textId="77777777" w:rsidR="004C7180" w:rsidRPr="00150EDC" w:rsidRDefault="004C7180">
      <w:pPr>
        <w:rPr>
          <w:sz w:val="29"/>
        </w:rPr>
      </w:pPr>
    </w:p>
    <w:p w14:paraId="5C6CCBA0" w14:textId="77777777" w:rsidR="00C175F8" w:rsidRPr="00150EDC" w:rsidRDefault="00C175F8">
      <w:pPr>
        <w:rPr>
          <w:sz w:val="29"/>
        </w:rPr>
        <w:sectPr w:rsidR="00C175F8" w:rsidRPr="00150EDC">
          <w:pgSz w:w="11910" w:h="16840"/>
          <w:pgMar w:top="1160" w:right="0" w:bottom="1440" w:left="40" w:header="715" w:footer="1259" w:gutter="0"/>
          <w:cols w:space="720"/>
        </w:sectPr>
      </w:pPr>
    </w:p>
    <w:p w14:paraId="5DDCEEEF" w14:textId="77777777" w:rsidR="001D6B22" w:rsidRPr="00150EDC" w:rsidRDefault="001D6B22">
      <w:pPr>
        <w:rPr>
          <w:sz w:val="29"/>
        </w:rPr>
      </w:pPr>
    </w:p>
    <w:p w14:paraId="45CDFF1D" w14:textId="019D9935" w:rsidR="001D6B22" w:rsidRPr="00150EDC" w:rsidRDefault="001D6B22">
      <w:pPr>
        <w:rPr>
          <w:sz w:val="29"/>
        </w:rPr>
      </w:pPr>
    </w:p>
    <w:p w14:paraId="477D647F" w14:textId="77777777" w:rsidR="001D6B22" w:rsidRPr="00150EDC" w:rsidRDefault="001D6B22" w:rsidP="00864244">
      <w:pPr>
        <w:pStyle w:val="Heading1"/>
      </w:pPr>
      <w:r w:rsidRPr="00150EDC">
        <w:t xml:space="preserve">Order Schedule 18 (Background Checks) </w:t>
      </w:r>
    </w:p>
    <w:p w14:paraId="30853634" w14:textId="77777777" w:rsidR="001D6B22" w:rsidRPr="007D3144" w:rsidRDefault="001D6B22" w:rsidP="00B320C7">
      <w:pPr>
        <w:keepNext/>
        <w:widowControl/>
        <w:numPr>
          <w:ilvl w:val="0"/>
          <w:numId w:val="185"/>
        </w:numPr>
        <w:pBdr>
          <w:top w:val="nil"/>
          <w:left w:val="nil"/>
          <w:bottom w:val="nil"/>
          <w:right w:val="nil"/>
          <w:between w:val="nil"/>
        </w:pBdr>
        <w:tabs>
          <w:tab w:val="left" w:pos="142"/>
        </w:tabs>
        <w:autoSpaceDE/>
        <w:autoSpaceDN/>
        <w:spacing w:before="240" w:after="120"/>
        <w:rPr>
          <w:rFonts w:ascii="Arial Bold" w:eastAsia="Arial Bold" w:hAnsi="Arial Bold" w:cs="Arial Bold"/>
          <w:b/>
          <w:sz w:val="24"/>
          <w:szCs w:val="24"/>
        </w:rPr>
      </w:pPr>
      <w:r w:rsidRPr="007D3144">
        <w:rPr>
          <w:rFonts w:ascii="Arial Bold" w:eastAsia="Arial Bold" w:hAnsi="Arial Bold" w:cs="Arial Bold"/>
          <w:b/>
          <w:sz w:val="24"/>
          <w:szCs w:val="24"/>
        </w:rPr>
        <w:t>When you should use this Schedule</w:t>
      </w:r>
    </w:p>
    <w:p w14:paraId="017D291C" w14:textId="77777777" w:rsidR="001D6B22" w:rsidRPr="00150EDC" w:rsidRDefault="001D6B22" w:rsidP="00671EB5">
      <w:pPr>
        <w:ind w:left="720"/>
        <w:rPr>
          <w:sz w:val="24"/>
          <w:szCs w:val="24"/>
        </w:rPr>
      </w:pPr>
      <w:r w:rsidRPr="00150EDC">
        <w:rPr>
          <w:sz w:val="24"/>
          <w:szCs w:val="24"/>
        </w:rPr>
        <w:t xml:space="preserve">This Schedule should be used where Supplier Staff must be vetted before working on the Contract. </w:t>
      </w:r>
    </w:p>
    <w:p w14:paraId="399EBDD6" w14:textId="77777777" w:rsidR="001D6B22" w:rsidRPr="007D3144" w:rsidRDefault="001D6B22" w:rsidP="00B320C7">
      <w:pPr>
        <w:keepNext/>
        <w:widowControl/>
        <w:numPr>
          <w:ilvl w:val="0"/>
          <w:numId w:val="185"/>
        </w:numPr>
        <w:pBdr>
          <w:top w:val="nil"/>
          <w:left w:val="nil"/>
          <w:bottom w:val="nil"/>
          <w:right w:val="nil"/>
          <w:between w:val="nil"/>
        </w:pBdr>
        <w:tabs>
          <w:tab w:val="left" w:pos="142"/>
        </w:tabs>
        <w:autoSpaceDE/>
        <w:autoSpaceDN/>
        <w:spacing w:before="240" w:after="120"/>
        <w:rPr>
          <w:b/>
          <w:smallCaps/>
          <w:sz w:val="24"/>
          <w:szCs w:val="24"/>
        </w:rPr>
      </w:pPr>
      <w:bookmarkStart w:id="106" w:name="_gjdgxs"/>
      <w:bookmarkEnd w:id="106"/>
      <w:r w:rsidRPr="007D3144">
        <w:rPr>
          <w:rFonts w:ascii="Arial Bold" w:eastAsia="Arial Bold" w:hAnsi="Arial Bold" w:cs="Arial Bold"/>
          <w:b/>
          <w:sz w:val="24"/>
          <w:szCs w:val="24"/>
        </w:rPr>
        <w:t>Definitions</w:t>
      </w:r>
    </w:p>
    <w:p w14:paraId="19E58A18" w14:textId="77777777" w:rsidR="001D6B22" w:rsidRPr="00150EDC" w:rsidRDefault="001D6B22" w:rsidP="00C175F8">
      <w:pPr>
        <w:ind w:left="720"/>
        <w:rPr>
          <w:sz w:val="24"/>
          <w:szCs w:val="24"/>
        </w:rPr>
      </w:pPr>
      <w:r w:rsidRPr="00150EDC">
        <w:rPr>
          <w:b/>
          <w:sz w:val="24"/>
          <w:szCs w:val="24"/>
        </w:rPr>
        <w:t>“Relevant Conviction”</w:t>
      </w:r>
      <w:r w:rsidRPr="00150EDC">
        <w:rPr>
          <w:sz w:val="24"/>
          <w:szCs w:val="24"/>
        </w:rPr>
        <w:t xml:space="preserve"> means any conviction listed in Annex 1 to this Schedule. </w:t>
      </w:r>
    </w:p>
    <w:p w14:paraId="15EF8760" w14:textId="77777777" w:rsidR="001D6B22" w:rsidRPr="007D3144" w:rsidRDefault="001D6B22" w:rsidP="00B320C7">
      <w:pPr>
        <w:widowControl/>
        <w:numPr>
          <w:ilvl w:val="0"/>
          <w:numId w:val="185"/>
        </w:numPr>
        <w:pBdr>
          <w:top w:val="nil"/>
          <w:left w:val="nil"/>
          <w:bottom w:val="nil"/>
          <w:right w:val="nil"/>
          <w:between w:val="nil"/>
        </w:pBdr>
        <w:tabs>
          <w:tab w:val="left" w:pos="142"/>
        </w:tabs>
        <w:autoSpaceDE/>
        <w:autoSpaceDN/>
        <w:spacing w:before="240" w:after="120"/>
        <w:rPr>
          <w:rFonts w:ascii="Arial Bold" w:eastAsia="Arial Bold" w:hAnsi="Arial Bold" w:cs="Arial Bold"/>
          <w:b/>
          <w:sz w:val="24"/>
          <w:szCs w:val="24"/>
        </w:rPr>
      </w:pPr>
      <w:r w:rsidRPr="007D3144">
        <w:rPr>
          <w:rFonts w:ascii="Arial Bold" w:eastAsia="Arial Bold" w:hAnsi="Arial Bold" w:cs="Arial Bold"/>
          <w:b/>
          <w:sz w:val="24"/>
          <w:szCs w:val="24"/>
        </w:rPr>
        <w:t>Relevant Convictions</w:t>
      </w:r>
    </w:p>
    <w:p w14:paraId="21291A62" w14:textId="77777777" w:rsidR="001D6B22" w:rsidRPr="007D3144" w:rsidRDefault="001D6B22" w:rsidP="00B320C7">
      <w:pPr>
        <w:widowControl/>
        <w:numPr>
          <w:ilvl w:val="1"/>
          <w:numId w:val="185"/>
        </w:numPr>
        <w:pBdr>
          <w:top w:val="nil"/>
          <w:left w:val="nil"/>
          <w:bottom w:val="nil"/>
          <w:right w:val="nil"/>
          <w:between w:val="nil"/>
        </w:pBdr>
        <w:autoSpaceDE/>
        <w:autoSpaceDN/>
        <w:spacing w:before="120" w:after="120"/>
        <w:rPr>
          <w:sz w:val="24"/>
          <w:szCs w:val="24"/>
        </w:rPr>
      </w:pPr>
      <w:bookmarkStart w:id="107" w:name="_30j0zll"/>
      <w:bookmarkEnd w:id="107"/>
      <w:r w:rsidRPr="007D3144">
        <w:rPr>
          <w:sz w:val="24"/>
          <w:szCs w:val="24"/>
        </w:rPr>
        <w:t>The Supplier must ensure that no person who discloses that they have a Relevant Conviction, or a person who is found to have any Relevant Convictions (whether as a result of a police check or through the procedure of the Disclosure and Barring Service (DBS) or otherwise), is employed or engaged in any part of the provision of the Deliverables without Approval.</w:t>
      </w:r>
    </w:p>
    <w:p w14:paraId="40E5F765" w14:textId="77777777" w:rsidR="001D6B22" w:rsidRPr="007D3144" w:rsidRDefault="001D6B22" w:rsidP="00B320C7">
      <w:pPr>
        <w:widowControl/>
        <w:numPr>
          <w:ilvl w:val="1"/>
          <w:numId w:val="185"/>
        </w:numPr>
        <w:pBdr>
          <w:top w:val="nil"/>
          <w:left w:val="nil"/>
          <w:bottom w:val="nil"/>
          <w:right w:val="nil"/>
          <w:between w:val="nil"/>
        </w:pBdr>
        <w:autoSpaceDE/>
        <w:autoSpaceDN/>
        <w:spacing w:before="120" w:after="120"/>
        <w:rPr>
          <w:sz w:val="24"/>
          <w:szCs w:val="24"/>
        </w:rPr>
      </w:pPr>
      <w:r w:rsidRPr="007D3144">
        <w:rPr>
          <w:sz w:val="24"/>
          <w:szCs w:val="24"/>
        </w:rPr>
        <w:t>Notwithstanding Paragraph 3.1 for each member of Supplier Staff who, in providing the Deliverables, has, will have or is likely to have access to children, vulnerable persons or other members of the public to whom the Buyer owes a special duty of care, the Supplier must (and shall procure that the relevant Sub-Contractor must):</w:t>
      </w:r>
    </w:p>
    <w:p w14:paraId="5150B6B5" w14:textId="77777777" w:rsidR="001D6B22" w:rsidRPr="007D3144" w:rsidRDefault="001D6B22" w:rsidP="00B320C7">
      <w:pPr>
        <w:widowControl/>
        <w:numPr>
          <w:ilvl w:val="3"/>
          <w:numId w:val="185"/>
        </w:numPr>
        <w:pBdr>
          <w:top w:val="nil"/>
          <w:left w:val="nil"/>
          <w:bottom w:val="nil"/>
          <w:right w:val="nil"/>
          <w:between w:val="nil"/>
        </w:pBdr>
        <w:tabs>
          <w:tab w:val="left" w:pos="1134"/>
        </w:tabs>
        <w:autoSpaceDE/>
        <w:autoSpaceDN/>
        <w:spacing w:before="120" w:after="120"/>
        <w:ind w:left="2835" w:hanging="708"/>
        <w:rPr>
          <w:sz w:val="24"/>
          <w:szCs w:val="24"/>
        </w:rPr>
      </w:pPr>
      <w:r w:rsidRPr="007D3144">
        <w:rPr>
          <w:sz w:val="24"/>
          <w:szCs w:val="24"/>
        </w:rPr>
        <w:t>carry out a check with the records held by the Department for Education (DfE);</w:t>
      </w:r>
    </w:p>
    <w:p w14:paraId="207E0F81" w14:textId="77777777" w:rsidR="001D6B22" w:rsidRPr="007D3144" w:rsidRDefault="001D6B22" w:rsidP="00B320C7">
      <w:pPr>
        <w:widowControl/>
        <w:numPr>
          <w:ilvl w:val="3"/>
          <w:numId w:val="185"/>
        </w:numPr>
        <w:pBdr>
          <w:top w:val="nil"/>
          <w:left w:val="nil"/>
          <w:bottom w:val="nil"/>
          <w:right w:val="nil"/>
          <w:between w:val="nil"/>
        </w:pBdr>
        <w:tabs>
          <w:tab w:val="left" w:pos="1134"/>
        </w:tabs>
        <w:autoSpaceDE/>
        <w:autoSpaceDN/>
        <w:spacing w:before="120" w:after="120"/>
        <w:ind w:left="2835" w:hanging="708"/>
        <w:rPr>
          <w:sz w:val="24"/>
          <w:szCs w:val="24"/>
        </w:rPr>
      </w:pPr>
      <w:r w:rsidRPr="007D3144">
        <w:rPr>
          <w:sz w:val="24"/>
          <w:szCs w:val="24"/>
        </w:rPr>
        <w:t>conduct thorough questioning regarding any Relevant Convictions; and</w:t>
      </w:r>
    </w:p>
    <w:p w14:paraId="1F2581DC" w14:textId="77777777" w:rsidR="001D6B22" w:rsidRPr="007D3144" w:rsidRDefault="001D6B22" w:rsidP="00B320C7">
      <w:pPr>
        <w:widowControl/>
        <w:numPr>
          <w:ilvl w:val="3"/>
          <w:numId w:val="185"/>
        </w:numPr>
        <w:pBdr>
          <w:top w:val="nil"/>
          <w:left w:val="nil"/>
          <w:bottom w:val="nil"/>
          <w:right w:val="nil"/>
          <w:between w:val="nil"/>
        </w:pBdr>
        <w:tabs>
          <w:tab w:val="left" w:pos="1134"/>
        </w:tabs>
        <w:autoSpaceDE/>
        <w:autoSpaceDN/>
        <w:spacing w:before="120" w:after="120"/>
        <w:ind w:left="2835" w:hanging="708"/>
        <w:rPr>
          <w:sz w:val="24"/>
          <w:szCs w:val="24"/>
        </w:rPr>
      </w:pPr>
      <w:r w:rsidRPr="007D3144">
        <w:rPr>
          <w:sz w:val="24"/>
          <w:szCs w:val="24"/>
        </w:rPr>
        <w:t>ensure a police check is completed and such other checks as may be carried out through the Disclosure and Barring Service (DBS),</w:t>
      </w:r>
    </w:p>
    <w:p w14:paraId="7CF39F06" w14:textId="77777777" w:rsidR="001D6B22" w:rsidRPr="007D3144" w:rsidRDefault="001D6B22" w:rsidP="00671EB5">
      <w:pPr>
        <w:pBdr>
          <w:top w:val="nil"/>
          <w:left w:val="nil"/>
          <w:bottom w:val="nil"/>
          <w:right w:val="nil"/>
          <w:between w:val="nil"/>
        </w:pBdr>
        <w:tabs>
          <w:tab w:val="left" w:pos="2127"/>
        </w:tabs>
        <w:spacing w:before="120" w:after="120"/>
        <w:ind w:left="2847" w:hanging="2127"/>
        <w:rPr>
          <w:sz w:val="24"/>
          <w:szCs w:val="24"/>
        </w:rPr>
      </w:pPr>
      <w:r w:rsidRPr="007D3144">
        <w:rPr>
          <w:sz w:val="24"/>
          <w:szCs w:val="24"/>
        </w:rPr>
        <w:t>and the Supplier shall not (and shall ensure that any Sub-Contractor shall not) engage or continue to employ in the provision of the Deliverables any person who has a Relevant Conviction or an inappropriate record.</w:t>
      </w:r>
    </w:p>
    <w:p w14:paraId="29289BAC" w14:textId="77777777" w:rsidR="001D6B22" w:rsidRPr="00150EDC" w:rsidRDefault="001D6B22" w:rsidP="001D6B22">
      <w:pPr>
        <w:rPr>
          <w:b/>
          <w:smallCaps/>
          <w:sz w:val="20"/>
          <w:szCs w:val="20"/>
        </w:rPr>
      </w:pPr>
      <w:bookmarkStart w:id="108" w:name="_1fob9te"/>
      <w:bookmarkEnd w:id="108"/>
      <w:r w:rsidRPr="00150EDC">
        <w:br w:type="page"/>
      </w:r>
    </w:p>
    <w:p w14:paraId="15E8DDF1" w14:textId="77777777" w:rsidR="001D6B22" w:rsidRPr="00150EDC" w:rsidRDefault="001D6B22" w:rsidP="001D6B22">
      <w:pPr>
        <w:keepNext/>
        <w:rPr>
          <w:b/>
          <w:sz w:val="36"/>
          <w:szCs w:val="36"/>
        </w:rPr>
      </w:pPr>
    </w:p>
    <w:p w14:paraId="219732D4" w14:textId="77777777" w:rsidR="001D6B22" w:rsidRPr="00150EDC" w:rsidRDefault="001D6B22" w:rsidP="00864244">
      <w:pPr>
        <w:pStyle w:val="Heading1"/>
      </w:pPr>
      <w:r w:rsidRPr="00150EDC">
        <w:t>Annex 1 – Relevant Convictions</w:t>
      </w:r>
    </w:p>
    <w:p w14:paraId="4085C569" w14:textId="77777777" w:rsidR="001D6B22" w:rsidRPr="00150EDC" w:rsidRDefault="001D6B22" w:rsidP="001D6B22">
      <w:pPr>
        <w:rPr>
          <w:sz w:val="24"/>
          <w:szCs w:val="24"/>
        </w:rPr>
      </w:pPr>
    </w:p>
    <w:p w14:paraId="5104EDC2" w14:textId="77777777" w:rsidR="004C7180" w:rsidRPr="00150EDC" w:rsidRDefault="004C7180">
      <w:pPr>
        <w:rPr>
          <w:sz w:val="29"/>
        </w:rPr>
        <w:sectPr w:rsidR="004C7180" w:rsidRPr="00150EDC">
          <w:headerReference w:type="default" r:id="rId120"/>
          <w:pgSz w:w="11910" w:h="16840"/>
          <w:pgMar w:top="1160" w:right="0" w:bottom="1440" w:left="40" w:header="715" w:footer="1259" w:gutter="0"/>
          <w:cols w:space="720"/>
        </w:sectPr>
      </w:pPr>
    </w:p>
    <w:p w14:paraId="3559B05D" w14:textId="77777777" w:rsidR="004C7180" w:rsidRPr="00150EDC" w:rsidRDefault="004C7180">
      <w:pPr>
        <w:pStyle w:val="BodyText"/>
        <w:spacing w:before="3"/>
        <w:rPr>
          <w:sz w:val="8"/>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517"/>
        <w:gridCol w:w="7427"/>
      </w:tblGrid>
      <w:tr w:rsidR="004569EE" w:rsidRPr="007D3144" w14:paraId="6A2BA92B" w14:textId="77777777">
        <w:trPr>
          <w:trHeight w:val="405"/>
        </w:trPr>
        <w:tc>
          <w:tcPr>
            <w:tcW w:w="6517" w:type="dxa"/>
            <w:shd w:val="clear" w:color="auto" w:fill="FFC000"/>
          </w:tcPr>
          <w:p w14:paraId="4CCFB9D9" w14:textId="77777777" w:rsidR="004C7180" w:rsidRPr="00150EDC" w:rsidRDefault="00CF0754">
            <w:pPr>
              <w:pStyle w:val="TableParagraph"/>
              <w:spacing w:before="0" w:line="319" w:lineRule="exact"/>
              <w:rPr>
                <w:b/>
                <w:sz w:val="28"/>
              </w:rPr>
            </w:pPr>
            <w:r w:rsidRPr="00150EDC">
              <w:rPr>
                <w:b/>
                <w:sz w:val="28"/>
              </w:rPr>
              <w:t>Legislation</w:t>
            </w:r>
            <w:r w:rsidRPr="00150EDC">
              <w:rPr>
                <w:b/>
                <w:spacing w:val="-4"/>
                <w:sz w:val="28"/>
              </w:rPr>
              <w:t xml:space="preserve"> </w:t>
            </w:r>
            <w:r w:rsidRPr="00150EDC">
              <w:rPr>
                <w:b/>
                <w:sz w:val="28"/>
              </w:rPr>
              <w:t>(where</w:t>
            </w:r>
            <w:r w:rsidRPr="00150EDC">
              <w:rPr>
                <w:b/>
                <w:spacing w:val="-2"/>
                <w:sz w:val="28"/>
              </w:rPr>
              <w:t xml:space="preserve"> applicable)</w:t>
            </w:r>
          </w:p>
        </w:tc>
        <w:tc>
          <w:tcPr>
            <w:tcW w:w="7427" w:type="dxa"/>
            <w:shd w:val="clear" w:color="auto" w:fill="FFC000"/>
          </w:tcPr>
          <w:p w14:paraId="5819A068" w14:textId="77777777" w:rsidR="004C7180" w:rsidRPr="00150EDC" w:rsidRDefault="00CF0754">
            <w:pPr>
              <w:pStyle w:val="TableParagraph"/>
              <w:spacing w:before="0" w:line="319" w:lineRule="exact"/>
              <w:rPr>
                <w:b/>
                <w:sz w:val="28"/>
              </w:rPr>
            </w:pPr>
            <w:r w:rsidRPr="00150EDC">
              <w:rPr>
                <w:b/>
                <w:sz w:val="28"/>
              </w:rPr>
              <w:t>Description</w:t>
            </w:r>
            <w:r w:rsidRPr="00150EDC">
              <w:rPr>
                <w:b/>
                <w:spacing w:val="-5"/>
                <w:sz w:val="28"/>
              </w:rPr>
              <w:t xml:space="preserve"> </w:t>
            </w:r>
            <w:r w:rsidRPr="00150EDC">
              <w:rPr>
                <w:b/>
                <w:sz w:val="28"/>
              </w:rPr>
              <w:t>of</w:t>
            </w:r>
            <w:r w:rsidRPr="00150EDC">
              <w:rPr>
                <w:b/>
                <w:spacing w:val="-2"/>
                <w:sz w:val="28"/>
              </w:rPr>
              <w:t xml:space="preserve"> Offence</w:t>
            </w:r>
          </w:p>
        </w:tc>
      </w:tr>
      <w:tr w:rsidR="004569EE" w:rsidRPr="007D3144" w14:paraId="29EF16DA" w14:textId="77777777">
        <w:trPr>
          <w:trHeight w:val="255"/>
        </w:trPr>
        <w:tc>
          <w:tcPr>
            <w:tcW w:w="6517" w:type="dxa"/>
          </w:tcPr>
          <w:p w14:paraId="2805CC56" w14:textId="77777777" w:rsidR="004C7180" w:rsidRPr="00150EDC" w:rsidRDefault="004C7180">
            <w:pPr>
              <w:pStyle w:val="TableParagraph"/>
              <w:spacing w:before="0" w:line="240" w:lineRule="auto"/>
              <w:ind w:left="0"/>
              <w:rPr>
                <w:rFonts w:ascii="Times New Roman"/>
                <w:sz w:val="18"/>
              </w:rPr>
            </w:pPr>
          </w:p>
        </w:tc>
        <w:tc>
          <w:tcPr>
            <w:tcW w:w="7427" w:type="dxa"/>
          </w:tcPr>
          <w:p w14:paraId="017CC06F" w14:textId="77777777" w:rsidR="004C7180" w:rsidRPr="00150EDC" w:rsidRDefault="00CF0754">
            <w:pPr>
              <w:pStyle w:val="TableParagraph"/>
              <w:rPr>
                <w:sz w:val="20"/>
              </w:rPr>
            </w:pPr>
            <w:r w:rsidRPr="00150EDC">
              <w:rPr>
                <w:sz w:val="20"/>
              </w:rPr>
              <w:t>Any</w:t>
            </w:r>
            <w:r w:rsidRPr="00150EDC">
              <w:rPr>
                <w:spacing w:val="-7"/>
                <w:sz w:val="20"/>
              </w:rPr>
              <w:t xml:space="preserve"> </w:t>
            </w:r>
            <w:r w:rsidRPr="00150EDC">
              <w:rPr>
                <w:sz w:val="20"/>
              </w:rPr>
              <w:t>offence</w:t>
            </w:r>
            <w:r w:rsidRPr="00150EDC">
              <w:rPr>
                <w:spacing w:val="-5"/>
                <w:sz w:val="20"/>
              </w:rPr>
              <w:t xml:space="preserve"> </w:t>
            </w:r>
            <w:r w:rsidRPr="00150EDC">
              <w:rPr>
                <w:sz w:val="20"/>
              </w:rPr>
              <w:t>involving</w:t>
            </w:r>
            <w:r w:rsidRPr="00150EDC">
              <w:rPr>
                <w:spacing w:val="-5"/>
                <w:sz w:val="20"/>
              </w:rPr>
              <w:t xml:space="preserve"> </w:t>
            </w:r>
            <w:r w:rsidRPr="00150EDC">
              <w:rPr>
                <w:sz w:val="20"/>
              </w:rPr>
              <w:t>mental</w:t>
            </w:r>
            <w:r w:rsidRPr="00150EDC">
              <w:rPr>
                <w:spacing w:val="1"/>
                <w:sz w:val="20"/>
              </w:rPr>
              <w:t xml:space="preserve"> </w:t>
            </w:r>
            <w:r w:rsidRPr="00150EDC">
              <w:rPr>
                <w:sz w:val="20"/>
              </w:rPr>
              <w:t>or</w:t>
            </w:r>
            <w:r w:rsidRPr="00150EDC">
              <w:rPr>
                <w:spacing w:val="-5"/>
                <w:sz w:val="20"/>
              </w:rPr>
              <w:t xml:space="preserve"> </w:t>
            </w:r>
            <w:r w:rsidRPr="00150EDC">
              <w:rPr>
                <w:sz w:val="20"/>
              </w:rPr>
              <w:t>bodily</w:t>
            </w:r>
            <w:r w:rsidRPr="00150EDC">
              <w:rPr>
                <w:spacing w:val="-4"/>
                <w:sz w:val="20"/>
              </w:rPr>
              <w:t xml:space="preserve"> </w:t>
            </w:r>
            <w:r w:rsidRPr="00150EDC">
              <w:rPr>
                <w:sz w:val="20"/>
              </w:rPr>
              <w:t>injury</w:t>
            </w:r>
            <w:r w:rsidRPr="00150EDC">
              <w:rPr>
                <w:spacing w:val="-4"/>
                <w:sz w:val="20"/>
              </w:rPr>
              <w:t xml:space="preserve"> </w:t>
            </w:r>
            <w:r w:rsidRPr="00150EDC">
              <w:rPr>
                <w:sz w:val="20"/>
              </w:rPr>
              <w:t>to</w:t>
            </w:r>
            <w:r w:rsidRPr="00150EDC">
              <w:rPr>
                <w:spacing w:val="-5"/>
                <w:sz w:val="20"/>
              </w:rPr>
              <w:t xml:space="preserve"> </w:t>
            </w:r>
            <w:r w:rsidRPr="00150EDC">
              <w:rPr>
                <w:sz w:val="20"/>
              </w:rPr>
              <w:t>a</w:t>
            </w:r>
            <w:r w:rsidRPr="00150EDC">
              <w:rPr>
                <w:spacing w:val="-5"/>
                <w:sz w:val="20"/>
              </w:rPr>
              <w:t xml:space="preserve"> </w:t>
            </w:r>
            <w:r w:rsidRPr="00150EDC">
              <w:rPr>
                <w:sz w:val="20"/>
              </w:rPr>
              <w:t>child or</w:t>
            </w:r>
            <w:r w:rsidRPr="00150EDC">
              <w:rPr>
                <w:spacing w:val="-1"/>
                <w:sz w:val="20"/>
              </w:rPr>
              <w:t xml:space="preserve"> </w:t>
            </w:r>
            <w:r w:rsidRPr="00150EDC">
              <w:rPr>
                <w:sz w:val="20"/>
              </w:rPr>
              <w:t>young</w:t>
            </w:r>
            <w:r w:rsidRPr="00150EDC">
              <w:rPr>
                <w:spacing w:val="-5"/>
                <w:sz w:val="20"/>
              </w:rPr>
              <w:t xml:space="preserve"> </w:t>
            </w:r>
            <w:r w:rsidRPr="00150EDC">
              <w:rPr>
                <w:spacing w:val="-2"/>
                <w:sz w:val="20"/>
              </w:rPr>
              <w:t>person</w:t>
            </w:r>
          </w:p>
        </w:tc>
      </w:tr>
      <w:tr w:rsidR="004569EE" w:rsidRPr="007D3144" w14:paraId="34BD6FA1" w14:textId="77777777">
        <w:trPr>
          <w:trHeight w:val="460"/>
        </w:trPr>
        <w:tc>
          <w:tcPr>
            <w:tcW w:w="6517" w:type="dxa"/>
          </w:tcPr>
          <w:p w14:paraId="544C6956" w14:textId="77777777" w:rsidR="004C7180" w:rsidRPr="00150EDC" w:rsidRDefault="004C7180">
            <w:pPr>
              <w:pStyle w:val="TableParagraph"/>
              <w:spacing w:before="0" w:line="240" w:lineRule="auto"/>
              <w:ind w:left="0"/>
              <w:rPr>
                <w:rFonts w:ascii="Times New Roman"/>
                <w:sz w:val="20"/>
              </w:rPr>
            </w:pPr>
          </w:p>
        </w:tc>
        <w:tc>
          <w:tcPr>
            <w:tcW w:w="7427" w:type="dxa"/>
          </w:tcPr>
          <w:p w14:paraId="1271D9CE" w14:textId="77777777" w:rsidR="004C7180" w:rsidRPr="00150EDC" w:rsidRDefault="00CF0754">
            <w:pPr>
              <w:pStyle w:val="TableParagraph"/>
              <w:spacing w:before="0" w:line="230" w:lineRule="atLeast"/>
              <w:rPr>
                <w:sz w:val="20"/>
              </w:rPr>
            </w:pPr>
            <w:r w:rsidRPr="00150EDC">
              <w:rPr>
                <w:sz w:val="20"/>
              </w:rPr>
              <w:t>Any</w:t>
            </w:r>
            <w:r w:rsidRPr="00150EDC">
              <w:rPr>
                <w:spacing w:val="-4"/>
                <w:sz w:val="20"/>
              </w:rPr>
              <w:t xml:space="preserve"> </w:t>
            </w:r>
            <w:r w:rsidRPr="00150EDC">
              <w:rPr>
                <w:sz w:val="20"/>
              </w:rPr>
              <w:t>offence</w:t>
            </w:r>
            <w:r w:rsidRPr="00150EDC">
              <w:rPr>
                <w:spacing w:val="-5"/>
                <w:sz w:val="20"/>
              </w:rPr>
              <w:t xml:space="preserve"> </w:t>
            </w:r>
            <w:r w:rsidRPr="00150EDC">
              <w:rPr>
                <w:sz w:val="20"/>
              </w:rPr>
              <w:t>involving</w:t>
            </w:r>
            <w:r w:rsidRPr="00150EDC">
              <w:rPr>
                <w:spacing w:val="-5"/>
                <w:sz w:val="20"/>
              </w:rPr>
              <w:t xml:space="preserve"> </w:t>
            </w:r>
            <w:r w:rsidRPr="00150EDC">
              <w:rPr>
                <w:sz w:val="20"/>
              </w:rPr>
              <w:t>the</w:t>
            </w:r>
            <w:r w:rsidRPr="00150EDC">
              <w:rPr>
                <w:spacing w:val="-5"/>
                <w:sz w:val="20"/>
              </w:rPr>
              <w:t xml:space="preserve"> </w:t>
            </w:r>
            <w:r w:rsidRPr="00150EDC">
              <w:rPr>
                <w:sz w:val="20"/>
              </w:rPr>
              <w:t>use of</w:t>
            </w:r>
            <w:r w:rsidRPr="00150EDC">
              <w:rPr>
                <w:spacing w:val="-5"/>
                <w:sz w:val="20"/>
              </w:rPr>
              <w:t xml:space="preserve"> </w:t>
            </w:r>
            <w:r w:rsidRPr="00150EDC">
              <w:rPr>
                <w:sz w:val="20"/>
              </w:rPr>
              <w:t>lewd,</w:t>
            </w:r>
            <w:r w:rsidRPr="00150EDC">
              <w:rPr>
                <w:spacing w:val="-5"/>
                <w:sz w:val="20"/>
              </w:rPr>
              <w:t xml:space="preserve"> </w:t>
            </w:r>
            <w:r w:rsidRPr="00150EDC">
              <w:rPr>
                <w:sz w:val="20"/>
              </w:rPr>
              <w:t>indecent</w:t>
            </w:r>
            <w:r w:rsidRPr="00150EDC">
              <w:rPr>
                <w:spacing w:val="-5"/>
                <w:sz w:val="20"/>
              </w:rPr>
              <w:t xml:space="preserve"> </w:t>
            </w:r>
            <w:r w:rsidRPr="00150EDC">
              <w:rPr>
                <w:sz w:val="20"/>
              </w:rPr>
              <w:t>or</w:t>
            </w:r>
            <w:r w:rsidRPr="00150EDC">
              <w:rPr>
                <w:spacing w:val="-5"/>
                <w:sz w:val="20"/>
              </w:rPr>
              <w:t xml:space="preserve"> </w:t>
            </w:r>
            <w:r w:rsidRPr="00150EDC">
              <w:rPr>
                <w:sz w:val="20"/>
              </w:rPr>
              <w:t>libidinous</w:t>
            </w:r>
            <w:r w:rsidRPr="00150EDC">
              <w:rPr>
                <w:spacing w:val="-4"/>
                <w:sz w:val="20"/>
              </w:rPr>
              <w:t xml:space="preserve"> </w:t>
            </w:r>
            <w:r w:rsidRPr="00150EDC">
              <w:rPr>
                <w:sz w:val="20"/>
              </w:rPr>
              <w:t>practice or</w:t>
            </w:r>
            <w:r w:rsidRPr="00150EDC">
              <w:rPr>
                <w:spacing w:val="-5"/>
                <w:sz w:val="20"/>
              </w:rPr>
              <w:t xml:space="preserve"> </w:t>
            </w:r>
            <w:r w:rsidRPr="00150EDC">
              <w:rPr>
                <w:sz w:val="20"/>
              </w:rPr>
              <w:t>behaviour towards a child or young person</w:t>
            </w:r>
          </w:p>
        </w:tc>
      </w:tr>
      <w:tr w:rsidR="004569EE" w:rsidRPr="007D3144" w14:paraId="2B9D86AC" w14:textId="77777777">
        <w:trPr>
          <w:trHeight w:val="255"/>
        </w:trPr>
        <w:tc>
          <w:tcPr>
            <w:tcW w:w="6517" w:type="dxa"/>
          </w:tcPr>
          <w:p w14:paraId="62704B61" w14:textId="77777777" w:rsidR="004C7180" w:rsidRPr="00150EDC" w:rsidRDefault="004C7180">
            <w:pPr>
              <w:pStyle w:val="TableParagraph"/>
              <w:spacing w:before="0" w:line="240" w:lineRule="auto"/>
              <w:ind w:left="0"/>
              <w:rPr>
                <w:rFonts w:ascii="Times New Roman"/>
                <w:sz w:val="18"/>
              </w:rPr>
            </w:pPr>
          </w:p>
        </w:tc>
        <w:tc>
          <w:tcPr>
            <w:tcW w:w="7427" w:type="dxa"/>
          </w:tcPr>
          <w:p w14:paraId="0908A48E" w14:textId="77777777" w:rsidR="004C7180" w:rsidRPr="00150EDC" w:rsidRDefault="00CF0754">
            <w:pPr>
              <w:pStyle w:val="TableParagraph"/>
              <w:rPr>
                <w:sz w:val="20"/>
              </w:rPr>
            </w:pPr>
            <w:r w:rsidRPr="00150EDC">
              <w:rPr>
                <w:sz w:val="20"/>
              </w:rPr>
              <w:t>Any</w:t>
            </w:r>
            <w:r w:rsidRPr="00150EDC">
              <w:rPr>
                <w:spacing w:val="-5"/>
                <w:sz w:val="20"/>
              </w:rPr>
              <w:t xml:space="preserve"> </w:t>
            </w:r>
            <w:r w:rsidRPr="00150EDC">
              <w:rPr>
                <w:sz w:val="20"/>
              </w:rPr>
              <w:t>offence of</w:t>
            </w:r>
            <w:r w:rsidRPr="00150EDC">
              <w:rPr>
                <w:spacing w:val="-5"/>
                <w:sz w:val="20"/>
              </w:rPr>
              <w:t xml:space="preserve"> </w:t>
            </w:r>
            <w:r w:rsidRPr="00150EDC">
              <w:rPr>
                <w:sz w:val="20"/>
              </w:rPr>
              <w:t>assault</w:t>
            </w:r>
            <w:r w:rsidRPr="00150EDC">
              <w:rPr>
                <w:spacing w:val="-4"/>
                <w:sz w:val="20"/>
              </w:rPr>
              <w:t xml:space="preserve"> </w:t>
            </w:r>
            <w:r w:rsidRPr="00150EDC">
              <w:rPr>
                <w:sz w:val="20"/>
              </w:rPr>
              <w:t>or</w:t>
            </w:r>
            <w:r w:rsidRPr="00150EDC">
              <w:rPr>
                <w:spacing w:val="-5"/>
                <w:sz w:val="20"/>
              </w:rPr>
              <w:t xml:space="preserve"> </w:t>
            </w:r>
            <w:r w:rsidRPr="00150EDC">
              <w:rPr>
                <w:sz w:val="20"/>
              </w:rPr>
              <w:t>indecent</w:t>
            </w:r>
            <w:r w:rsidRPr="00150EDC">
              <w:rPr>
                <w:spacing w:val="-6"/>
                <w:sz w:val="20"/>
              </w:rPr>
              <w:t xml:space="preserve"> </w:t>
            </w:r>
            <w:r w:rsidRPr="00150EDC">
              <w:rPr>
                <w:sz w:val="20"/>
              </w:rPr>
              <w:t>assault</w:t>
            </w:r>
            <w:r w:rsidRPr="00150EDC">
              <w:rPr>
                <w:spacing w:val="1"/>
                <w:sz w:val="20"/>
              </w:rPr>
              <w:t xml:space="preserve"> </w:t>
            </w:r>
            <w:r w:rsidRPr="00150EDC">
              <w:rPr>
                <w:sz w:val="20"/>
              </w:rPr>
              <w:t>on</w:t>
            </w:r>
            <w:r w:rsidRPr="00150EDC">
              <w:rPr>
                <w:spacing w:val="-5"/>
                <w:sz w:val="20"/>
              </w:rPr>
              <w:t xml:space="preserve"> </w:t>
            </w:r>
            <w:r w:rsidRPr="00150EDC">
              <w:rPr>
                <w:sz w:val="20"/>
              </w:rPr>
              <w:t xml:space="preserve">a </w:t>
            </w:r>
            <w:r w:rsidRPr="00150EDC">
              <w:rPr>
                <w:spacing w:val="-4"/>
                <w:sz w:val="20"/>
              </w:rPr>
              <w:t>child</w:t>
            </w:r>
          </w:p>
        </w:tc>
      </w:tr>
      <w:tr w:rsidR="004569EE" w:rsidRPr="007D3144" w14:paraId="00D27035" w14:textId="77777777">
        <w:trPr>
          <w:trHeight w:val="255"/>
        </w:trPr>
        <w:tc>
          <w:tcPr>
            <w:tcW w:w="6517" w:type="dxa"/>
          </w:tcPr>
          <w:p w14:paraId="554438F8" w14:textId="77777777" w:rsidR="004C7180" w:rsidRPr="00150EDC" w:rsidRDefault="004C7180">
            <w:pPr>
              <w:pStyle w:val="TableParagraph"/>
              <w:spacing w:before="0" w:line="240" w:lineRule="auto"/>
              <w:ind w:left="0"/>
              <w:rPr>
                <w:rFonts w:ascii="Times New Roman"/>
                <w:sz w:val="18"/>
              </w:rPr>
            </w:pPr>
          </w:p>
        </w:tc>
        <w:tc>
          <w:tcPr>
            <w:tcW w:w="7427" w:type="dxa"/>
          </w:tcPr>
          <w:p w14:paraId="354A5CAF" w14:textId="77777777" w:rsidR="004C7180" w:rsidRPr="00150EDC" w:rsidRDefault="00CF0754">
            <w:pPr>
              <w:pStyle w:val="TableParagraph"/>
              <w:spacing w:before="28"/>
              <w:rPr>
                <w:sz w:val="20"/>
              </w:rPr>
            </w:pPr>
            <w:r w:rsidRPr="00150EDC">
              <w:rPr>
                <w:sz w:val="20"/>
              </w:rPr>
              <w:t>Any</w:t>
            </w:r>
            <w:r w:rsidRPr="00150EDC">
              <w:rPr>
                <w:spacing w:val="-5"/>
                <w:sz w:val="20"/>
              </w:rPr>
              <w:t xml:space="preserve"> </w:t>
            </w:r>
            <w:r w:rsidRPr="00150EDC">
              <w:rPr>
                <w:sz w:val="20"/>
              </w:rPr>
              <w:t>offence</w:t>
            </w:r>
            <w:r w:rsidRPr="00150EDC">
              <w:rPr>
                <w:spacing w:val="-1"/>
                <w:sz w:val="20"/>
              </w:rPr>
              <w:t xml:space="preserve"> </w:t>
            </w:r>
            <w:r w:rsidRPr="00150EDC">
              <w:rPr>
                <w:sz w:val="20"/>
              </w:rPr>
              <w:t>of</w:t>
            </w:r>
            <w:r w:rsidRPr="00150EDC">
              <w:rPr>
                <w:spacing w:val="-6"/>
                <w:sz w:val="20"/>
              </w:rPr>
              <w:t xml:space="preserve"> </w:t>
            </w:r>
            <w:r w:rsidRPr="00150EDC">
              <w:rPr>
                <w:sz w:val="20"/>
              </w:rPr>
              <w:t>false</w:t>
            </w:r>
            <w:r w:rsidRPr="00150EDC">
              <w:rPr>
                <w:spacing w:val="-5"/>
                <w:sz w:val="20"/>
              </w:rPr>
              <w:t xml:space="preserve"> </w:t>
            </w:r>
            <w:r w:rsidRPr="00150EDC">
              <w:rPr>
                <w:spacing w:val="-2"/>
                <w:sz w:val="20"/>
              </w:rPr>
              <w:t>imprisonment</w:t>
            </w:r>
          </w:p>
        </w:tc>
      </w:tr>
      <w:tr w:rsidR="004569EE" w:rsidRPr="007D3144" w14:paraId="2CAEFB03" w14:textId="77777777">
        <w:trPr>
          <w:trHeight w:val="255"/>
        </w:trPr>
        <w:tc>
          <w:tcPr>
            <w:tcW w:w="6517" w:type="dxa"/>
          </w:tcPr>
          <w:p w14:paraId="2427516F" w14:textId="77777777" w:rsidR="004C7180" w:rsidRPr="00150EDC" w:rsidRDefault="004C7180">
            <w:pPr>
              <w:pStyle w:val="TableParagraph"/>
              <w:spacing w:before="0" w:line="240" w:lineRule="auto"/>
              <w:ind w:left="0"/>
              <w:rPr>
                <w:rFonts w:ascii="Times New Roman"/>
                <w:sz w:val="18"/>
              </w:rPr>
            </w:pPr>
          </w:p>
        </w:tc>
        <w:tc>
          <w:tcPr>
            <w:tcW w:w="7427" w:type="dxa"/>
          </w:tcPr>
          <w:p w14:paraId="136BE14D" w14:textId="77777777" w:rsidR="004C7180" w:rsidRPr="00150EDC" w:rsidRDefault="00CF0754">
            <w:pPr>
              <w:pStyle w:val="TableParagraph"/>
              <w:rPr>
                <w:sz w:val="20"/>
              </w:rPr>
            </w:pPr>
            <w:r w:rsidRPr="00150EDC">
              <w:rPr>
                <w:sz w:val="20"/>
              </w:rPr>
              <w:t>Any</w:t>
            </w:r>
            <w:r w:rsidRPr="00150EDC">
              <w:rPr>
                <w:spacing w:val="-4"/>
                <w:sz w:val="20"/>
              </w:rPr>
              <w:t xml:space="preserve"> </w:t>
            </w:r>
            <w:r w:rsidRPr="00150EDC">
              <w:rPr>
                <w:sz w:val="20"/>
              </w:rPr>
              <w:t>offence</w:t>
            </w:r>
            <w:r w:rsidRPr="00150EDC">
              <w:rPr>
                <w:spacing w:val="1"/>
                <w:sz w:val="20"/>
              </w:rPr>
              <w:t xml:space="preserve"> </w:t>
            </w:r>
            <w:r w:rsidRPr="00150EDC">
              <w:rPr>
                <w:sz w:val="20"/>
              </w:rPr>
              <w:t>of</w:t>
            </w:r>
            <w:r w:rsidRPr="00150EDC">
              <w:rPr>
                <w:spacing w:val="-5"/>
                <w:sz w:val="20"/>
              </w:rPr>
              <w:t xml:space="preserve"> </w:t>
            </w:r>
            <w:r w:rsidRPr="00150EDC">
              <w:rPr>
                <w:sz w:val="20"/>
              </w:rPr>
              <w:t>incest</w:t>
            </w:r>
            <w:r w:rsidRPr="00150EDC">
              <w:rPr>
                <w:spacing w:val="-3"/>
                <w:sz w:val="20"/>
              </w:rPr>
              <w:t xml:space="preserve"> </w:t>
            </w:r>
            <w:r w:rsidRPr="00150EDC">
              <w:rPr>
                <w:sz w:val="20"/>
              </w:rPr>
              <w:t>with</w:t>
            </w:r>
            <w:r w:rsidRPr="00150EDC">
              <w:rPr>
                <w:spacing w:val="-4"/>
                <w:sz w:val="20"/>
              </w:rPr>
              <w:t xml:space="preserve"> </w:t>
            </w:r>
            <w:r w:rsidRPr="00150EDC">
              <w:rPr>
                <w:sz w:val="20"/>
              </w:rPr>
              <w:t>a</w:t>
            </w:r>
            <w:r w:rsidRPr="00150EDC">
              <w:rPr>
                <w:spacing w:val="-4"/>
                <w:sz w:val="20"/>
              </w:rPr>
              <w:t xml:space="preserve"> child</w:t>
            </w:r>
          </w:p>
        </w:tc>
      </w:tr>
      <w:tr w:rsidR="004569EE" w:rsidRPr="007D3144" w14:paraId="12C75168" w14:textId="77777777">
        <w:trPr>
          <w:trHeight w:val="255"/>
        </w:trPr>
        <w:tc>
          <w:tcPr>
            <w:tcW w:w="6517" w:type="dxa"/>
          </w:tcPr>
          <w:p w14:paraId="4FE06E7B" w14:textId="77777777" w:rsidR="004C7180" w:rsidRPr="00150EDC" w:rsidRDefault="004C7180">
            <w:pPr>
              <w:pStyle w:val="TableParagraph"/>
              <w:spacing w:before="0" w:line="240" w:lineRule="auto"/>
              <w:ind w:left="0"/>
              <w:rPr>
                <w:rFonts w:ascii="Times New Roman"/>
                <w:sz w:val="18"/>
              </w:rPr>
            </w:pPr>
          </w:p>
        </w:tc>
        <w:tc>
          <w:tcPr>
            <w:tcW w:w="7427" w:type="dxa"/>
          </w:tcPr>
          <w:p w14:paraId="6FFB3258" w14:textId="77777777" w:rsidR="004C7180" w:rsidRPr="00150EDC" w:rsidRDefault="00CF0754">
            <w:pPr>
              <w:pStyle w:val="TableParagraph"/>
              <w:rPr>
                <w:sz w:val="20"/>
              </w:rPr>
            </w:pPr>
            <w:r w:rsidRPr="00150EDC">
              <w:rPr>
                <w:sz w:val="20"/>
              </w:rPr>
              <w:t>Any</w:t>
            </w:r>
            <w:r w:rsidRPr="00150EDC">
              <w:rPr>
                <w:spacing w:val="-5"/>
                <w:sz w:val="20"/>
              </w:rPr>
              <w:t xml:space="preserve"> </w:t>
            </w:r>
            <w:r w:rsidRPr="00150EDC">
              <w:rPr>
                <w:sz w:val="20"/>
              </w:rPr>
              <w:t>offence</w:t>
            </w:r>
            <w:r w:rsidRPr="00150EDC">
              <w:rPr>
                <w:spacing w:val="-2"/>
                <w:sz w:val="20"/>
              </w:rPr>
              <w:t xml:space="preserve"> </w:t>
            </w:r>
            <w:r w:rsidRPr="00150EDC">
              <w:rPr>
                <w:sz w:val="20"/>
              </w:rPr>
              <w:t>of</w:t>
            </w:r>
            <w:r w:rsidRPr="00150EDC">
              <w:rPr>
                <w:spacing w:val="-5"/>
                <w:sz w:val="20"/>
              </w:rPr>
              <w:t xml:space="preserve"> </w:t>
            </w:r>
            <w:r w:rsidRPr="00150EDC">
              <w:rPr>
                <w:spacing w:val="-2"/>
                <w:sz w:val="20"/>
              </w:rPr>
              <w:t>infanticide</w:t>
            </w:r>
          </w:p>
        </w:tc>
      </w:tr>
      <w:tr w:rsidR="004569EE" w:rsidRPr="007D3144" w14:paraId="2F748A85" w14:textId="77777777">
        <w:trPr>
          <w:trHeight w:val="255"/>
        </w:trPr>
        <w:tc>
          <w:tcPr>
            <w:tcW w:w="6517" w:type="dxa"/>
          </w:tcPr>
          <w:p w14:paraId="038ACAF1" w14:textId="77777777" w:rsidR="004C7180" w:rsidRPr="00150EDC" w:rsidRDefault="004C7180">
            <w:pPr>
              <w:pStyle w:val="TableParagraph"/>
              <w:spacing w:before="0" w:line="240" w:lineRule="auto"/>
              <w:ind w:left="0"/>
              <w:rPr>
                <w:rFonts w:ascii="Times New Roman"/>
                <w:sz w:val="18"/>
              </w:rPr>
            </w:pPr>
          </w:p>
        </w:tc>
        <w:tc>
          <w:tcPr>
            <w:tcW w:w="7427" w:type="dxa"/>
          </w:tcPr>
          <w:p w14:paraId="7E982FF3" w14:textId="77777777" w:rsidR="004C7180" w:rsidRPr="00150EDC" w:rsidRDefault="00CF0754">
            <w:pPr>
              <w:pStyle w:val="TableParagraph"/>
              <w:rPr>
                <w:sz w:val="20"/>
              </w:rPr>
            </w:pPr>
            <w:r w:rsidRPr="00150EDC">
              <w:rPr>
                <w:sz w:val="20"/>
              </w:rPr>
              <w:t>Any</w:t>
            </w:r>
            <w:r w:rsidRPr="00150EDC">
              <w:rPr>
                <w:spacing w:val="-5"/>
                <w:sz w:val="20"/>
              </w:rPr>
              <w:t xml:space="preserve"> </w:t>
            </w:r>
            <w:r w:rsidRPr="00150EDC">
              <w:rPr>
                <w:sz w:val="20"/>
              </w:rPr>
              <w:t>offence</w:t>
            </w:r>
            <w:r w:rsidRPr="00150EDC">
              <w:rPr>
                <w:spacing w:val="-2"/>
                <w:sz w:val="20"/>
              </w:rPr>
              <w:t xml:space="preserve"> </w:t>
            </w:r>
            <w:r w:rsidRPr="00150EDC">
              <w:rPr>
                <w:sz w:val="20"/>
              </w:rPr>
              <w:t>of</w:t>
            </w:r>
            <w:r w:rsidRPr="00150EDC">
              <w:rPr>
                <w:spacing w:val="-5"/>
                <w:sz w:val="20"/>
              </w:rPr>
              <w:t xml:space="preserve"> </w:t>
            </w:r>
            <w:r w:rsidRPr="00150EDC">
              <w:rPr>
                <w:spacing w:val="-2"/>
                <w:sz w:val="20"/>
              </w:rPr>
              <w:t>kidnapping</w:t>
            </w:r>
          </w:p>
        </w:tc>
      </w:tr>
      <w:tr w:rsidR="004569EE" w:rsidRPr="007D3144" w14:paraId="2201B42D" w14:textId="77777777">
        <w:trPr>
          <w:trHeight w:val="255"/>
        </w:trPr>
        <w:tc>
          <w:tcPr>
            <w:tcW w:w="6517" w:type="dxa"/>
          </w:tcPr>
          <w:p w14:paraId="24F2D2EE" w14:textId="77777777" w:rsidR="004C7180" w:rsidRPr="00150EDC" w:rsidRDefault="004C7180">
            <w:pPr>
              <w:pStyle w:val="TableParagraph"/>
              <w:spacing w:before="0" w:line="240" w:lineRule="auto"/>
              <w:ind w:left="0"/>
              <w:rPr>
                <w:rFonts w:ascii="Times New Roman"/>
                <w:sz w:val="18"/>
              </w:rPr>
            </w:pPr>
          </w:p>
        </w:tc>
        <w:tc>
          <w:tcPr>
            <w:tcW w:w="7427" w:type="dxa"/>
          </w:tcPr>
          <w:p w14:paraId="1292BA4C" w14:textId="77777777" w:rsidR="004C7180" w:rsidRPr="00150EDC" w:rsidRDefault="00CF0754">
            <w:pPr>
              <w:pStyle w:val="TableParagraph"/>
              <w:spacing w:before="28"/>
              <w:rPr>
                <w:sz w:val="20"/>
              </w:rPr>
            </w:pPr>
            <w:r w:rsidRPr="00150EDC">
              <w:rPr>
                <w:sz w:val="20"/>
              </w:rPr>
              <w:t>Any</w:t>
            </w:r>
            <w:r w:rsidRPr="00150EDC">
              <w:rPr>
                <w:spacing w:val="-5"/>
                <w:sz w:val="20"/>
              </w:rPr>
              <w:t xml:space="preserve"> </w:t>
            </w:r>
            <w:r w:rsidRPr="00150EDC">
              <w:rPr>
                <w:sz w:val="20"/>
              </w:rPr>
              <w:t>offence</w:t>
            </w:r>
            <w:r w:rsidRPr="00150EDC">
              <w:rPr>
                <w:spacing w:val="-2"/>
                <w:sz w:val="20"/>
              </w:rPr>
              <w:t xml:space="preserve"> </w:t>
            </w:r>
            <w:r w:rsidRPr="00150EDC">
              <w:rPr>
                <w:sz w:val="20"/>
              </w:rPr>
              <w:t>of</w:t>
            </w:r>
            <w:r w:rsidRPr="00150EDC">
              <w:rPr>
                <w:spacing w:val="-5"/>
                <w:sz w:val="20"/>
              </w:rPr>
              <w:t xml:space="preserve"> </w:t>
            </w:r>
            <w:r w:rsidRPr="00150EDC">
              <w:rPr>
                <w:spacing w:val="-2"/>
                <w:sz w:val="20"/>
              </w:rPr>
              <w:t>manslaughter</w:t>
            </w:r>
          </w:p>
        </w:tc>
      </w:tr>
      <w:tr w:rsidR="004569EE" w:rsidRPr="007D3144" w14:paraId="198F170B" w14:textId="77777777">
        <w:trPr>
          <w:trHeight w:val="255"/>
        </w:trPr>
        <w:tc>
          <w:tcPr>
            <w:tcW w:w="6517" w:type="dxa"/>
          </w:tcPr>
          <w:p w14:paraId="3669EF86" w14:textId="77777777" w:rsidR="004C7180" w:rsidRPr="00150EDC" w:rsidRDefault="004C7180">
            <w:pPr>
              <w:pStyle w:val="TableParagraph"/>
              <w:spacing w:before="0" w:line="240" w:lineRule="auto"/>
              <w:ind w:left="0"/>
              <w:rPr>
                <w:rFonts w:ascii="Times New Roman"/>
                <w:sz w:val="18"/>
              </w:rPr>
            </w:pPr>
          </w:p>
        </w:tc>
        <w:tc>
          <w:tcPr>
            <w:tcW w:w="7427" w:type="dxa"/>
          </w:tcPr>
          <w:p w14:paraId="1916C4F8" w14:textId="77777777" w:rsidR="004C7180" w:rsidRPr="00150EDC" w:rsidRDefault="00CF0754">
            <w:pPr>
              <w:pStyle w:val="TableParagraph"/>
              <w:rPr>
                <w:sz w:val="20"/>
              </w:rPr>
            </w:pPr>
            <w:r w:rsidRPr="00150EDC">
              <w:rPr>
                <w:sz w:val="20"/>
              </w:rPr>
              <w:t>Any</w:t>
            </w:r>
            <w:r w:rsidRPr="00150EDC">
              <w:rPr>
                <w:spacing w:val="-5"/>
                <w:sz w:val="20"/>
              </w:rPr>
              <w:t xml:space="preserve"> </w:t>
            </w:r>
            <w:r w:rsidRPr="00150EDC">
              <w:rPr>
                <w:sz w:val="20"/>
              </w:rPr>
              <w:t>offence</w:t>
            </w:r>
            <w:r w:rsidRPr="00150EDC">
              <w:rPr>
                <w:spacing w:val="-2"/>
                <w:sz w:val="20"/>
              </w:rPr>
              <w:t xml:space="preserve"> </w:t>
            </w:r>
            <w:r w:rsidRPr="00150EDC">
              <w:rPr>
                <w:sz w:val="20"/>
              </w:rPr>
              <w:t>of</w:t>
            </w:r>
            <w:r w:rsidRPr="00150EDC">
              <w:rPr>
                <w:spacing w:val="-5"/>
                <w:sz w:val="20"/>
              </w:rPr>
              <w:t xml:space="preserve"> </w:t>
            </w:r>
            <w:r w:rsidRPr="00150EDC">
              <w:rPr>
                <w:spacing w:val="-2"/>
                <w:sz w:val="20"/>
              </w:rPr>
              <w:t>murder</w:t>
            </w:r>
          </w:p>
        </w:tc>
      </w:tr>
      <w:tr w:rsidR="004569EE" w:rsidRPr="007D3144" w14:paraId="5FCB8241" w14:textId="77777777">
        <w:trPr>
          <w:trHeight w:val="255"/>
        </w:trPr>
        <w:tc>
          <w:tcPr>
            <w:tcW w:w="6517" w:type="dxa"/>
          </w:tcPr>
          <w:p w14:paraId="2173B646" w14:textId="77777777" w:rsidR="004C7180" w:rsidRPr="00150EDC" w:rsidRDefault="004C7180">
            <w:pPr>
              <w:pStyle w:val="TableParagraph"/>
              <w:spacing w:before="0" w:line="240" w:lineRule="auto"/>
              <w:ind w:left="0"/>
              <w:rPr>
                <w:rFonts w:ascii="Times New Roman"/>
                <w:sz w:val="18"/>
              </w:rPr>
            </w:pPr>
          </w:p>
        </w:tc>
        <w:tc>
          <w:tcPr>
            <w:tcW w:w="7427" w:type="dxa"/>
          </w:tcPr>
          <w:p w14:paraId="6F245486" w14:textId="77777777" w:rsidR="004C7180" w:rsidRPr="00150EDC" w:rsidRDefault="00CF0754">
            <w:pPr>
              <w:pStyle w:val="TableParagraph"/>
              <w:rPr>
                <w:sz w:val="20"/>
              </w:rPr>
            </w:pPr>
            <w:r w:rsidRPr="00150EDC">
              <w:rPr>
                <w:sz w:val="20"/>
              </w:rPr>
              <w:t>Any</w:t>
            </w:r>
            <w:r w:rsidRPr="00150EDC">
              <w:rPr>
                <w:spacing w:val="-7"/>
                <w:sz w:val="20"/>
              </w:rPr>
              <w:t xml:space="preserve"> </w:t>
            </w:r>
            <w:r w:rsidRPr="00150EDC">
              <w:rPr>
                <w:sz w:val="20"/>
              </w:rPr>
              <w:t>offence</w:t>
            </w:r>
            <w:r w:rsidRPr="00150EDC">
              <w:rPr>
                <w:spacing w:val="-2"/>
                <w:sz w:val="20"/>
              </w:rPr>
              <w:t xml:space="preserve"> </w:t>
            </w:r>
            <w:r w:rsidRPr="00150EDC">
              <w:rPr>
                <w:sz w:val="20"/>
              </w:rPr>
              <w:t>of</w:t>
            </w:r>
            <w:r w:rsidRPr="00150EDC">
              <w:rPr>
                <w:spacing w:val="-5"/>
                <w:sz w:val="20"/>
              </w:rPr>
              <w:t xml:space="preserve"> </w:t>
            </w:r>
            <w:r w:rsidRPr="00150EDC">
              <w:rPr>
                <w:spacing w:val="-4"/>
                <w:sz w:val="20"/>
              </w:rPr>
              <w:t>rape</w:t>
            </w:r>
          </w:p>
        </w:tc>
      </w:tr>
      <w:tr w:rsidR="004569EE" w:rsidRPr="007D3144" w14:paraId="691D94AB" w14:textId="77777777">
        <w:trPr>
          <w:trHeight w:val="255"/>
        </w:trPr>
        <w:tc>
          <w:tcPr>
            <w:tcW w:w="6517" w:type="dxa"/>
          </w:tcPr>
          <w:p w14:paraId="1D50CEE8" w14:textId="77777777" w:rsidR="004C7180" w:rsidRPr="00150EDC" w:rsidRDefault="004C7180">
            <w:pPr>
              <w:pStyle w:val="TableParagraph"/>
              <w:spacing w:before="0" w:line="240" w:lineRule="auto"/>
              <w:ind w:left="0"/>
              <w:rPr>
                <w:rFonts w:ascii="Times New Roman"/>
                <w:sz w:val="18"/>
              </w:rPr>
            </w:pPr>
          </w:p>
        </w:tc>
        <w:tc>
          <w:tcPr>
            <w:tcW w:w="7427" w:type="dxa"/>
          </w:tcPr>
          <w:p w14:paraId="401E6536" w14:textId="77777777" w:rsidR="004C7180" w:rsidRPr="00150EDC" w:rsidRDefault="00CF0754">
            <w:pPr>
              <w:pStyle w:val="TableParagraph"/>
              <w:rPr>
                <w:sz w:val="20"/>
              </w:rPr>
            </w:pPr>
            <w:r w:rsidRPr="00150EDC">
              <w:rPr>
                <w:sz w:val="20"/>
              </w:rPr>
              <w:t>Any</w:t>
            </w:r>
            <w:r w:rsidRPr="00150EDC">
              <w:rPr>
                <w:spacing w:val="-4"/>
                <w:sz w:val="20"/>
              </w:rPr>
              <w:t xml:space="preserve"> </w:t>
            </w:r>
            <w:r w:rsidRPr="00150EDC">
              <w:rPr>
                <w:sz w:val="20"/>
              </w:rPr>
              <w:t>offence of</w:t>
            </w:r>
            <w:r w:rsidRPr="00150EDC">
              <w:rPr>
                <w:spacing w:val="-5"/>
                <w:sz w:val="20"/>
              </w:rPr>
              <w:t xml:space="preserve"> </w:t>
            </w:r>
            <w:r w:rsidRPr="00150EDC">
              <w:rPr>
                <w:sz w:val="20"/>
              </w:rPr>
              <w:t>receiving</w:t>
            </w:r>
            <w:r w:rsidRPr="00150EDC">
              <w:rPr>
                <w:spacing w:val="-5"/>
                <w:sz w:val="20"/>
              </w:rPr>
              <w:t xml:space="preserve"> </w:t>
            </w:r>
            <w:r w:rsidRPr="00150EDC">
              <w:rPr>
                <w:sz w:val="20"/>
              </w:rPr>
              <w:t>a</w:t>
            </w:r>
            <w:r w:rsidRPr="00150EDC">
              <w:rPr>
                <w:spacing w:val="-5"/>
                <w:sz w:val="20"/>
              </w:rPr>
              <w:t xml:space="preserve"> </w:t>
            </w:r>
            <w:r w:rsidRPr="00150EDC">
              <w:rPr>
                <w:sz w:val="20"/>
              </w:rPr>
              <w:t>stolen</w:t>
            </w:r>
            <w:r w:rsidRPr="00150EDC">
              <w:rPr>
                <w:spacing w:val="-4"/>
                <w:sz w:val="20"/>
              </w:rPr>
              <w:t xml:space="preserve"> child</w:t>
            </w:r>
          </w:p>
        </w:tc>
      </w:tr>
      <w:tr w:rsidR="004569EE" w:rsidRPr="007D3144" w14:paraId="0E422A94" w14:textId="77777777">
        <w:trPr>
          <w:trHeight w:val="255"/>
        </w:trPr>
        <w:tc>
          <w:tcPr>
            <w:tcW w:w="6517" w:type="dxa"/>
          </w:tcPr>
          <w:p w14:paraId="2EDD4BF9" w14:textId="77777777" w:rsidR="004C7180" w:rsidRPr="00150EDC" w:rsidRDefault="004C7180">
            <w:pPr>
              <w:pStyle w:val="TableParagraph"/>
              <w:spacing w:before="0" w:line="240" w:lineRule="auto"/>
              <w:ind w:left="0"/>
              <w:rPr>
                <w:rFonts w:ascii="Times New Roman"/>
                <w:sz w:val="18"/>
              </w:rPr>
            </w:pPr>
          </w:p>
        </w:tc>
        <w:tc>
          <w:tcPr>
            <w:tcW w:w="7427" w:type="dxa"/>
          </w:tcPr>
          <w:p w14:paraId="7AB85FDA" w14:textId="77777777" w:rsidR="004C7180" w:rsidRPr="00150EDC" w:rsidRDefault="00CF0754">
            <w:pPr>
              <w:pStyle w:val="TableParagraph"/>
              <w:rPr>
                <w:sz w:val="20"/>
              </w:rPr>
            </w:pPr>
            <w:r w:rsidRPr="00150EDC">
              <w:rPr>
                <w:sz w:val="20"/>
              </w:rPr>
              <w:t>Any</w:t>
            </w:r>
            <w:r w:rsidRPr="00150EDC">
              <w:rPr>
                <w:spacing w:val="-5"/>
                <w:sz w:val="20"/>
              </w:rPr>
              <w:t xml:space="preserve"> </w:t>
            </w:r>
            <w:r w:rsidRPr="00150EDC">
              <w:rPr>
                <w:sz w:val="20"/>
              </w:rPr>
              <w:t>offence of</w:t>
            </w:r>
            <w:r w:rsidRPr="00150EDC">
              <w:rPr>
                <w:spacing w:val="-5"/>
                <w:sz w:val="20"/>
              </w:rPr>
              <w:t xml:space="preserve"> </w:t>
            </w:r>
            <w:r w:rsidRPr="00150EDC">
              <w:rPr>
                <w:sz w:val="20"/>
              </w:rPr>
              <w:t>sodomy</w:t>
            </w:r>
            <w:r w:rsidRPr="00150EDC">
              <w:rPr>
                <w:spacing w:val="-4"/>
                <w:sz w:val="20"/>
              </w:rPr>
              <w:t xml:space="preserve"> </w:t>
            </w:r>
            <w:r w:rsidRPr="00150EDC">
              <w:rPr>
                <w:sz w:val="20"/>
              </w:rPr>
              <w:t>with a</w:t>
            </w:r>
            <w:r w:rsidRPr="00150EDC">
              <w:rPr>
                <w:spacing w:val="-5"/>
                <w:sz w:val="20"/>
              </w:rPr>
              <w:t xml:space="preserve"> </w:t>
            </w:r>
            <w:r w:rsidRPr="00150EDC">
              <w:rPr>
                <w:sz w:val="20"/>
              </w:rPr>
              <w:t>child</w:t>
            </w:r>
            <w:r w:rsidRPr="00150EDC">
              <w:rPr>
                <w:spacing w:val="-5"/>
                <w:sz w:val="20"/>
              </w:rPr>
              <w:t xml:space="preserve"> </w:t>
            </w:r>
            <w:r w:rsidRPr="00150EDC">
              <w:rPr>
                <w:sz w:val="20"/>
              </w:rPr>
              <w:t>or</w:t>
            </w:r>
            <w:r w:rsidRPr="00150EDC">
              <w:rPr>
                <w:spacing w:val="-5"/>
                <w:sz w:val="20"/>
              </w:rPr>
              <w:t xml:space="preserve"> </w:t>
            </w:r>
            <w:r w:rsidRPr="00150EDC">
              <w:rPr>
                <w:sz w:val="20"/>
              </w:rPr>
              <w:t>without</w:t>
            </w:r>
            <w:r w:rsidRPr="00150EDC">
              <w:rPr>
                <w:spacing w:val="1"/>
                <w:sz w:val="20"/>
              </w:rPr>
              <w:t xml:space="preserve"> </w:t>
            </w:r>
            <w:r w:rsidRPr="00150EDC">
              <w:rPr>
                <w:spacing w:val="-2"/>
                <w:sz w:val="20"/>
              </w:rPr>
              <w:t>consent</w:t>
            </w:r>
          </w:p>
        </w:tc>
      </w:tr>
      <w:tr w:rsidR="004569EE" w:rsidRPr="007D3144" w14:paraId="2F95D941" w14:textId="77777777">
        <w:trPr>
          <w:trHeight w:val="255"/>
        </w:trPr>
        <w:tc>
          <w:tcPr>
            <w:tcW w:w="6517" w:type="dxa"/>
          </w:tcPr>
          <w:p w14:paraId="1B683753" w14:textId="77777777" w:rsidR="004C7180" w:rsidRPr="00150EDC" w:rsidRDefault="004C7180">
            <w:pPr>
              <w:pStyle w:val="TableParagraph"/>
              <w:spacing w:before="0" w:line="240" w:lineRule="auto"/>
              <w:ind w:left="0"/>
              <w:rPr>
                <w:rFonts w:ascii="Times New Roman"/>
                <w:sz w:val="18"/>
              </w:rPr>
            </w:pPr>
          </w:p>
        </w:tc>
        <w:tc>
          <w:tcPr>
            <w:tcW w:w="7427" w:type="dxa"/>
          </w:tcPr>
          <w:p w14:paraId="081F308A" w14:textId="77777777" w:rsidR="004C7180" w:rsidRPr="00150EDC" w:rsidRDefault="00CF0754">
            <w:pPr>
              <w:pStyle w:val="TableParagraph"/>
              <w:rPr>
                <w:sz w:val="20"/>
              </w:rPr>
            </w:pPr>
            <w:r w:rsidRPr="00150EDC">
              <w:rPr>
                <w:sz w:val="20"/>
              </w:rPr>
              <w:t>Any</w:t>
            </w:r>
            <w:r w:rsidRPr="00150EDC">
              <w:rPr>
                <w:spacing w:val="-4"/>
                <w:sz w:val="20"/>
              </w:rPr>
              <w:t xml:space="preserve"> </w:t>
            </w:r>
            <w:r w:rsidRPr="00150EDC">
              <w:rPr>
                <w:sz w:val="20"/>
              </w:rPr>
              <w:t>offence</w:t>
            </w:r>
            <w:r w:rsidRPr="00150EDC">
              <w:rPr>
                <w:spacing w:val="-1"/>
                <w:sz w:val="20"/>
              </w:rPr>
              <w:t xml:space="preserve"> </w:t>
            </w:r>
            <w:r w:rsidRPr="00150EDC">
              <w:rPr>
                <w:sz w:val="20"/>
              </w:rPr>
              <w:t>of</w:t>
            </w:r>
            <w:r w:rsidRPr="00150EDC">
              <w:rPr>
                <w:spacing w:val="-5"/>
                <w:sz w:val="20"/>
              </w:rPr>
              <w:t xml:space="preserve"> </w:t>
            </w:r>
            <w:r w:rsidRPr="00150EDC">
              <w:rPr>
                <w:sz w:val="20"/>
              </w:rPr>
              <w:t>stealing</w:t>
            </w:r>
            <w:r w:rsidRPr="00150EDC">
              <w:rPr>
                <w:spacing w:val="-4"/>
                <w:sz w:val="20"/>
              </w:rPr>
              <w:t xml:space="preserve"> </w:t>
            </w:r>
            <w:r w:rsidRPr="00150EDC">
              <w:rPr>
                <w:sz w:val="20"/>
              </w:rPr>
              <w:t>a</w:t>
            </w:r>
            <w:r w:rsidRPr="00150EDC">
              <w:rPr>
                <w:spacing w:val="-5"/>
                <w:sz w:val="20"/>
              </w:rPr>
              <w:t xml:space="preserve"> </w:t>
            </w:r>
            <w:r w:rsidRPr="00150EDC">
              <w:rPr>
                <w:sz w:val="20"/>
              </w:rPr>
              <w:t>child</w:t>
            </w:r>
            <w:r w:rsidRPr="00150EDC">
              <w:rPr>
                <w:spacing w:val="-1"/>
                <w:sz w:val="20"/>
              </w:rPr>
              <w:t xml:space="preserve"> </w:t>
            </w:r>
            <w:r w:rsidRPr="00150EDC">
              <w:rPr>
                <w:sz w:val="20"/>
              </w:rPr>
              <w:t>or</w:t>
            </w:r>
            <w:r w:rsidRPr="00150EDC">
              <w:rPr>
                <w:spacing w:val="-4"/>
                <w:sz w:val="20"/>
              </w:rPr>
              <w:t xml:space="preserve"> </w:t>
            </w:r>
            <w:r w:rsidRPr="00150EDC">
              <w:rPr>
                <w:spacing w:val="-2"/>
                <w:sz w:val="20"/>
              </w:rPr>
              <w:t>plagium</w:t>
            </w:r>
          </w:p>
        </w:tc>
      </w:tr>
      <w:tr w:rsidR="004569EE" w:rsidRPr="007D3144" w14:paraId="33D82855" w14:textId="77777777">
        <w:trPr>
          <w:trHeight w:val="255"/>
        </w:trPr>
        <w:tc>
          <w:tcPr>
            <w:tcW w:w="6517" w:type="dxa"/>
          </w:tcPr>
          <w:p w14:paraId="22BC5228" w14:textId="77777777" w:rsidR="004C7180" w:rsidRPr="00150EDC" w:rsidRDefault="00CF0754">
            <w:pPr>
              <w:pStyle w:val="TableParagraph"/>
              <w:rPr>
                <w:sz w:val="20"/>
              </w:rPr>
            </w:pPr>
            <w:r w:rsidRPr="00150EDC">
              <w:rPr>
                <w:sz w:val="20"/>
              </w:rPr>
              <w:t>Administration</w:t>
            </w:r>
            <w:r w:rsidRPr="00150EDC">
              <w:rPr>
                <w:spacing w:val="-2"/>
                <w:sz w:val="20"/>
              </w:rPr>
              <w:t xml:space="preserve"> </w:t>
            </w:r>
            <w:r w:rsidRPr="00150EDC">
              <w:rPr>
                <w:sz w:val="20"/>
              </w:rPr>
              <w:t>of</w:t>
            </w:r>
            <w:r w:rsidRPr="00150EDC">
              <w:rPr>
                <w:spacing w:val="-6"/>
                <w:sz w:val="20"/>
              </w:rPr>
              <w:t xml:space="preserve"> </w:t>
            </w:r>
            <w:r w:rsidRPr="00150EDC">
              <w:rPr>
                <w:sz w:val="20"/>
              </w:rPr>
              <w:t>Justice</w:t>
            </w:r>
            <w:r w:rsidRPr="00150EDC">
              <w:rPr>
                <w:spacing w:val="-6"/>
                <w:sz w:val="20"/>
              </w:rPr>
              <w:t xml:space="preserve"> </w:t>
            </w:r>
            <w:r w:rsidRPr="00150EDC">
              <w:rPr>
                <w:sz w:val="20"/>
              </w:rPr>
              <w:t>(Bailiwick</w:t>
            </w:r>
            <w:r w:rsidRPr="00150EDC">
              <w:rPr>
                <w:spacing w:val="-5"/>
                <w:sz w:val="20"/>
              </w:rPr>
              <w:t xml:space="preserve"> </w:t>
            </w:r>
            <w:r w:rsidRPr="00150EDC">
              <w:rPr>
                <w:sz w:val="20"/>
              </w:rPr>
              <w:t>of</w:t>
            </w:r>
            <w:r w:rsidRPr="00150EDC">
              <w:rPr>
                <w:spacing w:val="-7"/>
                <w:sz w:val="20"/>
              </w:rPr>
              <w:t xml:space="preserve"> </w:t>
            </w:r>
            <w:r w:rsidRPr="00150EDC">
              <w:rPr>
                <w:sz w:val="20"/>
              </w:rPr>
              <w:t>Guernsey)</w:t>
            </w:r>
            <w:r w:rsidRPr="00150EDC">
              <w:rPr>
                <w:spacing w:val="-6"/>
                <w:sz w:val="20"/>
              </w:rPr>
              <w:t xml:space="preserve"> </w:t>
            </w:r>
            <w:r w:rsidRPr="00150EDC">
              <w:rPr>
                <w:sz w:val="20"/>
              </w:rPr>
              <w:t>Law</w:t>
            </w:r>
            <w:r w:rsidRPr="00150EDC">
              <w:rPr>
                <w:spacing w:val="-4"/>
                <w:sz w:val="20"/>
              </w:rPr>
              <w:t xml:space="preserve"> </w:t>
            </w:r>
            <w:r w:rsidRPr="00150EDC">
              <w:rPr>
                <w:sz w:val="20"/>
              </w:rPr>
              <w:t>1991,</w:t>
            </w:r>
            <w:r w:rsidRPr="00150EDC">
              <w:rPr>
                <w:spacing w:val="-6"/>
                <w:sz w:val="20"/>
              </w:rPr>
              <w:t xml:space="preserve"> </w:t>
            </w:r>
            <w:r w:rsidRPr="00150EDC">
              <w:rPr>
                <w:spacing w:val="-5"/>
                <w:sz w:val="20"/>
              </w:rPr>
              <w:t>s11</w:t>
            </w:r>
          </w:p>
        </w:tc>
        <w:tc>
          <w:tcPr>
            <w:tcW w:w="7427" w:type="dxa"/>
          </w:tcPr>
          <w:p w14:paraId="2DA87D35" w14:textId="77777777" w:rsidR="004C7180" w:rsidRPr="00150EDC" w:rsidRDefault="00CF0754">
            <w:pPr>
              <w:pStyle w:val="TableParagraph"/>
              <w:rPr>
                <w:sz w:val="20"/>
              </w:rPr>
            </w:pPr>
            <w:r w:rsidRPr="00150EDC">
              <w:rPr>
                <w:spacing w:val="-2"/>
                <w:sz w:val="20"/>
              </w:rPr>
              <w:t>Torture</w:t>
            </w:r>
          </w:p>
        </w:tc>
      </w:tr>
      <w:tr w:rsidR="004569EE" w:rsidRPr="007D3144" w14:paraId="4C13D03C" w14:textId="77777777">
        <w:trPr>
          <w:trHeight w:val="255"/>
        </w:trPr>
        <w:tc>
          <w:tcPr>
            <w:tcW w:w="6517" w:type="dxa"/>
          </w:tcPr>
          <w:p w14:paraId="069002B3" w14:textId="77777777" w:rsidR="004C7180" w:rsidRPr="00150EDC" w:rsidRDefault="00CF0754">
            <w:pPr>
              <w:pStyle w:val="TableParagraph"/>
              <w:rPr>
                <w:sz w:val="20"/>
              </w:rPr>
            </w:pPr>
            <w:r w:rsidRPr="00150EDC">
              <w:rPr>
                <w:sz w:val="20"/>
              </w:rPr>
              <w:t>Adoption</w:t>
            </w:r>
            <w:r w:rsidRPr="00150EDC">
              <w:rPr>
                <w:spacing w:val="-8"/>
                <w:sz w:val="20"/>
              </w:rPr>
              <w:t xml:space="preserve"> </w:t>
            </w:r>
            <w:r w:rsidRPr="00150EDC">
              <w:rPr>
                <w:sz w:val="20"/>
              </w:rPr>
              <w:t>(Jersey)</w:t>
            </w:r>
            <w:r w:rsidRPr="00150EDC">
              <w:rPr>
                <w:spacing w:val="-2"/>
                <w:sz w:val="20"/>
              </w:rPr>
              <w:t xml:space="preserve"> </w:t>
            </w:r>
            <w:r w:rsidRPr="00150EDC">
              <w:rPr>
                <w:sz w:val="20"/>
              </w:rPr>
              <w:t>Law</w:t>
            </w:r>
            <w:r w:rsidRPr="00150EDC">
              <w:rPr>
                <w:spacing w:val="-6"/>
                <w:sz w:val="20"/>
              </w:rPr>
              <w:t xml:space="preserve"> </w:t>
            </w:r>
            <w:r w:rsidRPr="00150EDC">
              <w:rPr>
                <w:sz w:val="20"/>
              </w:rPr>
              <w:t>1961,</w:t>
            </w:r>
            <w:r w:rsidRPr="00150EDC">
              <w:rPr>
                <w:spacing w:val="-7"/>
                <w:sz w:val="20"/>
              </w:rPr>
              <w:t xml:space="preserve"> </w:t>
            </w:r>
            <w:r w:rsidRPr="00150EDC">
              <w:rPr>
                <w:sz w:val="20"/>
              </w:rPr>
              <w:t>Art</w:t>
            </w:r>
            <w:r w:rsidRPr="00150EDC">
              <w:rPr>
                <w:spacing w:val="-2"/>
                <w:sz w:val="20"/>
              </w:rPr>
              <w:t xml:space="preserve"> </w:t>
            </w:r>
            <w:r w:rsidRPr="00150EDC">
              <w:rPr>
                <w:spacing w:val="-5"/>
                <w:sz w:val="20"/>
              </w:rPr>
              <w:t>28</w:t>
            </w:r>
          </w:p>
        </w:tc>
        <w:tc>
          <w:tcPr>
            <w:tcW w:w="7427" w:type="dxa"/>
          </w:tcPr>
          <w:p w14:paraId="5DC43AE2" w14:textId="77777777" w:rsidR="004C7180" w:rsidRPr="00150EDC" w:rsidRDefault="00CF0754">
            <w:pPr>
              <w:pStyle w:val="TableParagraph"/>
              <w:rPr>
                <w:sz w:val="20"/>
              </w:rPr>
            </w:pPr>
            <w:r w:rsidRPr="00150EDC">
              <w:rPr>
                <w:spacing w:val="-2"/>
                <w:sz w:val="20"/>
              </w:rPr>
              <w:t>Obstruction</w:t>
            </w:r>
          </w:p>
        </w:tc>
      </w:tr>
      <w:tr w:rsidR="004569EE" w:rsidRPr="007D3144" w14:paraId="1B01C658" w14:textId="77777777">
        <w:trPr>
          <w:trHeight w:val="255"/>
        </w:trPr>
        <w:tc>
          <w:tcPr>
            <w:tcW w:w="6517" w:type="dxa"/>
          </w:tcPr>
          <w:p w14:paraId="2F28695C" w14:textId="77777777" w:rsidR="004C7180" w:rsidRPr="00150EDC" w:rsidRDefault="00CF0754">
            <w:pPr>
              <w:pStyle w:val="TableParagraph"/>
              <w:rPr>
                <w:sz w:val="20"/>
              </w:rPr>
            </w:pPr>
            <w:r w:rsidRPr="00150EDC">
              <w:rPr>
                <w:sz w:val="20"/>
              </w:rPr>
              <w:t>Adult</w:t>
            </w:r>
            <w:r w:rsidRPr="00150EDC">
              <w:rPr>
                <w:spacing w:val="-7"/>
                <w:sz w:val="20"/>
              </w:rPr>
              <w:t xml:space="preserve"> </w:t>
            </w:r>
            <w:r w:rsidRPr="00150EDC">
              <w:rPr>
                <w:sz w:val="20"/>
              </w:rPr>
              <w:t>Support</w:t>
            </w:r>
            <w:r w:rsidRPr="00150EDC">
              <w:rPr>
                <w:spacing w:val="-2"/>
                <w:sz w:val="20"/>
              </w:rPr>
              <w:t xml:space="preserve"> </w:t>
            </w:r>
            <w:r w:rsidRPr="00150EDC">
              <w:rPr>
                <w:sz w:val="20"/>
              </w:rPr>
              <w:t>and</w:t>
            </w:r>
            <w:r w:rsidRPr="00150EDC">
              <w:rPr>
                <w:spacing w:val="-7"/>
                <w:sz w:val="20"/>
              </w:rPr>
              <w:t xml:space="preserve"> </w:t>
            </w:r>
            <w:r w:rsidRPr="00150EDC">
              <w:rPr>
                <w:sz w:val="20"/>
              </w:rPr>
              <w:t>Protection</w:t>
            </w:r>
            <w:r w:rsidRPr="00150EDC">
              <w:rPr>
                <w:spacing w:val="-3"/>
                <w:sz w:val="20"/>
              </w:rPr>
              <w:t xml:space="preserve"> </w:t>
            </w:r>
            <w:r w:rsidRPr="00150EDC">
              <w:rPr>
                <w:sz w:val="20"/>
              </w:rPr>
              <w:t>(Scotland)</w:t>
            </w:r>
            <w:r w:rsidRPr="00150EDC">
              <w:rPr>
                <w:spacing w:val="-7"/>
                <w:sz w:val="20"/>
              </w:rPr>
              <w:t xml:space="preserve"> </w:t>
            </w:r>
            <w:r w:rsidRPr="00150EDC">
              <w:rPr>
                <w:sz w:val="20"/>
              </w:rPr>
              <w:t>Act</w:t>
            </w:r>
            <w:r w:rsidRPr="00150EDC">
              <w:rPr>
                <w:spacing w:val="-6"/>
                <w:sz w:val="20"/>
              </w:rPr>
              <w:t xml:space="preserve"> </w:t>
            </w:r>
            <w:r w:rsidRPr="00150EDC">
              <w:rPr>
                <w:sz w:val="20"/>
              </w:rPr>
              <w:t>2007,</w:t>
            </w:r>
            <w:r w:rsidRPr="00150EDC">
              <w:rPr>
                <w:spacing w:val="-7"/>
                <w:sz w:val="20"/>
              </w:rPr>
              <w:t xml:space="preserve"> </w:t>
            </w:r>
            <w:r w:rsidRPr="00150EDC">
              <w:rPr>
                <w:spacing w:val="-5"/>
                <w:sz w:val="20"/>
              </w:rPr>
              <w:t>s49</w:t>
            </w:r>
          </w:p>
        </w:tc>
        <w:tc>
          <w:tcPr>
            <w:tcW w:w="7427" w:type="dxa"/>
          </w:tcPr>
          <w:p w14:paraId="3C5EC6EA" w14:textId="77777777" w:rsidR="004C7180" w:rsidRPr="00150EDC" w:rsidRDefault="00CF0754">
            <w:pPr>
              <w:pStyle w:val="TableParagraph"/>
              <w:rPr>
                <w:sz w:val="20"/>
              </w:rPr>
            </w:pPr>
            <w:r w:rsidRPr="00150EDC">
              <w:rPr>
                <w:spacing w:val="-2"/>
                <w:sz w:val="20"/>
              </w:rPr>
              <w:t>Obstruction</w:t>
            </w:r>
          </w:p>
        </w:tc>
      </w:tr>
      <w:tr w:rsidR="004569EE" w:rsidRPr="007D3144" w14:paraId="06D99DC2" w14:textId="77777777">
        <w:trPr>
          <w:trHeight w:val="255"/>
        </w:trPr>
        <w:tc>
          <w:tcPr>
            <w:tcW w:w="6517" w:type="dxa"/>
          </w:tcPr>
          <w:p w14:paraId="2E22CE73" w14:textId="77777777" w:rsidR="004C7180" w:rsidRPr="00150EDC" w:rsidRDefault="00CF0754">
            <w:pPr>
              <w:pStyle w:val="TableParagraph"/>
              <w:spacing w:before="28"/>
              <w:rPr>
                <w:sz w:val="20"/>
              </w:rPr>
            </w:pPr>
            <w:r w:rsidRPr="00150EDC">
              <w:rPr>
                <w:sz w:val="20"/>
              </w:rPr>
              <w:t>Adults</w:t>
            </w:r>
            <w:r w:rsidRPr="00150EDC">
              <w:rPr>
                <w:spacing w:val="-7"/>
                <w:sz w:val="20"/>
              </w:rPr>
              <w:t xml:space="preserve"> </w:t>
            </w:r>
            <w:r w:rsidRPr="00150EDC">
              <w:rPr>
                <w:sz w:val="20"/>
              </w:rPr>
              <w:t>With</w:t>
            </w:r>
            <w:r w:rsidRPr="00150EDC">
              <w:rPr>
                <w:spacing w:val="-7"/>
                <w:sz w:val="20"/>
              </w:rPr>
              <w:t xml:space="preserve"> </w:t>
            </w:r>
            <w:r w:rsidRPr="00150EDC">
              <w:rPr>
                <w:sz w:val="20"/>
              </w:rPr>
              <w:t>Incapacity</w:t>
            </w:r>
            <w:r w:rsidRPr="00150EDC">
              <w:rPr>
                <w:spacing w:val="-2"/>
                <w:sz w:val="20"/>
              </w:rPr>
              <w:t xml:space="preserve"> </w:t>
            </w:r>
            <w:r w:rsidRPr="00150EDC">
              <w:rPr>
                <w:sz w:val="20"/>
              </w:rPr>
              <w:t>(Scotland)</w:t>
            </w:r>
            <w:r w:rsidRPr="00150EDC">
              <w:rPr>
                <w:spacing w:val="-7"/>
                <w:sz w:val="20"/>
              </w:rPr>
              <w:t xml:space="preserve"> </w:t>
            </w:r>
            <w:r w:rsidRPr="00150EDC">
              <w:rPr>
                <w:sz w:val="20"/>
              </w:rPr>
              <w:t>Act</w:t>
            </w:r>
            <w:r w:rsidRPr="00150EDC">
              <w:rPr>
                <w:spacing w:val="-6"/>
                <w:sz w:val="20"/>
              </w:rPr>
              <w:t xml:space="preserve"> </w:t>
            </w:r>
            <w:r w:rsidRPr="00150EDC">
              <w:rPr>
                <w:sz w:val="20"/>
              </w:rPr>
              <w:t>2000,</w:t>
            </w:r>
            <w:r w:rsidRPr="00150EDC">
              <w:rPr>
                <w:spacing w:val="-7"/>
                <w:sz w:val="20"/>
              </w:rPr>
              <w:t xml:space="preserve"> </w:t>
            </w:r>
            <w:r w:rsidRPr="00150EDC">
              <w:rPr>
                <w:spacing w:val="-4"/>
                <w:sz w:val="20"/>
              </w:rPr>
              <w:t>s.83</w:t>
            </w:r>
          </w:p>
        </w:tc>
        <w:tc>
          <w:tcPr>
            <w:tcW w:w="7427" w:type="dxa"/>
          </w:tcPr>
          <w:p w14:paraId="0856D943" w14:textId="77777777" w:rsidR="004C7180" w:rsidRPr="00150EDC" w:rsidRDefault="00CF0754">
            <w:pPr>
              <w:pStyle w:val="TableParagraph"/>
              <w:spacing w:before="28"/>
              <w:rPr>
                <w:sz w:val="20"/>
              </w:rPr>
            </w:pPr>
            <w:r w:rsidRPr="00150EDC">
              <w:rPr>
                <w:sz w:val="20"/>
              </w:rPr>
              <w:t>Ill-treatment</w:t>
            </w:r>
            <w:r w:rsidRPr="00150EDC">
              <w:rPr>
                <w:spacing w:val="-13"/>
                <w:sz w:val="20"/>
              </w:rPr>
              <w:t xml:space="preserve"> </w:t>
            </w:r>
            <w:r w:rsidRPr="00150EDC">
              <w:rPr>
                <w:sz w:val="20"/>
              </w:rPr>
              <w:t>and</w:t>
            </w:r>
            <w:r w:rsidRPr="00150EDC">
              <w:rPr>
                <w:spacing w:val="-14"/>
                <w:sz w:val="20"/>
              </w:rPr>
              <w:t xml:space="preserve"> </w:t>
            </w:r>
            <w:r w:rsidRPr="00150EDC">
              <w:rPr>
                <w:sz w:val="20"/>
              </w:rPr>
              <w:t>wilful</w:t>
            </w:r>
            <w:r w:rsidRPr="00150EDC">
              <w:rPr>
                <w:spacing w:val="-13"/>
                <w:sz w:val="20"/>
              </w:rPr>
              <w:t xml:space="preserve"> </w:t>
            </w:r>
            <w:r w:rsidRPr="00150EDC">
              <w:rPr>
                <w:spacing w:val="-2"/>
                <w:sz w:val="20"/>
              </w:rPr>
              <w:t>neglect</w:t>
            </w:r>
          </w:p>
        </w:tc>
      </w:tr>
      <w:tr w:rsidR="004569EE" w:rsidRPr="007D3144" w14:paraId="22E91F4A" w14:textId="77777777">
        <w:trPr>
          <w:trHeight w:val="255"/>
        </w:trPr>
        <w:tc>
          <w:tcPr>
            <w:tcW w:w="6517" w:type="dxa"/>
          </w:tcPr>
          <w:p w14:paraId="6585DAB7" w14:textId="77777777" w:rsidR="004C7180" w:rsidRPr="00150EDC" w:rsidRDefault="00CF0754">
            <w:pPr>
              <w:pStyle w:val="TableParagraph"/>
              <w:rPr>
                <w:sz w:val="20"/>
              </w:rPr>
            </w:pPr>
            <w:r w:rsidRPr="00150EDC">
              <w:rPr>
                <w:sz w:val="20"/>
              </w:rPr>
              <w:t>Air</w:t>
            </w:r>
            <w:r w:rsidRPr="00150EDC">
              <w:rPr>
                <w:spacing w:val="-6"/>
                <w:sz w:val="20"/>
              </w:rPr>
              <w:t xml:space="preserve"> </w:t>
            </w:r>
            <w:r w:rsidRPr="00150EDC">
              <w:rPr>
                <w:sz w:val="20"/>
              </w:rPr>
              <w:t>Force</w:t>
            </w:r>
            <w:r w:rsidRPr="00150EDC">
              <w:rPr>
                <w:spacing w:val="-7"/>
                <w:sz w:val="20"/>
              </w:rPr>
              <w:t xml:space="preserve"> </w:t>
            </w:r>
            <w:r w:rsidRPr="00150EDC">
              <w:rPr>
                <w:sz w:val="20"/>
              </w:rPr>
              <w:t>Act</w:t>
            </w:r>
            <w:r w:rsidRPr="00150EDC">
              <w:rPr>
                <w:spacing w:val="-2"/>
                <w:sz w:val="20"/>
              </w:rPr>
              <w:t xml:space="preserve"> </w:t>
            </w:r>
            <w:r w:rsidRPr="00150EDC">
              <w:rPr>
                <w:sz w:val="20"/>
              </w:rPr>
              <w:t>1955,</w:t>
            </w:r>
            <w:r w:rsidRPr="00150EDC">
              <w:rPr>
                <w:spacing w:val="-7"/>
                <w:sz w:val="20"/>
              </w:rPr>
              <w:t xml:space="preserve"> </w:t>
            </w:r>
            <w:r w:rsidRPr="00150EDC">
              <w:rPr>
                <w:spacing w:val="-5"/>
                <w:sz w:val="20"/>
              </w:rPr>
              <w:t>s70</w:t>
            </w:r>
          </w:p>
        </w:tc>
        <w:tc>
          <w:tcPr>
            <w:tcW w:w="7427" w:type="dxa"/>
          </w:tcPr>
          <w:p w14:paraId="5B248402" w14:textId="77777777" w:rsidR="004C7180" w:rsidRPr="00150EDC" w:rsidRDefault="00CF0754">
            <w:pPr>
              <w:pStyle w:val="TableParagraph"/>
              <w:rPr>
                <w:sz w:val="20"/>
              </w:rPr>
            </w:pPr>
            <w:r w:rsidRPr="00150EDC">
              <w:rPr>
                <w:sz w:val="20"/>
              </w:rPr>
              <w:t>Civil</w:t>
            </w:r>
            <w:r w:rsidRPr="00150EDC">
              <w:rPr>
                <w:spacing w:val="-5"/>
                <w:sz w:val="20"/>
              </w:rPr>
              <w:t xml:space="preserve"> </w:t>
            </w:r>
            <w:r w:rsidRPr="00150EDC">
              <w:rPr>
                <w:sz w:val="20"/>
              </w:rPr>
              <w:t>offences</w:t>
            </w:r>
            <w:r w:rsidRPr="00150EDC">
              <w:rPr>
                <w:spacing w:val="-5"/>
                <w:sz w:val="20"/>
              </w:rPr>
              <w:t xml:space="preserve"> </w:t>
            </w:r>
            <w:r w:rsidRPr="00150EDC">
              <w:rPr>
                <w:sz w:val="20"/>
              </w:rPr>
              <w:t>-</w:t>
            </w:r>
            <w:r w:rsidRPr="00150EDC">
              <w:rPr>
                <w:spacing w:val="-3"/>
                <w:sz w:val="20"/>
              </w:rPr>
              <w:t xml:space="preserve"> </w:t>
            </w:r>
            <w:r w:rsidRPr="00150EDC">
              <w:rPr>
                <w:sz w:val="20"/>
              </w:rPr>
              <w:t>equivalent</w:t>
            </w:r>
            <w:r w:rsidRPr="00150EDC">
              <w:rPr>
                <w:spacing w:val="-7"/>
                <w:sz w:val="20"/>
              </w:rPr>
              <w:t xml:space="preserve"> </w:t>
            </w:r>
            <w:r w:rsidRPr="00150EDC">
              <w:rPr>
                <w:spacing w:val="-2"/>
                <w:sz w:val="20"/>
              </w:rPr>
              <w:t>offences</w:t>
            </w:r>
          </w:p>
        </w:tc>
      </w:tr>
      <w:tr w:rsidR="004569EE" w:rsidRPr="007D3144" w14:paraId="22C6C535" w14:textId="77777777">
        <w:trPr>
          <w:trHeight w:val="255"/>
        </w:trPr>
        <w:tc>
          <w:tcPr>
            <w:tcW w:w="6517" w:type="dxa"/>
          </w:tcPr>
          <w:p w14:paraId="64621633" w14:textId="77777777" w:rsidR="004C7180" w:rsidRPr="00150EDC" w:rsidRDefault="00CF0754">
            <w:pPr>
              <w:pStyle w:val="TableParagraph"/>
              <w:rPr>
                <w:sz w:val="20"/>
              </w:rPr>
            </w:pPr>
            <w:r w:rsidRPr="00150EDC">
              <w:rPr>
                <w:sz w:val="20"/>
              </w:rPr>
              <w:t>Air</w:t>
            </w:r>
            <w:r w:rsidRPr="00150EDC">
              <w:rPr>
                <w:spacing w:val="-6"/>
                <w:sz w:val="20"/>
              </w:rPr>
              <w:t xml:space="preserve"> </w:t>
            </w:r>
            <w:r w:rsidRPr="00150EDC">
              <w:rPr>
                <w:sz w:val="20"/>
              </w:rPr>
              <w:t>Navigation</w:t>
            </w:r>
            <w:r w:rsidRPr="00150EDC">
              <w:rPr>
                <w:spacing w:val="-7"/>
                <w:sz w:val="20"/>
              </w:rPr>
              <w:t xml:space="preserve"> </w:t>
            </w:r>
            <w:r w:rsidRPr="00150EDC">
              <w:rPr>
                <w:sz w:val="20"/>
              </w:rPr>
              <w:t>Order</w:t>
            </w:r>
            <w:r w:rsidRPr="00150EDC">
              <w:rPr>
                <w:spacing w:val="-2"/>
                <w:sz w:val="20"/>
              </w:rPr>
              <w:t xml:space="preserve"> </w:t>
            </w:r>
            <w:r w:rsidRPr="00150EDC">
              <w:rPr>
                <w:sz w:val="20"/>
              </w:rPr>
              <w:t>1985,</w:t>
            </w:r>
            <w:r w:rsidRPr="00150EDC">
              <w:rPr>
                <w:spacing w:val="-7"/>
                <w:sz w:val="20"/>
              </w:rPr>
              <w:t xml:space="preserve"> </w:t>
            </w:r>
            <w:r w:rsidRPr="00150EDC">
              <w:rPr>
                <w:sz w:val="20"/>
              </w:rPr>
              <w:t>Art</w:t>
            </w:r>
            <w:r w:rsidRPr="00150EDC">
              <w:rPr>
                <w:spacing w:val="-6"/>
                <w:sz w:val="20"/>
              </w:rPr>
              <w:t xml:space="preserve"> </w:t>
            </w:r>
            <w:r w:rsidRPr="00150EDC">
              <w:rPr>
                <w:spacing w:val="-5"/>
                <w:sz w:val="20"/>
              </w:rPr>
              <w:t>47</w:t>
            </w:r>
          </w:p>
        </w:tc>
        <w:tc>
          <w:tcPr>
            <w:tcW w:w="7427" w:type="dxa"/>
          </w:tcPr>
          <w:p w14:paraId="21FA84D6" w14:textId="77777777" w:rsidR="004C7180" w:rsidRPr="00150EDC" w:rsidRDefault="00CF0754">
            <w:pPr>
              <w:pStyle w:val="TableParagraph"/>
              <w:rPr>
                <w:sz w:val="20"/>
              </w:rPr>
            </w:pPr>
            <w:r w:rsidRPr="00150EDC">
              <w:rPr>
                <w:sz w:val="20"/>
              </w:rPr>
              <w:t>Endangering</w:t>
            </w:r>
            <w:r w:rsidRPr="00150EDC">
              <w:rPr>
                <w:spacing w:val="-6"/>
                <w:sz w:val="20"/>
              </w:rPr>
              <w:t xml:space="preserve"> </w:t>
            </w:r>
            <w:r w:rsidRPr="00150EDC">
              <w:rPr>
                <w:sz w:val="20"/>
              </w:rPr>
              <w:t>safety</w:t>
            </w:r>
            <w:r w:rsidRPr="00150EDC">
              <w:rPr>
                <w:spacing w:val="-5"/>
                <w:sz w:val="20"/>
              </w:rPr>
              <w:t xml:space="preserve"> </w:t>
            </w:r>
            <w:r w:rsidRPr="00150EDC">
              <w:rPr>
                <w:sz w:val="20"/>
              </w:rPr>
              <w:t>of</w:t>
            </w:r>
            <w:r w:rsidRPr="00150EDC">
              <w:rPr>
                <w:spacing w:val="-1"/>
                <w:sz w:val="20"/>
              </w:rPr>
              <w:t xml:space="preserve"> </w:t>
            </w:r>
            <w:r w:rsidRPr="00150EDC">
              <w:rPr>
                <w:sz w:val="20"/>
              </w:rPr>
              <w:t>an</w:t>
            </w:r>
            <w:r w:rsidRPr="00150EDC">
              <w:rPr>
                <w:spacing w:val="-5"/>
                <w:sz w:val="20"/>
              </w:rPr>
              <w:t xml:space="preserve"> </w:t>
            </w:r>
            <w:r w:rsidRPr="00150EDC">
              <w:rPr>
                <w:spacing w:val="-2"/>
                <w:sz w:val="20"/>
              </w:rPr>
              <w:t>aircraft</w:t>
            </w:r>
          </w:p>
        </w:tc>
      </w:tr>
      <w:tr w:rsidR="004569EE" w:rsidRPr="007D3144" w14:paraId="1D9CBA24" w14:textId="77777777">
        <w:trPr>
          <w:trHeight w:val="255"/>
        </w:trPr>
        <w:tc>
          <w:tcPr>
            <w:tcW w:w="6517" w:type="dxa"/>
          </w:tcPr>
          <w:p w14:paraId="3E885653" w14:textId="77777777" w:rsidR="004C7180" w:rsidRPr="00150EDC" w:rsidRDefault="00CF0754">
            <w:pPr>
              <w:pStyle w:val="TableParagraph"/>
              <w:rPr>
                <w:sz w:val="20"/>
              </w:rPr>
            </w:pPr>
            <w:r w:rsidRPr="00150EDC">
              <w:rPr>
                <w:sz w:val="20"/>
              </w:rPr>
              <w:t>Air</w:t>
            </w:r>
            <w:r w:rsidRPr="00150EDC">
              <w:rPr>
                <w:spacing w:val="-8"/>
                <w:sz w:val="20"/>
              </w:rPr>
              <w:t xml:space="preserve"> </w:t>
            </w:r>
            <w:r w:rsidRPr="00150EDC">
              <w:rPr>
                <w:sz w:val="20"/>
              </w:rPr>
              <w:t>Navigation</w:t>
            </w:r>
            <w:r w:rsidRPr="00150EDC">
              <w:rPr>
                <w:spacing w:val="-7"/>
                <w:sz w:val="20"/>
              </w:rPr>
              <w:t xml:space="preserve"> </w:t>
            </w:r>
            <w:r w:rsidRPr="00150EDC">
              <w:rPr>
                <w:sz w:val="20"/>
              </w:rPr>
              <w:t>Order</w:t>
            </w:r>
            <w:r w:rsidRPr="00150EDC">
              <w:rPr>
                <w:spacing w:val="-4"/>
                <w:sz w:val="20"/>
              </w:rPr>
              <w:t xml:space="preserve"> </w:t>
            </w:r>
            <w:r w:rsidRPr="00150EDC">
              <w:rPr>
                <w:sz w:val="20"/>
              </w:rPr>
              <w:t>1989,</w:t>
            </w:r>
            <w:r w:rsidRPr="00150EDC">
              <w:rPr>
                <w:spacing w:val="-7"/>
                <w:sz w:val="20"/>
              </w:rPr>
              <w:t xml:space="preserve"> </w:t>
            </w:r>
            <w:r w:rsidRPr="00150EDC">
              <w:rPr>
                <w:sz w:val="20"/>
              </w:rPr>
              <w:t>Art</w:t>
            </w:r>
            <w:r w:rsidRPr="00150EDC">
              <w:rPr>
                <w:spacing w:val="-6"/>
                <w:sz w:val="20"/>
              </w:rPr>
              <w:t xml:space="preserve"> </w:t>
            </w:r>
            <w:r w:rsidRPr="00150EDC">
              <w:rPr>
                <w:spacing w:val="-5"/>
                <w:sz w:val="20"/>
              </w:rPr>
              <w:t>50</w:t>
            </w:r>
          </w:p>
        </w:tc>
        <w:tc>
          <w:tcPr>
            <w:tcW w:w="7427" w:type="dxa"/>
          </w:tcPr>
          <w:p w14:paraId="0F64805A" w14:textId="77777777" w:rsidR="004C7180" w:rsidRPr="00150EDC" w:rsidRDefault="00CF0754">
            <w:pPr>
              <w:pStyle w:val="TableParagraph"/>
              <w:rPr>
                <w:sz w:val="20"/>
              </w:rPr>
            </w:pPr>
            <w:r w:rsidRPr="00150EDC">
              <w:rPr>
                <w:sz w:val="20"/>
              </w:rPr>
              <w:t>Endangering</w:t>
            </w:r>
            <w:r w:rsidRPr="00150EDC">
              <w:rPr>
                <w:spacing w:val="-6"/>
                <w:sz w:val="20"/>
              </w:rPr>
              <w:t xml:space="preserve"> </w:t>
            </w:r>
            <w:r w:rsidRPr="00150EDC">
              <w:rPr>
                <w:sz w:val="20"/>
              </w:rPr>
              <w:t>safety</w:t>
            </w:r>
            <w:r w:rsidRPr="00150EDC">
              <w:rPr>
                <w:spacing w:val="-5"/>
                <w:sz w:val="20"/>
              </w:rPr>
              <w:t xml:space="preserve"> </w:t>
            </w:r>
            <w:r w:rsidRPr="00150EDC">
              <w:rPr>
                <w:sz w:val="20"/>
              </w:rPr>
              <w:t>of</w:t>
            </w:r>
            <w:r w:rsidRPr="00150EDC">
              <w:rPr>
                <w:spacing w:val="-1"/>
                <w:sz w:val="20"/>
              </w:rPr>
              <w:t xml:space="preserve"> </w:t>
            </w:r>
            <w:r w:rsidRPr="00150EDC">
              <w:rPr>
                <w:sz w:val="20"/>
              </w:rPr>
              <w:t>an</w:t>
            </w:r>
            <w:r w:rsidRPr="00150EDC">
              <w:rPr>
                <w:spacing w:val="-5"/>
                <w:sz w:val="20"/>
              </w:rPr>
              <w:t xml:space="preserve"> </w:t>
            </w:r>
            <w:r w:rsidRPr="00150EDC">
              <w:rPr>
                <w:spacing w:val="-2"/>
                <w:sz w:val="20"/>
              </w:rPr>
              <w:t>aircraft</w:t>
            </w:r>
          </w:p>
        </w:tc>
      </w:tr>
      <w:tr w:rsidR="004569EE" w:rsidRPr="007D3144" w14:paraId="4EC8B76D" w14:textId="77777777">
        <w:trPr>
          <w:trHeight w:val="255"/>
        </w:trPr>
        <w:tc>
          <w:tcPr>
            <w:tcW w:w="6517" w:type="dxa"/>
          </w:tcPr>
          <w:p w14:paraId="209DA875" w14:textId="77777777" w:rsidR="004C7180" w:rsidRPr="00150EDC" w:rsidRDefault="00CF0754">
            <w:pPr>
              <w:pStyle w:val="TableParagraph"/>
              <w:spacing w:before="28"/>
              <w:rPr>
                <w:sz w:val="20"/>
              </w:rPr>
            </w:pPr>
            <w:r w:rsidRPr="00150EDC">
              <w:rPr>
                <w:sz w:val="20"/>
              </w:rPr>
              <w:t>Air</w:t>
            </w:r>
            <w:r w:rsidRPr="00150EDC">
              <w:rPr>
                <w:spacing w:val="-8"/>
                <w:sz w:val="20"/>
              </w:rPr>
              <w:t xml:space="preserve"> </w:t>
            </w:r>
            <w:r w:rsidRPr="00150EDC">
              <w:rPr>
                <w:sz w:val="20"/>
              </w:rPr>
              <w:t>Navigation</w:t>
            </w:r>
            <w:r w:rsidRPr="00150EDC">
              <w:rPr>
                <w:spacing w:val="-7"/>
                <w:sz w:val="20"/>
              </w:rPr>
              <w:t xml:space="preserve"> </w:t>
            </w:r>
            <w:r w:rsidRPr="00150EDC">
              <w:rPr>
                <w:sz w:val="20"/>
              </w:rPr>
              <w:t>Order</w:t>
            </w:r>
            <w:r w:rsidRPr="00150EDC">
              <w:rPr>
                <w:spacing w:val="-4"/>
                <w:sz w:val="20"/>
              </w:rPr>
              <w:t xml:space="preserve"> </w:t>
            </w:r>
            <w:r w:rsidRPr="00150EDC">
              <w:rPr>
                <w:sz w:val="20"/>
              </w:rPr>
              <w:t>1989,</w:t>
            </w:r>
            <w:r w:rsidRPr="00150EDC">
              <w:rPr>
                <w:spacing w:val="-7"/>
                <w:sz w:val="20"/>
              </w:rPr>
              <w:t xml:space="preserve"> </w:t>
            </w:r>
            <w:r w:rsidRPr="00150EDC">
              <w:rPr>
                <w:sz w:val="20"/>
              </w:rPr>
              <w:t>Art</w:t>
            </w:r>
            <w:r w:rsidRPr="00150EDC">
              <w:rPr>
                <w:spacing w:val="-6"/>
                <w:sz w:val="20"/>
              </w:rPr>
              <w:t xml:space="preserve"> </w:t>
            </w:r>
            <w:r w:rsidRPr="00150EDC">
              <w:rPr>
                <w:spacing w:val="-5"/>
                <w:sz w:val="20"/>
              </w:rPr>
              <w:t>51</w:t>
            </w:r>
          </w:p>
        </w:tc>
        <w:tc>
          <w:tcPr>
            <w:tcW w:w="7427" w:type="dxa"/>
          </w:tcPr>
          <w:p w14:paraId="5B545EE1" w14:textId="77777777" w:rsidR="004C7180" w:rsidRPr="00150EDC" w:rsidRDefault="00CF0754">
            <w:pPr>
              <w:pStyle w:val="TableParagraph"/>
              <w:spacing w:before="28"/>
              <w:rPr>
                <w:sz w:val="20"/>
              </w:rPr>
            </w:pPr>
            <w:r w:rsidRPr="00150EDC">
              <w:rPr>
                <w:sz w:val="20"/>
              </w:rPr>
              <w:t>Endangering</w:t>
            </w:r>
            <w:r w:rsidRPr="00150EDC">
              <w:rPr>
                <w:spacing w:val="-6"/>
                <w:sz w:val="20"/>
              </w:rPr>
              <w:t xml:space="preserve"> </w:t>
            </w:r>
            <w:r w:rsidRPr="00150EDC">
              <w:rPr>
                <w:sz w:val="20"/>
              </w:rPr>
              <w:t>safety</w:t>
            </w:r>
            <w:r w:rsidRPr="00150EDC">
              <w:rPr>
                <w:spacing w:val="-5"/>
                <w:sz w:val="20"/>
              </w:rPr>
              <w:t xml:space="preserve"> </w:t>
            </w:r>
            <w:r w:rsidRPr="00150EDC">
              <w:rPr>
                <w:sz w:val="20"/>
              </w:rPr>
              <w:t>of</w:t>
            </w:r>
            <w:r w:rsidRPr="00150EDC">
              <w:rPr>
                <w:spacing w:val="-1"/>
                <w:sz w:val="20"/>
              </w:rPr>
              <w:t xml:space="preserve"> </w:t>
            </w:r>
            <w:r w:rsidRPr="00150EDC">
              <w:rPr>
                <w:sz w:val="20"/>
              </w:rPr>
              <w:t>any</w:t>
            </w:r>
            <w:r w:rsidRPr="00150EDC">
              <w:rPr>
                <w:spacing w:val="-5"/>
                <w:sz w:val="20"/>
              </w:rPr>
              <w:t xml:space="preserve"> </w:t>
            </w:r>
            <w:r w:rsidRPr="00150EDC">
              <w:rPr>
                <w:sz w:val="20"/>
              </w:rPr>
              <w:t>person</w:t>
            </w:r>
            <w:r w:rsidRPr="00150EDC">
              <w:rPr>
                <w:spacing w:val="-1"/>
                <w:sz w:val="20"/>
              </w:rPr>
              <w:t xml:space="preserve"> </w:t>
            </w:r>
            <w:r w:rsidRPr="00150EDC">
              <w:rPr>
                <w:sz w:val="20"/>
              </w:rPr>
              <w:t>or</w:t>
            </w:r>
            <w:r w:rsidRPr="00150EDC">
              <w:rPr>
                <w:spacing w:val="-5"/>
                <w:sz w:val="20"/>
              </w:rPr>
              <w:t xml:space="preserve"> </w:t>
            </w:r>
            <w:r w:rsidRPr="00150EDC">
              <w:rPr>
                <w:spacing w:val="-2"/>
                <w:sz w:val="20"/>
              </w:rPr>
              <w:t>property</w:t>
            </w:r>
          </w:p>
        </w:tc>
      </w:tr>
      <w:tr w:rsidR="004569EE" w:rsidRPr="007D3144" w14:paraId="67E7D115" w14:textId="77777777">
        <w:trPr>
          <w:trHeight w:val="255"/>
        </w:trPr>
        <w:tc>
          <w:tcPr>
            <w:tcW w:w="6517" w:type="dxa"/>
          </w:tcPr>
          <w:p w14:paraId="0531BAB3" w14:textId="77777777" w:rsidR="004C7180" w:rsidRPr="00150EDC" w:rsidRDefault="00CF0754">
            <w:pPr>
              <w:pStyle w:val="TableParagraph"/>
              <w:rPr>
                <w:sz w:val="20"/>
              </w:rPr>
            </w:pPr>
            <w:r w:rsidRPr="00150EDC">
              <w:rPr>
                <w:sz w:val="20"/>
              </w:rPr>
              <w:t>Air</w:t>
            </w:r>
            <w:r w:rsidRPr="00150EDC">
              <w:rPr>
                <w:spacing w:val="-8"/>
                <w:sz w:val="20"/>
              </w:rPr>
              <w:t xml:space="preserve"> </w:t>
            </w:r>
            <w:r w:rsidRPr="00150EDC">
              <w:rPr>
                <w:sz w:val="20"/>
              </w:rPr>
              <w:t>Navigation</w:t>
            </w:r>
            <w:r w:rsidRPr="00150EDC">
              <w:rPr>
                <w:spacing w:val="-7"/>
                <w:sz w:val="20"/>
              </w:rPr>
              <w:t xml:space="preserve"> </w:t>
            </w:r>
            <w:r w:rsidRPr="00150EDC">
              <w:rPr>
                <w:sz w:val="20"/>
              </w:rPr>
              <w:t>Order</w:t>
            </w:r>
            <w:r w:rsidRPr="00150EDC">
              <w:rPr>
                <w:spacing w:val="-4"/>
                <w:sz w:val="20"/>
              </w:rPr>
              <w:t xml:space="preserve"> </w:t>
            </w:r>
            <w:r w:rsidRPr="00150EDC">
              <w:rPr>
                <w:sz w:val="20"/>
              </w:rPr>
              <w:t>1995,</w:t>
            </w:r>
            <w:r w:rsidRPr="00150EDC">
              <w:rPr>
                <w:spacing w:val="-7"/>
                <w:sz w:val="20"/>
              </w:rPr>
              <w:t xml:space="preserve"> </w:t>
            </w:r>
            <w:r w:rsidRPr="00150EDC">
              <w:rPr>
                <w:sz w:val="20"/>
              </w:rPr>
              <w:t>Art</w:t>
            </w:r>
            <w:r w:rsidRPr="00150EDC">
              <w:rPr>
                <w:spacing w:val="-6"/>
                <w:sz w:val="20"/>
              </w:rPr>
              <w:t xml:space="preserve"> </w:t>
            </w:r>
            <w:r w:rsidRPr="00150EDC">
              <w:rPr>
                <w:spacing w:val="-5"/>
                <w:sz w:val="20"/>
              </w:rPr>
              <w:t>55</w:t>
            </w:r>
          </w:p>
        </w:tc>
        <w:tc>
          <w:tcPr>
            <w:tcW w:w="7427" w:type="dxa"/>
          </w:tcPr>
          <w:p w14:paraId="5FD4204B" w14:textId="77777777" w:rsidR="004C7180" w:rsidRPr="00150EDC" w:rsidRDefault="00CF0754">
            <w:pPr>
              <w:pStyle w:val="TableParagraph"/>
              <w:rPr>
                <w:sz w:val="20"/>
              </w:rPr>
            </w:pPr>
            <w:r w:rsidRPr="00150EDC">
              <w:rPr>
                <w:sz w:val="20"/>
              </w:rPr>
              <w:t>Endangering</w:t>
            </w:r>
            <w:r w:rsidRPr="00150EDC">
              <w:rPr>
                <w:spacing w:val="-6"/>
                <w:sz w:val="20"/>
              </w:rPr>
              <w:t xml:space="preserve"> </w:t>
            </w:r>
            <w:r w:rsidRPr="00150EDC">
              <w:rPr>
                <w:sz w:val="20"/>
              </w:rPr>
              <w:t>safety</w:t>
            </w:r>
            <w:r w:rsidRPr="00150EDC">
              <w:rPr>
                <w:spacing w:val="-5"/>
                <w:sz w:val="20"/>
              </w:rPr>
              <w:t xml:space="preserve"> </w:t>
            </w:r>
            <w:r w:rsidRPr="00150EDC">
              <w:rPr>
                <w:sz w:val="20"/>
              </w:rPr>
              <w:t>of</w:t>
            </w:r>
            <w:r w:rsidRPr="00150EDC">
              <w:rPr>
                <w:spacing w:val="-1"/>
                <w:sz w:val="20"/>
              </w:rPr>
              <w:t xml:space="preserve"> </w:t>
            </w:r>
            <w:r w:rsidRPr="00150EDC">
              <w:rPr>
                <w:sz w:val="20"/>
              </w:rPr>
              <w:t>an</w:t>
            </w:r>
            <w:r w:rsidRPr="00150EDC">
              <w:rPr>
                <w:spacing w:val="-5"/>
                <w:sz w:val="20"/>
              </w:rPr>
              <w:t xml:space="preserve"> </w:t>
            </w:r>
            <w:r w:rsidRPr="00150EDC">
              <w:rPr>
                <w:spacing w:val="-2"/>
                <w:sz w:val="20"/>
              </w:rPr>
              <w:t>aircraft</w:t>
            </w:r>
          </w:p>
        </w:tc>
      </w:tr>
      <w:tr w:rsidR="004569EE" w:rsidRPr="007D3144" w14:paraId="4C4FB564" w14:textId="77777777">
        <w:trPr>
          <w:trHeight w:val="255"/>
        </w:trPr>
        <w:tc>
          <w:tcPr>
            <w:tcW w:w="6517" w:type="dxa"/>
          </w:tcPr>
          <w:p w14:paraId="434D0BCA" w14:textId="77777777" w:rsidR="004C7180" w:rsidRPr="00150EDC" w:rsidRDefault="00CF0754">
            <w:pPr>
              <w:pStyle w:val="TableParagraph"/>
              <w:rPr>
                <w:sz w:val="20"/>
              </w:rPr>
            </w:pPr>
            <w:r w:rsidRPr="00150EDC">
              <w:rPr>
                <w:sz w:val="20"/>
              </w:rPr>
              <w:t>Air</w:t>
            </w:r>
            <w:r w:rsidRPr="00150EDC">
              <w:rPr>
                <w:spacing w:val="-8"/>
                <w:sz w:val="20"/>
              </w:rPr>
              <w:t xml:space="preserve"> </w:t>
            </w:r>
            <w:r w:rsidRPr="00150EDC">
              <w:rPr>
                <w:sz w:val="20"/>
              </w:rPr>
              <w:t>Navigation</w:t>
            </w:r>
            <w:r w:rsidRPr="00150EDC">
              <w:rPr>
                <w:spacing w:val="-7"/>
                <w:sz w:val="20"/>
              </w:rPr>
              <w:t xml:space="preserve"> </w:t>
            </w:r>
            <w:r w:rsidRPr="00150EDC">
              <w:rPr>
                <w:sz w:val="20"/>
              </w:rPr>
              <w:t>Order</w:t>
            </w:r>
            <w:r w:rsidRPr="00150EDC">
              <w:rPr>
                <w:spacing w:val="-4"/>
                <w:sz w:val="20"/>
              </w:rPr>
              <w:t xml:space="preserve"> </w:t>
            </w:r>
            <w:r w:rsidRPr="00150EDC">
              <w:rPr>
                <w:sz w:val="20"/>
              </w:rPr>
              <w:t>2005,</w:t>
            </w:r>
            <w:r w:rsidRPr="00150EDC">
              <w:rPr>
                <w:spacing w:val="-7"/>
                <w:sz w:val="20"/>
              </w:rPr>
              <w:t xml:space="preserve"> </w:t>
            </w:r>
            <w:r w:rsidRPr="00150EDC">
              <w:rPr>
                <w:sz w:val="20"/>
              </w:rPr>
              <w:t>Art</w:t>
            </w:r>
            <w:r w:rsidRPr="00150EDC">
              <w:rPr>
                <w:spacing w:val="-6"/>
                <w:sz w:val="20"/>
              </w:rPr>
              <w:t xml:space="preserve"> </w:t>
            </w:r>
            <w:r w:rsidRPr="00150EDC">
              <w:rPr>
                <w:spacing w:val="-5"/>
                <w:sz w:val="20"/>
              </w:rPr>
              <w:t>73</w:t>
            </w:r>
          </w:p>
        </w:tc>
        <w:tc>
          <w:tcPr>
            <w:tcW w:w="7427" w:type="dxa"/>
          </w:tcPr>
          <w:p w14:paraId="7DCA1334" w14:textId="77777777" w:rsidR="004C7180" w:rsidRPr="00150EDC" w:rsidRDefault="00CF0754">
            <w:pPr>
              <w:pStyle w:val="TableParagraph"/>
              <w:rPr>
                <w:sz w:val="20"/>
              </w:rPr>
            </w:pPr>
            <w:r w:rsidRPr="00150EDC">
              <w:rPr>
                <w:sz w:val="20"/>
              </w:rPr>
              <w:t>Endangering</w:t>
            </w:r>
            <w:r w:rsidRPr="00150EDC">
              <w:rPr>
                <w:spacing w:val="-6"/>
                <w:sz w:val="20"/>
              </w:rPr>
              <w:t xml:space="preserve"> </w:t>
            </w:r>
            <w:r w:rsidRPr="00150EDC">
              <w:rPr>
                <w:sz w:val="20"/>
              </w:rPr>
              <w:t>safety</w:t>
            </w:r>
            <w:r w:rsidRPr="00150EDC">
              <w:rPr>
                <w:spacing w:val="-5"/>
                <w:sz w:val="20"/>
              </w:rPr>
              <w:t xml:space="preserve"> </w:t>
            </w:r>
            <w:r w:rsidRPr="00150EDC">
              <w:rPr>
                <w:sz w:val="20"/>
              </w:rPr>
              <w:t>of</w:t>
            </w:r>
            <w:r w:rsidRPr="00150EDC">
              <w:rPr>
                <w:spacing w:val="-1"/>
                <w:sz w:val="20"/>
              </w:rPr>
              <w:t xml:space="preserve"> </w:t>
            </w:r>
            <w:r w:rsidRPr="00150EDC">
              <w:rPr>
                <w:sz w:val="20"/>
              </w:rPr>
              <w:t>an</w:t>
            </w:r>
            <w:r w:rsidRPr="00150EDC">
              <w:rPr>
                <w:spacing w:val="-5"/>
                <w:sz w:val="20"/>
              </w:rPr>
              <w:t xml:space="preserve"> </w:t>
            </w:r>
            <w:r w:rsidRPr="00150EDC">
              <w:rPr>
                <w:spacing w:val="-2"/>
                <w:sz w:val="20"/>
              </w:rPr>
              <w:t>aircraft</w:t>
            </w:r>
          </w:p>
        </w:tc>
      </w:tr>
      <w:tr w:rsidR="004569EE" w:rsidRPr="007D3144" w14:paraId="000AA8E3" w14:textId="77777777">
        <w:trPr>
          <w:trHeight w:val="255"/>
        </w:trPr>
        <w:tc>
          <w:tcPr>
            <w:tcW w:w="6517" w:type="dxa"/>
          </w:tcPr>
          <w:p w14:paraId="28EE8EC7" w14:textId="77777777" w:rsidR="004C7180" w:rsidRPr="00150EDC" w:rsidRDefault="00CF0754">
            <w:pPr>
              <w:pStyle w:val="TableParagraph"/>
              <w:rPr>
                <w:sz w:val="20"/>
              </w:rPr>
            </w:pPr>
            <w:r w:rsidRPr="00150EDC">
              <w:rPr>
                <w:sz w:val="20"/>
              </w:rPr>
              <w:t>Air</w:t>
            </w:r>
            <w:r w:rsidRPr="00150EDC">
              <w:rPr>
                <w:spacing w:val="-8"/>
                <w:sz w:val="20"/>
              </w:rPr>
              <w:t xml:space="preserve"> </w:t>
            </w:r>
            <w:r w:rsidRPr="00150EDC">
              <w:rPr>
                <w:sz w:val="20"/>
              </w:rPr>
              <w:t>Navigation</w:t>
            </w:r>
            <w:r w:rsidRPr="00150EDC">
              <w:rPr>
                <w:spacing w:val="-7"/>
                <w:sz w:val="20"/>
              </w:rPr>
              <w:t xml:space="preserve"> </w:t>
            </w:r>
            <w:r w:rsidRPr="00150EDC">
              <w:rPr>
                <w:sz w:val="20"/>
              </w:rPr>
              <w:t>Order</w:t>
            </w:r>
            <w:r w:rsidRPr="00150EDC">
              <w:rPr>
                <w:spacing w:val="-4"/>
                <w:sz w:val="20"/>
              </w:rPr>
              <w:t xml:space="preserve"> </w:t>
            </w:r>
            <w:r w:rsidRPr="00150EDC">
              <w:rPr>
                <w:sz w:val="20"/>
              </w:rPr>
              <w:t>2009,</w:t>
            </w:r>
            <w:r w:rsidRPr="00150EDC">
              <w:rPr>
                <w:spacing w:val="-7"/>
                <w:sz w:val="20"/>
              </w:rPr>
              <w:t xml:space="preserve"> </w:t>
            </w:r>
            <w:r w:rsidRPr="00150EDC">
              <w:rPr>
                <w:sz w:val="20"/>
              </w:rPr>
              <w:t>Art</w:t>
            </w:r>
            <w:r w:rsidRPr="00150EDC">
              <w:rPr>
                <w:spacing w:val="-6"/>
                <w:sz w:val="20"/>
              </w:rPr>
              <w:t xml:space="preserve"> </w:t>
            </w:r>
            <w:r w:rsidRPr="00150EDC">
              <w:rPr>
                <w:spacing w:val="-5"/>
                <w:sz w:val="20"/>
              </w:rPr>
              <w:t>137</w:t>
            </w:r>
          </w:p>
        </w:tc>
        <w:tc>
          <w:tcPr>
            <w:tcW w:w="7427" w:type="dxa"/>
          </w:tcPr>
          <w:p w14:paraId="62E82CC7" w14:textId="77777777" w:rsidR="004C7180" w:rsidRPr="00150EDC" w:rsidRDefault="00CF0754">
            <w:pPr>
              <w:pStyle w:val="TableParagraph"/>
              <w:rPr>
                <w:sz w:val="20"/>
              </w:rPr>
            </w:pPr>
            <w:r w:rsidRPr="00150EDC">
              <w:rPr>
                <w:sz w:val="20"/>
              </w:rPr>
              <w:t>Endangering</w:t>
            </w:r>
            <w:r w:rsidRPr="00150EDC">
              <w:rPr>
                <w:spacing w:val="-6"/>
                <w:sz w:val="20"/>
              </w:rPr>
              <w:t xml:space="preserve"> </w:t>
            </w:r>
            <w:r w:rsidRPr="00150EDC">
              <w:rPr>
                <w:sz w:val="20"/>
              </w:rPr>
              <w:t>safety</w:t>
            </w:r>
            <w:r w:rsidRPr="00150EDC">
              <w:rPr>
                <w:spacing w:val="-5"/>
                <w:sz w:val="20"/>
              </w:rPr>
              <w:t xml:space="preserve"> </w:t>
            </w:r>
            <w:r w:rsidRPr="00150EDC">
              <w:rPr>
                <w:sz w:val="20"/>
              </w:rPr>
              <w:t>of</w:t>
            </w:r>
            <w:r w:rsidRPr="00150EDC">
              <w:rPr>
                <w:spacing w:val="-1"/>
                <w:sz w:val="20"/>
              </w:rPr>
              <w:t xml:space="preserve"> </w:t>
            </w:r>
            <w:r w:rsidRPr="00150EDC">
              <w:rPr>
                <w:sz w:val="20"/>
              </w:rPr>
              <w:t>an</w:t>
            </w:r>
            <w:r w:rsidRPr="00150EDC">
              <w:rPr>
                <w:spacing w:val="-5"/>
                <w:sz w:val="20"/>
              </w:rPr>
              <w:t xml:space="preserve"> </w:t>
            </w:r>
            <w:r w:rsidRPr="00150EDC">
              <w:rPr>
                <w:spacing w:val="-2"/>
                <w:sz w:val="20"/>
              </w:rPr>
              <w:t>aircraft</w:t>
            </w:r>
          </w:p>
        </w:tc>
      </w:tr>
      <w:tr w:rsidR="004569EE" w:rsidRPr="007D3144" w14:paraId="76BE43ED" w14:textId="77777777">
        <w:trPr>
          <w:trHeight w:val="255"/>
        </w:trPr>
        <w:tc>
          <w:tcPr>
            <w:tcW w:w="6517" w:type="dxa"/>
          </w:tcPr>
          <w:p w14:paraId="33FDB0BB" w14:textId="77777777" w:rsidR="004C7180" w:rsidRPr="00150EDC" w:rsidRDefault="00CF0754">
            <w:pPr>
              <w:pStyle w:val="TableParagraph"/>
              <w:rPr>
                <w:sz w:val="20"/>
              </w:rPr>
            </w:pPr>
            <w:r w:rsidRPr="00150EDC">
              <w:rPr>
                <w:sz w:val="20"/>
              </w:rPr>
              <w:t>Anti-Terrorism</w:t>
            </w:r>
            <w:r w:rsidRPr="00150EDC">
              <w:rPr>
                <w:spacing w:val="-4"/>
                <w:sz w:val="20"/>
              </w:rPr>
              <w:t xml:space="preserve"> </w:t>
            </w:r>
            <w:r w:rsidRPr="00150EDC">
              <w:rPr>
                <w:sz w:val="20"/>
              </w:rPr>
              <w:t>and</w:t>
            </w:r>
            <w:r w:rsidRPr="00150EDC">
              <w:rPr>
                <w:spacing w:val="-6"/>
                <w:sz w:val="20"/>
              </w:rPr>
              <w:t xml:space="preserve"> </w:t>
            </w:r>
            <w:r w:rsidRPr="00150EDC">
              <w:rPr>
                <w:sz w:val="20"/>
              </w:rPr>
              <w:t>Crime</w:t>
            </w:r>
            <w:r w:rsidRPr="00150EDC">
              <w:rPr>
                <w:spacing w:val="-7"/>
                <w:sz w:val="20"/>
              </w:rPr>
              <w:t xml:space="preserve"> </w:t>
            </w:r>
            <w:r w:rsidRPr="00150EDC">
              <w:rPr>
                <w:sz w:val="20"/>
              </w:rPr>
              <w:t>Act</w:t>
            </w:r>
            <w:r w:rsidRPr="00150EDC">
              <w:rPr>
                <w:spacing w:val="-6"/>
                <w:sz w:val="20"/>
              </w:rPr>
              <w:t xml:space="preserve"> </w:t>
            </w:r>
            <w:r w:rsidRPr="00150EDC">
              <w:rPr>
                <w:sz w:val="20"/>
              </w:rPr>
              <w:t>2003,</w:t>
            </w:r>
            <w:r w:rsidRPr="00150EDC">
              <w:rPr>
                <w:spacing w:val="-6"/>
                <w:sz w:val="20"/>
              </w:rPr>
              <w:t xml:space="preserve"> </w:t>
            </w:r>
            <w:r w:rsidRPr="00150EDC">
              <w:rPr>
                <w:spacing w:val="-5"/>
                <w:sz w:val="20"/>
              </w:rPr>
              <w:t>s42</w:t>
            </w:r>
          </w:p>
        </w:tc>
        <w:tc>
          <w:tcPr>
            <w:tcW w:w="7427" w:type="dxa"/>
          </w:tcPr>
          <w:p w14:paraId="2671CC7B" w14:textId="77777777" w:rsidR="004C7180" w:rsidRPr="00150EDC" w:rsidRDefault="00CF0754">
            <w:pPr>
              <w:pStyle w:val="TableParagraph"/>
              <w:rPr>
                <w:sz w:val="20"/>
              </w:rPr>
            </w:pPr>
            <w:r w:rsidRPr="00150EDC">
              <w:rPr>
                <w:sz w:val="20"/>
              </w:rPr>
              <w:t>Weapons</w:t>
            </w:r>
            <w:r w:rsidRPr="00150EDC">
              <w:rPr>
                <w:spacing w:val="-10"/>
                <w:sz w:val="20"/>
              </w:rPr>
              <w:t xml:space="preserve"> </w:t>
            </w:r>
            <w:r w:rsidRPr="00150EDC">
              <w:rPr>
                <w:spacing w:val="-2"/>
                <w:sz w:val="20"/>
              </w:rPr>
              <w:t>training</w:t>
            </w:r>
          </w:p>
        </w:tc>
      </w:tr>
      <w:tr w:rsidR="004569EE" w:rsidRPr="007D3144" w14:paraId="6E3679F5" w14:textId="77777777">
        <w:trPr>
          <w:trHeight w:val="255"/>
        </w:trPr>
        <w:tc>
          <w:tcPr>
            <w:tcW w:w="6517" w:type="dxa"/>
          </w:tcPr>
          <w:p w14:paraId="7C40D29B" w14:textId="77777777" w:rsidR="004C7180" w:rsidRPr="00150EDC" w:rsidRDefault="00CF0754">
            <w:pPr>
              <w:pStyle w:val="TableParagraph"/>
              <w:rPr>
                <w:sz w:val="20"/>
              </w:rPr>
            </w:pPr>
            <w:r w:rsidRPr="00150EDC">
              <w:rPr>
                <w:sz w:val="20"/>
              </w:rPr>
              <w:t>Anti-Terrorism</w:t>
            </w:r>
            <w:r w:rsidRPr="00150EDC">
              <w:rPr>
                <w:spacing w:val="-4"/>
                <w:sz w:val="20"/>
              </w:rPr>
              <w:t xml:space="preserve"> </w:t>
            </w:r>
            <w:r w:rsidRPr="00150EDC">
              <w:rPr>
                <w:sz w:val="20"/>
              </w:rPr>
              <w:t>and</w:t>
            </w:r>
            <w:r w:rsidRPr="00150EDC">
              <w:rPr>
                <w:spacing w:val="-6"/>
                <w:sz w:val="20"/>
              </w:rPr>
              <w:t xml:space="preserve"> </w:t>
            </w:r>
            <w:r w:rsidRPr="00150EDC">
              <w:rPr>
                <w:sz w:val="20"/>
              </w:rPr>
              <w:t>Crime</w:t>
            </w:r>
            <w:r w:rsidRPr="00150EDC">
              <w:rPr>
                <w:spacing w:val="-7"/>
                <w:sz w:val="20"/>
              </w:rPr>
              <w:t xml:space="preserve"> </w:t>
            </w:r>
            <w:r w:rsidRPr="00150EDC">
              <w:rPr>
                <w:sz w:val="20"/>
              </w:rPr>
              <w:t>Act</w:t>
            </w:r>
            <w:r w:rsidRPr="00150EDC">
              <w:rPr>
                <w:spacing w:val="-6"/>
                <w:sz w:val="20"/>
              </w:rPr>
              <w:t xml:space="preserve"> </w:t>
            </w:r>
            <w:r w:rsidRPr="00150EDC">
              <w:rPr>
                <w:sz w:val="20"/>
              </w:rPr>
              <w:t>2003,</w:t>
            </w:r>
            <w:r w:rsidRPr="00150EDC">
              <w:rPr>
                <w:spacing w:val="-6"/>
                <w:sz w:val="20"/>
              </w:rPr>
              <w:t xml:space="preserve"> </w:t>
            </w:r>
            <w:r w:rsidRPr="00150EDC">
              <w:rPr>
                <w:spacing w:val="-5"/>
                <w:sz w:val="20"/>
              </w:rPr>
              <w:t>s44</w:t>
            </w:r>
          </w:p>
        </w:tc>
        <w:tc>
          <w:tcPr>
            <w:tcW w:w="7427" w:type="dxa"/>
          </w:tcPr>
          <w:p w14:paraId="5DDC79B8" w14:textId="77777777" w:rsidR="004C7180" w:rsidRPr="00150EDC" w:rsidRDefault="00CF0754">
            <w:pPr>
              <w:pStyle w:val="TableParagraph"/>
              <w:rPr>
                <w:sz w:val="20"/>
              </w:rPr>
            </w:pPr>
            <w:r w:rsidRPr="00150EDC">
              <w:rPr>
                <w:sz w:val="20"/>
              </w:rPr>
              <w:t>Directing</w:t>
            </w:r>
            <w:r w:rsidRPr="00150EDC">
              <w:rPr>
                <w:spacing w:val="-7"/>
                <w:sz w:val="20"/>
              </w:rPr>
              <w:t xml:space="preserve"> </w:t>
            </w:r>
            <w:r w:rsidRPr="00150EDC">
              <w:rPr>
                <w:sz w:val="20"/>
              </w:rPr>
              <w:t>terrorist</w:t>
            </w:r>
            <w:r w:rsidRPr="00150EDC">
              <w:rPr>
                <w:spacing w:val="-7"/>
                <w:sz w:val="20"/>
              </w:rPr>
              <w:t xml:space="preserve"> </w:t>
            </w:r>
            <w:r w:rsidRPr="00150EDC">
              <w:rPr>
                <w:spacing w:val="-2"/>
                <w:sz w:val="20"/>
              </w:rPr>
              <w:t>organisation</w:t>
            </w:r>
          </w:p>
        </w:tc>
      </w:tr>
      <w:tr w:rsidR="004569EE" w:rsidRPr="007D3144" w14:paraId="5D661D74" w14:textId="77777777">
        <w:trPr>
          <w:trHeight w:val="255"/>
        </w:trPr>
        <w:tc>
          <w:tcPr>
            <w:tcW w:w="6517" w:type="dxa"/>
          </w:tcPr>
          <w:p w14:paraId="3AF19E58" w14:textId="77777777" w:rsidR="004C7180" w:rsidRPr="00150EDC" w:rsidRDefault="00CF0754">
            <w:pPr>
              <w:pStyle w:val="TableParagraph"/>
              <w:rPr>
                <w:sz w:val="20"/>
              </w:rPr>
            </w:pPr>
            <w:r w:rsidRPr="00150EDC">
              <w:rPr>
                <w:sz w:val="20"/>
              </w:rPr>
              <w:t>Anti-Terrorism</w:t>
            </w:r>
            <w:r w:rsidRPr="00150EDC">
              <w:rPr>
                <w:spacing w:val="-4"/>
                <w:sz w:val="20"/>
              </w:rPr>
              <w:t xml:space="preserve"> </w:t>
            </w:r>
            <w:r w:rsidRPr="00150EDC">
              <w:rPr>
                <w:sz w:val="20"/>
              </w:rPr>
              <w:t>and</w:t>
            </w:r>
            <w:r w:rsidRPr="00150EDC">
              <w:rPr>
                <w:spacing w:val="-6"/>
                <w:sz w:val="20"/>
              </w:rPr>
              <w:t xml:space="preserve"> </w:t>
            </w:r>
            <w:r w:rsidRPr="00150EDC">
              <w:rPr>
                <w:sz w:val="20"/>
              </w:rPr>
              <w:t>Crime</w:t>
            </w:r>
            <w:r w:rsidRPr="00150EDC">
              <w:rPr>
                <w:spacing w:val="-7"/>
                <w:sz w:val="20"/>
              </w:rPr>
              <w:t xml:space="preserve"> </w:t>
            </w:r>
            <w:r w:rsidRPr="00150EDC">
              <w:rPr>
                <w:sz w:val="20"/>
              </w:rPr>
              <w:t>Act</w:t>
            </w:r>
            <w:r w:rsidRPr="00150EDC">
              <w:rPr>
                <w:spacing w:val="-6"/>
                <w:sz w:val="20"/>
              </w:rPr>
              <w:t xml:space="preserve"> </w:t>
            </w:r>
            <w:r w:rsidRPr="00150EDC">
              <w:rPr>
                <w:sz w:val="20"/>
              </w:rPr>
              <w:t>2003,</w:t>
            </w:r>
            <w:r w:rsidRPr="00150EDC">
              <w:rPr>
                <w:spacing w:val="-6"/>
                <w:sz w:val="20"/>
              </w:rPr>
              <w:t xml:space="preserve"> </w:t>
            </w:r>
            <w:r w:rsidRPr="00150EDC">
              <w:rPr>
                <w:spacing w:val="-5"/>
                <w:sz w:val="20"/>
              </w:rPr>
              <w:t>s45</w:t>
            </w:r>
          </w:p>
        </w:tc>
        <w:tc>
          <w:tcPr>
            <w:tcW w:w="7427" w:type="dxa"/>
          </w:tcPr>
          <w:p w14:paraId="62547700" w14:textId="77777777" w:rsidR="004C7180" w:rsidRPr="00150EDC" w:rsidRDefault="00CF0754">
            <w:pPr>
              <w:pStyle w:val="TableParagraph"/>
              <w:rPr>
                <w:sz w:val="20"/>
              </w:rPr>
            </w:pPr>
            <w:r w:rsidRPr="00150EDC">
              <w:rPr>
                <w:sz w:val="20"/>
              </w:rPr>
              <w:t>Possession</w:t>
            </w:r>
            <w:r w:rsidRPr="00150EDC">
              <w:rPr>
                <w:spacing w:val="-9"/>
                <w:sz w:val="20"/>
              </w:rPr>
              <w:t xml:space="preserve"> </w:t>
            </w:r>
            <w:r w:rsidRPr="00150EDC">
              <w:rPr>
                <w:sz w:val="20"/>
              </w:rPr>
              <w:t>for</w:t>
            </w:r>
            <w:r w:rsidRPr="00150EDC">
              <w:rPr>
                <w:spacing w:val="-4"/>
                <w:sz w:val="20"/>
              </w:rPr>
              <w:t xml:space="preserve"> </w:t>
            </w:r>
            <w:r w:rsidRPr="00150EDC">
              <w:rPr>
                <w:sz w:val="20"/>
              </w:rPr>
              <w:t>terrorist</w:t>
            </w:r>
            <w:r w:rsidRPr="00150EDC">
              <w:rPr>
                <w:spacing w:val="-8"/>
                <w:sz w:val="20"/>
              </w:rPr>
              <w:t xml:space="preserve"> </w:t>
            </w:r>
            <w:r w:rsidRPr="00150EDC">
              <w:rPr>
                <w:spacing w:val="-2"/>
                <w:sz w:val="20"/>
              </w:rPr>
              <w:t>purposes</w:t>
            </w:r>
          </w:p>
        </w:tc>
      </w:tr>
      <w:tr w:rsidR="004569EE" w:rsidRPr="007D3144" w14:paraId="25F0A31F" w14:textId="77777777">
        <w:trPr>
          <w:trHeight w:val="255"/>
        </w:trPr>
        <w:tc>
          <w:tcPr>
            <w:tcW w:w="6517" w:type="dxa"/>
          </w:tcPr>
          <w:p w14:paraId="3184DEE8" w14:textId="77777777" w:rsidR="004C7180" w:rsidRPr="00150EDC" w:rsidRDefault="00CF0754">
            <w:pPr>
              <w:pStyle w:val="TableParagraph"/>
              <w:rPr>
                <w:sz w:val="20"/>
              </w:rPr>
            </w:pPr>
            <w:r w:rsidRPr="00150EDC">
              <w:rPr>
                <w:sz w:val="20"/>
              </w:rPr>
              <w:t>Anti-Terrorism</w:t>
            </w:r>
            <w:r w:rsidRPr="00150EDC">
              <w:rPr>
                <w:spacing w:val="-4"/>
                <w:sz w:val="20"/>
              </w:rPr>
              <w:t xml:space="preserve"> </w:t>
            </w:r>
            <w:r w:rsidRPr="00150EDC">
              <w:rPr>
                <w:sz w:val="20"/>
              </w:rPr>
              <w:t>and</w:t>
            </w:r>
            <w:r w:rsidRPr="00150EDC">
              <w:rPr>
                <w:spacing w:val="-6"/>
                <w:sz w:val="20"/>
              </w:rPr>
              <w:t xml:space="preserve"> </w:t>
            </w:r>
            <w:r w:rsidRPr="00150EDC">
              <w:rPr>
                <w:sz w:val="20"/>
              </w:rPr>
              <w:t>Crime</w:t>
            </w:r>
            <w:r w:rsidRPr="00150EDC">
              <w:rPr>
                <w:spacing w:val="-7"/>
                <w:sz w:val="20"/>
              </w:rPr>
              <w:t xml:space="preserve"> </w:t>
            </w:r>
            <w:r w:rsidRPr="00150EDC">
              <w:rPr>
                <w:sz w:val="20"/>
              </w:rPr>
              <w:t>Act</w:t>
            </w:r>
            <w:r w:rsidRPr="00150EDC">
              <w:rPr>
                <w:spacing w:val="-6"/>
                <w:sz w:val="20"/>
              </w:rPr>
              <w:t xml:space="preserve"> </w:t>
            </w:r>
            <w:r w:rsidRPr="00150EDC">
              <w:rPr>
                <w:sz w:val="20"/>
              </w:rPr>
              <w:t>2003,</w:t>
            </w:r>
            <w:r w:rsidRPr="00150EDC">
              <w:rPr>
                <w:spacing w:val="-6"/>
                <w:sz w:val="20"/>
              </w:rPr>
              <w:t xml:space="preserve"> </w:t>
            </w:r>
            <w:r w:rsidRPr="00150EDC">
              <w:rPr>
                <w:spacing w:val="-5"/>
                <w:sz w:val="20"/>
              </w:rPr>
              <w:t>s47</w:t>
            </w:r>
          </w:p>
        </w:tc>
        <w:tc>
          <w:tcPr>
            <w:tcW w:w="7427" w:type="dxa"/>
          </w:tcPr>
          <w:p w14:paraId="5168361C" w14:textId="77777777" w:rsidR="004C7180" w:rsidRPr="00150EDC" w:rsidRDefault="00CF0754">
            <w:pPr>
              <w:pStyle w:val="TableParagraph"/>
              <w:rPr>
                <w:sz w:val="20"/>
              </w:rPr>
            </w:pPr>
            <w:r w:rsidRPr="00150EDC">
              <w:rPr>
                <w:spacing w:val="-2"/>
                <w:sz w:val="20"/>
              </w:rPr>
              <w:t>Incitement</w:t>
            </w:r>
          </w:p>
        </w:tc>
      </w:tr>
      <w:tr w:rsidR="004569EE" w:rsidRPr="007D3144" w14:paraId="2DBF1301" w14:textId="77777777">
        <w:trPr>
          <w:trHeight w:val="255"/>
        </w:trPr>
        <w:tc>
          <w:tcPr>
            <w:tcW w:w="6517" w:type="dxa"/>
          </w:tcPr>
          <w:p w14:paraId="1BAE92AA" w14:textId="77777777" w:rsidR="004C7180" w:rsidRPr="00150EDC" w:rsidRDefault="00CF0754">
            <w:pPr>
              <w:pStyle w:val="TableParagraph"/>
              <w:rPr>
                <w:sz w:val="20"/>
              </w:rPr>
            </w:pPr>
            <w:r w:rsidRPr="00150EDC">
              <w:rPr>
                <w:sz w:val="20"/>
              </w:rPr>
              <w:t>Anti-Terrorism</w:t>
            </w:r>
            <w:r w:rsidRPr="00150EDC">
              <w:rPr>
                <w:spacing w:val="-4"/>
                <w:sz w:val="20"/>
              </w:rPr>
              <w:t xml:space="preserve"> </w:t>
            </w:r>
            <w:r w:rsidRPr="00150EDC">
              <w:rPr>
                <w:sz w:val="20"/>
              </w:rPr>
              <w:t>and</w:t>
            </w:r>
            <w:r w:rsidRPr="00150EDC">
              <w:rPr>
                <w:spacing w:val="-6"/>
                <w:sz w:val="20"/>
              </w:rPr>
              <w:t xml:space="preserve"> </w:t>
            </w:r>
            <w:r w:rsidRPr="00150EDC">
              <w:rPr>
                <w:sz w:val="20"/>
              </w:rPr>
              <w:t>Crime</w:t>
            </w:r>
            <w:r w:rsidRPr="00150EDC">
              <w:rPr>
                <w:spacing w:val="-7"/>
                <w:sz w:val="20"/>
              </w:rPr>
              <w:t xml:space="preserve"> </w:t>
            </w:r>
            <w:r w:rsidRPr="00150EDC">
              <w:rPr>
                <w:sz w:val="20"/>
              </w:rPr>
              <w:t>Act</w:t>
            </w:r>
            <w:r w:rsidRPr="00150EDC">
              <w:rPr>
                <w:spacing w:val="-6"/>
                <w:sz w:val="20"/>
              </w:rPr>
              <w:t xml:space="preserve"> </w:t>
            </w:r>
            <w:r w:rsidRPr="00150EDC">
              <w:rPr>
                <w:sz w:val="20"/>
              </w:rPr>
              <w:t>2003,</w:t>
            </w:r>
            <w:r w:rsidRPr="00150EDC">
              <w:rPr>
                <w:spacing w:val="-6"/>
                <w:sz w:val="20"/>
              </w:rPr>
              <w:t xml:space="preserve"> </w:t>
            </w:r>
            <w:r w:rsidRPr="00150EDC">
              <w:rPr>
                <w:spacing w:val="-5"/>
                <w:sz w:val="20"/>
              </w:rPr>
              <w:t>s60</w:t>
            </w:r>
          </w:p>
        </w:tc>
        <w:tc>
          <w:tcPr>
            <w:tcW w:w="7427" w:type="dxa"/>
          </w:tcPr>
          <w:p w14:paraId="133D324B" w14:textId="77777777" w:rsidR="004C7180" w:rsidRPr="00150EDC" w:rsidRDefault="00CF0754">
            <w:pPr>
              <w:pStyle w:val="TableParagraph"/>
              <w:rPr>
                <w:sz w:val="20"/>
              </w:rPr>
            </w:pPr>
            <w:r w:rsidRPr="00150EDC">
              <w:rPr>
                <w:sz w:val="20"/>
              </w:rPr>
              <w:t>Use</w:t>
            </w:r>
            <w:r w:rsidRPr="00150EDC">
              <w:rPr>
                <w:spacing w:val="-5"/>
                <w:sz w:val="20"/>
              </w:rPr>
              <w:t xml:space="preserve"> </w:t>
            </w:r>
            <w:r w:rsidRPr="00150EDC">
              <w:rPr>
                <w:sz w:val="20"/>
              </w:rPr>
              <w:t>of</w:t>
            </w:r>
            <w:r w:rsidRPr="00150EDC">
              <w:rPr>
                <w:spacing w:val="-4"/>
                <w:sz w:val="20"/>
              </w:rPr>
              <w:t xml:space="preserve"> </w:t>
            </w:r>
            <w:r w:rsidRPr="00150EDC">
              <w:rPr>
                <w:sz w:val="20"/>
              </w:rPr>
              <w:t>noxious</w:t>
            </w:r>
            <w:r w:rsidRPr="00150EDC">
              <w:rPr>
                <w:spacing w:val="-3"/>
                <w:sz w:val="20"/>
              </w:rPr>
              <w:t xml:space="preserve"> </w:t>
            </w:r>
            <w:r w:rsidRPr="00150EDC">
              <w:rPr>
                <w:sz w:val="20"/>
              </w:rPr>
              <w:t>substances</w:t>
            </w:r>
            <w:r w:rsidRPr="00150EDC">
              <w:rPr>
                <w:spacing w:val="-4"/>
                <w:sz w:val="20"/>
              </w:rPr>
              <w:t xml:space="preserve"> </w:t>
            </w:r>
            <w:r w:rsidRPr="00150EDC">
              <w:rPr>
                <w:sz w:val="20"/>
              </w:rPr>
              <w:t>to</w:t>
            </w:r>
            <w:r w:rsidRPr="00150EDC">
              <w:rPr>
                <w:spacing w:val="-5"/>
                <w:sz w:val="20"/>
              </w:rPr>
              <w:t xml:space="preserve"> </w:t>
            </w:r>
            <w:r w:rsidRPr="00150EDC">
              <w:rPr>
                <w:sz w:val="20"/>
              </w:rPr>
              <w:t>cause harm</w:t>
            </w:r>
            <w:r w:rsidRPr="00150EDC">
              <w:rPr>
                <w:spacing w:val="-4"/>
                <w:sz w:val="20"/>
              </w:rPr>
              <w:t xml:space="preserve"> </w:t>
            </w:r>
            <w:r w:rsidRPr="00150EDC">
              <w:rPr>
                <w:sz w:val="20"/>
              </w:rPr>
              <w:t>or</w:t>
            </w:r>
            <w:r w:rsidRPr="00150EDC">
              <w:rPr>
                <w:spacing w:val="-5"/>
                <w:sz w:val="20"/>
              </w:rPr>
              <w:t xml:space="preserve"> </w:t>
            </w:r>
            <w:r w:rsidRPr="00150EDC">
              <w:rPr>
                <w:spacing w:val="-2"/>
                <w:sz w:val="20"/>
              </w:rPr>
              <w:t>intimidate</w:t>
            </w:r>
          </w:p>
        </w:tc>
      </w:tr>
      <w:tr w:rsidR="004569EE" w:rsidRPr="007D3144" w14:paraId="66900454" w14:textId="77777777">
        <w:trPr>
          <w:trHeight w:val="255"/>
        </w:trPr>
        <w:tc>
          <w:tcPr>
            <w:tcW w:w="6517" w:type="dxa"/>
          </w:tcPr>
          <w:p w14:paraId="1648EA34" w14:textId="77777777" w:rsidR="004C7180" w:rsidRPr="00150EDC" w:rsidRDefault="00CF0754">
            <w:pPr>
              <w:pStyle w:val="TableParagraph"/>
              <w:spacing w:before="28"/>
              <w:rPr>
                <w:sz w:val="20"/>
              </w:rPr>
            </w:pPr>
            <w:r w:rsidRPr="00150EDC">
              <w:rPr>
                <w:sz w:val="20"/>
              </w:rPr>
              <w:t>Anti-terrorism</w:t>
            </w:r>
            <w:r w:rsidRPr="00150EDC">
              <w:rPr>
                <w:spacing w:val="-7"/>
                <w:sz w:val="20"/>
              </w:rPr>
              <w:t xml:space="preserve"> </w:t>
            </w:r>
            <w:r w:rsidRPr="00150EDC">
              <w:rPr>
                <w:sz w:val="20"/>
              </w:rPr>
              <w:t>Crime</w:t>
            </w:r>
            <w:r w:rsidRPr="00150EDC">
              <w:rPr>
                <w:spacing w:val="-7"/>
                <w:sz w:val="20"/>
              </w:rPr>
              <w:t xml:space="preserve"> </w:t>
            </w:r>
            <w:r w:rsidRPr="00150EDC">
              <w:rPr>
                <w:sz w:val="20"/>
              </w:rPr>
              <w:t>and</w:t>
            </w:r>
            <w:r w:rsidRPr="00150EDC">
              <w:rPr>
                <w:spacing w:val="-7"/>
                <w:sz w:val="20"/>
              </w:rPr>
              <w:t xml:space="preserve"> </w:t>
            </w:r>
            <w:r w:rsidRPr="00150EDC">
              <w:rPr>
                <w:sz w:val="20"/>
              </w:rPr>
              <w:t>Security</w:t>
            </w:r>
            <w:r w:rsidRPr="00150EDC">
              <w:rPr>
                <w:spacing w:val="-5"/>
                <w:sz w:val="20"/>
              </w:rPr>
              <w:t xml:space="preserve"> </w:t>
            </w:r>
            <w:r w:rsidRPr="00150EDC">
              <w:rPr>
                <w:sz w:val="20"/>
              </w:rPr>
              <w:t>Act</w:t>
            </w:r>
            <w:r w:rsidRPr="00150EDC">
              <w:rPr>
                <w:spacing w:val="-2"/>
                <w:sz w:val="20"/>
              </w:rPr>
              <w:t xml:space="preserve"> </w:t>
            </w:r>
            <w:r w:rsidRPr="00150EDC">
              <w:rPr>
                <w:sz w:val="20"/>
              </w:rPr>
              <w:t>2001,</w:t>
            </w:r>
            <w:r w:rsidRPr="00150EDC">
              <w:rPr>
                <w:spacing w:val="-7"/>
                <w:sz w:val="20"/>
              </w:rPr>
              <w:t xml:space="preserve"> </w:t>
            </w:r>
            <w:r w:rsidRPr="00150EDC">
              <w:rPr>
                <w:spacing w:val="-4"/>
                <w:sz w:val="20"/>
              </w:rPr>
              <w:t>s113</w:t>
            </w:r>
          </w:p>
        </w:tc>
        <w:tc>
          <w:tcPr>
            <w:tcW w:w="7427" w:type="dxa"/>
          </w:tcPr>
          <w:p w14:paraId="064D8265" w14:textId="77777777" w:rsidR="004C7180" w:rsidRPr="00150EDC" w:rsidRDefault="00CF0754">
            <w:pPr>
              <w:pStyle w:val="TableParagraph"/>
              <w:spacing w:before="28"/>
              <w:rPr>
                <w:sz w:val="20"/>
              </w:rPr>
            </w:pPr>
            <w:r w:rsidRPr="00150EDC">
              <w:rPr>
                <w:sz w:val="20"/>
              </w:rPr>
              <w:t>Use</w:t>
            </w:r>
            <w:r w:rsidRPr="00150EDC">
              <w:rPr>
                <w:spacing w:val="-5"/>
                <w:sz w:val="20"/>
              </w:rPr>
              <w:t xml:space="preserve"> </w:t>
            </w:r>
            <w:r w:rsidRPr="00150EDC">
              <w:rPr>
                <w:sz w:val="20"/>
              </w:rPr>
              <w:t>of</w:t>
            </w:r>
            <w:r w:rsidRPr="00150EDC">
              <w:rPr>
                <w:spacing w:val="-4"/>
                <w:sz w:val="20"/>
              </w:rPr>
              <w:t xml:space="preserve"> </w:t>
            </w:r>
            <w:r w:rsidRPr="00150EDC">
              <w:rPr>
                <w:sz w:val="20"/>
              </w:rPr>
              <w:t>noxious</w:t>
            </w:r>
            <w:r w:rsidRPr="00150EDC">
              <w:rPr>
                <w:spacing w:val="-3"/>
                <w:sz w:val="20"/>
              </w:rPr>
              <w:t xml:space="preserve"> </w:t>
            </w:r>
            <w:r w:rsidRPr="00150EDC">
              <w:rPr>
                <w:sz w:val="20"/>
              </w:rPr>
              <w:t>substance</w:t>
            </w:r>
            <w:r w:rsidRPr="00150EDC">
              <w:rPr>
                <w:spacing w:val="-4"/>
                <w:sz w:val="20"/>
              </w:rPr>
              <w:t xml:space="preserve"> </w:t>
            </w:r>
            <w:r w:rsidRPr="00150EDC">
              <w:rPr>
                <w:sz w:val="20"/>
              </w:rPr>
              <w:t>or</w:t>
            </w:r>
            <w:r w:rsidRPr="00150EDC">
              <w:rPr>
                <w:spacing w:val="-4"/>
                <w:sz w:val="20"/>
              </w:rPr>
              <w:t xml:space="preserve"> </w:t>
            </w:r>
            <w:r w:rsidRPr="00150EDC">
              <w:rPr>
                <w:sz w:val="20"/>
              </w:rPr>
              <w:t>thing</w:t>
            </w:r>
            <w:r w:rsidRPr="00150EDC">
              <w:rPr>
                <w:spacing w:val="-4"/>
                <w:sz w:val="20"/>
              </w:rPr>
              <w:t xml:space="preserve"> </w:t>
            </w:r>
            <w:r w:rsidRPr="00150EDC">
              <w:rPr>
                <w:sz w:val="20"/>
              </w:rPr>
              <w:t>to</w:t>
            </w:r>
            <w:r w:rsidRPr="00150EDC">
              <w:rPr>
                <w:spacing w:val="-4"/>
                <w:sz w:val="20"/>
              </w:rPr>
              <w:t xml:space="preserve"> </w:t>
            </w:r>
            <w:r w:rsidRPr="00150EDC">
              <w:rPr>
                <w:sz w:val="20"/>
              </w:rPr>
              <w:t>cause</w:t>
            </w:r>
            <w:r w:rsidRPr="00150EDC">
              <w:rPr>
                <w:spacing w:val="-4"/>
                <w:sz w:val="20"/>
              </w:rPr>
              <w:t xml:space="preserve"> </w:t>
            </w:r>
            <w:r w:rsidRPr="00150EDC">
              <w:rPr>
                <w:sz w:val="20"/>
              </w:rPr>
              <w:t>harm or</w:t>
            </w:r>
            <w:r w:rsidRPr="00150EDC">
              <w:rPr>
                <w:spacing w:val="-4"/>
                <w:sz w:val="20"/>
              </w:rPr>
              <w:t xml:space="preserve"> </w:t>
            </w:r>
            <w:r w:rsidRPr="00150EDC">
              <w:rPr>
                <w:spacing w:val="-2"/>
                <w:sz w:val="20"/>
              </w:rPr>
              <w:t>intimidate</w:t>
            </w:r>
          </w:p>
        </w:tc>
      </w:tr>
    </w:tbl>
    <w:p w14:paraId="3E02E7BA" w14:textId="77777777" w:rsidR="004C7180" w:rsidRPr="00150EDC" w:rsidRDefault="004C7180">
      <w:pPr>
        <w:rPr>
          <w:sz w:val="20"/>
        </w:rPr>
        <w:sectPr w:rsidR="004C7180" w:rsidRPr="00150EDC">
          <w:footerReference w:type="default" r:id="rId121"/>
          <w:pgSz w:w="16840" w:h="11910" w:orient="landscape"/>
          <w:pgMar w:top="1340" w:right="1320" w:bottom="280" w:left="1340" w:header="0" w:footer="0" w:gutter="0"/>
          <w:cols w:space="720"/>
        </w:sectPr>
      </w:pPr>
    </w:p>
    <w:p w14:paraId="1080A2EA" w14:textId="77777777" w:rsidR="004C7180" w:rsidRPr="00150EDC" w:rsidRDefault="004C7180">
      <w:pPr>
        <w:pStyle w:val="BodyText"/>
        <w:spacing w:before="3"/>
        <w:rPr>
          <w:sz w:val="8"/>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517"/>
        <w:gridCol w:w="7427"/>
      </w:tblGrid>
      <w:tr w:rsidR="004569EE" w:rsidRPr="007D3144" w14:paraId="55B73598" w14:textId="77777777">
        <w:trPr>
          <w:trHeight w:val="254"/>
        </w:trPr>
        <w:tc>
          <w:tcPr>
            <w:tcW w:w="6517" w:type="dxa"/>
          </w:tcPr>
          <w:p w14:paraId="31F6A467" w14:textId="77777777" w:rsidR="004C7180" w:rsidRPr="00150EDC" w:rsidRDefault="00CF0754">
            <w:pPr>
              <w:pStyle w:val="TableParagraph"/>
              <w:rPr>
                <w:sz w:val="20"/>
              </w:rPr>
            </w:pPr>
            <w:r w:rsidRPr="00150EDC">
              <w:rPr>
                <w:sz w:val="20"/>
              </w:rPr>
              <w:t>Anti-terrorism</w:t>
            </w:r>
            <w:r w:rsidRPr="00150EDC">
              <w:rPr>
                <w:spacing w:val="-7"/>
                <w:sz w:val="20"/>
              </w:rPr>
              <w:t xml:space="preserve"> </w:t>
            </w:r>
            <w:r w:rsidRPr="00150EDC">
              <w:rPr>
                <w:sz w:val="20"/>
              </w:rPr>
              <w:t>Crime</w:t>
            </w:r>
            <w:r w:rsidRPr="00150EDC">
              <w:rPr>
                <w:spacing w:val="-7"/>
                <w:sz w:val="20"/>
              </w:rPr>
              <w:t xml:space="preserve"> </w:t>
            </w:r>
            <w:r w:rsidRPr="00150EDC">
              <w:rPr>
                <w:sz w:val="20"/>
              </w:rPr>
              <w:t>and</w:t>
            </w:r>
            <w:r w:rsidRPr="00150EDC">
              <w:rPr>
                <w:spacing w:val="-7"/>
                <w:sz w:val="20"/>
              </w:rPr>
              <w:t xml:space="preserve"> </w:t>
            </w:r>
            <w:r w:rsidRPr="00150EDC">
              <w:rPr>
                <w:sz w:val="20"/>
              </w:rPr>
              <w:t>Security</w:t>
            </w:r>
            <w:r w:rsidRPr="00150EDC">
              <w:rPr>
                <w:spacing w:val="-5"/>
                <w:sz w:val="20"/>
              </w:rPr>
              <w:t xml:space="preserve"> </w:t>
            </w:r>
            <w:r w:rsidRPr="00150EDC">
              <w:rPr>
                <w:sz w:val="20"/>
              </w:rPr>
              <w:t>Act</w:t>
            </w:r>
            <w:r w:rsidRPr="00150EDC">
              <w:rPr>
                <w:spacing w:val="-2"/>
                <w:sz w:val="20"/>
              </w:rPr>
              <w:t xml:space="preserve"> </w:t>
            </w:r>
            <w:r w:rsidRPr="00150EDC">
              <w:rPr>
                <w:sz w:val="20"/>
              </w:rPr>
              <w:t>2001,</w:t>
            </w:r>
            <w:r w:rsidRPr="00150EDC">
              <w:rPr>
                <w:spacing w:val="-7"/>
                <w:sz w:val="20"/>
              </w:rPr>
              <w:t xml:space="preserve"> </w:t>
            </w:r>
            <w:r w:rsidRPr="00150EDC">
              <w:rPr>
                <w:spacing w:val="-5"/>
                <w:sz w:val="20"/>
              </w:rPr>
              <w:t>s47</w:t>
            </w:r>
          </w:p>
        </w:tc>
        <w:tc>
          <w:tcPr>
            <w:tcW w:w="7427" w:type="dxa"/>
          </w:tcPr>
          <w:p w14:paraId="5E0DE280" w14:textId="77777777" w:rsidR="004C7180" w:rsidRPr="00150EDC" w:rsidRDefault="00CF0754">
            <w:pPr>
              <w:pStyle w:val="TableParagraph"/>
              <w:rPr>
                <w:sz w:val="20"/>
              </w:rPr>
            </w:pPr>
            <w:r w:rsidRPr="00150EDC">
              <w:rPr>
                <w:sz w:val="20"/>
              </w:rPr>
              <w:t>Use</w:t>
            </w:r>
            <w:r w:rsidRPr="00150EDC">
              <w:rPr>
                <w:spacing w:val="-5"/>
                <w:sz w:val="20"/>
              </w:rPr>
              <w:t xml:space="preserve"> </w:t>
            </w:r>
            <w:r w:rsidRPr="00150EDC">
              <w:rPr>
                <w:sz w:val="20"/>
              </w:rPr>
              <w:t>etc</w:t>
            </w:r>
            <w:r w:rsidRPr="00150EDC">
              <w:rPr>
                <w:spacing w:val="-4"/>
                <w:sz w:val="20"/>
              </w:rPr>
              <w:t xml:space="preserve"> </w:t>
            </w:r>
            <w:r w:rsidRPr="00150EDC">
              <w:rPr>
                <w:sz w:val="20"/>
              </w:rPr>
              <w:t>of</w:t>
            </w:r>
            <w:r w:rsidRPr="00150EDC">
              <w:rPr>
                <w:spacing w:val="-4"/>
                <w:sz w:val="20"/>
              </w:rPr>
              <w:t xml:space="preserve"> </w:t>
            </w:r>
            <w:r w:rsidRPr="00150EDC">
              <w:rPr>
                <w:sz w:val="20"/>
              </w:rPr>
              <w:t>nuclear</w:t>
            </w:r>
            <w:r w:rsidRPr="00150EDC">
              <w:rPr>
                <w:spacing w:val="-5"/>
                <w:sz w:val="20"/>
              </w:rPr>
              <w:t xml:space="preserve"> </w:t>
            </w:r>
            <w:r w:rsidRPr="00150EDC">
              <w:rPr>
                <w:spacing w:val="-2"/>
                <w:sz w:val="20"/>
              </w:rPr>
              <w:t>weapons</w:t>
            </w:r>
          </w:p>
        </w:tc>
      </w:tr>
      <w:tr w:rsidR="004569EE" w:rsidRPr="007D3144" w14:paraId="46E6638F" w14:textId="77777777">
        <w:trPr>
          <w:trHeight w:val="255"/>
        </w:trPr>
        <w:tc>
          <w:tcPr>
            <w:tcW w:w="6517" w:type="dxa"/>
          </w:tcPr>
          <w:p w14:paraId="708FF40A" w14:textId="77777777" w:rsidR="004C7180" w:rsidRPr="00150EDC" w:rsidRDefault="00CF0754">
            <w:pPr>
              <w:pStyle w:val="TableParagraph"/>
              <w:spacing w:before="28"/>
              <w:rPr>
                <w:sz w:val="20"/>
              </w:rPr>
            </w:pPr>
            <w:r w:rsidRPr="00150EDC">
              <w:rPr>
                <w:sz w:val="20"/>
              </w:rPr>
              <w:t>Anti-terrorism</w:t>
            </w:r>
            <w:r w:rsidRPr="00150EDC">
              <w:rPr>
                <w:spacing w:val="-7"/>
                <w:sz w:val="20"/>
              </w:rPr>
              <w:t xml:space="preserve"> </w:t>
            </w:r>
            <w:r w:rsidRPr="00150EDC">
              <w:rPr>
                <w:sz w:val="20"/>
              </w:rPr>
              <w:t>Crime</w:t>
            </w:r>
            <w:r w:rsidRPr="00150EDC">
              <w:rPr>
                <w:spacing w:val="-7"/>
                <w:sz w:val="20"/>
              </w:rPr>
              <w:t xml:space="preserve"> </w:t>
            </w:r>
            <w:r w:rsidRPr="00150EDC">
              <w:rPr>
                <w:sz w:val="20"/>
              </w:rPr>
              <w:t>and</w:t>
            </w:r>
            <w:r w:rsidRPr="00150EDC">
              <w:rPr>
                <w:spacing w:val="-7"/>
                <w:sz w:val="20"/>
              </w:rPr>
              <w:t xml:space="preserve"> </w:t>
            </w:r>
            <w:r w:rsidRPr="00150EDC">
              <w:rPr>
                <w:sz w:val="20"/>
              </w:rPr>
              <w:t>Security</w:t>
            </w:r>
            <w:r w:rsidRPr="00150EDC">
              <w:rPr>
                <w:spacing w:val="-5"/>
                <w:sz w:val="20"/>
              </w:rPr>
              <w:t xml:space="preserve"> </w:t>
            </w:r>
            <w:r w:rsidRPr="00150EDC">
              <w:rPr>
                <w:sz w:val="20"/>
              </w:rPr>
              <w:t>Act</w:t>
            </w:r>
            <w:r w:rsidRPr="00150EDC">
              <w:rPr>
                <w:spacing w:val="-2"/>
                <w:sz w:val="20"/>
              </w:rPr>
              <w:t xml:space="preserve"> </w:t>
            </w:r>
            <w:r w:rsidRPr="00150EDC">
              <w:rPr>
                <w:sz w:val="20"/>
              </w:rPr>
              <w:t>2001,</w:t>
            </w:r>
            <w:r w:rsidRPr="00150EDC">
              <w:rPr>
                <w:spacing w:val="-7"/>
                <w:sz w:val="20"/>
              </w:rPr>
              <w:t xml:space="preserve"> </w:t>
            </w:r>
            <w:r w:rsidRPr="00150EDC">
              <w:rPr>
                <w:spacing w:val="-5"/>
                <w:sz w:val="20"/>
              </w:rPr>
              <w:t>s50</w:t>
            </w:r>
          </w:p>
        </w:tc>
        <w:tc>
          <w:tcPr>
            <w:tcW w:w="7427" w:type="dxa"/>
          </w:tcPr>
          <w:p w14:paraId="5D920C15" w14:textId="77777777" w:rsidR="004C7180" w:rsidRPr="00150EDC" w:rsidRDefault="00CF0754">
            <w:pPr>
              <w:pStyle w:val="TableParagraph"/>
              <w:spacing w:before="28"/>
              <w:rPr>
                <w:sz w:val="20"/>
              </w:rPr>
            </w:pPr>
            <w:r w:rsidRPr="00150EDC">
              <w:rPr>
                <w:sz w:val="20"/>
              </w:rPr>
              <w:t>Assisting</w:t>
            </w:r>
            <w:r w:rsidRPr="00150EDC">
              <w:rPr>
                <w:spacing w:val="-7"/>
                <w:sz w:val="20"/>
              </w:rPr>
              <w:t xml:space="preserve"> </w:t>
            </w:r>
            <w:r w:rsidRPr="00150EDC">
              <w:rPr>
                <w:sz w:val="20"/>
              </w:rPr>
              <w:t>or</w:t>
            </w:r>
            <w:r w:rsidRPr="00150EDC">
              <w:rPr>
                <w:spacing w:val="-6"/>
                <w:sz w:val="20"/>
              </w:rPr>
              <w:t xml:space="preserve"> </w:t>
            </w:r>
            <w:r w:rsidRPr="00150EDC">
              <w:rPr>
                <w:sz w:val="20"/>
              </w:rPr>
              <w:t>inducing</w:t>
            </w:r>
            <w:r w:rsidRPr="00150EDC">
              <w:rPr>
                <w:spacing w:val="-6"/>
                <w:sz w:val="20"/>
              </w:rPr>
              <w:t xml:space="preserve"> </w:t>
            </w:r>
            <w:r w:rsidRPr="00150EDC">
              <w:rPr>
                <w:sz w:val="20"/>
              </w:rPr>
              <w:t>weapons related</w:t>
            </w:r>
            <w:r w:rsidRPr="00150EDC">
              <w:rPr>
                <w:spacing w:val="-6"/>
                <w:sz w:val="20"/>
              </w:rPr>
              <w:t xml:space="preserve"> </w:t>
            </w:r>
            <w:r w:rsidRPr="00150EDC">
              <w:rPr>
                <w:sz w:val="20"/>
              </w:rPr>
              <w:t>acts</w:t>
            </w:r>
            <w:r w:rsidRPr="00150EDC">
              <w:rPr>
                <w:spacing w:val="-5"/>
                <w:sz w:val="20"/>
              </w:rPr>
              <w:t xml:space="preserve"> </w:t>
            </w:r>
            <w:r w:rsidRPr="00150EDC">
              <w:rPr>
                <w:spacing w:val="-2"/>
                <w:sz w:val="20"/>
              </w:rPr>
              <w:t>overseas</w:t>
            </w:r>
          </w:p>
        </w:tc>
      </w:tr>
      <w:tr w:rsidR="004569EE" w:rsidRPr="007D3144" w14:paraId="183C9AD8" w14:textId="77777777">
        <w:trPr>
          <w:trHeight w:val="255"/>
        </w:trPr>
        <w:tc>
          <w:tcPr>
            <w:tcW w:w="6517" w:type="dxa"/>
          </w:tcPr>
          <w:p w14:paraId="0F864E4D" w14:textId="77777777" w:rsidR="004C7180" w:rsidRPr="00150EDC" w:rsidRDefault="00CF0754">
            <w:pPr>
              <w:pStyle w:val="TableParagraph"/>
              <w:rPr>
                <w:sz w:val="20"/>
              </w:rPr>
            </w:pPr>
            <w:r w:rsidRPr="00150EDC">
              <w:rPr>
                <w:sz w:val="20"/>
              </w:rPr>
              <w:t>Armed</w:t>
            </w:r>
            <w:r w:rsidRPr="00150EDC">
              <w:rPr>
                <w:spacing w:val="-7"/>
                <w:sz w:val="20"/>
              </w:rPr>
              <w:t xml:space="preserve"> </w:t>
            </w:r>
            <w:r w:rsidRPr="00150EDC">
              <w:rPr>
                <w:sz w:val="20"/>
              </w:rPr>
              <w:t>Forces</w:t>
            </w:r>
            <w:r w:rsidRPr="00150EDC">
              <w:rPr>
                <w:spacing w:val="-5"/>
                <w:sz w:val="20"/>
              </w:rPr>
              <w:t xml:space="preserve"> </w:t>
            </w:r>
            <w:r w:rsidRPr="00150EDC">
              <w:rPr>
                <w:sz w:val="20"/>
              </w:rPr>
              <w:t>Act</w:t>
            </w:r>
            <w:r w:rsidRPr="00150EDC">
              <w:rPr>
                <w:spacing w:val="-5"/>
                <w:sz w:val="20"/>
              </w:rPr>
              <w:t xml:space="preserve"> </w:t>
            </w:r>
            <w:r w:rsidRPr="00150EDC">
              <w:rPr>
                <w:sz w:val="20"/>
              </w:rPr>
              <w:t>2006,</w:t>
            </w:r>
            <w:r w:rsidRPr="00150EDC">
              <w:rPr>
                <w:spacing w:val="-6"/>
                <w:sz w:val="20"/>
              </w:rPr>
              <w:t xml:space="preserve"> </w:t>
            </w:r>
            <w:r w:rsidRPr="00150EDC">
              <w:rPr>
                <w:spacing w:val="-5"/>
                <w:sz w:val="20"/>
              </w:rPr>
              <w:t>s42</w:t>
            </w:r>
          </w:p>
        </w:tc>
        <w:tc>
          <w:tcPr>
            <w:tcW w:w="7427" w:type="dxa"/>
          </w:tcPr>
          <w:p w14:paraId="2E76A249" w14:textId="77777777" w:rsidR="004C7180" w:rsidRPr="00150EDC" w:rsidRDefault="00CF0754">
            <w:pPr>
              <w:pStyle w:val="TableParagraph"/>
              <w:rPr>
                <w:sz w:val="20"/>
              </w:rPr>
            </w:pPr>
            <w:r w:rsidRPr="00150EDC">
              <w:rPr>
                <w:sz w:val="20"/>
              </w:rPr>
              <w:t>Criminal</w:t>
            </w:r>
            <w:r w:rsidRPr="00150EDC">
              <w:rPr>
                <w:spacing w:val="-5"/>
                <w:sz w:val="20"/>
              </w:rPr>
              <w:t xml:space="preserve"> </w:t>
            </w:r>
            <w:r w:rsidRPr="00150EDC">
              <w:rPr>
                <w:sz w:val="20"/>
              </w:rPr>
              <w:t>conduct</w:t>
            </w:r>
            <w:r w:rsidRPr="00150EDC">
              <w:rPr>
                <w:spacing w:val="-6"/>
                <w:sz w:val="20"/>
              </w:rPr>
              <w:t xml:space="preserve"> </w:t>
            </w:r>
            <w:r w:rsidRPr="00150EDC">
              <w:rPr>
                <w:sz w:val="20"/>
              </w:rPr>
              <w:t>-</w:t>
            </w:r>
            <w:r w:rsidRPr="00150EDC">
              <w:rPr>
                <w:spacing w:val="-3"/>
                <w:sz w:val="20"/>
              </w:rPr>
              <w:t xml:space="preserve"> </w:t>
            </w:r>
            <w:r w:rsidRPr="00150EDC">
              <w:rPr>
                <w:sz w:val="20"/>
              </w:rPr>
              <w:t>equivalent</w:t>
            </w:r>
            <w:r w:rsidRPr="00150EDC">
              <w:rPr>
                <w:spacing w:val="-7"/>
                <w:sz w:val="20"/>
              </w:rPr>
              <w:t xml:space="preserve"> </w:t>
            </w:r>
            <w:r w:rsidRPr="00150EDC">
              <w:rPr>
                <w:spacing w:val="-2"/>
                <w:sz w:val="20"/>
              </w:rPr>
              <w:t>offences</w:t>
            </w:r>
          </w:p>
        </w:tc>
      </w:tr>
      <w:tr w:rsidR="004569EE" w:rsidRPr="007D3144" w14:paraId="54BC87A5" w14:textId="77777777">
        <w:trPr>
          <w:trHeight w:val="255"/>
        </w:trPr>
        <w:tc>
          <w:tcPr>
            <w:tcW w:w="6517" w:type="dxa"/>
          </w:tcPr>
          <w:p w14:paraId="680D1F84" w14:textId="77777777" w:rsidR="004C7180" w:rsidRPr="00150EDC" w:rsidRDefault="00CF0754">
            <w:pPr>
              <w:pStyle w:val="TableParagraph"/>
              <w:rPr>
                <w:sz w:val="20"/>
              </w:rPr>
            </w:pPr>
            <w:r w:rsidRPr="00150EDC">
              <w:rPr>
                <w:sz w:val="20"/>
              </w:rPr>
              <w:t>Army</w:t>
            </w:r>
            <w:r w:rsidRPr="00150EDC">
              <w:rPr>
                <w:spacing w:val="-6"/>
                <w:sz w:val="20"/>
              </w:rPr>
              <w:t xml:space="preserve"> </w:t>
            </w:r>
            <w:r w:rsidRPr="00150EDC">
              <w:rPr>
                <w:sz w:val="20"/>
              </w:rPr>
              <w:t>Act</w:t>
            </w:r>
            <w:r w:rsidRPr="00150EDC">
              <w:rPr>
                <w:spacing w:val="-6"/>
                <w:sz w:val="20"/>
              </w:rPr>
              <w:t xml:space="preserve"> </w:t>
            </w:r>
            <w:r w:rsidRPr="00150EDC">
              <w:rPr>
                <w:sz w:val="20"/>
              </w:rPr>
              <w:t>1955,</w:t>
            </w:r>
            <w:r w:rsidRPr="00150EDC">
              <w:rPr>
                <w:spacing w:val="-1"/>
                <w:sz w:val="20"/>
              </w:rPr>
              <w:t xml:space="preserve"> </w:t>
            </w:r>
            <w:r w:rsidRPr="00150EDC">
              <w:rPr>
                <w:spacing w:val="-5"/>
                <w:sz w:val="20"/>
              </w:rPr>
              <w:t>s70</w:t>
            </w:r>
          </w:p>
        </w:tc>
        <w:tc>
          <w:tcPr>
            <w:tcW w:w="7427" w:type="dxa"/>
          </w:tcPr>
          <w:p w14:paraId="5A7EFCFE" w14:textId="77777777" w:rsidR="004C7180" w:rsidRPr="00150EDC" w:rsidRDefault="00CF0754">
            <w:pPr>
              <w:pStyle w:val="TableParagraph"/>
              <w:rPr>
                <w:sz w:val="20"/>
              </w:rPr>
            </w:pPr>
            <w:r w:rsidRPr="00150EDC">
              <w:rPr>
                <w:sz w:val="20"/>
              </w:rPr>
              <w:t>Civil</w:t>
            </w:r>
            <w:r w:rsidRPr="00150EDC">
              <w:rPr>
                <w:spacing w:val="-5"/>
                <w:sz w:val="20"/>
              </w:rPr>
              <w:t xml:space="preserve"> </w:t>
            </w:r>
            <w:r w:rsidRPr="00150EDC">
              <w:rPr>
                <w:sz w:val="20"/>
              </w:rPr>
              <w:t>offences</w:t>
            </w:r>
            <w:r w:rsidRPr="00150EDC">
              <w:rPr>
                <w:spacing w:val="-5"/>
                <w:sz w:val="20"/>
              </w:rPr>
              <w:t xml:space="preserve"> </w:t>
            </w:r>
            <w:r w:rsidRPr="00150EDC">
              <w:rPr>
                <w:sz w:val="20"/>
              </w:rPr>
              <w:t>-</w:t>
            </w:r>
            <w:r w:rsidRPr="00150EDC">
              <w:rPr>
                <w:spacing w:val="-3"/>
                <w:sz w:val="20"/>
              </w:rPr>
              <w:t xml:space="preserve"> </w:t>
            </w:r>
            <w:r w:rsidRPr="00150EDC">
              <w:rPr>
                <w:sz w:val="20"/>
              </w:rPr>
              <w:t>equivalent</w:t>
            </w:r>
            <w:r w:rsidRPr="00150EDC">
              <w:rPr>
                <w:spacing w:val="-7"/>
                <w:sz w:val="20"/>
              </w:rPr>
              <w:t xml:space="preserve"> </w:t>
            </w:r>
            <w:r w:rsidRPr="00150EDC">
              <w:rPr>
                <w:spacing w:val="-2"/>
                <w:sz w:val="20"/>
              </w:rPr>
              <w:t>offences</w:t>
            </w:r>
          </w:p>
        </w:tc>
      </w:tr>
      <w:tr w:rsidR="004569EE" w:rsidRPr="007D3144" w14:paraId="08C781C8" w14:textId="77777777">
        <w:trPr>
          <w:trHeight w:val="510"/>
        </w:trPr>
        <w:tc>
          <w:tcPr>
            <w:tcW w:w="6517" w:type="dxa"/>
          </w:tcPr>
          <w:p w14:paraId="5FACA9F1" w14:textId="77777777" w:rsidR="004C7180" w:rsidRPr="00150EDC" w:rsidRDefault="004C7180">
            <w:pPr>
              <w:pStyle w:val="TableParagraph"/>
              <w:spacing w:before="7" w:line="240" w:lineRule="auto"/>
              <w:ind w:left="0"/>
              <w:rPr>
                <w:sz w:val="24"/>
              </w:rPr>
            </w:pPr>
          </w:p>
          <w:p w14:paraId="7E007D0E" w14:textId="77777777" w:rsidR="004C7180" w:rsidRPr="00150EDC" w:rsidRDefault="00CF0754">
            <w:pPr>
              <w:pStyle w:val="TableParagraph"/>
              <w:spacing w:before="0"/>
              <w:rPr>
                <w:sz w:val="20"/>
              </w:rPr>
            </w:pPr>
            <w:r w:rsidRPr="00150EDC">
              <w:rPr>
                <w:sz w:val="20"/>
              </w:rPr>
              <w:t>Asylum</w:t>
            </w:r>
            <w:r w:rsidRPr="00150EDC">
              <w:rPr>
                <w:spacing w:val="-6"/>
                <w:sz w:val="20"/>
              </w:rPr>
              <w:t xml:space="preserve"> </w:t>
            </w:r>
            <w:r w:rsidRPr="00150EDC">
              <w:rPr>
                <w:sz w:val="20"/>
              </w:rPr>
              <w:t>and</w:t>
            </w:r>
            <w:r w:rsidRPr="00150EDC">
              <w:rPr>
                <w:spacing w:val="-5"/>
                <w:sz w:val="20"/>
              </w:rPr>
              <w:t xml:space="preserve"> </w:t>
            </w:r>
            <w:r w:rsidRPr="00150EDC">
              <w:rPr>
                <w:sz w:val="20"/>
              </w:rPr>
              <w:t>Immigration</w:t>
            </w:r>
            <w:r w:rsidRPr="00150EDC">
              <w:rPr>
                <w:spacing w:val="-6"/>
                <w:sz w:val="20"/>
              </w:rPr>
              <w:t xml:space="preserve"> </w:t>
            </w:r>
            <w:r w:rsidRPr="00150EDC">
              <w:rPr>
                <w:sz w:val="20"/>
              </w:rPr>
              <w:t>(Treatment</w:t>
            </w:r>
            <w:r w:rsidRPr="00150EDC">
              <w:rPr>
                <w:spacing w:val="-5"/>
                <w:sz w:val="20"/>
              </w:rPr>
              <w:t xml:space="preserve"> </w:t>
            </w:r>
            <w:r w:rsidRPr="00150EDC">
              <w:rPr>
                <w:sz w:val="20"/>
              </w:rPr>
              <w:t>of</w:t>
            </w:r>
            <w:r w:rsidRPr="00150EDC">
              <w:rPr>
                <w:spacing w:val="-6"/>
                <w:sz w:val="20"/>
              </w:rPr>
              <w:t xml:space="preserve"> </w:t>
            </w:r>
            <w:r w:rsidRPr="00150EDC">
              <w:rPr>
                <w:sz w:val="20"/>
              </w:rPr>
              <w:t>Claimants,</w:t>
            </w:r>
            <w:r w:rsidRPr="00150EDC">
              <w:rPr>
                <w:spacing w:val="-1"/>
                <w:sz w:val="20"/>
              </w:rPr>
              <w:t xml:space="preserve"> </w:t>
            </w:r>
            <w:r w:rsidRPr="00150EDC">
              <w:rPr>
                <w:sz w:val="20"/>
              </w:rPr>
              <w:t>etc.)</w:t>
            </w:r>
            <w:r w:rsidRPr="00150EDC">
              <w:rPr>
                <w:spacing w:val="-7"/>
                <w:sz w:val="20"/>
              </w:rPr>
              <w:t xml:space="preserve"> </w:t>
            </w:r>
            <w:r w:rsidRPr="00150EDC">
              <w:rPr>
                <w:sz w:val="20"/>
              </w:rPr>
              <w:t>Act</w:t>
            </w:r>
            <w:r w:rsidRPr="00150EDC">
              <w:rPr>
                <w:spacing w:val="-5"/>
                <w:sz w:val="20"/>
              </w:rPr>
              <w:t xml:space="preserve"> </w:t>
            </w:r>
            <w:r w:rsidRPr="00150EDC">
              <w:rPr>
                <w:sz w:val="20"/>
              </w:rPr>
              <w:t>2004,</w:t>
            </w:r>
            <w:r w:rsidRPr="00150EDC">
              <w:rPr>
                <w:spacing w:val="-5"/>
                <w:sz w:val="20"/>
              </w:rPr>
              <w:t xml:space="preserve"> s4</w:t>
            </w:r>
          </w:p>
        </w:tc>
        <w:tc>
          <w:tcPr>
            <w:tcW w:w="7427" w:type="dxa"/>
          </w:tcPr>
          <w:p w14:paraId="73CA819C" w14:textId="77777777" w:rsidR="004C7180" w:rsidRPr="00150EDC" w:rsidRDefault="004C7180">
            <w:pPr>
              <w:pStyle w:val="TableParagraph"/>
              <w:spacing w:before="7" w:line="240" w:lineRule="auto"/>
              <w:ind w:left="0"/>
              <w:rPr>
                <w:sz w:val="24"/>
              </w:rPr>
            </w:pPr>
          </w:p>
          <w:p w14:paraId="3ADB43DE" w14:textId="77777777" w:rsidR="004C7180" w:rsidRPr="00150EDC" w:rsidRDefault="00CF0754">
            <w:pPr>
              <w:pStyle w:val="TableParagraph"/>
              <w:spacing w:before="0"/>
              <w:rPr>
                <w:sz w:val="20"/>
              </w:rPr>
            </w:pPr>
            <w:r w:rsidRPr="00150EDC">
              <w:rPr>
                <w:sz w:val="20"/>
              </w:rPr>
              <w:t>Trafficking</w:t>
            </w:r>
            <w:r w:rsidRPr="00150EDC">
              <w:rPr>
                <w:spacing w:val="-3"/>
                <w:sz w:val="20"/>
              </w:rPr>
              <w:t xml:space="preserve"> </w:t>
            </w:r>
            <w:r w:rsidRPr="00150EDC">
              <w:rPr>
                <w:sz w:val="20"/>
              </w:rPr>
              <w:t>people</w:t>
            </w:r>
            <w:r w:rsidRPr="00150EDC">
              <w:rPr>
                <w:spacing w:val="-6"/>
                <w:sz w:val="20"/>
              </w:rPr>
              <w:t xml:space="preserve"> </w:t>
            </w:r>
            <w:r w:rsidRPr="00150EDC">
              <w:rPr>
                <w:sz w:val="20"/>
              </w:rPr>
              <w:t>for</w:t>
            </w:r>
            <w:r w:rsidRPr="00150EDC">
              <w:rPr>
                <w:spacing w:val="-6"/>
                <w:sz w:val="20"/>
              </w:rPr>
              <w:t xml:space="preserve"> </w:t>
            </w:r>
            <w:r w:rsidRPr="00150EDC">
              <w:rPr>
                <w:spacing w:val="-2"/>
                <w:sz w:val="20"/>
              </w:rPr>
              <w:t>exploitation</w:t>
            </w:r>
          </w:p>
        </w:tc>
      </w:tr>
      <w:tr w:rsidR="004569EE" w:rsidRPr="007D3144" w14:paraId="24C6904C" w14:textId="77777777">
        <w:trPr>
          <w:trHeight w:val="255"/>
        </w:trPr>
        <w:tc>
          <w:tcPr>
            <w:tcW w:w="6517" w:type="dxa"/>
          </w:tcPr>
          <w:p w14:paraId="68CA78DF" w14:textId="77777777" w:rsidR="004C7180" w:rsidRPr="00150EDC" w:rsidRDefault="00CF0754">
            <w:pPr>
              <w:pStyle w:val="TableParagraph"/>
              <w:rPr>
                <w:sz w:val="20"/>
              </w:rPr>
            </w:pPr>
            <w:r w:rsidRPr="00150EDC">
              <w:rPr>
                <w:sz w:val="20"/>
              </w:rPr>
              <w:t>Attempted</w:t>
            </w:r>
            <w:r w:rsidRPr="00150EDC">
              <w:rPr>
                <w:spacing w:val="-7"/>
                <w:sz w:val="20"/>
              </w:rPr>
              <w:t xml:space="preserve"> </w:t>
            </w:r>
            <w:r w:rsidRPr="00150EDC">
              <w:rPr>
                <w:sz w:val="20"/>
              </w:rPr>
              <w:t>Rape</w:t>
            </w:r>
            <w:r w:rsidRPr="00150EDC">
              <w:rPr>
                <w:spacing w:val="-6"/>
                <w:sz w:val="20"/>
              </w:rPr>
              <w:t xml:space="preserve"> </w:t>
            </w:r>
            <w:r w:rsidRPr="00150EDC">
              <w:rPr>
                <w:sz w:val="20"/>
              </w:rPr>
              <w:t>Act</w:t>
            </w:r>
            <w:r w:rsidRPr="00150EDC">
              <w:rPr>
                <w:spacing w:val="-5"/>
                <w:sz w:val="20"/>
              </w:rPr>
              <w:t xml:space="preserve"> </w:t>
            </w:r>
            <w:r w:rsidRPr="00150EDC">
              <w:rPr>
                <w:sz w:val="20"/>
              </w:rPr>
              <w:t>(Northern</w:t>
            </w:r>
            <w:r w:rsidRPr="00150EDC">
              <w:rPr>
                <w:spacing w:val="-6"/>
                <w:sz w:val="20"/>
              </w:rPr>
              <w:t xml:space="preserve"> </w:t>
            </w:r>
            <w:r w:rsidRPr="00150EDC">
              <w:rPr>
                <w:sz w:val="20"/>
              </w:rPr>
              <w:t>Ireland)</w:t>
            </w:r>
            <w:r w:rsidRPr="00150EDC">
              <w:rPr>
                <w:spacing w:val="-7"/>
                <w:sz w:val="20"/>
              </w:rPr>
              <w:t xml:space="preserve"> </w:t>
            </w:r>
            <w:r w:rsidRPr="00150EDC">
              <w:rPr>
                <w:sz w:val="20"/>
              </w:rPr>
              <w:t>1960,</w:t>
            </w:r>
            <w:r w:rsidRPr="00150EDC">
              <w:rPr>
                <w:spacing w:val="-6"/>
                <w:sz w:val="20"/>
              </w:rPr>
              <w:t xml:space="preserve"> </w:t>
            </w:r>
            <w:r w:rsidRPr="00150EDC">
              <w:rPr>
                <w:spacing w:val="-5"/>
                <w:sz w:val="20"/>
              </w:rPr>
              <w:t>s2</w:t>
            </w:r>
          </w:p>
        </w:tc>
        <w:tc>
          <w:tcPr>
            <w:tcW w:w="7427" w:type="dxa"/>
          </w:tcPr>
          <w:p w14:paraId="3A8BEB16" w14:textId="77777777" w:rsidR="004C7180" w:rsidRPr="00150EDC" w:rsidRDefault="00CF0754">
            <w:pPr>
              <w:pStyle w:val="TableParagraph"/>
              <w:rPr>
                <w:sz w:val="20"/>
              </w:rPr>
            </w:pPr>
            <w:r w:rsidRPr="00150EDC">
              <w:rPr>
                <w:sz w:val="20"/>
              </w:rPr>
              <w:t>Assault</w:t>
            </w:r>
            <w:r w:rsidRPr="00150EDC">
              <w:rPr>
                <w:spacing w:val="-5"/>
                <w:sz w:val="20"/>
              </w:rPr>
              <w:t xml:space="preserve"> </w:t>
            </w:r>
            <w:r w:rsidRPr="00150EDC">
              <w:rPr>
                <w:sz w:val="20"/>
              </w:rPr>
              <w:t>with</w:t>
            </w:r>
            <w:r w:rsidRPr="00150EDC">
              <w:rPr>
                <w:spacing w:val="-6"/>
                <w:sz w:val="20"/>
              </w:rPr>
              <w:t xml:space="preserve"> </w:t>
            </w:r>
            <w:r w:rsidRPr="00150EDC">
              <w:rPr>
                <w:sz w:val="20"/>
              </w:rPr>
              <w:t>intent to</w:t>
            </w:r>
            <w:r w:rsidRPr="00150EDC">
              <w:rPr>
                <w:spacing w:val="-6"/>
                <w:sz w:val="20"/>
              </w:rPr>
              <w:t xml:space="preserve"> </w:t>
            </w:r>
            <w:r w:rsidRPr="00150EDC">
              <w:rPr>
                <w:sz w:val="20"/>
              </w:rPr>
              <w:t>commit</w:t>
            </w:r>
            <w:r w:rsidRPr="00150EDC">
              <w:rPr>
                <w:spacing w:val="-4"/>
                <w:sz w:val="20"/>
              </w:rPr>
              <w:t xml:space="preserve"> rape</w:t>
            </w:r>
          </w:p>
        </w:tc>
      </w:tr>
      <w:tr w:rsidR="004569EE" w:rsidRPr="007D3144" w14:paraId="15FF2AF0" w14:textId="77777777">
        <w:trPr>
          <w:trHeight w:val="255"/>
        </w:trPr>
        <w:tc>
          <w:tcPr>
            <w:tcW w:w="6517" w:type="dxa"/>
          </w:tcPr>
          <w:p w14:paraId="709A7D43" w14:textId="77777777" w:rsidR="004C7180" w:rsidRPr="00150EDC" w:rsidRDefault="00CF0754">
            <w:pPr>
              <w:pStyle w:val="TableParagraph"/>
              <w:rPr>
                <w:sz w:val="20"/>
              </w:rPr>
            </w:pPr>
            <w:r w:rsidRPr="00150EDC">
              <w:rPr>
                <w:sz w:val="20"/>
              </w:rPr>
              <w:t>Aviation</w:t>
            </w:r>
            <w:r w:rsidRPr="00150EDC">
              <w:rPr>
                <w:spacing w:val="-8"/>
                <w:sz w:val="20"/>
              </w:rPr>
              <w:t xml:space="preserve"> </w:t>
            </w:r>
            <w:r w:rsidRPr="00150EDC">
              <w:rPr>
                <w:sz w:val="20"/>
              </w:rPr>
              <w:t>(Bailiwick</w:t>
            </w:r>
            <w:r w:rsidRPr="00150EDC">
              <w:rPr>
                <w:spacing w:val="-7"/>
                <w:sz w:val="20"/>
              </w:rPr>
              <w:t xml:space="preserve"> </w:t>
            </w:r>
            <w:r w:rsidRPr="00150EDC">
              <w:rPr>
                <w:sz w:val="20"/>
              </w:rPr>
              <w:t>of</w:t>
            </w:r>
            <w:r w:rsidRPr="00150EDC">
              <w:rPr>
                <w:spacing w:val="-7"/>
                <w:sz w:val="20"/>
              </w:rPr>
              <w:t xml:space="preserve"> </w:t>
            </w:r>
            <w:r w:rsidRPr="00150EDC">
              <w:rPr>
                <w:sz w:val="20"/>
              </w:rPr>
              <w:t>Guernsey)</w:t>
            </w:r>
            <w:r w:rsidRPr="00150EDC">
              <w:rPr>
                <w:spacing w:val="-3"/>
                <w:sz w:val="20"/>
              </w:rPr>
              <w:t xml:space="preserve"> </w:t>
            </w:r>
            <w:r w:rsidRPr="00150EDC">
              <w:rPr>
                <w:sz w:val="20"/>
              </w:rPr>
              <w:t>Law</w:t>
            </w:r>
            <w:r w:rsidRPr="00150EDC">
              <w:rPr>
                <w:spacing w:val="-6"/>
                <w:sz w:val="20"/>
              </w:rPr>
              <w:t xml:space="preserve"> </w:t>
            </w:r>
            <w:r w:rsidRPr="00150EDC">
              <w:rPr>
                <w:sz w:val="20"/>
              </w:rPr>
              <w:t>2008,</w:t>
            </w:r>
            <w:r w:rsidRPr="00150EDC">
              <w:rPr>
                <w:spacing w:val="-7"/>
                <w:sz w:val="20"/>
              </w:rPr>
              <w:t xml:space="preserve"> </w:t>
            </w:r>
            <w:r w:rsidRPr="00150EDC">
              <w:rPr>
                <w:spacing w:val="-4"/>
                <w:sz w:val="20"/>
              </w:rPr>
              <w:t>s120</w:t>
            </w:r>
          </w:p>
        </w:tc>
        <w:tc>
          <w:tcPr>
            <w:tcW w:w="7427" w:type="dxa"/>
          </w:tcPr>
          <w:p w14:paraId="71C46262" w14:textId="77777777" w:rsidR="004C7180" w:rsidRPr="00150EDC" w:rsidRDefault="00CF0754">
            <w:pPr>
              <w:pStyle w:val="TableParagraph"/>
              <w:rPr>
                <w:sz w:val="20"/>
              </w:rPr>
            </w:pPr>
            <w:r w:rsidRPr="00150EDC">
              <w:rPr>
                <w:sz w:val="20"/>
              </w:rPr>
              <w:t>Endangering</w:t>
            </w:r>
            <w:r w:rsidRPr="00150EDC">
              <w:rPr>
                <w:spacing w:val="-7"/>
                <w:sz w:val="20"/>
              </w:rPr>
              <w:t xml:space="preserve"> </w:t>
            </w:r>
            <w:r w:rsidRPr="00150EDC">
              <w:rPr>
                <w:sz w:val="20"/>
              </w:rPr>
              <w:t>safety</w:t>
            </w:r>
            <w:r w:rsidRPr="00150EDC">
              <w:rPr>
                <w:spacing w:val="-5"/>
                <w:sz w:val="20"/>
              </w:rPr>
              <w:t xml:space="preserve"> </w:t>
            </w:r>
            <w:r w:rsidRPr="00150EDC">
              <w:rPr>
                <w:sz w:val="20"/>
              </w:rPr>
              <w:t xml:space="preserve">of </w:t>
            </w:r>
            <w:r w:rsidRPr="00150EDC">
              <w:rPr>
                <w:spacing w:val="-2"/>
                <w:sz w:val="20"/>
              </w:rPr>
              <w:t>aircraft</w:t>
            </w:r>
          </w:p>
        </w:tc>
      </w:tr>
      <w:tr w:rsidR="004569EE" w:rsidRPr="007D3144" w14:paraId="5211F320" w14:textId="77777777">
        <w:trPr>
          <w:trHeight w:val="255"/>
        </w:trPr>
        <w:tc>
          <w:tcPr>
            <w:tcW w:w="6517" w:type="dxa"/>
          </w:tcPr>
          <w:p w14:paraId="791EEADD" w14:textId="77777777" w:rsidR="004C7180" w:rsidRPr="00150EDC" w:rsidRDefault="00CF0754">
            <w:pPr>
              <w:pStyle w:val="TableParagraph"/>
              <w:rPr>
                <w:sz w:val="20"/>
              </w:rPr>
            </w:pPr>
            <w:r w:rsidRPr="00150EDC">
              <w:rPr>
                <w:sz w:val="20"/>
              </w:rPr>
              <w:t>Aviation</w:t>
            </w:r>
            <w:r w:rsidRPr="00150EDC">
              <w:rPr>
                <w:spacing w:val="-8"/>
                <w:sz w:val="20"/>
              </w:rPr>
              <w:t xml:space="preserve"> </w:t>
            </w:r>
            <w:r w:rsidRPr="00150EDC">
              <w:rPr>
                <w:sz w:val="20"/>
              </w:rPr>
              <w:t>(Bailiwick</w:t>
            </w:r>
            <w:r w:rsidRPr="00150EDC">
              <w:rPr>
                <w:spacing w:val="-7"/>
                <w:sz w:val="20"/>
              </w:rPr>
              <w:t xml:space="preserve"> </w:t>
            </w:r>
            <w:r w:rsidRPr="00150EDC">
              <w:rPr>
                <w:sz w:val="20"/>
              </w:rPr>
              <w:t>of</w:t>
            </w:r>
            <w:r w:rsidRPr="00150EDC">
              <w:rPr>
                <w:spacing w:val="-7"/>
                <w:sz w:val="20"/>
              </w:rPr>
              <w:t xml:space="preserve"> </w:t>
            </w:r>
            <w:r w:rsidRPr="00150EDC">
              <w:rPr>
                <w:sz w:val="20"/>
              </w:rPr>
              <w:t>Guernsey)</w:t>
            </w:r>
            <w:r w:rsidRPr="00150EDC">
              <w:rPr>
                <w:spacing w:val="-3"/>
                <w:sz w:val="20"/>
              </w:rPr>
              <w:t xml:space="preserve"> </w:t>
            </w:r>
            <w:r w:rsidRPr="00150EDC">
              <w:rPr>
                <w:sz w:val="20"/>
              </w:rPr>
              <w:t>Law</w:t>
            </w:r>
            <w:r w:rsidRPr="00150EDC">
              <w:rPr>
                <w:spacing w:val="-6"/>
                <w:sz w:val="20"/>
              </w:rPr>
              <w:t xml:space="preserve"> </w:t>
            </w:r>
            <w:r w:rsidRPr="00150EDC">
              <w:rPr>
                <w:sz w:val="20"/>
              </w:rPr>
              <w:t>2008,</w:t>
            </w:r>
            <w:r w:rsidRPr="00150EDC">
              <w:rPr>
                <w:spacing w:val="-7"/>
                <w:sz w:val="20"/>
              </w:rPr>
              <w:t xml:space="preserve"> </w:t>
            </w:r>
            <w:r w:rsidRPr="00150EDC">
              <w:rPr>
                <w:spacing w:val="-5"/>
                <w:sz w:val="20"/>
              </w:rPr>
              <w:t>s76</w:t>
            </w:r>
          </w:p>
        </w:tc>
        <w:tc>
          <w:tcPr>
            <w:tcW w:w="7427" w:type="dxa"/>
          </w:tcPr>
          <w:p w14:paraId="32250A89" w14:textId="77777777" w:rsidR="004C7180" w:rsidRPr="00150EDC" w:rsidRDefault="00CF0754">
            <w:pPr>
              <w:pStyle w:val="TableParagraph"/>
              <w:rPr>
                <w:sz w:val="20"/>
              </w:rPr>
            </w:pPr>
            <w:r w:rsidRPr="00150EDC">
              <w:rPr>
                <w:sz w:val="20"/>
              </w:rPr>
              <w:t>Carriage</w:t>
            </w:r>
            <w:r w:rsidRPr="00150EDC">
              <w:rPr>
                <w:spacing w:val="-3"/>
                <w:sz w:val="20"/>
              </w:rPr>
              <w:t xml:space="preserve"> </w:t>
            </w:r>
            <w:r w:rsidRPr="00150EDC">
              <w:rPr>
                <w:sz w:val="20"/>
              </w:rPr>
              <w:t>of</w:t>
            </w:r>
            <w:r w:rsidRPr="00150EDC">
              <w:rPr>
                <w:spacing w:val="-6"/>
                <w:sz w:val="20"/>
              </w:rPr>
              <w:t xml:space="preserve"> </w:t>
            </w:r>
            <w:r w:rsidRPr="00150EDC">
              <w:rPr>
                <w:sz w:val="20"/>
              </w:rPr>
              <w:t>sporting</w:t>
            </w:r>
            <w:r w:rsidRPr="00150EDC">
              <w:rPr>
                <w:spacing w:val="-7"/>
                <w:sz w:val="20"/>
              </w:rPr>
              <w:t xml:space="preserve"> </w:t>
            </w:r>
            <w:r w:rsidRPr="00150EDC">
              <w:rPr>
                <w:sz w:val="20"/>
              </w:rPr>
              <w:t>weapons</w:t>
            </w:r>
            <w:r w:rsidRPr="00150EDC">
              <w:rPr>
                <w:spacing w:val="-6"/>
                <w:sz w:val="20"/>
              </w:rPr>
              <w:t xml:space="preserve"> </w:t>
            </w:r>
            <w:r w:rsidRPr="00150EDC">
              <w:rPr>
                <w:sz w:val="20"/>
              </w:rPr>
              <w:t>and</w:t>
            </w:r>
            <w:r w:rsidRPr="00150EDC">
              <w:rPr>
                <w:spacing w:val="-2"/>
                <w:sz w:val="20"/>
              </w:rPr>
              <w:t xml:space="preserve"> </w:t>
            </w:r>
            <w:r w:rsidRPr="00150EDC">
              <w:rPr>
                <w:sz w:val="20"/>
              </w:rPr>
              <w:t>munitions</w:t>
            </w:r>
            <w:r w:rsidRPr="00150EDC">
              <w:rPr>
                <w:spacing w:val="-5"/>
                <w:sz w:val="20"/>
              </w:rPr>
              <w:t xml:space="preserve"> </w:t>
            </w:r>
            <w:r w:rsidRPr="00150EDC">
              <w:rPr>
                <w:sz w:val="20"/>
              </w:rPr>
              <w:t>of</w:t>
            </w:r>
            <w:r w:rsidRPr="00150EDC">
              <w:rPr>
                <w:spacing w:val="-7"/>
                <w:sz w:val="20"/>
              </w:rPr>
              <w:t xml:space="preserve"> </w:t>
            </w:r>
            <w:r w:rsidRPr="00150EDC">
              <w:rPr>
                <w:spacing w:val="-5"/>
                <w:sz w:val="20"/>
              </w:rPr>
              <w:t>war</w:t>
            </w:r>
          </w:p>
        </w:tc>
      </w:tr>
      <w:tr w:rsidR="004569EE" w:rsidRPr="007D3144" w14:paraId="77584109" w14:textId="77777777">
        <w:trPr>
          <w:trHeight w:val="255"/>
        </w:trPr>
        <w:tc>
          <w:tcPr>
            <w:tcW w:w="6517" w:type="dxa"/>
          </w:tcPr>
          <w:p w14:paraId="15A8E5CC" w14:textId="77777777" w:rsidR="004C7180" w:rsidRPr="00150EDC" w:rsidRDefault="00CF0754">
            <w:pPr>
              <w:pStyle w:val="TableParagraph"/>
              <w:rPr>
                <w:sz w:val="20"/>
              </w:rPr>
            </w:pPr>
            <w:r w:rsidRPr="00150EDC">
              <w:rPr>
                <w:sz w:val="20"/>
              </w:rPr>
              <w:t>Aviation</w:t>
            </w:r>
            <w:r w:rsidRPr="00150EDC">
              <w:rPr>
                <w:spacing w:val="-8"/>
                <w:sz w:val="20"/>
              </w:rPr>
              <w:t xml:space="preserve"> </w:t>
            </w:r>
            <w:r w:rsidRPr="00150EDC">
              <w:rPr>
                <w:sz w:val="20"/>
              </w:rPr>
              <w:t>(Bailiwick</w:t>
            </w:r>
            <w:r w:rsidRPr="00150EDC">
              <w:rPr>
                <w:spacing w:val="-7"/>
                <w:sz w:val="20"/>
              </w:rPr>
              <w:t xml:space="preserve"> </w:t>
            </w:r>
            <w:r w:rsidRPr="00150EDC">
              <w:rPr>
                <w:sz w:val="20"/>
              </w:rPr>
              <w:t>of</w:t>
            </w:r>
            <w:r w:rsidRPr="00150EDC">
              <w:rPr>
                <w:spacing w:val="-7"/>
                <w:sz w:val="20"/>
              </w:rPr>
              <w:t xml:space="preserve"> </w:t>
            </w:r>
            <w:r w:rsidRPr="00150EDC">
              <w:rPr>
                <w:sz w:val="20"/>
              </w:rPr>
              <w:t>Guernsey)</w:t>
            </w:r>
            <w:r w:rsidRPr="00150EDC">
              <w:rPr>
                <w:spacing w:val="-3"/>
                <w:sz w:val="20"/>
              </w:rPr>
              <w:t xml:space="preserve"> </w:t>
            </w:r>
            <w:r w:rsidRPr="00150EDC">
              <w:rPr>
                <w:sz w:val="20"/>
              </w:rPr>
              <w:t>Law</w:t>
            </w:r>
            <w:r w:rsidRPr="00150EDC">
              <w:rPr>
                <w:spacing w:val="-6"/>
                <w:sz w:val="20"/>
              </w:rPr>
              <w:t xml:space="preserve"> </w:t>
            </w:r>
            <w:r w:rsidRPr="00150EDC">
              <w:rPr>
                <w:sz w:val="20"/>
              </w:rPr>
              <w:t>2008,</w:t>
            </w:r>
            <w:r w:rsidRPr="00150EDC">
              <w:rPr>
                <w:spacing w:val="-7"/>
                <w:sz w:val="20"/>
              </w:rPr>
              <w:t xml:space="preserve"> </w:t>
            </w:r>
            <w:r w:rsidRPr="00150EDC">
              <w:rPr>
                <w:spacing w:val="-5"/>
                <w:sz w:val="20"/>
              </w:rPr>
              <w:t>s77</w:t>
            </w:r>
          </w:p>
        </w:tc>
        <w:tc>
          <w:tcPr>
            <w:tcW w:w="7427" w:type="dxa"/>
          </w:tcPr>
          <w:p w14:paraId="0B848E6A" w14:textId="77777777" w:rsidR="004C7180" w:rsidRPr="00150EDC" w:rsidRDefault="00CF0754">
            <w:pPr>
              <w:pStyle w:val="TableParagraph"/>
              <w:rPr>
                <w:sz w:val="20"/>
              </w:rPr>
            </w:pPr>
            <w:r w:rsidRPr="00150EDC">
              <w:rPr>
                <w:sz w:val="20"/>
              </w:rPr>
              <w:t>Carriage</w:t>
            </w:r>
            <w:r w:rsidRPr="00150EDC">
              <w:rPr>
                <w:spacing w:val="-4"/>
                <w:sz w:val="20"/>
              </w:rPr>
              <w:t xml:space="preserve"> </w:t>
            </w:r>
            <w:r w:rsidRPr="00150EDC">
              <w:rPr>
                <w:sz w:val="20"/>
              </w:rPr>
              <w:t>of</w:t>
            </w:r>
            <w:r w:rsidRPr="00150EDC">
              <w:rPr>
                <w:spacing w:val="-9"/>
                <w:sz w:val="20"/>
              </w:rPr>
              <w:t xml:space="preserve"> </w:t>
            </w:r>
            <w:r w:rsidRPr="00150EDC">
              <w:rPr>
                <w:sz w:val="20"/>
              </w:rPr>
              <w:t>dangerous</w:t>
            </w:r>
            <w:r w:rsidRPr="00150EDC">
              <w:rPr>
                <w:spacing w:val="-7"/>
                <w:sz w:val="20"/>
              </w:rPr>
              <w:t xml:space="preserve"> </w:t>
            </w:r>
            <w:r w:rsidRPr="00150EDC">
              <w:rPr>
                <w:spacing w:val="-2"/>
                <w:sz w:val="20"/>
              </w:rPr>
              <w:t>goods</w:t>
            </w:r>
          </w:p>
        </w:tc>
      </w:tr>
      <w:tr w:rsidR="004569EE" w:rsidRPr="007D3144" w14:paraId="3CBDE05F" w14:textId="77777777">
        <w:trPr>
          <w:trHeight w:val="255"/>
        </w:trPr>
        <w:tc>
          <w:tcPr>
            <w:tcW w:w="6517" w:type="dxa"/>
          </w:tcPr>
          <w:p w14:paraId="0FC3EFE2" w14:textId="77777777" w:rsidR="004C7180" w:rsidRPr="00150EDC" w:rsidRDefault="00CF0754">
            <w:pPr>
              <w:pStyle w:val="TableParagraph"/>
              <w:rPr>
                <w:sz w:val="20"/>
              </w:rPr>
            </w:pPr>
            <w:r w:rsidRPr="00150EDC">
              <w:rPr>
                <w:sz w:val="20"/>
              </w:rPr>
              <w:t>Aviation</w:t>
            </w:r>
            <w:r w:rsidRPr="00150EDC">
              <w:rPr>
                <w:spacing w:val="-7"/>
                <w:sz w:val="20"/>
              </w:rPr>
              <w:t xml:space="preserve"> </w:t>
            </w:r>
            <w:r w:rsidRPr="00150EDC">
              <w:rPr>
                <w:sz w:val="20"/>
              </w:rPr>
              <w:t>and</w:t>
            </w:r>
            <w:r w:rsidRPr="00150EDC">
              <w:rPr>
                <w:spacing w:val="-2"/>
                <w:sz w:val="20"/>
              </w:rPr>
              <w:t xml:space="preserve"> </w:t>
            </w:r>
            <w:r w:rsidRPr="00150EDC">
              <w:rPr>
                <w:sz w:val="20"/>
              </w:rPr>
              <w:t>Maritime</w:t>
            </w:r>
            <w:r w:rsidRPr="00150EDC">
              <w:rPr>
                <w:spacing w:val="-7"/>
                <w:sz w:val="20"/>
              </w:rPr>
              <w:t xml:space="preserve"> </w:t>
            </w:r>
            <w:r w:rsidRPr="00150EDC">
              <w:rPr>
                <w:sz w:val="20"/>
              </w:rPr>
              <w:t>Security</w:t>
            </w:r>
            <w:r w:rsidRPr="00150EDC">
              <w:rPr>
                <w:spacing w:val="-6"/>
                <w:sz w:val="20"/>
              </w:rPr>
              <w:t xml:space="preserve"> </w:t>
            </w:r>
            <w:r w:rsidRPr="00150EDC">
              <w:rPr>
                <w:sz w:val="20"/>
              </w:rPr>
              <w:t>Act</w:t>
            </w:r>
            <w:r w:rsidRPr="00150EDC">
              <w:rPr>
                <w:spacing w:val="-5"/>
                <w:sz w:val="20"/>
              </w:rPr>
              <w:t xml:space="preserve"> </w:t>
            </w:r>
            <w:r w:rsidRPr="00150EDC">
              <w:rPr>
                <w:sz w:val="20"/>
              </w:rPr>
              <w:t>1990,</w:t>
            </w:r>
            <w:r w:rsidRPr="00150EDC">
              <w:rPr>
                <w:spacing w:val="-7"/>
                <w:sz w:val="20"/>
              </w:rPr>
              <w:t xml:space="preserve"> </w:t>
            </w:r>
            <w:r w:rsidRPr="00150EDC">
              <w:rPr>
                <w:spacing w:val="-5"/>
                <w:sz w:val="20"/>
              </w:rPr>
              <w:t>s1</w:t>
            </w:r>
          </w:p>
        </w:tc>
        <w:tc>
          <w:tcPr>
            <w:tcW w:w="7427" w:type="dxa"/>
          </w:tcPr>
          <w:p w14:paraId="6AD65D15" w14:textId="77777777" w:rsidR="004C7180" w:rsidRPr="00150EDC" w:rsidRDefault="00CF0754">
            <w:pPr>
              <w:pStyle w:val="TableParagraph"/>
              <w:rPr>
                <w:sz w:val="20"/>
              </w:rPr>
            </w:pPr>
            <w:r w:rsidRPr="00150EDC">
              <w:rPr>
                <w:sz w:val="20"/>
              </w:rPr>
              <w:t>Endangering</w:t>
            </w:r>
            <w:r w:rsidRPr="00150EDC">
              <w:rPr>
                <w:spacing w:val="-7"/>
                <w:sz w:val="20"/>
              </w:rPr>
              <w:t xml:space="preserve"> </w:t>
            </w:r>
            <w:r w:rsidRPr="00150EDC">
              <w:rPr>
                <w:sz w:val="20"/>
              </w:rPr>
              <w:t>safety</w:t>
            </w:r>
            <w:r w:rsidRPr="00150EDC">
              <w:rPr>
                <w:spacing w:val="-5"/>
                <w:sz w:val="20"/>
              </w:rPr>
              <w:t xml:space="preserve"> </w:t>
            </w:r>
            <w:r w:rsidRPr="00150EDC">
              <w:rPr>
                <w:sz w:val="20"/>
              </w:rPr>
              <w:t xml:space="preserve">at </w:t>
            </w:r>
            <w:r w:rsidRPr="00150EDC">
              <w:rPr>
                <w:spacing w:val="-2"/>
                <w:sz w:val="20"/>
              </w:rPr>
              <w:t>aerodromes</w:t>
            </w:r>
          </w:p>
        </w:tc>
      </w:tr>
      <w:tr w:rsidR="004569EE" w:rsidRPr="007D3144" w14:paraId="1E0CAA69" w14:textId="77777777">
        <w:trPr>
          <w:trHeight w:val="255"/>
        </w:trPr>
        <w:tc>
          <w:tcPr>
            <w:tcW w:w="6517" w:type="dxa"/>
          </w:tcPr>
          <w:p w14:paraId="5B556C29" w14:textId="77777777" w:rsidR="004C7180" w:rsidRPr="00150EDC" w:rsidRDefault="00CF0754">
            <w:pPr>
              <w:pStyle w:val="TableParagraph"/>
              <w:rPr>
                <w:sz w:val="20"/>
              </w:rPr>
            </w:pPr>
            <w:r w:rsidRPr="00150EDC">
              <w:rPr>
                <w:sz w:val="20"/>
              </w:rPr>
              <w:t>Aviation</w:t>
            </w:r>
            <w:r w:rsidRPr="00150EDC">
              <w:rPr>
                <w:spacing w:val="-7"/>
                <w:sz w:val="20"/>
              </w:rPr>
              <w:t xml:space="preserve"> </w:t>
            </w:r>
            <w:r w:rsidRPr="00150EDC">
              <w:rPr>
                <w:sz w:val="20"/>
              </w:rPr>
              <w:t>and</w:t>
            </w:r>
            <w:r w:rsidRPr="00150EDC">
              <w:rPr>
                <w:spacing w:val="-2"/>
                <w:sz w:val="20"/>
              </w:rPr>
              <w:t xml:space="preserve"> </w:t>
            </w:r>
            <w:r w:rsidRPr="00150EDC">
              <w:rPr>
                <w:sz w:val="20"/>
              </w:rPr>
              <w:t>Maritime</w:t>
            </w:r>
            <w:r w:rsidRPr="00150EDC">
              <w:rPr>
                <w:spacing w:val="-7"/>
                <w:sz w:val="20"/>
              </w:rPr>
              <w:t xml:space="preserve"> </w:t>
            </w:r>
            <w:r w:rsidRPr="00150EDC">
              <w:rPr>
                <w:sz w:val="20"/>
              </w:rPr>
              <w:t>Security</w:t>
            </w:r>
            <w:r w:rsidRPr="00150EDC">
              <w:rPr>
                <w:spacing w:val="-6"/>
                <w:sz w:val="20"/>
              </w:rPr>
              <w:t xml:space="preserve"> </w:t>
            </w:r>
            <w:r w:rsidRPr="00150EDC">
              <w:rPr>
                <w:sz w:val="20"/>
              </w:rPr>
              <w:t>Act</w:t>
            </w:r>
            <w:r w:rsidRPr="00150EDC">
              <w:rPr>
                <w:spacing w:val="-5"/>
                <w:sz w:val="20"/>
              </w:rPr>
              <w:t xml:space="preserve"> </w:t>
            </w:r>
            <w:r w:rsidRPr="00150EDC">
              <w:rPr>
                <w:sz w:val="20"/>
              </w:rPr>
              <w:t>1990,</w:t>
            </w:r>
            <w:r w:rsidRPr="00150EDC">
              <w:rPr>
                <w:spacing w:val="-7"/>
                <w:sz w:val="20"/>
              </w:rPr>
              <w:t xml:space="preserve"> </w:t>
            </w:r>
            <w:r w:rsidRPr="00150EDC">
              <w:rPr>
                <w:spacing w:val="-5"/>
                <w:sz w:val="20"/>
              </w:rPr>
              <w:t>s10</w:t>
            </w:r>
          </w:p>
        </w:tc>
        <w:tc>
          <w:tcPr>
            <w:tcW w:w="7427" w:type="dxa"/>
          </w:tcPr>
          <w:p w14:paraId="77233DF4" w14:textId="77777777" w:rsidR="004C7180" w:rsidRPr="00150EDC" w:rsidRDefault="00CF0754">
            <w:pPr>
              <w:pStyle w:val="TableParagraph"/>
              <w:rPr>
                <w:sz w:val="20"/>
              </w:rPr>
            </w:pPr>
            <w:r w:rsidRPr="00150EDC">
              <w:rPr>
                <w:sz w:val="20"/>
              </w:rPr>
              <w:t>Seizing</w:t>
            </w:r>
            <w:r w:rsidRPr="00150EDC">
              <w:rPr>
                <w:spacing w:val="-6"/>
                <w:sz w:val="20"/>
              </w:rPr>
              <w:t xml:space="preserve"> </w:t>
            </w:r>
            <w:r w:rsidRPr="00150EDC">
              <w:rPr>
                <w:sz w:val="20"/>
              </w:rPr>
              <w:t>or</w:t>
            </w:r>
            <w:r w:rsidRPr="00150EDC">
              <w:rPr>
                <w:spacing w:val="-5"/>
                <w:sz w:val="20"/>
              </w:rPr>
              <w:t xml:space="preserve"> </w:t>
            </w:r>
            <w:r w:rsidRPr="00150EDC">
              <w:rPr>
                <w:sz w:val="20"/>
              </w:rPr>
              <w:t>exercising</w:t>
            </w:r>
            <w:r w:rsidRPr="00150EDC">
              <w:rPr>
                <w:spacing w:val="-5"/>
                <w:sz w:val="20"/>
              </w:rPr>
              <w:t xml:space="preserve"> </w:t>
            </w:r>
            <w:r w:rsidRPr="00150EDC">
              <w:rPr>
                <w:sz w:val="20"/>
              </w:rPr>
              <w:t>control over</w:t>
            </w:r>
            <w:r w:rsidRPr="00150EDC">
              <w:rPr>
                <w:spacing w:val="-5"/>
                <w:sz w:val="20"/>
              </w:rPr>
              <w:t xml:space="preserve"> </w:t>
            </w:r>
            <w:r w:rsidRPr="00150EDC">
              <w:rPr>
                <w:sz w:val="20"/>
              </w:rPr>
              <w:t>fixed</w:t>
            </w:r>
            <w:r w:rsidRPr="00150EDC">
              <w:rPr>
                <w:spacing w:val="-5"/>
                <w:sz w:val="20"/>
              </w:rPr>
              <w:t xml:space="preserve"> </w:t>
            </w:r>
            <w:r w:rsidRPr="00150EDC">
              <w:rPr>
                <w:spacing w:val="-2"/>
                <w:sz w:val="20"/>
              </w:rPr>
              <w:t>platforms</w:t>
            </w:r>
          </w:p>
        </w:tc>
      </w:tr>
      <w:tr w:rsidR="004569EE" w:rsidRPr="007D3144" w14:paraId="71837CF0" w14:textId="77777777">
        <w:trPr>
          <w:trHeight w:val="255"/>
        </w:trPr>
        <w:tc>
          <w:tcPr>
            <w:tcW w:w="6517" w:type="dxa"/>
          </w:tcPr>
          <w:p w14:paraId="66F23FDB" w14:textId="77777777" w:rsidR="004C7180" w:rsidRPr="00150EDC" w:rsidRDefault="00CF0754">
            <w:pPr>
              <w:pStyle w:val="TableParagraph"/>
              <w:rPr>
                <w:sz w:val="20"/>
              </w:rPr>
            </w:pPr>
            <w:r w:rsidRPr="00150EDC">
              <w:rPr>
                <w:sz w:val="20"/>
              </w:rPr>
              <w:t>Aviation</w:t>
            </w:r>
            <w:r w:rsidRPr="00150EDC">
              <w:rPr>
                <w:spacing w:val="-7"/>
                <w:sz w:val="20"/>
              </w:rPr>
              <w:t xml:space="preserve"> </w:t>
            </w:r>
            <w:r w:rsidRPr="00150EDC">
              <w:rPr>
                <w:sz w:val="20"/>
              </w:rPr>
              <w:t>and</w:t>
            </w:r>
            <w:r w:rsidRPr="00150EDC">
              <w:rPr>
                <w:spacing w:val="-2"/>
                <w:sz w:val="20"/>
              </w:rPr>
              <w:t xml:space="preserve"> </w:t>
            </w:r>
            <w:r w:rsidRPr="00150EDC">
              <w:rPr>
                <w:sz w:val="20"/>
              </w:rPr>
              <w:t>Maritime</w:t>
            </w:r>
            <w:r w:rsidRPr="00150EDC">
              <w:rPr>
                <w:spacing w:val="-7"/>
                <w:sz w:val="20"/>
              </w:rPr>
              <w:t xml:space="preserve"> </w:t>
            </w:r>
            <w:r w:rsidRPr="00150EDC">
              <w:rPr>
                <w:sz w:val="20"/>
              </w:rPr>
              <w:t>Security</w:t>
            </w:r>
            <w:r w:rsidRPr="00150EDC">
              <w:rPr>
                <w:spacing w:val="-6"/>
                <w:sz w:val="20"/>
              </w:rPr>
              <w:t xml:space="preserve"> </w:t>
            </w:r>
            <w:r w:rsidRPr="00150EDC">
              <w:rPr>
                <w:sz w:val="20"/>
              </w:rPr>
              <w:t>Act</w:t>
            </w:r>
            <w:r w:rsidRPr="00150EDC">
              <w:rPr>
                <w:spacing w:val="-5"/>
                <w:sz w:val="20"/>
              </w:rPr>
              <w:t xml:space="preserve"> </w:t>
            </w:r>
            <w:r w:rsidRPr="00150EDC">
              <w:rPr>
                <w:sz w:val="20"/>
              </w:rPr>
              <w:t>1990,</w:t>
            </w:r>
            <w:r w:rsidRPr="00150EDC">
              <w:rPr>
                <w:spacing w:val="-7"/>
                <w:sz w:val="20"/>
              </w:rPr>
              <w:t xml:space="preserve"> </w:t>
            </w:r>
            <w:r w:rsidRPr="00150EDC">
              <w:rPr>
                <w:spacing w:val="-5"/>
                <w:sz w:val="20"/>
              </w:rPr>
              <w:t>s11</w:t>
            </w:r>
          </w:p>
        </w:tc>
        <w:tc>
          <w:tcPr>
            <w:tcW w:w="7427" w:type="dxa"/>
          </w:tcPr>
          <w:p w14:paraId="768899DC" w14:textId="77777777" w:rsidR="004C7180" w:rsidRPr="00150EDC" w:rsidRDefault="00CF0754">
            <w:pPr>
              <w:pStyle w:val="TableParagraph"/>
              <w:rPr>
                <w:sz w:val="20"/>
              </w:rPr>
            </w:pPr>
            <w:r w:rsidRPr="00150EDC">
              <w:rPr>
                <w:sz w:val="20"/>
              </w:rPr>
              <w:t>Destroying</w:t>
            </w:r>
            <w:r w:rsidRPr="00150EDC">
              <w:rPr>
                <w:spacing w:val="-3"/>
                <w:sz w:val="20"/>
              </w:rPr>
              <w:t xml:space="preserve"> </w:t>
            </w:r>
            <w:r w:rsidRPr="00150EDC">
              <w:rPr>
                <w:sz w:val="20"/>
              </w:rPr>
              <w:t>or</w:t>
            </w:r>
            <w:r w:rsidRPr="00150EDC">
              <w:rPr>
                <w:spacing w:val="-8"/>
                <w:sz w:val="20"/>
              </w:rPr>
              <w:t xml:space="preserve"> </w:t>
            </w:r>
            <w:r w:rsidRPr="00150EDC">
              <w:rPr>
                <w:sz w:val="20"/>
              </w:rPr>
              <w:t>endangering</w:t>
            </w:r>
            <w:r w:rsidRPr="00150EDC">
              <w:rPr>
                <w:spacing w:val="-3"/>
                <w:sz w:val="20"/>
              </w:rPr>
              <w:t xml:space="preserve"> </w:t>
            </w:r>
            <w:r w:rsidRPr="00150EDC">
              <w:rPr>
                <w:sz w:val="20"/>
              </w:rPr>
              <w:t>safety</w:t>
            </w:r>
            <w:r w:rsidRPr="00150EDC">
              <w:rPr>
                <w:spacing w:val="-3"/>
                <w:sz w:val="20"/>
              </w:rPr>
              <w:t xml:space="preserve"> </w:t>
            </w:r>
            <w:r w:rsidRPr="00150EDC">
              <w:rPr>
                <w:sz w:val="20"/>
              </w:rPr>
              <w:t>of</w:t>
            </w:r>
            <w:r w:rsidRPr="00150EDC">
              <w:rPr>
                <w:spacing w:val="-7"/>
                <w:sz w:val="20"/>
              </w:rPr>
              <w:t xml:space="preserve"> </w:t>
            </w:r>
            <w:r w:rsidRPr="00150EDC">
              <w:rPr>
                <w:sz w:val="20"/>
              </w:rPr>
              <w:t>fixed</w:t>
            </w:r>
            <w:r w:rsidRPr="00150EDC">
              <w:rPr>
                <w:spacing w:val="-3"/>
                <w:sz w:val="20"/>
              </w:rPr>
              <w:t xml:space="preserve"> </w:t>
            </w:r>
            <w:r w:rsidRPr="00150EDC">
              <w:rPr>
                <w:spacing w:val="-2"/>
                <w:sz w:val="20"/>
              </w:rPr>
              <w:t>platforms</w:t>
            </w:r>
          </w:p>
        </w:tc>
      </w:tr>
      <w:tr w:rsidR="004569EE" w:rsidRPr="007D3144" w14:paraId="4B459B30" w14:textId="77777777">
        <w:trPr>
          <w:trHeight w:val="255"/>
        </w:trPr>
        <w:tc>
          <w:tcPr>
            <w:tcW w:w="6517" w:type="dxa"/>
          </w:tcPr>
          <w:p w14:paraId="5C5CF24E" w14:textId="77777777" w:rsidR="004C7180" w:rsidRPr="00150EDC" w:rsidRDefault="00CF0754">
            <w:pPr>
              <w:pStyle w:val="TableParagraph"/>
              <w:rPr>
                <w:sz w:val="20"/>
              </w:rPr>
            </w:pPr>
            <w:r w:rsidRPr="00150EDC">
              <w:rPr>
                <w:sz w:val="20"/>
              </w:rPr>
              <w:t>Aviation</w:t>
            </w:r>
            <w:r w:rsidRPr="00150EDC">
              <w:rPr>
                <w:spacing w:val="-7"/>
                <w:sz w:val="20"/>
              </w:rPr>
              <w:t xml:space="preserve"> </w:t>
            </w:r>
            <w:r w:rsidRPr="00150EDC">
              <w:rPr>
                <w:sz w:val="20"/>
              </w:rPr>
              <w:t>and</w:t>
            </w:r>
            <w:r w:rsidRPr="00150EDC">
              <w:rPr>
                <w:spacing w:val="-2"/>
                <w:sz w:val="20"/>
              </w:rPr>
              <w:t xml:space="preserve"> </w:t>
            </w:r>
            <w:r w:rsidRPr="00150EDC">
              <w:rPr>
                <w:sz w:val="20"/>
              </w:rPr>
              <w:t>Maritime</w:t>
            </w:r>
            <w:r w:rsidRPr="00150EDC">
              <w:rPr>
                <w:spacing w:val="-7"/>
                <w:sz w:val="20"/>
              </w:rPr>
              <w:t xml:space="preserve"> </w:t>
            </w:r>
            <w:r w:rsidRPr="00150EDC">
              <w:rPr>
                <w:sz w:val="20"/>
              </w:rPr>
              <w:t>Security</w:t>
            </w:r>
            <w:r w:rsidRPr="00150EDC">
              <w:rPr>
                <w:spacing w:val="-6"/>
                <w:sz w:val="20"/>
              </w:rPr>
              <w:t xml:space="preserve"> </w:t>
            </w:r>
            <w:r w:rsidRPr="00150EDC">
              <w:rPr>
                <w:sz w:val="20"/>
              </w:rPr>
              <w:t>Act</w:t>
            </w:r>
            <w:r w:rsidRPr="00150EDC">
              <w:rPr>
                <w:spacing w:val="-5"/>
                <w:sz w:val="20"/>
              </w:rPr>
              <w:t xml:space="preserve"> </w:t>
            </w:r>
            <w:r w:rsidRPr="00150EDC">
              <w:rPr>
                <w:sz w:val="20"/>
              </w:rPr>
              <w:t>1990,</w:t>
            </w:r>
            <w:r w:rsidRPr="00150EDC">
              <w:rPr>
                <w:spacing w:val="-7"/>
                <w:sz w:val="20"/>
              </w:rPr>
              <w:t xml:space="preserve"> </w:t>
            </w:r>
            <w:r w:rsidRPr="00150EDC">
              <w:rPr>
                <w:spacing w:val="-5"/>
                <w:sz w:val="20"/>
              </w:rPr>
              <w:t>s12</w:t>
            </w:r>
          </w:p>
        </w:tc>
        <w:tc>
          <w:tcPr>
            <w:tcW w:w="7427" w:type="dxa"/>
          </w:tcPr>
          <w:p w14:paraId="74C8828F" w14:textId="77777777" w:rsidR="004C7180" w:rsidRPr="00150EDC" w:rsidRDefault="00CF0754">
            <w:pPr>
              <w:pStyle w:val="TableParagraph"/>
              <w:rPr>
                <w:sz w:val="20"/>
              </w:rPr>
            </w:pPr>
            <w:r w:rsidRPr="00150EDC">
              <w:rPr>
                <w:sz w:val="20"/>
              </w:rPr>
              <w:t>Other</w:t>
            </w:r>
            <w:r w:rsidRPr="00150EDC">
              <w:rPr>
                <w:spacing w:val="-5"/>
                <w:sz w:val="20"/>
              </w:rPr>
              <w:t xml:space="preserve"> </w:t>
            </w:r>
            <w:r w:rsidRPr="00150EDC">
              <w:rPr>
                <w:sz w:val="20"/>
              </w:rPr>
              <w:t>acts</w:t>
            </w:r>
            <w:r w:rsidRPr="00150EDC">
              <w:rPr>
                <w:spacing w:val="-4"/>
                <w:sz w:val="20"/>
              </w:rPr>
              <w:t xml:space="preserve"> </w:t>
            </w:r>
            <w:r w:rsidRPr="00150EDC">
              <w:rPr>
                <w:sz w:val="20"/>
              </w:rPr>
              <w:t>endangering</w:t>
            </w:r>
            <w:r w:rsidRPr="00150EDC">
              <w:rPr>
                <w:spacing w:val="-5"/>
                <w:sz w:val="20"/>
              </w:rPr>
              <w:t xml:space="preserve"> </w:t>
            </w:r>
            <w:r w:rsidRPr="00150EDC">
              <w:rPr>
                <w:sz w:val="20"/>
              </w:rPr>
              <w:t>or</w:t>
            </w:r>
            <w:r w:rsidRPr="00150EDC">
              <w:rPr>
                <w:spacing w:val="-5"/>
                <w:sz w:val="20"/>
              </w:rPr>
              <w:t xml:space="preserve"> </w:t>
            </w:r>
            <w:r w:rsidRPr="00150EDC">
              <w:rPr>
                <w:sz w:val="20"/>
              </w:rPr>
              <w:t>likely</w:t>
            </w:r>
            <w:r w:rsidRPr="00150EDC">
              <w:rPr>
                <w:spacing w:val="-3"/>
                <w:sz w:val="20"/>
              </w:rPr>
              <w:t xml:space="preserve"> </w:t>
            </w:r>
            <w:r w:rsidRPr="00150EDC">
              <w:rPr>
                <w:sz w:val="20"/>
              </w:rPr>
              <w:t>to</w:t>
            </w:r>
            <w:r w:rsidRPr="00150EDC">
              <w:rPr>
                <w:spacing w:val="-1"/>
                <w:sz w:val="20"/>
              </w:rPr>
              <w:t xml:space="preserve"> </w:t>
            </w:r>
            <w:r w:rsidRPr="00150EDC">
              <w:rPr>
                <w:sz w:val="20"/>
              </w:rPr>
              <w:t>endanger</w:t>
            </w:r>
            <w:r w:rsidRPr="00150EDC">
              <w:rPr>
                <w:spacing w:val="-5"/>
                <w:sz w:val="20"/>
              </w:rPr>
              <w:t xml:space="preserve"> </w:t>
            </w:r>
            <w:r w:rsidRPr="00150EDC">
              <w:rPr>
                <w:sz w:val="20"/>
              </w:rPr>
              <w:t>safe</w:t>
            </w:r>
            <w:r w:rsidRPr="00150EDC">
              <w:rPr>
                <w:spacing w:val="-4"/>
                <w:sz w:val="20"/>
              </w:rPr>
              <w:t xml:space="preserve"> </w:t>
            </w:r>
            <w:r w:rsidRPr="00150EDC">
              <w:rPr>
                <w:spacing w:val="-2"/>
                <w:sz w:val="20"/>
              </w:rPr>
              <w:t>navigation</w:t>
            </w:r>
          </w:p>
        </w:tc>
      </w:tr>
      <w:tr w:rsidR="004569EE" w:rsidRPr="007D3144" w14:paraId="48079D10" w14:textId="77777777">
        <w:trPr>
          <w:trHeight w:val="255"/>
        </w:trPr>
        <w:tc>
          <w:tcPr>
            <w:tcW w:w="6517" w:type="dxa"/>
          </w:tcPr>
          <w:p w14:paraId="485F685D" w14:textId="77777777" w:rsidR="004C7180" w:rsidRPr="00150EDC" w:rsidRDefault="00CF0754">
            <w:pPr>
              <w:pStyle w:val="TableParagraph"/>
              <w:spacing w:before="28"/>
              <w:rPr>
                <w:sz w:val="20"/>
              </w:rPr>
            </w:pPr>
            <w:r w:rsidRPr="00150EDC">
              <w:rPr>
                <w:sz w:val="20"/>
              </w:rPr>
              <w:t>Aviation</w:t>
            </w:r>
            <w:r w:rsidRPr="00150EDC">
              <w:rPr>
                <w:spacing w:val="-7"/>
                <w:sz w:val="20"/>
              </w:rPr>
              <w:t xml:space="preserve"> </w:t>
            </w:r>
            <w:r w:rsidRPr="00150EDC">
              <w:rPr>
                <w:sz w:val="20"/>
              </w:rPr>
              <w:t>and</w:t>
            </w:r>
            <w:r w:rsidRPr="00150EDC">
              <w:rPr>
                <w:spacing w:val="-2"/>
                <w:sz w:val="20"/>
              </w:rPr>
              <w:t xml:space="preserve"> </w:t>
            </w:r>
            <w:r w:rsidRPr="00150EDC">
              <w:rPr>
                <w:sz w:val="20"/>
              </w:rPr>
              <w:t>Maritime</w:t>
            </w:r>
            <w:r w:rsidRPr="00150EDC">
              <w:rPr>
                <w:spacing w:val="-7"/>
                <w:sz w:val="20"/>
              </w:rPr>
              <w:t xml:space="preserve"> </w:t>
            </w:r>
            <w:r w:rsidRPr="00150EDC">
              <w:rPr>
                <w:sz w:val="20"/>
              </w:rPr>
              <w:t>Security</w:t>
            </w:r>
            <w:r w:rsidRPr="00150EDC">
              <w:rPr>
                <w:spacing w:val="-6"/>
                <w:sz w:val="20"/>
              </w:rPr>
              <w:t xml:space="preserve"> </w:t>
            </w:r>
            <w:r w:rsidRPr="00150EDC">
              <w:rPr>
                <w:sz w:val="20"/>
              </w:rPr>
              <w:t>Act</w:t>
            </w:r>
            <w:r w:rsidRPr="00150EDC">
              <w:rPr>
                <w:spacing w:val="-5"/>
                <w:sz w:val="20"/>
              </w:rPr>
              <w:t xml:space="preserve"> </w:t>
            </w:r>
            <w:r w:rsidRPr="00150EDC">
              <w:rPr>
                <w:sz w:val="20"/>
              </w:rPr>
              <w:t>1990,</w:t>
            </w:r>
            <w:r w:rsidRPr="00150EDC">
              <w:rPr>
                <w:spacing w:val="-7"/>
                <w:sz w:val="20"/>
              </w:rPr>
              <w:t xml:space="preserve"> </w:t>
            </w:r>
            <w:r w:rsidRPr="00150EDC">
              <w:rPr>
                <w:spacing w:val="-5"/>
                <w:sz w:val="20"/>
              </w:rPr>
              <w:t>s13</w:t>
            </w:r>
          </w:p>
        </w:tc>
        <w:tc>
          <w:tcPr>
            <w:tcW w:w="7427" w:type="dxa"/>
          </w:tcPr>
          <w:p w14:paraId="0F338F28" w14:textId="77777777" w:rsidR="004C7180" w:rsidRPr="00150EDC" w:rsidRDefault="00CF0754">
            <w:pPr>
              <w:pStyle w:val="TableParagraph"/>
              <w:spacing w:before="28"/>
              <w:rPr>
                <w:sz w:val="20"/>
              </w:rPr>
            </w:pPr>
            <w:r w:rsidRPr="00150EDC">
              <w:rPr>
                <w:sz w:val="20"/>
              </w:rPr>
              <w:t>Offences</w:t>
            </w:r>
            <w:r w:rsidRPr="00150EDC">
              <w:rPr>
                <w:spacing w:val="-8"/>
                <w:sz w:val="20"/>
              </w:rPr>
              <w:t xml:space="preserve"> </w:t>
            </w:r>
            <w:r w:rsidRPr="00150EDC">
              <w:rPr>
                <w:sz w:val="20"/>
              </w:rPr>
              <w:t>involving</w:t>
            </w:r>
            <w:r w:rsidRPr="00150EDC">
              <w:rPr>
                <w:spacing w:val="-7"/>
                <w:sz w:val="20"/>
              </w:rPr>
              <w:t xml:space="preserve"> </w:t>
            </w:r>
            <w:r w:rsidRPr="00150EDC">
              <w:rPr>
                <w:spacing w:val="-2"/>
                <w:sz w:val="20"/>
              </w:rPr>
              <w:t>threats</w:t>
            </w:r>
          </w:p>
        </w:tc>
      </w:tr>
      <w:tr w:rsidR="004569EE" w:rsidRPr="007D3144" w14:paraId="7249CF25" w14:textId="77777777">
        <w:trPr>
          <w:trHeight w:val="255"/>
        </w:trPr>
        <w:tc>
          <w:tcPr>
            <w:tcW w:w="6517" w:type="dxa"/>
          </w:tcPr>
          <w:p w14:paraId="67215D1B" w14:textId="77777777" w:rsidR="004C7180" w:rsidRPr="00150EDC" w:rsidRDefault="00CF0754">
            <w:pPr>
              <w:pStyle w:val="TableParagraph"/>
              <w:rPr>
                <w:sz w:val="20"/>
              </w:rPr>
            </w:pPr>
            <w:r w:rsidRPr="00150EDC">
              <w:rPr>
                <w:sz w:val="20"/>
              </w:rPr>
              <w:t>Aviation</w:t>
            </w:r>
            <w:r w:rsidRPr="00150EDC">
              <w:rPr>
                <w:spacing w:val="-7"/>
                <w:sz w:val="20"/>
              </w:rPr>
              <w:t xml:space="preserve"> </w:t>
            </w:r>
            <w:r w:rsidRPr="00150EDC">
              <w:rPr>
                <w:sz w:val="20"/>
              </w:rPr>
              <w:t>and</w:t>
            </w:r>
            <w:r w:rsidRPr="00150EDC">
              <w:rPr>
                <w:spacing w:val="-2"/>
                <w:sz w:val="20"/>
              </w:rPr>
              <w:t xml:space="preserve"> </w:t>
            </w:r>
            <w:r w:rsidRPr="00150EDC">
              <w:rPr>
                <w:sz w:val="20"/>
              </w:rPr>
              <w:t>Maritime</w:t>
            </w:r>
            <w:r w:rsidRPr="00150EDC">
              <w:rPr>
                <w:spacing w:val="-7"/>
                <w:sz w:val="20"/>
              </w:rPr>
              <w:t xml:space="preserve"> </w:t>
            </w:r>
            <w:r w:rsidRPr="00150EDC">
              <w:rPr>
                <w:sz w:val="20"/>
              </w:rPr>
              <w:t>Security</w:t>
            </w:r>
            <w:r w:rsidRPr="00150EDC">
              <w:rPr>
                <w:spacing w:val="-6"/>
                <w:sz w:val="20"/>
              </w:rPr>
              <w:t xml:space="preserve"> </w:t>
            </w:r>
            <w:r w:rsidRPr="00150EDC">
              <w:rPr>
                <w:sz w:val="20"/>
              </w:rPr>
              <w:t>Act</w:t>
            </w:r>
            <w:r w:rsidRPr="00150EDC">
              <w:rPr>
                <w:spacing w:val="-5"/>
                <w:sz w:val="20"/>
              </w:rPr>
              <w:t xml:space="preserve"> </w:t>
            </w:r>
            <w:r w:rsidRPr="00150EDC">
              <w:rPr>
                <w:sz w:val="20"/>
              </w:rPr>
              <w:t>1990,</w:t>
            </w:r>
            <w:r w:rsidRPr="00150EDC">
              <w:rPr>
                <w:spacing w:val="-7"/>
                <w:sz w:val="20"/>
              </w:rPr>
              <w:t xml:space="preserve"> </w:t>
            </w:r>
            <w:r w:rsidRPr="00150EDC">
              <w:rPr>
                <w:spacing w:val="-5"/>
                <w:sz w:val="20"/>
              </w:rPr>
              <w:t>s14</w:t>
            </w:r>
          </w:p>
        </w:tc>
        <w:tc>
          <w:tcPr>
            <w:tcW w:w="7427" w:type="dxa"/>
          </w:tcPr>
          <w:p w14:paraId="05FDBD0A" w14:textId="77777777" w:rsidR="004C7180" w:rsidRPr="00150EDC" w:rsidRDefault="00CF0754">
            <w:pPr>
              <w:pStyle w:val="TableParagraph"/>
              <w:rPr>
                <w:sz w:val="20"/>
              </w:rPr>
            </w:pPr>
            <w:r w:rsidRPr="00150EDC">
              <w:rPr>
                <w:sz w:val="20"/>
              </w:rPr>
              <w:t>Ancillary</w:t>
            </w:r>
            <w:r w:rsidRPr="00150EDC">
              <w:rPr>
                <w:spacing w:val="-7"/>
                <w:sz w:val="20"/>
              </w:rPr>
              <w:t xml:space="preserve"> </w:t>
            </w:r>
            <w:r w:rsidRPr="00150EDC">
              <w:rPr>
                <w:sz w:val="20"/>
              </w:rPr>
              <w:t>offences</w:t>
            </w:r>
            <w:r w:rsidRPr="00150EDC">
              <w:rPr>
                <w:spacing w:val="-2"/>
                <w:sz w:val="20"/>
              </w:rPr>
              <w:t xml:space="preserve"> </w:t>
            </w:r>
            <w:r w:rsidRPr="00150EDC">
              <w:rPr>
                <w:sz w:val="20"/>
              </w:rPr>
              <w:t>outside</w:t>
            </w:r>
            <w:r w:rsidRPr="00150EDC">
              <w:rPr>
                <w:spacing w:val="-7"/>
                <w:sz w:val="20"/>
              </w:rPr>
              <w:t xml:space="preserve"> </w:t>
            </w:r>
            <w:r w:rsidRPr="00150EDC">
              <w:rPr>
                <w:sz w:val="20"/>
              </w:rPr>
              <w:t>the</w:t>
            </w:r>
            <w:r w:rsidRPr="00150EDC">
              <w:rPr>
                <w:spacing w:val="-8"/>
                <w:sz w:val="20"/>
              </w:rPr>
              <w:t xml:space="preserve"> </w:t>
            </w:r>
            <w:r w:rsidRPr="00150EDC">
              <w:rPr>
                <w:sz w:val="20"/>
              </w:rPr>
              <w:t>United</w:t>
            </w:r>
            <w:r w:rsidRPr="00150EDC">
              <w:rPr>
                <w:spacing w:val="-7"/>
                <w:sz w:val="20"/>
              </w:rPr>
              <w:t xml:space="preserve"> </w:t>
            </w:r>
            <w:r w:rsidRPr="00150EDC">
              <w:rPr>
                <w:spacing w:val="-2"/>
                <w:sz w:val="20"/>
              </w:rPr>
              <w:t>Kingdom</w:t>
            </w:r>
          </w:p>
        </w:tc>
      </w:tr>
      <w:tr w:rsidR="004569EE" w:rsidRPr="007D3144" w14:paraId="461914F0" w14:textId="77777777">
        <w:trPr>
          <w:trHeight w:val="255"/>
        </w:trPr>
        <w:tc>
          <w:tcPr>
            <w:tcW w:w="6517" w:type="dxa"/>
          </w:tcPr>
          <w:p w14:paraId="149CA638" w14:textId="77777777" w:rsidR="004C7180" w:rsidRPr="00150EDC" w:rsidRDefault="00CF0754">
            <w:pPr>
              <w:pStyle w:val="TableParagraph"/>
              <w:rPr>
                <w:sz w:val="20"/>
              </w:rPr>
            </w:pPr>
            <w:r w:rsidRPr="00150EDC">
              <w:rPr>
                <w:sz w:val="20"/>
              </w:rPr>
              <w:t>Aviation</w:t>
            </w:r>
            <w:r w:rsidRPr="00150EDC">
              <w:rPr>
                <w:spacing w:val="-7"/>
                <w:sz w:val="20"/>
              </w:rPr>
              <w:t xml:space="preserve"> </w:t>
            </w:r>
            <w:r w:rsidRPr="00150EDC">
              <w:rPr>
                <w:sz w:val="20"/>
              </w:rPr>
              <w:t>and</w:t>
            </w:r>
            <w:r w:rsidRPr="00150EDC">
              <w:rPr>
                <w:spacing w:val="-2"/>
                <w:sz w:val="20"/>
              </w:rPr>
              <w:t xml:space="preserve"> </w:t>
            </w:r>
            <w:r w:rsidRPr="00150EDC">
              <w:rPr>
                <w:sz w:val="20"/>
              </w:rPr>
              <w:t>Maritime</w:t>
            </w:r>
            <w:r w:rsidRPr="00150EDC">
              <w:rPr>
                <w:spacing w:val="-5"/>
                <w:sz w:val="20"/>
              </w:rPr>
              <w:t xml:space="preserve"> </w:t>
            </w:r>
            <w:r w:rsidRPr="00150EDC">
              <w:rPr>
                <w:sz w:val="20"/>
              </w:rPr>
              <w:t>Security</w:t>
            </w:r>
            <w:r w:rsidRPr="00150EDC">
              <w:rPr>
                <w:spacing w:val="-6"/>
                <w:sz w:val="20"/>
              </w:rPr>
              <w:t xml:space="preserve"> </w:t>
            </w:r>
            <w:r w:rsidRPr="00150EDC">
              <w:rPr>
                <w:sz w:val="20"/>
              </w:rPr>
              <w:t>Act</w:t>
            </w:r>
            <w:r w:rsidRPr="00150EDC">
              <w:rPr>
                <w:spacing w:val="-5"/>
                <w:sz w:val="20"/>
              </w:rPr>
              <w:t xml:space="preserve"> </w:t>
            </w:r>
            <w:r w:rsidRPr="00150EDC">
              <w:rPr>
                <w:sz w:val="20"/>
              </w:rPr>
              <w:t>1990,</w:t>
            </w:r>
            <w:r w:rsidRPr="00150EDC">
              <w:rPr>
                <w:spacing w:val="-7"/>
                <w:sz w:val="20"/>
              </w:rPr>
              <w:t xml:space="preserve"> </w:t>
            </w:r>
            <w:r w:rsidRPr="00150EDC">
              <w:rPr>
                <w:spacing w:val="-5"/>
                <w:sz w:val="20"/>
              </w:rPr>
              <w:t>s9</w:t>
            </w:r>
          </w:p>
        </w:tc>
        <w:tc>
          <w:tcPr>
            <w:tcW w:w="7427" w:type="dxa"/>
          </w:tcPr>
          <w:p w14:paraId="58A17BD9" w14:textId="77777777" w:rsidR="004C7180" w:rsidRPr="00150EDC" w:rsidRDefault="00CF0754">
            <w:pPr>
              <w:pStyle w:val="TableParagraph"/>
              <w:rPr>
                <w:sz w:val="20"/>
              </w:rPr>
            </w:pPr>
            <w:r w:rsidRPr="00150EDC">
              <w:rPr>
                <w:sz w:val="20"/>
              </w:rPr>
              <w:t>Hijacking</w:t>
            </w:r>
            <w:r w:rsidRPr="00150EDC">
              <w:rPr>
                <w:spacing w:val="-8"/>
                <w:sz w:val="20"/>
              </w:rPr>
              <w:t xml:space="preserve"> </w:t>
            </w:r>
            <w:r w:rsidRPr="00150EDC">
              <w:rPr>
                <w:sz w:val="20"/>
              </w:rPr>
              <w:t>of</w:t>
            </w:r>
            <w:r w:rsidRPr="00150EDC">
              <w:rPr>
                <w:spacing w:val="-7"/>
                <w:sz w:val="20"/>
              </w:rPr>
              <w:t xml:space="preserve"> </w:t>
            </w:r>
            <w:r w:rsidRPr="00150EDC">
              <w:rPr>
                <w:spacing w:val="-2"/>
                <w:sz w:val="20"/>
              </w:rPr>
              <w:t>ships</w:t>
            </w:r>
          </w:p>
        </w:tc>
      </w:tr>
      <w:tr w:rsidR="004569EE" w:rsidRPr="007D3144" w14:paraId="5C0743A0" w14:textId="77777777">
        <w:trPr>
          <w:trHeight w:val="255"/>
        </w:trPr>
        <w:tc>
          <w:tcPr>
            <w:tcW w:w="6517" w:type="dxa"/>
          </w:tcPr>
          <w:p w14:paraId="4B45249C" w14:textId="77777777" w:rsidR="004C7180" w:rsidRPr="00150EDC" w:rsidRDefault="00CF0754">
            <w:pPr>
              <w:pStyle w:val="TableParagraph"/>
              <w:rPr>
                <w:sz w:val="20"/>
              </w:rPr>
            </w:pPr>
            <w:r w:rsidRPr="00150EDC">
              <w:rPr>
                <w:sz w:val="20"/>
              </w:rPr>
              <w:t>Aviation</w:t>
            </w:r>
            <w:r w:rsidRPr="00150EDC">
              <w:rPr>
                <w:spacing w:val="-7"/>
                <w:sz w:val="20"/>
              </w:rPr>
              <w:t xml:space="preserve"> </w:t>
            </w:r>
            <w:r w:rsidRPr="00150EDC">
              <w:rPr>
                <w:sz w:val="20"/>
              </w:rPr>
              <w:t>Security</w:t>
            </w:r>
            <w:r w:rsidRPr="00150EDC">
              <w:rPr>
                <w:spacing w:val="-6"/>
                <w:sz w:val="20"/>
              </w:rPr>
              <w:t xml:space="preserve"> </w:t>
            </w:r>
            <w:r w:rsidRPr="00150EDC">
              <w:rPr>
                <w:sz w:val="20"/>
              </w:rPr>
              <w:t>Act</w:t>
            </w:r>
            <w:r w:rsidRPr="00150EDC">
              <w:rPr>
                <w:spacing w:val="-6"/>
                <w:sz w:val="20"/>
              </w:rPr>
              <w:t xml:space="preserve"> </w:t>
            </w:r>
            <w:r w:rsidRPr="00150EDC">
              <w:rPr>
                <w:sz w:val="20"/>
              </w:rPr>
              <w:t>1982,</w:t>
            </w:r>
            <w:r w:rsidRPr="00150EDC">
              <w:rPr>
                <w:spacing w:val="-7"/>
                <w:sz w:val="20"/>
              </w:rPr>
              <w:t xml:space="preserve"> </w:t>
            </w:r>
            <w:r w:rsidRPr="00150EDC">
              <w:rPr>
                <w:spacing w:val="-5"/>
                <w:sz w:val="20"/>
              </w:rPr>
              <w:t>s1</w:t>
            </w:r>
          </w:p>
        </w:tc>
        <w:tc>
          <w:tcPr>
            <w:tcW w:w="7427" w:type="dxa"/>
          </w:tcPr>
          <w:p w14:paraId="369A6451" w14:textId="77777777" w:rsidR="004C7180" w:rsidRPr="00150EDC" w:rsidRDefault="00CF0754">
            <w:pPr>
              <w:pStyle w:val="TableParagraph"/>
              <w:rPr>
                <w:sz w:val="20"/>
              </w:rPr>
            </w:pPr>
            <w:r w:rsidRPr="00150EDC">
              <w:rPr>
                <w:spacing w:val="-2"/>
                <w:sz w:val="20"/>
              </w:rPr>
              <w:t>Hijacking</w:t>
            </w:r>
          </w:p>
        </w:tc>
      </w:tr>
      <w:tr w:rsidR="004569EE" w:rsidRPr="007D3144" w14:paraId="2C99ED07" w14:textId="77777777">
        <w:trPr>
          <w:trHeight w:val="255"/>
        </w:trPr>
        <w:tc>
          <w:tcPr>
            <w:tcW w:w="6517" w:type="dxa"/>
          </w:tcPr>
          <w:p w14:paraId="1DBA46EA" w14:textId="77777777" w:rsidR="004C7180" w:rsidRPr="00150EDC" w:rsidRDefault="00CF0754">
            <w:pPr>
              <w:pStyle w:val="TableParagraph"/>
              <w:spacing w:before="28"/>
              <w:rPr>
                <w:sz w:val="20"/>
              </w:rPr>
            </w:pPr>
            <w:r w:rsidRPr="00150EDC">
              <w:rPr>
                <w:sz w:val="20"/>
              </w:rPr>
              <w:t>Aviation</w:t>
            </w:r>
            <w:r w:rsidRPr="00150EDC">
              <w:rPr>
                <w:spacing w:val="-7"/>
                <w:sz w:val="20"/>
              </w:rPr>
              <w:t xml:space="preserve"> </w:t>
            </w:r>
            <w:r w:rsidRPr="00150EDC">
              <w:rPr>
                <w:sz w:val="20"/>
              </w:rPr>
              <w:t>Security</w:t>
            </w:r>
            <w:r w:rsidRPr="00150EDC">
              <w:rPr>
                <w:spacing w:val="-6"/>
                <w:sz w:val="20"/>
              </w:rPr>
              <w:t xml:space="preserve"> </w:t>
            </w:r>
            <w:r w:rsidRPr="00150EDC">
              <w:rPr>
                <w:sz w:val="20"/>
              </w:rPr>
              <w:t>Act</w:t>
            </w:r>
            <w:r w:rsidRPr="00150EDC">
              <w:rPr>
                <w:spacing w:val="-6"/>
                <w:sz w:val="20"/>
              </w:rPr>
              <w:t xml:space="preserve"> </w:t>
            </w:r>
            <w:r w:rsidRPr="00150EDC">
              <w:rPr>
                <w:sz w:val="20"/>
              </w:rPr>
              <w:t>1982,</w:t>
            </w:r>
            <w:r w:rsidRPr="00150EDC">
              <w:rPr>
                <w:spacing w:val="-7"/>
                <w:sz w:val="20"/>
              </w:rPr>
              <w:t xml:space="preserve"> </w:t>
            </w:r>
            <w:r w:rsidRPr="00150EDC">
              <w:rPr>
                <w:spacing w:val="-5"/>
                <w:sz w:val="20"/>
              </w:rPr>
              <w:t>s2</w:t>
            </w:r>
          </w:p>
        </w:tc>
        <w:tc>
          <w:tcPr>
            <w:tcW w:w="7427" w:type="dxa"/>
          </w:tcPr>
          <w:p w14:paraId="0E3F472B" w14:textId="77777777" w:rsidR="004C7180" w:rsidRPr="00150EDC" w:rsidRDefault="00CF0754">
            <w:pPr>
              <w:pStyle w:val="TableParagraph"/>
              <w:spacing w:before="28"/>
              <w:rPr>
                <w:sz w:val="20"/>
              </w:rPr>
            </w:pPr>
            <w:r w:rsidRPr="00150EDC">
              <w:rPr>
                <w:sz w:val="20"/>
              </w:rPr>
              <w:t>Destroying,</w:t>
            </w:r>
            <w:r w:rsidRPr="00150EDC">
              <w:rPr>
                <w:spacing w:val="-3"/>
                <w:sz w:val="20"/>
              </w:rPr>
              <w:t xml:space="preserve"> </w:t>
            </w:r>
            <w:r w:rsidRPr="00150EDC">
              <w:rPr>
                <w:sz w:val="20"/>
              </w:rPr>
              <w:t>damaging</w:t>
            </w:r>
            <w:r w:rsidRPr="00150EDC">
              <w:rPr>
                <w:spacing w:val="-6"/>
                <w:sz w:val="20"/>
              </w:rPr>
              <w:t xml:space="preserve"> </w:t>
            </w:r>
            <w:r w:rsidRPr="00150EDC">
              <w:rPr>
                <w:sz w:val="20"/>
              </w:rPr>
              <w:t>or</w:t>
            </w:r>
            <w:r w:rsidRPr="00150EDC">
              <w:rPr>
                <w:spacing w:val="-7"/>
                <w:sz w:val="20"/>
              </w:rPr>
              <w:t xml:space="preserve"> </w:t>
            </w:r>
            <w:r w:rsidRPr="00150EDC">
              <w:rPr>
                <w:sz w:val="20"/>
              </w:rPr>
              <w:t>endangering</w:t>
            </w:r>
            <w:r w:rsidRPr="00150EDC">
              <w:rPr>
                <w:spacing w:val="-7"/>
                <w:sz w:val="20"/>
              </w:rPr>
              <w:t xml:space="preserve"> </w:t>
            </w:r>
            <w:r w:rsidRPr="00150EDC">
              <w:rPr>
                <w:sz w:val="20"/>
              </w:rPr>
              <w:t>safety</w:t>
            </w:r>
            <w:r w:rsidRPr="00150EDC">
              <w:rPr>
                <w:spacing w:val="-2"/>
                <w:sz w:val="20"/>
              </w:rPr>
              <w:t xml:space="preserve"> </w:t>
            </w:r>
            <w:r w:rsidRPr="00150EDC">
              <w:rPr>
                <w:sz w:val="20"/>
              </w:rPr>
              <w:t>of</w:t>
            </w:r>
            <w:r w:rsidRPr="00150EDC">
              <w:rPr>
                <w:spacing w:val="-7"/>
                <w:sz w:val="20"/>
              </w:rPr>
              <w:t xml:space="preserve"> </w:t>
            </w:r>
            <w:r w:rsidRPr="00150EDC">
              <w:rPr>
                <w:spacing w:val="-2"/>
                <w:sz w:val="20"/>
              </w:rPr>
              <w:t>aircraft</w:t>
            </w:r>
          </w:p>
        </w:tc>
      </w:tr>
      <w:tr w:rsidR="004569EE" w:rsidRPr="007D3144" w14:paraId="02249BC7" w14:textId="77777777">
        <w:trPr>
          <w:trHeight w:val="255"/>
        </w:trPr>
        <w:tc>
          <w:tcPr>
            <w:tcW w:w="6517" w:type="dxa"/>
          </w:tcPr>
          <w:p w14:paraId="2826E60F" w14:textId="77777777" w:rsidR="004C7180" w:rsidRPr="00150EDC" w:rsidRDefault="00CF0754">
            <w:pPr>
              <w:pStyle w:val="TableParagraph"/>
              <w:rPr>
                <w:sz w:val="20"/>
              </w:rPr>
            </w:pPr>
            <w:r w:rsidRPr="00150EDC">
              <w:rPr>
                <w:sz w:val="20"/>
              </w:rPr>
              <w:t>Aviation</w:t>
            </w:r>
            <w:r w:rsidRPr="00150EDC">
              <w:rPr>
                <w:spacing w:val="-7"/>
                <w:sz w:val="20"/>
              </w:rPr>
              <w:t xml:space="preserve"> </w:t>
            </w:r>
            <w:r w:rsidRPr="00150EDC">
              <w:rPr>
                <w:sz w:val="20"/>
              </w:rPr>
              <w:t>Security</w:t>
            </w:r>
            <w:r w:rsidRPr="00150EDC">
              <w:rPr>
                <w:spacing w:val="-6"/>
                <w:sz w:val="20"/>
              </w:rPr>
              <w:t xml:space="preserve"> </w:t>
            </w:r>
            <w:r w:rsidRPr="00150EDC">
              <w:rPr>
                <w:sz w:val="20"/>
              </w:rPr>
              <w:t>Act</w:t>
            </w:r>
            <w:r w:rsidRPr="00150EDC">
              <w:rPr>
                <w:spacing w:val="-6"/>
                <w:sz w:val="20"/>
              </w:rPr>
              <w:t xml:space="preserve"> </w:t>
            </w:r>
            <w:r w:rsidRPr="00150EDC">
              <w:rPr>
                <w:sz w:val="20"/>
              </w:rPr>
              <w:t>1982,</w:t>
            </w:r>
            <w:r w:rsidRPr="00150EDC">
              <w:rPr>
                <w:spacing w:val="-7"/>
                <w:sz w:val="20"/>
              </w:rPr>
              <w:t xml:space="preserve"> </w:t>
            </w:r>
            <w:r w:rsidRPr="00150EDC">
              <w:rPr>
                <w:spacing w:val="-5"/>
                <w:sz w:val="20"/>
              </w:rPr>
              <w:t>s3</w:t>
            </w:r>
          </w:p>
        </w:tc>
        <w:tc>
          <w:tcPr>
            <w:tcW w:w="7427" w:type="dxa"/>
          </w:tcPr>
          <w:p w14:paraId="77548FFC" w14:textId="77777777" w:rsidR="004C7180" w:rsidRPr="00150EDC" w:rsidRDefault="00CF0754">
            <w:pPr>
              <w:pStyle w:val="TableParagraph"/>
              <w:rPr>
                <w:sz w:val="20"/>
              </w:rPr>
            </w:pPr>
            <w:r w:rsidRPr="00150EDC">
              <w:rPr>
                <w:sz w:val="20"/>
              </w:rPr>
              <w:t>Other</w:t>
            </w:r>
            <w:r w:rsidRPr="00150EDC">
              <w:rPr>
                <w:spacing w:val="-6"/>
                <w:sz w:val="20"/>
              </w:rPr>
              <w:t xml:space="preserve"> </w:t>
            </w:r>
            <w:r w:rsidRPr="00150EDC">
              <w:rPr>
                <w:sz w:val="20"/>
              </w:rPr>
              <w:t>acts</w:t>
            </w:r>
            <w:r w:rsidRPr="00150EDC">
              <w:rPr>
                <w:spacing w:val="-4"/>
                <w:sz w:val="20"/>
              </w:rPr>
              <w:t xml:space="preserve"> </w:t>
            </w:r>
            <w:r w:rsidRPr="00150EDC">
              <w:rPr>
                <w:sz w:val="20"/>
              </w:rPr>
              <w:t>endangering</w:t>
            </w:r>
            <w:r w:rsidRPr="00150EDC">
              <w:rPr>
                <w:spacing w:val="-5"/>
                <w:sz w:val="20"/>
              </w:rPr>
              <w:t xml:space="preserve"> </w:t>
            </w:r>
            <w:r w:rsidRPr="00150EDC">
              <w:rPr>
                <w:sz w:val="20"/>
              </w:rPr>
              <w:t>or</w:t>
            </w:r>
            <w:r w:rsidRPr="00150EDC">
              <w:rPr>
                <w:spacing w:val="-5"/>
                <w:sz w:val="20"/>
              </w:rPr>
              <w:t xml:space="preserve"> </w:t>
            </w:r>
            <w:r w:rsidRPr="00150EDC">
              <w:rPr>
                <w:sz w:val="20"/>
              </w:rPr>
              <w:t>likely</w:t>
            </w:r>
            <w:r w:rsidRPr="00150EDC">
              <w:rPr>
                <w:spacing w:val="-3"/>
                <w:sz w:val="20"/>
              </w:rPr>
              <w:t xml:space="preserve"> </w:t>
            </w:r>
            <w:r w:rsidRPr="00150EDC">
              <w:rPr>
                <w:sz w:val="20"/>
              </w:rPr>
              <w:t>to endanger</w:t>
            </w:r>
            <w:r w:rsidRPr="00150EDC">
              <w:rPr>
                <w:spacing w:val="-3"/>
                <w:sz w:val="20"/>
              </w:rPr>
              <w:t xml:space="preserve"> </w:t>
            </w:r>
            <w:r w:rsidRPr="00150EDC">
              <w:rPr>
                <w:sz w:val="20"/>
              </w:rPr>
              <w:t>safety of</w:t>
            </w:r>
            <w:r w:rsidRPr="00150EDC">
              <w:rPr>
                <w:spacing w:val="-5"/>
                <w:sz w:val="20"/>
              </w:rPr>
              <w:t xml:space="preserve"> </w:t>
            </w:r>
            <w:r w:rsidRPr="00150EDC">
              <w:rPr>
                <w:spacing w:val="-2"/>
                <w:sz w:val="20"/>
              </w:rPr>
              <w:t>aircraft</w:t>
            </w:r>
          </w:p>
        </w:tc>
      </w:tr>
      <w:tr w:rsidR="004569EE" w:rsidRPr="007D3144" w14:paraId="7AE0853F" w14:textId="77777777">
        <w:trPr>
          <w:trHeight w:val="255"/>
        </w:trPr>
        <w:tc>
          <w:tcPr>
            <w:tcW w:w="6517" w:type="dxa"/>
          </w:tcPr>
          <w:p w14:paraId="5178E40E" w14:textId="77777777" w:rsidR="004C7180" w:rsidRPr="00150EDC" w:rsidRDefault="00CF0754">
            <w:pPr>
              <w:pStyle w:val="TableParagraph"/>
              <w:rPr>
                <w:sz w:val="20"/>
              </w:rPr>
            </w:pPr>
            <w:r w:rsidRPr="00150EDC">
              <w:rPr>
                <w:sz w:val="20"/>
              </w:rPr>
              <w:t>Aviation</w:t>
            </w:r>
            <w:r w:rsidRPr="00150EDC">
              <w:rPr>
                <w:spacing w:val="-7"/>
                <w:sz w:val="20"/>
              </w:rPr>
              <w:t xml:space="preserve"> </w:t>
            </w:r>
            <w:r w:rsidRPr="00150EDC">
              <w:rPr>
                <w:sz w:val="20"/>
              </w:rPr>
              <w:t>Security</w:t>
            </w:r>
            <w:r w:rsidRPr="00150EDC">
              <w:rPr>
                <w:spacing w:val="-6"/>
                <w:sz w:val="20"/>
              </w:rPr>
              <w:t xml:space="preserve"> </w:t>
            </w:r>
            <w:r w:rsidRPr="00150EDC">
              <w:rPr>
                <w:sz w:val="20"/>
              </w:rPr>
              <w:t>Act</w:t>
            </w:r>
            <w:r w:rsidRPr="00150EDC">
              <w:rPr>
                <w:spacing w:val="-6"/>
                <w:sz w:val="20"/>
              </w:rPr>
              <w:t xml:space="preserve"> </w:t>
            </w:r>
            <w:r w:rsidRPr="00150EDC">
              <w:rPr>
                <w:sz w:val="20"/>
              </w:rPr>
              <w:t>1982,</w:t>
            </w:r>
            <w:r w:rsidRPr="00150EDC">
              <w:rPr>
                <w:spacing w:val="-7"/>
                <w:sz w:val="20"/>
              </w:rPr>
              <w:t xml:space="preserve"> </w:t>
            </w:r>
            <w:r w:rsidRPr="00150EDC">
              <w:rPr>
                <w:spacing w:val="-5"/>
                <w:sz w:val="20"/>
              </w:rPr>
              <w:t>s4</w:t>
            </w:r>
          </w:p>
        </w:tc>
        <w:tc>
          <w:tcPr>
            <w:tcW w:w="7427" w:type="dxa"/>
          </w:tcPr>
          <w:p w14:paraId="25D1C0DC" w14:textId="77777777" w:rsidR="004C7180" w:rsidRPr="00150EDC" w:rsidRDefault="00CF0754">
            <w:pPr>
              <w:pStyle w:val="TableParagraph"/>
              <w:rPr>
                <w:sz w:val="20"/>
              </w:rPr>
            </w:pPr>
            <w:r w:rsidRPr="00150EDC">
              <w:rPr>
                <w:sz w:val="20"/>
              </w:rPr>
              <w:t>Offences</w:t>
            </w:r>
            <w:r w:rsidRPr="00150EDC">
              <w:rPr>
                <w:spacing w:val="-7"/>
                <w:sz w:val="20"/>
              </w:rPr>
              <w:t xml:space="preserve"> </w:t>
            </w:r>
            <w:r w:rsidRPr="00150EDC">
              <w:rPr>
                <w:sz w:val="20"/>
              </w:rPr>
              <w:t>in</w:t>
            </w:r>
            <w:r w:rsidRPr="00150EDC">
              <w:rPr>
                <w:spacing w:val="-3"/>
                <w:sz w:val="20"/>
              </w:rPr>
              <w:t xml:space="preserve"> </w:t>
            </w:r>
            <w:r w:rsidRPr="00150EDC">
              <w:rPr>
                <w:sz w:val="20"/>
              </w:rPr>
              <w:t>relation</w:t>
            </w:r>
            <w:r w:rsidRPr="00150EDC">
              <w:rPr>
                <w:spacing w:val="-7"/>
                <w:sz w:val="20"/>
              </w:rPr>
              <w:t xml:space="preserve"> </w:t>
            </w:r>
            <w:r w:rsidRPr="00150EDC">
              <w:rPr>
                <w:sz w:val="20"/>
              </w:rPr>
              <w:t>to</w:t>
            </w:r>
            <w:r w:rsidRPr="00150EDC">
              <w:rPr>
                <w:spacing w:val="-7"/>
                <w:sz w:val="20"/>
              </w:rPr>
              <w:t xml:space="preserve"> </w:t>
            </w:r>
            <w:r w:rsidRPr="00150EDC">
              <w:rPr>
                <w:sz w:val="20"/>
              </w:rPr>
              <w:t>certain</w:t>
            </w:r>
            <w:r w:rsidRPr="00150EDC">
              <w:rPr>
                <w:spacing w:val="-3"/>
                <w:sz w:val="20"/>
              </w:rPr>
              <w:t xml:space="preserve"> </w:t>
            </w:r>
            <w:r w:rsidRPr="00150EDC">
              <w:rPr>
                <w:sz w:val="20"/>
              </w:rPr>
              <w:t>dangerous</w:t>
            </w:r>
            <w:r w:rsidRPr="00150EDC">
              <w:rPr>
                <w:spacing w:val="-1"/>
                <w:sz w:val="20"/>
              </w:rPr>
              <w:t xml:space="preserve"> </w:t>
            </w:r>
            <w:r w:rsidRPr="00150EDC">
              <w:rPr>
                <w:spacing w:val="-2"/>
                <w:sz w:val="20"/>
              </w:rPr>
              <w:t>articles</w:t>
            </w:r>
          </w:p>
        </w:tc>
      </w:tr>
      <w:tr w:rsidR="004569EE" w:rsidRPr="007D3144" w14:paraId="4F63FA6B" w14:textId="77777777">
        <w:trPr>
          <w:trHeight w:val="255"/>
        </w:trPr>
        <w:tc>
          <w:tcPr>
            <w:tcW w:w="6517" w:type="dxa"/>
          </w:tcPr>
          <w:p w14:paraId="1264AD1D" w14:textId="77777777" w:rsidR="004C7180" w:rsidRPr="00150EDC" w:rsidRDefault="00CF0754">
            <w:pPr>
              <w:pStyle w:val="TableParagraph"/>
              <w:rPr>
                <w:sz w:val="20"/>
              </w:rPr>
            </w:pPr>
            <w:r w:rsidRPr="00150EDC">
              <w:rPr>
                <w:sz w:val="20"/>
              </w:rPr>
              <w:t>Aviation</w:t>
            </w:r>
            <w:r w:rsidRPr="00150EDC">
              <w:rPr>
                <w:spacing w:val="-7"/>
                <w:sz w:val="20"/>
              </w:rPr>
              <w:t xml:space="preserve"> </w:t>
            </w:r>
            <w:r w:rsidRPr="00150EDC">
              <w:rPr>
                <w:sz w:val="20"/>
              </w:rPr>
              <w:t>Security</w:t>
            </w:r>
            <w:r w:rsidRPr="00150EDC">
              <w:rPr>
                <w:spacing w:val="-6"/>
                <w:sz w:val="20"/>
              </w:rPr>
              <w:t xml:space="preserve"> </w:t>
            </w:r>
            <w:r w:rsidRPr="00150EDC">
              <w:rPr>
                <w:sz w:val="20"/>
              </w:rPr>
              <w:t>Act</w:t>
            </w:r>
            <w:r w:rsidRPr="00150EDC">
              <w:rPr>
                <w:spacing w:val="-6"/>
                <w:sz w:val="20"/>
              </w:rPr>
              <w:t xml:space="preserve"> </w:t>
            </w:r>
            <w:r w:rsidRPr="00150EDC">
              <w:rPr>
                <w:sz w:val="20"/>
              </w:rPr>
              <w:t>1982,</w:t>
            </w:r>
            <w:r w:rsidRPr="00150EDC">
              <w:rPr>
                <w:spacing w:val="-7"/>
                <w:sz w:val="20"/>
              </w:rPr>
              <w:t xml:space="preserve"> </w:t>
            </w:r>
            <w:r w:rsidRPr="00150EDC">
              <w:rPr>
                <w:spacing w:val="-5"/>
                <w:sz w:val="20"/>
              </w:rPr>
              <w:t>s6</w:t>
            </w:r>
          </w:p>
        </w:tc>
        <w:tc>
          <w:tcPr>
            <w:tcW w:w="7427" w:type="dxa"/>
          </w:tcPr>
          <w:p w14:paraId="3B51E250" w14:textId="77777777" w:rsidR="004C7180" w:rsidRPr="00150EDC" w:rsidRDefault="00CF0754">
            <w:pPr>
              <w:pStyle w:val="TableParagraph"/>
              <w:rPr>
                <w:sz w:val="20"/>
              </w:rPr>
            </w:pPr>
            <w:r w:rsidRPr="00150EDC">
              <w:rPr>
                <w:sz w:val="20"/>
              </w:rPr>
              <w:t>Ancillary</w:t>
            </w:r>
            <w:r w:rsidRPr="00150EDC">
              <w:rPr>
                <w:spacing w:val="-7"/>
                <w:sz w:val="20"/>
              </w:rPr>
              <w:t xml:space="preserve"> </w:t>
            </w:r>
            <w:r w:rsidRPr="00150EDC">
              <w:rPr>
                <w:sz w:val="20"/>
              </w:rPr>
              <w:t>offences</w:t>
            </w:r>
            <w:r w:rsidRPr="00150EDC">
              <w:rPr>
                <w:spacing w:val="-2"/>
                <w:sz w:val="20"/>
              </w:rPr>
              <w:t xml:space="preserve"> </w:t>
            </w:r>
            <w:r w:rsidRPr="00150EDC">
              <w:rPr>
                <w:sz w:val="20"/>
              </w:rPr>
              <w:t>outside</w:t>
            </w:r>
            <w:r w:rsidRPr="00150EDC">
              <w:rPr>
                <w:spacing w:val="-7"/>
                <w:sz w:val="20"/>
              </w:rPr>
              <w:t xml:space="preserve"> </w:t>
            </w:r>
            <w:r w:rsidRPr="00150EDC">
              <w:rPr>
                <w:sz w:val="20"/>
              </w:rPr>
              <w:t>the</w:t>
            </w:r>
            <w:r w:rsidRPr="00150EDC">
              <w:rPr>
                <w:spacing w:val="-8"/>
                <w:sz w:val="20"/>
              </w:rPr>
              <w:t xml:space="preserve"> </w:t>
            </w:r>
            <w:r w:rsidRPr="00150EDC">
              <w:rPr>
                <w:sz w:val="20"/>
              </w:rPr>
              <w:t>United</w:t>
            </w:r>
            <w:r w:rsidRPr="00150EDC">
              <w:rPr>
                <w:spacing w:val="-7"/>
                <w:sz w:val="20"/>
              </w:rPr>
              <w:t xml:space="preserve"> </w:t>
            </w:r>
            <w:r w:rsidRPr="00150EDC">
              <w:rPr>
                <w:spacing w:val="-2"/>
                <w:sz w:val="20"/>
              </w:rPr>
              <w:t>Kingdom</w:t>
            </w:r>
          </w:p>
        </w:tc>
      </w:tr>
      <w:tr w:rsidR="004569EE" w:rsidRPr="007D3144" w14:paraId="7C9631DC" w14:textId="77777777">
        <w:trPr>
          <w:trHeight w:val="255"/>
        </w:trPr>
        <w:tc>
          <w:tcPr>
            <w:tcW w:w="6517" w:type="dxa"/>
          </w:tcPr>
          <w:p w14:paraId="498AAF2A" w14:textId="77777777" w:rsidR="004C7180" w:rsidRPr="00150EDC" w:rsidRDefault="00CF0754">
            <w:pPr>
              <w:pStyle w:val="TableParagraph"/>
              <w:rPr>
                <w:sz w:val="20"/>
              </w:rPr>
            </w:pPr>
            <w:r w:rsidRPr="00150EDC">
              <w:rPr>
                <w:sz w:val="20"/>
              </w:rPr>
              <w:t>Care</w:t>
            </w:r>
            <w:r w:rsidRPr="00150EDC">
              <w:rPr>
                <w:spacing w:val="-7"/>
                <w:sz w:val="20"/>
              </w:rPr>
              <w:t xml:space="preserve"> </w:t>
            </w:r>
            <w:r w:rsidRPr="00150EDC">
              <w:rPr>
                <w:sz w:val="20"/>
              </w:rPr>
              <w:t>Standards</w:t>
            </w:r>
            <w:r w:rsidRPr="00150EDC">
              <w:rPr>
                <w:spacing w:val="-6"/>
                <w:sz w:val="20"/>
              </w:rPr>
              <w:t xml:space="preserve"> </w:t>
            </w:r>
            <w:r w:rsidRPr="00150EDC">
              <w:rPr>
                <w:sz w:val="20"/>
              </w:rPr>
              <w:t>Act</w:t>
            </w:r>
            <w:r w:rsidRPr="00150EDC">
              <w:rPr>
                <w:spacing w:val="-6"/>
                <w:sz w:val="20"/>
              </w:rPr>
              <w:t xml:space="preserve"> </w:t>
            </w:r>
            <w:r w:rsidRPr="00150EDC">
              <w:rPr>
                <w:sz w:val="20"/>
              </w:rPr>
              <w:t>2000,</w:t>
            </w:r>
            <w:r w:rsidRPr="00150EDC">
              <w:rPr>
                <w:spacing w:val="-7"/>
                <w:sz w:val="20"/>
              </w:rPr>
              <w:t xml:space="preserve"> </w:t>
            </w:r>
            <w:r w:rsidRPr="00150EDC">
              <w:rPr>
                <w:spacing w:val="-5"/>
                <w:sz w:val="20"/>
              </w:rPr>
              <w:t>s11</w:t>
            </w:r>
          </w:p>
        </w:tc>
        <w:tc>
          <w:tcPr>
            <w:tcW w:w="7427" w:type="dxa"/>
          </w:tcPr>
          <w:p w14:paraId="686EC55B" w14:textId="77777777" w:rsidR="004C7180" w:rsidRPr="00150EDC" w:rsidRDefault="00CF0754">
            <w:pPr>
              <w:pStyle w:val="TableParagraph"/>
              <w:rPr>
                <w:sz w:val="20"/>
              </w:rPr>
            </w:pPr>
            <w:r w:rsidRPr="00150EDC">
              <w:rPr>
                <w:sz w:val="20"/>
              </w:rPr>
              <w:t>Carrying</w:t>
            </w:r>
            <w:r w:rsidRPr="00150EDC">
              <w:rPr>
                <w:spacing w:val="-2"/>
                <w:sz w:val="20"/>
              </w:rPr>
              <w:t xml:space="preserve"> </w:t>
            </w:r>
            <w:r w:rsidRPr="00150EDC">
              <w:rPr>
                <w:sz w:val="20"/>
              </w:rPr>
              <w:t>on</w:t>
            </w:r>
            <w:r w:rsidRPr="00150EDC">
              <w:rPr>
                <w:spacing w:val="-6"/>
                <w:sz w:val="20"/>
              </w:rPr>
              <w:t xml:space="preserve"> </w:t>
            </w:r>
            <w:r w:rsidRPr="00150EDC">
              <w:rPr>
                <w:sz w:val="20"/>
              </w:rPr>
              <w:t>or</w:t>
            </w:r>
            <w:r w:rsidRPr="00150EDC">
              <w:rPr>
                <w:spacing w:val="-1"/>
                <w:sz w:val="20"/>
              </w:rPr>
              <w:t xml:space="preserve"> </w:t>
            </w:r>
            <w:r w:rsidRPr="00150EDC">
              <w:rPr>
                <w:sz w:val="20"/>
              </w:rPr>
              <w:t>managing</w:t>
            </w:r>
            <w:r w:rsidRPr="00150EDC">
              <w:rPr>
                <w:spacing w:val="-1"/>
                <w:sz w:val="20"/>
              </w:rPr>
              <w:t xml:space="preserve"> </w:t>
            </w:r>
            <w:r w:rsidRPr="00150EDC">
              <w:rPr>
                <w:sz w:val="20"/>
              </w:rPr>
              <w:t>an</w:t>
            </w:r>
            <w:r w:rsidRPr="00150EDC">
              <w:rPr>
                <w:spacing w:val="-5"/>
                <w:sz w:val="20"/>
              </w:rPr>
              <w:t xml:space="preserve"> </w:t>
            </w:r>
            <w:r w:rsidRPr="00150EDC">
              <w:rPr>
                <w:sz w:val="20"/>
              </w:rPr>
              <w:t>establishment</w:t>
            </w:r>
            <w:r w:rsidRPr="00150EDC">
              <w:rPr>
                <w:spacing w:val="-6"/>
                <w:sz w:val="20"/>
              </w:rPr>
              <w:t xml:space="preserve"> </w:t>
            </w:r>
            <w:r w:rsidRPr="00150EDC">
              <w:rPr>
                <w:sz w:val="20"/>
              </w:rPr>
              <w:t>or</w:t>
            </w:r>
            <w:r w:rsidRPr="00150EDC">
              <w:rPr>
                <w:spacing w:val="-1"/>
                <w:sz w:val="20"/>
              </w:rPr>
              <w:t xml:space="preserve"> </w:t>
            </w:r>
            <w:r w:rsidRPr="00150EDC">
              <w:rPr>
                <w:sz w:val="20"/>
              </w:rPr>
              <w:t>agency</w:t>
            </w:r>
            <w:r w:rsidRPr="00150EDC">
              <w:rPr>
                <w:spacing w:val="-5"/>
                <w:sz w:val="20"/>
              </w:rPr>
              <w:t xml:space="preserve"> </w:t>
            </w:r>
            <w:r w:rsidRPr="00150EDC">
              <w:rPr>
                <w:sz w:val="20"/>
              </w:rPr>
              <w:t>without</w:t>
            </w:r>
            <w:r w:rsidRPr="00150EDC">
              <w:rPr>
                <w:spacing w:val="-6"/>
                <w:sz w:val="20"/>
              </w:rPr>
              <w:t xml:space="preserve"> </w:t>
            </w:r>
            <w:r w:rsidRPr="00150EDC">
              <w:rPr>
                <w:sz w:val="20"/>
              </w:rPr>
              <w:t>being</w:t>
            </w:r>
            <w:r w:rsidRPr="00150EDC">
              <w:rPr>
                <w:spacing w:val="-6"/>
                <w:sz w:val="20"/>
              </w:rPr>
              <w:t xml:space="preserve"> </w:t>
            </w:r>
            <w:r w:rsidRPr="00150EDC">
              <w:rPr>
                <w:spacing w:val="-2"/>
                <w:sz w:val="20"/>
              </w:rPr>
              <w:t>registered</w:t>
            </w:r>
          </w:p>
        </w:tc>
      </w:tr>
      <w:tr w:rsidR="004569EE" w:rsidRPr="007D3144" w14:paraId="6BA55229" w14:textId="77777777">
        <w:trPr>
          <w:trHeight w:val="255"/>
        </w:trPr>
        <w:tc>
          <w:tcPr>
            <w:tcW w:w="6517" w:type="dxa"/>
          </w:tcPr>
          <w:p w14:paraId="2903C427" w14:textId="77777777" w:rsidR="004C7180" w:rsidRPr="00150EDC" w:rsidRDefault="00CF0754">
            <w:pPr>
              <w:pStyle w:val="TableParagraph"/>
              <w:rPr>
                <w:sz w:val="20"/>
              </w:rPr>
            </w:pPr>
            <w:r w:rsidRPr="00150EDC">
              <w:rPr>
                <w:sz w:val="20"/>
              </w:rPr>
              <w:t>Care</w:t>
            </w:r>
            <w:r w:rsidRPr="00150EDC">
              <w:rPr>
                <w:spacing w:val="-7"/>
                <w:sz w:val="20"/>
              </w:rPr>
              <w:t xml:space="preserve"> </w:t>
            </w:r>
            <w:r w:rsidRPr="00150EDC">
              <w:rPr>
                <w:sz w:val="20"/>
              </w:rPr>
              <w:t>Standards</w:t>
            </w:r>
            <w:r w:rsidRPr="00150EDC">
              <w:rPr>
                <w:spacing w:val="-6"/>
                <w:sz w:val="20"/>
              </w:rPr>
              <w:t xml:space="preserve"> </w:t>
            </w:r>
            <w:r w:rsidRPr="00150EDC">
              <w:rPr>
                <w:sz w:val="20"/>
              </w:rPr>
              <w:t>Act</w:t>
            </w:r>
            <w:r w:rsidRPr="00150EDC">
              <w:rPr>
                <w:spacing w:val="-6"/>
                <w:sz w:val="20"/>
              </w:rPr>
              <w:t xml:space="preserve"> </w:t>
            </w:r>
            <w:r w:rsidRPr="00150EDC">
              <w:rPr>
                <w:sz w:val="20"/>
              </w:rPr>
              <w:t>2000,</w:t>
            </w:r>
            <w:r w:rsidRPr="00150EDC">
              <w:rPr>
                <w:spacing w:val="-7"/>
                <w:sz w:val="20"/>
              </w:rPr>
              <w:t xml:space="preserve"> </w:t>
            </w:r>
            <w:r w:rsidRPr="00150EDC">
              <w:rPr>
                <w:spacing w:val="-5"/>
                <w:sz w:val="20"/>
              </w:rPr>
              <w:t>s24</w:t>
            </w:r>
          </w:p>
        </w:tc>
        <w:tc>
          <w:tcPr>
            <w:tcW w:w="7427" w:type="dxa"/>
          </w:tcPr>
          <w:p w14:paraId="1088D022" w14:textId="77777777" w:rsidR="004C7180" w:rsidRPr="00150EDC" w:rsidRDefault="00CF0754">
            <w:pPr>
              <w:pStyle w:val="TableParagraph"/>
              <w:rPr>
                <w:sz w:val="20"/>
              </w:rPr>
            </w:pPr>
            <w:r w:rsidRPr="00150EDC">
              <w:rPr>
                <w:sz w:val="20"/>
              </w:rPr>
              <w:t>Failure</w:t>
            </w:r>
            <w:r w:rsidRPr="00150EDC">
              <w:rPr>
                <w:spacing w:val="-5"/>
                <w:sz w:val="20"/>
              </w:rPr>
              <w:t xml:space="preserve"> </w:t>
            </w:r>
            <w:r w:rsidRPr="00150EDC">
              <w:rPr>
                <w:sz w:val="20"/>
              </w:rPr>
              <w:t>to</w:t>
            </w:r>
            <w:r w:rsidRPr="00150EDC">
              <w:rPr>
                <w:spacing w:val="-5"/>
                <w:sz w:val="20"/>
              </w:rPr>
              <w:t xml:space="preserve"> </w:t>
            </w:r>
            <w:r w:rsidRPr="00150EDC">
              <w:rPr>
                <w:sz w:val="20"/>
              </w:rPr>
              <w:t>comply</w:t>
            </w:r>
            <w:r w:rsidRPr="00150EDC">
              <w:rPr>
                <w:spacing w:val="-3"/>
                <w:sz w:val="20"/>
              </w:rPr>
              <w:t xml:space="preserve"> </w:t>
            </w:r>
            <w:r w:rsidRPr="00150EDC">
              <w:rPr>
                <w:sz w:val="20"/>
              </w:rPr>
              <w:t>with</w:t>
            </w:r>
            <w:r w:rsidRPr="00150EDC">
              <w:rPr>
                <w:spacing w:val="-4"/>
                <w:sz w:val="20"/>
              </w:rPr>
              <w:t xml:space="preserve"> </w:t>
            </w:r>
            <w:r w:rsidRPr="00150EDC">
              <w:rPr>
                <w:spacing w:val="-2"/>
                <w:sz w:val="20"/>
              </w:rPr>
              <w:t>conditions</w:t>
            </w:r>
          </w:p>
        </w:tc>
      </w:tr>
      <w:tr w:rsidR="004569EE" w:rsidRPr="007D3144" w14:paraId="16701C75" w14:textId="77777777">
        <w:trPr>
          <w:trHeight w:val="255"/>
        </w:trPr>
        <w:tc>
          <w:tcPr>
            <w:tcW w:w="6517" w:type="dxa"/>
          </w:tcPr>
          <w:p w14:paraId="404DD65F" w14:textId="77777777" w:rsidR="004C7180" w:rsidRPr="00150EDC" w:rsidRDefault="00CF0754">
            <w:pPr>
              <w:pStyle w:val="TableParagraph"/>
              <w:rPr>
                <w:sz w:val="20"/>
              </w:rPr>
            </w:pPr>
            <w:r w:rsidRPr="00150EDC">
              <w:rPr>
                <w:sz w:val="20"/>
              </w:rPr>
              <w:t>Care</w:t>
            </w:r>
            <w:r w:rsidRPr="00150EDC">
              <w:rPr>
                <w:spacing w:val="-7"/>
                <w:sz w:val="20"/>
              </w:rPr>
              <w:t xml:space="preserve"> </w:t>
            </w:r>
            <w:r w:rsidRPr="00150EDC">
              <w:rPr>
                <w:sz w:val="20"/>
              </w:rPr>
              <w:t>Standards</w:t>
            </w:r>
            <w:r w:rsidRPr="00150EDC">
              <w:rPr>
                <w:spacing w:val="-6"/>
                <w:sz w:val="20"/>
              </w:rPr>
              <w:t xml:space="preserve"> </w:t>
            </w:r>
            <w:r w:rsidRPr="00150EDC">
              <w:rPr>
                <w:sz w:val="20"/>
              </w:rPr>
              <w:t>Act</w:t>
            </w:r>
            <w:r w:rsidRPr="00150EDC">
              <w:rPr>
                <w:spacing w:val="-6"/>
                <w:sz w:val="20"/>
              </w:rPr>
              <w:t xml:space="preserve"> </w:t>
            </w:r>
            <w:r w:rsidRPr="00150EDC">
              <w:rPr>
                <w:sz w:val="20"/>
              </w:rPr>
              <w:t>2000,</w:t>
            </w:r>
            <w:r w:rsidRPr="00150EDC">
              <w:rPr>
                <w:spacing w:val="-7"/>
                <w:sz w:val="20"/>
              </w:rPr>
              <w:t xml:space="preserve"> </w:t>
            </w:r>
            <w:r w:rsidRPr="00150EDC">
              <w:rPr>
                <w:spacing w:val="-5"/>
                <w:sz w:val="20"/>
              </w:rPr>
              <w:t>s25</w:t>
            </w:r>
          </w:p>
        </w:tc>
        <w:tc>
          <w:tcPr>
            <w:tcW w:w="7427" w:type="dxa"/>
          </w:tcPr>
          <w:p w14:paraId="0525CE83" w14:textId="77777777" w:rsidR="004C7180" w:rsidRPr="00150EDC" w:rsidRDefault="00CF0754">
            <w:pPr>
              <w:pStyle w:val="TableParagraph"/>
              <w:rPr>
                <w:sz w:val="20"/>
              </w:rPr>
            </w:pPr>
            <w:r w:rsidRPr="00150EDC">
              <w:rPr>
                <w:sz w:val="20"/>
              </w:rPr>
              <w:t>Contravention</w:t>
            </w:r>
            <w:r w:rsidRPr="00150EDC">
              <w:rPr>
                <w:spacing w:val="-9"/>
                <w:sz w:val="20"/>
              </w:rPr>
              <w:t xml:space="preserve"> </w:t>
            </w:r>
            <w:r w:rsidRPr="00150EDC">
              <w:rPr>
                <w:sz w:val="20"/>
              </w:rPr>
              <w:t>of</w:t>
            </w:r>
            <w:r w:rsidRPr="00150EDC">
              <w:rPr>
                <w:spacing w:val="-8"/>
                <w:sz w:val="20"/>
              </w:rPr>
              <w:t xml:space="preserve"> </w:t>
            </w:r>
            <w:r w:rsidRPr="00150EDC">
              <w:rPr>
                <w:spacing w:val="-2"/>
                <w:sz w:val="20"/>
              </w:rPr>
              <w:t>regulations</w:t>
            </w:r>
          </w:p>
        </w:tc>
      </w:tr>
      <w:tr w:rsidR="004569EE" w:rsidRPr="007D3144" w14:paraId="2FE54365" w14:textId="77777777">
        <w:trPr>
          <w:trHeight w:val="255"/>
        </w:trPr>
        <w:tc>
          <w:tcPr>
            <w:tcW w:w="6517" w:type="dxa"/>
          </w:tcPr>
          <w:p w14:paraId="66007610" w14:textId="77777777" w:rsidR="004C7180" w:rsidRPr="00150EDC" w:rsidRDefault="00CF0754">
            <w:pPr>
              <w:pStyle w:val="TableParagraph"/>
              <w:rPr>
                <w:sz w:val="20"/>
              </w:rPr>
            </w:pPr>
            <w:r w:rsidRPr="00150EDC">
              <w:rPr>
                <w:sz w:val="20"/>
              </w:rPr>
              <w:t>Care</w:t>
            </w:r>
            <w:r w:rsidRPr="00150EDC">
              <w:rPr>
                <w:spacing w:val="-7"/>
                <w:sz w:val="20"/>
              </w:rPr>
              <w:t xml:space="preserve"> </w:t>
            </w:r>
            <w:r w:rsidRPr="00150EDC">
              <w:rPr>
                <w:sz w:val="20"/>
              </w:rPr>
              <w:t>Standards</w:t>
            </w:r>
            <w:r w:rsidRPr="00150EDC">
              <w:rPr>
                <w:spacing w:val="-6"/>
                <w:sz w:val="20"/>
              </w:rPr>
              <w:t xml:space="preserve"> </w:t>
            </w:r>
            <w:r w:rsidRPr="00150EDC">
              <w:rPr>
                <w:sz w:val="20"/>
              </w:rPr>
              <w:t>Act</w:t>
            </w:r>
            <w:r w:rsidRPr="00150EDC">
              <w:rPr>
                <w:spacing w:val="-6"/>
                <w:sz w:val="20"/>
              </w:rPr>
              <w:t xml:space="preserve"> </w:t>
            </w:r>
            <w:r w:rsidRPr="00150EDC">
              <w:rPr>
                <w:sz w:val="20"/>
              </w:rPr>
              <w:t>2000,</w:t>
            </w:r>
            <w:r w:rsidRPr="00150EDC">
              <w:rPr>
                <w:spacing w:val="-7"/>
                <w:sz w:val="20"/>
              </w:rPr>
              <w:t xml:space="preserve"> </w:t>
            </w:r>
            <w:r w:rsidRPr="00150EDC">
              <w:rPr>
                <w:spacing w:val="-5"/>
                <w:sz w:val="20"/>
              </w:rPr>
              <w:t>s26</w:t>
            </w:r>
          </w:p>
        </w:tc>
        <w:tc>
          <w:tcPr>
            <w:tcW w:w="7427" w:type="dxa"/>
          </w:tcPr>
          <w:p w14:paraId="3ABE418B" w14:textId="77777777" w:rsidR="004C7180" w:rsidRPr="00150EDC" w:rsidRDefault="00CF0754">
            <w:pPr>
              <w:pStyle w:val="TableParagraph"/>
              <w:rPr>
                <w:sz w:val="20"/>
              </w:rPr>
            </w:pPr>
            <w:r w:rsidRPr="00150EDC">
              <w:rPr>
                <w:sz w:val="20"/>
              </w:rPr>
              <w:t>False</w:t>
            </w:r>
            <w:r w:rsidRPr="00150EDC">
              <w:rPr>
                <w:spacing w:val="-7"/>
                <w:sz w:val="20"/>
              </w:rPr>
              <w:t xml:space="preserve"> </w:t>
            </w:r>
            <w:r w:rsidRPr="00150EDC">
              <w:rPr>
                <w:sz w:val="20"/>
              </w:rPr>
              <w:t>descriptions</w:t>
            </w:r>
            <w:r w:rsidRPr="00150EDC">
              <w:rPr>
                <w:spacing w:val="-1"/>
                <w:sz w:val="20"/>
              </w:rPr>
              <w:t xml:space="preserve"> </w:t>
            </w:r>
            <w:r w:rsidRPr="00150EDC">
              <w:rPr>
                <w:sz w:val="20"/>
              </w:rPr>
              <w:t>of</w:t>
            </w:r>
            <w:r w:rsidRPr="00150EDC">
              <w:rPr>
                <w:spacing w:val="-6"/>
                <w:sz w:val="20"/>
              </w:rPr>
              <w:t xml:space="preserve"> </w:t>
            </w:r>
            <w:r w:rsidRPr="00150EDC">
              <w:rPr>
                <w:sz w:val="20"/>
              </w:rPr>
              <w:t>establishments</w:t>
            </w:r>
            <w:r w:rsidRPr="00150EDC">
              <w:rPr>
                <w:spacing w:val="-6"/>
                <w:sz w:val="20"/>
              </w:rPr>
              <w:t xml:space="preserve"> </w:t>
            </w:r>
            <w:r w:rsidRPr="00150EDC">
              <w:rPr>
                <w:sz w:val="20"/>
              </w:rPr>
              <w:t>and</w:t>
            </w:r>
            <w:r w:rsidRPr="00150EDC">
              <w:rPr>
                <w:spacing w:val="-4"/>
                <w:sz w:val="20"/>
              </w:rPr>
              <w:t xml:space="preserve"> </w:t>
            </w:r>
            <w:r w:rsidRPr="00150EDC">
              <w:rPr>
                <w:spacing w:val="-2"/>
                <w:sz w:val="20"/>
              </w:rPr>
              <w:t>agencies</w:t>
            </w:r>
          </w:p>
        </w:tc>
      </w:tr>
      <w:tr w:rsidR="004569EE" w:rsidRPr="007D3144" w14:paraId="2ACBAECA" w14:textId="77777777">
        <w:trPr>
          <w:trHeight w:val="255"/>
        </w:trPr>
        <w:tc>
          <w:tcPr>
            <w:tcW w:w="6517" w:type="dxa"/>
          </w:tcPr>
          <w:p w14:paraId="095741A0" w14:textId="77777777" w:rsidR="004C7180" w:rsidRPr="00150EDC" w:rsidRDefault="00CF0754">
            <w:pPr>
              <w:pStyle w:val="TableParagraph"/>
              <w:rPr>
                <w:sz w:val="20"/>
              </w:rPr>
            </w:pPr>
            <w:r w:rsidRPr="00150EDC">
              <w:rPr>
                <w:sz w:val="20"/>
              </w:rPr>
              <w:t>Care</w:t>
            </w:r>
            <w:r w:rsidRPr="00150EDC">
              <w:rPr>
                <w:spacing w:val="-7"/>
                <w:sz w:val="20"/>
              </w:rPr>
              <w:t xml:space="preserve"> </w:t>
            </w:r>
            <w:r w:rsidRPr="00150EDC">
              <w:rPr>
                <w:sz w:val="20"/>
              </w:rPr>
              <w:t>Standards</w:t>
            </w:r>
            <w:r w:rsidRPr="00150EDC">
              <w:rPr>
                <w:spacing w:val="-6"/>
                <w:sz w:val="20"/>
              </w:rPr>
              <w:t xml:space="preserve"> </w:t>
            </w:r>
            <w:r w:rsidRPr="00150EDC">
              <w:rPr>
                <w:sz w:val="20"/>
              </w:rPr>
              <w:t>Act</w:t>
            </w:r>
            <w:r w:rsidRPr="00150EDC">
              <w:rPr>
                <w:spacing w:val="-6"/>
                <w:sz w:val="20"/>
              </w:rPr>
              <w:t xml:space="preserve"> </w:t>
            </w:r>
            <w:r w:rsidRPr="00150EDC">
              <w:rPr>
                <w:sz w:val="20"/>
              </w:rPr>
              <w:t>2000,</w:t>
            </w:r>
            <w:r w:rsidRPr="00150EDC">
              <w:rPr>
                <w:spacing w:val="-7"/>
                <w:sz w:val="20"/>
              </w:rPr>
              <w:t xml:space="preserve"> </w:t>
            </w:r>
            <w:r w:rsidRPr="00150EDC">
              <w:rPr>
                <w:spacing w:val="-5"/>
                <w:sz w:val="20"/>
              </w:rPr>
              <w:t>s27</w:t>
            </w:r>
          </w:p>
        </w:tc>
        <w:tc>
          <w:tcPr>
            <w:tcW w:w="7427" w:type="dxa"/>
          </w:tcPr>
          <w:p w14:paraId="737D58FC" w14:textId="77777777" w:rsidR="004C7180" w:rsidRPr="00150EDC" w:rsidRDefault="00CF0754">
            <w:pPr>
              <w:pStyle w:val="TableParagraph"/>
              <w:rPr>
                <w:sz w:val="20"/>
              </w:rPr>
            </w:pPr>
            <w:r w:rsidRPr="00150EDC">
              <w:rPr>
                <w:sz w:val="20"/>
              </w:rPr>
              <w:t>False</w:t>
            </w:r>
            <w:r w:rsidRPr="00150EDC">
              <w:rPr>
                <w:spacing w:val="-8"/>
                <w:sz w:val="20"/>
              </w:rPr>
              <w:t xml:space="preserve"> </w:t>
            </w:r>
            <w:r w:rsidRPr="00150EDC">
              <w:rPr>
                <w:sz w:val="20"/>
              </w:rPr>
              <w:t>descriptions</w:t>
            </w:r>
            <w:r w:rsidRPr="00150EDC">
              <w:rPr>
                <w:spacing w:val="-2"/>
                <w:sz w:val="20"/>
              </w:rPr>
              <w:t xml:space="preserve"> </w:t>
            </w:r>
            <w:r w:rsidRPr="00150EDC">
              <w:rPr>
                <w:sz w:val="20"/>
              </w:rPr>
              <w:t>of</w:t>
            </w:r>
            <w:r w:rsidRPr="00150EDC">
              <w:rPr>
                <w:spacing w:val="-7"/>
                <w:sz w:val="20"/>
              </w:rPr>
              <w:t xml:space="preserve"> </w:t>
            </w:r>
            <w:r w:rsidRPr="00150EDC">
              <w:rPr>
                <w:spacing w:val="-2"/>
                <w:sz w:val="20"/>
              </w:rPr>
              <w:t>applications</w:t>
            </w:r>
          </w:p>
        </w:tc>
      </w:tr>
      <w:tr w:rsidR="004569EE" w:rsidRPr="007D3144" w14:paraId="3810870E" w14:textId="77777777">
        <w:trPr>
          <w:trHeight w:val="255"/>
        </w:trPr>
        <w:tc>
          <w:tcPr>
            <w:tcW w:w="6517" w:type="dxa"/>
          </w:tcPr>
          <w:p w14:paraId="62FD3CF1" w14:textId="77777777" w:rsidR="004C7180" w:rsidRPr="00150EDC" w:rsidRDefault="00CF0754">
            <w:pPr>
              <w:pStyle w:val="TableParagraph"/>
              <w:spacing w:before="28"/>
              <w:rPr>
                <w:sz w:val="20"/>
              </w:rPr>
            </w:pPr>
            <w:r w:rsidRPr="00150EDC">
              <w:rPr>
                <w:sz w:val="20"/>
              </w:rPr>
              <w:t>Care</w:t>
            </w:r>
            <w:r w:rsidRPr="00150EDC">
              <w:rPr>
                <w:spacing w:val="-7"/>
                <w:sz w:val="20"/>
              </w:rPr>
              <w:t xml:space="preserve"> </w:t>
            </w:r>
            <w:r w:rsidRPr="00150EDC">
              <w:rPr>
                <w:sz w:val="20"/>
              </w:rPr>
              <w:t>Standards</w:t>
            </w:r>
            <w:r w:rsidRPr="00150EDC">
              <w:rPr>
                <w:spacing w:val="-6"/>
                <w:sz w:val="20"/>
              </w:rPr>
              <w:t xml:space="preserve"> </w:t>
            </w:r>
            <w:r w:rsidRPr="00150EDC">
              <w:rPr>
                <w:sz w:val="20"/>
              </w:rPr>
              <w:t>Act</w:t>
            </w:r>
            <w:r w:rsidRPr="00150EDC">
              <w:rPr>
                <w:spacing w:val="-6"/>
                <w:sz w:val="20"/>
              </w:rPr>
              <w:t xml:space="preserve"> </w:t>
            </w:r>
            <w:r w:rsidRPr="00150EDC">
              <w:rPr>
                <w:sz w:val="20"/>
              </w:rPr>
              <w:t>2000,</w:t>
            </w:r>
            <w:r w:rsidRPr="00150EDC">
              <w:rPr>
                <w:spacing w:val="-7"/>
                <w:sz w:val="20"/>
              </w:rPr>
              <w:t xml:space="preserve"> </w:t>
            </w:r>
            <w:r w:rsidRPr="00150EDC">
              <w:rPr>
                <w:spacing w:val="-5"/>
                <w:sz w:val="20"/>
              </w:rPr>
              <w:t>s28</w:t>
            </w:r>
          </w:p>
        </w:tc>
        <w:tc>
          <w:tcPr>
            <w:tcW w:w="7427" w:type="dxa"/>
          </w:tcPr>
          <w:p w14:paraId="2817E748" w14:textId="77777777" w:rsidR="004C7180" w:rsidRPr="00150EDC" w:rsidRDefault="00CF0754">
            <w:pPr>
              <w:pStyle w:val="TableParagraph"/>
              <w:spacing w:before="28"/>
              <w:rPr>
                <w:sz w:val="20"/>
              </w:rPr>
            </w:pPr>
            <w:r w:rsidRPr="00150EDC">
              <w:rPr>
                <w:sz w:val="20"/>
              </w:rPr>
              <w:t>Failing</w:t>
            </w:r>
            <w:r w:rsidRPr="00150EDC">
              <w:rPr>
                <w:spacing w:val="-5"/>
                <w:sz w:val="20"/>
              </w:rPr>
              <w:t xml:space="preserve"> </w:t>
            </w:r>
            <w:r w:rsidRPr="00150EDC">
              <w:rPr>
                <w:sz w:val="20"/>
              </w:rPr>
              <w:t>to display</w:t>
            </w:r>
            <w:r w:rsidRPr="00150EDC">
              <w:rPr>
                <w:spacing w:val="-4"/>
                <w:sz w:val="20"/>
              </w:rPr>
              <w:t xml:space="preserve"> </w:t>
            </w:r>
            <w:r w:rsidRPr="00150EDC">
              <w:rPr>
                <w:sz w:val="20"/>
              </w:rPr>
              <w:t>a</w:t>
            </w:r>
            <w:r w:rsidRPr="00150EDC">
              <w:rPr>
                <w:spacing w:val="-5"/>
                <w:sz w:val="20"/>
              </w:rPr>
              <w:t xml:space="preserve"> </w:t>
            </w:r>
            <w:r w:rsidRPr="00150EDC">
              <w:rPr>
                <w:sz w:val="20"/>
              </w:rPr>
              <w:t>certificate</w:t>
            </w:r>
            <w:r w:rsidRPr="00150EDC">
              <w:rPr>
                <w:spacing w:val="-5"/>
                <w:sz w:val="20"/>
              </w:rPr>
              <w:t xml:space="preserve"> </w:t>
            </w:r>
            <w:r w:rsidRPr="00150EDC">
              <w:rPr>
                <w:sz w:val="20"/>
              </w:rPr>
              <w:t>of</w:t>
            </w:r>
            <w:r w:rsidRPr="00150EDC">
              <w:rPr>
                <w:spacing w:val="-4"/>
                <w:sz w:val="20"/>
              </w:rPr>
              <w:t xml:space="preserve"> </w:t>
            </w:r>
            <w:r w:rsidRPr="00150EDC">
              <w:rPr>
                <w:spacing w:val="-2"/>
                <w:sz w:val="20"/>
              </w:rPr>
              <w:t>registration</w:t>
            </w:r>
          </w:p>
        </w:tc>
      </w:tr>
      <w:tr w:rsidR="004569EE" w:rsidRPr="007D3144" w14:paraId="182B58A4" w14:textId="77777777">
        <w:trPr>
          <w:trHeight w:val="460"/>
        </w:trPr>
        <w:tc>
          <w:tcPr>
            <w:tcW w:w="6517" w:type="dxa"/>
          </w:tcPr>
          <w:p w14:paraId="6D19EC04" w14:textId="77777777" w:rsidR="004C7180" w:rsidRPr="00150EDC" w:rsidRDefault="004C7180">
            <w:pPr>
              <w:pStyle w:val="TableParagraph"/>
              <w:spacing w:before="2" w:line="240" w:lineRule="auto"/>
              <w:ind w:left="0"/>
              <w:rPr>
                <w:sz w:val="20"/>
              </w:rPr>
            </w:pPr>
          </w:p>
          <w:p w14:paraId="16803DAE" w14:textId="77777777" w:rsidR="004C7180" w:rsidRPr="00150EDC" w:rsidRDefault="00CF0754">
            <w:pPr>
              <w:pStyle w:val="TableParagraph"/>
              <w:spacing w:before="0"/>
              <w:rPr>
                <w:sz w:val="20"/>
              </w:rPr>
            </w:pPr>
            <w:r w:rsidRPr="00150EDC">
              <w:rPr>
                <w:sz w:val="20"/>
              </w:rPr>
              <w:t>Care</w:t>
            </w:r>
            <w:r w:rsidRPr="00150EDC">
              <w:rPr>
                <w:spacing w:val="-7"/>
                <w:sz w:val="20"/>
              </w:rPr>
              <w:t xml:space="preserve"> </w:t>
            </w:r>
            <w:r w:rsidRPr="00150EDC">
              <w:rPr>
                <w:sz w:val="20"/>
              </w:rPr>
              <w:t>Standards</w:t>
            </w:r>
            <w:r w:rsidRPr="00150EDC">
              <w:rPr>
                <w:spacing w:val="-6"/>
                <w:sz w:val="20"/>
              </w:rPr>
              <w:t xml:space="preserve"> </w:t>
            </w:r>
            <w:r w:rsidRPr="00150EDC">
              <w:rPr>
                <w:sz w:val="20"/>
              </w:rPr>
              <w:t>Act</w:t>
            </w:r>
            <w:r w:rsidRPr="00150EDC">
              <w:rPr>
                <w:spacing w:val="-6"/>
                <w:sz w:val="20"/>
              </w:rPr>
              <w:t xml:space="preserve"> </w:t>
            </w:r>
            <w:r w:rsidRPr="00150EDC">
              <w:rPr>
                <w:sz w:val="20"/>
              </w:rPr>
              <w:t>2000,</w:t>
            </w:r>
            <w:r w:rsidRPr="00150EDC">
              <w:rPr>
                <w:spacing w:val="-7"/>
                <w:sz w:val="20"/>
              </w:rPr>
              <w:t xml:space="preserve"> </w:t>
            </w:r>
            <w:r w:rsidRPr="00150EDC">
              <w:rPr>
                <w:spacing w:val="-5"/>
                <w:sz w:val="20"/>
              </w:rPr>
              <w:t>s31</w:t>
            </w:r>
          </w:p>
        </w:tc>
        <w:tc>
          <w:tcPr>
            <w:tcW w:w="7427" w:type="dxa"/>
          </w:tcPr>
          <w:p w14:paraId="50CB0929" w14:textId="77777777" w:rsidR="004C7180" w:rsidRPr="00150EDC" w:rsidRDefault="00CF0754">
            <w:pPr>
              <w:pStyle w:val="TableParagraph"/>
              <w:spacing w:before="0" w:line="230" w:lineRule="atLeast"/>
              <w:rPr>
                <w:sz w:val="20"/>
              </w:rPr>
            </w:pPr>
            <w:r w:rsidRPr="00150EDC">
              <w:rPr>
                <w:sz w:val="20"/>
              </w:rPr>
              <w:t>Obstructing</w:t>
            </w:r>
            <w:r w:rsidRPr="00150EDC">
              <w:rPr>
                <w:spacing w:val="-5"/>
                <w:sz w:val="20"/>
              </w:rPr>
              <w:t xml:space="preserve"> </w:t>
            </w:r>
            <w:r w:rsidRPr="00150EDC">
              <w:rPr>
                <w:sz w:val="20"/>
              </w:rPr>
              <w:t>or</w:t>
            </w:r>
            <w:r w:rsidRPr="00150EDC">
              <w:rPr>
                <w:spacing w:val="-5"/>
                <w:sz w:val="20"/>
              </w:rPr>
              <w:t xml:space="preserve"> </w:t>
            </w:r>
            <w:r w:rsidRPr="00150EDC">
              <w:rPr>
                <w:sz w:val="20"/>
              </w:rPr>
              <w:t>failing</w:t>
            </w:r>
            <w:r w:rsidRPr="00150EDC">
              <w:rPr>
                <w:spacing w:val="-5"/>
                <w:sz w:val="20"/>
              </w:rPr>
              <w:t xml:space="preserve"> </w:t>
            </w:r>
            <w:r w:rsidRPr="00150EDC">
              <w:rPr>
                <w:sz w:val="20"/>
              </w:rPr>
              <w:t>to</w:t>
            </w:r>
            <w:r w:rsidRPr="00150EDC">
              <w:rPr>
                <w:spacing w:val="-5"/>
                <w:sz w:val="20"/>
              </w:rPr>
              <w:t xml:space="preserve"> </w:t>
            </w:r>
            <w:r w:rsidRPr="00150EDC">
              <w:rPr>
                <w:sz w:val="20"/>
              </w:rPr>
              <w:t>comply</w:t>
            </w:r>
            <w:r w:rsidRPr="00150EDC">
              <w:rPr>
                <w:spacing w:val="-3"/>
                <w:sz w:val="20"/>
              </w:rPr>
              <w:t xml:space="preserve"> </w:t>
            </w:r>
            <w:r w:rsidRPr="00150EDC">
              <w:rPr>
                <w:sz w:val="20"/>
              </w:rPr>
              <w:t>with</w:t>
            </w:r>
            <w:r w:rsidRPr="00150EDC">
              <w:rPr>
                <w:spacing w:val="-5"/>
                <w:sz w:val="20"/>
              </w:rPr>
              <w:t xml:space="preserve"> </w:t>
            </w:r>
            <w:r w:rsidRPr="00150EDC">
              <w:rPr>
                <w:sz w:val="20"/>
              </w:rPr>
              <w:t>inspections</w:t>
            </w:r>
            <w:r w:rsidRPr="00150EDC">
              <w:rPr>
                <w:spacing w:val="-4"/>
                <w:sz w:val="20"/>
              </w:rPr>
              <w:t xml:space="preserve"> </w:t>
            </w:r>
            <w:r w:rsidRPr="00150EDC">
              <w:rPr>
                <w:sz w:val="20"/>
              </w:rPr>
              <w:t>by</w:t>
            </w:r>
            <w:r w:rsidRPr="00150EDC">
              <w:rPr>
                <w:spacing w:val="-4"/>
                <w:sz w:val="20"/>
              </w:rPr>
              <w:t xml:space="preserve"> </w:t>
            </w:r>
            <w:r w:rsidRPr="00150EDC">
              <w:rPr>
                <w:sz w:val="20"/>
              </w:rPr>
              <w:t>persons</w:t>
            </w:r>
            <w:r w:rsidRPr="00150EDC">
              <w:rPr>
                <w:spacing w:val="-4"/>
                <w:sz w:val="20"/>
              </w:rPr>
              <w:t xml:space="preserve"> </w:t>
            </w:r>
            <w:r w:rsidRPr="00150EDC">
              <w:rPr>
                <w:sz w:val="20"/>
              </w:rPr>
              <w:t>authorised</w:t>
            </w:r>
            <w:r w:rsidRPr="00150EDC">
              <w:rPr>
                <w:spacing w:val="-1"/>
                <w:sz w:val="20"/>
              </w:rPr>
              <w:t xml:space="preserve"> </w:t>
            </w:r>
            <w:r w:rsidRPr="00150EDC">
              <w:rPr>
                <w:sz w:val="20"/>
              </w:rPr>
              <w:t>by registration authority</w:t>
            </w:r>
          </w:p>
        </w:tc>
      </w:tr>
      <w:tr w:rsidR="004569EE" w:rsidRPr="007D3144" w14:paraId="72B1F721" w14:textId="77777777">
        <w:trPr>
          <w:trHeight w:val="460"/>
        </w:trPr>
        <w:tc>
          <w:tcPr>
            <w:tcW w:w="6517" w:type="dxa"/>
          </w:tcPr>
          <w:p w14:paraId="51F450E3" w14:textId="77777777" w:rsidR="004C7180" w:rsidRPr="00150EDC" w:rsidRDefault="004C7180">
            <w:pPr>
              <w:pStyle w:val="TableParagraph"/>
              <w:spacing w:before="2" w:line="240" w:lineRule="auto"/>
              <w:ind w:left="0"/>
              <w:rPr>
                <w:sz w:val="20"/>
              </w:rPr>
            </w:pPr>
          </w:p>
          <w:p w14:paraId="24CFEEFB" w14:textId="77777777" w:rsidR="004C7180" w:rsidRPr="00150EDC" w:rsidRDefault="00CF0754">
            <w:pPr>
              <w:pStyle w:val="TableParagraph"/>
              <w:spacing w:before="0"/>
              <w:rPr>
                <w:sz w:val="20"/>
              </w:rPr>
            </w:pPr>
            <w:r w:rsidRPr="00150EDC">
              <w:rPr>
                <w:sz w:val="20"/>
              </w:rPr>
              <w:t>Care</w:t>
            </w:r>
            <w:r w:rsidRPr="00150EDC">
              <w:rPr>
                <w:spacing w:val="-7"/>
                <w:sz w:val="20"/>
              </w:rPr>
              <w:t xml:space="preserve"> </w:t>
            </w:r>
            <w:r w:rsidRPr="00150EDC">
              <w:rPr>
                <w:sz w:val="20"/>
              </w:rPr>
              <w:t>Standards</w:t>
            </w:r>
            <w:r w:rsidRPr="00150EDC">
              <w:rPr>
                <w:spacing w:val="-6"/>
                <w:sz w:val="20"/>
              </w:rPr>
              <w:t xml:space="preserve"> </w:t>
            </w:r>
            <w:r w:rsidRPr="00150EDC">
              <w:rPr>
                <w:sz w:val="20"/>
              </w:rPr>
              <w:t>Act</w:t>
            </w:r>
            <w:r w:rsidRPr="00150EDC">
              <w:rPr>
                <w:spacing w:val="-6"/>
                <w:sz w:val="20"/>
              </w:rPr>
              <w:t xml:space="preserve"> </w:t>
            </w:r>
            <w:r w:rsidRPr="00150EDC">
              <w:rPr>
                <w:sz w:val="20"/>
              </w:rPr>
              <w:t>2000,</w:t>
            </w:r>
            <w:r w:rsidRPr="00150EDC">
              <w:rPr>
                <w:spacing w:val="-7"/>
                <w:sz w:val="20"/>
              </w:rPr>
              <w:t xml:space="preserve"> </w:t>
            </w:r>
            <w:r w:rsidRPr="00150EDC">
              <w:rPr>
                <w:spacing w:val="-5"/>
                <w:sz w:val="20"/>
              </w:rPr>
              <w:t>s89</w:t>
            </w:r>
          </w:p>
        </w:tc>
        <w:tc>
          <w:tcPr>
            <w:tcW w:w="7427" w:type="dxa"/>
          </w:tcPr>
          <w:p w14:paraId="580FD6D8" w14:textId="77777777" w:rsidR="004C7180" w:rsidRPr="00150EDC" w:rsidRDefault="00CF0754">
            <w:pPr>
              <w:pStyle w:val="TableParagraph"/>
              <w:spacing w:before="0" w:line="230" w:lineRule="atLeast"/>
              <w:rPr>
                <w:sz w:val="20"/>
              </w:rPr>
            </w:pPr>
            <w:r w:rsidRPr="00150EDC">
              <w:rPr>
                <w:sz w:val="20"/>
              </w:rPr>
              <w:t>Apply</w:t>
            </w:r>
            <w:r w:rsidRPr="00150EDC">
              <w:rPr>
                <w:spacing w:val="-2"/>
                <w:sz w:val="20"/>
              </w:rPr>
              <w:t xml:space="preserve"> </w:t>
            </w:r>
            <w:r w:rsidRPr="00150EDC">
              <w:rPr>
                <w:sz w:val="20"/>
              </w:rPr>
              <w:t>for,</w:t>
            </w:r>
            <w:r w:rsidRPr="00150EDC">
              <w:rPr>
                <w:spacing w:val="-4"/>
                <w:sz w:val="20"/>
              </w:rPr>
              <w:t xml:space="preserve"> </w:t>
            </w:r>
            <w:r w:rsidRPr="00150EDC">
              <w:rPr>
                <w:sz w:val="20"/>
              </w:rPr>
              <w:t>offer</w:t>
            </w:r>
            <w:r w:rsidRPr="00150EDC">
              <w:rPr>
                <w:spacing w:val="-4"/>
                <w:sz w:val="20"/>
              </w:rPr>
              <w:t xml:space="preserve"> </w:t>
            </w:r>
            <w:r w:rsidRPr="00150EDC">
              <w:rPr>
                <w:sz w:val="20"/>
              </w:rPr>
              <w:t>to</w:t>
            </w:r>
            <w:r w:rsidRPr="00150EDC">
              <w:rPr>
                <w:spacing w:val="-4"/>
                <w:sz w:val="20"/>
              </w:rPr>
              <w:t xml:space="preserve"> </w:t>
            </w:r>
            <w:r w:rsidRPr="00150EDC">
              <w:rPr>
                <w:sz w:val="20"/>
              </w:rPr>
              <w:t>do or</w:t>
            </w:r>
            <w:r w:rsidRPr="00150EDC">
              <w:rPr>
                <w:spacing w:val="-4"/>
                <w:sz w:val="20"/>
              </w:rPr>
              <w:t xml:space="preserve"> </w:t>
            </w:r>
            <w:r w:rsidRPr="00150EDC">
              <w:rPr>
                <w:sz w:val="20"/>
              </w:rPr>
              <w:t>accept</w:t>
            </w:r>
            <w:r w:rsidRPr="00150EDC">
              <w:rPr>
                <w:spacing w:val="-4"/>
                <w:sz w:val="20"/>
              </w:rPr>
              <w:t xml:space="preserve"> </w:t>
            </w:r>
            <w:r w:rsidRPr="00150EDC">
              <w:rPr>
                <w:sz w:val="20"/>
              </w:rPr>
              <w:t>work in</w:t>
            </w:r>
            <w:r w:rsidRPr="00150EDC">
              <w:rPr>
                <w:spacing w:val="-4"/>
                <w:sz w:val="20"/>
              </w:rPr>
              <w:t xml:space="preserve"> </w:t>
            </w:r>
            <w:r w:rsidRPr="00150EDC">
              <w:rPr>
                <w:sz w:val="20"/>
              </w:rPr>
              <w:t>a</w:t>
            </w:r>
            <w:r w:rsidRPr="00150EDC">
              <w:rPr>
                <w:spacing w:val="-4"/>
                <w:sz w:val="20"/>
              </w:rPr>
              <w:t xml:space="preserve"> </w:t>
            </w:r>
            <w:r w:rsidRPr="00150EDC">
              <w:rPr>
                <w:sz w:val="20"/>
              </w:rPr>
              <w:t>care</w:t>
            </w:r>
            <w:r w:rsidRPr="00150EDC">
              <w:rPr>
                <w:spacing w:val="-4"/>
                <w:sz w:val="20"/>
              </w:rPr>
              <w:t xml:space="preserve"> </w:t>
            </w:r>
            <w:r w:rsidRPr="00150EDC">
              <w:rPr>
                <w:sz w:val="20"/>
              </w:rPr>
              <w:t>position</w:t>
            </w:r>
            <w:r w:rsidRPr="00150EDC">
              <w:rPr>
                <w:spacing w:val="-4"/>
                <w:sz w:val="20"/>
              </w:rPr>
              <w:t xml:space="preserve"> </w:t>
            </w:r>
            <w:r w:rsidRPr="00150EDC">
              <w:rPr>
                <w:sz w:val="20"/>
              </w:rPr>
              <w:t>when</w:t>
            </w:r>
            <w:r w:rsidRPr="00150EDC">
              <w:rPr>
                <w:spacing w:val="-4"/>
                <w:sz w:val="20"/>
              </w:rPr>
              <w:t xml:space="preserve"> </w:t>
            </w:r>
            <w:r w:rsidRPr="00150EDC">
              <w:rPr>
                <w:sz w:val="20"/>
              </w:rPr>
              <w:t>listed</w:t>
            </w:r>
            <w:r w:rsidRPr="00150EDC">
              <w:rPr>
                <w:spacing w:val="-4"/>
                <w:sz w:val="20"/>
              </w:rPr>
              <w:t xml:space="preserve"> </w:t>
            </w:r>
            <w:r w:rsidRPr="00150EDC">
              <w:rPr>
                <w:sz w:val="20"/>
              </w:rPr>
              <w:t>by</w:t>
            </w:r>
            <w:r w:rsidRPr="00150EDC">
              <w:rPr>
                <w:spacing w:val="-3"/>
                <w:sz w:val="20"/>
              </w:rPr>
              <w:t xml:space="preserve"> </w:t>
            </w:r>
            <w:r w:rsidRPr="00150EDC">
              <w:rPr>
                <w:sz w:val="20"/>
              </w:rPr>
              <w:t>Secretary</w:t>
            </w:r>
            <w:r w:rsidRPr="00150EDC">
              <w:rPr>
                <w:spacing w:val="-3"/>
                <w:sz w:val="20"/>
              </w:rPr>
              <w:t xml:space="preserve"> </w:t>
            </w:r>
            <w:r w:rsidRPr="00150EDC">
              <w:rPr>
                <w:sz w:val="20"/>
              </w:rPr>
              <w:t>of State as unsuitable</w:t>
            </w:r>
          </w:p>
        </w:tc>
      </w:tr>
      <w:tr w:rsidR="004569EE" w:rsidRPr="007D3144" w14:paraId="777C153E" w14:textId="77777777">
        <w:trPr>
          <w:trHeight w:val="255"/>
        </w:trPr>
        <w:tc>
          <w:tcPr>
            <w:tcW w:w="6517" w:type="dxa"/>
          </w:tcPr>
          <w:p w14:paraId="3062A4F3" w14:textId="77777777" w:rsidR="004C7180" w:rsidRPr="00150EDC" w:rsidRDefault="00CF0754">
            <w:pPr>
              <w:pStyle w:val="TableParagraph"/>
              <w:spacing w:before="28"/>
              <w:rPr>
                <w:sz w:val="20"/>
              </w:rPr>
            </w:pPr>
            <w:r w:rsidRPr="00150EDC">
              <w:rPr>
                <w:sz w:val="20"/>
              </w:rPr>
              <w:t>Care</w:t>
            </w:r>
            <w:r w:rsidRPr="00150EDC">
              <w:rPr>
                <w:spacing w:val="-6"/>
                <w:sz w:val="20"/>
              </w:rPr>
              <w:t xml:space="preserve"> </w:t>
            </w:r>
            <w:r w:rsidRPr="00150EDC">
              <w:rPr>
                <w:sz w:val="20"/>
              </w:rPr>
              <w:t>Standards</w:t>
            </w:r>
            <w:r w:rsidRPr="00150EDC">
              <w:rPr>
                <w:spacing w:val="-5"/>
                <w:sz w:val="20"/>
              </w:rPr>
              <w:t xml:space="preserve"> </w:t>
            </w:r>
            <w:r w:rsidRPr="00150EDC">
              <w:rPr>
                <w:sz w:val="20"/>
              </w:rPr>
              <w:t>Act</w:t>
            </w:r>
            <w:r w:rsidRPr="00150EDC">
              <w:rPr>
                <w:spacing w:val="-5"/>
                <w:sz w:val="20"/>
              </w:rPr>
              <w:t xml:space="preserve"> </w:t>
            </w:r>
            <w:r w:rsidRPr="00150EDC">
              <w:rPr>
                <w:sz w:val="20"/>
              </w:rPr>
              <w:t>2000,</w:t>
            </w:r>
            <w:r w:rsidRPr="00150EDC">
              <w:rPr>
                <w:spacing w:val="-6"/>
                <w:sz w:val="20"/>
              </w:rPr>
              <w:t xml:space="preserve"> </w:t>
            </w:r>
            <w:r w:rsidRPr="00150EDC">
              <w:rPr>
                <w:sz w:val="20"/>
              </w:rPr>
              <w:t>schedule</w:t>
            </w:r>
            <w:r w:rsidRPr="00150EDC">
              <w:rPr>
                <w:spacing w:val="-5"/>
                <w:sz w:val="20"/>
              </w:rPr>
              <w:t xml:space="preserve"> </w:t>
            </w:r>
            <w:r w:rsidRPr="00150EDC">
              <w:rPr>
                <w:spacing w:val="-10"/>
                <w:sz w:val="20"/>
              </w:rPr>
              <w:t>3</w:t>
            </w:r>
          </w:p>
        </w:tc>
        <w:tc>
          <w:tcPr>
            <w:tcW w:w="7427" w:type="dxa"/>
          </w:tcPr>
          <w:p w14:paraId="535ED0C6" w14:textId="77777777" w:rsidR="004C7180" w:rsidRPr="00150EDC" w:rsidRDefault="00CF0754">
            <w:pPr>
              <w:pStyle w:val="TableParagraph"/>
              <w:spacing w:before="28"/>
              <w:rPr>
                <w:sz w:val="20"/>
              </w:rPr>
            </w:pPr>
            <w:r w:rsidRPr="00150EDC">
              <w:rPr>
                <w:sz w:val="20"/>
              </w:rPr>
              <w:t>Act</w:t>
            </w:r>
            <w:r w:rsidRPr="00150EDC">
              <w:rPr>
                <w:spacing w:val="-4"/>
                <w:sz w:val="20"/>
              </w:rPr>
              <w:t xml:space="preserve"> </w:t>
            </w:r>
            <w:r w:rsidRPr="00150EDC">
              <w:rPr>
                <w:sz w:val="20"/>
              </w:rPr>
              <w:t>as</w:t>
            </w:r>
            <w:r w:rsidRPr="00150EDC">
              <w:rPr>
                <w:spacing w:val="-3"/>
                <w:sz w:val="20"/>
              </w:rPr>
              <w:t xml:space="preserve"> </w:t>
            </w:r>
            <w:r w:rsidRPr="00150EDC">
              <w:rPr>
                <w:sz w:val="20"/>
              </w:rPr>
              <w:t>a</w:t>
            </w:r>
            <w:r w:rsidRPr="00150EDC">
              <w:rPr>
                <w:spacing w:val="-4"/>
                <w:sz w:val="20"/>
              </w:rPr>
              <w:t xml:space="preserve"> </w:t>
            </w:r>
            <w:r w:rsidRPr="00150EDC">
              <w:rPr>
                <w:sz w:val="20"/>
              </w:rPr>
              <w:t>child</w:t>
            </w:r>
            <w:r w:rsidRPr="00150EDC">
              <w:rPr>
                <w:spacing w:val="-4"/>
                <w:sz w:val="20"/>
              </w:rPr>
              <w:t xml:space="preserve"> </w:t>
            </w:r>
            <w:r w:rsidRPr="00150EDC">
              <w:rPr>
                <w:sz w:val="20"/>
              </w:rPr>
              <w:t>minder</w:t>
            </w:r>
            <w:r w:rsidRPr="00150EDC">
              <w:rPr>
                <w:spacing w:val="-4"/>
                <w:sz w:val="20"/>
              </w:rPr>
              <w:t xml:space="preserve"> </w:t>
            </w:r>
            <w:r w:rsidRPr="00150EDC">
              <w:rPr>
                <w:sz w:val="20"/>
              </w:rPr>
              <w:t>whilst</w:t>
            </w:r>
            <w:r w:rsidRPr="00150EDC">
              <w:rPr>
                <w:spacing w:val="-3"/>
                <w:sz w:val="20"/>
              </w:rPr>
              <w:t xml:space="preserve"> </w:t>
            </w:r>
            <w:r w:rsidRPr="00150EDC">
              <w:rPr>
                <w:sz w:val="20"/>
              </w:rPr>
              <w:t>disqualified</w:t>
            </w:r>
            <w:r w:rsidRPr="00150EDC">
              <w:rPr>
                <w:spacing w:val="-4"/>
                <w:sz w:val="20"/>
              </w:rPr>
              <w:t xml:space="preserve"> </w:t>
            </w:r>
            <w:r w:rsidRPr="00150EDC">
              <w:rPr>
                <w:sz w:val="20"/>
              </w:rPr>
              <w:t>from</w:t>
            </w:r>
            <w:r w:rsidRPr="00150EDC">
              <w:rPr>
                <w:spacing w:val="-2"/>
                <w:sz w:val="20"/>
              </w:rPr>
              <w:t xml:space="preserve"> registration</w:t>
            </w:r>
          </w:p>
        </w:tc>
      </w:tr>
    </w:tbl>
    <w:p w14:paraId="6E47D924" w14:textId="77777777" w:rsidR="004C7180" w:rsidRPr="00150EDC" w:rsidRDefault="004C7180">
      <w:pPr>
        <w:rPr>
          <w:sz w:val="20"/>
        </w:rPr>
        <w:sectPr w:rsidR="004C7180" w:rsidRPr="00150EDC">
          <w:footerReference w:type="default" r:id="rId122"/>
          <w:pgSz w:w="16840" w:h="11910" w:orient="landscape"/>
          <w:pgMar w:top="1340" w:right="1320" w:bottom="280" w:left="1340" w:header="0" w:footer="0" w:gutter="0"/>
          <w:cols w:space="720"/>
        </w:sectPr>
      </w:pPr>
    </w:p>
    <w:p w14:paraId="55623064" w14:textId="77777777" w:rsidR="004C7180" w:rsidRPr="00150EDC" w:rsidRDefault="004C7180">
      <w:pPr>
        <w:pStyle w:val="BodyText"/>
        <w:spacing w:before="3"/>
        <w:rPr>
          <w:sz w:val="8"/>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517"/>
        <w:gridCol w:w="7427"/>
      </w:tblGrid>
      <w:tr w:rsidR="004569EE" w:rsidRPr="007D3144" w14:paraId="62E5AE21" w14:textId="77777777">
        <w:trPr>
          <w:trHeight w:val="254"/>
        </w:trPr>
        <w:tc>
          <w:tcPr>
            <w:tcW w:w="6517" w:type="dxa"/>
          </w:tcPr>
          <w:p w14:paraId="32E73EFA" w14:textId="77777777" w:rsidR="004C7180" w:rsidRPr="00150EDC" w:rsidRDefault="00CF0754">
            <w:pPr>
              <w:pStyle w:val="TableParagraph"/>
              <w:rPr>
                <w:sz w:val="20"/>
              </w:rPr>
            </w:pPr>
            <w:r w:rsidRPr="00150EDC">
              <w:rPr>
                <w:sz w:val="20"/>
              </w:rPr>
              <w:t>Channel</w:t>
            </w:r>
            <w:r w:rsidRPr="00150EDC">
              <w:rPr>
                <w:spacing w:val="-2"/>
                <w:sz w:val="20"/>
              </w:rPr>
              <w:t xml:space="preserve"> </w:t>
            </w:r>
            <w:r w:rsidRPr="00150EDC">
              <w:rPr>
                <w:sz w:val="20"/>
              </w:rPr>
              <w:t>Tunnel</w:t>
            </w:r>
            <w:r w:rsidRPr="00150EDC">
              <w:rPr>
                <w:spacing w:val="-6"/>
                <w:sz w:val="20"/>
              </w:rPr>
              <w:t xml:space="preserve"> </w:t>
            </w:r>
            <w:r w:rsidRPr="00150EDC">
              <w:rPr>
                <w:sz w:val="20"/>
              </w:rPr>
              <w:t>(Security)</w:t>
            </w:r>
            <w:r w:rsidRPr="00150EDC">
              <w:rPr>
                <w:spacing w:val="-7"/>
                <w:sz w:val="20"/>
              </w:rPr>
              <w:t xml:space="preserve"> </w:t>
            </w:r>
            <w:r w:rsidRPr="00150EDC">
              <w:rPr>
                <w:sz w:val="20"/>
              </w:rPr>
              <w:t>Order</w:t>
            </w:r>
            <w:r w:rsidRPr="00150EDC">
              <w:rPr>
                <w:spacing w:val="-7"/>
                <w:sz w:val="20"/>
              </w:rPr>
              <w:t xml:space="preserve"> </w:t>
            </w:r>
            <w:r w:rsidRPr="00150EDC">
              <w:rPr>
                <w:sz w:val="20"/>
              </w:rPr>
              <w:t>1994,</w:t>
            </w:r>
            <w:r w:rsidRPr="00150EDC">
              <w:rPr>
                <w:spacing w:val="-8"/>
                <w:sz w:val="20"/>
              </w:rPr>
              <w:t xml:space="preserve"> </w:t>
            </w:r>
            <w:r w:rsidRPr="00150EDC">
              <w:rPr>
                <w:sz w:val="20"/>
              </w:rPr>
              <w:t>Art</w:t>
            </w:r>
            <w:r w:rsidRPr="00150EDC">
              <w:rPr>
                <w:spacing w:val="-1"/>
                <w:sz w:val="20"/>
              </w:rPr>
              <w:t xml:space="preserve"> </w:t>
            </w:r>
            <w:r w:rsidRPr="00150EDC">
              <w:rPr>
                <w:spacing w:val="-10"/>
                <w:sz w:val="20"/>
              </w:rPr>
              <w:t>4</w:t>
            </w:r>
          </w:p>
        </w:tc>
        <w:tc>
          <w:tcPr>
            <w:tcW w:w="7427" w:type="dxa"/>
          </w:tcPr>
          <w:p w14:paraId="6C67BDB5" w14:textId="77777777" w:rsidR="004C7180" w:rsidRPr="00150EDC" w:rsidRDefault="00CF0754">
            <w:pPr>
              <w:pStyle w:val="TableParagraph"/>
              <w:rPr>
                <w:sz w:val="20"/>
              </w:rPr>
            </w:pPr>
            <w:r w:rsidRPr="00150EDC">
              <w:rPr>
                <w:sz w:val="20"/>
              </w:rPr>
              <w:t>Hijacking</w:t>
            </w:r>
            <w:r w:rsidRPr="00150EDC">
              <w:rPr>
                <w:spacing w:val="-8"/>
                <w:sz w:val="20"/>
              </w:rPr>
              <w:t xml:space="preserve"> </w:t>
            </w:r>
            <w:r w:rsidRPr="00150EDC">
              <w:rPr>
                <w:sz w:val="20"/>
              </w:rPr>
              <w:t>of</w:t>
            </w:r>
            <w:r w:rsidRPr="00150EDC">
              <w:rPr>
                <w:spacing w:val="-8"/>
                <w:sz w:val="20"/>
              </w:rPr>
              <w:t xml:space="preserve"> </w:t>
            </w:r>
            <w:r w:rsidRPr="00150EDC">
              <w:rPr>
                <w:sz w:val="20"/>
              </w:rPr>
              <w:t>Channel</w:t>
            </w:r>
            <w:r w:rsidRPr="00150EDC">
              <w:rPr>
                <w:spacing w:val="-5"/>
                <w:sz w:val="20"/>
              </w:rPr>
              <w:t xml:space="preserve"> </w:t>
            </w:r>
            <w:r w:rsidRPr="00150EDC">
              <w:rPr>
                <w:sz w:val="20"/>
              </w:rPr>
              <w:t>Tunnel</w:t>
            </w:r>
            <w:r w:rsidRPr="00150EDC">
              <w:rPr>
                <w:spacing w:val="-2"/>
                <w:sz w:val="20"/>
              </w:rPr>
              <w:t xml:space="preserve"> trains</w:t>
            </w:r>
          </w:p>
        </w:tc>
      </w:tr>
      <w:tr w:rsidR="004569EE" w:rsidRPr="007D3144" w14:paraId="3926D1B0" w14:textId="77777777">
        <w:trPr>
          <w:trHeight w:val="255"/>
        </w:trPr>
        <w:tc>
          <w:tcPr>
            <w:tcW w:w="6517" w:type="dxa"/>
          </w:tcPr>
          <w:p w14:paraId="20561F0D" w14:textId="77777777" w:rsidR="004C7180" w:rsidRPr="00150EDC" w:rsidRDefault="00CF0754">
            <w:pPr>
              <w:pStyle w:val="TableParagraph"/>
              <w:spacing w:before="28"/>
              <w:rPr>
                <w:sz w:val="20"/>
              </w:rPr>
            </w:pPr>
            <w:r w:rsidRPr="00150EDC">
              <w:rPr>
                <w:sz w:val="20"/>
              </w:rPr>
              <w:t>Channel</w:t>
            </w:r>
            <w:r w:rsidRPr="00150EDC">
              <w:rPr>
                <w:spacing w:val="-2"/>
                <w:sz w:val="20"/>
              </w:rPr>
              <w:t xml:space="preserve"> </w:t>
            </w:r>
            <w:r w:rsidRPr="00150EDC">
              <w:rPr>
                <w:sz w:val="20"/>
              </w:rPr>
              <w:t>Tunnel</w:t>
            </w:r>
            <w:r w:rsidRPr="00150EDC">
              <w:rPr>
                <w:spacing w:val="-6"/>
                <w:sz w:val="20"/>
              </w:rPr>
              <w:t xml:space="preserve"> </w:t>
            </w:r>
            <w:r w:rsidRPr="00150EDC">
              <w:rPr>
                <w:sz w:val="20"/>
              </w:rPr>
              <w:t>(Security)</w:t>
            </w:r>
            <w:r w:rsidRPr="00150EDC">
              <w:rPr>
                <w:spacing w:val="-7"/>
                <w:sz w:val="20"/>
              </w:rPr>
              <w:t xml:space="preserve"> </w:t>
            </w:r>
            <w:r w:rsidRPr="00150EDC">
              <w:rPr>
                <w:sz w:val="20"/>
              </w:rPr>
              <w:t>Order</w:t>
            </w:r>
            <w:r w:rsidRPr="00150EDC">
              <w:rPr>
                <w:spacing w:val="-7"/>
                <w:sz w:val="20"/>
              </w:rPr>
              <w:t xml:space="preserve"> </w:t>
            </w:r>
            <w:r w:rsidRPr="00150EDC">
              <w:rPr>
                <w:sz w:val="20"/>
              </w:rPr>
              <w:t>1994,</w:t>
            </w:r>
            <w:r w:rsidRPr="00150EDC">
              <w:rPr>
                <w:spacing w:val="-8"/>
                <w:sz w:val="20"/>
              </w:rPr>
              <w:t xml:space="preserve"> </w:t>
            </w:r>
            <w:r w:rsidRPr="00150EDC">
              <w:rPr>
                <w:sz w:val="20"/>
              </w:rPr>
              <w:t>Art</w:t>
            </w:r>
            <w:r w:rsidRPr="00150EDC">
              <w:rPr>
                <w:spacing w:val="-1"/>
                <w:sz w:val="20"/>
              </w:rPr>
              <w:t xml:space="preserve"> </w:t>
            </w:r>
            <w:r w:rsidRPr="00150EDC">
              <w:rPr>
                <w:spacing w:val="-10"/>
                <w:sz w:val="20"/>
              </w:rPr>
              <w:t>5</w:t>
            </w:r>
          </w:p>
        </w:tc>
        <w:tc>
          <w:tcPr>
            <w:tcW w:w="7427" w:type="dxa"/>
          </w:tcPr>
          <w:p w14:paraId="22F20141" w14:textId="77777777" w:rsidR="004C7180" w:rsidRPr="00150EDC" w:rsidRDefault="00CF0754">
            <w:pPr>
              <w:pStyle w:val="TableParagraph"/>
              <w:spacing w:before="28"/>
              <w:rPr>
                <w:sz w:val="20"/>
              </w:rPr>
            </w:pPr>
            <w:r w:rsidRPr="00150EDC">
              <w:rPr>
                <w:sz w:val="20"/>
              </w:rPr>
              <w:t>Seizing</w:t>
            </w:r>
            <w:r w:rsidRPr="00150EDC">
              <w:rPr>
                <w:spacing w:val="-6"/>
                <w:sz w:val="20"/>
              </w:rPr>
              <w:t xml:space="preserve"> </w:t>
            </w:r>
            <w:r w:rsidRPr="00150EDC">
              <w:rPr>
                <w:sz w:val="20"/>
              </w:rPr>
              <w:t>or</w:t>
            </w:r>
            <w:r w:rsidRPr="00150EDC">
              <w:rPr>
                <w:spacing w:val="-6"/>
                <w:sz w:val="20"/>
              </w:rPr>
              <w:t xml:space="preserve"> </w:t>
            </w:r>
            <w:r w:rsidRPr="00150EDC">
              <w:rPr>
                <w:sz w:val="20"/>
              </w:rPr>
              <w:t>exercising</w:t>
            </w:r>
            <w:r w:rsidRPr="00150EDC">
              <w:rPr>
                <w:spacing w:val="-5"/>
                <w:sz w:val="20"/>
              </w:rPr>
              <w:t xml:space="preserve"> </w:t>
            </w:r>
            <w:r w:rsidRPr="00150EDC">
              <w:rPr>
                <w:sz w:val="20"/>
              </w:rPr>
              <w:t>control of</w:t>
            </w:r>
            <w:r w:rsidRPr="00150EDC">
              <w:rPr>
                <w:spacing w:val="-6"/>
                <w:sz w:val="20"/>
              </w:rPr>
              <w:t xml:space="preserve"> </w:t>
            </w:r>
            <w:r w:rsidRPr="00150EDC">
              <w:rPr>
                <w:sz w:val="20"/>
              </w:rPr>
              <w:t>the</w:t>
            </w:r>
            <w:r w:rsidRPr="00150EDC">
              <w:rPr>
                <w:spacing w:val="-1"/>
                <w:sz w:val="20"/>
              </w:rPr>
              <w:t xml:space="preserve"> </w:t>
            </w:r>
            <w:r w:rsidRPr="00150EDC">
              <w:rPr>
                <w:sz w:val="20"/>
              </w:rPr>
              <w:t>tunnel</w:t>
            </w:r>
            <w:r w:rsidRPr="00150EDC">
              <w:rPr>
                <w:spacing w:val="-3"/>
                <w:sz w:val="20"/>
              </w:rPr>
              <w:t xml:space="preserve"> </w:t>
            </w:r>
            <w:r w:rsidRPr="00150EDC">
              <w:rPr>
                <w:spacing w:val="-2"/>
                <w:sz w:val="20"/>
              </w:rPr>
              <w:t>system</w:t>
            </w:r>
          </w:p>
        </w:tc>
      </w:tr>
      <w:tr w:rsidR="004569EE" w:rsidRPr="007D3144" w14:paraId="1A763231" w14:textId="77777777">
        <w:trPr>
          <w:trHeight w:val="460"/>
        </w:trPr>
        <w:tc>
          <w:tcPr>
            <w:tcW w:w="6517" w:type="dxa"/>
          </w:tcPr>
          <w:p w14:paraId="214713D2" w14:textId="77777777" w:rsidR="004C7180" w:rsidRPr="00150EDC" w:rsidRDefault="004C7180">
            <w:pPr>
              <w:pStyle w:val="TableParagraph"/>
              <w:spacing w:before="2" w:line="240" w:lineRule="auto"/>
              <w:ind w:left="0"/>
              <w:rPr>
                <w:sz w:val="20"/>
              </w:rPr>
            </w:pPr>
          </w:p>
          <w:p w14:paraId="3ED032AF" w14:textId="77777777" w:rsidR="004C7180" w:rsidRPr="00150EDC" w:rsidRDefault="00CF0754">
            <w:pPr>
              <w:pStyle w:val="TableParagraph"/>
              <w:spacing w:before="0"/>
              <w:rPr>
                <w:sz w:val="20"/>
              </w:rPr>
            </w:pPr>
            <w:r w:rsidRPr="00150EDC">
              <w:rPr>
                <w:sz w:val="20"/>
              </w:rPr>
              <w:t>Channel</w:t>
            </w:r>
            <w:r w:rsidRPr="00150EDC">
              <w:rPr>
                <w:spacing w:val="-2"/>
                <w:sz w:val="20"/>
              </w:rPr>
              <w:t xml:space="preserve"> </w:t>
            </w:r>
            <w:r w:rsidRPr="00150EDC">
              <w:rPr>
                <w:sz w:val="20"/>
              </w:rPr>
              <w:t>Tunnel</w:t>
            </w:r>
            <w:r w:rsidRPr="00150EDC">
              <w:rPr>
                <w:spacing w:val="-6"/>
                <w:sz w:val="20"/>
              </w:rPr>
              <w:t xml:space="preserve"> </w:t>
            </w:r>
            <w:r w:rsidRPr="00150EDC">
              <w:rPr>
                <w:sz w:val="20"/>
              </w:rPr>
              <w:t>(Security)</w:t>
            </w:r>
            <w:r w:rsidRPr="00150EDC">
              <w:rPr>
                <w:spacing w:val="-7"/>
                <w:sz w:val="20"/>
              </w:rPr>
              <w:t xml:space="preserve"> </w:t>
            </w:r>
            <w:r w:rsidRPr="00150EDC">
              <w:rPr>
                <w:sz w:val="20"/>
              </w:rPr>
              <w:t>Order</w:t>
            </w:r>
            <w:r w:rsidRPr="00150EDC">
              <w:rPr>
                <w:spacing w:val="-7"/>
                <w:sz w:val="20"/>
              </w:rPr>
              <w:t xml:space="preserve"> </w:t>
            </w:r>
            <w:r w:rsidRPr="00150EDC">
              <w:rPr>
                <w:sz w:val="20"/>
              </w:rPr>
              <w:t>1994,</w:t>
            </w:r>
            <w:r w:rsidRPr="00150EDC">
              <w:rPr>
                <w:spacing w:val="-8"/>
                <w:sz w:val="20"/>
              </w:rPr>
              <w:t xml:space="preserve"> </w:t>
            </w:r>
            <w:r w:rsidRPr="00150EDC">
              <w:rPr>
                <w:sz w:val="20"/>
              </w:rPr>
              <w:t>Art</w:t>
            </w:r>
            <w:r w:rsidRPr="00150EDC">
              <w:rPr>
                <w:spacing w:val="-1"/>
                <w:sz w:val="20"/>
              </w:rPr>
              <w:t xml:space="preserve"> </w:t>
            </w:r>
            <w:r w:rsidRPr="00150EDC">
              <w:rPr>
                <w:spacing w:val="-10"/>
                <w:sz w:val="20"/>
              </w:rPr>
              <w:t>6</w:t>
            </w:r>
          </w:p>
        </w:tc>
        <w:tc>
          <w:tcPr>
            <w:tcW w:w="7427" w:type="dxa"/>
          </w:tcPr>
          <w:p w14:paraId="543543C8" w14:textId="77777777" w:rsidR="004C7180" w:rsidRPr="00150EDC" w:rsidRDefault="00CF0754">
            <w:pPr>
              <w:pStyle w:val="TableParagraph"/>
              <w:spacing w:before="0" w:line="230" w:lineRule="atLeast"/>
              <w:ind w:right="186"/>
              <w:rPr>
                <w:sz w:val="20"/>
              </w:rPr>
            </w:pPr>
            <w:r w:rsidRPr="00150EDC">
              <w:rPr>
                <w:sz w:val="20"/>
              </w:rPr>
              <w:t>Destroying</w:t>
            </w:r>
            <w:r w:rsidRPr="00150EDC">
              <w:rPr>
                <w:spacing w:val="-1"/>
                <w:sz w:val="20"/>
              </w:rPr>
              <w:t xml:space="preserve"> </w:t>
            </w:r>
            <w:r w:rsidRPr="00150EDC">
              <w:rPr>
                <w:sz w:val="20"/>
              </w:rPr>
              <w:t>a</w:t>
            </w:r>
            <w:r w:rsidRPr="00150EDC">
              <w:rPr>
                <w:spacing w:val="-5"/>
                <w:sz w:val="20"/>
              </w:rPr>
              <w:t xml:space="preserve"> </w:t>
            </w:r>
            <w:r w:rsidRPr="00150EDC">
              <w:rPr>
                <w:sz w:val="20"/>
              </w:rPr>
              <w:t>Channel</w:t>
            </w:r>
            <w:r w:rsidRPr="00150EDC">
              <w:rPr>
                <w:spacing w:val="-4"/>
                <w:sz w:val="20"/>
              </w:rPr>
              <w:t xml:space="preserve"> </w:t>
            </w:r>
            <w:r w:rsidRPr="00150EDC">
              <w:rPr>
                <w:sz w:val="20"/>
              </w:rPr>
              <w:t>Tunnel</w:t>
            </w:r>
            <w:r w:rsidRPr="00150EDC">
              <w:rPr>
                <w:spacing w:val="-4"/>
                <w:sz w:val="20"/>
              </w:rPr>
              <w:t xml:space="preserve"> </w:t>
            </w:r>
            <w:r w:rsidRPr="00150EDC">
              <w:rPr>
                <w:sz w:val="20"/>
              </w:rPr>
              <w:t>train</w:t>
            </w:r>
            <w:r w:rsidRPr="00150EDC">
              <w:rPr>
                <w:spacing w:val="-5"/>
                <w:sz w:val="20"/>
              </w:rPr>
              <w:t xml:space="preserve"> </w:t>
            </w:r>
            <w:r w:rsidRPr="00150EDC">
              <w:rPr>
                <w:sz w:val="20"/>
              </w:rPr>
              <w:t>or</w:t>
            </w:r>
            <w:r w:rsidRPr="00150EDC">
              <w:rPr>
                <w:spacing w:val="-6"/>
                <w:sz w:val="20"/>
              </w:rPr>
              <w:t xml:space="preserve"> </w:t>
            </w:r>
            <w:r w:rsidRPr="00150EDC">
              <w:rPr>
                <w:sz w:val="20"/>
              </w:rPr>
              <w:t>the</w:t>
            </w:r>
            <w:r w:rsidRPr="00150EDC">
              <w:rPr>
                <w:spacing w:val="-1"/>
                <w:sz w:val="20"/>
              </w:rPr>
              <w:t xml:space="preserve"> </w:t>
            </w:r>
            <w:r w:rsidRPr="00150EDC">
              <w:rPr>
                <w:sz w:val="20"/>
              </w:rPr>
              <w:t>tunnel</w:t>
            </w:r>
            <w:r w:rsidRPr="00150EDC">
              <w:rPr>
                <w:spacing w:val="-4"/>
                <w:sz w:val="20"/>
              </w:rPr>
              <w:t xml:space="preserve"> </w:t>
            </w:r>
            <w:r w:rsidRPr="00150EDC">
              <w:rPr>
                <w:sz w:val="20"/>
              </w:rPr>
              <w:t>system</w:t>
            </w:r>
            <w:r w:rsidRPr="00150EDC">
              <w:rPr>
                <w:spacing w:val="-2"/>
                <w:sz w:val="20"/>
              </w:rPr>
              <w:t xml:space="preserve"> </w:t>
            </w:r>
            <w:r w:rsidRPr="00150EDC">
              <w:rPr>
                <w:sz w:val="20"/>
              </w:rPr>
              <w:t>or</w:t>
            </w:r>
            <w:r w:rsidRPr="00150EDC">
              <w:rPr>
                <w:spacing w:val="-6"/>
                <w:sz w:val="20"/>
              </w:rPr>
              <w:t xml:space="preserve"> </w:t>
            </w:r>
            <w:r w:rsidRPr="00150EDC">
              <w:rPr>
                <w:sz w:val="20"/>
              </w:rPr>
              <w:t>endangering</w:t>
            </w:r>
            <w:r w:rsidRPr="00150EDC">
              <w:rPr>
                <w:spacing w:val="-6"/>
                <w:sz w:val="20"/>
              </w:rPr>
              <w:t xml:space="preserve"> </w:t>
            </w:r>
            <w:r w:rsidRPr="00150EDC">
              <w:rPr>
                <w:sz w:val="20"/>
              </w:rPr>
              <w:t xml:space="preserve">their </w:t>
            </w:r>
            <w:r w:rsidRPr="00150EDC">
              <w:rPr>
                <w:spacing w:val="-2"/>
                <w:sz w:val="20"/>
              </w:rPr>
              <w:t>safety</w:t>
            </w:r>
          </w:p>
        </w:tc>
      </w:tr>
      <w:tr w:rsidR="004569EE" w:rsidRPr="007D3144" w14:paraId="1DBFDF30" w14:textId="77777777">
        <w:trPr>
          <w:trHeight w:val="455"/>
        </w:trPr>
        <w:tc>
          <w:tcPr>
            <w:tcW w:w="6517" w:type="dxa"/>
            <w:tcBorders>
              <w:bottom w:val="single" w:sz="12" w:space="0" w:color="000000"/>
            </w:tcBorders>
          </w:tcPr>
          <w:p w14:paraId="43702FCF" w14:textId="77777777" w:rsidR="004C7180" w:rsidRPr="00150EDC" w:rsidRDefault="004C7180">
            <w:pPr>
              <w:pStyle w:val="TableParagraph"/>
              <w:spacing w:before="2" w:line="240" w:lineRule="auto"/>
              <w:ind w:left="0"/>
              <w:rPr>
                <w:sz w:val="20"/>
              </w:rPr>
            </w:pPr>
          </w:p>
          <w:p w14:paraId="41E6DFE8" w14:textId="77777777" w:rsidR="004C7180" w:rsidRPr="00150EDC" w:rsidRDefault="00CF0754">
            <w:pPr>
              <w:pStyle w:val="TableParagraph"/>
              <w:spacing w:before="0" w:line="203" w:lineRule="exact"/>
              <w:rPr>
                <w:sz w:val="20"/>
              </w:rPr>
            </w:pPr>
            <w:r w:rsidRPr="00150EDC">
              <w:rPr>
                <w:sz w:val="20"/>
              </w:rPr>
              <w:t>Channel</w:t>
            </w:r>
            <w:r w:rsidRPr="00150EDC">
              <w:rPr>
                <w:spacing w:val="-2"/>
                <w:sz w:val="20"/>
              </w:rPr>
              <w:t xml:space="preserve"> </w:t>
            </w:r>
            <w:r w:rsidRPr="00150EDC">
              <w:rPr>
                <w:sz w:val="20"/>
              </w:rPr>
              <w:t>Tunnel</w:t>
            </w:r>
            <w:r w:rsidRPr="00150EDC">
              <w:rPr>
                <w:spacing w:val="-6"/>
                <w:sz w:val="20"/>
              </w:rPr>
              <w:t xml:space="preserve"> </w:t>
            </w:r>
            <w:r w:rsidRPr="00150EDC">
              <w:rPr>
                <w:sz w:val="20"/>
              </w:rPr>
              <w:t>(Security)</w:t>
            </w:r>
            <w:r w:rsidRPr="00150EDC">
              <w:rPr>
                <w:spacing w:val="-7"/>
                <w:sz w:val="20"/>
              </w:rPr>
              <w:t xml:space="preserve"> </w:t>
            </w:r>
            <w:r w:rsidRPr="00150EDC">
              <w:rPr>
                <w:sz w:val="20"/>
              </w:rPr>
              <w:t>Order</w:t>
            </w:r>
            <w:r w:rsidRPr="00150EDC">
              <w:rPr>
                <w:spacing w:val="-7"/>
                <w:sz w:val="20"/>
              </w:rPr>
              <w:t xml:space="preserve"> </w:t>
            </w:r>
            <w:r w:rsidRPr="00150EDC">
              <w:rPr>
                <w:sz w:val="20"/>
              </w:rPr>
              <w:t>1994,</w:t>
            </w:r>
            <w:r w:rsidRPr="00150EDC">
              <w:rPr>
                <w:spacing w:val="-8"/>
                <w:sz w:val="20"/>
              </w:rPr>
              <w:t xml:space="preserve"> </w:t>
            </w:r>
            <w:r w:rsidRPr="00150EDC">
              <w:rPr>
                <w:sz w:val="20"/>
              </w:rPr>
              <w:t>Art</w:t>
            </w:r>
            <w:r w:rsidRPr="00150EDC">
              <w:rPr>
                <w:spacing w:val="-1"/>
                <w:sz w:val="20"/>
              </w:rPr>
              <w:t xml:space="preserve"> </w:t>
            </w:r>
            <w:r w:rsidRPr="00150EDC">
              <w:rPr>
                <w:spacing w:val="-10"/>
                <w:sz w:val="20"/>
              </w:rPr>
              <w:t>7</w:t>
            </w:r>
          </w:p>
        </w:tc>
        <w:tc>
          <w:tcPr>
            <w:tcW w:w="7427" w:type="dxa"/>
            <w:tcBorders>
              <w:bottom w:val="single" w:sz="12" w:space="0" w:color="000000"/>
            </w:tcBorders>
          </w:tcPr>
          <w:p w14:paraId="51289A9A" w14:textId="77777777" w:rsidR="004C7180" w:rsidRPr="00150EDC" w:rsidRDefault="00CF0754">
            <w:pPr>
              <w:pStyle w:val="TableParagraph"/>
              <w:spacing w:before="0" w:line="230" w:lineRule="atLeast"/>
              <w:rPr>
                <w:sz w:val="20"/>
              </w:rPr>
            </w:pPr>
            <w:r w:rsidRPr="00150EDC">
              <w:rPr>
                <w:sz w:val="20"/>
              </w:rPr>
              <w:t>Other</w:t>
            </w:r>
            <w:r w:rsidRPr="00150EDC">
              <w:rPr>
                <w:spacing w:val="-5"/>
                <w:sz w:val="20"/>
              </w:rPr>
              <w:t xml:space="preserve"> </w:t>
            </w:r>
            <w:r w:rsidRPr="00150EDC">
              <w:rPr>
                <w:sz w:val="20"/>
              </w:rPr>
              <w:t>acts</w:t>
            </w:r>
            <w:r w:rsidRPr="00150EDC">
              <w:rPr>
                <w:spacing w:val="-4"/>
                <w:sz w:val="20"/>
              </w:rPr>
              <w:t xml:space="preserve"> </w:t>
            </w:r>
            <w:r w:rsidRPr="00150EDC">
              <w:rPr>
                <w:sz w:val="20"/>
              </w:rPr>
              <w:t>endangering</w:t>
            </w:r>
            <w:r w:rsidRPr="00150EDC">
              <w:rPr>
                <w:spacing w:val="-5"/>
                <w:sz w:val="20"/>
              </w:rPr>
              <w:t xml:space="preserve"> </w:t>
            </w:r>
            <w:r w:rsidRPr="00150EDC">
              <w:rPr>
                <w:sz w:val="20"/>
              </w:rPr>
              <w:t>or</w:t>
            </w:r>
            <w:r w:rsidRPr="00150EDC">
              <w:rPr>
                <w:spacing w:val="-5"/>
                <w:sz w:val="20"/>
              </w:rPr>
              <w:t xml:space="preserve"> </w:t>
            </w:r>
            <w:r w:rsidRPr="00150EDC">
              <w:rPr>
                <w:sz w:val="20"/>
              </w:rPr>
              <w:t>likely</w:t>
            </w:r>
            <w:r w:rsidRPr="00150EDC">
              <w:rPr>
                <w:spacing w:val="-3"/>
                <w:sz w:val="20"/>
              </w:rPr>
              <w:t xml:space="preserve"> </w:t>
            </w:r>
            <w:r w:rsidRPr="00150EDC">
              <w:rPr>
                <w:sz w:val="20"/>
              </w:rPr>
              <w:t>to endanger</w:t>
            </w:r>
            <w:r w:rsidRPr="00150EDC">
              <w:rPr>
                <w:spacing w:val="-1"/>
                <w:sz w:val="20"/>
              </w:rPr>
              <w:t xml:space="preserve"> </w:t>
            </w:r>
            <w:r w:rsidRPr="00150EDC">
              <w:rPr>
                <w:sz w:val="20"/>
              </w:rPr>
              <w:t>the</w:t>
            </w:r>
            <w:r w:rsidRPr="00150EDC">
              <w:rPr>
                <w:spacing w:val="-5"/>
                <w:sz w:val="20"/>
              </w:rPr>
              <w:t xml:space="preserve"> </w:t>
            </w:r>
            <w:r w:rsidRPr="00150EDC">
              <w:rPr>
                <w:sz w:val="20"/>
              </w:rPr>
              <w:t>safe</w:t>
            </w:r>
            <w:r w:rsidRPr="00150EDC">
              <w:rPr>
                <w:spacing w:val="-5"/>
                <w:sz w:val="20"/>
              </w:rPr>
              <w:t xml:space="preserve"> </w:t>
            </w:r>
            <w:r w:rsidRPr="00150EDC">
              <w:rPr>
                <w:sz w:val="20"/>
              </w:rPr>
              <w:t>operation</w:t>
            </w:r>
            <w:r w:rsidRPr="00150EDC">
              <w:rPr>
                <w:spacing w:val="-5"/>
                <w:sz w:val="20"/>
              </w:rPr>
              <w:t xml:space="preserve"> </w:t>
            </w:r>
            <w:r w:rsidRPr="00150EDC">
              <w:rPr>
                <w:sz w:val="20"/>
              </w:rPr>
              <w:t>of</w:t>
            </w:r>
            <w:r w:rsidRPr="00150EDC">
              <w:rPr>
                <w:spacing w:val="-5"/>
                <w:sz w:val="20"/>
              </w:rPr>
              <w:t xml:space="preserve"> </w:t>
            </w:r>
            <w:r w:rsidRPr="00150EDC">
              <w:rPr>
                <w:sz w:val="20"/>
              </w:rPr>
              <w:t>a</w:t>
            </w:r>
            <w:r w:rsidRPr="00150EDC">
              <w:rPr>
                <w:spacing w:val="-5"/>
                <w:sz w:val="20"/>
              </w:rPr>
              <w:t xml:space="preserve"> </w:t>
            </w:r>
            <w:r w:rsidRPr="00150EDC">
              <w:rPr>
                <w:sz w:val="20"/>
              </w:rPr>
              <w:t>Channel Tunnel train or the safety of the tunnel system</w:t>
            </w:r>
          </w:p>
        </w:tc>
      </w:tr>
      <w:tr w:rsidR="004569EE" w:rsidRPr="007D3144" w14:paraId="160A20E8" w14:textId="77777777">
        <w:trPr>
          <w:trHeight w:val="245"/>
        </w:trPr>
        <w:tc>
          <w:tcPr>
            <w:tcW w:w="6517" w:type="dxa"/>
            <w:tcBorders>
              <w:top w:val="single" w:sz="12" w:space="0" w:color="000000"/>
            </w:tcBorders>
          </w:tcPr>
          <w:p w14:paraId="64E1F4B9" w14:textId="77777777" w:rsidR="004C7180" w:rsidRPr="00150EDC" w:rsidRDefault="00CF0754">
            <w:pPr>
              <w:pStyle w:val="TableParagraph"/>
              <w:spacing w:before="18"/>
              <w:rPr>
                <w:sz w:val="20"/>
              </w:rPr>
            </w:pPr>
            <w:r w:rsidRPr="00150EDC">
              <w:rPr>
                <w:sz w:val="20"/>
              </w:rPr>
              <w:t>Channel</w:t>
            </w:r>
            <w:r w:rsidRPr="00150EDC">
              <w:rPr>
                <w:spacing w:val="-2"/>
                <w:sz w:val="20"/>
              </w:rPr>
              <w:t xml:space="preserve"> </w:t>
            </w:r>
            <w:r w:rsidRPr="00150EDC">
              <w:rPr>
                <w:sz w:val="20"/>
              </w:rPr>
              <w:t>Tunnel</w:t>
            </w:r>
            <w:r w:rsidRPr="00150EDC">
              <w:rPr>
                <w:spacing w:val="-5"/>
                <w:sz w:val="20"/>
              </w:rPr>
              <w:t xml:space="preserve"> </w:t>
            </w:r>
            <w:r w:rsidRPr="00150EDC">
              <w:rPr>
                <w:sz w:val="20"/>
              </w:rPr>
              <w:t>(Security)</w:t>
            </w:r>
            <w:r w:rsidRPr="00150EDC">
              <w:rPr>
                <w:spacing w:val="-7"/>
                <w:sz w:val="20"/>
              </w:rPr>
              <w:t xml:space="preserve"> </w:t>
            </w:r>
            <w:r w:rsidRPr="00150EDC">
              <w:rPr>
                <w:sz w:val="20"/>
              </w:rPr>
              <w:t>Order</w:t>
            </w:r>
            <w:r w:rsidRPr="00150EDC">
              <w:rPr>
                <w:spacing w:val="-7"/>
                <w:sz w:val="20"/>
              </w:rPr>
              <w:t xml:space="preserve"> </w:t>
            </w:r>
            <w:r w:rsidRPr="00150EDC">
              <w:rPr>
                <w:sz w:val="20"/>
              </w:rPr>
              <w:t>1994,</w:t>
            </w:r>
            <w:r w:rsidRPr="00150EDC">
              <w:rPr>
                <w:spacing w:val="-8"/>
                <w:sz w:val="20"/>
              </w:rPr>
              <w:t xml:space="preserve"> </w:t>
            </w:r>
            <w:r w:rsidRPr="00150EDC">
              <w:rPr>
                <w:sz w:val="20"/>
              </w:rPr>
              <w:t>Art</w:t>
            </w:r>
            <w:r w:rsidRPr="00150EDC">
              <w:rPr>
                <w:spacing w:val="-1"/>
                <w:sz w:val="20"/>
              </w:rPr>
              <w:t xml:space="preserve"> </w:t>
            </w:r>
            <w:r w:rsidRPr="00150EDC">
              <w:rPr>
                <w:spacing w:val="-10"/>
                <w:sz w:val="20"/>
              </w:rPr>
              <w:t>8</w:t>
            </w:r>
          </w:p>
        </w:tc>
        <w:tc>
          <w:tcPr>
            <w:tcW w:w="7427" w:type="dxa"/>
            <w:tcBorders>
              <w:top w:val="single" w:sz="12" w:space="0" w:color="000000"/>
            </w:tcBorders>
          </w:tcPr>
          <w:p w14:paraId="4B765791" w14:textId="77777777" w:rsidR="004C7180" w:rsidRPr="00150EDC" w:rsidRDefault="00CF0754">
            <w:pPr>
              <w:pStyle w:val="TableParagraph"/>
              <w:spacing w:before="18"/>
              <w:rPr>
                <w:sz w:val="20"/>
              </w:rPr>
            </w:pPr>
            <w:r w:rsidRPr="00150EDC">
              <w:rPr>
                <w:sz w:val="20"/>
              </w:rPr>
              <w:t>Offences</w:t>
            </w:r>
            <w:r w:rsidRPr="00150EDC">
              <w:rPr>
                <w:spacing w:val="-8"/>
                <w:sz w:val="20"/>
              </w:rPr>
              <w:t xml:space="preserve"> </w:t>
            </w:r>
            <w:r w:rsidRPr="00150EDC">
              <w:rPr>
                <w:sz w:val="20"/>
              </w:rPr>
              <w:t>involving</w:t>
            </w:r>
            <w:r w:rsidRPr="00150EDC">
              <w:rPr>
                <w:spacing w:val="-7"/>
                <w:sz w:val="20"/>
              </w:rPr>
              <w:t xml:space="preserve"> </w:t>
            </w:r>
            <w:r w:rsidRPr="00150EDC">
              <w:rPr>
                <w:spacing w:val="-2"/>
                <w:sz w:val="20"/>
              </w:rPr>
              <w:t>threats</w:t>
            </w:r>
          </w:p>
        </w:tc>
      </w:tr>
      <w:tr w:rsidR="004569EE" w:rsidRPr="007D3144" w14:paraId="102A31A4" w14:textId="77777777">
        <w:trPr>
          <w:trHeight w:val="255"/>
        </w:trPr>
        <w:tc>
          <w:tcPr>
            <w:tcW w:w="6517" w:type="dxa"/>
          </w:tcPr>
          <w:p w14:paraId="1D9D25D9" w14:textId="77777777" w:rsidR="004C7180" w:rsidRPr="00150EDC" w:rsidRDefault="00CF0754">
            <w:pPr>
              <w:pStyle w:val="TableParagraph"/>
              <w:rPr>
                <w:sz w:val="20"/>
              </w:rPr>
            </w:pPr>
            <w:r w:rsidRPr="00150EDC">
              <w:rPr>
                <w:sz w:val="20"/>
              </w:rPr>
              <w:t>Child</w:t>
            </w:r>
            <w:r w:rsidRPr="00150EDC">
              <w:rPr>
                <w:spacing w:val="-8"/>
                <w:sz w:val="20"/>
              </w:rPr>
              <w:t xml:space="preserve"> </w:t>
            </w:r>
            <w:r w:rsidRPr="00150EDC">
              <w:rPr>
                <w:sz w:val="20"/>
              </w:rPr>
              <w:t>Abduction</w:t>
            </w:r>
            <w:r w:rsidRPr="00150EDC">
              <w:rPr>
                <w:spacing w:val="-2"/>
                <w:sz w:val="20"/>
              </w:rPr>
              <w:t xml:space="preserve"> </w:t>
            </w:r>
            <w:r w:rsidRPr="00150EDC">
              <w:rPr>
                <w:sz w:val="20"/>
              </w:rPr>
              <w:t>(Northern</w:t>
            </w:r>
            <w:r w:rsidRPr="00150EDC">
              <w:rPr>
                <w:spacing w:val="-8"/>
                <w:sz w:val="20"/>
              </w:rPr>
              <w:t xml:space="preserve"> </w:t>
            </w:r>
            <w:r w:rsidRPr="00150EDC">
              <w:rPr>
                <w:sz w:val="20"/>
              </w:rPr>
              <w:t>Ireland)</w:t>
            </w:r>
            <w:r w:rsidRPr="00150EDC">
              <w:rPr>
                <w:spacing w:val="-7"/>
                <w:sz w:val="20"/>
              </w:rPr>
              <w:t xml:space="preserve"> </w:t>
            </w:r>
            <w:r w:rsidRPr="00150EDC">
              <w:rPr>
                <w:sz w:val="20"/>
              </w:rPr>
              <w:t>Order</w:t>
            </w:r>
            <w:r w:rsidRPr="00150EDC">
              <w:rPr>
                <w:spacing w:val="-3"/>
                <w:sz w:val="20"/>
              </w:rPr>
              <w:t xml:space="preserve"> </w:t>
            </w:r>
            <w:r w:rsidRPr="00150EDC">
              <w:rPr>
                <w:sz w:val="20"/>
              </w:rPr>
              <w:t>1985,</w:t>
            </w:r>
            <w:r w:rsidRPr="00150EDC">
              <w:rPr>
                <w:spacing w:val="-8"/>
                <w:sz w:val="20"/>
              </w:rPr>
              <w:t xml:space="preserve"> </w:t>
            </w:r>
            <w:r w:rsidRPr="00150EDC">
              <w:rPr>
                <w:sz w:val="20"/>
              </w:rPr>
              <w:t>Art</w:t>
            </w:r>
            <w:r w:rsidRPr="00150EDC">
              <w:rPr>
                <w:spacing w:val="-7"/>
                <w:sz w:val="20"/>
              </w:rPr>
              <w:t xml:space="preserve"> </w:t>
            </w:r>
            <w:r w:rsidRPr="00150EDC">
              <w:rPr>
                <w:spacing w:val="-10"/>
                <w:sz w:val="20"/>
              </w:rPr>
              <w:t>3</w:t>
            </w:r>
          </w:p>
        </w:tc>
        <w:tc>
          <w:tcPr>
            <w:tcW w:w="7427" w:type="dxa"/>
          </w:tcPr>
          <w:p w14:paraId="30C1A6D6" w14:textId="77777777" w:rsidR="004C7180" w:rsidRPr="00150EDC" w:rsidRDefault="00CF0754">
            <w:pPr>
              <w:pStyle w:val="TableParagraph"/>
              <w:rPr>
                <w:sz w:val="20"/>
              </w:rPr>
            </w:pPr>
            <w:r w:rsidRPr="00150EDC">
              <w:rPr>
                <w:sz w:val="20"/>
              </w:rPr>
              <w:t>Abduction</w:t>
            </w:r>
            <w:r w:rsidRPr="00150EDC">
              <w:rPr>
                <w:spacing w:val="-5"/>
                <w:sz w:val="20"/>
              </w:rPr>
              <w:t xml:space="preserve"> </w:t>
            </w:r>
            <w:r w:rsidRPr="00150EDC">
              <w:rPr>
                <w:sz w:val="20"/>
              </w:rPr>
              <w:t>of</w:t>
            </w:r>
            <w:r w:rsidRPr="00150EDC">
              <w:rPr>
                <w:spacing w:val="-4"/>
                <w:sz w:val="20"/>
              </w:rPr>
              <w:t xml:space="preserve"> </w:t>
            </w:r>
            <w:r w:rsidRPr="00150EDC">
              <w:rPr>
                <w:sz w:val="20"/>
              </w:rPr>
              <w:t>child</w:t>
            </w:r>
            <w:r w:rsidRPr="00150EDC">
              <w:rPr>
                <w:spacing w:val="-4"/>
                <w:sz w:val="20"/>
              </w:rPr>
              <w:t xml:space="preserve"> </w:t>
            </w:r>
            <w:r w:rsidRPr="00150EDC">
              <w:rPr>
                <w:sz w:val="20"/>
              </w:rPr>
              <w:t>by</w:t>
            </w:r>
            <w:r w:rsidRPr="00150EDC">
              <w:rPr>
                <w:spacing w:val="-3"/>
                <w:sz w:val="20"/>
              </w:rPr>
              <w:t xml:space="preserve"> </w:t>
            </w:r>
            <w:r w:rsidRPr="00150EDC">
              <w:rPr>
                <w:sz w:val="20"/>
              </w:rPr>
              <w:t>parent,</w:t>
            </w:r>
            <w:r w:rsidRPr="00150EDC">
              <w:rPr>
                <w:spacing w:val="-4"/>
                <w:sz w:val="20"/>
              </w:rPr>
              <w:t xml:space="preserve"> </w:t>
            </w:r>
            <w:r w:rsidRPr="00150EDC">
              <w:rPr>
                <w:spacing w:val="-5"/>
                <w:sz w:val="20"/>
              </w:rPr>
              <w:t>etc</w:t>
            </w:r>
          </w:p>
        </w:tc>
      </w:tr>
      <w:tr w:rsidR="004569EE" w:rsidRPr="007D3144" w14:paraId="38328E05" w14:textId="77777777">
        <w:trPr>
          <w:trHeight w:val="255"/>
        </w:trPr>
        <w:tc>
          <w:tcPr>
            <w:tcW w:w="6517" w:type="dxa"/>
          </w:tcPr>
          <w:p w14:paraId="3DBF2882" w14:textId="77777777" w:rsidR="004C7180" w:rsidRPr="00150EDC" w:rsidRDefault="00CF0754">
            <w:pPr>
              <w:pStyle w:val="TableParagraph"/>
              <w:rPr>
                <w:sz w:val="20"/>
              </w:rPr>
            </w:pPr>
            <w:r w:rsidRPr="00150EDC">
              <w:rPr>
                <w:sz w:val="20"/>
              </w:rPr>
              <w:t>Child</w:t>
            </w:r>
            <w:r w:rsidRPr="00150EDC">
              <w:rPr>
                <w:spacing w:val="-8"/>
                <w:sz w:val="20"/>
              </w:rPr>
              <w:t xml:space="preserve"> </w:t>
            </w:r>
            <w:r w:rsidRPr="00150EDC">
              <w:rPr>
                <w:sz w:val="20"/>
              </w:rPr>
              <w:t>Abduction</w:t>
            </w:r>
            <w:r w:rsidRPr="00150EDC">
              <w:rPr>
                <w:spacing w:val="-2"/>
                <w:sz w:val="20"/>
              </w:rPr>
              <w:t xml:space="preserve"> </w:t>
            </w:r>
            <w:r w:rsidRPr="00150EDC">
              <w:rPr>
                <w:sz w:val="20"/>
              </w:rPr>
              <w:t>(Northern</w:t>
            </w:r>
            <w:r w:rsidRPr="00150EDC">
              <w:rPr>
                <w:spacing w:val="-8"/>
                <w:sz w:val="20"/>
              </w:rPr>
              <w:t xml:space="preserve"> </w:t>
            </w:r>
            <w:r w:rsidRPr="00150EDC">
              <w:rPr>
                <w:sz w:val="20"/>
              </w:rPr>
              <w:t>Ireland)</w:t>
            </w:r>
            <w:r w:rsidRPr="00150EDC">
              <w:rPr>
                <w:spacing w:val="-7"/>
                <w:sz w:val="20"/>
              </w:rPr>
              <w:t xml:space="preserve"> </w:t>
            </w:r>
            <w:r w:rsidRPr="00150EDC">
              <w:rPr>
                <w:sz w:val="20"/>
              </w:rPr>
              <w:t>Order</w:t>
            </w:r>
            <w:r w:rsidRPr="00150EDC">
              <w:rPr>
                <w:spacing w:val="-3"/>
                <w:sz w:val="20"/>
              </w:rPr>
              <w:t xml:space="preserve"> </w:t>
            </w:r>
            <w:r w:rsidRPr="00150EDC">
              <w:rPr>
                <w:sz w:val="20"/>
              </w:rPr>
              <w:t>1985,</w:t>
            </w:r>
            <w:r w:rsidRPr="00150EDC">
              <w:rPr>
                <w:spacing w:val="-8"/>
                <w:sz w:val="20"/>
              </w:rPr>
              <w:t xml:space="preserve"> </w:t>
            </w:r>
            <w:r w:rsidRPr="00150EDC">
              <w:rPr>
                <w:sz w:val="20"/>
              </w:rPr>
              <w:t>Art</w:t>
            </w:r>
            <w:r w:rsidRPr="00150EDC">
              <w:rPr>
                <w:spacing w:val="-7"/>
                <w:sz w:val="20"/>
              </w:rPr>
              <w:t xml:space="preserve"> </w:t>
            </w:r>
            <w:r w:rsidRPr="00150EDC">
              <w:rPr>
                <w:spacing w:val="-10"/>
                <w:sz w:val="20"/>
              </w:rPr>
              <w:t>4</w:t>
            </w:r>
          </w:p>
        </w:tc>
        <w:tc>
          <w:tcPr>
            <w:tcW w:w="7427" w:type="dxa"/>
          </w:tcPr>
          <w:p w14:paraId="6981EB73" w14:textId="77777777" w:rsidR="004C7180" w:rsidRPr="00150EDC" w:rsidRDefault="00CF0754">
            <w:pPr>
              <w:pStyle w:val="TableParagraph"/>
              <w:rPr>
                <w:sz w:val="20"/>
              </w:rPr>
            </w:pPr>
            <w:r w:rsidRPr="00150EDC">
              <w:rPr>
                <w:sz w:val="20"/>
              </w:rPr>
              <w:t>Abduction</w:t>
            </w:r>
            <w:r w:rsidRPr="00150EDC">
              <w:rPr>
                <w:spacing w:val="-5"/>
                <w:sz w:val="20"/>
              </w:rPr>
              <w:t xml:space="preserve"> </w:t>
            </w:r>
            <w:r w:rsidRPr="00150EDC">
              <w:rPr>
                <w:sz w:val="20"/>
              </w:rPr>
              <w:t>of</w:t>
            </w:r>
            <w:r w:rsidRPr="00150EDC">
              <w:rPr>
                <w:spacing w:val="-5"/>
                <w:sz w:val="20"/>
              </w:rPr>
              <w:t xml:space="preserve"> </w:t>
            </w:r>
            <w:r w:rsidRPr="00150EDC">
              <w:rPr>
                <w:sz w:val="20"/>
              </w:rPr>
              <w:t>child</w:t>
            </w:r>
            <w:r w:rsidRPr="00150EDC">
              <w:rPr>
                <w:spacing w:val="-4"/>
                <w:sz w:val="20"/>
              </w:rPr>
              <w:t xml:space="preserve"> </w:t>
            </w:r>
            <w:r w:rsidRPr="00150EDC">
              <w:rPr>
                <w:sz w:val="20"/>
              </w:rPr>
              <w:t>by</w:t>
            </w:r>
            <w:r w:rsidRPr="00150EDC">
              <w:rPr>
                <w:spacing w:val="-4"/>
                <w:sz w:val="20"/>
              </w:rPr>
              <w:t xml:space="preserve"> </w:t>
            </w:r>
            <w:r w:rsidRPr="00150EDC">
              <w:rPr>
                <w:sz w:val="20"/>
              </w:rPr>
              <w:t>other</w:t>
            </w:r>
            <w:r w:rsidRPr="00150EDC">
              <w:rPr>
                <w:spacing w:val="1"/>
                <w:sz w:val="20"/>
              </w:rPr>
              <w:t xml:space="preserve"> </w:t>
            </w:r>
            <w:r w:rsidRPr="00150EDC">
              <w:rPr>
                <w:spacing w:val="-2"/>
                <w:sz w:val="20"/>
              </w:rPr>
              <w:t>persons</w:t>
            </w:r>
          </w:p>
        </w:tc>
      </w:tr>
      <w:tr w:rsidR="004569EE" w:rsidRPr="007D3144" w14:paraId="3E8D276D" w14:textId="77777777">
        <w:trPr>
          <w:trHeight w:val="255"/>
        </w:trPr>
        <w:tc>
          <w:tcPr>
            <w:tcW w:w="6517" w:type="dxa"/>
          </w:tcPr>
          <w:p w14:paraId="067F173C" w14:textId="77777777" w:rsidR="004C7180" w:rsidRPr="00150EDC" w:rsidRDefault="00CF0754">
            <w:pPr>
              <w:pStyle w:val="TableParagraph"/>
              <w:rPr>
                <w:sz w:val="20"/>
              </w:rPr>
            </w:pPr>
            <w:r w:rsidRPr="00150EDC">
              <w:rPr>
                <w:sz w:val="20"/>
              </w:rPr>
              <w:t>Child</w:t>
            </w:r>
            <w:r w:rsidRPr="00150EDC">
              <w:rPr>
                <w:spacing w:val="-7"/>
                <w:sz w:val="20"/>
              </w:rPr>
              <w:t xml:space="preserve"> </w:t>
            </w:r>
            <w:r w:rsidRPr="00150EDC">
              <w:rPr>
                <w:sz w:val="20"/>
              </w:rPr>
              <w:t>Abduction</w:t>
            </w:r>
            <w:r w:rsidRPr="00150EDC">
              <w:rPr>
                <w:spacing w:val="-7"/>
                <w:sz w:val="20"/>
              </w:rPr>
              <w:t xml:space="preserve"> </w:t>
            </w:r>
            <w:r w:rsidRPr="00150EDC">
              <w:rPr>
                <w:sz w:val="20"/>
              </w:rPr>
              <w:t>Act</w:t>
            </w:r>
            <w:r w:rsidRPr="00150EDC">
              <w:rPr>
                <w:spacing w:val="-6"/>
                <w:sz w:val="20"/>
              </w:rPr>
              <w:t xml:space="preserve"> </w:t>
            </w:r>
            <w:r w:rsidRPr="00150EDC">
              <w:rPr>
                <w:sz w:val="20"/>
              </w:rPr>
              <w:t>1984,</w:t>
            </w:r>
            <w:r w:rsidRPr="00150EDC">
              <w:rPr>
                <w:spacing w:val="-7"/>
                <w:sz w:val="20"/>
              </w:rPr>
              <w:t xml:space="preserve"> </w:t>
            </w:r>
            <w:r w:rsidRPr="00150EDC">
              <w:rPr>
                <w:spacing w:val="-5"/>
                <w:sz w:val="20"/>
              </w:rPr>
              <w:t>s1</w:t>
            </w:r>
          </w:p>
        </w:tc>
        <w:tc>
          <w:tcPr>
            <w:tcW w:w="7427" w:type="dxa"/>
          </w:tcPr>
          <w:p w14:paraId="54AAFBDD" w14:textId="77777777" w:rsidR="004C7180" w:rsidRPr="00150EDC" w:rsidRDefault="00CF0754">
            <w:pPr>
              <w:pStyle w:val="TableParagraph"/>
              <w:rPr>
                <w:sz w:val="20"/>
              </w:rPr>
            </w:pPr>
            <w:r w:rsidRPr="00150EDC">
              <w:rPr>
                <w:sz w:val="20"/>
              </w:rPr>
              <w:t>Offence</w:t>
            </w:r>
            <w:r w:rsidRPr="00150EDC">
              <w:rPr>
                <w:spacing w:val="-6"/>
                <w:sz w:val="20"/>
              </w:rPr>
              <w:t xml:space="preserve"> </w:t>
            </w:r>
            <w:r w:rsidRPr="00150EDC">
              <w:rPr>
                <w:sz w:val="20"/>
              </w:rPr>
              <w:t>of</w:t>
            </w:r>
            <w:r w:rsidRPr="00150EDC">
              <w:rPr>
                <w:spacing w:val="-5"/>
                <w:sz w:val="20"/>
              </w:rPr>
              <w:t xml:space="preserve"> </w:t>
            </w:r>
            <w:r w:rsidRPr="00150EDC">
              <w:rPr>
                <w:sz w:val="20"/>
              </w:rPr>
              <w:t>abduction</w:t>
            </w:r>
            <w:r w:rsidRPr="00150EDC">
              <w:rPr>
                <w:spacing w:val="-1"/>
                <w:sz w:val="20"/>
              </w:rPr>
              <w:t xml:space="preserve"> </w:t>
            </w:r>
            <w:r w:rsidRPr="00150EDC">
              <w:rPr>
                <w:sz w:val="20"/>
              </w:rPr>
              <w:t>of</w:t>
            </w:r>
            <w:r w:rsidRPr="00150EDC">
              <w:rPr>
                <w:spacing w:val="-6"/>
                <w:sz w:val="20"/>
              </w:rPr>
              <w:t xml:space="preserve"> </w:t>
            </w:r>
            <w:r w:rsidRPr="00150EDC">
              <w:rPr>
                <w:sz w:val="20"/>
              </w:rPr>
              <w:t>child</w:t>
            </w:r>
            <w:r w:rsidRPr="00150EDC">
              <w:rPr>
                <w:spacing w:val="-5"/>
                <w:sz w:val="20"/>
              </w:rPr>
              <w:t xml:space="preserve"> </w:t>
            </w:r>
            <w:r w:rsidRPr="00150EDC">
              <w:rPr>
                <w:sz w:val="20"/>
              </w:rPr>
              <w:t>by parent,</w:t>
            </w:r>
            <w:r w:rsidRPr="00150EDC">
              <w:rPr>
                <w:spacing w:val="-5"/>
                <w:sz w:val="20"/>
              </w:rPr>
              <w:t xml:space="preserve"> etc</w:t>
            </w:r>
          </w:p>
        </w:tc>
      </w:tr>
      <w:tr w:rsidR="004569EE" w:rsidRPr="007D3144" w14:paraId="2211400A" w14:textId="77777777">
        <w:trPr>
          <w:trHeight w:val="255"/>
        </w:trPr>
        <w:tc>
          <w:tcPr>
            <w:tcW w:w="6517" w:type="dxa"/>
          </w:tcPr>
          <w:p w14:paraId="482E47C8" w14:textId="77777777" w:rsidR="004C7180" w:rsidRPr="00150EDC" w:rsidRDefault="00CF0754">
            <w:pPr>
              <w:pStyle w:val="TableParagraph"/>
              <w:spacing w:before="28"/>
              <w:rPr>
                <w:sz w:val="20"/>
              </w:rPr>
            </w:pPr>
            <w:r w:rsidRPr="00150EDC">
              <w:rPr>
                <w:sz w:val="20"/>
              </w:rPr>
              <w:t>Child</w:t>
            </w:r>
            <w:r w:rsidRPr="00150EDC">
              <w:rPr>
                <w:spacing w:val="-8"/>
                <w:sz w:val="20"/>
              </w:rPr>
              <w:t xml:space="preserve"> </w:t>
            </w:r>
            <w:r w:rsidRPr="00150EDC">
              <w:rPr>
                <w:sz w:val="20"/>
              </w:rPr>
              <w:t>Abduction</w:t>
            </w:r>
            <w:r w:rsidRPr="00150EDC">
              <w:rPr>
                <w:spacing w:val="-7"/>
                <w:sz w:val="20"/>
              </w:rPr>
              <w:t xml:space="preserve"> </w:t>
            </w:r>
            <w:r w:rsidRPr="00150EDC">
              <w:rPr>
                <w:sz w:val="20"/>
              </w:rPr>
              <w:t>Act</w:t>
            </w:r>
            <w:r w:rsidRPr="00150EDC">
              <w:rPr>
                <w:spacing w:val="-6"/>
                <w:sz w:val="20"/>
              </w:rPr>
              <w:t xml:space="preserve"> </w:t>
            </w:r>
            <w:r w:rsidRPr="00150EDC">
              <w:rPr>
                <w:sz w:val="20"/>
              </w:rPr>
              <w:t>1984,</w:t>
            </w:r>
            <w:r w:rsidRPr="00150EDC">
              <w:rPr>
                <w:spacing w:val="-7"/>
                <w:sz w:val="20"/>
              </w:rPr>
              <w:t xml:space="preserve"> </w:t>
            </w:r>
            <w:r w:rsidRPr="00150EDC">
              <w:rPr>
                <w:spacing w:val="-5"/>
                <w:sz w:val="20"/>
              </w:rPr>
              <w:t>s2</w:t>
            </w:r>
          </w:p>
        </w:tc>
        <w:tc>
          <w:tcPr>
            <w:tcW w:w="7427" w:type="dxa"/>
          </w:tcPr>
          <w:p w14:paraId="32848C90" w14:textId="77777777" w:rsidR="004C7180" w:rsidRPr="00150EDC" w:rsidRDefault="00CF0754">
            <w:pPr>
              <w:pStyle w:val="TableParagraph"/>
              <w:spacing w:before="28"/>
              <w:rPr>
                <w:sz w:val="20"/>
              </w:rPr>
            </w:pPr>
            <w:r w:rsidRPr="00150EDC">
              <w:rPr>
                <w:sz w:val="20"/>
              </w:rPr>
              <w:t>Offence</w:t>
            </w:r>
            <w:r w:rsidRPr="00150EDC">
              <w:rPr>
                <w:spacing w:val="-6"/>
                <w:sz w:val="20"/>
              </w:rPr>
              <w:t xml:space="preserve"> </w:t>
            </w:r>
            <w:r w:rsidRPr="00150EDC">
              <w:rPr>
                <w:sz w:val="20"/>
              </w:rPr>
              <w:t>of</w:t>
            </w:r>
            <w:r w:rsidRPr="00150EDC">
              <w:rPr>
                <w:spacing w:val="-5"/>
                <w:sz w:val="20"/>
              </w:rPr>
              <w:t xml:space="preserve"> </w:t>
            </w:r>
            <w:r w:rsidRPr="00150EDC">
              <w:rPr>
                <w:sz w:val="20"/>
              </w:rPr>
              <w:t>abduction of</w:t>
            </w:r>
            <w:r w:rsidRPr="00150EDC">
              <w:rPr>
                <w:spacing w:val="-5"/>
                <w:sz w:val="20"/>
              </w:rPr>
              <w:t xml:space="preserve"> </w:t>
            </w:r>
            <w:r w:rsidRPr="00150EDC">
              <w:rPr>
                <w:sz w:val="20"/>
              </w:rPr>
              <w:t>child</w:t>
            </w:r>
            <w:r w:rsidRPr="00150EDC">
              <w:rPr>
                <w:spacing w:val="-5"/>
                <w:sz w:val="20"/>
              </w:rPr>
              <w:t xml:space="preserve"> </w:t>
            </w:r>
            <w:r w:rsidRPr="00150EDC">
              <w:rPr>
                <w:sz w:val="20"/>
              </w:rPr>
              <w:t>by</w:t>
            </w:r>
            <w:r w:rsidRPr="00150EDC">
              <w:rPr>
                <w:spacing w:val="1"/>
                <w:sz w:val="20"/>
              </w:rPr>
              <w:t xml:space="preserve"> </w:t>
            </w:r>
            <w:r w:rsidRPr="00150EDC">
              <w:rPr>
                <w:sz w:val="20"/>
              </w:rPr>
              <w:t>other</w:t>
            </w:r>
            <w:r w:rsidRPr="00150EDC">
              <w:rPr>
                <w:spacing w:val="-5"/>
                <w:sz w:val="20"/>
              </w:rPr>
              <w:t xml:space="preserve"> </w:t>
            </w:r>
            <w:r w:rsidRPr="00150EDC">
              <w:rPr>
                <w:spacing w:val="-2"/>
                <w:sz w:val="20"/>
              </w:rPr>
              <w:t>persons</w:t>
            </w:r>
          </w:p>
        </w:tc>
      </w:tr>
      <w:tr w:rsidR="004569EE" w:rsidRPr="007D3144" w14:paraId="3758DAFD" w14:textId="77777777">
        <w:trPr>
          <w:trHeight w:val="255"/>
        </w:trPr>
        <w:tc>
          <w:tcPr>
            <w:tcW w:w="6517" w:type="dxa"/>
          </w:tcPr>
          <w:p w14:paraId="0AD27D4D" w14:textId="77777777" w:rsidR="004C7180" w:rsidRPr="00150EDC" w:rsidRDefault="00CF0754">
            <w:pPr>
              <w:pStyle w:val="TableParagraph"/>
              <w:rPr>
                <w:sz w:val="20"/>
              </w:rPr>
            </w:pPr>
            <w:r w:rsidRPr="00150EDC">
              <w:rPr>
                <w:sz w:val="20"/>
              </w:rPr>
              <w:t>Child</w:t>
            </w:r>
            <w:r w:rsidRPr="00150EDC">
              <w:rPr>
                <w:spacing w:val="-8"/>
                <w:sz w:val="20"/>
              </w:rPr>
              <w:t xml:space="preserve"> </w:t>
            </w:r>
            <w:r w:rsidRPr="00150EDC">
              <w:rPr>
                <w:sz w:val="20"/>
              </w:rPr>
              <w:t>Abduction</w:t>
            </w:r>
            <w:r w:rsidRPr="00150EDC">
              <w:rPr>
                <w:spacing w:val="-7"/>
                <w:sz w:val="20"/>
              </w:rPr>
              <w:t xml:space="preserve"> </w:t>
            </w:r>
            <w:r w:rsidRPr="00150EDC">
              <w:rPr>
                <w:sz w:val="20"/>
              </w:rPr>
              <w:t>Act</w:t>
            </w:r>
            <w:r w:rsidRPr="00150EDC">
              <w:rPr>
                <w:spacing w:val="-6"/>
                <w:sz w:val="20"/>
              </w:rPr>
              <w:t xml:space="preserve"> </w:t>
            </w:r>
            <w:r w:rsidRPr="00150EDC">
              <w:rPr>
                <w:sz w:val="20"/>
              </w:rPr>
              <w:t>1984,</w:t>
            </w:r>
            <w:r w:rsidRPr="00150EDC">
              <w:rPr>
                <w:spacing w:val="-7"/>
                <w:sz w:val="20"/>
              </w:rPr>
              <w:t xml:space="preserve"> </w:t>
            </w:r>
            <w:r w:rsidRPr="00150EDC">
              <w:rPr>
                <w:spacing w:val="-5"/>
                <w:sz w:val="20"/>
              </w:rPr>
              <w:t>s6</w:t>
            </w:r>
          </w:p>
        </w:tc>
        <w:tc>
          <w:tcPr>
            <w:tcW w:w="7427" w:type="dxa"/>
          </w:tcPr>
          <w:p w14:paraId="481DB941" w14:textId="77777777" w:rsidR="004C7180" w:rsidRPr="00150EDC" w:rsidRDefault="00CF0754">
            <w:pPr>
              <w:pStyle w:val="TableParagraph"/>
              <w:rPr>
                <w:sz w:val="20"/>
              </w:rPr>
            </w:pPr>
            <w:r w:rsidRPr="00150EDC">
              <w:rPr>
                <w:sz w:val="20"/>
              </w:rPr>
              <w:t>Taking</w:t>
            </w:r>
            <w:r w:rsidRPr="00150EDC">
              <w:rPr>
                <w:spacing w:val="-5"/>
                <w:sz w:val="20"/>
              </w:rPr>
              <w:t xml:space="preserve"> </w:t>
            </w:r>
            <w:r w:rsidRPr="00150EDC">
              <w:rPr>
                <w:sz w:val="20"/>
              </w:rPr>
              <w:t>or</w:t>
            </w:r>
            <w:r w:rsidRPr="00150EDC">
              <w:rPr>
                <w:spacing w:val="-4"/>
                <w:sz w:val="20"/>
              </w:rPr>
              <w:t xml:space="preserve"> </w:t>
            </w:r>
            <w:r w:rsidRPr="00150EDC">
              <w:rPr>
                <w:sz w:val="20"/>
              </w:rPr>
              <w:t>sending</w:t>
            </w:r>
            <w:r w:rsidRPr="00150EDC">
              <w:rPr>
                <w:spacing w:val="-5"/>
                <w:sz w:val="20"/>
              </w:rPr>
              <w:t xml:space="preserve"> </w:t>
            </w:r>
            <w:r w:rsidRPr="00150EDC">
              <w:rPr>
                <w:sz w:val="20"/>
              </w:rPr>
              <w:t>child out</w:t>
            </w:r>
            <w:r w:rsidRPr="00150EDC">
              <w:rPr>
                <w:spacing w:val="-4"/>
                <w:sz w:val="20"/>
              </w:rPr>
              <w:t xml:space="preserve"> </w:t>
            </w:r>
            <w:r w:rsidRPr="00150EDC">
              <w:rPr>
                <w:sz w:val="20"/>
              </w:rPr>
              <w:t>of</w:t>
            </w:r>
            <w:r w:rsidRPr="00150EDC">
              <w:rPr>
                <w:spacing w:val="-4"/>
                <w:sz w:val="20"/>
              </w:rPr>
              <w:t xml:space="preserve"> </w:t>
            </w:r>
            <w:r w:rsidRPr="00150EDC">
              <w:rPr>
                <w:spacing w:val="-5"/>
                <w:sz w:val="20"/>
              </w:rPr>
              <w:t>UK</w:t>
            </w:r>
          </w:p>
        </w:tc>
      </w:tr>
      <w:tr w:rsidR="004569EE" w:rsidRPr="007D3144" w14:paraId="3E14A134" w14:textId="77777777">
        <w:trPr>
          <w:trHeight w:val="255"/>
        </w:trPr>
        <w:tc>
          <w:tcPr>
            <w:tcW w:w="6517" w:type="dxa"/>
          </w:tcPr>
          <w:p w14:paraId="66D5F6B9" w14:textId="77777777" w:rsidR="004C7180" w:rsidRPr="00150EDC" w:rsidRDefault="00CF0754">
            <w:pPr>
              <w:pStyle w:val="TableParagraph"/>
              <w:rPr>
                <w:sz w:val="20"/>
              </w:rPr>
            </w:pPr>
            <w:r w:rsidRPr="00150EDC">
              <w:rPr>
                <w:sz w:val="20"/>
              </w:rPr>
              <w:t>Child</w:t>
            </w:r>
            <w:r w:rsidRPr="00150EDC">
              <w:rPr>
                <w:spacing w:val="-7"/>
                <w:sz w:val="20"/>
              </w:rPr>
              <w:t xml:space="preserve"> </w:t>
            </w:r>
            <w:r w:rsidRPr="00150EDC">
              <w:rPr>
                <w:sz w:val="20"/>
              </w:rPr>
              <w:t>Care</w:t>
            </w:r>
            <w:r w:rsidRPr="00150EDC">
              <w:rPr>
                <w:spacing w:val="-7"/>
                <w:sz w:val="20"/>
              </w:rPr>
              <w:t xml:space="preserve"> </w:t>
            </w:r>
            <w:r w:rsidRPr="00150EDC">
              <w:rPr>
                <w:sz w:val="20"/>
              </w:rPr>
              <w:t>Act</w:t>
            </w:r>
            <w:r w:rsidRPr="00150EDC">
              <w:rPr>
                <w:spacing w:val="-6"/>
                <w:sz w:val="20"/>
              </w:rPr>
              <w:t xml:space="preserve"> </w:t>
            </w:r>
            <w:r w:rsidRPr="00150EDC">
              <w:rPr>
                <w:sz w:val="20"/>
              </w:rPr>
              <w:t>1980,</w:t>
            </w:r>
            <w:r w:rsidRPr="00150EDC">
              <w:rPr>
                <w:spacing w:val="-7"/>
                <w:sz w:val="20"/>
              </w:rPr>
              <w:t xml:space="preserve"> </w:t>
            </w:r>
            <w:r w:rsidRPr="00150EDC">
              <w:rPr>
                <w:spacing w:val="-5"/>
                <w:sz w:val="20"/>
              </w:rPr>
              <w:t>s13</w:t>
            </w:r>
          </w:p>
        </w:tc>
        <w:tc>
          <w:tcPr>
            <w:tcW w:w="7427" w:type="dxa"/>
          </w:tcPr>
          <w:p w14:paraId="3966F6BE" w14:textId="77777777" w:rsidR="004C7180" w:rsidRPr="00150EDC" w:rsidRDefault="00CF0754">
            <w:pPr>
              <w:pStyle w:val="TableParagraph"/>
              <w:rPr>
                <w:sz w:val="20"/>
              </w:rPr>
            </w:pPr>
            <w:r w:rsidRPr="00150EDC">
              <w:rPr>
                <w:sz w:val="20"/>
              </w:rPr>
              <w:t>Assisting</w:t>
            </w:r>
            <w:r w:rsidRPr="00150EDC">
              <w:rPr>
                <w:spacing w:val="-5"/>
                <w:sz w:val="20"/>
              </w:rPr>
              <w:t xml:space="preserve"> </w:t>
            </w:r>
            <w:r w:rsidRPr="00150EDC">
              <w:rPr>
                <w:sz w:val="20"/>
              </w:rPr>
              <w:t>child</w:t>
            </w:r>
            <w:r w:rsidRPr="00150EDC">
              <w:rPr>
                <w:spacing w:val="-4"/>
                <w:sz w:val="20"/>
              </w:rPr>
              <w:t xml:space="preserve"> </w:t>
            </w:r>
            <w:r w:rsidRPr="00150EDC">
              <w:rPr>
                <w:sz w:val="20"/>
              </w:rPr>
              <w:t>in</w:t>
            </w:r>
            <w:r w:rsidRPr="00150EDC">
              <w:rPr>
                <w:spacing w:val="-4"/>
                <w:sz w:val="20"/>
              </w:rPr>
              <w:t xml:space="preserve"> </w:t>
            </w:r>
            <w:r w:rsidRPr="00150EDC">
              <w:rPr>
                <w:sz w:val="20"/>
              </w:rPr>
              <w:t>care</w:t>
            </w:r>
            <w:r w:rsidRPr="00150EDC">
              <w:rPr>
                <w:spacing w:val="-4"/>
                <w:sz w:val="20"/>
              </w:rPr>
              <w:t xml:space="preserve"> </w:t>
            </w:r>
            <w:r w:rsidRPr="00150EDC">
              <w:rPr>
                <w:sz w:val="20"/>
              </w:rPr>
              <w:t>to run</w:t>
            </w:r>
            <w:r w:rsidRPr="00150EDC">
              <w:rPr>
                <w:spacing w:val="-4"/>
                <w:sz w:val="20"/>
              </w:rPr>
              <w:t xml:space="preserve"> away</w:t>
            </w:r>
          </w:p>
        </w:tc>
      </w:tr>
      <w:tr w:rsidR="004569EE" w:rsidRPr="007D3144" w14:paraId="279ADD8A" w14:textId="77777777">
        <w:trPr>
          <w:trHeight w:val="255"/>
        </w:trPr>
        <w:tc>
          <w:tcPr>
            <w:tcW w:w="6517" w:type="dxa"/>
          </w:tcPr>
          <w:p w14:paraId="38791AFD" w14:textId="77777777" w:rsidR="004C7180" w:rsidRPr="00150EDC" w:rsidRDefault="00CF0754">
            <w:pPr>
              <w:pStyle w:val="TableParagraph"/>
              <w:rPr>
                <w:sz w:val="20"/>
              </w:rPr>
            </w:pPr>
            <w:r w:rsidRPr="00150EDC">
              <w:rPr>
                <w:sz w:val="20"/>
              </w:rPr>
              <w:t>Child</w:t>
            </w:r>
            <w:r w:rsidRPr="00150EDC">
              <w:rPr>
                <w:spacing w:val="-7"/>
                <w:sz w:val="20"/>
              </w:rPr>
              <w:t xml:space="preserve"> </w:t>
            </w:r>
            <w:r w:rsidRPr="00150EDC">
              <w:rPr>
                <w:sz w:val="20"/>
              </w:rPr>
              <w:t>Care</w:t>
            </w:r>
            <w:r w:rsidRPr="00150EDC">
              <w:rPr>
                <w:spacing w:val="-7"/>
                <w:sz w:val="20"/>
              </w:rPr>
              <w:t xml:space="preserve"> </w:t>
            </w:r>
            <w:r w:rsidRPr="00150EDC">
              <w:rPr>
                <w:sz w:val="20"/>
              </w:rPr>
              <w:t>Act</w:t>
            </w:r>
            <w:r w:rsidRPr="00150EDC">
              <w:rPr>
                <w:spacing w:val="-6"/>
                <w:sz w:val="20"/>
              </w:rPr>
              <w:t xml:space="preserve"> </w:t>
            </w:r>
            <w:r w:rsidRPr="00150EDC">
              <w:rPr>
                <w:sz w:val="20"/>
              </w:rPr>
              <w:t>1980,</w:t>
            </w:r>
            <w:r w:rsidRPr="00150EDC">
              <w:rPr>
                <w:spacing w:val="-7"/>
                <w:sz w:val="20"/>
              </w:rPr>
              <w:t xml:space="preserve"> </w:t>
            </w:r>
            <w:r w:rsidRPr="00150EDC">
              <w:rPr>
                <w:spacing w:val="-5"/>
                <w:sz w:val="20"/>
              </w:rPr>
              <w:t>s14</w:t>
            </w:r>
          </w:p>
        </w:tc>
        <w:tc>
          <w:tcPr>
            <w:tcW w:w="7427" w:type="dxa"/>
          </w:tcPr>
          <w:p w14:paraId="190D203F" w14:textId="77777777" w:rsidR="004C7180" w:rsidRPr="00150EDC" w:rsidRDefault="00CF0754">
            <w:pPr>
              <w:pStyle w:val="TableParagraph"/>
              <w:rPr>
                <w:sz w:val="20"/>
              </w:rPr>
            </w:pPr>
            <w:r w:rsidRPr="00150EDC">
              <w:rPr>
                <w:sz w:val="20"/>
              </w:rPr>
              <w:t>Harbouring</w:t>
            </w:r>
            <w:r w:rsidRPr="00150EDC">
              <w:rPr>
                <w:spacing w:val="-4"/>
                <w:sz w:val="20"/>
              </w:rPr>
              <w:t xml:space="preserve"> </w:t>
            </w:r>
            <w:r w:rsidRPr="00150EDC">
              <w:rPr>
                <w:sz w:val="20"/>
              </w:rPr>
              <w:t>or</w:t>
            </w:r>
            <w:r w:rsidRPr="00150EDC">
              <w:rPr>
                <w:spacing w:val="-4"/>
                <w:sz w:val="20"/>
              </w:rPr>
              <w:t xml:space="preserve"> </w:t>
            </w:r>
            <w:r w:rsidRPr="00150EDC">
              <w:rPr>
                <w:sz w:val="20"/>
              </w:rPr>
              <w:t>concealing</w:t>
            </w:r>
            <w:r w:rsidRPr="00150EDC">
              <w:rPr>
                <w:spacing w:val="-4"/>
                <w:sz w:val="20"/>
              </w:rPr>
              <w:t xml:space="preserve"> </w:t>
            </w:r>
            <w:r w:rsidRPr="00150EDC">
              <w:rPr>
                <w:sz w:val="20"/>
              </w:rPr>
              <w:t>a</w:t>
            </w:r>
            <w:r w:rsidRPr="00150EDC">
              <w:rPr>
                <w:spacing w:val="-3"/>
                <w:sz w:val="20"/>
              </w:rPr>
              <w:t xml:space="preserve"> </w:t>
            </w:r>
            <w:r w:rsidRPr="00150EDC">
              <w:rPr>
                <w:sz w:val="20"/>
              </w:rPr>
              <w:t>child</w:t>
            </w:r>
            <w:r w:rsidRPr="00150EDC">
              <w:rPr>
                <w:spacing w:val="-4"/>
                <w:sz w:val="20"/>
              </w:rPr>
              <w:t xml:space="preserve"> </w:t>
            </w:r>
            <w:r w:rsidRPr="00150EDC">
              <w:rPr>
                <w:sz w:val="20"/>
              </w:rPr>
              <w:t>required</w:t>
            </w:r>
            <w:r w:rsidRPr="00150EDC">
              <w:rPr>
                <w:spacing w:val="-4"/>
                <w:sz w:val="20"/>
              </w:rPr>
              <w:t xml:space="preserve"> </w:t>
            </w:r>
            <w:r w:rsidRPr="00150EDC">
              <w:rPr>
                <w:sz w:val="20"/>
              </w:rPr>
              <w:t>to</w:t>
            </w:r>
            <w:r w:rsidRPr="00150EDC">
              <w:rPr>
                <w:spacing w:val="-4"/>
                <w:sz w:val="20"/>
              </w:rPr>
              <w:t xml:space="preserve"> </w:t>
            </w:r>
            <w:r w:rsidRPr="00150EDC">
              <w:rPr>
                <w:sz w:val="20"/>
              </w:rPr>
              <w:t>return</w:t>
            </w:r>
            <w:r w:rsidRPr="00150EDC">
              <w:rPr>
                <w:spacing w:val="-3"/>
                <w:sz w:val="20"/>
              </w:rPr>
              <w:t xml:space="preserve"> </w:t>
            </w:r>
            <w:r w:rsidRPr="00150EDC">
              <w:rPr>
                <w:sz w:val="20"/>
              </w:rPr>
              <w:t>to</w:t>
            </w:r>
            <w:r w:rsidRPr="00150EDC">
              <w:rPr>
                <w:spacing w:val="-4"/>
                <w:sz w:val="20"/>
              </w:rPr>
              <w:t xml:space="preserve"> </w:t>
            </w:r>
            <w:r w:rsidRPr="00150EDC">
              <w:rPr>
                <w:sz w:val="20"/>
              </w:rPr>
              <w:t>local</w:t>
            </w:r>
            <w:r w:rsidRPr="00150EDC">
              <w:rPr>
                <w:spacing w:val="-2"/>
                <w:sz w:val="20"/>
              </w:rPr>
              <w:t xml:space="preserve"> authority</w:t>
            </w:r>
          </w:p>
        </w:tc>
      </w:tr>
      <w:tr w:rsidR="004569EE" w:rsidRPr="007D3144" w14:paraId="5FED957A" w14:textId="77777777">
        <w:trPr>
          <w:trHeight w:val="460"/>
        </w:trPr>
        <w:tc>
          <w:tcPr>
            <w:tcW w:w="6517" w:type="dxa"/>
          </w:tcPr>
          <w:p w14:paraId="7B31CA00" w14:textId="77777777" w:rsidR="004C7180" w:rsidRPr="00150EDC" w:rsidRDefault="004C7180">
            <w:pPr>
              <w:pStyle w:val="TableParagraph"/>
              <w:spacing w:before="2" w:line="240" w:lineRule="auto"/>
              <w:ind w:left="0"/>
              <w:rPr>
                <w:sz w:val="20"/>
              </w:rPr>
            </w:pPr>
          </w:p>
          <w:p w14:paraId="401F5E28" w14:textId="77777777" w:rsidR="004C7180" w:rsidRPr="00150EDC" w:rsidRDefault="00CF0754">
            <w:pPr>
              <w:pStyle w:val="TableParagraph"/>
              <w:spacing w:before="1"/>
              <w:rPr>
                <w:sz w:val="20"/>
              </w:rPr>
            </w:pPr>
            <w:r w:rsidRPr="00150EDC">
              <w:rPr>
                <w:sz w:val="20"/>
              </w:rPr>
              <w:t>Child</w:t>
            </w:r>
            <w:r w:rsidRPr="00150EDC">
              <w:rPr>
                <w:spacing w:val="-7"/>
                <w:sz w:val="20"/>
              </w:rPr>
              <w:t xml:space="preserve"> </w:t>
            </w:r>
            <w:r w:rsidRPr="00150EDC">
              <w:rPr>
                <w:sz w:val="20"/>
              </w:rPr>
              <w:t>Care</w:t>
            </w:r>
            <w:r w:rsidRPr="00150EDC">
              <w:rPr>
                <w:spacing w:val="-7"/>
                <w:sz w:val="20"/>
              </w:rPr>
              <w:t xml:space="preserve"> </w:t>
            </w:r>
            <w:r w:rsidRPr="00150EDC">
              <w:rPr>
                <w:sz w:val="20"/>
              </w:rPr>
              <w:t>Act</w:t>
            </w:r>
            <w:r w:rsidRPr="00150EDC">
              <w:rPr>
                <w:spacing w:val="-6"/>
                <w:sz w:val="20"/>
              </w:rPr>
              <w:t xml:space="preserve"> </w:t>
            </w:r>
            <w:r w:rsidRPr="00150EDC">
              <w:rPr>
                <w:sz w:val="20"/>
              </w:rPr>
              <w:t>1980,</w:t>
            </w:r>
            <w:r w:rsidRPr="00150EDC">
              <w:rPr>
                <w:spacing w:val="-7"/>
                <w:sz w:val="20"/>
              </w:rPr>
              <w:t xml:space="preserve"> </w:t>
            </w:r>
            <w:r w:rsidRPr="00150EDC">
              <w:rPr>
                <w:spacing w:val="-5"/>
                <w:sz w:val="20"/>
              </w:rPr>
              <w:t>s16</w:t>
            </w:r>
          </w:p>
        </w:tc>
        <w:tc>
          <w:tcPr>
            <w:tcW w:w="7427" w:type="dxa"/>
          </w:tcPr>
          <w:p w14:paraId="0E6BFDA0" w14:textId="77777777" w:rsidR="004C7180" w:rsidRPr="00150EDC" w:rsidRDefault="00CF0754">
            <w:pPr>
              <w:pStyle w:val="TableParagraph"/>
              <w:spacing w:before="0" w:line="230" w:lineRule="atLeast"/>
              <w:rPr>
                <w:sz w:val="20"/>
              </w:rPr>
            </w:pPr>
            <w:r w:rsidRPr="00150EDC">
              <w:rPr>
                <w:sz w:val="20"/>
              </w:rPr>
              <w:t>Compelling,</w:t>
            </w:r>
            <w:r w:rsidRPr="00150EDC">
              <w:rPr>
                <w:spacing w:val="-2"/>
                <w:sz w:val="20"/>
              </w:rPr>
              <w:t xml:space="preserve"> </w:t>
            </w:r>
            <w:r w:rsidRPr="00150EDC">
              <w:rPr>
                <w:sz w:val="20"/>
              </w:rPr>
              <w:t>persuading,</w:t>
            </w:r>
            <w:r w:rsidRPr="00150EDC">
              <w:rPr>
                <w:spacing w:val="-7"/>
                <w:sz w:val="20"/>
              </w:rPr>
              <w:t xml:space="preserve"> </w:t>
            </w:r>
            <w:r w:rsidRPr="00150EDC">
              <w:rPr>
                <w:sz w:val="20"/>
              </w:rPr>
              <w:t>inciting</w:t>
            </w:r>
            <w:r w:rsidRPr="00150EDC">
              <w:rPr>
                <w:spacing w:val="-7"/>
                <w:sz w:val="20"/>
              </w:rPr>
              <w:t xml:space="preserve"> </w:t>
            </w:r>
            <w:r w:rsidRPr="00150EDC">
              <w:rPr>
                <w:sz w:val="20"/>
              </w:rPr>
              <w:t>or</w:t>
            </w:r>
            <w:r w:rsidRPr="00150EDC">
              <w:rPr>
                <w:spacing w:val="-7"/>
                <w:sz w:val="20"/>
              </w:rPr>
              <w:t xml:space="preserve"> </w:t>
            </w:r>
            <w:r w:rsidRPr="00150EDC">
              <w:rPr>
                <w:sz w:val="20"/>
              </w:rPr>
              <w:t>assisting</w:t>
            </w:r>
            <w:r w:rsidRPr="00150EDC">
              <w:rPr>
                <w:spacing w:val="-2"/>
                <w:sz w:val="20"/>
              </w:rPr>
              <w:t xml:space="preserve"> </w:t>
            </w:r>
            <w:r w:rsidRPr="00150EDC">
              <w:rPr>
                <w:sz w:val="20"/>
              </w:rPr>
              <w:t>child</w:t>
            </w:r>
            <w:r w:rsidRPr="00150EDC">
              <w:rPr>
                <w:spacing w:val="-7"/>
                <w:sz w:val="20"/>
              </w:rPr>
              <w:t xml:space="preserve"> </w:t>
            </w:r>
            <w:r w:rsidRPr="00150EDC">
              <w:rPr>
                <w:sz w:val="20"/>
              </w:rPr>
              <w:t>to</w:t>
            </w:r>
            <w:r w:rsidRPr="00150EDC">
              <w:rPr>
                <w:spacing w:val="-2"/>
                <w:sz w:val="20"/>
              </w:rPr>
              <w:t xml:space="preserve"> </w:t>
            </w:r>
            <w:r w:rsidRPr="00150EDC">
              <w:rPr>
                <w:sz w:val="20"/>
              </w:rPr>
              <w:t>be</w:t>
            </w:r>
            <w:r w:rsidRPr="00150EDC">
              <w:rPr>
                <w:spacing w:val="-7"/>
                <w:sz w:val="20"/>
              </w:rPr>
              <w:t xml:space="preserve"> </w:t>
            </w:r>
            <w:r w:rsidRPr="00150EDC">
              <w:rPr>
                <w:sz w:val="20"/>
              </w:rPr>
              <w:t>absent</w:t>
            </w:r>
            <w:r w:rsidRPr="00150EDC">
              <w:rPr>
                <w:spacing w:val="-7"/>
                <w:sz w:val="20"/>
              </w:rPr>
              <w:t xml:space="preserve"> </w:t>
            </w:r>
            <w:r w:rsidRPr="00150EDC">
              <w:rPr>
                <w:sz w:val="20"/>
              </w:rPr>
              <w:t>from</w:t>
            </w:r>
            <w:r w:rsidRPr="00150EDC">
              <w:rPr>
                <w:spacing w:val="-7"/>
                <w:sz w:val="20"/>
              </w:rPr>
              <w:t xml:space="preserve"> </w:t>
            </w:r>
            <w:r w:rsidRPr="00150EDC">
              <w:rPr>
                <w:sz w:val="20"/>
              </w:rPr>
              <w:t>premises specified by a care order</w:t>
            </w:r>
          </w:p>
        </w:tc>
      </w:tr>
      <w:tr w:rsidR="004569EE" w:rsidRPr="007D3144" w14:paraId="7AEEC990" w14:textId="77777777">
        <w:trPr>
          <w:trHeight w:val="255"/>
        </w:trPr>
        <w:tc>
          <w:tcPr>
            <w:tcW w:w="6517" w:type="dxa"/>
          </w:tcPr>
          <w:p w14:paraId="388C458F" w14:textId="77777777" w:rsidR="004C7180" w:rsidRPr="00150EDC" w:rsidRDefault="00CF0754">
            <w:pPr>
              <w:pStyle w:val="TableParagraph"/>
              <w:rPr>
                <w:sz w:val="20"/>
              </w:rPr>
            </w:pPr>
            <w:r w:rsidRPr="00150EDC">
              <w:rPr>
                <w:sz w:val="20"/>
              </w:rPr>
              <w:t>Child</w:t>
            </w:r>
            <w:r w:rsidRPr="00150EDC">
              <w:rPr>
                <w:spacing w:val="-8"/>
                <w:sz w:val="20"/>
              </w:rPr>
              <w:t xml:space="preserve"> </w:t>
            </w:r>
            <w:r w:rsidRPr="00150EDC">
              <w:rPr>
                <w:sz w:val="20"/>
              </w:rPr>
              <w:t>Custody</w:t>
            </w:r>
            <w:r w:rsidRPr="00150EDC">
              <w:rPr>
                <w:spacing w:val="-6"/>
                <w:sz w:val="20"/>
              </w:rPr>
              <w:t xml:space="preserve"> </w:t>
            </w:r>
            <w:r w:rsidRPr="00150EDC">
              <w:rPr>
                <w:sz w:val="20"/>
              </w:rPr>
              <w:t>Act</w:t>
            </w:r>
            <w:r w:rsidRPr="00150EDC">
              <w:rPr>
                <w:spacing w:val="-6"/>
                <w:sz w:val="20"/>
              </w:rPr>
              <w:t xml:space="preserve"> </w:t>
            </w:r>
            <w:r w:rsidRPr="00150EDC">
              <w:rPr>
                <w:sz w:val="20"/>
              </w:rPr>
              <w:t>1987,</w:t>
            </w:r>
            <w:r w:rsidRPr="00150EDC">
              <w:rPr>
                <w:spacing w:val="-7"/>
                <w:sz w:val="20"/>
              </w:rPr>
              <w:t xml:space="preserve"> </w:t>
            </w:r>
            <w:r w:rsidRPr="00150EDC">
              <w:rPr>
                <w:spacing w:val="-5"/>
                <w:sz w:val="20"/>
              </w:rPr>
              <w:t>s50</w:t>
            </w:r>
          </w:p>
        </w:tc>
        <w:tc>
          <w:tcPr>
            <w:tcW w:w="7427" w:type="dxa"/>
          </w:tcPr>
          <w:p w14:paraId="7855496D" w14:textId="77777777" w:rsidR="004C7180" w:rsidRPr="00150EDC" w:rsidRDefault="00CF0754">
            <w:pPr>
              <w:pStyle w:val="TableParagraph"/>
              <w:rPr>
                <w:sz w:val="20"/>
              </w:rPr>
            </w:pPr>
            <w:r w:rsidRPr="00150EDC">
              <w:rPr>
                <w:sz w:val="20"/>
              </w:rPr>
              <w:t>Abduction</w:t>
            </w:r>
            <w:r w:rsidRPr="00150EDC">
              <w:rPr>
                <w:spacing w:val="-5"/>
                <w:sz w:val="20"/>
              </w:rPr>
              <w:t xml:space="preserve"> </w:t>
            </w:r>
            <w:r w:rsidRPr="00150EDC">
              <w:rPr>
                <w:sz w:val="20"/>
              </w:rPr>
              <w:t>of</w:t>
            </w:r>
            <w:r w:rsidRPr="00150EDC">
              <w:rPr>
                <w:spacing w:val="-4"/>
                <w:sz w:val="20"/>
              </w:rPr>
              <w:t xml:space="preserve"> </w:t>
            </w:r>
            <w:r w:rsidRPr="00150EDC">
              <w:rPr>
                <w:sz w:val="20"/>
              </w:rPr>
              <w:t>child</w:t>
            </w:r>
            <w:r w:rsidRPr="00150EDC">
              <w:rPr>
                <w:spacing w:val="-4"/>
                <w:sz w:val="20"/>
              </w:rPr>
              <w:t xml:space="preserve"> </w:t>
            </w:r>
            <w:r w:rsidRPr="00150EDC">
              <w:rPr>
                <w:sz w:val="20"/>
              </w:rPr>
              <w:t>by</w:t>
            </w:r>
            <w:r w:rsidRPr="00150EDC">
              <w:rPr>
                <w:spacing w:val="-3"/>
                <w:sz w:val="20"/>
              </w:rPr>
              <w:t xml:space="preserve"> </w:t>
            </w:r>
            <w:r w:rsidRPr="00150EDC">
              <w:rPr>
                <w:sz w:val="20"/>
              </w:rPr>
              <w:t>parent</w:t>
            </w:r>
            <w:r w:rsidRPr="00150EDC">
              <w:rPr>
                <w:spacing w:val="-4"/>
                <w:sz w:val="20"/>
              </w:rPr>
              <w:t xml:space="preserve"> </w:t>
            </w:r>
            <w:r w:rsidRPr="00150EDC">
              <w:rPr>
                <w:spacing w:val="-5"/>
                <w:sz w:val="20"/>
              </w:rPr>
              <w:t>etc</w:t>
            </w:r>
          </w:p>
        </w:tc>
      </w:tr>
      <w:tr w:rsidR="004569EE" w:rsidRPr="007D3144" w14:paraId="4277E4BB" w14:textId="77777777">
        <w:trPr>
          <w:trHeight w:val="255"/>
        </w:trPr>
        <w:tc>
          <w:tcPr>
            <w:tcW w:w="6517" w:type="dxa"/>
          </w:tcPr>
          <w:p w14:paraId="35B799F7" w14:textId="77777777" w:rsidR="004C7180" w:rsidRPr="00150EDC" w:rsidRDefault="00CF0754">
            <w:pPr>
              <w:pStyle w:val="TableParagraph"/>
              <w:rPr>
                <w:sz w:val="20"/>
              </w:rPr>
            </w:pPr>
            <w:r w:rsidRPr="00150EDC">
              <w:rPr>
                <w:sz w:val="20"/>
              </w:rPr>
              <w:t>Child</w:t>
            </w:r>
            <w:r w:rsidRPr="00150EDC">
              <w:rPr>
                <w:spacing w:val="-8"/>
                <w:sz w:val="20"/>
              </w:rPr>
              <w:t xml:space="preserve"> </w:t>
            </w:r>
            <w:r w:rsidRPr="00150EDC">
              <w:rPr>
                <w:sz w:val="20"/>
              </w:rPr>
              <w:t>Custody</w:t>
            </w:r>
            <w:r w:rsidRPr="00150EDC">
              <w:rPr>
                <w:spacing w:val="-6"/>
                <w:sz w:val="20"/>
              </w:rPr>
              <w:t xml:space="preserve"> </w:t>
            </w:r>
            <w:r w:rsidRPr="00150EDC">
              <w:rPr>
                <w:sz w:val="20"/>
              </w:rPr>
              <w:t>Act</w:t>
            </w:r>
            <w:r w:rsidRPr="00150EDC">
              <w:rPr>
                <w:spacing w:val="-7"/>
                <w:sz w:val="20"/>
              </w:rPr>
              <w:t xml:space="preserve"> </w:t>
            </w:r>
            <w:r w:rsidRPr="00150EDC">
              <w:rPr>
                <w:sz w:val="20"/>
              </w:rPr>
              <w:t>1987,</w:t>
            </w:r>
            <w:r w:rsidRPr="00150EDC">
              <w:rPr>
                <w:spacing w:val="-7"/>
                <w:sz w:val="20"/>
              </w:rPr>
              <w:t xml:space="preserve"> </w:t>
            </w:r>
            <w:r w:rsidRPr="00150EDC">
              <w:rPr>
                <w:spacing w:val="-5"/>
                <w:sz w:val="20"/>
              </w:rPr>
              <w:t>s51</w:t>
            </w:r>
          </w:p>
        </w:tc>
        <w:tc>
          <w:tcPr>
            <w:tcW w:w="7427" w:type="dxa"/>
          </w:tcPr>
          <w:p w14:paraId="5F9A6DEC" w14:textId="77777777" w:rsidR="004C7180" w:rsidRPr="00150EDC" w:rsidRDefault="00CF0754">
            <w:pPr>
              <w:pStyle w:val="TableParagraph"/>
              <w:rPr>
                <w:sz w:val="20"/>
              </w:rPr>
            </w:pPr>
            <w:r w:rsidRPr="00150EDC">
              <w:rPr>
                <w:sz w:val="20"/>
              </w:rPr>
              <w:t>Abduction</w:t>
            </w:r>
            <w:r w:rsidRPr="00150EDC">
              <w:rPr>
                <w:spacing w:val="-5"/>
                <w:sz w:val="20"/>
              </w:rPr>
              <w:t xml:space="preserve"> </w:t>
            </w:r>
            <w:r w:rsidRPr="00150EDC">
              <w:rPr>
                <w:sz w:val="20"/>
              </w:rPr>
              <w:t>of</w:t>
            </w:r>
            <w:r w:rsidRPr="00150EDC">
              <w:rPr>
                <w:spacing w:val="-5"/>
                <w:sz w:val="20"/>
              </w:rPr>
              <w:t xml:space="preserve"> </w:t>
            </w:r>
            <w:r w:rsidRPr="00150EDC">
              <w:rPr>
                <w:sz w:val="20"/>
              </w:rPr>
              <w:t>child</w:t>
            </w:r>
            <w:r w:rsidRPr="00150EDC">
              <w:rPr>
                <w:spacing w:val="-4"/>
                <w:sz w:val="20"/>
              </w:rPr>
              <w:t xml:space="preserve"> </w:t>
            </w:r>
            <w:r w:rsidRPr="00150EDC">
              <w:rPr>
                <w:sz w:val="20"/>
              </w:rPr>
              <w:t>by</w:t>
            </w:r>
            <w:r w:rsidRPr="00150EDC">
              <w:rPr>
                <w:spacing w:val="-4"/>
                <w:sz w:val="20"/>
              </w:rPr>
              <w:t xml:space="preserve"> </w:t>
            </w:r>
            <w:r w:rsidRPr="00150EDC">
              <w:rPr>
                <w:sz w:val="20"/>
              </w:rPr>
              <w:t>other</w:t>
            </w:r>
            <w:r w:rsidRPr="00150EDC">
              <w:rPr>
                <w:spacing w:val="1"/>
                <w:sz w:val="20"/>
              </w:rPr>
              <w:t xml:space="preserve"> </w:t>
            </w:r>
            <w:r w:rsidRPr="00150EDC">
              <w:rPr>
                <w:spacing w:val="-2"/>
                <w:sz w:val="20"/>
              </w:rPr>
              <w:t>persons</w:t>
            </w:r>
          </w:p>
        </w:tc>
      </w:tr>
      <w:tr w:rsidR="004569EE" w:rsidRPr="007D3144" w14:paraId="01D06D05" w14:textId="77777777">
        <w:trPr>
          <w:trHeight w:val="255"/>
        </w:trPr>
        <w:tc>
          <w:tcPr>
            <w:tcW w:w="6517" w:type="dxa"/>
          </w:tcPr>
          <w:p w14:paraId="0C8EA64A" w14:textId="77777777" w:rsidR="004C7180" w:rsidRPr="00150EDC" w:rsidRDefault="00CF0754">
            <w:pPr>
              <w:pStyle w:val="TableParagraph"/>
              <w:rPr>
                <w:sz w:val="20"/>
              </w:rPr>
            </w:pPr>
            <w:r w:rsidRPr="00150EDC">
              <w:rPr>
                <w:sz w:val="20"/>
              </w:rPr>
              <w:t>Child</w:t>
            </w:r>
            <w:r w:rsidRPr="00150EDC">
              <w:rPr>
                <w:spacing w:val="-10"/>
                <w:sz w:val="20"/>
              </w:rPr>
              <w:t xml:space="preserve"> </w:t>
            </w:r>
            <w:r w:rsidRPr="00150EDC">
              <w:rPr>
                <w:sz w:val="20"/>
              </w:rPr>
              <w:t>Protection</w:t>
            </w:r>
            <w:r w:rsidRPr="00150EDC">
              <w:rPr>
                <w:spacing w:val="-3"/>
                <w:sz w:val="20"/>
              </w:rPr>
              <w:t xml:space="preserve"> </w:t>
            </w:r>
            <w:r w:rsidRPr="00150EDC">
              <w:rPr>
                <w:sz w:val="20"/>
              </w:rPr>
              <w:t>(Alderney)</w:t>
            </w:r>
            <w:r w:rsidRPr="00150EDC">
              <w:rPr>
                <w:spacing w:val="-7"/>
                <w:sz w:val="20"/>
              </w:rPr>
              <w:t xml:space="preserve"> </w:t>
            </w:r>
            <w:r w:rsidRPr="00150EDC">
              <w:rPr>
                <w:sz w:val="20"/>
              </w:rPr>
              <w:t>Law</w:t>
            </w:r>
            <w:r w:rsidRPr="00150EDC">
              <w:rPr>
                <w:spacing w:val="-6"/>
                <w:sz w:val="20"/>
              </w:rPr>
              <w:t xml:space="preserve"> </w:t>
            </w:r>
            <w:r w:rsidRPr="00150EDC">
              <w:rPr>
                <w:sz w:val="20"/>
              </w:rPr>
              <w:t>1953,</w:t>
            </w:r>
            <w:r w:rsidRPr="00150EDC">
              <w:rPr>
                <w:spacing w:val="-7"/>
                <w:sz w:val="20"/>
              </w:rPr>
              <w:t xml:space="preserve"> </w:t>
            </w:r>
            <w:r w:rsidRPr="00150EDC">
              <w:rPr>
                <w:spacing w:val="-5"/>
                <w:sz w:val="20"/>
              </w:rPr>
              <w:t>s2</w:t>
            </w:r>
          </w:p>
        </w:tc>
        <w:tc>
          <w:tcPr>
            <w:tcW w:w="7427" w:type="dxa"/>
          </w:tcPr>
          <w:p w14:paraId="578E1BE1" w14:textId="77777777" w:rsidR="004C7180" w:rsidRPr="00150EDC" w:rsidRDefault="00CF0754">
            <w:pPr>
              <w:pStyle w:val="TableParagraph"/>
              <w:rPr>
                <w:sz w:val="20"/>
              </w:rPr>
            </w:pPr>
            <w:r w:rsidRPr="00150EDC">
              <w:rPr>
                <w:sz w:val="20"/>
              </w:rPr>
              <w:t>Neglect,</w:t>
            </w:r>
            <w:r w:rsidRPr="00150EDC">
              <w:rPr>
                <w:spacing w:val="-7"/>
                <w:sz w:val="20"/>
              </w:rPr>
              <w:t xml:space="preserve"> </w:t>
            </w:r>
            <w:r w:rsidRPr="00150EDC">
              <w:rPr>
                <w:sz w:val="20"/>
              </w:rPr>
              <w:t>etc</w:t>
            </w:r>
            <w:r w:rsidRPr="00150EDC">
              <w:rPr>
                <w:spacing w:val="-1"/>
                <w:sz w:val="20"/>
              </w:rPr>
              <w:t xml:space="preserve"> </w:t>
            </w:r>
            <w:r w:rsidRPr="00150EDC">
              <w:rPr>
                <w:sz w:val="20"/>
              </w:rPr>
              <w:t>of</w:t>
            </w:r>
            <w:r w:rsidRPr="00150EDC">
              <w:rPr>
                <w:spacing w:val="-6"/>
                <w:sz w:val="20"/>
              </w:rPr>
              <w:t xml:space="preserve"> </w:t>
            </w:r>
            <w:r w:rsidRPr="00150EDC">
              <w:rPr>
                <w:spacing w:val="-4"/>
                <w:sz w:val="20"/>
              </w:rPr>
              <w:t>child</w:t>
            </w:r>
          </w:p>
        </w:tc>
      </w:tr>
      <w:tr w:rsidR="004569EE" w:rsidRPr="007D3144" w14:paraId="7E8CD313" w14:textId="77777777">
        <w:trPr>
          <w:trHeight w:val="460"/>
        </w:trPr>
        <w:tc>
          <w:tcPr>
            <w:tcW w:w="6517" w:type="dxa"/>
          </w:tcPr>
          <w:p w14:paraId="33F309F8" w14:textId="77777777" w:rsidR="004C7180" w:rsidRPr="00150EDC" w:rsidRDefault="004C7180">
            <w:pPr>
              <w:pStyle w:val="TableParagraph"/>
              <w:spacing w:before="3" w:line="240" w:lineRule="auto"/>
              <w:ind w:left="0"/>
              <w:rPr>
                <w:sz w:val="20"/>
              </w:rPr>
            </w:pPr>
          </w:p>
          <w:p w14:paraId="0DD24EEF" w14:textId="77777777" w:rsidR="004C7180" w:rsidRPr="00150EDC" w:rsidRDefault="00CF0754">
            <w:pPr>
              <w:pStyle w:val="TableParagraph"/>
              <w:spacing w:before="0"/>
              <w:rPr>
                <w:sz w:val="20"/>
              </w:rPr>
            </w:pPr>
            <w:r w:rsidRPr="00150EDC">
              <w:rPr>
                <w:sz w:val="20"/>
              </w:rPr>
              <w:t>Children</w:t>
            </w:r>
            <w:r w:rsidRPr="00150EDC">
              <w:rPr>
                <w:spacing w:val="-10"/>
                <w:sz w:val="20"/>
              </w:rPr>
              <w:t xml:space="preserve"> </w:t>
            </w:r>
            <w:r w:rsidRPr="00150EDC">
              <w:rPr>
                <w:sz w:val="20"/>
              </w:rPr>
              <w:t>(Guernsey</w:t>
            </w:r>
            <w:r w:rsidRPr="00150EDC">
              <w:rPr>
                <w:spacing w:val="-7"/>
                <w:sz w:val="20"/>
              </w:rPr>
              <w:t xml:space="preserve"> </w:t>
            </w:r>
            <w:r w:rsidRPr="00150EDC">
              <w:rPr>
                <w:sz w:val="20"/>
              </w:rPr>
              <w:t>And</w:t>
            </w:r>
            <w:r w:rsidRPr="00150EDC">
              <w:rPr>
                <w:spacing w:val="-7"/>
                <w:sz w:val="20"/>
              </w:rPr>
              <w:t xml:space="preserve"> </w:t>
            </w:r>
            <w:r w:rsidRPr="00150EDC">
              <w:rPr>
                <w:sz w:val="20"/>
              </w:rPr>
              <w:t>Alderney)</w:t>
            </w:r>
            <w:r w:rsidRPr="00150EDC">
              <w:rPr>
                <w:spacing w:val="-3"/>
                <w:sz w:val="20"/>
              </w:rPr>
              <w:t xml:space="preserve"> </w:t>
            </w:r>
            <w:r w:rsidRPr="00150EDC">
              <w:rPr>
                <w:sz w:val="20"/>
              </w:rPr>
              <w:t>Law</w:t>
            </w:r>
            <w:r w:rsidRPr="00150EDC">
              <w:rPr>
                <w:spacing w:val="-6"/>
                <w:sz w:val="20"/>
              </w:rPr>
              <w:t xml:space="preserve"> </w:t>
            </w:r>
            <w:r w:rsidRPr="00150EDC">
              <w:rPr>
                <w:sz w:val="20"/>
              </w:rPr>
              <w:t>2008,</w:t>
            </w:r>
            <w:r w:rsidRPr="00150EDC">
              <w:rPr>
                <w:spacing w:val="-7"/>
                <w:sz w:val="20"/>
              </w:rPr>
              <w:t xml:space="preserve"> </w:t>
            </w:r>
            <w:r w:rsidRPr="00150EDC">
              <w:rPr>
                <w:spacing w:val="-5"/>
                <w:sz w:val="20"/>
              </w:rPr>
              <w:t>s65</w:t>
            </w:r>
          </w:p>
        </w:tc>
        <w:tc>
          <w:tcPr>
            <w:tcW w:w="7427" w:type="dxa"/>
          </w:tcPr>
          <w:p w14:paraId="582AD727" w14:textId="77777777" w:rsidR="004C7180" w:rsidRPr="00150EDC" w:rsidRDefault="00CF0754">
            <w:pPr>
              <w:pStyle w:val="TableParagraph"/>
              <w:spacing w:before="0" w:line="230" w:lineRule="atLeast"/>
              <w:rPr>
                <w:sz w:val="20"/>
              </w:rPr>
            </w:pPr>
            <w:r w:rsidRPr="00150EDC">
              <w:rPr>
                <w:sz w:val="20"/>
              </w:rPr>
              <w:t>Wilfully</w:t>
            </w:r>
            <w:r w:rsidRPr="00150EDC">
              <w:rPr>
                <w:spacing w:val="-3"/>
                <w:sz w:val="20"/>
              </w:rPr>
              <w:t xml:space="preserve"> </w:t>
            </w:r>
            <w:r w:rsidRPr="00150EDC">
              <w:rPr>
                <w:sz w:val="20"/>
              </w:rPr>
              <w:t>impeding</w:t>
            </w:r>
            <w:r w:rsidRPr="00150EDC">
              <w:rPr>
                <w:spacing w:val="-4"/>
                <w:sz w:val="20"/>
              </w:rPr>
              <w:t xml:space="preserve"> </w:t>
            </w:r>
            <w:r w:rsidRPr="00150EDC">
              <w:rPr>
                <w:sz w:val="20"/>
              </w:rPr>
              <w:t>or</w:t>
            </w:r>
            <w:r w:rsidRPr="00150EDC">
              <w:rPr>
                <w:spacing w:val="-3"/>
                <w:sz w:val="20"/>
              </w:rPr>
              <w:t xml:space="preserve"> </w:t>
            </w:r>
            <w:r w:rsidRPr="00150EDC">
              <w:rPr>
                <w:sz w:val="20"/>
              </w:rPr>
              <w:t>obstructing</w:t>
            </w:r>
            <w:r w:rsidRPr="00150EDC">
              <w:rPr>
                <w:spacing w:val="-4"/>
                <w:sz w:val="20"/>
              </w:rPr>
              <w:t xml:space="preserve"> </w:t>
            </w:r>
            <w:r w:rsidRPr="00150EDC">
              <w:rPr>
                <w:sz w:val="20"/>
              </w:rPr>
              <w:t>a</w:t>
            </w:r>
            <w:r w:rsidRPr="00150EDC">
              <w:rPr>
                <w:spacing w:val="-4"/>
                <w:sz w:val="20"/>
              </w:rPr>
              <w:t xml:space="preserve"> </w:t>
            </w:r>
            <w:r w:rsidRPr="00150EDC">
              <w:rPr>
                <w:sz w:val="20"/>
              </w:rPr>
              <w:t>police</w:t>
            </w:r>
            <w:r w:rsidRPr="00150EDC">
              <w:rPr>
                <w:spacing w:val="-4"/>
                <w:sz w:val="20"/>
              </w:rPr>
              <w:t xml:space="preserve"> </w:t>
            </w:r>
            <w:r w:rsidRPr="00150EDC">
              <w:rPr>
                <w:sz w:val="20"/>
              </w:rPr>
              <w:t>officer</w:t>
            </w:r>
            <w:r w:rsidRPr="00150EDC">
              <w:rPr>
                <w:spacing w:val="-4"/>
                <w:sz w:val="20"/>
              </w:rPr>
              <w:t xml:space="preserve"> </w:t>
            </w:r>
            <w:r w:rsidRPr="00150EDC">
              <w:rPr>
                <w:sz w:val="20"/>
              </w:rPr>
              <w:t>where</w:t>
            </w:r>
            <w:r w:rsidRPr="00150EDC">
              <w:rPr>
                <w:spacing w:val="-4"/>
                <w:sz w:val="20"/>
              </w:rPr>
              <w:t xml:space="preserve"> </w:t>
            </w:r>
            <w:r w:rsidRPr="00150EDC">
              <w:rPr>
                <w:sz w:val="20"/>
              </w:rPr>
              <w:t>child</w:t>
            </w:r>
            <w:r w:rsidRPr="00150EDC">
              <w:rPr>
                <w:spacing w:val="-4"/>
                <w:sz w:val="20"/>
              </w:rPr>
              <w:t xml:space="preserve"> </w:t>
            </w:r>
            <w:r w:rsidRPr="00150EDC">
              <w:rPr>
                <w:sz w:val="20"/>
              </w:rPr>
              <w:t>is</w:t>
            </w:r>
            <w:r w:rsidRPr="00150EDC">
              <w:rPr>
                <w:spacing w:val="-3"/>
                <w:sz w:val="20"/>
              </w:rPr>
              <w:t xml:space="preserve"> </w:t>
            </w:r>
            <w:r w:rsidRPr="00150EDC">
              <w:rPr>
                <w:sz w:val="20"/>
              </w:rPr>
              <w:t>suffering</w:t>
            </w:r>
            <w:r w:rsidRPr="00150EDC">
              <w:rPr>
                <w:spacing w:val="-4"/>
                <w:sz w:val="20"/>
              </w:rPr>
              <w:t xml:space="preserve"> </w:t>
            </w:r>
            <w:r w:rsidRPr="00150EDC">
              <w:rPr>
                <w:sz w:val="20"/>
              </w:rPr>
              <w:t>harm</w:t>
            </w:r>
            <w:r w:rsidRPr="00150EDC">
              <w:rPr>
                <w:spacing w:val="-4"/>
                <w:sz w:val="20"/>
              </w:rPr>
              <w:t xml:space="preserve"> </w:t>
            </w:r>
            <w:r w:rsidRPr="00150EDC">
              <w:rPr>
                <w:sz w:val="20"/>
              </w:rPr>
              <w:t>or</w:t>
            </w:r>
            <w:r w:rsidRPr="00150EDC">
              <w:rPr>
                <w:spacing w:val="-4"/>
                <w:sz w:val="20"/>
              </w:rPr>
              <w:t xml:space="preserve"> </w:t>
            </w:r>
            <w:r w:rsidRPr="00150EDC">
              <w:rPr>
                <w:sz w:val="20"/>
              </w:rPr>
              <w:t xml:space="preserve">at </w:t>
            </w:r>
            <w:r w:rsidRPr="00150EDC">
              <w:rPr>
                <w:spacing w:val="-4"/>
                <w:sz w:val="20"/>
              </w:rPr>
              <w:t>risk</w:t>
            </w:r>
          </w:p>
        </w:tc>
      </w:tr>
      <w:tr w:rsidR="004569EE" w:rsidRPr="007D3144" w14:paraId="6AE50D02" w14:textId="77777777">
        <w:trPr>
          <w:trHeight w:val="255"/>
        </w:trPr>
        <w:tc>
          <w:tcPr>
            <w:tcW w:w="6517" w:type="dxa"/>
          </w:tcPr>
          <w:p w14:paraId="7B8A6CEB" w14:textId="77777777" w:rsidR="004C7180" w:rsidRPr="00150EDC" w:rsidRDefault="00CF0754">
            <w:pPr>
              <w:pStyle w:val="TableParagraph"/>
              <w:rPr>
                <w:sz w:val="20"/>
              </w:rPr>
            </w:pPr>
            <w:r w:rsidRPr="00150EDC">
              <w:rPr>
                <w:sz w:val="20"/>
              </w:rPr>
              <w:t>Children</w:t>
            </w:r>
            <w:r w:rsidRPr="00150EDC">
              <w:rPr>
                <w:spacing w:val="-10"/>
                <w:sz w:val="20"/>
              </w:rPr>
              <w:t xml:space="preserve"> </w:t>
            </w:r>
            <w:r w:rsidRPr="00150EDC">
              <w:rPr>
                <w:sz w:val="20"/>
              </w:rPr>
              <w:t>(Guernsey</w:t>
            </w:r>
            <w:r w:rsidRPr="00150EDC">
              <w:rPr>
                <w:spacing w:val="-7"/>
                <w:sz w:val="20"/>
              </w:rPr>
              <w:t xml:space="preserve"> </w:t>
            </w:r>
            <w:r w:rsidRPr="00150EDC">
              <w:rPr>
                <w:sz w:val="20"/>
              </w:rPr>
              <w:t>And</w:t>
            </w:r>
            <w:r w:rsidRPr="00150EDC">
              <w:rPr>
                <w:spacing w:val="-7"/>
                <w:sz w:val="20"/>
              </w:rPr>
              <w:t xml:space="preserve"> </w:t>
            </w:r>
            <w:r w:rsidRPr="00150EDC">
              <w:rPr>
                <w:sz w:val="20"/>
              </w:rPr>
              <w:t>Alderney)</w:t>
            </w:r>
            <w:r w:rsidRPr="00150EDC">
              <w:rPr>
                <w:spacing w:val="-3"/>
                <w:sz w:val="20"/>
              </w:rPr>
              <w:t xml:space="preserve"> </w:t>
            </w:r>
            <w:r w:rsidRPr="00150EDC">
              <w:rPr>
                <w:sz w:val="20"/>
              </w:rPr>
              <w:t>Law</w:t>
            </w:r>
            <w:r w:rsidRPr="00150EDC">
              <w:rPr>
                <w:spacing w:val="-6"/>
                <w:sz w:val="20"/>
              </w:rPr>
              <w:t xml:space="preserve"> </w:t>
            </w:r>
            <w:r w:rsidRPr="00150EDC">
              <w:rPr>
                <w:sz w:val="20"/>
              </w:rPr>
              <w:t>2008,</w:t>
            </w:r>
            <w:r w:rsidRPr="00150EDC">
              <w:rPr>
                <w:spacing w:val="-7"/>
                <w:sz w:val="20"/>
              </w:rPr>
              <w:t xml:space="preserve"> </w:t>
            </w:r>
            <w:r w:rsidRPr="00150EDC">
              <w:rPr>
                <w:spacing w:val="-5"/>
                <w:sz w:val="20"/>
              </w:rPr>
              <w:t>s74</w:t>
            </w:r>
          </w:p>
        </w:tc>
        <w:tc>
          <w:tcPr>
            <w:tcW w:w="7427" w:type="dxa"/>
          </w:tcPr>
          <w:p w14:paraId="08817EAB" w14:textId="77777777" w:rsidR="004C7180" w:rsidRPr="00150EDC" w:rsidRDefault="00CF0754">
            <w:pPr>
              <w:pStyle w:val="TableParagraph"/>
              <w:rPr>
                <w:sz w:val="20"/>
              </w:rPr>
            </w:pPr>
            <w:r w:rsidRPr="00150EDC">
              <w:rPr>
                <w:sz w:val="20"/>
              </w:rPr>
              <w:t>Abduction</w:t>
            </w:r>
            <w:r w:rsidRPr="00150EDC">
              <w:rPr>
                <w:spacing w:val="-8"/>
                <w:sz w:val="20"/>
              </w:rPr>
              <w:t xml:space="preserve"> </w:t>
            </w:r>
            <w:r w:rsidRPr="00150EDC">
              <w:rPr>
                <w:sz w:val="20"/>
              </w:rPr>
              <w:t>of a</w:t>
            </w:r>
            <w:r w:rsidRPr="00150EDC">
              <w:rPr>
                <w:spacing w:val="-5"/>
                <w:sz w:val="20"/>
              </w:rPr>
              <w:t xml:space="preserve"> </w:t>
            </w:r>
            <w:r w:rsidRPr="00150EDC">
              <w:rPr>
                <w:spacing w:val="-4"/>
                <w:sz w:val="20"/>
              </w:rPr>
              <w:t>child</w:t>
            </w:r>
          </w:p>
        </w:tc>
      </w:tr>
      <w:tr w:rsidR="004569EE" w:rsidRPr="007D3144" w14:paraId="6D4D2144" w14:textId="77777777">
        <w:trPr>
          <w:trHeight w:val="460"/>
        </w:trPr>
        <w:tc>
          <w:tcPr>
            <w:tcW w:w="6517" w:type="dxa"/>
          </w:tcPr>
          <w:p w14:paraId="7030E9FA" w14:textId="77777777" w:rsidR="004C7180" w:rsidRPr="00150EDC" w:rsidRDefault="004C7180">
            <w:pPr>
              <w:pStyle w:val="TableParagraph"/>
              <w:spacing w:before="2" w:line="240" w:lineRule="auto"/>
              <w:ind w:left="0"/>
              <w:rPr>
                <w:sz w:val="20"/>
              </w:rPr>
            </w:pPr>
          </w:p>
          <w:p w14:paraId="1F8D1D86" w14:textId="77777777" w:rsidR="004C7180" w:rsidRPr="00150EDC" w:rsidRDefault="00CF0754">
            <w:pPr>
              <w:pStyle w:val="TableParagraph"/>
              <w:spacing w:before="0"/>
              <w:rPr>
                <w:sz w:val="20"/>
              </w:rPr>
            </w:pPr>
            <w:r w:rsidRPr="00150EDC">
              <w:rPr>
                <w:sz w:val="20"/>
              </w:rPr>
              <w:t>Children</w:t>
            </w:r>
            <w:r w:rsidRPr="00150EDC">
              <w:rPr>
                <w:spacing w:val="-10"/>
                <w:sz w:val="20"/>
              </w:rPr>
              <w:t xml:space="preserve"> </w:t>
            </w:r>
            <w:r w:rsidRPr="00150EDC">
              <w:rPr>
                <w:sz w:val="20"/>
              </w:rPr>
              <w:t>(Guernsey</w:t>
            </w:r>
            <w:r w:rsidRPr="00150EDC">
              <w:rPr>
                <w:spacing w:val="-7"/>
                <w:sz w:val="20"/>
              </w:rPr>
              <w:t xml:space="preserve"> </w:t>
            </w:r>
            <w:r w:rsidRPr="00150EDC">
              <w:rPr>
                <w:sz w:val="20"/>
              </w:rPr>
              <w:t>And</w:t>
            </w:r>
            <w:r w:rsidRPr="00150EDC">
              <w:rPr>
                <w:spacing w:val="-7"/>
                <w:sz w:val="20"/>
              </w:rPr>
              <w:t xml:space="preserve"> </w:t>
            </w:r>
            <w:r w:rsidRPr="00150EDC">
              <w:rPr>
                <w:sz w:val="20"/>
              </w:rPr>
              <w:t>Alderney)</w:t>
            </w:r>
            <w:r w:rsidRPr="00150EDC">
              <w:rPr>
                <w:spacing w:val="-3"/>
                <w:sz w:val="20"/>
              </w:rPr>
              <w:t xml:space="preserve"> </w:t>
            </w:r>
            <w:r w:rsidRPr="00150EDC">
              <w:rPr>
                <w:sz w:val="20"/>
              </w:rPr>
              <w:t>Law</w:t>
            </w:r>
            <w:r w:rsidRPr="00150EDC">
              <w:rPr>
                <w:spacing w:val="-6"/>
                <w:sz w:val="20"/>
              </w:rPr>
              <w:t xml:space="preserve"> </w:t>
            </w:r>
            <w:r w:rsidRPr="00150EDC">
              <w:rPr>
                <w:sz w:val="20"/>
              </w:rPr>
              <w:t>2008,</w:t>
            </w:r>
            <w:r w:rsidRPr="00150EDC">
              <w:rPr>
                <w:spacing w:val="-7"/>
                <w:sz w:val="20"/>
              </w:rPr>
              <w:t xml:space="preserve"> </w:t>
            </w:r>
            <w:r w:rsidRPr="00150EDC">
              <w:rPr>
                <w:spacing w:val="-5"/>
                <w:sz w:val="20"/>
              </w:rPr>
              <w:t>s94</w:t>
            </w:r>
          </w:p>
        </w:tc>
        <w:tc>
          <w:tcPr>
            <w:tcW w:w="7427" w:type="dxa"/>
          </w:tcPr>
          <w:p w14:paraId="03B26158" w14:textId="77777777" w:rsidR="004C7180" w:rsidRPr="00150EDC" w:rsidRDefault="00CF0754">
            <w:pPr>
              <w:pStyle w:val="TableParagraph"/>
              <w:spacing w:before="0" w:line="230" w:lineRule="atLeast"/>
              <w:rPr>
                <w:sz w:val="20"/>
              </w:rPr>
            </w:pPr>
            <w:r w:rsidRPr="00150EDC">
              <w:rPr>
                <w:sz w:val="20"/>
              </w:rPr>
              <w:t>Taking,</w:t>
            </w:r>
            <w:r w:rsidRPr="00150EDC">
              <w:rPr>
                <w:spacing w:val="-4"/>
                <w:sz w:val="20"/>
              </w:rPr>
              <w:t xml:space="preserve"> </w:t>
            </w:r>
            <w:r w:rsidRPr="00150EDC">
              <w:rPr>
                <w:sz w:val="20"/>
              </w:rPr>
              <w:t>keeping,</w:t>
            </w:r>
            <w:r w:rsidRPr="00150EDC">
              <w:rPr>
                <w:spacing w:val="-5"/>
                <w:sz w:val="20"/>
              </w:rPr>
              <w:t xml:space="preserve"> </w:t>
            </w:r>
            <w:r w:rsidRPr="00150EDC">
              <w:rPr>
                <w:sz w:val="20"/>
              </w:rPr>
              <w:t>inducing,</w:t>
            </w:r>
            <w:r w:rsidRPr="00150EDC">
              <w:rPr>
                <w:spacing w:val="-4"/>
                <w:sz w:val="20"/>
              </w:rPr>
              <w:t xml:space="preserve"> </w:t>
            </w:r>
            <w:r w:rsidRPr="00150EDC">
              <w:rPr>
                <w:sz w:val="20"/>
              </w:rPr>
              <w:t>assisting or</w:t>
            </w:r>
            <w:r w:rsidRPr="00150EDC">
              <w:rPr>
                <w:spacing w:val="-4"/>
                <w:sz w:val="20"/>
              </w:rPr>
              <w:t xml:space="preserve"> </w:t>
            </w:r>
            <w:r w:rsidRPr="00150EDC">
              <w:rPr>
                <w:sz w:val="20"/>
              </w:rPr>
              <w:t>inciting</w:t>
            </w:r>
            <w:r w:rsidRPr="00150EDC">
              <w:rPr>
                <w:spacing w:val="-5"/>
                <w:sz w:val="20"/>
              </w:rPr>
              <w:t xml:space="preserve"> </w:t>
            </w:r>
            <w:r w:rsidRPr="00150EDC">
              <w:rPr>
                <w:sz w:val="20"/>
              </w:rPr>
              <w:t>a</w:t>
            </w:r>
            <w:r w:rsidRPr="00150EDC">
              <w:rPr>
                <w:spacing w:val="-4"/>
                <w:sz w:val="20"/>
              </w:rPr>
              <w:t xml:space="preserve"> </w:t>
            </w:r>
            <w:r w:rsidRPr="00150EDC">
              <w:rPr>
                <w:sz w:val="20"/>
              </w:rPr>
              <w:t>child</w:t>
            </w:r>
            <w:r w:rsidRPr="00150EDC">
              <w:rPr>
                <w:spacing w:val="-5"/>
                <w:sz w:val="20"/>
              </w:rPr>
              <w:t xml:space="preserve"> </w:t>
            </w:r>
            <w:r w:rsidRPr="00150EDC">
              <w:rPr>
                <w:sz w:val="20"/>
              </w:rPr>
              <w:t>to</w:t>
            </w:r>
            <w:r w:rsidRPr="00150EDC">
              <w:rPr>
                <w:spacing w:val="-4"/>
                <w:sz w:val="20"/>
              </w:rPr>
              <w:t xml:space="preserve"> </w:t>
            </w:r>
            <w:r w:rsidRPr="00150EDC">
              <w:rPr>
                <w:sz w:val="20"/>
              </w:rPr>
              <w:t>run</w:t>
            </w:r>
            <w:r w:rsidRPr="00150EDC">
              <w:rPr>
                <w:spacing w:val="-5"/>
                <w:sz w:val="20"/>
              </w:rPr>
              <w:t xml:space="preserve"> </w:t>
            </w:r>
            <w:r w:rsidRPr="00150EDC">
              <w:rPr>
                <w:sz w:val="20"/>
              </w:rPr>
              <w:t>away or</w:t>
            </w:r>
            <w:r w:rsidRPr="00150EDC">
              <w:rPr>
                <w:spacing w:val="-4"/>
                <w:sz w:val="20"/>
              </w:rPr>
              <w:t xml:space="preserve"> </w:t>
            </w:r>
            <w:r w:rsidRPr="00150EDC">
              <w:rPr>
                <w:sz w:val="20"/>
              </w:rPr>
              <w:t>stay</w:t>
            </w:r>
            <w:r w:rsidRPr="00150EDC">
              <w:rPr>
                <w:spacing w:val="-4"/>
                <w:sz w:val="20"/>
              </w:rPr>
              <w:t xml:space="preserve"> </w:t>
            </w:r>
            <w:r w:rsidRPr="00150EDC">
              <w:rPr>
                <w:sz w:val="20"/>
              </w:rPr>
              <w:t>away from care</w:t>
            </w:r>
          </w:p>
        </w:tc>
      </w:tr>
      <w:tr w:rsidR="004569EE" w:rsidRPr="007D3144" w14:paraId="12C954B9" w14:textId="77777777">
        <w:trPr>
          <w:trHeight w:val="460"/>
        </w:trPr>
        <w:tc>
          <w:tcPr>
            <w:tcW w:w="6517" w:type="dxa"/>
          </w:tcPr>
          <w:p w14:paraId="430225AA" w14:textId="77777777" w:rsidR="004C7180" w:rsidRPr="00150EDC" w:rsidRDefault="004C7180">
            <w:pPr>
              <w:pStyle w:val="TableParagraph"/>
              <w:spacing w:before="2" w:line="240" w:lineRule="auto"/>
              <w:ind w:left="0"/>
              <w:rPr>
                <w:sz w:val="20"/>
              </w:rPr>
            </w:pPr>
          </w:p>
          <w:p w14:paraId="446BBD41" w14:textId="77777777" w:rsidR="004C7180" w:rsidRPr="00150EDC" w:rsidRDefault="00CF0754">
            <w:pPr>
              <w:pStyle w:val="TableParagraph"/>
              <w:spacing w:before="1"/>
              <w:rPr>
                <w:sz w:val="20"/>
              </w:rPr>
            </w:pPr>
            <w:r w:rsidRPr="00150EDC">
              <w:rPr>
                <w:sz w:val="20"/>
              </w:rPr>
              <w:t>Children</w:t>
            </w:r>
            <w:r w:rsidRPr="00150EDC">
              <w:rPr>
                <w:spacing w:val="-10"/>
                <w:sz w:val="20"/>
              </w:rPr>
              <w:t xml:space="preserve"> </w:t>
            </w:r>
            <w:r w:rsidRPr="00150EDC">
              <w:rPr>
                <w:sz w:val="20"/>
              </w:rPr>
              <w:t>(Jersey)</w:t>
            </w:r>
            <w:r w:rsidRPr="00150EDC">
              <w:rPr>
                <w:spacing w:val="-7"/>
                <w:sz w:val="20"/>
              </w:rPr>
              <w:t xml:space="preserve"> </w:t>
            </w:r>
            <w:r w:rsidRPr="00150EDC">
              <w:rPr>
                <w:sz w:val="20"/>
              </w:rPr>
              <w:t>Law</w:t>
            </w:r>
            <w:r w:rsidRPr="00150EDC">
              <w:rPr>
                <w:spacing w:val="-5"/>
                <w:sz w:val="20"/>
              </w:rPr>
              <w:t xml:space="preserve"> </w:t>
            </w:r>
            <w:r w:rsidRPr="00150EDC">
              <w:rPr>
                <w:sz w:val="20"/>
              </w:rPr>
              <w:t>1969,</w:t>
            </w:r>
            <w:r w:rsidRPr="00150EDC">
              <w:rPr>
                <w:spacing w:val="-7"/>
                <w:sz w:val="20"/>
              </w:rPr>
              <w:t xml:space="preserve"> </w:t>
            </w:r>
            <w:r w:rsidRPr="00150EDC">
              <w:rPr>
                <w:sz w:val="20"/>
              </w:rPr>
              <w:t>Art</w:t>
            </w:r>
            <w:r w:rsidRPr="00150EDC">
              <w:rPr>
                <w:spacing w:val="-1"/>
                <w:sz w:val="20"/>
              </w:rPr>
              <w:t xml:space="preserve"> </w:t>
            </w:r>
            <w:r w:rsidRPr="00150EDC">
              <w:rPr>
                <w:spacing w:val="-4"/>
                <w:sz w:val="20"/>
              </w:rPr>
              <w:t>71(1)</w:t>
            </w:r>
          </w:p>
        </w:tc>
        <w:tc>
          <w:tcPr>
            <w:tcW w:w="7427" w:type="dxa"/>
          </w:tcPr>
          <w:p w14:paraId="74483FED" w14:textId="77777777" w:rsidR="004C7180" w:rsidRPr="00150EDC" w:rsidRDefault="00CF0754">
            <w:pPr>
              <w:pStyle w:val="TableParagraph"/>
              <w:spacing w:before="0" w:line="230" w:lineRule="atLeast"/>
              <w:ind w:right="186"/>
              <w:rPr>
                <w:sz w:val="20"/>
              </w:rPr>
            </w:pPr>
            <w:r w:rsidRPr="00150EDC">
              <w:rPr>
                <w:sz w:val="20"/>
              </w:rPr>
              <w:t>False</w:t>
            </w:r>
            <w:r w:rsidRPr="00150EDC">
              <w:rPr>
                <w:spacing w:val="-7"/>
                <w:sz w:val="20"/>
              </w:rPr>
              <w:t xml:space="preserve"> </w:t>
            </w:r>
            <w:r w:rsidRPr="00150EDC">
              <w:rPr>
                <w:sz w:val="20"/>
              </w:rPr>
              <w:t>statements</w:t>
            </w:r>
            <w:r w:rsidRPr="00150EDC">
              <w:rPr>
                <w:spacing w:val="-6"/>
                <w:sz w:val="20"/>
              </w:rPr>
              <w:t xml:space="preserve"> </w:t>
            </w:r>
            <w:r w:rsidRPr="00150EDC">
              <w:rPr>
                <w:sz w:val="20"/>
              </w:rPr>
              <w:t>in</w:t>
            </w:r>
            <w:r w:rsidRPr="00150EDC">
              <w:rPr>
                <w:spacing w:val="-7"/>
                <w:sz w:val="20"/>
              </w:rPr>
              <w:t xml:space="preserve"> </w:t>
            </w:r>
            <w:r w:rsidRPr="00150EDC">
              <w:rPr>
                <w:sz w:val="20"/>
              </w:rPr>
              <w:t>connection</w:t>
            </w:r>
            <w:r w:rsidRPr="00150EDC">
              <w:rPr>
                <w:spacing w:val="-2"/>
                <w:sz w:val="20"/>
              </w:rPr>
              <w:t xml:space="preserve"> </w:t>
            </w:r>
            <w:r w:rsidRPr="00150EDC">
              <w:rPr>
                <w:sz w:val="20"/>
              </w:rPr>
              <w:t>with</w:t>
            </w:r>
            <w:r w:rsidRPr="00150EDC">
              <w:rPr>
                <w:spacing w:val="-7"/>
                <w:sz w:val="20"/>
              </w:rPr>
              <w:t xml:space="preserve"> </w:t>
            </w:r>
            <w:r w:rsidRPr="00150EDC">
              <w:rPr>
                <w:sz w:val="20"/>
              </w:rPr>
              <w:t>an</w:t>
            </w:r>
            <w:r w:rsidRPr="00150EDC">
              <w:rPr>
                <w:spacing w:val="-2"/>
                <w:sz w:val="20"/>
              </w:rPr>
              <w:t xml:space="preserve"> </w:t>
            </w:r>
            <w:r w:rsidRPr="00150EDC">
              <w:rPr>
                <w:sz w:val="20"/>
              </w:rPr>
              <w:t>application</w:t>
            </w:r>
            <w:r w:rsidRPr="00150EDC">
              <w:rPr>
                <w:spacing w:val="-7"/>
                <w:sz w:val="20"/>
              </w:rPr>
              <w:t xml:space="preserve"> </w:t>
            </w:r>
            <w:r w:rsidRPr="00150EDC">
              <w:rPr>
                <w:sz w:val="20"/>
              </w:rPr>
              <w:t>for</w:t>
            </w:r>
            <w:r w:rsidRPr="00150EDC">
              <w:rPr>
                <w:spacing w:val="-2"/>
                <w:sz w:val="20"/>
              </w:rPr>
              <w:t xml:space="preserve"> </w:t>
            </w:r>
            <w:r w:rsidRPr="00150EDC">
              <w:rPr>
                <w:sz w:val="20"/>
              </w:rPr>
              <w:t>registration:</w:t>
            </w:r>
            <w:r w:rsidRPr="00150EDC">
              <w:rPr>
                <w:spacing w:val="-2"/>
                <w:sz w:val="20"/>
              </w:rPr>
              <w:t xml:space="preserve"> </w:t>
            </w:r>
            <w:r w:rsidRPr="00150EDC">
              <w:rPr>
                <w:sz w:val="20"/>
              </w:rPr>
              <w:t>nurseries</w:t>
            </w:r>
            <w:r w:rsidRPr="00150EDC">
              <w:rPr>
                <w:spacing w:val="-6"/>
                <w:sz w:val="20"/>
              </w:rPr>
              <w:t xml:space="preserve"> </w:t>
            </w:r>
            <w:r w:rsidRPr="00150EDC">
              <w:rPr>
                <w:sz w:val="20"/>
              </w:rPr>
              <w:t xml:space="preserve">and </w:t>
            </w:r>
            <w:r w:rsidRPr="00150EDC">
              <w:rPr>
                <w:spacing w:val="-2"/>
                <w:sz w:val="20"/>
              </w:rPr>
              <w:t>child-minders</w:t>
            </w:r>
          </w:p>
        </w:tc>
      </w:tr>
      <w:tr w:rsidR="004569EE" w:rsidRPr="007D3144" w14:paraId="5EED4C40" w14:textId="77777777">
        <w:trPr>
          <w:trHeight w:val="460"/>
        </w:trPr>
        <w:tc>
          <w:tcPr>
            <w:tcW w:w="6517" w:type="dxa"/>
          </w:tcPr>
          <w:p w14:paraId="50C3E6CB" w14:textId="77777777" w:rsidR="004C7180" w:rsidRPr="00150EDC" w:rsidRDefault="004C7180">
            <w:pPr>
              <w:pStyle w:val="TableParagraph"/>
              <w:spacing w:before="2" w:line="240" w:lineRule="auto"/>
              <w:ind w:left="0"/>
              <w:rPr>
                <w:sz w:val="20"/>
              </w:rPr>
            </w:pPr>
          </w:p>
          <w:p w14:paraId="0679CC52" w14:textId="77777777" w:rsidR="004C7180" w:rsidRPr="00150EDC" w:rsidRDefault="00CF0754">
            <w:pPr>
              <w:pStyle w:val="TableParagraph"/>
              <w:spacing w:before="0"/>
              <w:rPr>
                <w:sz w:val="20"/>
              </w:rPr>
            </w:pPr>
            <w:r w:rsidRPr="00150EDC">
              <w:rPr>
                <w:sz w:val="20"/>
              </w:rPr>
              <w:t>Children</w:t>
            </w:r>
            <w:r w:rsidRPr="00150EDC">
              <w:rPr>
                <w:spacing w:val="-10"/>
                <w:sz w:val="20"/>
              </w:rPr>
              <w:t xml:space="preserve"> </w:t>
            </w:r>
            <w:r w:rsidRPr="00150EDC">
              <w:rPr>
                <w:sz w:val="20"/>
              </w:rPr>
              <w:t>(Jersey)</w:t>
            </w:r>
            <w:r w:rsidRPr="00150EDC">
              <w:rPr>
                <w:spacing w:val="-7"/>
                <w:sz w:val="20"/>
              </w:rPr>
              <w:t xml:space="preserve"> </w:t>
            </w:r>
            <w:r w:rsidRPr="00150EDC">
              <w:rPr>
                <w:sz w:val="20"/>
              </w:rPr>
              <w:t>Law</w:t>
            </w:r>
            <w:r w:rsidRPr="00150EDC">
              <w:rPr>
                <w:spacing w:val="-5"/>
                <w:sz w:val="20"/>
              </w:rPr>
              <w:t xml:space="preserve"> </w:t>
            </w:r>
            <w:r w:rsidRPr="00150EDC">
              <w:rPr>
                <w:sz w:val="20"/>
              </w:rPr>
              <w:t>1969,</w:t>
            </w:r>
            <w:r w:rsidRPr="00150EDC">
              <w:rPr>
                <w:spacing w:val="-7"/>
                <w:sz w:val="20"/>
              </w:rPr>
              <w:t xml:space="preserve"> </w:t>
            </w:r>
            <w:r w:rsidRPr="00150EDC">
              <w:rPr>
                <w:sz w:val="20"/>
              </w:rPr>
              <w:t>Art</w:t>
            </w:r>
            <w:r w:rsidRPr="00150EDC">
              <w:rPr>
                <w:spacing w:val="-1"/>
                <w:sz w:val="20"/>
              </w:rPr>
              <w:t xml:space="preserve"> </w:t>
            </w:r>
            <w:r w:rsidRPr="00150EDC">
              <w:rPr>
                <w:spacing w:val="-4"/>
                <w:sz w:val="20"/>
              </w:rPr>
              <w:t>71(2)</w:t>
            </w:r>
          </w:p>
        </w:tc>
        <w:tc>
          <w:tcPr>
            <w:tcW w:w="7427" w:type="dxa"/>
          </w:tcPr>
          <w:p w14:paraId="09A01FB6" w14:textId="77777777" w:rsidR="004C7180" w:rsidRPr="00150EDC" w:rsidRDefault="00CF0754">
            <w:pPr>
              <w:pStyle w:val="TableParagraph"/>
              <w:spacing w:before="0" w:line="230" w:lineRule="atLeast"/>
              <w:ind w:right="186"/>
              <w:rPr>
                <w:sz w:val="20"/>
              </w:rPr>
            </w:pPr>
            <w:r w:rsidRPr="00150EDC">
              <w:rPr>
                <w:sz w:val="20"/>
              </w:rPr>
              <w:t>Occupier</w:t>
            </w:r>
            <w:r w:rsidRPr="00150EDC">
              <w:rPr>
                <w:spacing w:val="-5"/>
                <w:sz w:val="20"/>
              </w:rPr>
              <w:t xml:space="preserve"> </w:t>
            </w:r>
            <w:r w:rsidRPr="00150EDC">
              <w:rPr>
                <w:sz w:val="20"/>
              </w:rPr>
              <w:t>of</w:t>
            </w:r>
            <w:r w:rsidRPr="00150EDC">
              <w:rPr>
                <w:spacing w:val="-5"/>
                <w:sz w:val="20"/>
              </w:rPr>
              <w:t xml:space="preserve"> </w:t>
            </w:r>
            <w:r w:rsidRPr="00150EDC">
              <w:rPr>
                <w:sz w:val="20"/>
              </w:rPr>
              <w:t>premises</w:t>
            </w:r>
            <w:r w:rsidRPr="00150EDC">
              <w:rPr>
                <w:spacing w:val="-4"/>
                <w:sz w:val="20"/>
              </w:rPr>
              <w:t xml:space="preserve"> </w:t>
            </w:r>
            <w:r w:rsidRPr="00150EDC">
              <w:rPr>
                <w:sz w:val="20"/>
              </w:rPr>
              <w:t>used</w:t>
            </w:r>
            <w:r w:rsidRPr="00150EDC">
              <w:rPr>
                <w:spacing w:val="-5"/>
                <w:sz w:val="20"/>
              </w:rPr>
              <w:t xml:space="preserve"> </w:t>
            </w:r>
            <w:r w:rsidRPr="00150EDC">
              <w:rPr>
                <w:sz w:val="20"/>
              </w:rPr>
              <w:t>as</w:t>
            </w:r>
            <w:r w:rsidRPr="00150EDC">
              <w:rPr>
                <w:spacing w:val="-4"/>
                <w:sz w:val="20"/>
              </w:rPr>
              <w:t xml:space="preserve"> </w:t>
            </w:r>
            <w:r w:rsidRPr="00150EDC">
              <w:rPr>
                <w:sz w:val="20"/>
              </w:rPr>
              <w:t>a nursery</w:t>
            </w:r>
            <w:r w:rsidRPr="00150EDC">
              <w:rPr>
                <w:spacing w:val="-4"/>
                <w:sz w:val="20"/>
              </w:rPr>
              <w:t xml:space="preserve"> </w:t>
            </w:r>
            <w:r w:rsidRPr="00150EDC">
              <w:rPr>
                <w:sz w:val="20"/>
              </w:rPr>
              <w:t>or</w:t>
            </w:r>
            <w:r w:rsidRPr="00150EDC">
              <w:rPr>
                <w:spacing w:val="-5"/>
                <w:sz w:val="20"/>
              </w:rPr>
              <w:t xml:space="preserve"> </w:t>
            </w:r>
            <w:r w:rsidRPr="00150EDC">
              <w:rPr>
                <w:sz w:val="20"/>
              </w:rPr>
              <w:t>for child-minding</w:t>
            </w:r>
            <w:r w:rsidRPr="00150EDC">
              <w:rPr>
                <w:spacing w:val="-5"/>
                <w:sz w:val="20"/>
              </w:rPr>
              <w:t xml:space="preserve"> </w:t>
            </w:r>
            <w:r w:rsidRPr="00150EDC">
              <w:rPr>
                <w:sz w:val="20"/>
              </w:rPr>
              <w:t>when not</w:t>
            </w:r>
            <w:r w:rsidRPr="00150EDC">
              <w:rPr>
                <w:spacing w:val="-5"/>
                <w:sz w:val="20"/>
              </w:rPr>
              <w:t xml:space="preserve"> </w:t>
            </w:r>
            <w:r w:rsidRPr="00150EDC">
              <w:rPr>
                <w:sz w:val="20"/>
              </w:rPr>
              <w:t>registered or in contravention of registration</w:t>
            </w:r>
          </w:p>
        </w:tc>
      </w:tr>
      <w:tr w:rsidR="004569EE" w:rsidRPr="007D3144" w14:paraId="1BB3C2EA" w14:textId="77777777">
        <w:trPr>
          <w:trHeight w:val="460"/>
        </w:trPr>
        <w:tc>
          <w:tcPr>
            <w:tcW w:w="6517" w:type="dxa"/>
          </w:tcPr>
          <w:p w14:paraId="509329DC" w14:textId="77777777" w:rsidR="004C7180" w:rsidRPr="00150EDC" w:rsidRDefault="004C7180">
            <w:pPr>
              <w:pStyle w:val="TableParagraph"/>
              <w:spacing w:before="2" w:line="240" w:lineRule="auto"/>
              <w:ind w:left="0"/>
              <w:rPr>
                <w:sz w:val="20"/>
              </w:rPr>
            </w:pPr>
          </w:p>
          <w:p w14:paraId="38B9CB5E" w14:textId="77777777" w:rsidR="004C7180" w:rsidRPr="00150EDC" w:rsidRDefault="00CF0754">
            <w:pPr>
              <w:pStyle w:val="TableParagraph"/>
              <w:spacing w:before="1"/>
              <w:rPr>
                <w:sz w:val="20"/>
              </w:rPr>
            </w:pPr>
            <w:r w:rsidRPr="00150EDC">
              <w:rPr>
                <w:sz w:val="20"/>
              </w:rPr>
              <w:t>Children</w:t>
            </w:r>
            <w:r w:rsidRPr="00150EDC">
              <w:rPr>
                <w:spacing w:val="-10"/>
                <w:sz w:val="20"/>
              </w:rPr>
              <w:t xml:space="preserve"> </w:t>
            </w:r>
            <w:r w:rsidRPr="00150EDC">
              <w:rPr>
                <w:sz w:val="20"/>
              </w:rPr>
              <w:t>(Jersey)</w:t>
            </w:r>
            <w:r w:rsidRPr="00150EDC">
              <w:rPr>
                <w:spacing w:val="-7"/>
                <w:sz w:val="20"/>
              </w:rPr>
              <w:t xml:space="preserve"> </w:t>
            </w:r>
            <w:r w:rsidRPr="00150EDC">
              <w:rPr>
                <w:sz w:val="20"/>
              </w:rPr>
              <w:t>Law</w:t>
            </w:r>
            <w:r w:rsidRPr="00150EDC">
              <w:rPr>
                <w:spacing w:val="-5"/>
                <w:sz w:val="20"/>
              </w:rPr>
              <w:t xml:space="preserve"> </w:t>
            </w:r>
            <w:r w:rsidRPr="00150EDC">
              <w:rPr>
                <w:sz w:val="20"/>
              </w:rPr>
              <w:t>1969,</w:t>
            </w:r>
            <w:r w:rsidRPr="00150EDC">
              <w:rPr>
                <w:spacing w:val="-7"/>
                <w:sz w:val="20"/>
              </w:rPr>
              <w:t xml:space="preserve"> </w:t>
            </w:r>
            <w:r w:rsidRPr="00150EDC">
              <w:rPr>
                <w:sz w:val="20"/>
              </w:rPr>
              <w:t>Art</w:t>
            </w:r>
            <w:r w:rsidRPr="00150EDC">
              <w:rPr>
                <w:spacing w:val="-1"/>
                <w:sz w:val="20"/>
              </w:rPr>
              <w:t xml:space="preserve"> </w:t>
            </w:r>
            <w:r w:rsidRPr="00150EDC">
              <w:rPr>
                <w:spacing w:val="-4"/>
                <w:sz w:val="20"/>
              </w:rPr>
              <w:t>71(3)</w:t>
            </w:r>
          </w:p>
        </w:tc>
        <w:tc>
          <w:tcPr>
            <w:tcW w:w="7427" w:type="dxa"/>
          </w:tcPr>
          <w:p w14:paraId="4ABBA4F2" w14:textId="77777777" w:rsidR="004C7180" w:rsidRPr="00150EDC" w:rsidRDefault="00CF0754">
            <w:pPr>
              <w:pStyle w:val="TableParagraph"/>
              <w:spacing w:before="0" w:line="230" w:lineRule="atLeast"/>
              <w:rPr>
                <w:sz w:val="20"/>
              </w:rPr>
            </w:pPr>
            <w:r w:rsidRPr="00150EDC">
              <w:rPr>
                <w:sz w:val="20"/>
              </w:rPr>
              <w:t>Providing</w:t>
            </w:r>
            <w:r w:rsidRPr="00150EDC">
              <w:rPr>
                <w:spacing w:val="-7"/>
                <w:sz w:val="20"/>
              </w:rPr>
              <w:t xml:space="preserve"> </w:t>
            </w:r>
            <w:r w:rsidRPr="00150EDC">
              <w:rPr>
                <w:sz w:val="20"/>
              </w:rPr>
              <w:t>nursery</w:t>
            </w:r>
            <w:r w:rsidRPr="00150EDC">
              <w:rPr>
                <w:spacing w:val="-2"/>
                <w:sz w:val="20"/>
              </w:rPr>
              <w:t xml:space="preserve"> </w:t>
            </w:r>
            <w:r w:rsidRPr="00150EDC">
              <w:rPr>
                <w:sz w:val="20"/>
              </w:rPr>
              <w:t>or</w:t>
            </w:r>
            <w:r w:rsidRPr="00150EDC">
              <w:rPr>
                <w:spacing w:val="-7"/>
                <w:sz w:val="20"/>
              </w:rPr>
              <w:t xml:space="preserve"> </w:t>
            </w:r>
            <w:r w:rsidRPr="00150EDC">
              <w:rPr>
                <w:sz w:val="20"/>
              </w:rPr>
              <w:t>child-minding</w:t>
            </w:r>
            <w:r w:rsidRPr="00150EDC">
              <w:rPr>
                <w:spacing w:val="-7"/>
                <w:sz w:val="20"/>
              </w:rPr>
              <w:t xml:space="preserve"> </w:t>
            </w:r>
            <w:r w:rsidRPr="00150EDC">
              <w:rPr>
                <w:sz w:val="20"/>
              </w:rPr>
              <w:t>when</w:t>
            </w:r>
            <w:r w:rsidRPr="00150EDC">
              <w:rPr>
                <w:spacing w:val="-3"/>
                <w:sz w:val="20"/>
              </w:rPr>
              <w:t xml:space="preserve"> </w:t>
            </w:r>
            <w:r w:rsidRPr="00150EDC">
              <w:rPr>
                <w:sz w:val="20"/>
              </w:rPr>
              <w:t>not</w:t>
            </w:r>
            <w:r w:rsidRPr="00150EDC">
              <w:rPr>
                <w:spacing w:val="-3"/>
                <w:sz w:val="20"/>
              </w:rPr>
              <w:t xml:space="preserve"> </w:t>
            </w:r>
            <w:r w:rsidRPr="00150EDC">
              <w:rPr>
                <w:sz w:val="20"/>
              </w:rPr>
              <w:t>registered</w:t>
            </w:r>
            <w:r w:rsidRPr="00150EDC">
              <w:rPr>
                <w:spacing w:val="-3"/>
                <w:sz w:val="20"/>
              </w:rPr>
              <w:t xml:space="preserve"> </w:t>
            </w:r>
            <w:r w:rsidRPr="00150EDC">
              <w:rPr>
                <w:sz w:val="20"/>
              </w:rPr>
              <w:t>or</w:t>
            </w:r>
            <w:r w:rsidRPr="00150EDC">
              <w:rPr>
                <w:spacing w:val="-3"/>
                <w:sz w:val="20"/>
              </w:rPr>
              <w:t xml:space="preserve"> </w:t>
            </w:r>
            <w:r w:rsidRPr="00150EDC">
              <w:rPr>
                <w:sz w:val="20"/>
              </w:rPr>
              <w:t>in</w:t>
            </w:r>
            <w:r w:rsidRPr="00150EDC">
              <w:rPr>
                <w:spacing w:val="-7"/>
                <w:sz w:val="20"/>
              </w:rPr>
              <w:t xml:space="preserve"> </w:t>
            </w:r>
            <w:r w:rsidRPr="00150EDC">
              <w:rPr>
                <w:sz w:val="20"/>
              </w:rPr>
              <w:t>contravention</w:t>
            </w:r>
            <w:r w:rsidRPr="00150EDC">
              <w:rPr>
                <w:spacing w:val="-7"/>
                <w:sz w:val="20"/>
              </w:rPr>
              <w:t xml:space="preserve"> </w:t>
            </w:r>
            <w:r w:rsidRPr="00150EDC">
              <w:rPr>
                <w:sz w:val="20"/>
              </w:rPr>
              <w:t>of registration requirements</w:t>
            </w:r>
          </w:p>
        </w:tc>
      </w:tr>
      <w:tr w:rsidR="004569EE" w:rsidRPr="007D3144" w14:paraId="44E53ACE" w14:textId="77777777">
        <w:trPr>
          <w:trHeight w:val="255"/>
        </w:trPr>
        <w:tc>
          <w:tcPr>
            <w:tcW w:w="6517" w:type="dxa"/>
          </w:tcPr>
          <w:p w14:paraId="5A494D2B" w14:textId="77777777" w:rsidR="004C7180" w:rsidRPr="00150EDC" w:rsidRDefault="00CF0754">
            <w:pPr>
              <w:pStyle w:val="TableParagraph"/>
              <w:rPr>
                <w:sz w:val="20"/>
              </w:rPr>
            </w:pPr>
            <w:r w:rsidRPr="00150EDC">
              <w:rPr>
                <w:sz w:val="20"/>
              </w:rPr>
              <w:t>Children</w:t>
            </w:r>
            <w:r w:rsidRPr="00150EDC">
              <w:rPr>
                <w:spacing w:val="-10"/>
                <w:sz w:val="20"/>
              </w:rPr>
              <w:t xml:space="preserve"> </w:t>
            </w:r>
            <w:r w:rsidRPr="00150EDC">
              <w:rPr>
                <w:sz w:val="20"/>
              </w:rPr>
              <w:t>(Jersey)</w:t>
            </w:r>
            <w:r w:rsidRPr="00150EDC">
              <w:rPr>
                <w:spacing w:val="-7"/>
                <w:sz w:val="20"/>
              </w:rPr>
              <w:t xml:space="preserve"> </w:t>
            </w:r>
            <w:r w:rsidRPr="00150EDC">
              <w:rPr>
                <w:sz w:val="20"/>
              </w:rPr>
              <w:t>Law</w:t>
            </w:r>
            <w:r w:rsidRPr="00150EDC">
              <w:rPr>
                <w:spacing w:val="-5"/>
                <w:sz w:val="20"/>
              </w:rPr>
              <w:t xml:space="preserve"> </w:t>
            </w:r>
            <w:r w:rsidRPr="00150EDC">
              <w:rPr>
                <w:sz w:val="20"/>
              </w:rPr>
              <w:t>1969,</w:t>
            </w:r>
            <w:r w:rsidRPr="00150EDC">
              <w:rPr>
                <w:spacing w:val="-7"/>
                <w:sz w:val="20"/>
              </w:rPr>
              <w:t xml:space="preserve"> </w:t>
            </w:r>
            <w:r w:rsidRPr="00150EDC">
              <w:rPr>
                <w:sz w:val="20"/>
              </w:rPr>
              <w:t>Art</w:t>
            </w:r>
            <w:r w:rsidRPr="00150EDC">
              <w:rPr>
                <w:spacing w:val="-1"/>
                <w:sz w:val="20"/>
              </w:rPr>
              <w:t xml:space="preserve"> </w:t>
            </w:r>
            <w:r w:rsidRPr="00150EDC">
              <w:rPr>
                <w:spacing w:val="-4"/>
                <w:sz w:val="20"/>
              </w:rPr>
              <w:t>71(5)</w:t>
            </w:r>
          </w:p>
        </w:tc>
        <w:tc>
          <w:tcPr>
            <w:tcW w:w="7427" w:type="dxa"/>
          </w:tcPr>
          <w:p w14:paraId="4922535F" w14:textId="77777777" w:rsidR="004C7180" w:rsidRPr="00150EDC" w:rsidRDefault="00CF0754">
            <w:pPr>
              <w:pStyle w:val="TableParagraph"/>
              <w:rPr>
                <w:sz w:val="20"/>
              </w:rPr>
            </w:pPr>
            <w:r w:rsidRPr="00150EDC">
              <w:rPr>
                <w:sz w:val="20"/>
              </w:rPr>
              <w:t>Failing</w:t>
            </w:r>
            <w:r w:rsidRPr="00150EDC">
              <w:rPr>
                <w:spacing w:val="-7"/>
                <w:sz w:val="20"/>
              </w:rPr>
              <w:t xml:space="preserve"> </w:t>
            </w:r>
            <w:r w:rsidRPr="00150EDC">
              <w:rPr>
                <w:sz w:val="20"/>
              </w:rPr>
              <w:t>to</w:t>
            </w:r>
            <w:r w:rsidRPr="00150EDC">
              <w:rPr>
                <w:spacing w:val="-5"/>
                <w:sz w:val="20"/>
              </w:rPr>
              <w:t xml:space="preserve"> </w:t>
            </w:r>
            <w:r w:rsidRPr="00150EDC">
              <w:rPr>
                <w:sz w:val="20"/>
              </w:rPr>
              <w:t>comply</w:t>
            </w:r>
            <w:r w:rsidRPr="00150EDC">
              <w:rPr>
                <w:spacing w:val="-3"/>
                <w:sz w:val="20"/>
              </w:rPr>
              <w:t xml:space="preserve"> </w:t>
            </w:r>
            <w:r w:rsidRPr="00150EDC">
              <w:rPr>
                <w:sz w:val="20"/>
              </w:rPr>
              <w:t>with</w:t>
            </w:r>
            <w:r w:rsidRPr="00150EDC">
              <w:rPr>
                <w:spacing w:val="-5"/>
                <w:sz w:val="20"/>
              </w:rPr>
              <w:t xml:space="preserve"> </w:t>
            </w:r>
            <w:r w:rsidRPr="00150EDC">
              <w:rPr>
                <w:sz w:val="20"/>
              </w:rPr>
              <w:t>conditions</w:t>
            </w:r>
            <w:r w:rsidRPr="00150EDC">
              <w:rPr>
                <w:spacing w:val="-4"/>
                <w:sz w:val="20"/>
              </w:rPr>
              <w:t xml:space="preserve"> </w:t>
            </w:r>
            <w:r w:rsidRPr="00150EDC">
              <w:rPr>
                <w:sz w:val="20"/>
              </w:rPr>
              <w:t>of registration</w:t>
            </w:r>
            <w:r w:rsidRPr="00150EDC">
              <w:rPr>
                <w:spacing w:val="-5"/>
                <w:sz w:val="20"/>
              </w:rPr>
              <w:t xml:space="preserve"> </w:t>
            </w:r>
            <w:r w:rsidRPr="00150EDC">
              <w:rPr>
                <w:sz w:val="20"/>
              </w:rPr>
              <w:t>as</w:t>
            </w:r>
            <w:r w:rsidRPr="00150EDC">
              <w:rPr>
                <w:spacing w:val="1"/>
                <w:sz w:val="20"/>
              </w:rPr>
              <w:t xml:space="preserve"> </w:t>
            </w:r>
            <w:r w:rsidRPr="00150EDC">
              <w:rPr>
                <w:sz w:val="20"/>
              </w:rPr>
              <w:t>a</w:t>
            </w:r>
            <w:r w:rsidRPr="00150EDC">
              <w:rPr>
                <w:spacing w:val="-5"/>
                <w:sz w:val="20"/>
              </w:rPr>
              <w:t xml:space="preserve"> </w:t>
            </w:r>
            <w:r w:rsidRPr="00150EDC">
              <w:rPr>
                <w:sz w:val="20"/>
              </w:rPr>
              <w:t>nursery</w:t>
            </w:r>
            <w:r w:rsidRPr="00150EDC">
              <w:rPr>
                <w:spacing w:val="-4"/>
                <w:sz w:val="20"/>
              </w:rPr>
              <w:t xml:space="preserve"> </w:t>
            </w:r>
            <w:r w:rsidRPr="00150EDC">
              <w:rPr>
                <w:sz w:val="20"/>
              </w:rPr>
              <w:t>or</w:t>
            </w:r>
            <w:r w:rsidRPr="00150EDC">
              <w:rPr>
                <w:spacing w:val="-4"/>
                <w:sz w:val="20"/>
              </w:rPr>
              <w:t xml:space="preserve"> </w:t>
            </w:r>
            <w:r w:rsidRPr="00150EDC">
              <w:rPr>
                <w:sz w:val="20"/>
              </w:rPr>
              <w:t>child-</w:t>
            </w:r>
            <w:r w:rsidRPr="00150EDC">
              <w:rPr>
                <w:spacing w:val="-2"/>
                <w:sz w:val="20"/>
              </w:rPr>
              <w:t>minder</w:t>
            </w:r>
          </w:p>
        </w:tc>
      </w:tr>
      <w:tr w:rsidR="004569EE" w:rsidRPr="007D3144" w14:paraId="1FA11777" w14:textId="77777777">
        <w:trPr>
          <w:trHeight w:val="255"/>
        </w:trPr>
        <w:tc>
          <w:tcPr>
            <w:tcW w:w="6517" w:type="dxa"/>
          </w:tcPr>
          <w:p w14:paraId="290DBBC4" w14:textId="77777777" w:rsidR="004C7180" w:rsidRPr="00150EDC" w:rsidRDefault="00CF0754">
            <w:pPr>
              <w:pStyle w:val="TableParagraph"/>
              <w:rPr>
                <w:sz w:val="20"/>
              </w:rPr>
            </w:pPr>
            <w:r w:rsidRPr="00150EDC">
              <w:rPr>
                <w:sz w:val="20"/>
              </w:rPr>
              <w:t>Children</w:t>
            </w:r>
            <w:r w:rsidRPr="00150EDC">
              <w:rPr>
                <w:spacing w:val="-10"/>
                <w:sz w:val="20"/>
              </w:rPr>
              <w:t xml:space="preserve"> </w:t>
            </w:r>
            <w:r w:rsidRPr="00150EDC">
              <w:rPr>
                <w:sz w:val="20"/>
              </w:rPr>
              <w:t>(Jersey)</w:t>
            </w:r>
            <w:r w:rsidRPr="00150EDC">
              <w:rPr>
                <w:spacing w:val="-7"/>
                <w:sz w:val="20"/>
              </w:rPr>
              <w:t xml:space="preserve"> </w:t>
            </w:r>
            <w:r w:rsidRPr="00150EDC">
              <w:rPr>
                <w:sz w:val="20"/>
              </w:rPr>
              <w:t>Law</w:t>
            </w:r>
            <w:r w:rsidRPr="00150EDC">
              <w:rPr>
                <w:spacing w:val="-5"/>
                <w:sz w:val="20"/>
              </w:rPr>
              <w:t xml:space="preserve"> </w:t>
            </w:r>
            <w:r w:rsidRPr="00150EDC">
              <w:rPr>
                <w:sz w:val="20"/>
              </w:rPr>
              <w:t>1969,</w:t>
            </w:r>
            <w:r w:rsidRPr="00150EDC">
              <w:rPr>
                <w:spacing w:val="-7"/>
                <w:sz w:val="20"/>
              </w:rPr>
              <w:t xml:space="preserve"> </w:t>
            </w:r>
            <w:r w:rsidRPr="00150EDC">
              <w:rPr>
                <w:sz w:val="20"/>
              </w:rPr>
              <w:t>Art</w:t>
            </w:r>
            <w:r w:rsidRPr="00150EDC">
              <w:rPr>
                <w:spacing w:val="-1"/>
                <w:sz w:val="20"/>
              </w:rPr>
              <w:t xml:space="preserve"> </w:t>
            </w:r>
            <w:r w:rsidRPr="00150EDC">
              <w:rPr>
                <w:spacing w:val="-5"/>
                <w:sz w:val="20"/>
              </w:rPr>
              <w:t>78</w:t>
            </w:r>
          </w:p>
        </w:tc>
        <w:tc>
          <w:tcPr>
            <w:tcW w:w="7427" w:type="dxa"/>
          </w:tcPr>
          <w:p w14:paraId="0EE91A42" w14:textId="77777777" w:rsidR="004C7180" w:rsidRPr="00150EDC" w:rsidRDefault="00CF0754">
            <w:pPr>
              <w:pStyle w:val="TableParagraph"/>
              <w:rPr>
                <w:sz w:val="20"/>
              </w:rPr>
            </w:pPr>
            <w:r w:rsidRPr="00150EDC">
              <w:rPr>
                <w:sz w:val="20"/>
              </w:rPr>
              <w:t>Carrying</w:t>
            </w:r>
            <w:r w:rsidRPr="00150EDC">
              <w:rPr>
                <w:spacing w:val="-1"/>
                <w:sz w:val="20"/>
              </w:rPr>
              <w:t xml:space="preserve"> </w:t>
            </w:r>
            <w:r w:rsidRPr="00150EDC">
              <w:rPr>
                <w:sz w:val="20"/>
              </w:rPr>
              <w:t>on</w:t>
            </w:r>
            <w:r w:rsidRPr="00150EDC">
              <w:rPr>
                <w:spacing w:val="-6"/>
                <w:sz w:val="20"/>
              </w:rPr>
              <w:t xml:space="preserve"> </w:t>
            </w:r>
            <w:r w:rsidRPr="00150EDC">
              <w:rPr>
                <w:sz w:val="20"/>
              </w:rPr>
              <w:t>a</w:t>
            </w:r>
            <w:r w:rsidRPr="00150EDC">
              <w:rPr>
                <w:spacing w:val="-5"/>
                <w:sz w:val="20"/>
              </w:rPr>
              <w:t xml:space="preserve"> </w:t>
            </w:r>
            <w:r w:rsidRPr="00150EDC">
              <w:rPr>
                <w:sz w:val="20"/>
              </w:rPr>
              <w:t>voluntary</w:t>
            </w:r>
            <w:r w:rsidRPr="00150EDC">
              <w:rPr>
                <w:spacing w:val="-5"/>
                <w:sz w:val="20"/>
              </w:rPr>
              <w:t xml:space="preserve"> </w:t>
            </w:r>
            <w:r w:rsidRPr="00150EDC">
              <w:rPr>
                <w:sz w:val="20"/>
              </w:rPr>
              <w:t>home</w:t>
            </w:r>
            <w:r w:rsidRPr="00150EDC">
              <w:rPr>
                <w:spacing w:val="-5"/>
                <w:sz w:val="20"/>
              </w:rPr>
              <w:t xml:space="preserve"> </w:t>
            </w:r>
            <w:r w:rsidRPr="00150EDC">
              <w:rPr>
                <w:sz w:val="20"/>
              </w:rPr>
              <w:t>when</w:t>
            </w:r>
            <w:r w:rsidRPr="00150EDC">
              <w:rPr>
                <w:spacing w:val="-1"/>
                <w:sz w:val="20"/>
              </w:rPr>
              <w:t xml:space="preserve"> </w:t>
            </w:r>
            <w:r w:rsidRPr="00150EDC">
              <w:rPr>
                <w:sz w:val="20"/>
              </w:rPr>
              <w:t>not</w:t>
            </w:r>
            <w:r w:rsidRPr="00150EDC">
              <w:rPr>
                <w:spacing w:val="-1"/>
                <w:sz w:val="20"/>
              </w:rPr>
              <w:t xml:space="preserve"> </w:t>
            </w:r>
            <w:r w:rsidRPr="00150EDC">
              <w:rPr>
                <w:spacing w:val="-2"/>
                <w:sz w:val="20"/>
              </w:rPr>
              <w:t>registered</w:t>
            </w:r>
          </w:p>
        </w:tc>
      </w:tr>
      <w:tr w:rsidR="004569EE" w:rsidRPr="007D3144" w14:paraId="670FA0C9" w14:textId="77777777">
        <w:trPr>
          <w:trHeight w:val="255"/>
        </w:trPr>
        <w:tc>
          <w:tcPr>
            <w:tcW w:w="6517" w:type="dxa"/>
          </w:tcPr>
          <w:p w14:paraId="020E00A2" w14:textId="77777777" w:rsidR="004C7180" w:rsidRPr="00150EDC" w:rsidRDefault="00CF0754">
            <w:pPr>
              <w:pStyle w:val="TableParagraph"/>
              <w:rPr>
                <w:sz w:val="20"/>
              </w:rPr>
            </w:pPr>
            <w:r w:rsidRPr="00150EDC">
              <w:rPr>
                <w:sz w:val="20"/>
              </w:rPr>
              <w:t>Children</w:t>
            </w:r>
            <w:r w:rsidRPr="00150EDC">
              <w:rPr>
                <w:spacing w:val="-11"/>
                <w:sz w:val="20"/>
              </w:rPr>
              <w:t xml:space="preserve"> </w:t>
            </w:r>
            <w:r w:rsidRPr="00150EDC">
              <w:rPr>
                <w:sz w:val="20"/>
              </w:rPr>
              <w:t>(Jersey)</w:t>
            </w:r>
            <w:r w:rsidRPr="00150EDC">
              <w:rPr>
                <w:spacing w:val="-8"/>
                <w:sz w:val="20"/>
              </w:rPr>
              <w:t xml:space="preserve"> </w:t>
            </w:r>
            <w:r w:rsidRPr="00150EDC">
              <w:rPr>
                <w:sz w:val="20"/>
              </w:rPr>
              <w:t>Law</w:t>
            </w:r>
            <w:r w:rsidRPr="00150EDC">
              <w:rPr>
                <w:spacing w:val="-6"/>
                <w:sz w:val="20"/>
              </w:rPr>
              <w:t xml:space="preserve"> </w:t>
            </w:r>
            <w:r w:rsidRPr="00150EDC">
              <w:rPr>
                <w:sz w:val="20"/>
              </w:rPr>
              <w:t>1969,</w:t>
            </w:r>
            <w:r w:rsidRPr="00150EDC">
              <w:rPr>
                <w:spacing w:val="-3"/>
                <w:sz w:val="20"/>
              </w:rPr>
              <w:t xml:space="preserve"> </w:t>
            </w:r>
            <w:r w:rsidRPr="00150EDC">
              <w:rPr>
                <w:spacing w:val="-2"/>
                <w:sz w:val="20"/>
              </w:rPr>
              <w:t>art.100</w:t>
            </w:r>
          </w:p>
        </w:tc>
        <w:tc>
          <w:tcPr>
            <w:tcW w:w="7427" w:type="dxa"/>
          </w:tcPr>
          <w:p w14:paraId="6E3AF681" w14:textId="77777777" w:rsidR="004C7180" w:rsidRPr="00150EDC" w:rsidRDefault="00CF0754">
            <w:pPr>
              <w:pStyle w:val="TableParagraph"/>
              <w:rPr>
                <w:sz w:val="20"/>
              </w:rPr>
            </w:pPr>
            <w:r w:rsidRPr="00150EDC">
              <w:rPr>
                <w:sz w:val="20"/>
              </w:rPr>
              <w:t>Unlawfully</w:t>
            </w:r>
            <w:r w:rsidRPr="00150EDC">
              <w:rPr>
                <w:spacing w:val="-6"/>
                <w:sz w:val="20"/>
              </w:rPr>
              <w:t xml:space="preserve"> </w:t>
            </w:r>
            <w:r w:rsidRPr="00150EDC">
              <w:rPr>
                <w:sz w:val="20"/>
              </w:rPr>
              <w:t>removing</w:t>
            </w:r>
            <w:r w:rsidRPr="00150EDC">
              <w:rPr>
                <w:spacing w:val="-6"/>
                <w:sz w:val="20"/>
              </w:rPr>
              <w:t xml:space="preserve"> </w:t>
            </w:r>
            <w:r w:rsidRPr="00150EDC">
              <w:rPr>
                <w:sz w:val="20"/>
              </w:rPr>
              <w:t>child</w:t>
            </w:r>
            <w:r w:rsidRPr="00150EDC">
              <w:rPr>
                <w:spacing w:val="-2"/>
                <w:sz w:val="20"/>
              </w:rPr>
              <w:t xml:space="preserve"> </w:t>
            </w:r>
            <w:r w:rsidRPr="00150EDC">
              <w:rPr>
                <w:sz w:val="20"/>
              </w:rPr>
              <w:t>from</w:t>
            </w:r>
            <w:r w:rsidRPr="00150EDC">
              <w:rPr>
                <w:spacing w:val="-2"/>
                <w:sz w:val="20"/>
              </w:rPr>
              <w:t xml:space="preserve"> </w:t>
            </w:r>
            <w:r w:rsidRPr="00150EDC">
              <w:rPr>
                <w:sz w:val="20"/>
              </w:rPr>
              <w:t>care</w:t>
            </w:r>
            <w:r w:rsidRPr="00150EDC">
              <w:rPr>
                <w:spacing w:val="-1"/>
                <w:sz w:val="20"/>
              </w:rPr>
              <w:t xml:space="preserve"> </w:t>
            </w:r>
            <w:r w:rsidRPr="00150EDC">
              <w:rPr>
                <w:sz w:val="20"/>
              </w:rPr>
              <w:t>of</w:t>
            </w:r>
            <w:r w:rsidRPr="00150EDC">
              <w:rPr>
                <w:spacing w:val="-7"/>
                <w:sz w:val="20"/>
              </w:rPr>
              <w:t xml:space="preserve"> </w:t>
            </w:r>
            <w:r w:rsidRPr="00150EDC">
              <w:rPr>
                <w:sz w:val="20"/>
              </w:rPr>
              <w:t>fit</w:t>
            </w:r>
            <w:r w:rsidRPr="00150EDC">
              <w:rPr>
                <w:spacing w:val="-5"/>
                <w:sz w:val="20"/>
              </w:rPr>
              <w:t xml:space="preserve"> </w:t>
            </w:r>
            <w:r w:rsidRPr="00150EDC">
              <w:rPr>
                <w:spacing w:val="-2"/>
                <w:sz w:val="20"/>
              </w:rPr>
              <w:t>person</w:t>
            </w:r>
          </w:p>
        </w:tc>
      </w:tr>
      <w:tr w:rsidR="004569EE" w:rsidRPr="007D3144" w14:paraId="1A188DE5" w14:textId="77777777">
        <w:trPr>
          <w:trHeight w:val="255"/>
        </w:trPr>
        <w:tc>
          <w:tcPr>
            <w:tcW w:w="6517" w:type="dxa"/>
          </w:tcPr>
          <w:p w14:paraId="5D981B68" w14:textId="77777777" w:rsidR="004C7180" w:rsidRPr="00150EDC" w:rsidRDefault="00CF0754">
            <w:pPr>
              <w:pStyle w:val="TableParagraph"/>
              <w:spacing w:before="28"/>
              <w:rPr>
                <w:sz w:val="20"/>
              </w:rPr>
            </w:pPr>
            <w:r w:rsidRPr="00150EDC">
              <w:rPr>
                <w:sz w:val="20"/>
              </w:rPr>
              <w:t>Children</w:t>
            </w:r>
            <w:r w:rsidRPr="00150EDC">
              <w:rPr>
                <w:spacing w:val="-9"/>
                <w:sz w:val="20"/>
              </w:rPr>
              <w:t xml:space="preserve"> </w:t>
            </w:r>
            <w:r w:rsidRPr="00150EDC">
              <w:rPr>
                <w:sz w:val="20"/>
              </w:rPr>
              <w:t>(Jersey)</w:t>
            </w:r>
            <w:r w:rsidRPr="00150EDC">
              <w:rPr>
                <w:spacing w:val="-7"/>
                <w:sz w:val="20"/>
              </w:rPr>
              <w:t xml:space="preserve"> </w:t>
            </w:r>
            <w:r w:rsidRPr="00150EDC">
              <w:rPr>
                <w:sz w:val="20"/>
              </w:rPr>
              <w:t>Law</w:t>
            </w:r>
            <w:r w:rsidRPr="00150EDC">
              <w:rPr>
                <w:spacing w:val="-5"/>
                <w:sz w:val="20"/>
              </w:rPr>
              <w:t xml:space="preserve"> </w:t>
            </w:r>
            <w:r w:rsidRPr="00150EDC">
              <w:rPr>
                <w:sz w:val="20"/>
              </w:rPr>
              <w:t>1969,</w:t>
            </w:r>
            <w:r w:rsidRPr="00150EDC">
              <w:rPr>
                <w:spacing w:val="-7"/>
                <w:sz w:val="20"/>
              </w:rPr>
              <w:t xml:space="preserve"> </w:t>
            </w:r>
            <w:r w:rsidRPr="00150EDC">
              <w:rPr>
                <w:sz w:val="20"/>
              </w:rPr>
              <w:t>Art</w:t>
            </w:r>
            <w:r w:rsidRPr="00150EDC">
              <w:rPr>
                <w:spacing w:val="-1"/>
                <w:sz w:val="20"/>
              </w:rPr>
              <w:t xml:space="preserve"> </w:t>
            </w:r>
            <w:r w:rsidRPr="00150EDC">
              <w:rPr>
                <w:spacing w:val="-10"/>
                <w:sz w:val="20"/>
              </w:rPr>
              <w:t>9</w:t>
            </w:r>
          </w:p>
        </w:tc>
        <w:tc>
          <w:tcPr>
            <w:tcW w:w="7427" w:type="dxa"/>
          </w:tcPr>
          <w:p w14:paraId="2F603D33" w14:textId="77777777" w:rsidR="004C7180" w:rsidRPr="00150EDC" w:rsidRDefault="00CF0754">
            <w:pPr>
              <w:pStyle w:val="TableParagraph"/>
              <w:spacing w:before="28"/>
              <w:rPr>
                <w:sz w:val="20"/>
              </w:rPr>
            </w:pPr>
            <w:r w:rsidRPr="00150EDC">
              <w:rPr>
                <w:sz w:val="20"/>
              </w:rPr>
              <w:t>Cruelty</w:t>
            </w:r>
            <w:r w:rsidRPr="00150EDC">
              <w:rPr>
                <w:spacing w:val="-6"/>
                <w:sz w:val="20"/>
              </w:rPr>
              <w:t xml:space="preserve"> </w:t>
            </w:r>
            <w:r w:rsidRPr="00150EDC">
              <w:rPr>
                <w:sz w:val="20"/>
              </w:rPr>
              <w:t>to</w:t>
            </w:r>
            <w:r w:rsidRPr="00150EDC">
              <w:rPr>
                <w:spacing w:val="-6"/>
                <w:sz w:val="20"/>
              </w:rPr>
              <w:t xml:space="preserve"> </w:t>
            </w:r>
            <w:r w:rsidRPr="00150EDC">
              <w:rPr>
                <w:sz w:val="20"/>
              </w:rPr>
              <w:t>children</w:t>
            </w:r>
            <w:r w:rsidRPr="00150EDC">
              <w:rPr>
                <w:spacing w:val="-1"/>
                <w:sz w:val="20"/>
              </w:rPr>
              <w:t xml:space="preserve"> </w:t>
            </w:r>
            <w:r w:rsidRPr="00150EDC">
              <w:rPr>
                <w:sz w:val="20"/>
              </w:rPr>
              <w:t>under</w:t>
            </w:r>
            <w:r w:rsidRPr="00150EDC">
              <w:rPr>
                <w:spacing w:val="-6"/>
                <w:sz w:val="20"/>
              </w:rPr>
              <w:t xml:space="preserve"> </w:t>
            </w:r>
            <w:r w:rsidRPr="00150EDC">
              <w:rPr>
                <w:spacing w:val="-2"/>
                <w:sz w:val="20"/>
              </w:rPr>
              <w:t>sixteen</w:t>
            </w:r>
          </w:p>
        </w:tc>
      </w:tr>
    </w:tbl>
    <w:p w14:paraId="3B083ECB" w14:textId="77777777" w:rsidR="004C7180" w:rsidRPr="00150EDC" w:rsidRDefault="004C7180">
      <w:pPr>
        <w:rPr>
          <w:sz w:val="20"/>
        </w:rPr>
        <w:sectPr w:rsidR="004C7180" w:rsidRPr="00150EDC">
          <w:footerReference w:type="default" r:id="rId123"/>
          <w:pgSz w:w="16840" w:h="11910" w:orient="landscape"/>
          <w:pgMar w:top="1340" w:right="1320" w:bottom="280" w:left="1340" w:header="0" w:footer="0" w:gutter="0"/>
          <w:cols w:space="720"/>
        </w:sectPr>
      </w:pPr>
    </w:p>
    <w:p w14:paraId="465DB8DA" w14:textId="77777777" w:rsidR="004C7180" w:rsidRPr="00150EDC" w:rsidRDefault="004C7180">
      <w:pPr>
        <w:pStyle w:val="BodyText"/>
        <w:spacing w:before="3"/>
        <w:rPr>
          <w:sz w:val="8"/>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517"/>
        <w:gridCol w:w="7427"/>
      </w:tblGrid>
      <w:tr w:rsidR="004569EE" w:rsidRPr="007D3144" w14:paraId="192B12D7" w14:textId="77777777">
        <w:trPr>
          <w:trHeight w:val="254"/>
        </w:trPr>
        <w:tc>
          <w:tcPr>
            <w:tcW w:w="6517" w:type="dxa"/>
          </w:tcPr>
          <w:p w14:paraId="14896B80" w14:textId="77777777" w:rsidR="004C7180" w:rsidRPr="00150EDC" w:rsidRDefault="00CF0754">
            <w:pPr>
              <w:pStyle w:val="TableParagraph"/>
              <w:rPr>
                <w:sz w:val="20"/>
              </w:rPr>
            </w:pPr>
            <w:r w:rsidRPr="00150EDC">
              <w:rPr>
                <w:sz w:val="20"/>
              </w:rPr>
              <w:t>Children</w:t>
            </w:r>
            <w:r w:rsidRPr="00150EDC">
              <w:rPr>
                <w:spacing w:val="-10"/>
                <w:sz w:val="20"/>
              </w:rPr>
              <w:t xml:space="preserve"> </w:t>
            </w:r>
            <w:r w:rsidRPr="00150EDC">
              <w:rPr>
                <w:sz w:val="20"/>
              </w:rPr>
              <w:t>(Jersey)</w:t>
            </w:r>
            <w:r w:rsidRPr="00150EDC">
              <w:rPr>
                <w:spacing w:val="-7"/>
                <w:sz w:val="20"/>
              </w:rPr>
              <w:t xml:space="preserve"> </w:t>
            </w:r>
            <w:r w:rsidRPr="00150EDC">
              <w:rPr>
                <w:sz w:val="20"/>
              </w:rPr>
              <w:t>Law</w:t>
            </w:r>
            <w:r w:rsidRPr="00150EDC">
              <w:rPr>
                <w:spacing w:val="-5"/>
                <w:sz w:val="20"/>
              </w:rPr>
              <w:t xml:space="preserve"> </w:t>
            </w:r>
            <w:r w:rsidRPr="00150EDC">
              <w:rPr>
                <w:sz w:val="20"/>
              </w:rPr>
              <w:t>2002,</w:t>
            </w:r>
            <w:r w:rsidRPr="00150EDC">
              <w:rPr>
                <w:spacing w:val="-7"/>
                <w:sz w:val="20"/>
              </w:rPr>
              <w:t xml:space="preserve"> </w:t>
            </w:r>
            <w:r w:rsidRPr="00150EDC">
              <w:rPr>
                <w:sz w:val="20"/>
              </w:rPr>
              <w:t>Art</w:t>
            </w:r>
            <w:r w:rsidRPr="00150EDC">
              <w:rPr>
                <w:spacing w:val="-1"/>
                <w:sz w:val="20"/>
              </w:rPr>
              <w:t xml:space="preserve"> </w:t>
            </w:r>
            <w:r w:rsidRPr="00150EDC">
              <w:rPr>
                <w:spacing w:val="-5"/>
                <w:sz w:val="20"/>
              </w:rPr>
              <w:t>35</w:t>
            </w:r>
          </w:p>
        </w:tc>
        <w:tc>
          <w:tcPr>
            <w:tcW w:w="7427" w:type="dxa"/>
          </w:tcPr>
          <w:p w14:paraId="76EDBAFA" w14:textId="77777777" w:rsidR="004C7180" w:rsidRPr="00150EDC" w:rsidRDefault="00CF0754">
            <w:pPr>
              <w:pStyle w:val="TableParagraph"/>
              <w:rPr>
                <w:sz w:val="20"/>
              </w:rPr>
            </w:pPr>
            <w:r w:rsidRPr="00150EDC">
              <w:rPr>
                <w:sz w:val="20"/>
              </w:rPr>
              <w:t>Causing</w:t>
            </w:r>
            <w:r w:rsidRPr="00150EDC">
              <w:rPr>
                <w:spacing w:val="-6"/>
                <w:sz w:val="20"/>
              </w:rPr>
              <w:t xml:space="preserve"> </w:t>
            </w:r>
            <w:r w:rsidRPr="00150EDC">
              <w:rPr>
                <w:sz w:val="20"/>
              </w:rPr>
              <w:t>harm</w:t>
            </w:r>
            <w:r w:rsidRPr="00150EDC">
              <w:rPr>
                <w:spacing w:val="-6"/>
                <w:sz w:val="20"/>
              </w:rPr>
              <w:t xml:space="preserve"> </w:t>
            </w:r>
            <w:r w:rsidRPr="00150EDC">
              <w:rPr>
                <w:sz w:val="20"/>
              </w:rPr>
              <w:t>to</w:t>
            </w:r>
            <w:r w:rsidRPr="00150EDC">
              <w:rPr>
                <w:spacing w:val="-1"/>
                <w:sz w:val="20"/>
              </w:rPr>
              <w:t xml:space="preserve"> </w:t>
            </w:r>
            <w:r w:rsidRPr="00150EDC">
              <w:rPr>
                <w:sz w:val="20"/>
              </w:rPr>
              <w:t>or</w:t>
            </w:r>
            <w:r w:rsidRPr="00150EDC">
              <w:rPr>
                <w:spacing w:val="-2"/>
                <w:sz w:val="20"/>
              </w:rPr>
              <w:t xml:space="preserve"> </w:t>
            </w:r>
            <w:r w:rsidRPr="00150EDC">
              <w:rPr>
                <w:sz w:val="20"/>
              </w:rPr>
              <w:t>neglecting</w:t>
            </w:r>
            <w:r w:rsidRPr="00150EDC">
              <w:rPr>
                <w:spacing w:val="-6"/>
                <w:sz w:val="20"/>
              </w:rPr>
              <w:t xml:space="preserve"> </w:t>
            </w:r>
            <w:r w:rsidRPr="00150EDC">
              <w:rPr>
                <w:sz w:val="20"/>
              </w:rPr>
              <w:t>children</w:t>
            </w:r>
            <w:r w:rsidRPr="00150EDC">
              <w:rPr>
                <w:spacing w:val="-6"/>
                <w:sz w:val="20"/>
              </w:rPr>
              <w:t xml:space="preserve"> </w:t>
            </w:r>
            <w:r w:rsidRPr="00150EDC">
              <w:rPr>
                <w:sz w:val="20"/>
              </w:rPr>
              <w:t>under</w:t>
            </w:r>
            <w:r w:rsidRPr="00150EDC">
              <w:rPr>
                <w:spacing w:val="-2"/>
                <w:sz w:val="20"/>
              </w:rPr>
              <w:t xml:space="preserve"> </w:t>
            </w:r>
            <w:r w:rsidRPr="00150EDC">
              <w:rPr>
                <w:spacing w:val="-5"/>
                <w:sz w:val="20"/>
              </w:rPr>
              <w:t>16</w:t>
            </w:r>
          </w:p>
        </w:tc>
      </w:tr>
      <w:tr w:rsidR="004569EE" w:rsidRPr="007D3144" w14:paraId="1BBEEC58" w14:textId="77777777">
        <w:trPr>
          <w:trHeight w:val="460"/>
        </w:trPr>
        <w:tc>
          <w:tcPr>
            <w:tcW w:w="6517" w:type="dxa"/>
          </w:tcPr>
          <w:p w14:paraId="247E8C10" w14:textId="77777777" w:rsidR="004C7180" w:rsidRPr="00150EDC" w:rsidRDefault="004C7180">
            <w:pPr>
              <w:pStyle w:val="TableParagraph"/>
              <w:spacing w:before="3" w:line="240" w:lineRule="auto"/>
              <w:ind w:left="0"/>
              <w:rPr>
                <w:sz w:val="20"/>
              </w:rPr>
            </w:pPr>
          </w:p>
          <w:p w14:paraId="25D00001" w14:textId="77777777" w:rsidR="004C7180" w:rsidRPr="00150EDC" w:rsidRDefault="00CF0754">
            <w:pPr>
              <w:pStyle w:val="TableParagraph"/>
              <w:spacing w:before="0"/>
              <w:rPr>
                <w:sz w:val="20"/>
              </w:rPr>
            </w:pPr>
            <w:r w:rsidRPr="00150EDC">
              <w:rPr>
                <w:sz w:val="20"/>
              </w:rPr>
              <w:t>Children</w:t>
            </w:r>
            <w:r w:rsidRPr="00150EDC">
              <w:rPr>
                <w:spacing w:val="-10"/>
                <w:sz w:val="20"/>
              </w:rPr>
              <w:t xml:space="preserve"> </w:t>
            </w:r>
            <w:r w:rsidRPr="00150EDC">
              <w:rPr>
                <w:sz w:val="20"/>
              </w:rPr>
              <w:t>(Jersey)</w:t>
            </w:r>
            <w:r w:rsidRPr="00150EDC">
              <w:rPr>
                <w:spacing w:val="-7"/>
                <w:sz w:val="20"/>
              </w:rPr>
              <w:t xml:space="preserve"> </w:t>
            </w:r>
            <w:r w:rsidRPr="00150EDC">
              <w:rPr>
                <w:sz w:val="20"/>
              </w:rPr>
              <w:t>Law</w:t>
            </w:r>
            <w:r w:rsidRPr="00150EDC">
              <w:rPr>
                <w:spacing w:val="-5"/>
                <w:sz w:val="20"/>
              </w:rPr>
              <w:t xml:space="preserve"> </w:t>
            </w:r>
            <w:r w:rsidRPr="00150EDC">
              <w:rPr>
                <w:sz w:val="20"/>
              </w:rPr>
              <w:t>2002,</w:t>
            </w:r>
            <w:r w:rsidRPr="00150EDC">
              <w:rPr>
                <w:spacing w:val="-7"/>
                <w:sz w:val="20"/>
              </w:rPr>
              <w:t xml:space="preserve"> </w:t>
            </w:r>
            <w:r w:rsidRPr="00150EDC">
              <w:rPr>
                <w:sz w:val="20"/>
              </w:rPr>
              <w:t>Art</w:t>
            </w:r>
            <w:r w:rsidRPr="00150EDC">
              <w:rPr>
                <w:spacing w:val="-1"/>
                <w:sz w:val="20"/>
              </w:rPr>
              <w:t xml:space="preserve"> </w:t>
            </w:r>
            <w:r w:rsidRPr="00150EDC">
              <w:rPr>
                <w:spacing w:val="-5"/>
                <w:sz w:val="20"/>
              </w:rPr>
              <w:t>37</w:t>
            </w:r>
          </w:p>
        </w:tc>
        <w:tc>
          <w:tcPr>
            <w:tcW w:w="7427" w:type="dxa"/>
          </w:tcPr>
          <w:p w14:paraId="379CF710" w14:textId="77777777" w:rsidR="004C7180" w:rsidRPr="00150EDC" w:rsidRDefault="00CF0754">
            <w:pPr>
              <w:pStyle w:val="TableParagraph"/>
              <w:spacing w:before="0" w:line="230" w:lineRule="atLeast"/>
              <w:rPr>
                <w:sz w:val="20"/>
              </w:rPr>
            </w:pPr>
            <w:r w:rsidRPr="00150EDC">
              <w:rPr>
                <w:sz w:val="20"/>
              </w:rPr>
              <w:t>Obstructing</w:t>
            </w:r>
            <w:r w:rsidRPr="00150EDC">
              <w:rPr>
                <w:spacing w:val="-5"/>
                <w:sz w:val="20"/>
              </w:rPr>
              <w:t xml:space="preserve"> </w:t>
            </w:r>
            <w:r w:rsidRPr="00150EDC">
              <w:rPr>
                <w:sz w:val="20"/>
              </w:rPr>
              <w:t>a</w:t>
            </w:r>
            <w:r w:rsidRPr="00150EDC">
              <w:rPr>
                <w:spacing w:val="-5"/>
                <w:sz w:val="20"/>
              </w:rPr>
              <w:t xml:space="preserve"> </w:t>
            </w:r>
            <w:r w:rsidRPr="00150EDC">
              <w:rPr>
                <w:sz w:val="20"/>
              </w:rPr>
              <w:t>person exercising</w:t>
            </w:r>
            <w:r w:rsidRPr="00150EDC">
              <w:rPr>
                <w:spacing w:val="-5"/>
                <w:sz w:val="20"/>
              </w:rPr>
              <w:t xml:space="preserve"> </w:t>
            </w:r>
            <w:r w:rsidRPr="00150EDC">
              <w:rPr>
                <w:sz w:val="20"/>
              </w:rPr>
              <w:t>a</w:t>
            </w:r>
            <w:r w:rsidRPr="00150EDC">
              <w:rPr>
                <w:spacing w:val="-5"/>
                <w:sz w:val="20"/>
              </w:rPr>
              <w:t xml:space="preserve"> </w:t>
            </w:r>
            <w:r w:rsidRPr="00150EDC">
              <w:rPr>
                <w:sz w:val="20"/>
              </w:rPr>
              <w:t>power</w:t>
            </w:r>
            <w:r w:rsidRPr="00150EDC">
              <w:rPr>
                <w:spacing w:val="-5"/>
                <w:sz w:val="20"/>
              </w:rPr>
              <w:t xml:space="preserve"> </w:t>
            </w:r>
            <w:r w:rsidRPr="00150EDC">
              <w:rPr>
                <w:sz w:val="20"/>
              </w:rPr>
              <w:t>to remove,</w:t>
            </w:r>
            <w:r w:rsidRPr="00150EDC">
              <w:rPr>
                <w:spacing w:val="-5"/>
                <w:sz w:val="20"/>
              </w:rPr>
              <w:t xml:space="preserve"> </w:t>
            </w:r>
            <w:r w:rsidRPr="00150EDC">
              <w:rPr>
                <w:sz w:val="20"/>
              </w:rPr>
              <w:t>or</w:t>
            </w:r>
            <w:r w:rsidRPr="00150EDC">
              <w:rPr>
                <w:spacing w:val="-5"/>
                <w:sz w:val="20"/>
              </w:rPr>
              <w:t xml:space="preserve"> </w:t>
            </w:r>
            <w:r w:rsidRPr="00150EDC">
              <w:rPr>
                <w:sz w:val="20"/>
              </w:rPr>
              <w:t>prevent</w:t>
            </w:r>
            <w:r w:rsidRPr="00150EDC">
              <w:rPr>
                <w:spacing w:val="-5"/>
                <w:sz w:val="20"/>
              </w:rPr>
              <w:t xml:space="preserve"> </w:t>
            </w:r>
            <w:r w:rsidRPr="00150EDC">
              <w:rPr>
                <w:sz w:val="20"/>
              </w:rPr>
              <w:t>the</w:t>
            </w:r>
            <w:r w:rsidRPr="00150EDC">
              <w:rPr>
                <w:spacing w:val="-5"/>
                <w:sz w:val="20"/>
              </w:rPr>
              <w:t xml:space="preserve"> </w:t>
            </w:r>
            <w:r w:rsidRPr="00150EDC">
              <w:rPr>
                <w:sz w:val="20"/>
              </w:rPr>
              <w:t>removal</w:t>
            </w:r>
            <w:r w:rsidRPr="00150EDC">
              <w:rPr>
                <w:spacing w:val="-3"/>
                <w:sz w:val="20"/>
              </w:rPr>
              <w:t xml:space="preserve"> </w:t>
            </w:r>
            <w:r w:rsidRPr="00150EDC">
              <w:rPr>
                <w:sz w:val="20"/>
              </w:rPr>
              <w:t>of,</w:t>
            </w:r>
            <w:r w:rsidRPr="00150EDC">
              <w:rPr>
                <w:spacing w:val="-5"/>
                <w:sz w:val="20"/>
              </w:rPr>
              <w:t xml:space="preserve"> </w:t>
            </w:r>
            <w:r w:rsidRPr="00150EDC">
              <w:rPr>
                <w:sz w:val="20"/>
              </w:rPr>
              <w:t xml:space="preserve">a </w:t>
            </w:r>
            <w:r w:rsidRPr="00150EDC">
              <w:rPr>
                <w:spacing w:val="-2"/>
                <w:sz w:val="20"/>
              </w:rPr>
              <w:t>child</w:t>
            </w:r>
          </w:p>
        </w:tc>
      </w:tr>
      <w:tr w:rsidR="004569EE" w:rsidRPr="007D3144" w14:paraId="7C77728E" w14:textId="77777777">
        <w:trPr>
          <w:trHeight w:val="460"/>
        </w:trPr>
        <w:tc>
          <w:tcPr>
            <w:tcW w:w="6517" w:type="dxa"/>
          </w:tcPr>
          <w:p w14:paraId="067DA30B" w14:textId="77777777" w:rsidR="004C7180" w:rsidRPr="00150EDC" w:rsidRDefault="004C7180">
            <w:pPr>
              <w:pStyle w:val="TableParagraph"/>
              <w:spacing w:before="2" w:line="240" w:lineRule="auto"/>
              <w:ind w:left="0"/>
              <w:rPr>
                <w:sz w:val="20"/>
              </w:rPr>
            </w:pPr>
          </w:p>
          <w:p w14:paraId="1CE4A3E1" w14:textId="77777777" w:rsidR="004C7180" w:rsidRPr="00150EDC" w:rsidRDefault="00CF0754">
            <w:pPr>
              <w:pStyle w:val="TableParagraph"/>
              <w:spacing w:before="0"/>
              <w:rPr>
                <w:sz w:val="20"/>
              </w:rPr>
            </w:pPr>
            <w:r w:rsidRPr="00150EDC">
              <w:rPr>
                <w:sz w:val="20"/>
              </w:rPr>
              <w:t>Children</w:t>
            </w:r>
            <w:r w:rsidRPr="00150EDC">
              <w:rPr>
                <w:spacing w:val="-10"/>
                <w:sz w:val="20"/>
              </w:rPr>
              <w:t xml:space="preserve"> </w:t>
            </w:r>
            <w:r w:rsidRPr="00150EDC">
              <w:rPr>
                <w:sz w:val="20"/>
              </w:rPr>
              <w:t>(Jersey)</w:t>
            </w:r>
            <w:r w:rsidRPr="00150EDC">
              <w:rPr>
                <w:spacing w:val="-7"/>
                <w:sz w:val="20"/>
              </w:rPr>
              <w:t xml:space="preserve"> </w:t>
            </w:r>
            <w:r w:rsidRPr="00150EDC">
              <w:rPr>
                <w:sz w:val="20"/>
              </w:rPr>
              <w:t>Law</w:t>
            </w:r>
            <w:r w:rsidRPr="00150EDC">
              <w:rPr>
                <w:spacing w:val="-5"/>
                <w:sz w:val="20"/>
              </w:rPr>
              <w:t xml:space="preserve"> </w:t>
            </w:r>
            <w:r w:rsidRPr="00150EDC">
              <w:rPr>
                <w:sz w:val="20"/>
              </w:rPr>
              <w:t>2002,</w:t>
            </w:r>
            <w:r w:rsidRPr="00150EDC">
              <w:rPr>
                <w:spacing w:val="-7"/>
                <w:sz w:val="20"/>
              </w:rPr>
              <w:t xml:space="preserve"> </w:t>
            </w:r>
            <w:r w:rsidRPr="00150EDC">
              <w:rPr>
                <w:sz w:val="20"/>
              </w:rPr>
              <w:t>Art</w:t>
            </w:r>
            <w:r w:rsidRPr="00150EDC">
              <w:rPr>
                <w:spacing w:val="-1"/>
                <w:sz w:val="20"/>
              </w:rPr>
              <w:t xml:space="preserve"> </w:t>
            </w:r>
            <w:r w:rsidRPr="00150EDC">
              <w:rPr>
                <w:spacing w:val="-5"/>
                <w:sz w:val="20"/>
              </w:rPr>
              <w:t>44</w:t>
            </w:r>
          </w:p>
        </w:tc>
        <w:tc>
          <w:tcPr>
            <w:tcW w:w="7427" w:type="dxa"/>
          </w:tcPr>
          <w:p w14:paraId="0A6FC223" w14:textId="77777777" w:rsidR="004C7180" w:rsidRPr="00150EDC" w:rsidRDefault="00CF0754">
            <w:pPr>
              <w:pStyle w:val="TableParagraph"/>
              <w:spacing w:before="0" w:line="230" w:lineRule="atLeast"/>
              <w:rPr>
                <w:sz w:val="20"/>
              </w:rPr>
            </w:pPr>
            <w:r w:rsidRPr="00150EDC">
              <w:rPr>
                <w:sz w:val="20"/>
              </w:rPr>
              <w:t>Abduction</w:t>
            </w:r>
            <w:r w:rsidRPr="00150EDC">
              <w:rPr>
                <w:spacing w:val="-5"/>
                <w:sz w:val="20"/>
              </w:rPr>
              <w:t xml:space="preserve"> </w:t>
            </w:r>
            <w:r w:rsidRPr="00150EDC">
              <w:rPr>
                <w:sz w:val="20"/>
              </w:rPr>
              <w:t>of</w:t>
            </w:r>
            <w:r w:rsidRPr="00150EDC">
              <w:rPr>
                <w:spacing w:val="-5"/>
                <w:sz w:val="20"/>
              </w:rPr>
              <w:t xml:space="preserve"> </w:t>
            </w:r>
            <w:r w:rsidRPr="00150EDC">
              <w:rPr>
                <w:sz w:val="20"/>
              </w:rPr>
              <w:t>children</w:t>
            </w:r>
            <w:r w:rsidRPr="00150EDC">
              <w:rPr>
                <w:spacing w:val="-5"/>
                <w:sz w:val="20"/>
              </w:rPr>
              <w:t xml:space="preserve"> </w:t>
            </w:r>
            <w:r w:rsidRPr="00150EDC">
              <w:rPr>
                <w:sz w:val="20"/>
              </w:rPr>
              <w:t>in</w:t>
            </w:r>
            <w:r w:rsidRPr="00150EDC">
              <w:rPr>
                <w:spacing w:val="-5"/>
                <w:sz w:val="20"/>
              </w:rPr>
              <w:t xml:space="preserve"> </w:t>
            </w:r>
            <w:r w:rsidRPr="00150EDC">
              <w:rPr>
                <w:sz w:val="20"/>
              </w:rPr>
              <w:t>care,</w:t>
            </w:r>
            <w:r w:rsidRPr="00150EDC">
              <w:rPr>
                <w:spacing w:val="-5"/>
                <w:sz w:val="20"/>
              </w:rPr>
              <w:t xml:space="preserve"> </w:t>
            </w:r>
            <w:r w:rsidRPr="00150EDC">
              <w:rPr>
                <w:sz w:val="20"/>
              </w:rPr>
              <w:t>etc [taking or</w:t>
            </w:r>
            <w:r w:rsidRPr="00150EDC">
              <w:rPr>
                <w:spacing w:val="-5"/>
                <w:sz w:val="20"/>
              </w:rPr>
              <w:t xml:space="preserve"> </w:t>
            </w:r>
            <w:r w:rsidRPr="00150EDC">
              <w:rPr>
                <w:sz w:val="20"/>
              </w:rPr>
              <w:t>keeping a</w:t>
            </w:r>
            <w:r w:rsidRPr="00150EDC">
              <w:rPr>
                <w:spacing w:val="-5"/>
                <w:sz w:val="20"/>
              </w:rPr>
              <w:t xml:space="preserve"> </w:t>
            </w:r>
            <w:r w:rsidRPr="00150EDC">
              <w:rPr>
                <w:sz w:val="20"/>
              </w:rPr>
              <w:t>child,</w:t>
            </w:r>
            <w:r w:rsidRPr="00150EDC">
              <w:rPr>
                <w:spacing w:val="-5"/>
                <w:sz w:val="20"/>
              </w:rPr>
              <w:t xml:space="preserve"> </w:t>
            </w:r>
            <w:r w:rsidRPr="00150EDC">
              <w:rPr>
                <w:sz w:val="20"/>
              </w:rPr>
              <w:t>inducing,</w:t>
            </w:r>
            <w:r w:rsidRPr="00150EDC">
              <w:rPr>
                <w:spacing w:val="-5"/>
                <w:sz w:val="20"/>
              </w:rPr>
              <w:t xml:space="preserve"> </w:t>
            </w:r>
            <w:r w:rsidRPr="00150EDC">
              <w:rPr>
                <w:sz w:val="20"/>
              </w:rPr>
              <w:t>assisting or inciting to run or stay away)</w:t>
            </w:r>
          </w:p>
        </w:tc>
      </w:tr>
      <w:tr w:rsidR="004569EE" w:rsidRPr="007D3144" w14:paraId="21C521AA" w14:textId="77777777">
        <w:trPr>
          <w:trHeight w:val="250"/>
        </w:trPr>
        <w:tc>
          <w:tcPr>
            <w:tcW w:w="6517" w:type="dxa"/>
            <w:tcBorders>
              <w:bottom w:val="single" w:sz="12" w:space="0" w:color="000000"/>
            </w:tcBorders>
          </w:tcPr>
          <w:p w14:paraId="0D72BA7C" w14:textId="77777777" w:rsidR="004C7180" w:rsidRPr="00150EDC" w:rsidRDefault="00CF0754">
            <w:pPr>
              <w:pStyle w:val="TableParagraph"/>
              <w:spacing w:line="203" w:lineRule="exact"/>
              <w:rPr>
                <w:sz w:val="20"/>
              </w:rPr>
            </w:pPr>
            <w:r w:rsidRPr="00150EDC">
              <w:rPr>
                <w:sz w:val="20"/>
              </w:rPr>
              <w:t>Children</w:t>
            </w:r>
            <w:r w:rsidRPr="00150EDC">
              <w:rPr>
                <w:spacing w:val="-10"/>
                <w:sz w:val="20"/>
              </w:rPr>
              <w:t xml:space="preserve"> </w:t>
            </w:r>
            <w:r w:rsidRPr="00150EDC">
              <w:rPr>
                <w:sz w:val="20"/>
              </w:rPr>
              <w:t>(Jersey)</w:t>
            </w:r>
            <w:r w:rsidRPr="00150EDC">
              <w:rPr>
                <w:spacing w:val="-7"/>
                <w:sz w:val="20"/>
              </w:rPr>
              <w:t xml:space="preserve"> </w:t>
            </w:r>
            <w:r w:rsidRPr="00150EDC">
              <w:rPr>
                <w:sz w:val="20"/>
              </w:rPr>
              <w:t>Law</w:t>
            </w:r>
            <w:r w:rsidRPr="00150EDC">
              <w:rPr>
                <w:spacing w:val="-5"/>
                <w:sz w:val="20"/>
              </w:rPr>
              <w:t xml:space="preserve"> </w:t>
            </w:r>
            <w:r w:rsidRPr="00150EDC">
              <w:rPr>
                <w:sz w:val="20"/>
              </w:rPr>
              <w:t>2002,</w:t>
            </w:r>
            <w:r w:rsidRPr="00150EDC">
              <w:rPr>
                <w:spacing w:val="-7"/>
                <w:sz w:val="20"/>
              </w:rPr>
              <w:t xml:space="preserve"> </w:t>
            </w:r>
            <w:r w:rsidRPr="00150EDC">
              <w:rPr>
                <w:sz w:val="20"/>
              </w:rPr>
              <w:t>Art</w:t>
            </w:r>
            <w:r w:rsidRPr="00150EDC">
              <w:rPr>
                <w:spacing w:val="-1"/>
                <w:sz w:val="20"/>
              </w:rPr>
              <w:t xml:space="preserve"> </w:t>
            </w:r>
            <w:r w:rsidRPr="00150EDC">
              <w:rPr>
                <w:spacing w:val="-5"/>
                <w:sz w:val="20"/>
              </w:rPr>
              <w:t>45</w:t>
            </w:r>
          </w:p>
        </w:tc>
        <w:tc>
          <w:tcPr>
            <w:tcW w:w="7427" w:type="dxa"/>
            <w:tcBorders>
              <w:bottom w:val="single" w:sz="12" w:space="0" w:color="000000"/>
            </w:tcBorders>
          </w:tcPr>
          <w:p w14:paraId="0568D522" w14:textId="77777777" w:rsidR="004C7180" w:rsidRPr="00150EDC" w:rsidRDefault="00CF0754">
            <w:pPr>
              <w:pStyle w:val="TableParagraph"/>
              <w:spacing w:line="203" w:lineRule="exact"/>
              <w:rPr>
                <w:sz w:val="20"/>
              </w:rPr>
            </w:pPr>
            <w:r w:rsidRPr="00150EDC">
              <w:rPr>
                <w:sz w:val="20"/>
              </w:rPr>
              <w:t>Obstructing</w:t>
            </w:r>
            <w:r w:rsidRPr="00150EDC">
              <w:rPr>
                <w:spacing w:val="-5"/>
                <w:sz w:val="20"/>
              </w:rPr>
              <w:t xml:space="preserve"> </w:t>
            </w:r>
            <w:r w:rsidRPr="00150EDC">
              <w:rPr>
                <w:sz w:val="20"/>
              </w:rPr>
              <w:t>a</w:t>
            </w:r>
            <w:r w:rsidRPr="00150EDC">
              <w:rPr>
                <w:spacing w:val="-5"/>
                <w:sz w:val="20"/>
              </w:rPr>
              <w:t xml:space="preserve"> </w:t>
            </w:r>
            <w:r w:rsidRPr="00150EDC">
              <w:rPr>
                <w:sz w:val="20"/>
              </w:rPr>
              <w:t>person exercising</w:t>
            </w:r>
            <w:r w:rsidRPr="00150EDC">
              <w:rPr>
                <w:spacing w:val="-4"/>
                <w:sz w:val="20"/>
              </w:rPr>
              <w:t xml:space="preserve"> </w:t>
            </w:r>
            <w:r w:rsidRPr="00150EDC">
              <w:rPr>
                <w:sz w:val="20"/>
              </w:rPr>
              <w:t>a</w:t>
            </w:r>
            <w:r w:rsidRPr="00150EDC">
              <w:rPr>
                <w:spacing w:val="-5"/>
                <w:sz w:val="20"/>
              </w:rPr>
              <w:t xml:space="preserve"> </w:t>
            </w:r>
            <w:r w:rsidRPr="00150EDC">
              <w:rPr>
                <w:sz w:val="20"/>
              </w:rPr>
              <w:t>power</w:t>
            </w:r>
            <w:r w:rsidRPr="00150EDC">
              <w:rPr>
                <w:spacing w:val="-4"/>
                <w:sz w:val="20"/>
              </w:rPr>
              <w:t xml:space="preserve"> </w:t>
            </w:r>
            <w:r w:rsidRPr="00150EDC">
              <w:rPr>
                <w:sz w:val="20"/>
              </w:rPr>
              <w:t>to remove</w:t>
            </w:r>
            <w:r w:rsidRPr="00150EDC">
              <w:rPr>
                <w:spacing w:val="-5"/>
                <w:sz w:val="20"/>
              </w:rPr>
              <w:t xml:space="preserve"> </w:t>
            </w:r>
            <w:r w:rsidRPr="00150EDC">
              <w:rPr>
                <w:sz w:val="20"/>
              </w:rPr>
              <w:t>a</w:t>
            </w:r>
            <w:r w:rsidRPr="00150EDC">
              <w:rPr>
                <w:spacing w:val="-4"/>
                <w:sz w:val="20"/>
              </w:rPr>
              <w:t xml:space="preserve"> child</w:t>
            </w:r>
          </w:p>
        </w:tc>
      </w:tr>
      <w:tr w:rsidR="004569EE" w:rsidRPr="007D3144" w14:paraId="015E0D88" w14:textId="77777777">
        <w:trPr>
          <w:trHeight w:val="250"/>
        </w:trPr>
        <w:tc>
          <w:tcPr>
            <w:tcW w:w="6517" w:type="dxa"/>
            <w:tcBorders>
              <w:top w:val="single" w:sz="12" w:space="0" w:color="000000"/>
            </w:tcBorders>
          </w:tcPr>
          <w:p w14:paraId="22A945F6" w14:textId="77777777" w:rsidR="004C7180" w:rsidRPr="00150EDC" w:rsidRDefault="00CF0754">
            <w:pPr>
              <w:pStyle w:val="TableParagraph"/>
              <w:spacing w:before="23"/>
              <w:rPr>
                <w:sz w:val="20"/>
              </w:rPr>
            </w:pPr>
            <w:r w:rsidRPr="00150EDC">
              <w:rPr>
                <w:sz w:val="20"/>
              </w:rPr>
              <w:t>Children</w:t>
            </w:r>
            <w:r w:rsidRPr="00150EDC">
              <w:rPr>
                <w:spacing w:val="-9"/>
                <w:sz w:val="20"/>
              </w:rPr>
              <w:t xml:space="preserve"> </w:t>
            </w:r>
            <w:r w:rsidRPr="00150EDC">
              <w:rPr>
                <w:sz w:val="20"/>
              </w:rPr>
              <w:t>(Jersey)</w:t>
            </w:r>
            <w:r w:rsidRPr="00150EDC">
              <w:rPr>
                <w:spacing w:val="-7"/>
                <w:sz w:val="20"/>
              </w:rPr>
              <w:t xml:space="preserve"> </w:t>
            </w:r>
            <w:r w:rsidRPr="00150EDC">
              <w:rPr>
                <w:sz w:val="20"/>
              </w:rPr>
              <w:t>Law</w:t>
            </w:r>
            <w:r w:rsidRPr="00150EDC">
              <w:rPr>
                <w:spacing w:val="-5"/>
                <w:sz w:val="20"/>
              </w:rPr>
              <w:t xml:space="preserve"> </w:t>
            </w:r>
            <w:r w:rsidRPr="00150EDC">
              <w:rPr>
                <w:sz w:val="20"/>
              </w:rPr>
              <w:t>2002,</w:t>
            </w:r>
            <w:r w:rsidRPr="00150EDC">
              <w:rPr>
                <w:spacing w:val="-7"/>
                <w:sz w:val="20"/>
              </w:rPr>
              <w:t xml:space="preserve"> </w:t>
            </w:r>
            <w:r w:rsidRPr="00150EDC">
              <w:rPr>
                <w:sz w:val="20"/>
              </w:rPr>
              <w:t>Art</w:t>
            </w:r>
            <w:r w:rsidRPr="00150EDC">
              <w:rPr>
                <w:spacing w:val="-1"/>
                <w:sz w:val="20"/>
              </w:rPr>
              <w:t xml:space="preserve"> </w:t>
            </w:r>
            <w:r w:rsidRPr="00150EDC">
              <w:rPr>
                <w:spacing w:val="-5"/>
                <w:sz w:val="20"/>
              </w:rPr>
              <w:t>54</w:t>
            </w:r>
          </w:p>
        </w:tc>
        <w:tc>
          <w:tcPr>
            <w:tcW w:w="7427" w:type="dxa"/>
            <w:tcBorders>
              <w:top w:val="single" w:sz="12" w:space="0" w:color="000000"/>
            </w:tcBorders>
          </w:tcPr>
          <w:p w14:paraId="52EDA19E" w14:textId="77777777" w:rsidR="004C7180" w:rsidRPr="00150EDC" w:rsidRDefault="00CF0754">
            <w:pPr>
              <w:pStyle w:val="TableParagraph"/>
              <w:spacing w:before="23"/>
              <w:rPr>
                <w:sz w:val="20"/>
              </w:rPr>
            </w:pPr>
            <w:r w:rsidRPr="00150EDC">
              <w:rPr>
                <w:sz w:val="20"/>
              </w:rPr>
              <w:t>Carrying</w:t>
            </w:r>
            <w:r w:rsidRPr="00150EDC">
              <w:rPr>
                <w:spacing w:val="-1"/>
                <w:sz w:val="20"/>
              </w:rPr>
              <w:t xml:space="preserve"> </w:t>
            </w:r>
            <w:r w:rsidRPr="00150EDC">
              <w:rPr>
                <w:sz w:val="20"/>
              </w:rPr>
              <w:t>on</w:t>
            </w:r>
            <w:r w:rsidRPr="00150EDC">
              <w:rPr>
                <w:spacing w:val="-6"/>
                <w:sz w:val="20"/>
              </w:rPr>
              <w:t xml:space="preserve"> </w:t>
            </w:r>
            <w:r w:rsidRPr="00150EDC">
              <w:rPr>
                <w:sz w:val="20"/>
              </w:rPr>
              <w:t>a</w:t>
            </w:r>
            <w:r w:rsidRPr="00150EDC">
              <w:rPr>
                <w:spacing w:val="-5"/>
                <w:sz w:val="20"/>
              </w:rPr>
              <w:t xml:space="preserve"> </w:t>
            </w:r>
            <w:r w:rsidRPr="00150EDC">
              <w:rPr>
                <w:sz w:val="20"/>
              </w:rPr>
              <w:t>voluntary</w:t>
            </w:r>
            <w:r w:rsidRPr="00150EDC">
              <w:rPr>
                <w:spacing w:val="-5"/>
                <w:sz w:val="20"/>
              </w:rPr>
              <w:t xml:space="preserve"> </w:t>
            </w:r>
            <w:r w:rsidRPr="00150EDC">
              <w:rPr>
                <w:sz w:val="20"/>
              </w:rPr>
              <w:t>home</w:t>
            </w:r>
            <w:r w:rsidRPr="00150EDC">
              <w:rPr>
                <w:spacing w:val="-5"/>
                <w:sz w:val="20"/>
              </w:rPr>
              <w:t xml:space="preserve"> </w:t>
            </w:r>
            <w:r w:rsidRPr="00150EDC">
              <w:rPr>
                <w:sz w:val="20"/>
              </w:rPr>
              <w:t>when</w:t>
            </w:r>
            <w:r w:rsidRPr="00150EDC">
              <w:rPr>
                <w:spacing w:val="-1"/>
                <w:sz w:val="20"/>
              </w:rPr>
              <w:t xml:space="preserve"> </w:t>
            </w:r>
            <w:r w:rsidRPr="00150EDC">
              <w:rPr>
                <w:sz w:val="20"/>
              </w:rPr>
              <w:t>not</w:t>
            </w:r>
            <w:r w:rsidRPr="00150EDC">
              <w:rPr>
                <w:spacing w:val="-1"/>
                <w:sz w:val="20"/>
              </w:rPr>
              <w:t xml:space="preserve"> </w:t>
            </w:r>
            <w:r w:rsidRPr="00150EDC">
              <w:rPr>
                <w:spacing w:val="-2"/>
                <w:sz w:val="20"/>
              </w:rPr>
              <w:t>registered</w:t>
            </w:r>
          </w:p>
        </w:tc>
      </w:tr>
      <w:tr w:rsidR="004569EE" w:rsidRPr="007D3144" w14:paraId="4390DD70" w14:textId="77777777">
        <w:trPr>
          <w:trHeight w:val="255"/>
        </w:trPr>
        <w:tc>
          <w:tcPr>
            <w:tcW w:w="6517" w:type="dxa"/>
          </w:tcPr>
          <w:p w14:paraId="1039D9CD" w14:textId="77777777" w:rsidR="004C7180" w:rsidRPr="00150EDC" w:rsidRDefault="00CF0754">
            <w:pPr>
              <w:pStyle w:val="TableParagraph"/>
              <w:rPr>
                <w:sz w:val="20"/>
              </w:rPr>
            </w:pPr>
            <w:r w:rsidRPr="00150EDC">
              <w:rPr>
                <w:sz w:val="20"/>
              </w:rPr>
              <w:t>Children</w:t>
            </w:r>
            <w:r w:rsidRPr="00150EDC">
              <w:rPr>
                <w:spacing w:val="-7"/>
                <w:sz w:val="20"/>
              </w:rPr>
              <w:t xml:space="preserve"> </w:t>
            </w:r>
            <w:r w:rsidRPr="00150EDC">
              <w:rPr>
                <w:sz w:val="20"/>
              </w:rPr>
              <w:t>(Northern</w:t>
            </w:r>
            <w:r w:rsidRPr="00150EDC">
              <w:rPr>
                <w:spacing w:val="-6"/>
                <w:sz w:val="20"/>
              </w:rPr>
              <w:t xml:space="preserve"> </w:t>
            </w:r>
            <w:r w:rsidRPr="00150EDC">
              <w:rPr>
                <w:sz w:val="20"/>
              </w:rPr>
              <w:t>Ireland)</w:t>
            </w:r>
            <w:r w:rsidRPr="00150EDC">
              <w:rPr>
                <w:spacing w:val="-6"/>
                <w:sz w:val="20"/>
              </w:rPr>
              <w:t xml:space="preserve"> </w:t>
            </w:r>
            <w:r w:rsidRPr="00150EDC">
              <w:rPr>
                <w:sz w:val="20"/>
              </w:rPr>
              <w:t>Order</w:t>
            </w:r>
            <w:r w:rsidRPr="00150EDC">
              <w:rPr>
                <w:spacing w:val="-6"/>
                <w:sz w:val="20"/>
              </w:rPr>
              <w:t xml:space="preserve"> </w:t>
            </w:r>
            <w:r w:rsidRPr="00150EDC">
              <w:rPr>
                <w:sz w:val="20"/>
              </w:rPr>
              <w:t>1995,</w:t>
            </w:r>
            <w:r w:rsidRPr="00150EDC">
              <w:rPr>
                <w:spacing w:val="-6"/>
                <w:sz w:val="20"/>
              </w:rPr>
              <w:t xml:space="preserve"> </w:t>
            </w:r>
            <w:r w:rsidRPr="00150EDC">
              <w:rPr>
                <w:sz w:val="20"/>
              </w:rPr>
              <w:t>Art</w:t>
            </w:r>
            <w:r w:rsidRPr="00150EDC">
              <w:rPr>
                <w:spacing w:val="-6"/>
                <w:sz w:val="20"/>
              </w:rPr>
              <w:t xml:space="preserve"> </w:t>
            </w:r>
            <w:r w:rsidRPr="00150EDC">
              <w:rPr>
                <w:spacing w:val="-5"/>
                <w:sz w:val="20"/>
              </w:rPr>
              <w:t>117</w:t>
            </w:r>
          </w:p>
        </w:tc>
        <w:tc>
          <w:tcPr>
            <w:tcW w:w="7427" w:type="dxa"/>
          </w:tcPr>
          <w:p w14:paraId="16653437" w14:textId="77777777" w:rsidR="004C7180" w:rsidRPr="00150EDC" w:rsidRDefault="00CF0754">
            <w:pPr>
              <w:pStyle w:val="TableParagraph"/>
              <w:rPr>
                <w:sz w:val="20"/>
              </w:rPr>
            </w:pPr>
            <w:r w:rsidRPr="00150EDC">
              <w:rPr>
                <w:sz w:val="20"/>
              </w:rPr>
              <w:t>Offences</w:t>
            </w:r>
            <w:r w:rsidRPr="00150EDC">
              <w:rPr>
                <w:spacing w:val="-3"/>
                <w:sz w:val="20"/>
              </w:rPr>
              <w:t xml:space="preserve"> </w:t>
            </w:r>
            <w:r w:rsidRPr="00150EDC">
              <w:rPr>
                <w:sz w:val="20"/>
              </w:rPr>
              <w:t>relating</w:t>
            </w:r>
            <w:r w:rsidRPr="00150EDC">
              <w:rPr>
                <w:spacing w:val="-3"/>
                <w:sz w:val="20"/>
              </w:rPr>
              <w:t xml:space="preserve"> </w:t>
            </w:r>
            <w:r w:rsidRPr="00150EDC">
              <w:rPr>
                <w:sz w:val="20"/>
              </w:rPr>
              <w:t>to</w:t>
            </w:r>
            <w:r w:rsidRPr="00150EDC">
              <w:rPr>
                <w:spacing w:val="-8"/>
                <w:sz w:val="20"/>
              </w:rPr>
              <w:t xml:space="preserve"> </w:t>
            </w:r>
            <w:r w:rsidRPr="00150EDC">
              <w:rPr>
                <w:sz w:val="20"/>
              </w:rPr>
              <w:t>private</w:t>
            </w:r>
            <w:r w:rsidRPr="00150EDC">
              <w:rPr>
                <w:spacing w:val="-7"/>
                <w:sz w:val="20"/>
              </w:rPr>
              <w:t xml:space="preserve"> </w:t>
            </w:r>
            <w:r w:rsidRPr="00150EDC">
              <w:rPr>
                <w:spacing w:val="-2"/>
                <w:sz w:val="20"/>
              </w:rPr>
              <w:t>fostering</w:t>
            </w:r>
          </w:p>
        </w:tc>
      </w:tr>
      <w:tr w:rsidR="004569EE" w:rsidRPr="007D3144" w14:paraId="59749C6A" w14:textId="77777777">
        <w:trPr>
          <w:trHeight w:val="255"/>
        </w:trPr>
        <w:tc>
          <w:tcPr>
            <w:tcW w:w="6517" w:type="dxa"/>
          </w:tcPr>
          <w:p w14:paraId="278BDD68" w14:textId="77777777" w:rsidR="004C7180" w:rsidRPr="00150EDC" w:rsidRDefault="00CF0754">
            <w:pPr>
              <w:pStyle w:val="TableParagraph"/>
              <w:rPr>
                <w:sz w:val="20"/>
              </w:rPr>
            </w:pPr>
            <w:r w:rsidRPr="00150EDC">
              <w:rPr>
                <w:sz w:val="20"/>
              </w:rPr>
              <w:t>Children</w:t>
            </w:r>
            <w:r w:rsidRPr="00150EDC">
              <w:rPr>
                <w:spacing w:val="-7"/>
                <w:sz w:val="20"/>
              </w:rPr>
              <w:t xml:space="preserve"> </w:t>
            </w:r>
            <w:r w:rsidRPr="00150EDC">
              <w:rPr>
                <w:sz w:val="20"/>
              </w:rPr>
              <w:t>(Northern</w:t>
            </w:r>
            <w:r w:rsidRPr="00150EDC">
              <w:rPr>
                <w:spacing w:val="-6"/>
                <w:sz w:val="20"/>
              </w:rPr>
              <w:t xml:space="preserve"> </w:t>
            </w:r>
            <w:r w:rsidRPr="00150EDC">
              <w:rPr>
                <w:sz w:val="20"/>
              </w:rPr>
              <w:t>Ireland)</w:t>
            </w:r>
            <w:r w:rsidRPr="00150EDC">
              <w:rPr>
                <w:spacing w:val="-6"/>
                <w:sz w:val="20"/>
              </w:rPr>
              <w:t xml:space="preserve"> </w:t>
            </w:r>
            <w:r w:rsidRPr="00150EDC">
              <w:rPr>
                <w:sz w:val="20"/>
              </w:rPr>
              <w:t>Order</w:t>
            </w:r>
            <w:r w:rsidRPr="00150EDC">
              <w:rPr>
                <w:spacing w:val="-6"/>
                <w:sz w:val="20"/>
              </w:rPr>
              <w:t xml:space="preserve"> </w:t>
            </w:r>
            <w:r w:rsidRPr="00150EDC">
              <w:rPr>
                <w:sz w:val="20"/>
              </w:rPr>
              <w:t>1995,</w:t>
            </w:r>
            <w:r w:rsidRPr="00150EDC">
              <w:rPr>
                <w:spacing w:val="-6"/>
                <w:sz w:val="20"/>
              </w:rPr>
              <w:t xml:space="preserve"> </w:t>
            </w:r>
            <w:r w:rsidRPr="00150EDC">
              <w:rPr>
                <w:sz w:val="20"/>
              </w:rPr>
              <w:t>Art</w:t>
            </w:r>
            <w:r w:rsidRPr="00150EDC">
              <w:rPr>
                <w:spacing w:val="-6"/>
                <w:sz w:val="20"/>
              </w:rPr>
              <w:t xml:space="preserve"> </w:t>
            </w:r>
            <w:r w:rsidRPr="00150EDC">
              <w:rPr>
                <w:spacing w:val="-5"/>
                <w:sz w:val="20"/>
              </w:rPr>
              <w:t>132</w:t>
            </w:r>
          </w:p>
        </w:tc>
        <w:tc>
          <w:tcPr>
            <w:tcW w:w="7427" w:type="dxa"/>
          </w:tcPr>
          <w:p w14:paraId="3BB99421" w14:textId="77777777" w:rsidR="004C7180" w:rsidRPr="00150EDC" w:rsidRDefault="00CF0754">
            <w:pPr>
              <w:pStyle w:val="TableParagraph"/>
              <w:rPr>
                <w:sz w:val="20"/>
              </w:rPr>
            </w:pPr>
            <w:r w:rsidRPr="00150EDC">
              <w:rPr>
                <w:sz w:val="20"/>
              </w:rPr>
              <w:t>Offences</w:t>
            </w:r>
            <w:r w:rsidRPr="00150EDC">
              <w:rPr>
                <w:spacing w:val="-5"/>
                <w:sz w:val="20"/>
              </w:rPr>
              <w:t xml:space="preserve"> </w:t>
            </w:r>
            <w:r w:rsidRPr="00150EDC">
              <w:rPr>
                <w:sz w:val="20"/>
              </w:rPr>
              <w:t>relating</w:t>
            </w:r>
            <w:r w:rsidRPr="00150EDC">
              <w:rPr>
                <w:spacing w:val="-5"/>
                <w:sz w:val="20"/>
              </w:rPr>
              <w:t xml:space="preserve"> </w:t>
            </w:r>
            <w:r w:rsidRPr="00150EDC">
              <w:rPr>
                <w:sz w:val="20"/>
              </w:rPr>
              <w:t>to</w:t>
            </w:r>
            <w:r w:rsidRPr="00150EDC">
              <w:rPr>
                <w:spacing w:val="-9"/>
                <w:sz w:val="20"/>
              </w:rPr>
              <w:t xml:space="preserve"> </w:t>
            </w:r>
            <w:r w:rsidRPr="00150EDC">
              <w:rPr>
                <w:sz w:val="20"/>
              </w:rPr>
              <w:t>childminding</w:t>
            </w:r>
            <w:r w:rsidRPr="00150EDC">
              <w:rPr>
                <w:spacing w:val="-5"/>
                <w:sz w:val="20"/>
              </w:rPr>
              <w:t xml:space="preserve"> </w:t>
            </w:r>
            <w:r w:rsidRPr="00150EDC">
              <w:rPr>
                <w:sz w:val="20"/>
              </w:rPr>
              <w:t>and</w:t>
            </w:r>
            <w:r w:rsidRPr="00150EDC">
              <w:rPr>
                <w:spacing w:val="-3"/>
                <w:sz w:val="20"/>
              </w:rPr>
              <w:t xml:space="preserve"> </w:t>
            </w:r>
            <w:r w:rsidRPr="00150EDC">
              <w:rPr>
                <w:sz w:val="20"/>
              </w:rPr>
              <w:t>day-</w:t>
            </w:r>
            <w:r w:rsidRPr="00150EDC">
              <w:rPr>
                <w:spacing w:val="-4"/>
                <w:sz w:val="20"/>
              </w:rPr>
              <w:t>care</w:t>
            </w:r>
          </w:p>
        </w:tc>
      </w:tr>
      <w:tr w:rsidR="004569EE" w:rsidRPr="007D3144" w14:paraId="4BA24CCE" w14:textId="77777777">
        <w:trPr>
          <w:trHeight w:val="255"/>
        </w:trPr>
        <w:tc>
          <w:tcPr>
            <w:tcW w:w="6517" w:type="dxa"/>
          </w:tcPr>
          <w:p w14:paraId="69A173F5" w14:textId="77777777" w:rsidR="004C7180" w:rsidRPr="00150EDC" w:rsidRDefault="00CF0754">
            <w:pPr>
              <w:pStyle w:val="TableParagraph"/>
              <w:rPr>
                <w:sz w:val="20"/>
              </w:rPr>
            </w:pPr>
            <w:r w:rsidRPr="00150EDC">
              <w:rPr>
                <w:sz w:val="20"/>
              </w:rPr>
              <w:t>Children</w:t>
            </w:r>
            <w:r w:rsidRPr="00150EDC">
              <w:rPr>
                <w:spacing w:val="-7"/>
                <w:sz w:val="20"/>
              </w:rPr>
              <w:t xml:space="preserve"> </w:t>
            </w:r>
            <w:r w:rsidRPr="00150EDC">
              <w:rPr>
                <w:sz w:val="20"/>
              </w:rPr>
              <w:t>(Northern</w:t>
            </w:r>
            <w:r w:rsidRPr="00150EDC">
              <w:rPr>
                <w:spacing w:val="-6"/>
                <w:sz w:val="20"/>
              </w:rPr>
              <w:t xml:space="preserve"> </w:t>
            </w:r>
            <w:r w:rsidRPr="00150EDC">
              <w:rPr>
                <w:sz w:val="20"/>
              </w:rPr>
              <w:t>Ireland)</w:t>
            </w:r>
            <w:r w:rsidRPr="00150EDC">
              <w:rPr>
                <w:spacing w:val="-6"/>
                <w:sz w:val="20"/>
              </w:rPr>
              <w:t xml:space="preserve"> </w:t>
            </w:r>
            <w:r w:rsidRPr="00150EDC">
              <w:rPr>
                <w:sz w:val="20"/>
              </w:rPr>
              <w:t>Order</w:t>
            </w:r>
            <w:r w:rsidRPr="00150EDC">
              <w:rPr>
                <w:spacing w:val="-6"/>
                <w:sz w:val="20"/>
              </w:rPr>
              <w:t xml:space="preserve"> </w:t>
            </w:r>
            <w:r w:rsidRPr="00150EDC">
              <w:rPr>
                <w:sz w:val="20"/>
              </w:rPr>
              <w:t>1995,</w:t>
            </w:r>
            <w:r w:rsidRPr="00150EDC">
              <w:rPr>
                <w:spacing w:val="-6"/>
                <w:sz w:val="20"/>
              </w:rPr>
              <w:t xml:space="preserve"> </w:t>
            </w:r>
            <w:r w:rsidRPr="00150EDC">
              <w:rPr>
                <w:sz w:val="20"/>
              </w:rPr>
              <w:t>Art</w:t>
            </w:r>
            <w:r w:rsidRPr="00150EDC">
              <w:rPr>
                <w:spacing w:val="-6"/>
                <w:sz w:val="20"/>
              </w:rPr>
              <w:t xml:space="preserve"> </w:t>
            </w:r>
            <w:r w:rsidRPr="00150EDC">
              <w:rPr>
                <w:spacing w:val="-5"/>
                <w:sz w:val="20"/>
              </w:rPr>
              <w:t>68</w:t>
            </w:r>
          </w:p>
        </w:tc>
        <w:tc>
          <w:tcPr>
            <w:tcW w:w="7427" w:type="dxa"/>
          </w:tcPr>
          <w:p w14:paraId="71EA7BF5" w14:textId="77777777" w:rsidR="004C7180" w:rsidRPr="00150EDC" w:rsidRDefault="00CF0754">
            <w:pPr>
              <w:pStyle w:val="TableParagraph"/>
              <w:rPr>
                <w:sz w:val="20"/>
              </w:rPr>
            </w:pPr>
            <w:r w:rsidRPr="00150EDC">
              <w:rPr>
                <w:sz w:val="20"/>
              </w:rPr>
              <w:t>Abduction</w:t>
            </w:r>
            <w:r w:rsidRPr="00150EDC">
              <w:rPr>
                <w:spacing w:val="-5"/>
                <w:sz w:val="20"/>
              </w:rPr>
              <w:t xml:space="preserve"> </w:t>
            </w:r>
            <w:r w:rsidRPr="00150EDC">
              <w:rPr>
                <w:sz w:val="20"/>
              </w:rPr>
              <w:t>of</w:t>
            </w:r>
            <w:r w:rsidRPr="00150EDC">
              <w:rPr>
                <w:spacing w:val="-5"/>
                <w:sz w:val="20"/>
              </w:rPr>
              <w:t xml:space="preserve"> </w:t>
            </w:r>
            <w:r w:rsidRPr="00150EDC">
              <w:rPr>
                <w:sz w:val="20"/>
              </w:rPr>
              <w:t>children</w:t>
            </w:r>
            <w:r w:rsidRPr="00150EDC">
              <w:rPr>
                <w:spacing w:val="-4"/>
                <w:sz w:val="20"/>
              </w:rPr>
              <w:t xml:space="preserve"> </w:t>
            </w:r>
            <w:r w:rsidRPr="00150EDC">
              <w:rPr>
                <w:sz w:val="20"/>
              </w:rPr>
              <w:t>in</w:t>
            </w:r>
            <w:r w:rsidRPr="00150EDC">
              <w:rPr>
                <w:spacing w:val="-5"/>
                <w:sz w:val="20"/>
              </w:rPr>
              <w:t xml:space="preserve"> </w:t>
            </w:r>
            <w:r w:rsidRPr="00150EDC">
              <w:rPr>
                <w:sz w:val="20"/>
              </w:rPr>
              <w:t>care,</w:t>
            </w:r>
            <w:r w:rsidRPr="00150EDC">
              <w:rPr>
                <w:spacing w:val="-4"/>
                <w:sz w:val="20"/>
              </w:rPr>
              <w:t xml:space="preserve"> </w:t>
            </w:r>
            <w:r w:rsidRPr="00150EDC">
              <w:rPr>
                <w:spacing w:val="-5"/>
                <w:sz w:val="20"/>
              </w:rPr>
              <w:t>etc</w:t>
            </w:r>
          </w:p>
        </w:tc>
      </w:tr>
      <w:tr w:rsidR="004569EE" w:rsidRPr="007D3144" w14:paraId="0BD36DE7" w14:textId="77777777">
        <w:trPr>
          <w:trHeight w:val="255"/>
        </w:trPr>
        <w:tc>
          <w:tcPr>
            <w:tcW w:w="6517" w:type="dxa"/>
          </w:tcPr>
          <w:p w14:paraId="2C695CC5" w14:textId="77777777" w:rsidR="004C7180" w:rsidRPr="00150EDC" w:rsidRDefault="00CF0754">
            <w:pPr>
              <w:pStyle w:val="TableParagraph"/>
              <w:spacing w:before="28"/>
              <w:rPr>
                <w:sz w:val="20"/>
              </w:rPr>
            </w:pPr>
            <w:r w:rsidRPr="00150EDC">
              <w:rPr>
                <w:sz w:val="20"/>
              </w:rPr>
              <w:t>Children</w:t>
            </w:r>
            <w:r w:rsidRPr="00150EDC">
              <w:rPr>
                <w:spacing w:val="-7"/>
                <w:sz w:val="20"/>
              </w:rPr>
              <w:t xml:space="preserve"> </w:t>
            </w:r>
            <w:r w:rsidRPr="00150EDC">
              <w:rPr>
                <w:sz w:val="20"/>
              </w:rPr>
              <w:t>(Northern</w:t>
            </w:r>
            <w:r w:rsidRPr="00150EDC">
              <w:rPr>
                <w:spacing w:val="-6"/>
                <w:sz w:val="20"/>
              </w:rPr>
              <w:t xml:space="preserve"> </w:t>
            </w:r>
            <w:r w:rsidRPr="00150EDC">
              <w:rPr>
                <w:sz w:val="20"/>
              </w:rPr>
              <w:t>Ireland)</w:t>
            </w:r>
            <w:r w:rsidRPr="00150EDC">
              <w:rPr>
                <w:spacing w:val="-6"/>
                <w:sz w:val="20"/>
              </w:rPr>
              <w:t xml:space="preserve"> </w:t>
            </w:r>
            <w:r w:rsidRPr="00150EDC">
              <w:rPr>
                <w:sz w:val="20"/>
              </w:rPr>
              <w:t>Order</w:t>
            </w:r>
            <w:r w:rsidRPr="00150EDC">
              <w:rPr>
                <w:spacing w:val="-6"/>
                <w:sz w:val="20"/>
              </w:rPr>
              <w:t xml:space="preserve"> </w:t>
            </w:r>
            <w:r w:rsidRPr="00150EDC">
              <w:rPr>
                <w:sz w:val="20"/>
              </w:rPr>
              <w:t>1995,</w:t>
            </w:r>
            <w:r w:rsidRPr="00150EDC">
              <w:rPr>
                <w:spacing w:val="-6"/>
                <w:sz w:val="20"/>
              </w:rPr>
              <w:t xml:space="preserve"> </w:t>
            </w:r>
            <w:r w:rsidRPr="00150EDC">
              <w:rPr>
                <w:sz w:val="20"/>
              </w:rPr>
              <w:t>Art</w:t>
            </w:r>
            <w:r w:rsidRPr="00150EDC">
              <w:rPr>
                <w:spacing w:val="-6"/>
                <w:sz w:val="20"/>
              </w:rPr>
              <w:t xml:space="preserve"> </w:t>
            </w:r>
            <w:r w:rsidRPr="00150EDC">
              <w:rPr>
                <w:spacing w:val="-5"/>
                <w:sz w:val="20"/>
              </w:rPr>
              <w:t>69</w:t>
            </w:r>
          </w:p>
        </w:tc>
        <w:tc>
          <w:tcPr>
            <w:tcW w:w="7427" w:type="dxa"/>
          </w:tcPr>
          <w:p w14:paraId="6118B48D" w14:textId="77777777" w:rsidR="004C7180" w:rsidRPr="00150EDC" w:rsidRDefault="00CF0754">
            <w:pPr>
              <w:pStyle w:val="TableParagraph"/>
              <w:spacing w:before="28"/>
              <w:rPr>
                <w:sz w:val="20"/>
              </w:rPr>
            </w:pPr>
            <w:r w:rsidRPr="00150EDC">
              <w:rPr>
                <w:sz w:val="20"/>
              </w:rPr>
              <w:t>Obstructing</w:t>
            </w:r>
            <w:r w:rsidRPr="00150EDC">
              <w:rPr>
                <w:spacing w:val="-6"/>
                <w:sz w:val="20"/>
              </w:rPr>
              <w:t xml:space="preserve"> </w:t>
            </w:r>
            <w:r w:rsidRPr="00150EDC">
              <w:rPr>
                <w:sz w:val="20"/>
              </w:rPr>
              <w:t>an</w:t>
            </w:r>
            <w:r w:rsidRPr="00150EDC">
              <w:rPr>
                <w:spacing w:val="-5"/>
                <w:sz w:val="20"/>
              </w:rPr>
              <w:t xml:space="preserve"> </w:t>
            </w:r>
            <w:r w:rsidRPr="00150EDC">
              <w:rPr>
                <w:sz w:val="20"/>
              </w:rPr>
              <w:t>authorised</w:t>
            </w:r>
            <w:r w:rsidRPr="00150EDC">
              <w:rPr>
                <w:spacing w:val="-5"/>
                <w:sz w:val="20"/>
              </w:rPr>
              <w:t xml:space="preserve"> </w:t>
            </w:r>
            <w:r w:rsidRPr="00150EDC">
              <w:rPr>
                <w:sz w:val="20"/>
              </w:rPr>
              <w:t>person</w:t>
            </w:r>
            <w:r w:rsidRPr="00150EDC">
              <w:rPr>
                <w:spacing w:val="-1"/>
                <w:sz w:val="20"/>
              </w:rPr>
              <w:t xml:space="preserve"> </w:t>
            </w:r>
            <w:r w:rsidRPr="00150EDC">
              <w:rPr>
                <w:sz w:val="20"/>
              </w:rPr>
              <w:t>exercising</w:t>
            </w:r>
            <w:r w:rsidRPr="00150EDC">
              <w:rPr>
                <w:spacing w:val="-5"/>
                <w:sz w:val="20"/>
              </w:rPr>
              <w:t xml:space="preserve"> </w:t>
            </w:r>
            <w:r w:rsidRPr="00150EDC">
              <w:rPr>
                <w:sz w:val="20"/>
              </w:rPr>
              <w:t>power</w:t>
            </w:r>
            <w:r w:rsidRPr="00150EDC">
              <w:rPr>
                <w:spacing w:val="-5"/>
                <w:sz w:val="20"/>
              </w:rPr>
              <w:t xml:space="preserve"> </w:t>
            </w:r>
            <w:r w:rsidRPr="00150EDC">
              <w:rPr>
                <w:sz w:val="20"/>
              </w:rPr>
              <w:t>to</w:t>
            </w:r>
            <w:r w:rsidRPr="00150EDC">
              <w:rPr>
                <w:spacing w:val="-1"/>
                <w:sz w:val="20"/>
              </w:rPr>
              <w:t xml:space="preserve"> </w:t>
            </w:r>
            <w:r w:rsidRPr="00150EDC">
              <w:rPr>
                <w:sz w:val="20"/>
              </w:rPr>
              <w:t>remove</w:t>
            </w:r>
            <w:r w:rsidRPr="00150EDC">
              <w:rPr>
                <w:spacing w:val="-5"/>
                <w:sz w:val="20"/>
              </w:rPr>
              <w:t xml:space="preserve"> </w:t>
            </w:r>
            <w:r w:rsidRPr="00150EDC">
              <w:rPr>
                <w:sz w:val="20"/>
              </w:rPr>
              <w:t>a</w:t>
            </w:r>
            <w:r w:rsidRPr="00150EDC">
              <w:rPr>
                <w:spacing w:val="-5"/>
                <w:sz w:val="20"/>
              </w:rPr>
              <w:t xml:space="preserve"> </w:t>
            </w:r>
            <w:r w:rsidRPr="00150EDC">
              <w:rPr>
                <w:spacing w:val="-2"/>
                <w:sz w:val="20"/>
              </w:rPr>
              <w:t>child</w:t>
            </w:r>
          </w:p>
        </w:tc>
      </w:tr>
      <w:tr w:rsidR="004569EE" w:rsidRPr="007D3144" w14:paraId="5AC89F0F" w14:textId="77777777">
        <w:trPr>
          <w:trHeight w:val="255"/>
        </w:trPr>
        <w:tc>
          <w:tcPr>
            <w:tcW w:w="6517" w:type="dxa"/>
          </w:tcPr>
          <w:p w14:paraId="492BE0E1" w14:textId="77777777" w:rsidR="004C7180" w:rsidRPr="00150EDC" w:rsidRDefault="00CF0754">
            <w:pPr>
              <w:pStyle w:val="TableParagraph"/>
              <w:rPr>
                <w:sz w:val="20"/>
              </w:rPr>
            </w:pPr>
            <w:r w:rsidRPr="00150EDC">
              <w:rPr>
                <w:sz w:val="20"/>
              </w:rPr>
              <w:t>Children</w:t>
            </w:r>
            <w:r w:rsidRPr="00150EDC">
              <w:rPr>
                <w:spacing w:val="-7"/>
                <w:sz w:val="20"/>
              </w:rPr>
              <w:t xml:space="preserve"> </w:t>
            </w:r>
            <w:r w:rsidRPr="00150EDC">
              <w:rPr>
                <w:sz w:val="20"/>
              </w:rPr>
              <w:t>(Northern</w:t>
            </w:r>
            <w:r w:rsidRPr="00150EDC">
              <w:rPr>
                <w:spacing w:val="-6"/>
                <w:sz w:val="20"/>
              </w:rPr>
              <w:t xml:space="preserve"> </w:t>
            </w:r>
            <w:r w:rsidRPr="00150EDC">
              <w:rPr>
                <w:sz w:val="20"/>
              </w:rPr>
              <w:t>Ireland)</w:t>
            </w:r>
            <w:r w:rsidRPr="00150EDC">
              <w:rPr>
                <w:spacing w:val="-6"/>
                <w:sz w:val="20"/>
              </w:rPr>
              <w:t xml:space="preserve"> </w:t>
            </w:r>
            <w:r w:rsidRPr="00150EDC">
              <w:rPr>
                <w:sz w:val="20"/>
              </w:rPr>
              <w:t>Order</w:t>
            </w:r>
            <w:r w:rsidRPr="00150EDC">
              <w:rPr>
                <w:spacing w:val="-6"/>
                <w:sz w:val="20"/>
              </w:rPr>
              <w:t xml:space="preserve"> </w:t>
            </w:r>
            <w:r w:rsidRPr="00150EDC">
              <w:rPr>
                <w:sz w:val="20"/>
              </w:rPr>
              <w:t>1995,</w:t>
            </w:r>
            <w:r w:rsidRPr="00150EDC">
              <w:rPr>
                <w:spacing w:val="-6"/>
                <w:sz w:val="20"/>
              </w:rPr>
              <w:t xml:space="preserve"> </w:t>
            </w:r>
            <w:r w:rsidRPr="00150EDC">
              <w:rPr>
                <w:sz w:val="20"/>
              </w:rPr>
              <w:t>Art</w:t>
            </w:r>
            <w:r w:rsidRPr="00150EDC">
              <w:rPr>
                <w:spacing w:val="-6"/>
                <w:sz w:val="20"/>
              </w:rPr>
              <w:t xml:space="preserve"> </w:t>
            </w:r>
            <w:r w:rsidRPr="00150EDC">
              <w:rPr>
                <w:spacing w:val="-5"/>
                <w:sz w:val="20"/>
              </w:rPr>
              <w:t>79</w:t>
            </w:r>
          </w:p>
        </w:tc>
        <w:tc>
          <w:tcPr>
            <w:tcW w:w="7427" w:type="dxa"/>
          </w:tcPr>
          <w:p w14:paraId="335EE6CA" w14:textId="77777777" w:rsidR="004C7180" w:rsidRPr="00150EDC" w:rsidRDefault="00CF0754">
            <w:pPr>
              <w:pStyle w:val="TableParagraph"/>
              <w:rPr>
                <w:sz w:val="20"/>
              </w:rPr>
            </w:pPr>
            <w:r w:rsidRPr="00150EDC">
              <w:rPr>
                <w:sz w:val="20"/>
              </w:rPr>
              <w:t>Carrying</w:t>
            </w:r>
            <w:r w:rsidRPr="00150EDC">
              <w:rPr>
                <w:spacing w:val="-3"/>
                <w:sz w:val="20"/>
              </w:rPr>
              <w:t xml:space="preserve"> </w:t>
            </w:r>
            <w:r w:rsidRPr="00150EDC">
              <w:rPr>
                <w:sz w:val="20"/>
              </w:rPr>
              <w:t>on</w:t>
            </w:r>
            <w:r w:rsidRPr="00150EDC">
              <w:rPr>
                <w:spacing w:val="-8"/>
                <w:sz w:val="20"/>
              </w:rPr>
              <w:t xml:space="preserve"> </w:t>
            </w:r>
            <w:r w:rsidRPr="00150EDC">
              <w:rPr>
                <w:sz w:val="20"/>
              </w:rPr>
              <w:t>an</w:t>
            </w:r>
            <w:r w:rsidRPr="00150EDC">
              <w:rPr>
                <w:spacing w:val="-3"/>
                <w:sz w:val="20"/>
              </w:rPr>
              <w:t xml:space="preserve"> </w:t>
            </w:r>
            <w:r w:rsidRPr="00150EDC">
              <w:rPr>
                <w:sz w:val="20"/>
              </w:rPr>
              <w:t>unregistered</w:t>
            </w:r>
            <w:r w:rsidRPr="00150EDC">
              <w:rPr>
                <w:spacing w:val="-7"/>
                <w:sz w:val="20"/>
              </w:rPr>
              <w:t xml:space="preserve"> </w:t>
            </w:r>
            <w:r w:rsidRPr="00150EDC">
              <w:rPr>
                <w:sz w:val="20"/>
              </w:rPr>
              <w:t>voluntary</w:t>
            </w:r>
            <w:r w:rsidRPr="00150EDC">
              <w:rPr>
                <w:spacing w:val="-2"/>
                <w:sz w:val="20"/>
              </w:rPr>
              <w:t xml:space="preserve"> </w:t>
            </w:r>
            <w:r w:rsidRPr="00150EDC">
              <w:rPr>
                <w:spacing w:val="-4"/>
                <w:sz w:val="20"/>
              </w:rPr>
              <w:t>home</w:t>
            </w:r>
          </w:p>
        </w:tc>
      </w:tr>
      <w:tr w:rsidR="004569EE" w:rsidRPr="007D3144" w14:paraId="6610EF63" w14:textId="77777777">
        <w:trPr>
          <w:trHeight w:val="255"/>
        </w:trPr>
        <w:tc>
          <w:tcPr>
            <w:tcW w:w="6517" w:type="dxa"/>
          </w:tcPr>
          <w:p w14:paraId="5D8AEDD2" w14:textId="77777777" w:rsidR="004C7180" w:rsidRPr="00150EDC" w:rsidRDefault="00CF0754">
            <w:pPr>
              <w:pStyle w:val="TableParagraph"/>
              <w:rPr>
                <w:sz w:val="20"/>
              </w:rPr>
            </w:pPr>
            <w:r w:rsidRPr="00150EDC">
              <w:rPr>
                <w:sz w:val="20"/>
              </w:rPr>
              <w:t>Children</w:t>
            </w:r>
            <w:r w:rsidRPr="00150EDC">
              <w:rPr>
                <w:spacing w:val="-7"/>
                <w:sz w:val="20"/>
              </w:rPr>
              <w:t xml:space="preserve"> </w:t>
            </w:r>
            <w:r w:rsidRPr="00150EDC">
              <w:rPr>
                <w:sz w:val="20"/>
              </w:rPr>
              <w:t>(Northern</w:t>
            </w:r>
            <w:r w:rsidRPr="00150EDC">
              <w:rPr>
                <w:spacing w:val="-6"/>
                <w:sz w:val="20"/>
              </w:rPr>
              <w:t xml:space="preserve"> </w:t>
            </w:r>
            <w:r w:rsidRPr="00150EDC">
              <w:rPr>
                <w:sz w:val="20"/>
              </w:rPr>
              <w:t>Ireland)</w:t>
            </w:r>
            <w:r w:rsidRPr="00150EDC">
              <w:rPr>
                <w:spacing w:val="-6"/>
                <w:sz w:val="20"/>
              </w:rPr>
              <w:t xml:space="preserve"> </w:t>
            </w:r>
            <w:r w:rsidRPr="00150EDC">
              <w:rPr>
                <w:sz w:val="20"/>
              </w:rPr>
              <w:t>Order</w:t>
            </w:r>
            <w:r w:rsidRPr="00150EDC">
              <w:rPr>
                <w:spacing w:val="-6"/>
                <w:sz w:val="20"/>
              </w:rPr>
              <w:t xml:space="preserve"> </w:t>
            </w:r>
            <w:r w:rsidRPr="00150EDC">
              <w:rPr>
                <w:sz w:val="20"/>
              </w:rPr>
              <w:t>1995,</w:t>
            </w:r>
            <w:r w:rsidRPr="00150EDC">
              <w:rPr>
                <w:spacing w:val="-6"/>
                <w:sz w:val="20"/>
              </w:rPr>
              <w:t xml:space="preserve"> </w:t>
            </w:r>
            <w:r w:rsidRPr="00150EDC">
              <w:rPr>
                <w:sz w:val="20"/>
              </w:rPr>
              <w:t>Art</w:t>
            </w:r>
            <w:r w:rsidRPr="00150EDC">
              <w:rPr>
                <w:spacing w:val="-6"/>
                <w:sz w:val="20"/>
              </w:rPr>
              <w:t xml:space="preserve"> </w:t>
            </w:r>
            <w:r w:rsidRPr="00150EDC">
              <w:rPr>
                <w:spacing w:val="-5"/>
                <w:sz w:val="20"/>
              </w:rPr>
              <w:t>81</w:t>
            </w:r>
          </w:p>
        </w:tc>
        <w:tc>
          <w:tcPr>
            <w:tcW w:w="7427" w:type="dxa"/>
          </w:tcPr>
          <w:p w14:paraId="35D2764B" w14:textId="77777777" w:rsidR="004C7180" w:rsidRPr="00150EDC" w:rsidRDefault="00CF0754">
            <w:pPr>
              <w:pStyle w:val="TableParagraph"/>
              <w:rPr>
                <w:sz w:val="20"/>
              </w:rPr>
            </w:pPr>
            <w:r w:rsidRPr="00150EDC">
              <w:rPr>
                <w:sz w:val="20"/>
              </w:rPr>
              <w:t>Failing</w:t>
            </w:r>
            <w:r w:rsidRPr="00150EDC">
              <w:rPr>
                <w:spacing w:val="-5"/>
                <w:sz w:val="20"/>
              </w:rPr>
              <w:t xml:space="preserve"> </w:t>
            </w:r>
            <w:r w:rsidRPr="00150EDC">
              <w:rPr>
                <w:sz w:val="20"/>
              </w:rPr>
              <w:t>to</w:t>
            </w:r>
            <w:r w:rsidRPr="00150EDC">
              <w:rPr>
                <w:spacing w:val="-5"/>
                <w:sz w:val="20"/>
              </w:rPr>
              <w:t xml:space="preserve"> </w:t>
            </w:r>
            <w:r w:rsidRPr="00150EDC">
              <w:rPr>
                <w:sz w:val="20"/>
              </w:rPr>
              <w:t>comply</w:t>
            </w:r>
            <w:r w:rsidRPr="00150EDC">
              <w:rPr>
                <w:spacing w:val="-3"/>
                <w:sz w:val="20"/>
              </w:rPr>
              <w:t xml:space="preserve"> </w:t>
            </w:r>
            <w:r w:rsidRPr="00150EDC">
              <w:rPr>
                <w:sz w:val="20"/>
              </w:rPr>
              <w:t>with</w:t>
            </w:r>
            <w:r w:rsidRPr="00150EDC">
              <w:rPr>
                <w:spacing w:val="-5"/>
                <w:sz w:val="20"/>
              </w:rPr>
              <w:t xml:space="preserve"> </w:t>
            </w:r>
            <w:r w:rsidRPr="00150EDC">
              <w:rPr>
                <w:sz w:val="20"/>
              </w:rPr>
              <w:t>conditions</w:t>
            </w:r>
            <w:r w:rsidRPr="00150EDC">
              <w:rPr>
                <w:spacing w:val="-4"/>
                <w:sz w:val="20"/>
              </w:rPr>
              <w:t xml:space="preserve"> </w:t>
            </w:r>
            <w:r w:rsidRPr="00150EDC">
              <w:rPr>
                <w:sz w:val="20"/>
              </w:rPr>
              <w:t>of registration</w:t>
            </w:r>
            <w:r w:rsidRPr="00150EDC">
              <w:rPr>
                <w:spacing w:val="-5"/>
                <w:sz w:val="20"/>
              </w:rPr>
              <w:t xml:space="preserve"> </w:t>
            </w:r>
            <w:r w:rsidRPr="00150EDC">
              <w:rPr>
                <w:sz w:val="20"/>
              </w:rPr>
              <w:t>of</w:t>
            </w:r>
            <w:r w:rsidRPr="00150EDC">
              <w:rPr>
                <w:spacing w:val="-5"/>
                <w:sz w:val="20"/>
              </w:rPr>
              <w:t xml:space="preserve"> </w:t>
            </w:r>
            <w:r w:rsidRPr="00150EDC">
              <w:rPr>
                <w:sz w:val="20"/>
              </w:rPr>
              <w:t>a</w:t>
            </w:r>
            <w:r w:rsidRPr="00150EDC">
              <w:rPr>
                <w:spacing w:val="-5"/>
                <w:sz w:val="20"/>
              </w:rPr>
              <w:t xml:space="preserve"> </w:t>
            </w:r>
            <w:r w:rsidRPr="00150EDC">
              <w:rPr>
                <w:sz w:val="20"/>
              </w:rPr>
              <w:t>voluntary</w:t>
            </w:r>
            <w:r w:rsidRPr="00150EDC">
              <w:rPr>
                <w:spacing w:val="-3"/>
                <w:sz w:val="20"/>
              </w:rPr>
              <w:t xml:space="preserve"> </w:t>
            </w:r>
            <w:r w:rsidRPr="00150EDC">
              <w:rPr>
                <w:spacing w:val="-4"/>
                <w:sz w:val="20"/>
              </w:rPr>
              <w:t>home</w:t>
            </w:r>
          </w:p>
        </w:tc>
      </w:tr>
      <w:tr w:rsidR="004569EE" w:rsidRPr="007D3144" w14:paraId="2275659F" w14:textId="77777777">
        <w:trPr>
          <w:trHeight w:val="255"/>
        </w:trPr>
        <w:tc>
          <w:tcPr>
            <w:tcW w:w="6517" w:type="dxa"/>
          </w:tcPr>
          <w:p w14:paraId="32BCA87E" w14:textId="77777777" w:rsidR="004C7180" w:rsidRPr="00150EDC" w:rsidRDefault="00CF0754">
            <w:pPr>
              <w:pStyle w:val="TableParagraph"/>
              <w:rPr>
                <w:sz w:val="20"/>
              </w:rPr>
            </w:pPr>
            <w:r w:rsidRPr="00150EDC">
              <w:rPr>
                <w:sz w:val="20"/>
              </w:rPr>
              <w:t>Children</w:t>
            </w:r>
            <w:r w:rsidRPr="00150EDC">
              <w:rPr>
                <w:spacing w:val="-7"/>
                <w:sz w:val="20"/>
              </w:rPr>
              <w:t xml:space="preserve"> </w:t>
            </w:r>
            <w:r w:rsidRPr="00150EDC">
              <w:rPr>
                <w:sz w:val="20"/>
              </w:rPr>
              <w:t>(Northern</w:t>
            </w:r>
            <w:r w:rsidRPr="00150EDC">
              <w:rPr>
                <w:spacing w:val="-6"/>
                <w:sz w:val="20"/>
              </w:rPr>
              <w:t xml:space="preserve"> </w:t>
            </w:r>
            <w:r w:rsidRPr="00150EDC">
              <w:rPr>
                <w:sz w:val="20"/>
              </w:rPr>
              <w:t>Ireland)</w:t>
            </w:r>
            <w:r w:rsidRPr="00150EDC">
              <w:rPr>
                <w:spacing w:val="-6"/>
                <w:sz w:val="20"/>
              </w:rPr>
              <w:t xml:space="preserve"> </w:t>
            </w:r>
            <w:r w:rsidRPr="00150EDC">
              <w:rPr>
                <w:sz w:val="20"/>
              </w:rPr>
              <w:t>Order</w:t>
            </w:r>
            <w:r w:rsidRPr="00150EDC">
              <w:rPr>
                <w:spacing w:val="-6"/>
                <w:sz w:val="20"/>
              </w:rPr>
              <w:t xml:space="preserve"> </w:t>
            </w:r>
            <w:r w:rsidRPr="00150EDC">
              <w:rPr>
                <w:sz w:val="20"/>
              </w:rPr>
              <w:t>1995,</w:t>
            </w:r>
            <w:r w:rsidRPr="00150EDC">
              <w:rPr>
                <w:spacing w:val="-6"/>
                <w:sz w:val="20"/>
              </w:rPr>
              <w:t xml:space="preserve"> </w:t>
            </w:r>
            <w:r w:rsidRPr="00150EDC">
              <w:rPr>
                <w:sz w:val="20"/>
              </w:rPr>
              <w:t>Art</w:t>
            </w:r>
            <w:r w:rsidRPr="00150EDC">
              <w:rPr>
                <w:spacing w:val="-6"/>
                <w:sz w:val="20"/>
              </w:rPr>
              <w:t xml:space="preserve"> </w:t>
            </w:r>
            <w:r w:rsidRPr="00150EDC">
              <w:rPr>
                <w:spacing w:val="-5"/>
                <w:sz w:val="20"/>
              </w:rPr>
              <w:t>95</w:t>
            </w:r>
          </w:p>
        </w:tc>
        <w:tc>
          <w:tcPr>
            <w:tcW w:w="7427" w:type="dxa"/>
          </w:tcPr>
          <w:p w14:paraId="0A98C976" w14:textId="77777777" w:rsidR="004C7180" w:rsidRPr="00150EDC" w:rsidRDefault="00CF0754">
            <w:pPr>
              <w:pStyle w:val="TableParagraph"/>
              <w:rPr>
                <w:sz w:val="20"/>
              </w:rPr>
            </w:pPr>
            <w:r w:rsidRPr="00150EDC">
              <w:rPr>
                <w:sz w:val="20"/>
              </w:rPr>
              <w:t>Carrying</w:t>
            </w:r>
            <w:r w:rsidRPr="00150EDC">
              <w:rPr>
                <w:spacing w:val="-3"/>
                <w:sz w:val="20"/>
              </w:rPr>
              <w:t xml:space="preserve"> </w:t>
            </w:r>
            <w:r w:rsidRPr="00150EDC">
              <w:rPr>
                <w:sz w:val="20"/>
              </w:rPr>
              <w:t>on</w:t>
            </w:r>
            <w:r w:rsidRPr="00150EDC">
              <w:rPr>
                <w:spacing w:val="-8"/>
                <w:sz w:val="20"/>
              </w:rPr>
              <w:t xml:space="preserve"> </w:t>
            </w:r>
            <w:r w:rsidRPr="00150EDC">
              <w:rPr>
                <w:sz w:val="20"/>
              </w:rPr>
              <w:t>an</w:t>
            </w:r>
            <w:r w:rsidRPr="00150EDC">
              <w:rPr>
                <w:spacing w:val="-2"/>
                <w:sz w:val="20"/>
              </w:rPr>
              <w:t xml:space="preserve"> </w:t>
            </w:r>
            <w:r w:rsidRPr="00150EDC">
              <w:rPr>
                <w:sz w:val="20"/>
              </w:rPr>
              <w:t>unregistered</w:t>
            </w:r>
            <w:r w:rsidRPr="00150EDC">
              <w:rPr>
                <w:spacing w:val="-8"/>
                <w:sz w:val="20"/>
              </w:rPr>
              <w:t xml:space="preserve"> </w:t>
            </w:r>
            <w:r w:rsidRPr="00150EDC">
              <w:rPr>
                <w:sz w:val="20"/>
              </w:rPr>
              <w:t>children's</w:t>
            </w:r>
            <w:r w:rsidRPr="00150EDC">
              <w:rPr>
                <w:spacing w:val="-6"/>
                <w:sz w:val="20"/>
              </w:rPr>
              <w:t xml:space="preserve"> </w:t>
            </w:r>
            <w:r w:rsidRPr="00150EDC">
              <w:rPr>
                <w:spacing w:val="-4"/>
                <w:sz w:val="20"/>
              </w:rPr>
              <w:t>home</w:t>
            </w:r>
          </w:p>
        </w:tc>
      </w:tr>
      <w:tr w:rsidR="004569EE" w:rsidRPr="007D3144" w14:paraId="3CE1CBA8" w14:textId="77777777">
        <w:trPr>
          <w:trHeight w:val="255"/>
        </w:trPr>
        <w:tc>
          <w:tcPr>
            <w:tcW w:w="6517" w:type="dxa"/>
          </w:tcPr>
          <w:p w14:paraId="0CC84F9E" w14:textId="77777777" w:rsidR="004C7180" w:rsidRPr="00150EDC" w:rsidRDefault="00CF0754">
            <w:pPr>
              <w:pStyle w:val="TableParagraph"/>
              <w:spacing w:before="28"/>
              <w:rPr>
                <w:sz w:val="20"/>
              </w:rPr>
            </w:pPr>
            <w:r w:rsidRPr="00150EDC">
              <w:rPr>
                <w:sz w:val="20"/>
              </w:rPr>
              <w:t>Children</w:t>
            </w:r>
            <w:r w:rsidRPr="00150EDC">
              <w:rPr>
                <w:spacing w:val="-7"/>
                <w:sz w:val="20"/>
              </w:rPr>
              <w:t xml:space="preserve"> </w:t>
            </w:r>
            <w:r w:rsidRPr="00150EDC">
              <w:rPr>
                <w:sz w:val="20"/>
              </w:rPr>
              <w:t>(Northern</w:t>
            </w:r>
            <w:r w:rsidRPr="00150EDC">
              <w:rPr>
                <w:spacing w:val="-6"/>
                <w:sz w:val="20"/>
              </w:rPr>
              <w:t xml:space="preserve"> </w:t>
            </w:r>
            <w:r w:rsidRPr="00150EDC">
              <w:rPr>
                <w:sz w:val="20"/>
              </w:rPr>
              <w:t>Ireland)</w:t>
            </w:r>
            <w:r w:rsidRPr="00150EDC">
              <w:rPr>
                <w:spacing w:val="-6"/>
                <w:sz w:val="20"/>
              </w:rPr>
              <w:t xml:space="preserve"> </w:t>
            </w:r>
            <w:r w:rsidRPr="00150EDC">
              <w:rPr>
                <w:sz w:val="20"/>
              </w:rPr>
              <w:t>Order</w:t>
            </w:r>
            <w:r w:rsidRPr="00150EDC">
              <w:rPr>
                <w:spacing w:val="-6"/>
                <w:sz w:val="20"/>
              </w:rPr>
              <w:t xml:space="preserve"> </w:t>
            </w:r>
            <w:r w:rsidRPr="00150EDC">
              <w:rPr>
                <w:sz w:val="20"/>
              </w:rPr>
              <w:t>1995,</w:t>
            </w:r>
            <w:r w:rsidRPr="00150EDC">
              <w:rPr>
                <w:spacing w:val="-6"/>
                <w:sz w:val="20"/>
              </w:rPr>
              <w:t xml:space="preserve"> </w:t>
            </w:r>
            <w:r w:rsidRPr="00150EDC">
              <w:rPr>
                <w:sz w:val="20"/>
              </w:rPr>
              <w:t>Art</w:t>
            </w:r>
            <w:r w:rsidRPr="00150EDC">
              <w:rPr>
                <w:spacing w:val="-6"/>
                <w:sz w:val="20"/>
              </w:rPr>
              <w:t xml:space="preserve"> </w:t>
            </w:r>
            <w:r w:rsidRPr="00150EDC">
              <w:rPr>
                <w:spacing w:val="-5"/>
                <w:sz w:val="20"/>
              </w:rPr>
              <w:t>97</w:t>
            </w:r>
          </w:p>
        </w:tc>
        <w:tc>
          <w:tcPr>
            <w:tcW w:w="7427" w:type="dxa"/>
          </w:tcPr>
          <w:p w14:paraId="7BA3257B" w14:textId="77777777" w:rsidR="004C7180" w:rsidRPr="00150EDC" w:rsidRDefault="00CF0754">
            <w:pPr>
              <w:pStyle w:val="TableParagraph"/>
              <w:spacing w:before="28"/>
              <w:rPr>
                <w:sz w:val="20"/>
              </w:rPr>
            </w:pPr>
            <w:r w:rsidRPr="00150EDC">
              <w:rPr>
                <w:sz w:val="20"/>
              </w:rPr>
              <w:t>Failing</w:t>
            </w:r>
            <w:r w:rsidRPr="00150EDC">
              <w:rPr>
                <w:spacing w:val="-5"/>
                <w:sz w:val="20"/>
              </w:rPr>
              <w:t xml:space="preserve"> </w:t>
            </w:r>
            <w:r w:rsidRPr="00150EDC">
              <w:rPr>
                <w:sz w:val="20"/>
              </w:rPr>
              <w:t>to</w:t>
            </w:r>
            <w:r w:rsidRPr="00150EDC">
              <w:rPr>
                <w:spacing w:val="-5"/>
                <w:sz w:val="20"/>
              </w:rPr>
              <w:t xml:space="preserve"> </w:t>
            </w:r>
            <w:r w:rsidRPr="00150EDC">
              <w:rPr>
                <w:sz w:val="20"/>
              </w:rPr>
              <w:t>comply</w:t>
            </w:r>
            <w:r w:rsidRPr="00150EDC">
              <w:rPr>
                <w:spacing w:val="-3"/>
                <w:sz w:val="20"/>
              </w:rPr>
              <w:t xml:space="preserve"> </w:t>
            </w:r>
            <w:r w:rsidRPr="00150EDC">
              <w:rPr>
                <w:sz w:val="20"/>
              </w:rPr>
              <w:t>with</w:t>
            </w:r>
            <w:r w:rsidRPr="00150EDC">
              <w:rPr>
                <w:spacing w:val="-5"/>
                <w:sz w:val="20"/>
              </w:rPr>
              <w:t xml:space="preserve"> </w:t>
            </w:r>
            <w:r w:rsidRPr="00150EDC">
              <w:rPr>
                <w:sz w:val="20"/>
              </w:rPr>
              <w:t>conditions</w:t>
            </w:r>
            <w:r w:rsidRPr="00150EDC">
              <w:rPr>
                <w:spacing w:val="-3"/>
                <w:sz w:val="20"/>
              </w:rPr>
              <w:t xml:space="preserve"> </w:t>
            </w:r>
            <w:r w:rsidRPr="00150EDC">
              <w:rPr>
                <w:sz w:val="20"/>
              </w:rPr>
              <w:t>of registration</w:t>
            </w:r>
            <w:r w:rsidRPr="00150EDC">
              <w:rPr>
                <w:spacing w:val="-5"/>
                <w:sz w:val="20"/>
              </w:rPr>
              <w:t xml:space="preserve"> </w:t>
            </w:r>
            <w:r w:rsidRPr="00150EDC">
              <w:rPr>
                <w:sz w:val="20"/>
              </w:rPr>
              <w:t>of</w:t>
            </w:r>
            <w:r w:rsidRPr="00150EDC">
              <w:rPr>
                <w:spacing w:val="-5"/>
                <w:sz w:val="20"/>
              </w:rPr>
              <w:t xml:space="preserve"> </w:t>
            </w:r>
            <w:r w:rsidRPr="00150EDC">
              <w:rPr>
                <w:sz w:val="20"/>
              </w:rPr>
              <w:t>a</w:t>
            </w:r>
            <w:r w:rsidRPr="00150EDC">
              <w:rPr>
                <w:spacing w:val="-5"/>
                <w:sz w:val="20"/>
              </w:rPr>
              <w:t xml:space="preserve"> </w:t>
            </w:r>
            <w:r w:rsidRPr="00150EDC">
              <w:rPr>
                <w:sz w:val="20"/>
              </w:rPr>
              <w:t>children's</w:t>
            </w:r>
            <w:r w:rsidRPr="00150EDC">
              <w:rPr>
                <w:spacing w:val="-3"/>
                <w:sz w:val="20"/>
              </w:rPr>
              <w:t xml:space="preserve"> </w:t>
            </w:r>
            <w:r w:rsidRPr="00150EDC">
              <w:rPr>
                <w:spacing w:val="-4"/>
                <w:sz w:val="20"/>
              </w:rPr>
              <w:t>home</w:t>
            </w:r>
          </w:p>
        </w:tc>
      </w:tr>
      <w:tr w:rsidR="004569EE" w:rsidRPr="007D3144" w14:paraId="71599698" w14:textId="77777777">
        <w:trPr>
          <w:trHeight w:val="460"/>
        </w:trPr>
        <w:tc>
          <w:tcPr>
            <w:tcW w:w="6517" w:type="dxa"/>
          </w:tcPr>
          <w:p w14:paraId="3D4EBC21" w14:textId="77777777" w:rsidR="004C7180" w:rsidRPr="00150EDC" w:rsidRDefault="004C7180">
            <w:pPr>
              <w:pStyle w:val="TableParagraph"/>
              <w:spacing w:before="2" w:line="240" w:lineRule="auto"/>
              <w:ind w:left="0"/>
              <w:rPr>
                <w:sz w:val="20"/>
              </w:rPr>
            </w:pPr>
          </w:p>
          <w:p w14:paraId="10941E80" w14:textId="77777777" w:rsidR="004C7180" w:rsidRPr="00150EDC" w:rsidRDefault="00CF0754">
            <w:pPr>
              <w:pStyle w:val="TableParagraph"/>
              <w:spacing w:before="0"/>
              <w:rPr>
                <w:sz w:val="20"/>
              </w:rPr>
            </w:pPr>
            <w:r w:rsidRPr="00150EDC">
              <w:rPr>
                <w:sz w:val="20"/>
              </w:rPr>
              <w:t>Children</w:t>
            </w:r>
            <w:r w:rsidRPr="00150EDC">
              <w:rPr>
                <w:spacing w:val="-8"/>
                <w:sz w:val="20"/>
              </w:rPr>
              <w:t xml:space="preserve"> </w:t>
            </w:r>
            <w:r w:rsidRPr="00150EDC">
              <w:rPr>
                <w:sz w:val="20"/>
              </w:rPr>
              <w:t>(Northern</w:t>
            </w:r>
            <w:r w:rsidRPr="00150EDC">
              <w:rPr>
                <w:spacing w:val="-8"/>
                <w:sz w:val="20"/>
              </w:rPr>
              <w:t xml:space="preserve"> </w:t>
            </w:r>
            <w:r w:rsidRPr="00150EDC">
              <w:rPr>
                <w:sz w:val="20"/>
              </w:rPr>
              <w:t>Ireland)</w:t>
            </w:r>
            <w:r w:rsidRPr="00150EDC">
              <w:rPr>
                <w:spacing w:val="-7"/>
                <w:sz w:val="20"/>
              </w:rPr>
              <w:t xml:space="preserve"> </w:t>
            </w:r>
            <w:r w:rsidRPr="00150EDC">
              <w:rPr>
                <w:sz w:val="20"/>
              </w:rPr>
              <w:t>Order</w:t>
            </w:r>
            <w:r w:rsidRPr="00150EDC">
              <w:rPr>
                <w:spacing w:val="-8"/>
                <w:sz w:val="20"/>
              </w:rPr>
              <w:t xml:space="preserve"> </w:t>
            </w:r>
            <w:r w:rsidRPr="00150EDC">
              <w:rPr>
                <w:sz w:val="20"/>
              </w:rPr>
              <w:t>1995,</w:t>
            </w:r>
            <w:r w:rsidRPr="00150EDC">
              <w:rPr>
                <w:spacing w:val="-8"/>
                <w:sz w:val="20"/>
              </w:rPr>
              <w:t xml:space="preserve"> </w:t>
            </w:r>
            <w:r w:rsidRPr="00150EDC">
              <w:rPr>
                <w:spacing w:val="-4"/>
                <w:sz w:val="20"/>
              </w:rPr>
              <w:t>s147</w:t>
            </w:r>
          </w:p>
        </w:tc>
        <w:tc>
          <w:tcPr>
            <w:tcW w:w="7427" w:type="dxa"/>
          </w:tcPr>
          <w:p w14:paraId="1D62C62E" w14:textId="77777777" w:rsidR="004C7180" w:rsidRPr="00150EDC" w:rsidRDefault="00CF0754">
            <w:pPr>
              <w:pStyle w:val="TableParagraph"/>
              <w:spacing w:before="0" w:line="230" w:lineRule="atLeast"/>
              <w:rPr>
                <w:sz w:val="20"/>
              </w:rPr>
            </w:pPr>
            <w:r w:rsidRPr="00150EDC">
              <w:rPr>
                <w:sz w:val="20"/>
              </w:rPr>
              <w:t>Causing,</w:t>
            </w:r>
            <w:r w:rsidRPr="00150EDC">
              <w:rPr>
                <w:spacing w:val="-5"/>
                <w:sz w:val="20"/>
              </w:rPr>
              <w:t xml:space="preserve"> </w:t>
            </w:r>
            <w:r w:rsidRPr="00150EDC">
              <w:rPr>
                <w:sz w:val="20"/>
              </w:rPr>
              <w:t>procuring</w:t>
            </w:r>
            <w:r w:rsidRPr="00150EDC">
              <w:rPr>
                <w:spacing w:val="-5"/>
                <w:sz w:val="20"/>
              </w:rPr>
              <w:t xml:space="preserve"> </w:t>
            </w:r>
            <w:r w:rsidRPr="00150EDC">
              <w:rPr>
                <w:sz w:val="20"/>
              </w:rPr>
              <w:t>or allowing</w:t>
            </w:r>
            <w:r w:rsidRPr="00150EDC">
              <w:rPr>
                <w:spacing w:val="-5"/>
                <w:sz w:val="20"/>
              </w:rPr>
              <w:t xml:space="preserve"> </w:t>
            </w:r>
            <w:r w:rsidRPr="00150EDC">
              <w:rPr>
                <w:sz w:val="20"/>
              </w:rPr>
              <w:t>a child</w:t>
            </w:r>
            <w:r w:rsidRPr="00150EDC">
              <w:rPr>
                <w:spacing w:val="-5"/>
                <w:sz w:val="20"/>
              </w:rPr>
              <w:t xml:space="preserve"> </w:t>
            </w:r>
            <w:r w:rsidRPr="00150EDC">
              <w:rPr>
                <w:sz w:val="20"/>
              </w:rPr>
              <w:t>to take</w:t>
            </w:r>
            <w:r w:rsidRPr="00150EDC">
              <w:rPr>
                <w:spacing w:val="-5"/>
                <w:sz w:val="20"/>
              </w:rPr>
              <w:t xml:space="preserve"> </w:t>
            </w:r>
            <w:r w:rsidRPr="00150EDC">
              <w:rPr>
                <w:sz w:val="20"/>
              </w:rPr>
              <w:t>part</w:t>
            </w:r>
            <w:r w:rsidRPr="00150EDC">
              <w:rPr>
                <w:spacing w:val="-5"/>
                <w:sz w:val="20"/>
              </w:rPr>
              <w:t xml:space="preserve"> </w:t>
            </w:r>
            <w:r w:rsidRPr="00150EDC">
              <w:rPr>
                <w:sz w:val="20"/>
              </w:rPr>
              <w:t>in or</w:t>
            </w:r>
            <w:r w:rsidRPr="00150EDC">
              <w:rPr>
                <w:spacing w:val="-5"/>
                <w:sz w:val="20"/>
              </w:rPr>
              <w:t xml:space="preserve"> </w:t>
            </w:r>
            <w:r w:rsidRPr="00150EDC">
              <w:rPr>
                <w:sz w:val="20"/>
              </w:rPr>
              <w:t>be trained to</w:t>
            </w:r>
            <w:r w:rsidRPr="00150EDC">
              <w:rPr>
                <w:spacing w:val="-5"/>
                <w:sz w:val="20"/>
              </w:rPr>
              <w:t xml:space="preserve"> </w:t>
            </w:r>
            <w:r w:rsidRPr="00150EDC">
              <w:rPr>
                <w:sz w:val="20"/>
              </w:rPr>
              <w:t>take</w:t>
            </w:r>
            <w:r w:rsidRPr="00150EDC">
              <w:rPr>
                <w:spacing w:val="-5"/>
                <w:sz w:val="20"/>
              </w:rPr>
              <w:t xml:space="preserve"> </w:t>
            </w:r>
            <w:r w:rsidRPr="00150EDC">
              <w:rPr>
                <w:sz w:val="20"/>
              </w:rPr>
              <w:t>part</w:t>
            </w:r>
            <w:r w:rsidRPr="00150EDC">
              <w:rPr>
                <w:spacing w:val="-5"/>
                <w:sz w:val="20"/>
              </w:rPr>
              <w:t xml:space="preserve"> </w:t>
            </w:r>
            <w:r w:rsidRPr="00150EDC">
              <w:rPr>
                <w:sz w:val="20"/>
              </w:rPr>
              <w:t>in performances of a dangerous nature</w:t>
            </w:r>
          </w:p>
        </w:tc>
      </w:tr>
      <w:tr w:rsidR="004569EE" w:rsidRPr="007D3144" w14:paraId="299DD6D1" w14:textId="77777777">
        <w:trPr>
          <w:trHeight w:val="255"/>
        </w:trPr>
        <w:tc>
          <w:tcPr>
            <w:tcW w:w="6517" w:type="dxa"/>
          </w:tcPr>
          <w:p w14:paraId="14F334CA" w14:textId="77777777" w:rsidR="004C7180" w:rsidRPr="00150EDC" w:rsidRDefault="00CF0754">
            <w:pPr>
              <w:pStyle w:val="TableParagraph"/>
              <w:rPr>
                <w:sz w:val="20"/>
              </w:rPr>
            </w:pPr>
            <w:r w:rsidRPr="00150EDC">
              <w:rPr>
                <w:sz w:val="20"/>
              </w:rPr>
              <w:t>Children</w:t>
            </w:r>
            <w:r w:rsidRPr="00150EDC">
              <w:rPr>
                <w:spacing w:val="-9"/>
                <w:sz w:val="20"/>
              </w:rPr>
              <w:t xml:space="preserve"> </w:t>
            </w:r>
            <w:r w:rsidRPr="00150EDC">
              <w:rPr>
                <w:sz w:val="20"/>
              </w:rPr>
              <w:t>(Scotland)</w:t>
            </w:r>
            <w:r w:rsidRPr="00150EDC">
              <w:rPr>
                <w:spacing w:val="-8"/>
                <w:sz w:val="20"/>
              </w:rPr>
              <w:t xml:space="preserve"> </w:t>
            </w:r>
            <w:r w:rsidRPr="00150EDC">
              <w:rPr>
                <w:sz w:val="20"/>
              </w:rPr>
              <w:t>Act</w:t>
            </w:r>
            <w:r w:rsidRPr="00150EDC">
              <w:rPr>
                <w:spacing w:val="-4"/>
                <w:sz w:val="20"/>
              </w:rPr>
              <w:t xml:space="preserve"> </w:t>
            </w:r>
            <w:r w:rsidRPr="00150EDC">
              <w:rPr>
                <w:sz w:val="20"/>
              </w:rPr>
              <w:t>1995,</w:t>
            </w:r>
            <w:r w:rsidRPr="00150EDC">
              <w:rPr>
                <w:spacing w:val="-8"/>
                <w:sz w:val="20"/>
              </w:rPr>
              <w:t xml:space="preserve"> </w:t>
            </w:r>
            <w:r w:rsidRPr="00150EDC">
              <w:rPr>
                <w:spacing w:val="-5"/>
                <w:sz w:val="20"/>
              </w:rPr>
              <w:t>s81</w:t>
            </w:r>
          </w:p>
        </w:tc>
        <w:tc>
          <w:tcPr>
            <w:tcW w:w="7427" w:type="dxa"/>
          </w:tcPr>
          <w:p w14:paraId="513CEEB1" w14:textId="77777777" w:rsidR="004C7180" w:rsidRPr="00150EDC" w:rsidRDefault="00CF0754">
            <w:pPr>
              <w:pStyle w:val="TableParagraph"/>
              <w:rPr>
                <w:sz w:val="20"/>
              </w:rPr>
            </w:pPr>
            <w:r w:rsidRPr="00150EDC">
              <w:rPr>
                <w:sz w:val="20"/>
              </w:rPr>
              <w:t>Offences</w:t>
            </w:r>
            <w:r w:rsidRPr="00150EDC">
              <w:rPr>
                <w:spacing w:val="-5"/>
                <w:sz w:val="20"/>
              </w:rPr>
              <w:t xml:space="preserve"> </w:t>
            </w:r>
            <w:r w:rsidRPr="00150EDC">
              <w:rPr>
                <w:sz w:val="20"/>
              </w:rPr>
              <w:t>in</w:t>
            </w:r>
            <w:r w:rsidRPr="00150EDC">
              <w:rPr>
                <w:spacing w:val="-4"/>
                <w:sz w:val="20"/>
              </w:rPr>
              <w:t xml:space="preserve"> </w:t>
            </w:r>
            <w:r w:rsidRPr="00150EDC">
              <w:rPr>
                <w:sz w:val="20"/>
              </w:rPr>
              <w:t>connection</w:t>
            </w:r>
            <w:r w:rsidRPr="00150EDC">
              <w:rPr>
                <w:spacing w:val="-5"/>
                <w:sz w:val="20"/>
              </w:rPr>
              <w:t xml:space="preserve"> </w:t>
            </w:r>
            <w:r w:rsidRPr="00150EDC">
              <w:rPr>
                <w:sz w:val="20"/>
              </w:rPr>
              <w:t>with</w:t>
            </w:r>
            <w:r w:rsidRPr="00150EDC">
              <w:rPr>
                <w:spacing w:val="-1"/>
                <w:sz w:val="20"/>
              </w:rPr>
              <w:t xml:space="preserve"> </w:t>
            </w:r>
            <w:r w:rsidRPr="00150EDC">
              <w:rPr>
                <w:sz w:val="20"/>
              </w:rPr>
              <w:t>orders</w:t>
            </w:r>
            <w:r w:rsidRPr="00150EDC">
              <w:rPr>
                <w:spacing w:val="-4"/>
                <w:sz w:val="20"/>
              </w:rPr>
              <w:t xml:space="preserve"> </w:t>
            </w:r>
            <w:r w:rsidRPr="00150EDC">
              <w:rPr>
                <w:sz w:val="20"/>
              </w:rPr>
              <w:t>etc.</w:t>
            </w:r>
            <w:r w:rsidRPr="00150EDC">
              <w:rPr>
                <w:spacing w:val="-5"/>
                <w:sz w:val="20"/>
              </w:rPr>
              <w:t xml:space="preserve"> </w:t>
            </w:r>
            <w:r w:rsidRPr="00150EDC">
              <w:rPr>
                <w:sz w:val="20"/>
              </w:rPr>
              <w:t>for</w:t>
            </w:r>
            <w:r w:rsidRPr="00150EDC">
              <w:rPr>
                <w:spacing w:val="-5"/>
                <w:sz w:val="20"/>
              </w:rPr>
              <w:t xml:space="preserve"> </w:t>
            </w:r>
            <w:r w:rsidRPr="00150EDC">
              <w:rPr>
                <w:sz w:val="20"/>
              </w:rPr>
              <w:t>protection</w:t>
            </w:r>
            <w:r w:rsidRPr="00150EDC">
              <w:rPr>
                <w:spacing w:val="-5"/>
                <w:sz w:val="20"/>
              </w:rPr>
              <w:t xml:space="preserve"> </w:t>
            </w:r>
            <w:r w:rsidRPr="00150EDC">
              <w:rPr>
                <w:sz w:val="20"/>
              </w:rPr>
              <w:t>of</w:t>
            </w:r>
            <w:r w:rsidRPr="00150EDC">
              <w:rPr>
                <w:spacing w:val="-5"/>
                <w:sz w:val="20"/>
              </w:rPr>
              <w:t xml:space="preserve"> </w:t>
            </w:r>
            <w:r w:rsidRPr="00150EDC">
              <w:rPr>
                <w:spacing w:val="-2"/>
                <w:sz w:val="20"/>
              </w:rPr>
              <w:t>children</w:t>
            </w:r>
          </w:p>
        </w:tc>
      </w:tr>
      <w:tr w:rsidR="004569EE" w:rsidRPr="007D3144" w14:paraId="42E95C21" w14:textId="77777777">
        <w:trPr>
          <w:trHeight w:val="255"/>
        </w:trPr>
        <w:tc>
          <w:tcPr>
            <w:tcW w:w="6517" w:type="dxa"/>
          </w:tcPr>
          <w:p w14:paraId="2746D396" w14:textId="77777777" w:rsidR="004C7180" w:rsidRPr="00150EDC" w:rsidRDefault="00CF0754">
            <w:pPr>
              <w:pStyle w:val="TableParagraph"/>
              <w:rPr>
                <w:sz w:val="20"/>
              </w:rPr>
            </w:pPr>
            <w:r w:rsidRPr="00150EDC">
              <w:rPr>
                <w:sz w:val="20"/>
              </w:rPr>
              <w:t>Children</w:t>
            </w:r>
            <w:r w:rsidRPr="00150EDC">
              <w:rPr>
                <w:spacing w:val="-9"/>
                <w:sz w:val="20"/>
              </w:rPr>
              <w:t xml:space="preserve"> </w:t>
            </w:r>
            <w:r w:rsidRPr="00150EDC">
              <w:rPr>
                <w:sz w:val="20"/>
              </w:rPr>
              <w:t>(Scotland)</w:t>
            </w:r>
            <w:r w:rsidRPr="00150EDC">
              <w:rPr>
                <w:spacing w:val="-8"/>
                <w:sz w:val="20"/>
              </w:rPr>
              <w:t xml:space="preserve"> </w:t>
            </w:r>
            <w:r w:rsidRPr="00150EDC">
              <w:rPr>
                <w:sz w:val="20"/>
              </w:rPr>
              <w:t>Act</w:t>
            </w:r>
            <w:r w:rsidRPr="00150EDC">
              <w:rPr>
                <w:spacing w:val="-4"/>
                <w:sz w:val="20"/>
              </w:rPr>
              <w:t xml:space="preserve"> </w:t>
            </w:r>
            <w:r w:rsidRPr="00150EDC">
              <w:rPr>
                <w:sz w:val="20"/>
              </w:rPr>
              <w:t>1995,</w:t>
            </w:r>
            <w:r w:rsidRPr="00150EDC">
              <w:rPr>
                <w:spacing w:val="-8"/>
                <w:sz w:val="20"/>
              </w:rPr>
              <w:t xml:space="preserve"> </w:t>
            </w:r>
            <w:r w:rsidRPr="00150EDC">
              <w:rPr>
                <w:spacing w:val="-5"/>
                <w:sz w:val="20"/>
              </w:rPr>
              <w:t>s83</w:t>
            </w:r>
          </w:p>
        </w:tc>
        <w:tc>
          <w:tcPr>
            <w:tcW w:w="7427" w:type="dxa"/>
          </w:tcPr>
          <w:p w14:paraId="632FFC27" w14:textId="77777777" w:rsidR="004C7180" w:rsidRPr="00150EDC" w:rsidRDefault="00CF0754">
            <w:pPr>
              <w:pStyle w:val="TableParagraph"/>
              <w:rPr>
                <w:sz w:val="20"/>
              </w:rPr>
            </w:pPr>
            <w:r w:rsidRPr="00150EDC">
              <w:rPr>
                <w:spacing w:val="-2"/>
                <w:sz w:val="20"/>
              </w:rPr>
              <w:t>Harbouring</w:t>
            </w:r>
          </w:p>
        </w:tc>
      </w:tr>
      <w:tr w:rsidR="004569EE" w:rsidRPr="007D3144" w14:paraId="3EA8F327" w14:textId="77777777">
        <w:trPr>
          <w:trHeight w:val="255"/>
        </w:trPr>
        <w:tc>
          <w:tcPr>
            <w:tcW w:w="6517" w:type="dxa"/>
          </w:tcPr>
          <w:p w14:paraId="0D80306A" w14:textId="77777777" w:rsidR="004C7180" w:rsidRPr="00150EDC" w:rsidRDefault="00CF0754">
            <w:pPr>
              <w:pStyle w:val="TableParagraph"/>
              <w:spacing w:before="28"/>
              <w:rPr>
                <w:sz w:val="20"/>
              </w:rPr>
            </w:pPr>
            <w:r w:rsidRPr="00150EDC">
              <w:rPr>
                <w:sz w:val="20"/>
              </w:rPr>
              <w:t>Children</w:t>
            </w:r>
            <w:r w:rsidRPr="00150EDC">
              <w:rPr>
                <w:spacing w:val="-9"/>
                <w:sz w:val="20"/>
              </w:rPr>
              <w:t xml:space="preserve"> </w:t>
            </w:r>
            <w:r w:rsidRPr="00150EDC">
              <w:rPr>
                <w:sz w:val="20"/>
              </w:rPr>
              <w:t>(Scotland)</w:t>
            </w:r>
            <w:r w:rsidRPr="00150EDC">
              <w:rPr>
                <w:spacing w:val="-8"/>
                <w:sz w:val="20"/>
              </w:rPr>
              <w:t xml:space="preserve"> </w:t>
            </w:r>
            <w:r w:rsidRPr="00150EDC">
              <w:rPr>
                <w:sz w:val="20"/>
              </w:rPr>
              <w:t>Act</w:t>
            </w:r>
            <w:r w:rsidRPr="00150EDC">
              <w:rPr>
                <w:spacing w:val="-4"/>
                <w:sz w:val="20"/>
              </w:rPr>
              <w:t xml:space="preserve"> </w:t>
            </w:r>
            <w:r w:rsidRPr="00150EDC">
              <w:rPr>
                <w:sz w:val="20"/>
              </w:rPr>
              <w:t>1995,</w:t>
            </w:r>
            <w:r w:rsidRPr="00150EDC">
              <w:rPr>
                <w:spacing w:val="-5"/>
                <w:sz w:val="20"/>
              </w:rPr>
              <w:t xml:space="preserve"> s89</w:t>
            </w:r>
          </w:p>
        </w:tc>
        <w:tc>
          <w:tcPr>
            <w:tcW w:w="7427" w:type="dxa"/>
          </w:tcPr>
          <w:p w14:paraId="09CDFE7F" w14:textId="77777777" w:rsidR="004C7180" w:rsidRPr="00150EDC" w:rsidRDefault="00CF0754">
            <w:pPr>
              <w:pStyle w:val="TableParagraph"/>
              <w:spacing w:before="28"/>
              <w:rPr>
                <w:sz w:val="20"/>
              </w:rPr>
            </w:pPr>
            <w:r w:rsidRPr="00150EDC">
              <w:rPr>
                <w:sz w:val="20"/>
              </w:rPr>
              <w:t>Offences</w:t>
            </w:r>
            <w:r w:rsidRPr="00150EDC">
              <w:rPr>
                <w:spacing w:val="-7"/>
                <w:sz w:val="20"/>
              </w:rPr>
              <w:t xml:space="preserve"> </w:t>
            </w:r>
            <w:r w:rsidRPr="00150EDC">
              <w:rPr>
                <w:sz w:val="20"/>
              </w:rPr>
              <w:t>in</w:t>
            </w:r>
            <w:r w:rsidRPr="00150EDC">
              <w:rPr>
                <w:spacing w:val="-4"/>
                <w:sz w:val="20"/>
              </w:rPr>
              <w:t xml:space="preserve"> </w:t>
            </w:r>
            <w:r w:rsidRPr="00150EDC">
              <w:rPr>
                <w:sz w:val="20"/>
              </w:rPr>
              <w:t>relation</w:t>
            </w:r>
            <w:r w:rsidRPr="00150EDC">
              <w:rPr>
                <w:spacing w:val="-7"/>
                <w:sz w:val="20"/>
              </w:rPr>
              <w:t xml:space="preserve"> </w:t>
            </w:r>
            <w:r w:rsidRPr="00150EDC">
              <w:rPr>
                <w:sz w:val="20"/>
              </w:rPr>
              <w:t>to</w:t>
            </w:r>
            <w:r w:rsidRPr="00150EDC">
              <w:rPr>
                <w:spacing w:val="-8"/>
                <w:sz w:val="20"/>
              </w:rPr>
              <w:t xml:space="preserve"> </w:t>
            </w:r>
            <w:r w:rsidRPr="00150EDC">
              <w:rPr>
                <w:sz w:val="20"/>
              </w:rPr>
              <w:t>parental</w:t>
            </w:r>
            <w:r w:rsidRPr="00150EDC">
              <w:rPr>
                <w:spacing w:val="-6"/>
                <w:sz w:val="20"/>
              </w:rPr>
              <w:t xml:space="preserve"> </w:t>
            </w:r>
            <w:r w:rsidRPr="00150EDC">
              <w:rPr>
                <w:sz w:val="20"/>
              </w:rPr>
              <w:t>responsibilities</w:t>
            </w:r>
            <w:r w:rsidRPr="00150EDC">
              <w:rPr>
                <w:spacing w:val="-2"/>
                <w:sz w:val="20"/>
              </w:rPr>
              <w:t xml:space="preserve"> orders</w:t>
            </w:r>
          </w:p>
        </w:tc>
      </w:tr>
      <w:tr w:rsidR="004569EE" w:rsidRPr="007D3144" w14:paraId="4C9B7488" w14:textId="77777777">
        <w:trPr>
          <w:trHeight w:val="255"/>
        </w:trPr>
        <w:tc>
          <w:tcPr>
            <w:tcW w:w="6517" w:type="dxa"/>
          </w:tcPr>
          <w:p w14:paraId="7284EEAA" w14:textId="77777777" w:rsidR="004C7180" w:rsidRPr="00150EDC" w:rsidRDefault="00CF0754">
            <w:pPr>
              <w:pStyle w:val="TableParagraph"/>
              <w:rPr>
                <w:sz w:val="20"/>
              </w:rPr>
            </w:pPr>
            <w:r w:rsidRPr="00150EDC">
              <w:rPr>
                <w:sz w:val="20"/>
              </w:rPr>
              <w:t>Children</w:t>
            </w:r>
            <w:r w:rsidRPr="00150EDC">
              <w:rPr>
                <w:spacing w:val="-8"/>
                <w:sz w:val="20"/>
              </w:rPr>
              <w:t xml:space="preserve"> </w:t>
            </w:r>
            <w:r w:rsidRPr="00150EDC">
              <w:rPr>
                <w:sz w:val="20"/>
              </w:rPr>
              <w:t>Act</w:t>
            </w:r>
            <w:r w:rsidRPr="00150EDC">
              <w:rPr>
                <w:spacing w:val="-7"/>
                <w:sz w:val="20"/>
              </w:rPr>
              <w:t xml:space="preserve"> </w:t>
            </w:r>
            <w:r w:rsidRPr="00150EDC">
              <w:rPr>
                <w:sz w:val="20"/>
              </w:rPr>
              <w:t>1958,</w:t>
            </w:r>
            <w:r w:rsidRPr="00150EDC">
              <w:rPr>
                <w:spacing w:val="-8"/>
                <w:sz w:val="20"/>
              </w:rPr>
              <w:t xml:space="preserve"> </w:t>
            </w:r>
            <w:r w:rsidRPr="00150EDC">
              <w:rPr>
                <w:spacing w:val="-5"/>
                <w:sz w:val="20"/>
              </w:rPr>
              <w:t>s14</w:t>
            </w:r>
          </w:p>
        </w:tc>
        <w:tc>
          <w:tcPr>
            <w:tcW w:w="7427" w:type="dxa"/>
          </w:tcPr>
          <w:p w14:paraId="70C4E53E" w14:textId="77777777" w:rsidR="004C7180" w:rsidRPr="00150EDC" w:rsidRDefault="00CF0754">
            <w:pPr>
              <w:pStyle w:val="TableParagraph"/>
              <w:rPr>
                <w:sz w:val="20"/>
              </w:rPr>
            </w:pPr>
            <w:r w:rsidRPr="00150EDC">
              <w:rPr>
                <w:sz w:val="20"/>
              </w:rPr>
              <w:t>Offences</w:t>
            </w:r>
            <w:r w:rsidRPr="00150EDC">
              <w:rPr>
                <w:spacing w:val="-3"/>
                <w:sz w:val="20"/>
              </w:rPr>
              <w:t xml:space="preserve"> </w:t>
            </w:r>
            <w:r w:rsidRPr="00150EDC">
              <w:rPr>
                <w:sz w:val="20"/>
              </w:rPr>
              <w:t>relating</w:t>
            </w:r>
            <w:r w:rsidRPr="00150EDC">
              <w:rPr>
                <w:spacing w:val="-3"/>
                <w:sz w:val="20"/>
              </w:rPr>
              <w:t xml:space="preserve"> </w:t>
            </w:r>
            <w:r w:rsidRPr="00150EDC">
              <w:rPr>
                <w:sz w:val="20"/>
              </w:rPr>
              <w:t>to</w:t>
            </w:r>
            <w:r w:rsidRPr="00150EDC">
              <w:rPr>
                <w:spacing w:val="-8"/>
                <w:sz w:val="20"/>
              </w:rPr>
              <w:t xml:space="preserve"> </w:t>
            </w:r>
            <w:r w:rsidRPr="00150EDC">
              <w:rPr>
                <w:sz w:val="20"/>
              </w:rPr>
              <w:t>private</w:t>
            </w:r>
            <w:r w:rsidRPr="00150EDC">
              <w:rPr>
                <w:spacing w:val="-7"/>
                <w:sz w:val="20"/>
              </w:rPr>
              <w:t xml:space="preserve"> </w:t>
            </w:r>
            <w:r w:rsidRPr="00150EDC">
              <w:rPr>
                <w:spacing w:val="-2"/>
                <w:sz w:val="20"/>
              </w:rPr>
              <w:t>fostering</w:t>
            </w:r>
          </w:p>
        </w:tc>
      </w:tr>
      <w:tr w:rsidR="004569EE" w:rsidRPr="007D3144" w14:paraId="31D64CA9" w14:textId="77777777">
        <w:trPr>
          <w:trHeight w:val="255"/>
        </w:trPr>
        <w:tc>
          <w:tcPr>
            <w:tcW w:w="6517" w:type="dxa"/>
          </w:tcPr>
          <w:p w14:paraId="02D26CBD" w14:textId="77777777" w:rsidR="004C7180" w:rsidRPr="00150EDC" w:rsidRDefault="00CF0754">
            <w:pPr>
              <w:pStyle w:val="TableParagraph"/>
              <w:rPr>
                <w:sz w:val="20"/>
              </w:rPr>
            </w:pPr>
            <w:r w:rsidRPr="00150EDC">
              <w:rPr>
                <w:sz w:val="20"/>
              </w:rPr>
              <w:t>Children</w:t>
            </w:r>
            <w:r w:rsidRPr="00150EDC">
              <w:rPr>
                <w:spacing w:val="-8"/>
                <w:sz w:val="20"/>
              </w:rPr>
              <w:t xml:space="preserve"> </w:t>
            </w:r>
            <w:r w:rsidRPr="00150EDC">
              <w:rPr>
                <w:sz w:val="20"/>
              </w:rPr>
              <w:t>Act</w:t>
            </w:r>
            <w:r w:rsidRPr="00150EDC">
              <w:rPr>
                <w:spacing w:val="-7"/>
                <w:sz w:val="20"/>
              </w:rPr>
              <w:t xml:space="preserve"> </w:t>
            </w:r>
            <w:r w:rsidRPr="00150EDC">
              <w:rPr>
                <w:sz w:val="20"/>
              </w:rPr>
              <w:t>1989,</w:t>
            </w:r>
            <w:r w:rsidRPr="00150EDC">
              <w:rPr>
                <w:spacing w:val="-8"/>
                <w:sz w:val="20"/>
              </w:rPr>
              <w:t xml:space="preserve"> </w:t>
            </w:r>
            <w:r w:rsidRPr="00150EDC">
              <w:rPr>
                <w:spacing w:val="-5"/>
                <w:sz w:val="20"/>
              </w:rPr>
              <w:t>s49</w:t>
            </w:r>
          </w:p>
        </w:tc>
        <w:tc>
          <w:tcPr>
            <w:tcW w:w="7427" w:type="dxa"/>
          </w:tcPr>
          <w:p w14:paraId="5DA22E47" w14:textId="77777777" w:rsidR="004C7180" w:rsidRPr="00150EDC" w:rsidRDefault="00CF0754">
            <w:pPr>
              <w:pStyle w:val="TableParagraph"/>
              <w:rPr>
                <w:sz w:val="20"/>
              </w:rPr>
            </w:pPr>
            <w:r w:rsidRPr="00150EDC">
              <w:rPr>
                <w:sz w:val="20"/>
              </w:rPr>
              <w:t>Abduction</w:t>
            </w:r>
            <w:r w:rsidRPr="00150EDC">
              <w:rPr>
                <w:spacing w:val="-5"/>
                <w:sz w:val="20"/>
              </w:rPr>
              <w:t xml:space="preserve"> </w:t>
            </w:r>
            <w:r w:rsidRPr="00150EDC">
              <w:rPr>
                <w:sz w:val="20"/>
              </w:rPr>
              <w:t>of</w:t>
            </w:r>
            <w:r w:rsidRPr="00150EDC">
              <w:rPr>
                <w:spacing w:val="-4"/>
                <w:sz w:val="20"/>
              </w:rPr>
              <w:t xml:space="preserve"> </w:t>
            </w:r>
            <w:r w:rsidRPr="00150EDC">
              <w:rPr>
                <w:sz w:val="20"/>
              </w:rPr>
              <w:t>children</w:t>
            </w:r>
            <w:r w:rsidRPr="00150EDC">
              <w:rPr>
                <w:spacing w:val="-4"/>
                <w:sz w:val="20"/>
              </w:rPr>
              <w:t xml:space="preserve"> </w:t>
            </w:r>
            <w:r w:rsidRPr="00150EDC">
              <w:rPr>
                <w:sz w:val="20"/>
              </w:rPr>
              <w:t>in</w:t>
            </w:r>
            <w:r w:rsidRPr="00150EDC">
              <w:rPr>
                <w:spacing w:val="-4"/>
                <w:sz w:val="20"/>
              </w:rPr>
              <w:t xml:space="preserve"> </w:t>
            </w:r>
            <w:r w:rsidRPr="00150EDC">
              <w:rPr>
                <w:sz w:val="20"/>
              </w:rPr>
              <w:t>care</w:t>
            </w:r>
            <w:r w:rsidRPr="00150EDC">
              <w:rPr>
                <w:spacing w:val="-4"/>
                <w:sz w:val="20"/>
              </w:rPr>
              <w:t xml:space="preserve"> </w:t>
            </w:r>
            <w:r w:rsidRPr="00150EDC">
              <w:rPr>
                <w:spacing w:val="-5"/>
                <w:sz w:val="20"/>
              </w:rPr>
              <w:t>etc</w:t>
            </w:r>
          </w:p>
        </w:tc>
      </w:tr>
      <w:tr w:rsidR="004569EE" w:rsidRPr="007D3144" w14:paraId="5A3A6DEC" w14:textId="77777777">
        <w:trPr>
          <w:trHeight w:val="255"/>
        </w:trPr>
        <w:tc>
          <w:tcPr>
            <w:tcW w:w="6517" w:type="dxa"/>
          </w:tcPr>
          <w:p w14:paraId="0547CB56" w14:textId="77777777" w:rsidR="004C7180" w:rsidRPr="00150EDC" w:rsidRDefault="00CF0754">
            <w:pPr>
              <w:pStyle w:val="TableParagraph"/>
              <w:rPr>
                <w:sz w:val="20"/>
              </w:rPr>
            </w:pPr>
            <w:r w:rsidRPr="00150EDC">
              <w:rPr>
                <w:sz w:val="20"/>
              </w:rPr>
              <w:t>Children</w:t>
            </w:r>
            <w:r w:rsidRPr="00150EDC">
              <w:rPr>
                <w:spacing w:val="-8"/>
                <w:sz w:val="20"/>
              </w:rPr>
              <w:t xml:space="preserve"> </w:t>
            </w:r>
            <w:r w:rsidRPr="00150EDC">
              <w:rPr>
                <w:sz w:val="20"/>
              </w:rPr>
              <w:t>Act</w:t>
            </w:r>
            <w:r w:rsidRPr="00150EDC">
              <w:rPr>
                <w:spacing w:val="-7"/>
                <w:sz w:val="20"/>
              </w:rPr>
              <w:t xml:space="preserve"> </w:t>
            </w:r>
            <w:r w:rsidRPr="00150EDC">
              <w:rPr>
                <w:sz w:val="20"/>
              </w:rPr>
              <w:t>1989,</w:t>
            </w:r>
            <w:r w:rsidRPr="00150EDC">
              <w:rPr>
                <w:spacing w:val="-8"/>
                <w:sz w:val="20"/>
              </w:rPr>
              <w:t xml:space="preserve"> </w:t>
            </w:r>
            <w:r w:rsidRPr="00150EDC">
              <w:rPr>
                <w:spacing w:val="-2"/>
                <w:sz w:val="20"/>
              </w:rPr>
              <w:t>s50(9)</w:t>
            </w:r>
          </w:p>
        </w:tc>
        <w:tc>
          <w:tcPr>
            <w:tcW w:w="7427" w:type="dxa"/>
          </w:tcPr>
          <w:p w14:paraId="2E5050D9" w14:textId="77777777" w:rsidR="004C7180" w:rsidRPr="00150EDC" w:rsidRDefault="00CF0754">
            <w:pPr>
              <w:pStyle w:val="TableParagraph"/>
              <w:rPr>
                <w:sz w:val="20"/>
              </w:rPr>
            </w:pPr>
            <w:r w:rsidRPr="00150EDC">
              <w:rPr>
                <w:sz w:val="20"/>
              </w:rPr>
              <w:t>Obstructing</w:t>
            </w:r>
            <w:r w:rsidRPr="00150EDC">
              <w:rPr>
                <w:spacing w:val="-8"/>
                <w:sz w:val="20"/>
              </w:rPr>
              <w:t xml:space="preserve"> </w:t>
            </w:r>
            <w:r w:rsidRPr="00150EDC">
              <w:rPr>
                <w:sz w:val="20"/>
              </w:rPr>
              <w:t>an</w:t>
            </w:r>
            <w:r w:rsidRPr="00150EDC">
              <w:rPr>
                <w:spacing w:val="-5"/>
                <w:sz w:val="20"/>
              </w:rPr>
              <w:t xml:space="preserve"> </w:t>
            </w:r>
            <w:r w:rsidRPr="00150EDC">
              <w:rPr>
                <w:sz w:val="20"/>
              </w:rPr>
              <w:t>authorised</w:t>
            </w:r>
            <w:r w:rsidRPr="00150EDC">
              <w:rPr>
                <w:spacing w:val="-5"/>
                <w:sz w:val="20"/>
              </w:rPr>
              <w:t xml:space="preserve"> </w:t>
            </w:r>
            <w:r w:rsidRPr="00150EDC">
              <w:rPr>
                <w:sz w:val="20"/>
              </w:rPr>
              <w:t>person</w:t>
            </w:r>
            <w:r w:rsidRPr="00150EDC">
              <w:rPr>
                <w:spacing w:val="1"/>
                <w:sz w:val="20"/>
              </w:rPr>
              <w:t xml:space="preserve"> </w:t>
            </w:r>
            <w:r w:rsidRPr="00150EDC">
              <w:rPr>
                <w:sz w:val="20"/>
              </w:rPr>
              <w:t>exercising</w:t>
            </w:r>
            <w:r w:rsidRPr="00150EDC">
              <w:rPr>
                <w:spacing w:val="-5"/>
                <w:sz w:val="20"/>
              </w:rPr>
              <w:t xml:space="preserve"> </w:t>
            </w:r>
            <w:r w:rsidRPr="00150EDC">
              <w:rPr>
                <w:sz w:val="20"/>
              </w:rPr>
              <w:t>power</w:t>
            </w:r>
            <w:r w:rsidRPr="00150EDC">
              <w:rPr>
                <w:spacing w:val="-5"/>
                <w:sz w:val="20"/>
              </w:rPr>
              <w:t xml:space="preserve"> </w:t>
            </w:r>
            <w:r w:rsidRPr="00150EDC">
              <w:rPr>
                <w:sz w:val="20"/>
              </w:rPr>
              <w:t>to</w:t>
            </w:r>
            <w:r w:rsidRPr="00150EDC">
              <w:rPr>
                <w:spacing w:val="-1"/>
                <w:sz w:val="20"/>
              </w:rPr>
              <w:t xml:space="preserve"> </w:t>
            </w:r>
            <w:r w:rsidRPr="00150EDC">
              <w:rPr>
                <w:sz w:val="20"/>
              </w:rPr>
              <w:t>remove</w:t>
            </w:r>
            <w:r w:rsidRPr="00150EDC">
              <w:rPr>
                <w:spacing w:val="-5"/>
                <w:sz w:val="20"/>
              </w:rPr>
              <w:t xml:space="preserve"> </w:t>
            </w:r>
            <w:r w:rsidRPr="00150EDC">
              <w:rPr>
                <w:sz w:val="20"/>
              </w:rPr>
              <w:t>a</w:t>
            </w:r>
            <w:r w:rsidRPr="00150EDC">
              <w:rPr>
                <w:spacing w:val="-5"/>
                <w:sz w:val="20"/>
              </w:rPr>
              <w:t xml:space="preserve"> </w:t>
            </w:r>
            <w:r w:rsidRPr="00150EDC">
              <w:rPr>
                <w:spacing w:val="-2"/>
                <w:sz w:val="20"/>
              </w:rPr>
              <w:t>child</w:t>
            </w:r>
          </w:p>
        </w:tc>
      </w:tr>
      <w:tr w:rsidR="004569EE" w:rsidRPr="007D3144" w14:paraId="6690A2EE" w14:textId="77777777">
        <w:trPr>
          <w:trHeight w:val="255"/>
        </w:trPr>
        <w:tc>
          <w:tcPr>
            <w:tcW w:w="6517" w:type="dxa"/>
          </w:tcPr>
          <w:p w14:paraId="0E97CF74" w14:textId="77777777" w:rsidR="004C7180" w:rsidRPr="00150EDC" w:rsidRDefault="00CF0754">
            <w:pPr>
              <w:pStyle w:val="TableParagraph"/>
              <w:spacing w:before="28"/>
              <w:rPr>
                <w:sz w:val="20"/>
              </w:rPr>
            </w:pPr>
            <w:r w:rsidRPr="00150EDC">
              <w:rPr>
                <w:sz w:val="20"/>
              </w:rPr>
              <w:t>Children</w:t>
            </w:r>
            <w:r w:rsidRPr="00150EDC">
              <w:rPr>
                <w:spacing w:val="-8"/>
                <w:sz w:val="20"/>
              </w:rPr>
              <w:t xml:space="preserve"> </w:t>
            </w:r>
            <w:r w:rsidRPr="00150EDC">
              <w:rPr>
                <w:sz w:val="20"/>
              </w:rPr>
              <w:t>Act</w:t>
            </w:r>
            <w:r w:rsidRPr="00150EDC">
              <w:rPr>
                <w:spacing w:val="-7"/>
                <w:sz w:val="20"/>
              </w:rPr>
              <w:t xml:space="preserve"> </w:t>
            </w:r>
            <w:r w:rsidRPr="00150EDC">
              <w:rPr>
                <w:sz w:val="20"/>
              </w:rPr>
              <w:t>1989,</w:t>
            </w:r>
            <w:r w:rsidRPr="00150EDC">
              <w:rPr>
                <w:spacing w:val="-8"/>
                <w:sz w:val="20"/>
              </w:rPr>
              <w:t xml:space="preserve"> </w:t>
            </w:r>
            <w:r w:rsidRPr="00150EDC">
              <w:rPr>
                <w:spacing w:val="-2"/>
                <w:sz w:val="20"/>
              </w:rPr>
              <w:t>s63(10)</w:t>
            </w:r>
          </w:p>
        </w:tc>
        <w:tc>
          <w:tcPr>
            <w:tcW w:w="7427" w:type="dxa"/>
          </w:tcPr>
          <w:p w14:paraId="70FE4B03" w14:textId="77777777" w:rsidR="004C7180" w:rsidRPr="00150EDC" w:rsidRDefault="00CF0754">
            <w:pPr>
              <w:pStyle w:val="TableParagraph"/>
              <w:spacing w:before="28"/>
              <w:rPr>
                <w:sz w:val="20"/>
              </w:rPr>
            </w:pPr>
            <w:r w:rsidRPr="00150EDC">
              <w:rPr>
                <w:sz w:val="20"/>
              </w:rPr>
              <w:t>Offences</w:t>
            </w:r>
            <w:r w:rsidRPr="00150EDC">
              <w:rPr>
                <w:spacing w:val="-3"/>
                <w:sz w:val="20"/>
              </w:rPr>
              <w:t xml:space="preserve"> </w:t>
            </w:r>
            <w:r w:rsidRPr="00150EDC">
              <w:rPr>
                <w:sz w:val="20"/>
              </w:rPr>
              <w:t>relating</w:t>
            </w:r>
            <w:r w:rsidRPr="00150EDC">
              <w:rPr>
                <w:spacing w:val="-4"/>
                <w:sz w:val="20"/>
              </w:rPr>
              <w:t xml:space="preserve"> </w:t>
            </w:r>
            <w:r w:rsidRPr="00150EDC">
              <w:rPr>
                <w:sz w:val="20"/>
              </w:rPr>
              <w:t>to</w:t>
            </w:r>
            <w:r w:rsidRPr="00150EDC">
              <w:rPr>
                <w:spacing w:val="-8"/>
                <w:sz w:val="20"/>
              </w:rPr>
              <w:t xml:space="preserve"> </w:t>
            </w:r>
            <w:r w:rsidRPr="00150EDC">
              <w:rPr>
                <w:sz w:val="20"/>
              </w:rPr>
              <w:t>voluntary</w:t>
            </w:r>
            <w:r w:rsidRPr="00150EDC">
              <w:rPr>
                <w:spacing w:val="-3"/>
                <w:sz w:val="20"/>
              </w:rPr>
              <w:t xml:space="preserve"> </w:t>
            </w:r>
            <w:r w:rsidRPr="00150EDC">
              <w:rPr>
                <w:sz w:val="20"/>
              </w:rPr>
              <w:t>homes</w:t>
            </w:r>
            <w:r w:rsidRPr="00150EDC">
              <w:rPr>
                <w:spacing w:val="-3"/>
                <w:sz w:val="20"/>
              </w:rPr>
              <w:t xml:space="preserve"> </w:t>
            </w:r>
            <w:r w:rsidRPr="00150EDC">
              <w:rPr>
                <w:sz w:val="20"/>
              </w:rPr>
              <w:t>and</w:t>
            </w:r>
            <w:r w:rsidRPr="00150EDC">
              <w:rPr>
                <w:spacing w:val="-8"/>
                <w:sz w:val="20"/>
              </w:rPr>
              <w:t xml:space="preserve"> </w:t>
            </w:r>
            <w:r w:rsidRPr="00150EDC">
              <w:rPr>
                <w:sz w:val="20"/>
              </w:rPr>
              <w:t>children's</w:t>
            </w:r>
            <w:r w:rsidRPr="00150EDC">
              <w:rPr>
                <w:spacing w:val="-7"/>
                <w:sz w:val="20"/>
              </w:rPr>
              <w:t xml:space="preserve"> </w:t>
            </w:r>
            <w:r w:rsidRPr="00150EDC">
              <w:rPr>
                <w:spacing w:val="-4"/>
                <w:sz w:val="20"/>
              </w:rPr>
              <w:t>homes</w:t>
            </w:r>
          </w:p>
        </w:tc>
      </w:tr>
      <w:tr w:rsidR="004569EE" w:rsidRPr="007D3144" w14:paraId="128CE948" w14:textId="77777777">
        <w:trPr>
          <w:trHeight w:val="255"/>
        </w:trPr>
        <w:tc>
          <w:tcPr>
            <w:tcW w:w="6517" w:type="dxa"/>
          </w:tcPr>
          <w:p w14:paraId="55C77394" w14:textId="77777777" w:rsidR="004C7180" w:rsidRPr="00150EDC" w:rsidRDefault="00CF0754">
            <w:pPr>
              <w:pStyle w:val="TableParagraph"/>
              <w:rPr>
                <w:sz w:val="20"/>
              </w:rPr>
            </w:pPr>
            <w:r w:rsidRPr="00150EDC">
              <w:rPr>
                <w:sz w:val="20"/>
              </w:rPr>
              <w:t>Children</w:t>
            </w:r>
            <w:r w:rsidRPr="00150EDC">
              <w:rPr>
                <w:spacing w:val="-8"/>
                <w:sz w:val="20"/>
              </w:rPr>
              <w:t xml:space="preserve"> </w:t>
            </w:r>
            <w:r w:rsidRPr="00150EDC">
              <w:rPr>
                <w:sz w:val="20"/>
              </w:rPr>
              <w:t>Act</w:t>
            </w:r>
            <w:r w:rsidRPr="00150EDC">
              <w:rPr>
                <w:spacing w:val="-7"/>
                <w:sz w:val="20"/>
              </w:rPr>
              <w:t xml:space="preserve"> </w:t>
            </w:r>
            <w:r w:rsidRPr="00150EDC">
              <w:rPr>
                <w:sz w:val="20"/>
              </w:rPr>
              <w:t>1989,</w:t>
            </w:r>
            <w:r w:rsidRPr="00150EDC">
              <w:rPr>
                <w:spacing w:val="-8"/>
                <w:sz w:val="20"/>
              </w:rPr>
              <w:t xml:space="preserve"> </w:t>
            </w:r>
            <w:r w:rsidRPr="00150EDC">
              <w:rPr>
                <w:spacing w:val="-5"/>
                <w:sz w:val="20"/>
              </w:rPr>
              <w:t>s70</w:t>
            </w:r>
          </w:p>
        </w:tc>
        <w:tc>
          <w:tcPr>
            <w:tcW w:w="7427" w:type="dxa"/>
          </w:tcPr>
          <w:p w14:paraId="5FA9DCEA" w14:textId="77777777" w:rsidR="004C7180" w:rsidRPr="00150EDC" w:rsidRDefault="00CF0754">
            <w:pPr>
              <w:pStyle w:val="TableParagraph"/>
              <w:rPr>
                <w:sz w:val="20"/>
              </w:rPr>
            </w:pPr>
            <w:r w:rsidRPr="00150EDC">
              <w:rPr>
                <w:sz w:val="20"/>
              </w:rPr>
              <w:t>Offences</w:t>
            </w:r>
            <w:r w:rsidRPr="00150EDC">
              <w:rPr>
                <w:spacing w:val="-3"/>
                <w:sz w:val="20"/>
              </w:rPr>
              <w:t xml:space="preserve"> </w:t>
            </w:r>
            <w:r w:rsidRPr="00150EDC">
              <w:rPr>
                <w:sz w:val="20"/>
              </w:rPr>
              <w:t>relating</w:t>
            </w:r>
            <w:r w:rsidRPr="00150EDC">
              <w:rPr>
                <w:spacing w:val="-3"/>
                <w:sz w:val="20"/>
              </w:rPr>
              <w:t xml:space="preserve"> </w:t>
            </w:r>
            <w:r w:rsidRPr="00150EDC">
              <w:rPr>
                <w:sz w:val="20"/>
              </w:rPr>
              <w:t>to</w:t>
            </w:r>
            <w:r w:rsidRPr="00150EDC">
              <w:rPr>
                <w:spacing w:val="-8"/>
                <w:sz w:val="20"/>
              </w:rPr>
              <w:t xml:space="preserve"> </w:t>
            </w:r>
            <w:r w:rsidRPr="00150EDC">
              <w:rPr>
                <w:sz w:val="20"/>
              </w:rPr>
              <w:t>private</w:t>
            </w:r>
            <w:r w:rsidRPr="00150EDC">
              <w:rPr>
                <w:spacing w:val="-7"/>
                <w:sz w:val="20"/>
              </w:rPr>
              <w:t xml:space="preserve"> </w:t>
            </w:r>
            <w:r w:rsidRPr="00150EDC">
              <w:rPr>
                <w:spacing w:val="-2"/>
                <w:sz w:val="20"/>
              </w:rPr>
              <w:t>fostering</w:t>
            </w:r>
          </w:p>
        </w:tc>
      </w:tr>
      <w:tr w:rsidR="004569EE" w:rsidRPr="007D3144" w14:paraId="26F707B9" w14:textId="77777777">
        <w:trPr>
          <w:trHeight w:val="255"/>
        </w:trPr>
        <w:tc>
          <w:tcPr>
            <w:tcW w:w="6517" w:type="dxa"/>
          </w:tcPr>
          <w:p w14:paraId="42DE34B1" w14:textId="77777777" w:rsidR="004C7180" w:rsidRPr="00150EDC" w:rsidRDefault="00CF0754">
            <w:pPr>
              <w:pStyle w:val="TableParagraph"/>
              <w:rPr>
                <w:sz w:val="20"/>
              </w:rPr>
            </w:pPr>
            <w:r w:rsidRPr="00150EDC">
              <w:rPr>
                <w:sz w:val="20"/>
              </w:rPr>
              <w:t>Children</w:t>
            </w:r>
            <w:r w:rsidRPr="00150EDC">
              <w:rPr>
                <w:spacing w:val="-8"/>
                <w:sz w:val="20"/>
              </w:rPr>
              <w:t xml:space="preserve"> </w:t>
            </w:r>
            <w:r w:rsidRPr="00150EDC">
              <w:rPr>
                <w:sz w:val="20"/>
              </w:rPr>
              <w:t>Act</w:t>
            </w:r>
            <w:r w:rsidRPr="00150EDC">
              <w:rPr>
                <w:spacing w:val="-7"/>
                <w:sz w:val="20"/>
              </w:rPr>
              <w:t xml:space="preserve"> </w:t>
            </w:r>
            <w:r w:rsidRPr="00150EDC">
              <w:rPr>
                <w:sz w:val="20"/>
              </w:rPr>
              <w:t>1989,</w:t>
            </w:r>
            <w:r w:rsidRPr="00150EDC">
              <w:rPr>
                <w:spacing w:val="-8"/>
                <w:sz w:val="20"/>
              </w:rPr>
              <w:t xml:space="preserve"> </w:t>
            </w:r>
            <w:r w:rsidRPr="00150EDC">
              <w:rPr>
                <w:spacing w:val="-5"/>
                <w:sz w:val="20"/>
              </w:rPr>
              <w:t>s76</w:t>
            </w:r>
          </w:p>
        </w:tc>
        <w:tc>
          <w:tcPr>
            <w:tcW w:w="7427" w:type="dxa"/>
          </w:tcPr>
          <w:p w14:paraId="6198335B" w14:textId="77777777" w:rsidR="004C7180" w:rsidRPr="00150EDC" w:rsidRDefault="00CF0754">
            <w:pPr>
              <w:pStyle w:val="TableParagraph"/>
              <w:rPr>
                <w:sz w:val="20"/>
              </w:rPr>
            </w:pPr>
            <w:r w:rsidRPr="00150EDC">
              <w:rPr>
                <w:spacing w:val="-2"/>
                <w:sz w:val="20"/>
              </w:rPr>
              <w:t>Obstruction</w:t>
            </w:r>
          </w:p>
        </w:tc>
      </w:tr>
      <w:tr w:rsidR="004569EE" w:rsidRPr="007D3144" w14:paraId="3AD1F96F" w14:textId="77777777">
        <w:trPr>
          <w:trHeight w:val="255"/>
        </w:trPr>
        <w:tc>
          <w:tcPr>
            <w:tcW w:w="6517" w:type="dxa"/>
          </w:tcPr>
          <w:p w14:paraId="6DEFF9A1" w14:textId="77777777" w:rsidR="004C7180" w:rsidRPr="00150EDC" w:rsidRDefault="00CF0754">
            <w:pPr>
              <w:pStyle w:val="TableParagraph"/>
              <w:rPr>
                <w:sz w:val="20"/>
              </w:rPr>
            </w:pPr>
            <w:r w:rsidRPr="00150EDC">
              <w:rPr>
                <w:sz w:val="20"/>
              </w:rPr>
              <w:t>Children</w:t>
            </w:r>
            <w:r w:rsidRPr="00150EDC">
              <w:rPr>
                <w:spacing w:val="-8"/>
                <w:sz w:val="20"/>
              </w:rPr>
              <w:t xml:space="preserve"> </w:t>
            </w:r>
            <w:r w:rsidRPr="00150EDC">
              <w:rPr>
                <w:sz w:val="20"/>
              </w:rPr>
              <w:t>Act</w:t>
            </w:r>
            <w:r w:rsidRPr="00150EDC">
              <w:rPr>
                <w:spacing w:val="-7"/>
                <w:sz w:val="20"/>
              </w:rPr>
              <w:t xml:space="preserve"> </w:t>
            </w:r>
            <w:r w:rsidRPr="00150EDC">
              <w:rPr>
                <w:sz w:val="20"/>
              </w:rPr>
              <w:t>1989,</w:t>
            </w:r>
            <w:r w:rsidRPr="00150EDC">
              <w:rPr>
                <w:spacing w:val="-8"/>
                <w:sz w:val="20"/>
              </w:rPr>
              <w:t xml:space="preserve"> </w:t>
            </w:r>
            <w:r w:rsidRPr="00150EDC">
              <w:rPr>
                <w:spacing w:val="-5"/>
                <w:sz w:val="20"/>
              </w:rPr>
              <w:t>s78</w:t>
            </w:r>
          </w:p>
        </w:tc>
        <w:tc>
          <w:tcPr>
            <w:tcW w:w="7427" w:type="dxa"/>
          </w:tcPr>
          <w:p w14:paraId="2A4882E3" w14:textId="77777777" w:rsidR="004C7180" w:rsidRPr="00150EDC" w:rsidRDefault="00CF0754">
            <w:pPr>
              <w:pStyle w:val="TableParagraph"/>
              <w:rPr>
                <w:sz w:val="20"/>
              </w:rPr>
            </w:pPr>
            <w:r w:rsidRPr="00150EDC">
              <w:rPr>
                <w:sz w:val="20"/>
              </w:rPr>
              <w:t>Offences</w:t>
            </w:r>
            <w:r w:rsidRPr="00150EDC">
              <w:rPr>
                <w:spacing w:val="-2"/>
                <w:sz w:val="20"/>
              </w:rPr>
              <w:t xml:space="preserve"> </w:t>
            </w:r>
            <w:r w:rsidRPr="00150EDC">
              <w:rPr>
                <w:sz w:val="20"/>
              </w:rPr>
              <w:t>relating</w:t>
            </w:r>
            <w:r w:rsidRPr="00150EDC">
              <w:rPr>
                <w:spacing w:val="-2"/>
                <w:sz w:val="20"/>
              </w:rPr>
              <w:t xml:space="preserve"> </w:t>
            </w:r>
            <w:r w:rsidRPr="00150EDC">
              <w:rPr>
                <w:sz w:val="20"/>
              </w:rPr>
              <w:t>to</w:t>
            </w:r>
            <w:r w:rsidRPr="00150EDC">
              <w:rPr>
                <w:spacing w:val="-7"/>
                <w:sz w:val="20"/>
              </w:rPr>
              <w:t xml:space="preserve"> </w:t>
            </w:r>
            <w:r w:rsidRPr="00150EDC">
              <w:rPr>
                <w:sz w:val="20"/>
              </w:rPr>
              <w:t>childminding</w:t>
            </w:r>
            <w:r w:rsidRPr="00150EDC">
              <w:rPr>
                <w:spacing w:val="-2"/>
                <w:sz w:val="20"/>
              </w:rPr>
              <w:t xml:space="preserve"> </w:t>
            </w:r>
            <w:r w:rsidRPr="00150EDC">
              <w:rPr>
                <w:sz w:val="20"/>
              </w:rPr>
              <w:t>and</w:t>
            </w:r>
            <w:r w:rsidRPr="00150EDC">
              <w:rPr>
                <w:spacing w:val="-1"/>
                <w:sz w:val="20"/>
              </w:rPr>
              <w:t xml:space="preserve"> </w:t>
            </w:r>
            <w:r w:rsidRPr="00150EDC">
              <w:rPr>
                <w:sz w:val="20"/>
              </w:rPr>
              <w:t>day-care</w:t>
            </w:r>
            <w:r w:rsidRPr="00150EDC">
              <w:rPr>
                <w:spacing w:val="-6"/>
                <w:sz w:val="20"/>
              </w:rPr>
              <w:t xml:space="preserve"> </w:t>
            </w:r>
            <w:r w:rsidRPr="00150EDC">
              <w:rPr>
                <w:sz w:val="20"/>
              </w:rPr>
              <w:t>for</w:t>
            </w:r>
            <w:r w:rsidRPr="00150EDC">
              <w:rPr>
                <w:spacing w:val="-7"/>
                <w:sz w:val="20"/>
              </w:rPr>
              <w:t xml:space="preserve"> </w:t>
            </w:r>
            <w:r w:rsidRPr="00150EDC">
              <w:rPr>
                <w:sz w:val="20"/>
              </w:rPr>
              <w:t>young</w:t>
            </w:r>
            <w:r w:rsidRPr="00150EDC">
              <w:rPr>
                <w:spacing w:val="-2"/>
                <w:sz w:val="20"/>
              </w:rPr>
              <w:t xml:space="preserve"> children</w:t>
            </w:r>
          </w:p>
        </w:tc>
      </w:tr>
      <w:tr w:rsidR="004569EE" w:rsidRPr="007D3144" w14:paraId="00BD9197" w14:textId="77777777">
        <w:trPr>
          <w:trHeight w:val="250"/>
        </w:trPr>
        <w:tc>
          <w:tcPr>
            <w:tcW w:w="6517" w:type="dxa"/>
            <w:tcBorders>
              <w:bottom w:val="single" w:sz="12" w:space="0" w:color="000000"/>
            </w:tcBorders>
          </w:tcPr>
          <w:p w14:paraId="245AEF4B" w14:textId="77777777" w:rsidR="004C7180" w:rsidRPr="00150EDC" w:rsidRDefault="00CF0754">
            <w:pPr>
              <w:pStyle w:val="TableParagraph"/>
              <w:spacing w:line="203" w:lineRule="exact"/>
              <w:rPr>
                <w:sz w:val="20"/>
              </w:rPr>
            </w:pPr>
            <w:r w:rsidRPr="00150EDC">
              <w:rPr>
                <w:sz w:val="20"/>
              </w:rPr>
              <w:t>Children</w:t>
            </w:r>
            <w:r w:rsidRPr="00150EDC">
              <w:rPr>
                <w:spacing w:val="-8"/>
                <w:sz w:val="20"/>
              </w:rPr>
              <w:t xml:space="preserve"> </w:t>
            </w:r>
            <w:r w:rsidRPr="00150EDC">
              <w:rPr>
                <w:sz w:val="20"/>
              </w:rPr>
              <w:t>Act</w:t>
            </w:r>
            <w:r w:rsidRPr="00150EDC">
              <w:rPr>
                <w:spacing w:val="-7"/>
                <w:sz w:val="20"/>
              </w:rPr>
              <w:t xml:space="preserve"> </w:t>
            </w:r>
            <w:r w:rsidRPr="00150EDC">
              <w:rPr>
                <w:sz w:val="20"/>
              </w:rPr>
              <w:t>1989,</w:t>
            </w:r>
            <w:r w:rsidRPr="00150EDC">
              <w:rPr>
                <w:spacing w:val="-8"/>
                <w:sz w:val="20"/>
              </w:rPr>
              <w:t xml:space="preserve"> </w:t>
            </w:r>
            <w:r w:rsidRPr="00150EDC">
              <w:rPr>
                <w:spacing w:val="-4"/>
                <w:sz w:val="20"/>
              </w:rPr>
              <w:t>s79D</w:t>
            </w:r>
          </w:p>
        </w:tc>
        <w:tc>
          <w:tcPr>
            <w:tcW w:w="7427" w:type="dxa"/>
            <w:tcBorders>
              <w:bottom w:val="single" w:sz="12" w:space="0" w:color="000000"/>
            </w:tcBorders>
          </w:tcPr>
          <w:p w14:paraId="4F9ACD2A" w14:textId="77777777" w:rsidR="004C7180" w:rsidRPr="00150EDC" w:rsidRDefault="00CF0754">
            <w:pPr>
              <w:pStyle w:val="TableParagraph"/>
              <w:spacing w:line="203" w:lineRule="exact"/>
              <w:rPr>
                <w:sz w:val="20"/>
              </w:rPr>
            </w:pPr>
            <w:r w:rsidRPr="00150EDC">
              <w:rPr>
                <w:sz w:val="20"/>
              </w:rPr>
              <w:t>Acting</w:t>
            </w:r>
            <w:r w:rsidRPr="00150EDC">
              <w:rPr>
                <w:spacing w:val="-5"/>
                <w:sz w:val="20"/>
              </w:rPr>
              <w:t xml:space="preserve"> </w:t>
            </w:r>
            <w:r w:rsidRPr="00150EDC">
              <w:rPr>
                <w:sz w:val="20"/>
              </w:rPr>
              <w:t>as</w:t>
            </w:r>
            <w:r w:rsidRPr="00150EDC">
              <w:rPr>
                <w:spacing w:val="-3"/>
                <w:sz w:val="20"/>
              </w:rPr>
              <w:t xml:space="preserve"> </w:t>
            </w:r>
            <w:r w:rsidRPr="00150EDC">
              <w:rPr>
                <w:sz w:val="20"/>
              </w:rPr>
              <w:t>a</w:t>
            </w:r>
            <w:r w:rsidRPr="00150EDC">
              <w:rPr>
                <w:spacing w:val="-4"/>
                <w:sz w:val="20"/>
              </w:rPr>
              <w:t xml:space="preserve"> </w:t>
            </w:r>
            <w:r w:rsidRPr="00150EDC">
              <w:rPr>
                <w:sz w:val="20"/>
              </w:rPr>
              <w:t>child-minder</w:t>
            </w:r>
            <w:r w:rsidRPr="00150EDC">
              <w:rPr>
                <w:spacing w:val="-4"/>
                <w:sz w:val="20"/>
              </w:rPr>
              <w:t xml:space="preserve"> </w:t>
            </w:r>
            <w:r w:rsidRPr="00150EDC">
              <w:rPr>
                <w:sz w:val="20"/>
              </w:rPr>
              <w:t>or</w:t>
            </w:r>
            <w:r w:rsidRPr="00150EDC">
              <w:rPr>
                <w:spacing w:val="-5"/>
                <w:sz w:val="20"/>
              </w:rPr>
              <w:t xml:space="preserve"> </w:t>
            </w:r>
            <w:r w:rsidRPr="00150EDC">
              <w:rPr>
                <w:sz w:val="20"/>
              </w:rPr>
              <w:t>providing</w:t>
            </w:r>
            <w:r w:rsidRPr="00150EDC">
              <w:rPr>
                <w:spacing w:val="-4"/>
                <w:sz w:val="20"/>
              </w:rPr>
              <w:t xml:space="preserve"> </w:t>
            </w:r>
            <w:r w:rsidRPr="00150EDC">
              <w:rPr>
                <w:sz w:val="20"/>
              </w:rPr>
              <w:t>day-care</w:t>
            </w:r>
            <w:r w:rsidRPr="00150EDC">
              <w:rPr>
                <w:spacing w:val="-4"/>
                <w:sz w:val="20"/>
              </w:rPr>
              <w:t xml:space="preserve"> </w:t>
            </w:r>
            <w:r w:rsidRPr="00150EDC">
              <w:rPr>
                <w:sz w:val="20"/>
              </w:rPr>
              <w:t>whilst</w:t>
            </w:r>
            <w:r w:rsidRPr="00150EDC">
              <w:rPr>
                <w:spacing w:val="-3"/>
                <w:sz w:val="20"/>
              </w:rPr>
              <w:t xml:space="preserve"> </w:t>
            </w:r>
            <w:r w:rsidRPr="00150EDC">
              <w:rPr>
                <w:spacing w:val="-2"/>
                <w:sz w:val="20"/>
              </w:rPr>
              <w:t>unregistered</w:t>
            </w:r>
          </w:p>
        </w:tc>
      </w:tr>
      <w:tr w:rsidR="004569EE" w:rsidRPr="007D3144" w14:paraId="5C2AFFAA" w14:textId="77777777">
        <w:trPr>
          <w:trHeight w:val="455"/>
        </w:trPr>
        <w:tc>
          <w:tcPr>
            <w:tcW w:w="6517" w:type="dxa"/>
            <w:tcBorders>
              <w:top w:val="single" w:sz="12" w:space="0" w:color="000000"/>
            </w:tcBorders>
          </w:tcPr>
          <w:p w14:paraId="0386EC5B" w14:textId="77777777" w:rsidR="004C7180" w:rsidRPr="00150EDC" w:rsidRDefault="004C7180">
            <w:pPr>
              <w:pStyle w:val="TableParagraph"/>
              <w:spacing w:before="9" w:line="240" w:lineRule="auto"/>
              <w:ind w:left="0"/>
              <w:rPr>
                <w:sz w:val="19"/>
              </w:rPr>
            </w:pPr>
          </w:p>
          <w:p w14:paraId="6A260FC3" w14:textId="77777777" w:rsidR="004C7180" w:rsidRPr="00150EDC" w:rsidRDefault="00CF0754">
            <w:pPr>
              <w:pStyle w:val="TableParagraph"/>
              <w:spacing w:before="0"/>
              <w:rPr>
                <w:sz w:val="20"/>
              </w:rPr>
            </w:pPr>
            <w:r w:rsidRPr="00150EDC">
              <w:rPr>
                <w:sz w:val="20"/>
              </w:rPr>
              <w:t>Children</w:t>
            </w:r>
            <w:r w:rsidRPr="00150EDC">
              <w:rPr>
                <w:spacing w:val="-8"/>
                <w:sz w:val="20"/>
              </w:rPr>
              <w:t xml:space="preserve"> </w:t>
            </w:r>
            <w:r w:rsidRPr="00150EDC">
              <w:rPr>
                <w:sz w:val="20"/>
              </w:rPr>
              <w:t>Act</w:t>
            </w:r>
            <w:r w:rsidRPr="00150EDC">
              <w:rPr>
                <w:spacing w:val="-7"/>
                <w:sz w:val="20"/>
              </w:rPr>
              <w:t xml:space="preserve"> </w:t>
            </w:r>
            <w:r w:rsidRPr="00150EDC">
              <w:rPr>
                <w:sz w:val="20"/>
              </w:rPr>
              <w:t>1989,</w:t>
            </w:r>
            <w:r w:rsidRPr="00150EDC">
              <w:rPr>
                <w:spacing w:val="-8"/>
                <w:sz w:val="20"/>
              </w:rPr>
              <w:t xml:space="preserve"> </w:t>
            </w:r>
            <w:r w:rsidRPr="00150EDC">
              <w:rPr>
                <w:spacing w:val="-2"/>
                <w:sz w:val="20"/>
              </w:rPr>
              <w:t>s79F(6)</w:t>
            </w:r>
          </w:p>
        </w:tc>
        <w:tc>
          <w:tcPr>
            <w:tcW w:w="7427" w:type="dxa"/>
            <w:tcBorders>
              <w:top w:val="single" w:sz="12" w:space="0" w:color="000000"/>
            </w:tcBorders>
          </w:tcPr>
          <w:p w14:paraId="513793B9" w14:textId="77777777" w:rsidR="004C7180" w:rsidRPr="00150EDC" w:rsidRDefault="00CF0754">
            <w:pPr>
              <w:pStyle w:val="TableParagraph"/>
              <w:spacing w:before="0" w:line="230" w:lineRule="exact"/>
              <w:ind w:right="186"/>
              <w:rPr>
                <w:sz w:val="20"/>
              </w:rPr>
            </w:pPr>
            <w:r w:rsidRPr="00150EDC">
              <w:rPr>
                <w:sz w:val="20"/>
              </w:rPr>
              <w:t>Registered</w:t>
            </w:r>
            <w:r w:rsidRPr="00150EDC">
              <w:rPr>
                <w:spacing w:val="-2"/>
                <w:sz w:val="20"/>
              </w:rPr>
              <w:t xml:space="preserve"> </w:t>
            </w:r>
            <w:r w:rsidRPr="00150EDC">
              <w:rPr>
                <w:sz w:val="20"/>
              </w:rPr>
              <w:t>person</w:t>
            </w:r>
            <w:r w:rsidRPr="00150EDC">
              <w:rPr>
                <w:spacing w:val="-7"/>
                <w:sz w:val="20"/>
              </w:rPr>
              <w:t xml:space="preserve"> </w:t>
            </w:r>
            <w:r w:rsidRPr="00150EDC">
              <w:rPr>
                <w:sz w:val="20"/>
              </w:rPr>
              <w:t>contravening</w:t>
            </w:r>
            <w:r w:rsidRPr="00150EDC">
              <w:rPr>
                <w:spacing w:val="-7"/>
                <w:sz w:val="20"/>
              </w:rPr>
              <w:t xml:space="preserve"> </w:t>
            </w:r>
            <w:r w:rsidRPr="00150EDC">
              <w:rPr>
                <w:sz w:val="20"/>
              </w:rPr>
              <w:t>or</w:t>
            </w:r>
            <w:r w:rsidRPr="00150EDC">
              <w:rPr>
                <w:spacing w:val="-7"/>
                <w:sz w:val="20"/>
              </w:rPr>
              <w:t xml:space="preserve"> </w:t>
            </w:r>
            <w:r w:rsidRPr="00150EDC">
              <w:rPr>
                <w:sz w:val="20"/>
              </w:rPr>
              <w:t>failing</w:t>
            </w:r>
            <w:r w:rsidRPr="00150EDC">
              <w:rPr>
                <w:spacing w:val="-2"/>
                <w:sz w:val="20"/>
              </w:rPr>
              <w:t xml:space="preserve"> </w:t>
            </w:r>
            <w:r w:rsidRPr="00150EDC">
              <w:rPr>
                <w:sz w:val="20"/>
              </w:rPr>
              <w:t>to</w:t>
            </w:r>
            <w:r w:rsidRPr="00150EDC">
              <w:rPr>
                <w:spacing w:val="-7"/>
                <w:sz w:val="20"/>
              </w:rPr>
              <w:t xml:space="preserve"> </w:t>
            </w:r>
            <w:r w:rsidRPr="00150EDC">
              <w:rPr>
                <w:sz w:val="20"/>
              </w:rPr>
              <w:t>comply</w:t>
            </w:r>
            <w:r w:rsidRPr="00150EDC">
              <w:rPr>
                <w:spacing w:val="-5"/>
                <w:sz w:val="20"/>
              </w:rPr>
              <w:t xml:space="preserve"> </w:t>
            </w:r>
            <w:r w:rsidRPr="00150EDC">
              <w:rPr>
                <w:sz w:val="20"/>
              </w:rPr>
              <w:t>with</w:t>
            </w:r>
            <w:r w:rsidRPr="00150EDC">
              <w:rPr>
                <w:spacing w:val="-3"/>
                <w:sz w:val="20"/>
              </w:rPr>
              <w:t xml:space="preserve"> </w:t>
            </w:r>
            <w:r w:rsidRPr="00150EDC">
              <w:rPr>
                <w:sz w:val="20"/>
              </w:rPr>
              <w:t>a</w:t>
            </w:r>
            <w:r w:rsidRPr="00150EDC">
              <w:rPr>
                <w:spacing w:val="-3"/>
                <w:sz w:val="20"/>
              </w:rPr>
              <w:t xml:space="preserve"> </w:t>
            </w:r>
            <w:r w:rsidRPr="00150EDC">
              <w:rPr>
                <w:sz w:val="20"/>
              </w:rPr>
              <w:t>condition</w:t>
            </w:r>
            <w:r w:rsidRPr="00150EDC">
              <w:rPr>
                <w:spacing w:val="-2"/>
                <w:sz w:val="20"/>
              </w:rPr>
              <w:t xml:space="preserve"> </w:t>
            </w:r>
            <w:r w:rsidRPr="00150EDC">
              <w:rPr>
                <w:sz w:val="20"/>
              </w:rPr>
              <w:t xml:space="preserve">of </w:t>
            </w:r>
            <w:r w:rsidRPr="00150EDC">
              <w:rPr>
                <w:spacing w:val="-2"/>
                <w:sz w:val="20"/>
              </w:rPr>
              <w:t>registration</w:t>
            </w:r>
          </w:p>
        </w:tc>
      </w:tr>
      <w:tr w:rsidR="004569EE" w:rsidRPr="007D3144" w14:paraId="559CFD0A" w14:textId="77777777">
        <w:trPr>
          <w:trHeight w:val="250"/>
        </w:trPr>
        <w:tc>
          <w:tcPr>
            <w:tcW w:w="6517" w:type="dxa"/>
          </w:tcPr>
          <w:p w14:paraId="789F0654" w14:textId="77777777" w:rsidR="004C7180" w:rsidRPr="00150EDC" w:rsidRDefault="00CF0754">
            <w:pPr>
              <w:pStyle w:val="TableParagraph"/>
              <w:spacing w:before="22"/>
              <w:rPr>
                <w:sz w:val="20"/>
              </w:rPr>
            </w:pPr>
            <w:r w:rsidRPr="00150EDC">
              <w:rPr>
                <w:sz w:val="20"/>
              </w:rPr>
              <w:t>Children</w:t>
            </w:r>
            <w:r w:rsidRPr="00150EDC">
              <w:rPr>
                <w:spacing w:val="-9"/>
                <w:sz w:val="20"/>
              </w:rPr>
              <w:t xml:space="preserve"> </w:t>
            </w:r>
            <w:r w:rsidRPr="00150EDC">
              <w:rPr>
                <w:sz w:val="20"/>
              </w:rPr>
              <w:t>Act</w:t>
            </w:r>
            <w:r w:rsidRPr="00150EDC">
              <w:rPr>
                <w:spacing w:val="-6"/>
                <w:sz w:val="20"/>
              </w:rPr>
              <w:t xml:space="preserve"> </w:t>
            </w:r>
            <w:r w:rsidRPr="00150EDC">
              <w:rPr>
                <w:sz w:val="20"/>
              </w:rPr>
              <w:t>1989,</w:t>
            </w:r>
            <w:r w:rsidRPr="00150EDC">
              <w:rPr>
                <w:spacing w:val="-6"/>
                <w:sz w:val="20"/>
              </w:rPr>
              <w:t xml:space="preserve"> </w:t>
            </w:r>
            <w:r w:rsidRPr="00150EDC">
              <w:rPr>
                <w:sz w:val="20"/>
              </w:rPr>
              <w:t>schedule</w:t>
            </w:r>
            <w:r w:rsidRPr="00150EDC">
              <w:rPr>
                <w:spacing w:val="-2"/>
                <w:sz w:val="20"/>
              </w:rPr>
              <w:t xml:space="preserve"> </w:t>
            </w:r>
            <w:r w:rsidRPr="00150EDC">
              <w:rPr>
                <w:sz w:val="20"/>
              </w:rPr>
              <w:t>5,</w:t>
            </w:r>
            <w:r w:rsidRPr="00150EDC">
              <w:rPr>
                <w:spacing w:val="-7"/>
                <w:sz w:val="20"/>
              </w:rPr>
              <w:t xml:space="preserve"> </w:t>
            </w:r>
            <w:r w:rsidRPr="00150EDC">
              <w:rPr>
                <w:sz w:val="20"/>
              </w:rPr>
              <w:t>para</w:t>
            </w:r>
            <w:r w:rsidRPr="00150EDC">
              <w:rPr>
                <w:spacing w:val="-6"/>
                <w:sz w:val="20"/>
              </w:rPr>
              <w:t xml:space="preserve"> </w:t>
            </w:r>
            <w:r w:rsidRPr="00150EDC">
              <w:rPr>
                <w:spacing w:val="-4"/>
                <w:sz w:val="20"/>
              </w:rPr>
              <w:t>1(5)</w:t>
            </w:r>
          </w:p>
        </w:tc>
        <w:tc>
          <w:tcPr>
            <w:tcW w:w="7427" w:type="dxa"/>
          </w:tcPr>
          <w:p w14:paraId="07C2C219" w14:textId="77777777" w:rsidR="004C7180" w:rsidRPr="00150EDC" w:rsidRDefault="00CF0754">
            <w:pPr>
              <w:pStyle w:val="TableParagraph"/>
              <w:spacing w:before="22"/>
              <w:rPr>
                <w:sz w:val="20"/>
              </w:rPr>
            </w:pPr>
            <w:r w:rsidRPr="00150EDC">
              <w:rPr>
                <w:sz w:val="20"/>
              </w:rPr>
              <w:t>Offences</w:t>
            </w:r>
            <w:r w:rsidRPr="00150EDC">
              <w:rPr>
                <w:spacing w:val="-3"/>
                <w:sz w:val="20"/>
              </w:rPr>
              <w:t xml:space="preserve"> </w:t>
            </w:r>
            <w:r w:rsidRPr="00150EDC">
              <w:rPr>
                <w:sz w:val="20"/>
              </w:rPr>
              <w:t>relating</w:t>
            </w:r>
            <w:r w:rsidRPr="00150EDC">
              <w:rPr>
                <w:spacing w:val="-4"/>
                <w:sz w:val="20"/>
              </w:rPr>
              <w:t xml:space="preserve"> </w:t>
            </w:r>
            <w:r w:rsidRPr="00150EDC">
              <w:rPr>
                <w:sz w:val="20"/>
              </w:rPr>
              <w:t>to</w:t>
            </w:r>
            <w:r w:rsidRPr="00150EDC">
              <w:rPr>
                <w:spacing w:val="-8"/>
                <w:sz w:val="20"/>
              </w:rPr>
              <w:t xml:space="preserve"> </w:t>
            </w:r>
            <w:r w:rsidRPr="00150EDC">
              <w:rPr>
                <w:sz w:val="20"/>
              </w:rPr>
              <w:t>voluntary</w:t>
            </w:r>
            <w:r w:rsidRPr="00150EDC">
              <w:rPr>
                <w:spacing w:val="-3"/>
                <w:sz w:val="20"/>
              </w:rPr>
              <w:t xml:space="preserve"> </w:t>
            </w:r>
            <w:r w:rsidRPr="00150EDC">
              <w:rPr>
                <w:sz w:val="20"/>
              </w:rPr>
              <w:t>homes</w:t>
            </w:r>
            <w:r w:rsidRPr="00150EDC">
              <w:rPr>
                <w:spacing w:val="-3"/>
                <w:sz w:val="20"/>
              </w:rPr>
              <w:t xml:space="preserve"> </w:t>
            </w:r>
            <w:r w:rsidRPr="00150EDC">
              <w:rPr>
                <w:sz w:val="20"/>
              </w:rPr>
              <w:t>and</w:t>
            </w:r>
            <w:r w:rsidRPr="00150EDC">
              <w:rPr>
                <w:spacing w:val="-8"/>
                <w:sz w:val="20"/>
              </w:rPr>
              <w:t xml:space="preserve"> </w:t>
            </w:r>
            <w:r w:rsidRPr="00150EDC">
              <w:rPr>
                <w:sz w:val="20"/>
              </w:rPr>
              <w:t>children's</w:t>
            </w:r>
            <w:r w:rsidRPr="00150EDC">
              <w:rPr>
                <w:spacing w:val="-7"/>
                <w:sz w:val="20"/>
              </w:rPr>
              <w:t xml:space="preserve"> </w:t>
            </w:r>
            <w:r w:rsidRPr="00150EDC">
              <w:rPr>
                <w:spacing w:val="-4"/>
                <w:sz w:val="20"/>
              </w:rPr>
              <w:t>homes</w:t>
            </w:r>
          </w:p>
        </w:tc>
      </w:tr>
      <w:tr w:rsidR="004569EE" w:rsidRPr="007D3144" w14:paraId="1E7F7F02" w14:textId="77777777">
        <w:trPr>
          <w:trHeight w:val="255"/>
        </w:trPr>
        <w:tc>
          <w:tcPr>
            <w:tcW w:w="6517" w:type="dxa"/>
          </w:tcPr>
          <w:p w14:paraId="02A45F2C" w14:textId="77777777" w:rsidR="004C7180" w:rsidRPr="00150EDC" w:rsidRDefault="00CF0754">
            <w:pPr>
              <w:pStyle w:val="TableParagraph"/>
              <w:rPr>
                <w:sz w:val="20"/>
              </w:rPr>
            </w:pPr>
            <w:r w:rsidRPr="00150EDC">
              <w:rPr>
                <w:sz w:val="20"/>
              </w:rPr>
              <w:t>Children</w:t>
            </w:r>
            <w:r w:rsidRPr="00150EDC">
              <w:rPr>
                <w:spacing w:val="-9"/>
                <w:sz w:val="20"/>
              </w:rPr>
              <w:t xml:space="preserve"> </w:t>
            </w:r>
            <w:r w:rsidRPr="00150EDC">
              <w:rPr>
                <w:sz w:val="20"/>
              </w:rPr>
              <w:t>Act</w:t>
            </w:r>
            <w:r w:rsidRPr="00150EDC">
              <w:rPr>
                <w:spacing w:val="-6"/>
                <w:sz w:val="20"/>
              </w:rPr>
              <w:t xml:space="preserve"> </w:t>
            </w:r>
            <w:r w:rsidRPr="00150EDC">
              <w:rPr>
                <w:sz w:val="20"/>
              </w:rPr>
              <w:t>1989,</w:t>
            </w:r>
            <w:r w:rsidRPr="00150EDC">
              <w:rPr>
                <w:spacing w:val="-6"/>
                <w:sz w:val="20"/>
              </w:rPr>
              <w:t xml:space="preserve"> </w:t>
            </w:r>
            <w:r w:rsidRPr="00150EDC">
              <w:rPr>
                <w:sz w:val="20"/>
              </w:rPr>
              <w:t>schedule</w:t>
            </w:r>
            <w:r w:rsidRPr="00150EDC">
              <w:rPr>
                <w:spacing w:val="-2"/>
                <w:sz w:val="20"/>
              </w:rPr>
              <w:t xml:space="preserve"> </w:t>
            </w:r>
            <w:r w:rsidRPr="00150EDC">
              <w:rPr>
                <w:sz w:val="20"/>
              </w:rPr>
              <w:t>6,</w:t>
            </w:r>
            <w:r w:rsidRPr="00150EDC">
              <w:rPr>
                <w:spacing w:val="-7"/>
                <w:sz w:val="20"/>
              </w:rPr>
              <w:t xml:space="preserve"> </w:t>
            </w:r>
            <w:r w:rsidRPr="00150EDC">
              <w:rPr>
                <w:sz w:val="20"/>
              </w:rPr>
              <w:t>para</w:t>
            </w:r>
            <w:r w:rsidRPr="00150EDC">
              <w:rPr>
                <w:spacing w:val="-6"/>
                <w:sz w:val="20"/>
              </w:rPr>
              <w:t xml:space="preserve"> </w:t>
            </w:r>
            <w:r w:rsidRPr="00150EDC">
              <w:rPr>
                <w:spacing w:val="-4"/>
                <w:sz w:val="20"/>
              </w:rPr>
              <w:t>2(3)</w:t>
            </w:r>
          </w:p>
        </w:tc>
        <w:tc>
          <w:tcPr>
            <w:tcW w:w="7427" w:type="dxa"/>
          </w:tcPr>
          <w:p w14:paraId="76E3DC18" w14:textId="77777777" w:rsidR="004C7180" w:rsidRPr="00150EDC" w:rsidRDefault="00CF0754">
            <w:pPr>
              <w:pStyle w:val="TableParagraph"/>
              <w:rPr>
                <w:sz w:val="20"/>
              </w:rPr>
            </w:pPr>
            <w:r w:rsidRPr="00150EDC">
              <w:rPr>
                <w:sz w:val="20"/>
              </w:rPr>
              <w:t>Offences</w:t>
            </w:r>
            <w:r w:rsidRPr="00150EDC">
              <w:rPr>
                <w:spacing w:val="-3"/>
                <w:sz w:val="20"/>
              </w:rPr>
              <w:t xml:space="preserve"> </w:t>
            </w:r>
            <w:r w:rsidRPr="00150EDC">
              <w:rPr>
                <w:sz w:val="20"/>
              </w:rPr>
              <w:t>relating</w:t>
            </w:r>
            <w:r w:rsidRPr="00150EDC">
              <w:rPr>
                <w:spacing w:val="-4"/>
                <w:sz w:val="20"/>
              </w:rPr>
              <w:t xml:space="preserve"> </w:t>
            </w:r>
            <w:r w:rsidRPr="00150EDC">
              <w:rPr>
                <w:sz w:val="20"/>
              </w:rPr>
              <w:t>to</w:t>
            </w:r>
            <w:r w:rsidRPr="00150EDC">
              <w:rPr>
                <w:spacing w:val="-8"/>
                <w:sz w:val="20"/>
              </w:rPr>
              <w:t xml:space="preserve"> </w:t>
            </w:r>
            <w:r w:rsidRPr="00150EDC">
              <w:rPr>
                <w:sz w:val="20"/>
              </w:rPr>
              <w:t>voluntary</w:t>
            </w:r>
            <w:r w:rsidRPr="00150EDC">
              <w:rPr>
                <w:spacing w:val="-3"/>
                <w:sz w:val="20"/>
              </w:rPr>
              <w:t xml:space="preserve"> </w:t>
            </w:r>
            <w:r w:rsidRPr="00150EDC">
              <w:rPr>
                <w:sz w:val="20"/>
              </w:rPr>
              <w:t>homes</w:t>
            </w:r>
            <w:r w:rsidRPr="00150EDC">
              <w:rPr>
                <w:spacing w:val="-3"/>
                <w:sz w:val="20"/>
              </w:rPr>
              <w:t xml:space="preserve"> </w:t>
            </w:r>
            <w:r w:rsidRPr="00150EDC">
              <w:rPr>
                <w:sz w:val="20"/>
              </w:rPr>
              <w:t>and</w:t>
            </w:r>
            <w:r w:rsidRPr="00150EDC">
              <w:rPr>
                <w:spacing w:val="-8"/>
                <w:sz w:val="20"/>
              </w:rPr>
              <w:t xml:space="preserve"> </w:t>
            </w:r>
            <w:r w:rsidRPr="00150EDC">
              <w:rPr>
                <w:sz w:val="20"/>
              </w:rPr>
              <w:t>children's</w:t>
            </w:r>
            <w:r w:rsidRPr="00150EDC">
              <w:rPr>
                <w:spacing w:val="-7"/>
                <w:sz w:val="20"/>
              </w:rPr>
              <w:t xml:space="preserve"> </w:t>
            </w:r>
            <w:r w:rsidRPr="00150EDC">
              <w:rPr>
                <w:spacing w:val="-4"/>
                <w:sz w:val="20"/>
              </w:rPr>
              <w:t>homes</w:t>
            </w:r>
          </w:p>
        </w:tc>
      </w:tr>
      <w:tr w:rsidR="004569EE" w:rsidRPr="007D3144" w14:paraId="5531DA84" w14:textId="77777777">
        <w:trPr>
          <w:trHeight w:val="255"/>
        </w:trPr>
        <w:tc>
          <w:tcPr>
            <w:tcW w:w="6517" w:type="dxa"/>
          </w:tcPr>
          <w:p w14:paraId="1C3824B4" w14:textId="77777777" w:rsidR="004C7180" w:rsidRPr="00150EDC" w:rsidRDefault="00CF0754">
            <w:pPr>
              <w:pStyle w:val="TableParagraph"/>
              <w:spacing w:before="28"/>
              <w:rPr>
                <w:sz w:val="20"/>
              </w:rPr>
            </w:pPr>
            <w:r w:rsidRPr="00150EDC">
              <w:rPr>
                <w:sz w:val="20"/>
              </w:rPr>
              <w:t>Children</w:t>
            </w:r>
            <w:r w:rsidRPr="00150EDC">
              <w:rPr>
                <w:spacing w:val="-10"/>
                <w:sz w:val="20"/>
              </w:rPr>
              <w:t xml:space="preserve"> </w:t>
            </w:r>
            <w:r w:rsidRPr="00150EDC">
              <w:rPr>
                <w:sz w:val="20"/>
              </w:rPr>
              <w:t>and</w:t>
            </w:r>
            <w:r w:rsidRPr="00150EDC">
              <w:rPr>
                <w:spacing w:val="-7"/>
                <w:sz w:val="20"/>
              </w:rPr>
              <w:t xml:space="preserve"> </w:t>
            </w:r>
            <w:r w:rsidRPr="00150EDC">
              <w:rPr>
                <w:sz w:val="20"/>
              </w:rPr>
              <w:t>Young</w:t>
            </w:r>
            <w:r w:rsidRPr="00150EDC">
              <w:rPr>
                <w:spacing w:val="-7"/>
                <w:sz w:val="20"/>
              </w:rPr>
              <w:t xml:space="preserve"> </w:t>
            </w:r>
            <w:r w:rsidRPr="00150EDC">
              <w:rPr>
                <w:sz w:val="20"/>
              </w:rPr>
              <w:t>Persons</w:t>
            </w:r>
            <w:r w:rsidRPr="00150EDC">
              <w:rPr>
                <w:spacing w:val="-2"/>
                <w:sz w:val="20"/>
              </w:rPr>
              <w:t xml:space="preserve"> </w:t>
            </w:r>
            <w:r w:rsidRPr="00150EDC">
              <w:rPr>
                <w:sz w:val="20"/>
              </w:rPr>
              <w:t>(Guernsey)</w:t>
            </w:r>
            <w:r w:rsidRPr="00150EDC">
              <w:rPr>
                <w:spacing w:val="-7"/>
                <w:sz w:val="20"/>
              </w:rPr>
              <w:t xml:space="preserve"> </w:t>
            </w:r>
            <w:r w:rsidRPr="00150EDC">
              <w:rPr>
                <w:sz w:val="20"/>
              </w:rPr>
              <w:t>Law</w:t>
            </w:r>
            <w:r w:rsidRPr="00150EDC">
              <w:rPr>
                <w:spacing w:val="-5"/>
                <w:sz w:val="20"/>
              </w:rPr>
              <w:t xml:space="preserve"> </w:t>
            </w:r>
            <w:r w:rsidRPr="00150EDC">
              <w:rPr>
                <w:sz w:val="20"/>
              </w:rPr>
              <w:t>1967,</w:t>
            </w:r>
            <w:r w:rsidRPr="00150EDC">
              <w:rPr>
                <w:spacing w:val="-7"/>
                <w:sz w:val="20"/>
              </w:rPr>
              <w:t xml:space="preserve"> </w:t>
            </w:r>
            <w:r w:rsidRPr="00150EDC">
              <w:rPr>
                <w:spacing w:val="-2"/>
                <w:sz w:val="20"/>
              </w:rPr>
              <w:t>s11(10)</w:t>
            </w:r>
          </w:p>
        </w:tc>
        <w:tc>
          <w:tcPr>
            <w:tcW w:w="7427" w:type="dxa"/>
          </w:tcPr>
          <w:p w14:paraId="30E4D0FA" w14:textId="77777777" w:rsidR="004C7180" w:rsidRPr="00150EDC" w:rsidRDefault="00CF0754">
            <w:pPr>
              <w:pStyle w:val="TableParagraph"/>
              <w:spacing w:before="28"/>
              <w:rPr>
                <w:sz w:val="20"/>
              </w:rPr>
            </w:pPr>
            <w:r w:rsidRPr="00150EDC">
              <w:rPr>
                <w:sz w:val="20"/>
              </w:rPr>
              <w:t>Harbour</w:t>
            </w:r>
            <w:r w:rsidRPr="00150EDC">
              <w:rPr>
                <w:spacing w:val="-5"/>
                <w:sz w:val="20"/>
              </w:rPr>
              <w:t xml:space="preserve"> </w:t>
            </w:r>
            <w:r w:rsidRPr="00150EDC">
              <w:rPr>
                <w:sz w:val="20"/>
              </w:rPr>
              <w:t>or</w:t>
            </w:r>
            <w:r w:rsidRPr="00150EDC">
              <w:rPr>
                <w:spacing w:val="-4"/>
                <w:sz w:val="20"/>
              </w:rPr>
              <w:t xml:space="preserve"> </w:t>
            </w:r>
            <w:r w:rsidRPr="00150EDC">
              <w:rPr>
                <w:sz w:val="20"/>
              </w:rPr>
              <w:t>conceal</w:t>
            </w:r>
            <w:r w:rsidRPr="00150EDC">
              <w:rPr>
                <w:spacing w:val="1"/>
                <w:sz w:val="20"/>
              </w:rPr>
              <w:t xml:space="preserve"> </w:t>
            </w:r>
            <w:r w:rsidRPr="00150EDC">
              <w:rPr>
                <w:sz w:val="20"/>
              </w:rPr>
              <w:t>a</w:t>
            </w:r>
            <w:r w:rsidRPr="00150EDC">
              <w:rPr>
                <w:spacing w:val="-5"/>
                <w:sz w:val="20"/>
              </w:rPr>
              <w:t xml:space="preserve"> </w:t>
            </w:r>
            <w:r w:rsidRPr="00150EDC">
              <w:rPr>
                <w:sz w:val="20"/>
              </w:rPr>
              <w:t>child</w:t>
            </w:r>
            <w:r w:rsidRPr="00150EDC">
              <w:rPr>
                <w:spacing w:val="-4"/>
                <w:sz w:val="20"/>
              </w:rPr>
              <w:t xml:space="preserve"> </w:t>
            </w:r>
            <w:r w:rsidRPr="00150EDC">
              <w:rPr>
                <w:sz w:val="20"/>
              </w:rPr>
              <w:t>or</w:t>
            </w:r>
            <w:r w:rsidRPr="00150EDC">
              <w:rPr>
                <w:spacing w:val="-5"/>
                <w:sz w:val="20"/>
              </w:rPr>
              <w:t xml:space="preserve"> </w:t>
            </w:r>
            <w:r w:rsidRPr="00150EDC">
              <w:rPr>
                <w:sz w:val="20"/>
              </w:rPr>
              <w:t>young</w:t>
            </w:r>
            <w:r w:rsidRPr="00150EDC">
              <w:rPr>
                <w:spacing w:val="-4"/>
                <w:sz w:val="20"/>
              </w:rPr>
              <w:t xml:space="preserve"> </w:t>
            </w:r>
            <w:r w:rsidRPr="00150EDC">
              <w:rPr>
                <w:sz w:val="20"/>
              </w:rPr>
              <w:t>person</w:t>
            </w:r>
            <w:r w:rsidRPr="00150EDC">
              <w:rPr>
                <w:spacing w:val="-5"/>
                <w:sz w:val="20"/>
              </w:rPr>
              <w:t xml:space="preserve"> </w:t>
            </w:r>
            <w:r w:rsidRPr="00150EDC">
              <w:rPr>
                <w:sz w:val="20"/>
              </w:rPr>
              <w:t>subject</w:t>
            </w:r>
            <w:r w:rsidRPr="00150EDC">
              <w:rPr>
                <w:spacing w:val="-3"/>
                <w:sz w:val="20"/>
              </w:rPr>
              <w:t xml:space="preserve"> </w:t>
            </w:r>
            <w:r w:rsidRPr="00150EDC">
              <w:rPr>
                <w:sz w:val="20"/>
              </w:rPr>
              <w:t>of</w:t>
            </w:r>
            <w:r w:rsidRPr="00150EDC">
              <w:rPr>
                <w:spacing w:val="1"/>
                <w:sz w:val="20"/>
              </w:rPr>
              <w:t xml:space="preserve"> </w:t>
            </w:r>
            <w:r w:rsidRPr="00150EDC">
              <w:rPr>
                <w:sz w:val="20"/>
              </w:rPr>
              <w:t>a</w:t>
            </w:r>
            <w:r w:rsidRPr="00150EDC">
              <w:rPr>
                <w:spacing w:val="-5"/>
                <w:sz w:val="20"/>
              </w:rPr>
              <w:t xml:space="preserve"> </w:t>
            </w:r>
            <w:r w:rsidRPr="00150EDC">
              <w:rPr>
                <w:sz w:val="20"/>
              </w:rPr>
              <w:t>special</w:t>
            </w:r>
            <w:r w:rsidRPr="00150EDC">
              <w:rPr>
                <w:spacing w:val="-2"/>
                <w:sz w:val="20"/>
              </w:rPr>
              <w:t xml:space="preserve"> </w:t>
            </w:r>
            <w:r w:rsidRPr="00150EDC">
              <w:rPr>
                <w:sz w:val="20"/>
              </w:rPr>
              <w:t xml:space="preserve">care </w:t>
            </w:r>
            <w:r w:rsidRPr="00150EDC">
              <w:rPr>
                <w:spacing w:val="-2"/>
                <w:sz w:val="20"/>
              </w:rPr>
              <w:t>order</w:t>
            </w:r>
          </w:p>
        </w:tc>
      </w:tr>
    </w:tbl>
    <w:p w14:paraId="7498CFAB" w14:textId="77777777" w:rsidR="004C7180" w:rsidRPr="00150EDC" w:rsidRDefault="004C7180">
      <w:pPr>
        <w:rPr>
          <w:sz w:val="20"/>
        </w:rPr>
        <w:sectPr w:rsidR="004C7180" w:rsidRPr="00150EDC">
          <w:footerReference w:type="default" r:id="rId124"/>
          <w:pgSz w:w="16840" w:h="11910" w:orient="landscape"/>
          <w:pgMar w:top="1340" w:right="1320" w:bottom="280" w:left="1340" w:header="0" w:footer="0" w:gutter="0"/>
          <w:cols w:space="720"/>
        </w:sectPr>
      </w:pPr>
    </w:p>
    <w:p w14:paraId="2563CB88" w14:textId="77777777" w:rsidR="004C7180" w:rsidRPr="00150EDC" w:rsidRDefault="004C7180">
      <w:pPr>
        <w:pStyle w:val="BodyText"/>
        <w:spacing w:before="3"/>
        <w:rPr>
          <w:sz w:val="8"/>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517"/>
        <w:gridCol w:w="7427"/>
      </w:tblGrid>
      <w:tr w:rsidR="004569EE" w:rsidRPr="007D3144" w14:paraId="36E80907" w14:textId="77777777">
        <w:trPr>
          <w:trHeight w:val="254"/>
        </w:trPr>
        <w:tc>
          <w:tcPr>
            <w:tcW w:w="6517" w:type="dxa"/>
          </w:tcPr>
          <w:p w14:paraId="0083F65A" w14:textId="77777777" w:rsidR="004C7180" w:rsidRPr="00150EDC" w:rsidRDefault="00CF0754">
            <w:pPr>
              <w:pStyle w:val="TableParagraph"/>
              <w:rPr>
                <w:sz w:val="20"/>
              </w:rPr>
            </w:pPr>
            <w:r w:rsidRPr="00150EDC">
              <w:rPr>
                <w:sz w:val="20"/>
              </w:rPr>
              <w:t>Children</w:t>
            </w:r>
            <w:r w:rsidRPr="00150EDC">
              <w:rPr>
                <w:spacing w:val="-10"/>
                <w:sz w:val="20"/>
              </w:rPr>
              <w:t xml:space="preserve"> </w:t>
            </w:r>
            <w:r w:rsidRPr="00150EDC">
              <w:rPr>
                <w:sz w:val="20"/>
              </w:rPr>
              <w:t>and</w:t>
            </w:r>
            <w:r w:rsidRPr="00150EDC">
              <w:rPr>
                <w:spacing w:val="-7"/>
                <w:sz w:val="20"/>
              </w:rPr>
              <w:t xml:space="preserve"> </w:t>
            </w:r>
            <w:r w:rsidRPr="00150EDC">
              <w:rPr>
                <w:sz w:val="20"/>
              </w:rPr>
              <w:t>Young</w:t>
            </w:r>
            <w:r w:rsidRPr="00150EDC">
              <w:rPr>
                <w:spacing w:val="-8"/>
                <w:sz w:val="20"/>
              </w:rPr>
              <w:t xml:space="preserve"> </w:t>
            </w:r>
            <w:r w:rsidRPr="00150EDC">
              <w:rPr>
                <w:sz w:val="20"/>
              </w:rPr>
              <w:t>Persons</w:t>
            </w:r>
            <w:r w:rsidRPr="00150EDC">
              <w:rPr>
                <w:spacing w:val="-2"/>
                <w:sz w:val="20"/>
              </w:rPr>
              <w:t xml:space="preserve"> </w:t>
            </w:r>
            <w:r w:rsidRPr="00150EDC">
              <w:rPr>
                <w:sz w:val="20"/>
              </w:rPr>
              <w:t>(Guernsey)</w:t>
            </w:r>
            <w:r w:rsidRPr="00150EDC">
              <w:rPr>
                <w:spacing w:val="-7"/>
                <w:sz w:val="20"/>
              </w:rPr>
              <w:t xml:space="preserve"> </w:t>
            </w:r>
            <w:r w:rsidRPr="00150EDC">
              <w:rPr>
                <w:sz w:val="20"/>
              </w:rPr>
              <w:t>Law</w:t>
            </w:r>
            <w:r w:rsidRPr="00150EDC">
              <w:rPr>
                <w:spacing w:val="-6"/>
                <w:sz w:val="20"/>
              </w:rPr>
              <w:t xml:space="preserve"> </w:t>
            </w:r>
            <w:r w:rsidRPr="00150EDC">
              <w:rPr>
                <w:sz w:val="20"/>
              </w:rPr>
              <w:t>1967,</w:t>
            </w:r>
            <w:r w:rsidRPr="00150EDC">
              <w:rPr>
                <w:spacing w:val="-7"/>
                <w:sz w:val="20"/>
              </w:rPr>
              <w:t xml:space="preserve"> </w:t>
            </w:r>
            <w:r w:rsidRPr="00150EDC">
              <w:rPr>
                <w:spacing w:val="-2"/>
                <w:sz w:val="20"/>
              </w:rPr>
              <w:t>s11(11)(a)</w:t>
            </w:r>
          </w:p>
        </w:tc>
        <w:tc>
          <w:tcPr>
            <w:tcW w:w="7427" w:type="dxa"/>
          </w:tcPr>
          <w:p w14:paraId="618E9B48" w14:textId="77777777" w:rsidR="004C7180" w:rsidRPr="00150EDC" w:rsidRDefault="00CF0754">
            <w:pPr>
              <w:pStyle w:val="TableParagraph"/>
              <w:rPr>
                <w:sz w:val="20"/>
              </w:rPr>
            </w:pPr>
            <w:r w:rsidRPr="00150EDC">
              <w:rPr>
                <w:sz w:val="20"/>
              </w:rPr>
              <w:t>Assist</w:t>
            </w:r>
            <w:r w:rsidRPr="00150EDC">
              <w:rPr>
                <w:spacing w:val="-4"/>
                <w:sz w:val="20"/>
              </w:rPr>
              <w:t xml:space="preserve"> </w:t>
            </w:r>
            <w:r w:rsidRPr="00150EDC">
              <w:rPr>
                <w:sz w:val="20"/>
              </w:rPr>
              <w:t>or</w:t>
            </w:r>
            <w:r w:rsidRPr="00150EDC">
              <w:rPr>
                <w:spacing w:val="-4"/>
                <w:sz w:val="20"/>
              </w:rPr>
              <w:t xml:space="preserve"> </w:t>
            </w:r>
            <w:r w:rsidRPr="00150EDC">
              <w:rPr>
                <w:sz w:val="20"/>
              </w:rPr>
              <w:t>induce</w:t>
            </w:r>
            <w:r w:rsidRPr="00150EDC">
              <w:rPr>
                <w:spacing w:val="1"/>
                <w:sz w:val="20"/>
              </w:rPr>
              <w:t xml:space="preserve"> </w:t>
            </w:r>
            <w:r w:rsidRPr="00150EDC">
              <w:rPr>
                <w:sz w:val="20"/>
              </w:rPr>
              <w:t>a</w:t>
            </w:r>
            <w:r w:rsidRPr="00150EDC">
              <w:rPr>
                <w:spacing w:val="-4"/>
                <w:sz w:val="20"/>
              </w:rPr>
              <w:t xml:space="preserve"> </w:t>
            </w:r>
            <w:r w:rsidRPr="00150EDC">
              <w:rPr>
                <w:sz w:val="20"/>
              </w:rPr>
              <w:t>child</w:t>
            </w:r>
            <w:r w:rsidRPr="00150EDC">
              <w:rPr>
                <w:spacing w:val="-4"/>
                <w:sz w:val="20"/>
              </w:rPr>
              <w:t xml:space="preserve"> </w:t>
            </w:r>
            <w:r w:rsidRPr="00150EDC">
              <w:rPr>
                <w:sz w:val="20"/>
              </w:rPr>
              <w:t>or</w:t>
            </w:r>
            <w:r w:rsidRPr="00150EDC">
              <w:rPr>
                <w:spacing w:val="-5"/>
                <w:sz w:val="20"/>
              </w:rPr>
              <w:t xml:space="preserve"> </w:t>
            </w:r>
            <w:r w:rsidRPr="00150EDC">
              <w:rPr>
                <w:sz w:val="20"/>
              </w:rPr>
              <w:t>young</w:t>
            </w:r>
            <w:r w:rsidRPr="00150EDC">
              <w:rPr>
                <w:spacing w:val="-4"/>
                <w:sz w:val="20"/>
              </w:rPr>
              <w:t xml:space="preserve"> </w:t>
            </w:r>
            <w:r w:rsidRPr="00150EDC">
              <w:rPr>
                <w:sz w:val="20"/>
              </w:rPr>
              <w:t>person</w:t>
            </w:r>
            <w:r w:rsidRPr="00150EDC">
              <w:rPr>
                <w:spacing w:val="1"/>
                <w:sz w:val="20"/>
              </w:rPr>
              <w:t xml:space="preserve"> </w:t>
            </w:r>
            <w:r w:rsidRPr="00150EDC">
              <w:rPr>
                <w:sz w:val="20"/>
              </w:rPr>
              <w:t>to</w:t>
            </w:r>
            <w:r w:rsidRPr="00150EDC">
              <w:rPr>
                <w:spacing w:val="-4"/>
                <w:sz w:val="20"/>
              </w:rPr>
              <w:t xml:space="preserve"> </w:t>
            </w:r>
            <w:r w:rsidRPr="00150EDC">
              <w:rPr>
                <w:sz w:val="20"/>
              </w:rPr>
              <w:t>escape</w:t>
            </w:r>
            <w:r w:rsidRPr="00150EDC">
              <w:rPr>
                <w:spacing w:val="-4"/>
                <w:sz w:val="20"/>
              </w:rPr>
              <w:t xml:space="preserve"> </w:t>
            </w:r>
            <w:r w:rsidRPr="00150EDC">
              <w:rPr>
                <w:sz w:val="20"/>
              </w:rPr>
              <w:t>from</w:t>
            </w:r>
            <w:r w:rsidRPr="00150EDC">
              <w:rPr>
                <w:spacing w:val="-4"/>
                <w:sz w:val="20"/>
              </w:rPr>
              <w:t xml:space="preserve"> </w:t>
            </w:r>
            <w:r w:rsidRPr="00150EDC">
              <w:rPr>
                <w:spacing w:val="-2"/>
                <w:sz w:val="20"/>
              </w:rPr>
              <w:t>custody</w:t>
            </w:r>
          </w:p>
        </w:tc>
      </w:tr>
      <w:tr w:rsidR="004569EE" w:rsidRPr="007D3144" w14:paraId="0C729778" w14:textId="77777777">
        <w:trPr>
          <w:trHeight w:val="255"/>
        </w:trPr>
        <w:tc>
          <w:tcPr>
            <w:tcW w:w="6517" w:type="dxa"/>
          </w:tcPr>
          <w:p w14:paraId="7EAF17BF" w14:textId="77777777" w:rsidR="004C7180" w:rsidRPr="00150EDC" w:rsidRDefault="00CF0754">
            <w:pPr>
              <w:pStyle w:val="TableParagraph"/>
              <w:spacing w:before="28"/>
              <w:rPr>
                <w:sz w:val="20"/>
              </w:rPr>
            </w:pPr>
            <w:r w:rsidRPr="00150EDC">
              <w:rPr>
                <w:sz w:val="20"/>
              </w:rPr>
              <w:t>Children</w:t>
            </w:r>
            <w:r w:rsidRPr="00150EDC">
              <w:rPr>
                <w:spacing w:val="-10"/>
                <w:sz w:val="20"/>
              </w:rPr>
              <w:t xml:space="preserve"> </w:t>
            </w:r>
            <w:r w:rsidRPr="00150EDC">
              <w:rPr>
                <w:sz w:val="20"/>
              </w:rPr>
              <w:t>and</w:t>
            </w:r>
            <w:r w:rsidRPr="00150EDC">
              <w:rPr>
                <w:spacing w:val="-7"/>
                <w:sz w:val="20"/>
              </w:rPr>
              <w:t xml:space="preserve"> </w:t>
            </w:r>
            <w:r w:rsidRPr="00150EDC">
              <w:rPr>
                <w:sz w:val="20"/>
              </w:rPr>
              <w:t>Young</w:t>
            </w:r>
            <w:r w:rsidRPr="00150EDC">
              <w:rPr>
                <w:spacing w:val="-6"/>
                <w:sz w:val="20"/>
              </w:rPr>
              <w:t xml:space="preserve"> </w:t>
            </w:r>
            <w:r w:rsidRPr="00150EDC">
              <w:rPr>
                <w:sz w:val="20"/>
              </w:rPr>
              <w:t>Persons</w:t>
            </w:r>
            <w:r w:rsidRPr="00150EDC">
              <w:rPr>
                <w:spacing w:val="-2"/>
                <w:sz w:val="20"/>
              </w:rPr>
              <w:t xml:space="preserve"> </w:t>
            </w:r>
            <w:r w:rsidRPr="00150EDC">
              <w:rPr>
                <w:sz w:val="20"/>
              </w:rPr>
              <w:t>(Guernsey)</w:t>
            </w:r>
            <w:r w:rsidRPr="00150EDC">
              <w:rPr>
                <w:spacing w:val="-8"/>
                <w:sz w:val="20"/>
              </w:rPr>
              <w:t xml:space="preserve"> </w:t>
            </w:r>
            <w:r w:rsidRPr="00150EDC">
              <w:rPr>
                <w:sz w:val="20"/>
              </w:rPr>
              <w:t>Law</w:t>
            </w:r>
            <w:r w:rsidRPr="00150EDC">
              <w:rPr>
                <w:spacing w:val="-5"/>
                <w:sz w:val="20"/>
              </w:rPr>
              <w:t xml:space="preserve"> </w:t>
            </w:r>
            <w:r w:rsidRPr="00150EDC">
              <w:rPr>
                <w:sz w:val="20"/>
              </w:rPr>
              <w:t>1967,</w:t>
            </w:r>
            <w:r w:rsidRPr="00150EDC">
              <w:rPr>
                <w:spacing w:val="-7"/>
                <w:sz w:val="20"/>
              </w:rPr>
              <w:t xml:space="preserve"> </w:t>
            </w:r>
            <w:r w:rsidRPr="00150EDC">
              <w:rPr>
                <w:spacing w:val="-2"/>
                <w:sz w:val="20"/>
              </w:rPr>
              <w:t>s11(11)(b)</w:t>
            </w:r>
          </w:p>
        </w:tc>
        <w:tc>
          <w:tcPr>
            <w:tcW w:w="7427" w:type="dxa"/>
          </w:tcPr>
          <w:p w14:paraId="1E2F0229" w14:textId="77777777" w:rsidR="004C7180" w:rsidRPr="00150EDC" w:rsidRDefault="00CF0754">
            <w:pPr>
              <w:pStyle w:val="TableParagraph"/>
              <w:spacing w:before="28"/>
              <w:rPr>
                <w:sz w:val="20"/>
              </w:rPr>
            </w:pPr>
            <w:r w:rsidRPr="00150EDC">
              <w:rPr>
                <w:sz w:val="20"/>
              </w:rPr>
              <w:t>Without</w:t>
            </w:r>
            <w:r w:rsidRPr="00150EDC">
              <w:rPr>
                <w:spacing w:val="-7"/>
                <w:sz w:val="20"/>
              </w:rPr>
              <w:t xml:space="preserve"> </w:t>
            </w:r>
            <w:r w:rsidRPr="00150EDC">
              <w:rPr>
                <w:sz w:val="20"/>
              </w:rPr>
              <w:t>lawful</w:t>
            </w:r>
            <w:r w:rsidRPr="00150EDC">
              <w:rPr>
                <w:spacing w:val="-3"/>
                <w:sz w:val="20"/>
              </w:rPr>
              <w:t xml:space="preserve"> </w:t>
            </w:r>
            <w:r w:rsidRPr="00150EDC">
              <w:rPr>
                <w:sz w:val="20"/>
              </w:rPr>
              <w:t>authority</w:t>
            </w:r>
            <w:r w:rsidRPr="00150EDC">
              <w:rPr>
                <w:spacing w:val="-3"/>
                <w:sz w:val="20"/>
              </w:rPr>
              <w:t xml:space="preserve"> </w:t>
            </w:r>
            <w:r w:rsidRPr="00150EDC">
              <w:rPr>
                <w:sz w:val="20"/>
              </w:rPr>
              <w:t>take a</w:t>
            </w:r>
            <w:r w:rsidRPr="00150EDC">
              <w:rPr>
                <w:spacing w:val="-5"/>
                <w:sz w:val="20"/>
              </w:rPr>
              <w:t xml:space="preserve"> </w:t>
            </w:r>
            <w:r w:rsidRPr="00150EDC">
              <w:rPr>
                <w:sz w:val="20"/>
              </w:rPr>
              <w:t>child</w:t>
            </w:r>
            <w:r w:rsidRPr="00150EDC">
              <w:rPr>
                <w:spacing w:val="-4"/>
                <w:sz w:val="20"/>
              </w:rPr>
              <w:t xml:space="preserve"> </w:t>
            </w:r>
            <w:r w:rsidRPr="00150EDC">
              <w:rPr>
                <w:sz w:val="20"/>
              </w:rPr>
              <w:t>or</w:t>
            </w:r>
            <w:r w:rsidRPr="00150EDC">
              <w:rPr>
                <w:spacing w:val="-5"/>
                <w:sz w:val="20"/>
              </w:rPr>
              <w:t xml:space="preserve"> </w:t>
            </w:r>
            <w:r w:rsidRPr="00150EDC">
              <w:rPr>
                <w:sz w:val="20"/>
              </w:rPr>
              <w:t>young</w:t>
            </w:r>
            <w:r w:rsidRPr="00150EDC">
              <w:rPr>
                <w:spacing w:val="-4"/>
                <w:sz w:val="20"/>
              </w:rPr>
              <w:t xml:space="preserve"> </w:t>
            </w:r>
            <w:r w:rsidRPr="00150EDC">
              <w:rPr>
                <w:sz w:val="20"/>
              </w:rPr>
              <w:t>person away</w:t>
            </w:r>
            <w:r w:rsidRPr="00150EDC">
              <w:rPr>
                <w:spacing w:val="-4"/>
                <w:sz w:val="20"/>
              </w:rPr>
              <w:t xml:space="preserve"> </w:t>
            </w:r>
            <w:r w:rsidRPr="00150EDC">
              <w:rPr>
                <w:sz w:val="20"/>
              </w:rPr>
              <w:t>from</w:t>
            </w:r>
            <w:r w:rsidRPr="00150EDC">
              <w:rPr>
                <w:spacing w:val="-4"/>
                <w:sz w:val="20"/>
              </w:rPr>
              <w:t xml:space="preserve"> </w:t>
            </w:r>
            <w:r w:rsidRPr="00150EDC">
              <w:rPr>
                <w:spacing w:val="-2"/>
                <w:sz w:val="20"/>
              </w:rPr>
              <w:t>custody</w:t>
            </w:r>
          </w:p>
        </w:tc>
      </w:tr>
      <w:tr w:rsidR="004569EE" w:rsidRPr="007D3144" w14:paraId="08DB3C5A" w14:textId="77777777">
        <w:trPr>
          <w:trHeight w:val="460"/>
        </w:trPr>
        <w:tc>
          <w:tcPr>
            <w:tcW w:w="6517" w:type="dxa"/>
          </w:tcPr>
          <w:p w14:paraId="23298F64" w14:textId="77777777" w:rsidR="004C7180" w:rsidRPr="00150EDC" w:rsidRDefault="004C7180">
            <w:pPr>
              <w:pStyle w:val="TableParagraph"/>
              <w:spacing w:before="2" w:line="240" w:lineRule="auto"/>
              <w:ind w:left="0"/>
              <w:rPr>
                <w:sz w:val="20"/>
              </w:rPr>
            </w:pPr>
          </w:p>
          <w:p w14:paraId="0C6EBD08" w14:textId="77777777" w:rsidR="004C7180" w:rsidRPr="00150EDC" w:rsidRDefault="00CF0754">
            <w:pPr>
              <w:pStyle w:val="TableParagraph"/>
              <w:spacing w:before="0"/>
              <w:rPr>
                <w:sz w:val="20"/>
              </w:rPr>
            </w:pPr>
            <w:r w:rsidRPr="00150EDC">
              <w:rPr>
                <w:sz w:val="20"/>
              </w:rPr>
              <w:t>Children</w:t>
            </w:r>
            <w:r w:rsidRPr="00150EDC">
              <w:rPr>
                <w:spacing w:val="-10"/>
                <w:sz w:val="20"/>
              </w:rPr>
              <w:t xml:space="preserve"> </w:t>
            </w:r>
            <w:r w:rsidRPr="00150EDC">
              <w:rPr>
                <w:sz w:val="20"/>
              </w:rPr>
              <w:t>and</w:t>
            </w:r>
            <w:r w:rsidRPr="00150EDC">
              <w:rPr>
                <w:spacing w:val="-7"/>
                <w:sz w:val="20"/>
              </w:rPr>
              <w:t xml:space="preserve"> </w:t>
            </w:r>
            <w:r w:rsidRPr="00150EDC">
              <w:rPr>
                <w:sz w:val="20"/>
              </w:rPr>
              <w:t>Young</w:t>
            </w:r>
            <w:r w:rsidRPr="00150EDC">
              <w:rPr>
                <w:spacing w:val="-8"/>
                <w:sz w:val="20"/>
              </w:rPr>
              <w:t xml:space="preserve"> </w:t>
            </w:r>
            <w:r w:rsidRPr="00150EDC">
              <w:rPr>
                <w:sz w:val="20"/>
              </w:rPr>
              <w:t>Persons</w:t>
            </w:r>
            <w:r w:rsidRPr="00150EDC">
              <w:rPr>
                <w:spacing w:val="-2"/>
                <w:sz w:val="20"/>
              </w:rPr>
              <w:t xml:space="preserve"> </w:t>
            </w:r>
            <w:r w:rsidRPr="00150EDC">
              <w:rPr>
                <w:sz w:val="20"/>
              </w:rPr>
              <w:t>(Guernsey)</w:t>
            </w:r>
            <w:r w:rsidRPr="00150EDC">
              <w:rPr>
                <w:spacing w:val="-7"/>
                <w:sz w:val="20"/>
              </w:rPr>
              <w:t xml:space="preserve"> </w:t>
            </w:r>
            <w:r w:rsidRPr="00150EDC">
              <w:rPr>
                <w:sz w:val="20"/>
              </w:rPr>
              <w:t>Law</w:t>
            </w:r>
            <w:r w:rsidRPr="00150EDC">
              <w:rPr>
                <w:spacing w:val="-6"/>
                <w:sz w:val="20"/>
              </w:rPr>
              <w:t xml:space="preserve"> </w:t>
            </w:r>
            <w:r w:rsidRPr="00150EDC">
              <w:rPr>
                <w:sz w:val="20"/>
              </w:rPr>
              <w:t>1967,</w:t>
            </w:r>
            <w:r w:rsidRPr="00150EDC">
              <w:rPr>
                <w:spacing w:val="-7"/>
                <w:sz w:val="20"/>
              </w:rPr>
              <w:t xml:space="preserve"> </w:t>
            </w:r>
            <w:r w:rsidRPr="00150EDC">
              <w:rPr>
                <w:spacing w:val="-2"/>
                <w:sz w:val="20"/>
              </w:rPr>
              <w:t>s11(11)(c)</w:t>
            </w:r>
          </w:p>
        </w:tc>
        <w:tc>
          <w:tcPr>
            <w:tcW w:w="7427" w:type="dxa"/>
          </w:tcPr>
          <w:p w14:paraId="0F569D3F" w14:textId="77777777" w:rsidR="004C7180" w:rsidRPr="00150EDC" w:rsidRDefault="00CF0754">
            <w:pPr>
              <w:pStyle w:val="TableParagraph"/>
              <w:spacing w:before="0" w:line="230" w:lineRule="atLeast"/>
              <w:ind w:right="186"/>
              <w:rPr>
                <w:sz w:val="20"/>
              </w:rPr>
            </w:pPr>
            <w:r w:rsidRPr="00150EDC">
              <w:rPr>
                <w:sz w:val="20"/>
              </w:rPr>
              <w:t>Harbour</w:t>
            </w:r>
            <w:r w:rsidRPr="00150EDC">
              <w:rPr>
                <w:spacing w:val="-5"/>
                <w:sz w:val="20"/>
              </w:rPr>
              <w:t xml:space="preserve"> </w:t>
            </w:r>
            <w:r w:rsidRPr="00150EDC">
              <w:rPr>
                <w:sz w:val="20"/>
              </w:rPr>
              <w:t>or</w:t>
            </w:r>
            <w:r w:rsidRPr="00150EDC">
              <w:rPr>
                <w:spacing w:val="-5"/>
                <w:sz w:val="20"/>
              </w:rPr>
              <w:t xml:space="preserve"> </w:t>
            </w:r>
            <w:r w:rsidRPr="00150EDC">
              <w:rPr>
                <w:sz w:val="20"/>
              </w:rPr>
              <w:t>conceal a</w:t>
            </w:r>
            <w:r w:rsidRPr="00150EDC">
              <w:rPr>
                <w:spacing w:val="-5"/>
                <w:sz w:val="20"/>
              </w:rPr>
              <w:t xml:space="preserve"> </w:t>
            </w:r>
            <w:r w:rsidRPr="00150EDC">
              <w:rPr>
                <w:sz w:val="20"/>
              </w:rPr>
              <w:t>child</w:t>
            </w:r>
            <w:r w:rsidRPr="00150EDC">
              <w:rPr>
                <w:spacing w:val="-5"/>
                <w:sz w:val="20"/>
              </w:rPr>
              <w:t xml:space="preserve"> </w:t>
            </w:r>
            <w:r w:rsidRPr="00150EDC">
              <w:rPr>
                <w:sz w:val="20"/>
              </w:rPr>
              <w:t>or</w:t>
            </w:r>
            <w:r w:rsidRPr="00150EDC">
              <w:rPr>
                <w:spacing w:val="-5"/>
                <w:sz w:val="20"/>
              </w:rPr>
              <w:t xml:space="preserve"> </w:t>
            </w:r>
            <w:r w:rsidRPr="00150EDC">
              <w:rPr>
                <w:sz w:val="20"/>
              </w:rPr>
              <w:t>young</w:t>
            </w:r>
            <w:r w:rsidRPr="00150EDC">
              <w:rPr>
                <w:spacing w:val="-5"/>
                <w:sz w:val="20"/>
              </w:rPr>
              <w:t xml:space="preserve"> </w:t>
            </w:r>
            <w:r w:rsidRPr="00150EDC">
              <w:rPr>
                <w:sz w:val="20"/>
              </w:rPr>
              <w:t>person</w:t>
            </w:r>
            <w:r w:rsidRPr="00150EDC">
              <w:rPr>
                <w:spacing w:val="-5"/>
                <w:sz w:val="20"/>
              </w:rPr>
              <w:t xml:space="preserve"> </w:t>
            </w:r>
            <w:r w:rsidRPr="00150EDC">
              <w:rPr>
                <w:sz w:val="20"/>
              </w:rPr>
              <w:t>who</w:t>
            </w:r>
            <w:r w:rsidRPr="00150EDC">
              <w:rPr>
                <w:spacing w:val="-5"/>
                <w:sz w:val="20"/>
              </w:rPr>
              <w:t xml:space="preserve"> </w:t>
            </w:r>
            <w:r w:rsidRPr="00150EDC">
              <w:rPr>
                <w:sz w:val="20"/>
              </w:rPr>
              <w:t>has escaped</w:t>
            </w:r>
            <w:r w:rsidRPr="00150EDC">
              <w:rPr>
                <w:spacing w:val="-5"/>
                <w:sz w:val="20"/>
              </w:rPr>
              <w:t xml:space="preserve"> </w:t>
            </w:r>
            <w:r w:rsidRPr="00150EDC">
              <w:rPr>
                <w:sz w:val="20"/>
              </w:rPr>
              <w:t>or</w:t>
            </w:r>
            <w:r w:rsidRPr="00150EDC">
              <w:rPr>
                <w:spacing w:val="-1"/>
                <w:sz w:val="20"/>
              </w:rPr>
              <w:t xml:space="preserve"> </w:t>
            </w:r>
            <w:r w:rsidRPr="00150EDC">
              <w:rPr>
                <w:sz w:val="20"/>
              </w:rPr>
              <w:t>been</w:t>
            </w:r>
            <w:r w:rsidRPr="00150EDC">
              <w:rPr>
                <w:spacing w:val="-5"/>
                <w:sz w:val="20"/>
              </w:rPr>
              <w:t xml:space="preserve"> </w:t>
            </w:r>
            <w:r w:rsidRPr="00150EDC">
              <w:rPr>
                <w:sz w:val="20"/>
              </w:rPr>
              <w:t>taken away from custody</w:t>
            </w:r>
          </w:p>
        </w:tc>
      </w:tr>
      <w:tr w:rsidR="004569EE" w:rsidRPr="007D3144" w14:paraId="112B6EF9" w14:textId="77777777">
        <w:trPr>
          <w:trHeight w:val="255"/>
        </w:trPr>
        <w:tc>
          <w:tcPr>
            <w:tcW w:w="6517" w:type="dxa"/>
          </w:tcPr>
          <w:p w14:paraId="5DA70097" w14:textId="77777777" w:rsidR="004C7180" w:rsidRPr="00150EDC" w:rsidRDefault="00CF0754">
            <w:pPr>
              <w:pStyle w:val="TableParagraph"/>
              <w:rPr>
                <w:sz w:val="20"/>
              </w:rPr>
            </w:pPr>
            <w:r w:rsidRPr="00150EDC">
              <w:rPr>
                <w:sz w:val="20"/>
              </w:rPr>
              <w:t>Children</w:t>
            </w:r>
            <w:r w:rsidRPr="00150EDC">
              <w:rPr>
                <w:spacing w:val="-10"/>
                <w:sz w:val="20"/>
              </w:rPr>
              <w:t xml:space="preserve"> </w:t>
            </w:r>
            <w:r w:rsidRPr="00150EDC">
              <w:rPr>
                <w:sz w:val="20"/>
              </w:rPr>
              <w:t>and</w:t>
            </w:r>
            <w:r w:rsidRPr="00150EDC">
              <w:rPr>
                <w:spacing w:val="-7"/>
                <w:sz w:val="20"/>
              </w:rPr>
              <w:t xml:space="preserve"> </w:t>
            </w:r>
            <w:r w:rsidRPr="00150EDC">
              <w:rPr>
                <w:sz w:val="20"/>
              </w:rPr>
              <w:t>Young</w:t>
            </w:r>
            <w:r w:rsidRPr="00150EDC">
              <w:rPr>
                <w:spacing w:val="-8"/>
                <w:sz w:val="20"/>
              </w:rPr>
              <w:t xml:space="preserve"> </w:t>
            </w:r>
            <w:r w:rsidRPr="00150EDC">
              <w:rPr>
                <w:sz w:val="20"/>
              </w:rPr>
              <w:t>Persons</w:t>
            </w:r>
            <w:r w:rsidRPr="00150EDC">
              <w:rPr>
                <w:spacing w:val="-2"/>
                <w:sz w:val="20"/>
              </w:rPr>
              <w:t xml:space="preserve"> </w:t>
            </w:r>
            <w:r w:rsidRPr="00150EDC">
              <w:rPr>
                <w:sz w:val="20"/>
              </w:rPr>
              <w:t>(Guernsey)</w:t>
            </w:r>
            <w:r w:rsidRPr="00150EDC">
              <w:rPr>
                <w:spacing w:val="-7"/>
                <w:sz w:val="20"/>
              </w:rPr>
              <w:t xml:space="preserve"> </w:t>
            </w:r>
            <w:r w:rsidRPr="00150EDC">
              <w:rPr>
                <w:sz w:val="20"/>
              </w:rPr>
              <w:t>Law</w:t>
            </w:r>
            <w:r w:rsidRPr="00150EDC">
              <w:rPr>
                <w:spacing w:val="-6"/>
                <w:sz w:val="20"/>
              </w:rPr>
              <w:t xml:space="preserve"> </w:t>
            </w:r>
            <w:r w:rsidRPr="00150EDC">
              <w:rPr>
                <w:sz w:val="20"/>
              </w:rPr>
              <w:t>1967,</w:t>
            </w:r>
            <w:r w:rsidRPr="00150EDC">
              <w:rPr>
                <w:spacing w:val="-7"/>
                <w:sz w:val="20"/>
              </w:rPr>
              <w:t xml:space="preserve"> </w:t>
            </w:r>
            <w:r w:rsidRPr="00150EDC">
              <w:rPr>
                <w:spacing w:val="-2"/>
                <w:sz w:val="20"/>
              </w:rPr>
              <w:t>s13(2)(a)</w:t>
            </w:r>
          </w:p>
        </w:tc>
        <w:tc>
          <w:tcPr>
            <w:tcW w:w="7427" w:type="dxa"/>
          </w:tcPr>
          <w:p w14:paraId="6ACE8E06" w14:textId="77777777" w:rsidR="004C7180" w:rsidRPr="00150EDC" w:rsidRDefault="00CF0754">
            <w:pPr>
              <w:pStyle w:val="TableParagraph"/>
              <w:rPr>
                <w:sz w:val="20"/>
              </w:rPr>
            </w:pPr>
            <w:r w:rsidRPr="00150EDC">
              <w:rPr>
                <w:sz w:val="20"/>
              </w:rPr>
              <w:t>Assist</w:t>
            </w:r>
            <w:r w:rsidRPr="00150EDC">
              <w:rPr>
                <w:spacing w:val="-3"/>
                <w:sz w:val="20"/>
              </w:rPr>
              <w:t xml:space="preserve"> </w:t>
            </w:r>
            <w:r w:rsidRPr="00150EDC">
              <w:rPr>
                <w:sz w:val="20"/>
              </w:rPr>
              <w:t>or</w:t>
            </w:r>
            <w:r w:rsidRPr="00150EDC">
              <w:rPr>
                <w:spacing w:val="-4"/>
                <w:sz w:val="20"/>
              </w:rPr>
              <w:t xml:space="preserve"> </w:t>
            </w:r>
            <w:r w:rsidRPr="00150EDC">
              <w:rPr>
                <w:sz w:val="20"/>
              </w:rPr>
              <w:t>induce a</w:t>
            </w:r>
            <w:r w:rsidRPr="00150EDC">
              <w:rPr>
                <w:spacing w:val="-4"/>
                <w:sz w:val="20"/>
              </w:rPr>
              <w:t xml:space="preserve"> </w:t>
            </w:r>
            <w:r w:rsidRPr="00150EDC">
              <w:rPr>
                <w:sz w:val="20"/>
              </w:rPr>
              <w:t>child</w:t>
            </w:r>
            <w:r w:rsidRPr="00150EDC">
              <w:rPr>
                <w:spacing w:val="-3"/>
                <w:sz w:val="20"/>
              </w:rPr>
              <w:t xml:space="preserve"> </w:t>
            </w:r>
            <w:r w:rsidRPr="00150EDC">
              <w:rPr>
                <w:sz w:val="20"/>
              </w:rPr>
              <w:t>or</w:t>
            </w:r>
            <w:r w:rsidRPr="00150EDC">
              <w:rPr>
                <w:spacing w:val="-4"/>
                <w:sz w:val="20"/>
              </w:rPr>
              <w:t xml:space="preserve"> </w:t>
            </w:r>
            <w:r w:rsidRPr="00150EDC">
              <w:rPr>
                <w:sz w:val="20"/>
              </w:rPr>
              <w:t>young</w:t>
            </w:r>
            <w:r w:rsidRPr="00150EDC">
              <w:rPr>
                <w:spacing w:val="-4"/>
                <w:sz w:val="20"/>
              </w:rPr>
              <w:t xml:space="preserve"> </w:t>
            </w:r>
            <w:r w:rsidRPr="00150EDC">
              <w:rPr>
                <w:sz w:val="20"/>
              </w:rPr>
              <w:t>person</w:t>
            </w:r>
            <w:r w:rsidRPr="00150EDC">
              <w:rPr>
                <w:spacing w:val="1"/>
                <w:sz w:val="20"/>
              </w:rPr>
              <w:t xml:space="preserve"> </w:t>
            </w:r>
            <w:r w:rsidRPr="00150EDC">
              <w:rPr>
                <w:sz w:val="20"/>
              </w:rPr>
              <w:t>to</w:t>
            </w:r>
            <w:r w:rsidRPr="00150EDC">
              <w:rPr>
                <w:spacing w:val="-4"/>
                <w:sz w:val="20"/>
              </w:rPr>
              <w:t xml:space="preserve"> </w:t>
            </w:r>
            <w:r w:rsidRPr="00150EDC">
              <w:rPr>
                <w:sz w:val="20"/>
              </w:rPr>
              <w:t>run</w:t>
            </w:r>
            <w:r w:rsidRPr="00150EDC">
              <w:rPr>
                <w:spacing w:val="-4"/>
                <w:sz w:val="20"/>
              </w:rPr>
              <w:t xml:space="preserve"> </w:t>
            </w:r>
            <w:r w:rsidRPr="00150EDC">
              <w:rPr>
                <w:sz w:val="20"/>
              </w:rPr>
              <w:t>away</w:t>
            </w:r>
            <w:r w:rsidRPr="00150EDC">
              <w:rPr>
                <w:spacing w:val="-3"/>
                <w:sz w:val="20"/>
              </w:rPr>
              <w:t xml:space="preserve"> </w:t>
            </w:r>
            <w:r w:rsidRPr="00150EDC">
              <w:rPr>
                <w:sz w:val="20"/>
              </w:rPr>
              <w:t>from</w:t>
            </w:r>
            <w:r w:rsidRPr="00150EDC">
              <w:rPr>
                <w:spacing w:val="1"/>
                <w:sz w:val="20"/>
              </w:rPr>
              <w:t xml:space="preserve"> </w:t>
            </w:r>
            <w:r w:rsidRPr="00150EDC">
              <w:rPr>
                <w:spacing w:val="-4"/>
                <w:sz w:val="20"/>
              </w:rPr>
              <w:t>care</w:t>
            </w:r>
          </w:p>
        </w:tc>
      </w:tr>
      <w:tr w:rsidR="004569EE" w:rsidRPr="007D3144" w14:paraId="739D2537" w14:textId="77777777">
        <w:trPr>
          <w:trHeight w:val="255"/>
        </w:trPr>
        <w:tc>
          <w:tcPr>
            <w:tcW w:w="6517" w:type="dxa"/>
          </w:tcPr>
          <w:p w14:paraId="4A4D046C" w14:textId="77777777" w:rsidR="004C7180" w:rsidRPr="00150EDC" w:rsidRDefault="00CF0754">
            <w:pPr>
              <w:pStyle w:val="TableParagraph"/>
              <w:spacing w:before="28"/>
              <w:rPr>
                <w:sz w:val="20"/>
              </w:rPr>
            </w:pPr>
            <w:r w:rsidRPr="00150EDC">
              <w:rPr>
                <w:sz w:val="20"/>
              </w:rPr>
              <w:t>Children</w:t>
            </w:r>
            <w:r w:rsidRPr="00150EDC">
              <w:rPr>
                <w:spacing w:val="-10"/>
                <w:sz w:val="20"/>
              </w:rPr>
              <w:t xml:space="preserve"> </w:t>
            </w:r>
            <w:r w:rsidRPr="00150EDC">
              <w:rPr>
                <w:sz w:val="20"/>
              </w:rPr>
              <w:t>and</w:t>
            </w:r>
            <w:r w:rsidRPr="00150EDC">
              <w:rPr>
                <w:spacing w:val="-7"/>
                <w:sz w:val="20"/>
              </w:rPr>
              <w:t xml:space="preserve"> </w:t>
            </w:r>
            <w:r w:rsidRPr="00150EDC">
              <w:rPr>
                <w:sz w:val="20"/>
              </w:rPr>
              <w:t>Young</w:t>
            </w:r>
            <w:r w:rsidRPr="00150EDC">
              <w:rPr>
                <w:spacing w:val="-8"/>
                <w:sz w:val="20"/>
              </w:rPr>
              <w:t xml:space="preserve"> </w:t>
            </w:r>
            <w:r w:rsidRPr="00150EDC">
              <w:rPr>
                <w:sz w:val="20"/>
              </w:rPr>
              <w:t>Persons</w:t>
            </w:r>
            <w:r w:rsidRPr="00150EDC">
              <w:rPr>
                <w:spacing w:val="-2"/>
                <w:sz w:val="20"/>
              </w:rPr>
              <w:t xml:space="preserve"> </w:t>
            </w:r>
            <w:r w:rsidRPr="00150EDC">
              <w:rPr>
                <w:sz w:val="20"/>
              </w:rPr>
              <w:t>(Guernsey)</w:t>
            </w:r>
            <w:r w:rsidRPr="00150EDC">
              <w:rPr>
                <w:spacing w:val="-7"/>
                <w:sz w:val="20"/>
              </w:rPr>
              <w:t xml:space="preserve"> </w:t>
            </w:r>
            <w:r w:rsidRPr="00150EDC">
              <w:rPr>
                <w:sz w:val="20"/>
              </w:rPr>
              <w:t>Law</w:t>
            </w:r>
            <w:r w:rsidRPr="00150EDC">
              <w:rPr>
                <w:spacing w:val="-6"/>
                <w:sz w:val="20"/>
              </w:rPr>
              <w:t xml:space="preserve"> </w:t>
            </w:r>
            <w:r w:rsidRPr="00150EDC">
              <w:rPr>
                <w:sz w:val="20"/>
              </w:rPr>
              <w:t>1967,</w:t>
            </w:r>
            <w:r w:rsidRPr="00150EDC">
              <w:rPr>
                <w:spacing w:val="-7"/>
                <w:sz w:val="20"/>
              </w:rPr>
              <w:t xml:space="preserve"> </w:t>
            </w:r>
            <w:r w:rsidRPr="00150EDC">
              <w:rPr>
                <w:spacing w:val="-2"/>
                <w:sz w:val="20"/>
              </w:rPr>
              <w:t>s13(2)(b)</w:t>
            </w:r>
          </w:p>
        </w:tc>
        <w:tc>
          <w:tcPr>
            <w:tcW w:w="7427" w:type="dxa"/>
          </w:tcPr>
          <w:p w14:paraId="07AF8565" w14:textId="77777777" w:rsidR="004C7180" w:rsidRPr="00150EDC" w:rsidRDefault="00CF0754">
            <w:pPr>
              <w:pStyle w:val="TableParagraph"/>
              <w:spacing w:before="28"/>
              <w:rPr>
                <w:sz w:val="20"/>
              </w:rPr>
            </w:pPr>
            <w:r w:rsidRPr="00150EDC">
              <w:rPr>
                <w:sz w:val="20"/>
              </w:rPr>
              <w:t>Without</w:t>
            </w:r>
            <w:r w:rsidRPr="00150EDC">
              <w:rPr>
                <w:spacing w:val="-5"/>
                <w:sz w:val="20"/>
              </w:rPr>
              <w:t xml:space="preserve"> </w:t>
            </w:r>
            <w:r w:rsidRPr="00150EDC">
              <w:rPr>
                <w:sz w:val="20"/>
              </w:rPr>
              <w:t>lawful</w:t>
            </w:r>
            <w:r w:rsidRPr="00150EDC">
              <w:rPr>
                <w:spacing w:val="-3"/>
                <w:sz w:val="20"/>
              </w:rPr>
              <w:t xml:space="preserve"> </w:t>
            </w:r>
            <w:r w:rsidRPr="00150EDC">
              <w:rPr>
                <w:sz w:val="20"/>
              </w:rPr>
              <w:t>authority</w:t>
            </w:r>
            <w:r w:rsidRPr="00150EDC">
              <w:rPr>
                <w:spacing w:val="-3"/>
                <w:sz w:val="20"/>
              </w:rPr>
              <w:t xml:space="preserve"> </w:t>
            </w:r>
            <w:r w:rsidRPr="00150EDC">
              <w:rPr>
                <w:sz w:val="20"/>
              </w:rPr>
              <w:t>take a</w:t>
            </w:r>
            <w:r w:rsidRPr="00150EDC">
              <w:rPr>
                <w:spacing w:val="-5"/>
                <w:sz w:val="20"/>
              </w:rPr>
              <w:t xml:space="preserve"> </w:t>
            </w:r>
            <w:r w:rsidRPr="00150EDC">
              <w:rPr>
                <w:sz w:val="20"/>
              </w:rPr>
              <w:t>child</w:t>
            </w:r>
            <w:r w:rsidRPr="00150EDC">
              <w:rPr>
                <w:spacing w:val="-4"/>
                <w:sz w:val="20"/>
              </w:rPr>
              <w:t xml:space="preserve"> </w:t>
            </w:r>
            <w:r w:rsidRPr="00150EDC">
              <w:rPr>
                <w:sz w:val="20"/>
              </w:rPr>
              <w:t>or</w:t>
            </w:r>
            <w:r w:rsidRPr="00150EDC">
              <w:rPr>
                <w:spacing w:val="-5"/>
                <w:sz w:val="20"/>
              </w:rPr>
              <w:t xml:space="preserve"> </w:t>
            </w:r>
            <w:r w:rsidRPr="00150EDC">
              <w:rPr>
                <w:sz w:val="20"/>
              </w:rPr>
              <w:t>young</w:t>
            </w:r>
            <w:r w:rsidRPr="00150EDC">
              <w:rPr>
                <w:spacing w:val="-4"/>
                <w:sz w:val="20"/>
              </w:rPr>
              <w:t xml:space="preserve"> </w:t>
            </w:r>
            <w:r w:rsidRPr="00150EDC">
              <w:rPr>
                <w:sz w:val="20"/>
              </w:rPr>
              <w:t>person away</w:t>
            </w:r>
            <w:r w:rsidRPr="00150EDC">
              <w:rPr>
                <w:spacing w:val="-4"/>
                <w:sz w:val="20"/>
              </w:rPr>
              <w:t xml:space="preserve"> </w:t>
            </w:r>
            <w:r w:rsidRPr="00150EDC">
              <w:rPr>
                <w:sz w:val="20"/>
              </w:rPr>
              <w:t>from</w:t>
            </w:r>
            <w:r w:rsidRPr="00150EDC">
              <w:rPr>
                <w:spacing w:val="-1"/>
                <w:sz w:val="20"/>
              </w:rPr>
              <w:t xml:space="preserve"> </w:t>
            </w:r>
            <w:r w:rsidRPr="00150EDC">
              <w:rPr>
                <w:spacing w:val="-4"/>
                <w:sz w:val="20"/>
              </w:rPr>
              <w:t>care</w:t>
            </w:r>
          </w:p>
        </w:tc>
      </w:tr>
      <w:tr w:rsidR="004569EE" w:rsidRPr="007D3144" w14:paraId="14F09628" w14:textId="77777777">
        <w:trPr>
          <w:trHeight w:val="460"/>
        </w:trPr>
        <w:tc>
          <w:tcPr>
            <w:tcW w:w="6517" w:type="dxa"/>
          </w:tcPr>
          <w:p w14:paraId="6EA9B1A7" w14:textId="77777777" w:rsidR="004C7180" w:rsidRPr="00150EDC" w:rsidRDefault="004C7180">
            <w:pPr>
              <w:pStyle w:val="TableParagraph"/>
              <w:spacing w:before="2" w:line="240" w:lineRule="auto"/>
              <w:ind w:left="0"/>
              <w:rPr>
                <w:sz w:val="20"/>
              </w:rPr>
            </w:pPr>
          </w:p>
          <w:p w14:paraId="7F114B7A" w14:textId="77777777" w:rsidR="004C7180" w:rsidRPr="00150EDC" w:rsidRDefault="00CF0754">
            <w:pPr>
              <w:pStyle w:val="TableParagraph"/>
              <w:spacing w:before="0"/>
              <w:rPr>
                <w:sz w:val="20"/>
              </w:rPr>
            </w:pPr>
            <w:r w:rsidRPr="00150EDC">
              <w:rPr>
                <w:sz w:val="20"/>
              </w:rPr>
              <w:t>Children</w:t>
            </w:r>
            <w:r w:rsidRPr="00150EDC">
              <w:rPr>
                <w:spacing w:val="-10"/>
                <w:sz w:val="20"/>
              </w:rPr>
              <w:t xml:space="preserve"> </w:t>
            </w:r>
            <w:r w:rsidRPr="00150EDC">
              <w:rPr>
                <w:sz w:val="20"/>
              </w:rPr>
              <w:t>and</w:t>
            </w:r>
            <w:r w:rsidRPr="00150EDC">
              <w:rPr>
                <w:spacing w:val="-7"/>
                <w:sz w:val="20"/>
              </w:rPr>
              <w:t xml:space="preserve"> </w:t>
            </w:r>
            <w:r w:rsidRPr="00150EDC">
              <w:rPr>
                <w:sz w:val="20"/>
              </w:rPr>
              <w:t>Young</w:t>
            </w:r>
            <w:r w:rsidRPr="00150EDC">
              <w:rPr>
                <w:spacing w:val="-8"/>
                <w:sz w:val="20"/>
              </w:rPr>
              <w:t xml:space="preserve"> </w:t>
            </w:r>
            <w:r w:rsidRPr="00150EDC">
              <w:rPr>
                <w:sz w:val="20"/>
              </w:rPr>
              <w:t>Persons</w:t>
            </w:r>
            <w:r w:rsidRPr="00150EDC">
              <w:rPr>
                <w:spacing w:val="-2"/>
                <w:sz w:val="20"/>
              </w:rPr>
              <w:t xml:space="preserve"> </w:t>
            </w:r>
            <w:r w:rsidRPr="00150EDC">
              <w:rPr>
                <w:sz w:val="20"/>
              </w:rPr>
              <w:t>(Guernsey)</w:t>
            </w:r>
            <w:r w:rsidRPr="00150EDC">
              <w:rPr>
                <w:spacing w:val="-7"/>
                <w:sz w:val="20"/>
              </w:rPr>
              <w:t xml:space="preserve"> </w:t>
            </w:r>
            <w:r w:rsidRPr="00150EDC">
              <w:rPr>
                <w:sz w:val="20"/>
              </w:rPr>
              <w:t>Law</w:t>
            </w:r>
            <w:r w:rsidRPr="00150EDC">
              <w:rPr>
                <w:spacing w:val="-6"/>
                <w:sz w:val="20"/>
              </w:rPr>
              <w:t xml:space="preserve"> </w:t>
            </w:r>
            <w:r w:rsidRPr="00150EDC">
              <w:rPr>
                <w:sz w:val="20"/>
              </w:rPr>
              <w:t>1967,</w:t>
            </w:r>
            <w:r w:rsidRPr="00150EDC">
              <w:rPr>
                <w:spacing w:val="-7"/>
                <w:sz w:val="20"/>
              </w:rPr>
              <w:t xml:space="preserve"> </w:t>
            </w:r>
            <w:r w:rsidRPr="00150EDC">
              <w:rPr>
                <w:spacing w:val="-2"/>
                <w:sz w:val="20"/>
              </w:rPr>
              <w:t>s13(2)(c)</w:t>
            </w:r>
          </w:p>
        </w:tc>
        <w:tc>
          <w:tcPr>
            <w:tcW w:w="7427" w:type="dxa"/>
          </w:tcPr>
          <w:p w14:paraId="5589723E" w14:textId="77777777" w:rsidR="004C7180" w:rsidRPr="00150EDC" w:rsidRDefault="00CF0754">
            <w:pPr>
              <w:pStyle w:val="TableParagraph"/>
              <w:spacing w:before="0" w:line="230" w:lineRule="atLeast"/>
              <w:rPr>
                <w:sz w:val="20"/>
              </w:rPr>
            </w:pPr>
            <w:r w:rsidRPr="00150EDC">
              <w:rPr>
                <w:sz w:val="20"/>
              </w:rPr>
              <w:t>Harbour</w:t>
            </w:r>
            <w:r w:rsidRPr="00150EDC">
              <w:rPr>
                <w:spacing w:val="-5"/>
                <w:sz w:val="20"/>
              </w:rPr>
              <w:t xml:space="preserve"> </w:t>
            </w:r>
            <w:r w:rsidRPr="00150EDC">
              <w:rPr>
                <w:sz w:val="20"/>
              </w:rPr>
              <w:t>or</w:t>
            </w:r>
            <w:r w:rsidRPr="00150EDC">
              <w:rPr>
                <w:spacing w:val="-5"/>
                <w:sz w:val="20"/>
              </w:rPr>
              <w:t xml:space="preserve"> </w:t>
            </w:r>
            <w:r w:rsidRPr="00150EDC">
              <w:rPr>
                <w:sz w:val="20"/>
              </w:rPr>
              <w:t>conceal a</w:t>
            </w:r>
            <w:r w:rsidRPr="00150EDC">
              <w:rPr>
                <w:spacing w:val="-5"/>
                <w:sz w:val="20"/>
              </w:rPr>
              <w:t xml:space="preserve"> </w:t>
            </w:r>
            <w:r w:rsidRPr="00150EDC">
              <w:rPr>
                <w:sz w:val="20"/>
              </w:rPr>
              <w:t>child</w:t>
            </w:r>
            <w:r w:rsidRPr="00150EDC">
              <w:rPr>
                <w:spacing w:val="-5"/>
                <w:sz w:val="20"/>
              </w:rPr>
              <w:t xml:space="preserve"> </w:t>
            </w:r>
            <w:r w:rsidRPr="00150EDC">
              <w:rPr>
                <w:sz w:val="20"/>
              </w:rPr>
              <w:t>or</w:t>
            </w:r>
            <w:r w:rsidRPr="00150EDC">
              <w:rPr>
                <w:spacing w:val="-5"/>
                <w:sz w:val="20"/>
              </w:rPr>
              <w:t xml:space="preserve"> </w:t>
            </w:r>
            <w:r w:rsidRPr="00150EDC">
              <w:rPr>
                <w:sz w:val="20"/>
              </w:rPr>
              <w:t>young</w:t>
            </w:r>
            <w:r w:rsidRPr="00150EDC">
              <w:rPr>
                <w:spacing w:val="-5"/>
                <w:sz w:val="20"/>
              </w:rPr>
              <w:t xml:space="preserve"> </w:t>
            </w:r>
            <w:r w:rsidRPr="00150EDC">
              <w:rPr>
                <w:sz w:val="20"/>
              </w:rPr>
              <w:t>person</w:t>
            </w:r>
            <w:r w:rsidRPr="00150EDC">
              <w:rPr>
                <w:spacing w:val="-5"/>
                <w:sz w:val="20"/>
              </w:rPr>
              <w:t xml:space="preserve"> </w:t>
            </w:r>
            <w:r w:rsidRPr="00150EDC">
              <w:rPr>
                <w:sz w:val="20"/>
              </w:rPr>
              <w:t>who</w:t>
            </w:r>
            <w:r w:rsidRPr="00150EDC">
              <w:rPr>
                <w:spacing w:val="-5"/>
                <w:sz w:val="20"/>
              </w:rPr>
              <w:t xml:space="preserve"> </w:t>
            </w:r>
            <w:r w:rsidRPr="00150EDC">
              <w:rPr>
                <w:sz w:val="20"/>
              </w:rPr>
              <w:t>has run away</w:t>
            </w:r>
            <w:r w:rsidRPr="00150EDC">
              <w:rPr>
                <w:spacing w:val="-4"/>
                <w:sz w:val="20"/>
              </w:rPr>
              <w:t xml:space="preserve"> </w:t>
            </w:r>
            <w:r w:rsidRPr="00150EDC">
              <w:rPr>
                <w:sz w:val="20"/>
              </w:rPr>
              <w:t>/</w:t>
            </w:r>
            <w:r w:rsidRPr="00150EDC">
              <w:rPr>
                <w:spacing w:val="-5"/>
                <w:sz w:val="20"/>
              </w:rPr>
              <w:t xml:space="preserve"> </w:t>
            </w:r>
            <w:r w:rsidRPr="00150EDC">
              <w:rPr>
                <w:sz w:val="20"/>
              </w:rPr>
              <w:t>been</w:t>
            </w:r>
            <w:r w:rsidRPr="00150EDC">
              <w:rPr>
                <w:spacing w:val="-5"/>
                <w:sz w:val="20"/>
              </w:rPr>
              <w:t xml:space="preserve"> </w:t>
            </w:r>
            <w:r w:rsidRPr="00150EDC">
              <w:rPr>
                <w:sz w:val="20"/>
              </w:rPr>
              <w:t>taken</w:t>
            </w:r>
            <w:r w:rsidRPr="00150EDC">
              <w:rPr>
                <w:spacing w:val="-5"/>
                <w:sz w:val="20"/>
              </w:rPr>
              <w:t xml:space="preserve"> </w:t>
            </w:r>
            <w:r w:rsidRPr="00150EDC">
              <w:rPr>
                <w:sz w:val="20"/>
              </w:rPr>
              <w:t>away from care</w:t>
            </w:r>
          </w:p>
        </w:tc>
      </w:tr>
      <w:tr w:rsidR="004569EE" w:rsidRPr="007D3144" w14:paraId="37C04094" w14:textId="77777777">
        <w:trPr>
          <w:trHeight w:val="255"/>
        </w:trPr>
        <w:tc>
          <w:tcPr>
            <w:tcW w:w="6517" w:type="dxa"/>
          </w:tcPr>
          <w:p w14:paraId="6CBD4A01" w14:textId="77777777" w:rsidR="004C7180" w:rsidRPr="00150EDC" w:rsidRDefault="00CF0754">
            <w:pPr>
              <w:pStyle w:val="TableParagraph"/>
              <w:rPr>
                <w:sz w:val="20"/>
              </w:rPr>
            </w:pPr>
            <w:r w:rsidRPr="00150EDC">
              <w:rPr>
                <w:sz w:val="20"/>
              </w:rPr>
              <w:t>Children</w:t>
            </w:r>
            <w:r w:rsidRPr="00150EDC">
              <w:rPr>
                <w:spacing w:val="-10"/>
                <w:sz w:val="20"/>
              </w:rPr>
              <w:t xml:space="preserve"> </w:t>
            </w:r>
            <w:r w:rsidRPr="00150EDC">
              <w:rPr>
                <w:sz w:val="20"/>
              </w:rPr>
              <w:t>and</w:t>
            </w:r>
            <w:r w:rsidRPr="00150EDC">
              <w:rPr>
                <w:spacing w:val="-7"/>
                <w:sz w:val="20"/>
              </w:rPr>
              <w:t xml:space="preserve"> </w:t>
            </w:r>
            <w:r w:rsidRPr="00150EDC">
              <w:rPr>
                <w:sz w:val="20"/>
              </w:rPr>
              <w:t>Young</w:t>
            </w:r>
            <w:r w:rsidRPr="00150EDC">
              <w:rPr>
                <w:spacing w:val="-8"/>
                <w:sz w:val="20"/>
              </w:rPr>
              <w:t xml:space="preserve"> </w:t>
            </w:r>
            <w:r w:rsidRPr="00150EDC">
              <w:rPr>
                <w:sz w:val="20"/>
              </w:rPr>
              <w:t>Persons</w:t>
            </w:r>
            <w:r w:rsidRPr="00150EDC">
              <w:rPr>
                <w:spacing w:val="-2"/>
                <w:sz w:val="20"/>
              </w:rPr>
              <w:t xml:space="preserve"> </w:t>
            </w:r>
            <w:r w:rsidRPr="00150EDC">
              <w:rPr>
                <w:sz w:val="20"/>
              </w:rPr>
              <w:t>(Guernsey)</w:t>
            </w:r>
            <w:r w:rsidRPr="00150EDC">
              <w:rPr>
                <w:spacing w:val="-7"/>
                <w:sz w:val="20"/>
              </w:rPr>
              <w:t xml:space="preserve"> </w:t>
            </w:r>
            <w:r w:rsidRPr="00150EDC">
              <w:rPr>
                <w:sz w:val="20"/>
              </w:rPr>
              <w:t>Law</w:t>
            </w:r>
            <w:r w:rsidRPr="00150EDC">
              <w:rPr>
                <w:spacing w:val="-6"/>
                <w:sz w:val="20"/>
              </w:rPr>
              <w:t xml:space="preserve"> </w:t>
            </w:r>
            <w:r w:rsidRPr="00150EDC">
              <w:rPr>
                <w:sz w:val="20"/>
              </w:rPr>
              <w:t>1967,</w:t>
            </w:r>
            <w:r w:rsidRPr="00150EDC">
              <w:rPr>
                <w:spacing w:val="-7"/>
                <w:sz w:val="20"/>
              </w:rPr>
              <w:t xml:space="preserve"> </w:t>
            </w:r>
            <w:r w:rsidRPr="00150EDC">
              <w:rPr>
                <w:spacing w:val="-2"/>
                <w:sz w:val="20"/>
              </w:rPr>
              <w:t>s23(5)</w:t>
            </w:r>
          </w:p>
        </w:tc>
        <w:tc>
          <w:tcPr>
            <w:tcW w:w="7427" w:type="dxa"/>
          </w:tcPr>
          <w:p w14:paraId="34CD0186" w14:textId="77777777" w:rsidR="004C7180" w:rsidRPr="00150EDC" w:rsidRDefault="00CF0754">
            <w:pPr>
              <w:pStyle w:val="TableParagraph"/>
              <w:rPr>
                <w:sz w:val="20"/>
              </w:rPr>
            </w:pPr>
            <w:r w:rsidRPr="00150EDC">
              <w:rPr>
                <w:sz w:val="20"/>
              </w:rPr>
              <w:t>Publishing</w:t>
            </w:r>
            <w:r w:rsidRPr="00150EDC">
              <w:rPr>
                <w:spacing w:val="-6"/>
                <w:sz w:val="20"/>
              </w:rPr>
              <w:t xml:space="preserve"> </w:t>
            </w:r>
            <w:r w:rsidRPr="00150EDC">
              <w:rPr>
                <w:sz w:val="20"/>
              </w:rPr>
              <w:t>details</w:t>
            </w:r>
            <w:r w:rsidRPr="00150EDC">
              <w:rPr>
                <w:spacing w:val="-5"/>
                <w:sz w:val="20"/>
              </w:rPr>
              <w:t xml:space="preserve"> </w:t>
            </w:r>
            <w:r w:rsidRPr="00150EDC">
              <w:rPr>
                <w:sz w:val="20"/>
              </w:rPr>
              <w:t>of</w:t>
            </w:r>
            <w:r w:rsidRPr="00150EDC">
              <w:rPr>
                <w:spacing w:val="-5"/>
                <w:sz w:val="20"/>
              </w:rPr>
              <w:t xml:space="preserve"> </w:t>
            </w:r>
            <w:r w:rsidRPr="00150EDC">
              <w:rPr>
                <w:sz w:val="20"/>
              </w:rPr>
              <w:t>proceedings</w:t>
            </w:r>
            <w:r w:rsidRPr="00150EDC">
              <w:rPr>
                <w:spacing w:val="-3"/>
                <w:sz w:val="20"/>
              </w:rPr>
              <w:t xml:space="preserve"> </w:t>
            </w:r>
            <w:r w:rsidRPr="00150EDC">
              <w:rPr>
                <w:sz w:val="20"/>
              </w:rPr>
              <w:t>involving</w:t>
            </w:r>
            <w:r w:rsidRPr="00150EDC">
              <w:rPr>
                <w:spacing w:val="-6"/>
                <w:sz w:val="20"/>
              </w:rPr>
              <w:t xml:space="preserve"> </w:t>
            </w:r>
            <w:r w:rsidRPr="00150EDC">
              <w:rPr>
                <w:sz w:val="20"/>
              </w:rPr>
              <w:t>children</w:t>
            </w:r>
            <w:r w:rsidRPr="00150EDC">
              <w:rPr>
                <w:spacing w:val="-5"/>
                <w:sz w:val="20"/>
              </w:rPr>
              <w:t xml:space="preserve"> </w:t>
            </w:r>
            <w:r w:rsidRPr="00150EDC">
              <w:rPr>
                <w:sz w:val="20"/>
              </w:rPr>
              <w:t>and</w:t>
            </w:r>
            <w:r w:rsidRPr="00150EDC">
              <w:rPr>
                <w:spacing w:val="-6"/>
                <w:sz w:val="20"/>
              </w:rPr>
              <w:t xml:space="preserve"> </w:t>
            </w:r>
            <w:r w:rsidRPr="00150EDC">
              <w:rPr>
                <w:sz w:val="20"/>
              </w:rPr>
              <w:t>young</w:t>
            </w:r>
            <w:r w:rsidRPr="00150EDC">
              <w:rPr>
                <w:spacing w:val="-5"/>
                <w:sz w:val="20"/>
              </w:rPr>
              <w:t xml:space="preserve"> </w:t>
            </w:r>
            <w:r w:rsidRPr="00150EDC">
              <w:rPr>
                <w:spacing w:val="-2"/>
                <w:sz w:val="20"/>
              </w:rPr>
              <w:t>persons</w:t>
            </w:r>
          </w:p>
        </w:tc>
      </w:tr>
      <w:tr w:rsidR="004569EE" w:rsidRPr="007D3144" w14:paraId="6619A568" w14:textId="77777777">
        <w:trPr>
          <w:trHeight w:val="460"/>
        </w:trPr>
        <w:tc>
          <w:tcPr>
            <w:tcW w:w="6517" w:type="dxa"/>
          </w:tcPr>
          <w:p w14:paraId="657A51DE" w14:textId="77777777" w:rsidR="004C7180" w:rsidRPr="00150EDC" w:rsidRDefault="004C7180">
            <w:pPr>
              <w:pStyle w:val="TableParagraph"/>
              <w:spacing w:before="2" w:line="240" w:lineRule="auto"/>
              <w:ind w:left="0"/>
              <w:rPr>
                <w:sz w:val="20"/>
              </w:rPr>
            </w:pPr>
          </w:p>
          <w:p w14:paraId="20A3A544" w14:textId="77777777" w:rsidR="004C7180" w:rsidRPr="00150EDC" w:rsidRDefault="00CF0754">
            <w:pPr>
              <w:pStyle w:val="TableParagraph"/>
              <w:spacing w:before="1"/>
              <w:rPr>
                <w:sz w:val="20"/>
              </w:rPr>
            </w:pPr>
            <w:r w:rsidRPr="00150EDC">
              <w:rPr>
                <w:sz w:val="20"/>
              </w:rPr>
              <w:t>Children</w:t>
            </w:r>
            <w:r w:rsidRPr="00150EDC">
              <w:rPr>
                <w:spacing w:val="-10"/>
                <w:sz w:val="20"/>
              </w:rPr>
              <w:t xml:space="preserve"> </w:t>
            </w:r>
            <w:r w:rsidRPr="00150EDC">
              <w:rPr>
                <w:sz w:val="20"/>
              </w:rPr>
              <w:t>and</w:t>
            </w:r>
            <w:r w:rsidRPr="00150EDC">
              <w:rPr>
                <w:spacing w:val="-7"/>
                <w:sz w:val="20"/>
              </w:rPr>
              <w:t xml:space="preserve"> </w:t>
            </w:r>
            <w:r w:rsidRPr="00150EDC">
              <w:rPr>
                <w:sz w:val="20"/>
              </w:rPr>
              <w:t>Young</w:t>
            </w:r>
            <w:r w:rsidRPr="00150EDC">
              <w:rPr>
                <w:spacing w:val="-8"/>
                <w:sz w:val="20"/>
              </w:rPr>
              <w:t xml:space="preserve"> </w:t>
            </w:r>
            <w:r w:rsidRPr="00150EDC">
              <w:rPr>
                <w:sz w:val="20"/>
              </w:rPr>
              <w:t>Persons</w:t>
            </w:r>
            <w:r w:rsidRPr="00150EDC">
              <w:rPr>
                <w:spacing w:val="-2"/>
                <w:sz w:val="20"/>
              </w:rPr>
              <w:t xml:space="preserve"> </w:t>
            </w:r>
            <w:r w:rsidRPr="00150EDC">
              <w:rPr>
                <w:sz w:val="20"/>
              </w:rPr>
              <w:t>(Guernsey)</w:t>
            </w:r>
            <w:r w:rsidRPr="00150EDC">
              <w:rPr>
                <w:spacing w:val="-7"/>
                <w:sz w:val="20"/>
              </w:rPr>
              <w:t xml:space="preserve"> </w:t>
            </w:r>
            <w:r w:rsidRPr="00150EDC">
              <w:rPr>
                <w:sz w:val="20"/>
              </w:rPr>
              <w:t>Law</w:t>
            </w:r>
            <w:r w:rsidRPr="00150EDC">
              <w:rPr>
                <w:spacing w:val="-6"/>
                <w:sz w:val="20"/>
              </w:rPr>
              <w:t xml:space="preserve"> </w:t>
            </w:r>
            <w:r w:rsidRPr="00150EDC">
              <w:rPr>
                <w:sz w:val="20"/>
              </w:rPr>
              <w:t>1967,</w:t>
            </w:r>
            <w:r w:rsidRPr="00150EDC">
              <w:rPr>
                <w:spacing w:val="-7"/>
                <w:sz w:val="20"/>
              </w:rPr>
              <w:t xml:space="preserve"> </w:t>
            </w:r>
            <w:r w:rsidRPr="00150EDC">
              <w:rPr>
                <w:spacing w:val="-2"/>
                <w:sz w:val="20"/>
              </w:rPr>
              <w:t>s29(2)</w:t>
            </w:r>
          </w:p>
        </w:tc>
        <w:tc>
          <w:tcPr>
            <w:tcW w:w="7427" w:type="dxa"/>
          </w:tcPr>
          <w:p w14:paraId="4107DF98" w14:textId="77777777" w:rsidR="004C7180" w:rsidRPr="00150EDC" w:rsidRDefault="00CF0754">
            <w:pPr>
              <w:pStyle w:val="TableParagraph"/>
              <w:spacing w:before="0" w:line="230" w:lineRule="atLeast"/>
              <w:ind w:right="186"/>
              <w:rPr>
                <w:sz w:val="20"/>
              </w:rPr>
            </w:pPr>
            <w:r w:rsidRPr="00150EDC">
              <w:rPr>
                <w:sz w:val="20"/>
              </w:rPr>
              <w:t>Parent</w:t>
            </w:r>
            <w:r w:rsidRPr="00150EDC">
              <w:rPr>
                <w:spacing w:val="-5"/>
                <w:sz w:val="20"/>
              </w:rPr>
              <w:t xml:space="preserve"> </w:t>
            </w:r>
            <w:r w:rsidRPr="00150EDC">
              <w:rPr>
                <w:sz w:val="20"/>
              </w:rPr>
              <w:t>failing to</w:t>
            </w:r>
            <w:r w:rsidRPr="00150EDC">
              <w:rPr>
                <w:spacing w:val="-5"/>
                <w:sz w:val="20"/>
              </w:rPr>
              <w:t xml:space="preserve"> </w:t>
            </w:r>
            <w:r w:rsidRPr="00150EDC">
              <w:rPr>
                <w:sz w:val="20"/>
              </w:rPr>
              <w:t>notify</w:t>
            </w:r>
            <w:r w:rsidRPr="00150EDC">
              <w:rPr>
                <w:spacing w:val="-4"/>
                <w:sz w:val="20"/>
              </w:rPr>
              <w:t xml:space="preserve"> </w:t>
            </w:r>
            <w:r w:rsidRPr="00150EDC">
              <w:rPr>
                <w:sz w:val="20"/>
              </w:rPr>
              <w:t>change</w:t>
            </w:r>
            <w:r w:rsidRPr="00150EDC">
              <w:rPr>
                <w:spacing w:val="-5"/>
                <w:sz w:val="20"/>
              </w:rPr>
              <w:t xml:space="preserve"> </w:t>
            </w:r>
            <w:r w:rsidRPr="00150EDC">
              <w:rPr>
                <w:sz w:val="20"/>
              </w:rPr>
              <w:t>of address</w:t>
            </w:r>
            <w:r w:rsidRPr="00150EDC">
              <w:rPr>
                <w:spacing w:val="-4"/>
                <w:sz w:val="20"/>
              </w:rPr>
              <w:t xml:space="preserve"> </w:t>
            </w:r>
            <w:r w:rsidRPr="00150EDC">
              <w:rPr>
                <w:sz w:val="20"/>
              </w:rPr>
              <w:t>where</w:t>
            </w:r>
            <w:r w:rsidRPr="00150EDC">
              <w:rPr>
                <w:spacing w:val="-5"/>
                <w:sz w:val="20"/>
              </w:rPr>
              <w:t xml:space="preserve"> </w:t>
            </w:r>
            <w:r w:rsidRPr="00150EDC">
              <w:rPr>
                <w:sz w:val="20"/>
              </w:rPr>
              <w:t>child or</w:t>
            </w:r>
            <w:r w:rsidRPr="00150EDC">
              <w:rPr>
                <w:spacing w:val="-5"/>
                <w:sz w:val="20"/>
              </w:rPr>
              <w:t xml:space="preserve"> </w:t>
            </w:r>
            <w:r w:rsidRPr="00150EDC">
              <w:rPr>
                <w:sz w:val="20"/>
              </w:rPr>
              <w:t>young</w:t>
            </w:r>
            <w:r w:rsidRPr="00150EDC">
              <w:rPr>
                <w:spacing w:val="-5"/>
                <w:sz w:val="20"/>
              </w:rPr>
              <w:t xml:space="preserve"> </w:t>
            </w:r>
            <w:r w:rsidRPr="00150EDC">
              <w:rPr>
                <w:sz w:val="20"/>
              </w:rPr>
              <w:t>person is</w:t>
            </w:r>
            <w:r w:rsidRPr="00150EDC">
              <w:rPr>
                <w:spacing w:val="-4"/>
                <w:sz w:val="20"/>
              </w:rPr>
              <w:t xml:space="preserve"> </w:t>
            </w:r>
            <w:r w:rsidRPr="00150EDC">
              <w:rPr>
                <w:sz w:val="20"/>
              </w:rPr>
              <w:t>in</w:t>
            </w:r>
            <w:r w:rsidRPr="00150EDC">
              <w:rPr>
                <w:spacing w:val="-4"/>
                <w:sz w:val="20"/>
              </w:rPr>
              <w:t xml:space="preserve"> </w:t>
            </w:r>
            <w:r w:rsidRPr="00150EDC">
              <w:rPr>
                <w:sz w:val="20"/>
              </w:rPr>
              <w:t>care of local authority / fit person</w:t>
            </w:r>
          </w:p>
        </w:tc>
      </w:tr>
      <w:tr w:rsidR="004569EE" w:rsidRPr="007D3144" w14:paraId="0493CB8C" w14:textId="77777777">
        <w:trPr>
          <w:trHeight w:val="255"/>
        </w:trPr>
        <w:tc>
          <w:tcPr>
            <w:tcW w:w="6517" w:type="dxa"/>
          </w:tcPr>
          <w:p w14:paraId="00EB62CC" w14:textId="77777777" w:rsidR="004C7180" w:rsidRPr="00150EDC" w:rsidRDefault="00CF0754">
            <w:pPr>
              <w:pStyle w:val="TableParagraph"/>
              <w:rPr>
                <w:sz w:val="20"/>
              </w:rPr>
            </w:pPr>
            <w:r w:rsidRPr="00150EDC">
              <w:rPr>
                <w:sz w:val="20"/>
              </w:rPr>
              <w:t>Children</w:t>
            </w:r>
            <w:r w:rsidRPr="00150EDC">
              <w:rPr>
                <w:spacing w:val="-10"/>
                <w:sz w:val="20"/>
              </w:rPr>
              <w:t xml:space="preserve"> </w:t>
            </w:r>
            <w:r w:rsidRPr="00150EDC">
              <w:rPr>
                <w:sz w:val="20"/>
              </w:rPr>
              <w:t>and</w:t>
            </w:r>
            <w:r w:rsidRPr="00150EDC">
              <w:rPr>
                <w:spacing w:val="-7"/>
                <w:sz w:val="20"/>
              </w:rPr>
              <w:t xml:space="preserve"> </w:t>
            </w:r>
            <w:r w:rsidRPr="00150EDC">
              <w:rPr>
                <w:sz w:val="20"/>
              </w:rPr>
              <w:t>Young</w:t>
            </w:r>
            <w:r w:rsidRPr="00150EDC">
              <w:rPr>
                <w:spacing w:val="-8"/>
                <w:sz w:val="20"/>
              </w:rPr>
              <w:t xml:space="preserve"> </w:t>
            </w:r>
            <w:r w:rsidRPr="00150EDC">
              <w:rPr>
                <w:sz w:val="20"/>
              </w:rPr>
              <w:t>Persons</w:t>
            </w:r>
            <w:r w:rsidRPr="00150EDC">
              <w:rPr>
                <w:spacing w:val="-2"/>
                <w:sz w:val="20"/>
              </w:rPr>
              <w:t xml:space="preserve"> </w:t>
            </w:r>
            <w:r w:rsidRPr="00150EDC">
              <w:rPr>
                <w:sz w:val="20"/>
              </w:rPr>
              <w:t>(Guernsey)</w:t>
            </w:r>
            <w:r w:rsidRPr="00150EDC">
              <w:rPr>
                <w:spacing w:val="-7"/>
                <w:sz w:val="20"/>
              </w:rPr>
              <w:t xml:space="preserve"> </w:t>
            </w:r>
            <w:r w:rsidRPr="00150EDC">
              <w:rPr>
                <w:sz w:val="20"/>
              </w:rPr>
              <w:t>Law</w:t>
            </w:r>
            <w:r w:rsidRPr="00150EDC">
              <w:rPr>
                <w:spacing w:val="-6"/>
                <w:sz w:val="20"/>
              </w:rPr>
              <w:t xml:space="preserve"> </w:t>
            </w:r>
            <w:r w:rsidRPr="00150EDC">
              <w:rPr>
                <w:sz w:val="20"/>
              </w:rPr>
              <w:t>1967,</w:t>
            </w:r>
            <w:r w:rsidRPr="00150EDC">
              <w:rPr>
                <w:spacing w:val="-3"/>
                <w:sz w:val="20"/>
              </w:rPr>
              <w:t xml:space="preserve"> </w:t>
            </w:r>
            <w:r w:rsidRPr="00150EDC">
              <w:rPr>
                <w:spacing w:val="-2"/>
                <w:sz w:val="20"/>
              </w:rPr>
              <w:t>s31(6)</w:t>
            </w:r>
          </w:p>
        </w:tc>
        <w:tc>
          <w:tcPr>
            <w:tcW w:w="7427" w:type="dxa"/>
          </w:tcPr>
          <w:p w14:paraId="6139E1AE" w14:textId="77777777" w:rsidR="004C7180" w:rsidRPr="00150EDC" w:rsidRDefault="00CF0754">
            <w:pPr>
              <w:pStyle w:val="TableParagraph"/>
              <w:rPr>
                <w:sz w:val="20"/>
              </w:rPr>
            </w:pPr>
            <w:r w:rsidRPr="00150EDC">
              <w:rPr>
                <w:sz w:val="20"/>
              </w:rPr>
              <w:t>Person</w:t>
            </w:r>
            <w:r w:rsidRPr="00150EDC">
              <w:rPr>
                <w:spacing w:val="-7"/>
                <w:sz w:val="20"/>
              </w:rPr>
              <w:t xml:space="preserve"> </w:t>
            </w:r>
            <w:r w:rsidRPr="00150EDC">
              <w:rPr>
                <w:sz w:val="20"/>
              </w:rPr>
              <w:t>failing to</w:t>
            </w:r>
            <w:r w:rsidRPr="00150EDC">
              <w:rPr>
                <w:spacing w:val="-4"/>
                <w:sz w:val="20"/>
              </w:rPr>
              <w:t xml:space="preserve"> </w:t>
            </w:r>
            <w:r w:rsidRPr="00150EDC">
              <w:rPr>
                <w:sz w:val="20"/>
              </w:rPr>
              <w:t>notify</w:t>
            </w:r>
            <w:r w:rsidRPr="00150EDC">
              <w:rPr>
                <w:spacing w:val="-4"/>
                <w:sz w:val="20"/>
              </w:rPr>
              <w:t xml:space="preserve"> </w:t>
            </w:r>
            <w:r w:rsidRPr="00150EDC">
              <w:rPr>
                <w:sz w:val="20"/>
              </w:rPr>
              <w:t>change</w:t>
            </w:r>
            <w:r w:rsidRPr="00150EDC">
              <w:rPr>
                <w:spacing w:val="-4"/>
                <w:sz w:val="20"/>
              </w:rPr>
              <w:t xml:space="preserve"> </w:t>
            </w:r>
            <w:r w:rsidRPr="00150EDC">
              <w:rPr>
                <w:sz w:val="20"/>
              </w:rPr>
              <w:t>of address</w:t>
            </w:r>
            <w:r w:rsidRPr="00150EDC">
              <w:rPr>
                <w:spacing w:val="-3"/>
                <w:sz w:val="20"/>
              </w:rPr>
              <w:t xml:space="preserve"> </w:t>
            </w:r>
            <w:r w:rsidRPr="00150EDC">
              <w:rPr>
                <w:sz w:val="20"/>
              </w:rPr>
              <w:t>where</w:t>
            </w:r>
            <w:r w:rsidRPr="00150EDC">
              <w:rPr>
                <w:spacing w:val="-5"/>
                <w:sz w:val="20"/>
              </w:rPr>
              <w:t xml:space="preserve"> </w:t>
            </w:r>
            <w:r w:rsidRPr="00150EDC">
              <w:rPr>
                <w:sz w:val="20"/>
              </w:rPr>
              <w:t>subject</w:t>
            </w:r>
            <w:r w:rsidRPr="00150EDC">
              <w:rPr>
                <w:spacing w:val="-3"/>
                <w:sz w:val="20"/>
              </w:rPr>
              <w:t xml:space="preserve"> </w:t>
            </w:r>
            <w:r w:rsidRPr="00150EDC">
              <w:rPr>
                <w:sz w:val="20"/>
              </w:rPr>
              <w:t>to</w:t>
            </w:r>
            <w:r w:rsidRPr="00150EDC">
              <w:rPr>
                <w:spacing w:val="-5"/>
                <w:sz w:val="20"/>
              </w:rPr>
              <w:t xml:space="preserve"> </w:t>
            </w:r>
            <w:r w:rsidRPr="00150EDC">
              <w:rPr>
                <w:sz w:val="20"/>
              </w:rPr>
              <w:t>an</w:t>
            </w:r>
            <w:r w:rsidRPr="00150EDC">
              <w:rPr>
                <w:spacing w:val="-4"/>
                <w:sz w:val="20"/>
              </w:rPr>
              <w:t xml:space="preserve"> </w:t>
            </w:r>
            <w:r w:rsidRPr="00150EDC">
              <w:rPr>
                <w:sz w:val="20"/>
              </w:rPr>
              <w:t>arrears</w:t>
            </w:r>
            <w:r w:rsidRPr="00150EDC">
              <w:rPr>
                <w:spacing w:val="-3"/>
                <w:sz w:val="20"/>
              </w:rPr>
              <w:t xml:space="preserve"> </w:t>
            </w:r>
            <w:r w:rsidRPr="00150EDC">
              <w:rPr>
                <w:spacing w:val="-2"/>
                <w:sz w:val="20"/>
              </w:rPr>
              <w:t>order</w:t>
            </w:r>
          </w:p>
        </w:tc>
      </w:tr>
      <w:tr w:rsidR="004569EE" w:rsidRPr="007D3144" w14:paraId="38F609C3" w14:textId="77777777">
        <w:trPr>
          <w:trHeight w:val="255"/>
        </w:trPr>
        <w:tc>
          <w:tcPr>
            <w:tcW w:w="6517" w:type="dxa"/>
          </w:tcPr>
          <w:p w14:paraId="34F4780D" w14:textId="77777777" w:rsidR="004C7180" w:rsidRPr="00150EDC" w:rsidRDefault="00CF0754">
            <w:pPr>
              <w:pStyle w:val="TableParagraph"/>
              <w:rPr>
                <w:sz w:val="20"/>
              </w:rPr>
            </w:pPr>
            <w:r w:rsidRPr="00150EDC">
              <w:rPr>
                <w:sz w:val="20"/>
              </w:rPr>
              <w:t>Children</w:t>
            </w:r>
            <w:r w:rsidRPr="00150EDC">
              <w:rPr>
                <w:spacing w:val="-10"/>
                <w:sz w:val="20"/>
              </w:rPr>
              <w:t xml:space="preserve"> </w:t>
            </w:r>
            <w:r w:rsidRPr="00150EDC">
              <w:rPr>
                <w:sz w:val="20"/>
              </w:rPr>
              <w:t>and</w:t>
            </w:r>
            <w:r w:rsidRPr="00150EDC">
              <w:rPr>
                <w:spacing w:val="-7"/>
                <w:sz w:val="20"/>
              </w:rPr>
              <w:t xml:space="preserve"> </w:t>
            </w:r>
            <w:r w:rsidRPr="00150EDC">
              <w:rPr>
                <w:sz w:val="20"/>
              </w:rPr>
              <w:t>Young</w:t>
            </w:r>
            <w:r w:rsidRPr="00150EDC">
              <w:rPr>
                <w:spacing w:val="-8"/>
                <w:sz w:val="20"/>
              </w:rPr>
              <w:t xml:space="preserve"> </w:t>
            </w:r>
            <w:r w:rsidRPr="00150EDC">
              <w:rPr>
                <w:sz w:val="20"/>
              </w:rPr>
              <w:t>Persons</w:t>
            </w:r>
            <w:r w:rsidRPr="00150EDC">
              <w:rPr>
                <w:spacing w:val="-2"/>
                <w:sz w:val="20"/>
              </w:rPr>
              <w:t xml:space="preserve"> </w:t>
            </w:r>
            <w:r w:rsidRPr="00150EDC">
              <w:rPr>
                <w:sz w:val="20"/>
              </w:rPr>
              <w:t>(Guernsey)</w:t>
            </w:r>
            <w:r w:rsidRPr="00150EDC">
              <w:rPr>
                <w:spacing w:val="-7"/>
                <w:sz w:val="20"/>
              </w:rPr>
              <w:t xml:space="preserve"> </w:t>
            </w:r>
            <w:r w:rsidRPr="00150EDC">
              <w:rPr>
                <w:sz w:val="20"/>
              </w:rPr>
              <w:t>Law</w:t>
            </w:r>
            <w:r w:rsidRPr="00150EDC">
              <w:rPr>
                <w:spacing w:val="-6"/>
                <w:sz w:val="20"/>
              </w:rPr>
              <w:t xml:space="preserve"> </w:t>
            </w:r>
            <w:r w:rsidRPr="00150EDC">
              <w:rPr>
                <w:sz w:val="20"/>
              </w:rPr>
              <w:t>1967,</w:t>
            </w:r>
            <w:r w:rsidRPr="00150EDC">
              <w:rPr>
                <w:spacing w:val="-7"/>
                <w:sz w:val="20"/>
              </w:rPr>
              <w:t xml:space="preserve"> </w:t>
            </w:r>
            <w:r w:rsidRPr="00150EDC">
              <w:rPr>
                <w:spacing w:val="-4"/>
                <w:sz w:val="20"/>
              </w:rPr>
              <w:t>s9(1)</w:t>
            </w:r>
          </w:p>
        </w:tc>
        <w:tc>
          <w:tcPr>
            <w:tcW w:w="7427" w:type="dxa"/>
          </w:tcPr>
          <w:p w14:paraId="21AE5B6C" w14:textId="77777777" w:rsidR="004C7180" w:rsidRPr="00150EDC" w:rsidRDefault="00CF0754">
            <w:pPr>
              <w:pStyle w:val="TableParagraph"/>
              <w:rPr>
                <w:sz w:val="20"/>
              </w:rPr>
            </w:pPr>
            <w:r w:rsidRPr="00150EDC">
              <w:rPr>
                <w:sz w:val="20"/>
              </w:rPr>
              <w:t>Concealing</w:t>
            </w:r>
            <w:r w:rsidRPr="00150EDC">
              <w:rPr>
                <w:spacing w:val="-5"/>
                <w:sz w:val="20"/>
              </w:rPr>
              <w:t xml:space="preserve"> </w:t>
            </w:r>
            <w:r w:rsidRPr="00150EDC">
              <w:rPr>
                <w:sz w:val="20"/>
              </w:rPr>
              <w:t>a child</w:t>
            </w:r>
            <w:r w:rsidRPr="00150EDC">
              <w:rPr>
                <w:spacing w:val="-5"/>
                <w:sz w:val="20"/>
              </w:rPr>
              <w:t xml:space="preserve"> </w:t>
            </w:r>
            <w:r w:rsidRPr="00150EDC">
              <w:rPr>
                <w:sz w:val="20"/>
              </w:rPr>
              <w:t>or</w:t>
            </w:r>
            <w:r w:rsidRPr="00150EDC">
              <w:rPr>
                <w:spacing w:val="-5"/>
                <w:sz w:val="20"/>
              </w:rPr>
              <w:t xml:space="preserve"> </w:t>
            </w:r>
            <w:r w:rsidRPr="00150EDC">
              <w:rPr>
                <w:sz w:val="20"/>
              </w:rPr>
              <w:t>young</w:t>
            </w:r>
            <w:r w:rsidRPr="00150EDC">
              <w:rPr>
                <w:spacing w:val="-5"/>
                <w:sz w:val="20"/>
              </w:rPr>
              <w:t xml:space="preserve"> </w:t>
            </w:r>
            <w:r w:rsidRPr="00150EDC">
              <w:rPr>
                <w:sz w:val="20"/>
              </w:rPr>
              <w:t>person</w:t>
            </w:r>
            <w:r w:rsidRPr="00150EDC">
              <w:rPr>
                <w:spacing w:val="-5"/>
                <w:sz w:val="20"/>
              </w:rPr>
              <w:t xml:space="preserve"> </w:t>
            </w:r>
            <w:r w:rsidRPr="00150EDC">
              <w:rPr>
                <w:sz w:val="20"/>
              </w:rPr>
              <w:t>who</w:t>
            </w:r>
            <w:r w:rsidRPr="00150EDC">
              <w:rPr>
                <w:spacing w:val="-5"/>
                <w:sz w:val="20"/>
              </w:rPr>
              <w:t xml:space="preserve"> </w:t>
            </w:r>
            <w:r w:rsidRPr="00150EDC">
              <w:rPr>
                <w:sz w:val="20"/>
              </w:rPr>
              <w:t>has</w:t>
            </w:r>
            <w:r w:rsidRPr="00150EDC">
              <w:rPr>
                <w:spacing w:val="1"/>
                <w:sz w:val="20"/>
              </w:rPr>
              <w:t xml:space="preserve"> </w:t>
            </w:r>
            <w:r w:rsidRPr="00150EDC">
              <w:rPr>
                <w:sz w:val="20"/>
              </w:rPr>
              <w:t>run</w:t>
            </w:r>
            <w:r w:rsidRPr="00150EDC">
              <w:rPr>
                <w:spacing w:val="-5"/>
                <w:sz w:val="20"/>
              </w:rPr>
              <w:t xml:space="preserve"> </w:t>
            </w:r>
            <w:r w:rsidRPr="00150EDC">
              <w:rPr>
                <w:sz w:val="20"/>
              </w:rPr>
              <w:t>or</w:t>
            </w:r>
            <w:r w:rsidRPr="00150EDC">
              <w:rPr>
                <w:spacing w:val="-5"/>
                <w:sz w:val="20"/>
              </w:rPr>
              <w:t xml:space="preserve"> </w:t>
            </w:r>
            <w:r w:rsidRPr="00150EDC">
              <w:rPr>
                <w:sz w:val="20"/>
              </w:rPr>
              <w:t>been taken</w:t>
            </w:r>
            <w:r w:rsidRPr="00150EDC">
              <w:rPr>
                <w:spacing w:val="-5"/>
                <w:sz w:val="20"/>
              </w:rPr>
              <w:t xml:space="preserve"> </w:t>
            </w:r>
            <w:r w:rsidRPr="00150EDC">
              <w:rPr>
                <w:sz w:val="20"/>
              </w:rPr>
              <w:t>away</w:t>
            </w:r>
            <w:r w:rsidRPr="00150EDC">
              <w:rPr>
                <w:spacing w:val="1"/>
                <w:sz w:val="20"/>
              </w:rPr>
              <w:t xml:space="preserve"> </w:t>
            </w:r>
            <w:r w:rsidRPr="00150EDC">
              <w:rPr>
                <w:sz w:val="20"/>
              </w:rPr>
              <w:t xml:space="preserve">from </w:t>
            </w:r>
            <w:r w:rsidRPr="00150EDC">
              <w:rPr>
                <w:spacing w:val="-4"/>
                <w:sz w:val="20"/>
              </w:rPr>
              <w:t>care</w:t>
            </w:r>
          </w:p>
        </w:tc>
      </w:tr>
      <w:tr w:rsidR="004569EE" w:rsidRPr="007D3144" w14:paraId="7B83B53D" w14:textId="77777777">
        <w:trPr>
          <w:trHeight w:val="255"/>
        </w:trPr>
        <w:tc>
          <w:tcPr>
            <w:tcW w:w="6517" w:type="dxa"/>
          </w:tcPr>
          <w:p w14:paraId="51E15B46" w14:textId="77777777" w:rsidR="004C7180" w:rsidRPr="00150EDC" w:rsidRDefault="00CF0754">
            <w:pPr>
              <w:pStyle w:val="TableParagraph"/>
              <w:rPr>
                <w:sz w:val="20"/>
              </w:rPr>
            </w:pPr>
            <w:r w:rsidRPr="00150EDC">
              <w:rPr>
                <w:sz w:val="20"/>
              </w:rPr>
              <w:t>Children</w:t>
            </w:r>
            <w:r w:rsidRPr="00150EDC">
              <w:rPr>
                <w:spacing w:val="-10"/>
                <w:sz w:val="20"/>
              </w:rPr>
              <w:t xml:space="preserve"> </w:t>
            </w:r>
            <w:r w:rsidRPr="00150EDC">
              <w:rPr>
                <w:sz w:val="20"/>
              </w:rPr>
              <w:t>and</w:t>
            </w:r>
            <w:r w:rsidRPr="00150EDC">
              <w:rPr>
                <w:spacing w:val="-7"/>
                <w:sz w:val="20"/>
              </w:rPr>
              <w:t xml:space="preserve"> </w:t>
            </w:r>
            <w:r w:rsidRPr="00150EDC">
              <w:rPr>
                <w:sz w:val="20"/>
              </w:rPr>
              <w:t>Young</w:t>
            </w:r>
            <w:r w:rsidRPr="00150EDC">
              <w:rPr>
                <w:spacing w:val="-7"/>
                <w:sz w:val="20"/>
              </w:rPr>
              <w:t xml:space="preserve"> </w:t>
            </w:r>
            <w:r w:rsidRPr="00150EDC">
              <w:rPr>
                <w:sz w:val="20"/>
              </w:rPr>
              <w:t>Persons</w:t>
            </w:r>
            <w:r w:rsidRPr="00150EDC">
              <w:rPr>
                <w:spacing w:val="-1"/>
                <w:sz w:val="20"/>
              </w:rPr>
              <w:t xml:space="preserve"> </w:t>
            </w:r>
            <w:r w:rsidRPr="00150EDC">
              <w:rPr>
                <w:sz w:val="20"/>
              </w:rPr>
              <w:t>(Guernsey)</w:t>
            </w:r>
            <w:r w:rsidRPr="00150EDC">
              <w:rPr>
                <w:spacing w:val="-7"/>
                <w:sz w:val="20"/>
              </w:rPr>
              <w:t xml:space="preserve"> </w:t>
            </w:r>
            <w:r w:rsidRPr="00150EDC">
              <w:rPr>
                <w:sz w:val="20"/>
              </w:rPr>
              <w:t>Law</w:t>
            </w:r>
            <w:r w:rsidRPr="00150EDC">
              <w:rPr>
                <w:spacing w:val="-5"/>
                <w:sz w:val="20"/>
              </w:rPr>
              <w:t xml:space="preserve"> </w:t>
            </w:r>
            <w:r w:rsidRPr="00150EDC">
              <w:rPr>
                <w:sz w:val="20"/>
              </w:rPr>
              <w:t>1967,</w:t>
            </w:r>
            <w:r w:rsidRPr="00150EDC">
              <w:rPr>
                <w:spacing w:val="-7"/>
                <w:sz w:val="20"/>
              </w:rPr>
              <w:t xml:space="preserve"> </w:t>
            </w:r>
            <w:r w:rsidRPr="00150EDC">
              <w:rPr>
                <w:spacing w:val="-2"/>
                <w:sz w:val="20"/>
              </w:rPr>
              <w:t>s9(2)(a)</w:t>
            </w:r>
          </w:p>
        </w:tc>
        <w:tc>
          <w:tcPr>
            <w:tcW w:w="7427" w:type="dxa"/>
          </w:tcPr>
          <w:p w14:paraId="4D7779AD" w14:textId="77777777" w:rsidR="004C7180" w:rsidRPr="00150EDC" w:rsidRDefault="00CF0754">
            <w:pPr>
              <w:pStyle w:val="TableParagraph"/>
              <w:rPr>
                <w:sz w:val="20"/>
              </w:rPr>
            </w:pPr>
            <w:r w:rsidRPr="00150EDC">
              <w:rPr>
                <w:sz w:val="20"/>
              </w:rPr>
              <w:t>Assist</w:t>
            </w:r>
            <w:r w:rsidRPr="00150EDC">
              <w:rPr>
                <w:spacing w:val="-3"/>
                <w:sz w:val="20"/>
              </w:rPr>
              <w:t xml:space="preserve"> </w:t>
            </w:r>
            <w:r w:rsidRPr="00150EDC">
              <w:rPr>
                <w:sz w:val="20"/>
              </w:rPr>
              <w:t>or</w:t>
            </w:r>
            <w:r w:rsidRPr="00150EDC">
              <w:rPr>
                <w:spacing w:val="-4"/>
                <w:sz w:val="20"/>
              </w:rPr>
              <w:t xml:space="preserve"> </w:t>
            </w:r>
            <w:r w:rsidRPr="00150EDC">
              <w:rPr>
                <w:sz w:val="20"/>
              </w:rPr>
              <w:t>induce a</w:t>
            </w:r>
            <w:r w:rsidRPr="00150EDC">
              <w:rPr>
                <w:spacing w:val="-4"/>
                <w:sz w:val="20"/>
              </w:rPr>
              <w:t xml:space="preserve"> </w:t>
            </w:r>
            <w:r w:rsidRPr="00150EDC">
              <w:rPr>
                <w:sz w:val="20"/>
              </w:rPr>
              <w:t>child</w:t>
            </w:r>
            <w:r w:rsidRPr="00150EDC">
              <w:rPr>
                <w:spacing w:val="-3"/>
                <w:sz w:val="20"/>
              </w:rPr>
              <w:t xml:space="preserve"> </w:t>
            </w:r>
            <w:r w:rsidRPr="00150EDC">
              <w:rPr>
                <w:sz w:val="20"/>
              </w:rPr>
              <w:t>or</w:t>
            </w:r>
            <w:r w:rsidRPr="00150EDC">
              <w:rPr>
                <w:spacing w:val="-4"/>
                <w:sz w:val="20"/>
              </w:rPr>
              <w:t xml:space="preserve"> </w:t>
            </w:r>
            <w:r w:rsidRPr="00150EDC">
              <w:rPr>
                <w:sz w:val="20"/>
              </w:rPr>
              <w:t>young</w:t>
            </w:r>
            <w:r w:rsidRPr="00150EDC">
              <w:rPr>
                <w:spacing w:val="-4"/>
                <w:sz w:val="20"/>
              </w:rPr>
              <w:t xml:space="preserve"> </w:t>
            </w:r>
            <w:r w:rsidRPr="00150EDC">
              <w:rPr>
                <w:sz w:val="20"/>
              </w:rPr>
              <w:t>person</w:t>
            </w:r>
            <w:r w:rsidRPr="00150EDC">
              <w:rPr>
                <w:spacing w:val="1"/>
                <w:sz w:val="20"/>
              </w:rPr>
              <w:t xml:space="preserve"> </w:t>
            </w:r>
            <w:r w:rsidRPr="00150EDC">
              <w:rPr>
                <w:sz w:val="20"/>
              </w:rPr>
              <w:t>to</w:t>
            </w:r>
            <w:r w:rsidRPr="00150EDC">
              <w:rPr>
                <w:spacing w:val="-4"/>
                <w:sz w:val="20"/>
              </w:rPr>
              <w:t xml:space="preserve"> </w:t>
            </w:r>
            <w:r w:rsidRPr="00150EDC">
              <w:rPr>
                <w:sz w:val="20"/>
              </w:rPr>
              <w:t>run</w:t>
            </w:r>
            <w:r w:rsidRPr="00150EDC">
              <w:rPr>
                <w:spacing w:val="-4"/>
                <w:sz w:val="20"/>
              </w:rPr>
              <w:t xml:space="preserve"> </w:t>
            </w:r>
            <w:r w:rsidRPr="00150EDC">
              <w:rPr>
                <w:sz w:val="20"/>
              </w:rPr>
              <w:t>away</w:t>
            </w:r>
            <w:r w:rsidRPr="00150EDC">
              <w:rPr>
                <w:spacing w:val="-3"/>
                <w:sz w:val="20"/>
              </w:rPr>
              <w:t xml:space="preserve"> </w:t>
            </w:r>
            <w:r w:rsidRPr="00150EDC">
              <w:rPr>
                <w:sz w:val="20"/>
              </w:rPr>
              <w:t>from</w:t>
            </w:r>
            <w:r w:rsidRPr="00150EDC">
              <w:rPr>
                <w:spacing w:val="1"/>
                <w:sz w:val="20"/>
              </w:rPr>
              <w:t xml:space="preserve"> </w:t>
            </w:r>
            <w:r w:rsidRPr="00150EDC">
              <w:rPr>
                <w:spacing w:val="-4"/>
                <w:sz w:val="20"/>
              </w:rPr>
              <w:t>care</w:t>
            </w:r>
          </w:p>
        </w:tc>
      </w:tr>
      <w:tr w:rsidR="004569EE" w:rsidRPr="007D3144" w14:paraId="00CE749B" w14:textId="77777777">
        <w:trPr>
          <w:trHeight w:val="255"/>
        </w:trPr>
        <w:tc>
          <w:tcPr>
            <w:tcW w:w="6517" w:type="dxa"/>
          </w:tcPr>
          <w:p w14:paraId="06CCEBBC" w14:textId="77777777" w:rsidR="004C7180" w:rsidRPr="00150EDC" w:rsidRDefault="00CF0754">
            <w:pPr>
              <w:pStyle w:val="TableParagraph"/>
              <w:rPr>
                <w:sz w:val="20"/>
              </w:rPr>
            </w:pPr>
            <w:r w:rsidRPr="00150EDC">
              <w:rPr>
                <w:sz w:val="20"/>
              </w:rPr>
              <w:t>Children</w:t>
            </w:r>
            <w:r w:rsidRPr="00150EDC">
              <w:rPr>
                <w:spacing w:val="-10"/>
                <w:sz w:val="20"/>
              </w:rPr>
              <w:t xml:space="preserve"> </w:t>
            </w:r>
            <w:r w:rsidRPr="00150EDC">
              <w:rPr>
                <w:sz w:val="20"/>
              </w:rPr>
              <w:t>and</w:t>
            </w:r>
            <w:r w:rsidRPr="00150EDC">
              <w:rPr>
                <w:spacing w:val="-7"/>
                <w:sz w:val="20"/>
              </w:rPr>
              <w:t xml:space="preserve"> </w:t>
            </w:r>
            <w:r w:rsidRPr="00150EDC">
              <w:rPr>
                <w:sz w:val="20"/>
              </w:rPr>
              <w:t>Young</w:t>
            </w:r>
            <w:r w:rsidRPr="00150EDC">
              <w:rPr>
                <w:spacing w:val="-8"/>
                <w:sz w:val="20"/>
              </w:rPr>
              <w:t xml:space="preserve"> </w:t>
            </w:r>
            <w:r w:rsidRPr="00150EDC">
              <w:rPr>
                <w:sz w:val="20"/>
              </w:rPr>
              <w:t>Persons</w:t>
            </w:r>
            <w:r w:rsidRPr="00150EDC">
              <w:rPr>
                <w:spacing w:val="-2"/>
                <w:sz w:val="20"/>
              </w:rPr>
              <w:t xml:space="preserve"> </w:t>
            </w:r>
            <w:r w:rsidRPr="00150EDC">
              <w:rPr>
                <w:sz w:val="20"/>
              </w:rPr>
              <w:t>(Guernsey)</w:t>
            </w:r>
            <w:r w:rsidRPr="00150EDC">
              <w:rPr>
                <w:spacing w:val="-7"/>
                <w:sz w:val="20"/>
              </w:rPr>
              <w:t xml:space="preserve"> </w:t>
            </w:r>
            <w:r w:rsidRPr="00150EDC">
              <w:rPr>
                <w:sz w:val="20"/>
              </w:rPr>
              <w:t>Law</w:t>
            </w:r>
            <w:r w:rsidRPr="00150EDC">
              <w:rPr>
                <w:spacing w:val="-6"/>
                <w:sz w:val="20"/>
              </w:rPr>
              <w:t xml:space="preserve"> </w:t>
            </w:r>
            <w:r w:rsidRPr="00150EDC">
              <w:rPr>
                <w:sz w:val="20"/>
              </w:rPr>
              <w:t>1967,</w:t>
            </w:r>
            <w:r w:rsidRPr="00150EDC">
              <w:rPr>
                <w:spacing w:val="-7"/>
                <w:sz w:val="20"/>
              </w:rPr>
              <w:t xml:space="preserve"> </w:t>
            </w:r>
            <w:r w:rsidRPr="00150EDC">
              <w:rPr>
                <w:spacing w:val="-2"/>
                <w:sz w:val="20"/>
              </w:rPr>
              <w:t>s9(2)(b)</w:t>
            </w:r>
          </w:p>
        </w:tc>
        <w:tc>
          <w:tcPr>
            <w:tcW w:w="7427" w:type="dxa"/>
          </w:tcPr>
          <w:p w14:paraId="7E7C4776" w14:textId="77777777" w:rsidR="004C7180" w:rsidRPr="00150EDC" w:rsidRDefault="00CF0754">
            <w:pPr>
              <w:pStyle w:val="TableParagraph"/>
              <w:rPr>
                <w:sz w:val="20"/>
              </w:rPr>
            </w:pPr>
            <w:r w:rsidRPr="00150EDC">
              <w:rPr>
                <w:sz w:val="20"/>
              </w:rPr>
              <w:t>Without</w:t>
            </w:r>
            <w:r w:rsidRPr="00150EDC">
              <w:rPr>
                <w:spacing w:val="-5"/>
                <w:sz w:val="20"/>
              </w:rPr>
              <w:t xml:space="preserve"> </w:t>
            </w:r>
            <w:r w:rsidRPr="00150EDC">
              <w:rPr>
                <w:sz w:val="20"/>
              </w:rPr>
              <w:t>lawful</w:t>
            </w:r>
            <w:r w:rsidRPr="00150EDC">
              <w:rPr>
                <w:spacing w:val="-3"/>
                <w:sz w:val="20"/>
              </w:rPr>
              <w:t xml:space="preserve"> </w:t>
            </w:r>
            <w:r w:rsidRPr="00150EDC">
              <w:rPr>
                <w:sz w:val="20"/>
              </w:rPr>
              <w:t>authority</w:t>
            </w:r>
            <w:r w:rsidRPr="00150EDC">
              <w:rPr>
                <w:spacing w:val="-3"/>
                <w:sz w:val="20"/>
              </w:rPr>
              <w:t xml:space="preserve"> </w:t>
            </w:r>
            <w:r w:rsidRPr="00150EDC">
              <w:rPr>
                <w:sz w:val="20"/>
              </w:rPr>
              <w:t>take a</w:t>
            </w:r>
            <w:r w:rsidRPr="00150EDC">
              <w:rPr>
                <w:spacing w:val="-5"/>
                <w:sz w:val="20"/>
              </w:rPr>
              <w:t xml:space="preserve"> </w:t>
            </w:r>
            <w:r w:rsidRPr="00150EDC">
              <w:rPr>
                <w:sz w:val="20"/>
              </w:rPr>
              <w:t>child</w:t>
            </w:r>
            <w:r w:rsidRPr="00150EDC">
              <w:rPr>
                <w:spacing w:val="-4"/>
                <w:sz w:val="20"/>
              </w:rPr>
              <w:t xml:space="preserve"> </w:t>
            </w:r>
            <w:r w:rsidRPr="00150EDC">
              <w:rPr>
                <w:sz w:val="20"/>
              </w:rPr>
              <w:t>or</w:t>
            </w:r>
            <w:r w:rsidRPr="00150EDC">
              <w:rPr>
                <w:spacing w:val="-5"/>
                <w:sz w:val="20"/>
              </w:rPr>
              <w:t xml:space="preserve"> </w:t>
            </w:r>
            <w:r w:rsidRPr="00150EDC">
              <w:rPr>
                <w:sz w:val="20"/>
              </w:rPr>
              <w:t>young</w:t>
            </w:r>
            <w:r w:rsidRPr="00150EDC">
              <w:rPr>
                <w:spacing w:val="-4"/>
                <w:sz w:val="20"/>
              </w:rPr>
              <w:t xml:space="preserve"> </w:t>
            </w:r>
            <w:r w:rsidRPr="00150EDC">
              <w:rPr>
                <w:sz w:val="20"/>
              </w:rPr>
              <w:t>person away</w:t>
            </w:r>
            <w:r w:rsidRPr="00150EDC">
              <w:rPr>
                <w:spacing w:val="-4"/>
                <w:sz w:val="20"/>
              </w:rPr>
              <w:t xml:space="preserve"> </w:t>
            </w:r>
            <w:r w:rsidRPr="00150EDC">
              <w:rPr>
                <w:sz w:val="20"/>
              </w:rPr>
              <w:t>from</w:t>
            </w:r>
            <w:r w:rsidRPr="00150EDC">
              <w:rPr>
                <w:spacing w:val="-4"/>
                <w:sz w:val="20"/>
              </w:rPr>
              <w:t xml:space="preserve"> care</w:t>
            </w:r>
          </w:p>
        </w:tc>
      </w:tr>
      <w:tr w:rsidR="004569EE" w:rsidRPr="007D3144" w14:paraId="7BB7A80B" w14:textId="77777777">
        <w:trPr>
          <w:trHeight w:val="460"/>
        </w:trPr>
        <w:tc>
          <w:tcPr>
            <w:tcW w:w="6517" w:type="dxa"/>
          </w:tcPr>
          <w:p w14:paraId="0B5BFFCE" w14:textId="77777777" w:rsidR="004C7180" w:rsidRPr="00150EDC" w:rsidRDefault="004C7180">
            <w:pPr>
              <w:pStyle w:val="TableParagraph"/>
              <w:spacing w:before="2" w:line="240" w:lineRule="auto"/>
              <w:ind w:left="0"/>
              <w:rPr>
                <w:sz w:val="20"/>
              </w:rPr>
            </w:pPr>
          </w:p>
          <w:p w14:paraId="63713CBB" w14:textId="77777777" w:rsidR="004C7180" w:rsidRPr="00150EDC" w:rsidRDefault="00CF0754">
            <w:pPr>
              <w:pStyle w:val="TableParagraph"/>
              <w:spacing w:before="0"/>
              <w:rPr>
                <w:sz w:val="20"/>
              </w:rPr>
            </w:pPr>
            <w:r w:rsidRPr="00150EDC">
              <w:rPr>
                <w:sz w:val="20"/>
              </w:rPr>
              <w:t>Children</w:t>
            </w:r>
            <w:r w:rsidRPr="00150EDC">
              <w:rPr>
                <w:spacing w:val="-10"/>
                <w:sz w:val="20"/>
              </w:rPr>
              <w:t xml:space="preserve"> </w:t>
            </w:r>
            <w:r w:rsidRPr="00150EDC">
              <w:rPr>
                <w:sz w:val="20"/>
              </w:rPr>
              <w:t>and</w:t>
            </w:r>
            <w:r w:rsidRPr="00150EDC">
              <w:rPr>
                <w:spacing w:val="-7"/>
                <w:sz w:val="20"/>
              </w:rPr>
              <w:t xml:space="preserve"> </w:t>
            </w:r>
            <w:r w:rsidRPr="00150EDC">
              <w:rPr>
                <w:sz w:val="20"/>
              </w:rPr>
              <w:t>Young</w:t>
            </w:r>
            <w:r w:rsidRPr="00150EDC">
              <w:rPr>
                <w:spacing w:val="-8"/>
                <w:sz w:val="20"/>
              </w:rPr>
              <w:t xml:space="preserve"> </w:t>
            </w:r>
            <w:r w:rsidRPr="00150EDC">
              <w:rPr>
                <w:sz w:val="20"/>
              </w:rPr>
              <w:t>Persons</w:t>
            </w:r>
            <w:r w:rsidRPr="00150EDC">
              <w:rPr>
                <w:spacing w:val="-2"/>
                <w:sz w:val="20"/>
              </w:rPr>
              <w:t xml:space="preserve"> </w:t>
            </w:r>
            <w:r w:rsidRPr="00150EDC">
              <w:rPr>
                <w:sz w:val="20"/>
              </w:rPr>
              <w:t>(Guernsey)</w:t>
            </w:r>
            <w:r w:rsidRPr="00150EDC">
              <w:rPr>
                <w:spacing w:val="-7"/>
                <w:sz w:val="20"/>
              </w:rPr>
              <w:t xml:space="preserve"> </w:t>
            </w:r>
            <w:r w:rsidRPr="00150EDC">
              <w:rPr>
                <w:sz w:val="20"/>
              </w:rPr>
              <w:t>Law</w:t>
            </w:r>
            <w:r w:rsidRPr="00150EDC">
              <w:rPr>
                <w:spacing w:val="-4"/>
                <w:sz w:val="20"/>
              </w:rPr>
              <w:t xml:space="preserve"> </w:t>
            </w:r>
            <w:r w:rsidRPr="00150EDC">
              <w:rPr>
                <w:sz w:val="20"/>
              </w:rPr>
              <w:t>1967,</w:t>
            </w:r>
            <w:r w:rsidRPr="00150EDC">
              <w:rPr>
                <w:spacing w:val="-7"/>
                <w:sz w:val="20"/>
              </w:rPr>
              <w:t xml:space="preserve"> </w:t>
            </w:r>
            <w:r w:rsidRPr="00150EDC">
              <w:rPr>
                <w:spacing w:val="-2"/>
                <w:sz w:val="20"/>
              </w:rPr>
              <w:t>s9(2)(c)</w:t>
            </w:r>
          </w:p>
        </w:tc>
        <w:tc>
          <w:tcPr>
            <w:tcW w:w="7427" w:type="dxa"/>
          </w:tcPr>
          <w:p w14:paraId="0A33AE70" w14:textId="77777777" w:rsidR="004C7180" w:rsidRPr="00150EDC" w:rsidRDefault="00CF0754">
            <w:pPr>
              <w:pStyle w:val="TableParagraph"/>
              <w:spacing w:before="0" w:line="230" w:lineRule="atLeast"/>
              <w:rPr>
                <w:sz w:val="20"/>
              </w:rPr>
            </w:pPr>
            <w:r w:rsidRPr="00150EDC">
              <w:rPr>
                <w:sz w:val="20"/>
              </w:rPr>
              <w:t>Harbour</w:t>
            </w:r>
            <w:r w:rsidRPr="00150EDC">
              <w:rPr>
                <w:spacing w:val="-5"/>
                <w:sz w:val="20"/>
              </w:rPr>
              <w:t xml:space="preserve"> </w:t>
            </w:r>
            <w:r w:rsidRPr="00150EDC">
              <w:rPr>
                <w:sz w:val="20"/>
              </w:rPr>
              <w:t>or</w:t>
            </w:r>
            <w:r w:rsidRPr="00150EDC">
              <w:rPr>
                <w:spacing w:val="-5"/>
                <w:sz w:val="20"/>
              </w:rPr>
              <w:t xml:space="preserve"> </w:t>
            </w:r>
            <w:r w:rsidRPr="00150EDC">
              <w:rPr>
                <w:sz w:val="20"/>
              </w:rPr>
              <w:t>conceal a</w:t>
            </w:r>
            <w:r w:rsidRPr="00150EDC">
              <w:rPr>
                <w:spacing w:val="-5"/>
                <w:sz w:val="20"/>
              </w:rPr>
              <w:t xml:space="preserve"> </w:t>
            </w:r>
            <w:r w:rsidRPr="00150EDC">
              <w:rPr>
                <w:sz w:val="20"/>
              </w:rPr>
              <w:t>child</w:t>
            </w:r>
            <w:r w:rsidRPr="00150EDC">
              <w:rPr>
                <w:spacing w:val="-5"/>
                <w:sz w:val="20"/>
              </w:rPr>
              <w:t xml:space="preserve"> </w:t>
            </w:r>
            <w:r w:rsidRPr="00150EDC">
              <w:rPr>
                <w:sz w:val="20"/>
              </w:rPr>
              <w:t>or</w:t>
            </w:r>
            <w:r w:rsidRPr="00150EDC">
              <w:rPr>
                <w:spacing w:val="-5"/>
                <w:sz w:val="20"/>
              </w:rPr>
              <w:t xml:space="preserve"> </w:t>
            </w:r>
            <w:r w:rsidRPr="00150EDC">
              <w:rPr>
                <w:sz w:val="20"/>
              </w:rPr>
              <w:t>young</w:t>
            </w:r>
            <w:r w:rsidRPr="00150EDC">
              <w:rPr>
                <w:spacing w:val="-5"/>
                <w:sz w:val="20"/>
              </w:rPr>
              <w:t xml:space="preserve"> </w:t>
            </w:r>
            <w:r w:rsidRPr="00150EDC">
              <w:rPr>
                <w:sz w:val="20"/>
              </w:rPr>
              <w:t>person</w:t>
            </w:r>
            <w:r w:rsidRPr="00150EDC">
              <w:rPr>
                <w:spacing w:val="-5"/>
                <w:sz w:val="20"/>
              </w:rPr>
              <w:t xml:space="preserve"> </w:t>
            </w:r>
            <w:r w:rsidRPr="00150EDC">
              <w:rPr>
                <w:sz w:val="20"/>
              </w:rPr>
              <w:t>who</w:t>
            </w:r>
            <w:r w:rsidRPr="00150EDC">
              <w:rPr>
                <w:spacing w:val="-5"/>
                <w:sz w:val="20"/>
              </w:rPr>
              <w:t xml:space="preserve"> </w:t>
            </w:r>
            <w:r w:rsidRPr="00150EDC">
              <w:rPr>
                <w:sz w:val="20"/>
              </w:rPr>
              <w:t>has run away</w:t>
            </w:r>
            <w:r w:rsidRPr="00150EDC">
              <w:rPr>
                <w:spacing w:val="-4"/>
                <w:sz w:val="20"/>
              </w:rPr>
              <w:t xml:space="preserve"> </w:t>
            </w:r>
            <w:r w:rsidRPr="00150EDC">
              <w:rPr>
                <w:sz w:val="20"/>
              </w:rPr>
              <w:t>/</w:t>
            </w:r>
            <w:r w:rsidRPr="00150EDC">
              <w:rPr>
                <w:spacing w:val="-5"/>
                <w:sz w:val="20"/>
              </w:rPr>
              <w:t xml:space="preserve"> </w:t>
            </w:r>
            <w:r w:rsidRPr="00150EDC">
              <w:rPr>
                <w:sz w:val="20"/>
              </w:rPr>
              <w:t>been</w:t>
            </w:r>
            <w:r w:rsidRPr="00150EDC">
              <w:rPr>
                <w:spacing w:val="-5"/>
                <w:sz w:val="20"/>
              </w:rPr>
              <w:t xml:space="preserve"> </w:t>
            </w:r>
            <w:r w:rsidRPr="00150EDC">
              <w:rPr>
                <w:sz w:val="20"/>
              </w:rPr>
              <w:t>taken</w:t>
            </w:r>
            <w:r w:rsidRPr="00150EDC">
              <w:rPr>
                <w:spacing w:val="-5"/>
                <w:sz w:val="20"/>
              </w:rPr>
              <w:t xml:space="preserve"> </w:t>
            </w:r>
            <w:r w:rsidRPr="00150EDC">
              <w:rPr>
                <w:sz w:val="20"/>
              </w:rPr>
              <w:t>away from care</w:t>
            </w:r>
          </w:p>
        </w:tc>
      </w:tr>
      <w:tr w:rsidR="004569EE" w:rsidRPr="007D3144" w14:paraId="57571AEB" w14:textId="77777777">
        <w:trPr>
          <w:trHeight w:val="255"/>
        </w:trPr>
        <w:tc>
          <w:tcPr>
            <w:tcW w:w="6517" w:type="dxa"/>
          </w:tcPr>
          <w:p w14:paraId="4FB6B863" w14:textId="77777777" w:rsidR="004C7180" w:rsidRPr="00150EDC" w:rsidRDefault="00CF0754">
            <w:pPr>
              <w:pStyle w:val="TableParagraph"/>
              <w:rPr>
                <w:sz w:val="20"/>
              </w:rPr>
            </w:pPr>
            <w:r w:rsidRPr="00150EDC">
              <w:rPr>
                <w:sz w:val="20"/>
              </w:rPr>
              <w:t>Children</w:t>
            </w:r>
            <w:r w:rsidRPr="00150EDC">
              <w:rPr>
                <w:spacing w:val="-8"/>
                <w:sz w:val="20"/>
              </w:rPr>
              <w:t xml:space="preserve"> </w:t>
            </w:r>
            <w:r w:rsidRPr="00150EDC">
              <w:rPr>
                <w:sz w:val="20"/>
              </w:rPr>
              <w:t>and</w:t>
            </w:r>
            <w:r w:rsidRPr="00150EDC">
              <w:rPr>
                <w:spacing w:val="-7"/>
                <w:sz w:val="20"/>
              </w:rPr>
              <w:t xml:space="preserve"> </w:t>
            </w:r>
            <w:r w:rsidRPr="00150EDC">
              <w:rPr>
                <w:sz w:val="20"/>
              </w:rPr>
              <w:t>Young</w:t>
            </w:r>
            <w:r w:rsidRPr="00150EDC">
              <w:rPr>
                <w:spacing w:val="-7"/>
                <w:sz w:val="20"/>
              </w:rPr>
              <w:t xml:space="preserve"> </w:t>
            </w:r>
            <w:r w:rsidRPr="00150EDC">
              <w:rPr>
                <w:sz w:val="20"/>
              </w:rPr>
              <w:t>Persons</w:t>
            </w:r>
            <w:r w:rsidRPr="00150EDC">
              <w:rPr>
                <w:spacing w:val="-1"/>
                <w:sz w:val="20"/>
              </w:rPr>
              <w:t xml:space="preserve"> </w:t>
            </w:r>
            <w:r w:rsidRPr="00150EDC">
              <w:rPr>
                <w:sz w:val="20"/>
              </w:rPr>
              <w:t>(Scotland)</w:t>
            </w:r>
            <w:r w:rsidRPr="00150EDC">
              <w:rPr>
                <w:spacing w:val="-7"/>
                <w:sz w:val="20"/>
              </w:rPr>
              <w:t xml:space="preserve"> </w:t>
            </w:r>
            <w:r w:rsidRPr="00150EDC">
              <w:rPr>
                <w:sz w:val="20"/>
              </w:rPr>
              <w:t>Act</w:t>
            </w:r>
            <w:r w:rsidRPr="00150EDC">
              <w:rPr>
                <w:spacing w:val="-6"/>
                <w:sz w:val="20"/>
              </w:rPr>
              <w:t xml:space="preserve"> </w:t>
            </w:r>
            <w:r w:rsidRPr="00150EDC">
              <w:rPr>
                <w:sz w:val="20"/>
              </w:rPr>
              <w:t>1937,</w:t>
            </w:r>
            <w:r w:rsidRPr="00150EDC">
              <w:rPr>
                <w:spacing w:val="-7"/>
                <w:sz w:val="20"/>
              </w:rPr>
              <w:t xml:space="preserve"> </w:t>
            </w:r>
            <w:r w:rsidRPr="00150EDC">
              <w:rPr>
                <w:spacing w:val="-5"/>
                <w:sz w:val="20"/>
              </w:rPr>
              <w:t>s1</w:t>
            </w:r>
          </w:p>
        </w:tc>
        <w:tc>
          <w:tcPr>
            <w:tcW w:w="7427" w:type="dxa"/>
          </w:tcPr>
          <w:p w14:paraId="2FCC9AB0" w14:textId="77777777" w:rsidR="004C7180" w:rsidRPr="00150EDC" w:rsidRDefault="00CF0754">
            <w:pPr>
              <w:pStyle w:val="TableParagraph"/>
              <w:rPr>
                <w:sz w:val="20"/>
              </w:rPr>
            </w:pPr>
            <w:r w:rsidRPr="00150EDC">
              <w:rPr>
                <w:sz w:val="20"/>
              </w:rPr>
              <w:t>Assault,</w:t>
            </w:r>
            <w:r w:rsidRPr="00150EDC">
              <w:rPr>
                <w:spacing w:val="-5"/>
                <w:sz w:val="20"/>
              </w:rPr>
              <w:t xml:space="preserve"> </w:t>
            </w:r>
            <w:r w:rsidRPr="00150EDC">
              <w:rPr>
                <w:sz w:val="20"/>
              </w:rPr>
              <w:t>ill-treat or</w:t>
            </w:r>
            <w:r w:rsidRPr="00150EDC">
              <w:rPr>
                <w:spacing w:val="-6"/>
                <w:sz w:val="20"/>
              </w:rPr>
              <w:t xml:space="preserve"> </w:t>
            </w:r>
            <w:r w:rsidRPr="00150EDC">
              <w:rPr>
                <w:sz w:val="20"/>
              </w:rPr>
              <w:t>abandon</w:t>
            </w:r>
            <w:r w:rsidRPr="00150EDC">
              <w:rPr>
                <w:spacing w:val="-6"/>
                <w:sz w:val="20"/>
              </w:rPr>
              <w:t xml:space="preserve"> </w:t>
            </w:r>
            <w:r w:rsidRPr="00150EDC">
              <w:rPr>
                <w:sz w:val="20"/>
              </w:rPr>
              <w:t>a</w:t>
            </w:r>
            <w:r w:rsidRPr="00150EDC">
              <w:rPr>
                <w:spacing w:val="-5"/>
                <w:sz w:val="20"/>
              </w:rPr>
              <w:t xml:space="preserve"> </w:t>
            </w:r>
            <w:r w:rsidRPr="00150EDC">
              <w:rPr>
                <w:spacing w:val="-4"/>
                <w:sz w:val="20"/>
              </w:rPr>
              <w:t>child</w:t>
            </w:r>
          </w:p>
        </w:tc>
      </w:tr>
      <w:tr w:rsidR="004569EE" w:rsidRPr="007D3144" w14:paraId="280710DE" w14:textId="77777777">
        <w:trPr>
          <w:trHeight w:val="255"/>
        </w:trPr>
        <w:tc>
          <w:tcPr>
            <w:tcW w:w="6517" w:type="dxa"/>
          </w:tcPr>
          <w:p w14:paraId="43B08010" w14:textId="77777777" w:rsidR="004C7180" w:rsidRPr="00150EDC" w:rsidRDefault="00CF0754">
            <w:pPr>
              <w:pStyle w:val="TableParagraph"/>
              <w:rPr>
                <w:sz w:val="20"/>
              </w:rPr>
            </w:pPr>
            <w:r w:rsidRPr="00150EDC">
              <w:rPr>
                <w:sz w:val="20"/>
              </w:rPr>
              <w:t>Children</w:t>
            </w:r>
            <w:r w:rsidRPr="00150EDC">
              <w:rPr>
                <w:spacing w:val="-8"/>
                <w:sz w:val="20"/>
              </w:rPr>
              <w:t xml:space="preserve"> </w:t>
            </w:r>
            <w:r w:rsidRPr="00150EDC">
              <w:rPr>
                <w:sz w:val="20"/>
              </w:rPr>
              <w:t>and</w:t>
            </w:r>
            <w:r w:rsidRPr="00150EDC">
              <w:rPr>
                <w:spacing w:val="-7"/>
                <w:sz w:val="20"/>
              </w:rPr>
              <w:t xml:space="preserve"> </w:t>
            </w:r>
            <w:r w:rsidRPr="00150EDC">
              <w:rPr>
                <w:sz w:val="20"/>
              </w:rPr>
              <w:t>Young</w:t>
            </w:r>
            <w:r w:rsidRPr="00150EDC">
              <w:rPr>
                <w:spacing w:val="-7"/>
                <w:sz w:val="20"/>
              </w:rPr>
              <w:t xml:space="preserve"> </w:t>
            </w:r>
            <w:r w:rsidRPr="00150EDC">
              <w:rPr>
                <w:sz w:val="20"/>
              </w:rPr>
              <w:t>Persons</w:t>
            </w:r>
            <w:r w:rsidRPr="00150EDC">
              <w:rPr>
                <w:spacing w:val="-1"/>
                <w:sz w:val="20"/>
              </w:rPr>
              <w:t xml:space="preserve"> </w:t>
            </w:r>
            <w:r w:rsidRPr="00150EDC">
              <w:rPr>
                <w:sz w:val="20"/>
              </w:rPr>
              <w:t>(Scotland)</w:t>
            </w:r>
            <w:r w:rsidRPr="00150EDC">
              <w:rPr>
                <w:spacing w:val="-7"/>
                <w:sz w:val="20"/>
              </w:rPr>
              <w:t xml:space="preserve"> </w:t>
            </w:r>
            <w:r w:rsidRPr="00150EDC">
              <w:rPr>
                <w:sz w:val="20"/>
              </w:rPr>
              <w:t>Act</w:t>
            </w:r>
            <w:r w:rsidRPr="00150EDC">
              <w:rPr>
                <w:spacing w:val="-6"/>
                <w:sz w:val="20"/>
              </w:rPr>
              <w:t xml:space="preserve"> </w:t>
            </w:r>
            <w:r w:rsidRPr="00150EDC">
              <w:rPr>
                <w:sz w:val="20"/>
              </w:rPr>
              <w:t>1937,</w:t>
            </w:r>
            <w:r w:rsidRPr="00150EDC">
              <w:rPr>
                <w:spacing w:val="-7"/>
                <w:sz w:val="20"/>
              </w:rPr>
              <w:t xml:space="preserve"> </w:t>
            </w:r>
            <w:r w:rsidRPr="00150EDC">
              <w:rPr>
                <w:spacing w:val="-5"/>
                <w:sz w:val="20"/>
              </w:rPr>
              <w:t>s12</w:t>
            </w:r>
          </w:p>
        </w:tc>
        <w:tc>
          <w:tcPr>
            <w:tcW w:w="7427" w:type="dxa"/>
          </w:tcPr>
          <w:p w14:paraId="652DC5B8" w14:textId="77777777" w:rsidR="004C7180" w:rsidRPr="00150EDC" w:rsidRDefault="00CF0754">
            <w:pPr>
              <w:pStyle w:val="TableParagraph"/>
              <w:rPr>
                <w:sz w:val="20"/>
              </w:rPr>
            </w:pPr>
            <w:r w:rsidRPr="00150EDC">
              <w:rPr>
                <w:sz w:val="20"/>
              </w:rPr>
              <w:t>Cruelty</w:t>
            </w:r>
            <w:r w:rsidRPr="00150EDC">
              <w:rPr>
                <w:spacing w:val="-6"/>
                <w:sz w:val="20"/>
              </w:rPr>
              <w:t xml:space="preserve"> </w:t>
            </w:r>
            <w:r w:rsidRPr="00150EDC">
              <w:rPr>
                <w:sz w:val="20"/>
              </w:rPr>
              <w:t>to</w:t>
            </w:r>
            <w:r w:rsidRPr="00150EDC">
              <w:rPr>
                <w:spacing w:val="-2"/>
                <w:sz w:val="20"/>
              </w:rPr>
              <w:t xml:space="preserve"> </w:t>
            </w:r>
            <w:r w:rsidRPr="00150EDC">
              <w:rPr>
                <w:sz w:val="20"/>
              </w:rPr>
              <w:t>persons</w:t>
            </w:r>
            <w:r w:rsidRPr="00150EDC">
              <w:rPr>
                <w:spacing w:val="-6"/>
                <w:sz w:val="20"/>
              </w:rPr>
              <w:t xml:space="preserve"> </w:t>
            </w:r>
            <w:r w:rsidRPr="00150EDC">
              <w:rPr>
                <w:sz w:val="20"/>
              </w:rPr>
              <w:t>under</w:t>
            </w:r>
            <w:r w:rsidRPr="00150EDC">
              <w:rPr>
                <w:spacing w:val="-6"/>
                <w:sz w:val="20"/>
              </w:rPr>
              <w:t xml:space="preserve"> </w:t>
            </w:r>
            <w:r w:rsidRPr="00150EDC">
              <w:rPr>
                <w:spacing w:val="-5"/>
                <w:sz w:val="20"/>
              </w:rPr>
              <w:t>16</w:t>
            </w:r>
          </w:p>
        </w:tc>
      </w:tr>
      <w:tr w:rsidR="004569EE" w:rsidRPr="007D3144" w14:paraId="2C0E1BEE" w14:textId="77777777">
        <w:trPr>
          <w:trHeight w:val="255"/>
        </w:trPr>
        <w:tc>
          <w:tcPr>
            <w:tcW w:w="6517" w:type="dxa"/>
          </w:tcPr>
          <w:p w14:paraId="321ED324" w14:textId="77777777" w:rsidR="004C7180" w:rsidRPr="00150EDC" w:rsidRDefault="00CF0754">
            <w:pPr>
              <w:pStyle w:val="TableParagraph"/>
              <w:spacing w:before="28"/>
              <w:rPr>
                <w:sz w:val="20"/>
              </w:rPr>
            </w:pPr>
            <w:r w:rsidRPr="00150EDC">
              <w:rPr>
                <w:sz w:val="20"/>
              </w:rPr>
              <w:t>Children</w:t>
            </w:r>
            <w:r w:rsidRPr="00150EDC">
              <w:rPr>
                <w:spacing w:val="-8"/>
                <w:sz w:val="20"/>
              </w:rPr>
              <w:t xml:space="preserve"> </w:t>
            </w:r>
            <w:r w:rsidRPr="00150EDC">
              <w:rPr>
                <w:sz w:val="20"/>
              </w:rPr>
              <w:t>and</w:t>
            </w:r>
            <w:r w:rsidRPr="00150EDC">
              <w:rPr>
                <w:spacing w:val="-7"/>
                <w:sz w:val="20"/>
              </w:rPr>
              <w:t xml:space="preserve"> </w:t>
            </w:r>
            <w:r w:rsidRPr="00150EDC">
              <w:rPr>
                <w:sz w:val="20"/>
              </w:rPr>
              <w:t>Young</w:t>
            </w:r>
            <w:r w:rsidRPr="00150EDC">
              <w:rPr>
                <w:spacing w:val="-7"/>
                <w:sz w:val="20"/>
              </w:rPr>
              <w:t xml:space="preserve"> </w:t>
            </w:r>
            <w:r w:rsidRPr="00150EDC">
              <w:rPr>
                <w:sz w:val="20"/>
              </w:rPr>
              <w:t>Persons</w:t>
            </w:r>
            <w:r w:rsidRPr="00150EDC">
              <w:rPr>
                <w:spacing w:val="-1"/>
                <w:sz w:val="20"/>
              </w:rPr>
              <w:t xml:space="preserve"> </w:t>
            </w:r>
            <w:r w:rsidRPr="00150EDC">
              <w:rPr>
                <w:sz w:val="20"/>
              </w:rPr>
              <w:t>(Scotland)</w:t>
            </w:r>
            <w:r w:rsidRPr="00150EDC">
              <w:rPr>
                <w:spacing w:val="-7"/>
                <w:sz w:val="20"/>
              </w:rPr>
              <w:t xml:space="preserve"> </w:t>
            </w:r>
            <w:r w:rsidRPr="00150EDC">
              <w:rPr>
                <w:sz w:val="20"/>
              </w:rPr>
              <w:t>Act</w:t>
            </w:r>
            <w:r w:rsidRPr="00150EDC">
              <w:rPr>
                <w:spacing w:val="-6"/>
                <w:sz w:val="20"/>
              </w:rPr>
              <w:t xml:space="preserve"> </w:t>
            </w:r>
            <w:r w:rsidRPr="00150EDC">
              <w:rPr>
                <w:sz w:val="20"/>
              </w:rPr>
              <w:t>1937,</w:t>
            </w:r>
            <w:r w:rsidRPr="00150EDC">
              <w:rPr>
                <w:spacing w:val="-7"/>
                <w:sz w:val="20"/>
              </w:rPr>
              <w:t xml:space="preserve"> </w:t>
            </w:r>
            <w:r w:rsidRPr="00150EDC">
              <w:rPr>
                <w:spacing w:val="-5"/>
                <w:sz w:val="20"/>
              </w:rPr>
              <w:t>s13</w:t>
            </w:r>
          </w:p>
        </w:tc>
        <w:tc>
          <w:tcPr>
            <w:tcW w:w="7427" w:type="dxa"/>
          </w:tcPr>
          <w:p w14:paraId="6396D249" w14:textId="77777777" w:rsidR="004C7180" w:rsidRPr="00150EDC" w:rsidRDefault="00CF0754">
            <w:pPr>
              <w:pStyle w:val="TableParagraph"/>
              <w:spacing w:before="28"/>
              <w:rPr>
                <w:sz w:val="20"/>
              </w:rPr>
            </w:pPr>
            <w:r w:rsidRPr="00150EDC">
              <w:rPr>
                <w:sz w:val="20"/>
              </w:rPr>
              <w:t>Child</w:t>
            </w:r>
            <w:r w:rsidRPr="00150EDC">
              <w:rPr>
                <w:spacing w:val="-7"/>
                <w:sz w:val="20"/>
              </w:rPr>
              <w:t xml:space="preserve"> </w:t>
            </w:r>
            <w:r w:rsidRPr="00150EDC">
              <w:rPr>
                <w:spacing w:val="-2"/>
                <w:sz w:val="20"/>
              </w:rPr>
              <w:t>procuration</w:t>
            </w:r>
          </w:p>
        </w:tc>
      </w:tr>
      <w:tr w:rsidR="004569EE" w:rsidRPr="007D3144" w14:paraId="174B25E1" w14:textId="77777777">
        <w:trPr>
          <w:trHeight w:val="255"/>
        </w:trPr>
        <w:tc>
          <w:tcPr>
            <w:tcW w:w="6517" w:type="dxa"/>
          </w:tcPr>
          <w:p w14:paraId="34523208" w14:textId="77777777" w:rsidR="004C7180" w:rsidRPr="00150EDC" w:rsidRDefault="00CF0754">
            <w:pPr>
              <w:pStyle w:val="TableParagraph"/>
              <w:rPr>
                <w:sz w:val="20"/>
              </w:rPr>
            </w:pPr>
            <w:r w:rsidRPr="00150EDC">
              <w:rPr>
                <w:sz w:val="20"/>
              </w:rPr>
              <w:t>Children</w:t>
            </w:r>
            <w:r w:rsidRPr="00150EDC">
              <w:rPr>
                <w:spacing w:val="-8"/>
                <w:sz w:val="20"/>
              </w:rPr>
              <w:t xml:space="preserve"> </w:t>
            </w:r>
            <w:r w:rsidRPr="00150EDC">
              <w:rPr>
                <w:sz w:val="20"/>
              </w:rPr>
              <w:t>and</w:t>
            </w:r>
            <w:r w:rsidRPr="00150EDC">
              <w:rPr>
                <w:spacing w:val="-7"/>
                <w:sz w:val="20"/>
              </w:rPr>
              <w:t xml:space="preserve"> </w:t>
            </w:r>
            <w:r w:rsidRPr="00150EDC">
              <w:rPr>
                <w:sz w:val="20"/>
              </w:rPr>
              <w:t>Young</w:t>
            </w:r>
            <w:r w:rsidRPr="00150EDC">
              <w:rPr>
                <w:spacing w:val="-7"/>
                <w:sz w:val="20"/>
              </w:rPr>
              <w:t xml:space="preserve"> </w:t>
            </w:r>
            <w:r w:rsidRPr="00150EDC">
              <w:rPr>
                <w:sz w:val="20"/>
              </w:rPr>
              <w:t>Persons</w:t>
            </w:r>
            <w:r w:rsidRPr="00150EDC">
              <w:rPr>
                <w:spacing w:val="-1"/>
                <w:sz w:val="20"/>
              </w:rPr>
              <w:t xml:space="preserve"> </w:t>
            </w:r>
            <w:r w:rsidRPr="00150EDC">
              <w:rPr>
                <w:sz w:val="20"/>
              </w:rPr>
              <w:t>(Scotland)</w:t>
            </w:r>
            <w:r w:rsidRPr="00150EDC">
              <w:rPr>
                <w:spacing w:val="-7"/>
                <w:sz w:val="20"/>
              </w:rPr>
              <w:t xml:space="preserve"> </w:t>
            </w:r>
            <w:r w:rsidRPr="00150EDC">
              <w:rPr>
                <w:sz w:val="20"/>
              </w:rPr>
              <w:t>Act</w:t>
            </w:r>
            <w:r w:rsidRPr="00150EDC">
              <w:rPr>
                <w:spacing w:val="-6"/>
                <w:sz w:val="20"/>
              </w:rPr>
              <w:t xml:space="preserve"> </w:t>
            </w:r>
            <w:r w:rsidRPr="00150EDC">
              <w:rPr>
                <w:sz w:val="20"/>
              </w:rPr>
              <w:t>1937,</w:t>
            </w:r>
            <w:r w:rsidRPr="00150EDC">
              <w:rPr>
                <w:spacing w:val="-7"/>
                <w:sz w:val="20"/>
              </w:rPr>
              <w:t xml:space="preserve"> </w:t>
            </w:r>
            <w:r w:rsidRPr="00150EDC">
              <w:rPr>
                <w:spacing w:val="-5"/>
                <w:sz w:val="20"/>
              </w:rPr>
              <w:t>s14</w:t>
            </w:r>
          </w:p>
        </w:tc>
        <w:tc>
          <w:tcPr>
            <w:tcW w:w="7427" w:type="dxa"/>
          </w:tcPr>
          <w:p w14:paraId="50563C11" w14:textId="77777777" w:rsidR="004C7180" w:rsidRPr="00150EDC" w:rsidRDefault="00CF0754">
            <w:pPr>
              <w:pStyle w:val="TableParagraph"/>
              <w:rPr>
                <w:sz w:val="20"/>
              </w:rPr>
            </w:pPr>
            <w:r w:rsidRPr="00150EDC">
              <w:rPr>
                <w:sz w:val="20"/>
              </w:rPr>
              <w:t>Allowing</w:t>
            </w:r>
            <w:r w:rsidRPr="00150EDC">
              <w:rPr>
                <w:spacing w:val="-5"/>
                <w:sz w:val="20"/>
              </w:rPr>
              <w:t xml:space="preserve"> </w:t>
            </w:r>
            <w:r w:rsidRPr="00150EDC">
              <w:rPr>
                <w:sz w:val="20"/>
              </w:rPr>
              <w:t>a</w:t>
            </w:r>
            <w:r w:rsidRPr="00150EDC">
              <w:rPr>
                <w:spacing w:val="-4"/>
                <w:sz w:val="20"/>
              </w:rPr>
              <w:t xml:space="preserve"> </w:t>
            </w:r>
            <w:r w:rsidRPr="00150EDC">
              <w:rPr>
                <w:sz w:val="20"/>
              </w:rPr>
              <w:t>child</w:t>
            </w:r>
            <w:r w:rsidRPr="00150EDC">
              <w:rPr>
                <w:spacing w:val="-5"/>
                <w:sz w:val="20"/>
              </w:rPr>
              <w:t xml:space="preserve"> </w:t>
            </w:r>
            <w:r w:rsidRPr="00150EDC">
              <w:rPr>
                <w:sz w:val="20"/>
              </w:rPr>
              <w:t>to reside</w:t>
            </w:r>
            <w:r w:rsidRPr="00150EDC">
              <w:rPr>
                <w:spacing w:val="-4"/>
                <w:sz w:val="20"/>
              </w:rPr>
              <w:t xml:space="preserve"> </w:t>
            </w:r>
            <w:r w:rsidRPr="00150EDC">
              <w:rPr>
                <w:sz w:val="20"/>
              </w:rPr>
              <w:t>in a</w:t>
            </w:r>
            <w:r w:rsidRPr="00150EDC">
              <w:rPr>
                <w:spacing w:val="-4"/>
                <w:sz w:val="20"/>
              </w:rPr>
              <w:t xml:space="preserve"> </w:t>
            </w:r>
            <w:r w:rsidRPr="00150EDC">
              <w:rPr>
                <w:spacing w:val="-2"/>
                <w:sz w:val="20"/>
              </w:rPr>
              <w:t>brothel</w:t>
            </w:r>
          </w:p>
        </w:tc>
      </w:tr>
      <w:tr w:rsidR="004569EE" w:rsidRPr="007D3144" w14:paraId="5CB994D4" w14:textId="77777777">
        <w:trPr>
          <w:trHeight w:val="255"/>
        </w:trPr>
        <w:tc>
          <w:tcPr>
            <w:tcW w:w="6517" w:type="dxa"/>
          </w:tcPr>
          <w:p w14:paraId="38F8EA14" w14:textId="77777777" w:rsidR="004C7180" w:rsidRPr="00150EDC" w:rsidRDefault="00CF0754">
            <w:pPr>
              <w:pStyle w:val="TableParagraph"/>
              <w:rPr>
                <w:sz w:val="20"/>
              </w:rPr>
            </w:pPr>
            <w:r w:rsidRPr="00150EDC">
              <w:rPr>
                <w:sz w:val="20"/>
              </w:rPr>
              <w:t>Children</w:t>
            </w:r>
            <w:r w:rsidRPr="00150EDC">
              <w:rPr>
                <w:spacing w:val="-8"/>
                <w:sz w:val="20"/>
              </w:rPr>
              <w:t xml:space="preserve"> </w:t>
            </w:r>
            <w:r w:rsidRPr="00150EDC">
              <w:rPr>
                <w:sz w:val="20"/>
              </w:rPr>
              <w:t>and</w:t>
            </w:r>
            <w:r w:rsidRPr="00150EDC">
              <w:rPr>
                <w:spacing w:val="-7"/>
                <w:sz w:val="20"/>
              </w:rPr>
              <w:t xml:space="preserve"> </w:t>
            </w:r>
            <w:r w:rsidRPr="00150EDC">
              <w:rPr>
                <w:sz w:val="20"/>
              </w:rPr>
              <w:t>Young</w:t>
            </w:r>
            <w:r w:rsidRPr="00150EDC">
              <w:rPr>
                <w:spacing w:val="-7"/>
                <w:sz w:val="20"/>
              </w:rPr>
              <w:t xml:space="preserve"> </w:t>
            </w:r>
            <w:r w:rsidRPr="00150EDC">
              <w:rPr>
                <w:sz w:val="20"/>
              </w:rPr>
              <w:t>Persons</w:t>
            </w:r>
            <w:r w:rsidRPr="00150EDC">
              <w:rPr>
                <w:spacing w:val="-1"/>
                <w:sz w:val="20"/>
              </w:rPr>
              <w:t xml:space="preserve"> </w:t>
            </w:r>
            <w:r w:rsidRPr="00150EDC">
              <w:rPr>
                <w:sz w:val="20"/>
              </w:rPr>
              <w:t>(Scotland)</w:t>
            </w:r>
            <w:r w:rsidRPr="00150EDC">
              <w:rPr>
                <w:spacing w:val="-7"/>
                <w:sz w:val="20"/>
              </w:rPr>
              <w:t xml:space="preserve"> </w:t>
            </w:r>
            <w:r w:rsidRPr="00150EDC">
              <w:rPr>
                <w:sz w:val="20"/>
              </w:rPr>
              <w:t>Act</w:t>
            </w:r>
            <w:r w:rsidRPr="00150EDC">
              <w:rPr>
                <w:spacing w:val="-6"/>
                <w:sz w:val="20"/>
              </w:rPr>
              <w:t xml:space="preserve"> </w:t>
            </w:r>
            <w:r w:rsidRPr="00150EDC">
              <w:rPr>
                <w:sz w:val="20"/>
              </w:rPr>
              <w:t>1937,</w:t>
            </w:r>
            <w:r w:rsidRPr="00150EDC">
              <w:rPr>
                <w:spacing w:val="-7"/>
                <w:sz w:val="20"/>
              </w:rPr>
              <w:t xml:space="preserve"> </w:t>
            </w:r>
            <w:r w:rsidRPr="00150EDC">
              <w:rPr>
                <w:spacing w:val="-5"/>
                <w:sz w:val="20"/>
              </w:rPr>
              <w:t>s15</w:t>
            </w:r>
          </w:p>
        </w:tc>
        <w:tc>
          <w:tcPr>
            <w:tcW w:w="7427" w:type="dxa"/>
          </w:tcPr>
          <w:p w14:paraId="4038C3BA" w14:textId="77777777" w:rsidR="004C7180" w:rsidRPr="00150EDC" w:rsidRDefault="00CF0754">
            <w:pPr>
              <w:pStyle w:val="TableParagraph"/>
              <w:rPr>
                <w:sz w:val="20"/>
              </w:rPr>
            </w:pPr>
            <w:r w:rsidRPr="00150EDC">
              <w:rPr>
                <w:sz w:val="20"/>
              </w:rPr>
              <w:t>Causing</w:t>
            </w:r>
            <w:r w:rsidRPr="00150EDC">
              <w:rPr>
                <w:spacing w:val="-5"/>
                <w:sz w:val="20"/>
              </w:rPr>
              <w:t xml:space="preserve"> </w:t>
            </w:r>
            <w:r w:rsidRPr="00150EDC">
              <w:rPr>
                <w:sz w:val="20"/>
              </w:rPr>
              <w:t>or allowing</w:t>
            </w:r>
            <w:r w:rsidRPr="00150EDC">
              <w:rPr>
                <w:spacing w:val="-5"/>
                <w:sz w:val="20"/>
              </w:rPr>
              <w:t xml:space="preserve"> </w:t>
            </w:r>
            <w:r w:rsidRPr="00150EDC">
              <w:rPr>
                <w:sz w:val="20"/>
              </w:rPr>
              <w:t>persons</w:t>
            </w:r>
            <w:r w:rsidRPr="00150EDC">
              <w:rPr>
                <w:spacing w:val="-4"/>
                <w:sz w:val="20"/>
              </w:rPr>
              <w:t xml:space="preserve"> </w:t>
            </w:r>
            <w:r w:rsidRPr="00150EDC">
              <w:rPr>
                <w:sz w:val="20"/>
              </w:rPr>
              <w:t>under</w:t>
            </w:r>
            <w:r w:rsidRPr="00150EDC">
              <w:rPr>
                <w:spacing w:val="-5"/>
                <w:sz w:val="20"/>
              </w:rPr>
              <w:t xml:space="preserve"> </w:t>
            </w:r>
            <w:r w:rsidRPr="00150EDC">
              <w:rPr>
                <w:sz w:val="20"/>
              </w:rPr>
              <w:t>16</w:t>
            </w:r>
            <w:r w:rsidRPr="00150EDC">
              <w:rPr>
                <w:spacing w:val="-5"/>
                <w:sz w:val="20"/>
              </w:rPr>
              <w:t xml:space="preserve"> </w:t>
            </w:r>
            <w:r w:rsidRPr="00150EDC">
              <w:rPr>
                <w:sz w:val="20"/>
              </w:rPr>
              <w:t>to</w:t>
            </w:r>
            <w:r w:rsidRPr="00150EDC">
              <w:rPr>
                <w:spacing w:val="-4"/>
                <w:sz w:val="20"/>
              </w:rPr>
              <w:t xml:space="preserve"> </w:t>
            </w:r>
            <w:r w:rsidRPr="00150EDC">
              <w:rPr>
                <w:sz w:val="20"/>
              </w:rPr>
              <w:t>be</w:t>
            </w:r>
            <w:r w:rsidRPr="00150EDC">
              <w:rPr>
                <w:spacing w:val="-5"/>
                <w:sz w:val="20"/>
              </w:rPr>
              <w:t xml:space="preserve"> </w:t>
            </w:r>
            <w:r w:rsidRPr="00150EDC">
              <w:rPr>
                <w:sz w:val="20"/>
              </w:rPr>
              <w:t>used for</w:t>
            </w:r>
            <w:r w:rsidRPr="00150EDC">
              <w:rPr>
                <w:spacing w:val="-1"/>
                <w:sz w:val="20"/>
              </w:rPr>
              <w:t xml:space="preserve"> </w:t>
            </w:r>
            <w:r w:rsidRPr="00150EDC">
              <w:rPr>
                <w:spacing w:val="-2"/>
                <w:sz w:val="20"/>
              </w:rPr>
              <w:t>begging</w:t>
            </w:r>
          </w:p>
        </w:tc>
      </w:tr>
      <w:tr w:rsidR="004569EE" w:rsidRPr="007D3144" w14:paraId="53C0919D" w14:textId="77777777">
        <w:trPr>
          <w:trHeight w:val="255"/>
        </w:trPr>
        <w:tc>
          <w:tcPr>
            <w:tcW w:w="6517" w:type="dxa"/>
          </w:tcPr>
          <w:p w14:paraId="568F762F" w14:textId="77777777" w:rsidR="004C7180" w:rsidRPr="00150EDC" w:rsidRDefault="00CF0754">
            <w:pPr>
              <w:pStyle w:val="TableParagraph"/>
              <w:rPr>
                <w:sz w:val="20"/>
              </w:rPr>
            </w:pPr>
            <w:r w:rsidRPr="00150EDC">
              <w:rPr>
                <w:sz w:val="20"/>
              </w:rPr>
              <w:t>Children</w:t>
            </w:r>
            <w:r w:rsidRPr="00150EDC">
              <w:rPr>
                <w:spacing w:val="-8"/>
                <w:sz w:val="20"/>
              </w:rPr>
              <w:t xml:space="preserve"> </w:t>
            </w:r>
            <w:r w:rsidRPr="00150EDC">
              <w:rPr>
                <w:sz w:val="20"/>
              </w:rPr>
              <w:t>and</w:t>
            </w:r>
            <w:r w:rsidRPr="00150EDC">
              <w:rPr>
                <w:spacing w:val="-7"/>
                <w:sz w:val="20"/>
              </w:rPr>
              <w:t xml:space="preserve"> </w:t>
            </w:r>
            <w:r w:rsidRPr="00150EDC">
              <w:rPr>
                <w:sz w:val="20"/>
              </w:rPr>
              <w:t>Young</w:t>
            </w:r>
            <w:r w:rsidRPr="00150EDC">
              <w:rPr>
                <w:spacing w:val="-7"/>
                <w:sz w:val="20"/>
              </w:rPr>
              <w:t xml:space="preserve"> </w:t>
            </w:r>
            <w:r w:rsidRPr="00150EDC">
              <w:rPr>
                <w:sz w:val="20"/>
              </w:rPr>
              <w:t>Persons</w:t>
            </w:r>
            <w:r w:rsidRPr="00150EDC">
              <w:rPr>
                <w:spacing w:val="-1"/>
                <w:sz w:val="20"/>
              </w:rPr>
              <w:t xml:space="preserve"> </w:t>
            </w:r>
            <w:r w:rsidRPr="00150EDC">
              <w:rPr>
                <w:sz w:val="20"/>
              </w:rPr>
              <w:t>(Scotland)</w:t>
            </w:r>
            <w:r w:rsidRPr="00150EDC">
              <w:rPr>
                <w:spacing w:val="-7"/>
                <w:sz w:val="20"/>
              </w:rPr>
              <w:t xml:space="preserve"> </w:t>
            </w:r>
            <w:r w:rsidRPr="00150EDC">
              <w:rPr>
                <w:sz w:val="20"/>
              </w:rPr>
              <w:t>Act</w:t>
            </w:r>
            <w:r w:rsidRPr="00150EDC">
              <w:rPr>
                <w:spacing w:val="-6"/>
                <w:sz w:val="20"/>
              </w:rPr>
              <w:t xml:space="preserve"> </w:t>
            </w:r>
            <w:r w:rsidRPr="00150EDC">
              <w:rPr>
                <w:sz w:val="20"/>
              </w:rPr>
              <w:t>1937,</w:t>
            </w:r>
            <w:r w:rsidRPr="00150EDC">
              <w:rPr>
                <w:spacing w:val="-7"/>
                <w:sz w:val="20"/>
              </w:rPr>
              <w:t xml:space="preserve"> </w:t>
            </w:r>
            <w:r w:rsidRPr="00150EDC">
              <w:rPr>
                <w:spacing w:val="-5"/>
                <w:sz w:val="20"/>
              </w:rPr>
              <w:t>s22</w:t>
            </w:r>
          </w:p>
        </w:tc>
        <w:tc>
          <w:tcPr>
            <w:tcW w:w="7427" w:type="dxa"/>
          </w:tcPr>
          <w:p w14:paraId="58B5DBDD" w14:textId="77777777" w:rsidR="004C7180" w:rsidRPr="00150EDC" w:rsidRDefault="00CF0754">
            <w:pPr>
              <w:pStyle w:val="TableParagraph"/>
              <w:rPr>
                <w:sz w:val="20"/>
              </w:rPr>
            </w:pPr>
            <w:r w:rsidRPr="00150EDC">
              <w:rPr>
                <w:sz w:val="20"/>
              </w:rPr>
              <w:t>Exposing</w:t>
            </w:r>
            <w:r w:rsidRPr="00150EDC">
              <w:rPr>
                <w:spacing w:val="-6"/>
                <w:sz w:val="20"/>
              </w:rPr>
              <w:t xml:space="preserve"> </w:t>
            </w:r>
            <w:r w:rsidRPr="00150EDC">
              <w:rPr>
                <w:sz w:val="20"/>
              </w:rPr>
              <w:t>children</w:t>
            </w:r>
            <w:r w:rsidRPr="00150EDC">
              <w:rPr>
                <w:spacing w:val="-5"/>
                <w:sz w:val="20"/>
              </w:rPr>
              <w:t xml:space="preserve"> </w:t>
            </w:r>
            <w:r w:rsidRPr="00150EDC">
              <w:rPr>
                <w:sz w:val="20"/>
              </w:rPr>
              <w:t>under</w:t>
            </w:r>
            <w:r w:rsidRPr="00150EDC">
              <w:rPr>
                <w:spacing w:val="-1"/>
                <w:sz w:val="20"/>
              </w:rPr>
              <w:t xml:space="preserve"> </w:t>
            </w:r>
            <w:r w:rsidRPr="00150EDC">
              <w:rPr>
                <w:sz w:val="20"/>
              </w:rPr>
              <w:t>7</w:t>
            </w:r>
            <w:r w:rsidRPr="00150EDC">
              <w:rPr>
                <w:spacing w:val="-6"/>
                <w:sz w:val="20"/>
              </w:rPr>
              <w:t xml:space="preserve"> </w:t>
            </w:r>
            <w:r w:rsidRPr="00150EDC">
              <w:rPr>
                <w:sz w:val="20"/>
              </w:rPr>
              <w:t>to</w:t>
            </w:r>
            <w:r w:rsidRPr="00150EDC">
              <w:rPr>
                <w:spacing w:val="-5"/>
                <w:sz w:val="20"/>
              </w:rPr>
              <w:t xml:space="preserve"> </w:t>
            </w:r>
            <w:r w:rsidRPr="00150EDC">
              <w:rPr>
                <w:sz w:val="20"/>
              </w:rPr>
              <w:t>risk</w:t>
            </w:r>
            <w:r w:rsidRPr="00150EDC">
              <w:rPr>
                <w:spacing w:val="1"/>
                <w:sz w:val="20"/>
              </w:rPr>
              <w:t xml:space="preserve"> </w:t>
            </w:r>
            <w:r w:rsidRPr="00150EDC">
              <w:rPr>
                <w:sz w:val="20"/>
              </w:rPr>
              <w:t>of</w:t>
            </w:r>
            <w:r w:rsidRPr="00150EDC">
              <w:rPr>
                <w:spacing w:val="-6"/>
                <w:sz w:val="20"/>
              </w:rPr>
              <w:t xml:space="preserve"> </w:t>
            </w:r>
            <w:r w:rsidRPr="00150EDC">
              <w:rPr>
                <w:spacing w:val="-2"/>
                <w:sz w:val="20"/>
              </w:rPr>
              <w:t>burning</w:t>
            </w:r>
          </w:p>
        </w:tc>
      </w:tr>
      <w:tr w:rsidR="004569EE" w:rsidRPr="007D3144" w14:paraId="0F9CBB9E" w14:textId="77777777">
        <w:trPr>
          <w:trHeight w:val="255"/>
        </w:trPr>
        <w:tc>
          <w:tcPr>
            <w:tcW w:w="6517" w:type="dxa"/>
          </w:tcPr>
          <w:p w14:paraId="1D9F1632" w14:textId="77777777" w:rsidR="004C7180" w:rsidRPr="00150EDC" w:rsidRDefault="00CF0754">
            <w:pPr>
              <w:pStyle w:val="TableParagraph"/>
              <w:rPr>
                <w:sz w:val="20"/>
              </w:rPr>
            </w:pPr>
            <w:r w:rsidRPr="00150EDC">
              <w:rPr>
                <w:sz w:val="20"/>
              </w:rPr>
              <w:t>Children</w:t>
            </w:r>
            <w:r w:rsidRPr="00150EDC">
              <w:rPr>
                <w:spacing w:val="-8"/>
                <w:sz w:val="20"/>
              </w:rPr>
              <w:t xml:space="preserve"> </w:t>
            </w:r>
            <w:r w:rsidRPr="00150EDC">
              <w:rPr>
                <w:sz w:val="20"/>
              </w:rPr>
              <w:t>and</w:t>
            </w:r>
            <w:r w:rsidRPr="00150EDC">
              <w:rPr>
                <w:spacing w:val="-7"/>
                <w:sz w:val="20"/>
              </w:rPr>
              <w:t xml:space="preserve"> </w:t>
            </w:r>
            <w:r w:rsidRPr="00150EDC">
              <w:rPr>
                <w:sz w:val="20"/>
              </w:rPr>
              <w:t>Young</w:t>
            </w:r>
            <w:r w:rsidRPr="00150EDC">
              <w:rPr>
                <w:spacing w:val="-7"/>
                <w:sz w:val="20"/>
              </w:rPr>
              <w:t xml:space="preserve"> </w:t>
            </w:r>
            <w:r w:rsidRPr="00150EDC">
              <w:rPr>
                <w:sz w:val="20"/>
              </w:rPr>
              <w:t>Persons</w:t>
            </w:r>
            <w:r w:rsidRPr="00150EDC">
              <w:rPr>
                <w:spacing w:val="-1"/>
                <w:sz w:val="20"/>
              </w:rPr>
              <w:t xml:space="preserve"> </w:t>
            </w:r>
            <w:r w:rsidRPr="00150EDC">
              <w:rPr>
                <w:sz w:val="20"/>
              </w:rPr>
              <w:t>(Scotland)</w:t>
            </w:r>
            <w:r w:rsidRPr="00150EDC">
              <w:rPr>
                <w:spacing w:val="-7"/>
                <w:sz w:val="20"/>
              </w:rPr>
              <w:t xml:space="preserve"> </w:t>
            </w:r>
            <w:r w:rsidRPr="00150EDC">
              <w:rPr>
                <w:sz w:val="20"/>
              </w:rPr>
              <w:t>Act</w:t>
            </w:r>
            <w:r w:rsidRPr="00150EDC">
              <w:rPr>
                <w:spacing w:val="-6"/>
                <w:sz w:val="20"/>
              </w:rPr>
              <w:t xml:space="preserve"> </w:t>
            </w:r>
            <w:r w:rsidRPr="00150EDC">
              <w:rPr>
                <w:sz w:val="20"/>
              </w:rPr>
              <w:t>1937,</w:t>
            </w:r>
            <w:r w:rsidRPr="00150EDC">
              <w:rPr>
                <w:spacing w:val="-7"/>
                <w:sz w:val="20"/>
              </w:rPr>
              <w:t xml:space="preserve"> </w:t>
            </w:r>
            <w:r w:rsidRPr="00150EDC">
              <w:rPr>
                <w:spacing w:val="-5"/>
                <w:sz w:val="20"/>
              </w:rPr>
              <w:t>s3</w:t>
            </w:r>
          </w:p>
        </w:tc>
        <w:tc>
          <w:tcPr>
            <w:tcW w:w="7427" w:type="dxa"/>
          </w:tcPr>
          <w:p w14:paraId="7B232DB0" w14:textId="77777777" w:rsidR="004C7180" w:rsidRPr="00150EDC" w:rsidRDefault="00CF0754">
            <w:pPr>
              <w:pStyle w:val="TableParagraph"/>
              <w:rPr>
                <w:sz w:val="20"/>
              </w:rPr>
            </w:pPr>
            <w:r w:rsidRPr="00150EDC">
              <w:rPr>
                <w:sz w:val="20"/>
              </w:rPr>
              <w:t>Permitting</w:t>
            </w:r>
            <w:r w:rsidRPr="00150EDC">
              <w:rPr>
                <w:spacing w:val="-5"/>
                <w:sz w:val="20"/>
              </w:rPr>
              <w:t xml:space="preserve"> </w:t>
            </w:r>
            <w:r w:rsidRPr="00150EDC">
              <w:rPr>
                <w:sz w:val="20"/>
              </w:rPr>
              <w:t>a child</w:t>
            </w:r>
            <w:r w:rsidRPr="00150EDC">
              <w:rPr>
                <w:spacing w:val="-4"/>
                <w:sz w:val="20"/>
              </w:rPr>
              <w:t xml:space="preserve"> </w:t>
            </w:r>
            <w:r w:rsidRPr="00150EDC">
              <w:rPr>
                <w:sz w:val="20"/>
              </w:rPr>
              <w:t>to reside</w:t>
            </w:r>
            <w:r w:rsidRPr="00150EDC">
              <w:rPr>
                <w:spacing w:val="-4"/>
                <w:sz w:val="20"/>
              </w:rPr>
              <w:t xml:space="preserve"> </w:t>
            </w:r>
            <w:r w:rsidRPr="00150EDC">
              <w:rPr>
                <w:sz w:val="20"/>
              </w:rPr>
              <w:t>in</w:t>
            </w:r>
            <w:r w:rsidRPr="00150EDC">
              <w:rPr>
                <w:spacing w:val="-5"/>
                <w:sz w:val="20"/>
              </w:rPr>
              <w:t xml:space="preserve"> </w:t>
            </w:r>
            <w:r w:rsidRPr="00150EDC">
              <w:rPr>
                <w:sz w:val="20"/>
              </w:rPr>
              <w:t>or</w:t>
            </w:r>
            <w:r w:rsidRPr="00150EDC">
              <w:rPr>
                <w:spacing w:val="-4"/>
                <w:sz w:val="20"/>
              </w:rPr>
              <w:t xml:space="preserve"> </w:t>
            </w:r>
            <w:r w:rsidRPr="00150EDC">
              <w:rPr>
                <w:sz w:val="20"/>
              </w:rPr>
              <w:t>frequent a</w:t>
            </w:r>
            <w:r w:rsidRPr="00150EDC">
              <w:rPr>
                <w:spacing w:val="-4"/>
                <w:sz w:val="20"/>
              </w:rPr>
              <w:t xml:space="preserve"> </w:t>
            </w:r>
            <w:r w:rsidRPr="00150EDC">
              <w:rPr>
                <w:spacing w:val="-2"/>
                <w:sz w:val="20"/>
              </w:rPr>
              <w:t>brothel</w:t>
            </w:r>
          </w:p>
        </w:tc>
      </w:tr>
      <w:tr w:rsidR="004569EE" w:rsidRPr="007D3144" w14:paraId="5F00B444" w14:textId="77777777">
        <w:trPr>
          <w:trHeight w:val="460"/>
        </w:trPr>
        <w:tc>
          <w:tcPr>
            <w:tcW w:w="6517" w:type="dxa"/>
          </w:tcPr>
          <w:p w14:paraId="0AD6477C" w14:textId="77777777" w:rsidR="004C7180" w:rsidRPr="00150EDC" w:rsidRDefault="004C7180">
            <w:pPr>
              <w:pStyle w:val="TableParagraph"/>
              <w:spacing w:before="2" w:line="240" w:lineRule="auto"/>
              <w:ind w:left="0"/>
              <w:rPr>
                <w:sz w:val="20"/>
              </w:rPr>
            </w:pPr>
          </w:p>
          <w:p w14:paraId="59812488" w14:textId="77777777" w:rsidR="004C7180" w:rsidRPr="00150EDC" w:rsidRDefault="00CF0754">
            <w:pPr>
              <w:pStyle w:val="TableParagraph"/>
              <w:spacing w:before="0"/>
              <w:rPr>
                <w:sz w:val="20"/>
              </w:rPr>
            </w:pPr>
            <w:r w:rsidRPr="00150EDC">
              <w:rPr>
                <w:sz w:val="20"/>
              </w:rPr>
              <w:t>Children</w:t>
            </w:r>
            <w:r w:rsidRPr="00150EDC">
              <w:rPr>
                <w:spacing w:val="-8"/>
                <w:sz w:val="20"/>
              </w:rPr>
              <w:t xml:space="preserve"> </w:t>
            </w:r>
            <w:r w:rsidRPr="00150EDC">
              <w:rPr>
                <w:sz w:val="20"/>
              </w:rPr>
              <w:t>and</w:t>
            </w:r>
            <w:r w:rsidRPr="00150EDC">
              <w:rPr>
                <w:spacing w:val="-7"/>
                <w:sz w:val="20"/>
              </w:rPr>
              <w:t xml:space="preserve"> </w:t>
            </w:r>
            <w:r w:rsidRPr="00150EDC">
              <w:rPr>
                <w:sz w:val="20"/>
              </w:rPr>
              <w:t>Young</w:t>
            </w:r>
            <w:r w:rsidRPr="00150EDC">
              <w:rPr>
                <w:spacing w:val="-7"/>
                <w:sz w:val="20"/>
              </w:rPr>
              <w:t xml:space="preserve"> </w:t>
            </w:r>
            <w:r w:rsidRPr="00150EDC">
              <w:rPr>
                <w:sz w:val="20"/>
              </w:rPr>
              <w:t>Persons</w:t>
            </w:r>
            <w:r w:rsidRPr="00150EDC">
              <w:rPr>
                <w:spacing w:val="-1"/>
                <w:sz w:val="20"/>
              </w:rPr>
              <w:t xml:space="preserve"> </w:t>
            </w:r>
            <w:r w:rsidRPr="00150EDC">
              <w:rPr>
                <w:sz w:val="20"/>
              </w:rPr>
              <w:t>(Scotland)</w:t>
            </w:r>
            <w:r w:rsidRPr="00150EDC">
              <w:rPr>
                <w:spacing w:val="-7"/>
                <w:sz w:val="20"/>
              </w:rPr>
              <w:t xml:space="preserve"> </w:t>
            </w:r>
            <w:r w:rsidRPr="00150EDC">
              <w:rPr>
                <w:sz w:val="20"/>
              </w:rPr>
              <w:t>Act</w:t>
            </w:r>
            <w:r w:rsidRPr="00150EDC">
              <w:rPr>
                <w:spacing w:val="-6"/>
                <w:sz w:val="20"/>
              </w:rPr>
              <w:t xml:space="preserve"> </w:t>
            </w:r>
            <w:r w:rsidRPr="00150EDC">
              <w:rPr>
                <w:sz w:val="20"/>
              </w:rPr>
              <w:t>1937,</w:t>
            </w:r>
            <w:r w:rsidRPr="00150EDC">
              <w:rPr>
                <w:spacing w:val="-7"/>
                <w:sz w:val="20"/>
              </w:rPr>
              <w:t xml:space="preserve"> </w:t>
            </w:r>
            <w:r w:rsidRPr="00150EDC">
              <w:rPr>
                <w:spacing w:val="-5"/>
                <w:sz w:val="20"/>
              </w:rPr>
              <w:t>s33</w:t>
            </w:r>
          </w:p>
        </w:tc>
        <w:tc>
          <w:tcPr>
            <w:tcW w:w="7427" w:type="dxa"/>
          </w:tcPr>
          <w:p w14:paraId="4A634FFF" w14:textId="77777777" w:rsidR="004C7180" w:rsidRPr="00150EDC" w:rsidRDefault="00CF0754">
            <w:pPr>
              <w:pStyle w:val="TableParagraph"/>
              <w:spacing w:before="0" w:line="230" w:lineRule="atLeast"/>
              <w:ind w:right="186"/>
              <w:rPr>
                <w:sz w:val="20"/>
              </w:rPr>
            </w:pPr>
            <w:r w:rsidRPr="00150EDC">
              <w:rPr>
                <w:sz w:val="20"/>
              </w:rPr>
              <w:t>Causing,</w:t>
            </w:r>
            <w:r w:rsidRPr="00150EDC">
              <w:rPr>
                <w:spacing w:val="-6"/>
                <w:sz w:val="20"/>
              </w:rPr>
              <w:t xml:space="preserve"> </w:t>
            </w:r>
            <w:r w:rsidRPr="00150EDC">
              <w:rPr>
                <w:sz w:val="20"/>
              </w:rPr>
              <w:t>procuring</w:t>
            </w:r>
            <w:r w:rsidRPr="00150EDC">
              <w:rPr>
                <w:spacing w:val="-6"/>
                <w:sz w:val="20"/>
              </w:rPr>
              <w:t xml:space="preserve"> </w:t>
            </w:r>
            <w:r w:rsidRPr="00150EDC">
              <w:rPr>
                <w:sz w:val="20"/>
              </w:rPr>
              <w:t>or</w:t>
            </w:r>
            <w:r w:rsidRPr="00150EDC">
              <w:rPr>
                <w:spacing w:val="-1"/>
                <w:sz w:val="20"/>
              </w:rPr>
              <w:t xml:space="preserve"> </w:t>
            </w:r>
            <w:r w:rsidRPr="00150EDC">
              <w:rPr>
                <w:sz w:val="20"/>
              </w:rPr>
              <w:t>allowing</w:t>
            </w:r>
            <w:r w:rsidRPr="00150EDC">
              <w:rPr>
                <w:spacing w:val="-6"/>
                <w:sz w:val="20"/>
              </w:rPr>
              <w:t xml:space="preserve"> </w:t>
            </w:r>
            <w:r w:rsidRPr="00150EDC">
              <w:rPr>
                <w:sz w:val="20"/>
              </w:rPr>
              <w:t>a</w:t>
            </w:r>
            <w:r w:rsidRPr="00150EDC">
              <w:rPr>
                <w:spacing w:val="-1"/>
                <w:sz w:val="20"/>
              </w:rPr>
              <w:t xml:space="preserve"> </w:t>
            </w:r>
            <w:r w:rsidRPr="00150EDC">
              <w:rPr>
                <w:sz w:val="20"/>
              </w:rPr>
              <w:t>child</w:t>
            </w:r>
            <w:r w:rsidRPr="00150EDC">
              <w:rPr>
                <w:spacing w:val="-6"/>
                <w:sz w:val="20"/>
              </w:rPr>
              <w:t xml:space="preserve"> </w:t>
            </w:r>
            <w:r w:rsidRPr="00150EDC">
              <w:rPr>
                <w:sz w:val="20"/>
              </w:rPr>
              <w:t>to</w:t>
            </w:r>
            <w:r w:rsidRPr="00150EDC">
              <w:rPr>
                <w:spacing w:val="-1"/>
                <w:sz w:val="20"/>
              </w:rPr>
              <w:t xml:space="preserve"> </w:t>
            </w:r>
            <w:r w:rsidRPr="00150EDC">
              <w:rPr>
                <w:sz w:val="20"/>
              </w:rPr>
              <w:t>take</w:t>
            </w:r>
            <w:r w:rsidRPr="00150EDC">
              <w:rPr>
                <w:spacing w:val="-6"/>
                <w:sz w:val="20"/>
              </w:rPr>
              <w:t xml:space="preserve"> </w:t>
            </w:r>
            <w:r w:rsidRPr="00150EDC">
              <w:rPr>
                <w:sz w:val="20"/>
              </w:rPr>
              <w:t>part</w:t>
            </w:r>
            <w:r w:rsidRPr="00150EDC">
              <w:rPr>
                <w:spacing w:val="-6"/>
                <w:sz w:val="20"/>
              </w:rPr>
              <w:t xml:space="preserve"> </w:t>
            </w:r>
            <w:r w:rsidRPr="00150EDC">
              <w:rPr>
                <w:sz w:val="20"/>
              </w:rPr>
              <w:t>in</w:t>
            </w:r>
            <w:r w:rsidRPr="00150EDC">
              <w:rPr>
                <w:spacing w:val="-1"/>
                <w:sz w:val="20"/>
              </w:rPr>
              <w:t xml:space="preserve"> </w:t>
            </w:r>
            <w:r w:rsidRPr="00150EDC">
              <w:rPr>
                <w:sz w:val="20"/>
              </w:rPr>
              <w:t>performances</w:t>
            </w:r>
            <w:r w:rsidRPr="00150EDC">
              <w:rPr>
                <w:spacing w:val="-1"/>
                <w:sz w:val="20"/>
              </w:rPr>
              <w:t xml:space="preserve"> </w:t>
            </w:r>
            <w:r w:rsidRPr="00150EDC">
              <w:rPr>
                <w:sz w:val="20"/>
              </w:rPr>
              <w:t>of</w:t>
            </w:r>
            <w:r w:rsidRPr="00150EDC">
              <w:rPr>
                <w:spacing w:val="-6"/>
                <w:sz w:val="20"/>
              </w:rPr>
              <w:t xml:space="preserve"> </w:t>
            </w:r>
            <w:r w:rsidRPr="00150EDC">
              <w:rPr>
                <w:sz w:val="20"/>
              </w:rPr>
              <w:t>a dangerous nature</w:t>
            </w:r>
          </w:p>
        </w:tc>
      </w:tr>
      <w:tr w:rsidR="004569EE" w:rsidRPr="007D3144" w14:paraId="01F2C3D3" w14:textId="77777777">
        <w:trPr>
          <w:trHeight w:val="255"/>
        </w:trPr>
        <w:tc>
          <w:tcPr>
            <w:tcW w:w="6517" w:type="dxa"/>
          </w:tcPr>
          <w:p w14:paraId="39106B3F" w14:textId="77777777" w:rsidR="004C7180" w:rsidRPr="00150EDC" w:rsidRDefault="00CF0754">
            <w:pPr>
              <w:pStyle w:val="TableParagraph"/>
              <w:rPr>
                <w:sz w:val="20"/>
              </w:rPr>
            </w:pPr>
            <w:r w:rsidRPr="00150EDC">
              <w:rPr>
                <w:sz w:val="20"/>
              </w:rPr>
              <w:t>Children</w:t>
            </w:r>
            <w:r w:rsidRPr="00150EDC">
              <w:rPr>
                <w:spacing w:val="-8"/>
                <w:sz w:val="20"/>
              </w:rPr>
              <w:t xml:space="preserve"> </w:t>
            </w:r>
            <w:r w:rsidRPr="00150EDC">
              <w:rPr>
                <w:sz w:val="20"/>
              </w:rPr>
              <w:t>and</w:t>
            </w:r>
            <w:r w:rsidRPr="00150EDC">
              <w:rPr>
                <w:spacing w:val="-7"/>
                <w:sz w:val="20"/>
              </w:rPr>
              <w:t xml:space="preserve"> </w:t>
            </w:r>
            <w:r w:rsidRPr="00150EDC">
              <w:rPr>
                <w:sz w:val="20"/>
              </w:rPr>
              <w:t>Young</w:t>
            </w:r>
            <w:r w:rsidRPr="00150EDC">
              <w:rPr>
                <w:spacing w:val="-7"/>
                <w:sz w:val="20"/>
              </w:rPr>
              <w:t xml:space="preserve"> </w:t>
            </w:r>
            <w:r w:rsidRPr="00150EDC">
              <w:rPr>
                <w:sz w:val="20"/>
              </w:rPr>
              <w:t>Persons</w:t>
            </w:r>
            <w:r w:rsidRPr="00150EDC">
              <w:rPr>
                <w:spacing w:val="-1"/>
                <w:sz w:val="20"/>
              </w:rPr>
              <w:t xml:space="preserve"> </w:t>
            </w:r>
            <w:r w:rsidRPr="00150EDC">
              <w:rPr>
                <w:sz w:val="20"/>
              </w:rPr>
              <w:t>(Scotland)</w:t>
            </w:r>
            <w:r w:rsidRPr="00150EDC">
              <w:rPr>
                <w:spacing w:val="-7"/>
                <w:sz w:val="20"/>
              </w:rPr>
              <w:t xml:space="preserve"> </w:t>
            </w:r>
            <w:r w:rsidRPr="00150EDC">
              <w:rPr>
                <w:sz w:val="20"/>
              </w:rPr>
              <w:t>Act</w:t>
            </w:r>
            <w:r w:rsidRPr="00150EDC">
              <w:rPr>
                <w:spacing w:val="-6"/>
                <w:sz w:val="20"/>
              </w:rPr>
              <w:t xml:space="preserve"> </w:t>
            </w:r>
            <w:r w:rsidRPr="00150EDC">
              <w:rPr>
                <w:sz w:val="20"/>
              </w:rPr>
              <w:t>1937,</w:t>
            </w:r>
            <w:r w:rsidRPr="00150EDC">
              <w:rPr>
                <w:spacing w:val="-7"/>
                <w:sz w:val="20"/>
              </w:rPr>
              <w:t xml:space="preserve"> </w:t>
            </w:r>
            <w:r w:rsidRPr="00150EDC">
              <w:rPr>
                <w:spacing w:val="-5"/>
                <w:sz w:val="20"/>
              </w:rPr>
              <w:t>s34</w:t>
            </w:r>
          </w:p>
        </w:tc>
        <w:tc>
          <w:tcPr>
            <w:tcW w:w="7427" w:type="dxa"/>
          </w:tcPr>
          <w:p w14:paraId="45EF21DC" w14:textId="77777777" w:rsidR="004C7180" w:rsidRPr="00150EDC" w:rsidRDefault="00CF0754">
            <w:pPr>
              <w:pStyle w:val="TableParagraph"/>
              <w:rPr>
                <w:sz w:val="20"/>
              </w:rPr>
            </w:pPr>
            <w:r w:rsidRPr="00150EDC">
              <w:rPr>
                <w:sz w:val="20"/>
              </w:rPr>
              <w:t>Training</w:t>
            </w:r>
            <w:r w:rsidRPr="00150EDC">
              <w:rPr>
                <w:spacing w:val="-6"/>
                <w:sz w:val="20"/>
              </w:rPr>
              <w:t xml:space="preserve"> </w:t>
            </w:r>
            <w:r w:rsidRPr="00150EDC">
              <w:rPr>
                <w:sz w:val="20"/>
              </w:rPr>
              <w:t>a</w:t>
            </w:r>
            <w:r w:rsidRPr="00150EDC">
              <w:rPr>
                <w:spacing w:val="-5"/>
                <w:sz w:val="20"/>
              </w:rPr>
              <w:t xml:space="preserve"> </w:t>
            </w:r>
            <w:r w:rsidRPr="00150EDC">
              <w:rPr>
                <w:sz w:val="20"/>
              </w:rPr>
              <w:t>person under</w:t>
            </w:r>
            <w:r w:rsidRPr="00150EDC">
              <w:rPr>
                <w:spacing w:val="-5"/>
                <w:sz w:val="20"/>
              </w:rPr>
              <w:t xml:space="preserve"> </w:t>
            </w:r>
            <w:r w:rsidRPr="00150EDC">
              <w:rPr>
                <w:sz w:val="20"/>
              </w:rPr>
              <w:t>12</w:t>
            </w:r>
            <w:r w:rsidRPr="00150EDC">
              <w:rPr>
                <w:spacing w:val="-1"/>
                <w:sz w:val="20"/>
              </w:rPr>
              <w:t xml:space="preserve"> </w:t>
            </w:r>
            <w:r w:rsidRPr="00150EDC">
              <w:rPr>
                <w:sz w:val="20"/>
              </w:rPr>
              <w:t>for</w:t>
            </w:r>
            <w:r w:rsidRPr="00150EDC">
              <w:rPr>
                <w:spacing w:val="-5"/>
                <w:sz w:val="20"/>
              </w:rPr>
              <w:t xml:space="preserve"> </w:t>
            </w:r>
            <w:r w:rsidRPr="00150EDC">
              <w:rPr>
                <w:sz w:val="20"/>
              </w:rPr>
              <w:t>a dangerous</w:t>
            </w:r>
            <w:r w:rsidRPr="00150EDC">
              <w:rPr>
                <w:spacing w:val="-3"/>
                <w:sz w:val="20"/>
              </w:rPr>
              <w:t xml:space="preserve"> </w:t>
            </w:r>
            <w:r w:rsidRPr="00150EDC">
              <w:rPr>
                <w:spacing w:val="-2"/>
                <w:sz w:val="20"/>
              </w:rPr>
              <w:t>performance</w:t>
            </w:r>
          </w:p>
        </w:tc>
      </w:tr>
      <w:tr w:rsidR="004569EE" w:rsidRPr="007D3144" w14:paraId="3EA6F6CF" w14:textId="77777777">
        <w:trPr>
          <w:trHeight w:val="255"/>
        </w:trPr>
        <w:tc>
          <w:tcPr>
            <w:tcW w:w="6517" w:type="dxa"/>
          </w:tcPr>
          <w:p w14:paraId="594F3364" w14:textId="77777777" w:rsidR="004C7180" w:rsidRPr="00150EDC" w:rsidRDefault="00CF0754">
            <w:pPr>
              <w:pStyle w:val="TableParagraph"/>
              <w:rPr>
                <w:sz w:val="20"/>
              </w:rPr>
            </w:pPr>
            <w:r w:rsidRPr="00150EDC">
              <w:rPr>
                <w:sz w:val="20"/>
              </w:rPr>
              <w:t>Children</w:t>
            </w:r>
            <w:r w:rsidRPr="00150EDC">
              <w:rPr>
                <w:spacing w:val="-8"/>
                <w:sz w:val="20"/>
              </w:rPr>
              <w:t xml:space="preserve"> </w:t>
            </w:r>
            <w:r w:rsidRPr="00150EDC">
              <w:rPr>
                <w:sz w:val="20"/>
              </w:rPr>
              <w:t>and</w:t>
            </w:r>
            <w:r w:rsidRPr="00150EDC">
              <w:rPr>
                <w:spacing w:val="-7"/>
                <w:sz w:val="20"/>
              </w:rPr>
              <w:t xml:space="preserve"> </w:t>
            </w:r>
            <w:r w:rsidRPr="00150EDC">
              <w:rPr>
                <w:sz w:val="20"/>
              </w:rPr>
              <w:t>Young</w:t>
            </w:r>
            <w:r w:rsidRPr="00150EDC">
              <w:rPr>
                <w:spacing w:val="-7"/>
                <w:sz w:val="20"/>
              </w:rPr>
              <w:t xml:space="preserve"> </w:t>
            </w:r>
            <w:r w:rsidRPr="00150EDC">
              <w:rPr>
                <w:sz w:val="20"/>
              </w:rPr>
              <w:t>Persons</w:t>
            </w:r>
            <w:r w:rsidRPr="00150EDC">
              <w:rPr>
                <w:spacing w:val="-1"/>
                <w:sz w:val="20"/>
              </w:rPr>
              <w:t xml:space="preserve"> </w:t>
            </w:r>
            <w:r w:rsidRPr="00150EDC">
              <w:rPr>
                <w:sz w:val="20"/>
              </w:rPr>
              <w:t>(Scotland)</w:t>
            </w:r>
            <w:r w:rsidRPr="00150EDC">
              <w:rPr>
                <w:spacing w:val="-7"/>
                <w:sz w:val="20"/>
              </w:rPr>
              <w:t xml:space="preserve"> </w:t>
            </w:r>
            <w:r w:rsidRPr="00150EDC">
              <w:rPr>
                <w:sz w:val="20"/>
              </w:rPr>
              <w:t>Act</w:t>
            </w:r>
            <w:r w:rsidRPr="00150EDC">
              <w:rPr>
                <w:spacing w:val="-6"/>
                <w:sz w:val="20"/>
              </w:rPr>
              <w:t xml:space="preserve"> </w:t>
            </w:r>
            <w:r w:rsidRPr="00150EDC">
              <w:rPr>
                <w:sz w:val="20"/>
              </w:rPr>
              <w:t>1937,</w:t>
            </w:r>
            <w:r w:rsidRPr="00150EDC">
              <w:rPr>
                <w:spacing w:val="-7"/>
                <w:sz w:val="20"/>
              </w:rPr>
              <w:t xml:space="preserve"> </w:t>
            </w:r>
            <w:r w:rsidRPr="00150EDC">
              <w:rPr>
                <w:spacing w:val="-5"/>
                <w:sz w:val="20"/>
              </w:rPr>
              <w:t>s71</w:t>
            </w:r>
          </w:p>
        </w:tc>
        <w:tc>
          <w:tcPr>
            <w:tcW w:w="7427" w:type="dxa"/>
          </w:tcPr>
          <w:p w14:paraId="4E7376F2" w14:textId="77777777" w:rsidR="004C7180" w:rsidRPr="00150EDC" w:rsidRDefault="00CF0754">
            <w:pPr>
              <w:pStyle w:val="TableParagraph"/>
              <w:rPr>
                <w:sz w:val="20"/>
              </w:rPr>
            </w:pPr>
            <w:r w:rsidRPr="00150EDC">
              <w:rPr>
                <w:sz w:val="20"/>
              </w:rPr>
              <w:t>Harbouring</w:t>
            </w:r>
            <w:r w:rsidRPr="00150EDC">
              <w:rPr>
                <w:spacing w:val="-7"/>
                <w:sz w:val="20"/>
              </w:rPr>
              <w:t xml:space="preserve"> </w:t>
            </w:r>
            <w:r w:rsidRPr="00150EDC">
              <w:rPr>
                <w:sz w:val="20"/>
              </w:rPr>
              <w:t>or</w:t>
            </w:r>
            <w:r w:rsidRPr="00150EDC">
              <w:rPr>
                <w:spacing w:val="-6"/>
                <w:sz w:val="20"/>
              </w:rPr>
              <w:t xml:space="preserve"> </w:t>
            </w:r>
            <w:r w:rsidRPr="00150EDC">
              <w:rPr>
                <w:sz w:val="20"/>
              </w:rPr>
              <w:t>concealing</w:t>
            </w:r>
            <w:r w:rsidRPr="00150EDC">
              <w:rPr>
                <w:spacing w:val="-6"/>
                <w:sz w:val="20"/>
              </w:rPr>
              <w:t xml:space="preserve"> </w:t>
            </w:r>
            <w:r w:rsidRPr="00150EDC">
              <w:rPr>
                <w:sz w:val="20"/>
              </w:rPr>
              <w:t>a</w:t>
            </w:r>
            <w:r w:rsidRPr="00150EDC">
              <w:rPr>
                <w:spacing w:val="-3"/>
                <w:sz w:val="20"/>
              </w:rPr>
              <w:t xml:space="preserve"> </w:t>
            </w:r>
            <w:r w:rsidRPr="00150EDC">
              <w:rPr>
                <w:sz w:val="20"/>
              </w:rPr>
              <w:t>missing</w:t>
            </w:r>
            <w:r w:rsidRPr="00150EDC">
              <w:rPr>
                <w:spacing w:val="-6"/>
                <w:sz w:val="20"/>
              </w:rPr>
              <w:t xml:space="preserve"> </w:t>
            </w:r>
            <w:r w:rsidRPr="00150EDC">
              <w:rPr>
                <w:spacing w:val="-4"/>
                <w:sz w:val="20"/>
              </w:rPr>
              <w:t>child</w:t>
            </w:r>
          </w:p>
        </w:tc>
      </w:tr>
      <w:tr w:rsidR="004569EE" w:rsidRPr="007D3144" w14:paraId="368540FD" w14:textId="77777777">
        <w:trPr>
          <w:trHeight w:val="255"/>
        </w:trPr>
        <w:tc>
          <w:tcPr>
            <w:tcW w:w="6517" w:type="dxa"/>
          </w:tcPr>
          <w:p w14:paraId="26573553" w14:textId="77777777" w:rsidR="004C7180" w:rsidRPr="00150EDC" w:rsidRDefault="00CF0754">
            <w:pPr>
              <w:pStyle w:val="TableParagraph"/>
              <w:spacing w:before="28"/>
              <w:rPr>
                <w:sz w:val="20"/>
              </w:rPr>
            </w:pPr>
            <w:r w:rsidRPr="00150EDC">
              <w:rPr>
                <w:sz w:val="20"/>
              </w:rPr>
              <w:t>Children</w:t>
            </w:r>
            <w:r w:rsidRPr="00150EDC">
              <w:rPr>
                <w:spacing w:val="-8"/>
                <w:sz w:val="20"/>
              </w:rPr>
              <w:t xml:space="preserve"> </w:t>
            </w:r>
            <w:r w:rsidRPr="00150EDC">
              <w:rPr>
                <w:sz w:val="20"/>
              </w:rPr>
              <w:t>and</w:t>
            </w:r>
            <w:r w:rsidRPr="00150EDC">
              <w:rPr>
                <w:spacing w:val="-7"/>
                <w:sz w:val="20"/>
              </w:rPr>
              <w:t xml:space="preserve"> </w:t>
            </w:r>
            <w:r w:rsidRPr="00150EDC">
              <w:rPr>
                <w:sz w:val="20"/>
              </w:rPr>
              <w:t>Young</w:t>
            </w:r>
            <w:r w:rsidRPr="00150EDC">
              <w:rPr>
                <w:spacing w:val="-7"/>
                <w:sz w:val="20"/>
              </w:rPr>
              <w:t xml:space="preserve"> </w:t>
            </w:r>
            <w:r w:rsidRPr="00150EDC">
              <w:rPr>
                <w:sz w:val="20"/>
              </w:rPr>
              <w:t>Persons</w:t>
            </w:r>
            <w:r w:rsidRPr="00150EDC">
              <w:rPr>
                <w:spacing w:val="-1"/>
                <w:sz w:val="20"/>
              </w:rPr>
              <w:t xml:space="preserve"> </w:t>
            </w:r>
            <w:r w:rsidRPr="00150EDC">
              <w:rPr>
                <w:sz w:val="20"/>
              </w:rPr>
              <w:t>(Scotland)</w:t>
            </w:r>
            <w:r w:rsidRPr="00150EDC">
              <w:rPr>
                <w:spacing w:val="-7"/>
                <w:sz w:val="20"/>
              </w:rPr>
              <w:t xml:space="preserve"> </w:t>
            </w:r>
            <w:r w:rsidRPr="00150EDC">
              <w:rPr>
                <w:sz w:val="20"/>
              </w:rPr>
              <w:t>Act</w:t>
            </w:r>
            <w:r w:rsidRPr="00150EDC">
              <w:rPr>
                <w:spacing w:val="-6"/>
                <w:sz w:val="20"/>
              </w:rPr>
              <w:t xml:space="preserve"> </w:t>
            </w:r>
            <w:r w:rsidRPr="00150EDC">
              <w:rPr>
                <w:sz w:val="20"/>
              </w:rPr>
              <w:t>1969,</w:t>
            </w:r>
            <w:r w:rsidRPr="00150EDC">
              <w:rPr>
                <w:spacing w:val="-7"/>
                <w:sz w:val="20"/>
              </w:rPr>
              <w:t xml:space="preserve"> </w:t>
            </w:r>
            <w:r w:rsidRPr="00150EDC">
              <w:rPr>
                <w:spacing w:val="-5"/>
                <w:sz w:val="20"/>
              </w:rPr>
              <w:t>s32</w:t>
            </w:r>
          </w:p>
        </w:tc>
        <w:tc>
          <w:tcPr>
            <w:tcW w:w="7427" w:type="dxa"/>
          </w:tcPr>
          <w:p w14:paraId="7AA5679F" w14:textId="77777777" w:rsidR="004C7180" w:rsidRPr="00150EDC" w:rsidRDefault="00CF0754">
            <w:pPr>
              <w:pStyle w:val="TableParagraph"/>
              <w:spacing w:before="28"/>
              <w:rPr>
                <w:sz w:val="20"/>
              </w:rPr>
            </w:pPr>
            <w:r w:rsidRPr="00150EDC">
              <w:rPr>
                <w:sz w:val="20"/>
              </w:rPr>
              <w:t>Compelling,</w:t>
            </w:r>
            <w:r w:rsidRPr="00150EDC">
              <w:rPr>
                <w:spacing w:val="-2"/>
                <w:sz w:val="20"/>
              </w:rPr>
              <w:t xml:space="preserve"> </w:t>
            </w:r>
            <w:r w:rsidRPr="00150EDC">
              <w:rPr>
                <w:sz w:val="20"/>
              </w:rPr>
              <w:t>persuading,</w:t>
            </w:r>
            <w:r w:rsidRPr="00150EDC">
              <w:rPr>
                <w:spacing w:val="-7"/>
                <w:sz w:val="20"/>
              </w:rPr>
              <w:t xml:space="preserve"> </w:t>
            </w:r>
            <w:r w:rsidRPr="00150EDC">
              <w:rPr>
                <w:sz w:val="20"/>
              </w:rPr>
              <w:t>inciting</w:t>
            </w:r>
            <w:r w:rsidRPr="00150EDC">
              <w:rPr>
                <w:spacing w:val="-6"/>
                <w:sz w:val="20"/>
              </w:rPr>
              <w:t xml:space="preserve"> </w:t>
            </w:r>
            <w:r w:rsidRPr="00150EDC">
              <w:rPr>
                <w:sz w:val="20"/>
              </w:rPr>
              <w:t>or</w:t>
            </w:r>
            <w:r w:rsidRPr="00150EDC">
              <w:rPr>
                <w:spacing w:val="-7"/>
                <w:sz w:val="20"/>
              </w:rPr>
              <w:t xml:space="preserve"> </w:t>
            </w:r>
            <w:r w:rsidRPr="00150EDC">
              <w:rPr>
                <w:sz w:val="20"/>
              </w:rPr>
              <w:t>assisting</w:t>
            </w:r>
            <w:r w:rsidRPr="00150EDC">
              <w:rPr>
                <w:spacing w:val="-2"/>
                <w:sz w:val="20"/>
              </w:rPr>
              <w:t xml:space="preserve"> </w:t>
            </w:r>
            <w:r w:rsidRPr="00150EDC">
              <w:rPr>
                <w:sz w:val="20"/>
              </w:rPr>
              <w:t>child</w:t>
            </w:r>
            <w:r w:rsidRPr="00150EDC">
              <w:rPr>
                <w:spacing w:val="-6"/>
                <w:sz w:val="20"/>
              </w:rPr>
              <w:t xml:space="preserve"> </w:t>
            </w:r>
            <w:r w:rsidRPr="00150EDC">
              <w:rPr>
                <w:sz w:val="20"/>
              </w:rPr>
              <w:t>to</w:t>
            </w:r>
            <w:r w:rsidRPr="00150EDC">
              <w:rPr>
                <w:spacing w:val="-2"/>
                <w:sz w:val="20"/>
              </w:rPr>
              <w:t xml:space="preserve"> </w:t>
            </w:r>
            <w:r w:rsidRPr="00150EDC">
              <w:rPr>
                <w:sz w:val="20"/>
              </w:rPr>
              <w:t>be</w:t>
            </w:r>
            <w:r w:rsidRPr="00150EDC">
              <w:rPr>
                <w:spacing w:val="-7"/>
                <w:sz w:val="20"/>
              </w:rPr>
              <w:t xml:space="preserve"> </w:t>
            </w:r>
            <w:r w:rsidRPr="00150EDC">
              <w:rPr>
                <w:sz w:val="20"/>
              </w:rPr>
              <w:t>absent</w:t>
            </w:r>
            <w:r w:rsidRPr="00150EDC">
              <w:rPr>
                <w:spacing w:val="-6"/>
                <w:sz w:val="20"/>
              </w:rPr>
              <w:t xml:space="preserve"> </w:t>
            </w:r>
            <w:r w:rsidRPr="00150EDC">
              <w:rPr>
                <w:sz w:val="20"/>
              </w:rPr>
              <w:t>from</w:t>
            </w:r>
            <w:r w:rsidRPr="00150EDC">
              <w:rPr>
                <w:spacing w:val="-7"/>
                <w:sz w:val="20"/>
              </w:rPr>
              <w:t xml:space="preserve"> </w:t>
            </w:r>
            <w:r w:rsidRPr="00150EDC">
              <w:rPr>
                <w:spacing w:val="-2"/>
                <w:sz w:val="20"/>
              </w:rPr>
              <w:t>detention</w:t>
            </w:r>
          </w:p>
        </w:tc>
      </w:tr>
      <w:tr w:rsidR="004569EE" w:rsidRPr="007D3144" w14:paraId="7B616ECA" w14:textId="77777777">
        <w:trPr>
          <w:trHeight w:val="460"/>
        </w:trPr>
        <w:tc>
          <w:tcPr>
            <w:tcW w:w="6517" w:type="dxa"/>
          </w:tcPr>
          <w:p w14:paraId="311AF810" w14:textId="77777777" w:rsidR="004C7180" w:rsidRPr="00150EDC" w:rsidRDefault="004C7180">
            <w:pPr>
              <w:pStyle w:val="TableParagraph"/>
              <w:spacing w:before="2" w:line="240" w:lineRule="auto"/>
              <w:ind w:left="0"/>
              <w:rPr>
                <w:sz w:val="20"/>
              </w:rPr>
            </w:pPr>
          </w:p>
          <w:p w14:paraId="72AB4298" w14:textId="77777777" w:rsidR="004C7180" w:rsidRPr="00150EDC" w:rsidRDefault="00CF0754">
            <w:pPr>
              <w:pStyle w:val="TableParagraph"/>
              <w:spacing w:before="0"/>
              <w:rPr>
                <w:sz w:val="20"/>
              </w:rPr>
            </w:pPr>
            <w:r w:rsidRPr="00150EDC">
              <w:rPr>
                <w:sz w:val="20"/>
              </w:rPr>
              <w:t>Children</w:t>
            </w:r>
            <w:r w:rsidRPr="00150EDC">
              <w:rPr>
                <w:spacing w:val="-8"/>
                <w:sz w:val="20"/>
              </w:rPr>
              <w:t xml:space="preserve"> </w:t>
            </w:r>
            <w:r w:rsidRPr="00150EDC">
              <w:rPr>
                <w:sz w:val="20"/>
              </w:rPr>
              <w:t>and</w:t>
            </w:r>
            <w:r w:rsidRPr="00150EDC">
              <w:rPr>
                <w:spacing w:val="-7"/>
                <w:sz w:val="20"/>
              </w:rPr>
              <w:t xml:space="preserve"> </w:t>
            </w:r>
            <w:r w:rsidRPr="00150EDC">
              <w:rPr>
                <w:sz w:val="20"/>
              </w:rPr>
              <w:t>Young</w:t>
            </w:r>
            <w:r w:rsidRPr="00150EDC">
              <w:rPr>
                <w:spacing w:val="-8"/>
                <w:sz w:val="20"/>
              </w:rPr>
              <w:t xml:space="preserve"> </w:t>
            </w:r>
            <w:r w:rsidRPr="00150EDC">
              <w:rPr>
                <w:sz w:val="20"/>
              </w:rPr>
              <w:t>Persons</w:t>
            </w:r>
            <w:r w:rsidRPr="00150EDC">
              <w:rPr>
                <w:spacing w:val="-3"/>
                <w:sz w:val="20"/>
              </w:rPr>
              <w:t xml:space="preserve"> </w:t>
            </w:r>
            <w:r w:rsidRPr="00150EDC">
              <w:rPr>
                <w:sz w:val="20"/>
              </w:rPr>
              <w:t>Act</w:t>
            </w:r>
            <w:r w:rsidRPr="00150EDC">
              <w:rPr>
                <w:spacing w:val="-7"/>
                <w:sz w:val="20"/>
              </w:rPr>
              <w:t xml:space="preserve"> </w:t>
            </w:r>
            <w:r w:rsidRPr="00150EDC">
              <w:rPr>
                <w:sz w:val="20"/>
              </w:rPr>
              <w:t>(Northern</w:t>
            </w:r>
            <w:r w:rsidRPr="00150EDC">
              <w:rPr>
                <w:spacing w:val="-3"/>
                <w:sz w:val="20"/>
              </w:rPr>
              <w:t xml:space="preserve"> </w:t>
            </w:r>
            <w:r w:rsidRPr="00150EDC">
              <w:rPr>
                <w:sz w:val="20"/>
              </w:rPr>
              <w:t>Ireland)</w:t>
            </w:r>
            <w:r w:rsidRPr="00150EDC">
              <w:rPr>
                <w:spacing w:val="-4"/>
                <w:sz w:val="20"/>
              </w:rPr>
              <w:t xml:space="preserve"> </w:t>
            </w:r>
            <w:r w:rsidRPr="00150EDC">
              <w:rPr>
                <w:sz w:val="20"/>
              </w:rPr>
              <w:t>1968,</w:t>
            </w:r>
            <w:r w:rsidRPr="00150EDC">
              <w:rPr>
                <w:spacing w:val="-3"/>
                <w:sz w:val="20"/>
              </w:rPr>
              <w:t xml:space="preserve"> </w:t>
            </w:r>
            <w:r w:rsidRPr="00150EDC">
              <w:rPr>
                <w:spacing w:val="-4"/>
                <w:sz w:val="20"/>
              </w:rPr>
              <w:t>s101</w:t>
            </w:r>
          </w:p>
        </w:tc>
        <w:tc>
          <w:tcPr>
            <w:tcW w:w="7427" w:type="dxa"/>
          </w:tcPr>
          <w:p w14:paraId="2F26B7AF" w14:textId="77777777" w:rsidR="004C7180" w:rsidRPr="00150EDC" w:rsidRDefault="00CF0754">
            <w:pPr>
              <w:pStyle w:val="TableParagraph"/>
              <w:spacing w:before="0" w:line="230" w:lineRule="atLeast"/>
              <w:rPr>
                <w:sz w:val="20"/>
              </w:rPr>
            </w:pPr>
            <w:r w:rsidRPr="00150EDC">
              <w:rPr>
                <w:sz w:val="20"/>
              </w:rPr>
              <w:t>Compelling,</w:t>
            </w:r>
            <w:r w:rsidRPr="00150EDC">
              <w:rPr>
                <w:spacing w:val="-1"/>
                <w:sz w:val="20"/>
              </w:rPr>
              <w:t xml:space="preserve"> </w:t>
            </w:r>
            <w:r w:rsidRPr="00150EDC">
              <w:rPr>
                <w:sz w:val="20"/>
              </w:rPr>
              <w:t>persuading,</w:t>
            </w:r>
            <w:r w:rsidRPr="00150EDC">
              <w:rPr>
                <w:spacing w:val="-3"/>
                <w:sz w:val="20"/>
              </w:rPr>
              <w:t xml:space="preserve"> </w:t>
            </w:r>
            <w:r w:rsidRPr="00150EDC">
              <w:rPr>
                <w:sz w:val="20"/>
              </w:rPr>
              <w:t>inciting,</w:t>
            </w:r>
            <w:r w:rsidRPr="00150EDC">
              <w:rPr>
                <w:spacing w:val="-4"/>
                <w:sz w:val="20"/>
              </w:rPr>
              <w:t xml:space="preserve"> </w:t>
            </w:r>
            <w:r w:rsidRPr="00150EDC">
              <w:rPr>
                <w:sz w:val="20"/>
              </w:rPr>
              <w:t>or</w:t>
            </w:r>
            <w:r w:rsidRPr="00150EDC">
              <w:rPr>
                <w:spacing w:val="-5"/>
                <w:sz w:val="20"/>
              </w:rPr>
              <w:t xml:space="preserve"> </w:t>
            </w:r>
            <w:r w:rsidRPr="00150EDC">
              <w:rPr>
                <w:sz w:val="20"/>
              </w:rPr>
              <w:t>assisting</w:t>
            </w:r>
            <w:r w:rsidRPr="00150EDC">
              <w:rPr>
                <w:spacing w:val="-5"/>
                <w:sz w:val="20"/>
              </w:rPr>
              <w:t xml:space="preserve"> </w:t>
            </w:r>
            <w:r w:rsidRPr="00150EDC">
              <w:rPr>
                <w:sz w:val="20"/>
              </w:rPr>
              <w:t>child</w:t>
            </w:r>
            <w:r w:rsidRPr="00150EDC">
              <w:rPr>
                <w:spacing w:val="-5"/>
                <w:sz w:val="20"/>
              </w:rPr>
              <w:t xml:space="preserve"> </w:t>
            </w:r>
            <w:r w:rsidRPr="00150EDC">
              <w:rPr>
                <w:sz w:val="20"/>
              </w:rPr>
              <w:t>to</w:t>
            </w:r>
            <w:r w:rsidRPr="00150EDC">
              <w:rPr>
                <w:spacing w:val="-1"/>
                <w:sz w:val="20"/>
              </w:rPr>
              <w:t xml:space="preserve"> </w:t>
            </w:r>
            <w:r w:rsidRPr="00150EDC">
              <w:rPr>
                <w:sz w:val="20"/>
              </w:rPr>
              <w:t>be</w:t>
            </w:r>
            <w:r w:rsidRPr="00150EDC">
              <w:rPr>
                <w:spacing w:val="-5"/>
                <w:sz w:val="20"/>
              </w:rPr>
              <w:t xml:space="preserve"> </w:t>
            </w:r>
            <w:r w:rsidRPr="00150EDC">
              <w:rPr>
                <w:sz w:val="20"/>
              </w:rPr>
              <w:t>absent</w:t>
            </w:r>
            <w:r w:rsidRPr="00150EDC">
              <w:rPr>
                <w:spacing w:val="-5"/>
                <w:sz w:val="20"/>
              </w:rPr>
              <w:t xml:space="preserve"> </w:t>
            </w:r>
            <w:r w:rsidRPr="00150EDC">
              <w:rPr>
                <w:sz w:val="20"/>
              </w:rPr>
              <w:t>from</w:t>
            </w:r>
            <w:r w:rsidRPr="00150EDC">
              <w:rPr>
                <w:spacing w:val="-5"/>
                <w:sz w:val="20"/>
              </w:rPr>
              <w:t xml:space="preserve"> </w:t>
            </w:r>
            <w:r w:rsidRPr="00150EDC">
              <w:rPr>
                <w:sz w:val="20"/>
              </w:rPr>
              <w:t>a</w:t>
            </w:r>
            <w:r w:rsidRPr="00150EDC">
              <w:rPr>
                <w:spacing w:val="-2"/>
                <w:sz w:val="20"/>
              </w:rPr>
              <w:t xml:space="preserve"> </w:t>
            </w:r>
            <w:r w:rsidRPr="00150EDC">
              <w:rPr>
                <w:sz w:val="20"/>
              </w:rPr>
              <w:t>place</w:t>
            </w:r>
            <w:r w:rsidRPr="00150EDC">
              <w:rPr>
                <w:spacing w:val="-5"/>
                <w:sz w:val="20"/>
              </w:rPr>
              <w:t xml:space="preserve"> </w:t>
            </w:r>
            <w:r w:rsidRPr="00150EDC">
              <w:rPr>
                <w:sz w:val="20"/>
              </w:rPr>
              <w:t xml:space="preserve">of </w:t>
            </w:r>
            <w:r w:rsidRPr="00150EDC">
              <w:rPr>
                <w:spacing w:val="-2"/>
                <w:sz w:val="20"/>
              </w:rPr>
              <w:t>safety</w:t>
            </w:r>
          </w:p>
        </w:tc>
      </w:tr>
      <w:tr w:rsidR="004569EE" w:rsidRPr="007D3144" w14:paraId="20633386" w14:textId="77777777">
        <w:trPr>
          <w:trHeight w:val="460"/>
        </w:trPr>
        <w:tc>
          <w:tcPr>
            <w:tcW w:w="6517" w:type="dxa"/>
          </w:tcPr>
          <w:p w14:paraId="63E440C1" w14:textId="77777777" w:rsidR="004C7180" w:rsidRPr="00150EDC" w:rsidRDefault="004C7180">
            <w:pPr>
              <w:pStyle w:val="TableParagraph"/>
              <w:spacing w:before="2" w:line="240" w:lineRule="auto"/>
              <w:ind w:left="0"/>
              <w:rPr>
                <w:sz w:val="20"/>
              </w:rPr>
            </w:pPr>
          </w:p>
          <w:p w14:paraId="4695123E" w14:textId="77777777" w:rsidR="004C7180" w:rsidRPr="00150EDC" w:rsidRDefault="00CF0754">
            <w:pPr>
              <w:pStyle w:val="TableParagraph"/>
              <w:spacing w:before="0"/>
              <w:rPr>
                <w:sz w:val="20"/>
              </w:rPr>
            </w:pPr>
            <w:r w:rsidRPr="00150EDC">
              <w:rPr>
                <w:sz w:val="20"/>
              </w:rPr>
              <w:t>Children</w:t>
            </w:r>
            <w:r w:rsidRPr="00150EDC">
              <w:rPr>
                <w:spacing w:val="-8"/>
                <w:sz w:val="20"/>
              </w:rPr>
              <w:t xml:space="preserve"> </w:t>
            </w:r>
            <w:r w:rsidRPr="00150EDC">
              <w:rPr>
                <w:sz w:val="20"/>
              </w:rPr>
              <w:t>and</w:t>
            </w:r>
            <w:r w:rsidRPr="00150EDC">
              <w:rPr>
                <w:spacing w:val="-8"/>
                <w:sz w:val="20"/>
              </w:rPr>
              <w:t xml:space="preserve"> </w:t>
            </w:r>
            <w:r w:rsidRPr="00150EDC">
              <w:rPr>
                <w:sz w:val="20"/>
              </w:rPr>
              <w:t>Young</w:t>
            </w:r>
            <w:r w:rsidRPr="00150EDC">
              <w:rPr>
                <w:spacing w:val="-8"/>
                <w:sz w:val="20"/>
              </w:rPr>
              <w:t xml:space="preserve"> </w:t>
            </w:r>
            <w:r w:rsidRPr="00150EDC">
              <w:rPr>
                <w:sz w:val="20"/>
              </w:rPr>
              <w:t>Persons</w:t>
            </w:r>
            <w:r w:rsidRPr="00150EDC">
              <w:rPr>
                <w:spacing w:val="-3"/>
                <w:sz w:val="20"/>
              </w:rPr>
              <w:t xml:space="preserve"> </w:t>
            </w:r>
            <w:r w:rsidRPr="00150EDC">
              <w:rPr>
                <w:sz w:val="20"/>
              </w:rPr>
              <w:t>Act</w:t>
            </w:r>
            <w:r w:rsidRPr="00150EDC">
              <w:rPr>
                <w:spacing w:val="-7"/>
                <w:sz w:val="20"/>
              </w:rPr>
              <w:t xml:space="preserve"> </w:t>
            </w:r>
            <w:r w:rsidRPr="00150EDC">
              <w:rPr>
                <w:sz w:val="20"/>
              </w:rPr>
              <w:t>(Northern</w:t>
            </w:r>
            <w:r w:rsidRPr="00150EDC">
              <w:rPr>
                <w:spacing w:val="-4"/>
                <w:sz w:val="20"/>
              </w:rPr>
              <w:t xml:space="preserve"> </w:t>
            </w:r>
            <w:r w:rsidRPr="00150EDC">
              <w:rPr>
                <w:sz w:val="20"/>
              </w:rPr>
              <w:t>Ireland)</w:t>
            </w:r>
            <w:r w:rsidRPr="00150EDC">
              <w:rPr>
                <w:spacing w:val="-4"/>
                <w:sz w:val="20"/>
              </w:rPr>
              <w:t xml:space="preserve"> </w:t>
            </w:r>
            <w:r w:rsidRPr="00150EDC">
              <w:rPr>
                <w:sz w:val="20"/>
              </w:rPr>
              <w:t>1968,</w:t>
            </w:r>
            <w:r w:rsidRPr="00150EDC">
              <w:rPr>
                <w:spacing w:val="-3"/>
                <w:sz w:val="20"/>
              </w:rPr>
              <w:t xml:space="preserve"> </w:t>
            </w:r>
            <w:r w:rsidRPr="00150EDC">
              <w:rPr>
                <w:spacing w:val="-2"/>
                <w:sz w:val="20"/>
              </w:rPr>
              <w:t>s105(8)</w:t>
            </w:r>
          </w:p>
        </w:tc>
        <w:tc>
          <w:tcPr>
            <w:tcW w:w="7427" w:type="dxa"/>
          </w:tcPr>
          <w:p w14:paraId="5FE99E1A" w14:textId="77777777" w:rsidR="004C7180" w:rsidRPr="00150EDC" w:rsidRDefault="00CF0754">
            <w:pPr>
              <w:pStyle w:val="TableParagraph"/>
              <w:spacing w:before="0" w:line="230" w:lineRule="atLeast"/>
              <w:rPr>
                <w:sz w:val="20"/>
              </w:rPr>
            </w:pPr>
            <w:r w:rsidRPr="00150EDC">
              <w:rPr>
                <w:sz w:val="20"/>
              </w:rPr>
              <w:t>Harbouring</w:t>
            </w:r>
            <w:r w:rsidRPr="00150EDC">
              <w:rPr>
                <w:spacing w:val="-5"/>
                <w:sz w:val="20"/>
              </w:rPr>
              <w:t xml:space="preserve"> </w:t>
            </w:r>
            <w:r w:rsidRPr="00150EDC">
              <w:rPr>
                <w:sz w:val="20"/>
              </w:rPr>
              <w:t>or</w:t>
            </w:r>
            <w:r w:rsidRPr="00150EDC">
              <w:rPr>
                <w:spacing w:val="-5"/>
                <w:sz w:val="20"/>
              </w:rPr>
              <w:t xml:space="preserve"> </w:t>
            </w:r>
            <w:r w:rsidRPr="00150EDC">
              <w:rPr>
                <w:sz w:val="20"/>
              </w:rPr>
              <w:t>concealing</w:t>
            </w:r>
            <w:r w:rsidRPr="00150EDC">
              <w:rPr>
                <w:spacing w:val="-5"/>
                <w:sz w:val="20"/>
              </w:rPr>
              <w:t xml:space="preserve"> </w:t>
            </w:r>
            <w:r w:rsidRPr="00150EDC">
              <w:rPr>
                <w:sz w:val="20"/>
              </w:rPr>
              <w:t>a</w:t>
            </w:r>
            <w:r w:rsidRPr="00150EDC">
              <w:rPr>
                <w:spacing w:val="-5"/>
                <w:sz w:val="20"/>
              </w:rPr>
              <w:t xml:space="preserve"> </w:t>
            </w:r>
            <w:r w:rsidRPr="00150EDC">
              <w:rPr>
                <w:sz w:val="20"/>
              </w:rPr>
              <w:t>child</w:t>
            </w:r>
            <w:r w:rsidRPr="00150EDC">
              <w:rPr>
                <w:spacing w:val="-5"/>
                <w:sz w:val="20"/>
              </w:rPr>
              <w:t xml:space="preserve"> </w:t>
            </w:r>
            <w:r w:rsidRPr="00150EDC">
              <w:rPr>
                <w:sz w:val="20"/>
              </w:rPr>
              <w:t>who has</w:t>
            </w:r>
            <w:r w:rsidRPr="00150EDC">
              <w:rPr>
                <w:spacing w:val="-4"/>
                <w:sz w:val="20"/>
              </w:rPr>
              <w:t xml:space="preserve"> </w:t>
            </w:r>
            <w:r w:rsidRPr="00150EDC">
              <w:rPr>
                <w:sz w:val="20"/>
              </w:rPr>
              <w:t>run</w:t>
            </w:r>
            <w:r w:rsidRPr="00150EDC">
              <w:rPr>
                <w:spacing w:val="-5"/>
                <w:sz w:val="20"/>
              </w:rPr>
              <w:t xml:space="preserve"> </w:t>
            </w:r>
            <w:r w:rsidRPr="00150EDC">
              <w:rPr>
                <w:sz w:val="20"/>
              </w:rPr>
              <w:t>away or</w:t>
            </w:r>
            <w:r w:rsidRPr="00150EDC">
              <w:rPr>
                <w:spacing w:val="-5"/>
                <w:sz w:val="20"/>
              </w:rPr>
              <w:t xml:space="preserve"> </w:t>
            </w:r>
            <w:r w:rsidRPr="00150EDC">
              <w:rPr>
                <w:sz w:val="20"/>
              </w:rPr>
              <w:t>been</w:t>
            </w:r>
            <w:r w:rsidRPr="00150EDC">
              <w:rPr>
                <w:spacing w:val="-5"/>
                <w:sz w:val="20"/>
              </w:rPr>
              <w:t xml:space="preserve"> </w:t>
            </w:r>
            <w:r w:rsidRPr="00150EDC">
              <w:rPr>
                <w:sz w:val="20"/>
              </w:rPr>
              <w:t>taken away</w:t>
            </w:r>
            <w:r w:rsidRPr="00150EDC">
              <w:rPr>
                <w:spacing w:val="-4"/>
                <w:sz w:val="20"/>
              </w:rPr>
              <w:t xml:space="preserve"> </w:t>
            </w:r>
            <w:r w:rsidRPr="00150EDC">
              <w:rPr>
                <w:sz w:val="20"/>
              </w:rPr>
              <w:t>from</w:t>
            </w:r>
            <w:r w:rsidRPr="00150EDC">
              <w:rPr>
                <w:spacing w:val="-5"/>
                <w:sz w:val="20"/>
              </w:rPr>
              <w:t xml:space="preserve"> </w:t>
            </w:r>
            <w:r w:rsidRPr="00150EDC">
              <w:rPr>
                <w:sz w:val="20"/>
              </w:rPr>
              <w:t>a place of safety</w:t>
            </w:r>
          </w:p>
        </w:tc>
      </w:tr>
      <w:tr w:rsidR="004569EE" w:rsidRPr="007D3144" w14:paraId="070C848E" w14:textId="77777777">
        <w:trPr>
          <w:trHeight w:val="255"/>
        </w:trPr>
        <w:tc>
          <w:tcPr>
            <w:tcW w:w="6517" w:type="dxa"/>
          </w:tcPr>
          <w:p w14:paraId="18BC5A9F" w14:textId="77777777" w:rsidR="004C7180" w:rsidRPr="00150EDC" w:rsidRDefault="00CF0754">
            <w:pPr>
              <w:pStyle w:val="TableParagraph"/>
              <w:spacing w:before="28"/>
              <w:rPr>
                <w:sz w:val="20"/>
              </w:rPr>
            </w:pPr>
            <w:r w:rsidRPr="00150EDC">
              <w:rPr>
                <w:sz w:val="20"/>
              </w:rPr>
              <w:t>Children</w:t>
            </w:r>
            <w:r w:rsidRPr="00150EDC">
              <w:rPr>
                <w:spacing w:val="-8"/>
                <w:sz w:val="20"/>
              </w:rPr>
              <w:t xml:space="preserve"> </w:t>
            </w:r>
            <w:r w:rsidRPr="00150EDC">
              <w:rPr>
                <w:sz w:val="20"/>
              </w:rPr>
              <w:t>and</w:t>
            </w:r>
            <w:r w:rsidRPr="00150EDC">
              <w:rPr>
                <w:spacing w:val="-8"/>
                <w:sz w:val="20"/>
              </w:rPr>
              <w:t xml:space="preserve"> </w:t>
            </w:r>
            <w:r w:rsidRPr="00150EDC">
              <w:rPr>
                <w:sz w:val="20"/>
              </w:rPr>
              <w:t>Young</w:t>
            </w:r>
            <w:r w:rsidRPr="00150EDC">
              <w:rPr>
                <w:spacing w:val="-8"/>
                <w:sz w:val="20"/>
              </w:rPr>
              <w:t xml:space="preserve"> </w:t>
            </w:r>
            <w:r w:rsidRPr="00150EDC">
              <w:rPr>
                <w:sz w:val="20"/>
              </w:rPr>
              <w:t>Persons</w:t>
            </w:r>
            <w:r w:rsidRPr="00150EDC">
              <w:rPr>
                <w:spacing w:val="-3"/>
                <w:sz w:val="20"/>
              </w:rPr>
              <w:t xml:space="preserve"> </w:t>
            </w:r>
            <w:r w:rsidRPr="00150EDC">
              <w:rPr>
                <w:sz w:val="20"/>
              </w:rPr>
              <w:t>Act</w:t>
            </w:r>
            <w:r w:rsidRPr="00150EDC">
              <w:rPr>
                <w:spacing w:val="-7"/>
                <w:sz w:val="20"/>
              </w:rPr>
              <w:t xml:space="preserve"> </w:t>
            </w:r>
            <w:r w:rsidRPr="00150EDC">
              <w:rPr>
                <w:sz w:val="20"/>
              </w:rPr>
              <w:t>(Northern</w:t>
            </w:r>
            <w:r w:rsidRPr="00150EDC">
              <w:rPr>
                <w:spacing w:val="-4"/>
                <w:sz w:val="20"/>
              </w:rPr>
              <w:t xml:space="preserve"> </w:t>
            </w:r>
            <w:r w:rsidRPr="00150EDC">
              <w:rPr>
                <w:sz w:val="20"/>
              </w:rPr>
              <w:t>Ireland)</w:t>
            </w:r>
            <w:r w:rsidRPr="00150EDC">
              <w:rPr>
                <w:spacing w:val="-4"/>
                <w:sz w:val="20"/>
              </w:rPr>
              <w:t xml:space="preserve"> </w:t>
            </w:r>
            <w:r w:rsidRPr="00150EDC">
              <w:rPr>
                <w:sz w:val="20"/>
              </w:rPr>
              <w:t>1968,</w:t>
            </w:r>
            <w:r w:rsidRPr="00150EDC">
              <w:rPr>
                <w:spacing w:val="-3"/>
                <w:sz w:val="20"/>
              </w:rPr>
              <w:t xml:space="preserve"> </w:t>
            </w:r>
            <w:r w:rsidRPr="00150EDC">
              <w:rPr>
                <w:spacing w:val="-2"/>
                <w:sz w:val="20"/>
              </w:rPr>
              <w:t>s127(5)</w:t>
            </w:r>
          </w:p>
        </w:tc>
        <w:tc>
          <w:tcPr>
            <w:tcW w:w="7427" w:type="dxa"/>
          </w:tcPr>
          <w:p w14:paraId="0CED4F6B" w14:textId="77777777" w:rsidR="004C7180" w:rsidRPr="00150EDC" w:rsidRDefault="00CF0754">
            <w:pPr>
              <w:pStyle w:val="TableParagraph"/>
              <w:spacing w:before="28"/>
              <w:rPr>
                <w:sz w:val="20"/>
              </w:rPr>
            </w:pPr>
            <w:r w:rsidRPr="00150EDC">
              <w:rPr>
                <w:sz w:val="20"/>
              </w:rPr>
              <w:t>Offences</w:t>
            </w:r>
            <w:r w:rsidRPr="00150EDC">
              <w:rPr>
                <w:spacing w:val="-3"/>
                <w:sz w:val="20"/>
              </w:rPr>
              <w:t xml:space="preserve"> </w:t>
            </w:r>
            <w:r w:rsidRPr="00150EDC">
              <w:rPr>
                <w:sz w:val="20"/>
              </w:rPr>
              <w:t>relating</w:t>
            </w:r>
            <w:r w:rsidRPr="00150EDC">
              <w:rPr>
                <w:spacing w:val="-4"/>
                <w:sz w:val="20"/>
              </w:rPr>
              <w:t xml:space="preserve"> </w:t>
            </w:r>
            <w:r w:rsidRPr="00150EDC">
              <w:rPr>
                <w:sz w:val="20"/>
              </w:rPr>
              <w:t>to</w:t>
            </w:r>
            <w:r w:rsidRPr="00150EDC">
              <w:rPr>
                <w:spacing w:val="-8"/>
                <w:sz w:val="20"/>
              </w:rPr>
              <w:t xml:space="preserve"> </w:t>
            </w:r>
            <w:r w:rsidRPr="00150EDC">
              <w:rPr>
                <w:sz w:val="20"/>
              </w:rPr>
              <w:t>voluntary</w:t>
            </w:r>
            <w:r w:rsidRPr="00150EDC">
              <w:rPr>
                <w:spacing w:val="-3"/>
                <w:sz w:val="20"/>
              </w:rPr>
              <w:t xml:space="preserve"> </w:t>
            </w:r>
            <w:r w:rsidRPr="00150EDC">
              <w:rPr>
                <w:sz w:val="20"/>
              </w:rPr>
              <w:t>homes</w:t>
            </w:r>
            <w:r w:rsidRPr="00150EDC">
              <w:rPr>
                <w:spacing w:val="-3"/>
                <w:sz w:val="20"/>
              </w:rPr>
              <w:t xml:space="preserve"> </w:t>
            </w:r>
            <w:r w:rsidRPr="00150EDC">
              <w:rPr>
                <w:sz w:val="20"/>
              </w:rPr>
              <w:t>and</w:t>
            </w:r>
            <w:r w:rsidRPr="00150EDC">
              <w:rPr>
                <w:spacing w:val="-8"/>
                <w:sz w:val="20"/>
              </w:rPr>
              <w:t xml:space="preserve"> </w:t>
            </w:r>
            <w:r w:rsidRPr="00150EDC">
              <w:rPr>
                <w:sz w:val="20"/>
              </w:rPr>
              <w:t>children's</w:t>
            </w:r>
            <w:r w:rsidRPr="00150EDC">
              <w:rPr>
                <w:spacing w:val="-7"/>
                <w:sz w:val="20"/>
              </w:rPr>
              <w:t xml:space="preserve"> </w:t>
            </w:r>
            <w:r w:rsidRPr="00150EDC">
              <w:rPr>
                <w:spacing w:val="-4"/>
                <w:sz w:val="20"/>
              </w:rPr>
              <w:t>homes</w:t>
            </w:r>
          </w:p>
        </w:tc>
      </w:tr>
    </w:tbl>
    <w:p w14:paraId="0645F669" w14:textId="77777777" w:rsidR="004C7180" w:rsidRPr="00150EDC" w:rsidRDefault="004C7180">
      <w:pPr>
        <w:rPr>
          <w:sz w:val="20"/>
        </w:rPr>
        <w:sectPr w:rsidR="004C7180" w:rsidRPr="00150EDC">
          <w:footerReference w:type="default" r:id="rId125"/>
          <w:pgSz w:w="16840" w:h="11910" w:orient="landscape"/>
          <w:pgMar w:top="1340" w:right="1320" w:bottom="280" w:left="1340" w:header="0" w:footer="0" w:gutter="0"/>
          <w:cols w:space="720"/>
        </w:sectPr>
      </w:pPr>
    </w:p>
    <w:p w14:paraId="450ABDCF" w14:textId="77777777" w:rsidR="004C7180" w:rsidRPr="00150EDC" w:rsidRDefault="004C7180">
      <w:pPr>
        <w:pStyle w:val="BodyText"/>
        <w:spacing w:before="3"/>
        <w:rPr>
          <w:sz w:val="8"/>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517"/>
        <w:gridCol w:w="7427"/>
      </w:tblGrid>
      <w:tr w:rsidR="004569EE" w:rsidRPr="007D3144" w14:paraId="562E5CEC" w14:textId="77777777">
        <w:trPr>
          <w:trHeight w:val="254"/>
        </w:trPr>
        <w:tc>
          <w:tcPr>
            <w:tcW w:w="6517" w:type="dxa"/>
          </w:tcPr>
          <w:p w14:paraId="482099B9" w14:textId="77777777" w:rsidR="004C7180" w:rsidRPr="00150EDC" w:rsidRDefault="00CF0754">
            <w:pPr>
              <w:pStyle w:val="TableParagraph"/>
              <w:rPr>
                <w:sz w:val="20"/>
              </w:rPr>
            </w:pPr>
            <w:r w:rsidRPr="00150EDC">
              <w:rPr>
                <w:sz w:val="20"/>
              </w:rPr>
              <w:t>Children</w:t>
            </w:r>
            <w:r w:rsidRPr="00150EDC">
              <w:rPr>
                <w:spacing w:val="-8"/>
                <w:sz w:val="20"/>
              </w:rPr>
              <w:t xml:space="preserve"> </w:t>
            </w:r>
            <w:r w:rsidRPr="00150EDC">
              <w:rPr>
                <w:sz w:val="20"/>
              </w:rPr>
              <w:t>and</w:t>
            </w:r>
            <w:r w:rsidRPr="00150EDC">
              <w:rPr>
                <w:spacing w:val="-8"/>
                <w:sz w:val="20"/>
              </w:rPr>
              <w:t xml:space="preserve"> </w:t>
            </w:r>
            <w:r w:rsidRPr="00150EDC">
              <w:rPr>
                <w:sz w:val="20"/>
              </w:rPr>
              <w:t>Young</w:t>
            </w:r>
            <w:r w:rsidRPr="00150EDC">
              <w:rPr>
                <w:spacing w:val="-8"/>
                <w:sz w:val="20"/>
              </w:rPr>
              <w:t xml:space="preserve"> </w:t>
            </w:r>
            <w:r w:rsidRPr="00150EDC">
              <w:rPr>
                <w:sz w:val="20"/>
              </w:rPr>
              <w:t>Persons</w:t>
            </w:r>
            <w:r w:rsidRPr="00150EDC">
              <w:rPr>
                <w:spacing w:val="-3"/>
                <w:sz w:val="20"/>
              </w:rPr>
              <w:t xml:space="preserve"> </w:t>
            </w:r>
            <w:r w:rsidRPr="00150EDC">
              <w:rPr>
                <w:sz w:val="20"/>
              </w:rPr>
              <w:t>Act</w:t>
            </w:r>
            <w:r w:rsidRPr="00150EDC">
              <w:rPr>
                <w:spacing w:val="-7"/>
                <w:sz w:val="20"/>
              </w:rPr>
              <w:t xml:space="preserve"> </w:t>
            </w:r>
            <w:r w:rsidRPr="00150EDC">
              <w:rPr>
                <w:sz w:val="20"/>
              </w:rPr>
              <w:t>(Northern</w:t>
            </w:r>
            <w:r w:rsidRPr="00150EDC">
              <w:rPr>
                <w:spacing w:val="-4"/>
                <w:sz w:val="20"/>
              </w:rPr>
              <w:t xml:space="preserve"> </w:t>
            </w:r>
            <w:r w:rsidRPr="00150EDC">
              <w:rPr>
                <w:sz w:val="20"/>
              </w:rPr>
              <w:t>Ireland)</w:t>
            </w:r>
            <w:r w:rsidRPr="00150EDC">
              <w:rPr>
                <w:spacing w:val="-4"/>
                <w:sz w:val="20"/>
              </w:rPr>
              <w:t xml:space="preserve"> </w:t>
            </w:r>
            <w:r w:rsidRPr="00150EDC">
              <w:rPr>
                <w:sz w:val="20"/>
              </w:rPr>
              <w:t>1968,</w:t>
            </w:r>
            <w:r w:rsidRPr="00150EDC">
              <w:rPr>
                <w:spacing w:val="-3"/>
                <w:sz w:val="20"/>
              </w:rPr>
              <w:t xml:space="preserve"> </w:t>
            </w:r>
            <w:r w:rsidRPr="00150EDC">
              <w:rPr>
                <w:spacing w:val="-2"/>
                <w:sz w:val="20"/>
              </w:rPr>
              <w:t>s129(3)</w:t>
            </w:r>
          </w:p>
        </w:tc>
        <w:tc>
          <w:tcPr>
            <w:tcW w:w="7427" w:type="dxa"/>
          </w:tcPr>
          <w:p w14:paraId="25B61AC9" w14:textId="77777777" w:rsidR="004C7180" w:rsidRPr="00150EDC" w:rsidRDefault="00CF0754">
            <w:pPr>
              <w:pStyle w:val="TableParagraph"/>
              <w:rPr>
                <w:sz w:val="20"/>
              </w:rPr>
            </w:pPr>
            <w:r w:rsidRPr="00150EDC">
              <w:rPr>
                <w:sz w:val="20"/>
              </w:rPr>
              <w:t>Offences</w:t>
            </w:r>
            <w:r w:rsidRPr="00150EDC">
              <w:rPr>
                <w:spacing w:val="-3"/>
                <w:sz w:val="20"/>
              </w:rPr>
              <w:t xml:space="preserve"> </w:t>
            </w:r>
            <w:r w:rsidRPr="00150EDC">
              <w:rPr>
                <w:sz w:val="20"/>
              </w:rPr>
              <w:t>relating</w:t>
            </w:r>
            <w:r w:rsidRPr="00150EDC">
              <w:rPr>
                <w:spacing w:val="-4"/>
                <w:sz w:val="20"/>
              </w:rPr>
              <w:t xml:space="preserve"> </w:t>
            </w:r>
            <w:r w:rsidRPr="00150EDC">
              <w:rPr>
                <w:sz w:val="20"/>
              </w:rPr>
              <w:t>to</w:t>
            </w:r>
            <w:r w:rsidRPr="00150EDC">
              <w:rPr>
                <w:spacing w:val="-8"/>
                <w:sz w:val="20"/>
              </w:rPr>
              <w:t xml:space="preserve"> </w:t>
            </w:r>
            <w:r w:rsidRPr="00150EDC">
              <w:rPr>
                <w:sz w:val="20"/>
              </w:rPr>
              <w:t>voluntary</w:t>
            </w:r>
            <w:r w:rsidRPr="00150EDC">
              <w:rPr>
                <w:spacing w:val="-2"/>
                <w:sz w:val="20"/>
              </w:rPr>
              <w:t xml:space="preserve"> </w:t>
            </w:r>
            <w:r w:rsidRPr="00150EDC">
              <w:rPr>
                <w:sz w:val="20"/>
              </w:rPr>
              <w:t>homes</w:t>
            </w:r>
            <w:r w:rsidRPr="00150EDC">
              <w:rPr>
                <w:spacing w:val="-3"/>
                <w:sz w:val="20"/>
              </w:rPr>
              <w:t xml:space="preserve"> </w:t>
            </w:r>
            <w:r w:rsidRPr="00150EDC">
              <w:rPr>
                <w:sz w:val="20"/>
              </w:rPr>
              <w:t>and</w:t>
            </w:r>
            <w:r w:rsidRPr="00150EDC">
              <w:rPr>
                <w:spacing w:val="-8"/>
                <w:sz w:val="20"/>
              </w:rPr>
              <w:t xml:space="preserve"> </w:t>
            </w:r>
            <w:r w:rsidRPr="00150EDC">
              <w:rPr>
                <w:sz w:val="20"/>
              </w:rPr>
              <w:t>children's</w:t>
            </w:r>
            <w:r w:rsidRPr="00150EDC">
              <w:rPr>
                <w:spacing w:val="-7"/>
                <w:sz w:val="20"/>
              </w:rPr>
              <w:t xml:space="preserve"> </w:t>
            </w:r>
            <w:r w:rsidRPr="00150EDC">
              <w:rPr>
                <w:spacing w:val="-2"/>
                <w:sz w:val="20"/>
              </w:rPr>
              <w:t>homes</w:t>
            </w:r>
          </w:p>
        </w:tc>
      </w:tr>
      <w:tr w:rsidR="004569EE" w:rsidRPr="007D3144" w14:paraId="4672EC2F" w14:textId="77777777">
        <w:trPr>
          <w:trHeight w:val="255"/>
        </w:trPr>
        <w:tc>
          <w:tcPr>
            <w:tcW w:w="6517" w:type="dxa"/>
          </w:tcPr>
          <w:p w14:paraId="4BAFA3A6" w14:textId="77777777" w:rsidR="004C7180" w:rsidRPr="00150EDC" w:rsidRDefault="00CF0754">
            <w:pPr>
              <w:pStyle w:val="TableParagraph"/>
              <w:spacing w:before="28"/>
              <w:rPr>
                <w:sz w:val="20"/>
              </w:rPr>
            </w:pPr>
            <w:r w:rsidRPr="00150EDC">
              <w:rPr>
                <w:sz w:val="20"/>
              </w:rPr>
              <w:t>Children</w:t>
            </w:r>
            <w:r w:rsidRPr="00150EDC">
              <w:rPr>
                <w:spacing w:val="-8"/>
                <w:sz w:val="20"/>
              </w:rPr>
              <w:t xml:space="preserve"> </w:t>
            </w:r>
            <w:r w:rsidRPr="00150EDC">
              <w:rPr>
                <w:sz w:val="20"/>
              </w:rPr>
              <w:t>and</w:t>
            </w:r>
            <w:r w:rsidRPr="00150EDC">
              <w:rPr>
                <w:spacing w:val="-8"/>
                <w:sz w:val="20"/>
              </w:rPr>
              <w:t xml:space="preserve"> </w:t>
            </w:r>
            <w:r w:rsidRPr="00150EDC">
              <w:rPr>
                <w:sz w:val="20"/>
              </w:rPr>
              <w:t>Young</w:t>
            </w:r>
            <w:r w:rsidRPr="00150EDC">
              <w:rPr>
                <w:spacing w:val="-8"/>
                <w:sz w:val="20"/>
              </w:rPr>
              <w:t xml:space="preserve"> </w:t>
            </w:r>
            <w:r w:rsidRPr="00150EDC">
              <w:rPr>
                <w:sz w:val="20"/>
              </w:rPr>
              <w:t>Persons</w:t>
            </w:r>
            <w:r w:rsidRPr="00150EDC">
              <w:rPr>
                <w:spacing w:val="-3"/>
                <w:sz w:val="20"/>
              </w:rPr>
              <w:t xml:space="preserve"> </w:t>
            </w:r>
            <w:r w:rsidRPr="00150EDC">
              <w:rPr>
                <w:sz w:val="20"/>
              </w:rPr>
              <w:t>Act</w:t>
            </w:r>
            <w:r w:rsidRPr="00150EDC">
              <w:rPr>
                <w:spacing w:val="-7"/>
                <w:sz w:val="20"/>
              </w:rPr>
              <w:t xml:space="preserve"> </w:t>
            </w:r>
            <w:r w:rsidRPr="00150EDC">
              <w:rPr>
                <w:sz w:val="20"/>
              </w:rPr>
              <w:t>(Northern</w:t>
            </w:r>
            <w:r w:rsidRPr="00150EDC">
              <w:rPr>
                <w:spacing w:val="-4"/>
                <w:sz w:val="20"/>
              </w:rPr>
              <w:t xml:space="preserve"> </w:t>
            </w:r>
            <w:r w:rsidRPr="00150EDC">
              <w:rPr>
                <w:sz w:val="20"/>
              </w:rPr>
              <w:t>Ireland)</w:t>
            </w:r>
            <w:r w:rsidRPr="00150EDC">
              <w:rPr>
                <w:spacing w:val="-4"/>
                <w:sz w:val="20"/>
              </w:rPr>
              <w:t xml:space="preserve"> </w:t>
            </w:r>
            <w:r w:rsidRPr="00150EDC">
              <w:rPr>
                <w:sz w:val="20"/>
              </w:rPr>
              <w:t>1968,</w:t>
            </w:r>
            <w:r w:rsidRPr="00150EDC">
              <w:rPr>
                <w:spacing w:val="-3"/>
                <w:sz w:val="20"/>
              </w:rPr>
              <w:t xml:space="preserve"> </w:t>
            </w:r>
            <w:r w:rsidRPr="00150EDC">
              <w:rPr>
                <w:spacing w:val="-5"/>
                <w:sz w:val="20"/>
              </w:rPr>
              <w:t>s14</w:t>
            </w:r>
          </w:p>
        </w:tc>
        <w:tc>
          <w:tcPr>
            <w:tcW w:w="7427" w:type="dxa"/>
          </w:tcPr>
          <w:p w14:paraId="2C25EFF2" w14:textId="77777777" w:rsidR="004C7180" w:rsidRPr="00150EDC" w:rsidRDefault="00CF0754">
            <w:pPr>
              <w:pStyle w:val="TableParagraph"/>
              <w:spacing w:before="28"/>
              <w:rPr>
                <w:sz w:val="20"/>
              </w:rPr>
            </w:pPr>
            <w:r w:rsidRPr="00150EDC">
              <w:rPr>
                <w:sz w:val="20"/>
              </w:rPr>
              <w:t>Offences</w:t>
            </w:r>
            <w:r w:rsidRPr="00150EDC">
              <w:rPr>
                <w:spacing w:val="-5"/>
                <w:sz w:val="20"/>
              </w:rPr>
              <w:t xml:space="preserve"> </w:t>
            </w:r>
            <w:r w:rsidRPr="00150EDC">
              <w:rPr>
                <w:sz w:val="20"/>
              </w:rPr>
              <w:t>relating</w:t>
            </w:r>
            <w:r w:rsidRPr="00150EDC">
              <w:rPr>
                <w:spacing w:val="-5"/>
                <w:sz w:val="20"/>
              </w:rPr>
              <w:t xml:space="preserve"> </w:t>
            </w:r>
            <w:r w:rsidRPr="00150EDC">
              <w:rPr>
                <w:sz w:val="20"/>
              </w:rPr>
              <w:t>to</w:t>
            </w:r>
            <w:r w:rsidRPr="00150EDC">
              <w:rPr>
                <w:spacing w:val="-9"/>
                <w:sz w:val="20"/>
              </w:rPr>
              <w:t xml:space="preserve"> </w:t>
            </w:r>
            <w:r w:rsidRPr="00150EDC">
              <w:rPr>
                <w:sz w:val="20"/>
              </w:rPr>
              <w:t>childminding</w:t>
            </w:r>
            <w:r w:rsidRPr="00150EDC">
              <w:rPr>
                <w:spacing w:val="-5"/>
                <w:sz w:val="20"/>
              </w:rPr>
              <w:t xml:space="preserve"> </w:t>
            </w:r>
            <w:r w:rsidRPr="00150EDC">
              <w:rPr>
                <w:sz w:val="20"/>
              </w:rPr>
              <w:t>and</w:t>
            </w:r>
            <w:r w:rsidRPr="00150EDC">
              <w:rPr>
                <w:spacing w:val="-3"/>
                <w:sz w:val="20"/>
              </w:rPr>
              <w:t xml:space="preserve"> </w:t>
            </w:r>
            <w:r w:rsidRPr="00150EDC">
              <w:rPr>
                <w:sz w:val="20"/>
              </w:rPr>
              <w:t>day-</w:t>
            </w:r>
            <w:r w:rsidRPr="00150EDC">
              <w:rPr>
                <w:spacing w:val="-4"/>
                <w:sz w:val="20"/>
              </w:rPr>
              <w:t>care</w:t>
            </w:r>
          </w:p>
        </w:tc>
      </w:tr>
      <w:tr w:rsidR="004569EE" w:rsidRPr="007D3144" w14:paraId="34669B00" w14:textId="77777777">
        <w:trPr>
          <w:trHeight w:val="255"/>
        </w:trPr>
        <w:tc>
          <w:tcPr>
            <w:tcW w:w="6517" w:type="dxa"/>
          </w:tcPr>
          <w:p w14:paraId="41DB95AD" w14:textId="77777777" w:rsidR="004C7180" w:rsidRPr="00150EDC" w:rsidRDefault="00CF0754">
            <w:pPr>
              <w:pStyle w:val="TableParagraph"/>
              <w:rPr>
                <w:sz w:val="20"/>
              </w:rPr>
            </w:pPr>
            <w:r w:rsidRPr="00150EDC">
              <w:rPr>
                <w:sz w:val="20"/>
              </w:rPr>
              <w:t>Children</w:t>
            </w:r>
            <w:r w:rsidRPr="00150EDC">
              <w:rPr>
                <w:spacing w:val="-8"/>
                <w:sz w:val="20"/>
              </w:rPr>
              <w:t xml:space="preserve"> </w:t>
            </w:r>
            <w:r w:rsidRPr="00150EDC">
              <w:rPr>
                <w:sz w:val="20"/>
              </w:rPr>
              <w:t>and</w:t>
            </w:r>
            <w:r w:rsidRPr="00150EDC">
              <w:rPr>
                <w:spacing w:val="-8"/>
                <w:sz w:val="20"/>
              </w:rPr>
              <w:t xml:space="preserve"> </w:t>
            </w:r>
            <w:r w:rsidRPr="00150EDC">
              <w:rPr>
                <w:sz w:val="20"/>
              </w:rPr>
              <w:t>Young</w:t>
            </w:r>
            <w:r w:rsidRPr="00150EDC">
              <w:rPr>
                <w:spacing w:val="-8"/>
                <w:sz w:val="20"/>
              </w:rPr>
              <w:t xml:space="preserve"> </w:t>
            </w:r>
            <w:r w:rsidRPr="00150EDC">
              <w:rPr>
                <w:sz w:val="20"/>
              </w:rPr>
              <w:t>Persons</w:t>
            </w:r>
            <w:r w:rsidRPr="00150EDC">
              <w:rPr>
                <w:spacing w:val="-3"/>
                <w:sz w:val="20"/>
              </w:rPr>
              <w:t xml:space="preserve"> </w:t>
            </w:r>
            <w:r w:rsidRPr="00150EDC">
              <w:rPr>
                <w:sz w:val="20"/>
              </w:rPr>
              <w:t>Act</w:t>
            </w:r>
            <w:r w:rsidRPr="00150EDC">
              <w:rPr>
                <w:spacing w:val="-7"/>
                <w:sz w:val="20"/>
              </w:rPr>
              <w:t xml:space="preserve"> </w:t>
            </w:r>
            <w:r w:rsidRPr="00150EDC">
              <w:rPr>
                <w:sz w:val="20"/>
              </w:rPr>
              <w:t>(Northern</w:t>
            </w:r>
            <w:r w:rsidRPr="00150EDC">
              <w:rPr>
                <w:spacing w:val="-4"/>
                <w:sz w:val="20"/>
              </w:rPr>
              <w:t xml:space="preserve"> </w:t>
            </w:r>
            <w:r w:rsidRPr="00150EDC">
              <w:rPr>
                <w:sz w:val="20"/>
              </w:rPr>
              <w:t>Ireland)</w:t>
            </w:r>
            <w:r w:rsidRPr="00150EDC">
              <w:rPr>
                <w:spacing w:val="-4"/>
                <w:sz w:val="20"/>
              </w:rPr>
              <w:t xml:space="preserve"> </w:t>
            </w:r>
            <w:r w:rsidRPr="00150EDC">
              <w:rPr>
                <w:sz w:val="20"/>
              </w:rPr>
              <w:t>1968,</w:t>
            </w:r>
            <w:r w:rsidRPr="00150EDC">
              <w:rPr>
                <w:spacing w:val="-3"/>
                <w:sz w:val="20"/>
              </w:rPr>
              <w:t xml:space="preserve"> </w:t>
            </w:r>
            <w:r w:rsidRPr="00150EDC">
              <w:rPr>
                <w:spacing w:val="-2"/>
                <w:sz w:val="20"/>
              </w:rPr>
              <w:t>s140(5)</w:t>
            </w:r>
          </w:p>
        </w:tc>
        <w:tc>
          <w:tcPr>
            <w:tcW w:w="7427" w:type="dxa"/>
          </w:tcPr>
          <w:p w14:paraId="2009D615" w14:textId="77777777" w:rsidR="004C7180" w:rsidRPr="00150EDC" w:rsidRDefault="00CF0754">
            <w:pPr>
              <w:pStyle w:val="TableParagraph"/>
              <w:rPr>
                <w:sz w:val="20"/>
              </w:rPr>
            </w:pPr>
            <w:r w:rsidRPr="00150EDC">
              <w:rPr>
                <w:sz w:val="20"/>
              </w:rPr>
              <w:t>Harbouring</w:t>
            </w:r>
            <w:r w:rsidRPr="00150EDC">
              <w:rPr>
                <w:spacing w:val="-5"/>
                <w:sz w:val="20"/>
              </w:rPr>
              <w:t xml:space="preserve"> </w:t>
            </w:r>
            <w:r w:rsidRPr="00150EDC">
              <w:rPr>
                <w:sz w:val="20"/>
              </w:rPr>
              <w:t>or</w:t>
            </w:r>
            <w:r w:rsidRPr="00150EDC">
              <w:rPr>
                <w:spacing w:val="-5"/>
                <w:sz w:val="20"/>
              </w:rPr>
              <w:t xml:space="preserve"> </w:t>
            </w:r>
            <w:r w:rsidRPr="00150EDC">
              <w:rPr>
                <w:sz w:val="20"/>
              </w:rPr>
              <w:t>concealing</w:t>
            </w:r>
            <w:r w:rsidRPr="00150EDC">
              <w:rPr>
                <w:spacing w:val="-4"/>
                <w:sz w:val="20"/>
              </w:rPr>
              <w:t xml:space="preserve"> </w:t>
            </w:r>
            <w:r w:rsidRPr="00150EDC">
              <w:rPr>
                <w:sz w:val="20"/>
              </w:rPr>
              <w:t>a</w:t>
            </w:r>
            <w:r w:rsidRPr="00150EDC">
              <w:rPr>
                <w:spacing w:val="-5"/>
                <w:sz w:val="20"/>
              </w:rPr>
              <w:t xml:space="preserve"> </w:t>
            </w:r>
            <w:r w:rsidRPr="00150EDC">
              <w:rPr>
                <w:sz w:val="20"/>
              </w:rPr>
              <w:t>child</w:t>
            </w:r>
            <w:r w:rsidRPr="00150EDC">
              <w:rPr>
                <w:spacing w:val="-5"/>
                <w:sz w:val="20"/>
              </w:rPr>
              <w:t xml:space="preserve"> </w:t>
            </w:r>
            <w:r w:rsidRPr="00150EDC">
              <w:rPr>
                <w:sz w:val="20"/>
              </w:rPr>
              <w:t>who has</w:t>
            </w:r>
            <w:r w:rsidRPr="00150EDC">
              <w:rPr>
                <w:spacing w:val="-3"/>
                <w:sz w:val="20"/>
              </w:rPr>
              <w:t xml:space="preserve"> </w:t>
            </w:r>
            <w:r w:rsidRPr="00150EDC">
              <w:rPr>
                <w:sz w:val="20"/>
              </w:rPr>
              <w:t>run</w:t>
            </w:r>
            <w:r w:rsidRPr="00150EDC">
              <w:rPr>
                <w:spacing w:val="-5"/>
                <w:sz w:val="20"/>
              </w:rPr>
              <w:t xml:space="preserve"> </w:t>
            </w:r>
            <w:r w:rsidRPr="00150EDC">
              <w:rPr>
                <w:spacing w:val="-4"/>
                <w:sz w:val="20"/>
              </w:rPr>
              <w:t>away</w:t>
            </w:r>
          </w:p>
        </w:tc>
      </w:tr>
      <w:tr w:rsidR="004569EE" w:rsidRPr="007D3144" w14:paraId="7CFC91AB" w14:textId="77777777">
        <w:trPr>
          <w:trHeight w:val="255"/>
        </w:trPr>
        <w:tc>
          <w:tcPr>
            <w:tcW w:w="6517" w:type="dxa"/>
          </w:tcPr>
          <w:p w14:paraId="5F5531C1" w14:textId="77777777" w:rsidR="004C7180" w:rsidRPr="00150EDC" w:rsidRDefault="00CF0754">
            <w:pPr>
              <w:pStyle w:val="TableParagraph"/>
              <w:rPr>
                <w:sz w:val="20"/>
              </w:rPr>
            </w:pPr>
            <w:r w:rsidRPr="00150EDC">
              <w:rPr>
                <w:sz w:val="20"/>
              </w:rPr>
              <w:t>Children</w:t>
            </w:r>
            <w:r w:rsidRPr="00150EDC">
              <w:rPr>
                <w:spacing w:val="-8"/>
                <w:sz w:val="20"/>
              </w:rPr>
              <w:t xml:space="preserve"> </w:t>
            </w:r>
            <w:r w:rsidRPr="00150EDC">
              <w:rPr>
                <w:sz w:val="20"/>
              </w:rPr>
              <w:t>and</w:t>
            </w:r>
            <w:r w:rsidRPr="00150EDC">
              <w:rPr>
                <w:spacing w:val="-8"/>
                <w:sz w:val="20"/>
              </w:rPr>
              <w:t xml:space="preserve"> </w:t>
            </w:r>
            <w:r w:rsidRPr="00150EDC">
              <w:rPr>
                <w:sz w:val="20"/>
              </w:rPr>
              <w:t>Young</w:t>
            </w:r>
            <w:r w:rsidRPr="00150EDC">
              <w:rPr>
                <w:spacing w:val="-8"/>
                <w:sz w:val="20"/>
              </w:rPr>
              <w:t xml:space="preserve"> </w:t>
            </w:r>
            <w:r w:rsidRPr="00150EDC">
              <w:rPr>
                <w:sz w:val="20"/>
              </w:rPr>
              <w:t>Persons</w:t>
            </w:r>
            <w:r w:rsidRPr="00150EDC">
              <w:rPr>
                <w:spacing w:val="-3"/>
                <w:sz w:val="20"/>
              </w:rPr>
              <w:t xml:space="preserve"> </w:t>
            </w:r>
            <w:r w:rsidRPr="00150EDC">
              <w:rPr>
                <w:sz w:val="20"/>
              </w:rPr>
              <w:t>Act</w:t>
            </w:r>
            <w:r w:rsidRPr="00150EDC">
              <w:rPr>
                <w:spacing w:val="-7"/>
                <w:sz w:val="20"/>
              </w:rPr>
              <w:t xml:space="preserve"> </w:t>
            </w:r>
            <w:r w:rsidRPr="00150EDC">
              <w:rPr>
                <w:sz w:val="20"/>
              </w:rPr>
              <w:t>(Northern</w:t>
            </w:r>
            <w:r w:rsidRPr="00150EDC">
              <w:rPr>
                <w:spacing w:val="-4"/>
                <w:sz w:val="20"/>
              </w:rPr>
              <w:t xml:space="preserve"> </w:t>
            </w:r>
            <w:r w:rsidRPr="00150EDC">
              <w:rPr>
                <w:sz w:val="20"/>
              </w:rPr>
              <w:t>Ireland)</w:t>
            </w:r>
            <w:r w:rsidRPr="00150EDC">
              <w:rPr>
                <w:spacing w:val="-4"/>
                <w:sz w:val="20"/>
              </w:rPr>
              <w:t xml:space="preserve"> </w:t>
            </w:r>
            <w:r w:rsidRPr="00150EDC">
              <w:rPr>
                <w:sz w:val="20"/>
              </w:rPr>
              <w:t>1968,</w:t>
            </w:r>
            <w:r w:rsidRPr="00150EDC">
              <w:rPr>
                <w:spacing w:val="-3"/>
                <w:sz w:val="20"/>
              </w:rPr>
              <w:t xml:space="preserve"> </w:t>
            </w:r>
            <w:r w:rsidRPr="00150EDC">
              <w:rPr>
                <w:spacing w:val="-2"/>
                <w:sz w:val="20"/>
              </w:rPr>
              <w:t>s144(3)</w:t>
            </w:r>
          </w:p>
        </w:tc>
        <w:tc>
          <w:tcPr>
            <w:tcW w:w="7427" w:type="dxa"/>
          </w:tcPr>
          <w:p w14:paraId="6262A263" w14:textId="77777777" w:rsidR="004C7180" w:rsidRPr="00150EDC" w:rsidRDefault="00CF0754">
            <w:pPr>
              <w:pStyle w:val="TableParagraph"/>
              <w:rPr>
                <w:sz w:val="20"/>
              </w:rPr>
            </w:pPr>
            <w:r w:rsidRPr="00150EDC">
              <w:rPr>
                <w:sz w:val="20"/>
              </w:rPr>
              <w:t>Harbouring</w:t>
            </w:r>
            <w:r w:rsidRPr="00150EDC">
              <w:rPr>
                <w:spacing w:val="-5"/>
                <w:sz w:val="20"/>
              </w:rPr>
              <w:t xml:space="preserve"> </w:t>
            </w:r>
            <w:r w:rsidRPr="00150EDC">
              <w:rPr>
                <w:sz w:val="20"/>
              </w:rPr>
              <w:t>or</w:t>
            </w:r>
            <w:r w:rsidRPr="00150EDC">
              <w:rPr>
                <w:spacing w:val="-5"/>
                <w:sz w:val="20"/>
              </w:rPr>
              <w:t xml:space="preserve"> </w:t>
            </w:r>
            <w:r w:rsidRPr="00150EDC">
              <w:rPr>
                <w:sz w:val="20"/>
              </w:rPr>
              <w:t>concealing</w:t>
            </w:r>
            <w:r w:rsidRPr="00150EDC">
              <w:rPr>
                <w:spacing w:val="-4"/>
                <w:sz w:val="20"/>
              </w:rPr>
              <w:t xml:space="preserve"> </w:t>
            </w:r>
            <w:r w:rsidRPr="00150EDC">
              <w:rPr>
                <w:sz w:val="20"/>
              </w:rPr>
              <w:t>a</w:t>
            </w:r>
            <w:r w:rsidRPr="00150EDC">
              <w:rPr>
                <w:spacing w:val="-5"/>
                <w:sz w:val="20"/>
              </w:rPr>
              <w:t xml:space="preserve"> </w:t>
            </w:r>
            <w:r w:rsidRPr="00150EDC">
              <w:rPr>
                <w:sz w:val="20"/>
              </w:rPr>
              <w:t>child</w:t>
            </w:r>
            <w:r w:rsidRPr="00150EDC">
              <w:rPr>
                <w:spacing w:val="-5"/>
                <w:sz w:val="20"/>
              </w:rPr>
              <w:t xml:space="preserve"> </w:t>
            </w:r>
            <w:r w:rsidRPr="00150EDC">
              <w:rPr>
                <w:sz w:val="20"/>
              </w:rPr>
              <w:t>who has</w:t>
            </w:r>
            <w:r w:rsidRPr="00150EDC">
              <w:rPr>
                <w:spacing w:val="-3"/>
                <w:sz w:val="20"/>
              </w:rPr>
              <w:t xml:space="preserve"> </w:t>
            </w:r>
            <w:r w:rsidRPr="00150EDC">
              <w:rPr>
                <w:sz w:val="20"/>
              </w:rPr>
              <w:t>run</w:t>
            </w:r>
            <w:r w:rsidRPr="00150EDC">
              <w:rPr>
                <w:spacing w:val="-5"/>
                <w:sz w:val="20"/>
              </w:rPr>
              <w:t xml:space="preserve"> </w:t>
            </w:r>
            <w:r w:rsidRPr="00150EDC">
              <w:rPr>
                <w:spacing w:val="-4"/>
                <w:sz w:val="20"/>
              </w:rPr>
              <w:t>away</w:t>
            </w:r>
          </w:p>
        </w:tc>
      </w:tr>
      <w:tr w:rsidR="004569EE" w:rsidRPr="007D3144" w14:paraId="29DEA1CA" w14:textId="77777777">
        <w:trPr>
          <w:trHeight w:val="255"/>
        </w:trPr>
        <w:tc>
          <w:tcPr>
            <w:tcW w:w="6517" w:type="dxa"/>
          </w:tcPr>
          <w:p w14:paraId="006D47EF" w14:textId="77777777" w:rsidR="004C7180" w:rsidRPr="00150EDC" w:rsidRDefault="00CF0754">
            <w:pPr>
              <w:pStyle w:val="TableParagraph"/>
              <w:rPr>
                <w:sz w:val="20"/>
              </w:rPr>
            </w:pPr>
            <w:r w:rsidRPr="00150EDC">
              <w:rPr>
                <w:sz w:val="20"/>
              </w:rPr>
              <w:t>Children</w:t>
            </w:r>
            <w:r w:rsidRPr="00150EDC">
              <w:rPr>
                <w:spacing w:val="-8"/>
                <w:sz w:val="20"/>
              </w:rPr>
              <w:t xml:space="preserve"> </w:t>
            </w:r>
            <w:r w:rsidRPr="00150EDC">
              <w:rPr>
                <w:sz w:val="20"/>
              </w:rPr>
              <w:t>and</w:t>
            </w:r>
            <w:r w:rsidRPr="00150EDC">
              <w:rPr>
                <w:spacing w:val="-8"/>
                <w:sz w:val="20"/>
              </w:rPr>
              <w:t xml:space="preserve"> </w:t>
            </w:r>
            <w:r w:rsidRPr="00150EDC">
              <w:rPr>
                <w:sz w:val="20"/>
              </w:rPr>
              <w:t>Young</w:t>
            </w:r>
            <w:r w:rsidRPr="00150EDC">
              <w:rPr>
                <w:spacing w:val="-8"/>
                <w:sz w:val="20"/>
              </w:rPr>
              <w:t xml:space="preserve"> </w:t>
            </w:r>
            <w:r w:rsidRPr="00150EDC">
              <w:rPr>
                <w:sz w:val="20"/>
              </w:rPr>
              <w:t>Persons</w:t>
            </w:r>
            <w:r w:rsidRPr="00150EDC">
              <w:rPr>
                <w:spacing w:val="-3"/>
                <w:sz w:val="20"/>
              </w:rPr>
              <w:t xml:space="preserve"> </w:t>
            </w:r>
            <w:r w:rsidRPr="00150EDC">
              <w:rPr>
                <w:sz w:val="20"/>
              </w:rPr>
              <w:t>Act</w:t>
            </w:r>
            <w:r w:rsidRPr="00150EDC">
              <w:rPr>
                <w:spacing w:val="-7"/>
                <w:sz w:val="20"/>
              </w:rPr>
              <w:t xml:space="preserve"> </w:t>
            </w:r>
            <w:r w:rsidRPr="00150EDC">
              <w:rPr>
                <w:sz w:val="20"/>
              </w:rPr>
              <w:t>(Northern</w:t>
            </w:r>
            <w:r w:rsidRPr="00150EDC">
              <w:rPr>
                <w:spacing w:val="-4"/>
                <w:sz w:val="20"/>
              </w:rPr>
              <w:t xml:space="preserve"> </w:t>
            </w:r>
            <w:r w:rsidRPr="00150EDC">
              <w:rPr>
                <w:sz w:val="20"/>
              </w:rPr>
              <w:t>Ireland)</w:t>
            </w:r>
            <w:r w:rsidRPr="00150EDC">
              <w:rPr>
                <w:spacing w:val="-4"/>
                <w:sz w:val="20"/>
              </w:rPr>
              <w:t xml:space="preserve"> </w:t>
            </w:r>
            <w:r w:rsidRPr="00150EDC">
              <w:rPr>
                <w:sz w:val="20"/>
              </w:rPr>
              <w:t>1968,</w:t>
            </w:r>
            <w:r w:rsidRPr="00150EDC">
              <w:rPr>
                <w:spacing w:val="-3"/>
                <w:sz w:val="20"/>
              </w:rPr>
              <w:t xml:space="preserve"> </w:t>
            </w:r>
            <w:r w:rsidRPr="00150EDC">
              <w:rPr>
                <w:spacing w:val="-5"/>
                <w:sz w:val="20"/>
              </w:rPr>
              <w:t>s20</w:t>
            </w:r>
          </w:p>
        </w:tc>
        <w:tc>
          <w:tcPr>
            <w:tcW w:w="7427" w:type="dxa"/>
          </w:tcPr>
          <w:p w14:paraId="7B6D4435" w14:textId="77777777" w:rsidR="004C7180" w:rsidRPr="00150EDC" w:rsidRDefault="00CF0754">
            <w:pPr>
              <w:pStyle w:val="TableParagraph"/>
              <w:rPr>
                <w:sz w:val="20"/>
              </w:rPr>
            </w:pPr>
            <w:r w:rsidRPr="00150EDC">
              <w:rPr>
                <w:sz w:val="20"/>
              </w:rPr>
              <w:t>Cruelty</w:t>
            </w:r>
            <w:r w:rsidRPr="00150EDC">
              <w:rPr>
                <w:spacing w:val="-6"/>
                <w:sz w:val="20"/>
              </w:rPr>
              <w:t xml:space="preserve"> </w:t>
            </w:r>
            <w:r w:rsidRPr="00150EDC">
              <w:rPr>
                <w:sz w:val="20"/>
              </w:rPr>
              <w:t>to</w:t>
            </w:r>
            <w:r w:rsidRPr="00150EDC">
              <w:rPr>
                <w:spacing w:val="-2"/>
                <w:sz w:val="20"/>
              </w:rPr>
              <w:t xml:space="preserve"> </w:t>
            </w:r>
            <w:r w:rsidRPr="00150EDC">
              <w:rPr>
                <w:sz w:val="20"/>
              </w:rPr>
              <w:t>persons</w:t>
            </w:r>
            <w:r w:rsidRPr="00150EDC">
              <w:rPr>
                <w:spacing w:val="-6"/>
                <w:sz w:val="20"/>
              </w:rPr>
              <w:t xml:space="preserve"> </w:t>
            </w:r>
            <w:r w:rsidRPr="00150EDC">
              <w:rPr>
                <w:sz w:val="20"/>
              </w:rPr>
              <w:t>under</w:t>
            </w:r>
            <w:r w:rsidRPr="00150EDC">
              <w:rPr>
                <w:spacing w:val="-6"/>
                <w:sz w:val="20"/>
              </w:rPr>
              <w:t xml:space="preserve"> </w:t>
            </w:r>
            <w:r w:rsidRPr="00150EDC">
              <w:rPr>
                <w:spacing w:val="-5"/>
                <w:sz w:val="20"/>
              </w:rPr>
              <w:t>16</w:t>
            </w:r>
          </w:p>
        </w:tc>
      </w:tr>
      <w:tr w:rsidR="004569EE" w:rsidRPr="007D3144" w14:paraId="28F9381D" w14:textId="77777777">
        <w:trPr>
          <w:trHeight w:val="255"/>
        </w:trPr>
        <w:tc>
          <w:tcPr>
            <w:tcW w:w="6517" w:type="dxa"/>
          </w:tcPr>
          <w:p w14:paraId="5CF17D0D" w14:textId="77777777" w:rsidR="004C7180" w:rsidRPr="00150EDC" w:rsidRDefault="00CF0754">
            <w:pPr>
              <w:pStyle w:val="TableParagraph"/>
              <w:spacing w:before="28"/>
              <w:rPr>
                <w:sz w:val="20"/>
              </w:rPr>
            </w:pPr>
            <w:r w:rsidRPr="00150EDC">
              <w:rPr>
                <w:sz w:val="20"/>
              </w:rPr>
              <w:t>Children</w:t>
            </w:r>
            <w:r w:rsidRPr="00150EDC">
              <w:rPr>
                <w:spacing w:val="-8"/>
                <w:sz w:val="20"/>
              </w:rPr>
              <w:t xml:space="preserve"> </w:t>
            </w:r>
            <w:r w:rsidRPr="00150EDC">
              <w:rPr>
                <w:sz w:val="20"/>
              </w:rPr>
              <w:t>and</w:t>
            </w:r>
            <w:r w:rsidRPr="00150EDC">
              <w:rPr>
                <w:spacing w:val="-8"/>
                <w:sz w:val="20"/>
              </w:rPr>
              <w:t xml:space="preserve"> </w:t>
            </w:r>
            <w:r w:rsidRPr="00150EDC">
              <w:rPr>
                <w:sz w:val="20"/>
              </w:rPr>
              <w:t>Young</w:t>
            </w:r>
            <w:r w:rsidRPr="00150EDC">
              <w:rPr>
                <w:spacing w:val="-7"/>
                <w:sz w:val="20"/>
              </w:rPr>
              <w:t xml:space="preserve"> </w:t>
            </w:r>
            <w:r w:rsidRPr="00150EDC">
              <w:rPr>
                <w:sz w:val="20"/>
              </w:rPr>
              <w:t>Persons</w:t>
            </w:r>
            <w:r w:rsidRPr="00150EDC">
              <w:rPr>
                <w:spacing w:val="-2"/>
                <w:sz w:val="20"/>
              </w:rPr>
              <w:t xml:space="preserve"> </w:t>
            </w:r>
            <w:r w:rsidRPr="00150EDC">
              <w:rPr>
                <w:sz w:val="20"/>
              </w:rPr>
              <w:t>Act</w:t>
            </w:r>
            <w:r w:rsidRPr="00150EDC">
              <w:rPr>
                <w:spacing w:val="-7"/>
                <w:sz w:val="20"/>
              </w:rPr>
              <w:t xml:space="preserve"> </w:t>
            </w:r>
            <w:r w:rsidRPr="00150EDC">
              <w:rPr>
                <w:sz w:val="20"/>
              </w:rPr>
              <w:t>(Northern</w:t>
            </w:r>
            <w:r w:rsidRPr="00150EDC">
              <w:rPr>
                <w:spacing w:val="-3"/>
                <w:sz w:val="20"/>
              </w:rPr>
              <w:t xml:space="preserve"> </w:t>
            </w:r>
            <w:r w:rsidRPr="00150EDC">
              <w:rPr>
                <w:sz w:val="20"/>
              </w:rPr>
              <w:t>Ireland)</w:t>
            </w:r>
            <w:r w:rsidRPr="00150EDC">
              <w:rPr>
                <w:spacing w:val="-4"/>
                <w:sz w:val="20"/>
              </w:rPr>
              <w:t xml:space="preserve"> </w:t>
            </w:r>
            <w:r w:rsidRPr="00150EDC">
              <w:rPr>
                <w:sz w:val="20"/>
              </w:rPr>
              <w:t>1968,</w:t>
            </w:r>
            <w:r w:rsidRPr="00150EDC">
              <w:rPr>
                <w:spacing w:val="-2"/>
                <w:sz w:val="20"/>
              </w:rPr>
              <w:t xml:space="preserve"> </w:t>
            </w:r>
            <w:r w:rsidRPr="00150EDC">
              <w:rPr>
                <w:spacing w:val="-5"/>
                <w:sz w:val="20"/>
              </w:rPr>
              <w:t>s21</w:t>
            </w:r>
          </w:p>
        </w:tc>
        <w:tc>
          <w:tcPr>
            <w:tcW w:w="7427" w:type="dxa"/>
          </w:tcPr>
          <w:p w14:paraId="37573E2E" w14:textId="77777777" w:rsidR="004C7180" w:rsidRPr="00150EDC" w:rsidRDefault="00CF0754">
            <w:pPr>
              <w:pStyle w:val="TableParagraph"/>
              <w:spacing w:before="28"/>
              <w:rPr>
                <w:sz w:val="20"/>
              </w:rPr>
            </w:pPr>
            <w:r w:rsidRPr="00150EDC">
              <w:rPr>
                <w:sz w:val="20"/>
              </w:rPr>
              <w:t>Causing</w:t>
            </w:r>
            <w:r w:rsidRPr="00150EDC">
              <w:rPr>
                <w:spacing w:val="-6"/>
                <w:sz w:val="20"/>
              </w:rPr>
              <w:t xml:space="preserve"> </w:t>
            </w:r>
            <w:r w:rsidRPr="00150EDC">
              <w:rPr>
                <w:sz w:val="20"/>
              </w:rPr>
              <w:t>or encouraging</w:t>
            </w:r>
            <w:r w:rsidRPr="00150EDC">
              <w:rPr>
                <w:spacing w:val="-5"/>
                <w:sz w:val="20"/>
              </w:rPr>
              <w:t xml:space="preserve"> </w:t>
            </w:r>
            <w:r w:rsidRPr="00150EDC">
              <w:rPr>
                <w:sz w:val="20"/>
              </w:rPr>
              <w:t>seduction</w:t>
            </w:r>
            <w:r w:rsidRPr="00150EDC">
              <w:rPr>
                <w:spacing w:val="-6"/>
                <w:sz w:val="20"/>
              </w:rPr>
              <w:t xml:space="preserve"> </w:t>
            </w:r>
            <w:r w:rsidRPr="00150EDC">
              <w:rPr>
                <w:sz w:val="20"/>
              </w:rPr>
              <w:t>or</w:t>
            </w:r>
            <w:r w:rsidRPr="00150EDC">
              <w:rPr>
                <w:spacing w:val="-5"/>
                <w:sz w:val="20"/>
              </w:rPr>
              <w:t xml:space="preserve"> </w:t>
            </w:r>
            <w:r w:rsidRPr="00150EDC">
              <w:rPr>
                <w:sz w:val="20"/>
              </w:rPr>
              <w:t>prostitution</w:t>
            </w:r>
            <w:r w:rsidRPr="00150EDC">
              <w:rPr>
                <w:spacing w:val="-5"/>
                <w:sz w:val="20"/>
              </w:rPr>
              <w:t xml:space="preserve"> </w:t>
            </w:r>
            <w:r w:rsidRPr="00150EDC">
              <w:rPr>
                <w:sz w:val="20"/>
              </w:rPr>
              <w:t>of</w:t>
            </w:r>
            <w:r w:rsidRPr="00150EDC">
              <w:rPr>
                <w:spacing w:val="-5"/>
                <w:sz w:val="20"/>
              </w:rPr>
              <w:t xml:space="preserve"> </w:t>
            </w:r>
            <w:r w:rsidRPr="00150EDC">
              <w:rPr>
                <w:sz w:val="20"/>
              </w:rPr>
              <w:t>girl</w:t>
            </w:r>
            <w:r w:rsidRPr="00150EDC">
              <w:rPr>
                <w:spacing w:val="-4"/>
                <w:sz w:val="20"/>
              </w:rPr>
              <w:t xml:space="preserve"> </w:t>
            </w:r>
            <w:r w:rsidRPr="00150EDC">
              <w:rPr>
                <w:sz w:val="20"/>
              </w:rPr>
              <w:t>under</w:t>
            </w:r>
            <w:r w:rsidRPr="00150EDC">
              <w:rPr>
                <w:spacing w:val="-5"/>
                <w:sz w:val="20"/>
              </w:rPr>
              <w:t xml:space="preserve"> 17</w:t>
            </w:r>
          </w:p>
        </w:tc>
      </w:tr>
      <w:tr w:rsidR="004569EE" w:rsidRPr="007D3144" w14:paraId="5954B8C5" w14:textId="77777777">
        <w:trPr>
          <w:trHeight w:val="255"/>
        </w:trPr>
        <w:tc>
          <w:tcPr>
            <w:tcW w:w="6517" w:type="dxa"/>
          </w:tcPr>
          <w:p w14:paraId="7BEA7C5C" w14:textId="77777777" w:rsidR="004C7180" w:rsidRPr="00150EDC" w:rsidRDefault="00CF0754">
            <w:pPr>
              <w:pStyle w:val="TableParagraph"/>
              <w:rPr>
                <w:sz w:val="20"/>
              </w:rPr>
            </w:pPr>
            <w:r w:rsidRPr="00150EDC">
              <w:rPr>
                <w:sz w:val="20"/>
              </w:rPr>
              <w:t>Children</w:t>
            </w:r>
            <w:r w:rsidRPr="00150EDC">
              <w:rPr>
                <w:spacing w:val="-8"/>
                <w:sz w:val="20"/>
              </w:rPr>
              <w:t xml:space="preserve"> </w:t>
            </w:r>
            <w:r w:rsidRPr="00150EDC">
              <w:rPr>
                <w:sz w:val="20"/>
              </w:rPr>
              <w:t>and</w:t>
            </w:r>
            <w:r w:rsidRPr="00150EDC">
              <w:rPr>
                <w:spacing w:val="-8"/>
                <w:sz w:val="20"/>
              </w:rPr>
              <w:t xml:space="preserve"> </w:t>
            </w:r>
            <w:r w:rsidRPr="00150EDC">
              <w:rPr>
                <w:sz w:val="20"/>
              </w:rPr>
              <w:t>Young</w:t>
            </w:r>
            <w:r w:rsidRPr="00150EDC">
              <w:rPr>
                <w:spacing w:val="-8"/>
                <w:sz w:val="20"/>
              </w:rPr>
              <w:t xml:space="preserve"> </w:t>
            </w:r>
            <w:r w:rsidRPr="00150EDC">
              <w:rPr>
                <w:sz w:val="20"/>
              </w:rPr>
              <w:t>Persons</w:t>
            </w:r>
            <w:r w:rsidRPr="00150EDC">
              <w:rPr>
                <w:spacing w:val="-3"/>
                <w:sz w:val="20"/>
              </w:rPr>
              <w:t xml:space="preserve"> </w:t>
            </w:r>
            <w:r w:rsidRPr="00150EDC">
              <w:rPr>
                <w:sz w:val="20"/>
              </w:rPr>
              <w:t>Act</w:t>
            </w:r>
            <w:r w:rsidRPr="00150EDC">
              <w:rPr>
                <w:spacing w:val="-7"/>
                <w:sz w:val="20"/>
              </w:rPr>
              <w:t xml:space="preserve"> </w:t>
            </w:r>
            <w:r w:rsidRPr="00150EDC">
              <w:rPr>
                <w:sz w:val="20"/>
              </w:rPr>
              <w:t>(Northern</w:t>
            </w:r>
            <w:r w:rsidRPr="00150EDC">
              <w:rPr>
                <w:spacing w:val="-4"/>
                <w:sz w:val="20"/>
              </w:rPr>
              <w:t xml:space="preserve"> </w:t>
            </w:r>
            <w:r w:rsidRPr="00150EDC">
              <w:rPr>
                <w:sz w:val="20"/>
              </w:rPr>
              <w:t>Ireland)</w:t>
            </w:r>
            <w:r w:rsidRPr="00150EDC">
              <w:rPr>
                <w:spacing w:val="-4"/>
                <w:sz w:val="20"/>
              </w:rPr>
              <w:t xml:space="preserve"> </w:t>
            </w:r>
            <w:r w:rsidRPr="00150EDC">
              <w:rPr>
                <w:sz w:val="20"/>
              </w:rPr>
              <w:t>1968,</w:t>
            </w:r>
            <w:r w:rsidRPr="00150EDC">
              <w:rPr>
                <w:spacing w:val="-3"/>
                <w:sz w:val="20"/>
              </w:rPr>
              <w:t xml:space="preserve"> </w:t>
            </w:r>
            <w:r w:rsidRPr="00150EDC">
              <w:rPr>
                <w:spacing w:val="-5"/>
                <w:sz w:val="20"/>
              </w:rPr>
              <w:t>s22</w:t>
            </w:r>
          </w:p>
        </w:tc>
        <w:tc>
          <w:tcPr>
            <w:tcW w:w="7427" w:type="dxa"/>
          </w:tcPr>
          <w:p w14:paraId="6DB1CEBA" w14:textId="77777777" w:rsidR="004C7180" w:rsidRPr="00150EDC" w:rsidRDefault="00CF0754">
            <w:pPr>
              <w:pStyle w:val="TableParagraph"/>
              <w:rPr>
                <w:sz w:val="20"/>
              </w:rPr>
            </w:pPr>
            <w:r w:rsidRPr="00150EDC">
              <w:rPr>
                <w:sz w:val="20"/>
              </w:rPr>
              <w:t>Indecent</w:t>
            </w:r>
            <w:r w:rsidRPr="00150EDC">
              <w:rPr>
                <w:spacing w:val="-4"/>
                <w:sz w:val="20"/>
              </w:rPr>
              <w:t xml:space="preserve"> </w:t>
            </w:r>
            <w:r w:rsidRPr="00150EDC">
              <w:rPr>
                <w:sz w:val="20"/>
              </w:rPr>
              <w:t>conduct</w:t>
            </w:r>
            <w:r w:rsidRPr="00150EDC">
              <w:rPr>
                <w:spacing w:val="-8"/>
                <w:sz w:val="20"/>
              </w:rPr>
              <w:t xml:space="preserve"> </w:t>
            </w:r>
            <w:r w:rsidRPr="00150EDC">
              <w:rPr>
                <w:sz w:val="20"/>
              </w:rPr>
              <w:t>towards</w:t>
            </w:r>
            <w:r w:rsidRPr="00150EDC">
              <w:rPr>
                <w:spacing w:val="-7"/>
                <w:sz w:val="20"/>
              </w:rPr>
              <w:t xml:space="preserve"> </w:t>
            </w:r>
            <w:r w:rsidRPr="00150EDC">
              <w:rPr>
                <w:spacing w:val="-4"/>
                <w:sz w:val="20"/>
              </w:rPr>
              <w:t>child</w:t>
            </w:r>
          </w:p>
        </w:tc>
      </w:tr>
      <w:tr w:rsidR="004569EE" w:rsidRPr="007D3144" w14:paraId="4F3C6A78" w14:textId="77777777">
        <w:trPr>
          <w:trHeight w:val="255"/>
        </w:trPr>
        <w:tc>
          <w:tcPr>
            <w:tcW w:w="6517" w:type="dxa"/>
          </w:tcPr>
          <w:p w14:paraId="22413981" w14:textId="77777777" w:rsidR="004C7180" w:rsidRPr="00150EDC" w:rsidRDefault="00CF0754">
            <w:pPr>
              <w:pStyle w:val="TableParagraph"/>
              <w:rPr>
                <w:sz w:val="20"/>
              </w:rPr>
            </w:pPr>
            <w:r w:rsidRPr="00150EDC">
              <w:rPr>
                <w:sz w:val="20"/>
              </w:rPr>
              <w:t>Children</w:t>
            </w:r>
            <w:r w:rsidRPr="00150EDC">
              <w:rPr>
                <w:spacing w:val="-8"/>
                <w:sz w:val="20"/>
              </w:rPr>
              <w:t xml:space="preserve"> </w:t>
            </w:r>
            <w:r w:rsidRPr="00150EDC">
              <w:rPr>
                <w:sz w:val="20"/>
              </w:rPr>
              <w:t>and</w:t>
            </w:r>
            <w:r w:rsidRPr="00150EDC">
              <w:rPr>
                <w:spacing w:val="-8"/>
                <w:sz w:val="20"/>
              </w:rPr>
              <w:t xml:space="preserve"> </w:t>
            </w:r>
            <w:r w:rsidRPr="00150EDC">
              <w:rPr>
                <w:sz w:val="20"/>
              </w:rPr>
              <w:t>Young</w:t>
            </w:r>
            <w:r w:rsidRPr="00150EDC">
              <w:rPr>
                <w:spacing w:val="-8"/>
                <w:sz w:val="20"/>
              </w:rPr>
              <w:t xml:space="preserve"> </w:t>
            </w:r>
            <w:r w:rsidRPr="00150EDC">
              <w:rPr>
                <w:sz w:val="20"/>
              </w:rPr>
              <w:t>Persons</w:t>
            </w:r>
            <w:r w:rsidRPr="00150EDC">
              <w:rPr>
                <w:spacing w:val="-3"/>
                <w:sz w:val="20"/>
              </w:rPr>
              <w:t xml:space="preserve"> </w:t>
            </w:r>
            <w:r w:rsidRPr="00150EDC">
              <w:rPr>
                <w:sz w:val="20"/>
              </w:rPr>
              <w:t>Act</w:t>
            </w:r>
            <w:r w:rsidRPr="00150EDC">
              <w:rPr>
                <w:spacing w:val="-7"/>
                <w:sz w:val="20"/>
              </w:rPr>
              <w:t xml:space="preserve"> </w:t>
            </w:r>
            <w:r w:rsidRPr="00150EDC">
              <w:rPr>
                <w:sz w:val="20"/>
              </w:rPr>
              <w:t>(Northern</w:t>
            </w:r>
            <w:r w:rsidRPr="00150EDC">
              <w:rPr>
                <w:spacing w:val="-4"/>
                <w:sz w:val="20"/>
              </w:rPr>
              <w:t xml:space="preserve"> </w:t>
            </w:r>
            <w:r w:rsidRPr="00150EDC">
              <w:rPr>
                <w:sz w:val="20"/>
              </w:rPr>
              <w:t>Ireland)</w:t>
            </w:r>
            <w:r w:rsidRPr="00150EDC">
              <w:rPr>
                <w:spacing w:val="-4"/>
                <w:sz w:val="20"/>
              </w:rPr>
              <w:t xml:space="preserve"> </w:t>
            </w:r>
            <w:r w:rsidRPr="00150EDC">
              <w:rPr>
                <w:sz w:val="20"/>
              </w:rPr>
              <w:t>1968,</w:t>
            </w:r>
            <w:r w:rsidRPr="00150EDC">
              <w:rPr>
                <w:spacing w:val="-3"/>
                <w:sz w:val="20"/>
              </w:rPr>
              <w:t xml:space="preserve"> </w:t>
            </w:r>
            <w:r w:rsidRPr="00150EDC">
              <w:rPr>
                <w:spacing w:val="-5"/>
                <w:sz w:val="20"/>
              </w:rPr>
              <w:t>s23</w:t>
            </w:r>
          </w:p>
        </w:tc>
        <w:tc>
          <w:tcPr>
            <w:tcW w:w="7427" w:type="dxa"/>
          </w:tcPr>
          <w:p w14:paraId="3B47DED5" w14:textId="77777777" w:rsidR="004C7180" w:rsidRPr="00150EDC" w:rsidRDefault="00CF0754">
            <w:pPr>
              <w:pStyle w:val="TableParagraph"/>
              <w:rPr>
                <w:sz w:val="20"/>
              </w:rPr>
            </w:pPr>
            <w:r w:rsidRPr="00150EDC">
              <w:rPr>
                <w:sz w:val="20"/>
              </w:rPr>
              <w:t>Allowing</w:t>
            </w:r>
            <w:r w:rsidRPr="00150EDC">
              <w:rPr>
                <w:spacing w:val="-6"/>
                <w:sz w:val="20"/>
              </w:rPr>
              <w:t xml:space="preserve"> </w:t>
            </w:r>
            <w:r w:rsidRPr="00150EDC">
              <w:rPr>
                <w:sz w:val="20"/>
              </w:rPr>
              <w:t>children</w:t>
            </w:r>
            <w:r w:rsidRPr="00150EDC">
              <w:rPr>
                <w:spacing w:val="-1"/>
                <w:sz w:val="20"/>
              </w:rPr>
              <w:t xml:space="preserve"> </w:t>
            </w:r>
            <w:r w:rsidRPr="00150EDC">
              <w:rPr>
                <w:sz w:val="20"/>
              </w:rPr>
              <w:t>or</w:t>
            </w:r>
            <w:r w:rsidRPr="00150EDC">
              <w:rPr>
                <w:spacing w:val="-4"/>
                <w:sz w:val="20"/>
              </w:rPr>
              <w:t xml:space="preserve"> </w:t>
            </w:r>
            <w:r w:rsidRPr="00150EDC">
              <w:rPr>
                <w:sz w:val="20"/>
              </w:rPr>
              <w:t>young</w:t>
            </w:r>
            <w:r w:rsidRPr="00150EDC">
              <w:rPr>
                <w:spacing w:val="-6"/>
                <w:sz w:val="20"/>
              </w:rPr>
              <w:t xml:space="preserve"> </w:t>
            </w:r>
            <w:r w:rsidRPr="00150EDC">
              <w:rPr>
                <w:sz w:val="20"/>
              </w:rPr>
              <w:t>persons to</w:t>
            </w:r>
            <w:r w:rsidRPr="00150EDC">
              <w:rPr>
                <w:spacing w:val="-5"/>
                <w:sz w:val="20"/>
              </w:rPr>
              <w:t xml:space="preserve"> </w:t>
            </w:r>
            <w:r w:rsidRPr="00150EDC">
              <w:rPr>
                <w:sz w:val="20"/>
              </w:rPr>
              <w:t>be</w:t>
            </w:r>
            <w:r w:rsidRPr="00150EDC">
              <w:rPr>
                <w:spacing w:val="-1"/>
                <w:sz w:val="20"/>
              </w:rPr>
              <w:t xml:space="preserve"> </w:t>
            </w:r>
            <w:r w:rsidRPr="00150EDC">
              <w:rPr>
                <w:sz w:val="20"/>
              </w:rPr>
              <w:t>in</w:t>
            </w:r>
            <w:r w:rsidRPr="00150EDC">
              <w:rPr>
                <w:spacing w:val="-5"/>
                <w:sz w:val="20"/>
              </w:rPr>
              <w:t xml:space="preserve"> </w:t>
            </w:r>
            <w:r w:rsidRPr="00150EDC">
              <w:rPr>
                <w:spacing w:val="-2"/>
                <w:sz w:val="20"/>
              </w:rPr>
              <w:t>brothels</w:t>
            </w:r>
          </w:p>
        </w:tc>
      </w:tr>
      <w:tr w:rsidR="004569EE" w:rsidRPr="007D3144" w14:paraId="744BF1AA" w14:textId="77777777">
        <w:trPr>
          <w:trHeight w:val="255"/>
        </w:trPr>
        <w:tc>
          <w:tcPr>
            <w:tcW w:w="6517" w:type="dxa"/>
          </w:tcPr>
          <w:p w14:paraId="5BCD564F" w14:textId="77777777" w:rsidR="004C7180" w:rsidRPr="00150EDC" w:rsidRDefault="00CF0754">
            <w:pPr>
              <w:pStyle w:val="TableParagraph"/>
              <w:rPr>
                <w:sz w:val="20"/>
              </w:rPr>
            </w:pPr>
            <w:r w:rsidRPr="00150EDC">
              <w:rPr>
                <w:sz w:val="20"/>
              </w:rPr>
              <w:t>Children</w:t>
            </w:r>
            <w:r w:rsidRPr="00150EDC">
              <w:rPr>
                <w:spacing w:val="-8"/>
                <w:sz w:val="20"/>
              </w:rPr>
              <w:t xml:space="preserve"> </w:t>
            </w:r>
            <w:r w:rsidRPr="00150EDC">
              <w:rPr>
                <w:sz w:val="20"/>
              </w:rPr>
              <w:t>and</w:t>
            </w:r>
            <w:r w:rsidRPr="00150EDC">
              <w:rPr>
                <w:spacing w:val="-8"/>
                <w:sz w:val="20"/>
              </w:rPr>
              <w:t xml:space="preserve"> </w:t>
            </w:r>
            <w:r w:rsidRPr="00150EDC">
              <w:rPr>
                <w:sz w:val="20"/>
              </w:rPr>
              <w:t>Young</w:t>
            </w:r>
            <w:r w:rsidRPr="00150EDC">
              <w:rPr>
                <w:spacing w:val="-8"/>
                <w:sz w:val="20"/>
              </w:rPr>
              <w:t xml:space="preserve"> </w:t>
            </w:r>
            <w:r w:rsidRPr="00150EDC">
              <w:rPr>
                <w:sz w:val="20"/>
              </w:rPr>
              <w:t>Persons</w:t>
            </w:r>
            <w:r w:rsidRPr="00150EDC">
              <w:rPr>
                <w:spacing w:val="-3"/>
                <w:sz w:val="20"/>
              </w:rPr>
              <w:t xml:space="preserve"> </w:t>
            </w:r>
            <w:r w:rsidRPr="00150EDC">
              <w:rPr>
                <w:sz w:val="20"/>
              </w:rPr>
              <w:t>Act</w:t>
            </w:r>
            <w:r w:rsidRPr="00150EDC">
              <w:rPr>
                <w:spacing w:val="-7"/>
                <w:sz w:val="20"/>
              </w:rPr>
              <w:t xml:space="preserve"> </w:t>
            </w:r>
            <w:r w:rsidRPr="00150EDC">
              <w:rPr>
                <w:sz w:val="20"/>
              </w:rPr>
              <w:t>(Northern</w:t>
            </w:r>
            <w:r w:rsidRPr="00150EDC">
              <w:rPr>
                <w:spacing w:val="-4"/>
                <w:sz w:val="20"/>
              </w:rPr>
              <w:t xml:space="preserve"> </w:t>
            </w:r>
            <w:r w:rsidRPr="00150EDC">
              <w:rPr>
                <w:sz w:val="20"/>
              </w:rPr>
              <w:t>Ireland)</w:t>
            </w:r>
            <w:r w:rsidRPr="00150EDC">
              <w:rPr>
                <w:spacing w:val="-4"/>
                <w:sz w:val="20"/>
              </w:rPr>
              <w:t xml:space="preserve"> </w:t>
            </w:r>
            <w:r w:rsidRPr="00150EDC">
              <w:rPr>
                <w:sz w:val="20"/>
              </w:rPr>
              <w:t>1968,</w:t>
            </w:r>
            <w:r w:rsidRPr="00150EDC">
              <w:rPr>
                <w:spacing w:val="-3"/>
                <w:sz w:val="20"/>
              </w:rPr>
              <w:t xml:space="preserve"> </w:t>
            </w:r>
            <w:r w:rsidRPr="00150EDC">
              <w:rPr>
                <w:spacing w:val="-5"/>
                <w:sz w:val="20"/>
              </w:rPr>
              <w:t>s24</w:t>
            </w:r>
          </w:p>
        </w:tc>
        <w:tc>
          <w:tcPr>
            <w:tcW w:w="7427" w:type="dxa"/>
          </w:tcPr>
          <w:p w14:paraId="6F74F0EF" w14:textId="77777777" w:rsidR="004C7180" w:rsidRPr="00150EDC" w:rsidRDefault="00CF0754">
            <w:pPr>
              <w:pStyle w:val="TableParagraph"/>
              <w:rPr>
                <w:sz w:val="20"/>
              </w:rPr>
            </w:pPr>
            <w:r w:rsidRPr="00150EDC">
              <w:rPr>
                <w:sz w:val="20"/>
              </w:rPr>
              <w:t>Causing</w:t>
            </w:r>
            <w:r w:rsidRPr="00150EDC">
              <w:rPr>
                <w:spacing w:val="-5"/>
                <w:sz w:val="20"/>
              </w:rPr>
              <w:t xml:space="preserve"> </w:t>
            </w:r>
            <w:r w:rsidRPr="00150EDC">
              <w:rPr>
                <w:sz w:val="20"/>
              </w:rPr>
              <w:t>or</w:t>
            </w:r>
            <w:r w:rsidRPr="00150EDC">
              <w:rPr>
                <w:spacing w:val="-1"/>
                <w:sz w:val="20"/>
              </w:rPr>
              <w:t xml:space="preserve"> </w:t>
            </w:r>
            <w:r w:rsidRPr="00150EDC">
              <w:rPr>
                <w:sz w:val="20"/>
              </w:rPr>
              <w:t>allowing</w:t>
            </w:r>
            <w:r w:rsidRPr="00150EDC">
              <w:rPr>
                <w:spacing w:val="-5"/>
                <w:sz w:val="20"/>
              </w:rPr>
              <w:t xml:space="preserve"> </w:t>
            </w:r>
            <w:r w:rsidRPr="00150EDC">
              <w:rPr>
                <w:sz w:val="20"/>
              </w:rPr>
              <w:t>persons</w:t>
            </w:r>
            <w:r w:rsidRPr="00150EDC">
              <w:rPr>
                <w:spacing w:val="-4"/>
                <w:sz w:val="20"/>
              </w:rPr>
              <w:t xml:space="preserve"> </w:t>
            </w:r>
            <w:r w:rsidRPr="00150EDC">
              <w:rPr>
                <w:sz w:val="20"/>
              </w:rPr>
              <w:t>under</w:t>
            </w:r>
            <w:r w:rsidRPr="00150EDC">
              <w:rPr>
                <w:spacing w:val="-5"/>
                <w:sz w:val="20"/>
              </w:rPr>
              <w:t xml:space="preserve"> </w:t>
            </w:r>
            <w:r w:rsidRPr="00150EDC">
              <w:rPr>
                <w:sz w:val="20"/>
              </w:rPr>
              <w:t>16</w:t>
            </w:r>
            <w:r w:rsidRPr="00150EDC">
              <w:rPr>
                <w:spacing w:val="-5"/>
                <w:sz w:val="20"/>
              </w:rPr>
              <w:t xml:space="preserve"> </w:t>
            </w:r>
            <w:r w:rsidRPr="00150EDC">
              <w:rPr>
                <w:sz w:val="20"/>
              </w:rPr>
              <w:t>to</w:t>
            </w:r>
            <w:r w:rsidRPr="00150EDC">
              <w:rPr>
                <w:spacing w:val="-5"/>
                <w:sz w:val="20"/>
              </w:rPr>
              <w:t xml:space="preserve"> </w:t>
            </w:r>
            <w:r w:rsidRPr="00150EDC">
              <w:rPr>
                <w:sz w:val="20"/>
              </w:rPr>
              <w:t>be</w:t>
            </w:r>
            <w:r w:rsidRPr="00150EDC">
              <w:rPr>
                <w:spacing w:val="-5"/>
                <w:sz w:val="20"/>
              </w:rPr>
              <w:t xml:space="preserve"> </w:t>
            </w:r>
            <w:r w:rsidRPr="00150EDC">
              <w:rPr>
                <w:sz w:val="20"/>
              </w:rPr>
              <w:t>used for</w:t>
            </w:r>
            <w:r w:rsidRPr="00150EDC">
              <w:rPr>
                <w:spacing w:val="-1"/>
                <w:sz w:val="20"/>
              </w:rPr>
              <w:t xml:space="preserve"> </w:t>
            </w:r>
            <w:r w:rsidRPr="00150EDC">
              <w:rPr>
                <w:spacing w:val="-2"/>
                <w:sz w:val="20"/>
              </w:rPr>
              <w:t>begging</w:t>
            </w:r>
          </w:p>
        </w:tc>
      </w:tr>
      <w:tr w:rsidR="004569EE" w:rsidRPr="007D3144" w14:paraId="61AF32D2" w14:textId="77777777">
        <w:trPr>
          <w:trHeight w:val="255"/>
        </w:trPr>
        <w:tc>
          <w:tcPr>
            <w:tcW w:w="6517" w:type="dxa"/>
          </w:tcPr>
          <w:p w14:paraId="2082F5E1" w14:textId="77777777" w:rsidR="004C7180" w:rsidRPr="00150EDC" w:rsidRDefault="00CF0754">
            <w:pPr>
              <w:pStyle w:val="TableParagraph"/>
              <w:rPr>
                <w:sz w:val="20"/>
              </w:rPr>
            </w:pPr>
            <w:r w:rsidRPr="00150EDC">
              <w:rPr>
                <w:sz w:val="20"/>
              </w:rPr>
              <w:t>Children</w:t>
            </w:r>
            <w:r w:rsidRPr="00150EDC">
              <w:rPr>
                <w:spacing w:val="-8"/>
                <w:sz w:val="20"/>
              </w:rPr>
              <w:t xml:space="preserve"> </w:t>
            </w:r>
            <w:r w:rsidRPr="00150EDC">
              <w:rPr>
                <w:sz w:val="20"/>
              </w:rPr>
              <w:t>and</w:t>
            </w:r>
            <w:r w:rsidRPr="00150EDC">
              <w:rPr>
                <w:spacing w:val="-8"/>
                <w:sz w:val="20"/>
              </w:rPr>
              <w:t xml:space="preserve"> </w:t>
            </w:r>
            <w:r w:rsidRPr="00150EDC">
              <w:rPr>
                <w:sz w:val="20"/>
              </w:rPr>
              <w:t>Young</w:t>
            </w:r>
            <w:r w:rsidRPr="00150EDC">
              <w:rPr>
                <w:spacing w:val="-8"/>
                <w:sz w:val="20"/>
              </w:rPr>
              <w:t xml:space="preserve"> </w:t>
            </w:r>
            <w:r w:rsidRPr="00150EDC">
              <w:rPr>
                <w:sz w:val="20"/>
              </w:rPr>
              <w:t>Persons</w:t>
            </w:r>
            <w:r w:rsidRPr="00150EDC">
              <w:rPr>
                <w:spacing w:val="-3"/>
                <w:sz w:val="20"/>
              </w:rPr>
              <w:t xml:space="preserve"> </w:t>
            </w:r>
            <w:r w:rsidRPr="00150EDC">
              <w:rPr>
                <w:sz w:val="20"/>
              </w:rPr>
              <w:t>Act</w:t>
            </w:r>
            <w:r w:rsidRPr="00150EDC">
              <w:rPr>
                <w:spacing w:val="-7"/>
                <w:sz w:val="20"/>
              </w:rPr>
              <w:t xml:space="preserve"> </w:t>
            </w:r>
            <w:r w:rsidRPr="00150EDC">
              <w:rPr>
                <w:sz w:val="20"/>
              </w:rPr>
              <w:t>(Northern</w:t>
            </w:r>
            <w:r w:rsidRPr="00150EDC">
              <w:rPr>
                <w:spacing w:val="-4"/>
                <w:sz w:val="20"/>
              </w:rPr>
              <w:t xml:space="preserve"> </w:t>
            </w:r>
            <w:r w:rsidRPr="00150EDC">
              <w:rPr>
                <w:sz w:val="20"/>
              </w:rPr>
              <w:t>Ireland)</w:t>
            </w:r>
            <w:r w:rsidRPr="00150EDC">
              <w:rPr>
                <w:spacing w:val="-4"/>
                <w:sz w:val="20"/>
              </w:rPr>
              <w:t xml:space="preserve"> </w:t>
            </w:r>
            <w:r w:rsidRPr="00150EDC">
              <w:rPr>
                <w:sz w:val="20"/>
              </w:rPr>
              <w:t>1968,</w:t>
            </w:r>
            <w:r w:rsidRPr="00150EDC">
              <w:rPr>
                <w:spacing w:val="-3"/>
                <w:sz w:val="20"/>
              </w:rPr>
              <w:t xml:space="preserve"> </w:t>
            </w:r>
            <w:r w:rsidRPr="00150EDC">
              <w:rPr>
                <w:spacing w:val="-5"/>
                <w:sz w:val="20"/>
              </w:rPr>
              <w:t>s29</w:t>
            </w:r>
          </w:p>
        </w:tc>
        <w:tc>
          <w:tcPr>
            <w:tcW w:w="7427" w:type="dxa"/>
          </w:tcPr>
          <w:p w14:paraId="5B1F7A99" w14:textId="77777777" w:rsidR="004C7180" w:rsidRPr="00150EDC" w:rsidRDefault="00CF0754">
            <w:pPr>
              <w:pStyle w:val="TableParagraph"/>
              <w:rPr>
                <w:sz w:val="20"/>
              </w:rPr>
            </w:pPr>
            <w:r w:rsidRPr="00150EDC">
              <w:rPr>
                <w:sz w:val="20"/>
              </w:rPr>
              <w:t>Exposing</w:t>
            </w:r>
            <w:r w:rsidRPr="00150EDC">
              <w:rPr>
                <w:spacing w:val="-6"/>
                <w:sz w:val="20"/>
              </w:rPr>
              <w:t xml:space="preserve"> </w:t>
            </w:r>
            <w:r w:rsidRPr="00150EDC">
              <w:rPr>
                <w:sz w:val="20"/>
              </w:rPr>
              <w:t>children</w:t>
            </w:r>
            <w:r w:rsidRPr="00150EDC">
              <w:rPr>
                <w:spacing w:val="-5"/>
                <w:sz w:val="20"/>
              </w:rPr>
              <w:t xml:space="preserve"> </w:t>
            </w:r>
            <w:r w:rsidRPr="00150EDC">
              <w:rPr>
                <w:sz w:val="20"/>
              </w:rPr>
              <w:t>under</w:t>
            </w:r>
            <w:r w:rsidRPr="00150EDC">
              <w:rPr>
                <w:spacing w:val="-2"/>
                <w:sz w:val="20"/>
              </w:rPr>
              <w:t xml:space="preserve"> </w:t>
            </w:r>
            <w:r w:rsidRPr="00150EDC">
              <w:rPr>
                <w:sz w:val="20"/>
              </w:rPr>
              <w:t>12</w:t>
            </w:r>
            <w:r w:rsidRPr="00150EDC">
              <w:rPr>
                <w:spacing w:val="-6"/>
                <w:sz w:val="20"/>
              </w:rPr>
              <w:t xml:space="preserve"> </w:t>
            </w:r>
            <w:r w:rsidRPr="00150EDC">
              <w:rPr>
                <w:sz w:val="20"/>
              </w:rPr>
              <w:t>to risk</w:t>
            </w:r>
            <w:r w:rsidRPr="00150EDC">
              <w:rPr>
                <w:spacing w:val="-5"/>
                <w:sz w:val="20"/>
              </w:rPr>
              <w:t xml:space="preserve"> </w:t>
            </w:r>
            <w:r w:rsidRPr="00150EDC">
              <w:rPr>
                <w:sz w:val="20"/>
              </w:rPr>
              <w:t>of</w:t>
            </w:r>
            <w:r w:rsidRPr="00150EDC">
              <w:rPr>
                <w:spacing w:val="-3"/>
                <w:sz w:val="20"/>
              </w:rPr>
              <w:t xml:space="preserve"> </w:t>
            </w:r>
            <w:r w:rsidRPr="00150EDC">
              <w:rPr>
                <w:spacing w:val="-2"/>
                <w:sz w:val="20"/>
              </w:rPr>
              <w:t>burning</w:t>
            </w:r>
          </w:p>
        </w:tc>
      </w:tr>
      <w:tr w:rsidR="004569EE" w:rsidRPr="007D3144" w14:paraId="6C874F72" w14:textId="77777777">
        <w:trPr>
          <w:trHeight w:val="255"/>
        </w:trPr>
        <w:tc>
          <w:tcPr>
            <w:tcW w:w="6517" w:type="dxa"/>
          </w:tcPr>
          <w:p w14:paraId="193D8A11" w14:textId="77777777" w:rsidR="004C7180" w:rsidRPr="00150EDC" w:rsidRDefault="00CF0754">
            <w:pPr>
              <w:pStyle w:val="TableParagraph"/>
              <w:rPr>
                <w:sz w:val="20"/>
              </w:rPr>
            </w:pPr>
            <w:r w:rsidRPr="00150EDC">
              <w:rPr>
                <w:sz w:val="20"/>
              </w:rPr>
              <w:t>Children</w:t>
            </w:r>
            <w:r w:rsidRPr="00150EDC">
              <w:rPr>
                <w:spacing w:val="-8"/>
                <w:sz w:val="20"/>
              </w:rPr>
              <w:t xml:space="preserve"> </w:t>
            </w:r>
            <w:r w:rsidRPr="00150EDC">
              <w:rPr>
                <w:sz w:val="20"/>
              </w:rPr>
              <w:t>and</w:t>
            </w:r>
            <w:r w:rsidRPr="00150EDC">
              <w:rPr>
                <w:spacing w:val="-8"/>
                <w:sz w:val="20"/>
              </w:rPr>
              <w:t xml:space="preserve"> </w:t>
            </w:r>
            <w:r w:rsidRPr="00150EDC">
              <w:rPr>
                <w:sz w:val="20"/>
              </w:rPr>
              <w:t>Young</w:t>
            </w:r>
            <w:r w:rsidRPr="00150EDC">
              <w:rPr>
                <w:spacing w:val="-8"/>
                <w:sz w:val="20"/>
              </w:rPr>
              <w:t xml:space="preserve"> </w:t>
            </w:r>
            <w:r w:rsidRPr="00150EDC">
              <w:rPr>
                <w:sz w:val="20"/>
              </w:rPr>
              <w:t>Persons</w:t>
            </w:r>
            <w:r w:rsidRPr="00150EDC">
              <w:rPr>
                <w:spacing w:val="-3"/>
                <w:sz w:val="20"/>
              </w:rPr>
              <w:t xml:space="preserve"> </w:t>
            </w:r>
            <w:r w:rsidRPr="00150EDC">
              <w:rPr>
                <w:sz w:val="20"/>
              </w:rPr>
              <w:t>Act</w:t>
            </w:r>
            <w:r w:rsidRPr="00150EDC">
              <w:rPr>
                <w:spacing w:val="-7"/>
                <w:sz w:val="20"/>
              </w:rPr>
              <w:t xml:space="preserve"> </w:t>
            </w:r>
            <w:r w:rsidRPr="00150EDC">
              <w:rPr>
                <w:sz w:val="20"/>
              </w:rPr>
              <w:t>(Northern</w:t>
            </w:r>
            <w:r w:rsidRPr="00150EDC">
              <w:rPr>
                <w:spacing w:val="-4"/>
                <w:sz w:val="20"/>
              </w:rPr>
              <w:t xml:space="preserve"> </w:t>
            </w:r>
            <w:r w:rsidRPr="00150EDC">
              <w:rPr>
                <w:sz w:val="20"/>
              </w:rPr>
              <w:t>Ireland)</w:t>
            </w:r>
            <w:r w:rsidRPr="00150EDC">
              <w:rPr>
                <w:spacing w:val="-4"/>
                <w:sz w:val="20"/>
              </w:rPr>
              <w:t xml:space="preserve"> </w:t>
            </w:r>
            <w:r w:rsidRPr="00150EDC">
              <w:rPr>
                <w:sz w:val="20"/>
              </w:rPr>
              <w:t>1968,</w:t>
            </w:r>
            <w:r w:rsidRPr="00150EDC">
              <w:rPr>
                <w:spacing w:val="-3"/>
                <w:sz w:val="20"/>
              </w:rPr>
              <w:t xml:space="preserve"> </w:t>
            </w:r>
            <w:r w:rsidRPr="00150EDC">
              <w:rPr>
                <w:spacing w:val="-2"/>
                <w:sz w:val="20"/>
              </w:rPr>
              <w:t>s88(4)</w:t>
            </w:r>
          </w:p>
        </w:tc>
        <w:tc>
          <w:tcPr>
            <w:tcW w:w="7427" w:type="dxa"/>
          </w:tcPr>
          <w:p w14:paraId="68E6779A" w14:textId="77777777" w:rsidR="004C7180" w:rsidRPr="00150EDC" w:rsidRDefault="00CF0754">
            <w:pPr>
              <w:pStyle w:val="TableParagraph"/>
              <w:rPr>
                <w:sz w:val="20"/>
              </w:rPr>
            </w:pPr>
            <w:r w:rsidRPr="00150EDC">
              <w:rPr>
                <w:sz w:val="20"/>
              </w:rPr>
              <w:t>Harbour</w:t>
            </w:r>
            <w:r w:rsidRPr="00150EDC">
              <w:rPr>
                <w:spacing w:val="-5"/>
                <w:sz w:val="20"/>
              </w:rPr>
              <w:t xml:space="preserve"> </w:t>
            </w:r>
            <w:r w:rsidRPr="00150EDC">
              <w:rPr>
                <w:sz w:val="20"/>
              </w:rPr>
              <w:t>or</w:t>
            </w:r>
            <w:r w:rsidRPr="00150EDC">
              <w:rPr>
                <w:spacing w:val="-5"/>
                <w:sz w:val="20"/>
              </w:rPr>
              <w:t xml:space="preserve"> </w:t>
            </w:r>
            <w:r w:rsidRPr="00150EDC">
              <w:rPr>
                <w:sz w:val="20"/>
              </w:rPr>
              <w:t>conceal</w:t>
            </w:r>
            <w:r w:rsidRPr="00150EDC">
              <w:rPr>
                <w:spacing w:val="-3"/>
                <w:sz w:val="20"/>
              </w:rPr>
              <w:t xml:space="preserve"> </w:t>
            </w:r>
            <w:r w:rsidRPr="00150EDC">
              <w:rPr>
                <w:sz w:val="20"/>
              </w:rPr>
              <w:t>child</w:t>
            </w:r>
            <w:r w:rsidRPr="00150EDC">
              <w:rPr>
                <w:spacing w:val="-5"/>
                <w:sz w:val="20"/>
              </w:rPr>
              <w:t xml:space="preserve"> </w:t>
            </w:r>
            <w:r w:rsidRPr="00150EDC">
              <w:rPr>
                <w:sz w:val="20"/>
              </w:rPr>
              <w:t>or</w:t>
            </w:r>
            <w:r w:rsidRPr="00150EDC">
              <w:rPr>
                <w:spacing w:val="-5"/>
                <w:sz w:val="20"/>
              </w:rPr>
              <w:t xml:space="preserve"> </w:t>
            </w:r>
            <w:r w:rsidRPr="00150EDC">
              <w:rPr>
                <w:sz w:val="20"/>
              </w:rPr>
              <w:t>young person</w:t>
            </w:r>
            <w:r w:rsidRPr="00150EDC">
              <w:rPr>
                <w:spacing w:val="-5"/>
                <w:sz w:val="20"/>
              </w:rPr>
              <w:t xml:space="preserve"> </w:t>
            </w:r>
            <w:r w:rsidRPr="00150EDC">
              <w:rPr>
                <w:sz w:val="20"/>
              </w:rPr>
              <w:t>from</w:t>
            </w:r>
            <w:r w:rsidRPr="00150EDC">
              <w:rPr>
                <w:spacing w:val="-5"/>
                <w:sz w:val="20"/>
              </w:rPr>
              <w:t xml:space="preserve"> </w:t>
            </w:r>
            <w:r w:rsidRPr="00150EDC">
              <w:rPr>
                <w:sz w:val="20"/>
              </w:rPr>
              <w:t>training</w:t>
            </w:r>
            <w:r w:rsidRPr="00150EDC">
              <w:rPr>
                <w:spacing w:val="-5"/>
                <w:sz w:val="20"/>
              </w:rPr>
              <w:t xml:space="preserve"> </w:t>
            </w:r>
            <w:r w:rsidRPr="00150EDC">
              <w:rPr>
                <w:spacing w:val="-2"/>
                <w:sz w:val="20"/>
              </w:rPr>
              <w:t>school</w:t>
            </w:r>
          </w:p>
        </w:tc>
      </w:tr>
      <w:tr w:rsidR="004569EE" w:rsidRPr="007D3144" w14:paraId="3C3077E5" w14:textId="77777777">
        <w:trPr>
          <w:trHeight w:val="255"/>
        </w:trPr>
        <w:tc>
          <w:tcPr>
            <w:tcW w:w="6517" w:type="dxa"/>
          </w:tcPr>
          <w:p w14:paraId="1DFFB5F6" w14:textId="77777777" w:rsidR="004C7180" w:rsidRPr="00150EDC" w:rsidRDefault="00CF0754">
            <w:pPr>
              <w:pStyle w:val="TableParagraph"/>
              <w:rPr>
                <w:sz w:val="20"/>
              </w:rPr>
            </w:pPr>
            <w:r w:rsidRPr="00150EDC">
              <w:rPr>
                <w:sz w:val="20"/>
              </w:rPr>
              <w:t>Children</w:t>
            </w:r>
            <w:r w:rsidRPr="00150EDC">
              <w:rPr>
                <w:spacing w:val="-8"/>
                <w:sz w:val="20"/>
              </w:rPr>
              <w:t xml:space="preserve"> </w:t>
            </w:r>
            <w:r w:rsidRPr="00150EDC">
              <w:rPr>
                <w:sz w:val="20"/>
              </w:rPr>
              <w:t>and</w:t>
            </w:r>
            <w:r w:rsidRPr="00150EDC">
              <w:rPr>
                <w:spacing w:val="-8"/>
                <w:sz w:val="20"/>
              </w:rPr>
              <w:t xml:space="preserve"> </w:t>
            </w:r>
            <w:r w:rsidRPr="00150EDC">
              <w:rPr>
                <w:sz w:val="20"/>
              </w:rPr>
              <w:t>Young</w:t>
            </w:r>
            <w:r w:rsidRPr="00150EDC">
              <w:rPr>
                <w:spacing w:val="-8"/>
                <w:sz w:val="20"/>
              </w:rPr>
              <w:t xml:space="preserve"> </w:t>
            </w:r>
            <w:r w:rsidRPr="00150EDC">
              <w:rPr>
                <w:sz w:val="20"/>
              </w:rPr>
              <w:t>Persons</w:t>
            </w:r>
            <w:r w:rsidRPr="00150EDC">
              <w:rPr>
                <w:spacing w:val="-3"/>
                <w:sz w:val="20"/>
              </w:rPr>
              <w:t xml:space="preserve"> </w:t>
            </w:r>
            <w:r w:rsidRPr="00150EDC">
              <w:rPr>
                <w:sz w:val="20"/>
              </w:rPr>
              <w:t>Act</w:t>
            </w:r>
            <w:r w:rsidRPr="00150EDC">
              <w:rPr>
                <w:spacing w:val="-7"/>
                <w:sz w:val="20"/>
              </w:rPr>
              <w:t xml:space="preserve"> </w:t>
            </w:r>
            <w:r w:rsidRPr="00150EDC">
              <w:rPr>
                <w:sz w:val="20"/>
              </w:rPr>
              <w:t>(Northern</w:t>
            </w:r>
            <w:r w:rsidRPr="00150EDC">
              <w:rPr>
                <w:spacing w:val="-4"/>
                <w:sz w:val="20"/>
              </w:rPr>
              <w:t xml:space="preserve"> </w:t>
            </w:r>
            <w:r w:rsidRPr="00150EDC">
              <w:rPr>
                <w:sz w:val="20"/>
              </w:rPr>
              <w:t>Ireland)</w:t>
            </w:r>
            <w:r w:rsidRPr="00150EDC">
              <w:rPr>
                <w:spacing w:val="-4"/>
                <w:sz w:val="20"/>
              </w:rPr>
              <w:t xml:space="preserve"> </w:t>
            </w:r>
            <w:r w:rsidRPr="00150EDC">
              <w:rPr>
                <w:sz w:val="20"/>
              </w:rPr>
              <w:t>1968,</w:t>
            </w:r>
            <w:r w:rsidRPr="00150EDC">
              <w:rPr>
                <w:spacing w:val="-3"/>
                <w:sz w:val="20"/>
              </w:rPr>
              <w:t xml:space="preserve"> </w:t>
            </w:r>
            <w:r w:rsidRPr="00150EDC">
              <w:rPr>
                <w:spacing w:val="-2"/>
                <w:sz w:val="20"/>
              </w:rPr>
              <w:t>s9(1)</w:t>
            </w:r>
          </w:p>
        </w:tc>
        <w:tc>
          <w:tcPr>
            <w:tcW w:w="7427" w:type="dxa"/>
          </w:tcPr>
          <w:p w14:paraId="75F4676B" w14:textId="77777777" w:rsidR="004C7180" w:rsidRPr="00150EDC" w:rsidRDefault="00CF0754">
            <w:pPr>
              <w:pStyle w:val="TableParagraph"/>
              <w:rPr>
                <w:sz w:val="20"/>
              </w:rPr>
            </w:pPr>
            <w:r w:rsidRPr="00150EDC">
              <w:rPr>
                <w:sz w:val="20"/>
              </w:rPr>
              <w:t>Offences</w:t>
            </w:r>
            <w:r w:rsidRPr="00150EDC">
              <w:rPr>
                <w:spacing w:val="-3"/>
                <w:sz w:val="20"/>
              </w:rPr>
              <w:t xml:space="preserve"> </w:t>
            </w:r>
            <w:r w:rsidRPr="00150EDC">
              <w:rPr>
                <w:sz w:val="20"/>
              </w:rPr>
              <w:t>relating</w:t>
            </w:r>
            <w:r w:rsidRPr="00150EDC">
              <w:rPr>
                <w:spacing w:val="-3"/>
                <w:sz w:val="20"/>
              </w:rPr>
              <w:t xml:space="preserve"> </w:t>
            </w:r>
            <w:r w:rsidRPr="00150EDC">
              <w:rPr>
                <w:sz w:val="20"/>
              </w:rPr>
              <w:t>to</w:t>
            </w:r>
            <w:r w:rsidRPr="00150EDC">
              <w:rPr>
                <w:spacing w:val="-8"/>
                <w:sz w:val="20"/>
              </w:rPr>
              <w:t xml:space="preserve"> </w:t>
            </w:r>
            <w:r w:rsidRPr="00150EDC">
              <w:rPr>
                <w:sz w:val="20"/>
              </w:rPr>
              <w:t>private</w:t>
            </w:r>
            <w:r w:rsidRPr="00150EDC">
              <w:rPr>
                <w:spacing w:val="-7"/>
                <w:sz w:val="20"/>
              </w:rPr>
              <w:t xml:space="preserve"> </w:t>
            </w:r>
            <w:r w:rsidRPr="00150EDC">
              <w:rPr>
                <w:spacing w:val="-2"/>
                <w:sz w:val="20"/>
              </w:rPr>
              <w:t>fostering</w:t>
            </w:r>
          </w:p>
        </w:tc>
      </w:tr>
      <w:tr w:rsidR="004569EE" w:rsidRPr="007D3144" w14:paraId="72382617" w14:textId="77777777">
        <w:trPr>
          <w:trHeight w:val="255"/>
        </w:trPr>
        <w:tc>
          <w:tcPr>
            <w:tcW w:w="6517" w:type="dxa"/>
          </w:tcPr>
          <w:p w14:paraId="2A746821" w14:textId="77777777" w:rsidR="004C7180" w:rsidRPr="00150EDC" w:rsidRDefault="00CF0754">
            <w:pPr>
              <w:pStyle w:val="TableParagraph"/>
              <w:rPr>
                <w:sz w:val="20"/>
              </w:rPr>
            </w:pPr>
            <w:r w:rsidRPr="00150EDC">
              <w:rPr>
                <w:sz w:val="20"/>
              </w:rPr>
              <w:t>Children</w:t>
            </w:r>
            <w:r w:rsidRPr="00150EDC">
              <w:rPr>
                <w:spacing w:val="-7"/>
                <w:sz w:val="20"/>
              </w:rPr>
              <w:t xml:space="preserve"> </w:t>
            </w:r>
            <w:r w:rsidRPr="00150EDC">
              <w:rPr>
                <w:sz w:val="20"/>
              </w:rPr>
              <w:t>and</w:t>
            </w:r>
            <w:r w:rsidRPr="00150EDC">
              <w:rPr>
                <w:spacing w:val="-6"/>
                <w:sz w:val="20"/>
              </w:rPr>
              <w:t xml:space="preserve"> </w:t>
            </w:r>
            <w:r w:rsidRPr="00150EDC">
              <w:rPr>
                <w:sz w:val="20"/>
              </w:rPr>
              <w:t>Young</w:t>
            </w:r>
            <w:r w:rsidRPr="00150EDC">
              <w:rPr>
                <w:spacing w:val="-6"/>
                <w:sz w:val="20"/>
              </w:rPr>
              <w:t xml:space="preserve"> </w:t>
            </w:r>
            <w:r w:rsidRPr="00150EDC">
              <w:rPr>
                <w:sz w:val="20"/>
              </w:rPr>
              <w:t>Persons</w:t>
            </w:r>
            <w:r w:rsidRPr="00150EDC">
              <w:rPr>
                <w:spacing w:val="-1"/>
                <w:sz w:val="20"/>
              </w:rPr>
              <w:t xml:space="preserve"> </w:t>
            </w:r>
            <w:r w:rsidRPr="00150EDC">
              <w:rPr>
                <w:sz w:val="20"/>
              </w:rPr>
              <w:t>Act</w:t>
            </w:r>
            <w:r w:rsidRPr="00150EDC">
              <w:rPr>
                <w:spacing w:val="-5"/>
                <w:sz w:val="20"/>
              </w:rPr>
              <w:t xml:space="preserve"> </w:t>
            </w:r>
            <w:r w:rsidRPr="00150EDC">
              <w:rPr>
                <w:sz w:val="20"/>
              </w:rPr>
              <w:t>1933,</w:t>
            </w:r>
            <w:r w:rsidRPr="00150EDC">
              <w:rPr>
                <w:spacing w:val="-6"/>
                <w:sz w:val="20"/>
              </w:rPr>
              <w:t xml:space="preserve"> </w:t>
            </w:r>
            <w:r w:rsidRPr="00150EDC">
              <w:rPr>
                <w:spacing w:val="-5"/>
                <w:sz w:val="20"/>
              </w:rPr>
              <w:t>s1</w:t>
            </w:r>
          </w:p>
        </w:tc>
        <w:tc>
          <w:tcPr>
            <w:tcW w:w="7427" w:type="dxa"/>
          </w:tcPr>
          <w:p w14:paraId="4ECB8EF5" w14:textId="77777777" w:rsidR="004C7180" w:rsidRPr="00150EDC" w:rsidRDefault="00CF0754">
            <w:pPr>
              <w:pStyle w:val="TableParagraph"/>
              <w:rPr>
                <w:sz w:val="20"/>
              </w:rPr>
            </w:pPr>
            <w:r w:rsidRPr="00150EDC">
              <w:rPr>
                <w:sz w:val="20"/>
              </w:rPr>
              <w:t>Cruelty</w:t>
            </w:r>
            <w:r w:rsidRPr="00150EDC">
              <w:rPr>
                <w:spacing w:val="-6"/>
                <w:sz w:val="20"/>
              </w:rPr>
              <w:t xml:space="preserve"> </w:t>
            </w:r>
            <w:r w:rsidRPr="00150EDC">
              <w:rPr>
                <w:sz w:val="20"/>
              </w:rPr>
              <w:t>to</w:t>
            </w:r>
            <w:r w:rsidRPr="00150EDC">
              <w:rPr>
                <w:spacing w:val="-6"/>
                <w:sz w:val="20"/>
              </w:rPr>
              <w:t xml:space="preserve"> </w:t>
            </w:r>
            <w:r w:rsidRPr="00150EDC">
              <w:rPr>
                <w:spacing w:val="-2"/>
                <w:sz w:val="20"/>
              </w:rPr>
              <w:t>children</w:t>
            </w:r>
          </w:p>
        </w:tc>
      </w:tr>
      <w:tr w:rsidR="004569EE" w:rsidRPr="007D3144" w14:paraId="72AB9BDD" w14:textId="77777777">
        <w:trPr>
          <w:trHeight w:val="255"/>
        </w:trPr>
        <w:tc>
          <w:tcPr>
            <w:tcW w:w="6517" w:type="dxa"/>
          </w:tcPr>
          <w:p w14:paraId="6F1A3F6E" w14:textId="77777777" w:rsidR="004C7180" w:rsidRPr="00150EDC" w:rsidRDefault="00CF0754">
            <w:pPr>
              <w:pStyle w:val="TableParagraph"/>
              <w:rPr>
                <w:sz w:val="20"/>
              </w:rPr>
            </w:pPr>
            <w:r w:rsidRPr="00150EDC">
              <w:rPr>
                <w:sz w:val="20"/>
              </w:rPr>
              <w:t>Children</w:t>
            </w:r>
            <w:r w:rsidRPr="00150EDC">
              <w:rPr>
                <w:spacing w:val="-7"/>
                <w:sz w:val="20"/>
              </w:rPr>
              <w:t xml:space="preserve"> </w:t>
            </w:r>
            <w:r w:rsidRPr="00150EDC">
              <w:rPr>
                <w:sz w:val="20"/>
              </w:rPr>
              <w:t>and</w:t>
            </w:r>
            <w:r w:rsidRPr="00150EDC">
              <w:rPr>
                <w:spacing w:val="-7"/>
                <w:sz w:val="20"/>
              </w:rPr>
              <w:t xml:space="preserve"> </w:t>
            </w:r>
            <w:r w:rsidRPr="00150EDC">
              <w:rPr>
                <w:sz w:val="20"/>
              </w:rPr>
              <w:t>Young</w:t>
            </w:r>
            <w:r w:rsidRPr="00150EDC">
              <w:rPr>
                <w:spacing w:val="-6"/>
                <w:sz w:val="20"/>
              </w:rPr>
              <w:t xml:space="preserve"> </w:t>
            </w:r>
            <w:r w:rsidRPr="00150EDC">
              <w:rPr>
                <w:sz w:val="20"/>
              </w:rPr>
              <w:t>Persons</w:t>
            </w:r>
            <w:r w:rsidRPr="00150EDC">
              <w:rPr>
                <w:spacing w:val="-1"/>
                <w:sz w:val="20"/>
              </w:rPr>
              <w:t xml:space="preserve"> </w:t>
            </w:r>
            <w:r w:rsidRPr="00150EDC">
              <w:rPr>
                <w:sz w:val="20"/>
              </w:rPr>
              <w:t>Act</w:t>
            </w:r>
            <w:r w:rsidRPr="00150EDC">
              <w:rPr>
                <w:spacing w:val="-6"/>
                <w:sz w:val="20"/>
              </w:rPr>
              <w:t xml:space="preserve"> </w:t>
            </w:r>
            <w:r w:rsidRPr="00150EDC">
              <w:rPr>
                <w:sz w:val="20"/>
              </w:rPr>
              <w:t>1933,</w:t>
            </w:r>
            <w:r w:rsidRPr="00150EDC">
              <w:rPr>
                <w:spacing w:val="-6"/>
                <w:sz w:val="20"/>
              </w:rPr>
              <w:t xml:space="preserve"> </w:t>
            </w:r>
            <w:r w:rsidRPr="00150EDC">
              <w:rPr>
                <w:spacing w:val="-2"/>
                <w:sz w:val="20"/>
              </w:rPr>
              <w:t>s85(3)</w:t>
            </w:r>
          </w:p>
        </w:tc>
        <w:tc>
          <w:tcPr>
            <w:tcW w:w="7427" w:type="dxa"/>
          </w:tcPr>
          <w:p w14:paraId="5D00618F" w14:textId="77777777" w:rsidR="004C7180" w:rsidRPr="00150EDC" w:rsidRDefault="00CF0754">
            <w:pPr>
              <w:pStyle w:val="TableParagraph"/>
              <w:rPr>
                <w:sz w:val="20"/>
              </w:rPr>
            </w:pPr>
            <w:r w:rsidRPr="00150EDC">
              <w:rPr>
                <w:sz w:val="20"/>
              </w:rPr>
              <w:t>Assist,</w:t>
            </w:r>
            <w:r w:rsidRPr="00150EDC">
              <w:rPr>
                <w:spacing w:val="-4"/>
                <w:sz w:val="20"/>
              </w:rPr>
              <w:t xml:space="preserve"> </w:t>
            </w:r>
            <w:r w:rsidRPr="00150EDC">
              <w:rPr>
                <w:sz w:val="20"/>
              </w:rPr>
              <w:t>induce,</w:t>
            </w:r>
            <w:r w:rsidRPr="00150EDC">
              <w:rPr>
                <w:spacing w:val="-4"/>
                <w:sz w:val="20"/>
              </w:rPr>
              <w:t xml:space="preserve"> </w:t>
            </w:r>
            <w:r w:rsidRPr="00150EDC">
              <w:rPr>
                <w:sz w:val="20"/>
              </w:rPr>
              <w:t>harbour</w:t>
            </w:r>
            <w:r w:rsidRPr="00150EDC">
              <w:rPr>
                <w:spacing w:val="-4"/>
                <w:sz w:val="20"/>
              </w:rPr>
              <w:t xml:space="preserve"> </w:t>
            </w:r>
            <w:r w:rsidRPr="00150EDC">
              <w:rPr>
                <w:sz w:val="20"/>
              </w:rPr>
              <w:t>or</w:t>
            </w:r>
            <w:r w:rsidRPr="00150EDC">
              <w:rPr>
                <w:spacing w:val="-4"/>
                <w:sz w:val="20"/>
              </w:rPr>
              <w:t xml:space="preserve"> </w:t>
            </w:r>
            <w:r w:rsidRPr="00150EDC">
              <w:rPr>
                <w:sz w:val="20"/>
              </w:rPr>
              <w:t>conceal</w:t>
            </w:r>
            <w:r w:rsidRPr="00150EDC">
              <w:rPr>
                <w:spacing w:val="-2"/>
                <w:sz w:val="20"/>
              </w:rPr>
              <w:t xml:space="preserve"> </w:t>
            </w:r>
            <w:r w:rsidRPr="00150EDC">
              <w:rPr>
                <w:sz w:val="20"/>
              </w:rPr>
              <w:t>a</w:t>
            </w:r>
            <w:r w:rsidRPr="00150EDC">
              <w:rPr>
                <w:spacing w:val="-3"/>
                <w:sz w:val="20"/>
              </w:rPr>
              <w:t xml:space="preserve"> </w:t>
            </w:r>
            <w:r w:rsidRPr="00150EDC">
              <w:rPr>
                <w:sz w:val="20"/>
              </w:rPr>
              <w:t>child</w:t>
            </w:r>
            <w:r w:rsidRPr="00150EDC">
              <w:rPr>
                <w:spacing w:val="1"/>
                <w:sz w:val="20"/>
              </w:rPr>
              <w:t xml:space="preserve"> </w:t>
            </w:r>
            <w:r w:rsidRPr="00150EDC">
              <w:rPr>
                <w:sz w:val="20"/>
              </w:rPr>
              <w:t>to</w:t>
            </w:r>
            <w:r w:rsidRPr="00150EDC">
              <w:rPr>
                <w:spacing w:val="-4"/>
                <w:sz w:val="20"/>
              </w:rPr>
              <w:t xml:space="preserve"> </w:t>
            </w:r>
            <w:r w:rsidRPr="00150EDC">
              <w:rPr>
                <w:sz w:val="20"/>
              </w:rPr>
              <w:t>run</w:t>
            </w:r>
            <w:r w:rsidRPr="00150EDC">
              <w:rPr>
                <w:spacing w:val="-4"/>
                <w:sz w:val="20"/>
              </w:rPr>
              <w:t xml:space="preserve"> </w:t>
            </w:r>
            <w:r w:rsidRPr="00150EDC">
              <w:rPr>
                <w:sz w:val="20"/>
              </w:rPr>
              <w:t>away</w:t>
            </w:r>
            <w:r w:rsidRPr="00150EDC">
              <w:rPr>
                <w:spacing w:val="-3"/>
                <w:sz w:val="20"/>
              </w:rPr>
              <w:t xml:space="preserve"> </w:t>
            </w:r>
            <w:r w:rsidRPr="00150EDC">
              <w:rPr>
                <w:sz w:val="20"/>
              </w:rPr>
              <w:t>from</w:t>
            </w:r>
            <w:r w:rsidRPr="00150EDC">
              <w:rPr>
                <w:spacing w:val="-3"/>
                <w:sz w:val="20"/>
              </w:rPr>
              <w:t xml:space="preserve"> </w:t>
            </w:r>
            <w:r w:rsidRPr="00150EDC">
              <w:rPr>
                <w:spacing w:val="-4"/>
                <w:sz w:val="20"/>
              </w:rPr>
              <w:t>care</w:t>
            </w:r>
          </w:p>
        </w:tc>
      </w:tr>
      <w:tr w:rsidR="004569EE" w:rsidRPr="007D3144" w14:paraId="7598E1BC" w14:textId="77777777">
        <w:trPr>
          <w:trHeight w:val="255"/>
        </w:trPr>
        <w:tc>
          <w:tcPr>
            <w:tcW w:w="6517" w:type="dxa"/>
          </w:tcPr>
          <w:p w14:paraId="3C876339" w14:textId="77777777" w:rsidR="004C7180" w:rsidRPr="00150EDC" w:rsidRDefault="00CF0754">
            <w:pPr>
              <w:pStyle w:val="TableParagraph"/>
              <w:spacing w:before="28"/>
              <w:rPr>
                <w:sz w:val="20"/>
              </w:rPr>
            </w:pPr>
            <w:r w:rsidRPr="00150EDC">
              <w:rPr>
                <w:sz w:val="20"/>
              </w:rPr>
              <w:t>Children</w:t>
            </w:r>
            <w:r w:rsidRPr="00150EDC">
              <w:rPr>
                <w:spacing w:val="-7"/>
                <w:sz w:val="20"/>
              </w:rPr>
              <w:t xml:space="preserve"> </w:t>
            </w:r>
            <w:r w:rsidRPr="00150EDC">
              <w:rPr>
                <w:sz w:val="20"/>
              </w:rPr>
              <w:t>and</w:t>
            </w:r>
            <w:r w:rsidRPr="00150EDC">
              <w:rPr>
                <w:spacing w:val="-7"/>
                <w:sz w:val="20"/>
              </w:rPr>
              <w:t xml:space="preserve"> </w:t>
            </w:r>
            <w:r w:rsidRPr="00150EDC">
              <w:rPr>
                <w:sz w:val="20"/>
              </w:rPr>
              <w:t>Young</w:t>
            </w:r>
            <w:r w:rsidRPr="00150EDC">
              <w:rPr>
                <w:spacing w:val="-6"/>
                <w:sz w:val="20"/>
              </w:rPr>
              <w:t xml:space="preserve"> </w:t>
            </w:r>
            <w:r w:rsidRPr="00150EDC">
              <w:rPr>
                <w:sz w:val="20"/>
              </w:rPr>
              <w:t>Persons</w:t>
            </w:r>
            <w:r w:rsidRPr="00150EDC">
              <w:rPr>
                <w:spacing w:val="-1"/>
                <w:sz w:val="20"/>
              </w:rPr>
              <w:t xml:space="preserve"> </w:t>
            </w:r>
            <w:r w:rsidRPr="00150EDC">
              <w:rPr>
                <w:sz w:val="20"/>
              </w:rPr>
              <w:t>Act</w:t>
            </w:r>
            <w:r w:rsidRPr="00150EDC">
              <w:rPr>
                <w:spacing w:val="-6"/>
                <w:sz w:val="20"/>
              </w:rPr>
              <w:t xml:space="preserve"> </w:t>
            </w:r>
            <w:r w:rsidRPr="00150EDC">
              <w:rPr>
                <w:sz w:val="20"/>
              </w:rPr>
              <w:t>1966,</w:t>
            </w:r>
            <w:r w:rsidRPr="00150EDC">
              <w:rPr>
                <w:spacing w:val="-6"/>
                <w:sz w:val="20"/>
              </w:rPr>
              <w:t xml:space="preserve"> </w:t>
            </w:r>
            <w:r w:rsidRPr="00150EDC">
              <w:rPr>
                <w:spacing w:val="-5"/>
                <w:sz w:val="20"/>
              </w:rPr>
              <w:t>s1</w:t>
            </w:r>
          </w:p>
        </w:tc>
        <w:tc>
          <w:tcPr>
            <w:tcW w:w="7427" w:type="dxa"/>
          </w:tcPr>
          <w:p w14:paraId="30F657F3" w14:textId="77777777" w:rsidR="004C7180" w:rsidRPr="00150EDC" w:rsidRDefault="00CF0754">
            <w:pPr>
              <w:pStyle w:val="TableParagraph"/>
              <w:spacing w:before="28"/>
              <w:rPr>
                <w:sz w:val="20"/>
              </w:rPr>
            </w:pPr>
            <w:r w:rsidRPr="00150EDC">
              <w:rPr>
                <w:sz w:val="20"/>
              </w:rPr>
              <w:t>Cruelty,</w:t>
            </w:r>
            <w:r w:rsidRPr="00150EDC">
              <w:rPr>
                <w:spacing w:val="-5"/>
                <w:sz w:val="20"/>
              </w:rPr>
              <w:t xml:space="preserve"> </w:t>
            </w:r>
            <w:r w:rsidRPr="00150EDC">
              <w:rPr>
                <w:sz w:val="20"/>
              </w:rPr>
              <w:t>neglect</w:t>
            </w:r>
            <w:r w:rsidRPr="00150EDC">
              <w:rPr>
                <w:spacing w:val="-5"/>
                <w:sz w:val="20"/>
              </w:rPr>
              <w:t xml:space="preserve"> </w:t>
            </w:r>
            <w:r w:rsidRPr="00150EDC">
              <w:rPr>
                <w:sz w:val="20"/>
              </w:rPr>
              <w:t>etc. of</w:t>
            </w:r>
            <w:r w:rsidRPr="00150EDC">
              <w:rPr>
                <w:spacing w:val="-6"/>
                <w:sz w:val="20"/>
              </w:rPr>
              <w:t xml:space="preserve"> </w:t>
            </w:r>
            <w:r w:rsidRPr="00150EDC">
              <w:rPr>
                <w:spacing w:val="-2"/>
                <w:sz w:val="20"/>
              </w:rPr>
              <w:t>children</w:t>
            </w:r>
          </w:p>
        </w:tc>
      </w:tr>
      <w:tr w:rsidR="004569EE" w:rsidRPr="007D3144" w14:paraId="51A4DE27" w14:textId="77777777">
        <w:trPr>
          <w:trHeight w:val="255"/>
        </w:trPr>
        <w:tc>
          <w:tcPr>
            <w:tcW w:w="6517" w:type="dxa"/>
          </w:tcPr>
          <w:p w14:paraId="0518EF0C" w14:textId="77777777" w:rsidR="004C7180" w:rsidRPr="00150EDC" w:rsidRDefault="00CF0754">
            <w:pPr>
              <w:pStyle w:val="TableParagraph"/>
              <w:rPr>
                <w:sz w:val="20"/>
              </w:rPr>
            </w:pPr>
            <w:r w:rsidRPr="00150EDC">
              <w:rPr>
                <w:sz w:val="20"/>
              </w:rPr>
              <w:t>Children</w:t>
            </w:r>
            <w:r w:rsidRPr="00150EDC">
              <w:rPr>
                <w:spacing w:val="-7"/>
                <w:sz w:val="20"/>
              </w:rPr>
              <w:t xml:space="preserve"> </w:t>
            </w:r>
            <w:r w:rsidRPr="00150EDC">
              <w:rPr>
                <w:sz w:val="20"/>
              </w:rPr>
              <w:t>and</w:t>
            </w:r>
            <w:r w:rsidRPr="00150EDC">
              <w:rPr>
                <w:spacing w:val="-6"/>
                <w:sz w:val="20"/>
              </w:rPr>
              <w:t xml:space="preserve"> </w:t>
            </w:r>
            <w:r w:rsidRPr="00150EDC">
              <w:rPr>
                <w:sz w:val="20"/>
              </w:rPr>
              <w:t>Young</w:t>
            </w:r>
            <w:r w:rsidRPr="00150EDC">
              <w:rPr>
                <w:spacing w:val="-6"/>
                <w:sz w:val="20"/>
              </w:rPr>
              <w:t xml:space="preserve"> </w:t>
            </w:r>
            <w:r w:rsidRPr="00150EDC">
              <w:rPr>
                <w:sz w:val="20"/>
              </w:rPr>
              <w:t>Persons</w:t>
            </w:r>
            <w:r w:rsidRPr="00150EDC">
              <w:rPr>
                <w:spacing w:val="-1"/>
                <w:sz w:val="20"/>
              </w:rPr>
              <w:t xml:space="preserve"> </w:t>
            </w:r>
            <w:r w:rsidRPr="00150EDC">
              <w:rPr>
                <w:sz w:val="20"/>
              </w:rPr>
              <w:t>Act</w:t>
            </w:r>
            <w:r w:rsidRPr="00150EDC">
              <w:rPr>
                <w:spacing w:val="-5"/>
                <w:sz w:val="20"/>
              </w:rPr>
              <w:t xml:space="preserve"> </w:t>
            </w:r>
            <w:r w:rsidRPr="00150EDC">
              <w:rPr>
                <w:sz w:val="20"/>
              </w:rPr>
              <w:t>1966,</w:t>
            </w:r>
            <w:r w:rsidRPr="00150EDC">
              <w:rPr>
                <w:spacing w:val="-6"/>
                <w:sz w:val="20"/>
              </w:rPr>
              <w:t xml:space="preserve"> </w:t>
            </w:r>
            <w:r w:rsidRPr="00150EDC">
              <w:rPr>
                <w:spacing w:val="-5"/>
                <w:sz w:val="20"/>
              </w:rPr>
              <w:t>s10</w:t>
            </w:r>
          </w:p>
        </w:tc>
        <w:tc>
          <w:tcPr>
            <w:tcW w:w="7427" w:type="dxa"/>
          </w:tcPr>
          <w:p w14:paraId="28975BAE" w14:textId="77777777" w:rsidR="004C7180" w:rsidRPr="00150EDC" w:rsidRDefault="00CF0754">
            <w:pPr>
              <w:pStyle w:val="TableParagraph"/>
              <w:rPr>
                <w:sz w:val="20"/>
              </w:rPr>
            </w:pPr>
            <w:r w:rsidRPr="00150EDC">
              <w:rPr>
                <w:sz w:val="20"/>
              </w:rPr>
              <w:t>Failing</w:t>
            </w:r>
            <w:r w:rsidRPr="00150EDC">
              <w:rPr>
                <w:spacing w:val="-6"/>
                <w:sz w:val="20"/>
              </w:rPr>
              <w:t xml:space="preserve"> </w:t>
            </w:r>
            <w:r w:rsidRPr="00150EDC">
              <w:rPr>
                <w:sz w:val="20"/>
              </w:rPr>
              <w:t>to</w:t>
            </w:r>
            <w:r w:rsidRPr="00150EDC">
              <w:rPr>
                <w:spacing w:val="-2"/>
                <w:sz w:val="20"/>
              </w:rPr>
              <w:t xml:space="preserve"> </w:t>
            </w:r>
            <w:r w:rsidRPr="00150EDC">
              <w:rPr>
                <w:sz w:val="20"/>
              </w:rPr>
              <w:t>provide</w:t>
            </w:r>
            <w:r w:rsidRPr="00150EDC">
              <w:rPr>
                <w:spacing w:val="-6"/>
                <w:sz w:val="20"/>
              </w:rPr>
              <w:t xml:space="preserve"> </w:t>
            </w:r>
            <w:r w:rsidRPr="00150EDC">
              <w:rPr>
                <w:sz w:val="20"/>
              </w:rPr>
              <w:t>for</w:t>
            </w:r>
            <w:r w:rsidRPr="00150EDC">
              <w:rPr>
                <w:spacing w:val="-1"/>
                <w:sz w:val="20"/>
              </w:rPr>
              <w:t xml:space="preserve"> </w:t>
            </w:r>
            <w:r w:rsidRPr="00150EDC">
              <w:rPr>
                <w:sz w:val="20"/>
              </w:rPr>
              <w:t>safety</w:t>
            </w:r>
            <w:r w:rsidRPr="00150EDC">
              <w:rPr>
                <w:spacing w:val="-1"/>
                <w:sz w:val="20"/>
              </w:rPr>
              <w:t xml:space="preserve"> </w:t>
            </w:r>
            <w:r w:rsidRPr="00150EDC">
              <w:rPr>
                <w:sz w:val="20"/>
              </w:rPr>
              <w:t>of</w:t>
            </w:r>
            <w:r w:rsidRPr="00150EDC">
              <w:rPr>
                <w:spacing w:val="-6"/>
                <w:sz w:val="20"/>
              </w:rPr>
              <w:t xml:space="preserve"> </w:t>
            </w:r>
            <w:r w:rsidRPr="00150EDC">
              <w:rPr>
                <w:sz w:val="20"/>
              </w:rPr>
              <w:t>children</w:t>
            </w:r>
            <w:r w:rsidRPr="00150EDC">
              <w:rPr>
                <w:spacing w:val="-6"/>
                <w:sz w:val="20"/>
              </w:rPr>
              <w:t xml:space="preserve"> </w:t>
            </w:r>
            <w:r w:rsidRPr="00150EDC">
              <w:rPr>
                <w:sz w:val="20"/>
              </w:rPr>
              <w:t>at</w:t>
            </w:r>
            <w:r w:rsidRPr="00150EDC">
              <w:rPr>
                <w:spacing w:val="-1"/>
                <w:sz w:val="20"/>
              </w:rPr>
              <w:t xml:space="preserve"> </w:t>
            </w:r>
            <w:r w:rsidRPr="00150EDC">
              <w:rPr>
                <w:spacing w:val="-2"/>
                <w:sz w:val="20"/>
              </w:rPr>
              <w:t>entertainments</w:t>
            </w:r>
          </w:p>
        </w:tc>
      </w:tr>
      <w:tr w:rsidR="004569EE" w:rsidRPr="007D3144" w14:paraId="0A164EF4" w14:textId="77777777">
        <w:trPr>
          <w:trHeight w:val="255"/>
        </w:trPr>
        <w:tc>
          <w:tcPr>
            <w:tcW w:w="6517" w:type="dxa"/>
          </w:tcPr>
          <w:p w14:paraId="3CEB63FF" w14:textId="77777777" w:rsidR="004C7180" w:rsidRPr="00150EDC" w:rsidRDefault="00CF0754">
            <w:pPr>
              <w:pStyle w:val="TableParagraph"/>
              <w:rPr>
                <w:sz w:val="20"/>
              </w:rPr>
            </w:pPr>
            <w:r w:rsidRPr="00150EDC">
              <w:rPr>
                <w:sz w:val="20"/>
              </w:rPr>
              <w:t>Children</w:t>
            </w:r>
            <w:r w:rsidRPr="00150EDC">
              <w:rPr>
                <w:spacing w:val="-7"/>
                <w:sz w:val="20"/>
              </w:rPr>
              <w:t xml:space="preserve"> </w:t>
            </w:r>
            <w:r w:rsidRPr="00150EDC">
              <w:rPr>
                <w:sz w:val="20"/>
              </w:rPr>
              <w:t>and</w:t>
            </w:r>
            <w:r w:rsidRPr="00150EDC">
              <w:rPr>
                <w:spacing w:val="-7"/>
                <w:sz w:val="20"/>
              </w:rPr>
              <w:t xml:space="preserve"> </w:t>
            </w:r>
            <w:r w:rsidRPr="00150EDC">
              <w:rPr>
                <w:sz w:val="20"/>
              </w:rPr>
              <w:t>Young</w:t>
            </w:r>
            <w:r w:rsidRPr="00150EDC">
              <w:rPr>
                <w:spacing w:val="-6"/>
                <w:sz w:val="20"/>
              </w:rPr>
              <w:t xml:space="preserve"> </w:t>
            </w:r>
            <w:r w:rsidRPr="00150EDC">
              <w:rPr>
                <w:sz w:val="20"/>
              </w:rPr>
              <w:t>Persons</w:t>
            </w:r>
            <w:r w:rsidRPr="00150EDC">
              <w:rPr>
                <w:spacing w:val="-1"/>
                <w:sz w:val="20"/>
              </w:rPr>
              <w:t xml:space="preserve"> </w:t>
            </w:r>
            <w:r w:rsidRPr="00150EDC">
              <w:rPr>
                <w:sz w:val="20"/>
              </w:rPr>
              <w:t>Act</w:t>
            </w:r>
            <w:r w:rsidRPr="00150EDC">
              <w:rPr>
                <w:spacing w:val="-6"/>
                <w:sz w:val="20"/>
              </w:rPr>
              <w:t xml:space="preserve"> </w:t>
            </w:r>
            <w:r w:rsidRPr="00150EDC">
              <w:rPr>
                <w:sz w:val="20"/>
              </w:rPr>
              <w:t>1966,</w:t>
            </w:r>
            <w:r w:rsidRPr="00150EDC">
              <w:rPr>
                <w:spacing w:val="-6"/>
                <w:sz w:val="20"/>
              </w:rPr>
              <w:t xml:space="preserve"> </w:t>
            </w:r>
            <w:r w:rsidRPr="00150EDC">
              <w:rPr>
                <w:spacing w:val="-5"/>
                <w:sz w:val="20"/>
              </w:rPr>
              <w:t>s19</w:t>
            </w:r>
          </w:p>
        </w:tc>
        <w:tc>
          <w:tcPr>
            <w:tcW w:w="7427" w:type="dxa"/>
          </w:tcPr>
          <w:p w14:paraId="2D6801B5" w14:textId="77777777" w:rsidR="004C7180" w:rsidRPr="00150EDC" w:rsidRDefault="00CF0754">
            <w:pPr>
              <w:pStyle w:val="TableParagraph"/>
              <w:rPr>
                <w:sz w:val="20"/>
              </w:rPr>
            </w:pPr>
            <w:r w:rsidRPr="00150EDC">
              <w:rPr>
                <w:sz w:val="20"/>
              </w:rPr>
              <w:t>Allowing</w:t>
            </w:r>
            <w:r w:rsidRPr="00150EDC">
              <w:rPr>
                <w:spacing w:val="-6"/>
                <w:sz w:val="20"/>
              </w:rPr>
              <w:t xml:space="preserve"> </w:t>
            </w:r>
            <w:r w:rsidRPr="00150EDC">
              <w:rPr>
                <w:sz w:val="20"/>
              </w:rPr>
              <w:t>person under</w:t>
            </w:r>
            <w:r w:rsidRPr="00150EDC">
              <w:rPr>
                <w:spacing w:val="-6"/>
                <w:sz w:val="20"/>
              </w:rPr>
              <w:t xml:space="preserve"> </w:t>
            </w:r>
            <w:r w:rsidRPr="00150EDC">
              <w:rPr>
                <w:sz w:val="20"/>
              </w:rPr>
              <w:t>16 to</w:t>
            </w:r>
            <w:r w:rsidRPr="00150EDC">
              <w:rPr>
                <w:spacing w:val="-5"/>
                <w:sz w:val="20"/>
              </w:rPr>
              <w:t xml:space="preserve"> </w:t>
            </w:r>
            <w:r w:rsidRPr="00150EDC">
              <w:rPr>
                <w:sz w:val="20"/>
              </w:rPr>
              <w:t>take</w:t>
            </w:r>
            <w:r w:rsidRPr="00150EDC">
              <w:rPr>
                <w:spacing w:val="-6"/>
                <w:sz w:val="20"/>
              </w:rPr>
              <w:t xml:space="preserve"> </w:t>
            </w:r>
            <w:r w:rsidRPr="00150EDC">
              <w:rPr>
                <w:sz w:val="20"/>
              </w:rPr>
              <w:t>part</w:t>
            </w:r>
            <w:r w:rsidRPr="00150EDC">
              <w:rPr>
                <w:spacing w:val="-5"/>
                <w:sz w:val="20"/>
              </w:rPr>
              <w:t xml:space="preserve"> </w:t>
            </w:r>
            <w:r w:rsidRPr="00150EDC">
              <w:rPr>
                <w:sz w:val="20"/>
              </w:rPr>
              <w:t>in</w:t>
            </w:r>
            <w:r w:rsidRPr="00150EDC">
              <w:rPr>
                <w:spacing w:val="-4"/>
                <w:sz w:val="20"/>
              </w:rPr>
              <w:t xml:space="preserve"> </w:t>
            </w:r>
            <w:r w:rsidRPr="00150EDC">
              <w:rPr>
                <w:sz w:val="20"/>
              </w:rPr>
              <w:t>dangerous</w:t>
            </w:r>
            <w:r w:rsidRPr="00150EDC">
              <w:rPr>
                <w:spacing w:val="-5"/>
                <w:sz w:val="20"/>
              </w:rPr>
              <w:t xml:space="preserve"> </w:t>
            </w:r>
            <w:r w:rsidRPr="00150EDC">
              <w:rPr>
                <w:spacing w:val="-2"/>
                <w:sz w:val="20"/>
              </w:rPr>
              <w:t>performance</w:t>
            </w:r>
          </w:p>
        </w:tc>
      </w:tr>
      <w:tr w:rsidR="004569EE" w:rsidRPr="007D3144" w14:paraId="2B23B7E3" w14:textId="77777777">
        <w:trPr>
          <w:trHeight w:val="255"/>
        </w:trPr>
        <w:tc>
          <w:tcPr>
            <w:tcW w:w="6517" w:type="dxa"/>
          </w:tcPr>
          <w:p w14:paraId="14DFA416" w14:textId="77777777" w:rsidR="004C7180" w:rsidRPr="00150EDC" w:rsidRDefault="00CF0754">
            <w:pPr>
              <w:pStyle w:val="TableParagraph"/>
              <w:rPr>
                <w:sz w:val="20"/>
              </w:rPr>
            </w:pPr>
            <w:r w:rsidRPr="00150EDC">
              <w:rPr>
                <w:sz w:val="20"/>
              </w:rPr>
              <w:t>Children</w:t>
            </w:r>
            <w:r w:rsidRPr="00150EDC">
              <w:rPr>
                <w:spacing w:val="-7"/>
                <w:sz w:val="20"/>
              </w:rPr>
              <w:t xml:space="preserve"> </w:t>
            </w:r>
            <w:r w:rsidRPr="00150EDC">
              <w:rPr>
                <w:sz w:val="20"/>
              </w:rPr>
              <w:t>and</w:t>
            </w:r>
            <w:r w:rsidRPr="00150EDC">
              <w:rPr>
                <w:spacing w:val="-7"/>
                <w:sz w:val="20"/>
              </w:rPr>
              <w:t xml:space="preserve"> </w:t>
            </w:r>
            <w:r w:rsidRPr="00150EDC">
              <w:rPr>
                <w:sz w:val="20"/>
              </w:rPr>
              <w:t>Young</w:t>
            </w:r>
            <w:r w:rsidRPr="00150EDC">
              <w:rPr>
                <w:spacing w:val="-6"/>
                <w:sz w:val="20"/>
              </w:rPr>
              <w:t xml:space="preserve"> </w:t>
            </w:r>
            <w:r w:rsidRPr="00150EDC">
              <w:rPr>
                <w:sz w:val="20"/>
              </w:rPr>
              <w:t>Persons</w:t>
            </w:r>
            <w:r w:rsidRPr="00150EDC">
              <w:rPr>
                <w:spacing w:val="-1"/>
                <w:sz w:val="20"/>
              </w:rPr>
              <w:t xml:space="preserve"> </w:t>
            </w:r>
            <w:r w:rsidRPr="00150EDC">
              <w:rPr>
                <w:sz w:val="20"/>
              </w:rPr>
              <w:t>Act</w:t>
            </w:r>
            <w:r w:rsidRPr="00150EDC">
              <w:rPr>
                <w:spacing w:val="-6"/>
                <w:sz w:val="20"/>
              </w:rPr>
              <w:t xml:space="preserve"> </w:t>
            </w:r>
            <w:r w:rsidRPr="00150EDC">
              <w:rPr>
                <w:sz w:val="20"/>
              </w:rPr>
              <w:t>1966,</w:t>
            </w:r>
            <w:r w:rsidRPr="00150EDC">
              <w:rPr>
                <w:spacing w:val="-6"/>
                <w:sz w:val="20"/>
              </w:rPr>
              <w:t xml:space="preserve"> </w:t>
            </w:r>
            <w:r w:rsidRPr="00150EDC">
              <w:rPr>
                <w:spacing w:val="-5"/>
                <w:sz w:val="20"/>
              </w:rPr>
              <w:t>s20</w:t>
            </w:r>
          </w:p>
        </w:tc>
        <w:tc>
          <w:tcPr>
            <w:tcW w:w="7427" w:type="dxa"/>
          </w:tcPr>
          <w:p w14:paraId="62A6915E" w14:textId="77777777" w:rsidR="004C7180" w:rsidRPr="00150EDC" w:rsidRDefault="00CF0754">
            <w:pPr>
              <w:pStyle w:val="TableParagraph"/>
              <w:rPr>
                <w:sz w:val="20"/>
              </w:rPr>
            </w:pPr>
            <w:r w:rsidRPr="00150EDC">
              <w:rPr>
                <w:sz w:val="20"/>
              </w:rPr>
              <w:t>Training</w:t>
            </w:r>
            <w:r w:rsidRPr="00150EDC">
              <w:rPr>
                <w:spacing w:val="-6"/>
                <w:sz w:val="20"/>
              </w:rPr>
              <w:t xml:space="preserve"> </w:t>
            </w:r>
            <w:r w:rsidRPr="00150EDC">
              <w:rPr>
                <w:sz w:val="20"/>
              </w:rPr>
              <w:t>a</w:t>
            </w:r>
            <w:r w:rsidRPr="00150EDC">
              <w:rPr>
                <w:spacing w:val="-5"/>
                <w:sz w:val="20"/>
              </w:rPr>
              <w:t xml:space="preserve"> </w:t>
            </w:r>
            <w:r w:rsidRPr="00150EDC">
              <w:rPr>
                <w:sz w:val="20"/>
              </w:rPr>
              <w:t>person under</w:t>
            </w:r>
            <w:r w:rsidRPr="00150EDC">
              <w:rPr>
                <w:spacing w:val="-5"/>
                <w:sz w:val="20"/>
              </w:rPr>
              <w:t xml:space="preserve"> </w:t>
            </w:r>
            <w:r w:rsidRPr="00150EDC">
              <w:rPr>
                <w:sz w:val="20"/>
              </w:rPr>
              <w:t>12 for</w:t>
            </w:r>
            <w:r w:rsidRPr="00150EDC">
              <w:rPr>
                <w:spacing w:val="-5"/>
                <w:sz w:val="20"/>
              </w:rPr>
              <w:t xml:space="preserve"> </w:t>
            </w:r>
            <w:r w:rsidRPr="00150EDC">
              <w:rPr>
                <w:sz w:val="20"/>
              </w:rPr>
              <w:t>a</w:t>
            </w:r>
            <w:r w:rsidRPr="00150EDC">
              <w:rPr>
                <w:spacing w:val="-1"/>
                <w:sz w:val="20"/>
              </w:rPr>
              <w:t xml:space="preserve"> </w:t>
            </w:r>
            <w:r w:rsidRPr="00150EDC">
              <w:rPr>
                <w:sz w:val="20"/>
              </w:rPr>
              <w:t>dangerous</w:t>
            </w:r>
            <w:r w:rsidRPr="00150EDC">
              <w:rPr>
                <w:spacing w:val="-4"/>
                <w:sz w:val="20"/>
              </w:rPr>
              <w:t xml:space="preserve"> </w:t>
            </w:r>
            <w:r w:rsidRPr="00150EDC">
              <w:rPr>
                <w:spacing w:val="-2"/>
                <w:sz w:val="20"/>
              </w:rPr>
              <w:t>performance</w:t>
            </w:r>
          </w:p>
        </w:tc>
      </w:tr>
      <w:tr w:rsidR="004569EE" w:rsidRPr="007D3144" w14:paraId="61106D55" w14:textId="77777777">
        <w:trPr>
          <w:trHeight w:val="255"/>
        </w:trPr>
        <w:tc>
          <w:tcPr>
            <w:tcW w:w="6517" w:type="dxa"/>
          </w:tcPr>
          <w:p w14:paraId="14525928" w14:textId="77777777" w:rsidR="004C7180" w:rsidRPr="00150EDC" w:rsidRDefault="00CF0754">
            <w:pPr>
              <w:pStyle w:val="TableParagraph"/>
              <w:spacing w:before="28"/>
              <w:rPr>
                <w:sz w:val="20"/>
              </w:rPr>
            </w:pPr>
            <w:r w:rsidRPr="00150EDC">
              <w:rPr>
                <w:sz w:val="20"/>
              </w:rPr>
              <w:t>Children</w:t>
            </w:r>
            <w:r w:rsidRPr="00150EDC">
              <w:rPr>
                <w:spacing w:val="-7"/>
                <w:sz w:val="20"/>
              </w:rPr>
              <w:t xml:space="preserve"> </w:t>
            </w:r>
            <w:r w:rsidRPr="00150EDC">
              <w:rPr>
                <w:sz w:val="20"/>
              </w:rPr>
              <w:t>and</w:t>
            </w:r>
            <w:r w:rsidRPr="00150EDC">
              <w:rPr>
                <w:spacing w:val="-7"/>
                <w:sz w:val="20"/>
              </w:rPr>
              <w:t xml:space="preserve"> </w:t>
            </w:r>
            <w:r w:rsidRPr="00150EDC">
              <w:rPr>
                <w:sz w:val="20"/>
              </w:rPr>
              <w:t>Young</w:t>
            </w:r>
            <w:r w:rsidRPr="00150EDC">
              <w:rPr>
                <w:spacing w:val="-6"/>
                <w:sz w:val="20"/>
              </w:rPr>
              <w:t xml:space="preserve"> </w:t>
            </w:r>
            <w:r w:rsidRPr="00150EDC">
              <w:rPr>
                <w:sz w:val="20"/>
              </w:rPr>
              <w:t>Persons</w:t>
            </w:r>
            <w:r w:rsidRPr="00150EDC">
              <w:rPr>
                <w:spacing w:val="-1"/>
                <w:sz w:val="20"/>
              </w:rPr>
              <w:t xml:space="preserve"> </w:t>
            </w:r>
            <w:r w:rsidRPr="00150EDC">
              <w:rPr>
                <w:sz w:val="20"/>
              </w:rPr>
              <w:t>Act</w:t>
            </w:r>
            <w:r w:rsidRPr="00150EDC">
              <w:rPr>
                <w:spacing w:val="-6"/>
                <w:sz w:val="20"/>
              </w:rPr>
              <w:t xml:space="preserve"> </w:t>
            </w:r>
            <w:r w:rsidRPr="00150EDC">
              <w:rPr>
                <w:sz w:val="20"/>
              </w:rPr>
              <w:t>1966,</w:t>
            </w:r>
            <w:r w:rsidRPr="00150EDC">
              <w:rPr>
                <w:spacing w:val="-6"/>
                <w:sz w:val="20"/>
              </w:rPr>
              <w:t xml:space="preserve"> </w:t>
            </w:r>
            <w:r w:rsidRPr="00150EDC">
              <w:rPr>
                <w:spacing w:val="-5"/>
                <w:sz w:val="20"/>
              </w:rPr>
              <w:t>s4</w:t>
            </w:r>
          </w:p>
        </w:tc>
        <w:tc>
          <w:tcPr>
            <w:tcW w:w="7427" w:type="dxa"/>
          </w:tcPr>
          <w:p w14:paraId="36331744" w14:textId="77777777" w:rsidR="004C7180" w:rsidRPr="00150EDC" w:rsidRDefault="00CF0754">
            <w:pPr>
              <w:pStyle w:val="TableParagraph"/>
              <w:spacing w:before="28"/>
              <w:rPr>
                <w:sz w:val="20"/>
              </w:rPr>
            </w:pPr>
            <w:r w:rsidRPr="00150EDC">
              <w:rPr>
                <w:sz w:val="20"/>
              </w:rPr>
              <w:t>Using</w:t>
            </w:r>
            <w:r w:rsidRPr="00150EDC">
              <w:rPr>
                <w:spacing w:val="-4"/>
                <w:sz w:val="20"/>
              </w:rPr>
              <w:t xml:space="preserve"> </w:t>
            </w:r>
            <w:r w:rsidRPr="00150EDC">
              <w:rPr>
                <w:sz w:val="20"/>
              </w:rPr>
              <w:t>person</w:t>
            </w:r>
            <w:r w:rsidRPr="00150EDC">
              <w:rPr>
                <w:spacing w:val="-4"/>
                <w:sz w:val="20"/>
              </w:rPr>
              <w:t xml:space="preserve"> </w:t>
            </w:r>
            <w:r w:rsidRPr="00150EDC">
              <w:rPr>
                <w:sz w:val="20"/>
              </w:rPr>
              <w:t>under</w:t>
            </w:r>
            <w:r w:rsidRPr="00150EDC">
              <w:rPr>
                <w:spacing w:val="-4"/>
                <w:sz w:val="20"/>
              </w:rPr>
              <w:t xml:space="preserve"> </w:t>
            </w:r>
            <w:r w:rsidRPr="00150EDC">
              <w:rPr>
                <w:sz w:val="20"/>
              </w:rPr>
              <w:t>16</w:t>
            </w:r>
            <w:r w:rsidRPr="00150EDC">
              <w:rPr>
                <w:spacing w:val="-4"/>
                <w:sz w:val="20"/>
              </w:rPr>
              <w:t xml:space="preserve"> </w:t>
            </w:r>
            <w:r w:rsidRPr="00150EDC">
              <w:rPr>
                <w:sz w:val="20"/>
              </w:rPr>
              <w:t>for</w:t>
            </w:r>
            <w:r w:rsidRPr="00150EDC">
              <w:rPr>
                <w:spacing w:val="-4"/>
                <w:sz w:val="20"/>
              </w:rPr>
              <w:t xml:space="preserve"> </w:t>
            </w:r>
            <w:r w:rsidRPr="00150EDC">
              <w:rPr>
                <w:spacing w:val="-2"/>
                <w:sz w:val="20"/>
              </w:rPr>
              <w:t>begging</w:t>
            </w:r>
          </w:p>
        </w:tc>
      </w:tr>
      <w:tr w:rsidR="004569EE" w:rsidRPr="007D3144" w14:paraId="17656468" w14:textId="77777777">
        <w:trPr>
          <w:trHeight w:val="255"/>
        </w:trPr>
        <w:tc>
          <w:tcPr>
            <w:tcW w:w="6517" w:type="dxa"/>
          </w:tcPr>
          <w:p w14:paraId="4E3F49B8" w14:textId="77777777" w:rsidR="004C7180" w:rsidRPr="00150EDC" w:rsidRDefault="00CF0754">
            <w:pPr>
              <w:pStyle w:val="TableParagraph"/>
              <w:rPr>
                <w:sz w:val="20"/>
              </w:rPr>
            </w:pPr>
            <w:r w:rsidRPr="00150EDC">
              <w:rPr>
                <w:sz w:val="20"/>
              </w:rPr>
              <w:t>Children</w:t>
            </w:r>
            <w:r w:rsidRPr="00150EDC">
              <w:rPr>
                <w:spacing w:val="-7"/>
                <w:sz w:val="20"/>
              </w:rPr>
              <w:t xml:space="preserve"> </w:t>
            </w:r>
            <w:r w:rsidRPr="00150EDC">
              <w:rPr>
                <w:sz w:val="20"/>
              </w:rPr>
              <w:t>and</w:t>
            </w:r>
            <w:r w:rsidRPr="00150EDC">
              <w:rPr>
                <w:spacing w:val="-7"/>
                <w:sz w:val="20"/>
              </w:rPr>
              <w:t xml:space="preserve"> </w:t>
            </w:r>
            <w:r w:rsidRPr="00150EDC">
              <w:rPr>
                <w:sz w:val="20"/>
              </w:rPr>
              <w:t>Young</w:t>
            </w:r>
            <w:r w:rsidRPr="00150EDC">
              <w:rPr>
                <w:spacing w:val="-6"/>
                <w:sz w:val="20"/>
              </w:rPr>
              <w:t xml:space="preserve"> </w:t>
            </w:r>
            <w:r w:rsidRPr="00150EDC">
              <w:rPr>
                <w:sz w:val="20"/>
              </w:rPr>
              <w:t>Persons</w:t>
            </w:r>
            <w:r w:rsidRPr="00150EDC">
              <w:rPr>
                <w:spacing w:val="-1"/>
                <w:sz w:val="20"/>
              </w:rPr>
              <w:t xml:space="preserve"> </w:t>
            </w:r>
            <w:r w:rsidRPr="00150EDC">
              <w:rPr>
                <w:sz w:val="20"/>
              </w:rPr>
              <w:t>Act</w:t>
            </w:r>
            <w:r w:rsidRPr="00150EDC">
              <w:rPr>
                <w:spacing w:val="-6"/>
                <w:sz w:val="20"/>
              </w:rPr>
              <w:t xml:space="preserve"> </w:t>
            </w:r>
            <w:r w:rsidRPr="00150EDC">
              <w:rPr>
                <w:sz w:val="20"/>
              </w:rPr>
              <w:t>1966,</w:t>
            </w:r>
            <w:r w:rsidRPr="00150EDC">
              <w:rPr>
                <w:spacing w:val="-6"/>
                <w:sz w:val="20"/>
              </w:rPr>
              <w:t xml:space="preserve"> </w:t>
            </w:r>
            <w:r w:rsidRPr="00150EDC">
              <w:rPr>
                <w:spacing w:val="-5"/>
                <w:sz w:val="20"/>
              </w:rPr>
              <w:t>s9</w:t>
            </w:r>
          </w:p>
        </w:tc>
        <w:tc>
          <w:tcPr>
            <w:tcW w:w="7427" w:type="dxa"/>
          </w:tcPr>
          <w:p w14:paraId="6CFBEAA3" w14:textId="77777777" w:rsidR="004C7180" w:rsidRPr="00150EDC" w:rsidRDefault="00CF0754">
            <w:pPr>
              <w:pStyle w:val="TableParagraph"/>
              <w:rPr>
                <w:sz w:val="20"/>
              </w:rPr>
            </w:pPr>
            <w:r w:rsidRPr="00150EDC">
              <w:rPr>
                <w:sz w:val="20"/>
              </w:rPr>
              <w:t>Exposing</w:t>
            </w:r>
            <w:r w:rsidRPr="00150EDC">
              <w:rPr>
                <w:spacing w:val="-6"/>
                <w:sz w:val="20"/>
              </w:rPr>
              <w:t xml:space="preserve"> </w:t>
            </w:r>
            <w:r w:rsidRPr="00150EDC">
              <w:rPr>
                <w:sz w:val="20"/>
              </w:rPr>
              <w:t>child</w:t>
            </w:r>
            <w:r w:rsidRPr="00150EDC">
              <w:rPr>
                <w:spacing w:val="-6"/>
                <w:sz w:val="20"/>
              </w:rPr>
              <w:t xml:space="preserve"> </w:t>
            </w:r>
            <w:r w:rsidRPr="00150EDC">
              <w:rPr>
                <w:sz w:val="20"/>
              </w:rPr>
              <w:t>under</w:t>
            </w:r>
            <w:r w:rsidRPr="00150EDC">
              <w:rPr>
                <w:spacing w:val="-2"/>
                <w:sz w:val="20"/>
              </w:rPr>
              <w:t xml:space="preserve"> </w:t>
            </w:r>
            <w:r w:rsidRPr="00150EDC">
              <w:rPr>
                <w:sz w:val="20"/>
              </w:rPr>
              <w:t>12</w:t>
            </w:r>
            <w:r w:rsidRPr="00150EDC">
              <w:rPr>
                <w:spacing w:val="-5"/>
                <w:sz w:val="20"/>
              </w:rPr>
              <w:t xml:space="preserve"> </w:t>
            </w:r>
            <w:r w:rsidRPr="00150EDC">
              <w:rPr>
                <w:sz w:val="20"/>
              </w:rPr>
              <w:t>to</w:t>
            </w:r>
            <w:r w:rsidRPr="00150EDC">
              <w:rPr>
                <w:spacing w:val="-1"/>
                <w:sz w:val="20"/>
              </w:rPr>
              <w:t xml:space="preserve"> </w:t>
            </w:r>
            <w:r w:rsidRPr="00150EDC">
              <w:rPr>
                <w:sz w:val="20"/>
              </w:rPr>
              <w:t>risk</w:t>
            </w:r>
            <w:r w:rsidRPr="00150EDC">
              <w:rPr>
                <w:spacing w:val="-5"/>
                <w:sz w:val="20"/>
              </w:rPr>
              <w:t xml:space="preserve"> </w:t>
            </w:r>
            <w:r w:rsidRPr="00150EDC">
              <w:rPr>
                <w:sz w:val="20"/>
              </w:rPr>
              <w:t>of</w:t>
            </w:r>
            <w:r w:rsidRPr="00150EDC">
              <w:rPr>
                <w:spacing w:val="-1"/>
                <w:sz w:val="20"/>
              </w:rPr>
              <w:t xml:space="preserve"> </w:t>
            </w:r>
            <w:r w:rsidRPr="00150EDC">
              <w:rPr>
                <w:spacing w:val="-2"/>
                <w:sz w:val="20"/>
              </w:rPr>
              <w:t>burning</w:t>
            </w:r>
          </w:p>
        </w:tc>
      </w:tr>
      <w:tr w:rsidR="004569EE" w:rsidRPr="007D3144" w14:paraId="667CA6E2" w14:textId="77777777">
        <w:trPr>
          <w:trHeight w:val="460"/>
        </w:trPr>
        <w:tc>
          <w:tcPr>
            <w:tcW w:w="6517" w:type="dxa"/>
          </w:tcPr>
          <w:p w14:paraId="27C9A08E" w14:textId="77777777" w:rsidR="004C7180" w:rsidRPr="00150EDC" w:rsidRDefault="004C7180">
            <w:pPr>
              <w:pStyle w:val="TableParagraph"/>
              <w:spacing w:before="2" w:line="240" w:lineRule="auto"/>
              <w:ind w:left="0"/>
              <w:rPr>
                <w:sz w:val="20"/>
              </w:rPr>
            </w:pPr>
          </w:p>
          <w:p w14:paraId="7D2138F4" w14:textId="77777777" w:rsidR="004C7180" w:rsidRPr="00150EDC" w:rsidRDefault="00CF0754">
            <w:pPr>
              <w:pStyle w:val="TableParagraph"/>
              <w:spacing w:before="0"/>
              <w:rPr>
                <w:sz w:val="20"/>
              </w:rPr>
            </w:pPr>
            <w:r w:rsidRPr="00150EDC">
              <w:rPr>
                <w:sz w:val="20"/>
              </w:rPr>
              <w:t>Children</w:t>
            </w:r>
            <w:r w:rsidRPr="00150EDC">
              <w:rPr>
                <w:spacing w:val="-7"/>
                <w:sz w:val="20"/>
              </w:rPr>
              <w:t xml:space="preserve"> </w:t>
            </w:r>
            <w:r w:rsidRPr="00150EDC">
              <w:rPr>
                <w:sz w:val="20"/>
              </w:rPr>
              <w:t>and</w:t>
            </w:r>
            <w:r w:rsidRPr="00150EDC">
              <w:rPr>
                <w:spacing w:val="-7"/>
                <w:sz w:val="20"/>
              </w:rPr>
              <w:t xml:space="preserve"> </w:t>
            </w:r>
            <w:r w:rsidRPr="00150EDC">
              <w:rPr>
                <w:sz w:val="20"/>
              </w:rPr>
              <w:t>Young</w:t>
            </w:r>
            <w:r w:rsidRPr="00150EDC">
              <w:rPr>
                <w:spacing w:val="-6"/>
                <w:sz w:val="20"/>
              </w:rPr>
              <w:t xml:space="preserve"> </w:t>
            </w:r>
            <w:r w:rsidRPr="00150EDC">
              <w:rPr>
                <w:sz w:val="20"/>
              </w:rPr>
              <w:t>Persons</w:t>
            </w:r>
            <w:r w:rsidRPr="00150EDC">
              <w:rPr>
                <w:spacing w:val="-1"/>
                <w:sz w:val="20"/>
              </w:rPr>
              <w:t xml:space="preserve"> </w:t>
            </w:r>
            <w:r w:rsidRPr="00150EDC">
              <w:rPr>
                <w:sz w:val="20"/>
              </w:rPr>
              <w:t>Act</w:t>
            </w:r>
            <w:r w:rsidRPr="00150EDC">
              <w:rPr>
                <w:spacing w:val="-6"/>
                <w:sz w:val="20"/>
              </w:rPr>
              <w:t xml:space="preserve"> </w:t>
            </w:r>
            <w:r w:rsidRPr="00150EDC">
              <w:rPr>
                <w:sz w:val="20"/>
              </w:rPr>
              <w:t>1966,</w:t>
            </w:r>
            <w:r w:rsidRPr="00150EDC">
              <w:rPr>
                <w:spacing w:val="-6"/>
                <w:sz w:val="20"/>
              </w:rPr>
              <w:t xml:space="preserve"> </w:t>
            </w:r>
            <w:r w:rsidRPr="00150EDC">
              <w:rPr>
                <w:spacing w:val="-2"/>
                <w:sz w:val="20"/>
              </w:rPr>
              <w:t>s98(a)</w:t>
            </w:r>
          </w:p>
        </w:tc>
        <w:tc>
          <w:tcPr>
            <w:tcW w:w="7427" w:type="dxa"/>
          </w:tcPr>
          <w:p w14:paraId="7E92F2E1" w14:textId="77777777" w:rsidR="004C7180" w:rsidRPr="00150EDC" w:rsidRDefault="00CF0754">
            <w:pPr>
              <w:pStyle w:val="TableParagraph"/>
              <w:spacing w:before="0" w:line="230" w:lineRule="atLeast"/>
              <w:rPr>
                <w:sz w:val="20"/>
              </w:rPr>
            </w:pPr>
            <w:r w:rsidRPr="00150EDC">
              <w:rPr>
                <w:sz w:val="20"/>
              </w:rPr>
              <w:t>Taking,</w:t>
            </w:r>
            <w:r w:rsidRPr="00150EDC">
              <w:rPr>
                <w:spacing w:val="-5"/>
                <w:sz w:val="20"/>
              </w:rPr>
              <w:t xml:space="preserve"> </w:t>
            </w:r>
            <w:r w:rsidRPr="00150EDC">
              <w:rPr>
                <w:sz w:val="20"/>
              </w:rPr>
              <w:t>keeping,</w:t>
            </w:r>
            <w:r w:rsidRPr="00150EDC">
              <w:rPr>
                <w:spacing w:val="-4"/>
                <w:sz w:val="20"/>
              </w:rPr>
              <w:t xml:space="preserve"> </w:t>
            </w:r>
            <w:r w:rsidRPr="00150EDC">
              <w:rPr>
                <w:sz w:val="20"/>
              </w:rPr>
              <w:t>inducing,</w:t>
            </w:r>
            <w:r w:rsidRPr="00150EDC">
              <w:rPr>
                <w:spacing w:val="-5"/>
                <w:sz w:val="20"/>
              </w:rPr>
              <w:t xml:space="preserve"> </w:t>
            </w:r>
            <w:r w:rsidRPr="00150EDC">
              <w:rPr>
                <w:sz w:val="20"/>
              </w:rPr>
              <w:t>assisting or</w:t>
            </w:r>
            <w:r w:rsidRPr="00150EDC">
              <w:rPr>
                <w:spacing w:val="-5"/>
                <w:sz w:val="20"/>
              </w:rPr>
              <w:t xml:space="preserve"> </w:t>
            </w:r>
            <w:r w:rsidRPr="00150EDC">
              <w:rPr>
                <w:sz w:val="20"/>
              </w:rPr>
              <w:t>inciting</w:t>
            </w:r>
            <w:r w:rsidRPr="00150EDC">
              <w:rPr>
                <w:spacing w:val="-5"/>
                <w:sz w:val="20"/>
              </w:rPr>
              <w:t xml:space="preserve"> </w:t>
            </w:r>
            <w:r w:rsidRPr="00150EDC">
              <w:rPr>
                <w:sz w:val="20"/>
              </w:rPr>
              <w:t>a</w:t>
            </w:r>
            <w:r w:rsidRPr="00150EDC">
              <w:rPr>
                <w:spacing w:val="-5"/>
                <w:sz w:val="20"/>
              </w:rPr>
              <w:t xml:space="preserve"> </w:t>
            </w:r>
            <w:r w:rsidRPr="00150EDC">
              <w:rPr>
                <w:sz w:val="20"/>
              </w:rPr>
              <w:t>child</w:t>
            </w:r>
            <w:r w:rsidRPr="00150EDC">
              <w:rPr>
                <w:spacing w:val="-5"/>
                <w:sz w:val="20"/>
              </w:rPr>
              <w:t xml:space="preserve"> </w:t>
            </w:r>
            <w:r w:rsidRPr="00150EDC">
              <w:rPr>
                <w:sz w:val="20"/>
              </w:rPr>
              <w:t>to</w:t>
            </w:r>
            <w:r w:rsidRPr="00150EDC">
              <w:rPr>
                <w:spacing w:val="-5"/>
                <w:sz w:val="20"/>
              </w:rPr>
              <w:t xml:space="preserve"> </w:t>
            </w:r>
            <w:r w:rsidRPr="00150EDC">
              <w:rPr>
                <w:sz w:val="20"/>
              </w:rPr>
              <w:t>run</w:t>
            </w:r>
            <w:r w:rsidRPr="00150EDC">
              <w:rPr>
                <w:spacing w:val="-5"/>
                <w:sz w:val="20"/>
              </w:rPr>
              <w:t xml:space="preserve"> </w:t>
            </w:r>
            <w:r w:rsidRPr="00150EDC">
              <w:rPr>
                <w:sz w:val="20"/>
              </w:rPr>
              <w:t>away</w:t>
            </w:r>
            <w:r w:rsidRPr="00150EDC">
              <w:rPr>
                <w:spacing w:val="-4"/>
                <w:sz w:val="20"/>
              </w:rPr>
              <w:t xml:space="preserve"> </w:t>
            </w:r>
            <w:r w:rsidRPr="00150EDC">
              <w:rPr>
                <w:sz w:val="20"/>
              </w:rPr>
              <w:t>from</w:t>
            </w:r>
            <w:r w:rsidRPr="00150EDC">
              <w:rPr>
                <w:spacing w:val="-5"/>
                <w:sz w:val="20"/>
              </w:rPr>
              <w:t xml:space="preserve"> </w:t>
            </w:r>
            <w:r w:rsidRPr="00150EDC">
              <w:rPr>
                <w:sz w:val="20"/>
              </w:rPr>
              <w:t>a responsible person</w:t>
            </w:r>
          </w:p>
        </w:tc>
      </w:tr>
      <w:tr w:rsidR="004569EE" w:rsidRPr="007D3144" w14:paraId="78A05201" w14:textId="77777777">
        <w:trPr>
          <w:trHeight w:val="460"/>
        </w:trPr>
        <w:tc>
          <w:tcPr>
            <w:tcW w:w="6517" w:type="dxa"/>
          </w:tcPr>
          <w:p w14:paraId="571B23C3" w14:textId="77777777" w:rsidR="004C7180" w:rsidRPr="00150EDC" w:rsidRDefault="004C7180">
            <w:pPr>
              <w:pStyle w:val="TableParagraph"/>
              <w:spacing w:before="2" w:line="240" w:lineRule="auto"/>
              <w:ind w:left="0"/>
              <w:rPr>
                <w:sz w:val="20"/>
              </w:rPr>
            </w:pPr>
          </w:p>
          <w:p w14:paraId="4737CCC0" w14:textId="77777777" w:rsidR="004C7180" w:rsidRPr="00150EDC" w:rsidRDefault="00CF0754">
            <w:pPr>
              <w:pStyle w:val="TableParagraph"/>
              <w:spacing w:before="1"/>
              <w:rPr>
                <w:sz w:val="20"/>
              </w:rPr>
            </w:pPr>
            <w:r w:rsidRPr="00150EDC">
              <w:rPr>
                <w:sz w:val="20"/>
              </w:rPr>
              <w:t>Children</w:t>
            </w:r>
            <w:r w:rsidRPr="00150EDC">
              <w:rPr>
                <w:spacing w:val="-7"/>
                <w:sz w:val="20"/>
              </w:rPr>
              <w:t xml:space="preserve"> </w:t>
            </w:r>
            <w:r w:rsidRPr="00150EDC">
              <w:rPr>
                <w:sz w:val="20"/>
              </w:rPr>
              <w:t>and</w:t>
            </w:r>
            <w:r w:rsidRPr="00150EDC">
              <w:rPr>
                <w:spacing w:val="-7"/>
                <w:sz w:val="20"/>
              </w:rPr>
              <w:t xml:space="preserve"> </w:t>
            </w:r>
            <w:r w:rsidRPr="00150EDC">
              <w:rPr>
                <w:sz w:val="20"/>
              </w:rPr>
              <w:t>Young</w:t>
            </w:r>
            <w:r w:rsidRPr="00150EDC">
              <w:rPr>
                <w:spacing w:val="-6"/>
                <w:sz w:val="20"/>
              </w:rPr>
              <w:t xml:space="preserve"> </w:t>
            </w:r>
            <w:r w:rsidRPr="00150EDC">
              <w:rPr>
                <w:sz w:val="20"/>
              </w:rPr>
              <w:t>Persons</w:t>
            </w:r>
            <w:r w:rsidRPr="00150EDC">
              <w:rPr>
                <w:spacing w:val="-1"/>
                <w:sz w:val="20"/>
              </w:rPr>
              <w:t xml:space="preserve"> </w:t>
            </w:r>
            <w:r w:rsidRPr="00150EDC">
              <w:rPr>
                <w:sz w:val="20"/>
              </w:rPr>
              <w:t>Act</w:t>
            </w:r>
            <w:r w:rsidRPr="00150EDC">
              <w:rPr>
                <w:spacing w:val="-6"/>
                <w:sz w:val="20"/>
              </w:rPr>
              <w:t xml:space="preserve"> </w:t>
            </w:r>
            <w:r w:rsidRPr="00150EDC">
              <w:rPr>
                <w:sz w:val="20"/>
              </w:rPr>
              <w:t>1969,</w:t>
            </w:r>
            <w:r w:rsidRPr="00150EDC">
              <w:rPr>
                <w:spacing w:val="-6"/>
                <w:sz w:val="20"/>
              </w:rPr>
              <w:t xml:space="preserve"> </w:t>
            </w:r>
            <w:r w:rsidRPr="00150EDC">
              <w:rPr>
                <w:spacing w:val="-2"/>
                <w:sz w:val="20"/>
              </w:rPr>
              <w:t>s32(3)</w:t>
            </w:r>
          </w:p>
        </w:tc>
        <w:tc>
          <w:tcPr>
            <w:tcW w:w="7427" w:type="dxa"/>
          </w:tcPr>
          <w:p w14:paraId="42B6C495" w14:textId="77777777" w:rsidR="004C7180" w:rsidRPr="00150EDC" w:rsidRDefault="00CF0754">
            <w:pPr>
              <w:pStyle w:val="TableParagraph"/>
              <w:spacing w:before="0" w:line="230" w:lineRule="atLeast"/>
              <w:rPr>
                <w:sz w:val="20"/>
              </w:rPr>
            </w:pPr>
            <w:r w:rsidRPr="00150EDC">
              <w:rPr>
                <w:sz w:val="20"/>
              </w:rPr>
              <w:t>Compel,</w:t>
            </w:r>
            <w:r w:rsidRPr="00150EDC">
              <w:rPr>
                <w:spacing w:val="-5"/>
                <w:sz w:val="20"/>
              </w:rPr>
              <w:t xml:space="preserve"> </w:t>
            </w:r>
            <w:r w:rsidRPr="00150EDC">
              <w:rPr>
                <w:sz w:val="20"/>
              </w:rPr>
              <w:t>persuade,</w:t>
            </w:r>
            <w:r w:rsidRPr="00150EDC">
              <w:rPr>
                <w:spacing w:val="-6"/>
                <w:sz w:val="20"/>
              </w:rPr>
              <w:t xml:space="preserve"> </w:t>
            </w:r>
            <w:r w:rsidRPr="00150EDC">
              <w:rPr>
                <w:sz w:val="20"/>
              </w:rPr>
              <w:t>incite</w:t>
            </w:r>
            <w:r w:rsidRPr="00150EDC">
              <w:rPr>
                <w:spacing w:val="-2"/>
                <w:sz w:val="20"/>
              </w:rPr>
              <w:t xml:space="preserve"> </w:t>
            </w:r>
            <w:r w:rsidRPr="00150EDC">
              <w:rPr>
                <w:sz w:val="20"/>
              </w:rPr>
              <w:t>or</w:t>
            </w:r>
            <w:r w:rsidRPr="00150EDC">
              <w:rPr>
                <w:spacing w:val="-3"/>
                <w:sz w:val="20"/>
              </w:rPr>
              <w:t xml:space="preserve"> </w:t>
            </w:r>
            <w:r w:rsidRPr="00150EDC">
              <w:rPr>
                <w:sz w:val="20"/>
              </w:rPr>
              <w:t>assist</w:t>
            </w:r>
            <w:r w:rsidRPr="00150EDC">
              <w:rPr>
                <w:spacing w:val="-5"/>
                <w:sz w:val="20"/>
              </w:rPr>
              <w:t xml:space="preserve"> </w:t>
            </w:r>
            <w:r w:rsidRPr="00150EDC">
              <w:rPr>
                <w:sz w:val="20"/>
              </w:rPr>
              <w:t>another</w:t>
            </w:r>
            <w:r w:rsidRPr="00150EDC">
              <w:rPr>
                <w:spacing w:val="-3"/>
                <w:sz w:val="20"/>
              </w:rPr>
              <w:t xml:space="preserve"> </w:t>
            </w:r>
            <w:r w:rsidRPr="00150EDC">
              <w:rPr>
                <w:sz w:val="20"/>
              </w:rPr>
              <w:t>person</w:t>
            </w:r>
            <w:r w:rsidRPr="00150EDC">
              <w:rPr>
                <w:spacing w:val="-6"/>
                <w:sz w:val="20"/>
              </w:rPr>
              <w:t xml:space="preserve"> </w:t>
            </w:r>
            <w:r w:rsidRPr="00150EDC">
              <w:rPr>
                <w:sz w:val="20"/>
              </w:rPr>
              <w:t>to</w:t>
            </w:r>
            <w:r w:rsidRPr="00150EDC">
              <w:rPr>
                <w:spacing w:val="-2"/>
                <w:sz w:val="20"/>
              </w:rPr>
              <w:t xml:space="preserve"> </w:t>
            </w:r>
            <w:r w:rsidRPr="00150EDC">
              <w:rPr>
                <w:sz w:val="20"/>
              </w:rPr>
              <w:t>become</w:t>
            </w:r>
            <w:r w:rsidRPr="00150EDC">
              <w:rPr>
                <w:spacing w:val="-6"/>
                <w:sz w:val="20"/>
              </w:rPr>
              <w:t xml:space="preserve"> </w:t>
            </w:r>
            <w:r w:rsidRPr="00150EDC">
              <w:rPr>
                <w:sz w:val="20"/>
              </w:rPr>
              <w:t>or</w:t>
            </w:r>
            <w:r w:rsidRPr="00150EDC">
              <w:rPr>
                <w:spacing w:val="-2"/>
                <w:sz w:val="20"/>
              </w:rPr>
              <w:t xml:space="preserve"> </w:t>
            </w:r>
            <w:r w:rsidRPr="00150EDC">
              <w:rPr>
                <w:sz w:val="20"/>
              </w:rPr>
              <w:t>continue</w:t>
            </w:r>
            <w:r w:rsidRPr="00150EDC">
              <w:rPr>
                <w:spacing w:val="-6"/>
                <w:sz w:val="20"/>
              </w:rPr>
              <w:t xml:space="preserve"> </w:t>
            </w:r>
            <w:r w:rsidRPr="00150EDC">
              <w:rPr>
                <w:sz w:val="20"/>
              </w:rPr>
              <w:t>to</w:t>
            </w:r>
            <w:r w:rsidRPr="00150EDC">
              <w:rPr>
                <w:spacing w:val="-2"/>
                <w:sz w:val="20"/>
              </w:rPr>
              <w:t xml:space="preserve"> </w:t>
            </w:r>
            <w:r w:rsidRPr="00150EDC">
              <w:rPr>
                <w:sz w:val="20"/>
              </w:rPr>
              <w:t>be absent from care</w:t>
            </w:r>
          </w:p>
        </w:tc>
      </w:tr>
      <w:tr w:rsidR="004569EE" w:rsidRPr="007D3144" w14:paraId="1EC50A21" w14:textId="77777777">
        <w:trPr>
          <w:trHeight w:val="255"/>
        </w:trPr>
        <w:tc>
          <w:tcPr>
            <w:tcW w:w="6517" w:type="dxa"/>
          </w:tcPr>
          <w:p w14:paraId="3976F450" w14:textId="77777777" w:rsidR="004C7180" w:rsidRPr="00150EDC" w:rsidRDefault="00CF0754">
            <w:pPr>
              <w:pStyle w:val="TableParagraph"/>
              <w:rPr>
                <w:sz w:val="20"/>
              </w:rPr>
            </w:pPr>
            <w:r w:rsidRPr="00150EDC">
              <w:rPr>
                <w:sz w:val="20"/>
              </w:rPr>
              <w:t>Children</w:t>
            </w:r>
            <w:r w:rsidRPr="00150EDC">
              <w:rPr>
                <w:spacing w:val="-7"/>
                <w:sz w:val="20"/>
              </w:rPr>
              <w:t xml:space="preserve"> </w:t>
            </w:r>
            <w:r w:rsidRPr="00150EDC">
              <w:rPr>
                <w:sz w:val="20"/>
              </w:rPr>
              <w:t>and</w:t>
            </w:r>
            <w:r w:rsidRPr="00150EDC">
              <w:rPr>
                <w:spacing w:val="-7"/>
                <w:sz w:val="20"/>
              </w:rPr>
              <w:t xml:space="preserve"> </w:t>
            </w:r>
            <w:r w:rsidRPr="00150EDC">
              <w:rPr>
                <w:sz w:val="20"/>
              </w:rPr>
              <w:t>Young</w:t>
            </w:r>
            <w:r w:rsidRPr="00150EDC">
              <w:rPr>
                <w:spacing w:val="-6"/>
                <w:sz w:val="20"/>
              </w:rPr>
              <w:t xml:space="preserve"> </w:t>
            </w:r>
            <w:r w:rsidRPr="00150EDC">
              <w:rPr>
                <w:sz w:val="20"/>
              </w:rPr>
              <w:t>Persons</w:t>
            </w:r>
            <w:r w:rsidRPr="00150EDC">
              <w:rPr>
                <w:spacing w:val="-1"/>
                <w:sz w:val="20"/>
              </w:rPr>
              <w:t xml:space="preserve"> </w:t>
            </w:r>
            <w:r w:rsidRPr="00150EDC">
              <w:rPr>
                <w:sz w:val="20"/>
              </w:rPr>
              <w:t>Act</w:t>
            </w:r>
            <w:r w:rsidRPr="00150EDC">
              <w:rPr>
                <w:spacing w:val="-6"/>
                <w:sz w:val="20"/>
              </w:rPr>
              <w:t xml:space="preserve"> </w:t>
            </w:r>
            <w:r w:rsidRPr="00150EDC">
              <w:rPr>
                <w:sz w:val="20"/>
              </w:rPr>
              <w:t>2001,</w:t>
            </w:r>
            <w:r w:rsidRPr="00150EDC">
              <w:rPr>
                <w:spacing w:val="-3"/>
                <w:sz w:val="20"/>
              </w:rPr>
              <w:t xml:space="preserve"> </w:t>
            </w:r>
            <w:r w:rsidRPr="00150EDC">
              <w:rPr>
                <w:spacing w:val="-5"/>
                <w:sz w:val="20"/>
              </w:rPr>
              <w:t>s48</w:t>
            </w:r>
          </w:p>
        </w:tc>
        <w:tc>
          <w:tcPr>
            <w:tcW w:w="7427" w:type="dxa"/>
          </w:tcPr>
          <w:p w14:paraId="238775F5" w14:textId="77777777" w:rsidR="004C7180" w:rsidRPr="00150EDC" w:rsidRDefault="00CF0754">
            <w:pPr>
              <w:pStyle w:val="TableParagraph"/>
              <w:rPr>
                <w:sz w:val="20"/>
              </w:rPr>
            </w:pPr>
            <w:r w:rsidRPr="00150EDC">
              <w:rPr>
                <w:sz w:val="20"/>
              </w:rPr>
              <w:t>Abduction</w:t>
            </w:r>
            <w:r w:rsidRPr="00150EDC">
              <w:rPr>
                <w:spacing w:val="-6"/>
                <w:sz w:val="20"/>
              </w:rPr>
              <w:t xml:space="preserve"> </w:t>
            </w:r>
            <w:r w:rsidRPr="00150EDC">
              <w:rPr>
                <w:sz w:val="20"/>
              </w:rPr>
              <w:t>of</w:t>
            </w:r>
            <w:r w:rsidRPr="00150EDC">
              <w:rPr>
                <w:spacing w:val="-1"/>
                <w:sz w:val="20"/>
              </w:rPr>
              <w:t xml:space="preserve"> </w:t>
            </w:r>
            <w:r w:rsidRPr="00150EDC">
              <w:rPr>
                <w:sz w:val="20"/>
              </w:rPr>
              <w:t>person</w:t>
            </w:r>
            <w:r w:rsidRPr="00150EDC">
              <w:rPr>
                <w:spacing w:val="-6"/>
                <w:sz w:val="20"/>
              </w:rPr>
              <w:t xml:space="preserve"> </w:t>
            </w:r>
            <w:r w:rsidRPr="00150EDC">
              <w:rPr>
                <w:sz w:val="20"/>
              </w:rPr>
              <w:t>in</w:t>
            </w:r>
            <w:r w:rsidRPr="00150EDC">
              <w:rPr>
                <w:spacing w:val="-5"/>
                <w:sz w:val="20"/>
              </w:rPr>
              <w:t xml:space="preserve"> </w:t>
            </w:r>
            <w:r w:rsidRPr="00150EDC">
              <w:rPr>
                <w:spacing w:val="-4"/>
                <w:sz w:val="20"/>
              </w:rPr>
              <w:t>care</w:t>
            </w:r>
          </w:p>
        </w:tc>
      </w:tr>
      <w:tr w:rsidR="004569EE" w:rsidRPr="007D3144" w14:paraId="674B0FEF" w14:textId="77777777">
        <w:trPr>
          <w:trHeight w:val="255"/>
        </w:trPr>
        <w:tc>
          <w:tcPr>
            <w:tcW w:w="6517" w:type="dxa"/>
          </w:tcPr>
          <w:p w14:paraId="08224A77" w14:textId="77777777" w:rsidR="004C7180" w:rsidRPr="00150EDC" w:rsidRDefault="00CF0754">
            <w:pPr>
              <w:pStyle w:val="TableParagraph"/>
              <w:rPr>
                <w:sz w:val="20"/>
              </w:rPr>
            </w:pPr>
            <w:r w:rsidRPr="00150EDC">
              <w:rPr>
                <w:sz w:val="20"/>
              </w:rPr>
              <w:t>Children</w:t>
            </w:r>
            <w:r w:rsidRPr="00150EDC">
              <w:rPr>
                <w:spacing w:val="-7"/>
                <w:sz w:val="20"/>
              </w:rPr>
              <w:t xml:space="preserve"> </w:t>
            </w:r>
            <w:r w:rsidRPr="00150EDC">
              <w:rPr>
                <w:sz w:val="20"/>
              </w:rPr>
              <w:t>and</w:t>
            </w:r>
            <w:r w:rsidRPr="00150EDC">
              <w:rPr>
                <w:spacing w:val="-7"/>
                <w:sz w:val="20"/>
              </w:rPr>
              <w:t xml:space="preserve"> </w:t>
            </w:r>
            <w:r w:rsidRPr="00150EDC">
              <w:rPr>
                <w:sz w:val="20"/>
              </w:rPr>
              <w:t>Young</w:t>
            </w:r>
            <w:r w:rsidRPr="00150EDC">
              <w:rPr>
                <w:spacing w:val="-6"/>
                <w:sz w:val="20"/>
              </w:rPr>
              <w:t xml:space="preserve"> </w:t>
            </w:r>
            <w:r w:rsidRPr="00150EDC">
              <w:rPr>
                <w:sz w:val="20"/>
              </w:rPr>
              <w:t>Persons</w:t>
            </w:r>
            <w:r w:rsidRPr="00150EDC">
              <w:rPr>
                <w:spacing w:val="-1"/>
                <w:sz w:val="20"/>
              </w:rPr>
              <w:t xml:space="preserve"> </w:t>
            </w:r>
            <w:r w:rsidRPr="00150EDC">
              <w:rPr>
                <w:sz w:val="20"/>
              </w:rPr>
              <w:t>Act</w:t>
            </w:r>
            <w:r w:rsidRPr="00150EDC">
              <w:rPr>
                <w:spacing w:val="-6"/>
                <w:sz w:val="20"/>
              </w:rPr>
              <w:t xml:space="preserve"> </w:t>
            </w:r>
            <w:r w:rsidRPr="00150EDC">
              <w:rPr>
                <w:sz w:val="20"/>
              </w:rPr>
              <w:t>2001,</w:t>
            </w:r>
            <w:r w:rsidRPr="00150EDC">
              <w:rPr>
                <w:spacing w:val="-6"/>
                <w:sz w:val="20"/>
              </w:rPr>
              <w:t xml:space="preserve"> </w:t>
            </w:r>
            <w:r w:rsidRPr="00150EDC">
              <w:rPr>
                <w:spacing w:val="-5"/>
                <w:sz w:val="20"/>
              </w:rPr>
              <w:t>s51</w:t>
            </w:r>
          </w:p>
        </w:tc>
        <w:tc>
          <w:tcPr>
            <w:tcW w:w="7427" w:type="dxa"/>
          </w:tcPr>
          <w:p w14:paraId="268F6CBB" w14:textId="77777777" w:rsidR="004C7180" w:rsidRPr="00150EDC" w:rsidRDefault="00CF0754">
            <w:pPr>
              <w:pStyle w:val="TableParagraph"/>
              <w:rPr>
                <w:sz w:val="20"/>
              </w:rPr>
            </w:pPr>
            <w:r w:rsidRPr="00150EDC">
              <w:rPr>
                <w:sz w:val="20"/>
              </w:rPr>
              <w:t>Using</w:t>
            </w:r>
            <w:r w:rsidRPr="00150EDC">
              <w:rPr>
                <w:spacing w:val="-6"/>
                <w:sz w:val="20"/>
              </w:rPr>
              <w:t xml:space="preserve"> </w:t>
            </w:r>
            <w:r w:rsidRPr="00150EDC">
              <w:rPr>
                <w:sz w:val="20"/>
              </w:rPr>
              <w:t>a</w:t>
            </w:r>
            <w:r w:rsidRPr="00150EDC">
              <w:rPr>
                <w:spacing w:val="-5"/>
                <w:sz w:val="20"/>
              </w:rPr>
              <w:t xml:space="preserve"> </w:t>
            </w:r>
            <w:r w:rsidRPr="00150EDC">
              <w:rPr>
                <w:sz w:val="20"/>
              </w:rPr>
              <w:t>home</w:t>
            </w:r>
            <w:r w:rsidRPr="00150EDC">
              <w:rPr>
                <w:spacing w:val="-5"/>
                <w:sz w:val="20"/>
              </w:rPr>
              <w:t xml:space="preserve"> </w:t>
            </w:r>
            <w:r w:rsidRPr="00150EDC">
              <w:rPr>
                <w:sz w:val="20"/>
              </w:rPr>
              <w:t>as</w:t>
            </w:r>
            <w:r w:rsidRPr="00150EDC">
              <w:rPr>
                <w:spacing w:val="1"/>
                <w:sz w:val="20"/>
              </w:rPr>
              <w:t xml:space="preserve"> </w:t>
            </w:r>
            <w:r w:rsidRPr="00150EDC">
              <w:rPr>
                <w:sz w:val="20"/>
              </w:rPr>
              <w:t>a</w:t>
            </w:r>
            <w:r w:rsidRPr="00150EDC">
              <w:rPr>
                <w:spacing w:val="-5"/>
                <w:sz w:val="20"/>
              </w:rPr>
              <w:t xml:space="preserve"> </w:t>
            </w:r>
            <w:r w:rsidRPr="00150EDC">
              <w:rPr>
                <w:sz w:val="20"/>
              </w:rPr>
              <w:t>children's</w:t>
            </w:r>
            <w:r w:rsidRPr="00150EDC">
              <w:rPr>
                <w:spacing w:val="-4"/>
                <w:sz w:val="20"/>
              </w:rPr>
              <w:t xml:space="preserve"> </w:t>
            </w:r>
            <w:r w:rsidRPr="00150EDC">
              <w:rPr>
                <w:sz w:val="20"/>
              </w:rPr>
              <w:t>home</w:t>
            </w:r>
            <w:r w:rsidRPr="00150EDC">
              <w:rPr>
                <w:spacing w:val="-5"/>
                <w:sz w:val="20"/>
              </w:rPr>
              <w:t xml:space="preserve"> </w:t>
            </w:r>
            <w:r w:rsidRPr="00150EDC">
              <w:rPr>
                <w:sz w:val="20"/>
              </w:rPr>
              <w:t>without</w:t>
            </w:r>
            <w:r w:rsidRPr="00150EDC">
              <w:rPr>
                <w:spacing w:val="-1"/>
                <w:sz w:val="20"/>
              </w:rPr>
              <w:t xml:space="preserve"> </w:t>
            </w:r>
            <w:r w:rsidRPr="00150EDC">
              <w:rPr>
                <w:sz w:val="20"/>
              </w:rPr>
              <w:t xml:space="preserve">being </w:t>
            </w:r>
            <w:r w:rsidRPr="00150EDC">
              <w:rPr>
                <w:spacing w:val="-2"/>
                <w:sz w:val="20"/>
              </w:rPr>
              <w:t>registered</w:t>
            </w:r>
          </w:p>
        </w:tc>
      </w:tr>
      <w:tr w:rsidR="004569EE" w:rsidRPr="007D3144" w14:paraId="2B6FF66F" w14:textId="77777777">
        <w:trPr>
          <w:trHeight w:val="255"/>
        </w:trPr>
        <w:tc>
          <w:tcPr>
            <w:tcW w:w="6517" w:type="dxa"/>
          </w:tcPr>
          <w:p w14:paraId="45AF2109" w14:textId="77777777" w:rsidR="004C7180" w:rsidRPr="00150EDC" w:rsidRDefault="00CF0754">
            <w:pPr>
              <w:pStyle w:val="TableParagraph"/>
              <w:rPr>
                <w:sz w:val="20"/>
              </w:rPr>
            </w:pPr>
            <w:r w:rsidRPr="00150EDC">
              <w:rPr>
                <w:sz w:val="20"/>
              </w:rPr>
              <w:t>Children</w:t>
            </w:r>
            <w:r w:rsidRPr="00150EDC">
              <w:rPr>
                <w:spacing w:val="-7"/>
                <w:sz w:val="20"/>
              </w:rPr>
              <w:t xml:space="preserve"> </w:t>
            </w:r>
            <w:r w:rsidRPr="00150EDC">
              <w:rPr>
                <w:sz w:val="20"/>
              </w:rPr>
              <w:t>and</w:t>
            </w:r>
            <w:r w:rsidRPr="00150EDC">
              <w:rPr>
                <w:spacing w:val="-7"/>
                <w:sz w:val="20"/>
              </w:rPr>
              <w:t xml:space="preserve"> </w:t>
            </w:r>
            <w:r w:rsidRPr="00150EDC">
              <w:rPr>
                <w:sz w:val="20"/>
              </w:rPr>
              <w:t>Young</w:t>
            </w:r>
            <w:r w:rsidRPr="00150EDC">
              <w:rPr>
                <w:spacing w:val="-6"/>
                <w:sz w:val="20"/>
              </w:rPr>
              <w:t xml:space="preserve"> </w:t>
            </w:r>
            <w:r w:rsidRPr="00150EDC">
              <w:rPr>
                <w:sz w:val="20"/>
              </w:rPr>
              <w:t>Persons</w:t>
            </w:r>
            <w:r w:rsidRPr="00150EDC">
              <w:rPr>
                <w:spacing w:val="-1"/>
                <w:sz w:val="20"/>
              </w:rPr>
              <w:t xml:space="preserve"> </w:t>
            </w:r>
            <w:r w:rsidRPr="00150EDC">
              <w:rPr>
                <w:sz w:val="20"/>
              </w:rPr>
              <w:t>Act</w:t>
            </w:r>
            <w:r w:rsidRPr="00150EDC">
              <w:rPr>
                <w:spacing w:val="-6"/>
                <w:sz w:val="20"/>
              </w:rPr>
              <w:t xml:space="preserve"> </w:t>
            </w:r>
            <w:r w:rsidRPr="00150EDC">
              <w:rPr>
                <w:sz w:val="20"/>
              </w:rPr>
              <w:t>2001,</w:t>
            </w:r>
            <w:r w:rsidRPr="00150EDC">
              <w:rPr>
                <w:spacing w:val="-6"/>
                <w:sz w:val="20"/>
              </w:rPr>
              <w:t xml:space="preserve"> </w:t>
            </w:r>
            <w:r w:rsidRPr="00150EDC">
              <w:rPr>
                <w:spacing w:val="-5"/>
                <w:sz w:val="20"/>
              </w:rPr>
              <w:t>s52</w:t>
            </w:r>
          </w:p>
        </w:tc>
        <w:tc>
          <w:tcPr>
            <w:tcW w:w="7427" w:type="dxa"/>
          </w:tcPr>
          <w:p w14:paraId="6A932E9C" w14:textId="77777777" w:rsidR="004C7180" w:rsidRPr="00150EDC" w:rsidRDefault="00CF0754">
            <w:pPr>
              <w:pStyle w:val="TableParagraph"/>
              <w:rPr>
                <w:sz w:val="20"/>
              </w:rPr>
            </w:pPr>
            <w:r w:rsidRPr="00150EDC">
              <w:rPr>
                <w:sz w:val="20"/>
              </w:rPr>
              <w:t>Concerned</w:t>
            </w:r>
            <w:r w:rsidRPr="00150EDC">
              <w:rPr>
                <w:spacing w:val="-7"/>
                <w:sz w:val="20"/>
              </w:rPr>
              <w:t xml:space="preserve"> </w:t>
            </w:r>
            <w:r w:rsidRPr="00150EDC">
              <w:rPr>
                <w:sz w:val="20"/>
              </w:rPr>
              <w:t>in</w:t>
            </w:r>
            <w:r w:rsidRPr="00150EDC">
              <w:rPr>
                <w:spacing w:val="-6"/>
                <w:sz w:val="20"/>
              </w:rPr>
              <w:t xml:space="preserve"> </w:t>
            </w:r>
            <w:r w:rsidRPr="00150EDC">
              <w:rPr>
                <w:sz w:val="20"/>
              </w:rPr>
              <w:t>children's</w:t>
            </w:r>
            <w:r w:rsidRPr="00150EDC">
              <w:rPr>
                <w:spacing w:val="-5"/>
                <w:sz w:val="20"/>
              </w:rPr>
              <w:t xml:space="preserve"> </w:t>
            </w:r>
            <w:r w:rsidRPr="00150EDC">
              <w:rPr>
                <w:sz w:val="20"/>
              </w:rPr>
              <w:t>home</w:t>
            </w:r>
            <w:r w:rsidRPr="00150EDC">
              <w:rPr>
                <w:spacing w:val="-7"/>
                <w:sz w:val="20"/>
              </w:rPr>
              <w:t xml:space="preserve"> </w:t>
            </w:r>
            <w:r w:rsidRPr="00150EDC">
              <w:rPr>
                <w:sz w:val="20"/>
              </w:rPr>
              <w:t>whilst</w:t>
            </w:r>
            <w:r w:rsidRPr="00150EDC">
              <w:rPr>
                <w:spacing w:val="-5"/>
                <w:sz w:val="20"/>
              </w:rPr>
              <w:t xml:space="preserve"> </w:t>
            </w:r>
            <w:r w:rsidRPr="00150EDC">
              <w:rPr>
                <w:spacing w:val="-2"/>
                <w:sz w:val="20"/>
              </w:rPr>
              <w:t>disqualified</w:t>
            </w:r>
          </w:p>
        </w:tc>
      </w:tr>
      <w:tr w:rsidR="004569EE" w:rsidRPr="007D3144" w14:paraId="07C9062F" w14:textId="77777777">
        <w:trPr>
          <w:trHeight w:val="255"/>
        </w:trPr>
        <w:tc>
          <w:tcPr>
            <w:tcW w:w="6517" w:type="dxa"/>
          </w:tcPr>
          <w:p w14:paraId="014DB90D" w14:textId="77777777" w:rsidR="004C7180" w:rsidRPr="00150EDC" w:rsidRDefault="00CF0754">
            <w:pPr>
              <w:pStyle w:val="TableParagraph"/>
              <w:spacing w:before="28"/>
              <w:rPr>
                <w:sz w:val="20"/>
              </w:rPr>
            </w:pPr>
            <w:r w:rsidRPr="00150EDC">
              <w:rPr>
                <w:sz w:val="20"/>
              </w:rPr>
              <w:t>Children</w:t>
            </w:r>
            <w:r w:rsidRPr="00150EDC">
              <w:rPr>
                <w:spacing w:val="-7"/>
                <w:sz w:val="20"/>
              </w:rPr>
              <w:t xml:space="preserve"> </w:t>
            </w:r>
            <w:r w:rsidRPr="00150EDC">
              <w:rPr>
                <w:sz w:val="20"/>
              </w:rPr>
              <w:t>and</w:t>
            </w:r>
            <w:r w:rsidRPr="00150EDC">
              <w:rPr>
                <w:spacing w:val="-6"/>
                <w:sz w:val="20"/>
              </w:rPr>
              <w:t xml:space="preserve"> </w:t>
            </w:r>
            <w:r w:rsidRPr="00150EDC">
              <w:rPr>
                <w:sz w:val="20"/>
              </w:rPr>
              <w:t>Young</w:t>
            </w:r>
            <w:r w:rsidRPr="00150EDC">
              <w:rPr>
                <w:spacing w:val="-6"/>
                <w:sz w:val="20"/>
              </w:rPr>
              <w:t xml:space="preserve"> </w:t>
            </w:r>
            <w:r w:rsidRPr="00150EDC">
              <w:rPr>
                <w:sz w:val="20"/>
              </w:rPr>
              <w:t>Persons</w:t>
            </w:r>
            <w:r w:rsidRPr="00150EDC">
              <w:rPr>
                <w:spacing w:val="-1"/>
                <w:sz w:val="20"/>
              </w:rPr>
              <w:t xml:space="preserve"> </w:t>
            </w:r>
            <w:r w:rsidRPr="00150EDC">
              <w:rPr>
                <w:sz w:val="20"/>
              </w:rPr>
              <w:t>Act</w:t>
            </w:r>
            <w:r w:rsidRPr="00150EDC">
              <w:rPr>
                <w:spacing w:val="-5"/>
                <w:sz w:val="20"/>
              </w:rPr>
              <w:t xml:space="preserve"> </w:t>
            </w:r>
            <w:r w:rsidRPr="00150EDC">
              <w:rPr>
                <w:sz w:val="20"/>
              </w:rPr>
              <w:t>2001,</w:t>
            </w:r>
            <w:r w:rsidRPr="00150EDC">
              <w:rPr>
                <w:spacing w:val="-6"/>
                <w:sz w:val="20"/>
              </w:rPr>
              <w:t xml:space="preserve"> </w:t>
            </w:r>
            <w:r w:rsidRPr="00150EDC">
              <w:rPr>
                <w:spacing w:val="-5"/>
                <w:sz w:val="20"/>
              </w:rPr>
              <w:t>s58</w:t>
            </w:r>
          </w:p>
        </w:tc>
        <w:tc>
          <w:tcPr>
            <w:tcW w:w="7427" w:type="dxa"/>
          </w:tcPr>
          <w:p w14:paraId="1DC0C818" w14:textId="77777777" w:rsidR="004C7180" w:rsidRPr="00150EDC" w:rsidRDefault="00CF0754">
            <w:pPr>
              <w:pStyle w:val="TableParagraph"/>
              <w:spacing w:before="28"/>
              <w:rPr>
                <w:sz w:val="20"/>
              </w:rPr>
            </w:pPr>
            <w:r w:rsidRPr="00150EDC">
              <w:rPr>
                <w:sz w:val="20"/>
              </w:rPr>
              <w:t>Provide</w:t>
            </w:r>
            <w:r w:rsidRPr="00150EDC">
              <w:rPr>
                <w:spacing w:val="-6"/>
                <w:sz w:val="20"/>
              </w:rPr>
              <w:t xml:space="preserve"> </w:t>
            </w:r>
            <w:r w:rsidRPr="00150EDC">
              <w:rPr>
                <w:sz w:val="20"/>
              </w:rPr>
              <w:t>private</w:t>
            </w:r>
            <w:r w:rsidRPr="00150EDC">
              <w:rPr>
                <w:spacing w:val="-5"/>
                <w:sz w:val="20"/>
              </w:rPr>
              <w:t xml:space="preserve"> </w:t>
            </w:r>
            <w:r w:rsidRPr="00150EDC">
              <w:rPr>
                <w:sz w:val="20"/>
              </w:rPr>
              <w:t>fostering</w:t>
            </w:r>
            <w:r w:rsidRPr="00150EDC">
              <w:rPr>
                <w:spacing w:val="-5"/>
                <w:sz w:val="20"/>
              </w:rPr>
              <w:t xml:space="preserve"> </w:t>
            </w:r>
            <w:r w:rsidRPr="00150EDC">
              <w:rPr>
                <w:sz w:val="20"/>
              </w:rPr>
              <w:t>whilst</w:t>
            </w:r>
            <w:r w:rsidRPr="00150EDC">
              <w:rPr>
                <w:spacing w:val="-4"/>
                <w:sz w:val="20"/>
              </w:rPr>
              <w:t xml:space="preserve"> </w:t>
            </w:r>
            <w:r w:rsidRPr="00150EDC">
              <w:rPr>
                <w:spacing w:val="-2"/>
                <w:sz w:val="20"/>
              </w:rPr>
              <w:t>disqualified</w:t>
            </w:r>
          </w:p>
        </w:tc>
      </w:tr>
      <w:tr w:rsidR="004569EE" w:rsidRPr="007D3144" w14:paraId="4FDABF7F" w14:textId="77777777">
        <w:trPr>
          <w:trHeight w:val="255"/>
        </w:trPr>
        <w:tc>
          <w:tcPr>
            <w:tcW w:w="6517" w:type="dxa"/>
          </w:tcPr>
          <w:p w14:paraId="45FEE04D" w14:textId="77777777" w:rsidR="004C7180" w:rsidRPr="00150EDC" w:rsidRDefault="00CF0754">
            <w:pPr>
              <w:pStyle w:val="TableParagraph"/>
              <w:rPr>
                <w:sz w:val="20"/>
              </w:rPr>
            </w:pPr>
            <w:r w:rsidRPr="00150EDC">
              <w:rPr>
                <w:sz w:val="20"/>
              </w:rPr>
              <w:t>Children</w:t>
            </w:r>
            <w:r w:rsidRPr="00150EDC">
              <w:rPr>
                <w:spacing w:val="-7"/>
                <w:sz w:val="20"/>
              </w:rPr>
              <w:t xml:space="preserve"> </w:t>
            </w:r>
            <w:r w:rsidRPr="00150EDC">
              <w:rPr>
                <w:sz w:val="20"/>
              </w:rPr>
              <w:t>and</w:t>
            </w:r>
            <w:r w:rsidRPr="00150EDC">
              <w:rPr>
                <w:spacing w:val="-7"/>
                <w:sz w:val="20"/>
              </w:rPr>
              <w:t xml:space="preserve"> </w:t>
            </w:r>
            <w:r w:rsidRPr="00150EDC">
              <w:rPr>
                <w:sz w:val="20"/>
              </w:rPr>
              <w:t>Young</w:t>
            </w:r>
            <w:r w:rsidRPr="00150EDC">
              <w:rPr>
                <w:spacing w:val="-6"/>
                <w:sz w:val="20"/>
              </w:rPr>
              <w:t xml:space="preserve"> </w:t>
            </w:r>
            <w:r w:rsidRPr="00150EDC">
              <w:rPr>
                <w:sz w:val="20"/>
              </w:rPr>
              <w:t>Persons</w:t>
            </w:r>
            <w:r w:rsidRPr="00150EDC">
              <w:rPr>
                <w:spacing w:val="-1"/>
                <w:sz w:val="20"/>
              </w:rPr>
              <w:t xml:space="preserve"> </w:t>
            </w:r>
            <w:r w:rsidRPr="00150EDC">
              <w:rPr>
                <w:sz w:val="20"/>
              </w:rPr>
              <w:t>Act</w:t>
            </w:r>
            <w:r w:rsidRPr="00150EDC">
              <w:rPr>
                <w:spacing w:val="-6"/>
                <w:sz w:val="20"/>
              </w:rPr>
              <w:t xml:space="preserve"> </w:t>
            </w:r>
            <w:r w:rsidRPr="00150EDC">
              <w:rPr>
                <w:sz w:val="20"/>
              </w:rPr>
              <w:t>2001,</w:t>
            </w:r>
            <w:r w:rsidRPr="00150EDC">
              <w:rPr>
                <w:spacing w:val="-6"/>
                <w:sz w:val="20"/>
              </w:rPr>
              <w:t xml:space="preserve"> </w:t>
            </w:r>
            <w:r w:rsidRPr="00150EDC">
              <w:rPr>
                <w:spacing w:val="-5"/>
                <w:sz w:val="20"/>
              </w:rPr>
              <w:t>s59</w:t>
            </w:r>
          </w:p>
        </w:tc>
        <w:tc>
          <w:tcPr>
            <w:tcW w:w="7427" w:type="dxa"/>
          </w:tcPr>
          <w:p w14:paraId="5DEFB40A" w14:textId="77777777" w:rsidR="004C7180" w:rsidRPr="00150EDC" w:rsidRDefault="00CF0754">
            <w:pPr>
              <w:pStyle w:val="TableParagraph"/>
              <w:rPr>
                <w:sz w:val="20"/>
              </w:rPr>
            </w:pPr>
            <w:r w:rsidRPr="00150EDC">
              <w:rPr>
                <w:sz w:val="20"/>
              </w:rPr>
              <w:t>Provide</w:t>
            </w:r>
            <w:r w:rsidRPr="00150EDC">
              <w:rPr>
                <w:spacing w:val="-6"/>
                <w:sz w:val="20"/>
              </w:rPr>
              <w:t xml:space="preserve"> </w:t>
            </w:r>
            <w:r w:rsidRPr="00150EDC">
              <w:rPr>
                <w:sz w:val="20"/>
              </w:rPr>
              <w:t>provate</w:t>
            </w:r>
            <w:r w:rsidRPr="00150EDC">
              <w:rPr>
                <w:spacing w:val="-5"/>
                <w:sz w:val="20"/>
              </w:rPr>
              <w:t xml:space="preserve"> </w:t>
            </w:r>
            <w:r w:rsidRPr="00150EDC">
              <w:rPr>
                <w:sz w:val="20"/>
              </w:rPr>
              <w:t>fostering</w:t>
            </w:r>
            <w:r w:rsidRPr="00150EDC">
              <w:rPr>
                <w:spacing w:val="-6"/>
                <w:sz w:val="20"/>
              </w:rPr>
              <w:t xml:space="preserve"> </w:t>
            </w:r>
            <w:r w:rsidRPr="00150EDC">
              <w:rPr>
                <w:sz w:val="20"/>
              </w:rPr>
              <w:t>in</w:t>
            </w:r>
            <w:r w:rsidRPr="00150EDC">
              <w:rPr>
                <w:spacing w:val="-5"/>
                <w:sz w:val="20"/>
              </w:rPr>
              <w:t xml:space="preserve"> </w:t>
            </w:r>
            <w:r w:rsidRPr="00150EDC">
              <w:rPr>
                <w:sz w:val="20"/>
              </w:rPr>
              <w:t>contravention</w:t>
            </w:r>
            <w:r w:rsidRPr="00150EDC">
              <w:rPr>
                <w:spacing w:val="-1"/>
                <w:sz w:val="20"/>
              </w:rPr>
              <w:t xml:space="preserve"> </w:t>
            </w:r>
            <w:r w:rsidRPr="00150EDC">
              <w:rPr>
                <w:sz w:val="20"/>
              </w:rPr>
              <w:t>of</w:t>
            </w:r>
            <w:r w:rsidRPr="00150EDC">
              <w:rPr>
                <w:spacing w:val="-5"/>
                <w:sz w:val="20"/>
              </w:rPr>
              <w:t xml:space="preserve"> </w:t>
            </w:r>
            <w:r w:rsidRPr="00150EDC">
              <w:rPr>
                <w:sz w:val="20"/>
              </w:rPr>
              <w:t>a</w:t>
            </w:r>
            <w:r w:rsidRPr="00150EDC">
              <w:rPr>
                <w:spacing w:val="-5"/>
                <w:sz w:val="20"/>
              </w:rPr>
              <w:t xml:space="preserve"> </w:t>
            </w:r>
            <w:r w:rsidRPr="00150EDC">
              <w:rPr>
                <w:spacing w:val="-2"/>
                <w:sz w:val="20"/>
              </w:rPr>
              <w:t>prohibition</w:t>
            </w:r>
          </w:p>
        </w:tc>
      </w:tr>
      <w:tr w:rsidR="004569EE" w:rsidRPr="007D3144" w14:paraId="7940EC6F" w14:textId="77777777">
        <w:trPr>
          <w:trHeight w:val="255"/>
        </w:trPr>
        <w:tc>
          <w:tcPr>
            <w:tcW w:w="6517" w:type="dxa"/>
          </w:tcPr>
          <w:p w14:paraId="15F13924" w14:textId="77777777" w:rsidR="004C7180" w:rsidRPr="00150EDC" w:rsidRDefault="00CF0754">
            <w:pPr>
              <w:pStyle w:val="TableParagraph"/>
              <w:rPr>
                <w:sz w:val="20"/>
              </w:rPr>
            </w:pPr>
            <w:r w:rsidRPr="00150EDC">
              <w:rPr>
                <w:sz w:val="20"/>
              </w:rPr>
              <w:t>Children</w:t>
            </w:r>
            <w:r w:rsidRPr="00150EDC">
              <w:rPr>
                <w:spacing w:val="-7"/>
                <w:sz w:val="20"/>
              </w:rPr>
              <w:t xml:space="preserve"> </w:t>
            </w:r>
            <w:r w:rsidRPr="00150EDC">
              <w:rPr>
                <w:sz w:val="20"/>
              </w:rPr>
              <w:t>and</w:t>
            </w:r>
            <w:r w:rsidRPr="00150EDC">
              <w:rPr>
                <w:spacing w:val="-7"/>
                <w:sz w:val="20"/>
              </w:rPr>
              <w:t xml:space="preserve"> </w:t>
            </w:r>
            <w:r w:rsidRPr="00150EDC">
              <w:rPr>
                <w:sz w:val="20"/>
              </w:rPr>
              <w:t>Young</w:t>
            </w:r>
            <w:r w:rsidRPr="00150EDC">
              <w:rPr>
                <w:spacing w:val="-6"/>
                <w:sz w:val="20"/>
              </w:rPr>
              <w:t xml:space="preserve"> </w:t>
            </w:r>
            <w:r w:rsidRPr="00150EDC">
              <w:rPr>
                <w:sz w:val="20"/>
              </w:rPr>
              <w:t>Persons</w:t>
            </w:r>
            <w:r w:rsidRPr="00150EDC">
              <w:rPr>
                <w:spacing w:val="-1"/>
                <w:sz w:val="20"/>
              </w:rPr>
              <w:t xml:space="preserve"> </w:t>
            </w:r>
            <w:r w:rsidRPr="00150EDC">
              <w:rPr>
                <w:sz w:val="20"/>
              </w:rPr>
              <w:t>Act</w:t>
            </w:r>
            <w:r w:rsidRPr="00150EDC">
              <w:rPr>
                <w:spacing w:val="-6"/>
                <w:sz w:val="20"/>
              </w:rPr>
              <w:t xml:space="preserve"> </w:t>
            </w:r>
            <w:r w:rsidRPr="00150EDC">
              <w:rPr>
                <w:sz w:val="20"/>
              </w:rPr>
              <w:t>2001,</w:t>
            </w:r>
            <w:r w:rsidRPr="00150EDC">
              <w:rPr>
                <w:spacing w:val="-6"/>
                <w:sz w:val="20"/>
              </w:rPr>
              <w:t xml:space="preserve"> </w:t>
            </w:r>
            <w:r w:rsidRPr="00150EDC">
              <w:rPr>
                <w:spacing w:val="-5"/>
                <w:sz w:val="20"/>
              </w:rPr>
              <w:t>s60</w:t>
            </w:r>
          </w:p>
        </w:tc>
        <w:tc>
          <w:tcPr>
            <w:tcW w:w="7427" w:type="dxa"/>
          </w:tcPr>
          <w:p w14:paraId="6229D0ED" w14:textId="77777777" w:rsidR="004C7180" w:rsidRPr="00150EDC" w:rsidRDefault="00CF0754">
            <w:pPr>
              <w:pStyle w:val="TableParagraph"/>
              <w:rPr>
                <w:sz w:val="20"/>
              </w:rPr>
            </w:pPr>
            <w:r w:rsidRPr="00150EDC">
              <w:rPr>
                <w:sz w:val="20"/>
              </w:rPr>
              <w:t>Fail</w:t>
            </w:r>
            <w:r w:rsidRPr="00150EDC">
              <w:rPr>
                <w:spacing w:val="-2"/>
                <w:sz w:val="20"/>
              </w:rPr>
              <w:t xml:space="preserve"> </w:t>
            </w:r>
            <w:r w:rsidRPr="00150EDC">
              <w:rPr>
                <w:sz w:val="20"/>
              </w:rPr>
              <w:t>to</w:t>
            </w:r>
            <w:r w:rsidRPr="00150EDC">
              <w:rPr>
                <w:spacing w:val="-5"/>
                <w:sz w:val="20"/>
              </w:rPr>
              <w:t xml:space="preserve"> </w:t>
            </w:r>
            <w:r w:rsidRPr="00150EDC">
              <w:rPr>
                <w:sz w:val="20"/>
              </w:rPr>
              <w:t>give,</w:t>
            </w:r>
            <w:r w:rsidRPr="00150EDC">
              <w:rPr>
                <w:spacing w:val="-5"/>
                <w:sz w:val="20"/>
              </w:rPr>
              <w:t xml:space="preserve"> </w:t>
            </w:r>
            <w:r w:rsidRPr="00150EDC">
              <w:rPr>
                <w:sz w:val="20"/>
              </w:rPr>
              <w:t>or</w:t>
            </w:r>
            <w:r w:rsidRPr="00150EDC">
              <w:rPr>
                <w:spacing w:val="-1"/>
                <w:sz w:val="20"/>
              </w:rPr>
              <w:t xml:space="preserve"> </w:t>
            </w:r>
            <w:r w:rsidRPr="00150EDC">
              <w:rPr>
                <w:sz w:val="20"/>
              </w:rPr>
              <w:t>give</w:t>
            </w:r>
            <w:r w:rsidRPr="00150EDC">
              <w:rPr>
                <w:spacing w:val="-5"/>
                <w:sz w:val="20"/>
              </w:rPr>
              <w:t xml:space="preserve"> </w:t>
            </w:r>
            <w:r w:rsidRPr="00150EDC">
              <w:rPr>
                <w:sz w:val="20"/>
              </w:rPr>
              <w:t>false or</w:t>
            </w:r>
            <w:r w:rsidRPr="00150EDC">
              <w:rPr>
                <w:spacing w:val="-4"/>
                <w:sz w:val="20"/>
              </w:rPr>
              <w:t xml:space="preserve"> </w:t>
            </w:r>
            <w:r w:rsidRPr="00150EDC">
              <w:rPr>
                <w:sz w:val="20"/>
              </w:rPr>
              <w:t xml:space="preserve">misleading </w:t>
            </w:r>
            <w:r w:rsidRPr="00150EDC">
              <w:rPr>
                <w:spacing w:val="-2"/>
                <w:sz w:val="20"/>
              </w:rPr>
              <w:t>notification</w:t>
            </w:r>
          </w:p>
        </w:tc>
      </w:tr>
      <w:tr w:rsidR="004569EE" w:rsidRPr="007D3144" w14:paraId="0934DCFA" w14:textId="77777777">
        <w:trPr>
          <w:trHeight w:val="255"/>
        </w:trPr>
        <w:tc>
          <w:tcPr>
            <w:tcW w:w="6517" w:type="dxa"/>
          </w:tcPr>
          <w:p w14:paraId="4ABB6472" w14:textId="77777777" w:rsidR="004C7180" w:rsidRPr="00150EDC" w:rsidRDefault="00CF0754">
            <w:pPr>
              <w:pStyle w:val="TableParagraph"/>
              <w:rPr>
                <w:sz w:val="20"/>
              </w:rPr>
            </w:pPr>
            <w:r w:rsidRPr="00150EDC">
              <w:rPr>
                <w:sz w:val="20"/>
              </w:rPr>
              <w:t>Children</w:t>
            </w:r>
            <w:r w:rsidRPr="00150EDC">
              <w:rPr>
                <w:spacing w:val="-7"/>
                <w:sz w:val="20"/>
              </w:rPr>
              <w:t xml:space="preserve"> </w:t>
            </w:r>
            <w:r w:rsidRPr="00150EDC">
              <w:rPr>
                <w:sz w:val="20"/>
              </w:rPr>
              <w:t>and</w:t>
            </w:r>
            <w:r w:rsidRPr="00150EDC">
              <w:rPr>
                <w:spacing w:val="-7"/>
                <w:sz w:val="20"/>
              </w:rPr>
              <w:t xml:space="preserve"> </w:t>
            </w:r>
            <w:r w:rsidRPr="00150EDC">
              <w:rPr>
                <w:sz w:val="20"/>
              </w:rPr>
              <w:t>Young</w:t>
            </w:r>
            <w:r w:rsidRPr="00150EDC">
              <w:rPr>
                <w:spacing w:val="-6"/>
                <w:sz w:val="20"/>
              </w:rPr>
              <w:t xml:space="preserve"> </w:t>
            </w:r>
            <w:r w:rsidRPr="00150EDC">
              <w:rPr>
                <w:sz w:val="20"/>
              </w:rPr>
              <w:t>Persons</w:t>
            </w:r>
            <w:r w:rsidRPr="00150EDC">
              <w:rPr>
                <w:spacing w:val="-1"/>
                <w:sz w:val="20"/>
              </w:rPr>
              <w:t xml:space="preserve"> </w:t>
            </w:r>
            <w:r w:rsidRPr="00150EDC">
              <w:rPr>
                <w:sz w:val="20"/>
              </w:rPr>
              <w:t>Act</w:t>
            </w:r>
            <w:r w:rsidRPr="00150EDC">
              <w:rPr>
                <w:spacing w:val="-6"/>
                <w:sz w:val="20"/>
              </w:rPr>
              <w:t xml:space="preserve"> </w:t>
            </w:r>
            <w:r w:rsidRPr="00150EDC">
              <w:rPr>
                <w:sz w:val="20"/>
              </w:rPr>
              <w:t>2001,</w:t>
            </w:r>
            <w:r w:rsidRPr="00150EDC">
              <w:rPr>
                <w:spacing w:val="-6"/>
                <w:sz w:val="20"/>
              </w:rPr>
              <w:t xml:space="preserve"> </w:t>
            </w:r>
            <w:r w:rsidRPr="00150EDC">
              <w:rPr>
                <w:spacing w:val="-5"/>
                <w:sz w:val="20"/>
              </w:rPr>
              <w:t>s64</w:t>
            </w:r>
          </w:p>
        </w:tc>
        <w:tc>
          <w:tcPr>
            <w:tcW w:w="7427" w:type="dxa"/>
          </w:tcPr>
          <w:p w14:paraId="120948A7" w14:textId="77777777" w:rsidR="004C7180" w:rsidRPr="00150EDC" w:rsidRDefault="00CF0754">
            <w:pPr>
              <w:pStyle w:val="TableParagraph"/>
              <w:rPr>
                <w:sz w:val="20"/>
              </w:rPr>
            </w:pPr>
            <w:r w:rsidRPr="00150EDC">
              <w:rPr>
                <w:sz w:val="20"/>
              </w:rPr>
              <w:t>Act</w:t>
            </w:r>
            <w:r w:rsidRPr="00150EDC">
              <w:rPr>
                <w:spacing w:val="-6"/>
                <w:sz w:val="20"/>
              </w:rPr>
              <w:t xml:space="preserve"> </w:t>
            </w:r>
            <w:r w:rsidRPr="00150EDC">
              <w:rPr>
                <w:sz w:val="20"/>
              </w:rPr>
              <w:t>as</w:t>
            </w:r>
            <w:r w:rsidRPr="00150EDC">
              <w:rPr>
                <w:spacing w:val="-3"/>
                <w:sz w:val="20"/>
              </w:rPr>
              <w:t xml:space="preserve"> </w:t>
            </w:r>
            <w:r w:rsidRPr="00150EDC">
              <w:rPr>
                <w:sz w:val="20"/>
              </w:rPr>
              <w:t>a</w:t>
            </w:r>
            <w:r w:rsidRPr="00150EDC">
              <w:rPr>
                <w:spacing w:val="-4"/>
                <w:sz w:val="20"/>
              </w:rPr>
              <w:t xml:space="preserve"> </w:t>
            </w:r>
            <w:r w:rsidRPr="00150EDC">
              <w:rPr>
                <w:sz w:val="20"/>
              </w:rPr>
              <w:t>child</w:t>
            </w:r>
            <w:r w:rsidRPr="00150EDC">
              <w:rPr>
                <w:spacing w:val="-4"/>
                <w:sz w:val="20"/>
              </w:rPr>
              <w:t xml:space="preserve"> </w:t>
            </w:r>
            <w:r w:rsidRPr="00150EDC">
              <w:rPr>
                <w:sz w:val="20"/>
              </w:rPr>
              <w:t>minder or</w:t>
            </w:r>
            <w:r w:rsidRPr="00150EDC">
              <w:rPr>
                <w:spacing w:val="-5"/>
                <w:sz w:val="20"/>
              </w:rPr>
              <w:t xml:space="preserve"> </w:t>
            </w:r>
            <w:r w:rsidRPr="00150EDC">
              <w:rPr>
                <w:sz w:val="20"/>
              </w:rPr>
              <w:t>provide</w:t>
            </w:r>
            <w:r w:rsidRPr="00150EDC">
              <w:rPr>
                <w:spacing w:val="1"/>
                <w:sz w:val="20"/>
              </w:rPr>
              <w:t xml:space="preserve"> </w:t>
            </w:r>
            <w:r w:rsidRPr="00150EDC">
              <w:rPr>
                <w:sz w:val="20"/>
              </w:rPr>
              <w:t>day</w:t>
            </w:r>
            <w:r w:rsidRPr="00150EDC">
              <w:rPr>
                <w:spacing w:val="-3"/>
                <w:sz w:val="20"/>
              </w:rPr>
              <w:t xml:space="preserve"> </w:t>
            </w:r>
            <w:r w:rsidRPr="00150EDC">
              <w:rPr>
                <w:sz w:val="20"/>
              </w:rPr>
              <w:t>care</w:t>
            </w:r>
            <w:r w:rsidRPr="00150EDC">
              <w:rPr>
                <w:spacing w:val="-4"/>
                <w:sz w:val="20"/>
              </w:rPr>
              <w:t xml:space="preserve"> </w:t>
            </w:r>
            <w:r w:rsidRPr="00150EDC">
              <w:rPr>
                <w:sz w:val="20"/>
              </w:rPr>
              <w:t>without</w:t>
            </w:r>
            <w:r w:rsidRPr="00150EDC">
              <w:rPr>
                <w:spacing w:val="-4"/>
                <w:sz w:val="20"/>
              </w:rPr>
              <w:t xml:space="preserve"> </w:t>
            </w:r>
            <w:r w:rsidRPr="00150EDC">
              <w:rPr>
                <w:sz w:val="20"/>
              </w:rPr>
              <w:t>being</w:t>
            </w:r>
            <w:r w:rsidRPr="00150EDC">
              <w:rPr>
                <w:spacing w:val="-4"/>
                <w:sz w:val="20"/>
              </w:rPr>
              <w:t xml:space="preserve"> </w:t>
            </w:r>
            <w:r w:rsidRPr="00150EDC">
              <w:rPr>
                <w:spacing w:val="-2"/>
                <w:sz w:val="20"/>
              </w:rPr>
              <w:t>registered</w:t>
            </w:r>
          </w:p>
        </w:tc>
      </w:tr>
      <w:tr w:rsidR="004569EE" w:rsidRPr="007D3144" w14:paraId="11CFF056" w14:textId="77777777">
        <w:trPr>
          <w:trHeight w:val="255"/>
        </w:trPr>
        <w:tc>
          <w:tcPr>
            <w:tcW w:w="6517" w:type="dxa"/>
          </w:tcPr>
          <w:p w14:paraId="4C0E2009" w14:textId="77777777" w:rsidR="004C7180" w:rsidRPr="00150EDC" w:rsidRDefault="00CF0754">
            <w:pPr>
              <w:pStyle w:val="TableParagraph"/>
              <w:rPr>
                <w:sz w:val="20"/>
              </w:rPr>
            </w:pPr>
            <w:r w:rsidRPr="00150EDC">
              <w:rPr>
                <w:sz w:val="20"/>
              </w:rPr>
              <w:t>Children</w:t>
            </w:r>
            <w:r w:rsidRPr="00150EDC">
              <w:rPr>
                <w:spacing w:val="-7"/>
                <w:sz w:val="20"/>
              </w:rPr>
              <w:t xml:space="preserve"> </w:t>
            </w:r>
            <w:r w:rsidRPr="00150EDC">
              <w:rPr>
                <w:sz w:val="20"/>
              </w:rPr>
              <w:t>and</w:t>
            </w:r>
            <w:r w:rsidRPr="00150EDC">
              <w:rPr>
                <w:spacing w:val="-7"/>
                <w:sz w:val="20"/>
              </w:rPr>
              <w:t xml:space="preserve"> </w:t>
            </w:r>
            <w:r w:rsidRPr="00150EDC">
              <w:rPr>
                <w:sz w:val="20"/>
              </w:rPr>
              <w:t>Young</w:t>
            </w:r>
            <w:r w:rsidRPr="00150EDC">
              <w:rPr>
                <w:spacing w:val="-6"/>
                <w:sz w:val="20"/>
              </w:rPr>
              <w:t xml:space="preserve"> </w:t>
            </w:r>
            <w:r w:rsidRPr="00150EDC">
              <w:rPr>
                <w:sz w:val="20"/>
              </w:rPr>
              <w:t>Persons</w:t>
            </w:r>
            <w:r w:rsidRPr="00150EDC">
              <w:rPr>
                <w:spacing w:val="-1"/>
                <w:sz w:val="20"/>
              </w:rPr>
              <w:t xml:space="preserve"> </w:t>
            </w:r>
            <w:r w:rsidRPr="00150EDC">
              <w:rPr>
                <w:sz w:val="20"/>
              </w:rPr>
              <w:t>Act</w:t>
            </w:r>
            <w:r w:rsidRPr="00150EDC">
              <w:rPr>
                <w:spacing w:val="-6"/>
                <w:sz w:val="20"/>
              </w:rPr>
              <w:t xml:space="preserve"> </w:t>
            </w:r>
            <w:r w:rsidRPr="00150EDC">
              <w:rPr>
                <w:sz w:val="20"/>
              </w:rPr>
              <w:t>2001,</w:t>
            </w:r>
            <w:r w:rsidRPr="00150EDC">
              <w:rPr>
                <w:spacing w:val="-6"/>
                <w:sz w:val="20"/>
              </w:rPr>
              <w:t xml:space="preserve"> </w:t>
            </w:r>
            <w:r w:rsidRPr="00150EDC">
              <w:rPr>
                <w:spacing w:val="-5"/>
                <w:sz w:val="20"/>
              </w:rPr>
              <w:t>s65</w:t>
            </w:r>
          </w:p>
        </w:tc>
        <w:tc>
          <w:tcPr>
            <w:tcW w:w="7427" w:type="dxa"/>
          </w:tcPr>
          <w:p w14:paraId="54EFE278" w14:textId="77777777" w:rsidR="004C7180" w:rsidRPr="00150EDC" w:rsidRDefault="00CF0754">
            <w:pPr>
              <w:pStyle w:val="TableParagraph"/>
              <w:rPr>
                <w:sz w:val="20"/>
              </w:rPr>
            </w:pPr>
            <w:r w:rsidRPr="00150EDC">
              <w:rPr>
                <w:sz w:val="20"/>
              </w:rPr>
              <w:t>Concerned</w:t>
            </w:r>
            <w:r w:rsidRPr="00150EDC">
              <w:rPr>
                <w:spacing w:val="-5"/>
                <w:sz w:val="20"/>
              </w:rPr>
              <w:t xml:space="preserve"> </w:t>
            </w:r>
            <w:r w:rsidRPr="00150EDC">
              <w:rPr>
                <w:sz w:val="20"/>
              </w:rPr>
              <w:t>in</w:t>
            </w:r>
            <w:r w:rsidRPr="00150EDC">
              <w:rPr>
                <w:spacing w:val="-4"/>
                <w:sz w:val="20"/>
              </w:rPr>
              <w:t xml:space="preserve"> </w:t>
            </w:r>
            <w:r w:rsidRPr="00150EDC">
              <w:rPr>
                <w:sz w:val="20"/>
              </w:rPr>
              <w:t>the</w:t>
            </w:r>
            <w:r w:rsidRPr="00150EDC">
              <w:rPr>
                <w:spacing w:val="-5"/>
                <w:sz w:val="20"/>
              </w:rPr>
              <w:t xml:space="preserve"> </w:t>
            </w:r>
            <w:r w:rsidRPr="00150EDC">
              <w:rPr>
                <w:sz w:val="20"/>
              </w:rPr>
              <w:t>provision</w:t>
            </w:r>
            <w:r w:rsidRPr="00150EDC">
              <w:rPr>
                <w:spacing w:val="-4"/>
                <w:sz w:val="20"/>
              </w:rPr>
              <w:t xml:space="preserve"> </w:t>
            </w:r>
            <w:r w:rsidRPr="00150EDC">
              <w:rPr>
                <w:sz w:val="20"/>
              </w:rPr>
              <w:t>of</w:t>
            </w:r>
            <w:r w:rsidRPr="00150EDC">
              <w:rPr>
                <w:spacing w:val="-5"/>
                <w:sz w:val="20"/>
              </w:rPr>
              <w:t xml:space="preserve"> </w:t>
            </w:r>
            <w:r w:rsidRPr="00150EDC">
              <w:rPr>
                <w:sz w:val="20"/>
              </w:rPr>
              <w:t>child</w:t>
            </w:r>
            <w:r w:rsidRPr="00150EDC">
              <w:rPr>
                <w:spacing w:val="-4"/>
                <w:sz w:val="20"/>
              </w:rPr>
              <w:t xml:space="preserve"> </w:t>
            </w:r>
            <w:r w:rsidRPr="00150EDC">
              <w:rPr>
                <w:sz w:val="20"/>
              </w:rPr>
              <w:t>care</w:t>
            </w:r>
            <w:r w:rsidRPr="00150EDC">
              <w:rPr>
                <w:spacing w:val="-4"/>
                <w:sz w:val="20"/>
              </w:rPr>
              <w:t xml:space="preserve"> </w:t>
            </w:r>
            <w:r w:rsidRPr="00150EDC">
              <w:rPr>
                <w:sz w:val="20"/>
              </w:rPr>
              <w:t>whilst</w:t>
            </w:r>
            <w:r w:rsidRPr="00150EDC">
              <w:rPr>
                <w:spacing w:val="-4"/>
                <w:sz w:val="20"/>
              </w:rPr>
              <w:t xml:space="preserve"> </w:t>
            </w:r>
            <w:r w:rsidRPr="00150EDC">
              <w:rPr>
                <w:spacing w:val="-2"/>
                <w:sz w:val="20"/>
              </w:rPr>
              <w:t>disqualified</w:t>
            </w:r>
          </w:p>
        </w:tc>
      </w:tr>
      <w:tr w:rsidR="004569EE" w:rsidRPr="007D3144" w14:paraId="565C6346" w14:textId="77777777">
        <w:trPr>
          <w:trHeight w:val="255"/>
        </w:trPr>
        <w:tc>
          <w:tcPr>
            <w:tcW w:w="6517" w:type="dxa"/>
          </w:tcPr>
          <w:p w14:paraId="7143C571" w14:textId="77777777" w:rsidR="004C7180" w:rsidRPr="00150EDC" w:rsidRDefault="00CF0754">
            <w:pPr>
              <w:pStyle w:val="TableParagraph"/>
              <w:spacing w:before="28"/>
              <w:rPr>
                <w:sz w:val="20"/>
              </w:rPr>
            </w:pPr>
            <w:r w:rsidRPr="00150EDC">
              <w:rPr>
                <w:sz w:val="20"/>
              </w:rPr>
              <w:t>Children</w:t>
            </w:r>
            <w:r w:rsidRPr="00150EDC">
              <w:rPr>
                <w:spacing w:val="-7"/>
                <w:sz w:val="20"/>
              </w:rPr>
              <w:t xml:space="preserve"> </w:t>
            </w:r>
            <w:r w:rsidRPr="00150EDC">
              <w:rPr>
                <w:sz w:val="20"/>
              </w:rPr>
              <w:t>and</w:t>
            </w:r>
            <w:r w:rsidRPr="00150EDC">
              <w:rPr>
                <w:spacing w:val="-6"/>
                <w:sz w:val="20"/>
              </w:rPr>
              <w:t xml:space="preserve"> </w:t>
            </w:r>
            <w:r w:rsidRPr="00150EDC">
              <w:rPr>
                <w:sz w:val="20"/>
              </w:rPr>
              <w:t>Young</w:t>
            </w:r>
            <w:r w:rsidRPr="00150EDC">
              <w:rPr>
                <w:spacing w:val="-6"/>
                <w:sz w:val="20"/>
              </w:rPr>
              <w:t xml:space="preserve"> </w:t>
            </w:r>
            <w:r w:rsidRPr="00150EDC">
              <w:rPr>
                <w:sz w:val="20"/>
              </w:rPr>
              <w:t>Persons</w:t>
            </w:r>
            <w:r w:rsidRPr="00150EDC">
              <w:rPr>
                <w:spacing w:val="-1"/>
                <w:sz w:val="20"/>
              </w:rPr>
              <w:t xml:space="preserve"> </w:t>
            </w:r>
            <w:r w:rsidRPr="00150EDC">
              <w:rPr>
                <w:sz w:val="20"/>
              </w:rPr>
              <w:t>Act</w:t>
            </w:r>
            <w:r w:rsidRPr="00150EDC">
              <w:rPr>
                <w:spacing w:val="-5"/>
                <w:sz w:val="20"/>
              </w:rPr>
              <w:t xml:space="preserve"> </w:t>
            </w:r>
            <w:r w:rsidRPr="00150EDC">
              <w:rPr>
                <w:sz w:val="20"/>
              </w:rPr>
              <w:t>2001,</w:t>
            </w:r>
            <w:r w:rsidRPr="00150EDC">
              <w:rPr>
                <w:spacing w:val="-6"/>
                <w:sz w:val="20"/>
              </w:rPr>
              <w:t xml:space="preserve"> </w:t>
            </w:r>
            <w:r w:rsidRPr="00150EDC">
              <w:rPr>
                <w:spacing w:val="-5"/>
                <w:sz w:val="20"/>
              </w:rPr>
              <w:t>s98</w:t>
            </w:r>
          </w:p>
        </w:tc>
        <w:tc>
          <w:tcPr>
            <w:tcW w:w="7427" w:type="dxa"/>
          </w:tcPr>
          <w:p w14:paraId="4FFA74B7" w14:textId="77777777" w:rsidR="004C7180" w:rsidRPr="00150EDC" w:rsidRDefault="00CF0754">
            <w:pPr>
              <w:pStyle w:val="TableParagraph"/>
              <w:spacing w:before="28"/>
              <w:rPr>
                <w:sz w:val="20"/>
              </w:rPr>
            </w:pPr>
            <w:r w:rsidRPr="00150EDC">
              <w:rPr>
                <w:spacing w:val="-2"/>
                <w:sz w:val="20"/>
              </w:rPr>
              <w:t>Obstruction</w:t>
            </w:r>
          </w:p>
        </w:tc>
      </w:tr>
    </w:tbl>
    <w:p w14:paraId="3159699E" w14:textId="77777777" w:rsidR="004C7180" w:rsidRPr="00150EDC" w:rsidRDefault="004C7180">
      <w:pPr>
        <w:rPr>
          <w:sz w:val="20"/>
        </w:rPr>
        <w:sectPr w:rsidR="004C7180" w:rsidRPr="00150EDC">
          <w:footerReference w:type="default" r:id="rId126"/>
          <w:pgSz w:w="16840" w:h="11910" w:orient="landscape"/>
          <w:pgMar w:top="1340" w:right="1320" w:bottom="280" w:left="1340" w:header="0" w:footer="0" w:gutter="0"/>
          <w:cols w:space="720"/>
        </w:sectPr>
      </w:pPr>
    </w:p>
    <w:p w14:paraId="4E35AF89" w14:textId="77777777" w:rsidR="004C7180" w:rsidRPr="00150EDC" w:rsidRDefault="004C7180">
      <w:pPr>
        <w:pStyle w:val="BodyText"/>
        <w:spacing w:before="3"/>
        <w:rPr>
          <w:sz w:val="8"/>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517"/>
        <w:gridCol w:w="7427"/>
      </w:tblGrid>
      <w:tr w:rsidR="004569EE" w:rsidRPr="007D3144" w14:paraId="2F2E09CA" w14:textId="77777777">
        <w:trPr>
          <w:trHeight w:val="254"/>
        </w:trPr>
        <w:tc>
          <w:tcPr>
            <w:tcW w:w="6517" w:type="dxa"/>
          </w:tcPr>
          <w:p w14:paraId="7C9BEC23" w14:textId="77777777" w:rsidR="004C7180" w:rsidRPr="00150EDC" w:rsidRDefault="00CF0754">
            <w:pPr>
              <w:pStyle w:val="TableParagraph"/>
              <w:rPr>
                <w:sz w:val="20"/>
              </w:rPr>
            </w:pPr>
            <w:r w:rsidRPr="00150EDC">
              <w:rPr>
                <w:sz w:val="20"/>
              </w:rPr>
              <w:t>Children</w:t>
            </w:r>
            <w:r w:rsidRPr="00150EDC">
              <w:rPr>
                <w:spacing w:val="-9"/>
                <w:sz w:val="20"/>
              </w:rPr>
              <w:t xml:space="preserve"> </w:t>
            </w:r>
            <w:r w:rsidRPr="00150EDC">
              <w:rPr>
                <w:sz w:val="20"/>
              </w:rPr>
              <w:t>and</w:t>
            </w:r>
            <w:r w:rsidRPr="00150EDC">
              <w:rPr>
                <w:spacing w:val="-7"/>
                <w:sz w:val="20"/>
              </w:rPr>
              <w:t xml:space="preserve"> </w:t>
            </w:r>
            <w:r w:rsidRPr="00150EDC">
              <w:rPr>
                <w:sz w:val="20"/>
              </w:rPr>
              <w:t>Young</w:t>
            </w:r>
            <w:r w:rsidRPr="00150EDC">
              <w:rPr>
                <w:spacing w:val="-6"/>
                <w:sz w:val="20"/>
              </w:rPr>
              <w:t xml:space="preserve"> </w:t>
            </w:r>
            <w:r w:rsidRPr="00150EDC">
              <w:rPr>
                <w:sz w:val="20"/>
              </w:rPr>
              <w:t>Persons</w:t>
            </w:r>
            <w:r w:rsidRPr="00150EDC">
              <w:rPr>
                <w:spacing w:val="-1"/>
                <w:sz w:val="20"/>
              </w:rPr>
              <w:t xml:space="preserve"> </w:t>
            </w:r>
            <w:r w:rsidRPr="00150EDC">
              <w:rPr>
                <w:sz w:val="20"/>
              </w:rPr>
              <w:t>Act</w:t>
            </w:r>
            <w:r w:rsidRPr="00150EDC">
              <w:rPr>
                <w:spacing w:val="-6"/>
                <w:sz w:val="20"/>
              </w:rPr>
              <w:t xml:space="preserve"> </w:t>
            </w:r>
            <w:r w:rsidRPr="00150EDC">
              <w:rPr>
                <w:sz w:val="20"/>
              </w:rPr>
              <w:t>2001,</w:t>
            </w:r>
            <w:r w:rsidRPr="00150EDC">
              <w:rPr>
                <w:spacing w:val="-7"/>
                <w:sz w:val="20"/>
              </w:rPr>
              <w:t xml:space="preserve"> </w:t>
            </w:r>
            <w:r w:rsidRPr="00150EDC">
              <w:rPr>
                <w:sz w:val="20"/>
              </w:rPr>
              <w:t>schedule</w:t>
            </w:r>
            <w:r w:rsidRPr="00150EDC">
              <w:rPr>
                <w:spacing w:val="-5"/>
                <w:sz w:val="20"/>
              </w:rPr>
              <w:t xml:space="preserve"> </w:t>
            </w:r>
            <w:r w:rsidRPr="00150EDC">
              <w:rPr>
                <w:sz w:val="20"/>
              </w:rPr>
              <w:t>6,</w:t>
            </w:r>
            <w:r w:rsidRPr="00150EDC">
              <w:rPr>
                <w:spacing w:val="-2"/>
                <w:sz w:val="20"/>
              </w:rPr>
              <w:t xml:space="preserve"> </w:t>
            </w:r>
            <w:r w:rsidRPr="00150EDC">
              <w:rPr>
                <w:sz w:val="20"/>
              </w:rPr>
              <w:t>para</w:t>
            </w:r>
            <w:r w:rsidRPr="00150EDC">
              <w:rPr>
                <w:spacing w:val="2"/>
                <w:sz w:val="20"/>
              </w:rPr>
              <w:t xml:space="preserve"> </w:t>
            </w:r>
            <w:r w:rsidRPr="00150EDC">
              <w:rPr>
                <w:spacing w:val="-10"/>
                <w:sz w:val="20"/>
              </w:rPr>
              <w:t>3</w:t>
            </w:r>
          </w:p>
        </w:tc>
        <w:tc>
          <w:tcPr>
            <w:tcW w:w="7427" w:type="dxa"/>
          </w:tcPr>
          <w:p w14:paraId="04BF04F6" w14:textId="77777777" w:rsidR="004C7180" w:rsidRPr="00150EDC" w:rsidRDefault="00CF0754">
            <w:pPr>
              <w:pStyle w:val="TableParagraph"/>
              <w:rPr>
                <w:sz w:val="20"/>
              </w:rPr>
            </w:pPr>
            <w:r w:rsidRPr="00150EDC">
              <w:rPr>
                <w:sz w:val="20"/>
              </w:rPr>
              <w:t>Carry</w:t>
            </w:r>
            <w:r w:rsidRPr="00150EDC">
              <w:rPr>
                <w:spacing w:val="-5"/>
                <w:sz w:val="20"/>
              </w:rPr>
              <w:t xml:space="preserve"> </w:t>
            </w:r>
            <w:r w:rsidRPr="00150EDC">
              <w:rPr>
                <w:sz w:val="20"/>
              </w:rPr>
              <w:t>on</w:t>
            </w:r>
            <w:r w:rsidRPr="00150EDC">
              <w:rPr>
                <w:spacing w:val="-5"/>
                <w:sz w:val="20"/>
              </w:rPr>
              <w:t xml:space="preserve"> </w:t>
            </w:r>
            <w:r w:rsidRPr="00150EDC">
              <w:rPr>
                <w:sz w:val="20"/>
              </w:rPr>
              <w:t>children's</w:t>
            </w:r>
            <w:r w:rsidRPr="00150EDC">
              <w:rPr>
                <w:spacing w:val="-5"/>
                <w:sz w:val="20"/>
              </w:rPr>
              <w:t xml:space="preserve"> </w:t>
            </w:r>
            <w:r w:rsidRPr="00150EDC">
              <w:rPr>
                <w:sz w:val="20"/>
              </w:rPr>
              <w:t>home</w:t>
            </w:r>
            <w:r w:rsidRPr="00150EDC">
              <w:rPr>
                <w:spacing w:val="-5"/>
                <w:sz w:val="20"/>
              </w:rPr>
              <w:t xml:space="preserve"> </w:t>
            </w:r>
            <w:r w:rsidRPr="00150EDC">
              <w:rPr>
                <w:sz w:val="20"/>
              </w:rPr>
              <w:t>in</w:t>
            </w:r>
            <w:r w:rsidRPr="00150EDC">
              <w:rPr>
                <w:spacing w:val="-5"/>
                <w:sz w:val="20"/>
              </w:rPr>
              <w:t xml:space="preserve"> </w:t>
            </w:r>
            <w:r w:rsidRPr="00150EDC">
              <w:rPr>
                <w:sz w:val="20"/>
              </w:rPr>
              <w:t>contravention</w:t>
            </w:r>
            <w:r w:rsidRPr="00150EDC">
              <w:rPr>
                <w:spacing w:val="-6"/>
                <w:sz w:val="20"/>
              </w:rPr>
              <w:t xml:space="preserve"> </w:t>
            </w:r>
            <w:r w:rsidRPr="00150EDC">
              <w:rPr>
                <w:sz w:val="20"/>
              </w:rPr>
              <w:t>of</w:t>
            </w:r>
            <w:r w:rsidRPr="00150EDC">
              <w:rPr>
                <w:spacing w:val="-5"/>
                <w:sz w:val="20"/>
              </w:rPr>
              <w:t xml:space="preserve"> </w:t>
            </w:r>
            <w:r w:rsidRPr="00150EDC">
              <w:rPr>
                <w:spacing w:val="-2"/>
                <w:sz w:val="20"/>
              </w:rPr>
              <w:t>conditions</w:t>
            </w:r>
          </w:p>
        </w:tc>
      </w:tr>
      <w:tr w:rsidR="004569EE" w:rsidRPr="007D3144" w14:paraId="2D90C134" w14:textId="77777777">
        <w:trPr>
          <w:trHeight w:val="255"/>
        </w:trPr>
        <w:tc>
          <w:tcPr>
            <w:tcW w:w="6517" w:type="dxa"/>
          </w:tcPr>
          <w:p w14:paraId="143A5B9C" w14:textId="77777777" w:rsidR="004C7180" w:rsidRPr="00150EDC" w:rsidRDefault="00CF0754">
            <w:pPr>
              <w:pStyle w:val="TableParagraph"/>
              <w:spacing w:before="28"/>
              <w:rPr>
                <w:sz w:val="20"/>
              </w:rPr>
            </w:pPr>
            <w:r w:rsidRPr="00150EDC">
              <w:rPr>
                <w:sz w:val="20"/>
              </w:rPr>
              <w:t>Children</w:t>
            </w:r>
            <w:r w:rsidRPr="00150EDC">
              <w:rPr>
                <w:spacing w:val="-9"/>
                <w:sz w:val="20"/>
              </w:rPr>
              <w:t xml:space="preserve"> </w:t>
            </w:r>
            <w:r w:rsidRPr="00150EDC">
              <w:rPr>
                <w:sz w:val="20"/>
              </w:rPr>
              <w:t>and</w:t>
            </w:r>
            <w:r w:rsidRPr="00150EDC">
              <w:rPr>
                <w:spacing w:val="-7"/>
                <w:sz w:val="20"/>
              </w:rPr>
              <w:t xml:space="preserve"> </w:t>
            </w:r>
            <w:r w:rsidRPr="00150EDC">
              <w:rPr>
                <w:sz w:val="20"/>
              </w:rPr>
              <w:t>Young</w:t>
            </w:r>
            <w:r w:rsidRPr="00150EDC">
              <w:rPr>
                <w:spacing w:val="-6"/>
                <w:sz w:val="20"/>
              </w:rPr>
              <w:t xml:space="preserve"> </w:t>
            </w:r>
            <w:r w:rsidRPr="00150EDC">
              <w:rPr>
                <w:sz w:val="20"/>
              </w:rPr>
              <w:t>Persons</w:t>
            </w:r>
            <w:r w:rsidRPr="00150EDC">
              <w:rPr>
                <w:spacing w:val="-1"/>
                <w:sz w:val="20"/>
              </w:rPr>
              <w:t xml:space="preserve"> </w:t>
            </w:r>
            <w:r w:rsidRPr="00150EDC">
              <w:rPr>
                <w:sz w:val="20"/>
              </w:rPr>
              <w:t>Act</w:t>
            </w:r>
            <w:r w:rsidRPr="00150EDC">
              <w:rPr>
                <w:spacing w:val="-6"/>
                <w:sz w:val="20"/>
              </w:rPr>
              <w:t xml:space="preserve"> </w:t>
            </w:r>
            <w:r w:rsidRPr="00150EDC">
              <w:rPr>
                <w:sz w:val="20"/>
              </w:rPr>
              <w:t>2001,</w:t>
            </w:r>
            <w:r w:rsidRPr="00150EDC">
              <w:rPr>
                <w:spacing w:val="-7"/>
                <w:sz w:val="20"/>
              </w:rPr>
              <w:t xml:space="preserve"> </w:t>
            </w:r>
            <w:r w:rsidRPr="00150EDC">
              <w:rPr>
                <w:sz w:val="20"/>
              </w:rPr>
              <w:t>schedule</w:t>
            </w:r>
            <w:r w:rsidRPr="00150EDC">
              <w:rPr>
                <w:spacing w:val="-5"/>
                <w:sz w:val="20"/>
              </w:rPr>
              <w:t xml:space="preserve"> </w:t>
            </w:r>
            <w:r w:rsidRPr="00150EDC">
              <w:rPr>
                <w:sz w:val="20"/>
              </w:rPr>
              <w:t>6,</w:t>
            </w:r>
            <w:r w:rsidRPr="00150EDC">
              <w:rPr>
                <w:spacing w:val="-2"/>
                <w:sz w:val="20"/>
              </w:rPr>
              <w:t xml:space="preserve"> </w:t>
            </w:r>
            <w:r w:rsidRPr="00150EDC">
              <w:rPr>
                <w:sz w:val="20"/>
              </w:rPr>
              <w:t>para</w:t>
            </w:r>
            <w:r w:rsidRPr="00150EDC">
              <w:rPr>
                <w:spacing w:val="2"/>
                <w:sz w:val="20"/>
              </w:rPr>
              <w:t xml:space="preserve"> </w:t>
            </w:r>
            <w:r w:rsidRPr="00150EDC">
              <w:rPr>
                <w:spacing w:val="-10"/>
                <w:sz w:val="20"/>
              </w:rPr>
              <w:t>7</w:t>
            </w:r>
          </w:p>
        </w:tc>
        <w:tc>
          <w:tcPr>
            <w:tcW w:w="7427" w:type="dxa"/>
          </w:tcPr>
          <w:p w14:paraId="1DD91F41" w14:textId="77777777" w:rsidR="004C7180" w:rsidRPr="00150EDC" w:rsidRDefault="00CF0754">
            <w:pPr>
              <w:pStyle w:val="TableParagraph"/>
              <w:spacing w:before="28"/>
              <w:rPr>
                <w:sz w:val="20"/>
              </w:rPr>
            </w:pPr>
            <w:r w:rsidRPr="00150EDC">
              <w:rPr>
                <w:sz w:val="20"/>
              </w:rPr>
              <w:t>Fail</w:t>
            </w:r>
            <w:r w:rsidRPr="00150EDC">
              <w:rPr>
                <w:spacing w:val="-3"/>
                <w:sz w:val="20"/>
              </w:rPr>
              <w:t xml:space="preserve"> </w:t>
            </w:r>
            <w:r w:rsidRPr="00150EDC">
              <w:rPr>
                <w:sz w:val="20"/>
              </w:rPr>
              <w:t>to</w:t>
            </w:r>
            <w:r w:rsidRPr="00150EDC">
              <w:rPr>
                <w:spacing w:val="-4"/>
                <w:sz w:val="20"/>
              </w:rPr>
              <w:t xml:space="preserve"> </w:t>
            </w:r>
            <w:r w:rsidRPr="00150EDC">
              <w:rPr>
                <w:sz w:val="20"/>
              </w:rPr>
              <w:t>display</w:t>
            </w:r>
            <w:r w:rsidRPr="00150EDC">
              <w:rPr>
                <w:spacing w:val="-4"/>
                <w:sz w:val="20"/>
              </w:rPr>
              <w:t xml:space="preserve"> </w:t>
            </w:r>
            <w:r w:rsidRPr="00150EDC">
              <w:rPr>
                <w:sz w:val="20"/>
              </w:rPr>
              <w:t>certificate</w:t>
            </w:r>
            <w:r w:rsidRPr="00150EDC">
              <w:rPr>
                <w:spacing w:val="-5"/>
                <w:sz w:val="20"/>
              </w:rPr>
              <w:t xml:space="preserve"> </w:t>
            </w:r>
            <w:r w:rsidRPr="00150EDC">
              <w:rPr>
                <w:sz w:val="20"/>
              </w:rPr>
              <w:t xml:space="preserve">of </w:t>
            </w:r>
            <w:r w:rsidRPr="00150EDC">
              <w:rPr>
                <w:spacing w:val="-2"/>
                <w:sz w:val="20"/>
              </w:rPr>
              <w:t>registration</w:t>
            </w:r>
          </w:p>
        </w:tc>
      </w:tr>
      <w:tr w:rsidR="004569EE" w:rsidRPr="007D3144" w14:paraId="0AD28B89" w14:textId="77777777">
        <w:trPr>
          <w:trHeight w:val="255"/>
        </w:trPr>
        <w:tc>
          <w:tcPr>
            <w:tcW w:w="6517" w:type="dxa"/>
          </w:tcPr>
          <w:p w14:paraId="2550B166" w14:textId="77777777" w:rsidR="004C7180" w:rsidRPr="00150EDC" w:rsidRDefault="00CF0754">
            <w:pPr>
              <w:pStyle w:val="TableParagraph"/>
              <w:rPr>
                <w:sz w:val="20"/>
              </w:rPr>
            </w:pPr>
            <w:r w:rsidRPr="00150EDC">
              <w:rPr>
                <w:sz w:val="20"/>
              </w:rPr>
              <w:t>Children</w:t>
            </w:r>
            <w:r w:rsidRPr="00150EDC">
              <w:rPr>
                <w:spacing w:val="-9"/>
                <w:sz w:val="20"/>
              </w:rPr>
              <w:t xml:space="preserve"> </w:t>
            </w:r>
            <w:r w:rsidRPr="00150EDC">
              <w:rPr>
                <w:sz w:val="20"/>
              </w:rPr>
              <w:t>and</w:t>
            </w:r>
            <w:r w:rsidRPr="00150EDC">
              <w:rPr>
                <w:spacing w:val="-5"/>
                <w:sz w:val="20"/>
              </w:rPr>
              <w:t xml:space="preserve"> </w:t>
            </w:r>
            <w:r w:rsidRPr="00150EDC">
              <w:rPr>
                <w:sz w:val="20"/>
              </w:rPr>
              <w:t>Young</w:t>
            </w:r>
            <w:r w:rsidRPr="00150EDC">
              <w:rPr>
                <w:spacing w:val="-7"/>
                <w:sz w:val="20"/>
              </w:rPr>
              <w:t xml:space="preserve"> </w:t>
            </w:r>
            <w:r w:rsidRPr="00150EDC">
              <w:rPr>
                <w:sz w:val="20"/>
              </w:rPr>
              <w:t>Persons</w:t>
            </w:r>
            <w:r w:rsidRPr="00150EDC">
              <w:rPr>
                <w:spacing w:val="-1"/>
                <w:sz w:val="20"/>
              </w:rPr>
              <w:t xml:space="preserve"> </w:t>
            </w:r>
            <w:r w:rsidRPr="00150EDC">
              <w:rPr>
                <w:sz w:val="20"/>
              </w:rPr>
              <w:t>Act</w:t>
            </w:r>
            <w:r w:rsidRPr="00150EDC">
              <w:rPr>
                <w:spacing w:val="-5"/>
                <w:sz w:val="20"/>
              </w:rPr>
              <w:t xml:space="preserve"> </w:t>
            </w:r>
            <w:r w:rsidRPr="00150EDC">
              <w:rPr>
                <w:sz w:val="20"/>
              </w:rPr>
              <w:t>2001,</w:t>
            </w:r>
            <w:r w:rsidRPr="00150EDC">
              <w:rPr>
                <w:spacing w:val="-7"/>
                <w:sz w:val="20"/>
              </w:rPr>
              <w:t xml:space="preserve"> </w:t>
            </w:r>
            <w:r w:rsidRPr="00150EDC">
              <w:rPr>
                <w:sz w:val="20"/>
              </w:rPr>
              <w:t>schedule</w:t>
            </w:r>
            <w:r w:rsidRPr="00150EDC">
              <w:rPr>
                <w:spacing w:val="-5"/>
                <w:sz w:val="20"/>
              </w:rPr>
              <w:t xml:space="preserve"> </w:t>
            </w:r>
            <w:r w:rsidRPr="00150EDC">
              <w:rPr>
                <w:sz w:val="20"/>
              </w:rPr>
              <w:t>7,</w:t>
            </w:r>
            <w:r w:rsidRPr="00150EDC">
              <w:rPr>
                <w:spacing w:val="-2"/>
                <w:sz w:val="20"/>
              </w:rPr>
              <w:t xml:space="preserve"> </w:t>
            </w:r>
            <w:r w:rsidRPr="00150EDC">
              <w:rPr>
                <w:sz w:val="20"/>
              </w:rPr>
              <w:t>para</w:t>
            </w:r>
            <w:r w:rsidRPr="00150EDC">
              <w:rPr>
                <w:spacing w:val="2"/>
                <w:sz w:val="20"/>
              </w:rPr>
              <w:t xml:space="preserve"> </w:t>
            </w:r>
            <w:r w:rsidRPr="00150EDC">
              <w:rPr>
                <w:spacing w:val="-10"/>
                <w:sz w:val="20"/>
              </w:rPr>
              <w:t>3</w:t>
            </w:r>
          </w:p>
        </w:tc>
        <w:tc>
          <w:tcPr>
            <w:tcW w:w="7427" w:type="dxa"/>
          </w:tcPr>
          <w:p w14:paraId="23B250CD" w14:textId="77777777" w:rsidR="004C7180" w:rsidRPr="00150EDC" w:rsidRDefault="00CF0754">
            <w:pPr>
              <w:pStyle w:val="TableParagraph"/>
              <w:rPr>
                <w:sz w:val="20"/>
              </w:rPr>
            </w:pPr>
            <w:r w:rsidRPr="00150EDC">
              <w:rPr>
                <w:sz w:val="20"/>
              </w:rPr>
              <w:t>Child-minder,</w:t>
            </w:r>
            <w:r w:rsidRPr="00150EDC">
              <w:rPr>
                <w:spacing w:val="-7"/>
                <w:sz w:val="20"/>
              </w:rPr>
              <w:t xml:space="preserve"> </w:t>
            </w:r>
            <w:r w:rsidRPr="00150EDC">
              <w:rPr>
                <w:sz w:val="20"/>
              </w:rPr>
              <w:t>day care</w:t>
            </w:r>
            <w:r w:rsidRPr="00150EDC">
              <w:rPr>
                <w:spacing w:val="-1"/>
                <w:sz w:val="20"/>
              </w:rPr>
              <w:t xml:space="preserve"> </w:t>
            </w:r>
            <w:r w:rsidRPr="00150EDC">
              <w:rPr>
                <w:sz w:val="20"/>
              </w:rPr>
              <w:t>provider</w:t>
            </w:r>
            <w:r w:rsidRPr="00150EDC">
              <w:rPr>
                <w:spacing w:val="-6"/>
                <w:sz w:val="20"/>
              </w:rPr>
              <w:t xml:space="preserve"> </w:t>
            </w:r>
            <w:r w:rsidRPr="00150EDC">
              <w:rPr>
                <w:sz w:val="20"/>
              </w:rPr>
              <w:t>in</w:t>
            </w:r>
            <w:r w:rsidRPr="00150EDC">
              <w:rPr>
                <w:spacing w:val="-2"/>
                <w:sz w:val="20"/>
              </w:rPr>
              <w:t xml:space="preserve"> </w:t>
            </w:r>
            <w:r w:rsidRPr="00150EDC">
              <w:rPr>
                <w:sz w:val="20"/>
              </w:rPr>
              <w:t>breach</w:t>
            </w:r>
            <w:r w:rsidRPr="00150EDC">
              <w:rPr>
                <w:spacing w:val="-6"/>
                <w:sz w:val="20"/>
              </w:rPr>
              <w:t xml:space="preserve"> </w:t>
            </w:r>
            <w:r w:rsidRPr="00150EDC">
              <w:rPr>
                <w:sz w:val="20"/>
              </w:rPr>
              <w:t>of</w:t>
            </w:r>
            <w:r w:rsidRPr="00150EDC">
              <w:rPr>
                <w:spacing w:val="-7"/>
                <w:sz w:val="20"/>
              </w:rPr>
              <w:t xml:space="preserve"> </w:t>
            </w:r>
            <w:r w:rsidRPr="00150EDC">
              <w:rPr>
                <w:sz w:val="20"/>
              </w:rPr>
              <w:t>certificate</w:t>
            </w:r>
            <w:r w:rsidRPr="00150EDC">
              <w:rPr>
                <w:spacing w:val="-1"/>
                <w:sz w:val="20"/>
              </w:rPr>
              <w:t xml:space="preserve"> </w:t>
            </w:r>
            <w:r w:rsidRPr="00150EDC">
              <w:rPr>
                <w:sz w:val="20"/>
              </w:rPr>
              <w:t>of</w:t>
            </w:r>
            <w:r w:rsidRPr="00150EDC">
              <w:rPr>
                <w:spacing w:val="-2"/>
                <w:sz w:val="20"/>
              </w:rPr>
              <w:t xml:space="preserve"> registration</w:t>
            </w:r>
          </w:p>
        </w:tc>
      </w:tr>
      <w:tr w:rsidR="004569EE" w:rsidRPr="007D3144" w14:paraId="489941D6" w14:textId="77777777">
        <w:trPr>
          <w:trHeight w:val="460"/>
        </w:trPr>
        <w:tc>
          <w:tcPr>
            <w:tcW w:w="6517" w:type="dxa"/>
          </w:tcPr>
          <w:p w14:paraId="4A3FD00D" w14:textId="77777777" w:rsidR="004C7180" w:rsidRPr="00150EDC" w:rsidRDefault="004C7180">
            <w:pPr>
              <w:pStyle w:val="TableParagraph"/>
              <w:spacing w:before="2" w:line="240" w:lineRule="auto"/>
              <w:ind w:left="0"/>
              <w:rPr>
                <w:sz w:val="20"/>
              </w:rPr>
            </w:pPr>
          </w:p>
          <w:p w14:paraId="0D1D4EEE" w14:textId="77777777" w:rsidR="004C7180" w:rsidRPr="00150EDC" w:rsidRDefault="00CF0754">
            <w:pPr>
              <w:pStyle w:val="TableParagraph"/>
              <w:spacing w:before="0"/>
              <w:rPr>
                <w:sz w:val="20"/>
              </w:rPr>
            </w:pPr>
            <w:r w:rsidRPr="00150EDC">
              <w:rPr>
                <w:sz w:val="20"/>
              </w:rPr>
              <w:t>Children’s</w:t>
            </w:r>
            <w:r w:rsidRPr="00150EDC">
              <w:rPr>
                <w:spacing w:val="-7"/>
                <w:sz w:val="20"/>
              </w:rPr>
              <w:t xml:space="preserve"> </w:t>
            </w:r>
            <w:r w:rsidRPr="00150EDC">
              <w:rPr>
                <w:sz w:val="20"/>
              </w:rPr>
              <w:t>Hearings</w:t>
            </w:r>
            <w:r w:rsidRPr="00150EDC">
              <w:rPr>
                <w:spacing w:val="-7"/>
                <w:sz w:val="20"/>
              </w:rPr>
              <w:t xml:space="preserve"> </w:t>
            </w:r>
            <w:r w:rsidRPr="00150EDC">
              <w:rPr>
                <w:sz w:val="20"/>
              </w:rPr>
              <w:t>(Scotland)</w:t>
            </w:r>
            <w:r w:rsidRPr="00150EDC">
              <w:rPr>
                <w:spacing w:val="-4"/>
                <w:sz w:val="20"/>
              </w:rPr>
              <w:t xml:space="preserve"> </w:t>
            </w:r>
            <w:r w:rsidRPr="00150EDC">
              <w:rPr>
                <w:sz w:val="20"/>
              </w:rPr>
              <w:t>Act</w:t>
            </w:r>
            <w:r w:rsidRPr="00150EDC">
              <w:rPr>
                <w:spacing w:val="-7"/>
                <w:sz w:val="20"/>
              </w:rPr>
              <w:t xml:space="preserve"> </w:t>
            </w:r>
            <w:r w:rsidRPr="00150EDC">
              <w:rPr>
                <w:sz w:val="20"/>
              </w:rPr>
              <w:t>2011,</w:t>
            </w:r>
            <w:r w:rsidRPr="00150EDC">
              <w:rPr>
                <w:spacing w:val="-8"/>
                <w:sz w:val="20"/>
              </w:rPr>
              <w:t xml:space="preserve"> </w:t>
            </w:r>
            <w:r w:rsidRPr="00150EDC">
              <w:rPr>
                <w:spacing w:val="-4"/>
                <w:sz w:val="20"/>
              </w:rPr>
              <w:t>s171</w:t>
            </w:r>
          </w:p>
        </w:tc>
        <w:tc>
          <w:tcPr>
            <w:tcW w:w="7427" w:type="dxa"/>
          </w:tcPr>
          <w:p w14:paraId="3869A986" w14:textId="77777777" w:rsidR="004C7180" w:rsidRPr="00150EDC" w:rsidRDefault="00CF0754">
            <w:pPr>
              <w:pStyle w:val="TableParagraph"/>
              <w:spacing w:before="0" w:line="230" w:lineRule="atLeast"/>
              <w:ind w:right="186"/>
              <w:rPr>
                <w:sz w:val="20"/>
              </w:rPr>
            </w:pPr>
            <w:r w:rsidRPr="00150EDC">
              <w:rPr>
                <w:sz w:val="20"/>
              </w:rPr>
              <w:t>Assist,</w:t>
            </w:r>
            <w:r w:rsidRPr="00150EDC">
              <w:rPr>
                <w:spacing w:val="-5"/>
                <w:sz w:val="20"/>
              </w:rPr>
              <w:t xml:space="preserve"> </w:t>
            </w:r>
            <w:r w:rsidRPr="00150EDC">
              <w:rPr>
                <w:sz w:val="20"/>
              </w:rPr>
              <w:t>induce,</w:t>
            </w:r>
            <w:r w:rsidRPr="00150EDC">
              <w:rPr>
                <w:spacing w:val="-5"/>
                <w:sz w:val="20"/>
              </w:rPr>
              <w:t xml:space="preserve"> </w:t>
            </w:r>
            <w:r w:rsidRPr="00150EDC">
              <w:rPr>
                <w:sz w:val="20"/>
              </w:rPr>
              <w:t>harbour</w:t>
            </w:r>
            <w:r w:rsidRPr="00150EDC">
              <w:rPr>
                <w:spacing w:val="-5"/>
                <w:sz w:val="20"/>
              </w:rPr>
              <w:t xml:space="preserve"> </w:t>
            </w:r>
            <w:r w:rsidRPr="00150EDC">
              <w:rPr>
                <w:sz w:val="20"/>
              </w:rPr>
              <w:t>or</w:t>
            </w:r>
            <w:r w:rsidRPr="00150EDC">
              <w:rPr>
                <w:spacing w:val="-5"/>
                <w:sz w:val="20"/>
              </w:rPr>
              <w:t xml:space="preserve"> </w:t>
            </w:r>
            <w:r w:rsidRPr="00150EDC">
              <w:rPr>
                <w:sz w:val="20"/>
              </w:rPr>
              <w:t>conceal</w:t>
            </w:r>
            <w:r w:rsidRPr="00150EDC">
              <w:rPr>
                <w:spacing w:val="-3"/>
                <w:sz w:val="20"/>
              </w:rPr>
              <w:t xml:space="preserve"> </w:t>
            </w:r>
            <w:r w:rsidRPr="00150EDC">
              <w:rPr>
                <w:sz w:val="20"/>
              </w:rPr>
              <w:t>a</w:t>
            </w:r>
            <w:r w:rsidRPr="00150EDC">
              <w:rPr>
                <w:spacing w:val="-5"/>
                <w:sz w:val="20"/>
              </w:rPr>
              <w:t xml:space="preserve"> </w:t>
            </w:r>
            <w:r w:rsidRPr="00150EDC">
              <w:rPr>
                <w:sz w:val="20"/>
              </w:rPr>
              <w:t>child to</w:t>
            </w:r>
            <w:r w:rsidRPr="00150EDC">
              <w:rPr>
                <w:spacing w:val="-5"/>
                <w:sz w:val="20"/>
              </w:rPr>
              <w:t xml:space="preserve"> </w:t>
            </w:r>
            <w:r w:rsidRPr="00150EDC">
              <w:rPr>
                <w:sz w:val="20"/>
              </w:rPr>
              <w:t>abscond</w:t>
            </w:r>
            <w:r w:rsidRPr="00150EDC">
              <w:rPr>
                <w:spacing w:val="-5"/>
                <w:sz w:val="20"/>
              </w:rPr>
              <w:t xml:space="preserve"> </w:t>
            </w:r>
            <w:r w:rsidRPr="00150EDC">
              <w:rPr>
                <w:sz w:val="20"/>
              </w:rPr>
              <w:t>or</w:t>
            </w:r>
            <w:r w:rsidRPr="00150EDC">
              <w:rPr>
                <w:spacing w:val="-5"/>
                <w:sz w:val="20"/>
              </w:rPr>
              <w:t xml:space="preserve"> </w:t>
            </w:r>
            <w:r w:rsidRPr="00150EDC">
              <w:rPr>
                <w:sz w:val="20"/>
              </w:rPr>
              <w:t>prevent</w:t>
            </w:r>
            <w:r w:rsidRPr="00150EDC">
              <w:rPr>
                <w:spacing w:val="-5"/>
                <w:sz w:val="20"/>
              </w:rPr>
              <w:t xml:space="preserve"> </w:t>
            </w:r>
            <w:r w:rsidRPr="00150EDC">
              <w:rPr>
                <w:sz w:val="20"/>
              </w:rPr>
              <w:t>them</w:t>
            </w:r>
            <w:r w:rsidRPr="00150EDC">
              <w:rPr>
                <w:spacing w:val="-5"/>
                <w:sz w:val="20"/>
              </w:rPr>
              <w:t xml:space="preserve"> </w:t>
            </w:r>
            <w:r w:rsidRPr="00150EDC">
              <w:rPr>
                <w:sz w:val="20"/>
              </w:rPr>
              <w:t xml:space="preserve">from </w:t>
            </w:r>
            <w:r w:rsidRPr="00150EDC">
              <w:rPr>
                <w:spacing w:val="-2"/>
                <w:sz w:val="20"/>
              </w:rPr>
              <w:t>returning</w:t>
            </w:r>
          </w:p>
        </w:tc>
      </w:tr>
      <w:tr w:rsidR="004569EE" w:rsidRPr="007D3144" w14:paraId="12B0D559" w14:textId="77777777">
        <w:trPr>
          <w:trHeight w:val="255"/>
        </w:trPr>
        <w:tc>
          <w:tcPr>
            <w:tcW w:w="6517" w:type="dxa"/>
          </w:tcPr>
          <w:p w14:paraId="3A7F8583" w14:textId="77777777" w:rsidR="004C7180" w:rsidRPr="00150EDC" w:rsidRDefault="00CF0754">
            <w:pPr>
              <w:pStyle w:val="TableParagraph"/>
              <w:spacing w:before="28"/>
              <w:rPr>
                <w:sz w:val="20"/>
              </w:rPr>
            </w:pPr>
            <w:r w:rsidRPr="00150EDC">
              <w:rPr>
                <w:sz w:val="20"/>
              </w:rPr>
              <w:t>Civic</w:t>
            </w:r>
            <w:r w:rsidRPr="00150EDC">
              <w:rPr>
                <w:spacing w:val="-7"/>
                <w:sz w:val="20"/>
              </w:rPr>
              <w:t xml:space="preserve"> </w:t>
            </w:r>
            <w:r w:rsidRPr="00150EDC">
              <w:rPr>
                <w:sz w:val="20"/>
              </w:rPr>
              <w:t>Government</w:t>
            </w:r>
            <w:r w:rsidRPr="00150EDC">
              <w:rPr>
                <w:spacing w:val="-8"/>
                <w:sz w:val="20"/>
              </w:rPr>
              <w:t xml:space="preserve"> </w:t>
            </w:r>
            <w:r w:rsidRPr="00150EDC">
              <w:rPr>
                <w:sz w:val="20"/>
              </w:rPr>
              <w:t>(Scotland)</w:t>
            </w:r>
            <w:r w:rsidRPr="00150EDC">
              <w:rPr>
                <w:spacing w:val="-8"/>
                <w:sz w:val="20"/>
              </w:rPr>
              <w:t xml:space="preserve"> </w:t>
            </w:r>
            <w:r w:rsidRPr="00150EDC">
              <w:rPr>
                <w:sz w:val="20"/>
              </w:rPr>
              <w:t>Act</w:t>
            </w:r>
            <w:r w:rsidRPr="00150EDC">
              <w:rPr>
                <w:spacing w:val="-4"/>
                <w:sz w:val="20"/>
              </w:rPr>
              <w:t xml:space="preserve"> </w:t>
            </w:r>
            <w:r w:rsidRPr="00150EDC">
              <w:rPr>
                <w:sz w:val="20"/>
              </w:rPr>
              <w:t>1982,</w:t>
            </w:r>
            <w:r w:rsidRPr="00150EDC">
              <w:rPr>
                <w:spacing w:val="-2"/>
                <w:sz w:val="20"/>
              </w:rPr>
              <w:t xml:space="preserve"> s46(1)</w:t>
            </w:r>
          </w:p>
        </w:tc>
        <w:tc>
          <w:tcPr>
            <w:tcW w:w="7427" w:type="dxa"/>
          </w:tcPr>
          <w:p w14:paraId="4931B31A" w14:textId="77777777" w:rsidR="004C7180" w:rsidRPr="00150EDC" w:rsidRDefault="00CF0754">
            <w:pPr>
              <w:pStyle w:val="TableParagraph"/>
              <w:spacing w:before="28"/>
              <w:rPr>
                <w:sz w:val="20"/>
              </w:rPr>
            </w:pPr>
            <w:r w:rsidRPr="00150EDC">
              <w:rPr>
                <w:sz w:val="20"/>
              </w:rPr>
              <w:t>Soliciting</w:t>
            </w:r>
            <w:r w:rsidRPr="00150EDC">
              <w:rPr>
                <w:spacing w:val="-8"/>
                <w:sz w:val="20"/>
              </w:rPr>
              <w:t xml:space="preserve"> </w:t>
            </w:r>
            <w:r w:rsidRPr="00150EDC">
              <w:rPr>
                <w:sz w:val="20"/>
              </w:rPr>
              <w:t>and</w:t>
            </w:r>
            <w:r w:rsidRPr="00150EDC">
              <w:rPr>
                <w:spacing w:val="-7"/>
                <w:sz w:val="20"/>
              </w:rPr>
              <w:t xml:space="preserve"> </w:t>
            </w:r>
            <w:r w:rsidRPr="00150EDC">
              <w:rPr>
                <w:spacing w:val="-2"/>
                <w:sz w:val="20"/>
              </w:rPr>
              <w:t>importuning</w:t>
            </w:r>
          </w:p>
        </w:tc>
      </w:tr>
      <w:tr w:rsidR="004569EE" w:rsidRPr="007D3144" w14:paraId="3FA01BC8" w14:textId="77777777">
        <w:trPr>
          <w:trHeight w:val="255"/>
        </w:trPr>
        <w:tc>
          <w:tcPr>
            <w:tcW w:w="6517" w:type="dxa"/>
          </w:tcPr>
          <w:p w14:paraId="24F57633" w14:textId="77777777" w:rsidR="004C7180" w:rsidRPr="00150EDC" w:rsidRDefault="00CF0754">
            <w:pPr>
              <w:pStyle w:val="TableParagraph"/>
              <w:rPr>
                <w:sz w:val="20"/>
              </w:rPr>
            </w:pPr>
            <w:r w:rsidRPr="00150EDC">
              <w:rPr>
                <w:sz w:val="20"/>
              </w:rPr>
              <w:t>Civic</w:t>
            </w:r>
            <w:r w:rsidRPr="00150EDC">
              <w:rPr>
                <w:spacing w:val="-7"/>
                <w:sz w:val="20"/>
              </w:rPr>
              <w:t xml:space="preserve"> </w:t>
            </w:r>
            <w:r w:rsidRPr="00150EDC">
              <w:rPr>
                <w:sz w:val="20"/>
              </w:rPr>
              <w:t>Government</w:t>
            </w:r>
            <w:r w:rsidRPr="00150EDC">
              <w:rPr>
                <w:spacing w:val="-8"/>
                <w:sz w:val="20"/>
              </w:rPr>
              <w:t xml:space="preserve"> </w:t>
            </w:r>
            <w:r w:rsidRPr="00150EDC">
              <w:rPr>
                <w:sz w:val="20"/>
              </w:rPr>
              <w:t>(Scotland)</w:t>
            </w:r>
            <w:r w:rsidRPr="00150EDC">
              <w:rPr>
                <w:spacing w:val="-9"/>
                <w:sz w:val="20"/>
              </w:rPr>
              <w:t xml:space="preserve"> </w:t>
            </w:r>
            <w:r w:rsidRPr="00150EDC">
              <w:rPr>
                <w:sz w:val="20"/>
              </w:rPr>
              <w:t>Act</w:t>
            </w:r>
            <w:r w:rsidRPr="00150EDC">
              <w:rPr>
                <w:spacing w:val="-3"/>
                <w:sz w:val="20"/>
              </w:rPr>
              <w:t xml:space="preserve"> </w:t>
            </w:r>
            <w:r w:rsidRPr="00150EDC">
              <w:rPr>
                <w:sz w:val="20"/>
              </w:rPr>
              <w:t>1982,</w:t>
            </w:r>
            <w:r w:rsidRPr="00150EDC">
              <w:rPr>
                <w:spacing w:val="-3"/>
                <w:sz w:val="20"/>
              </w:rPr>
              <w:t xml:space="preserve"> </w:t>
            </w:r>
            <w:r w:rsidRPr="00150EDC">
              <w:rPr>
                <w:spacing w:val="-5"/>
                <w:sz w:val="20"/>
              </w:rPr>
              <w:t>s52</w:t>
            </w:r>
          </w:p>
        </w:tc>
        <w:tc>
          <w:tcPr>
            <w:tcW w:w="7427" w:type="dxa"/>
          </w:tcPr>
          <w:p w14:paraId="77C44536" w14:textId="77777777" w:rsidR="004C7180" w:rsidRPr="00150EDC" w:rsidRDefault="00CF0754">
            <w:pPr>
              <w:pStyle w:val="TableParagraph"/>
              <w:rPr>
                <w:sz w:val="20"/>
              </w:rPr>
            </w:pPr>
            <w:r w:rsidRPr="00150EDC">
              <w:rPr>
                <w:sz w:val="20"/>
              </w:rPr>
              <w:t>Indecent</w:t>
            </w:r>
            <w:r w:rsidRPr="00150EDC">
              <w:rPr>
                <w:spacing w:val="-2"/>
                <w:sz w:val="20"/>
              </w:rPr>
              <w:t xml:space="preserve"> </w:t>
            </w:r>
            <w:r w:rsidRPr="00150EDC">
              <w:rPr>
                <w:sz w:val="20"/>
              </w:rPr>
              <w:t>photographs</w:t>
            </w:r>
            <w:r w:rsidRPr="00150EDC">
              <w:rPr>
                <w:spacing w:val="-6"/>
                <w:sz w:val="20"/>
              </w:rPr>
              <w:t xml:space="preserve"> </w:t>
            </w:r>
            <w:r w:rsidRPr="00150EDC">
              <w:rPr>
                <w:sz w:val="20"/>
              </w:rPr>
              <w:t>etc.</w:t>
            </w:r>
            <w:r w:rsidRPr="00150EDC">
              <w:rPr>
                <w:spacing w:val="-7"/>
                <w:sz w:val="20"/>
              </w:rPr>
              <w:t xml:space="preserve"> </w:t>
            </w:r>
            <w:r w:rsidRPr="00150EDC">
              <w:rPr>
                <w:sz w:val="20"/>
              </w:rPr>
              <w:t>of</w:t>
            </w:r>
            <w:r w:rsidRPr="00150EDC">
              <w:rPr>
                <w:spacing w:val="-7"/>
                <w:sz w:val="20"/>
              </w:rPr>
              <w:t xml:space="preserve"> </w:t>
            </w:r>
            <w:r w:rsidRPr="00150EDC">
              <w:rPr>
                <w:spacing w:val="-2"/>
                <w:sz w:val="20"/>
              </w:rPr>
              <w:t>children</w:t>
            </w:r>
          </w:p>
        </w:tc>
      </w:tr>
      <w:tr w:rsidR="004569EE" w:rsidRPr="007D3144" w14:paraId="61AFFE4F" w14:textId="77777777">
        <w:trPr>
          <w:trHeight w:val="255"/>
        </w:trPr>
        <w:tc>
          <w:tcPr>
            <w:tcW w:w="6517" w:type="dxa"/>
          </w:tcPr>
          <w:p w14:paraId="7C56A889" w14:textId="77777777" w:rsidR="004C7180" w:rsidRPr="00150EDC" w:rsidRDefault="00CF0754">
            <w:pPr>
              <w:pStyle w:val="TableParagraph"/>
              <w:rPr>
                <w:sz w:val="20"/>
              </w:rPr>
            </w:pPr>
            <w:r w:rsidRPr="00150EDC">
              <w:rPr>
                <w:sz w:val="20"/>
              </w:rPr>
              <w:t>Civic</w:t>
            </w:r>
            <w:r w:rsidRPr="00150EDC">
              <w:rPr>
                <w:spacing w:val="-7"/>
                <w:sz w:val="20"/>
              </w:rPr>
              <w:t xml:space="preserve"> </w:t>
            </w:r>
            <w:r w:rsidRPr="00150EDC">
              <w:rPr>
                <w:sz w:val="20"/>
              </w:rPr>
              <w:t>Government</w:t>
            </w:r>
            <w:r w:rsidRPr="00150EDC">
              <w:rPr>
                <w:spacing w:val="-8"/>
                <w:sz w:val="20"/>
              </w:rPr>
              <w:t xml:space="preserve"> </w:t>
            </w:r>
            <w:r w:rsidRPr="00150EDC">
              <w:rPr>
                <w:sz w:val="20"/>
              </w:rPr>
              <w:t>(Scotland)</w:t>
            </w:r>
            <w:r w:rsidRPr="00150EDC">
              <w:rPr>
                <w:spacing w:val="-9"/>
                <w:sz w:val="20"/>
              </w:rPr>
              <w:t xml:space="preserve"> </w:t>
            </w:r>
            <w:r w:rsidRPr="00150EDC">
              <w:rPr>
                <w:sz w:val="20"/>
              </w:rPr>
              <w:t>Act</w:t>
            </w:r>
            <w:r w:rsidRPr="00150EDC">
              <w:rPr>
                <w:spacing w:val="-3"/>
                <w:sz w:val="20"/>
              </w:rPr>
              <w:t xml:space="preserve"> </w:t>
            </w:r>
            <w:r w:rsidRPr="00150EDC">
              <w:rPr>
                <w:sz w:val="20"/>
              </w:rPr>
              <w:t>1982,</w:t>
            </w:r>
            <w:r w:rsidRPr="00150EDC">
              <w:rPr>
                <w:spacing w:val="-3"/>
                <w:sz w:val="20"/>
              </w:rPr>
              <w:t xml:space="preserve"> </w:t>
            </w:r>
            <w:r w:rsidRPr="00150EDC">
              <w:rPr>
                <w:spacing w:val="-4"/>
                <w:sz w:val="20"/>
              </w:rPr>
              <w:t>s52A</w:t>
            </w:r>
          </w:p>
        </w:tc>
        <w:tc>
          <w:tcPr>
            <w:tcW w:w="7427" w:type="dxa"/>
          </w:tcPr>
          <w:p w14:paraId="238C8AA7" w14:textId="77777777" w:rsidR="004C7180" w:rsidRPr="00150EDC" w:rsidRDefault="00CF0754">
            <w:pPr>
              <w:pStyle w:val="TableParagraph"/>
              <w:rPr>
                <w:sz w:val="20"/>
              </w:rPr>
            </w:pPr>
            <w:r w:rsidRPr="00150EDC">
              <w:rPr>
                <w:sz w:val="20"/>
              </w:rPr>
              <w:t>Possession</w:t>
            </w:r>
            <w:r w:rsidRPr="00150EDC">
              <w:rPr>
                <w:spacing w:val="-8"/>
                <w:sz w:val="20"/>
              </w:rPr>
              <w:t xml:space="preserve"> </w:t>
            </w:r>
            <w:r w:rsidRPr="00150EDC">
              <w:rPr>
                <w:sz w:val="20"/>
              </w:rPr>
              <w:t>of</w:t>
            </w:r>
            <w:r w:rsidRPr="00150EDC">
              <w:rPr>
                <w:spacing w:val="-7"/>
                <w:sz w:val="20"/>
              </w:rPr>
              <w:t xml:space="preserve"> </w:t>
            </w:r>
            <w:r w:rsidRPr="00150EDC">
              <w:rPr>
                <w:sz w:val="20"/>
              </w:rPr>
              <w:t>indecent</w:t>
            </w:r>
            <w:r w:rsidRPr="00150EDC">
              <w:rPr>
                <w:spacing w:val="-3"/>
                <w:sz w:val="20"/>
              </w:rPr>
              <w:t xml:space="preserve"> </w:t>
            </w:r>
            <w:r w:rsidRPr="00150EDC">
              <w:rPr>
                <w:sz w:val="20"/>
              </w:rPr>
              <w:t>photographs</w:t>
            </w:r>
            <w:r w:rsidRPr="00150EDC">
              <w:rPr>
                <w:spacing w:val="-7"/>
                <w:sz w:val="20"/>
              </w:rPr>
              <w:t xml:space="preserve"> </w:t>
            </w:r>
            <w:r w:rsidRPr="00150EDC">
              <w:rPr>
                <w:sz w:val="20"/>
              </w:rPr>
              <w:t>of</w:t>
            </w:r>
            <w:r w:rsidRPr="00150EDC">
              <w:rPr>
                <w:spacing w:val="-7"/>
                <w:sz w:val="20"/>
              </w:rPr>
              <w:t xml:space="preserve"> </w:t>
            </w:r>
            <w:r w:rsidRPr="00150EDC">
              <w:rPr>
                <w:spacing w:val="-2"/>
                <w:sz w:val="20"/>
              </w:rPr>
              <w:t>children</w:t>
            </w:r>
          </w:p>
        </w:tc>
      </w:tr>
      <w:tr w:rsidR="004569EE" w:rsidRPr="007D3144" w14:paraId="31074CC9" w14:textId="77777777">
        <w:trPr>
          <w:trHeight w:val="255"/>
        </w:trPr>
        <w:tc>
          <w:tcPr>
            <w:tcW w:w="6517" w:type="dxa"/>
          </w:tcPr>
          <w:p w14:paraId="37BC0E24" w14:textId="77777777" w:rsidR="004C7180" w:rsidRPr="00150EDC" w:rsidRDefault="00CF0754">
            <w:pPr>
              <w:pStyle w:val="TableParagraph"/>
              <w:rPr>
                <w:sz w:val="20"/>
              </w:rPr>
            </w:pPr>
            <w:r w:rsidRPr="00150EDC">
              <w:rPr>
                <w:sz w:val="20"/>
              </w:rPr>
              <w:t>Common</w:t>
            </w:r>
            <w:r w:rsidRPr="00150EDC">
              <w:rPr>
                <w:spacing w:val="-12"/>
                <w:sz w:val="20"/>
              </w:rPr>
              <w:t xml:space="preserve"> </w:t>
            </w:r>
            <w:r w:rsidRPr="00150EDC">
              <w:rPr>
                <w:spacing w:val="-5"/>
                <w:sz w:val="20"/>
              </w:rPr>
              <w:t>law</w:t>
            </w:r>
          </w:p>
        </w:tc>
        <w:tc>
          <w:tcPr>
            <w:tcW w:w="7427" w:type="dxa"/>
          </w:tcPr>
          <w:p w14:paraId="44775511" w14:textId="77777777" w:rsidR="004C7180" w:rsidRPr="00150EDC" w:rsidRDefault="00CF0754">
            <w:pPr>
              <w:pStyle w:val="TableParagraph"/>
              <w:rPr>
                <w:sz w:val="20"/>
              </w:rPr>
            </w:pPr>
            <w:r w:rsidRPr="00150EDC">
              <w:rPr>
                <w:sz w:val="20"/>
              </w:rPr>
              <w:t>Outraging</w:t>
            </w:r>
            <w:r w:rsidRPr="00150EDC">
              <w:rPr>
                <w:spacing w:val="-8"/>
                <w:sz w:val="20"/>
              </w:rPr>
              <w:t xml:space="preserve"> </w:t>
            </w:r>
            <w:r w:rsidRPr="00150EDC">
              <w:rPr>
                <w:sz w:val="20"/>
              </w:rPr>
              <w:t>Public</w:t>
            </w:r>
            <w:r w:rsidRPr="00150EDC">
              <w:rPr>
                <w:spacing w:val="-7"/>
                <w:sz w:val="20"/>
              </w:rPr>
              <w:t xml:space="preserve"> </w:t>
            </w:r>
            <w:r w:rsidRPr="00150EDC">
              <w:rPr>
                <w:spacing w:val="-2"/>
                <w:sz w:val="20"/>
              </w:rPr>
              <w:t>Decency</w:t>
            </w:r>
          </w:p>
        </w:tc>
      </w:tr>
      <w:tr w:rsidR="004569EE" w:rsidRPr="007D3144" w14:paraId="310CDE4B" w14:textId="77777777">
        <w:trPr>
          <w:trHeight w:val="255"/>
        </w:trPr>
        <w:tc>
          <w:tcPr>
            <w:tcW w:w="6517" w:type="dxa"/>
          </w:tcPr>
          <w:p w14:paraId="00198C2C" w14:textId="77777777" w:rsidR="004C7180" w:rsidRPr="00150EDC" w:rsidRDefault="00CF0754">
            <w:pPr>
              <w:pStyle w:val="TableParagraph"/>
              <w:rPr>
                <w:sz w:val="20"/>
              </w:rPr>
            </w:pPr>
            <w:r w:rsidRPr="00150EDC">
              <w:rPr>
                <w:sz w:val="20"/>
              </w:rPr>
              <w:t>Common</w:t>
            </w:r>
            <w:r w:rsidRPr="00150EDC">
              <w:rPr>
                <w:spacing w:val="-12"/>
                <w:sz w:val="20"/>
              </w:rPr>
              <w:t xml:space="preserve"> </w:t>
            </w:r>
            <w:r w:rsidRPr="00150EDC">
              <w:rPr>
                <w:spacing w:val="-5"/>
                <w:sz w:val="20"/>
              </w:rPr>
              <w:t>law</w:t>
            </w:r>
          </w:p>
        </w:tc>
        <w:tc>
          <w:tcPr>
            <w:tcW w:w="7427" w:type="dxa"/>
          </w:tcPr>
          <w:p w14:paraId="6F231C98" w14:textId="77777777" w:rsidR="004C7180" w:rsidRPr="00150EDC" w:rsidRDefault="00CF0754">
            <w:pPr>
              <w:pStyle w:val="TableParagraph"/>
              <w:rPr>
                <w:sz w:val="20"/>
              </w:rPr>
            </w:pPr>
            <w:r w:rsidRPr="00150EDC">
              <w:rPr>
                <w:sz w:val="20"/>
              </w:rPr>
              <w:t>Indecent</w:t>
            </w:r>
            <w:r w:rsidRPr="00150EDC">
              <w:rPr>
                <w:spacing w:val="-8"/>
                <w:sz w:val="20"/>
              </w:rPr>
              <w:t xml:space="preserve"> </w:t>
            </w:r>
            <w:r w:rsidRPr="00150EDC">
              <w:rPr>
                <w:spacing w:val="-2"/>
                <w:sz w:val="20"/>
              </w:rPr>
              <w:t>Exposure</w:t>
            </w:r>
          </w:p>
        </w:tc>
      </w:tr>
      <w:tr w:rsidR="004569EE" w:rsidRPr="007D3144" w14:paraId="4DE3B585" w14:textId="77777777">
        <w:trPr>
          <w:trHeight w:val="255"/>
        </w:trPr>
        <w:tc>
          <w:tcPr>
            <w:tcW w:w="6517" w:type="dxa"/>
          </w:tcPr>
          <w:p w14:paraId="55B8BA16" w14:textId="77777777" w:rsidR="004C7180" w:rsidRPr="00150EDC" w:rsidRDefault="00CF0754">
            <w:pPr>
              <w:pStyle w:val="TableParagraph"/>
              <w:spacing w:before="28"/>
              <w:rPr>
                <w:sz w:val="20"/>
              </w:rPr>
            </w:pPr>
            <w:r w:rsidRPr="00150EDC">
              <w:rPr>
                <w:sz w:val="20"/>
              </w:rPr>
              <w:t>Common</w:t>
            </w:r>
            <w:r w:rsidRPr="00150EDC">
              <w:rPr>
                <w:spacing w:val="-12"/>
                <w:sz w:val="20"/>
              </w:rPr>
              <w:t xml:space="preserve"> </w:t>
            </w:r>
            <w:r w:rsidRPr="00150EDC">
              <w:rPr>
                <w:spacing w:val="-5"/>
                <w:sz w:val="20"/>
              </w:rPr>
              <w:t>law</w:t>
            </w:r>
          </w:p>
        </w:tc>
        <w:tc>
          <w:tcPr>
            <w:tcW w:w="7427" w:type="dxa"/>
          </w:tcPr>
          <w:p w14:paraId="2AC7CBD7" w14:textId="77777777" w:rsidR="004C7180" w:rsidRPr="00150EDC" w:rsidRDefault="00CF0754">
            <w:pPr>
              <w:pStyle w:val="TableParagraph"/>
              <w:spacing w:before="28"/>
              <w:rPr>
                <w:sz w:val="20"/>
              </w:rPr>
            </w:pPr>
            <w:r w:rsidRPr="00150EDC">
              <w:rPr>
                <w:spacing w:val="-4"/>
                <w:sz w:val="20"/>
              </w:rPr>
              <w:t>Riot</w:t>
            </w:r>
          </w:p>
        </w:tc>
      </w:tr>
      <w:tr w:rsidR="004569EE" w:rsidRPr="007D3144" w14:paraId="2F38B61E" w14:textId="77777777">
        <w:trPr>
          <w:trHeight w:val="255"/>
        </w:trPr>
        <w:tc>
          <w:tcPr>
            <w:tcW w:w="6517" w:type="dxa"/>
          </w:tcPr>
          <w:p w14:paraId="33B794EC" w14:textId="77777777" w:rsidR="004C7180" w:rsidRPr="00150EDC" w:rsidRDefault="00CF0754">
            <w:pPr>
              <w:pStyle w:val="TableParagraph"/>
              <w:rPr>
                <w:sz w:val="20"/>
              </w:rPr>
            </w:pPr>
            <w:r w:rsidRPr="00150EDC">
              <w:rPr>
                <w:sz w:val="20"/>
              </w:rPr>
              <w:t>Common</w:t>
            </w:r>
            <w:r w:rsidRPr="00150EDC">
              <w:rPr>
                <w:spacing w:val="-12"/>
                <w:sz w:val="20"/>
              </w:rPr>
              <w:t xml:space="preserve"> </w:t>
            </w:r>
            <w:r w:rsidRPr="00150EDC">
              <w:rPr>
                <w:spacing w:val="-5"/>
                <w:sz w:val="20"/>
              </w:rPr>
              <w:t>law</w:t>
            </w:r>
          </w:p>
        </w:tc>
        <w:tc>
          <w:tcPr>
            <w:tcW w:w="7427" w:type="dxa"/>
          </w:tcPr>
          <w:p w14:paraId="24D8E0E7" w14:textId="77777777" w:rsidR="004C7180" w:rsidRPr="00150EDC" w:rsidRDefault="00CF0754">
            <w:pPr>
              <w:pStyle w:val="TableParagraph"/>
              <w:rPr>
                <w:sz w:val="20"/>
              </w:rPr>
            </w:pPr>
            <w:r w:rsidRPr="00150EDC">
              <w:rPr>
                <w:spacing w:val="-2"/>
                <w:sz w:val="20"/>
              </w:rPr>
              <w:t>Affray</w:t>
            </w:r>
          </w:p>
        </w:tc>
      </w:tr>
      <w:tr w:rsidR="004569EE" w:rsidRPr="007D3144" w14:paraId="4EE65759" w14:textId="77777777">
        <w:trPr>
          <w:trHeight w:val="255"/>
        </w:trPr>
        <w:tc>
          <w:tcPr>
            <w:tcW w:w="6517" w:type="dxa"/>
          </w:tcPr>
          <w:p w14:paraId="2DAF5938" w14:textId="77777777" w:rsidR="004C7180" w:rsidRPr="00150EDC" w:rsidRDefault="00CF0754">
            <w:pPr>
              <w:pStyle w:val="TableParagraph"/>
              <w:rPr>
                <w:sz w:val="20"/>
              </w:rPr>
            </w:pPr>
            <w:r w:rsidRPr="00150EDC">
              <w:rPr>
                <w:sz w:val="20"/>
              </w:rPr>
              <w:t>Coroners</w:t>
            </w:r>
            <w:r w:rsidRPr="00150EDC">
              <w:rPr>
                <w:spacing w:val="-5"/>
                <w:sz w:val="20"/>
              </w:rPr>
              <w:t xml:space="preserve"> </w:t>
            </w:r>
            <w:r w:rsidRPr="00150EDC">
              <w:rPr>
                <w:sz w:val="20"/>
              </w:rPr>
              <w:t>and</w:t>
            </w:r>
            <w:r w:rsidRPr="00150EDC">
              <w:rPr>
                <w:spacing w:val="-6"/>
                <w:sz w:val="20"/>
              </w:rPr>
              <w:t xml:space="preserve"> </w:t>
            </w:r>
            <w:r w:rsidRPr="00150EDC">
              <w:rPr>
                <w:sz w:val="20"/>
              </w:rPr>
              <w:t>Justice</w:t>
            </w:r>
            <w:r w:rsidRPr="00150EDC">
              <w:rPr>
                <w:spacing w:val="-6"/>
                <w:sz w:val="20"/>
              </w:rPr>
              <w:t xml:space="preserve"> </w:t>
            </w:r>
            <w:r w:rsidRPr="00150EDC">
              <w:rPr>
                <w:sz w:val="20"/>
              </w:rPr>
              <w:t>Act</w:t>
            </w:r>
            <w:r w:rsidRPr="00150EDC">
              <w:rPr>
                <w:spacing w:val="-5"/>
                <w:sz w:val="20"/>
              </w:rPr>
              <w:t xml:space="preserve"> </w:t>
            </w:r>
            <w:r w:rsidRPr="00150EDC">
              <w:rPr>
                <w:sz w:val="20"/>
              </w:rPr>
              <w:t>2009,</w:t>
            </w:r>
            <w:r w:rsidRPr="00150EDC">
              <w:rPr>
                <w:spacing w:val="-5"/>
                <w:sz w:val="20"/>
              </w:rPr>
              <w:t xml:space="preserve"> s62</w:t>
            </w:r>
          </w:p>
        </w:tc>
        <w:tc>
          <w:tcPr>
            <w:tcW w:w="7427" w:type="dxa"/>
          </w:tcPr>
          <w:p w14:paraId="3AFE7549" w14:textId="77777777" w:rsidR="004C7180" w:rsidRPr="00150EDC" w:rsidRDefault="00CF0754">
            <w:pPr>
              <w:pStyle w:val="TableParagraph"/>
              <w:rPr>
                <w:sz w:val="20"/>
              </w:rPr>
            </w:pPr>
            <w:r w:rsidRPr="00150EDC">
              <w:rPr>
                <w:sz w:val="20"/>
              </w:rPr>
              <w:t>Possession</w:t>
            </w:r>
            <w:r w:rsidRPr="00150EDC">
              <w:rPr>
                <w:spacing w:val="-6"/>
                <w:sz w:val="20"/>
              </w:rPr>
              <w:t xml:space="preserve"> </w:t>
            </w:r>
            <w:r w:rsidRPr="00150EDC">
              <w:rPr>
                <w:sz w:val="20"/>
              </w:rPr>
              <w:t>of</w:t>
            </w:r>
            <w:r w:rsidRPr="00150EDC">
              <w:rPr>
                <w:spacing w:val="-6"/>
                <w:sz w:val="20"/>
              </w:rPr>
              <w:t xml:space="preserve"> </w:t>
            </w:r>
            <w:r w:rsidRPr="00150EDC">
              <w:rPr>
                <w:sz w:val="20"/>
              </w:rPr>
              <w:t>prohibited</w:t>
            </w:r>
            <w:r w:rsidRPr="00150EDC">
              <w:rPr>
                <w:spacing w:val="-6"/>
                <w:sz w:val="20"/>
              </w:rPr>
              <w:t xml:space="preserve"> </w:t>
            </w:r>
            <w:r w:rsidRPr="00150EDC">
              <w:rPr>
                <w:sz w:val="20"/>
              </w:rPr>
              <w:t>images</w:t>
            </w:r>
            <w:r w:rsidRPr="00150EDC">
              <w:rPr>
                <w:spacing w:val="-5"/>
                <w:sz w:val="20"/>
              </w:rPr>
              <w:t xml:space="preserve"> </w:t>
            </w:r>
            <w:r w:rsidRPr="00150EDC">
              <w:rPr>
                <w:sz w:val="20"/>
              </w:rPr>
              <w:t>of</w:t>
            </w:r>
            <w:r w:rsidRPr="00150EDC">
              <w:rPr>
                <w:spacing w:val="-5"/>
                <w:sz w:val="20"/>
              </w:rPr>
              <w:t xml:space="preserve"> </w:t>
            </w:r>
            <w:r w:rsidRPr="00150EDC">
              <w:rPr>
                <w:spacing w:val="-2"/>
                <w:sz w:val="20"/>
              </w:rPr>
              <w:t>children</w:t>
            </w:r>
          </w:p>
        </w:tc>
      </w:tr>
      <w:tr w:rsidR="004569EE" w:rsidRPr="007D3144" w14:paraId="4812B4EA" w14:textId="77777777">
        <w:trPr>
          <w:trHeight w:val="255"/>
        </w:trPr>
        <w:tc>
          <w:tcPr>
            <w:tcW w:w="6517" w:type="dxa"/>
          </w:tcPr>
          <w:p w14:paraId="75B1C566" w14:textId="77777777" w:rsidR="004C7180" w:rsidRPr="00150EDC" w:rsidRDefault="00CF0754">
            <w:pPr>
              <w:pStyle w:val="TableParagraph"/>
              <w:rPr>
                <w:sz w:val="20"/>
              </w:rPr>
            </w:pPr>
            <w:r w:rsidRPr="00150EDC">
              <w:rPr>
                <w:sz w:val="20"/>
              </w:rPr>
              <w:t>Coroners</w:t>
            </w:r>
            <w:r w:rsidRPr="00150EDC">
              <w:rPr>
                <w:spacing w:val="-5"/>
                <w:sz w:val="20"/>
              </w:rPr>
              <w:t xml:space="preserve"> </w:t>
            </w:r>
            <w:r w:rsidRPr="00150EDC">
              <w:rPr>
                <w:sz w:val="20"/>
              </w:rPr>
              <w:t>and</w:t>
            </w:r>
            <w:r w:rsidRPr="00150EDC">
              <w:rPr>
                <w:spacing w:val="-6"/>
                <w:sz w:val="20"/>
              </w:rPr>
              <w:t xml:space="preserve"> </w:t>
            </w:r>
            <w:r w:rsidRPr="00150EDC">
              <w:rPr>
                <w:sz w:val="20"/>
              </w:rPr>
              <w:t>Justice</w:t>
            </w:r>
            <w:r w:rsidRPr="00150EDC">
              <w:rPr>
                <w:spacing w:val="-6"/>
                <w:sz w:val="20"/>
              </w:rPr>
              <w:t xml:space="preserve"> </w:t>
            </w:r>
            <w:r w:rsidRPr="00150EDC">
              <w:rPr>
                <w:sz w:val="20"/>
              </w:rPr>
              <w:t>Act</w:t>
            </w:r>
            <w:r w:rsidRPr="00150EDC">
              <w:rPr>
                <w:spacing w:val="-5"/>
                <w:sz w:val="20"/>
              </w:rPr>
              <w:t xml:space="preserve"> </w:t>
            </w:r>
            <w:r w:rsidRPr="00150EDC">
              <w:rPr>
                <w:sz w:val="20"/>
              </w:rPr>
              <w:t>2009,</w:t>
            </w:r>
            <w:r w:rsidRPr="00150EDC">
              <w:rPr>
                <w:spacing w:val="-5"/>
                <w:sz w:val="20"/>
              </w:rPr>
              <w:t xml:space="preserve"> s71</w:t>
            </w:r>
          </w:p>
        </w:tc>
        <w:tc>
          <w:tcPr>
            <w:tcW w:w="7427" w:type="dxa"/>
          </w:tcPr>
          <w:p w14:paraId="3FEED29D" w14:textId="77777777" w:rsidR="004C7180" w:rsidRPr="00150EDC" w:rsidRDefault="00CF0754">
            <w:pPr>
              <w:pStyle w:val="TableParagraph"/>
              <w:rPr>
                <w:sz w:val="20"/>
              </w:rPr>
            </w:pPr>
            <w:r w:rsidRPr="00150EDC">
              <w:rPr>
                <w:sz w:val="20"/>
              </w:rPr>
              <w:t>Slavery,</w:t>
            </w:r>
            <w:r w:rsidRPr="00150EDC">
              <w:rPr>
                <w:spacing w:val="-5"/>
                <w:sz w:val="20"/>
              </w:rPr>
              <w:t xml:space="preserve"> </w:t>
            </w:r>
            <w:r w:rsidRPr="00150EDC">
              <w:rPr>
                <w:sz w:val="20"/>
              </w:rPr>
              <w:t>servitude</w:t>
            </w:r>
            <w:r w:rsidRPr="00150EDC">
              <w:rPr>
                <w:spacing w:val="-6"/>
                <w:sz w:val="20"/>
              </w:rPr>
              <w:t xml:space="preserve"> </w:t>
            </w:r>
            <w:r w:rsidRPr="00150EDC">
              <w:rPr>
                <w:sz w:val="20"/>
              </w:rPr>
              <w:t>and</w:t>
            </w:r>
            <w:r w:rsidRPr="00150EDC">
              <w:rPr>
                <w:spacing w:val="-6"/>
                <w:sz w:val="20"/>
              </w:rPr>
              <w:t xml:space="preserve"> </w:t>
            </w:r>
            <w:r w:rsidRPr="00150EDC">
              <w:rPr>
                <w:sz w:val="20"/>
              </w:rPr>
              <w:t>forced</w:t>
            </w:r>
            <w:r w:rsidRPr="00150EDC">
              <w:rPr>
                <w:spacing w:val="-6"/>
                <w:sz w:val="20"/>
              </w:rPr>
              <w:t xml:space="preserve"> </w:t>
            </w:r>
            <w:r w:rsidRPr="00150EDC">
              <w:rPr>
                <w:sz w:val="20"/>
              </w:rPr>
              <w:t>or</w:t>
            </w:r>
            <w:r w:rsidRPr="00150EDC">
              <w:rPr>
                <w:spacing w:val="-5"/>
                <w:sz w:val="20"/>
              </w:rPr>
              <w:t xml:space="preserve"> </w:t>
            </w:r>
            <w:r w:rsidRPr="00150EDC">
              <w:rPr>
                <w:sz w:val="20"/>
              </w:rPr>
              <w:t>compulsory</w:t>
            </w:r>
            <w:r w:rsidRPr="00150EDC">
              <w:rPr>
                <w:spacing w:val="-4"/>
                <w:sz w:val="20"/>
              </w:rPr>
              <w:t xml:space="preserve"> </w:t>
            </w:r>
            <w:r w:rsidRPr="00150EDC">
              <w:rPr>
                <w:spacing w:val="-2"/>
                <w:sz w:val="20"/>
              </w:rPr>
              <w:t>labour</w:t>
            </w:r>
          </w:p>
        </w:tc>
      </w:tr>
      <w:tr w:rsidR="004569EE" w:rsidRPr="007D3144" w14:paraId="649B8D25" w14:textId="77777777">
        <w:trPr>
          <w:trHeight w:val="255"/>
        </w:trPr>
        <w:tc>
          <w:tcPr>
            <w:tcW w:w="6517" w:type="dxa"/>
          </w:tcPr>
          <w:p w14:paraId="10B353B8" w14:textId="77777777" w:rsidR="004C7180" w:rsidRPr="00150EDC" w:rsidRDefault="00CF0754">
            <w:pPr>
              <w:pStyle w:val="TableParagraph"/>
              <w:spacing w:before="28"/>
              <w:rPr>
                <w:sz w:val="20"/>
              </w:rPr>
            </w:pPr>
            <w:r w:rsidRPr="00150EDC">
              <w:rPr>
                <w:sz w:val="20"/>
              </w:rPr>
              <w:t>Crime</w:t>
            </w:r>
            <w:r w:rsidRPr="00150EDC">
              <w:rPr>
                <w:spacing w:val="-6"/>
                <w:sz w:val="20"/>
              </w:rPr>
              <w:t xml:space="preserve"> </w:t>
            </w:r>
            <w:r w:rsidRPr="00150EDC">
              <w:rPr>
                <w:sz w:val="20"/>
              </w:rPr>
              <w:t>and</w:t>
            </w:r>
            <w:r w:rsidRPr="00150EDC">
              <w:rPr>
                <w:spacing w:val="-6"/>
                <w:sz w:val="20"/>
              </w:rPr>
              <w:t xml:space="preserve"> </w:t>
            </w:r>
            <w:r w:rsidRPr="00150EDC">
              <w:rPr>
                <w:sz w:val="20"/>
              </w:rPr>
              <w:t>Disorder</w:t>
            </w:r>
            <w:r w:rsidRPr="00150EDC">
              <w:rPr>
                <w:spacing w:val="-5"/>
                <w:sz w:val="20"/>
              </w:rPr>
              <w:t xml:space="preserve"> </w:t>
            </w:r>
            <w:r w:rsidRPr="00150EDC">
              <w:rPr>
                <w:sz w:val="20"/>
              </w:rPr>
              <w:t>Act</w:t>
            </w:r>
            <w:r w:rsidRPr="00150EDC">
              <w:rPr>
                <w:spacing w:val="-5"/>
                <w:sz w:val="20"/>
              </w:rPr>
              <w:t xml:space="preserve"> </w:t>
            </w:r>
            <w:r w:rsidRPr="00150EDC">
              <w:rPr>
                <w:sz w:val="20"/>
              </w:rPr>
              <w:t>1998,</w:t>
            </w:r>
            <w:r w:rsidRPr="00150EDC">
              <w:rPr>
                <w:spacing w:val="-5"/>
                <w:sz w:val="20"/>
              </w:rPr>
              <w:t xml:space="preserve"> s29</w:t>
            </w:r>
          </w:p>
        </w:tc>
        <w:tc>
          <w:tcPr>
            <w:tcW w:w="7427" w:type="dxa"/>
          </w:tcPr>
          <w:p w14:paraId="4A9F8419" w14:textId="77777777" w:rsidR="004C7180" w:rsidRPr="00150EDC" w:rsidRDefault="00CF0754">
            <w:pPr>
              <w:pStyle w:val="TableParagraph"/>
              <w:spacing w:before="28"/>
              <w:rPr>
                <w:sz w:val="20"/>
              </w:rPr>
            </w:pPr>
            <w:r w:rsidRPr="00150EDC">
              <w:rPr>
                <w:sz w:val="20"/>
              </w:rPr>
              <w:t>Racially</w:t>
            </w:r>
            <w:r w:rsidRPr="00150EDC">
              <w:rPr>
                <w:spacing w:val="-7"/>
                <w:sz w:val="20"/>
              </w:rPr>
              <w:t xml:space="preserve"> </w:t>
            </w:r>
            <w:r w:rsidRPr="00150EDC">
              <w:rPr>
                <w:sz w:val="20"/>
              </w:rPr>
              <w:t>or</w:t>
            </w:r>
            <w:r w:rsidRPr="00150EDC">
              <w:rPr>
                <w:spacing w:val="-8"/>
                <w:sz w:val="20"/>
              </w:rPr>
              <w:t xml:space="preserve"> </w:t>
            </w:r>
            <w:r w:rsidRPr="00150EDC">
              <w:rPr>
                <w:sz w:val="20"/>
              </w:rPr>
              <w:t>religiously</w:t>
            </w:r>
            <w:r w:rsidRPr="00150EDC">
              <w:rPr>
                <w:spacing w:val="-5"/>
                <w:sz w:val="20"/>
              </w:rPr>
              <w:t xml:space="preserve"> </w:t>
            </w:r>
            <w:r w:rsidRPr="00150EDC">
              <w:rPr>
                <w:sz w:val="20"/>
              </w:rPr>
              <w:t>aggravated</w:t>
            </w:r>
            <w:r w:rsidRPr="00150EDC">
              <w:rPr>
                <w:spacing w:val="-7"/>
                <w:sz w:val="20"/>
              </w:rPr>
              <w:t xml:space="preserve"> </w:t>
            </w:r>
            <w:r w:rsidRPr="00150EDC">
              <w:rPr>
                <w:spacing w:val="-2"/>
                <w:sz w:val="20"/>
              </w:rPr>
              <w:t>assault</w:t>
            </w:r>
          </w:p>
        </w:tc>
      </w:tr>
      <w:tr w:rsidR="004569EE" w:rsidRPr="007D3144" w14:paraId="13B84CD2" w14:textId="77777777">
        <w:trPr>
          <w:trHeight w:val="255"/>
        </w:trPr>
        <w:tc>
          <w:tcPr>
            <w:tcW w:w="6517" w:type="dxa"/>
          </w:tcPr>
          <w:p w14:paraId="3E82AB05" w14:textId="77777777" w:rsidR="004C7180" w:rsidRPr="00150EDC" w:rsidRDefault="00CF0754">
            <w:pPr>
              <w:pStyle w:val="TableParagraph"/>
              <w:rPr>
                <w:sz w:val="20"/>
              </w:rPr>
            </w:pPr>
            <w:r w:rsidRPr="00150EDC">
              <w:rPr>
                <w:sz w:val="20"/>
              </w:rPr>
              <w:t>Crime</w:t>
            </w:r>
            <w:r w:rsidRPr="00150EDC">
              <w:rPr>
                <w:spacing w:val="-6"/>
                <w:sz w:val="20"/>
              </w:rPr>
              <w:t xml:space="preserve"> </w:t>
            </w:r>
            <w:r w:rsidRPr="00150EDC">
              <w:rPr>
                <w:sz w:val="20"/>
              </w:rPr>
              <w:t>and</w:t>
            </w:r>
            <w:r w:rsidRPr="00150EDC">
              <w:rPr>
                <w:spacing w:val="-6"/>
                <w:sz w:val="20"/>
              </w:rPr>
              <w:t xml:space="preserve"> </w:t>
            </w:r>
            <w:r w:rsidRPr="00150EDC">
              <w:rPr>
                <w:sz w:val="20"/>
              </w:rPr>
              <w:t>Disorder</w:t>
            </w:r>
            <w:r w:rsidRPr="00150EDC">
              <w:rPr>
                <w:spacing w:val="-5"/>
                <w:sz w:val="20"/>
              </w:rPr>
              <w:t xml:space="preserve"> </w:t>
            </w:r>
            <w:r w:rsidRPr="00150EDC">
              <w:rPr>
                <w:sz w:val="20"/>
              </w:rPr>
              <w:t>Act</w:t>
            </w:r>
            <w:r w:rsidRPr="00150EDC">
              <w:rPr>
                <w:spacing w:val="-5"/>
                <w:sz w:val="20"/>
              </w:rPr>
              <w:t xml:space="preserve"> </w:t>
            </w:r>
            <w:r w:rsidRPr="00150EDC">
              <w:rPr>
                <w:sz w:val="20"/>
              </w:rPr>
              <w:t>1998,</w:t>
            </w:r>
            <w:r w:rsidRPr="00150EDC">
              <w:rPr>
                <w:spacing w:val="-5"/>
                <w:sz w:val="20"/>
              </w:rPr>
              <w:t xml:space="preserve"> </w:t>
            </w:r>
            <w:r w:rsidRPr="00150EDC">
              <w:rPr>
                <w:spacing w:val="-2"/>
                <w:sz w:val="20"/>
              </w:rPr>
              <w:t>s31(1)(a)</w:t>
            </w:r>
          </w:p>
        </w:tc>
        <w:tc>
          <w:tcPr>
            <w:tcW w:w="7427" w:type="dxa"/>
          </w:tcPr>
          <w:p w14:paraId="35E7ABD8" w14:textId="77777777" w:rsidR="004C7180" w:rsidRPr="00150EDC" w:rsidRDefault="00CF0754">
            <w:pPr>
              <w:pStyle w:val="TableParagraph"/>
              <w:rPr>
                <w:sz w:val="20"/>
              </w:rPr>
            </w:pPr>
            <w:r w:rsidRPr="00150EDC">
              <w:rPr>
                <w:sz w:val="20"/>
              </w:rPr>
              <w:t>Racially</w:t>
            </w:r>
            <w:r w:rsidRPr="00150EDC">
              <w:rPr>
                <w:spacing w:val="-5"/>
                <w:sz w:val="20"/>
              </w:rPr>
              <w:t xml:space="preserve"> </w:t>
            </w:r>
            <w:r w:rsidRPr="00150EDC">
              <w:rPr>
                <w:sz w:val="20"/>
              </w:rPr>
              <w:t>or</w:t>
            </w:r>
            <w:r w:rsidRPr="00150EDC">
              <w:rPr>
                <w:spacing w:val="-6"/>
                <w:sz w:val="20"/>
              </w:rPr>
              <w:t xml:space="preserve"> </w:t>
            </w:r>
            <w:r w:rsidRPr="00150EDC">
              <w:rPr>
                <w:sz w:val="20"/>
              </w:rPr>
              <w:t>religiously</w:t>
            </w:r>
            <w:r w:rsidRPr="00150EDC">
              <w:rPr>
                <w:spacing w:val="-5"/>
                <w:sz w:val="20"/>
              </w:rPr>
              <w:t xml:space="preserve"> </w:t>
            </w:r>
            <w:r w:rsidRPr="00150EDC">
              <w:rPr>
                <w:sz w:val="20"/>
              </w:rPr>
              <w:t>aggravated</w:t>
            </w:r>
            <w:r w:rsidRPr="00150EDC">
              <w:rPr>
                <w:spacing w:val="-6"/>
                <w:sz w:val="20"/>
              </w:rPr>
              <w:t xml:space="preserve"> </w:t>
            </w:r>
            <w:r w:rsidRPr="00150EDC">
              <w:rPr>
                <w:sz w:val="20"/>
              </w:rPr>
              <w:t>fear</w:t>
            </w:r>
            <w:r w:rsidRPr="00150EDC">
              <w:rPr>
                <w:spacing w:val="-6"/>
                <w:sz w:val="20"/>
              </w:rPr>
              <w:t xml:space="preserve"> </w:t>
            </w:r>
            <w:r w:rsidRPr="00150EDC">
              <w:rPr>
                <w:sz w:val="20"/>
              </w:rPr>
              <w:t>or</w:t>
            </w:r>
            <w:r w:rsidRPr="00150EDC">
              <w:rPr>
                <w:spacing w:val="-5"/>
                <w:sz w:val="20"/>
              </w:rPr>
              <w:t xml:space="preserve"> </w:t>
            </w:r>
            <w:r w:rsidRPr="00150EDC">
              <w:rPr>
                <w:sz w:val="20"/>
              </w:rPr>
              <w:t>provocation</w:t>
            </w:r>
            <w:r w:rsidRPr="00150EDC">
              <w:rPr>
                <w:spacing w:val="-6"/>
                <w:sz w:val="20"/>
              </w:rPr>
              <w:t xml:space="preserve"> </w:t>
            </w:r>
            <w:r w:rsidRPr="00150EDC">
              <w:rPr>
                <w:sz w:val="20"/>
              </w:rPr>
              <w:t>of</w:t>
            </w:r>
            <w:r w:rsidRPr="00150EDC">
              <w:rPr>
                <w:spacing w:val="-6"/>
                <w:sz w:val="20"/>
              </w:rPr>
              <w:t xml:space="preserve"> </w:t>
            </w:r>
            <w:r w:rsidRPr="00150EDC">
              <w:rPr>
                <w:spacing w:val="-2"/>
                <w:sz w:val="20"/>
              </w:rPr>
              <w:t>violence</w:t>
            </w:r>
          </w:p>
        </w:tc>
      </w:tr>
      <w:tr w:rsidR="004569EE" w:rsidRPr="007D3144" w14:paraId="195DCBC2" w14:textId="77777777">
        <w:trPr>
          <w:trHeight w:val="255"/>
        </w:trPr>
        <w:tc>
          <w:tcPr>
            <w:tcW w:w="6517" w:type="dxa"/>
          </w:tcPr>
          <w:p w14:paraId="2067D57B" w14:textId="77777777" w:rsidR="004C7180" w:rsidRPr="00150EDC" w:rsidRDefault="00CF0754">
            <w:pPr>
              <w:pStyle w:val="TableParagraph"/>
              <w:rPr>
                <w:sz w:val="20"/>
              </w:rPr>
            </w:pPr>
            <w:r w:rsidRPr="00150EDC">
              <w:rPr>
                <w:sz w:val="20"/>
              </w:rPr>
              <w:t>Crime</w:t>
            </w:r>
            <w:r w:rsidRPr="00150EDC">
              <w:rPr>
                <w:spacing w:val="-6"/>
                <w:sz w:val="20"/>
              </w:rPr>
              <w:t xml:space="preserve"> </w:t>
            </w:r>
            <w:r w:rsidRPr="00150EDC">
              <w:rPr>
                <w:sz w:val="20"/>
              </w:rPr>
              <w:t>and</w:t>
            </w:r>
            <w:r w:rsidRPr="00150EDC">
              <w:rPr>
                <w:spacing w:val="-6"/>
                <w:sz w:val="20"/>
              </w:rPr>
              <w:t xml:space="preserve"> </w:t>
            </w:r>
            <w:r w:rsidRPr="00150EDC">
              <w:rPr>
                <w:sz w:val="20"/>
              </w:rPr>
              <w:t>Disorder</w:t>
            </w:r>
            <w:r w:rsidRPr="00150EDC">
              <w:rPr>
                <w:spacing w:val="-5"/>
                <w:sz w:val="20"/>
              </w:rPr>
              <w:t xml:space="preserve"> </w:t>
            </w:r>
            <w:r w:rsidRPr="00150EDC">
              <w:rPr>
                <w:sz w:val="20"/>
              </w:rPr>
              <w:t>Act</w:t>
            </w:r>
            <w:r w:rsidRPr="00150EDC">
              <w:rPr>
                <w:spacing w:val="-5"/>
                <w:sz w:val="20"/>
              </w:rPr>
              <w:t xml:space="preserve"> </w:t>
            </w:r>
            <w:r w:rsidRPr="00150EDC">
              <w:rPr>
                <w:sz w:val="20"/>
              </w:rPr>
              <w:t>1998,</w:t>
            </w:r>
            <w:r w:rsidRPr="00150EDC">
              <w:rPr>
                <w:spacing w:val="-5"/>
                <w:sz w:val="20"/>
              </w:rPr>
              <w:t xml:space="preserve"> </w:t>
            </w:r>
            <w:r w:rsidRPr="00150EDC">
              <w:rPr>
                <w:spacing w:val="-2"/>
                <w:sz w:val="20"/>
              </w:rPr>
              <w:t>s31(1)(b)</w:t>
            </w:r>
          </w:p>
        </w:tc>
        <w:tc>
          <w:tcPr>
            <w:tcW w:w="7427" w:type="dxa"/>
          </w:tcPr>
          <w:p w14:paraId="4A758435" w14:textId="77777777" w:rsidR="004C7180" w:rsidRPr="00150EDC" w:rsidRDefault="00CF0754">
            <w:pPr>
              <w:pStyle w:val="TableParagraph"/>
              <w:rPr>
                <w:sz w:val="20"/>
              </w:rPr>
            </w:pPr>
            <w:r w:rsidRPr="00150EDC">
              <w:rPr>
                <w:sz w:val="20"/>
              </w:rPr>
              <w:t>Racially</w:t>
            </w:r>
            <w:r w:rsidRPr="00150EDC">
              <w:rPr>
                <w:spacing w:val="-6"/>
                <w:sz w:val="20"/>
              </w:rPr>
              <w:t xml:space="preserve"> </w:t>
            </w:r>
            <w:r w:rsidRPr="00150EDC">
              <w:rPr>
                <w:sz w:val="20"/>
              </w:rPr>
              <w:t>or</w:t>
            </w:r>
            <w:r w:rsidRPr="00150EDC">
              <w:rPr>
                <w:spacing w:val="-7"/>
                <w:sz w:val="20"/>
              </w:rPr>
              <w:t xml:space="preserve"> </w:t>
            </w:r>
            <w:r w:rsidRPr="00150EDC">
              <w:rPr>
                <w:sz w:val="20"/>
              </w:rPr>
              <w:t>religiously</w:t>
            </w:r>
            <w:r w:rsidRPr="00150EDC">
              <w:rPr>
                <w:spacing w:val="-5"/>
                <w:sz w:val="20"/>
              </w:rPr>
              <w:t xml:space="preserve"> </w:t>
            </w:r>
            <w:r w:rsidRPr="00150EDC">
              <w:rPr>
                <w:sz w:val="20"/>
              </w:rPr>
              <w:t>aggravated</w:t>
            </w:r>
            <w:r w:rsidRPr="00150EDC">
              <w:rPr>
                <w:spacing w:val="-7"/>
                <w:sz w:val="20"/>
              </w:rPr>
              <w:t xml:space="preserve"> </w:t>
            </w:r>
            <w:r w:rsidRPr="00150EDC">
              <w:rPr>
                <w:sz w:val="20"/>
              </w:rPr>
              <w:t>intentional</w:t>
            </w:r>
            <w:r w:rsidRPr="00150EDC">
              <w:rPr>
                <w:spacing w:val="-5"/>
                <w:sz w:val="20"/>
              </w:rPr>
              <w:t xml:space="preserve"> </w:t>
            </w:r>
            <w:r w:rsidRPr="00150EDC">
              <w:rPr>
                <w:sz w:val="20"/>
              </w:rPr>
              <w:t>harassment,</w:t>
            </w:r>
            <w:r w:rsidRPr="00150EDC">
              <w:rPr>
                <w:spacing w:val="-2"/>
                <w:sz w:val="20"/>
              </w:rPr>
              <w:t xml:space="preserve"> </w:t>
            </w:r>
            <w:r w:rsidRPr="00150EDC">
              <w:rPr>
                <w:sz w:val="20"/>
              </w:rPr>
              <w:t>alarm</w:t>
            </w:r>
            <w:r w:rsidRPr="00150EDC">
              <w:rPr>
                <w:spacing w:val="-6"/>
                <w:sz w:val="20"/>
              </w:rPr>
              <w:t xml:space="preserve"> </w:t>
            </w:r>
            <w:r w:rsidRPr="00150EDC">
              <w:rPr>
                <w:sz w:val="20"/>
              </w:rPr>
              <w:t>or</w:t>
            </w:r>
            <w:r w:rsidRPr="00150EDC">
              <w:rPr>
                <w:spacing w:val="-7"/>
                <w:sz w:val="20"/>
              </w:rPr>
              <w:t xml:space="preserve"> </w:t>
            </w:r>
            <w:r w:rsidRPr="00150EDC">
              <w:rPr>
                <w:spacing w:val="-2"/>
                <w:sz w:val="20"/>
              </w:rPr>
              <w:t>distress</w:t>
            </w:r>
          </w:p>
        </w:tc>
      </w:tr>
      <w:tr w:rsidR="004569EE" w:rsidRPr="007D3144" w14:paraId="6075A956" w14:textId="77777777">
        <w:trPr>
          <w:trHeight w:val="255"/>
        </w:trPr>
        <w:tc>
          <w:tcPr>
            <w:tcW w:w="6517" w:type="dxa"/>
          </w:tcPr>
          <w:p w14:paraId="3E5E9789" w14:textId="77777777" w:rsidR="004C7180" w:rsidRPr="00150EDC" w:rsidRDefault="00CF0754">
            <w:pPr>
              <w:pStyle w:val="TableParagraph"/>
              <w:rPr>
                <w:sz w:val="20"/>
              </w:rPr>
            </w:pPr>
            <w:r w:rsidRPr="00150EDC">
              <w:rPr>
                <w:sz w:val="20"/>
              </w:rPr>
              <w:t>Crime</w:t>
            </w:r>
            <w:r w:rsidRPr="00150EDC">
              <w:rPr>
                <w:spacing w:val="-6"/>
                <w:sz w:val="20"/>
              </w:rPr>
              <w:t xml:space="preserve"> </w:t>
            </w:r>
            <w:r w:rsidRPr="00150EDC">
              <w:rPr>
                <w:sz w:val="20"/>
              </w:rPr>
              <w:t>and</w:t>
            </w:r>
            <w:r w:rsidRPr="00150EDC">
              <w:rPr>
                <w:spacing w:val="-6"/>
                <w:sz w:val="20"/>
              </w:rPr>
              <w:t xml:space="preserve"> </w:t>
            </w:r>
            <w:r w:rsidRPr="00150EDC">
              <w:rPr>
                <w:sz w:val="20"/>
              </w:rPr>
              <w:t>Disorder</w:t>
            </w:r>
            <w:r w:rsidRPr="00150EDC">
              <w:rPr>
                <w:spacing w:val="-5"/>
                <w:sz w:val="20"/>
              </w:rPr>
              <w:t xml:space="preserve"> </w:t>
            </w:r>
            <w:r w:rsidRPr="00150EDC">
              <w:rPr>
                <w:sz w:val="20"/>
              </w:rPr>
              <w:t>Act</w:t>
            </w:r>
            <w:r w:rsidRPr="00150EDC">
              <w:rPr>
                <w:spacing w:val="-5"/>
                <w:sz w:val="20"/>
              </w:rPr>
              <w:t xml:space="preserve"> </w:t>
            </w:r>
            <w:r w:rsidRPr="00150EDC">
              <w:rPr>
                <w:sz w:val="20"/>
              </w:rPr>
              <w:t>1998,</w:t>
            </w:r>
            <w:r w:rsidRPr="00150EDC">
              <w:rPr>
                <w:spacing w:val="-5"/>
                <w:sz w:val="20"/>
              </w:rPr>
              <w:t xml:space="preserve"> </w:t>
            </w:r>
            <w:r w:rsidRPr="00150EDC">
              <w:rPr>
                <w:spacing w:val="-2"/>
                <w:sz w:val="20"/>
              </w:rPr>
              <w:t>s32(1)(b)</w:t>
            </w:r>
          </w:p>
        </w:tc>
        <w:tc>
          <w:tcPr>
            <w:tcW w:w="7427" w:type="dxa"/>
          </w:tcPr>
          <w:p w14:paraId="4DE8363D" w14:textId="77777777" w:rsidR="004C7180" w:rsidRPr="00150EDC" w:rsidRDefault="00CF0754">
            <w:pPr>
              <w:pStyle w:val="TableParagraph"/>
              <w:rPr>
                <w:sz w:val="20"/>
              </w:rPr>
            </w:pPr>
            <w:r w:rsidRPr="00150EDC">
              <w:rPr>
                <w:sz w:val="20"/>
              </w:rPr>
              <w:t>Racially</w:t>
            </w:r>
            <w:r w:rsidRPr="00150EDC">
              <w:rPr>
                <w:spacing w:val="-6"/>
                <w:sz w:val="20"/>
              </w:rPr>
              <w:t xml:space="preserve"> </w:t>
            </w:r>
            <w:r w:rsidRPr="00150EDC">
              <w:rPr>
                <w:sz w:val="20"/>
              </w:rPr>
              <w:t>or</w:t>
            </w:r>
            <w:r w:rsidRPr="00150EDC">
              <w:rPr>
                <w:spacing w:val="-6"/>
                <w:sz w:val="20"/>
              </w:rPr>
              <w:t xml:space="preserve"> </w:t>
            </w:r>
            <w:r w:rsidRPr="00150EDC">
              <w:rPr>
                <w:sz w:val="20"/>
              </w:rPr>
              <w:t>religiously</w:t>
            </w:r>
            <w:r w:rsidRPr="00150EDC">
              <w:rPr>
                <w:spacing w:val="-6"/>
                <w:sz w:val="20"/>
              </w:rPr>
              <w:t xml:space="preserve"> </w:t>
            </w:r>
            <w:r w:rsidRPr="00150EDC">
              <w:rPr>
                <w:sz w:val="20"/>
              </w:rPr>
              <w:t>aggravated</w:t>
            </w:r>
            <w:r w:rsidRPr="00150EDC">
              <w:rPr>
                <w:spacing w:val="-6"/>
                <w:sz w:val="20"/>
              </w:rPr>
              <w:t xml:space="preserve"> </w:t>
            </w:r>
            <w:r w:rsidRPr="00150EDC">
              <w:rPr>
                <w:sz w:val="20"/>
              </w:rPr>
              <w:t>fear</w:t>
            </w:r>
            <w:r w:rsidRPr="00150EDC">
              <w:rPr>
                <w:spacing w:val="-6"/>
                <w:sz w:val="20"/>
              </w:rPr>
              <w:t xml:space="preserve"> </w:t>
            </w:r>
            <w:r w:rsidRPr="00150EDC">
              <w:rPr>
                <w:sz w:val="20"/>
              </w:rPr>
              <w:t>of</w:t>
            </w:r>
            <w:r w:rsidRPr="00150EDC">
              <w:rPr>
                <w:spacing w:val="-1"/>
                <w:sz w:val="20"/>
              </w:rPr>
              <w:t xml:space="preserve"> </w:t>
            </w:r>
            <w:r w:rsidRPr="00150EDC">
              <w:rPr>
                <w:spacing w:val="-2"/>
                <w:sz w:val="20"/>
              </w:rPr>
              <w:t>violence</w:t>
            </w:r>
          </w:p>
        </w:tc>
      </w:tr>
      <w:tr w:rsidR="004569EE" w:rsidRPr="007D3144" w14:paraId="67EDA62A" w14:textId="77777777">
        <w:trPr>
          <w:trHeight w:val="510"/>
        </w:trPr>
        <w:tc>
          <w:tcPr>
            <w:tcW w:w="6517" w:type="dxa"/>
          </w:tcPr>
          <w:p w14:paraId="1CEE26A8" w14:textId="77777777" w:rsidR="004C7180" w:rsidRPr="00150EDC" w:rsidRDefault="004C7180">
            <w:pPr>
              <w:pStyle w:val="TableParagraph"/>
              <w:spacing w:before="7" w:line="240" w:lineRule="auto"/>
              <w:ind w:left="0"/>
              <w:rPr>
                <w:sz w:val="24"/>
              </w:rPr>
            </w:pPr>
          </w:p>
          <w:p w14:paraId="774DA969" w14:textId="77777777" w:rsidR="004C7180" w:rsidRPr="00150EDC" w:rsidRDefault="00CF0754">
            <w:pPr>
              <w:pStyle w:val="TableParagraph"/>
              <w:spacing w:before="0"/>
              <w:rPr>
                <w:sz w:val="20"/>
              </w:rPr>
            </w:pPr>
            <w:r w:rsidRPr="00150EDC">
              <w:rPr>
                <w:sz w:val="20"/>
              </w:rPr>
              <w:t>Criminal</w:t>
            </w:r>
            <w:r w:rsidRPr="00150EDC">
              <w:rPr>
                <w:spacing w:val="-6"/>
                <w:sz w:val="20"/>
              </w:rPr>
              <w:t xml:space="preserve"> </w:t>
            </w:r>
            <w:r w:rsidRPr="00150EDC">
              <w:rPr>
                <w:sz w:val="20"/>
              </w:rPr>
              <w:t>Attempts</w:t>
            </w:r>
            <w:r w:rsidRPr="00150EDC">
              <w:rPr>
                <w:spacing w:val="-6"/>
                <w:sz w:val="20"/>
              </w:rPr>
              <w:t xml:space="preserve"> </w:t>
            </w:r>
            <w:r w:rsidRPr="00150EDC">
              <w:rPr>
                <w:sz w:val="20"/>
              </w:rPr>
              <w:t>and</w:t>
            </w:r>
            <w:r w:rsidRPr="00150EDC">
              <w:rPr>
                <w:spacing w:val="-2"/>
                <w:sz w:val="20"/>
              </w:rPr>
              <w:t xml:space="preserve"> </w:t>
            </w:r>
            <w:r w:rsidRPr="00150EDC">
              <w:rPr>
                <w:sz w:val="20"/>
              </w:rPr>
              <w:t>Conspiracy</w:t>
            </w:r>
            <w:r w:rsidRPr="00150EDC">
              <w:rPr>
                <w:spacing w:val="-7"/>
                <w:sz w:val="20"/>
              </w:rPr>
              <w:t xml:space="preserve"> </w:t>
            </w:r>
            <w:r w:rsidRPr="00150EDC">
              <w:rPr>
                <w:sz w:val="20"/>
              </w:rPr>
              <w:t>(Northern</w:t>
            </w:r>
            <w:r w:rsidRPr="00150EDC">
              <w:rPr>
                <w:spacing w:val="-7"/>
                <w:sz w:val="20"/>
              </w:rPr>
              <w:t xml:space="preserve"> </w:t>
            </w:r>
            <w:r w:rsidRPr="00150EDC">
              <w:rPr>
                <w:sz w:val="20"/>
              </w:rPr>
              <w:t>Ireland)</w:t>
            </w:r>
            <w:r w:rsidRPr="00150EDC">
              <w:rPr>
                <w:spacing w:val="-2"/>
                <w:sz w:val="20"/>
              </w:rPr>
              <w:t xml:space="preserve"> </w:t>
            </w:r>
            <w:r w:rsidRPr="00150EDC">
              <w:rPr>
                <w:sz w:val="20"/>
              </w:rPr>
              <w:t>Order</w:t>
            </w:r>
            <w:r w:rsidRPr="00150EDC">
              <w:rPr>
                <w:spacing w:val="-7"/>
                <w:sz w:val="20"/>
              </w:rPr>
              <w:t xml:space="preserve"> </w:t>
            </w:r>
            <w:r w:rsidRPr="00150EDC">
              <w:rPr>
                <w:sz w:val="20"/>
              </w:rPr>
              <w:t>1983,</w:t>
            </w:r>
            <w:r w:rsidRPr="00150EDC">
              <w:rPr>
                <w:spacing w:val="-7"/>
                <w:sz w:val="20"/>
              </w:rPr>
              <w:t xml:space="preserve"> </w:t>
            </w:r>
            <w:r w:rsidRPr="00150EDC">
              <w:rPr>
                <w:sz w:val="20"/>
              </w:rPr>
              <w:t>Art</w:t>
            </w:r>
            <w:r w:rsidRPr="00150EDC">
              <w:rPr>
                <w:spacing w:val="-7"/>
                <w:sz w:val="20"/>
              </w:rPr>
              <w:t xml:space="preserve"> </w:t>
            </w:r>
            <w:r w:rsidRPr="00150EDC">
              <w:rPr>
                <w:spacing w:val="-10"/>
                <w:sz w:val="20"/>
              </w:rPr>
              <w:t>3</w:t>
            </w:r>
          </w:p>
        </w:tc>
        <w:tc>
          <w:tcPr>
            <w:tcW w:w="7427" w:type="dxa"/>
          </w:tcPr>
          <w:p w14:paraId="79690BB0" w14:textId="77777777" w:rsidR="004C7180" w:rsidRPr="00150EDC" w:rsidRDefault="004C7180">
            <w:pPr>
              <w:pStyle w:val="TableParagraph"/>
              <w:spacing w:before="7" w:line="240" w:lineRule="auto"/>
              <w:ind w:left="0"/>
              <w:rPr>
                <w:sz w:val="24"/>
              </w:rPr>
            </w:pPr>
          </w:p>
          <w:p w14:paraId="4DF26A87" w14:textId="77777777" w:rsidR="004C7180" w:rsidRPr="00150EDC" w:rsidRDefault="00CF0754">
            <w:pPr>
              <w:pStyle w:val="TableParagraph"/>
              <w:spacing w:before="0"/>
              <w:rPr>
                <w:sz w:val="20"/>
              </w:rPr>
            </w:pPr>
            <w:r w:rsidRPr="00150EDC">
              <w:rPr>
                <w:sz w:val="20"/>
              </w:rPr>
              <w:t>Attempting</w:t>
            </w:r>
            <w:r w:rsidRPr="00150EDC">
              <w:rPr>
                <w:spacing w:val="-5"/>
                <w:sz w:val="20"/>
              </w:rPr>
              <w:t xml:space="preserve"> </w:t>
            </w:r>
            <w:r w:rsidRPr="00150EDC">
              <w:rPr>
                <w:sz w:val="20"/>
              </w:rPr>
              <w:t>to</w:t>
            </w:r>
            <w:r w:rsidRPr="00150EDC">
              <w:rPr>
                <w:spacing w:val="-5"/>
                <w:sz w:val="20"/>
              </w:rPr>
              <w:t xml:space="preserve"> </w:t>
            </w:r>
            <w:r w:rsidRPr="00150EDC">
              <w:rPr>
                <w:sz w:val="20"/>
              </w:rPr>
              <w:t>commit</w:t>
            </w:r>
            <w:r w:rsidRPr="00150EDC">
              <w:rPr>
                <w:spacing w:val="-4"/>
                <w:sz w:val="20"/>
              </w:rPr>
              <w:t xml:space="preserve"> </w:t>
            </w:r>
            <w:r w:rsidRPr="00150EDC">
              <w:rPr>
                <w:sz w:val="20"/>
              </w:rPr>
              <w:t>an</w:t>
            </w:r>
            <w:r w:rsidRPr="00150EDC">
              <w:rPr>
                <w:spacing w:val="1"/>
                <w:sz w:val="20"/>
              </w:rPr>
              <w:t xml:space="preserve"> </w:t>
            </w:r>
            <w:r w:rsidRPr="00150EDC">
              <w:rPr>
                <w:spacing w:val="-2"/>
                <w:sz w:val="20"/>
              </w:rPr>
              <w:t>offence</w:t>
            </w:r>
          </w:p>
        </w:tc>
      </w:tr>
      <w:tr w:rsidR="004569EE" w:rsidRPr="007D3144" w14:paraId="10C7A762" w14:textId="77777777">
        <w:trPr>
          <w:trHeight w:val="255"/>
        </w:trPr>
        <w:tc>
          <w:tcPr>
            <w:tcW w:w="6517" w:type="dxa"/>
          </w:tcPr>
          <w:p w14:paraId="230C9365" w14:textId="77777777" w:rsidR="004C7180" w:rsidRPr="00150EDC" w:rsidRDefault="00CF0754">
            <w:pPr>
              <w:pStyle w:val="TableParagraph"/>
              <w:rPr>
                <w:sz w:val="20"/>
              </w:rPr>
            </w:pPr>
            <w:r w:rsidRPr="00150EDC">
              <w:rPr>
                <w:sz w:val="20"/>
              </w:rPr>
              <w:t>Criminal</w:t>
            </w:r>
            <w:r w:rsidRPr="00150EDC">
              <w:rPr>
                <w:spacing w:val="-8"/>
                <w:sz w:val="20"/>
              </w:rPr>
              <w:t xml:space="preserve"> </w:t>
            </w:r>
            <w:r w:rsidRPr="00150EDC">
              <w:rPr>
                <w:sz w:val="20"/>
              </w:rPr>
              <w:t>Code</w:t>
            </w:r>
            <w:r w:rsidRPr="00150EDC">
              <w:rPr>
                <w:spacing w:val="-4"/>
                <w:sz w:val="20"/>
              </w:rPr>
              <w:t xml:space="preserve"> </w:t>
            </w:r>
            <w:r w:rsidRPr="00150EDC">
              <w:rPr>
                <w:sz w:val="20"/>
              </w:rPr>
              <w:t>1872,</w:t>
            </w:r>
            <w:r w:rsidRPr="00150EDC">
              <w:rPr>
                <w:spacing w:val="-9"/>
                <w:sz w:val="20"/>
              </w:rPr>
              <w:t xml:space="preserve"> </w:t>
            </w:r>
            <w:r w:rsidRPr="00150EDC">
              <w:rPr>
                <w:spacing w:val="-5"/>
                <w:sz w:val="20"/>
              </w:rPr>
              <w:t>s3</w:t>
            </w:r>
          </w:p>
        </w:tc>
        <w:tc>
          <w:tcPr>
            <w:tcW w:w="7427" w:type="dxa"/>
          </w:tcPr>
          <w:p w14:paraId="347F4004" w14:textId="77777777" w:rsidR="004C7180" w:rsidRPr="00150EDC" w:rsidRDefault="00CF0754">
            <w:pPr>
              <w:pStyle w:val="TableParagraph"/>
              <w:rPr>
                <w:sz w:val="20"/>
              </w:rPr>
            </w:pPr>
            <w:r w:rsidRPr="00150EDC">
              <w:rPr>
                <w:sz w:val="20"/>
              </w:rPr>
              <w:t>Violating</w:t>
            </w:r>
            <w:r w:rsidRPr="00150EDC">
              <w:rPr>
                <w:spacing w:val="-6"/>
                <w:sz w:val="20"/>
              </w:rPr>
              <w:t xml:space="preserve"> </w:t>
            </w:r>
            <w:r w:rsidRPr="00150EDC">
              <w:rPr>
                <w:sz w:val="20"/>
              </w:rPr>
              <w:t>female</w:t>
            </w:r>
            <w:r w:rsidRPr="00150EDC">
              <w:rPr>
                <w:spacing w:val="-6"/>
                <w:sz w:val="20"/>
              </w:rPr>
              <w:t xml:space="preserve"> </w:t>
            </w:r>
            <w:r w:rsidRPr="00150EDC">
              <w:rPr>
                <w:sz w:val="20"/>
              </w:rPr>
              <w:t>heir</w:t>
            </w:r>
            <w:r w:rsidRPr="00150EDC">
              <w:rPr>
                <w:spacing w:val="-2"/>
                <w:sz w:val="20"/>
              </w:rPr>
              <w:t xml:space="preserve"> </w:t>
            </w:r>
            <w:r w:rsidRPr="00150EDC">
              <w:rPr>
                <w:sz w:val="20"/>
              </w:rPr>
              <w:t>to</w:t>
            </w:r>
            <w:r w:rsidRPr="00150EDC">
              <w:rPr>
                <w:spacing w:val="-5"/>
                <w:sz w:val="20"/>
              </w:rPr>
              <w:t xml:space="preserve"> </w:t>
            </w:r>
            <w:r w:rsidRPr="00150EDC">
              <w:rPr>
                <w:spacing w:val="-4"/>
                <w:sz w:val="20"/>
              </w:rPr>
              <w:t>Crown</w:t>
            </w:r>
          </w:p>
        </w:tc>
      </w:tr>
      <w:tr w:rsidR="004569EE" w:rsidRPr="007D3144" w14:paraId="6C9183D3" w14:textId="77777777">
        <w:trPr>
          <w:trHeight w:val="255"/>
        </w:trPr>
        <w:tc>
          <w:tcPr>
            <w:tcW w:w="6517" w:type="dxa"/>
          </w:tcPr>
          <w:p w14:paraId="566D0A7B" w14:textId="77777777" w:rsidR="004C7180" w:rsidRPr="00150EDC" w:rsidRDefault="00CF0754">
            <w:pPr>
              <w:pStyle w:val="TableParagraph"/>
              <w:rPr>
                <w:sz w:val="20"/>
              </w:rPr>
            </w:pPr>
            <w:r w:rsidRPr="00150EDC">
              <w:rPr>
                <w:sz w:val="20"/>
              </w:rPr>
              <w:t>Criminal</w:t>
            </w:r>
            <w:r w:rsidRPr="00150EDC">
              <w:rPr>
                <w:spacing w:val="-8"/>
                <w:sz w:val="20"/>
              </w:rPr>
              <w:t xml:space="preserve"> </w:t>
            </w:r>
            <w:r w:rsidRPr="00150EDC">
              <w:rPr>
                <w:sz w:val="20"/>
              </w:rPr>
              <w:t>Code</w:t>
            </w:r>
            <w:r w:rsidRPr="00150EDC">
              <w:rPr>
                <w:spacing w:val="-4"/>
                <w:sz w:val="20"/>
              </w:rPr>
              <w:t xml:space="preserve"> </w:t>
            </w:r>
            <w:r w:rsidRPr="00150EDC">
              <w:rPr>
                <w:sz w:val="20"/>
              </w:rPr>
              <w:t>1872,</w:t>
            </w:r>
            <w:r w:rsidRPr="00150EDC">
              <w:rPr>
                <w:spacing w:val="-9"/>
                <w:sz w:val="20"/>
              </w:rPr>
              <w:t xml:space="preserve"> </w:t>
            </w:r>
            <w:r w:rsidRPr="00150EDC">
              <w:rPr>
                <w:spacing w:val="-5"/>
                <w:sz w:val="20"/>
              </w:rPr>
              <w:t>s4</w:t>
            </w:r>
          </w:p>
        </w:tc>
        <w:tc>
          <w:tcPr>
            <w:tcW w:w="7427" w:type="dxa"/>
          </w:tcPr>
          <w:p w14:paraId="3037ED25" w14:textId="77777777" w:rsidR="004C7180" w:rsidRPr="00150EDC" w:rsidRDefault="00CF0754">
            <w:pPr>
              <w:pStyle w:val="TableParagraph"/>
              <w:rPr>
                <w:sz w:val="20"/>
              </w:rPr>
            </w:pPr>
            <w:r w:rsidRPr="00150EDC">
              <w:rPr>
                <w:sz w:val="20"/>
              </w:rPr>
              <w:t>Levying</w:t>
            </w:r>
            <w:r w:rsidRPr="00150EDC">
              <w:rPr>
                <w:spacing w:val="-6"/>
                <w:sz w:val="20"/>
              </w:rPr>
              <w:t xml:space="preserve"> </w:t>
            </w:r>
            <w:r w:rsidRPr="00150EDC">
              <w:rPr>
                <w:sz w:val="20"/>
              </w:rPr>
              <w:t>war or</w:t>
            </w:r>
            <w:r w:rsidRPr="00150EDC">
              <w:rPr>
                <w:spacing w:val="-6"/>
                <w:sz w:val="20"/>
              </w:rPr>
              <w:t xml:space="preserve"> </w:t>
            </w:r>
            <w:r w:rsidRPr="00150EDC">
              <w:rPr>
                <w:sz w:val="20"/>
              </w:rPr>
              <w:t>adhering</w:t>
            </w:r>
            <w:r w:rsidRPr="00150EDC">
              <w:rPr>
                <w:spacing w:val="-5"/>
                <w:sz w:val="20"/>
              </w:rPr>
              <w:t xml:space="preserve"> </w:t>
            </w:r>
            <w:r w:rsidRPr="00150EDC">
              <w:rPr>
                <w:sz w:val="20"/>
              </w:rPr>
              <w:t>to</w:t>
            </w:r>
            <w:r w:rsidRPr="00150EDC">
              <w:rPr>
                <w:spacing w:val="-1"/>
                <w:sz w:val="20"/>
              </w:rPr>
              <w:t xml:space="preserve"> </w:t>
            </w:r>
            <w:r w:rsidRPr="00150EDC">
              <w:rPr>
                <w:sz w:val="20"/>
              </w:rPr>
              <w:t>the</w:t>
            </w:r>
            <w:r w:rsidRPr="00150EDC">
              <w:rPr>
                <w:spacing w:val="-5"/>
                <w:sz w:val="20"/>
              </w:rPr>
              <w:t xml:space="preserve"> </w:t>
            </w:r>
            <w:r w:rsidRPr="00150EDC">
              <w:rPr>
                <w:sz w:val="20"/>
              </w:rPr>
              <w:t>King</w:t>
            </w:r>
            <w:r w:rsidRPr="00150EDC">
              <w:rPr>
                <w:spacing w:val="-1"/>
                <w:sz w:val="20"/>
              </w:rPr>
              <w:t xml:space="preserve"> </w:t>
            </w:r>
            <w:r w:rsidRPr="00150EDC">
              <w:rPr>
                <w:sz w:val="20"/>
              </w:rPr>
              <w:t>or</w:t>
            </w:r>
            <w:r w:rsidRPr="00150EDC">
              <w:rPr>
                <w:spacing w:val="-5"/>
                <w:sz w:val="20"/>
              </w:rPr>
              <w:t xml:space="preserve"> </w:t>
            </w:r>
            <w:r w:rsidRPr="00150EDC">
              <w:rPr>
                <w:sz w:val="20"/>
              </w:rPr>
              <w:t>Queen's</w:t>
            </w:r>
            <w:r w:rsidRPr="00150EDC">
              <w:rPr>
                <w:spacing w:val="-5"/>
                <w:sz w:val="20"/>
              </w:rPr>
              <w:t xml:space="preserve"> </w:t>
            </w:r>
            <w:r w:rsidRPr="00150EDC">
              <w:rPr>
                <w:spacing w:val="-2"/>
                <w:sz w:val="20"/>
              </w:rPr>
              <w:t>enemies</w:t>
            </w:r>
          </w:p>
        </w:tc>
      </w:tr>
      <w:tr w:rsidR="004569EE" w:rsidRPr="007D3144" w14:paraId="09142204" w14:textId="77777777">
        <w:trPr>
          <w:trHeight w:val="255"/>
        </w:trPr>
        <w:tc>
          <w:tcPr>
            <w:tcW w:w="6517" w:type="dxa"/>
          </w:tcPr>
          <w:p w14:paraId="257B1843" w14:textId="77777777" w:rsidR="004C7180" w:rsidRPr="00150EDC" w:rsidRDefault="00CF0754">
            <w:pPr>
              <w:pStyle w:val="TableParagraph"/>
              <w:rPr>
                <w:sz w:val="20"/>
              </w:rPr>
            </w:pPr>
            <w:r w:rsidRPr="00150EDC">
              <w:rPr>
                <w:sz w:val="20"/>
              </w:rPr>
              <w:t>Criminal</w:t>
            </w:r>
            <w:r w:rsidRPr="00150EDC">
              <w:rPr>
                <w:spacing w:val="-8"/>
                <w:sz w:val="20"/>
              </w:rPr>
              <w:t xml:space="preserve"> </w:t>
            </w:r>
            <w:r w:rsidRPr="00150EDC">
              <w:rPr>
                <w:sz w:val="20"/>
              </w:rPr>
              <w:t>Code</w:t>
            </w:r>
            <w:r w:rsidRPr="00150EDC">
              <w:rPr>
                <w:spacing w:val="-4"/>
                <w:sz w:val="20"/>
              </w:rPr>
              <w:t xml:space="preserve"> </w:t>
            </w:r>
            <w:r w:rsidRPr="00150EDC">
              <w:rPr>
                <w:sz w:val="20"/>
              </w:rPr>
              <w:t>1872,</w:t>
            </w:r>
            <w:r w:rsidRPr="00150EDC">
              <w:rPr>
                <w:spacing w:val="-9"/>
                <w:sz w:val="20"/>
              </w:rPr>
              <w:t xml:space="preserve"> </w:t>
            </w:r>
            <w:r w:rsidRPr="00150EDC">
              <w:rPr>
                <w:spacing w:val="-5"/>
                <w:sz w:val="20"/>
              </w:rPr>
              <w:t>s5</w:t>
            </w:r>
          </w:p>
        </w:tc>
        <w:tc>
          <w:tcPr>
            <w:tcW w:w="7427" w:type="dxa"/>
          </w:tcPr>
          <w:p w14:paraId="7E5E7750" w14:textId="77777777" w:rsidR="004C7180" w:rsidRPr="00150EDC" w:rsidRDefault="00CF0754">
            <w:pPr>
              <w:pStyle w:val="TableParagraph"/>
              <w:rPr>
                <w:sz w:val="20"/>
              </w:rPr>
            </w:pPr>
            <w:r w:rsidRPr="00150EDC">
              <w:rPr>
                <w:sz w:val="20"/>
              </w:rPr>
              <w:t>Slaying</w:t>
            </w:r>
            <w:r w:rsidRPr="00150EDC">
              <w:rPr>
                <w:spacing w:val="-9"/>
                <w:sz w:val="20"/>
              </w:rPr>
              <w:t xml:space="preserve"> </w:t>
            </w:r>
            <w:r w:rsidRPr="00150EDC">
              <w:rPr>
                <w:sz w:val="20"/>
              </w:rPr>
              <w:t>Governor,</w:t>
            </w:r>
            <w:r w:rsidRPr="00150EDC">
              <w:rPr>
                <w:spacing w:val="-4"/>
                <w:sz w:val="20"/>
              </w:rPr>
              <w:t xml:space="preserve"> </w:t>
            </w:r>
            <w:r w:rsidRPr="00150EDC">
              <w:rPr>
                <w:spacing w:val="-5"/>
                <w:sz w:val="20"/>
              </w:rPr>
              <w:t>etc</w:t>
            </w:r>
          </w:p>
        </w:tc>
      </w:tr>
      <w:tr w:rsidR="004569EE" w:rsidRPr="007D3144" w14:paraId="68973C7C" w14:textId="77777777">
        <w:trPr>
          <w:trHeight w:val="255"/>
        </w:trPr>
        <w:tc>
          <w:tcPr>
            <w:tcW w:w="6517" w:type="dxa"/>
          </w:tcPr>
          <w:p w14:paraId="6469A0EF" w14:textId="77777777" w:rsidR="004C7180" w:rsidRPr="00150EDC" w:rsidRDefault="00CF0754">
            <w:pPr>
              <w:pStyle w:val="TableParagraph"/>
              <w:spacing w:before="28"/>
              <w:rPr>
                <w:sz w:val="20"/>
              </w:rPr>
            </w:pPr>
            <w:r w:rsidRPr="00150EDC">
              <w:rPr>
                <w:sz w:val="20"/>
              </w:rPr>
              <w:t>Criminal</w:t>
            </w:r>
            <w:r w:rsidRPr="00150EDC">
              <w:rPr>
                <w:spacing w:val="-8"/>
                <w:sz w:val="20"/>
              </w:rPr>
              <w:t xml:space="preserve"> </w:t>
            </w:r>
            <w:r w:rsidRPr="00150EDC">
              <w:rPr>
                <w:sz w:val="20"/>
              </w:rPr>
              <w:t>Code</w:t>
            </w:r>
            <w:r w:rsidRPr="00150EDC">
              <w:rPr>
                <w:spacing w:val="-4"/>
                <w:sz w:val="20"/>
              </w:rPr>
              <w:t xml:space="preserve"> </w:t>
            </w:r>
            <w:r w:rsidRPr="00150EDC">
              <w:rPr>
                <w:sz w:val="20"/>
              </w:rPr>
              <w:t>1872,</w:t>
            </w:r>
            <w:r w:rsidRPr="00150EDC">
              <w:rPr>
                <w:spacing w:val="-9"/>
                <w:sz w:val="20"/>
              </w:rPr>
              <w:t xml:space="preserve"> </w:t>
            </w:r>
            <w:r w:rsidRPr="00150EDC">
              <w:rPr>
                <w:spacing w:val="-5"/>
                <w:sz w:val="20"/>
              </w:rPr>
              <w:t>s11</w:t>
            </w:r>
          </w:p>
        </w:tc>
        <w:tc>
          <w:tcPr>
            <w:tcW w:w="7427" w:type="dxa"/>
          </w:tcPr>
          <w:p w14:paraId="434FD47B" w14:textId="77777777" w:rsidR="004C7180" w:rsidRPr="00150EDC" w:rsidRDefault="00CF0754">
            <w:pPr>
              <w:pStyle w:val="TableParagraph"/>
              <w:spacing w:before="28"/>
              <w:rPr>
                <w:sz w:val="20"/>
              </w:rPr>
            </w:pPr>
            <w:r w:rsidRPr="00150EDC">
              <w:rPr>
                <w:sz w:val="20"/>
              </w:rPr>
              <w:t>Inciting</w:t>
            </w:r>
            <w:r w:rsidRPr="00150EDC">
              <w:rPr>
                <w:spacing w:val="-7"/>
                <w:sz w:val="20"/>
              </w:rPr>
              <w:t xml:space="preserve"> </w:t>
            </w:r>
            <w:r w:rsidRPr="00150EDC">
              <w:rPr>
                <w:sz w:val="20"/>
              </w:rPr>
              <w:t>to</w:t>
            </w:r>
            <w:r w:rsidRPr="00150EDC">
              <w:rPr>
                <w:spacing w:val="-2"/>
                <w:sz w:val="20"/>
              </w:rPr>
              <w:t xml:space="preserve"> mutiny</w:t>
            </w:r>
          </w:p>
        </w:tc>
      </w:tr>
      <w:tr w:rsidR="004569EE" w:rsidRPr="007D3144" w14:paraId="2D915ED4" w14:textId="77777777">
        <w:trPr>
          <w:trHeight w:val="255"/>
        </w:trPr>
        <w:tc>
          <w:tcPr>
            <w:tcW w:w="6517" w:type="dxa"/>
          </w:tcPr>
          <w:p w14:paraId="0CF85E08" w14:textId="77777777" w:rsidR="004C7180" w:rsidRPr="00150EDC" w:rsidRDefault="00CF0754">
            <w:pPr>
              <w:pStyle w:val="TableParagraph"/>
              <w:rPr>
                <w:sz w:val="20"/>
              </w:rPr>
            </w:pPr>
            <w:r w:rsidRPr="00150EDC">
              <w:rPr>
                <w:sz w:val="20"/>
              </w:rPr>
              <w:t>Criminal</w:t>
            </w:r>
            <w:r w:rsidRPr="00150EDC">
              <w:rPr>
                <w:spacing w:val="-8"/>
                <w:sz w:val="20"/>
              </w:rPr>
              <w:t xml:space="preserve"> </w:t>
            </w:r>
            <w:r w:rsidRPr="00150EDC">
              <w:rPr>
                <w:sz w:val="20"/>
              </w:rPr>
              <w:t>Code</w:t>
            </w:r>
            <w:r w:rsidRPr="00150EDC">
              <w:rPr>
                <w:spacing w:val="-4"/>
                <w:sz w:val="20"/>
              </w:rPr>
              <w:t xml:space="preserve"> </w:t>
            </w:r>
            <w:r w:rsidRPr="00150EDC">
              <w:rPr>
                <w:sz w:val="20"/>
              </w:rPr>
              <w:t>1872,</w:t>
            </w:r>
            <w:r w:rsidRPr="00150EDC">
              <w:rPr>
                <w:spacing w:val="-9"/>
                <w:sz w:val="20"/>
              </w:rPr>
              <w:t xml:space="preserve"> </w:t>
            </w:r>
            <w:r w:rsidRPr="00150EDC">
              <w:rPr>
                <w:spacing w:val="-5"/>
                <w:sz w:val="20"/>
              </w:rPr>
              <w:t>s12</w:t>
            </w:r>
          </w:p>
        </w:tc>
        <w:tc>
          <w:tcPr>
            <w:tcW w:w="7427" w:type="dxa"/>
          </w:tcPr>
          <w:p w14:paraId="2F3C0B7C" w14:textId="77777777" w:rsidR="004C7180" w:rsidRPr="00150EDC" w:rsidRDefault="00CF0754">
            <w:pPr>
              <w:pStyle w:val="TableParagraph"/>
              <w:rPr>
                <w:sz w:val="20"/>
              </w:rPr>
            </w:pPr>
            <w:r w:rsidRPr="00150EDC">
              <w:rPr>
                <w:sz w:val="20"/>
              </w:rPr>
              <w:t>Discharging</w:t>
            </w:r>
            <w:r w:rsidRPr="00150EDC">
              <w:rPr>
                <w:spacing w:val="-1"/>
                <w:sz w:val="20"/>
              </w:rPr>
              <w:t xml:space="preserve"> </w:t>
            </w:r>
            <w:r w:rsidRPr="00150EDC">
              <w:rPr>
                <w:sz w:val="20"/>
              </w:rPr>
              <w:t>or</w:t>
            </w:r>
            <w:r w:rsidRPr="00150EDC">
              <w:rPr>
                <w:spacing w:val="-4"/>
                <w:sz w:val="20"/>
              </w:rPr>
              <w:t xml:space="preserve"> </w:t>
            </w:r>
            <w:r w:rsidRPr="00150EDC">
              <w:rPr>
                <w:sz w:val="20"/>
              </w:rPr>
              <w:t>aiming</w:t>
            </w:r>
            <w:r w:rsidRPr="00150EDC">
              <w:rPr>
                <w:spacing w:val="-5"/>
                <w:sz w:val="20"/>
              </w:rPr>
              <w:t xml:space="preserve"> </w:t>
            </w:r>
            <w:r w:rsidRPr="00150EDC">
              <w:rPr>
                <w:sz w:val="20"/>
              </w:rPr>
              <w:t>firearms,</w:t>
            </w:r>
            <w:r w:rsidRPr="00150EDC">
              <w:rPr>
                <w:spacing w:val="-5"/>
                <w:sz w:val="20"/>
              </w:rPr>
              <w:t xml:space="preserve"> </w:t>
            </w:r>
            <w:r w:rsidRPr="00150EDC">
              <w:rPr>
                <w:sz w:val="20"/>
              </w:rPr>
              <w:t>etc,</w:t>
            </w:r>
            <w:r w:rsidRPr="00150EDC">
              <w:rPr>
                <w:spacing w:val="-5"/>
                <w:sz w:val="20"/>
              </w:rPr>
              <w:t xml:space="preserve"> </w:t>
            </w:r>
            <w:r w:rsidRPr="00150EDC">
              <w:rPr>
                <w:sz w:val="20"/>
              </w:rPr>
              <w:t>at</w:t>
            </w:r>
            <w:r w:rsidRPr="00150EDC">
              <w:rPr>
                <w:spacing w:val="-5"/>
                <w:sz w:val="20"/>
              </w:rPr>
              <w:t xml:space="preserve"> </w:t>
            </w:r>
            <w:r w:rsidRPr="00150EDC">
              <w:rPr>
                <w:spacing w:val="-2"/>
                <w:sz w:val="20"/>
              </w:rPr>
              <w:t>Sovereign</w:t>
            </w:r>
          </w:p>
        </w:tc>
      </w:tr>
      <w:tr w:rsidR="004569EE" w:rsidRPr="007D3144" w14:paraId="770BC046" w14:textId="77777777">
        <w:trPr>
          <w:trHeight w:val="255"/>
        </w:trPr>
        <w:tc>
          <w:tcPr>
            <w:tcW w:w="6517" w:type="dxa"/>
          </w:tcPr>
          <w:p w14:paraId="3CEFA922" w14:textId="77777777" w:rsidR="004C7180" w:rsidRPr="00150EDC" w:rsidRDefault="00CF0754">
            <w:pPr>
              <w:pStyle w:val="TableParagraph"/>
              <w:rPr>
                <w:sz w:val="20"/>
              </w:rPr>
            </w:pPr>
            <w:r w:rsidRPr="00150EDC">
              <w:rPr>
                <w:sz w:val="20"/>
              </w:rPr>
              <w:t>Criminal</w:t>
            </w:r>
            <w:r w:rsidRPr="00150EDC">
              <w:rPr>
                <w:spacing w:val="-8"/>
                <w:sz w:val="20"/>
              </w:rPr>
              <w:t xml:space="preserve"> </w:t>
            </w:r>
            <w:r w:rsidRPr="00150EDC">
              <w:rPr>
                <w:sz w:val="20"/>
              </w:rPr>
              <w:t>Code</w:t>
            </w:r>
            <w:r w:rsidRPr="00150EDC">
              <w:rPr>
                <w:spacing w:val="-4"/>
                <w:sz w:val="20"/>
              </w:rPr>
              <w:t xml:space="preserve"> </w:t>
            </w:r>
            <w:r w:rsidRPr="00150EDC">
              <w:rPr>
                <w:sz w:val="20"/>
              </w:rPr>
              <w:t>1872,</w:t>
            </w:r>
            <w:r w:rsidRPr="00150EDC">
              <w:rPr>
                <w:spacing w:val="-9"/>
                <w:sz w:val="20"/>
              </w:rPr>
              <w:t xml:space="preserve"> </w:t>
            </w:r>
            <w:r w:rsidRPr="00150EDC">
              <w:rPr>
                <w:spacing w:val="-5"/>
                <w:sz w:val="20"/>
              </w:rPr>
              <w:t>s18</w:t>
            </w:r>
          </w:p>
        </w:tc>
        <w:tc>
          <w:tcPr>
            <w:tcW w:w="7427" w:type="dxa"/>
          </w:tcPr>
          <w:p w14:paraId="51384715" w14:textId="77777777" w:rsidR="004C7180" w:rsidRPr="00150EDC" w:rsidRDefault="00CF0754">
            <w:pPr>
              <w:pStyle w:val="TableParagraph"/>
              <w:rPr>
                <w:sz w:val="20"/>
              </w:rPr>
            </w:pPr>
            <w:r w:rsidRPr="00150EDC">
              <w:rPr>
                <w:spacing w:val="-2"/>
                <w:sz w:val="20"/>
              </w:rPr>
              <w:t>Murder</w:t>
            </w:r>
          </w:p>
        </w:tc>
      </w:tr>
      <w:tr w:rsidR="004569EE" w:rsidRPr="007D3144" w14:paraId="1FF9141C" w14:textId="77777777">
        <w:trPr>
          <w:trHeight w:val="255"/>
        </w:trPr>
        <w:tc>
          <w:tcPr>
            <w:tcW w:w="6517" w:type="dxa"/>
          </w:tcPr>
          <w:p w14:paraId="18DC40DB" w14:textId="77777777" w:rsidR="004C7180" w:rsidRPr="00150EDC" w:rsidRDefault="00CF0754">
            <w:pPr>
              <w:pStyle w:val="TableParagraph"/>
              <w:rPr>
                <w:sz w:val="20"/>
              </w:rPr>
            </w:pPr>
            <w:r w:rsidRPr="00150EDC">
              <w:rPr>
                <w:sz w:val="20"/>
              </w:rPr>
              <w:t>Criminal</w:t>
            </w:r>
            <w:r w:rsidRPr="00150EDC">
              <w:rPr>
                <w:spacing w:val="-8"/>
                <w:sz w:val="20"/>
              </w:rPr>
              <w:t xml:space="preserve"> </w:t>
            </w:r>
            <w:r w:rsidRPr="00150EDC">
              <w:rPr>
                <w:sz w:val="20"/>
              </w:rPr>
              <w:t>Code</w:t>
            </w:r>
            <w:r w:rsidRPr="00150EDC">
              <w:rPr>
                <w:spacing w:val="-4"/>
                <w:sz w:val="20"/>
              </w:rPr>
              <w:t xml:space="preserve"> </w:t>
            </w:r>
            <w:r w:rsidRPr="00150EDC">
              <w:rPr>
                <w:sz w:val="20"/>
              </w:rPr>
              <w:t>1872,</w:t>
            </w:r>
            <w:r w:rsidRPr="00150EDC">
              <w:rPr>
                <w:spacing w:val="-9"/>
                <w:sz w:val="20"/>
              </w:rPr>
              <w:t xml:space="preserve"> </w:t>
            </w:r>
            <w:r w:rsidRPr="00150EDC">
              <w:rPr>
                <w:spacing w:val="-5"/>
                <w:sz w:val="20"/>
              </w:rPr>
              <w:t>s19</w:t>
            </w:r>
          </w:p>
        </w:tc>
        <w:tc>
          <w:tcPr>
            <w:tcW w:w="7427" w:type="dxa"/>
          </w:tcPr>
          <w:p w14:paraId="54B0DC1C" w14:textId="77777777" w:rsidR="004C7180" w:rsidRPr="00150EDC" w:rsidRDefault="00CF0754">
            <w:pPr>
              <w:pStyle w:val="TableParagraph"/>
              <w:rPr>
                <w:sz w:val="20"/>
              </w:rPr>
            </w:pPr>
            <w:r w:rsidRPr="00150EDC">
              <w:rPr>
                <w:sz w:val="20"/>
              </w:rPr>
              <w:t>Conspiring</w:t>
            </w:r>
            <w:r w:rsidRPr="00150EDC">
              <w:rPr>
                <w:spacing w:val="-3"/>
                <w:sz w:val="20"/>
              </w:rPr>
              <w:t xml:space="preserve"> </w:t>
            </w:r>
            <w:r w:rsidRPr="00150EDC">
              <w:rPr>
                <w:sz w:val="20"/>
              </w:rPr>
              <w:t>or</w:t>
            </w:r>
            <w:r w:rsidRPr="00150EDC">
              <w:rPr>
                <w:spacing w:val="-7"/>
                <w:sz w:val="20"/>
              </w:rPr>
              <w:t xml:space="preserve"> </w:t>
            </w:r>
            <w:r w:rsidRPr="00150EDC">
              <w:rPr>
                <w:sz w:val="20"/>
              </w:rPr>
              <w:t>soliciting</w:t>
            </w:r>
            <w:r w:rsidRPr="00150EDC">
              <w:rPr>
                <w:spacing w:val="-3"/>
                <w:sz w:val="20"/>
              </w:rPr>
              <w:t xml:space="preserve"> </w:t>
            </w:r>
            <w:r w:rsidRPr="00150EDC">
              <w:rPr>
                <w:sz w:val="20"/>
              </w:rPr>
              <w:t>to</w:t>
            </w:r>
            <w:r w:rsidRPr="00150EDC">
              <w:rPr>
                <w:spacing w:val="-7"/>
                <w:sz w:val="20"/>
              </w:rPr>
              <w:t xml:space="preserve"> </w:t>
            </w:r>
            <w:r w:rsidRPr="00150EDC">
              <w:rPr>
                <w:sz w:val="20"/>
              </w:rPr>
              <w:t>commit</w:t>
            </w:r>
            <w:r w:rsidRPr="00150EDC">
              <w:rPr>
                <w:spacing w:val="-6"/>
                <w:sz w:val="20"/>
              </w:rPr>
              <w:t xml:space="preserve"> </w:t>
            </w:r>
            <w:r w:rsidRPr="00150EDC">
              <w:rPr>
                <w:spacing w:val="-2"/>
                <w:sz w:val="20"/>
              </w:rPr>
              <w:t>murder</w:t>
            </w:r>
          </w:p>
        </w:tc>
      </w:tr>
      <w:tr w:rsidR="004569EE" w:rsidRPr="007D3144" w14:paraId="5B0EE7B2" w14:textId="77777777">
        <w:trPr>
          <w:trHeight w:val="255"/>
        </w:trPr>
        <w:tc>
          <w:tcPr>
            <w:tcW w:w="6517" w:type="dxa"/>
          </w:tcPr>
          <w:p w14:paraId="31854C44" w14:textId="77777777" w:rsidR="004C7180" w:rsidRPr="00150EDC" w:rsidRDefault="00CF0754">
            <w:pPr>
              <w:pStyle w:val="TableParagraph"/>
              <w:spacing w:before="28"/>
              <w:rPr>
                <w:sz w:val="20"/>
              </w:rPr>
            </w:pPr>
            <w:r w:rsidRPr="00150EDC">
              <w:rPr>
                <w:sz w:val="20"/>
              </w:rPr>
              <w:t>Criminal</w:t>
            </w:r>
            <w:r w:rsidRPr="00150EDC">
              <w:rPr>
                <w:spacing w:val="-8"/>
                <w:sz w:val="20"/>
              </w:rPr>
              <w:t xml:space="preserve"> </w:t>
            </w:r>
            <w:r w:rsidRPr="00150EDC">
              <w:rPr>
                <w:sz w:val="20"/>
              </w:rPr>
              <w:t>Code</w:t>
            </w:r>
            <w:r w:rsidRPr="00150EDC">
              <w:rPr>
                <w:spacing w:val="-4"/>
                <w:sz w:val="20"/>
              </w:rPr>
              <w:t xml:space="preserve"> </w:t>
            </w:r>
            <w:r w:rsidRPr="00150EDC">
              <w:rPr>
                <w:sz w:val="20"/>
              </w:rPr>
              <w:t>1872,</w:t>
            </w:r>
            <w:r w:rsidRPr="00150EDC">
              <w:rPr>
                <w:spacing w:val="-9"/>
                <w:sz w:val="20"/>
              </w:rPr>
              <w:t xml:space="preserve"> </w:t>
            </w:r>
            <w:r w:rsidRPr="00150EDC">
              <w:rPr>
                <w:spacing w:val="-5"/>
                <w:sz w:val="20"/>
              </w:rPr>
              <w:t>s20</w:t>
            </w:r>
          </w:p>
        </w:tc>
        <w:tc>
          <w:tcPr>
            <w:tcW w:w="7427" w:type="dxa"/>
          </w:tcPr>
          <w:p w14:paraId="61CB9B3A" w14:textId="77777777" w:rsidR="004C7180" w:rsidRPr="00150EDC" w:rsidRDefault="00CF0754">
            <w:pPr>
              <w:pStyle w:val="TableParagraph"/>
              <w:spacing w:before="28"/>
              <w:rPr>
                <w:sz w:val="20"/>
              </w:rPr>
            </w:pPr>
            <w:r w:rsidRPr="00150EDC">
              <w:rPr>
                <w:spacing w:val="-2"/>
                <w:sz w:val="20"/>
              </w:rPr>
              <w:t>Manslaughter</w:t>
            </w:r>
          </w:p>
        </w:tc>
      </w:tr>
      <w:tr w:rsidR="004569EE" w:rsidRPr="007D3144" w14:paraId="1D9A2A76" w14:textId="77777777">
        <w:trPr>
          <w:trHeight w:val="255"/>
        </w:trPr>
        <w:tc>
          <w:tcPr>
            <w:tcW w:w="6517" w:type="dxa"/>
          </w:tcPr>
          <w:p w14:paraId="65DB7985" w14:textId="77777777" w:rsidR="004C7180" w:rsidRPr="00150EDC" w:rsidRDefault="00CF0754">
            <w:pPr>
              <w:pStyle w:val="TableParagraph"/>
              <w:rPr>
                <w:sz w:val="20"/>
              </w:rPr>
            </w:pPr>
            <w:r w:rsidRPr="00150EDC">
              <w:rPr>
                <w:sz w:val="20"/>
              </w:rPr>
              <w:t>Criminal</w:t>
            </w:r>
            <w:r w:rsidRPr="00150EDC">
              <w:rPr>
                <w:spacing w:val="-8"/>
                <w:sz w:val="20"/>
              </w:rPr>
              <w:t xml:space="preserve"> </w:t>
            </w:r>
            <w:r w:rsidRPr="00150EDC">
              <w:rPr>
                <w:sz w:val="20"/>
              </w:rPr>
              <w:t>Code</w:t>
            </w:r>
            <w:r w:rsidRPr="00150EDC">
              <w:rPr>
                <w:spacing w:val="-4"/>
                <w:sz w:val="20"/>
              </w:rPr>
              <w:t xml:space="preserve"> </w:t>
            </w:r>
            <w:r w:rsidRPr="00150EDC">
              <w:rPr>
                <w:sz w:val="20"/>
              </w:rPr>
              <w:t>1872,</w:t>
            </w:r>
            <w:r w:rsidRPr="00150EDC">
              <w:rPr>
                <w:spacing w:val="-9"/>
                <w:sz w:val="20"/>
              </w:rPr>
              <w:t xml:space="preserve"> </w:t>
            </w:r>
            <w:r w:rsidRPr="00150EDC">
              <w:rPr>
                <w:spacing w:val="-5"/>
                <w:sz w:val="20"/>
              </w:rPr>
              <w:t>s23</w:t>
            </w:r>
          </w:p>
        </w:tc>
        <w:tc>
          <w:tcPr>
            <w:tcW w:w="7427" w:type="dxa"/>
          </w:tcPr>
          <w:p w14:paraId="2FD1C5B3" w14:textId="77777777" w:rsidR="004C7180" w:rsidRPr="00150EDC" w:rsidRDefault="00CF0754">
            <w:pPr>
              <w:pStyle w:val="TableParagraph"/>
              <w:rPr>
                <w:sz w:val="20"/>
              </w:rPr>
            </w:pPr>
            <w:r w:rsidRPr="00150EDC">
              <w:rPr>
                <w:sz w:val="20"/>
              </w:rPr>
              <w:t>Administering</w:t>
            </w:r>
            <w:r w:rsidRPr="00150EDC">
              <w:rPr>
                <w:spacing w:val="-3"/>
                <w:sz w:val="20"/>
              </w:rPr>
              <w:t xml:space="preserve"> </w:t>
            </w:r>
            <w:r w:rsidRPr="00150EDC">
              <w:rPr>
                <w:sz w:val="20"/>
              </w:rPr>
              <w:t>poison,</w:t>
            </w:r>
            <w:r w:rsidRPr="00150EDC">
              <w:rPr>
                <w:spacing w:val="-1"/>
                <w:sz w:val="20"/>
              </w:rPr>
              <w:t xml:space="preserve"> </w:t>
            </w:r>
            <w:r w:rsidRPr="00150EDC">
              <w:rPr>
                <w:sz w:val="20"/>
              </w:rPr>
              <w:t>or</w:t>
            </w:r>
            <w:r w:rsidRPr="00150EDC">
              <w:rPr>
                <w:spacing w:val="-7"/>
                <w:sz w:val="20"/>
              </w:rPr>
              <w:t xml:space="preserve"> </w:t>
            </w:r>
            <w:r w:rsidRPr="00150EDC">
              <w:rPr>
                <w:sz w:val="20"/>
              </w:rPr>
              <w:t>wounding</w:t>
            </w:r>
            <w:r w:rsidRPr="00150EDC">
              <w:rPr>
                <w:spacing w:val="-2"/>
                <w:sz w:val="20"/>
              </w:rPr>
              <w:t xml:space="preserve"> </w:t>
            </w:r>
            <w:r w:rsidRPr="00150EDC">
              <w:rPr>
                <w:sz w:val="20"/>
              </w:rPr>
              <w:t>with</w:t>
            </w:r>
            <w:r w:rsidRPr="00150EDC">
              <w:rPr>
                <w:spacing w:val="-7"/>
                <w:sz w:val="20"/>
              </w:rPr>
              <w:t xml:space="preserve"> </w:t>
            </w:r>
            <w:r w:rsidRPr="00150EDC">
              <w:rPr>
                <w:sz w:val="20"/>
              </w:rPr>
              <w:t>intent</w:t>
            </w:r>
            <w:r w:rsidRPr="00150EDC">
              <w:rPr>
                <w:spacing w:val="-6"/>
                <w:sz w:val="20"/>
              </w:rPr>
              <w:t xml:space="preserve"> </w:t>
            </w:r>
            <w:r w:rsidRPr="00150EDC">
              <w:rPr>
                <w:sz w:val="20"/>
              </w:rPr>
              <w:t>to</w:t>
            </w:r>
            <w:r w:rsidRPr="00150EDC">
              <w:rPr>
                <w:spacing w:val="-3"/>
                <w:sz w:val="20"/>
              </w:rPr>
              <w:t xml:space="preserve"> </w:t>
            </w:r>
            <w:r w:rsidRPr="00150EDC">
              <w:rPr>
                <w:spacing w:val="-2"/>
                <w:sz w:val="20"/>
              </w:rPr>
              <w:t>murder</w:t>
            </w:r>
          </w:p>
        </w:tc>
      </w:tr>
      <w:tr w:rsidR="004569EE" w:rsidRPr="007D3144" w14:paraId="7A4ABC6B" w14:textId="77777777">
        <w:trPr>
          <w:trHeight w:val="255"/>
        </w:trPr>
        <w:tc>
          <w:tcPr>
            <w:tcW w:w="6517" w:type="dxa"/>
          </w:tcPr>
          <w:p w14:paraId="3E5BC0D1" w14:textId="77777777" w:rsidR="004C7180" w:rsidRPr="00150EDC" w:rsidRDefault="00CF0754">
            <w:pPr>
              <w:pStyle w:val="TableParagraph"/>
              <w:rPr>
                <w:sz w:val="20"/>
              </w:rPr>
            </w:pPr>
            <w:r w:rsidRPr="00150EDC">
              <w:rPr>
                <w:sz w:val="20"/>
              </w:rPr>
              <w:t>Criminal</w:t>
            </w:r>
            <w:r w:rsidRPr="00150EDC">
              <w:rPr>
                <w:spacing w:val="-8"/>
                <w:sz w:val="20"/>
              </w:rPr>
              <w:t xml:space="preserve"> </w:t>
            </w:r>
            <w:r w:rsidRPr="00150EDC">
              <w:rPr>
                <w:sz w:val="20"/>
              </w:rPr>
              <w:t>Code</w:t>
            </w:r>
            <w:r w:rsidRPr="00150EDC">
              <w:rPr>
                <w:spacing w:val="-4"/>
                <w:sz w:val="20"/>
              </w:rPr>
              <w:t xml:space="preserve"> </w:t>
            </w:r>
            <w:r w:rsidRPr="00150EDC">
              <w:rPr>
                <w:sz w:val="20"/>
              </w:rPr>
              <w:t>1872,</w:t>
            </w:r>
            <w:r w:rsidRPr="00150EDC">
              <w:rPr>
                <w:spacing w:val="-9"/>
                <w:sz w:val="20"/>
              </w:rPr>
              <w:t xml:space="preserve"> </w:t>
            </w:r>
            <w:r w:rsidRPr="00150EDC">
              <w:rPr>
                <w:spacing w:val="-5"/>
                <w:sz w:val="20"/>
              </w:rPr>
              <w:t>s24</w:t>
            </w:r>
          </w:p>
        </w:tc>
        <w:tc>
          <w:tcPr>
            <w:tcW w:w="7427" w:type="dxa"/>
          </w:tcPr>
          <w:p w14:paraId="6100E47F" w14:textId="77777777" w:rsidR="004C7180" w:rsidRPr="00150EDC" w:rsidRDefault="00CF0754">
            <w:pPr>
              <w:pStyle w:val="TableParagraph"/>
              <w:rPr>
                <w:sz w:val="20"/>
              </w:rPr>
            </w:pPr>
            <w:r w:rsidRPr="00150EDC">
              <w:rPr>
                <w:sz w:val="20"/>
              </w:rPr>
              <w:t>Destroying</w:t>
            </w:r>
            <w:r w:rsidRPr="00150EDC">
              <w:rPr>
                <w:spacing w:val="-1"/>
                <w:sz w:val="20"/>
              </w:rPr>
              <w:t xml:space="preserve"> </w:t>
            </w:r>
            <w:r w:rsidRPr="00150EDC">
              <w:rPr>
                <w:sz w:val="20"/>
              </w:rPr>
              <w:t>or</w:t>
            </w:r>
            <w:r w:rsidRPr="00150EDC">
              <w:rPr>
                <w:spacing w:val="-6"/>
                <w:sz w:val="20"/>
              </w:rPr>
              <w:t xml:space="preserve"> </w:t>
            </w:r>
            <w:r w:rsidRPr="00150EDC">
              <w:rPr>
                <w:sz w:val="20"/>
              </w:rPr>
              <w:t>damaging</w:t>
            </w:r>
            <w:r w:rsidRPr="00150EDC">
              <w:rPr>
                <w:spacing w:val="-6"/>
                <w:sz w:val="20"/>
              </w:rPr>
              <w:t xml:space="preserve"> </w:t>
            </w:r>
            <w:r w:rsidRPr="00150EDC">
              <w:rPr>
                <w:sz w:val="20"/>
              </w:rPr>
              <w:t>a</w:t>
            </w:r>
            <w:r w:rsidRPr="00150EDC">
              <w:rPr>
                <w:spacing w:val="-5"/>
                <w:sz w:val="20"/>
              </w:rPr>
              <w:t xml:space="preserve"> </w:t>
            </w:r>
            <w:r w:rsidRPr="00150EDC">
              <w:rPr>
                <w:sz w:val="20"/>
              </w:rPr>
              <w:t>building</w:t>
            </w:r>
            <w:r w:rsidRPr="00150EDC">
              <w:rPr>
                <w:spacing w:val="-6"/>
                <w:sz w:val="20"/>
              </w:rPr>
              <w:t xml:space="preserve"> </w:t>
            </w:r>
            <w:r w:rsidRPr="00150EDC">
              <w:rPr>
                <w:sz w:val="20"/>
              </w:rPr>
              <w:t>with</w:t>
            </w:r>
            <w:r w:rsidRPr="00150EDC">
              <w:rPr>
                <w:spacing w:val="-2"/>
                <w:sz w:val="20"/>
              </w:rPr>
              <w:t xml:space="preserve"> </w:t>
            </w:r>
            <w:r w:rsidRPr="00150EDC">
              <w:rPr>
                <w:sz w:val="20"/>
              </w:rPr>
              <w:t>explosive</w:t>
            </w:r>
            <w:r w:rsidRPr="00150EDC">
              <w:rPr>
                <w:spacing w:val="-5"/>
                <w:sz w:val="20"/>
              </w:rPr>
              <w:t xml:space="preserve"> </w:t>
            </w:r>
            <w:r w:rsidRPr="00150EDC">
              <w:rPr>
                <w:sz w:val="20"/>
              </w:rPr>
              <w:t>with</w:t>
            </w:r>
            <w:r w:rsidRPr="00150EDC">
              <w:rPr>
                <w:spacing w:val="-1"/>
                <w:sz w:val="20"/>
              </w:rPr>
              <w:t xml:space="preserve"> </w:t>
            </w:r>
            <w:r w:rsidRPr="00150EDC">
              <w:rPr>
                <w:sz w:val="20"/>
              </w:rPr>
              <w:t>intent</w:t>
            </w:r>
            <w:r w:rsidRPr="00150EDC">
              <w:rPr>
                <w:spacing w:val="-6"/>
                <w:sz w:val="20"/>
              </w:rPr>
              <w:t xml:space="preserve"> </w:t>
            </w:r>
            <w:r w:rsidRPr="00150EDC">
              <w:rPr>
                <w:sz w:val="20"/>
              </w:rPr>
              <w:t>to</w:t>
            </w:r>
            <w:r w:rsidRPr="00150EDC">
              <w:rPr>
                <w:spacing w:val="-2"/>
                <w:sz w:val="20"/>
              </w:rPr>
              <w:t xml:space="preserve"> murder</w:t>
            </w:r>
          </w:p>
        </w:tc>
      </w:tr>
      <w:tr w:rsidR="004569EE" w:rsidRPr="007D3144" w14:paraId="687F0AEB" w14:textId="77777777">
        <w:trPr>
          <w:trHeight w:val="255"/>
        </w:trPr>
        <w:tc>
          <w:tcPr>
            <w:tcW w:w="6517" w:type="dxa"/>
          </w:tcPr>
          <w:p w14:paraId="202B3E5F" w14:textId="77777777" w:rsidR="004C7180" w:rsidRPr="00150EDC" w:rsidRDefault="00CF0754">
            <w:pPr>
              <w:pStyle w:val="TableParagraph"/>
              <w:rPr>
                <w:sz w:val="20"/>
              </w:rPr>
            </w:pPr>
            <w:r w:rsidRPr="00150EDC">
              <w:rPr>
                <w:sz w:val="20"/>
              </w:rPr>
              <w:t>Criminal</w:t>
            </w:r>
            <w:r w:rsidRPr="00150EDC">
              <w:rPr>
                <w:spacing w:val="-8"/>
                <w:sz w:val="20"/>
              </w:rPr>
              <w:t xml:space="preserve"> </w:t>
            </w:r>
            <w:r w:rsidRPr="00150EDC">
              <w:rPr>
                <w:sz w:val="20"/>
              </w:rPr>
              <w:t>Code</w:t>
            </w:r>
            <w:r w:rsidRPr="00150EDC">
              <w:rPr>
                <w:spacing w:val="-4"/>
                <w:sz w:val="20"/>
              </w:rPr>
              <w:t xml:space="preserve"> </w:t>
            </w:r>
            <w:r w:rsidRPr="00150EDC">
              <w:rPr>
                <w:sz w:val="20"/>
              </w:rPr>
              <w:t>1872,</w:t>
            </w:r>
            <w:r w:rsidRPr="00150EDC">
              <w:rPr>
                <w:spacing w:val="-9"/>
                <w:sz w:val="20"/>
              </w:rPr>
              <w:t xml:space="preserve"> </w:t>
            </w:r>
            <w:r w:rsidRPr="00150EDC">
              <w:rPr>
                <w:spacing w:val="-5"/>
                <w:sz w:val="20"/>
              </w:rPr>
              <w:t>s25</w:t>
            </w:r>
          </w:p>
        </w:tc>
        <w:tc>
          <w:tcPr>
            <w:tcW w:w="7427" w:type="dxa"/>
          </w:tcPr>
          <w:p w14:paraId="360492C3" w14:textId="77777777" w:rsidR="004C7180" w:rsidRPr="00150EDC" w:rsidRDefault="00CF0754">
            <w:pPr>
              <w:pStyle w:val="TableParagraph"/>
              <w:rPr>
                <w:sz w:val="20"/>
              </w:rPr>
            </w:pPr>
            <w:r w:rsidRPr="00150EDC">
              <w:rPr>
                <w:sz w:val="20"/>
              </w:rPr>
              <w:t>Firing</w:t>
            </w:r>
            <w:r w:rsidRPr="00150EDC">
              <w:rPr>
                <w:spacing w:val="-4"/>
                <w:sz w:val="20"/>
              </w:rPr>
              <w:t xml:space="preserve"> </w:t>
            </w:r>
            <w:r w:rsidRPr="00150EDC">
              <w:rPr>
                <w:sz w:val="20"/>
              </w:rPr>
              <w:t>or</w:t>
            </w:r>
            <w:r w:rsidRPr="00150EDC">
              <w:rPr>
                <w:spacing w:val="-4"/>
                <w:sz w:val="20"/>
              </w:rPr>
              <w:t xml:space="preserve"> </w:t>
            </w:r>
            <w:r w:rsidRPr="00150EDC">
              <w:rPr>
                <w:sz w:val="20"/>
              </w:rPr>
              <w:t>casting</w:t>
            </w:r>
            <w:r w:rsidRPr="00150EDC">
              <w:rPr>
                <w:spacing w:val="-3"/>
                <w:sz w:val="20"/>
              </w:rPr>
              <w:t xml:space="preserve"> </w:t>
            </w:r>
            <w:r w:rsidRPr="00150EDC">
              <w:rPr>
                <w:sz w:val="20"/>
              </w:rPr>
              <w:t>away</w:t>
            </w:r>
            <w:r w:rsidRPr="00150EDC">
              <w:rPr>
                <w:spacing w:val="-3"/>
                <w:sz w:val="20"/>
              </w:rPr>
              <w:t xml:space="preserve"> </w:t>
            </w:r>
            <w:r w:rsidRPr="00150EDC">
              <w:rPr>
                <w:sz w:val="20"/>
              </w:rPr>
              <w:t>a</w:t>
            </w:r>
            <w:r w:rsidRPr="00150EDC">
              <w:rPr>
                <w:spacing w:val="2"/>
                <w:sz w:val="20"/>
              </w:rPr>
              <w:t xml:space="preserve"> </w:t>
            </w:r>
            <w:r w:rsidRPr="00150EDC">
              <w:rPr>
                <w:sz w:val="20"/>
              </w:rPr>
              <w:t>ship</w:t>
            </w:r>
            <w:r w:rsidRPr="00150EDC">
              <w:rPr>
                <w:spacing w:val="-3"/>
                <w:sz w:val="20"/>
              </w:rPr>
              <w:t xml:space="preserve"> </w:t>
            </w:r>
            <w:r w:rsidRPr="00150EDC">
              <w:rPr>
                <w:sz w:val="20"/>
              </w:rPr>
              <w:t>with</w:t>
            </w:r>
            <w:r w:rsidRPr="00150EDC">
              <w:rPr>
                <w:spacing w:val="-3"/>
                <w:sz w:val="20"/>
              </w:rPr>
              <w:t xml:space="preserve"> </w:t>
            </w:r>
            <w:r w:rsidRPr="00150EDC">
              <w:rPr>
                <w:sz w:val="20"/>
              </w:rPr>
              <w:t>intent</w:t>
            </w:r>
            <w:r w:rsidRPr="00150EDC">
              <w:rPr>
                <w:spacing w:val="-4"/>
                <w:sz w:val="20"/>
              </w:rPr>
              <w:t xml:space="preserve"> </w:t>
            </w:r>
            <w:r w:rsidRPr="00150EDC">
              <w:rPr>
                <w:sz w:val="20"/>
              </w:rPr>
              <w:t>to</w:t>
            </w:r>
            <w:r w:rsidRPr="00150EDC">
              <w:rPr>
                <w:spacing w:val="-3"/>
                <w:sz w:val="20"/>
              </w:rPr>
              <w:t xml:space="preserve"> </w:t>
            </w:r>
            <w:r w:rsidRPr="00150EDC">
              <w:rPr>
                <w:spacing w:val="-2"/>
                <w:sz w:val="20"/>
              </w:rPr>
              <w:t>murder</w:t>
            </w:r>
          </w:p>
        </w:tc>
      </w:tr>
      <w:tr w:rsidR="004569EE" w:rsidRPr="007D3144" w14:paraId="6CD47AF1" w14:textId="77777777">
        <w:trPr>
          <w:trHeight w:val="255"/>
        </w:trPr>
        <w:tc>
          <w:tcPr>
            <w:tcW w:w="6517" w:type="dxa"/>
          </w:tcPr>
          <w:p w14:paraId="6CD2CF88" w14:textId="77777777" w:rsidR="004C7180" w:rsidRPr="00150EDC" w:rsidRDefault="00CF0754">
            <w:pPr>
              <w:pStyle w:val="TableParagraph"/>
              <w:rPr>
                <w:sz w:val="20"/>
              </w:rPr>
            </w:pPr>
            <w:r w:rsidRPr="00150EDC">
              <w:rPr>
                <w:sz w:val="20"/>
              </w:rPr>
              <w:t>Criminal</w:t>
            </w:r>
            <w:r w:rsidRPr="00150EDC">
              <w:rPr>
                <w:spacing w:val="-8"/>
                <w:sz w:val="20"/>
              </w:rPr>
              <w:t xml:space="preserve"> </w:t>
            </w:r>
            <w:r w:rsidRPr="00150EDC">
              <w:rPr>
                <w:sz w:val="20"/>
              </w:rPr>
              <w:t>Code</w:t>
            </w:r>
            <w:r w:rsidRPr="00150EDC">
              <w:rPr>
                <w:spacing w:val="-4"/>
                <w:sz w:val="20"/>
              </w:rPr>
              <w:t xml:space="preserve"> </w:t>
            </w:r>
            <w:r w:rsidRPr="00150EDC">
              <w:rPr>
                <w:sz w:val="20"/>
              </w:rPr>
              <w:t>1872,</w:t>
            </w:r>
            <w:r w:rsidRPr="00150EDC">
              <w:rPr>
                <w:spacing w:val="-9"/>
                <w:sz w:val="20"/>
              </w:rPr>
              <w:t xml:space="preserve"> </w:t>
            </w:r>
            <w:r w:rsidRPr="00150EDC">
              <w:rPr>
                <w:spacing w:val="-5"/>
                <w:sz w:val="20"/>
              </w:rPr>
              <w:t>s26</w:t>
            </w:r>
          </w:p>
        </w:tc>
        <w:tc>
          <w:tcPr>
            <w:tcW w:w="7427" w:type="dxa"/>
          </w:tcPr>
          <w:p w14:paraId="6E707F67" w14:textId="77777777" w:rsidR="004C7180" w:rsidRPr="00150EDC" w:rsidRDefault="00CF0754">
            <w:pPr>
              <w:pStyle w:val="TableParagraph"/>
              <w:rPr>
                <w:sz w:val="20"/>
              </w:rPr>
            </w:pPr>
            <w:r w:rsidRPr="00150EDC">
              <w:rPr>
                <w:sz w:val="20"/>
              </w:rPr>
              <w:t>Attempting</w:t>
            </w:r>
            <w:r w:rsidRPr="00150EDC">
              <w:rPr>
                <w:spacing w:val="-6"/>
                <w:sz w:val="20"/>
              </w:rPr>
              <w:t xml:space="preserve"> </w:t>
            </w:r>
            <w:r w:rsidRPr="00150EDC">
              <w:rPr>
                <w:sz w:val="20"/>
              </w:rPr>
              <w:t>to</w:t>
            </w:r>
            <w:r w:rsidRPr="00150EDC">
              <w:rPr>
                <w:spacing w:val="-4"/>
                <w:sz w:val="20"/>
              </w:rPr>
              <w:t xml:space="preserve"> </w:t>
            </w:r>
            <w:r w:rsidRPr="00150EDC">
              <w:rPr>
                <w:sz w:val="20"/>
              </w:rPr>
              <w:t>poison,</w:t>
            </w:r>
            <w:r w:rsidRPr="00150EDC">
              <w:rPr>
                <w:spacing w:val="-4"/>
                <w:sz w:val="20"/>
              </w:rPr>
              <w:t xml:space="preserve"> </w:t>
            </w:r>
            <w:r w:rsidRPr="00150EDC">
              <w:rPr>
                <w:sz w:val="20"/>
              </w:rPr>
              <w:t>shoot,</w:t>
            </w:r>
            <w:r w:rsidRPr="00150EDC">
              <w:rPr>
                <w:spacing w:val="-3"/>
                <w:sz w:val="20"/>
              </w:rPr>
              <w:t xml:space="preserve"> </w:t>
            </w:r>
            <w:r w:rsidRPr="00150EDC">
              <w:rPr>
                <w:sz w:val="20"/>
              </w:rPr>
              <w:t>or</w:t>
            </w:r>
            <w:r w:rsidRPr="00150EDC">
              <w:rPr>
                <w:spacing w:val="-4"/>
                <w:sz w:val="20"/>
              </w:rPr>
              <w:t xml:space="preserve"> </w:t>
            </w:r>
            <w:r w:rsidRPr="00150EDC">
              <w:rPr>
                <w:sz w:val="20"/>
              </w:rPr>
              <w:t>drown,</w:t>
            </w:r>
            <w:r w:rsidRPr="00150EDC">
              <w:rPr>
                <w:spacing w:val="-4"/>
                <w:sz w:val="20"/>
              </w:rPr>
              <w:t xml:space="preserve"> </w:t>
            </w:r>
            <w:r w:rsidRPr="00150EDC">
              <w:rPr>
                <w:sz w:val="20"/>
              </w:rPr>
              <w:t>etc,</w:t>
            </w:r>
            <w:r w:rsidRPr="00150EDC">
              <w:rPr>
                <w:spacing w:val="-3"/>
                <w:sz w:val="20"/>
              </w:rPr>
              <w:t xml:space="preserve"> </w:t>
            </w:r>
            <w:r w:rsidRPr="00150EDC">
              <w:rPr>
                <w:sz w:val="20"/>
              </w:rPr>
              <w:t>with</w:t>
            </w:r>
            <w:r w:rsidRPr="00150EDC">
              <w:rPr>
                <w:spacing w:val="-4"/>
                <w:sz w:val="20"/>
              </w:rPr>
              <w:t xml:space="preserve"> </w:t>
            </w:r>
            <w:r w:rsidRPr="00150EDC">
              <w:rPr>
                <w:sz w:val="20"/>
              </w:rPr>
              <w:t>intent</w:t>
            </w:r>
            <w:r w:rsidRPr="00150EDC">
              <w:rPr>
                <w:spacing w:val="-4"/>
                <w:sz w:val="20"/>
              </w:rPr>
              <w:t xml:space="preserve"> </w:t>
            </w:r>
            <w:r w:rsidRPr="00150EDC">
              <w:rPr>
                <w:sz w:val="20"/>
              </w:rPr>
              <w:t>to</w:t>
            </w:r>
            <w:r w:rsidRPr="00150EDC">
              <w:rPr>
                <w:spacing w:val="1"/>
                <w:sz w:val="20"/>
              </w:rPr>
              <w:t xml:space="preserve"> </w:t>
            </w:r>
            <w:r w:rsidRPr="00150EDC">
              <w:rPr>
                <w:spacing w:val="-2"/>
                <w:sz w:val="20"/>
              </w:rPr>
              <w:t>murder</w:t>
            </w:r>
          </w:p>
        </w:tc>
      </w:tr>
      <w:tr w:rsidR="004569EE" w:rsidRPr="007D3144" w14:paraId="32039A65" w14:textId="77777777">
        <w:trPr>
          <w:trHeight w:val="255"/>
        </w:trPr>
        <w:tc>
          <w:tcPr>
            <w:tcW w:w="6517" w:type="dxa"/>
          </w:tcPr>
          <w:p w14:paraId="2E7D5860" w14:textId="77777777" w:rsidR="004C7180" w:rsidRPr="00150EDC" w:rsidRDefault="00CF0754">
            <w:pPr>
              <w:pStyle w:val="TableParagraph"/>
              <w:rPr>
                <w:sz w:val="20"/>
              </w:rPr>
            </w:pPr>
            <w:r w:rsidRPr="00150EDC">
              <w:rPr>
                <w:sz w:val="20"/>
              </w:rPr>
              <w:t>Criminal</w:t>
            </w:r>
            <w:r w:rsidRPr="00150EDC">
              <w:rPr>
                <w:spacing w:val="-8"/>
                <w:sz w:val="20"/>
              </w:rPr>
              <w:t xml:space="preserve"> </w:t>
            </w:r>
            <w:r w:rsidRPr="00150EDC">
              <w:rPr>
                <w:sz w:val="20"/>
              </w:rPr>
              <w:t>Code</w:t>
            </w:r>
            <w:r w:rsidRPr="00150EDC">
              <w:rPr>
                <w:spacing w:val="-4"/>
                <w:sz w:val="20"/>
              </w:rPr>
              <w:t xml:space="preserve"> </w:t>
            </w:r>
            <w:r w:rsidRPr="00150EDC">
              <w:rPr>
                <w:sz w:val="20"/>
              </w:rPr>
              <w:t>1872,</w:t>
            </w:r>
            <w:r w:rsidRPr="00150EDC">
              <w:rPr>
                <w:spacing w:val="-9"/>
                <w:sz w:val="20"/>
              </w:rPr>
              <w:t xml:space="preserve"> </w:t>
            </w:r>
            <w:r w:rsidRPr="00150EDC">
              <w:rPr>
                <w:spacing w:val="-5"/>
                <w:sz w:val="20"/>
              </w:rPr>
              <w:t>s27</w:t>
            </w:r>
          </w:p>
        </w:tc>
        <w:tc>
          <w:tcPr>
            <w:tcW w:w="7427" w:type="dxa"/>
          </w:tcPr>
          <w:p w14:paraId="19B43936" w14:textId="77777777" w:rsidR="004C7180" w:rsidRPr="00150EDC" w:rsidRDefault="00CF0754">
            <w:pPr>
              <w:pStyle w:val="TableParagraph"/>
              <w:rPr>
                <w:sz w:val="20"/>
              </w:rPr>
            </w:pPr>
            <w:r w:rsidRPr="00150EDC">
              <w:rPr>
                <w:sz w:val="20"/>
              </w:rPr>
              <w:t>Otherwise</w:t>
            </w:r>
            <w:r w:rsidRPr="00150EDC">
              <w:rPr>
                <w:spacing w:val="-7"/>
                <w:sz w:val="20"/>
              </w:rPr>
              <w:t xml:space="preserve"> </w:t>
            </w:r>
            <w:r w:rsidRPr="00150EDC">
              <w:rPr>
                <w:sz w:val="20"/>
              </w:rPr>
              <w:t>attempting</w:t>
            </w:r>
            <w:r w:rsidRPr="00150EDC">
              <w:rPr>
                <w:spacing w:val="-7"/>
                <w:sz w:val="20"/>
              </w:rPr>
              <w:t xml:space="preserve"> </w:t>
            </w:r>
            <w:r w:rsidRPr="00150EDC">
              <w:rPr>
                <w:sz w:val="20"/>
              </w:rPr>
              <w:t>to</w:t>
            </w:r>
            <w:r w:rsidRPr="00150EDC">
              <w:rPr>
                <w:spacing w:val="-2"/>
                <w:sz w:val="20"/>
              </w:rPr>
              <w:t xml:space="preserve"> murder</w:t>
            </w:r>
          </w:p>
        </w:tc>
      </w:tr>
    </w:tbl>
    <w:p w14:paraId="4F46DCFF" w14:textId="77777777" w:rsidR="004C7180" w:rsidRPr="00150EDC" w:rsidRDefault="004C7180">
      <w:pPr>
        <w:rPr>
          <w:sz w:val="20"/>
        </w:rPr>
        <w:sectPr w:rsidR="004C7180" w:rsidRPr="00150EDC">
          <w:footerReference w:type="default" r:id="rId127"/>
          <w:pgSz w:w="16840" w:h="11910" w:orient="landscape"/>
          <w:pgMar w:top="1340" w:right="1320" w:bottom="280" w:left="1340" w:header="0" w:footer="0" w:gutter="0"/>
          <w:cols w:space="720"/>
        </w:sectPr>
      </w:pPr>
    </w:p>
    <w:p w14:paraId="6C990757" w14:textId="77777777" w:rsidR="004C7180" w:rsidRPr="00150EDC" w:rsidRDefault="004C7180">
      <w:pPr>
        <w:pStyle w:val="BodyText"/>
        <w:spacing w:before="3"/>
        <w:rPr>
          <w:sz w:val="8"/>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517"/>
        <w:gridCol w:w="7427"/>
      </w:tblGrid>
      <w:tr w:rsidR="004569EE" w:rsidRPr="007D3144" w14:paraId="2933C742" w14:textId="77777777">
        <w:trPr>
          <w:trHeight w:val="254"/>
        </w:trPr>
        <w:tc>
          <w:tcPr>
            <w:tcW w:w="6517" w:type="dxa"/>
          </w:tcPr>
          <w:p w14:paraId="45BB733D" w14:textId="77777777" w:rsidR="004C7180" w:rsidRPr="00150EDC" w:rsidRDefault="00CF0754">
            <w:pPr>
              <w:pStyle w:val="TableParagraph"/>
              <w:rPr>
                <w:sz w:val="20"/>
              </w:rPr>
            </w:pPr>
            <w:r w:rsidRPr="00150EDC">
              <w:rPr>
                <w:sz w:val="20"/>
              </w:rPr>
              <w:t>Criminal</w:t>
            </w:r>
            <w:r w:rsidRPr="00150EDC">
              <w:rPr>
                <w:spacing w:val="-8"/>
                <w:sz w:val="20"/>
              </w:rPr>
              <w:t xml:space="preserve"> </w:t>
            </w:r>
            <w:r w:rsidRPr="00150EDC">
              <w:rPr>
                <w:sz w:val="20"/>
              </w:rPr>
              <w:t>Code</w:t>
            </w:r>
            <w:r w:rsidRPr="00150EDC">
              <w:rPr>
                <w:spacing w:val="-4"/>
                <w:sz w:val="20"/>
              </w:rPr>
              <w:t xml:space="preserve"> </w:t>
            </w:r>
            <w:r w:rsidRPr="00150EDC">
              <w:rPr>
                <w:sz w:val="20"/>
              </w:rPr>
              <w:t>1872,</w:t>
            </w:r>
            <w:r w:rsidRPr="00150EDC">
              <w:rPr>
                <w:spacing w:val="-9"/>
                <w:sz w:val="20"/>
              </w:rPr>
              <w:t xml:space="preserve"> </w:t>
            </w:r>
            <w:r w:rsidRPr="00150EDC">
              <w:rPr>
                <w:spacing w:val="-5"/>
                <w:sz w:val="20"/>
              </w:rPr>
              <w:t>s31</w:t>
            </w:r>
          </w:p>
        </w:tc>
        <w:tc>
          <w:tcPr>
            <w:tcW w:w="7427" w:type="dxa"/>
          </w:tcPr>
          <w:p w14:paraId="4340D4E2" w14:textId="77777777" w:rsidR="004C7180" w:rsidRPr="00150EDC" w:rsidRDefault="00CF0754">
            <w:pPr>
              <w:pStyle w:val="TableParagraph"/>
              <w:rPr>
                <w:sz w:val="20"/>
              </w:rPr>
            </w:pPr>
            <w:r w:rsidRPr="00150EDC">
              <w:rPr>
                <w:sz w:val="20"/>
              </w:rPr>
              <w:t>Threats</w:t>
            </w:r>
            <w:r w:rsidRPr="00150EDC">
              <w:rPr>
                <w:spacing w:val="-6"/>
                <w:sz w:val="20"/>
              </w:rPr>
              <w:t xml:space="preserve"> </w:t>
            </w:r>
            <w:r w:rsidRPr="00150EDC">
              <w:rPr>
                <w:sz w:val="20"/>
              </w:rPr>
              <w:t>to</w:t>
            </w:r>
            <w:r w:rsidRPr="00150EDC">
              <w:rPr>
                <w:spacing w:val="-5"/>
                <w:sz w:val="20"/>
              </w:rPr>
              <w:t xml:space="preserve"> </w:t>
            </w:r>
            <w:r w:rsidRPr="00150EDC">
              <w:rPr>
                <w:spacing w:val="-4"/>
                <w:sz w:val="20"/>
              </w:rPr>
              <w:t>kill</w:t>
            </w:r>
          </w:p>
        </w:tc>
      </w:tr>
      <w:tr w:rsidR="004569EE" w:rsidRPr="007D3144" w14:paraId="34AA7DED" w14:textId="77777777">
        <w:trPr>
          <w:trHeight w:val="255"/>
        </w:trPr>
        <w:tc>
          <w:tcPr>
            <w:tcW w:w="6517" w:type="dxa"/>
          </w:tcPr>
          <w:p w14:paraId="426FEAB2" w14:textId="77777777" w:rsidR="004C7180" w:rsidRPr="00150EDC" w:rsidRDefault="00CF0754">
            <w:pPr>
              <w:pStyle w:val="TableParagraph"/>
              <w:spacing w:before="28"/>
              <w:rPr>
                <w:sz w:val="20"/>
              </w:rPr>
            </w:pPr>
            <w:r w:rsidRPr="00150EDC">
              <w:rPr>
                <w:sz w:val="20"/>
              </w:rPr>
              <w:t>Criminal</w:t>
            </w:r>
            <w:r w:rsidRPr="00150EDC">
              <w:rPr>
                <w:spacing w:val="-8"/>
                <w:sz w:val="20"/>
              </w:rPr>
              <w:t xml:space="preserve"> </w:t>
            </w:r>
            <w:r w:rsidRPr="00150EDC">
              <w:rPr>
                <w:sz w:val="20"/>
              </w:rPr>
              <w:t>Code</w:t>
            </w:r>
            <w:r w:rsidRPr="00150EDC">
              <w:rPr>
                <w:spacing w:val="-4"/>
                <w:sz w:val="20"/>
              </w:rPr>
              <w:t xml:space="preserve"> </w:t>
            </w:r>
            <w:r w:rsidRPr="00150EDC">
              <w:rPr>
                <w:sz w:val="20"/>
              </w:rPr>
              <w:t>1872,</w:t>
            </w:r>
            <w:r w:rsidRPr="00150EDC">
              <w:rPr>
                <w:spacing w:val="-9"/>
                <w:sz w:val="20"/>
              </w:rPr>
              <w:t xml:space="preserve"> </w:t>
            </w:r>
            <w:r w:rsidRPr="00150EDC">
              <w:rPr>
                <w:spacing w:val="-5"/>
                <w:sz w:val="20"/>
              </w:rPr>
              <w:t>s33</w:t>
            </w:r>
          </w:p>
        </w:tc>
        <w:tc>
          <w:tcPr>
            <w:tcW w:w="7427" w:type="dxa"/>
          </w:tcPr>
          <w:p w14:paraId="5A8B7F96" w14:textId="77777777" w:rsidR="004C7180" w:rsidRPr="00150EDC" w:rsidRDefault="00CF0754">
            <w:pPr>
              <w:pStyle w:val="TableParagraph"/>
              <w:spacing w:before="28"/>
              <w:rPr>
                <w:sz w:val="20"/>
              </w:rPr>
            </w:pPr>
            <w:r w:rsidRPr="00150EDC">
              <w:rPr>
                <w:sz w:val="20"/>
              </w:rPr>
              <w:t>Shooting</w:t>
            </w:r>
            <w:r w:rsidRPr="00150EDC">
              <w:rPr>
                <w:spacing w:val="-6"/>
                <w:sz w:val="20"/>
              </w:rPr>
              <w:t xml:space="preserve"> </w:t>
            </w:r>
            <w:r w:rsidRPr="00150EDC">
              <w:rPr>
                <w:sz w:val="20"/>
              </w:rPr>
              <w:t>or</w:t>
            </w:r>
            <w:r w:rsidRPr="00150EDC">
              <w:rPr>
                <w:spacing w:val="-5"/>
                <w:sz w:val="20"/>
              </w:rPr>
              <w:t xml:space="preserve"> </w:t>
            </w:r>
            <w:r w:rsidRPr="00150EDC">
              <w:rPr>
                <w:sz w:val="20"/>
              </w:rPr>
              <w:t>wounding</w:t>
            </w:r>
            <w:r w:rsidRPr="00150EDC">
              <w:rPr>
                <w:spacing w:val="-5"/>
                <w:sz w:val="20"/>
              </w:rPr>
              <w:t xml:space="preserve"> </w:t>
            </w:r>
            <w:r w:rsidRPr="00150EDC">
              <w:rPr>
                <w:sz w:val="20"/>
              </w:rPr>
              <w:t>with</w:t>
            </w:r>
            <w:r w:rsidRPr="00150EDC">
              <w:rPr>
                <w:spacing w:val="-5"/>
                <w:sz w:val="20"/>
              </w:rPr>
              <w:t xml:space="preserve"> </w:t>
            </w:r>
            <w:r w:rsidRPr="00150EDC">
              <w:rPr>
                <w:sz w:val="20"/>
              </w:rPr>
              <w:t>intent</w:t>
            </w:r>
            <w:r w:rsidRPr="00150EDC">
              <w:rPr>
                <w:spacing w:val="-5"/>
                <w:sz w:val="20"/>
              </w:rPr>
              <w:t xml:space="preserve"> </w:t>
            </w:r>
            <w:r w:rsidRPr="00150EDC">
              <w:rPr>
                <w:sz w:val="20"/>
              </w:rPr>
              <w:t>to</w:t>
            </w:r>
            <w:r w:rsidRPr="00150EDC">
              <w:rPr>
                <w:spacing w:val="-5"/>
                <w:sz w:val="20"/>
              </w:rPr>
              <w:t xml:space="preserve"> </w:t>
            </w:r>
            <w:r w:rsidRPr="00150EDC">
              <w:rPr>
                <w:sz w:val="20"/>
              </w:rPr>
              <w:t>do</w:t>
            </w:r>
            <w:r w:rsidRPr="00150EDC">
              <w:rPr>
                <w:spacing w:val="-1"/>
                <w:sz w:val="20"/>
              </w:rPr>
              <w:t xml:space="preserve"> </w:t>
            </w:r>
            <w:r w:rsidRPr="00150EDC">
              <w:rPr>
                <w:sz w:val="20"/>
              </w:rPr>
              <w:t>grievous</w:t>
            </w:r>
            <w:r w:rsidRPr="00150EDC">
              <w:rPr>
                <w:spacing w:val="-4"/>
                <w:sz w:val="20"/>
              </w:rPr>
              <w:t xml:space="preserve"> </w:t>
            </w:r>
            <w:r w:rsidRPr="00150EDC">
              <w:rPr>
                <w:sz w:val="20"/>
              </w:rPr>
              <w:t>bodily</w:t>
            </w:r>
            <w:r w:rsidRPr="00150EDC">
              <w:rPr>
                <w:spacing w:val="1"/>
                <w:sz w:val="20"/>
              </w:rPr>
              <w:t xml:space="preserve"> </w:t>
            </w:r>
            <w:r w:rsidRPr="00150EDC">
              <w:rPr>
                <w:spacing w:val="-4"/>
                <w:sz w:val="20"/>
              </w:rPr>
              <w:t>harm</w:t>
            </w:r>
          </w:p>
        </w:tc>
      </w:tr>
      <w:tr w:rsidR="004569EE" w:rsidRPr="007D3144" w14:paraId="04068A1C" w14:textId="77777777">
        <w:trPr>
          <w:trHeight w:val="255"/>
        </w:trPr>
        <w:tc>
          <w:tcPr>
            <w:tcW w:w="6517" w:type="dxa"/>
          </w:tcPr>
          <w:p w14:paraId="0BADBE2C" w14:textId="77777777" w:rsidR="004C7180" w:rsidRPr="00150EDC" w:rsidRDefault="00CF0754">
            <w:pPr>
              <w:pStyle w:val="TableParagraph"/>
              <w:rPr>
                <w:sz w:val="20"/>
              </w:rPr>
            </w:pPr>
            <w:r w:rsidRPr="00150EDC">
              <w:rPr>
                <w:sz w:val="20"/>
              </w:rPr>
              <w:t>Criminal</w:t>
            </w:r>
            <w:r w:rsidRPr="00150EDC">
              <w:rPr>
                <w:spacing w:val="-8"/>
                <w:sz w:val="20"/>
              </w:rPr>
              <w:t xml:space="preserve"> </w:t>
            </w:r>
            <w:r w:rsidRPr="00150EDC">
              <w:rPr>
                <w:sz w:val="20"/>
              </w:rPr>
              <w:t>Code</w:t>
            </w:r>
            <w:r w:rsidRPr="00150EDC">
              <w:rPr>
                <w:spacing w:val="-4"/>
                <w:sz w:val="20"/>
              </w:rPr>
              <w:t xml:space="preserve"> </w:t>
            </w:r>
            <w:r w:rsidRPr="00150EDC">
              <w:rPr>
                <w:sz w:val="20"/>
              </w:rPr>
              <w:t>1872,</w:t>
            </w:r>
            <w:r w:rsidRPr="00150EDC">
              <w:rPr>
                <w:spacing w:val="-9"/>
                <w:sz w:val="20"/>
              </w:rPr>
              <w:t xml:space="preserve"> </w:t>
            </w:r>
            <w:r w:rsidRPr="00150EDC">
              <w:rPr>
                <w:spacing w:val="-5"/>
                <w:sz w:val="20"/>
              </w:rPr>
              <w:t>s35</w:t>
            </w:r>
          </w:p>
        </w:tc>
        <w:tc>
          <w:tcPr>
            <w:tcW w:w="7427" w:type="dxa"/>
          </w:tcPr>
          <w:p w14:paraId="236565FE" w14:textId="77777777" w:rsidR="004C7180" w:rsidRPr="00150EDC" w:rsidRDefault="00CF0754">
            <w:pPr>
              <w:pStyle w:val="TableParagraph"/>
              <w:rPr>
                <w:sz w:val="20"/>
              </w:rPr>
            </w:pPr>
            <w:r w:rsidRPr="00150EDC">
              <w:rPr>
                <w:sz w:val="20"/>
              </w:rPr>
              <w:t>Inflicting</w:t>
            </w:r>
            <w:r w:rsidRPr="00150EDC">
              <w:rPr>
                <w:spacing w:val="-6"/>
                <w:sz w:val="20"/>
              </w:rPr>
              <w:t xml:space="preserve"> </w:t>
            </w:r>
            <w:r w:rsidRPr="00150EDC">
              <w:rPr>
                <w:sz w:val="20"/>
              </w:rPr>
              <w:t>bodily</w:t>
            </w:r>
            <w:r w:rsidRPr="00150EDC">
              <w:rPr>
                <w:spacing w:val="-5"/>
                <w:sz w:val="20"/>
              </w:rPr>
              <w:t xml:space="preserve"> </w:t>
            </w:r>
            <w:r w:rsidRPr="00150EDC">
              <w:rPr>
                <w:sz w:val="20"/>
              </w:rPr>
              <w:t>injury,</w:t>
            </w:r>
            <w:r w:rsidRPr="00150EDC">
              <w:rPr>
                <w:spacing w:val="-5"/>
                <w:sz w:val="20"/>
              </w:rPr>
              <w:t xml:space="preserve"> </w:t>
            </w:r>
            <w:r w:rsidRPr="00150EDC">
              <w:rPr>
                <w:sz w:val="20"/>
              </w:rPr>
              <w:t>with</w:t>
            </w:r>
            <w:r w:rsidRPr="00150EDC">
              <w:rPr>
                <w:spacing w:val="-2"/>
                <w:sz w:val="20"/>
              </w:rPr>
              <w:t xml:space="preserve"> </w:t>
            </w:r>
            <w:r w:rsidRPr="00150EDC">
              <w:rPr>
                <w:sz w:val="20"/>
              </w:rPr>
              <w:t>or</w:t>
            </w:r>
            <w:r w:rsidRPr="00150EDC">
              <w:rPr>
                <w:spacing w:val="-6"/>
                <w:sz w:val="20"/>
              </w:rPr>
              <w:t xml:space="preserve"> </w:t>
            </w:r>
            <w:r w:rsidRPr="00150EDC">
              <w:rPr>
                <w:sz w:val="20"/>
              </w:rPr>
              <w:t>without</w:t>
            </w:r>
            <w:r w:rsidRPr="00150EDC">
              <w:rPr>
                <w:spacing w:val="-5"/>
                <w:sz w:val="20"/>
              </w:rPr>
              <w:t xml:space="preserve"> </w:t>
            </w:r>
            <w:r w:rsidRPr="00150EDC">
              <w:rPr>
                <w:spacing w:val="-2"/>
                <w:sz w:val="20"/>
              </w:rPr>
              <w:t>weapon</w:t>
            </w:r>
          </w:p>
        </w:tc>
      </w:tr>
      <w:tr w:rsidR="004569EE" w:rsidRPr="007D3144" w14:paraId="5BB8CD23" w14:textId="77777777">
        <w:trPr>
          <w:trHeight w:val="255"/>
        </w:trPr>
        <w:tc>
          <w:tcPr>
            <w:tcW w:w="6517" w:type="dxa"/>
          </w:tcPr>
          <w:p w14:paraId="09ECF691" w14:textId="77777777" w:rsidR="004C7180" w:rsidRPr="00150EDC" w:rsidRDefault="00CF0754">
            <w:pPr>
              <w:pStyle w:val="TableParagraph"/>
              <w:rPr>
                <w:sz w:val="20"/>
              </w:rPr>
            </w:pPr>
            <w:r w:rsidRPr="00150EDC">
              <w:rPr>
                <w:sz w:val="20"/>
              </w:rPr>
              <w:t>Criminal</w:t>
            </w:r>
            <w:r w:rsidRPr="00150EDC">
              <w:rPr>
                <w:spacing w:val="-8"/>
                <w:sz w:val="20"/>
              </w:rPr>
              <w:t xml:space="preserve"> </w:t>
            </w:r>
            <w:r w:rsidRPr="00150EDC">
              <w:rPr>
                <w:sz w:val="20"/>
              </w:rPr>
              <w:t>Code</w:t>
            </w:r>
            <w:r w:rsidRPr="00150EDC">
              <w:rPr>
                <w:spacing w:val="-4"/>
                <w:sz w:val="20"/>
              </w:rPr>
              <w:t xml:space="preserve"> </w:t>
            </w:r>
            <w:r w:rsidRPr="00150EDC">
              <w:rPr>
                <w:sz w:val="20"/>
              </w:rPr>
              <w:t>1872,</w:t>
            </w:r>
            <w:r w:rsidRPr="00150EDC">
              <w:rPr>
                <w:spacing w:val="-9"/>
                <w:sz w:val="20"/>
              </w:rPr>
              <w:t xml:space="preserve"> </w:t>
            </w:r>
            <w:r w:rsidRPr="00150EDC">
              <w:rPr>
                <w:spacing w:val="-5"/>
                <w:sz w:val="20"/>
              </w:rPr>
              <w:t>s36</w:t>
            </w:r>
          </w:p>
        </w:tc>
        <w:tc>
          <w:tcPr>
            <w:tcW w:w="7427" w:type="dxa"/>
          </w:tcPr>
          <w:p w14:paraId="62BBDA76" w14:textId="77777777" w:rsidR="004C7180" w:rsidRPr="00150EDC" w:rsidRDefault="00CF0754">
            <w:pPr>
              <w:pStyle w:val="TableParagraph"/>
              <w:rPr>
                <w:sz w:val="20"/>
              </w:rPr>
            </w:pPr>
            <w:r w:rsidRPr="00150EDC">
              <w:rPr>
                <w:sz w:val="20"/>
              </w:rPr>
              <w:t>Attempting</w:t>
            </w:r>
            <w:r w:rsidRPr="00150EDC">
              <w:rPr>
                <w:spacing w:val="-7"/>
                <w:sz w:val="20"/>
              </w:rPr>
              <w:t xml:space="preserve"> </w:t>
            </w:r>
            <w:r w:rsidRPr="00150EDC">
              <w:rPr>
                <w:sz w:val="20"/>
              </w:rPr>
              <w:t>to</w:t>
            </w:r>
            <w:r w:rsidRPr="00150EDC">
              <w:rPr>
                <w:spacing w:val="-5"/>
                <w:sz w:val="20"/>
              </w:rPr>
              <w:t xml:space="preserve"> </w:t>
            </w:r>
            <w:r w:rsidRPr="00150EDC">
              <w:rPr>
                <w:sz w:val="20"/>
              </w:rPr>
              <w:t>choke,</w:t>
            </w:r>
            <w:r w:rsidRPr="00150EDC">
              <w:rPr>
                <w:spacing w:val="-5"/>
                <w:sz w:val="20"/>
              </w:rPr>
              <w:t xml:space="preserve"> </w:t>
            </w:r>
            <w:r w:rsidRPr="00150EDC">
              <w:rPr>
                <w:sz w:val="20"/>
              </w:rPr>
              <w:t>etc,</w:t>
            </w:r>
            <w:r w:rsidRPr="00150EDC">
              <w:rPr>
                <w:spacing w:val="-5"/>
                <w:sz w:val="20"/>
              </w:rPr>
              <w:t xml:space="preserve"> </w:t>
            </w:r>
            <w:r w:rsidRPr="00150EDC">
              <w:rPr>
                <w:sz w:val="20"/>
              </w:rPr>
              <w:t>in</w:t>
            </w:r>
            <w:r w:rsidRPr="00150EDC">
              <w:rPr>
                <w:spacing w:val="1"/>
                <w:sz w:val="20"/>
              </w:rPr>
              <w:t xml:space="preserve"> </w:t>
            </w:r>
            <w:r w:rsidRPr="00150EDC">
              <w:rPr>
                <w:sz w:val="20"/>
              </w:rPr>
              <w:t>order</w:t>
            </w:r>
            <w:r w:rsidRPr="00150EDC">
              <w:rPr>
                <w:spacing w:val="-5"/>
                <w:sz w:val="20"/>
              </w:rPr>
              <w:t xml:space="preserve"> </w:t>
            </w:r>
            <w:r w:rsidRPr="00150EDC">
              <w:rPr>
                <w:sz w:val="20"/>
              </w:rPr>
              <w:t>to commit any</w:t>
            </w:r>
            <w:r w:rsidRPr="00150EDC">
              <w:rPr>
                <w:spacing w:val="-4"/>
                <w:sz w:val="20"/>
              </w:rPr>
              <w:t xml:space="preserve"> </w:t>
            </w:r>
            <w:r w:rsidRPr="00150EDC">
              <w:rPr>
                <w:sz w:val="20"/>
              </w:rPr>
              <w:t>indictable</w:t>
            </w:r>
            <w:r w:rsidRPr="00150EDC">
              <w:rPr>
                <w:spacing w:val="-4"/>
                <w:sz w:val="20"/>
              </w:rPr>
              <w:t xml:space="preserve"> </w:t>
            </w:r>
            <w:r w:rsidRPr="00150EDC">
              <w:rPr>
                <w:spacing w:val="-2"/>
                <w:sz w:val="20"/>
              </w:rPr>
              <w:t>offence</w:t>
            </w:r>
          </w:p>
        </w:tc>
      </w:tr>
      <w:tr w:rsidR="004569EE" w:rsidRPr="007D3144" w14:paraId="7D2A5B03" w14:textId="77777777">
        <w:trPr>
          <w:trHeight w:val="255"/>
        </w:trPr>
        <w:tc>
          <w:tcPr>
            <w:tcW w:w="6517" w:type="dxa"/>
          </w:tcPr>
          <w:p w14:paraId="5BA2A39C" w14:textId="77777777" w:rsidR="004C7180" w:rsidRPr="00150EDC" w:rsidRDefault="00CF0754">
            <w:pPr>
              <w:pStyle w:val="TableParagraph"/>
              <w:rPr>
                <w:sz w:val="20"/>
              </w:rPr>
            </w:pPr>
            <w:r w:rsidRPr="00150EDC">
              <w:rPr>
                <w:sz w:val="20"/>
              </w:rPr>
              <w:t>Criminal</w:t>
            </w:r>
            <w:r w:rsidRPr="00150EDC">
              <w:rPr>
                <w:spacing w:val="-8"/>
                <w:sz w:val="20"/>
              </w:rPr>
              <w:t xml:space="preserve"> </w:t>
            </w:r>
            <w:r w:rsidRPr="00150EDC">
              <w:rPr>
                <w:sz w:val="20"/>
              </w:rPr>
              <w:t>Code</w:t>
            </w:r>
            <w:r w:rsidRPr="00150EDC">
              <w:rPr>
                <w:spacing w:val="-4"/>
                <w:sz w:val="20"/>
              </w:rPr>
              <w:t xml:space="preserve"> </w:t>
            </w:r>
            <w:r w:rsidRPr="00150EDC">
              <w:rPr>
                <w:sz w:val="20"/>
              </w:rPr>
              <w:t>1872,</w:t>
            </w:r>
            <w:r w:rsidRPr="00150EDC">
              <w:rPr>
                <w:spacing w:val="-9"/>
                <w:sz w:val="20"/>
              </w:rPr>
              <w:t xml:space="preserve"> </w:t>
            </w:r>
            <w:r w:rsidRPr="00150EDC">
              <w:rPr>
                <w:spacing w:val="-5"/>
                <w:sz w:val="20"/>
              </w:rPr>
              <w:t>s37</w:t>
            </w:r>
          </w:p>
        </w:tc>
        <w:tc>
          <w:tcPr>
            <w:tcW w:w="7427" w:type="dxa"/>
          </w:tcPr>
          <w:p w14:paraId="096B8718" w14:textId="77777777" w:rsidR="004C7180" w:rsidRPr="00150EDC" w:rsidRDefault="00CF0754">
            <w:pPr>
              <w:pStyle w:val="TableParagraph"/>
              <w:rPr>
                <w:sz w:val="20"/>
              </w:rPr>
            </w:pPr>
            <w:r w:rsidRPr="00150EDC">
              <w:rPr>
                <w:sz w:val="20"/>
              </w:rPr>
              <w:t>Using</w:t>
            </w:r>
            <w:r w:rsidRPr="00150EDC">
              <w:rPr>
                <w:spacing w:val="-6"/>
                <w:sz w:val="20"/>
              </w:rPr>
              <w:t xml:space="preserve"> </w:t>
            </w:r>
            <w:r w:rsidRPr="00150EDC">
              <w:rPr>
                <w:sz w:val="20"/>
              </w:rPr>
              <w:t>chloroform</w:t>
            </w:r>
            <w:r w:rsidRPr="00150EDC">
              <w:rPr>
                <w:spacing w:val="-3"/>
                <w:sz w:val="20"/>
              </w:rPr>
              <w:t xml:space="preserve"> </w:t>
            </w:r>
            <w:r w:rsidRPr="00150EDC">
              <w:rPr>
                <w:sz w:val="20"/>
              </w:rPr>
              <w:t>etc</w:t>
            </w:r>
            <w:r w:rsidRPr="00150EDC">
              <w:rPr>
                <w:spacing w:val="-5"/>
                <w:sz w:val="20"/>
              </w:rPr>
              <w:t xml:space="preserve"> </w:t>
            </w:r>
            <w:r w:rsidRPr="00150EDC">
              <w:rPr>
                <w:sz w:val="20"/>
              </w:rPr>
              <w:t>to</w:t>
            </w:r>
            <w:r w:rsidRPr="00150EDC">
              <w:rPr>
                <w:spacing w:val="-6"/>
                <w:sz w:val="20"/>
              </w:rPr>
              <w:t xml:space="preserve"> </w:t>
            </w:r>
            <w:r w:rsidRPr="00150EDC">
              <w:rPr>
                <w:sz w:val="20"/>
              </w:rPr>
              <w:t>commit any</w:t>
            </w:r>
            <w:r w:rsidRPr="00150EDC">
              <w:rPr>
                <w:spacing w:val="-5"/>
                <w:sz w:val="20"/>
              </w:rPr>
              <w:t xml:space="preserve"> </w:t>
            </w:r>
            <w:r w:rsidRPr="00150EDC">
              <w:rPr>
                <w:sz w:val="20"/>
              </w:rPr>
              <w:t>indictable</w:t>
            </w:r>
            <w:r w:rsidRPr="00150EDC">
              <w:rPr>
                <w:spacing w:val="-5"/>
                <w:sz w:val="20"/>
              </w:rPr>
              <w:t xml:space="preserve"> </w:t>
            </w:r>
            <w:r w:rsidRPr="00150EDC">
              <w:rPr>
                <w:spacing w:val="-2"/>
                <w:sz w:val="20"/>
              </w:rPr>
              <w:t>offence</w:t>
            </w:r>
          </w:p>
        </w:tc>
      </w:tr>
      <w:tr w:rsidR="004569EE" w:rsidRPr="007D3144" w14:paraId="488BEE3A" w14:textId="77777777">
        <w:trPr>
          <w:trHeight w:val="460"/>
        </w:trPr>
        <w:tc>
          <w:tcPr>
            <w:tcW w:w="6517" w:type="dxa"/>
          </w:tcPr>
          <w:p w14:paraId="5CF2843D" w14:textId="77777777" w:rsidR="004C7180" w:rsidRPr="00150EDC" w:rsidRDefault="004C7180">
            <w:pPr>
              <w:pStyle w:val="TableParagraph"/>
              <w:spacing w:before="3" w:line="240" w:lineRule="auto"/>
              <w:ind w:left="0"/>
              <w:rPr>
                <w:sz w:val="20"/>
              </w:rPr>
            </w:pPr>
          </w:p>
          <w:p w14:paraId="5EC805A1" w14:textId="77777777" w:rsidR="004C7180" w:rsidRPr="00150EDC" w:rsidRDefault="00CF0754">
            <w:pPr>
              <w:pStyle w:val="TableParagraph"/>
              <w:spacing w:before="0"/>
              <w:rPr>
                <w:sz w:val="20"/>
              </w:rPr>
            </w:pPr>
            <w:r w:rsidRPr="00150EDC">
              <w:rPr>
                <w:sz w:val="20"/>
              </w:rPr>
              <w:t>Criminal</w:t>
            </w:r>
            <w:r w:rsidRPr="00150EDC">
              <w:rPr>
                <w:spacing w:val="-7"/>
                <w:sz w:val="20"/>
              </w:rPr>
              <w:t xml:space="preserve"> </w:t>
            </w:r>
            <w:r w:rsidRPr="00150EDC">
              <w:rPr>
                <w:sz w:val="20"/>
              </w:rPr>
              <w:t>Code</w:t>
            </w:r>
            <w:r w:rsidRPr="00150EDC">
              <w:rPr>
                <w:spacing w:val="-4"/>
                <w:sz w:val="20"/>
              </w:rPr>
              <w:t xml:space="preserve"> </w:t>
            </w:r>
            <w:r w:rsidRPr="00150EDC">
              <w:rPr>
                <w:sz w:val="20"/>
              </w:rPr>
              <w:t>1872,</w:t>
            </w:r>
            <w:r w:rsidRPr="00150EDC">
              <w:rPr>
                <w:spacing w:val="-9"/>
                <w:sz w:val="20"/>
              </w:rPr>
              <w:t xml:space="preserve"> </w:t>
            </w:r>
            <w:r w:rsidRPr="00150EDC">
              <w:rPr>
                <w:spacing w:val="-5"/>
                <w:sz w:val="20"/>
              </w:rPr>
              <w:t>s38</w:t>
            </w:r>
          </w:p>
        </w:tc>
        <w:tc>
          <w:tcPr>
            <w:tcW w:w="7427" w:type="dxa"/>
          </w:tcPr>
          <w:p w14:paraId="3A8CD9CA" w14:textId="77777777" w:rsidR="004C7180" w:rsidRPr="00150EDC" w:rsidRDefault="00CF0754">
            <w:pPr>
              <w:pStyle w:val="TableParagraph"/>
              <w:spacing w:before="0" w:line="230" w:lineRule="atLeast"/>
              <w:rPr>
                <w:sz w:val="20"/>
              </w:rPr>
            </w:pPr>
            <w:r w:rsidRPr="00150EDC">
              <w:rPr>
                <w:sz w:val="20"/>
              </w:rPr>
              <w:t>Maliciously</w:t>
            </w:r>
            <w:r w:rsidRPr="00150EDC">
              <w:rPr>
                <w:spacing w:val="-5"/>
                <w:sz w:val="20"/>
              </w:rPr>
              <w:t xml:space="preserve"> </w:t>
            </w:r>
            <w:r w:rsidRPr="00150EDC">
              <w:rPr>
                <w:sz w:val="20"/>
              </w:rPr>
              <w:t>administering</w:t>
            </w:r>
            <w:r w:rsidRPr="00150EDC">
              <w:rPr>
                <w:spacing w:val="-5"/>
                <w:sz w:val="20"/>
              </w:rPr>
              <w:t xml:space="preserve"> </w:t>
            </w:r>
            <w:r w:rsidRPr="00150EDC">
              <w:rPr>
                <w:sz w:val="20"/>
              </w:rPr>
              <w:t>poison,</w:t>
            </w:r>
            <w:r w:rsidRPr="00150EDC">
              <w:rPr>
                <w:spacing w:val="-5"/>
                <w:sz w:val="20"/>
              </w:rPr>
              <w:t xml:space="preserve"> </w:t>
            </w:r>
            <w:r w:rsidRPr="00150EDC">
              <w:rPr>
                <w:sz w:val="20"/>
              </w:rPr>
              <w:t>etc,</w:t>
            </w:r>
            <w:r w:rsidRPr="00150EDC">
              <w:rPr>
                <w:spacing w:val="-5"/>
                <w:sz w:val="20"/>
              </w:rPr>
              <w:t xml:space="preserve"> </w:t>
            </w:r>
            <w:r w:rsidRPr="00150EDC">
              <w:rPr>
                <w:sz w:val="20"/>
              </w:rPr>
              <w:t>so</w:t>
            </w:r>
            <w:r w:rsidRPr="00150EDC">
              <w:rPr>
                <w:spacing w:val="-5"/>
                <w:sz w:val="20"/>
              </w:rPr>
              <w:t xml:space="preserve"> </w:t>
            </w:r>
            <w:r w:rsidRPr="00150EDC">
              <w:rPr>
                <w:sz w:val="20"/>
              </w:rPr>
              <w:t>as</w:t>
            </w:r>
            <w:r w:rsidRPr="00150EDC">
              <w:rPr>
                <w:spacing w:val="-4"/>
                <w:sz w:val="20"/>
              </w:rPr>
              <w:t xml:space="preserve"> </w:t>
            </w:r>
            <w:r w:rsidRPr="00150EDC">
              <w:rPr>
                <w:sz w:val="20"/>
              </w:rPr>
              <w:t>to endanger</w:t>
            </w:r>
            <w:r w:rsidRPr="00150EDC">
              <w:rPr>
                <w:spacing w:val="-5"/>
                <w:sz w:val="20"/>
              </w:rPr>
              <w:t xml:space="preserve"> </w:t>
            </w:r>
            <w:r w:rsidRPr="00150EDC">
              <w:rPr>
                <w:sz w:val="20"/>
              </w:rPr>
              <w:t>life,</w:t>
            </w:r>
            <w:r w:rsidRPr="00150EDC">
              <w:rPr>
                <w:spacing w:val="-5"/>
                <w:sz w:val="20"/>
              </w:rPr>
              <w:t xml:space="preserve"> </w:t>
            </w:r>
            <w:r w:rsidRPr="00150EDC">
              <w:rPr>
                <w:sz w:val="20"/>
              </w:rPr>
              <w:t>or</w:t>
            </w:r>
            <w:r w:rsidRPr="00150EDC">
              <w:rPr>
                <w:spacing w:val="-5"/>
                <w:sz w:val="20"/>
              </w:rPr>
              <w:t xml:space="preserve"> </w:t>
            </w:r>
            <w:r w:rsidRPr="00150EDC">
              <w:rPr>
                <w:sz w:val="20"/>
              </w:rPr>
              <w:t>inflict</w:t>
            </w:r>
            <w:r w:rsidRPr="00150EDC">
              <w:rPr>
                <w:spacing w:val="-4"/>
                <w:sz w:val="20"/>
              </w:rPr>
              <w:t xml:space="preserve"> </w:t>
            </w:r>
            <w:r w:rsidRPr="00150EDC">
              <w:rPr>
                <w:sz w:val="20"/>
              </w:rPr>
              <w:t>grievous bodily harm</w:t>
            </w:r>
          </w:p>
        </w:tc>
      </w:tr>
      <w:tr w:rsidR="004569EE" w:rsidRPr="007D3144" w14:paraId="133652B7" w14:textId="77777777">
        <w:trPr>
          <w:trHeight w:val="460"/>
        </w:trPr>
        <w:tc>
          <w:tcPr>
            <w:tcW w:w="6517" w:type="dxa"/>
          </w:tcPr>
          <w:p w14:paraId="3B3F0ABA" w14:textId="77777777" w:rsidR="004C7180" w:rsidRPr="00150EDC" w:rsidRDefault="004C7180">
            <w:pPr>
              <w:pStyle w:val="TableParagraph"/>
              <w:spacing w:before="2" w:line="240" w:lineRule="auto"/>
              <w:ind w:left="0"/>
              <w:rPr>
                <w:sz w:val="20"/>
              </w:rPr>
            </w:pPr>
          </w:p>
          <w:p w14:paraId="7C8B4B5F" w14:textId="77777777" w:rsidR="004C7180" w:rsidRPr="00150EDC" w:rsidRDefault="00CF0754">
            <w:pPr>
              <w:pStyle w:val="TableParagraph"/>
              <w:spacing w:before="0"/>
              <w:rPr>
                <w:sz w:val="20"/>
              </w:rPr>
            </w:pPr>
            <w:r w:rsidRPr="00150EDC">
              <w:rPr>
                <w:sz w:val="20"/>
              </w:rPr>
              <w:t>Criminal</w:t>
            </w:r>
            <w:r w:rsidRPr="00150EDC">
              <w:rPr>
                <w:spacing w:val="-8"/>
                <w:sz w:val="20"/>
              </w:rPr>
              <w:t xml:space="preserve"> </w:t>
            </w:r>
            <w:r w:rsidRPr="00150EDC">
              <w:rPr>
                <w:sz w:val="20"/>
              </w:rPr>
              <w:t>Code</w:t>
            </w:r>
            <w:r w:rsidRPr="00150EDC">
              <w:rPr>
                <w:spacing w:val="-4"/>
                <w:sz w:val="20"/>
              </w:rPr>
              <w:t xml:space="preserve"> </w:t>
            </w:r>
            <w:r w:rsidRPr="00150EDC">
              <w:rPr>
                <w:sz w:val="20"/>
              </w:rPr>
              <w:t>1872,</w:t>
            </w:r>
            <w:r w:rsidRPr="00150EDC">
              <w:rPr>
                <w:spacing w:val="-9"/>
                <w:sz w:val="20"/>
              </w:rPr>
              <w:t xml:space="preserve"> </w:t>
            </w:r>
            <w:r w:rsidRPr="00150EDC">
              <w:rPr>
                <w:spacing w:val="-5"/>
                <w:sz w:val="20"/>
              </w:rPr>
              <w:t>s41</w:t>
            </w:r>
          </w:p>
        </w:tc>
        <w:tc>
          <w:tcPr>
            <w:tcW w:w="7427" w:type="dxa"/>
          </w:tcPr>
          <w:p w14:paraId="06D7787F" w14:textId="77777777" w:rsidR="004C7180" w:rsidRPr="00150EDC" w:rsidRDefault="00CF0754">
            <w:pPr>
              <w:pStyle w:val="TableParagraph"/>
              <w:spacing w:before="0" w:line="230" w:lineRule="atLeast"/>
              <w:ind w:right="186"/>
              <w:rPr>
                <w:sz w:val="20"/>
              </w:rPr>
            </w:pPr>
            <w:r w:rsidRPr="00150EDC">
              <w:rPr>
                <w:sz w:val="20"/>
              </w:rPr>
              <w:t>Neglecting</w:t>
            </w:r>
            <w:r w:rsidRPr="00150EDC">
              <w:rPr>
                <w:spacing w:val="-7"/>
                <w:sz w:val="20"/>
              </w:rPr>
              <w:t xml:space="preserve"> </w:t>
            </w:r>
            <w:r w:rsidRPr="00150EDC">
              <w:rPr>
                <w:sz w:val="20"/>
              </w:rPr>
              <w:t>to</w:t>
            </w:r>
            <w:r w:rsidRPr="00150EDC">
              <w:rPr>
                <w:spacing w:val="-2"/>
                <w:sz w:val="20"/>
              </w:rPr>
              <w:t xml:space="preserve"> </w:t>
            </w:r>
            <w:r w:rsidRPr="00150EDC">
              <w:rPr>
                <w:sz w:val="20"/>
              </w:rPr>
              <w:t>provide</w:t>
            </w:r>
            <w:r w:rsidRPr="00150EDC">
              <w:rPr>
                <w:spacing w:val="-7"/>
                <w:sz w:val="20"/>
              </w:rPr>
              <w:t xml:space="preserve"> </w:t>
            </w:r>
            <w:r w:rsidRPr="00150EDC">
              <w:rPr>
                <w:sz w:val="20"/>
              </w:rPr>
              <w:t>wife,</w:t>
            </w:r>
            <w:r w:rsidRPr="00150EDC">
              <w:rPr>
                <w:spacing w:val="-7"/>
                <w:sz w:val="20"/>
              </w:rPr>
              <w:t xml:space="preserve"> </w:t>
            </w:r>
            <w:r w:rsidRPr="00150EDC">
              <w:rPr>
                <w:sz w:val="20"/>
              </w:rPr>
              <w:t>children,</w:t>
            </w:r>
            <w:r w:rsidRPr="00150EDC">
              <w:rPr>
                <w:spacing w:val="-1"/>
                <w:sz w:val="20"/>
              </w:rPr>
              <w:t xml:space="preserve"> </w:t>
            </w:r>
            <w:r w:rsidRPr="00150EDC">
              <w:rPr>
                <w:sz w:val="20"/>
              </w:rPr>
              <w:t>apprentices</w:t>
            </w:r>
            <w:r w:rsidRPr="00150EDC">
              <w:rPr>
                <w:spacing w:val="-1"/>
                <w:sz w:val="20"/>
              </w:rPr>
              <w:t xml:space="preserve"> </w:t>
            </w:r>
            <w:r w:rsidRPr="00150EDC">
              <w:rPr>
                <w:sz w:val="20"/>
              </w:rPr>
              <w:t>or</w:t>
            </w:r>
            <w:r w:rsidRPr="00150EDC">
              <w:rPr>
                <w:spacing w:val="-7"/>
                <w:sz w:val="20"/>
              </w:rPr>
              <w:t xml:space="preserve"> </w:t>
            </w:r>
            <w:r w:rsidRPr="00150EDC">
              <w:rPr>
                <w:sz w:val="20"/>
              </w:rPr>
              <w:t>servants</w:t>
            </w:r>
            <w:r w:rsidRPr="00150EDC">
              <w:rPr>
                <w:spacing w:val="-6"/>
                <w:sz w:val="20"/>
              </w:rPr>
              <w:t xml:space="preserve"> </w:t>
            </w:r>
            <w:r w:rsidRPr="00150EDC">
              <w:rPr>
                <w:sz w:val="20"/>
              </w:rPr>
              <w:t>with</w:t>
            </w:r>
            <w:r w:rsidRPr="00150EDC">
              <w:rPr>
                <w:spacing w:val="-7"/>
                <w:sz w:val="20"/>
              </w:rPr>
              <w:t xml:space="preserve"> </w:t>
            </w:r>
            <w:r w:rsidRPr="00150EDC">
              <w:rPr>
                <w:sz w:val="20"/>
              </w:rPr>
              <w:t>food</w:t>
            </w:r>
            <w:r w:rsidRPr="00150EDC">
              <w:rPr>
                <w:spacing w:val="-7"/>
                <w:sz w:val="20"/>
              </w:rPr>
              <w:t xml:space="preserve"> </w:t>
            </w:r>
            <w:r w:rsidRPr="00150EDC">
              <w:rPr>
                <w:sz w:val="20"/>
              </w:rPr>
              <w:t>whereby life is endangered</w:t>
            </w:r>
          </w:p>
        </w:tc>
      </w:tr>
      <w:tr w:rsidR="004569EE" w:rsidRPr="007D3144" w14:paraId="4662C33C" w14:textId="77777777">
        <w:trPr>
          <w:trHeight w:val="255"/>
        </w:trPr>
        <w:tc>
          <w:tcPr>
            <w:tcW w:w="6517" w:type="dxa"/>
          </w:tcPr>
          <w:p w14:paraId="26100143" w14:textId="77777777" w:rsidR="004C7180" w:rsidRPr="00150EDC" w:rsidRDefault="00CF0754">
            <w:pPr>
              <w:pStyle w:val="TableParagraph"/>
              <w:rPr>
                <w:sz w:val="20"/>
              </w:rPr>
            </w:pPr>
            <w:r w:rsidRPr="00150EDC">
              <w:rPr>
                <w:sz w:val="20"/>
              </w:rPr>
              <w:t>Criminal</w:t>
            </w:r>
            <w:r w:rsidRPr="00150EDC">
              <w:rPr>
                <w:spacing w:val="-8"/>
                <w:sz w:val="20"/>
              </w:rPr>
              <w:t xml:space="preserve"> </w:t>
            </w:r>
            <w:r w:rsidRPr="00150EDC">
              <w:rPr>
                <w:sz w:val="20"/>
              </w:rPr>
              <w:t>Code</w:t>
            </w:r>
            <w:r w:rsidRPr="00150EDC">
              <w:rPr>
                <w:spacing w:val="-3"/>
                <w:sz w:val="20"/>
              </w:rPr>
              <w:t xml:space="preserve"> </w:t>
            </w:r>
            <w:r w:rsidRPr="00150EDC">
              <w:rPr>
                <w:sz w:val="20"/>
              </w:rPr>
              <w:t>1872,</w:t>
            </w:r>
            <w:r w:rsidRPr="00150EDC">
              <w:rPr>
                <w:spacing w:val="-9"/>
                <w:sz w:val="20"/>
              </w:rPr>
              <w:t xml:space="preserve"> </w:t>
            </w:r>
            <w:r w:rsidRPr="00150EDC">
              <w:rPr>
                <w:spacing w:val="-5"/>
                <w:sz w:val="20"/>
              </w:rPr>
              <w:t>s42</w:t>
            </w:r>
          </w:p>
        </w:tc>
        <w:tc>
          <w:tcPr>
            <w:tcW w:w="7427" w:type="dxa"/>
          </w:tcPr>
          <w:p w14:paraId="4F0D2574" w14:textId="77777777" w:rsidR="004C7180" w:rsidRPr="00150EDC" w:rsidRDefault="00CF0754">
            <w:pPr>
              <w:pStyle w:val="TableParagraph"/>
              <w:rPr>
                <w:sz w:val="20"/>
              </w:rPr>
            </w:pPr>
            <w:r w:rsidRPr="00150EDC">
              <w:rPr>
                <w:sz w:val="20"/>
              </w:rPr>
              <w:t>Exposing</w:t>
            </w:r>
            <w:r w:rsidRPr="00150EDC">
              <w:rPr>
                <w:spacing w:val="-6"/>
                <w:sz w:val="20"/>
              </w:rPr>
              <w:t xml:space="preserve"> </w:t>
            </w:r>
            <w:r w:rsidRPr="00150EDC">
              <w:rPr>
                <w:sz w:val="20"/>
              </w:rPr>
              <w:t>children</w:t>
            </w:r>
            <w:r w:rsidRPr="00150EDC">
              <w:rPr>
                <w:spacing w:val="-6"/>
                <w:sz w:val="20"/>
              </w:rPr>
              <w:t xml:space="preserve"> </w:t>
            </w:r>
            <w:r w:rsidRPr="00150EDC">
              <w:rPr>
                <w:sz w:val="20"/>
              </w:rPr>
              <w:t>whereby</w:t>
            </w:r>
            <w:r w:rsidRPr="00150EDC">
              <w:rPr>
                <w:spacing w:val="-5"/>
                <w:sz w:val="20"/>
              </w:rPr>
              <w:t xml:space="preserve"> </w:t>
            </w:r>
            <w:r w:rsidRPr="00150EDC">
              <w:rPr>
                <w:sz w:val="20"/>
              </w:rPr>
              <w:t>life</w:t>
            </w:r>
            <w:r w:rsidRPr="00150EDC">
              <w:rPr>
                <w:spacing w:val="-6"/>
                <w:sz w:val="20"/>
              </w:rPr>
              <w:t xml:space="preserve"> </w:t>
            </w:r>
            <w:r w:rsidRPr="00150EDC">
              <w:rPr>
                <w:sz w:val="20"/>
              </w:rPr>
              <w:t xml:space="preserve">is </w:t>
            </w:r>
            <w:r w:rsidRPr="00150EDC">
              <w:rPr>
                <w:spacing w:val="-2"/>
                <w:sz w:val="20"/>
              </w:rPr>
              <w:t>endangered</w:t>
            </w:r>
          </w:p>
        </w:tc>
      </w:tr>
      <w:tr w:rsidR="004569EE" w:rsidRPr="007D3144" w14:paraId="77A8C0B9" w14:textId="77777777">
        <w:trPr>
          <w:trHeight w:val="255"/>
        </w:trPr>
        <w:tc>
          <w:tcPr>
            <w:tcW w:w="6517" w:type="dxa"/>
          </w:tcPr>
          <w:p w14:paraId="55E8A472" w14:textId="77777777" w:rsidR="004C7180" w:rsidRPr="00150EDC" w:rsidRDefault="00CF0754">
            <w:pPr>
              <w:pStyle w:val="TableParagraph"/>
              <w:spacing w:before="28"/>
              <w:rPr>
                <w:sz w:val="20"/>
              </w:rPr>
            </w:pPr>
            <w:r w:rsidRPr="00150EDC">
              <w:rPr>
                <w:sz w:val="20"/>
              </w:rPr>
              <w:t>Criminal</w:t>
            </w:r>
            <w:r w:rsidRPr="00150EDC">
              <w:rPr>
                <w:spacing w:val="-8"/>
                <w:sz w:val="20"/>
              </w:rPr>
              <w:t xml:space="preserve"> </w:t>
            </w:r>
            <w:r w:rsidRPr="00150EDC">
              <w:rPr>
                <w:sz w:val="20"/>
              </w:rPr>
              <w:t>Code</w:t>
            </w:r>
            <w:r w:rsidRPr="00150EDC">
              <w:rPr>
                <w:spacing w:val="-4"/>
                <w:sz w:val="20"/>
              </w:rPr>
              <w:t xml:space="preserve"> </w:t>
            </w:r>
            <w:r w:rsidRPr="00150EDC">
              <w:rPr>
                <w:sz w:val="20"/>
              </w:rPr>
              <w:t>1872,</w:t>
            </w:r>
            <w:r w:rsidRPr="00150EDC">
              <w:rPr>
                <w:spacing w:val="-9"/>
                <w:sz w:val="20"/>
              </w:rPr>
              <w:t xml:space="preserve"> </w:t>
            </w:r>
            <w:r w:rsidRPr="00150EDC">
              <w:rPr>
                <w:spacing w:val="-5"/>
                <w:sz w:val="20"/>
              </w:rPr>
              <w:t>s43</w:t>
            </w:r>
          </w:p>
        </w:tc>
        <w:tc>
          <w:tcPr>
            <w:tcW w:w="7427" w:type="dxa"/>
          </w:tcPr>
          <w:p w14:paraId="58F98679" w14:textId="77777777" w:rsidR="004C7180" w:rsidRPr="00150EDC" w:rsidRDefault="00CF0754">
            <w:pPr>
              <w:pStyle w:val="TableParagraph"/>
              <w:spacing w:before="28"/>
              <w:rPr>
                <w:sz w:val="20"/>
              </w:rPr>
            </w:pPr>
            <w:r w:rsidRPr="00150EDC">
              <w:rPr>
                <w:sz w:val="20"/>
              </w:rPr>
              <w:t>Causing</w:t>
            </w:r>
            <w:r w:rsidRPr="00150EDC">
              <w:rPr>
                <w:spacing w:val="-7"/>
                <w:sz w:val="20"/>
              </w:rPr>
              <w:t xml:space="preserve"> </w:t>
            </w:r>
            <w:r w:rsidRPr="00150EDC">
              <w:rPr>
                <w:sz w:val="20"/>
              </w:rPr>
              <w:t>bodily</w:t>
            </w:r>
            <w:r w:rsidRPr="00150EDC">
              <w:rPr>
                <w:spacing w:val="-5"/>
                <w:sz w:val="20"/>
              </w:rPr>
              <w:t xml:space="preserve"> </w:t>
            </w:r>
            <w:r w:rsidRPr="00150EDC">
              <w:rPr>
                <w:sz w:val="20"/>
              </w:rPr>
              <w:t>injury</w:t>
            </w:r>
            <w:r w:rsidRPr="00150EDC">
              <w:rPr>
                <w:spacing w:val="-6"/>
                <w:sz w:val="20"/>
              </w:rPr>
              <w:t xml:space="preserve"> </w:t>
            </w:r>
            <w:r w:rsidRPr="00150EDC">
              <w:rPr>
                <w:sz w:val="20"/>
              </w:rPr>
              <w:t>by</w:t>
            </w:r>
            <w:r w:rsidRPr="00150EDC">
              <w:rPr>
                <w:spacing w:val="-1"/>
                <w:sz w:val="20"/>
              </w:rPr>
              <w:t xml:space="preserve"> </w:t>
            </w:r>
            <w:r w:rsidRPr="00150EDC">
              <w:rPr>
                <w:spacing w:val="-2"/>
                <w:sz w:val="20"/>
              </w:rPr>
              <w:t>explosives</w:t>
            </w:r>
          </w:p>
        </w:tc>
      </w:tr>
      <w:tr w:rsidR="004569EE" w:rsidRPr="007D3144" w14:paraId="59197128" w14:textId="77777777">
        <w:trPr>
          <w:trHeight w:val="460"/>
        </w:trPr>
        <w:tc>
          <w:tcPr>
            <w:tcW w:w="6517" w:type="dxa"/>
          </w:tcPr>
          <w:p w14:paraId="1FF66136" w14:textId="77777777" w:rsidR="004C7180" w:rsidRPr="00150EDC" w:rsidRDefault="004C7180">
            <w:pPr>
              <w:pStyle w:val="TableParagraph"/>
              <w:spacing w:before="2" w:line="240" w:lineRule="auto"/>
              <w:ind w:left="0"/>
              <w:rPr>
                <w:sz w:val="20"/>
              </w:rPr>
            </w:pPr>
          </w:p>
          <w:p w14:paraId="49FC0C97" w14:textId="77777777" w:rsidR="004C7180" w:rsidRPr="00150EDC" w:rsidRDefault="00CF0754">
            <w:pPr>
              <w:pStyle w:val="TableParagraph"/>
              <w:spacing w:before="0"/>
              <w:rPr>
                <w:sz w:val="20"/>
              </w:rPr>
            </w:pPr>
            <w:r w:rsidRPr="00150EDC">
              <w:rPr>
                <w:sz w:val="20"/>
              </w:rPr>
              <w:t>Criminal</w:t>
            </w:r>
            <w:r w:rsidRPr="00150EDC">
              <w:rPr>
                <w:spacing w:val="-8"/>
                <w:sz w:val="20"/>
              </w:rPr>
              <w:t xml:space="preserve"> </w:t>
            </w:r>
            <w:r w:rsidRPr="00150EDC">
              <w:rPr>
                <w:sz w:val="20"/>
              </w:rPr>
              <w:t>Code</w:t>
            </w:r>
            <w:r w:rsidRPr="00150EDC">
              <w:rPr>
                <w:spacing w:val="-4"/>
                <w:sz w:val="20"/>
              </w:rPr>
              <w:t xml:space="preserve"> </w:t>
            </w:r>
            <w:r w:rsidRPr="00150EDC">
              <w:rPr>
                <w:sz w:val="20"/>
              </w:rPr>
              <w:t>1872,</w:t>
            </w:r>
            <w:r w:rsidRPr="00150EDC">
              <w:rPr>
                <w:spacing w:val="-9"/>
                <w:sz w:val="20"/>
              </w:rPr>
              <w:t xml:space="preserve"> </w:t>
            </w:r>
            <w:r w:rsidRPr="00150EDC">
              <w:rPr>
                <w:spacing w:val="-5"/>
                <w:sz w:val="20"/>
              </w:rPr>
              <w:t>s44</w:t>
            </w:r>
          </w:p>
        </w:tc>
        <w:tc>
          <w:tcPr>
            <w:tcW w:w="7427" w:type="dxa"/>
          </w:tcPr>
          <w:p w14:paraId="657BCAA1" w14:textId="77777777" w:rsidR="004C7180" w:rsidRPr="00150EDC" w:rsidRDefault="00CF0754">
            <w:pPr>
              <w:pStyle w:val="TableParagraph"/>
              <w:spacing w:before="0" w:line="230" w:lineRule="atLeast"/>
              <w:rPr>
                <w:sz w:val="20"/>
              </w:rPr>
            </w:pPr>
            <w:r w:rsidRPr="00150EDC">
              <w:rPr>
                <w:sz w:val="20"/>
              </w:rPr>
              <w:t>Causing</w:t>
            </w:r>
            <w:r w:rsidRPr="00150EDC">
              <w:rPr>
                <w:spacing w:val="-6"/>
                <w:sz w:val="20"/>
              </w:rPr>
              <w:t xml:space="preserve"> </w:t>
            </w:r>
            <w:r w:rsidRPr="00150EDC">
              <w:rPr>
                <w:sz w:val="20"/>
              </w:rPr>
              <w:t>gunpowder</w:t>
            </w:r>
            <w:r w:rsidRPr="00150EDC">
              <w:rPr>
                <w:spacing w:val="-6"/>
                <w:sz w:val="20"/>
              </w:rPr>
              <w:t xml:space="preserve"> </w:t>
            </w:r>
            <w:r w:rsidRPr="00150EDC">
              <w:rPr>
                <w:sz w:val="20"/>
              </w:rPr>
              <w:t>to</w:t>
            </w:r>
            <w:r w:rsidRPr="00150EDC">
              <w:rPr>
                <w:spacing w:val="-1"/>
                <w:sz w:val="20"/>
              </w:rPr>
              <w:t xml:space="preserve"> </w:t>
            </w:r>
            <w:r w:rsidRPr="00150EDC">
              <w:rPr>
                <w:sz w:val="20"/>
              </w:rPr>
              <w:t>explode,</w:t>
            </w:r>
            <w:r w:rsidRPr="00150EDC">
              <w:rPr>
                <w:spacing w:val="-6"/>
                <w:sz w:val="20"/>
              </w:rPr>
              <w:t xml:space="preserve"> </w:t>
            </w:r>
            <w:r w:rsidRPr="00150EDC">
              <w:rPr>
                <w:sz w:val="20"/>
              </w:rPr>
              <w:t>or</w:t>
            </w:r>
            <w:r w:rsidRPr="00150EDC">
              <w:rPr>
                <w:spacing w:val="-6"/>
                <w:sz w:val="20"/>
              </w:rPr>
              <w:t xml:space="preserve"> </w:t>
            </w:r>
            <w:r w:rsidRPr="00150EDC">
              <w:rPr>
                <w:sz w:val="20"/>
              </w:rPr>
              <w:t>sending</w:t>
            </w:r>
            <w:r w:rsidRPr="00150EDC">
              <w:rPr>
                <w:spacing w:val="-6"/>
                <w:sz w:val="20"/>
              </w:rPr>
              <w:t xml:space="preserve"> </w:t>
            </w:r>
            <w:r w:rsidRPr="00150EDC">
              <w:rPr>
                <w:sz w:val="20"/>
              </w:rPr>
              <w:t>explosive,</w:t>
            </w:r>
            <w:r w:rsidRPr="00150EDC">
              <w:rPr>
                <w:spacing w:val="-6"/>
                <w:sz w:val="20"/>
              </w:rPr>
              <w:t xml:space="preserve"> </w:t>
            </w:r>
            <w:r w:rsidRPr="00150EDC">
              <w:rPr>
                <w:sz w:val="20"/>
              </w:rPr>
              <w:t>or</w:t>
            </w:r>
            <w:r w:rsidRPr="00150EDC">
              <w:rPr>
                <w:spacing w:val="-6"/>
                <w:sz w:val="20"/>
              </w:rPr>
              <w:t xml:space="preserve"> </w:t>
            </w:r>
            <w:r w:rsidRPr="00150EDC">
              <w:rPr>
                <w:sz w:val="20"/>
              </w:rPr>
              <w:t>throwing</w:t>
            </w:r>
            <w:r w:rsidRPr="00150EDC">
              <w:rPr>
                <w:spacing w:val="-6"/>
                <w:sz w:val="20"/>
              </w:rPr>
              <w:t xml:space="preserve"> </w:t>
            </w:r>
            <w:r w:rsidRPr="00150EDC">
              <w:rPr>
                <w:sz w:val="20"/>
              </w:rPr>
              <w:t>corrosive</w:t>
            </w:r>
            <w:r w:rsidRPr="00150EDC">
              <w:rPr>
                <w:spacing w:val="-1"/>
                <w:sz w:val="20"/>
              </w:rPr>
              <w:t xml:space="preserve"> </w:t>
            </w:r>
            <w:r w:rsidRPr="00150EDC">
              <w:rPr>
                <w:sz w:val="20"/>
              </w:rPr>
              <w:t>fluid with intent to fo grievous bodily harm</w:t>
            </w:r>
          </w:p>
        </w:tc>
      </w:tr>
      <w:tr w:rsidR="004569EE" w:rsidRPr="007D3144" w14:paraId="01E8C19D" w14:textId="77777777">
        <w:trPr>
          <w:trHeight w:val="255"/>
        </w:trPr>
        <w:tc>
          <w:tcPr>
            <w:tcW w:w="6517" w:type="dxa"/>
          </w:tcPr>
          <w:p w14:paraId="4016F03C" w14:textId="77777777" w:rsidR="004C7180" w:rsidRPr="00150EDC" w:rsidRDefault="00CF0754">
            <w:pPr>
              <w:pStyle w:val="TableParagraph"/>
              <w:rPr>
                <w:sz w:val="20"/>
              </w:rPr>
            </w:pPr>
            <w:r w:rsidRPr="00150EDC">
              <w:rPr>
                <w:sz w:val="20"/>
              </w:rPr>
              <w:t>Criminal</w:t>
            </w:r>
            <w:r w:rsidRPr="00150EDC">
              <w:rPr>
                <w:spacing w:val="-8"/>
                <w:sz w:val="20"/>
              </w:rPr>
              <w:t xml:space="preserve"> </w:t>
            </w:r>
            <w:r w:rsidRPr="00150EDC">
              <w:rPr>
                <w:sz w:val="20"/>
              </w:rPr>
              <w:t>Code</w:t>
            </w:r>
            <w:r w:rsidRPr="00150EDC">
              <w:rPr>
                <w:spacing w:val="-4"/>
                <w:sz w:val="20"/>
              </w:rPr>
              <w:t xml:space="preserve"> </w:t>
            </w:r>
            <w:r w:rsidRPr="00150EDC">
              <w:rPr>
                <w:sz w:val="20"/>
              </w:rPr>
              <w:t>1872,</w:t>
            </w:r>
            <w:r w:rsidRPr="00150EDC">
              <w:rPr>
                <w:spacing w:val="-9"/>
                <w:sz w:val="20"/>
              </w:rPr>
              <w:t xml:space="preserve"> </w:t>
            </w:r>
            <w:r w:rsidRPr="00150EDC">
              <w:rPr>
                <w:spacing w:val="-5"/>
                <w:sz w:val="20"/>
              </w:rPr>
              <w:t>s45</w:t>
            </w:r>
          </w:p>
        </w:tc>
        <w:tc>
          <w:tcPr>
            <w:tcW w:w="7427" w:type="dxa"/>
          </w:tcPr>
          <w:p w14:paraId="4B0B0C6E" w14:textId="77777777" w:rsidR="004C7180" w:rsidRPr="00150EDC" w:rsidRDefault="00CF0754">
            <w:pPr>
              <w:pStyle w:val="TableParagraph"/>
              <w:rPr>
                <w:sz w:val="20"/>
              </w:rPr>
            </w:pPr>
            <w:r w:rsidRPr="00150EDC">
              <w:rPr>
                <w:sz w:val="20"/>
              </w:rPr>
              <w:t>Placing</w:t>
            </w:r>
            <w:r w:rsidRPr="00150EDC">
              <w:rPr>
                <w:spacing w:val="-7"/>
                <w:sz w:val="20"/>
              </w:rPr>
              <w:t xml:space="preserve"> </w:t>
            </w:r>
            <w:r w:rsidRPr="00150EDC">
              <w:rPr>
                <w:sz w:val="20"/>
              </w:rPr>
              <w:t>explosive</w:t>
            </w:r>
            <w:r w:rsidRPr="00150EDC">
              <w:rPr>
                <w:spacing w:val="-5"/>
                <w:sz w:val="20"/>
              </w:rPr>
              <w:t xml:space="preserve"> </w:t>
            </w:r>
            <w:r w:rsidRPr="00150EDC">
              <w:rPr>
                <w:sz w:val="20"/>
              </w:rPr>
              <w:t>near</w:t>
            </w:r>
            <w:r w:rsidRPr="00150EDC">
              <w:rPr>
                <w:spacing w:val="-2"/>
                <w:sz w:val="20"/>
              </w:rPr>
              <w:t xml:space="preserve"> </w:t>
            </w:r>
            <w:r w:rsidRPr="00150EDC">
              <w:rPr>
                <w:sz w:val="20"/>
              </w:rPr>
              <w:t>a</w:t>
            </w:r>
            <w:r w:rsidRPr="00150EDC">
              <w:rPr>
                <w:spacing w:val="-5"/>
                <w:sz w:val="20"/>
              </w:rPr>
              <w:t xml:space="preserve"> </w:t>
            </w:r>
            <w:r w:rsidRPr="00150EDC">
              <w:rPr>
                <w:sz w:val="20"/>
              </w:rPr>
              <w:t>building</w:t>
            </w:r>
            <w:r w:rsidRPr="00150EDC">
              <w:rPr>
                <w:spacing w:val="-4"/>
                <w:sz w:val="20"/>
              </w:rPr>
              <w:t xml:space="preserve"> </w:t>
            </w:r>
            <w:r w:rsidRPr="00150EDC">
              <w:rPr>
                <w:sz w:val="20"/>
              </w:rPr>
              <w:t>with</w:t>
            </w:r>
            <w:r w:rsidRPr="00150EDC">
              <w:rPr>
                <w:spacing w:val="-5"/>
                <w:sz w:val="20"/>
              </w:rPr>
              <w:t xml:space="preserve"> </w:t>
            </w:r>
            <w:r w:rsidRPr="00150EDC">
              <w:rPr>
                <w:sz w:val="20"/>
              </w:rPr>
              <w:t>intent</w:t>
            </w:r>
            <w:r w:rsidRPr="00150EDC">
              <w:rPr>
                <w:spacing w:val="-5"/>
                <w:sz w:val="20"/>
              </w:rPr>
              <w:t xml:space="preserve"> </w:t>
            </w:r>
            <w:r w:rsidRPr="00150EDC">
              <w:rPr>
                <w:sz w:val="20"/>
              </w:rPr>
              <w:t>to</w:t>
            </w:r>
            <w:r w:rsidRPr="00150EDC">
              <w:rPr>
                <w:spacing w:val="-2"/>
                <w:sz w:val="20"/>
              </w:rPr>
              <w:t xml:space="preserve"> </w:t>
            </w:r>
            <w:r w:rsidRPr="00150EDC">
              <w:rPr>
                <w:sz w:val="20"/>
              </w:rPr>
              <w:t>do</w:t>
            </w:r>
            <w:r w:rsidRPr="00150EDC">
              <w:rPr>
                <w:spacing w:val="-4"/>
                <w:sz w:val="20"/>
              </w:rPr>
              <w:t xml:space="preserve"> </w:t>
            </w:r>
            <w:r w:rsidRPr="00150EDC">
              <w:rPr>
                <w:sz w:val="20"/>
              </w:rPr>
              <w:t>bodily</w:t>
            </w:r>
            <w:r w:rsidRPr="00150EDC">
              <w:rPr>
                <w:spacing w:val="-4"/>
                <w:sz w:val="20"/>
              </w:rPr>
              <w:t xml:space="preserve"> </w:t>
            </w:r>
            <w:r w:rsidRPr="00150EDC">
              <w:rPr>
                <w:spacing w:val="-2"/>
                <w:sz w:val="20"/>
              </w:rPr>
              <w:t>injury</w:t>
            </w:r>
          </w:p>
        </w:tc>
      </w:tr>
      <w:tr w:rsidR="004569EE" w:rsidRPr="007D3144" w14:paraId="0A7E0E65" w14:textId="77777777">
        <w:trPr>
          <w:trHeight w:val="255"/>
        </w:trPr>
        <w:tc>
          <w:tcPr>
            <w:tcW w:w="6517" w:type="dxa"/>
          </w:tcPr>
          <w:p w14:paraId="59585BDB" w14:textId="77777777" w:rsidR="004C7180" w:rsidRPr="00150EDC" w:rsidRDefault="00CF0754">
            <w:pPr>
              <w:pStyle w:val="TableParagraph"/>
              <w:rPr>
                <w:sz w:val="20"/>
              </w:rPr>
            </w:pPr>
            <w:r w:rsidRPr="00150EDC">
              <w:rPr>
                <w:sz w:val="20"/>
              </w:rPr>
              <w:t>Criminal</w:t>
            </w:r>
            <w:r w:rsidRPr="00150EDC">
              <w:rPr>
                <w:spacing w:val="-8"/>
                <w:sz w:val="20"/>
              </w:rPr>
              <w:t xml:space="preserve"> </w:t>
            </w:r>
            <w:r w:rsidRPr="00150EDC">
              <w:rPr>
                <w:sz w:val="20"/>
              </w:rPr>
              <w:t>Code</w:t>
            </w:r>
            <w:r w:rsidRPr="00150EDC">
              <w:rPr>
                <w:spacing w:val="-4"/>
                <w:sz w:val="20"/>
              </w:rPr>
              <w:t xml:space="preserve"> </w:t>
            </w:r>
            <w:r w:rsidRPr="00150EDC">
              <w:rPr>
                <w:sz w:val="20"/>
              </w:rPr>
              <w:t>1872,</w:t>
            </w:r>
            <w:r w:rsidRPr="00150EDC">
              <w:rPr>
                <w:spacing w:val="-9"/>
                <w:sz w:val="20"/>
              </w:rPr>
              <w:t xml:space="preserve"> </w:t>
            </w:r>
            <w:r w:rsidRPr="00150EDC">
              <w:rPr>
                <w:spacing w:val="-5"/>
                <w:sz w:val="20"/>
              </w:rPr>
              <w:t>s46</w:t>
            </w:r>
          </w:p>
        </w:tc>
        <w:tc>
          <w:tcPr>
            <w:tcW w:w="7427" w:type="dxa"/>
          </w:tcPr>
          <w:p w14:paraId="2DC8C6C4" w14:textId="77777777" w:rsidR="004C7180" w:rsidRPr="00150EDC" w:rsidRDefault="00CF0754">
            <w:pPr>
              <w:pStyle w:val="TableParagraph"/>
              <w:rPr>
                <w:sz w:val="20"/>
              </w:rPr>
            </w:pPr>
            <w:r w:rsidRPr="00150EDC">
              <w:rPr>
                <w:sz w:val="20"/>
              </w:rPr>
              <w:t>Setting</w:t>
            </w:r>
            <w:r w:rsidRPr="00150EDC">
              <w:rPr>
                <w:spacing w:val="-8"/>
                <w:sz w:val="20"/>
              </w:rPr>
              <w:t xml:space="preserve"> </w:t>
            </w:r>
            <w:r w:rsidRPr="00150EDC">
              <w:rPr>
                <w:sz w:val="20"/>
              </w:rPr>
              <w:t>spring</w:t>
            </w:r>
            <w:r w:rsidRPr="00150EDC">
              <w:rPr>
                <w:spacing w:val="-5"/>
                <w:sz w:val="20"/>
              </w:rPr>
              <w:t xml:space="preserve"> </w:t>
            </w:r>
            <w:r w:rsidRPr="00150EDC">
              <w:rPr>
                <w:sz w:val="20"/>
              </w:rPr>
              <w:t>guns</w:t>
            </w:r>
            <w:r w:rsidRPr="00150EDC">
              <w:rPr>
                <w:spacing w:val="1"/>
                <w:sz w:val="20"/>
              </w:rPr>
              <w:t xml:space="preserve"> </w:t>
            </w:r>
            <w:r w:rsidRPr="00150EDC">
              <w:rPr>
                <w:sz w:val="20"/>
              </w:rPr>
              <w:t>etc</w:t>
            </w:r>
            <w:r w:rsidRPr="00150EDC">
              <w:rPr>
                <w:spacing w:val="-4"/>
                <w:sz w:val="20"/>
              </w:rPr>
              <w:t xml:space="preserve"> </w:t>
            </w:r>
            <w:r w:rsidRPr="00150EDC">
              <w:rPr>
                <w:sz w:val="20"/>
              </w:rPr>
              <w:t>with</w:t>
            </w:r>
            <w:r w:rsidRPr="00150EDC">
              <w:rPr>
                <w:spacing w:val="-5"/>
                <w:sz w:val="20"/>
              </w:rPr>
              <w:t xml:space="preserve"> </w:t>
            </w:r>
            <w:r w:rsidRPr="00150EDC">
              <w:rPr>
                <w:sz w:val="20"/>
              </w:rPr>
              <w:t>intent</w:t>
            </w:r>
            <w:r w:rsidRPr="00150EDC">
              <w:rPr>
                <w:spacing w:val="-5"/>
                <w:sz w:val="20"/>
              </w:rPr>
              <w:t xml:space="preserve"> </w:t>
            </w:r>
            <w:r w:rsidRPr="00150EDC">
              <w:rPr>
                <w:sz w:val="20"/>
              </w:rPr>
              <w:t>to</w:t>
            </w:r>
            <w:r w:rsidRPr="00150EDC">
              <w:rPr>
                <w:spacing w:val="-5"/>
                <w:sz w:val="20"/>
              </w:rPr>
              <w:t xml:space="preserve"> </w:t>
            </w:r>
            <w:r w:rsidRPr="00150EDC">
              <w:rPr>
                <w:sz w:val="20"/>
              </w:rPr>
              <w:t>do grevious</w:t>
            </w:r>
            <w:r w:rsidRPr="00150EDC">
              <w:rPr>
                <w:spacing w:val="-4"/>
                <w:sz w:val="20"/>
              </w:rPr>
              <w:t xml:space="preserve"> </w:t>
            </w:r>
            <w:r w:rsidRPr="00150EDC">
              <w:rPr>
                <w:sz w:val="20"/>
              </w:rPr>
              <w:t>bodily</w:t>
            </w:r>
            <w:r w:rsidRPr="00150EDC">
              <w:rPr>
                <w:spacing w:val="-4"/>
                <w:sz w:val="20"/>
              </w:rPr>
              <w:t xml:space="preserve"> harm</w:t>
            </w:r>
          </w:p>
        </w:tc>
      </w:tr>
      <w:tr w:rsidR="004569EE" w:rsidRPr="007D3144" w14:paraId="0E22841C" w14:textId="77777777">
        <w:trPr>
          <w:trHeight w:val="255"/>
        </w:trPr>
        <w:tc>
          <w:tcPr>
            <w:tcW w:w="6517" w:type="dxa"/>
          </w:tcPr>
          <w:p w14:paraId="20FAED38" w14:textId="77777777" w:rsidR="004C7180" w:rsidRPr="00150EDC" w:rsidRDefault="00CF0754">
            <w:pPr>
              <w:pStyle w:val="TableParagraph"/>
              <w:rPr>
                <w:sz w:val="20"/>
              </w:rPr>
            </w:pPr>
            <w:r w:rsidRPr="00150EDC">
              <w:rPr>
                <w:sz w:val="20"/>
              </w:rPr>
              <w:t>Criminal</w:t>
            </w:r>
            <w:r w:rsidRPr="00150EDC">
              <w:rPr>
                <w:spacing w:val="-8"/>
                <w:sz w:val="20"/>
              </w:rPr>
              <w:t xml:space="preserve"> </w:t>
            </w:r>
            <w:r w:rsidRPr="00150EDC">
              <w:rPr>
                <w:sz w:val="20"/>
              </w:rPr>
              <w:t>Code</w:t>
            </w:r>
            <w:r w:rsidRPr="00150EDC">
              <w:rPr>
                <w:spacing w:val="-4"/>
                <w:sz w:val="20"/>
              </w:rPr>
              <w:t xml:space="preserve"> </w:t>
            </w:r>
            <w:r w:rsidRPr="00150EDC">
              <w:rPr>
                <w:sz w:val="20"/>
              </w:rPr>
              <w:t>1872,</w:t>
            </w:r>
            <w:r w:rsidRPr="00150EDC">
              <w:rPr>
                <w:spacing w:val="-9"/>
                <w:sz w:val="20"/>
              </w:rPr>
              <w:t xml:space="preserve"> </w:t>
            </w:r>
            <w:r w:rsidRPr="00150EDC">
              <w:rPr>
                <w:spacing w:val="-5"/>
                <w:sz w:val="20"/>
              </w:rPr>
              <w:t>s48</w:t>
            </w:r>
          </w:p>
        </w:tc>
        <w:tc>
          <w:tcPr>
            <w:tcW w:w="7427" w:type="dxa"/>
          </w:tcPr>
          <w:p w14:paraId="556B3D7B" w14:textId="77777777" w:rsidR="004C7180" w:rsidRPr="00150EDC" w:rsidRDefault="00CF0754">
            <w:pPr>
              <w:pStyle w:val="TableParagraph"/>
              <w:rPr>
                <w:sz w:val="20"/>
              </w:rPr>
            </w:pPr>
            <w:r w:rsidRPr="00150EDC">
              <w:rPr>
                <w:sz w:val="20"/>
              </w:rPr>
              <w:t>Causing</w:t>
            </w:r>
            <w:r w:rsidRPr="00150EDC">
              <w:rPr>
                <w:spacing w:val="-6"/>
                <w:sz w:val="20"/>
              </w:rPr>
              <w:t xml:space="preserve"> </w:t>
            </w:r>
            <w:r w:rsidRPr="00150EDC">
              <w:rPr>
                <w:sz w:val="20"/>
              </w:rPr>
              <w:t>bodily</w:t>
            </w:r>
            <w:r w:rsidRPr="00150EDC">
              <w:rPr>
                <w:spacing w:val="-5"/>
                <w:sz w:val="20"/>
              </w:rPr>
              <w:t xml:space="preserve"> </w:t>
            </w:r>
            <w:r w:rsidRPr="00150EDC">
              <w:rPr>
                <w:sz w:val="20"/>
              </w:rPr>
              <w:t>harm</w:t>
            </w:r>
            <w:r w:rsidRPr="00150EDC">
              <w:rPr>
                <w:spacing w:val="-5"/>
                <w:sz w:val="20"/>
              </w:rPr>
              <w:t xml:space="preserve"> </w:t>
            </w:r>
            <w:r w:rsidRPr="00150EDC">
              <w:rPr>
                <w:sz w:val="20"/>
              </w:rPr>
              <w:t>by</w:t>
            </w:r>
            <w:r w:rsidRPr="00150EDC">
              <w:rPr>
                <w:spacing w:val="-5"/>
                <w:sz w:val="20"/>
              </w:rPr>
              <w:t xml:space="preserve"> </w:t>
            </w:r>
            <w:r w:rsidRPr="00150EDC">
              <w:rPr>
                <w:sz w:val="20"/>
              </w:rPr>
              <w:t xml:space="preserve">furious </w:t>
            </w:r>
            <w:r w:rsidRPr="00150EDC">
              <w:rPr>
                <w:spacing w:val="-2"/>
                <w:sz w:val="20"/>
              </w:rPr>
              <w:t>driving</w:t>
            </w:r>
          </w:p>
        </w:tc>
      </w:tr>
      <w:tr w:rsidR="004569EE" w:rsidRPr="007D3144" w14:paraId="10E9D582" w14:textId="77777777">
        <w:trPr>
          <w:trHeight w:val="255"/>
        </w:trPr>
        <w:tc>
          <w:tcPr>
            <w:tcW w:w="6517" w:type="dxa"/>
          </w:tcPr>
          <w:p w14:paraId="5D32D347" w14:textId="77777777" w:rsidR="004C7180" w:rsidRPr="00150EDC" w:rsidRDefault="00CF0754">
            <w:pPr>
              <w:pStyle w:val="TableParagraph"/>
              <w:rPr>
                <w:sz w:val="20"/>
              </w:rPr>
            </w:pPr>
            <w:r w:rsidRPr="00150EDC">
              <w:rPr>
                <w:sz w:val="20"/>
              </w:rPr>
              <w:t>Criminal</w:t>
            </w:r>
            <w:r w:rsidRPr="00150EDC">
              <w:rPr>
                <w:spacing w:val="-8"/>
                <w:sz w:val="20"/>
              </w:rPr>
              <w:t xml:space="preserve"> </w:t>
            </w:r>
            <w:r w:rsidRPr="00150EDC">
              <w:rPr>
                <w:sz w:val="20"/>
              </w:rPr>
              <w:t>Code</w:t>
            </w:r>
            <w:r w:rsidRPr="00150EDC">
              <w:rPr>
                <w:spacing w:val="-4"/>
                <w:sz w:val="20"/>
              </w:rPr>
              <w:t xml:space="preserve"> </w:t>
            </w:r>
            <w:r w:rsidRPr="00150EDC">
              <w:rPr>
                <w:sz w:val="20"/>
              </w:rPr>
              <w:t>1872,</w:t>
            </w:r>
            <w:r w:rsidRPr="00150EDC">
              <w:rPr>
                <w:spacing w:val="-9"/>
                <w:sz w:val="20"/>
              </w:rPr>
              <w:t xml:space="preserve"> </w:t>
            </w:r>
            <w:r w:rsidRPr="00150EDC">
              <w:rPr>
                <w:spacing w:val="-5"/>
                <w:sz w:val="20"/>
              </w:rPr>
              <w:t>s51</w:t>
            </w:r>
          </w:p>
        </w:tc>
        <w:tc>
          <w:tcPr>
            <w:tcW w:w="7427" w:type="dxa"/>
          </w:tcPr>
          <w:p w14:paraId="01E031F9" w14:textId="77777777" w:rsidR="004C7180" w:rsidRPr="00150EDC" w:rsidRDefault="00CF0754">
            <w:pPr>
              <w:pStyle w:val="TableParagraph"/>
              <w:rPr>
                <w:sz w:val="20"/>
              </w:rPr>
            </w:pPr>
            <w:r w:rsidRPr="00150EDC">
              <w:rPr>
                <w:sz w:val="20"/>
              </w:rPr>
              <w:t>Assault</w:t>
            </w:r>
            <w:r w:rsidRPr="00150EDC">
              <w:rPr>
                <w:spacing w:val="-7"/>
                <w:sz w:val="20"/>
              </w:rPr>
              <w:t xml:space="preserve"> </w:t>
            </w:r>
            <w:r w:rsidRPr="00150EDC">
              <w:rPr>
                <w:sz w:val="20"/>
              </w:rPr>
              <w:t>with</w:t>
            </w:r>
            <w:r w:rsidRPr="00150EDC">
              <w:rPr>
                <w:spacing w:val="-5"/>
                <w:sz w:val="20"/>
              </w:rPr>
              <w:t xml:space="preserve"> </w:t>
            </w:r>
            <w:r w:rsidRPr="00150EDC">
              <w:rPr>
                <w:sz w:val="20"/>
              </w:rPr>
              <w:t>intent to</w:t>
            </w:r>
            <w:r w:rsidRPr="00150EDC">
              <w:rPr>
                <w:spacing w:val="-5"/>
                <w:sz w:val="20"/>
              </w:rPr>
              <w:t xml:space="preserve"> </w:t>
            </w:r>
            <w:r w:rsidRPr="00150EDC">
              <w:rPr>
                <w:sz w:val="20"/>
              </w:rPr>
              <w:t>commit</w:t>
            </w:r>
            <w:r w:rsidRPr="00150EDC">
              <w:rPr>
                <w:spacing w:val="-4"/>
                <w:sz w:val="20"/>
              </w:rPr>
              <w:t xml:space="preserve"> </w:t>
            </w:r>
            <w:r w:rsidRPr="00150EDC">
              <w:rPr>
                <w:sz w:val="20"/>
              </w:rPr>
              <w:t>felony,</w:t>
            </w:r>
            <w:r w:rsidRPr="00150EDC">
              <w:rPr>
                <w:spacing w:val="-4"/>
                <w:sz w:val="20"/>
              </w:rPr>
              <w:t xml:space="preserve"> </w:t>
            </w:r>
            <w:r w:rsidRPr="00150EDC">
              <w:rPr>
                <w:sz w:val="20"/>
              </w:rPr>
              <w:t>or</w:t>
            </w:r>
            <w:r w:rsidRPr="00150EDC">
              <w:rPr>
                <w:spacing w:val="-5"/>
                <w:sz w:val="20"/>
              </w:rPr>
              <w:t xml:space="preserve"> </w:t>
            </w:r>
            <w:r w:rsidRPr="00150EDC">
              <w:rPr>
                <w:sz w:val="20"/>
              </w:rPr>
              <w:t>on</w:t>
            </w:r>
            <w:r w:rsidRPr="00150EDC">
              <w:rPr>
                <w:spacing w:val="-5"/>
                <w:sz w:val="20"/>
              </w:rPr>
              <w:t xml:space="preserve"> </w:t>
            </w:r>
            <w:r w:rsidRPr="00150EDC">
              <w:rPr>
                <w:sz w:val="20"/>
              </w:rPr>
              <w:t>peace officers</w:t>
            </w:r>
            <w:r w:rsidRPr="00150EDC">
              <w:rPr>
                <w:spacing w:val="1"/>
                <w:sz w:val="20"/>
              </w:rPr>
              <w:t xml:space="preserve"> </w:t>
            </w:r>
            <w:r w:rsidRPr="00150EDC">
              <w:rPr>
                <w:spacing w:val="-5"/>
                <w:sz w:val="20"/>
              </w:rPr>
              <w:t>etc</w:t>
            </w:r>
          </w:p>
        </w:tc>
      </w:tr>
      <w:tr w:rsidR="004569EE" w:rsidRPr="007D3144" w14:paraId="0B979D03" w14:textId="77777777">
        <w:trPr>
          <w:trHeight w:val="255"/>
        </w:trPr>
        <w:tc>
          <w:tcPr>
            <w:tcW w:w="6517" w:type="dxa"/>
          </w:tcPr>
          <w:p w14:paraId="75B08A9B" w14:textId="77777777" w:rsidR="004C7180" w:rsidRPr="00150EDC" w:rsidRDefault="00CF0754">
            <w:pPr>
              <w:pStyle w:val="TableParagraph"/>
              <w:rPr>
                <w:sz w:val="20"/>
              </w:rPr>
            </w:pPr>
            <w:r w:rsidRPr="00150EDC">
              <w:rPr>
                <w:sz w:val="20"/>
              </w:rPr>
              <w:t>Criminal</w:t>
            </w:r>
            <w:r w:rsidRPr="00150EDC">
              <w:rPr>
                <w:spacing w:val="-8"/>
                <w:sz w:val="20"/>
              </w:rPr>
              <w:t xml:space="preserve"> </w:t>
            </w:r>
            <w:r w:rsidRPr="00150EDC">
              <w:rPr>
                <w:sz w:val="20"/>
              </w:rPr>
              <w:t>Code</w:t>
            </w:r>
            <w:r w:rsidRPr="00150EDC">
              <w:rPr>
                <w:spacing w:val="-4"/>
                <w:sz w:val="20"/>
              </w:rPr>
              <w:t xml:space="preserve"> </w:t>
            </w:r>
            <w:r w:rsidRPr="00150EDC">
              <w:rPr>
                <w:sz w:val="20"/>
              </w:rPr>
              <w:t>1872,</w:t>
            </w:r>
            <w:r w:rsidRPr="00150EDC">
              <w:rPr>
                <w:spacing w:val="-9"/>
                <w:sz w:val="20"/>
              </w:rPr>
              <w:t xml:space="preserve"> </w:t>
            </w:r>
            <w:r w:rsidRPr="00150EDC">
              <w:rPr>
                <w:spacing w:val="-5"/>
                <w:sz w:val="20"/>
              </w:rPr>
              <w:t>s59</w:t>
            </w:r>
          </w:p>
        </w:tc>
        <w:tc>
          <w:tcPr>
            <w:tcW w:w="7427" w:type="dxa"/>
          </w:tcPr>
          <w:p w14:paraId="10C25DDD" w14:textId="77777777" w:rsidR="004C7180" w:rsidRPr="00150EDC" w:rsidRDefault="00CF0754">
            <w:pPr>
              <w:pStyle w:val="TableParagraph"/>
              <w:rPr>
                <w:sz w:val="20"/>
              </w:rPr>
            </w:pPr>
            <w:r w:rsidRPr="00150EDC">
              <w:rPr>
                <w:sz w:val="20"/>
              </w:rPr>
              <w:t>Aggravated</w:t>
            </w:r>
            <w:r w:rsidRPr="00150EDC">
              <w:rPr>
                <w:spacing w:val="-7"/>
                <w:sz w:val="20"/>
              </w:rPr>
              <w:t xml:space="preserve"> </w:t>
            </w:r>
            <w:r w:rsidRPr="00150EDC">
              <w:rPr>
                <w:sz w:val="20"/>
              </w:rPr>
              <w:t>assault where</w:t>
            </w:r>
            <w:r w:rsidRPr="00150EDC">
              <w:rPr>
                <w:spacing w:val="-6"/>
                <w:sz w:val="20"/>
              </w:rPr>
              <w:t xml:space="preserve"> </w:t>
            </w:r>
            <w:r w:rsidRPr="00150EDC">
              <w:rPr>
                <w:sz w:val="20"/>
              </w:rPr>
              <w:t>victim</w:t>
            </w:r>
            <w:r w:rsidRPr="00150EDC">
              <w:rPr>
                <w:spacing w:val="-7"/>
                <w:sz w:val="20"/>
              </w:rPr>
              <w:t xml:space="preserve"> </w:t>
            </w:r>
            <w:r w:rsidRPr="00150EDC">
              <w:rPr>
                <w:sz w:val="20"/>
              </w:rPr>
              <w:t>was</w:t>
            </w:r>
            <w:r w:rsidRPr="00150EDC">
              <w:rPr>
                <w:spacing w:val="-5"/>
                <w:sz w:val="20"/>
              </w:rPr>
              <w:t xml:space="preserve"> </w:t>
            </w:r>
            <w:r w:rsidRPr="00150EDC">
              <w:rPr>
                <w:sz w:val="20"/>
              </w:rPr>
              <w:t>under</w:t>
            </w:r>
            <w:r w:rsidRPr="00150EDC">
              <w:rPr>
                <w:spacing w:val="-1"/>
                <w:sz w:val="20"/>
              </w:rPr>
              <w:t xml:space="preserve"> </w:t>
            </w:r>
            <w:r w:rsidRPr="00150EDC">
              <w:rPr>
                <w:spacing w:val="-5"/>
                <w:sz w:val="20"/>
              </w:rPr>
              <w:t>16</w:t>
            </w:r>
          </w:p>
        </w:tc>
      </w:tr>
      <w:tr w:rsidR="004569EE" w:rsidRPr="007D3144" w14:paraId="16B5FF7F" w14:textId="77777777">
        <w:trPr>
          <w:trHeight w:val="255"/>
        </w:trPr>
        <w:tc>
          <w:tcPr>
            <w:tcW w:w="6517" w:type="dxa"/>
          </w:tcPr>
          <w:p w14:paraId="526F38A2" w14:textId="77777777" w:rsidR="004C7180" w:rsidRPr="00150EDC" w:rsidRDefault="00CF0754">
            <w:pPr>
              <w:pStyle w:val="TableParagraph"/>
              <w:rPr>
                <w:sz w:val="20"/>
              </w:rPr>
            </w:pPr>
            <w:r w:rsidRPr="00150EDC">
              <w:rPr>
                <w:sz w:val="20"/>
              </w:rPr>
              <w:t>Criminal</w:t>
            </w:r>
            <w:r w:rsidRPr="00150EDC">
              <w:rPr>
                <w:spacing w:val="-8"/>
                <w:sz w:val="20"/>
              </w:rPr>
              <w:t xml:space="preserve"> </w:t>
            </w:r>
            <w:r w:rsidRPr="00150EDC">
              <w:rPr>
                <w:sz w:val="20"/>
              </w:rPr>
              <w:t>Code</w:t>
            </w:r>
            <w:r w:rsidRPr="00150EDC">
              <w:rPr>
                <w:spacing w:val="-4"/>
                <w:sz w:val="20"/>
              </w:rPr>
              <w:t xml:space="preserve"> </w:t>
            </w:r>
            <w:r w:rsidRPr="00150EDC">
              <w:rPr>
                <w:sz w:val="20"/>
              </w:rPr>
              <w:t>1872,</w:t>
            </w:r>
            <w:r w:rsidRPr="00150EDC">
              <w:rPr>
                <w:spacing w:val="-9"/>
                <w:sz w:val="20"/>
              </w:rPr>
              <w:t xml:space="preserve"> </w:t>
            </w:r>
            <w:r w:rsidRPr="00150EDC">
              <w:rPr>
                <w:spacing w:val="-5"/>
                <w:sz w:val="20"/>
              </w:rPr>
              <w:t>s60</w:t>
            </w:r>
          </w:p>
        </w:tc>
        <w:tc>
          <w:tcPr>
            <w:tcW w:w="7427" w:type="dxa"/>
          </w:tcPr>
          <w:p w14:paraId="0FDC6FB4" w14:textId="77777777" w:rsidR="004C7180" w:rsidRPr="00150EDC" w:rsidRDefault="00CF0754">
            <w:pPr>
              <w:pStyle w:val="TableParagraph"/>
              <w:rPr>
                <w:sz w:val="20"/>
              </w:rPr>
            </w:pPr>
            <w:r w:rsidRPr="00150EDC">
              <w:rPr>
                <w:sz w:val="20"/>
              </w:rPr>
              <w:t>Unlawful</w:t>
            </w:r>
            <w:r w:rsidRPr="00150EDC">
              <w:rPr>
                <w:spacing w:val="-6"/>
                <w:sz w:val="20"/>
              </w:rPr>
              <w:t xml:space="preserve"> </w:t>
            </w:r>
            <w:r w:rsidRPr="00150EDC">
              <w:rPr>
                <w:sz w:val="20"/>
              </w:rPr>
              <w:t>detention</w:t>
            </w:r>
            <w:r w:rsidRPr="00150EDC">
              <w:rPr>
                <w:spacing w:val="-8"/>
                <w:sz w:val="20"/>
              </w:rPr>
              <w:t xml:space="preserve"> </w:t>
            </w:r>
            <w:r w:rsidRPr="00150EDC">
              <w:rPr>
                <w:sz w:val="20"/>
              </w:rPr>
              <w:t>and</w:t>
            </w:r>
            <w:r w:rsidRPr="00150EDC">
              <w:rPr>
                <w:spacing w:val="-8"/>
                <w:sz w:val="20"/>
              </w:rPr>
              <w:t xml:space="preserve"> </w:t>
            </w:r>
            <w:r w:rsidRPr="00150EDC">
              <w:rPr>
                <w:spacing w:val="-2"/>
                <w:sz w:val="20"/>
              </w:rPr>
              <w:t>kidnapping</w:t>
            </w:r>
          </w:p>
        </w:tc>
      </w:tr>
      <w:tr w:rsidR="004569EE" w:rsidRPr="007D3144" w14:paraId="331D19EC" w14:textId="77777777">
        <w:trPr>
          <w:trHeight w:val="255"/>
        </w:trPr>
        <w:tc>
          <w:tcPr>
            <w:tcW w:w="6517" w:type="dxa"/>
          </w:tcPr>
          <w:p w14:paraId="5F1759F7" w14:textId="77777777" w:rsidR="004C7180" w:rsidRPr="00150EDC" w:rsidRDefault="00CF0754">
            <w:pPr>
              <w:pStyle w:val="TableParagraph"/>
              <w:spacing w:before="28"/>
              <w:rPr>
                <w:sz w:val="20"/>
              </w:rPr>
            </w:pPr>
            <w:r w:rsidRPr="00150EDC">
              <w:rPr>
                <w:sz w:val="20"/>
              </w:rPr>
              <w:t>Criminal</w:t>
            </w:r>
            <w:r w:rsidRPr="00150EDC">
              <w:rPr>
                <w:spacing w:val="-8"/>
                <w:sz w:val="20"/>
              </w:rPr>
              <w:t xml:space="preserve"> </w:t>
            </w:r>
            <w:r w:rsidRPr="00150EDC">
              <w:rPr>
                <w:sz w:val="20"/>
              </w:rPr>
              <w:t>Code</w:t>
            </w:r>
            <w:r w:rsidRPr="00150EDC">
              <w:rPr>
                <w:spacing w:val="-4"/>
                <w:sz w:val="20"/>
              </w:rPr>
              <w:t xml:space="preserve"> </w:t>
            </w:r>
            <w:r w:rsidRPr="00150EDC">
              <w:rPr>
                <w:sz w:val="20"/>
              </w:rPr>
              <w:t>1872,</w:t>
            </w:r>
            <w:r w:rsidRPr="00150EDC">
              <w:rPr>
                <w:spacing w:val="-9"/>
                <w:sz w:val="20"/>
              </w:rPr>
              <w:t xml:space="preserve"> </w:t>
            </w:r>
            <w:r w:rsidRPr="00150EDC">
              <w:rPr>
                <w:spacing w:val="-5"/>
                <w:sz w:val="20"/>
              </w:rPr>
              <w:t>s69</w:t>
            </w:r>
          </w:p>
        </w:tc>
        <w:tc>
          <w:tcPr>
            <w:tcW w:w="7427" w:type="dxa"/>
          </w:tcPr>
          <w:p w14:paraId="1DE346BA" w14:textId="77777777" w:rsidR="004C7180" w:rsidRPr="00150EDC" w:rsidRDefault="00CF0754">
            <w:pPr>
              <w:pStyle w:val="TableParagraph"/>
              <w:spacing w:before="28"/>
              <w:rPr>
                <w:sz w:val="20"/>
              </w:rPr>
            </w:pPr>
            <w:r w:rsidRPr="00150EDC">
              <w:rPr>
                <w:sz w:val="20"/>
              </w:rPr>
              <w:t>Child</w:t>
            </w:r>
            <w:r w:rsidRPr="00150EDC">
              <w:rPr>
                <w:spacing w:val="-9"/>
                <w:sz w:val="20"/>
              </w:rPr>
              <w:t xml:space="preserve"> </w:t>
            </w:r>
            <w:r w:rsidRPr="00150EDC">
              <w:rPr>
                <w:sz w:val="20"/>
              </w:rPr>
              <w:t>stealing,</w:t>
            </w:r>
            <w:r w:rsidRPr="00150EDC">
              <w:rPr>
                <w:spacing w:val="-2"/>
                <w:sz w:val="20"/>
              </w:rPr>
              <w:t xml:space="preserve"> </w:t>
            </w:r>
            <w:r w:rsidRPr="00150EDC">
              <w:rPr>
                <w:sz w:val="20"/>
              </w:rPr>
              <w:t>harbouring</w:t>
            </w:r>
            <w:r w:rsidRPr="00150EDC">
              <w:rPr>
                <w:spacing w:val="-9"/>
                <w:sz w:val="20"/>
              </w:rPr>
              <w:t xml:space="preserve"> </w:t>
            </w:r>
            <w:r w:rsidRPr="00150EDC">
              <w:rPr>
                <w:sz w:val="20"/>
              </w:rPr>
              <w:t>or</w:t>
            </w:r>
            <w:r w:rsidRPr="00150EDC">
              <w:rPr>
                <w:spacing w:val="-4"/>
                <w:sz w:val="20"/>
              </w:rPr>
              <w:t xml:space="preserve"> </w:t>
            </w:r>
            <w:r w:rsidRPr="00150EDC">
              <w:rPr>
                <w:sz w:val="20"/>
              </w:rPr>
              <w:t>receiving</w:t>
            </w:r>
            <w:r w:rsidRPr="00150EDC">
              <w:rPr>
                <w:spacing w:val="-4"/>
                <w:sz w:val="20"/>
              </w:rPr>
              <w:t xml:space="preserve"> </w:t>
            </w:r>
            <w:r w:rsidRPr="00150EDC">
              <w:rPr>
                <w:sz w:val="20"/>
              </w:rPr>
              <w:t>stolen</w:t>
            </w:r>
            <w:r w:rsidRPr="00150EDC">
              <w:rPr>
                <w:spacing w:val="-8"/>
                <w:sz w:val="20"/>
              </w:rPr>
              <w:t xml:space="preserve"> </w:t>
            </w:r>
            <w:r w:rsidRPr="00150EDC">
              <w:rPr>
                <w:spacing w:val="-4"/>
                <w:sz w:val="20"/>
              </w:rPr>
              <w:t>child</w:t>
            </w:r>
          </w:p>
        </w:tc>
      </w:tr>
      <w:tr w:rsidR="004569EE" w:rsidRPr="007D3144" w14:paraId="326BA43B" w14:textId="77777777">
        <w:trPr>
          <w:trHeight w:val="255"/>
        </w:trPr>
        <w:tc>
          <w:tcPr>
            <w:tcW w:w="6517" w:type="dxa"/>
          </w:tcPr>
          <w:p w14:paraId="7E785017" w14:textId="77777777" w:rsidR="004C7180" w:rsidRPr="00150EDC" w:rsidRDefault="00CF0754">
            <w:pPr>
              <w:pStyle w:val="TableParagraph"/>
              <w:rPr>
                <w:sz w:val="20"/>
              </w:rPr>
            </w:pPr>
            <w:r w:rsidRPr="00150EDC">
              <w:rPr>
                <w:sz w:val="20"/>
              </w:rPr>
              <w:t>Criminal</w:t>
            </w:r>
            <w:r w:rsidRPr="00150EDC">
              <w:rPr>
                <w:spacing w:val="-8"/>
                <w:sz w:val="20"/>
              </w:rPr>
              <w:t xml:space="preserve"> </w:t>
            </w:r>
            <w:r w:rsidRPr="00150EDC">
              <w:rPr>
                <w:sz w:val="20"/>
              </w:rPr>
              <w:t>Code</w:t>
            </w:r>
            <w:r w:rsidRPr="00150EDC">
              <w:rPr>
                <w:spacing w:val="-4"/>
                <w:sz w:val="20"/>
              </w:rPr>
              <w:t xml:space="preserve"> </w:t>
            </w:r>
            <w:r w:rsidRPr="00150EDC">
              <w:rPr>
                <w:sz w:val="20"/>
              </w:rPr>
              <w:t>1872,</w:t>
            </w:r>
            <w:r w:rsidRPr="00150EDC">
              <w:rPr>
                <w:spacing w:val="-9"/>
                <w:sz w:val="20"/>
              </w:rPr>
              <w:t xml:space="preserve"> </w:t>
            </w:r>
            <w:r w:rsidRPr="00150EDC">
              <w:rPr>
                <w:spacing w:val="-4"/>
                <w:sz w:val="20"/>
              </w:rPr>
              <w:t>s118</w:t>
            </w:r>
          </w:p>
        </w:tc>
        <w:tc>
          <w:tcPr>
            <w:tcW w:w="7427" w:type="dxa"/>
          </w:tcPr>
          <w:p w14:paraId="68A58EFE" w14:textId="77777777" w:rsidR="004C7180" w:rsidRPr="00150EDC" w:rsidRDefault="00CF0754">
            <w:pPr>
              <w:pStyle w:val="TableParagraph"/>
              <w:rPr>
                <w:sz w:val="20"/>
              </w:rPr>
            </w:pPr>
            <w:r w:rsidRPr="00150EDC">
              <w:rPr>
                <w:sz w:val="20"/>
              </w:rPr>
              <w:t>Endangering</w:t>
            </w:r>
            <w:r w:rsidRPr="00150EDC">
              <w:rPr>
                <w:spacing w:val="-7"/>
                <w:sz w:val="20"/>
              </w:rPr>
              <w:t xml:space="preserve"> </w:t>
            </w:r>
            <w:r w:rsidRPr="00150EDC">
              <w:rPr>
                <w:sz w:val="20"/>
              </w:rPr>
              <w:t>safety</w:t>
            </w:r>
            <w:r w:rsidRPr="00150EDC">
              <w:rPr>
                <w:spacing w:val="-5"/>
                <w:sz w:val="20"/>
              </w:rPr>
              <w:t xml:space="preserve"> </w:t>
            </w:r>
            <w:r w:rsidRPr="00150EDC">
              <w:rPr>
                <w:sz w:val="20"/>
              </w:rPr>
              <w:t>of</w:t>
            </w:r>
            <w:r w:rsidRPr="00150EDC">
              <w:rPr>
                <w:spacing w:val="-6"/>
                <w:sz w:val="20"/>
              </w:rPr>
              <w:t xml:space="preserve"> </w:t>
            </w:r>
            <w:r w:rsidRPr="00150EDC">
              <w:rPr>
                <w:spacing w:val="-2"/>
                <w:sz w:val="20"/>
              </w:rPr>
              <w:t>travellers</w:t>
            </w:r>
          </w:p>
        </w:tc>
      </w:tr>
      <w:tr w:rsidR="004569EE" w:rsidRPr="007D3144" w14:paraId="77F365E6" w14:textId="77777777">
        <w:trPr>
          <w:trHeight w:val="255"/>
        </w:trPr>
        <w:tc>
          <w:tcPr>
            <w:tcW w:w="6517" w:type="dxa"/>
          </w:tcPr>
          <w:p w14:paraId="66882BDF" w14:textId="77777777" w:rsidR="004C7180" w:rsidRPr="00150EDC" w:rsidRDefault="00CF0754">
            <w:pPr>
              <w:pStyle w:val="TableParagraph"/>
              <w:rPr>
                <w:sz w:val="20"/>
              </w:rPr>
            </w:pPr>
            <w:r w:rsidRPr="00150EDC">
              <w:rPr>
                <w:sz w:val="20"/>
              </w:rPr>
              <w:t>Criminal</w:t>
            </w:r>
            <w:r w:rsidRPr="00150EDC">
              <w:rPr>
                <w:spacing w:val="-8"/>
                <w:sz w:val="20"/>
              </w:rPr>
              <w:t xml:space="preserve"> </w:t>
            </w:r>
            <w:r w:rsidRPr="00150EDC">
              <w:rPr>
                <w:sz w:val="20"/>
              </w:rPr>
              <w:t>Code</w:t>
            </w:r>
            <w:r w:rsidRPr="00150EDC">
              <w:rPr>
                <w:spacing w:val="-4"/>
                <w:sz w:val="20"/>
              </w:rPr>
              <w:t xml:space="preserve"> </w:t>
            </w:r>
            <w:r w:rsidRPr="00150EDC">
              <w:rPr>
                <w:sz w:val="20"/>
              </w:rPr>
              <w:t>1872,</w:t>
            </w:r>
            <w:r w:rsidRPr="00150EDC">
              <w:rPr>
                <w:spacing w:val="-9"/>
                <w:sz w:val="20"/>
              </w:rPr>
              <w:t xml:space="preserve"> </w:t>
            </w:r>
            <w:r w:rsidRPr="00150EDC">
              <w:rPr>
                <w:spacing w:val="-4"/>
                <w:sz w:val="20"/>
              </w:rPr>
              <w:t>s130</w:t>
            </w:r>
          </w:p>
        </w:tc>
        <w:tc>
          <w:tcPr>
            <w:tcW w:w="7427" w:type="dxa"/>
          </w:tcPr>
          <w:p w14:paraId="1107EBF2" w14:textId="77777777" w:rsidR="004C7180" w:rsidRPr="00150EDC" w:rsidRDefault="00CF0754">
            <w:pPr>
              <w:pStyle w:val="TableParagraph"/>
              <w:rPr>
                <w:sz w:val="20"/>
              </w:rPr>
            </w:pPr>
            <w:r w:rsidRPr="00150EDC">
              <w:rPr>
                <w:sz w:val="20"/>
              </w:rPr>
              <w:t>Exhibiting</w:t>
            </w:r>
            <w:r w:rsidRPr="00150EDC">
              <w:rPr>
                <w:spacing w:val="-7"/>
                <w:sz w:val="20"/>
              </w:rPr>
              <w:t xml:space="preserve"> </w:t>
            </w:r>
            <w:r w:rsidRPr="00150EDC">
              <w:rPr>
                <w:sz w:val="20"/>
              </w:rPr>
              <w:t>false</w:t>
            </w:r>
            <w:r w:rsidRPr="00150EDC">
              <w:rPr>
                <w:spacing w:val="-7"/>
                <w:sz w:val="20"/>
              </w:rPr>
              <w:t xml:space="preserve"> </w:t>
            </w:r>
            <w:r w:rsidRPr="00150EDC">
              <w:rPr>
                <w:sz w:val="20"/>
              </w:rPr>
              <w:t>signals,</w:t>
            </w:r>
            <w:r w:rsidRPr="00150EDC">
              <w:rPr>
                <w:spacing w:val="-6"/>
                <w:sz w:val="20"/>
              </w:rPr>
              <w:t xml:space="preserve"> </w:t>
            </w:r>
            <w:r w:rsidRPr="00150EDC">
              <w:rPr>
                <w:spacing w:val="-5"/>
                <w:sz w:val="20"/>
              </w:rPr>
              <w:t>etc</w:t>
            </w:r>
          </w:p>
        </w:tc>
      </w:tr>
      <w:tr w:rsidR="004569EE" w:rsidRPr="007D3144" w14:paraId="588FC565" w14:textId="77777777">
        <w:trPr>
          <w:trHeight w:val="255"/>
        </w:trPr>
        <w:tc>
          <w:tcPr>
            <w:tcW w:w="6517" w:type="dxa"/>
          </w:tcPr>
          <w:p w14:paraId="4F99113B" w14:textId="77777777" w:rsidR="004C7180" w:rsidRPr="00150EDC" w:rsidRDefault="00CF0754">
            <w:pPr>
              <w:pStyle w:val="TableParagraph"/>
              <w:rPr>
                <w:sz w:val="20"/>
              </w:rPr>
            </w:pPr>
            <w:r w:rsidRPr="00150EDC">
              <w:rPr>
                <w:sz w:val="20"/>
              </w:rPr>
              <w:t>Criminal</w:t>
            </w:r>
            <w:r w:rsidRPr="00150EDC">
              <w:rPr>
                <w:spacing w:val="-8"/>
                <w:sz w:val="20"/>
              </w:rPr>
              <w:t xml:space="preserve"> </w:t>
            </w:r>
            <w:r w:rsidRPr="00150EDC">
              <w:rPr>
                <w:sz w:val="20"/>
              </w:rPr>
              <w:t>Code</w:t>
            </w:r>
            <w:r w:rsidRPr="00150EDC">
              <w:rPr>
                <w:spacing w:val="-4"/>
                <w:sz w:val="20"/>
              </w:rPr>
              <w:t xml:space="preserve"> </w:t>
            </w:r>
            <w:r w:rsidRPr="00150EDC">
              <w:rPr>
                <w:sz w:val="20"/>
              </w:rPr>
              <w:t>1872,</w:t>
            </w:r>
            <w:r w:rsidRPr="00150EDC">
              <w:rPr>
                <w:spacing w:val="-9"/>
                <w:sz w:val="20"/>
              </w:rPr>
              <w:t xml:space="preserve"> </w:t>
            </w:r>
            <w:r w:rsidRPr="00150EDC">
              <w:rPr>
                <w:spacing w:val="-4"/>
                <w:sz w:val="20"/>
              </w:rPr>
              <w:t>s136</w:t>
            </w:r>
          </w:p>
        </w:tc>
        <w:tc>
          <w:tcPr>
            <w:tcW w:w="7427" w:type="dxa"/>
          </w:tcPr>
          <w:p w14:paraId="3E36D4D5" w14:textId="77777777" w:rsidR="004C7180" w:rsidRPr="00150EDC" w:rsidRDefault="00CF0754">
            <w:pPr>
              <w:pStyle w:val="TableParagraph"/>
              <w:rPr>
                <w:sz w:val="20"/>
              </w:rPr>
            </w:pPr>
            <w:r w:rsidRPr="00150EDC">
              <w:rPr>
                <w:sz w:val="20"/>
              </w:rPr>
              <w:t>Making</w:t>
            </w:r>
            <w:r w:rsidRPr="00150EDC">
              <w:rPr>
                <w:spacing w:val="-7"/>
                <w:sz w:val="20"/>
              </w:rPr>
              <w:t xml:space="preserve"> </w:t>
            </w:r>
            <w:r w:rsidRPr="00150EDC">
              <w:rPr>
                <w:sz w:val="20"/>
              </w:rPr>
              <w:t>or</w:t>
            </w:r>
            <w:r w:rsidRPr="00150EDC">
              <w:rPr>
                <w:spacing w:val="-7"/>
                <w:sz w:val="20"/>
              </w:rPr>
              <w:t xml:space="preserve"> </w:t>
            </w:r>
            <w:r w:rsidRPr="00150EDC">
              <w:rPr>
                <w:sz w:val="20"/>
              </w:rPr>
              <w:t>having</w:t>
            </w:r>
            <w:r w:rsidRPr="00150EDC">
              <w:rPr>
                <w:spacing w:val="-6"/>
                <w:sz w:val="20"/>
              </w:rPr>
              <w:t xml:space="preserve"> </w:t>
            </w:r>
            <w:r w:rsidRPr="00150EDC">
              <w:rPr>
                <w:sz w:val="20"/>
              </w:rPr>
              <w:t>gunpowder,</w:t>
            </w:r>
            <w:r w:rsidRPr="00150EDC">
              <w:rPr>
                <w:spacing w:val="-6"/>
                <w:sz w:val="20"/>
              </w:rPr>
              <w:t xml:space="preserve"> </w:t>
            </w:r>
            <w:r w:rsidRPr="00150EDC">
              <w:rPr>
                <w:sz w:val="20"/>
              </w:rPr>
              <w:t>etc,</w:t>
            </w:r>
            <w:r w:rsidRPr="00150EDC">
              <w:rPr>
                <w:spacing w:val="-7"/>
                <w:sz w:val="20"/>
              </w:rPr>
              <w:t xml:space="preserve"> </w:t>
            </w:r>
            <w:r w:rsidRPr="00150EDC">
              <w:rPr>
                <w:sz w:val="20"/>
              </w:rPr>
              <w:t>with</w:t>
            </w:r>
            <w:r w:rsidRPr="00150EDC">
              <w:rPr>
                <w:spacing w:val="-6"/>
                <w:sz w:val="20"/>
              </w:rPr>
              <w:t xml:space="preserve"> </w:t>
            </w:r>
            <w:r w:rsidRPr="00150EDC">
              <w:rPr>
                <w:sz w:val="20"/>
              </w:rPr>
              <w:t>intent</w:t>
            </w:r>
            <w:r w:rsidRPr="00150EDC">
              <w:rPr>
                <w:spacing w:val="-6"/>
                <w:sz w:val="20"/>
              </w:rPr>
              <w:t xml:space="preserve"> </w:t>
            </w:r>
            <w:r w:rsidRPr="00150EDC">
              <w:rPr>
                <w:sz w:val="20"/>
              </w:rPr>
              <w:t>to</w:t>
            </w:r>
            <w:r w:rsidRPr="00150EDC">
              <w:rPr>
                <w:spacing w:val="-6"/>
                <w:sz w:val="20"/>
              </w:rPr>
              <w:t xml:space="preserve"> </w:t>
            </w:r>
            <w:r w:rsidRPr="00150EDC">
              <w:rPr>
                <w:sz w:val="20"/>
              </w:rPr>
              <w:t>endanger</w:t>
            </w:r>
            <w:r w:rsidRPr="00150EDC">
              <w:rPr>
                <w:spacing w:val="-1"/>
                <w:sz w:val="20"/>
              </w:rPr>
              <w:t xml:space="preserve"> </w:t>
            </w:r>
            <w:r w:rsidRPr="00150EDC">
              <w:rPr>
                <w:sz w:val="20"/>
              </w:rPr>
              <w:t>life</w:t>
            </w:r>
            <w:r w:rsidRPr="00150EDC">
              <w:rPr>
                <w:spacing w:val="-7"/>
                <w:sz w:val="20"/>
              </w:rPr>
              <w:t xml:space="preserve"> </w:t>
            </w:r>
            <w:r w:rsidRPr="00150EDC">
              <w:rPr>
                <w:sz w:val="20"/>
              </w:rPr>
              <w:t>or</w:t>
            </w:r>
            <w:r w:rsidRPr="00150EDC">
              <w:rPr>
                <w:spacing w:val="-6"/>
                <w:sz w:val="20"/>
              </w:rPr>
              <w:t xml:space="preserve"> </w:t>
            </w:r>
            <w:r w:rsidRPr="00150EDC">
              <w:rPr>
                <w:sz w:val="20"/>
              </w:rPr>
              <w:t>damage</w:t>
            </w:r>
            <w:r w:rsidRPr="00150EDC">
              <w:rPr>
                <w:spacing w:val="-1"/>
                <w:sz w:val="20"/>
              </w:rPr>
              <w:t xml:space="preserve"> </w:t>
            </w:r>
            <w:r w:rsidRPr="00150EDC">
              <w:rPr>
                <w:spacing w:val="-2"/>
                <w:sz w:val="20"/>
              </w:rPr>
              <w:t>property</w:t>
            </w:r>
          </w:p>
        </w:tc>
      </w:tr>
      <w:tr w:rsidR="004569EE" w:rsidRPr="007D3144" w14:paraId="3723EF5B" w14:textId="77777777">
        <w:trPr>
          <w:trHeight w:val="255"/>
        </w:trPr>
        <w:tc>
          <w:tcPr>
            <w:tcW w:w="6517" w:type="dxa"/>
          </w:tcPr>
          <w:p w14:paraId="1E94A19D" w14:textId="77777777" w:rsidR="004C7180" w:rsidRPr="00150EDC" w:rsidRDefault="00CF0754">
            <w:pPr>
              <w:pStyle w:val="TableParagraph"/>
              <w:spacing w:before="28"/>
              <w:rPr>
                <w:sz w:val="20"/>
              </w:rPr>
            </w:pPr>
            <w:r w:rsidRPr="00150EDC">
              <w:rPr>
                <w:sz w:val="20"/>
              </w:rPr>
              <w:t>Criminal</w:t>
            </w:r>
            <w:r w:rsidRPr="00150EDC">
              <w:rPr>
                <w:spacing w:val="-8"/>
                <w:sz w:val="20"/>
              </w:rPr>
              <w:t xml:space="preserve"> </w:t>
            </w:r>
            <w:r w:rsidRPr="00150EDC">
              <w:rPr>
                <w:sz w:val="20"/>
              </w:rPr>
              <w:t>Code</w:t>
            </w:r>
            <w:r w:rsidRPr="00150EDC">
              <w:rPr>
                <w:spacing w:val="-4"/>
                <w:sz w:val="20"/>
              </w:rPr>
              <w:t xml:space="preserve"> </w:t>
            </w:r>
            <w:r w:rsidRPr="00150EDC">
              <w:rPr>
                <w:sz w:val="20"/>
              </w:rPr>
              <w:t>1872,</w:t>
            </w:r>
            <w:r w:rsidRPr="00150EDC">
              <w:rPr>
                <w:spacing w:val="-9"/>
                <w:sz w:val="20"/>
              </w:rPr>
              <w:t xml:space="preserve"> </w:t>
            </w:r>
            <w:r w:rsidRPr="00150EDC">
              <w:rPr>
                <w:spacing w:val="-4"/>
                <w:sz w:val="20"/>
              </w:rPr>
              <w:t>s332</w:t>
            </w:r>
          </w:p>
        </w:tc>
        <w:tc>
          <w:tcPr>
            <w:tcW w:w="7427" w:type="dxa"/>
          </w:tcPr>
          <w:p w14:paraId="4708C96B" w14:textId="77777777" w:rsidR="004C7180" w:rsidRPr="00150EDC" w:rsidRDefault="00CF0754">
            <w:pPr>
              <w:pStyle w:val="TableParagraph"/>
              <w:spacing w:before="28"/>
              <w:rPr>
                <w:sz w:val="20"/>
              </w:rPr>
            </w:pPr>
            <w:r w:rsidRPr="00150EDC">
              <w:rPr>
                <w:spacing w:val="-4"/>
                <w:sz w:val="20"/>
              </w:rPr>
              <w:t>Riot</w:t>
            </w:r>
          </w:p>
        </w:tc>
      </w:tr>
      <w:tr w:rsidR="004569EE" w:rsidRPr="007D3144" w14:paraId="4A50E6E9" w14:textId="77777777">
        <w:trPr>
          <w:trHeight w:val="255"/>
        </w:trPr>
        <w:tc>
          <w:tcPr>
            <w:tcW w:w="6517" w:type="dxa"/>
          </w:tcPr>
          <w:p w14:paraId="78A23598" w14:textId="77777777" w:rsidR="004C7180" w:rsidRPr="00150EDC" w:rsidRDefault="00CF0754">
            <w:pPr>
              <w:pStyle w:val="TableParagraph"/>
              <w:rPr>
                <w:sz w:val="20"/>
              </w:rPr>
            </w:pPr>
            <w:r w:rsidRPr="00150EDC">
              <w:rPr>
                <w:sz w:val="20"/>
              </w:rPr>
              <w:t>Criminal</w:t>
            </w:r>
            <w:r w:rsidRPr="00150EDC">
              <w:rPr>
                <w:spacing w:val="-5"/>
                <w:sz w:val="20"/>
              </w:rPr>
              <w:t xml:space="preserve"> </w:t>
            </w:r>
            <w:r w:rsidRPr="00150EDC">
              <w:rPr>
                <w:sz w:val="20"/>
              </w:rPr>
              <w:t>Damage</w:t>
            </w:r>
            <w:r w:rsidRPr="00150EDC">
              <w:rPr>
                <w:spacing w:val="-6"/>
                <w:sz w:val="20"/>
              </w:rPr>
              <w:t xml:space="preserve"> </w:t>
            </w:r>
            <w:r w:rsidRPr="00150EDC">
              <w:rPr>
                <w:sz w:val="20"/>
              </w:rPr>
              <w:t>(Bailiwick</w:t>
            </w:r>
            <w:r w:rsidRPr="00150EDC">
              <w:rPr>
                <w:spacing w:val="-6"/>
                <w:sz w:val="20"/>
              </w:rPr>
              <w:t xml:space="preserve"> </w:t>
            </w:r>
            <w:r w:rsidRPr="00150EDC">
              <w:rPr>
                <w:sz w:val="20"/>
              </w:rPr>
              <w:t>of</w:t>
            </w:r>
            <w:r w:rsidRPr="00150EDC">
              <w:rPr>
                <w:spacing w:val="-6"/>
                <w:sz w:val="20"/>
              </w:rPr>
              <w:t xml:space="preserve"> </w:t>
            </w:r>
            <w:r w:rsidRPr="00150EDC">
              <w:rPr>
                <w:sz w:val="20"/>
              </w:rPr>
              <w:t>Guernsey)</w:t>
            </w:r>
            <w:r w:rsidRPr="00150EDC">
              <w:rPr>
                <w:spacing w:val="-6"/>
                <w:sz w:val="20"/>
              </w:rPr>
              <w:t xml:space="preserve"> </w:t>
            </w:r>
            <w:r w:rsidRPr="00150EDC">
              <w:rPr>
                <w:sz w:val="20"/>
              </w:rPr>
              <w:t>Law</w:t>
            </w:r>
            <w:r w:rsidRPr="00150EDC">
              <w:rPr>
                <w:spacing w:val="-5"/>
                <w:sz w:val="20"/>
              </w:rPr>
              <w:t xml:space="preserve"> </w:t>
            </w:r>
            <w:r w:rsidRPr="00150EDC">
              <w:rPr>
                <w:sz w:val="20"/>
              </w:rPr>
              <w:t>1983,</w:t>
            </w:r>
            <w:r w:rsidRPr="00150EDC">
              <w:rPr>
                <w:spacing w:val="-6"/>
                <w:sz w:val="20"/>
              </w:rPr>
              <w:t xml:space="preserve"> </w:t>
            </w:r>
            <w:r w:rsidRPr="00150EDC">
              <w:rPr>
                <w:spacing w:val="-4"/>
                <w:sz w:val="20"/>
              </w:rPr>
              <w:t>s1(1)</w:t>
            </w:r>
          </w:p>
        </w:tc>
        <w:tc>
          <w:tcPr>
            <w:tcW w:w="7427" w:type="dxa"/>
          </w:tcPr>
          <w:p w14:paraId="01EF09A0" w14:textId="77777777" w:rsidR="004C7180" w:rsidRPr="00150EDC" w:rsidRDefault="00CF0754">
            <w:pPr>
              <w:pStyle w:val="TableParagraph"/>
              <w:rPr>
                <w:sz w:val="20"/>
              </w:rPr>
            </w:pPr>
            <w:r w:rsidRPr="00150EDC">
              <w:rPr>
                <w:spacing w:val="-2"/>
                <w:sz w:val="20"/>
              </w:rPr>
              <w:t>Arson</w:t>
            </w:r>
          </w:p>
        </w:tc>
      </w:tr>
      <w:tr w:rsidR="004569EE" w:rsidRPr="007D3144" w14:paraId="3529E146" w14:textId="77777777">
        <w:trPr>
          <w:trHeight w:val="255"/>
        </w:trPr>
        <w:tc>
          <w:tcPr>
            <w:tcW w:w="6517" w:type="dxa"/>
          </w:tcPr>
          <w:p w14:paraId="1CB763CC" w14:textId="77777777" w:rsidR="004C7180" w:rsidRPr="00150EDC" w:rsidRDefault="00CF0754">
            <w:pPr>
              <w:pStyle w:val="TableParagraph"/>
              <w:rPr>
                <w:sz w:val="20"/>
              </w:rPr>
            </w:pPr>
            <w:r w:rsidRPr="00150EDC">
              <w:rPr>
                <w:sz w:val="20"/>
              </w:rPr>
              <w:t>Criminal</w:t>
            </w:r>
            <w:r w:rsidRPr="00150EDC">
              <w:rPr>
                <w:spacing w:val="-5"/>
                <w:sz w:val="20"/>
              </w:rPr>
              <w:t xml:space="preserve"> </w:t>
            </w:r>
            <w:r w:rsidRPr="00150EDC">
              <w:rPr>
                <w:sz w:val="20"/>
              </w:rPr>
              <w:t>Damage</w:t>
            </w:r>
            <w:r w:rsidRPr="00150EDC">
              <w:rPr>
                <w:spacing w:val="-6"/>
                <w:sz w:val="20"/>
              </w:rPr>
              <w:t xml:space="preserve"> </w:t>
            </w:r>
            <w:r w:rsidRPr="00150EDC">
              <w:rPr>
                <w:sz w:val="20"/>
              </w:rPr>
              <w:t>(Bailiwick</w:t>
            </w:r>
            <w:r w:rsidRPr="00150EDC">
              <w:rPr>
                <w:spacing w:val="-6"/>
                <w:sz w:val="20"/>
              </w:rPr>
              <w:t xml:space="preserve"> </w:t>
            </w:r>
            <w:r w:rsidRPr="00150EDC">
              <w:rPr>
                <w:sz w:val="20"/>
              </w:rPr>
              <w:t>of</w:t>
            </w:r>
            <w:r w:rsidRPr="00150EDC">
              <w:rPr>
                <w:spacing w:val="-6"/>
                <w:sz w:val="20"/>
              </w:rPr>
              <w:t xml:space="preserve"> </w:t>
            </w:r>
            <w:r w:rsidRPr="00150EDC">
              <w:rPr>
                <w:sz w:val="20"/>
              </w:rPr>
              <w:t>Guernsey)</w:t>
            </w:r>
            <w:r w:rsidRPr="00150EDC">
              <w:rPr>
                <w:spacing w:val="-6"/>
                <w:sz w:val="20"/>
              </w:rPr>
              <w:t xml:space="preserve"> </w:t>
            </w:r>
            <w:r w:rsidRPr="00150EDC">
              <w:rPr>
                <w:sz w:val="20"/>
              </w:rPr>
              <w:t>Law</w:t>
            </w:r>
            <w:r w:rsidRPr="00150EDC">
              <w:rPr>
                <w:spacing w:val="-5"/>
                <w:sz w:val="20"/>
              </w:rPr>
              <w:t xml:space="preserve"> </w:t>
            </w:r>
            <w:r w:rsidRPr="00150EDC">
              <w:rPr>
                <w:sz w:val="20"/>
              </w:rPr>
              <w:t>1983,</w:t>
            </w:r>
            <w:r w:rsidRPr="00150EDC">
              <w:rPr>
                <w:spacing w:val="-6"/>
                <w:sz w:val="20"/>
              </w:rPr>
              <w:t xml:space="preserve"> </w:t>
            </w:r>
            <w:r w:rsidRPr="00150EDC">
              <w:rPr>
                <w:spacing w:val="-4"/>
                <w:sz w:val="20"/>
              </w:rPr>
              <w:t>s1(2)</w:t>
            </w:r>
          </w:p>
        </w:tc>
        <w:tc>
          <w:tcPr>
            <w:tcW w:w="7427" w:type="dxa"/>
          </w:tcPr>
          <w:p w14:paraId="427C49D9" w14:textId="77777777" w:rsidR="004C7180" w:rsidRPr="00150EDC" w:rsidRDefault="00CF0754">
            <w:pPr>
              <w:pStyle w:val="TableParagraph"/>
              <w:rPr>
                <w:sz w:val="20"/>
              </w:rPr>
            </w:pPr>
            <w:r w:rsidRPr="00150EDC">
              <w:rPr>
                <w:sz w:val="20"/>
              </w:rPr>
              <w:t>Criminal</w:t>
            </w:r>
            <w:r w:rsidRPr="00150EDC">
              <w:rPr>
                <w:spacing w:val="-8"/>
                <w:sz w:val="20"/>
              </w:rPr>
              <w:t xml:space="preserve"> </w:t>
            </w:r>
            <w:r w:rsidRPr="00150EDC">
              <w:rPr>
                <w:sz w:val="20"/>
              </w:rPr>
              <w:t>damage</w:t>
            </w:r>
            <w:r w:rsidRPr="00150EDC">
              <w:rPr>
                <w:spacing w:val="-4"/>
                <w:sz w:val="20"/>
              </w:rPr>
              <w:t xml:space="preserve"> </w:t>
            </w:r>
            <w:r w:rsidRPr="00150EDC">
              <w:rPr>
                <w:sz w:val="20"/>
              </w:rPr>
              <w:t>endangering</w:t>
            </w:r>
            <w:r w:rsidRPr="00150EDC">
              <w:rPr>
                <w:spacing w:val="-9"/>
                <w:sz w:val="20"/>
              </w:rPr>
              <w:t xml:space="preserve"> </w:t>
            </w:r>
            <w:r w:rsidRPr="00150EDC">
              <w:rPr>
                <w:spacing w:val="-4"/>
                <w:sz w:val="20"/>
              </w:rPr>
              <w:t>life</w:t>
            </w:r>
          </w:p>
        </w:tc>
      </w:tr>
      <w:tr w:rsidR="004569EE" w:rsidRPr="007D3144" w14:paraId="67170778" w14:textId="77777777">
        <w:trPr>
          <w:trHeight w:val="255"/>
        </w:trPr>
        <w:tc>
          <w:tcPr>
            <w:tcW w:w="6517" w:type="dxa"/>
          </w:tcPr>
          <w:p w14:paraId="22B4134C" w14:textId="77777777" w:rsidR="004C7180" w:rsidRPr="00150EDC" w:rsidRDefault="00CF0754">
            <w:pPr>
              <w:pStyle w:val="TableParagraph"/>
              <w:rPr>
                <w:sz w:val="20"/>
              </w:rPr>
            </w:pPr>
            <w:r w:rsidRPr="00150EDC">
              <w:rPr>
                <w:sz w:val="20"/>
              </w:rPr>
              <w:t>Criminal</w:t>
            </w:r>
            <w:r w:rsidRPr="00150EDC">
              <w:rPr>
                <w:spacing w:val="-5"/>
                <w:sz w:val="20"/>
              </w:rPr>
              <w:t xml:space="preserve"> </w:t>
            </w:r>
            <w:r w:rsidRPr="00150EDC">
              <w:rPr>
                <w:sz w:val="20"/>
              </w:rPr>
              <w:t>Damage</w:t>
            </w:r>
            <w:r w:rsidRPr="00150EDC">
              <w:rPr>
                <w:spacing w:val="-6"/>
                <w:sz w:val="20"/>
              </w:rPr>
              <w:t xml:space="preserve"> </w:t>
            </w:r>
            <w:r w:rsidRPr="00150EDC">
              <w:rPr>
                <w:sz w:val="20"/>
              </w:rPr>
              <w:t>(Bailiwick</w:t>
            </w:r>
            <w:r w:rsidRPr="00150EDC">
              <w:rPr>
                <w:spacing w:val="-6"/>
                <w:sz w:val="20"/>
              </w:rPr>
              <w:t xml:space="preserve"> </w:t>
            </w:r>
            <w:r w:rsidRPr="00150EDC">
              <w:rPr>
                <w:sz w:val="20"/>
              </w:rPr>
              <w:t>of</w:t>
            </w:r>
            <w:r w:rsidRPr="00150EDC">
              <w:rPr>
                <w:spacing w:val="-6"/>
                <w:sz w:val="20"/>
              </w:rPr>
              <w:t xml:space="preserve"> </w:t>
            </w:r>
            <w:r w:rsidRPr="00150EDC">
              <w:rPr>
                <w:sz w:val="20"/>
              </w:rPr>
              <w:t>Guernsey)</w:t>
            </w:r>
            <w:r w:rsidRPr="00150EDC">
              <w:rPr>
                <w:spacing w:val="-6"/>
                <w:sz w:val="20"/>
              </w:rPr>
              <w:t xml:space="preserve"> </w:t>
            </w:r>
            <w:r w:rsidRPr="00150EDC">
              <w:rPr>
                <w:sz w:val="20"/>
              </w:rPr>
              <w:t>Law</w:t>
            </w:r>
            <w:r w:rsidRPr="00150EDC">
              <w:rPr>
                <w:spacing w:val="-5"/>
                <w:sz w:val="20"/>
              </w:rPr>
              <w:t xml:space="preserve"> </w:t>
            </w:r>
            <w:r w:rsidRPr="00150EDC">
              <w:rPr>
                <w:sz w:val="20"/>
              </w:rPr>
              <w:t>1983,</w:t>
            </w:r>
            <w:r w:rsidRPr="00150EDC">
              <w:rPr>
                <w:spacing w:val="-6"/>
                <w:sz w:val="20"/>
              </w:rPr>
              <w:t xml:space="preserve"> </w:t>
            </w:r>
            <w:r w:rsidRPr="00150EDC">
              <w:rPr>
                <w:spacing w:val="-4"/>
                <w:sz w:val="20"/>
              </w:rPr>
              <w:t>s3(b)</w:t>
            </w:r>
          </w:p>
        </w:tc>
        <w:tc>
          <w:tcPr>
            <w:tcW w:w="7427" w:type="dxa"/>
          </w:tcPr>
          <w:p w14:paraId="71550E6B" w14:textId="77777777" w:rsidR="004C7180" w:rsidRPr="00150EDC" w:rsidRDefault="00CF0754">
            <w:pPr>
              <w:pStyle w:val="TableParagraph"/>
              <w:rPr>
                <w:sz w:val="20"/>
              </w:rPr>
            </w:pPr>
            <w:r w:rsidRPr="00150EDC">
              <w:rPr>
                <w:sz w:val="20"/>
              </w:rPr>
              <w:t>Possessing</w:t>
            </w:r>
            <w:r w:rsidRPr="00150EDC">
              <w:rPr>
                <w:spacing w:val="-6"/>
                <w:sz w:val="20"/>
              </w:rPr>
              <w:t xml:space="preserve"> </w:t>
            </w:r>
            <w:r w:rsidRPr="00150EDC">
              <w:rPr>
                <w:sz w:val="20"/>
              </w:rPr>
              <w:t>anything</w:t>
            </w:r>
            <w:r w:rsidRPr="00150EDC">
              <w:rPr>
                <w:spacing w:val="-6"/>
                <w:sz w:val="20"/>
              </w:rPr>
              <w:t xml:space="preserve"> </w:t>
            </w:r>
            <w:r w:rsidRPr="00150EDC">
              <w:rPr>
                <w:sz w:val="20"/>
              </w:rPr>
              <w:t>with</w:t>
            </w:r>
            <w:r w:rsidRPr="00150EDC">
              <w:rPr>
                <w:spacing w:val="-5"/>
                <w:sz w:val="20"/>
              </w:rPr>
              <w:t xml:space="preserve"> </w:t>
            </w:r>
            <w:r w:rsidRPr="00150EDC">
              <w:rPr>
                <w:sz w:val="20"/>
              </w:rPr>
              <w:t>intent</w:t>
            </w:r>
            <w:r w:rsidRPr="00150EDC">
              <w:rPr>
                <w:spacing w:val="-6"/>
                <w:sz w:val="20"/>
              </w:rPr>
              <w:t xml:space="preserve"> </w:t>
            </w:r>
            <w:r w:rsidRPr="00150EDC">
              <w:rPr>
                <w:sz w:val="20"/>
              </w:rPr>
              <w:t>to</w:t>
            </w:r>
            <w:r w:rsidRPr="00150EDC">
              <w:rPr>
                <w:spacing w:val="-5"/>
                <w:sz w:val="20"/>
              </w:rPr>
              <w:t xml:space="preserve"> </w:t>
            </w:r>
            <w:r w:rsidRPr="00150EDC">
              <w:rPr>
                <w:sz w:val="20"/>
              </w:rPr>
              <w:t>destroy</w:t>
            </w:r>
            <w:r w:rsidRPr="00150EDC">
              <w:rPr>
                <w:spacing w:val="-5"/>
                <w:sz w:val="20"/>
              </w:rPr>
              <w:t xml:space="preserve"> </w:t>
            </w:r>
            <w:r w:rsidRPr="00150EDC">
              <w:rPr>
                <w:sz w:val="20"/>
              </w:rPr>
              <w:t>or</w:t>
            </w:r>
            <w:r w:rsidRPr="00150EDC">
              <w:rPr>
                <w:spacing w:val="-5"/>
                <w:sz w:val="20"/>
              </w:rPr>
              <w:t xml:space="preserve"> </w:t>
            </w:r>
            <w:r w:rsidRPr="00150EDC">
              <w:rPr>
                <w:sz w:val="20"/>
              </w:rPr>
              <w:t>damage</w:t>
            </w:r>
            <w:r w:rsidRPr="00150EDC">
              <w:rPr>
                <w:spacing w:val="-1"/>
                <w:sz w:val="20"/>
              </w:rPr>
              <w:t xml:space="preserve"> </w:t>
            </w:r>
            <w:r w:rsidRPr="00150EDC">
              <w:rPr>
                <w:sz w:val="20"/>
              </w:rPr>
              <w:t>property</w:t>
            </w:r>
            <w:r w:rsidRPr="00150EDC">
              <w:rPr>
                <w:spacing w:val="-5"/>
                <w:sz w:val="20"/>
              </w:rPr>
              <w:t xml:space="preserve"> </w:t>
            </w:r>
            <w:r w:rsidRPr="00150EDC">
              <w:rPr>
                <w:sz w:val="20"/>
              </w:rPr>
              <w:t xml:space="preserve">endangering </w:t>
            </w:r>
            <w:r w:rsidRPr="00150EDC">
              <w:rPr>
                <w:spacing w:val="-4"/>
                <w:sz w:val="20"/>
              </w:rPr>
              <w:t>life</w:t>
            </w:r>
          </w:p>
        </w:tc>
      </w:tr>
      <w:tr w:rsidR="004569EE" w:rsidRPr="007D3144" w14:paraId="5BA9FF40" w14:textId="77777777">
        <w:trPr>
          <w:trHeight w:val="250"/>
        </w:trPr>
        <w:tc>
          <w:tcPr>
            <w:tcW w:w="6517" w:type="dxa"/>
            <w:tcBorders>
              <w:bottom w:val="single" w:sz="12" w:space="0" w:color="000000"/>
            </w:tcBorders>
          </w:tcPr>
          <w:p w14:paraId="7986764F" w14:textId="77777777" w:rsidR="004C7180" w:rsidRPr="00150EDC" w:rsidRDefault="00CF0754">
            <w:pPr>
              <w:pStyle w:val="TableParagraph"/>
              <w:spacing w:line="203" w:lineRule="exact"/>
              <w:rPr>
                <w:sz w:val="20"/>
              </w:rPr>
            </w:pPr>
            <w:r w:rsidRPr="00150EDC">
              <w:rPr>
                <w:sz w:val="20"/>
              </w:rPr>
              <w:t>Criminal</w:t>
            </w:r>
            <w:r w:rsidRPr="00150EDC">
              <w:rPr>
                <w:spacing w:val="-5"/>
                <w:sz w:val="20"/>
              </w:rPr>
              <w:t xml:space="preserve"> </w:t>
            </w:r>
            <w:r w:rsidRPr="00150EDC">
              <w:rPr>
                <w:sz w:val="20"/>
              </w:rPr>
              <w:t>Damage</w:t>
            </w:r>
            <w:r w:rsidRPr="00150EDC">
              <w:rPr>
                <w:spacing w:val="-7"/>
                <w:sz w:val="20"/>
              </w:rPr>
              <w:t xml:space="preserve"> </w:t>
            </w:r>
            <w:r w:rsidRPr="00150EDC">
              <w:rPr>
                <w:sz w:val="20"/>
              </w:rPr>
              <w:t>(Northern</w:t>
            </w:r>
            <w:r w:rsidRPr="00150EDC">
              <w:rPr>
                <w:spacing w:val="-6"/>
                <w:sz w:val="20"/>
              </w:rPr>
              <w:t xml:space="preserve"> </w:t>
            </w:r>
            <w:r w:rsidRPr="00150EDC">
              <w:rPr>
                <w:sz w:val="20"/>
              </w:rPr>
              <w:t>Ireland)</w:t>
            </w:r>
            <w:r w:rsidRPr="00150EDC">
              <w:rPr>
                <w:spacing w:val="-7"/>
                <w:sz w:val="20"/>
              </w:rPr>
              <w:t xml:space="preserve"> </w:t>
            </w:r>
            <w:r w:rsidRPr="00150EDC">
              <w:rPr>
                <w:sz w:val="20"/>
              </w:rPr>
              <w:t>Order</w:t>
            </w:r>
            <w:r w:rsidRPr="00150EDC">
              <w:rPr>
                <w:spacing w:val="-2"/>
                <w:sz w:val="20"/>
              </w:rPr>
              <w:t xml:space="preserve"> </w:t>
            </w:r>
            <w:r w:rsidRPr="00150EDC">
              <w:rPr>
                <w:sz w:val="20"/>
              </w:rPr>
              <w:t>1977,</w:t>
            </w:r>
            <w:r w:rsidRPr="00150EDC">
              <w:rPr>
                <w:spacing w:val="-7"/>
                <w:sz w:val="20"/>
              </w:rPr>
              <w:t xml:space="preserve"> </w:t>
            </w:r>
            <w:r w:rsidRPr="00150EDC">
              <w:rPr>
                <w:sz w:val="20"/>
              </w:rPr>
              <w:t>Art</w:t>
            </w:r>
            <w:r w:rsidRPr="00150EDC">
              <w:rPr>
                <w:spacing w:val="-6"/>
                <w:sz w:val="20"/>
              </w:rPr>
              <w:t xml:space="preserve"> </w:t>
            </w:r>
            <w:r w:rsidRPr="00150EDC">
              <w:rPr>
                <w:spacing w:val="-4"/>
                <w:sz w:val="20"/>
              </w:rPr>
              <w:t>3(2)</w:t>
            </w:r>
          </w:p>
        </w:tc>
        <w:tc>
          <w:tcPr>
            <w:tcW w:w="7427" w:type="dxa"/>
            <w:tcBorders>
              <w:bottom w:val="single" w:sz="12" w:space="0" w:color="000000"/>
            </w:tcBorders>
          </w:tcPr>
          <w:p w14:paraId="3675AE3C" w14:textId="77777777" w:rsidR="004C7180" w:rsidRPr="00150EDC" w:rsidRDefault="00CF0754">
            <w:pPr>
              <w:pStyle w:val="TableParagraph"/>
              <w:spacing w:line="203" w:lineRule="exact"/>
              <w:rPr>
                <w:sz w:val="20"/>
              </w:rPr>
            </w:pPr>
            <w:r w:rsidRPr="00150EDC">
              <w:rPr>
                <w:sz w:val="20"/>
              </w:rPr>
              <w:t>Criminal</w:t>
            </w:r>
            <w:r w:rsidRPr="00150EDC">
              <w:rPr>
                <w:spacing w:val="-8"/>
                <w:sz w:val="20"/>
              </w:rPr>
              <w:t xml:space="preserve"> </w:t>
            </w:r>
            <w:r w:rsidRPr="00150EDC">
              <w:rPr>
                <w:sz w:val="20"/>
              </w:rPr>
              <w:t>damage</w:t>
            </w:r>
            <w:r w:rsidRPr="00150EDC">
              <w:rPr>
                <w:spacing w:val="-4"/>
                <w:sz w:val="20"/>
              </w:rPr>
              <w:t xml:space="preserve"> </w:t>
            </w:r>
            <w:r w:rsidRPr="00150EDC">
              <w:rPr>
                <w:sz w:val="20"/>
              </w:rPr>
              <w:t>endangering</w:t>
            </w:r>
            <w:r w:rsidRPr="00150EDC">
              <w:rPr>
                <w:spacing w:val="-9"/>
                <w:sz w:val="20"/>
              </w:rPr>
              <w:t xml:space="preserve"> </w:t>
            </w:r>
            <w:r w:rsidRPr="00150EDC">
              <w:rPr>
                <w:spacing w:val="-4"/>
                <w:sz w:val="20"/>
              </w:rPr>
              <w:t>life</w:t>
            </w:r>
          </w:p>
        </w:tc>
      </w:tr>
      <w:tr w:rsidR="004569EE" w:rsidRPr="007D3144" w14:paraId="6343B0DA" w14:textId="77777777">
        <w:trPr>
          <w:trHeight w:val="250"/>
        </w:trPr>
        <w:tc>
          <w:tcPr>
            <w:tcW w:w="6517" w:type="dxa"/>
            <w:tcBorders>
              <w:top w:val="single" w:sz="12" w:space="0" w:color="000000"/>
            </w:tcBorders>
          </w:tcPr>
          <w:p w14:paraId="23B210B8" w14:textId="77777777" w:rsidR="004C7180" w:rsidRPr="00150EDC" w:rsidRDefault="00CF0754">
            <w:pPr>
              <w:pStyle w:val="TableParagraph"/>
              <w:spacing w:before="22"/>
              <w:rPr>
                <w:sz w:val="20"/>
              </w:rPr>
            </w:pPr>
            <w:r w:rsidRPr="00150EDC">
              <w:rPr>
                <w:sz w:val="20"/>
              </w:rPr>
              <w:t>Criminal</w:t>
            </w:r>
            <w:r w:rsidRPr="00150EDC">
              <w:rPr>
                <w:spacing w:val="-5"/>
                <w:sz w:val="20"/>
              </w:rPr>
              <w:t xml:space="preserve"> </w:t>
            </w:r>
            <w:r w:rsidRPr="00150EDC">
              <w:rPr>
                <w:sz w:val="20"/>
              </w:rPr>
              <w:t>Damage</w:t>
            </w:r>
            <w:r w:rsidRPr="00150EDC">
              <w:rPr>
                <w:spacing w:val="-7"/>
                <w:sz w:val="20"/>
              </w:rPr>
              <w:t xml:space="preserve"> </w:t>
            </w:r>
            <w:r w:rsidRPr="00150EDC">
              <w:rPr>
                <w:sz w:val="20"/>
              </w:rPr>
              <w:t>(Northern</w:t>
            </w:r>
            <w:r w:rsidRPr="00150EDC">
              <w:rPr>
                <w:spacing w:val="-6"/>
                <w:sz w:val="20"/>
              </w:rPr>
              <w:t xml:space="preserve"> </w:t>
            </w:r>
            <w:r w:rsidRPr="00150EDC">
              <w:rPr>
                <w:sz w:val="20"/>
              </w:rPr>
              <w:t>Ireland)</w:t>
            </w:r>
            <w:r w:rsidRPr="00150EDC">
              <w:rPr>
                <w:spacing w:val="-7"/>
                <w:sz w:val="20"/>
              </w:rPr>
              <w:t xml:space="preserve"> </w:t>
            </w:r>
            <w:r w:rsidRPr="00150EDC">
              <w:rPr>
                <w:sz w:val="20"/>
              </w:rPr>
              <w:t>Order</w:t>
            </w:r>
            <w:r w:rsidRPr="00150EDC">
              <w:rPr>
                <w:spacing w:val="-2"/>
                <w:sz w:val="20"/>
              </w:rPr>
              <w:t xml:space="preserve"> </w:t>
            </w:r>
            <w:r w:rsidRPr="00150EDC">
              <w:rPr>
                <w:sz w:val="20"/>
              </w:rPr>
              <w:t>1977,</w:t>
            </w:r>
            <w:r w:rsidRPr="00150EDC">
              <w:rPr>
                <w:spacing w:val="-7"/>
                <w:sz w:val="20"/>
              </w:rPr>
              <w:t xml:space="preserve"> </w:t>
            </w:r>
            <w:r w:rsidRPr="00150EDC">
              <w:rPr>
                <w:sz w:val="20"/>
              </w:rPr>
              <w:t>Art</w:t>
            </w:r>
            <w:r w:rsidRPr="00150EDC">
              <w:rPr>
                <w:spacing w:val="-6"/>
                <w:sz w:val="20"/>
              </w:rPr>
              <w:t xml:space="preserve"> </w:t>
            </w:r>
            <w:r w:rsidRPr="00150EDC">
              <w:rPr>
                <w:spacing w:val="-4"/>
                <w:sz w:val="20"/>
              </w:rPr>
              <w:t>3(3)</w:t>
            </w:r>
          </w:p>
        </w:tc>
        <w:tc>
          <w:tcPr>
            <w:tcW w:w="7427" w:type="dxa"/>
            <w:tcBorders>
              <w:top w:val="single" w:sz="12" w:space="0" w:color="000000"/>
            </w:tcBorders>
          </w:tcPr>
          <w:p w14:paraId="01382DDA" w14:textId="77777777" w:rsidR="004C7180" w:rsidRPr="00150EDC" w:rsidRDefault="00CF0754">
            <w:pPr>
              <w:pStyle w:val="TableParagraph"/>
              <w:spacing w:before="22"/>
              <w:rPr>
                <w:sz w:val="20"/>
              </w:rPr>
            </w:pPr>
            <w:r w:rsidRPr="00150EDC">
              <w:rPr>
                <w:spacing w:val="-2"/>
                <w:sz w:val="20"/>
              </w:rPr>
              <w:t>Arson</w:t>
            </w:r>
          </w:p>
        </w:tc>
      </w:tr>
      <w:tr w:rsidR="004569EE" w:rsidRPr="007D3144" w14:paraId="76597BB8" w14:textId="77777777">
        <w:trPr>
          <w:trHeight w:val="255"/>
        </w:trPr>
        <w:tc>
          <w:tcPr>
            <w:tcW w:w="6517" w:type="dxa"/>
          </w:tcPr>
          <w:p w14:paraId="36E47EED" w14:textId="77777777" w:rsidR="004C7180" w:rsidRPr="00150EDC" w:rsidRDefault="00CF0754">
            <w:pPr>
              <w:pStyle w:val="TableParagraph"/>
              <w:rPr>
                <w:sz w:val="20"/>
              </w:rPr>
            </w:pPr>
            <w:r w:rsidRPr="00150EDC">
              <w:rPr>
                <w:sz w:val="20"/>
              </w:rPr>
              <w:t>Criminal</w:t>
            </w:r>
            <w:r w:rsidRPr="00150EDC">
              <w:rPr>
                <w:spacing w:val="-5"/>
                <w:sz w:val="20"/>
              </w:rPr>
              <w:t xml:space="preserve"> </w:t>
            </w:r>
            <w:r w:rsidRPr="00150EDC">
              <w:rPr>
                <w:sz w:val="20"/>
              </w:rPr>
              <w:t>Damage</w:t>
            </w:r>
            <w:r w:rsidRPr="00150EDC">
              <w:rPr>
                <w:spacing w:val="-7"/>
                <w:sz w:val="20"/>
              </w:rPr>
              <w:t xml:space="preserve"> </w:t>
            </w:r>
            <w:r w:rsidRPr="00150EDC">
              <w:rPr>
                <w:sz w:val="20"/>
              </w:rPr>
              <w:t>Act</w:t>
            </w:r>
            <w:r w:rsidRPr="00150EDC">
              <w:rPr>
                <w:spacing w:val="-5"/>
                <w:sz w:val="20"/>
              </w:rPr>
              <w:t xml:space="preserve"> </w:t>
            </w:r>
            <w:r w:rsidRPr="00150EDC">
              <w:rPr>
                <w:sz w:val="20"/>
              </w:rPr>
              <w:t>1971,</w:t>
            </w:r>
            <w:r w:rsidRPr="00150EDC">
              <w:rPr>
                <w:spacing w:val="-7"/>
                <w:sz w:val="20"/>
              </w:rPr>
              <w:t xml:space="preserve"> </w:t>
            </w:r>
            <w:r w:rsidRPr="00150EDC">
              <w:rPr>
                <w:spacing w:val="-5"/>
                <w:sz w:val="20"/>
              </w:rPr>
              <w:t>s1</w:t>
            </w:r>
          </w:p>
        </w:tc>
        <w:tc>
          <w:tcPr>
            <w:tcW w:w="7427" w:type="dxa"/>
          </w:tcPr>
          <w:p w14:paraId="76E62655" w14:textId="77777777" w:rsidR="004C7180" w:rsidRPr="00150EDC" w:rsidRDefault="00CF0754">
            <w:pPr>
              <w:pStyle w:val="TableParagraph"/>
              <w:rPr>
                <w:sz w:val="20"/>
              </w:rPr>
            </w:pPr>
            <w:r w:rsidRPr="00150EDC">
              <w:rPr>
                <w:spacing w:val="-2"/>
                <w:sz w:val="20"/>
              </w:rPr>
              <w:t>Arson</w:t>
            </w:r>
          </w:p>
        </w:tc>
      </w:tr>
      <w:tr w:rsidR="004569EE" w:rsidRPr="007D3144" w14:paraId="7157D518" w14:textId="77777777">
        <w:trPr>
          <w:trHeight w:val="255"/>
        </w:trPr>
        <w:tc>
          <w:tcPr>
            <w:tcW w:w="6517" w:type="dxa"/>
          </w:tcPr>
          <w:p w14:paraId="61EC30F6" w14:textId="77777777" w:rsidR="004C7180" w:rsidRPr="00150EDC" w:rsidRDefault="00CF0754">
            <w:pPr>
              <w:pStyle w:val="TableParagraph"/>
              <w:rPr>
                <w:sz w:val="20"/>
              </w:rPr>
            </w:pPr>
            <w:r w:rsidRPr="00150EDC">
              <w:rPr>
                <w:sz w:val="20"/>
              </w:rPr>
              <w:t>Criminal</w:t>
            </w:r>
            <w:r w:rsidRPr="00150EDC">
              <w:rPr>
                <w:spacing w:val="-6"/>
                <w:sz w:val="20"/>
              </w:rPr>
              <w:t xml:space="preserve"> </w:t>
            </w:r>
            <w:r w:rsidRPr="00150EDC">
              <w:rPr>
                <w:sz w:val="20"/>
              </w:rPr>
              <w:t>Damage</w:t>
            </w:r>
            <w:r w:rsidRPr="00150EDC">
              <w:rPr>
                <w:spacing w:val="-7"/>
                <w:sz w:val="20"/>
              </w:rPr>
              <w:t xml:space="preserve"> </w:t>
            </w:r>
            <w:r w:rsidRPr="00150EDC">
              <w:rPr>
                <w:sz w:val="20"/>
              </w:rPr>
              <w:t>Act</w:t>
            </w:r>
            <w:r w:rsidRPr="00150EDC">
              <w:rPr>
                <w:spacing w:val="-6"/>
                <w:sz w:val="20"/>
              </w:rPr>
              <w:t xml:space="preserve"> </w:t>
            </w:r>
            <w:r w:rsidRPr="00150EDC">
              <w:rPr>
                <w:sz w:val="20"/>
              </w:rPr>
              <w:t>1971,</w:t>
            </w:r>
            <w:r w:rsidRPr="00150EDC">
              <w:rPr>
                <w:spacing w:val="-7"/>
                <w:sz w:val="20"/>
              </w:rPr>
              <w:t xml:space="preserve"> </w:t>
            </w:r>
            <w:r w:rsidRPr="00150EDC">
              <w:rPr>
                <w:spacing w:val="-4"/>
                <w:sz w:val="20"/>
              </w:rPr>
              <w:t>s1(2)</w:t>
            </w:r>
          </w:p>
        </w:tc>
        <w:tc>
          <w:tcPr>
            <w:tcW w:w="7427" w:type="dxa"/>
          </w:tcPr>
          <w:p w14:paraId="3D1F3598" w14:textId="77777777" w:rsidR="004C7180" w:rsidRPr="00150EDC" w:rsidRDefault="00CF0754">
            <w:pPr>
              <w:pStyle w:val="TableParagraph"/>
              <w:rPr>
                <w:sz w:val="20"/>
              </w:rPr>
            </w:pPr>
            <w:r w:rsidRPr="00150EDC">
              <w:rPr>
                <w:sz w:val="20"/>
              </w:rPr>
              <w:t>Destroying</w:t>
            </w:r>
            <w:r w:rsidRPr="00150EDC">
              <w:rPr>
                <w:spacing w:val="-3"/>
                <w:sz w:val="20"/>
              </w:rPr>
              <w:t xml:space="preserve"> </w:t>
            </w:r>
            <w:r w:rsidRPr="00150EDC">
              <w:rPr>
                <w:sz w:val="20"/>
              </w:rPr>
              <w:t>or</w:t>
            </w:r>
            <w:r w:rsidRPr="00150EDC">
              <w:rPr>
                <w:spacing w:val="-7"/>
                <w:sz w:val="20"/>
              </w:rPr>
              <w:t xml:space="preserve"> </w:t>
            </w:r>
            <w:r w:rsidRPr="00150EDC">
              <w:rPr>
                <w:sz w:val="20"/>
              </w:rPr>
              <w:t>damaging</w:t>
            </w:r>
            <w:r w:rsidRPr="00150EDC">
              <w:rPr>
                <w:spacing w:val="-7"/>
                <w:sz w:val="20"/>
              </w:rPr>
              <w:t xml:space="preserve"> </w:t>
            </w:r>
            <w:r w:rsidRPr="00150EDC">
              <w:rPr>
                <w:sz w:val="20"/>
              </w:rPr>
              <w:t>property</w:t>
            </w:r>
            <w:r w:rsidRPr="00150EDC">
              <w:rPr>
                <w:spacing w:val="-6"/>
                <w:sz w:val="20"/>
              </w:rPr>
              <w:t xml:space="preserve"> </w:t>
            </w:r>
            <w:r w:rsidRPr="00150EDC">
              <w:rPr>
                <w:sz w:val="20"/>
              </w:rPr>
              <w:t>endangering</w:t>
            </w:r>
            <w:r w:rsidRPr="00150EDC">
              <w:rPr>
                <w:spacing w:val="-7"/>
                <w:sz w:val="20"/>
              </w:rPr>
              <w:t xml:space="preserve"> </w:t>
            </w:r>
            <w:r w:rsidRPr="00150EDC">
              <w:rPr>
                <w:spacing w:val="-4"/>
                <w:sz w:val="20"/>
              </w:rPr>
              <w:t>life</w:t>
            </w:r>
          </w:p>
        </w:tc>
      </w:tr>
      <w:tr w:rsidR="004569EE" w:rsidRPr="007D3144" w14:paraId="014E0AB0" w14:textId="77777777">
        <w:trPr>
          <w:trHeight w:val="255"/>
        </w:trPr>
        <w:tc>
          <w:tcPr>
            <w:tcW w:w="6517" w:type="dxa"/>
          </w:tcPr>
          <w:p w14:paraId="5196E17E" w14:textId="77777777" w:rsidR="004C7180" w:rsidRPr="00150EDC" w:rsidRDefault="00CF0754">
            <w:pPr>
              <w:pStyle w:val="TableParagraph"/>
              <w:rPr>
                <w:sz w:val="20"/>
              </w:rPr>
            </w:pPr>
            <w:r w:rsidRPr="00150EDC">
              <w:rPr>
                <w:sz w:val="20"/>
              </w:rPr>
              <w:t>Criminal</w:t>
            </w:r>
            <w:r w:rsidRPr="00150EDC">
              <w:rPr>
                <w:spacing w:val="-6"/>
                <w:sz w:val="20"/>
              </w:rPr>
              <w:t xml:space="preserve"> </w:t>
            </w:r>
            <w:r w:rsidRPr="00150EDC">
              <w:rPr>
                <w:sz w:val="20"/>
              </w:rPr>
              <w:t>Damage</w:t>
            </w:r>
            <w:r w:rsidRPr="00150EDC">
              <w:rPr>
                <w:spacing w:val="-7"/>
                <w:sz w:val="20"/>
              </w:rPr>
              <w:t xml:space="preserve"> </w:t>
            </w:r>
            <w:r w:rsidRPr="00150EDC">
              <w:rPr>
                <w:sz w:val="20"/>
              </w:rPr>
              <w:t>Act</w:t>
            </w:r>
            <w:r w:rsidRPr="00150EDC">
              <w:rPr>
                <w:spacing w:val="-6"/>
                <w:sz w:val="20"/>
              </w:rPr>
              <w:t xml:space="preserve"> </w:t>
            </w:r>
            <w:r w:rsidRPr="00150EDC">
              <w:rPr>
                <w:sz w:val="20"/>
              </w:rPr>
              <w:t>1981,</w:t>
            </w:r>
            <w:r w:rsidRPr="00150EDC">
              <w:rPr>
                <w:spacing w:val="-7"/>
                <w:sz w:val="20"/>
              </w:rPr>
              <w:t xml:space="preserve"> </w:t>
            </w:r>
            <w:r w:rsidRPr="00150EDC">
              <w:rPr>
                <w:spacing w:val="-5"/>
                <w:sz w:val="20"/>
              </w:rPr>
              <w:t>s1</w:t>
            </w:r>
          </w:p>
        </w:tc>
        <w:tc>
          <w:tcPr>
            <w:tcW w:w="7427" w:type="dxa"/>
          </w:tcPr>
          <w:p w14:paraId="24558EA5" w14:textId="77777777" w:rsidR="004C7180" w:rsidRPr="00150EDC" w:rsidRDefault="00CF0754">
            <w:pPr>
              <w:pStyle w:val="TableParagraph"/>
              <w:rPr>
                <w:sz w:val="20"/>
              </w:rPr>
            </w:pPr>
            <w:r w:rsidRPr="00150EDC">
              <w:rPr>
                <w:spacing w:val="-2"/>
                <w:sz w:val="20"/>
              </w:rPr>
              <w:t>Arson</w:t>
            </w:r>
          </w:p>
        </w:tc>
      </w:tr>
      <w:tr w:rsidR="004569EE" w:rsidRPr="007D3144" w14:paraId="647A53DC" w14:textId="77777777">
        <w:trPr>
          <w:trHeight w:val="255"/>
        </w:trPr>
        <w:tc>
          <w:tcPr>
            <w:tcW w:w="6517" w:type="dxa"/>
          </w:tcPr>
          <w:p w14:paraId="29FCC500" w14:textId="77777777" w:rsidR="004C7180" w:rsidRPr="00150EDC" w:rsidRDefault="00CF0754">
            <w:pPr>
              <w:pStyle w:val="TableParagraph"/>
              <w:spacing w:before="28"/>
              <w:rPr>
                <w:sz w:val="20"/>
              </w:rPr>
            </w:pPr>
            <w:r w:rsidRPr="00150EDC">
              <w:rPr>
                <w:sz w:val="20"/>
              </w:rPr>
              <w:t>Criminal</w:t>
            </w:r>
            <w:r w:rsidRPr="00150EDC">
              <w:rPr>
                <w:spacing w:val="-6"/>
                <w:sz w:val="20"/>
              </w:rPr>
              <w:t xml:space="preserve"> </w:t>
            </w:r>
            <w:r w:rsidRPr="00150EDC">
              <w:rPr>
                <w:sz w:val="20"/>
              </w:rPr>
              <w:t>Damage</w:t>
            </w:r>
            <w:r w:rsidRPr="00150EDC">
              <w:rPr>
                <w:spacing w:val="-7"/>
                <w:sz w:val="20"/>
              </w:rPr>
              <w:t xml:space="preserve"> </w:t>
            </w:r>
            <w:r w:rsidRPr="00150EDC">
              <w:rPr>
                <w:sz w:val="20"/>
              </w:rPr>
              <w:t>Act</w:t>
            </w:r>
            <w:r w:rsidRPr="00150EDC">
              <w:rPr>
                <w:spacing w:val="-6"/>
                <w:sz w:val="20"/>
              </w:rPr>
              <w:t xml:space="preserve"> </w:t>
            </w:r>
            <w:r w:rsidRPr="00150EDC">
              <w:rPr>
                <w:sz w:val="20"/>
              </w:rPr>
              <w:t>1981,</w:t>
            </w:r>
            <w:r w:rsidRPr="00150EDC">
              <w:rPr>
                <w:spacing w:val="-7"/>
                <w:sz w:val="20"/>
              </w:rPr>
              <w:t xml:space="preserve"> </w:t>
            </w:r>
            <w:r w:rsidRPr="00150EDC">
              <w:rPr>
                <w:spacing w:val="-4"/>
                <w:sz w:val="20"/>
              </w:rPr>
              <w:t>s1(2)</w:t>
            </w:r>
          </w:p>
        </w:tc>
        <w:tc>
          <w:tcPr>
            <w:tcW w:w="7427" w:type="dxa"/>
          </w:tcPr>
          <w:p w14:paraId="611E5A48" w14:textId="77777777" w:rsidR="004C7180" w:rsidRPr="00150EDC" w:rsidRDefault="00CF0754">
            <w:pPr>
              <w:pStyle w:val="TableParagraph"/>
              <w:spacing w:before="28"/>
              <w:rPr>
                <w:sz w:val="20"/>
              </w:rPr>
            </w:pPr>
            <w:r w:rsidRPr="00150EDC">
              <w:rPr>
                <w:sz w:val="20"/>
              </w:rPr>
              <w:t>Destroying</w:t>
            </w:r>
            <w:r w:rsidRPr="00150EDC">
              <w:rPr>
                <w:spacing w:val="-3"/>
                <w:sz w:val="20"/>
              </w:rPr>
              <w:t xml:space="preserve"> </w:t>
            </w:r>
            <w:r w:rsidRPr="00150EDC">
              <w:rPr>
                <w:sz w:val="20"/>
              </w:rPr>
              <w:t>or</w:t>
            </w:r>
            <w:r w:rsidRPr="00150EDC">
              <w:rPr>
                <w:spacing w:val="-7"/>
                <w:sz w:val="20"/>
              </w:rPr>
              <w:t xml:space="preserve"> </w:t>
            </w:r>
            <w:r w:rsidRPr="00150EDC">
              <w:rPr>
                <w:sz w:val="20"/>
              </w:rPr>
              <w:t>damaging</w:t>
            </w:r>
            <w:r w:rsidRPr="00150EDC">
              <w:rPr>
                <w:spacing w:val="-7"/>
                <w:sz w:val="20"/>
              </w:rPr>
              <w:t xml:space="preserve"> </w:t>
            </w:r>
            <w:r w:rsidRPr="00150EDC">
              <w:rPr>
                <w:sz w:val="20"/>
              </w:rPr>
              <w:t>property</w:t>
            </w:r>
            <w:r w:rsidRPr="00150EDC">
              <w:rPr>
                <w:spacing w:val="-6"/>
                <w:sz w:val="20"/>
              </w:rPr>
              <w:t xml:space="preserve"> </w:t>
            </w:r>
            <w:r w:rsidRPr="00150EDC">
              <w:rPr>
                <w:sz w:val="20"/>
              </w:rPr>
              <w:t>endangering</w:t>
            </w:r>
            <w:r w:rsidRPr="00150EDC">
              <w:rPr>
                <w:spacing w:val="-7"/>
                <w:sz w:val="20"/>
              </w:rPr>
              <w:t xml:space="preserve"> </w:t>
            </w:r>
            <w:r w:rsidRPr="00150EDC">
              <w:rPr>
                <w:spacing w:val="-4"/>
                <w:sz w:val="20"/>
              </w:rPr>
              <w:t>life</w:t>
            </w:r>
          </w:p>
        </w:tc>
      </w:tr>
    </w:tbl>
    <w:p w14:paraId="43EFFD08" w14:textId="77777777" w:rsidR="004C7180" w:rsidRPr="00150EDC" w:rsidRDefault="004C7180">
      <w:pPr>
        <w:rPr>
          <w:sz w:val="20"/>
        </w:rPr>
        <w:sectPr w:rsidR="004C7180" w:rsidRPr="00150EDC">
          <w:footerReference w:type="default" r:id="rId128"/>
          <w:pgSz w:w="16840" w:h="11910" w:orient="landscape"/>
          <w:pgMar w:top="1340" w:right="1320" w:bottom="280" w:left="1340" w:header="0" w:footer="0" w:gutter="0"/>
          <w:cols w:space="720"/>
        </w:sectPr>
      </w:pPr>
    </w:p>
    <w:p w14:paraId="68CAFB23" w14:textId="77777777" w:rsidR="004C7180" w:rsidRPr="00150EDC" w:rsidRDefault="004C7180">
      <w:pPr>
        <w:pStyle w:val="BodyText"/>
        <w:spacing w:before="3"/>
        <w:rPr>
          <w:sz w:val="8"/>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517"/>
        <w:gridCol w:w="7427"/>
      </w:tblGrid>
      <w:tr w:rsidR="004569EE" w:rsidRPr="007D3144" w14:paraId="6004CEEE" w14:textId="77777777">
        <w:trPr>
          <w:trHeight w:val="254"/>
        </w:trPr>
        <w:tc>
          <w:tcPr>
            <w:tcW w:w="6517" w:type="dxa"/>
          </w:tcPr>
          <w:p w14:paraId="4E1168BF" w14:textId="77777777" w:rsidR="004C7180" w:rsidRPr="00150EDC" w:rsidRDefault="00CF0754">
            <w:pPr>
              <w:pStyle w:val="TableParagraph"/>
              <w:rPr>
                <w:sz w:val="20"/>
              </w:rPr>
            </w:pPr>
            <w:r w:rsidRPr="00150EDC">
              <w:rPr>
                <w:sz w:val="20"/>
              </w:rPr>
              <w:t>Criminal</w:t>
            </w:r>
            <w:r w:rsidRPr="00150EDC">
              <w:rPr>
                <w:spacing w:val="-5"/>
                <w:sz w:val="20"/>
              </w:rPr>
              <w:t xml:space="preserve"> </w:t>
            </w:r>
            <w:r w:rsidRPr="00150EDC">
              <w:rPr>
                <w:sz w:val="20"/>
              </w:rPr>
              <w:t>Jurisdiction</w:t>
            </w:r>
            <w:r w:rsidRPr="00150EDC">
              <w:rPr>
                <w:spacing w:val="-7"/>
                <w:sz w:val="20"/>
              </w:rPr>
              <w:t xml:space="preserve"> </w:t>
            </w:r>
            <w:r w:rsidRPr="00150EDC">
              <w:rPr>
                <w:sz w:val="20"/>
              </w:rPr>
              <w:t>(Northern</w:t>
            </w:r>
            <w:r w:rsidRPr="00150EDC">
              <w:rPr>
                <w:spacing w:val="-5"/>
                <w:sz w:val="20"/>
              </w:rPr>
              <w:t xml:space="preserve"> </w:t>
            </w:r>
            <w:r w:rsidRPr="00150EDC">
              <w:rPr>
                <w:sz w:val="20"/>
              </w:rPr>
              <w:t>Ireland)</w:t>
            </w:r>
            <w:r w:rsidRPr="00150EDC">
              <w:rPr>
                <w:spacing w:val="-6"/>
                <w:sz w:val="20"/>
              </w:rPr>
              <w:t xml:space="preserve"> </w:t>
            </w:r>
            <w:r w:rsidRPr="00150EDC">
              <w:rPr>
                <w:sz w:val="20"/>
              </w:rPr>
              <w:t>Act</w:t>
            </w:r>
            <w:r w:rsidRPr="00150EDC">
              <w:rPr>
                <w:spacing w:val="-6"/>
                <w:sz w:val="20"/>
              </w:rPr>
              <w:t xml:space="preserve"> </w:t>
            </w:r>
            <w:r w:rsidRPr="00150EDC">
              <w:rPr>
                <w:sz w:val="20"/>
              </w:rPr>
              <w:t>1975,</w:t>
            </w:r>
            <w:r w:rsidRPr="00150EDC">
              <w:rPr>
                <w:spacing w:val="-7"/>
                <w:sz w:val="20"/>
              </w:rPr>
              <w:t xml:space="preserve"> </w:t>
            </w:r>
            <w:r w:rsidRPr="00150EDC">
              <w:rPr>
                <w:spacing w:val="-2"/>
                <w:sz w:val="20"/>
              </w:rPr>
              <w:t>s2(1)</w:t>
            </w:r>
          </w:p>
        </w:tc>
        <w:tc>
          <w:tcPr>
            <w:tcW w:w="7427" w:type="dxa"/>
          </w:tcPr>
          <w:p w14:paraId="0CEC4AF8" w14:textId="77777777" w:rsidR="004C7180" w:rsidRPr="00150EDC" w:rsidRDefault="00CF0754">
            <w:pPr>
              <w:pStyle w:val="TableParagraph"/>
              <w:rPr>
                <w:sz w:val="20"/>
              </w:rPr>
            </w:pPr>
            <w:r w:rsidRPr="00150EDC">
              <w:rPr>
                <w:sz w:val="20"/>
              </w:rPr>
              <w:t>Hijacking</w:t>
            </w:r>
            <w:r w:rsidRPr="00150EDC">
              <w:rPr>
                <w:spacing w:val="-8"/>
                <w:sz w:val="20"/>
              </w:rPr>
              <w:t xml:space="preserve"> </w:t>
            </w:r>
            <w:r w:rsidRPr="00150EDC">
              <w:rPr>
                <w:sz w:val="20"/>
              </w:rPr>
              <w:t>of</w:t>
            </w:r>
            <w:r w:rsidRPr="00150EDC">
              <w:rPr>
                <w:spacing w:val="-7"/>
                <w:sz w:val="20"/>
              </w:rPr>
              <w:t xml:space="preserve"> </w:t>
            </w:r>
            <w:r w:rsidRPr="00150EDC">
              <w:rPr>
                <w:spacing w:val="-2"/>
                <w:sz w:val="20"/>
              </w:rPr>
              <w:t>ships</w:t>
            </w:r>
          </w:p>
        </w:tc>
      </w:tr>
      <w:tr w:rsidR="004569EE" w:rsidRPr="007D3144" w14:paraId="7F901AFC" w14:textId="77777777">
        <w:trPr>
          <w:trHeight w:val="510"/>
        </w:trPr>
        <w:tc>
          <w:tcPr>
            <w:tcW w:w="6517" w:type="dxa"/>
          </w:tcPr>
          <w:p w14:paraId="33835B33" w14:textId="77777777" w:rsidR="004C7180" w:rsidRPr="00150EDC" w:rsidRDefault="004C7180">
            <w:pPr>
              <w:pStyle w:val="TableParagraph"/>
              <w:spacing w:before="7" w:line="240" w:lineRule="auto"/>
              <w:ind w:left="0"/>
              <w:rPr>
                <w:sz w:val="24"/>
              </w:rPr>
            </w:pPr>
          </w:p>
          <w:p w14:paraId="514E8C18" w14:textId="77777777" w:rsidR="004C7180" w:rsidRPr="00150EDC" w:rsidRDefault="00CF0754">
            <w:pPr>
              <w:pStyle w:val="TableParagraph"/>
              <w:spacing w:before="0"/>
              <w:rPr>
                <w:sz w:val="20"/>
              </w:rPr>
            </w:pPr>
            <w:r w:rsidRPr="00150EDC">
              <w:rPr>
                <w:sz w:val="20"/>
              </w:rPr>
              <w:t>Criminal</w:t>
            </w:r>
            <w:r w:rsidRPr="00150EDC">
              <w:rPr>
                <w:spacing w:val="-6"/>
                <w:sz w:val="20"/>
              </w:rPr>
              <w:t xml:space="preserve"> </w:t>
            </w:r>
            <w:r w:rsidRPr="00150EDC">
              <w:rPr>
                <w:sz w:val="20"/>
              </w:rPr>
              <w:t>Justice</w:t>
            </w:r>
            <w:r w:rsidRPr="00150EDC">
              <w:rPr>
                <w:spacing w:val="-3"/>
                <w:sz w:val="20"/>
              </w:rPr>
              <w:t xml:space="preserve"> </w:t>
            </w:r>
            <w:r w:rsidRPr="00150EDC">
              <w:rPr>
                <w:sz w:val="20"/>
              </w:rPr>
              <w:t>(Evidence</w:t>
            </w:r>
            <w:r w:rsidRPr="00150EDC">
              <w:rPr>
                <w:spacing w:val="-4"/>
                <w:sz w:val="20"/>
              </w:rPr>
              <w:t xml:space="preserve"> </w:t>
            </w:r>
            <w:r w:rsidRPr="00150EDC">
              <w:rPr>
                <w:sz w:val="20"/>
              </w:rPr>
              <w:t>etc,)</w:t>
            </w:r>
            <w:r w:rsidRPr="00150EDC">
              <w:rPr>
                <w:spacing w:val="-4"/>
                <w:sz w:val="20"/>
              </w:rPr>
              <w:t xml:space="preserve"> </w:t>
            </w:r>
            <w:r w:rsidRPr="00150EDC">
              <w:rPr>
                <w:sz w:val="20"/>
              </w:rPr>
              <w:t>(Northern</w:t>
            </w:r>
            <w:r w:rsidRPr="00150EDC">
              <w:rPr>
                <w:spacing w:val="-7"/>
                <w:sz w:val="20"/>
              </w:rPr>
              <w:t xml:space="preserve"> </w:t>
            </w:r>
            <w:r w:rsidRPr="00150EDC">
              <w:rPr>
                <w:sz w:val="20"/>
              </w:rPr>
              <w:t>Ireland)</w:t>
            </w:r>
            <w:r w:rsidRPr="00150EDC">
              <w:rPr>
                <w:spacing w:val="-8"/>
                <w:sz w:val="20"/>
              </w:rPr>
              <w:t xml:space="preserve"> </w:t>
            </w:r>
            <w:r w:rsidRPr="00150EDC">
              <w:rPr>
                <w:sz w:val="20"/>
              </w:rPr>
              <w:t>Order</w:t>
            </w:r>
            <w:r w:rsidRPr="00150EDC">
              <w:rPr>
                <w:spacing w:val="-4"/>
                <w:sz w:val="20"/>
              </w:rPr>
              <w:t xml:space="preserve"> </w:t>
            </w:r>
            <w:r w:rsidRPr="00150EDC">
              <w:rPr>
                <w:sz w:val="20"/>
              </w:rPr>
              <w:t>1988,</w:t>
            </w:r>
            <w:r w:rsidRPr="00150EDC">
              <w:rPr>
                <w:spacing w:val="-8"/>
                <w:sz w:val="20"/>
              </w:rPr>
              <w:t xml:space="preserve"> </w:t>
            </w:r>
            <w:r w:rsidRPr="00150EDC">
              <w:rPr>
                <w:sz w:val="20"/>
              </w:rPr>
              <w:t>Art</w:t>
            </w:r>
            <w:r w:rsidRPr="00150EDC">
              <w:rPr>
                <w:spacing w:val="-3"/>
                <w:sz w:val="20"/>
              </w:rPr>
              <w:t xml:space="preserve"> </w:t>
            </w:r>
            <w:r w:rsidRPr="00150EDC">
              <w:rPr>
                <w:spacing w:val="-5"/>
                <w:sz w:val="20"/>
              </w:rPr>
              <w:t>15</w:t>
            </w:r>
          </w:p>
        </w:tc>
        <w:tc>
          <w:tcPr>
            <w:tcW w:w="7427" w:type="dxa"/>
          </w:tcPr>
          <w:p w14:paraId="4D614305" w14:textId="77777777" w:rsidR="004C7180" w:rsidRPr="00150EDC" w:rsidRDefault="004C7180">
            <w:pPr>
              <w:pStyle w:val="TableParagraph"/>
              <w:spacing w:before="7" w:line="240" w:lineRule="auto"/>
              <w:ind w:left="0"/>
              <w:rPr>
                <w:sz w:val="24"/>
              </w:rPr>
            </w:pPr>
          </w:p>
          <w:p w14:paraId="2754E98A" w14:textId="77777777" w:rsidR="004C7180" w:rsidRPr="00150EDC" w:rsidRDefault="00CF0754">
            <w:pPr>
              <w:pStyle w:val="TableParagraph"/>
              <w:spacing w:before="0"/>
              <w:rPr>
                <w:sz w:val="20"/>
              </w:rPr>
            </w:pPr>
            <w:r w:rsidRPr="00150EDC">
              <w:rPr>
                <w:sz w:val="20"/>
              </w:rPr>
              <w:t>Possession</w:t>
            </w:r>
            <w:r w:rsidRPr="00150EDC">
              <w:rPr>
                <w:spacing w:val="-8"/>
                <w:sz w:val="20"/>
              </w:rPr>
              <w:t xml:space="preserve"> </w:t>
            </w:r>
            <w:r w:rsidRPr="00150EDC">
              <w:rPr>
                <w:sz w:val="20"/>
              </w:rPr>
              <w:t>of</w:t>
            </w:r>
            <w:r w:rsidRPr="00150EDC">
              <w:rPr>
                <w:spacing w:val="-7"/>
                <w:sz w:val="20"/>
              </w:rPr>
              <w:t xml:space="preserve"> </w:t>
            </w:r>
            <w:r w:rsidRPr="00150EDC">
              <w:rPr>
                <w:sz w:val="20"/>
              </w:rPr>
              <w:t>indecent</w:t>
            </w:r>
            <w:r w:rsidRPr="00150EDC">
              <w:rPr>
                <w:spacing w:val="-2"/>
                <w:sz w:val="20"/>
              </w:rPr>
              <w:t xml:space="preserve"> </w:t>
            </w:r>
            <w:r w:rsidRPr="00150EDC">
              <w:rPr>
                <w:sz w:val="20"/>
              </w:rPr>
              <w:t>photograph</w:t>
            </w:r>
            <w:r w:rsidRPr="00150EDC">
              <w:rPr>
                <w:spacing w:val="-7"/>
                <w:sz w:val="20"/>
              </w:rPr>
              <w:t xml:space="preserve"> </w:t>
            </w:r>
            <w:r w:rsidRPr="00150EDC">
              <w:rPr>
                <w:sz w:val="20"/>
              </w:rPr>
              <w:t>of</w:t>
            </w:r>
            <w:r w:rsidRPr="00150EDC">
              <w:rPr>
                <w:spacing w:val="-7"/>
                <w:sz w:val="20"/>
              </w:rPr>
              <w:t xml:space="preserve"> </w:t>
            </w:r>
            <w:r w:rsidRPr="00150EDC">
              <w:rPr>
                <w:spacing w:val="-4"/>
                <w:sz w:val="20"/>
              </w:rPr>
              <w:t>child</w:t>
            </w:r>
          </w:p>
        </w:tc>
      </w:tr>
      <w:tr w:rsidR="004569EE" w:rsidRPr="007D3144" w14:paraId="1CD6338B" w14:textId="77777777">
        <w:trPr>
          <w:trHeight w:val="255"/>
        </w:trPr>
        <w:tc>
          <w:tcPr>
            <w:tcW w:w="6517" w:type="dxa"/>
          </w:tcPr>
          <w:p w14:paraId="56683D2B" w14:textId="77777777" w:rsidR="004C7180" w:rsidRPr="00150EDC" w:rsidRDefault="00CF0754">
            <w:pPr>
              <w:pStyle w:val="TableParagraph"/>
              <w:rPr>
                <w:sz w:val="20"/>
              </w:rPr>
            </w:pPr>
            <w:r w:rsidRPr="00150EDC">
              <w:rPr>
                <w:sz w:val="20"/>
              </w:rPr>
              <w:t>Criminal</w:t>
            </w:r>
            <w:r w:rsidRPr="00150EDC">
              <w:rPr>
                <w:spacing w:val="-7"/>
                <w:sz w:val="20"/>
              </w:rPr>
              <w:t xml:space="preserve"> </w:t>
            </w:r>
            <w:r w:rsidRPr="00150EDC">
              <w:rPr>
                <w:sz w:val="20"/>
              </w:rPr>
              <w:t>Justice</w:t>
            </w:r>
            <w:r w:rsidRPr="00150EDC">
              <w:rPr>
                <w:spacing w:val="-3"/>
                <w:sz w:val="20"/>
              </w:rPr>
              <w:t xml:space="preserve"> </w:t>
            </w:r>
            <w:r w:rsidRPr="00150EDC">
              <w:rPr>
                <w:sz w:val="20"/>
              </w:rPr>
              <w:t>(International</w:t>
            </w:r>
            <w:r w:rsidRPr="00150EDC">
              <w:rPr>
                <w:spacing w:val="-6"/>
                <w:sz w:val="20"/>
              </w:rPr>
              <w:t xml:space="preserve"> </w:t>
            </w:r>
            <w:r w:rsidRPr="00150EDC">
              <w:rPr>
                <w:sz w:val="20"/>
              </w:rPr>
              <w:t>Co-operation)</w:t>
            </w:r>
            <w:r w:rsidRPr="00150EDC">
              <w:rPr>
                <w:spacing w:val="-8"/>
                <w:sz w:val="20"/>
              </w:rPr>
              <w:t xml:space="preserve"> </w:t>
            </w:r>
            <w:r w:rsidRPr="00150EDC">
              <w:rPr>
                <w:sz w:val="20"/>
              </w:rPr>
              <w:t>Act</w:t>
            </w:r>
            <w:r w:rsidRPr="00150EDC">
              <w:rPr>
                <w:spacing w:val="-7"/>
                <w:sz w:val="20"/>
              </w:rPr>
              <w:t xml:space="preserve"> </w:t>
            </w:r>
            <w:r w:rsidRPr="00150EDC">
              <w:rPr>
                <w:sz w:val="20"/>
              </w:rPr>
              <w:t>1990,</w:t>
            </w:r>
            <w:r w:rsidRPr="00150EDC">
              <w:rPr>
                <w:spacing w:val="-8"/>
                <w:sz w:val="20"/>
              </w:rPr>
              <w:t xml:space="preserve"> </w:t>
            </w:r>
            <w:r w:rsidRPr="00150EDC">
              <w:rPr>
                <w:spacing w:val="-5"/>
                <w:sz w:val="20"/>
              </w:rPr>
              <w:t>s47</w:t>
            </w:r>
          </w:p>
        </w:tc>
        <w:tc>
          <w:tcPr>
            <w:tcW w:w="7427" w:type="dxa"/>
          </w:tcPr>
          <w:p w14:paraId="77FF6BC4" w14:textId="77777777" w:rsidR="004C7180" w:rsidRPr="00150EDC" w:rsidRDefault="00CF0754">
            <w:pPr>
              <w:pStyle w:val="TableParagraph"/>
              <w:rPr>
                <w:sz w:val="20"/>
              </w:rPr>
            </w:pPr>
            <w:r w:rsidRPr="00150EDC">
              <w:rPr>
                <w:sz w:val="20"/>
              </w:rPr>
              <w:t>Slavery,</w:t>
            </w:r>
            <w:r w:rsidRPr="00150EDC">
              <w:rPr>
                <w:spacing w:val="-5"/>
                <w:sz w:val="20"/>
              </w:rPr>
              <w:t xml:space="preserve"> </w:t>
            </w:r>
            <w:r w:rsidRPr="00150EDC">
              <w:rPr>
                <w:sz w:val="20"/>
              </w:rPr>
              <w:t>servitude</w:t>
            </w:r>
            <w:r w:rsidRPr="00150EDC">
              <w:rPr>
                <w:spacing w:val="-6"/>
                <w:sz w:val="20"/>
              </w:rPr>
              <w:t xml:space="preserve"> </w:t>
            </w:r>
            <w:r w:rsidRPr="00150EDC">
              <w:rPr>
                <w:sz w:val="20"/>
              </w:rPr>
              <w:t>and</w:t>
            </w:r>
            <w:r w:rsidRPr="00150EDC">
              <w:rPr>
                <w:spacing w:val="-6"/>
                <w:sz w:val="20"/>
              </w:rPr>
              <w:t xml:space="preserve"> </w:t>
            </w:r>
            <w:r w:rsidRPr="00150EDC">
              <w:rPr>
                <w:sz w:val="20"/>
              </w:rPr>
              <w:t>forced</w:t>
            </w:r>
            <w:r w:rsidRPr="00150EDC">
              <w:rPr>
                <w:spacing w:val="-6"/>
                <w:sz w:val="20"/>
              </w:rPr>
              <w:t xml:space="preserve"> </w:t>
            </w:r>
            <w:r w:rsidRPr="00150EDC">
              <w:rPr>
                <w:sz w:val="20"/>
              </w:rPr>
              <w:t>or</w:t>
            </w:r>
            <w:r w:rsidRPr="00150EDC">
              <w:rPr>
                <w:spacing w:val="-5"/>
                <w:sz w:val="20"/>
              </w:rPr>
              <w:t xml:space="preserve"> </w:t>
            </w:r>
            <w:r w:rsidRPr="00150EDC">
              <w:rPr>
                <w:sz w:val="20"/>
              </w:rPr>
              <w:t>compulsory</w:t>
            </w:r>
            <w:r w:rsidRPr="00150EDC">
              <w:rPr>
                <w:spacing w:val="-4"/>
                <w:sz w:val="20"/>
              </w:rPr>
              <w:t xml:space="preserve"> </w:t>
            </w:r>
            <w:r w:rsidRPr="00150EDC">
              <w:rPr>
                <w:spacing w:val="-2"/>
                <w:sz w:val="20"/>
              </w:rPr>
              <w:t>labour</w:t>
            </w:r>
          </w:p>
        </w:tc>
      </w:tr>
      <w:tr w:rsidR="004569EE" w:rsidRPr="007D3144" w14:paraId="64D7BD81" w14:textId="77777777">
        <w:trPr>
          <w:trHeight w:val="510"/>
        </w:trPr>
        <w:tc>
          <w:tcPr>
            <w:tcW w:w="6517" w:type="dxa"/>
          </w:tcPr>
          <w:p w14:paraId="6084205B" w14:textId="77777777" w:rsidR="004C7180" w:rsidRPr="00150EDC" w:rsidRDefault="00CF0754">
            <w:pPr>
              <w:pStyle w:val="TableParagraph"/>
              <w:spacing w:before="32" w:line="230" w:lineRule="atLeast"/>
              <w:ind w:right="184"/>
              <w:rPr>
                <w:sz w:val="20"/>
              </w:rPr>
            </w:pPr>
            <w:r w:rsidRPr="00150EDC">
              <w:rPr>
                <w:sz w:val="20"/>
              </w:rPr>
              <w:t>Criminal</w:t>
            </w:r>
            <w:r w:rsidRPr="00150EDC">
              <w:rPr>
                <w:spacing w:val="-8"/>
                <w:sz w:val="20"/>
              </w:rPr>
              <w:t xml:space="preserve"> </w:t>
            </w:r>
            <w:r w:rsidRPr="00150EDC">
              <w:rPr>
                <w:sz w:val="20"/>
              </w:rPr>
              <w:t>Justice</w:t>
            </w:r>
            <w:r w:rsidRPr="00150EDC">
              <w:rPr>
                <w:spacing w:val="-5"/>
                <w:sz w:val="20"/>
              </w:rPr>
              <w:t xml:space="preserve"> </w:t>
            </w:r>
            <w:r w:rsidRPr="00150EDC">
              <w:rPr>
                <w:sz w:val="20"/>
              </w:rPr>
              <w:t>(Miscellaneous</w:t>
            </w:r>
            <w:r w:rsidRPr="00150EDC">
              <w:rPr>
                <w:spacing w:val="-9"/>
                <w:sz w:val="20"/>
              </w:rPr>
              <w:t xml:space="preserve"> </w:t>
            </w:r>
            <w:r w:rsidRPr="00150EDC">
              <w:rPr>
                <w:sz w:val="20"/>
              </w:rPr>
              <w:t>Provisions)</w:t>
            </w:r>
            <w:r w:rsidRPr="00150EDC">
              <w:rPr>
                <w:spacing w:val="-10"/>
                <w:sz w:val="20"/>
              </w:rPr>
              <w:t xml:space="preserve"> </w:t>
            </w:r>
            <w:r w:rsidRPr="00150EDC">
              <w:rPr>
                <w:sz w:val="20"/>
              </w:rPr>
              <w:t>Act</w:t>
            </w:r>
            <w:r w:rsidRPr="00150EDC">
              <w:rPr>
                <w:spacing w:val="-9"/>
                <w:sz w:val="20"/>
              </w:rPr>
              <w:t xml:space="preserve"> </w:t>
            </w:r>
            <w:r w:rsidRPr="00150EDC">
              <w:rPr>
                <w:sz w:val="20"/>
              </w:rPr>
              <w:t>(Northern</w:t>
            </w:r>
            <w:r w:rsidRPr="00150EDC">
              <w:rPr>
                <w:spacing w:val="-5"/>
                <w:sz w:val="20"/>
              </w:rPr>
              <w:t xml:space="preserve"> </w:t>
            </w:r>
            <w:r w:rsidRPr="00150EDC">
              <w:rPr>
                <w:sz w:val="20"/>
              </w:rPr>
              <w:t>Ireland) 1968, s7</w:t>
            </w:r>
          </w:p>
        </w:tc>
        <w:tc>
          <w:tcPr>
            <w:tcW w:w="7427" w:type="dxa"/>
          </w:tcPr>
          <w:p w14:paraId="47DA1A20" w14:textId="77777777" w:rsidR="004C7180" w:rsidRPr="00150EDC" w:rsidRDefault="004C7180">
            <w:pPr>
              <w:pStyle w:val="TableParagraph"/>
              <w:spacing w:before="7" w:line="240" w:lineRule="auto"/>
              <w:ind w:left="0"/>
              <w:rPr>
                <w:sz w:val="24"/>
              </w:rPr>
            </w:pPr>
          </w:p>
          <w:p w14:paraId="15291A04" w14:textId="77777777" w:rsidR="004C7180" w:rsidRPr="00150EDC" w:rsidRDefault="00CF0754">
            <w:pPr>
              <w:pStyle w:val="TableParagraph"/>
              <w:spacing w:before="0"/>
              <w:rPr>
                <w:sz w:val="20"/>
              </w:rPr>
            </w:pPr>
            <w:r w:rsidRPr="00150EDC">
              <w:rPr>
                <w:sz w:val="20"/>
              </w:rPr>
              <w:t>Criminal</w:t>
            </w:r>
            <w:r w:rsidRPr="00150EDC">
              <w:rPr>
                <w:spacing w:val="-8"/>
                <w:sz w:val="20"/>
              </w:rPr>
              <w:t xml:space="preserve"> </w:t>
            </w:r>
            <w:r w:rsidRPr="00150EDC">
              <w:rPr>
                <w:sz w:val="20"/>
              </w:rPr>
              <w:t>damage</w:t>
            </w:r>
            <w:r w:rsidRPr="00150EDC">
              <w:rPr>
                <w:spacing w:val="-4"/>
                <w:sz w:val="20"/>
              </w:rPr>
              <w:t xml:space="preserve"> </w:t>
            </w:r>
            <w:r w:rsidRPr="00150EDC">
              <w:rPr>
                <w:sz w:val="20"/>
              </w:rPr>
              <w:t>endangering</w:t>
            </w:r>
            <w:r w:rsidRPr="00150EDC">
              <w:rPr>
                <w:spacing w:val="-9"/>
                <w:sz w:val="20"/>
              </w:rPr>
              <w:t xml:space="preserve"> </w:t>
            </w:r>
            <w:r w:rsidRPr="00150EDC">
              <w:rPr>
                <w:spacing w:val="-4"/>
                <w:sz w:val="20"/>
              </w:rPr>
              <w:t>life</w:t>
            </w:r>
          </w:p>
        </w:tc>
      </w:tr>
      <w:tr w:rsidR="004569EE" w:rsidRPr="007D3144" w14:paraId="6918F4FD" w14:textId="77777777">
        <w:trPr>
          <w:trHeight w:val="510"/>
        </w:trPr>
        <w:tc>
          <w:tcPr>
            <w:tcW w:w="6517" w:type="dxa"/>
          </w:tcPr>
          <w:p w14:paraId="438DE497" w14:textId="77777777" w:rsidR="004C7180" w:rsidRPr="00150EDC" w:rsidRDefault="00CF0754">
            <w:pPr>
              <w:pStyle w:val="TableParagraph"/>
              <w:spacing w:before="32" w:line="230" w:lineRule="atLeast"/>
              <w:ind w:right="184"/>
              <w:rPr>
                <w:sz w:val="20"/>
              </w:rPr>
            </w:pPr>
            <w:r w:rsidRPr="00150EDC">
              <w:rPr>
                <w:sz w:val="20"/>
              </w:rPr>
              <w:t>Criminal</w:t>
            </w:r>
            <w:r w:rsidRPr="00150EDC">
              <w:rPr>
                <w:spacing w:val="-8"/>
                <w:sz w:val="20"/>
              </w:rPr>
              <w:t xml:space="preserve"> </w:t>
            </w:r>
            <w:r w:rsidRPr="00150EDC">
              <w:rPr>
                <w:sz w:val="20"/>
              </w:rPr>
              <w:t>Justice</w:t>
            </w:r>
            <w:r w:rsidRPr="00150EDC">
              <w:rPr>
                <w:spacing w:val="-5"/>
                <w:sz w:val="20"/>
              </w:rPr>
              <w:t xml:space="preserve"> </w:t>
            </w:r>
            <w:r w:rsidRPr="00150EDC">
              <w:rPr>
                <w:sz w:val="20"/>
              </w:rPr>
              <w:t>(Miscellaneous</w:t>
            </w:r>
            <w:r w:rsidRPr="00150EDC">
              <w:rPr>
                <w:spacing w:val="-9"/>
                <w:sz w:val="20"/>
              </w:rPr>
              <w:t xml:space="preserve"> </w:t>
            </w:r>
            <w:r w:rsidRPr="00150EDC">
              <w:rPr>
                <w:sz w:val="20"/>
              </w:rPr>
              <w:t>Provisions)</w:t>
            </w:r>
            <w:r w:rsidRPr="00150EDC">
              <w:rPr>
                <w:spacing w:val="-10"/>
                <w:sz w:val="20"/>
              </w:rPr>
              <w:t xml:space="preserve"> </w:t>
            </w:r>
            <w:r w:rsidRPr="00150EDC">
              <w:rPr>
                <w:sz w:val="20"/>
              </w:rPr>
              <w:t>Act</w:t>
            </w:r>
            <w:r w:rsidRPr="00150EDC">
              <w:rPr>
                <w:spacing w:val="-9"/>
                <w:sz w:val="20"/>
              </w:rPr>
              <w:t xml:space="preserve"> </w:t>
            </w:r>
            <w:r w:rsidRPr="00150EDC">
              <w:rPr>
                <w:sz w:val="20"/>
              </w:rPr>
              <w:t>(Northern</w:t>
            </w:r>
            <w:r w:rsidRPr="00150EDC">
              <w:rPr>
                <w:spacing w:val="-5"/>
                <w:sz w:val="20"/>
              </w:rPr>
              <w:t xml:space="preserve"> </w:t>
            </w:r>
            <w:r w:rsidRPr="00150EDC">
              <w:rPr>
                <w:sz w:val="20"/>
              </w:rPr>
              <w:t>Ireland) 1968, s9</w:t>
            </w:r>
          </w:p>
        </w:tc>
        <w:tc>
          <w:tcPr>
            <w:tcW w:w="7427" w:type="dxa"/>
          </w:tcPr>
          <w:p w14:paraId="35874FD2" w14:textId="77777777" w:rsidR="004C7180" w:rsidRPr="00150EDC" w:rsidRDefault="004C7180">
            <w:pPr>
              <w:pStyle w:val="TableParagraph"/>
              <w:spacing w:before="6" w:line="240" w:lineRule="auto"/>
              <w:ind w:left="0"/>
              <w:rPr>
                <w:sz w:val="24"/>
              </w:rPr>
            </w:pPr>
          </w:p>
          <w:p w14:paraId="230DF266" w14:textId="77777777" w:rsidR="004C7180" w:rsidRPr="00150EDC" w:rsidRDefault="00CF0754">
            <w:pPr>
              <w:pStyle w:val="TableParagraph"/>
              <w:spacing w:before="0"/>
              <w:rPr>
                <w:sz w:val="20"/>
              </w:rPr>
            </w:pPr>
            <w:r w:rsidRPr="00150EDC">
              <w:rPr>
                <w:sz w:val="20"/>
              </w:rPr>
              <w:t>Riotous,</w:t>
            </w:r>
            <w:r w:rsidRPr="00150EDC">
              <w:rPr>
                <w:spacing w:val="-8"/>
                <w:sz w:val="20"/>
              </w:rPr>
              <w:t xml:space="preserve"> </w:t>
            </w:r>
            <w:r w:rsidRPr="00150EDC">
              <w:rPr>
                <w:sz w:val="20"/>
              </w:rPr>
              <w:t>disorderly</w:t>
            </w:r>
            <w:r w:rsidRPr="00150EDC">
              <w:rPr>
                <w:spacing w:val="-4"/>
                <w:sz w:val="20"/>
              </w:rPr>
              <w:t xml:space="preserve"> </w:t>
            </w:r>
            <w:r w:rsidRPr="00150EDC">
              <w:rPr>
                <w:sz w:val="20"/>
              </w:rPr>
              <w:t>and</w:t>
            </w:r>
            <w:r w:rsidRPr="00150EDC">
              <w:rPr>
                <w:spacing w:val="-9"/>
                <w:sz w:val="20"/>
              </w:rPr>
              <w:t xml:space="preserve"> </w:t>
            </w:r>
            <w:r w:rsidRPr="00150EDC">
              <w:rPr>
                <w:sz w:val="20"/>
              </w:rPr>
              <w:t>indecent</w:t>
            </w:r>
            <w:r w:rsidRPr="00150EDC">
              <w:rPr>
                <w:spacing w:val="-2"/>
                <w:sz w:val="20"/>
              </w:rPr>
              <w:t xml:space="preserve"> </w:t>
            </w:r>
            <w:r w:rsidRPr="00150EDC">
              <w:rPr>
                <w:sz w:val="20"/>
              </w:rPr>
              <w:t>behaviour,</w:t>
            </w:r>
            <w:r w:rsidRPr="00150EDC">
              <w:rPr>
                <w:spacing w:val="-5"/>
                <w:sz w:val="20"/>
              </w:rPr>
              <w:t xml:space="preserve"> etc</w:t>
            </w:r>
          </w:p>
        </w:tc>
      </w:tr>
      <w:tr w:rsidR="004569EE" w:rsidRPr="007D3144" w14:paraId="3664738B" w14:textId="77777777">
        <w:trPr>
          <w:trHeight w:val="255"/>
        </w:trPr>
        <w:tc>
          <w:tcPr>
            <w:tcW w:w="6517" w:type="dxa"/>
          </w:tcPr>
          <w:p w14:paraId="7D7B881D" w14:textId="77777777" w:rsidR="004C7180" w:rsidRPr="00150EDC" w:rsidRDefault="00CF0754">
            <w:pPr>
              <w:pStyle w:val="TableParagraph"/>
              <w:rPr>
                <w:sz w:val="20"/>
              </w:rPr>
            </w:pPr>
            <w:r w:rsidRPr="00150EDC">
              <w:rPr>
                <w:sz w:val="20"/>
              </w:rPr>
              <w:t>Criminal</w:t>
            </w:r>
            <w:r w:rsidRPr="00150EDC">
              <w:rPr>
                <w:spacing w:val="-9"/>
                <w:sz w:val="20"/>
              </w:rPr>
              <w:t xml:space="preserve"> </w:t>
            </w:r>
            <w:r w:rsidRPr="00150EDC">
              <w:rPr>
                <w:sz w:val="20"/>
              </w:rPr>
              <w:t>Justice</w:t>
            </w:r>
            <w:r w:rsidRPr="00150EDC">
              <w:rPr>
                <w:spacing w:val="-3"/>
                <w:sz w:val="20"/>
              </w:rPr>
              <w:t xml:space="preserve"> </w:t>
            </w:r>
            <w:r w:rsidRPr="00150EDC">
              <w:rPr>
                <w:sz w:val="20"/>
              </w:rPr>
              <w:t>(Miscellaneous</w:t>
            </w:r>
            <w:r w:rsidRPr="00150EDC">
              <w:rPr>
                <w:spacing w:val="-7"/>
                <w:sz w:val="20"/>
              </w:rPr>
              <w:t xml:space="preserve"> </w:t>
            </w:r>
            <w:r w:rsidRPr="00150EDC">
              <w:rPr>
                <w:sz w:val="20"/>
              </w:rPr>
              <w:t>Provisions)</w:t>
            </w:r>
            <w:r w:rsidRPr="00150EDC">
              <w:rPr>
                <w:spacing w:val="-8"/>
                <w:sz w:val="20"/>
              </w:rPr>
              <w:t xml:space="preserve"> </w:t>
            </w:r>
            <w:r w:rsidRPr="00150EDC">
              <w:rPr>
                <w:sz w:val="20"/>
              </w:rPr>
              <w:t>Law</w:t>
            </w:r>
            <w:r w:rsidRPr="00150EDC">
              <w:rPr>
                <w:spacing w:val="-7"/>
                <w:sz w:val="20"/>
              </w:rPr>
              <w:t xml:space="preserve"> </w:t>
            </w:r>
            <w:r w:rsidRPr="00150EDC">
              <w:rPr>
                <w:sz w:val="20"/>
              </w:rPr>
              <w:t>2006,</w:t>
            </w:r>
            <w:r w:rsidRPr="00150EDC">
              <w:rPr>
                <w:spacing w:val="-7"/>
                <w:sz w:val="20"/>
              </w:rPr>
              <w:t xml:space="preserve"> </w:t>
            </w:r>
            <w:r w:rsidRPr="00150EDC">
              <w:rPr>
                <w:spacing w:val="-2"/>
                <w:sz w:val="20"/>
              </w:rPr>
              <w:t>s1(1)</w:t>
            </w:r>
          </w:p>
        </w:tc>
        <w:tc>
          <w:tcPr>
            <w:tcW w:w="7427" w:type="dxa"/>
          </w:tcPr>
          <w:p w14:paraId="0721CA8F" w14:textId="77777777" w:rsidR="004C7180" w:rsidRPr="00150EDC" w:rsidRDefault="00CF0754">
            <w:pPr>
              <w:pStyle w:val="TableParagraph"/>
              <w:rPr>
                <w:sz w:val="20"/>
              </w:rPr>
            </w:pPr>
            <w:r w:rsidRPr="00150EDC">
              <w:rPr>
                <w:sz w:val="20"/>
              </w:rPr>
              <w:t>Threats</w:t>
            </w:r>
            <w:r w:rsidRPr="00150EDC">
              <w:rPr>
                <w:spacing w:val="-6"/>
                <w:sz w:val="20"/>
              </w:rPr>
              <w:t xml:space="preserve"> </w:t>
            </w:r>
            <w:r w:rsidRPr="00150EDC">
              <w:rPr>
                <w:sz w:val="20"/>
              </w:rPr>
              <w:t>to</w:t>
            </w:r>
            <w:r w:rsidRPr="00150EDC">
              <w:rPr>
                <w:spacing w:val="-5"/>
                <w:sz w:val="20"/>
              </w:rPr>
              <w:t xml:space="preserve"> </w:t>
            </w:r>
            <w:r w:rsidRPr="00150EDC">
              <w:rPr>
                <w:spacing w:val="-4"/>
                <w:sz w:val="20"/>
              </w:rPr>
              <w:t>kill</w:t>
            </w:r>
          </w:p>
        </w:tc>
      </w:tr>
      <w:tr w:rsidR="004569EE" w:rsidRPr="007D3144" w14:paraId="58321B75" w14:textId="77777777">
        <w:trPr>
          <w:trHeight w:val="460"/>
        </w:trPr>
        <w:tc>
          <w:tcPr>
            <w:tcW w:w="6517" w:type="dxa"/>
          </w:tcPr>
          <w:p w14:paraId="46B159B0" w14:textId="77777777" w:rsidR="004C7180" w:rsidRPr="00150EDC" w:rsidRDefault="004C7180">
            <w:pPr>
              <w:pStyle w:val="TableParagraph"/>
              <w:spacing w:before="2" w:line="240" w:lineRule="auto"/>
              <w:ind w:left="0"/>
              <w:rPr>
                <w:sz w:val="20"/>
              </w:rPr>
            </w:pPr>
          </w:p>
          <w:p w14:paraId="1CCA85A3" w14:textId="77777777" w:rsidR="004C7180" w:rsidRPr="00150EDC" w:rsidRDefault="00CF0754">
            <w:pPr>
              <w:pStyle w:val="TableParagraph"/>
              <w:spacing w:before="1"/>
              <w:rPr>
                <w:sz w:val="20"/>
              </w:rPr>
            </w:pPr>
            <w:r w:rsidRPr="00150EDC">
              <w:rPr>
                <w:sz w:val="20"/>
              </w:rPr>
              <w:t>Criminal</w:t>
            </w:r>
            <w:r w:rsidRPr="00150EDC">
              <w:rPr>
                <w:spacing w:val="-9"/>
                <w:sz w:val="20"/>
              </w:rPr>
              <w:t xml:space="preserve"> </w:t>
            </w:r>
            <w:r w:rsidRPr="00150EDC">
              <w:rPr>
                <w:sz w:val="20"/>
              </w:rPr>
              <w:t>Justice</w:t>
            </w:r>
            <w:r w:rsidRPr="00150EDC">
              <w:rPr>
                <w:spacing w:val="-3"/>
                <w:sz w:val="20"/>
              </w:rPr>
              <w:t xml:space="preserve"> </w:t>
            </w:r>
            <w:r w:rsidRPr="00150EDC">
              <w:rPr>
                <w:sz w:val="20"/>
              </w:rPr>
              <w:t>(Miscellaneous</w:t>
            </w:r>
            <w:r w:rsidRPr="00150EDC">
              <w:rPr>
                <w:spacing w:val="-7"/>
                <w:sz w:val="20"/>
              </w:rPr>
              <w:t xml:space="preserve"> </w:t>
            </w:r>
            <w:r w:rsidRPr="00150EDC">
              <w:rPr>
                <w:sz w:val="20"/>
              </w:rPr>
              <w:t>Provisions)</w:t>
            </w:r>
            <w:r w:rsidRPr="00150EDC">
              <w:rPr>
                <w:spacing w:val="-8"/>
                <w:sz w:val="20"/>
              </w:rPr>
              <w:t xml:space="preserve"> </w:t>
            </w:r>
            <w:r w:rsidRPr="00150EDC">
              <w:rPr>
                <w:sz w:val="20"/>
              </w:rPr>
              <w:t>Law</w:t>
            </w:r>
            <w:r w:rsidRPr="00150EDC">
              <w:rPr>
                <w:spacing w:val="-7"/>
                <w:sz w:val="20"/>
              </w:rPr>
              <w:t xml:space="preserve"> </w:t>
            </w:r>
            <w:r w:rsidRPr="00150EDC">
              <w:rPr>
                <w:sz w:val="20"/>
              </w:rPr>
              <w:t>2006,</w:t>
            </w:r>
            <w:r w:rsidRPr="00150EDC">
              <w:rPr>
                <w:spacing w:val="-7"/>
                <w:sz w:val="20"/>
              </w:rPr>
              <w:t xml:space="preserve"> </w:t>
            </w:r>
            <w:r w:rsidRPr="00150EDC">
              <w:rPr>
                <w:spacing w:val="-2"/>
                <w:sz w:val="20"/>
              </w:rPr>
              <w:t>s8(1)</w:t>
            </w:r>
          </w:p>
        </w:tc>
        <w:tc>
          <w:tcPr>
            <w:tcW w:w="7427" w:type="dxa"/>
          </w:tcPr>
          <w:p w14:paraId="207589BF" w14:textId="77777777" w:rsidR="004C7180" w:rsidRPr="00150EDC" w:rsidRDefault="00CF0754">
            <w:pPr>
              <w:pStyle w:val="TableParagraph"/>
              <w:spacing w:before="0" w:line="230" w:lineRule="atLeast"/>
              <w:ind w:right="186"/>
              <w:rPr>
                <w:sz w:val="20"/>
              </w:rPr>
            </w:pPr>
            <w:r w:rsidRPr="00150EDC">
              <w:rPr>
                <w:sz w:val="20"/>
              </w:rPr>
              <w:t>Maliciously</w:t>
            </w:r>
            <w:r w:rsidRPr="00150EDC">
              <w:rPr>
                <w:spacing w:val="-6"/>
                <w:sz w:val="20"/>
              </w:rPr>
              <w:t xml:space="preserve"> </w:t>
            </w:r>
            <w:r w:rsidRPr="00150EDC">
              <w:rPr>
                <w:sz w:val="20"/>
              </w:rPr>
              <w:t>administering</w:t>
            </w:r>
            <w:r w:rsidRPr="00150EDC">
              <w:rPr>
                <w:spacing w:val="-7"/>
                <w:sz w:val="20"/>
              </w:rPr>
              <w:t xml:space="preserve"> </w:t>
            </w:r>
            <w:r w:rsidRPr="00150EDC">
              <w:rPr>
                <w:sz w:val="20"/>
              </w:rPr>
              <w:t>poison</w:t>
            </w:r>
            <w:r w:rsidRPr="00150EDC">
              <w:rPr>
                <w:spacing w:val="-7"/>
                <w:sz w:val="20"/>
              </w:rPr>
              <w:t xml:space="preserve"> </w:t>
            </w:r>
            <w:r w:rsidRPr="00150EDC">
              <w:rPr>
                <w:sz w:val="20"/>
              </w:rPr>
              <w:t>etc</w:t>
            </w:r>
            <w:r w:rsidRPr="00150EDC">
              <w:rPr>
                <w:spacing w:val="-6"/>
                <w:sz w:val="20"/>
              </w:rPr>
              <w:t xml:space="preserve"> </w:t>
            </w:r>
            <w:r w:rsidRPr="00150EDC">
              <w:rPr>
                <w:sz w:val="20"/>
              </w:rPr>
              <w:t>so</w:t>
            </w:r>
            <w:r w:rsidRPr="00150EDC">
              <w:rPr>
                <w:spacing w:val="-2"/>
                <w:sz w:val="20"/>
              </w:rPr>
              <w:t xml:space="preserve"> </w:t>
            </w:r>
            <w:r w:rsidRPr="00150EDC">
              <w:rPr>
                <w:sz w:val="20"/>
              </w:rPr>
              <w:t>as</w:t>
            </w:r>
            <w:r w:rsidRPr="00150EDC">
              <w:rPr>
                <w:spacing w:val="-6"/>
                <w:sz w:val="20"/>
              </w:rPr>
              <w:t xml:space="preserve"> </w:t>
            </w:r>
            <w:r w:rsidRPr="00150EDC">
              <w:rPr>
                <w:sz w:val="20"/>
              </w:rPr>
              <w:t>to</w:t>
            </w:r>
            <w:r w:rsidRPr="00150EDC">
              <w:rPr>
                <w:spacing w:val="-3"/>
                <w:sz w:val="20"/>
              </w:rPr>
              <w:t xml:space="preserve"> </w:t>
            </w:r>
            <w:r w:rsidRPr="00150EDC">
              <w:rPr>
                <w:sz w:val="20"/>
              </w:rPr>
              <w:t>endanger</w:t>
            </w:r>
            <w:r w:rsidRPr="00150EDC">
              <w:rPr>
                <w:spacing w:val="-2"/>
                <w:sz w:val="20"/>
              </w:rPr>
              <w:t xml:space="preserve"> </w:t>
            </w:r>
            <w:r w:rsidRPr="00150EDC">
              <w:rPr>
                <w:sz w:val="20"/>
              </w:rPr>
              <w:t>life</w:t>
            </w:r>
            <w:r w:rsidRPr="00150EDC">
              <w:rPr>
                <w:spacing w:val="-7"/>
                <w:sz w:val="20"/>
              </w:rPr>
              <w:t xml:space="preserve"> </w:t>
            </w:r>
            <w:r w:rsidRPr="00150EDC">
              <w:rPr>
                <w:sz w:val="20"/>
              </w:rPr>
              <w:t>or</w:t>
            </w:r>
            <w:r w:rsidRPr="00150EDC">
              <w:rPr>
                <w:spacing w:val="-7"/>
                <w:sz w:val="20"/>
              </w:rPr>
              <w:t xml:space="preserve"> </w:t>
            </w:r>
            <w:r w:rsidRPr="00150EDC">
              <w:rPr>
                <w:sz w:val="20"/>
              </w:rPr>
              <w:t>inflict</w:t>
            </w:r>
            <w:r w:rsidRPr="00150EDC">
              <w:rPr>
                <w:spacing w:val="-2"/>
                <w:sz w:val="20"/>
              </w:rPr>
              <w:t xml:space="preserve"> </w:t>
            </w:r>
            <w:r w:rsidRPr="00150EDC">
              <w:rPr>
                <w:sz w:val="20"/>
              </w:rPr>
              <w:t>grevious bodily harm</w:t>
            </w:r>
          </w:p>
        </w:tc>
      </w:tr>
      <w:tr w:rsidR="004569EE" w:rsidRPr="007D3144" w14:paraId="574264A6" w14:textId="77777777">
        <w:trPr>
          <w:trHeight w:val="255"/>
        </w:trPr>
        <w:tc>
          <w:tcPr>
            <w:tcW w:w="6517" w:type="dxa"/>
          </w:tcPr>
          <w:p w14:paraId="155444C1" w14:textId="77777777" w:rsidR="004C7180" w:rsidRPr="00150EDC" w:rsidRDefault="00CF0754">
            <w:pPr>
              <w:pStyle w:val="TableParagraph"/>
              <w:rPr>
                <w:sz w:val="20"/>
              </w:rPr>
            </w:pPr>
            <w:r w:rsidRPr="00150EDC">
              <w:rPr>
                <w:sz w:val="20"/>
              </w:rPr>
              <w:t>Criminal</w:t>
            </w:r>
            <w:r w:rsidRPr="00150EDC">
              <w:rPr>
                <w:spacing w:val="-9"/>
                <w:sz w:val="20"/>
              </w:rPr>
              <w:t xml:space="preserve"> </w:t>
            </w:r>
            <w:r w:rsidRPr="00150EDC">
              <w:rPr>
                <w:sz w:val="20"/>
              </w:rPr>
              <w:t>Justice</w:t>
            </w:r>
            <w:r w:rsidRPr="00150EDC">
              <w:rPr>
                <w:spacing w:val="-3"/>
                <w:sz w:val="20"/>
              </w:rPr>
              <w:t xml:space="preserve"> </w:t>
            </w:r>
            <w:r w:rsidRPr="00150EDC">
              <w:rPr>
                <w:sz w:val="20"/>
              </w:rPr>
              <w:t>(Miscellaneous</w:t>
            </w:r>
            <w:r w:rsidRPr="00150EDC">
              <w:rPr>
                <w:spacing w:val="-7"/>
                <w:sz w:val="20"/>
              </w:rPr>
              <w:t xml:space="preserve"> </w:t>
            </w:r>
            <w:r w:rsidRPr="00150EDC">
              <w:rPr>
                <w:sz w:val="20"/>
              </w:rPr>
              <w:t>Provisions)</w:t>
            </w:r>
            <w:r w:rsidRPr="00150EDC">
              <w:rPr>
                <w:spacing w:val="-8"/>
                <w:sz w:val="20"/>
              </w:rPr>
              <w:t xml:space="preserve"> </w:t>
            </w:r>
            <w:r w:rsidRPr="00150EDC">
              <w:rPr>
                <w:sz w:val="20"/>
              </w:rPr>
              <w:t>Law</w:t>
            </w:r>
            <w:r w:rsidRPr="00150EDC">
              <w:rPr>
                <w:spacing w:val="-7"/>
                <w:sz w:val="20"/>
              </w:rPr>
              <w:t xml:space="preserve"> </w:t>
            </w:r>
            <w:r w:rsidRPr="00150EDC">
              <w:rPr>
                <w:sz w:val="20"/>
              </w:rPr>
              <w:t>2006,</w:t>
            </w:r>
            <w:r w:rsidRPr="00150EDC">
              <w:rPr>
                <w:spacing w:val="-7"/>
                <w:sz w:val="20"/>
              </w:rPr>
              <w:t xml:space="preserve"> </w:t>
            </w:r>
            <w:r w:rsidRPr="00150EDC">
              <w:rPr>
                <w:spacing w:val="-2"/>
                <w:sz w:val="20"/>
              </w:rPr>
              <w:t>s9(1)</w:t>
            </w:r>
          </w:p>
        </w:tc>
        <w:tc>
          <w:tcPr>
            <w:tcW w:w="7427" w:type="dxa"/>
          </w:tcPr>
          <w:p w14:paraId="5CDE4D25" w14:textId="77777777" w:rsidR="004C7180" w:rsidRPr="00150EDC" w:rsidRDefault="00CF0754">
            <w:pPr>
              <w:pStyle w:val="TableParagraph"/>
              <w:rPr>
                <w:sz w:val="20"/>
              </w:rPr>
            </w:pPr>
            <w:r w:rsidRPr="00150EDC">
              <w:rPr>
                <w:sz w:val="20"/>
              </w:rPr>
              <w:t>Mailiciously</w:t>
            </w:r>
            <w:r w:rsidRPr="00150EDC">
              <w:rPr>
                <w:spacing w:val="-11"/>
                <w:sz w:val="20"/>
              </w:rPr>
              <w:t xml:space="preserve"> </w:t>
            </w:r>
            <w:r w:rsidRPr="00150EDC">
              <w:rPr>
                <w:sz w:val="20"/>
              </w:rPr>
              <w:t>administering</w:t>
            </w:r>
            <w:r w:rsidRPr="00150EDC">
              <w:rPr>
                <w:spacing w:val="-7"/>
                <w:sz w:val="20"/>
              </w:rPr>
              <w:t xml:space="preserve"> </w:t>
            </w:r>
            <w:r w:rsidRPr="00150EDC">
              <w:rPr>
                <w:sz w:val="20"/>
              </w:rPr>
              <w:t>poison</w:t>
            </w:r>
            <w:r w:rsidRPr="00150EDC">
              <w:rPr>
                <w:spacing w:val="-7"/>
                <w:sz w:val="20"/>
              </w:rPr>
              <w:t xml:space="preserve"> </w:t>
            </w:r>
            <w:r w:rsidRPr="00150EDC">
              <w:rPr>
                <w:sz w:val="20"/>
              </w:rPr>
              <w:t>etc</w:t>
            </w:r>
            <w:r w:rsidRPr="00150EDC">
              <w:rPr>
                <w:spacing w:val="-11"/>
                <w:sz w:val="20"/>
              </w:rPr>
              <w:t xml:space="preserve"> </w:t>
            </w:r>
            <w:r w:rsidRPr="00150EDC">
              <w:rPr>
                <w:sz w:val="20"/>
              </w:rPr>
              <w:t>with</w:t>
            </w:r>
            <w:r w:rsidRPr="00150EDC">
              <w:rPr>
                <w:spacing w:val="-11"/>
                <w:sz w:val="20"/>
              </w:rPr>
              <w:t xml:space="preserve"> </w:t>
            </w:r>
            <w:r w:rsidRPr="00150EDC">
              <w:rPr>
                <w:sz w:val="20"/>
              </w:rPr>
              <w:t>intent</w:t>
            </w:r>
            <w:r w:rsidRPr="00150EDC">
              <w:rPr>
                <w:spacing w:val="-11"/>
                <w:sz w:val="20"/>
              </w:rPr>
              <w:t xml:space="preserve"> </w:t>
            </w:r>
            <w:r w:rsidRPr="00150EDC">
              <w:rPr>
                <w:sz w:val="20"/>
              </w:rPr>
              <w:t>to</w:t>
            </w:r>
            <w:r w:rsidRPr="00150EDC">
              <w:rPr>
                <w:spacing w:val="-12"/>
                <w:sz w:val="20"/>
              </w:rPr>
              <w:t xml:space="preserve"> </w:t>
            </w:r>
            <w:r w:rsidRPr="00150EDC">
              <w:rPr>
                <w:sz w:val="20"/>
              </w:rPr>
              <w:t>injure,</w:t>
            </w:r>
            <w:r w:rsidRPr="00150EDC">
              <w:rPr>
                <w:spacing w:val="-7"/>
                <w:sz w:val="20"/>
              </w:rPr>
              <w:t xml:space="preserve"> </w:t>
            </w:r>
            <w:r w:rsidRPr="00150EDC">
              <w:rPr>
                <w:sz w:val="20"/>
              </w:rPr>
              <w:t>aggrieve</w:t>
            </w:r>
            <w:r w:rsidRPr="00150EDC">
              <w:rPr>
                <w:spacing w:val="-6"/>
                <w:sz w:val="20"/>
              </w:rPr>
              <w:t xml:space="preserve"> </w:t>
            </w:r>
            <w:r w:rsidRPr="00150EDC">
              <w:rPr>
                <w:sz w:val="20"/>
              </w:rPr>
              <w:t>or</w:t>
            </w:r>
            <w:r w:rsidRPr="00150EDC">
              <w:rPr>
                <w:spacing w:val="-11"/>
                <w:sz w:val="20"/>
              </w:rPr>
              <w:t xml:space="preserve"> </w:t>
            </w:r>
            <w:r w:rsidRPr="00150EDC">
              <w:rPr>
                <w:spacing w:val="-2"/>
                <w:sz w:val="20"/>
              </w:rPr>
              <w:t>annoy</w:t>
            </w:r>
          </w:p>
        </w:tc>
      </w:tr>
      <w:tr w:rsidR="004569EE" w:rsidRPr="007D3144" w14:paraId="11CFF43F" w14:textId="77777777">
        <w:trPr>
          <w:trHeight w:val="255"/>
        </w:trPr>
        <w:tc>
          <w:tcPr>
            <w:tcW w:w="6517" w:type="dxa"/>
          </w:tcPr>
          <w:p w14:paraId="291C16D6" w14:textId="77777777" w:rsidR="004C7180" w:rsidRPr="00150EDC" w:rsidRDefault="00CF0754">
            <w:pPr>
              <w:pStyle w:val="TableParagraph"/>
              <w:rPr>
                <w:sz w:val="20"/>
              </w:rPr>
            </w:pPr>
            <w:r w:rsidRPr="00150EDC">
              <w:rPr>
                <w:sz w:val="20"/>
              </w:rPr>
              <w:t>Criminal</w:t>
            </w:r>
            <w:r w:rsidRPr="00150EDC">
              <w:rPr>
                <w:spacing w:val="-6"/>
                <w:sz w:val="20"/>
              </w:rPr>
              <w:t xml:space="preserve"> </w:t>
            </w:r>
            <w:r w:rsidRPr="00150EDC">
              <w:rPr>
                <w:sz w:val="20"/>
              </w:rPr>
              <w:t>Justice</w:t>
            </w:r>
            <w:r w:rsidRPr="00150EDC">
              <w:rPr>
                <w:spacing w:val="-2"/>
                <w:sz w:val="20"/>
              </w:rPr>
              <w:t xml:space="preserve"> </w:t>
            </w:r>
            <w:r w:rsidRPr="00150EDC">
              <w:rPr>
                <w:sz w:val="20"/>
              </w:rPr>
              <w:t>(Northern</w:t>
            </w:r>
            <w:r w:rsidRPr="00150EDC">
              <w:rPr>
                <w:spacing w:val="-3"/>
                <w:sz w:val="20"/>
              </w:rPr>
              <w:t xml:space="preserve"> </w:t>
            </w:r>
            <w:r w:rsidRPr="00150EDC">
              <w:rPr>
                <w:sz w:val="20"/>
              </w:rPr>
              <w:t>Ireland)</w:t>
            </w:r>
            <w:r w:rsidRPr="00150EDC">
              <w:rPr>
                <w:spacing w:val="-7"/>
                <w:sz w:val="20"/>
              </w:rPr>
              <w:t xml:space="preserve"> </w:t>
            </w:r>
            <w:r w:rsidRPr="00150EDC">
              <w:rPr>
                <w:sz w:val="20"/>
              </w:rPr>
              <w:t>Order</w:t>
            </w:r>
            <w:r w:rsidRPr="00150EDC">
              <w:rPr>
                <w:spacing w:val="-3"/>
                <w:sz w:val="20"/>
              </w:rPr>
              <w:t xml:space="preserve"> </w:t>
            </w:r>
            <w:r w:rsidRPr="00150EDC">
              <w:rPr>
                <w:sz w:val="20"/>
              </w:rPr>
              <w:t>1980,</w:t>
            </w:r>
            <w:r w:rsidRPr="00150EDC">
              <w:rPr>
                <w:spacing w:val="-7"/>
                <w:sz w:val="20"/>
              </w:rPr>
              <w:t xml:space="preserve"> </w:t>
            </w:r>
            <w:r w:rsidRPr="00150EDC">
              <w:rPr>
                <w:sz w:val="20"/>
              </w:rPr>
              <w:t>Art</w:t>
            </w:r>
            <w:r w:rsidRPr="00150EDC">
              <w:rPr>
                <w:spacing w:val="-7"/>
                <w:sz w:val="20"/>
              </w:rPr>
              <w:t xml:space="preserve"> </w:t>
            </w:r>
            <w:r w:rsidRPr="00150EDC">
              <w:rPr>
                <w:spacing w:val="-10"/>
                <w:sz w:val="20"/>
              </w:rPr>
              <w:t>9</w:t>
            </w:r>
          </w:p>
        </w:tc>
        <w:tc>
          <w:tcPr>
            <w:tcW w:w="7427" w:type="dxa"/>
          </w:tcPr>
          <w:p w14:paraId="35A4E41D" w14:textId="77777777" w:rsidR="004C7180" w:rsidRPr="00150EDC" w:rsidRDefault="00CF0754">
            <w:pPr>
              <w:pStyle w:val="TableParagraph"/>
              <w:rPr>
                <w:sz w:val="20"/>
              </w:rPr>
            </w:pPr>
            <w:r w:rsidRPr="00150EDC">
              <w:rPr>
                <w:sz w:val="20"/>
              </w:rPr>
              <w:t>Inciting</w:t>
            </w:r>
            <w:r w:rsidRPr="00150EDC">
              <w:rPr>
                <w:spacing w:val="-6"/>
                <w:sz w:val="20"/>
              </w:rPr>
              <w:t xml:space="preserve"> </w:t>
            </w:r>
            <w:r w:rsidRPr="00150EDC">
              <w:rPr>
                <w:sz w:val="20"/>
              </w:rPr>
              <w:t>girl</w:t>
            </w:r>
            <w:r w:rsidRPr="00150EDC">
              <w:rPr>
                <w:spacing w:val="1"/>
                <w:sz w:val="20"/>
              </w:rPr>
              <w:t xml:space="preserve"> </w:t>
            </w:r>
            <w:r w:rsidRPr="00150EDC">
              <w:rPr>
                <w:sz w:val="20"/>
              </w:rPr>
              <w:t>under</w:t>
            </w:r>
            <w:r w:rsidRPr="00150EDC">
              <w:rPr>
                <w:spacing w:val="-5"/>
                <w:sz w:val="20"/>
              </w:rPr>
              <w:t xml:space="preserve"> </w:t>
            </w:r>
            <w:r w:rsidRPr="00150EDC">
              <w:rPr>
                <w:sz w:val="20"/>
              </w:rPr>
              <w:t>16</w:t>
            </w:r>
            <w:r w:rsidRPr="00150EDC">
              <w:rPr>
                <w:spacing w:val="-6"/>
                <w:sz w:val="20"/>
              </w:rPr>
              <w:t xml:space="preserve"> </w:t>
            </w:r>
            <w:r w:rsidRPr="00150EDC">
              <w:rPr>
                <w:sz w:val="20"/>
              </w:rPr>
              <w:t>to</w:t>
            </w:r>
            <w:r w:rsidRPr="00150EDC">
              <w:rPr>
                <w:spacing w:val="-5"/>
                <w:sz w:val="20"/>
              </w:rPr>
              <w:t xml:space="preserve"> </w:t>
            </w:r>
            <w:r w:rsidRPr="00150EDC">
              <w:rPr>
                <w:sz w:val="20"/>
              </w:rPr>
              <w:t>have</w:t>
            </w:r>
            <w:r w:rsidRPr="00150EDC">
              <w:rPr>
                <w:spacing w:val="-5"/>
                <w:sz w:val="20"/>
              </w:rPr>
              <w:t xml:space="preserve"> </w:t>
            </w:r>
            <w:r w:rsidRPr="00150EDC">
              <w:rPr>
                <w:sz w:val="20"/>
              </w:rPr>
              <w:t>incestuous</w:t>
            </w:r>
            <w:r w:rsidRPr="00150EDC">
              <w:rPr>
                <w:spacing w:val="-4"/>
                <w:sz w:val="20"/>
              </w:rPr>
              <w:t xml:space="preserve"> </w:t>
            </w:r>
            <w:r w:rsidRPr="00150EDC">
              <w:rPr>
                <w:sz w:val="20"/>
              </w:rPr>
              <w:t>sexual</w:t>
            </w:r>
            <w:r w:rsidRPr="00150EDC">
              <w:rPr>
                <w:spacing w:val="-4"/>
                <w:sz w:val="20"/>
              </w:rPr>
              <w:t xml:space="preserve"> </w:t>
            </w:r>
            <w:r w:rsidRPr="00150EDC">
              <w:rPr>
                <w:spacing w:val="-2"/>
                <w:sz w:val="20"/>
              </w:rPr>
              <w:t>intercourse</w:t>
            </w:r>
          </w:p>
        </w:tc>
      </w:tr>
      <w:tr w:rsidR="004569EE" w:rsidRPr="007D3144" w14:paraId="57348A7B" w14:textId="77777777">
        <w:trPr>
          <w:trHeight w:val="255"/>
        </w:trPr>
        <w:tc>
          <w:tcPr>
            <w:tcW w:w="6517" w:type="dxa"/>
          </w:tcPr>
          <w:p w14:paraId="71D9C1D7" w14:textId="77777777" w:rsidR="004C7180" w:rsidRPr="00150EDC" w:rsidRDefault="00CF0754">
            <w:pPr>
              <w:pStyle w:val="TableParagraph"/>
              <w:rPr>
                <w:sz w:val="20"/>
              </w:rPr>
            </w:pPr>
            <w:r w:rsidRPr="00150EDC">
              <w:rPr>
                <w:sz w:val="20"/>
              </w:rPr>
              <w:t>Criminal</w:t>
            </w:r>
            <w:r w:rsidRPr="00150EDC">
              <w:rPr>
                <w:spacing w:val="-6"/>
                <w:sz w:val="20"/>
              </w:rPr>
              <w:t xml:space="preserve"> </w:t>
            </w:r>
            <w:r w:rsidRPr="00150EDC">
              <w:rPr>
                <w:sz w:val="20"/>
              </w:rPr>
              <w:t>Justice</w:t>
            </w:r>
            <w:r w:rsidRPr="00150EDC">
              <w:rPr>
                <w:spacing w:val="-3"/>
                <w:sz w:val="20"/>
              </w:rPr>
              <w:t xml:space="preserve"> </w:t>
            </w:r>
            <w:r w:rsidRPr="00150EDC">
              <w:rPr>
                <w:sz w:val="20"/>
              </w:rPr>
              <w:t>(Northern</w:t>
            </w:r>
            <w:r w:rsidRPr="00150EDC">
              <w:rPr>
                <w:spacing w:val="-3"/>
                <w:sz w:val="20"/>
              </w:rPr>
              <w:t xml:space="preserve"> </w:t>
            </w:r>
            <w:r w:rsidRPr="00150EDC">
              <w:rPr>
                <w:sz w:val="20"/>
              </w:rPr>
              <w:t>Ireland)</w:t>
            </w:r>
            <w:r w:rsidRPr="00150EDC">
              <w:rPr>
                <w:spacing w:val="-7"/>
                <w:sz w:val="20"/>
              </w:rPr>
              <w:t xml:space="preserve"> </w:t>
            </w:r>
            <w:r w:rsidRPr="00150EDC">
              <w:rPr>
                <w:sz w:val="20"/>
              </w:rPr>
              <w:t>Order</w:t>
            </w:r>
            <w:r w:rsidRPr="00150EDC">
              <w:rPr>
                <w:spacing w:val="-3"/>
                <w:sz w:val="20"/>
              </w:rPr>
              <w:t xml:space="preserve"> </w:t>
            </w:r>
            <w:r w:rsidRPr="00150EDC">
              <w:rPr>
                <w:sz w:val="20"/>
              </w:rPr>
              <w:t>2003,</w:t>
            </w:r>
            <w:r w:rsidRPr="00150EDC">
              <w:rPr>
                <w:spacing w:val="-7"/>
                <w:sz w:val="20"/>
              </w:rPr>
              <w:t xml:space="preserve"> </w:t>
            </w:r>
            <w:r w:rsidRPr="00150EDC">
              <w:rPr>
                <w:sz w:val="20"/>
              </w:rPr>
              <w:t>Art</w:t>
            </w:r>
            <w:r w:rsidRPr="00150EDC">
              <w:rPr>
                <w:spacing w:val="-8"/>
                <w:sz w:val="20"/>
              </w:rPr>
              <w:t xml:space="preserve"> </w:t>
            </w:r>
            <w:r w:rsidRPr="00150EDC">
              <w:rPr>
                <w:spacing w:val="-5"/>
                <w:sz w:val="20"/>
              </w:rPr>
              <w:t>19</w:t>
            </w:r>
          </w:p>
        </w:tc>
        <w:tc>
          <w:tcPr>
            <w:tcW w:w="7427" w:type="dxa"/>
          </w:tcPr>
          <w:p w14:paraId="49EE54B5" w14:textId="77777777" w:rsidR="004C7180" w:rsidRPr="00150EDC" w:rsidRDefault="00CF0754">
            <w:pPr>
              <w:pStyle w:val="TableParagraph"/>
              <w:rPr>
                <w:sz w:val="20"/>
              </w:rPr>
            </w:pPr>
            <w:r w:rsidRPr="00150EDC">
              <w:rPr>
                <w:spacing w:val="-2"/>
                <w:sz w:val="20"/>
              </w:rPr>
              <w:t>Buggery</w:t>
            </w:r>
          </w:p>
        </w:tc>
      </w:tr>
      <w:tr w:rsidR="004569EE" w:rsidRPr="007D3144" w14:paraId="67E05271" w14:textId="77777777">
        <w:trPr>
          <w:trHeight w:val="255"/>
        </w:trPr>
        <w:tc>
          <w:tcPr>
            <w:tcW w:w="6517" w:type="dxa"/>
          </w:tcPr>
          <w:p w14:paraId="15B16BA6" w14:textId="77777777" w:rsidR="004C7180" w:rsidRPr="00150EDC" w:rsidRDefault="00CF0754">
            <w:pPr>
              <w:pStyle w:val="TableParagraph"/>
              <w:spacing w:before="28"/>
              <w:rPr>
                <w:sz w:val="20"/>
              </w:rPr>
            </w:pPr>
            <w:r w:rsidRPr="00150EDC">
              <w:rPr>
                <w:sz w:val="20"/>
              </w:rPr>
              <w:t>Criminal</w:t>
            </w:r>
            <w:r w:rsidRPr="00150EDC">
              <w:rPr>
                <w:spacing w:val="-6"/>
                <w:sz w:val="20"/>
              </w:rPr>
              <w:t xml:space="preserve"> </w:t>
            </w:r>
            <w:r w:rsidRPr="00150EDC">
              <w:rPr>
                <w:sz w:val="20"/>
              </w:rPr>
              <w:t>Justice</w:t>
            </w:r>
            <w:r w:rsidRPr="00150EDC">
              <w:rPr>
                <w:spacing w:val="-3"/>
                <w:sz w:val="20"/>
              </w:rPr>
              <w:t xml:space="preserve"> </w:t>
            </w:r>
            <w:r w:rsidRPr="00150EDC">
              <w:rPr>
                <w:sz w:val="20"/>
              </w:rPr>
              <w:t>(Northern</w:t>
            </w:r>
            <w:r w:rsidRPr="00150EDC">
              <w:rPr>
                <w:spacing w:val="-3"/>
                <w:sz w:val="20"/>
              </w:rPr>
              <w:t xml:space="preserve"> </w:t>
            </w:r>
            <w:r w:rsidRPr="00150EDC">
              <w:rPr>
                <w:sz w:val="20"/>
              </w:rPr>
              <w:t>Ireland)</w:t>
            </w:r>
            <w:r w:rsidRPr="00150EDC">
              <w:rPr>
                <w:spacing w:val="-7"/>
                <w:sz w:val="20"/>
              </w:rPr>
              <w:t xml:space="preserve"> </w:t>
            </w:r>
            <w:r w:rsidRPr="00150EDC">
              <w:rPr>
                <w:sz w:val="20"/>
              </w:rPr>
              <w:t>Order</w:t>
            </w:r>
            <w:r w:rsidRPr="00150EDC">
              <w:rPr>
                <w:spacing w:val="-3"/>
                <w:sz w:val="20"/>
              </w:rPr>
              <w:t xml:space="preserve"> </w:t>
            </w:r>
            <w:r w:rsidRPr="00150EDC">
              <w:rPr>
                <w:sz w:val="20"/>
              </w:rPr>
              <w:t>2003,</w:t>
            </w:r>
            <w:r w:rsidRPr="00150EDC">
              <w:rPr>
                <w:spacing w:val="-7"/>
                <w:sz w:val="20"/>
              </w:rPr>
              <w:t xml:space="preserve"> </w:t>
            </w:r>
            <w:r w:rsidRPr="00150EDC">
              <w:rPr>
                <w:sz w:val="20"/>
              </w:rPr>
              <w:t>Art</w:t>
            </w:r>
            <w:r w:rsidRPr="00150EDC">
              <w:rPr>
                <w:spacing w:val="-8"/>
                <w:sz w:val="20"/>
              </w:rPr>
              <w:t xml:space="preserve"> </w:t>
            </w:r>
            <w:r w:rsidRPr="00150EDC">
              <w:rPr>
                <w:spacing w:val="-5"/>
                <w:sz w:val="20"/>
              </w:rPr>
              <w:t>20</w:t>
            </w:r>
          </w:p>
        </w:tc>
        <w:tc>
          <w:tcPr>
            <w:tcW w:w="7427" w:type="dxa"/>
          </w:tcPr>
          <w:p w14:paraId="527B8669" w14:textId="77777777" w:rsidR="004C7180" w:rsidRPr="00150EDC" w:rsidRDefault="00CF0754">
            <w:pPr>
              <w:pStyle w:val="TableParagraph"/>
              <w:spacing w:before="28"/>
              <w:rPr>
                <w:sz w:val="20"/>
              </w:rPr>
            </w:pPr>
            <w:r w:rsidRPr="00150EDC">
              <w:rPr>
                <w:sz w:val="20"/>
              </w:rPr>
              <w:t>Assault</w:t>
            </w:r>
            <w:r w:rsidRPr="00150EDC">
              <w:rPr>
                <w:spacing w:val="-5"/>
                <w:sz w:val="20"/>
              </w:rPr>
              <w:t xml:space="preserve"> </w:t>
            </w:r>
            <w:r w:rsidRPr="00150EDC">
              <w:rPr>
                <w:sz w:val="20"/>
              </w:rPr>
              <w:t>with</w:t>
            </w:r>
            <w:r w:rsidRPr="00150EDC">
              <w:rPr>
                <w:spacing w:val="-6"/>
                <w:sz w:val="20"/>
              </w:rPr>
              <w:t xml:space="preserve"> </w:t>
            </w:r>
            <w:r w:rsidRPr="00150EDC">
              <w:rPr>
                <w:sz w:val="20"/>
              </w:rPr>
              <w:t>intent to</w:t>
            </w:r>
            <w:r w:rsidRPr="00150EDC">
              <w:rPr>
                <w:spacing w:val="-6"/>
                <w:sz w:val="20"/>
              </w:rPr>
              <w:t xml:space="preserve"> </w:t>
            </w:r>
            <w:r w:rsidRPr="00150EDC">
              <w:rPr>
                <w:sz w:val="20"/>
              </w:rPr>
              <w:t>commit</w:t>
            </w:r>
            <w:r w:rsidRPr="00150EDC">
              <w:rPr>
                <w:spacing w:val="-4"/>
                <w:sz w:val="20"/>
              </w:rPr>
              <w:t xml:space="preserve"> </w:t>
            </w:r>
            <w:r w:rsidRPr="00150EDC">
              <w:rPr>
                <w:spacing w:val="-2"/>
                <w:sz w:val="20"/>
              </w:rPr>
              <w:t>buggery</w:t>
            </w:r>
          </w:p>
        </w:tc>
      </w:tr>
      <w:tr w:rsidR="004569EE" w:rsidRPr="007D3144" w14:paraId="67E7E6A7" w14:textId="77777777">
        <w:trPr>
          <w:trHeight w:val="255"/>
        </w:trPr>
        <w:tc>
          <w:tcPr>
            <w:tcW w:w="6517" w:type="dxa"/>
          </w:tcPr>
          <w:p w14:paraId="23C7B343" w14:textId="77777777" w:rsidR="004C7180" w:rsidRPr="00150EDC" w:rsidRDefault="00CF0754">
            <w:pPr>
              <w:pStyle w:val="TableParagraph"/>
              <w:rPr>
                <w:sz w:val="20"/>
              </w:rPr>
            </w:pPr>
            <w:r w:rsidRPr="00150EDC">
              <w:rPr>
                <w:sz w:val="20"/>
              </w:rPr>
              <w:t>Criminal</w:t>
            </w:r>
            <w:r w:rsidRPr="00150EDC">
              <w:rPr>
                <w:spacing w:val="-6"/>
                <w:sz w:val="20"/>
              </w:rPr>
              <w:t xml:space="preserve"> </w:t>
            </w:r>
            <w:r w:rsidRPr="00150EDC">
              <w:rPr>
                <w:sz w:val="20"/>
              </w:rPr>
              <w:t>Justice</w:t>
            </w:r>
            <w:r w:rsidRPr="00150EDC">
              <w:rPr>
                <w:spacing w:val="-3"/>
                <w:sz w:val="20"/>
              </w:rPr>
              <w:t xml:space="preserve"> </w:t>
            </w:r>
            <w:r w:rsidRPr="00150EDC">
              <w:rPr>
                <w:sz w:val="20"/>
              </w:rPr>
              <w:t>(Northern</w:t>
            </w:r>
            <w:r w:rsidRPr="00150EDC">
              <w:rPr>
                <w:spacing w:val="-3"/>
                <w:sz w:val="20"/>
              </w:rPr>
              <w:t xml:space="preserve"> </w:t>
            </w:r>
            <w:r w:rsidRPr="00150EDC">
              <w:rPr>
                <w:sz w:val="20"/>
              </w:rPr>
              <w:t>Ireland)</w:t>
            </w:r>
            <w:r w:rsidRPr="00150EDC">
              <w:rPr>
                <w:spacing w:val="-7"/>
                <w:sz w:val="20"/>
              </w:rPr>
              <w:t xml:space="preserve"> </w:t>
            </w:r>
            <w:r w:rsidRPr="00150EDC">
              <w:rPr>
                <w:sz w:val="20"/>
              </w:rPr>
              <w:t>Order</w:t>
            </w:r>
            <w:r w:rsidRPr="00150EDC">
              <w:rPr>
                <w:spacing w:val="-3"/>
                <w:sz w:val="20"/>
              </w:rPr>
              <w:t xml:space="preserve"> </w:t>
            </w:r>
            <w:r w:rsidRPr="00150EDC">
              <w:rPr>
                <w:sz w:val="20"/>
              </w:rPr>
              <w:t>2003,</w:t>
            </w:r>
            <w:r w:rsidRPr="00150EDC">
              <w:rPr>
                <w:spacing w:val="-7"/>
                <w:sz w:val="20"/>
              </w:rPr>
              <w:t xml:space="preserve"> </w:t>
            </w:r>
            <w:r w:rsidRPr="00150EDC">
              <w:rPr>
                <w:sz w:val="20"/>
              </w:rPr>
              <w:t>Art</w:t>
            </w:r>
            <w:r w:rsidRPr="00150EDC">
              <w:rPr>
                <w:spacing w:val="-8"/>
                <w:sz w:val="20"/>
              </w:rPr>
              <w:t xml:space="preserve"> </w:t>
            </w:r>
            <w:r w:rsidRPr="00150EDC">
              <w:rPr>
                <w:spacing w:val="-5"/>
                <w:sz w:val="20"/>
              </w:rPr>
              <w:t>21</w:t>
            </w:r>
          </w:p>
        </w:tc>
        <w:tc>
          <w:tcPr>
            <w:tcW w:w="7427" w:type="dxa"/>
          </w:tcPr>
          <w:p w14:paraId="3F34CEA2" w14:textId="77777777" w:rsidR="004C7180" w:rsidRPr="00150EDC" w:rsidRDefault="00CF0754">
            <w:pPr>
              <w:pStyle w:val="TableParagraph"/>
              <w:rPr>
                <w:sz w:val="20"/>
              </w:rPr>
            </w:pPr>
            <w:r w:rsidRPr="00150EDC">
              <w:rPr>
                <w:sz w:val="20"/>
              </w:rPr>
              <w:t>Indecent</w:t>
            </w:r>
            <w:r w:rsidRPr="00150EDC">
              <w:rPr>
                <w:spacing w:val="-4"/>
                <w:sz w:val="20"/>
              </w:rPr>
              <w:t xml:space="preserve"> </w:t>
            </w:r>
            <w:r w:rsidRPr="00150EDC">
              <w:rPr>
                <w:sz w:val="20"/>
              </w:rPr>
              <w:t>assault</w:t>
            </w:r>
            <w:r w:rsidRPr="00150EDC">
              <w:rPr>
                <w:spacing w:val="-2"/>
                <w:sz w:val="20"/>
              </w:rPr>
              <w:t xml:space="preserve"> </w:t>
            </w:r>
            <w:r w:rsidRPr="00150EDC">
              <w:rPr>
                <w:sz w:val="20"/>
              </w:rPr>
              <w:t>on</w:t>
            </w:r>
            <w:r w:rsidRPr="00150EDC">
              <w:rPr>
                <w:spacing w:val="-7"/>
                <w:sz w:val="20"/>
              </w:rPr>
              <w:t xml:space="preserve"> </w:t>
            </w:r>
            <w:r w:rsidRPr="00150EDC">
              <w:rPr>
                <w:sz w:val="20"/>
              </w:rPr>
              <w:t>a</w:t>
            </w:r>
            <w:r w:rsidRPr="00150EDC">
              <w:rPr>
                <w:spacing w:val="-3"/>
                <w:sz w:val="20"/>
              </w:rPr>
              <w:t xml:space="preserve"> </w:t>
            </w:r>
            <w:r w:rsidRPr="00150EDC">
              <w:rPr>
                <w:spacing w:val="-4"/>
                <w:sz w:val="20"/>
              </w:rPr>
              <w:t>male</w:t>
            </w:r>
          </w:p>
        </w:tc>
      </w:tr>
      <w:tr w:rsidR="004569EE" w:rsidRPr="007D3144" w14:paraId="0521E33E" w14:textId="77777777">
        <w:trPr>
          <w:trHeight w:val="460"/>
        </w:trPr>
        <w:tc>
          <w:tcPr>
            <w:tcW w:w="6517" w:type="dxa"/>
          </w:tcPr>
          <w:p w14:paraId="468891A6" w14:textId="77777777" w:rsidR="004C7180" w:rsidRPr="00150EDC" w:rsidRDefault="004C7180">
            <w:pPr>
              <w:pStyle w:val="TableParagraph"/>
              <w:spacing w:before="2" w:line="240" w:lineRule="auto"/>
              <w:ind w:left="0"/>
              <w:rPr>
                <w:sz w:val="20"/>
              </w:rPr>
            </w:pPr>
          </w:p>
          <w:p w14:paraId="00486640" w14:textId="77777777" w:rsidR="004C7180" w:rsidRPr="00150EDC" w:rsidRDefault="00CF0754">
            <w:pPr>
              <w:pStyle w:val="TableParagraph"/>
              <w:spacing w:before="0"/>
              <w:rPr>
                <w:sz w:val="20"/>
              </w:rPr>
            </w:pPr>
            <w:r w:rsidRPr="00150EDC">
              <w:rPr>
                <w:sz w:val="20"/>
              </w:rPr>
              <w:t>Criminal</w:t>
            </w:r>
            <w:r w:rsidRPr="00150EDC">
              <w:rPr>
                <w:spacing w:val="-6"/>
                <w:sz w:val="20"/>
              </w:rPr>
              <w:t xml:space="preserve"> </w:t>
            </w:r>
            <w:r w:rsidRPr="00150EDC">
              <w:rPr>
                <w:sz w:val="20"/>
              </w:rPr>
              <w:t>Justice</w:t>
            </w:r>
            <w:r w:rsidRPr="00150EDC">
              <w:rPr>
                <w:spacing w:val="-3"/>
                <w:sz w:val="20"/>
              </w:rPr>
              <w:t xml:space="preserve"> </w:t>
            </w:r>
            <w:r w:rsidRPr="00150EDC">
              <w:rPr>
                <w:sz w:val="20"/>
              </w:rPr>
              <w:t>(Scotland)</w:t>
            </w:r>
            <w:r w:rsidRPr="00150EDC">
              <w:rPr>
                <w:spacing w:val="-7"/>
                <w:sz w:val="20"/>
              </w:rPr>
              <w:t xml:space="preserve"> </w:t>
            </w:r>
            <w:r w:rsidRPr="00150EDC">
              <w:rPr>
                <w:sz w:val="20"/>
              </w:rPr>
              <w:t>Act</w:t>
            </w:r>
            <w:r w:rsidRPr="00150EDC">
              <w:rPr>
                <w:spacing w:val="-6"/>
                <w:sz w:val="20"/>
              </w:rPr>
              <w:t xml:space="preserve"> </w:t>
            </w:r>
            <w:r w:rsidRPr="00150EDC">
              <w:rPr>
                <w:sz w:val="20"/>
              </w:rPr>
              <w:t>1980,</w:t>
            </w:r>
            <w:r w:rsidRPr="00150EDC">
              <w:rPr>
                <w:spacing w:val="-7"/>
                <w:sz w:val="20"/>
              </w:rPr>
              <w:t xml:space="preserve"> </w:t>
            </w:r>
            <w:r w:rsidRPr="00150EDC">
              <w:rPr>
                <w:spacing w:val="-2"/>
                <w:sz w:val="20"/>
              </w:rPr>
              <w:t>s80(7)</w:t>
            </w:r>
          </w:p>
        </w:tc>
        <w:tc>
          <w:tcPr>
            <w:tcW w:w="7427" w:type="dxa"/>
          </w:tcPr>
          <w:p w14:paraId="748749AA" w14:textId="77777777" w:rsidR="004C7180" w:rsidRPr="00150EDC" w:rsidRDefault="00CF0754">
            <w:pPr>
              <w:pStyle w:val="TableParagraph"/>
              <w:spacing w:before="0" w:line="230" w:lineRule="atLeast"/>
              <w:ind w:right="74"/>
              <w:rPr>
                <w:sz w:val="20"/>
              </w:rPr>
            </w:pPr>
            <w:r w:rsidRPr="00150EDC">
              <w:rPr>
                <w:sz w:val="20"/>
              </w:rPr>
              <w:t>Commit</w:t>
            </w:r>
            <w:r w:rsidRPr="00150EDC">
              <w:rPr>
                <w:spacing w:val="-5"/>
                <w:sz w:val="20"/>
              </w:rPr>
              <w:t xml:space="preserve"> </w:t>
            </w:r>
            <w:r w:rsidRPr="00150EDC">
              <w:rPr>
                <w:sz w:val="20"/>
              </w:rPr>
              <w:t>or</w:t>
            </w:r>
            <w:r w:rsidRPr="00150EDC">
              <w:rPr>
                <w:spacing w:val="-1"/>
                <w:sz w:val="20"/>
              </w:rPr>
              <w:t xml:space="preserve"> </w:t>
            </w:r>
            <w:r w:rsidRPr="00150EDC">
              <w:rPr>
                <w:sz w:val="20"/>
              </w:rPr>
              <w:t>procure</w:t>
            </w:r>
            <w:r w:rsidRPr="00150EDC">
              <w:rPr>
                <w:spacing w:val="-6"/>
                <w:sz w:val="20"/>
              </w:rPr>
              <w:t xml:space="preserve"> </w:t>
            </w:r>
            <w:r w:rsidRPr="00150EDC">
              <w:rPr>
                <w:sz w:val="20"/>
              </w:rPr>
              <w:t>the</w:t>
            </w:r>
            <w:r w:rsidRPr="00150EDC">
              <w:rPr>
                <w:spacing w:val="-6"/>
                <w:sz w:val="20"/>
              </w:rPr>
              <w:t xml:space="preserve"> </w:t>
            </w:r>
            <w:r w:rsidRPr="00150EDC">
              <w:rPr>
                <w:sz w:val="20"/>
              </w:rPr>
              <w:t>commission</w:t>
            </w:r>
            <w:r w:rsidRPr="00150EDC">
              <w:rPr>
                <w:spacing w:val="-1"/>
                <w:sz w:val="20"/>
              </w:rPr>
              <w:t xml:space="preserve"> </w:t>
            </w:r>
            <w:r w:rsidRPr="00150EDC">
              <w:rPr>
                <w:sz w:val="20"/>
              </w:rPr>
              <w:t>of</w:t>
            </w:r>
            <w:r w:rsidRPr="00150EDC">
              <w:rPr>
                <w:spacing w:val="-6"/>
                <w:sz w:val="20"/>
              </w:rPr>
              <w:t xml:space="preserve"> </w:t>
            </w:r>
            <w:r w:rsidRPr="00150EDC">
              <w:rPr>
                <w:sz w:val="20"/>
              </w:rPr>
              <w:t>a</w:t>
            </w:r>
            <w:r w:rsidRPr="00150EDC">
              <w:rPr>
                <w:spacing w:val="-6"/>
                <w:sz w:val="20"/>
              </w:rPr>
              <w:t xml:space="preserve"> </w:t>
            </w:r>
            <w:r w:rsidRPr="00150EDC">
              <w:rPr>
                <w:sz w:val="20"/>
              </w:rPr>
              <w:t>homosexual</w:t>
            </w:r>
            <w:r w:rsidRPr="00150EDC">
              <w:rPr>
                <w:spacing w:val="-4"/>
                <w:sz w:val="20"/>
              </w:rPr>
              <w:t xml:space="preserve"> </w:t>
            </w:r>
            <w:r w:rsidRPr="00150EDC">
              <w:rPr>
                <w:sz w:val="20"/>
              </w:rPr>
              <w:t>act</w:t>
            </w:r>
            <w:r w:rsidRPr="00150EDC">
              <w:rPr>
                <w:spacing w:val="-1"/>
                <w:sz w:val="20"/>
              </w:rPr>
              <w:t xml:space="preserve"> </w:t>
            </w:r>
            <w:r w:rsidRPr="00150EDC">
              <w:rPr>
                <w:sz w:val="20"/>
              </w:rPr>
              <w:t>which</w:t>
            </w:r>
            <w:r w:rsidRPr="00150EDC">
              <w:rPr>
                <w:spacing w:val="-6"/>
                <w:sz w:val="20"/>
              </w:rPr>
              <w:t xml:space="preserve"> </w:t>
            </w:r>
            <w:r w:rsidRPr="00150EDC">
              <w:rPr>
                <w:sz w:val="20"/>
              </w:rPr>
              <w:t>is</w:t>
            </w:r>
            <w:r w:rsidRPr="00150EDC">
              <w:rPr>
                <w:spacing w:val="-5"/>
                <w:sz w:val="20"/>
              </w:rPr>
              <w:t xml:space="preserve"> </w:t>
            </w:r>
            <w:r w:rsidRPr="00150EDC">
              <w:rPr>
                <w:sz w:val="20"/>
              </w:rPr>
              <w:t>non-consensual or with another aged under 16</w:t>
            </w:r>
          </w:p>
        </w:tc>
      </w:tr>
      <w:tr w:rsidR="004569EE" w:rsidRPr="007D3144" w14:paraId="0A935049" w14:textId="77777777">
        <w:trPr>
          <w:trHeight w:val="255"/>
        </w:trPr>
        <w:tc>
          <w:tcPr>
            <w:tcW w:w="6517" w:type="dxa"/>
          </w:tcPr>
          <w:p w14:paraId="0017735B" w14:textId="77777777" w:rsidR="004C7180" w:rsidRPr="00150EDC" w:rsidRDefault="00CF0754">
            <w:pPr>
              <w:pStyle w:val="TableParagraph"/>
              <w:rPr>
                <w:sz w:val="20"/>
              </w:rPr>
            </w:pPr>
            <w:r w:rsidRPr="00150EDC">
              <w:rPr>
                <w:sz w:val="20"/>
              </w:rPr>
              <w:t>Criminal</w:t>
            </w:r>
            <w:r w:rsidRPr="00150EDC">
              <w:rPr>
                <w:spacing w:val="-6"/>
                <w:sz w:val="20"/>
              </w:rPr>
              <w:t xml:space="preserve"> </w:t>
            </w:r>
            <w:r w:rsidRPr="00150EDC">
              <w:rPr>
                <w:sz w:val="20"/>
              </w:rPr>
              <w:t>Justice</w:t>
            </w:r>
            <w:r w:rsidRPr="00150EDC">
              <w:rPr>
                <w:spacing w:val="-2"/>
                <w:sz w:val="20"/>
              </w:rPr>
              <w:t xml:space="preserve"> </w:t>
            </w:r>
            <w:r w:rsidRPr="00150EDC">
              <w:rPr>
                <w:sz w:val="20"/>
              </w:rPr>
              <w:t>(Scotland)</w:t>
            </w:r>
            <w:r w:rsidRPr="00150EDC">
              <w:rPr>
                <w:spacing w:val="-7"/>
                <w:sz w:val="20"/>
              </w:rPr>
              <w:t xml:space="preserve"> </w:t>
            </w:r>
            <w:r w:rsidRPr="00150EDC">
              <w:rPr>
                <w:sz w:val="20"/>
              </w:rPr>
              <w:t>Act</w:t>
            </w:r>
            <w:r w:rsidRPr="00150EDC">
              <w:rPr>
                <w:spacing w:val="-6"/>
                <w:sz w:val="20"/>
              </w:rPr>
              <w:t xml:space="preserve"> </w:t>
            </w:r>
            <w:r w:rsidRPr="00150EDC">
              <w:rPr>
                <w:sz w:val="20"/>
              </w:rPr>
              <w:t>1980,</w:t>
            </w:r>
            <w:r w:rsidRPr="00150EDC">
              <w:rPr>
                <w:spacing w:val="-6"/>
                <w:sz w:val="20"/>
              </w:rPr>
              <w:t xml:space="preserve"> </w:t>
            </w:r>
            <w:r w:rsidRPr="00150EDC">
              <w:rPr>
                <w:spacing w:val="-2"/>
                <w:sz w:val="20"/>
              </w:rPr>
              <w:t>s80(12)</w:t>
            </w:r>
          </w:p>
        </w:tc>
        <w:tc>
          <w:tcPr>
            <w:tcW w:w="7427" w:type="dxa"/>
          </w:tcPr>
          <w:p w14:paraId="1EB11585" w14:textId="77777777" w:rsidR="004C7180" w:rsidRPr="00150EDC" w:rsidRDefault="00CF0754">
            <w:pPr>
              <w:pStyle w:val="TableParagraph"/>
              <w:rPr>
                <w:sz w:val="20"/>
              </w:rPr>
            </w:pPr>
            <w:r w:rsidRPr="00150EDC">
              <w:rPr>
                <w:sz w:val="20"/>
              </w:rPr>
              <w:t>Living</w:t>
            </w:r>
            <w:r w:rsidRPr="00150EDC">
              <w:rPr>
                <w:spacing w:val="-5"/>
                <w:sz w:val="20"/>
              </w:rPr>
              <w:t xml:space="preserve"> </w:t>
            </w:r>
            <w:r w:rsidRPr="00150EDC">
              <w:rPr>
                <w:sz w:val="20"/>
              </w:rPr>
              <w:t>on</w:t>
            </w:r>
            <w:r w:rsidRPr="00150EDC">
              <w:rPr>
                <w:spacing w:val="-5"/>
                <w:sz w:val="20"/>
              </w:rPr>
              <w:t xml:space="preserve"> </w:t>
            </w:r>
            <w:r w:rsidRPr="00150EDC">
              <w:rPr>
                <w:sz w:val="20"/>
              </w:rPr>
              <w:t>earnings</w:t>
            </w:r>
            <w:r w:rsidRPr="00150EDC">
              <w:rPr>
                <w:spacing w:val="-4"/>
                <w:sz w:val="20"/>
              </w:rPr>
              <w:t xml:space="preserve"> </w:t>
            </w:r>
            <w:r w:rsidRPr="00150EDC">
              <w:rPr>
                <w:sz w:val="20"/>
              </w:rPr>
              <w:t>of</w:t>
            </w:r>
            <w:r w:rsidRPr="00150EDC">
              <w:rPr>
                <w:spacing w:val="-1"/>
                <w:sz w:val="20"/>
              </w:rPr>
              <w:t xml:space="preserve"> </w:t>
            </w:r>
            <w:r w:rsidRPr="00150EDC">
              <w:rPr>
                <w:sz w:val="20"/>
              </w:rPr>
              <w:t>another</w:t>
            </w:r>
            <w:r w:rsidRPr="00150EDC">
              <w:rPr>
                <w:spacing w:val="-5"/>
                <w:sz w:val="20"/>
              </w:rPr>
              <w:t xml:space="preserve"> </w:t>
            </w:r>
            <w:r w:rsidRPr="00150EDC">
              <w:rPr>
                <w:sz w:val="20"/>
              </w:rPr>
              <w:t>from</w:t>
            </w:r>
            <w:r w:rsidRPr="00150EDC">
              <w:rPr>
                <w:spacing w:val="-5"/>
                <w:sz w:val="20"/>
              </w:rPr>
              <w:t xml:space="preserve"> </w:t>
            </w:r>
            <w:r w:rsidRPr="00150EDC">
              <w:rPr>
                <w:sz w:val="20"/>
              </w:rPr>
              <w:t>male</w:t>
            </w:r>
            <w:r w:rsidRPr="00150EDC">
              <w:rPr>
                <w:spacing w:val="-4"/>
                <w:sz w:val="20"/>
              </w:rPr>
              <w:t xml:space="preserve"> </w:t>
            </w:r>
            <w:r w:rsidRPr="00150EDC">
              <w:rPr>
                <w:spacing w:val="-2"/>
                <w:sz w:val="20"/>
              </w:rPr>
              <w:t>prostitution</w:t>
            </w:r>
          </w:p>
        </w:tc>
      </w:tr>
      <w:tr w:rsidR="004569EE" w:rsidRPr="007D3144" w14:paraId="6044CE29" w14:textId="77777777">
        <w:trPr>
          <w:trHeight w:val="255"/>
        </w:trPr>
        <w:tc>
          <w:tcPr>
            <w:tcW w:w="6517" w:type="dxa"/>
          </w:tcPr>
          <w:p w14:paraId="507BADC7" w14:textId="77777777" w:rsidR="004C7180" w:rsidRPr="00150EDC" w:rsidRDefault="00CF0754">
            <w:pPr>
              <w:pStyle w:val="TableParagraph"/>
              <w:spacing w:before="28"/>
              <w:rPr>
                <w:sz w:val="20"/>
              </w:rPr>
            </w:pPr>
            <w:r w:rsidRPr="00150EDC">
              <w:rPr>
                <w:sz w:val="20"/>
              </w:rPr>
              <w:t>Criminal</w:t>
            </w:r>
            <w:r w:rsidRPr="00150EDC">
              <w:rPr>
                <w:spacing w:val="-6"/>
                <w:sz w:val="20"/>
              </w:rPr>
              <w:t xml:space="preserve"> </w:t>
            </w:r>
            <w:r w:rsidRPr="00150EDC">
              <w:rPr>
                <w:sz w:val="20"/>
              </w:rPr>
              <w:t>Justice</w:t>
            </w:r>
            <w:r w:rsidRPr="00150EDC">
              <w:rPr>
                <w:spacing w:val="-3"/>
                <w:sz w:val="20"/>
              </w:rPr>
              <w:t xml:space="preserve"> </w:t>
            </w:r>
            <w:r w:rsidRPr="00150EDC">
              <w:rPr>
                <w:sz w:val="20"/>
              </w:rPr>
              <w:t>(Scotland)</w:t>
            </w:r>
            <w:r w:rsidRPr="00150EDC">
              <w:rPr>
                <w:spacing w:val="-7"/>
                <w:sz w:val="20"/>
              </w:rPr>
              <w:t xml:space="preserve"> </w:t>
            </w:r>
            <w:r w:rsidRPr="00150EDC">
              <w:rPr>
                <w:sz w:val="20"/>
              </w:rPr>
              <w:t>Act</w:t>
            </w:r>
            <w:r w:rsidRPr="00150EDC">
              <w:rPr>
                <w:spacing w:val="-6"/>
                <w:sz w:val="20"/>
              </w:rPr>
              <w:t xml:space="preserve"> </w:t>
            </w:r>
            <w:r w:rsidRPr="00150EDC">
              <w:rPr>
                <w:sz w:val="20"/>
              </w:rPr>
              <w:t>1980,</w:t>
            </w:r>
            <w:r w:rsidRPr="00150EDC">
              <w:rPr>
                <w:spacing w:val="-7"/>
                <w:sz w:val="20"/>
              </w:rPr>
              <w:t xml:space="preserve"> </w:t>
            </w:r>
            <w:r w:rsidRPr="00150EDC">
              <w:rPr>
                <w:spacing w:val="-2"/>
                <w:sz w:val="20"/>
              </w:rPr>
              <w:t>s80(4)</w:t>
            </w:r>
          </w:p>
        </w:tc>
        <w:tc>
          <w:tcPr>
            <w:tcW w:w="7427" w:type="dxa"/>
          </w:tcPr>
          <w:p w14:paraId="33C67A0B" w14:textId="77777777" w:rsidR="004C7180" w:rsidRPr="00150EDC" w:rsidRDefault="00CF0754">
            <w:pPr>
              <w:pStyle w:val="TableParagraph"/>
              <w:spacing w:before="28"/>
              <w:rPr>
                <w:sz w:val="20"/>
              </w:rPr>
            </w:pPr>
            <w:r w:rsidRPr="00150EDC">
              <w:rPr>
                <w:sz w:val="20"/>
              </w:rPr>
              <w:t>Gross</w:t>
            </w:r>
            <w:r w:rsidRPr="00150EDC">
              <w:rPr>
                <w:spacing w:val="-6"/>
                <w:sz w:val="20"/>
              </w:rPr>
              <w:t xml:space="preserve"> </w:t>
            </w:r>
            <w:r w:rsidRPr="00150EDC">
              <w:rPr>
                <w:spacing w:val="-2"/>
                <w:sz w:val="20"/>
              </w:rPr>
              <w:t>indecency</w:t>
            </w:r>
          </w:p>
        </w:tc>
      </w:tr>
      <w:tr w:rsidR="004569EE" w:rsidRPr="007D3144" w14:paraId="553B2AD8" w14:textId="77777777">
        <w:trPr>
          <w:trHeight w:val="255"/>
        </w:trPr>
        <w:tc>
          <w:tcPr>
            <w:tcW w:w="6517" w:type="dxa"/>
          </w:tcPr>
          <w:p w14:paraId="4AA5F6C0" w14:textId="77777777" w:rsidR="004C7180" w:rsidRPr="00150EDC" w:rsidRDefault="00CF0754">
            <w:pPr>
              <w:pStyle w:val="TableParagraph"/>
              <w:rPr>
                <w:sz w:val="20"/>
              </w:rPr>
            </w:pPr>
            <w:r w:rsidRPr="00150EDC">
              <w:rPr>
                <w:sz w:val="20"/>
              </w:rPr>
              <w:t>Criminal</w:t>
            </w:r>
            <w:r w:rsidRPr="00150EDC">
              <w:rPr>
                <w:spacing w:val="-6"/>
                <w:sz w:val="20"/>
              </w:rPr>
              <w:t xml:space="preserve"> </w:t>
            </w:r>
            <w:r w:rsidRPr="00150EDC">
              <w:rPr>
                <w:sz w:val="20"/>
              </w:rPr>
              <w:t>Justice</w:t>
            </w:r>
            <w:r w:rsidRPr="00150EDC">
              <w:rPr>
                <w:spacing w:val="-3"/>
                <w:sz w:val="20"/>
              </w:rPr>
              <w:t xml:space="preserve"> </w:t>
            </w:r>
            <w:r w:rsidRPr="00150EDC">
              <w:rPr>
                <w:sz w:val="20"/>
              </w:rPr>
              <w:t>(Scotland)</w:t>
            </w:r>
            <w:r w:rsidRPr="00150EDC">
              <w:rPr>
                <w:spacing w:val="-7"/>
                <w:sz w:val="20"/>
              </w:rPr>
              <w:t xml:space="preserve"> </w:t>
            </w:r>
            <w:r w:rsidRPr="00150EDC">
              <w:rPr>
                <w:sz w:val="20"/>
              </w:rPr>
              <w:t>Act</w:t>
            </w:r>
            <w:r w:rsidRPr="00150EDC">
              <w:rPr>
                <w:spacing w:val="-6"/>
                <w:sz w:val="20"/>
              </w:rPr>
              <w:t xml:space="preserve"> </w:t>
            </w:r>
            <w:r w:rsidRPr="00150EDC">
              <w:rPr>
                <w:sz w:val="20"/>
              </w:rPr>
              <w:t>1980,</w:t>
            </w:r>
            <w:r w:rsidRPr="00150EDC">
              <w:rPr>
                <w:spacing w:val="-7"/>
                <w:sz w:val="20"/>
              </w:rPr>
              <w:t xml:space="preserve"> </w:t>
            </w:r>
            <w:r w:rsidRPr="00150EDC">
              <w:rPr>
                <w:spacing w:val="-2"/>
                <w:sz w:val="20"/>
              </w:rPr>
              <w:t>s80(9)</w:t>
            </w:r>
          </w:p>
        </w:tc>
        <w:tc>
          <w:tcPr>
            <w:tcW w:w="7427" w:type="dxa"/>
          </w:tcPr>
          <w:p w14:paraId="5BF80741" w14:textId="77777777" w:rsidR="004C7180" w:rsidRPr="00150EDC" w:rsidRDefault="00CF0754">
            <w:pPr>
              <w:pStyle w:val="TableParagraph"/>
              <w:rPr>
                <w:sz w:val="20"/>
              </w:rPr>
            </w:pPr>
            <w:r w:rsidRPr="00150EDC">
              <w:rPr>
                <w:sz w:val="20"/>
              </w:rPr>
              <w:t>Procure</w:t>
            </w:r>
            <w:r w:rsidRPr="00150EDC">
              <w:rPr>
                <w:spacing w:val="-6"/>
                <w:sz w:val="20"/>
              </w:rPr>
              <w:t xml:space="preserve"> </w:t>
            </w:r>
            <w:r w:rsidRPr="00150EDC">
              <w:rPr>
                <w:sz w:val="20"/>
              </w:rPr>
              <w:t>or</w:t>
            </w:r>
            <w:r w:rsidRPr="00150EDC">
              <w:rPr>
                <w:spacing w:val="-5"/>
                <w:sz w:val="20"/>
              </w:rPr>
              <w:t xml:space="preserve"> </w:t>
            </w:r>
            <w:r w:rsidRPr="00150EDC">
              <w:rPr>
                <w:sz w:val="20"/>
              </w:rPr>
              <w:t>attempt</w:t>
            </w:r>
            <w:r w:rsidRPr="00150EDC">
              <w:rPr>
                <w:spacing w:val="-6"/>
                <w:sz w:val="20"/>
              </w:rPr>
              <w:t xml:space="preserve"> </w:t>
            </w:r>
            <w:r w:rsidRPr="00150EDC">
              <w:rPr>
                <w:sz w:val="20"/>
              </w:rPr>
              <w:t>to</w:t>
            </w:r>
            <w:r w:rsidRPr="00150EDC">
              <w:rPr>
                <w:spacing w:val="-5"/>
                <w:sz w:val="20"/>
              </w:rPr>
              <w:t xml:space="preserve"> </w:t>
            </w:r>
            <w:r w:rsidRPr="00150EDC">
              <w:rPr>
                <w:sz w:val="20"/>
              </w:rPr>
              <w:t>procure</w:t>
            </w:r>
            <w:r w:rsidRPr="00150EDC">
              <w:rPr>
                <w:spacing w:val="-1"/>
                <w:sz w:val="20"/>
              </w:rPr>
              <w:t xml:space="preserve"> </w:t>
            </w:r>
            <w:r w:rsidRPr="00150EDC">
              <w:rPr>
                <w:sz w:val="20"/>
              </w:rPr>
              <w:t>homosexual act</w:t>
            </w:r>
            <w:r w:rsidRPr="00150EDC">
              <w:rPr>
                <w:spacing w:val="-4"/>
                <w:sz w:val="20"/>
              </w:rPr>
              <w:t xml:space="preserve"> </w:t>
            </w:r>
            <w:r w:rsidRPr="00150EDC">
              <w:rPr>
                <w:sz w:val="20"/>
              </w:rPr>
              <w:t>between</w:t>
            </w:r>
            <w:r w:rsidRPr="00150EDC">
              <w:rPr>
                <w:spacing w:val="-5"/>
                <w:sz w:val="20"/>
              </w:rPr>
              <w:t xml:space="preserve"> </w:t>
            </w:r>
            <w:r w:rsidRPr="00150EDC">
              <w:rPr>
                <w:sz w:val="20"/>
              </w:rPr>
              <w:t>two</w:t>
            </w:r>
            <w:r w:rsidRPr="00150EDC">
              <w:rPr>
                <w:spacing w:val="-6"/>
                <w:sz w:val="20"/>
              </w:rPr>
              <w:t xml:space="preserve"> </w:t>
            </w:r>
            <w:r w:rsidRPr="00150EDC">
              <w:rPr>
                <w:sz w:val="20"/>
              </w:rPr>
              <w:t xml:space="preserve">other </w:t>
            </w:r>
            <w:r w:rsidRPr="00150EDC">
              <w:rPr>
                <w:spacing w:val="-2"/>
                <w:sz w:val="20"/>
              </w:rPr>
              <w:t>males</w:t>
            </w:r>
          </w:p>
        </w:tc>
      </w:tr>
      <w:tr w:rsidR="004569EE" w:rsidRPr="007D3144" w14:paraId="7A3E9E93" w14:textId="77777777">
        <w:trPr>
          <w:trHeight w:val="255"/>
        </w:trPr>
        <w:tc>
          <w:tcPr>
            <w:tcW w:w="6517" w:type="dxa"/>
          </w:tcPr>
          <w:p w14:paraId="59E77F54" w14:textId="77777777" w:rsidR="004C7180" w:rsidRPr="00150EDC" w:rsidRDefault="00CF0754">
            <w:pPr>
              <w:pStyle w:val="TableParagraph"/>
              <w:rPr>
                <w:sz w:val="20"/>
              </w:rPr>
            </w:pPr>
            <w:r w:rsidRPr="00150EDC">
              <w:rPr>
                <w:sz w:val="20"/>
              </w:rPr>
              <w:t>Criminal</w:t>
            </w:r>
            <w:r w:rsidRPr="00150EDC">
              <w:rPr>
                <w:spacing w:val="-6"/>
                <w:sz w:val="20"/>
              </w:rPr>
              <w:t xml:space="preserve"> </w:t>
            </w:r>
            <w:r w:rsidRPr="00150EDC">
              <w:rPr>
                <w:sz w:val="20"/>
              </w:rPr>
              <w:t>Justice</w:t>
            </w:r>
            <w:r w:rsidRPr="00150EDC">
              <w:rPr>
                <w:spacing w:val="-3"/>
                <w:sz w:val="20"/>
              </w:rPr>
              <w:t xml:space="preserve"> </w:t>
            </w:r>
            <w:r w:rsidRPr="00150EDC">
              <w:rPr>
                <w:sz w:val="20"/>
              </w:rPr>
              <w:t>(Scotland)</w:t>
            </w:r>
            <w:r w:rsidRPr="00150EDC">
              <w:rPr>
                <w:spacing w:val="-7"/>
                <w:sz w:val="20"/>
              </w:rPr>
              <w:t xml:space="preserve"> </w:t>
            </w:r>
            <w:r w:rsidRPr="00150EDC">
              <w:rPr>
                <w:sz w:val="20"/>
              </w:rPr>
              <w:t>Act</w:t>
            </w:r>
            <w:r w:rsidRPr="00150EDC">
              <w:rPr>
                <w:spacing w:val="-6"/>
                <w:sz w:val="20"/>
              </w:rPr>
              <w:t xml:space="preserve"> </w:t>
            </w:r>
            <w:r w:rsidRPr="00150EDC">
              <w:rPr>
                <w:sz w:val="20"/>
              </w:rPr>
              <w:t>2003,</w:t>
            </w:r>
            <w:r w:rsidRPr="00150EDC">
              <w:rPr>
                <w:spacing w:val="-7"/>
                <w:sz w:val="20"/>
              </w:rPr>
              <w:t xml:space="preserve"> </w:t>
            </w:r>
            <w:r w:rsidRPr="00150EDC">
              <w:rPr>
                <w:spacing w:val="-5"/>
                <w:sz w:val="20"/>
              </w:rPr>
              <w:t>s22</w:t>
            </w:r>
          </w:p>
        </w:tc>
        <w:tc>
          <w:tcPr>
            <w:tcW w:w="7427" w:type="dxa"/>
          </w:tcPr>
          <w:p w14:paraId="210C91B5" w14:textId="77777777" w:rsidR="004C7180" w:rsidRPr="00150EDC" w:rsidRDefault="00CF0754">
            <w:pPr>
              <w:pStyle w:val="TableParagraph"/>
              <w:rPr>
                <w:sz w:val="20"/>
              </w:rPr>
            </w:pPr>
            <w:r w:rsidRPr="00150EDC">
              <w:rPr>
                <w:sz w:val="20"/>
              </w:rPr>
              <w:t>Traffic</w:t>
            </w:r>
            <w:r w:rsidRPr="00150EDC">
              <w:rPr>
                <w:spacing w:val="-7"/>
                <w:sz w:val="20"/>
              </w:rPr>
              <w:t xml:space="preserve"> </w:t>
            </w:r>
            <w:r w:rsidRPr="00150EDC">
              <w:rPr>
                <w:sz w:val="20"/>
              </w:rPr>
              <w:t>in</w:t>
            </w:r>
            <w:r w:rsidRPr="00150EDC">
              <w:rPr>
                <w:spacing w:val="-3"/>
                <w:sz w:val="20"/>
              </w:rPr>
              <w:t xml:space="preserve"> </w:t>
            </w:r>
            <w:r w:rsidRPr="00150EDC">
              <w:rPr>
                <w:sz w:val="20"/>
              </w:rPr>
              <w:t>prostitution</w:t>
            </w:r>
            <w:r w:rsidRPr="00150EDC">
              <w:rPr>
                <w:spacing w:val="-8"/>
                <w:sz w:val="20"/>
              </w:rPr>
              <w:t xml:space="preserve"> </w:t>
            </w:r>
            <w:r w:rsidRPr="00150EDC">
              <w:rPr>
                <w:spacing w:val="-5"/>
                <w:sz w:val="20"/>
              </w:rPr>
              <w:t>etc</w:t>
            </w:r>
          </w:p>
        </w:tc>
      </w:tr>
      <w:tr w:rsidR="004569EE" w:rsidRPr="007D3144" w14:paraId="39F296BF" w14:textId="77777777">
        <w:trPr>
          <w:trHeight w:val="255"/>
        </w:trPr>
        <w:tc>
          <w:tcPr>
            <w:tcW w:w="6517" w:type="dxa"/>
          </w:tcPr>
          <w:p w14:paraId="4F5654BA" w14:textId="77777777" w:rsidR="004C7180" w:rsidRPr="00150EDC" w:rsidRDefault="00CF0754">
            <w:pPr>
              <w:pStyle w:val="TableParagraph"/>
              <w:rPr>
                <w:sz w:val="20"/>
              </w:rPr>
            </w:pPr>
            <w:r w:rsidRPr="00150EDC">
              <w:rPr>
                <w:sz w:val="20"/>
              </w:rPr>
              <w:t>Criminal</w:t>
            </w:r>
            <w:r w:rsidRPr="00150EDC">
              <w:rPr>
                <w:spacing w:val="-6"/>
                <w:sz w:val="20"/>
              </w:rPr>
              <w:t xml:space="preserve"> </w:t>
            </w:r>
            <w:r w:rsidRPr="00150EDC">
              <w:rPr>
                <w:sz w:val="20"/>
              </w:rPr>
              <w:t>Justice</w:t>
            </w:r>
            <w:r w:rsidRPr="00150EDC">
              <w:rPr>
                <w:spacing w:val="-7"/>
                <w:sz w:val="20"/>
              </w:rPr>
              <w:t xml:space="preserve"> </w:t>
            </w:r>
            <w:r w:rsidRPr="00150EDC">
              <w:rPr>
                <w:sz w:val="20"/>
              </w:rPr>
              <w:t>Act</w:t>
            </w:r>
            <w:r w:rsidRPr="00150EDC">
              <w:rPr>
                <w:spacing w:val="-3"/>
                <w:sz w:val="20"/>
              </w:rPr>
              <w:t xml:space="preserve"> </w:t>
            </w:r>
            <w:r w:rsidRPr="00150EDC">
              <w:rPr>
                <w:sz w:val="20"/>
              </w:rPr>
              <w:t>(Northern</w:t>
            </w:r>
            <w:r w:rsidRPr="00150EDC">
              <w:rPr>
                <w:spacing w:val="-7"/>
                <w:sz w:val="20"/>
              </w:rPr>
              <w:t xml:space="preserve"> </w:t>
            </w:r>
            <w:r w:rsidRPr="00150EDC">
              <w:rPr>
                <w:sz w:val="20"/>
              </w:rPr>
              <w:t>Ireland)</w:t>
            </w:r>
            <w:r w:rsidRPr="00150EDC">
              <w:rPr>
                <w:spacing w:val="-8"/>
                <w:sz w:val="20"/>
              </w:rPr>
              <w:t xml:space="preserve"> </w:t>
            </w:r>
            <w:r w:rsidRPr="00150EDC">
              <w:rPr>
                <w:sz w:val="20"/>
              </w:rPr>
              <w:t>1945,</w:t>
            </w:r>
            <w:r w:rsidRPr="00150EDC">
              <w:rPr>
                <w:spacing w:val="-7"/>
                <w:sz w:val="20"/>
              </w:rPr>
              <w:t xml:space="preserve"> </w:t>
            </w:r>
            <w:r w:rsidRPr="00150EDC">
              <w:rPr>
                <w:spacing w:val="-5"/>
                <w:sz w:val="20"/>
              </w:rPr>
              <w:t>s25</w:t>
            </w:r>
          </w:p>
        </w:tc>
        <w:tc>
          <w:tcPr>
            <w:tcW w:w="7427" w:type="dxa"/>
          </w:tcPr>
          <w:p w14:paraId="3DFD4FFE" w14:textId="77777777" w:rsidR="004C7180" w:rsidRPr="00150EDC" w:rsidRDefault="00CF0754">
            <w:pPr>
              <w:pStyle w:val="TableParagraph"/>
              <w:rPr>
                <w:sz w:val="20"/>
              </w:rPr>
            </w:pPr>
            <w:r w:rsidRPr="00150EDC">
              <w:rPr>
                <w:sz w:val="20"/>
              </w:rPr>
              <w:t>Child</w:t>
            </w:r>
            <w:r w:rsidRPr="00150EDC">
              <w:rPr>
                <w:spacing w:val="-7"/>
                <w:sz w:val="20"/>
              </w:rPr>
              <w:t xml:space="preserve"> </w:t>
            </w:r>
            <w:r w:rsidRPr="00150EDC">
              <w:rPr>
                <w:spacing w:val="-2"/>
                <w:sz w:val="20"/>
              </w:rPr>
              <w:t>destruction</w:t>
            </w:r>
          </w:p>
        </w:tc>
      </w:tr>
      <w:tr w:rsidR="004569EE" w:rsidRPr="007D3144" w14:paraId="453953EE" w14:textId="77777777">
        <w:trPr>
          <w:trHeight w:val="255"/>
        </w:trPr>
        <w:tc>
          <w:tcPr>
            <w:tcW w:w="6517" w:type="dxa"/>
          </w:tcPr>
          <w:p w14:paraId="2A8DDE34" w14:textId="77777777" w:rsidR="004C7180" w:rsidRPr="00150EDC" w:rsidRDefault="00CF0754">
            <w:pPr>
              <w:pStyle w:val="TableParagraph"/>
              <w:spacing w:before="28"/>
              <w:rPr>
                <w:sz w:val="20"/>
              </w:rPr>
            </w:pPr>
            <w:r w:rsidRPr="00150EDC">
              <w:rPr>
                <w:sz w:val="20"/>
              </w:rPr>
              <w:t>Criminal</w:t>
            </w:r>
            <w:r w:rsidRPr="00150EDC">
              <w:rPr>
                <w:spacing w:val="-6"/>
                <w:sz w:val="20"/>
              </w:rPr>
              <w:t xml:space="preserve"> </w:t>
            </w:r>
            <w:r w:rsidRPr="00150EDC">
              <w:rPr>
                <w:sz w:val="20"/>
              </w:rPr>
              <w:t>Justice</w:t>
            </w:r>
            <w:r w:rsidRPr="00150EDC">
              <w:rPr>
                <w:spacing w:val="-7"/>
                <w:sz w:val="20"/>
              </w:rPr>
              <w:t xml:space="preserve"> </w:t>
            </w:r>
            <w:r w:rsidRPr="00150EDC">
              <w:rPr>
                <w:sz w:val="20"/>
              </w:rPr>
              <w:t>Act</w:t>
            </w:r>
            <w:r w:rsidRPr="00150EDC">
              <w:rPr>
                <w:spacing w:val="-3"/>
                <w:sz w:val="20"/>
              </w:rPr>
              <w:t xml:space="preserve"> </w:t>
            </w:r>
            <w:r w:rsidRPr="00150EDC">
              <w:rPr>
                <w:sz w:val="20"/>
              </w:rPr>
              <w:t>(Northern</w:t>
            </w:r>
            <w:r w:rsidRPr="00150EDC">
              <w:rPr>
                <w:spacing w:val="-7"/>
                <w:sz w:val="20"/>
              </w:rPr>
              <w:t xml:space="preserve"> </w:t>
            </w:r>
            <w:r w:rsidRPr="00150EDC">
              <w:rPr>
                <w:sz w:val="20"/>
              </w:rPr>
              <w:t>Ireland)</w:t>
            </w:r>
            <w:r w:rsidRPr="00150EDC">
              <w:rPr>
                <w:spacing w:val="-8"/>
                <w:sz w:val="20"/>
              </w:rPr>
              <w:t xml:space="preserve"> </w:t>
            </w:r>
            <w:r w:rsidRPr="00150EDC">
              <w:rPr>
                <w:sz w:val="20"/>
              </w:rPr>
              <w:t>1966,</w:t>
            </w:r>
            <w:r w:rsidRPr="00150EDC">
              <w:rPr>
                <w:spacing w:val="-7"/>
                <w:sz w:val="20"/>
              </w:rPr>
              <w:t xml:space="preserve"> </w:t>
            </w:r>
            <w:r w:rsidRPr="00150EDC">
              <w:rPr>
                <w:spacing w:val="-5"/>
                <w:sz w:val="20"/>
              </w:rPr>
              <w:t>s13</w:t>
            </w:r>
          </w:p>
        </w:tc>
        <w:tc>
          <w:tcPr>
            <w:tcW w:w="7427" w:type="dxa"/>
          </w:tcPr>
          <w:p w14:paraId="1F9228F0" w14:textId="77777777" w:rsidR="004C7180" w:rsidRPr="00150EDC" w:rsidRDefault="00CF0754">
            <w:pPr>
              <w:pStyle w:val="TableParagraph"/>
              <w:spacing w:before="28"/>
              <w:rPr>
                <w:sz w:val="20"/>
              </w:rPr>
            </w:pPr>
            <w:r w:rsidRPr="00150EDC">
              <w:rPr>
                <w:sz w:val="20"/>
              </w:rPr>
              <w:t>Aiding</w:t>
            </w:r>
            <w:r w:rsidRPr="00150EDC">
              <w:rPr>
                <w:spacing w:val="-5"/>
                <w:sz w:val="20"/>
              </w:rPr>
              <w:t xml:space="preserve"> </w:t>
            </w:r>
            <w:r w:rsidRPr="00150EDC">
              <w:rPr>
                <w:sz w:val="20"/>
              </w:rPr>
              <w:t>and</w:t>
            </w:r>
            <w:r w:rsidRPr="00150EDC">
              <w:rPr>
                <w:spacing w:val="-4"/>
                <w:sz w:val="20"/>
              </w:rPr>
              <w:t xml:space="preserve"> </w:t>
            </w:r>
            <w:r w:rsidRPr="00150EDC">
              <w:rPr>
                <w:sz w:val="20"/>
              </w:rPr>
              <w:t>abetting</w:t>
            </w:r>
            <w:r w:rsidRPr="00150EDC">
              <w:rPr>
                <w:spacing w:val="-4"/>
                <w:sz w:val="20"/>
              </w:rPr>
              <w:t xml:space="preserve"> </w:t>
            </w:r>
            <w:r w:rsidRPr="00150EDC">
              <w:rPr>
                <w:sz w:val="20"/>
              </w:rPr>
              <w:t>suicide</w:t>
            </w:r>
            <w:r w:rsidRPr="00150EDC">
              <w:rPr>
                <w:spacing w:val="-4"/>
                <w:sz w:val="20"/>
              </w:rPr>
              <w:t xml:space="preserve"> </w:t>
            </w:r>
            <w:r w:rsidRPr="00150EDC">
              <w:rPr>
                <w:sz w:val="20"/>
              </w:rPr>
              <w:t>of</w:t>
            </w:r>
            <w:r w:rsidRPr="00150EDC">
              <w:rPr>
                <w:spacing w:val="-4"/>
                <w:sz w:val="20"/>
              </w:rPr>
              <w:t xml:space="preserve"> </w:t>
            </w:r>
            <w:r w:rsidRPr="00150EDC">
              <w:rPr>
                <w:sz w:val="20"/>
              </w:rPr>
              <w:t>a</w:t>
            </w:r>
            <w:r w:rsidRPr="00150EDC">
              <w:rPr>
                <w:spacing w:val="-4"/>
                <w:sz w:val="20"/>
              </w:rPr>
              <w:t xml:space="preserve"> </w:t>
            </w:r>
            <w:r w:rsidRPr="00150EDC">
              <w:rPr>
                <w:sz w:val="20"/>
              </w:rPr>
              <w:t>child</w:t>
            </w:r>
            <w:r w:rsidRPr="00150EDC">
              <w:rPr>
                <w:spacing w:val="1"/>
                <w:sz w:val="20"/>
              </w:rPr>
              <w:t xml:space="preserve"> </w:t>
            </w:r>
            <w:r w:rsidRPr="00150EDC">
              <w:rPr>
                <w:sz w:val="20"/>
              </w:rPr>
              <w:t>or</w:t>
            </w:r>
            <w:r w:rsidRPr="00150EDC">
              <w:rPr>
                <w:spacing w:val="-4"/>
                <w:sz w:val="20"/>
              </w:rPr>
              <w:t xml:space="preserve"> </w:t>
            </w:r>
            <w:r w:rsidRPr="00150EDC">
              <w:rPr>
                <w:sz w:val="20"/>
              </w:rPr>
              <w:t>young</w:t>
            </w:r>
            <w:r w:rsidRPr="00150EDC">
              <w:rPr>
                <w:spacing w:val="-4"/>
                <w:sz w:val="20"/>
              </w:rPr>
              <w:t xml:space="preserve"> </w:t>
            </w:r>
            <w:r w:rsidRPr="00150EDC">
              <w:rPr>
                <w:spacing w:val="-2"/>
                <w:sz w:val="20"/>
              </w:rPr>
              <w:t>person</w:t>
            </w:r>
          </w:p>
        </w:tc>
      </w:tr>
      <w:tr w:rsidR="004569EE" w:rsidRPr="007D3144" w14:paraId="525922F3" w14:textId="77777777">
        <w:trPr>
          <w:trHeight w:val="255"/>
        </w:trPr>
        <w:tc>
          <w:tcPr>
            <w:tcW w:w="6517" w:type="dxa"/>
          </w:tcPr>
          <w:p w14:paraId="4355BC02" w14:textId="77777777" w:rsidR="004C7180" w:rsidRPr="00150EDC" w:rsidRDefault="00CF0754">
            <w:pPr>
              <w:pStyle w:val="TableParagraph"/>
              <w:rPr>
                <w:sz w:val="20"/>
              </w:rPr>
            </w:pPr>
            <w:r w:rsidRPr="00150EDC">
              <w:rPr>
                <w:sz w:val="20"/>
              </w:rPr>
              <w:t>Criminal</w:t>
            </w:r>
            <w:r w:rsidRPr="00150EDC">
              <w:rPr>
                <w:spacing w:val="-7"/>
                <w:sz w:val="20"/>
              </w:rPr>
              <w:t xml:space="preserve"> </w:t>
            </w:r>
            <w:r w:rsidRPr="00150EDC">
              <w:rPr>
                <w:sz w:val="20"/>
              </w:rPr>
              <w:t>Justice</w:t>
            </w:r>
            <w:r w:rsidRPr="00150EDC">
              <w:rPr>
                <w:spacing w:val="-7"/>
                <w:sz w:val="20"/>
              </w:rPr>
              <w:t xml:space="preserve"> </w:t>
            </w:r>
            <w:r w:rsidRPr="00150EDC">
              <w:rPr>
                <w:sz w:val="20"/>
              </w:rPr>
              <w:t>Act</w:t>
            </w:r>
            <w:r w:rsidRPr="00150EDC">
              <w:rPr>
                <w:spacing w:val="-4"/>
                <w:sz w:val="20"/>
              </w:rPr>
              <w:t xml:space="preserve"> </w:t>
            </w:r>
            <w:r w:rsidRPr="00150EDC">
              <w:rPr>
                <w:sz w:val="20"/>
              </w:rPr>
              <w:t>1988,</w:t>
            </w:r>
            <w:r w:rsidRPr="00150EDC">
              <w:rPr>
                <w:spacing w:val="-2"/>
                <w:sz w:val="20"/>
              </w:rPr>
              <w:t xml:space="preserve"> </w:t>
            </w:r>
            <w:r w:rsidRPr="00150EDC">
              <w:rPr>
                <w:spacing w:val="-4"/>
                <w:sz w:val="20"/>
              </w:rPr>
              <w:t>s134</w:t>
            </w:r>
          </w:p>
        </w:tc>
        <w:tc>
          <w:tcPr>
            <w:tcW w:w="7427" w:type="dxa"/>
          </w:tcPr>
          <w:p w14:paraId="4B1A7DCE" w14:textId="77777777" w:rsidR="004C7180" w:rsidRPr="00150EDC" w:rsidRDefault="00CF0754">
            <w:pPr>
              <w:pStyle w:val="TableParagraph"/>
              <w:rPr>
                <w:sz w:val="20"/>
              </w:rPr>
            </w:pPr>
            <w:r w:rsidRPr="00150EDC">
              <w:rPr>
                <w:spacing w:val="-2"/>
                <w:sz w:val="20"/>
              </w:rPr>
              <w:t>Torture</w:t>
            </w:r>
          </w:p>
        </w:tc>
      </w:tr>
      <w:tr w:rsidR="004569EE" w:rsidRPr="007D3144" w14:paraId="29E25F6E" w14:textId="77777777">
        <w:trPr>
          <w:trHeight w:val="255"/>
        </w:trPr>
        <w:tc>
          <w:tcPr>
            <w:tcW w:w="6517" w:type="dxa"/>
          </w:tcPr>
          <w:p w14:paraId="409E9952" w14:textId="77777777" w:rsidR="004C7180" w:rsidRPr="00150EDC" w:rsidRDefault="00CF0754">
            <w:pPr>
              <w:pStyle w:val="TableParagraph"/>
              <w:rPr>
                <w:sz w:val="20"/>
              </w:rPr>
            </w:pPr>
            <w:r w:rsidRPr="00150EDC">
              <w:rPr>
                <w:sz w:val="20"/>
              </w:rPr>
              <w:t>Criminal</w:t>
            </w:r>
            <w:r w:rsidRPr="00150EDC">
              <w:rPr>
                <w:spacing w:val="-7"/>
                <w:sz w:val="20"/>
              </w:rPr>
              <w:t xml:space="preserve"> </w:t>
            </w:r>
            <w:r w:rsidRPr="00150EDC">
              <w:rPr>
                <w:sz w:val="20"/>
              </w:rPr>
              <w:t>Justice</w:t>
            </w:r>
            <w:r w:rsidRPr="00150EDC">
              <w:rPr>
                <w:spacing w:val="-7"/>
                <w:sz w:val="20"/>
              </w:rPr>
              <w:t xml:space="preserve"> </w:t>
            </w:r>
            <w:r w:rsidRPr="00150EDC">
              <w:rPr>
                <w:sz w:val="20"/>
              </w:rPr>
              <w:t>Act</w:t>
            </w:r>
            <w:r w:rsidRPr="00150EDC">
              <w:rPr>
                <w:spacing w:val="-4"/>
                <w:sz w:val="20"/>
              </w:rPr>
              <w:t xml:space="preserve"> </w:t>
            </w:r>
            <w:r w:rsidRPr="00150EDC">
              <w:rPr>
                <w:sz w:val="20"/>
              </w:rPr>
              <w:t>1988,</w:t>
            </w:r>
            <w:r w:rsidRPr="00150EDC">
              <w:rPr>
                <w:spacing w:val="-2"/>
                <w:sz w:val="20"/>
              </w:rPr>
              <w:t xml:space="preserve"> </w:t>
            </w:r>
            <w:r w:rsidRPr="00150EDC">
              <w:rPr>
                <w:spacing w:val="-4"/>
                <w:sz w:val="20"/>
              </w:rPr>
              <w:t>s160</w:t>
            </w:r>
          </w:p>
        </w:tc>
        <w:tc>
          <w:tcPr>
            <w:tcW w:w="7427" w:type="dxa"/>
          </w:tcPr>
          <w:p w14:paraId="1F6CBED9" w14:textId="77777777" w:rsidR="004C7180" w:rsidRPr="00150EDC" w:rsidRDefault="00CF0754">
            <w:pPr>
              <w:pStyle w:val="TableParagraph"/>
              <w:rPr>
                <w:sz w:val="20"/>
              </w:rPr>
            </w:pPr>
            <w:r w:rsidRPr="00150EDC">
              <w:rPr>
                <w:sz w:val="20"/>
              </w:rPr>
              <w:t>Possession</w:t>
            </w:r>
            <w:r w:rsidRPr="00150EDC">
              <w:rPr>
                <w:spacing w:val="-8"/>
                <w:sz w:val="20"/>
              </w:rPr>
              <w:t xml:space="preserve"> </w:t>
            </w:r>
            <w:r w:rsidRPr="00150EDC">
              <w:rPr>
                <w:sz w:val="20"/>
              </w:rPr>
              <w:t>of</w:t>
            </w:r>
            <w:r w:rsidRPr="00150EDC">
              <w:rPr>
                <w:spacing w:val="-7"/>
                <w:sz w:val="20"/>
              </w:rPr>
              <w:t xml:space="preserve"> </w:t>
            </w:r>
            <w:r w:rsidRPr="00150EDC">
              <w:rPr>
                <w:sz w:val="20"/>
              </w:rPr>
              <w:t>indecent</w:t>
            </w:r>
            <w:r w:rsidRPr="00150EDC">
              <w:rPr>
                <w:spacing w:val="-2"/>
                <w:sz w:val="20"/>
              </w:rPr>
              <w:t xml:space="preserve"> </w:t>
            </w:r>
            <w:r w:rsidRPr="00150EDC">
              <w:rPr>
                <w:sz w:val="20"/>
              </w:rPr>
              <w:t>photograph</w:t>
            </w:r>
            <w:r w:rsidRPr="00150EDC">
              <w:rPr>
                <w:spacing w:val="-7"/>
                <w:sz w:val="20"/>
              </w:rPr>
              <w:t xml:space="preserve"> </w:t>
            </w:r>
            <w:r w:rsidRPr="00150EDC">
              <w:rPr>
                <w:sz w:val="20"/>
              </w:rPr>
              <w:t>of</w:t>
            </w:r>
            <w:r w:rsidRPr="00150EDC">
              <w:rPr>
                <w:spacing w:val="-7"/>
                <w:sz w:val="20"/>
              </w:rPr>
              <w:t xml:space="preserve"> </w:t>
            </w:r>
            <w:r w:rsidRPr="00150EDC">
              <w:rPr>
                <w:spacing w:val="-4"/>
                <w:sz w:val="20"/>
              </w:rPr>
              <w:t>child</w:t>
            </w:r>
          </w:p>
        </w:tc>
      </w:tr>
      <w:tr w:rsidR="004569EE" w:rsidRPr="007D3144" w14:paraId="2925A4D8" w14:textId="77777777">
        <w:trPr>
          <w:trHeight w:val="255"/>
        </w:trPr>
        <w:tc>
          <w:tcPr>
            <w:tcW w:w="6517" w:type="dxa"/>
          </w:tcPr>
          <w:p w14:paraId="6C73B535" w14:textId="77777777" w:rsidR="004C7180" w:rsidRPr="00150EDC" w:rsidRDefault="00CF0754">
            <w:pPr>
              <w:pStyle w:val="TableParagraph"/>
              <w:rPr>
                <w:sz w:val="20"/>
              </w:rPr>
            </w:pPr>
            <w:r w:rsidRPr="00150EDC">
              <w:rPr>
                <w:sz w:val="20"/>
              </w:rPr>
              <w:t>Criminal</w:t>
            </w:r>
            <w:r w:rsidRPr="00150EDC">
              <w:rPr>
                <w:spacing w:val="-7"/>
                <w:sz w:val="20"/>
              </w:rPr>
              <w:t xml:space="preserve"> </w:t>
            </w:r>
            <w:r w:rsidRPr="00150EDC">
              <w:rPr>
                <w:sz w:val="20"/>
              </w:rPr>
              <w:t>Justice</w:t>
            </w:r>
            <w:r w:rsidRPr="00150EDC">
              <w:rPr>
                <w:spacing w:val="-7"/>
                <w:sz w:val="20"/>
              </w:rPr>
              <w:t xml:space="preserve"> </w:t>
            </w:r>
            <w:r w:rsidRPr="00150EDC">
              <w:rPr>
                <w:sz w:val="20"/>
              </w:rPr>
              <w:t>Act</w:t>
            </w:r>
            <w:r w:rsidRPr="00150EDC">
              <w:rPr>
                <w:spacing w:val="-4"/>
                <w:sz w:val="20"/>
              </w:rPr>
              <w:t xml:space="preserve"> </w:t>
            </w:r>
            <w:r w:rsidRPr="00150EDC">
              <w:rPr>
                <w:sz w:val="20"/>
              </w:rPr>
              <w:t>2001,</w:t>
            </w:r>
            <w:r w:rsidRPr="00150EDC">
              <w:rPr>
                <w:spacing w:val="-2"/>
                <w:sz w:val="20"/>
              </w:rPr>
              <w:t xml:space="preserve"> </w:t>
            </w:r>
            <w:r w:rsidRPr="00150EDC">
              <w:rPr>
                <w:sz w:val="20"/>
              </w:rPr>
              <w:t>schedule</w:t>
            </w:r>
            <w:r w:rsidRPr="00150EDC">
              <w:rPr>
                <w:spacing w:val="-7"/>
                <w:sz w:val="20"/>
              </w:rPr>
              <w:t xml:space="preserve"> </w:t>
            </w:r>
            <w:r w:rsidRPr="00150EDC">
              <w:rPr>
                <w:spacing w:val="-10"/>
                <w:sz w:val="20"/>
              </w:rPr>
              <w:t>3</w:t>
            </w:r>
          </w:p>
        </w:tc>
        <w:tc>
          <w:tcPr>
            <w:tcW w:w="7427" w:type="dxa"/>
          </w:tcPr>
          <w:p w14:paraId="2DFB9F93" w14:textId="77777777" w:rsidR="004C7180" w:rsidRPr="00150EDC" w:rsidRDefault="00CF0754">
            <w:pPr>
              <w:pStyle w:val="TableParagraph"/>
              <w:rPr>
                <w:sz w:val="20"/>
              </w:rPr>
            </w:pPr>
            <w:r w:rsidRPr="00150EDC">
              <w:rPr>
                <w:sz w:val="20"/>
              </w:rPr>
              <w:t>Possess,</w:t>
            </w:r>
            <w:r w:rsidRPr="00150EDC">
              <w:rPr>
                <w:spacing w:val="-5"/>
                <w:sz w:val="20"/>
              </w:rPr>
              <w:t xml:space="preserve"> </w:t>
            </w:r>
            <w:r w:rsidRPr="00150EDC">
              <w:rPr>
                <w:sz w:val="20"/>
              </w:rPr>
              <w:t>make,</w:t>
            </w:r>
            <w:r w:rsidRPr="00150EDC">
              <w:rPr>
                <w:spacing w:val="-1"/>
                <w:sz w:val="20"/>
              </w:rPr>
              <w:t xml:space="preserve"> </w:t>
            </w:r>
            <w:r w:rsidRPr="00150EDC">
              <w:rPr>
                <w:sz w:val="20"/>
              </w:rPr>
              <w:t>distribute</w:t>
            </w:r>
            <w:r w:rsidRPr="00150EDC">
              <w:rPr>
                <w:spacing w:val="-6"/>
                <w:sz w:val="20"/>
              </w:rPr>
              <w:t xml:space="preserve"> </w:t>
            </w:r>
            <w:r w:rsidRPr="00150EDC">
              <w:rPr>
                <w:sz w:val="20"/>
              </w:rPr>
              <w:t>etc,</w:t>
            </w:r>
            <w:r w:rsidRPr="00150EDC">
              <w:rPr>
                <w:spacing w:val="-5"/>
                <w:sz w:val="20"/>
              </w:rPr>
              <w:t xml:space="preserve"> </w:t>
            </w:r>
            <w:r w:rsidRPr="00150EDC">
              <w:rPr>
                <w:sz w:val="20"/>
              </w:rPr>
              <w:t>indecent</w:t>
            </w:r>
            <w:r w:rsidRPr="00150EDC">
              <w:rPr>
                <w:spacing w:val="-6"/>
                <w:sz w:val="20"/>
              </w:rPr>
              <w:t xml:space="preserve"> </w:t>
            </w:r>
            <w:r w:rsidRPr="00150EDC">
              <w:rPr>
                <w:sz w:val="20"/>
              </w:rPr>
              <w:t>images</w:t>
            </w:r>
            <w:r w:rsidRPr="00150EDC">
              <w:rPr>
                <w:spacing w:val="-5"/>
                <w:sz w:val="20"/>
              </w:rPr>
              <w:t xml:space="preserve"> </w:t>
            </w:r>
            <w:r w:rsidRPr="00150EDC">
              <w:rPr>
                <w:sz w:val="20"/>
              </w:rPr>
              <w:t>of</w:t>
            </w:r>
            <w:r w:rsidRPr="00150EDC">
              <w:rPr>
                <w:spacing w:val="-5"/>
                <w:sz w:val="20"/>
              </w:rPr>
              <w:t xml:space="preserve"> </w:t>
            </w:r>
            <w:r w:rsidRPr="00150EDC">
              <w:rPr>
                <w:spacing w:val="-2"/>
                <w:sz w:val="20"/>
              </w:rPr>
              <w:t>children</w:t>
            </w:r>
          </w:p>
        </w:tc>
      </w:tr>
      <w:tr w:rsidR="004569EE" w:rsidRPr="007D3144" w14:paraId="6DB6626E" w14:textId="77777777">
        <w:trPr>
          <w:trHeight w:val="255"/>
        </w:trPr>
        <w:tc>
          <w:tcPr>
            <w:tcW w:w="6517" w:type="dxa"/>
          </w:tcPr>
          <w:p w14:paraId="2431AF2A" w14:textId="77777777" w:rsidR="004C7180" w:rsidRPr="00150EDC" w:rsidRDefault="00CF0754">
            <w:pPr>
              <w:pStyle w:val="TableParagraph"/>
              <w:rPr>
                <w:sz w:val="20"/>
              </w:rPr>
            </w:pPr>
            <w:r w:rsidRPr="00150EDC">
              <w:rPr>
                <w:sz w:val="20"/>
              </w:rPr>
              <w:t>Criminal</w:t>
            </w:r>
            <w:r w:rsidRPr="00150EDC">
              <w:rPr>
                <w:spacing w:val="-5"/>
                <w:sz w:val="20"/>
              </w:rPr>
              <w:t xml:space="preserve"> </w:t>
            </w:r>
            <w:r w:rsidRPr="00150EDC">
              <w:rPr>
                <w:sz w:val="20"/>
              </w:rPr>
              <w:t>Justice</w:t>
            </w:r>
            <w:r w:rsidRPr="00150EDC">
              <w:rPr>
                <w:spacing w:val="-6"/>
                <w:sz w:val="20"/>
              </w:rPr>
              <w:t xml:space="preserve"> </w:t>
            </w:r>
            <w:r w:rsidRPr="00150EDC">
              <w:rPr>
                <w:sz w:val="20"/>
              </w:rPr>
              <w:t>And</w:t>
            </w:r>
            <w:r w:rsidRPr="00150EDC">
              <w:rPr>
                <w:spacing w:val="-7"/>
                <w:sz w:val="20"/>
              </w:rPr>
              <w:t xml:space="preserve"> </w:t>
            </w:r>
            <w:r w:rsidRPr="00150EDC">
              <w:rPr>
                <w:sz w:val="20"/>
              </w:rPr>
              <w:t>Court</w:t>
            </w:r>
            <w:r w:rsidRPr="00150EDC">
              <w:rPr>
                <w:spacing w:val="-1"/>
                <w:sz w:val="20"/>
              </w:rPr>
              <w:t xml:space="preserve"> </w:t>
            </w:r>
            <w:r w:rsidRPr="00150EDC">
              <w:rPr>
                <w:sz w:val="20"/>
              </w:rPr>
              <w:t>Services</w:t>
            </w:r>
            <w:r w:rsidRPr="00150EDC">
              <w:rPr>
                <w:spacing w:val="-5"/>
                <w:sz w:val="20"/>
              </w:rPr>
              <w:t xml:space="preserve"> </w:t>
            </w:r>
            <w:r w:rsidRPr="00150EDC">
              <w:rPr>
                <w:sz w:val="20"/>
              </w:rPr>
              <w:t>Act</w:t>
            </w:r>
            <w:r w:rsidRPr="00150EDC">
              <w:rPr>
                <w:spacing w:val="-6"/>
                <w:sz w:val="20"/>
              </w:rPr>
              <w:t xml:space="preserve"> </w:t>
            </w:r>
            <w:r w:rsidRPr="00150EDC">
              <w:rPr>
                <w:sz w:val="20"/>
              </w:rPr>
              <w:t>2000,</w:t>
            </w:r>
            <w:r w:rsidRPr="00150EDC">
              <w:rPr>
                <w:spacing w:val="-6"/>
                <w:sz w:val="20"/>
              </w:rPr>
              <w:t xml:space="preserve"> </w:t>
            </w:r>
            <w:r w:rsidRPr="00150EDC">
              <w:rPr>
                <w:spacing w:val="-5"/>
                <w:sz w:val="20"/>
              </w:rPr>
              <w:t>s35</w:t>
            </w:r>
          </w:p>
        </w:tc>
        <w:tc>
          <w:tcPr>
            <w:tcW w:w="7427" w:type="dxa"/>
          </w:tcPr>
          <w:p w14:paraId="211996AE" w14:textId="77777777" w:rsidR="004C7180" w:rsidRPr="00150EDC" w:rsidRDefault="00CF0754">
            <w:pPr>
              <w:pStyle w:val="TableParagraph"/>
              <w:rPr>
                <w:sz w:val="20"/>
              </w:rPr>
            </w:pPr>
            <w:r w:rsidRPr="00150EDC">
              <w:rPr>
                <w:sz w:val="20"/>
              </w:rPr>
              <w:t>Person</w:t>
            </w:r>
            <w:r w:rsidRPr="00150EDC">
              <w:rPr>
                <w:spacing w:val="-6"/>
                <w:sz w:val="20"/>
              </w:rPr>
              <w:t xml:space="preserve"> </w:t>
            </w:r>
            <w:r w:rsidRPr="00150EDC">
              <w:rPr>
                <w:sz w:val="20"/>
              </w:rPr>
              <w:t>working,</w:t>
            </w:r>
            <w:r w:rsidRPr="00150EDC">
              <w:rPr>
                <w:spacing w:val="-5"/>
                <w:sz w:val="20"/>
              </w:rPr>
              <w:t xml:space="preserve"> </w:t>
            </w:r>
            <w:r w:rsidRPr="00150EDC">
              <w:rPr>
                <w:sz w:val="20"/>
              </w:rPr>
              <w:t>etc,</w:t>
            </w:r>
            <w:r w:rsidRPr="00150EDC">
              <w:rPr>
                <w:spacing w:val="-5"/>
                <w:sz w:val="20"/>
              </w:rPr>
              <w:t xml:space="preserve"> </w:t>
            </w:r>
            <w:r w:rsidRPr="00150EDC">
              <w:rPr>
                <w:sz w:val="20"/>
              </w:rPr>
              <w:t>in</w:t>
            </w:r>
            <w:r w:rsidRPr="00150EDC">
              <w:rPr>
                <w:spacing w:val="-5"/>
                <w:sz w:val="20"/>
              </w:rPr>
              <w:t xml:space="preserve"> </w:t>
            </w:r>
            <w:r w:rsidRPr="00150EDC">
              <w:rPr>
                <w:sz w:val="20"/>
              </w:rPr>
              <w:t>regulated</w:t>
            </w:r>
            <w:r w:rsidRPr="00150EDC">
              <w:rPr>
                <w:spacing w:val="-5"/>
                <w:sz w:val="20"/>
              </w:rPr>
              <w:t xml:space="preserve"> </w:t>
            </w:r>
            <w:r w:rsidRPr="00150EDC">
              <w:rPr>
                <w:sz w:val="20"/>
              </w:rPr>
              <w:t>position</w:t>
            </w:r>
            <w:r w:rsidRPr="00150EDC">
              <w:rPr>
                <w:spacing w:val="-5"/>
                <w:sz w:val="20"/>
              </w:rPr>
              <w:t xml:space="preserve"> </w:t>
            </w:r>
            <w:r w:rsidRPr="00150EDC">
              <w:rPr>
                <w:sz w:val="20"/>
              </w:rPr>
              <w:t>whilst</w:t>
            </w:r>
            <w:r w:rsidRPr="00150EDC">
              <w:rPr>
                <w:spacing w:val="-4"/>
                <w:sz w:val="20"/>
              </w:rPr>
              <w:t xml:space="preserve"> </w:t>
            </w:r>
            <w:r w:rsidRPr="00150EDC">
              <w:rPr>
                <w:spacing w:val="-2"/>
                <w:sz w:val="20"/>
              </w:rPr>
              <w:t>disqualified</w:t>
            </w:r>
          </w:p>
        </w:tc>
      </w:tr>
      <w:tr w:rsidR="004569EE" w:rsidRPr="007D3144" w14:paraId="5AD15368" w14:textId="77777777">
        <w:trPr>
          <w:trHeight w:val="255"/>
        </w:trPr>
        <w:tc>
          <w:tcPr>
            <w:tcW w:w="6517" w:type="dxa"/>
          </w:tcPr>
          <w:p w14:paraId="08EB1245" w14:textId="77777777" w:rsidR="004C7180" w:rsidRPr="00150EDC" w:rsidRDefault="00CF0754">
            <w:pPr>
              <w:pStyle w:val="TableParagraph"/>
              <w:rPr>
                <w:sz w:val="20"/>
              </w:rPr>
            </w:pPr>
            <w:r w:rsidRPr="00150EDC">
              <w:rPr>
                <w:sz w:val="20"/>
              </w:rPr>
              <w:t>Criminal</w:t>
            </w:r>
            <w:r w:rsidRPr="00150EDC">
              <w:rPr>
                <w:spacing w:val="-6"/>
                <w:sz w:val="20"/>
              </w:rPr>
              <w:t xml:space="preserve"> </w:t>
            </w:r>
            <w:r w:rsidRPr="00150EDC">
              <w:rPr>
                <w:sz w:val="20"/>
              </w:rPr>
              <w:t>Justice</w:t>
            </w:r>
            <w:r w:rsidRPr="00150EDC">
              <w:rPr>
                <w:spacing w:val="-2"/>
                <w:sz w:val="20"/>
              </w:rPr>
              <w:t xml:space="preserve"> </w:t>
            </w:r>
            <w:r w:rsidRPr="00150EDC">
              <w:rPr>
                <w:sz w:val="20"/>
              </w:rPr>
              <w:t>and</w:t>
            </w:r>
            <w:r w:rsidRPr="00150EDC">
              <w:rPr>
                <w:spacing w:val="-7"/>
                <w:sz w:val="20"/>
              </w:rPr>
              <w:t xml:space="preserve"> </w:t>
            </w:r>
            <w:r w:rsidRPr="00150EDC">
              <w:rPr>
                <w:sz w:val="20"/>
              </w:rPr>
              <w:t>Immigration</w:t>
            </w:r>
            <w:r w:rsidRPr="00150EDC">
              <w:rPr>
                <w:spacing w:val="-7"/>
                <w:sz w:val="20"/>
              </w:rPr>
              <w:t xml:space="preserve"> </w:t>
            </w:r>
            <w:r w:rsidRPr="00150EDC">
              <w:rPr>
                <w:sz w:val="20"/>
              </w:rPr>
              <w:t>Act</w:t>
            </w:r>
            <w:r w:rsidRPr="00150EDC">
              <w:rPr>
                <w:spacing w:val="-6"/>
                <w:sz w:val="20"/>
              </w:rPr>
              <w:t xml:space="preserve"> </w:t>
            </w:r>
            <w:r w:rsidRPr="00150EDC">
              <w:rPr>
                <w:sz w:val="20"/>
              </w:rPr>
              <w:t>2008,</w:t>
            </w:r>
            <w:r w:rsidRPr="00150EDC">
              <w:rPr>
                <w:spacing w:val="-6"/>
                <w:sz w:val="20"/>
              </w:rPr>
              <w:t xml:space="preserve"> </w:t>
            </w:r>
            <w:r w:rsidRPr="00150EDC">
              <w:rPr>
                <w:spacing w:val="-5"/>
                <w:sz w:val="20"/>
              </w:rPr>
              <w:t>s63</w:t>
            </w:r>
          </w:p>
        </w:tc>
        <w:tc>
          <w:tcPr>
            <w:tcW w:w="7427" w:type="dxa"/>
          </w:tcPr>
          <w:p w14:paraId="3D28A1BB" w14:textId="77777777" w:rsidR="004C7180" w:rsidRPr="00150EDC" w:rsidRDefault="00CF0754">
            <w:pPr>
              <w:pStyle w:val="TableParagraph"/>
              <w:rPr>
                <w:sz w:val="20"/>
              </w:rPr>
            </w:pPr>
            <w:r w:rsidRPr="00150EDC">
              <w:rPr>
                <w:sz w:val="20"/>
              </w:rPr>
              <w:t>Possession</w:t>
            </w:r>
            <w:r w:rsidRPr="00150EDC">
              <w:rPr>
                <w:spacing w:val="-7"/>
                <w:sz w:val="20"/>
              </w:rPr>
              <w:t xml:space="preserve"> </w:t>
            </w:r>
            <w:r w:rsidRPr="00150EDC">
              <w:rPr>
                <w:sz w:val="20"/>
              </w:rPr>
              <w:t>of</w:t>
            </w:r>
            <w:r w:rsidRPr="00150EDC">
              <w:rPr>
                <w:spacing w:val="-7"/>
                <w:sz w:val="20"/>
              </w:rPr>
              <w:t xml:space="preserve"> </w:t>
            </w:r>
            <w:r w:rsidRPr="00150EDC">
              <w:rPr>
                <w:sz w:val="20"/>
              </w:rPr>
              <w:t>extreme</w:t>
            </w:r>
            <w:r w:rsidRPr="00150EDC">
              <w:rPr>
                <w:spacing w:val="-7"/>
                <w:sz w:val="20"/>
              </w:rPr>
              <w:t xml:space="preserve"> </w:t>
            </w:r>
            <w:r w:rsidRPr="00150EDC">
              <w:rPr>
                <w:sz w:val="20"/>
              </w:rPr>
              <w:t>pornographic</w:t>
            </w:r>
            <w:r w:rsidRPr="00150EDC">
              <w:rPr>
                <w:spacing w:val="-5"/>
                <w:sz w:val="20"/>
              </w:rPr>
              <w:t xml:space="preserve"> </w:t>
            </w:r>
            <w:r w:rsidRPr="00150EDC">
              <w:rPr>
                <w:spacing w:val="-4"/>
                <w:sz w:val="20"/>
              </w:rPr>
              <w:t>image</w:t>
            </w:r>
          </w:p>
        </w:tc>
      </w:tr>
      <w:tr w:rsidR="004569EE" w:rsidRPr="007D3144" w14:paraId="4FAD921F" w14:textId="77777777">
        <w:trPr>
          <w:trHeight w:val="255"/>
        </w:trPr>
        <w:tc>
          <w:tcPr>
            <w:tcW w:w="6517" w:type="dxa"/>
          </w:tcPr>
          <w:p w14:paraId="2B7999C5" w14:textId="77777777" w:rsidR="004C7180" w:rsidRPr="00150EDC" w:rsidRDefault="00CF0754">
            <w:pPr>
              <w:pStyle w:val="TableParagraph"/>
              <w:rPr>
                <w:sz w:val="20"/>
              </w:rPr>
            </w:pPr>
            <w:r w:rsidRPr="00150EDC">
              <w:rPr>
                <w:sz w:val="20"/>
              </w:rPr>
              <w:t>Criminal</w:t>
            </w:r>
            <w:r w:rsidRPr="00150EDC">
              <w:rPr>
                <w:spacing w:val="-7"/>
                <w:sz w:val="20"/>
              </w:rPr>
              <w:t xml:space="preserve"> </w:t>
            </w:r>
            <w:r w:rsidRPr="00150EDC">
              <w:rPr>
                <w:sz w:val="20"/>
              </w:rPr>
              <w:t>Justice</w:t>
            </w:r>
            <w:r w:rsidRPr="00150EDC">
              <w:rPr>
                <w:spacing w:val="-6"/>
                <w:sz w:val="20"/>
              </w:rPr>
              <w:t xml:space="preserve"> </w:t>
            </w:r>
            <w:r w:rsidRPr="00150EDC">
              <w:rPr>
                <w:sz w:val="20"/>
              </w:rPr>
              <w:t>And</w:t>
            </w:r>
            <w:r w:rsidRPr="00150EDC">
              <w:rPr>
                <w:spacing w:val="-6"/>
                <w:sz w:val="20"/>
              </w:rPr>
              <w:t xml:space="preserve"> </w:t>
            </w:r>
            <w:r w:rsidRPr="00150EDC">
              <w:rPr>
                <w:sz w:val="20"/>
              </w:rPr>
              <w:t>Licensing</w:t>
            </w:r>
            <w:r w:rsidRPr="00150EDC">
              <w:rPr>
                <w:spacing w:val="-7"/>
                <w:sz w:val="20"/>
              </w:rPr>
              <w:t xml:space="preserve"> </w:t>
            </w:r>
            <w:r w:rsidRPr="00150EDC">
              <w:rPr>
                <w:sz w:val="20"/>
              </w:rPr>
              <w:t>(Scotland)</w:t>
            </w:r>
            <w:r w:rsidRPr="00150EDC">
              <w:rPr>
                <w:spacing w:val="-6"/>
                <w:sz w:val="20"/>
              </w:rPr>
              <w:t xml:space="preserve"> </w:t>
            </w:r>
            <w:r w:rsidRPr="00150EDC">
              <w:rPr>
                <w:sz w:val="20"/>
              </w:rPr>
              <w:t>Act</w:t>
            </w:r>
            <w:r w:rsidRPr="00150EDC">
              <w:rPr>
                <w:spacing w:val="-5"/>
                <w:sz w:val="20"/>
              </w:rPr>
              <w:t xml:space="preserve"> </w:t>
            </w:r>
            <w:r w:rsidRPr="00150EDC">
              <w:rPr>
                <w:sz w:val="20"/>
              </w:rPr>
              <w:t>2010,</w:t>
            </w:r>
            <w:r w:rsidRPr="00150EDC">
              <w:rPr>
                <w:spacing w:val="-6"/>
                <w:sz w:val="20"/>
              </w:rPr>
              <w:t xml:space="preserve"> </w:t>
            </w:r>
            <w:r w:rsidRPr="00150EDC">
              <w:rPr>
                <w:spacing w:val="-5"/>
                <w:sz w:val="20"/>
              </w:rPr>
              <w:t>s30</w:t>
            </w:r>
          </w:p>
        </w:tc>
        <w:tc>
          <w:tcPr>
            <w:tcW w:w="7427" w:type="dxa"/>
          </w:tcPr>
          <w:p w14:paraId="730CDE00" w14:textId="77777777" w:rsidR="004C7180" w:rsidRPr="00150EDC" w:rsidRDefault="00CF0754">
            <w:pPr>
              <w:pStyle w:val="TableParagraph"/>
              <w:rPr>
                <w:sz w:val="20"/>
              </w:rPr>
            </w:pPr>
            <w:r w:rsidRPr="00150EDC">
              <w:rPr>
                <w:sz w:val="20"/>
              </w:rPr>
              <w:t>Directing</w:t>
            </w:r>
            <w:r w:rsidRPr="00150EDC">
              <w:rPr>
                <w:spacing w:val="-7"/>
                <w:sz w:val="20"/>
              </w:rPr>
              <w:t xml:space="preserve"> </w:t>
            </w:r>
            <w:r w:rsidRPr="00150EDC">
              <w:rPr>
                <w:sz w:val="20"/>
              </w:rPr>
              <w:t>serious</w:t>
            </w:r>
            <w:r w:rsidRPr="00150EDC">
              <w:rPr>
                <w:spacing w:val="-5"/>
                <w:sz w:val="20"/>
              </w:rPr>
              <w:t xml:space="preserve"> </w:t>
            </w:r>
            <w:r w:rsidRPr="00150EDC">
              <w:rPr>
                <w:sz w:val="20"/>
              </w:rPr>
              <w:t>organised</w:t>
            </w:r>
            <w:r w:rsidRPr="00150EDC">
              <w:rPr>
                <w:spacing w:val="-6"/>
                <w:sz w:val="20"/>
              </w:rPr>
              <w:t xml:space="preserve"> </w:t>
            </w:r>
            <w:r w:rsidRPr="00150EDC">
              <w:rPr>
                <w:spacing w:val="-2"/>
                <w:sz w:val="20"/>
              </w:rPr>
              <w:t>crime</w:t>
            </w:r>
          </w:p>
        </w:tc>
      </w:tr>
      <w:tr w:rsidR="004569EE" w:rsidRPr="007D3144" w14:paraId="75A88E29" w14:textId="77777777">
        <w:trPr>
          <w:trHeight w:val="255"/>
        </w:trPr>
        <w:tc>
          <w:tcPr>
            <w:tcW w:w="6517" w:type="dxa"/>
          </w:tcPr>
          <w:p w14:paraId="50CB8D4C" w14:textId="77777777" w:rsidR="004C7180" w:rsidRPr="00150EDC" w:rsidRDefault="00CF0754">
            <w:pPr>
              <w:pStyle w:val="TableParagraph"/>
              <w:rPr>
                <w:sz w:val="20"/>
              </w:rPr>
            </w:pPr>
            <w:r w:rsidRPr="00150EDC">
              <w:rPr>
                <w:sz w:val="20"/>
              </w:rPr>
              <w:t>Criminal</w:t>
            </w:r>
            <w:r w:rsidRPr="00150EDC">
              <w:rPr>
                <w:spacing w:val="-4"/>
                <w:sz w:val="20"/>
              </w:rPr>
              <w:t xml:space="preserve"> </w:t>
            </w:r>
            <w:r w:rsidRPr="00150EDC">
              <w:rPr>
                <w:sz w:val="20"/>
              </w:rPr>
              <w:t>Justice</w:t>
            </w:r>
            <w:r w:rsidRPr="00150EDC">
              <w:rPr>
                <w:spacing w:val="-6"/>
                <w:sz w:val="20"/>
              </w:rPr>
              <w:t xml:space="preserve"> </w:t>
            </w:r>
            <w:r w:rsidRPr="00150EDC">
              <w:rPr>
                <w:sz w:val="20"/>
              </w:rPr>
              <w:t>Police</w:t>
            </w:r>
            <w:r w:rsidRPr="00150EDC">
              <w:rPr>
                <w:spacing w:val="-5"/>
                <w:sz w:val="20"/>
              </w:rPr>
              <w:t xml:space="preserve"> </w:t>
            </w:r>
            <w:r w:rsidRPr="00150EDC">
              <w:rPr>
                <w:sz w:val="20"/>
              </w:rPr>
              <w:t>And</w:t>
            </w:r>
            <w:r w:rsidRPr="00150EDC">
              <w:rPr>
                <w:spacing w:val="-6"/>
                <w:sz w:val="20"/>
              </w:rPr>
              <w:t xml:space="preserve"> </w:t>
            </w:r>
            <w:r w:rsidRPr="00150EDC">
              <w:rPr>
                <w:sz w:val="20"/>
              </w:rPr>
              <w:t>Courts</w:t>
            </w:r>
            <w:r w:rsidRPr="00150EDC">
              <w:rPr>
                <w:spacing w:val="-5"/>
                <w:sz w:val="20"/>
              </w:rPr>
              <w:t xml:space="preserve"> </w:t>
            </w:r>
            <w:r w:rsidRPr="00150EDC">
              <w:rPr>
                <w:sz w:val="20"/>
              </w:rPr>
              <w:t>Act</w:t>
            </w:r>
            <w:r w:rsidRPr="00150EDC">
              <w:rPr>
                <w:spacing w:val="-4"/>
                <w:sz w:val="20"/>
              </w:rPr>
              <w:t xml:space="preserve"> </w:t>
            </w:r>
            <w:r w:rsidRPr="00150EDC">
              <w:rPr>
                <w:sz w:val="20"/>
              </w:rPr>
              <w:t>2006,</w:t>
            </w:r>
            <w:r w:rsidRPr="00150EDC">
              <w:rPr>
                <w:spacing w:val="-6"/>
                <w:sz w:val="20"/>
              </w:rPr>
              <w:t xml:space="preserve"> </w:t>
            </w:r>
            <w:r w:rsidRPr="00150EDC">
              <w:rPr>
                <w:spacing w:val="-2"/>
                <w:sz w:val="20"/>
              </w:rPr>
              <w:t>s3(1)(a)</w:t>
            </w:r>
          </w:p>
        </w:tc>
        <w:tc>
          <w:tcPr>
            <w:tcW w:w="7427" w:type="dxa"/>
          </w:tcPr>
          <w:p w14:paraId="2BF874E0" w14:textId="77777777" w:rsidR="004C7180" w:rsidRPr="00150EDC" w:rsidRDefault="00CF0754">
            <w:pPr>
              <w:pStyle w:val="TableParagraph"/>
              <w:rPr>
                <w:sz w:val="20"/>
              </w:rPr>
            </w:pPr>
            <w:r w:rsidRPr="00150EDC">
              <w:rPr>
                <w:sz w:val="20"/>
              </w:rPr>
              <w:t>Possession</w:t>
            </w:r>
            <w:r w:rsidRPr="00150EDC">
              <w:rPr>
                <w:spacing w:val="-5"/>
                <w:sz w:val="20"/>
              </w:rPr>
              <w:t xml:space="preserve"> </w:t>
            </w:r>
            <w:r w:rsidRPr="00150EDC">
              <w:rPr>
                <w:sz w:val="20"/>
              </w:rPr>
              <w:t>of</w:t>
            </w:r>
            <w:r w:rsidRPr="00150EDC">
              <w:rPr>
                <w:spacing w:val="-4"/>
                <w:sz w:val="20"/>
              </w:rPr>
              <w:t xml:space="preserve"> </w:t>
            </w:r>
            <w:r w:rsidRPr="00150EDC">
              <w:rPr>
                <w:sz w:val="20"/>
              </w:rPr>
              <w:t>firearm</w:t>
            </w:r>
            <w:r w:rsidRPr="00150EDC">
              <w:rPr>
                <w:spacing w:val="-4"/>
                <w:sz w:val="20"/>
              </w:rPr>
              <w:t xml:space="preserve"> </w:t>
            </w:r>
            <w:r w:rsidRPr="00150EDC">
              <w:rPr>
                <w:sz w:val="20"/>
              </w:rPr>
              <w:t>with</w:t>
            </w:r>
            <w:r w:rsidRPr="00150EDC">
              <w:rPr>
                <w:spacing w:val="-4"/>
                <w:sz w:val="20"/>
              </w:rPr>
              <w:t xml:space="preserve"> </w:t>
            </w:r>
            <w:r w:rsidRPr="00150EDC">
              <w:rPr>
                <w:sz w:val="20"/>
              </w:rPr>
              <w:t>intent</w:t>
            </w:r>
            <w:r w:rsidRPr="00150EDC">
              <w:rPr>
                <w:spacing w:val="-5"/>
                <w:sz w:val="20"/>
              </w:rPr>
              <w:t xml:space="preserve"> </w:t>
            </w:r>
            <w:r w:rsidRPr="00150EDC">
              <w:rPr>
                <w:sz w:val="20"/>
              </w:rPr>
              <w:t>to</w:t>
            </w:r>
            <w:r w:rsidRPr="00150EDC">
              <w:rPr>
                <w:spacing w:val="-4"/>
                <w:sz w:val="20"/>
              </w:rPr>
              <w:t xml:space="preserve"> </w:t>
            </w:r>
            <w:r w:rsidRPr="00150EDC">
              <w:rPr>
                <w:sz w:val="20"/>
              </w:rPr>
              <w:t>cause</w:t>
            </w:r>
            <w:r w:rsidRPr="00150EDC">
              <w:rPr>
                <w:spacing w:val="-4"/>
                <w:sz w:val="20"/>
              </w:rPr>
              <w:t xml:space="preserve"> </w:t>
            </w:r>
            <w:r w:rsidRPr="00150EDC">
              <w:rPr>
                <w:sz w:val="20"/>
              </w:rPr>
              <w:t>fear of</w:t>
            </w:r>
            <w:r w:rsidRPr="00150EDC">
              <w:rPr>
                <w:spacing w:val="-4"/>
                <w:sz w:val="20"/>
              </w:rPr>
              <w:t xml:space="preserve"> </w:t>
            </w:r>
            <w:r w:rsidRPr="00150EDC">
              <w:rPr>
                <w:spacing w:val="-2"/>
                <w:sz w:val="20"/>
              </w:rPr>
              <w:t>violence</w:t>
            </w:r>
          </w:p>
        </w:tc>
      </w:tr>
      <w:tr w:rsidR="004569EE" w:rsidRPr="007D3144" w14:paraId="42839CD6" w14:textId="77777777">
        <w:trPr>
          <w:trHeight w:val="255"/>
        </w:trPr>
        <w:tc>
          <w:tcPr>
            <w:tcW w:w="6517" w:type="dxa"/>
          </w:tcPr>
          <w:p w14:paraId="5E62C476" w14:textId="77777777" w:rsidR="004C7180" w:rsidRPr="00150EDC" w:rsidRDefault="00CF0754">
            <w:pPr>
              <w:pStyle w:val="TableParagraph"/>
              <w:rPr>
                <w:sz w:val="20"/>
              </w:rPr>
            </w:pPr>
            <w:r w:rsidRPr="00150EDC">
              <w:rPr>
                <w:sz w:val="20"/>
              </w:rPr>
              <w:t>Criminal</w:t>
            </w:r>
            <w:r w:rsidRPr="00150EDC">
              <w:rPr>
                <w:spacing w:val="-5"/>
                <w:sz w:val="20"/>
              </w:rPr>
              <w:t xml:space="preserve"> </w:t>
            </w:r>
            <w:r w:rsidRPr="00150EDC">
              <w:rPr>
                <w:sz w:val="20"/>
              </w:rPr>
              <w:t>Law</w:t>
            </w:r>
            <w:r w:rsidRPr="00150EDC">
              <w:rPr>
                <w:spacing w:val="-4"/>
                <w:sz w:val="20"/>
              </w:rPr>
              <w:t xml:space="preserve"> </w:t>
            </w:r>
            <w:r w:rsidRPr="00150EDC">
              <w:rPr>
                <w:sz w:val="20"/>
              </w:rPr>
              <w:t>Amendment</w:t>
            </w:r>
            <w:r w:rsidRPr="00150EDC">
              <w:rPr>
                <w:spacing w:val="-6"/>
                <w:sz w:val="20"/>
              </w:rPr>
              <w:t xml:space="preserve"> </w:t>
            </w:r>
            <w:r w:rsidRPr="00150EDC">
              <w:rPr>
                <w:sz w:val="20"/>
              </w:rPr>
              <w:t>Act</w:t>
            </w:r>
            <w:r w:rsidRPr="00150EDC">
              <w:rPr>
                <w:spacing w:val="-6"/>
                <w:sz w:val="20"/>
              </w:rPr>
              <w:t xml:space="preserve"> </w:t>
            </w:r>
            <w:r w:rsidRPr="00150EDC">
              <w:rPr>
                <w:sz w:val="20"/>
              </w:rPr>
              <w:t>(1895),</w:t>
            </w:r>
            <w:r w:rsidRPr="00150EDC">
              <w:rPr>
                <w:spacing w:val="-6"/>
                <w:sz w:val="20"/>
              </w:rPr>
              <w:t xml:space="preserve"> </w:t>
            </w:r>
            <w:r w:rsidRPr="00150EDC">
              <w:rPr>
                <w:sz w:val="20"/>
              </w:rPr>
              <w:t>Art</w:t>
            </w:r>
            <w:r w:rsidRPr="00150EDC">
              <w:rPr>
                <w:spacing w:val="-6"/>
                <w:sz w:val="20"/>
              </w:rPr>
              <w:t xml:space="preserve"> </w:t>
            </w:r>
            <w:r w:rsidRPr="00150EDC">
              <w:rPr>
                <w:spacing w:val="-10"/>
                <w:sz w:val="20"/>
              </w:rPr>
              <w:t>4</w:t>
            </w:r>
          </w:p>
        </w:tc>
        <w:tc>
          <w:tcPr>
            <w:tcW w:w="7427" w:type="dxa"/>
          </w:tcPr>
          <w:p w14:paraId="0E17CF97" w14:textId="77777777" w:rsidR="004C7180" w:rsidRPr="00150EDC" w:rsidRDefault="00CF0754">
            <w:pPr>
              <w:pStyle w:val="TableParagraph"/>
              <w:rPr>
                <w:sz w:val="20"/>
              </w:rPr>
            </w:pPr>
            <w:r w:rsidRPr="00150EDC">
              <w:rPr>
                <w:sz w:val="20"/>
              </w:rPr>
              <w:t>Sexual</w:t>
            </w:r>
            <w:r w:rsidRPr="00150EDC">
              <w:rPr>
                <w:spacing w:val="-4"/>
                <w:sz w:val="20"/>
              </w:rPr>
              <w:t xml:space="preserve"> </w:t>
            </w:r>
            <w:r w:rsidRPr="00150EDC">
              <w:rPr>
                <w:sz w:val="20"/>
              </w:rPr>
              <w:t>intercourse</w:t>
            </w:r>
            <w:r w:rsidRPr="00150EDC">
              <w:rPr>
                <w:spacing w:val="-5"/>
                <w:sz w:val="20"/>
              </w:rPr>
              <w:t xml:space="preserve"> </w:t>
            </w:r>
            <w:r w:rsidRPr="00150EDC">
              <w:rPr>
                <w:sz w:val="20"/>
              </w:rPr>
              <w:t>with</w:t>
            </w:r>
            <w:r w:rsidRPr="00150EDC">
              <w:rPr>
                <w:spacing w:val="-5"/>
                <w:sz w:val="20"/>
              </w:rPr>
              <w:t xml:space="preserve"> </w:t>
            </w:r>
            <w:r w:rsidRPr="00150EDC">
              <w:rPr>
                <w:sz w:val="20"/>
              </w:rPr>
              <w:t>a</w:t>
            </w:r>
            <w:r w:rsidRPr="00150EDC">
              <w:rPr>
                <w:spacing w:val="-5"/>
                <w:sz w:val="20"/>
              </w:rPr>
              <w:t xml:space="preserve"> </w:t>
            </w:r>
            <w:r w:rsidRPr="00150EDC">
              <w:rPr>
                <w:sz w:val="20"/>
              </w:rPr>
              <w:t>person</w:t>
            </w:r>
            <w:r w:rsidRPr="00150EDC">
              <w:rPr>
                <w:spacing w:val="-1"/>
                <w:sz w:val="20"/>
              </w:rPr>
              <w:t xml:space="preserve"> </w:t>
            </w:r>
            <w:r w:rsidRPr="00150EDC">
              <w:rPr>
                <w:sz w:val="20"/>
              </w:rPr>
              <w:t>under</w:t>
            </w:r>
            <w:r w:rsidRPr="00150EDC">
              <w:rPr>
                <w:spacing w:val="-5"/>
                <w:sz w:val="20"/>
              </w:rPr>
              <w:t xml:space="preserve"> </w:t>
            </w:r>
            <w:r w:rsidRPr="00150EDC">
              <w:rPr>
                <w:sz w:val="20"/>
              </w:rPr>
              <w:t>16</w:t>
            </w:r>
            <w:r w:rsidRPr="00150EDC">
              <w:rPr>
                <w:spacing w:val="-5"/>
                <w:sz w:val="20"/>
              </w:rPr>
              <w:t xml:space="preserve"> </w:t>
            </w:r>
            <w:r w:rsidRPr="00150EDC">
              <w:rPr>
                <w:sz w:val="20"/>
              </w:rPr>
              <w:t>years of</w:t>
            </w:r>
            <w:r w:rsidRPr="00150EDC">
              <w:rPr>
                <w:spacing w:val="-5"/>
                <w:sz w:val="20"/>
              </w:rPr>
              <w:t xml:space="preserve"> age</w:t>
            </w:r>
          </w:p>
        </w:tc>
      </w:tr>
      <w:tr w:rsidR="004569EE" w:rsidRPr="007D3144" w14:paraId="1E163275" w14:textId="77777777">
        <w:trPr>
          <w:trHeight w:val="255"/>
        </w:trPr>
        <w:tc>
          <w:tcPr>
            <w:tcW w:w="6517" w:type="dxa"/>
          </w:tcPr>
          <w:p w14:paraId="4E24946F" w14:textId="77777777" w:rsidR="004C7180" w:rsidRPr="00150EDC" w:rsidRDefault="00CF0754">
            <w:pPr>
              <w:pStyle w:val="TableParagraph"/>
              <w:spacing w:before="28"/>
              <w:rPr>
                <w:sz w:val="20"/>
              </w:rPr>
            </w:pPr>
            <w:r w:rsidRPr="00150EDC">
              <w:rPr>
                <w:sz w:val="20"/>
              </w:rPr>
              <w:t>Criminal</w:t>
            </w:r>
            <w:r w:rsidRPr="00150EDC">
              <w:rPr>
                <w:spacing w:val="-8"/>
                <w:sz w:val="20"/>
              </w:rPr>
              <w:t xml:space="preserve"> </w:t>
            </w:r>
            <w:r w:rsidRPr="00150EDC">
              <w:rPr>
                <w:sz w:val="20"/>
              </w:rPr>
              <w:t>Law</w:t>
            </w:r>
            <w:r w:rsidRPr="00150EDC">
              <w:rPr>
                <w:spacing w:val="-3"/>
                <w:sz w:val="20"/>
              </w:rPr>
              <w:t xml:space="preserve"> </w:t>
            </w:r>
            <w:r w:rsidRPr="00150EDC">
              <w:rPr>
                <w:sz w:val="20"/>
              </w:rPr>
              <w:t>(Consolidation)</w:t>
            </w:r>
            <w:r w:rsidRPr="00150EDC">
              <w:rPr>
                <w:spacing w:val="-6"/>
                <w:sz w:val="20"/>
              </w:rPr>
              <w:t xml:space="preserve"> </w:t>
            </w:r>
            <w:r w:rsidRPr="00150EDC">
              <w:rPr>
                <w:sz w:val="20"/>
              </w:rPr>
              <w:t>(Scotland)</w:t>
            </w:r>
            <w:r w:rsidRPr="00150EDC">
              <w:rPr>
                <w:spacing w:val="-9"/>
                <w:sz w:val="20"/>
              </w:rPr>
              <w:t xml:space="preserve"> </w:t>
            </w:r>
            <w:r w:rsidRPr="00150EDC">
              <w:rPr>
                <w:sz w:val="20"/>
              </w:rPr>
              <w:t>Act</w:t>
            </w:r>
            <w:r w:rsidRPr="00150EDC">
              <w:rPr>
                <w:spacing w:val="-8"/>
                <w:sz w:val="20"/>
              </w:rPr>
              <w:t xml:space="preserve"> </w:t>
            </w:r>
            <w:r w:rsidRPr="00150EDC">
              <w:rPr>
                <w:sz w:val="20"/>
              </w:rPr>
              <w:t>1995,</w:t>
            </w:r>
            <w:r w:rsidRPr="00150EDC">
              <w:rPr>
                <w:spacing w:val="-9"/>
                <w:sz w:val="20"/>
              </w:rPr>
              <w:t xml:space="preserve"> </w:t>
            </w:r>
            <w:r w:rsidRPr="00150EDC">
              <w:rPr>
                <w:spacing w:val="-5"/>
                <w:sz w:val="20"/>
              </w:rPr>
              <w:t>s1</w:t>
            </w:r>
          </w:p>
        </w:tc>
        <w:tc>
          <w:tcPr>
            <w:tcW w:w="7427" w:type="dxa"/>
          </w:tcPr>
          <w:p w14:paraId="6C5F463B" w14:textId="77777777" w:rsidR="004C7180" w:rsidRPr="00150EDC" w:rsidRDefault="00CF0754">
            <w:pPr>
              <w:pStyle w:val="TableParagraph"/>
              <w:spacing w:before="28"/>
              <w:rPr>
                <w:sz w:val="20"/>
              </w:rPr>
            </w:pPr>
            <w:r w:rsidRPr="00150EDC">
              <w:rPr>
                <w:spacing w:val="-2"/>
                <w:sz w:val="20"/>
              </w:rPr>
              <w:t>Incest</w:t>
            </w:r>
          </w:p>
        </w:tc>
      </w:tr>
    </w:tbl>
    <w:p w14:paraId="549A7111" w14:textId="77777777" w:rsidR="004C7180" w:rsidRPr="00150EDC" w:rsidRDefault="004C7180">
      <w:pPr>
        <w:rPr>
          <w:sz w:val="20"/>
        </w:rPr>
        <w:sectPr w:rsidR="004C7180" w:rsidRPr="00150EDC">
          <w:footerReference w:type="default" r:id="rId129"/>
          <w:pgSz w:w="16840" w:h="11910" w:orient="landscape"/>
          <w:pgMar w:top="1340" w:right="1320" w:bottom="280" w:left="1340" w:header="0" w:footer="0" w:gutter="0"/>
          <w:cols w:space="720"/>
        </w:sectPr>
      </w:pPr>
    </w:p>
    <w:p w14:paraId="43F08CB7" w14:textId="77777777" w:rsidR="004C7180" w:rsidRPr="00150EDC" w:rsidRDefault="004C7180">
      <w:pPr>
        <w:pStyle w:val="BodyText"/>
        <w:spacing w:before="3"/>
        <w:rPr>
          <w:sz w:val="8"/>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517"/>
        <w:gridCol w:w="7427"/>
      </w:tblGrid>
      <w:tr w:rsidR="004569EE" w:rsidRPr="007D3144" w14:paraId="6B46103A" w14:textId="77777777">
        <w:trPr>
          <w:trHeight w:val="254"/>
        </w:trPr>
        <w:tc>
          <w:tcPr>
            <w:tcW w:w="6517" w:type="dxa"/>
          </w:tcPr>
          <w:p w14:paraId="7E5325C3" w14:textId="77777777" w:rsidR="004C7180" w:rsidRPr="00150EDC" w:rsidRDefault="00CF0754">
            <w:pPr>
              <w:pStyle w:val="TableParagraph"/>
              <w:rPr>
                <w:sz w:val="20"/>
              </w:rPr>
            </w:pPr>
            <w:r w:rsidRPr="00150EDC">
              <w:rPr>
                <w:sz w:val="20"/>
              </w:rPr>
              <w:t>Criminal</w:t>
            </w:r>
            <w:r w:rsidRPr="00150EDC">
              <w:rPr>
                <w:spacing w:val="-8"/>
                <w:sz w:val="20"/>
              </w:rPr>
              <w:t xml:space="preserve"> </w:t>
            </w:r>
            <w:r w:rsidRPr="00150EDC">
              <w:rPr>
                <w:sz w:val="20"/>
              </w:rPr>
              <w:t>Law</w:t>
            </w:r>
            <w:r w:rsidRPr="00150EDC">
              <w:rPr>
                <w:spacing w:val="-4"/>
                <w:sz w:val="20"/>
              </w:rPr>
              <w:t xml:space="preserve"> </w:t>
            </w:r>
            <w:r w:rsidRPr="00150EDC">
              <w:rPr>
                <w:sz w:val="20"/>
              </w:rPr>
              <w:t>(Consolidation)</w:t>
            </w:r>
            <w:r w:rsidRPr="00150EDC">
              <w:rPr>
                <w:spacing w:val="-5"/>
                <w:sz w:val="20"/>
              </w:rPr>
              <w:t xml:space="preserve"> </w:t>
            </w:r>
            <w:r w:rsidRPr="00150EDC">
              <w:rPr>
                <w:sz w:val="20"/>
              </w:rPr>
              <w:t>(Scotland)</w:t>
            </w:r>
            <w:r w:rsidRPr="00150EDC">
              <w:rPr>
                <w:spacing w:val="-10"/>
                <w:sz w:val="20"/>
              </w:rPr>
              <w:t xml:space="preserve"> </w:t>
            </w:r>
            <w:r w:rsidRPr="00150EDC">
              <w:rPr>
                <w:sz w:val="20"/>
              </w:rPr>
              <w:t>Act</w:t>
            </w:r>
            <w:r w:rsidRPr="00150EDC">
              <w:rPr>
                <w:spacing w:val="-8"/>
                <w:sz w:val="20"/>
              </w:rPr>
              <w:t xml:space="preserve"> </w:t>
            </w:r>
            <w:r w:rsidRPr="00150EDC">
              <w:rPr>
                <w:sz w:val="20"/>
              </w:rPr>
              <w:t>1995,</w:t>
            </w:r>
            <w:r w:rsidRPr="00150EDC">
              <w:rPr>
                <w:spacing w:val="-9"/>
                <w:sz w:val="20"/>
              </w:rPr>
              <w:t xml:space="preserve"> </w:t>
            </w:r>
            <w:r w:rsidRPr="00150EDC">
              <w:rPr>
                <w:spacing w:val="-5"/>
                <w:sz w:val="20"/>
              </w:rPr>
              <w:t>s10</w:t>
            </w:r>
          </w:p>
        </w:tc>
        <w:tc>
          <w:tcPr>
            <w:tcW w:w="7427" w:type="dxa"/>
          </w:tcPr>
          <w:p w14:paraId="56DCAF83" w14:textId="77777777" w:rsidR="004C7180" w:rsidRPr="00150EDC" w:rsidRDefault="00CF0754">
            <w:pPr>
              <w:pStyle w:val="TableParagraph"/>
              <w:rPr>
                <w:sz w:val="20"/>
              </w:rPr>
            </w:pPr>
            <w:r w:rsidRPr="00150EDC">
              <w:rPr>
                <w:sz w:val="20"/>
              </w:rPr>
              <w:t>Seduction,</w:t>
            </w:r>
            <w:r w:rsidRPr="00150EDC">
              <w:rPr>
                <w:spacing w:val="-6"/>
                <w:sz w:val="20"/>
              </w:rPr>
              <w:t xml:space="preserve"> </w:t>
            </w:r>
            <w:r w:rsidRPr="00150EDC">
              <w:rPr>
                <w:sz w:val="20"/>
              </w:rPr>
              <w:t>prostitution,</w:t>
            </w:r>
            <w:r w:rsidRPr="00150EDC">
              <w:rPr>
                <w:spacing w:val="-5"/>
                <w:sz w:val="20"/>
              </w:rPr>
              <w:t xml:space="preserve"> </w:t>
            </w:r>
            <w:r w:rsidRPr="00150EDC">
              <w:rPr>
                <w:sz w:val="20"/>
              </w:rPr>
              <w:t>etc.,</w:t>
            </w:r>
            <w:r w:rsidRPr="00150EDC">
              <w:rPr>
                <w:spacing w:val="-5"/>
                <w:sz w:val="20"/>
              </w:rPr>
              <w:t xml:space="preserve"> </w:t>
            </w:r>
            <w:r w:rsidRPr="00150EDC">
              <w:rPr>
                <w:sz w:val="20"/>
              </w:rPr>
              <w:t>of</w:t>
            </w:r>
            <w:r w:rsidRPr="00150EDC">
              <w:rPr>
                <w:spacing w:val="-5"/>
                <w:sz w:val="20"/>
              </w:rPr>
              <w:t xml:space="preserve"> </w:t>
            </w:r>
            <w:r w:rsidRPr="00150EDC">
              <w:rPr>
                <w:sz w:val="20"/>
              </w:rPr>
              <w:t>girl</w:t>
            </w:r>
            <w:r w:rsidRPr="00150EDC">
              <w:rPr>
                <w:spacing w:val="-3"/>
                <w:sz w:val="20"/>
              </w:rPr>
              <w:t xml:space="preserve"> </w:t>
            </w:r>
            <w:r w:rsidRPr="00150EDC">
              <w:rPr>
                <w:sz w:val="20"/>
              </w:rPr>
              <w:t>under</w:t>
            </w:r>
            <w:r w:rsidRPr="00150EDC">
              <w:rPr>
                <w:spacing w:val="-5"/>
                <w:sz w:val="20"/>
              </w:rPr>
              <w:t xml:space="preserve"> 16</w:t>
            </w:r>
          </w:p>
        </w:tc>
      </w:tr>
      <w:tr w:rsidR="004569EE" w:rsidRPr="007D3144" w14:paraId="05A8B86F" w14:textId="77777777">
        <w:trPr>
          <w:trHeight w:val="255"/>
        </w:trPr>
        <w:tc>
          <w:tcPr>
            <w:tcW w:w="6517" w:type="dxa"/>
          </w:tcPr>
          <w:p w14:paraId="79E96087" w14:textId="77777777" w:rsidR="004C7180" w:rsidRPr="00150EDC" w:rsidRDefault="00CF0754">
            <w:pPr>
              <w:pStyle w:val="TableParagraph"/>
              <w:spacing w:before="28"/>
              <w:rPr>
                <w:sz w:val="20"/>
              </w:rPr>
            </w:pPr>
            <w:r w:rsidRPr="00150EDC">
              <w:rPr>
                <w:sz w:val="20"/>
              </w:rPr>
              <w:t>Criminal</w:t>
            </w:r>
            <w:r w:rsidRPr="00150EDC">
              <w:rPr>
                <w:spacing w:val="-8"/>
                <w:sz w:val="20"/>
              </w:rPr>
              <w:t xml:space="preserve"> </w:t>
            </w:r>
            <w:r w:rsidRPr="00150EDC">
              <w:rPr>
                <w:sz w:val="20"/>
              </w:rPr>
              <w:t>Law</w:t>
            </w:r>
            <w:r w:rsidRPr="00150EDC">
              <w:rPr>
                <w:spacing w:val="-4"/>
                <w:sz w:val="20"/>
              </w:rPr>
              <w:t xml:space="preserve"> </w:t>
            </w:r>
            <w:r w:rsidRPr="00150EDC">
              <w:rPr>
                <w:sz w:val="20"/>
              </w:rPr>
              <w:t>(Consolidation)</w:t>
            </w:r>
            <w:r w:rsidRPr="00150EDC">
              <w:rPr>
                <w:spacing w:val="-5"/>
                <w:sz w:val="20"/>
              </w:rPr>
              <w:t xml:space="preserve"> </w:t>
            </w:r>
            <w:r w:rsidRPr="00150EDC">
              <w:rPr>
                <w:sz w:val="20"/>
              </w:rPr>
              <w:t>(Scotland)</w:t>
            </w:r>
            <w:r w:rsidRPr="00150EDC">
              <w:rPr>
                <w:spacing w:val="-10"/>
                <w:sz w:val="20"/>
              </w:rPr>
              <w:t xml:space="preserve"> </w:t>
            </w:r>
            <w:r w:rsidRPr="00150EDC">
              <w:rPr>
                <w:sz w:val="20"/>
              </w:rPr>
              <w:t>Act</w:t>
            </w:r>
            <w:r w:rsidRPr="00150EDC">
              <w:rPr>
                <w:spacing w:val="-8"/>
                <w:sz w:val="20"/>
              </w:rPr>
              <w:t xml:space="preserve"> </w:t>
            </w:r>
            <w:r w:rsidRPr="00150EDC">
              <w:rPr>
                <w:sz w:val="20"/>
              </w:rPr>
              <w:t>1995,</w:t>
            </w:r>
            <w:r w:rsidRPr="00150EDC">
              <w:rPr>
                <w:spacing w:val="-9"/>
                <w:sz w:val="20"/>
              </w:rPr>
              <w:t xml:space="preserve"> </w:t>
            </w:r>
            <w:r w:rsidRPr="00150EDC">
              <w:rPr>
                <w:spacing w:val="-5"/>
                <w:sz w:val="20"/>
              </w:rPr>
              <w:t>s11</w:t>
            </w:r>
          </w:p>
        </w:tc>
        <w:tc>
          <w:tcPr>
            <w:tcW w:w="7427" w:type="dxa"/>
          </w:tcPr>
          <w:p w14:paraId="092904C5" w14:textId="77777777" w:rsidR="004C7180" w:rsidRPr="00150EDC" w:rsidRDefault="00CF0754">
            <w:pPr>
              <w:pStyle w:val="TableParagraph"/>
              <w:spacing w:before="28"/>
              <w:rPr>
                <w:sz w:val="20"/>
              </w:rPr>
            </w:pPr>
            <w:r w:rsidRPr="00150EDC">
              <w:rPr>
                <w:sz w:val="20"/>
              </w:rPr>
              <w:t>Trading</w:t>
            </w:r>
            <w:r w:rsidRPr="00150EDC">
              <w:rPr>
                <w:spacing w:val="-7"/>
                <w:sz w:val="20"/>
              </w:rPr>
              <w:t xml:space="preserve"> </w:t>
            </w:r>
            <w:r w:rsidRPr="00150EDC">
              <w:rPr>
                <w:sz w:val="20"/>
              </w:rPr>
              <w:t>in</w:t>
            </w:r>
            <w:r w:rsidRPr="00150EDC">
              <w:rPr>
                <w:spacing w:val="-7"/>
                <w:sz w:val="20"/>
              </w:rPr>
              <w:t xml:space="preserve"> </w:t>
            </w:r>
            <w:r w:rsidRPr="00150EDC">
              <w:rPr>
                <w:sz w:val="20"/>
              </w:rPr>
              <w:t>prostitution</w:t>
            </w:r>
            <w:r w:rsidRPr="00150EDC">
              <w:rPr>
                <w:spacing w:val="-7"/>
                <w:sz w:val="20"/>
              </w:rPr>
              <w:t xml:space="preserve"> </w:t>
            </w:r>
            <w:r w:rsidRPr="00150EDC">
              <w:rPr>
                <w:sz w:val="20"/>
              </w:rPr>
              <w:t>and</w:t>
            </w:r>
            <w:r w:rsidRPr="00150EDC">
              <w:rPr>
                <w:spacing w:val="-5"/>
                <w:sz w:val="20"/>
              </w:rPr>
              <w:t xml:space="preserve"> </w:t>
            </w:r>
            <w:r w:rsidRPr="00150EDC">
              <w:rPr>
                <w:sz w:val="20"/>
              </w:rPr>
              <w:t>brothel-</w:t>
            </w:r>
            <w:r w:rsidRPr="00150EDC">
              <w:rPr>
                <w:spacing w:val="-2"/>
                <w:sz w:val="20"/>
              </w:rPr>
              <w:t>keeping</w:t>
            </w:r>
          </w:p>
        </w:tc>
      </w:tr>
      <w:tr w:rsidR="004569EE" w:rsidRPr="007D3144" w14:paraId="5309D3A2" w14:textId="77777777">
        <w:trPr>
          <w:trHeight w:val="255"/>
        </w:trPr>
        <w:tc>
          <w:tcPr>
            <w:tcW w:w="6517" w:type="dxa"/>
          </w:tcPr>
          <w:p w14:paraId="34B83D03" w14:textId="77777777" w:rsidR="004C7180" w:rsidRPr="00150EDC" w:rsidRDefault="00CF0754">
            <w:pPr>
              <w:pStyle w:val="TableParagraph"/>
              <w:rPr>
                <w:sz w:val="20"/>
              </w:rPr>
            </w:pPr>
            <w:r w:rsidRPr="00150EDC">
              <w:rPr>
                <w:sz w:val="20"/>
              </w:rPr>
              <w:t>Criminal</w:t>
            </w:r>
            <w:r w:rsidRPr="00150EDC">
              <w:rPr>
                <w:spacing w:val="-8"/>
                <w:sz w:val="20"/>
              </w:rPr>
              <w:t xml:space="preserve"> </w:t>
            </w:r>
            <w:r w:rsidRPr="00150EDC">
              <w:rPr>
                <w:sz w:val="20"/>
              </w:rPr>
              <w:t>Law</w:t>
            </w:r>
            <w:r w:rsidRPr="00150EDC">
              <w:rPr>
                <w:spacing w:val="-4"/>
                <w:sz w:val="20"/>
              </w:rPr>
              <w:t xml:space="preserve"> </w:t>
            </w:r>
            <w:r w:rsidRPr="00150EDC">
              <w:rPr>
                <w:sz w:val="20"/>
              </w:rPr>
              <w:t>(Consolidation)</w:t>
            </w:r>
            <w:r w:rsidRPr="00150EDC">
              <w:rPr>
                <w:spacing w:val="-5"/>
                <w:sz w:val="20"/>
              </w:rPr>
              <w:t xml:space="preserve"> </w:t>
            </w:r>
            <w:r w:rsidRPr="00150EDC">
              <w:rPr>
                <w:sz w:val="20"/>
              </w:rPr>
              <w:t>(Scotland)</w:t>
            </w:r>
            <w:r w:rsidRPr="00150EDC">
              <w:rPr>
                <w:spacing w:val="-10"/>
                <w:sz w:val="20"/>
              </w:rPr>
              <w:t xml:space="preserve"> </w:t>
            </w:r>
            <w:r w:rsidRPr="00150EDC">
              <w:rPr>
                <w:sz w:val="20"/>
              </w:rPr>
              <w:t>Act</w:t>
            </w:r>
            <w:r w:rsidRPr="00150EDC">
              <w:rPr>
                <w:spacing w:val="-8"/>
                <w:sz w:val="20"/>
              </w:rPr>
              <w:t xml:space="preserve"> </w:t>
            </w:r>
            <w:r w:rsidRPr="00150EDC">
              <w:rPr>
                <w:sz w:val="20"/>
              </w:rPr>
              <w:t>1995,</w:t>
            </w:r>
            <w:r w:rsidRPr="00150EDC">
              <w:rPr>
                <w:spacing w:val="-9"/>
                <w:sz w:val="20"/>
              </w:rPr>
              <w:t xml:space="preserve"> </w:t>
            </w:r>
            <w:r w:rsidRPr="00150EDC">
              <w:rPr>
                <w:spacing w:val="-5"/>
                <w:sz w:val="20"/>
              </w:rPr>
              <w:t>s12</w:t>
            </w:r>
          </w:p>
        </w:tc>
        <w:tc>
          <w:tcPr>
            <w:tcW w:w="7427" w:type="dxa"/>
          </w:tcPr>
          <w:p w14:paraId="1B0968E5" w14:textId="77777777" w:rsidR="004C7180" w:rsidRPr="00150EDC" w:rsidRDefault="00CF0754">
            <w:pPr>
              <w:pStyle w:val="TableParagraph"/>
              <w:rPr>
                <w:sz w:val="20"/>
              </w:rPr>
            </w:pPr>
            <w:r w:rsidRPr="00150EDC">
              <w:rPr>
                <w:sz w:val="20"/>
              </w:rPr>
              <w:t>Allowing</w:t>
            </w:r>
            <w:r w:rsidRPr="00150EDC">
              <w:rPr>
                <w:spacing w:val="-5"/>
                <w:sz w:val="20"/>
              </w:rPr>
              <w:t xml:space="preserve"> </w:t>
            </w:r>
            <w:r w:rsidRPr="00150EDC">
              <w:rPr>
                <w:sz w:val="20"/>
              </w:rPr>
              <w:t>child</w:t>
            </w:r>
            <w:r w:rsidRPr="00150EDC">
              <w:rPr>
                <w:spacing w:val="-5"/>
                <w:sz w:val="20"/>
              </w:rPr>
              <w:t xml:space="preserve"> </w:t>
            </w:r>
            <w:r w:rsidRPr="00150EDC">
              <w:rPr>
                <w:sz w:val="20"/>
              </w:rPr>
              <w:t>to</w:t>
            </w:r>
            <w:r w:rsidRPr="00150EDC">
              <w:rPr>
                <w:spacing w:val="-4"/>
                <w:sz w:val="20"/>
              </w:rPr>
              <w:t xml:space="preserve"> </w:t>
            </w:r>
            <w:r w:rsidRPr="00150EDC">
              <w:rPr>
                <w:sz w:val="20"/>
              </w:rPr>
              <w:t>be in</w:t>
            </w:r>
            <w:r w:rsidRPr="00150EDC">
              <w:rPr>
                <w:spacing w:val="-4"/>
                <w:sz w:val="20"/>
              </w:rPr>
              <w:t xml:space="preserve"> </w:t>
            </w:r>
            <w:r w:rsidRPr="00150EDC">
              <w:rPr>
                <w:spacing w:val="-2"/>
                <w:sz w:val="20"/>
              </w:rPr>
              <w:t>brothel</w:t>
            </w:r>
          </w:p>
        </w:tc>
      </w:tr>
      <w:tr w:rsidR="004569EE" w:rsidRPr="007D3144" w14:paraId="04EDF5CD" w14:textId="77777777">
        <w:trPr>
          <w:trHeight w:val="255"/>
        </w:trPr>
        <w:tc>
          <w:tcPr>
            <w:tcW w:w="6517" w:type="dxa"/>
          </w:tcPr>
          <w:p w14:paraId="3B08E1C4" w14:textId="77777777" w:rsidR="004C7180" w:rsidRPr="00150EDC" w:rsidRDefault="00CF0754">
            <w:pPr>
              <w:pStyle w:val="TableParagraph"/>
              <w:rPr>
                <w:sz w:val="20"/>
              </w:rPr>
            </w:pPr>
            <w:r w:rsidRPr="00150EDC">
              <w:rPr>
                <w:sz w:val="20"/>
              </w:rPr>
              <w:t>Criminal</w:t>
            </w:r>
            <w:r w:rsidRPr="00150EDC">
              <w:rPr>
                <w:spacing w:val="-8"/>
                <w:sz w:val="20"/>
              </w:rPr>
              <w:t xml:space="preserve"> </w:t>
            </w:r>
            <w:r w:rsidRPr="00150EDC">
              <w:rPr>
                <w:sz w:val="20"/>
              </w:rPr>
              <w:t>Law</w:t>
            </w:r>
            <w:r w:rsidRPr="00150EDC">
              <w:rPr>
                <w:spacing w:val="-4"/>
                <w:sz w:val="20"/>
              </w:rPr>
              <w:t xml:space="preserve"> </w:t>
            </w:r>
            <w:r w:rsidRPr="00150EDC">
              <w:rPr>
                <w:sz w:val="20"/>
              </w:rPr>
              <w:t>(Consolidation)</w:t>
            </w:r>
            <w:r w:rsidRPr="00150EDC">
              <w:rPr>
                <w:spacing w:val="-5"/>
                <w:sz w:val="20"/>
              </w:rPr>
              <w:t xml:space="preserve"> </w:t>
            </w:r>
            <w:r w:rsidRPr="00150EDC">
              <w:rPr>
                <w:sz w:val="20"/>
              </w:rPr>
              <w:t>(Scotland)</w:t>
            </w:r>
            <w:r w:rsidRPr="00150EDC">
              <w:rPr>
                <w:spacing w:val="-10"/>
                <w:sz w:val="20"/>
              </w:rPr>
              <w:t xml:space="preserve"> </w:t>
            </w:r>
            <w:r w:rsidRPr="00150EDC">
              <w:rPr>
                <w:sz w:val="20"/>
              </w:rPr>
              <w:t>Act</w:t>
            </w:r>
            <w:r w:rsidRPr="00150EDC">
              <w:rPr>
                <w:spacing w:val="-8"/>
                <w:sz w:val="20"/>
              </w:rPr>
              <w:t xml:space="preserve"> </w:t>
            </w:r>
            <w:r w:rsidRPr="00150EDC">
              <w:rPr>
                <w:sz w:val="20"/>
              </w:rPr>
              <w:t>1995,</w:t>
            </w:r>
            <w:r w:rsidRPr="00150EDC">
              <w:rPr>
                <w:spacing w:val="-9"/>
                <w:sz w:val="20"/>
              </w:rPr>
              <w:t xml:space="preserve"> </w:t>
            </w:r>
            <w:r w:rsidRPr="00150EDC">
              <w:rPr>
                <w:spacing w:val="-5"/>
                <w:sz w:val="20"/>
              </w:rPr>
              <w:t>s13</w:t>
            </w:r>
          </w:p>
        </w:tc>
        <w:tc>
          <w:tcPr>
            <w:tcW w:w="7427" w:type="dxa"/>
          </w:tcPr>
          <w:p w14:paraId="5EC9F5F7" w14:textId="77777777" w:rsidR="004C7180" w:rsidRPr="00150EDC" w:rsidRDefault="00CF0754">
            <w:pPr>
              <w:pStyle w:val="TableParagraph"/>
              <w:rPr>
                <w:sz w:val="20"/>
              </w:rPr>
            </w:pPr>
            <w:r w:rsidRPr="00150EDC">
              <w:rPr>
                <w:sz w:val="20"/>
              </w:rPr>
              <w:t>Living</w:t>
            </w:r>
            <w:r w:rsidRPr="00150EDC">
              <w:rPr>
                <w:spacing w:val="-5"/>
                <w:sz w:val="20"/>
              </w:rPr>
              <w:t xml:space="preserve"> </w:t>
            </w:r>
            <w:r w:rsidRPr="00150EDC">
              <w:rPr>
                <w:sz w:val="20"/>
              </w:rPr>
              <w:t>on</w:t>
            </w:r>
            <w:r w:rsidRPr="00150EDC">
              <w:rPr>
                <w:spacing w:val="-5"/>
                <w:sz w:val="20"/>
              </w:rPr>
              <w:t xml:space="preserve"> </w:t>
            </w:r>
            <w:r w:rsidRPr="00150EDC">
              <w:rPr>
                <w:sz w:val="20"/>
              </w:rPr>
              <w:t>earnings</w:t>
            </w:r>
            <w:r w:rsidRPr="00150EDC">
              <w:rPr>
                <w:spacing w:val="-4"/>
                <w:sz w:val="20"/>
              </w:rPr>
              <w:t xml:space="preserve"> </w:t>
            </w:r>
            <w:r w:rsidRPr="00150EDC">
              <w:rPr>
                <w:sz w:val="20"/>
              </w:rPr>
              <w:t>of</w:t>
            </w:r>
            <w:r w:rsidRPr="00150EDC">
              <w:rPr>
                <w:spacing w:val="-1"/>
                <w:sz w:val="20"/>
              </w:rPr>
              <w:t xml:space="preserve"> </w:t>
            </w:r>
            <w:r w:rsidRPr="00150EDC">
              <w:rPr>
                <w:sz w:val="20"/>
              </w:rPr>
              <w:t>another</w:t>
            </w:r>
            <w:r w:rsidRPr="00150EDC">
              <w:rPr>
                <w:spacing w:val="-5"/>
                <w:sz w:val="20"/>
              </w:rPr>
              <w:t xml:space="preserve"> </w:t>
            </w:r>
            <w:r w:rsidRPr="00150EDC">
              <w:rPr>
                <w:sz w:val="20"/>
              </w:rPr>
              <w:t>from</w:t>
            </w:r>
            <w:r w:rsidRPr="00150EDC">
              <w:rPr>
                <w:spacing w:val="-5"/>
                <w:sz w:val="20"/>
              </w:rPr>
              <w:t xml:space="preserve"> </w:t>
            </w:r>
            <w:r w:rsidRPr="00150EDC">
              <w:rPr>
                <w:sz w:val="20"/>
              </w:rPr>
              <w:t>male</w:t>
            </w:r>
            <w:r w:rsidRPr="00150EDC">
              <w:rPr>
                <w:spacing w:val="-4"/>
                <w:sz w:val="20"/>
              </w:rPr>
              <w:t xml:space="preserve"> </w:t>
            </w:r>
            <w:r w:rsidRPr="00150EDC">
              <w:rPr>
                <w:spacing w:val="-2"/>
                <w:sz w:val="20"/>
              </w:rPr>
              <w:t>prostitution</w:t>
            </w:r>
          </w:p>
        </w:tc>
      </w:tr>
      <w:tr w:rsidR="004569EE" w:rsidRPr="007D3144" w14:paraId="2D188E49" w14:textId="77777777">
        <w:trPr>
          <w:trHeight w:val="460"/>
        </w:trPr>
        <w:tc>
          <w:tcPr>
            <w:tcW w:w="6517" w:type="dxa"/>
          </w:tcPr>
          <w:p w14:paraId="37FB709F" w14:textId="77777777" w:rsidR="004C7180" w:rsidRPr="00150EDC" w:rsidRDefault="004C7180">
            <w:pPr>
              <w:pStyle w:val="TableParagraph"/>
              <w:spacing w:before="3" w:line="240" w:lineRule="auto"/>
              <w:ind w:left="0"/>
              <w:rPr>
                <w:sz w:val="20"/>
              </w:rPr>
            </w:pPr>
          </w:p>
          <w:p w14:paraId="441C519D" w14:textId="77777777" w:rsidR="004C7180" w:rsidRPr="00150EDC" w:rsidRDefault="00CF0754">
            <w:pPr>
              <w:pStyle w:val="TableParagraph"/>
              <w:spacing w:before="0"/>
              <w:rPr>
                <w:sz w:val="20"/>
              </w:rPr>
            </w:pPr>
            <w:r w:rsidRPr="00150EDC">
              <w:rPr>
                <w:sz w:val="20"/>
              </w:rPr>
              <w:t>Criminal</w:t>
            </w:r>
            <w:r w:rsidRPr="00150EDC">
              <w:rPr>
                <w:spacing w:val="-8"/>
                <w:sz w:val="20"/>
              </w:rPr>
              <w:t xml:space="preserve"> </w:t>
            </w:r>
            <w:r w:rsidRPr="00150EDC">
              <w:rPr>
                <w:sz w:val="20"/>
              </w:rPr>
              <w:t>Law</w:t>
            </w:r>
            <w:r w:rsidRPr="00150EDC">
              <w:rPr>
                <w:spacing w:val="-4"/>
                <w:sz w:val="20"/>
              </w:rPr>
              <w:t xml:space="preserve"> </w:t>
            </w:r>
            <w:r w:rsidRPr="00150EDC">
              <w:rPr>
                <w:sz w:val="20"/>
              </w:rPr>
              <w:t>(Consolidation)</w:t>
            </w:r>
            <w:r w:rsidRPr="00150EDC">
              <w:rPr>
                <w:spacing w:val="-5"/>
                <w:sz w:val="20"/>
              </w:rPr>
              <w:t xml:space="preserve"> </w:t>
            </w:r>
            <w:r w:rsidRPr="00150EDC">
              <w:rPr>
                <w:sz w:val="20"/>
              </w:rPr>
              <w:t>(Scotland)</w:t>
            </w:r>
            <w:r w:rsidRPr="00150EDC">
              <w:rPr>
                <w:spacing w:val="-9"/>
                <w:sz w:val="20"/>
              </w:rPr>
              <w:t xml:space="preserve"> </w:t>
            </w:r>
            <w:r w:rsidRPr="00150EDC">
              <w:rPr>
                <w:sz w:val="20"/>
              </w:rPr>
              <w:t>Act</w:t>
            </w:r>
            <w:r w:rsidRPr="00150EDC">
              <w:rPr>
                <w:spacing w:val="-6"/>
                <w:sz w:val="20"/>
              </w:rPr>
              <w:t xml:space="preserve"> </w:t>
            </w:r>
            <w:r w:rsidRPr="00150EDC">
              <w:rPr>
                <w:sz w:val="20"/>
              </w:rPr>
              <w:t>1995,</w:t>
            </w:r>
            <w:r w:rsidRPr="00150EDC">
              <w:rPr>
                <w:spacing w:val="-9"/>
                <w:sz w:val="20"/>
              </w:rPr>
              <w:t xml:space="preserve"> </w:t>
            </w:r>
            <w:r w:rsidRPr="00150EDC">
              <w:rPr>
                <w:spacing w:val="-4"/>
                <w:sz w:val="20"/>
              </w:rPr>
              <w:t>s16A</w:t>
            </w:r>
          </w:p>
        </w:tc>
        <w:tc>
          <w:tcPr>
            <w:tcW w:w="7427" w:type="dxa"/>
          </w:tcPr>
          <w:p w14:paraId="0D73C350" w14:textId="77777777" w:rsidR="004C7180" w:rsidRPr="00150EDC" w:rsidRDefault="00CF0754">
            <w:pPr>
              <w:pStyle w:val="TableParagraph"/>
              <w:spacing w:before="0" w:line="230" w:lineRule="atLeast"/>
              <w:ind w:right="186"/>
              <w:rPr>
                <w:sz w:val="20"/>
              </w:rPr>
            </w:pPr>
            <w:r w:rsidRPr="00150EDC">
              <w:rPr>
                <w:sz w:val="20"/>
              </w:rPr>
              <w:t>Conspiracy</w:t>
            </w:r>
            <w:r w:rsidRPr="00150EDC">
              <w:rPr>
                <w:spacing w:val="-4"/>
                <w:sz w:val="20"/>
              </w:rPr>
              <w:t xml:space="preserve"> </w:t>
            </w:r>
            <w:r w:rsidRPr="00150EDC">
              <w:rPr>
                <w:sz w:val="20"/>
              </w:rPr>
              <w:t>or</w:t>
            </w:r>
            <w:r w:rsidRPr="00150EDC">
              <w:rPr>
                <w:spacing w:val="-5"/>
                <w:sz w:val="20"/>
              </w:rPr>
              <w:t xml:space="preserve"> </w:t>
            </w:r>
            <w:r w:rsidRPr="00150EDC">
              <w:rPr>
                <w:sz w:val="20"/>
              </w:rPr>
              <w:t>incitement</w:t>
            </w:r>
            <w:r w:rsidRPr="00150EDC">
              <w:rPr>
                <w:spacing w:val="-5"/>
                <w:sz w:val="20"/>
              </w:rPr>
              <w:t xml:space="preserve"> </w:t>
            </w:r>
            <w:r w:rsidRPr="00150EDC">
              <w:rPr>
                <w:sz w:val="20"/>
              </w:rPr>
              <w:t>to</w:t>
            </w:r>
            <w:r w:rsidRPr="00150EDC">
              <w:rPr>
                <w:spacing w:val="-5"/>
                <w:sz w:val="20"/>
              </w:rPr>
              <w:t xml:space="preserve"> </w:t>
            </w:r>
            <w:r w:rsidRPr="00150EDC">
              <w:rPr>
                <w:sz w:val="20"/>
              </w:rPr>
              <w:t>commit</w:t>
            </w:r>
            <w:r w:rsidRPr="00150EDC">
              <w:rPr>
                <w:spacing w:val="-4"/>
                <w:sz w:val="20"/>
              </w:rPr>
              <w:t xml:space="preserve"> </w:t>
            </w:r>
            <w:r w:rsidRPr="00150EDC">
              <w:rPr>
                <w:sz w:val="20"/>
              </w:rPr>
              <w:t>certain</w:t>
            </w:r>
            <w:r w:rsidRPr="00150EDC">
              <w:rPr>
                <w:spacing w:val="-4"/>
                <w:sz w:val="20"/>
              </w:rPr>
              <w:t xml:space="preserve"> </w:t>
            </w:r>
            <w:r w:rsidRPr="00150EDC">
              <w:rPr>
                <w:sz w:val="20"/>
              </w:rPr>
              <w:t>sexual</w:t>
            </w:r>
            <w:r w:rsidRPr="00150EDC">
              <w:rPr>
                <w:spacing w:val="-3"/>
                <w:sz w:val="20"/>
              </w:rPr>
              <w:t xml:space="preserve"> </w:t>
            </w:r>
            <w:r w:rsidRPr="00150EDC">
              <w:rPr>
                <w:sz w:val="20"/>
              </w:rPr>
              <w:t>acts</w:t>
            </w:r>
            <w:r w:rsidRPr="00150EDC">
              <w:rPr>
                <w:spacing w:val="-4"/>
                <w:sz w:val="20"/>
              </w:rPr>
              <w:t xml:space="preserve"> </w:t>
            </w:r>
            <w:r w:rsidRPr="00150EDC">
              <w:rPr>
                <w:sz w:val="20"/>
              </w:rPr>
              <w:t>outside</w:t>
            </w:r>
            <w:r w:rsidRPr="00150EDC">
              <w:rPr>
                <w:spacing w:val="-5"/>
                <w:sz w:val="20"/>
              </w:rPr>
              <w:t xml:space="preserve"> </w:t>
            </w:r>
            <w:r w:rsidRPr="00150EDC">
              <w:rPr>
                <w:sz w:val="20"/>
              </w:rPr>
              <w:t>the</w:t>
            </w:r>
            <w:r w:rsidRPr="00150EDC">
              <w:rPr>
                <w:spacing w:val="-5"/>
                <w:sz w:val="20"/>
              </w:rPr>
              <w:t xml:space="preserve"> </w:t>
            </w:r>
            <w:r w:rsidRPr="00150EDC">
              <w:rPr>
                <w:sz w:val="20"/>
              </w:rPr>
              <w:t xml:space="preserve">United </w:t>
            </w:r>
            <w:r w:rsidRPr="00150EDC">
              <w:rPr>
                <w:spacing w:val="-2"/>
                <w:sz w:val="20"/>
              </w:rPr>
              <w:t>Kingdom</w:t>
            </w:r>
          </w:p>
        </w:tc>
      </w:tr>
      <w:tr w:rsidR="004569EE" w:rsidRPr="007D3144" w14:paraId="391DE38C" w14:textId="77777777">
        <w:trPr>
          <w:trHeight w:val="255"/>
        </w:trPr>
        <w:tc>
          <w:tcPr>
            <w:tcW w:w="6517" w:type="dxa"/>
          </w:tcPr>
          <w:p w14:paraId="22173F2B" w14:textId="77777777" w:rsidR="004C7180" w:rsidRPr="00150EDC" w:rsidRDefault="00CF0754">
            <w:pPr>
              <w:pStyle w:val="TableParagraph"/>
              <w:rPr>
                <w:sz w:val="20"/>
              </w:rPr>
            </w:pPr>
            <w:r w:rsidRPr="00150EDC">
              <w:rPr>
                <w:sz w:val="20"/>
              </w:rPr>
              <w:t>Criminal</w:t>
            </w:r>
            <w:r w:rsidRPr="00150EDC">
              <w:rPr>
                <w:spacing w:val="-8"/>
                <w:sz w:val="20"/>
              </w:rPr>
              <w:t xml:space="preserve"> </w:t>
            </w:r>
            <w:r w:rsidRPr="00150EDC">
              <w:rPr>
                <w:sz w:val="20"/>
              </w:rPr>
              <w:t>Law</w:t>
            </w:r>
            <w:r w:rsidRPr="00150EDC">
              <w:rPr>
                <w:spacing w:val="-4"/>
                <w:sz w:val="20"/>
              </w:rPr>
              <w:t xml:space="preserve"> </w:t>
            </w:r>
            <w:r w:rsidRPr="00150EDC">
              <w:rPr>
                <w:sz w:val="20"/>
              </w:rPr>
              <w:t>(Consolidation)</w:t>
            </w:r>
            <w:r w:rsidRPr="00150EDC">
              <w:rPr>
                <w:spacing w:val="-5"/>
                <w:sz w:val="20"/>
              </w:rPr>
              <w:t xml:space="preserve"> </w:t>
            </w:r>
            <w:r w:rsidRPr="00150EDC">
              <w:rPr>
                <w:sz w:val="20"/>
              </w:rPr>
              <w:t>(Scotland)</w:t>
            </w:r>
            <w:r w:rsidRPr="00150EDC">
              <w:rPr>
                <w:spacing w:val="-10"/>
                <w:sz w:val="20"/>
              </w:rPr>
              <w:t xml:space="preserve"> </w:t>
            </w:r>
            <w:r w:rsidRPr="00150EDC">
              <w:rPr>
                <w:sz w:val="20"/>
              </w:rPr>
              <w:t>Act</w:t>
            </w:r>
            <w:r w:rsidRPr="00150EDC">
              <w:rPr>
                <w:spacing w:val="-8"/>
                <w:sz w:val="20"/>
              </w:rPr>
              <w:t xml:space="preserve"> </w:t>
            </w:r>
            <w:r w:rsidRPr="00150EDC">
              <w:rPr>
                <w:sz w:val="20"/>
              </w:rPr>
              <w:t>1995,</w:t>
            </w:r>
            <w:r w:rsidRPr="00150EDC">
              <w:rPr>
                <w:spacing w:val="-9"/>
                <w:sz w:val="20"/>
              </w:rPr>
              <w:t xml:space="preserve"> </w:t>
            </w:r>
            <w:r w:rsidRPr="00150EDC">
              <w:rPr>
                <w:spacing w:val="-4"/>
                <w:sz w:val="20"/>
              </w:rPr>
              <w:t>s16B</w:t>
            </w:r>
          </w:p>
        </w:tc>
        <w:tc>
          <w:tcPr>
            <w:tcW w:w="7427" w:type="dxa"/>
          </w:tcPr>
          <w:p w14:paraId="70DF1462" w14:textId="77777777" w:rsidR="004C7180" w:rsidRPr="00150EDC" w:rsidRDefault="00CF0754">
            <w:pPr>
              <w:pStyle w:val="TableParagraph"/>
              <w:rPr>
                <w:sz w:val="20"/>
              </w:rPr>
            </w:pPr>
            <w:r w:rsidRPr="00150EDC">
              <w:rPr>
                <w:sz w:val="20"/>
              </w:rPr>
              <w:t>Commission</w:t>
            </w:r>
            <w:r w:rsidRPr="00150EDC">
              <w:rPr>
                <w:spacing w:val="-8"/>
                <w:sz w:val="20"/>
              </w:rPr>
              <w:t xml:space="preserve"> </w:t>
            </w:r>
            <w:r w:rsidRPr="00150EDC">
              <w:rPr>
                <w:sz w:val="20"/>
              </w:rPr>
              <w:t>of</w:t>
            </w:r>
            <w:r w:rsidRPr="00150EDC">
              <w:rPr>
                <w:spacing w:val="-6"/>
                <w:sz w:val="20"/>
              </w:rPr>
              <w:t xml:space="preserve"> </w:t>
            </w:r>
            <w:r w:rsidRPr="00150EDC">
              <w:rPr>
                <w:sz w:val="20"/>
              </w:rPr>
              <w:t>certain</w:t>
            </w:r>
            <w:r w:rsidRPr="00150EDC">
              <w:rPr>
                <w:spacing w:val="-4"/>
                <w:sz w:val="20"/>
              </w:rPr>
              <w:t xml:space="preserve"> </w:t>
            </w:r>
            <w:r w:rsidRPr="00150EDC">
              <w:rPr>
                <w:sz w:val="20"/>
              </w:rPr>
              <w:t>sexual</w:t>
            </w:r>
            <w:r w:rsidRPr="00150EDC">
              <w:rPr>
                <w:spacing w:val="-4"/>
                <w:sz w:val="20"/>
              </w:rPr>
              <w:t xml:space="preserve"> </w:t>
            </w:r>
            <w:r w:rsidRPr="00150EDC">
              <w:rPr>
                <w:sz w:val="20"/>
              </w:rPr>
              <w:t>acts</w:t>
            </w:r>
            <w:r w:rsidRPr="00150EDC">
              <w:rPr>
                <w:spacing w:val="-5"/>
                <w:sz w:val="20"/>
              </w:rPr>
              <w:t xml:space="preserve"> </w:t>
            </w:r>
            <w:r w:rsidRPr="00150EDC">
              <w:rPr>
                <w:sz w:val="20"/>
              </w:rPr>
              <w:t>outside</w:t>
            </w:r>
            <w:r w:rsidRPr="00150EDC">
              <w:rPr>
                <w:spacing w:val="-5"/>
                <w:sz w:val="20"/>
              </w:rPr>
              <w:t xml:space="preserve"> </w:t>
            </w:r>
            <w:r w:rsidRPr="00150EDC">
              <w:rPr>
                <w:sz w:val="20"/>
              </w:rPr>
              <w:t>the</w:t>
            </w:r>
            <w:r w:rsidRPr="00150EDC">
              <w:rPr>
                <w:spacing w:val="-6"/>
                <w:sz w:val="20"/>
              </w:rPr>
              <w:t xml:space="preserve"> </w:t>
            </w:r>
            <w:r w:rsidRPr="00150EDC">
              <w:rPr>
                <w:sz w:val="20"/>
              </w:rPr>
              <w:t xml:space="preserve">United </w:t>
            </w:r>
            <w:r w:rsidRPr="00150EDC">
              <w:rPr>
                <w:spacing w:val="-2"/>
                <w:sz w:val="20"/>
              </w:rPr>
              <w:t>Kingdom</w:t>
            </w:r>
          </w:p>
        </w:tc>
      </w:tr>
      <w:tr w:rsidR="004569EE" w:rsidRPr="007D3144" w14:paraId="05E2C669" w14:textId="77777777">
        <w:trPr>
          <w:trHeight w:val="255"/>
        </w:trPr>
        <w:tc>
          <w:tcPr>
            <w:tcW w:w="6517" w:type="dxa"/>
          </w:tcPr>
          <w:p w14:paraId="4AAF33B9" w14:textId="77777777" w:rsidR="004C7180" w:rsidRPr="00150EDC" w:rsidRDefault="00CF0754">
            <w:pPr>
              <w:pStyle w:val="TableParagraph"/>
              <w:rPr>
                <w:sz w:val="20"/>
              </w:rPr>
            </w:pPr>
            <w:r w:rsidRPr="00150EDC">
              <w:rPr>
                <w:sz w:val="20"/>
              </w:rPr>
              <w:t>Criminal</w:t>
            </w:r>
            <w:r w:rsidRPr="00150EDC">
              <w:rPr>
                <w:spacing w:val="-8"/>
                <w:sz w:val="20"/>
              </w:rPr>
              <w:t xml:space="preserve"> </w:t>
            </w:r>
            <w:r w:rsidRPr="00150EDC">
              <w:rPr>
                <w:sz w:val="20"/>
              </w:rPr>
              <w:t>Law</w:t>
            </w:r>
            <w:r w:rsidRPr="00150EDC">
              <w:rPr>
                <w:spacing w:val="-4"/>
                <w:sz w:val="20"/>
              </w:rPr>
              <w:t xml:space="preserve"> </w:t>
            </w:r>
            <w:r w:rsidRPr="00150EDC">
              <w:rPr>
                <w:sz w:val="20"/>
              </w:rPr>
              <w:t>(Consolidation)</w:t>
            </w:r>
            <w:r w:rsidRPr="00150EDC">
              <w:rPr>
                <w:spacing w:val="-3"/>
                <w:sz w:val="20"/>
              </w:rPr>
              <w:t xml:space="preserve"> </w:t>
            </w:r>
            <w:r w:rsidRPr="00150EDC">
              <w:rPr>
                <w:sz w:val="20"/>
              </w:rPr>
              <w:t>(Scotland)</w:t>
            </w:r>
            <w:r w:rsidRPr="00150EDC">
              <w:rPr>
                <w:spacing w:val="-9"/>
                <w:sz w:val="20"/>
              </w:rPr>
              <w:t xml:space="preserve"> </w:t>
            </w:r>
            <w:r w:rsidRPr="00150EDC">
              <w:rPr>
                <w:sz w:val="20"/>
              </w:rPr>
              <w:t>Act</w:t>
            </w:r>
            <w:r w:rsidRPr="00150EDC">
              <w:rPr>
                <w:spacing w:val="-8"/>
                <w:sz w:val="20"/>
              </w:rPr>
              <w:t xml:space="preserve"> </w:t>
            </w:r>
            <w:r w:rsidRPr="00150EDC">
              <w:rPr>
                <w:sz w:val="20"/>
              </w:rPr>
              <w:t>1995,</w:t>
            </w:r>
            <w:r w:rsidRPr="00150EDC">
              <w:rPr>
                <w:spacing w:val="-9"/>
                <w:sz w:val="20"/>
              </w:rPr>
              <w:t xml:space="preserve"> </w:t>
            </w:r>
            <w:r w:rsidRPr="00150EDC">
              <w:rPr>
                <w:spacing w:val="-5"/>
                <w:sz w:val="20"/>
              </w:rPr>
              <w:t>s2</w:t>
            </w:r>
          </w:p>
        </w:tc>
        <w:tc>
          <w:tcPr>
            <w:tcW w:w="7427" w:type="dxa"/>
          </w:tcPr>
          <w:p w14:paraId="3E600D15" w14:textId="77777777" w:rsidR="004C7180" w:rsidRPr="00150EDC" w:rsidRDefault="00CF0754">
            <w:pPr>
              <w:pStyle w:val="TableParagraph"/>
              <w:rPr>
                <w:sz w:val="20"/>
              </w:rPr>
            </w:pPr>
            <w:r w:rsidRPr="00150EDC">
              <w:rPr>
                <w:sz w:val="20"/>
              </w:rPr>
              <w:t>Intercourse</w:t>
            </w:r>
            <w:r w:rsidRPr="00150EDC">
              <w:rPr>
                <w:spacing w:val="-9"/>
                <w:sz w:val="20"/>
              </w:rPr>
              <w:t xml:space="preserve"> </w:t>
            </w:r>
            <w:r w:rsidRPr="00150EDC">
              <w:rPr>
                <w:sz w:val="20"/>
              </w:rPr>
              <w:t>with</w:t>
            </w:r>
            <w:r w:rsidRPr="00150EDC">
              <w:rPr>
                <w:spacing w:val="-9"/>
                <w:sz w:val="20"/>
              </w:rPr>
              <w:t xml:space="preserve"> </w:t>
            </w:r>
            <w:r w:rsidRPr="00150EDC">
              <w:rPr>
                <w:sz w:val="20"/>
              </w:rPr>
              <w:t>step-</w:t>
            </w:r>
            <w:r w:rsidRPr="00150EDC">
              <w:rPr>
                <w:spacing w:val="-4"/>
                <w:sz w:val="20"/>
              </w:rPr>
              <w:t>child</w:t>
            </w:r>
          </w:p>
        </w:tc>
      </w:tr>
      <w:tr w:rsidR="004569EE" w:rsidRPr="007D3144" w14:paraId="2412DBA9" w14:textId="77777777">
        <w:trPr>
          <w:trHeight w:val="255"/>
        </w:trPr>
        <w:tc>
          <w:tcPr>
            <w:tcW w:w="6517" w:type="dxa"/>
          </w:tcPr>
          <w:p w14:paraId="67E24D35" w14:textId="77777777" w:rsidR="004C7180" w:rsidRPr="00150EDC" w:rsidRDefault="00CF0754">
            <w:pPr>
              <w:pStyle w:val="TableParagraph"/>
              <w:rPr>
                <w:sz w:val="20"/>
              </w:rPr>
            </w:pPr>
            <w:r w:rsidRPr="00150EDC">
              <w:rPr>
                <w:sz w:val="20"/>
              </w:rPr>
              <w:t>Criminal</w:t>
            </w:r>
            <w:r w:rsidRPr="00150EDC">
              <w:rPr>
                <w:spacing w:val="-8"/>
                <w:sz w:val="20"/>
              </w:rPr>
              <w:t xml:space="preserve"> </w:t>
            </w:r>
            <w:r w:rsidRPr="00150EDC">
              <w:rPr>
                <w:sz w:val="20"/>
              </w:rPr>
              <w:t>Law</w:t>
            </w:r>
            <w:r w:rsidRPr="00150EDC">
              <w:rPr>
                <w:spacing w:val="-4"/>
                <w:sz w:val="20"/>
              </w:rPr>
              <w:t xml:space="preserve"> </w:t>
            </w:r>
            <w:r w:rsidRPr="00150EDC">
              <w:rPr>
                <w:sz w:val="20"/>
              </w:rPr>
              <w:t>(Consolidation)</w:t>
            </w:r>
            <w:r w:rsidRPr="00150EDC">
              <w:rPr>
                <w:spacing w:val="-5"/>
                <w:sz w:val="20"/>
              </w:rPr>
              <w:t xml:space="preserve"> </w:t>
            </w:r>
            <w:r w:rsidRPr="00150EDC">
              <w:rPr>
                <w:sz w:val="20"/>
              </w:rPr>
              <w:t>(Scotland)</w:t>
            </w:r>
            <w:r w:rsidRPr="00150EDC">
              <w:rPr>
                <w:spacing w:val="-10"/>
                <w:sz w:val="20"/>
              </w:rPr>
              <w:t xml:space="preserve"> </w:t>
            </w:r>
            <w:r w:rsidRPr="00150EDC">
              <w:rPr>
                <w:sz w:val="20"/>
              </w:rPr>
              <w:t>Act</w:t>
            </w:r>
            <w:r w:rsidRPr="00150EDC">
              <w:rPr>
                <w:spacing w:val="-8"/>
                <w:sz w:val="20"/>
              </w:rPr>
              <w:t xml:space="preserve"> </w:t>
            </w:r>
            <w:r w:rsidRPr="00150EDC">
              <w:rPr>
                <w:sz w:val="20"/>
              </w:rPr>
              <w:t>1995,</w:t>
            </w:r>
            <w:r w:rsidRPr="00150EDC">
              <w:rPr>
                <w:spacing w:val="-9"/>
                <w:sz w:val="20"/>
              </w:rPr>
              <w:t xml:space="preserve"> </w:t>
            </w:r>
            <w:r w:rsidRPr="00150EDC">
              <w:rPr>
                <w:spacing w:val="-5"/>
                <w:sz w:val="20"/>
              </w:rPr>
              <w:t>s3</w:t>
            </w:r>
          </w:p>
        </w:tc>
        <w:tc>
          <w:tcPr>
            <w:tcW w:w="7427" w:type="dxa"/>
          </w:tcPr>
          <w:p w14:paraId="6FB8EAC1" w14:textId="77777777" w:rsidR="004C7180" w:rsidRPr="00150EDC" w:rsidRDefault="00CF0754">
            <w:pPr>
              <w:pStyle w:val="TableParagraph"/>
              <w:rPr>
                <w:sz w:val="20"/>
              </w:rPr>
            </w:pPr>
            <w:r w:rsidRPr="00150EDC">
              <w:rPr>
                <w:sz w:val="20"/>
              </w:rPr>
              <w:t>Intercourse</w:t>
            </w:r>
            <w:r w:rsidRPr="00150EDC">
              <w:rPr>
                <w:spacing w:val="-6"/>
                <w:sz w:val="20"/>
              </w:rPr>
              <w:t xml:space="preserve"> </w:t>
            </w:r>
            <w:r w:rsidRPr="00150EDC">
              <w:rPr>
                <w:sz w:val="20"/>
              </w:rPr>
              <w:t>of</w:t>
            </w:r>
            <w:r w:rsidRPr="00150EDC">
              <w:rPr>
                <w:spacing w:val="-5"/>
                <w:sz w:val="20"/>
              </w:rPr>
              <w:t xml:space="preserve"> </w:t>
            </w:r>
            <w:r w:rsidRPr="00150EDC">
              <w:rPr>
                <w:sz w:val="20"/>
              </w:rPr>
              <w:t>person</w:t>
            </w:r>
            <w:r w:rsidRPr="00150EDC">
              <w:rPr>
                <w:spacing w:val="-6"/>
                <w:sz w:val="20"/>
              </w:rPr>
              <w:t xml:space="preserve"> </w:t>
            </w:r>
            <w:r w:rsidRPr="00150EDC">
              <w:rPr>
                <w:sz w:val="20"/>
              </w:rPr>
              <w:t>in position</w:t>
            </w:r>
            <w:r w:rsidRPr="00150EDC">
              <w:rPr>
                <w:spacing w:val="-1"/>
                <w:sz w:val="20"/>
              </w:rPr>
              <w:t xml:space="preserve"> </w:t>
            </w:r>
            <w:r w:rsidRPr="00150EDC">
              <w:rPr>
                <w:sz w:val="20"/>
              </w:rPr>
              <w:t>of</w:t>
            </w:r>
            <w:r w:rsidRPr="00150EDC">
              <w:rPr>
                <w:spacing w:val="-5"/>
                <w:sz w:val="20"/>
              </w:rPr>
              <w:t xml:space="preserve"> </w:t>
            </w:r>
            <w:r w:rsidRPr="00150EDC">
              <w:rPr>
                <w:sz w:val="20"/>
              </w:rPr>
              <w:t>trust</w:t>
            </w:r>
            <w:r w:rsidRPr="00150EDC">
              <w:rPr>
                <w:spacing w:val="-6"/>
                <w:sz w:val="20"/>
              </w:rPr>
              <w:t xml:space="preserve"> </w:t>
            </w:r>
            <w:r w:rsidRPr="00150EDC">
              <w:rPr>
                <w:sz w:val="20"/>
              </w:rPr>
              <w:t>with</w:t>
            </w:r>
            <w:r w:rsidRPr="00150EDC">
              <w:rPr>
                <w:spacing w:val="-5"/>
                <w:sz w:val="20"/>
              </w:rPr>
              <w:t xml:space="preserve"> </w:t>
            </w:r>
            <w:r w:rsidRPr="00150EDC">
              <w:rPr>
                <w:sz w:val="20"/>
              </w:rPr>
              <w:t>child</w:t>
            </w:r>
            <w:r w:rsidRPr="00150EDC">
              <w:rPr>
                <w:spacing w:val="-1"/>
                <w:sz w:val="20"/>
              </w:rPr>
              <w:t xml:space="preserve"> </w:t>
            </w:r>
            <w:r w:rsidRPr="00150EDC">
              <w:rPr>
                <w:sz w:val="20"/>
              </w:rPr>
              <w:t>under</w:t>
            </w:r>
            <w:r w:rsidRPr="00150EDC">
              <w:rPr>
                <w:spacing w:val="-1"/>
                <w:sz w:val="20"/>
              </w:rPr>
              <w:t xml:space="preserve"> </w:t>
            </w:r>
            <w:r w:rsidRPr="00150EDC">
              <w:rPr>
                <w:spacing w:val="-5"/>
                <w:sz w:val="20"/>
              </w:rPr>
              <w:t>16</w:t>
            </w:r>
          </w:p>
        </w:tc>
      </w:tr>
      <w:tr w:rsidR="004569EE" w:rsidRPr="007D3144" w14:paraId="34D0FC7A" w14:textId="77777777">
        <w:trPr>
          <w:trHeight w:val="255"/>
        </w:trPr>
        <w:tc>
          <w:tcPr>
            <w:tcW w:w="6517" w:type="dxa"/>
          </w:tcPr>
          <w:p w14:paraId="0281AB74" w14:textId="77777777" w:rsidR="004C7180" w:rsidRPr="00150EDC" w:rsidRDefault="00CF0754">
            <w:pPr>
              <w:pStyle w:val="TableParagraph"/>
              <w:rPr>
                <w:sz w:val="20"/>
              </w:rPr>
            </w:pPr>
            <w:r w:rsidRPr="00150EDC">
              <w:rPr>
                <w:sz w:val="20"/>
              </w:rPr>
              <w:t>Criminal</w:t>
            </w:r>
            <w:r w:rsidRPr="00150EDC">
              <w:rPr>
                <w:spacing w:val="-8"/>
                <w:sz w:val="20"/>
              </w:rPr>
              <w:t xml:space="preserve"> </w:t>
            </w:r>
            <w:r w:rsidRPr="00150EDC">
              <w:rPr>
                <w:sz w:val="20"/>
              </w:rPr>
              <w:t>Law</w:t>
            </w:r>
            <w:r w:rsidRPr="00150EDC">
              <w:rPr>
                <w:spacing w:val="-4"/>
                <w:sz w:val="20"/>
              </w:rPr>
              <w:t xml:space="preserve"> </w:t>
            </w:r>
            <w:r w:rsidRPr="00150EDC">
              <w:rPr>
                <w:sz w:val="20"/>
              </w:rPr>
              <w:t>(Consolidation)</w:t>
            </w:r>
            <w:r w:rsidRPr="00150EDC">
              <w:rPr>
                <w:spacing w:val="-5"/>
                <w:sz w:val="20"/>
              </w:rPr>
              <w:t xml:space="preserve"> </w:t>
            </w:r>
            <w:r w:rsidRPr="00150EDC">
              <w:rPr>
                <w:sz w:val="20"/>
              </w:rPr>
              <w:t>(Scotland)</w:t>
            </w:r>
            <w:r w:rsidRPr="00150EDC">
              <w:rPr>
                <w:spacing w:val="-10"/>
                <w:sz w:val="20"/>
              </w:rPr>
              <w:t xml:space="preserve"> </w:t>
            </w:r>
            <w:r w:rsidRPr="00150EDC">
              <w:rPr>
                <w:sz w:val="20"/>
              </w:rPr>
              <w:t>Act</w:t>
            </w:r>
            <w:r w:rsidRPr="00150EDC">
              <w:rPr>
                <w:spacing w:val="-8"/>
                <w:sz w:val="20"/>
              </w:rPr>
              <w:t xml:space="preserve"> </w:t>
            </w:r>
            <w:r w:rsidRPr="00150EDC">
              <w:rPr>
                <w:sz w:val="20"/>
              </w:rPr>
              <w:t>1995,</w:t>
            </w:r>
            <w:r w:rsidRPr="00150EDC">
              <w:rPr>
                <w:spacing w:val="-9"/>
                <w:sz w:val="20"/>
              </w:rPr>
              <w:t xml:space="preserve"> </w:t>
            </w:r>
            <w:r w:rsidRPr="00150EDC">
              <w:rPr>
                <w:spacing w:val="-5"/>
                <w:sz w:val="20"/>
              </w:rPr>
              <w:t>s5</w:t>
            </w:r>
          </w:p>
        </w:tc>
        <w:tc>
          <w:tcPr>
            <w:tcW w:w="7427" w:type="dxa"/>
          </w:tcPr>
          <w:p w14:paraId="439B3870" w14:textId="77777777" w:rsidR="004C7180" w:rsidRPr="00150EDC" w:rsidRDefault="00CF0754">
            <w:pPr>
              <w:pStyle w:val="TableParagraph"/>
              <w:rPr>
                <w:sz w:val="20"/>
              </w:rPr>
            </w:pPr>
            <w:r w:rsidRPr="00150EDC">
              <w:rPr>
                <w:sz w:val="20"/>
              </w:rPr>
              <w:t>Intercourse</w:t>
            </w:r>
            <w:r w:rsidRPr="00150EDC">
              <w:rPr>
                <w:spacing w:val="-7"/>
                <w:sz w:val="20"/>
              </w:rPr>
              <w:t xml:space="preserve"> </w:t>
            </w:r>
            <w:r w:rsidRPr="00150EDC">
              <w:rPr>
                <w:sz w:val="20"/>
              </w:rPr>
              <w:t>with</w:t>
            </w:r>
            <w:r w:rsidRPr="00150EDC">
              <w:rPr>
                <w:spacing w:val="-3"/>
                <w:sz w:val="20"/>
              </w:rPr>
              <w:t xml:space="preserve"> </w:t>
            </w:r>
            <w:r w:rsidRPr="00150EDC">
              <w:rPr>
                <w:sz w:val="20"/>
              </w:rPr>
              <w:t>girl</w:t>
            </w:r>
            <w:r w:rsidRPr="00150EDC">
              <w:rPr>
                <w:spacing w:val="-5"/>
                <w:sz w:val="20"/>
              </w:rPr>
              <w:t xml:space="preserve"> </w:t>
            </w:r>
            <w:r w:rsidRPr="00150EDC">
              <w:rPr>
                <w:sz w:val="20"/>
              </w:rPr>
              <w:t>under</w:t>
            </w:r>
            <w:r w:rsidRPr="00150EDC">
              <w:rPr>
                <w:spacing w:val="-2"/>
                <w:sz w:val="20"/>
              </w:rPr>
              <w:t xml:space="preserve"> </w:t>
            </w:r>
            <w:r w:rsidRPr="00150EDC">
              <w:rPr>
                <w:spacing w:val="-5"/>
                <w:sz w:val="20"/>
              </w:rPr>
              <w:t>16</w:t>
            </w:r>
          </w:p>
        </w:tc>
      </w:tr>
      <w:tr w:rsidR="004569EE" w:rsidRPr="007D3144" w14:paraId="0771B9F2" w14:textId="77777777">
        <w:trPr>
          <w:trHeight w:val="255"/>
        </w:trPr>
        <w:tc>
          <w:tcPr>
            <w:tcW w:w="6517" w:type="dxa"/>
          </w:tcPr>
          <w:p w14:paraId="5072B25B" w14:textId="77777777" w:rsidR="004C7180" w:rsidRPr="00150EDC" w:rsidRDefault="00CF0754">
            <w:pPr>
              <w:pStyle w:val="TableParagraph"/>
              <w:spacing w:before="28"/>
              <w:rPr>
                <w:sz w:val="20"/>
              </w:rPr>
            </w:pPr>
            <w:r w:rsidRPr="00150EDC">
              <w:rPr>
                <w:sz w:val="20"/>
              </w:rPr>
              <w:t>Criminal</w:t>
            </w:r>
            <w:r w:rsidRPr="00150EDC">
              <w:rPr>
                <w:spacing w:val="-8"/>
                <w:sz w:val="20"/>
              </w:rPr>
              <w:t xml:space="preserve"> </w:t>
            </w:r>
            <w:r w:rsidRPr="00150EDC">
              <w:rPr>
                <w:sz w:val="20"/>
              </w:rPr>
              <w:t>Law</w:t>
            </w:r>
            <w:r w:rsidRPr="00150EDC">
              <w:rPr>
                <w:spacing w:val="-4"/>
                <w:sz w:val="20"/>
              </w:rPr>
              <w:t xml:space="preserve"> </w:t>
            </w:r>
            <w:r w:rsidRPr="00150EDC">
              <w:rPr>
                <w:sz w:val="20"/>
              </w:rPr>
              <w:t>(Consolidation)</w:t>
            </w:r>
            <w:r w:rsidRPr="00150EDC">
              <w:rPr>
                <w:spacing w:val="-5"/>
                <w:sz w:val="20"/>
              </w:rPr>
              <w:t xml:space="preserve"> </w:t>
            </w:r>
            <w:r w:rsidRPr="00150EDC">
              <w:rPr>
                <w:sz w:val="20"/>
              </w:rPr>
              <w:t>(Scotland)</w:t>
            </w:r>
            <w:r w:rsidRPr="00150EDC">
              <w:rPr>
                <w:spacing w:val="-10"/>
                <w:sz w:val="20"/>
              </w:rPr>
              <w:t xml:space="preserve"> </w:t>
            </w:r>
            <w:r w:rsidRPr="00150EDC">
              <w:rPr>
                <w:sz w:val="20"/>
              </w:rPr>
              <w:t>Act</w:t>
            </w:r>
            <w:r w:rsidRPr="00150EDC">
              <w:rPr>
                <w:spacing w:val="-8"/>
                <w:sz w:val="20"/>
              </w:rPr>
              <w:t xml:space="preserve"> </w:t>
            </w:r>
            <w:r w:rsidRPr="00150EDC">
              <w:rPr>
                <w:sz w:val="20"/>
              </w:rPr>
              <w:t>1995,</w:t>
            </w:r>
            <w:r w:rsidRPr="00150EDC">
              <w:rPr>
                <w:spacing w:val="-9"/>
                <w:sz w:val="20"/>
              </w:rPr>
              <w:t xml:space="preserve"> </w:t>
            </w:r>
            <w:r w:rsidRPr="00150EDC">
              <w:rPr>
                <w:spacing w:val="-5"/>
                <w:sz w:val="20"/>
              </w:rPr>
              <w:t>s6</w:t>
            </w:r>
          </w:p>
        </w:tc>
        <w:tc>
          <w:tcPr>
            <w:tcW w:w="7427" w:type="dxa"/>
          </w:tcPr>
          <w:p w14:paraId="5B312553" w14:textId="77777777" w:rsidR="004C7180" w:rsidRPr="00150EDC" w:rsidRDefault="00CF0754">
            <w:pPr>
              <w:pStyle w:val="TableParagraph"/>
              <w:spacing w:before="28"/>
              <w:rPr>
                <w:sz w:val="20"/>
              </w:rPr>
            </w:pPr>
            <w:r w:rsidRPr="00150EDC">
              <w:rPr>
                <w:sz w:val="20"/>
              </w:rPr>
              <w:t>Indecent</w:t>
            </w:r>
            <w:r w:rsidRPr="00150EDC">
              <w:rPr>
                <w:spacing w:val="-2"/>
                <w:sz w:val="20"/>
              </w:rPr>
              <w:t xml:space="preserve"> </w:t>
            </w:r>
            <w:r w:rsidRPr="00150EDC">
              <w:rPr>
                <w:sz w:val="20"/>
              </w:rPr>
              <w:t>behaviour</w:t>
            </w:r>
            <w:r w:rsidRPr="00150EDC">
              <w:rPr>
                <w:spacing w:val="-7"/>
                <w:sz w:val="20"/>
              </w:rPr>
              <w:t xml:space="preserve"> </w:t>
            </w:r>
            <w:r w:rsidRPr="00150EDC">
              <w:rPr>
                <w:sz w:val="20"/>
              </w:rPr>
              <w:t>towards</w:t>
            </w:r>
            <w:r w:rsidRPr="00150EDC">
              <w:rPr>
                <w:spacing w:val="-1"/>
                <w:sz w:val="20"/>
              </w:rPr>
              <w:t xml:space="preserve"> </w:t>
            </w:r>
            <w:r w:rsidRPr="00150EDC">
              <w:rPr>
                <w:sz w:val="20"/>
              </w:rPr>
              <w:t>girl</w:t>
            </w:r>
            <w:r w:rsidRPr="00150EDC">
              <w:rPr>
                <w:spacing w:val="-5"/>
                <w:sz w:val="20"/>
              </w:rPr>
              <w:t xml:space="preserve"> </w:t>
            </w:r>
            <w:r w:rsidRPr="00150EDC">
              <w:rPr>
                <w:sz w:val="20"/>
              </w:rPr>
              <w:t>between</w:t>
            </w:r>
            <w:r w:rsidRPr="00150EDC">
              <w:rPr>
                <w:spacing w:val="-3"/>
                <w:sz w:val="20"/>
              </w:rPr>
              <w:t xml:space="preserve"> </w:t>
            </w:r>
            <w:r w:rsidRPr="00150EDC">
              <w:rPr>
                <w:sz w:val="20"/>
              </w:rPr>
              <w:t>12</w:t>
            </w:r>
            <w:r w:rsidRPr="00150EDC">
              <w:rPr>
                <w:spacing w:val="-7"/>
                <w:sz w:val="20"/>
              </w:rPr>
              <w:t xml:space="preserve"> </w:t>
            </w:r>
            <w:r w:rsidRPr="00150EDC">
              <w:rPr>
                <w:sz w:val="20"/>
              </w:rPr>
              <w:t>and</w:t>
            </w:r>
            <w:r w:rsidRPr="00150EDC">
              <w:rPr>
                <w:spacing w:val="-7"/>
                <w:sz w:val="20"/>
              </w:rPr>
              <w:t xml:space="preserve"> </w:t>
            </w:r>
            <w:r w:rsidRPr="00150EDC">
              <w:rPr>
                <w:spacing w:val="-5"/>
                <w:sz w:val="20"/>
              </w:rPr>
              <w:t>16</w:t>
            </w:r>
          </w:p>
        </w:tc>
      </w:tr>
      <w:tr w:rsidR="004569EE" w:rsidRPr="007D3144" w14:paraId="2EA9EFB9" w14:textId="77777777">
        <w:trPr>
          <w:trHeight w:val="255"/>
        </w:trPr>
        <w:tc>
          <w:tcPr>
            <w:tcW w:w="6517" w:type="dxa"/>
          </w:tcPr>
          <w:p w14:paraId="30F735C2" w14:textId="77777777" w:rsidR="004C7180" w:rsidRPr="00150EDC" w:rsidRDefault="00CF0754">
            <w:pPr>
              <w:pStyle w:val="TableParagraph"/>
              <w:rPr>
                <w:sz w:val="20"/>
              </w:rPr>
            </w:pPr>
            <w:r w:rsidRPr="00150EDC">
              <w:rPr>
                <w:sz w:val="20"/>
              </w:rPr>
              <w:t>Criminal</w:t>
            </w:r>
            <w:r w:rsidRPr="00150EDC">
              <w:rPr>
                <w:spacing w:val="-8"/>
                <w:sz w:val="20"/>
              </w:rPr>
              <w:t xml:space="preserve"> </w:t>
            </w:r>
            <w:r w:rsidRPr="00150EDC">
              <w:rPr>
                <w:sz w:val="20"/>
              </w:rPr>
              <w:t>Law</w:t>
            </w:r>
            <w:r w:rsidRPr="00150EDC">
              <w:rPr>
                <w:spacing w:val="-4"/>
                <w:sz w:val="20"/>
              </w:rPr>
              <w:t xml:space="preserve"> </w:t>
            </w:r>
            <w:r w:rsidRPr="00150EDC">
              <w:rPr>
                <w:sz w:val="20"/>
              </w:rPr>
              <w:t>(Consolidation)</w:t>
            </w:r>
            <w:r w:rsidRPr="00150EDC">
              <w:rPr>
                <w:spacing w:val="-5"/>
                <w:sz w:val="20"/>
              </w:rPr>
              <w:t xml:space="preserve"> </w:t>
            </w:r>
            <w:r w:rsidRPr="00150EDC">
              <w:rPr>
                <w:sz w:val="20"/>
              </w:rPr>
              <w:t>(Scotland)</w:t>
            </w:r>
            <w:r w:rsidRPr="00150EDC">
              <w:rPr>
                <w:spacing w:val="-10"/>
                <w:sz w:val="20"/>
              </w:rPr>
              <w:t xml:space="preserve"> </w:t>
            </w:r>
            <w:r w:rsidRPr="00150EDC">
              <w:rPr>
                <w:sz w:val="20"/>
              </w:rPr>
              <w:t>Act</w:t>
            </w:r>
            <w:r w:rsidRPr="00150EDC">
              <w:rPr>
                <w:spacing w:val="-8"/>
                <w:sz w:val="20"/>
              </w:rPr>
              <w:t xml:space="preserve"> </w:t>
            </w:r>
            <w:r w:rsidRPr="00150EDC">
              <w:rPr>
                <w:sz w:val="20"/>
              </w:rPr>
              <w:t>1995,</w:t>
            </w:r>
            <w:r w:rsidRPr="00150EDC">
              <w:rPr>
                <w:spacing w:val="-9"/>
                <w:sz w:val="20"/>
              </w:rPr>
              <w:t xml:space="preserve"> </w:t>
            </w:r>
            <w:r w:rsidRPr="00150EDC">
              <w:rPr>
                <w:spacing w:val="-5"/>
                <w:sz w:val="20"/>
              </w:rPr>
              <w:t>s7</w:t>
            </w:r>
          </w:p>
        </w:tc>
        <w:tc>
          <w:tcPr>
            <w:tcW w:w="7427" w:type="dxa"/>
          </w:tcPr>
          <w:p w14:paraId="16D619D6" w14:textId="77777777" w:rsidR="004C7180" w:rsidRPr="00150EDC" w:rsidRDefault="00CF0754">
            <w:pPr>
              <w:pStyle w:val="TableParagraph"/>
              <w:rPr>
                <w:sz w:val="20"/>
              </w:rPr>
            </w:pPr>
            <w:r w:rsidRPr="00150EDC">
              <w:rPr>
                <w:spacing w:val="-2"/>
                <w:sz w:val="20"/>
              </w:rPr>
              <w:t>Procuring</w:t>
            </w:r>
          </w:p>
        </w:tc>
      </w:tr>
      <w:tr w:rsidR="004569EE" w:rsidRPr="007D3144" w14:paraId="20B028E4" w14:textId="77777777">
        <w:trPr>
          <w:trHeight w:val="255"/>
        </w:trPr>
        <w:tc>
          <w:tcPr>
            <w:tcW w:w="6517" w:type="dxa"/>
          </w:tcPr>
          <w:p w14:paraId="485E62E6" w14:textId="77777777" w:rsidR="004C7180" w:rsidRPr="00150EDC" w:rsidRDefault="00CF0754">
            <w:pPr>
              <w:pStyle w:val="TableParagraph"/>
              <w:rPr>
                <w:sz w:val="20"/>
              </w:rPr>
            </w:pPr>
            <w:r w:rsidRPr="00150EDC">
              <w:rPr>
                <w:sz w:val="20"/>
              </w:rPr>
              <w:t>Criminal</w:t>
            </w:r>
            <w:r w:rsidRPr="00150EDC">
              <w:rPr>
                <w:spacing w:val="-8"/>
                <w:sz w:val="20"/>
              </w:rPr>
              <w:t xml:space="preserve"> </w:t>
            </w:r>
            <w:r w:rsidRPr="00150EDC">
              <w:rPr>
                <w:sz w:val="20"/>
              </w:rPr>
              <w:t>Law</w:t>
            </w:r>
            <w:r w:rsidRPr="00150EDC">
              <w:rPr>
                <w:spacing w:val="-4"/>
                <w:sz w:val="20"/>
              </w:rPr>
              <w:t xml:space="preserve"> </w:t>
            </w:r>
            <w:r w:rsidRPr="00150EDC">
              <w:rPr>
                <w:sz w:val="20"/>
              </w:rPr>
              <w:t>(Consolidation)</w:t>
            </w:r>
            <w:r w:rsidRPr="00150EDC">
              <w:rPr>
                <w:spacing w:val="-5"/>
                <w:sz w:val="20"/>
              </w:rPr>
              <w:t xml:space="preserve"> </w:t>
            </w:r>
            <w:r w:rsidRPr="00150EDC">
              <w:rPr>
                <w:sz w:val="20"/>
              </w:rPr>
              <w:t>(Scotland)</w:t>
            </w:r>
            <w:r w:rsidRPr="00150EDC">
              <w:rPr>
                <w:spacing w:val="-10"/>
                <w:sz w:val="20"/>
              </w:rPr>
              <w:t xml:space="preserve"> </w:t>
            </w:r>
            <w:r w:rsidRPr="00150EDC">
              <w:rPr>
                <w:sz w:val="20"/>
              </w:rPr>
              <w:t>Act</w:t>
            </w:r>
            <w:r w:rsidRPr="00150EDC">
              <w:rPr>
                <w:spacing w:val="-8"/>
                <w:sz w:val="20"/>
              </w:rPr>
              <w:t xml:space="preserve"> </w:t>
            </w:r>
            <w:r w:rsidRPr="00150EDC">
              <w:rPr>
                <w:sz w:val="20"/>
              </w:rPr>
              <w:t>1995,</w:t>
            </w:r>
            <w:r w:rsidRPr="00150EDC">
              <w:rPr>
                <w:spacing w:val="-9"/>
                <w:sz w:val="20"/>
              </w:rPr>
              <w:t xml:space="preserve"> </w:t>
            </w:r>
            <w:r w:rsidRPr="00150EDC">
              <w:rPr>
                <w:spacing w:val="-5"/>
                <w:sz w:val="20"/>
              </w:rPr>
              <w:t>s8</w:t>
            </w:r>
          </w:p>
        </w:tc>
        <w:tc>
          <w:tcPr>
            <w:tcW w:w="7427" w:type="dxa"/>
          </w:tcPr>
          <w:p w14:paraId="6804F176" w14:textId="77777777" w:rsidR="004C7180" w:rsidRPr="00150EDC" w:rsidRDefault="00CF0754">
            <w:pPr>
              <w:pStyle w:val="TableParagraph"/>
              <w:rPr>
                <w:sz w:val="20"/>
              </w:rPr>
            </w:pPr>
            <w:r w:rsidRPr="00150EDC">
              <w:rPr>
                <w:sz w:val="20"/>
              </w:rPr>
              <w:t>Abduction</w:t>
            </w:r>
            <w:r w:rsidRPr="00150EDC">
              <w:rPr>
                <w:spacing w:val="-6"/>
                <w:sz w:val="20"/>
              </w:rPr>
              <w:t xml:space="preserve"> </w:t>
            </w:r>
            <w:r w:rsidRPr="00150EDC">
              <w:rPr>
                <w:sz w:val="20"/>
              </w:rPr>
              <w:t>and</w:t>
            </w:r>
            <w:r w:rsidRPr="00150EDC">
              <w:rPr>
                <w:spacing w:val="-6"/>
                <w:sz w:val="20"/>
              </w:rPr>
              <w:t xml:space="preserve"> </w:t>
            </w:r>
            <w:r w:rsidRPr="00150EDC">
              <w:rPr>
                <w:sz w:val="20"/>
              </w:rPr>
              <w:t>unlawful</w:t>
            </w:r>
            <w:r w:rsidRPr="00150EDC">
              <w:rPr>
                <w:spacing w:val="-3"/>
                <w:sz w:val="20"/>
              </w:rPr>
              <w:t xml:space="preserve"> </w:t>
            </w:r>
            <w:r w:rsidRPr="00150EDC">
              <w:rPr>
                <w:spacing w:val="-2"/>
                <w:sz w:val="20"/>
              </w:rPr>
              <w:t>detention</w:t>
            </w:r>
          </w:p>
        </w:tc>
      </w:tr>
      <w:tr w:rsidR="004569EE" w:rsidRPr="007D3144" w14:paraId="3712440B" w14:textId="77777777">
        <w:trPr>
          <w:trHeight w:val="255"/>
        </w:trPr>
        <w:tc>
          <w:tcPr>
            <w:tcW w:w="6517" w:type="dxa"/>
          </w:tcPr>
          <w:p w14:paraId="211D7152" w14:textId="77777777" w:rsidR="004C7180" w:rsidRPr="00150EDC" w:rsidRDefault="00CF0754">
            <w:pPr>
              <w:pStyle w:val="TableParagraph"/>
              <w:rPr>
                <w:sz w:val="20"/>
              </w:rPr>
            </w:pPr>
            <w:r w:rsidRPr="00150EDC">
              <w:rPr>
                <w:sz w:val="20"/>
              </w:rPr>
              <w:t>Criminal</w:t>
            </w:r>
            <w:r w:rsidRPr="00150EDC">
              <w:rPr>
                <w:spacing w:val="-8"/>
                <w:sz w:val="20"/>
              </w:rPr>
              <w:t xml:space="preserve"> </w:t>
            </w:r>
            <w:r w:rsidRPr="00150EDC">
              <w:rPr>
                <w:sz w:val="20"/>
              </w:rPr>
              <w:t>Law</w:t>
            </w:r>
            <w:r w:rsidRPr="00150EDC">
              <w:rPr>
                <w:spacing w:val="-4"/>
                <w:sz w:val="20"/>
              </w:rPr>
              <w:t xml:space="preserve"> </w:t>
            </w:r>
            <w:r w:rsidRPr="00150EDC">
              <w:rPr>
                <w:sz w:val="20"/>
              </w:rPr>
              <w:t>(Consolidation)</w:t>
            </w:r>
            <w:r w:rsidRPr="00150EDC">
              <w:rPr>
                <w:spacing w:val="-5"/>
                <w:sz w:val="20"/>
              </w:rPr>
              <w:t xml:space="preserve"> </w:t>
            </w:r>
            <w:r w:rsidRPr="00150EDC">
              <w:rPr>
                <w:sz w:val="20"/>
              </w:rPr>
              <w:t>(Scotland)</w:t>
            </w:r>
            <w:r w:rsidRPr="00150EDC">
              <w:rPr>
                <w:spacing w:val="-10"/>
                <w:sz w:val="20"/>
              </w:rPr>
              <w:t xml:space="preserve"> </w:t>
            </w:r>
            <w:r w:rsidRPr="00150EDC">
              <w:rPr>
                <w:sz w:val="20"/>
              </w:rPr>
              <w:t>Act</w:t>
            </w:r>
            <w:r w:rsidRPr="00150EDC">
              <w:rPr>
                <w:spacing w:val="-8"/>
                <w:sz w:val="20"/>
              </w:rPr>
              <w:t xml:space="preserve"> </w:t>
            </w:r>
            <w:r w:rsidRPr="00150EDC">
              <w:rPr>
                <w:sz w:val="20"/>
              </w:rPr>
              <w:t>1995,</w:t>
            </w:r>
            <w:r w:rsidRPr="00150EDC">
              <w:rPr>
                <w:spacing w:val="-9"/>
                <w:sz w:val="20"/>
              </w:rPr>
              <w:t xml:space="preserve"> </w:t>
            </w:r>
            <w:r w:rsidRPr="00150EDC">
              <w:rPr>
                <w:spacing w:val="-5"/>
                <w:sz w:val="20"/>
              </w:rPr>
              <w:t>s9</w:t>
            </w:r>
          </w:p>
        </w:tc>
        <w:tc>
          <w:tcPr>
            <w:tcW w:w="7427" w:type="dxa"/>
          </w:tcPr>
          <w:p w14:paraId="01911D00" w14:textId="77777777" w:rsidR="004C7180" w:rsidRPr="00150EDC" w:rsidRDefault="00CF0754">
            <w:pPr>
              <w:pStyle w:val="TableParagraph"/>
              <w:rPr>
                <w:sz w:val="20"/>
              </w:rPr>
            </w:pPr>
            <w:r w:rsidRPr="00150EDC">
              <w:rPr>
                <w:sz w:val="20"/>
              </w:rPr>
              <w:t>Permitting</w:t>
            </w:r>
            <w:r w:rsidRPr="00150EDC">
              <w:rPr>
                <w:spacing w:val="-4"/>
                <w:sz w:val="20"/>
              </w:rPr>
              <w:t xml:space="preserve"> </w:t>
            </w:r>
            <w:r w:rsidRPr="00150EDC">
              <w:rPr>
                <w:sz w:val="20"/>
              </w:rPr>
              <w:t>girl</w:t>
            </w:r>
            <w:r w:rsidRPr="00150EDC">
              <w:rPr>
                <w:spacing w:val="-2"/>
                <w:sz w:val="20"/>
              </w:rPr>
              <w:t xml:space="preserve"> </w:t>
            </w:r>
            <w:r w:rsidRPr="00150EDC">
              <w:rPr>
                <w:sz w:val="20"/>
              </w:rPr>
              <w:t>to</w:t>
            </w:r>
            <w:r w:rsidRPr="00150EDC">
              <w:rPr>
                <w:spacing w:val="-4"/>
                <w:sz w:val="20"/>
              </w:rPr>
              <w:t xml:space="preserve"> </w:t>
            </w:r>
            <w:r w:rsidRPr="00150EDC">
              <w:rPr>
                <w:sz w:val="20"/>
              </w:rPr>
              <w:t>use</w:t>
            </w:r>
            <w:r w:rsidRPr="00150EDC">
              <w:rPr>
                <w:spacing w:val="-3"/>
                <w:sz w:val="20"/>
              </w:rPr>
              <w:t xml:space="preserve"> </w:t>
            </w:r>
            <w:r w:rsidRPr="00150EDC">
              <w:rPr>
                <w:sz w:val="20"/>
              </w:rPr>
              <w:t>premises</w:t>
            </w:r>
            <w:r w:rsidRPr="00150EDC">
              <w:rPr>
                <w:spacing w:val="-3"/>
                <w:sz w:val="20"/>
              </w:rPr>
              <w:t xml:space="preserve"> </w:t>
            </w:r>
            <w:r w:rsidRPr="00150EDC">
              <w:rPr>
                <w:sz w:val="20"/>
              </w:rPr>
              <w:t>for</w:t>
            </w:r>
            <w:r w:rsidRPr="00150EDC">
              <w:rPr>
                <w:spacing w:val="-3"/>
                <w:sz w:val="20"/>
              </w:rPr>
              <w:t xml:space="preserve"> </w:t>
            </w:r>
            <w:r w:rsidRPr="00150EDC">
              <w:rPr>
                <w:spacing w:val="-2"/>
                <w:sz w:val="20"/>
              </w:rPr>
              <w:t>intercourse</w:t>
            </w:r>
          </w:p>
        </w:tc>
      </w:tr>
      <w:tr w:rsidR="004569EE" w:rsidRPr="007D3144" w14:paraId="08292AAE" w14:textId="77777777">
        <w:trPr>
          <w:trHeight w:val="255"/>
        </w:trPr>
        <w:tc>
          <w:tcPr>
            <w:tcW w:w="6517" w:type="dxa"/>
          </w:tcPr>
          <w:p w14:paraId="52C938EE" w14:textId="77777777" w:rsidR="004C7180" w:rsidRPr="00150EDC" w:rsidRDefault="00CF0754">
            <w:pPr>
              <w:pStyle w:val="TableParagraph"/>
              <w:spacing w:before="28"/>
              <w:rPr>
                <w:sz w:val="20"/>
              </w:rPr>
            </w:pPr>
            <w:r w:rsidRPr="00150EDC">
              <w:rPr>
                <w:sz w:val="20"/>
              </w:rPr>
              <w:t>Criminal</w:t>
            </w:r>
            <w:r w:rsidRPr="00150EDC">
              <w:rPr>
                <w:spacing w:val="-8"/>
                <w:sz w:val="20"/>
              </w:rPr>
              <w:t xml:space="preserve"> </w:t>
            </w:r>
            <w:r w:rsidRPr="00150EDC">
              <w:rPr>
                <w:sz w:val="20"/>
              </w:rPr>
              <w:t>Law</w:t>
            </w:r>
            <w:r w:rsidRPr="00150EDC">
              <w:rPr>
                <w:spacing w:val="-5"/>
                <w:sz w:val="20"/>
              </w:rPr>
              <w:t xml:space="preserve"> </w:t>
            </w:r>
            <w:r w:rsidRPr="00150EDC">
              <w:rPr>
                <w:sz w:val="20"/>
              </w:rPr>
              <w:t>Act</w:t>
            </w:r>
            <w:r w:rsidRPr="00150EDC">
              <w:rPr>
                <w:spacing w:val="-6"/>
                <w:sz w:val="20"/>
              </w:rPr>
              <w:t xml:space="preserve"> </w:t>
            </w:r>
            <w:r w:rsidRPr="00150EDC">
              <w:rPr>
                <w:sz w:val="20"/>
              </w:rPr>
              <w:t>1977,</w:t>
            </w:r>
            <w:r w:rsidRPr="00150EDC">
              <w:rPr>
                <w:spacing w:val="-7"/>
                <w:sz w:val="20"/>
              </w:rPr>
              <w:t xml:space="preserve"> </w:t>
            </w:r>
            <w:r w:rsidRPr="00150EDC">
              <w:rPr>
                <w:spacing w:val="-5"/>
                <w:sz w:val="20"/>
              </w:rPr>
              <w:t>s54</w:t>
            </w:r>
          </w:p>
        </w:tc>
        <w:tc>
          <w:tcPr>
            <w:tcW w:w="7427" w:type="dxa"/>
          </w:tcPr>
          <w:p w14:paraId="0C99ED16" w14:textId="77777777" w:rsidR="004C7180" w:rsidRPr="00150EDC" w:rsidRDefault="00CF0754">
            <w:pPr>
              <w:pStyle w:val="TableParagraph"/>
              <w:spacing w:before="28"/>
              <w:rPr>
                <w:sz w:val="20"/>
              </w:rPr>
            </w:pPr>
            <w:r w:rsidRPr="00150EDC">
              <w:rPr>
                <w:sz w:val="20"/>
              </w:rPr>
              <w:t>Inciting</w:t>
            </w:r>
            <w:r w:rsidRPr="00150EDC">
              <w:rPr>
                <w:spacing w:val="-6"/>
                <w:sz w:val="20"/>
              </w:rPr>
              <w:t xml:space="preserve"> </w:t>
            </w:r>
            <w:r w:rsidRPr="00150EDC">
              <w:rPr>
                <w:sz w:val="20"/>
              </w:rPr>
              <w:t>girl</w:t>
            </w:r>
            <w:r w:rsidRPr="00150EDC">
              <w:rPr>
                <w:spacing w:val="1"/>
                <w:sz w:val="20"/>
              </w:rPr>
              <w:t xml:space="preserve"> </w:t>
            </w:r>
            <w:r w:rsidRPr="00150EDC">
              <w:rPr>
                <w:sz w:val="20"/>
              </w:rPr>
              <w:t>under</w:t>
            </w:r>
            <w:r w:rsidRPr="00150EDC">
              <w:rPr>
                <w:spacing w:val="-5"/>
                <w:sz w:val="20"/>
              </w:rPr>
              <w:t xml:space="preserve"> </w:t>
            </w:r>
            <w:r w:rsidRPr="00150EDC">
              <w:rPr>
                <w:sz w:val="20"/>
              </w:rPr>
              <w:t>16</w:t>
            </w:r>
            <w:r w:rsidRPr="00150EDC">
              <w:rPr>
                <w:spacing w:val="-6"/>
                <w:sz w:val="20"/>
              </w:rPr>
              <w:t xml:space="preserve"> </w:t>
            </w:r>
            <w:r w:rsidRPr="00150EDC">
              <w:rPr>
                <w:sz w:val="20"/>
              </w:rPr>
              <w:t>to</w:t>
            </w:r>
            <w:r w:rsidRPr="00150EDC">
              <w:rPr>
                <w:spacing w:val="-5"/>
                <w:sz w:val="20"/>
              </w:rPr>
              <w:t xml:space="preserve"> </w:t>
            </w:r>
            <w:r w:rsidRPr="00150EDC">
              <w:rPr>
                <w:sz w:val="20"/>
              </w:rPr>
              <w:t>have</w:t>
            </w:r>
            <w:r w:rsidRPr="00150EDC">
              <w:rPr>
                <w:spacing w:val="-5"/>
                <w:sz w:val="20"/>
              </w:rPr>
              <w:t xml:space="preserve"> </w:t>
            </w:r>
            <w:r w:rsidRPr="00150EDC">
              <w:rPr>
                <w:sz w:val="20"/>
              </w:rPr>
              <w:t>incestuous</w:t>
            </w:r>
            <w:r w:rsidRPr="00150EDC">
              <w:rPr>
                <w:spacing w:val="-4"/>
                <w:sz w:val="20"/>
              </w:rPr>
              <w:t xml:space="preserve"> </w:t>
            </w:r>
            <w:r w:rsidRPr="00150EDC">
              <w:rPr>
                <w:sz w:val="20"/>
              </w:rPr>
              <w:t>sexual</w:t>
            </w:r>
            <w:r w:rsidRPr="00150EDC">
              <w:rPr>
                <w:spacing w:val="-4"/>
                <w:sz w:val="20"/>
              </w:rPr>
              <w:t xml:space="preserve"> </w:t>
            </w:r>
            <w:r w:rsidRPr="00150EDC">
              <w:rPr>
                <w:spacing w:val="-2"/>
                <w:sz w:val="20"/>
              </w:rPr>
              <w:t>intercourse</w:t>
            </w:r>
          </w:p>
        </w:tc>
      </w:tr>
      <w:tr w:rsidR="004569EE" w:rsidRPr="007D3144" w14:paraId="06709738" w14:textId="77777777">
        <w:trPr>
          <w:trHeight w:val="255"/>
        </w:trPr>
        <w:tc>
          <w:tcPr>
            <w:tcW w:w="6517" w:type="dxa"/>
          </w:tcPr>
          <w:p w14:paraId="2E5705D7" w14:textId="77777777" w:rsidR="004C7180" w:rsidRPr="00150EDC" w:rsidRDefault="00CF0754">
            <w:pPr>
              <w:pStyle w:val="TableParagraph"/>
              <w:rPr>
                <w:sz w:val="20"/>
              </w:rPr>
            </w:pPr>
            <w:r w:rsidRPr="00150EDC">
              <w:rPr>
                <w:sz w:val="20"/>
              </w:rPr>
              <w:t>Criminal</w:t>
            </w:r>
            <w:r w:rsidRPr="00150EDC">
              <w:rPr>
                <w:spacing w:val="-8"/>
                <w:sz w:val="20"/>
              </w:rPr>
              <w:t xml:space="preserve"> </w:t>
            </w:r>
            <w:r w:rsidRPr="00150EDC">
              <w:rPr>
                <w:sz w:val="20"/>
              </w:rPr>
              <w:t>Law</w:t>
            </w:r>
            <w:r w:rsidRPr="00150EDC">
              <w:rPr>
                <w:spacing w:val="-5"/>
                <w:sz w:val="20"/>
              </w:rPr>
              <w:t xml:space="preserve"> </w:t>
            </w:r>
            <w:r w:rsidRPr="00150EDC">
              <w:rPr>
                <w:sz w:val="20"/>
              </w:rPr>
              <w:t>Act</w:t>
            </w:r>
            <w:r w:rsidRPr="00150EDC">
              <w:rPr>
                <w:spacing w:val="-6"/>
                <w:sz w:val="20"/>
              </w:rPr>
              <w:t xml:space="preserve"> </w:t>
            </w:r>
            <w:r w:rsidRPr="00150EDC">
              <w:rPr>
                <w:sz w:val="20"/>
              </w:rPr>
              <w:t>1977,</w:t>
            </w:r>
            <w:r w:rsidRPr="00150EDC">
              <w:rPr>
                <w:spacing w:val="-7"/>
                <w:sz w:val="20"/>
              </w:rPr>
              <w:t xml:space="preserve"> </w:t>
            </w:r>
            <w:r w:rsidRPr="00150EDC">
              <w:rPr>
                <w:spacing w:val="-5"/>
                <w:sz w:val="20"/>
              </w:rPr>
              <w:t>s1</w:t>
            </w:r>
          </w:p>
        </w:tc>
        <w:tc>
          <w:tcPr>
            <w:tcW w:w="7427" w:type="dxa"/>
          </w:tcPr>
          <w:p w14:paraId="5B87DE86" w14:textId="77777777" w:rsidR="004C7180" w:rsidRPr="00150EDC" w:rsidRDefault="00CF0754">
            <w:pPr>
              <w:pStyle w:val="TableParagraph"/>
              <w:rPr>
                <w:sz w:val="20"/>
              </w:rPr>
            </w:pPr>
            <w:r w:rsidRPr="00150EDC">
              <w:rPr>
                <w:spacing w:val="-2"/>
                <w:sz w:val="20"/>
              </w:rPr>
              <w:t>Conspiracy</w:t>
            </w:r>
          </w:p>
        </w:tc>
      </w:tr>
      <w:tr w:rsidR="004569EE" w:rsidRPr="007D3144" w14:paraId="06C25180" w14:textId="77777777">
        <w:trPr>
          <w:trHeight w:val="255"/>
        </w:trPr>
        <w:tc>
          <w:tcPr>
            <w:tcW w:w="6517" w:type="dxa"/>
          </w:tcPr>
          <w:p w14:paraId="2865FF56" w14:textId="77777777" w:rsidR="004C7180" w:rsidRPr="00150EDC" w:rsidRDefault="00CF0754">
            <w:pPr>
              <w:pStyle w:val="TableParagraph"/>
              <w:rPr>
                <w:sz w:val="20"/>
              </w:rPr>
            </w:pPr>
            <w:r w:rsidRPr="00150EDC">
              <w:rPr>
                <w:sz w:val="20"/>
              </w:rPr>
              <w:t>Criminal</w:t>
            </w:r>
            <w:r w:rsidRPr="00150EDC">
              <w:rPr>
                <w:spacing w:val="-8"/>
                <w:sz w:val="20"/>
              </w:rPr>
              <w:t xml:space="preserve"> </w:t>
            </w:r>
            <w:r w:rsidRPr="00150EDC">
              <w:rPr>
                <w:sz w:val="20"/>
              </w:rPr>
              <w:t>Law</w:t>
            </w:r>
            <w:r w:rsidRPr="00150EDC">
              <w:rPr>
                <w:spacing w:val="-5"/>
                <w:sz w:val="20"/>
              </w:rPr>
              <w:t xml:space="preserve"> </w:t>
            </w:r>
            <w:r w:rsidRPr="00150EDC">
              <w:rPr>
                <w:sz w:val="20"/>
              </w:rPr>
              <w:t>Act</w:t>
            </w:r>
            <w:r w:rsidRPr="00150EDC">
              <w:rPr>
                <w:spacing w:val="-6"/>
                <w:sz w:val="20"/>
              </w:rPr>
              <w:t xml:space="preserve"> </w:t>
            </w:r>
            <w:r w:rsidRPr="00150EDC">
              <w:rPr>
                <w:sz w:val="20"/>
              </w:rPr>
              <w:t>1977,</w:t>
            </w:r>
            <w:r w:rsidRPr="00150EDC">
              <w:rPr>
                <w:spacing w:val="-6"/>
                <w:sz w:val="20"/>
              </w:rPr>
              <w:t xml:space="preserve"> </w:t>
            </w:r>
            <w:r w:rsidRPr="00150EDC">
              <w:rPr>
                <w:spacing w:val="-5"/>
                <w:sz w:val="20"/>
              </w:rPr>
              <w:t>s1A</w:t>
            </w:r>
          </w:p>
        </w:tc>
        <w:tc>
          <w:tcPr>
            <w:tcW w:w="7427" w:type="dxa"/>
          </w:tcPr>
          <w:p w14:paraId="6C013E5C" w14:textId="77777777" w:rsidR="004C7180" w:rsidRPr="00150EDC" w:rsidRDefault="00CF0754">
            <w:pPr>
              <w:pStyle w:val="TableParagraph"/>
              <w:rPr>
                <w:sz w:val="20"/>
              </w:rPr>
            </w:pPr>
            <w:r w:rsidRPr="00150EDC">
              <w:rPr>
                <w:sz w:val="20"/>
              </w:rPr>
              <w:t>Conspiracy</w:t>
            </w:r>
            <w:r w:rsidRPr="00150EDC">
              <w:rPr>
                <w:spacing w:val="-7"/>
                <w:sz w:val="20"/>
              </w:rPr>
              <w:t xml:space="preserve"> </w:t>
            </w:r>
            <w:r w:rsidRPr="00150EDC">
              <w:rPr>
                <w:sz w:val="20"/>
              </w:rPr>
              <w:t>to</w:t>
            </w:r>
            <w:r w:rsidRPr="00150EDC">
              <w:rPr>
                <w:spacing w:val="-6"/>
                <w:sz w:val="20"/>
              </w:rPr>
              <w:t xml:space="preserve"> </w:t>
            </w:r>
            <w:r w:rsidRPr="00150EDC">
              <w:rPr>
                <w:sz w:val="20"/>
              </w:rPr>
              <w:t>commit</w:t>
            </w:r>
            <w:r w:rsidRPr="00150EDC">
              <w:rPr>
                <w:spacing w:val="-5"/>
                <w:sz w:val="20"/>
              </w:rPr>
              <w:t xml:space="preserve"> </w:t>
            </w:r>
            <w:r w:rsidRPr="00150EDC">
              <w:rPr>
                <w:sz w:val="20"/>
              </w:rPr>
              <w:t>offences</w:t>
            </w:r>
            <w:r w:rsidRPr="00150EDC">
              <w:rPr>
                <w:spacing w:val="-4"/>
                <w:sz w:val="20"/>
              </w:rPr>
              <w:t xml:space="preserve"> </w:t>
            </w:r>
            <w:r w:rsidRPr="00150EDC">
              <w:rPr>
                <w:sz w:val="20"/>
              </w:rPr>
              <w:t>outside</w:t>
            </w:r>
            <w:r w:rsidRPr="00150EDC">
              <w:rPr>
                <w:spacing w:val="-6"/>
                <w:sz w:val="20"/>
              </w:rPr>
              <w:t xml:space="preserve"> </w:t>
            </w:r>
            <w:r w:rsidRPr="00150EDC">
              <w:rPr>
                <w:sz w:val="20"/>
              </w:rPr>
              <w:t>the</w:t>
            </w:r>
            <w:r w:rsidRPr="00150EDC">
              <w:rPr>
                <w:spacing w:val="-6"/>
                <w:sz w:val="20"/>
              </w:rPr>
              <w:t xml:space="preserve"> </w:t>
            </w:r>
            <w:r w:rsidRPr="00150EDC">
              <w:rPr>
                <w:sz w:val="20"/>
              </w:rPr>
              <w:t xml:space="preserve">United </w:t>
            </w:r>
            <w:r w:rsidRPr="00150EDC">
              <w:rPr>
                <w:spacing w:val="-2"/>
                <w:sz w:val="20"/>
              </w:rPr>
              <w:t>Kingdom</w:t>
            </w:r>
          </w:p>
        </w:tc>
      </w:tr>
      <w:tr w:rsidR="004569EE" w:rsidRPr="007D3144" w14:paraId="39819ECC" w14:textId="77777777">
        <w:trPr>
          <w:trHeight w:val="255"/>
        </w:trPr>
        <w:tc>
          <w:tcPr>
            <w:tcW w:w="6517" w:type="dxa"/>
          </w:tcPr>
          <w:p w14:paraId="67BD5B90" w14:textId="77777777" w:rsidR="004C7180" w:rsidRPr="00150EDC" w:rsidRDefault="00CF0754">
            <w:pPr>
              <w:pStyle w:val="TableParagraph"/>
              <w:rPr>
                <w:sz w:val="20"/>
              </w:rPr>
            </w:pPr>
            <w:r w:rsidRPr="00150EDC">
              <w:rPr>
                <w:sz w:val="20"/>
              </w:rPr>
              <w:t>Criminal</w:t>
            </w:r>
            <w:r w:rsidRPr="00150EDC">
              <w:rPr>
                <w:spacing w:val="-8"/>
                <w:sz w:val="20"/>
              </w:rPr>
              <w:t xml:space="preserve"> </w:t>
            </w:r>
            <w:r w:rsidRPr="00150EDC">
              <w:rPr>
                <w:sz w:val="20"/>
              </w:rPr>
              <w:t>Law</w:t>
            </w:r>
            <w:r w:rsidRPr="00150EDC">
              <w:rPr>
                <w:spacing w:val="-5"/>
                <w:sz w:val="20"/>
              </w:rPr>
              <w:t xml:space="preserve"> </w:t>
            </w:r>
            <w:r w:rsidRPr="00150EDC">
              <w:rPr>
                <w:sz w:val="20"/>
              </w:rPr>
              <w:t>Act</w:t>
            </w:r>
            <w:r w:rsidRPr="00150EDC">
              <w:rPr>
                <w:spacing w:val="-6"/>
                <w:sz w:val="20"/>
              </w:rPr>
              <w:t xml:space="preserve"> </w:t>
            </w:r>
            <w:r w:rsidRPr="00150EDC">
              <w:rPr>
                <w:sz w:val="20"/>
              </w:rPr>
              <w:t>1981,</w:t>
            </w:r>
            <w:r w:rsidRPr="00150EDC">
              <w:rPr>
                <w:spacing w:val="-7"/>
                <w:sz w:val="20"/>
              </w:rPr>
              <w:t xml:space="preserve"> </w:t>
            </w:r>
            <w:r w:rsidRPr="00150EDC">
              <w:rPr>
                <w:spacing w:val="-4"/>
                <w:sz w:val="20"/>
              </w:rPr>
              <w:t>s2(1)</w:t>
            </w:r>
          </w:p>
        </w:tc>
        <w:tc>
          <w:tcPr>
            <w:tcW w:w="7427" w:type="dxa"/>
          </w:tcPr>
          <w:p w14:paraId="666E88C3" w14:textId="77777777" w:rsidR="004C7180" w:rsidRPr="00150EDC" w:rsidRDefault="00CF0754">
            <w:pPr>
              <w:pStyle w:val="TableParagraph"/>
              <w:rPr>
                <w:sz w:val="20"/>
              </w:rPr>
            </w:pPr>
            <w:r w:rsidRPr="00150EDC">
              <w:rPr>
                <w:sz w:val="20"/>
              </w:rPr>
              <w:t>Aiding,</w:t>
            </w:r>
            <w:r w:rsidRPr="00150EDC">
              <w:rPr>
                <w:spacing w:val="-8"/>
                <w:sz w:val="20"/>
              </w:rPr>
              <w:t xml:space="preserve"> </w:t>
            </w:r>
            <w:r w:rsidRPr="00150EDC">
              <w:rPr>
                <w:sz w:val="20"/>
              </w:rPr>
              <w:t>abetting,</w:t>
            </w:r>
            <w:r w:rsidRPr="00150EDC">
              <w:rPr>
                <w:spacing w:val="-6"/>
                <w:sz w:val="20"/>
              </w:rPr>
              <w:t xml:space="preserve"> </w:t>
            </w:r>
            <w:r w:rsidRPr="00150EDC">
              <w:rPr>
                <w:sz w:val="20"/>
              </w:rPr>
              <w:t>counselling</w:t>
            </w:r>
            <w:r w:rsidRPr="00150EDC">
              <w:rPr>
                <w:spacing w:val="-5"/>
                <w:sz w:val="20"/>
              </w:rPr>
              <w:t xml:space="preserve"> </w:t>
            </w:r>
            <w:r w:rsidRPr="00150EDC">
              <w:rPr>
                <w:sz w:val="20"/>
              </w:rPr>
              <w:t>or</w:t>
            </w:r>
            <w:r w:rsidRPr="00150EDC">
              <w:rPr>
                <w:spacing w:val="-6"/>
                <w:sz w:val="20"/>
              </w:rPr>
              <w:t xml:space="preserve"> </w:t>
            </w:r>
            <w:r w:rsidRPr="00150EDC">
              <w:rPr>
                <w:sz w:val="20"/>
              </w:rPr>
              <w:t>procuring</w:t>
            </w:r>
            <w:r w:rsidRPr="00150EDC">
              <w:rPr>
                <w:spacing w:val="-6"/>
                <w:sz w:val="20"/>
              </w:rPr>
              <w:t xml:space="preserve"> </w:t>
            </w:r>
            <w:r w:rsidRPr="00150EDC">
              <w:rPr>
                <w:sz w:val="20"/>
              </w:rPr>
              <w:t>another's</w:t>
            </w:r>
            <w:r w:rsidRPr="00150EDC">
              <w:rPr>
                <w:spacing w:val="-5"/>
                <w:sz w:val="20"/>
              </w:rPr>
              <w:t xml:space="preserve"> </w:t>
            </w:r>
            <w:r w:rsidRPr="00150EDC">
              <w:rPr>
                <w:sz w:val="20"/>
              </w:rPr>
              <w:t>suicide</w:t>
            </w:r>
            <w:r w:rsidRPr="00150EDC">
              <w:rPr>
                <w:spacing w:val="-5"/>
                <w:sz w:val="20"/>
              </w:rPr>
              <w:t xml:space="preserve"> </w:t>
            </w:r>
            <w:r w:rsidRPr="00150EDC">
              <w:rPr>
                <w:sz w:val="20"/>
              </w:rPr>
              <w:t>or</w:t>
            </w:r>
            <w:r w:rsidRPr="00150EDC">
              <w:rPr>
                <w:spacing w:val="-6"/>
                <w:sz w:val="20"/>
              </w:rPr>
              <w:t xml:space="preserve"> </w:t>
            </w:r>
            <w:r w:rsidRPr="00150EDC">
              <w:rPr>
                <w:sz w:val="20"/>
              </w:rPr>
              <w:t>attempted</w:t>
            </w:r>
            <w:r w:rsidRPr="00150EDC">
              <w:rPr>
                <w:spacing w:val="-5"/>
                <w:sz w:val="20"/>
              </w:rPr>
              <w:t xml:space="preserve"> </w:t>
            </w:r>
            <w:r w:rsidRPr="00150EDC">
              <w:rPr>
                <w:spacing w:val="-2"/>
                <w:sz w:val="20"/>
              </w:rPr>
              <w:t>suicide</w:t>
            </w:r>
          </w:p>
        </w:tc>
      </w:tr>
      <w:tr w:rsidR="004569EE" w:rsidRPr="007D3144" w14:paraId="22FAF89C" w14:textId="77777777">
        <w:trPr>
          <w:trHeight w:val="510"/>
        </w:trPr>
        <w:tc>
          <w:tcPr>
            <w:tcW w:w="6517" w:type="dxa"/>
          </w:tcPr>
          <w:p w14:paraId="3CB5B88C" w14:textId="77777777" w:rsidR="004C7180" w:rsidRPr="00150EDC" w:rsidRDefault="004C7180">
            <w:pPr>
              <w:pStyle w:val="TableParagraph"/>
              <w:spacing w:before="7" w:line="240" w:lineRule="auto"/>
              <w:ind w:left="0"/>
              <w:rPr>
                <w:sz w:val="24"/>
              </w:rPr>
            </w:pPr>
          </w:p>
          <w:p w14:paraId="2275B4CB" w14:textId="77777777" w:rsidR="004C7180" w:rsidRPr="00150EDC" w:rsidRDefault="00CF0754">
            <w:pPr>
              <w:pStyle w:val="TableParagraph"/>
              <w:spacing w:before="0"/>
              <w:rPr>
                <w:sz w:val="20"/>
              </w:rPr>
            </w:pPr>
            <w:r w:rsidRPr="00150EDC">
              <w:rPr>
                <w:sz w:val="20"/>
              </w:rPr>
              <w:t>Criminal</w:t>
            </w:r>
            <w:r w:rsidRPr="00150EDC">
              <w:rPr>
                <w:spacing w:val="-7"/>
                <w:sz w:val="20"/>
              </w:rPr>
              <w:t xml:space="preserve"> </w:t>
            </w:r>
            <w:r w:rsidRPr="00150EDC">
              <w:rPr>
                <w:sz w:val="20"/>
              </w:rPr>
              <w:t>Law</w:t>
            </w:r>
            <w:r w:rsidRPr="00150EDC">
              <w:rPr>
                <w:spacing w:val="-5"/>
                <w:sz w:val="20"/>
              </w:rPr>
              <w:t xml:space="preserve"> </w:t>
            </w:r>
            <w:r w:rsidRPr="00150EDC">
              <w:rPr>
                <w:sz w:val="20"/>
              </w:rPr>
              <w:t>Amendment</w:t>
            </w:r>
            <w:r w:rsidRPr="00150EDC">
              <w:rPr>
                <w:spacing w:val="-7"/>
                <w:sz w:val="20"/>
              </w:rPr>
              <w:t xml:space="preserve"> </w:t>
            </w:r>
            <w:r w:rsidRPr="00150EDC">
              <w:rPr>
                <w:sz w:val="20"/>
              </w:rPr>
              <w:t>Act</w:t>
            </w:r>
            <w:r w:rsidRPr="00150EDC">
              <w:rPr>
                <w:spacing w:val="-6"/>
                <w:sz w:val="20"/>
              </w:rPr>
              <w:t xml:space="preserve"> </w:t>
            </w:r>
            <w:r w:rsidRPr="00150EDC">
              <w:rPr>
                <w:sz w:val="20"/>
              </w:rPr>
              <w:t>1885,</w:t>
            </w:r>
            <w:r w:rsidRPr="00150EDC">
              <w:rPr>
                <w:spacing w:val="-6"/>
                <w:sz w:val="20"/>
              </w:rPr>
              <w:t xml:space="preserve"> </w:t>
            </w:r>
            <w:r w:rsidRPr="00150EDC">
              <w:rPr>
                <w:spacing w:val="-5"/>
                <w:sz w:val="20"/>
              </w:rPr>
              <w:t>s11</w:t>
            </w:r>
          </w:p>
        </w:tc>
        <w:tc>
          <w:tcPr>
            <w:tcW w:w="7427" w:type="dxa"/>
          </w:tcPr>
          <w:p w14:paraId="18A592BC" w14:textId="77777777" w:rsidR="004C7180" w:rsidRPr="00150EDC" w:rsidRDefault="00CF0754">
            <w:pPr>
              <w:pStyle w:val="TableParagraph"/>
              <w:spacing w:before="33" w:line="230" w:lineRule="atLeast"/>
              <w:ind w:right="186"/>
              <w:rPr>
                <w:sz w:val="20"/>
              </w:rPr>
            </w:pPr>
            <w:r w:rsidRPr="00150EDC">
              <w:rPr>
                <w:sz w:val="20"/>
              </w:rPr>
              <w:t>Outrages on decency - gross indecency, where the person with whom the offence</w:t>
            </w:r>
            <w:r w:rsidRPr="00150EDC">
              <w:rPr>
                <w:spacing w:val="-5"/>
                <w:sz w:val="20"/>
              </w:rPr>
              <w:t xml:space="preserve"> </w:t>
            </w:r>
            <w:r w:rsidRPr="00150EDC">
              <w:rPr>
                <w:sz w:val="20"/>
              </w:rPr>
              <w:t>was committed</w:t>
            </w:r>
            <w:r w:rsidRPr="00150EDC">
              <w:rPr>
                <w:spacing w:val="-5"/>
                <w:sz w:val="20"/>
              </w:rPr>
              <w:t xml:space="preserve"> </w:t>
            </w:r>
            <w:r w:rsidRPr="00150EDC">
              <w:rPr>
                <w:sz w:val="20"/>
              </w:rPr>
              <w:t>was under</w:t>
            </w:r>
            <w:r w:rsidRPr="00150EDC">
              <w:rPr>
                <w:spacing w:val="-5"/>
                <w:sz w:val="20"/>
              </w:rPr>
              <w:t xml:space="preserve"> </w:t>
            </w:r>
            <w:r w:rsidRPr="00150EDC">
              <w:rPr>
                <w:sz w:val="20"/>
              </w:rPr>
              <w:t>the</w:t>
            </w:r>
            <w:r w:rsidRPr="00150EDC">
              <w:rPr>
                <w:spacing w:val="-1"/>
                <w:sz w:val="20"/>
              </w:rPr>
              <w:t xml:space="preserve"> </w:t>
            </w:r>
            <w:r w:rsidRPr="00150EDC">
              <w:rPr>
                <w:sz w:val="20"/>
              </w:rPr>
              <w:t>age</w:t>
            </w:r>
            <w:r w:rsidRPr="00150EDC">
              <w:rPr>
                <w:spacing w:val="-1"/>
                <w:sz w:val="20"/>
              </w:rPr>
              <w:t xml:space="preserve"> </w:t>
            </w:r>
            <w:r w:rsidRPr="00150EDC">
              <w:rPr>
                <w:sz w:val="20"/>
              </w:rPr>
              <w:t>of</w:t>
            </w:r>
            <w:r w:rsidRPr="00150EDC">
              <w:rPr>
                <w:spacing w:val="-5"/>
                <w:sz w:val="20"/>
              </w:rPr>
              <w:t xml:space="preserve"> </w:t>
            </w:r>
            <w:r w:rsidRPr="00150EDC">
              <w:rPr>
                <w:sz w:val="20"/>
              </w:rPr>
              <w:t>16</w:t>
            </w:r>
            <w:r w:rsidRPr="00150EDC">
              <w:rPr>
                <w:spacing w:val="-1"/>
                <w:sz w:val="20"/>
              </w:rPr>
              <w:t xml:space="preserve"> </w:t>
            </w:r>
            <w:r w:rsidRPr="00150EDC">
              <w:rPr>
                <w:sz w:val="20"/>
              </w:rPr>
              <w:t>or</w:t>
            </w:r>
            <w:r w:rsidRPr="00150EDC">
              <w:rPr>
                <w:spacing w:val="-5"/>
                <w:sz w:val="20"/>
              </w:rPr>
              <w:t xml:space="preserve"> </w:t>
            </w:r>
            <w:r w:rsidRPr="00150EDC">
              <w:rPr>
                <w:sz w:val="20"/>
              </w:rPr>
              <w:t>did</w:t>
            </w:r>
            <w:r w:rsidRPr="00150EDC">
              <w:rPr>
                <w:spacing w:val="-6"/>
                <w:sz w:val="20"/>
              </w:rPr>
              <w:t xml:space="preserve"> </w:t>
            </w:r>
            <w:r w:rsidRPr="00150EDC">
              <w:rPr>
                <w:sz w:val="20"/>
              </w:rPr>
              <w:t>not</w:t>
            </w:r>
            <w:r w:rsidRPr="00150EDC">
              <w:rPr>
                <w:spacing w:val="-5"/>
                <w:sz w:val="20"/>
              </w:rPr>
              <w:t xml:space="preserve"> </w:t>
            </w:r>
            <w:r w:rsidRPr="00150EDC">
              <w:rPr>
                <w:sz w:val="20"/>
              </w:rPr>
              <w:t>consent</w:t>
            </w:r>
            <w:r w:rsidRPr="00150EDC">
              <w:rPr>
                <w:spacing w:val="-1"/>
                <w:sz w:val="20"/>
              </w:rPr>
              <w:t xml:space="preserve"> </w:t>
            </w:r>
            <w:r w:rsidRPr="00150EDC">
              <w:rPr>
                <w:sz w:val="20"/>
              </w:rPr>
              <w:t>to</w:t>
            </w:r>
            <w:r w:rsidRPr="00150EDC">
              <w:rPr>
                <w:spacing w:val="-5"/>
                <w:sz w:val="20"/>
              </w:rPr>
              <w:t xml:space="preserve"> </w:t>
            </w:r>
            <w:r w:rsidRPr="00150EDC">
              <w:rPr>
                <w:sz w:val="20"/>
              </w:rPr>
              <w:t>the</w:t>
            </w:r>
            <w:r w:rsidRPr="00150EDC">
              <w:rPr>
                <w:spacing w:val="-6"/>
                <w:sz w:val="20"/>
              </w:rPr>
              <w:t xml:space="preserve"> </w:t>
            </w:r>
            <w:r w:rsidRPr="00150EDC">
              <w:rPr>
                <w:sz w:val="20"/>
              </w:rPr>
              <w:t>act</w:t>
            </w:r>
          </w:p>
        </w:tc>
      </w:tr>
      <w:tr w:rsidR="004569EE" w:rsidRPr="007D3144" w14:paraId="0EEE849E" w14:textId="77777777">
        <w:trPr>
          <w:trHeight w:val="255"/>
        </w:trPr>
        <w:tc>
          <w:tcPr>
            <w:tcW w:w="6517" w:type="dxa"/>
          </w:tcPr>
          <w:p w14:paraId="11204900" w14:textId="77777777" w:rsidR="004C7180" w:rsidRPr="00150EDC" w:rsidRDefault="00CF0754">
            <w:pPr>
              <w:pStyle w:val="TableParagraph"/>
              <w:rPr>
                <w:sz w:val="20"/>
              </w:rPr>
            </w:pPr>
            <w:r w:rsidRPr="00150EDC">
              <w:rPr>
                <w:sz w:val="20"/>
              </w:rPr>
              <w:t>Criminal</w:t>
            </w:r>
            <w:r w:rsidRPr="00150EDC">
              <w:rPr>
                <w:spacing w:val="-7"/>
                <w:sz w:val="20"/>
              </w:rPr>
              <w:t xml:space="preserve"> </w:t>
            </w:r>
            <w:r w:rsidRPr="00150EDC">
              <w:rPr>
                <w:sz w:val="20"/>
              </w:rPr>
              <w:t>Law</w:t>
            </w:r>
            <w:r w:rsidRPr="00150EDC">
              <w:rPr>
                <w:spacing w:val="-5"/>
                <w:sz w:val="20"/>
              </w:rPr>
              <w:t xml:space="preserve"> </w:t>
            </w:r>
            <w:r w:rsidRPr="00150EDC">
              <w:rPr>
                <w:sz w:val="20"/>
              </w:rPr>
              <w:t>Amendment</w:t>
            </w:r>
            <w:r w:rsidRPr="00150EDC">
              <w:rPr>
                <w:spacing w:val="-7"/>
                <w:sz w:val="20"/>
              </w:rPr>
              <w:t xml:space="preserve"> </w:t>
            </w:r>
            <w:r w:rsidRPr="00150EDC">
              <w:rPr>
                <w:sz w:val="20"/>
              </w:rPr>
              <w:t>Act</w:t>
            </w:r>
            <w:r w:rsidRPr="00150EDC">
              <w:rPr>
                <w:spacing w:val="-6"/>
                <w:sz w:val="20"/>
              </w:rPr>
              <w:t xml:space="preserve"> </w:t>
            </w:r>
            <w:r w:rsidRPr="00150EDC">
              <w:rPr>
                <w:sz w:val="20"/>
              </w:rPr>
              <w:t>1885,</w:t>
            </w:r>
            <w:r w:rsidRPr="00150EDC">
              <w:rPr>
                <w:spacing w:val="-6"/>
                <w:sz w:val="20"/>
              </w:rPr>
              <w:t xml:space="preserve"> </w:t>
            </w:r>
            <w:r w:rsidRPr="00150EDC">
              <w:rPr>
                <w:spacing w:val="-5"/>
                <w:sz w:val="20"/>
              </w:rPr>
              <w:t>s13</w:t>
            </w:r>
          </w:p>
        </w:tc>
        <w:tc>
          <w:tcPr>
            <w:tcW w:w="7427" w:type="dxa"/>
          </w:tcPr>
          <w:p w14:paraId="1E9D2DB0" w14:textId="77777777" w:rsidR="004C7180" w:rsidRPr="00150EDC" w:rsidRDefault="00CF0754">
            <w:pPr>
              <w:pStyle w:val="TableParagraph"/>
              <w:rPr>
                <w:sz w:val="20"/>
              </w:rPr>
            </w:pPr>
            <w:r w:rsidRPr="00150EDC">
              <w:rPr>
                <w:sz w:val="20"/>
              </w:rPr>
              <w:t>Brothel</w:t>
            </w:r>
            <w:r w:rsidRPr="00150EDC">
              <w:rPr>
                <w:spacing w:val="-8"/>
                <w:sz w:val="20"/>
              </w:rPr>
              <w:t xml:space="preserve"> </w:t>
            </w:r>
            <w:r w:rsidRPr="00150EDC">
              <w:rPr>
                <w:spacing w:val="-2"/>
                <w:sz w:val="20"/>
              </w:rPr>
              <w:t>keeping</w:t>
            </w:r>
          </w:p>
        </w:tc>
      </w:tr>
      <w:tr w:rsidR="004569EE" w:rsidRPr="007D3144" w14:paraId="4DC9336C" w14:textId="77777777">
        <w:trPr>
          <w:trHeight w:val="460"/>
        </w:trPr>
        <w:tc>
          <w:tcPr>
            <w:tcW w:w="6517" w:type="dxa"/>
          </w:tcPr>
          <w:p w14:paraId="6F626668" w14:textId="77777777" w:rsidR="004C7180" w:rsidRPr="00150EDC" w:rsidRDefault="004C7180">
            <w:pPr>
              <w:pStyle w:val="TableParagraph"/>
              <w:spacing w:before="2" w:line="240" w:lineRule="auto"/>
              <w:ind w:left="0"/>
              <w:rPr>
                <w:sz w:val="20"/>
              </w:rPr>
            </w:pPr>
          </w:p>
          <w:p w14:paraId="2CFF88C9" w14:textId="77777777" w:rsidR="004C7180" w:rsidRPr="00150EDC" w:rsidRDefault="00CF0754">
            <w:pPr>
              <w:pStyle w:val="TableParagraph"/>
              <w:spacing w:before="0"/>
              <w:rPr>
                <w:sz w:val="20"/>
              </w:rPr>
            </w:pPr>
            <w:r w:rsidRPr="00150EDC">
              <w:rPr>
                <w:sz w:val="20"/>
              </w:rPr>
              <w:t>Criminal</w:t>
            </w:r>
            <w:r w:rsidRPr="00150EDC">
              <w:rPr>
                <w:spacing w:val="-7"/>
                <w:sz w:val="20"/>
              </w:rPr>
              <w:t xml:space="preserve"> </w:t>
            </w:r>
            <w:r w:rsidRPr="00150EDC">
              <w:rPr>
                <w:sz w:val="20"/>
              </w:rPr>
              <w:t>Law</w:t>
            </w:r>
            <w:r w:rsidRPr="00150EDC">
              <w:rPr>
                <w:spacing w:val="-5"/>
                <w:sz w:val="20"/>
              </w:rPr>
              <w:t xml:space="preserve"> </w:t>
            </w:r>
            <w:r w:rsidRPr="00150EDC">
              <w:rPr>
                <w:sz w:val="20"/>
              </w:rPr>
              <w:t>Amendment</w:t>
            </w:r>
            <w:r w:rsidRPr="00150EDC">
              <w:rPr>
                <w:spacing w:val="-7"/>
                <w:sz w:val="20"/>
              </w:rPr>
              <w:t xml:space="preserve"> </w:t>
            </w:r>
            <w:r w:rsidRPr="00150EDC">
              <w:rPr>
                <w:sz w:val="20"/>
              </w:rPr>
              <w:t>Act</w:t>
            </w:r>
            <w:r w:rsidRPr="00150EDC">
              <w:rPr>
                <w:spacing w:val="-6"/>
                <w:sz w:val="20"/>
              </w:rPr>
              <w:t xml:space="preserve"> </w:t>
            </w:r>
            <w:r w:rsidRPr="00150EDC">
              <w:rPr>
                <w:sz w:val="20"/>
              </w:rPr>
              <w:t>1885,</w:t>
            </w:r>
            <w:r w:rsidRPr="00150EDC">
              <w:rPr>
                <w:spacing w:val="-6"/>
                <w:sz w:val="20"/>
              </w:rPr>
              <w:t xml:space="preserve"> </w:t>
            </w:r>
            <w:r w:rsidRPr="00150EDC">
              <w:rPr>
                <w:spacing w:val="-5"/>
                <w:sz w:val="20"/>
              </w:rPr>
              <w:t>s2</w:t>
            </w:r>
          </w:p>
        </w:tc>
        <w:tc>
          <w:tcPr>
            <w:tcW w:w="7427" w:type="dxa"/>
          </w:tcPr>
          <w:p w14:paraId="622F5B2A" w14:textId="77777777" w:rsidR="004C7180" w:rsidRPr="00150EDC" w:rsidRDefault="00CF0754">
            <w:pPr>
              <w:pStyle w:val="TableParagraph"/>
              <w:spacing w:before="0" w:line="230" w:lineRule="atLeast"/>
              <w:rPr>
                <w:sz w:val="20"/>
              </w:rPr>
            </w:pPr>
            <w:r w:rsidRPr="00150EDC">
              <w:rPr>
                <w:sz w:val="20"/>
              </w:rPr>
              <w:t>Procuration,</w:t>
            </w:r>
            <w:r w:rsidRPr="00150EDC">
              <w:rPr>
                <w:spacing w:val="-5"/>
                <w:sz w:val="20"/>
              </w:rPr>
              <w:t xml:space="preserve"> </w:t>
            </w:r>
            <w:r w:rsidRPr="00150EDC">
              <w:rPr>
                <w:sz w:val="20"/>
              </w:rPr>
              <w:t>where</w:t>
            </w:r>
            <w:r w:rsidRPr="00150EDC">
              <w:rPr>
                <w:spacing w:val="-5"/>
                <w:sz w:val="20"/>
              </w:rPr>
              <w:t xml:space="preserve"> </w:t>
            </w:r>
            <w:r w:rsidRPr="00150EDC">
              <w:rPr>
                <w:sz w:val="20"/>
              </w:rPr>
              <w:t>the person</w:t>
            </w:r>
            <w:r w:rsidRPr="00150EDC">
              <w:rPr>
                <w:spacing w:val="-5"/>
                <w:sz w:val="20"/>
              </w:rPr>
              <w:t xml:space="preserve"> </w:t>
            </w:r>
            <w:r w:rsidRPr="00150EDC">
              <w:rPr>
                <w:sz w:val="20"/>
              </w:rPr>
              <w:t>with</w:t>
            </w:r>
            <w:r w:rsidRPr="00150EDC">
              <w:rPr>
                <w:spacing w:val="-5"/>
                <w:sz w:val="20"/>
              </w:rPr>
              <w:t xml:space="preserve"> </w:t>
            </w:r>
            <w:r w:rsidRPr="00150EDC">
              <w:rPr>
                <w:sz w:val="20"/>
              </w:rPr>
              <w:t>whom</w:t>
            </w:r>
            <w:r w:rsidRPr="00150EDC">
              <w:rPr>
                <w:spacing w:val="-5"/>
                <w:sz w:val="20"/>
              </w:rPr>
              <w:t xml:space="preserve"> </w:t>
            </w:r>
            <w:r w:rsidRPr="00150EDC">
              <w:rPr>
                <w:sz w:val="20"/>
              </w:rPr>
              <w:t>the</w:t>
            </w:r>
            <w:r w:rsidRPr="00150EDC">
              <w:rPr>
                <w:spacing w:val="-3"/>
                <w:sz w:val="20"/>
              </w:rPr>
              <w:t xml:space="preserve"> </w:t>
            </w:r>
            <w:r w:rsidRPr="00150EDC">
              <w:rPr>
                <w:sz w:val="20"/>
              </w:rPr>
              <w:t>offence</w:t>
            </w:r>
            <w:r w:rsidRPr="00150EDC">
              <w:rPr>
                <w:spacing w:val="-5"/>
                <w:sz w:val="20"/>
              </w:rPr>
              <w:t xml:space="preserve"> </w:t>
            </w:r>
            <w:r w:rsidRPr="00150EDC">
              <w:rPr>
                <w:sz w:val="20"/>
              </w:rPr>
              <w:t>was</w:t>
            </w:r>
            <w:r w:rsidRPr="00150EDC">
              <w:rPr>
                <w:spacing w:val="-4"/>
                <w:sz w:val="20"/>
              </w:rPr>
              <w:t xml:space="preserve"> </w:t>
            </w:r>
            <w:r w:rsidRPr="00150EDC">
              <w:rPr>
                <w:sz w:val="20"/>
              </w:rPr>
              <w:t>committed</w:t>
            </w:r>
            <w:r w:rsidRPr="00150EDC">
              <w:rPr>
                <w:spacing w:val="-5"/>
                <w:sz w:val="20"/>
              </w:rPr>
              <w:t xml:space="preserve"> </w:t>
            </w:r>
            <w:r w:rsidRPr="00150EDC">
              <w:rPr>
                <w:sz w:val="20"/>
              </w:rPr>
              <w:t>was</w:t>
            </w:r>
            <w:r w:rsidRPr="00150EDC">
              <w:rPr>
                <w:spacing w:val="-4"/>
                <w:sz w:val="20"/>
              </w:rPr>
              <w:t xml:space="preserve"> </w:t>
            </w:r>
            <w:r w:rsidRPr="00150EDC">
              <w:rPr>
                <w:sz w:val="20"/>
              </w:rPr>
              <w:t>under the age of 16 or did not consent to the act</w:t>
            </w:r>
          </w:p>
        </w:tc>
      </w:tr>
      <w:tr w:rsidR="004569EE" w:rsidRPr="007D3144" w14:paraId="0ABAF644" w14:textId="77777777">
        <w:trPr>
          <w:trHeight w:val="255"/>
        </w:trPr>
        <w:tc>
          <w:tcPr>
            <w:tcW w:w="6517" w:type="dxa"/>
          </w:tcPr>
          <w:p w14:paraId="3AC695EB" w14:textId="77777777" w:rsidR="004C7180" w:rsidRPr="00150EDC" w:rsidRDefault="00CF0754">
            <w:pPr>
              <w:pStyle w:val="TableParagraph"/>
              <w:spacing w:before="28"/>
              <w:rPr>
                <w:sz w:val="20"/>
              </w:rPr>
            </w:pPr>
            <w:r w:rsidRPr="00150EDC">
              <w:rPr>
                <w:sz w:val="20"/>
              </w:rPr>
              <w:t>Criminal</w:t>
            </w:r>
            <w:r w:rsidRPr="00150EDC">
              <w:rPr>
                <w:spacing w:val="-7"/>
                <w:sz w:val="20"/>
              </w:rPr>
              <w:t xml:space="preserve"> </w:t>
            </w:r>
            <w:r w:rsidRPr="00150EDC">
              <w:rPr>
                <w:sz w:val="20"/>
              </w:rPr>
              <w:t>Law</w:t>
            </w:r>
            <w:r w:rsidRPr="00150EDC">
              <w:rPr>
                <w:spacing w:val="-5"/>
                <w:sz w:val="20"/>
              </w:rPr>
              <w:t xml:space="preserve"> </w:t>
            </w:r>
            <w:r w:rsidRPr="00150EDC">
              <w:rPr>
                <w:sz w:val="20"/>
              </w:rPr>
              <w:t>Amendment</w:t>
            </w:r>
            <w:r w:rsidRPr="00150EDC">
              <w:rPr>
                <w:spacing w:val="-7"/>
                <w:sz w:val="20"/>
              </w:rPr>
              <w:t xml:space="preserve"> </w:t>
            </w:r>
            <w:r w:rsidRPr="00150EDC">
              <w:rPr>
                <w:sz w:val="20"/>
              </w:rPr>
              <w:t>Act</w:t>
            </w:r>
            <w:r w:rsidRPr="00150EDC">
              <w:rPr>
                <w:spacing w:val="-6"/>
                <w:sz w:val="20"/>
              </w:rPr>
              <w:t xml:space="preserve"> </w:t>
            </w:r>
            <w:r w:rsidRPr="00150EDC">
              <w:rPr>
                <w:sz w:val="20"/>
              </w:rPr>
              <w:t>1885,</w:t>
            </w:r>
            <w:r w:rsidRPr="00150EDC">
              <w:rPr>
                <w:spacing w:val="-6"/>
                <w:sz w:val="20"/>
              </w:rPr>
              <w:t xml:space="preserve"> </w:t>
            </w:r>
            <w:r w:rsidRPr="00150EDC">
              <w:rPr>
                <w:spacing w:val="-5"/>
                <w:sz w:val="20"/>
              </w:rPr>
              <w:t>s3</w:t>
            </w:r>
          </w:p>
        </w:tc>
        <w:tc>
          <w:tcPr>
            <w:tcW w:w="7427" w:type="dxa"/>
          </w:tcPr>
          <w:p w14:paraId="6F72307C" w14:textId="77777777" w:rsidR="004C7180" w:rsidRPr="00150EDC" w:rsidRDefault="00CF0754">
            <w:pPr>
              <w:pStyle w:val="TableParagraph"/>
              <w:spacing w:before="28"/>
              <w:rPr>
                <w:sz w:val="20"/>
              </w:rPr>
            </w:pPr>
            <w:r w:rsidRPr="00150EDC">
              <w:rPr>
                <w:sz w:val="20"/>
              </w:rPr>
              <w:t>Procuring</w:t>
            </w:r>
            <w:r w:rsidRPr="00150EDC">
              <w:rPr>
                <w:spacing w:val="-4"/>
                <w:sz w:val="20"/>
              </w:rPr>
              <w:t xml:space="preserve"> </w:t>
            </w:r>
            <w:r w:rsidRPr="00150EDC">
              <w:rPr>
                <w:sz w:val="20"/>
              </w:rPr>
              <w:t>defilement</w:t>
            </w:r>
            <w:r w:rsidRPr="00150EDC">
              <w:rPr>
                <w:spacing w:val="-6"/>
                <w:sz w:val="20"/>
              </w:rPr>
              <w:t xml:space="preserve"> </w:t>
            </w:r>
            <w:r w:rsidRPr="00150EDC">
              <w:rPr>
                <w:sz w:val="20"/>
              </w:rPr>
              <w:t>of</w:t>
            </w:r>
            <w:r w:rsidRPr="00150EDC">
              <w:rPr>
                <w:spacing w:val="-6"/>
                <w:sz w:val="20"/>
              </w:rPr>
              <w:t xml:space="preserve"> </w:t>
            </w:r>
            <w:r w:rsidRPr="00150EDC">
              <w:rPr>
                <w:sz w:val="20"/>
              </w:rPr>
              <w:t>woman</w:t>
            </w:r>
            <w:r w:rsidRPr="00150EDC">
              <w:rPr>
                <w:spacing w:val="-2"/>
                <w:sz w:val="20"/>
              </w:rPr>
              <w:t xml:space="preserve"> </w:t>
            </w:r>
            <w:r w:rsidRPr="00150EDC">
              <w:rPr>
                <w:sz w:val="20"/>
              </w:rPr>
              <w:t>by</w:t>
            </w:r>
            <w:r w:rsidRPr="00150EDC">
              <w:rPr>
                <w:spacing w:val="-5"/>
                <w:sz w:val="20"/>
              </w:rPr>
              <w:t xml:space="preserve"> </w:t>
            </w:r>
            <w:r w:rsidRPr="00150EDC">
              <w:rPr>
                <w:sz w:val="20"/>
              </w:rPr>
              <w:t>threats</w:t>
            </w:r>
            <w:r w:rsidRPr="00150EDC">
              <w:rPr>
                <w:spacing w:val="-2"/>
                <w:sz w:val="20"/>
              </w:rPr>
              <w:t xml:space="preserve"> </w:t>
            </w:r>
            <w:r w:rsidRPr="00150EDC">
              <w:rPr>
                <w:sz w:val="20"/>
              </w:rPr>
              <w:t>or</w:t>
            </w:r>
            <w:r w:rsidRPr="00150EDC">
              <w:rPr>
                <w:spacing w:val="-6"/>
                <w:sz w:val="20"/>
              </w:rPr>
              <w:t xml:space="preserve"> </w:t>
            </w:r>
            <w:r w:rsidRPr="00150EDC">
              <w:rPr>
                <w:sz w:val="20"/>
              </w:rPr>
              <w:t>fraud,</w:t>
            </w:r>
            <w:r w:rsidRPr="00150EDC">
              <w:rPr>
                <w:spacing w:val="-2"/>
                <w:sz w:val="20"/>
              </w:rPr>
              <w:t xml:space="preserve"> </w:t>
            </w:r>
            <w:r w:rsidRPr="00150EDC">
              <w:rPr>
                <w:sz w:val="20"/>
              </w:rPr>
              <w:t>or</w:t>
            </w:r>
            <w:r w:rsidRPr="00150EDC">
              <w:rPr>
                <w:spacing w:val="-6"/>
                <w:sz w:val="20"/>
              </w:rPr>
              <w:t xml:space="preserve"> </w:t>
            </w:r>
            <w:r w:rsidRPr="00150EDC">
              <w:rPr>
                <w:sz w:val="20"/>
              </w:rPr>
              <w:t>administering</w:t>
            </w:r>
            <w:r w:rsidRPr="00150EDC">
              <w:rPr>
                <w:spacing w:val="-1"/>
                <w:sz w:val="20"/>
              </w:rPr>
              <w:t xml:space="preserve"> </w:t>
            </w:r>
            <w:r w:rsidRPr="00150EDC">
              <w:rPr>
                <w:spacing w:val="-2"/>
                <w:sz w:val="20"/>
              </w:rPr>
              <w:t>drugs</w:t>
            </w:r>
          </w:p>
        </w:tc>
      </w:tr>
      <w:tr w:rsidR="004569EE" w:rsidRPr="007D3144" w14:paraId="56561730" w14:textId="77777777">
        <w:trPr>
          <w:trHeight w:val="255"/>
        </w:trPr>
        <w:tc>
          <w:tcPr>
            <w:tcW w:w="6517" w:type="dxa"/>
          </w:tcPr>
          <w:p w14:paraId="418653DD" w14:textId="77777777" w:rsidR="004C7180" w:rsidRPr="00150EDC" w:rsidRDefault="00CF0754">
            <w:pPr>
              <w:pStyle w:val="TableParagraph"/>
              <w:rPr>
                <w:sz w:val="20"/>
              </w:rPr>
            </w:pPr>
            <w:r w:rsidRPr="00150EDC">
              <w:rPr>
                <w:sz w:val="20"/>
              </w:rPr>
              <w:t>Criminal</w:t>
            </w:r>
            <w:r w:rsidRPr="00150EDC">
              <w:rPr>
                <w:spacing w:val="-7"/>
                <w:sz w:val="20"/>
              </w:rPr>
              <w:t xml:space="preserve"> </w:t>
            </w:r>
            <w:r w:rsidRPr="00150EDC">
              <w:rPr>
                <w:sz w:val="20"/>
              </w:rPr>
              <w:t>Law</w:t>
            </w:r>
            <w:r w:rsidRPr="00150EDC">
              <w:rPr>
                <w:spacing w:val="-5"/>
                <w:sz w:val="20"/>
              </w:rPr>
              <w:t xml:space="preserve"> </w:t>
            </w:r>
            <w:r w:rsidRPr="00150EDC">
              <w:rPr>
                <w:sz w:val="20"/>
              </w:rPr>
              <w:t>Amendment</w:t>
            </w:r>
            <w:r w:rsidRPr="00150EDC">
              <w:rPr>
                <w:spacing w:val="-7"/>
                <w:sz w:val="20"/>
              </w:rPr>
              <w:t xml:space="preserve"> </w:t>
            </w:r>
            <w:r w:rsidRPr="00150EDC">
              <w:rPr>
                <w:sz w:val="20"/>
              </w:rPr>
              <w:t>Act</w:t>
            </w:r>
            <w:r w:rsidRPr="00150EDC">
              <w:rPr>
                <w:spacing w:val="-6"/>
                <w:sz w:val="20"/>
              </w:rPr>
              <w:t xml:space="preserve"> </w:t>
            </w:r>
            <w:r w:rsidRPr="00150EDC">
              <w:rPr>
                <w:sz w:val="20"/>
              </w:rPr>
              <w:t>1885,</w:t>
            </w:r>
            <w:r w:rsidRPr="00150EDC">
              <w:rPr>
                <w:spacing w:val="-6"/>
                <w:sz w:val="20"/>
              </w:rPr>
              <w:t xml:space="preserve"> </w:t>
            </w:r>
            <w:r w:rsidRPr="00150EDC">
              <w:rPr>
                <w:spacing w:val="-5"/>
                <w:sz w:val="20"/>
              </w:rPr>
              <w:t>s4</w:t>
            </w:r>
          </w:p>
        </w:tc>
        <w:tc>
          <w:tcPr>
            <w:tcW w:w="7427" w:type="dxa"/>
          </w:tcPr>
          <w:p w14:paraId="594C11DC" w14:textId="77777777" w:rsidR="004C7180" w:rsidRPr="00150EDC" w:rsidRDefault="00CF0754">
            <w:pPr>
              <w:pStyle w:val="TableParagraph"/>
              <w:rPr>
                <w:sz w:val="20"/>
              </w:rPr>
            </w:pPr>
            <w:r w:rsidRPr="00150EDC">
              <w:rPr>
                <w:sz w:val="20"/>
              </w:rPr>
              <w:t>Defilement of</w:t>
            </w:r>
            <w:r w:rsidRPr="00150EDC">
              <w:rPr>
                <w:spacing w:val="-5"/>
                <w:sz w:val="20"/>
              </w:rPr>
              <w:t xml:space="preserve"> </w:t>
            </w:r>
            <w:r w:rsidRPr="00150EDC">
              <w:rPr>
                <w:sz w:val="20"/>
              </w:rPr>
              <w:t>girl</w:t>
            </w:r>
            <w:r w:rsidRPr="00150EDC">
              <w:rPr>
                <w:spacing w:val="-3"/>
                <w:sz w:val="20"/>
              </w:rPr>
              <w:t xml:space="preserve"> </w:t>
            </w:r>
            <w:r w:rsidRPr="00150EDC">
              <w:rPr>
                <w:sz w:val="20"/>
              </w:rPr>
              <w:t>under</w:t>
            </w:r>
            <w:r w:rsidRPr="00150EDC">
              <w:rPr>
                <w:spacing w:val="-5"/>
                <w:sz w:val="20"/>
              </w:rPr>
              <w:t xml:space="preserve"> </w:t>
            </w:r>
            <w:r w:rsidRPr="00150EDC">
              <w:rPr>
                <w:sz w:val="20"/>
              </w:rPr>
              <w:t>13</w:t>
            </w:r>
            <w:r w:rsidRPr="00150EDC">
              <w:rPr>
                <w:spacing w:val="-4"/>
                <w:sz w:val="20"/>
              </w:rPr>
              <w:t xml:space="preserve"> </w:t>
            </w:r>
            <w:r w:rsidRPr="00150EDC">
              <w:rPr>
                <w:sz w:val="20"/>
              </w:rPr>
              <w:t>years</w:t>
            </w:r>
            <w:r w:rsidRPr="00150EDC">
              <w:rPr>
                <w:spacing w:val="-3"/>
                <w:sz w:val="20"/>
              </w:rPr>
              <w:t xml:space="preserve"> </w:t>
            </w:r>
            <w:r w:rsidRPr="00150EDC">
              <w:rPr>
                <w:sz w:val="20"/>
              </w:rPr>
              <w:t>of</w:t>
            </w:r>
            <w:r w:rsidRPr="00150EDC">
              <w:rPr>
                <w:spacing w:val="-5"/>
                <w:sz w:val="20"/>
              </w:rPr>
              <w:t xml:space="preserve"> age</w:t>
            </w:r>
          </w:p>
        </w:tc>
      </w:tr>
      <w:tr w:rsidR="004569EE" w:rsidRPr="007D3144" w14:paraId="06CAAF84" w14:textId="77777777">
        <w:trPr>
          <w:trHeight w:val="255"/>
        </w:trPr>
        <w:tc>
          <w:tcPr>
            <w:tcW w:w="6517" w:type="dxa"/>
          </w:tcPr>
          <w:p w14:paraId="3FC4665A" w14:textId="77777777" w:rsidR="004C7180" w:rsidRPr="00150EDC" w:rsidRDefault="00CF0754">
            <w:pPr>
              <w:pStyle w:val="TableParagraph"/>
              <w:rPr>
                <w:sz w:val="20"/>
              </w:rPr>
            </w:pPr>
            <w:r w:rsidRPr="00150EDC">
              <w:rPr>
                <w:sz w:val="20"/>
              </w:rPr>
              <w:t>Criminal</w:t>
            </w:r>
            <w:r w:rsidRPr="00150EDC">
              <w:rPr>
                <w:spacing w:val="-7"/>
                <w:sz w:val="20"/>
              </w:rPr>
              <w:t xml:space="preserve"> </w:t>
            </w:r>
            <w:r w:rsidRPr="00150EDC">
              <w:rPr>
                <w:sz w:val="20"/>
              </w:rPr>
              <w:t>Law</w:t>
            </w:r>
            <w:r w:rsidRPr="00150EDC">
              <w:rPr>
                <w:spacing w:val="-5"/>
                <w:sz w:val="20"/>
              </w:rPr>
              <w:t xml:space="preserve"> </w:t>
            </w:r>
            <w:r w:rsidRPr="00150EDC">
              <w:rPr>
                <w:sz w:val="20"/>
              </w:rPr>
              <w:t>Amendment</w:t>
            </w:r>
            <w:r w:rsidRPr="00150EDC">
              <w:rPr>
                <w:spacing w:val="-7"/>
                <w:sz w:val="20"/>
              </w:rPr>
              <w:t xml:space="preserve"> </w:t>
            </w:r>
            <w:r w:rsidRPr="00150EDC">
              <w:rPr>
                <w:sz w:val="20"/>
              </w:rPr>
              <w:t>Act</w:t>
            </w:r>
            <w:r w:rsidRPr="00150EDC">
              <w:rPr>
                <w:spacing w:val="-6"/>
                <w:sz w:val="20"/>
              </w:rPr>
              <w:t xml:space="preserve"> </w:t>
            </w:r>
            <w:r w:rsidRPr="00150EDC">
              <w:rPr>
                <w:sz w:val="20"/>
              </w:rPr>
              <w:t>1885,</w:t>
            </w:r>
            <w:r w:rsidRPr="00150EDC">
              <w:rPr>
                <w:spacing w:val="-6"/>
                <w:sz w:val="20"/>
              </w:rPr>
              <w:t xml:space="preserve"> </w:t>
            </w:r>
            <w:r w:rsidRPr="00150EDC">
              <w:rPr>
                <w:spacing w:val="-5"/>
                <w:sz w:val="20"/>
              </w:rPr>
              <w:t>s5</w:t>
            </w:r>
          </w:p>
        </w:tc>
        <w:tc>
          <w:tcPr>
            <w:tcW w:w="7427" w:type="dxa"/>
          </w:tcPr>
          <w:p w14:paraId="6C976355" w14:textId="77777777" w:rsidR="004C7180" w:rsidRPr="00150EDC" w:rsidRDefault="00CF0754">
            <w:pPr>
              <w:pStyle w:val="TableParagraph"/>
              <w:rPr>
                <w:sz w:val="20"/>
              </w:rPr>
            </w:pPr>
            <w:r w:rsidRPr="00150EDC">
              <w:rPr>
                <w:sz w:val="20"/>
              </w:rPr>
              <w:t>Defilement</w:t>
            </w:r>
            <w:r w:rsidRPr="00150EDC">
              <w:rPr>
                <w:spacing w:val="-2"/>
                <w:sz w:val="20"/>
              </w:rPr>
              <w:t xml:space="preserve"> </w:t>
            </w:r>
            <w:r w:rsidRPr="00150EDC">
              <w:rPr>
                <w:sz w:val="20"/>
              </w:rPr>
              <w:t>of</w:t>
            </w:r>
            <w:r w:rsidRPr="00150EDC">
              <w:rPr>
                <w:spacing w:val="-6"/>
                <w:sz w:val="20"/>
              </w:rPr>
              <w:t xml:space="preserve"> </w:t>
            </w:r>
            <w:r w:rsidRPr="00150EDC">
              <w:rPr>
                <w:sz w:val="20"/>
              </w:rPr>
              <w:t>girl</w:t>
            </w:r>
            <w:r w:rsidRPr="00150EDC">
              <w:rPr>
                <w:spacing w:val="-4"/>
                <w:sz w:val="20"/>
              </w:rPr>
              <w:t xml:space="preserve"> </w:t>
            </w:r>
            <w:r w:rsidRPr="00150EDC">
              <w:rPr>
                <w:sz w:val="20"/>
              </w:rPr>
              <w:t>between</w:t>
            </w:r>
            <w:r w:rsidRPr="00150EDC">
              <w:rPr>
                <w:spacing w:val="-1"/>
                <w:sz w:val="20"/>
              </w:rPr>
              <w:t xml:space="preserve"> </w:t>
            </w:r>
            <w:r w:rsidRPr="00150EDC">
              <w:rPr>
                <w:sz w:val="20"/>
              </w:rPr>
              <w:t>13</w:t>
            </w:r>
            <w:r w:rsidRPr="00150EDC">
              <w:rPr>
                <w:spacing w:val="-6"/>
                <w:sz w:val="20"/>
              </w:rPr>
              <w:t xml:space="preserve"> </w:t>
            </w:r>
            <w:r w:rsidRPr="00150EDC">
              <w:rPr>
                <w:sz w:val="20"/>
              </w:rPr>
              <w:t>and</w:t>
            </w:r>
            <w:r w:rsidRPr="00150EDC">
              <w:rPr>
                <w:spacing w:val="-5"/>
                <w:sz w:val="20"/>
              </w:rPr>
              <w:t xml:space="preserve"> </w:t>
            </w:r>
            <w:r w:rsidRPr="00150EDC">
              <w:rPr>
                <w:sz w:val="20"/>
              </w:rPr>
              <w:t>16</w:t>
            </w:r>
            <w:r w:rsidRPr="00150EDC">
              <w:rPr>
                <w:spacing w:val="-6"/>
                <w:sz w:val="20"/>
              </w:rPr>
              <w:t xml:space="preserve"> </w:t>
            </w:r>
            <w:r w:rsidRPr="00150EDC">
              <w:rPr>
                <w:sz w:val="20"/>
              </w:rPr>
              <w:t>years</w:t>
            </w:r>
            <w:r w:rsidRPr="00150EDC">
              <w:rPr>
                <w:spacing w:val="-1"/>
                <w:sz w:val="20"/>
              </w:rPr>
              <w:t xml:space="preserve"> </w:t>
            </w:r>
            <w:r w:rsidRPr="00150EDC">
              <w:rPr>
                <w:sz w:val="20"/>
              </w:rPr>
              <w:t>of</w:t>
            </w:r>
            <w:r w:rsidRPr="00150EDC">
              <w:rPr>
                <w:spacing w:val="-5"/>
                <w:sz w:val="20"/>
              </w:rPr>
              <w:t xml:space="preserve"> age</w:t>
            </w:r>
          </w:p>
        </w:tc>
      </w:tr>
      <w:tr w:rsidR="004569EE" w:rsidRPr="007D3144" w14:paraId="517FDF6C" w14:textId="77777777">
        <w:trPr>
          <w:trHeight w:val="255"/>
        </w:trPr>
        <w:tc>
          <w:tcPr>
            <w:tcW w:w="6517" w:type="dxa"/>
          </w:tcPr>
          <w:p w14:paraId="28BC0357" w14:textId="77777777" w:rsidR="004C7180" w:rsidRPr="00150EDC" w:rsidRDefault="00CF0754">
            <w:pPr>
              <w:pStyle w:val="TableParagraph"/>
              <w:rPr>
                <w:sz w:val="20"/>
              </w:rPr>
            </w:pPr>
            <w:r w:rsidRPr="00150EDC">
              <w:rPr>
                <w:sz w:val="20"/>
              </w:rPr>
              <w:t>Criminal</w:t>
            </w:r>
            <w:r w:rsidRPr="00150EDC">
              <w:rPr>
                <w:spacing w:val="-7"/>
                <w:sz w:val="20"/>
              </w:rPr>
              <w:t xml:space="preserve"> </w:t>
            </w:r>
            <w:r w:rsidRPr="00150EDC">
              <w:rPr>
                <w:sz w:val="20"/>
              </w:rPr>
              <w:t>Law</w:t>
            </w:r>
            <w:r w:rsidRPr="00150EDC">
              <w:rPr>
                <w:spacing w:val="-5"/>
                <w:sz w:val="20"/>
              </w:rPr>
              <w:t xml:space="preserve"> </w:t>
            </w:r>
            <w:r w:rsidRPr="00150EDC">
              <w:rPr>
                <w:sz w:val="20"/>
              </w:rPr>
              <w:t>Amendment</w:t>
            </w:r>
            <w:r w:rsidRPr="00150EDC">
              <w:rPr>
                <w:spacing w:val="-7"/>
                <w:sz w:val="20"/>
              </w:rPr>
              <w:t xml:space="preserve"> </w:t>
            </w:r>
            <w:r w:rsidRPr="00150EDC">
              <w:rPr>
                <w:sz w:val="20"/>
              </w:rPr>
              <w:t>Act</w:t>
            </w:r>
            <w:r w:rsidRPr="00150EDC">
              <w:rPr>
                <w:spacing w:val="-6"/>
                <w:sz w:val="20"/>
              </w:rPr>
              <w:t xml:space="preserve"> </w:t>
            </w:r>
            <w:r w:rsidRPr="00150EDC">
              <w:rPr>
                <w:sz w:val="20"/>
              </w:rPr>
              <w:t>1885,</w:t>
            </w:r>
            <w:r w:rsidRPr="00150EDC">
              <w:rPr>
                <w:spacing w:val="-6"/>
                <w:sz w:val="20"/>
              </w:rPr>
              <w:t xml:space="preserve"> </w:t>
            </w:r>
            <w:r w:rsidRPr="00150EDC">
              <w:rPr>
                <w:spacing w:val="-5"/>
                <w:sz w:val="20"/>
              </w:rPr>
              <w:t>s6</w:t>
            </w:r>
          </w:p>
        </w:tc>
        <w:tc>
          <w:tcPr>
            <w:tcW w:w="7427" w:type="dxa"/>
          </w:tcPr>
          <w:p w14:paraId="4FD8F6C6" w14:textId="77777777" w:rsidR="004C7180" w:rsidRPr="00150EDC" w:rsidRDefault="00CF0754">
            <w:pPr>
              <w:pStyle w:val="TableParagraph"/>
              <w:rPr>
                <w:sz w:val="20"/>
              </w:rPr>
            </w:pPr>
            <w:r w:rsidRPr="00150EDC">
              <w:rPr>
                <w:sz w:val="20"/>
              </w:rPr>
              <w:t>Householder,</w:t>
            </w:r>
            <w:r w:rsidRPr="00150EDC">
              <w:rPr>
                <w:spacing w:val="-6"/>
                <w:sz w:val="20"/>
              </w:rPr>
              <w:t xml:space="preserve"> </w:t>
            </w:r>
            <w:r w:rsidRPr="00150EDC">
              <w:rPr>
                <w:sz w:val="20"/>
              </w:rPr>
              <w:t>etc,</w:t>
            </w:r>
            <w:r w:rsidRPr="00150EDC">
              <w:rPr>
                <w:spacing w:val="-5"/>
                <w:sz w:val="20"/>
              </w:rPr>
              <w:t xml:space="preserve"> </w:t>
            </w:r>
            <w:r w:rsidRPr="00150EDC">
              <w:rPr>
                <w:sz w:val="20"/>
              </w:rPr>
              <w:t>permitting</w:t>
            </w:r>
            <w:r w:rsidRPr="00150EDC">
              <w:rPr>
                <w:spacing w:val="-1"/>
                <w:sz w:val="20"/>
              </w:rPr>
              <w:t xml:space="preserve"> </w:t>
            </w:r>
            <w:r w:rsidRPr="00150EDC">
              <w:rPr>
                <w:sz w:val="20"/>
              </w:rPr>
              <w:t>defilement</w:t>
            </w:r>
            <w:r w:rsidRPr="00150EDC">
              <w:rPr>
                <w:spacing w:val="-6"/>
                <w:sz w:val="20"/>
              </w:rPr>
              <w:t xml:space="preserve"> </w:t>
            </w:r>
            <w:r w:rsidRPr="00150EDC">
              <w:rPr>
                <w:sz w:val="20"/>
              </w:rPr>
              <w:t>of young girl</w:t>
            </w:r>
            <w:r w:rsidRPr="00150EDC">
              <w:rPr>
                <w:spacing w:val="-4"/>
                <w:sz w:val="20"/>
              </w:rPr>
              <w:t xml:space="preserve"> </w:t>
            </w:r>
            <w:r w:rsidRPr="00150EDC">
              <w:rPr>
                <w:sz w:val="20"/>
              </w:rPr>
              <w:t>on</w:t>
            </w:r>
            <w:r w:rsidRPr="00150EDC">
              <w:rPr>
                <w:spacing w:val="-5"/>
                <w:sz w:val="20"/>
              </w:rPr>
              <w:t xml:space="preserve"> </w:t>
            </w:r>
            <w:r w:rsidRPr="00150EDC">
              <w:rPr>
                <w:sz w:val="20"/>
              </w:rPr>
              <w:t>his</w:t>
            </w:r>
            <w:r w:rsidRPr="00150EDC">
              <w:rPr>
                <w:spacing w:val="-5"/>
                <w:sz w:val="20"/>
              </w:rPr>
              <w:t xml:space="preserve"> </w:t>
            </w:r>
            <w:r w:rsidRPr="00150EDC">
              <w:rPr>
                <w:spacing w:val="-2"/>
                <w:sz w:val="20"/>
              </w:rPr>
              <w:t>premises</w:t>
            </w:r>
          </w:p>
        </w:tc>
      </w:tr>
      <w:tr w:rsidR="004569EE" w:rsidRPr="007D3144" w14:paraId="0FB36AB1" w14:textId="77777777">
        <w:trPr>
          <w:trHeight w:val="255"/>
        </w:trPr>
        <w:tc>
          <w:tcPr>
            <w:tcW w:w="6517" w:type="dxa"/>
          </w:tcPr>
          <w:p w14:paraId="31AB15BE" w14:textId="77777777" w:rsidR="004C7180" w:rsidRPr="00150EDC" w:rsidRDefault="00CF0754">
            <w:pPr>
              <w:pStyle w:val="TableParagraph"/>
              <w:spacing w:before="28"/>
              <w:rPr>
                <w:sz w:val="20"/>
              </w:rPr>
            </w:pPr>
            <w:r w:rsidRPr="00150EDC">
              <w:rPr>
                <w:sz w:val="20"/>
              </w:rPr>
              <w:t>Criminal</w:t>
            </w:r>
            <w:r w:rsidRPr="00150EDC">
              <w:rPr>
                <w:spacing w:val="-7"/>
                <w:sz w:val="20"/>
              </w:rPr>
              <w:t xml:space="preserve"> </w:t>
            </w:r>
            <w:r w:rsidRPr="00150EDC">
              <w:rPr>
                <w:sz w:val="20"/>
              </w:rPr>
              <w:t>Law</w:t>
            </w:r>
            <w:r w:rsidRPr="00150EDC">
              <w:rPr>
                <w:spacing w:val="-5"/>
                <w:sz w:val="20"/>
              </w:rPr>
              <w:t xml:space="preserve"> </w:t>
            </w:r>
            <w:r w:rsidRPr="00150EDC">
              <w:rPr>
                <w:sz w:val="20"/>
              </w:rPr>
              <w:t>Amendment</w:t>
            </w:r>
            <w:r w:rsidRPr="00150EDC">
              <w:rPr>
                <w:spacing w:val="-7"/>
                <w:sz w:val="20"/>
              </w:rPr>
              <w:t xml:space="preserve"> </w:t>
            </w:r>
            <w:r w:rsidRPr="00150EDC">
              <w:rPr>
                <w:sz w:val="20"/>
              </w:rPr>
              <w:t>Act</w:t>
            </w:r>
            <w:r w:rsidRPr="00150EDC">
              <w:rPr>
                <w:spacing w:val="-6"/>
                <w:sz w:val="20"/>
              </w:rPr>
              <w:t xml:space="preserve"> </w:t>
            </w:r>
            <w:r w:rsidRPr="00150EDC">
              <w:rPr>
                <w:sz w:val="20"/>
              </w:rPr>
              <w:t>1885,</w:t>
            </w:r>
            <w:r w:rsidRPr="00150EDC">
              <w:rPr>
                <w:spacing w:val="-6"/>
                <w:sz w:val="20"/>
              </w:rPr>
              <w:t xml:space="preserve"> </w:t>
            </w:r>
            <w:r w:rsidRPr="00150EDC">
              <w:rPr>
                <w:spacing w:val="-5"/>
                <w:sz w:val="20"/>
              </w:rPr>
              <w:t>s7</w:t>
            </w:r>
          </w:p>
        </w:tc>
        <w:tc>
          <w:tcPr>
            <w:tcW w:w="7427" w:type="dxa"/>
          </w:tcPr>
          <w:p w14:paraId="0B6DD5E5" w14:textId="77777777" w:rsidR="004C7180" w:rsidRPr="00150EDC" w:rsidRDefault="00CF0754">
            <w:pPr>
              <w:pStyle w:val="TableParagraph"/>
              <w:spacing w:before="28"/>
              <w:rPr>
                <w:sz w:val="20"/>
              </w:rPr>
            </w:pPr>
            <w:r w:rsidRPr="00150EDC">
              <w:rPr>
                <w:sz w:val="20"/>
              </w:rPr>
              <w:t>Abduction</w:t>
            </w:r>
            <w:r w:rsidRPr="00150EDC">
              <w:rPr>
                <w:spacing w:val="-5"/>
                <w:sz w:val="20"/>
              </w:rPr>
              <w:t xml:space="preserve"> </w:t>
            </w:r>
            <w:r w:rsidRPr="00150EDC">
              <w:rPr>
                <w:sz w:val="20"/>
              </w:rPr>
              <w:t>of girl</w:t>
            </w:r>
            <w:r w:rsidRPr="00150EDC">
              <w:rPr>
                <w:spacing w:val="-3"/>
                <w:sz w:val="20"/>
              </w:rPr>
              <w:t xml:space="preserve"> </w:t>
            </w:r>
            <w:r w:rsidRPr="00150EDC">
              <w:rPr>
                <w:sz w:val="20"/>
              </w:rPr>
              <w:t>under</w:t>
            </w:r>
            <w:r w:rsidRPr="00150EDC">
              <w:rPr>
                <w:spacing w:val="-1"/>
                <w:sz w:val="20"/>
              </w:rPr>
              <w:t xml:space="preserve"> </w:t>
            </w:r>
            <w:r w:rsidRPr="00150EDC">
              <w:rPr>
                <w:sz w:val="20"/>
              </w:rPr>
              <w:t>18</w:t>
            </w:r>
            <w:r w:rsidRPr="00150EDC">
              <w:rPr>
                <w:spacing w:val="-5"/>
                <w:sz w:val="20"/>
              </w:rPr>
              <w:t xml:space="preserve"> </w:t>
            </w:r>
            <w:r w:rsidRPr="00150EDC">
              <w:rPr>
                <w:sz w:val="20"/>
              </w:rPr>
              <w:t>with</w:t>
            </w:r>
            <w:r w:rsidRPr="00150EDC">
              <w:rPr>
                <w:spacing w:val="-5"/>
                <w:sz w:val="20"/>
              </w:rPr>
              <w:t xml:space="preserve"> </w:t>
            </w:r>
            <w:r w:rsidRPr="00150EDC">
              <w:rPr>
                <w:sz w:val="20"/>
              </w:rPr>
              <w:t>intent</w:t>
            </w:r>
            <w:r w:rsidRPr="00150EDC">
              <w:rPr>
                <w:spacing w:val="-5"/>
                <w:sz w:val="20"/>
              </w:rPr>
              <w:t xml:space="preserve"> </w:t>
            </w:r>
            <w:r w:rsidRPr="00150EDC">
              <w:rPr>
                <w:sz w:val="20"/>
              </w:rPr>
              <w:t>to</w:t>
            </w:r>
            <w:r w:rsidRPr="00150EDC">
              <w:rPr>
                <w:spacing w:val="-4"/>
                <w:sz w:val="20"/>
              </w:rPr>
              <w:t xml:space="preserve"> </w:t>
            </w:r>
            <w:r w:rsidRPr="00150EDC">
              <w:rPr>
                <w:sz w:val="20"/>
              </w:rPr>
              <w:t>have</w:t>
            </w:r>
            <w:r w:rsidRPr="00150EDC">
              <w:rPr>
                <w:spacing w:val="-1"/>
                <w:sz w:val="20"/>
              </w:rPr>
              <w:t xml:space="preserve"> </w:t>
            </w:r>
            <w:r w:rsidRPr="00150EDC">
              <w:rPr>
                <w:sz w:val="20"/>
              </w:rPr>
              <w:t>carnal</w:t>
            </w:r>
            <w:r w:rsidRPr="00150EDC">
              <w:rPr>
                <w:spacing w:val="-3"/>
                <w:sz w:val="20"/>
              </w:rPr>
              <w:t xml:space="preserve"> </w:t>
            </w:r>
            <w:r w:rsidRPr="00150EDC">
              <w:rPr>
                <w:spacing w:val="-2"/>
                <w:sz w:val="20"/>
              </w:rPr>
              <w:t>knowledge.</w:t>
            </w:r>
          </w:p>
        </w:tc>
      </w:tr>
      <w:tr w:rsidR="004569EE" w:rsidRPr="007D3144" w14:paraId="7905CD86" w14:textId="77777777">
        <w:trPr>
          <w:trHeight w:val="255"/>
        </w:trPr>
        <w:tc>
          <w:tcPr>
            <w:tcW w:w="6517" w:type="dxa"/>
          </w:tcPr>
          <w:p w14:paraId="7110BA20" w14:textId="77777777" w:rsidR="004C7180" w:rsidRPr="00150EDC" w:rsidRDefault="00CF0754">
            <w:pPr>
              <w:pStyle w:val="TableParagraph"/>
              <w:rPr>
                <w:sz w:val="20"/>
              </w:rPr>
            </w:pPr>
            <w:r w:rsidRPr="00150EDC">
              <w:rPr>
                <w:sz w:val="20"/>
              </w:rPr>
              <w:t>Criminal</w:t>
            </w:r>
            <w:r w:rsidRPr="00150EDC">
              <w:rPr>
                <w:spacing w:val="-7"/>
                <w:sz w:val="20"/>
              </w:rPr>
              <w:t xml:space="preserve"> </w:t>
            </w:r>
            <w:r w:rsidRPr="00150EDC">
              <w:rPr>
                <w:sz w:val="20"/>
              </w:rPr>
              <w:t>Law</w:t>
            </w:r>
            <w:r w:rsidRPr="00150EDC">
              <w:rPr>
                <w:spacing w:val="-5"/>
                <w:sz w:val="20"/>
              </w:rPr>
              <w:t xml:space="preserve"> </w:t>
            </w:r>
            <w:r w:rsidRPr="00150EDC">
              <w:rPr>
                <w:sz w:val="20"/>
              </w:rPr>
              <w:t>Amendment</w:t>
            </w:r>
            <w:r w:rsidRPr="00150EDC">
              <w:rPr>
                <w:spacing w:val="-7"/>
                <w:sz w:val="20"/>
              </w:rPr>
              <w:t xml:space="preserve"> </w:t>
            </w:r>
            <w:r w:rsidRPr="00150EDC">
              <w:rPr>
                <w:sz w:val="20"/>
              </w:rPr>
              <w:t>Act</w:t>
            </w:r>
            <w:r w:rsidRPr="00150EDC">
              <w:rPr>
                <w:spacing w:val="-6"/>
                <w:sz w:val="20"/>
              </w:rPr>
              <w:t xml:space="preserve"> </w:t>
            </w:r>
            <w:r w:rsidRPr="00150EDC">
              <w:rPr>
                <w:sz w:val="20"/>
              </w:rPr>
              <w:t>1885,</w:t>
            </w:r>
            <w:r w:rsidRPr="00150EDC">
              <w:rPr>
                <w:spacing w:val="-6"/>
                <w:sz w:val="20"/>
              </w:rPr>
              <w:t xml:space="preserve"> </w:t>
            </w:r>
            <w:r w:rsidRPr="00150EDC">
              <w:rPr>
                <w:spacing w:val="-5"/>
                <w:sz w:val="20"/>
              </w:rPr>
              <w:t>s8</w:t>
            </w:r>
          </w:p>
        </w:tc>
        <w:tc>
          <w:tcPr>
            <w:tcW w:w="7427" w:type="dxa"/>
          </w:tcPr>
          <w:p w14:paraId="29C155D0" w14:textId="77777777" w:rsidR="004C7180" w:rsidRPr="00150EDC" w:rsidRDefault="00CF0754">
            <w:pPr>
              <w:pStyle w:val="TableParagraph"/>
              <w:rPr>
                <w:sz w:val="20"/>
              </w:rPr>
            </w:pPr>
            <w:r w:rsidRPr="00150EDC">
              <w:rPr>
                <w:sz w:val="20"/>
              </w:rPr>
              <w:t>Unlawful</w:t>
            </w:r>
            <w:r w:rsidRPr="00150EDC">
              <w:rPr>
                <w:spacing w:val="-4"/>
                <w:sz w:val="20"/>
              </w:rPr>
              <w:t xml:space="preserve"> </w:t>
            </w:r>
            <w:r w:rsidRPr="00150EDC">
              <w:rPr>
                <w:sz w:val="20"/>
              </w:rPr>
              <w:t>detention</w:t>
            </w:r>
            <w:r w:rsidRPr="00150EDC">
              <w:rPr>
                <w:spacing w:val="-6"/>
                <w:sz w:val="20"/>
              </w:rPr>
              <w:t xml:space="preserve"> </w:t>
            </w:r>
            <w:r w:rsidRPr="00150EDC">
              <w:rPr>
                <w:sz w:val="20"/>
              </w:rPr>
              <w:t>with</w:t>
            </w:r>
            <w:r w:rsidRPr="00150EDC">
              <w:rPr>
                <w:spacing w:val="-6"/>
                <w:sz w:val="20"/>
              </w:rPr>
              <w:t xml:space="preserve"> </w:t>
            </w:r>
            <w:r w:rsidRPr="00150EDC">
              <w:rPr>
                <w:sz w:val="20"/>
              </w:rPr>
              <w:t>intent</w:t>
            </w:r>
            <w:r w:rsidRPr="00150EDC">
              <w:rPr>
                <w:spacing w:val="-1"/>
                <w:sz w:val="20"/>
              </w:rPr>
              <w:t xml:space="preserve"> </w:t>
            </w:r>
            <w:r w:rsidRPr="00150EDC">
              <w:rPr>
                <w:sz w:val="20"/>
              </w:rPr>
              <w:t>to</w:t>
            </w:r>
            <w:r w:rsidRPr="00150EDC">
              <w:rPr>
                <w:spacing w:val="-6"/>
                <w:sz w:val="20"/>
              </w:rPr>
              <w:t xml:space="preserve"> </w:t>
            </w:r>
            <w:r w:rsidRPr="00150EDC">
              <w:rPr>
                <w:sz w:val="20"/>
              </w:rPr>
              <w:t>have</w:t>
            </w:r>
            <w:r w:rsidRPr="00150EDC">
              <w:rPr>
                <w:spacing w:val="-6"/>
                <w:sz w:val="20"/>
              </w:rPr>
              <w:t xml:space="preserve"> </w:t>
            </w:r>
            <w:r w:rsidRPr="00150EDC">
              <w:rPr>
                <w:sz w:val="20"/>
              </w:rPr>
              <w:t>carnal</w:t>
            </w:r>
            <w:r w:rsidRPr="00150EDC">
              <w:rPr>
                <w:spacing w:val="-4"/>
                <w:sz w:val="20"/>
              </w:rPr>
              <w:t xml:space="preserve"> </w:t>
            </w:r>
            <w:r w:rsidRPr="00150EDC">
              <w:rPr>
                <w:spacing w:val="-2"/>
                <w:sz w:val="20"/>
              </w:rPr>
              <w:t>knowledge</w:t>
            </w:r>
          </w:p>
        </w:tc>
      </w:tr>
      <w:tr w:rsidR="004569EE" w:rsidRPr="007D3144" w14:paraId="433DF01C" w14:textId="77777777">
        <w:trPr>
          <w:trHeight w:val="255"/>
        </w:trPr>
        <w:tc>
          <w:tcPr>
            <w:tcW w:w="6517" w:type="dxa"/>
          </w:tcPr>
          <w:p w14:paraId="6EAA7A06" w14:textId="77777777" w:rsidR="004C7180" w:rsidRPr="00150EDC" w:rsidRDefault="00CF0754">
            <w:pPr>
              <w:pStyle w:val="TableParagraph"/>
              <w:rPr>
                <w:sz w:val="20"/>
              </w:rPr>
            </w:pPr>
            <w:r w:rsidRPr="00150EDC">
              <w:rPr>
                <w:sz w:val="20"/>
              </w:rPr>
              <w:t>Criminal</w:t>
            </w:r>
            <w:r w:rsidRPr="00150EDC">
              <w:rPr>
                <w:spacing w:val="-7"/>
                <w:sz w:val="20"/>
              </w:rPr>
              <w:t xml:space="preserve"> </w:t>
            </w:r>
            <w:r w:rsidRPr="00150EDC">
              <w:rPr>
                <w:sz w:val="20"/>
              </w:rPr>
              <w:t>Law</w:t>
            </w:r>
            <w:r w:rsidRPr="00150EDC">
              <w:rPr>
                <w:spacing w:val="-5"/>
                <w:sz w:val="20"/>
              </w:rPr>
              <w:t xml:space="preserve"> </w:t>
            </w:r>
            <w:r w:rsidRPr="00150EDC">
              <w:rPr>
                <w:sz w:val="20"/>
              </w:rPr>
              <w:t>Amendment</w:t>
            </w:r>
            <w:r w:rsidRPr="00150EDC">
              <w:rPr>
                <w:spacing w:val="-7"/>
                <w:sz w:val="20"/>
              </w:rPr>
              <w:t xml:space="preserve"> </w:t>
            </w:r>
            <w:r w:rsidRPr="00150EDC">
              <w:rPr>
                <w:sz w:val="20"/>
              </w:rPr>
              <w:t>Act</w:t>
            </w:r>
            <w:r w:rsidRPr="00150EDC">
              <w:rPr>
                <w:spacing w:val="-6"/>
                <w:sz w:val="20"/>
              </w:rPr>
              <w:t xml:space="preserve"> </w:t>
            </w:r>
            <w:r w:rsidRPr="00150EDC">
              <w:rPr>
                <w:sz w:val="20"/>
              </w:rPr>
              <w:t>1895,</w:t>
            </w:r>
            <w:r w:rsidRPr="00150EDC">
              <w:rPr>
                <w:spacing w:val="-6"/>
                <w:sz w:val="20"/>
              </w:rPr>
              <w:t xml:space="preserve"> </w:t>
            </w:r>
            <w:r w:rsidRPr="00150EDC">
              <w:rPr>
                <w:spacing w:val="-5"/>
                <w:sz w:val="20"/>
              </w:rPr>
              <w:t>s1</w:t>
            </w:r>
          </w:p>
        </w:tc>
        <w:tc>
          <w:tcPr>
            <w:tcW w:w="7427" w:type="dxa"/>
          </w:tcPr>
          <w:p w14:paraId="1D182B32" w14:textId="77777777" w:rsidR="004C7180" w:rsidRPr="00150EDC" w:rsidRDefault="00CF0754">
            <w:pPr>
              <w:pStyle w:val="TableParagraph"/>
              <w:rPr>
                <w:sz w:val="20"/>
              </w:rPr>
            </w:pPr>
            <w:r w:rsidRPr="00150EDC">
              <w:rPr>
                <w:sz w:val="20"/>
              </w:rPr>
              <w:t>Procuring</w:t>
            </w:r>
            <w:r w:rsidRPr="00150EDC">
              <w:rPr>
                <w:spacing w:val="-9"/>
                <w:sz w:val="20"/>
              </w:rPr>
              <w:t xml:space="preserve"> </w:t>
            </w:r>
            <w:r w:rsidRPr="00150EDC">
              <w:rPr>
                <w:sz w:val="20"/>
              </w:rPr>
              <w:t>woman</w:t>
            </w:r>
            <w:r w:rsidRPr="00150EDC">
              <w:rPr>
                <w:spacing w:val="-1"/>
                <w:sz w:val="20"/>
              </w:rPr>
              <w:t xml:space="preserve"> </w:t>
            </w:r>
            <w:r w:rsidRPr="00150EDC">
              <w:rPr>
                <w:sz w:val="20"/>
              </w:rPr>
              <w:t>by</w:t>
            </w:r>
            <w:r w:rsidRPr="00150EDC">
              <w:rPr>
                <w:spacing w:val="-5"/>
                <w:sz w:val="20"/>
              </w:rPr>
              <w:t xml:space="preserve"> </w:t>
            </w:r>
            <w:r w:rsidRPr="00150EDC">
              <w:rPr>
                <w:sz w:val="20"/>
              </w:rPr>
              <w:t>threats,</w:t>
            </w:r>
            <w:r w:rsidRPr="00150EDC">
              <w:rPr>
                <w:spacing w:val="-6"/>
                <w:sz w:val="20"/>
              </w:rPr>
              <w:t xml:space="preserve"> </w:t>
            </w:r>
            <w:r w:rsidRPr="00150EDC">
              <w:rPr>
                <w:sz w:val="20"/>
              </w:rPr>
              <w:t>false</w:t>
            </w:r>
            <w:r w:rsidRPr="00150EDC">
              <w:rPr>
                <w:spacing w:val="-6"/>
                <w:sz w:val="20"/>
              </w:rPr>
              <w:t xml:space="preserve"> </w:t>
            </w:r>
            <w:r w:rsidRPr="00150EDC">
              <w:rPr>
                <w:sz w:val="20"/>
              </w:rPr>
              <w:t>pretences,</w:t>
            </w:r>
            <w:r w:rsidRPr="00150EDC">
              <w:rPr>
                <w:spacing w:val="-5"/>
                <w:sz w:val="20"/>
              </w:rPr>
              <w:t xml:space="preserve"> </w:t>
            </w:r>
            <w:r w:rsidRPr="00150EDC">
              <w:rPr>
                <w:sz w:val="20"/>
              </w:rPr>
              <w:t>or</w:t>
            </w:r>
            <w:r w:rsidRPr="00150EDC">
              <w:rPr>
                <w:spacing w:val="-2"/>
                <w:sz w:val="20"/>
              </w:rPr>
              <w:t xml:space="preserve"> </w:t>
            </w:r>
            <w:r w:rsidRPr="00150EDC">
              <w:rPr>
                <w:sz w:val="20"/>
              </w:rPr>
              <w:t>administering</w:t>
            </w:r>
            <w:r w:rsidRPr="00150EDC">
              <w:rPr>
                <w:spacing w:val="-6"/>
                <w:sz w:val="20"/>
              </w:rPr>
              <w:t xml:space="preserve"> </w:t>
            </w:r>
            <w:r w:rsidRPr="00150EDC">
              <w:rPr>
                <w:spacing w:val="-2"/>
                <w:sz w:val="20"/>
              </w:rPr>
              <w:t>drugs</w:t>
            </w:r>
          </w:p>
        </w:tc>
      </w:tr>
      <w:tr w:rsidR="004569EE" w:rsidRPr="007D3144" w14:paraId="01C203F8" w14:textId="77777777">
        <w:trPr>
          <w:trHeight w:val="255"/>
        </w:trPr>
        <w:tc>
          <w:tcPr>
            <w:tcW w:w="6517" w:type="dxa"/>
          </w:tcPr>
          <w:p w14:paraId="3A313EEF" w14:textId="77777777" w:rsidR="004C7180" w:rsidRPr="00150EDC" w:rsidRDefault="00CF0754">
            <w:pPr>
              <w:pStyle w:val="TableParagraph"/>
              <w:rPr>
                <w:sz w:val="20"/>
              </w:rPr>
            </w:pPr>
            <w:r w:rsidRPr="00150EDC">
              <w:rPr>
                <w:sz w:val="20"/>
              </w:rPr>
              <w:t>Criminal</w:t>
            </w:r>
            <w:r w:rsidRPr="00150EDC">
              <w:rPr>
                <w:spacing w:val="-7"/>
                <w:sz w:val="20"/>
              </w:rPr>
              <w:t xml:space="preserve"> </w:t>
            </w:r>
            <w:r w:rsidRPr="00150EDC">
              <w:rPr>
                <w:sz w:val="20"/>
              </w:rPr>
              <w:t>Law</w:t>
            </w:r>
            <w:r w:rsidRPr="00150EDC">
              <w:rPr>
                <w:spacing w:val="-5"/>
                <w:sz w:val="20"/>
              </w:rPr>
              <w:t xml:space="preserve"> </w:t>
            </w:r>
            <w:r w:rsidRPr="00150EDC">
              <w:rPr>
                <w:sz w:val="20"/>
              </w:rPr>
              <w:t>Amendment</w:t>
            </w:r>
            <w:r w:rsidRPr="00150EDC">
              <w:rPr>
                <w:spacing w:val="-7"/>
                <w:sz w:val="20"/>
              </w:rPr>
              <w:t xml:space="preserve"> </w:t>
            </w:r>
            <w:r w:rsidRPr="00150EDC">
              <w:rPr>
                <w:sz w:val="20"/>
              </w:rPr>
              <w:t>Act</w:t>
            </w:r>
            <w:r w:rsidRPr="00150EDC">
              <w:rPr>
                <w:spacing w:val="-6"/>
                <w:sz w:val="20"/>
              </w:rPr>
              <w:t xml:space="preserve"> </w:t>
            </w:r>
            <w:r w:rsidRPr="00150EDC">
              <w:rPr>
                <w:sz w:val="20"/>
              </w:rPr>
              <w:t>1895,</w:t>
            </w:r>
            <w:r w:rsidRPr="00150EDC">
              <w:rPr>
                <w:spacing w:val="-6"/>
                <w:sz w:val="20"/>
              </w:rPr>
              <w:t xml:space="preserve"> </w:t>
            </w:r>
            <w:r w:rsidRPr="00150EDC">
              <w:rPr>
                <w:spacing w:val="-5"/>
                <w:sz w:val="20"/>
              </w:rPr>
              <w:t>s2</w:t>
            </w:r>
          </w:p>
        </w:tc>
        <w:tc>
          <w:tcPr>
            <w:tcW w:w="7427" w:type="dxa"/>
          </w:tcPr>
          <w:p w14:paraId="0E482BB9" w14:textId="77777777" w:rsidR="004C7180" w:rsidRPr="00150EDC" w:rsidRDefault="00CF0754">
            <w:pPr>
              <w:pStyle w:val="TableParagraph"/>
              <w:rPr>
                <w:sz w:val="20"/>
              </w:rPr>
            </w:pPr>
            <w:r w:rsidRPr="00150EDC">
              <w:rPr>
                <w:sz w:val="20"/>
              </w:rPr>
              <w:t>Unlawful</w:t>
            </w:r>
            <w:r w:rsidRPr="00150EDC">
              <w:rPr>
                <w:spacing w:val="-5"/>
                <w:sz w:val="20"/>
              </w:rPr>
              <w:t xml:space="preserve"> </w:t>
            </w:r>
            <w:r w:rsidRPr="00150EDC">
              <w:rPr>
                <w:sz w:val="20"/>
              </w:rPr>
              <w:t>sexual</w:t>
            </w:r>
            <w:r w:rsidRPr="00150EDC">
              <w:rPr>
                <w:spacing w:val="-4"/>
                <w:sz w:val="20"/>
              </w:rPr>
              <w:t xml:space="preserve"> </w:t>
            </w:r>
            <w:r w:rsidRPr="00150EDC">
              <w:rPr>
                <w:sz w:val="20"/>
              </w:rPr>
              <w:t>intercourse</w:t>
            </w:r>
            <w:r w:rsidRPr="00150EDC">
              <w:rPr>
                <w:spacing w:val="-6"/>
                <w:sz w:val="20"/>
              </w:rPr>
              <w:t xml:space="preserve"> </w:t>
            </w:r>
            <w:r w:rsidRPr="00150EDC">
              <w:rPr>
                <w:sz w:val="20"/>
              </w:rPr>
              <w:t>with</w:t>
            </w:r>
            <w:r w:rsidRPr="00150EDC">
              <w:rPr>
                <w:spacing w:val="-6"/>
                <w:sz w:val="20"/>
              </w:rPr>
              <w:t xml:space="preserve"> </w:t>
            </w:r>
            <w:r w:rsidRPr="00150EDC">
              <w:rPr>
                <w:sz w:val="20"/>
              </w:rPr>
              <w:t>child</w:t>
            </w:r>
            <w:r w:rsidRPr="00150EDC">
              <w:rPr>
                <w:spacing w:val="-6"/>
                <w:sz w:val="20"/>
              </w:rPr>
              <w:t xml:space="preserve"> </w:t>
            </w:r>
            <w:r w:rsidRPr="00150EDC">
              <w:rPr>
                <w:sz w:val="20"/>
              </w:rPr>
              <w:t>under</w:t>
            </w:r>
            <w:r w:rsidRPr="00150EDC">
              <w:rPr>
                <w:spacing w:val="-3"/>
                <w:sz w:val="20"/>
              </w:rPr>
              <w:t xml:space="preserve"> </w:t>
            </w:r>
            <w:r w:rsidRPr="00150EDC">
              <w:rPr>
                <w:spacing w:val="-5"/>
                <w:sz w:val="20"/>
              </w:rPr>
              <w:t>16</w:t>
            </w:r>
          </w:p>
        </w:tc>
      </w:tr>
      <w:tr w:rsidR="004569EE" w:rsidRPr="007D3144" w14:paraId="79A10020" w14:textId="77777777">
        <w:trPr>
          <w:trHeight w:val="255"/>
        </w:trPr>
        <w:tc>
          <w:tcPr>
            <w:tcW w:w="6517" w:type="dxa"/>
          </w:tcPr>
          <w:p w14:paraId="0B1EF792" w14:textId="77777777" w:rsidR="004C7180" w:rsidRPr="00150EDC" w:rsidRDefault="00CF0754">
            <w:pPr>
              <w:pStyle w:val="TableParagraph"/>
              <w:rPr>
                <w:sz w:val="20"/>
              </w:rPr>
            </w:pPr>
            <w:r w:rsidRPr="00150EDC">
              <w:rPr>
                <w:sz w:val="20"/>
              </w:rPr>
              <w:t>Criminal</w:t>
            </w:r>
            <w:r w:rsidRPr="00150EDC">
              <w:rPr>
                <w:spacing w:val="-7"/>
                <w:sz w:val="20"/>
              </w:rPr>
              <w:t xml:space="preserve"> </w:t>
            </w:r>
            <w:r w:rsidRPr="00150EDC">
              <w:rPr>
                <w:sz w:val="20"/>
              </w:rPr>
              <w:t>Law</w:t>
            </w:r>
            <w:r w:rsidRPr="00150EDC">
              <w:rPr>
                <w:spacing w:val="-5"/>
                <w:sz w:val="20"/>
              </w:rPr>
              <w:t xml:space="preserve"> </w:t>
            </w:r>
            <w:r w:rsidRPr="00150EDC">
              <w:rPr>
                <w:sz w:val="20"/>
              </w:rPr>
              <w:t>Amendment</w:t>
            </w:r>
            <w:r w:rsidRPr="00150EDC">
              <w:rPr>
                <w:spacing w:val="-7"/>
                <w:sz w:val="20"/>
              </w:rPr>
              <w:t xml:space="preserve"> </w:t>
            </w:r>
            <w:r w:rsidRPr="00150EDC">
              <w:rPr>
                <w:sz w:val="20"/>
              </w:rPr>
              <w:t>Act</w:t>
            </w:r>
            <w:r w:rsidRPr="00150EDC">
              <w:rPr>
                <w:spacing w:val="-6"/>
                <w:sz w:val="20"/>
              </w:rPr>
              <w:t xml:space="preserve"> </w:t>
            </w:r>
            <w:r w:rsidRPr="00150EDC">
              <w:rPr>
                <w:sz w:val="20"/>
              </w:rPr>
              <w:t>1895,</w:t>
            </w:r>
            <w:r w:rsidRPr="00150EDC">
              <w:rPr>
                <w:spacing w:val="-6"/>
                <w:sz w:val="20"/>
              </w:rPr>
              <w:t xml:space="preserve"> </w:t>
            </w:r>
            <w:r w:rsidRPr="00150EDC">
              <w:rPr>
                <w:spacing w:val="-5"/>
                <w:sz w:val="20"/>
              </w:rPr>
              <w:t>s4</w:t>
            </w:r>
          </w:p>
        </w:tc>
        <w:tc>
          <w:tcPr>
            <w:tcW w:w="7427" w:type="dxa"/>
          </w:tcPr>
          <w:p w14:paraId="3E0C518A" w14:textId="77777777" w:rsidR="004C7180" w:rsidRPr="00150EDC" w:rsidRDefault="00CF0754">
            <w:pPr>
              <w:pStyle w:val="TableParagraph"/>
              <w:rPr>
                <w:sz w:val="20"/>
              </w:rPr>
            </w:pPr>
            <w:r w:rsidRPr="00150EDC">
              <w:rPr>
                <w:sz w:val="20"/>
              </w:rPr>
              <w:t>Unlawful</w:t>
            </w:r>
            <w:r w:rsidRPr="00150EDC">
              <w:rPr>
                <w:spacing w:val="-6"/>
                <w:sz w:val="20"/>
              </w:rPr>
              <w:t xml:space="preserve"> </w:t>
            </w:r>
            <w:r w:rsidRPr="00150EDC">
              <w:rPr>
                <w:sz w:val="20"/>
              </w:rPr>
              <w:t>sexual</w:t>
            </w:r>
            <w:r w:rsidRPr="00150EDC">
              <w:rPr>
                <w:spacing w:val="-5"/>
                <w:sz w:val="20"/>
              </w:rPr>
              <w:t xml:space="preserve"> </w:t>
            </w:r>
            <w:r w:rsidRPr="00150EDC">
              <w:rPr>
                <w:sz w:val="20"/>
              </w:rPr>
              <w:t>intercourse</w:t>
            </w:r>
            <w:r w:rsidRPr="00150EDC">
              <w:rPr>
                <w:spacing w:val="-8"/>
                <w:sz w:val="20"/>
              </w:rPr>
              <w:t xml:space="preserve"> </w:t>
            </w:r>
            <w:r w:rsidRPr="00150EDC">
              <w:rPr>
                <w:sz w:val="20"/>
              </w:rPr>
              <w:t>with</w:t>
            </w:r>
            <w:r w:rsidRPr="00150EDC">
              <w:rPr>
                <w:spacing w:val="-3"/>
                <w:sz w:val="20"/>
              </w:rPr>
              <w:t xml:space="preserve"> </w:t>
            </w:r>
            <w:r w:rsidRPr="00150EDC">
              <w:rPr>
                <w:sz w:val="20"/>
              </w:rPr>
              <w:t>mentally</w:t>
            </w:r>
            <w:r w:rsidRPr="00150EDC">
              <w:rPr>
                <w:spacing w:val="-7"/>
                <w:sz w:val="20"/>
              </w:rPr>
              <w:t xml:space="preserve"> </w:t>
            </w:r>
            <w:r w:rsidRPr="00150EDC">
              <w:rPr>
                <w:sz w:val="20"/>
              </w:rPr>
              <w:t>deranged</w:t>
            </w:r>
            <w:r w:rsidRPr="00150EDC">
              <w:rPr>
                <w:spacing w:val="-7"/>
                <w:sz w:val="20"/>
              </w:rPr>
              <w:t xml:space="preserve"> </w:t>
            </w:r>
            <w:r w:rsidRPr="00150EDC">
              <w:rPr>
                <w:spacing w:val="-2"/>
                <w:sz w:val="20"/>
              </w:rPr>
              <w:t>female</w:t>
            </w:r>
          </w:p>
        </w:tc>
      </w:tr>
      <w:tr w:rsidR="004569EE" w:rsidRPr="007D3144" w14:paraId="7C9928CF" w14:textId="77777777">
        <w:trPr>
          <w:trHeight w:val="255"/>
        </w:trPr>
        <w:tc>
          <w:tcPr>
            <w:tcW w:w="6517" w:type="dxa"/>
          </w:tcPr>
          <w:p w14:paraId="308EB6D9" w14:textId="77777777" w:rsidR="004C7180" w:rsidRPr="00150EDC" w:rsidRDefault="00CF0754">
            <w:pPr>
              <w:pStyle w:val="TableParagraph"/>
              <w:spacing w:before="28"/>
              <w:rPr>
                <w:sz w:val="20"/>
              </w:rPr>
            </w:pPr>
            <w:r w:rsidRPr="00150EDC">
              <w:rPr>
                <w:sz w:val="20"/>
              </w:rPr>
              <w:t>Criminal</w:t>
            </w:r>
            <w:r w:rsidRPr="00150EDC">
              <w:rPr>
                <w:spacing w:val="-7"/>
                <w:sz w:val="20"/>
              </w:rPr>
              <w:t xml:space="preserve"> </w:t>
            </w:r>
            <w:r w:rsidRPr="00150EDC">
              <w:rPr>
                <w:sz w:val="20"/>
              </w:rPr>
              <w:t>Law</w:t>
            </w:r>
            <w:r w:rsidRPr="00150EDC">
              <w:rPr>
                <w:spacing w:val="-5"/>
                <w:sz w:val="20"/>
              </w:rPr>
              <w:t xml:space="preserve"> </w:t>
            </w:r>
            <w:r w:rsidRPr="00150EDC">
              <w:rPr>
                <w:sz w:val="20"/>
              </w:rPr>
              <w:t>Amendment</w:t>
            </w:r>
            <w:r w:rsidRPr="00150EDC">
              <w:rPr>
                <w:spacing w:val="-7"/>
                <w:sz w:val="20"/>
              </w:rPr>
              <w:t xml:space="preserve"> </w:t>
            </w:r>
            <w:r w:rsidRPr="00150EDC">
              <w:rPr>
                <w:sz w:val="20"/>
              </w:rPr>
              <w:t>Act</w:t>
            </w:r>
            <w:r w:rsidRPr="00150EDC">
              <w:rPr>
                <w:spacing w:val="-6"/>
                <w:sz w:val="20"/>
              </w:rPr>
              <w:t xml:space="preserve"> </w:t>
            </w:r>
            <w:r w:rsidRPr="00150EDC">
              <w:rPr>
                <w:sz w:val="20"/>
              </w:rPr>
              <w:t>1895,</w:t>
            </w:r>
            <w:r w:rsidRPr="00150EDC">
              <w:rPr>
                <w:spacing w:val="-6"/>
                <w:sz w:val="20"/>
              </w:rPr>
              <w:t xml:space="preserve"> </w:t>
            </w:r>
            <w:r w:rsidRPr="00150EDC">
              <w:rPr>
                <w:spacing w:val="-5"/>
                <w:sz w:val="20"/>
              </w:rPr>
              <w:t>s5</w:t>
            </w:r>
          </w:p>
        </w:tc>
        <w:tc>
          <w:tcPr>
            <w:tcW w:w="7427" w:type="dxa"/>
          </w:tcPr>
          <w:p w14:paraId="6E0979F9" w14:textId="77777777" w:rsidR="004C7180" w:rsidRPr="00150EDC" w:rsidRDefault="00CF0754">
            <w:pPr>
              <w:pStyle w:val="TableParagraph"/>
              <w:spacing w:before="28"/>
              <w:rPr>
                <w:sz w:val="20"/>
              </w:rPr>
            </w:pPr>
            <w:r w:rsidRPr="00150EDC">
              <w:rPr>
                <w:sz w:val="20"/>
              </w:rPr>
              <w:t>Permitting</w:t>
            </w:r>
            <w:r w:rsidRPr="00150EDC">
              <w:rPr>
                <w:spacing w:val="-6"/>
                <w:sz w:val="20"/>
              </w:rPr>
              <w:t xml:space="preserve"> </w:t>
            </w:r>
            <w:r w:rsidRPr="00150EDC">
              <w:rPr>
                <w:sz w:val="20"/>
              </w:rPr>
              <w:t>girl</w:t>
            </w:r>
            <w:r w:rsidRPr="00150EDC">
              <w:rPr>
                <w:spacing w:val="-3"/>
                <w:sz w:val="20"/>
              </w:rPr>
              <w:t xml:space="preserve"> </w:t>
            </w:r>
            <w:r w:rsidRPr="00150EDC">
              <w:rPr>
                <w:sz w:val="20"/>
              </w:rPr>
              <w:t>under</w:t>
            </w:r>
            <w:r w:rsidRPr="00150EDC">
              <w:rPr>
                <w:spacing w:val="-6"/>
                <w:sz w:val="20"/>
              </w:rPr>
              <w:t xml:space="preserve"> </w:t>
            </w:r>
            <w:r w:rsidRPr="00150EDC">
              <w:rPr>
                <w:sz w:val="20"/>
              </w:rPr>
              <w:t>16</w:t>
            </w:r>
            <w:r w:rsidRPr="00150EDC">
              <w:rPr>
                <w:spacing w:val="-5"/>
                <w:sz w:val="20"/>
              </w:rPr>
              <w:t xml:space="preserve"> </w:t>
            </w:r>
            <w:r w:rsidRPr="00150EDC">
              <w:rPr>
                <w:sz w:val="20"/>
              </w:rPr>
              <w:t>to</w:t>
            </w:r>
            <w:r w:rsidRPr="00150EDC">
              <w:rPr>
                <w:spacing w:val="-5"/>
                <w:sz w:val="20"/>
              </w:rPr>
              <w:t xml:space="preserve"> </w:t>
            </w:r>
            <w:r w:rsidRPr="00150EDC">
              <w:rPr>
                <w:sz w:val="20"/>
              </w:rPr>
              <w:t>frequent</w:t>
            </w:r>
            <w:r w:rsidRPr="00150EDC">
              <w:rPr>
                <w:spacing w:val="-6"/>
                <w:sz w:val="20"/>
              </w:rPr>
              <w:t xml:space="preserve"> </w:t>
            </w:r>
            <w:r w:rsidRPr="00150EDC">
              <w:rPr>
                <w:sz w:val="20"/>
              </w:rPr>
              <w:t>premises</w:t>
            </w:r>
            <w:r w:rsidRPr="00150EDC">
              <w:rPr>
                <w:spacing w:val="1"/>
                <w:sz w:val="20"/>
              </w:rPr>
              <w:t xml:space="preserve"> </w:t>
            </w:r>
            <w:r w:rsidRPr="00150EDC">
              <w:rPr>
                <w:sz w:val="20"/>
              </w:rPr>
              <w:t>for</w:t>
            </w:r>
            <w:r w:rsidRPr="00150EDC">
              <w:rPr>
                <w:spacing w:val="-6"/>
                <w:sz w:val="20"/>
              </w:rPr>
              <w:t xml:space="preserve"> </w:t>
            </w:r>
            <w:r w:rsidRPr="00150EDC">
              <w:rPr>
                <w:sz w:val="20"/>
              </w:rPr>
              <w:t>unlawful</w:t>
            </w:r>
            <w:r w:rsidRPr="00150EDC">
              <w:rPr>
                <w:spacing w:val="1"/>
                <w:sz w:val="20"/>
              </w:rPr>
              <w:t xml:space="preserve"> </w:t>
            </w:r>
            <w:r w:rsidRPr="00150EDC">
              <w:rPr>
                <w:sz w:val="20"/>
              </w:rPr>
              <w:t>sexual</w:t>
            </w:r>
            <w:r w:rsidRPr="00150EDC">
              <w:rPr>
                <w:spacing w:val="-4"/>
                <w:sz w:val="20"/>
              </w:rPr>
              <w:t xml:space="preserve"> </w:t>
            </w:r>
            <w:r w:rsidRPr="00150EDC">
              <w:rPr>
                <w:spacing w:val="-2"/>
                <w:sz w:val="20"/>
              </w:rPr>
              <w:t>intercourse</w:t>
            </w:r>
          </w:p>
        </w:tc>
      </w:tr>
    </w:tbl>
    <w:p w14:paraId="1ABF8802" w14:textId="77777777" w:rsidR="004C7180" w:rsidRPr="00150EDC" w:rsidRDefault="004C7180">
      <w:pPr>
        <w:rPr>
          <w:sz w:val="20"/>
        </w:rPr>
        <w:sectPr w:rsidR="004C7180" w:rsidRPr="00150EDC">
          <w:footerReference w:type="default" r:id="rId130"/>
          <w:pgSz w:w="16840" w:h="11910" w:orient="landscape"/>
          <w:pgMar w:top="1340" w:right="1320" w:bottom="280" w:left="1340" w:header="0" w:footer="0" w:gutter="0"/>
          <w:cols w:space="720"/>
        </w:sectPr>
      </w:pPr>
    </w:p>
    <w:p w14:paraId="40D1837A" w14:textId="77777777" w:rsidR="004C7180" w:rsidRPr="00150EDC" w:rsidRDefault="004C7180">
      <w:pPr>
        <w:pStyle w:val="BodyText"/>
        <w:spacing w:before="3"/>
        <w:rPr>
          <w:sz w:val="8"/>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517"/>
        <w:gridCol w:w="7427"/>
      </w:tblGrid>
      <w:tr w:rsidR="004569EE" w:rsidRPr="007D3144" w14:paraId="370AEE6C" w14:textId="77777777">
        <w:trPr>
          <w:trHeight w:val="254"/>
        </w:trPr>
        <w:tc>
          <w:tcPr>
            <w:tcW w:w="6517" w:type="dxa"/>
          </w:tcPr>
          <w:p w14:paraId="40ADB57D" w14:textId="77777777" w:rsidR="004C7180" w:rsidRPr="00150EDC" w:rsidRDefault="00CF0754">
            <w:pPr>
              <w:pStyle w:val="TableParagraph"/>
              <w:rPr>
                <w:sz w:val="20"/>
              </w:rPr>
            </w:pPr>
            <w:r w:rsidRPr="00150EDC">
              <w:rPr>
                <w:sz w:val="20"/>
              </w:rPr>
              <w:t>Criminal</w:t>
            </w:r>
            <w:r w:rsidRPr="00150EDC">
              <w:rPr>
                <w:spacing w:val="-7"/>
                <w:sz w:val="20"/>
              </w:rPr>
              <w:t xml:space="preserve"> </w:t>
            </w:r>
            <w:r w:rsidRPr="00150EDC">
              <w:rPr>
                <w:sz w:val="20"/>
              </w:rPr>
              <w:t>Law</w:t>
            </w:r>
            <w:r w:rsidRPr="00150EDC">
              <w:rPr>
                <w:spacing w:val="-5"/>
                <w:sz w:val="20"/>
              </w:rPr>
              <w:t xml:space="preserve"> </w:t>
            </w:r>
            <w:r w:rsidRPr="00150EDC">
              <w:rPr>
                <w:sz w:val="20"/>
              </w:rPr>
              <w:t>Amendment</w:t>
            </w:r>
            <w:r w:rsidRPr="00150EDC">
              <w:rPr>
                <w:spacing w:val="-7"/>
                <w:sz w:val="20"/>
              </w:rPr>
              <w:t xml:space="preserve"> </w:t>
            </w:r>
            <w:r w:rsidRPr="00150EDC">
              <w:rPr>
                <w:sz w:val="20"/>
              </w:rPr>
              <w:t>Act</w:t>
            </w:r>
            <w:r w:rsidRPr="00150EDC">
              <w:rPr>
                <w:spacing w:val="-6"/>
                <w:sz w:val="20"/>
              </w:rPr>
              <w:t xml:space="preserve"> </w:t>
            </w:r>
            <w:r w:rsidRPr="00150EDC">
              <w:rPr>
                <w:sz w:val="20"/>
              </w:rPr>
              <w:t>1922,</w:t>
            </w:r>
            <w:r w:rsidRPr="00150EDC">
              <w:rPr>
                <w:spacing w:val="-6"/>
                <w:sz w:val="20"/>
              </w:rPr>
              <w:t xml:space="preserve"> </w:t>
            </w:r>
            <w:r w:rsidRPr="00150EDC">
              <w:rPr>
                <w:spacing w:val="-5"/>
                <w:sz w:val="20"/>
              </w:rPr>
              <w:t>s4</w:t>
            </w:r>
          </w:p>
        </w:tc>
        <w:tc>
          <w:tcPr>
            <w:tcW w:w="7427" w:type="dxa"/>
          </w:tcPr>
          <w:p w14:paraId="631851E7" w14:textId="77777777" w:rsidR="004C7180" w:rsidRPr="00150EDC" w:rsidRDefault="00CF0754">
            <w:pPr>
              <w:pStyle w:val="TableParagraph"/>
              <w:rPr>
                <w:sz w:val="20"/>
              </w:rPr>
            </w:pPr>
            <w:r w:rsidRPr="00150EDC">
              <w:rPr>
                <w:sz w:val="20"/>
              </w:rPr>
              <w:t>Lewd</w:t>
            </w:r>
            <w:r w:rsidRPr="00150EDC">
              <w:rPr>
                <w:spacing w:val="-6"/>
                <w:sz w:val="20"/>
              </w:rPr>
              <w:t xml:space="preserve"> </w:t>
            </w:r>
            <w:r w:rsidRPr="00150EDC">
              <w:rPr>
                <w:sz w:val="20"/>
              </w:rPr>
              <w:t>and</w:t>
            </w:r>
            <w:r w:rsidRPr="00150EDC">
              <w:rPr>
                <w:spacing w:val="-1"/>
                <w:sz w:val="20"/>
              </w:rPr>
              <w:t xml:space="preserve"> </w:t>
            </w:r>
            <w:r w:rsidRPr="00150EDC">
              <w:rPr>
                <w:sz w:val="20"/>
              </w:rPr>
              <w:t>libidinous practices</w:t>
            </w:r>
            <w:r w:rsidRPr="00150EDC">
              <w:rPr>
                <w:spacing w:val="-5"/>
                <w:sz w:val="20"/>
              </w:rPr>
              <w:t xml:space="preserve"> </w:t>
            </w:r>
            <w:r w:rsidRPr="00150EDC">
              <w:rPr>
                <w:sz w:val="20"/>
              </w:rPr>
              <w:t>towards</w:t>
            </w:r>
            <w:r w:rsidRPr="00150EDC">
              <w:rPr>
                <w:spacing w:val="-5"/>
                <w:sz w:val="20"/>
              </w:rPr>
              <w:t xml:space="preserve"> </w:t>
            </w:r>
            <w:r w:rsidRPr="00150EDC">
              <w:rPr>
                <w:sz w:val="20"/>
              </w:rPr>
              <w:t>a</w:t>
            </w:r>
            <w:r w:rsidRPr="00150EDC">
              <w:rPr>
                <w:spacing w:val="-5"/>
                <w:sz w:val="20"/>
              </w:rPr>
              <w:t xml:space="preserve"> </w:t>
            </w:r>
            <w:r w:rsidRPr="00150EDC">
              <w:rPr>
                <w:sz w:val="20"/>
              </w:rPr>
              <w:t>girl</w:t>
            </w:r>
            <w:r w:rsidRPr="00150EDC">
              <w:rPr>
                <w:spacing w:val="-4"/>
                <w:sz w:val="20"/>
              </w:rPr>
              <w:t xml:space="preserve"> </w:t>
            </w:r>
            <w:r w:rsidRPr="00150EDC">
              <w:rPr>
                <w:sz w:val="20"/>
              </w:rPr>
              <w:t>under</w:t>
            </w:r>
            <w:r w:rsidRPr="00150EDC">
              <w:rPr>
                <w:spacing w:val="-6"/>
                <w:sz w:val="20"/>
              </w:rPr>
              <w:t xml:space="preserve"> </w:t>
            </w:r>
            <w:r w:rsidRPr="00150EDC">
              <w:rPr>
                <w:spacing w:val="-5"/>
                <w:sz w:val="20"/>
              </w:rPr>
              <w:t>16</w:t>
            </w:r>
          </w:p>
        </w:tc>
      </w:tr>
      <w:tr w:rsidR="004569EE" w:rsidRPr="007D3144" w14:paraId="3975AD8C" w14:textId="77777777">
        <w:trPr>
          <w:trHeight w:val="255"/>
        </w:trPr>
        <w:tc>
          <w:tcPr>
            <w:tcW w:w="6517" w:type="dxa"/>
          </w:tcPr>
          <w:p w14:paraId="39698777" w14:textId="77777777" w:rsidR="004C7180" w:rsidRPr="00150EDC" w:rsidRDefault="00CF0754">
            <w:pPr>
              <w:pStyle w:val="TableParagraph"/>
              <w:spacing w:before="28"/>
              <w:rPr>
                <w:sz w:val="20"/>
              </w:rPr>
            </w:pPr>
            <w:r w:rsidRPr="00150EDC">
              <w:rPr>
                <w:sz w:val="20"/>
              </w:rPr>
              <w:t>Criminal</w:t>
            </w:r>
            <w:r w:rsidRPr="00150EDC">
              <w:rPr>
                <w:spacing w:val="-8"/>
                <w:sz w:val="20"/>
              </w:rPr>
              <w:t xml:space="preserve"> </w:t>
            </w:r>
            <w:r w:rsidRPr="00150EDC">
              <w:rPr>
                <w:sz w:val="20"/>
              </w:rPr>
              <w:t>Offences</w:t>
            </w:r>
            <w:r w:rsidRPr="00150EDC">
              <w:rPr>
                <w:spacing w:val="-6"/>
                <w:sz w:val="20"/>
              </w:rPr>
              <w:t xml:space="preserve"> </w:t>
            </w:r>
            <w:r w:rsidRPr="00150EDC">
              <w:rPr>
                <w:sz w:val="20"/>
              </w:rPr>
              <w:t>(Jersey)</w:t>
            </w:r>
            <w:r w:rsidRPr="00150EDC">
              <w:rPr>
                <w:spacing w:val="-3"/>
                <w:sz w:val="20"/>
              </w:rPr>
              <w:t xml:space="preserve"> </w:t>
            </w:r>
            <w:r w:rsidRPr="00150EDC">
              <w:rPr>
                <w:sz w:val="20"/>
              </w:rPr>
              <w:t>Law</w:t>
            </w:r>
            <w:r w:rsidRPr="00150EDC">
              <w:rPr>
                <w:spacing w:val="-5"/>
                <w:sz w:val="20"/>
              </w:rPr>
              <w:t xml:space="preserve"> </w:t>
            </w:r>
            <w:r w:rsidRPr="00150EDC">
              <w:rPr>
                <w:sz w:val="20"/>
              </w:rPr>
              <w:t>2009,</w:t>
            </w:r>
            <w:r w:rsidRPr="00150EDC">
              <w:rPr>
                <w:spacing w:val="-7"/>
                <w:sz w:val="20"/>
              </w:rPr>
              <w:t xml:space="preserve"> </w:t>
            </w:r>
            <w:r w:rsidRPr="00150EDC">
              <w:rPr>
                <w:sz w:val="20"/>
              </w:rPr>
              <w:t>Art</w:t>
            </w:r>
            <w:r w:rsidRPr="00150EDC">
              <w:rPr>
                <w:spacing w:val="-2"/>
                <w:sz w:val="20"/>
              </w:rPr>
              <w:t xml:space="preserve"> </w:t>
            </w:r>
            <w:r w:rsidRPr="00150EDC">
              <w:rPr>
                <w:spacing w:val="-10"/>
                <w:sz w:val="20"/>
              </w:rPr>
              <w:t>1</w:t>
            </w:r>
          </w:p>
        </w:tc>
        <w:tc>
          <w:tcPr>
            <w:tcW w:w="7427" w:type="dxa"/>
          </w:tcPr>
          <w:p w14:paraId="207EBF18" w14:textId="77777777" w:rsidR="004C7180" w:rsidRPr="00150EDC" w:rsidRDefault="00CF0754">
            <w:pPr>
              <w:pStyle w:val="TableParagraph"/>
              <w:spacing w:before="28"/>
              <w:rPr>
                <w:sz w:val="20"/>
              </w:rPr>
            </w:pPr>
            <w:r w:rsidRPr="00150EDC">
              <w:rPr>
                <w:sz w:val="20"/>
              </w:rPr>
              <w:t>Aid,</w:t>
            </w:r>
            <w:r w:rsidRPr="00150EDC">
              <w:rPr>
                <w:spacing w:val="-5"/>
                <w:sz w:val="20"/>
              </w:rPr>
              <w:t xml:space="preserve"> </w:t>
            </w:r>
            <w:r w:rsidRPr="00150EDC">
              <w:rPr>
                <w:sz w:val="20"/>
              </w:rPr>
              <w:t>abet,</w:t>
            </w:r>
            <w:r w:rsidRPr="00150EDC">
              <w:rPr>
                <w:spacing w:val="-6"/>
                <w:sz w:val="20"/>
              </w:rPr>
              <w:t xml:space="preserve"> </w:t>
            </w:r>
            <w:r w:rsidRPr="00150EDC">
              <w:rPr>
                <w:sz w:val="20"/>
              </w:rPr>
              <w:t>counsel</w:t>
            </w:r>
            <w:r w:rsidRPr="00150EDC">
              <w:rPr>
                <w:spacing w:val="-3"/>
                <w:sz w:val="20"/>
              </w:rPr>
              <w:t xml:space="preserve"> </w:t>
            </w:r>
            <w:r w:rsidRPr="00150EDC">
              <w:rPr>
                <w:sz w:val="20"/>
              </w:rPr>
              <w:t>or</w:t>
            </w:r>
            <w:r w:rsidRPr="00150EDC">
              <w:rPr>
                <w:spacing w:val="-5"/>
                <w:sz w:val="20"/>
              </w:rPr>
              <w:t xml:space="preserve"> </w:t>
            </w:r>
            <w:r w:rsidRPr="00150EDC">
              <w:rPr>
                <w:sz w:val="20"/>
              </w:rPr>
              <w:t>procure the</w:t>
            </w:r>
            <w:r w:rsidRPr="00150EDC">
              <w:rPr>
                <w:spacing w:val="-5"/>
                <w:sz w:val="20"/>
              </w:rPr>
              <w:t xml:space="preserve"> </w:t>
            </w:r>
            <w:r w:rsidRPr="00150EDC">
              <w:rPr>
                <w:sz w:val="20"/>
              </w:rPr>
              <w:t>commission of</w:t>
            </w:r>
            <w:r w:rsidRPr="00150EDC">
              <w:rPr>
                <w:spacing w:val="-5"/>
                <w:sz w:val="20"/>
              </w:rPr>
              <w:t xml:space="preserve"> </w:t>
            </w:r>
            <w:r w:rsidRPr="00150EDC">
              <w:rPr>
                <w:sz w:val="20"/>
              </w:rPr>
              <w:t xml:space="preserve">an </w:t>
            </w:r>
            <w:r w:rsidRPr="00150EDC">
              <w:rPr>
                <w:spacing w:val="-2"/>
                <w:sz w:val="20"/>
              </w:rPr>
              <w:t>offence</w:t>
            </w:r>
          </w:p>
        </w:tc>
      </w:tr>
      <w:tr w:rsidR="004569EE" w:rsidRPr="007D3144" w14:paraId="5BFFD330" w14:textId="77777777">
        <w:trPr>
          <w:trHeight w:val="255"/>
        </w:trPr>
        <w:tc>
          <w:tcPr>
            <w:tcW w:w="6517" w:type="dxa"/>
          </w:tcPr>
          <w:p w14:paraId="728FA5AE" w14:textId="77777777" w:rsidR="004C7180" w:rsidRPr="00150EDC" w:rsidRDefault="00CF0754">
            <w:pPr>
              <w:pStyle w:val="TableParagraph"/>
              <w:rPr>
                <w:sz w:val="20"/>
              </w:rPr>
            </w:pPr>
            <w:r w:rsidRPr="00150EDC">
              <w:rPr>
                <w:sz w:val="20"/>
              </w:rPr>
              <w:t>Criminal</w:t>
            </w:r>
            <w:r w:rsidRPr="00150EDC">
              <w:rPr>
                <w:spacing w:val="-7"/>
                <w:sz w:val="20"/>
              </w:rPr>
              <w:t xml:space="preserve"> </w:t>
            </w:r>
            <w:r w:rsidRPr="00150EDC">
              <w:rPr>
                <w:sz w:val="20"/>
              </w:rPr>
              <w:t>Procedure</w:t>
            </w:r>
            <w:r w:rsidRPr="00150EDC">
              <w:rPr>
                <w:spacing w:val="-3"/>
                <w:sz w:val="20"/>
              </w:rPr>
              <w:t xml:space="preserve"> </w:t>
            </w:r>
            <w:r w:rsidRPr="00150EDC">
              <w:rPr>
                <w:sz w:val="20"/>
              </w:rPr>
              <w:t>(Scotland)</w:t>
            </w:r>
            <w:r w:rsidRPr="00150EDC">
              <w:rPr>
                <w:spacing w:val="-8"/>
                <w:sz w:val="20"/>
              </w:rPr>
              <w:t xml:space="preserve"> </w:t>
            </w:r>
            <w:r w:rsidRPr="00150EDC">
              <w:rPr>
                <w:sz w:val="20"/>
              </w:rPr>
              <w:t>Act</w:t>
            </w:r>
            <w:r w:rsidRPr="00150EDC">
              <w:rPr>
                <w:spacing w:val="-7"/>
                <w:sz w:val="20"/>
              </w:rPr>
              <w:t xml:space="preserve"> </w:t>
            </w:r>
            <w:r w:rsidRPr="00150EDC">
              <w:rPr>
                <w:sz w:val="20"/>
              </w:rPr>
              <w:t>1995,</w:t>
            </w:r>
            <w:r w:rsidRPr="00150EDC">
              <w:rPr>
                <w:spacing w:val="-7"/>
                <w:sz w:val="20"/>
              </w:rPr>
              <w:t xml:space="preserve"> </w:t>
            </w:r>
            <w:r w:rsidRPr="00150EDC">
              <w:rPr>
                <w:spacing w:val="-4"/>
                <w:sz w:val="20"/>
              </w:rPr>
              <w:t>s293</w:t>
            </w:r>
          </w:p>
        </w:tc>
        <w:tc>
          <w:tcPr>
            <w:tcW w:w="7427" w:type="dxa"/>
          </w:tcPr>
          <w:p w14:paraId="0BD3EB8A" w14:textId="77777777" w:rsidR="004C7180" w:rsidRPr="00150EDC" w:rsidRDefault="00CF0754">
            <w:pPr>
              <w:pStyle w:val="TableParagraph"/>
              <w:rPr>
                <w:sz w:val="20"/>
              </w:rPr>
            </w:pPr>
            <w:r w:rsidRPr="00150EDC">
              <w:rPr>
                <w:sz w:val="20"/>
              </w:rPr>
              <w:t>Aid,</w:t>
            </w:r>
            <w:r w:rsidRPr="00150EDC">
              <w:rPr>
                <w:spacing w:val="-5"/>
                <w:sz w:val="20"/>
              </w:rPr>
              <w:t xml:space="preserve"> </w:t>
            </w:r>
            <w:r w:rsidRPr="00150EDC">
              <w:rPr>
                <w:sz w:val="20"/>
              </w:rPr>
              <w:t>abet,</w:t>
            </w:r>
            <w:r w:rsidRPr="00150EDC">
              <w:rPr>
                <w:spacing w:val="-6"/>
                <w:sz w:val="20"/>
              </w:rPr>
              <w:t xml:space="preserve"> </w:t>
            </w:r>
            <w:r w:rsidRPr="00150EDC">
              <w:rPr>
                <w:sz w:val="20"/>
              </w:rPr>
              <w:t>counsel</w:t>
            </w:r>
            <w:r w:rsidRPr="00150EDC">
              <w:rPr>
                <w:spacing w:val="-3"/>
                <w:sz w:val="20"/>
              </w:rPr>
              <w:t xml:space="preserve"> </w:t>
            </w:r>
            <w:r w:rsidRPr="00150EDC">
              <w:rPr>
                <w:sz w:val="20"/>
              </w:rPr>
              <w:t>or</w:t>
            </w:r>
            <w:r w:rsidRPr="00150EDC">
              <w:rPr>
                <w:spacing w:val="-5"/>
                <w:sz w:val="20"/>
              </w:rPr>
              <w:t xml:space="preserve"> </w:t>
            </w:r>
            <w:r w:rsidRPr="00150EDC">
              <w:rPr>
                <w:sz w:val="20"/>
              </w:rPr>
              <w:t>procure the</w:t>
            </w:r>
            <w:r w:rsidRPr="00150EDC">
              <w:rPr>
                <w:spacing w:val="-5"/>
                <w:sz w:val="20"/>
              </w:rPr>
              <w:t xml:space="preserve"> </w:t>
            </w:r>
            <w:r w:rsidRPr="00150EDC">
              <w:rPr>
                <w:sz w:val="20"/>
              </w:rPr>
              <w:t>commission of</w:t>
            </w:r>
            <w:r w:rsidRPr="00150EDC">
              <w:rPr>
                <w:spacing w:val="-5"/>
                <w:sz w:val="20"/>
              </w:rPr>
              <w:t xml:space="preserve"> </w:t>
            </w:r>
            <w:r w:rsidRPr="00150EDC">
              <w:rPr>
                <w:sz w:val="20"/>
              </w:rPr>
              <w:t xml:space="preserve">an </w:t>
            </w:r>
            <w:r w:rsidRPr="00150EDC">
              <w:rPr>
                <w:spacing w:val="-2"/>
                <w:sz w:val="20"/>
              </w:rPr>
              <w:t>offence</w:t>
            </w:r>
          </w:p>
        </w:tc>
      </w:tr>
      <w:tr w:rsidR="004569EE" w:rsidRPr="007D3144" w14:paraId="332790F0" w14:textId="77777777">
        <w:trPr>
          <w:trHeight w:val="255"/>
        </w:trPr>
        <w:tc>
          <w:tcPr>
            <w:tcW w:w="6517" w:type="dxa"/>
          </w:tcPr>
          <w:p w14:paraId="0055D246" w14:textId="77777777" w:rsidR="004C7180" w:rsidRPr="00150EDC" w:rsidRDefault="00CF0754">
            <w:pPr>
              <w:pStyle w:val="TableParagraph"/>
              <w:rPr>
                <w:sz w:val="20"/>
              </w:rPr>
            </w:pPr>
            <w:r w:rsidRPr="00150EDC">
              <w:rPr>
                <w:sz w:val="20"/>
              </w:rPr>
              <w:t>Criminal</w:t>
            </w:r>
            <w:r w:rsidRPr="00150EDC">
              <w:rPr>
                <w:spacing w:val="-7"/>
                <w:sz w:val="20"/>
              </w:rPr>
              <w:t xml:space="preserve"> </w:t>
            </w:r>
            <w:r w:rsidRPr="00150EDC">
              <w:rPr>
                <w:sz w:val="20"/>
              </w:rPr>
              <w:t>Procedure</w:t>
            </w:r>
            <w:r w:rsidRPr="00150EDC">
              <w:rPr>
                <w:spacing w:val="-3"/>
                <w:sz w:val="20"/>
              </w:rPr>
              <w:t xml:space="preserve"> </w:t>
            </w:r>
            <w:r w:rsidRPr="00150EDC">
              <w:rPr>
                <w:sz w:val="20"/>
              </w:rPr>
              <w:t>(Scotland)</w:t>
            </w:r>
            <w:r w:rsidRPr="00150EDC">
              <w:rPr>
                <w:spacing w:val="-8"/>
                <w:sz w:val="20"/>
              </w:rPr>
              <w:t xml:space="preserve"> </w:t>
            </w:r>
            <w:r w:rsidRPr="00150EDC">
              <w:rPr>
                <w:sz w:val="20"/>
              </w:rPr>
              <w:t>Act</w:t>
            </w:r>
            <w:r w:rsidRPr="00150EDC">
              <w:rPr>
                <w:spacing w:val="-7"/>
                <w:sz w:val="20"/>
              </w:rPr>
              <w:t xml:space="preserve"> </w:t>
            </w:r>
            <w:r w:rsidRPr="00150EDC">
              <w:rPr>
                <w:sz w:val="20"/>
              </w:rPr>
              <w:t>1995,</w:t>
            </w:r>
            <w:r w:rsidRPr="00150EDC">
              <w:rPr>
                <w:spacing w:val="-7"/>
                <w:sz w:val="20"/>
              </w:rPr>
              <w:t xml:space="preserve"> </w:t>
            </w:r>
            <w:r w:rsidRPr="00150EDC">
              <w:rPr>
                <w:spacing w:val="-4"/>
                <w:sz w:val="20"/>
              </w:rPr>
              <w:t>s294</w:t>
            </w:r>
          </w:p>
        </w:tc>
        <w:tc>
          <w:tcPr>
            <w:tcW w:w="7427" w:type="dxa"/>
          </w:tcPr>
          <w:p w14:paraId="7770883D" w14:textId="77777777" w:rsidR="004C7180" w:rsidRPr="00150EDC" w:rsidRDefault="00CF0754">
            <w:pPr>
              <w:pStyle w:val="TableParagraph"/>
              <w:rPr>
                <w:sz w:val="20"/>
              </w:rPr>
            </w:pPr>
            <w:r w:rsidRPr="00150EDC">
              <w:rPr>
                <w:sz w:val="20"/>
              </w:rPr>
              <w:t>Attempt</w:t>
            </w:r>
            <w:r w:rsidRPr="00150EDC">
              <w:rPr>
                <w:spacing w:val="-6"/>
                <w:sz w:val="20"/>
              </w:rPr>
              <w:t xml:space="preserve"> </w:t>
            </w:r>
            <w:r w:rsidRPr="00150EDC">
              <w:rPr>
                <w:sz w:val="20"/>
              </w:rPr>
              <w:t>to</w:t>
            </w:r>
            <w:r w:rsidRPr="00150EDC">
              <w:rPr>
                <w:spacing w:val="-6"/>
                <w:sz w:val="20"/>
              </w:rPr>
              <w:t xml:space="preserve"> </w:t>
            </w:r>
            <w:r w:rsidRPr="00150EDC">
              <w:rPr>
                <w:sz w:val="20"/>
              </w:rPr>
              <w:t>commit</w:t>
            </w:r>
            <w:r w:rsidRPr="00150EDC">
              <w:rPr>
                <w:spacing w:val="1"/>
                <w:sz w:val="20"/>
              </w:rPr>
              <w:t xml:space="preserve"> </w:t>
            </w:r>
            <w:r w:rsidRPr="00150EDC">
              <w:rPr>
                <w:sz w:val="20"/>
              </w:rPr>
              <w:t>an</w:t>
            </w:r>
            <w:r w:rsidRPr="00150EDC">
              <w:rPr>
                <w:spacing w:val="-6"/>
                <w:sz w:val="20"/>
              </w:rPr>
              <w:t xml:space="preserve"> </w:t>
            </w:r>
            <w:r w:rsidRPr="00150EDC">
              <w:rPr>
                <w:sz w:val="20"/>
              </w:rPr>
              <w:t>indictable</w:t>
            </w:r>
            <w:r w:rsidRPr="00150EDC">
              <w:rPr>
                <w:spacing w:val="-4"/>
                <w:sz w:val="20"/>
              </w:rPr>
              <w:t xml:space="preserve"> </w:t>
            </w:r>
            <w:r w:rsidRPr="00150EDC">
              <w:rPr>
                <w:spacing w:val="-2"/>
                <w:sz w:val="20"/>
              </w:rPr>
              <w:t>offence</w:t>
            </w:r>
          </w:p>
        </w:tc>
      </w:tr>
      <w:tr w:rsidR="004569EE" w:rsidRPr="007D3144" w14:paraId="4CC6CA10" w14:textId="77777777">
        <w:trPr>
          <w:trHeight w:val="510"/>
        </w:trPr>
        <w:tc>
          <w:tcPr>
            <w:tcW w:w="6517" w:type="dxa"/>
          </w:tcPr>
          <w:p w14:paraId="0FF003F5" w14:textId="77777777" w:rsidR="004C7180" w:rsidRPr="00150EDC" w:rsidRDefault="004C7180">
            <w:pPr>
              <w:pStyle w:val="TableParagraph"/>
              <w:spacing w:before="7" w:line="240" w:lineRule="auto"/>
              <w:ind w:left="0"/>
              <w:rPr>
                <w:sz w:val="24"/>
              </w:rPr>
            </w:pPr>
          </w:p>
          <w:p w14:paraId="05D48D66" w14:textId="77777777" w:rsidR="004C7180" w:rsidRPr="00150EDC" w:rsidRDefault="00CF0754">
            <w:pPr>
              <w:pStyle w:val="TableParagraph"/>
              <w:spacing w:before="0"/>
              <w:rPr>
                <w:sz w:val="20"/>
              </w:rPr>
            </w:pPr>
            <w:r w:rsidRPr="00150EDC">
              <w:rPr>
                <w:sz w:val="20"/>
              </w:rPr>
              <w:t>Customs</w:t>
            </w:r>
            <w:r w:rsidRPr="00150EDC">
              <w:rPr>
                <w:spacing w:val="-8"/>
                <w:sz w:val="20"/>
              </w:rPr>
              <w:t xml:space="preserve"> </w:t>
            </w:r>
            <w:r w:rsidRPr="00150EDC">
              <w:rPr>
                <w:sz w:val="20"/>
              </w:rPr>
              <w:t>And</w:t>
            </w:r>
            <w:r w:rsidRPr="00150EDC">
              <w:rPr>
                <w:spacing w:val="-7"/>
                <w:sz w:val="20"/>
              </w:rPr>
              <w:t xml:space="preserve"> </w:t>
            </w:r>
            <w:r w:rsidRPr="00150EDC">
              <w:rPr>
                <w:sz w:val="20"/>
              </w:rPr>
              <w:t>Excise</w:t>
            </w:r>
            <w:r w:rsidRPr="00150EDC">
              <w:rPr>
                <w:spacing w:val="-6"/>
                <w:sz w:val="20"/>
              </w:rPr>
              <w:t xml:space="preserve"> </w:t>
            </w:r>
            <w:r w:rsidRPr="00150EDC">
              <w:rPr>
                <w:sz w:val="20"/>
              </w:rPr>
              <w:t>(General</w:t>
            </w:r>
            <w:r w:rsidRPr="00150EDC">
              <w:rPr>
                <w:spacing w:val="-5"/>
                <w:sz w:val="20"/>
              </w:rPr>
              <w:t xml:space="preserve"> </w:t>
            </w:r>
            <w:r w:rsidRPr="00150EDC">
              <w:rPr>
                <w:sz w:val="20"/>
              </w:rPr>
              <w:t>Provisions)</w:t>
            </w:r>
            <w:r w:rsidRPr="00150EDC">
              <w:rPr>
                <w:spacing w:val="-6"/>
                <w:sz w:val="20"/>
              </w:rPr>
              <w:t xml:space="preserve"> </w:t>
            </w:r>
            <w:r w:rsidRPr="00150EDC">
              <w:rPr>
                <w:sz w:val="20"/>
              </w:rPr>
              <w:t>(Jersey)</w:t>
            </w:r>
            <w:r w:rsidRPr="00150EDC">
              <w:rPr>
                <w:spacing w:val="-3"/>
                <w:sz w:val="20"/>
              </w:rPr>
              <w:t xml:space="preserve"> </w:t>
            </w:r>
            <w:r w:rsidRPr="00150EDC">
              <w:rPr>
                <w:sz w:val="20"/>
              </w:rPr>
              <w:t>Law</w:t>
            </w:r>
            <w:r w:rsidRPr="00150EDC">
              <w:rPr>
                <w:spacing w:val="-5"/>
                <w:sz w:val="20"/>
              </w:rPr>
              <w:t xml:space="preserve"> </w:t>
            </w:r>
            <w:r w:rsidRPr="00150EDC">
              <w:rPr>
                <w:sz w:val="20"/>
              </w:rPr>
              <w:t>1972,</w:t>
            </w:r>
            <w:r w:rsidRPr="00150EDC">
              <w:rPr>
                <w:spacing w:val="-6"/>
                <w:sz w:val="20"/>
              </w:rPr>
              <w:t xml:space="preserve"> </w:t>
            </w:r>
            <w:r w:rsidRPr="00150EDC">
              <w:rPr>
                <w:sz w:val="20"/>
              </w:rPr>
              <w:t>Art</w:t>
            </w:r>
            <w:r w:rsidRPr="00150EDC">
              <w:rPr>
                <w:spacing w:val="-6"/>
                <w:sz w:val="20"/>
              </w:rPr>
              <w:t xml:space="preserve"> </w:t>
            </w:r>
            <w:r w:rsidRPr="00150EDC">
              <w:rPr>
                <w:spacing w:val="-5"/>
                <w:sz w:val="20"/>
              </w:rPr>
              <w:t>77</w:t>
            </w:r>
          </w:p>
        </w:tc>
        <w:tc>
          <w:tcPr>
            <w:tcW w:w="7427" w:type="dxa"/>
          </w:tcPr>
          <w:p w14:paraId="464128CB" w14:textId="77777777" w:rsidR="004C7180" w:rsidRPr="00150EDC" w:rsidRDefault="00CF0754">
            <w:pPr>
              <w:pStyle w:val="TableParagraph"/>
              <w:spacing w:before="32" w:line="230" w:lineRule="atLeast"/>
              <w:rPr>
                <w:sz w:val="20"/>
              </w:rPr>
            </w:pPr>
            <w:r w:rsidRPr="00150EDC">
              <w:rPr>
                <w:sz w:val="20"/>
              </w:rPr>
              <w:t>Fraudulent</w:t>
            </w:r>
            <w:r w:rsidRPr="00150EDC">
              <w:rPr>
                <w:spacing w:val="-2"/>
                <w:sz w:val="20"/>
              </w:rPr>
              <w:t xml:space="preserve"> </w:t>
            </w:r>
            <w:r w:rsidRPr="00150EDC">
              <w:rPr>
                <w:sz w:val="20"/>
              </w:rPr>
              <w:t>evasion</w:t>
            </w:r>
            <w:r w:rsidRPr="00150EDC">
              <w:rPr>
                <w:spacing w:val="-2"/>
                <w:sz w:val="20"/>
              </w:rPr>
              <w:t xml:space="preserve"> </w:t>
            </w:r>
            <w:r w:rsidRPr="00150EDC">
              <w:rPr>
                <w:sz w:val="20"/>
              </w:rPr>
              <w:t>of</w:t>
            </w:r>
            <w:r w:rsidRPr="00150EDC">
              <w:rPr>
                <w:spacing w:val="-6"/>
                <w:sz w:val="20"/>
              </w:rPr>
              <w:t xml:space="preserve"> </w:t>
            </w:r>
            <w:r w:rsidRPr="00150EDC">
              <w:rPr>
                <w:sz w:val="20"/>
              </w:rPr>
              <w:t>duty,</w:t>
            </w:r>
            <w:r w:rsidRPr="00150EDC">
              <w:rPr>
                <w:spacing w:val="-6"/>
                <w:sz w:val="20"/>
              </w:rPr>
              <w:t xml:space="preserve"> </w:t>
            </w:r>
            <w:r w:rsidRPr="00150EDC">
              <w:rPr>
                <w:sz w:val="20"/>
              </w:rPr>
              <w:t>etc</w:t>
            </w:r>
            <w:r w:rsidRPr="00150EDC">
              <w:rPr>
                <w:spacing w:val="-5"/>
                <w:sz w:val="20"/>
              </w:rPr>
              <w:t xml:space="preserve"> </w:t>
            </w:r>
            <w:r w:rsidRPr="00150EDC">
              <w:rPr>
                <w:sz w:val="20"/>
              </w:rPr>
              <w:t>where</w:t>
            </w:r>
            <w:r w:rsidRPr="00150EDC">
              <w:rPr>
                <w:spacing w:val="-6"/>
                <w:sz w:val="20"/>
              </w:rPr>
              <w:t xml:space="preserve"> </w:t>
            </w:r>
            <w:r w:rsidRPr="00150EDC">
              <w:rPr>
                <w:sz w:val="20"/>
              </w:rPr>
              <w:t>the</w:t>
            </w:r>
            <w:r w:rsidRPr="00150EDC">
              <w:rPr>
                <w:spacing w:val="-6"/>
                <w:sz w:val="20"/>
              </w:rPr>
              <w:t xml:space="preserve"> </w:t>
            </w:r>
            <w:r w:rsidRPr="00150EDC">
              <w:rPr>
                <w:sz w:val="20"/>
              </w:rPr>
              <w:t>prohibited</w:t>
            </w:r>
            <w:r w:rsidRPr="00150EDC">
              <w:rPr>
                <w:spacing w:val="-6"/>
                <w:sz w:val="20"/>
              </w:rPr>
              <w:t xml:space="preserve"> </w:t>
            </w:r>
            <w:r w:rsidRPr="00150EDC">
              <w:rPr>
                <w:sz w:val="20"/>
              </w:rPr>
              <w:t>goods</w:t>
            </w:r>
            <w:r w:rsidRPr="00150EDC">
              <w:rPr>
                <w:spacing w:val="-5"/>
                <w:sz w:val="20"/>
              </w:rPr>
              <w:t xml:space="preserve"> </w:t>
            </w:r>
            <w:r w:rsidRPr="00150EDC">
              <w:rPr>
                <w:sz w:val="20"/>
              </w:rPr>
              <w:t>included</w:t>
            </w:r>
            <w:r w:rsidRPr="00150EDC">
              <w:rPr>
                <w:spacing w:val="-6"/>
                <w:sz w:val="20"/>
              </w:rPr>
              <w:t xml:space="preserve"> </w:t>
            </w:r>
            <w:r w:rsidRPr="00150EDC">
              <w:rPr>
                <w:sz w:val="20"/>
              </w:rPr>
              <w:t>indecent photographs of</w:t>
            </w:r>
            <w:r w:rsidRPr="00150EDC">
              <w:rPr>
                <w:spacing w:val="-3"/>
                <w:sz w:val="20"/>
              </w:rPr>
              <w:t xml:space="preserve"> </w:t>
            </w:r>
            <w:r w:rsidRPr="00150EDC">
              <w:rPr>
                <w:sz w:val="20"/>
              </w:rPr>
              <w:t>children</w:t>
            </w:r>
            <w:r w:rsidRPr="00150EDC">
              <w:rPr>
                <w:spacing w:val="-3"/>
                <w:sz w:val="20"/>
              </w:rPr>
              <w:t xml:space="preserve"> </w:t>
            </w:r>
            <w:r w:rsidRPr="00150EDC">
              <w:rPr>
                <w:sz w:val="20"/>
              </w:rPr>
              <w:t>under the age</w:t>
            </w:r>
            <w:r w:rsidRPr="00150EDC">
              <w:rPr>
                <w:spacing w:val="-3"/>
                <w:sz w:val="20"/>
              </w:rPr>
              <w:t xml:space="preserve"> </w:t>
            </w:r>
            <w:r w:rsidRPr="00150EDC">
              <w:rPr>
                <w:sz w:val="20"/>
              </w:rPr>
              <w:t>of</w:t>
            </w:r>
            <w:r w:rsidRPr="00150EDC">
              <w:rPr>
                <w:spacing w:val="-3"/>
                <w:sz w:val="20"/>
              </w:rPr>
              <w:t xml:space="preserve"> </w:t>
            </w:r>
            <w:r w:rsidRPr="00150EDC">
              <w:rPr>
                <w:sz w:val="20"/>
              </w:rPr>
              <w:t>16; or</w:t>
            </w:r>
            <w:r w:rsidRPr="00150EDC">
              <w:rPr>
                <w:spacing w:val="-3"/>
                <w:sz w:val="20"/>
              </w:rPr>
              <w:t xml:space="preserve"> </w:t>
            </w:r>
            <w:r w:rsidRPr="00150EDC">
              <w:rPr>
                <w:sz w:val="20"/>
              </w:rPr>
              <w:t>indecent or</w:t>
            </w:r>
            <w:r w:rsidRPr="00150EDC">
              <w:rPr>
                <w:spacing w:val="-3"/>
                <w:sz w:val="20"/>
              </w:rPr>
              <w:t xml:space="preserve"> </w:t>
            </w:r>
            <w:r w:rsidRPr="00150EDC">
              <w:rPr>
                <w:sz w:val="20"/>
              </w:rPr>
              <w:t>obscene</w:t>
            </w:r>
            <w:r w:rsidRPr="00150EDC">
              <w:rPr>
                <w:spacing w:val="-3"/>
                <w:sz w:val="20"/>
              </w:rPr>
              <w:t xml:space="preserve"> </w:t>
            </w:r>
            <w:r w:rsidRPr="00150EDC">
              <w:rPr>
                <w:sz w:val="20"/>
              </w:rPr>
              <w:t>articles.</w:t>
            </w:r>
          </w:p>
        </w:tc>
      </w:tr>
      <w:tr w:rsidR="004569EE" w:rsidRPr="007D3144" w14:paraId="2192016F" w14:textId="77777777">
        <w:trPr>
          <w:trHeight w:val="510"/>
        </w:trPr>
        <w:tc>
          <w:tcPr>
            <w:tcW w:w="6517" w:type="dxa"/>
          </w:tcPr>
          <w:p w14:paraId="0142AB3F" w14:textId="77777777" w:rsidR="004C7180" w:rsidRPr="00150EDC" w:rsidRDefault="00CF0754">
            <w:pPr>
              <w:pStyle w:val="TableParagraph"/>
              <w:spacing w:before="32" w:line="230" w:lineRule="atLeast"/>
              <w:rPr>
                <w:sz w:val="20"/>
              </w:rPr>
            </w:pPr>
            <w:r w:rsidRPr="00150EDC">
              <w:rPr>
                <w:sz w:val="20"/>
              </w:rPr>
              <w:t>Customs</w:t>
            </w:r>
            <w:r w:rsidRPr="00150EDC">
              <w:rPr>
                <w:spacing w:val="-6"/>
                <w:sz w:val="20"/>
              </w:rPr>
              <w:t xml:space="preserve"> </w:t>
            </w:r>
            <w:r w:rsidRPr="00150EDC">
              <w:rPr>
                <w:sz w:val="20"/>
              </w:rPr>
              <w:t>And</w:t>
            </w:r>
            <w:r w:rsidRPr="00150EDC">
              <w:rPr>
                <w:spacing w:val="-7"/>
                <w:sz w:val="20"/>
              </w:rPr>
              <w:t xml:space="preserve"> </w:t>
            </w:r>
            <w:r w:rsidRPr="00150EDC">
              <w:rPr>
                <w:sz w:val="20"/>
              </w:rPr>
              <w:t>Excise</w:t>
            </w:r>
            <w:r w:rsidRPr="00150EDC">
              <w:rPr>
                <w:spacing w:val="-7"/>
                <w:sz w:val="20"/>
              </w:rPr>
              <w:t xml:space="preserve"> </w:t>
            </w:r>
            <w:r w:rsidRPr="00150EDC">
              <w:rPr>
                <w:sz w:val="20"/>
              </w:rPr>
              <w:t>(General</w:t>
            </w:r>
            <w:r w:rsidRPr="00150EDC">
              <w:rPr>
                <w:spacing w:val="-5"/>
                <w:sz w:val="20"/>
              </w:rPr>
              <w:t xml:space="preserve"> </w:t>
            </w:r>
            <w:r w:rsidRPr="00150EDC">
              <w:rPr>
                <w:sz w:val="20"/>
              </w:rPr>
              <w:t>Provisions)</w:t>
            </w:r>
            <w:r w:rsidRPr="00150EDC">
              <w:rPr>
                <w:spacing w:val="-7"/>
                <w:sz w:val="20"/>
              </w:rPr>
              <w:t xml:space="preserve"> </w:t>
            </w:r>
            <w:r w:rsidRPr="00150EDC">
              <w:rPr>
                <w:sz w:val="20"/>
              </w:rPr>
              <w:t>(Bailiwick</w:t>
            </w:r>
            <w:r w:rsidRPr="00150EDC">
              <w:rPr>
                <w:spacing w:val="-6"/>
                <w:sz w:val="20"/>
              </w:rPr>
              <w:t xml:space="preserve"> </w:t>
            </w:r>
            <w:r w:rsidRPr="00150EDC">
              <w:rPr>
                <w:sz w:val="20"/>
              </w:rPr>
              <w:t>Of</w:t>
            </w:r>
            <w:r w:rsidRPr="00150EDC">
              <w:rPr>
                <w:spacing w:val="-7"/>
                <w:sz w:val="20"/>
              </w:rPr>
              <w:t xml:space="preserve"> </w:t>
            </w:r>
            <w:r w:rsidRPr="00150EDC">
              <w:rPr>
                <w:sz w:val="20"/>
              </w:rPr>
              <w:t>Guernsey)</w:t>
            </w:r>
            <w:r w:rsidRPr="00150EDC">
              <w:rPr>
                <w:spacing w:val="-7"/>
                <w:sz w:val="20"/>
              </w:rPr>
              <w:t xml:space="preserve"> </w:t>
            </w:r>
            <w:r w:rsidRPr="00150EDC">
              <w:rPr>
                <w:sz w:val="20"/>
              </w:rPr>
              <w:t>Law 1972, s23</w:t>
            </w:r>
          </w:p>
        </w:tc>
        <w:tc>
          <w:tcPr>
            <w:tcW w:w="7427" w:type="dxa"/>
          </w:tcPr>
          <w:p w14:paraId="75B044C8" w14:textId="77777777" w:rsidR="004C7180" w:rsidRPr="00150EDC" w:rsidRDefault="004C7180">
            <w:pPr>
              <w:pStyle w:val="TableParagraph"/>
              <w:spacing w:before="6" w:line="240" w:lineRule="auto"/>
              <w:ind w:left="0"/>
              <w:rPr>
                <w:sz w:val="24"/>
              </w:rPr>
            </w:pPr>
          </w:p>
          <w:p w14:paraId="064BB601" w14:textId="77777777" w:rsidR="004C7180" w:rsidRPr="00150EDC" w:rsidRDefault="00CF0754">
            <w:pPr>
              <w:pStyle w:val="TableParagraph"/>
              <w:spacing w:before="0"/>
              <w:rPr>
                <w:sz w:val="20"/>
              </w:rPr>
            </w:pPr>
            <w:r w:rsidRPr="00150EDC">
              <w:rPr>
                <w:sz w:val="20"/>
              </w:rPr>
              <w:t>Importing</w:t>
            </w:r>
            <w:r w:rsidRPr="00150EDC">
              <w:rPr>
                <w:spacing w:val="-7"/>
                <w:sz w:val="20"/>
              </w:rPr>
              <w:t xml:space="preserve"> </w:t>
            </w:r>
            <w:r w:rsidRPr="00150EDC">
              <w:rPr>
                <w:sz w:val="20"/>
              </w:rPr>
              <w:t>restricted</w:t>
            </w:r>
            <w:r w:rsidRPr="00150EDC">
              <w:rPr>
                <w:spacing w:val="-3"/>
                <w:sz w:val="20"/>
              </w:rPr>
              <w:t xml:space="preserve"> </w:t>
            </w:r>
            <w:r w:rsidRPr="00150EDC">
              <w:rPr>
                <w:sz w:val="20"/>
              </w:rPr>
              <w:t>or</w:t>
            </w:r>
            <w:r w:rsidRPr="00150EDC">
              <w:rPr>
                <w:spacing w:val="-7"/>
                <w:sz w:val="20"/>
              </w:rPr>
              <w:t xml:space="preserve"> </w:t>
            </w:r>
            <w:r w:rsidRPr="00150EDC">
              <w:rPr>
                <w:sz w:val="20"/>
              </w:rPr>
              <w:t>prohibited</w:t>
            </w:r>
            <w:r w:rsidRPr="00150EDC">
              <w:rPr>
                <w:spacing w:val="-6"/>
                <w:sz w:val="20"/>
              </w:rPr>
              <w:t xml:space="preserve"> </w:t>
            </w:r>
            <w:r w:rsidRPr="00150EDC">
              <w:rPr>
                <w:spacing w:val="-4"/>
                <w:sz w:val="20"/>
              </w:rPr>
              <w:t>goods</w:t>
            </w:r>
          </w:p>
        </w:tc>
      </w:tr>
      <w:tr w:rsidR="004569EE" w:rsidRPr="007D3144" w14:paraId="2205B554" w14:textId="77777777">
        <w:trPr>
          <w:trHeight w:val="510"/>
        </w:trPr>
        <w:tc>
          <w:tcPr>
            <w:tcW w:w="6517" w:type="dxa"/>
          </w:tcPr>
          <w:p w14:paraId="794DB438" w14:textId="77777777" w:rsidR="004C7180" w:rsidRPr="00150EDC" w:rsidRDefault="00CF0754">
            <w:pPr>
              <w:pStyle w:val="TableParagraph"/>
              <w:spacing w:before="32" w:line="230" w:lineRule="atLeast"/>
              <w:rPr>
                <w:sz w:val="20"/>
              </w:rPr>
            </w:pPr>
            <w:r w:rsidRPr="00150EDC">
              <w:rPr>
                <w:sz w:val="20"/>
              </w:rPr>
              <w:t>Customs</w:t>
            </w:r>
            <w:r w:rsidRPr="00150EDC">
              <w:rPr>
                <w:spacing w:val="-6"/>
                <w:sz w:val="20"/>
              </w:rPr>
              <w:t xml:space="preserve"> </w:t>
            </w:r>
            <w:r w:rsidRPr="00150EDC">
              <w:rPr>
                <w:sz w:val="20"/>
              </w:rPr>
              <w:t>And</w:t>
            </w:r>
            <w:r w:rsidRPr="00150EDC">
              <w:rPr>
                <w:spacing w:val="-7"/>
                <w:sz w:val="20"/>
              </w:rPr>
              <w:t xml:space="preserve"> </w:t>
            </w:r>
            <w:r w:rsidRPr="00150EDC">
              <w:rPr>
                <w:sz w:val="20"/>
              </w:rPr>
              <w:t>Excise</w:t>
            </w:r>
            <w:r w:rsidRPr="00150EDC">
              <w:rPr>
                <w:spacing w:val="-7"/>
                <w:sz w:val="20"/>
              </w:rPr>
              <w:t xml:space="preserve"> </w:t>
            </w:r>
            <w:r w:rsidRPr="00150EDC">
              <w:rPr>
                <w:sz w:val="20"/>
              </w:rPr>
              <w:t>(General</w:t>
            </w:r>
            <w:r w:rsidRPr="00150EDC">
              <w:rPr>
                <w:spacing w:val="-5"/>
                <w:sz w:val="20"/>
              </w:rPr>
              <w:t xml:space="preserve"> </w:t>
            </w:r>
            <w:r w:rsidRPr="00150EDC">
              <w:rPr>
                <w:sz w:val="20"/>
              </w:rPr>
              <w:t>Provisions)</w:t>
            </w:r>
            <w:r w:rsidRPr="00150EDC">
              <w:rPr>
                <w:spacing w:val="-7"/>
                <w:sz w:val="20"/>
              </w:rPr>
              <w:t xml:space="preserve"> </w:t>
            </w:r>
            <w:r w:rsidRPr="00150EDC">
              <w:rPr>
                <w:sz w:val="20"/>
              </w:rPr>
              <w:t>(Bailiwick</w:t>
            </w:r>
            <w:r w:rsidRPr="00150EDC">
              <w:rPr>
                <w:spacing w:val="-6"/>
                <w:sz w:val="20"/>
              </w:rPr>
              <w:t xml:space="preserve"> </w:t>
            </w:r>
            <w:r w:rsidRPr="00150EDC">
              <w:rPr>
                <w:sz w:val="20"/>
              </w:rPr>
              <w:t>Of</w:t>
            </w:r>
            <w:r w:rsidRPr="00150EDC">
              <w:rPr>
                <w:spacing w:val="-7"/>
                <w:sz w:val="20"/>
              </w:rPr>
              <w:t xml:space="preserve"> </w:t>
            </w:r>
            <w:r w:rsidRPr="00150EDC">
              <w:rPr>
                <w:sz w:val="20"/>
              </w:rPr>
              <w:t>Guernsey)</w:t>
            </w:r>
            <w:r w:rsidRPr="00150EDC">
              <w:rPr>
                <w:spacing w:val="-7"/>
                <w:sz w:val="20"/>
              </w:rPr>
              <w:t xml:space="preserve"> </w:t>
            </w:r>
            <w:r w:rsidRPr="00150EDC">
              <w:rPr>
                <w:sz w:val="20"/>
              </w:rPr>
              <w:t>Law 1972, s30</w:t>
            </w:r>
          </w:p>
        </w:tc>
        <w:tc>
          <w:tcPr>
            <w:tcW w:w="7427" w:type="dxa"/>
          </w:tcPr>
          <w:p w14:paraId="3507D1B0" w14:textId="77777777" w:rsidR="004C7180" w:rsidRPr="00150EDC" w:rsidRDefault="004C7180">
            <w:pPr>
              <w:pStyle w:val="TableParagraph"/>
              <w:spacing w:before="6" w:line="240" w:lineRule="auto"/>
              <w:ind w:left="0"/>
              <w:rPr>
                <w:sz w:val="24"/>
              </w:rPr>
            </w:pPr>
          </w:p>
          <w:p w14:paraId="080424D5" w14:textId="77777777" w:rsidR="004C7180" w:rsidRPr="00150EDC" w:rsidRDefault="00CF0754">
            <w:pPr>
              <w:pStyle w:val="TableParagraph"/>
              <w:spacing w:before="0"/>
              <w:rPr>
                <w:sz w:val="20"/>
              </w:rPr>
            </w:pPr>
            <w:r w:rsidRPr="00150EDC">
              <w:rPr>
                <w:sz w:val="20"/>
              </w:rPr>
              <w:t>Exporting</w:t>
            </w:r>
            <w:r w:rsidRPr="00150EDC">
              <w:rPr>
                <w:spacing w:val="-8"/>
                <w:sz w:val="20"/>
              </w:rPr>
              <w:t xml:space="preserve"> </w:t>
            </w:r>
            <w:r w:rsidRPr="00150EDC">
              <w:rPr>
                <w:sz w:val="20"/>
              </w:rPr>
              <w:t>restricted</w:t>
            </w:r>
            <w:r w:rsidRPr="00150EDC">
              <w:rPr>
                <w:spacing w:val="-8"/>
                <w:sz w:val="20"/>
              </w:rPr>
              <w:t xml:space="preserve"> </w:t>
            </w:r>
            <w:r w:rsidRPr="00150EDC">
              <w:rPr>
                <w:sz w:val="20"/>
              </w:rPr>
              <w:t>or</w:t>
            </w:r>
            <w:r w:rsidRPr="00150EDC">
              <w:rPr>
                <w:spacing w:val="-4"/>
                <w:sz w:val="20"/>
              </w:rPr>
              <w:t xml:space="preserve"> </w:t>
            </w:r>
            <w:r w:rsidRPr="00150EDC">
              <w:rPr>
                <w:sz w:val="20"/>
              </w:rPr>
              <w:t>prohibited</w:t>
            </w:r>
            <w:r w:rsidRPr="00150EDC">
              <w:rPr>
                <w:spacing w:val="-7"/>
                <w:sz w:val="20"/>
              </w:rPr>
              <w:t xml:space="preserve"> </w:t>
            </w:r>
            <w:r w:rsidRPr="00150EDC">
              <w:rPr>
                <w:spacing w:val="-4"/>
                <w:sz w:val="20"/>
              </w:rPr>
              <w:t>goods</w:t>
            </w:r>
          </w:p>
        </w:tc>
      </w:tr>
      <w:tr w:rsidR="004569EE" w:rsidRPr="007D3144" w14:paraId="0F5C2892" w14:textId="77777777">
        <w:trPr>
          <w:trHeight w:val="510"/>
        </w:trPr>
        <w:tc>
          <w:tcPr>
            <w:tcW w:w="6517" w:type="dxa"/>
          </w:tcPr>
          <w:p w14:paraId="500A28F6" w14:textId="77777777" w:rsidR="004C7180" w:rsidRPr="00150EDC" w:rsidRDefault="00CF0754">
            <w:pPr>
              <w:pStyle w:val="TableParagraph"/>
              <w:spacing w:before="32" w:line="230" w:lineRule="atLeast"/>
              <w:rPr>
                <w:sz w:val="20"/>
              </w:rPr>
            </w:pPr>
            <w:r w:rsidRPr="00150EDC">
              <w:rPr>
                <w:sz w:val="20"/>
              </w:rPr>
              <w:t>Customs</w:t>
            </w:r>
            <w:r w:rsidRPr="00150EDC">
              <w:rPr>
                <w:spacing w:val="-6"/>
                <w:sz w:val="20"/>
              </w:rPr>
              <w:t xml:space="preserve"> </w:t>
            </w:r>
            <w:r w:rsidRPr="00150EDC">
              <w:rPr>
                <w:sz w:val="20"/>
              </w:rPr>
              <w:t>And</w:t>
            </w:r>
            <w:r w:rsidRPr="00150EDC">
              <w:rPr>
                <w:spacing w:val="-7"/>
                <w:sz w:val="20"/>
              </w:rPr>
              <w:t xml:space="preserve"> </w:t>
            </w:r>
            <w:r w:rsidRPr="00150EDC">
              <w:rPr>
                <w:sz w:val="20"/>
              </w:rPr>
              <w:t>Excise</w:t>
            </w:r>
            <w:r w:rsidRPr="00150EDC">
              <w:rPr>
                <w:spacing w:val="-7"/>
                <w:sz w:val="20"/>
              </w:rPr>
              <w:t xml:space="preserve"> </w:t>
            </w:r>
            <w:r w:rsidRPr="00150EDC">
              <w:rPr>
                <w:sz w:val="20"/>
              </w:rPr>
              <w:t>(General</w:t>
            </w:r>
            <w:r w:rsidRPr="00150EDC">
              <w:rPr>
                <w:spacing w:val="-5"/>
                <w:sz w:val="20"/>
              </w:rPr>
              <w:t xml:space="preserve"> </w:t>
            </w:r>
            <w:r w:rsidRPr="00150EDC">
              <w:rPr>
                <w:sz w:val="20"/>
              </w:rPr>
              <w:t>Provisions)</w:t>
            </w:r>
            <w:r w:rsidRPr="00150EDC">
              <w:rPr>
                <w:spacing w:val="-7"/>
                <w:sz w:val="20"/>
              </w:rPr>
              <w:t xml:space="preserve"> </w:t>
            </w:r>
            <w:r w:rsidRPr="00150EDC">
              <w:rPr>
                <w:sz w:val="20"/>
              </w:rPr>
              <w:t>(Bailiwick</w:t>
            </w:r>
            <w:r w:rsidRPr="00150EDC">
              <w:rPr>
                <w:spacing w:val="-6"/>
                <w:sz w:val="20"/>
              </w:rPr>
              <w:t xml:space="preserve"> </w:t>
            </w:r>
            <w:r w:rsidRPr="00150EDC">
              <w:rPr>
                <w:sz w:val="20"/>
              </w:rPr>
              <w:t>Of</w:t>
            </w:r>
            <w:r w:rsidRPr="00150EDC">
              <w:rPr>
                <w:spacing w:val="-7"/>
                <w:sz w:val="20"/>
              </w:rPr>
              <w:t xml:space="preserve"> </w:t>
            </w:r>
            <w:r w:rsidRPr="00150EDC">
              <w:rPr>
                <w:sz w:val="20"/>
              </w:rPr>
              <w:t>Guernsey)</w:t>
            </w:r>
            <w:r w:rsidRPr="00150EDC">
              <w:rPr>
                <w:spacing w:val="-7"/>
                <w:sz w:val="20"/>
              </w:rPr>
              <w:t xml:space="preserve"> </w:t>
            </w:r>
            <w:r w:rsidRPr="00150EDC">
              <w:rPr>
                <w:sz w:val="20"/>
              </w:rPr>
              <w:t>Law 1972, s77</w:t>
            </w:r>
          </w:p>
        </w:tc>
        <w:tc>
          <w:tcPr>
            <w:tcW w:w="7427" w:type="dxa"/>
          </w:tcPr>
          <w:p w14:paraId="30D25037" w14:textId="77777777" w:rsidR="004C7180" w:rsidRPr="00150EDC" w:rsidRDefault="00CF0754">
            <w:pPr>
              <w:pStyle w:val="TableParagraph"/>
              <w:spacing w:before="32" w:line="230" w:lineRule="atLeast"/>
              <w:rPr>
                <w:sz w:val="20"/>
              </w:rPr>
            </w:pPr>
            <w:r w:rsidRPr="00150EDC">
              <w:rPr>
                <w:sz w:val="20"/>
              </w:rPr>
              <w:t>Fraudulent</w:t>
            </w:r>
            <w:r w:rsidRPr="00150EDC">
              <w:rPr>
                <w:spacing w:val="-2"/>
                <w:sz w:val="20"/>
              </w:rPr>
              <w:t xml:space="preserve"> </w:t>
            </w:r>
            <w:r w:rsidRPr="00150EDC">
              <w:rPr>
                <w:sz w:val="20"/>
              </w:rPr>
              <w:t>evasion</w:t>
            </w:r>
            <w:r w:rsidRPr="00150EDC">
              <w:rPr>
                <w:spacing w:val="-2"/>
                <w:sz w:val="20"/>
              </w:rPr>
              <w:t xml:space="preserve"> </w:t>
            </w:r>
            <w:r w:rsidRPr="00150EDC">
              <w:rPr>
                <w:sz w:val="20"/>
              </w:rPr>
              <w:t>of</w:t>
            </w:r>
            <w:r w:rsidRPr="00150EDC">
              <w:rPr>
                <w:spacing w:val="-4"/>
                <w:sz w:val="20"/>
              </w:rPr>
              <w:t xml:space="preserve"> </w:t>
            </w:r>
            <w:r w:rsidRPr="00150EDC">
              <w:rPr>
                <w:sz w:val="20"/>
              </w:rPr>
              <w:t>duty,</w:t>
            </w:r>
            <w:r w:rsidRPr="00150EDC">
              <w:rPr>
                <w:spacing w:val="-6"/>
                <w:sz w:val="20"/>
              </w:rPr>
              <w:t xml:space="preserve"> </w:t>
            </w:r>
            <w:r w:rsidRPr="00150EDC">
              <w:rPr>
                <w:sz w:val="20"/>
              </w:rPr>
              <w:t>etc</w:t>
            </w:r>
            <w:r w:rsidRPr="00150EDC">
              <w:rPr>
                <w:spacing w:val="-5"/>
                <w:sz w:val="20"/>
              </w:rPr>
              <w:t xml:space="preserve"> </w:t>
            </w:r>
            <w:r w:rsidRPr="00150EDC">
              <w:rPr>
                <w:sz w:val="20"/>
              </w:rPr>
              <w:t>where</w:t>
            </w:r>
            <w:r w:rsidRPr="00150EDC">
              <w:rPr>
                <w:spacing w:val="-6"/>
                <w:sz w:val="20"/>
              </w:rPr>
              <w:t xml:space="preserve"> </w:t>
            </w:r>
            <w:r w:rsidRPr="00150EDC">
              <w:rPr>
                <w:sz w:val="20"/>
              </w:rPr>
              <w:t>the</w:t>
            </w:r>
            <w:r w:rsidRPr="00150EDC">
              <w:rPr>
                <w:spacing w:val="-6"/>
                <w:sz w:val="20"/>
              </w:rPr>
              <w:t xml:space="preserve"> </w:t>
            </w:r>
            <w:r w:rsidRPr="00150EDC">
              <w:rPr>
                <w:sz w:val="20"/>
              </w:rPr>
              <w:t>prohibited</w:t>
            </w:r>
            <w:r w:rsidRPr="00150EDC">
              <w:rPr>
                <w:spacing w:val="-6"/>
                <w:sz w:val="20"/>
              </w:rPr>
              <w:t xml:space="preserve"> </w:t>
            </w:r>
            <w:r w:rsidRPr="00150EDC">
              <w:rPr>
                <w:sz w:val="20"/>
              </w:rPr>
              <w:t>goods</w:t>
            </w:r>
            <w:r w:rsidRPr="00150EDC">
              <w:rPr>
                <w:spacing w:val="-5"/>
                <w:sz w:val="20"/>
              </w:rPr>
              <w:t xml:space="preserve"> </w:t>
            </w:r>
            <w:r w:rsidRPr="00150EDC">
              <w:rPr>
                <w:sz w:val="20"/>
              </w:rPr>
              <w:t>included</w:t>
            </w:r>
            <w:r w:rsidRPr="00150EDC">
              <w:rPr>
                <w:spacing w:val="-6"/>
                <w:sz w:val="20"/>
              </w:rPr>
              <w:t xml:space="preserve"> </w:t>
            </w:r>
            <w:r w:rsidRPr="00150EDC">
              <w:rPr>
                <w:sz w:val="20"/>
              </w:rPr>
              <w:t>indecent photographs of</w:t>
            </w:r>
            <w:r w:rsidRPr="00150EDC">
              <w:rPr>
                <w:spacing w:val="-3"/>
                <w:sz w:val="20"/>
              </w:rPr>
              <w:t xml:space="preserve"> </w:t>
            </w:r>
            <w:r w:rsidRPr="00150EDC">
              <w:rPr>
                <w:sz w:val="20"/>
              </w:rPr>
              <w:t>children</w:t>
            </w:r>
            <w:r w:rsidRPr="00150EDC">
              <w:rPr>
                <w:spacing w:val="-3"/>
                <w:sz w:val="20"/>
              </w:rPr>
              <w:t xml:space="preserve"> </w:t>
            </w:r>
            <w:r w:rsidRPr="00150EDC">
              <w:rPr>
                <w:sz w:val="20"/>
              </w:rPr>
              <w:t>under the age</w:t>
            </w:r>
            <w:r w:rsidRPr="00150EDC">
              <w:rPr>
                <w:spacing w:val="-3"/>
                <w:sz w:val="20"/>
              </w:rPr>
              <w:t xml:space="preserve"> </w:t>
            </w:r>
            <w:r w:rsidRPr="00150EDC">
              <w:rPr>
                <w:sz w:val="20"/>
              </w:rPr>
              <w:t>of</w:t>
            </w:r>
            <w:r w:rsidRPr="00150EDC">
              <w:rPr>
                <w:spacing w:val="-3"/>
                <w:sz w:val="20"/>
              </w:rPr>
              <w:t xml:space="preserve"> </w:t>
            </w:r>
            <w:r w:rsidRPr="00150EDC">
              <w:rPr>
                <w:sz w:val="20"/>
              </w:rPr>
              <w:t>16; or</w:t>
            </w:r>
            <w:r w:rsidRPr="00150EDC">
              <w:rPr>
                <w:spacing w:val="-3"/>
                <w:sz w:val="20"/>
              </w:rPr>
              <w:t xml:space="preserve"> </w:t>
            </w:r>
            <w:r w:rsidRPr="00150EDC">
              <w:rPr>
                <w:sz w:val="20"/>
              </w:rPr>
              <w:t>indecent or</w:t>
            </w:r>
            <w:r w:rsidRPr="00150EDC">
              <w:rPr>
                <w:spacing w:val="-3"/>
                <w:sz w:val="20"/>
              </w:rPr>
              <w:t xml:space="preserve"> </w:t>
            </w:r>
            <w:r w:rsidRPr="00150EDC">
              <w:rPr>
                <w:sz w:val="20"/>
              </w:rPr>
              <w:t>obscene</w:t>
            </w:r>
            <w:r w:rsidRPr="00150EDC">
              <w:rPr>
                <w:spacing w:val="-3"/>
                <w:sz w:val="20"/>
              </w:rPr>
              <w:t xml:space="preserve"> </w:t>
            </w:r>
            <w:r w:rsidRPr="00150EDC">
              <w:rPr>
                <w:sz w:val="20"/>
              </w:rPr>
              <w:t>articles.</w:t>
            </w:r>
          </w:p>
        </w:tc>
      </w:tr>
      <w:tr w:rsidR="004569EE" w:rsidRPr="007D3144" w14:paraId="141EB8D6" w14:textId="77777777">
        <w:trPr>
          <w:trHeight w:val="510"/>
        </w:trPr>
        <w:tc>
          <w:tcPr>
            <w:tcW w:w="6517" w:type="dxa"/>
          </w:tcPr>
          <w:p w14:paraId="5D8D33AB" w14:textId="77777777" w:rsidR="004C7180" w:rsidRPr="00150EDC" w:rsidRDefault="004C7180">
            <w:pPr>
              <w:pStyle w:val="TableParagraph"/>
              <w:spacing w:before="6" w:line="240" w:lineRule="auto"/>
              <w:ind w:left="0"/>
              <w:rPr>
                <w:sz w:val="24"/>
              </w:rPr>
            </w:pPr>
          </w:p>
          <w:p w14:paraId="0D03FDAB" w14:textId="77777777" w:rsidR="004C7180" w:rsidRPr="00150EDC" w:rsidRDefault="00CF0754">
            <w:pPr>
              <w:pStyle w:val="TableParagraph"/>
              <w:spacing w:before="0"/>
              <w:rPr>
                <w:sz w:val="20"/>
              </w:rPr>
            </w:pPr>
            <w:r w:rsidRPr="00150EDC">
              <w:rPr>
                <w:sz w:val="20"/>
              </w:rPr>
              <w:t>Customs</w:t>
            </w:r>
            <w:r w:rsidRPr="00150EDC">
              <w:rPr>
                <w:spacing w:val="-7"/>
                <w:sz w:val="20"/>
              </w:rPr>
              <w:t xml:space="preserve"> </w:t>
            </w:r>
            <w:r w:rsidRPr="00150EDC">
              <w:rPr>
                <w:sz w:val="20"/>
              </w:rPr>
              <w:t>And</w:t>
            </w:r>
            <w:r w:rsidRPr="00150EDC">
              <w:rPr>
                <w:spacing w:val="-5"/>
                <w:sz w:val="20"/>
              </w:rPr>
              <w:t xml:space="preserve"> </w:t>
            </w:r>
            <w:r w:rsidRPr="00150EDC">
              <w:rPr>
                <w:sz w:val="20"/>
              </w:rPr>
              <w:t>Excise</w:t>
            </w:r>
            <w:r w:rsidRPr="00150EDC">
              <w:rPr>
                <w:spacing w:val="-5"/>
                <w:sz w:val="20"/>
              </w:rPr>
              <w:t xml:space="preserve"> </w:t>
            </w:r>
            <w:r w:rsidRPr="00150EDC">
              <w:rPr>
                <w:sz w:val="20"/>
              </w:rPr>
              <w:t>(Jersey)</w:t>
            </w:r>
            <w:r w:rsidRPr="00150EDC">
              <w:rPr>
                <w:spacing w:val="-6"/>
                <w:sz w:val="20"/>
              </w:rPr>
              <w:t xml:space="preserve"> </w:t>
            </w:r>
            <w:r w:rsidRPr="00150EDC">
              <w:rPr>
                <w:sz w:val="20"/>
              </w:rPr>
              <w:t>Law</w:t>
            </w:r>
            <w:r w:rsidRPr="00150EDC">
              <w:rPr>
                <w:spacing w:val="-3"/>
                <w:sz w:val="20"/>
              </w:rPr>
              <w:t xml:space="preserve"> </w:t>
            </w:r>
            <w:r w:rsidRPr="00150EDC">
              <w:rPr>
                <w:sz w:val="20"/>
              </w:rPr>
              <w:t>1999,</w:t>
            </w:r>
            <w:r w:rsidRPr="00150EDC">
              <w:rPr>
                <w:spacing w:val="-5"/>
                <w:sz w:val="20"/>
              </w:rPr>
              <w:t xml:space="preserve"> </w:t>
            </w:r>
            <w:r w:rsidRPr="00150EDC">
              <w:rPr>
                <w:sz w:val="20"/>
              </w:rPr>
              <w:t>Art</w:t>
            </w:r>
            <w:r w:rsidRPr="00150EDC">
              <w:rPr>
                <w:spacing w:val="-5"/>
                <w:sz w:val="20"/>
              </w:rPr>
              <w:t xml:space="preserve"> 61</w:t>
            </w:r>
          </w:p>
        </w:tc>
        <w:tc>
          <w:tcPr>
            <w:tcW w:w="7427" w:type="dxa"/>
          </w:tcPr>
          <w:p w14:paraId="6D2734BA" w14:textId="77777777" w:rsidR="004C7180" w:rsidRPr="00150EDC" w:rsidRDefault="00CF0754">
            <w:pPr>
              <w:pStyle w:val="TableParagraph"/>
              <w:spacing w:before="32" w:line="230" w:lineRule="atLeast"/>
              <w:rPr>
                <w:sz w:val="20"/>
              </w:rPr>
            </w:pPr>
            <w:r w:rsidRPr="00150EDC">
              <w:rPr>
                <w:sz w:val="20"/>
              </w:rPr>
              <w:t>Fraudulent</w:t>
            </w:r>
            <w:r w:rsidRPr="00150EDC">
              <w:rPr>
                <w:spacing w:val="-2"/>
                <w:sz w:val="20"/>
              </w:rPr>
              <w:t xml:space="preserve"> </w:t>
            </w:r>
            <w:r w:rsidRPr="00150EDC">
              <w:rPr>
                <w:sz w:val="20"/>
              </w:rPr>
              <w:t>evasion</w:t>
            </w:r>
            <w:r w:rsidRPr="00150EDC">
              <w:rPr>
                <w:spacing w:val="-2"/>
                <w:sz w:val="20"/>
              </w:rPr>
              <w:t xml:space="preserve"> </w:t>
            </w:r>
            <w:r w:rsidRPr="00150EDC">
              <w:rPr>
                <w:sz w:val="20"/>
              </w:rPr>
              <w:t>of</w:t>
            </w:r>
            <w:r w:rsidRPr="00150EDC">
              <w:rPr>
                <w:spacing w:val="-6"/>
                <w:sz w:val="20"/>
              </w:rPr>
              <w:t xml:space="preserve"> </w:t>
            </w:r>
            <w:r w:rsidRPr="00150EDC">
              <w:rPr>
                <w:sz w:val="20"/>
              </w:rPr>
              <w:t>duty,</w:t>
            </w:r>
            <w:r w:rsidRPr="00150EDC">
              <w:rPr>
                <w:spacing w:val="-6"/>
                <w:sz w:val="20"/>
              </w:rPr>
              <w:t xml:space="preserve"> </w:t>
            </w:r>
            <w:r w:rsidRPr="00150EDC">
              <w:rPr>
                <w:sz w:val="20"/>
              </w:rPr>
              <w:t>etc</w:t>
            </w:r>
            <w:r w:rsidRPr="00150EDC">
              <w:rPr>
                <w:spacing w:val="-5"/>
                <w:sz w:val="20"/>
              </w:rPr>
              <w:t xml:space="preserve"> </w:t>
            </w:r>
            <w:r w:rsidRPr="00150EDC">
              <w:rPr>
                <w:sz w:val="20"/>
              </w:rPr>
              <w:t>where</w:t>
            </w:r>
            <w:r w:rsidRPr="00150EDC">
              <w:rPr>
                <w:spacing w:val="-6"/>
                <w:sz w:val="20"/>
              </w:rPr>
              <w:t xml:space="preserve"> </w:t>
            </w:r>
            <w:r w:rsidRPr="00150EDC">
              <w:rPr>
                <w:sz w:val="20"/>
              </w:rPr>
              <w:t>the</w:t>
            </w:r>
            <w:r w:rsidRPr="00150EDC">
              <w:rPr>
                <w:spacing w:val="-6"/>
                <w:sz w:val="20"/>
              </w:rPr>
              <w:t xml:space="preserve"> </w:t>
            </w:r>
            <w:r w:rsidRPr="00150EDC">
              <w:rPr>
                <w:sz w:val="20"/>
              </w:rPr>
              <w:t>prohibited</w:t>
            </w:r>
            <w:r w:rsidRPr="00150EDC">
              <w:rPr>
                <w:spacing w:val="-6"/>
                <w:sz w:val="20"/>
              </w:rPr>
              <w:t xml:space="preserve"> </w:t>
            </w:r>
            <w:r w:rsidRPr="00150EDC">
              <w:rPr>
                <w:sz w:val="20"/>
              </w:rPr>
              <w:t>goods</w:t>
            </w:r>
            <w:r w:rsidRPr="00150EDC">
              <w:rPr>
                <w:spacing w:val="-5"/>
                <w:sz w:val="20"/>
              </w:rPr>
              <w:t xml:space="preserve"> </w:t>
            </w:r>
            <w:r w:rsidRPr="00150EDC">
              <w:rPr>
                <w:sz w:val="20"/>
              </w:rPr>
              <w:t>included</w:t>
            </w:r>
            <w:r w:rsidRPr="00150EDC">
              <w:rPr>
                <w:spacing w:val="-6"/>
                <w:sz w:val="20"/>
              </w:rPr>
              <w:t xml:space="preserve"> </w:t>
            </w:r>
            <w:r w:rsidRPr="00150EDC">
              <w:rPr>
                <w:sz w:val="20"/>
              </w:rPr>
              <w:t>indecent photographs of</w:t>
            </w:r>
            <w:r w:rsidRPr="00150EDC">
              <w:rPr>
                <w:spacing w:val="-3"/>
                <w:sz w:val="20"/>
              </w:rPr>
              <w:t xml:space="preserve"> </w:t>
            </w:r>
            <w:r w:rsidRPr="00150EDC">
              <w:rPr>
                <w:sz w:val="20"/>
              </w:rPr>
              <w:t>children</w:t>
            </w:r>
            <w:r w:rsidRPr="00150EDC">
              <w:rPr>
                <w:spacing w:val="-3"/>
                <w:sz w:val="20"/>
              </w:rPr>
              <w:t xml:space="preserve"> </w:t>
            </w:r>
            <w:r w:rsidRPr="00150EDC">
              <w:rPr>
                <w:sz w:val="20"/>
              </w:rPr>
              <w:t>under the age</w:t>
            </w:r>
            <w:r w:rsidRPr="00150EDC">
              <w:rPr>
                <w:spacing w:val="-3"/>
                <w:sz w:val="20"/>
              </w:rPr>
              <w:t xml:space="preserve"> </w:t>
            </w:r>
            <w:r w:rsidRPr="00150EDC">
              <w:rPr>
                <w:sz w:val="20"/>
              </w:rPr>
              <w:t>of</w:t>
            </w:r>
            <w:r w:rsidRPr="00150EDC">
              <w:rPr>
                <w:spacing w:val="-3"/>
                <w:sz w:val="20"/>
              </w:rPr>
              <w:t xml:space="preserve"> </w:t>
            </w:r>
            <w:r w:rsidRPr="00150EDC">
              <w:rPr>
                <w:sz w:val="20"/>
              </w:rPr>
              <w:t>16; or</w:t>
            </w:r>
            <w:r w:rsidRPr="00150EDC">
              <w:rPr>
                <w:spacing w:val="-3"/>
                <w:sz w:val="20"/>
              </w:rPr>
              <w:t xml:space="preserve"> </w:t>
            </w:r>
            <w:r w:rsidRPr="00150EDC">
              <w:rPr>
                <w:sz w:val="20"/>
              </w:rPr>
              <w:t>indecent or</w:t>
            </w:r>
            <w:r w:rsidRPr="00150EDC">
              <w:rPr>
                <w:spacing w:val="-3"/>
                <w:sz w:val="20"/>
              </w:rPr>
              <w:t xml:space="preserve"> </w:t>
            </w:r>
            <w:r w:rsidRPr="00150EDC">
              <w:rPr>
                <w:sz w:val="20"/>
              </w:rPr>
              <w:t>obscene</w:t>
            </w:r>
            <w:r w:rsidRPr="00150EDC">
              <w:rPr>
                <w:spacing w:val="-3"/>
                <w:sz w:val="20"/>
              </w:rPr>
              <w:t xml:space="preserve"> </w:t>
            </w:r>
            <w:r w:rsidRPr="00150EDC">
              <w:rPr>
                <w:sz w:val="20"/>
              </w:rPr>
              <w:t>articles.</w:t>
            </w:r>
          </w:p>
        </w:tc>
      </w:tr>
      <w:tr w:rsidR="004569EE" w:rsidRPr="007D3144" w14:paraId="74AC6AC0" w14:textId="77777777">
        <w:trPr>
          <w:trHeight w:val="255"/>
        </w:trPr>
        <w:tc>
          <w:tcPr>
            <w:tcW w:w="6517" w:type="dxa"/>
          </w:tcPr>
          <w:p w14:paraId="79A5A78E" w14:textId="77777777" w:rsidR="004C7180" w:rsidRPr="00150EDC" w:rsidRDefault="00CF0754">
            <w:pPr>
              <w:pStyle w:val="TableParagraph"/>
              <w:spacing w:before="28"/>
              <w:rPr>
                <w:sz w:val="20"/>
              </w:rPr>
            </w:pPr>
            <w:r w:rsidRPr="00150EDC">
              <w:rPr>
                <w:sz w:val="20"/>
              </w:rPr>
              <w:t>Customs</w:t>
            </w:r>
            <w:r w:rsidRPr="00150EDC">
              <w:rPr>
                <w:spacing w:val="-6"/>
                <w:sz w:val="20"/>
              </w:rPr>
              <w:t xml:space="preserve"> </w:t>
            </w:r>
            <w:r w:rsidRPr="00150EDC">
              <w:rPr>
                <w:sz w:val="20"/>
              </w:rPr>
              <w:t>And</w:t>
            </w:r>
            <w:r w:rsidRPr="00150EDC">
              <w:rPr>
                <w:spacing w:val="-5"/>
                <w:sz w:val="20"/>
              </w:rPr>
              <w:t xml:space="preserve"> </w:t>
            </w:r>
            <w:r w:rsidRPr="00150EDC">
              <w:rPr>
                <w:sz w:val="20"/>
              </w:rPr>
              <w:t>Excise</w:t>
            </w:r>
            <w:r w:rsidRPr="00150EDC">
              <w:rPr>
                <w:spacing w:val="-6"/>
                <w:sz w:val="20"/>
              </w:rPr>
              <w:t xml:space="preserve"> </w:t>
            </w:r>
            <w:r w:rsidRPr="00150EDC">
              <w:rPr>
                <w:sz w:val="20"/>
              </w:rPr>
              <w:t>Act</w:t>
            </w:r>
            <w:r w:rsidRPr="00150EDC">
              <w:rPr>
                <w:spacing w:val="-5"/>
                <w:sz w:val="20"/>
              </w:rPr>
              <w:t xml:space="preserve"> </w:t>
            </w:r>
            <w:r w:rsidRPr="00150EDC">
              <w:rPr>
                <w:sz w:val="20"/>
              </w:rPr>
              <w:t>1952,</w:t>
            </w:r>
            <w:r w:rsidRPr="00150EDC">
              <w:rPr>
                <w:spacing w:val="-6"/>
                <w:sz w:val="20"/>
              </w:rPr>
              <w:t xml:space="preserve"> </w:t>
            </w:r>
            <w:r w:rsidRPr="00150EDC">
              <w:rPr>
                <w:spacing w:val="-5"/>
                <w:sz w:val="20"/>
              </w:rPr>
              <w:t>s44</w:t>
            </w:r>
          </w:p>
        </w:tc>
        <w:tc>
          <w:tcPr>
            <w:tcW w:w="7427" w:type="dxa"/>
          </w:tcPr>
          <w:p w14:paraId="6319ED2B" w14:textId="77777777" w:rsidR="004C7180" w:rsidRPr="00150EDC" w:rsidRDefault="00CF0754">
            <w:pPr>
              <w:pStyle w:val="TableParagraph"/>
              <w:spacing w:before="28"/>
              <w:rPr>
                <w:sz w:val="20"/>
              </w:rPr>
            </w:pPr>
            <w:r w:rsidRPr="00150EDC">
              <w:rPr>
                <w:sz w:val="20"/>
              </w:rPr>
              <w:t>Unlawful</w:t>
            </w:r>
            <w:r w:rsidRPr="00150EDC">
              <w:rPr>
                <w:spacing w:val="-6"/>
                <w:sz w:val="20"/>
              </w:rPr>
              <w:t xml:space="preserve"> </w:t>
            </w:r>
            <w:r w:rsidRPr="00150EDC">
              <w:rPr>
                <w:sz w:val="20"/>
              </w:rPr>
              <w:t>importation</w:t>
            </w:r>
            <w:r w:rsidRPr="00150EDC">
              <w:rPr>
                <w:spacing w:val="-2"/>
                <w:sz w:val="20"/>
              </w:rPr>
              <w:t xml:space="preserve"> </w:t>
            </w:r>
            <w:r w:rsidRPr="00150EDC">
              <w:rPr>
                <w:sz w:val="20"/>
              </w:rPr>
              <w:t>of</w:t>
            </w:r>
            <w:r w:rsidRPr="00150EDC">
              <w:rPr>
                <w:spacing w:val="-8"/>
                <w:sz w:val="20"/>
              </w:rPr>
              <w:t xml:space="preserve"> </w:t>
            </w:r>
            <w:r w:rsidRPr="00150EDC">
              <w:rPr>
                <w:sz w:val="20"/>
              </w:rPr>
              <w:t>indecent</w:t>
            </w:r>
            <w:r w:rsidRPr="00150EDC">
              <w:rPr>
                <w:spacing w:val="-2"/>
                <w:sz w:val="20"/>
              </w:rPr>
              <w:t xml:space="preserve"> </w:t>
            </w:r>
            <w:r w:rsidRPr="00150EDC">
              <w:rPr>
                <w:sz w:val="20"/>
              </w:rPr>
              <w:t>or</w:t>
            </w:r>
            <w:r w:rsidRPr="00150EDC">
              <w:rPr>
                <w:spacing w:val="-7"/>
                <w:sz w:val="20"/>
              </w:rPr>
              <w:t xml:space="preserve"> </w:t>
            </w:r>
            <w:r w:rsidRPr="00150EDC">
              <w:rPr>
                <w:sz w:val="20"/>
              </w:rPr>
              <w:t>obscene</w:t>
            </w:r>
            <w:r w:rsidRPr="00150EDC">
              <w:rPr>
                <w:spacing w:val="-3"/>
                <w:sz w:val="20"/>
              </w:rPr>
              <w:t xml:space="preserve"> </w:t>
            </w:r>
            <w:r w:rsidRPr="00150EDC">
              <w:rPr>
                <w:spacing w:val="-2"/>
                <w:sz w:val="20"/>
              </w:rPr>
              <w:t>articles</w:t>
            </w:r>
          </w:p>
        </w:tc>
      </w:tr>
      <w:tr w:rsidR="004569EE" w:rsidRPr="007D3144" w14:paraId="365972AE" w14:textId="77777777">
        <w:trPr>
          <w:trHeight w:val="255"/>
        </w:trPr>
        <w:tc>
          <w:tcPr>
            <w:tcW w:w="6517" w:type="dxa"/>
          </w:tcPr>
          <w:p w14:paraId="158849AE" w14:textId="77777777" w:rsidR="004C7180" w:rsidRPr="00150EDC" w:rsidRDefault="00CF0754">
            <w:pPr>
              <w:pStyle w:val="TableParagraph"/>
              <w:rPr>
                <w:sz w:val="20"/>
              </w:rPr>
            </w:pPr>
            <w:r w:rsidRPr="00150EDC">
              <w:rPr>
                <w:sz w:val="20"/>
              </w:rPr>
              <w:t>Customs</w:t>
            </w:r>
            <w:r w:rsidRPr="00150EDC">
              <w:rPr>
                <w:spacing w:val="-6"/>
                <w:sz w:val="20"/>
              </w:rPr>
              <w:t xml:space="preserve"> </w:t>
            </w:r>
            <w:r w:rsidRPr="00150EDC">
              <w:rPr>
                <w:sz w:val="20"/>
              </w:rPr>
              <w:t>And</w:t>
            </w:r>
            <w:r w:rsidRPr="00150EDC">
              <w:rPr>
                <w:spacing w:val="-5"/>
                <w:sz w:val="20"/>
              </w:rPr>
              <w:t xml:space="preserve"> </w:t>
            </w:r>
            <w:r w:rsidRPr="00150EDC">
              <w:rPr>
                <w:sz w:val="20"/>
              </w:rPr>
              <w:t>Excise</w:t>
            </w:r>
            <w:r w:rsidRPr="00150EDC">
              <w:rPr>
                <w:spacing w:val="-6"/>
                <w:sz w:val="20"/>
              </w:rPr>
              <w:t xml:space="preserve"> </w:t>
            </w:r>
            <w:r w:rsidRPr="00150EDC">
              <w:rPr>
                <w:sz w:val="20"/>
              </w:rPr>
              <w:t>Act</w:t>
            </w:r>
            <w:r w:rsidRPr="00150EDC">
              <w:rPr>
                <w:spacing w:val="-5"/>
                <w:sz w:val="20"/>
              </w:rPr>
              <w:t xml:space="preserve"> </w:t>
            </w:r>
            <w:r w:rsidRPr="00150EDC">
              <w:rPr>
                <w:sz w:val="20"/>
              </w:rPr>
              <w:t>1952,</w:t>
            </w:r>
            <w:r w:rsidRPr="00150EDC">
              <w:rPr>
                <w:spacing w:val="-6"/>
                <w:sz w:val="20"/>
              </w:rPr>
              <w:t xml:space="preserve"> </w:t>
            </w:r>
            <w:r w:rsidRPr="00150EDC">
              <w:rPr>
                <w:spacing w:val="-5"/>
                <w:sz w:val="20"/>
              </w:rPr>
              <w:t>s45</w:t>
            </w:r>
          </w:p>
        </w:tc>
        <w:tc>
          <w:tcPr>
            <w:tcW w:w="7427" w:type="dxa"/>
          </w:tcPr>
          <w:p w14:paraId="287F4A7D" w14:textId="77777777" w:rsidR="004C7180" w:rsidRPr="00150EDC" w:rsidRDefault="00CF0754">
            <w:pPr>
              <w:pStyle w:val="TableParagraph"/>
              <w:rPr>
                <w:sz w:val="20"/>
              </w:rPr>
            </w:pPr>
            <w:r w:rsidRPr="00150EDC">
              <w:rPr>
                <w:sz w:val="20"/>
              </w:rPr>
              <w:t>Improper</w:t>
            </w:r>
            <w:r w:rsidRPr="00150EDC">
              <w:rPr>
                <w:spacing w:val="-6"/>
                <w:sz w:val="20"/>
              </w:rPr>
              <w:t xml:space="preserve"> </w:t>
            </w:r>
            <w:r w:rsidRPr="00150EDC">
              <w:rPr>
                <w:sz w:val="20"/>
              </w:rPr>
              <w:t>importation</w:t>
            </w:r>
            <w:r w:rsidRPr="00150EDC">
              <w:rPr>
                <w:spacing w:val="-5"/>
                <w:sz w:val="20"/>
              </w:rPr>
              <w:t xml:space="preserve"> </w:t>
            </w:r>
            <w:r w:rsidRPr="00150EDC">
              <w:rPr>
                <w:sz w:val="20"/>
              </w:rPr>
              <w:t>of</w:t>
            </w:r>
            <w:r w:rsidRPr="00150EDC">
              <w:rPr>
                <w:spacing w:val="-5"/>
                <w:sz w:val="20"/>
              </w:rPr>
              <w:t xml:space="preserve"> </w:t>
            </w:r>
            <w:r w:rsidRPr="00150EDC">
              <w:rPr>
                <w:sz w:val="20"/>
              </w:rPr>
              <w:t>indecent</w:t>
            </w:r>
            <w:r w:rsidRPr="00150EDC">
              <w:rPr>
                <w:spacing w:val="-5"/>
                <w:sz w:val="20"/>
              </w:rPr>
              <w:t xml:space="preserve"> </w:t>
            </w:r>
            <w:r w:rsidRPr="00150EDC">
              <w:rPr>
                <w:sz w:val="20"/>
              </w:rPr>
              <w:t>or</w:t>
            </w:r>
            <w:r w:rsidRPr="00150EDC">
              <w:rPr>
                <w:spacing w:val="-5"/>
                <w:sz w:val="20"/>
              </w:rPr>
              <w:t xml:space="preserve"> </w:t>
            </w:r>
            <w:r w:rsidRPr="00150EDC">
              <w:rPr>
                <w:sz w:val="20"/>
              </w:rPr>
              <w:t>obscene</w:t>
            </w:r>
            <w:r w:rsidRPr="00150EDC">
              <w:rPr>
                <w:spacing w:val="-3"/>
                <w:sz w:val="20"/>
              </w:rPr>
              <w:t xml:space="preserve"> </w:t>
            </w:r>
            <w:r w:rsidRPr="00150EDC">
              <w:rPr>
                <w:spacing w:val="-2"/>
                <w:sz w:val="20"/>
              </w:rPr>
              <w:t>articles</w:t>
            </w:r>
          </w:p>
        </w:tc>
      </w:tr>
      <w:tr w:rsidR="004569EE" w:rsidRPr="007D3144" w14:paraId="4BA7737B" w14:textId="77777777">
        <w:trPr>
          <w:trHeight w:val="255"/>
        </w:trPr>
        <w:tc>
          <w:tcPr>
            <w:tcW w:w="6517" w:type="dxa"/>
          </w:tcPr>
          <w:p w14:paraId="20914BD0" w14:textId="77777777" w:rsidR="004C7180" w:rsidRPr="00150EDC" w:rsidRDefault="00CF0754">
            <w:pPr>
              <w:pStyle w:val="TableParagraph"/>
              <w:rPr>
                <w:sz w:val="20"/>
              </w:rPr>
            </w:pPr>
            <w:r w:rsidRPr="00150EDC">
              <w:rPr>
                <w:sz w:val="20"/>
              </w:rPr>
              <w:t>Customs</w:t>
            </w:r>
            <w:r w:rsidRPr="00150EDC">
              <w:rPr>
                <w:spacing w:val="-6"/>
                <w:sz w:val="20"/>
              </w:rPr>
              <w:t xml:space="preserve"> </w:t>
            </w:r>
            <w:r w:rsidRPr="00150EDC">
              <w:rPr>
                <w:sz w:val="20"/>
              </w:rPr>
              <w:t>And</w:t>
            </w:r>
            <w:r w:rsidRPr="00150EDC">
              <w:rPr>
                <w:spacing w:val="-5"/>
                <w:sz w:val="20"/>
              </w:rPr>
              <w:t xml:space="preserve"> </w:t>
            </w:r>
            <w:r w:rsidRPr="00150EDC">
              <w:rPr>
                <w:sz w:val="20"/>
              </w:rPr>
              <w:t>Excise</w:t>
            </w:r>
            <w:r w:rsidRPr="00150EDC">
              <w:rPr>
                <w:spacing w:val="-6"/>
                <w:sz w:val="20"/>
              </w:rPr>
              <w:t xml:space="preserve"> </w:t>
            </w:r>
            <w:r w:rsidRPr="00150EDC">
              <w:rPr>
                <w:sz w:val="20"/>
              </w:rPr>
              <w:t>Act</w:t>
            </w:r>
            <w:r w:rsidRPr="00150EDC">
              <w:rPr>
                <w:spacing w:val="-5"/>
                <w:sz w:val="20"/>
              </w:rPr>
              <w:t xml:space="preserve"> </w:t>
            </w:r>
            <w:r w:rsidRPr="00150EDC">
              <w:rPr>
                <w:sz w:val="20"/>
              </w:rPr>
              <w:t>1952,</w:t>
            </w:r>
            <w:r w:rsidRPr="00150EDC">
              <w:rPr>
                <w:spacing w:val="-6"/>
                <w:sz w:val="20"/>
              </w:rPr>
              <w:t xml:space="preserve"> </w:t>
            </w:r>
            <w:r w:rsidRPr="00150EDC">
              <w:rPr>
                <w:spacing w:val="-5"/>
                <w:sz w:val="20"/>
              </w:rPr>
              <w:t>s72</w:t>
            </w:r>
          </w:p>
        </w:tc>
        <w:tc>
          <w:tcPr>
            <w:tcW w:w="7427" w:type="dxa"/>
          </w:tcPr>
          <w:p w14:paraId="011632CC" w14:textId="77777777" w:rsidR="004C7180" w:rsidRPr="00150EDC" w:rsidRDefault="00CF0754">
            <w:pPr>
              <w:pStyle w:val="TableParagraph"/>
              <w:rPr>
                <w:sz w:val="20"/>
              </w:rPr>
            </w:pPr>
            <w:r w:rsidRPr="00150EDC">
              <w:rPr>
                <w:sz w:val="20"/>
              </w:rPr>
              <w:t>Firing</w:t>
            </w:r>
            <w:r w:rsidRPr="00150EDC">
              <w:rPr>
                <w:spacing w:val="-6"/>
                <w:sz w:val="20"/>
              </w:rPr>
              <w:t xml:space="preserve"> </w:t>
            </w:r>
            <w:r w:rsidRPr="00150EDC">
              <w:rPr>
                <w:sz w:val="20"/>
              </w:rPr>
              <w:t>upon</w:t>
            </w:r>
            <w:r w:rsidRPr="00150EDC">
              <w:rPr>
                <w:spacing w:val="-5"/>
                <w:sz w:val="20"/>
              </w:rPr>
              <w:t xml:space="preserve"> </w:t>
            </w:r>
            <w:r w:rsidRPr="00150EDC">
              <w:rPr>
                <w:sz w:val="20"/>
              </w:rPr>
              <w:t>a vessel</w:t>
            </w:r>
            <w:r w:rsidRPr="00150EDC">
              <w:rPr>
                <w:spacing w:val="-4"/>
                <w:sz w:val="20"/>
              </w:rPr>
              <w:t xml:space="preserve"> </w:t>
            </w:r>
            <w:r w:rsidRPr="00150EDC">
              <w:rPr>
                <w:sz w:val="20"/>
              </w:rPr>
              <w:t>of</w:t>
            </w:r>
            <w:r w:rsidRPr="00150EDC">
              <w:rPr>
                <w:spacing w:val="1"/>
                <w:sz w:val="20"/>
              </w:rPr>
              <w:t xml:space="preserve"> </w:t>
            </w:r>
            <w:r w:rsidRPr="00150EDC">
              <w:rPr>
                <w:sz w:val="20"/>
              </w:rPr>
              <w:t>HM</w:t>
            </w:r>
            <w:r w:rsidRPr="00150EDC">
              <w:rPr>
                <w:spacing w:val="-6"/>
                <w:sz w:val="20"/>
              </w:rPr>
              <w:t xml:space="preserve"> </w:t>
            </w:r>
            <w:r w:rsidRPr="00150EDC">
              <w:rPr>
                <w:spacing w:val="-2"/>
                <w:sz w:val="20"/>
              </w:rPr>
              <w:t>Customs</w:t>
            </w:r>
          </w:p>
        </w:tc>
      </w:tr>
      <w:tr w:rsidR="004569EE" w:rsidRPr="007D3144" w14:paraId="50728A6F" w14:textId="77777777">
        <w:trPr>
          <w:trHeight w:val="510"/>
        </w:trPr>
        <w:tc>
          <w:tcPr>
            <w:tcW w:w="6517" w:type="dxa"/>
          </w:tcPr>
          <w:p w14:paraId="72061870" w14:textId="77777777" w:rsidR="004C7180" w:rsidRPr="00150EDC" w:rsidRDefault="004C7180">
            <w:pPr>
              <w:pStyle w:val="TableParagraph"/>
              <w:spacing w:before="6" w:line="240" w:lineRule="auto"/>
              <w:ind w:left="0"/>
              <w:rPr>
                <w:sz w:val="24"/>
              </w:rPr>
            </w:pPr>
          </w:p>
          <w:p w14:paraId="6EE4756C" w14:textId="77777777" w:rsidR="004C7180" w:rsidRPr="00150EDC" w:rsidRDefault="00CF0754">
            <w:pPr>
              <w:pStyle w:val="TableParagraph"/>
              <w:spacing w:before="0"/>
              <w:rPr>
                <w:sz w:val="20"/>
              </w:rPr>
            </w:pPr>
            <w:r w:rsidRPr="00150EDC">
              <w:rPr>
                <w:sz w:val="20"/>
              </w:rPr>
              <w:t>Customs</w:t>
            </w:r>
            <w:r w:rsidRPr="00150EDC">
              <w:rPr>
                <w:spacing w:val="-6"/>
                <w:sz w:val="20"/>
              </w:rPr>
              <w:t xml:space="preserve"> </w:t>
            </w:r>
            <w:r w:rsidRPr="00150EDC">
              <w:rPr>
                <w:sz w:val="20"/>
              </w:rPr>
              <w:t>and</w:t>
            </w:r>
            <w:r w:rsidRPr="00150EDC">
              <w:rPr>
                <w:spacing w:val="-6"/>
                <w:sz w:val="20"/>
              </w:rPr>
              <w:t xml:space="preserve"> </w:t>
            </w:r>
            <w:r w:rsidRPr="00150EDC">
              <w:rPr>
                <w:sz w:val="20"/>
              </w:rPr>
              <w:t>Excise</w:t>
            </w:r>
            <w:r w:rsidRPr="00150EDC">
              <w:rPr>
                <w:spacing w:val="-6"/>
                <w:sz w:val="20"/>
              </w:rPr>
              <w:t xml:space="preserve"> </w:t>
            </w:r>
            <w:r w:rsidRPr="00150EDC">
              <w:rPr>
                <w:sz w:val="20"/>
              </w:rPr>
              <w:t>Management</w:t>
            </w:r>
            <w:r w:rsidRPr="00150EDC">
              <w:rPr>
                <w:spacing w:val="-7"/>
                <w:sz w:val="20"/>
              </w:rPr>
              <w:t xml:space="preserve"> </w:t>
            </w:r>
            <w:r w:rsidRPr="00150EDC">
              <w:rPr>
                <w:sz w:val="20"/>
              </w:rPr>
              <w:t>Act</w:t>
            </w:r>
            <w:r w:rsidRPr="00150EDC">
              <w:rPr>
                <w:spacing w:val="-5"/>
                <w:sz w:val="20"/>
              </w:rPr>
              <w:t xml:space="preserve"> </w:t>
            </w:r>
            <w:r w:rsidRPr="00150EDC">
              <w:rPr>
                <w:sz w:val="20"/>
              </w:rPr>
              <w:t>1979,</w:t>
            </w:r>
            <w:r w:rsidRPr="00150EDC">
              <w:rPr>
                <w:spacing w:val="-6"/>
                <w:sz w:val="20"/>
              </w:rPr>
              <w:t xml:space="preserve"> </w:t>
            </w:r>
            <w:r w:rsidRPr="00150EDC">
              <w:rPr>
                <w:spacing w:val="-4"/>
                <w:sz w:val="20"/>
              </w:rPr>
              <w:t>s170</w:t>
            </w:r>
          </w:p>
        </w:tc>
        <w:tc>
          <w:tcPr>
            <w:tcW w:w="7427" w:type="dxa"/>
          </w:tcPr>
          <w:p w14:paraId="4D79B070" w14:textId="77777777" w:rsidR="004C7180" w:rsidRPr="00150EDC" w:rsidRDefault="00CF0754">
            <w:pPr>
              <w:pStyle w:val="TableParagraph"/>
              <w:spacing w:before="32" w:line="230" w:lineRule="atLeast"/>
              <w:rPr>
                <w:sz w:val="20"/>
              </w:rPr>
            </w:pPr>
            <w:r w:rsidRPr="00150EDC">
              <w:rPr>
                <w:sz w:val="20"/>
              </w:rPr>
              <w:t>Fraudulent</w:t>
            </w:r>
            <w:r w:rsidRPr="00150EDC">
              <w:rPr>
                <w:spacing w:val="-2"/>
                <w:sz w:val="20"/>
              </w:rPr>
              <w:t xml:space="preserve"> </w:t>
            </w:r>
            <w:r w:rsidRPr="00150EDC">
              <w:rPr>
                <w:sz w:val="20"/>
              </w:rPr>
              <w:t>evasion</w:t>
            </w:r>
            <w:r w:rsidRPr="00150EDC">
              <w:rPr>
                <w:spacing w:val="-2"/>
                <w:sz w:val="20"/>
              </w:rPr>
              <w:t xml:space="preserve"> </w:t>
            </w:r>
            <w:r w:rsidRPr="00150EDC">
              <w:rPr>
                <w:sz w:val="20"/>
              </w:rPr>
              <w:t>of</w:t>
            </w:r>
            <w:r w:rsidRPr="00150EDC">
              <w:rPr>
                <w:spacing w:val="-6"/>
                <w:sz w:val="20"/>
              </w:rPr>
              <w:t xml:space="preserve"> </w:t>
            </w:r>
            <w:r w:rsidRPr="00150EDC">
              <w:rPr>
                <w:sz w:val="20"/>
              </w:rPr>
              <w:t>duty,</w:t>
            </w:r>
            <w:r w:rsidRPr="00150EDC">
              <w:rPr>
                <w:spacing w:val="-6"/>
                <w:sz w:val="20"/>
              </w:rPr>
              <w:t xml:space="preserve"> </w:t>
            </w:r>
            <w:r w:rsidRPr="00150EDC">
              <w:rPr>
                <w:sz w:val="20"/>
              </w:rPr>
              <w:t>etc</w:t>
            </w:r>
            <w:r w:rsidRPr="00150EDC">
              <w:rPr>
                <w:spacing w:val="-5"/>
                <w:sz w:val="20"/>
              </w:rPr>
              <w:t xml:space="preserve"> </w:t>
            </w:r>
            <w:r w:rsidRPr="00150EDC">
              <w:rPr>
                <w:sz w:val="20"/>
              </w:rPr>
              <w:t>where</w:t>
            </w:r>
            <w:r w:rsidRPr="00150EDC">
              <w:rPr>
                <w:spacing w:val="-6"/>
                <w:sz w:val="20"/>
              </w:rPr>
              <w:t xml:space="preserve"> </w:t>
            </w:r>
            <w:r w:rsidRPr="00150EDC">
              <w:rPr>
                <w:sz w:val="20"/>
              </w:rPr>
              <w:t>the</w:t>
            </w:r>
            <w:r w:rsidRPr="00150EDC">
              <w:rPr>
                <w:spacing w:val="-6"/>
                <w:sz w:val="20"/>
              </w:rPr>
              <w:t xml:space="preserve"> </w:t>
            </w:r>
            <w:r w:rsidRPr="00150EDC">
              <w:rPr>
                <w:sz w:val="20"/>
              </w:rPr>
              <w:t>prohibited</w:t>
            </w:r>
            <w:r w:rsidRPr="00150EDC">
              <w:rPr>
                <w:spacing w:val="-6"/>
                <w:sz w:val="20"/>
              </w:rPr>
              <w:t xml:space="preserve"> </w:t>
            </w:r>
            <w:r w:rsidRPr="00150EDC">
              <w:rPr>
                <w:sz w:val="20"/>
              </w:rPr>
              <w:t>goods</w:t>
            </w:r>
            <w:r w:rsidRPr="00150EDC">
              <w:rPr>
                <w:spacing w:val="-5"/>
                <w:sz w:val="20"/>
              </w:rPr>
              <w:t xml:space="preserve"> </w:t>
            </w:r>
            <w:r w:rsidRPr="00150EDC">
              <w:rPr>
                <w:sz w:val="20"/>
              </w:rPr>
              <w:t>included</w:t>
            </w:r>
            <w:r w:rsidRPr="00150EDC">
              <w:rPr>
                <w:spacing w:val="-6"/>
                <w:sz w:val="20"/>
              </w:rPr>
              <w:t xml:space="preserve"> </w:t>
            </w:r>
            <w:r w:rsidRPr="00150EDC">
              <w:rPr>
                <w:sz w:val="20"/>
              </w:rPr>
              <w:t>indecent photographs of</w:t>
            </w:r>
            <w:r w:rsidRPr="00150EDC">
              <w:rPr>
                <w:spacing w:val="-3"/>
                <w:sz w:val="20"/>
              </w:rPr>
              <w:t xml:space="preserve"> </w:t>
            </w:r>
            <w:r w:rsidRPr="00150EDC">
              <w:rPr>
                <w:sz w:val="20"/>
              </w:rPr>
              <w:t>children</w:t>
            </w:r>
            <w:r w:rsidRPr="00150EDC">
              <w:rPr>
                <w:spacing w:val="-3"/>
                <w:sz w:val="20"/>
              </w:rPr>
              <w:t xml:space="preserve"> </w:t>
            </w:r>
            <w:r w:rsidRPr="00150EDC">
              <w:rPr>
                <w:sz w:val="20"/>
              </w:rPr>
              <w:t>under the age</w:t>
            </w:r>
            <w:r w:rsidRPr="00150EDC">
              <w:rPr>
                <w:spacing w:val="-3"/>
                <w:sz w:val="20"/>
              </w:rPr>
              <w:t xml:space="preserve"> </w:t>
            </w:r>
            <w:r w:rsidRPr="00150EDC">
              <w:rPr>
                <w:sz w:val="20"/>
              </w:rPr>
              <w:t>of</w:t>
            </w:r>
            <w:r w:rsidRPr="00150EDC">
              <w:rPr>
                <w:spacing w:val="-3"/>
                <w:sz w:val="20"/>
              </w:rPr>
              <w:t xml:space="preserve"> </w:t>
            </w:r>
            <w:r w:rsidRPr="00150EDC">
              <w:rPr>
                <w:sz w:val="20"/>
              </w:rPr>
              <w:t>16; or</w:t>
            </w:r>
            <w:r w:rsidRPr="00150EDC">
              <w:rPr>
                <w:spacing w:val="-3"/>
                <w:sz w:val="20"/>
              </w:rPr>
              <w:t xml:space="preserve"> </w:t>
            </w:r>
            <w:r w:rsidRPr="00150EDC">
              <w:rPr>
                <w:sz w:val="20"/>
              </w:rPr>
              <w:t>indecent or</w:t>
            </w:r>
            <w:r w:rsidRPr="00150EDC">
              <w:rPr>
                <w:spacing w:val="-3"/>
                <w:sz w:val="20"/>
              </w:rPr>
              <w:t xml:space="preserve"> </w:t>
            </w:r>
            <w:r w:rsidRPr="00150EDC">
              <w:rPr>
                <w:sz w:val="20"/>
              </w:rPr>
              <w:t>obscene</w:t>
            </w:r>
            <w:r w:rsidRPr="00150EDC">
              <w:rPr>
                <w:spacing w:val="-3"/>
                <w:sz w:val="20"/>
              </w:rPr>
              <w:t xml:space="preserve"> </w:t>
            </w:r>
            <w:r w:rsidRPr="00150EDC">
              <w:rPr>
                <w:sz w:val="20"/>
              </w:rPr>
              <w:t>articles.</w:t>
            </w:r>
          </w:p>
        </w:tc>
      </w:tr>
      <w:tr w:rsidR="004569EE" w:rsidRPr="007D3144" w14:paraId="5757640F" w14:textId="77777777">
        <w:trPr>
          <w:trHeight w:val="510"/>
        </w:trPr>
        <w:tc>
          <w:tcPr>
            <w:tcW w:w="6517" w:type="dxa"/>
          </w:tcPr>
          <w:p w14:paraId="5535A4AE" w14:textId="77777777" w:rsidR="004C7180" w:rsidRPr="00150EDC" w:rsidRDefault="004C7180">
            <w:pPr>
              <w:pStyle w:val="TableParagraph"/>
              <w:spacing w:before="6" w:line="240" w:lineRule="auto"/>
              <w:ind w:left="0"/>
              <w:rPr>
                <w:sz w:val="24"/>
              </w:rPr>
            </w:pPr>
          </w:p>
          <w:p w14:paraId="05FB97AF" w14:textId="77777777" w:rsidR="004C7180" w:rsidRPr="00150EDC" w:rsidRDefault="00CF0754">
            <w:pPr>
              <w:pStyle w:val="TableParagraph"/>
              <w:spacing w:before="0"/>
              <w:rPr>
                <w:sz w:val="20"/>
              </w:rPr>
            </w:pPr>
            <w:r w:rsidRPr="00150EDC">
              <w:rPr>
                <w:sz w:val="20"/>
              </w:rPr>
              <w:t>Customs</w:t>
            </w:r>
            <w:r w:rsidRPr="00150EDC">
              <w:rPr>
                <w:spacing w:val="-6"/>
                <w:sz w:val="20"/>
              </w:rPr>
              <w:t xml:space="preserve"> </w:t>
            </w:r>
            <w:r w:rsidRPr="00150EDC">
              <w:rPr>
                <w:sz w:val="20"/>
              </w:rPr>
              <w:t>and</w:t>
            </w:r>
            <w:r w:rsidRPr="00150EDC">
              <w:rPr>
                <w:spacing w:val="-6"/>
                <w:sz w:val="20"/>
              </w:rPr>
              <w:t xml:space="preserve"> </w:t>
            </w:r>
            <w:r w:rsidRPr="00150EDC">
              <w:rPr>
                <w:sz w:val="20"/>
              </w:rPr>
              <w:t>Excise</w:t>
            </w:r>
            <w:r w:rsidRPr="00150EDC">
              <w:rPr>
                <w:spacing w:val="-6"/>
                <w:sz w:val="20"/>
              </w:rPr>
              <w:t xml:space="preserve"> </w:t>
            </w:r>
            <w:r w:rsidRPr="00150EDC">
              <w:rPr>
                <w:sz w:val="20"/>
              </w:rPr>
              <w:t>Management</w:t>
            </w:r>
            <w:r w:rsidRPr="00150EDC">
              <w:rPr>
                <w:spacing w:val="-7"/>
                <w:sz w:val="20"/>
              </w:rPr>
              <w:t xml:space="preserve"> </w:t>
            </w:r>
            <w:r w:rsidRPr="00150EDC">
              <w:rPr>
                <w:sz w:val="20"/>
              </w:rPr>
              <w:t>Act</w:t>
            </w:r>
            <w:r w:rsidRPr="00150EDC">
              <w:rPr>
                <w:spacing w:val="-5"/>
                <w:sz w:val="20"/>
              </w:rPr>
              <w:t xml:space="preserve"> </w:t>
            </w:r>
            <w:r w:rsidRPr="00150EDC">
              <w:rPr>
                <w:sz w:val="20"/>
              </w:rPr>
              <w:t>1986,</w:t>
            </w:r>
            <w:r w:rsidRPr="00150EDC">
              <w:rPr>
                <w:spacing w:val="-6"/>
                <w:sz w:val="20"/>
              </w:rPr>
              <w:t xml:space="preserve"> </w:t>
            </w:r>
            <w:r w:rsidRPr="00150EDC">
              <w:rPr>
                <w:spacing w:val="-4"/>
                <w:sz w:val="20"/>
              </w:rPr>
              <w:t>s178</w:t>
            </w:r>
          </w:p>
        </w:tc>
        <w:tc>
          <w:tcPr>
            <w:tcW w:w="7427" w:type="dxa"/>
          </w:tcPr>
          <w:p w14:paraId="1FF6BA57" w14:textId="77777777" w:rsidR="004C7180" w:rsidRPr="00150EDC" w:rsidRDefault="00CF0754">
            <w:pPr>
              <w:pStyle w:val="TableParagraph"/>
              <w:spacing w:before="32" w:line="230" w:lineRule="atLeast"/>
              <w:rPr>
                <w:sz w:val="20"/>
              </w:rPr>
            </w:pPr>
            <w:r w:rsidRPr="00150EDC">
              <w:rPr>
                <w:sz w:val="20"/>
              </w:rPr>
              <w:t>Fraudulent</w:t>
            </w:r>
            <w:r w:rsidRPr="00150EDC">
              <w:rPr>
                <w:spacing w:val="-2"/>
                <w:sz w:val="20"/>
              </w:rPr>
              <w:t xml:space="preserve"> </w:t>
            </w:r>
            <w:r w:rsidRPr="00150EDC">
              <w:rPr>
                <w:sz w:val="20"/>
              </w:rPr>
              <w:t>evasion</w:t>
            </w:r>
            <w:r w:rsidRPr="00150EDC">
              <w:rPr>
                <w:spacing w:val="-2"/>
                <w:sz w:val="20"/>
              </w:rPr>
              <w:t xml:space="preserve"> </w:t>
            </w:r>
            <w:r w:rsidRPr="00150EDC">
              <w:rPr>
                <w:sz w:val="20"/>
              </w:rPr>
              <w:t>of</w:t>
            </w:r>
            <w:r w:rsidRPr="00150EDC">
              <w:rPr>
                <w:spacing w:val="-6"/>
                <w:sz w:val="20"/>
              </w:rPr>
              <w:t xml:space="preserve"> </w:t>
            </w:r>
            <w:r w:rsidRPr="00150EDC">
              <w:rPr>
                <w:sz w:val="20"/>
              </w:rPr>
              <w:t>duty,</w:t>
            </w:r>
            <w:r w:rsidRPr="00150EDC">
              <w:rPr>
                <w:spacing w:val="-6"/>
                <w:sz w:val="20"/>
              </w:rPr>
              <w:t xml:space="preserve"> </w:t>
            </w:r>
            <w:r w:rsidRPr="00150EDC">
              <w:rPr>
                <w:sz w:val="20"/>
              </w:rPr>
              <w:t>etc</w:t>
            </w:r>
            <w:r w:rsidRPr="00150EDC">
              <w:rPr>
                <w:spacing w:val="-5"/>
                <w:sz w:val="20"/>
              </w:rPr>
              <w:t xml:space="preserve"> </w:t>
            </w:r>
            <w:r w:rsidRPr="00150EDC">
              <w:rPr>
                <w:sz w:val="20"/>
              </w:rPr>
              <w:t>where</w:t>
            </w:r>
            <w:r w:rsidRPr="00150EDC">
              <w:rPr>
                <w:spacing w:val="-6"/>
                <w:sz w:val="20"/>
              </w:rPr>
              <w:t xml:space="preserve"> </w:t>
            </w:r>
            <w:r w:rsidRPr="00150EDC">
              <w:rPr>
                <w:sz w:val="20"/>
              </w:rPr>
              <w:t>the</w:t>
            </w:r>
            <w:r w:rsidRPr="00150EDC">
              <w:rPr>
                <w:spacing w:val="-6"/>
                <w:sz w:val="20"/>
              </w:rPr>
              <w:t xml:space="preserve"> </w:t>
            </w:r>
            <w:r w:rsidRPr="00150EDC">
              <w:rPr>
                <w:sz w:val="20"/>
              </w:rPr>
              <w:t>prohibited</w:t>
            </w:r>
            <w:r w:rsidRPr="00150EDC">
              <w:rPr>
                <w:spacing w:val="-6"/>
                <w:sz w:val="20"/>
              </w:rPr>
              <w:t xml:space="preserve"> </w:t>
            </w:r>
            <w:r w:rsidRPr="00150EDC">
              <w:rPr>
                <w:sz w:val="20"/>
              </w:rPr>
              <w:t>goods</w:t>
            </w:r>
            <w:r w:rsidRPr="00150EDC">
              <w:rPr>
                <w:spacing w:val="-5"/>
                <w:sz w:val="20"/>
              </w:rPr>
              <w:t xml:space="preserve"> </w:t>
            </w:r>
            <w:r w:rsidRPr="00150EDC">
              <w:rPr>
                <w:sz w:val="20"/>
              </w:rPr>
              <w:t>included</w:t>
            </w:r>
            <w:r w:rsidRPr="00150EDC">
              <w:rPr>
                <w:spacing w:val="-6"/>
                <w:sz w:val="20"/>
              </w:rPr>
              <w:t xml:space="preserve"> </w:t>
            </w:r>
            <w:r w:rsidRPr="00150EDC">
              <w:rPr>
                <w:sz w:val="20"/>
              </w:rPr>
              <w:t>indecent photographs of</w:t>
            </w:r>
            <w:r w:rsidRPr="00150EDC">
              <w:rPr>
                <w:spacing w:val="-3"/>
                <w:sz w:val="20"/>
              </w:rPr>
              <w:t xml:space="preserve"> </w:t>
            </w:r>
            <w:r w:rsidRPr="00150EDC">
              <w:rPr>
                <w:sz w:val="20"/>
              </w:rPr>
              <w:t>children</w:t>
            </w:r>
            <w:r w:rsidRPr="00150EDC">
              <w:rPr>
                <w:spacing w:val="-3"/>
                <w:sz w:val="20"/>
              </w:rPr>
              <w:t xml:space="preserve"> </w:t>
            </w:r>
            <w:r w:rsidRPr="00150EDC">
              <w:rPr>
                <w:sz w:val="20"/>
              </w:rPr>
              <w:t>under the age</w:t>
            </w:r>
            <w:r w:rsidRPr="00150EDC">
              <w:rPr>
                <w:spacing w:val="-3"/>
                <w:sz w:val="20"/>
              </w:rPr>
              <w:t xml:space="preserve"> </w:t>
            </w:r>
            <w:r w:rsidRPr="00150EDC">
              <w:rPr>
                <w:sz w:val="20"/>
              </w:rPr>
              <w:t>of</w:t>
            </w:r>
            <w:r w:rsidRPr="00150EDC">
              <w:rPr>
                <w:spacing w:val="-3"/>
                <w:sz w:val="20"/>
              </w:rPr>
              <w:t xml:space="preserve"> </w:t>
            </w:r>
            <w:r w:rsidRPr="00150EDC">
              <w:rPr>
                <w:sz w:val="20"/>
              </w:rPr>
              <w:t>16; or</w:t>
            </w:r>
            <w:r w:rsidRPr="00150EDC">
              <w:rPr>
                <w:spacing w:val="-3"/>
                <w:sz w:val="20"/>
              </w:rPr>
              <w:t xml:space="preserve"> </w:t>
            </w:r>
            <w:r w:rsidRPr="00150EDC">
              <w:rPr>
                <w:sz w:val="20"/>
              </w:rPr>
              <w:t>indecent or</w:t>
            </w:r>
            <w:r w:rsidRPr="00150EDC">
              <w:rPr>
                <w:spacing w:val="-3"/>
                <w:sz w:val="20"/>
              </w:rPr>
              <w:t xml:space="preserve"> </w:t>
            </w:r>
            <w:r w:rsidRPr="00150EDC">
              <w:rPr>
                <w:sz w:val="20"/>
              </w:rPr>
              <w:t>obscene</w:t>
            </w:r>
            <w:r w:rsidRPr="00150EDC">
              <w:rPr>
                <w:spacing w:val="-3"/>
                <w:sz w:val="20"/>
              </w:rPr>
              <w:t xml:space="preserve"> </w:t>
            </w:r>
            <w:r w:rsidRPr="00150EDC">
              <w:rPr>
                <w:sz w:val="20"/>
              </w:rPr>
              <w:t>articles.</w:t>
            </w:r>
          </w:p>
        </w:tc>
      </w:tr>
      <w:tr w:rsidR="004569EE" w:rsidRPr="007D3144" w14:paraId="0670E7CA" w14:textId="77777777">
        <w:trPr>
          <w:trHeight w:val="255"/>
        </w:trPr>
        <w:tc>
          <w:tcPr>
            <w:tcW w:w="6517" w:type="dxa"/>
          </w:tcPr>
          <w:p w14:paraId="4EA68617" w14:textId="77777777" w:rsidR="004C7180" w:rsidRPr="00150EDC" w:rsidRDefault="00CF0754">
            <w:pPr>
              <w:pStyle w:val="TableParagraph"/>
              <w:rPr>
                <w:sz w:val="20"/>
              </w:rPr>
            </w:pPr>
            <w:r w:rsidRPr="00150EDC">
              <w:rPr>
                <w:sz w:val="20"/>
              </w:rPr>
              <w:t>Customs</w:t>
            </w:r>
            <w:r w:rsidRPr="00150EDC">
              <w:rPr>
                <w:spacing w:val="-10"/>
                <w:sz w:val="20"/>
              </w:rPr>
              <w:t xml:space="preserve"> </w:t>
            </w:r>
            <w:r w:rsidRPr="00150EDC">
              <w:rPr>
                <w:sz w:val="20"/>
              </w:rPr>
              <w:t>Consolidation</w:t>
            </w:r>
            <w:r w:rsidRPr="00150EDC">
              <w:rPr>
                <w:spacing w:val="-9"/>
                <w:sz w:val="20"/>
              </w:rPr>
              <w:t xml:space="preserve"> </w:t>
            </w:r>
            <w:r w:rsidRPr="00150EDC">
              <w:rPr>
                <w:sz w:val="20"/>
              </w:rPr>
              <w:t>Act</w:t>
            </w:r>
            <w:r w:rsidRPr="00150EDC">
              <w:rPr>
                <w:spacing w:val="-6"/>
                <w:sz w:val="20"/>
              </w:rPr>
              <w:t xml:space="preserve"> </w:t>
            </w:r>
            <w:r w:rsidRPr="00150EDC">
              <w:rPr>
                <w:sz w:val="20"/>
              </w:rPr>
              <w:t>1876,</w:t>
            </w:r>
            <w:r w:rsidRPr="00150EDC">
              <w:rPr>
                <w:spacing w:val="-5"/>
                <w:sz w:val="20"/>
              </w:rPr>
              <w:t xml:space="preserve"> s42</w:t>
            </w:r>
          </w:p>
        </w:tc>
        <w:tc>
          <w:tcPr>
            <w:tcW w:w="7427" w:type="dxa"/>
          </w:tcPr>
          <w:p w14:paraId="6572F6BF" w14:textId="77777777" w:rsidR="004C7180" w:rsidRPr="00150EDC" w:rsidRDefault="00CF0754">
            <w:pPr>
              <w:pStyle w:val="TableParagraph"/>
              <w:rPr>
                <w:sz w:val="20"/>
              </w:rPr>
            </w:pPr>
            <w:r w:rsidRPr="00150EDC">
              <w:rPr>
                <w:sz w:val="20"/>
              </w:rPr>
              <w:t>Unlawful</w:t>
            </w:r>
            <w:r w:rsidRPr="00150EDC">
              <w:rPr>
                <w:spacing w:val="-6"/>
                <w:sz w:val="20"/>
              </w:rPr>
              <w:t xml:space="preserve"> </w:t>
            </w:r>
            <w:r w:rsidRPr="00150EDC">
              <w:rPr>
                <w:sz w:val="20"/>
              </w:rPr>
              <w:t>importation</w:t>
            </w:r>
            <w:r w:rsidRPr="00150EDC">
              <w:rPr>
                <w:spacing w:val="-2"/>
                <w:sz w:val="20"/>
              </w:rPr>
              <w:t xml:space="preserve"> </w:t>
            </w:r>
            <w:r w:rsidRPr="00150EDC">
              <w:rPr>
                <w:sz w:val="20"/>
              </w:rPr>
              <w:t>of</w:t>
            </w:r>
            <w:r w:rsidRPr="00150EDC">
              <w:rPr>
                <w:spacing w:val="-8"/>
                <w:sz w:val="20"/>
              </w:rPr>
              <w:t xml:space="preserve"> </w:t>
            </w:r>
            <w:r w:rsidRPr="00150EDC">
              <w:rPr>
                <w:sz w:val="20"/>
              </w:rPr>
              <w:t>indecent</w:t>
            </w:r>
            <w:r w:rsidRPr="00150EDC">
              <w:rPr>
                <w:spacing w:val="-2"/>
                <w:sz w:val="20"/>
              </w:rPr>
              <w:t xml:space="preserve"> </w:t>
            </w:r>
            <w:r w:rsidRPr="00150EDC">
              <w:rPr>
                <w:sz w:val="20"/>
              </w:rPr>
              <w:t>or</w:t>
            </w:r>
            <w:r w:rsidRPr="00150EDC">
              <w:rPr>
                <w:spacing w:val="-7"/>
                <w:sz w:val="20"/>
              </w:rPr>
              <w:t xml:space="preserve"> </w:t>
            </w:r>
            <w:r w:rsidRPr="00150EDC">
              <w:rPr>
                <w:sz w:val="20"/>
              </w:rPr>
              <w:t>obscene</w:t>
            </w:r>
            <w:r w:rsidRPr="00150EDC">
              <w:rPr>
                <w:spacing w:val="-3"/>
                <w:sz w:val="20"/>
              </w:rPr>
              <w:t xml:space="preserve"> </w:t>
            </w:r>
            <w:r w:rsidRPr="00150EDC">
              <w:rPr>
                <w:spacing w:val="-2"/>
                <w:sz w:val="20"/>
              </w:rPr>
              <w:t>articles</w:t>
            </w:r>
          </w:p>
        </w:tc>
      </w:tr>
      <w:tr w:rsidR="004569EE" w:rsidRPr="007D3144" w14:paraId="1435FC8C" w14:textId="77777777">
        <w:trPr>
          <w:trHeight w:val="255"/>
        </w:trPr>
        <w:tc>
          <w:tcPr>
            <w:tcW w:w="6517" w:type="dxa"/>
          </w:tcPr>
          <w:p w14:paraId="3478E12A" w14:textId="77777777" w:rsidR="004C7180" w:rsidRPr="00150EDC" w:rsidRDefault="00CF0754">
            <w:pPr>
              <w:pStyle w:val="TableParagraph"/>
              <w:rPr>
                <w:sz w:val="20"/>
              </w:rPr>
            </w:pPr>
            <w:r w:rsidRPr="00150EDC">
              <w:rPr>
                <w:sz w:val="20"/>
              </w:rPr>
              <w:t>Domestic</w:t>
            </w:r>
            <w:r w:rsidRPr="00150EDC">
              <w:rPr>
                <w:spacing w:val="-6"/>
                <w:sz w:val="20"/>
              </w:rPr>
              <w:t xml:space="preserve"> </w:t>
            </w:r>
            <w:r w:rsidRPr="00150EDC">
              <w:rPr>
                <w:sz w:val="20"/>
              </w:rPr>
              <w:t>Proceedings</w:t>
            </w:r>
            <w:r w:rsidRPr="00150EDC">
              <w:rPr>
                <w:spacing w:val="-3"/>
                <w:sz w:val="20"/>
              </w:rPr>
              <w:t xml:space="preserve"> </w:t>
            </w:r>
            <w:r w:rsidRPr="00150EDC">
              <w:rPr>
                <w:sz w:val="20"/>
              </w:rPr>
              <w:t>(Northern</w:t>
            </w:r>
            <w:r w:rsidRPr="00150EDC">
              <w:rPr>
                <w:spacing w:val="-8"/>
                <w:sz w:val="20"/>
              </w:rPr>
              <w:t xml:space="preserve"> </w:t>
            </w:r>
            <w:r w:rsidRPr="00150EDC">
              <w:rPr>
                <w:sz w:val="20"/>
              </w:rPr>
              <w:t>Ireland)</w:t>
            </w:r>
            <w:r w:rsidRPr="00150EDC">
              <w:rPr>
                <w:spacing w:val="-7"/>
                <w:sz w:val="20"/>
              </w:rPr>
              <w:t xml:space="preserve"> </w:t>
            </w:r>
            <w:r w:rsidRPr="00150EDC">
              <w:rPr>
                <w:sz w:val="20"/>
              </w:rPr>
              <w:t>Order</w:t>
            </w:r>
            <w:r w:rsidRPr="00150EDC">
              <w:rPr>
                <w:spacing w:val="-5"/>
                <w:sz w:val="20"/>
              </w:rPr>
              <w:t xml:space="preserve"> </w:t>
            </w:r>
            <w:r w:rsidRPr="00150EDC">
              <w:rPr>
                <w:sz w:val="20"/>
              </w:rPr>
              <w:t>1980,</w:t>
            </w:r>
            <w:r w:rsidRPr="00150EDC">
              <w:rPr>
                <w:spacing w:val="-7"/>
                <w:sz w:val="20"/>
              </w:rPr>
              <w:t xml:space="preserve"> </w:t>
            </w:r>
            <w:r w:rsidRPr="00150EDC">
              <w:rPr>
                <w:sz w:val="20"/>
              </w:rPr>
              <w:t>Art</w:t>
            </w:r>
            <w:r w:rsidRPr="00150EDC">
              <w:rPr>
                <w:spacing w:val="-3"/>
                <w:sz w:val="20"/>
              </w:rPr>
              <w:t xml:space="preserve"> </w:t>
            </w:r>
            <w:r w:rsidRPr="00150EDC">
              <w:rPr>
                <w:spacing w:val="-2"/>
                <w:sz w:val="20"/>
              </w:rPr>
              <w:t>19(1)(a)</w:t>
            </w:r>
          </w:p>
        </w:tc>
        <w:tc>
          <w:tcPr>
            <w:tcW w:w="7427" w:type="dxa"/>
          </w:tcPr>
          <w:p w14:paraId="1C62C540" w14:textId="77777777" w:rsidR="004C7180" w:rsidRPr="00150EDC" w:rsidRDefault="00CF0754">
            <w:pPr>
              <w:pStyle w:val="TableParagraph"/>
              <w:rPr>
                <w:sz w:val="20"/>
              </w:rPr>
            </w:pPr>
            <w:r w:rsidRPr="00150EDC">
              <w:rPr>
                <w:sz w:val="20"/>
              </w:rPr>
              <w:t>Breach</w:t>
            </w:r>
            <w:r w:rsidRPr="00150EDC">
              <w:rPr>
                <w:spacing w:val="-9"/>
                <w:sz w:val="20"/>
              </w:rPr>
              <w:t xml:space="preserve"> </w:t>
            </w:r>
            <w:r w:rsidRPr="00150EDC">
              <w:rPr>
                <w:sz w:val="20"/>
              </w:rPr>
              <w:t>of</w:t>
            </w:r>
            <w:r w:rsidRPr="00150EDC">
              <w:rPr>
                <w:spacing w:val="-2"/>
                <w:sz w:val="20"/>
              </w:rPr>
              <w:t xml:space="preserve"> </w:t>
            </w:r>
            <w:r w:rsidRPr="00150EDC">
              <w:rPr>
                <w:sz w:val="20"/>
              </w:rPr>
              <w:t>protection</w:t>
            </w:r>
            <w:r w:rsidRPr="00150EDC">
              <w:rPr>
                <w:spacing w:val="-6"/>
                <w:sz w:val="20"/>
              </w:rPr>
              <w:t xml:space="preserve"> </w:t>
            </w:r>
            <w:r w:rsidRPr="00150EDC">
              <w:rPr>
                <w:sz w:val="20"/>
              </w:rPr>
              <w:t>order</w:t>
            </w:r>
            <w:r w:rsidRPr="00150EDC">
              <w:rPr>
                <w:spacing w:val="-2"/>
                <w:sz w:val="20"/>
              </w:rPr>
              <w:t xml:space="preserve"> </w:t>
            </w:r>
            <w:r w:rsidRPr="00150EDC">
              <w:rPr>
                <w:sz w:val="20"/>
              </w:rPr>
              <w:t>by</w:t>
            </w:r>
            <w:r w:rsidRPr="00150EDC">
              <w:rPr>
                <w:spacing w:val="-6"/>
                <w:sz w:val="20"/>
              </w:rPr>
              <w:t xml:space="preserve"> </w:t>
            </w:r>
            <w:r w:rsidRPr="00150EDC">
              <w:rPr>
                <w:sz w:val="20"/>
              </w:rPr>
              <w:t>molesting</w:t>
            </w:r>
            <w:r w:rsidRPr="00150EDC">
              <w:rPr>
                <w:spacing w:val="-2"/>
                <w:sz w:val="20"/>
              </w:rPr>
              <w:t xml:space="preserve"> </w:t>
            </w:r>
            <w:r w:rsidRPr="00150EDC">
              <w:rPr>
                <w:sz w:val="20"/>
              </w:rPr>
              <w:t>applicant</w:t>
            </w:r>
            <w:r w:rsidRPr="00150EDC">
              <w:rPr>
                <w:spacing w:val="-1"/>
                <w:sz w:val="20"/>
              </w:rPr>
              <w:t xml:space="preserve"> </w:t>
            </w:r>
            <w:r w:rsidRPr="00150EDC">
              <w:rPr>
                <w:sz w:val="20"/>
              </w:rPr>
              <w:t>or</w:t>
            </w:r>
            <w:r w:rsidRPr="00150EDC">
              <w:rPr>
                <w:spacing w:val="-7"/>
                <w:sz w:val="20"/>
              </w:rPr>
              <w:t xml:space="preserve"> </w:t>
            </w:r>
            <w:r w:rsidRPr="00150EDC">
              <w:rPr>
                <w:sz w:val="20"/>
              </w:rPr>
              <w:t>child</w:t>
            </w:r>
            <w:r w:rsidRPr="00150EDC">
              <w:rPr>
                <w:spacing w:val="2"/>
                <w:sz w:val="20"/>
              </w:rPr>
              <w:t xml:space="preserve"> </w:t>
            </w:r>
            <w:r w:rsidRPr="00150EDC">
              <w:rPr>
                <w:sz w:val="20"/>
              </w:rPr>
              <w:t>of</w:t>
            </w:r>
            <w:r w:rsidRPr="00150EDC">
              <w:rPr>
                <w:spacing w:val="-6"/>
                <w:sz w:val="20"/>
              </w:rPr>
              <w:t xml:space="preserve"> </w:t>
            </w:r>
            <w:r w:rsidRPr="00150EDC">
              <w:rPr>
                <w:spacing w:val="-2"/>
                <w:sz w:val="20"/>
              </w:rPr>
              <w:t>applicant</w:t>
            </w:r>
          </w:p>
        </w:tc>
      </w:tr>
      <w:tr w:rsidR="004569EE" w:rsidRPr="007D3144" w14:paraId="45C30F1F" w14:textId="77777777">
        <w:trPr>
          <w:trHeight w:val="255"/>
        </w:trPr>
        <w:tc>
          <w:tcPr>
            <w:tcW w:w="6517" w:type="dxa"/>
          </w:tcPr>
          <w:p w14:paraId="76264798" w14:textId="77777777" w:rsidR="004C7180" w:rsidRPr="00150EDC" w:rsidRDefault="00CF0754">
            <w:pPr>
              <w:pStyle w:val="TableParagraph"/>
              <w:spacing w:before="28"/>
              <w:rPr>
                <w:sz w:val="20"/>
              </w:rPr>
            </w:pPr>
            <w:r w:rsidRPr="00150EDC">
              <w:rPr>
                <w:sz w:val="20"/>
              </w:rPr>
              <w:t>Day</w:t>
            </w:r>
            <w:r w:rsidRPr="00150EDC">
              <w:rPr>
                <w:spacing w:val="-8"/>
                <w:sz w:val="20"/>
              </w:rPr>
              <w:t xml:space="preserve"> </w:t>
            </w:r>
            <w:r w:rsidRPr="00150EDC">
              <w:rPr>
                <w:sz w:val="20"/>
              </w:rPr>
              <w:t>Care</w:t>
            </w:r>
            <w:r w:rsidRPr="00150EDC">
              <w:rPr>
                <w:spacing w:val="-7"/>
                <w:sz w:val="20"/>
              </w:rPr>
              <w:t xml:space="preserve"> </w:t>
            </w:r>
            <w:r w:rsidRPr="00150EDC">
              <w:rPr>
                <w:sz w:val="20"/>
              </w:rPr>
              <w:t>of Children</w:t>
            </w:r>
            <w:r w:rsidRPr="00150EDC">
              <w:rPr>
                <w:spacing w:val="-1"/>
                <w:sz w:val="20"/>
              </w:rPr>
              <w:t xml:space="preserve"> </w:t>
            </w:r>
            <w:r w:rsidRPr="00150EDC">
              <w:rPr>
                <w:sz w:val="20"/>
              </w:rPr>
              <w:t>(Jersey)</w:t>
            </w:r>
            <w:r w:rsidRPr="00150EDC">
              <w:rPr>
                <w:spacing w:val="-7"/>
                <w:sz w:val="20"/>
              </w:rPr>
              <w:t xml:space="preserve"> </w:t>
            </w:r>
            <w:r w:rsidRPr="00150EDC">
              <w:rPr>
                <w:sz w:val="20"/>
              </w:rPr>
              <w:t>Law</w:t>
            </w:r>
            <w:r w:rsidRPr="00150EDC">
              <w:rPr>
                <w:spacing w:val="-5"/>
                <w:sz w:val="20"/>
              </w:rPr>
              <w:t xml:space="preserve"> </w:t>
            </w:r>
            <w:r w:rsidRPr="00150EDC">
              <w:rPr>
                <w:sz w:val="20"/>
              </w:rPr>
              <w:t>2002,</w:t>
            </w:r>
            <w:r w:rsidRPr="00150EDC">
              <w:rPr>
                <w:spacing w:val="-6"/>
                <w:sz w:val="20"/>
              </w:rPr>
              <w:t xml:space="preserve"> </w:t>
            </w:r>
            <w:r w:rsidRPr="00150EDC">
              <w:rPr>
                <w:sz w:val="20"/>
              </w:rPr>
              <w:t>Art</w:t>
            </w:r>
            <w:r w:rsidRPr="00150EDC">
              <w:rPr>
                <w:spacing w:val="-6"/>
                <w:sz w:val="20"/>
              </w:rPr>
              <w:t xml:space="preserve"> </w:t>
            </w:r>
            <w:r w:rsidRPr="00150EDC">
              <w:rPr>
                <w:spacing w:val="-4"/>
                <w:sz w:val="20"/>
              </w:rPr>
              <w:t>12(a)</w:t>
            </w:r>
          </w:p>
        </w:tc>
        <w:tc>
          <w:tcPr>
            <w:tcW w:w="7427" w:type="dxa"/>
          </w:tcPr>
          <w:p w14:paraId="35959006" w14:textId="77777777" w:rsidR="004C7180" w:rsidRPr="00150EDC" w:rsidRDefault="00CF0754">
            <w:pPr>
              <w:pStyle w:val="TableParagraph"/>
              <w:spacing w:before="28"/>
              <w:rPr>
                <w:sz w:val="20"/>
              </w:rPr>
            </w:pPr>
            <w:r w:rsidRPr="00150EDC">
              <w:rPr>
                <w:sz w:val="20"/>
              </w:rPr>
              <w:t>Allows</w:t>
            </w:r>
            <w:r w:rsidRPr="00150EDC">
              <w:rPr>
                <w:spacing w:val="-7"/>
                <w:sz w:val="20"/>
              </w:rPr>
              <w:t xml:space="preserve"> </w:t>
            </w:r>
            <w:r w:rsidRPr="00150EDC">
              <w:rPr>
                <w:sz w:val="20"/>
              </w:rPr>
              <w:t>children</w:t>
            </w:r>
            <w:r w:rsidRPr="00150EDC">
              <w:rPr>
                <w:spacing w:val="-5"/>
                <w:sz w:val="20"/>
              </w:rPr>
              <w:t xml:space="preserve"> </w:t>
            </w:r>
            <w:r w:rsidRPr="00150EDC">
              <w:rPr>
                <w:sz w:val="20"/>
              </w:rPr>
              <w:t>to be</w:t>
            </w:r>
            <w:r w:rsidRPr="00150EDC">
              <w:rPr>
                <w:spacing w:val="-5"/>
                <w:sz w:val="20"/>
              </w:rPr>
              <w:t xml:space="preserve"> </w:t>
            </w:r>
            <w:r w:rsidRPr="00150EDC">
              <w:rPr>
                <w:sz w:val="20"/>
              </w:rPr>
              <w:t>received</w:t>
            </w:r>
            <w:r w:rsidRPr="00150EDC">
              <w:rPr>
                <w:spacing w:val="-6"/>
                <w:sz w:val="20"/>
              </w:rPr>
              <w:t xml:space="preserve"> </w:t>
            </w:r>
            <w:r w:rsidRPr="00150EDC">
              <w:rPr>
                <w:sz w:val="20"/>
              </w:rPr>
              <w:t>into</w:t>
            </w:r>
            <w:r w:rsidRPr="00150EDC">
              <w:rPr>
                <w:spacing w:val="-5"/>
                <w:sz w:val="20"/>
              </w:rPr>
              <w:t xml:space="preserve"> </w:t>
            </w:r>
            <w:r w:rsidRPr="00150EDC">
              <w:rPr>
                <w:sz w:val="20"/>
              </w:rPr>
              <w:t>day</w:t>
            </w:r>
            <w:r w:rsidRPr="00150EDC">
              <w:rPr>
                <w:spacing w:val="-4"/>
                <w:sz w:val="20"/>
              </w:rPr>
              <w:t xml:space="preserve"> </w:t>
            </w:r>
            <w:r w:rsidRPr="00150EDC">
              <w:rPr>
                <w:sz w:val="20"/>
              </w:rPr>
              <w:t>care accomodation</w:t>
            </w:r>
            <w:r w:rsidRPr="00150EDC">
              <w:rPr>
                <w:spacing w:val="-6"/>
                <w:sz w:val="20"/>
              </w:rPr>
              <w:t xml:space="preserve"> </w:t>
            </w:r>
            <w:r w:rsidRPr="00150EDC">
              <w:rPr>
                <w:sz w:val="20"/>
              </w:rPr>
              <w:t>which</w:t>
            </w:r>
            <w:r w:rsidRPr="00150EDC">
              <w:rPr>
                <w:spacing w:val="-5"/>
                <w:sz w:val="20"/>
              </w:rPr>
              <w:t xml:space="preserve"> </w:t>
            </w:r>
            <w:r w:rsidRPr="00150EDC">
              <w:rPr>
                <w:sz w:val="20"/>
              </w:rPr>
              <w:t>is</w:t>
            </w:r>
            <w:r w:rsidRPr="00150EDC">
              <w:rPr>
                <w:spacing w:val="-4"/>
                <w:sz w:val="20"/>
              </w:rPr>
              <w:t xml:space="preserve"> </w:t>
            </w:r>
            <w:r w:rsidRPr="00150EDC">
              <w:rPr>
                <w:sz w:val="20"/>
              </w:rPr>
              <w:t xml:space="preserve">not </w:t>
            </w:r>
            <w:r w:rsidRPr="00150EDC">
              <w:rPr>
                <w:spacing w:val="-2"/>
                <w:sz w:val="20"/>
              </w:rPr>
              <w:t>registered</w:t>
            </w:r>
          </w:p>
        </w:tc>
      </w:tr>
      <w:tr w:rsidR="004569EE" w:rsidRPr="007D3144" w14:paraId="600BB143" w14:textId="77777777">
        <w:trPr>
          <w:trHeight w:val="255"/>
        </w:trPr>
        <w:tc>
          <w:tcPr>
            <w:tcW w:w="6517" w:type="dxa"/>
          </w:tcPr>
          <w:p w14:paraId="6727E30A" w14:textId="77777777" w:rsidR="004C7180" w:rsidRPr="00150EDC" w:rsidRDefault="00CF0754">
            <w:pPr>
              <w:pStyle w:val="TableParagraph"/>
              <w:rPr>
                <w:sz w:val="20"/>
              </w:rPr>
            </w:pPr>
            <w:r w:rsidRPr="00150EDC">
              <w:rPr>
                <w:sz w:val="20"/>
              </w:rPr>
              <w:t>Day</w:t>
            </w:r>
            <w:r w:rsidRPr="00150EDC">
              <w:rPr>
                <w:spacing w:val="-8"/>
                <w:sz w:val="20"/>
              </w:rPr>
              <w:t xml:space="preserve"> </w:t>
            </w:r>
            <w:r w:rsidRPr="00150EDC">
              <w:rPr>
                <w:sz w:val="20"/>
              </w:rPr>
              <w:t>Care</w:t>
            </w:r>
            <w:r w:rsidRPr="00150EDC">
              <w:rPr>
                <w:spacing w:val="-7"/>
                <w:sz w:val="20"/>
              </w:rPr>
              <w:t xml:space="preserve"> </w:t>
            </w:r>
            <w:r w:rsidRPr="00150EDC">
              <w:rPr>
                <w:sz w:val="20"/>
              </w:rPr>
              <w:t>of</w:t>
            </w:r>
            <w:r w:rsidRPr="00150EDC">
              <w:rPr>
                <w:spacing w:val="-1"/>
                <w:sz w:val="20"/>
              </w:rPr>
              <w:t xml:space="preserve"> </w:t>
            </w:r>
            <w:r w:rsidRPr="00150EDC">
              <w:rPr>
                <w:sz w:val="20"/>
              </w:rPr>
              <w:t>Children</w:t>
            </w:r>
            <w:r w:rsidRPr="00150EDC">
              <w:rPr>
                <w:spacing w:val="-2"/>
                <w:sz w:val="20"/>
              </w:rPr>
              <w:t xml:space="preserve"> </w:t>
            </w:r>
            <w:r w:rsidRPr="00150EDC">
              <w:rPr>
                <w:sz w:val="20"/>
              </w:rPr>
              <w:t>(Jersey)</w:t>
            </w:r>
            <w:r w:rsidRPr="00150EDC">
              <w:rPr>
                <w:spacing w:val="-7"/>
                <w:sz w:val="20"/>
              </w:rPr>
              <w:t xml:space="preserve"> </w:t>
            </w:r>
            <w:r w:rsidRPr="00150EDC">
              <w:rPr>
                <w:sz w:val="20"/>
              </w:rPr>
              <w:t>Law</w:t>
            </w:r>
            <w:r w:rsidRPr="00150EDC">
              <w:rPr>
                <w:spacing w:val="-4"/>
                <w:sz w:val="20"/>
              </w:rPr>
              <w:t xml:space="preserve"> </w:t>
            </w:r>
            <w:r w:rsidRPr="00150EDC">
              <w:rPr>
                <w:sz w:val="20"/>
              </w:rPr>
              <w:t>2002,</w:t>
            </w:r>
            <w:r w:rsidRPr="00150EDC">
              <w:rPr>
                <w:spacing w:val="-7"/>
                <w:sz w:val="20"/>
              </w:rPr>
              <w:t xml:space="preserve"> </w:t>
            </w:r>
            <w:r w:rsidRPr="00150EDC">
              <w:rPr>
                <w:sz w:val="20"/>
              </w:rPr>
              <w:t>Art</w:t>
            </w:r>
            <w:r w:rsidRPr="00150EDC">
              <w:rPr>
                <w:spacing w:val="-6"/>
                <w:sz w:val="20"/>
              </w:rPr>
              <w:t xml:space="preserve"> </w:t>
            </w:r>
            <w:r w:rsidRPr="00150EDC">
              <w:rPr>
                <w:spacing w:val="-4"/>
                <w:sz w:val="20"/>
              </w:rPr>
              <w:t>12(b)</w:t>
            </w:r>
          </w:p>
        </w:tc>
        <w:tc>
          <w:tcPr>
            <w:tcW w:w="7427" w:type="dxa"/>
          </w:tcPr>
          <w:p w14:paraId="003DDB1E" w14:textId="77777777" w:rsidR="004C7180" w:rsidRPr="00150EDC" w:rsidRDefault="00CF0754">
            <w:pPr>
              <w:pStyle w:val="TableParagraph"/>
              <w:rPr>
                <w:sz w:val="20"/>
              </w:rPr>
            </w:pPr>
            <w:r w:rsidRPr="00150EDC">
              <w:rPr>
                <w:sz w:val="20"/>
              </w:rPr>
              <w:t>Acts</w:t>
            </w:r>
            <w:r w:rsidRPr="00150EDC">
              <w:rPr>
                <w:spacing w:val="-3"/>
                <w:sz w:val="20"/>
              </w:rPr>
              <w:t xml:space="preserve"> </w:t>
            </w:r>
            <w:r w:rsidRPr="00150EDC">
              <w:rPr>
                <w:sz w:val="20"/>
              </w:rPr>
              <w:t>as</w:t>
            </w:r>
            <w:r w:rsidRPr="00150EDC">
              <w:rPr>
                <w:spacing w:val="-3"/>
                <w:sz w:val="20"/>
              </w:rPr>
              <w:t xml:space="preserve"> </w:t>
            </w:r>
            <w:r w:rsidRPr="00150EDC">
              <w:rPr>
                <w:sz w:val="20"/>
              </w:rPr>
              <w:t>a</w:t>
            </w:r>
            <w:r w:rsidRPr="00150EDC">
              <w:rPr>
                <w:spacing w:val="-3"/>
                <w:sz w:val="20"/>
              </w:rPr>
              <w:t xml:space="preserve"> </w:t>
            </w:r>
            <w:r w:rsidRPr="00150EDC">
              <w:rPr>
                <w:sz w:val="20"/>
              </w:rPr>
              <w:t>day</w:t>
            </w:r>
            <w:r w:rsidRPr="00150EDC">
              <w:rPr>
                <w:spacing w:val="-3"/>
                <w:sz w:val="20"/>
              </w:rPr>
              <w:t xml:space="preserve"> </w:t>
            </w:r>
            <w:r w:rsidRPr="00150EDC">
              <w:rPr>
                <w:sz w:val="20"/>
              </w:rPr>
              <w:t>carer</w:t>
            </w:r>
            <w:r w:rsidRPr="00150EDC">
              <w:rPr>
                <w:spacing w:val="-4"/>
                <w:sz w:val="20"/>
              </w:rPr>
              <w:t xml:space="preserve"> </w:t>
            </w:r>
            <w:r w:rsidRPr="00150EDC">
              <w:rPr>
                <w:sz w:val="20"/>
              </w:rPr>
              <w:t>without</w:t>
            </w:r>
            <w:r w:rsidRPr="00150EDC">
              <w:rPr>
                <w:spacing w:val="2"/>
                <w:sz w:val="20"/>
              </w:rPr>
              <w:t xml:space="preserve"> </w:t>
            </w:r>
            <w:r w:rsidRPr="00150EDC">
              <w:rPr>
                <w:sz w:val="20"/>
              </w:rPr>
              <w:t>being</w:t>
            </w:r>
            <w:r w:rsidRPr="00150EDC">
              <w:rPr>
                <w:spacing w:val="-4"/>
                <w:sz w:val="20"/>
              </w:rPr>
              <w:t xml:space="preserve"> </w:t>
            </w:r>
            <w:r w:rsidRPr="00150EDC">
              <w:rPr>
                <w:sz w:val="20"/>
              </w:rPr>
              <w:t>so</w:t>
            </w:r>
            <w:r w:rsidRPr="00150EDC">
              <w:rPr>
                <w:spacing w:val="-3"/>
                <w:sz w:val="20"/>
              </w:rPr>
              <w:t xml:space="preserve"> </w:t>
            </w:r>
            <w:r w:rsidRPr="00150EDC">
              <w:rPr>
                <w:spacing w:val="-2"/>
                <w:sz w:val="20"/>
              </w:rPr>
              <w:t>registered</w:t>
            </w:r>
          </w:p>
        </w:tc>
      </w:tr>
      <w:tr w:rsidR="004569EE" w:rsidRPr="007D3144" w14:paraId="447558D2" w14:textId="77777777">
        <w:trPr>
          <w:trHeight w:val="460"/>
        </w:trPr>
        <w:tc>
          <w:tcPr>
            <w:tcW w:w="6517" w:type="dxa"/>
          </w:tcPr>
          <w:p w14:paraId="3B9C4D5B" w14:textId="77777777" w:rsidR="004C7180" w:rsidRPr="00150EDC" w:rsidRDefault="004C7180">
            <w:pPr>
              <w:pStyle w:val="TableParagraph"/>
              <w:spacing w:before="2" w:line="240" w:lineRule="auto"/>
              <w:ind w:left="0"/>
              <w:rPr>
                <w:sz w:val="20"/>
              </w:rPr>
            </w:pPr>
          </w:p>
          <w:p w14:paraId="76506124" w14:textId="77777777" w:rsidR="004C7180" w:rsidRPr="00150EDC" w:rsidRDefault="00CF0754">
            <w:pPr>
              <w:pStyle w:val="TableParagraph"/>
              <w:spacing w:before="0"/>
              <w:rPr>
                <w:sz w:val="20"/>
              </w:rPr>
            </w:pPr>
            <w:r w:rsidRPr="00150EDC">
              <w:rPr>
                <w:sz w:val="20"/>
              </w:rPr>
              <w:t>Day</w:t>
            </w:r>
            <w:r w:rsidRPr="00150EDC">
              <w:rPr>
                <w:spacing w:val="-8"/>
                <w:sz w:val="20"/>
              </w:rPr>
              <w:t xml:space="preserve"> </w:t>
            </w:r>
            <w:r w:rsidRPr="00150EDC">
              <w:rPr>
                <w:sz w:val="20"/>
              </w:rPr>
              <w:t>Care</w:t>
            </w:r>
            <w:r w:rsidRPr="00150EDC">
              <w:rPr>
                <w:spacing w:val="-7"/>
                <w:sz w:val="20"/>
              </w:rPr>
              <w:t xml:space="preserve"> </w:t>
            </w:r>
            <w:r w:rsidRPr="00150EDC">
              <w:rPr>
                <w:sz w:val="20"/>
              </w:rPr>
              <w:t>of</w:t>
            </w:r>
            <w:r w:rsidRPr="00150EDC">
              <w:rPr>
                <w:spacing w:val="-1"/>
                <w:sz w:val="20"/>
              </w:rPr>
              <w:t xml:space="preserve"> </w:t>
            </w:r>
            <w:r w:rsidRPr="00150EDC">
              <w:rPr>
                <w:sz w:val="20"/>
              </w:rPr>
              <w:t>Children</w:t>
            </w:r>
            <w:r w:rsidRPr="00150EDC">
              <w:rPr>
                <w:spacing w:val="-2"/>
                <w:sz w:val="20"/>
              </w:rPr>
              <w:t xml:space="preserve"> </w:t>
            </w:r>
            <w:r w:rsidRPr="00150EDC">
              <w:rPr>
                <w:sz w:val="20"/>
              </w:rPr>
              <w:t>(Jersey)</w:t>
            </w:r>
            <w:r w:rsidRPr="00150EDC">
              <w:rPr>
                <w:spacing w:val="-6"/>
                <w:sz w:val="20"/>
              </w:rPr>
              <w:t xml:space="preserve"> </w:t>
            </w:r>
            <w:r w:rsidRPr="00150EDC">
              <w:rPr>
                <w:sz w:val="20"/>
              </w:rPr>
              <w:t>Law</w:t>
            </w:r>
            <w:r w:rsidRPr="00150EDC">
              <w:rPr>
                <w:spacing w:val="-5"/>
                <w:sz w:val="20"/>
              </w:rPr>
              <w:t xml:space="preserve"> </w:t>
            </w:r>
            <w:r w:rsidRPr="00150EDC">
              <w:rPr>
                <w:sz w:val="20"/>
              </w:rPr>
              <w:t>2002,</w:t>
            </w:r>
            <w:r w:rsidRPr="00150EDC">
              <w:rPr>
                <w:spacing w:val="-4"/>
                <w:sz w:val="20"/>
              </w:rPr>
              <w:t xml:space="preserve"> </w:t>
            </w:r>
            <w:r w:rsidRPr="00150EDC">
              <w:rPr>
                <w:sz w:val="20"/>
              </w:rPr>
              <w:t>Art</w:t>
            </w:r>
            <w:r w:rsidRPr="00150EDC">
              <w:rPr>
                <w:spacing w:val="-6"/>
                <w:sz w:val="20"/>
              </w:rPr>
              <w:t xml:space="preserve"> </w:t>
            </w:r>
            <w:r w:rsidRPr="00150EDC">
              <w:rPr>
                <w:spacing w:val="-4"/>
                <w:sz w:val="20"/>
              </w:rPr>
              <w:t>12(c)</w:t>
            </w:r>
          </w:p>
        </w:tc>
        <w:tc>
          <w:tcPr>
            <w:tcW w:w="7427" w:type="dxa"/>
          </w:tcPr>
          <w:p w14:paraId="04AB8E0E" w14:textId="77777777" w:rsidR="004C7180" w:rsidRPr="00150EDC" w:rsidRDefault="00CF0754">
            <w:pPr>
              <w:pStyle w:val="TableParagraph"/>
              <w:spacing w:before="0" w:line="230" w:lineRule="atLeast"/>
              <w:ind w:right="74"/>
              <w:rPr>
                <w:sz w:val="20"/>
              </w:rPr>
            </w:pPr>
            <w:r w:rsidRPr="00150EDC">
              <w:rPr>
                <w:sz w:val="20"/>
              </w:rPr>
              <w:t>Acting</w:t>
            </w:r>
            <w:r w:rsidRPr="00150EDC">
              <w:rPr>
                <w:spacing w:val="-5"/>
                <w:sz w:val="20"/>
              </w:rPr>
              <w:t xml:space="preserve"> </w:t>
            </w:r>
            <w:r w:rsidRPr="00150EDC">
              <w:rPr>
                <w:sz w:val="20"/>
              </w:rPr>
              <w:t>as</w:t>
            </w:r>
            <w:r w:rsidRPr="00150EDC">
              <w:rPr>
                <w:spacing w:val="-4"/>
                <w:sz w:val="20"/>
              </w:rPr>
              <w:t xml:space="preserve"> </w:t>
            </w:r>
            <w:r w:rsidRPr="00150EDC">
              <w:rPr>
                <w:sz w:val="20"/>
              </w:rPr>
              <w:t>a</w:t>
            </w:r>
            <w:r w:rsidRPr="00150EDC">
              <w:rPr>
                <w:spacing w:val="-5"/>
                <w:sz w:val="20"/>
              </w:rPr>
              <w:t xml:space="preserve"> </w:t>
            </w:r>
            <w:r w:rsidRPr="00150EDC">
              <w:rPr>
                <w:sz w:val="20"/>
              </w:rPr>
              <w:t>day carer,</w:t>
            </w:r>
            <w:r w:rsidRPr="00150EDC">
              <w:rPr>
                <w:spacing w:val="-5"/>
                <w:sz w:val="20"/>
              </w:rPr>
              <w:t xml:space="preserve"> </w:t>
            </w:r>
            <w:r w:rsidRPr="00150EDC">
              <w:rPr>
                <w:sz w:val="20"/>
              </w:rPr>
              <w:t>or</w:t>
            </w:r>
            <w:r w:rsidRPr="00150EDC">
              <w:rPr>
                <w:spacing w:val="-5"/>
                <w:sz w:val="20"/>
              </w:rPr>
              <w:t xml:space="preserve"> </w:t>
            </w:r>
            <w:r w:rsidRPr="00150EDC">
              <w:rPr>
                <w:sz w:val="20"/>
              </w:rPr>
              <w:t>manage, have a</w:t>
            </w:r>
            <w:r w:rsidRPr="00150EDC">
              <w:rPr>
                <w:spacing w:val="-5"/>
                <w:sz w:val="20"/>
              </w:rPr>
              <w:t xml:space="preserve"> </w:t>
            </w:r>
            <w:r w:rsidRPr="00150EDC">
              <w:rPr>
                <w:sz w:val="20"/>
              </w:rPr>
              <w:t>financial</w:t>
            </w:r>
            <w:r w:rsidRPr="00150EDC">
              <w:rPr>
                <w:spacing w:val="-3"/>
                <w:sz w:val="20"/>
              </w:rPr>
              <w:t xml:space="preserve"> </w:t>
            </w:r>
            <w:r w:rsidRPr="00150EDC">
              <w:rPr>
                <w:sz w:val="20"/>
              </w:rPr>
              <w:t>interest</w:t>
            </w:r>
            <w:r w:rsidRPr="00150EDC">
              <w:rPr>
                <w:spacing w:val="-5"/>
                <w:sz w:val="20"/>
              </w:rPr>
              <w:t xml:space="preserve"> </w:t>
            </w:r>
            <w:r w:rsidRPr="00150EDC">
              <w:rPr>
                <w:sz w:val="20"/>
              </w:rPr>
              <w:t>in</w:t>
            </w:r>
            <w:r w:rsidRPr="00150EDC">
              <w:rPr>
                <w:spacing w:val="-4"/>
                <w:sz w:val="20"/>
              </w:rPr>
              <w:t xml:space="preserve"> </w:t>
            </w:r>
            <w:r w:rsidRPr="00150EDC">
              <w:rPr>
                <w:sz w:val="20"/>
              </w:rPr>
              <w:t>or</w:t>
            </w:r>
            <w:r w:rsidRPr="00150EDC">
              <w:rPr>
                <w:spacing w:val="-5"/>
                <w:sz w:val="20"/>
              </w:rPr>
              <w:t xml:space="preserve"> </w:t>
            </w:r>
            <w:r w:rsidRPr="00150EDC">
              <w:rPr>
                <w:sz w:val="20"/>
              </w:rPr>
              <w:t>employ</w:t>
            </w:r>
            <w:r w:rsidRPr="00150EDC">
              <w:rPr>
                <w:spacing w:val="-4"/>
                <w:sz w:val="20"/>
              </w:rPr>
              <w:t xml:space="preserve"> </w:t>
            </w:r>
            <w:r w:rsidRPr="00150EDC">
              <w:rPr>
                <w:sz w:val="20"/>
              </w:rPr>
              <w:t>a person in day care, whilst disqualified</w:t>
            </w:r>
          </w:p>
        </w:tc>
      </w:tr>
      <w:tr w:rsidR="004569EE" w:rsidRPr="007D3144" w14:paraId="3167EE0E" w14:textId="77777777">
        <w:trPr>
          <w:trHeight w:val="250"/>
        </w:trPr>
        <w:tc>
          <w:tcPr>
            <w:tcW w:w="6517" w:type="dxa"/>
            <w:tcBorders>
              <w:bottom w:val="single" w:sz="12" w:space="0" w:color="000000"/>
            </w:tcBorders>
          </w:tcPr>
          <w:p w14:paraId="64DD50CB" w14:textId="77777777" w:rsidR="004C7180" w:rsidRPr="00150EDC" w:rsidRDefault="00CF0754">
            <w:pPr>
              <w:pStyle w:val="TableParagraph"/>
              <w:spacing w:line="203" w:lineRule="exact"/>
              <w:rPr>
                <w:sz w:val="20"/>
              </w:rPr>
            </w:pPr>
            <w:r w:rsidRPr="00150EDC">
              <w:rPr>
                <w:sz w:val="20"/>
              </w:rPr>
              <w:t>Day</w:t>
            </w:r>
            <w:r w:rsidRPr="00150EDC">
              <w:rPr>
                <w:spacing w:val="-8"/>
                <w:sz w:val="20"/>
              </w:rPr>
              <w:t xml:space="preserve"> </w:t>
            </w:r>
            <w:r w:rsidRPr="00150EDC">
              <w:rPr>
                <w:sz w:val="20"/>
              </w:rPr>
              <w:t>Care</w:t>
            </w:r>
            <w:r w:rsidRPr="00150EDC">
              <w:rPr>
                <w:spacing w:val="-7"/>
                <w:sz w:val="20"/>
              </w:rPr>
              <w:t xml:space="preserve"> </w:t>
            </w:r>
            <w:r w:rsidRPr="00150EDC">
              <w:rPr>
                <w:sz w:val="20"/>
              </w:rPr>
              <w:t>of</w:t>
            </w:r>
            <w:r w:rsidRPr="00150EDC">
              <w:rPr>
                <w:spacing w:val="-1"/>
                <w:sz w:val="20"/>
              </w:rPr>
              <w:t xml:space="preserve"> </w:t>
            </w:r>
            <w:r w:rsidRPr="00150EDC">
              <w:rPr>
                <w:sz w:val="20"/>
              </w:rPr>
              <w:t>Children</w:t>
            </w:r>
            <w:r w:rsidRPr="00150EDC">
              <w:rPr>
                <w:spacing w:val="-2"/>
                <w:sz w:val="20"/>
              </w:rPr>
              <w:t xml:space="preserve"> </w:t>
            </w:r>
            <w:r w:rsidRPr="00150EDC">
              <w:rPr>
                <w:sz w:val="20"/>
              </w:rPr>
              <w:t>(Jersey)</w:t>
            </w:r>
            <w:r w:rsidRPr="00150EDC">
              <w:rPr>
                <w:spacing w:val="-7"/>
                <w:sz w:val="20"/>
              </w:rPr>
              <w:t xml:space="preserve"> </w:t>
            </w:r>
            <w:r w:rsidRPr="00150EDC">
              <w:rPr>
                <w:sz w:val="20"/>
              </w:rPr>
              <w:t>Law</w:t>
            </w:r>
            <w:r w:rsidRPr="00150EDC">
              <w:rPr>
                <w:spacing w:val="-4"/>
                <w:sz w:val="20"/>
              </w:rPr>
              <w:t xml:space="preserve"> </w:t>
            </w:r>
            <w:r w:rsidRPr="00150EDC">
              <w:rPr>
                <w:sz w:val="20"/>
              </w:rPr>
              <w:t>2002,</w:t>
            </w:r>
            <w:r w:rsidRPr="00150EDC">
              <w:rPr>
                <w:spacing w:val="-7"/>
                <w:sz w:val="20"/>
              </w:rPr>
              <w:t xml:space="preserve"> </w:t>
            </w:r>
            <w:r w:rsidRPr="00150EDC">
              <w:rPr>
                <w:sz w:val="20"/>
              </w:rPr>
              <w:t>Art</w:t>
            </w:r>
            <w:r w:rsidRPr="00150EDC">
              <w:rPr>
                <w:spacing w:val="-6"/>
                <w:sz w:val="20"/>
              </w:rPr>
              <w:t xml:space="preserve"> </w:t>
            </w:r>
            <w:r w:rsidRPr="00150EDC">
              <w:rPr>
                <w:spacing w:val="-4"/>
                <w:sz w:val="20"/>
              </w:rPr>
              <w:t>12(d)</w:t>
            </w:r>
          </w:p>
        </w:tc>
        <w:tc>
          <w:tcPr>
            <w:tcW w:w="7427" w:type="dxa"/>
            <w:tcBorders>
              <w:bottom w:val="single" w:sz="12" w:space="0" w:color="000000"/>
            </w:tcBorders>
          </w:tcPr>
          <w:p w14:paraId="19717A27" w14:textId="77777777" w:rsidR="004C7180" w:rsidRPr="00150EDC" w:rsidRDefault="00CF0754">
            <w:pPr>
              <w:pStyle w:val="TableParagraph"/>
              <w:spacing w:line="203" w:lineRule="exact"/>
              <w:rPr>
                <w:sz w:val="20"/>
              </w:rPr>
            </w:pPr>
            <w:r w:rsidRPr="00150EDC">
              <w:rPr>
                <w:sz w:val="20"/>
              </w:rPr>
              <w:t>Making</w:t>
            </w:r>
            <w:r w:rsidRPr="00150EDC">
              <w:rPr>
                <w:spacing w:val="-11"/>
                <w:sz w:val="20"/>
              </w:rPr>
              <w:t xml:space="preserve"> </w:t>
            </w:r>
            <w:r w:rsidRPr="00150EDC">
              <w:rPr>
                <w:sz w:val="20"/>
              </w:rPr>
              <w:t>false</w:t>
            </w:r>
            <w:r w:rsidRPr="00150EDC">
              <w:rPr>
                <w:spacing w:val="-11"/>
                <w:sz w:val="20"/>
              </w:rPr>
              <w:t xml:space="preserve"> </w:t>
            </w:r>
            <w:r w:rsidRPr="00150EDC">
              <w:rPr>
                <w:sz w:val="20"/>
              </w:rPr>
              <w:t>or</w:t>
            </w:r>
            <w:r w:rsidRPr="00150EDC">
              <w:rPr>
                <w:spacing w:val="-7"/>
                <w:sz w:val="20"/>
              </w:rPr>
              <w:t xml:space="preserve"> </w:t>
            </w:r>
            <w:r w:rsidRPr="00150EDC">
              <w:rPr>
                <w:sz w:val="20"/>
              </w:rPr>
              <w:t>misleading</w:t>
            </w:r>
            <w:r w:rsidRPr="00150EDC">
              <w:rPr>
                <w:spacing w:val="-11"/>
                <w:sz w:val="20"/>
              </w:rPr>
              <w:t xml:space="preserve"> </w:t>
            </w:r>
            <w:r w:rsidRPr="00150EDC">
              <w:rPr>
                <w:sz w:val="20"/>
              </w:rPr>
              <w:t>statements</w:t>
            </w:r>
            <w:r w:rsidRPr="00150EDC">
              <w:rPr>
                <w:spacing w:val="-10"/>
                <w:sz w:val="20"/>
              </w:rPr>
              <w:t xml:space="preserve"> </w:t>
            </w:r>
            <w:r w:rsidRPr="00150EDC">
              <w:rPr>
                <w:sz w:val="20"/>
              </w:rPr>
              <w:t>in</w:t>
            </w:r>
            <w:r w:rsidRPr="00150EDC">
              <w:rPr>
                <w:spacing w:val="-11"/>
                <w:sz w:val="20"/>
              </w:rPr>
              <w:t xml:space="preserve"> </w:t>
            </w:r>
            <w:r w:rsidRPr="00150EDC">
              <w:rPr>
                <w:sz w:val="20"/>
              </w:rPr>
              <w:t>an</w:t>
            </w:r>
            <w:r w:rsidRPr="00150EDC">
              <w:rPr>
                <w:spacing w:val="-6"/>
                <w:sz w:val="20"/>
              </w:rPr>
              <w:t xml:space="preserve"> </w:t>
            </w:r>
            <w:r w:rsidRPr="00150EDC">
              <w:rPr>
                <w:sz w:val="20"/>
              </w:rPr>
              <w:t>application</w:t>
            </w:r>
            <w:r w:rsidRPr="00150EDC">
              <w:rPr>
                <w:spacing w:val="-11"/>
                <w:sz w:val="20"/>
              </w:rPr>
              <w:t xml:space="preserve"> </w:t>
            </w:r>
            <w:r w:rsidRPr="00150EDC">
              <w:rPr>
                <w:sz w:val="20"/>
              </w:rPr>
              <w:t>for</w:t>
            </w:r>
            <w:r w:rsidRPr="00150EDC">
              <w:rPr>
                <w:spacing w:val="-11"/>
                <w:sz w:val="20"/>
              </w:rPr>
              <w:t xml:space="preserve"> </w:t>
            </w:r>
            <w:r w:rsidRPr="00150EDC">
              <w:rPr>
                <w:spacing w:val="-2"/>
                <w:sz w:val="20"/>
              </w:rPr>
              <w:t>registration</w:t>
            </w:r>
          </w:p>
        </w:tc>
      </w:tr>
      <w:tr w:rsidR="004569EE" w:rsidRPr="007D3144" w14:paraId="6B05E336" w14:textId="77777777">
        <w:trPr>
          <w:trHeight w:val="455"/>
        </w:trPr>
        <w:tc>
          <w:tcPr>
            <w:tcW w:w="6517" w:type="dxa"/>
            <w:tcBorders>
              <w:top w:val="single" w:sz="12" w:space="0" w:color="000000"/>
            </w:tcBorders>
          </w:tcPr>
          <w:p w14:paraId="7B24584A" w14:textId="77777777" w:rsidR="004C7180" w:rsidRPr="00150EDC" w:rsidRDefault="004C7180">
            <w:pPr>
              <w:pStyle w:val="TableParagraph"/>
              <w:spacing w:before="9" w:line="240" w:lineRule="auto"/>
              <w:ind w:left="0"/>
              <w:rPr>
                <w:sz w:val="19"/>
              </w:rPr>
            </w:pPr>
          </w:p>
          <w:p w14:paraId="3C5BFA7B" w14:textId="77777777" w:rsidR="004C7180" w:rsidRPr="00150EDC" w:rsidRDefault="00CF0754">
            <w:pPr>
              <w:pStyle w:val="TableParagraph"/>
              <w:spacing w:before="0"/>
              <w:rPr>
                <w:sz w:val="20"/>
              </w:rPr>
            </w:pPr>
            <w:r w:rsidRPr="00150EDC">
              <w:rPr>
                <w:sz w:val="20"/>
              </w:rPr>
              <w:t>Day</w:t>
            </w:r>
            <w:r w:rsidRPr="00150EDC">
              <w:rPr>
                <w:spacing w:val="-8"/>
                <w:sz w:val="20"/>
              </w:rPr>
              <w:t xml:space="preserve"> </w:t>
            </w:r>
            <w:r w:rsidRPr="00150EDC">
              <w:rPr>
                <w:sz w:val="20"/>
              </w:rPr>
              <w:t>Care</w:t>
            </w:r>
            <w:r w:rsidRPr="00150EDC">
              <w:rPr>
                <w:spacing w:val="-7"/>
                <w:sz w:val="20"/>
              </w:rPr>
              <w:t xml:space="preserve"> </w:t>
            </w:r>
            <w:r w:rsidRPr="00150EDC">
              <w:rPr>
                <w:sz w:val="20"/>
              </w:rPr>
              <w:t>of</w:t>
            </w:r>
            <w:r w:rsidRPr="00150EDC">
              <w:rPr>
                <w:spacing w:val="-1"/>
                <w:sz w:val="20"/>
              </w:rPr>
              <w:t xml:space="preserve"> </w:t>
            </w:r>
            <w:r w:rsidRPr="00150EDC">
              <w:rPr>
                <w:sz w:val="20"/>
              </w:rPr>
              <w:t>Children</w:t>
            </w:r>
            <w:r w:rsidRPr="00150EDC">
              <w:rPr>
                <w:spacing w:val="-1"/>
                <w:sz w:val="20"/>
              </w:rPr>
              <w:t xml:space="preserve"> </w:t>
            </w:r>
            <w:r w:rsidRPr="00150EDC">
              <w:rPr>
                <w:sz w:val="20"/>
              </w:rPr>
              <w:t>(Jersey)</w:t>
            </w:r>
            <w:r w:rsidRPr="00150EDC">
              <w:rPr>
                <w:spacing w:val="-7"/>
                <w:sz w:val="20"/>
              </w:rPr>
              <w:t xml:space="preserve"> </w:t>
            </w:r>
            <w:r w:rsidRPr="00150EDC">
              <w:rPr>
                <w:sz w:val="20"/>
              </w:rPr>
              <w:t>Law</w:t>
            </w:r>
            <w:r w:rsidRPr="00150EDC">
              <w:rPr>
                <w:spacing w:val="-5"/>
                <w:sz w:val="20"/>
              </w:rPr>
              <w:t xml:space="preserve"> </w:t>
            </w:r>
            <w:r w:rsidRPr="00150EDC">
              <w:rPr>
                <w:sz w:val="20"/>
              </w:rPr>
              <w:t>2002,</w:t>
            </w:r>
            <w:r w:rsidRPr="00150EDC">
              <w:rPr>
                <w:spacing w:val="-6"/>
                <w:sz w:val="20"/>
              </w:rPr>
              <w:t xml:space="preserve"> </w:t>
            </w:r>
            <w:r w:rsidRPr="00150EDC">
              <w:rPr>
                <w:sz w:val="20"/>
              </w:rPr>
              <w:t>Art</w:t>
            </w:r>
            <w:r w:rsidRPr="00150EDC">
              <w:rPr>
                <w:spacing w:val="-6"/>
                <w:sz w:val="20"/>
              </w:rPr>
              <w:t xml:space="preserve"> </w:t>
            </w:r>
            <w:r w:rsidRPr="00150EDC">
              <w:rPr>
                <w:spacing w:val="-4"/>
                <w:sz w:val="20"/>
              </w:rPr>
              <w:t>12(e)</w:t>
            </w:r>
          </w:p>
        </w:tc>
        <w:tc>
          <w:tcPr>
            <w:tcW w:w="7427" w:type="dxa"/>
            <w:tcBorders>
              <w:top w:val="single" w:sz="12" w:space="0" w:color="000000"/>
            </w:tcBorders>
          </w:tcPr>
          <w:p w14:paraId="2FA5143B" w14:textId="77777777" w:rsidR="004C7180" w:rsidRPr="00150EDC" w:rsidRDefault="00CF0754">
            <w:pPr>
              <w:pStyle w:val="TableParagraph"/>
              <w:spacing w:before="0" w:line="230" w:lineRule="exact"/>
              <w:rPr>
                <w:sz w:val="20"/>
              </w:rPr>
            </w:pPr>
            <w:r w:rsidRPr="00150EDC">
              <w:rPr>
                <w:sz w:val="20"/>
              </w:rPr>
              <w:t>Failing</w:t>
            </w:r>
            <w:r w:rsidRPr="00150EDC">
              <w:rPr>
                <w:spacing w:val="-6"/>
                <w:sz w:val="20"/>
              </w:rPr>
              <w:t xml:space="preserve"> </w:t>
            </w:r>
            <w:r w:rsidRPr="00150EDC">
              <w:rPr>
                <w:sz w:val="20"/>
              </w:rPr>
              <w:t>to</w:t>
            </w:r>
            <w:r w:rsidRPr="00150EDC">
              <w:rPr>
                <w:spacing w:val="-6"/>
                <w:sz w:val="20"/>
              </w:rPr>
              <w:t xml:space="preserve"> </w:t>
            </w:r>
            <w:r w:rsidRPr="00150EDC">
              <w:rPr>
                <w:sz w:val="20"/>
              </w:rPr>
              <w:t>comply</w:t>
            </w:r>
            <w:r w:rsidRPr="00150EDC">
              <w:rPr>
                <w:spacing w:val="-4"/>
                <w:sz w:val="20"/>
              </w:rPr>
              <w:t xml:space="preserve"> </w:t>
            </w:r>
            <w:r w:rsidRPr="00150EDC">
              <w:rPr>
                <w:sz w:val="20"/>
              </w:rPr>
              <w:t>with</w:t>
            </w:r>
            <w:r w:rsidRPr="00150EDC">
              <w:rPr>
                <w:spacing w:val="-6"/>
                <w:sz w:val="20"/>
              </w:rPr>
              <w:t xml:space="preserve"> </w:t>
            </w:r>
            <w:r w:rsidRPr="00150EDC">
              <w:rPr>
                <w:sz w:val="20"/>
              </w:rPr>
              <w:t>conditions</w:t>
            </w:r>
            <w:r w:rsidRPr="00150EDC">
              <w:rPr>
                <w:spacing w:val="-5"/>
                <w:sz w:val="20"/>
              </w:rPr>
              <w:t xml:space="preserve"> </w:t>
            </w:r>
            <w:r w:rsidRPr="00150EDC">
              <w:rPr>
                <w:sz w:val="20"/>
              </w:rPr>
              <w:t>or</w:t>
            </w:r>
            <w:r w:rsidRPr="00150EDC">
              <w:rPr>
                <w:spacing w:val="-2"/>
                <w:sz w:val="20"/>
              </w:rPr>
              <w:t xml:space="preserve"> </w:t>
            </w:r>
            <w:r w:rsidRPr="00150EDC">
              <w:rPr>
                <w:sz w:val="20"/>
              </w:rPr>
              <w:t>requirements</w:t>
            </w:r>
            <w:r w:rsidRPr="00150EDC">
              <w:rPr>
                <w:spacing w:val="-5"/>
                <w:sz w:val="20"/>
              </w:rPr>
              <w:t xml:space="preserve"> </w:t>
            </w:r>
            <w:r w:rsidRPr="00150EDC">
              <w:rPr>
                <w:sz w:val="20"/>
              </w:rPr>
              <w:t>of</w:t>
            </w:r>
            <w:r w:rsidRPr="00150EDC">
              <w:rPr>
                <w:spacing w:val="-1"/>
                <w:sz w:val="20"/>
              </w:rPr>
              <w:t xml:space="preserve"> </w:t>
            </w:r>
            <w:r w:rsidRPr="00150EDC">
              <w:rPr>
                <w:sz w:val="20"/>
              </w:rPr>
              <w:t>registration</w:t>
            </w:r>
            <w:r w:rsidRPr="00150EDC">
              <w:rPr>
                <w:spacing w:val="-6"/>
                <w:sz w:val="20"/>
              </w:rPr>
              <w:t xml:space="preserve"> </w:t>
            </w:r>
            <w:r w:rsidRPr="00150EDC">
              <w:rPr>
                <w:sz w:val="20"/>
              </w:rPr>
              <w:t>in</w:t>
            </w:r>
            <w:r w:rsidRPr="00150EDC">
              <w:rPr>
                <w:spacing w:val="-1"/>
                <w:sz w:val="20"/>
              </w:rPr>
              <w:t xml:space="preserve"> </w:t>
            </w:r>
            <w:r w:rsidRPr="00150EDC">
              <w:rPr>
                <w:sz w:val="20"/>
              </w:rPr>
              <w:t>respect</w:t>
            </w:r>
            <w:r w:rsidRPr="00150EDC">
              <w:rPr>
                <w:spacing w:val="-6"/>
                <w:sz w:val="20"/>
              </w:rPr>
              <w:t xml:space="preserve"> </w:t>
            </w:r>
            <w:r w:rsidRPr="00150EDC">
              <w:rPr>
                <w:sz w:val="20"/>
              </w:rPr>
              <w:t>of</w:t>
            </w:r>
            <w:r w:rsidRPr="00150EDC">
              <w:rPr>
                <w:spacing w:val="-6"/>
                <w:sz w:val="20"/>
              </w:rPr>
              <w:t xml:space="preserve"> </w:t>
            </w:r>
            <w:r w:rsidRPr="00150EDC">
              <w:rPr>
                <w:sz w:val="20"/>
              </w:rPr>
              <w:t>day care accommodation and day carers</w:t>
            </w:r>
          </w:p>
        </w:tc>
      </w:tr>
      <w:tr w:rsidR="004569EE" w:rsidRPr="007D3144" w14:paraId="6AC714F8" w14:textId="77777777">
        <w:trPr>
          <w:trHeight w:val="250"/>
        </w:trPr>
        <w:tc>
          <w:tcPr>
            <w:tcW w:w="6517" w:type="dxa"/>
          </w:tcPr>
          <w:p w14:paraId="5BEA8F45" w14:textId="77777777" w:rsidR="004C7180" w:rsidRPr="00150EDC" w:rsidRDefault="00CF0754">
            <w:pPr>
              <w:pStyle w:val="TableParagraph"/>
              <w:spacing w:before="22"/>
              <w:rPr>
                <w:sz w:val="20"/>
              </w:rPr>
            </w:pPr>
            <w:r w:rsidRPr="00150EDC">
              <w:rPr>
                <w:sz w:val="20"/>
              </w:rPr>
              <w:t>Day</w:t>
            </w:r>
            <w:r w:rsidRPr="00150EDC">
              <w:rPr>
                <w:spacing w:val="-8"/>
                <w:sz w:val="20"/>
              </w:rPr>
              <w:t xml:space="preserve"> </w:t>
            </w:r>
            <w:r w:rsidRPr="00150EDC">
              <w:rPr>
                <w:sz w:val="20"/>
              </w:rPr>
              <w:t>Care</w:t>
            </w:r>
            <w:r w:rsidRPr="00150EDC">
              <w:rPr>
                <w:spacing w:val="-7"/>
                <w:sz w:val="20"/>
              </w:rPr>
              <w:t xml:space="preserve"> </w:t>
            </w:r>
            <w:r w:rsidRPr="00150EDC">
              <w:rPr>
                <w:sz w:val="20"/>
              </w:rPr>
              <w:t>of</w:t>
            </w:r>
            <w:r w:rsidRPr="00150EDC">
              <w:rPr>
                <w:spacing w:val="-1"/>
                <w:sz w:val="20"/>
              </w:rPr>
              <w:t xml:space="preserve"> </w:t>
            </w:r>
            <w:r w:rsidRPr="00150EDC">
              <w:rPr>
                <w:sz w:val="20"/>
              </w:rPr>
              <w:t>Children</w:t>
            </w:r>
            <w:r w:rsidRPr="00150EDC">
              <w:rPr>
                <w:spacing w:val="-2"/>
                <w:sz w:val="20"/>
              </w:rPr>
              <w:t xml:space="preserve"> </w:t>
            </w:r>
            <w:r w:rsidRPr="00150EDC">
              <w:rPr>
                <w:sz w:val="20"/>
              </w:rPr>
              <w:t>(Jersey)</w:t>
            </w:r>
            <w:r w:rsidRPr="00150EDC">
              <w:rPr>
                <w:spacing w:val="-7"/>
                <w:sz w:val="20"/>
              </w:rPr>
              <w:t xml:space="preserve"> </w:t>
            </w:r>
            <w:r w:rsidRPr="00150EDC">
              <w:rPr>
                <w:sz w:val="20"/>
              </w:rPr>
              <w:t>Law</w:t>
            </w:r>
            <w:r w:rsidRPr="00150EDC">
              <w:rPr>
                <w:spacing w:val="-4"/>
                <w:sz w:val="20"/>
              </w:rPr>
              <w:t xml:space="preserve"> </w:t>
            </w:r>
            <w:r w:rsidRPr="00150EDC">
              <w:rPr>
                <w:sz w:val="20"/>
              </w:rPr>
              <w:t>2002,</w:t>
            </w:r>
            <w:r w:rsidRPr="00150EDC">
              <w:rPr>
                <w:spacing w:val="-7"/>
                <w:sz w:val="20"/>
              </w:rPr>
              <w:t xml:space="preserve"> </w:t>
            </w:r>
            <w:r w:rsidRPr="00150EDC">
              <w:rPr>
                <w:sz w:val="20"/>
              </w:rPr>
              <w:t>Art</w:t>
            </w:r>
            <w:r w:rsidRPr="00150EDC">
              <w:rPr>
                <w:spacing w:val="-6"/>
                <w:sz w:val="20"/>
              </w:rPr>
              <w:t xml:space="preserve"> </w:t>
            </w:r>
            <w:r w:rsidRPr="00150EDC">
              <w:rPr>
                <w:spacing w:val="-4"/>
                <w:sz w:val="20"/>
              </w:rPr>
              <w:t>12(f)</w:t>
            </w:r>
          </w:p>
        </w:tc>
        <w:tc>
          <w:tcPr>
            <w:tcW w:w="7427" w:type="dxa"/>
          </w:tcPr>
          <w:p w14:paraId="50871F42" w14:textId="77777777" w:rsidR="004C7180" w:rsidRPr="00150EDC" w:rsidRDefault="00CF0754">
            <w:pPr>
              <w:pStyle w:val="TableParagraph"/>
              <w:spacing w:before="22"/>
              <w:rPr>
                <w:sz w:val="20"/>
              </w:rPr>
            </w:pPr>
            <w:r w:rsidRPr="00150EDC">
              <w:rPr>
                <w:sz w:val="20"/>
              </w:rPr>
              <w:t>Obstructing</w:t>
            </w:r>
            <w:r w:rsidRPr="00150EDC">
              <w:rPr>
                <w:spacing w:val="-7"/>
                <w:sz w:val="20"/>
              </w:rPr>
              <w:t xml:space="preserve"> </w:t>
            </w:r>
            <w:r w:rsidRPr="00150EDC">
              <w:rPr>
                <w:sz w:val="20"/>
              </w:rPr>
              <w:t>an</w:t>
            </w:r>
            <w:r w:rsidRPr="00150EDC">
              <w:rPr>
                <w:spacing w:val="-5"/>
                <w:sz w:val="20"/>
              </w:rPr>
              <w:t xml:space="preserve"> </w:t>
            </w:r>
            <w:r w:rsidRPr="00150EDC">
              <w:rPr>
                <w:sz w:val="20"/>
              </w:rPr>
              <w:t>officer</w:t>
            </w:r>
            <w:r w:rsidRPr="00150EDC">
              <w:rPr>
                <w:spacing w:val="-1"/>
                <w:sz w:val="20"/>
              </w:rPr>
              <w:t xml:space="preserve"> </w:t>
            </w:r>
            <w:r w:rsidRPr="00150EDC">
              <w:rPr>
                <w:sz w:val="20"/>
              </w:rPr>
              <w:t>exercising</w:t>
            </w:r>
            <w:r w:rsidRPr="00150EDC">
              <w:rPr>
                <w:spacing w:val="1"/>
                <w:sz w:val="20"/>
              </w:rPr>
              <w:t xml:space="preserve"> </w:t>
            </w:r>
            <w:r w:rsidRPr="00150EDC">
              <w:rPr>
                <w:sz w:val="20"/>
              </w:rPr>
              <w:t>powers</w:t>
            </w:r>
            <w:r w:rsidRPr="00150EDC">
              <w:rPr>
                <w:spacing w:val="1"/>
                <w:sz w:val="20"/>
              </w:rPr>
              <w:t xml:space="preserve"> </w:t>
            </w:r>
            <w:r w:rsidRPr="00150EDC">
              <w:rPr>
                <w:sz w:val="20"/>
              </w:rPr>
              <w:t>of</w:t>
            </w:r>
            <w:r w:rsidRPr="00150EDC">
              <w:rPr>
                <w:spacing w:val="-5"/>
                <w:sz w:val="20"/>
              </w:rPr>
              <w:t xml:space="preserve"> </w:t>
            </w:r>
            <w:r w:rsidRPr="00150EDC">
              <w:rPr>
                <w:sz w:val="20"/>
              </w:rPr>
              <w:t>entry</w:t>
            </w:r>
            <w:r w:rsidRPr="00150EDC">
              <w:rPr>
                <w:spacing w:val="-4"/>
                <w:sz w:val="20"/>
              </w:rPr>
              <w:t xml:space="preserve"> </w:t>
            </w:r>
            <w:r w:rsidRPr="00150EDC">
              <w:rPr>
                <w:sz w:val="20"/>
              </w:rPr>
              <w:t>and</w:t>
            </w:r>
            <w:r w:rsidRPr="00150EDC">
              <w:rPr>
                <w:spacing w:val="-5"/>
                <w:sz w:val="20"/>
              </w:rPr>
              <w:t xml:space="preserve"> </w:t>
            </w:r>
            <w:r w:rsidRPr="00150EDC">
              <w:rPr>
                <w:sz w:val="20"/>
              </w:rPr>
              <w:t>/</w:t>
            </w:r>
            <w:r w:rsidRPr="00150EDC">
              <w:rPr>
                <w:spacing w:val="-5"/>
                <w:sz w:val="20"/>
              </w:rPr>
              <w:t xml:space="preserve"> </w:t>
            </w:r>
            <w:r w:rsidRPr="00150EDC">
              <w:rPr>
                <w:sz w:val="20"/>
              </w:rPr>
              <w:t>or</w:t>
            </w:r>
            <w:r w:rsidRPr="00150EDC">
              <w:rPr>
                <w:spacing w:val="-4"/>
                <w:sz w:val="20"/>
              </w:rPr>
              <w:t xml:space="preserve"> </w:t>
            </w:r>
            <w:r w:rsidRPr="00150EDC">
              <w:rPr>
                <w:spacing w:val="-2"/>
                <w:sz w:val="20"/>
              </w:rPr>
              <w:t>inspection</w:t>
            </w:r>
          </w:p>
        </w:tc>
      </w:tr>
      <w:tr w:rsidR="004569EE" w:rsidRPr="007D3144" w14:paraId="5429AE2C" w14:textId="77777777">
        <w:trPr>
          <w:trHeight w:val="255"/>
        </w:trPr>
        <w:tc>
          <w:tcPr>
            <w:tcW w:w="6517" w:type="dxa"/>
          </w:tcPr>
          <w:p w14:paraId="727C60CE" w14:textId="77777777" w:rsidR="004C7180" w:rsidRPr="00150EDC" w:rsidRDefault="00CF0754">
            <w:pPr>
              <w:pStyle w:val="TableParagraph"/>
              <w:rPr>
                <w:sz w:val="20"/>
              </w:rPr>
            </w:pPr>
            <w:r w:rsidRPr="00150EDC">
              <w:rPr>
                <w:sz w:val="20"/>
              </w:rPr>
              <w:t>Domestic</w:t>
            </w:r>
            <w:r w:rsidRPr="00150EDC">
              <w:rPr>
                <w:spacing w:val="-4"/>
                <w:sz w:val="20"/>
              </w:rPr>
              <w:t xml:space="preserve"> </w:t>
            </w:r>
            <w:r w:rsidRPr="00150EDC">
              <w:rPr>
                <w:sz w:val="20"/>
              </w:rPr>
              <w:t>Violence,</w:t>
            </w:r>
            <w:r w:rsidRPr="00150EDC">
              <w:rPr>
                <w:spacing w:val="-6"/>
                <w:sz w:val="20"/>
              </w:rPr>
              <w:t xml:space="preserve"> </w:t>
            </w:r>
            <w:r w:rsidRPr="00150EDC">
              <w:rPr>
                <w:sz w:val="20"/>
              </w:rPr>
              <w:t>Crime</w:t>
            </w:r>
            <w:r w:rsidRPr="00150EDC">
              <w:rPr>
                <w:spacing w:val="-5"/>
                <w:sz w:val="20"/>
              </w:rPr>
              <w:t xml:space="preserve"> </w:t>
            </w:r>
            <w:r w:rsidRPr="00150EDC">
              <w:rPr>
                <w:sz w:val="20"/>
              </w:rPr>
              <w:t>and</w:t>
            </w:r>
            <w:r w:rsidRPr="00150EDC">
              <w:rPr>
                <w:spacing w:val="-6"/>
                <w:sz w:val="20"/>
              </w:rPr>
              <w:t xml:space="preserve"> </w:t>
            </w:r>
            <w:r w:rsidRPr="00150EDC">
              <w:rPr>
                <w:sz w:val="20"/>
              </w:rPr>
              <w:t>Victims</w:t>
            </w:r>
            <w:r w:rsidRPr="00150EDC">
              <w:rPr>
                <w:spacing w:val="-5"/>
                <w:sz w:val="20"/>
              </w:rPr>
              <w:t xml:space="preserve"> </w:t>
            </w:r>
            <w:r w:rsidRPr="00150EDC">
              <w:rPr>
                <w:sz w:val="20"/>
              </w:rPr>
              <w:t>Act</w:t>
            </w:r>
            <w:r w:rsidRPr="00150EDC">
              <w:rPr>
                <w:spacing w:val="-4"/>
                <w:sz w:val="20"/>
              </w:rPr>
              <w:t xml:space="preserve"> </w:t>
            </w:r>
            <w:r w:rsidRPr="00150EDC">
              <w:rPr>
                <w:sz w:val="20"/>
              </w:rPr>
              <w:t>2004,</w:t>
            </w:r>
            <w:r w:rsidRPr="00150EDC">
              <w:rPr>
                <w:spacing w:val="-6"/>
                <w:sz w:val="20"/>
              </w:rPr>
              <w:t xml:space="preserve"> </w:t>
            </w:r>
            <w:r w:rsidRPr="00150EDC">
              <w:rPr>
                <w:spacing w:val="-5"/>
                <w:sz w:val="20"/>
              </w:rPr>
              <w:t>s5</w:t>
            </w:r>
          </w:p>
        </w:tc>
        <w:tc>
          <w:tcPr>
            <w:tcW w:w="7427" w:type="dxa"/>
          </w:tcPr>
          <w:p w14:paraId="289AC2A3" w14:textId="77777777" w:rsidR="004C7180" w:rsidRPr="00150EDC" w:rsidRDefault="00CF0754">
            <w:pPr>
              <w:pStyle w:val="TableParagraph"/>
              <w:rPr>
                <w:sz w:val="20"/>
              </w:rPr>
            </w:pPr>
            <w:r w:rsidRPr="00150EDC">
              <w:rPr>
                <w:sz w:val="20"/>
              </w:rPr>
              <w:t>Causing</w:t>
            </w:r>
            <w:r w:rsidRPr="00150EDC">
              <w:rPr>
                <w:spacing w:val="-5"/>
                <w:sz w:val="20"/>
              </w:rPr>
              <w:t xml:space="preserve"> </w:t>
            </w:r>
            <w:r w:rsidRPr="00150EDC">
              <w:rPr>
                <w:sz w:val="20"/>
              </w:rPr>
              <w:t>or allowing</w:t>
            </w:r>
            <w:r w:rsidRPr="00150EDC">
              <w:rPr>
                <w:spacing w:val="-5"/>
                <w:sz w:val="20"/>
              </w:rPr>
              <w:t xml:space="preserve"> </w:t>
            </w:r>
            <w:r w:rsidRPr="00150EDC">
              <w:rPr>
                <w:sz w:val="20"/>
              </w:rPr>
              <w:t>the</w:t>
            </w:r>
            <w:r w:rsidRPr="00150EDC">
              <w:rPr>
                <w:spacing w:val="-5"/>
                <w:sz w:val="20"/>
              </w:rPr>
              <w:t xml:space="preserve"> </w:t>
            </w:r>
            <w:r w:rsidRPr="00150EDC">
              <w:rPr>
                <w:sz w:val="20"/>
              </w:rPr>
              <w:t>death</w:t>
            </w:r>
            <w:r w:rsidRPr="00150EDC">
              <w:rPr>
                <w:spacing w:val="-5"/>
                <w:sz w:val="20"/>
              </w:rPr>
              <w:t xml:space="preserve"> </w:t>
            </w:r>
            <w:r w:rsidRPr="00150EDC">
              <w:rPr>
                <w:sz w:val="20"/>
              </w:rPr>
              <w:t>of</w:t>
            </w:r>
            <w:r w:rsidRPr="00150EDC">
              <w:rPr>
                <w:spacing w:val="1"/>
                <w:sz w:val="20"/>
              </w:rPr>
              <w:t xml:space="preserve"> </w:t>
            </w:r>
            <w:r w:rsidRPr="00150EDC">
              <w:rPr>
                <w:sz w:val="20"/>
              </w:rPr>
              <w:t>a</w:t>
            </w:r>
            <w:r w:rsidRPr="00150EDC">
              <w:rPr>
                <w:spacing w:val="-5"/>
                <w:sz w:val="20"/>
              </w:rPr>
              <w:t xml:space="preserve"> </w:t>
            </w:r>
            <w:r w:rsidRPr="00150EDC">
              <w:rPr>
                <w:sz w:val="20"/>
              </w:rPr>
              <w:t>child or</w:t>
            </w:r>
            <w:r w:rsidRPr="00150EDC">
              <w:rPr>
                <w:spacing w:val="-5"/>
                <w:sz w:val="20"/>
              </w:rPr>
              <w:t xml:space="preserve"> </w:t>
            </w:r>
            <w:r w:rsidRPr="00150EDC">
              <w:rPr>
                <w:sz w:val="20"/>
              </w:rPr>
              <w:t>vulnerable</w:t>
            </w:r>
            <w:r w:rsidRPr="00150EDC">
              <w:rPr>
                <w:spacing w:val="-5"/>
                <w:sz w:val="20"/>
              </w:rPr>
              <w:t xml:space="preserve"> </w:t>
            </w:r>
            <w:r w:rsidRPr="00150EDC">
              <w:rPr>
                <w:spacing w:val="-2"/>
                <w:sz w:val="20"/>
              </w:rPr>
              <w:t>adult</w:t>
            </w:r>
          </w:p>
        </w:tc>
      </w:tr>
      <w:tr w:rsidR="004569EE" w:rsidRPr="007D3144" w14:paraId="213BFDC7" w14:textId="77777777">
        <w:trPr>
          <w:trHeight w:val="255"/>
        </w:trPr>
        <w:tc>
          <w:tcPr>
            <w:tcW w:w="6517" w:type="dxa"/>
          </w:tcPr>
          <w:p w14:paraId="5E0BA859" w14:textId="77777777" w:rsidR="004C7180" w:rsidRPr="00150EDC" w:rsidRDefault="00CF0754">
            <w:pPr>
              <w:pStyle w:val="TableParagraph"/>
              <w:spacing w:before="28"/>
              <w:rPr>
                <w:sz w:val="20"/>
              </w:rPr>
            </w:pPr>
            <w:r w:rsidRPr="00150EDC">
              <w:rPr>
                <w:sz w:val="20"/>
              </w:rPr>
              <w:t>Drug</w:t>
            </w:r>
            <w:r w:rsidRPr="00150EDC">
              <w:rPr>
                <w:spacing w:val="-10"/>
                <w:sz w:val="20"/>
              </w:rPr>
              <w:t xml:space="preserve"> </w:t>
            </w:r>
            <w:r w:rsidRPr="00150EDC">
              <w:rPr>
                <w:sz w:val="20"/>
              </w:rPr>
              <w:t>Trafficking</w:t>
            </w:r>
            <w:r w:rsidRPr="00150EDC">
              <w:rPr>
                <w:spacing w:val="-3"/>
                <w:sz w:val="20"/>
              </w:rPr>
              <w:t xml:space="preserve"> </w:t>
            </w:r>
            <w:r w:rsidRPr="00150EDC">
              <w:rPr>
                <w:sz w:val="20"/>
              </w:rPr>
              <w:t>(Bailiwick</w:t>
            </w:r>
            <w:r w:rsidRPr="00150EDC">
              <w:rPr>
                <w:spacing w:val="-6"/>
                <w:sz w:val="20"/>
              </w:rPr>
              <w:t xml:space="preserve"> </w:t>
            </w:r>
            <w:r w:rsidRPr="00150EDC">
              <w:rPr>
                <w:sz w:val="20"/>
              </w:rPr>
              <w:t>of</w:t>
            </w:r>
            <w:r w:rsidRPr="00150EDC">
              <w:rPr>
                <w:spacing w:val="-8"/>
                <w:sz w:val="20"/>
              </w:rPr>
              <w:t xml:space="preserve"> </w:t>
            </w:r>
            <w:r w:rsidRPr="00150EDC">
              <w:rPr>
                <w:sz w:val="20"/>
              </w:rPr>
              <w:t>Guernsey)</w:t>
            </w:r>
            <w:r w:rsidRPr="00150EDC">
              <w:rPr>
                <w:spacing w:val="-3"/>
                <w:sz w:val="20"/>
              </w:rPr>
              <w:t xml:space="preserve"> </w:t>
            </w:r>
            <w:r w:rsidRPr="00150EDC">
              <w:rPr>
                <w:sz w:val="20"/>
              </w:rPr>
              <w:t>Law</w:t>
            </w:r>
            <w:r w:rsidRPr="00150EDC">
              <w:rPr>
                <w:spacing w:val="-5"/>
                <w:sz w:val="20"/>
              </w:rPr>
              <w:t xml:space="preserve"> </w:t>
            </w:r>
            <w:r w:rsidRPr="00150EDC">
              <w:rPr>
                <w:sz w:val="20"/>
              </w:rPr>
              <w:t>2000,</w:t>
            </w:r>
            <w:r w:rsidRPr="00150EDC">
              <w:rPr>
                <w:spacing w:val="-7"/>
                <w:sz w:val="20"/>
              </w:rPr>
              <w:t xml:space="preserve"> </w:t>
            </w:r>
            <w:r w:rsidRPr="00150EDC">
              <w:rPr>
                <w:spacing w:val="-2"/>
                <w:sz w:val="20"/>
              </w:rPr>
              <w:t>s38(1)(b)</w:t>
            </w:r>
          </w:p>
        </w:tc>
        <w:tc>
          <w:tcPr>
            <w:tcW w:w="7427" w:type="dxa"/>
          </w:tcPr>
          <w:p w14:paraId="00463A6C" w14:textId="77777777" w:rsidR="004C7180" w:rsidRPr="00150EDC" w:rsidRDefault="00CF0754">
            <w:pPr>
              <w:pStyle w:val="TableParagraph"/>
              <w:spacing w:before="28"/>
              <w:rPr>
                <w:sz w:val="20"/>
              </w:rPr>
            </w:pPr>
            <w:r w:rsidRPr="00150EDC">
              <w:rPr>
                <w:sz w:val="20"/>
              </w:rPr>
              <w:t>Supplying</w:t>
            </w:r>
            <w:r w:rsidRPr="00150EDC">
              <w:rPr>
                <w:spacing w:val="-5"/>
                <w:sz w:val="20"/>
              </w:rPr>
              <w:t xml:space="preserve"> </w:t>
            </w:r>
            <w:r w:rsidRPr="00150EDC">
              <w:rPr>
                <w:sz w:val="20"/>
              </w:rPr>
              <w:t>a</w:t>
            </w:r>
            <w:r w:rsidRPr="00150EDC">
              <w:rPr>
                <w:spacing w:val="-5"/>
                <w:sz w:val="20"/>
              </w:rPr>
              <w:t xml:space="preserve"> </w:t>
            </w:r>
            <w:r w:rsidRPr="00150EDC">
              <w:rPr>
                <w:sz w:val="20"/>
              </w:rPr>
              <w:t>scheduled</w:t>
            </w:r>
            <w:r w:rsidRPr="00150EDC">
              <w:rPr>
                <w:spacing w:val="-5"/>
                <w:sz w:val="20"/>
              </w:rPr>
              <w:t xml:space="preserve"> </w:t>
            </w:r>
            <w:r w:rsidRPr="00150EDC">
              <w:rPr>
                <w:sz w:val="20"/>
              </w:rPr>
              <w:t>substance</w:t>
            </w:r>
            <w:r w:rsidRPr="00150EDC">
              <w:rPr>
                <w:spacing w:val="-5"/>
                <w:sz w:val="20"/>
              </w:rPr>
              <w:t xml:space="preserve"> </w:t>
            </w:r>
            <w:r w:rsidRPr="00150EDC">
              <w:rPr>
                <w:sz w:val="20"/>
              </w:rPr>
              <w:t>to a</w:t>
            </w:r>
            <w:r w:rsidRPr="00150EDC">
              <w:rPr>
                <w:spacing w:val="-5"/>
                <w:sz w:val="20"/>
              </w:rPr>
              <w:t xml:space="preserve"> </w:t>
            </w:r>
            <w:r w:rsidRPr="00150EDC">
              <w:rPr>
                <w:sz w:val="20"/>
              </w:rPr>
              <w:t>child (under</w:t>
            </w:r>
            <w:r w:rsidRPr="00150EDC">
              <w:rPr>
                <w:spacing w:val="-4"/>
                <w:sz w:val="20"/>
              </w:rPr>
              <w:t xml:space="preserve"> </w:t>
            </w:r>
            <w:r w:rsidRPr="00150EDC">
              <w:rPr>
                <w:spacing w:val="-5"/>
                <w:sz w:val="20"/>
              </w:rPr>
              <w:t>16)</w:t>
            </w:r>
          </w:p>
        </w:tc>
      </w:tr>
    </w:tbl>
    <w:p w14:paraId="15838C25" w14:textId="77777777" w:rsidR="004C7180" w:rsidRPr="00150EDC" w:rsidRDefault="004C7180">
      <w:pPr>
        <w:rPr>
          <w:sz w:val="20"/>
        </w:rPr>
        <w:sectPr w:rsidR="004C7180" w:rsidRPr="00150EDC">
          <w:footerReference w:type="default" r:id="rId131"/>
          <w:pgSz w:w="16840" w:h="11910" w:orient="landscape"/>
          <w:pgMar w:top="1340" w:right="1320" w:bottom="280" w:left="1340" w:header="0" w:footer="0" w:gutter="0"/>
          <w:cols w:space="720"/>
        </w:sectPr>
      </w:pPr>
    </w:p>
    <w:p w14:paraId="72A428ED" w14:textId="77777777" w:rsidR="004C7180" w:rsidRPr="00150EDC" w:rsidRDefault="004C7180">
      <w:pPr>
        <w:pStyle w:val="BodyText"/>
        <w:spacing w:before="3"/>
        <w:rPr>
          <w:sz w:val="8"/>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517"/>
        <w:gridCol w:w="7427"/>
      </w:tblGrid>
      <w:tr w:rsidR="004569EE" w:rsidRPr="007D3144" w14:paraId="64DBCFFA" w14:textId="77777777">
        <w:trPr>
          <w:trHeight w:val="254"/>
        </w:trPr>
        <w:tc>
          <w:tcPr>
            <w:tcW w:w="6517" w:type="dxa"/>
          </w:tcPr>
          <w:p w14:paraId="1EC302DD" w14:textId="77777777" w:rsidR="004C7180" w:rsidRPr="00150EDC" w:rsidRDefault="00CF0754">
            <w:pPr>
              <w:pStyle w:val="TableParagraph"/>
              <w:rPr>
                <w:sz w:val="20"/>
              </w:rPr>
            </w:pPr>
            <w:r w:rsidRPr="00150EDC">
              <w:rPr>
                <w:sz w:val="20"/>
              </w:rPr>
              <w:t>Explosive</w:t>
            </w:r>
            <w:r w:rsidRPr="00150EDC">
              <w:rPr>
                <w:spacing w:val="-8"/>
                <w:sz w:val="20"/>
              </w:rPr>
              <w:t xml:space="preserve"> </w:t>
            </w:r>
            <w:r w:rsidRPr="00150EDC">
              <w:rPr>
                <w:sz w:val="20"/>
              </w:rPr>
              <w:t>Substances</w:t>
            </w:r>
            <w:r w:rsidRPr="00150EDC">
              <w:rPr>
                <w:spacing w:val="-1"/>
                <w:sz w:val="20"/>
              </w:rPr>
              <w:t xml:space="preserve"> </w:t>
            </w:r>
            <w:r w:rsidRPr="00150EDC">
              <w:rPr>
                <w:sz w:val="20"/>
              </w:rPr>
              <w:t>(Jersey)</w:t>
            </w:r>
            <w:r w:rsidRPr="00150EDC">
              <w:rPr>
                <w:spacing w:val="-7"/>
                <w:sz w:val="20"/>
              </w:rPr>
              <w:t xml:space="preserve"> </w:t>
            </w:r>
            <w:r w:rsidRPr="00150EDC">
              <w:rPr>
                <w:sz w:val="20"/>
              </w:rPr>
              <w:t>Law</w:t>
            </w:r>
            <w:r w:rsidRPr="00150EDC">
              <w:rPr>
                <w:spacing w:val="-6"/>
                <w:sz w:val="20"/>
              </w:rPr>
              <w:t xml:space="preserve"> </w:t>
            </w:r>
            <w:r w:rsidRPr="00150EDC">
              <w:rPr>
                <w:sz w:val="20"/>
              </w:rPr>
              <w:t>1884,</w:t>
            </w:r>
            <w:r w:rsidRPr="00150EDC">
              <w:rPr>
                <w:spacing w:val="-7"/>
                <w:sz w:val="20"/>
              </w:rPr>
              <w:t xml:space="preserve"> </w:t>
            </w:r>
            <w:r w:rsidRPr="00150EDC">
              <w:rPr>
                <w:sz w:val="20"/>
              </w:rPr>
              <w:t>Art</w:t>
            </w:r>
            <w:r w:rsidRPr="00150EDC">
              <w:rPr>
                <w:spacing w:val="-7"/>
                <w:sz w:val="20"/>
              </w:rPr>
              <w:t xml:space="preserve"> </w:t>
            </w:r>
            <w:r w:rsidRPr="00150EDC">
              <w:rPr>
                <w:spacing w:val="-10"/>
                <w:sz w:val="20"/>
              </w:rPr>
              <w:t>2</w:t>
            </w:r>
          </w:p>
        </w:tc>
        <w:tc>
          <w:tcPr>
            <w:tcW w:w="7427" w:type="dxa"/>
          </w:tcPr>
          <w:p w14:paraId="3A518804" w14:textId="77777777" w:rsidR="004C7180" w:rsidRPr="00150EDC" w:rsidRDefault="00CF0754">
            <w:pPr>
              <w:pStyle w:val="TableParagraph"/>
              <w:rPr>
                <w:sz w:val="20"/>
              </w:rPr>
            </w:pPr>
            <w:r w:rsidRPr="00150EDC">
              <w:rPr>
                <w:sz w:val="20"/>
              </w:rPr>
              <w:t>Causing</w:t>
            </w:r>
            <w:r w:rsidRPr="00150EDC">
              <w:rPr>
                <w:spacing w:val="-7"/>
                <w:sz w:val="20"/>
              </w:rPr>
              <w:t xml:space="preserve"> </w:t>
            </w:r>
            <w:r w:rsidRPr="00150EDC">
              <w:rPr>
                <w:sz w:val="20"/>
              </w:rPr>
              <w:t>an</w:t>
            </w:r>
            <w:r w:rsidRPr="00150EDC">
              <w:rPr>
                <w:spacing w:val="-1"/>
                <w:sz w:val="20"/>
              </w:rPr>
              <w:t xml:space="preserve"> </w:t>
            </w:r>
            <w:r w:rsidRPr="00150EDC">
              <w:rPr>
                <w:sz w:val="20"/>
              </w:rPr>
              <w:t>explosion</w:t>
            </w:r>
            <w:r w:rsidRPr="00150EDC">
              <w:rPr>
                <w:spacing w:val="-2"/>
                <w:sz w:val="20"/>
              </w:rPr>
              <w:t xml:space="preserve"> </w:t>
            </w:r>
            <w:r w:rsidRPr="00150EDC">
              <w:rPr>
                <w:sz w:val="20"/>
              </w:rPr>
              <w:t>likely</w:t>
            </w:r>
            <w:r w:rsidRPr="00150EDC">
              <w:rPr>
                <w:spacing w:val="-5"/>
                <w:sz w:val="20"/>
              </w:rPr>
              <w:t xml:space="preserve"> </w:t>
            </w:r>
            <w:r w:rsidRPr="00150EDC">
              <w:rPr>
                <w:sz w:val="20"/>
              </w:rPr>
              <w:t>to</w:t>
            </w:r>
            <w:r w:rsidRPr="00150EDC">
              <w:rPr>
                <w:spacing w:val="-6"/>
                <w:sz w:val="20"/>
              </w:rPr>
              <w:t xml:space="preserve"> </w:t>
            </w:r>
            <w:r w:rsidRPr="00150EDC">
              <w:rPr>
                <w:sz w:val="20"/>
              </w:rPr>
              <w:t>endanger</w:t>
            </w:r>
            <w:r w:rsidRPr="00150EDC">
              <w:rPr>
                <w:spacing w:val="-6"/>
                <w:sz w:val="20"/>
              </w:rPr>
              <w:t xml:space="preserve"> </w:t>
            </w:r>
            <w:r w:rsidRPr="00150EDC">
              <w:rPr>
                <w:sz w:val="20"/>
              </w:rPr>
              <w:t>life</w:t>
            </w:r>
            <w:r w:rsidRPr="00150EDC">
              <w:rPr>
                <w:spacing w:val="-3"/>
                <w:sz w:val="20"/>
              </w:rPr>
              <w:t xml:space="preserve"> </w:t>
            </w:r>
            <w:r w:rsidRPr="00150EDC">
              <w:rPr>
                <w:sz w:val="20"/>
              </w:rPr>
              <w:t>or</w:t>
            </w:r>
            <w:r w:rsidRPr="00150EDC">
              <w:rPr>
                <w:spacing w:val="-6"/>
                <w:sz w:val="20"/>
              </w:rPr>
              <w:t xml:space="preserve"> </w:t>
            </w:r>
            <w:r w:rsidRPr="00150EDC">
              <w:rPr>
                <w:spacing w:val="-2"/>
                <w:sz w:val="20"/>
              </w:rPr>
              <w:t>property</w:t>
            </w:r>
          </w:p>
        </w:tc>
      </w:tr>
      <w:tr w:rsidR="004569EE" w:rsidRPr="007D3144" w14:paraId="6298CD72" w14:textId="77777777">
        <w:trPr>
          <w:trHeight w:val="255"/>
        </w:trPr>
        <w:tc>
          <w:tcPr>
            <w:tcW w:w="6517" w:type="dxa"/>
          </w:tcPr>
          <w:p w14:paraId="5FC69172" w14:textId="77777777" w:rsidR="004C7180" w:rsidRPr="00150EDC" w:rsidRDefault="00CF0754">
            <w:pPr>
              <w:pStyle w:val="TableParagraph"/>
              <w:spacing w:before="28"/>
              <w:rPr>
                <w:sz w:val="20"/>
              </w:rPr>
            </w:pPr>
            <w:r w:rsidRPr="00150EDC">
              <w:rPr>
                <w:sz w:val="20"/>
              </w:rPr>
              <w:t>Explosive</w:t>
            </w:r>
            <w:r w:rsidRPr="00150EDC">
              <w:rPr>
                <w:spacing w:val="-8"/>
                <w:sz w:val="20"/>
              </w:rPr>
              <w:t xml:space="preserve"> </w:t>
            </w:r>
            <w:r w:rsidRPr="00150EDC">
              <w:rPr>
                <w:sz w:val="20"/>
              </w:rPr>
              <w:t>Substances</w:t>
            </w:r>
            <w:r w:rsidRPr="00150EDC">
              <w:rPr>
                <w:spacing w:val="-1"/>
                <w:sz w:val="20"/>
              </w:rPr>
              <w:t xml:space="preserve"> </w:t>
            </w:r>
            <w:r w:rsidRPr="00150EDC">
              <w:rPr>
                <w:sz w:val="20"/>
              </w:rPr>
              <w:t>(Jersey)</w:t>
            </w:r>
            <w:r w:rsidRPr="00150EDC">
              <w:rPr>
                <w:spacing w:val="-7"/>
                <w:sz w:val="20"/>
              </w:rPr>
              <w:t xml:space="preserve"> </w:t>
            </w:r>
            <w:r w:rsidRPr="00150EDC">
              <w:rPr>
                <w:sz w:val="20"/>
              </w:rPr>
              <w:t>Law</w:t>
            </w:r>
            <w:r w:rsidRPr="00150EDC">
              <w:rPr>
                <w:spacing w:val="-6"/>
                <w:sz w:val="20"/>
              </w:rPr>
              <w:t xml:space="preserve"> </w:t>
            </w:r>
            <w:r w:rsidRPr="00150EDC">
              <w:rPr>
                <w:sz w:val="20"/>
              </w:rPr>
              <w:t>1884,</w:t>
            </w:r>
            <w:r w:rsidRPr="00150EDC">
              <w:rPr>
                <w:spacing w:val="-7"/>
                <w:sz w:val="20"/>
              </w:rPr>
              <w:t xml:space="preserve"> </w:t>
            </w:r>
            <w:r w:rsidRPr="00150EDC">
              <w:rPr>
                <w:sz w:val="20"/>
              </w:rPr>
              <w:t>Art</w:t>
            </w:r>
            <w:r w:rsidRPr="00150EDC">
              <w:rPr>
                <w:spacing w:val="-7"/>
                <w:sz w:val="20"/>
              </w:rPr>
              <w:t xml:space="preserve"> </w:t>
            </w:r>
            <w:r w:rsidRPr="00150EDC">
              <w:rPr>
                <w:spacing w:val="-10"/>
                <w:sz w:val="20"/>
              </w:rPr>
              <w:t>3</w:t>
            </w:r>
          </w:p>
        </w:tc>
        <w:tc>
          <w:tcPr>
            <w:tcW w:w="7427" w:type="dxa"/>
          </w:tcPr>
          <w:p w14:paraId="5FC6A445" w14:textId="77777777" w:rsidR="004C7180" w:rsidRPr="00150EDC" w:rsidRDefault="00CF0754">
            <w:pPr>
              <w:pStyle w:val="TableParagraph"/>
              <w:spacing w:before="28"/>
              <w:rPr>
                <w:sz w:val="20"/>
              </w:rPr>
            </w:pPr>
            <w:r w:rsidRPr="00150EDC">
              <w:rPr>
                <w:sz w:val="20"/>
              </w:rPr>
              <w:t>Commit</w:t>
            </w:r>
            <w:r w:rsidRPr="00150EDC">
              <w:rPr>
                <w:spacing w:val="-4"/>
                <w:sz w:val="20"/>
              </w:rPr>
              <w:t xml:space="preserve"> </w:t>
            </w:r>
            <w:r w:rsidRPr="00150EDC">
              <w:rPr>
                <w:sz w:val="20"/>
              </w:rPr>
              <w:t>act</w:t>
            </w:r>
            <w:r w:rsidRPr="00150EDC">
              <w:rPr>
                <w:spacing w:val="-4"/>
                <w:sz w:val="20"/>
              </w:rPr>
              <w:t xml:space="preserve"> </w:t>
            </w:r>
            <w:r w:rsidRPr="00150EDC">
              <w:rPr>
                <w:sz w:val="20"/>
              </w:rPr>
              <w:t>involving</w:t>
            </w:r>
            <w:r w:rsidRPr="00150EDC">
              <w:rPr>
                <w:spacing w:val="-5"/>
                <w:sz w:val="20"/>
              </w:rPr>
              <w:t xml:space="preserve"> </w:t>
            </w:r>
            <w:r w:rsidRPr="00150EDC">
              <w:rPr>
                <w:sz w:val="20"/>
              </w:rPr>
              <w:t>explosive</w:t>
            </w:r>
            <w:r w:rsidRPr="00150EDC">
              <w:rPr>
                <w:spacing w:val="-4"/>
                <w:sz w:val="20"/>
              </w:rPr>
              <w:t xml:space="preserve"> </w:t>
            </w:r>
            <w:r w:rsidRPr="00150EDC">
              <w:rPr>
                <w:sz w:val="20"/>
              </w:rPr>
              <w:t>substance</w:t>
            </w:r>
            <w:r w:rsidRPr="00150EDC">
              <w:rPr>
                <w:spacing w:val="-5"/>
                <w:sz w:val="20"/>
              </w:rPr>
              <w:t xml:space="preserve"> </w:t>
            </w:r>
            <w:r w:rsidRPr="00150EDC">
              <w:rPr>
                <w:sz w:val="20"/>
              </w:rPr>
              <w:t>with</w:t>
            </w:r>
            <w:r w:rsidRPr="00150EDC">
              <w:rPr>
                <w:spacing w:val="-5"/>
                <w:sz w:val="20"/>
              </w:rPr>
              <w:t xml:space="preserve"> </w:t>
            </w:r>
            <w:r w:rsidRPr="00150EDC">
              <w:rPr>
                <w:sz w:val="20"/>
              </w:rPr>
              <w:t>intent</w:t>
            </w:r>
            <w:r w:rsidRPr="00150EDC">
              <w:rPr>
                <w:spacing w:val="-4"/>
                <w:sz w:val="20"/>
              </w:rPr>
              <w:t xml:space="preserve"> </w:t>
            </w:r>
            <w:r w:rsidRPr="00150EDC">
              <w:rPr>
                <w:sz w:val="20"/>
              </w:rPr>
              <w:t>to</w:t>
            </w:r>
            <w:r w:rsidRPr="00150EDC">
              <w:rPr>
                <w:spacing w:val="-5"/>
                <w:sz w:val="20"/>
              </w:rPr>
              <w:t xml:space="preserve"> </w:t>
            </w:r>
            <w:r w:rsidRPr="00150EDC">
              <w:rPr>
                <w:sz w:val="20"/>
              </w:rPr>
              <w:t>endanger</w:t>
            </w:r>
            <w:r w:rsidRPr="00150EDC">
              <w:rPr>
                <w:spacing w:val="-5"/>
                <w:sz w:val="20"/>
              </w:rPr>
              <w:t xml:space="preserve"> </w:t>
            </w:r>
            <w:r w:rsidRPr="00150EDC">
              <w:rPr>
                <w:sz w:val="20"/>
              </w:rPr>
              <w:t>life</w:t>
            </w:r>
            <w:r w:rsidRPr="00150EDC">
              <w:rPr>
                <w:spacing w:val="-4"/>
                <w:sz w:val="20"/>
              </w:rPr>
              <w:t xml:space="preserve"> </w:t>
            </w:r>
            <w:r w:rsidRPr="00150EDC">
              <w:rPr>
                <w:sz w:val="20"/>
              </w:rPr>
              <w:t>or</w:t>
            </w:r>
            <w:r w:rsidRPr="00150EDC">
              <w:rPr>
                <w:spacing w:val="-5"/>
                <w:sz w:val="20"/>
              </w:rPr>
              <w:t xml:space="preserve"> </w:t>
            </w:r>
            <w:r w:rsidRPr="00150EDC">
              <w:rPr>
                <w:spacing w:val="-2"/>
                <w:sz w:val="20"/>
              </w:rPr>
              <w:t>property</w:t>
            </w:r>
          </w:p>
        </w:tc>
      </w:tr>
      <w:tr w:rsidR="004569EE" w:rsidRPr="007D3144" w14:paraId="40320B3F" w14:textId="77777777">
        <w:trPr>
          <w:trHeight w:val="255"/>
        </w:trPr>
        <w:tc>
          <w:tcPr>
            <w:tcW w:w="6517" w:type="dxa"/>
          </w:tcPr>
          <w:p w14:paraId="1B0E7B36" w14:textId="77777777" w:rsidR="004C7180" w:rsidRPr="00150EDC" w:rsidRDefault="00CF0754">
            <w:pPr>
              <w:pStyle w:val="TableParagraph"/>
              <w:rPr>
                <w:sz w:val="20"/>
              </w:rPr>
            </w:pPr>
            <w:r w:rsidRPr="00150EDC">
              <w:rPr>
                <w:sz w:val="20"/>
              </w:rPr>
              <w:t>Explosive</w:t>
            </w:r>
            <w:r w:rsidRPr="00150EDC">
              <w:rPr>
                <w:spacing w:val="-7"/>
                <w:sz w:val="20"/>
              </w:rPr>
              <w:t xml:space="preserve"> </w:t>
            </w:r>
            <w:r w:rsidRPr="00150EDC">
              <w:rPr>
                <w:sz w:val="20"/>
              </w:rPr>
              <w:t>Substances</w:t>
            </w:r>
            <w:r w:rsidRPr="00150EDC">
              <w:rPr>
                <w:spacing w:val="-2"/>
                <w:sz w:val="20"/>
              </w:rPr>
              <w:t xml:space="preserve"> </w:t>
            </w:r>
            <w:r w:rsidRPr="00150EDC">
              <w:rPr>
                <w:sz w:val="20"/>
              </w:rPr>
              <w:t>(Jersey)</w:t>
            </w:r>
            <w:r w:rsidRPr="00150EDC">
              <w:rPr>
                <w:spacing w:val="-7"/>
                <w:sz w:val="20"/>
              </w:rPr>
              <w:t xml:space="preserve"> </w:t>
            </w:r>
            <w:r w:rsidRPr="00150EDC">
              <w:rPr>
                <w:sz w:val="20"/>
              </w:rPr>
              <w:t>Law</w:t>
            </w:r>
            <w:r w:rsidRPr="00150EDC">
              <w:rPr>
                <w:spacing w:val="-5"/>
                <w:sz w:val="20"/>
              </w:rPr>
              <w:t xml:space="preserve"> </w:t>
            </w:r>
            <w:r w:rsidRPr="00150EDC">
              <w:rPr>
                <w:sz w:val="20"/>
              </w:rPr>
              <w:t>1884,</w:t>
            </w:r>
            <w:r w:rsidRPr="00150EDC">
              <w:rPr>
                <w:spacing w:val="-7"/>
                <w:sz w:val="20"/>
              </w:rPr>
              <w:t xml:space="preserve"> </w:t>
            </w:r>
            <w:r w:rsidRPr="00150EDC">
              <w:rPr>
                <w:sz w:val="20"/>
              </w:rPr>
              <w:t>Art</w:t>
            </w:r>
            <w:r w:rsidRPr="00150EDC">
              <w:rPr>
                <w:spacing w:val="-7"/>
                <w:sz w:val="20"/>
              </w:rPr>
              <w:t xml:space="preserve"> </w:t>
            </w:r>
            <w:r w:rsidRPr="00150EDC">
              <w:rPr>
                <w:spacing w:val="-10"/>
                <w:sz w:val="20"/>
              </w:rPr>
              <w:t>4</w:t>
            </w:r>
          </w:p>
        </w:tc>
        <w:tc>
          <w:tcPr>
            <w:tcW w:w="7427" w:type="dxa"/>
          </w:tcPr>
          <w:p w14:paraId="15999692" w14:textId="77777777" w:rsidR="004C7180" w:rsidRPr="00150EDC" w:rsidRDefault="00CF0754">
            <w:pPr>
              <w:pStyle w:val="TableParagraph"/>
              <w:rPr>
                <w:sz w:val="20"/>
              </w:rPr>
            </w:pPr>
            <w:r w:rsidRPr="00150EDC">
              <w:rPr>
                <w:sz w:val="20"/>
              </w:rPr>
              <w:t>Making</w:t>
            </w:r>
            <w:r w:rsidRPr="00150EDC">
              <w:rPr>
                <w:spacing w:val="-12"/>
                <w:sz w:val="20"/>
              </w:rPr>
              <w:t xml:space="preserve"> </w:t>
            </w:r>
            <w:r w:rsidRPr="00150EDC">
              <w:rPr>
                <w:sz w:val="20"/>
              </w:rPr>
              <w:t>or</w:t>
            </w:r>
            <w:r w:rsidRPr="00150EDC">
              <w:rPr>
                <w:spacing w:val="-12"/>
                <w:sz w:val="20"/>
              </w:rPr>
              <w:t xml:space="preserve"> </w:t>
            </w:r>
            <w:r w:rsidRPr="00150EDC">
              <w:rPr>
                <w:sz w:val="20"/>
              </w:rPr>
              <w:t>possessing</w:t>
            </w:r>
            <w:r w:rsidRPr="00150EDC">
              <w:rPr>
                <w:spacing w:val="-11"/>
                <w:sz w:val="20"/>
              </w:rPr>
              <w:t xml:space="preserve"> </w:t>
            </w:r>
            <w:r w:rsidRPr="00150EDC">
              <w:rPr>
                <w:sz w:val="20"/>
              </w:rPr>
              <w:t>explosives</w:t>
            </w:r>
            <w:r w:rsidRPr="00150EDC">
              <w:rPr>
                <w:spacing w:val="-11"/>
                <w:sz w:val="20"/>
              </w:rPr>
              <w:t xml:space="preserve"> </w:t>
            </w:r>
            <w:r w:rsidRPr="00150EDC">
              <w:rPr>
                <w:sz w:val="20"/>
              </w:rPr>
              <w:t>for</w:t>
            </w:r>
            <w:r w:rsidRPr="00150EDC">
              <w:rPr>
                <w:spacing w:val="-11"/>
                <w:sz w:val="20"/>
              </w:rPr>
              <w:t xml:space="preserve"> </w:t>
            </w:r>
            <w:r w:rsidRPr="00150EDC">
              <w:rPr>
                <w:sz w:val="20"/>
              </w:rPr>
              <w:t>an</w:t>
            </w:r>
            <w:r w:rsidRPr="00150EDC">
              <w:rPr>
                <w:spacing w:val="-12"/>
                <w:sz w:val="20"/>
              </w:rPr>
              <w:t xml:space="preserve"> </w:t>
            </w:r>
            <w:r w:rsidRPr="00150EDC">
              <w:rPr>
                <w:sz w:val="20"/>
              </w:rPr>
              <w:t>unlawful</w:t>
            </w:r>
            <w:r w:rsidRPr="00150EDC">
              <w:rPr>
                <w:spacing w:val="-10"/>
                <w:sz w:val="20"/>
              </w:rPr>
              <w:t xml:space="preserve"> </w:t>
            </w:r>
            <w:r w:rsidRPr="00150EDC">
              <w:rPr>
                <w:spacing w:val="-2"/>
                <w:sz w:val="20"/>
              </w:rPr>
              <w:t>purpose</w:t>
            </w:r>
          </w:p>
        </w:tc>
      </w:tr>
      <w:tr w:rsidR="004569EE" w:rsidRPr="007D3144" w14:paraId="68805482" w14:textId="77777777">
        <w:trPr>
          <w:trHeight w:val="255"/>
        </w:trPr>
        <w:tc>
          <w:tcPr>
            <w:tcW w:w="6517" w:type="dxa"/>
          </w:tcPr>
          <w:p w14:paraId="5AE6502B" w14:textId="77777777" w:rsidR="004C7180" w:rsidRPr="00150EDC" w:rsidRDefault="00CF0754">
            <w:pPr>
              <w:pStyle w:val="TableParagraph"/>
              <w:rPr>
                <w:sz w:val="20"/>
              </w:rPr>
            </w:pPr>
            <w:r w:rsidRPr="00150EDC">
              <w:rPr>
                <w:sz w:val="20"/>
              </w:rPr>
              <w:t>Explosive</w:t>
            </w:r>
            <w:r w:rsidRPr="00150EDC">
              <w:rPr>
                <w:spacing w:val="-8"/>
                <w:sz w:val="20"/>
              </w:rPr>
              <w:t xml:space="preserve"> </w:t>
            </w:r>
            <w:r w:rsidRPr="00150EDC">
              <w:rPr>
                <w:sz w:val="20"/>
              </w:rPr>
              <w:t>Substances</w:t>
            </w:r>
            <w:r w:rsidRPr="00150EDC">
              <w:rPr>
                <w:spacing w:val="-1"/>
                <w:sz w:val="20"/>
              </w:rPr>
              <w:t xml:space="preserve"> </w:t>
            </w:r>
            <w:r w:rsidRPr="00150EDC">
              <w:rPr>
                <w:sz w:val="20"/>
              </w:rPr>
              <w:t>(Jersey)</w:t>
            </w:r>
            <w:r w:rsidRPr="00150EDC">
              <w:rPr>
                <w:spacing w:val="-7"/>
                <w:sz w:val="20"/>
              </w:rPr>
              <w:t xml:space="preserve"> </w:t>
            </w:r>
            <w:r w:rsidRPr="00150EDC">
              <w:rPr>
                <w:sz w:val="20"/>
              </w:rPr>
              <w:t>Law</w:t>
            </w:r>
            <w:r w:rsidRPr="00150EDC">
              <w:rPr>
                <w:spacing w:val="-6"/>
                <w:sz w:val="20"/>
              </w:rPr>
              <w:t xml:space="preserve"> </w:t>
            </w:r>
            <w:r w:rsidRPr="00150EDC">
              <w:rPr>
                <w:sz w:val="20"/>
              </w:rPr>
              <w:t>1884,</w:t>
            </w:r>
            <w:r w:rsidRPr="00150EDC">
              <w:rPr>
                <w:spacing w:val="-7"/>
                <w:sz w:val="20"/>
              </w:rPr>
              <w:t xml:space="preserve"> </w:t>
            </w:r>
            <w:r w:rsidRPr="00150EDC">
              <w:rPr>
                <w:sz w:val="20"/>
              </w:rPr>
              <w:t>Art</w:t>
            </w:r>
            <w:r w:rsidRPr="00150EDC">
              <w:rPr>
                <w:spacing w:val="-7"/>
                <w:sz w:val="20"/>
              </w:rPr>
              <w:t xml:space="preserve"> </w:t>
            </w:r>
            <w:r w:rsidRPr="00150EDC">
              <w:rPr>
                <w:spacing w:val="-10"/>
                <w:sz w:val="20"/>
              </w:rPr>
              <w:t>6</w:t>
            </w:r>
          </w:p>
        </w:tc>
        <w:tc>
          <w:tcPr>
            <w:tcW w:w="7427" w:type="dxa"/>
          </w:tcPr>
          <w:p w14:paraId="509E6B1F" w14:textId="77777777" w:rsidR="004C7180" w:rsidRPr="00150EDC" w:rsidRDefault="00CF0754">
            <w:pPr>
              <w:pStyle w:val="TableParagraph"/>
              <w:rPr>
                <w:sz w:val="20"/>
              </w:rPr>
            </w:pPr>
            <w:r w:rsidRPr="00150EDC">
              <w:rPr>
                <w:sz w:val="20"/>
              </w:rPr>
              <w:t>Aid</w:t>
            </w:r>
            <w:r w:rsidRPr="00150EDC">
              <w:rPr>
                <w:spacing w:val="-5"/>
                <w:sz w:val="20"/>
              </w:rPr>
              <w:t xml:space="preserve"> </w:t>
            </w:r>
            <w:r w:rsidRPr="00150EDC">
              <w:rPr>
                <w:sz w:val="20"/>
              </w:rPr>
              <w:t>and</w:t>
            </w:r>
            <w:r w:rsidRPr="00150EDC">
              <w:rPr>
                <w:spacing w:val="-6"/>
                <w:sz w:val="20"/>
              </w:rPr>
              <w:t xml:space="preserve"> </w:t>
            </w:r>
            <w:r w:rsidRPr="00150EDC">
              <w:rPr>
                <w:sz w:val="20"/>
              </w:rPr>
              <w:t>abet</w:t>
            </w:r>
            <w:r w:rsidRPr="00150EDC">
              <w:rPr>
                <w:spacing w:val="-5"/>
                <w:sz w:val="20"/>
              </w:rPr>
              <w:t xml:space="preserve"> </w:t>
            </w:r>
            <w:r w:rsidRPr="00150EDC">
              <w:rPr>
                <w:sz w:val="20"/>
              </w:rPr>
              <w:t>an</w:t>
            </w:r>
            <w:r w:rsidRPr="00150EDC">
              <w:rPr>
                <w:spacing w:val="-1"/>
                <w:sz w:val="20"/>
              </w:rPr>
              <w:t xml:space="preserve"> </w:t>
            </w:r>
            <w:r w:rsidRPr="00150EDC">
              <w:rPr>
                <w:sz w:val="20"/>
              </w:rPr>
              <w:t>explosives</w:t>
            </w:r>
            <w:r w:rsidRPr="00150EDC">
              <w:rPr>
                <w:spacing w:val="-4"/>
                <w:sz w:val="20"/>
              </w:rPr>
              <w:t xml:space="preserve"> </w:t>
            </w:r>
            <w:r w:rsidRPr="00150EDC">
              <w:rPr>
                <w:spacing w:val="-2"/>
                <w:sz w:val="20"/>
              </w:rPr>
              <w:t>offence</w:t>
            </w:r>
          </w:p>
        </w:tc>
      </w:tr>
      <w:tr w:rsidR="004569EE" w:rsidRPr="007D3144" w14:paraId="4B794827" w14:textId="77777777">
        <w:trPr>
          <w:trHeight w:val="255"/>
        </w:trPr>
        <w:tc>
          <w:tcPr>
            <w:tcW w:w="6517" w:type="dxa"/>
          </w:tcPr>
          <w:p w14:paraId="1E36EDAC" w14:textId="77777777" w:rsidR="004C7180" w:rsidRPr="00150EDC" w:rsidRDefault="00CF0754">
            <w:pPr>
              <w:pStyle w:val="TableParagraph"/>
              <w:rPr>
                <w:sz w:val="20"/>
              </w:rPr>
            </w:pPr>
            <w:r w:rsidRPr="00150EDC">
              <w:rPr>
                <w:sz w:val="20"/>
              </w:rPr>
              <w:t>Explosive</w:t>
            </w:r>
            <w:r w:rsidRPr="00150EDC">
              <w:rPr>
                <w:spacing w:val="-9"/>
                <w:sz w:val="20"/>
              </w:rPr>
              <w:t xml:space="preserve"> </w:t>
            </w:r>
            <w:r w:rsidRPr="00150EDC">
              <w:rPr>
                <w:sz w:val="20"/>
              </w:rPr>
              <w:t>Substances</w:t>
            </w:r>
            <w:r w:rsidRPr="00150EDC">
              <w:rPr>
                <w:spacing w:val="-9"/>
                <w:sz w:val="20"/>
              </w:rPr>
              <w:t xml:space="preserve"> </w:t>
            </w:r>
            <w:r w:rsidRPr="00150EDC">
              <w:rPr>
                <w:sz w:val="20"/>
              </w:rPr>
              <w:t>Act</w:t>
            </w:r>
            <w:r w:rsidRPr="00150EDC">
              <w:rPr>
                <w:spacing w:val="-4"/>
                <w:sz w:val="20"/>
              </w:rPr>
              <w:t xml:space="preserve"> </w:t>
            </w:r>
            <w:r w:rsidRPr="00150EDC">
              <w:rPr>
                <w:sz w:val="20"/>
              </w:rPr>
              <w:t>1883,</w:t>
            </w:r>
            <w:r w:rsidRPr="00150EDC">
              <w:rPr>
                <w:spacing w:val="-4"/>
                <w:sz w:val="20"/>
              </w:rPr>
              <w:t xml:space="preserve"> </w:t>
            </w:r>
            <w:r w:rsidRPr="00150EDC">
              <w:rPr>
                <w:spacing w:val="-5"/>
                <w:sz w:val="20"/>
              </w:rPr>
              <w:t>s2</w:t>
            </w:r>
          </w:p>
        </w:tc>
        <w:tc>
          <w:tcPr>
            <w:tcW w:w="7427" w:type="dxa"/>
          </w:tcPr>
          <w:p w14:paraId="3C48AF49" w14:textId="77777777" w:rsidR="004C7180" w:rsidRPr="00150EDC" w:rsidRDefault="00CF0754">
            <w:pPr>
              <w:pStyle w:val="TableParagraph"/>
              <w:rPr>
                <w:sz w:val="20"/>
              </w:rPr>
            </w:pPr>
            <w:r w:rsidRPr="00150EDC">
              <w:rPr>
                <w:sz w:val="20"/>
              </w:rPr>
              <w:t>Causing</w:t>
            </w:r>
            <w:r w:rsidRPr="00150EDC">
              <w:rPr>
                <w:spacing w:val="-7"/>
                <w:sz w:val="20"/>
              </w:rPr>
              <w:t xml:space="preserve"> </w:t>
            </w:r>
            <w:r w:rsidRPr="00150EDC">
              <w:rPr>
                <w:sz w:val="20"/>
              </w:rPr>
              <w:t>explosions</w:t>
            </w:r>
            <w:r w:rsidRPr="00150EDC">
              <w:rPr>
                <w:spacing w:val="-5"/>
                <w:sz w:val="20"/>
              </w:rPr>
              <w:t xml:space="preserve"> </w:t>
            </w:r>
            <w:r w:rsidRPr="00150EDC">
              <w:rPr>
                <w:sz w:val="20"/>
              </w:rPr>
              <w:t>likely</w:t>
            </w:r>
            <w:r w:rsidRPr="00150EDC">
              <w:rPr>
                <w:spacing w:val="-4"/>
                <w:sz w:val="20"/>
              </w:rPr>
              <w:t xml:space="preserve"> </w:t>
            </w:r>
            <w:r w:rsidRPr="00150EDC">
              <w:rPr>
                <w:sz w:val="20"/>
              </w:rPr>
              <w:t>to</w:t>
            </w:r>
            <w:r w:rsidRPr="00150EDC">
              <w:rPr>
                <w:spacing w:val="-1"/>
                <w:sz w:val="20"/>
              </w:rPr>
              <w:t xml:space="preserve"> </w:t>
            </w:r>
            <w:r w:rsidRPr="00150EDC">
              <w:rPr>
                <w:sz w:val="20"/>
              </w:rPr>
              <w:t>endanger</w:t>
            </w:r>
            <w:r w:rsidRPr="00150EDC">
              <w:rPr>
                <w:spacing w:val="-6"/>
                <w:sz w:val="20"/>
              </w:rPr>
              <w:t xml:space="preserve"> </w:t>
            </w:r>
            <w:r w:rsidRPr="00150EDC">
              <w:rPr>
                <w:sz w:val="20"/>
              </w:rPr>
              <w:t>life</w:t>
            </w:r>
            <w:r w:rsidRPr="00150EDC">
              <w:rPr>
                <w:spacing w:val="-6"/>
                <w:sz w:val="20"/>
              </w:rPr>
              <w:t xml:space="preserve"> </w:t>
            </w:r>
            <w:r w:rsidRPr="00150EDC">
              <w:rPr>
                <w:sz w:val="20"/>
              </w:rPr>
              <w:t xml:space="preserve">or </w:t>
            </w:r>
            <w:r w:rsidRPr="00150EDC">
              <w:rPr>
                <w:spacing w:val="-2"/>
                <w:sz w:val="20"/>
              </w:rPr>
              <w:t>property</w:t>
            </w:r>
          </w:p>
        </w:tc>
      </w:tr>
      <w:tr w:rsidR="004569EE" w:rsidRPr="007D3144" w14:paraId="38AB7562" w14:textId="77777777">
        <w:trPr>
          <w:trHeight w:val="460"/>
        </w:trPr>
        <w:tc>
          <w:tcPr>
            <w:tcW w:w="6517" w:type="dxa"/>
          </w:tcPr>
          <w:p w14:paraId="06D1E8B2" w14:textId="77777777" w:rsidR="004C7180" w:rsidRPr="00150EDC" w:rsidRDefault="004C7180">
            <w:pPr>
              <w:pStyle w:val="TableParagraph"/>
              <w:spacing w:before="3" w:line="240" w:lineRule="auto"/>
              <w:ind w:left="0"/>
              <w:rPr>
                <w:sz w:val="20"/>
              </w:rPr>
            </w:pPr>
          </w:p>
          <w:p w14:paraId="3DD8B70D" w14:textId="77777777" w:rsidR="004C7180" w:rsidRPr="00150EDC" w:rsidRDefault="00CF0754">
            <w:pPr>
              <w:pStyle w:val="TableParagraph"/>
              <w:spacing w:before="0"/>
              <w:rPr>
                <w:sz w:val="20"/>
              </w:rPr>
            </w:pPr>
            <w:r w:rsidRPr="00150EDC">
              <w:rPr>
                <w:sz w:val="20"/>
              </w:rPr>
              <w:t>Explosive</w:t>
            </w:r>
            <w:r w:rsidRPr="00150EDC">
              <w:rPr>
                <w:spacing w:val="-9"/>
                <w:sz w:val="20"/>
              </w:rPr>
              <w:t xml:space="preserve"> </w:t>
            </w:r>
            <w:r w:rsidRPr="00150EDC">
              <w:rPr>
                <w:sz w:val="20"/>
              </w:rPr>
              <w:t>Substances</w:t>
            </w:r>
            <w:r w:rsidRPr="00150EDC">
              <w:rPr>
                <w:spacing w:val="-9"/>
                <w:sz w:val="20"/>
              </w:rPr>
              <w:t xml:space="preserve"> </w:t>
            </w:r>
            <w:r w:rsidRPr="00150EDC">
              <w:rPr>
                <w:sz w:val="20"/>
              </w:rPr>
              <w:t>Act</w:t>
            </w:r>
            <w:r w:rsidRPr="00150EDC">
              <w:rPr>
                <w:spacing w:val="-4"/>
                <w:sz w:val="20"/>
              </w:rPr>
              <w:t xml:space="preserve"> </w:t>
            </w:r>
            <w:r w:rsidRPr="00150EDC">
              <w:rPr>
                <w:sz w:val="20"/>
              </w:rPr>
              <w:t>1883,</w:t>
            </w:r>
            <w:r w:rsidRPr="00150EDC">
              <w:rPr>
                <w:spacing w:val="-4"/>
                <w:sz w:val="20"/>
              </w:rPr>
              <w:t xml:space="preserve"> </w:t>
            </w:r>
            <w:r w:rsidRPr="00150EDC">
              <w:rPr>
                <w:spacing w:val="-5"/>
                <w:sz w:val="20"/>
              </w:rPr>
              <w:t>s3</w:t>
            </w:r>
          </w:p>
        </w:tc>
        <w:tc>
          <w:tcPr>
            <w:tcW w:w="7427" w:type="dxa"/>
          </w:tcPr>
          <w:p w14:paraId="3DF34504" w14:textId="77777777" w:rsidR="004C7180" w:rsidRPr="00150EDC" w:rsidRDefault="00CF0754">
            <w:pPr>
              <w:pStyle w:val="TableParagraph"/>
              <w:spacing w:before="0" w:line="230" w:lineRule="atLeast"/>
              <w:ind w:right="186"/>
              <w:rPr>
                <w:sz w:val="20"/>
              </w:rPr>
            </w:pPr>
            <w:r w:rsidRPr="00150EDC">
              <w:rPr>
                <w:sz w:val="20"/>
              </w:rPr>
              <w:t>Attempt</w:t>
            </w:r>
            <w:r w:rsidRPr="00150EDC">
              <w:rPr>
                <w:spacing w:val="-5"/>
                <w:sz w:val="20"/>
              </w:rPr>
              <w:t xml:space="preserve"> </w:t>
            </w:r>
            <w:r w:rsidRPr="00150EDC">
              <w:rPr>
                <w:sz w:val="20"/>
              </w:rPr>
              <w:t>to</w:t>
            </w:r>
            <w:r w:rsidRPr="00150EDC">
              <w:rPr>
                <w:spacing w:val="-5"/>
                <w:sz w:val="20"/>
              </w:rPr>
              <w:t xml:space="preserve"> </w:t>
            </w:r>
            <w:r w:rsidRPr="00150EDC">
              <w:rPr>
                <w:sz w:val="20"/>
              </w:rPr>
              <w:t>cause explosions or</w:t>
            </w:r>
            <w:r w:rsidRPr="00150EDC">
              <w:rPr>
                <w:spacing w:val="-5"/>
                <w:sz w:val="20"/>
              </w:rPr>
              <w:t xml:space="preserve"> </w:t>
            </w:r>
            <w:r w:rsidRPr="00150EDC">
              <w:rPr>
                <w:sz w:val="20"/>
              </w:rPr>
              <w:t>making</w:t>
            </w:r>
            <w:r w:rsidRPr="00150EDC">
              <w:rPr>
                <w:spacing w:val="-5"/>
                <w:sz w:val="20"/>
              </w:rPr>
              <w:t xml:space="preserve"> </w:t>
            </w:r>
            <w:r w:rsidRPr="00150EDC">
              <w:rPr>
                <w:sz w:val="20"/>
              </w:rPr>
              <w:t>or</w:t>
            </w:r>
            <w:r w:rsidRPr="00150EDC">
              <w:rPr>
                <w:spacing w:val="-5"/>
                <w:sz w:val="20"/>
              </w:rPr>
              <w:t xml:space="preserve"> </w:t>
            </w:r>
            <w:r w:rsidRPr="00150EDC">
              <w:rPr>
                <w:sz w:val="20"/>
              </w:rPr>
              <w:t>keeping</w:t>
            </w:r>
            <w:r w:rsidRPr="00150EDC">
              <w:rPr>
                <w:spacing w:val="-5"/>
                <w:sz w:val="20"/>
              </w:rPr>
              <w:t xml:space="preserve"> </w:t>
            </w:r>
            <w:r w:rsidRPr="00150EDC">
              <w:rPr>
                <w:sz w:val="20"/>
              </w:rPr>
              <w:t>explosive</w:t>
            </w:r>
            <w:r w:rsidRPr="00150EDC">
              <w:rPr>
                <w:spacing w:val="-5"/>
                <w:sz w:val="20"/>
              </w:rPr>
              <w:t xml:space="preserve"> </w:t>
            </w:r>
            <w:r w:rsidRPr="00150EDC">
              <w:rPr>
                <w:sz w:val="20"/>
              </w:rPr>
              <w:t>w/I</w:t>
            </w:r>
            <w:r w:rsidRPr="00150EDC">
              <w:rPr>
                <w:spacing w:val="-5"/>
                <w:sz w:val="20"/>
              </w:rPr>
              <w:t xml:space="preserve"> </w:t>
            </w:r>
            <w:r w:rsidRPr="00150EDC">
              <w:rPr>
                <w:sz w:val="20"/>
              </w:rPr>
              <w:t>to</w:t>
            </w:r>
            <w:r w:rsidRPr="00150EDC">
              <w:rPr>
                <w:spacing w:val="-5"/>
                <w:sz w:val="20"/>
              </w:rPr>
              <w:t xml:space="preserve"> </w:t>
            </w:r>
            <w:r w:rsidRPr="00150EDC">
              <w:rPr>
                <w:sz w:val="20"/>
              </w:rPr>
              <w:t>endanger</w:t>
            </w:r>
            <w:r w:rsidRPr="00150EDC">
              <w:rPr>
                <w:spacing w:val="-5"/>
                <w:sz w:val="20"/>
              </w:rPr>
              <w:t xml:space="preserve"> </w:t>
            </w:r>
            <w:r w:rsidRPr="00150EDC">
              <w:rPr>
                <w:sz w:val="20"/>
              </w:rPr>
              <w:t>life or property</w:t>
            </w:r>
          </w:p>
        </w:tc>
      </w:tr>
      <w:tr w:rsidR="004569EE" w:rsidRPr="007D3144" w14:paraId="6E6010B6" w14:textId="77777777">
        <w:trPr>
          <w:trHeight w:val="255"/>
        </w:trPr>
        <w:tc>
          <w:tcPr>
            <w:tcW w:w="6517" w:type="dxa"/>
          </w:tcPr>
          <w:p w14:paraId="24C2FCA8" w14:textId="77777777" w:rsidR="004C7180" w:rsidRPr="00150EDC" w:rsidRDefault="00CF0754">
            <w:pPr>
              <w:pStyle w:val="TableParagraph"/>
              <w:rPr>
                <w:sz w:val="20"/>
              </w:rPr>
            </w:pPr>
            <w:r w:rsidRPr="00150EDC">
              <w:rPr>
                <w:sz w:val="20"/>
              </w:rPr>
              <w:t>Explosive</w:t>
            </w:r>
            <w:r w:rsidRPr="00150EDC">
              <w:rPr>
                <w:spacing w:val="-9"/>
                <w:sz w:val="20"/>
              </w:rPr>
              <w:t xml:space="preserve"> </w:t>
            </w:r>
            <w:r w:rsidRPr="00150EDC">
              <w:rPr>
                <w:sz w:val="20"/>
              </w:rPr>
              <w:t>Substances</w:t>
            </w:r>
            <w:r w:rsidRPr="00150EDC">
              <w:rPr>
                <w:spacing w:val="-9"/>
                <w:sz w:val="20"/>
              </w:rPr>
              <w:t xml:space="preserve"> </w:t>
            </w:r>
            <w:r w:rsidRPr="00150EDC">
              <w:rPr>
                <w:sz w:val="20"/>
              </w:rPr>
              <w:t>Act</w:t>
            </w:r>
            <w:r w:rsidRPr="00150EDC">
              <w:rPr>
                <w:spacing w:val="-4"/>
                <w:sz w:val="20"/>
              </w:rPr>
              <w:t xml:space="preserve"> </w:t>
            </w:r>
            <w:r w:rsidRPr="00150EDC">
              <w:rPr>
                <w:sz w:val="20"/>
              </w:rPr>
              <w:t>1883,</w:t>
            </w:r>
            <w:r w:rsidRPr="00150EDC">
              <w:rPr>
                <w:spacing w:val="-4"/>
                <w:sz w:val="20"/>
              </w:rPr>
              <w:t xml:space="preserve"> </w:t>
            </w:r>
            <w:r w:rsidRPr="00150EDC">
              <w:rPr>
                <w:spacing w:val="-5"/>
                <w:sz w:val="20"/>
              </w:rPr>
              <w:t>s4</w:t>
            </w:r>
          </w:p>
        </w:tc>
        <w:tc>
          <w:tcPr>
            <w:tcW w:w="7427" w:type="dxa"/>
          </w:tcPr>
          <w:p w14:paraId="67637A84" w14:textId="77777777" w:rsidR="004C7180" w:rsidRPr="00150EDC" w:rsidRDefault="00CF0754">
            <w:pPr>
              <w:pStyle w:val="TableParagraph"/>
              <w:rPr>
                <w:sz w:val="20"/>
              </w:rPr>
            </w:pPr>
            <w:r w:rsidRPr="00150EDC">
              <w:rPr>
                <w:sz w:val="20"/>
              </w:rPr>
              <w:t>Making</w:t>
            </w:r>
            <w:r w:rsidRPr="00150EDC">
              <w:rPr>
                <w:spacing w:val="-11"/>
                <w:sz w:val="20"/>
              </w:rPr>
              <w:t xml:space="preserve"> </w:t>
            </w:r>
            <w:r w:rsidRPr="00150EDC">
              <w:rPr>
                <w:sz w:val="20"/>
              </w:rPr>
              <w:t>or</w:t>
            </w:r>
            <w:r w:rsidRPr="00150EDC">
              <w:rPr>
                <w:spacing w:val="-10"/>
                <w:sz w:val="20"/>
              </w:rPr>
              <w:t xml:space="preserve"> </w:t>
            </w:r>
            <w:r w:rsidRPr="00150EDC">
              <w:rPr>
                <w:sz w:val="20"/>
              </w:rPr>
              <w:t>possessing</w:t>
            </w:r>
            <w:r w:rsidRPr="00150EDC">
              <w:rPr>
                <w:spacing w:val="-10"/>
                <w:sz w:val="20"/>
              </w:rPr>
              <w:t xml:space="preserve"> </w:t>
            </w:r>
            <w:r w:rsidRPr="00150EDC">
              <w:rPr>
                <w:sz w:val="20"/>
              </w:rPr>
              <w:t>explosives</w:t>
            </w:r>
            <w:r w:rsidRPr="00150EDC">
              <w:rPr>
                <w:spacing w:val="-10"/>
                <w:sz w:val="20"/>
              </w:rPr>
              <w:t xml:space="preserve"> </w:t>
            </w:r>
            <w:r w:rsidRPr="00150EDC">
              <w:rPr>
                <w:sz w:val="20"/>
              </w:rPr>
              <w:t>with</w:t>
            </w:r>
            <w:r w:rsidRPr="00150EDC">
              <w:rPr>
                <w:spacing w:val="-10"/>
                <w:sz w:val="20"/>
              </w:rPr>
              <w:t xml:space="preserve"> </w:t>
            </w:r>
            <w:r w:rsidRPr="00150EDC">
              <w:rPr>
                <w:sz w:val="20"/>
              </w:rPr>
              <w:t>intent</w:t>
            </w:r>
            <w:r w:rsidRPr="00150EDC">
              <w:rPr>
                <w:spacing w:val="-11"/>
                <w:sz w:val="20"/>
              </w:rPr>
              <w:t xml:space="preserve"> </w:t>
            </w:r>
            <w:r w:rsidRPr="00150EDC">
              <w:rPr>
                <w:sz w:val="20"/>
              </w:rPr>
              <w:t>to</w:t>
            </w:r>
            <w:r w:rsidRPr="00150EDC">
              <w:rPr>
                <w:spacing w:val="-6"/>
                <w:sz w:val="20"/>
              </w:rPr>
              <w:t xml:space="preserve"> </w:t>
            </w:r>
            <w:r w:rsidRPr="00150EDC">
              <w:rPr>
                <w:sz w:val="20"/>
              </w:rPr>
              <w:t>endanger</w:t>
            </w:r>
            <w:r w:rsidRPr="00150EDC">
              <w:rPr>
                <w:spacing w:val="-10"/>
                <w:sz w:val="20"/>
              </w:rPr>
              <w:t xml:space="preserve"> </w:t>
            </w:r>
            <w:r w:rsidRPr="00150EDC">
              <w:rPr>
                <w:sz w:val="20"/>
              </w:rPr>
              <w:t>life</w:t>
            </w:r>
            <w:r w:rsidRPr="00150EDC">
              <w:rPr>
                <w:spacing w:val="-10"/>
                <w:sz w:val="20"/>
              </w:rPr>
              <w:t xml:space="preserve"> </w:t>
            </w:r>
            <w:r w:rsidRPr="00150EDC">
              <w:rPr>
                <w:sz w:val="20"/>
              </w:rPr>
              <w:t>or</w:t>
            </w:r>
            <w:r w:rsidRPr="00150EDC">
              <w:rPr>
                <w:spacing w:val="-11"/>
                <w:sz w:val="20"/>
              </w:rPr>
              <w:t xml:space="preserve"> </w:t>
            </w:r>
            <w:r w:rsidRPr="00150EDC">
              <w:rPr>
                <w:spacing w:val="-2"/>
                <w:sz w:val="20"/>
              </w:rPr>
              <w:t>property</w:t>
            </w:r>
          </w:p>
        </w:tc>
      </w:tr>
      <w:tr w:rsidR="004569EE" w:rsidRPr="007D3144" w14:paraId="61E584E8" w14:textId="77777777">
        <w:trPr>
          <w:trHeight w:val="255"/>
        </w:trPr>
        <w:tc>
          <w:tcPr>
            <w:tcW w:w="6517" w:type="dxa"/>
          </w:tcPr>
          <w:p w14:paraId="766E127F" w14:textId="77777777" w:rsidR="004C7180" w:rsidRPr="00150EDC" w:rsidRDefault="00CF0754">
            <w:pPr>
              <w:pStyle w:val="TableParagraph"/>
              <w:rPr>
                <w:sz w:val="20"/>
              </w:rPr>
            </w:pPr>
            <w:r w:rsidRPr="00150EDC">
              <w:rPr>
                <w:sz w:val="20"/>
              </w:rPr>
              <w:t>Explosive</w:t>
            </w:r>
            <w:r w:rsidRPr="00150EDC">
              <w:rPr>
                <w:spacing w:val="-9"/>
                <w:sz w:val="20"/>
              </w:rPr>
              <w:t xml:space="preserve"> </w:t>
            </w:r>
            <w:r w:rsidRPr="00150EDC">
              <w:rPr>
                <w:sz w:val="20"/>
              </w:rPr>
              <w:t>Substances</w:t>
            </w:r>
            <w:r w:rsidRPr="00150EDC">
              <w:rPr>
                <w:spacing w:val="-8"/>
                <w:sz w:val="20"/>
              </w:rPr>
              <w:t xml:space="preserve"> </w:t>
            </w:r>
            <w:r w:rsidRPr="00150EDC">
              <w:rPr>
                <w:sz w:val="20"/>
              </w:rPr>
              <w:t>Act</w:t>
            </w:r>
            <w:r w:rsidRPr="00150EDC">
              <w:rPr>
                <w:spacing w:val="-4"/>
                <w:sz w:val="20"/>
              </w:rPr>
              <w:t xml:space="preserve"> </w:t>
            </w:r>
            <w:r w:rsidRPr="00150EDC">
              <w:rPr>
                <w:sz w:val="20"/>
              </w:rPr>
              <w:t>1939,</w:t>
            </w:r>
            <w:r w:rsidRPr="00150EDC">
              <w:rPr>
                <w:spacing w:val="-3"/>
                <w:sz w:val="20"/>
              </w:rPr>
              <w:t xml:space="preserve"> </w:t>
            </w:r>
            <w:r w:rsidRPr="00150EDC">
              <w:rPr>
                <w:spacing w:val="-5"/>
                <w:sz w:val="20"/>
              </w:rPr>
              <w:t>s2</w:t>
            </w:r>
          </w:p>
        </w:tc>
        <w:tc>
          <w:tcPr>
            <w:tcW w:w="7427" w:type="dxa"/>
          </w:tcPr>
          <w:p w14:paraId="77C8800E" w14:textId="77777777" w:rsidR="004C7180" w:rsidRPr="00150EDC" w:rsidRDefault="00CF0754">
            <w:pPr>
              <w:pStyle w:val="TableParagraph"/>
              <w:rPr>
                <w:sz w:val="20"/>
              </w:rPr>
            </w:pPr>
            <w:r w:rsidRPr="00150EDC">
              <w:rPr>
                <w:sz w:val="20"/>
              </w:rPr>
              <w:t>Causing</w:t>
            </w:r>
            <w:r w:rsidRPr="00150EDC">
              <w:rPr>
                <w:spacing w:val="-7"/>
                <w:sz w:val="20"/>
              </w:rPr>
              <w:t xml:space="preserve"> </w:t>
            </w:r>
            <w:r w:rsidRPr="00150EDC">
              <w:rPr>
                <w:sz w:val="20"/>
              </w:rPr>
              <w:t>explosions</w:t>
            </w:r>
            <w:r w:rsidRPr="00150EDC">
              <w:rPr>
                <w:spacing w:val="-5"/>
                <w:sz w:val="20"/>
              </w:rPr>
              <w:t xml:space="preserve"> </w:t>
            </w:r>
            <w:r w:rsidRPr="00150EDC">
              <w:rPr>
                <w:sz w:val="20"/>
              </w:rPr>
              <w:t>likely</w:t>
            </w:r>
            <w:r w:rsidRPr="00150EDC">
              <w:rPr>
                <w:spacing w:val="-4"/>
                <w:sz w:val="20"/>
              </w:rPr>
              <w:t xml:space="preserve"> </w:t>
            </w:r>
            <w:r w:rsidRPr="00150EDC">
              <w:rPr>
                <w:sz w:val="20"/>
              </w:rPr>
              <w:t>to</w:t>
            </w:r>
            <w:r w:rsidRPr="00150EDC">
              <w:rPr>
                <w:spacing w:val="-1"/>
                <w:sz w:val="20"/>
              </w:rPr>
              <w:t xml:space="preserve"> </w:t>
            </w:r>
            <w:r w:rsidRPr="00150EDC">
              <w:rPr>
                <w:sz w:val="20"/>
              </w:rPr>
              <w:t>endanger</w:t>
            </w:r>
            <w:r w:rsidRPr="00150EDC">
              <w:rPr>
                <w:spacing w:val="-6"/>
                <w:sz w:val="20"/>
              </w:rPr>
              <w:t xml:space="preserve"> </w:t>
            </w:r>
            <w:r w:rsidRPr="00150EDC">
              <w:rPr>
                <w:sz w:val="20"/>
              </w:rPr>
              <w:t>life</w:t>
            </w:r>
            <w:r w:rsidRPr="00150EDC">
              <w:rPr>
                <w:spacing w:val="-6"/>
                <w:sz w:val="20"/>
              </w:rPr>
              <w:t xml:space="preserve"> </w:t>
            </w:r>
            <w:r w:rsidRPr="00150EDC">
              <w:rPr>
                <w:sz w:val="20"/>
              </w:rPr>
              <w:t>or</w:t>
            </w:r>
            <w:r w:rsidRPr="00150EDC">
              <w:rPr>
                <w:spacing w:val="-2"/>
                <w:sz w:val="20"/>
              </w:rPr>
              <w:t xml:space="preserve"> property</w:t>
            </w:r>
          </w:p>
        </w:tc>
      </w:tr>
      <w:tr w:rsidR="004569EE" w:rsidRPr="007D3144" w14:paraId="5C9A3CC8" w14:textId="77777777">
        <w:trPr>
          <w:trHeight w:val="255"/>
        </w:trPr>
        <w:tc>
          <w:tcPr>
            <w:tcW w:w="6517" w:type="dxa"/>
          </w:tcPr>
          <w:p w14:paraId="3D28A0CF" w14:textId="77777777" w:rsidR="004C7180" w:rsidRPr="00150EDC" w:rsidRDefault="00CF0754">
            <w:pPr>
              <w:pStyle w:val="TableParagraph"/>
              <w:rPr>
                <w:sz w:val="20"/>
              </w:rPr>
            </w:pPr>
            <w:r w:rsidRPr="00150EDC">
              <w:rPr>
                <w:sz w:val="20"/>
              </w:rPr>
              <w:t>Explosive</w:t>
            </w:r>
            <w:r w:rsidRPr="00150EDC">
              <w:rPr>
                <w:spacing w:val="-9"/>
                <w:sz w:val="20"/>
              </w:rPr>
              <w:t xml:space="preserve"> </w:t>
            </w:r>
            <w:r w:rsidRPr="00150EDC">
              <w:rPr>
                <w:sz w:val="20"/>
              </w:rPr>
              <w:t>Substances</w:t>
            </w:r>
            <w:r w:rsidRPr="00150EDC">
              <w:rPr>
                <w:spacing w:val="-9"/>
                <w:sz w:val="20"/>
              </w:rPr>
              <w:t xml:space="preserve"> </w:t>
            </w:r>
            <w:r w:rsidRPr="00150EDC">
              <w:rPr>
                <w:sz w:val="20"/>
              </w:rPr>
              <w:t>Act</w:t>
            </w:r>
            <w:r w:rsidRPr="00150EDC">
              <w:rPr>
                <w:spacing w:val="-4"/>
                <w:sz w:val="20"/>
              </w:rPr>
              <w:t xml:space="preserve"> </w:t>
            </w:r>
            <w:r w:rsidRPr="00150EDC">
              <w:rPr>
                <w:sz w:val="20"/>
              </w:rPr>
              <w:t>1939,</w:t>
            </w:r>
            <w:r w:rsidRPr="00150EDC">
              <w:rPr>
                <w:spacing w:val="-4"/>
                <w:sz w:val="20"/>
              </w:rPr>
              <w:t xml:space="preserve"> </w:t>
            </w:r>
            <w:r w:rsidRPr="00150EDC">
              <w:rPr>
                <w:spacing w:val="-2"/>
                <w:sz w:val="20"/>
              </w:rPr>
              <w:t>s3(1)(a)</w:t>
            </w:r>
          </w:p>
        </w:tc>
        <w:tc>
          <w:tcPr>
            <w:tcW w:w="7427" w:type="dxa"/>
          </w:tcPr>
          <w:p w14:paraId="5AADE796" w14:textId="77777777" w:rsidR="004C7180" w:rsidRPr="00150EDC" w:rsidRDefault="00CF0754">
            <w:pPr>
              <w:pStyle w:val="TableParagraph"/>
              <w:rPr>
                <w:sz w:val="20"/>
              </w:rPr>
            </w:pPr>
            <w:r w:rsidRPr="00150EDC">
              <w:rPr>
                <w:sz w:val="20"/>
              </w:rPr>
              <w:t>Intending</w:t>
            </w:r>
            <w:r w:rsidRPr="00150EDC">
              <w:rPr>
                <w:spacing w:val="-8"/>
                <w:sz w:val="20"/>
              </w:rPr>
              <w:t xml:space="preserve"> </w:t>
            </w:r>
            <w:r w:rsidRPr="00150EDC">
              <w:rPr>
                <w:sz w:val="20"/>
              </w:rPr>
              <w:t>or</w:t>
            </w:r>
            <w:r w:rsidRPr="00150EDC">
              <w:rPr>
                <w:spacing w:val="-5"/>
                <w:sz w:val="20"/>
              </w:rPr>
              <w:t xml:space="preserve"> </w:t>
            </w:r>
            <w:r w:rsidRPr="00150EDC">
              <w:rPr>
                <w:sz w:val="20"/>
              </w:rPr>
              <w:t>conspiring</w:t>
            </w:r>
            <w:r w:rsidRPr="00150EDC">
              <w:rPr>
                <w:spacing w:val="-5"/>
                <w:sz w:val="20"/>
              </w:rPr>
              <w:t xml:space="preserve"> </w:t>
            </w:r>
            <w:r w:rsidRPr="00150EDC">
              <w:rPr>
                <w:sz w:val="20"/>
              </w:rPr>
              <w:t>to</w:t>
            </w:r>
            <w:r w:rsidRPr="00150EDC">
              <w:rPr>
                <w:spacing w:val="-5"/>
                <w:sz w:val="20"/>
              </w:rPr>
              <w:t xml:space="preserve"> </w:t>
            </w:r>
            <w:r w:rsidRPr="00150EDC">
              <w:rPr>
                <w:sz w:val="20"/>
              </w:rPr>
              <w:t>cause</w:t>
            </w:r>
            <w:r w:rsidRPr="00150EDC">
              <w:rPr>
                <w:spacing w:val="-5"/>
                <w:sz w:val="20"/>
              </w:rPr>
              <w:t xml:space="preserve"> </w:t>
            </w:r>
            <w:r w:rsidRPr="00150EDC">
              <w:rPr>
                <w:sz w:val="20"/>
              </w:rPr>
              <w:t>explosions</w:t>
            </w:r>
            <w:r w:rsidRPr="00150EDC">
              <w:rPr>
                <w:spacing w:val="1"/>
                <w:sz w:val="20"/>
              </w:rPr>
              <w:t xml:space="preserve"> </w:t>
            </w:r>
            <w:r w:rsidRPr="00150EDC">
              <w:rPr>
                <w:sz w:val="20"/>
              </w:rPr>
              <w:t>endangering</w:t>
            </w:r>
            <w:r w:rsidRPr="00150EDC">
              <w:rPr>
                <w:spacing w:val="-5"/>
                <w:sz w:val="20"/>
              </w:rPr>
              <w:t xml:space="preserve"> </w:t>
            </w:r>
            <w:r w:rsidRPr="00150EDC">
              <w:rPr>
                <w:sz w:val="20"/>
              </w:rPr>
              <w:t>life</w:t>
            </w:r>
            <w:r w:rsidRPr="00150EDC">
              <w:rPr>
                <w:spacing w:val="-5"/>
                <w:sz w:val="20"/>
              </w:rPr>
              <w:t xml:space="preserve"> </w:t>
            </w:r>
            <w:r w:rsidRPr="00150EDC">
              <w:rPr>
                <w:sz w:val="20"/>
              </w:rPr>
              <w:t>or</w:t>
            </w:r>
            <w:r w:rsidRPr="00150EDC">
              <w:rPr>
                <w:spacing w:val="-5"/>
                <w:sz w:val="20"/>
              </w:rPr>
              <w:t xml:space="preserve"> </w:t>
            </w:r>
            <w:r w:rsidRPr="00150EDC">
              <w:rPr>
                <w:spacing w:val="-2"/>
                <w:sz w:val="20"/>
              </w:rPr>
              <w:t>property</w:t>
            </w:r>
          </w:p>
        </w:tc>
      </w:tr>
      <w:tr w:rsidR="004569EE" w:rsidRPr="007D3144" w14:paraId="75809B8B" w14:textId="77777777">
        <w:trPr>
          <w:trHeight w:val="460"/>
        </w:trPr>
        <w:tc>
          <w:tcPr>
            <w:tcW w:w="6517" w:type="dxa"/>
          </w:tcPr>
          <w:p w14:paraId="241AB5F3" w14:textId="77777777" w:rsidR="004C7180" w:rsidRPr="00150EDC" w:rsidRDefault="004C7180">
            <w:pPr>
              <w:pStyle w:val="TableParagraph"/>
              <w:spacing w:before="2" w:line="240" w:lineRule="auto"/>
              <w:ind w:left="0"/>
              <w:rPr>
                <w:sz w:val="20"/>
              </w:rPr>
            </w:pPr>
          </w:p>
          <w:p w14:paraId="2FC2F755" w14:textId="77777777" w:rsidR="004C7180" w:rsidRPr="00150EDC" w:rsidRDefault="00CF0754">
            <w:pPr>
              <w:pStyle w:val="TableParagraph"/>
              <w:spacing w:before="1"/>
              <w:rPr>
                <w:sz w:val="20"/>
              </w:rPr>
            </w:pPr>
            <w:r w:rsidRPr="00150EDC">
              <w:rPr>
                <w:sz w:val="20"/>
              </w:rPr>
              <w:t>Explosive</w:t>
            </w:r>
            <w:r w:rsidRPr="00150EDC">
              <w:rPr>
                <w:spacing w:val="-9"/>
                <w:sz w:val="20"/>
              </w:rPr>
              <w:t xml:space="preserve"> </w:t>
            </w:r>
            <w:r w:rsidRPr="00150EDC">
              <w:rPr>
                <w:sz w:val="20"/>
              </w:rPr>
              <w:t>Substances</w:t>
            </w:r>
            <w:r w:rsidRPr="00150EDC">
              <w:rPr>
                <w:spacing w:val="-9"/>
                <w:sz w:val="20"/>
              </w:rPr>
              <w:t xml:space="preserve"> </w:t>
            </w:r>
            <w:r w:rsidRPr="00150EDC">
              <w:rPr>
                <w:sz w:val="20"/>
              </w:rPr>
              <w:t>Act</w:t>
            </w:r>
            <w:r w:rsidRPr="00150EDC">
              <w:rPr>
                <w:spacing w:val="-4"/>
                <w:sz w:val="20"/>
              </w:rPr>
              <w:t xml:space="preserve"> </w:t>
            </w:r>
            <w:r w:rsidRPr="00150EDC">
              <w:rPr>
                <w:sz w:val="20"/>
              </w:rPr>
              <w:t>1939,</w:t>
            </w:r>
            <w:r w:rsidRPr="00150EDC">
              <w:rPr>
                <w:spacing w:val="-4"/>
                <w:sz w:val="20"/>
              </w:rPr>
              <w:t xml:space="preserve"> </w:t>
            </w:r>
            <w:r w:rsidRPr="00150EDC">
              <w:rPr>
                <w:spacing w:val="-2"/>
                <w:sz w:val="20"/>
              </w:rPr>
              <w:t>s3(1)(b)</w:t>
            </w:r>
          </w:p>
        </w:tc>
        <w:tc>
          <w:tcPr>
            <w:tcW w:w="7427" w:type="dxa"/>
          </w:tcPr>
          <w:p w14:paraId="6597395D" w14:textId="77777777" w:rsidR="004C7180" w:rsidRPr="00150EDC" w:rsidRDefault="00CF0754">
            <w:pPr>
              <w:pStyle w:val="TableParagraph"/>
              <w:spacing w:before="0" w:line="230" w:lineRule="atLeast"/>
              <w:rPr>
                <w:sz w:val="20"/>
              </w:rPr>
            </w:pPr>
            <w:r w:rsidRPr="00150EDC">
              <w:rPr>
                <w:sz w:val="20"/>
              </w:rPr>
              <w:t>Making,</w:t>
            </w:r>
            <w:r w:rsidRPr="00150EDC">
              <w:rPr>
                <w:spacing w:val="-4"/>
                <w:sz w:val="20"/>
              </w:rPr>
              <w:t xml:space="preserve"> </w:t>
            </w:r>
            <w:r w:rsidRPr="00150EDC">
              <w:rPr>
                <w:sz w:val="20"/>
              </w:rPr>
              <w:t>possessing</w:t>
            </w:r>
            <w:r w:rsidRPr="00150EDC">
              <w:rPr>
                <w:spacing w:val="-1"/>
                <w:sz w:val="20"/>
              </w:rPr>
              <w:t xml:space="preserve"> </w:t>
            </w:r>
            <w:r w:rsidRPr="00150EDC">
              <w:rPr>
                <w:sz w:val="20"/>
              </w:rPr>
              <w:t>or</w:t>
            </w:r>
            <w:r w:rsidRPr="00150EDC">
              <w:rPr>
                <w:spacing w:val="-5"/>
                <w:sz w:val="20"/>
              </w:rPr>
              <w:t xml:space="preserve"> </w:t>
            </w:r>
            <w:r w:rsidRPr="00150EDC">
              <w:rPr>
                <w:sz w:val="20"/>
              </w:rPr>
              <w:t>having</w:t>
            </w:r>
            <w:r w:rsidRPr="00150EDC">
              <w:rPr>
                <w:spacing w:val="-5"/>
                <w:sz w:val="20"/>
              </w:rPr>
              <w:t xml:space="preserve"> </w:t>
            </w:r>
            <w:r w:rsidRPr="00150EDC">
              <w:rPr>
                <w:sz w:val="20"/>
              </w:rPr>
              <w:t>control</w:t>
            </w:r>
            <w:r w:rsidRPr="00150EDC">
              <w:rPr>
                <w:spacing w:val="-4"/>
                <w:sz w:val="20"/>
              </w:rPr>
              <w:t xml:space="preserve"> </w:t>
            </w:r>
            <w:r w:rsidRPr="00150EDC">
              <w:rPr>
                <w:sz w:val="20"/>
              </w:rPr>
              <w:t>of</w:t>
            </w:r>
            <w:r w:rsidRPr="00150EDC">
              <w:rPr>
                <w:spacing w:val="-5"/>
                <w:sz w:val="20"/>
              </w:rPr>
              <w:t xml:space="preserve"> </w:t>
            </w:r>
            <w:r w:rsidRPr="00150EDC">
              <w:rPr>
                <w:sz w:val="20"/>
              </w:rPr>
              <w:t>explosives with</w:t>
            </w:r>
            <w:r w:rsidRPr="00150EDC">
              <w:rPr>
                <w:spacing w:val="-5"/>
                <w:sz w:val="20"/>
              </w:rPr>
              <w:t xml:space="preserve"> </w:t>
            </w:r>
            <w:r w:rsidRPr="00150EDC">
              <w:rPr>
                <w:sz w:val="20"/>
              </w:rPr>
              <w:t>intent</w:t>
            </w:r>
            <w:r w:rsidRPr="00150EDC">
              <w:rPr>
                <w:spacing w:val="-5"/>
                <w:sz w:val="20"/>
              </w:rPr>
              <w:t xml:space="preserve"> </w:t>
            </w:r>
            <w:r w:rsidRPr="00150EDC">
              <w:rPr>
                <w:sz w:val="20"/>
              </w:rPr>
              <w:t>to</w:t>
            </w:r>
            <w:r w:rsidRPr="00150EDC">
              <w:rPr>
                <w:spacing w:val="-1"/>
                <w:sz w:val="20"/>
              </w:rPr>
              <w:t xml:space="preserve"> </w:t>
            </w:r>
            <w:r w:rsidRPr="00150EDC">
              <w:rPr>
                <w:sz w:val="20"/>
              </w:rPr>
              <w:t>endanger</w:t>
            </w:r>
            <w:r w:rsidRPr="00150EDC">
              <w:rPr>
                <w:spacing w:val="-5"/>
                <w:sz w:val="20"/>
              </w:rPr>
              <w:t xml:space="preserve"> </w:t>
            </w:r>
            <w:r w:rsidRPr="00150EDC">
              <w:rPr>
                <w:sz w:val="20"/>
              </w:rPr>
              <w:t>life</w:t>
            </w:r>
            <w:r w:rsidRPr="00150EDC">
              <w:rPr>
                <w:spacing w:val="-5"/>
                <w:sz w:val="20"/>
              </w:rPr>
              <w:t xml:space="preserve"> </w:t>
            </w:r>
            <w:r w:rsidRPr="00150EDC">
              <w:rPr>
                <w:sz w:val="20"/>
              </w:rPr>
              <w:t xml:space="preserve">or </w:t>
            </w:r>
            <w:r w:rsidRPr="00150EDC">
              <w:rPr>
                <w:spacing w:val="-2"/>
                <w:sz w:val="20"/>
              </w:rPr>
              <w:t>property</w:t>
            </w:r>
          </w:p>
        </w:tc>
      </w:tr>
      <w:tr w:rsidR="004569EE" w:rsidRPr="007D3144" w14:paraId="5B8DA2FE" w14:textId="77777777">
        <w:trPr>
          <w:trHeight w:val="255"/>
        </w:trPr>
        <w:tc>
          <w:tcPr>
            <w:tcW w:w="6517" w:type="dxa"/>
          </w:tcPr>
          <w:p w14:paraId="61DC1FE0" w14:textId="77777777" w:rsidR="004C7180" w:rsidRPr="00150EDC" w:rsidRDefault="00CF0754">
            <w:pPr>
              <w:pStyle w:val="TableParagraph"/>
              <w:rPr>
                <w:sz w:val="20"/>
              </w:rPr>
            </w:pPr>
            <w:r w:rsidRPr="00150EDC">
              <w:rPr>
                <w:sz w:val="20"/>
              </w:rPr>
              <w:t>Explosive</w:t>
            </w:r>
            <w:r w:rsidRPr="00150EDC">
              <w:rPr>
                <w:spacing w:val="-9"/>
                <w:sz w:val="20"/>
              </w:rPr>
              <w:t xml:space="preserve"> </w:t>
            </w:r>
            <w:r w:rsidRPr="00150EDC">
              <w:rPr>
                <w:sz w:val="20"/>
              </w:rPr>
              <w:t>Substances</w:t>
            </w:r>
            <w:r w:rsidRPr="00150EDC">
              <w:rPr>
                <w:spacing w:val="-9"/>
                <w:sz w:val="20"/>
              </w:rPr>
              <w:t xml:space="preserve"> </w:t>
            </w:r>
            <w:r w:rsidRPr="00150EDC">
              <w:rPr>
                <w:sz w:val="20"/>
              </w:rPr>
              <w:t>Act</w:t>
            </w:r>
            <w:r w:rsidRPr="00150EDC">
              <w:rPr>
                <w:spacing w:val="-4"/>
                <w:sz w:val="20"/>
              </w:rPr>
              <w:t xml:space="preserve"> </w:t>
            </w:r>
            <w:r w:rsidRPr="00150EDC">
              <w:rPr>
                <w:sz w:val="20"/>
              </w:rPr>
              <w:t>1939,</w:t>
            </w:r>
            <w:r w:rsidRPr="00150EDC">
              <w:rPr>
                <w:spacing w:val="-4"/>
                <w:sz w:val="20"/>
              </w:rPr>
              <w:t xml:space="preserve"> </w:t>
            </w:r>
            <w:r w:rsidRPr="00150EDC">
              <w:rPr>
                <w:spacing w:val="-5"/>
                <w:sz w:val="20"/>
              </w:rPr>
              <w:t>s4</w:t>
            </w:r>
          </w:p>
        </w:tc>
        <w:tc>
          <w:tcPr>
            <w:tcW w:w="7427" w:type="dxa"/>
          </w:tcPr>
          <w:p w14:paraId="54BFC24B" w14:textId="77777777" w:rsidR="004C7180" w:rsidRPr="00150EDC" w:rsidRDefault="00CF0754">
            <w:pPr>
              <w:pStyle w:val="TableParagraph"/>
              <w:rPr>
                <w:sz w:val="20"/>
              </w:rPr>
            </w:pPr>
            <w:r w:rsidRPr="00150EDC">
              <w:rPr>
                <w:sz w:val="20"/>
              </w:rPr>
              <w:t>Making,</w:t>
            </w:r>
            <w:r w:rsidRPr="00150EDC">
              <w:rPr>
                <w:spacing w:val="-8"/>
                <w:sz w:val="20"/>
              </w:rPr>
              <w:t xml:space="preserve"> </w:t>
            </w:r>
            <w:r w:rsidRPr="00150EDC">
              <w:rPr>
                <w:sz w:val="20"/>
              </w:rPr>
              <w:t>possessing</w:t>
            </w:r>
            <w:r w:rsidRPr="00150EDC">
              <w:rPr>
                <w:spacing w:val="-2"/>
                <w:sz w:val="20"/>
              </w:rPr>
              <w:t xml:space="preserve"> </w:t>
            </w:r>
            <w:r w:rsidRPr="00150EDC">
              <w:rPr>
                <w:sz w:val="20"/>
              </w:rPr>
              <w:t>or</w:t>
            </w:r>
            <w:r w:rsidRPr="00150EDC">
              <w:rPr>
                <w:spacing w:val="-8"/>
                <w:sz w:val="20"/>
              </w:rPr>
              <w:t xml:space="preserve"> </w:t>
            </w:r>
            <w:r w:rsidRPr="00150EDC">
              <w:rPr>
                <w:sz w:val="20"/>
              </w:rPr>
              <w:t>having</w:t>
            </w:r>
            <w:r w:rsidRPr="00150EDC">
              <w:rPr>
                <w:spacing w:val="-7"/>
                <w:sz w:val="20"/>
              </w:rPr>
              <w:t xml:space="preserve"> </w:t>
            </w:r>
            <w:r w:rsidRPr="00150EDC">
              <w:rPr>
                <w:sz w:val="20"/>
              </w:rPr>
              <w:t>control</w:t>
            </w:r>
            <w:r w:rsidRPr="00150EDC">
              <w:rPr>
                <w:spacing w:val="-5"/>
                <w:sz w:val="20"/>
              </w:rPr>
              <w:t xml:space="preserve"> </w:t>
            </w:r>
            <w:r w:rsidRPr="00150EDC">
              <w:rPr>
                <w:sz w:val="20"/>
              </w:rPr>
              <w:t>of</w:t>
            </w:r>
            <w:r w:rsidRPr="00150EDC">
              <w:rPr>
                <w:spacing w:val="-7"/>
                <w:sz w:val="20"/>
              </w:rPr>
              <w:t xml:space="preserve"> </w:t>
            </w:r>
            <w:r w:rsidRPr="00150EDC">
              <w:rPr>
                <w:sz w:val="20"/>
              </w:rPr>
              <w:t>explosives</w:t>
            </w:r>
            <w:r w:rsidRPr="00150EDC">
              <w:rPr>
                <w:spacing w:val="-2"/>
                <w:sz w:val="20"/>
              </w:rPr>
              <w:t xml:space="preserve"> </w:t>
            </w:r>
            <w:r w:rsidRPr="00150EDC">
              <w:rPr>
                <w:sz w:val="20"/>
              </w:rPr>
              <w:t>for</w:t>
            </w:r>
            <w:r w:rsidRPr="00150EDC">
              <w:rPr>
                <w:spacing w:val="-4"/>
                <w:sz w:val="20"/>
              </w:rPr>
              <w:t xml:space="preserve"> </w:t>
            </w:r>
            <w:r w:rsidRPr="00150EDC">
              <w:rPr>
                <w:sz w:val="20"/>
              </w:rPr>
              <w:t>unlawful</w:t>
            </w:r>
            <w:r w:rsidRPr="00150EDC">
              <w:rPr>
                <w:spacing w:val="-5"/>
                <w:sz w:val="20"/>
              </w:rPr>
              <w:t xml:space="preserve"> </w:t>
            </w:r>
            <w:r w:rsidRPr="00150EDC">
              <w:rPr>
                <w:spacing w:val="-2"/>
                <w:sz w:val="20"/>
              </w:rPr>
              <w:t>purposes</w:t>
            </w:r>
          </w:p>
        </w:tc>
      </w:tr>
      <w:tr w:rsidR="004569EE" w:rsidRPr="007D3144" w14:paraId="6AAB217D" w14:textId="77777777">
        <w:trPr>
          <w:trHeight w:val="255"/>
        </w:trPr>
        <w:tc>
          <w:tcPr>
            <w:tcW w:w="6517" w:type="dxa"/>
          </w:tcPr>
          <w:p w14:paraId="63B2CBC1" w14:textId="77777777" w:rsidR="004C7180" w:rsidRPr="00150EDC" w:rsidRDefault="00CF0754">
            <w:pPr>
              <w:pStyle w:val="TableParagraph"/>
              <w:rPr>
                <w:sz w:val="20"/>
              </w:rPr>
            </w:pPr>
            <w:r w:rsidRPr="00150EDC">
              <w:rPr>
                <w:sz w:val="20"/>
              </w:rPr>
              <w:t>Explosive</w:t>
            </w:r>
            <w:r w:rsidRPr="00150EDC">
              <w:rPr>
                <w:spacing w:val="-9"/>
                <w:sz w:val="20"/>
              </w:rPr>
              <w:t xml:space="preserve"> </w:t>
            </w:r>
            <w:r w:rsidRPr="00150EDC">
              <w:rPr>
                <w:sz w:val="20"/>
              </w:rPr>
              <w:t>Substances</w:t>
            </w:r>
            <w:r w:rsidRPr="00150EDC">
              <w:rPr>
                <w:spacing w:val="-9"/>
                <w:sz w:val="20"/>
              </w:rPr>
              <w:t xml:space="preserve"> </w:t>
            </w:r>
            <w:r w:rsidRPr="00150EDC">
              <w:rPr>
                <w:sz w:val="20"/>
              </w:rPr>
              <w:t>Act</w:t>
            </w:r>
            <w:r w:rsidRPr="00150EDC">
              <w:rPr>
                <w:spacing w:val="-4"/>
                <w:sz w:val="20"/>
              </w:rPr>
              <w:t xml:space="preserve"> </w:t>
            </w:r>
            <w:r w:rsidRPr="00150EDC">
              <w:rPr>
                <w:sz w:val="20"/>
              </w:rPr>
              <w:t>1939,</w:t>
            </w:r>
            <w:r w:rsidRPr="00150EDC">
              <w:rPr>
                <w:spacing w:val="-4"/>
                <w:sz w:val="20"/>
              </w:rPr>
              <w:t xml:space="preserve"> </w:t>
            </w:r>
            <w:r w:rsidRPr="00150EDC">
              <w:rPr>
                <w:spacing w:val="-5"/>
                <w:sz w:val="20"/>
              </w:rPr>
              <w:t>s5</w:t>
            </w:r>
          </w:p>
        </w:tc>
        <w:tc>
          <w:tcPr>
            <w:tcW w:w="7427" w:type="dxa"/>
          </w:tcPr>
          <w:p w14:paraId="5D3F9104" w14:textId="77777777" w:rsidR="004C7180" w:rsidRPr="00150EDC" w:rsidRDefault="00CF0754">
            <w:pPr>
              <w:pStyle w:val="TableParagraph"/>
              <w:rPr>
                <w:sz w:val="20"/>
              </w:rPr>
            </w:pPr>
            <w:r w:rsidRPr="00150EDC">
              <w:rPr>
                <w:sz w:val="20"/>
              </w:rPr>
              <w:t>Being</w:t>
            </w:r>
            <w:r w:rsidRPr="00150EDC">
              <w:rPr>
                <w:spacing w:val="-6"/>
                <w:sz w:val="20"/>
              </w:rPr>
              <w:t xml:space="preserve"> </w:t>
            </w:r>
            <w:r w:rsidRPr="00150EDC">
              <w:rPr>
                <w:sz w:val="20"/>
              </w:rPr>
              <w:t>an</w:t>
            </w:r>
            <w:r w:rsidRPr="00150EDC">
              <w:rPr>
                <w:spacing w:val="-5"/>
                <w:sz w:val="20"/>
              </w:rPr>
              <w:t xml:space="preserve"> </w:t>
            </w:r>
            <w:r w:rsidRPr="00150EDC">
              <w:rPr>
                <w:sz w:val="20"/>
              </w:rPr>
              <w:t>accessory</w:t>
            </w:r>
            <w:r w:rsidRPr="00150EDC">
              <w:rPr>
                <w:spacing w:val="-4"/>
                <w:sz w:val="20"/>
              </w:rPr>
              <w:t xml:space="preserve"> </w:t>
            </w:r>
            <w:r w:rsidRPr="00150EDC">
              <w:rPr>
                <w:sz w:val="20"/>
              </w:rPr>
              <w:t>to</w:t>
            </w:r>
            <w:r w:rsidRPr="00150EDC">
              <w:rPr>
                <w:spacing w:val="-4"/>
                <w:sz w:val="20"/>
              </w:rPr>
              <w:t xml:space="preserve"> </w:t>
            </w:r>
            <w:r w:rsidRPr="00150EDC">
              <w:rPr>
                <w:sz w:val="20"/>
              </w:rPr>
              <w:t xml:space="preserve">explosive </w:t>
            </w:r>
            <w:r w:rsidRPr="00150EDC">
              <w:rPr>
                <w:spacing w:val="-2"/>
                <w:sz w:val="20"/>
              </w:rPr>
              <w:t>offences</w:t>
            </w:r>
          </w:p>
        </w:tc>
      </w:tr>
      <w:tr w:rsidR="004569EE" w:rsidRPr="007D3144" w14:paraId="7355784E" w14:textId="77777777">
        <w:trPr>
          <w:trHeight w:val="255"/>
        </w:trPr>
        <w:tc>
          <w:tcPr>
            <w:tcW w:w="6517" w:type="dxa"/>
          </w:tcPr>
          <w:p w14:paraId="4230ACD9" w14:textId="77777777" w:rsidR="004C7180" w:rsidRPr="00150EDC" w:rsidRDefault="00CF0754">
            <w:pPr>
              <w:pStyle w:val="TableParagraph"/>
              <w:spacing w:before="28"/>
              <w:rPr>
                <w:sz w:val="20"/>
              </w:rPr>
            </w:pPr>
            <w:r w:rsidRPr="00150EDC">
              <w:rPr>
                <w:sz w:val="20"/>
              </w:rPr>
              <w:t>Explosives</w:t>
            </w:r>
            <w:r w:rsidRPr="00150EDC">
              <w:rPr>
                <w:spacing w:val="-8"/>
                <w:sz w:val="20"/>
              </w:rPr>
              <w:t xml:space="preserve"> </w:t>
            </w:r>
            <w:r w:rsidRPr="00150EDC">
              <w:rPr>
                <w:sz w:val="20"/>
              </w:rPr>
              <w:t>Act</w:t>
            </w:r>
            <w:r w:rsidRPr="00150EDC">
              <w:rPr>
                <w:spacing w:val="-8"/>
                <w:sz w:val="20"/>
              </w:rPr>
              <w:t xml:space="preserve"> </w:t>
            </w:r>
            <w:r w:rsidRPr="00150EDC">
              <w:rPr>
                <w:sz w:val="20"/>
              </w:rPr>
              <w:t>1875,</w:t>
            </w:r>
            <w:r w:rsidRPr="00150EDC">
              <w:rPr>
                <w:spacing w:val="-8"/>
                <w:sz w:val="20"/>
              </w:rPr>
              <w:t xml:space="preserve"> </w:t>
            </w:r>
            <w:r w:rsidRPr="00150EDC">
              <w:rPr>
                <w:spacing w:val="-5"/>
                <w:sz w:val="20"/>
              </w:rPr>
              <w:t>s77</w:t>
            </w:r>
          </w:p>
        </w:tc>
        <w:tc>
          <w:tcPr>
            <w:tcW w:w="7427" w:type="dxa"/>
          </w:tcPr>
          <w:p w14:paraId="6063E502" w14:textId="77777777" w:rsidR="004C7180" w:rsidRPr="00150EDC" w:rsidRDefault="00CF0754">
            <w:pPr>
              <w:pStyle w:val="TableParagraph"/>
              <w:spacing w:before="28"/>
              <w:rPr>
                <w:sz w:val="20"/>
              </w:rPr>
            </w:pPr>
            <w:r w:rsidRPr="00150EDC">
              <w:rPr>
                <w:sz w:val="20"/>
              </w:rPr>
              <w:t>Trespass</w:t>
            </w:r>
            <w:r w:rsidRPr="00150EDC">
              <w:rPr>
                <w:spacing w:val="-2"/>
                <w:sz w:val="20"/>
              </w:rPr>
              <w:t xml:space="preserve"> </w:t>
            </w:r>
            <w:r w:rsidRPr="00150EDC">
              <w:rPr>
                <w:sz w:val="20"/>
              </w:rPr>
              <w:t>in</w:t>
            </w:r>
            <w:r w:rsidRPr="00150EDC">
              <w:rPr>
                <w:spacing w:val="-7"/>
                <w:sz w:val="20"/>
              </w:rPr>
              <w:t xml:space="preserve"> </w:t>
            </w:r>
            <w:r w:rsidRPr="00150EDC">
              <w:rPr>
                <w:sz w:val="20"/>
              </w:rPr>
              <w:t>gunpowder</w:t>
            </w:r>
            <w:r w:rsidRPr="00150EDC">
              <w:rPr>
                <w:spacing w:val="-6"/>
                <w:sz w:val="20"/>
              </w:rPr>
              <w:t xml:space="preserve"> </w:t>
            </w:r>
            <w:r w:rsidRPr="00150EDC">
              <w:rPr>
                <w:sz w:val="20"/>
              </w:rPr>
              <w:t>factory</w:t>
            </w:r>
            <w:r w:rsidRPr="00150EDC">
              <w:rPr>
                <w:spacing w:val="-6"/>
                <w:sz w:val="20"/>
              </w:rPr>
              <w:t xml:space="preserve"> </w:t>
            </w:r>
            <w:r w:rsidRPr="00150EDC">
              <w:rPr>
                <w:sz w:val="20"/>
              </w:rPr>
              <w:t>etc</w:t>
            </w:r>
            <w:r w:rsidRPr="00150EDC">
              <w:rPr>
                <w:spacing w:val="-1"/>
                <w:sz w:val="20"/>
              </w:rPr>
              <w:t xml:space="preserve"> </w:t>
            </w:r>
            <w:r w:rsidRPr="00150EDC">
              <w:rPr>
                <w:sz w:val="20"/>
              </w:rPr>
              <w:t>causing</w:t>
            </w:r>
            <w:r w:rsidRPr="00150EDC">
              <w:rPr>
                <w:spacing w:val="-3"/>
                <w:sz w:val="20"/>
              </w:rPr>
              <w:t xml:space="preserve"> </w:t>
            </w:r>
            <w:r w:rsidRPr="00150EDC">
              <w:rPr>
                <w:sz w:val="20"/>
              </w:rPr>
              <w:t>explosions</w:t>
            </w:r>
            <w:r w:rsidRPr="00150EDC">
              <w:rPr>
                <w:spacing w:val="-5"/>
                <w:sz w:val="20"/>
              </w:rPr>
              <w:t xml:space="preserve"> </w:t>
            </w:r>
            <w:r w:rsidRPr="00150EDC">
              <w:rPr>
                <w:sz w:val="20"/>
              </w:rPr>
              <w:t>or</w:t>
            </w:r>
            <w:r w:rsidRPr="00150EDC">
              <w:rPr>
                <w:spacing w:val="-3"/>
                <w:sz w:val="20"/>
              </w:rPr>
              <w:t xml:space="preserve"> </w:t>
            </w:r>
            <w:r w:rsidRPr="00150EDC">
              <w:rPr>
                <w:spacing w:val="-4"/>
                <w:sz w:val="20"/>
              </w:rPr>
              <w:t>fire</w:t>
            </w:r>
          </w:p>
        </w:tc>
      </w:tr>
      <w:tr w:rsidR="004569EE" w:rsidRPr="007D3144" w14:paraId="5D0C01E9" w14:textId="77777777">
        <w:trPr>
          <w:trHeight w:val="255"/>
        </w:trPr>
        <w:tc>
          <w:tcPr>
            <w:tcW w:w="6517" w:type="dxa"/>
          </w:tcPr>
          <w:p w14:paraId="30F54ED5" w14:textId="77777777" w:rsidR="004C7180" w:rsidRPr="00150EDC" w:rsidRDefault="00CF0754">
            <w:pPr>
              <w:pStyle w:val="TableParagraph"/>
              <w:rPr>
                <w:sz w:val="20"/>
              </w:rPr>
            </w:pPr>
            <w:r w:rsidRPr="00150EDC">
              <w:rPr>
                <w:sz w:val="20"/>
              </w:rPr>
              <w:t>Female</w:t>
            </w:r>
            <w:r w:rsidRPr="00150EDC">
              <w:rPr>
                <w:spacing w:val="-4"/>
                <w:sz w:val="20"/>
              </w:rPr>
              <w:t xml:space="preserve"> </w:t>
            </w:r>
            <w:r w:rsidRPr="00150EDC">
              <w:rPr>
                <w:sz w:val="20"/>
              </w:rPr>
              <w:t>Genital</w:t>
            </w:r>
            <w:r w:rsidRPr="00150EDC">
              <w:rPr>
                <w:spacing w:val="-4"/>
                <w:sz w:val="20"/>
              </w:rPr>
              <w:t xml:space="preserve"> </w:t>
            </w:r>
            <w:r w:rsidRPr="00150EDC">
              <w:rPr>
                <w:sz w:val="20"/>
              </w:rPr>
              <w:t>Mutilation</w:t>
            </w:r>
            <w:r w:rsidRPr="00150EDC">
              <w:rPr>
                <w:spacing w:val="-8"/>
                <w:sz w:val="20"/>
              </w:rPr>
              <w:t xml:space="preserve"> </w:t>
            </w:r>
            <w:r w:rsidRPr="00150EDC">
              <w:rPr>
                <w:sz w:val="20"/>
              </w:rPr>
              <w:t>Act</w:t>
            </w:r>
            <w:r w:rsidRPr="00150EDC">
              <w:rPr>
                <w:spacing w:val="-8"/>
                <w:sz w:val="20"/>
              </w:rPr>
              <w:t xml:space="preserve"> </w:t>
            </w:r>
            <w:r w:rsidRPr="00150EDC">
              <w:rPr>
                <w:sz w:val="20"/>
              </w:rPr>
              <w:t>2003,</w:t>
            </w:r>
            <w:r w:rsidRPr="00150EDC">
              <w:rPr>
                <w:spacing w:val="-8"/>
                <w:sz w:val="20"/>
              </w:rPr>
              <w:t xml:space="preserve"> </w:t>
            </w:r>
            <w:r w:rsidRPr="00150EDC">
              <w:rPr>
                <w:spacing w:val="-5"/>
                <w:sz w:val="20"/>
              </w:rPr>
              <w:t>s1</w:t>
            </w:r>
          </w:p>
        </w:tc>
        <w:tc>
          <w:tcPr>
            <w:tcW w:w="7427" w:type="dxa"/>
          </w:tcPr>
          <w:p w14:paraId="4DDE1D04" w14:textId="77777777" w:rsidR="004C7180" w:rsidRPr="00150EDC" w:rsidRDefault="00CF0754">
            <w:pPr>
              <w:pStyle w:val="TableParagraph"/>
              <w:rPr>
                <w:sz w:val="20"/>
              </w:rPr>
            </w:pPr>
            <w:r w:rsidRPr="00150EDC">
              <w:rPr>
                <w:sz w:val="20"/>
              </w:rPr>
              <w:t>Female</w:t>
            </w:r>
            <w:r w:rsidRPr="00150EDC">
              <w:rPr>
                <w:spacing w:val="-7"/>
                <w:sz w:val="20"/>
              </w:rPr>
              <w:t xml:space="preserve"> </w:t>
            </w:r>
            <w:r w:rsidRPr="00150EDC">
              <w:rPr>
                <w:sz w:val="20"/>
              </w:rPr>
              <w:t>genital</w:t>
            </w:r>
            <w:r w:rsidRPr="00150EDC">
              <w:rPr>
                <w:spacing w:val="-6"/>
                <w:sz w:val="20"/>
              </w:rPr>
              <w:t xml:space="preserve"> </w:t>
            </w:r>
            <w:r w:rsidRPr="00150EDC">
              <w:rPr>
                <w:spacing w:val="-2"/>
                <w:sz w:val="20"/>
              </w:rPr>
              <w:t>mutilation</w:t>
            </w:r>
          </w:p>
        </w:tc>
      </w:tr>
      <w:tr w:rsidR="004569EE" w:rsidRPr="007D3144" w14:paraId="71B04045" w14:textId="77777777">
        <w:trPr>
          <w:trHeight w:val="255"/>
        </w:trPr>
        <w:tc>
          <w:tcPr>
            <w:tcW w:w="6517" w:type="dxa"/>
          </w:tcPr>
          <w:p w14:paraId="30B23138" w14:textId="77777777" w:rsidR="004C7180" w:rsidRPr="00150EDC" w:rsidRDefault="00CF0754">
            <w:pPr>
              <w:pStyle w:val="TableParagraph"/>
              <w:rPr>
                <w:sz w:val="20"/>
              </w:rPr>
            </w:pPr>
            <w:r w:rsidRPr="00150EDC">
              <w:rPr>
                <w:sz w:val="20"/>
              </w:rPr>
              <w:t>Female</w:t>
            </w:r>
            <w:r w:rsidRPr="00150EDC">
              <w:rPr>
                <w:spacing w:val="-4"/>
                <w:sz w:val="20"/>
              </w:rPr>
              <w:t xml:space="preserve"> </w:t>
            </w:r>
            <w:r w:rsidRPr="00150EDC">
              <w:rPr>
                <w:sz w:val="20"/>
              </w:rPr>
              <w:t>Genital</w:t>
            </w:r>
            <w:r w:rsidRPr="00150EDC">
              <w:rPr>
                <w:spacing w:val="-4"/>
                <w:sz w:val="20"/>
              </w:rPr>
              <w:t xml:space="preserve"> </w:t>
            </w:r>
            <w:r w:rsidRPr="00150EDC">
              <w:rPr>
                <w:sz w:val="20"/>
              </w:rPr>
              <w:t>Mutilation</w:t>
            </w:r>
            <w:r w:rsidRPr="00150EDC">
              <w:rPr>
                <w:spacing w:val="-8"/>
                <w:sz w:val="20"/>
              </w:rPr>
              <w:t xml:space="preserve"> </w:t>
            </w:r>
            <w:r w:rsidRPr="00150EDC">
              <w:rPr>
                <w:sz w:val="20"/>
              </w:rPr>
              <w:t>Act</w:t>
            </w:r>
            <w:r w:rsidRPr="00150EDC">
              <w:rPr>
                <w:spacing w:val="-8"/>
                <w:sz w:val="20"/>
              </w:rPr>
              <w:t xml:space="preserve"> </w:t>
            </w:r>
            <w:r w:rsidRPr="00150EDC">
              <w:rPr>
                <w:sz w:val="20"/>
              </w:rPr>
              <w:t>2003,</w:t>
            </w:r>
            <w:r w:rsidRPr="00150EDC">
              <w:rPr>
                <w:spacing w:val="-8"/>
                <w:sz w:val="20"/>
              </w:rPr>
              <w:t xml:space="preserve"> </w:t>
            </w:r>
            <w:r w:rsidRPr="00150EDC">
              <w:rPr>
                <w:spacing w:val="-5"/>
                <w:sz w:val="20"/>
              </w:rPr>
              <w:t>s2</w:t>
            </w:r>
          </w:p>
        </w:tc>
        <w:tc>
          <w:tcPr>
            <w:tcW w:w="7427" w:type="dxa"/>
          </w:tcPr>
          <w:p w14:paraId="3F170890" w14:textId="77777777" w:rsidR="004C7180" w:rsidRPr="00150EDC" w:rsidRDefault="00CF0754">
            <w:pPr>
              <w:pStyle w:val="TableParagraph"/>
              <w:rPr>
                <w:sz w:val="20"/>
              </w:rPr>
            </w:pPr>
            <w:r w:rsidRPr="00150EDC">
              <w:rPr>
                <w:sz w:val="20"/>
              </w:rPr>
              <w:t>Assisting</w:t>
            </w:r>
            <w:r w:rsidRPr="00150EDC">
              <w:rPr>
                <w:spacing w:val="-5"/>
                <w:sz w:val="20"/>
              </w:rPr>
              <w:t xml:space="preserve"> </w:t>
            </w:r>
            <w:r w:rsidRPr="00150EDC">
              <w:rPr>
                <w:sz w:val="20"/>
              </w:rPr>
              <w:t>a</w:t>
            </w:r>
            <w:r w:rsidRPr="00150EDC">
              <w:rPr>
                <w:spacing w:val="-4"/>
                <w:sz w:val="20"/>
              </w:rPr>
              <w:t xml:space="preserve"> </w:t>
            </w:r>
            <w:r w:rsidRPr="00150EDC">
              <w:rPr>
                <w:sz w:val="20"/>
              </w:rPr>
              <w:t>girl</w:t>
            </w:r>
            <w:r w:rsidRPr="00150EDC">
              <w:rPr>
                <w:spacing w:val="-3"/>
                <w:sz w:val="20"/>
              </w:rPr>
              <w:t xml:space="preserve"> </w:t>
            </w:r>
            <w:r w:rsidRPr="00150EDC">
              <w:rPr>
                <w:sz w:val="20"/>
              </w:rPr>
              <w:t>to mutilate</w:t>
            </w:r>
            <w:r w:rsidRPr="00150EDC">
              <w:rPr>
                <w:spacing w:val="-4"/>
                <w:sz w:val="20"/>
              </w:rPr>
              <w:t xml:space="preserve"> </w:t>
            </w:r>
            <w:r w:rsidRPr="00150EDC">
              <w:rPr>
                <w:sz w:val="20"/>
              </w:rPr>
              <w:t>her own</w:t>
            </w:r>
            <w:r w:rsidRPr="00150EDC">
              <w:rPr>
                <w:spacing w:val="-2"/>
                <w:sz w:val="20"/>
              </w:rPr>
              <w:t xml:space="preserve"> genitalia</w:t>
            </w:r>
          </w:p>
        </w:tc>
      </w:tr>
      <w:tr w:rsidR="004569EE" w:rsidRPr="007D3144" w14:paraId="650CA6E5" w14:textId="77777777">
        <w:trPr>
          <w:trHeight w:val="255"/>
        </w:trPr>
        <w:tc>
          <w:tcPr>
            <w:tcW w:w="6517" w:type="dxa"/>
          </w:tcPr>
          <w:p w14:paraId="119E8D9B" w14:textId="77777777" w:rsidR="004C7180" w:rsidRPr="00150EDC" w:rsidRDefault="00CF0754">
            <w:pPr>
              <w:pStyle w:val="TableParagraph"/>
              <w:rPr>
                <w:sz w:val="20"/>
              </w:rPr>
            </w:pPr>
            <w:r w:rsidRPr="00150EDC">
              <w:rPr>
                <w:sz w:val="20"/>
              </w:rPr>
              <w:t>Female</w:t>
            </w:r>
            <w:r w:rsidRPr="00150EDC">
              <w:rPr>
                <w:spacing w:val="-4"/>
                <w:sz w:val="20"/>
              </w:rPr>
              <w:t xml:space="preserve"> </w:t>
            </w:r>
            <w:r w:rsidRPr="00150EDC">
              <w:rPr>
                <w:sz w:val="20"/>
              </w:rPr>
              <w:t>Genital</w:t>
            </w:r>
            <w:r w:rsidRPr="00150EDC">
              <w:rPr>
                <w:spacing w:val="-4"/>
                <w:sz w:val="20"/>
              </w:rPr>
              <w:t xml:space="preserve"> </w:t>
            </w:r>
            <w:r w:rsidRPr="00150EDC">
              <w:rPr>
                <w:sz w:val="20"/>
              </w:rPr>
              <w:t>Mutilation</w:t>
            </w:r>
            <w:r w:rsidRPr="00150EDC">
              <w:rPr>
                <w:spacing w:val="-8"/>
                <w:sz w:val="20"/>
              </w:rPr>
              <w:t xml:space="preserve"> </w:t>
            </w:r>
            <w:r w:rsidRPr="00150EDC">
              <w:rPr>
                <w:sz w:val="20"/>
              </w:rPr>
              <w:t>Act</w:t>
            </w:r>
            <w:r w:rsidRPr="00150EDC">
              <w:rPr>
                <w:spacing w:val="-8"/>
                <w:sz w:val="20"/>
              </w:rPr>
              <w:t xml:space="preserve"> </w:t>
            </w:r>
            <w:r w:rsidRPr="00150EDC">
              <w:rPr>
                <w:sz w:val="20"/>
              </w:rPr>
              <w:t>2003,</w:t>
            </w:r>
            <w:r w:rsidRPr="00150EDC">
              <w:rPr>
                <w:spacing w:val="-8"/>
                <w:sz w:val="20"/>
              </w:rPr>
              <w:t xml:space="preserve"> </w:t>
            </w:r>
            <w:r w:rsidRPr="00150EDC">
              <w:rPr>
                <w:spacing w:val="-5"/>
                <w:sz w:val="20"/>
              </w:rPr>
              <w:t>s3</w:t>
            </w:r>
          </w:p>
        </w:tc>
        <w:tc>
          <w:tcPr>
            <w:tcW w:w="7427" w:type="dxa"/>
          </w:tcPr>
          <w:p w14:paraId="0AAB3493" w14:textId="77777777" w:rsidR="004C7180" w:rsidRPr="00150EDC" w:rsidRDefault="00CF0754">
            <w:pPr>
              <w:pStyle w:val="TableParagraph"/>
              <w:rPr>
                <w:sz w:val="20"/>
              </w:rPr>
            </w:pPr>
            <w:r w:rsidRPr="00150EDC">
              <w:rPr>
                <w:sz w:val="20"/>
              </w:rPr>
              <w:t>Assisting</w:t>
            </w:r>
            <w:r w:rsidRPr="00150EDC">
              <w:rPr>
                <w:spacing w:val="-5"/>
                <w:sz w:val="20"/>
              </w:rPr>
              <w:t xml:space="preserve"> </w:t>
            </w:r>
            <w:r w:rsidRPr="00150EDC">
              <w:rPr>
                <w:sz w:val="20"/>
              </w:rPr>
              <w:t>a</w:t>
            </w:r>
            <w:r w:rsidRPr="00150EDC">
              <w:rPr>
                <w:spacing w:val="-5"/>
                <w:sz w:val="20"/>
              </w:rPr>
              <w:t xml:space="preserve"> </w:t>
            </w:r>
            <w:r w:rsidRPr="00150EDC">
              <w:rPr>
                <w:sz w:val="20"/>
              </w:rPr>
              <w:t>non-uk</w:t>
            </w:r>
            <w:r w:rsidRPr="00150EDC">
              <w:rPr>
                <w:spacing w:val="-3"/>
                <w:sz w:val="20"/>
              </w:rPr>
              <w:t xml:space="preserve"> </w:t>
            </w:r>
            <w:r w:rsidRPr="00150EDC">
              <w:rPr>
                <w:sz w:val="20"/>
              </w:rPr>
              <w:t>person</w:t>
            </w:r>
            <w:r w:rsidRPr="00150EDC">
              <w:rPr>
                <w:spacing w:val="-5"/>
                <w:sz w:val="20"/>
              </w:rPr>
              <w:t xml:space="preserve"> </w:t>
            </w:r>
            <w:r w:rsidRPr="00150EDC">
              <w:rPr>
                <w:sz w:val="20"/>
              </w:rPr>
              <w:t>to</w:t>
            </w:r>
            <w:r w:rsidRPr="00150EDC">
              <w:rPr>
                <w:spacing w:val="-5"/>
                <w:sz w:val="20"/>
              </w:rPr>
              <w:t xml:space="preserve"> </w:t>
            </w:r>
            <w:r w:rsidRPr="00150EDC">
              <w:rPr>
                <w:sz w:val="20"/>
              </w:rPr>
              <w:t>mutilate</w:t>
            </w:r>
            <w:r w:rsidRPr="00150EDC">
              <w:rPr>
                <w:spacing w:val="-4"/>
                <w:sz w:val="20"/>
              </w:rPr>
              <w:t xml:space="preserve"> </w:t>
            </w:r>
            <w:r w:rsidRPr="00150EDC">
              <w:rPr>
                <w:sz w:val="20"/>
              </w:rPr>
              <w:t>overseas</w:t>
            </w:r>
            <w:r w:rsidRPr="00150EDC">
              <w:rPr>
                <w:spacing w:val="1"/>
                <w:sz w:val="20"/>
              </w:rPr>
              <w:t xml:space="preserve"> </w:t>
            </w:r>
            <w:r w:rsidRPr="00150EDC">
              <w:rPr>
                <w:sz w:val="20"/>
              </w:rPr>
              <w:t>a</w:t>
            </w:r>
            <w:r w:rsidRPr="00150EDC">
              <w:rPr>
                <w:spacing w:val="-5"/>
                <w:sz w:val="20"/>
              </w:rPr>
              <w:t xml:space="preserve"> </w:t>
            </w:r>
            <w:r w:rsidRPr="00150EDC">
              <w:rPr>
                <w:sz w:val="20"/>
              </w:rPr>
              <w:t>girls</w:t>
            </w:r>
            <w:r w:rsidRPr="00150EDC">
              <w:rPr>
                <w:spacing w:val="-2"/>
                <w:sz w:val="20"/>
              </w:rPr>
              <w:t xml:space="preserve"> genitalia</w:t>
            </w:r>
          </w:p>
        </w:tc>
      </w:tr>
      <w:tr w:rsidR="004569EE" w:rsidRPr="007D3144" w14:paraId="0BE4A3B2" w14:textId="77777777">
        <w:trPr>
          <w:trHeight w:val="250"/>
        </w:trPr>
        <w:tc>
          <w:tcPr>
            <w:tcW w:w="6517" w:type="dxa"/>
            <w:tcBorders>
              <w:bottom w:val="single" w:sz="12" w:space="0" w:color="000000"/>
            </w:tcBorders>
          </w:tcPr>
          <w:p w14:paraId="316B8193" w14:textId="77777777" w:rsidR="004C7180" w:rsidRPr="00150EDC" w:rsidRDefault="00CF0754">
            <w:pPr>
              <w:pStyle w:val="TableParagraph"/>
              <w:spacing w:line="203" w:lineRule="exact"/>
              <w:rPr>
                <w:sz w:val="20"/>
              </w:rPr>
            </w:pPr>
            <w:r w:rsidRPr="00150EDC">
              <w:rPr>
                <w:sz w:val="20"/>
              </w:rPr>
              <w:t>Fire</w:t>
            </w:r>
            <w:r w:rsidRPr="00150EDC">
              <w:rPr>
                <w:spacing w:val="-6"/>
                <w:sz w:val="20"/>
              </w:rPr>
              <w:t xml:space="preserve"> </w:t>
            </w:r>
            <w:r w:rsidRPr="00150EDC">
              <w:rPr>
                <w:sz w:val="20"/>
              </w:rPr>
              <w:t>Service</w:t>
            </w:r>
            <w:r w:rsidRPr="00150EDC">
              <w:rPr>
                <w:spacing w:val="-2"/>
                <w:sz w:val="20"/>
              </w:rPr>
              <w:t xml:space="preserve"> </w:t>
            </w:r>
            <w:r w:rsidRPr="00150EDC">
              <w:rPr>
                <w:sz w:val="20"/>
              </w:rPr>
              <w:t>(Jersey)</w:t>
            </w:r>
            <w:r w:rsidRPr="00150EDC">
              <w:rPr>
                <w:spacing w:val="-5"/>
                <w:sz w:val="20"/>
              </w:rPr>
              <w:t xml:space="preserve"> </w:t>
            </w:r>
            <w:r w:rsidRPr="00150EDC">
              <w:rPr>
                <w:sz w:val="20"/>
              </w:rPr>
              <w:t>Law</w:t>
            </w:r>
            <w:r w:rsidRPr="00150EDC">
              <w:rPr>
                <w:spacing w:val="-4"/>
                <w:sz w:val="20"/>
              </w:rPr>
              <w:t xml:space="preserve"> </w:t>
            </w:r>
            <w:r w:rsidRPr="00150EDC">
              <w:rPr>
                <w:sz w:val="20"/>
              </w:rPr>
              <w:t>1959,</w:t>
            </w:r>
            <w:r w:rsidRPr="00150EDC">
              <w:rPr>
                <w:spacing w:val="-6"/>
                <w:sz w:val="20"/>
              </w:rPr>
              <w:t xml:space="preserve"> </w:t>
            </w:r>
            <w:r w:rsidRPr="00150EDC">
              <w:rPr>
                <w:sz w:val="20"/>
              </w:rPr>
              <w:t>Art</w:t>
            </w:r>
            <w:r w:rsidRPr="00150EDC">
              <w:rPr>
                <w:spacing w:val="-6"/>
                <w:sz w:val="20"/>
              </w:rPr>
              <w:t xml:space="preserve"> </w:t>
            </w:r>
            <w:r w:rsidRPr="00150EDC">
              <w:rPr>
                <w:spacing w:val="-5"/>
                <w:sz w:val="20"/>
              </w:rPr>
              <w:t>14</w:t>
            </w:r>
          </w:p>
        </w:tc>
        <w:tc>
          <w:tcPr>
            <w:tcW w:w="7427" w:type="dxa"/>
            <w:tcBorders>
              <w:bottom w:val="single" w:sz="12" w:space="0" w:color="000000"/>
            </w:tcBorders>
          </w:tcPr>
          <w:p w14:paraId="0456AAD7" w14:textId="77777777" w:rsidR="004C7180" w:rsidRPr="00150EDC" w:rsidRDefault="00CF0754">
            <w:pPr>
              <w:pStyle w:val="TableParagraph"/>
              <w:spacing w:line="203" w:lineRule="exact"/>
              <w:rPr>
                <w:sz w:val="20"/>
              </w:rPr>
            </w:pPr>
            <w:r w:rsidRPr="00150EDC">
              <w:rPr>
                <w:spacing w:val="-2"/>
                <w:sz w:val="20"/>
              </w:rPr>
              <w:t>Arson</w:t>
            </w:r>
          </w:p>
        </w:tc>
      </w:tr>
      <w:tr w:rsidR="004569EE" w:rsidRPr="007D3144" w14:paraId="13B6ACC0" w14:textId="77777777">
        <w:trPr>
          <w:trHeight w:val="250"/>
        </w:trPr>
        <w:tc>
          <w:tcPr>
            <w:tcW w:w="6517" w:type="dxa"/>
            <w:tcBorders>
              <w:top w:val="single" w:sz="12" w:space="0" w:color="000000"/>
            </w:tcBorders>
          </w:tcPr>
          <w:p w14:paraId="5D688FDF" w14:textId="77777777" w:rsidR="004C7180" w:rsidRPr="00150EDC" w:rsidRDefault="00CF0754">
            <w:pPr>
              <w:pStyle w:val="TableParagraph"/>
              <w:spacing w:before="22"/>
              <w:rPr>
                <w:sz w:val="20"/>
              </w:rPr>
            </w:pPr>
            <w:r w:rsidRPr="00150EDC">
              <w:rPr>
                <w:sz w:val="20"/>
              </w:rPr>
              <w:t>Firearms</w:t>
            </w:r>
            <w:r w:rsidRPr="00150EDC">
              <w:rPr>
                <w:spacing w:val="-6"/>
                <w:sz w:val="20"/>
              </w:rPr>
              <w:t xml:space="preserve"> </w:t>
            </w:r>
            <w:r w:rsidRPr="00150EDC">
              <w:rPr>
                <w:sz w:val="20"/>
              </w:rPr>
              <w:t>(Guernsey)</w:t>
            </w:r>
            <w:r w:rsidRPr="00150EDC">
              <w:rPr>
                <w:spacing w:val="-7"/>
                <w:sz w:val="20"/>
              </w:rPr>
              <w:t xml:space="preserve"> </w:t>
            </w:r>
            <w:r w:rsidRPr="00150EDC">
              <w:rPr>
                <w:sz w:val="20"/>
              </w:rPr>
              <w:t>Law</w:t>
            </w:r>
            <w:r w:rsidRPr="00150EDC">
              <w:rPr>
                <w:spacing w:val="-4"/>
                <w:sz w:val="20"/>
              </w:rPr>
              <w:t xml:space="preserve"> </w:t>
            </w:r>
            <w:r w:rsidRPr="00150EDC">
              <w:rPr>
                <w:sz w:val="20"/>
              </w:rPr>
              <w:t>1983,</w:t>
            </w:r>
            <w:r w:rsidRPr="00150EDC">
              <w:rPr>
                <w:spacing w:val="-7"/>
                <w:sz w:val="20"/>
              </w:rPr>
              <w:t xml:space="preserve"> </w:t>
            </w:r>
            <w:r w:rsidRPr="00150EDC">
              <w:rPr>
                <w:spacing w:val="-5"/>
                <w:sz w:val="20"/>
              </w:rPr>
              <w:t>s14</w:t>
            </w:r>
          </w:p>
        </w:tc>
        <w:tc>
          <w:tcPr>
            <w:tcW w:w="7427" w:type="dxa"/>
            <w:tcBorders>
              <w:top w:val="single" w:sz="12" w:space="0" w:color="000000"/>
            </w:tcBorders>
          </w:tcPr>
          <w:p w14:paraId="0F643E4C" w14:textId="77777777" w:rsidR="004C7180" w:rsidRPr="00150EDC" w:rsidRDefault="00CF0754">
            <w:pPr>
              <w:pStyle w:val="TableParagraph"/>
              <w:spacing w:before="22"/>
              <w:rPr>
                <w:sz w:val="20"/>
              </w:rPr>
            </w:pPr>
            <w:r w:rsidRPr="00150EDC">
              <w:rPr>
                <w:sz w:val="20"/>
              </w:rPr>
              <w:t>Possession</w:t>
            </w:r>
            <w:r w:rsidRPr="00150EDC">
              <w:rPr>
                <w:spacing w:val="-6"/>
                <w:sz w:val="20"/>
              </w:rPr>
              <w:t xml:space="preserve"> </w:t>
            </w:r>
            <w:r w:rsidRPr="00150EDC">
              <w:rPr>
                <w:sz w:val="20"/>
              </w:rPr>
              <w:t>of</w:t>
            </w:r>
            <w:r w:rsidRPr="00150EDC">
              <w:rPr>
                <w:spacing w:val="-5"/>
                <w:sz w:val="20"/>
              </w:rPr>
              <w:t xml:space="preserve"> </w:t>
            </w:r>
            <w:r w:rsidRPr="00150EDC">
              <w:rPr>
                <w:sz w:val="20"/>
              </w:rPr>
              <w:t>firearm</w:t>
            </w:r>
            <w:r w:rsidRPr="00150EDC">
              <w:rPr>
                <w:spacing w:val="-6"/>
                <w:sz w:val="20"/>
              </w:rPr>
              <w:t xml:space="preserve"> </w:t>
            </w:r>
            <w:r w:rsidRPr="00150EDC">
              <w:rPr>
                <w:sz w:val="20"/>
              </w:rPr>
              <w:t>with</w:t>
            </w:r>
            <w:r w:rsidRPr="00150EDC">
              <w:rPr>
                <w:spacing w:val="-5"/>
                <w:sz w:val="20"/>
              </w:rPr>
              <w:t xml:space="preserve"> </w:t>
            </w:r>
            <w:r w:rsidRPr="00150EDC">
              <w:rPr>
                <w:sz w:val="20"/>
              </w:rPr>
              <w:t>intent</w:t>
            </w:r>
            <w:r w:rsidRPr="00150EDC">
              <w:rPr>
                <w:spacing w:val="-6"/>
                <w:sz w:val="20"/>
              </w:rPr>
              <w:t xml:space="preserve"> </w:t>
            </w:r>
            <w:r w:rsidRPr="00150EDC">
              <w:rPr>
                <w:sz w:val="20"/>
              </w:rPr>
              <w:t>to</w:t>
            </w:r>
            <w:r w:rsidRPr="00150EDC">
              <w:rPr>
                <w:spacing w:val="-2"/>
                <w:sz w:val="20"/>
              </w:rPr>
              <w:t xml:space="preserve"> </w:t>
            </w:r>
            <w:r w:rsidRPr="00150EDC">
              <w:rPr>
                <w:sz w:val="20"/>
              </w:rPr>
              <w:t xml:space="preserve">endanger </w:t>
            </w:r>
            <w:r w:rsidRPr="00150EDC">
              <w:rPr>
                <w:spacing w:val="-4"/>
                <w:sz w:val="20"/>
              </w:rPr>
              <w:t>life</w:t>
            </w:r>
          </w:p>
        </w:tc>
      </w:tr>
      <w:tr w:rsidR="004569EE" w:rsidRPr="007D3144" w14:paraId="15E6F769" w14:textId="77777777">
        <w:trPr>
          <w:trHeight w:val="255"/>
        </w:trPr>
        <w:tc>
          <w:tcPr>
            <w:tcW w:w="6517" w:type="dxa"/>
          </w:tcPr>
          <w:p w14:paraId="620DEBA2" w14:textId="77777777" w:rsidR="004C7180" w:rsidRPr="00150EDC" w:rsidRDefault="00CF0754">
            <w:pPr>
              <w:pStyle w:val="TableParagraph"/>
              <w:rPr>
                <w:sz w:val="20"/>
              </w:rPr>
            </w:pPr>
            <w:r w:rsidRPr="00150EDC">
              <w:rPr>
                <w:sz w:val="20"/>
              </w:rPr>
              <w:t>Firearms</w:t>
            </w:r>
            <w:r w:rsidRPr="00150EDC">
              <w:rPr>
                <w:spacing w:val="-6"/>
                <w:sz w:val="20"/>
              </w:rPr>
              <w:t xml:space="preserve"> </w:t>
            </w:r>
            <w:r w:rsidRPr="00150EDC">
              <w:rPr>
                <w:sz w:val="20"/>
              </w:rPr>
              <w:t>(Guernsey)</w:t>
            </w:r>
            <w:r w:rsidRPr="00150EDC">
              <w:rPr>
                <w:spacing w:val="-7"/>
                <w:sz w:val="20"/>
              </w:rPr>
              <w:t xml:space="preserve"> </w:t>
            </w:r>
            <w:r w:rsidRPr="00150EDC">
              <w:rPr>
                <w:sz w:val="20"/>
              </w:rPr>
              <w:t>Law</w:t>
            </w:r>
            <w:r w:rsidRPr="00150EDC">
              <w:rPr>
                <w:spacing w:val="-4"/>
                <w:sz w:val="20"/>
              </w:rPr>
              <w:t xml:space="preserve"> </w:t>
            </w:r>
            <w:r w:rsidRPr="00150EDC">
              <w:rPr>
                <w:sz w:val="20"/>
              </w:rPr>
              <w:t>1983,</w:t>
            </w:r>
            <w:r w:rsidRPr="00150EDC">
              <w:rPr>
                <w:spacing w:val="-7"/>
                <w:sz w:val="20"/>
              </w:rPr>
              <w:t xml:space="preserve"> </w:t>
            </w:r>
            <w:r w:rsidRPr="00150EDC">
              <w:rPr>
                <w:spacing w:val="-5"/>
                <w:sz w:val="20"/>
              </w:rPr>
              <w:t>s15</w:t>
            </w:r>
          </w:p>
        </w:tc>
        <w:tc>
          <w:tcPr>
            <w:tcW w:w="7427" w:type="dxa"/>
          </w:tcPr>
          <w:p w14:paraId="4B15944C" w14:textId="77777777" w:rsidR="004C7180" w:rsidRPr="00150EDC" w:rsidRDefault="00CF0754">
            <w:pPr>
              <w:pStyle w:val="TableParagraph"/>
              <w:rPr>
                <w:sz w:val="20"/>
              </w:rPr>
            </w:pPr>
            <w:r w:rsidRPr="00150EDC">
              <w:rPr>
                <w:sz w:val="20"/>
              </w:rPr>
              <w:t>Using</w:t>
            </w:r>
            <w:r w:rsidRPr="00150EDC">
              <w:rPr>
                <w:spacing w:val="-5"/>
                <w:sz w:val="20"/>
              </w:rPr>
              <w:t xml:space="preserve"> </w:t>
            </w:r>
            <w:r w:rsidRPr="00150EDC">
              <w:rPr>
                <w:sz w:val="20"/>
              </w:rPr>
              <w:t>firearm</w:t>
            </w:r>
            <w:r w:rsidRPr="00150EDC">
              <w:rPr>
                <w:spacing w:val="-4"/>
                <w:sz w:val="20"/>
              </w:rPr>
              <w:t xml:space="preserve"> </w:t>
            </w:r>
            <w:r w:rsidRPr="00150EDC">
              <w:rPr>
                <w:sz w:val="20"/>
              </w:rPr>
              <w:t>with</w:t>
            </w:r>
            <w:r w:rsidRPr="00150EDC">
              <w:rPr>
                <w:spacing w:val="-5"/>
                <w:sz w:val="20"/>
              </w:rPr>
              <w:t xml:space="preserve"> </w:t>
            </w:r>
            <w:r w:rsidRPr="00150EDC">
              <w:rPr>
                <w:sz w:val="20"/>
              </w:rPr>
              <w:t>intent</w:t>
            </w:r>
            <w:r w:rsidRPr="00150EDC">
              <w:rPr>
                <w:spacing w:val="-4"/>
                <w:sz w:val="20"/>
              </w:rPr>
              <w:t xml:space="preserve"> </w:t>
            </w:r>
            <w:r w:rsidRPr="00150EDC">
              <w:rPr>
                <w:sz w:val="20"/>
              </w:rPr>
              <w:t>to</w:t>
            </w:r>
            <w:r w:rsidRPr="00150EDC">
              <w:rPr>
                <w:spacing w:val="-5"/>
                <w:sz w:val="20"/>
              </w:rPr>
              <w:t xml:space="preserve"> </w:t>
            </w:r>
            <w:r w:rsidRPr="00150EDC">
              <w:rPr>
                <w:sz w:val="20"/>
              </w:rPr>
              <w:t>resist arrest</w:t>
            </w:r>
            <w:r w:rsidRPr="00150EDC">
              <w:rPr>
                <w:spacing w:val="-4"/>
                <w:sz w:val="20"/>
              </w:rPr>
              <w:t xml:space="preserve"> </w:t>
            </w:r>
            <w:r w:rsidRPr="00150EDC">
              <w:rPr>
                <w:sz w:val="20"/>
              </w:rPr>
              <w:t>or</w:t>
            </w:r>
            <w:r w:rsidRPr="00150EDC">
              <w:rPr>
                <w:spacing w:val="-5"/>
                <w:sz w:val="20"/>
              </w:rPr>
              <w:t xml:space="preserve"> </w:t>
            </w:r>
            <w:r w:rsidRPr="00150EDC">
              <w:rPr>
                <w:sz w:val="20"/>
              </w:rPr>
              <w:t>commit</w:t>
            </w:r>
            <w:r w:rsidRPr="00150EDC">
              <w:rPr>
                <w:spacing w:val="2"/>
                <w:sz w:val="20"/>
              </w:rPr>
              <w:t xml:space="preserve"> </w:t>
            </w:r>
            <w:r w:rsidRPr="00150EDC">
              <w:rPr>
                <w:sz w:val="20"/>
              </w:rPr>
              <w:t>an</w:t>
            </w:r>
            <w:r w:rsidRPr="00150EDC">
              <w:rPr>
                <w:spacing w:val="-5"/>
                <w:sz w:val="20"/>
              </w:rPr>
              <w:t xml:space="preserve"> </w:t>
            </w:r>
            <w:r w:rsidRPr="00150EDC">
              <w:rPr>
                <w:spacing w:val="-2"/>
                <w:sz w:val="20"/>
              </w:rPr>
              <w:t>offence</w:t>
            </w:r>
          </w:p>
        </w:tc>
      </w:tr>
      <w:tr w:rsidR="004569EE" w:rsidRPr="007D3144" w14:paraId="18A91FAE" w14:textId="77777777">
        <w:trPr>
          <w:trHeight w:val="255"/>
        </w:trPr>
        <w:tc>
          <w:tcPr>
            <w:tcW w:w="6517" w:type="dxa"/>
          </w:tcPr>
          <w:p w14:paraId="58AE3BC7" w14:textId="77777777" w:rsidR="004C7180" w:rsidRPr="00150EDC" w:rsidRDefault="00CF0754">
            <w:pPr>
              <w:pStyle w:val="TableParagraph"/>
              <w:rPr>
                <w:sz w:val="20"/>
              </w:rPr>
            </w:pPr>
            <w:r w:rsidRPr="00150EDC">
              <w:rPr>
                <w:sz w:val="20"/>
              </w:rPr>
              <w:t>Firearms</w:t>
            </w:r>
            <w:r w:rsidRPr="00150EDC">
              <w:rPr>
                <w:spacing w:val="-6"/>
                <w:sz w:val="20"/>
              </w:rPr>
              <w:t xml:space="preserve"> </w:t>
            </w:r>
            <w:r w:rsidRPr="00150EDC">
              <w:rPr>
                <w:sz w:val="20"/>
              </w:rPr>
              <w:t>(Guernsey)</w:t>
            </w:r>
            <w:r w:rsidRPr="00150EDC">
              <w:rPr>
                <w:spacing w:val="-7"/>
                <w:sz w:val="20"/>
              </w:rPr>
              <w:t xml:space="preserve"> </w:t>
            </w:r>
            <w:r w:rsidRPr="00150EDC">
              <w:rPr>
                <w:sz w:val="20"/>
              </w:rPr>
              <w:t>Law</w:t>
            </w:r>
            <w:r w:rsidRPr="00150EDC">
              <w:rPr>
                <w:spacing w:val="-4"/>
                <w:sz w:val="20"/>
              </w:rPr>
              <w:t xml:space="preserve"> </w:t>
            </w:r>
            <w:r w:rsidRPr="00150EDC">
              <w:rPr>
                <w:sz w:val="20"/>
              </w:rPr>
              <w:t>1983,</w:t>
            </w:r>
            <w:r w:rsidRPr="00150EDC">
              <w:rPr>
                <w:spacing w:val="-7"/>
                <w:sz w:val="20"/>
              </w:rPr>
              <w:t xml:space="preserve"> </w:t>
            </w:r>
            <w:r w:rsidRPr="00150EDC">
              <w:rPr>
                <w:spacing w:val="-5"/>
                <w:sz w:val="20"/>
              </w:rPr>
              <w:t>s16</w:t>
            </w:r>
          </w:p>
        </w:tc>
        <w:tc>
          <w:tcPr>
            <w:tcW w:w="7427" w:type="dxa"/>
          </w:tcPr>
          <w:p w14:paraId="2F3829D2" w14:textId="77777777" w:rsidR="004C7180" w:rsidRPr="00150EDC" w:rsidRDefault="00CF0754">
            <w:pPr>
              <w:pStyle w:val="TableParagraph"/>
              <w:rPr>
                <w:sz w:val="20"/>
              </w:rPr>
            </w:pPr>
            <w:r w:rsidRPr="00150EDC">
              <w:rPr>
                <w:sz w:val="20"/>
              </w:rPr>
              <w:t>Carrying</w:t>
            </w:r>
            <w:r w:rsidRPr="00150EDC">
              <w:rPr>
                <w:spacing w:val="-6"/>
                <w:sz w:val="20"/>
              </w:rPr>
              <w:t xml:space="preserve"> </w:t>
            </w:r>
            <w:r w:rsidRPr="00150EDC">
              <w:rPr>
                <w:sz w:val="20"/>
              </w:rPr>
              <w:t>firearm</w:t>
            </w:r>
            <w:r w:rsidRPr="00150EDC">
              <w:rPr>
                <w:spacing w:val="-6"/>
                <w:sz w:val="20"/>
              </w:rPr>
              <w:t xml:space="preserve"> </w:t>
            </w:r>
            <w:r w:rsidRPr="00150EDC">
              <w:rPr>
                <w:sz w:val="20"/>
              </w:rPr>
              <w:t>with</w:t>
            </w:r>
            <w:r w:rsidRPr="00150EDC">
              <w:rPr>
                <w:spacing w:val="-6"/>
                <w:sz w:val="20"/>
              </w:rPr>
              <w:t xml:space="preserve"> </w:t>
            </w:r>
            <w:r w:rsidRPr="00150EDC">
              <w:rPr>
                <w:sz w:val="20"/>
              </w:rPr>
              <w:t>intent</w:t>
            </w:r>
            <w:r w:rsidRPr="00150EDC">
              <w:rPr>
                <w:spacing w:val="-5"/>
                <w:sz w:val="20"/>
              </w:rPr>
              <w:t xml:space="preserve"> </w:t>
            </w:r>
            <w:r w:rsidRPr="00150EDC">
              <w:rPr>
                <w:sz w:val="20"/>
              </w:rPr>
              <w:t>to</w:t>
            </w:r>
            <w:r w:rsidRPr="00150EDC">
              <w:rPr>
                <w:spacing w:val="-1"/>
                <w:sz w:val="20"/>
              </w:rPr>
              <w:t xml:space="preserve"> </w:t>
            </w:r>
            <w:r w:rsidRPr="00150EDC">
              <w:rPr>
                <w:sz w:val="20"/>
              </w:rPr>
              <w:t>prevent</w:t>
            </w:r>
            <w:r w:rsidRPr="00150EDC">
              <w:rPr>
                <w:spacing w:val="-6"/>
                <w:sz w:val="20"/>
              </w:rPr>
              <w:t xml:space="preserve"> </w:t>
            </w:r>
            <w:r w:rsidRPr="00150EDC">
              <w:rPr>
                <w:spacing w:val="-2"/>
                <w:sz w:val="20"/>
              </w:rPr>
              <w:t>arrest</w:t>
            </w:r>
          </w:p>
        </w:tc>
      </w:tr>
      <w:tr w:rsidR="004569EE" w:rsidRPr="007D3144" w14:paraId="787207C7" w14:textId="77777777">
        <w:trPr>
          <w:trHeight w:val="255"/>
        </w:trPr>
        <w:tc>
          <w:tcPr>
            <w:tcW w:w="6517" w:type="dxa"/>
          </w:tcPr>
          <w:p w14:paraId="2B310724" w14:textId="77777777" w:rsidR="004C7180" w:rsidRPr="00150EDC" w:rsidRDefault="00CF0754">
            <w:pPr>
              <w:pStyle w:val="TableParagraph"/>
              <w:rPr>
                <w:sz w:val="20"/>
              </w:rPr>
            </w:pPr>
            <w:r w:rsidRPr="00150EDC">
              <w:rPr>
                <w:sz w:val="20"/>
              </w:rPr>
              <w:t>Firearms</w:t>
            </w:r>
            <w:r w:rsidRPr="00150EDC">
              <w:rPr>
                <w:spacing w:val="-6"/>
                <w:sz w:val="20"/>
              </w:rPr>
              <w:t xml:space="preserve"> </w:t>
            </w:r>
            <w:r w:rsidRPr="00150EDC">
              <w:rPr>
                <w:sz w:val="20"/>
              </w:rPr>
              <w:t>(Guernsey)</w:t>
            </w:r>
            <w:r w:rsidRPr="00150EDC">
              <w:rPr>
                <w:spacing w:val="-7"/>
                <w:sz w:val="20"/>
              </w:rPr>
              <w:t xml:space="preserve"> </w:t>
            </w:r>
            <w:r w:rsidRPr="00150EDC">
              <w:rPr>
                <w:sz w:val="20"/>
              </w:rPr>
              <w:t>Law</w:t>
            </w:r>
            <w:r w:rsidRPr="00150EDC">
              <w:rPr>
                <w:spacing w:val="-4"/>
                <w:sz w:val="20"/>
              </w:rPr>
              <w:t xml:space="preserve"> </w:t>
            </w:r>
            <w:r w:rsidRPr="00150EDC">
              <w:rPr>
                <w:sz w:val="20"/>
              </w:rPr>
              <w:t>1998,</w:t>
            </w:r>
            <w:r w:rsidRPr="00150EDC">
              <w:rPr>
                <w:spacing w:val="-7"/>
                <w:sz w:val="20"/>
              </w:rPr>
              <w:t xml:space="preserve"> </w:t>
            </w:r>
            <w:r w:rsidRPr="00150EDC">
              <w:rPr>
                <w:spacing w:val="-5"/>
                <w:sz w:val="20"/>
              </w:rPr>
              <w:t>s17</w:t>
            </w:r>
          </w:p>
        </w:tc>
        <w:tc>
          <w:tcPr>
            <w:tcW w:w="7427" w:type="dxa"/>
          </w:tcPr>
          <w:p w14:paraId="12EBBB02" w14:textId="77777777" w:rsidR="004C7180" w:rsidRPr="00150EDC" w:rsidRDefault="00CF0754">
            <w:pPr>
              <w:pStyle w:val="TableParagraph"/>
              <w:rPr>
                <w:sz w:val="20"/>
              </w:rPr>
            </w:pPr>
            <w:r w:rsidRPr="00150EDC">
              <w:rPr>
                <w:sz w:val="20"/>
              </w:rPr>
              <w:t>Possession</w:t>
            </w:r>
            <w:r w:rsidRPr="00150EDC">
              <w:rPr>
                <w:spacing w:val="-6"/>
                <w:sz w:val="20"/>
              </w:rPr>
              <w:t xml:space="preserve"> </w:t>
            </w:r>
            <w:r w:rsidRPr="00150EDC">
              <w:rPr>
                <w:sz w:val="20"/>
              </w:rPr>
              <w:t>of</w:t>
            </w:r>
            <w:r w:rsidRPr="00150EDC">
              <w:rPr>
                <w:spacing w:val="-5"/>
                <w:sz w:val="20"/>
              </w:rPr>
              <w:t xml:space="preserve"> </w:t>
            </w:r>
            <w:r w:rsidRPr="00150EDC">
              <w:rPr>
                <w:sz w:val="20"/>
              </w:rPr>
              <w:t>firearm</w:t>
            </w:r>
            <w:r w:rsidRPr="00150EDC">
              <w:rPr>
                <w:spacing w:val="-6"/>
                <w:sz w:val="20"/>
              </w:rPr>
              <w:t xml:space="preserve"> </w:t>
            </w:r>
            <w:r w:rsidRPr="00150EDC">
              <w:rPr>
                <w:sz w:val="20"/>
              </w:rPr>
              <w:t>with</w:t>
            </w:r>
            <w:r w:rsidRPr="00150EDC">
              <w:rPr>
                <w:spacing w:val="-5"/>
                <w:sz w:val="20"/>
              </w:rPr>
              <w:t xml:space="preserve"> </w:t>
            </w:r>
            <w:r w:rsidRPr="00150EDC">
              <w:rPr>
                <w:sz w:val="20"/>
              </w:rPr>
              <w:t>intent</w:t>
            </w:r>
            <w:r w:rsidRPr="00150EDC">
              <w:rPr>
                <w:spacing w:val="-6"/>
                <w:sz w:val="20"/>
              </w:rPr>
              <w:t xml:space="preserve"> </w:t>
            </w:r>
            <w:r w:rsidRPr="00150EDC">
              <w:rPr>
                <w:sz w:val="20"/>
              </w:rPr>
              <w:t xml:space="preserve">to endanger </w:t>
            </w:r>
            <w:r w:rsidRPr="00150EDC">
              <w:rPr>
                <w:spacing w:val="-4"/>
                <w:sz w:val="20"/>
              </w:rPr>
              <w:t>life</w:t>
            </w:r>
          </w:p>
        </w:tc>
      </w:tr>
      <w:tr w:rsidR="004569EE" w:rsidRPr="007D3144" w14:paraId="04F009DE" w14:textId="77777777">
        <w:trPr>
          <w:trHeight w:val="255"/>
        </w:trPr>
        <w:tc>
          <w:tcPr>
            <w:tcW w:w="6517" w:type="dxa"/>
          </w:tcPr>
          <w:p w14:paraId="49A14525" w14:textId="77777777" w:rsidR="004C7180" w:rsidRPr="00150EDC" w:rsidRDefault="00CF0754">
            <w:pPr>
              <w:pStyle w:val="TableParagraph"/>
              <w:spacing w:before="28"/>
              <w:rPr>
                <w:sz w:val="20"/>
              </w:rPr>
            </w:pPr>
            <w:r w:rsidRPr="00150EDC">
              <w:rPr>
                <w:sz w:val="20"/>
              </w:rPr>
              <w:t>Firearms</w:t>
            </w:r>
            <w:r w:rsidRPr="00150EDC">
              <w:rPr>
                <w:spacing w:val="-6"/>
                <w:sz w:val="20"/>
              </w:rPr>
              <w:t xml:space="preserve"> </w:t>
            </w:r>
            <w:r w:rsidRPr="00150EDC">
              <w:rPr>
                <w:sz w:val="20"/>
              </w:rPr>
              <w:t>(Guernsey)</w:t>
            </w:r>
            <w:r w:rsidRPr="00150EDC">
              <w:rPr>
                <w:spacing w:val="-7"/>
                <w:sz w:val="20"/>
              </w:rPr>
              <w:t xml:space="preserve"> </w:t>
            </w:r>
            <w:r w:rsidRPr="00150EDC">
              <w:rPr>
                <w:sz w:val="20"/>
              </w:rPr>
              <w:t>Law</w:t>
            </w:r>
            <w:r w:rsidRPr="00150EDC">
              <w:rPr>
                <w:spacing w:val="-4"/>
                <w:sz w:val="20"/>
              </w:rPr>
              <w:t xml:space="preserve"> </w:t>
            </w:r>
            <w:r w:rsidRPr="00150EDC">
              <w:rPr>
                <w:sz w:val="20"/>
              </w:rPr>
              <w:t>1998,</w:t>
            </w:r>
            <w:r w:rsidRPr="00150EDC">
              <w:rPr>
                <w:spacing w:val="-7"/>
                <w:sz w:val="20"/>
              </w:rPr>
              <w:t xml:space="preserve"> </w:t>
            </w:r>
            <w:r w:rsidRPr="00150EDC">
              <w:rPr>
                <w:spacing w:val="-5"/>
                <w:sz w:val="20"/>
              </w:rPr>
              <w:t>s18</w:t>
            </w:r>
          </w:p>
        </w:tc>
        <w:tc>
          <w:tcPr>
            <w:tcW w:w="7427" w:type="dxa"/>
          </w:tcPr>
          <w:p w14:paraId="4AE66CFD" w14:textId="77777777" w:rsidR="004C7180" w:rsidRPr="00150EDC" w:rsidRDefault="00CF0754">
            <w:pPr>
              <w:pStyle w:val="TableParagraph"/>
              <w:spacing w:before="28"/>
              <w:rPr>
                <w:sz w:val="20"/>
              </w:rPr>
            </w:pPr>
            <w:r w:rsidRPr="00150EDC">
              <w:rPr>
                <w:sz w:val="20"/>
              </w:rPr>
              <w:t>Using</w:t>
            </w:r>
            <w:r w:rsidRPr="00150EDC">
              <w:rPr>
                <w:spacing w:val="-5"/>
                <w:sz w:val="20"/>
              </w:rPr>
              <w:t xml:space="preserve"> </w:t>
            </w:r>
            <w:r w:rsidRPr="00150EDC">
              <w:rPr>
                <w:sz w:val="20"/>
              </w:rPr>
              <w:t>firearm</w:t>
            </w:r>
            <w:r w:rsidRPr="00150EDC">
              <w:rPr>
                <w:spacing w:val="-4"/>
                <w:sz w:val="20"/>
              </w:rPr>
              <w:t xml:space="preserve"> </w:t>
            </w:r>
            <w:r w:rsidRPr="00150EDC">
              <w:rPr>
                <w:sz w:val="20"/>
              </w:rPr>
              <w:t>with</w:t>
            </w:r>
            <w:r w:rsidRPr="00150EDC">
              <w:rPr>
                <w:spacing w:val="-5"/>
                <w:sz w:val="20"/>
              </w:rPr>
              <w:t xml:space="preserve"> </w:t>
            </w:r>
            <w:r w:rsidRPr="00150EDC">
              <w:rPr>
                <w:sz w:val="20"/>
              </w:rPr>
              <w:t>intent</w:t>
            </w:r>
            <w:r w:rsidRPr="00150EDC">
              <w:rPr>
                <w:spacing w:val="-4"/>
                <w:sz w:val="20"/>
              </w:rPr>
              <w:t xml:space="preserve"> </w:t>
            </w:r>
            <w:r w:rsidRPr="00150EDC">
              <w:rPr>
                <w:sz w:val="20"/>
              </w:rPr>
              <w:t>to</w:t>
            </w:r>
            <w:r w:rsidRPr="00150EDC">
              <w:rPr>
                <w:spacing w:val="-5"/>
                <w:sz w:val="20"/>
              </w:rPr>
              <w:t xml:space="preserve"> </w:t>
            </w:r>
            <w:r w:rsidRPr="00150EDC">
              <w:rPr>
                <w:sz w:val="20"/>
              </w:rPr>
              <w:t>resist arrest</w:t>
            </w:r>
            <w:r w:rsidRPr="00150EDC">
              <w:rPr>
                <w:spacing w:val="-4"/>
                <w:sz w:val="20"/>
              </w:rPr>
              <w:t xml:space="preserve"> </w:t>
            </w:r>
            <w:r w:rsidRPr="00150EDC">
              <w:rPr>
                <w:sz w:val="20"/>
              </w:rPr>
              <w:t>or</w:t>
            </w:r>
            <w:r w:rsidRPr="00150EDC">
              <w:rPr>
                <w:spacing w:val="-5"/>
                <w:sz w:val="20"/>
              </w:rPr>
              <w:t xml:space="preserve"> </w:t>
            </w:r>
            <w:r w:rsidRPr="00150EDC">
              <w:rPr>
                <w:sz w:val="20"/>
              </w:rPr>
              <w:t>commit</w:t>
            </w:r>
            <w:r w:rsidRPr="00150EDC">
              <w:rPr>
                <w:spacing w:val="2"/>
                <w:sz w:val="20"/>
              </w:rPr>
              <w:t xml:space="preserve"> </w:t>
            </w:r>
            <w:r w:rsidRPr="00150EDC">
              <w:rPr>
                <w:sz w:val="20"/>
              </w:rPr>
              <w:t>an</w:t>
            </w:r>
            <w:r w:rsidRPr="00150EDC">
              <w:rPr>
                <w:spacing w:val="-5"/>
                <w:sz w:val="20"/>
              </w:rPr>
              <w:t xml:space="preserve"> </w:t>
            </w:r>
            <w:r w:rsidRPr="00150EDC">
              <w:rPr>
                <w:spacing w:val="-2"/>
                <w:sz w:val="20"/>
              </w:rPr>
              <w:t>offence</w:t>
            </w:r>
          </w:p>
        </w:tc>
      </w:tr>
      <w:tr w:rsidR="004569EE" w:rsidRPr="007D3144" w14:paraId="772985B8" w14:textId="77777777">
        <w:trPr>
          <w:trHeight w:val="255"/>
        </w:trPr>
        <w:tc>
          <w:tcPr>
            <w:tcW w:w="6517" w:type="dxa"/>
          </w:tcPr>
          <w:p w14:paraId="07B748F7" w14:textId="77777777" w:rsidR="004C7180" w:rsidRPr="00150EDC" w:rsidRDefault="00CF0754">
            <w:pPr>
              <w:pStyle w:val="TableParagraph"/>
              <w:rPr>
                <w:sz w:val="20"/>
              </w:rPr>
            </w:pPr>
            <w:r w:rsidRPr="00150EDC">
              <w:rPr>
                <w:sz w:val="20"/>
              </w:rPr>
              <w:t>Firearms</w:t>
            </w:r>
            <w:r w:rsidRPr="00150EDC">
              <w:rPr>
                <w:spacing w:val="-6"/>
                <w:sz w:val="20"/>
              </w:rPr>
              <w:t xml:space="preserve"> </w:t>
            </w:r>
            <w:r w:rsidRPr="00150EDC">
              <w:rPr>
                <w:sz w:val="20"/>
              </w:rPr>
              <w:t>(Guernsey)</w:t>
            </w:r>
            <w:r w:rsidRPr="00150EDC">
              <w:rPr>
                <w:spacing w:val="-7"/>
                <w:sz w:val="20"/>
              </w:rPr>
              <w:t xml:space="preserve"> </w:t>
            </w:r>
            <w:r w:rsidRPr="00150EDC">
              <w:rPr>
                <w:sz w:val="20"/>
              </w:rPr>
              <w:t>Law</w:t>
            </w:r>
            <w:r w:rsidRPr="00150EDC">
              <w:rPr>
                <w:spacing w:val="-4"/>
                <w:sz w:val="20"/>
              </w:rPr>
              <w:t xml:space="preserve"> </w:t>
            </w:r>
            <w:r w:rsidRPr="00150EDC">
              <w:rPr>
                <w:sz w:val="20"/>
              </w:rPr>
              <w:t>1998,</w:t>
            </w:r>
            <w:r w:rsidRPr="00150EDC">
              <w:rPr>
                <w:spacing w:val="-7"/>
                <w:sz w:val="20"/>
              </w:rPr>
              <w:t xml:space="preserve"> </w:t>
            </w:r>
            <w:r w:rsidRPr="00150EDC">
              <w:rPr>
                <w:spacing w:val="-5"/>
                <w:sz w:val="20"/>
              </w:rPr>
              <w:t>s19</w:t>
            </w:r>
          </w:p>
        </w:tc>
        <w:tc>
          <w:tcPr>
            <w:tcW w:w="7427" w:type="dxa"/>
          </w:tcPr>
          <w:p w14:paraId="1D76F1DE" w14:textId="77777777" w:rsidR="004C7180" w:rsidRPr="00150EDC" w:rsidRDefault="00CF0754">
            <w:pPr>
              <w:pStyle w:val="TableParagraph"/>
              <w:rPr>
                <w:sz w:val="20"/>
              </w:rPr>
            </w:pPr>
            <w:r w:rsidRPr="00150EDC">
              <w:rPr>
                <w:sz w:val="20"/>
              </w:rPr>
              <w:t>Carrying</w:t>
            </w:r>
            <w:r w:rsidRPr="00150EDC">
              <w:rPr>
                <w:spacing w:val="-5"/>
                <w:sz w:val="20"/>
              </w:rPr>
              <w:t xml:space="preserve"> </w:t>
            </w:r>
            <w:r w:rsidRPr="00150EDC">
              <w:rPr>
                <w:sz w:val="20"/>
              </w:rPr>
              <w:t>firearm</w:t>
            </w:r>
            <w:r w:rsidRPr="00150EDC">
              <w:rPr>
                <w:spacing w:val="-5"/>
                <w:sz w:val="20"/>
              </w:rPr>
              <w:t xml:space="preserve"> </w:t>
            </w:r>
            <w:r w:rsidRPr="00150EDC">
              <w:rPr>
                <w:sz w:val="20"/>
              </w:rPr>
              <w:t>with</w:t>
            </w:r>
            <w:r w:rsidRPr="00150EDC">
              <w:rPr>
                <w:spacing w:val="-5"/>
                <w:sz w:val="20"/>
              </w:rPr>
              <w:t xml:space="preserve"> </w:t>
            </w:r>
            <w:r w:rsidRPr="00150EDC">
              <w:rPr>
                <w:sz w:val="20"/>
              </w:rPr>
              <w:t>intent</w:t>
            </w:r>
            <w:r w:rsidRPr="00150EDC">
              <w:rPr>
                <w:spacing w:val="-5"/>
                <w:sz w:val="20"/>
              </w:rPr>
              <w:t xml:space="preserve"> </w:t>
            </w:r>
            <w:r w:rsidRPr="00150EDC">
              <w:rPr>
                <w:sz w:val="20"/>
              </w:rPr>
              <w:t>to</w:t>
            </w:r>
            <w:r w:rsidRPr="00150EDC">
              <w:rPr>
                <w:spacing w:val="-1"/>
                <w:sz w:val="20"/>
              </w:rPr>
              <w:t xml:space="preserve"> </w:t>
            </w:r>
            <w:r w:rsidRPr="00150EDC">
              <w:rPr>
                <w:sz w:val="20"/>
              </w:rPr>
              <w:t>resist</w:t>
            </w:r>
            <w:r w:rsidRPr="00150EDC">
              <w:rPr>
                <w:spacing w:val="-4"/>
                <w:sz w:val="20"/>
              </w:rPr>
              <w:t xml:space="preserve"> </w:t>
            </w:r>
            <w:r w:rsidRPr="00150EDC">
              <w:rPr>
                <w:sz w:val="20"/>
              </w:rPr>
              <w:t>arrest</w:t>
            </w:r>
            <w:r w:rsidRPr="00150EDC">
              <w:rPr>
                <w:spacing w:val="1"/>
                <w:sz w:val="20"/>
              </w:rPr>
              <w:t xml:space="preserve"> </w:t>
            </w:r>
            <w:r w:rsidRPr="00150EDC">
              <w:rPr>
                <w:sz w:val="20"/>
              </w:rPr>
              <w:t>or</w:t>
            </w:r>
            <w:r w:rsidRPr="00150EDC">
              <w:rPr>
                <w:spacing w:val="-5"/>
                <w:sz w:val="20"/>
              </w:rPr>
              <w:t xml:space="preserve"> </w:t>
            </w:r>
            <w:r w:rsidRPr="00150EDC">
              <w:rPr>
                <w:sz w:val="20"/>
              </w:rPr>
              <w:t>commit</w:t>
            </w:r>
            <w:r w:rsidRPr="00150EDC">
              <w:rPr>
                <w:spacing w:val="-4"/>
                <w:sz w:val="20"/>
              </w:rPr>
              <w:t xml:space="preserve"> </w:t>
            </w:r>
            <w:r w:rsidRPr="00150EDC">
              <w:rPr>
                <w:sz w:val="20"/>
              </w:rPr>
              <w:t>an</w:t>
            </w:r>
            <w:r w:rsidRPr="00150EDC">
              <w:rPr>
                <w:spacing w:val="-5"/>
                <w:sz w:val="20"/>
              </w:rPr>
              <w:t xml:space="preserve"> </w:t>
            </w:r>
            <w:r w:rsidRPr="00150EDC">
              <w:rPr>
                <w:sz w:val="20"/>
              </w:rPr>
              <w:t>indictable</w:t>
            </w:r>
            <w:r w:rsidRPr="00150EDC">
              <w:rPr>
                <w:spacing w:val="-4"/>
                <w:sz w:val="20"/>
              </w:rPr>
              <w:t xml:space="preserve"> </w:t>
            </w:r>
            <w:r w:rsidRPr="00150EDC">
              <w:rPr>
                <w:spacing w:val="-2"/>
                <w:sz w:val="20"/>
              </w:rPr>
              <w:t>offence</w:t>
            </w:r>
          </w:p>
        </w:tc>
      </w:tr>
      <w:tr w:rsidR="004569EE" w:rsidRPr="007D3144" w14:paraId="6DC61696" w14:textId="77777777">
        <w:trPr>
          <w:trHeight w:val="255"/>
        </w:trPr>
        <w:tc>
          <w:tcPr>
            <w:tcW w:w="6517" w:type="dxa"/>
          </w:tcPr>
          <w:p w14:paraId="0EFBED44" w14:textId="77777777" w:rsidR="004C7180" w:rsidRPr="00150EDC" w:rsidRDefault="00CF0754">
            <w:pPr>
              <w:pStyle w:val="TableParagraph"/>
              <w:rPr>
                <w:sz w:val="20"/>
              </w:rPr>
            </w:pPr>
            <w:r w:rsidRPr="00150EDC">
              <w:rPr>
                <w:sz w:val="20"/>
              </w:rPr>
              <w:t>Firearms</w:t>
            </w:r>
            <w:r w:rsidRPr="00150EDC">
              <w:rPr>
                <w:spacing w:val="-6"/>
                <w:sz w:val="20"/>
              </w:rPr>
              <w:t xml:space="preserve"> </w:t>
            </w:r>
            <w:r w:rsidRPr="00150EDC">
              <w:rPr>
                <w:sz w:val="20"/>
              </w:rPr>
              <w:t>(Jersey)</w:t>
            </w:r>
            <w:r w:rsidRPr="00150EDC">
              <w:rPr>
                <w:spacing w:val="-3"/>
                <w:sz w:val="20"/>
              </w:rPr>
              <w:t xml:space="preserve"> </w:t>
            </w:r>
            <w:r w:rsidRPr="00150EDC">
              <w:rPr>
                <w:sz w:val="20"/>
              </w:rPr>
              <w:t>Law</w:t>
            </w:r>
            <w:r w:rsidRPr="00150EDC">
              <w:rPr>
                <w:spacing w:val="-5"/>
                <w:sz w:val="20"/>
              </w:rPr>
              <w:t xml:space="preserve"> </w:t>
            </w:r>
            <w:r w:rsidRPr="00150EDC">
              <w:rPr>
                <w:sz w:val="20"/>
              </w:rPr>
              <w:t>1956,</w:t>
            </w:r>
            <w:r w:rsidRPr="00150EDC">
              <w:rPr>
                <w:spacing w:val="-6"/>
                <w:sz w:val="20"/>
              </w:rPr>
              <w:t xml:space="preserve"> </w:t>
            </w:r>
            <w:r w:rsidRPr="00150EDC">
              <w:rPr>
                <w:sz w:val="20"/>
              </w:rPr>
              <w:t>Art</w:t>
            </w:r>
            <w:r w:rsidRPr="00150EDC">
              <w:rPr>
                <w:spacing w:val="-2"/>
                <w:sz w:val="20"/>
              </w:rPr>
              <w:t xml:space="preserve"> </w:t>
            </w:r>
            <w:r w:rsidRPr="00150EDC">
              <w:rPr>
                <w:spacing w:val="-5"/>
                <w:sz w:val="20"/>
              </w:rPr>
              <w:t>24</w:t>
            </w:r>
          </w:p>
        </w:tc>
        <w:tc>
          <w:tcPr>
            <w:tcW w:w="7427" w:type="dxa"/>
          </w:tcPr>
          <w:p w14:paraId="71CA0245" w14:textId="77777777" w:rsidR="004C7180" w:rsidRPr="00150EDC" w:rsidRDefault="00CF0754">
            <w:pPr>
              <w:pStyle w:val="TableParagraph"/>
              <w:rPr>
                <w:sz w:val="20"/>
              </w:rPr>
            </w:pPr>
            <w:r w:rsidRPr="00150EDC">
              <w:rPr>
                <w:sz w:val="20"/>
              </w:rPr>
              <w:t>Possession</w:t>
            </w:r>
            <w:r w:rsidRPr="00150EDC">
              <w:rPr>
                <w:spacing w:val="-8"/>
                <w:sz w:val="20"/>
              </w:rPr>
              <w:t xml:space="preserve"> </w:t>
            </w:r>
            <w:r w:rsidRPr="00150EDC">
              <w:rPr>
                <w:sz w:val="20"/>
              </w:rPr>
              <w:t>of</w:t>
            </w:r>
            <w:r w:rsidRPr="00150EDC">
              <w:rPr>
                <w:spacing w:val="-5"/>
                <w:sz w:val="20"/>
              </w:rPr>
              <w:t xml:space="preserve"> </w:t>
            </w:r>
            <w:r w:rsidRPr="00150EDC">
              <w:rPr>
                <w:sz w:val="20"/>
              </w:rPr>
              <w:t>firearm</w:t>
            </w:r>
            <w:r w:rsidRPr="00150EDC">
              <w:rPr>
                <w:spacing w:val="-5"/>
                <w:sz w:val="20"/>
              </w:rPr>
              <w:t xml:space="preserve"> </w:t>
            </w:r>
            <w:r w:rsidRPr="00150EDC">
              <w:rPr>
                <w:sz w:val="20"/>
              </w:rPr>
              <w:t>with</w:t>
            </w:r>
            <w:r w:rsidRPr="00150EDC">
              <w:rPr>
                <w:spacing w:val="-5"/>
                <w:sz w:val="20"/>
              </w:rPr>
              <w:t xml:space="preserve"> </w:t>
            </w:r>
            <w:r w:rsidRPr="00150EDC">
              <w:rPr>
                <w:sz w:val="20"/>
              </w:rPr>
              <w:t>intent</w:t>
            </w:r>
            <w:r w:rsidRPr="00150EDC">
              <w:rPr>
                <w:spacing w:val="-5"/>
                <w:sz w:val="20"/>
              </w:rPr>
              <w:t xml:space="preserve"> </w:t>
            </w:r>
            <w:r w:rsidRPr="00150EDC">
              <w:rPr>
                <w:sz w:val="20"/>
              </w:rPr>
              <w:t>to</w:t>
            </w:r>
            <w:r w:rsidRPr="00150EDC">
              <w:rPr>
                <w:spacing w:val="-1"/>
                <w:sz w:val="20"/>
              </w:rPr>
              <w:t xml:space="preserve"> </w:t>
            </w:r>
            <w:r w:rsidRPr="00150EDC">
              <w:rPr>
                <w:sz w:val="20"/>
              </w:rPr>
              <w:t>endanger life</w:t>
            </w:r>
            <w:r w:rsidRPr="00150EDC">
              <w:rPr>
                <w:spacing w:val="-5"/>
                <w:sz w:val="20"/>
              </w:rPr>
              <w:t xml:space="preserve"> </w:t>
            </w:r>
            <w:r w:rsidRPr="00150EDC">
              <w:rPr>
                <w:sz w:val="20"/>
              </w:rPr>
              <w:t>or</w:t>
            </w:r>
            <w:r w:rsidRPr="00150EDC">
              <w:rPr>
                <w:spacing w:val="-5"/>
                <w:sz w:val="20"/>
              </w:rPr>
              <w:t xml:space="preserve"> </w:t>
            </w:r>
            <w:r w:rsidRPr="00150EDC">
              <w:rPr>
                <w:sz w:val="20"/>
              </w:rPr>
              <w:t>cause</w:t>
            </w:r>
            <w:r w:rsidRPr="00150EDC">
              <w:rPr>
                <w:spacing w:val="-5"/>
                <w:sz w:val="20"/>
              </w:rPr>
              <w:t xml:space="preserve"> </w:t>
            </w:r>
            <w:r w:rsidRPr="00150EDC">
              <w:rPr>
                <w:sz w:val="20"/>
              </w:rPr>
              <w:t>serious</w:t>
            </w:r>
            <w:r w:rsidRPr="00150EDC">
              <w:rPr>
                <w:spacing w:val="-4"/>
                <w:sz w:val="20"/>
              </w:rPr>
              <w:t xml:space="preserve"> </w:t>
            </w:r>
            <w:r w:rsidRPr="00150EDC">
              <w:rPr>
                <w:spacing w:val="-2"/>
                <w:sz w:val="20"/>
              </w:rPr>
              <w:t>injury</w:t>
            </w:r>
          </w:p>
        </w:tc>
      </w:tr>
      <w:tr w:rsidR="004569EE" w:rsidRPr="007D3144" w14:paraId="77226BFE" w14:textId="77777777">
        <w:trPr>
          <w:trHeight w:val="255"/>
        </w:trPr>
        <w:tc>
          <w:tcPr>
            <w:tcW w:w="6517" w:type="dxa"/>
          </w:tcPr>
          <w:p w14:paraId="635D6CB4" w14:textId="77777777" w:rsidR="004C7180" w:rsidRPr="00150EDC" w:rsidRDefault="00CF0754">
            <w:pPr>
              <w:pStyle w:val="TableParagraph"/>
              <w:rPr>
                <w:sz w:val="20"/>
              </w:rPr>
            </w:pPr>
            <w:r w:rsidRPr="00150EDC">
              <w:rPr>
                <w:sz w:val="20"/>
              </w:rPr>
              <w:t>Firearms</w:t>
            </w:r>
            <w:r w:rsidRPr="00150EDC">
              <w:rPr>
                <w:spacing w:val="-6"/>
                <w:sz w:val="20"/>
              </w:rPr>
              <w:t xml:space="preserve"> </w:t>
            </w:r>
            <w:r w:rsidRPr="00150EDC">
              <w:rPr>
                <w:sz w:val="20"/>
              </w:rPr>
              <w:t>(Jersey)</w:t>
            </w:r>
            <w:r w:rsidRPr="00150EDC">
              <w:rPr>
                <w:spacing w:val="-4"/>
                <w:sz w:val="20"/>
              </w:rPr>
              <w:t xml:space="preserve"> </w:t>
            </w:r>
            <w:r w:rsidRPr="00150EDC">
              <w:rPr>
                <w:sz w:val="20"/>
              </w:rPr>
              <w:t>Law</w:t>
            </w:r>
            <w:r w:rsidRPr="00150EDC">
              <w:rPr>
                <w:spacing w:val="-5"/>
                <w:sz w:val="20"/>
              </w:rPr>
              <w:t xml:space="preserve"> </w:t>
            </w:r>
            <w:r w:rsidRPr="00150EDC">
              <w:rPr>
                <w:sz w:val="20"/>
              </w:rPr>
              <w:t>1956,</w:t>
            </w:r>
            <w:r w:rsidRPr="00150EDC">
              <w:rPr>
                <w:spacing w:val="-7"/>
                <w:sz w:val="20"/>
              </w:rPr>
              <w:t xml:space="preserve"> </w:t>
            </w:r>
            <w:r w:rsidRPr="00150EDC">
              <w:rPr>
                <w:sz w:val="20"/>
              </w:rPr>
              <w:t>Art</w:t>
            </w:r>
            <w:r w:rsidRPr="00150EDC">
              <w:rPr>
                <w:spacing w:val="-2"/>
                <w:sz w:val="20"/>
              </w:rPr>
              <w:t xml:space="preserve"> </w:t>
            </w:r>
            <w:r w:rsidRPr="00150EDC">
              <w:rPr>
                <w:spacing w:val="-5"/>
                <w:sz w:val="20"/>
              </w:rPr>
              <w:t>25</w:t>
            </w:r>
          </w:p>
        </w:tc>
        <w:tc>
          <w:tcPr>
            <w:tcW w:w="7427" w:type="dxa"/>
          </w:tcPr>
          <w:p w14:paraId="12202B1B" w14:textId="77777777" w:rsidR="004C7180" w:rsidRPr="00150EDC" w:rsidRDefault="00CF0754">
            <w:pPr>
              <w:pStyle w:val="TableParagraph"/>
              <w:rPr>
                <w:sz w:val="20"/>
              </w:rPr>
            </w:pPr>
            <w:r w:rsidRPr="00150EDC">
              <w:rPr>
                <w:sz w:val="20"/>
              </w:rPr>
              <w:t>Using</w:t>
            </w:r>
            <w:r w:rsidRPr="00150EDC">
              <w:rPr>
                <w:spacing w:val="-5"/>
                <w:sz w:val="20"/>
              </w:rPr>
              <w:t xml:space="preserve"> </w:t>
            </w:r>
            <w:r w:rsidRPr="00150EDC">
              <w:rPr>
                <w:sz w:val="20"/>
              </w:rPr>
              <w:t>firearm</w:t>
            </w:r>
            <w:r w:rsidRPr="00150EDC">
              <w:rPr>
                <w:spacing w:val="-5"/>
                <w:sz w:val="20"/>
              </w:rPr>
              <w:t xml:space="preserve"> </w:t>
            </w:r>
            <w:r w:rsidRPr="00150EDC">
              <w:rPr>
                <w:sz w:val="20"/>
              </w:rPr>
              <w:t>with</w:t>
            </w:r>
            <w:r w:rsidRPr="00150EDC">
              <w:rPr>
                <w:spacing w:val="-5"/>
                <w:sz w:val="20"/>
              </w:rPr>
              <w:t xml:space="preserve"> </w:t>
            </w:r>
            <w:r w:rsidRPr="00150EDC">
              <w:rPr>
                <w:sz w:val="20"/>
              </w:rPr>
              <w:t>intent</w:t>
            </w:r>
            <w:r w:rsidRPr="00150EDC">
              <w:rPr>
                <w:spacing w:val="-5"/>
                <w:sz w:val="20"/>
              </w:rPr>
              <w:t xml:space="preserve"> </w:t>
            </w:r>
            <w:r w:rsidRPr="00150EDC">
              <w:rPr>
                <w:sz w:val="20"/>
              </w:rPr>
              <w:t>to</w:t>
            </w:r>
            <w:r w:rsidRPr="00150EDC">
              <w:rPr>
                <w:spacing w:val="-5"/>
                <w:sz w:val="20"/>
              </w:rPr>
              <w:t xml:space="preserve"> </w:t>
            </w:r>
            <w:r w:rsidRPr="00150EDC">
              <w:rPr>
                <w:sz w:val="20"/>
              </w:rPr>
              <w:t>resist</w:t>
            </w:r>
            <w:r w:rsidRPr="00150EDC">
              <w:rPr>
                <w:spacing w:val="-1"/>
                <w:sz w:val="20"/>
              </w:rPr>
              <w:t xml:space="preserve"> </w:t>
            </w:r>
            <w:r w:rsidRPr="00150EDC">
              <w:rPr>
                <w:sz w:val="20"/>
              </w:rPr>
              <w:t>or</w:t>
            </w:r>
            <w:r w:rsidRPr="00150EDC">
              <w:rPr>
                <w:spacing w:val="-5"/>
                <w:sz w:val="20"/>
              </w:rPr>
              <w:t xml:space="preserve"> </w:t>
            </w:r>
            <w:r w:rsidRPr="00150EDC">
              <w:rPr>
                <w:sz w:val="20"/>
              </w:rPr>
              <w:t>prevent</w:t>
            </w:r>
            <w:r w:rsidRPr="00150EDC">
              <w:rPr>
                <w:spacing w:val="1"/>
                <w:sz w:val="20"/>
              </w:rPr>
              <w:t xml:space="preserve"> </w:t>
            </w:r>
            <w:r w:rsidRPr="00150EDC">
              <w:rPr>
                <w:spacing w:val="-2"/>
                <w:sz w:val="20"/>
              </w:rPr>
              <w:t>arrest</w:t>
            </w:r>
          </w:p>
        </w:tc>
      </w:tr>
      <w:tr w:rsidR="004569EE" w:rsidRPr="007D3144" w14:paraId="013D5015" w14:textId="77777777">
        <w:trPr>
          <w:trHeight w:val="255"/>
        </w:trPr>
        <w:tc>
          <w:tcPr>
            <w:tcW w:w="6517" w:type="dxa"/>
          </w:tcPr>
          <w:p w14:paraId="7E95F085" w14:textId="77777777" w:rsidR="004C7180" w:rsidRPr="00150EDC" w:rsidRDefault="00CF0754">
            <w:pPr>
              <w:pStyle w:val="TableParagraph"/>
              <w:spacing w:before="28"/>
              <w:rPr>
                <w:sz w:val="20"/>
              </w:rPr>
            </w:pPr>
            <w:r w:rsidRPr="00150EDC">
              <w:rPr>
                <w:sz w:val="20"/>
              </w:rPr>
              <w:t>Firearms</w:t>
            </w:r>
            <w:r w:rsidRPr="00150EDC">
              <w:rPr>
                <w:spacing w:val="-6"/>
                <w:sz w:val="20"/>
              </w:rPr>
              <w:t xml:space="preserve"> </w:t>
            </w:r>
            <w:r w:rsidRPr="00150EDC">
              <w:rPr>
                <w:sz w:val="20"/>
              </w:rPr>
              <w:t>(Jersey)</w:t>
            </w:r>
            <w:r w:rsidRPr="00150EDC">
              <w:rPr>
                <w:spacing w:val="-4"/>
                <w:sz w:val="20"/>
              </w:rPr>
              <w:t xml:space="preserve"> </w:t>
            </w:r>
            <w:r w:rsidRPr="00150EDC">
              <w:rPr>
                <w:sz w:val="20"/>
              </w:rPr>
              <w:t>Law</w:t>
            </w:r>
            <w:r w:rsidRPr="00150EDC">
              <w:rPr>
                <w:spacing w:val="-5"/>
                <w:sz w:val="20"/>
              </w:rPr>
              <w:t xml:space="preserve"> </w:t>
            </w:r>
            <w:r w:rsidRPr="00150EDC">
              <w:rPr>
                <w:sz w:val="20"/>
              </w:rPr>
              <w:t>2000,</w:t>
            </w:r>
            <w:r w:rsidRPr="00150EDC">
              <w:rPr>
                <w:spacing w:val="-7"/>
                <w:sz w:val="20"/>
              </w:rPr>
              <w:t xml:space="preserve"> </w:t>
            </w:r>
            <w:r w:rsidRPr="00150EDC">
              <w:rPr>
                <w:sz w:val="20"/>
              </w:rPr>
              <w:t>Art</w:t>
            </w:r>
            <w:r w:rsidRPr="00150EDC">
              <w:rPr>
                <w:spacing w:val="-2"/>
                <w:sz w:val="20"/>
              </w:rPr>
              <w:t xml:space="preserve"> </w:t>
            </w:r>
            <w:r w:rsidRPr="00150EDC">
              <w:rPr>
                <w:spacing w:val="-5"/>
                <w:sz w:val="20"/>
              </w:rPr>
              <w:t>38</w:t>
            </w:r>
          </w:p>
        </w:tc>
        <w:tc>
          <w:tcPr>
            <w:tcW w:w="7427" w:type="dxa"/>
          </w:tcPr>
          <w:p w14:paraId="59392B41" w14:textId="77777777" w:rsidR="004C7180" w:rsidRPr="00150EDC" w:rsidRDefault="00CF0754">
            <w:pPr>
              <w:pStyle w:val="TableParagraph"/>
              <w:spacing w:before="28"/>
              <w:rPr>
                <w:sz w:val="20"/>
              </w:rPr>
            </w:pPr>
            <w:r w:rsidRPr="00150EDC">
              <w:rPr>
                <w:sz w:val="20"/>
              </w:rPr>
              <w:t>Possession</w:t>
            </w:r>
            <w:r w:rsidRPr="00150EDC">
              <w:rPr>
                <w:spacing w:val="-5"/>
                <w:sz w:val="20"/>
              </w:rPr>
              <w:t xml:space="preserve"> </w:t>
            </w:r>
            <w:r w:rsidRPr="00150EDC">
              <w:rPr>
                <w:sz w:val="20"/>
              </w:rPr>
              <w:t>of</w:t>
            </w:r>
            <w:r w:rsidRPr="00150EDC">
              <w:rPr>
                <w:spacing w:val="-5"/>
                <w:sz w:val="20"/>
              </w:rPr>
              <w:t xml:space="preserve"> </w:t>
            </w:r>
            <w:r w:rsidRPr="00150EDC">
              <w:rPr>
                <w:sz w:val="20"/>
              </w:rPr>
              <w:t>firearm</w:t>
            </w:r>
            <w:r w:rsidRPr="00150EDC">
              <w:rPr>
                <w:spacing w:val="-4"/>
                <w:sz w:val="20"/>
              </w:rPr>
              <w:t xml:space="preserve"> </w:t>
            </w:r>
            <w:r w:rsidRPr="00150EDC">
              <w:rPr>
                <w:sz w:val="20"/>
              </w:rPr>
              <w:t>with</w:t>
            </w:r>
            <w:r w:rsidRPr="00150EDC">
              <w:rPr>
                <w:spacing w:val="-5"/>
                <w:sz w:val="20"/>
              </w:rPr>
              <w:t xml:space="preserve"> </w:t>
            </w:r>
            <w:r w:rsidRPr="00150EDC">
              <w:rPr>
                <w:sz w:val="20"/>
              </w:rPr>
              <w:t>intent</w:t>
            </w:r>
            <w:r w:rsidRPr="00150EDC">
              <w:rPr>
                <w:spacing w:val="-5"/>
                <w:sz w:val="20"/>
              </w:rPr>
              <w:t xml:space="preserve"> </w:t>
            </w:r>
            <w:r w:rsidRPr="00150EDC">
              <w:rPr>
                <w:sz w:val="20"/>
              </w:rPr>
              <w:t>to</w:t>
            </w:r>
            <w:r w:rsidRPr="00150EDC">
              <w:rPr>
                <w:spacing w:val="-4"/>
                <w:sz w:val="20"/>
              </w:rPr>
              <w:t xml:space="preserve"> </w:t>
            </w:r>
            <w:r w:rsidRPr="00150EDC">
              <w:rPr>
                <w:spacing w:val="-2"/>
                <w:sz w:val="20"/>
              </w:rPr>
              <w:t>injure</w:t>
            </w:r>
          </w:p>
        </w:tc>
      </w:tr>
      <w:tr w:rsidR="004569EE" w:rsidRPr="007D3144" w14:paraId="68791CB6" w14:textId="77777777">
        <w:trPr>
          <w:trHeight w:val="255"/>
        </w:trPr>
        <w:tc>
          <w:tcPr>
            <w:tcW w:w="6517" w:type="dxa"/>
          </w:tcPr>
          <w:p w14:paraId="2835E596" w14:textId="77777777" w:rsidR="004C7180" w:rsidRPr="00150EDC" w:rsidRDefault="00CF0754">
            <w:pPr>
              <w:pStyle w:val="TableParagraph"/>
              <w:rPr>
                <w:sz w:val="20"/>
              </w:rPr>
            </w:pPr>
            <w:r w:rsidRPr="00150EDC">
              <w:rPr>
                <w:sz w:val="20"/>
              </w:rPr>
              <w:t>Firearms</w:t>
            </w:r>
            <w:r w:rsidRPr="00150EDC">
              <w:rPr>
                <w:spacing w:val="-6"/>
                <w:sz w:val="20"/>
              </w:rPr>
              <w:t xml:space="preserve"> </w:t>
            </w:r>
            <w:r w:rsidRPr="00150EDC">
              <w:rPr>
                <w:sz w:val="20"/>
              </w:rPr>
              <w:t>(Jersey)</w:t>
            </w:r>
            <w:r w:rsidRPr="00150EDC">
              <w:rPr>
                <w:spacing w:val="-4"/>
                <w:sz w:val="20"/>
              </w:rPr>
              <w:t xml:space="preserve"> </w:t>
            </w:r>
            <w:r w:rsidRPr="00150EDC">
              <w:rPr>
                <w:sz w:val="20"/>
              </w:rPr>
              <w:t>Law</w:t>
            </w:r>
            <w:r w:rsidRPr="00150EDC">
              <w:rPr>
                <w:spacing w:val="-5"/>
                <w:sz w:val="20"/>
              </w:rPr>
              <w:t xml:space="preserve"> </w:t>
            </w:r>
            <w:r w:rsidRPr="00150EDC">
              <w:rPr>
                <w:sz w:val="20"/>
              </w:rPr>
              <w:t>2000,</w:t>
            </w:r>
            <w:r w:rsidRPr="00150EDC">
              <w:rPr>
                <w:spacing w:val="-7"/>
                <w:sz w:val="20"/>
              </w:rPr>
              <w:t xml:space="preserve"> </w:t>
            </w:r>
            <w:r w:rsidRPr="00150EDC">
              <w:rPr>
                <w:sz w:val="20"/>
              </w:rPr>
              <w:t>Art</w:t>
            </w:r>
            <w:r w:rsidRPr="00150EDC">
              <w:rPr>
                <w:spacing w:val="-2"/>
                <w:sz w:val="20"/>
              </w:rPr>
              <w:t xml:space="preserve"> </w:t>
            </w:r>
            <w:r w:rsidRPr="00150EDC">
              <w:rPr>
                <w:spacing w:val="-5"/>
                <w:sz w:val="20"/>
              </w:rPr>
              <w:t>39</w:t>
            </w:r>
          </w:p>
        </w:tc>
        <w:tc>
          <w:tcPr>
            <w:tcW w:w="7427" w:type="dxa"/>
          </w:tcPr>
          <w:p w14:paraId="36B56890" w14:textId="77777777" w:rsidR="004C7180" w:rsidRPr="00150EDC" w:rsidRDefault="00CF0754">
            <w:pPr>
              <w:pStyle w:val="TableParagraph"/>
              <w:rPr>
                <w:sz w:val="20"/>
              </w:rPr>
            </w:pPr>
            <w:r w:rsidRPr="00150EDC">
              <w:rPr>
                <w:sz w:val="20"/>
              </w:rPr>
              <w:t>Use</w:t>
            </w:r>
            <w:r w:rsidRPr="00150EDC">
              <w:rPr>
                <w:spacing w:val="-5"/>
                <w:sz w:val="20"/>
              </w:rPr>
              <w:t xml:space="preserve"> </w:t>
            </w:r>
            <w:r w:rsidRPr="00150EDC">
              <w:rPr>
                <w:sz w:val="20"/>
              </w:rPr>
              <w:t>of</w:t>
            </w:r>
            <w:r w:rsidRPr="00150EDC">
              <w:rPr>
                <w:spacing w:val="-5"/>
                <w:sz w:val="20"/>
              </w:rPr>
              <w:t xml:space="preserve"> </w:t>
            </w:r>
            <w:r w:rsidRPr="00150EDC">
              <w:rPr>
                <w:sz w:val="20"/>
              </w:rPr>
              <w:t>firearms</w:t>
            </w:r>
            <w:r w:rsidRPr="00150EDC">
              <w:rPr>
                <w:spacing w:val="-3"/>
                <w:sz w:val="20"/>
              </w:rPr>
              <w:t xml:space="preserve"> </w:t>
            </w:r>
            <w:r w:rsidRPr="00150EDC">
              <w:rPr>
                <w:sz w:val="20"/>
              </w:rPr>
              <w:t>to</w:t>
            </w:r>
            <w:r w:rsidRPr="00150EDC">
              <w:rPr>
                <w:spacing w:val="-5"/>
                <w:sz w:val="20"/>
              </w:rPr>
              <w:t xml:space="preserve"> </w:t>
            </w:r>
            <w:r w:rsidRPr="00150EDC">
              <w:rPr>
                <w:sz w:val="20"/>
              </w:rPr>
              <w:t>resist</w:t>
            </w:r>
            <w:r w:rsidRPr="00150EDC">
              <w:rPr>
                <w:spacing w:val="1"/>
                <w:sz w:val="20"/>
              </w:rPr>
              <w:t xml:space="preserve"> </w:t>
            </w:r>
            <w:r w:rsidRPr="00150EDC">
              <w:rPr>
                <w:sz w:val="20"/>
              </w:rPr>
              <w:t>arrest,</w:t>
            </w:r>
            <w:r w:rsidRPr="00150EDC">
              <w:rPr>
                <w:spacing w:val="-5"/>
                <w:sz w:val="20"/>
              </w:rPr>
              <w:t xml:space="preserve"> etc</w:t>
            </w:r>
          </w:p>
        </w:tc>
      </w:tr>
      <w:tr w:rsidR="004569EE" w:rsidRPr="007D3144" w14:paraId="32273094" w14:textId="77777777">
        <w:trPr>
          <w:trHeight w:val="255"/>
        </w:trPr>
        <w:tc>
          <w:tcPr>
            <w:tcW w:w="6517" w:type="dxa"/>
          </w:tcPr>
          <w:p w14:paraId="094F63B6" w14:textId="77777777" w:rsidR="004C7180" w:rsidRPr="00150EDC" w:rsidRDefault="00CF0754">
            <w:pPr>
              <w:pStyle w:val="TableParagraph"/>
              <w:rPr>
                <w:sz w:val="20"/>
              </w:rPr>
            </w:pPr>
            <w:r w:rsidRPr="00150EDC">
              <w:rPr>
                <w:sz w:val="20"/>
              </w:rPr>
              <w:t>Firearms</w:t>
            </w:r>
            <w:r w:rsidRPr="00150EDC">
              <w:rPr>
                <w:spacing w:val="-6"/>
                <w:sz w:val="20"/>
              </w:rPr>
              <w:t xml:space="preserve"> </w:t>
            </w:r>
            <w:r w:rsidRPr="00150EDC">
              <w:rPr>
                <w:sz w:val="20"/>
              </w:rPr>
              <w:t>(Jersey)</w:t>
            </w:r>
            <w:r w:rsidRPr="00150EDC">
              <w:rPr>
                <w:spacing w:val="-4"/>
                <w:sz w:val="20"/>
              </w:rPr>
              <w:t xml:space="preserve"> </w:t>
            </w:r>
            <w:r w:rsidRPr="00150EDC">
              <w:rPr>
                <w:sz w:val="20"/>
              </w:rPr>
              <w:t>Law</w:t>
            </w:r>
            <w:r w:rsidRPr="00150EDC">
              <w:rPr>
                <w:spacing w:val="-5"/>
                <w:sz w:val="20"/>
              </w:rPr>
              <w:t xml:space="preserve"> </w:t>
            </w:r>
            <w:r w:rsidRPr="00150EDC">
              <w:rPr>
                <w:sz w:val="20"/>
              </w:rPr>
              <w:t>2000,</w:t>
            </w:r>
            <w:r w:rsidRPr="00150EDC">
              <w:rPr>
                <w:spacing w:val="-7"/>
                <w:sz w:val="20"/>
              </w:rPr>
              <w:t xml:space="preserve"> </w:t>
            </w:r>
            <w:r w:rsidRPr="00150EDC">
              <w:rPr>
                <w:sz w:val="20"/>
              </w:rPr>
              <w:t>Art</w:t>
            </w:r>
            <w:r w:rsidRPr="00150EDC">
              <w:rPr>
                <w:spacing w:val="-2"/>
                <w:sz w:val="20"/>
              </w:rPr>
              <w:t xml:space="preserve"> </w:t>
            </w:r>
            <w:r w:rsidRPr="00150EDC">
              <w:rPr>
                <w:spacing w:val="-5"/>
                <w:sz w:val="20"/>
              </w:rPr>
              <w:t>40</w:t>
            </w:r>
          </w:p>
        </w:tc>
        <w:tc>
          <w:tcPr>
            <w:tcW w:w="7427" w:type="dxa"/>
          </w:tcPr>
          <w:p w14:paraId="45B0FEAE" w14:textId="77777777" w:rsidR="004C7180" w:rsidRPr="00150EDC" w:rsidRDefault="00CF0754">
            <w:pPr>
              <w:pStyle w:val="TableParagraph"/>
              <w:rPr>
                <w:sz w:val="20"/>
              </w:rPr>
            </w:pPr>
            <w:r w:rsidRPr="00150EDC">
              <w:rPr>
                <w:sz w:val="20"/>
              </w:rPr>
              <w:t>Carrying</w:t>
            </w:r>
            <w:r w:rsidRPr="00150EDC">
              <w:rPr>
                <w:spacing w:val="-7"/>
                <w:sz w:val="20"/>
              </w:rPr>
              <w:t xml:space="preserve"> </w:t>
            </w:r>
            <w:r w:rsidRPr="00150EDC">
              <w:rPr>
                <w:sz w:val="20"/>
              </w:rPr>
              <w:t>firearm</w:t>
            </w:r>
            <w:r w:rsidRPr="00150EDC">
              <w:rPr>
                <w:spacing w:val="-6"/>
                <w:sz w:val="20"/>
              </w:rPr>
              <w:t xml:space="preserve"> </w:t>
            </w:r>
            <w:r w:rsidRPr="00150EDC">
              <w:rPr>
                <w:sz w:val="20"/>
              </w:rPr>
              <w:t>with</w:t>
            </w:r>
            <w:r w:rsidRPr="00150EDC">
              <w:rPr>
                <w:spacing w:val="-6"/>
                <w:sz w:val="20"/>
              </w:rPr>
              <w:t xml:space="preserve"> </w:t>
            </w:r>
            <w:r w:rsidRPr="00150EDC">
              <w:rPr>
                <w:sz w:val="20"/>
              </w:rPr>
              <w:t>criminal</w:t>
            </w:r>
            <w:r w:rsidRPr="00150EDC">
              <w:rPr>
                <w:spacing w:val="-4"/>
                <w:sz w:val="20"/>
              </w:rPr>
              <w:t xml:space="preserve"> </w:t>
            </w:r>
            <w:r w:rsidRPr="00150EDC">
              <w:rPr>
                <w:spacing w:val="-2"/>
                <w:sz w:val="20"/>
              </w:rPr>
              <w:t>intent</w:t>
            </w:r>
          </w:p>
        </w:tc>
      </w:tr>
      <w:tr w:rsidR="004569EE" w:rsidRPr="007D3144" w14:paraId="33B40C2A" w14:textId="77777777">
        <w:trPr>
          <w:trHeight w:val="255"/>
        </w:trPr>
        <w:tc>
          <w:tcPr>
            <w:tcW w:w="6517" w:type="dxa"/>
          </w:tcPr>
          <w:p w14:paraId="247F6FAA" w14:textId="77777777" w:rsidR="004C7180" w:rsidRPr="00150EDC" w:rsidRDefault="00CF0754">
            <w:pPr>
              <w:pStyle w:val="TableParagraph"/>
              <w:rPr>
                <w:sz w:val="20"/>
              </w:rPr>
            </w:pPr>
            <w:r w:rsidRPr="00150EDC">
              <w:rPr>
                <w:sz w:val="20"/>
              </w:rPr>
              <w:t>Firearms</w:t>
            </w:r>
            <w:r w:rsidRPr="00150EDC">
              <w:rPr>
                <w:spacing w:val="-6"/>
                <w:sz w:val="20"/>
              </w:rPr>
              <w:t xml:space="preserve"> </w:t>
            </w:r>
            <w:r w:rsidRPr="00150EDC">
              <w:rPr>
                <w:sz w:val="20"/>
              </w:rPr>
              <w:t>(Northern</w:t>
            </w:r>
            <w:r w:rsidRPr="00150EDC">
              <w:rPr>
                <w:spacing w:val="-6"/>
                <w:sz w:val="20"/>
              </w:rPr>
              <w:t xml:space="preserve"> </w:t>
            </w:r>
            <w:r w:rsidRPr="00150EDC">
              <w:rPr>
                <w:sz w:val="20"/>
              </w:rPr>
              <w:t>Ireland)</w:t>
            </w:r>
            <w:r w:rsidRPr="00150EDC">
              <w:rPr>
                <w:spacing w:val="-6"/>
                <w:sz w:val="20"/>
              </w:rPr>
              <w:t xml:space="preserve"> </w:t>
            </w:r>
            <w:r w:rsidRPr="00150EDC">
              <w:rPr>
                <w:sz w:val="20"/>
              </w:rPr>
              <w:t>Act</w:t>
            </w:r>
            <w:r w:rsidRPr="00150EDC">
              <w:rPr>
                <w:spacing w:val="-5"/>
                <w:sz w:val="20"/>
              </w:rPr>
              <w:t xml:space="preserve"> </w:t>
            </w:r>
            <w:r w:rsidRPr="00150EDC">
              <w:rPr>
                <w:sz w:val="20"/>
              </w:rPr>
              <w:t>1969,</w:t>
            </w:r>
            <w:r w:rsidRPr="00150EDC">
              <w:rPr>
                <w:spacing w:val="-6"/>
                <w:sz w:val="20"/>
              </w:rPr>
              <w:t xml:space="preserve"> </w:t>
            </w:r>
            <w:r w:rsidRPr="00150EDC">
              <w:rPr>
                <w:spacing w:val="-5"/>
                <w:sz w:val="20"/>
              </w:rPr>
              <w:t>s14</w:t>
            </w:r>
          </w:p>
        </w:tc>
        <w:tc>
          <w:tcPr>
            <w:tcW w:w="7427" w:type="dxa"/>
          </w:tcPr>
          <w:p w14:paraId="47EB94B0" w14:textId="77777777" w:rsidR="004C7180" w:rsidRPr="00150EDC" w:rsidRDefault="00CF0754">
            <w:pPr>
              <w:pStyle w:val="TableParagraph"/>
              <w:rPr>
                <w:sz w:val="20"/>
              </w:rPr>
            </w:pPr>
            <w:r w:rsidRPr="00150EDC">
              <w:rPr>
                <w:sz w:val="20"/>
              </w:rPr>
              <w:t>Possession</w:t>
            </w:r>
            <w:r w:rsidRPr="00150EDC">
              <w:rPr>
                <w:spacing w:val="-5"/>
                <w:sz w:val="20"/>
              </w:rPr>
              <w:t xml:space="preserve"> </w:t>
            </w:r>
            <w:r w:rsidRPr="00150EDC">
              <w:rPr>
                <w:sz w:val="20"/>
              </w:rPr>
              <w:t>of</w:t>
            </w:r>
            <w:r w:rsidRPr="00150EDC">
              <w:rPr>
                <w:spacing w:val="-5"/>
                <w:sz w:val="20"/>
              </w:rPr>
              <w:t xml:space="preserve"> </w:t>
            </w:r>
            <w:r w:rsidRPr="00150EDC">
              <w:rPr>
                <w:sz w:val="20"/>
              </w:rPr>
              <w:t>firearm</w:t>
            </w:r>
            <w:r w:rsidRPr="00150EDC">
              <w:rPr>
                <w:spacing w:val="-5"/>
                <w:sz w:val="20"/>
              </w:rPr>
              <w:t xml:space="preserve"> </w:t>
            </w:r>
            <w:r w:rsidRPr="00150EDC">
              <w:rPr>
                <w:sz w:val="20"/>
              </w:rPr>
              <w:t>with</w:t>
            </w:r>
            <w:r w:rsidRPr="00150EDC">
              <w:rPr>
                <w:spacing w:val="-4"/>
                <w:sz w:val="20"/>
              </w:rPr>
              <w:t xml:space="preserve"> </w:t>
            </w:r>
            <w:r w:rsidRPr="00150EDC">
              <w:rPr>
                <w:spacing w:val="-2"/>
                <w:sz w:val="20"/>
              </w:rPr>
              <w:t>intent</w:t>
            </w:r>
          </w:p>
        </w:tc>
      </w:tr>
      <w:tr w:rsidR="004569EE" w:rsidRPr="007D3144" w14:paraId="6F35CF6A" w14:textId="77777777">
        <w:trPr>
          <w:trHeight w:val="255"/>
        </w:trPr>
        <w:tc>
          <w:tcPr>
            <w:tcW w:w="6517" w:type="dxa"/>
          </w:tcPr>
          <w:p w14:paraId="1D437423" w14:textId="77777777" w:rsidR="004C7180" w:rsidRPr="00150EDC" w:rsidRDefault="00CF0754">
            <w:pPr>
              <w:pStyle w:val="TableParagraph"/>
              <w:rPr>
                <w:sz w:val="20"/>
              </w:rPr>
            </w:pPr>
            <w:r w:rsidRPr="00150EDC">
              <w:rPr>
                <w:sz w:val="20"/>
              </w:rPr>
              <w:t>Firearms</w:t>
            </w:r>
            <w:r w:rsidRPr="00150EDC">
              <w:rPr>
                <w:spacing w:val="-5"/>
                <w:sz w:val="20"/>
              </w:rPr>
              <w:t xml:space="preserve"> </w:t>
            </w:r>
            <w:r w:rsidRPr="00150EDC">
              <w:rPr>
                <w:sz w:val="20"/>
              </w:rPr>
              <w:t>(Northern</w:t>
            </w:r>
            <w:r w:rsidRPr="00150EDC">
              <w:rPr>
                <w:spacing w:val="-5"/>
                <w:sz w:val="20"/>
              </w:rPr>
              <w:t xml:space="preserve"> </w:t>
            </w:r>
            <w:r w:rsidRPr="00150EDC">
              <w:rPr>
                <w:sz w:val="20"/>
              </w:rPr>
              <w:t>Ireland)</w:t>
            </w:r>
            <w:r w:rsidRPr="00150EDC">
              <w:rPr>
                <w:spacing w:val="-6"/>
                <w:sz w:val="20"/>
              </w:rPr>
              <w:t xml:space="preserve"> </w:t>
            </w:r>
            <w:r w:rsidRPr="00150EDC">
              <w:rPr>
                <w:sz w:val="20"/>
              </w:rPr>
              <w:t>Order</w:t>
            </w:r>
            <w:r w:rsidRPr="00150EDC">
              <w:rPr>
                <w:spacing w:val="-6"/>
                <w:sz w:val="20"/>
              </w:rPr>
              <w:t xml:space="preserve"> </w:t>
            </w:r>
            <w:r w:rsidRPr="00150EDC">
              <w:rPr>
                <w:sz w:val="20"/>
              </w:rPr>
              <w:t>1981,</w:t>
            </w:r>
            <w:r w:rsidRPr="00150EDC">
              <w:rPr>
                <w:spacing w:val="-6"/>
                <w:sz w:val="20"/>
              </w:rPr>
              <w:t xml:space="preserve"> </w:t>
            </w:r>
            <w:r w:rsidRPr="00150EDC">
              <w:rPr>
                <w:sz w:val="20"/>
              </w:rPr>
              <w:t>Art</w:t>
            </w:r>
            <w:r w:rsidRPr="00150EDC">
              <w:rPr>
                <w:spacing w:val="-1"/>
                <w:sz w:val="20"/>
              </w:rPr>
              <w:t xml:space="preserve"> </w:t>
            </w:r>
            <w:r w:rsidRPr="00150EDC">
              <w:rPr>
                <w:spacing w:val="-5"/>
                <w:sz w:val="20"/>
              </w:rPr>
              <w:t>17</w:t>
            </w:r>
          </w:p>
        </w:tc>
        <w:tc>
          <w:tcPr>
            <w:tcW w:w="7427" w:type="dxa"/>
          </w:tcPr>
          <w:p w14:paraId="3FCB2421" w14:textId="77777777" w:rsidR="004C7180" w:rsidRPr="00150EDC" w:rsidRDefault="00CF0754">
            <w:pPr>
              <w:pStyle w:val="TableParagraph"/>
              <w:rPr>
                <w:sz w:val="20"/>
              </w:rPr>
            </w:pPr>
            <w:r w:rsidRPr="00150EDC">
              <w:rPr>
                <w:sz w:val="20"/>
              </w:rPr>
              <w:t>Possession</w:t>
            </w:r>
            <w:r w:rsidRPr="00150EDC">
              <w:rPr>
                <w:spacing w:val="-7"/>
                <w:sz w:val="20"/>
              </w:rPr>
              <w:t xml:space="preserve"> </w:t>
            </w:r>
            <w:r w:rsidRPr="00150EDC">
              <w:rPr>
                <w:sz w:val="20"/>
              </w:rPr>
              <w:t>of</w:t>
            </w:r>
            <w:r w:rsidRPr="00150EDC">
              <w:rPr>
                <w:spacing w:val="-5"/>
                <w:sz w:val="20"/>
              </w:rPr>
              <w:t xml:space="preserve"> </w:t>
            </w:r>
            <w:r w:rsidRPr="00150EDC">
              <w:rPr>
                <w:sz w:val="20"/>
              </w:rPr>
              <w:t>firearm</w:t>
            </w:r>
            <w:r w:rsidRPr="00150EDC">
              <w:rPr>
                <w:spacing w:val="-5"/>
                <w:sz w:val="20"/>
              </w:rPr>
              <w:t xml:space="preserve"> </w:t>
            </w:r>
            <w:r w:rsidRPr="00150EDC">
              <w:rPr>
                <w:sz w:val="20"/>
              </w:rPr>
              <w:t>with</w:t>
            </w:r>
            <w:r w:rsidRPr="00150EDC">
              <w:rPr>
                <w:spacing w:val="-4"/>
                <w:sz w:val="20"/>
              </w:rPr>
              <w:t xml:space="preserve"> </w:t>
            </w:r>
            <w:r w:rsidRPr="00150EDC">
              <w:rPr>
                <w:sz w:val="20"/>
              </w:rPr>
              <w:t>intent</w:t>
            </w:r>
            <w:r w:rsidRPr="00150EDC">
              <w:rPr>
                <w:spacing w:val="-5"/>
                <w:sz w:val="20"/>
              </w:rPr>
              <w:t xml:space="preserve"> </w:t>
            </w:r>
            <w:r w:rsidRPr="00150EDC">
              <w:rPr>
                <w:sz w:val="20"/>
              </w:rPr>
              <w:t>to</w:t>
            </w:r>
            <w:r w:rsidRPr="00150EDC">
              <w:rPr>
                <w:spacing w:val="-1"/>
                <w:sz w:val="20"/>
              </w:rPr>
              <w:t xml:space="preserve"> </w:t>
            </w:r>
            <w:r w:rsidRPr="00150EDC">
              <w:rPr>
                <w:sz w:val="20"/>
              </w:rPr>
              <w:t>endanger life</w:t>
            </w:r>
            <w:r w:rsidRPr="00150EDC">
              <w:rPr>
                <w:spacing w:val="-5"/>
                <w:sz w:val="20"/>
              </w:rPr>
              <w:t xml:space="preserve"> </w:t>
            </w:r>
            <w:r w:rsidRPr="00150EDC">
              <w:rPr>
                <w:sz w:val="20"/>
              </w:rPr>
              <w:t>or</w:t>
            </w:r>
            <w:r w:rsidRPr="00150EDC">
              <w:rPr>
                <w:spacing w:val="-4"/>
                <w:sz w:val="20"/>
              </w:rPr>
              <w:t xml:space="preserve"> </w:t>
            </w:r>
            <w:r w:rsidRPr="00150EDC">
              <w:rPr>
                <w:sz w:val="20"/>
              </w:rPr>
              <w:t>cause</w:t>
            </w:r>
            <w:r w:rsidRPr="00150EDC">
              <w:rPr>
                <w:spacing w:val="-5"/>
                <w:sz w:val="20"/>
              </w:rPr>
              <w:t xml:space="preserve"> </w:t>
            </w:r>
            <w:r w:rsidRPr="00150EDC">
              <w:rPr>
                <w:sz w:val="20"/>
              </w:rPr>
              <w:t>fear</w:t>
            </w:r>
            <w:r w:rsidRPr="00150EDC">
              <w:rPr>
                <w:spacing w:val="-1"/>
                <w:sz w:val="20"/>
              </w:rPr>
              <w:t xml:space="preserve"> </w:t>
            </w:r>
            <w:r w:rsidRPr="00150EDC">
              <w:rPr>
                <w:sz w:val="20"/>
              </w:rPr>
              <w:t>of</w:t>
            </w:r>
            <w:r w:rsidRPr="00150EDC">
              <w:rPr>
                <w:spacing w:val="-4"/>
                <w:sz w:val="20"/>
              </w:rPr>
              <w:t xml:space="preserve"> </w:t>
            </w:r>
            <w:r w:rsidRPr="00150EDC">
              <w:rPr>
                <w:spacing w:val="-2"/>
                <w:sz w:val="20"/>
              </w:rPr>
              <w:t>violence</w:t>
            </w:r>
          </w:p>
        </w:tc>
      </w:tr>
      <w:tr w:rsidR="004569EE" w:rsidRPr="007D3144" w14:paraId="328E7E48" w14:textId="77777777">
        <w:trPr>
          <w:trHeight w:val="255"/>
        </w:trPr>
        <w:tc>
          <w:tcPr>
            <w:tcW w:w="6517" w:type="dxa"/>
          </w:tcPr>
          <w:p w14:paraId="7E631602" w14:textId="77777777" w:rsidR="004C7180" w:rsidRPr="00150EDC" w:rsidRDefault="00CF0754">
            <w:pPr>
              <w:pStyle w:val="TableParagraph"/>
              <w:spacing w:before="28"/>
              <w:rPr>
                <w:sz w:val="20"/>
              </w:rPr>
            </w:pPr>
            <w:r w:rsidRPr="00150EDC">
              <w:rPr>
                <w:sz w:val="20"/>
              </w:rPr>
              <w:t>Firearms</w:t>
            </w:r>
            <w:r w:rsidRPr="00150EDC">
              <w:rPr>
                <w:spacing w:val="-6"/>
                <w:sz w:val="20"/>
              </w:rPr>
              <w:t xml:space="preserve"> </w:t>
            </w:r>
            <w:r w:rsidRPr="00150EDC">
              <w:rPr>
                <w:sz w:val="20"/>
              </w:rPr>
              <w:t>(Northern</w:t>
            </w:r>
            <w:r w:rsidRPr="00150EDC">
              <w:rPr>
                <w:spacing w:val="-6"/>
                <w:sz w:val="20"/>
              </w:rPr>
              <w:t xml:space="preserve"> </w:t>
            </w:r>
            <w:r w:rsidRPr="00150EDC">
              <w:rPr>
                <w:sz w:val="20"/>
              </w:rPr>
              <w:t>Ireland)</w:t>
            </w:r>
            <w:r w:rsidRPr="00150EDC">
              <w:rPr>
                <w:spacing w:val="-6"/>
                <w:sz w:val="20"/>
              </w:rPr>
              <w:t xml:space="preserve"> </w:t>
            </w:r>
            <w:r w:rsidRPr="00150EDC">
              <w:rPr>
                <w:sz w:val="20"/>
              </w:rPr>
              <w:t>Order</w:t>
            </w:r>
            <w:r w:rsidRPr="00150EDC">
              <w:rPr>
                <w:spacing w:val="-6"/>
                <w:sz w:val="20"/>
              </w:rPr>
              <w:t xml:space="preserve"> </w:t>
            </w:r>
            <w:r w:rsidRPr="00150EDC">
              <w:rPr>
                <w:sz w:val="20"/>
              </w:rPr>
              <w:t>1981,</w:t>
            </w:r>
            <w:r w:rsidRPr="00150EDC">
              <w:rPr>
                <w:spacing w:val="-6"/>
                <w:sz w:val="20"/>
              </w:rPr>
              <w:t xml:space="preserve"> </w:t>
            </w:r>
            <w:r w:rsidRPr="00150EDC">
              <w:rPr>
                <w:sz w:val="20"/>
              </w:rPr>
              <w:t>Art</w:t>
            </w:r>
            <w:r w:rsidRPr="00150EDC">
              <w:rPr>
                <w:spacing w:val="-1"/>
                <w:sz w:val="20"/>
              </w:rPr>
              <w:t xml:space="preserve"> </w:t>
            </w:r>
            <w:r w:rsidRPr="00150EDC">
              <w:rPr>
                <w:spacing w:val="-5"/>
                <w:sz w:val="20"/>
              </w:rPr>
              <w:t>18</w:t>
            </w:r>
          </w:p>
        </w:tc>
        <w:tc>
          <w:tcPr>
            <w:tcW w:w="7427" w:type="dxa"/>
          </w:tcPr>
          <w:p w14:paraId="3A503859" w14:textId="77777777" w:rsidR="004C7180" w:rsidRPr="00150EDC" w:rsidRDefault="00CF0754">
            <w:pPr>
              <w:pStyle w:val="TableParagraph"/>
              <w:spacing w:before="28"/>
              <w:rPr>
                <w:sz w:val="20"/>
              </w:rPr>
            </w:pPr>
            <w:r w:rsidRPr="00150EDC">
              <w:rPr>
                <w:sz w:val="20"/>
              </w:rPr>
              <w:t>Carrying</w:t>
            </w:r>
            <w:r w:rsidRPr="00150EDC">
              <w:rPr>
                <w:spacing w:val="-5"/>
                <w:sz w:val="20"/>
              </w:rPr>
              <w:t xml:space="preserve"> </w:t>
            </w:r>
            <w:r w:rsidRPr="00150EDC">
              <w:rPr>
                <w:sz w:val="20"/>
              </w:rPr>
              <w:t>firearm</w:t>
            </w:r>
            <w:r w:rsidRPr="00150EDC">
              <w:rPr>
                <w:spacing w:val="-5"/>
                <w:sz w:val="20"/>
              </w:rPr>
              <w:t xml:space="preserve"> </w:t>
            </w:r>
            <w:r w:rsidRPr="00150EDC">
              <w:rPr>
                <w:sz w:val="20"/>
              </w:rPr>
              <w:t>with</w:t>
            </w:r>
            <w:r w:rsidRPr="00150EDC">
              <w:rPr>
                <w:spacing w:val="-5"/>
                <w:sz w:val="20"/>
              </w:rPr>
              <w:t xml:space="preserve"> </w:t>
            </w:r>
            <w:r w:rsidRPr="00150EDC">
              <w:rPr>
                <w:sz w:val="20"/>
              </w:rPr>
              <w:t>intent</w:t>
            </w:r>
            <w:r w:rsidRPr="00150EDC">
              <w:rPr>
                <w:spacing w:val="-4"/>
                <w:sz w:val="20"/>
              </w:rPr>
              <w:t xml:space="preserve"> </w:t>
            </w:r>
            <w:r w:rsidRPr="00150EDC">
              <w:rPr>
                <w:sz w:val="20"/>
              </w:rPr>
              <w:t>to resist</w:t>
            </w:r>
            <w:r w:rsidRPr="00150EDC">
              <w:rPr>
                <w:spacing w:val="-4"/>
                <w:sz w:val="20"/>
              </w:rPr>
              <w:t xml:space="preserve"> </w:t>
            </w:r>
            <w:r w:rsidRPr="00150EDC">
              <w:rPr>
                <w:sz w:val="20"/>
              </w:rPr>
              <w:t>arrest</w:t>
            </w:r>
            <w:r w:rsidRPr="00150EDC">
              <w:rPr>
                <w:spacing w:val="1"/>
                <w:sz w:val="20"/>
              </w:rPr>
              <w:t xml:space="preserve"> </w:t>
            </w:r>
            <w:r w:rsidRPr="00150EDC">
              <w:rPr>
                <w:sz w:val="20"/>
              </w:rPr>
              <w:t>or</w:t>
            </w:r>
            <w:r w:rsidRPr="00150EDC">
              <w:rPr>
                <w:spacing w:val="-5"/>
                <w:sz w:val="20"/>
              </w:rPr>
              <w:t xml:space="preserve"> </w:t>
            </w:r>
            <w:r w:rsidRPr="00150EDC">
              <w:rPr>
                <w:sz w:val="20"/>
              </w:rPr>
              <w:t>commit</w:t>
            </w:r>
            <w:r w:rsidRPr="00150EDC">
              <w:rPr>
                <w:spacing w:val="-3"/>
                <w:sz w:val="20"/>
              </w:rPr>
              <w:t xml:space="preserve"> </w:t>
            </w:r>
            <w:r w:rsidRPr="00150EDC">
              <w:rPr>
                <w:sz w:val="20"/>
              </w:rPr>
              <w:t>an</w:t>
            </w:r>
            <w:r w:rsidRPr="00150EDC">
              <w:rPr>
                <w:spacing w:val="-5"/>
                <w:sz w:val="20"/>
              </w:rPr>
              <w:t xml:space="preserve"> </w:t>
            </w:r>
            <w:r w:rsidRPr="00150EDC">
              <w:rPr>
                <w:spacing w:val="-2"/>
                <w:sz w:val="20"/>
              </w:rPr>
              <w:t>offence</w:t>
            </w:r>
          </w:p>
        </w:tc>
      </w:tr>
    </w:tbl>
    <w:p w14:paraId="1F8F62BB" w14:textId="77777777" w:rsidR="004C7180" w:rsidRPr="00150EDC" w:rsidRDefault="004C7180">
      <w:pPr>
        <w:rPr>
          <w:sz w:val="20"/>
        </w:rPr>
        <w:sectPr w:rsidR="004C7180" w:rsidRPr="00150EDC">
          <w:footerReference w:type="default" r:id="rId132"/>
          <w:pgSz w:w="16840" w:h="11910" w:orient="landscape"/>
          <w:pgMar w:top="1340" w:right="1320" w:bottom="280" w:left="1340" w:header="0" w:footer="0" w:gutter="0"/>
          <w:cols w:space="720"/>
        </w:sectPr>
      </w:pPr>
    </w:p>
    <w:p w14:paraId="5ACB59DA" w14:textId="77777777" w:rsidR="004C7180" w:rsidRPr="00150EDC" w:rsidRDefault="004C7180">
      <w:pPr>
        <w:pStyle w:val="BodyText"/>
        <w:spacing w:before="3"/>
        <w:rPr>
          <w:sz w:val="8"/>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517"/>
        <w:gridCol w:w="7427"/>
      </w:tblGrid>
      <w:tr w:rsidR="004569EE" w:rsidRPr="007D3144" w14:paraId="3C7DD617" w14:textId="77777777">
        <w:trPr>
          <w:trHeight w:val="254"/>
        </w:trPr>
        <w:tc>
          <w:tcPr>
            <w:tcW w:w="6517" w:type="dxa"/>
          </w:tcPr>
          <w:p w14:paraId="4642E9B2" w14:textId="77777777" w:rsidR="004C7180" w:rsidRPr="00150EDC" w:rsidRDefault="00CF0754">
            <w:pPr>
              <w:pStyle w:val="TableParagraph"/>
              <w:rPr>
                <w:sz w:val="20"/>
              </w:rPr>
            </w:pPr>
            <w:r w:rsidRPr="00150EDC">
              <w:rPr>
                <w:sz w:val="20"/>
              </w:rPr>
              <w:t>Firearms</w:t>
            </w:r>
            <w:r w:rsidRPr="00150EDC">
              <w:rPr>
                <w:spacing w:val="-5"/>
                <w:sz w:val="20"/>
              </w:rPr>
              <w:t xml:space="preserve"> </w:t>
            </w:r>
            <w:r w:rsidRPr="00150EDC">
              <w:rPr>
                <w:sz w:val="20"/>
              </w:rPr>
              <w:t>(Northern</w:t>
            </w:r>
            <w:r w:rsidRPr="00150EDC">
              <w:rPr>
                <w:spacing w:val="-6"/>
                <w:sz w:val="20"/>
              </w:rPr>
              <w:t xml:space="preserve"> </w:t>
            </w:r>
            <w:r w:rsidRPr="00150EDC">
              <w:rPr>
                <w:sz w:val="20"/>
              </w:rPr>
              <w:t>Ireland)</w:t>
            </w:r>
            <w:r w:rsidRPr="00150EDC">
              <w:rPr>
                <w:spacing w:val="-5"/>
                <w:sz w:val="20"/>
              </w:rPr>
              <w:t xml:space="preserve"> </w:t>
            </w:r>
            <w:r w:rsidRPr="00150EDC">
              <w:rPr>
                <w:sz w:val="20"/>
              </w:rPr>
              <w:t>Order</w:t>
            </w:r>
            <w:r w:rsidRPr="00150EDC">
              <w:rPr>
                <w:spacing w:val="-6"/>
                <w:sz w:val="20"/>
              </w:rPr>
              <w:t xml:space="preserve"> </w:t>
            </w:r>
            <w:r w:rsidRPr="00150EDC">
              <w:rPr>
                <w:sz w:val="20"/>
              </w:rPr>
              <w:t>1981,</w:t>
            </w:r>
            <w:r w:rsidRPr="00150EDC">
              <w:rPr>
                <w:spacing w:val="-6"/>
                <w:sz w:val="20"/>
              </w:rPr>
              <w:t xml:space="preserve"> </w:t>
            </w:r>
            <w:r w:rsidRPr="00150EDC">
              <w:rPr>
                <w:sz w:val="20"/>
              </w:rPr>
              <w:t>Art</w:t>
            </w:r>
            <w:r w:rsidRPr="00150EDC">
              <w:rPr>
                <w:spacing w:val="-1"/>
                <w:sz w:val="20"/>
              </w:rPr>
              <w:t xml:space="preserve"> </w:t>
            </w:r>
            <w:r w:rsidRPr="00150EDC">
              <w:rPr>
                <w:spacing w:val="-5"/>
                <w:sz w:val="20"/>
              </w:rPr>
              <w:t>19</w:t>
            </w:r>
          </w:p>
        </w:tc>
        <w:tc>
          <w:tcPr>
            <w:tcW w:w="7427" w:type="dxa"/>
          </w:tcPr>
          <w:p w14:paraId="100C21EA" w14:textId="77777777" w:rsidR="004C7180" w:rsidRPr="00150EDC" w:rsidRDefault="00CF0754">
            <w:pPr>
              <w:pStyle w:val="TableParagraph"/>
              <w:rPr>
                <w:sz w:val="20"/>
              </w:rPr>
            </w:pPr>
            <w:r w:rsidRPr="00150EDC">
              <w:rPr>
                <w:sz w:val="20"/>
              </w:rPr>
              <w:t>Carrying</w:t>
            </w:r>
            <w:r w:rsidRPr="00150EDC">
              <w:rPr>
                <w:spacing w:val="-7"/>
                <w:sz w:val="20"/>
              </w:rPr>
              <w:t xml:space="preserve"> </w:t>
            </w:r>
            <w:r w:rsidRPr="00150EDC">
              <w:rPr>
                <w:sz w:val="20"/>
              </w:rPr>
              <w:t>firearm</w:t>
            </w:r>
            <w:r w:rsidRPr="00150EDC">
              <w:rPr>
                <w:spacing w:val="-6"/>
                <w:sz w:val="20"/>
              </w:rPr>
              <w:t xml:space="preserve"> </w:t>
            </w:r>
            <w:r w:rsidRPr="00150EDC">
              <w:rPr>
                <w:sz w:val="20"/>
              </w:rPr>
              <w:t>with</w:t>
            </w:r>
            <w:r w:rsidRPr="00150EDC">
              <w:rPr>
                <w:spacing w:val="-6"/>
                <w:sz w:val="20"/>
              </w:rPr>
              <w:t xml:space="preserve"> </w:t>
            </w:r>
            <w:r w:rsidRPr="00150EDC">
              <w:rPr>
                <w:spacing w:val="-2"/>
                <w:sz w:val="20"/>
              </w:rPr>
              <w:t>intent</w:t>
            </w:r>
          </w:p>
        </w:tc>
      </w:tr>
      <w:tr w:rsidR="004569EE" w:rsidRPr="007D3144" w14:paraId="17F90AC9" w14:textId="77777777">
        <w:trPr>
          <w:trHeight w:val="255"/>
        </w:trPr>
        <w:tc>
          <w:tcPr>
            <w:tcW w:w="6517" w:type="dxa"/>
          </w:tcPr>
          <w:p w14:paraId="428B0027" w14:textId="77777777" w:rsidR="004C7180" w:rsidRPr="00150EDC" w:rsidRDefault="00CF0754">
            <w:pPr>
              <w:pStyle w:val="TableParagraph"/>
              <w:spacing w:before="28"/>
              <w:rPr>
                <w:sz w:val="20"/>
              </w:rPr>
            </w:pPr>
            <w:r w:rsidRPr="00150EDC">
              <w:rPr>
                <w:sz w:val="20"/>
              </w:rPr>
              <w:t>Firearms</w:t>
            </w:r>
            <w:r w:rsidRPr="00150EDC">
              <w:rPr>
                <w:spacing w:val="-6"/>
                <w:sz w:val="20"/>
              </w:rPr>
              <w:t xml:space="preserve"> </w:t>
            </w:r>
            <w:r w:rsidRPr="00150EDC">
              <w:rPr>
                <w:sz w:val="20"/>
              </w:rPr>
              <w:t>(Northern</w:t>
            </w:r>
            <w:r w:rsidRPr="00150EDC">
              <w:rPr>
                <w:spacing w:val="-6"/>
                <w:sz w:val="20"/>
              </w:rPr>
              <w:t xml:space="preserve"> </w:t>
            </w:r>
            <w:r w:rsidRPr="00150EDC">
              <w:rPr>
                <w:sz w:val="20"/>
              </w:rPr>
              <w:t>Ireland)</w:t>
            </w:r>
            <w:r w:rsidRPr="00150EDC">
              <w:rPr>
                <w:spacing w:val="-6"/>
                <w:sz w:val="20"/>
              </w:rPr>
              <w:t xml:space="preserve"> </w:t>
            </w:r>
            <w:r w:rsidRPr="00150EDC">
              <w:rPr>
                <w:sz w:val="20"/>
              </w:rPr>
              <w:t>Order</w:t>
            </w:r>
            <w:r w:rsidRPr="00150EDC">
              <w:rPr>
                <w:spacing w:val="-6"/>
                <w:sz w:val="20"/>
              </w:rPr>
              <w:t xml:space="preserve"> </w:t>
            </w:r>
            <w:r w:rsidRPr="00150EDC">
              <w:rPr>
                <w:sz w:val="20"/>
              </w:rPr>
              <w:t>2004,</w:t>
            </w:r>
            <w:r w:rsidRPr="00150EDC">
              <w:rPr>
                <w:spacing w:val="-6"/>
                <w:sz w:val="20"/>
              </w:rPr>
              <w:t xml:space="preserve"> </w:t>
            </w:r>
            <w:r w:rsidRPr="00150EDC">
              <w:rPr>
                <w:sz w:val="20"/>
              </w:rPr>
              <w:t>Art</w:t>
            </w:r>
            <w:r w:rsidRPr="00150EDC">
              <w:rPr>
                <w:spacing w:val="-1"/>
                <w:sz w:val="20"/>
              </w:rPr>
              <w:t xml:space="preserve"> </w:t>
            </w:r>
            <w:r w:rsidRPr="00150EDC">
              <w:rPr>
                <w:spacing w:val="-5"/>
                <w:sz w:val="20"/>
              </w:rPr>
              <w:t>58</w:t>
            </w:r>
          </w:p>
        </w:tc>
        <w:tc>
          <w:tcPr>
            <w:tcW w:w="7427" w:type="dxa"/>
          </w:tcPr>
          <w:p w14:paraId="6991C32A" w14:textId="77777777" w:rsidR="004C7180" w:rsidRPr="00150EDC" w:rsidRDefault="00CF0754">
            <w:pPr>
              <w:pStyle w:val="TableParagraph"/>
              <w:spacing w:before="28"/>
              <w:rPr>
                <w:sz w:val="20"/>
              </w:rPr>
            </w:pPr>
            <w:r w:rsidRPr="00150EDC">
              <w:rPr>
                <w:sz w:val="20"/>
              </w:rPr>
              <w:t>Possession</w:t>
            </w:r>
            <w:r w:rsidRPr="00150EDC">
              <w:rPr>
                <w:spacing w:val="-5"/>
                <w:sz w:val="20"/>
              </w:rPr>
              <w:t xml:space="preserve"> </w:t>
            </w:r>
            <w:r w:rsidRPr="00150EDC">
              <w:rPr>
                <w:sz w:val="20"/>
              </w:rPr>
              <w:t>of</w:t>
            </w:r>
            <w:r w:rsidRPr="00150EDC">
              <w:rPr>
                <w:spacing w:val="-5"/>
                <w:sz w:val="20"/>
              </w:rPr>
              <w:t xml:space="preserve"> </w:t>
            </w:r>
            <w:r w:rsidRPr="00150EDC">
              <w:rPr>
                <w:sz w:val="20"/>
              </w:rPr>
              <w:t>firearm</w:t>
            </w:r>
            <w:r w:rsidRPr="00150EDC">
              <w:rPr>
                <w:spacing w:val="-5"/>
                <w:sz w:val="20"/>
              </w:rPr>
              <w:t xml:space="preserve"> </w:t>
            </w:r>
            <w:r w:rsidRPr="00150EDC">
              <w:rPr>
                <w:sz w:val="20"/>
              </w:rPr>
              <w:t>with</w:t>
            </w:r>
            <w:r w:rsidRPr="00150EDC">
              <w:rPr>
                <w:spacing w:val="-4"/>
                <w:sz w:val="20"/>
              </w:rPr>
              <w:t xml:space="preserve"> </w:t>
            </w:r>
            <w:r w:rsidRPr="00150EDC">
              <w:rPr>
                <w:spacing w:val="-2"/>
                <w:sz w:val="20"/>
              </w:rPr>
              <w:t>intent</w:t>
            </w:r>
          </w:p>
        </w:tc>
      </w:tr>
      <w:tr w:rsidR="004569EE" w:rsidRPr="007D3144" w14:paraId="4E0617D5" w14:textId="77777777">
        <w:trPr>
          <w:trHeight w:val="255"/>
        </w:trPr>
        <w:tc>
          <w:tcPr>
            <w:tcW w:w="6517" w:type="dxa"/>
          </w:tcPr>
          <w:p w14:paraId="481F8368" w14:textId="77777777" w:rsidR="004C7180" w:rsidRPr="00150EDC" w:rsidRDefault="00CF0754">
            <w:pPr>
              <w:pStyle w:val="TableParagraph"/>
              <w:rPr>
                <w:sz w:val="20"/>
              </w:rPr>
            </w:pPr>
            <w:r w:rsidRPr="00150EDC">
              <w:rPr>
                <w:sz w:val="20"/>
              </w:rPr>
              <w:t>Firearms</w:t>
            </w:r>
            <w:r w:rsidRPr="00150EDC">
              <w:rPr>
                <w:spacing w:val="-6"/>
                <w:sz w:val="20"/>
              </w:rPr>
              <w:t xml:space="preserve"> </w:t>
            </w:r>
            <w:r w:rsidRPr="00150EDC">
              <w:rPr>
                <w:sz w:val="20"/>
              </w:rPr>
              <w:t>(Northern</w:t>
            </w:r>
            <w:r w:rsidRPr="00150EDC">
              <w:rPr>
                <w:spacing w:val="-6"/>
                <w:sz w:val="20"/>
              </w:rPr>
              <w:t xml:space="preserve"> </w:t>
            </w:r>
            <w:r w:rsidRPr="00150EDC">
              <w:rPr>
                <w:sz w:val="20"/>
              </w:rPr>
              <w:t>Ireland)</w:t>
            </w:r>
            <w:r w:rsidRPr="00150EDC">
              <w:rPr>
                <w:spacing w:val="-6"/>
                <w:sz w:val="20"/>
              </w:rPr>
              <w:t xml:space="preserve"> </w:t>
            </w:r>
            <w:r w:rsidRPr="00150EDC">
              <w:rPr>
                <w:sz w:val="20"/>
              </w:rPr>
              <w:t>Order</w:t>
            </w:r>
            <w:r w:rsidRPr="00150EDC">
              <w:rPr>
                <w:spacing w:val="-6"/>
                <w:sz w:val="20"/>
              </w:rPr>
              <w:t xml:space="preserve"> </w:t>
            </w:r>
            <w:r w:rsidRPr="00150EDC">
              <w:rPr>
                <w:sz w:val="20"/>
              </w:rPr>
              <w:t>2004,</w:t>
            </w:r>
            <w:r w:rsidRPr="00150EDC">
              <w:rPr>
                <w:spacing w:val="-6"/>
                <w:sz w:val="20"/>
              </w:rPr>
              <w:t xml:space="preserve"> </w:t>
            </w:r>
            <w:r w:rsidRPr="00150EDC">
              <w:rPr>
                <w:sz w:val="20"/>
              </w:rPr>
              <w:t>Art</w:t>
            </w:r>
            <w:r w:rsidRPr="00150EDC">
              <w:rPr>
                <w:spacing w:val="-1"/>
                <w:sz w:val="20"/>
              </w:rPr>
              <w:t xml:space="preserve"> </w:t>
            </w:r>
            <w:r w:rsidRPr="00150EDC">
              <w:rPr>
                <w:spacing w:val="-5"/>
                <w:sz w:val="20"/>
              </w:rPr>
              <w:t>59</w:t>
            </w:r>
          </w:p>
        </w:tc>
        <w:tc>
          <w:tcPr>
            <w:tcW w:w="7427" w:type="dxa"/>
          </w:tcPr>
          <w:p w14:paraId="7C010412" w14:textId="77777777" w:rsidR="004C7180" w:rsidRPr="00150EDC" w:rsidRDefault="00CF0754">
            <w:pPr>
              <w:pStyle w:val="TableParagraph"/>
              <w:rPr>
                <w:sz w:val="20"/>
              </w:rPr>
            </w:pPr>
            <w:r w:rsidRPr="00150EDC">
              <w:rPr>
                <w:sz w:val="20"/>
              </w:rPr>
              <w:t>Use</w:t>
            </w:r>
            <w:r w:rsidRPr="00150EDC">
              <w:rPr>
                <w:spacing w:val="-5"/>
                <w:sz w:val="20"/>
              </w:rPr>
              <w:t xml:space="preserve"> </w:t>
            </w:r>
            <w:r w:rsidRPr="00150EDC">
              <w:rPr>
                <w:sz w:val="20"/>
              </w:rPr>
              <w:t>of</w:t>
            </w:r>
            <w:r w:rsidRPr="00150EDC">
              <w:rPr>
                <w:spacing w:val="-4"/>
                <w:sz w:val="20"/>
              </w:rPr>
              <w:t xml:space="preserve"> </w:t>
            </w:r>
            <w:r w:rsidRPr="00150EDC">
              <w:rPr>
                <w:sz w:val="20"/>
              </w:rPr>
              <w:t>firearms</w:t>
            </w:r>
            <w:r w:rsidRPr="00150EDC">
              <w:rPr>
                <w:spacing w:val="-3"/>
                <w:sz w:val="20"/>
              </w:rPr>
              <w:t xml:space="preserve"> </w:t>
            </w:r>
            <w:r w:rsidRPr="00150EDC">
              <w:rPr>
                <w:sz w:val="20"/>
              </w:rPr>
              <w:t>to</w:t>
            </w:r>
            <w:r w:rsidRPr="00150EDC">
              <w:rPr>
                <w:spacing w:val="-4"/>
                <w:sz w:val="20"/>
              </w:rPr>
              <w:t xml:space="preserve"> </w:t>
            </w:r>
            <w:r w:rsidRPr="00150EDC">
              <w:rPr>
                <w:sz w:val="20"/>
              </w:rPr>
              <w:t xml:space="preserve">resist </w:t>
            </w:r>
            <w:r w:rsidRPr="00150EDC">
              <w:rPr>
                <w:spacing w:val="-2"/>
                <w:sz w:val="20"/>
              </w:rPr>
              <w:t>arrest</w:t>
            </w:r>
          </w:p>
        </w:tc>
      </w:tr>
      <w:tr w:rsidR="004569EE" w:rsidRPr="007D3144" w14:paraId="70D814F5" w14:textId="77777777">
        <w:trPr>
          <w:trHeight w:val="255"/>
        </w:trPr>
        <w:tc>
          <w:tcPr>
            <w:tcW w:w="6517" w:type="dxa"/>
          </w:tcPr>
          <w:p w14:paraId="5ACD126E" w14:textId="77777777" w:rsidR="004C7180" w:rsidRPr="00150EDC" w:rsidRDefault="00CF0754">
            <w:pPr>
              <w:pStyle w:val="TableParagraph"/>
              <w:rPr>
                <w:sz w:val="20"/>
              </w:rPr>
            </w:pPr>
            <w:r w:rsidRPr="00150EDC">
              <w:rPr>
                <w:sz w:val="20"/>
              </w:rPr>
              <w:t>Firearms</w:t>
            </w:r>
            <w:r w:rsidRPr="00150EDC">
              <w:rPr>
                <w:spacing w:val="-6"/>
                <w:sz w:val="20"/>
              </w:rPr>
              <w:t xml:space="preserve"> </w:t>
            </w:r>
            <w:r w:rsidRPr="00150EDC">
              <w:rPr>
                <w:sz w:val="20"/>
              </w:rPr>
              <w:t>(Northern</w:t>
            </w:r>
            <w:r w:rsidRPr="00150EDC">
              <w:rPr>
                <w:spacing w:val="-6"/>
                <w:sz w:val="20"/>
              </w:rPr>
              <w:t xml:space="preserve"> </w:t>
            </w:r>
            <w:r w:rsidRPr="00150EDC">
              <w:rPr>
                <w:sz w:val="20"/>
              </w:rPr>
              <w:t>Ireland)</w:t>
            </w:r>
            <w:r w:rsidRPr="00150EDC">
              <w:rPr>
                <w:spacing w:val="-6"/>
                <w:sz w:val="20"/>
              </w:rPr>
              <w:t xml:space="preserve"> </w:t>
            </w:r>
            <w:r w:rsidRPr="00150EDC">
              <w:rPr>
                <w:sz w:val="20"/>
              </w:rPr>
              <w:t>Order</w:t>
            </w:r>
            <w:r w:rsidRPr="00150EDC">
              <w:rPr>
                <w:spacing w:val="-6"/>
                <w:sz w:val="20"/>
              </w:rPr>
              <w:t xml:space="preserve"> </w:t>
            </w:r>
            <w:r w:rsidRPr="00150EDC">
              <w:rPr>
                <w:sz w:val="20"/>
              </w:rPr>
              <w:t>2004,</w:t>
            </w:r>
            <w:r w:rsidRPr="00150EDC">
              <w:rPr>
                <w:spacing w:val="-6"/>
                <w:sz w:val="20"/>
              </w:rPr>
              <w:t xml:space="preserve"> </w:t>
            </w:r>
            <w:r w:rsidRPr="00150EDC">
              <w:rPr>
                <w:sz w:val="20"/>
              </w:rPr>
              <w:t>Art</w:t>
            </w:r>
            <w:r w:rsidRPr="00150EDC">
              <w:rPr>
                <w:spacing w:val="2"/>
                <w:sz w:val="20"/>
              </w:rPr>
              <w:t xml:space="preserve"> </w:t>
            </w:r>
            <w:r w:rsidRPr="00150EDC">
              <w:rPr>
                <w:spacing w:val="-5"/>
                <w:sz w:val="20"/>
              </w:rPr>
              <w:t>60</w:t>
            </w:r>
          </w:p>
        </w:tc>
        <w:tc>
          <w:tcPr>
            <w:tcW w:w="7427" w:type="dxa"/>
          </w:tcPr>
          <w:p w14:paraId="0848EDD1" w14:textId="77777777" w:rsidR="004C7180" w:rsidRPr="00150EDC" w:rsidRDefault="00CF0754">
            <w:pPr>
              <w:pStyle w:val="TableParagraph"/>
              <w:rPr>
                <w:sz w:val="20"/>
              </w:rPr>
            </w:pPr>
            <w:r w:rsidRPr="00150EDC">
              <w:rPr>
                <w:sz w:val="20"/>
              </w:rPr>
              <w:t>Carrying</w:t>
            </w:r>
            <w:r w:rsidRPr="00150EDC">
              <w:rPr>
                <w:spacing w:val="-7"/>
                <w:sz w:val="20"/>
              </w:rPr>
              <w:t xml:space="preserve"> </w:t>
            </w:r>
            <w:r w:rsidRPr="00150EDC">
              <w:rPr>
                <w:sz w:val="20"/>
              </w:rPr>
              <w:t>firearm</w:t>
            </w:r>
            <w:r w:rsidRPr="00150EDC">
              <w:rPr>
                <w:spacing w:val="-6"/>
                <w:sz w:val="20"/>
              </w:rPr>
              <w:t xml:space="preserve"> </w:t>
            </w:r>
            <w:r w:rsidRPr="00150EDC">
              <w:rPr>
                <w:sz w:val="20"/>
              </w:rPr>
              <w:t>with</w:t>
            </w:r>
            <w:r w:rsidRPr="00150EDC">
              <w:rPr>
                <w:spacing w:val="-6"/>
                <w:sz w:val="20"/>
              </w:rPr>
              <w:t xml:space="preserve"> </w:t>
            </w:r>
            <w:r w:rsidRPr="00150EDC">
              <w:rPr>
                <w:sz w:val="20"/>
              </w:rPr>
              <w:t>criminal</w:t>
            </w:r>
            <w:r w:rsidRPr="00150EDC">
              <w:rPr>
                <w:spacing w:val="-4"/>
                <w:sz w:val="20"/>
              </w:rPr>
              <w:t xml:space="preserve"> </w:t>
            </w:r>
            <w:r w:rsidRPr="00150EDC">
              <w:rPr>
                <w:spacing w:val="-2"/>
                <w:sz w:val="20"/>
              </w:rPr>
              <w:t>intent</w:t>
            </w:r>
          </w:p>
        </w:tc>
      </w:tr>
      <w:tr w:rsidR="004569EE" w:rsidRPr="007D3144" w14:paraId="257BD211" w14:textId="77777777">
        <w:trPr>
          <w:trHeight w:val="255"/>
        </w:trPr>
        <w:tc>
          <w:tcPr>
            <w:tcW w:w="6517" w:type="dxa"/>
          </w:tcPr>
          <w:p w14:paraId="2CA8F763" w14:textId="77777777" w:rsidR="004C7180" w:rsidRPr="00150EDC" w:rsidRDefault="00CF0754">
            <w:pPr>
              <w:pStyle w:val="TableParagraph"/>
              <w:rPr>
                <w:sz w:val="20"/>
              </w:rPr>
            </w:pPr>
            <w:r w:rsidRPr="00150EDC">
              <w:rPr>
                <w:sz w:val="20"/>
              </w:rPr>
              <w:t>Firearms</w:t>
            </w:r>
            <w:r w:rsidRPr="00150EDC">
              <w:rPr>
                <w:spacing w:val="-8"/>
                <w:sz w:val="20"/>
              </w:rPr>
              <w:t xml:space="preserve"> </w:t>
            </w:r>
            <w:r w:rsidRPr="00150EDC">
              <w:rPr>
                <w:sz w:val="20"/>
              </w:rPr>
              <w:t>(Sark)</w:t>
            </w:r>
            <w:r w:rsidRPr="00150EDC">
              <w:rPr>
                <w:spacing w:val="-8"/>
                <w:sz w:val="20"/>
              </w:rPr>
              <w:t xml:space="preserve"> </w:t>
            </w:r>
            <w:r w:rsidRPr="00150EDC">
              <w:rPr>
                <w:sz w:val="20"/>
              </w:rPr>
              <w:t>Law</w:t>
            </w:r>
            <w:r w:rsidRPr="00150EDC">
              <w:rPr>
                <w:spacing w:val="-2"/>
                <w:sz w:val="20"/>
              </w:rPr>
              <w:t xml:space="preserve"> </w:t>
            </w:r>
            <w:r w:rsidRPr="00150EDC">
              <w:rPr>
                <w:sz w:val="20"/>
              </w:rPr>
              <w:t>2001,</w:t>
            </w:r>
            <w:r w:rsidRPr="00150EDC">
              <w:rPr>
                <w:spacing w:val="-3"/>
                <w:sz w:val="20"/>
              </w:rPr>
              <w:t xml:space="preserve"> </w:t>
            </w:r>
            <w:r w:rsidRPr="00150EDC">
              <w:rPr>
                <w:spacing w:val="-5"/>
                <w:sz w:val="20"/>
              </w:rPr>
              <w:t>s16</w:t>
            </w:r>
          </w:p>
        </w:tc>
        <w:tc>
          <w:tcPr>
            <w:tcW w:w="7427" w:type="dxa"/>
          </w:tcPr>
          <w:p w14:paraId="69275885" w14:textId="77777777" w:rsidR="004C7180" w:rsidRPr="00150EDC" w:rsidRDefault="00CF0754">
            <w:pPr>
              <w:pStyle w:val="TableParagraph"/>
              <w:rPr>
                <w:sz w:val="20"/>
              </w:rPr>
            </w:pPr>
            <w:r w:rsidRPr="00150EDC">
              <w:rPr>
                <w:sz w:val="20"/>
              </w:rPr>
              <w:t>Possession</w:t>
            </w:r>
            <w:r w:rsidRPr="00150EDC">
              <w:rPr>
                <w:spacing w:val="-5"/>
                <w:sz w:val="20"/>
              </w:rPr>
              <w:t xml:space="preserve"> </w:t>
            </w:r>
            <w:r w:rsidRPr="00150EDC">
              <w:rPr>
                <w:sz w:val="20"/>
              </w:rPr>
              <w:t>of</w:t>
            </w:r>
            <w:r w:rsidRPr="00150EDC">
              <w:rPr>
                <w:spacing w:val="-5"/>
                <w:sz w:val="20"/>
              </w:rPr>
              <w:t xml:space="preserve"> </w:t>
            </w:r>
            <w:r w:rsidRPr="00150EDC">
              <w:rPr>
                <w:sz w:val="20"/>
              </w:rPr>
              <w:t>firearm</w:t>
            </w:r>
            <w:r w:rsidRPr="00150EDC">
              <w:rPr>
                <w:spacing w:val="-5"/>
                <w:sz w:val="20"/>
              </w:rPr>
              <w:t xml:space="preserve"> </w:t>
            </w:r>
            <w:r w:rsidRPr="00150EDC">
              <w:rPr>
                <w:sz w:val="20"/>
              </w:rPr>
              <w:t>with</w:t>
            </w:r>
            <w:r w:rsidRPr="00150EDC">
              <w:rPr>
                <w:spacing w:val="-4"/>
                <w:sz w:val="20"/>
              </w:rPr>
              <w:t xml:space="preserve"> </w:t>
            </w:r>
            <w:r w:rsidRPr="00150EDC">
              <w:rPr>
                <w:spacing w:val="-2"/>
                <w:sz w:val="20"/>
              </w:rPr>
              <w:t>intent</w:t>
            </w:r>
          </w:p>
        </w:tc>
      </w:tr>
      <w:tr w:rsidR="004569EE" w:rsidRPr="007D3144" w14:paraId="14EE1CD8" w14:textId="77777777">
        <w:trPr>
          <w:trHeight w:val="255"/>
        </w:trPr>
        <w:tc>
          <w:tcPr>
            <w:tcW w:w="6517" w:type="dxa"/>
          </w:tcPr>
          <w:p w14:paraId="1A36914C" w14:textId="77777777" w:rsidR="004C7180" w:rsidRPr="00150EDC" w:rsidRDefault="00CF0754">
            <w:pPr>
              <w:pStyle w:val="TableParagraph"/>
              <w:spacing w:before="28"/>
              <w:rPr>
                <w:sz w:val="20"/>
              </w:rPr>
            </w:pPr>
            <w:r w:rsidRPr="00150EDC">
              <w:rPr>
                <w:sz w:val="20"/>
              </w:rPr>
              <w:t>Firearms</w:t>
            </w:r>
            <w:r w:rsidRPr="00150EDC">
              <w:rPr>
                <w:spacing w:val="-8"/>
                <w:sz w:val="20"/>
              </w:rPr>
              <w:t xml:space="preserve"> </w:t>
            </w:r>
            <w:r w:rsidRPr="00150EDC">
              <w:rPr>
                <w:sz w:val="20"/>
              </w:rPr>
              <w:t>(Sark)</w:t>
            </w:r>
            <w:r w:rsidRPr="00150EDC">
              <w:rPr>
                <w:spacing w:val="-8"/>
                <w:sz w:val="20"/>
              </w:rPr>
              <w:t xml:space="preserve"> </w:t>
            </w:r>
            <w:r w:rsidRPr="00150EDC">
              <w:rPr>
                <w:sz w:val="20"/>
              </w:rPr>
              <w:t>Law</w:t>
            </w:r>
            <w:r w:rsidRPr="00150EDC">
              <w:rPr>
                <w:spacing w:val="-2"/>
                <w:sz w:val="20"/>
              </w:rPr>
              <w:t xml:space="preserve"> </w:t>
            </w:r>
            <w:r w:rsidRPr="00150EDC">
              <w:rPr>
                <w:sz w:val="20"/>
              </w:rPr>
              <w:t>2001,</w:t>
            </w:r>
            <w:r w:rsidRPr="00150EDC">
              <w:rPr>
                <w:spacing w:val="-3"/>
                <w:sz w:val="20"/>
              </w:rPr>
              <w:t xml:space="preserve"> </w:t>
            </w:r>
            <w:r w:rsidRPr="00150EDC">
              <w:rPr>
                <w:spacing w:val="-5"/>
                <w:sz w:val="20"/>
              </w:rPr>
              <w:t>s17</w:t>
            </w:r>
          </w:p>
        </w:tc>
        <w:tc>
          <w:tcPr>
            <w:tcW w:w="7427" w:type="dxa"/>
          </w:tcPr>
          <w:p w14:paraId="3A70D026" w14:textId="77777777" w:rsidR="004C7180" w:rsidRPr="00150EDC" w:rsidRDefault="00CF0754">
            <w:pPr>
              <w:pStyle w:val="TableParagraph"/>
              <w:spacing w:before="28"/>
              <w:rPr>
                <w:sz w:val="20"/>
              </w:rPr>
            </w:pPr>
            <w:r w:rsidRPr="00150EDC">
              <w:rPr>
                <w:sz w:val="20"/>
              </w:rPr>
              <w:t>Use</w:t>
            </w:r>
            <w:r w:rsidRPr="00150EDC">
              <w:rPr>
                <w:spacing w:val="-5"/>
                <w:sz w:val="20"/>
              </w:rPr>
              <w:t xml:space="preserve"> </w:t>
            </w:r>
            <w:r w:rsidRPr="00150EDC">
              <w:rPr>
                <w:sz w:val="20"/>
              </w:rPr>
              <w:t>of</w:t>
            </w:r>
            <w:r w:rsidRPr="00150EDC">
              <w:rPr>
                <w:spacing w:val="-5"/>
                <w:sz w:val="20"/>
              </w:rPr>
              <w:t xml:space="preserve"> </w:t>
            </w:r>
            <w:r w:rsidRPr="00150EDC">
              <w:rPr>
                <w:sz w:val="20"/>
              </w:rPr>
              <w:t>firearm</w:t>
            </w:r>
            <w:r w:rsidRPr="00150EDC">
              <w:rPr>
                <w:spacing w:val="-5"/>
                <w:sz w:val="20"/>
              </w:rPr>
              <w:t xml:space="preserve"> </w:t>
            </w:r>
            <w:r w:rsidRPr="00150EDC">
              <w:rPr>
                <w:sz w:val="20"/>
              </w:rPr>
              <w:t>with intent</w:t>
            </w:r>
            <w:r w:rsidRPr="00150EDC">
              <w:rPr>
                <w:spacing w:val="1"/>
                <w:sz w:val="20"/>
              </w:rPr>
              <w:t xml:space="preserve"> </w:t>
            </w:r>
            <w:r w:rsidRPr="00150EDC">
              <w:rPr>
                <w:sz w:val="20"/>
              </w:rPr>
              <w:t>to</w:t>
            </w:r>
            <w:r w:rsidRPr="00150EDC">
              <w:rPr>
                <w:spacing w:val="-5"/>
                <w:sz w:val="20"/>
              </w:rPr>
              <w:t xml:space="preserve"> </w:t>
            </w:r>
            <w:r w:rsidRPr="00150EDC">
              <w:rPr>
                <w:sz w:val="20"/>
              </w:rPr>
              <w:t>resist</w:t>
            </w:r>
            <w:r w:rsidRPr="00150EDC">
              <w:rPr>
                <w:spacing w:val="-4"/>
                <w:sz w:val="20"/>
              </w:rPr>
              <w:t xml:space="preserve"> </w:t>
            </w:r>
            <w:r w:rsidRPr="00150EDC">
              <w:rPr>
                <w:spacing w:val="-2"/>
                <w:sz w:val="20"/>
              </w:rPr>
              <w:t>arrest</w:t>
            </w:r>
          </w:p>
        </w:tc>
      </w:tr>
      <w:tr w:rsidR="004569EE" w:rsidRPr="007D3144" w14:paraId="7E30B110" w14:textId="77777777">
        <w:trPr>
          <w:trHeight w:val="255"/>
        </w:trPr>
        <w:tc>
          <w:tcPr>
            <w:tcW w:w="6517" w:type="dxa"/>
          </w:tcPr>
          <w:p w14:paraId="0DD5588C" w14:textId="77777777" w:rsidR="004C7180" w:rsidRPr="00150EDC" w:rsidRDefault="00CF0754">
            <w:pPr>
              <w:pStyle w:val="TableParagraph"/>
              <w:rPr>
                <w:sz w:val="20"/>
              </w:rPr>
            </w:pPr>
            <w:r w:rsidRPr="00150EDC">
              <w:rPr>
                <w:sz w:val="20"/>
              </w:rPr>
              <w:t>Firearms</w:t>
            </w:r>
            <w:r w:rsidRPr="00150EDC">
              <w:rPr>
                <w:spacing w:val="-8"/>
                <w:sz w:val="20"/>
              </w:rPr>
              <w:t xml:space="preserve"> </w:t>
            </w:r>
            <w:r w:rsidRPr="00150EDC">
              <w:rPr>
                <w:sz w:val="20"/>
              </w:rPr>
              <w:t>(Sark)</w:t>
            </w:r>
            <w:r w:rsidRPr="00150EDC">
              <w:rPr>
                <w:spacing w:val="-8"/>
                <w:sz w:val="20"/>
              </w:rPr>
              <w:t xml:space="preserve"> </w:t>
            </w:r>
            <w:r w:rsidRPr="00150EDC">
              <w:rPr>
                <w:sz w:val="20"/>
              </w:rPr>
              <w:t>Law</w:t>
            </w:r>
            <w:r w:rsidRPr="00150EDC">
              <w:rPr>
                <w:spacing w:val="-2"/>
                <w:sz w:val="20"/>
              </w:rPr>
              <w:t xml:space="preserve"> </w:t>
            </w:r>
            <w:r w:rsidRPr="00150EDC">
              <w:rPr>
                <w:sz w:val="20"/>
              </w:rPr>
              <w:t>2001,</w:t>
            </w:r>
            <w:r w:rsidRPr="00150EDC">
              <w:rPr>
                <w:spacing w:val="-3"/>
                <w:sz w:val="20"/>
              </w:rPr>
              <w:t xml:space="preserve"> </w:t>
            </w:r>
            <w:r w:rsidRPr="00150EDC">
              <w:rPr>
                <w:spacing w:val="-5"/>
                <w:sz w:val="20"/>
              </w:rPr>
              <w:t>s18</w:t>
            </w:r>
          </w:p>
        </w:tc>
        <w:tc>
          <w:tcPr>
            <w:tcW w:w="7427" w:type="dxa"/>
          </w:tcPr>
          <w:p w14:paraId="4CB2B0AD" w14:textId="77777777" w:rsidR="004C7180" w:rsidRPr="00150EDC" w:rsidRDefault="00CF0754">
            <w:pPr>
              <w:pStyle w:val="TableParagraph"/>
              <w:rPr>
                <w:sz w:val="20"/>
              </w:rPr>
            </w:pPr>
            <w:r w:rsidRPr="00150EDC">
              <w:rPr>
                <w:sz w:val="20"/>
              </w:rPr>
              <w:t>Carrying</w:t>
            </w:r>
            <w:r w:rsidRPr="00150EDC">
              <w:rPr>
                <w:spacing w:val="-7"/>
                <w:sz w:val="20"/>
              </w:rPr>
              <w:t xml:space="preserve"> </w:t>
            </w:r>
            <w:r w:rsidRPr="00150EDC">
              <w:rPr>
                <w:sz w:val="20"/>
              </w:rPr>
              <w:t>firearm</w:t>
            </w:r>
            <w:r w:rsidRPr="00150EDC">
              <w:rPr>
                <w:spacing w:val="-6"/>
                <w:sz w:val="20"/>
              </w:rPr>
              <w:t xml:space="preserve"> </w:t>
            </w:r>
            <w:r w:rsidRPr="00150EDC">
              <w:rPr>
                <w:sz w:val="20"/>
              </w:rPr>
              <w:t>with</w:t>
            </w:r>
            <w:r w:rsidRPr="00150EDC">
              <w:rPr>
                <w:spacing w:val="-6"/>
                <w:sz w:val="20"/>
              </w:rPr>
              <w:t xml:space="preserve"> </w:t>
            </w:r>
            <w:r w:rsidRPr="00150EDC">
              <w:rPr>
                <w:sz w:val="20"/>
              </w:rPr>
              <w:t>criminal</w:t>
            </w:r>
            <w:r w:rsidRPr="00150EDC">
              <w:rPr>
                <w:spacing w:val="-4"/>
                <w:sz w:val="20"/>
              </w:rPr>
              <w:t xml:space="preserve"> </w:t>
            </w:r>
            <w:r w:rsidRPr="00150EDC">
              <w:rPr>
                <w:spacing w:val="-2"/>
                <w:sz w:val="20"/>
              </w:rPr>
              <w:t>intent</w:t>
            </w:r>
          </w:p>
        </w:tc>
      </w:tr>
      <w:tr w:rsidR="004569EE" w:rsidRPr="007D3144" w14:paraId="3791ADB4" w14:textId="77777777">
        <w:trPr>
          <w:trHeight w:val="255"/>
        </w:trPr>
        <w:tc>
          <w:tcPr>
            <w:tcW w:w="6517" w:type="dxa"/>
          </w:tcPr>
          <w:p w14:paraId="2D05B94F" w14:textId="77777777" w:rsidR="004C7180" w:rsidRPr="00150EDC" w:rsidRDefault="00CF0754">
            <w:pPr>
              <w:pStyle w:val="TableParagraph"/>
              <w:rPr>
                <w:sz w:val="20"/>
              </w:rPr>
            </w:pPr>
            <w:r w:rsidRPr="00150EDC">
              <w:rPr>
                <w:sz w:val="20"/>
              </w:rPr>
              <w:t>Firearms</w:t>
            </w:r>
            <w:r w:rsidRPr="00150EDC">
              <w:rPr>
                <w:spacing w:val="-6"/>
                <w:sz w:val="20"/>
              </w:rPr>
              <w:t xml:space="preserve"> </w:t>
            </w:r>
            <w:r w:rsidRPr="00150EDC">
              <w:rPr>
                <w:sz w:val="20"/>
              </w:rPr>
              <w:t>Act</w:t>
            </w:r>
            <w:r w:rsidRPr="00150EDC">
              <w:rPr>
                <w:spacing w:val="-6"/>
                <w:sz w:val="20"/>
              </w:rPr>
              <w:t xml:space="preserve"> </w:t>
            </w:r>
            <w:r w:rsidRPr="00150EDC">
              <w:rPr>
                <w:sz w:val="20"/>
              </w:rPr>
              <w:t>1947,</w:t>
            </w:r>
            <w:r w:rsidRPr="00150EDC">
              <w:rPr>
                <w:spacing w:val="-6"/>
                <w:sz w:val="20"/>
              </w:rPr>
              <w:t xml:space="preserve"> </w:t>
            </w:r>
            <w:r w:rsidRPr="00150EDC">
              <w:rPr>
                <w:spacing w:val="-5"/>
                <w:sz w:val="20"/>
              </w:rPr>
              <w:t>s22</w:t>
            </w:r>
          </w:p>
        </w:tc>
        <w:tc>
          <w:tcPr>
            <w:tcW w:w="7427" w:type="dxa"/>
          </w:tcPr>
          <w:p w14:paraId="4FA2E756" w14:textId="77777777" w:rsidR="004C7180" w:rsidRPr="00150EDC" w:rsidRDefault="00CF0754">
            <w:pPr>
              <w:pStyle w:val="TableParagraph"/>
              <w:rPr>
                <w:sz w:val="20"/>
              </w:rPr>
            </w:pPr>
            <w:r w:rsidRPr="00150EDC">
              <w:rPr>
                <w:sz w:val="20"/>
              </w:rPr>
              <w:t>Possessing</w:t>
            </w:r>
            <w:r w:rsidRPr="00150EDC">
              <w:rPr>
                <w:spacing w:val="-7"/>
                <w:sz w:val="20"/>
              </w:rPr>
              <w:t xml:space="preserve"> </w:t>
            </w:r>
            <w:r w:rsidRPr="00150EDC">
              <w:rPr>
                <w:sz w:val="20"/>
              </w:rPr>
              <w:t>firearm</w:t>
            </w:r>
            <w:r w:rsidRPr="00150EDC">
              <w:rPr>
                <w:spacing w:val="-7"/>
                <w:sz w:val="20"/>
              </w:rPr>
              <w:t xml:space="preserve"> </w:t>
            </w:r>
            <w:r w:rsidRPr="00150EDC">
              <w:rPr>
                <w:sz w:val="20"/>
              </w:rPr>
              <w:t>with</w:t>
            </w:r>
            <w:r w:rsidRPr="00150EDC">
              <w:rPr>
                <w:spacing w:val="-7"/>
                <w:sz w:val="20"/>
              </w:rPr>
              <w:t xml:space="preserve"> </w:t>
            </w:r>
            <w:r w:rsidRPr="00150EDC">
              <w:rPr>
                <w:spacing w:val="-2"/>
                <w:sz w:val="20"/>
              </w:rPr>
              <w:t>intent</w:t>
            </w:r>
          </w:p>
        </w:tc>
      </w:tr>
      <w:tr w:rsidR="004569EE" w:rsidRPr="007D3144" w14:paraId="34006B38" w14:textId="77777777">
        <w:trPr>
          <w:trHeight w:val="255"/>
        </w:trPr>
        <w:tc>
          <w:tcPr>
            <w:tcW w:w="6517" w:type="dxa"/>
          </w:tcPr>
          <w:p w14:paraId="6AC19599" w14:textId="77777777" w:rsidR="004C7180" w:rsidRPr="00150EDC" w:rsidRDefault="00CF0754">
            <w:pPr>
              <w:pStyle w:val="TableParagraph"/>
              <w:rPr>
                <w:sz w:val="20"/>
              </w:rPr>
            </w:pPr>
            <w:r w:rsidRPr="00150EDC">
              <w:rPr>
                <w:sz w:val="20"/>
              </w:rPr>
              <w:t>Firearms</w:t>
            </w:r>
            <w:r w:rsidRPr="00150EDC">
              <w:rPr>
                <w:spacing w:val="-6"/>
                <w:sz w:val="20"/>
              </w:rPr>
              <w:t xml:space="preserve"> </w:t>
            </w:r>
            <w:r w:rsidRPr="00150EDC">
              <w:rPr>
                <w:sz w:val="20"/>
              </w:rPr>
              <w:t>Act</w:t>
            </w:r>
            <w:r w:rsidRPr="00150EDC">
              <w:rPr>
                <w:spacing w:val="-6"/>
                <w:sz w:val="20"/>
              </w:rPr>
              <w:t xml:space="preserve"> </w:t>
            </w:r>
            <w:r w:rsidRPr="00150EDC">
              <w:rPr>
                <w:sz w:val="20"/>
              </w:rPr>
              <w:t>1947,</w:t>
            </w:r>
            <w:r w:rsidRPr="00150EDC">
              <w:rPr>
                <w:spacing w:val="-6"/>
                <w:sz w:val="20"/>
              </w:rPr>
              <w:t xml:space="preserve"> </w:t>
            </w:r>
            <w:r w:rsidRPr="00150EDC">
              <w:rPr>
                <w:spacing w:val="-5"/>
                <w:sz w:val="20"/>
              </w:rPr>
              <w:t>s23</w:t>
            </w:r>
          </w:p>
        </w:tc>
        <w:tc>
          <w:tcPr>
            <w:tcW w:w="7427" w:type="dxa"/>
          </w:tcPr>
          <w:p w14:paraId="1F950C2A" w14:textId="77777777" w:rsidR="004C7180" w:rsidRPr="00150EDC" w:rsidRDefault="00CF0754">
            <w:pPr>
              <w:pStyle w:val="TableParagraph"/>
              <w:rPr>
                <w:sz w:val="20"/>
              </w:rPr>
            </w:pPr>
            <w:r w:rsidRPr="00150EDC">
              <w:rPr>
                <w:sz w:val="20"/>
              </w:rPr>
              <w:t>Use</w:t>
            </w:r>
            <w:r w:rsidRPr="00150EDC">
              <w:rPr>
                <w:spacing w:val="-5"/>
                <w:sz w:val="20"/>
              </w:rPr>
              <w:t xml:space="preserve"> </w:t>
            </w:r>
            <w:r w:rsidRPr="00150EDC">
              <w:rPr>
                <w:sz w:val="20"/>
              </w:rPr>
              <w:t>of</w:t>
            </w:r>
            <w:r w:rsidRPr="00150EDC">
              <w:rPr>
                <w:spacing w:val="-5"/>
                <w:sz w:val="20"/>
              </w:rPr>
              <w:t xml:space="preserve"> </w:t>
            </w:r>
            <w:r w:rsidRPr="00150EDC">
              <w:rPr>
                <w:sz w:val="20"/>
              </w:rPr>
              <w:t>firearm</w:t>
            </w:r>
            <w:r w:rsidRPr="00150EDC">
              <w:rPr>
                <w:spacing w:val="-5"/>
                <w:sz w:val="20"/>
              </w:rPr>
              <w:t xml:space="preserve"> </w:t>
            </w:r>
            <w:r w:rsidRPr="00150EDC">
              <w:rPr>
                <w:sz w:val="20"/>
              </w:rPr>
              <w:t>with intent</w:t>
            </w:r>
            <w:r w:rsidRPr="00150EDC">
              <w:rPr>
                <w:spacing w:val="1"/>
                <w:sz w:val="20"/>
              </w:rPr>
              <w:t xml:space="preserve"> </w:t>
            </w:r>
            <w:r w:rsidRPr="00150EDC">
              <w:rPr>
                <w:sz w:val="20"/>
              </w:rPr>
              <w:t>to</w:t>
            </w:r>
            <w:r w:rsidRPr="00150EDC">
              <w:rPr>
                <w:spacing w:val="-5"/>
                <w:sz w:val="20"/>
              </w:rPr>
              <w:t xml:space="preserve"> </w:t>
            </w:r>
            <w:r w:rsidRPr="00150EDC">
              <w:rPr>
                <w:sz w:val="20"/>
              </w:rPr>
              <w:t>resist</w:t>
            </w:r>
            <w:r w:rsidRPr="00150EDC">
              <w:rPr>
                <w:spacing w:val="-4"/>
                <w:sz w:val="20"/>
              </w:rPr>
              <w:t xml:space="preserve"> </w:t>
            </w:r>
            <w:r w:rsidRPr="00150EDC">
              <w:rPr>
                <w:spacing w:val="-2"/>
                <w:sz w:val="20"/>
              </w:rPr>
              <w:t>arrest</w:t>
            </w:r>
          </w:p>
        </w:tc>
      </w:tr>
      <w:tr w:rsidR="004569EE" w:rsidRPr="007D3144" w14:paraId="0F9ACDE2" w14:textId="77777777">
        <w:trPr>
          <w:trHeight w:val="255"/>
        </w:trPr>
        <w:tc>
          <w:tcPr>
            <w:tcW w:w="6517" w:type="dxa"/>
          </w:tcPr>
          <w:p w14:paraId="0F1E1385" w14:textId="77777777" w:rsidR="004C7180" w:rsidRPr="00150EDC" w:rsidRDefault="00CF0754">
            <w:pPr>
              <w:pStyle w:val="TableParagraph"/>
              <w:rPr>
                <w:sz w:val="20"/>
              </w:rPr>
            </w:pPr>
            <w:r w:rsidRPr="00150EDC">
              <w:rPr>
                <w:sz w:val="20"/>
              </w:rPr>
              <w:t>Firearms</w:t>
            </w:r>
            <w:r w:rsidRPr="00150EDC">
              <w:rPr>
                <w:spacing w:val="-6"/>
                <w:sz w:val="20"/>
              </w:rPr>
              <w:t xml:space="preserve"> </w:t>
            </w:r>
            <w:r w:rsidRPr="00150EDC">
              <w:rPr>
                <w:sz w:val="20"/>
              </w:rPr>
              <w:t>Act</w:t>
            </w:r>
            <w:r w:rsidRPr="00150EDC">
              <w:rPr>
                <w:spacing w:val="-6"/>
                <w:sz w:val="20"/>
              </w:rPr>
              <w:t xml:space="preserve"> </w:t>
            </w:r>
            <w:r w:rsidRPr="00150EDC">
              <w:rPr>
                <w:sz w:val="20"/>
              </w:rPr>
              <w:t>1968,</w:t>
            </w:r>
            <w:r w:rsidRPr="00150EDC">
              <w:rPr>
                <w:spacing w:val="-6"/>
                <w:sz w:val="20"/>
              </w:rPr>
              <w:t xml:space="preserve"> </w:t>
            </w:r>
            <w:r w:rsidRPr="00150EDC">
              <w:rPr>
                <w:spacing w:val="-5"/>
                <w:sz w:val="20"/>
              </w:rPr>
              <w:t>s1</w:t>
            </w:r>
          </w:p>
        </w:tc>
        <w:tc>
          <w:tcPr>
            <w:tcW w:w="7427" w:type="dxa"/>
          </w:tcPr>
          <w:p w14:paraId="0FDF966F" w14:textId="77777777" w:rsidR="004C7180" w:rsidRPr="00150EDC" w:rsidRDefault="00CF0754">
            <w:pPr>
              <w:pStyle w:val="TableParagraph"/>
              <w:rPr>
                <w:sz w:val="20"/>
              </w:rPr>
            </w:pPr>
            <w:r w:rsidRPr="00150EDC">
              <w:rPr>
                <w:sz w:val="20"/>
              </w:rPr>
              <w:t>Carrying</w:t>
            </w:r>
            <w:r w:rsidRPr="00150EDC">
              <w:rPr>
                <w:spacing w:val="-5"/>
                <w:sz w:val="20"/>
              </w:rPr>
              <w:t xml:space="preserve"> </w:t>
            </w:r>
            <w:r w:rsidRPr="00150EDC">
              <w:rPr>
                <w:sz w:val="20"/>
              </w:rPr>
              <w:t>firearm</w:t>
            </w:r>
            <w:r w:rsidRPr="00150EDC">
              <w:rPr>
                <w:spacing w:val="-5"/>
                <w:sz w:val="20"/>
              </w:rPr>
              <w:t xml:space="preserve"> </w:t>
            </w:r>
            <w:r w:rsidRPr="00150EDC">
              <w:rPr>
                <w:sz w:val="20"/>
              </w:rPr>
              <w:t>with</w:t>
            </w:r>
            <w:r w:rsidRPr="00150EDC">
              <w:rPr>
                <w:spacing w:val="-5"/>
                <w:sz w:val="20"/>
              </w:rPr>
              <w:t xml:space="preserve"> </w:t>
            </w:r>
            <w:r w:rsidRPr="00150EDC">
              <w:rPr>
                <w:sz w:val="20"/>
              </w:rPr>
              <w:t>intent</w:t>
            </w:r>
            <w:r w:rsidRPr="00150EDC">
              <w:rPr>
                <w:spacing w:val="-5"/>
                <w:sz w:val="20"/>
              </w:rPr>
              <w:t xml:space="preserve"> </w:t>
            </w:r>
            <w:r w:rsidRPr="00150EDC">
              <w:rPr>
                <w:sz w:val="20"/>
              </w:rPr>
              <w:t>to</w:t>
            </w:r>
            <w:r w:rsidRPr="00150EDC">
              <w:rPr>
                <w:spacing w:val="-1"/>
                <w:sz w:val="20"/>
              </w:rPr>
              <w:t xml:space="preserve"> </w:t>
            </w:r>
            <w:r w:rsidRPr="00150EDC">
              <w:rPr>
                <w:sz w:val="20"/>
              </w:rPr>
              <w:t>resist</w:t>
            </w:r>
            <w:r w:rsidRPr="00150EDC">
              <w:rPr>
                <w:spacing w:val="-4"/>
                <w:sz w:val="20"/>
              </w:rPr>
              <w:t xml:space="preserve"> </w:t>
            </w:r>
            <w:r w:rsidRPr="00150EDC">
              <w:rPr>
                <w:sz w:val="20"/>
              </w:rPr>
              <w:t>arrest</w:t>
            </w:r>
            <w:r w:rsidRPr="00150EDC">
              <w:rPr>
                <w:spacing w:val="1"/>
                <w:sz w:val="20"/>
              </w:rPr>
              <w:t xml:space="preserve"> </w:t>
            </w:r>
            <w:r w:rsidRPr="00150EDC">
              <w:rPr>
                <w:sz w:val="20"/>
              </w:rPr>
              <w:t>or</w:t>
            </w:r>
            <w:r w:rsidRPr="00150EDC">
              <w:rPr>
                <w:spacing w:val="-5"/>
                <w:sz w:val="20"/>
              </w:rPr>
              <w:t xml:space="preserve"> </w:t>
            </w:r>
            <w:r w:rsidRPr="00150EDC">
              <w:rPr>
                <w:sz w:val="20"/>
              </w:rPr>
              <w:t>commit</w:t>
            </w:r>
            <w:r w:rsidRPr="00150EDC">
              <w:rPr>
                <w:spacing w:val="-4"/>
                <w:sz w:val="20"/>
              </w:rPr>
              <w:t xml:space="preserve"> </w:t>
            </w:r>
            <w:r w:rsidRPr="00150EDC">
              <w:rPr>
                <w:sz w:val="20"/>
              </w:rPr>
              <w:t>indictable</w:t>
            </w:r>
            <w:r w:rsidRPr="00150EDC">
              <w:rPr>
                <w:spacing w:val="-4"/>
                <w:sz w:val="20"/>
              </w:rPr>
              <w:t xml:space="preserve"> </w:t>
            </w:r>
            <w:r w:rsidRPr="00150EDC">
              <w:rPr>
                <w:spacing w:val="-2"/>
                <w:sz w:val="20"/>
              </w:rPr>
              <w:t>offence</w:t>
            </w:r>
          </w:p>
        </w:tc>
      </w:tr>
      <w:tr w:rsidR="004569EE" w:rsidRPr="007D3144" w14:paraId="4315C696" w14:textId="77777777">
        <w:trPr>
          <w:trHeight w:val="255"/>
        </w:trPr>
        <w:tc>
          <w:tcPr>
            <w:tcW w:w="6517" w:type="dxa"/>
          </w:tcPr>
          <w:p w14:paraId="40D91B5D" w14:textId="77777777" w:rsidR="004C7180" w:rsidRPr="00150EDC" w:rsidRDefault="00CF0754">
            <w:pPr>
              <w:pStyle w:val="TableParagraph"/>
              <w:rPr>
                <w:sz w:val="20"/>
              </w:rPr>
            </w:pPr>
            <w:r w:rsidRPr="00150EDC">
              <w:rPr>
                <w:sz w:val="20"/>
              </w:rPr>
              <w:t>Firearms</w:t>
            </w:r>
            <w:r w:rsidRPr="00150EDC">
              <w:rPr>
                <w:spacing w:val="-6"/>
                <w:sz w:val="20"/>
              </w:rPr>
              <w:t xml:space="preserve"> </w:t>
            </w:r>
            <w:r w:rsidRPr="00150EDC">
              <w:rPr>
                <w:sz w:val="20"/>
              </w:rPr>
              <w:t>Act</w:t>
            </w:r>
            <w:r w:rsidRPr="00150EDC">
              <w:rPr>
                <w:spacing w:val="-6"/>
                <w:sz w:val="20"/>
              </w:rPr>
              <w:t xml:space="preserve"> </w:t>
            </w:r>
            <w:r w:rsidRPr="00150EDC">
              <w:rPr>
                <w:sz w:val="20"/>
              </w:rPr>
              <w:t>1968,</w:t>
            </w:r>
            <w:r w:rsidRPr="00150EDC">
              <w:rPr>
                <w:spacing w:val="-6"/>
                <w:sz w:val="20"/>
              </w:rPr>
              <w:t xml:space="preserve"> </w:t>
            </w:r>
            <w:r w:rsidRPr="00150EDC">
              <w:rPr>
                <w:spacing w:val="-5"/>
                <w:sz w:val="20"/>
              </w:rPr>
              <w:t>s16</w:t>
            </w:r>
          </w:p>
        </w:tc>
        <w:tc>
          <w:tcPr>
            <w:tcW w:w="7427" w:type="dxa"/>
          </w:tcPr>
          <w:p w14:paraId="63FB8477" w14:textId="77777777" w:rsidR="004C7180" w:rsidRPr="00150EDC" w:rsidRDefault="00CF0754">
            <w:pPr>
              <w:pStyle w:val="TableParagraph"/>
              <w:rPr>
                <w:sz w:val="20"/>
              </w:rPr>
            </w:pPr>
            <w:r w:rsidRPr="00150EDC">
              <w:rPr>
                <w:sz w:val="20"/>
              </w:rPr>
              <w:t>Possession</w:t>
            </w:r>
            <w:r w:rsidRPr="00150EDC">
              <w:rPr>
                <w:spacing w:val="-4"/>
                <w:sz w:val="20"/>
              </w:rPr>
              <w:t xml:space="preserve"> </w:t>
            </w:r>
            <w:r w:rsidRPr="00150EDC">
              <w:rPr>
                <w:sz w:val="20"/>
              </w:rPr>
              <w:t>of</w:t>
            </w:r>
            <w:r w:rsidRPr="00150EDC">
              <w:rPr>
                <w:spacing w:val="-4"/>
                <w:sz w:val="20"/>
              </w:rPr>
              <w:t xml:space="preserve"> </w:t>
            </w:r>
            <w:r w:rsidRPr="00150EDC">
              <w:rPr>
                <w:sz w:val="20"/>
              </w:rPr>
              <w:t>a firearm</w:t>
            </w:r>
            <w:r w:rsidRPr="00150EDC">
              <w:rPr>
                <w:spacing w:val="-4"/>
                <w:sz w:val="20"/>
              </w:rPr>
              <w:t xml:space="preserve"> </w:t>
            </w:r>
            <w:r w:rsidRPr="00150EDC">
              <w:rPr>
                <w:sz w:val="20"/>
              </w:rPr>
              <w:t>w/I</w:t>
            </w:r>
            <w:r w:rsidRPr="00150EDC">
              <w:rPr>
                <w:spacing w:val="-4"/>
                <w:sz w:val="20"/>
              </w:rPr>
              <w:t xml:space="preserve"> </w:t>
            </w:r>
            <w:r w:rsidRPr="00150EDC">
              <w:rPr>
                <w:sz w:val="20"/>
              </w:rPr>
              <w:t>to</w:t>
            </w:r>
            <w:r w:rsidRPr="00150EDC">
              <w:rPr>
                <w:spacing w:val="-4"/>
                <w:sz w:val="20"/>
              </w:rPr>
              <w:t xml:space="preserve"> </w:t>
            </w:r>
            <w:r w:rsidRPr="00150EDC">
              <w:rPr>
                <w:sz w:val="20"/>
              </w:rPr>
              <w:t>endanger</w:t>
            </w:r>
            <w:r w:rsidRPr="00150EDC">
              <w:rPr>
                <w:spacing w:val="-3"/>
                <w:sz w:val="20"/>
              </w:rPr>
              <w:t xml:space="preserve"> </w:t>
            </w:r>
            <w:r w:rsidRPr="00150EDC">
              <w:rPr>
                <w:spacing w:val="-4"/>
                <w:sz w:val="20"/>
              </w:rPr>
              <w:t>life</w:t>
            </w:r>
          </w:p>
        </w:tc>
      </w:tr>
      <w:tr w:rsidR="004569EE" w:rsidRPr="007D3144" w14:paraId="6821FB10" w14:textId="77777777">
        <w:trPr>
          <w:trHeight w:val="255"/>
        </w:trPr>
        <w:tc>
          <w:tcPr>
            <w:tcW w:w="6517" w:type="dxa"/>
          </w:tcPr>
          <w:p w14:paraId="35703DE9" w14:textId="77777777" w:rsidR="004C7180" w:rsidRPr="00150EDC" w:rsidRDefault="00CF0754">
            <w:pPr>
              <w:pStyle w:val="TableParagraph"/>
              <w:rPr>
                <w:sz w:val="20"/>
              </w:rPr>
            </w:pPr>
            <w:r w:rsidRPr="00150EDC">
              <w:rPr>
                <w:sz w:val="20"/>
              </w:rPr>
              <w:t>Firearms</w:t>
            </w:r>
            <w:r w:rsidRPr="00150EDC">
              <w:rPr>
                <w:spacing w:val="-6"/>
                <w:sz w:val="20"/>
              </w:rPr>
              <w:t xml:space="preserve"> </w:t>
            </w:r>
            <w:r w:rsidRPr="00150EDC">
              <w:rPr>
                <w:sz w:val="20"/>
              </w:rPr>
              <w:t>Act</w:t>
            </w:r>
            <w:r w:rsidRPr="00150EDC">
              <w:rPr>
                <w:spacing w:val="-6"/>
                <w:sz w:val="20"/>
              </w:rPr>
              <w:t xml:space="preserve"> </w:t>
            </w:r>
            <w:r w:rsidRPr="00150EDC">
              <w:rPr>
                <w:sz w:val="20"/>
              </w:rPr>
              <w:t>1968,</w:t>
            </w:r>
            <w:r w:rsidRPr="00150EDC">
              <w:rPr>
                <w:spacing w:val="-6"/>
                <w:sz w:val="20"/>
              </w:rPr>
              <w:t xml:space="preserve"> </w:t>
            </w:r>
            <w:r w:rsidRPr="00150EDC">
              <w:rPr>
                <w:spacing w:val="-4"/>
                <w:sz w:val="20"/>
              </w:rPr>
              <w:t>s16A</w:t>
            </w:r>
          </w:p>
        </w:tc>
        <w:tc>
          <w:tcPr>
            <w:tcW w:w="7427" w:type="dxa"/>
          </w:tcPr>
          <w:p w14:paraId="2E03F02F" w14:textId="77777777" w:rsidR="004C7180" w:rsidRPr="00150EDC" w:rsidRDefault="00CF0754">
            <w:pPr>
              <w:pStyle w:val="TableParagraph"/>
              <w:rPr>
                <w:sz w:val="20"/>
              </w:rPr>
            </w:pPr>
            <w:r w:rsidRPr="00150EDC">
              <w:rPr>
                <w:sz w:val="20"/>
              </w:rPr>
              <w:t>Possession</w:t>
            </w:r>
            <w:r w:rsidRPr="00150EDC">
              <w:rPr>
                <w:spacing w:val="-4"/>
                <w:sz w:val="20"/>
              </w:rPr>
              <w:t xml:space="preserve"> </w:t>
            </w:r>
            <w:r w:rsidRPr="00150EDC">
              <w:rPr>
                <w:sz w:val="20"/>
              </w:rPr>
              <w:t>of</w:t>
            </w:r>
            <w:r w:rsidRPr="00150EDC">
              <w:rPr>
                <w:spacing w:val="-4"/>
                <w:sz w:val="20"/>
              </w:rPr>
              <w:t xml:space="preserve"> </w:t>
            </w:r>
            <w:r w:rsidRPr="00150EDC">
              <w:rPr>
                <w:sz w:val="20"/>
              </w:rPr>
              <w:t>a</w:t>
            </w:r>
            <w:r w:rsidRPr="00150EDC">
              <w:rPr>
                <w:spacing w:val="1"/>
                <w:sz w:val="20"/>
              </w:rPr>
              <w:t xml:space="preserve"> </w:t>
            </w:r>
            <w:r w:rsidRPr="00150EDC">
              <w:rPr>
                <w:sz w:val="20"/>
              </w:rPr>
              <w:t>firearm</w:t>
            </w:r>
            <w:r w:rsidRPr="00150EDC">
              <w:rPr>
                <w:spacing w:val="-3"/>
                <w:sz w:val="20"/>
              </w:rPr>
              <w:t xml:space="preserve"> </w:t>
            </w:r>
            <w:r w:rsidRPr="00150EDC">
              <w:rPr>
                <w:sz w:val="20"/>
              </w:rPr>
              <w:t>w/I</w:t>
            </w:r>
            <w:r w:rsidRPr="00150EDC">
              <w:rPr>
                <w:spacing w:val="-4"/>
                <w:sz w:val="20"/>
              </w:rPr>
              <w:t xml:space="preserve"> </w:t>
            </w:r>
            <w:r w:rsidRPr="00150EDC">
              <w:rPr>
                <w:sz w:val="20"/>
              </w:rPr>
              <w:t>to</w:t>
            </w:r>
            <w:r w:rsidRPr="00150EDC">
              <w:rPr>
                <w:spacing w:val="-4"/>
                <w:sz w:val="20"/>
              </w:rPr>
              <w:t xml:space="preserve"> </w:t>
            </w:r>
            <w:r w:rsidRPr="00150EDC">
              <w:rPr>
                <w:sz w:val="20"/>
              </w:rPr>
              <w:t>cause</w:t>
            </w:r>
            <w:r w:rsidRPr="00150EDC">
              <w:rPr>
                <w:spacing w:val="-3"/>
                <w:sz w:val="20"/>
              </w:rPr>
              <w:t xml:space="preserve"> </w:t>
            </w:r>
            <w:r w:rsidRPr="00150EDC">
              <w:rPr>
                <w:sz w:val="20"/>
              </w:rPr>
              <w:t>fear</w:t>
            </w:r>
            <w:r w:rsidRPr="00150EDC">
              <w:rPr>
                <w:spacing w:val="-4"/>
                <w:sz w:val="20"/>
              </w:rPr>
              <w:t xml:space="preserve"> </w:t>
            </w:r>
            <w:r w:rsidRPr="00150EDC">
              <w:rPr>
                <w:sz w:val="20"/>
              </w:rPr>
              <w:t>of</w:t>
            </w:r>
            <w:r w:rsidRPr="00150EDC">
              <w:rPr>
                <w:spacing w:val="-3"/>
                <w:sz w:val="20"/>
              </w:rPr>
              <w:t xml:space="preserve"> </w:t>
            </w:r>
            <w:r w:rsidRPr="00150EDC">
              <w:rPr>
                <w:spacing w:val="-2"/>
                <w:sz w:val="20"/>
              </w:rPr>
              <w:t>violence</w:t>
            </w:r>
          </w:p>
        </w:tc>
      </w:tr>
      <w:tr w:rsidR="004569EE" w:rsidRPr="007D3144" w14:paraId="42345E37" w14:textId="77777777">
        <w:trPr>
          <w:trHeight w:val="255"/>
        </w:trPr>
        <w:tc>
          <w:tcPr>
            <w:tcW w:w="6517" w:type="dxa"/>
          </w:tcPr>
          <w:p w14:paraId="7AA9734B" w14:textId="77777777" w:rsidR="004C7180" w:rsidRPr="00150EDC" w:rsidRDefault="00CF0754">
            <w:pPr>
              <w:pStyle w:val="TableParagraph"/>
              <w:rPr>
                <w:sz w:val="20"/>
              </w:rPr>
            </w:pPr>
            <w:r w:rsidRPr="00150EDC">
              <w:rPr>
                <w:sz w:val="20"/>
              </w:rPr>
              <w:t>Firearms</w:t>
            </w:r>
            <w:r w:rsidRPr="00150EDC">
              <w:rPr>
                <w:spacing w:val="-6"/>
                <w:sz w:val="20"/>
              </w:rPr>
              <w:t xml:space="preserve"> </w:t>
            </w:r>
            <w:r w:rsidRPr="00150EDC">
              <w:rPr>
                <w:sz w:val="20"/>
              </w:rPr>
              <w:t>Act</w:t>
            </w:r>
            <w:r w:rsidRPr="00150EDC">
              <w:rPr>
                <w:spacing w:val="-6"/>
                <w:sz w:val="20"/>
              </w:rPr>
              <w:t xml:space="preserve"> </w:t>
            </w:r>
            <w:r w:rsidRPr="00150EDC">
              <w:rPr>
                <w:sz w:val="20"/>
              </w:rPr>
              <w:t>1968,</w:t>
            </w:r>
            <w:r w:rsidRPr="00150EDC">
              <w:rPr>
                <w:spacing w:val="-6"/>
                <w:sz w:val="20"/>
              </w:rPr>
              <w:t xml:space="preserve"> </w:t>
            </w:r>
            <w:r w:rsidRPr="00150EDC">
              <w:rPr>
                <w:spacing w:val="-2"/>
                <w:sz w:val="20"/>
              </w:rPr>
              <w:t>s17(1)</w:t>
            </w:r>
          </w:p>
        </w:tc>
        <w:tc>
          <w:tcPr>
            <w:tcW w:w="7427" w:type="dxa"/>
          </w:tcPr>
          <w:p w14:paraId="51B90652" w14:textId="77777777" w:rsidR="004C7180" w:rsidRPr="00150EDC" w:rsidRDefault="00CF0754">
            <w:pPr>
              <w:pStyle w:val="TableParagraph"/>
              <w:rPr>
                <w:sz w:val="20"/>
              </w:rPr>
            </w:pPr>
            <w:r w:rsidRPr="00150EDC">
              <w:rPr>
                <w:sz w:val="20"/>
              </w:rPr>
              <w:t>Use</w:t>
            </w:r>
            <w:r w:rsidRPr="00150EDC">
              <w:rPr>
                <w:spacing w:val="-6"/>
                <w:sz w:val="20"/>
              </w:rPr>
              <w:t xml:space="preserve"> </w:t>
            </w:r>
            <w:r w:rsidRPr="00150EDC">
              <w:rPr>
                <w:sz w:val="20"/>
              </w:rPr>
              <w:t>firearm</w:t>
            </w:r>
            <w:r w:rsidRPr="00150EDC">
              <w:rPr>
                <w:spacing w:val="-5"/>
                <w:sz w:val="20"/>
              </w:rPr>
              <w:t xml:space="preserve"> </w:t>
            </w:r>
            <w:r w:rsidRPr="00150EDC">
              <w:rPr>
                <w:sz w:val="20"/>
              </w:rPr>
              <w:t>to</w:t>
            </w:r>
            <w:r w:rsidRPr="00150EDC">
              <w:rPr>
                <w:spacing w:val="-1"/>
                <w:sz w:val="20"/>
              </w:rPr>
              <w:t xml:space="preserve"> </w:t>
            </w:r>
            <w:r w:rsidRPr="00150EDC">
              <w:rPr>
                <w:sz w:val="20"/>
              </w:rPr>
              <w:t>resist</w:t>
            </w:r>
            <w:r w:rsidRPr="00150EDC">
              <w:rPr>
                <w:spacing w:val="-4"/>
                <w:sz w:val="20"/>
              </w:rPr>
              <w:t xml:space="preserve"> </w:t>
            </w:r>
            <w:r w:rsidRPr="00150EDC">
              <w:rPr>
                <w:spacing w:val="-2"/>
                <w:sz w:val="20"/>
              </w:rPr>
              <w:t>arrest</w:t>
            </w:r>
          </w:p>
        </w:tc>
      </w:tr>
      <w:tr w:rsidR="004569EE" w:rsidRPr="007D3144" w14:paraId="3012F001" w14:textId="77777777">
        <w:trPr>
          <w:trHeight w:val="460"/>
        </w:trPr>
        <w:tc>
          <w:tcPr>
            <w:tcW w:w="6517" w:type="dxa"/>
          </w:tcPr>
          <w:p w14:paraId="6E0F496E" w14:textId="77777777" w:rsidR="004C7180" w:rsidRPr="00150EDC" w:rsidRDefault="004C7180">
            <w:pPr>
              <w:pStyle w:val="TableParagraph"/>
              <w:spacing w:before="2" w:line="240" w:lineRule="auto"/>
              <w:ind w:left="0"/>
              <w:rPr>
                <w:sz w:val="20"/>
              </w:rPr>
            </w:pPr>
          </w:p>
          <w:p w14:paraId="5B80FEEA" w14:textId="77777777" w:rsidR="004C7180" w:rsidRPr="00150EDC" w:rsidRDefault="00CF0754">
            <w:pPr>
              <w:pStyle w:val="TableParagraph"/>
              <w:spacing w:before="1"/>
              <w:rPr>
                <w:sz w:val="20"/>
              </w:rPr>
            </w:pPr>
            <w:r w:rsidRPr="00150EDC">
              <w:rPr>
                <w:sz w:val="20"/>
              </w:rPr>
              <w:t>Firearms</w:t>
            </w:r>
            <w:r w:rsidRPr="00150EDC">
              <w:rPr>
                <w:spacing w:val="-6"/>
                <w:sz w:val="20"/>
              </w:rPr>
              <w:t xml:space="preserve"> </w:t>
            </w:r>
            <w:r w:rsidRPr="00150EDC">
              <w:rPr>
                <w:sz w:val="20"/>
              </w:rPr>
              <w:t>Act</w:t>
            </w:r>
            <w:r w:rsidRPr="00150EDC">
              <w:rPr>
                <w:spacing w:val="-6"/>
                <w:sz w:val="20"/>
              </w:rPr>
              <w:t xml:space="preserve"> </w:t>
            </w:r>
            <w:r w:rsidRPr="00150EDC">
              <w:rPr>
                <w:sz w:val="20"/>
              </w:rPr>
              <w:t>1968,</w:t>
            </w:r>
            <w:r w:rsidRPr="00150EDC">
              <w:rPr>
                <w:spacing w:val="-6"/>
                <w:sz w:val="20"/>
              </w:rPr>
              <w:t xml:space="preserve"> </w:t>
            </w:r>
            <w:r w:rsidRPr="00150EDC">
              <w:rPr>
                <w:spacing w:val="-2"/>
                <w:sz w:val="20"/>
              </w:rPr>
              <w:t>s17(2)</w:t>
            </w:r>
          </w:p>
        </w:tc>
        <w:tc>
          <w:tcPr>
            <w:tcW w:w="7427" w:type="dxa"/>
          </w:tcPr>
          <w:p w14:paraId="7EC03DE1" w14:textId="77777777" w:rsidR="004C7180" w:rsidRPr="00150EDC" w:rsidRDefault="00CF0754">
            <w:pPr>
              <w:pStyle w:val="TableParagraph"/>
              <w:spacing w:before="0" w:line="230" w:lineRule="atLeast"/>
              <w:rPr>
                <w:sz w:val="20"/>
              </w:rPr>
            </w:pPr>
            <w:r w:rsidRPr="00150EDC">
              <w:rPr>
                <w:sz w:val="20"/>
              </w:rPr>
              <w:t>Possession</w:t>
            </w:r>
            <w:r w:rsidRPr="00150EDC">
              <w:rPr>
                <w:spacing w:val="-5"/>
                <w:sz w:val="20"/>
              </w:rPr>
              <w:t xml:space="preserve"> </w:t>
            </w:r>
            <w:r w:rsidRPr="00150EDC">
              <w:rPr>
                <w:sz w:val="20"/>
              </w:rPr>
              <w:t>of</w:t>
            </w:r>
            <w:r w:rsidRPr="00150EDC">
              <w:rPr>
                <w:spacing w:val="-5"/>
                <w:sz w:val="20"/>
              </w:rPr>
              <w:t xml:space="preserve"> </w:t>
            </w:r>
            <w:r w:rsidRPr="00150EDC">
              <w:rPr>
                <w:sz w:val="20"/>
              </w:rPr>
              <w:t>firearm</w:t>
            </w:r>
            <w:r w:rsidRPr="00150EDC">
              <w:rPr>
                <w:spacing w:val="-5"/>
                <w:sz w:val="20"/>
              </w:rPr>
              <w:t xml:space="preserve"> </w:t>
            </w:r>
            <w:r w:rsidRPr="00150EDC">
              <w:rPr>
                <w:sz w:val="20"/>
              </w:rPr>
              <w:t>at</w:t>
            </w:r>
            <w:r w:rsidRPr="00150EDC">
              <w:rPr>
                <w:spacing w:val="-5"/>
                <w:sz w:val="20"/>
              </w:rPr>
              <w:t xml:space="preserve"> </w:t>
            </w:r>
            <w:r w:rsidRPr="00150EDC">
              <w:rPr>
                <w:sz w:val="20"/>
              </w:rPr>
              <w:t>time</w:t>
            </w:r>
            <w:r w:rsidRPr="00150EDC">
              <w:rPr>
                <w:spacing w:val="-5"/>
                <w:sz w:val="20"/>
              </w:rPr>
              <w:t xml:space="preserve"> </w:t>
            </w:r>
            <w:r w:rsidRPr="00150EDC">
              <w:rPr>
                <w:sz w:val="20"/>
              </w:rPr>
              <w:t>of</w:t>
            </w:r>
            <w:r w:rsidRPr="00150EDC">
              <w:rPr>
                <w:spacing w:val="-5"/>
                <w:sz w:val="20"/>
              </w:rPr>
              <w:t xml:space="preserve"> </w:t>
            </w:r>
            <w:r w:rsidRPr="00150EDC">
              <w:rPr>
                <w:sz w:val="20"/>
              </w:rPr>
              <w:t>committing</w:t>
            </w:r>
            <w:r w:rsidRPr="00150EDC">
              <w:rPr>
                <w:spacing w:val="-5"/>
                <w:sz w:val="20"/>
              </w:rPr>
              <w:t xml:space="preserve"> </w:t>
            </w:r>
            <w:r w:rsidRPr="00150EDC">
              <w:rPr>
                <w:sz w:val="20"/>
              </w:rPr>
              <w:t>or arrest</w:t>
            </w:r>
            <w:r w:rsidRPr="00150EDC">
              <w:rPr>
                <w:spacing w:val="-4"/>
                <w:sz w:val="20"/>
              </w:rPr>
              <w:t xml:space="preserve"> </w:t>
            </w:r>
            <w:r w:rsidRPr="00150EDC">
              <w:rPr>
                <w:sz w:val="20"/>
              </w:rPr>
              <w:t>for</w:t>
            </w:r>
            <w:r w:rsidRPr="00150EDC">
              <w:rPr>
                <w:spacing w:val="-2"/>
                <w:sz w:val="20"/>
              </w:rPr>
              <w:t xml:space="preserve"> </w:t>
            </w:r>
            <w:r w:rsidRPr="00150EDC">
              <w:rPr>
                <w:sz w:val="20"/>
              </w:rPr>
              <w:t>offence</w:t>
            </w:r>
            <w:r w:rsidRPr="00150EDC">
              <w:rPr>
                <w:spacing w:val="-5"/>
                <w:sz w:val="20"/>
              </w:rPr>
              <w:t xml:space="preserve"> </w:t>
            </w:r>
            <w:r w:rsidRPr="00150EDC">
              <w:rPr>
                <w:sz w:val="20"/>
              </w:rPr>
              <w:t>in</w:t>
            </w:r>
            <w:r w:rsidRPr="00150EDC">
              <w:rPr>
                <w:spacing w:val="-5"/>
                <w:sz w:val="20"/>
              </w:rPr>
              <w:t xml:space="preserve"> </w:t>
            </w:r>
            <w:r w:rsidRPr="00150EDC">
              <w:rPr>
                <w:sz w:val="20"/>
              </w:rPr>
              <w:t>schedule 1</w:t>
            </w:r>
            <w:r w:rsidRPr="00150EDC">
              <w:rPr>
                <w:spacing w:val="-5"/>
                <w:sz w:val="20"/>
              </w:rPr>
              <w:t xml:space="preserve"> </w:t>
            </w:r>
            <w:r w:rsidRPr="00150EDC">
              <w:rPr>
                <w:sz w:val="20"/>
              </w:rPr>
              <w:t>of Firearms Act</w:t>
            </w:r>
          </w:p>
        </w:tc>
      </w:tr>
      <w:tr w:rsidR="004569EE" w:rsidRPr="007D3144" w14:paraId="4FD5E110" w14:textId="77777777">
        <w:trPr>
          <w:trHeight w:val="255"/>
        </w:trPr>
        <w:tc>
          <w:tcPr>
            <w:tcW w:w="6517" w:type="dxa"/>
          </w:tcPr>
          <w:p w14:paraId="618E153A" w14:textId="77777777" w:rsidR="004C7180" w:rsidRPr="00150EDC" w:rsidRDefault="00CF0754">
            <w:pPr>
              <w:pStyle w:val="TableParagraph"/>
              <w:rPr>
                <w:sz w:val="20"/>
              </w:rPr>
            </w:pPr>
            <w:r w:rsidRPr="00150EDC">
              <w:rPr>
                <w:sz w:val="20"/>
              </w:rPr>
              <w:t>Firearms</w:t>
            </w:r>
            <w:r w:rsidRPr="00150EDC">
              <w:rPr>
                <w:spacing w:val="-6"/>
                <w:sz w:val="20"/>
              </w:rPr>
              <w:t xml:space="preserve"> </w:t>
            </w:r>
            <w:r w:rsidRPr="00150EDC">
              <w:rPr>
                <w:sz w:val="20"/>
              </w:rPr>
              <w:t>Act</w:t>
            </w:r>
            <w:r w:rsidRPr="00150EDC">
              <w:rPr>
                <w:spacing w:val="-6"/>
                <w:sz w:val="20"/>
              </w:rPr>
              <w:t xml:space="preserve"> </w:t>
            </w:r>
            <w:r w:rsidRPr="00150EDC">
              <w:rPr>
                <w:sz w:val="20"/>
              </w:rPr>
              <w:t>1968,</w:t>
            </w:r>
            <w:r w:rsidRPr="00150EDC">
              <w:rPr>
                <w:spacing w:val="-6"/>
                <w:sz w:val="20"/>
              </w:rPr>
              <w:t xml:space="preserve"> </w:t>
            </w:r>
            <w:r w:rsidRPr="00150EDC">
              <w:rPr>
                <w:spacing w:val="-5"/>
                <w:sz w:val="20"/>
              </w:rPr>
              <w:t>s18</w:t>
            </w:r>
          </w:p>
        </w:tc>
        <w:tc>
          <w:tcPr>
            <w:tcW w:w="7427" w:type="dxa"/>
          </w:tcPr>
          <w:p w14:paraId="22D13B1F" w14:textId="77777777" w:rsidR="004C7180" w:rsidRPr="00150EDC" w:rsidRDefault="00CF0754">
            <w:pPr>
              <w:pStyle w:val="TableParagraph"/>
              <w:rPr>
                <w:sz w:val="20"/>
              </w:rPr>
            </w:pPr>
            <w:r w:rsidRPr="00150EDC">
              <w:rPr>
                <w:sz w:val="20"/>
              </w:rPr>
              <w:t>Carrying</w:t>
            </w:r>
            <w:r w:rsidRPr="00150EDC">
              <w:rPr>
                <w:spacing w:val="-2"/>
                <w:sz w:val="20"/>
              </w:rPr>
              <w:t xml:space="preserve"> </w:t>
            </w:r>
            <w:r w:rsidRPr="00150EDC">
              <w:rPr>
                <w:sz w:val="20"/>
              </w:rPr>
              <w:t>a</w:t>
            </w:r>
            <w:r w:rsidRPr="00150EDC">
              <w:rPr>
                <w:spacing w:val="-5"/>
                <w:sz w:val="20"/>
              </w:rPr>
              <w:t xml:space="preserve"> </w:t>
            </w:r>
            <w:r w:rsidRPr="00150EDC">
              <w:rPr>
                <w:sz w:val="20"/>
              </w:rPr>
              <w:t>firearm</w:t>
            </w:r>
            <w:r w:rsidRPr="00150EDC">
              <w:rPr>
                <w:spacing w:val="-6"/>
                <w:sz w:val="20"/>
              </w:rPr>
              <w:t xml:space="preserve"> </w:t>
            </w:r>
            <w:r w:rsidRPr="00150EDC">
              <w:rPr>
                <w:sz w:val="20"/>
              </w:rPr>
              <w:t>with</w:t>
            </w:r>
            <w:r w:rsidRPr="00150EDC">
              <w:rPr>
                <w:spacing w:val="-6"/>
                <w:sz w:val="20"/>
              </w:rPr>
              <w:t xml:space="preserve"> </w:t>
            </w:r>
            <w:r w:rsidRPr="00150EDC">
              <w:rPr>
                <w:sz w:val="20"/>
              </w:rPr>
              <w:t>criminal</w:t>
            </w:r>
            <w:r w:rsidRPr="00150EDC">
              <w:rPr>
                <w:spacing w:val="-4"/>
                <w:sz w:val="20"/>
              </w:rPr>
              <w:t xml:space="preserve"> </w:t>
            </w:r>
            <w:r w:rsidRPr="00150EDC">
              <w:rPr>
                <w:spacing w:val="-2"/>
                <w:sz w:val="20"/>
              </w:rPr>
              <w:t>intent</w:t>
            </w:r>
          </w:p>
        </w:tc>
      </w:tr>
      <w:tr w:rsidR="004569EE" w:rsidRPr="007D3144" w14:paraId="40EEAED4" w14:textId="77777777">
        <w:trPr>
          <w:trHeight w:val="255"/>
        </w:trPr>
        <w:tc>
          <w:tcPr>
            <w:tcW w:w="6517" w:type="dxa"/>
          </w:tcPr>
          <w:p w14:paraId="5B28039E" w14:textId="77777777" w:rsidR="004C7180" w:rsidRPr="00150EDC" w:rsidRDefault="00CF0754">
            <w:pPr>
              <w:pStyle w:val="TableParagraph"/>
              <w:rPr>
                <w:sz w:val="20"/>
              </w:rPr>
            </w:pPr>
            <w:r w:rsidRPr="00150EDC">
              <w:rPr>
                <w:sz w:val="20"/>
              </w:rPr>
              <w:t>Foster</w:t>
            </w:r>
            <w:r w:rsidRPr="00150EDC">
              <w:rPr>
                <w:spacing w:val="-8"/>
                <w:sz w:val="20"/>
              </w:rPr>
              <w:t xml:space="preserve"> </w:t>
            </w:r>
            <w:r w:rsidRPr="00150EDC">
              <w:rPr>
                <w:sz w:val="20"/>
              </w:rPr>
              <w:t>Children</w:t>
            </w:r>
            <w:r w:rsidRPr="00150EDC">
              <w:rPr>
                <w:spacing w:val="-4"/>
                <w:sz w:val="20"/>
              </w:rPr>
              <w:t xml:space="preserve"> </w:t>
            </w:r>
            <w:r w:rsidRPr="00150EDC">
              <w:rPr>
                <w:sz w:val="20"/>
              </w:rPr>
              <w:t>(Scotland)</w:t>
            </w:r>
            <w:r w:rsidRPr="00150EDC">
              <w:rPr>
                <w:spacing w:val="-8"/>
                <w:sz w:val="20"/>
              </w:rPr>
              <w:t xml:space="preserve"> </w:t>
            </w:r>
            <w:r w:rsidRPr="00150EDC">
              <w:rPr>
                <w:sz w:val="20"/>
              </w:rPr>
              <w:t>Act</w:t>
            </w:r>
            <w:r w:rsidRPr="00150EDC">
              <w:rPr>
                <w:spacing w:val="-7"/>
                <w:sz w:val="20"/>
              </w:rPr>
              <w:t xml:space="preserve"> </w:t>
            </w:r>
            <w:r w:rsidRPr="00150EDC">
              <w:rPr>
                <w:sz w:val="20"/>
              </w:rPr>
              <w:t>1984,</w:t>
            </w:r>
            <w:r w:rsidRPr="00150EDC">
              <w:rPr>
                <w:spacing w:val="-7"/>
                <w:sz w:val="20"/>
              </w:rPr>
              <w:t xml:space="preserve"> </w:t>
            </w:r>
            <w:r w:rsidRPr="00150EDC">
              <w:rPr>
                <w:spacing w:val="-5"/>
                <w:sz w:val="20"/>
              </w:rPr>
              <w:t>s15</w:t>
            </w:r>
          </w:p>
        </w:tc>
        <w:tc>
          <w:tcPr>
            <w:tcW w:w="7427" w:type="dxa"/>
          </w:tcPr>
          <w:p w14:paraId="291FB850" w14:textId="77777777" w:rsidR="004C7180" w:rsidRPr="00150EDC" w:rsidRDefault="00CF0754">
            <w:pPr>
              <w:pStyle w:val="TableParagraph"/>
              <w:rPr>
                <w:sz w:val="20"/>
              </w:rPr>
            </w:pPr>
            <w:r w:rsidRPr="00150EDC">
              <w:rPr>
                <w:sz w:val="20"/>
              </w:rPr>
              <w:t>Offences</w:t>
            </w:r>
            <w:r w:rsidRPr="00150EDC">
              <w:rPr>
                <w:spacing w:val="-3"/>
                <w:sz w:val="20"/>
              </w:rPr>
              <w:t xml:space="preserve"> </w:t>
            </w:r>
            <w:r w:rsidRPr="00150EDC">
              <w:rPr>
                <w:sz w:val="20"/>
              </w:rPr>
              <w:t>relating</w:t>
            </w:r>
            <w:r w:rsidRPr="00150EDC">
              <w:rPr>
                <w:spacing w:val="-3"/>
                <w:sz w:val="20"/>
              </w:rPr>
              <w:t xml:space="preserve"> </w:t>
            </w:r>
            <w:r w:rsidRPr="00150EDC">
              <w:rPr>
                <w:sz w:val="20"/>
              </w:rPr>
              <w:t>to</w:t>
            </w:r>
            <w:r w:rsidRPr="00150EDC">
              <w:rPr>
                <w:spacing w:val="-7"/>
                <w:sz w:val="20"/>
              </w:rPr>
              <w:t xml:space="preserve"> </w:t>
            </w:r>
            <w:r w:rsidRPr="00150EDC">
              <w:rPr>
                <w:sz w:val="20"/>
              </w:rPr>
              <w:t>foster</w:t>
            </w:r>
            <w:r w:rsidRPr="00150EDC">
              <w:rPr>
                <w:spacing w:val="-7"/>
                <w:sz w:val="20"/>
              </w:rPr>
              <w:t xml:space="preserve"> </w:t>
            </w:r>
            <w:r w:rsidRPr="00150EDC">
              <w:rPr>
                <w:spacing w:val="-2"/>
                <w:sz w:val="20"/>
              </w:rPr>
              <w:t>children</w:t>
            </w:r>
          </w:p>
        </w:tc>
      </w:tr>
      <w:tr w:rsidR="004569EE" w:rsidRPr="007D3144" w14:paraId="0C93CDEA" w14:textId="77777777">
        <w:trPr>
          <w:trHeight w:val="255"/>
        </w:trPr>
        <w:tc>
          <w:tcPr>
            <w:tcW w:w="6517" w:type="dxa"/>
          </w:tcPr>
          <w:p w14:paraId="1FB5C5B9" w14:textId="77777777" w:rsidR="004C7180" w:rsidRPr="00150EDC" w:rsidRDefault="00CF0754">
            <w:pPr>
              <w:pStyle w:val="TableParagraph"/>
              <w:rPr>
                <w:sz w:val="20"/>
              </w:rPr>
            </w:pPr>
            <w:r w:rsidRPr="00150EDC">
              <w:rPr>
                <w:sz w:val="20"/>
              </w:rPr>
              <w:t>Foster</w:t>
            </w:r>
            <w:r w:rsidRPr="00150EDC">
              <w:rPr>
                <w:spacing w:val="-8"/>
                <w:sz w:val="20"/>
              </w:rPr>
              <w:t xml:space="preserve"> </w:t>
            </w:r>
            <w:r w:rsidRPr="00150EDC">
              <w:rPr>
                <w:sz w:val="20"/>
              </w:rPr>
              <w:t>Children</w:t>
            </w:r>
            <w:r w:rsidRPr="00150EDC">
              <w:rPr>
                <w:spacing w:val="-3"/>
                <w:sz w:val="20"/>
              </w:rPr>
              <w:t xml:space="preserve"> </w:t>
            </w:r>
            <w:r w:rsidRPr="00150EDC">
              <w:rPr>
                <w:sz w:val="20"/>
              </w:rPr>
              <w:t>Act</w:t>
            </w:r>
            <w:r w:rsidRPr="00150EDC">
              <w:rPr>
                <w:spacing w:val="-6"/>
                <w:sz w:val="20"/>
              </w:rPr>
              <w:t xml:space="preserve"> </w:t>
            </w:r>
            <w:r w:rsidRPr="00150EDC">
              <w:rPr>
                <w:sz w:val="20"/>
              </w:rPr>
              <w:t>1980,</w:t>
            </w:r>
            <w:r w:rsidRPr="00150EDC">
              <w:rPr>
                <w:spacing w:val="-7"/>
                <w:sz w:val="20"/>
              </w:rPr>
              <w:t xml:space="preserve"> </w:t>
            </w:r>
            <w:r w:rsidRPr="00150EDC">
              <w:rPr>
                <w:spacing w:val="-5"/>
                <w:sz w:val="20"/>
              </w:rPr>
              <w:t>s16</w:t>
            </w:r>
          </w:p>
        </w:tc>
        <w:tc>
          <w:tcPr>
            <w:tcW w:w="7427" w:type="dxa"/>
          </w:tcPr>
          <w:p w14:paraId="1B6F015B" w14:textId="77777777" w:rsidR="004C7180" w:rsidRPr="00150EDC" w:rsidRDefault="00CF0754">
            <w:pPr>
              <w:pStyle w:val="TableParagraph"/>
              <w:rPr>
                <w:sz w:val="20"/>
              </w:rPr>
            </w:pPr>
            <w:r w:rsidRPr="00150EDC">
              <w:rPr>
                <w:sz w:val="20"/>
              </w:rPr>
              <w:t>Offences</w:t>
            </w:r>
            <w:r w:rsidRPr="00150EDC">
              <w:rPr>
                <w:spacing w:val="-3"/>
                <w:sz w:val="20"/>
              </w:rPr>
              <w:t xml:space="preserve"> </w:t>
            </w:r>
            <w:r w:rsidRPr="00150EDC">
              <w:rPr>
                <w:sz w:val="20"/>
              </w:rPr>
              <w:t>relating</w:t>
            </w:r>
            <w:r w:rsidRPr="00150EDC">
              <w:rPr>
                <w:spacing w:val="-3"/>
                <w:sz w:val="20"/>
              </w:rPr>
              <w:t xml:space="preserve"> </w:t>
            </w:r>
            <w:r w:rsidRPr="00150EDC">
              <w:rPr>
                <w:sz w:val="20"/>
              </w:rPr>
              <w:t>to</w:t>
            </w:r>
            <w:r w:rsidRPr="00150EDC">
              <w:rPr>
                <w:spacing w:val="-8"/>
                <w:sz w:val="20"/>
              </w:rPr>
              <w:t xml:space="preserve"> </w:t>
            </w:r>
            <w:r w:rsidRPr="00150EDC">
              <w:rPr>
                <w:sz w:val="20"/>
              </w:rPr>
              <w:t>private</w:t>
            </w:r>
            <w:r w:rsidRPr="00150EDC">
              <w:rPr>
                <w:spacing w:val="-7"/>
                <w:sz w:val="20"/>
              </w:rPr>
              <w:t xml:space="preserve"> </w:t>
            </w:r>
            <w:r w:rsidRPr="00150EDC">
              <w:rPr>
                <w:spacing w:val="-2"/>
                <w:sz w:val="20"/>
              </w:rPr>
              <w:t>fostering</w:t>
            </w:r>
          </w:p>
        </w:tc>
      </w:tr>
      <w:tr w:rsidR="004569EE" w:rsidRPr="007D3144" w14:paraId="682C0CA6" w14:textId="77777777">
        <w:trPr>
          <w:trHeight w:val="255"/>
        </w:trPr>
        <w:tc>
          <w:tcPr>
            <w:tcW w:w="6517" w:type="dxa"/>
          </w:tcPr>
          <w:p w14:paraId="1D4F32EC" w14:textId="77777777" w:rsidR="004C7180" w:rsidRPr="00150EDC" w:rsidRDefault="00CF0754">
            <w:pPr>
              <w:pStyle w:val="TableParagraph"/>
              <w:spacing w:before="28"/>
              <w:rPr>
                <w:sz w:val="20"/>
              </w:rPr>
            </w:pPr>
            <w:r w:rsidRPr="00150EDC">
              <w:rPr>
                <w:sz w:val="20"/>
              </w:rPr>
              <w:t>Genocide</w:t>
            </w:r>
            <w:r w:rsidRPr="00150EDC">
              <w:rPr>
                <w:spacing w:val="-8"/>
                <w:sz w:val="20"/>
              </w:rPr>
              <w:t xml:space="preserve"> </w:t>
            </w:r>
            <w:r w:rsidRPr="00150EDC">
              <w:rPr>
                <w:sz w:val="20"/>
              </w:rPr>
              <w:t>Act</w:t>
            </w:r>
            <w:r w:rsidRPr="00150EDC">
              <w:rPr>
                <w:spacing w:val="-7"/>
                <w:sz w:val="20"/>
              </w:rPr>
              <w:t xml:space="preserve"> </w:t>
            </w:r>
            <w:r w:rsidRPr="00150EDC">
              <w:rPr>
                <w:sz w:val="20"/>
              </w:rPr>
              <w:t>1969,</w:t>
            </w:r>
            <w:r w:rsidRPr="00150EDC">
              <w:rPr>
                <w:spacing w:val="-8"/>
                <w:sz w:val="20"/>
              </w:rPr>
              <w:t xml:space="preserve"> </w:t>
            </w:r>
            <w:r w:rsidRPr="00150EDC">
              <w:rPr>
                <w:spacing w:val="-5"/>
                <w:sz w:val="20"/>
              </w:rPr>
              <w:t>s1</w:t>
            </w:r>
          </w:p>
        </w:tc>
        <w:tc>
          <w:tcPr>
            <w:tcW w:w="7427" w:type="dxa"/>
          </w:tcPr>
          <w:p w14:paraId="026141F5" w14:textId="77777777" w:rsidR="004C7180" w:rsidRPr="00150EDC" w:rsidRDefault="00CF0754">
            <w:pPr>
              <w:pStyle w:val="TableParagraph"/>
              <w:spacing w:before="28"/>
              <w:rPr>
                <w:sz w:val="20"/>
              </w:rPr>
            </w:pPr>
            <w:r w:rsidRPr="00150EDC">
              <w:rPr>
                <w:spacing w:val="-2"/>
                <w:sz w:val="20"/>
              </w:rPr>
              <w:t>Genocide</w:t>
            </w:r>
          </w:p>
        </w:tc>
      </w:tr>
      <w:tr w:rsidR="004569EE" w:rsidRPr="007D3144" w14:paraId="1A468F5E" w14:textId="77777777">
        <w:trPr>
          <w:trHeight w:val="255"/>
        </w:trPr>
        <w:tc>
          <w:tcPr>
            <w:tcW w:w="6517" w:type="dxa"/>
          </w:tcPr>
          <w:p w14:paraId="7CEE226E" w14:textId="77777777" w:rsidR="004C7180" w:rsidRPr="00150EDC" w:rsidRDefault="00CF0754">
            <w:pPr>
              <w:pStyle w:val="TableParagraph"/>
              <w:rPr>
                <w:sz w:val="20"/>
              </w:rPr>
            </w:pPr>
            <w:r w:rsidRPr="00150EDC">
              <w:rPr>
                <w:sz w:val="20"/>
              </w:rPr>
              <w:t>Health</w:t>
            </w:r>
            <w:r w:rsidRPr="00150EDC">
              <w:rPr>
                <w:spacing w:val="-8"/>
                <w:sz w:val="20"/>
              </w:rPr>
              <w:t xml:space="preserve"> </w:t>
            </w:r>
            <w:r w:rsidRPr="00150EDC">
              <w:rPr>
                <w:sz w:val="20"/>
              </w:rPr>
              <w:t>and</w:t>
            </w:r>
            <w:r w:rsidRPr="00150EDC">
              <w:rPr>
                <w:spacing w:val="-3"/>
                <w:sz w:val="20"/>
              </w:rPr>
              <w:t xml:space="preserve"> </w:t>
            </w:r>
            <w:r w:rsidRPr="00150EDC">
              <w:rPr>
                <w:sz w:val="20"/>
              </w:rPr>
              <w:t>Social</w:t>
            </w:r>
            <w:r w:rsidRPr="00150EDC">
              <w:rPr>
                <w:spacing w:val="-5"/>
                <w:sz w:val="20"/>
              </w:rPr>
              <w:t xml:space="preserve"> </w:t>
            </w:r>
            <w:r w:rsidRPr="00150EDC">
              <w:rPr>
                <w:sz w:val="20"/>
              </w:rPr>
              <w:t>Care</w:t>
            </w:r>
            <w:r w:rsidRPr="00150EDC">
              <w:rPr>
                <w:spacing w:val="-8"/>
                <w:sz w:val="20"/>
              </w:rPr>
              <w:t xml:space="preserve"> </w:t>
            </w:r>
            <w:r w:rsidRPr="00150EDC">
              <w:rPr>
                <w:sz w:val="20"/>
              </w:rPr>
              <w:t>Act</w:t>
            </w:r>
            <w:r w:rsidRPr="00150EDC">
              <w:rPr>
                <w:spacing w:val="-3"/>
                <w:sz w:val="20"/>
              </w:rPr>
              <w:t xml:space="preserve"> </w:t>
            </w:r>
            <w:r w:rsidRPr="00150EDC">
              <w:rPr>
                <w:sz w:val="20"/>
              </w:rPr>
              <w:t>2008,</w:t>
            </w:r>
            <w:r w:rsidRPr="00150EDC">
              <w:rPr>
                <w:spacing w:val="-2"/>
                <w:sz w:val="20"/>
              </w:rPr>
              <w:t xml:space="preserve"> </w:t>
            </w:r>
            <w:r w:rsidRPr="00150EDC">
              <w:rPr>
                <w:spacing w:val="-5"/>
                <w:sz w:val="20"/>
              </w:rPr>
              <w:t>s10</w:t>
            </w:r>
          </w:p>
        </w:tc>
        <w:tc>
          <w:tcPr>
            <w:tcW w:w="7427" w:type="dxa"/>
          </w:tcPr>
          <w:p w14:paraId="56ABDCE8" w14:textId="77777777" w:rsidR="004C7180" w:rsidRPr="00150EDC" w:rsidRDefault="00CF0754">
            <w:pPr>
              <w:pStyle w:val="TableParagraph"/>
              <w:rPr>
                <w:sz w:val="20"/>
              </w:rPr>
            </w:pPr>
            <w:r w:rsidRPr="00150EDC">
              <w:rPr>
                <w:sz w:val="20"/>
              </w:rPr>
              <w:t>Carrying</w:t>
            </w:r>
            <w:r w:rsidRPr="00150EDC">
              <w:rPr>
                <w:spacing w:val="-3"/>
                <w:sz w:val="20"/>
              </w:rPr>
              <w:t xml:space="preserve"> </w:t>
            </w:r>
            <w:r w:rsidRPr="00150EDC">
              <w:rPr>
                <w:sz w:val="20"/>
              </w:rPr>
              <w:t>on</w:t>
            </w:r>
            <w:r w:rsidRPr="00150EDC">
              <w:rPr>
                <w:spacing w:val="-7"/>
                <w:sz w:val="20"/>
              </w:rPr>
              <w:t xml:space="preserve"> </w:t>
            </w:r>
            <w:r w:rsidRPr="00150EDC">
              <w:rPr>
                <w:sz w:val="20"/>
              </w:rPr>
              <w:t>a</w:t>
            </w:r>
            <w:r w:rsidRPr="00150EDC">
              <w:rPr>
                <w:spacing w:val="-3"/>
                <w:sz w:val="20"/>
              </w:rPr>
              <w:t xml:space="preserve"> </w:t>
            </w:r>
            <w:r w:rsidRPr="00150EDC">
              <w:rPr>
                <w:sz w:val="20"/>
              </w:rPr>
              <w:t>regulated</w:t>
            </w:r>
            <w:r w:rsidRPr="00150EDC">
              <w:rPr>
                <w:spacing w:val="-7"/>
                <w:sz w:val="20"/>
              </w:rPr>
              <w:t xml:space="preserve"> </w:t>
            </w:r>
            <w:r w:rsidRPr="00150EDC">
              <w:rPr>
                <w:sz w:val="20"/>
              </w:rPr>
              <w:t>activity</w:t>
            </w:r>
            <w:r w:rsidRPr="00150EDC">
              <w:rPr>
                <w:spacing w:val="-5"/>
                <w:sz w:val="20"/>
              </w:rPr>
              <w:t xml:space="preserve"> </w:t>
            </w:r>
            <w:r w:rsidRPr="00150EDC">
              <w:rPr>
                <w:sz w:val="20"/>
              </w:rPr>
              <w:t>without</w:t>
            </w:r>
            <w:r w:rsidRPr="00150EDC">
              <w:rPr>
                <w:spacing w:val="-3"/>
                <w:sz w:val="20"/>
              </w:rPr>
              <w:t xml:space="preserve"> </w:t>
            </w:r>
            <w:r w:rsidRPr="00150EDC">
              <w:rPr>
                <w:sz w:val="20"/>
              </w:rPr>
              <w:t>being</w:t>
            </w:r>
            <w:r w:rsidRPr="00150EDC">
              <w:rPr>
                <w:spacing w:val="-2"/>
                <w:sz w:val="20"/>
              </w:rPr>
              <w:t xml:space="preserve"> registered</w:t>
            </w:r>
          </w:p>
        </w:tc>
      </w:tr>
      <w:tr w:rsidR="004569EE" w:rsidRPr="007D3144" w14:paraId="27E11467" w14:textId="77777777">
        <w:trPr>
          <w:trHeight w:val="255"/>
        </w:trPr>
        <w:tc>
          <w:tcPr>
            <w:tcW w:w="6517" w:type="dxa"/>
          </w:tcPr>
          <w:p w14:paraId="1FF6CFE2" w14:textId="77777777" w:rsidR="004C7180" w:rsidRPr="00150EDC" w:rsidRDefault="00CF0754">
            <w:pPr>
              <w:pStyle w:val="TableParagraph"/>
              <w:rPr>
                <w:sz w:val="20"/>
              </w:rPr>
            </w:pPr>
            <w:r w:rsidRPr="00150EDC">
              <w:rPr>
                <w:sz w:val="20"/>
              </w:rPr>
              <w:t>Health</w:t>
            </w:r>
            <w:r w:rsidRPr="00150EDC">
              <w:rPr>
                <w:spacing w:val="-8"/>
                <w:sz w:val="20"/>
              </w:rPr>
              <w:t xml:space="preserve"> </w:t>
            </w:r>
            <w:r w:rsidRPr="00150EDC">
              <w:rPr>
                <w:sz w:val="20"/>
              </w:rPr>
              <w:t>and</w:t>
            </w:r>
            <w:r w:rsidRPr="00150EDC">
              <w:rPr>
                <w:spacing w:val="-3"/>
                <w:sz w:val="20"/>
              </w:rPr>
              <w:t xml:space="preserve"> </w:t>
            </w:r>
            <w:r w:rsidRPr="00150EDC">
              <w:rPr>
                <w:sz w:val="20"/>
              </w:rPr>
              <w:t>Social</w:t>
            </w:r>
            <w:r w:rsidRPr="00150EDC">
              <w:rPr>
                <w:spacing w:val="-5"/>
                <w:sz w:val="20"/>
              </w:rPr>
              <w:t xml:space="preserve"> </w:t>
            </w:r>
            <w:r w:rsidRPr="00150EDC">
              <w:rPr>
                <w:sz w:val="20"/>
              </w:rPr>
              <w:t>Care</w:t>
            </w:r>
            <w:r w:rsidRPr="00150EDC">
              <w:rPr>
                <w:spacing w:val="-8"/>
                <w:sz w:val="20"/>
              </w:rPr>
              <w:t xml:space="preserve"> </w:t>
            </w:r>
            <w:r w:rsidRPr="00150EDC">
              <w:rPr>
                <w:sz w:val="20"/>
              </w:rPr>
              <w:t>Act</w:t>
            </w:r>
            <w:r w:rsidRPr="00150EDC">
              <w:rPr>
                <w:spacing w:val="-3"/>
                <w:sz w:val="20"/>
              </w:rPr>
              <w:t xml:space="preserve"> </w:t>
            </w:r>
            <w:r w:rsidRPr="00150EDC">
              <w:rPr>
                <w:sz w:val="20"/>
              </w:rPr>
              <w:t>2008,</w:t>
            </w:r>
            <w:r w:rsidRPr="00150EDC">
              <w:rPr>
                <w:spacing w:val="-2"/>
                <w:sz w:val="20"/>
              </w:rPr>
              <w:t xml:space="preserve"> </w:t>
            </w:r>
            <w:r w:rsidRPr="00150EDC">
              <w:rPr>
                <w:spacing w:val="-5"/>
                <w:sz w:val="20"/>
              </w:rPr>
              <w:t>s33</w:t>
            </w:r>
          </w:p>
        </w:tc>
        <w:tc>
          <w:tcPr>
            <w:tcW w:w="7427" w:type="dxa"/>
          </w:tcPr>
          <w:p w14:paraId="5A91D68F" w14:textId="77777777" w:rsidR="004C7180" w:rsidRPr="00150EDC" w:rsidRDefault="00CF0754">
            <w:pPr>
              <w:pStyle w:val="TableParagraph"/>
              <w:rPr>
                <w:sz w:val="20"/>
              </w:rPr>
            </w:pPr>
            <w:r w:rsidRPr="00150EDC">
              <w:rPr>
                <w:sz w:val="20"/>
              </w:rPr>
              <w:t>Registered</w:t>
            </w:r>
            <w:r w:rsidRPr="00150EDC">
              <w:rPr>
                <w:spacing w:val="-2"/>
                <w:sz w:val="20"/>
              </w:rPr>
              <w:t xml:space="preserve"> </w:t>
            </w:r>
            <w:r w:rsidRPr="00150EDC">
              <w:rPr>
                <w:sz w:val="20"/>
              </w:rPr>
              <w:t>person</w:t>
            </w:r>
            <w:r w:rsidRPr="00150EDC">
              <w:rPr>
                <w:spacing w:val="-6"/>
                <w:sz w:val="20"/>
              </w:rPr>
              <w:t xml:space="preserve"> </w:t>
            </w:r>
            <w:r w:rsidRPr="00150EDC">
              <w:rPr>
                <w:sz w:val="20"/>
              </w:rPr>
              <w:t>failing</w:t>
            </w:r>
            <w:r w:rsidRPr="00150EDC">
              <w:rPr>
                <w:spacing w:val="-1"/>
                <w:sz w:val="20"/>
              </w:rPr>
              <w:t xml:space="preserve"> </w:t>
            </w:r>
            <w:r w:rsidRPr="00150EDC">
              <w:rPr>
                <w:sz w:val="20"/>
              </w:rPr>
              <w:t>to</w:t>
            </w:r>
            <w:r w:rsidRPr="00150EDC">
              <w:rPr>
                <w:spacing w:val="-6"/>
                <w:sz w:val="20"/>
              </w:rPr>
              <w:t xml:space="preserve"> </w:t>
            </w:r>
            <w:r w:rsidRPr="00150EDC">
              <w:rPr>
                <w:sz w:val="20"/>
              </w:rPr>
              <w:t>comply</w:t>
            </w:r>
            <w:r w:rsidRPr="00150EDC">
              <w:rPr>
                <w:spacing w:val="-4"/>
                <w:sz w:val="20"/>
              </w:rPr>
              <w:t xml:space="preserve"> </w:t>
            </w:r>
            <w:r w:rsidRPr="00150EDC">
              <w:rPr>
                <w:sz w:val="20"/>
              </w:rPr>
              <w:t>with</w:t>
            </w:r>
            <w:r w:rsidRPr="00150EDC">
              <w:rPr>
                <w:spacing w:val="-6"/>
                <w:sz w:val="20"/>
              </w:rPr>
              <w:t xml:space="preserve"> </w:t>
            </w:r>
            <w:r w:rsidRPr="00150EDC">
              <w:rPr>
                <w:sz w:val="20"/>
              </w:rPr>
              <w:t>any</w:t>
            </w:r>
            <w:r w:rsidRPr="00150EDC">
              <w:rPr>
                <w:spacing w:val="-6"/>
                <w:sz w:val="20"/>
              </w:rPr>
              <w:t xml:space="preserve"> </w:t>
            </w:r>
            <w:r w:rsidRPr="00150EDC">
              <w:rPr>
                <w:sz w:val="20"/>
              </w:rPr>
              <w:t>condition</w:t>
            </w:r>
            <w:r w:rsidRPr="00150EDC">
              <w:rPr>
                <w:spacing w:val="-6"/>
                <w:sz w:val="20"/>
              </w:rPr>
              <w:t xml:space="preserve"> </w:t>
            </w:r>
            <w:r w:rsidRPr="00150EDC">
              <w:rPr>
                <w:sz w:val="20"/>
              </w:rPr>
              <w:t>of</w:t>
            </w:r>
            <w:r w:rsidRPr="00150EDC">
              <w:rPr>
                <w:spacing w:val="-1"/>
                <w:sz w:val="20"/>
              </w:rPr>
              <w:t xml:space="preserve"> </w:t>
            </w:r>
            <w:r w:rsidRPr="00150EDC">
              <w:rPr>
                <w:spacing w:val="-2"/>
                <w:sz w:val="20"/>
              </w:rPr>
              <w:t>registration</w:t>
            </w:r>
          </w:p>
        </w:tc>
      </w:tr>
      <w:tr w:rsidR="004569EE" w:rsidRPr="007D3144" w14:paraId="53226711" w14:textId="77777777">
        <w:trPr>
          <w:trHeight w:val="460"/>
        </w:trPr>
        <w:tc>
          <w:tcPr>
            <w:tcW w:w="6517" w:type="dxa"/>
          </w:tcPr>
          <w:p w14:paraId="00D86ED7" w14:textId="77777777" w:rsidR="004C7180" w:rsidRPr="00150EDC" w:rsidRDefault="004C7180">
            <w:pPr>
              <w:pStyle w:val="TableParagraph"/>
              <w:spacing w:before="2" w:line="240" w:lineRule="auto"/>
              <w:ind w:left="0"/>
              <w:rPr>
                <w:sz w:val="20"/>
              </w:rPr>
            </w:pPr>
          </w:p>
          <w:p w14:paraId="0A20E329" w14:textId="77777777" w:rsidR="004C7180" w:rsidRPr="00150EDC" w:rsidRDefault="00CF0754">
            <w:pPr>
              <w:pStyle w:val="TableParagraph"/>
              <w:spacing w:before="0"/>
              <w:rPr>
                <w:sz w:val="20"/>
              </w:rPr>
            </w:pPr>
            <w:r w:rsidRPr="00150EDC">
              <w:rPr>
                <w:sz w:val="20"/>
              </w:rPr>
              <w:t>Health</w:t>
            </w:r>
            <w:r w:rsidRPr="00150EDC">
              <w:rPr>
                <w:spacing w:val="-8"/>
                <w:sz w:val="20"/>
              </w:rPr>
              <w:t xml:space="preserve"> </w:t>
            </w:r>
            <w:r w:rsidRPr="00150EDC">
              <w:rPr>
                <w:sz w:val="20"/>
              </w:rPr>
              <w:t>and</w:t>
            </w:r>
            <w:r w:rsidRPr="00150EDC">
              <w:rPr>
                <w:spacing w:val="-3"/>
                <w:sz w:val="20"/>
              </w:rPr>
              <w:t xml:space="preserve"> </w:t>
            </w:r>
            <w:r w:rsidRPr="00150EDC">
              <w:rPr>
                <w:sz w:val="20"/>
              </w:rPr>
              <w:t>Social</w:t>
            </w:r>
            <w:r w:rsidRPr="00150EDC">
              <w:rPr>
                <w:spacing w:val="-5"/>
                <w:sz w:val="20"/>
              </w:rPr>
              <w:t xml:space="preserve"> </w:t>
            </w:r>
            <w:r w:rsidRPr="00150EDC">
              <w:rPr>
                <w:sz w:val="20"/>
              </w:rPr>
              <w:t>Care</w:t>
            </w:r>
            <w:r w:rsidRPr="00150EDC">
              <w:rPr>
                <w:spacing w:val="-8"/>
                <w:sz w:val="20"/>
              </w:rPr>
              <w:t xml:space="preserve"> </w:t>
            </w:r>
            <w:r w:rsidRPr="00150EDC">
              <w:rPr>
                <w:sz w:val="20"/>
              </w:rPr>
              <w:t>Act</w:t>
            </w:r>
            <w:r w:rsidRPr="00150EDC">
              <w:rPr>
                <w:spacing w:val="-3"/>
                <w:sz w:val="20"/>
              </w:rPr>
              <w:t xml:space="preserve"> </w:t>
            </w:r>
            <w:r w:rsidRPr="00150EDC">
              <w:rPr>
                <w:sz w:val="20"/>
              </w:rPr>
              <w:t>2008,</w:t>
            </w:r>
            <w:r w:rsidRPr="00150EDC">
              <w:rPr>
                <w:spacing w:val="-2"/>
                <w:sz w:val="20"/>
              </w:rPr>
              <w:t xml:space="preserve"> </w:t>
            </w:r>
            <w:r w:rsidRPr="00150EDC">
              <w:rPr>
                <w:spacing w:val="-5"/>
                <w:sz w:val="20"/>
              </w:rPr>
              <w:t>s34</w:t>
            </w:r>
          </w:p>
        </w:tc>
        <w:tc>
          <w:tcPr>
            <w:tcW w:w="7427" w:type="dxa"/>
          </w:tcPr>
          <w:p w14:paraId="2AB74016" w14:textId="77777777" w:rsidR="004C7180" w:rsidRPr="00150EDC" w:rsidRDefault="00CF0754">
            <w:pPr>
              <w:pStyle w:val="TableParagraph"/>
              <w:spacing w:before="0" w:line="230" w:lineRule="atLeast"/>
              <w:ind w:right="186"/>
              <w:rPr>
                <w:sz w:val="20"/>
              </w:rPr>
            </w:pPr>
            <w:r w:rsidRPr="00150EDC">
              <w:rPr>
                <w:sz w:val="20"/>
              </w:rPr>
              <w:t>Registered</w:t>
            </w:r>
            <w:r w:rsidRPr="00150EDC">
              <w:rPr>
                <w:spacing w:val="-3"/>
                <w:sz w:val="20"/>
              </w:rPr>
              <w:t xml:space="preserve"> </w:t>
            </w:r>
            <w:r w:rsidRPr="00150EDC">
              <w:rPr>
                <w:sz w:val="20"/>
              </w:rPr>
              <w:t>person</w:t>
            </w:r>
            <w:r w:rsidRPr="00150EDC">
              <w:rPr>
                <w:spacing w:val="-7"/>
                <w:sz w:val="20"/>
              </w:rPr>
              <w:t xml:space="preserve"> </w:t>
            </w:r>
            <w:r w:rsidRPr="00150EDC">
              <w:rPr>
                <w:sz w:val="20"/>
              </w:rPr>
              <w:t>carrying</w:t>
            </w:r>
            <w:r w:rsidRPr="00150EDC">
              <w:rPr>
                <w:spacing w:val="-3"/>
                <w:sz w:val="20"/>
              </w:rPr>
              <w:t xml:space="preserve"> </w:t>
            </w:r>
            <w:r w:rsidRPr="00150EDC">
              <w:rPr>
                <w:sz w:val="20"/>
              </w:rPr>
              <w:t>on</w:t>
            </w:r>
            <w:r w:rsidRPr="00150EDC">
              <w:rPr>
                <w:spacing w:val="-7"/>
                <w:sz w:val="20"/>
              </w:rPr>
              <w:t xml:space="preserve"> </w:t>
            </w:r>
            <w:r w:rsidRPr="00150EDC">
              <w:rPr>
                <w:sz w:val="20"/>
              </w:rPr>
              <w:t>regulated</w:t>
            </w:r>
            <w:r w:rsidRPr="00150EDC">
              <w:rPr>
                <w:spacing w:val="-7"/>
                <w:sz w:val="20"/>
              </w:rPr>
              <w:t xml:space="preserve"> </w:t>
            </w:r>
            <w:r w:rsidRPr="00150EDC">
              <w:rPr>
                <w:sz w:val="20"/>
              </w:rPr>
              <w:t>activity</w:t>
            </w:r>
            <w:r w:rsidRPr="00150EDC">
              <w:rPr>
                <w:spacing w:val="-6"/>
                <w:sz w:val="20"/>
              </w:rPr>
              <w:t xml:space="preserve"> </w:t>
            </w:r>
            <w:r w:rsidRPr="00150EDC">
              <w:rPr>
                <w:sz w:val="20"/>
              </w:rPr>
              <w:t>whilst</w:t>
            </w:r>
            <w:r w:rsidRPr="00150EDC">
              <w:rPr>
                <w:spacing w:val="-3"/>
                <w:sz w:val="20"/>
              </w:rPr>
              <w:t xml:space="preserve"> </w:t>
            </w:r>
            <w:r w:rsidRPr="00150EDC">
              <w:rPr>
                <w:sz w:val="20"/>
              </w:rPr>
              <w:t>registration</w:t>
            </w:r>
            <w:r w:rsidRPr="00150EDC">
              <w:rPr>
                <w:spacing w:val="-7"/>
                <w:sz w:val="20"/>
              </w:rPr>
              <w:t xml:space="preserve"> </w:t>
            </w:r>
            <w:r w:rsidRPr="00150EDC">
              <w:rPr>
                <w:sz w:val="20"/>
              </w:rPr>
              <w:t>in</w:t>
            </w:r>
            <w:r w:rsidRPr="00150EDC">
              <w:rPr>
                <w:spacing w:val="-7"/>
                <w:sz w:val="20"/>
              </w:rPr>
              <w:t xml:space="preserve"> </w:t>
            </w:r>
            <w:r w:rsidRPr="00150EDC">
              <w:rPr>
                <w:sz w:val="20"/>
              </w:rPr>
              <w:t>suspended or cancelled</w:t>
            </w:r>
          </w:p>
        </w:tc>
      </w:tr>
      <w:tr w:rsidR="004569EE" w:rsidRPr="007D3144" w14:paraId="18033B21" w14:textId="77777777">
        <w:trPr>
          <w:trHeight w:val="460"/>
        </w:trPr>
        <w:tc>
          <w:tcPr>
            <w:tcW w:w="6517" w:type="dxa"/>
          </w:tcPr>
          <w:p w14:paraId="69D8DBEA" w14:textId="77777777" w:rsidR="004C7180" w:rsidRPr="00150EDC" w:rsidRDefault="004C7180">
            <w:pPr>
              <w:pStyle w:val="TableParagraph"/>
              <w:spacing w:before="3" w:line="240" w:lineRule="auto"/>
              <w:ind w:left="0"/>
              <w:rPr>
                <w:sz w:val="20"/>
              </w:rPr>
            </w:pPr>
          </w:p>
          <w:p w14:paraId="3F799559" w14:textId="77777777" w:rsidR="004C7180" w:rsidRPr="00150EDC" w:rsidRDefault="00CF0754">
            <w:pPr>
              <w:pStyle w:val="TableParagraph"/>
              <w:spacing w:before="0"/>
              <w:rPr>
                <w:sz w:val="20"/>
              </w:rPr>
            </w:pPr>
            <w:r w:rsidRPr="00150EDC">
              <w:rPr>
                <w:sz w:val="20"/>
              </w:rPr>
              <w:t>Health</w:t>
            </w:r>
            <w:r w:rsidRPr="00150EDC">
              <w:rPr>
                <w:spacing w:val="-8"/>
                <w:sz w:val="20"/>
              </w:rPr>
              <w:t xml:space="preserve"> </w:t>
            </w:r>
            <w:r w:rsidRPr="00150EDC">
              <w:rPr>
                <w:sz w:val="20"/>
              </w:rPr>
              <w:t>and</w:t>
            </w:r>
            <w:r w:rsidRPr="00150EDC">
              <w:rPr>
                <w:spacing w:val="-3"/>
                <w:sz w:val="20"/>
              </w:rPr>
              <w:t xml:space="preserve"> </w:t>
            </w:r>
            <w:r w:rsidRPr="00150EDC">
              <w:rPr>
                <w:sz w:val="20"/>
              </w:rPr>
              <w:t>Social</w:t>
            </w:r>
            <w:r w:rsidRPr="00150EDC">
              <w:rPr>
                <w:spacing w:val="-5"/>
                <w:sz w:val="20"/>
              </w:rPr>
              <w:t xml:space="preserve"> </w:t>
            </w:r>
            <w:r w:rsidRPr="00150EDC">
              <w:rPr>
                <w:sz w:val="20"/>
              </w:rPr>
              <w:t>Care</w:t>
            </w:r>
            <w:r w:rsidRPr="00150EDC">
              <w:rPr>
                <w:spacing w:val="-8"/>
                <w:sz w:val="20"/>
              </w:rPr>
              <w:t xml:space="preserve"> </w:t>
            </w:r>
            <w:r w:rsidRPr="00150EDC">
              <w:rPr>
                <w:sz w:val="20"/>
              </w:rPr>
              <w:t>Act</w:t>
            </w:r>
            <w:r w:rsidRPr="00150EDC">
              <w:rPr>
                <w:spacing w:val="-3"/>
                <w:sz w:val="20"/>
              </w:rPr>
              <w:t xml:space="preserve"> </w:t>
            </w:r>
            <w:r w:rsidRPr="00150EDC">
              <w:rPr>
                <w:sz w:val="20"/>
              </w:rPr>
              <w:t>2008,</w:t>
            </w:r>
            <w:r w:rsidRPr="00150EDC">
              <w:rPr>
                <w:spacing w:val="-2"/>
                <w:sz w:val="20"/>
              </w:rPr>
              <w:t xml:space="preserve"> </w:t>
            </w:r>
            <w:r w:rsidRPr="00150EDC">
              <w:rPr>
                <w:spacing w:val="-5"/>
                <w:sz w:val="20"/>
              </w:rPr>
              <w:t>s35</w:t>
            </w:r>
          </w:p>
        </w:tc>
        <w:tc>
          <w:tcPr>
            <w:tcW w:w="7427" w:type="dxa"/>
          </w:tcPr>
          <w:p w14:paraId="36633C0B" w14:textId="77777777" w:rsidR="004C7180" w:rsidRPr="00150EDC" w:rsidRDefault="00CF0754">
            <w:pPr>
              <w:pStyle w:val="TableParagraph"/>
              <w:spacing w:before="0" w:line="230" w:lineRule="atLeast"/>
              <w:ind w:right="186"/>
              <w:rPr>
                <w:sz w:val="20"/>
              </w:rPr>
            </w:pPr>
            <w:r w:rsidRPr="00150EDC">
              <w:rPr>
                <w:sz w:val="20"/>
              </w:rPr>
              <w:t>Contravention</w:t>
            </w:r>
            <w:r w:rsidRPr="00150EDC">
              <w:rPr>
                <w:spacing w:val="-8"/>
                <w:sz w:val="20"/>
              </w:rPr>
              <w:t xml:space="preserve"> </w:t>
            </w:r>
            <w:r w:rsidRPr="00150EDC">
              <w:rPr>
                <w:sz w:val="20"/>
              </w:rPr>
              <w:t>of</w:t>
            </w:r>
            <w:r w:rsidRPr="00150EDC">
              <w:rPr>
                <w:spacing w:val="-8"/>
                <w:sz w:val="20"/>
              </w:rPr>
              <w:t xml:space="preserve"> </w:t>
            </w:r>
            <w:r w:rsidRPr="00150EDC">
              <w:rPr>
                <w:sz w:val="20"/>
              </w:rPr>
              <w:t>regulations</w:t>
            </w:r>
            <w:r w:rsidRPr="00150EDC">
              <w:rPr>
                <w:spacing w:val="-2"/>
                <w:sz w:val="20"/>
              </w:rPr>
              <w:t xml:space="preserve"> </w:t>
            </w:r>
            <w:r w:rsidRPr="00150EDC">
              <w:rPr>
                <w:sz w:val="20"/>
              </w:rPr>
              <w:t>regarding</w:t>
            </w:r>
            <w:r w:rsidRPr="00150EDC">
              <w:rPr>
                <w:spacing w:val="-3"/>
                <w:sz w:val="20"/>
              </w:rPr>
              <w:t xml:space="preserve"> </w:t>
            </w:r>
            <w:r w:rsidRPr="00150EDC">
              <w:rPr>
                <w:sz w:val="20"/>
              </w:rPr>
              <w:t>registration</w:t>
            </w:r>
            <w:r w:rsidRPr="00150EDC">
              <w:rPr>
                <w:spacing w:val="-3"/>
                <w:sz w:val="20"/>
              </w:rPr>
              <w:t xml:space="preserve"> </w:t>
            </w:r>
            <w:r w:rsidRPr="00150EDC">
              <w:rPr>
                <w:sz w:val="20"/>
              </w:rPr>
              <w:t>in</w:t>
            </w:r>
            <w:r w:rsidRPr="00150EDC">
              <w:rPr>
                <w:spacing w:val="-8"/>
                <w:sz w:val="20"/>
              </w:rPr>
              <w:t xml:space="preserve"> </w:t>
            </w:r>
            <w:r w:rsidRPr="00150EDC">
              <w:rPr>
                <w:sz w:val="20"/>
              </w:rPr>
              <w:t>respectr</w:t>
            </w:r>
            <w:r w:rsidRPr="00150EDC">
              <w:rPr>
                <w:spacing w:val="-8"/>
                <w:sz w:val="20"/>
              </w:rPr>
              <w:t xml:space="preserve"> </w:t>
            </w:r>
            <w:r w:rsidRPr="00150EDC">
              <w:rPr>
                <w:sz w:val="20"/>
              </w:rPr>
              <w:t>of</w:t>
            </w:r>
            <w:r w:rsidRPr="00150EDC">
              <w:rPr>
                <w:spacing w:val="-3"/>
                <w:sz w:val="20"/>
              </w:rPr>
              <w:t xml:space="preserve"> </w:t>
            </w:r>
            <w:r w:rsidRPr="00150EDC">
              <w:rPr>
                <w:sz w:val="20"/>
              </w:rPr>
              <w:t>provision</w:t>
            </w:r>
            <w:r w:rsidRPr="00150EDC">
              <w:rPr>
                <w:spacing w:val="-3"/>
                <w:sz w:val="20"/>
              </w:rPr>
              <w:t xml:space="preserve"> </w:t>
            </w:r>
            <w:r w:rsidRPr="00150EDC">
              <w:rPr>
                <w:sz w:val="20"/>
              </w:rPr>
              <w:t>of health or social care</w:t>
            </w:r>
          </w:p>
        </w:tc>
      </w:tr>
      <w:tr w:rsidR="004569EE" w:rsidRPr="007D3144" w14:paraId="3E2CB720" w14:textId="77777777">
        <w:trPr>
          <w:trHeight w:val="460"/>
        </w:trPr>
        <w:tc>
          <w:tcPr>
            <w:tcW w:w="6517" w:type="dxa"/>
          </w:tcPr>
          <w:p w14:paraId="4F001F41" w14:textId="77777777" w:rsidR="004C7180" w:rsidRPr="00150EDC" w:rsidRDefault="004C7180">
            <w:pPr>
              <w:pStyle w:val="TableParagraph"/>
              <w:spacing w:before="2" w:line="240" w:lineRule="auto"/>
              <w:ind w:left="0"/>
              <w:rPr>
                <w:sz w:val="20"/>
              </w:rPr>
            </w:pPr>
          </w:p>
          <w:p w14:paraId="52BBD847" w14:textId="77777777" w:rsidR="004C7180" w:rsidRPr="00150EDC" w:rsidRDefault="00CF0754">
            <w:pPr>
              <w:pStyle w:val="TableParagraph"/>
              <w:spacing w:before="0"/>
              <w:rPr>
                <w:sz w:val="20"/>
              </w:rPr>
            </w:pPr>
            <w:r w:rsidRPr="00150EDC">
              <w:rPr>
                <w:sz w:val="20"/>
              </w:rPr>
              <w:t>Health</w:t>
            </w:r>
            <w:r w:rsidRPr="00150EDC">
              <w:rPr>
                <w:spacing w:val="-8"/>
                <w:sz w:val="20"/>
              </w:rPr>
              <w:t xml:space="preserve"> </w:t>
            </w:r>
            <w:r w:rsidRPr="00150EDC">
              <w:rPr>
                <w:sz w:val="20"/>
              </w:rPr>
              <w:t>and</w:t>
            </w:r>
            <w:r w:rsidRPr="00150EDC">
              <w:rPr>
                <w:spacing w:val="-3"/>
                <w:sz w:val="20"/>
              </w:rPr>
              <w:t xml:space="preserve"> </w:t>
            </w:r>
            <w:r w:rsidRPr="00150EDC">
              <w:rPr>
                <w:sz w:val="20"/>
              </w:rPr>
              <w:t>Social</w:t>
            </w:r>
            <w:r w:rsidRPr="00150EDC">
              <w:rPr>
                <w:spacing w:val="-5"/>
                <w:sz w:val="20"/>
              </w:rPr>
              <w:t xml:space="preserve"> </w:t>
            </w:r>
            <w:r w:rsidRPr="00150EDC">
              <w:rPr>
                <w:sz w:val="20"/>
              </w:rPr>
              <w:t>Care</w:t>
            </w:r>
            <w:r w:rsidRPr="00150EDC">
              <w:rPr>
                <w:spacing w:val="-8"/>
                <w:sz w:val="20"/>
              </w:rPr>
              <w:t xml:space="preserve"> </w:t>
            </w:r>
            <w:r w:rsidRPr="00150EDC">
              <w:rPr>
                <w:sz w:val="20"/>
              </w:rPr>
              <w:t>Act</w:t>
            </w:r>
            <w:r w:rsidRPr="00150EDC">
              <w:rPr>
                <w:spacing w:val="-3"/>
                <w:sz w:val="20"/>
              </w:rPr>
              <w:t xml:space="preserve"> </w:t>
            </w:r>
            <w:r w:rsidRPr="00150EDC">
              <w:rPr>
                <w:sz w:val="20"/>
              </w:rPr>
              <w:t>2008,</w:t>
            </w:r>
            <w:r w:rsidRPr="00150EDC">
              <w:rPr>
                <w:spacing w:val="-2"/>
                <w:sz w:val="20"/>
              </w:rPr>
              <w:t xml:space="preserve"> </w:t>
            </w:r>
            <w:r w:rsidRPr="00150EDC">
              <w:rPr>
                <w:spacing w:val="-5"/>
                <w:sz w:val="20"/>
              </w:rPr>
              <w:t>s36</w:t>
            </w:r>
          </w:p>
        </w:tc>
        <w:tc>
          <w:tcPr>
            <w:tcW w:w="7427" w:type="dxa"/>
          </w:tcPr>
          <w:p w14:paraId="0B650991" w14:textId="77777777" w:rsidR="004C7180" w:rsidRPr="00150EDC" w:rsidRDefault="00CF0754">
            <w:pPr>
              <w:pStyle w:val="TableParagraph"/>
              <w:spacing w:before="0" w:line="230" w:lineRule="atLeast"/>
              <w:rPr>
                <w:sz w:val="20"/>
              </w:rPr>
            </w:pPr>
            <w:r w:rsidRPr="00150EDC">
              <w:rPr>
                <w:sz w:val="20"/>
              </w:rPr>
              <w:t>False</w:t>
            </w:r>
            <w:r w:rsidRPr="00150EDC">
              <w:rPr>
                <w:spacing w:val="-6"/>
                <w:sz w:val="20"/>
              </w:rPr>
              <w:t xml:space="preserve"> </w:t>
            </w:r>
            <w:r w:rsidRPr="00150EDC">
              <w:rPr>
                <w:sz w:val="20"/>
              </w:rPr>
              <w:t>description</w:t>
            </w:r>
            <w:r w:rsidRPr="00150EDC">
              <w:rPr>
                <w:spacing w:val="-1"/>
                <w:sz w:val="20"/>
              </w:rPr>
              <w:t xml:space="preserve"> </w:t>
            </w:r>
            <w:r w:rsidRPr="00150EDC">
              <w:rPr>
                <w:sz w:val="20"/>
              </w:rPr>
              <w:t>of</w:t>
            </w:r>
            <w:r w:rsidRPr="00150EDC">
              <w:rPr>
                <w:spacing w:val="-6"/>
                <w:sz w:val="20"/>
              </w:rPr>
              <w:t xml:space="preserve"> </w:t>
            </w:r>
            <w:r w:rsidRPr="00150EDC">
              <w:rPr>
                <w:sz w:val="20"/>
              </w:rPr>
              <w:t>concerns,</w:t>
            </w:r>
            <w:r w:rsidRPr="00150EDC">
              <w:rPr>
                <w:spacing w:val="-1"/>
                <w:sz w:val="20"/>
              </w:rPr>
              <w:t xml:space="preserve"> </w:t>
            </w:r>
            <w:r w:rsidRPr="00150EDC">
              <w:rPr>
                <w:sz w:val="20"/>
              </w:rPr>
              <w:t>premises,</w:t>
            </w:r>
            <w:r w:rsidRPr="00150EDC">
              <w:rPr>
                <w:spacing w:val="-5"/>
                <w:sz w:val="20"/>
              </w:rPr>
              <w:t xml:space="preserve"> </w:t>
            </w:r>
            <w:r w:rsidRPr="00150EDC">
              <w:rPr>
                <w:sz w:val="20"/>
              </w:rPr>
              <w:t>persons etc</w:t>
            </w:r>
            <w:r w:rsidRPr="00150EDC">
              <w:rPr>
                <w:spacing w:val="-5"/>
                <w:sz w:val="20"/>
              </w:rPr>
              <w:t xml:space="preserve"> </w:t>
            </w:r>
            <w:r w:rsidRPr="00150EDC">
              <w:rPr>
                <w:sz w:val="20"/>
              </w:rPr>
              <w:t>as</w:t>
            </w:r>
            <w:r w:rsidRPr="00150EDC">
              <w:rPr>
                <w:spacing w:val="-5"/>
                <w:sz w:val="20"/>
              </w:rPr>
              <w:t xml:space="preserve"> </w:t>
            </w:r>
            <w:r w:rsidRPr="00150EDC">
              <w:rPr>
                <w:sz w:val="20"/>
              </w:rPr>
              <w:t>involved</w:t>
            </w:r>
            <w:r w:rsidRPr="00150EDC">
              <w:rPr>
                <w:spacing w:val="-6"/>
                <w:sz w:val="20"/>
              </w:rPr>
              <w:t xml:space="preserve"> </w:t>
            </w:r>
            <w:r w:rsidRPr="00150EDC">
              <w:rPr>
                <w:sz w:val="20"/>
              </w:rPr>
              <w:t>in</w:t>
            </w:r>
            <w:r w:rsidRPr="00150EDC">
              <w:rPr>
                <w:spacing w:val="-6"/>
                <w:sz w:val="20"/>
              </w:rPr>
              <w:t xml:space="preserve"> </w:t>
            </w:r>
            <w:r w:rsidRPr="00150EDC">
              <w:rPr>
                <w:sz w:val="20"/>
              </w:rPr>
              <w:t>or</w:t>
            </w:r>
            <w:r w:rsidRPr="00150EDC">
              <w:rPr>
                <w:spacing w:val="-6"/>
                <w:sz w:val="20"/>
              </w:rPr>
              <w:t xml:space="preserve"> </w:t>
            </w:r>
            <w:r w:rsidRPr="00150EDC">
              <w:rPr>
                <w:sz w:val="20"/>
              </w:rPr>
              <w:t>providing</w:t>
            </w:r>
            <w:r w:rsidRPr="00150EDC">
              <w:rPr>
                <w:spacing w:val="-1"/>
                <w:sz w:val="20"/>
              </w:rPr>
              <w:t xml:space="preserve"> </w:t>
            </w:r>
            <w:r w:rsidRPr="00150EDC">
              <w:rPr>
                <w:sz w:val="20"/>
              </w:rPr>
              <w:t>a service in respect of regulated activity</w:t>
            </w:r>
          </w:p>
        </w:tc>
      </w:tr>
      <w:tr w:rsidR="004569EE" w:rsidRPr="007D3144" w14:paraId="24F4CE1C" w14:textId="77777777">
        <w:trPr>
          <w:trHeight w:val="255"/>
        </w:trPr>
        <w:tc>
          <w:tcPr>
            <w:tcW w:w="6517" w:type="dxa"/>
          </w:tcPr>
          <w:p w14:paraId="547A09FC" w14:textId="77777777" w:rsidR="004C7180" w:rsidRPr="00150EDC" w:rsidRDefault="00CF0754">
            <w:pPr>
              <w:pStyle w:val="TableParagraph"/>
              <w:rPr>
                <w:sz w:val="20"/>
              </w:rPr>
            </w:pPr>
            <w:r w:rsidRPr="00150EDC">
              <w:rPr>
                <w:sz w:val="20"/>
              </w:rPr>
              <w:t>Health</w:t>
            </w:r>
            <w:r w:rsidRPr="00150EDC">
              <w:rPr>
                <w:spacing w:val="-8"/>
                <w:sz w:val="20"/>
              </w:rPr>
              <w:t xml:space="preserve"> </w:t>
            </w:r>
            <w:r w:rsidRPr="00150EDC">
              <w:rPr>
                <w:sz w:val="20"/>
              </w:rPr>
              <w:t>and</w:t>
            </w:r>
            <w:r w:rsidRPr="00150EDC">
              <w:rPr>
                <w:spacing w:val="-3"/>
                <w:sz w:val="20"/>
              </w:rPr>
              <w:t xml:space="preserve"> </w:t>
            </w:r>
            <w:r w:rsidRPr="00150EDC">
              <w:rPr>
                <w:sz w:val="20"/>
              </w:rPr>
              <w:t>Social</w:t>
            </w:r>
            <w:r w:rsidRPr="00150EDC">
              <w:rPr>
                <w:spacing w:val="-5"/>
                <w:sz w:val="20"/>
              </w:rPr>
              <w:t xml:space="preserve"> </w:t>
            </w:r>
            <w:r w:rsidRPr="00150EDC">
              <w:rPr>
                <w:sz w:val="20"/>
              </w:rPr>
              <w:t>Care</w:t>
            </w:r>
            <w:r w:rsidRPr="00150EDC">
              <w:rPr>
                <w:spacing w:val="-8"/>
                <w:sz w:val="20"/>
              </w:rPr>
              <w:t xml:space="preserve"> </w:t>
            </w:r>
            <w:r w:rsidRPr="00150EDC">
              <w:rPr>
                <w:sz w:val="20"/>
              </w:rPr>
              <w:t>Act</w:t>
            </w:r>
            <w:r w:rsidRPr="00150EDC">
              <w:rPr>
                <w:spacing w:val="-3"/>
                <w:sz w:val="20"/>
              </w:rPr>
              <w:t xml:space="preserve"> </w:t>
            </w:r>
            <w:r w:rsidRPr="00150EDC">
              <w:rPr>
                <w:sz w:val="20"/>
              </w:rPr>
              <w:t>2008,</w:t>
            </w:r>
            <w:r w:rsidRPr="00150EDC">
              <w:rPr>
                <w:spacing w:val="-2"/>
                <w:sz w:val="20"/>
              </w:rPr>
              <w:t xml:space="preserve"> </w:t>
            </w:r>
            <w:r w:rsidRPr="00150EDC">
              <w:rPr>
                <w:spacing w:val="-5"/>
                <w:sz w:val="20"/>
              </w:rPr>
              <w:t>s37</w:t>
            </w:r>
          </w:p>
        </w:tc>
        <w:tc>
          <w:tcPr>
            <w:tcW w:w="7427" w:type="dxa"/>
          </w:tcPr>
          <w:p w14:paraId="68DDEDB3" w14:textId="77777777" w:rsidR="004C7180" w:rsidRPr="00150EDC" w:rsidRDefault="00CF0754">
            <w:pPr>
              <w:pStyle w:val="TableParagraph"/>
              <w:rPr>
                <w:sz w:val="20"/>
              </w:rPr>
            </w:pPr>
            <w:r w:rsidRPr="00150EDC">
              <w:rPr>
                <w:sz w:val="20"/>
              </w:rPr>
              <w:t>False</w:t>
            </w:r>
            <w:r w:rsidRPr="00150EDC">
              <w:rPr>
                <w:spacing w:val="-8"/>
                <w:sz w:val="20"/>
              </w:rPr>
              <w:t xml:space="preserve"> </w:t>
            </w:r>
            <w:r w:rsidRPr="00150EDC">
              <w:rPr>
                <w:sz w:val="20"/>
              </w:rPr>
              <w:t>statements</w:t>
            </w:r>
            <w:r w:rsidRPr="00150EDC">
              <w:rPr>
                <w:spacing w:val="-6"/>
                <w:sz w:val="20"/>
              </w:rPr>
              <w:t xml:space="preserve"> </w:t>
            </w:r>
            <w:r w:rsidRPr="00150EDC">
              <w:rPr>
                <w:sz w:val="20"/>
              </w:rPr>
              <w:t>in</w:t>
            </w:r>
            <w:r w:rsidRPr="00150EDC">
              <w:rPr>
                <w:spacing w:val="-7"/>
                <w:sz w:val="20"/>
              </w:rPr>
              <w:t xml:space="preserve"> </w:t>
            </w:r>
            <w:r w:rsidRPr="00150EDC">
              <w:rPr>
                <w:sz w:val="20"/>
              </w:rPr>
              <w:t>applications relating</w:t>
            </w:r>
            <w:r w:rsidRPr="00150EDC">
              <w:rPr>
                <w:spacing w:val="-2"/>
                <w:sz w:val="20"/>
              </w:rPr>
              <w:t xml:space="preserve"> </w:t>
            </w:r>
            <w:r w:rsidRPr="00150EDC">
              <w:rPr>
                <w:sz w:val="20"/>
              </w:rPr>
              <w:t>to</w:t>
            </w:r>
            <w:r w:rsidRPr="00150EDC">
              <w:rPr>
                <w:spacing w:val="-7"/>
                <w:sz w:val="20"/>
              </w:rPr>
              <w:t xml:space="preserve"> </w:t>
            </w:r>
            <w:r w:rsidRPr="00150EDC">
              <w:rPr>
                <w:spacing w:val="-2"/>
                <w:sz w:val="20"/>
              </w:rPr>
              <w:t>registration</w:t>
            </w:r>
          </w:p>
        </w:tc>
      </w:tr>
      <w:tr w:rsidR="004569EE" w:rsidRPr="007D3144" w14:paraId="324EFF3E" w14:textId="77777777">
        <w:trPr>
          <w:trHeight w:val="255"/>
        </w:trPr>
        <w:tc>
          <w:tcPr>
            <w:tcW w:w="6517" w:type="dxa"/>
          </w:tcPr>
          <w:p w14:paraId="5E93D918" w14:textId="77777777" w:rsidR="004C7180" w:rsidRPr="00150EDC" w:rsidRDefault="00CF0754">
            <w:pPr>
              <w:pStyle w:val="TableParagraph"/>
              <w:spacing w:before="28"/>
              <w:rPr>
                <w:sz w:val="20"/>
              </w:rPr>
            </w:pPr>
            <w:r w:rsidRPr="00150EDC">
              <w:rPr>
                <w:sz w:val="20"/>
              </w:rPr>
              <w:t>Health</w:t>
            </w:r>
            <w:r w:rsidRPr="00150EDC">
              <w:rPr>
                <w:spacing w:val="-8"/>
                <w:sz w:val="20"/>
              </w:rPr>
              <w:t xml:space="preserve"> </w:t>
            </w:r>
            <w:r w:rsidRPr="00150EDC">
              <w:rPr>
                <w:sz w:val="20"/>
              </w:rPr>
              <w:t>and</w:t>
            </w:r>
            <w:r w:rsidRPr="00150EDC">
              <w:rPr>
                <w:spacing w:val="-3"/>
                <w:sz w:val="20"/>
              </w:rPr>
              <w:t xml:space="preserve"> </w:t>
            </w:r>
            <w:r w:rsidRPr="00150EDC">
              <w:rPr>
                <w:sz w:val="20"/>
              </w:rPr>
              <w:t>Social</w:t>
            </w:r>
            <w:r w:rsidRPr="00150EDC">
              <w:rPr>
                <w:spacing w:val="-5"/>
                <w:sz w:val="20"/>
              </w:rPr>
              <w:t xml:space="preserve"> </w:t>
            </w:r>
            <w:r w:rsidRPr="00150EDC">
              <w:rPr>
                <w:sz w:val="20"/>
              </w:rPr>
              <w:t>Care</w:t>
            </w:r>
            <w:r w:rsidRPr="00150EDC">
              <w:rPr>
                <w:spacing w:val="-8"/>
                <w:sz w:val="20"/>
              </w:rPr>
              <w:t xml:space="preserve"> </w:t>
            </w:r>
            <w:r w:rsidRPr="00150EDC">
              <w:rPr>
                <w:sz w:val="20"/>
              </w:rPr>
              <w:t>Act</w:t>
            </w:r>
            <w:r w:rsidRPr="00150EDC">
              <w:rPr>
                <w:spacing w:val="-3"/>
                <w:sz w:val="20"/>
              </w:rPr>
              <w:t xml:space="preserve"> </w:t>
            </w:r>
            <w:r w:rsidRPr="00150EDC">
              <w:rPr>
                <w:sz w:val="20"/>
              </w:rPr>
              <w:t>2008,</w:t>
            </w:r>
            <w:r w:rsidRPr="00150EDC">
              <w:rPr>
                <w:spacing w:val="-2"/>
                <w:sz w:val="20"/>
              </w:rPr>
              <w:t xml:space="preserve"> </w:t>
            </w:r>
            <w:r w:rsidRPr="00150EDC">
              <w:rPr>
                <w:spacing w:val="-5"/>
                <w:sz w:val="20"/>
              </w:rPr>
              <w:t>s63</w:t>
            </w:r>
          </w:p>
        </w:tc>
        <w:tc>
          <w:tcPr>
            <w:tcW w:w="7427" w:type="dxa"/>
          </w:tcPr>
          <w:p w14:paraId="68FC4E26" w14:textId="77777777" w:rsidR="004C7180" w:rsidRPr="00150EDC" w:rsidRDefault="00CF0754">
            <w:pPr>
              <w:pStyle w:val="TableParagraph"/>
              <w:spacing w:before="28"/>
              <w:rPr>
                <w:sz w:val="20"/>
              </w:rPr>
            </w:pPr>
            <w:r w:rsidRPr="00150EDC">
              <w:rPr>
                <w:sz w:val="20"/>
              </w:rPr>
              <w:t>Obstructing</w:t>
            </w:r>
            <w:r w:rsidRPr="00150EDC">
              <w:rPr>
                <w:spacing w:val="-6"/>
                <w:sz w:val="20"/>
              </w:rPr>
              <w:t xml:space="preserve"> </w:t>
            </w:r>
            <w:r w:rsidRPr="00150EDC">
              <w:rPr>
                <w:sz w:val="20"/>
              </w:rPr>
              <w:t>or</w:t>
            </w:r>
            <w:r w:rsidRPr="00150EDC">
              <w:rPr>
                <w:spacing w:val="-4"/>
                <w:sz w:val="20"/>
              </w:rPr>
              <w:t xml:space="preserve"> </w:t>
            </w:r>
            <w:r w:rsidRPr="00150EDC">
              <w:rPr>
                <w:sz w:val="20"/>
              </w:rPr>
              <w:t>failing</w:t>
            </w:r>
            <w:r w:rsidRPr="00150EDC">
              <w:rPr>
                <w:spacing w:val="-4"/>
                <w:sz w:val="20"/>
              </w:rPr>
              <w:t xml:space="preserve"> </w:t>
            </w:r>
            <w:r w:rsidRPr="00150EDC">
              <w:rPr>
                <w:sz w:val="20"/>
              </w:rPr>
              <w:t>to</w:t>
            </w:r>
            <w:r w:rsidRPr="00150EDC">
              <w:rPr>
                <w:spacing w:val="-4"/>
                <w:sz w:val="20"/>
              </w:rPr>
              <w:t xml:space="preserve"> </w:t>
            </w:r>
            <w:r w:rsidRPr="00150EDC">
              <w:rPr>
                <w:sz w:val="20"/>
              </w:rPr>
              <w:t>comply</w:t>
            </w:r>
            <w:r w:rsidRPr="00150EDC">
              <w:rPr>
                <w:spacing w:val="-2"/>
                <w:sz w:val="20"/>
              </w:rPr>
              <w:t xml:space="preserve"> </w:t>
            </w:r>
            <w:r w:rsidRPr="00150EDC">
              <w:rPr>
                <w:sz w:val="20"/>
              </w:rPr>
              <w:t>with</w:t>
            </w:r>
            <w:r w:rsidRPr="00150EDC">
              <w:rPr>
                <w:spacing w:val="-1"/>
                <w:sz w:val="20"/>
              </w:rPr>
              <w:t xml:space="preserve"> </w:t>
            </w:r>
            <w:r w:rsidRPr="00150EDC">
              <w:rPr>
                <w:sz w:val="20"/>
              </w:rPr>
              <w:t>person</w:t>
            </w:r>
            <w:r w:rsidRPr="00150EDC">
              <w:rPr>
                <w:spacing w:val="-4"/>
                <w:sz w:val="20"/>
              </w:rPr>
              <w:t xml:space="preserve"> </w:t>
            </w:r>
            <w:r w:rsidRPr="00150EDC">
              <w:rPr>
                <w:sz w:val="20"/>
              </w:rPr>
              <w:t>exercising</w:t>
            </w:r>
            <w:r w:rsidRPr="00150EDC">
              <w:rPr>
                <w:spacing w:val="-4"/>
                <w:sz w:val="20"/>
              </w:rPr>
              <w:t xml:space="preserve"> </w:t>
            </w:r>
            <w:r w:rsidRPr="00150EDC">
              <w:rPr>
                <w:sz w:val="20"/>
              </w:rPr>
              <w:t>right</w:t>
            </w:r>
            <w:r w:rsidRPr="00150EDC">
              <w:rPr>
                <w:spacing w:val="-4"/>
                <w:sz w:val="20"/>
              </w:rPr>
              <w:t xml:space="preserve"> </w:t>
            </w:r>
            <w:r w:rsidRPr="00150EDC">
              <w:rPr>
                <w:sz w:val="20"/>
              </w:rPr>
              <w:t>of</w:t>
            </w:r>
            <w:r w:rsidRPr="00150EDC">
              <w:rPr>
                <w:spacing w:val="-3"/>
                <w:sz w:val="20"/>
              </w:rPr>
              <w:t xml:space="preserve"> </w:t>
            </w:r>
            <w:r w:rsidRPr="00150EDC">
              <w:rPr>
                <w:sz w:val="20"/>
              </w:rPr>
              <w:t>entry</w:t>
            </w:r>
            <w:r w:rsidRPr="00150EDC">
              <w:rPr>
                <w:spacing w:val="-4"/>
                <w:sz w:val="20"/>
              </w:rPr>
              <w:t xml:space="preserve"> </w:t>
            </w:r>
            <w:r w:rsidRPr="00150EDC">
              <w:rPr>
                <w:sz w:val="20"/>
              </w:rPr>
              <w:t>or</w:t>
            </w:r>
            <w:r w:rsidRPr="00150EDC">
              <w:rPr>
                <w:spacing w:val="-3"/>
                <w:sz w:val="20"/>
              </w:rPr>
              <w:t xml:space="preserve"> </w:t>
            </w:r>
            <w:r w:rsidRPr="00150EDC">
              <w:rPr>
                <w:spacing w:val="-2"/>
                <w:sz w:val="20"/>
              </w:rPr>
              <w:t>inspection</w:t>
            </w:r>
          </w:p>
        </w:tc>
      </w:tr>
      <w:tr w:rsidR="004569EE" w:rsidRPr="007D3144" w14:paraId="3FBF4BEA" w14:textId="77777777">
        <w:trPr>
          <w:trHeight w:val="255"/>
        </w:trPr>
        <w:tc>
          <w:tcPr>
            <w:tcW w:w="6517" w:type="dxa"/>
          </w:tcPr>
          <w:p w14:paraId="1BA2B588" w14:textId="77777777" w:rsidR="004C7180" w:rsidRPr="00150EDC" w:rsidRDefault="00CF0754">
            <w:pPr>
              <w:pStyle w:val="TableParagraph"/>
              <w:rPr>
                <w:sz w:val="20"/>
              </w:rPr>
            </w:pPr>
            <w:r w:rsidRPr="00150EDC">
              <w:rPr>
                <w:sz w:val="20"/>
              </w:rPr>
              <w:t>Health</w:t>
            </w:r>
            <w:r w:rsidRPr="00150EDC">
              <w:rPr>
                <w:spacing w:val="-8"/>
                <w:sz w:val="20"/>
              </w:rPr>
              <w:t xml:space="preserve"> </w:t>
            </w:r>
            <w:r w:rsidRPr="00150EDC">
              <w:rPr>
                <w:sz w:val="20"/>
              </w:rPr>
              <w:t>and</w:t>
            </w:r>
            <w:r w:rsidRPr="00150EDC">
              <w:rPr>
                <w:spacing w:val="-3"/>
                <w:sz w:val="20"/>
              </w:rPr>
              <w:t xml:space="preserve"> </w:t>
            </w:r>
            <w:r w:rsidRPr="00150EDC">
              <w:rPr>
                <w:sz w:val="20"/>
              </w:rPr>
              <w:t>Social</w:t>
            </w:r>
            <w:r w:rsidRPr="00150EDC">
              <w:rPr>
                <w:spacing w:val="-5"/>
                <w:sz w:val="20"/>
              </w:rPr>
              <w:t xml:space="preserve"> </w:t>
            </w:r>
            <w:r w:rsidRPr="00150EDC">
              <w:rPr>
                <w:sz w:val="20"/>
              </w:rPr>
              <w:t>Care</w:t>
            </w:r>
            <w:r w:rsidRPr="00150EDC">
              <w:rPr>
                <w:spacing w:val="-8"/>
                <w:sz w:val="20"/>
              </w:rPr>
              <w:t xml:space="preserve"> </w:t>
            </w:r>
            <w:r w:rsidRPr="00150EDC">
              <w:rPr>
                <w:sz w:val="20"/>
              </w:rPr>
              <w:t>Act</w:t>
            </w:r>
            <w:r w:rsidRPr="00150EDC">
              <w:rPr>
                <w:spacing w:val="-3"/>
                <w:sz w:val="20"/>
              </w:rPr>
              <w:t xml:space="preserve"> </w:t>
            </w:r>
            <w:r w:rsidRPr="00150EDC">
              <w:rPr>
                <w:sz w:val="20"/>
              </w:rPr>
              <w:t>2008,</w:t>
            </w:r>
            <w:r w:rsidRPr="00150EDC">
              <w:rPr>
                <w:spacing w:val="-2"/>
                <w:sz w:val="20"/>
              </w:rPr>
              <w:t xml:space="preserve"> </w:t>
            </w:r>
            <w:r w:rsidRPr="00150EDC">
              <w:rPr>
                <w:spacing w:val="-5"/>
                <w:sz w:val="20"/>
              </w:rPr>
              <w:t>s64</w:t>
            </w:r>
          </w:p>
        </w:tc>
        <w:tc>
          <w:tcPr>
            <w:tcW w:w="7427" w:type="dxa"/>
          </w:tcPr>
          <w:p w14:paraId="4C1AEB3C" w14:textId="77777777" w:rsidR="004C7180" w:rsidRPr="00150EDC" w:rsidRDefault="00CF0754">
            <w:pPr>
              <w:pStyle w:val="TableParagraph"/>
              <w:rPr>
                <w:sz w:val="20"/>
              </w:rPr>
            </w:pPr>
            <w:r w:rsidRPr="00150EDC">
              <w:rPr>
                <w:sz w:val="20"/>
              </w:rPr>
              <w:t>Failing</w:t>
            </w:r>
            <w:r w:rsidRPr="00150EDC">
              <w:rPr>
                <w:spacing w:val="-9"/>
                <w:sz w:val="20"/>
              </w:rPr>
              <w:t xml:space="preserve"> </w:t>
            </w:r>
            <w:r w:rsidRPr="00150EDC">
              <w:rPr>
                <w:sz w:val="20"/>
              </w:rPr>
              <w:t>to</w:t>
            </w:r>
            <w:r w:rsidRPr="00150EDC">
              <w:rPr>
                <w:spacing w:val="-6"/>
                <w:sz w:val="20"/>
              </w:rPr>
              <w:t xml:space="preserve"> </w:t>
            </w:r>
            <w:r w:rsidRPr="00150EDC">
              <w:rPr>
                <w:sz w:val="20"/>
              </w:rPr>
              <w:t>comply</w:t>
            </w:r>
            <w:r w:rsidRPr="00150EDC">
              <w:rPr>
                <w:spacing w:val="-4"/>
                <w:sz w:val="20"/>
              </w:rPr>
              <w:t xml:space="preserve"> </w:t>
            </w:r>
            <w:r w:rsidRPr="00150EDC">
              <w:rPr>
                <w:sz w:val="20"/>
              </w:rPr>
              <w:t>with</w:t>
            </w:r>
            <w:r w:rsidRPr="00150EDC">
              <w:rPr>
                <w:spacing w:val="-2"/>
                <w:sz w:val="20"/>
              </w:rPr>
              <w:t xml:space="preserve"> </w:t>
            </w:r>
            <w:r w:rsidRPr="00150EDC">
              <w:rPr>
                <w:sz w:val="20"/>
              </w:rPr>
              <w:t>requirement</w:t>
            </w:r>
            <w:r w:rsidRPr="00150EDC">
              <w:rPr>
                <w:spacing w:val="-6"/>
                <w:sz w:val="20"/>
              </w:rPr>
              <w:t xml:space="preserve"> </w:t>
            </w:r>
            <w:r w:rsidRPr="00150EDC">
              <w:rPr>
                <w:sz w:val="20"/>
              </w:rPr>
              <w:t>to</w:t>
            </w:r>
            <w:r w:rsidRPr="00150EDC">
              <w:rPr>
                <w:spacing w:val="-2"/>
                <w:sz w:val="20"/>
              </w:rPr>
              <w:t xml:space="preserve"> </w:t>
            </w:r>
            <w:r w:rsidRPr="00150EDC">
              <w:rPr>
                <w:sz w:val="20"/>
              </w:rPr>
              <w:t>provide</w:t>
            </w:r>
            <w:r w:rsidRPr="00150EDC">
              <w:rPr>
                <w:spacing w:val="-6"/>
                <w:sz w:val="20"/>
              </w:rPr>
              <w:t xml:space="preserve"> </w:t>
            </w:r>
            <w:r w:rsidRPr="00150EDC">
              <w:rPr>
                <w:sz w:val="20"/>
              </w:rPr>
              <w:t>documents</w:t>
            </w:r>
            <w:r w:rsidRPr="00150EDC">
              <w:rPr>
                <w:spacing w:val="4"/>
                <w:sz w:val="20"/>
              </w:rPr>
              <w:t xml:space="preserve"> </w:t>
            </w:r>
            <w:r w:rsidRPr="00150EDC">
              <w:rPr>
                <w:sz w:val="20"/>
              </w:rPr>
              <w:t>and</w:t>
            </w:r>
            <w:r w:rsidRPr="00150EDC">
              <w:rPr>
                <w:spacing w:val="-6"/>
                <w:sz w:val="20"/>
              </w:rPr>
              <w:t xml:space="preserve"> </w:t>
            </w:r>
            <w:r w:rsidRPr="00150EDC">
              <w:rPr>
                <w:sz w:val="20"/>
              </w:rPr>
              <w:t>information,</w:t>
            </w:r>
            <w:r w:rsidRPr="00150EDC">
              <w:rPr>
                <w:spacing w:val="-6"/>
                <w:sz w:val="20"/>
              </w:rPr>
              <w:t xml:space="preserve"> </w:t>
            </w:r>
            <w:r w:rsidRPr="00150EDC">
              <w:rPr>
                <w:spacing w:val="-5"/>
                <w:sz w:val="20"/>
              </w:rPr>
              <w:t>etc</w:t>
            </w:r>
          </w:p>
        </w:tc>
      </w:tr>
      <w:tr w:rsidR="004569EE" w:rsidRPr="007D3144" w14:paraId="4C9A9E5E" w14:textId="77777777">
        <w:trPr>
          <w:trHeight w:val="255"/>
        </w:trPr>
        <w:tc>
          <w:tcPr>
            <w:tcW w:w="6517" w:type="dxa"/>
          </w:tcPr>
          <w:p w14:paraId="28D03829" w14:textId="77777777" w:rsidR="004C7180" w:rsidRPr="00150EDC" w:rsidRDefault="00CF0754">
            <w:pPr>
              <w:pStyle w:val="TableParagraph"/>
              <w:rPr>
                <w:sz w:val="20"/>
              </w:rPr>
            </w:pPr>
            <w:r w:rsidRPr="00150EDC">
              <w:rPr>
                <w:sz w:val="20"/>
              </w:rPr>
              <w:t>Health</w:t>
            </w:r>
            <w:r w:rsidRPr="00150EDC">
              <w:rPr>
                <w:spacing w:val="-8"/>
                <w:sz w:val="20"/>
              </w:rPr>
              <w:t xml:space="preserve"> </w:t>
            </w:r>
            <w:r w:rsidRPr="00150EDC">
              <w:rPr>
                <w:sz w:val="20"/>
              </w:rPr>
              <w:t>and</w:t>
            </w:r>
            <w:r w:rsidRPr="00150EDC">
              <w:rPr>
                <w:spacing w:val="-3"/>
                <w:sz w:val="20"/>
              </w:rPr>
              <w:t xml:space="preserve"> </w:t>
            </w:r>
            <w:r w:rsidRPr="00150EDC">
              <w:rPr>
                <w:sz w:val="20"/>
              </w:rPr>
              <w:t>Social</w:t>
            </w:r>
            <w:r w:rsidRPr="00150EDC">
              <w:rPr>
                <w:spacing w:val="-5"/>
                <w:sz w:val="20"/>
              </w:rPr>
              <w:t xml:space="preserve"> </w:t>
            </w:r>
            <w:r w:rsidRPr="00150EDC">
              <w:rPr>
                <w:sz w:val="20"/>
              </w:rPr>
              <w:t>Care</w:t>
            </w:r>
            <w:r w:rsidRPr="00150EDC">
              <w:rPr>
                <w:spacing w:val="-8"/>
                <w:sz w:val="20"/>
              </w:rPr>
              <w:t xml:space="preserve"> </w:t>
            </w:r>
            <w:r w:rsidRPr="00150EDC">
              <w:rPr>
                <w:sz w:val="20"/>
              </w:rPr>
              <w:t>Act</w:t>
            </w:r>
            <w:r w:rsidRPr="00150EDC">
              <w:rPr>
                <w:spacing w:val="-3"/>
                <w:sz w:val="20"/>
              </w:rPr>
              <w:t xml:space="preserve"> </w:t>
            </w:r>
            <w:r w:rsidRPr="00150EDC">
              <w:rPr>
                <w:sz w:val="20"/>
              </w:rPr>
              <w:t>2008,</w:t>
            </w:r>
            <w:r w:rsidRPr="00150EDC">
              <w:rPr>
                <w:spacing w:val="-2"/>
                <w:sz w:val="20"/>
              </w:rPr>
              <w:t xml:space="preserve"> </w:t>
            </w:r>
            <w:r w:rsidRPr="00150EDC">
              <w:rPr>
                <w:spacing w:val="-5"/>
                <w:sz w:val="20"/>
              </w:rPr>
              <w:t>s65</w:t>
            </w:r>
          </w:p>
        </w:tc>
        <w:tc>
          <w:tcPr>
            <w:tcW w:w="7427" w:type="dxa"/>
          </w:tcPr>
          <w:p w14:paraId="570742CD" w14:textId="77777777" w:rsidR="004C7180" w:rsidRPr="00150EDC" w:rsidRDefault="00CF0754">
            <w:pPr>
              <w:pStyle w:val="TableParagraph"/>
              <w:rPr>
                <w:sz w:val="20"/>
              </w:rPr>
            </w:pPr>
            <w:r w:rsidRPr="00150EDC">
              <w:rPr>
                <w:sz w:val="20"/>
              </w:rPr>
              <w:t>Failing</w:t>
            </w:r>
            <w:r w:rsidRPr="00150EDC">
              <w:rPr>
                <w:spacing w:val="-7"/>
                <w:sz w:val="20"/>
              </w:rPr>
              <w:t xml:space="preserve"> </w:t>
            </w:r>
            <w:r w:rsidRPr="00150EDC">
              <w:rPr>
                <w:sz w:val="20"/>
              </w:rPr>
              <w:t>to</w:t>
            </w:r>
            <w:r w:rsidRPr="00150EDC">
              <w:rPr>
                <w:spacing w:val="-1"/>
                <w:sz w:val="20"/>
              </w:rPr>
              <w:t xml:space="preserve"> </w:t>
            </w:r>
            <w:r w:rsidRPr="00150EDC">
              <w:rPr>
                <w:sz w:val="20"/>
              </w:rPr>
              <w:t>provide</w:t>
            </w:r>
            <w:r w:rsidRPr="00150EDC">
              <w:rPr>
                <w:spacing w:val="-6"/>
                <w:sz w:val="20"/>
              </w:rPr>
              <w:t xml:space="preserve"> </w:t>
            </w:r>
            <w:r w:rsidRPr="00150EDC">
              <w:rPr>
                <w:sz w:val="20"/>
              </w:rPr>
              <w:t>an</w:t>
            </w:r>
            <w:r w:rsidRPr="00150EDC">
              <w:rPr>
                <w:spacing w:val="-2"/>
                <w:sz w:val="20"/>
              </w:rPr>
              <w:t xml:space="preserve"> </w:t>
            </w:r>
            <w:r w:rsidRPr="00150EDC">
              <w:rPr>
                <w:sz w:val="20"/>
              </w:rPr>
              <w:t>explanation</w:t>
            </w:r>
            <w:r w:rsidRPr="00150EDC">
              <w:rPr>
                <w:spacing w:val="-6"/>
                <w:sz w:val="20"/>
              </w:rPr>
              <w:t xml:space="preserve"> </w:t>
            </w:r>
            <w:r w:rsidRPr="00150EDC">
              <w:rPr>
                <w:sz w:val="20"/>
              </w:rPr>
              <w:t>of</w:t>
            </w:r>
            <w:r w:rsidRPr="00150EDC">
              <w:rPr>
                <w:spacing w:val="-1"/>
                <w:sz w:val="20"/>
              </w:rPr>
              <w:t xml:space="preserve"> </w:t>
            </w:r>
            <w:r w:rsidRPr="00150EDC">
              <w:rPr>
                <w:sz w:val="20"/>
              </w:rPr>
              <w:t>any</w:t>
            </w:r>
            <w:r w:rsidRPr="00150EDC">
              <w:rPr>
                <w:spacing w:val="-5"/>
                <w:sz w:val="20"/>
              </w:rPr>
              <w:t xml:space="preserve"> </w:t>
            </w:r>
            <w:r w:rsidRPr="00150EDC">
              <w:rPr>
                <w:sz w:val="20"/>
              </w:rPr>
              <w:t>relevant</w:t>
            </w:r>
            <w:r w:rsidRPr="00150EDC">
              <w:rPr>
                <w:spacing w:val="-1"/>
                <w:sz w:val="20"/>
              </w:rPr>
              <w:t xml:space="preserve"> </w:t>
            </w:r>
            <w:r w:rsidRPr="00150EDC">
              <w:rPr>
                <w:sz w:val="20"/>
              </w:rPr>
              <w:t>matter</w:t>
            </w:r>
            <w:r w:rsidRPr="00150EDC">
              <w:rPr>
                <w:spacing w:val="-6"/>
                <w:sz w:val="20"/>
              </w:rPr>
              <w:t xml:space="preserve"> </w:t>
            </w:r>
            <w:r w:rsidRPr="00150EDC">
              <w:rPr>
                <w:sz w:val="20"/>
              </w:rPr>
              <w:t>to</w:t>
            </w:r>
            <w:r w:rsidRPr="00150EDC">
              <w:rPr>
                <w:spacing w:val="-1"/>
                <w:sz w:val="20"/>
              </w:rPr>
              <w:t xml:space="preserve"> </w:t>
            </w:r>
            <w:r w:rsidRPr="00150EDC">
              <w:rPr>
                <w:sz w:val="20"/>
              </w:rPr>
              <w:t>the</w:t>
            </w:r>
            <w:r w:rsidRPr="00150EDC">
              <w:rPr>
                <w:spacing w:val="-6"/>
                <w:sz w:val="20"/>
              </w:rPr>
              <w:t xml:space="preserve"> </w:t>
            </w:r>
            <w:r w:rsidRPr="00150EDC">
              <w:rPr>
                <w:spacing w:val="-2"/>
                <w:sz w:val="20"/>
              </w:rPr>
              <w:t>Commission</w:t>
            </w:r>
          </w:p>
        </w:tc>
      </w:tr>
      <w:tr w:rsidR="004569EE" w:rsidRPr="007D3144" w14:paraId="1397FA08" w14:textId="77777777">
        <w:trPr>
          <w:trHeight w:val="255"/>
        </w:trPr>
        <w:tc>
          <w:tcPr>
            <w:tcW w:w="6517" w:type="dxa"/>
          </w:tcPr>
          <w:p w14:paraId="62BA6B91" w14:textId="77777777" w:rsidR="004C7180" w:rsidRPr="00150EDC" w:rsidRDefault="00CF0754">
            <w:pPr>
              <w:pStyle w:val="TableParagraph"/>
              <w:rPr>
                <w:sz w:val="20"/>
              </w:rPr>
            </w:pPr>
            <w:r w:rsidRPr="00150EDC">
              <w:rPr>
                <w:sz w:val="20"/>
              </w:rPr>
              <w:t>Health</w:t>
            </w:r>
            <w:r w:rsidRPr="00150EDC">
              <w:rPr>
                <w:spacing w:val="-8"/>
                <w:sz w:val="20"/>
              </w:rPr>
              <w:t xml:space="preserve"> </w:t>
            </w:r>
            <w:r w:rsidRPr="00150EDC">
              <w:rPr>
                <w:sz w:val="20"/>
              </w:rPr>
              <w:t>and</w:t>
            </w:r>
            <w:r w:rsidRPr="00150EDC">
              <w:rPr>
                <w:spacing w:val="-3"/>
                <w:sz w:val="20"/>
              </w:rPr>
              <w:t xml:space="preserve"> </w:t>
            </w:r>
            <w:r w:rsidRPr="00150EDC">
              <w:rPr>
                <w:sz w:val="20"/>
              </w:rPr>
              <w:t>Social</w:t>
            </w:r>
            <w:r w:rsidRPr="00150EDC">
              <w:rPr>
                <w:spacing w:val="-5"/>
                <w:sz w:val="20"/>
              </w:rPr>
              <w:t xml:space="preserve"> </w:t>
            </w:r>
            <w:r w:rsidRPr="00150EDC">
              <w:rPr>
                <w:sz w:val="20"/>
              </w:rPr>
              <w:t>Care</w:t>
            </w:r>
            <w:r w:rsidRPr="00150EDC">
              <w:rPr>
                <w:spacing w:val="-8"/>
                <w:sz w:val="20"/>
              </w:rPr>
              <w:t xml:space="preserve"> </w:t>
            </w:r>
            <w:r w:rsidRPr="00150EDC">
              <w:rPr>
                <w:sz w:val="20"/>
              </w:rPr>
              <w:t>Act</w:t>
            </w:r>
            <w:r w:rsidRPr="00150EDC">
              <w:rPr>
                <w:spacing w:val="-3"/>
                <w:sz w:val="20"/>
              </w:rPr>
              <w:t xml:space="preserve"> </w:t>
            </w:r>
            <w:r w:rsidRPr="00150EDC">
              <w:rPr>
                <w:sz w:val="20"/>
              </w:rPr>
              <w:t>2008,</w:t>
            </w:r>
            <w:r w:rsidRPr="00150EDC">
              <w:rPr>
                <w:spacing w:val="-2"/>
                <w:sz w:val="20"/>
              </w:rPr>
              <w:t xml:space="preserve"> </w:t>
            </w:r>
            <w:r w:rsidRPr="00150EDC">
              <w:rPr>
                <w:spacing w:val="-5"/>
                <w:sz w:val="20"/>
              </w:rPr>
              <w:t>s76</w:t>
            </w:r>
          </w:p>
        </w:tc>
        <w:tc>
          <w:tcPr>
            <w:tcW w:w="7427" w:type="dxa"/>
          </w:tcPr>
          <w:p w14:paraId="24BD7757" w14:textId="77777777" w:rsidR="004C7180" w:rsidRPr="00150EDC" w:rsidRDefault="00CF0754">
            <w:pPr>
              <w:pStyle w:val="TableParagraph"/>
              <w:rPr>
                <w:sz w:val="20"/>
              </w:rPr>
            </w:pPr>
            <w:r w:rsidRPr="00150EDC">
              <w:rPr>
                <w:sz w:val="20"/>
              </w:rPr>
              <w:t>Disclosure</w:t>
            </w:r>
            <w:r w:rsidRPr="00150EDC">
              <w:rPr>
                <w:spacing w:val="-9"/>
                <w:sz w:val="20"/>
              </w:rPr>
              <w:t xml:space="preserve"> </w:t>
            </w:r>
            <w:r w:rsidRPr="00150EDC">
              <w:rPr>
                <w:sz w:val="20"/>
              </w:rPr>
              <w:t>of</w:t>
            </w:r>
            <w:r w:rsidRPr="00150EDC">
              <w:rPr>
                <w:spacing w:val="-8"/>
                <w:sz w:val="20"/>
              </w:rPr>
              <w:t xml:space="preserve"> </w:t>
            </w:r>
            <w:r w:rsidRPr="00150EDC">
              <w:rPr>
                <w:sz w:val="20"/>
              </w:rPr>
              <w:t>confidential</w:t>
            </w:r>
            <w:r w:rsidRPr="00150EDC">
              <w:rPr>
                <w:spacing w:val="-7"/>
                <w:sz w:val="20"/>
              </w:rPr>
              <w:t xml:space="preserve"> </w:t>
            </w:r>
            <w:r w:rsidRPr="00150EDC">
              <w:rPr>
                <w:sz w:val="20"/>
              </w:rPr>
              <w:t>personal</w:t>
            </w:r>
            <w:r w:rsidRPr="00150EDC">
              <w:rPr>
                <w:spacing w:val="-7"/>
                <w:sz w:val="20"/>
              </w:rPr>
              <w:t xml:space="preserve"> </w:t>
            </w:r>
            <w:r w:rsidRPr="00150EDC">
              <w:rPr>
                <w:spacing w:val="-2"/>
                <w:sz w:val="20"/>
              </w:rPr>
              <w:t>information</w:t>
            </w:r>
          </w:p>
        </w:tc>
      </w:tr>
      <w:tr w:rsidR="004569EE" w:rsidRPr="007D3144" w14:paraId="3D04A148" w14:textId="77777777">
        <w:trPr>
          <w:trHeight w:val="255"/>
        </w:trPr>
        <w:tc>
          <w:tcPr>
            <w:tcW w:w="6517" w:type="dxa"/>
          </w:tcPr>
          <w:p w14:paraId="485FCBF0" w14:textId="77777777" w:rsidR="004C7180" w:rsidRPr="00150EDC" w:rsidRDefault="00CF0754">
            <w:pPr>
              <w:pStyle w:val="TableParagraph"/>
              <w:spacing w:before="28"/>
              <w:rPr>
                <w:sz w:val="20"/>
              </w:rPr>
            </w:pPr>
            <w:r w:rsidRPr="00150EDC">
              <w:rPr>
                <w:sz w:val="20"/>
              </w:rPr>
              <w:t>Health</w:t>
            </w:r>
            <w:r w:rsidRPr="00150EDC">
              <w:rPr>
                <w:spacing w:val="-8"/>
                <w:sz w:val="20"/>
              </w:rPr>
              <w:t xml:space="preserve"> </w:t>
            </w:r>
            <w:r w:rsidRPr="00150EDC">
              <w:rPr>
                <w:sz w:val="20"/>
              </w:rPr>
              <w:t>and</w:t>
            </w:r>
            <w:r w:rsidRPr="00150EDC">
              <w:rPr>
                <w:spacing w:val="-3"/>
                <w:sz w:val="20"/>
              </w:rPr>
              <w:t xml:space="preserve"> </w:t>
            </w:r>
            <w:r w:rsidRPr="00150EDC">
              <w:rPr>
                <w:sz w:val="20"/>
              </w:rPr>
              <w:t>Social</w:t>
            </w:r>
            <w:r w:rsidRPr="00150EDC">
              <w:rPr>
                <w:spacing w:val="-5"/>
                <w:sz w:val="20"/>
              </w:rPr>
              <w:t xml:space="preserve"> </w:t>
            </w:r>
            <w:r w:rsidRPr="00150EDC">
              <w:rPr>
                <w:sz w:val="20"/>
              </w:rPr>
              <w:t>Care</w:t>
            </w:r>
            <w:r w:rsidRPr="00150EDC">
              <w:rPr>
                <w:spacing w:val="-8"/>
                <w:sz w:val="20"/>
              </w:rPr>
              <w:t xml:space="preserve"> </w:t>
            </w:r>
            <w:r w:rsidRPr="00150EDC">
              <w:rPr>
                <w:sz w:val="20"/>
              </w:rPr>
              <w:t>Act</w:t>
            </w:r>
            <w:r w:rsidRPr="00150EDC">
              <w:rPr>
                <w:spacing w:val="-3"/>
                <w:sz w:val="20"/>
              </w:rPr>
              <w:t xml:space="preserve"> </w:t>
            </w:r>
            <w:r w:rsidRPr="00150EDC">
              <w:rPr>
                <w:sz w:val="20"/>
              </w:rPr>
              <w:t>2008,</w:t>
            </w:r>
            <w:r w:rsidRPr="00150EDC">
              <w:rPr>
                <w:spacing w:val="-2"/>
                <w:sz w:val="20"/>
              </w:rPr>
              <w:t xml:space="preserve"> </w:t>
            </w:r>
            <w:r w:rsidRPr="00150EDC">
              <w:rPr>
                <w:spacing w:val="-5"/>
                <w:sz w:val="20"/>
              </w:rPr>
              <w:t>s10</w:t>
            </w:r>
          </w:p>
        </w:tc>
        <w:tc>
          <w:tcPr>
            <w:tcW w:w="7427" w:type="dxa"/>
          </w:tcPr>
          <w:p w14:paraId="1E1F9786" w14:textId="77777777" w:rsidR="004C7180" w:rsidRPr="00150EDC" w:rsidRDefault="00CF0754">
            <w:pPr>
              <w:pStyle w:val="TableParagraph"/>
              <w:spacing w:before="28"/>
              <w:rPr>
                <w:sz w:val="20"/>
              </w:rPr>
            </w:pPr>
            <w:r w:rsidRPr="00150EDC">
              <w:rPr>
                <w:sz w:val="20"/>
              </w:rPr>
              <w:t>Carrying</w:t>
            </w:r>
            <w:r w:rsidRPr="00150EDC">
              <w:rPr>
                <w:spacing w:val="-2"/>
                <w:sz w:val="20"/>
              </w:rPr>
              <w:t xml:space="preserve"> </w:t>
            </w:r>
            <w:r w:rsidRPr="00150EDC">
              <w:rPr>
                <w:sz w:val="20"/>
              </w:rPr>
              <w:t>on</w:t>
            </w:r>
            <w:r w:rsidRPr="00150EDC">
              <w:rPr>
                <w:spacing w:val="-6"/>
                <w:sz w:val="20"/>
              </w:rPr>
              <w:t xml:space="preserve"> </w:t>
            </w:r>
            <w:r w:rsidRPr="00150EDC">
              <w:rPr>
                <w:sz w:val="20"/>
              </w:rPr>
              <w:t>regulated</w:t>
            </w:r>
            <w:r w:rsidRPr="00150EDC">
              <w:rPr>
                <w:spacing w:val="-6"/>
                <w:sz w:val="20"/>
              </w:rPr>
              <w:t xml:space="preserve"> </w:t>
            </w:r>
            <w:r w:rsidRPr="00150EDC">
              <w:rPr>
                <w:sz w:val="20"/>
              </w:rPr>
              <w:t>activity</w:t>
            </w:r>
            <w:r w:rsidRPr="00150EDC">
              <w:rPr>
                <w:spacing w:val="-5"/>
                <w:sz w:val="20"/>
              </w:rPr>
              <w:t xml:space="preserve"> </w:t>
            </w:r>
            <w:r w:rsidRPr="00150EDC">
              <w:rPr>
                <w:sz w:val="20"/>
              </w:rPr>
              <w:t>without</w:t>
            </w:r>
            <w:r w:rsidRPr="00150EDC">
              <w:rPr>
                <w:spacing w:val="-6"/>
                <w:sz w:val="20"/>
              </w:rPr>
              <w:t xml:space="preserve"> </w:t>
            </w:r>
            <w:r w:rsidRPr="00150EDC">
              <w:rPr>
                <w:sz w:val="20"/>
              </w:rPr>
              <w:t>being</w:t>
            </w:r>
            <w:r w:rsidRPr="00150EDC">
              <w:rPr>
                <w:spacing w:val="-6"/>
                <w:sz w:val="20"/>
              </w:rPr>
              <w:t xml:space="preserve"> </w:t>
            </w:r>
            <w:r w:rsidRPr="00150EDC">
              <w:rPr>
                <w:spacing w:val="-2"/>
                <w:sz w:val="20"/>
              </w:rPr>
              <w:t>registered</w:t>
            </w:r>
          </w:p>
        </w:tc>
      </w:tr>
    </w:tbl>
    <w:p w14:paraId="75AC2A6F" w14:textId="77777777" w:rsidR="004C7180" w:rsidRPr="00150EDC" w:rsidRDefault="004C7180">
      <w:pPr>
        <w:rPr>
          <w:sz w:val="20"/>
        </w:rPr>
        <w:sectPr w:rsidR="004C7180" w:rsidRPr="00150EDC">
          <w:footerReference w:type="default" r:id="rId133"/>
          <w:pgSz w:w="16840" w:h="11910" w:orient="landscape"/>
          <w:pgMar w:top="1340" w:right="1320" w:bottom="280" w:left="1340" w:header="0" w:footer="0" w:gutter="0"/>
          <w:cols w:space="720"/>
        </w:sectPr>
      </w:pPr>
    </w:p>
    <w:p w14:paraId="68E4D803" w14:textId="77777777" w:rsidR="004C7180" w:rsidRPr="00150EDC" w:rsidRDefault="004C7180">
      <w:pPr>
        <w:pStyle w:val="BodyText"/>
        <w:spacing w:before="3"/>
        <w:rPr>
          <w:sz w:val="8"/>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517"/>
        <w:gridCol w:w="7427"/>
      </w:tblGrid>
      <w:tr w:rsidR="004569EE" w:rsidRPr="007D3144" w14:paraId="3DABD860" w14:textId="77777777">
        <w:trPr>
          <w:trHeight w:val="254"/>
        </w:trPr>
        <w:tc>
          <w:tcPr>
            <w:tcW w:w="6517" w:type="dxa"/>
          </w:tcPr>
          <w:p w14:paraId="2E3FD650" w14:textId="77777777" w:rsidR="004C7180" w:rsidRPr="00150EDC" w:rsidRDefault="00CF0754">
            <w:pPr>
              <w:pStyle w:val="TableParagraph"/>
              <w:rPr>
                <w:sz w:val="20"/>
              </w:rPr>
            </w:pPr>
            <w:r w:rsidRPr="00150EDC">
              <w:rPr>
                <w:sz w:val="20"/>
              </w:rPr>
              <w:t>Hijacking</w:t>
            </w:r>
            <w:r w:rsidRPr="00150EDC">
              <w:rPr>
                <w:spacing w:val="-9"/>
                <w:sz w:val="20"/>
              </w:rPr>
              <w:t xml:space="preserve"> </w:t>
            </w:r>
            <w:r w:rsidRPr="00150EDC">
              <w:rPr>
                <w:sz w:val="20"/>
              </w:rPr>
              <w:t>Act</w:t>
            </w:r>
            <w:r w:rsidRPr="00150EDC">
              <w:rPr>
                <w:spacing w:val="-8"/>
                <w:sz w:val="20"/>
              </w:rPr>
              <w:t xml:space="preserve"> </w:t>
            </w:r>
            <w:r w:rsidRPr="00150EDC">
              <w:rPr>
                <w:sz w:val="20"/>
              </w:rPr>
              <w:t>1971,</w:t>
            </w:r>
            <w:r w:rsidRPr="00150EDC">
              <w:rPr>
                <w:spacing w:val="-3"/>
                <w:sz w:val="20"/>
              </w:rPr>
              <w:t xml:space="preserve"> </w:t>
            </w:r>
            <w:r w:rsidRPr="00150EDC">
              <w:rPr>
                <w:spacing w:val="-5"/>
                <w:sz w:val="20"/>
              </w:rPr>
              <w:t>s1</w:t>
            </w:r>
          </w:p>
        </w:tc>
        <w:tc>
          <w:tcPr>
            <w:tcW w:w="7427" w:type="dxa"/>
          </w:tcPr>
          <w:p w14:paraId="620D9221" w14:textId="77777777" w:rsidR="004C7180" w:rsidRPr="00150EDC" w:rsidRDefault="00CF0754">
            <w:pPr>
              <w:pStyle w:val="TableParagraph"/>
              <w:rPr>
                <w:sz w:val="20"/>
              </w:rPr>
            </w:pPr>
            <w:r w:rsidRPr="00150EDC">
              <w:rPr>
                <w:spacing w:val="-2"/>
                <w:sz w:val="20"/>
              </w:rPr>
              <w:t>Hijacking</w:t>
            </w:r>
          </w:p>
        </w:tc>
      </w:tr>
      <w:tr w:rsidR="004569EE" w:rsidRPr="007D3144" w14:paraId="6774AFA2" w14:textId="77777777">
        <w:trPr>
          <w:trHeight w:val="255"/>
        </w:trPr>
        <w:tc>
          <w:tcPr>
            <w:tcW w:w="6517" w:type="dxa"/>
          </w:tcPr>
          <w:p w14:paraId="0498B34B" w14:textId="77777777" w:rsidR="004C7180" w:rsidRPr="00150EDC" w:rsidRDefault="00CF0754">
            <w:pPr>
              <w:pStyle w:val="TableParagraph"/>
              <w:spacing w:before="28"/>
              <w:rPr>
                <w:sz w:val="20"/>
              </w:rPr>
            </w:pPr>
            <w:r w:rsidRPr="00150EDC">
              <w:rPr>
                <w:sz w:val="20"/>
              </w:rPr>
              <w:t>Homosexual</w:t>
            </w:r>
            <w:r w:rsidRPr="00150EDC">
              <w:rPr>
                <w:spacing w:val="-3"/>
                <w:sz w:val="20"/>
              </w:rPr>
              <w:t xml:space="preserve"> </w:t>
            </w:r>
            <w:r w:rsidRPr="00150EDC">
              <w:rPr>
                <w:sz w:val="20"/>
              </w:rPr>
              <w:t>Offences</w:t>
            </w:r>
            <w:r w:rsidRPr="00150EDC">
              <w:rPr>
                <w:spacing w:val="-7"/>
                <w:sz w:val="20"/>
              </w:rPr>
              <w:t xml:space="preserve"> </w:t>
            </w:r>
            <w:r w:rsidRPr="00150EDC">
              <w:rPr>
                <w:sz w:val="20"/>
              </w:rPr>
              <w:t>(Northern</w:t>
            </w:r>
            <w:r w:rsidRPr="00150EDC">
              <w:rPr>
                <w:spacing w:val="-8"/>
                <w:sz w:val="20"/>
              </w:rPr>
              <w:t xml:space="preserve"> </w:t>
            </w:r>
            <w:r w:rsidRPr="00150EDC">
              <w:rPr>
                <w:sz w:val="20"/>
              </w:rPr>
              <w:t>Ireland)</w:t>
            </w:r>
            <w:r w:rsidRPr="00150EDC">
              <w:rPr>
                <w:spacing w:val="-4"/>
                <w:sz w:val="20"/>
              </w:rPr>
              <w:t xml:space="preserve"> </w:t>
            </w:r>
            <w:r w:rsidRPr="00150EDC">
              <w:rPr>
                <w:sz w:val="20"/>
              </w:rPr>
              <w:t>Order</w:t>
            </w:r>
            <w:r w:rsidRPr="00150EDC">
              <w:rPr>
                <w:spacing w:val="-8"/>
                <w:sz w:val="20"/>
              </w:rPr>
              <w:t xml:space="preserve"> </w:t>
            </w:r>
            <w:r w:rsidRPr="00150EDC">
              <w:rPr>
                <w:sz w:val="20"/>
              </w:rPr>
              <w:t>1982,</w:t>
            </w:r>
            <w:r w:rsidRPr="00150EDC">
              <w:rPr>
                <w:spacing w:val="-7"/>
                <w:sz w:val="20"/>
              </w:rPr>
              <w:t xml:space="preserve"> </w:t>
            </w:r>
            <w:r w:rsidRPr="00150EDC">
              <w:rPr>
                <w:sz w:val="20"/>
              </w:rPr>
              <w:t>Art</w:t>
            </w:r>
            <w:r w:rsidRPr="00150EDC">
              <w:rPr>
                <w:spacing w:val="-4"/>
                <w:sz w:val="20"/>
              </w:rPr>
              <w:t xml:space="preserve"> </w:t>
            </w:r>
            <w:r w:rsidRPr="00150EDC">
              <w:rPr>
                <w:spacing w:val="-10"/>
                <w:sz w:val="20"/>
              </w:rPr>
              <w:t>7</w:t>
            </w:r>
          </w:p>
        </w:tc>
        <w:tc>
          <w:tcPr>
            <w:tcW w:w="7427" w:type="dxa"/>
          </w:tcPr>
          <w:p w14:paraId="7123049B" w14:textId="77777777" w:rsidR="004C7180" w:rsidRPr="00150EDC" w:rsidRDefault="00CF0754">
            <w:pPr>
              <w:pStyle w:val="TableParagraph"/>
              <w:spacing w:before="28"/>
              <w:rPr>
                <w:sz w:val="20"/>
              </w:rPr>
            </w:pPr>
            <w:r w:rsidRPr="00150EDC">
              <w:rPr>
                <w:sz w:val="20"/>
              </w:rPr>
              <w:t>Procuring</w:t>
            </w:r>
            <w:r w:rsidRPr="00150EDC">
              <w:rPr>
                <w:spacing w:val="-4"/>
                <w:sz w:val="20"/>
              </w:rPr>
              <w:t xml:space="preserve"> </w:t>
            </w:r>
            <w:r w:rsidRPr="00150EDC">
              <w:rPr>
                <w:sz w:val="20"/>
              </w:rPr>
              <w:t>others</w:t>
            </w:r>
            <w:r w:rsidRPr="00150EDC">
              <w:rPr>
                <w:spacing w:val="-2"/>
                <w:sz w:val="20"/>
              </w:rPr>
              <w:t xml:space="preserve"> </w:t>
            </w:r>
            <w:r w:rsidRPr="00150EDC">
              <w:rPr>
                <w:sz w:val="20"/>
              </w:rPr>
              <w:t>to</w:t>
            </w:r>
            <w:r w:rsidRPr="00150EDC">
              <w:rPr>
                <w:spacing w:val="-7"/>
                <w:sz w:val="20"/>
              </w:rPr>
              <w:t xml:space="preserve"> </w:t>
            </w:r>
            <w:r w:rsidRPr="00150EDC">
              <w:rPr>
                <w:sz w:val="20"/>
              </w:rPr>
              <w:t>commit</w:t>
            </w:r>
            <w:r w:rsidRPr="00150EDC">
              <w:rPr>
                <w:spacing w:val="-7"/>
                <w:sz w:val="20"/>
              </w:rPr>
              <w:t xml:space="preserve"> </w:t>
            </w:r>
            <w:r w:rsidRPr="00150EDC">
              <w:rPr>
                <w:sz w:val="20"/>
              </w:rPr>
              <w:t>homosexual</w:t>
            </w:r>
            <w:r w:rsidRPr="00150EDC">
              <w:rPr>
                <w:spacing w:val="-5"/>
                <w:sz w:val="20"/>
              </w:rPr>
              <w:t xml:space="preserve"> </w:t>
            </w:r>
            <w:r w:rsidRPr="00150EDC">
              <w:rPr>
                <w:spacing w:val="-4"/>
                <w:sz w:val="20"/>
              </w:rPr>
              <w:t>acts</w:t>
            </w:r>
          </w:p>
        </w:tc>
      </w:tr>
      <w:tr w:rsidR="004569EE" w:rsidRPr="007D3144" w14:paraId="0BC982FD" w14:textId="77777777">
        <w:trPr>
          <w:trHeight w:val="255"/>
        </w:trPr>
        <w:tc>
          <w:tcPr>
            <w:tcW w:w="6517" w:type="dxa"/>
          </w:tcPr>
          <w:p w14:paraId="0282C77A" w14:textId="77777777" w:rsidR="004C7180" w:rsidRPr="00150EDC" w:rsidRDefault="00CF0754">
            <w:pPr>
              <w:pStyle w:val="TableParagraph"/>
              <w:rPr>
                <w:sz w:val="20"/>
              </w:rPr>
            </w:pPr>
            <w:r w:rsidRPr="00150EDC">
              <w:rPr>
                <w:sz w:val="20"/>
              </w:rPr>
              <w:t>Homosexual</w:t>
            </w:r>
            <w:r w:rsidRPr="00150EDC">
              <w:rPr>
                <w:spacing w:val="-3"/>
                <w:sz w:val="20"/>
              </w:rPr>
              <w:t xml:space="preserve"> </w:t>
            </w:r>
            <w:r w:rsidRPr="00150EDC">
              <w:rPr>
                <w:sz w:val="20"/>
              </w:rPr>
              <w:t>Offences</w:t>
            </w:r>
            <w:r w:rsidRPr="00150EDC">
              <w:rPr>
                <w:spacing w:val="-7"/>
                <w:sz w:val="20"/>
              </w:rPr>
              <w:t xml:space="preserve"> </w:t>
            </w:r>
            <w:r w:rsidRPr="00150EDC">
              <w:rPr>
                <w:sz w:val="20"/>
              </w:rPr>
              <w:t>(Northern</w:t>
            </w:r>
            <w:r w:rsidRPr="00150EDC">
              <w:rPr>
                <w:spacing w:val="-8"/>
                <w:sz w:val="20"/>
              </w:rPr>
              <w:t xml:space="preserve"> </w:t>
            </w:r>
            <w:r w:rsidRPr="00150EDC">
              <w:rPr>
                <w:sz w:val="20"/>
              </w:rPr>
              <w:t>Ireland)</w:t>
            </w:r>
            <w:r w:rsidRPr="00150EDC">
              <w:rPr>
                <w:spacing w:val="-4"/>
                <w:sz w:val="20"/>
              </w:rPr>
              <w:t xml:space="preserve"> </w:t>
            </w:r>
            <w:r w:rsidRPr="00150EDC">
              <w:rPr>
                <w:sz w:val="20"/>
              </w:rPr>
              <w:t>Order</w:t>
            </w:r>
            <w:r w:rsidRPr="00150EDC">
              <w:rPr>
                <w:spacing w:val="-8"/>
                <w:sz w:val="20"/>
              </w:rPr>
              <w:t xml:space="preserve"> </w:t>
            </w:r>
            <w:r w:rsidRPr="00150EDC">
              <w:rPr>
                <w:sz w:val="20"/>
              </w:rPr>
              <w:t>1982,</w:t>
            </w:r>
            <w:r w:rsidRPr="00150EDC">
              <w:rPr>
                <w:spacing w:val="-7"/>
                <w:sz w:val="20"/>
              </w:rPr>
              <w:t xml:space="preserve"> </w:t>
            </w:r>
            <w:r w:rsidRPr="00150EDC">
              <w:rPr>
                <w:sz w:val="20"/>
              </w:rPr>
              <w:t>Art</w:t>
            </w:r>
            <w:r w:rsidRPr="00150EDC">
              <w:rPr>
                <w:spacing w:val="-4"/>
                <w:sz w:val="20"/>
              </w:rPr>
              <w:t xml:space="preserve"> </w:t>
            </w:r>
            <w:r w:rsidRPr="00150EDC">
              <w:rPr>
                <w:spacing w:val="-10"/>
                <w:sz w:val="20"/>
              </w:rPr>
              <w:t>8</w:t>
            </w:r>
          </w:p>
        </w:tc>
        <w:tc>
          <w:tcPr>
            <w:tcW w:w="7427" w:type="dxa"/>
          </w:tcPr>
          <w:p w14:paraId="6E2B3CD4" w14:textId="77777777" w:rsidR="004C7180" w:rsidRPr="00150EDC" w:rsidRDefault="00CF0754">
            <w:pPr>
              <w:pStyle w:val="TableParagraph"/>
              <w:rPr>
                <w:sz w:val="20"/>
              </w:rPr>
            </w:pPr>
            <w:r w:rsidRPr="00150EDC">
              <w:rPr>
                <w:sz w:val="20"/>
              </w:rPr>
              <w:t>Living</w:t>
            </w:r>
            <w:r w:rsidRPr="00150EDC">
              <w:rPr>
                <w:spacing w:val="-5"/>
                <w:sz w:val="20"/>
              </w:rPr>
              <w:t xml:space="preserve"> </w:t>
            </w:r>
            <w:r w:rsidRPr="00150EDC">
              <w:rPr>
                <w:sz w:val="20"/>
              </w:rPr>
              <w:t>on</w:t>
            </w:r>
            <w:r w:rsidRPr="00150EDC">
              <w:rPr>
                <w:spacing w:val="-5"/>
                <w:sz w:val="20"/>
              </w:rPr>
              <w:t xml:space="preserve"> </w:t>
            </w:r>
            <w:r w:rsidRPr="00150EDC">
              <w:rPr>
                <w:sz w:val="20"/>
              </w:rPr>
              <w:t>earnings</w:t>
            </w:r>
            <w:r w:rsidRPr="00150EDC">
              <w:rPr>
                <w:spacing w:val="-4"/>
                <w:sz w:val="20"/>
              </w:rPr>
              <w:t xml:space="preserve"> </w:t>
            </w:r>
            <w:r w:rsidRPr="00150EDC">
              <w:rPr>
                <w:sz w:val="20"/>
              </w:rPr>
              <w:t>of</w:t>
            </w:r>
            <w:r w:rsidRPr="00150EDC">
              <w:rPr>
                <w:spacing w:val="-1"/>
                <w:sz w:val="20"/>
              </w:rPr>
              <w:t xml:space="preserve"> </w:t>
            </w:r>
            <w:r w:rsidRPr="00150EDC">
              <w:rPr>
                <w:sz w:val="20"/>
              </w:rPr>
              <w:t>another</w:t>
            </w:r>
            <w:r w:rsidRPr="00150EDC">
              <w:rPr>
                <w:spacing w:val="-5"/>
                <w:sz w:val="20"/>
              </w:rPr>
              <w:t xml:space="preserve"> </w:t>
            </w:r>
            <w:r w:rsidRPr="00150EDC">
              <w:rPr>
                <w:sz w:val="20"/>
              </w:rPr>
              <w:t>from</w:t>
            </w:r>
            <w:r w:rsidRPr="00150EDC">
              <w:rPr>
                <w:spacing w:val="-5"/>
                <w:sz w:val="20"/>
              </w:rPr>
              <w:t xml:space="preserve"> </w:t>
            </w:r>
            <w:r w:rsidRPr="00150EDC">
              <w:rPr>
                <w:sz w:val="20"/>
              </w:rPr>
              <w:t>male</w:t>
            </w:r>
            <w:r w:rsidRPr="00150EDC">
              <w:rPr>
                <w:spacing w:val="-4"/>
                <w:sz w:val="20"/>
              </w:rPr>
              <w:t xml:space="preserve"> </w:t>
            </w:r>
            <w:r w:rsidRPr="00150EDC">
              <w:rPr>
                <w:spacing w:val="-2"/>
                <w:sz w:val="20"/>
              </w:rPr>
              <w:t>prostitution</w:t>
            </w:r>
          </w:p>
        </w:tc>
      </w:tr>
      <w:tr w:rsidR="004569EE" w:rsidRPr="007D3144" w14:paraId="2786479B" w14:textId="77777777">
        <w:trPr>
          <w:trHeight w:val="255"/>
        </w:trPr>
        <w:tc>
          <w:tcPr>
            <w:tcW w:w="6517" w:type="dxa"/>
          </w:tcPr>
          <w:p w14:paraId="4CB2D297" w14:textId="77777777" w:rsidR="004C7180" w:rsidRPr="00150EDC" w:rsidRDefault="00CF0754">
            <w:pPr>
              <w:pStyle w:val="TableParagraph"/>
              <w:rPr>
                <w:sz w:val="20"/>
              </w:rPr>
            </w:pPr>
            <w:r w:rsidRPr="00150EDC">
              <w:rPr>
                <w:sz w:val="20"/>
              </w:rPr>
              <w:t>Human</w:t>
            </w:r>
            <w:r w:rsidRPr="00150EDC">
              <w:rPr>
                <w:spacing w:val="-8"/>
                <w:sz w:val="20"/>
              </w:rPr>
              <w:t xml:space="preserve"> </w:t>
            </w:r>
            <w:r w:rsidRPr="00150EDC">
              <w:rPr>
                <w:sz w:val="20"/>
              </w:rPr>
              <w:t>Medicines</w:t>
            </w:r>
            <w:r w:rsidRPr="00150EDC">
              <w:rPr>
                <w:spacing w:val="-7"/>
                <w:sz w:val="20"/>
              </w:rPr>
              <w:t xml:space="preserve"> </w:t>
            </w:r>
            <w:r w:rsidRPr="00150EDC">
              <w:rPr>
                <w:sz w:val="20"/>
              </w:rPr>
              <w:t>Regulations</w:t>
            </w:r>
            <w:r w:rsidRPr="00150EDC">
              <w:rPr>
                <w:spacing w:val="-7"/>
                <w:sz w:val="20"/>
              </w:rPr>
              <w:t xml:space="preserve"> </w:t>
            </w:r>
            <w:r w:rsidRPr="00150EDC">
              <w:rPr>
                <w:sz w:val="20"/>
              </w:rPr>
              <w:t>2012,</w:t>
            </w:r>
            <w:r w:rsidRPr="00150EDC">
              <w:rPr>
                <w:spacing w:val="-8"/>
                <w:sz w:val="20"/>
              </w:rPr>
              <w:t xml:space="preserve"> </w:t>
            </w:r>
            <w:r w:rsidRPr="00150EDC">
              <w:rPr>
                <w:sz w:val="20"/>
              </w:rPr>
              <w:t>Reg</w:t>
            </w:r>
            <w:r w:rsidRPr="00150EDC">
              <w:rPr>
                <w:spacing w:val="-3"/>
                <w:sz w:val="20"/>
              </w:rPr>
              <w:t xml:space="preserve"> </w:t>
            </w:r>
            <w:r w:rsidRPr="00150EDC">
              <w:rPr>
                <w:spacing w:val="-2"/>
                <w:sz w:val="20"/>
              </w:rPr>
              <w:t>255(1)(b)</w:t>
            </w:r>
          </w:p>
        </w:tc>
        <w:tc>
          <w:tcPr>
            <w:tcW w:w="7427" w:type="dxa"/>
          </w:tcPr>
          <w:p w14:paraId="0345CAEB" w14:textId="77777777" w:rsidR="004C7180" w:rsidRPr="00150EDC" w:rsidRDefault="00CF0754">
            <w:pPr>
              <w:pStyle w:val="TableParagraph"/>
              <w:rPr>
                <w:sz w:val="20"/>
              </w:rPr>
            </w:pPr>
            <w:r w:rsidRPr="00150EDC">
              <w:rPr>
                <w:sz w:val="20"/>
              </w:rPr>
              <w:t>Administer</w:t>
            </w:r>
            <w:r w:rsidRPr="00150EDC">
              <w:rPr>
                <w:spacing w:val="-9"/>
                <w:sz w:val="20"/>
              </w:rPr>
              <w:t xml:space="preserve"> </w:t>
            </w:r>
            <w:r w:rsidRPr="00150EDC">
              <w:rPr>
                <w:sz w:val="20"/>
              </w:rPr>
              <w:t>prescription</w:t>
            </w:r>
            <w:r w:rsidRPr="00150EDC">
              <w:rPr>
                <w:spacing w:val="-6"/>
                <w:sz w:val="20"/>
              </w:rPr>
              <w:t xml:space="preserve"> </w:t>
            </w:r>
            <w:r w:rsidRPr="00150EDC">
              <w:rPr>
                <w:sz w:val="20"/>
              </w:rPr>
              <w:t>only medicine</w:t>
            </w:r>
            <w:r w:rsidRPr="00150EDC">
              <w:rPr>
                <w:spacing w:val="-6"/>
                <w:sz w:val="20"/>
              </w:rPr>
              <w:t xml:space="preserve"> </w:t>
            </w:r>
            <w:r w:rsidRPr="00150EDC">
              <w:rPr>
                <w:sz w:val="20"/>
              </w:rPr>
              <w:t>when</w:t>
            </w:r>
            <w:r w:rsidRPr="00150EDC">
              <w:rPr>
                <w:spacing w:val="-1"/>
                <w:sz w:val="20"/>
              </w:rPr>
              <w:t xml:space="preserve"> </w:t>
            </w:r>
            <w:r w:rsidRPr="00150EDC">
              <w:rPr>
                <w:sz w:val="20"/>
              </w:rPr>
              <w:t>not</w:t>
            </w:r>
            <w:r w:rsidRPr="00150EDC">
              <w:rPr>
                <w:spacing w:val="-6"/>
                <w:sz w:val="20"/>
              </w:rPr>
              <w:t xml:space="preserve"> </w:t>
            </w:r>
            <w:r w:rsidRPr="00150EDC">
              <w:rPr>
                <w:sz w:val="20"/>
              </w:rPr>
              <w:t>an</w:t>
            </w:r>
            <w:r w:rsidRPr="00150EDC">
              <w:rPr>
                <w:spacing w:val="-6"/>
                <w:sz w:val="20"/>
              </w:rPr>
              <w:t xml:space="preserve"> </w:t>
            </w:r>
            <w:r w:rsidRPr="00150EDC">
              <w:rPr>
                <w:sz w:val="20"/>
              </w:rPr>
              <w:t>appropriate</w:t>
            </w:r>
            <w:r w:rsidRPr="00150EDC">
              <w:rPr>
                <w:spacing w:val="-6"/>
                <w:sz w:val="20"/>
              </w:rPr>
              <w:t xml:space="preserve"> </w:t>
            </w:r>
            <w:r w:rsidRPr="00150EDC">
              <w:rPr>
                <w:spacing w:val="-2"/>
                <w:sz w:val="20"/>
              </w:rPr>
              <w:t>practitioner</w:t>
            </w:r>
          </w:p>
        </w:tc>
      </w:tr>
      <w:tr w:rsidR="004569EE" w:rsidRPr="007D3144" w14:paraId="3BFA738A" w14:textId="77777777">
        <w:trPr>
          <w:trHeight w:val="510"/>
        </w:trPr>
        <w:tc>
          <w:tcPr>
            <w:tcW w:w="6517" w:type="dxa"/>
          </w:tcPr>
          <w:p w14:paraId="6575BB8F" w14:textId="77777777" w:rsidR="004C7180" w:rsidRPr="00150EDC" w:rsidRDefault="00CF0754">
            <w:pPr>
              <w:pStyle w:val="TableParagraph"/>
              <w:spacing w:before="32" w:line="230" w:lineRule="atLeast"/>
              <w:ind w:right="184"/>
              <w:rPr>
                <w:sz w:val="20"/>
              </w:rPr>
            </w:pPr>
            <w:r w:rsidRPr="00150EDC">
              <w:rPr>
                <w:sz w:val="20"/>
              </w:rPr>
              <w:t>Human</w:t>
            </w:r>
            <w:r w:rsidRPr="00150EDC">
              <w:rPr>
                <w:spacing w:val="-7"/>
                <w:sz w:val="20"/>
              </w:rPr>
              <w:t xml:space="preserve"> </w:t>
            </w:r>
            <w:r w:rsidRPr="00150EDC">
              <w:rPr>
                <w:sz w:val="20"/>
              </w:rPr>
              <w:t>Trafficking</w:t>
            </w:r>
            <w:r w:rsidRPr="00150EDC">
              <w:rPr>
                <w:spacing w:val="-7"/>
                <w:sz w:val="20"/>
              </w:rPr>
              <w:t xml:space="preserve"> </w:t>
            </w:r>
            <w:r w:rsidRPr="00150EDC">
              <w:rPr>
                <w:sz w:val="20"/>
              </w:rPr>
              <w:t>&amp;</w:t>
            </w:r>
            <w:r w:rsidRPr="00150EDC">
              <w:rPr>
                <w:spacing w:val="-5"/>
                <w:sz w:val="20"/>
              </w:rPr>
              <w:t xml:space="preserve"> </w:t>
            </w:r>
            <w:r w:rsidRPr="00150EDC">
              <w:rPr>
                <w:sz w:val="20"/>
              </w:rPr>
              <w:t>Exploitation</w:t>
            </w:r>
            <w:r w:rsidRPr="00150EDC">
              <w:rPr>
                <w:spacing w:val="-2"/>
                <w:sz w:val="20"/>
              </w:rPr>
              <w:t xml:space="preserve"> </w:t>
            </w:r>
            <w:r w:rsidRPr="00150EDC">
              <w:rPr>
                <w:sz w:val="20"/>
              </w:rPr>
              <w:t>(Support</w:t>
            </w:r>
            <w:r w:rsidRPr="00150EDC">
              <w:rPr>
                <w:spacing w:val="-7"/>
                <w:sz w:val="20"/>
              </w:rPr>
              <w:t xml:space="preserve"> </w:t>
            </w:r>
            <w:r w:rsidRPr="00150EDC">
              <w:rPr>
                <w:sz w:val="20"/>
              </w:rPr>
              <w:t>for</w:t>
            </w:r>
            <w:r w:rsidRPr="00150EDC">
              <w:rPr>
                <w:spacing w:val="-7"/>
                <w:sz w:val="20"/>
              </w:rPr>
              <w:t xml:space="preserve"> </w:t>
            </w:r>
            <w:r w:rsidRPr="00150EDC">
              <w:rPr>
                <w:sz w:val="20"/>
              </w:rPr>
              <w:t>Victims)</w:t>
            </w:r>
            <w:r w:rsidRPr="00150EDC">
              <w:rPr>
                <w:spacing w:val="-7"/>
                <w:sz w:val="20"/>
              </w:rPr>
              <w:t xml:space="preserve"> </w:t>
            </w:r>
            <w:r w:rsidRPr="00150EDC">
              <w:rPr>
                <w:sz w:val="20"/>
              </w:rPr>
              <w:t>(NI)</w:t>
            </w:r>
            <w:r w:rsidRPr="00150EDC">
              <w:rPr>
                <w:spacing w:val="-7"/>
                <w:sz w:val="20"/>
              </w:rPr>
              <w:t xml:space="preserve"> </w:t>
            </w:r>
            <w:r w:rsidRPr="00150EDC">
              <w:rPr>
                <w:sz w:val="20"/>
              </w:rPr>
              <w:t>Act</w:t>
            </w:r>
            <w:r w:rsidRPr="00150EDC">
              <w:rPr>
                <w:spacing w:val="-6"/>
                <w:sz w:val="20"/>
              </w:rPr>
              <w:t xml:space="preserve"> </w:t>
            </w:r>
            <w:r w:rsidRPr="00150EDC">
              <w:rPr>
                <w:sz w:val="20"/>
              </w:rPr>
              <w:t xml:space="preserve">2015, </w:t>
            </w:r>
            <w:r w:rsidRPr="00150EDC">
              <w:rPr>
                <w:spacing w:val="-4"/>
                <w:sz w:val="20"/>
              </w:rPr>
              <w:t>s.2</w:t>
            </w:r>
          </w:p>
        </w:tc>
        <w:tc>
          <w:tcPr>
            <w:tcW w:w="7427" w:type="dxa"/>
          </w:tcPr>
          <w:p w14:paraId="70A93AE8" w14:textId="77777777" w:rsidR="004C7180" w:rsidRPr="00150EDC" w:rsidRDefault="004C7180">
            <w:pPr>
              <w:pStyle w:val="TableParagraph"/>
              <w:spacing w:before="7" w:line="240" w:lineRule="auto"/>
              <w:ind w:left="0"/>
              <w:rPr>
                <w:sz w:val="24"/>
              </w:rPr>
            </w:pPr>
          </w:p>
          <w:p w14:paraId="2745CDF2" w14:textId="77777777" w:rsidR="004C7180" w:rsidRPr="00150EDC" w:rsidRDefault="00CF0754">
            <w:pPr>
              <w:pStyle w:val="TableParagraph"/>
              <w:spacing w:before="0"/>
              <w:rPr>
                <w:sz w:val="20"/>
              </w:rPr>
            </w:pPr>
            <w:r w:rsidRPr="00150EDC">
              <w:rPr>
                <w:sz w:val="20"/>
              </w:rPr>
              <w:t>Human</w:t>
            </w:r>
            <w:r w:rsidRPr="00150EDC">
              <w:rPr>
                <w:spacing w:val="-10"/>
                <w:sz w:val="20"/>
              </w:rPr>
              <w:t xml:space="preserve"> </w:t>
            </w:r>
            <w:r w:rsidRPr="00150EDC">
              <w:rPr>
                <w:spacing w:val="-2"/>
                <w:sz w:val="20"/>
              </w:rPr>
              <w:t>trafficking</w:t>
            </w:r>
          </w:p>
        </w:tc>
      </w:tr>
      <w:tr w:rsidR="004569EE" w:rsidRPr="007D3144" w14:paraId="06D0B613" w14:textId="77777777">
        <w:trPr>
          <w:trHeight w:val="510"/>
        </w:trPr>
        <w:tc>
          <w:tcPr>
            <w:tcW w:w="6517" w:type="dxa"/>
          </w:tcPr>
          <w:p w14:paraId="122F3892" w14:textId="77777777" w:rsidR="004C7180" w:rsidRPr="00150EDC" w:rsidRDefault="00CF0754">
            <w:pPr>
              <w:pStyle w:val="TableParagraph"/>
              <w:spacing w:before="32" w:line="230" w:lineRule="atLeast"/>
              <w:rPr>
                <w:sz w:val="20"/>
              </w:rPr>
            </w:pPr>
            <w:r w:rsidRPr="00150EDC">
              <w:rPr>
                <w:sz w:val="20"/>
              </w:rPr>
              <w:t>Human</w:t>
            </w:r>
            <w:r w:rsidRPr="00150EDC">
              <w:rPr>
                <w:spacing w:val="-7"/>
                <w:sz w:val="20"/>
              </w:rPr>
              <w:t xml:space="preserve"> </w:t>
            </w:r>
            <w:r w:rsidRPr="00150EDC">
              <w:rPr>
                <w:sz w:val="20"/>
              </w:rPr>
              <w:t>Trafficking</w:t>
            </w:r>
            <w:r w:rsidRPr="00150EDC">
              <w:rPr>
                <w:spacing w:val="-7"/>
                <w:sz w:val="20"/>
              </w:rPr>
              <w:t xml:space="preserve"> </w:t>
            </w:r>
            <w:r w:rsidRPr="00150EDC">
              <w:rPr>
                <w:sz w:val="20"/>
              </w:rPr>
              <w:t>&amp;</w:t>
            </w:r>
            <w:r w:rsidRPr="00150EDC">
              <w:rPr>
                <w:spacing w:val="-5"/>
                <w:sz w:val="20"/>
              </w:rPr>
              <w:t xml:space="preserve"> </w:t>
            </w:r>
            <w:r w:rsidRPr="00150EDC">
              <w:rPr>
                <w:sz w:val="20"/>
              </w:rPr>
              <w:t>Exploitation</w:t>
            </w:r>
            <w:r w:rsidRPr="00150EDC">
              <w:rPr>
                <w:spacing w:val="-2"/>
                <w:sz w:val="20"/>
              </w:rPr>
              <w:t xml:space="preserve"> </w:t>
            </w:r>
            <w:r w:rsidRPr="00150EDC">
              <w:rPr>
                <w:sz w:val="20"/>
              </w:rPr>
              <w:t>(Support</w:t>
            </w:r>
            <w:r w:rsidRPr="00150EDC">
              <w:rPr>
                <w:spacing w:val="-7"/>
                <w:sz w:val="20"/>
              </w:rPr>
              <w:t xml:space="preserve"> </w:t>
            </w:r>
            <w:r w:rsidRPr="00150EDC">
              <w:rPr>
                <w:sz w:val="20"/>
              </w:rPr>
              <w:t>for</w:t>
            </w:r>
            <w:r w:rsidRPr="00150EDC">
              <w:rPr>
                <w:spacing w:val="-7"/>
                <w:sz w:val="20"/>
              </w:rPr>
              <w:t xml:space="preserve"> </w:t>
            </w:r>
            <w:r w:rsidRPr="00150EDC">
              <w:rPr>
                <w:sz w:val="20"/>
              </w:rPr>
              <w:t>Victims)</w:t>
            </w:r>
            <w:r w:rsidRPr="00150EDC">
              <w:rPr>
                <w:spacing w:val="-7"/>
                <w:sz w:val="20"/>
              </w:rPr>
              <w:t xml:space="preserve"> </w:t>
            </w:r>
            <w:r w:rsidRPr="00150EDC">
              <w:rPr>
                <w:sz w:val="20"/>
              </w:rPr>
              <w:t>(NI)</w:t>
            </w:r>
            <w:r w:rsidRPr="00150EDC">
              <w:rPr>
                <w:spacing w:val="-7"/>
                <w:sz w:val="20"/>
              </w:rPr>
              <w:t xml:space="preserve"> </w:t>
            </w:r>
            <w:r w:rsidRPr="00150EDC">
              <w:rPr>
                <w:sz w:val="20"/>
              </w:rPr>
              <w:t>Act</w:t>
            </w:r>
            <w:r w:rsidRPr="00150EDC">
              <w:rPr>
                <w:spacing w:val="-6"/>
                <w:sz w:val="20"/>
              </w:rPr>
              <w:t xml:space="preserve"> </w:t>
            </w:r>
            <w:r w:rsidRPr="00150EDC">
              <w:rPr>
                <w:sz w:val="20"/>
              </w:rPr>
              <w:t xml:space="preserve">2015, </w:t>
            </w:r>
            <w:r w:rsidRPr="00150EDC">
              <w:rPr>
                <w:spacing w:val="-2"/>
                <w:sz w:val="20"/>
              </w:rPr>
              <w:t>s.4(3)</w:t>
            </w:r>
          </w:p>
        </w:tc>
        <w:tc>
          <w:tcPr>
            <w:tcW w:w="7427" w:type="dxa"/>
          </w:tcPr>
          <w:p w14:paraId="3899FECC" w14:textId="77777777" w:rsidR="004C7180" w:rsidRPr="00150EDC" w:rsidRDefault="00CF0754">
            <w:pPr>
              <w:pStyle w:val="TableParagraph"/>
              <w:spacing w:before="32" w:line="230" w:lineRule="atLeast"/>
              <w:rPr>
                <w:sz w:val="20"/>
              </w:rPr>
            </w:pPr>
            <w:r w:rsidRPr="00150EDC">
              <w:rPr>
                <w:sz w:val="20"/>
              </w:rPr>
              <w:t>Kidnapping</w:t>
            </w:r>
            <w:r w:rsidRPr="00150EDC">
              <w:rPr>
                <w:spacing w:val="-2"/>
                <w:sz w:val="20"/>
              </w:rPr>
              <w:t xml:space="preserve"> </w:t>
            </w:r>
            <w:r w:rsidRPr="00150EDC">
              <w:rPr>
                <w:sz w:val="20"/>
              </w:rPr>
              <w:t>or</w:t>
            </w:r>
            <w:r w:rsidRPr="00150EDC">
              <w:rPr>
                <w:spacing w:val="-7"/>
                <w:sz w:val="20"/>
              </w:rPr>
              <w:t xml:space="preserve"> </w:t>
            </w:r>
            <w:r w:rsidRPr="00150EDC">
              <w:rPr>
                <w:sz w:val="20"/>
              </w:rPr>
              <w:t>false</w:t>
            </w:r>
            <w:r w:rsidRPr="00150EDC">
              <w:rPr>
                <w:spacing w:val="-2"/>
                <w:sz w:val="20"/>
              </w:rPr>
              <w:t xml:space="preserve"> </w:t>
            </w:r>
            <w:r w:rsidRPr="00150EDC">
              <w:rPr>
                <w:sz w:val="20"/>
              </w:rPr>
              <w:t>imprisonment</w:t>
            </w:r>
            <w:r w:rsidRPr="00150EDC">
              <w:rPr>
                <w:spacing w:val="-7"/>
                <w:sz w:val="20"/>
              </w:rPr>
              <w:t xml:space="preserve"> </w:t>
            </w:r>
            <w:r w:rsidRPr="00150EDC">
              <w:rPr>
                <w:sz w:val="20"/>
              </w:rPr>
              <w:t>with</w:t>
            </w:r>
            <w:r w:rsidRPr="00150EDC">
              <w:rPr>
                <w:spacing w:val="-7"/>
                <w:sz w:val="20"/>
              </w:rPr>
              <w:t xml:space="preserve"> </w:t>
            </w:r>
            <w:r w:rsidRPr="00150EDC">
              <w:rPr>
                <w:sz w:val="20"/>
              </w:rPr>
              <w:t>intent</w:t>
            </w:r>
            <w:r w:rsidRPr="00150EDC">
              <w:rPr>
                <w:spacing w:val="-7"/>
                <w:sz w:val="20"/>
              </w:rPr>
              <w:t xml:space="preserve"> </w:t>
            </w:r>
            <w:r w:rsidRPr="00150EDC">
              <w:rPr>
                <w:sz w:val="20"/>
              </w:rPr>
              <w:t>to</w:t>
            </w:r>
            <w:r w:rsidRPr="00150EDC">
              <w:rPr>
                <w:spacing w:val="-7"/>
                <w:sz w:val="20"/>
              </w:rPr>
              <w:t xml:space="preserve"> </w:t>
            </w:r>
            <w:r w:rsidRPr="00150EDC">
              <w:rPr>
                <w:sz w:val="20"/>
              </w:rPr>
              <w:t>commit</w:t>
            </w:r>
            <w:r w:rsidRPr="00150EDC">
              <w:rPr>
                <w:spacing w:val="-1"/>
                <w:sz w:val="20"/>
              </w:rPr>
              <w:t xml:space="preserve"> </w:t>
            </w:r>
            <w:r w:rsidRPr="00150EDC">
              <w:rPr>
                <w:sz w:val="20"/>
              </w:rPr>
              <w:t>a</w:t>
            </w:r>
            <w:r w:rsidRPr="00150EDC">
              <w:rPr>
                <w:spacing w:val="-2"/>
                <w:sz w:val="20"/>
              </w:rPr>
              <w:t xml:space="preserve"> </w:t>
            </w:r>
            <w:r w:rsidRPr="00150EDC">
              <w:rPr>
                <w:sz w:val="20"/>
              </w:rPr>
              <w:t>slavery</w:t>
            </w:r>
            <w:r w:rsidRPr="00150EDC">
              <w:rPr>
                <w:spacing w:val="-6"/>
                <w:sz w:val="20"/>
              </w:rPr>
              <w:t xml:space="preserve"> </w:t>
            </w:r>
            <w:r w:rsidRPr="00150EDC">
              <w:rPr>
                <w:sz w:val="20"/>
              </w:rPr>
              <w:t>or</w:t>
            </w:r>
            <w:r w:rsidRPr="00150EDC">
              <w:rPr>
                <w:spacing w:val="-3"/>
                <w:sz w:val="20"/>
              </w:rPr>
              <w:t xml:space="preserve"> </w:t>
            </w:r>
            <w:r w:rsidRPr="00150EDC">
              <w:rPr>
                <w:sz w:val="20"/>
              </w:rPr>
              <w:t>human trafficking offence</w:t>
            </w:r>
          </w:p>
        </w:tc>
      </w:tr>
      <w:tr w:rsidR="004569EE" w:rsidRPr="007D3144" w14:paraId="47F4C880" w14:textId="77777777">
        <w:trPr>
          <w:trHeight w:val="255"/>
        </w:trPr>
        <w:tc>
          <w:tcPr>
            <w:tcW w:w="6517" w:type="dxa"/>
          </w:tcPr>
          <w:p w14:paraId="0FE5A1D7" w14:textId="77777777" w:rsidR="004C7180" w:rsidRPr="00150EDC" w:rsidRDefault="00CF0754">
            <w:pPr>
              <w:pStyle w:val="TableParagraph"/>
              <w:rPr>
                <w:sz w:val="20"/>
              </w:rPr>
            </w:pPr>
            <w:r w:rsidRPr="00150EDC">
              <w:rPr>
                <w:sz w:val="20"/>
              </w:rPr>
              <w:t>Import</w:t>
            </w:r>
            <w:r w:rsidRPr="00150EDC">
              <w:rPr>
                <w:spacing w:val="-8"/>
                <w:sz w:val="20"/>
              </w:rPr>
              <w:t xml:space="preserve"> </w:t>
            </w:r>
            <w:r w:rsidRPr="00150EDC">
              <w:rPr>
                <w:sz w:val="20"/>
              </w:rPr>
              <w:t>Export</w:t>
            </w:r>
            <w:r w:rsidRPr="00150EDC">
              <w:rPr>
                <w:spacing w:val="-3"/>
                <w:sz w:val="20"/>
              </w:rPr>
              <w:t xml:space="preserve"> </w:t>
            </w:r>
            <w:r w:rsidRPr="00150EDC">
              <w:rPr>
                <w:sz w:val="20"/>
              </w:rPr>
              <w:t>(Control)</w:t>
            </w:r>
            <w:r w:rsidRPr="00150EDC">
              <w:rPr>
                <w:spacing w:val="-7"/>
                <w:sz w:val="20"/>
              </w:rPr>
              <w:t xml:space="preserve"> </w:t>
            </w:r>
            <w:r w:rsidRPr="00150EDC">
              <w:rPr>
                <w:sz w:val="20"/>
              </w:rPr>
              <w:t>(Jersey)</w:t>
            </w:r>
            <w:r w:rsidRPr="00150EDC">
              <w:rPr>
                <w:spacing w:val="-3"/>
                <w:sz w:val="20"/>
              </w:rPr>
              <w:t xml:space="preserve"> </w:t>
            </w:r>
            <w:r w:rsidRPr="00150EDC">
              <w:rPr>
                <w:sz w:val="20"/>
              </w:rPr>
              <w:t>Law</w:t>
            </w:r>
            <w:r w:rsidRPr="00150EDC">
              <w:rPr>
                <w:spacing w:val="-6"/>
                <w:sz w:val="20"/>
              </w:rPr>
              <w:t xml:space="preserve"> </w:t>
            </w:r>
            <w:r w:rsidRPr="00150EDC">
              <w:rPr>
                <w:spacing w:val="-4"/>
                <w:sz w:val="20"/>
              </w:rPr>
              <w:t>1946</w:t>
            </w:r>
          </w:p>
        </w:tc>
        <w:tc>
          <w:tcPr>
            <w:tcW w:w="7427" w:type="dxa"/>
          </w:tcPr>
          <w:p w14:paraId="777E6BA6" w14:textId="77777777" w:rsidR="004C7180" w:rsidRPr="00150EDC" w:rsidRDefault="00CF0754">
            <w:pPr>
              <w:pStyle w:val="TableParagraph"/>
              <w:rPr>
                <w:sz w:val="20"/>
              </w:rPr>
            </w:pPr>
            <w:r w:rsidRPr="00150EDC">
              <w:rPr>
                <w:sz w:val="20"/>
              </w:rPr>
              <w:t>Importing</w:t>
            </w:r>
            <w:r w:rsidRPr="00150EDC">
              <w:rPr>
                <w:spacing w:val="-8"/>
                <w:sz w:val="20"/>
              </w:rPr>
              <w:t xml:space="preserve"> </w:t>
            </w:r>
            <w:r w:rsidRPr="00150EDC">
              <w:rPr>
                <w:sz w:val="20"/>
              </w:rPr>
              <w:t>obscene</w:t>
            </w:r>
            <w:r w:rsidRPr="00150EDC">
              <w:rPr>
                <w:spacing w:val="-7"/>
                <w:sz w:val="20"/>
              </w:rPr>
              <w:t xml:space="preserve"> </w:t>
            </w:r>
            <w:r w:rsidRPr="00150EDC">
              <w:rPr>
                <w:spacing w:val="-2"/>
                <w:sz w:val="20"/>
              </w:rPr>
              <w:t>articles</w:t>
            </w:r>
          </w:p>
        </w:tc>
      </w:tr>
      <w:tr w:rsidR="004569EE" w:rsidRPr="007D3144" w14:paraId="5DC48B5C" w14:textId="77777777">
        <w:trPr>
          <w:trHeight w:val="250"/>
        </w:trPr>
        <w:tc>
          <w:tcPr>
            <w:tcW w:w="6517" w:type="dxa"/>
            <w:tcBorders>
              <w:bottom w:val="single" w:sz="12" w:space="0" w:color="000000"/>
            </w:tcBorders>
          </w:tcPr>
          <w:p w14:paraId="14BCA075" w14:textId="77777777" w:rsidR="004C7180" w:rsidRPr="00150EDC" w:rsidRDefault="00CF0754">
            <w:pPr>
              <w:pStyle w:val="TableParagraph"/>
              <w:spacing w:line="203" w:lineRule="exact"/>
              <w:rPr>
                <w:sz w:val="20"/>
              </w:rPr>
            </w:pPr>
            <w:r w:rsidRPr="00150EDC">
              <w:rPr>
                <w:sz w:val="20"/>
              </w:rPr>
              <w:t>Incest</w:t>
            </w:r>
            <w:r w:rsidRPr="00150EDC">
              <w:rPr>
                <w:spacing w:val="-4"/>
                <w:sz w:val="20"/>
              </w:rPr>
              <w:t xml:space="preserve"> </w:t>
            </w:r>
            <w:r w:rsidRPr="00150EDC">
              <w:rPr>
                <w:sz w:val="20"/>
              </w:rPr>
              <w:t>Act</w:t>
            </w:r>
            <w:r w:rsidRPr="00150EDC">
              <w:rPr>
                <w:spacing w:val="-4"/>
                <w:sz w:val="20"/>
              </w:rPr>
              <w:t xml:space="preserve"> 1567</w:t>
            </w:r>
          </w:p>
        </w:tc>
        <w:tc>
          <w:tcPr>
            <w:tcW w:w="7427" w:type="dxa"/>
            <w:tcBorders>
              <w:bottom w:val="single" w:sz="12" w:space="0" w:color="000000"/>
            </w:tcBorders>
          </w:tcPr>
          <w:p w14:paraId="236466B2" w14:textId="77777777" w:rsidR="004C7180" w:rsidRPr="00150EDC" w:rsidRDefault="00CF0754">
            <w:pPr>
              <w:pStyle w:val="TableParagraph"/>
              <w:spacing w:line="203" w:lineRule="exact"/>
              <w:rPr>
                <w:sz w:val="20"/>
              </w:rPr>
            </w:pPr>
            <w:r w:rsidRPr="00150EDC">
              <w:rPr>
                <w:sz w:val="20"/>
              </w:rPr>
              <w:t>Incestuous</w:t>
            </w:r>
            <w:r w:rsidRPr="00150EDC">
              <w:rPr>
                <w:spacing w:val="-7"/>
                <w:sz w:val="20"/>
              </w:rPr>
              <w:t xml:space="preserve"> </w:t>
            </w:r>
            <w:r w:rsidRPr="00150EDC">
              <w:rPr>
                <w:sz w:val="20"/>
              </w:rPr>
              <w:t>sexual</w:t>
            </w:r>
            <w:r w:rsidRPr="00150EDC">
              <w:rPr>
                <w:spacing w:val="-10"/>
                <w:sz w:val="20"/>
              </w:rPr>
              <w:t xml:space="preserve"> </w:t>
            </w:r>
            <w:r w:rsidRPr="00150EDC">
              <w:rPr>
                <w:spacing w:val="-2"/>
                <w:sz w:val="20"/>
              </w:rPr>
              <w:t>intercourse</w:t>
            </w:r>
          </w:p>
        </w:tc>
      </w:tr>
      <w:tr w:rsidR="004569EE" w:rsidRPr="007D3144" w14:paraId="1EFDB162" w14:textId="77777777">
        <w:trPr>
          <w:trHeight w:val="250"/>
        </w:trPr>
        <w:tc>
          <w:tcPr>
            <w:tcW w:w="6517" w:type="dxa"/>
            <w:tcBorders>
              <w:top w:val="single" w:sz="12" w:space="0" w:color="000000"/>
            </w:tcBorders>
          </w:tcPr>
          <w:p w14:paraId="58233A50" w14:textId="77777777" w:rsidR="004C7180" w:rsidRPr="00150EDC" w:rsidRDefault="00CF0754">
            <w:pPr>
              <w:pStyle w:val="TableParagraph"/>
              <w:spacing w:before="22"/>
              <w:rPr>
                <w:sz w:val="20"/>
              </w:rPr>
            </w:pPr>
            <w:r w:rsidRPr="00150EDC">
              <w:rPr>
                <w:sz w:val="20"/>
              </w:rPr>
              <w:t>Incest</w:t>
            </w:r>
            <w:r w:rsidRPr="00150EDC">
              <w:rPr>
                <w:spacing w:val="-8"/>
                <w:sz w:val="20"/>
              </w:rPr>
              <w:t xml:space="preserve"> </w:t>
            </w:r>
            <w:r w:rsidRPr="00150EDC">
              <w:rPr>
                <w:sz w:val="20"/>
              </w:rPr>
              <w:t>And</w:t>
            </w:r>
            <w:r w:rsidRPr="00150EDC">
              <w:rPr>
                <w:spacing w:val="-7"/>
                <w:sz w:val="20"/>
              </w:rPr>
              <w:t xml:space="preserve"> </w:t>
            </w:r>
            <w:r w:rsidRPr="00150EDC">
              <w:rPr>
                <w:sz w:val="20"/>
              </w:rPr>
              <w:t>Related</w:t>
            </w:r>
            <w:r w:rsidRPr="00150EDC">
              <w:rPr>
                <w:spacing w:val="-7"/>
                <w:sz w:val="20"/>
              </w:rPr>
              <w:t xml:space="preserve"> </w:t>
            </w:r>
            <w:r w:rsidRPr="00150EDC">
              <w:rPr>
                <w:sz w:val="20"/>
              </w:rPr>
              <w:t>Offences</w:t>
            </w:r>
            <w:r w:rsidRPr="00150EDC">
              <w:rPr>
                <w:spacing w:val="-1"/>
                <w:sz w:val="20"/>
              </w:rPr>
              <w:t xml:space="preserve"> </w:t>
            </w:r>
            <w:r w:rsidRPr="00150EDC">
              <w:rPr>
                <w:sz w:val="20"/>
              </w:rPr>
              <w:t>(Scotland)</w:t>
            </w:r>
            <w:r w:rsidRPr="00150EDC">
              <w:rPr>
                <w:spacing w:val="-7"/>
                <w:sz w:val="20"/>
              </w:rPr>
              <w:t xml:space="preserve"> </w:t>
            </w:r>
            <w:r w:rsidRPr="00150EDC">
              <w:rPr>
                <w:sz w:val="20"/>
              </w:rPr>
              <w:t>Act</w:t>
            </w:r>
            <w:r w:rsidRPr="00150EDC">
              <w:rPr>
                <w:spacing w:val="-6"/>
                <w:sz w:val="20"/>
              </w:rPr>
              <w:t xml:space="preserve"> </w:t>
            </w:r>
            <w:r w:rsidRPr="00150EDC">
              <w:rPr>
                <w:sz w:val="20"/>
              </w:rPr>
              <w:t>1986,</w:t>
            </w:r>
            <w:r w:rsidRPr="00150EDC">
              <w:rPr>
                <w:spacing w:val="-6"/>
                <w:sz w:val="20"/>
              </w:rPr>
              <w:t xml:space="preserve"> </w:t>
            </w:r>
            <w:r w:rsidRPr="00150EDC">
              <w:rPr>
                <w:spacing w:val="-5"/>
                <w:sz w:val="20"/>
              </w:rPr>
              <w:t>s1</w:t>
            </w:r>
          </w:p>
        </w:tc>
        <w:tc>
          <w:tcPr>
            <w:tcW w:w="7427" w:type="dxa"/>
            <w:tcBorders>
              <w:top w:val="single" w:sz="12" w:space="0" w:color="000000"/>
            </w:tcBorders>
          </w:tcPr>
          <w:p w14:paraId="5A80EC7F" w14:textId="77777777" w:rsidR="004C7180" w:rsidRPr="00150EDC" w:rsidRDefault="00CF0754">
            <w:pPr>
              <w:pStyle w:val="TableParagraph"/>
              <w:spacing w:before="22"/>
              <w:rPr>
                <w:sz w:val="20"/>
              </w:rPr>
            </w:pPr>
            <w:r w:rsidRPr="00150EDC">
              <w:rPr>
                <w:sz w:val="20"/>
              </w:rPr>
              <w:t>Incest</w:t>
            </w:r>
            <w:r w:rsidRPr="00150EDC">
              <w:rPr>
                <w:spacing w:val="-5"/>
                <w:sz w:val="20"/>
              </w:rPr>
              <w:t xml:space="preserve"> </w:t>
            </w:r>
            <w:r w:rsidRPr="00150EDC">
              <w:rPr>
                <w:sz w:val="20"/>
              </w:rPr>
              <w:t>and</w:t>
            </w:r>
            <w:r w:rsidRPr="00150EDC">
              <w:rPr>
                <w:spacing w:val="-5"/>
                <w:sz w:val="20"/>
              </w:rPr>
              <w:t xml:space="preserve"> </w:t>
            </w:r>
            <w:r w:rsidRPr="00150EDC">
              <w:rPr>
                <w:sz w:val="20"/>
              </w:rPr>
              <w:t>related</w:t>
            </w:r>
            <w:r w:rsidRPr="00150EDC">
              <w:rPr>
                <w:spacing w:val="-5"/>
                <w:sz w:val="20"/>
              </w:rPr>
              <w:t xml:space="preserve"> </w:t>
            </w:r>
            <w:r w:rsidRPr="00150EDC">
              <w:rPr>
                <w:spacing w:val="-2"/>
                <w:sz w:val="20"/>
              </w:rPr>
              <w:t>offences</w:t>
            </w:r>
          </w:p>
        </w:tc>
      </w:tr>
      <w:tr w:rsidR="004569EE" w:rsidRPr="007D3144" w14:paraId="57CFC600" w14:textId="77777777">
        <w:trPr>
          <w:trHeight w:val="255"/>
        </w:trPr>
        <w:tc>
          <w:tcPr>
            <w:tcW w:w="6517" w:type="dxa"/>
          </w:tcPr>
          <w:p w14:paraId="058AD000" w14:textId="77777777" w:rsidR="004C7180" w:rsidRPr="00150EDC" w:rsidRDefault="00CF0754">
            <w:pPr>
              <w:pStyle w:val="TableParagraph"/>
              <w:rPr>
                <w:sz w:val="20"/>
              </w:rPr>
            </w:pPr>
            <w:r w:rsidRPr="00150EDC">
              <w:rPr>
                <w:sz w:val="20"/>
              </w:rPr>
              <w:t>Indecency</w:t>
            </w:r>
            <w:r w:rsidRPr="00150EDC">
              <w:rPr>
                <w:spacing w:val="-8"/>
                <w:sz w:val="20"/>
              </w:rPr>
              <w:t xml:space="preserve"> </w:t>
            </w:r>
            <w:r w:rsidRPr="00150EDC">
              <w:rPr>
                <w:sz w:val="20"/>
              </w:rPr>
              <w:t>with</w:t>
            </w:r>
            <w:r w:rsidRPr="00150EDC">
              <w:rPr>
                <w:spacing w:val="-7"/>
                <w:sz w:val="20"/>
              </w:rPr>
              <w:t xml:space="preserve"> </w:t>
            </w:r>
            <w:r w:rsidRPr="00150EDC">
              <w:rPr>
                <w:sz w:val="20"/>
              </w:rPr>
              <w:t>Children</w:t>
            </w:r>
            <w:r w:rsidRPr="00150EDC">
              <w:rPr>
                <w:spacing w:val="-6"/>
                <w:sz w:val="20"/>
              </w:rPr>
              <w:t xml:space="preserve"> </w:t>
            </w:r>
            <w:r w:rsidRPr="00150EDC">
              <w:rPr>
                <w:sz w:val="20"/>
              </w:rPr>
              <w:t>Act</w:t>
            </w:r>
            <w:r w:rsidRPr="00150EDC">
              <w:rPr>
                <w:spacing w:val="-6"/>
                <w:sz w:val="20"/>
              </w:rPr>
              <w:t xml:space="preserve"> </w:t>
            </w:r>
            <w:r w:rsidRPr="00150EDC">
              <w:rPr>
                <w:sz w:val="20"/>
              </w:rPr>
              <w:t>1960,</w:t>
            </w:r>
            <w:r w:rsidRPr="00150EDC">
              <w:rPr>
                <w:spacing w:val="-6"/>
                <w:sz w:val="20"/>
              </w:rPr>
              <w:t xml:space="preserve"> </w:t>
            </w:r>
            <w:r w:rsidRPr="00150EDC">
              <w:rPr>
                <w:spacing w:val="-5"/>
                <w:sz w:val="20"/>
              </w:rPr>
              <w:t>s1</w:t>
            </w:r>
          </w:p>
        </w:tc>
        <w:tc>
          <w:tcPr>
            <w:tcW w:w="7427" w:type="dxa"/>
          </w:tcPr>
          <w:p w14:paraId="395A49D8" w14:textId="77777777" w:rsidR="004C7180" w:rsidRPr="00150EDC" w:rsidRDefault="00CF0754">
            <w:pPr>
              <w:pStyle w:val="TableParagraph"/>
              <w:rPr>
                <w:sz w:val="20"/>
              </w:rPr>
            </w:pPr>
            <w:r w:rsidRPr="00150EDC">
              <w:rPr>
                <w:sz w:val="20"/>
              </w:rPr>
              <w:t>Indecent</w:t>
            </w:r>
            <w:r w:rsidRPr="00150EDC">
              <w:rPr>
                <w:spacing w:val="-3"/>
                <w:sz w:val="20"/>
              </w:rPr>
              <w:t xml:space="preserve"> </w:t>
            </w:r>
            <w:r w:rsidRPr="00150EDC">
              <w:rPr>
                <w:sz w:val="20"/>
              </w:rPr>
              <w:t>conduct</w:t>
            </w:r>
            <w:r w:rsidRPr="00150EDC">
              <w:rPr>
                <w:spacing w:val="-6"/>
                <w:sz w:val="20"/>
              </w:rPr>
              <w:t xml:space="preserve"> </w:t>
            </w:r>
            <w:r w:rsidRPr="00150EDC">
              <w:rPr>
                <w:sz w:val="20"/>
              </w:rPr>
              <w:t>towards</w:t>
            </w:r>
            <w:r w:rsidRPr="00150EDC">
              <w:rPr>
                <w:spacing w:val="-7"/>
                <w:sz w:val="20"/>
              </w:rPr>
              <w:t xml:space="preserve"> </w:t>
            </w:r>
            <w:r w:rsidRPr="00150EDC">
              <w:rPr>
                <w:sz w:val="20"/>
              </w:rPr>
              <w:t>young</w:t>
            </w:r>
            <w:r w:rsidRPr="00150EDC">
              <w:rPr>
                <w:spacing w:val="-7"/>
                <w:sz w:val="20"/>
              </w:rPr>
              <w:t xml:space="preserve"> </w:t>
            </w:r>
            <w:r w:rsidRPr="00150EDC">
              <w:rPr>
                <w:spacing w:val="-4"/>
                <w:sz w:val="20"/>
              </w:rPr>
              <w:t>child</w:t>
            </w:r>
          </w:p>
        </w:tc>
      </w:tr>
      <w:tr w:rsidR="004569EE" w:rsidRPr="007D3144" w14:paraId="13D2FDAB" w14:textId="77777777">
        <w:trPr>
          <w:trHeight w:val="255"/>
        </w:trPr>
        <w:tc>
          <w:tcPr>
            <w:tcW w:w="6517" w:type="dxa"/>
          </w:tcPr>
          <w:p w14:paraId="58EBC25E" w14:textId="77777777" w:rsidR="004C7180" w:rsidRPr="00150EDC" w:rsidRDefault="00CF0754">
            <w:pPr>
              <w:pStyle w:val="TableParagraph"/>
              <w:rPr>
                <w:sz w:val="20"/>
              </w:rPr>
            </w:pPr>
            <w:r w:rsidRPr="00150EDC">
              <w:rPr>
                <w:sz w:val="20"/>
              </w:rPr>
              <w:t>Infant</w:t>
            </w:r>
            <w:r w:rsidRPr="00150EDC">
              <w:rPr>
                <w:spacing w:val="-7"/>
                <w:sz w:val="20"/>
              </w:rPr>
              <w:t xml:space="preserve"> </w:t>
            </w:r>
            <w:r w:rsidRPr="00150EDC">
              <w:rPr>
                <w:sz w:val="20"/>
              </w:rPr>
              <w:t>Life</w:t>
            </w:r>
            <w:r w:rsidRPr="00150EDC">
              <w:rPr>
                <w:spacing w:val="-7"/>
                <w:sz w:val="20"/>
              </w:rPr>
              <w:t xml:space="preserve"> </w:t>
            </w:r>
            <w:r w:rsidRPr="00150EDC">
              <w:rPr>
                <w:sz w:val="20"/>
              </w:rPr>
              <w:t>(Preservation)</w:t>
            </w:r>
            <w:r w:rsidRPr="00150EDC">
              <w:rPr>
                <w:spacing w:val="-7"/>
                <w:sz w:val="20"/>
              </w:rPr>
              <w:t xml:space="preserve"> </w:t>
            </w:r>
            <w:r w:rsidRPr="00150EDC">
              <w:rPr>
                <w:sz w:val="20"/>
              </w:rPr>
              <w:t>Act</w:t>
            </w:r>
            <w:r w:rsidRPr="00150EDC">
              <w:rPr>
                <w:spacing w:val="-6"/>
                <w:sz w:val="20"/>
              </w:rPr>
              <w:t xml:space="preserve"> </w:t>
            </w:r>
            <w:r w:rsidRPr="00150EDC">
              <w:rPr>
                <w:sz w:val="20"/>
              </w:rPr>
              <w:t>1929,</w:t>
            </w:r>
            <w:r w:rsidRPr="00150EDC">
              <w:rPr>
                <w:spacing w:val="-7"/>
                <w:sz w:val="20"/>
              </w:rPr>
              <w:t xml:space="preserve"> </w:t>
            </w:r>
            <w:r w:rsidRPr="00150EDC">
              <w:rPr>
                <w:spacing w:val="-5"/>
                <w:sz w:val="20"/>
              </w:rPr>
              <w:t>s1</w:t>
            </w:r>
          </w:p>
        </w:tc>
        <w:tc>
          <w:tcPr>
            <w:tcW w:w="7427" w:type="dxa"/>
          </w:tcPr>
          <w:p w14:paraId="678C7E37" w14:textId="77777777" w:rsidR="004C7180" w:rsidRPr="00150EDC" w:rsidRDefault="00CF0754">
            <w:pPr>
              <w:pStyle w:val="TableParagraph"/>
              <w:rPr>
                <w:sz w:val="20"/>
              </w:rPr>
            </w:pPr>
            <w:r w:rsidRPr="00150EDC">
              <w:rPr>
                <w:sz w:val="20"/>
              </w:rPr>
              <w:t>Child</w:t>
            </w:r>
            <w:r w:rsidRPr="00150EDC">
              <w:rPr>
                <w:spacing w:val="-7"/>
                <w:sz w:val="20"/>
              </w:rPr>
              <w:t xml:space="preserve"> </w:t>
            </w:r>
            <w:r w:rsidRPr="00150EDC">
              <w:rPr>
                <w:spacing w:val="-2"/>
                <w:sz w:val="20"/>
              </w:rPr>
              <w:t>destruction</w:t>
            </w:r>
          </w:p>
        </w:tc>
      </w:tr>
      <w:tr w:rsidR="004569EE" w:rsidRPr="007D3144" w14:paraId="1C5EC6E1" w14:textId="77777777">
        <w:trPr>
          <w:trHeight w:val="255"/>
        </w:trPr>
        <w:tc>
          <w:tcPr>
            <w:tcW w:w="6517" w:type="dxa"/>
          </w:tcPr>
          <w:p w14:paraId="205A3C00" w14:textId="77777777" w:rsidR="004C7180" w:rsidRPr="00150EDC" w:rsidRDefault="00CF0754">
            <w:pPr>
              <w:pStyle w:val="TableParagraph"/>
              <w:rPr>
                <w:sz w:val="20"/>
              </w:rPr>
            </w:pPr>
            <w:r w:rsidRPr="00150EDC">
              <w:rPr>
                <w:sz w:val="20"/>
              </w:rPr>
              <w:t>Infanticide</w:t>
            </w:r>
            <w:r w:rsidRPr="00150EDC">
              <w:rPr>
                <w:spacing w:val="-10"/>
                <w:sz w:val="20"/>
              </w:rPr>
              <w:t xml:space="preserve"> </w:t>
            </w:r>
            <w:r w:rsidRPr="00150EDC">
              <w:rPr>
                <w:sz w:val="20"/>
              </w:rPr>
              <w:t>Act</w:t>
            </w:r>
            <w:r w:rsidRPr="00150EDC">
              <w:rPr>
                <w:spacing w:val="-4"/>
                <w:sz w:val="20"/>
              </w:rPr>
              <w:t xml:space="preserve"> </w:t>
            </w:r>
            <w:r w:rsidRPr="00150EDC">
              <w:rPr>
                <w:sz w:val="20"/>
              </w:rPr>
              <w:t>(Northern</w:t>
            </w:r>
            <w:r w:rsidRPr="00150EDC">
              <w:rPr>
                <w:spacing w:val="-5"/>
                <w:sz w:val="20"/>
              </w:rPr>
              <w:t xml:space="preserve"> </w:t>
            </w:r>
            <w:r w:rsidRPr="00150EDC">
              <w:rPr>
                <w:sz w:val="20"/>
              </w:rPr>
              <w:t>Ireland)</w:t>
            </w:r>
            <w:r w:rsidRPr="00150EDC">
              <w:rPr>
                <w:spacing w:val="-9"/>
                <w:sz w:val="20"/>
              </w:rPr>
              <w:t xml:space="preserve"> </w:t>
            </w:r>
            <w:r w:rsidRPr="00150EDC">
              <w:rPr>
                <w:sz w:val="20"/>
              </w:rPr>
              <w:t>1939,</w:t>
            </w:r>
            <w:r w:rsidRPr="00150EDC">
              <w:rPr>
                <w:spacing w:val="-9"/>
                <w:sz w:val="20"/>
              </w:rPr>
              <w:t xml:space="preserve"> </w:t>
            </w:r>
            <w:r w:rsidRPr="00150EDC">
              <w:rPr>
                <w:spacing w:val="-5"/>
                <w:sz w:val="20"/>
              </w:rPr>
              <w:t>s1</w:t>
            </w:r>
          </w:p>
        </w:tc>
        <w:tc>
          <w:tcPr>
            <w:tcW w:w="7427" w:type="dxa"/>
          </w:tcPr>
          <w:p w14:paraId="40BC8C4A" w14:textId="77777777" w:rsidR="004C7180" w:rsidRPr="00150EDC" w:rsidRDefault="00CF0754">
            <w:pPr>
              <w:pStyle w:val="TableParagraph"/>
              <w:rPr>
                <w:sz w:val="20"/>
              </w:rPr>
            </w:pPr>
            <w:r w:rsidRPr="00150EDC">
              <w:rPr>
                <w:spacing w:val="-2"/>
                <w:sz w:val="20"/>
              </w:rPr>
              <w:t>Infanticide</w:t>
            </w:r>
          </w:p>
        </w:tc>
      </w:tr>
      <w:tr w:rsidR="004569EE" w:rsidRPr="007D3144" w14:paraId="5B325379" w14:textId="77777777">
        <w:trPr>
          <w:trHeight w:val="255"/>
        </w:trPr>
        <w:tc>
          <w:tcPr>
            <w:tcW w:w="6517" w:type="dxa"/>
          </w:tcPr>
          <w:p w14:paraId="7B0070F7" w14:textId="77777777" w:rsidR="004C7180" w:rsidRPr="00150EDC" w:rsidRDefault="00CF0754">
            <w:pPr>
              <w:pStyle w:val="TableParagraph"/>
              <w:spacing w:before="28"/>
              <w:rPr>
                <w:sz w:val="20"/>
              </w:rPr>
            </w:pPr>
            <w:r w:rsidRPr="00150EDC">
              <w:rPr>
                <w:sz w:val="20"/>
              </w:rPr>
              <w:t>Infanticide</w:t>
            </w:r>
            <w:r w:rsidRPr="00150EDC">
              <w:rPr>
                <w:spacing w:val="-10"/>
                <w:sz w:val="20"/>
              </w:rPr>
              <w:t xml:space="preserve"> </w:t>
            </w:r>
            <w:r w:rsidRPr="00150EDC">
              <w:rPr>
                <w:sz w:val="20"/>
              </w:rPr>
              <w:t>Act</w:t>
            </w:r>
            <w:r w:rsidRPr="00150EDC">
              <w:rPr>
                <w:spacing w:val="-6"/>
                <w:sz w:val="20"/>
              </w:rPr>
              <w:t xml:space="preserve"> </w:t>
            </w:r>
            <w:r w:rsidRPr="00150EDC">
              <w:rPr>
                <w:sz w:val="20"/>
              </w:rPr>
              <w:t>1938,</w:t>
            </w:r>
            <w:r w:rsidRPr="00150EDC">
              <w:rPr>
                <w:spacing w:val="-5"/>
                <w:sz w:val="20"/>
              </w:rPr>
              <w:t xml:space="preserve"> s1</w:t>
            </w:r>
          </w:p>
        </w:tc>
        <w:tc>
          <w:tcPr>
            <w:tcW w:w="7427" w:type="dxa"/>
          </w:tcPr>
          <w:p w14:paraId="5AFA9BA8" w14:textId="77777777" w:rsidR="004C7180" w:rsidRPr="00150EDC" w:rsidRDefault="00CF0754">
            <w:pPr>
              <w:pStyle w:val="TableParagraph"/>
              <w:spacing w:before="28"/>
              <w:rPr>
                <w:sz w:val="20"/>
              </w:rPr>
            </w:pPr>
            <w:r w:rsidRPr="00150EDC">
              <w:rPr>
                <w:spacing w:val="-2"/>
                <w:sz w:val="20"/>
              </w:rPr>
              <w:t>Infanticide</w:t>
            </w:r>
          </w:p>
        </w:tc>
      </w:tr>
      <w:tr w:rsidR="004569EE" w:rsidRPr="007D3144" w14:paraId="42821A78" w14:textId="77777777">
        <w:trPr>
          <w:trHeight w:val="255"/>
        </w:trPr>
        <w:tc>
          <w:tcPr>
            <w:tcW w:w="6517" w:type="dxa"/>
          </w:tcPr>
          <w:p w14:paraId="34B921D3" w14:textId="77777777" w:rsidR="004C7180" w:rsidRPr="00150EDC" w:rsidRDefault="00CF0754">
            <w:pPr>
              <w:pStyle w:val="TableParagraph"/>
              <w:rPr>
                <w:sz w:val="20"/>
              </w:rPr>
            </w:pPr>
            <w:r w:rsidRPr="00150EDC">
              <w:rPr>
                <w:sz w:val="20"/>
              </w:rPr>
              <w:t>Infanticide</w:t>
            </w:r>
            <w:r w:rsidRPr="00150EDC">
              <w:rPr>
                <w:spacing w:val="-8"/>
                <w:sz w:val="20"/>
              </w:rPr>
              <w:t xml:space="preserve"> </w:t>
            </w:r>
            <w:r w:rsidRPr="00150EDC">
              <w:rPr>
                <w:sz w:val="20"/>
              </w:rPr>
              <w:t>And</w:t>
            </w:r>
            <w:r w:rsidRPr="00150EDC">
              <w:rPr>
                <w:spacing w:val="-7"/>
                <w:sz w:val="20"/>
              </w:rPr>
              <w:t xml:space="preserve"> </w:t>
            </w:r>
            <w:r w:rsidRPr="00150EDC">
              <w:rPr>
                <w:sz w:val="20"/>
              </w:rPr>
              <w:t>Infant</w:t>
            </w:r>
            <w:r w:rsidRPr="00150EDC">
              <w:rPr>
                <w:spacing w:val="-8"/>
                <w:sz w:val="20"/>
              </w:rPr>
              <w:t xml:space="preserve"> </w:t>
            </w:r>
            <w:r w:rsidRPr="00150EDC">
              <w:rPr>
                <w:sz w:val="20"/>
              </w:rPr>
              <w:t>Life</w:t>
            </w:r>
            <w:r w:rsidRPr="00150EDC">
              <w:rPr>
                <w:spacing w:val="-3"/>
                <w:sz w:val="20"/>
              </w:rPr>
              <w:t xml:space="preserve"> </w:t>
            </w:r>
            <w:r w:rsidRPr="00150EDC">
              <w:rPr>
                <w:sz w:val="20"/>
              </w:rPr>
              <w:t>Preservation</w:t>
            </w:r>
            <w:r w:rsidRPr="00150EDC">
              <w:rPr>
                <w:spacing w:val="-7"/>
                <w:sz w:val="20"/>
              </w:rPr>
              <w:t xml:space="preserve"> </w:t>
            </w:r>
            <w:r w:rsidRPr="00150EDC">
              <w:rPr>
                <w:sz w:val="20"/>
              </w:rPr>
              <w:t>Act</w:t>
            </w:r>
            <w:r w:rsidRPr="00150EDC">
              <w:rPr>
                <w:spacing w:val="-7"/>
                <w:sz w:val="20"/>
              </w:rPr>
              <w:t xml:space="preserve"> </w:t>
            </w:r>
            <w:r w:rsidRPr="00150EDC">
              <w:rPr>
                <w:sz w:val="20"/>
              </w:rPr>
              <w:t>1938,</w:t>
            </w:r>
            <w:r w:rsidRPr="00150EDC">
              <w:rPr>
                <w:spacing w:val="-7"/>
                <w:sz w:val="20"/>
              </w:rPr>
              <w:t xml:space="preserve"> </w:t>
            </w:r>
            <w:r w:rsidRPr="00150EDC">
              <w:rPr>
                <w:spacing w:val="-5"/>
                <w:sz w:val="20"/>
              </w:rPr>
              <w:t>s1</w:t>
            </w:r>
          </w:p>
        </w:tc>
        <w:tc>
          <w:tcPr>
            <w:tcW w:w="7427" w:type="dxa"/>
          </w:tcPr>
          <w:p w14:paraId="3D535F77" w14:textId="77777777" w:rsidR="004C7180" w:rsidRPr="00150EDC" w:rsidRDefault="00CF0754">
            <w:pPr>
              <w:pStyle w:val="TableParagraph"/>
              <w:rPr>
                <w:sz w:val="20"/>
              </w:rPr>
            </w:pPr>
            <w:r w:rsidRPr="00150EDC">
              <w:rPr>
                <w:sz w:val="20"/>
              </w:rPr>
              <w:t>Child</w:t>
            </w:r>
            <w:r w:rsidRPr="00150EDC">
              <w:rPr>
                <w:spacing w:val="-7"/>
                <w:sz w:val="20"/>
              </w:rPr>
              <w:t xml:space="preserve"> </w:t>
            </w:r>
            <w:r w:rsidRPr="00150EDC">
              <w:rPr>
                <w:spacing w:val="-2"/>
                <w:sz w:val="20"/>
              </w:rPr>
              <w:t>destruction</w:t>
            </w:r>
          </w:p>
        </w:tc>
      </w:tr>
      <w:tr w:rsidR="004569EE" w:rsidRPr="007D3144" w14:paraId="67C59614" w14:textId="77777777">
        <w:trPr>
          <w:trHeight w:val="255"/>
        </w:trPr>
        <w:tc>
          <w:tcPr>
            <w:tcW w:w="6517" w:type="dxa"/>
          </w:tcPr>
          <w:p w14:paraId="143E36F4" w14:textId="77777777" w:rsidR="004C7180" w:rsidRPr="00150EDC" w:rsidRDefault="00CF0754">
            <w:pPr>
              <w:pStyle w:val="TableParagraph"/>
              <w:rPr>
                <w:sz w:val="20"/>
              </w:rPr>
            </w:pPr>
            <w:r w:rsidRPr="00150EDC">
              <w:rPr>
                <w:sz w:val="20"/>
              </w:rPr>
              <w:t>Infanticide</w:t>
            </w:r>
            <w:r w:rsidRPr="00150EDC">
              <w:rPr>
                <w:spacing w:val="-8"/>
                <w:sz w:val="20"/>
              </w:rPr>
              <w:t xml:space="preserve"> </w:t>
            </w:r>
            <w:r w:rsidRPr="00150EDC">
              <w:rPr>
                <w:sz w:val="20"/>
              </w:rPr>
              <w:t>And</w:t>
            </w:r>
            <w:r w:rsidRPr="00150EDC">
              <w:rPr>
                <w:spacing w:val="-7"/>
                <w:sz w:val="20"/>
              </w:rPr>
              <w:t xml:space="preserve"> </w:t>
            </w:r>
            <w:r w:rsidRPr="00150EDC">
              <w:rPr>
                <w:sz w:val="20"/>
              </w:rPr>
              <w:t>Infant</w:t>
            </w:r>
            <w:r w:rsidRPr="00150EDC">
              <w:rPr>
                <w:spacing w:val="-8"/>
                <w:sz w:val="20"/>
              </w:rPr>
              <w:t xml:space="preserve"> </w:t>
            </w:r>
            <w:r w:rsidRPr="00150EDC">
              <w:rPr>
                <w:sz w:val="20"/>
              </w:rPr>
              <w:t>Life</w:t>
            </w:r>
            <w:r w:rsidRPr="00150EDC">
              <w:rPr>
                <w:spacing w:val="-3"/>
                <w:sz w:val="20"/>
              </w:rPr>
              <w:t xml:space="preserve"> </w:t>
            </w:r>
            <w:r w:rsidRPr="00150EDC">
              <w:rPr>
                <w:sz w:val="20"/>
              </w:rPr>
              <w:t>Preservation</w:t>
            </w:r>
            <w:r w:rsidRPr="00150EDC">
              <w:rPr>
                <w:spacing w:val="-7"/>
                <w:sz w:val="20"/>
              </w:rPr>
              <w:t xml:space="preserve"> </w:t>
            </w:r>
            <w:r w:rsidRPr="00150EDC">
              <w:rPr>
                <w:sz w:val="20"/>
              </w:rPr>
              <w:t>Act</w:t>
            </w:r>
            <w:r w:rsidRPr="00150EDC">
              <w:rPr>
                <w:spacing w:val="-7"/>
                <w:sz w:val="20"/>
              </w:rPr>
              <w:t xml:space="preserve"> </w:t>
            </w:r>
            <w:r w:rsidRPr="00150EDC">
              <w:rPr>
                <w:sz w:val="20"/>
              </w:rPr>
              <w:t>1938,</w:t>
            </w:r>
            <w:r w:rsidRPr="00150EDC">
              <w:rPr>
                <w:spacing w:val="-7"/>
                <w:sz w:val="20"/>
              </w:rPr>
              <w:t xml:space="preserve"> </w:t>
            </w:r>
            <w:r w:rsidRPr="00150EDC">
              <w:rPr>
                <w:spacing w:val="-5"/>
                <w:sz w:val="20"/>
              </w:rPr>
              <w:t>s2</w:t>
            </w:r>
          </w:p>
        </w:tc>
        <w:tc>
          <w:tcPr>
            <w:tcW w:w="7427" w:type="dxa"/>
          </w:tcPr>
          <w:p w14:paraId="31CEDB73" w14:textId="77777777" w:rsidR="004C7180" w:rsidRPr="00150EDC" w:rsidRDefault="00CF0754">
            <w:pPr>
              <w:pStyle w:val="TableParagraph"/>
              <w:rPr>
                <w:sz w:val="20"/>
              </w:rPr>
            </w:pPr>
            <w:r w:rsidRPr="00150EDC">
              <w:rPr>
                <w:spacing w:val="-2"/>
                <w:sz w:val="20"/>
              </w:rPr>
              <w:t>Infanticide</w:t>
            </w:r>
          </w:p>
        </w:tc>
      </w:tr>
      <w:tr w:rsidR="004569EE" w:rsidRPr="007D3144" w14:paraId="5C0A1B59" w14:textId="77777777">
        <w:trPr>
          <w:trHeight w:val="255"/>
        </w:trPr>
        <w:tc>
          <w:tcPr>
            <w:tcW w:w="6517" w:type="dxa"/>
          </w:tcPr>
          <w:p w14:paraId="221B6C29" w14:textId="77777777" w:rsidR="004C7180" w:rsidRPr="00150EDC" w:rsidRDefault="00CF0754">
            <w:pPr>
              <w:pStyle w:val="TableParagraph"/>
              <w:rPr>
                <w:sz w:val="20"/>
              </w:rPr>
            </w:pPr>
            <w:r w:rsidRPr="00150EDC">
              <w:rPr>
                <w:sz w:val="20"/>
              </w:rPr>
              <w:t>International</w:t>
            </w:r>
            <w:r w:rsidRPr="00150EDC">
              <w:rPr>
                <w:spacing w:val="-6"/>
                <w:sz w:val="20"/>
              </w:rPr>
              <w:t xml:space="preserve"> </w:t>
            </w:r>
            <w:r w:rsidRPr="00150EDC">
              <w:rPr>
                <w:sz w:val="20"/>
              </w:rPr>
              <w:t>Criminal</w:t>
            </w:r>
            <w:r w:rsidRPr="00150EDC">
              <w:rPr>
                <w:spacing w:val="-6"/>
                <w:sz w:val="20"/>
              </w:rPr>
              <w:t xml:space="preserve"> </w:t>
            </w:r>
            <w:r w:rsidRPr="00150EDC">
              <w:rPr>
                <w:sz w:val="20"/>
              </w:rPr>
              <w:t>Court</w:t>
            </w:r>
            <w:r w:rsidRPr="00150EDC">
              <w:rPr>
                <w:spacing w:val="-8"/>
                <w:sz w:val="20"/>
              </w:rPr>
              <w:t xml:space="preserve"> </w:t>
            </w:r>
            <w:r w:rsidRPr="00150EDC">
              <w:rPr>
                <w:sz w:val="20"/>
              </w:rPr>
              <w:t>Act</w:t>
            </w:r>
            <w:r w:rsidRPr="00150EDC">
              <w:rPr>
                <w:spacing w:val="-6"/>
                <w:sz w:val="20"/>
              </w:rPr>
              <w:t xml:space="preserve"> </w:t>
            </w:r>
            <w:r w:rsidRPr="00150EDC">
              <w:rPr>
                <w:sz w:val="20"/>
              </w:rPr>
              <w:t>2001,</w:t>
            </w:r>
            <w:r w:rsidRPr="00150EDC">
              <w:rPr>
                <w:spacing w:val="-8"/>
                <w:sz w:val="20"/>
              </w:rPr>
              <w:t xml:space="preserve"> </w:t>
            </w:r>
            <w:r w:rsidRPr="00150EDC">
              <w:rPr>
                <w:spacing w:val="-5"/>
                <w:sz w:val="20"/>
              </w:rPr>
              <w:t>s51</w:t>
            </w:r>
          </w:p>
        </w:tc>
        <w:tc>
          <w:tcPr>
            <w:tcW w:w="7427" w:type="dxa"/>
          </w:tcPr>
          <w:p w14:paraId="11113425" w14:textId="77777777" w:rsidR="004C7180" w:rsidRPr="00150EDC" w:rsidRDefault="00CF0754">
            <w:pPr>
              <w:pStyle w:val="TableParagraph"/>
              <w:rPr>
                <w:sz w:val="20"/>
              </w:rPr>
            </w:pPr>
            <w:r w:rsidRPr="00150EDC">
              <w:rPr>
                <w:sz w:val="20"/>
              </w:rPr>
              <w:t>Genocide,</w:t>
            </w:r>
            <w:r w:rsidRPr="00150EDC">
              <w:rPr>
                <w:spacing w:val="-7"/>
                <w:sz w:val="20"/>
              </w:rPr>
              <w:t xml:space="preserve"> </w:t>
            </w:r>
            <w:r w:rsidRPr="00150EDC">
              <w:rPr>
                <w:sz w:val="20"/>
              </w:rPr>
              <w:t>crimes</w:t>
            </w:r>
            <w:r w:rsidRPr="00150EDC">
              <w:rPr>
                <w:spacing w:val="-1"/>
                <w:sz w:val="20"/>
              </w:rPr>
              <w:t xml:space="preserve"> </w:t>
            </w:r>
            <w:r w:rsidRPr="00150EDC">
              <w:rPr>
                <w:sz w:val="20"/>
              </w:rPr>
              <w:t>against</w:t>
            </w:r>
            <w:r w:rsidRPr="00150EDC">
              <w:rPr>
                <w:spacing w:val="-2"/>
                <w:sz w:val="20"/>
              </w:rPr>
              <w:t xml:space="preserve"> </w:t>
            </w:r>
            <w:r w:rsidRPr="00150EDC">
              <w:rPr>
                <w:sz w:val="20"/>
              </w:rPr>
              <w:t>humanity</w:t>
            </w:r>
            <w:r w:rsidRPr="00150EDC">
              <w:rPr>
                <w:spacing w:val="-5"/>
                <w:sz w:val="20"/>
              </w:rPr>
              <w:t xml:space="preserve"> </w:t>
            </w:r>
            <w:r w:rsidRPr="00150EDC">
              <w:rPr>
                <w:sz w:val="20"/>
              </w:rPr>
              <w:t>and</w:t>
            </w:r>
            <w:r w:rsidRPr="00150EDC">
              <w:rPr>
                <w:spacing w:val="-7"/>
                <w:sz w:val="20"/>
              </w:rPr>
              <w:t xml:space="preserve"> </w:t>
            </w:r>
            <w:r w:rsidRPr="00150EDC">
              <w:rPr>
                <w:sz w:val="20"/>
              </w:rPr>
              <w:t>war</w:t>
            </w:r>
            <w:r w:rsidRPr="00150EDC">
              <w:rPr>
                <w:spacing w:val="-6"/>
                <w:sz w:val="20"/>
              </w:rPr>
              <w:t xml:space="preserve"> </w:t>
            </w:r>
            <w:r w:rsidRPr="00150EDC">
              <w:rPr>
                <w:spacing w:val="-2"/>
                <w:sz w:val="20"/>
              </w:rPr>
              <w:t>crimes</w:t>
            </w:r>
          </w:p>
        </w:tc>
      </w:tr>
      <w:tr w:rsidR="004569EE" w:rsidRPr="007D3144" w14:paraId="0C3CDDB7" w14:textId="77777777">
        <w:trPr>
          <w:trHeight w:val="255"/>
        </w:trPr>
        <w:tc>
          <w:tcPr>
            <w:tcW w:w="6517" w:type="dxa"/>
          </w:tcPr>
          <w:p w14:paraId="0AC8101C" w14:textId="77777777" w:rsidR="004C7180" w:rsidRPr="00150EDC" w:rsidRDefault="00CF0754">
            <w:pPr>
              <w:pStyle w:val="TableParagraph"/>
              <w:spacing w:before="28"/>
              <w:rPr>
                <w:sz w:val="20"/>
              </w:rPr>
            </w:pPr>
            <w:r w:rsidRPr="00150EDC">
              <w:rPr>
                <w:sz w:val="20"/>
              </w:rPr>
              <w:t>International</w:t>
            </w:r>
            <w:r w:rsidRPr="00150EDC">
              <w:rPr>
                <w:spacing w:val="-6"/>
                <w:sz w:val="20"/>
              </w:rPr>
              <w:t xml:space="preserve"> </w:t>
            </w:r>
            <w:r w:rsidRPr="00150EDC">
              <w:rPr>
                <w:sz w:val="20"/>
              </w:rPr>
              <w:t>Criminal</w:t>
            </w:r>
            <w:r w:rsidRPr="00150EDC">
              <w:rPr>
                <w:spacing w:val="-6"/>
                <w:sz w:val="20"/>
              </w:rPr>
              <w:t xml:space="preserve"> </w:t>
            </w:r>
            <w:r w:rsidRPr="00150EDC">
              <w:rPr>
                <w:sz w:val="20"/>
              </w:rPr>
              <w:t>Court</w:t>
            </w:r>
            <w:r w:rsidRPr="00150EDC">
              <w:rPr>
                <w:spacing w:val="-8"/>
                <w:sz w:val="20"/>
              </w:rPr>
              <w:t xml:space="preserve"> </w:t>
            </w:r>
            <w:r w:rsidRPr="00150EDC">
              <w:rPr>
                <w:sz w:val="20"/>
              </w:rPr>
              <w:t>Act</w:t>
            </w:r>
            <w:r w:rsidRPr="00150EDC">
              <w:rPr>
                <w:spacing w:val="-6"/>
                <w:sz w:val="20"/>
              </w:rPr>
              <w:t xml:space="preserve"> </w:t>
            </w:r>
            <w:r w:rsidRPr="00150EDC">
              <w:rPr>
                <w:sz w:val="20"/>
              </w:rPr>
              <w:t>2001,</w:t>
            </w:r>
            <w:r w:rsidRPr="00150EDC">
              <w:rPr>
                <w:spacing w:val="-8"/>
                <w:sz w:val="20"/>
              </w:rPr>
              <w:t xml:space="preserve"> </w:t>
            </w:r>
            <w:r w:rsidRPr="00150EDC">
              <w:rPr>
                <w:spacing w:val="-5"/>
                <w:sz w:val="20"/>
              </w:rPr>
              <w:t>s52</w:t>
            </w:r>
          </w:p>
        </w:tc>
        <w:tc>
          <w:tcPr>
            <w:tcW w:w="7427" w:type="dxa"/>
          </w:tcPr>
          <w:p w14:paraId="381EAF6E" w14:textId="77777777" w:rsidR="004C7180" w:rsidRPr="00150EDC" w:rsidRDefault="00CF0754">
            <w:pPr>
              <w:pStyle w:val="TableParagraph"/>
              <w:spacing w:before="28"/>
              <w:rPr>
                <w:sz w:val="20"/>
              </w:rPr>
            </w:pPr>
            <w:r w:rsidRPr="00150EDC">
              <w:rPr>
                <w:sz w:val="20"/>
              </w:rPr>
              <w:t>Conduct</w:t>
            </w:r>
            <w:r w:rsidRPr="00150EDC">
              <w:rPr>
                <w:spacing w:val="-6"/>
                <w:sz w:val="20"/>
              </w:rPr>
              <w:t xml:space="preserve"> </w:t>
            </w:r>
            <w:r w:rsidRPr="00150EDC">
              <w:rPr>
                <w:sz w:val="20"/>
              </w:rPr>
              <w:t>ancillary</w:t>
            </w:r>
            <w:r w:rsidRPr="00150EDC">
              <w:rPr>
                <w:spacing w:val="-5"/>
                <w:sz w:val="20"/>
              </w:rPr>
              <w:t xml:space="preserve"> </w:t>
            </w:r>
            <w:r w:rsidRPr="00150EDC">
              <w:rPr>
                <w:sz w:val="20"/>
              </w:rPr>
              <w:t>to</w:t>
            </w:r>
            <w:r w:rsidRPr="00150EDC">
              <w:rPr>
                <w:spacing w:val="-2"/>
                <w:sz w:val="20"/>
              </w:rPr>
              <w:t xml:space="preserve"> </w:t>
            </w:r>
            <w:r w:rsidRPr="00150EDC">
              <w:rPr>
                <w:sz w:val="20"/>
              </w:rPr>
              <w:t>genocide,</w:t>
            </w:r>
            <w:r w:rsidRPr="00150EDC">
              <w:rPr>
                <w:spacing w:val="-6"/>
                <w:sz w:val="20"/>
              </w:rPr>
              <w:t xml:space="preserve"> </w:t>
            </w:r>
            <w:r w:rsidRPr="00150EDC">
              <w:rPr>
                <w:sz w:val="20"/>
              </w:rPr>
              <w:t>etc</w:t>
            </w:r>
            <w:r w:rsidRPr="00150EDC">
              <w:rPr>
                <w:spacing w:val="-6"/>
                <w:sz w:val="20"/>
              </w:rPr>
              <w:t xml:space="preserve"> </w:t>
            </w:r>
            <w:r w:rsidRPr="00150EDC">
              <w:rPr>
                <w:sz w:val="20"/>
              </w:rPr>
              <w:t>committed</w:t>
            </w:r>
            <w:r w:rsidRPr="00150EDC">
              <w:rPr>
                <w:spacing w:val="-6"/>
                <w:sz w:val="20"/>
              </w:rPr>
              <w:t xml:space="preserve"> </w:t>
            </w:r>
            <w:r w:rsidRPr="00150EDC">
              <w:rPr>
                <w:sz w:val="20"/>
              </w:rPr>
              <w:t>outside</w:t>
            </w:r>
            <w:r w:rsidRPr="00150EDC">
              <w:rPr>
                <w:spacing w:val="-6"/>
                <w:sz w:val="20"/>
              </w:rPr>
              <w:t xml:space="preserve"> </w:t>
            </w:r>
            <w:r w:rsidRPr="00150EDC">
              <w:rPr>
                <w:spacing w:val="-2"/>
                <w:sz w:val="20"/>
              </w:rPr>
              <w:t>jurisdiction</w:t>
            </w:r>
          </w:p>
        </w:tc>
      </w:tr>
      <w:tr w:rsidR="004569EE" w:rsidRPr="007D3144" w14:paraId="3E169198" w14:textId="77777777">
        <w:trPr>
          <w:trHeight w:val="255"/>
        </w:trPr>
        <w:tc>
          <w:tcPr>
            <w:tcW w:w="6517" w:type="dxa"/>
          </w:tcPr>
          <w:p w14:paraId="1612654A" w14:textId="77777777" w:rsidR="004C7180" w:rsidRPr="00150EDC" w:rsidRDefault="00CF0754">
            <w:pPr>
              <w:pStyle w:val="TableParagraph"/>
              <w:rPr>
                <w:sz w:val="20"/>
              </w:rPr>
            </w:pPr>
            <w:r w:rsidRPr="00150EDC">
              <w:rPr>
                <w:sz w:val="20"/>
              </w:rPr>
              <w:t>Intoxicating</w:t>
            </w:r>
            <w:r w:rsidRPr="00150EDC">
              <w:rPr>
                <w:spacing w:val="-9"/>
                <w:sz w:val="20"/>
              </w:rPr>
              <w:t xml:space="preserve"> </w:t>
            </w:r>
            <w:r w:rsidRPr="00150EDC">
              <w:rPr>
                <w:sz w:val="20"/>
              </w:rPr>
              <w:t>Substances</w:t>
            </w:r>
            <w:r w:rsidRPr="00150EDC">
              <w:rPr>
                <w:spacing w:val="-2"/>
                <w:sz w:val="20"/>
              </w:rPr>
              <w:t xml:space="preserve"> </w:t>
            </w:r>
            <w:r w:rsidRPr="00150EDC">
              <w:rPr>
                <w:sz w:val="20"/>
              </w:rPr>
              <w:t>(Supply)</w:t>
            </w:r>
            <w:r w:rsidRPr="00150EDC">
              <w:rPr>
                <w:spacing w:val="-8"/>
                <w:sz w:val="20"/>
              </w:rPr>
              <w:t xml:space="preserve"> </w:t>
            </w:r>
            <w:r w:rsidRPr="00150EDC">
              <w:rPr>
                <w:sz w:val="20"/>
              </w:rPr>
              <w:t>Act</w:t>
            </w:r>
            <w:r w:rsidRPr="00150EDC">
              <w:rPr>
                <w:spacing w:val="-6"/>
                <w:sz w:val="20"/>
              </w:rPr>
              <w:t xml:space="preserve"> </w:t>
            </w:r>
            <w:r w:rsidRPr="00150EDC">
              <w:rPr>
                <w:sz w:val="20"/>
              </w:rPr>
              <w:t>1985,</w:t>
            </w:r>
            <w:r w:rsidRPr="00150EDC">
              <w:rPr>
                <w:spacing w:val="-8"/>
                <w:sz w:val="20"/>
              </w:rPr>
              <w:t xml:space="preserve"> </w:t>
            </w:r>
            <w:r w:rsidRPr="00150EDC">
              <w:rPr>
                <w:spacing w:val="-5"/>
                <w:sz w:val="20"/>
              </w:rPr>
              <w:t>s1</w:t>
            </w:r>
          </w:p>
        </w:tc>
        <w:tc>
          <w:tcPr>
            <w:tcW w:w="7427" w:type="dxa"/>
          </w:tcPr>
          <w:p w14:paraId="5AC47703" w14:textId="77777777" w:rsidR="004C7180" w:rsidRPr="00150EDC" w:rsidRDefault="00CF0754">
            <w:pPr>
              <w:pStyle w:val="TableParagraph"/>
              <w:rPr>
                <w:sz w:val="20"/>
              </w:rPr>
            </w:pPr>
            <w:r w:rsidRPr="00150EDC">
              <w:rPr>
                <w:sz w:val="20"/>
              </w:rPr>
              <w:t>Supply</w:t>
            </w:r>
            <w:r w:rsidRPr="00150EDC">
              <w:rPr>
                <w:spacing w:val="-4"/>
                <w:sz w:val="20"/>
              </w:rPr>
              <w:t xml:space="preserve"> </w:t>
            </w:r>
            <w:r w:rsidRPr="00150EDC">
              <w:rPr>
                <w:sz w:val="20"/>
              </w:rPr>
              <w:t>of</w:t>
            </w:r>
            <w:r w:rsidRPr="00150EDC">
              <w:rPr>
                <w:spacing w:val="-6"/>
                <w:sz w:val="20"/>
              </w:rPr>
              <w:t xml:space="preserve"> </w:t>
            </w:r>
            <w:r w:rsidRPr="00150EDC">
              <w:rPr>
                <w:sz w:val="20"/>
              </w:rPr>
              <w:t>intoxicating</w:t>
            </w:r>
            <w:r w:rsidRPr="00150EDC">
              <w:rPr>
                <w:spacing w:val="-6"/>
                <w:sz w:val="20"/>
              </w:rPr>
              <w:t xml:space="preserve"> </w:t>
            </w:r>
            <w:r w:rsidRPr="00150EDC">
              <w:rPr>
                <w:sz w:val="20"/>
              </w:rPr>
              <w:t>substances to</w:t>
            </w:r>
            <w:r w:rsidRPr="00150EDC">
              <w:rPr>
                <w:spacing w:val="-5"/>
                <w:sz w:val="20"/>
              </w:rPr>
              <w:t xml:space="preserve"> </w:t>
            </w:r>
            <w:r w:rsidRPr="00150EDC">
              <w:rPr>
                <w:sz w:val="20"/>
              </w:rPr>
              <w:t>a</w:t>
            </w:r>
            <w:r w:rsidRPr="00150EDC">
              <w:rPr>
                <w:spacing w:val="-6"/>
                <w:sz w:val="20"/>
              </w:rPr>
              <w:t xml:space="preserve"> </w:t>
            </w:r>
            <w:r w:rsidRPr="00150EDC">
              <w:rPr>
                <w:sz w:val="20"/>
              </w:rPr>
              <w:t>child</w:t>
            </w:r>
            <w:r w:rsidRPr="00150EDC">
              <w:rPr>
                <w:spacing w:val="-6"/>
                <w:sz w:val="20"/>
              </w:rPr>
              <w:t xml:space="preserve"> </w:t>
            </w:r>
            <w:r w:rsidRPr="00150EDC">
              <w:rPr>
                <w:sz w:val="20"/>
              </w:rPr>
              <w:t xml:space="preserve">(under </w:t>
            </w:r>
            <w:r w:rsidRPr="00150EDC">
              <w:rPr>
                <w:spacing w:val="-5"/>
                <w:sz w:val="20"/>
              </w:rPr>
              <w:t>16)</w:t>
            </w:r>
          </w:p>
        </w:tc>
      </w:tr>
      <w:tr w:rsidR="004569EE" w:rsidRPr="007D3144" w14:paraId="016E3D69" w14:textId="77777777">
        <w:trPr>
          <w:trHeight w:val="255"/>
        </w:trPr>
        <w:tc>
          <w:tcPr>
            <w:tcW w:w="6517" w:type="dxa"/>
          </w:tcPr>
          <w:p w14:paraId="02DC5674" w14:textId="77777777" w:rsidR="004C7180" w:rsidRPr="00150EDC" w:rsidRDefault="00CF0754">
            <w:pPr>
              <w:pStyle w:val="TableParagraph"/>
              <w:rPr>
                <w:sz w:val="20"/>
              </w:rPr>
            </w:pPr>
            <w:r w:rsidRPr="00150EDC">
              <w:rPr>
                <w:sz w:val="20"/>
              </w:rPr>
              <w:t>Larceny</w:t>
            </w:r>
            <w:r w:rsidRPr="00150EDC">
              <w:rPr>
                <w:spacing w:val="-9"/>
                <w:sz w:val="20"/>
              </w:rPr>
              <w:t xml:space="preserve"> </w:t>
            </w:r>
            <w:r w:rsidRPr="00150EDC">
              <w:rPr>
                <w:sz w:val="20"/>
              </w:rPr>
              <w:t>Act</w:t>
            </w:r>
            <w:r w:rsidRPr="00150EDC">
              <w:rPr>
                <w:spacing w:val="-5"/>
                <w:sz w:val="20"/>
              </w:rPr>
              <w:t xml:space="preserve"> </w:t>
            </w:r>
            <w:r w:rsidRPr="00150EDC">
              <w:rPr>
                <w:sz w:val="20"/>
              </w:rPr>
              <w:t>1916,</w:t>
            </w:r>
            <w:r w:rsidRPr="00150EDC">
              <w:rPr>
                <w:spacing w:val="-4"/>
                <w:sz w:val="20"/>
              </w:rPr>
              <w:t xml:space="preserve"> </w:t>
            </w:r>
            <w:r w:rsidRPr="00150EDC">
              <w:rPr>
                <w:spacing w:val="-5"/>
                <w:sz w:val="20"/>
              </w:rPr>
              <w:t>s23</w:t>
            </w:r>
          </w:p>
        </w:tc>
        <w:tc>
          <w:tcPr>
            <w:tcW w:w="7427" w:type="dxa"/>
          </w:tcPr>
          <w:p w14:paraId="59ED58A3" w14:textId="77777777" w:rsidR="004C7180" w:rsidRPr="00150EDC" w:rsidRDefault="00CF0754">
            <w:pPr>
              <w:pStyle w:val="TableParagraph"/>
              <w:rPr>
                <w:sz w:val="20"/>
              </w:rPr>
            </w:pPr>
            <w:r w:rsidRPr="00150EDC">
              <w:rPr>
                <w:spacing w:val="-2"/>
                <w:sz w:val="20"/>
              </w:rPr>
              <w:t>Robbery</w:t>
            </w:r>
          </w:p>
        </w:tc>
      </w:tr>
      <w:tr w:rsidR="004569EE" w:rsidRPr="007D3144" w14:paraId="15038A63" w14:textId="77777777">
        <w:trPr>
          <w:trHeight w:val="255"/>
        </w:trPr>
        <w:tc>
          <w:tcPr>
            <w:tcW w:w="6517" w:type="dxa"/>
          </w:tcPr>
          <w:p w14:paraId="7D36A79A" w14:textId="77777777" w:rsidR="004C7180" w:rsidRPr="00150EDC" w:rsidRDefault="00CF0754">
            <w:pPr>
              <w:pStyle w:val="TableParagraph"/>
              <w:rPr>
                <w:sz w:val="20"/>
              </w:rPr>
            </w:pPr>
            <w:r w:rsidRPr="00150EDC">
              <w:rPr>
                <w:sz w:val="20"/>
              </w:rPr>
              <w:t>Larceny</w:t>
            </w:r>
            <w:r w:rsidRPr="00150EDC">
              <w:rPr>
                <w:spacing w:val="-9"/>
                <w:sz w:val="20"/>
              </w:rPr>
              <w:t xml:space="preserve"> </w:t>
            </w:r>
            <w:r w:rsidRPr="00150EDC">
              <w:rPr>
                <w:sz w:val="20"/>
              </w:rPr>
              <w:t>Act</w:t>
            </w:r>
            <w:r w:rsidRPr="00150EDC">
              <w:rPr>
                <w:spacing w:val="-5"/>
                <w:sz w:val="20"/>
              </w:rPr>
              <w:t xml:space="preserve"> </w:t>
            </w:r>
            <w:r w:rsidRPr="00150EDC">
              <w:rPr>
                <w:sz w:val="20"/>
              </w:rPr>
              <w:t>1916,</w:t>
            </w:r>
            <w:r w:rsidRPr="00150EDC">
              <w:rPr>
                <w:spacing w:val="-4"/>
                <w:sz w:val="20"/>
              </w:rPr>
              <w:t xml:space="preserve"> </w:t>
            </w:r>
            <w:r w:rsidRPr="00150EDC">
              <w:rPr>
                <w:spacing w:val="-5"/>
                <w:sz w:val="20"/>
              </w:rPr>
              <w:t>s27</w:t>
            </w:r>
          </w:p>
        </w:tc>
        <w:tc>
          <w:tcPr>
            <w:tcW w:w="7427" w:type="dxa"/>
          </w:tcPr>
          <w:p w14:paraId="34C8C392" w14:textId="77777777" w:rsidR="004C7180" w:rsidRPr="00150EDC" w:rsidRDefault="00CF0754">
            <w:pPr>
              <w:pStyle w:val="TableParagraph"/>
              <w:rPr>
                <w:sz w:val="20"/>
              </w:rPr>
            </w:pPr>
            <w:r w:rsidRPr="00150EDC">
              <w:rPr>
                <w:sz w:val="20"/>
              </w:rPr>
              <w:t>Housebreaking</w:t>
            </w:r>
            <w:r w:rsidRPr="00150EDC">
              <w:rPr>
                <w:spacing w:val="-7"/>
                <w:sz w:val="20"/>
              </w:rPr>
              <w:t xml:space="preserve"> </w:t>
            </w:r>
            <w:r w:rsidRPr="00150EDC">
              <w:rPr>
                <w:sz w:val="20"/>
              </w:rPr>
              <w:t>with</w:t>
            </w:r>
            <w:r w:rsidRPr="00150EDC">
              <w:rPr>
                <w:spacing w:val="-6"/>
                <w:sz w:val="20"/>
              </w:rPr>
              <w:t xml:space="preserve"> </w:t>
            </w:r>
            <w:r w:rsidRPr="00150EDC">
              <w:rPr>
                <w:sz w:val="20"/>
              </w:rPr>
              <w:t>intent</w:t>
            </w:r>
            <w:r w:rsidRPr="00150EDC">
              <w:rPr>
                <w:spacing w:val="-2"/>
                <w:sz w:val="20"/>
              </w:rPr>
              <w:t xml:space="preserve"> </w:t>
            </w:r>
            <w:r w:rsidRPr="00150EDC">
              <w:rPr>
                <w:sz w:val="20"/>
              </w:rPr>
              <w:t>to</w:t>
            </w:r>
            <w:r w:rsidRPr="00150EDC">
              <w:rPr>
                <w:spacing w:val="-6"/>
                <w:sz w:val="20"/>
              </w:rPr>
              <w:t xml:space="preserve"> </w:t>
            </w:r>
            <w:r w:rsidRPr="00150EDC">
              <w:rPr>
                <w:sz w:val="20"/>
              </w:rPr>
              <w:t>commit</w:t>
            </w:r>
            <w:r w:rsidRPr="00150EDC">
              <w:rPr>
                <w:spacing w:val="-6"/>
                <w:sz w:val="20"/>
              </w:rPr>
              <w:t xml:space="preserve"> </w:t>
            </w:r>
            <w:r w:rsidRPr="00150EDC">
              <w:rPr>
                <w:spacing w:val="-2"/>
                <w:sz w:val="20"/>
              </w:rPr>
              <w:t>felony</w:t>
            </w:r>
          </w:p>
        </w:tc>
      </w:tr>
      <w:tr w:rsidR="004569EE" w:rsidRPr="007D3144" w14:paraId="65BBCD7D" w14:textId="77777777">
        <w:trPr>
          <w:trHeight w:val="460"/>
        </w:trPr>
        <w:tc>
          <w:tcPr>
            <w:tcW w:w="6517" w:type="dxa"/>
          </w:tcPr>
          <w:p w14:paraId="43E0C358" w14:textId="77777777" w:rsidR="004C7180" w:rsidRPr="00150EDC" w:rsidRDefault="004C7180">
            <w:pPr>
              <w:pStyle w:val="TableParagraph"/>
              <w:spacing w:before="3" w:line="240" w:lineRule="auto"/>
              <w:ind w:left="0"/>
              <w:rPr>
                <w:sz w:val="20"/>
              </w:rPr>
            </w:pPr>
          </w:p>
          <w:p w14:paraId="20B2D678" w14:textId="77777777" w:rsidR="004C7180" w:rsidRPr="00150EDC" w:rsidRDefault="00CF0754">
            <w:pPr>
              <w:pStyle w:val="TableParagraph"/>
              <w:spacing w:before="0"/>
              <w:rPr>
                <w:sz w:val="20"/>
              </w:rPr>
            </w:pPr>
            <w:r w:rsidRPr="00150EDC">
              <w:rPr>
                <w:sz w:val="20"/>
              </w:rPr>
              <w:t>Law</w:t>
            </w:r>
            <w:r w:rsidRPr="00150EDC">
              <w:rPr>
                <w:spacing w:val="-7"/>
                <w:sz w:val="20"/>
              </w:rPr>
              <w:t xml:space="preserve"> </w:t>
            </w:r>
            <w:r w:rsidRPr="00150EDC">
              <w:rPr>
                <w:sz w:val="20"/>
              </w:rPr>
              <w:t>(1895)</w:t>
            </w:r>
            <w:r w:rsidRPr="00150EDC">
              <w:rPr>
                <w:spacing w:val="-5"/>
                <w:sz w:val="20"/>
              </w:rPr>
              <w:t xml:space="preserve"> </w:t>
            </w:r>
            <w:r w:rsidRPr="00150EDC">
              <w:rPr>
                <w:sz w:val="20"/>
              </w:rPr>
              <w:t>(Jersey)</w:t>
            </w:r>
            <w:r w:rsidRPr="00150EDC">
              <w:rPr>
                <w:spacing w:val="-9"/>
                <w:sz w:val="20"/>
              </w:rPr>
              <w:t xml:space="preserve"> </w:t>
            </w:r>
            <w:r w:rsidRPr="00150EDC">
              <w:rPr>
                <w:sz w:val="20"/>
              </w:rPr>
              <w:t>Criminal</w:t>
            </w:r>
            <w:r w:rsidRPr="00150EDC">
              <w:rPr>
                <w:spacing w:val="-6"/>
                <w:sz w:val="20"/>
              </w:rPr>
              <w:t xml:space="preserve"> </w:t>
            </w:r>
            <w:r w:rsidRPr="00150EDC">
              <w:rPr>
                <w:sz w:val="20"/>
              </w:rPr>
              <w:t>Law</w:t>
            </w:r>
            <w:r w:rsidRPr="00150EDC">
              <w:rPr>
                <w:spacing w:val="-7"/>
                <w:sz w:val="20"/>
              </w:rPr>
              <w:t xml:space="preserve"> </w:t>
            </w:r>
            <w:r w:rsidRPr="00150EDC">
              <w:rPr>
                <w:sz w:val="20"/>
              </w:rPr>
              <w:t>Amendment,</w:t>
            </w:r>
            <w:r w:rsidRPr="00150EDC">
              <w:rPr>
                <w:spacing w:val="-8"/>
                <w:sz w:val="20"/>
              </w:rPr>
              <w:t xml:space="preserve"> </w:t>
            </w:r>
            <w:r w:rsidRPr="00150EDC">
              <w:rPr>
                <w:sz w:val="20"/>
              </w:rPr>
              <w:t>Art</w:t>
            </w:r>
            <w:r w:rsidRPr="00150EDC">
              <w:rPr>
                <w:spacing w:val="-8"/>
                <w:sz w:val="20"/>
              </w:rPr>
              <w:t xml:space="preserve"> </w:t>
            </w:r>
            <w:r w:rsidRPr="00150EDC">
              <w:rPr>
                <w:spacing w:val="-10"/>
                <w:sz w:val="20"/>
              </w:rPr>
              <w:t>1</w:t>
            </w:r>
          </w:p>
        </w:tc>
        <w:tc>
          <w:tcPr>
            <w:tcW w:w="7427" w:type="dxa"/>
          </w:tcPr>
          <w:p w14:paraId="07DA88B9" w14:textId="77777777" w:rsidR="004C7180" w:rsidRPr="00150EDC" w:rsidRDefault="00CF0754">
            <w:pPr>
              <w:pStyle w:val="TableParagraph"/>
              <w:spacing w:before="0" w:line="230" w:lineRule="atLeast"/>
              <w:ind w:right="186"/>
              <w:rPr>
                <w:sz w:val="20"/>
              </w:rPr>
            </w:pPr>
            <w:r w:rsidRPr="00150EDC">
              <w:rPr>
                <w:sz w:val="20"/>
              </w:rPr>
              <w:t>Administering or</w:t>
            </w:r>
            <w:r w:rsidRPr="00150EDC">
              <w:rPr>
                <w:spacing w:val="-5"/>
                <w:sz w:val="20"/>
              </w:rPr>
              <w:t xml:space="preserve"> </w:t>
            </w:r>
            <w:r w:rsidRPr="00150EDC">
              <w:rPr>
                <w:sz w:val="20"/>
              </w:rPr>
              <w:t>causing</w:t>
            </w:r>
            <w:r w:rsidRPr="00150EDC">
              <w:rPr>
                <w:spacing w:val="-5"/>
                <w:sz w:val="20"/>
              </w:rPr>
              <w:t xml:space="preserve"> </w:t>
            </w:r>
            <w:r w:rsidRPr="00150EDC">
              <w:rPr>
                <w:sz w:val="20"/>
              </w:rPr>
              <w:t>to be</w:t>
            </w:r>
            <w:r w:rsidRPr="00150EDC">
              <w:rPr>
                <w:spacing w:val="-5"/>
                <w:sz w:val="20"/>
              </w:rPr>
              <w:t xml:space="preserve"> </w:t>
            </w:r>
            <w:r w:rsidRPr="00150EDC">
              <w:rPr>
                <w:sz w:val="20"/>
              </w:rPr>
              <w:t>taken</w:t>
            </w:r>
            <w:r w:rsidRPr="00150EDC">
              <w:rPr>
                <w:spacing w:val="-5"/>
                <w:sz w:val="20"/>
              </w:rPr>
              <w:t xml:space="preserve"> </w:t>
            </w:r>
            <w:r w:rsidRPr="00150EDC">
              <w:rPr>
                <w:sz w:val="20"/>
              </w:rPr>
              <w:t>any</w:t>
            </w:r>
            <w:r w:rsidRPr="00150EDC">
              <w:rPr>
                <w:spacing w:val="-4"/>
                <w:sz w:val="20"/>
              </w:rPr>
              <w:t xml:space="preserve"> </w:t>
            </w:r>
            <w:r w:rsidRPr="00150EDC">
              <w:rPr>
                <w:sz w:val="20"/>
              </w:rPr>
              <w:t>drug</w:t>
            </w:r>
            <w:r w:rsidRPr="00150EDC">
              <w:rPr>
                <w:spacing w:val="-5"/>
                <w:sz w:val="20"/>
              </w:rPr>
              <w:t xml:space="preserve"> </w:t>
            </w:r>
            <w:r w:rsidRPr="00150EDC">
              <w:rPr>
                <w:sz w:val="20"/>
              </w:rPr>
              <w:t>or substance</w:t>
            </w:r>
            <w:r w:rsidRPr="00150EDC">
              <w:rPr>
                <w:spacing w:val="-5"/>
                <w:sz w:val="20"/>
              </w:rPr>
              <w:t xml:space="preserve"> </w:t>
            </w:r>
            <w:r w:rsidRPr="00150EDC">
              <w:rPr>
                <w:sz w:val="20"/>
              </w:rPr>
              <w:t>to</w:t>
            </w:r>
            <w:r w:rsidRPr="00150EDC">
              <w:rPr>
                <w:spacing w:val="-5"/>
                <w:sz w:val="20"/>
              </w:rPr>
              <w:t xml:space="preserve"> </w:t>
            </w:r>
            <w:r w:rsidRPr="00150EDC">
              <w:rPr>
                <w:sz w:val="20"/>
              </w:rPr>
              <w:t>have</w:t>
            </w:r>
            <w:r w:rsidRPr="00150EDC">
              <w:rPr>
                <w:spacing w:val="-5"/>
                <w:sz w:val="20"/>
              </w:rPr>
              <w:t xml:space="preserve"> </w:t>
            </w:r>
            <w:r w:rsidRPr="00150EDC">
              <w:rPr>
                <w:sz w:val="20"/>
              </w:rPr>
              <w:t>unlawful carnal intervourse with a woman or a girl</w:t>
            </w:r>
          </w:p>
        </w:tc>
      </w:tr>
      <w:tr w:rsidR="004569EE" w:rsidRPr="007D3144" w14:paraId="54A007A0" w14:textId="77777777">
        <w:trPr>
          <w:trHeight w:val="255"/>
        </w:trPr>
        <w:tc>
          <w:tcPr>
            <w:tcW w:w="6517" w:type="dxa"/>
          </w:tcPr>
          <w:p w14:paraId="70C71BA9" w14:textId="77777777" w:rsidR="004C7180" w:rsidRPr="00150EDC" w:rsidRDefault="00CF0754">
            <w:pPr>
              <w:pStyle w:val="TableParagraph"/>
              <w:rPr>
                <w:sz w:val="20"/>
              </w:rPr>
            </w:pPr>
            <w:r w:rsidRPr="00150EDC">
              <w:rPr>
                <w:sz w:val="20"/>
              </w:rPr>
              <w:t>Law</w:t>
            </w:r>
            <w:r w:rsidRPr="00150EDC">
              <w:rPr>
                <w:spacing w:val="-7"/>
                <w:sz w:val="20"/>
              </w:rPr>
              <w:t xml:space="preserve"> </w:t>
            </w:r>
            <w:r w:rsidRPr="00150EDC">
              <w:rPr>
                <w:sz w:val="20"/>
              </w:rPr>
              <w:t>(1895)</w:t>
            </w:r>
            <w:r w:rsidRPr="00150EDC">
              <w:rPr>
                <w:spacing w:val="-5"/>
                <w:sz w:val="20"/>
              </w:rPr>
              <w:t xml:space="preserve"> </w:t>
            </w:r>
            <w:r w:rsidRPr="00150EDC">
              <w:rPr>
                <w:sz w:val="20"/>
              </w:rPr>
              <w:t>(Jersey)</w:t>
            </w:r>
            <w:r w:rsidRPr="00150EDC">
              <w:rPr>
                <w:spacing w:val="-9"/>
                <w:sz w:val="20"/>
              </w:rPr>
              <w:t xml:space="preserve"> </w:t>
            </w:r>
            <w:r w:rsidRPr="00150EDC">
              <w:rPr>
                <w:sz w:val="20"/>
              </w:rPr>
              <w:t>Criminal</w:t>
            </w:r>
            <w:r w:rsidRPr="00150EDC">
              <w:rPr>
                <w:spacing w:val="-6"/>
                <w:sz w:val="20"/>
              </w:rPr>
              <w:t xml:space="preserve"> </w:t>
            </w:r>
            <w:r w:rsidRPr="00150EDC">
              <w:rPr>
                <w:sz w:val="20"/>
              </w:rPr>
              <w:t>Law</w:t>
            </w:r>
            <w:r w:rsidRPr="00150EDC">
              <w:rPr>
                <w:spacing w:val="-7"/>
                <w:sz w:val="20"/>
              </w:rPr>
              <w:t xml:space="preserve"> </w:t>
            </w:r>
            <w:r w:rsidRPr="00150EDC">
              <w:rPr>
                <w:sz w:val="20"/>
              </w:rPr>
              <w:t>Amendment,</w:t>
            </w:r>
            <w:r w:rsidRPr="00150EDC">
              <w:rPr>
                <w:spacing w:val="-8"/>
                <w:sz w:val="20"/>
              </w:rPr>
              <w:t xml:space="preserve"> </w:t>
            </w:r>
            <w:r w:rsidRPr="00150EDC">
              <w:rPr>
                <w:sz w:val="20"/>
              </w:rPr>
              <w:t>Art</w:t>
            </w:r>
            <w:r w:rsidRPr="00150EDC">
              <w:rPr>
                <w:spacing w:val="-8"/>
                <w:sz w:val="20"/>
              </w:rPr>
              <w:t xml:space="preserve"> </w:t>
            </w:r>
            <w:r w:rsidRPr="00150EDC">
              <w:rPr>
                <w:spacing w:val="-10"/>
                <w:sz w:val="20"/>
              </w:rPr>
              <w:t>1</w:t>
            </w:r>
          </w:p>
        </w:tc>
        <w:tc>
          <w:tcPr>
            <w:tcW w:w="7427" w:type="dxa"/>
          </w:tcPr>
          <w:p w14:paraId="217D07C6" w14:textId="77777777" w:rsidR="004C7180" w:rsidRPr="00150EDC" w:rsidRDefault="00CF0754">
            <w:pPr>
              <w:pStyle w:val="TableParagraph"/>
              <w:rPr>
                <w:sz w:val="20"/>
              </w:rPr>
            </w:pPr>
            <w:r w:rsidRPr="00150EDC">
              <w:rPr>
                <w:sz w:val="20"/>
              </w:rPr>
              <w:t>Brothel</w:t>
            </w:r>
            <w:r w:rsidRPr="00150EDC">
              <w:rPr>
                <w:spacing w:val="-8"/>
                <w:sz w:val="20"/>
              </w:rPr>
              <w:t xml:space="preserve"> </w:t>
            </w:r>
            <w:r w:rsidRPr="00150EDC">
              <w:rPr>
                <w:spacing w:val="-2"/>
                <w:sz w:val="20"/>
              </w:rPr>
              <w:t>keeping</w:t>
            </w:r>
          </w:p>
        </w:tc>
      </w:tr>
      <w:tr w:rsidR="004569EE" w:rsidRPr="007D3144" w14:paraId="06683EB7" w14:textId="77777777">
        <w:trPr>
          <w:trHeight w:val="255"/>
        </w:trPr>
        <w:tc>
          <w:tcPr>
            <w:tcW w:w="6517" w:type="dxa"/>
          </w:tcPr>
          <w:p w14:paraId="1A517705" w14:textId="77777777" w:rsidR="004C7180" w:rsidRPr="00150EDC" w:rsidRDefault="00CF0754">
            <w:pPr>
              <w:pStyle w:val="TableParagraph"/>
              <w:rPr>
                <w:sz w:val="20"/>
              </w:rPr>
            </w:pPr>
            <w:r w:rsidRPr="00150EDC">
              <w:rPr>
                <w:sz w:val="20"/>
              </w:rPr>
              <w:t>Law</w:t>
            </w:r>
            <w:r w:rsidRPr="00150EDC">
              <w:rPr>
                <w:spacing w:val="-7"/>
                <w:sz w:val="20"/>
              </w:rPr>
              <w:t xml:space="preserve"> </w:t>
            </w:r>
            <w:r w:rsidRPr="00150EDC">
              <w:rPr>
                <w:sz w:val="20"/>
              </w:rPr>
              <w:t>(1895)</w:t>
            </w:r>
            <w:r w:rsidRPr="00150EDC">
              <w:rPr>
                <w:spacing w:val="-5"/>
                <w:sz w:val="20"/>
              </w:rPr>
              <w:t xml:space="preserve"> </w:t>
            </w:r>
            <w:r w:rsidRPr="00150EDC">
              <w:rPr>
                <w:sz w:val="20"/>
              </w:rPr>
              <w:t>(Jersey)</w:t>
            </w:r>
            <w:r w:rsidRPr="00150EDC">
              <w:rPr>
                <w:spacing w:val="-9"/>
                <w:sz w:val="20"/>
              </w:rPr>
              <w:t xml:space="preserve"> </w:t>
            </w:r>
            <w:r w:rsidRPr="00150EDC">
              <w:rPr>
                <w:sz w:val="20"/>
              </w:rPr>
              <w:t>Criminal</w:t>
            </w:r>
            <w:r w:rsidRPr="00150EDC">
              <w:rPr>
                <w:spacing w:val="-6"/>
                <w:sz w:val="20"/>
              </w:rPr>
              <w:t xml:space="preserve"> </w:t>
            </w:r>
            <w:r w:rsidRPr="00150EDC">
              <w:rPr>
                <w:sz w:val="20"/>
              </w:rPr>
              <w:t>Law</w:t>
            </w:r>
            <w:r w:rsidRPr="00150EDC">
              <w:rPr>
                <w:spacing w:val="-7"/>
                <w:sz w:val="20"/>
              </w:rPr>
              <w:t xml:space="preserve"> </w:t>
            </w:r>
            <w:r w:rsidRPr="00150EDC">
              <w:rPr>
                <w:sz w:val="20"/>
              </w:rPr>
              <w:t>Amendment,</w:t>
            </w:r>
            <w:r w:rsidRPr="00150EDC">
              <w:rPr>
                <w:spacing w:val="-8"/>
                <w:sz w:val="20"/>
              </w:rPr>
              <w:t xml:space="preserve"> </w:t>
            </w:r>
            <w:r w:rsidRPr="00150EDC">
              <w:rPr>
                <w:sz w:val="20"/>
              </w:rPr>
              <w:t>Art</w:t>
            </w:r>
            <w:r w:rsidRPr="00150EDC">
              <w:rPr>
                <w:spacing w:val="-8"/>
                <w:sz w:val="20"/>
              </w:rPr>
              <w:t xml:space="preserve"> </w:t>
            </w:r>
            <w:r w:rsidRPr="00150EDC">
              <w:rPr>
                <w:spacing w:val="-10"/>
                <w:sz w:val="20"/>
              </w:rPr>
              <w:t>1</w:t>
            </w:r>
          </w:p>
        </w:tc>
        <w:tc>
          <w:tcPr>
            <w:tcW w:w="7427" w:type="dxa"/>
          </w:tcPr>
          <w:p w14:paraId="424FB1E4" w14:textId="77777777" w:rsidR="004C7180" w:rsidRPr="00150EDC" w:rsidRDefault="00CF0754">
            <w:pPr>
              <w:pStyle w:val="TableParagraph"/>
              <w:rPr>
                <w:sz w:val="20"/>
              </w:rPr>
            </w:pPr>
            <w:r w:rsidRPr="00150EDC">
              <w:rPr>
                <w:sz w:val="20"/>
              </w:rPr>
              <w:t>Causing</w:t>
            </w:r>
            <w:r w:rsidRPr="00150EDC">
              <w:rPr>
                <w:spacing w:val="-4"/>
                <w:sz w:val="20"/>
              </w:rPr>
              <w:t xml:space="preserve"> </w:t>
            </w:r>
            <w:r w:rsidRPr="00150EDC">
              <w:rPr>
                <w:sz w:val="20"/>
              </w:rPr>
              <w:t>a</w:t>
            </w:r>
            <w:r w:rsidRPr="00150EDC">
              <w:rPr>
                <w:spacing w:val="-4"/>
                <w:sz w:val="20"/>
              </w:rPr>
              <w:t xml:space="preserve"> </w:t>
            </w:r>
            <w:r w:rsidRPr="00150EDC">
              <w:rPr>
                <w:sz w:val="20"/>
              </w:rPr>
              <w:t>girl</w:t>
            </w:r>
            <w:r w:rsidRPr="00150EDC">
              <w:rPr>
                <w:spacing w:val="-1"/>
                <w:sz w:val="20"/>
              </w:rPr>
              <w:t xml:space="preserve"> </w:t>
            </w:r>
            <w:r w:rsidRPr="00150EDC">
              <w:rPr>
                <w:sz w:val="20"/>
              </w:rPr>
              <w:t>under</w:t>
            </w:r>
            <w:r w:rsidRPr="00150EDC">
              <w:rPr>
                <w:spacing w:val="-4"/>
                <w:sz w:val="20"/>
              </w:rPr>
              <w:t xml:space="preserve"> </w:t>
            </w:r>
            <w:r w:rsidRPr="00150EDC">
              <w:rPr>
                <w:sz w:val="20"/>
              </w:rPr>
              <w:t>the</w:t>
            </w:r>
            <w:r w:rsidRPr="00150EDC">
              <w:rPr>
                <w:spacing w:val="-3"/>
                <w:sz w:val="20"/>
              </w:rPr>
              <w:t xml:space="preserve"> </w:t>
            </w:r>
            <w:r w:rsidRPr="00150EDC">
              <w:rPr>
                <w:sz w:val="20"/>
              </w:rPr>
              <w:t>age</w:t>
            </w:r>
            <w:r w:rsidRPr="00150EDC">
              <w:rPr>
                <w:spacing w:val="-4"/>
                <w:sz w:val="20"/>
              </w:rPr>
              <w:t xml:space="preserve"> </w:t>
            </w:r>
            <w:r w:rsidRPr="00150EDC">
              <w:rPr>
                <w:sz w:val="20"/>
              </w:rPr>
              <w:t>of</w:t>
            </w:r>
            <w:r w:rsidRPr="00150EDC">
              <w:rPr>
                <w:spacing w:val="-4"/>
                <w:sz w:val="20"/>
              </w:rPr>
              <w:t xml:space="preserve"> </w:t>
            </w:r>
            <w:r w:rsidRPr="00150EDC">
              <w:rPr>
                <w:sz w:val="20"/>
              </w:rPr>
              <w:t>18</w:t>
            </w:r>
            <w:r w:rsidRPr="00150EDC">
              <w:rPr>
                <w:spacing w:val="-3"/>
                <w:sz w:val="20"/>
              </w:rPr>
              <w:t xml:space="preserve"> </w:t>
            </w:r>
            <w:r w:rsidRPr="00150EDC">
              <w:rPr>
                <w:sz w:val="20"/>
              </w:rPr>
              <w:t>years</w:t>
            </w:r>
            <w:r w:rsidRPr="00150EDC">
              <w:rPr>
                <w:spacing w:val="-3"/>
                <w:sz w:val="20"/>
              </w:rPr>
              <w:t xml:space="preserve"> </w:t>
            </w:r>
            <w:r w:rsidRPr="00150EDC">
              <w:rPr>
                <w:sz w:val="20"/>
              </w:rPr>
              <w:t>to</w:t>
            </w:r>
            <w:r w:rsidRPr="00150EDC">
              <w:rPr>
                <w:spacing w:val="-3"/>
                <w:sz w:val="20"/>
              </w:rPr>
              <w:t xml:space="preserve"> </w:t>
            </w:r>
            <w:r w:rsidRPr="00150EDC">
              <w:rPr>
                <w:sz w:val="20"/>
              </w:rPr>
              <w:t>have</w:t>
            </w:r>
            <w:r w:rsidRPr="00150EDC">
              <w:rPr>
                <w:spacing w:val="-4"/>
                <w:sz w:val="20"/>
              </w:rPr>
              <w:t xml:space="preserve"> </w:t>
            </w:r>
            <w:r w:rsidRPr="00150EDC">
              <w:rPr>
                <w:sz w:val="20"/>
              </w:rPr>
              <w:t>illicit carnal</w:t>
            </w:r>
            <w:r w:rsidRPr="00150EDC">
              <w:rPr>
                <w:spacing w:val="-1"/>
                <w:sz w:val="20"/>
              </w:rPr>
              <w:t xml:space="preserve"> </w:t>
            </w:r>
            <w:r w:rsidRPr="00150EDC">
              <w:rPr>
                <w:spacing w:val="-2"/>
                <w:sz w:val="20"/>
              </w:rPr>
              <w:t>intercourse</w:t>
            </w:r>
          </w:p>
        </w:tc>
      </w:tr>
      <w:tr w:rsidR="004569EE" w:rsidRPr="007D3144" w14:paraId="078A28A5" w14:textId="77777777">
        <w:trPr>
          <w:trHeight w:val="255"/>
        </w:trPr>
        <w:tc>
          <w:tcPr>
            <w:tcW w:w="6517" w:type="dxa"/>
          </w:tcPr>
          <w:p w14:paraId="683A9F83" w14:textId="77777777" w:rsidR="004C7180" w:rsidRPr="00150EDC" w:rsidRDefault="00CF0754">
            <w:pPr>
              <w:pStyle w:val="TableParagraph"/>
              <w:rPr>
                <w:sz w:val="20"/>
              </w:rPr>
            </w:pPr>
            <w:r w:rsidRPr="00150EDC">
              <w:rPr>
                <w:sz w:val="20"/>
              </w:rPr>
              <w:t>Law</w:t>
            </w:r>
            <w:r w:rsidRPr="00150EDC">
              <w:rPr>
                <w:spacing w:val="-7"/>
                <w:sz w:val="20"/>
              </w:rPr>
              <w:t xml:space="preserve"> </w:t>
            </w:r>
            <w:r w:rsidRPr="00150EDC">
              <w:rPr>
                <w:sz w:val="20"/>
              </w:rPr>
              <w:t>(1895)</w:t>
            </w:r>
            <w:r w:rsidRPr="00150EDC">
              <w:rPr>
                <w:spacing w:val="-5"/>
                <w:sz w:val="20"/>
              </w:rPr>
              <w:t xml:space="preserve"> </w:t>
            </w:r>
            <w:r w:rsidRPr="00150EDC">
              <w:rPr>
                <w:sz w:val="20"/>
              </w:rPr>
              <w:t>(Jersey)</w:t>
            </w:r>
            <w:r w:rsidRPr="00150EDC">
              <w:rPr>
                <w:spacing w:val="-9"/>
                <w:sz w:val="20"/>
              </w:rPr>
              <w:t xml:space="preserve"> </w:t>
            </w:r>
            <w:r w:rsidRPr="00150EDC">
              <w:rPr>
                <w:sz w:val="20"/>
              </w:rPr>
              <w:t>Criminal</w:t>
            </w:r>
            <w:r w:rsidRPr="00150EDC">
              <w:rPr>
                <w:spacing w:val="-6"/>
                <w:sz w:val="20"/>
              </w:rPr>
              <w:t xml:space="preserve"> </w:t>
            </w:r>
            <w:r w:rsidRPr="00150EDC">
              <w:rPr>
                <w:sz w:val="20"/>
              </w:rPr>
              <w:t>Law</w:t>
            </w:r>
            <w:r w:rsidRPr="00150EDC">
              <w:rPr>
                <w:spacing w:val="-7"/>
                <w:sz w:val="20"/>
              </w:rPr>
              <w:t xml:space="preserve"> </w:t>
            </w:r>
            <w:r w:rsidRPr="00150EDC">
              <w:rPr>
                <w:sz w:val="20"/>
              </w:rPr>
              <w:t>Amendment,</w:t>
            </w:r>
            <w:r w:rsidRPr="00150EDC">
              <w:rPr>
                <w:spacing w:val="-8"/>
                <w:sz w:val="20"/>
              </w:rPr>
              <w:t xml:space="preserve"> </w:t>
            </w:r>
            <w:r w:rsidRPr="00150EDC">
              <w:rPr>
                <w:sz w:val="20"/>
              </w:rPr>
              <w:t>Art</w:t>
            </w:r>
            <w:r w:rsidRPr="00150EDC">
              <w:rPr>
                <w:spacing w:val="-8"/>
                <w:sz w:val="20"/>
              </w:rPr>
              <w:t xml:space="preserve"> </w:t>
            </w:r>
            <w:r w:rsidRPr="00150EDC">
              <w:rPr>
                <w:spacing w:val="-10"/>
                <w:sz w:val="20"/>
              </w:rPr>
              <w:t>1</w:t>
            </w:r>
          </w:p>
        </w:tc>
        <w:tc>
          <w:tcPr>
            <w:tcW w:w="7427" w:type="dxa"/>
          </w:tcPr>
          <w:p w14:paraId="2C0644CD" w14:textId="77777777" w:rsidR="004C7180" w:rsidRPr="00150EDC" w:rsidRDefault="00CF0754">
            <w:pPr>
              <w:pStyle w:val="TableParagraph"/>
              <w:rPr>
                <w:sz w:val="20"/>
              </w:rPr>
            </w:pPr>
            <w:r w:rsidRPr="00150EDC">
              <w:rPr>
                <w:sz w:val="20"/>
              </w:rPr>
              <w:t>Causing</w:t>
            </w:r>
            <w:r w:rsidRPr="00150EDC">
              <w:rPr>
                <w:spacing w:val="-5"/>
                <w:sz w:val="20"/>
              </w:rPr>
              <w:t xml:space="preserve"> </w:t>
            </w:r>
            <w:r w:rsidRPr="00150EDC">
              <w:rPr>
                <w:sz w:val="20"/>
              </w:rPr>
              <w:t>a</w:t>
            </w:r>
            <w:r w:rsidRPr="00150EDC">
              <w:rPr>
                <w:spacing w:val="-4"/>
                <w:sz w:val="20"/>
              </w:rPr>
              <w:t xml:space="preserve"> </w:t>
            </w:r>
            <w:r w:rsidRPr="00150EDC">
              <w:rPr>
                <w:sz w:val="20"/>
              </w:rPr>
              <w:t>woman or</w:t>
            </w:r>
            <w:r w:rsidRPr="00150EDC">
              <w:rPr>
                <w:spacing w:val="-4"/>
                <w:sz w:val="20"/>
              </w:rPr>
              <w:t xml:space="preserve"> </w:t>
            </w:r>
            <w:r w:rsidRPr="00150EDC">
              <w:rPr>
                <w:sz w:val="20"/>
              </w:rPr>
              <w:t>girl</w:t>
            </w:r>
            <w:r w:rsidRPr="00150EDC">
              <w:rPr>
                <w:spacing w:val="1"/>
                <w:sz w:val="20"/>
              </w:rPr>
              <w:t xml:space="preserve"> </w:t>
            </w:r>
            <w:r w:rsidRPr="00150EDC">
              <w:rPr>
                <w:sz w:val="20"/>
              </w:rPr>
              <w:t>to</w:t>
            </w:r>
            <w:r w:rsidRPr="00150EDC">
              <w:rPr>
                <w:spacing w:val="-4"/>
                <w:sz w:val="20"/>
              </w:rPr>
              <w:t xml:space="preserve"> </w:t>
            </w:r>
            <w:r w:rsidRPr="00150EDC">
              <w:rPr>
                <w:sz w:val="20"/>
              </w:rPr>
              <w:t>become</w:t>
            </w:r>
            <w:r w:rsidRPr="00150EDC">
              <w:rPr>
                <w:spacing w:val="1"/>
                <w:sz w:val="20"/>
              </w:rPr>
              <w:t xml:space="preserve"> </w:t>
            </w:r>
            <w:r w:rsidRPr="00150EDC">
              <w:rPr>
                <w:sz w:val="20"/>
              </w:rPr>
              <w:t>a</w:t>
            </w:r>
            <w:r w:rsidRPr="00150EDC">
              <w:rPr>
                <w:spacing w:val="-5"/>
                <w:sz w:val="20"/>
              </w:rPr>
              <w:t xml:space="preserve"> </w:t>
            </w:r>
            <w:r w:rsidRPr="00150EDC">
              <w:rPr>
                <w:sz w:val="20"/>
              </w:rPr>
              <w:t>prostitute or</w:t>
            </w:r>
            <w:r w:rsidRPr="00150EDC">
              <w:rPr>
                <w:spacing w:val="-4"/>
                <w:sz w:val="20"/>
              </w:rPr>
              <w:t xml:space="preserve"> </w:t>
            </w:r>
            <w:r w:rsidRPr="00150EDC">
              <w:rPr>
                <w:sz w:val="20"/>
              </w:rPr>
              <w:t>to reside</w:t>
            </w:r>
            <w:r w:rsidRPr="00150EDC">
              <w:rPr>
                <w:spacing w:val="-4"/>
                <w:sz w:val="20"/>
              </w:rPr>
              <w:t xml:space="preserve"> </w:t>
            </w:r>
            <w:r w:rsidRPr="00150EDC">
              <w:rPr>
                <w:sz w:val="20"/>
              </w:rPr>
              <w:t>in</w:t>
            </w:r>
            <w:r w:rsidRPr="00150EDC">
              <w:rPr>
                <w:spacing w:val="-5"/>
                <w:sz w:val="20"/>
              </w:rPr>
              <w:t xml:space="preserve"> </w:t>
            </w:r>
            <w:r w:rsidRPr="00150EDC">
              <w:rPr>
                <w:sz w:val="20"/>
              </w:rPr>
              <w:t>a</w:t>
            </w:r>
            <w:r w:rsidRPr="00150EDC">
              <w:rPr>
                <w:spacing w:val="-4"/>
                <w:sz w:val="20"/>
              </w:rPr>
              <w:t xml:space="preserve"> </w:t>
            </w:r>
            <w:r w:rsidRPr="00150EDC">
              <w:rPr>
                <w:spacing w:val="-2"/>
                <w:sz w:val="20"/>
              </w:rPr>
              <w:t>brothel</w:t>
            </w:r>
          </w:p>
        </w:tc>
      </w:tr>
      <w:tr w:rsidR="004569EE" w:rsidRPr="007D3144" w14:paraId="1BB4BFE4" w14:textId="77777777">
        <w:trPr>
          <w:trHeight w:val="460"/>
        </w:trPr>
        <w:tc>
          <w:tcPr>
            <w:tcW w:w="6517" w:type="dxa"/>
          </w:tcPr>
          <w:p w14:paraId="5A45EFF2" w14:textId="77777777" w:rsidR="004C7180" w:rsidRPr="00150EDC" w:rsidRDefault="004C7180">
            <w:pPr>
              <w:pStyle w:val="TableParagraph"/>
              <w:spacing w:before="2" w:line="240" w:lineRule="auto"/>
              <w:ind w:left="0"/>
              <w:rPr>
                <w:sz w:val="20"/>
              </w:rPr>
            </w:pPr>
          </w:p>
          <w:p w14:paraId="481304FC" w14:textId="77777777" w:rsidR="004C7180" w:rsidRPr="00150EDC" w:rsidRDefault="00CF0754">
            <w:pPr>
              <w:pStyle w:val="TableParagraph"/>
              <w:spacing w:before="1"/>
              <w:rPr>
                <w:sz w:val="20"/>
              </w:rPr>
            </w:pPr>
            <w:r w:rsidRPr="00150EDC">
              <w:rPr>
                <w:sz w:val="20"/>
              </w:rPr>
              <w:t>Law</w:t>
            </w:r>
            <w:r w:rsidRPr="00150EDC">
              <w:rPr>
                <w:spacing w:val="-7"/>
                <w:sz w:val="20"/>
              </w:rPr>
              <w:t xml:space="preserve"> </w:t>
            </w:r>
            <w:r w:rsidRPr="00150EDC">
              <w:rPr>
                <w:sz w:val="20"/>
              </w:rPr>
              <w:t>(1895)</w:t>
            </w:r>
            <w:r w:rsidRPr="00150EDC">
              <w:rPr>
                <w:spacing w:val="-5"/>
                <w:sz w:val="20"/>
              </w:rPr>
              <w:t xml:space="preserve"> </w:t>
            </w:r>
            <w:r w:rsidRPr="00150EDC">
              <w:rPr>
                <w:sz w:val="20"/>
              </w:rPr>
              <w:t>(Jersey)</w:t>
            </w:r>
            <w:r w:rsidRPr="00150EDC">
              <w:rPr>
                <w:spacing w:val="-9"/>
                <w:sz w:val="20"/>
              </w:rPr>
              <w:t xml:space="preserve"> </w:t>
            </w:r>
            <w:r w:rsidRPr="00150EDC">
              <w:rPr>
                <w:sz w:val="20"/>
              </w:rPr>
              <w:t>Criminal</w:t>
            </w:r>
            <w:r w:rsidRPr="00150EDC">
              <w:rPr>
                <w:spacing w:val="-6"/>
                <w:sz w:val="20"/>
              </w:rPr>
              <w:t xml:space="preserve"> </w:t>
            </w:r>
            <w:r w:rsidRPr="00150EDC">
              <w:rPr>
                <w:sz w:val="20"/>
              </w:rPr>
              <w:t>Law</w:t>
            </w:r>
            <w:r w:rsidRPr="00150EDC">
              <w:rPr>
                <w:spacing w:val="-7"/>
                <w:sz w:val="20"/>
              </w:rPr>
              <w:t xml:space="preserve"> </w:t>
            </w:r>
            <w:r w:rsidRPr="00150EDC">
              <w:rPr>
                <w:sz w:val="20"/>
              </w:rPr>
              <w:t>Amendment,</w:t>
            </w:r>
            <w:r w:rsidRPr="00150EDC">
              <w:rPr>
                <w:spacing w:val="-8"/>
                <w:sz w:val="20"/>
              </w:rPr>
              <w:t xml:space="preserve"> </w:t>
            </w:r>
            <w:r w:rsidRPr="00150EDC">
              <w:rPr>
                <w:sz w:val="20"/>
              </w:rPr>
              <w:t>Art</w:t>
            </w:r>
            <w:r w:rsidRPr="00150EDC">
              <w:rPr>
                <w:spacing w:val="-8"/>
                <w:sz w:val="20"/>
              </w:rPr>
              <w:t xml:space="preserve"> </w:t>
            </w:r>
            <w:r w:rsidRPr="00150EDC">
              <w:rPr>
                <w:spacing w:val="-10"/>
                <w:sz w:val="20"/>
              </w:rPr>
              <w:t>1</w:t>
            </w:r>
          </w:p>
        </w:tc>
        <w:tc>
          <w:tcPr>
            <w:tcW w:w="7427" w:type="dxa"/>
          </w:tcPr>
          <w:p w14:paraId="1CB30ADF" w14:textId="77777777" w:rsidR="004C7180" w:rsidRPr="00150EDC" w:rsidRDefault="00CF0754">
            <w:pPr>
              <w:pStyle w:val="TableParagraph"/>
              <w:spacing w:before="0" w:line="230" w:lineRule="atLeast"/>
              <w:rPr>
                <w:sz w:val="20"/>
              </w:rPr>
            </w:pPr>
            <w:r w:rsidRPr="00150EDC">
              <w:rPr>
                <w:sz w:val="20"/>
              </w:rPr>
              <w:t>Making,</w:t>
            </w:r>
            <w:r w:rsidRPr="00150EDC">
              <w:rPr>
                <w:spacing w:val="-6"/>
                <w:sz w:val="20"/>
              </w:rPr>
              <w:t xml:space="preserve"> </w:t>
            </w:r>
            <w:r w:rsidRPr="00150EDC">
              <w:rPr>
                <w:sz w:val="20"/>
              </w:rPr>
              <w:t>or</w:t>
            </w:r>
            <w:r w:rsidRPr="00150EDC">
              <w:rPr>
                <w:spacing w:val="-6"/>
                <w:sz w:val="20"/>
              </w:rPr>
              <w:t xml:space="preserve"> </w:t>
            </w:r>
            <w:r w:rsidRPr="00150EDC">
              <w:rPr>
                <w:sz w:val="20"/>
              </w:rPr>
              <w:t>attempting</w:t>
            </w:r>
            <w:r w:rsidRPr="00150EDC">
              <w:rPr>
                <w:spacing w:val="-6"/>
                <w:sz w:val="20"/>
              </w:rPr>
              <w:t xml:space="preserve"> </w:t>
            </w:r>
            <w:r w:rsidRPr="00150EDC">
              <w:rPr>
                <w:sz w:val="20"/>
              </w:rPr>
              <w:t>to</w:t>
            </w:r>
            <w:r w:rsidRPr="00150EDC">
              <w:rPr>
                <w:spacing w:val="-1"/>
                <w:sz w:val="20"/>
              </w:rPr>
              <w:t xml:space="preserve"> </w:t>
            </w:r>
            <w:r w:rsidRPr="00150EDC">
              <w:rPr>
                <w:sz w:val="20"/>
              </w:rPr>
              <w:t>make</w:t>
            </w:r>
            <w:r w:rsidRPr="00150EDC">
              <w:rPr>
                <w:spacing w:val="-6"/>
                <w:sz w:val="20"/>
              </w:rPr>
              <w:t xml:space="preserve"> </w:t>
            </w:r>
            <w:r w:rsidRPr="00150EDC">
              <w:rPr>
                <w:sz w:val="20"/>
              </w:rPr>
              <w:t>a</w:t>
            </w:r>
            <w:r w:rsidRPr="00150EDC">
              <w:rPr>
                <w:spacing w:val="-1"/>
                <w:sz w:val="20"/>
              </w:rPr>
              <w:t xml:space="preserve"> </w:t>
            </w:r>
            <w:r w:rsidRPr="00150EDC">
              <w:rPr>
                <w:sz w:val="20"/>
              </w:rPr>
              <w:t>woman</w:t>
            </w:r>
            <w:r w:rsidRPr="00150EDC">
              <w:rPr>
                <w:spacing w:val="-1"/>
                <w:sz w:val="20"/>
              </w:rPr>
              <w:t xml:space="preserve"> </w:t>
            </w:r>
            <w:r w:rsidRPr="00150EDC">
              <w:rPr>
                <w:sz w:val="20"/>
              </w:rPr>
              <w:t>or</w:t>
            </w:r>
            <w:r w:rsidRPr="00150EDC">
              <w:rPr>
                <w:spacing w:val="-6"/>
                <w:sz w:val="20"/>
              </w:rPr>
              <w:t xml:space="preserve"> </w:t>
            </w:r>
            <w:r w:rsidRPr="00150EDC">
              <w:rPr>
                <w:sz w:val="20"/>
              </w:rPr>
              <w:t>a</w:t>
            </w:r>
            <w:r w:rsidRPr="00150EDC">
              <w:rPr>
                <w:spacing w:val="-1"/>
                <w:sz w:val="20"/>
              </w:rPr>
              <w:t xml:space="preserve"> </w:t>
            </w:r>
            <w:r w:rsidRPr="00150EDC">
              <w:rPr>
                <w:sz w:val="20"/>
              </w:rPr>
              <w:t>girl</w:t>
            </w:r>
            <w:r w:rsidRPr="00150EDC">
              <w:rPr>
                <w:spacing w:val="-4"/>
                <w:sz w:val="20"/>
              </w:rPr>
              <w:t xml:space="preserve"> </w:t>
            </w:r>
            <w:r w:rsidRPr="00150EDC">
              <w:rPr>
                <w:sz w:val="20"/>
              </w:rPr>
              <w:t>have</w:t>
            </w:r>
            <w:r w:rsidRPr="00150EDC">
              <w:rPr>
                <w:spacing w:val="-6"/>
                <w:sz w:val="20"/>
              </w:rPr>
              <w:t xml:space="preserve"> </w:t>
            </w:r>
            <w:r w:rsidRPr="00150EDC">
              <w:rPr>
                <w:sz w:val="20"/>
              </w:rPr>
              <w:t>unlawful</w:t>
            </w:r>
            <w:r w:rsidRPr="00150EDC">
              <w:rPr>
                <w:spacing w:val="-1"/>
                <w:sz w:val="20"/>
              </w:rPr>
              <w:t xml:space="preserve"> </w:t>
            </w:r>
            <w:r w:rsidRPr="00150EDC">
              <w:rPr>
                <w:sz w:val="20"/>
              </w:rPr>
              <w:t>carnal</w:t>
            </w:r>
            <w:r w:rsidRPr="00150EDC">
              <w:rPr>
                <w:spacing w:val="-4"/>
                <w:sz w:val="20"/>
              </w:rPr>
              <w:t xml:space="preserve"> </w:t>
            </w:r>
            <w:r w:rsidRPr="00150EDC">
              <w:rPr>
                <w:sz w:val="20"/>
              </w:rPr>
              <w:t>intercourse with another person</w:t>
            </w:r>
          </w:p>
        </w:tc>
      </w:tr>
      <w:tr w:rsidR="004569EE" w:rsidRPr="007D3144" w14:paraId="4971132F" w14:textId="77777777">
        <w:trPr>
          <w:trHeight w:val="460"/>
        </w:trPr>
        <w:tc>
          <w:tcPr>
            <w:tcW w:w="6517" w:type="dxa"/>
          </w:tcPr>
          <w:p w14:paraId="00324E1F" w14:textId="77777777" w:rsidR="004C7180" w:rsidRPr="00150EDC" w:rsidRDefault="004C7180">
            <w:pPr>
              <w:pStyle w:val="TableParagraph"/>
              <w:spacing w:before="2" w:line="240" w:lineRule="auto"/>
              <w:ind w:left="0"/>
              <w:rPr>
                <w:sz w:val="20"/>
              </w:rPr>
            </w:pPr>
          </w:p>
          <w:p w14:paraId="24EBA8E5" w14:textId="77777777" w:rsidR="004C7180" w:rsidRPr="00150EDC" w:rsidRDefault="00CF0754">
            <w:pPr>
              <w:pStyle w:val="TableParagraph"/>
              <w:spacing w:before="0"/>
              <w:rPr>
                <w:sz w:val="20"/>
              </w:rPr>
            </w:pPr>
            <w:r w:rsidRPr="00150EDC">
              <w:rPr>
                <w:sz w:val="20"/>
              </w:rPr>
              <w:t>Law</w:t>
            </w:r>
            <w:r w:rsidRPr="00150EDC">
              <w:rPr>
                <w:spacing w:val="-7"/>
                <w:sz w:val="20"/>
              </w:rPr>
              <w:t xml:space="preserve"> </w:t>
            </w:r>
            <w:r w:rsidRPr="00150EDC">
              <w:rPr>
                <w:sz w:val="20"/>
              </w:rPr>
              <w:t>(1895)</w:t>
            </w:r>
            <w:r w:rsidRPr="00150EDC">
              <w:rPr>
                <w:spacing w:val="-5"/>
                <w:sz w:val="20"/>
              </w:rPr>
              <w:t xml:space="preserve"> </w:t>
            </w:r>
            <w:r w:rsidRPr="00150EDC">
              <w:rPr>
                <w:sz w:val="20"/>
              </w:rPr>
              <w:t>(Jersey)</w:t>
            </w:r>
            <w:r w:rsidRPr="00150EDC">
              <w:rPr>
                <w:spacing w:val="-9"/>
                <w:sz w:val="20"/>
              </w:rPr>
              <w:t xml:space="preserve"> </w:t>
            </w:r>
            <w:r w:rsidRPr="00150EDC">
              <w:rPr>
                <w:sz w:val="20"/>
              </w:rPr>
              <w:t>Criminal</w:t>
            </w:r>
            <w:r w:rsidRPr="00150EDC">
              <w:rPr>
                <w:spacing w:val="-6"/>
                <w:sz w:val="20"/>
              </w:rPr>
              <w:t xml:space="preserve"> </w:t>
            </w:r>
            <w:r w:rsidRPr="00150EDC">
              <w:rPr>
                <w:sz w:val="20"/>
              </w:rPr>
              <w:t>Law</w:t>
            </w:r>
            <w:r w:rsidRPr="00150EDC">
              <w:rPr>
                <w:spacing w:val="-7"/>
                <w:sz w:val="20"/>
              </w:rPr>
              <w:t xml:space="preserve"> </w:t>
            </w:r>
            <w:r w:rsidRPr="00150EDC">
              <w:rPr>
                <w:sz w:val="20"/>
              </w:rPr>
              <w:t>Amendment,</w:t>
            </w:r>
            <w:r w:rsidRPr="00150EDC">
              <w:rPr>
                <w:spacing w:val="-8"/>
                <w:sz w:val="20"/>
              </w:rPr>
              <w:t xml:space="preserve"> </w:t>
            </w:r>
            <w:r w:rsidRPr="00150EDC">
              <w:rPr>
                <w:sz w:val="20"/>
              </w:rPr>
              <w:t>Art</w:t>
            </w:r>
            <w:r w:rsidRPr="00150EDC">
              <w:rPr>
                <w:spacing w:val="-8"/>
                <w:sz w:val="20"/>
              </w:rPr>
              <w:t xml:space="preserve"> </w:t>
            </w:r>
            <w:r w:rsidRPr="00150EDC">
              <w:rPr>
                <w:spacing w:val="-10"/>
                <w:sz w:val="20"/>
              </w:rPr>
              <w:t>1</w:t>
            </w:r>
          </w:p>
        </w:tc>
        <w:tc>
          <w:tcPr>
            <w:tcW w:w="7427" w:type="dxa"/>
          </w:tcPr>
          <w:p w14:paraId="7FBB246B" w14:textId="77777777" w:rsidR="004C7180" w:rsidRPr="00150EDC" w:rsidRDefault="00CF0754">
            <w:pPr>
              <w:pStyle w:val="TableParagraph"/>
              <w:spacing w:before="0" w:line="230" w:lineRule="atLeast"/>
              <w:rPr>
                <w:sz w:val="20"/>
              </w:rPr>
            </w:pPr>
            <w:r w:rsidRPr="00150EDC">
              <w:rPr>
                <w:sz w:val="20"/>
              </w:rPr>
              <w:t>Unlawful</w:t>
            </w:r>
            <w:r w:rsidRPr="00150EDC">
              <w:rPr>
                <w:spacing w:val="-5"/>
                <w:sz w:val="20"/>
              </w:rPr>
              <w:t xml:space="preserve"> </w:t>
            </w:r>
            <w:r w:rsidRPr="00150EDC">
              <w:rPr>
                <w:sz w:val="20"/>
              </w:rPr>
              <w:t>carnal</w:t>
            </w:r>
            <w:r w:rsidRPr="00150EDC">
              <w:rPr>
                <w:spacing w:val="-5"/>
                <w:sz w:val="20"/>
              </w:rPr>
              <w:t xml:space="preserve"> </w:t>
            </w:r>
            <w:r w:rsidRPr="00150EDC">
              <w:rPr>
                <w:sz w:val="20"/>
              </w:rPr>
              <w:t>intercourse</w:t>
            </w:r>
            <w:r w:rsidRPr="00150EDC">
              <w:rPr>
                <w:spacing w:val="-2"/>
                <w:sz w:val="20"/>
              </w:rPr>
              <w:t xml:space="preserve"> </w:t>
            </w:r>
            <w:r w:rsidRPr="00150EDC">
              <w:rPr>
                <w:sz w:val="20"/>
              </w:rPr>
              <w:t>with</w:t>
            </w:r>
            <w:r w:rsidRPr="00150EDC">
              <w:rPr>
                <w:spacing w:val="-7"/>
                <w:sz w:val="20"/>
              </w:rPr>
              <w:t xml:space="preserve"> </w:t>
            </w:r>
            <w:r w:rsidRPr="00150EDC">
              <w:rPr>
                <w:sz w:val="20"/>
              </w:rPr>
              <w:t>a</w:t>
            </w:r>
            <w:r w:rsidRPr="00150EDC">
              <w:rPr>
                <w:spacing w:val="-7"/>
                <w:sz w:val="20"/>
              </w:rPr>
              <w:t xml:space="preserve"> </w:t>
            </w:r>
            <w:r w:rsidRPr="00150EDC">
              <w:rPr>
                <w:sz w:val="20"/>
              </w:rPr>
              <w:t>woman</w:t>
            </w:r>
            <w:r w:rsidRPr="00150EDC">
              <w:rPr>
                <w:spacing w:val="-7"/>
                <w:sz w:val="20"/>
              </w:rPr>
              <w:t xml:space="preserve"> </w:t>
            </w:r>
            <w:r w:rsidRPr="00150EDC">
              <w:rPr>
                <w:sz w:val="20"/>
              </w:rPr>
              <w:t>or</w:t>
            </w:r>
            <w:r w:rsidRPr="00150EDC">
              <w:rPr>
                <w:spacing w:val="-7"/>
                <w:sz w:val="20"/>
              </w:rPr>
              <w:t xml:space="preserve"> </w:t>
            </w:r>
            <w:r w:rsidRPr="00150EDC">
              <w:rPr>
                <w:sz w:val="20"/>
              </w:rPr>
              <w:t>girl</w:t>
            </w:r>
            <w:r w:rsidRPr="00150EDC">
              <w:rPr>
                <w:spacing w:val="-1"/>
                <w:sz w:val="20"/>
              </w:rPr>
              <w:t xml:space="preserve"> </w:t>
            </w:r>
            <w:r w:rsidRPr="00150EDC">
              <w:rPr>
                <w:sz w:val="20"/>
              </w:rPr>
              <w:t>by</w:t>
            </w:r>
            <w:r w:rsidRPr="00150EDC">
              <w:rPr>
                <w:spacing w:val="-6"/>
                <w:sz w:val="20"/>
              </w:rPr>
              <w:t xml:space="preserve"> </w:t>
            </w:r>
            <w:r w:rsidRPr="00150EDC">
              <w:rPr>
                <w:sz w:val="20"/>
              </w:rPr>
              <w:t>false</w:t>
            </w:r>
            <w:r w:rsidRPr="00150EDC">
              <w:rPr>
                <w:spacing w:val="-2"/>
                <w:sz w:val="20"/>
              </w:rPr>
              <w:t xml:space="preserve"> </w:t>
            </w:r>
            <w:r w:rsidRPr="00150EDC">
              <w:rPr>
                <w:sz w:val="20"/>
              </w:rPr>
              <w:t>pretences,</w:t>
            </w:r>
            <w:r w:rsidRPr="00150EDC">
              <w:rPr>
                <w:spacing w:val="-6"/>
                <w:sz w:val="20"/>
              </w:rPr>
              <w:t xml:space="preserve"> </w:t>
            </w:r>
            <w:r w:rsidRPr="00150EDC">
              <w:rPr>
                <w:sz w:val="20"/>
              </w:rPr>
              <w:t>false representations, threats or intimidation</w:t>
            </w:r>
          </w:p>
        </w:tc>
      </w:tr>
      <w:tr w:rsidR="004569EE" w:rsidRPr="007D3144" w14:paraId="39AFB419" w14:textId="77777777">
        <w:trPr>
          <w:trHeight w:val="255"/>
        </w:trPr>
        <w:tc>
          <w:tcPr>
            <w:tcW w:w="6517" w:type="dxa"/>
          </w:tcPr>
          <w:p w14:paraId="11F9C4B9" w14:textId="77777777" w:rsidR="004C7180" w:rsidRPr="00150EDC" w:rsidRDefault="00CF0754">
            <w:pPr>
              <w:pStyle w:val="TableParagraph"/>
              <w:rPr>
                <w:sz w:val="20"/>
              </w:rPr>
            </w:pPr>
            <w:r w:rsidRPr="00150EDC">
              <w:rPr>
                <w:sz w:val="20"/>
              </w:rPr>
              <w:t>Law</w:t>
            </w:r>
            <w:r w:rsidRPr="00150EDC">
              <w:rPr>
                <w:spacing w:val="-7"/>
                <w:sz w:val="20"/>
              </w:rPr>
              <w:t xml:space="preserve"> </w:t>
            </w:r>
            <w:r w:rsidRPr="00150EDC">
              <w:rPr>
                <w:sz w:val="20"/>
              </w:rPr>
              <w:t>(1895)</w:t>
            </w:r>
            <w:r w:rsidRPr="00150EDC">
              <w:rPr>
                <w:spacing w:val="-5"/>
                <w:sz w:val="20"/>
              </w:rPr>
              <w:t xml:space="preserve"> </w:t>
            </w:r>
            <w:r w:rsidRPr="00150EDC">
              <w:rPr>
                <w:sz w:val="20"/>
              </w:rPr>
              <w:t>(Jersey)</w:t>
            </w:r>
            <w:r w:rsidRPr="00150EDC">
              <w:rPr>
                <w:spacing w:val="-9"/>
                <w:sz w:val="20"/>
              </w:rPr>
              <w:t xml:space="preserve"> </w:t>
            </w:r>
            <w:r w:rsidRPr="00150EDC">
              <w:rPr>
                <w:sz w:val="20"/>
              </w:rPr>
              <w:t>Criminal</w:t>
            </w:r>
            <w:r w:rsidRPr="00150EDC">
              <w:rPr>
                <w:spacing w:val="-6"/>
                <w:sz w:val="20"/>
              </w:rPr>
              <w:t xml:space="preserve"> </w:t>
            </w:r>
            <w:r w:rsidRPr="00150EDC">
              <w:rPr>
                <w:sz w:val="20"/>
              </w:rPr>
              <w:t>Law</w:t>
            </w:r>
            <w:r w:rsidRPr="00150EDC">
              <w:rPr>
                <w:spacing w:val="-7"/>
                <w:sz w:val="20"/>
              </w:rPr>
              <w:t xml:space="preserve"> </w:t>
            </w:r>
            <w:r w:rsidRPr="00150EDC">
              <w:rPr>
                <w:sz w:val="20"/>
              </w:rPr>
              <w:t>Amendment,</w:t>
            </w:r>
            <w:r w:rsidRPr="00150EDC">
              <w:rPr>
                <w:spacing w:val="-8"/>
                <w:sz w:val="20"/>
              </w:rPr>
              <w:t xml:space="preserve"> </w:t>
            </w:r>
            <w:r w:rsidRPr="00150EDC">
              <w:rPr>
                <w:sz w:val="20"/>
              </w:rPr>
              <w:t>Art</w:t>
            </w:r>
            <w:r w:rsidRPr="00150EDC">
              <w:rPr>
                <w:spacing w:val="-8"/>
                <w:sz w:val="20"/>
              </w:rPr>
              <w:t xml:space="preserve"> </w:t>
            </w:r>
            <w:r w:rsidRPr="00150EDC">
              <w:rPr>
                <w:spacing w:val="-10"/>
                <w:sz w:val="20"/>
              </w:rPr>
              <w:t>2</w:t>
            </w:r>
          </w:p>
        </w:tc>
        <w:tc>
          <w:tcPr>
            <w:tcW w:w="7427" w:type="dxa"/>
          </w:tcPr>
          <w:p w14:paraId="35FCAE19" w14:textId="77777777" w:rsidR="004C7180" w:rsidRPr="00150EDC" w:rsidRDefault="00CF0754">
            <w:pPr>
              <w:pStyle w:val="TableParagraph"/>
              <w:rPr>
                <w:sz w:val="20"/>
              </w:rPr>
            </w:pPr>
            <w:r w:rsidRPr="00150EDC">
              <w:rPr>
                <w:sz w:val="20"/>
              </w:rPr>
              <w:t>Unlawful</w:t>
            </w:r>
            <w:r w:rsidRPr="00150EDC">
              <w:rPr>
                <w:spacing w:val="-5"/>
                <w:sz w:val="20"/>
              </w:rPr>
              <w:t xml:space="preserve"> </w:t>
            </w:r>
            <w:r w:rsidRPr="00150EDC">
              <w:rPr>
                <w:sz w:val="20"/>
              </w:rPr>
              <w:t>carnal</w:t>
            </w:r>
            <w:r w:rsidRPr="00150EDC">
              <w:rPr>
                <w:spacing w:val="-4"/>
                <w:sz w:val="20"/>
              </w:rPr>
              <w:t xml:space="preserve"> </w:t>
            </w:r>
            <w:r w:rsidRPr="00150EDC">
              <w:rPr>
                <w:sz w:val="20"/>
              </w:rPr>
              <w:t>intercourse</w:t>
            </w:r>
            <w:r w:rsidRPr="00150EDC">
              <w:rPr>
                <w:spacing w:val="-2"/>
                <w:sz w:val="20"/>
              </w:rPr>
              <w:t xml:space="preserve"> </w:t>
            </w:r>
            <w:r w:rsidRPr="00150EDC">
              <w:rPr>
                <w:sz w:val="20"/>
              </w:rPr>
              <w:t>with</w:t>
            </w:r>
            <w:r w:rsidRPr="00150EDC">
              <w:rPr>
                <w:spacing w:val="-6"/>
                <w:sz w:val="20"/>
              </w:rPr>
              <w:t xml:space="preserve"> </w:t>
            </w:r>
            <w:r w:rsidRPr="00150EDC">
              <w:rPr>
                <w:sz w:val="20"/>
              </w:rPr>
              <w:t>a</w:t>
            </w:r>
            <w:r w:rsidRPr="00150EDC">
              <w:rPr>
                <w:spacing w:val="-6"/>
                <w:sz w:val="20"/>
              </w:rPr>
              <w:t xml:space="preserve"> </w:t>
            </w:r>
            <w:r w:rsidRPr="00150EDC">
              <w:rPr>
                <w:sz w:val="20"/>
              </w:rPr>
              <w:t>child</w:t>
            </w:r>
            <w:r w:rsidRPr="00150EDC">
              <w:rPr>
                <w:spacing w:val="-2"/>
                <w:sz w:val="20"/>
              </w:rPr>
              <w:t xml:space="preserve"> </w:t>
            </w:r>
            <w:r w:rsidRPr="00150EDC">
              <w:rPr>
                <w:sz w:val="20"/>
              </w:rPr>
              <w:t>under</w:t>
            </w:r>
            <w:r w:rsidRPr="00150EDC">
              <w:rPr>
                <w:spacing w:val="-6"/>
                <w:sz w:val="20"/>
              </w:rPr>
              <w:t xml:space="preserve"> </w:t>
            </w:r>
            <w:r w:rsidRPr="00150EDC">
              <w:rPr>
                <w:sz w:val="20"/>
              </w:rPr>
              <w:t>13</w:t>
            </w:r>
            <w:r w:rsidRPr="00150EDC">
              <w:rPr>
                <w:spacing w:val="-2"/>
                <w:sz w:val="20"/>
              </w:rPr>
              <w:t xml:space="preserve"> </w:t>
            </w:r>
            <w:r w:rsidRPr="00150EDC">
              <w:rPr>
                <w:sz w:val="20"/>
              </w:rPr>
              <w:t>years of</w:t>
            </w:r>
            <w:r w:rsidRPr="00150EDC">
              <w:rPr>
                <w:spacing w:val="-1"/>
                <w:sz w:val="20"/>
              </w:rPr>
              <w:t xml:space="preserve"> </w:t>
            </w:r>
            <w:r w:rsidRPr="00150EDC">
              <w:rPr>
                <w:spacing w:val="-5"/>
                <w:sz w:val="20"/>
              </w:rPr>
              <w:t>age</w:t>
            </w:r>
          </w:p>
        </w:tc>
      </w:tr>
    </w:tbl>
    <w:p w14:paraId="249CF3B5" w14:textId="77777777" w:rsidR="004C7180" w:rsidRPr="00150EDC" w:rsidRDefault="004C7180">
      <w:pPr>
        <w:rPr>
          <w:sz w:val="20"/>
        </w:rPr>
        <w:sectPr w:rsidR="004C7180" w:rsidRPr="00150EDC">
          <w:footerReference w:type="default" r:id="rId134"/>
          <w:pgSz w:w="16840" w:h="11910" w:orient="landscape"/>
          <w:pgMar w:top="1340" w:right="1320" w:bottom="280" w:left="1340" w:header="0" w:footer="0" w:gutter="0"/>
          <w:cols w:space="720"/>
        </w:sectPr>
      </w:pPr>
    </w:p>
    <w:p w14:paraId="343E2B50" w14:textId="77777777" w:rsidR="004C7180" w:rsidRPr="00150EDC" w:rsidRDefault="004C7180">
      <w:pPr>
        <w:pStyle w:val="BodyText"/>
        <w:spacing w:before="3"/>
        <w:rPr>
          <w:sz w:val="8"/>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517"/>
        <w:gridCol w:w="7427"/>
      </w:tblGrid>
      <w:tr w:rsidR="004569EE" w:rsidRPr="007D3144" w14:paraId="17B54600" w14:textId="77777777">
        <w:trPr>
          <w:trHeight w:val="460"/>
        </w:trPr>
        <w:tc>
          <w:tcPr>
            <w:tcW w:w="6517" w:type="dxa"/>
          </w:tcPr>
          <w:p w14:paraId="50107D9E" w14:textId="77777777" w:rsidR="004C7180" w:rsidRPr="00150EDC" w:rsidRDefault="004C7180">
            <w:pPr>
              <w:pStyle w:val="TableParagraph"/>
              <w:spacing w:before="2" w:line="240" w:lineRule="auto"/>
              <w:ind w:left="0"/>
              <w:rPr>
                <w:sz w:val="20"/>
              </w:rPr>
            </w:pPr>
          </w:p>
          <w:p w14:paraId="23B00345" w14:textId="77777777" w:rsidR="004C7180" w:rsidRPr="00150EDC" w:rsidRDefault="00CF0754">
            <w:pPr>
              <w:pStyle w:val="TableParagraph"/>
              <w:spacing w:before="1"/>
              <w:rPr>
                <w:sz w:val="20"/>
              </w:rPr>
            </w:pPr>
            <w:r w:rsidRPr="00150EDC">
              <w:rPr>
                <w:sz w:val="20"/>
              </w:rPr>
              <w:t>Law</w:t>
            </w:r>
            <w:r w:rsidRPr="00150EDC">
              <w:rPr>
                <w:spacing w:val="-7"/>
                <w:sz w:val="20"/>
              </w:rPr>
              <w:t xml:space="preserve"> </w:t>
            </w:r>
            <w:r w:rsidRPr="00150EDC">
              <w:rPr>
                <w:sz w:val="20"/>
              </w:rPr>
              <w:t>(1895)</w:t>
            </w:r>
            <w:r w:rsidRPr="00150EDC">
              <w:rPr>
                <w:spacing w:val="-5"/>
                <w:sz w:val="20"/>
              </w:rPr>
              <w:t xml:space="preserve"> </w:t>
            </w:r>
            <w:r w:rsidRPr="00150EDC">
              <w:rPr>
                <w:sz w:val="20"/>
              </w:rPr>
              <w:t>(Jersey)</w:t>
            </w:r>
            <w:r w:rsidRPr="00150EDC">
              <w:rPr>
                <w:spacing w:val="-9"/>
                <w:sz w:val="20"/>
              </w:rPr>
              <w:t xml:space="preserve"> </w:t>
            </w:r>
            <w:r w:rsidRPr="00150EDC">
              <w:rPr>
                <w:sz w:val="20"/>
              </w:rPr>
              <w:t>Criminal</w:t>
            </w:r>
            <w:r w:rsidRPr="00150EDC">
              <w:rPr>
                <w:spacing w:val="-6"/>
                <w:sz w:val="20"/>
              </w:rPr>
              <w:t xml:space="preserve"> </w:t>
            </w:r>
            <w:r w:rsidRPr="00150EDC">
              <w:rPr>
                <w:sz w:val="20"/>
              </w:rPr>
              <w:t>Law</w:t>
            </w:r>
            <w:r w:rsidRPr="00150EDC">
              <w:rPr>
                <w:spacing w:val="-7"/>
                <w:sz w:val="20"/>
              </w:rPr>
              <w:t xml:space="preserve"> </w:t>
            </w:r>
            <w:r w:rsidRPr="00150EDC">
              <w:rPr>
                <w:sz w:val="20"/>
              </w:rPr>
              <w:t>Amendment,</w:t>
            </w:r>
            <w:r w:rsidRPr="00150EDC">
              <w:rPr>
                <w:spacing w:val="-8"/>
                <w:sz w:val="20"/>
              </w:rPr>
              <w:t xml:space="preserve"> </w:t>
            </w:r>
            <w:r w:rsidRPr="00150EDC">
              <w:rPr>
                <w:sz w:val="20"/>
              </w:rPr>
              <w:t>Art</w:t>
            </w:r>
            <w:r w:rsidRPr="00150EDC">
              <w:rPr>
                <w:spacing w:val="-8"/>
                <w:sz w:val="20"/>
              </w:rPr>
              <w:t xml:space="preserve"> </w:t>
            </w:r>
            <w:r w:rsidRPr="00150EDC">
              <w:rPr>
                <w:spacing w:val="-10"/>
                <w:sz w:val="20"/>
              </w:rPr>
              <w:t>4</w:t>
            </w:r>
          </w:p>
        </w:tc>
        <w:tc>
          <w:tcPr>
            <w:tcW w:w="7427" w:type="dxa"/>
          </w:tcPr>
          <w:p w14:paraId="327A44FC" w14:textId="77777777" w:rsidR="004C7180" w:rsidRPr="00150EDC" w:rsidRDefault="00CF0754">
            <w:pPr>
              <w:pStyle w:val="TableParagraph"/>
              <w:spacing w:before="0" w:line="230" w:lineRule="atLeast"/>
              <w:rPr>
                <w:sz w:val="20"/>
              </w:rPr>
            </w:pPr>
            <w:r w:rsidRPr="00150EDC">
              <w:rPr>
                <w:sz w:val="20"/>
              </w:rPr>
              <w:t>Unlawful</w:t>
            </w:r>
            <w:r w:rsidRPr="00150EDC">
              <w:rPr>
                <w:spacing w:val="-4"/>
                <w:sz w:val="20"/>
              </w:rPr>
              <w:t xml:space="preserve"> </w:t>
            </w:r>
            <w:r w:rsidRPr="00150EDC">
              <w:rPr>
                <w:sz w:val="20"/>
              </w:rPr>
              <w:t>carnal</w:t>
            </w:r>
            <w:r w:rsidRPr="00150EDC">
              <w:rPr>
                <w:spacing w:val="-4"/>
                <w:sz w:val="20"/>
              </w:rPr>
              <w:t xml:space="preserve"> </w:t>
            </w:r>
            <w:r w:rsidRPr="00150EDC">
              <w:rPr>
                <w:sz w:val="20"/>
              </w:rPr>
              <w:t>intercourse</w:t>
            </w:r>
            <w:r w:rsidRPr="00150EDC">
              <w:rPr>
                <w:spacing w:val="-1"/>
                <w:sz w:val="20"/>
              </w:rPr>
              <w:t xml:space="preserve"> </w:t>
            </w:r>
            <w:r w:rsidRPr="00150EDC">
              <w:rPr>
                <w:sz w:val="20"/>
              </w:rPr>
              <w:t>with</w:t>
            </w:r>
            <w:r w:rsidRPr="00150EDC">
              <w:rPr>
                <w:spacing w:val="-5"/>
                <w:sz w:val="20"/>
              </w:rPr>
              <w:t xml:space="preserve"> </w:t>
            </w:r>
            <w:r w:rsidRPr="00150EDC">
              <w:rPr>
                <w:sz w:val="20"/>
              </w:rPr>
              <w:t>a</w:t>
            </w:r>
            <w:r w:rsidRPr="00150EDC">
              <w:rPr>
                <w:spacing w:val="-5"/>
                <w:sz w:val="20"/>
              </w:rPr>
              <w:t xml:space="preserve"> </w:t>
            </w:r>
            <w:r w:rsidRPr="00150EDC">
              <w:rPr>
                <w:sz w:val="20"/>
              </w:rPr>
              <w:t>child</w:t>
            </w:r>
            <w:r w:rsidRPr="00150EDC">
              <w:rPr>
                <w:spacing w:val="-1"/>
                <w:sz w:val="20"/>
              </w:rPr>
              <w:t xml:space="preserve"> </w:t>
            </w:r>
            <w:r w:rsidRPr="00150EDC">
              <w:rPr>
                <w:sz w:val="20"/>
              </w:rPr>
              <w:t>under</w:t>
            </w:r>
            <w:r w:rsidRPr="00150EDC">
              <w:rPr>
                <w:spacing w:val="-5"/>
                <w:sz w:val="20"/>
              </w:rPr>
              <w:t xml:space="preserve"> </w:t>
            </w:r>
            <w:r w:rsidRPr="00150EDC">
              <w:rPr>
                <w:sz w:val="20"/>
              </w:rPr>
              <w:t>16</w:t>
            </w:r>
            <w:r w:rsidRPr="00150EDC">
              <w:rPr>
                <w:spacing w:val="-1"/>
                <w:sz w:val="20"/>
              </w:rPr>
              <w:t xml:space="preserve"> </w:t>
            </w:r>
            <w:r w:rsidRPr="00150EDC">
              <w:rPr>
                <w:sz w:val="20"/>
              </w:rPr>
              <w:t>years of age</w:t>
            </w:r>
            <w:r w:rsidRPr="00150EDC">
              <w:rPr>
                <w:spacing w:val="-5"/>
                <w:sz w:val="20"/>
              </w:rPr>
              <w:t xml:space="preserve"> </w:t>
            </w:r>
            <w:r w:rsidRPr="00150EDC">
              <w:rPr>
                <w:sz w:val="20"/>
              </w:rPr>
              <w:t>or</w:t>
            </w:r>
            <w:r w:rsidRPr="00150EDC">
              <w:rPr>
                <w:spacing w:val="-5"/>
                <w:sz w:val="20"/>
              </w:rPr>
              <w:t xml:space="preserve"> </w:t>
            </w:r>
            <w:r w:rsidRPr="00150EDC">
              <w:rPr>
                <w:sz w:val="20"/>
              </w:rPr>
              <w:t>with</w:t>
            </w:r>
            <w:r w:rsidRPr="00150EDC">
              <w:rPr>
                <w:spacing w:val="-5"/>
                <w:sz w:val="20"/>
              </w:rPr>
              <w:t xml:space="preserve"> </w:t>
            </w:r>
            <w:r w:rsidRPr="00150EDC">
              <w:rPr>
                <w:sz w:val="20"/>
              </w:rPr>
              <w:t>a</w:t>
            </w:r>
            <w:r w:rsidRPr="00150EDC">
              <w:rPr>
                <w:spacing w:val="-5"/>
                <w:sz w:val="20"/>
              </w:rPr>
              <w:t xml:space="preserve"> </w:t>
            </w:r>
            <w:r w:rsidRPr="00150EDC">
              <w:rPr>
                <w:sz w:val="20"/>
              </w:rPr>
              <w:t>person</w:t>
            </w:r>
            <w:r w:rsidRPr="00150EDC">
              <w:rPr>
                <w:spacing w:val="-5"/>
                <w:sz w:val="20"/>
              </w:rPr>
              <w:t xml:space="preserve"> </w:t>
            </w:r>
            <w:r w:rsidRPr="00150EDC">
              <w:rPr>
                <w:sz w:val="20"/>
              </w:rPr>
              <w:t>of insane mind</w:t>
            </w:r>
          </w:p>
        </w:tc>
      </w:tr>
      <w:tr w:rsidR="004569EE" w:rsidRPr="007D3144" w14:paraId="257AB570" w14:textId="77777777">
        <w:trPr>
          <w:trHeight w:val="460"/>
        </w:trPr>
        <w:tc>
          <w:tcPr>
            <w:tcW w:w="6517" w:type="dxa"/>
          </w:tcPr>
          <w:p w14:paraId="204B284C" w14:textId="77777777" w:rsidR="004C7180" w:rsidRPr="00150EDC" w:rsidRDefault="004C7180">
            <w:pPr>
              <w:pStyle w:val="TableParagraph"/>
              <w:spacing w:before="2" w:line="240" w:lineRule="auto"/>
              <w:ind w:left="0"/>
              <w:rPr>
                <w:sz w:val="20"/>
              </w:rPr>
            </w:pPr>
          </w:p>
          <w:p w14:paraId="7E55AB38" w14:textId="77777777" w:rsidR="004C7180" w:rsidRPr="00150EDC" w:rsidRDefault="00CF0754">
            <w:pPr>
              <w:pStyle w:val="TableParagraph"/>
              <w:spacing w:before="0"/>
              <w:rPr>
                <w:sz w:val="20"/>
              </w:rPr>
            </w:pPr>
            <w:r w:rsidRPr="00150EDC">
              <w:rPr>
                <w:sz w:val="20"/>
              </w:rPr>
              <w:t>Law</w:t>
            </w:r>
            <w:r w:rsidRPr="00150EDC">
              <w:rPr>
                <w:spacing w:val="-7"/>
                <w:sz w:val="20"/>
              </w:rPr>
              <w:t xml:space="preserve"> </w:t>
            </w:r>
            <w:r w:rsidRPr="00150EDC">
              <w:rPr>
                <w:sz w:val="20"/>
              </w:rPr>
              <w:t>(1895)</w:t>
            </w:r>
            <w:r w:rsidRPr="00150EDC">
              <w:rPr>
                <w:spacing w:val="-5"/>
                <w:sz w:val="20"/>
              </w:rPr>
              <w:t xml:space="preserve"> </w:t>
            </w:r>
            <w:r w:rsidRPr="00150EDC">
              <w:rPr>
                <w:sz w:val="20"/>
              </w:rPr>
              <w:t>(Jersey)</w:t>
            </w:r>
            <w:r w:rsidRPr="00150EDC">
              <w:rPr>
                <w:spacing w:val="-8"/>
                <w:sz w:val="20"/>
              </w:rPr>
              <w:t xml:space="preserve"> </w:t>
            </w:r>
            <w:r w:rsidRPr="00150EDC">
              <w:rPr>
                <w:sz w:val="20"/>
              </w:rPr>
              <w:t>Criminal</w:t>
            </w:r>
            <w:r w:rsidRPr="00150EDC">
              <w:rPr>
                <w:spacing w:val="-7"/>
                <w:sz w:val="20"/>
              </w:rPr>
              <w:t xml:space="preserve"> </w:t>
            </w:r>
            <w:r w:rsidRPr="00150EDC">
              <w:rPr>
                <w:sz w:val="20"/>
              </w:rPr>
              <w:t>Law</w:t>
            </w:r>
            <w:r w:rsidRPr="00150EDC">
              <w:rPr>
                <w:spacing w:val="-4"/>
                <w:sz w:val="20"/>
              </w:rPr>
              <w:t xml:space="preserve"> </w:t>
            </w:r>
            <w:r w:rsidRPr="00150EDC">
              <w:rPr>
                <w:sz w:val="20"/>
              </w:rPr>
              <w:t>Amendment,</w:t>
            </w:r>
            <w:r w:rsidRPr="00150EDC">
              <w:rPr>
                <w:spacing w:val="-8"/>
                <w:sz w:val="20"/>
              </w:rPr>
              <w:t xml:space="preserve"> </w:t>
            </w:r>
            <w:r w:rsidRPr="00150EDC">
              <w:rPr>
                <w:sz w:val="20"/>
              </w:rPr>
              <w:t>Art</w:t>
            </w:r>
            <w:r w:rsidRPr="00150EDC">
              <w:rPr>
                <w:spacing w:val="-8"/>
                <w:sz w:val="20"/>
              </w:rPr>
              <w:t xml:space="preserve"> </w:t>
            </w:r>
            <w:r w:rsidRPr="00150EDC">
              <w:rPr>
                <w:spacing w:val="-10"/>
                <w:sz w:val="20"/>
              </w:rPr>
              <w:t>5</w:t>
            </w:r>
          </w:p>
        </w:tc>
        <w:tc>
          <w:tcPr>
            <w:tcW w:w="7427" w:type="dxa"/>
          </w:tcPr>
          <w:p w14:paraId="37968BB7" w14:textId="77777777" w:rsidR="004C7180" w:rsidRPr="00150EDC" w:rsidRDefault="00CF0754">
            <w:pPr>
              <w:pStyle w:val="TableParagraph"/>
              <w:spacing w:before="0" w:line="230" w:lineRule="atLeast"/>
              <w:ind w:right="186"/>
              <w:rPr>
                <w:sz w:val="20"/>
              </w:rPr>
            </w:pPr>
            <w:r w:rsidRPr="00150EDC">
              <w:rPr>
                <w:sz w:val="20"/>
              </w:rPr>
              <w:t>Allowing</w:t>
            </w:r>
            <w:r w:rsidRPr="00150EDC">
              <w:rPr>
                <w:spacing w:val="-5"/>
                <w:sz w:val="20"/>
              </w:rPr>
              <w:t xml:space="preserve"> </w:t>
            </w:r>
            <w:r w:rsidRPr="00150EDC">
              <w:rPr>
                <w:sz w:val="20"/>
              </w:rPr>
              <w:t>a</w:t>
            </w:r>
            <w:r w:rsidRPr="00150EDC">
              <w:rPr>
                <w:spacing w:val="-5"/>
                <w:sz w:val="20"/>
              </w:rPr>
              <w:t xml:space="preserve"> </w:t>
            </w:r>
            <w:r w:rsidRPr="00150EDC">
              <w:rPr>
                <w:sz w:val="20"/>
              </w:rPr>
              <w:t>child</w:t>
            </w:r>
            <w:r w:rsidRPr="00150EDC">
              <w:rPr>
                <w:spacing w:val="-5"/>
                <w:sz w:val="20"/>
              </w:rPr>
              <w:t xml:space="preserve"> </w:t>
            </w:r>
            <w:r w:rsidRPr="00150EDC">
              <w:rPr>
                <w:sz w:val="20"/>
              </w:rPr>
              <w:t>under</w:t>
            </w:r>
            <w:r w:rsidRPr="00150EDC">
              <w:rPr>
                <w:spacing w:val="-5"/>
                <w:sz w:val="20"/>
              </w:rPr>
              <w:t xml:space="preserve"> </w:t>
            </w:r>
            <w:r w:rsidRPr="00150EDC">
              <w:rPr>
                <w:sz w:val="20"/>
              </w:rPr>
              <w:t>the</w:t>
            </w:r>
            <w:r w:rsidRPr="00150EDC">
              <w:rPr>
                <w:spacing w:val="-5"/>
                <w:sz w:val="20"/>
              </w:rPr>
              <w:t xml:space="preserve"> </w:t>
            </w:r>
            <w:r w:rsidRPr="00150EDC">
              <w:rPr>
                <w:sz w:val="20"/>
              </w:rPr>
              <w:t>age</w:t>
            </w:r>
            <w:r w:rsidRPr="00150EDC">
              <w:rPr>
                <w:spacing w:val="-5"/>
                <w:sz w:val="20"/>
              </w:rPr>
              <w:t xml:space="preserve"> </w:t>
            </w:r>
            <w:r w:rsidRPr="00150EDC">
              <w:rPr>
                <w:sz w:val="20"/>
              </w:rPr>
              <w:t>of 16</w:t>
            </w:r>
            <w:r w:rsidRPr="00150EDC">
              <w:rPr>
                <w:spacing w:val="-5"/>
                <w:sz w:val="20"/>
              </w:rPr>
              <w:t xml:space="preserve"> </w:t>
            </w:r>
            <w:r w:rsidRPr="00150EDC">
              <w:rPr>
                <w:sz w:val="20"/>
              </w:rPr>
              <w:t>to use</w:t>
            </w:r>
            <w:r w:rsidRPr="00150EDC">
              <w:rPr>
                <w:spacing w:val="-5"/>
                <w:sz w:val="20"/>
              </w:rPr>
              <w:t xml:space="preserve"> </w:t>
            </w:r>
            <w:r w:rsidRPr="00150EDC">
              <w:rPr>
                <w:sz w:val="20"/>
              </w:rPr>
              <w:t>premises</w:t>
            </w:r>
            <w:r w:rsidRPr="00150EDC">
              <w:rPr>
                <w:spacing w:val="-4"/>
                <w:sz w:val="20"/>
              </w:rPr>
              <w:t xml:space="preserve"> </w:t>
            </w:r>
            <w:r w:rsidRPr="00150EDC">
              <w:rPr>
                <w:sz w:val="20"/>
              </w:rPr>
              <w:t>for</w:t>
            </w:r>
            <w:r w:rsidRPr="00150EDC">
              <w:rPr>
                <w:spacing w:val="-5"/>
                <w:sz w:val="20"/>
              </w:rPr>
              <w:t xml:space="preserve"> </w:t>
            </w:r>
            <w:r w:rsidRPr="00150EDC">
              <w:rPr>
                <w:sz w:val="20"/>
              </w:rPr>
              <w:t>the</w:t>
            </w:r>
            <w:r w:rsidRPr="00150EDC">
              <w:rPr>
                <w:spacing w:val="-5"/>
                <w:sz w:val="20"/>
              </w:rPr>
              <w:t xml:space="preserve"> </w:t>
            </w:r>
            <w:r w:rsidRPr="00150EDC">
              <w:rPr>
                <w:sz w:val="20"/>
              </w:rPr>
              <w:t>purposes of prostitution or unlawful carnal intercourse</w:t>
            </w:r>
          </w:p>
        </w:tc>
      </w:tr>
      <w:tr w:rsidR="004569EE" w:rsidRPr="007D3144" w14:paraId="2503EA4A" w14:textId="77777777">
        <w:trPr>
          <w:trHeight w:val="460"/>
        </w:trPr>
        <w:tc>
          <w:tcPr>
            <w:tcW w:w="6517" w:type="dxa"/>
          </w:tcPr>
          <w:p w14:paraId="6F8F47E0" w14:textId="77777777" w:rsidR="004C7180" w:rsidRPr="00150EDC" w:rsidRDefault="004C7180">
            <w:pPr>
              <w:pStyle w:val="TableParagraph"/>
              <w:spacing w:before="2" w:line="240" w:lineRule="auto"/>
              <w:ind w:left="0"/>
              <w:rPr>
                <w:sz w:val="20"/>
              </w:rPr>
            </w:pPr>
          </w:p>
          <w:p w14:paraId="66C5536F" w14:textId="77777777" w:rsidR="004C7180" w:rsidRPr="00150EDC" w:rsidRDefault="00CF0754">
            <w:pPr>
              <w:pStyle w:val="TableParagraph"/>
              <w:spacing w:before="0"/>
              <w:rPr>
                <w:sz w:val="20"/>
              </w:rPr>
            </w:pPr>
            <w:r w:rsidRPr="00150EDC">
              <w:rPr>
                <w:sz w:val="20"/>
              </w:rPr>
              <w:t>Law</w:t>
            </w:r>
            <w:r w:rsidRPr="00150EDC">
              <w:rPr>
                <w:spacing w:val="-7"/>
                <w:sz w:val="20"/>
              </w:rPr>
              <w:t xml:space="preserve"> </w:t>
            </w:r>
            <w:r w:rsidRPr="00150EDC">
              <w:rPr>
                <w:sz w:val="20"/>
              </w:rPr>
              <w:t>(1895)</w:t>
            </w:r>
            <w:r w:rsidRPr="00150EDC">
              <w:rPr>
                <w:spacing w:val="-5"/>
                <w:sz w:val="20"/>
              </w:rPr>
              <w:t xml:space="preserve"> </w:t>
            </w:r>
            <w:r w:rsidRPr="00150EDC">
              <w:rPr>
                <w:sz w:val="20"/>
              </w:rPr>
              <w:t>(Jersey)</w:t>
            </w:r>
            <w:r w:rsidRPr="00150EDC">
              <w:rPr>
                <w:spacing w:val="-9"/>
                <w:sz w:val="20"/>
              </w:rPr>
              <w:t xml:space="preserve"> </w:t>
            </w:r>
            <w:r w:rsidRPr="00150EDC">
              <w:rPr>
                <w:sz w:val="20"/>
              </w:rPr>
              <w:t>Criminal</w:t>
            </w:r>
            <w:r w:rsidRPr="00150EDC">
              <w:rPr>
                <w:spacing w:val="-6"/>
                <w:sz w:val="20"/>
              </w:rPr>
              <w:t xml:space="preserve"> </w:t>
            </w:r>
            <w:r w:rsidRPr="00150EDC">
              <w:rPr>
                <w:sz w:val="20"/>
              </w:rPr>
              <w:t>Law</w:t>
            </w:r>
            <w:r w:rsidRPr="00150EDC">
              <w:rPr>
                <w:spacing w:val="-7"/>
                <w:sz w:val="20"/>
              </w:rPr>
              <w:t xml:space="preserve"> </w:t>
            </w:r>
            <w:r w:rsidRPr="00150EDC">
              <w:rPr>
                <w:sz w:val="20"/>
              </w:rPr>
              <w:t>Amendment,</w:t>
            </w:r>
            <w:r w:rsidRPr="00150EDC">
              <w:rPr>
                <w:spacing w:val="-8"/>
                <w:sz w:val="20"/>
              </w:rPr>
              <w:t xml:space="preserve"> </w:t>
            </w:r>
            <w:r w:rsidRPr="00150EDC">
              <w:rPr>
                <w:sz w:val="20"/>
              </w:rPr>
              <w:t>Art</w:t>
            </w:r>
            <w:r w:rsidRPr="00150EDC">
              <w:rPr>
                <w:spacing w:val="-8"/>
                <w:sz w:val="20"/>
              </w:rPr>
              <w:t xml:space="preserve"> </w:t>
            </w:r>
            <w:r w:rsidRPr="00150EDC">
              <w:rPr>
                <w:spacing w:val="-10"/>
                <w:sz w:val="20"/>
              </w:rPr>
              <w:t>6</w:t>
            </w:r>
          </w:p>
        </w:tc>
        <w:tc>
          <w:tcPr>
            <w:tcW w:w="7427" w:type="dxa"/>
          </w:tcPr>
          <w:p w14:paraId="3B1EBB4A" w14:textId="77777777" w:rsidR="004C7180" w:rsidRPr="00150EDC" w:rsidRDefault="00CF0754">
            <w:pPr>
              <w:pStyle w:val="TableParagraph"/>
              <w:spacing w:before="0" w:line="230" w:lineRule="atLeast"/>
              <w:rPr>
                <w:sz w:val="20"/>
              </w:rPr>
            </w:pPr>
            <w:r w:rsidRPr="00150EDC">
              <w:rPr>
                <w:sz w:val="20"/>
              </w:rPr>
              <w:t>Controlling</w:t>
            </w:r>
            <w:r w:rsidRPr="00150EDC">
              <w:rPr>
                <w:spacing w:val="-1"/>
                <w:sz w:val="20"/>
              </w:rPr>
              <w:t xml:space="preserve"> </w:t>
            </w:r>
            <w:r w:rsidRPr="00150EDC">
              <w:rPr>
                <w:sz w:val="20"/>
              </w:rPr>
              <w:t>a</w:t>
            </w:r>
            <w:r w:rsidRPr="00150EDC">
              <w:rPr>
                <w:spacing w:val="-5"/>
                <w:sz w:val="20"/>
              </w:rPr>
              <w:t xml:space="preserve"> </w:t>
            </w:r>
            <w:r w:rsidRPr="00150EDC">
              <w:rPr>
                <w:sz w:val="20"/>
              </w:rPr>
              <w:t>woman</w:t>
            </w:r>
            <w:r w:rsidRPr="00150EDC">
              <w:rPr>
                <w:spacing w:val="-5"/>
                <w:sz w:val="20"/>
              </w:rPr>
              <w:t xml:space="preserve"> </w:t>
            </w:r>
            <w:r w:rsidRPr="00150EDC">
              <w:rPr>
                <w:sz w:val="20"/>
              </w:rPr>
              <w:t>or</w:t>
            </w:r>
            <w:r w:rsidRPr="00150EDC">
              <w:rPr>
                <w:spacing w:val="-2"/>
                <w:sz w:val="20"/>
              </w:rPr>
              <w:t xml:space="preserve"> </w:t>
            </w:r>
            <w:r w:rsidRPr="00150EDC">
              <w:rPr>
                <w:sz w:val="20"/>
              </w:rPr>
              <w:t>girl</w:t>
            </w:r>
            <w:r w:rsidRPr="00150EDC">
              <w:rPr>
                <w:spacing w:val="-3"/>
                <w:sz w:val="20"/>
              </w:rPr>
              <w:t xml:space="preserve"> </w:t>
            </w:r>
            <w:r w:rsidRPr="00150EDC">
              <w:rPr>
                <w:sz w:val="20"/>
              </w:rPr>
              <w:t>against</w:t>
            </w:r>
            <w:r w:rsidRPr="00150EDC">
              <w:rPr>
                <w:spacing w:val="-4"/>
                <w:sz w:val="20"/>
              </w:rPr>
              <w:t xml:space="preserve"> </w:t>
            </w:r>
            <w:r w:rsidRPr="00150EDC">
              <w:rPr>
                <w:sz w:val="20"/>
              </w:rPr>
              <w:t>her</w:t>
            </w:r>
            <w:r w:rsidRPr="00150EDC">
              <w:rPr>
                <w:spacing w:val="-5"/>
                <w:sz w:val="20"/>
              </w:rPr>
              <w:t xml:space="preserve"> </w:t>
            </w:r>
            <w:r w:rsidRPr="00150EDC">
              <w:rPr>
                <w:sz w:val="20"/>
              </w:rPr>
              <w:t>will</w:t>
            </w:r>
            <w:r w:rsidRPr="00150EDC">
              <w:rPr>
                <w:spacing w:val="-2"/>
                <w:sz w:val="20"/>
              </w:rPr>
              <w:t xml:space="preserve"> </w:t>
            </w:r>
            <w:r w:rsidRPr="00150EDC">
              <w:rPr>
                <w:sz w:val="20"/>
              </w:rPr>
              <w:t>for</w:t>
            </w:r>
            <w:r w:rsidRPr="00150EDC">
              <w:rPr>
                <w:spacing w:val="-5"/>
                <w:sz w:val="20"/>
              </w:rPr>
              <w:t xml:space="preserve"> </w:t>
            </w:r>
            <w:r w:rsidRPr="00150EDC">
              <w:rPr>
                <w:sz w:val="20"/>
              </w:rPr>
              <w:t>the</w:t>
            </w:r>
            <w:r w:rsidRPr="00150EDC">
              <w:rPr>
                <w:spacing w:val="-5"/>
                <w:sz w:val="20"/>
              </w:rPr>
              <w:t xml:space="preserve"> </w:t>
            </w:r>
            <w:r w:rsidRPr="00150EDC">
              <w:rPr>
                <w:sz w:val="20"/>
              </w:rPr>
              <w:t>purposes</w:t>
            </w:r>
            <w:r w:rsidRPr="00150EDC">
              <w:rPr>
                <w:spacing w:val="-4"/>
                <w:sz w:val="20"/>
              </w:rPr>
              <w:t xml:space="preserve"> </w:t>
            </w:r>
            <w:r w:rsidRPr="00150EDC">
              <w:rPr>
                <w:sz w:val="20"/>
              </w:rPr>
              <w:t>of</w:t>
            </w:r>
            <w:r w:rsidRPr="00150EDC">
              <w:rPr>
                <w:spacing w:val="-5"/>
                <w:sz w:val="20"/>
              </w:rPr>
              <w:t xml:space="preserve"> </w:t>
            </w:r>
            <w:r w:rsidRPr="00150EDC">
              <w:rPr>
                <w:sz w:val="20"/>
              </w:rPr>
              <w:t>prostitution</w:t>
            </w:r>
            <w:r w:rsidRPr="00150EDC">
              <w:rPr>
                <w:spacing w:val="-1"/>
                <w:sz w:val="20"/>
              </w:rPr>
              <w:t xml:space="preserve"> </w:t>
            </w:r>
            <w:r w:rsidRPr="00150EDC">
              <w:rPr>
                <w:sz w:val="20"/>
              </w:rPr>
              <w:t>or unlawful carnal intercourse</w:t>
            </w:r>
          </w:p>
        </w:tc>
      </w:tr>
      <w:tr w:rsidR="004569EE" w:rsidRPr="007D3144" w14:paraId="39B802C3" w14:textId="77777777">
        <w:trPr>
          <w:trHeight w:val="510"/>
        </w:trPr>
        <w:tc>
          <w:tcPr>
            <w:tcW w:w="6517" w:type="dxa"/>
          </w:tcPr>
          <w:p w14:paraId="223FDBA5" w14:textId="77777777" w:rsidR="004C7180" w:rsidRPr="00150EDC" w:rsidRDefault="00CF0754">
            <w:pPr>
              <w:pStyle w:val="TableParagraph"/>
              <w:spacing w:before="33" w:line="230" w:lineRule="atLeast"/>
              <w:ind w:right="184"/>
              <w:rPr>
                <w:sz w:val="20"/>
              </w:rPr>
            </w:pPr>
            <w:r w:rsidRPr="00150EDC">
              <w:rPr>
                <w:sz w:val="20"/>
              </w:rPr>
              <w:t>Law</w:t>
            </w:r>
            <w:r w:rsidRPr="00150EDC">
              <w:rPr>
                <w:spacing w:val="-3"/>
                <w:sz w:val="20"/>
              </w:rPr>
              <w:t xml:space="preserve"> </w:t>
            </w:r>
            <w:r w:rsidRPr="00150EDC">
              <w:rPr>
                <w:sz w:val="20"/>
              </w:rPr>
              <w:t>for</w:t>
            </w:r>
            <w:r w:rsidRPr="00150EDC">
              <w:rPr>
                <w:spacing w:val="-5"/>
                <w:sz w:val="20"/>
              </w:rPr>
              <w:t xml:space="preserve"> </w:t>
            </w:r>
            <w:r w:rsidRPr="00150EDC">
              <w:rPr>
                <w:sz w:val="20"/>
              </w:rPr>
              <w:t>the</w:t>
            </w:r>
            <w:r w:rsidRPr="00150EDC">
              <w:rPr>
                <w:spacing w:val="-5"/>
                <w:sz w:val="20"/>
              </w:rPr>
              <w:t xml:space="preserve"> </w:t>
            </w:r>
            <w:r w:rsidRPr="00150EDC">
              <w:rPr>
                <w:sz w:val="20"/>
              </w:rPr>
              <w:t>Protection</w:t>
            </w:r>
            <w:r w:rsidRPr="00150EDC">
              <w:rPr>
                <w:spacing w:val="-5"/>
                <w:sz w:val="20"/>
              </w:rPr>
              <w:t xml:space="preserve"> </w:t>
            </w:r>
            <w:r w:rsidRPr="00150EDC">
              <w:rPr>
                <w:sz w:val="20"/>
              </w:rPr>
              <w:t>of</w:t>
            </w:r>
            <w:r w:rsidRPr="00150EDC">
              <w:rPr>
                <w:spacing w:val="-5"/>
                <w:sz w:val="20"/>
              </w:rPr>
              <w:t xml:space="preserve"> </w:t>
            </w:r>
            <w:r w:rsidRPr="00150EDC">
              <w:rPr>
                <w:sz w:val="20"/>
              </w:rPr>
              <w:t>Women</w:t>
            </w:r>
            <w:r w:rsidRPr="00150EDC">
              <w:rPr>
                <w:spacing w:val="-5"/>
                <w:sz w:val="20"/>
              </w:rPr>
              <w:t xml:space="preserve"> </w:t>
            </w:r>
            <w:r w:rsidRPr="00150EDC">
              <w:rPr>
                <w:sz w:val="20"/>
              </w:rPr>
              <w:t>and</w:t>
            </w:r>
            <w:r w:rsidRPr="00150EDC">
              <w:rPr>
                <w:spacing w:val="-5"/>
                <w:sz w:val="20"/>
              </w:rPr>
              <w:t xml:space="preserve"> </w:t>
            </w:r>
            <w:r w:rsidRPr="00150EDC">
              <w:rPr>
                <w:sz w:val="20"/>
              </w:rPr>
              <w:t>Young</w:t>
            </w:r>
            <w:r w:rsidRPr="00150EDC">
              <w:rPr>
                <w:spacing w:val="-5"/>
                <w:sz w:val="20"/>
              </w:rPr>
              <w:t xml:space="preserve"> </w:t>
            </w:r>
            <w:r w:rsidRPr="00150EDC">
              <w:rPr>
                <w:sz w:val="20"/>
              </w:rPr>
              <w:t>Girls</w:t>
            </w:r>
            <w:r w:rsidRPr="00150EDC">
              <w:rPr>
                <w:spacing w:val="-3"/>
                <w:sz w:val="20"/>
              </w:rPr>
              <w:t xml:space="preserve"> </w:t>
            </w:r>
            <w:r w:rsidRPr="00150EDC">
              <w:rPr>
                <w:sz w:val="20"/>
              </w:rPr>
              <w:t>(Guernsey)</w:t>
            </w:r>
            <w:r w:rsidRPr="00150EDC">
              <w:rPr>
                <w:spacing w:val="-5"/>
                <w:sz w:val="20"/>
              </w:rPr>
              <w:t xml:space="preserve"> </w:t>
            </w:r>
            <w:r w:rsidRPr="00150EDC">
              <w:rPr>
                <w:sz w:val="20"/>
              </w:rPr>
              <w:t>1914, Art 1(1)</w:t>
            </w:r>
          </w:p>
        </w:tc>
        <w:tc>
          <w:tcPr>
            <w:tcW w:w="7427" w:type="dxa"/>
          </w:tcPr>
          <w:p w14:paraId="06DA1CB7" w14:textId="77777777" w:rsidR="004C7180" w:rsidRPr="00150EDC" w:rsidRDefault="004C7180">
            <w:pPr>
              <w:pStyle w:val="TableParagraph"/>
              <w:spacing w:before="7" w:line="240" w:lineRule="auto"/>
              <w:ind w:left="0"/>
              <w:rPr>
                <w:sz w:val="24"/>
              </w:rPr>
            </w:pPr>
          </w:p>
          <w:p w14:paraId="788C4ECD" w14:textId="77777777" w:rsidR="004C7180" w:rsidRPr="00150EDC" w:rsidRDefault="00CF0754">
            <w:pPr>
              <w:pStyle w:val="TableParagraph"/>
              <w:spacing w:before="0"/>
              <w:rPr>
                <w:sz w:val="20"/>
              </w:rPr>
            </w:pPr>
            <w:r w:rsidRPr="00150EDC">
              <w:rPr>
                <w:spacing w:val="-2"/>
                <w:sz w:val="20"/>
              </w:rPr>
              <w:t>Procuring</w:t>
            </w:r>
          </w:p>
        </w:tc>
      </w:tr>
      <w:tr w:rsidR="004569EE" w:rsidRPr="007D3144" w14:paraId="13BA2145" w14:textId="77777777">
        <w:trPr>
          <w:trHeight w:val="510"/>
        </w:trPr>
        <w:tc>
          <w:tcPr>
            <w:tcW w:w="6517" w:type="dxa"/>
          </w:tcPr>
          <w:p w14:paraId="634EC915" w14:textId="77777777" w:rsidR="004C7180" w:rsidRPr="00150EDC" w:rsidRDefault="00CF0754">
            <w:pPr>
              <w:pStyle w:val="TableParagraph"/>
              <w:spacing w:before="32" w:line="230" w:lineRule="atLeast"/>
              <w:ind w:right="184"/>
              <w:rPr>
                <w:sz w:val="20"/>
              </w:rPr>
            </w:pPr>
            <w:r w:rsidRPr="00150EDC">
              <w:rPr>
                <w:sz w:val="20"/>
              </w:rPr>
              <w:t>Law</w:t>
            </w:r>
            <w:r w:rsidRPr="00150EDC">
              <w:rPr>
                <w:spacing w:val="-3"/>
                <w:sz w:val="20"/>
              </w:rPr>
              <w:t xml:space="preserve"> </w:t>
            </w:r>
            <w:r w:rsidRPr="00150EDC">
              <w:rPr>
                <w:sz w:val="20"/>
              </w:rPr>
              <w:t>for</w:t>
            </w:r>
            <w:r w:rsidRPr="00150EDC">
              <w:rPr>
                <w:spacing w:val="-5"/>
                <w:sz w:val="20"/>
              </w:rPr>
              <w:t xml:space="preserve"> </w:t>
            </w:r>
            <w:r w:rsidRPr="00150EDC">
              <w:rPr>
                <w:sz w:val="20"/>
              </w:rPr>
              <w:t>the</w:t>
            </w:r>
            <w:r w:rsidRPr="00150EDC">
              <w:rPr>
                <w:spacing w:val="-5"/>
                <w:sz w:val="20"/>
              </w:rPr>
              <w:t xml:space="preserve"> </w:t>
            </w:r>
            <w:r w:rsidRPr="00150EDC">
              <w:rPr>
                <w:sz w:val="20"/>
              </w:rPr>
              <w:t>Protection</w:t>
            </w:r>
            <w:r w:rsidRPr="00150EDC">
              <w:rPr>
                <w:spacing w:val="-5"/>
                <w:sz w:val="20"/>
              </w:rPr>
              <w:t xml:space="preserve"> </w:t>
            </w:r>
            <w:r w:rsidRPr="00150EDC">
              <w:rPr>
                <w:sz w:val="20"/>
              </w:rPr>
              <w:t>of</w:t>
            </w:r>
            <w:r w:rsidRPr="00150EDC">
              <w:rPr>
                <w:spacing w:val="-5"/>
                <w:sz w:val="20"/>
              </w:rPr>
              <w:t xml:space="preserve"> </w:t>
            </w:r>
            <w:r w:rsidRPr="00150EDC">
              <w:rPr>
                <w:sz w:val="20"/>
              </w:rPr>
              <w:t>Women</w:t>
            </w:r>
            <w:r w:rsidRPr="00150EDC">
              <w:rPr>
                <w:spacing w:val="-5"/>
                <w:sz w:val="20"/>
              </w:rPr>
              <w:t xml:space="preserve"> </w:t>
            </w:r>
            <w:r w:rsidRPr="00150EDC">
              <w:rPr>
                <w:sz w:val="20"/>
              </w:rPr>
              <w:t>and</w:t>
            </w:r>
            <w:r w:rsidRPr="00150EDC">
              <w:rPr>
                <w:spacing w:val="-5"/>
                <w:sz w:val="20"/>
              </w:rPr>
              <w:t xml:space="preserve"> </w:t>
            </w:r>
            <w:r w:rsidRPr="00150EDC">
              <w:rPr>
                <w:sz w:val="20"/>
              </w:rPr>
              <w:t>Young</w:t>
            </w:r>
            <w:r w:rsidRPr="00150EDC">
              <w:rPr>
                <w:spacing w:val="-5"/>
                <w:sz w:val="20"/>
              </w:rPr>
              <w:t xml:space="preserve"> </w:t>
            </w:r>
            <w:r w:rsidRPr="00150EDC">
              <w:rPr>
                <w:sz w:val="20"/>
              </w:rPr>
              <w:t>Girls</w:t>
            </w:r>
            <w:r w:rsidRPr="00150EDC">
              <w:rPr>
                <w:spacing w:val="-3"/>
                <w:sz w:val="20"/>
              </w:rPr>
              <w:t xml:space="preserve"> </w:t>
            </w:r>
            <w:r w:rsidRPr="00150EDC">
              <w:rPr>
                <w:sz w:val="20"/>
              </w:rPr>
              <w:t>(Guernsey)</w:t>
            </w:r>
            <w:r w:rsidRPr="00150EDC">
              <w:rPr>
                <w:spacing w:val="-5"/>
                <w:sz w:val="20"/>
              </w:rPr>
              <w:t xml:space="preserve"> </w:t>
            </w:r>
            <w:r w:rsidRPr="00150EDC">
              <w:rPr>
                <w:sz w:val="20"/>
              </w:rPr>
              <w:t>1914, Art 1(2)</w:t>
            </w:r>
          </w:p>
        </w:tc>
        <w:tc>
          <w:tcPr>
            <w:tcW w:w="7427" w:type="dxa"/>
          </w:tcPr>
          <w:p w14:paraId="60850717" w14:textId="77777777" w:rsidR="004C7180" w:rsidRPr="00150EDC" w:rsidRDefault="004C7180">
            <w:pPr>
              <w:pStyle w:val="TableParagraph"/>
              <w:spacing w:before="6" w:line="240" w:lineRule="auto"/>
              <w:ind w:left="0"/>
              <w:rPr>
                <w:sz w:val="24"/>
              </w:rPr>
            </w:pPr>
          </w:p>
          <w:p w14:paraId="6A6DDCBD" w14:textId="77777777" w:rsidR="004C7180" w:rsidRPr="00150EDC" w:rsidRDefault="00CF0754">
            <w:pPr>
              <w:pStyle w:val="TableParagraph"/>
              <w:spacing w:before="0"/>
              <w:rPr>
                <w:sz w:val="20"/>
              </w:rPr>
            </w:pPr>
            <w:r w:rsidRPr="00150EDC">
              <w:rPr>
                <w:sz w:val="20"/>
              </w:rPr>
              <w:t>Procuring</w:t>
            </w:r>
            <w:r w:rsidRPr="00150EDC">
              <w:rPr>
                <w:spacing w:val="-2"/>
                <w:sz w:val="20"/>
              </w:rPr>
              <w:t xml:space="preserve"> </w:t>
            </w:r>
            <w:r w:rsidRPr="00150EDC">
              <w:rPr>
                <w:sz w:val="20"/>
              </w:rPr>
              <w:t>by</w:t>
            </w:r>
            <w:r w:rsidRPr="00150EDC">
              <w:rPr>
                <w:spacing w:val="-5"/>
                <w:sz w:val="20"/>
              </w:rPr>
              <w:t xml:space="preserve"> </w:t>
            </w:r>
            <w:r w:rsidRPr="00150EDC">
              <w:rPr>
                <w:sz w:val="20"/>
              </w:rPr>
              <w:t>threats,</w:t>
            </w:r>
            <w:r w:rsidRPr="00150EDC">
              <w:rPr>
                <w:spacing w:val="-6"/>
                <w:sz w:val="20"/>
              </w:rPr>
              <w:t xml:space="preserve"> </w:t>
            </w:r>
            <w:r w:rsidRPr="00150EDC">
              <w:rPr>
                <w:sz w:val="20"/>
              </w:rPr>
              <w:t>false</w:t>
            </w:r>
            <w:r w:rsidRPr="00150EDC">
              <w:rPr>
                <w:spacing w:val="-7"/>
                <w:sz w:val="20"/>
              </w:rPr>
              <w:t xml:space="preserve"> </w:t>
            </w:r>
            <w:r w:rsidRPr="00150EDC">
              <w:rPr>
                <w:sz w:val="20"/>
              </w:rPr>
              <w:t>pretences or</w:t>
            </w:r>
            <w:r w:rsidRPr="00150EDC">
              <w:rPr>
                <w:spacing w:val="-6"/>
                <w:sz w:val="20"/>
              </w:rPr>
              <w:t xml:space="preserve"> </w:t>
            </w:r>
            <w:r w:rsidRPr="00150EDC">
              <w:rPr>
                <w:spacing w:val="-2"/>
                <w:sz w:val="20"/>
              </w:rPr>
              <w:t>drugs</w:t>
            </w:r>
          </w:p>
        </w:tc>
      </w:tr>
      <w:tr w:rsidR="004569EE" w:rsidRPr="007D3144" w14:paraId="72A03D5E" w14:textId="77777777">
        <w:trPr>
          <w:trHeight w:val="510"/>
        </w:trPr>
        <w:tc>
          <w:tcPr>
            <w:tcW w:w="6517" w:type="dxa"/>
          </w:tcPr>
          <w:p w14:paraId="669B090A" w14:textId="77777777" w:rsidR="004C7180" w:rsidRPr="00150EDC" w:rsidRDefault="00CF0754">
            <w:pPr>
              <w:pStyle w:val="TableParagraph"/>
              <w:spacing w:before="32" w:line="230" w:lineRule="atLeast"/>
              <w:ind w:right="184"/>
              <w:rPr>
                <w:sz w:val="20"/>
              </w:rPr>
            </w:pPr>
            <w:r w:rsidRPr="00150EDC">
              <w:rPr>
                <w:sz w:val="20"/>
              </w:rPr>
              <w:t>Law</w:t>
            </w:r>
            <w:r w:rsidRPr="00150EDC">
              <w:rPr>
                <w:spacing w:val="-3"/>
                <w:sz w:val="20"/>
              </w:rPr>
              <w:t xml:space="preserve"> </w:t>
            </w:r>
            <w:r w:rsidRPr="00150EDC">
              <w:rPr>
                <w:sz w:val="20"/>
              </w:rPr>
              <w:t>for</w:t>
            </w:r>
            <w:r w:rsidRPr="00150EDC">
              <w:rPr>
                <w:spacing w:val="-6"/>
                <w:sz w:val="20"/>
              </w:rPr>
              <w:t xml:space="preserve"> </w:t>
            </w:r>
            <w:r w:rsidRPr="00150EDC">
              <w:rPr>
                <w:sz w:val="20"/>
              </w:rPr>
              <w:t>the</w:t>
            </w:r>
            <w:r w:rsidRPr="00150EDC">
              <w:rPr>
                <w:spacing w:val="-5"/>
                <w:sz w:val="20"/>
              </w:rPr>
              <w:t xml:space="preserve"> </w:t>
            </w:r>
            <w:r w:rsidRPr="00150EDC">
              <w:rPr>
                <w:sz w:val="20"/>
              </w:rPr>
              <w:t>Protection</w:t>
            </w:r>
            <w:r w:rsidRPr="00150EDC">
              <w:rPr>
                <w:spacing w:val="-5"/>
                <w:sz w:val="20"/>
              </w:rPr>
              <w:t xml:space="preserve"> </w:t>
            </w:r>
            <w:r w:rsidRPr="00150EDC">
              <w:rPr>
                <w:sz w:val="20"/>
              </w:rPr>
              <w:t>of</w:t>
            </w:r>
            <w:r w:rsidRPr="00150EDC">
              <w:rPr>
                <w:spacing w:val="-5"/>
                <w:sz w:val="20"/>
              </w:rPr>
              <w:t xml:space="preserve"> </w:t>
            </w:r>
            <w:r w:rsidRPr="00150EDC">
              <w:rPr>
                <w:sz w:val="20"/>
              </w:rPr>
              <w:t>Women</w:t>
            </w:r>
            <w:r w:rsidRPr="00150EDC">
              <w:rPr>
                <w:spacing w:val="-5"/>
                <w:sz w:val="20"/>
              </w:rPr>
              <w:t xml:space="preserve"> </w:t>
            </w:r>
            <w:r w:rsidRPr="00150EDC">
              <w:rPr>
                <w:sz w:val="20"/>
              </w:rPr>
              <w:t>and</w:t>
            </w:r>
            <w:r w:rsidRPr="00150EDC">
              <w:rPr>
                <w:spacing w:val="-5"/>
                <w:sz w:val="20"/>
              </w:rPr>
              <w:t xml:space="preserve"> </w:t>
            </w:r>
            <w:r w:rsidRPr="00150EDC">
              <w:rPr>
                <w:sz w:val="20"/>
              </w:rPr>
              <w:t>Young</w:t>
            </w:r>
            <w:r w:rsidRPr="00150EDC">
              <w:rPr>
                <w:spacing w:val="-5"/>
                <w:sz w:val="20"/>
              </w:rPr>
              <w:t xml:space="preserve"> </w:t>
            </w:r>
            <w:r w:rsidRPr="00150EDC">
              <w:rPr>
                <w:sz w:val="20"/>
              </w:rPr>
              <w:t>Girls</w:t>
            </w:r>
            <w:r w:rsidRPr="00150EDC">
              <w:rPr>
                <w:spacing w:val="-3"/>
                <w:sz w:val="20"/>
              </w:rPr>
              <w:t xml:space="preserve"> </w:t>
            </w:r>
            <w:r w:rsidRPr="00150EDC">
              <w:rPr>
                <w:sz w:val="20"/>
              </w:rPr>
              <w:t>(Guernsey)</w:t>
            </w:r>
            <w:r w:rsidRPr="00150EDC">
              <w:rPr>
                <w:spacing w:val="-5"/>
                <w:sz w:val="20"/>
              </w:rPr>
              <w:t xml:space="preserve"> </w:t>
            </w:r>
            <w:r w:rsidRPr="00150EDC">
              <w:rPr>
                <w:sz w:val="20"/>
              </w:rPr>
              <w:t>1914, Art 12</w:t>
            </w:r>
          </w:p>
        </w:tc>
        <w:tc>
          <w:tcPr>
            <w:tcW w:w="7427" w:type="dxa"/>
          </w:tcPr>
          <w:p w14:paraId="64B6AE94" w14:textId="77777777" w:rsidR="004C7180" w:rsidRPr="00150EDC" w:rsidRDefault="004C7180">
            <w:pPr>
              <w:pStyle w:val="TableParagraph"/>
              <w:spacing w:before="6" w:line="240" w:lineRule="auto"/>
              <w:ind w:left="0"/>
              <w:rPr>
                <w:sz w:val="24"/>
              </w:rPr>
            </w:pPr>
          </w:p>
          <w:p w14:paraId="4F545DD3" w14:textId="77777777" w:rsidR="004C7180" w:rsidRPr="00150EDC" w:rsidRDefault="00CF0754">
            <w:pPr>
              <w:pStyle w:val="TableParagraph"/>
              <w:spacing w:before="1"/>
              <w:rPr>
                <w:sz w:val="20"/>
              </w:rPr>
            </w:pPr>
            <w:r w:rsidRPr="00150EDC">
              <w:rPr>
                <w:sz w:val="20"/>
              </w:rPr>
              <w:t>Exercising</w:t>
            </w:r>
            <w:r w:rsidRPr="00150EDC">
              <w:rPr>
                <w:spacing w:val="-7"/>
                <w:sz w:val="20"/>
              </w:rPr>
              <w:t xml:space="preserve"> </w:t>
            </w:r>
            <w:r w:rsidRPr="00150EDC">
              <w:rPr>
                <w:sz w:val="20"/>
              </w:rPr>
              <w:t>control</w:t>
            </w:r>
            <w:r w:rsidRPr="00150EDC">
              <w:rPr>
                <w:spacing w:val="-4"/>
                <w:sz w:val="20"/>
              </w:rPr>
              <w:t xml:space="preserve"> </w:t>
            </w:r>
            <w:r w:rsidRPr="00150EDC">
              <w:rPr>
                <w:sz w:val="20"/>
              </w:rPr>
              <w:t>over</w:t>
            </w:r>
            <w:r w:rsidRPr="00150EDC">
              <w:rPr>
                <w:spacing w:val="-6"/>
                <w:sz w:val="20"/>
              </w:rPr>
              <w:t xml:space="preserve"> </w:t>
            </w:r>
            <w:r w:rsidRPr="00150EDC">
              <w:rPr>
                <w:spacing w:val="-2"/>
                <w:sz w:val="20"/>
              </w:rPr>
              <w:t>prostitutes</w:t>
            </w:r>
          </w:p>
        </w:tc>
      </w:tr>
      <w:tr w:rsidR="004569EE" w:rsidRPr="007D3144" w14:paraId="6FFB9D29" w14:textId="77777777">
        <w:trPr>
          <w:trHeight w:val="510"/>
        </w:trPr>
        <w:tc>
          <w:tcPr>
            <w:tcW w:w="6517" w:type="dxa"/>
          </w:tcPr>
          <w:p w14:paraId="085F3790" w14:textId="77777777" w:rsidR="004C7180" w:rsidRPr="00150EDC" w:rsidRDefault="00CF0754">
            <w:pPr>
              <w:pStyle w:val="TableParagraph"/>
              <w:spacing w:before="32" w:line="230" w:lineRule="atLeast"/>
              <w:ind w:right="184"/>
              <w:rPr>
                <w:sz w:val="20"/>
              </w:rPr>
            </w:pPr>
            <w:r w:rsidRPr="00150EDC">
              <w:rPr>
                <w:sz w:val="20"/>
              </w:rPr>
              <w:t>Law</w:t>
            </w:r>
            <w:r w:rsidRPr="00150EDC">
              <w:rPr>
                <w:spacing w:val="-3"/>
                <w:sz w:val="20"/>
              </w:rPr>
              <w:t xml:space="preserve"> </w:t>
            </w:r>
            <w:r w:rsidRPr="00150EDC">
              <w:rPr>
                <w:sz w:val="20"/>
              </w:rPr>
              <w:t>for</w:t>
            </w:r>
            <w:r w:rsidRPr="00150EDC">
              <w:rPr>
                <w:spacing w:val="-5"/>
                <w:sz w:val="20"/>
              </w:rPr>
              <w:t xml:space="preserve"> </w:t>
            </w:r>
            <w:r w:rsidRPr="00150EDC">
              <w:rPr>
                <w:sz w:val="20"/>
              </w:rPr>
              <w:t>the</w:t>
            </w:r>
            <w:r w:rsidRPr="00150EDC">
              <w:rPr>
                <w:spacing w:val="-5"/>
                <w:sz w:val="20"/>
              </w:rPr>
              <w:t xml:space="preserve"> </w:t>
            </w:r>
            <w:r w:rsidRPr="00150EDC">
              <w:rPr>
                <w:sz w:val="20"/>
              </w:rPr>
              <w:t>Protection</w:t>
            </w:r>
            <w:r w:rsidRPr="00150EDC">
              <w:rPr>
                <w:spacing w:val="-5"/>
                <w:sz w:val="20"/>
              </w:rPr>
              <w:t xml:space="preserve"> </w:t>
            </w:r>
            <w:r w:rsidRPr="00150EDC">
              <w:rPr>
                <w:sz w:val="20"/>
              </w:rPr>
              <w:t>of</w:t>
            </w:r>
            <w:r w:rsidRPr="00150EDC">
              <w:rPr>
                <w:spacing w:val="-5"/>
                <w:sz w:val="20"/>
              </w:rPr>
              <w:t xml:space="preserve"> </w:t>
            </w:r>
            <w:r w:rsidRPr="00150EDC">
              <w:rPr>
                <w:sz w:val="20"/>
              </w:rPr>
              <w:t>Women</w:t>
            </w:r>
            <w:r w:rsidRPr="00150EDC">
              <w:rPr>
                <w:spacing w:val="-5"/>
                <w:sz w:val="20"/>
              </w:rPr>
              <w:t xml:space="preserve"> </w:t>
            </w:r>
            <w:r w:rsidRPr="00150EDC">
              <w:rPr>
                <w:sz w:val="20"/>
              </w:rPr>
              <w:t>and</w:t>
            </w:r>
            <w:r w:rsidRPr="00150EDC">
              <w:rPr>
                <w:spacing w:val="-5"/>
                <w:sz w:val="20"/>
              </w:rPr>
              <w:t xml:space="preserve"> </w:t>
            </w:r>
            <w:r w:rsidRPr="00150EDC">
              <w:rPr>
                <w:sz w:val="20"/>
              </w:rPr>
              <w:t>Young</w:t>
            </w:r>
            <w:r w:rsidRPr="00150EDC">
              <w:rPr>
                <w:spacing w:val="-5"/>
                <w:sz w:val="20"/>
              </w:rPr>
              <w:t xml:space="preserve"> </w:t>
            </w:r>
            <w:r w:rsidRPr="00150EDC">
              <w:rPr>
                <w:sz w:val="20"/>
              </w:rPr>
              <w:t>Girls</w:t>
            </w:r>
            <w:r w:rsidRPr="00150EDC">
              <w:rPr>
                <w:spacing w:val="-3"/>
                <w:sz w:val="20"/>
              </w:rPr>
              <w:t xml:space="preserve"> </w:t>
            </w:r>
            <w:r w:rsidRPr="00150EDC">
              <w:rPr>
                <w:sz w:val="20"/>
              </w:rPr>
              <w:t>(Guernsey)</w:t>
            </w:r>
            <w:r w:rsidRPr="00150EDC">
              <w:rPr>
                <w:spacing w:val="-5"/>
                <w:sz w:val="20"/>
              </w:rPr>
              <w:t xml:space="preserve"> </w:t>
            </w:r>
            <w:r w:rsidRPr="00150EDC">
              <w:rPr>
                <w:sz w:val="20"/>
              </w:rPr>
              <w:t>1914, Art 2</w:t>
            </w:r>
          </w:p>
        </w:tc>
        <w:tc>
          <w:tcPr>
            <w:tcW w:w="7427" w:type="dxa"/>
          </w:tcPr>
          <w:p w14:paraId="47E33EE4" w14:textId="77777777" w:rsidR="004C7180" w:rsidRPr="00150EDC" w:rsidRDefault="004C7180">
            <w:pPr>
              <w:pStyle w:val="TableParagraph"/>
              <w:spacing w:before="6" w:line="240" w:lineRule="auto"/>
              <w:ind w:left="0"/>
              <w:rPr>
                <w:sz w:val="24"/>
              </w:rPr>
            </w:pPr>
          </w:p>
          <w:p w14:paraId="73F097C7" w14:textId="77777777" w:rsidR="004C7180" w:rsidRPr="00150EDC" w:rsidRDefault="00CF0754">
            <w:pPr>
              <w:pStyle w:val="TableParagraph"/>
              <w:spacing w:before="0"/>
              <w:rPr>
                <w:sz w:val="20"/>
              </w:rPr>
            </w:pPr>
            <w:r w:rsidRPr="00150EDC">
              <w:rPr>
                <w:sz w:val="20"/>
              </w:rPr>
              <w:t>Intercourse</w:t>
            </w:r>
            <w:r w:rsidRPr="00150EDC">
              <w:rPr>
                <w:spacing w:val="-6"/>
                <w:sz w:val="20"/>
              </w:rPr>
              <w:t xml:space="preserve"> </w:t>
            </w:r>
            <w:r w:rsidRPr="00150EDC">
              <w:rPr>
                <w:sz w:val="20"/>
              </w:rPr>
              <w:t>with</w:t>
            </w:r>
            <w:r w:rsidRPr="00150EDC">
              <w:rPr>
                <w:spacing w:val="-2"/>
                <w:sz w:val="20"/>
              </w:rPr>
              <w:t xml:space="preserve"> </w:t>
            </w:r>
            <w:r w:rsidRPr="00150EDC">
              <w:rPr>
                <w:sz w:val="20"/>
              </w:rPr>
              <w:t>a</w:t>
            </w:r>
            <w:r w:rsidRPr="00150EDC">
              <w:rPr>
                <w:spacing w:val="-6"/>
                <w:sz w:val="20"/>
              </w:rPr>
              <w:t xml:space="preserve"> </w:t>
            </w:r>
            <w:r w:rsidRPr="00150EDC">
              <w:rPr>
                <w:sz w:val="20"/>
              </w:rPr>
              <w:t>girl under</w:t>
            </w:r>
            <w:r w:rsidRPr="00150EDC">
              <w:rPr>
                <w:spacing w:val="-5"/>
                <w:sz w:val="20"/>
              </w:rPr>
              <w:t xml:space="preserve"> 13</w:t>
            </w:r>
          </w:p>
        </w:tc>
      </w:tr>
      <w:tr w:rsidR="004569EE" w:rsidRPr="007D3144" w14:paraId="73966008" w14:textId="77777777">
        <w:trPr>
          <w:trHeight w:val="510"/>
        </w:trPr>
        <w:tc>
          <w:tcPr>
            <w:tcW w:w="6517" w:type="dxa"/>
          </w:tcPr>
          <w:p w14:paraId="22C90F14" w14:textId="77777777" w:rsidR="004C7180" w:rsidRPr="00150EDC" w:rsidRDefault="00CF0754">
            <w:pPr>
              <w:pStyle w:val="TableParagraph"/>
              <w:spacing w:before="32" w:line="230" w:lineRule="atLeast"/>
              <w:ind w:right="184"/>
              <w:rPr>
                <w:sz w:val="20"/>
              </w:rPr>
            </w:pPr>
            <w:r w:rsidRPr="00150EDC">
              <w:rPr>
                <w:sz w:val="20"/>
              </w:rPr>
              <w:t>Law</w:t>
            </w:r>
            <w:r w:rsidRPr="00150EDC">
              <w:rPr>
                <w:spacing w:val="-3"/>
                <w:sz w:val="20"/>
              </w:rPr>
              <w:t xml:space="preserve"> </w:t>
            </w:r>
            <w:r w:rsidRPr="00150EDC">
              <w:rPr>
                <w:sz w:val="20"/>
              </w:rPr>
              <w:t>for</w:t>
            </w:r>
            <w:r w:rsidRPr="00150EDC">
              <w:rPr>
                <w:spacing w:val="-5"/>
                <w:sz w:val="20"/>
              </w:rPr>
              <w:t xml:space="preserve"> </w:t>
            </w:r>
            <w:r w:rsidRPr="00150EDC">
              <w:rPr>
                <w:sz w:val="20"/>
              </w:rPr>
              <w:t>the</w:t>
            </w:r>
            <w:r w:rsidRPr="00150EDC">
              <w:rPr>
                <w:spacing w:val="-5"/>
                <w:sz w:val="20"/>
              </w:rPr>
              <w:t xml:space="preserve"> </w:t>
            </w:r>
            <w:r w:rsidRPr="00150EDC">
              <w:rPr>
                <w:sz w:val="20"/>
              </w:rPr>
              <w:t>Protection</w:t>
            </w:r>
            <w:r w:rsidRPr="00150EDC">
              <w:rPr>
                <w:spacing w:val="-5"/>
                <w:sz w:val="20"/>
              </w:rPr>
              <w:t xml:space="preserve"> </w:t>
            </w:r>
            <w:r w:rsidRPr="00150EDC">
              <w:rPr>
                <w:sz w:val="20"/>
              </w:rPr>
              <w:t>of</w:t>
            </w:r>
            <w:r w:rsidRPr="00150EDC">
              <w:rPr>
                <w:spacing w:val="-5"/>
                <w:sz w:val="20"/>
              </w:rPr>
              <w:t xml:space="preserve"> </w:t>
            </w:r>
            <w:r w:rsidRPr="00150EDC">
              <w:rPr>
                <w:sz w:val="20"/>
              </w:rPr>
              <w:t>Women</w:t>
            </w:r>
            <w:r w:rsidRPr="00150EDC">
              <w:rPr>
                <w:spacing w:val="-5"/>
                <w:sz w:val="20"/>
              </w:rPr>
              <w:t xml:space="preserve"> </w:t>
            </w:r>
            <w:r w:rsidRPr="00150EDC">
              <w:rPr>
                <w:sz w:val="20"/>
              </w:rPr>
              <w:t>and</w:t>
            </w:r>
            <w:r w:rsidRPr="00150EDC">
              <w:rPr>
                <w:spacing w:val="-5"/>
                <w:sz w:val="20"/>
              </w:rPr>
              <w:t xml:space="preserve"> </w:t>
            </w:r>
            <w:r w:rsidRPr="00150EDC">
              <w:rPr>
                <w:sz w:val="20"/>
              </w:rPr>
              <w:t>Young</w:t>
            </w:r>
            <w:r w:rsidRPr="00150EDC">
              <w:rPr>
                <w:spacing w:val="-5"/>
                <w:sz w:val="20"/>
              </w:rPr>
              <w:t xml:space="preserve"> </w:t>
            </w:r>
            <w:r w:rsidRPr="00150EDC">
              <w:rPr>
                <w:sz w:val="20"/>
              </w:rPr>
              <w:t>Girls</w:t>
            </w:r>
            <w:r w:rsidRPr="00150EDC">
              <w:rPr>
                <w:spacing w:val="-3"/>
                <w:sz w:val="20"/>
              </w:rPr>
              <w:t xml:space="preserve"> </w:t>
            </w:r>
            <w:r w:rsidRPr="00150EDC">
              <w:rPr>
                <w:sz w:val="20"/>
              </w:rPr>
              <w:t>(Guernsey)</w:t>
            </w:r>
            <w:r w:rsidRPr="00150EDC">
              <w:rPr>
                <w:spacing w:val="-5"/>
                <w:sz w:val="20"/>
              </w:rPr>
              <w:t xml:space="preserve"> </w:t>
            </w:r>
            <w:r w:rsidRPr="00150EDC">
              <w:rPr>
                <w:sz w:val="20"/>
              </w:rPr>
              <w:t>1914, Art 3(a)</w:t>
            </w:r>
          </w:p>
        </w:tc>
        <w:tc>
          <w:tcPr>
            <w:tcW w:w="7427" w:type="dxa"/>
          </w:tcPr>
          <w:p w14:paraId="16543C5F" w14:textId="77777777" w:rsidR="004C7180" w:rsidRPr="00150EDC" w:rsidRDefault="004C7180">
            <w:pPr>
              <w:pStyle w:val="TableParagraph"/>
              <w:spacing w:before="6" w:line="240" w:lineRule="auto"/>
              <w:ind w:left="0"/>
              <w:rPr>
                <w:sz w:val="24"/>
              </w:rPr>
            </w:pPr>
          </w:p>
          <w:p w14:paraId="389CD4A4" w14:textId="77777777" w:rsidR="004C7180" w:rsidRPr="00150EDC" w:rsidRDefault="00CF0754">
            <w:pPr>
              <w:pStyle w:val="TableParagraph"/>
              <w:spacing w:before="1"/>
              <w:rPr>
                <w:sz w:val="20"/>
              </w:rPr>
            </w:pPr>
            <w:r w:rsidRPr="00150EDC">
              <w:rPr>
                <w:sz w:val="20"/>
              </w:rPr>
              <w:t>Intercourse</w:t>
            </w:r>
            <w:r w:rsidRPr="00150EDC">
              <w:rPr>
                <w:spacing w:val="-6"/>
                <w:sz w:val="20"/>
              </w:rPr>
              <w:t xml:space="preserve"> </w:t>
            </w:r>
            <w:r w:rsidRPr="00150EDC">
              <w:rPr>
                <w:sz w:val="20"/>
              </w:rPr>
              <w:t>with</w:t>
            </w:r>
            <w:r w:rsidRPr="00150EDC">
              <w:rPr>
                <w:spacing w:val="-2"/>
                <w:sz w:val="20"/>
              </w:rPr>
              <w:t xml:space="preserve"> </w:t>
            </w:r>
            <w:r w:rsidRPr="00150EDC">
              <w:rPr>
                <w:sz w:val="20"/>
              </w:rPr>
              <w:t>a</w:t>
            </w:r>
            <w:r w:rsidRPr="00150EDC">
              <w:rPr>
                <w:spacing w:val="-6"/>
                <w:sz w:val="20"/>
              </w:rPr>
              <w:t xml:space="preserve"> </w:t>
            </w:r>
            <w:r w:rsidRPr="00150EDC">
              <w:rPr>
                <w:sz w:val="20"/>
              </w:rPr>
              <w:t>girl under</w:t>
            </w:r>
            <w:r w:rsidRPr="00150EDC">
              <w:rPr>
                <w:spacing w:val="-5"/>
                <w:sz w:val="20"/>
              </w:rPr>
              <w:t xml:space="preserve"> 16</w:t>
            </w:r>
          </w:p>
        </w:tc>
      </w:tr>
      <w:tr w:rsidR="004569EE" w:rsidRPr="007D3144" w14:paraId="4B757A2C" w14:textId="77777777">
        <w:trPr>
          <w:trHeight w:val="510"/>
        </w:trPr>
        <w:tc>
          <w:tcPr>
            <w:tcW w:w="6517" w:type="dxa"/>
          </w:tcPr>
          <w:p w14:paraId="6AEF058B" w14:textId="77777777" w:rsidR="004C7180" w:rsidRPr="00150EDC" w:rsidRDefault="00CF0754">
            <w:pPr>
              <w:pStyle w:val="TableParagraph"/>
              <w:spacing w:before="32" w:line="230" w:lineRule="atLeast"/>
              <w:ind w:right="184"/>
              <w:rPr>
                <w:sz w:val="20"/>
              </w:rPr>
            </w:pPr>
            <w:r w:rsidRPr="00150EDC">
              <w:rPr>
                <w:sz w:val="20"/>
              </w:rPr>
              <w:t>Law</w:t>
            </w:r>
            <w:r w:rsidRPr="00150EDC">
              <w:rPr>
                <w:spacing w:val="-3"/>
                <w:sz w:val="20"/>
              </w:rPr>
              <w:t xml:space="preserve"> </w:t>
            </w:r>
            <w:r w:rsidRPr="00150EDC">
              <w:rPr>
                <w:sz w:val="20"/>
              </w:rPr>
              <w:t>for</w:t>
            </w:r>
            <w:r w:rsidRPr="00150EDC">
              <w:rPr>
                <w:spacing w:val="-5"/>
                <w:sz w:val="20"/>
              </w:rPr>
              <w:t xml:space="preserve"> </w:t>
            </w:r>
            <w:r w:rsidRPr="00150EDC">
              <w:rPr>
                <w:sz w:val="20"/>
              </w:rPr>
              <w:t>the</w:t>
            </w:r>
            <w:r w:rsidRPr="00150EDC">
              <w:rPr>
                <w:spacing w:val="-5"/>
                <w:sz w:val="20"/>
              </w:rPr>
              <w:t xml:space="preserve"> </w:t>
            </w:r>
            <w:r w:rsidRPr="00150EDC">
              <w:rPr>
                <w:sz w:val="20"/>
              </w:rPr>
              <w:t>Protection</w:t>
            </w:r>
            <w:r w:rsidRPr="00150EDC">
              <w:rPr>
                <w:spacing w:val="-5"/>
                <w:sz w:val="20"/>
              </w:rPr>
              <w:t xml:space="preserve"> </w:t>
            </w:r>
            <w:r w:rsidRPr="00150EDC">
              <w:rPr>
                <w:sz w:val="20"/>
              </w:rPr>
              <w:t>of</w:t>
            </w:r>
            <w:r w:rsidRPr="00150EDC">
              <w:rPr>
                <w:spacing w:val="-5"/>
                <w:sz w:val="20"/>
              </w:rPr>
              <w:t xml:space="preserve"> </w:t>
            </w:r>
            <w:r w:rsidRPr="00150EDC">
              <w:rPr>
                <w:sz w:val="20"/>
              </w:rPr>
              <w:t>Women</w:t>
            </w:r>
            <w:r w:rsidRPr="00150EDC">
              <w:rPr>
                <w:spacing w:val="-5"/>
                <w:sz w:val="20"/>
              </w:rPr>
              <w:t xml:space="preserve"> </w:t>
            </w:r>
            <w:r w:rsidRPr="00150EDC">
              <w:rPr>
                <w:sz w:val="20"/>
              </w:rPr>
              <w:t>and</w:t>
            </w:r>
            <w:r w:rsidRPr="00150EDC">
              <w:rPr>
                <w:spacing w:val="-5"/>
                <w:sz w:val="20"/>
              </w:rPr>
              <w:t xml:space="preserve"> </w:t>
            </w:r>
            <w:r w:rsidRPr="00150EDC">
              <w:rPr>
                <w:sz w:val="20"/>
              </w:rPr>
              <w:t>Young</w:t>
            </w:r>
            <w:r w:rsidRPr="00150EDC">
              <w:rPr>
                <w:spacing w:val="-5"/>
                <w:sz w:val="20"/>
              </w:rPr>
              <w:t xml:space="preserve"> </w:t>
            </w:r>
            <w:r w:rsidRPr="00150EDC">
              <w:rPr>
                <w:sz w:val="20"/>
              </w:rPr>
              <w:t>Girls</w:t>
            </w:r>
            <w:r w:rsidRPr="00150EDC">
              <w:rPr>
                <w:spacing w:val="-3"/>
                <w:sz w:val="20"/>
              </w:rPr>
              <w:t xml:space="preserve"> </w:t>
            </w:r>
            <w:r w:rsidRPr="00150EDC">
              <w:rPr>
                <w:sz w:val="20"/>
              </w:rPr>
              <w:t>(Guernsey)</w:t>
            </w:r>
            <w:r w:rsidRPr="00150EDC">
              <w:rPr>
                <w:spacing w:val="-5"/>
                <w:sz w:val="20"/>
              </w:rPr>
              <w:t xml:space="preserve"> </w:t>
            </w:r>
            <w:r w:rsidRPr="00150EDC">
              <w:rPr>
                <w:sz w:val="20"/>
              </w:rPr>
              <w:t>1914, Art 3(b)</w:t>
            </w:r>
          </w:p>
        </w:tc>
        <w:tc>
          <w:tcPr>
            <w:tcW w:w="7427" w:type="dxa"/>
          </w:tcPr>
          <w:p w14:paraId="6EB4A266" w14:textId="77777777" w:rsidR="004C7180" w:rsidRPr="00150EDC" w:rsidRDefault="004C7180">
            <w:pPr>
              <w:pStyle w:val="TableParagraph"/>
              <w:spacing w:before="6" w:line="240" w:lineRule="auto"/>
              <w:ind w:left="0"/>
              <w:rPr>
                <w:sz w:val="24"/>
              </w:rPr>
            </w:pPr>
          </w:p>
          <w:p w14:paraId="22C71B77" w14:textId="77777777" w:rsidR="004C7180" w:rsidRPr="00150EDC" w:rsidRDefault="00CF0754">
            <w:pPr>
              <w:pStyle w:val="TableParagraph"/>
              <w:spacing w:before="0"/>
              <w:rPr>
                <w:sz w:val="20"/>
              </w:rPr>
            </w:pPr>
            <w:r w:rsidRPr="00150EDC">
              <w:rPr>
                <w:sz w:val="20"/>
              </w:rPr>
              <w:t>Intercourse</w:t>
            </w:r>
            <w:r w:rsidRPr="00150EDC">
              <w:rPr>
                <w:spacing w:val="-7"/>
                <w:sz w:val="20"/>
              </w:rPr>
              <w:t xml:space="preserve"> </w:t>
            </w:r>
            <w:r w:rsidRPr="00150EDC">
              <w:rPr>
                <w:sz w:val="20"/>
              </w:rPr>
              <w:t>with</w:t>
            </w:r>
            <w:r w:rsidRPr="00150EDC">
              <w:rPr>
                <w:spacing w:val="-2"/>
                <w:sz w:val="20"/>
              </w:rPr>
              <w:t xml:space="preserve"> </w:t>
            </w:r>
            <w:r w:rsidRPr="00150EDC">
              <w:rPr>
                <w:sz w:val="20"/>
              </w:rPr>
              <w:t>a</w:t>
            </w:r>
            <w:r w:rsidRPr="00150EDC">
              <w:rPr>
                <w:spacing w:val="-6"/>
                <w:sz w:val="20"/>
              </w:rPr>
              <w:t xml:space="preserve"> </w:t>
            </w:r>
            <w:r w:rsidRPr="00150EDC">
              <w:rPr>
                <w:spacing w:val="-2"/>
                <w:sz w:val="20"/>
              </w:rPr>
              <w:t>defective</w:t>
            </w:r>
          </w:p>
        </w:tc>
      </w:tr>
      <w:tr w:rsidR="004569EE" w:rsidRPr="007D3144" w14:paraId="23909A14" w14:textId="77777777">
        <w:trPr>
          <w:trHeight w:val="510"/>
        </w:trPr>
        <w:tc>
          <w:tcPr>
            <w:tcW w:w="6517" w:type="dxa"/>
          </w:tcPr>
          <w:p w14:paraId="74DCD0EF" w14:textId="77777777" w:rsidR="004C7180" w:rsidRPr="00150EDC" w:rsidRDefault="00CF0754">
            <w:pPr>
              <w:pStyle w:val="TableParagraph"/>
              <w:spacing w:before="32" w:line="230" w:lineRule="atLeast"/>
              <w:ind w:right="184"/>
              <w:rPr>
                <w:sz w:val="20"/>
              </w:rPr>
            </w:pPr>
            <w:r w:rsidRPr="00150EDC">
              <w:rPr>
                <w:sz w:val="20"/>
              </w:rPr>
              <w:t>Law</w:t>
            </w:r>
            <w:r w:rsidRPr="00150EDC">
              <w:rPr>
                <w:spacing w:val="-3"/>
                <w:sz w:val="20"/>
              </w:rPr>
              <w:t xml:space="preserve"> </w:t>
            </w:r>
            <w:r w:rsidRPr="00150EDC">
              <w:rPr>
                <w:sz w:val="20"/>
              </w:rPr>
              <w:t>for</w:t>
            </w:r>
            <w:r w:rsidRPr="00150EDC">
              <w:rPr>
                <w:spacing w:val="-5"/>
                <w:sz w:val="20"/>
              </w:rPr>
              <w:t xml:space="preserve"> </w:t>
            </w:r>
            <w:r w:rsidRPr="00150EDC">
              <w:rPr>
                <w:sz w:val="20"/>
              </w:rPr>
              <w:t>the</w:t>
            </w:r>
            <w:r w:rsidRPr="00150EDC">
              <w:rPr>
                <w:spacing w:val="-5"/>
                <w:sz w:val="20"/>
              </w:rPr>
              <w:t xml:space="preserve"> </w:t>
            </w:r>
            <w:r w:rsidRPr="00150EDC">
              <w:rPr>
                <w:sz w:val="20"/>
              </w:rPr>
              <w:t>Protection</w:t>
            </w:r>
            <w:r w:rsidRPr="00150EDC">
              <w:rPr>
                <w:spacing w:val="-5"/>
                <w:sz w:val="20"/>
              </w:rPr>
              <w:t xml:space="preserve"> </w:t>
            </w:r>
            <w:r w:rsidRPr="00150EDC">
              <w:rPr>
                <w:sz w:val="20"/>
              </w:rPr>
              <w:t>of</w:t>
            </w:r>
            <w:r w:rsidRPr="00150EDC">
              <w:rPr>
                <w:spacing w:val="-5"/>
                <w:sz w:val="20"/>
              </w:rPr>
              <w:t xml:space="preserve"> </w:t>
            </w:r>
            <w:r w:rsidRPr="00150EDC">
              <w:rPr>
                <w:sz w:val="20"/>
              </w:rPr>
              <w:t>Women</w:t>
            </w:r>
            <w:r w:rsidRPr="00150EDC">
              <w:rPr>
                <w:spacing w:val="-5"/>
                <w:sz w:val="20"/>
              </w:rPr>
              <w:t xml:space="preserve"> </w:t>
            </w:r>
            <w:r w:rsidRPr="00150EDC">
              <w:rPr>
                <w:sz w:val="20"/>
              </w:rPr>
              <w:t>and</w:t>
            </w:r>
            <w:r w:rsidRPr="00150EDC">
              <w:rPr>
                <w:spacing w:val="-5"/>
                <w:sz w:val="20"/>
              </w:rPr>
              <w:t xml:space="preserve"> </w:t>
            </w:r>
            <w:r w:rsidRPr="00150EDC">
              <w:rPr>
                <w:sz w:val="20"/>
              </w:rPr>
              <w:t>Young</w:t>
            </w:r>
            <w:r w:rsidRPr="00150EDC">
              <w:rPr>
                <w:spacing w:val="-5"/>
                <w:sz w:val="20"/>
              </w:rPr>
              <w:t xml:space="preserve"> </w:t>
            </w:r>
            <w:r w:rsidRPr="00150EDC">
              <w:rPr>
                <w:sz w:val="20"/>
              </w:rPr>
              <w:t>Girls</w:t>
            </w:r>
            <w:r w:rsidRPr="00150EDC">
              <w:rPr>
                <w:spacing w:val="-3"/>
                <w:sz w:val="20"/>
              </w:rPr>
              <w:t xml:space="preserve"> </w:t>
            </w:r>
            <w:r w:rsidRPr="00150EDC">
              <w:rPr>
                <w:sz w:val="20"/>
              </w:rPr>
              <w:t>(Guernsey)</w:t>
            </w:r>
            <w:r w:rsidRPr="00150EDC">
              <w:rPr>
                <w:spacing w:val="-5"/>
                <w:sz w:val="20"/>
              </w:rPr>
              <w:t xml:space="preserve"> </w:t>
            </w:r>
            <w:r w:rsidRPr="00150EDC">
              <w:rPr>
                <w:sz w:val="20"/>
              </w:rPr>
              <w:t>1914, Art 4(a)</w:t>
            </w:r>
          </w:p>
        </w:tc>
        <w:tc>
          <w:tcPr>
            <w:tcW w:w="7427" w:type="dxa"/>
          </w:tcPr>
          <w:p w14:paraId="564850B1" w14:textId="77777777" w:rsidR="004C7180" w:rsidRPr="00150EDC" w:rsidRDefault="004C7180">
            <w:pPr>
              <w:pStyle w:val="TableParagraph"/>
              <w:spacing w:before="7" w:line="240" w:lineRule="auto"/>
              <w:ind w:left="0"/>
              <w:rPr>
                <w:sz w:val="24"/>
              </w:rPr>
            </w:pPr>
          </w:p>
          <w:p w14:paraId="2F4C777C" w14:textId="77777777" w:rsidR="004C7180" w:rsidRPr="00150EDC" w:rsidRDefault="00CF0754">
            <w:pPr>
              <w:pStyle w:val="TableParagraph"/>
              <w:spacing w:before="0"/>
              <w:rPr>
                <w:sz w:val="20"/>
              </w:rPr>
            </w:pPr>
            <w:r w:rsidRPr="00150EDC">
              <w:rPr>
                <w:sz w:val="20"/>
              </w:rPr>
              <w:t>Permitting</w:t>
            </w:r>
            <w:r w:rsidRPr="00150EDC">
              <w:rPr>
                <w:spacing w:val="-4"/>
                <w:sz w:val="20"/>
              </w:rPr>
              <w:t xml:space="preserve"> </w:t>
            </w:r>
            <w:r w:rsidRPr="00150EDC">
              <w:rPr>
                <w:sz w:val="20"/>
              </w:rPr>
              <w:t>girl</w:t>
            </w:r>
            <w:r w:rsidRPr="00150EDC">
              <w:rPr>
                <w:spacing w:val="-2"/>
                <w:sz w:val="20"/>
              </w:rPr>
              <w:t xml:space="preserve"> </w:t>
            </w:r>
            <w:r w:rsidRPr="00150EDC">
              <w:rPr>
                <w:sz w:val="20"/>
              </w:rPr>
              <w:t>under</w:t>
            </w:r>
            <w:r w:rsidRPr="00150EDC">
              <w:rPr>
                <w:spacing w:val="-3"/>
                <w:sz w:val="20"/>
              </w:rPr>
              <w:t xml:space="preserve"> </w:t>
            </w:r>
            <w:r w:rsidRPr="00150EDC">
              <w:rPr>
                <w:sz w:val="20"/>
              </w:rPr>
              <w:t>13</w:t>
            </w:r>
            <w:r w:rsidRPr="00150EDC">
              <w:rPr>
                <w:spacing w:val="-4"/>
                <w:sz w:val="20"/>
              </w:rPr>
              <w:t xml:space="preserve"> </w:t>
            </w:r>
            <w:r w:rsidRPr="00150EDC">
              <w:rPr>
                <w:sz w:val="20"/>
              </w:rPr>
              <w:t>to</w:t>
            </w:r>
            <w:r w:rsidRPr="00150EDC">
              <w:rPr>
                <w:spacing w:val="-4"/>
                <w:sz w:val="20"/>
              </w:rPr>
              <w:t xml:space="preserve"> </w:t>
            </w:r>
            <w:r w:rsidRPr="00150EDC">
              <w:rPr>
                <w:sz w:val="20"/>
              </w:rPr>
              <w:t>use</w:t>
            </w:r>
            <w:r w:rsidRPr="00150EDC">
              <w:rPr>
                <w:spacing w:val="-3"/>
                <w:sz w:val="20"/>
              </w:rPr>
              <w:t xml:space="preserve"> </w:t>
            </w:r>
            <w:r w:rsidRPr="00150EDC">
              <w:rPr>
                <w:sz w:val="20"/>
              </w:rPr>
              <w:t>premises</w:t>
            </w:r>
            <w:r w:rsidRPr="00150EDC">
              <w:rPr>
                <w:spacing w:val="-3"/>
                <w:sz w:val="20"/>
              </w:rPr>
              <w:t xml:space="preserve"> </w:t>
            </w:r>
            <w:r w:rsidRPr="00150EDC">
              <w:rPr>
                <w:sz w:val="20"/>
              </w:rPr>
              <w:t>for</w:t>
            </w:r>
            <w:r w:rsidRPr="00150EDC">
              <w:rPr>
                <w:spacing w:val="-4"/>
                <w:sz w:val="20"/>
              </w:rPr>
              <w:t xml:space="preserve"> </w:t>
            </w:r>
            <w:r w:rsidRPr="00150EDC">
              <w:rPr>
                <w:spacing w:val="-2"/>
                <w:sz w:val="20"/>
              </w:rPr>
              <w:t>intercourse</w:t>
            </w:r>
          </w:p>
        </w:tc>
      </w:tr>
      <w:tr w:rsidR="004569EE" w:rsidRPr="007D3144" w14:paraId="5D1D92E7" w14:textId="77777777">
        <w:trPr>
          <w:trHeight w:val="510"/>
        </w:trPr>
        <w:tc>
          <w:tcPr>
            <w:tcW w:w="6517" w:type="dxa"/>
          </w:tcPr>
          <w:p w14:paraId="7D73B66C" w14:textId="77777777" w:rsidR="004C7180" w:rsidRPr="00150EDC" w:rsidRDefault="00CF0754">
            <w:pPr>
              <w:pStyle w:val="TableParagraph"/>
              <w:spacing w:before="32" w:line="230" w:lineRule="atLeast"/>
              <w:ind w:right="184"/>
              <w:rPr>
                <w:sz w:val="20"/>
              </w:rPr>
            </w:pPr>
            <w:r w:rsidRPr="00150EDC">
              <w:rPr>
                <w:sz w:val="20"/>
              </w:rPr>
              <w:t>Law</w:t>
            </w:r>
            <w:r w:rsidRPr="00150EDC">
              <w:rPr>
                <w:spacing w:val="-3"/>
                <w:sz w:val="20"/>
              </w:rPr>
              <w:t xml:space="preserve"> </w:t>
            </w:r>
            <w:r w:rsidRPr="00150EDC">
              <w:rPr>
                <w:sz w:val="20"/>
              </w:rPr>
              <w:t>for</w:t>
            </w:r>
            <w:r w:rsidRPr="00150EDC">
              <w:rPr>
                <w:spacing w:val="-5"/>
                <w:sz w:val="20"/>
              </w:rPr>
              <w:t xml:space="preserve"> </w:t>
            </w:r>
            <w:r w:rsidRPr="00150EDC">
              <w:rPr>
                <w:sz w:val="20"/>
              </w:rPr>
              <w:t>the</w:t>
            </w:r>
            <w:r w:rsidRPr="00150EDC">
              <w:rPr>
                <w:spacing w:val="-5"/>
                <w:sz w:val="20"/>
              </w:rPr>
              <w:t xml:space="preserve"> </w:t>
            </w:r>
            <w:r w:rsidRPr="00150EDC">
              <w:rPr>
                <w:sz w:val="20"/>
              </w:rPr>
              <w:t>Protection</w:t>
            </w:r>
            <w:r w:rsidRPr="00150EDC">
              <w:rPr>
                <w:spacing w:val="-5"/>
                <w:sz w:val="20"/>
              </w:rPr>
              <w:t xml:space="preserve"> </w:t>
            </w:r>
            <w:r w:rsidRPr="00150EDC">
              <w:rPr>
                <w:sz w:val="20"/>
              </w:rPr>
              <w:t>of</w:t>
            </w:r>
            <w:r w:rsidRPr="00150EDC">
              <w:rPr>
                <w:spacing w:val="-5"/>
                <w:sz w:val="20"/>
              </w:rPr>
              <w:t xml:space="preserve"> </w:t>
            </w:r>
            <w:r w:rsidRPr="00150EDC">
              <w:rPr>
                <w:sz w:val="20"/>
              </w:rPr>
              <w:t>Women</w:t>
            </w:r>
            <w:r w:rsidRPr="00150EDC">
              <w:rPr>
                <w:spacing w:val="-5"/>
                <w:sz w:val="20"/>
              </w:rPr>
              <w:t xml:space="preserve"> </w:t>
            </w:r>
            <w:r w:rsidRPr="00150EDC">
              <w:rPr>
                <w:sz w:val="20"/>
              </w:rPr>
              <w:t>and</w:t>
            </w:r>
            <w:r w:rsidRPr="00150EDC">
              <w:rPr>
                <w:spacing w:val="-5"/>
                <w:sz w:val="20"/>
              </w:rPr>
              <w:t xml:space="preserve"> </w:t>
            </w:r>
            <w:r w:rsidRPr="00150EDC">
              <w:rPr>
                <w:sz w:val="20"/>
              </w:rPr>
              <w:t>Young</w:t>
            </w:r>
            <w:r w:rsidRPr="00150EDC">
              <w:rPr>
                <w:spacing w:val="-5"/>
                <w:sz w:val="20"/>
              </w:rPr>
              <w:t xml:space="preserve"> </w:t>
            </w:r>
            <w:r w:rsidRPr="00150EDC">
              <w:rPr>
                <w:sz w:val="20"/>
              </w:rPr>
              <w:t>Girls</w:t>
            </w:r>
            <w:r w:rsidRPr="00150EDC">
              <w:rPr>
                <w:spacing w:val="-3"/>
                <w:sz w:val="20"/>
              </w:rPr>
              <w:t xml:space="preserve"> </w:t>
            </w:r>
            <w:r w:rsidRPr="00150EDC">
              <w:rPr>
                <w:sz w:val="20"/>
              </w:rPr>
              <w:t>(Guernsey)</w:t>
            </w:r>
            <w:r w:rsidRPr="00150EDC">
              <w:rPr>
                <w:spacing w:val="-5"/>
                <w:sz w:val="20"/>
              </w:rPr>
              <w:t xml:space="preserve"> </w:t>
            </w:r>
            <w:r w:rsidRPr="00150EDC">
              <w:rPr>
                <w:sz w:val="20"/>
              </w:rPr>
              <w:t>1914, Art 4(b)</w:t>
            </w:r>
          </w:p>
        </w:tc>
        <w:tc>
          <w:tcPr>
            <w:tcW w:w="7427" w:type="dxa"/>
          </w:tcPr>
          <w:p w14:paraId="5B2A402C" w14:textId="77777777" w:rsidR="004C7180" w:rsidRPr="00150EDC" w:rsidRDefault="004C7180">
            <w:pPr>
              <w:pStyle w:val="TableParagraph"/>
              <w:spacing w:before="6" w:line="240" w:lineRule="auto"/>
              <w:ind w:left="0"/>
              <w:rPr>
                <w:sz w:val="24"/>
              </w:rPr>
            </w:pPr>
          </w:p>
          <w:p w14:paraId="7EECCA65" w14:textId="77777777" w:rsidR="004C7180" w:rsidRPr="00150EDC" w:rsidRDefault="00CF0754">
            <w:pPr>
              <w:pStyle w:val="TableParagraph"/>
              <w:spacing w:before="0"/>
              <w:rPr>
                <w:sz w:val="20"/>
              </w:rPr>
            </w:pPr>
            <w:r w:rsidRPr="00150EDC">
              <w:rPr>
                <w:sz w:val="20"/>
              </w:rPr>
              <w:t>Permitting</w:t>
            </w:r>
            <w:r w:rsidRPr="00150EDC">
              <w:rPr>
                <w:spacing w:val="-4"/>
                <w:sz w:val="20"/>
              </w:rPr>
              <w:t xml:space="preserve"> </w:t>
            </w:r>
            <w:r w:rsidRPr="00150EDC">
              <w:rPr>
                <w:sz w:val="20"/>
              </w:rPr>
              <w:t>girl</w:t>
            </w:r>
            <w:r w:rsidRPr="00150EDC">
              <w:rPr>
                <w:spacing w:val="-2"/>
                <w:sz w:val="20"/>
              </w:rPr>
              <w:t xml:space="preserve"> </w:t>
            </w:r>
            <w:r w:rsidRPr="00150EDC">
              <w:rPr>
                <w:sz w:val="20"/>
              </w:rPr>
              <w:t>under</w:t>
            </w:r>
            <w:r w:rsidRPr="00150EDC">
              <w:rPr>
                <w:spacing w:val="-3"/>
                <w:sz w:val="20"/>
              </w:rPr>
              <w:t xml:space="preserve"> </w:t>
            </w:r>
            <w:r w:rsidRPr="00150EDC">
              <w:rPr>
                <w:sz w:val="20"/>
              </w:rPr>
              <w:t>16</w:t>
            </w:r>
            <w:r w:rsidRPr="00150EDC">
              <w:rPr>
                <w:spacing w:val="-4"/>
                <w:sz w:val="20"/>
              </w:rPr>
              <w:t xml:space="preserve"> </w:t>
            </w:r>
            <w:r w:rsidRPr="00150EDC">
              <w:rPr>
                <w:sz w:val="20"/>
              </w:rPr>
              <w:t>to</w:t>
            </w:r>
            <w:r w:rsidRPr="00150EDC">
              <w:rPr>
                <w:spacing w:val="-4"/>
                <w:sz w:val="20"/>
              </w:rPr>
              <w:t xml:space="preserve"> </w:t>
            </w:r>
            <w:r w:rsidRPr="00150EDC">
              <w:rPr>
                <w:sz w:val="20"/>
              </w:rPr>
              <w:t>use</w:t>
            </w:r>
            <w:r w:rsidRPr="00150EDC">
              <w:rPr>
                <w:spacing w:val="-3"/>
                <w:sz w:val="20"/>
              </w:rPr>
              <w:t xml:space="preserve"> </w:t>
            </w:r>
            <w:r w:rsidRPr="00150EDC">
              <w:rPr>
                <w:sz w:val="20"/>
              </w:rPr>
              <w:t>premises</w:t>
            </w:r>
            <w:r w:rsidRPr="00150EDC">
              <w:rPr>
                <w:spacing w:val="-3"/>
                <w:sz w:val="20"/>
              </w:rPr>
              <w:t xml:space="preserve"> </w:t>
            </w:r>
            <w:r w:rsidRPr="00150EDC">
              <w:rPr>
                <w:sz w:val="20"/>
              </w:rPr>
              <w:t>for</w:t>
            </w:r>
            <w:r w:rsidRPr="00150EDC">
              <w:rPr>
                <w:spacing w:val="-4"/>
                <w:sz w:val="20"/>
              </w:rPr>
              <w:t xml:space="preserve"> </w:t>
            </w:r>
            <w:r w:rsidRPr="00150EDC">
              <w:rPr>
                <w:spacing w:val="-2"/>
                <w:sz w:val="20"/>
              </w:rPr>
              <w:t>intercourse</w:t>
            </w:r>
          </w:p>
        </w:tc>
      </w:tr>
      <w:tr w:rsidR="004569EE" w:rsidRPr="007D3144" w14:paraId="6B1BE30F" w14:textId="77777777">
        <w:trPr>
          <w:trHeight w:val="510"/>
        </w:trPr>
        <w:tc>
          <w:tcPr>
            <w:tcW w:w="6517" w:type="dxa"/>
          </w:tcPr>
          <w:p w14:paraId="52999ED4" w14:textId="77777777" w:rsidR="004C7180" w:rsidRPr="00150EDC" w:rsidRDefault="00CF0754">
            <w:pPr>
              <w:pStyle w:val="TableParagraph"/>
              <w:spacing w:before="32" w:line="230" w:lineRule="atLeast"/>
              <w:ind w:right="184"/>
              <w:rPr>
                <w:sz w:val="20"/>
              </w:rPr>
            </w:pPr>
            <w:r w:rsidRPr="00150EDC">
              <w:rPr>
                <w:sz w:val="20"/>
              </w:rPr>
              <w:t>Law</w:t>
            </w:r>
            <w:r w:rsidRPr="00150EDC">
              <w:rPr>
                <w:spacing w:val="-3"/>
                <w:sz w:val="20"/>
              </w:rPr>
              <w:t xml:space="preserve"> </w:t>
            </w:r>
            <w:r w:rsidRPr="00150EDC">
              <w:rPr>
                <w:sz w:val="20"/>
              </w:rPr>
              <w:t>for</w:t>
            </w:r>
            <w:r w:rsidRPr="00150EDC">
              <w:rPr>
                <w:spacing w:val="-5"/>
                <w:sz w:val="20"/>
              </w:rPr>
              <w:t xml:space="preserve"> </w:t>
            </w:r>
            <w:r w:rsidRPr="00150EDC">
              <w:rPr>
                <w:sz w:val="20"/>
              </w:rPr>
              <w:t>the</w:t>
            </w:r>
            <w:r w:rsidRPr="00150EDC">
              <w:rPr>
                <w:spacing w:val="-5"/>
                <w:sz w:val="20"/>
              </w:rPr>
              <w:t xml:space="preserve"> </w:t>
            </w:r>
            <w:r w:rsidRPr="00150EDC">
              <w:rPr>
                <w:sz w:val="20"/>
              </w:rPr>
              <w:t>Protection</w:t>
            </w:r>
            <w:r w:rsidRPr="00150EDC">
              <w:rPr>
                <w:spacing w:val="-5"/>
                <w:sz w:val="20"/>
              </w:rPr>
              <w:t xml:space="preserve"> </w:t>
            </w:r>
            <w:r w:rsidRPr="00150EDC">
              <w:rPr>
                <w:sz w:val="20"/>
              </w:rPr>
              <w:t>of</w:t>
            </w:r>
            <w:r w:rsidRPr="00150EDC">
              <w:rPr>
                <w:spacing w:val="-5"/>
                <w:sz w:val="20"/>
              </w:rPr>
              <w:t xml:space="preserve"> </w:t>
            </w:r>
            <w:r w:rsidRPr="00150EDC">
              <w:rPr>
                <w:sz w:val="20"/>
              </w:rPr>
              <w:t>Women</w:t>
            </w:r>
            <w:r w:rsidRPr="00150EDC">
              <w:rPr>
                <w:spacing w:val="-5"/>
                <w:sz w:val="20"/>
              </w:rPr>
              <w:t xml:space="preserve"> </w:t>
            </w:r>
            <w:r w:rsidRPr="00150EDC">
              <w:rPr>
                <w:sz w:val="20"/>
              </w:rPr>
              <w:t>and</w:t>
            </w:r>
            <w:r w:rsidRPr="00150EDC">
              <w:rPr>
                <w:spacing w:val="-5"/>
                <w:sz w:val="20"/>
              </w:rPr>
              <w:t xml:space="preserve"> </w:t>
            </w:r>
            <w:r w:rsidRPr="00150EDC">
              <w:rPr>
                <w:sz w:val="20"/>
              </w:rPr>
              <w:t>Young</w:t>
            </w:r>
            <w:r w:rsidRPr="00150EDC">
              <w:rPr>
                <w:spacing w:val="-5"/>
                <w:sz w:val="20"/>
              </w:rPr>
              <w:t xml:space="preserve"> </w:t>
            </w:r>
            <w:r w:rsidRPr="00150EDC">
              <w:rPr>
                <w:sz w:val="20"/>
              </w:rPr>
              <w:t>Girls</w:t>
            </w:r>
            <w:r w:rsidRPr="00150EDC">
              <w:rPr>
                <w:spacing w:val="-3"/>
                <w:sz w:val="20"/>
              </w:rPr>
              <w:t xml:space="preserve"> </w:t>
            </w:r>
            <w:r w:rsidRPr="00150EDC">
              <w:rPr>
                <w:sz w:val="20"/>
              </w:rPr>
              <w:t>(Guernsey)</w:t>
            </w:r>
            <w:r w:rsidRPr="00150EDC">
              <w:rPr>
                <w:spacing w:val="-5"/>
                <w:sz w:val="20"/>
              </w:rPr>
              <w:t xml:space="preserve"> </w:t>
            </w:r>
            <w:r w:rsidRPr="00150EDC">
              <w:rPr>
                <w:sz w:val="20"/>
              </w:rPr>
              <w:t>1914, Art 5</w:t>
            </w:r>
          </w:p>
        </w:tc>
        <w:tc>
          <w:tcPr>
            <w:tcW w:w="7427" w:type="dxa"/>
          </w:tcPr>
          <w:p w14:paraId="6A6F0EF8" w14:textId="77777777" w:rsidR="004C7180" w:rsidRPr="00150EDC" w:rsidRDefault="004C7180">
            <w:pPr>
              <w:pStyle w:val="TableParagraph"/>
              <w:spacing w:before="6" w:line="240" w:lineRule="auto"/>
              <w:ind w:left="0"/>
              <w:rPr>
                <w:sz w:val="24"/>
              </w:rPr>
            </w:pPr>
          </w:p>
          <w:p w14:paraId="419E25C6" w14:textId="77777777" w:rsidR="004C7180" w:rsidRPr="00150EDC" w:rsidRDefault="00CF0754">
            <w:pPr>
              <w:pStyle w:val="TableParagraph"/>
              <w:spacing w:before="0"/>
              <w:rPr>
                <w:sz w:val="20"/>
              </w:rPr>
            </w:pPr>
            <w:r w:rsidRPr="00150EDC">
              <w:rPr>
                <w:sz w:val="20"/>
              </w:rPr>
              <w:t>Abducting</w:t>
            </w:r>
            <w:r w:rsidRPr="00150EDC">
              <w:rPr>
                <w:spacing w:val="-7"/>
                <w:sz w:val="20"/>
              </w:rPr>
              <w:t xml:space="preserve"> </w:t>
            </w:r>
            <w:r w:rsidRPr="00150EDC">
              <w:rPr>
                <w:sz w:val="20"/>
              </w:rPr>
              <w:t>girl</w:t>
            </w:r>
            <w:r w:rsidRPr="00150EDC">
              <w:rPr>
                <w:spacing w:val="-1"/>
                <w:sz w:val="20"/>
              </w:rPr>
              <w:t xml:space="preserve"> </w:t>
            </w:r>
            <w:r w:rsidRPr="00150EDC">
              <w:rPr>
                <w:sz w:val="20"/>
              </w:rPr>
              <w:t>under</w:t>
            </w:r>
            <w:r w:rsidRPr="00150EDC">
              <w:rPr>
                <w:spacing w:val="-6"/>
                <w:sz w:val="20"/>
              </w:rPr>
              <w:t xml:space="preserve"> </w:t>
            </w:r>
            <w:r w:rsidRPr="00150EDC">
              <w:rPr>
                <w:spacing w:val="-5"/>
                <w:sz w:val="20"/>
              </w:rPr>
              <w:t>18</w:t>
            </w:r>
          </w:p>
        </w:tc>
      </w:tr>
      <w:tr w:rsidR="004569EE" w:rsidRPr="007D3144" w14:paraId="249B3060" w14:textId="77777777">
        <w:trPr>
          <w:trHeight w:val="510"/>
        </w:trPr>
        <w:tc>
          <w:tcPr>
            <w:tcW w:w="6517" w:type="dxa"/>
          </w:tcPr>
          <w:p w14:paraId="27E2B741" w14:textId="77777777" w:rsidR="004C7180" w:rsidRPr="00150EDC" w:rsidRDefault="00CF0754">
            <w:pPr>
              <w:pStyle w:val="TableParagraph"/>
              <w:spacing w:before="33" w:line="230" w:lineRule="atLeast"/>
              <w:ind w:right="184"/>
              <w:rPr>
                <w:sz w:val="20"/>
              </w:rPr>
            </w:pPr>
            <w:r w:rsidRPr="00150EDC">
              <w:rPr>
                <w:sz w:val="20"/>
              </w:rPr>
              <w:t>Law</w:t>
            </w:r>
            <w:r w:rsidRPr="00150EDC">
              <w:rPr>
                <w:spacing w:val="-3"/>
                <w:sz w:val="20"/>
              </w:rPr>
              <w:t xml:space="preserve"> </w:t>
            </w:r>
            <w:r w:rsidRPr="00150EDC">
              <w:rPr>
                <w:sz w:val="20"/>
              </w:rPr>
              <w:t>for</w:t>
            </w:r>
            <w:r w:rsidRPr="00150EDC">
              <w:rPr>
                <w:spacing w:val="-5"/>
                <w:sz w:val="20"/>
              </w:rPr>
              <w:t xml:space="preserve"> </w:t>
            </w:r>
            <w:r w:rsidRPr="00150EDC">
              <w:rPr>
                <w:sz w:val="20"/>
              </w:rPr>
              <w:t>the</w:t>
            </w:r>
            <w:r w:rsidRPr="00150EDC">
              <w:rPr>
                <w:spacing w:val="-5"/>
                <w:sz w:val="20"/>
              </w:rPr>
              <w:t xml:space="preserve"> </w:t>
            </w:r>
            <w:r w:rsidRPr="00150EDC">
              <w:rPr>
                <w:sz w:val="20"/>
              </w:rPr>
              <w:t>Protection</w:t>
            </w:r>
            <w:r w:rsidRPr="00150EDC">
              <w:rPr>
                <w:spacing w:val="-5"/>
                <w:sz w:val="20"/>
              </w:rPr>
              <w:t xml:space="preserve"> </w:t>
            </w:r>
            <w:r w:rsidRPr="00150EDC">
              <w:rPr>
                <w:sz w:val="20"/>
              </w:rPr>
              <w:t>of</w:t>
            </w:r>
            <w:r w:rsidRPr="00150EDC">
              <w:rPr>
                <w:spacing w:val="-5"/>
                <w:sz w:val="20"/>
              </w:rPr>
              <w:t xml:space="preserve"> </w:t>
            </w:r>
            <w:r w:rsidRPr="00150EDC">
              <w:rPr>
                <w:sz w:val="20"/>
              </w:rPr>
              <w:t>Women</w:t>
            </w:r>
            <w:r w:rsidRPr="00150EDC">
              <w:rPr>
                <w:spacing w:val="-5"/>
                <w:sz w:val="20"/>
              </w:rPr>
              <w:t xml:space="preserve"> </w:t>
            </w:r>
            <w:r w:rsidRPr="00150EDC">
              <w:rPr>
                <w:sz w:val="20"/>
              </w:rPr>
              <w:t>and</w:t>
            </w:r>
            <w:r w:rsidRPr="00150EDC">
              <w:rPr>
                <w:spacing w:val="-5"/>
                <w:sz w:val="20"/>
              </w:rPr>
              <w:t xml:space="preserve"> </w:t>
            </w:r>
            <w:r w:rsidRPr="00150EDC">
              <w:rPr>
                <w:sz w:val="20"/>
              </w:rPr>
              <w:t>Young</w:t>
            </w:r>
            <w:r w:rsidRPr="00150EDC">
              <w:rPr>
                <w:spacing w:val="-5"/>
                <w:sz w:val="20"/>
              </w:rPr>
              <w:t xml:space="preserve"> </w:t>
            </w:r>
            <w:r w:rsidRPr="00150EDC">
              <w:rPr>
                <w:sz w:val="20"/>
              </w:rPr>
              <w:t>Girls</w:t>
            </w:r>
            <w:r w:rsidRPr="00150EDC">
              <w:rPr>
                <w:spacing w:val="-3"/>
                <w:sz w:val="20"/>
              </w:rPr>
              <w:t xml:space="preserve"> </w:t>
            </w:r>
            <w:r w:rsidRPr="00150EDC">
              <w:rPr>
                <w:sz w:val="20"/>
              </w:rPr>
              <w:t>(Guernsey)</w:t>
            </w:r>
            <w:r w:rsidRPr="00150EDC">
              <w:rPr>
                <w:spacing w:val="-5"/>
                <w:sz w:val="20"/>
              </w:rPr>
              <w:t xml:space="preserve"> </w:t>
            </w:r>
            <w:r w:rsidRPr="00150EDC">
              <w:rPr>
                <w:sz w:val="20"/>
              </w:rPr>
              <w:t>1914, Art 6</w:t>
            </w:r>
          </w:p>
        </w:tc>
        <w:tc>
          <w:tcPr>
            <w:tcW w:w="7427" w:type="dxa"/>
          </w:tcPr>
          <w:p w14:paraId="3F9CF561" w14:textId="77777777" w:rsidR="004C7180" w:rsidRPr="00150EDC" w:rsidRDefault="004C7180">
            <w:pPr>
              <w:pStyle w:val="TableParagraph"/>
              <w:spacing w:before="6" w:line="240" w:lineRule="auto"/>
              <w:ind w:left="0"/>
              <w:rPr>
                <w:sz w:val="24"/>
              </w:rPr>
            </w:pPr>
          </w:p>
          <w:p w14:paraId="037E6FFF" w14:textId="77777777" w:rsidR="004C7180" w:rsidRPr="00150EDC" w:rsidRDefault="00CF0754">
            <w:pPr>
              <w:pStyle w:val="TableParagraph"/>
              <w:spacing w:before="1"/>
              <w:rPr>
                <w:sz w:val="20"/>
              </w:rPr>
            </w:pPr>
            <w:r w:rsidRPr="00150EDC">
              <w:rPr>
                <w:sz w:val="20"/>
              </w:rPr>
              <w:t>Detaining</w:t>
            </w:r>
            <w:r w:rsidRPr="00150EDC">
              <w:rPr>
                <w:spacing w:val="-6"/>
                <w:sz w:val="20"/>
              </w:rPr>
              <w:t xml:space="preserve"> </w:t>
            </w:r>
            <w:r w:rsidRPr="00150EDC">
              <w:rPr>
                <w:sz w:val="20"/>
              </w:rPr>
              <w:t>woman</w:t>
            </w:r>
            <w:r w:rsidRPr="00150EDC">
              <w:rPr>
                <w:spacing w:val="-5"/>
                <w:sz w:val="20"/>
              </w:rPr>
              <w:t xml:space="preserve"> </w:t>
            </w:r>
            <w:r w:rsidRPr="00150EDC">
              <w:rPr>
                <w:sz w:val="20"/>
              </w:rPr>
              <w:t>in</w:t>
            </w:r>
            <w:r w:rsidRPr="00150EDC">
              <w:rPr>
                <w:spacing w:val="-1"/>
                <w:sz w:val="20"/>
              </w:rPr>
              <w:t xml:space="preserve"> </w:t>
            </w:r>
            <w:r w:rsidRPr="00150EDC">
              <w:rPr>
                <w:sz w:val="20"/>
              </w:rPr>
              <w:t>a</w:t>
            </w:r>
            <w:r w:rsidRPr="00150EDC">
              <w:rPr>
                <w:spacing w:val="-5"/>
                <w:sz w:val="20"/>
              </w:rPr>
              <w:t xml:space="preserve"> </w:t>
            </w:r>
            <w:r w:rsidRPr="00150EDC">
              <w:rPr>
                <w:spacing w:val="-2"/>
                <w:sz w:val="20"/>
              </w:rPr>
              <w:t>brothel</w:t>
            </w:r>
          </w:p>
        </w:tc>
      </w:tr>
      <w:tr w:rsidR="004569EE" w:rsidRPr="007D3144" w14:paraId="7BFBB983" w14:textId="77777777">
        <w:trPr>
          <w:trHeight w:val="510"/>
        </w:trPr>
        <w:tc>
          <w:tcPr>
            <w:tcW w:w="6517" w:type="dxa"/>
          </w:tcPr>
          <w:p w14:paraId="709BA931" w14:textId="77777777" w:rsidR="004C7180" w:rsidRPr="00150EDC" w:rsidRDefault="00CF0754">
            <w:pPr>
              <w:pStyle w:val="TableParagraph"/>
              <w:spacing w:before="32" w:line="230" w:lineRule="atLeast"/>
              <w:ind w:right="184"/>
              <w:rPr>
                <w:sz w:val="20"/>
              </w:rPr>
            </w:pPr>
            <w:r w:rsidRPr="00150EDC">
              <w:rPr>
                <w:sz w:val="20"/>
              </w:rPr>
              <w:t>Law</w:t>
            </w:r>
            <w:r w:rsidRPr="00150EDC">
              <w:rPr>
                <w:spacing w:val="-3"/>
                <w:sz w:val="20"/>
              </w:rPr>
              <w:t xml:space="preserve"> </w:t>
            </w:r>
            <w:r w:rsidRPr="00150EDC">
              <w:rPr>
                <w:sz w:val="20"/>
              </w:rPr>
              <w:t>for</w:t>
            </w:r>
            <w:r w:rsidRPr="00150EDC">
              <w:rPr>
                <w:spacing w:val="-5"/>
                <w:sz w:val="20"/>
              </w:rPr>
              <w:t xml:space="preserve"> </w:t>
            </w:r>
            <w:r w:rsidRPr="00150EDC">
              <w:rPr>
                <w:sz w:val="20"/>
              </w:rPr>
              <w:t>the</w:t>
            </w:r>
            <w:r w:rsidRPr="00150EDC">
              <w:rPr>
                <w:spacing w:val="-5"/>
                <w:sz w:val="20"/>
              </w:rPr>
              <w:t xml:space="preserve"> </w:t>
            </w:r>
            <w:r w:rsidRPr="00150EDC">
              <w:rPr>
                <w:sz w:val="20"/>
              </w:rPr>
              <w:t>Protection</w:t>
            </w:r>
            <w:r w:rsidRPr="00150EDC">
              <w:rPr>
                <w:spacing w:val="-5"/>
                <w:sz w:val="20"/>
              </w:rPr>
              <w:t xml:space="preserve"> </w:t>
            </w:r>
            <w:r w:rsidRPr="00150EDC">
              <w:rPr>
                <w:sz w:val="20"/>
              </w:rPr>
              <w:t>of</w:t>
            </w:r>
            <w:r w:rsidRPr="00150EDC">
              <w:rPr>
                <w:spacing w:val="-5"/>
                <w:sz w:val="20"/>
              </w:rPr>
              <w:t xml:space="preserve"> </w:t>
            </w:r>
            <w:r w:rsidRPr="00150EDC">
              <w:rPr>
                <w:sz w:val="20"/>
              </w:rPr>
              <w:t>Women</w:t>
            </w:r>
            <w:r w:rsidRPr="00150EDC">
              <w:rPr>
                <w:spacing w:val="-5"/>
                <w:sz w:val="20"/>
              </w:rPr>
              <w:t xml:space="preserve"> </w:t>
            </w:r>
            <w:r w:rsidRPr="00150EDC">
              <w:rPr>
                <w:sz w:val="20"/>
              </w:rPr>
              <w:t>and</w:t>
            </w:r>
            <w:r w:rsidRPr="00150EDC">
              <w:rPr>
                <w:spacing w:val="-5"/>
                <w:sz w:val="20"/>
              </w:rPr>
              <w:t xml:space="preserve"> </w:t>
            </w:r>
            <w:r w:rsidRPr="00150EDC">
              <w:rPr>
                <w:sz w:val="20"/>
              </w:rPr>
              <w:t>Young</w:t>
            </w:r>
            <w:r w:rsidRPr="00150EDC">
              <w:rPr>
                <w:spacing w:val="-5"/>
                <w:sz w:val="20"/>
              </w:rPr>
              <w:t xml:space="preserve"> </w:t>
            </w:r>
            <w:r w:rsidRPr="00150EDC">
              <w:rPr>
                <w:sz w:val="20"/>
              </w:rPr>
              <w:t>Girls</w:t>
            </w:r>
            <w:r w:rsidRPr="00150EDC">
              <w:rPr>
                <w:spacing w:val="-3"/>
                <w:sz w:val="20"/>
              </w:rPr>
              <w:t xml:space="preserve"> </w:t>
            </w:r>
            <w:r w:rsidRPr="00150EDC">
              <w:rPr>
                <w:sz w:val="20"/>
              </w:rPr>
              <w:t>(Guernsey)</w:t>
            </w:r>
            <w:r w:rsidRPr="00150EDC">
              <w:rPr>
                <w:spacing w:val="-5"/>
                <w:sz w:val="20"/>
              </w:rPr>
              <w:t xml:space="preserve"> </w:t>
            </w:r>
            <w:r w:rsidRPr="00150EDC">
              <w:rPr>
                <w:sz w:val="20"/>
              </w:rPr>
              <w:t>1914, Art 9(a)</w:t>
            </w:r>
          </w:p>
        </w:tc>
        <w:tc>
          <w:tcPr>
            <w:tcW w:w="7427" w:type="dxa"/>
          </w:tcPr>
          <w:p w14:paraId="1EB6A03C" w14:textId="77777777" w:rsidR="004C7180" w:rsidRPr="00150EDC" w:rsidRDefault="004C7180">
            <w:pPr>
              <w:pStyle w:val="TableParagraph"/>
              <w:spacing w:before="6" w:line="240" w:lineRule="auto"/>
              <w:ind w:left="0"/>
              <w:rPr>
                <w:sz w:val="24"/>
              </w:rPr>
            </w:pPr>
          </w:p>
          <w:p w14:paraId="5F2DD2C5" w14:textId="77777777" w:rsidR="004C7180" w:rsidRPr="00150EDC" w:rsidRDefault="00CF0754">
            <w:pPr>
              <w:pStyle w:val="TableParagraph"/>
              <w:spacing w:before="0"/>
              <w:rPr>
                <w:sz w:val="20"/>
              </w:rPr>
            </w:pPr>
            <w:r w:rsidRPr="00150EDC">
              <w:rPr>
                <w:sz w:val="20"/>
              </w:rPr>
              <w:t>Man</w:t>
            </w:r>
            <w:r w:rsidRPr="00150EDC">
              <w:rPr>
                <w:spacing w:val="-10"/>
                <w:sz w:val="20"/>
              </w:rPr>
              <w:t xml:space="preserve"> </w:t>
            </w:r>
            <w:r w:rsidRPr="00150EDC">
              <w:rPr>
                <w:sz w:val="20"/>
              </w:rPr>
              <w:t>living</w:t>
            </w:r>
            <w:r w:rsidRPr="00150EDC">
              <w:rPr>
                <w:spacing w:val="-10"/>
                <w:sz w:val="20"/>
              </w:rPr>
              <w:t xml:space="preserve"> </w:t>
            </w:r>
            <w:r w:rsidRPr="00150EDC">
              <w:rPr>
                <w:sz w:val="20"/>
              </w:rPr>
              <w:t>on</w:t>
            </w:r>
            <w:r w:rsidRPr="00150EDC">
              <w:rPr>
                <w:spacing w:val="-9"/>
                <w:sz w:val="20"/>
              </w:rPr>
              <w:t xml:space="preserve"> </w:t>
            </w:r>
            <w:r w:rsidRPr="00150EDC">
              <w:rPr>
                <w:sz w:val="20"/>
              </w:rPr>
              <w:t>immoral</w:t>
            </w:r>
            <w:r w:rsidRPr="00150EDC">
              <w:rPr>
                <w:spacing w:val="-8"/>
                <w:sz w:val="20"/>
              </w:rPr>
              <w:t xml:space="preserve"> </w:t>
            </w:r>
            <w:r w:rsidRPr="00150EDC">
              <w:rPr>
                <w:sz w:val="20"/>
              </w:rPr>
              <w:t>earnings</w:t>
            </w:r>
            <w:r w:rsidRPr="00150EDC">
              <w:rPr>
                <w:spacing w:val="-8"/>
                <w:sz w:val="20"/>
              </w:rPr>
              <w:t xml:space="preserve"> </w:t>
            </w:r>
            <w:r w:rsidRPr="00150EDC">
              <w:rPr>
                <w:sz w:val="20"/>
              </w:rPr>
              <w:t>of</w:t>
            </w:r>
            <w:r w:rsidRPr="00150EDC">
              <w:rPr>
                <w:spacing w:val="-10"/>
                <w:sz w:val="20"/>
              </w:rPr>
              <w:t xml:space="preserve"> </w:t>
            </w:r>
            <w:r w:rsidRPr="00150EDC">
              <w:rPr>
                <w:spacing w:val="-2"/>
                <w:sz w:val="20"/>
              </w:rPr>
              <w:t>prostitution</w:t>
            </w:r>
          </w:p>
        </w:tc>
      </w:tr>
      <w:tr w:rsidR="004569EE" w:rsidRPr="007D3144" w14:paraId="3A4DD5D3" w14:textId="77777777">
        <w:trPr>
          <w:trHeight w:val="510"/>
        </w:trPr>
        <w:tc>
          <w:tcPr>
            <w:tcW w:w="6517" w:type="dxa"/>
          </w:tcPr>
          <w:p w14:paraId="0308D0A7" w14:textId="77777777" w:rsidR="004C7180" w:rsidRPr="00150EDC" w:rsidRDefault="00CF0754">
            <w:pPr>
              <w:pStyle w:val="TableParagraph"/>
              <w:spacing w:before="32" w:line="230" w:lineRule="atLeast"/>
              <w:ind w:right="184"/>
              <w:rPr>
                <w:sz w:val="20"/>
              </w:rPr>
            </w:pPr>
            <w:r w:rsidRPr="00150EDC">
              <w:rPr>
                <w:sz w:val="20"/>
              </w:rPr>
              <w:t>Law</w:t>
            </w:r>
            <w:r w:rsidRPr="00150EDC">
              <w:rPr>
                <w:spacing w:val="-3"/>
                <w:sz w:val="20"/>
              </w:rPr>
              <w:t xml:space="preserve"> </w:t>
            </w:r>
            <w:r w:rsidRPr="00150EDC">
              <w:rPr>
                <w:sz w:val="20"/>
              </w:rPr>
              <w:t>for</w:t>
            </w:r>
            <w:r w:rsidRPr="00150EDC">
              <w:rPr>
                <w:spacing w:val="-5"/>
                <w:sz w:val="20"/>
              </w:rPr>
              <w:t xml:space="preserve"> </w:t>
            </w:r>
            <w:r w:rsidRPr="00150EDC">
              <w:rPr>
                <w:sz w:val="20"/>
              </w:rPr>
              <w:t>the</w:t>
            </w:r>
            <w:r w:rsidRPr="00150EDC">
              <w:rPr>
                <w:spacing w:val="-5"/>
                <w:sz w:val="20"/>
              </w:rPr>
              <w:t xml:space="preserve"> </w:t>
            </w:r>
            <w:r w:rsidRPr="00150EDC">
              <w:rPr>
                <w:sz w:val="20"/>
              </w:rPr>
              <w:t>Protection</w:t>
            </w:r>
            <w:r w:rsidRPr="00150EDC">
              <w:rPr>
                <w:spacing w:val="-5"/>
                <w:sz w:val="20"/>
              </w:rPr>
              <w:t xml:space="preserve"> </w:t>
            </w:r>
            <w:r w:rsidRPr="00150EDC">
              <w:rPr>
                <w:sz w:val="20"/>
              </w:rPr>
              <w:t>of</w:t>
            </w:r>
            <w:r w:rsidRPr="00150EDC">
              <w:rPr>
                <w:spacing w:val="-5"/>
                <w:sz w:val="20"/>
              </w:rPr>
              <w:t xml:space="preserve"> </w:t>
            </w:r>
            <w:r w:rsidRPr="00150EDC">
              <w:rPr>
                <w:sz w:val="20"/>
              </w:rPr>
              <w:t>Women</w:t>
            </w:r>
            <w:r w:rsidRPr="00150EDC">
              <w:rPr>
                <w:spacing w:val="-5"/>
                <w:sz w:val="20"/>
              </w:rPr>
              <w:t xml:space="preserve"> </w:t>
            </w:r>
            <w:r w:rsidRPr="00150EDC">
              <w:rPr>
                <w:sz w:val="20"/>
              </w:rPr>
              <w:t>and</w:t>
            </w:r>
            <w:r w:rsidRPr="00150EDC">
              <w:rPr>
                <w:spacing w:val="-5"/>
                <w:sz w:val="20"/>
              </w:rPr>
              <w:t xml:space="preserve"> </w:t>
            </w:r>
            <w:r w:rsidRPr="00150EDC">
              <w:rPr>
                <w:sz w:val="20"/>
              </w:rPr>
              <w:t>Young</w:t>
            </w:r>
            <w:r w:rsidRPr="00150EDC">
              <w:rPr>
                <w:spacing w:val="-5"/>
                <w:sz w:val="20"/>
              </w:rPr>
              <w:t xml:space="preserve"> </w:t>
            </w:r>
            <w:r w:rsidRPr="00150EDC">
              <w:rPr>
                <w:sz w:val="20"/>
              </w:rPr>
              <w:t>Girls</w:t>
            </w:r>
            <w:r w:rsidRPr="00150EDC">
              <w:rPr>
                <w:spacing w:val="-3"/>
                <w:sz w:val="20"/>
              </w:rPr>
              <w:t xml:space="preserve"> </w:t>
            </w:r>
            <w:r w:rsidRPr="00150EDC">
              <w:rPr>
                <w:sz w:val="20"/>
              </w:rPr>
              <w:t>(Guernsey)</w:t>
            </w:r>
            <w:r w:rsidRPr="00150EDC">
              <w:rPr>
                <w:spacing w:val="-5"/>
                <w:sz w:val="20"/>
              </w:rPr>
              <w:t xml:space="preserve"> </w:t>
            </w:r>
            <w:r w:rsidRPr="00150EDC">
              <w:rPr>
                <w:sz w:val="20"/>
              </w:rPr>
              <w:t>1914, Art 9(b)</w:t>
            </w:r>
          </w:p>
        </w:tc>
        <w:tc>
          <w:tcPr>
            <w:tcW w:w="7427" w:type="dxa"/>
          </w:tcPr>
          <w:p w14:paraId="0439461A" w14:textId="77777777" w:rsidR="004C7180" w:rsidRPr="00150EDC" w:rsidRDefault="004C7180">
            <w:pPr>
              <w:pStyle w:val="TableParagraph"/>
              <w:spacing w:before="6" w:line="240" w:lineRule="auto"/>
              <w:ind w:left="0"/>
              <w:rPr>
                <w:sz w:val="24"/>
              </w:rPr>
            </w:pPr>
          </w:p>
          <w:p w14:paraId="2443061A" w14:textId="77777777" w:rsidR="004C7180" w:rsidRPr="00150EDC" w:rsidRDefault="00CF0754">
            <w:pPr>
              <w:pStyle w:val="TableParagraph"/>
              <w:spacing w:before="1"/>
              <w:rPr>
                <w:sz w:val="20"/>
              </w:rPr>
            </w:pPr>
            <w:r w:rsidRPr="00150EDC">
              <w:rPr>
                <w:spacing w:val="-2"/>
                <w:sz w:val="20"/>
              </w:rPr>
              <w:t>Soliciting</w:t>
            </w:r>
          </w:p>
        </w:tc>
      </w:tr>
      <w:tr w:rsidR="004569EE" w:rsidRPr="007D3144" w14:paraId="0F4EA9D7" w14:textId="77777777">
        <w:trPr>
          <w:trHeight w:val="255"/>
        </w:trPr>
        <w:tc>
          <w:tcPr>
            <w:tcW w:w="6517" w:type="dxa"/>
          </w:tcPr>
          <w:p w14:paraId="5710C7B2" w14:textId="77777777" w:rsidR="004C7180" w:rsidRPr="00150EDC" w:rsidRDefault="00CF0754">
            <w:pPr>
              <w:pStyle w:val="TableParagraph"/>
              <w:rPr>
                <w:sz w:val="20"/>
              </w:rPr>
            </w:pPr>
            <w:r w:rsidRPr="00150EDC">
              <w:rPr>
                <w:sz w:val="20"/>
              </w:rPr>
              <w:t>Law</w:t>
            </w:r>
            <w:r w:rsidRPr="00150EDC">
              <w:rPr>
                <w:spacing w:val="-5"/>
                <w:sz w:val="20"/>
              </w:rPr>
              <w:t xml:space="preserve"> </w:t>
            </w:r>
            <w:r w:rsidRPr="00150EDC">
              <w:rPr>
                <w:sz w:val="20"/>
              </w:rPr>
              <w:t>for</w:t>
            </w:r>
            <w:r w:rsidRPr="00150EDC">
              <w:rPr>
                <w:spacing w:val="-5"/>
                <w:sz w:val="20"/>
              </w:rPr>
              <w:t xml:space="preserve"> </w:t>
            </w:r>
            <w:r w:rsidRPr="00150EDC">
              <w:rPr>
                <w:sz w:val="20"/>
              </w:rPr>
              <w:t>the</w:t>
            </w:r>
            <w:r w:rsidRPr="00150EDC">
              <w:rPr>
                <w:spacing w:val="-6"/>
                <w:sz w:val="20"/>
              </w:rPr>
              <w:t xml:space="preserve"> </w:t>
            </w:r>
            <w:r w:rsidRPr="00150EDC">
              <w:rPr>
                <w:sz w:val="20"/>
              </w:rPr>
              <w:t>Punishment</w:t>
            </w:r>
            <w:r w:rsidRPr="00150EDC">
              <w:rPr>
                <w:spacing w:val="-2"/>
                <w:sz w:val="20"/>
              </w:rPr>
              <w:t xml:space="preserve"> </w:t>
            </w:r>
            <w:r w:rsidRPr="00150EDC">
              <w:rPr>
                <w:sz w:val="20"/>
              </w:rPr>
              <w:t>of</w:t>
            </w:r>
            <w:r w:rsidRPr="00150EDC">
              <w:rPr>
                <w:spacing w:val="-5"/>
                <w:sz w:val="20"/>
              </w:rPr>
              <w:t xml:space="preserve"> </w:t>
            </w:r>
            <w:r w:rsidRPr="00150EDC">
              <w:rPr>
                <w:sz w:val="20"/>
              </w:rPr>
              <w:t>Incest</w:t>
            </w:r>
            <w:r w:rsidRPr="00150EDC">
              <w:rPr>
                <w:spacing w:val="-6"/>
                <w:sz w:val="20"/>
              </w:rPr>
              <w:t xml:space="preserve"> </w:t>
            </w:r>
            <w:r w:rsidRPr="00150EDC">
              <w:rPr>
                <w:sz w:val="20"/>
              </w:rPr>
              <w:t>(Guernsey)</w:t>
            </w:r>
            <w:r w:rsidRPr="00150EDC">
              <w:rPr>
                <w:spacing w:val="-6"/>
                <w:sz w:val="20"/>
              </w:rPr>
              <w:t xml:space="preserve"> </w:t>
            </w:r>
            <w:r w:rsidRPr="00150EDC">
              <w:rPr>
                <w:sz w:val="20"/>
              </w:rPr>
              <w:t>1909,</w:t>
            </w:r>
            <w:r w:rsidRPr="00150EDC">
              <w:rPr>
                <w:spacing w:val="-6"/>
                <w:sz w:val="20"/>
              </w:rPr>
              <w:t xml:space="preserve"> </w:t>
            </w:r>
            <w:r w:rsidRPr="00150EDC">
              <w:rPr>
                <w:spacing w:val="-5"/>
                <w:sz w:val="20"/>
              </w:rPr>
              <w:t>s1</w:t>
            </w:r>
          </w:p>
        </w:tc>
        <w:tc>
          <w:tcPr>
            <w:tcW w:w="7427" w:type="dxa"/>
          </w:tcPr>
          <w:p w14:paraId="39C9D720" w14:textId="77777777" w:rsidR="004C7180" w:rsidRPr="00150EDC" w:rsidRDefault="00CF0754">
            <w:pPr>
              <w:pStyle w:val="TableParagraph"/>
              <w:rPr>
                <w:sz w:val="20"/>
              </w:rPr>
            </w:pPr>
            <w:r w:rsidRPr="00150EDC">
              <w:rPr>
                <w:spacing w:val="-2"/>
                <w:sz w:val="20"/>
              </w:rPr>
              <w:t>Incest</w:t>
            </w:r>
          </w:p>
        </w:tc>
      </w:tr>
      <w:tr w:rsidR="004569EE" w:rsidRPr="007D3144" w14:paraId="7B2258B0" w14:textId="77777777">
        <w:trPr>
          <w:trHeight w:val="255"/>
        </w:trPr>
        <w:tc>
          <w:tcPr>
            <w:tcW w:w="6517" w:type="dxa"/>
          </w:tcPr>
          <w:p w14:paraId="57D64DF5" w14:textId="77777777" w:rsidR="004C7180" w:rsidRPr="00150EDC" w:rsidRDefault="00CF0754">
            <w:pPr>
              <w:pStyle w:val="TableParagraph"/>
              <w:rPr>
                <w:sz w:val="20"/>
              </w:rPr>
            </w:pPr>
            <w:r w:rsidRPr="00150EDC">
              <w:rPr>
                <w:sz w:val="20"/>
              </w:rPr>
              <w:t>Law</w:t>
            </w:r>
            <w:r w:rsidRPr="00150EDC">
              <w:rPr>
                <w:spacing w:val="-5"/>
                <w:sz w:val="20"/>
              </w:rPr>
              <w:t xml:space="preserve"> </w:t>
            </w:r>
            <w:r w:rsidRPr="00150EDC">
              <w:rPr>
                <w:sz w:val="20"/>
              </w:rPr>
              <w:t>for</w:t>
            </w:r>
            <w:r w:rsidRPr="00150EDC">
              <w:rPr>
                <w:spacing w:val="-5"/>
                <w:sz w:val="20"/>
              </w:rPr>
              <w:t xml:space="preserve"> </w:t>
            </w:r>
            <w:r w:rsidRPr="00150EDC">
              <w:rPr>
                <w:sz w:val="20"/>
              </w:rPr>
              <w:t>the</w:t>
            </w:r>
            <w:r w:rsidRPr="00150EDC">
              <w:rPr>
                <w:spacing w:val="-6"/>
                <w:sz w:val="20"/>
              </w:rPr>
              <w:t xml:space="preserve"> </w:t>
            </w:r>
            <w:r w:rsidRPr="00150EDC">
              <w:rPr>
                <w:sz w:val="20"/>
              </w:rPr>
              <w:t>Punishment</w:t>
            </w:r>
            <w:r w:rsidRPr="00150EDC">
              <w:rPr>
                <w:spacing w:val="-2"/>
                <w:sz w:val="20"/>
              </w:rPr>
              <w:t xml:space="preserve"> </w:t>
            </w:r>
            <w:r w:rsidRPr="00150EDC">
              <w:rPr>
                <w:sz w:val="20"/>
              </w:rPr>
              <w:t>of</w:t>
            </w:r>
            <w:r w:rsidRPr="00150EDC">
              <w:rPr>
                <w:spacing w:val="-5"/>
                <w:sz w:val="20"/>
              </w:rPr>
              <w:t xml:space="preserve"> </w:t>
            </w:r>
            <w:r w:rsidRPr="00150EDC">
              <w:rPr>
                <w:sz w:val="20"/>
              </w:rPr>
              <w:t>Incest</w:t>
            </w:r>
            <w:r w:rsidRPr="00150EDC">
              <w:rPr>
                <w:spacing w:val="-6"/>
                <w:sz w:val="20"/>
              </w:rPr>
              <w:t xml:space="preserve"> </w:t>
            </w:r>
            <w:r w:rsidRPr="00150EDC">
              <w:rPr>
                <w:sz w:val="20"/>
              </w:rPr>
              <w:t>(Guernsey)</w:t>
            </w:r>
            <w:r w:rsidRPr="00150EDC">
              <w:rPr>
                <w:spacing w:val="-6"/>
                <w:sz w:val="20"/>
              </w:rPr>
              <w:t xml:space="preserve"> </w:t>
            </w:r>
            <w:r w:rsidRPr="00150EDC">
              <w:rPr>
                <w:sz w:val="20"/>
              </w:rPr>
              <w:t>1909,</w:t>
            </w:r>
            <w:r w:rsidRPr="00150EDC">
              <w:rPr>
                <w:spacing w:val="-6"/>
                <w:sz w:val="20"/>
              </w:rPr>
              <w:t xml:space="preserve"> </w:t>
            </w:r>
            <w:r w:rsidRPr="00150EDC">
              <w:rPr>
                <w:spacing w:val="-5"/>
                <w:sz w:val="20"/>
              </w:rPr>
              <w:t>s5</w:t>
            </w:r>
          </w:p>
        </w:tc>
        <w:tc>
          <w:tcPr>
            <w:tcW w:w="7427" w:type="dxa"/>
          </w:tcPr>
          <w:p w14:paraId="53799A54" w14:textId="77777777" w:rsidR="004C7180" w:rsidRPr="00150EDC" w:rsidRDefault="00CF0754">
            <w:pPr>
              <w:pStyle w:val="TableParagraph"/>
              <w:rPr>
                <w:sz w:val="20"/>
              </w:rPr>
            </w:pPr>
            <w:r w:rsidRPr="00150EDC">
              <w:rPr>
                <w:spacing w:val="-2"/>
                <w:sz w:val="20"/>
              </w:rPr>
              <w:t>Incest</w:t>
            </w:r>
          </w:p>
        </w:tc>
      </w:tr>
      <w:tr w:rsidR="004569EE" w:rsidRPr="007D3144" w14:paraId="463FB52B" w14:textId="77777777">
        <w:trPr>
          <w:trHeight w:val="255"/>
        </w:trPr>
        <w:tc>
          <w:tcPr>
            <w:tcW w:w="6517" w:type="dxa"/>
          </w:tcPr>
          <w:p w14:paraId="6FB13F69" w14:textId="77777777" w:rsidR="004C7180" w:rsidRPr="00150EDC" w:rsidRDefault="00CF0754">
            <w:pPr>
              <w:pStyle w:val="TableParagraph"/>
              <w:rPr>
                <w:sz w:val="20"/>
              </w:rPr>
            </w:pPr>
            <w:r w:rsidRPr="00150EDC">
              <w:rPr>
                <w:sz w:val="20"/>
              </w:rPr>
              <w:t>Law</w:t>
            </w:r>
            <w:r w:rsidRPr="00150EDC">
              <w:rPr>
                <w:spacing w:val="-6"/>
                <w:sz w:val="20"/>
              </w:rPr>
              <w:t xml:space="preserve"> </w:t>
            </w:r>
            <w:r w:rsidRPr="00150EDC">
              <w:rPr>
                <w:sz w:val="20"/>
              </w:rPr>
              <w:t>relating</w:t>
            </w:r>
            <w:r w:rsidRPr="00150EDC">
              <w:rPr>
                <w:spacing w:val="-7"/>
                <w:sz w:val="20"/>
              </w:rPr>
              <w:t xml:space="preserve"> </w:t>
            </w:r>
            <w:r w:rsidRPr="00150EDC">
              <w:rPr>
                <w:sz w:val="20"/>
              </w:rPr>
              <w:t>to</w:t>
            </w:r>
            <w:r w:rsidRPr="00150EDC">
              <w:rPr>
                <w:spacing w:val="-7"/>
                <w:sz w:val="20"/>
              </w:rPr>
              <w:t xml:space="preserve"> </w:t>
            </w:r>
            <w:r w:rsidRPr="00150EDC">
              <w:rPr>
                <w:sz w:val="20"/>
              </w:rPr>
              <w:t>Sodomy</w:t>
            </w:r>
            <w:r w:rsidRPr="00150EDC">
              <w:rPr>
                <w:spacing w:val="-7"/>
                <w:sz w:val="20"/>
              </w:rPr>
              <w:t xml:space="preserve"> </w:t>
            </w:r>
            <w:r w:rsidRPr="00150EDC">
              <w:rPr>
                <w:sz w:val="20"/>
              </w:rPr>
              <w:t>(Guernsey)</w:t>
            </w:r>
            <w:r w:rsidRPr="00150EDC">
              <w:rPr>
                <w:spacing w:val="-3"/>
                <w:sz w:val="20"/>
              </w:rPr>
              <w:t xml:space="preserve"> </w:t>
            </w:r>
            <w:r w:rsidRPr="00150EDC">
              <w:rPr>
                <w:sz w:val="20"/>
              </w:rPr>
              <w:t>1929,</w:t>
            </w:r>
            <w:r w:rsidRPr="00150EDC">
              <w:rPr>
                <w:spacing w:val="-2"/>
                <w:sz w:val="20"/>
              </w:rPr>
              <w:t xml:space="preserve"> </w:t>
            </w:r>
            <w:r w:rsidRPr="00150EDC">
              <w:rPr>
                <w:spacing w:val="-5"/>
                <w:sz w:val="20"/>
              </w:rPr>
              <w:t>s1</w:t>
            </w:r>
          </w:p>
        </w:tc>
        <w:tc>
          <w:tcPr>
            <w:tcW w:w="7427" w:type="dxa"/>
          </w:tcPr>
          <w:p w14:paraId="7DDA9980" w14:textId="77777777" w:rsidR="004C7180" w:rsidRPr="00150EDC" w:rsidRDefault="00CF0754">
            <w:pPr>
              <w:pStyle w:val="TableParagraph"/>
              <w:rPr>
                <w:sz w:val="20"/>
              </w:rPr>
            </w:pPr>
            <w:r w:rsidRPr="00150EDC">
              <w:rPr>
                <w:sz w:val="20"/>
              </w:rPr>
              <w:t>Buggery</w:t>
            </w:r>
            <w:r w:rsidRPr="00150EDC">
              <w:rPr>
                <w:spacing w:val="-6"/>
                <w:sz w:val="20"/>
              </w:rPr>
              <w:t xml:space="preserve"> </w:t>
            </w:r>
            <w:r w:rsidRPr="00150EDC">
              <w:rPr>
                <w:sz w:val="20"/>
              </w:rPr>
              <w:t>/</w:t>
            </w:r>
            <w:r w:rsidRPr="00150EDC">
              <w:rPr>
                <w:spacing w:val="-5"/>
                <w:sz w:val="20"/>
              </w:rPr>
              <w:t xml:space="preserve"> </w:t>
            </w:r>
            <w:r w:rsidRPr="00150EDC">
              <w:rPr>
                <w:spacing w:val="-2"/>
                <w:sz w:val="20"/>
              </w:rPr>
              <w:t>Bestiality</w:t>
            </w:r>
          </w:p>
        </w:tc>
      </w:tr>
      <w:tr w:rsidR="004569EE" w:rsidRPr="007D3144" w14:paraId="321E50AC" w14:textId="77777777">
        <w:trPr>
          <w:trHeight w:val="255"/>
        </w:trPr>
        <w:tc>
          <w:tcPr>
            <w:tcW w:w="6517" w:type="dxa"/>
          </w:tcPr>
          <w:p w14:paraId="1515FB3B" w14:textId="77777777" w:rsidR="004C7180" w:rsidRPr="00150EDC" w:rsidRDefault="00CF0754">
            <w:pPr>
              <w:pStyle w:val="TableParagraph"/>
              <w:spacing w:before="28"/>
              <w:rPr>
                <w:sz w:val="20"/>
              </w:rPr>
            </w:pPr>
            <w:r w:rsidRPr="00150EDC">
              <w:rPr>
                <w:sz w:val="20"/>
              </w:rPr>
              <w:t>Law</w:t>
            </w:r>
            <w:r w:rsidRPr="00150EDC">
              <w:rPr>
                <w:spacing w:val="-6"/>
                <w:sz w:val="20"/>
              </w:rPr>
              <w:t xml:space="preserve"> </w:t>
            </w:r>
            <w:r w:rsidRPr="00150EDC">
              <w:rPr>
                <w:sz w:val="20"/>
              </w:rPr>
              <w:t>relating</w:t>
            </w:r>
            <w:r w:rsidRPr="00150EDC">
              <w:rPr>
                <w:spacing w:val="-7"/>
                <w:sz w:val="20"/>
              </w:rPr>
              <w:t xml:space="preserve"> </w:t>
            </w:r>
            <w:r w:rsidRPr="00150EDC">
              <w:rPr>
                <w:sz w:val="20"/>
              </w:rPr>
              <w:t>to</w:t>
            </w:r>
            <w:r w:rsidRPr="00150EDC">
              <w:rPr>
                <w:spacing w:val="-7"/>
                <w:sz w:val="20"/>
              </w:rPr>
              <w:t xml:space="preserve"> </w:t>
            </w:r>
            <w:r w:rsidRPr="00150EDC">
              <w:rPr>
                <w:sz w:val="20"/>
              </w:rPr>
              <w:t>Sodomy</w:t>
            </w:r>
            <w:r w:rsidRPr="00150EDC">
              <w:rPr>
                <w:spacing w:val="-7"/>
                <w:sz w:val="20"/>
              </w:rPr>
              <w:t xml:space="preserve"> </w:t>
            </w:r>
            <w:r w:rsidRPr="00150EDC">
              <w:rPr>
                <w:sz w:val="20"/>
              </w:rPr>
              <w:t>(Guernsey)</w:t>
            </w:r>
            <w:r w:rsidRPr="00150EDC">
              <w:rPr>
                <w:spacing w:val="-3"/>
                <w:sz w:val="20"/>
              </w:rPr>
              <w:t xml:space="preserve"> </w:t>
            </w:r>
            <w:r w:rsidRPr="00150EDC">
              <w:rPr>
                <w:sz w:val="20"/>
              </w:rPr>
              <w:t>1929,</w:t>
            </w:r>
            <w:r w:rsidRPr="00150EDC">
              <w:rPr>
                <w:spacing w:val="-2"/>
                <w:sz w:val="20"/>
              </w:rPr>
              <w:t xml:space="preserve"> </w:t>
            </w:r>
            <w:r w:rsidRPr="00150EDC">
              <w:rPr>
                <w:spacing w:val="-5"/>
                <w:sz w:val="20"/>
              </w:rPr>
              <w:t>s2</w:t>
            </w:r>
          </w:p>
        </w:tc>
        <w:tc>
          <w:tcPr>
            <w:tcW w:w="7427" w:type="dxa"/>
          </w:tcPr>
          <w:p w14:paraId="0753BA4A" w14:textId="77777777" w:rsidR="004C7180" w:rsidRPr="00150EDC" w:rsidRDefault="00CF0754">
            <w:pPr>
              <w:pStyle w:val="TableParagraph"/>
              <w:spacing w:before="28"/>
              <w:rPr>
                <w:sz w:val="20"/>
              </w:rPr>
            </w:pPr>
            <w:r w:rsidRPr="00150EDC">
              <w:rPr>
                <w:sz w:val="20"/>
              </w:rPr>
              <w:t>Indecent</w:t>
            </w:r>
            <w:r w:rsidRPr="00150EDC">
              <w:rPr>
                <w:spacing w:val="-8"/>
                <w:sz w:val="20"/>
              </w:rPr>
              <w:t xml:space="preserve"> </w:t>
            </w:r>
            <w:r w:rsidRPr="00150EDC">
              <w:rPr>
                <w:spacing w:val="-2"/>
                <w:sz w:val="20"/>
              </w:rPr>
              <w:t>assault</w:t>
            </w:r>
          </w:p>
        </w:tc>
      </w:tr>
    </w:tbl>
    <w:p w14:paraId="50099B45" w14:textId="77777777" w:rsidR="004C7180" w:rsidRPr="00150EDC" w:rsidRDefault="004C7180">
      <w:pPr>
        <w:rPr>
          <w:sz w:val="20"/>
        </w:rPr>
        <w:sectPr w:rsidR="004C7180" w:rsidRPr="00150EDC">
          <w:footerReference w:type="default" r:id="rId135"/>
          <w:pgSz w:w="16840" w:h="11910" w:orient="landscape"/>
          <w:pgMar w:top="1340" w:right="1320" w:bottom="280" w:left="1340" w:header="0" w:footer="0" w:gutter="0"/>
          <w:cols w:space="720"/>
        </w:sectPr>
      </w:pPr>
    </w:p>
    <w:p w14:paraId="1B96762B" w14:textId="77777777" w:rsidR="004C7180" w:rsidRPr="00150EDC" w:rsidRDefault="004C7180">
      <w:pPr>
        <w:pStyle w:val="BodyText"/>
        <w:spacing w:before="3"/>
        <w:rPr>
          <w:sz w:val="8"/>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517"/>
        <w:gridCol w:w="7427"/>
      </w:tblGrid>
      <w:tr w:rsidR="004569EE" w:rsidRPr="007D3144" w14:paraId="138240DA" w14:textId="77777777">
        <w:trPr>
          <w:trHeight w:val="254"/>
        </w:trPr>
        <w:tc>
          <w:tcPr>
            <w:tcW w:w="6517" w:type="dxa"/>
          </w:tcPr>
          <w:p w14:paraId="764009C3" w14:textId="77777777" w:rsidR="004C7180" w:rsidRPr="00150EDC" w:rsidRDefault="00CF0754">
            <w:pPr>
              <w:pStyle w:val="TableParagraph"/>
              <w:rPr>
                <w:sz w:val="20"/>
              </w:rPr>
            </w:pPr>
            <w:r w:rsidRPr="00150EDC">
              <w:rPr>
                <w:sz w:val="20"/>
              </w:rPr>
              <w:t>Law</w:t>
            </w:r>
            <w:r w:rsidRPr="00150EDC">
              <w:rPr>
                <w:spacing w:val="-6"/>
                <w:sz w:val="20"/>
              </w:rPr>
              <w:t xml:space="preserve"> </w:t>
            </w:r>
            <w:r w:rsidRPr="00150EDC">
              <w:rPr>
                <w:sz w:val="20"/>
              </w:rPr>
              <w:t>relating</w:t>
            </w:r>
            <w:r w:rsidRPr="00150EDC">
              <w:rPr>
                <w:spacing w:val="-7"/>
                <w:sz w:val="20"/>
              </w:rPr>
              <w:t xml:space="preserve"> </w:t>
            </w:r>
            <w:r w:rsidRPr="00150EDC">
              <w:rPr>
                <w:sz w:val="20"/>
              </w:rPr>
              <w:t>to</w:t>
            </w:r>
            <w:r w:rsidRPr="00150EDC">
              <w:rPr>
                <w:spacing w:val="-7"/>
                <w:sz w:val="20"/>
              </w:rPr>
              <w:t xml:space="preserve"> </w:t>
            </w:r>
            <w:r w:rsidRPr="00150EDC">
              <w:rPr>
                <w:sz w:val="20"/>
              </w:rPr>
              <w:t>Sodomy</w:t>
            </w:r>
            <w:r w:rsidRPr="00150EDC">
              <w:rPr>
                <w:spacing w:val="-7"/>
                <w:sz w:val="20"/>
              </w:rPr>
              <w:t xml:space="preserve"> </w:t>
            </w:r>
            <w:r w:rsidRPr="00150EDC">
              <w:rPr>
                <w:sz w:val="20"/>
              </w:rPr>
              <w:t>(Guernsey)</w:t>
            </w:r>
            <w:r w:rsidRPr="00150EDC">
              <w:rPr>
                <w:spacing w:val="-3"/>
                <w:sz w:val="20"/>
              </w:rPr>
              <w:t xml:space="preserve"> </w:t>
            </w:r>
            <w:r w:rsidRPr="00150EDC">
              <w:rPr>
                <w:sz w:val="20"/>
              </w:rPr>
              <w:t>1929,</w:t>
            </w:r>
            <w:r w:rsidRPr="00150EDC">
              <w:rPr>
                <w:spacing w:val="-2"/>
                <w:sz w:val="20"/>
              </w:rPr>
              <w:t xml:space="preserve"> </w:t>
            </w:r>
            <w:r w:rsidRPr="00150EDC">
              <w:rPr>
                <w:spacing w:val="-5"/>
                <w:sz w:val="20"/>
              </w:rPr>
              <w:t>s3</w:t>
            </w:r>
          </w:p>
        </w:tc>
        <w:tc>
          <w:tcPr>
            <w:tcW w:w="7427" w:type="dxa"/>
          </w:tcPr>
          <w:p w14:paraId="11C37C3F" w14:textId="77777777" w:rsidR="004C7180" w:rsidRPr="00150EDC" w:rsidRDefault="00CF0754">
            <w:pPr>
              <w:pStyle w:val="TableParagraph"/>
              <w:rPr>
                <w:sz w:val="20"/>
              </w:rPr>
            </w:pPr>
            <w:r w:rsidRPr="00150EDC">
              <w:rPr>
                <w:sz w:val="20"/>
              </w:rPr>
              <w:t>Gross</w:t>
            </w:r>
            <w:r w:rsidRPr="00150EDC">
              <w:rPr>
                <w:spacing w:val="-6"/>
                <w:sz w:val="20"/>
              </w:rPr>
              <w:t xml:space="preserve"> </w:t>
            </w:r>
            <w:r w:rsidRPr="00150EDC">
              <w:rPr>
                <w:spacing w:val="-2"/>
                <w:sz w:val="20"/>
              </w:rPr>
              <w:t>indecency</w:t>
            </w:r>
          </w:p>
        </w:tc>
      </w:tr>
      <w:tr w:rsidR="004569EE" w:rsidRPr="007D3144" w14:paraId="136C4ACE" w14:textId="77777777">
        <w:trPr>
          <w:trHeight w:val="510"/>
        </w:trPr>
        <w:tc>
          <w:tcPr>
            <w:tcW w:w="6517" w:type="dxa"/>
          </w:tcPr>
          <w:p w14:paraId="06FE9502" w14:textId="77777777" w:rsidR="004C7180" w:rsidRPr="00150EDC" w:rsidRDefault="00CF0754">
            <w:pPr>
              <w:pStyle w:val="TableParagraph"/>
              <w:spacing w:before="33" w:line="230" w:lineRule="atLeast"/>
              <w:ind w:right="184"/>
              <w:rPr>
                <w:sz w:val="20"/>
              </w:rPr>
            </w:pPr>
            <w:r w:rsidRPr="00150EDC">
              <w:rPr>
                <w:sz w:val="20"/>
              </w:rPr>
              <w:t>Law</w:t>
            </w:r>
            <w:r w:rsidRPr="00150EDC">
              <w:rPr>
                <w:spacing w:val="-4"/>
                <w:sz w:val="20"/>
              </w:rPr>
              <w:t xml:space="preserve"> </w:t>
            </w:r>
            <w:r w:rsidRPr="00150EDC">
              <w:rPr>
                <w:sz w:val="20"/>
              </w:rPr>
              <w:t>relating</w:t>
            </w:r>
            <w:r w:rsidRPr="00150EDC">
              <w:rPr>
                <w:spacing w:val="-6"/>
                <w:sz w:val="20"/>
              </w:rPr>
              <w:t xml:space="preserve"> </w:t>
            </w:r>
            <w:r w:rsidRPr="00150EDC">
              <w:rPr>
                <w:sz w:val="20"/>
              </w:rPr>
              <w:t>to</w:t>
            </w:r>
            <w:r w:rsidRPr="00150EDC">
              <w:rPr>
                <w:spacing w:val="-6"/>
                <w:sz w:val="20"/>
              </w:rPr>
              <w:t xml:space="preserve"> </w:t>
            </w:r>
            <w:r w:rsidRPr="00150EDC">
              <w:rPr>
                <w:sz w:val="20"/>
              </w:rPr>
              <w:t>the</w:t>
            </w:r>
            <w:r w:rsidRPr="00150EDC">
              <w:rPr>
                <w:spacing w:val="-6"/>
                <w:sz w:val="20"/>
              </w:rPr>
              <w:t xml:space="preserve"> </w:t>
            </w:r>
            <w:r w:rsidRPr="00150EDC">
              <w:rPr>
                <w:sz w:val="20"/>
              </w:rPr>
              <w:t>Protection</w:t>
            </w:r>
            <w:r w:rsidRPr="00150EDC">
              <w:rPr>
                <w:spacing w:val="-6"/>
                <w:sz w:val="20"/>
              </w:rPr>
              <w:t xml:space="preserve"> </w:t>
            </w:r>
            <w:r w:rsidRPr="00150EDC">
              <w:rPr>
                <w:sz w:val="20"/>
              </w:rPr>
              <w:t>of</w:t>
            </w:r>
            <w:r w:rsidRPr="00150EDC">
              <w:rPr>
                <w:spacing w:val="-6"/>
                <w:sz w:val="20"/>
              </w:rPr>
              <w:t xml:space="preserve"> </w:t>
            </w:r>
            <w:r w:rsidRPr="00150EDC">
              <w:rPr>
                <w:sz w:val="20"/>
              </w:rPr>
              <w:t>Children</w:t>
            </w:r>
            <w:r w:rsidRPr="00150EDC">
              <w:rPr>
                <w:spacing w:val="-6"/>
                <w:sz w:val="20"/>
              </w:rPr>
              <w:t xml:space="preserve"> </w:t>
            </w:r>
            <w:r w:rsidRPr="00150EDC">
              <w:rPr>
                <w:sz w:val="20"/>
              </w:rPr>
              <w:t>and</w:t>
            </w:r>
            <w:r w:rsidRPr="00150EDC">
              <w:rPr>
                <w:spacing w:val="-1"/>
                <w:sz w:val="20"/>
              </w:rPr>
              <w:t xml:space="preserve"> </w:t>
            </w:r>
            <w:r w:rsidRPr="00150EDC">
              <w:rPr>
                <w:sz w:val="20"/>
              </w:rPr>
              <w:t>Young</w:t>
            </w:r>
            <w:r w:rsidRPr="00150EDC">
              <w:rPr>
                <w:spacing w:val="-6"/>
                <w:sz w:val="20"/>
              </w:rPr>
              <w:t xml:space="preserve"> </w:t>
            </w:r>
            <w:r w:rsidRPr="00150EDC">
              <w:rPr>
                <w:sz w:val="20"/>
              </w:rPr>
              <w:t>Persons (Guernsey) 1917, Art 10</w:t>
            </w:r>
          </w:p>
        </w:tc>
        <w:tc>
          <w:tcPr>
            <w:tcW w:w="7427" w:type="dxa"/>
          </w:tcPr>
          <w:p w14:paraId="6FA72ED6" w14:textId="77777777" w:rsidR="004C7180" w:rsidRPr="00150EDC" w:rsidRDefault="004C7180">
            <w:pPr>
              <w:pStyle w:val="TableParagraph"/>
              <w:spacing w:before="7" w:line="240" w:lineRule="auto"/>
              <w:ind w:left="0"/>
              <w:rPr>
                <w:sz w:val="24"/>
              </w:rPr>
            </w:pPr>
          </w:p>
          <w:p w14:paraId="7BBCC206" w14:textId="77777777" w:rsidR="004C7180" w:rsidRPr="00150EDC" w:rsidRDefault="00CF0754">
            <w:pPr>
              <w:pStyle w:val="TableParagraph"/>
              <w:spacing w:before="0"/>
              <w:rPr>
                <w:sz w:val="20"/>
              </w:rPr>
            </w:pPr>
            <w:r w:rsidRPr="00150EDC">
              <w:rPr>
                <w:sz w:val="20"/>
              </w:rPr>
              <w:t>Exposing</w:t>
            </w:r>
            <w:r w:rsidRPr="00150EDC">
              <w:rPr>
                <w:spacing w:val="-6"/>
                <w:sz w:val="20"/>
              </w:rPr>
              <w:t xml:space="preserve"> </w:t>
            </w:r>
            <w:r w:rsidRPr="00150EDC">
              <w:rPr>
                <w:sz w:val="20"/>
              </w:rPr>
              <w:t>child</w:t>
            </w:r>
            <w:r w:rsidRPr="00150EDC">
              <w:rPr>
                <w:spacing w:val="-5"/>
                <w:sz w:val="20"/>
              </w:rPr>
              <w:t xml:space="preserve"> </w:t>
            </w:r>
            <w:r w:rsidRPr="00150EDC">
              <w:rPr>
                <w:sz w:val="20"/>
              </w:rPr>
              <w:t>under</w:t>
            </w:r>
            <w:r w:rsidRPr="00150EDC">
              <w:rPr>
                <w:spacing w:val="-1"/>
                <w:sz w:val="20"/>
              </w:rPr>
              <w:t xml:space="preserve"> </w:t>
            </w:r>
            <w:r w:rsidRPr="00150EDC">
              <w:rPr>
                <w:sz w:val="20"/>
              </w:rPr>
              <w:t>7</w:t>
            </w:r>
            <w:r w:rsidRPr="00150EDC">
              <w:rPr>
                <w:spacing w:val="-5"/>
                <w:sz w:val="20"/>
              </w:rPr>
              <w:t xml:space="preserve"> </w:t>
            </w:r>
            <w:r w:rsidRPr="00150EDC">
              <w:rPr>
                <w:sz w:val="20"/>
              </w:rPr>
              <w:t>to risk</w:t>
            </w:r>
            <w:r w:rsidRPr="00150EDC">
              <w:rPr>
                <w:spacing w:val="-5"/>
                <w:sz w:val="20"/>
              </w:rPr>
              <w:t xml:space="preserve"> </w:t>
            </w:r>
            <w:r w:rsidRPr="00150EDC">
              <w:rPr>
                <w:sz w:val="20"/>
              </w:rPr>
              <w:t>of</w:t>
            </w:r>
            <w:r w:rsidRPr="00150EDC">
              <w:rPr>
                <w:spacing w:val="-5"/>
                <w:sz w:val="20"/>
              </w:rPr>
              <w:t xml:space="preserve"> </w:t>
            </w:r>
            <w:r w:rsidRPr="00150EDC">
              <w:rPr>
                <w:spacing w:val="-2"/>
                <w:sz w:val="20"/>
              </w:rPr>
              <w:t>burning</w:t>
            </w:r>
          </w:p>
        </w:tc>
      </w:tr>
      <w:tr w:rsidR="004569EE" w:rsidRPr="007D3144" w14:paraId="123072A4" w14:textId="77777777">
        <w:trPr>
          <w:trHeight w:val="510"/>
        </w:trPr>
        <w:tc>
          <w:tcPr>
            <w:tcW w:w="6517" w:type="dxa"/>
          </w:tcPr>
          <w:p w14:paraId="3C7E8698" w14:textId="77777777" w:rsidR="004C7180" w:rsidRPr="00150EDC" w:rsidRDefault="00CF0754">
            <w:pPr>
              <w:pStyle w:val="TableParagraph"/>
              <w:spacing w:before="32" w:line="230" w:lineRule="atLeast"/>
              <w:ind w:right="184"/>
              <w:rPr>
                <w:sz w:val="20"/>
              </w:rPr>
            </w:pPr>
            <w:r w:rsidRPr="00150EDC">
              <w:rPr>
                <w:sz w:val="20"/>
              </w:rPr>
              <w:t>Law</w:t>
            </w:r>
            <w:r w:rsidRPr="00150EDC">
              <w:rPr>
                <w:spacing w:val="-4"/>
                <w:sz w:val="20"/>
              </w:rPr>
              <w:t xml:space="preserve"> </w:t>
            </w:r>
            <w:r w:rsidRPr="00150EDC">
              <w:rPr>
                <w:sz w:val="20"/>
              </w:rPr>
              <w:t>relating</w:t>
            </w:r>
            <w:r w:rsidRPr="00150EDC">
              <w:rPr>
                <w:spacing w:val="-6"/>
                <w:sz w:val="20"/>
              </w:rPr>
              <w:t xml:space="preserve"> </w:t>
            </w:r>
            <w:r w:rsidRPr="00150EDC">
              <w:rPr>
                <w:sz w:val="20"/>
              </w:rPr>
              <w:t>to</w:t>
            </w:r>
            <w:r w:rsidRPr="00150EDC">
              <w:rPr>
                <w:spacing w:val="-6"/>
                <w:sz w:val="20"/>
              </w:rPr>
              <w:t xml:space="preserve"> </w:t>
            </w:r>
            <w:r w:rsidRPr="00150EDC">
              <w:rPr>
                <w:sz w:val="20"/>
              </w:rPr>
              <w:t>the</w:t>
            </w:r>
            <w:r w:rsidRPr="00150EDC">
              <w:rPr>
                <w:spacing w:val="-6"/>
                <w:sz w:val="20"/>
              </w:rPr>
              <w:t xml:space="preserve"> </w:t>
            </w:r>
            <w:r w:rsidRPr="00150EDC">
              <w:rPr>
                <w:sz w:val="20"/>
              </w:rPr>
              <w:t>Protection</w:t>
            </w:r>
            <w:r w:rsidRPr="00150EDC">
              <w:rPr>
                <w:spacing w:val="-6"/>
                <w:sz w:val="20"/>
              </w:rPr>
              <w:t xml:space="preserve"> </w:t>
            </w:r>
            <w:r w:rsidRPr="00150EDC">
              <w:rPr>
                <w:sz w:val="20"/>
              </w:rPr>
              <w:t>of</w:t>
            </w:r>
            <w:r w:rsidRPr="00150EDC">
              <w:rPr>
                <w:spacing w:val="-6"/>
                <w:sz w:val="20"/>
              </w:rPr>
              <w:t xml:space="preserve"> </w:t>
            </w:r>
            <w:r w:rsidRPr="00150EDC">
              <w:rPr>
                <w:sz w:val="20"/>
              </w:rPr>
              <w:t>Children</w:t>
            </w:r>
            <w:r w:rsidRPr="00150EDC">
              <w:rPr>
                <w:spacing w:val="-6"/>
                <w:sz w:val="20"/>
              </w:rPr>
              <w:t xml:space="preserve"> </w:t>
            </w:r>
            <w:r w:rsidRPr="00150EDC">
              <w:rPr>
                <w:sz w:val="20"/>
              </w:rPr>
              <w:t>and</w:t>
            </w:r>
            <w:r w:rsidRPr="00150EDC">
              <w:rPr>
                <w:spacing w:val="-1"/>
                <w:sz w:val="20"/>
              </w:rPr>
              <w:t xml:space="preserve"> </w:t>
            </w:r>
            <w:r w:rsidRPr="00150EDC">
              <w:rPr>
                <w:sz w:val="20"/>
              </w:rPr>
              <w:t>Young</w:t>
            </w:r>
            <w:r w:rsidRPr="00150EDC">
              <w:rPr>
                <w:spacing w:val="-6"/>
                <w:sz w:val="20"/>
              </w:rPr>
              <w:t xml:space="preserve"> </w:t>
            </w:r>
            <w:r w:rsidRPr="00150EDC">
              <w:rPr>
                <w:sz w:val="20"/>
              </w:rPr>
              <w:t>Persons (Guernsey) 1917, Art 11</w:t>
            </w:r>
          </w:p>
        </w:tc>
        <w:tc>
          <w:tcPr>
            <w:tcW w:w="7427" w:type="dxa"/>
          </w:tcPr>
          <w:p w14:paraId="5CFE532D" w14:textId="77777777" w:rsidR="004C7180" w:rsidRPr="00150EDC" w:rsidRDefault="004C7180">
            <w:pPr>
              <w:pStyle w:val="TableParagraph"/>
              <w:spacing w:before="6" w:line="240" w:lineRule="auto"/>
              <w:ind w:left="0"/>
              <w:rPr>
                <w:sz w:val="24"/>
              </w:rPr>
            </w:pPr>
          </w:p>
          <w:p w14:paraId="23C9DD03" w14:textId="77777777" w:rsidR="004C7180" w:rsidRPr="00150EDC" w:rsidRDefault="00CF0754">
            <w:pPr>
              <w:pStyle w:val="TableParagraph"/>
              <w:spacing w:before="0"/>
              <w:rPr>
                <w:sz w:val="20"/>
              </w:rPr>
            </w:pPr>
            <w:r w:rsidRPr="00150EDC">
              <w:rPr>
                <w:sz w:val="20"/>
              </w:rPr>
              <w:t>Allowing</w:t>
            </w:r>
            <w:r w:rsidRPr="00150EDC">
              <w:rPr>
                <w:spacing w:val="-6"/>
                <w:sz w:val="20"/>
              </w:rPr>
              <w:t xml:space="preserve"> </w:t>
            </w:r>
            <w:r w:rsidRPr="00150EDC">
              <w:rPr>
                <w:sz w:val="20"/>
              </w:rPr>
              <w:t>person under</w:t>
            </w:r>
            <w:r w:rsidRPr="00150EDC">
              <w:rPr>
                <w:spacing w:val="-5"/>
                <w:sz w:val="20"/>
              </w:rPr>
              <w:t xml:space="preserve"> </w:t>
            </w:r>
            <w:r w:rsidRPr="00150EDC">
              <w:rPr>
                <w:sz w:val="20"/>
              </w:rPr>
              <w:t>16</w:t>
            </w:r>
            <w:r w:rsidRPr="00150EDC">
              <w:rPr>
                <w:spacing w:val="-1"/>
                <w:sz w:val="20"/>
              </w:rPr>
              <w:t xml:space="preserve"> </w:t>
            </w:r>
            <w:r w:rsidRPr="00150EDC">
              <w:rPr>
                <w:sz w:val="20"/>
              </w:rPr>
              <w:t>to</w:t>
            </w:r>
            <w:r w:rsidRPr="00150EDC">
              <w:rPr>
                <w:spacing w:val="-5"/>
                <w:sz w:val="20"/>
              </w:rPr>
              <w:t xml:space="preserve"> </w:t>
            </w:r>
            <w:r w:rsidRPr="00150EDC">
              <w:rPr>
                <w:sz w:val="20"/>
              </w:rPr>
              <w:t>reside</w:t>
            </w:r>
            <w:r w:rsidRPr="00150EDC">
              <w:rPr>
                <w:spacing w:val="-5"/>
                <w:sz w:val="20"/>
              </w:rPr>
              <w:t xml:space="preserve"> </w:t>
            </w:r>
            <w:r w:rsidRPr="00150EDC">
              <w:rPr>
                <w:sz w:val="20"/>
              </w:rPr>
              <w:t>in</w:t>
            </w:r>
            <w:r w:rsidRPr="00150EDC">
              <w:rPr>
                <w:spacing w:val="-1"/>
                <w:sz w:val="20"/>
              </w:rPr>
              <w:t xml:space="preserve"> </w:t>
            </w:r>
            <w:r w:rsidRPr="00150EDC">
              <w:rPr>
                <w:sz w:val="20"/>
              </w:rPr>
              <w:t>a</w:t>
            </w:r>
            <w:r w:rsidRPr="00150EDC">
              <w:rPr>
                <w:spacing w:val="-5"/>
                <w:sz w:val="20"/>
              </w:rPr>
              <w:t xml:space="preserve"> </w:t>
            </w:r>
            <w:r w:rsidRPr="00150EDC">
              <w:rPr>
                <w:spacing w:val="-2"/>
                <w:sz w:val="20"/>
              </w:rPr>
              <w:t>brothel</w:t>
            </w:r>
          </w:p>
        </w:tc>
      </w:tr>
      <w:tr w:rsidR="004569EE" w:rsidRPr="007D3144" w14:paraId="59253934" w14:textId="77777777">
        <w:trPr>
          <w:trHeight w:val="510"/>
        </w:trPr>
        <w:tc>
          <w:tcPr>
            <w:tcW w:w="6517" w:type="dxa"/>
          </w:tcPr>
          <w:p w14:paraId="67AABA0B" w14:textId="77777777" w:rsidR="004C7180" w:rsidRPr="00150EDC" w:rsidRDefault="00CF0754">
            <w:pPr>
              <w:pStyle w:val="TableParagraph"/>
              <w:spacing w:before="33" w:line="230" w:lineRule="atLeast"/>
              <w:ind w:right="184"/>
              <w:rPr>
                <w:sz w:val="20"/>
              </w:rPr>
            </w:pPr>
            <w:r w:rsidRPr="00150EDC">
              <w:rPr>
                <w:sz w:val="20"/>
              </w:rPr>
              <w:t>Law</w:t>
            </w:r>
            <w:r w:rsidRPr="00150EDC">
              <w:rPr>
                <w:spacing w:val="-4"/>
                <w:sz w:val="20"/>
              </w:rPr>
              <w:t xml:space="preserve"> </w:t>
            </w:r>
            <w:r w:rsidRPr="00150EDC">
              <w:rPr>
                <w:sz w:val="20"/>
              </w:rPr>
              <w:t>relating</w:t>
            </w:r>
            <w:r w:rsidRPr="00150EDC">
              <w:rPr>
                <w:spacing w:val="-6"/>
                <w:sz w:val="20"/>
              </w:rPr>
              <w:t xml:space="preserve"> </w:t>
            </w:r>
            <w:r w:rsidRPr="00150EDC">
              <w:rPr>
                <w:sz w:val="20"/>
              </w:rPr>
              <w:t>to</w:t>
            </w:r>
            <w:r w:rsidRPr="00150EDC">
              <w:rPr>
                <w:spacing w:val="-6"/>
                <w:sz w:val="20"/>
              </w:rPr>
              <w:t xml:space="preserve"> </w:t>
            </w:r>
            <w:r w:rsidRPr="00150EDC">
              <w:rPr>
                <w:sz w:val="20"/>
              </w:rPr>
              <w:t>the</w:t>
            </w:r>
            <w:r w:rsidRPr="00150EDC">
              <w:rPr>
                <w:spacing w:val="-6"/>
                <w:sz w:val="20"/>
              </w:rPr>
              <w:t xml:space="preserve"> </w:t>
            </w:r>
            <w:r w:rsidRPr="00150EDC">
              <w:rPr>
                <w:sz w:val="20"/>
              </w:rPr>
              <w:t>Protection</w:t>
            </w:r>
            <w:r w:rsidRPr="00150EDC">
              <w:rPr>
                <w:spacing w:val="-6"/>
                <w:sz w:val="20"/>
              </w:rPr>
              <w:t xml:space="preserve"> </w:t>
            </w:r>
            <w:r w:rsidRPr="00150EDC">
              <w:rPr>
                <w:sz w:val="20"/>
              </w:rPr>
              <w:t>of</w:t>
            </w:r>
            <w:r w:rsidRPr="00150EDC">
              <w:rPr>
                <w:spacing w:val="-6"/>
                <w:sz w:val="20"/>
              </w:rPr>
              <w:t xml:space="preserve"> </w:t>
            </w:r>
            <w:r w:rsidRPr="00150EDC">
              <w:rPr>
                <w:sz w:val="20"/>
              </w:rPr>
              <w:t>Children</w:t>
            </w:r>
            <w:r w:rsidRPr="00150EDC">
              <w:rPr>
                <w:spacing w:val="-6"/>
                <w:sz w:val="20"/>
              </w:rPr>
              <w:t xml:space="preserve"> </w:t>
            </w:r>
            <w:r w:rsidRPr="00150EDC">
              <w:rPr>
                <w:sz w:val="20"/>
              </w:rPr>
              <w:t>and</w:t>
            </w:r>
            <w:r w:rsidRPr="00150EDC">
              <w:rPr>
                <w:spacing w:val="-1"/>
                <w:sz w:val="20"/>
              </w:rPr>
              <w:t xml:space="preserve"> </w:t>
            </w:r>
            <w:r w:rsidRPr="00150EDC">
              <w:rPr>
                <w:sz w:val="20"/>
              </w:rPr>
              <w:t>Young</w:t>
            </w:r>
            <w:r w:rsidRPr="00150EDC">
              <w:rPr>
                <w:spacing w:val="-6"/>
                <w:sz w:val="20"/>
              </w:rPr>
              <w:t xml:space="preserve"> </w:t>
            </w:r>
            <w:r w:rsidRPr="00150EDC">
              <w:rPr>
                <w:sz w:val="20"/>
              </w:rPr>
              <w:t>Persons (Guernsey) 1917, Art 12</w:t>
            </w:r>
          </w:p>
        </w:tc>
        <w:tc>
          <w:tcPr>
            <w:tcW w:w="7427" w:type="dxa"/>
          </w:tcPr>
          <w:p w14:paraId="1BB0283E" w14:textId="77777777" w:rsidR="004C7180" w:rsidRPr="00150EDC" w:rsidRDefault="004C7180">
            <w:pPr>
              <w:pStyle w:val="TableParagraph"/>
              <w:spacing w:before="7" w:line="240" w:lineRule="auto"/>
              <w:ind w:left="0"/>
              <w:rPr>
                <w:sz w:val="24"/>
              </w:rPr>
            </w:pPr>
          </w:p>
          <w:p w14:paraId="500489BF" w14:textId="77777777" w:rsidR="004C7180" w:rsidRPr="00150EDC" w:rsidRDefault="00CF0754">
            <w:pPr>
              <w:pStyle w:val="TableParagraph"/>
              <w:spacing w:before="0"/>
              <w:rPr>
                <w:sz w:val="20"/>
              </w:rPr>
            </w:pPr>
            <w:r w:rsidRPr="00150EDC">
              <w:rPr>
                <w:sz w:val="20"/>
              </w:rPr>
              <w:t>Causing</w:t>
            </w:r>
            <w:r w:rsidRPr="00150EDC">
              <w:rPr>
                <w:spacing w:val="-5"/>
                <w:sz w:val="20"/>
              </w:rPr>
              <w:t xml:space="preserve"> </w:t>
            </w:r>
            <w:r w:rsidRPr="00150EDC">
              <w:rPr>
                <w:sz w:val="20"/>
              </w:rPr>
              <w:t>girl</w:t>
            </w:r>
            <w:r w:rsidRPr="00150EDC">
              <w:rPr>
                <w:spacing w:val="1"/>
                <w:sz w:val="20"/>
              </w:rPr>
              <w:t xml:space="preserve"> </w:t>
            </w:r>
            <w:r w:rsidRPr="00150EDC">
              <w:rPr>
                <w:sz w:val="20"/>
              </w:rPr>
              <w:t>under</w:t>
            </w:r>
            <w:r w:rsidRPr="00150EDC">
              <w:rPr>
                <w:spacing w:val="-5"/>
                <w:sz w:val="20"/>
              </w:rPr>
              <w:t xml:space="preserve"> </w:t>
            </w:r>
            <w:r w:rsidRPr="00150EDC">
              <w:rPr>
                <w:sz w:val="20"/>
              </w:rPr>
              <w:t>16</w:t>
            </w:r>
            <w:r w:rsidRPr="00150EDC">
              <w:rPr>
                <w:spacing w:val="-5"/>
                <w:sz w:val="20"/>
              </w:rPr>
              <w:t xml:space="preserve"> </w:t>
            </w:r>
            <w:r w:rsidRPr="00150EDC">
              <w:rPr>
                <w:sz w:val="20"/>
              </w:rPr>
              <w:t>to</w:t>
            </w:r>
            <w:r w:rsidRPr="00150EDC">
              <w:rPr>
                <w:spacing w:val="-3"/>
                <w:sz w:val="20"/>
              </w:rPr>
              <w:t xml:space="preserve"> </w:t>
            </w:r>
            <w:r w:rsidRPr="00150EDC">
              <w:rPr>
                <w:sz w:val="20"/>
              </w:rPr>
              <w:t>become</w:t>
            </w:r>
            <w:r w:rsidRPr="00150EDC">
              <w:rPr>
                <w:spacing w:val="-5"/>
                <w:sz w:val="20"/>
              </w:rPr>
              <w:t xml:space="preserve"> </w:t>
            </w:r>
            <w:r w:rsidRPr="00150EDC">
              <w:rPr>
                <w:sz w:val="20"/>
              </w:rPr>
              <w:t xml:space="preserve">a </w:t>
            </w:r>
            <w:r w:rsidRPr="00150EDC">
              <w:rPr>
                <w:spacing w:val="-2"/>
                <w:sz w:val="20"/>
              </w:rPr>
              <w:t>prostitute</w:t>
            </w:r>
          </w:p>
        </w:tc>
      </w:tr>
      <w:tr w:rsidR="004569EE" w:rsidRPr="007D3144" w14:paraId="7BED1453" w14:textId="77777777">
        <w:trPr>
          <w:trHeight w:val="510"/>
        </w:trPr>
        <w:tc>
          <w:tcPr>
            <w:tcW w:w="6517" w:type="dxa"/>
          </w:tcPr>
          <w:p w14:paraId="04107169" w14:textId="77777777" w:rsidR="004C7180" w:rsidRPr="00150EDC" w:rsidRDefault="00CF0754">
            <w:pPr>
              <w:pStyle w:val="TableParagraph"/>
              <w:spacing w:before="32" w:line="230" w:lineRule="atLeast"/>
              <w:ind w:right="184"/>
              <w:rPr>
                <w:sz w:val="20"/>
              </w:rPr>
            </w:pPr>
            <w:r w:rsidRPr="00150EDC">
              <w:rPr>
                <w:sz w:val="20"/>
              </w:rPr>
              <w:t>Law</w:t>
            </w:r>
            <w:r w:rsidRPr="00150EDC">
              <w:rPr>
                <w:spacing w:val="-4"/>
                <w:sz w:val="20"/>
              </w:rPr>
              <w:t xml:space="preserve"> </w:t>
            </w:r>
            <w:r w:rsidRPr="00150EDC">
              <w:rPr>
                <w:sz w:val="20"/>
              </w:rPr>
              <w:t>relating</w:t>
            </w:r>
            <w:r w:rsidRPr="00150EDC">
              <w:rPr>
                <w:spacing w:val="-6"/>
                <w:sz w:val="20"/>
              </w:rPr>
              <w:t xml:space="preserve"> </w:t>
            </w:r>
            <w:r w:rsidRPr="00150EDC">
              <w:rPr>
                <w:sz w:val="20"/>
              </w:rPr>
              <w:t>to</w:t>
            </w:r>
            <w:r w:rsidRPr="00150EDC">
              <w:rPr>
                <w:spacing w:val="-6"/>
                <w:sz w:val="20"/>
              </w:rPr>
              <w:t xml:space="preserve"> </w:t>
            </w:r>
            <w:r w:rsidRPr="00150EDC">
              <w:rPr>
                <w:sz w:val="20"/>
              </w:rPr>
              <w:t>the</w:t>
            </w:r>
            <w:r w:rsidRPr="00150EDC">
              <w:rPr>
                <w:spacing w:val="-6"/>
                <w:sz w:val="20"/>
              </w:rPr>
              <w:t xml:space="preserve"> </w:t>
            </w:r>
            <w:r w:rsidRPr="00150EDC">
              <w:rPr>
                <w:sz w:val="20"/>
              </w:rPr>
              <w:t>Protection</w:t>
            </w:r>
            <w:r w:rsidRPr="00150EDC">
              <w:rPr>
                <w:spacing w:val="-6"/>
                <w:sz w:val="20"/>
              </w:rPr>
              <w:t xml:space="preserve"> </w:t>
            </w:r>
            <w:r w:rsidRPr="00150EDC">
              <w:rPr>
                <w:sz w:val="20"/>
              </w:rPr>
              <w:t>of</w:t>
            </w:r>
            <w:r w:rsidRPr="00150EDC">
              <w:rPr>
                <w:spacing w:val="-6"/>
                <w:sz w:val="20"/>
              </w:rPr>
              <w:t xml:space="preserve"> </w:t>
            </w:r>
            <w:r w:rsidRPr="00150EDC">
              <w:rPr>
                <w:sz w:val="20"/>
              </w:rPr>
              <w:t>Children</w:t>
            </w:r>
            <w:r w:rsidRPr="00150EDC">
              <w:rPr>
                <w:spacing w:val="-6"/>
                <w:sz w:val="20"/>
              </w:rPr>
              <w:t xml:space="preserve"> </w:t>
            </w:r>
            <w:r w:rsidRPr="00150EDC">
              <w:rPr>
                <w:sz w:val="20"/>
              </w:rPr>
              <w:t>and</w:t>
            </w:r>
            <w:r w:rsidRPr="00150EDC">
              <w:rPr>
                <w:spacing w:val="-1"/>
                <w:sz w:val="20"/>
              </w:rPr>
              <w:t xml:space="preserve"> </w:t>
            </w:r>
            <w:r w:rsidRPr="00150EDC">
              <w:rPr>
                <w:sz w:val="20"/>
              </w:rPr>
              <w:t>Young</w:t>
            </w:r>
            <w:r w:rsidRPr="00150EDC">
              <w:rPr>
                <w:spacing w:val="-6"/>
                <w:sz w:val="20"/>
              </w:rPr>
              <w:t xml:space="preserve"> </w:t>
            </w:r>
            <w:r w:rsidRPr="00150EDC">
              <w:rPr>
                <w:sz w:val="20"/>
              </w:rPr>
              <w:t>Persons (Guernsey) 1917, Art 41(1)</w:t>
            </w:r>
          </w:p>
        </w:tc>
        <w:tc>
          <w:tcPr>
            <w:tcW w:w="7427" w:type="dxa"/>
          </w:tcPr>
          <w:p w14:paraId="05DB83BE" w14:textId="77777777" w:rsidR="004C7180" w:rsidRPr="00150EDC" w:rsidRDefault="004C7180">
            <w:pPr>
              <w:pStyle w:val="TableParagraph"/>
              <w:spacing w:before="6" w:line="240" w:lineRule="auto"/>
              <w:ind w:left="0"/>
              <w:rPr>
                <w:sz w:val="24"/>
              </w:rPr>
            </w:pPr>
          </w:p>
          <w:p w14:paraId="5159C526" w14:textId="77777777" w:rsidR="004C7180" w:rsidRPr="00150EDC" w:rsidRDefault="00CF0754">
            <w:pPr>
              <w:pStyle w:val="TableParagraph"/>
              <w:spacing w:before="0"/>
              <w:rPr>
                <w:sz w:val="20"/>
              </w:rPr>
            </w:pPr>
            <w:r w:rsidRPr="00150EDC">
              <w:rPr>
                <w:sz w:val="20"/>
              </w:rPr>
              <w:t>All</w:t>
            </w:r>
            <w:r w:rsidRPr="00150EDC">
              <w:rPr>
                <w:spacing w:val="-5"/>
                <w:sz w:val="20"/>
              </w:rPr>
              <w:t xml:space="preserve"> </w:t>
            </w:r>
            <w:r w:rsidRPr="00150EDC">
              <w:rPr>
                <w:sz w:val="20"/>
              </w:rPr>
              <w:t>offences</w:t>
            </w:r>
            <w:r w:rsidRPr="00150EDC">
              <w:rPr>
                <w:spacing w:val="-7"/>
                <w:sz w:val="20"/>
              </w:rPr>
              <w:t xml:space="preserve"> </w:t>
            </w:r>
            <w:r w:rsidRPr="00150EDC">
              <w:rPr>
                <w:sz w:val="20"/>
              </w:rPr>
              <w:t>contrary</w:t>
            </w:r>
            <w:r w:rsidRPr="00150EDC">
              <w:rPr>
                <w:spacing w:val="-2"/>
                <w:sz w:val="20"/>
              </w:rPr>
              <w:t xml:space="preserve"> </w:t>
            </w:r>
            <w:r w:rsidRPr="00150EDC">
              <w:rPr>
                <w:spacing w:val="-5"/>
                <w:sz w:val="20"/>
              </w:rPr>
              <w:t>to</w:t>
            </w:r>
          </w:p>
        </w:tc>
      </w:tr>
      <w:tr w:rsidR="004569EE" w:rsidRPr="007D3144" w14:paraId="21181C7D" w14:textId="77777777">
        <w:trPr>
          <w:trHeight w:val="510"/>
        </w:trPr>
        <w:tc>
          <w:tcPr>
            <w:tcW w:w="6517" w:type="dxa"/>
          </w:tcPr>
          <w:p w14:paraId="5131A5F8" w14:textId="77777777" w:rsidR="004C7180" w:rsidRPr="00150EDC" w:rsidRDefault="00CF0754">
            <w:pPr>
              <w:pStyle w:val="TableParagraph"/>
              <w:spacing w:before="32" w:line="230" w:lineRule="atLeast"/>
              <w:ind w:right="184"/>
              <w:rPr>
                <w:sz w:val="20"/>
              </w:rPr>
            </w:pPr>
            <w:r w:rsidRPr="00150EDC">
              <w:rPr>
                <w:sz w:val="20"/>
              </w:rPr>
              <w:t>Law</w:t>
            </w:r>
            <w:r w:rsidRPr="00150EDC">
              <w:rPr>
                <w:spacing w:val="-4"/>
                <w:sz w:val="20"/>
              </w:rPr>
              <w:t xml:space="preserve"> </w:t>
            </w:r>
            <w:r w:rsidRPr="00150EDC">
              <w:rPr>
                <w:sz w:val="20"/>
              </w:rPr>
              <w:t>relating</w:t>
            </w:r>
            <w:r w:rsidRPr="00150EDC">
              <w:rPr>
                <w:spacing w:val="-6"/>
                <w:sz w:val="20"/>
              </w:rPr>
              <w:t xml:space="preserve"> </w:t>
            </w:r>
            <w:r w:rsidRPr="00150EDC">
              <w:rPr>
                <w:sz w:val="20"/>
              </w:rPr>
              <w:t>to</w:t>
            </w:r>
            <w:r w:rsidRPr="00150EDC">
              <w:rPr>
                <w:spacing w:val="-6"/>
                <w:sz w:val="20"/>
              </w:rPr>
              <w:t xml:space="preserve"> </w:t>
            </w:r>
            <w:r w:rsidRPr="00150EDC">
              <w:rPr>
                <w:sz w:val="20"/>
              </w:rPr>
              <w:t>the</w:t>
            </w:r>
            <w:r w:rsidRPr="00150EDC">
              <w:rPr>
                <w:spacing w:val="-6"/>
                <w:sz w:val="20"/>
              </w:rPr>
              <w:t xml:space="preserve"> </w:t>
            </w:r>
            <w:r w:rsidRPr="00150EDC">
              <w:rPr>
                <w:sz w:val="20"/>
              </w:rPr>
              <w:t>Protection</w:t>
            </w:r>
            <w:r w:rsidRPr="00150EDC">
              <w:rPr>
                <w:spacing w:val="-6"/>
                <w:sz w:val="20"/>
              </w:rPr>
              <w:t xml:space="preserve"> </w:t>
            </w:r>
            <w:r w:rsidRPr="00150EDC">
              <w:rPr>
                <w:sz w:val="20"/>
              </w:rPr>
              <w:t>of</w:t>
            </w:r>
            <w:r w:rsidRPr="00150EDC">
              <w:rPr>
                <w:spacing w:val="-6"/>
                <w:sz w:val="20"/>
              </w:rPr>
              <w:t xml:space="preserve"> </w:t>
            </w:r>
            <w:r w:rsidRPr="00150EDC">
              <w:rPr>
                <w:sz w:val="20"/>
              </w:rPr>
              <w:t>Children</w:t>
            </w:r>
            <w:r w:rsidRPr="00150EDC">
              <w:rPr>
                <w:spacing w:val="-6"/>
                <w:sz w:val="20"/>
              </w:rPr>
              <w:t xml:space="preserve"> </w:t>
            </w:r>
            <w:r w:rsidRPr="00150EDC">
              <w:rPr>
                <w:sz w:val="20"/>
              </w:rPr>
              <w:t>and</w:t>
            </w:r>
            <w:r w:rsidRPr="00150EDC">
              <w:rPr>
                <w:spacing w:val="-1"/>
                <w:sz w:val="20"/>
              </w:rPr>
              <w:t xml:space="preserve"> </w:t>
            </w:r>
            <w:r w:rsidRPr="00150EDC">
              <w:rPr>
                <w:sz w:val="20"/>
              </w:rPr>
              <w:t>Young</w:t>
            </w:r>
            <w:r w:rsidRPr="00150EDC">
              <w:rPr>
                <w:spacing w:val="-6"/>
                <w:sz w:val="20"/>
              </w:rPr>
              <w:t xml:space="preserve"> </w:t>
            </w:r>
            <w:r w:rsidRPr="00150EDC">
              <w:rPr>
                <w:sz w:val="20"/>
              </w:rPr>
              <w:t>Persons (Guernsey) 1917, Art 51(1)</w:t>
            </w:r>
          </w:p>
        </w:tc>
        <w:tc>
          <w:tcPr>
            <w:tcW w:w="7427" w:type="dxa"/>
          </w:tcPr>
          <w:p w14:paraId="78B8F1A2" w14:textId="77777777" w:rsidR="004C7180" w:rsidRPr="00150EDC" w:rsidRDefault="004C7180">
            <w:pPr>
              <w:pStyle w:val="TableParagraph"/>
              <w:spacing w:before="6" w:line="240" w:lineRule="auto"/>
              <w:ind w:left="0"/>
              <w:rPr>
                <w:sz w:val="24"/>
              </w:rPr>
            </w:pPr>
          </w:p>
          <w:p w14:paraId="6A1ACC2F" w14:textId="77777777" w:rsidR="004C7180" w:rsidRPr="00150EDC" w:rsidRDefault="00CF0754">
            <w:pPr>
              <w:pStyle w:val="TableParagraph"/>
              <w:spacing w:before="1"/>
              <w:rPr>
                <w:sz w:val="20"/>
              </w:rPr>
            </w:pPr>
            <w:r w:rsidRPr="00150EDC">
              <w:rPr>
                <w:sz w:val="20"/>
              </w:rPr>
              <w:t>Abandoning</w:t>
            </w:r>
            <w:r w:rsidRPr="00150EDC">
              <w:rPr>
                <w:spacing w:val="-8"/>
                <w:sz w:val="20"/>
              </w:rPr>
              <w:t xml:space="preserve"> </w:t>
            </w:r>
            <w:r w:rsidRPr="00150EDC">
              <w:rPr>
                <w:sz w:val="20"/>
              </w:rPr>
              <w:t>child</w:t>
            </w:r>
            <w:r w:rsidRPr="00150EDC">
              <w:rPr>
                <w:spacing w:val="-7"/>
                <w:sz w:val="20"/>
              </w:rPr>
              <w:t xml:space="preserve"> </w:t>
            </w:r>
            <w:r w:rsidRPr="00150EDC">
              <w:rPr>
                <w:sz w:val="20"/>
              </w:rPr>
              <w:t>under</w:t>
            </w:r>
            <w:r w:rsidRPr="00150EDC">
              <w:rPr>
                <w:spacing w:val="-3"/>
                <w:sz w:val="20"/>
              </w:rPr>
              <w:t xml:space="preserve"> </w:t>
            </w:r>
            <w:r w:rsidRPr="00150EDC">
              <w:rPr>
                <w:spacing w:val="-10"/>
                <w:sz w:val="20"/>
              </w:rPr>
              <w:t>2</w:t>
            </w:r>
          </w:p>
        </w:tc>
      </w:tr>
      <w:tr w:rsidR="004569EE" w:rsidRPr="007D3144" w14:paraId="56C0CB87" w14:textId="77777777">
        <w:trPr>
          <w:trHeight w:val="510"/>
        </w:trPr>
        <w:tc>
          <w:tcPr>
            <w:tcW w:w="6517" w:type="dxa"/>
          </w:tcPr>
          <w:p w14:paraId="3509B317" w14:textId="77777777" w:rsidR="004C7180" w:rsidRPr="00150EDC" w:rsidRDefault="00CF0754">
            <w:pPr>
              <w:pStyle w:val="TableParagraph"/>
              <w:spacing w:before="32" w:line="230" w:lineRule="atLeast"/>
              <w:ind w:right="184"/>
              <w:rPr>
                <w:sz w:val="20"/>
              </w:rPr>
            </w:pPr>
            <w:r w:rsidRPr="00150EDC">
              <w:rPr>
                <w:sz w:val="20"/>
              </w:rPr>
              <w:t>Law</w:t>
            </w:r>
            <w:r w:rsidRPr="00150EDC">
              <w:rPr>
                <w:spacing w:val="-4"/>
                <w:sz w:val="20"/>
              </w:rPr>
              <w:t xml:space="preserve"> </w:t>
            </w:r>
            <w:r w:rsidRPr="00150EDC">
              <w:rPr>
                <w:sz w:val="20"/>
              </w:rPr>
              <w:t>relating</w:t>
            </w:r>
            <w:r w:rsidRPr="00150EDC">
              <w:rPr>
                <w:spacing w:val="-6"/>
                <w:sz w:val="20"/>
              </w:rPr>
              <w:t xml:space="preserve"> </w:t>
            </w:r>
            <w:r w:rsidRPr="00150EDC">
              <w:rPr>
                <w:sz w:val="20"/>
              </w:rPr>
              <w:t>to</w:t>
            </w:r>
            <w:r w:rsidRPr="00150EDC">
              <w:rPr>
                <w:spacing w:val="-6"/>
                <w:sz w:val="20"/>
              </w:rPr>
              <w:t xml:space="preserve"> </w:t>
            </w:r>
            <w:r w:rsidRPr="00150EDC">
              <w:rPr>
                <w:sz w:val="20"/>
              </w:rPr>
              <w:t>the</w:t>
            </w:r>
            <w:r w:rsidRPr="00150EDC">
              <w:rPr>
                <w:spacing w:val="-6"/>
                <w:sz w:val="20"/>
              </w:rPr>
              <w:t xml:space="preserve"> </w:t>
            </w:r>
            <w:r w:rsidRPr="00150EDC">
              <w:rPr>
                <w:sz w:val="20"/>
              </w:rPr>
              <w:t>Protection</w:t>
            </w:r>
            <w:r w:rsidRPr="00150EDC">
              <w:rPr>
                <w:spacing w:val="-6"/>
                <w:sz w:val="20"/>
              </w:rPr>
              <w:t xml:space="preserve"> </w:t>
            </w:r>
            <w:r w:rsidRPr="00150EDC">
              <w:rPr>
                <w:sz w:val="20"/>
              </w:rPr>
              <w:t>of</w:t>
            </w:r>
            <w:r w:rsidRPr="00150EDC">
              <w:rPr>
                <w:spacing w:val="-6"/>
                <w:sz w:val="20"/>
              </w:rPr>
              <w:t xml:space="preserve"> </w:t>
            </w:r>
            <w:r w:rsidRPr="00150EDC">
              <w:rPr>
                <w:sz w:val="20"/>
              </w:rPr>
              <w:t>Children</w:t>
            </w:r>
            <w:r w:rsidRPr="00150EDC">
              <w:rPr>
                <w:spacing w:val="-6"/>
                <w:sz w:val="20"/>
              </w:rPr>
              <w:t xml:space="preserve"> </w:t>
            </w:r>
            <w:r w:rsidRPr="00150EDC">
              <w:rPr>
                <w:sz w:val="20"/>
              </w:rPr>
              <w:t>and</w:t>
            </w:r>
            <w:r w:rsidRPr="00150EDC">
              <w:rPr>
                <w:spacing w:val="-1"/>
                <w:sz w:val="20"/>
              </w:rPr>
              <w:t xml:space="preserve"> </w:t>
            </w:r>
            <w:r w:rsidRPr="00150EDC">
              <w:rPr>
                <w:sz w:val="20"/>
              </w:rPr>
              <w:t>Young</w:t>
            </w:r>
            <w:r w:rsidRPr="00150EDC">
              <w:rPr>
                <w:spacing w:val="-6"/>
                <w:sz w:val="20"/>
              </w:rPr>
              <w:t xml:space="preserve"> </w:t>
            </w:r>
            <w:r w:rsidRPr="00150EDC">
              <w:rPr>
                <w:sz w:val="20"/>
              </w:rPr>
              <w:t>Persons (Guernsey) 1917, Art 51(2)</w:t>
            </w:r>
          </w:p>
        </w:tc>
        <w:tc>
          <w:tcPr>
            <w:tcW w:w="7427" w:type="dxa"/>
          </w:tcPr>
          <w:p w14:paraId="50283E5D" w14:textId="77777777" w:rsidR="004C7180" w:rsidRPr="00150EDC" w:rsidRDefault="004C7180">
            <w:pPr>
              <w:pStyle w:val="TableParagraph"/>
              <w:spacing w:before="6" w:line="240" w:lineRule="auto"/>
              <w:ind w:left="0"/>
              <w:rPr>
                <w:sz w:val="24"/>
              </w:rPr>
            </w:pPr>
          </w:p>
          <w:p w14:paraId="32ED5ACA" w14:textId="77777777" w:rsidR="004C7180" w:rsidRPr="00150EDC" w:rsidRDefault="00CF0754">
            <w:pPr>
              <w:pStyle w:val="TableParagraph"/>
              <w:spacing w:before="0"/>
              <w:rPr>
                <w:sz w:val="20"/>
              </w:rPr>
            </w:pPr>
            <w:r w:rsidRPr="00150EDC">
              <w:rPr>
                <w:sz w:val="20"/>
              </w:rPr>
              <w:t>Abducting</w:t>
            </w:r>
            <w:r w:rsidRPr="00150EDC">
              <w:rPr>
                <w:spacing w:val="-7"/>
                <w:sz w:val="20"/>
              </w:rPr>
              <w:t xml:space="preserve"> </w:t>
            </w:r>
            <w:r w:rsidRPr="00150EDC">
              <w:rPr>
                <w:sz w:val="20"/>
              </w:rPr>
              <w:t>girl</w:t>
            </w:r>
            <w:r w:rsidRPr="00150EDC">
              <w:rPr>
                <w:spacing w:val="-1"/>
                <w:sz w:val="20"/>
              </w:rPr>
              <w:t xml:space="preserve"> </w:t>
            </w:r>
            <w:r w:rsidRPr="00150EDC">
              <w:rPr>
                <w:sz w:val="20"/>
              </w:rPr>
              <w:t>under</w:t>
            </w:r>
            <w:r w:rsidRPr="00150EDC">
              <w:rPr>
                <w:spacing w:val="-6"/>
                <w:sz w:val="20"/>
              </w:rPr>
              <w:t xml:space="preserve"> </w:t>
            </w:r>
            <w:r w:rsidRPr="00150EDC">
              <w:rPr>
                <w:spacing w:val="-5"/>
                <w:sz w:val="20"/>
              </w:rPr>
              <w:t>16</w:t>
            </w:r>
          </w:p>
        </w:tc>
      </w:tr>
      <w:tr w:rsidR="004569EE" w:rsidRPr="007D3144" w14:paraId="2BCD1D31" w14:textId="77777777">
        <w:trPr>
          <w:trHeight w:val="510"/>
        </w:trPr>
        <w:tc>
          <w:tcPr>
            <w:tcW w:w="6517" w:type="dxa"/>
          </w:tcPr>
          <w:p w14:paraId="3D4CD335" w14:textId="77777777" w:rsidR="004C7180" w:rsidRPr="00150EDC" w:rsidRDefault="00CF0754">
            <w:pPr>
              <w:pStyle w:val="TableParagraph"/>
              <w:spacing w:before="32" w:line="230" w:lineRule="atLeast"/>
              <w:ind w:right="184"/>
              <w:rPr>
                <w:sz w:val="20"/>
              </w:rPr>
            </w:pPr>
            <w:r w:rsidRPr="00150EDC">
              <w:rPr>
                <w:sz w:val="20"/>
              </w:rPr>
              <w:t>Law</w:t>
            </w:r>
            <w:r w:rsidRPr="00150EDC">
              <w:rPr>
                <w:spacing w:val="-4"/>
                <w:sz w:val="20"/>
              </w:rPr>
              <w:t xml:space="preserve"> </w:t>
            </w:r>
            <w:r w:rsidRPr="00150EDC">
              <w:rPr>
                <w:sz w:val="20"/>
              </w:rPr>
              <w:t>relating</w:t>
            </w:r>
            <w:r w:rsidRPr="00150EDC">
              <w:rPr>
                <w:spacing w:val="-6"/>
                <w:sz w:val="20"/>
              </w:rPr>
              <w:t xml:space="preserve"> </w:t>
            </w:r>
            <w:r w:rsidRPr="00150EDC">
              <w:rPr>
                <w:sz w:val="20"/>
              </w:rPr>
              <w:t>to</w:t>
            </w:r>
            <w:r w:rsidRPr="00150EDC">
              <w:rPr>
                <w:spacing w:val="-6"/>
                <w:sz w:val="20"/>
              </w:rPr>
              <w:t xml:space="preserve"> </w:t>
            </w:r>
            <w:r w:rsidRPr="00150EDC">
              <w:rPr>
                <w:sz w:val="20"/>
              </w:rPr>
              <w:t>the</w:t>
            </w:r>
            <w:r w:rsidRPr="00150EDC">
              <w:rPr>
                <w:spacing w:val="-6"/>
                <w:sz w:val="20"/>
              </w:rPr>
              <w:t xml:space="preserve"> </w:t>
            </w:r>
            <w:r w:rsidRPr="00150EDC">
              <w:rPr>
                <w:sz w:val="20"/>
              </w:rPr>
              <w:t>Protection</w:t>
            </w:r>
            <w:r w:rsidRPr="00150EDC">
              <w:rPr>
                <w:spacing w:val="-6"/>
                <w:sz w:val="20"/>
              </w:rPr>
              <w:t xml:space="preserve"> </w:t>
            </w:r>
            <w:r w:rsidRPr="00150EDC">
              <w:rPr>
                <w:sz w:val="20"/>
              </w:rPr>
              <w:t>of</w:t>
            </w:r>
            <w:r w:rsidRPr="00150EDC">
              <w:rPr>
                <w:spacing w:val="-6"/>
                <w:sz w:val="20"/>
              </w:rPr>
              <w:t xml:space="preserve"> </w:t>
            </w:r>
            <w:r w:rsidRPr="00150EDC">
              <w:rPr>
                <w:sz w:val="20"/>
              </w:rPr>
              <w:t>Children</w:t>
            </w:r>
            <w:r w:rsidRPr="00150EDC">
              <w:rPr>
                <w:spacing w:val="-6"/>
                <w:sz w:val="20"/>
              </w:rPr>
              <w:t xml:space="preserve"> </w:t>
            </w:r>
            <w:r w:rsidRPr="00150EDC">
              <w:rPr>
                <w:sz w:val="20"/>
              </w:rPr>
              <w:t>and</w:t>
            </w:r>
            <w:r w:rsidRPr="00150EDC">
              <w:rPr>
                <w:spacing w:val="-1"/>
                <w:sz w:val="20"/>
              </w:rPr>
              <w:t xml:space="preserve"> </w:t>
            </w:r>
            <w:r w:rsidRPr="00150EDC">
              <w:rPr>
                <w:sz w:val="20"/>
              </w:rPr>
              <w:t>Young</w:t>
            </w:r>
            <w:r w:rsidRPr="00150EDC">
              <w:rPr>
                <w:spacing w:val="-6"/>
                <w:sz w:val="20"/>
              </w:rPr>
              <w:t xml:space="preserve"> </w:t>
            </w:r>
            <w:r w:rsidRPr="00150EDC">
              <w:rPr>
                <w:sz w:val="20"/>
              </w:rPr>
              <w:t>Persons (Guernsey) 1917, Art 51(3)</w:t>
            </w:r>
          </w:p>
        </w:tc>
        <w:tc>
          <w:tcPr>
            <w:tcW w:w="7427" w:type="dxa"/>
          </w:tcPr>
          <w:p w14:paraId="474F77F0" w14:textId="77777777" w:rsidR="004C7180" w:rsidRPr="00150EDC" w:rsidRDefault="004C7180">
            <w:pPr>
              <w:pStyle w:val="TableParagraph"/>
              <w:spacing w:before="6" w:line="240" w:lineRule="auto"/>
              <w:ind w:left="0"/>
              <w:rPr>
                <w:sz w:val="24"/>
              </w:rPr>
            </w:pPr>
          </w:p>
          <w:p w14:paraId="4EB90A4D" w14:textId="77777777" w:rsidR="004C7180" w:rsidRPr="00150EDC" w:rsidRDefault="00CF0754">
            <w:pPr>
              <w:pStyle w:val="TableParagraph"/>
              <w:spacing w:before="1"/>
              <w:rPr>
                <w:sz w:val="20"/>
              </w:rPr>
            </w:pPr>
            <w:r w:rsidRPr="00150EDC">
              <w:rPr>
                <w:sz w:val="20"/>
              </w:rPr>
              <w:t>Child</w:t>
            </w:r>
            <w:r w:rsidRPr="00150EDC">
              <w:rPr>
                <w:spacing w:val="-7"/>
                <w:sz w:val="20"/>
              </w:rPr>
              <w:t xml:space="preserve"> </w:t>
            </w:r>
            <w:r w:rsidRPr="00150EDC">
              <w:rPr>
                <w:sz w:val="20"/>
              </w:rPr>
              <w:t>stealing,</w:t>
            </w:r>
            <w:r w:rsidRPr="00150EDC">
              <w:rPr>
                <w:spacing w:val="-2"/>
                <w:sz w:val="20"/>
              </w:rPr>
              <w:t xml:space="preserve"> </w:t>
            </w:r>
            <w:r w:rsidRPr="00150EDC">
              <w:rPr>
                <w:sz w:val="20"/>
              </w:rPr>
              <w:t>receiving</w:t>
            </w:r>
            <w:r w:rsidRPr="00150EDC">
              <w:rPr>
                <w:spacing w:val="-3"/>
                <w:sz w:val="20"/>
              </w:rPr>
              <w:t xml:space="preserve"> </w:t>
            </w:r>
            <w:r w:rsidRPr="00150EDC">
              <w:rPr>
                <w:sz w:val="20"/>
              </w:rPr>
              <w:t>or</w:t>
            </w:r>
            <w:r w:rsidRPr="00150EDC">
              <w:rPr>
                <w:spacing w:val="-6"/>
                <w:sz w:val="20"/>
              </w:rPr>
              <w:t xml:space="preserve"> </w:t>
            </w:r>
            <w:r w:rsidRPr="00150EDC">
              <w:rPr>
                <w:sz w:val="20"/>
              </w:rPr>
              <w:t>harbouring</w:t>
            </w:r>
            <w:r w:rsidRPr="00150EDC">
              <w:rPr>
                <w:spacing w:val="-2"/>
                <w:sz w:val="20"/>
              </w:rPr>
              <w:t xml:space="preserve"> </w:t>
            </w:r>
            <w:r w:rsidRPr="00150EDC">
              <w:rPr>
                <w:sz w:val="20"/>
              </w:rPr>
              <w:t>a</w:t>
            </w:r>
            <w:r w:rsidRPr="00150EDC">
              <w:rPr>
                <w:spacing w:val="-7"/>
                <w:sz w:val="20"/>
              </w:rPr>
              <w:t xml:space="preserve"> </w:t>
            </w:r>
            <w:r w:rsidRPr="00150EDC">
              <w:rPr>
                <w:sz w:val="20"/>
              </w:rPr>
              <w:t>stolen</w:t>
            </w:r>
            <w:r w:rsidRPr="00150EDC">
              <w:rPr>
                <w:spacing w:val="-7"/>
                <w:sz w:val="20"/>
              </w:rPr>
              <w:t xml:space="preserve"> </w:t>
            </w:r>
            <w:r w:rsidRPr="00150EDC">
              <w:rPr>
                <w:spacing w:val="-4"/>
                <w:sz w:val="20"/>
              </w:rPr>
              <w:t>child</w:t>
            </w:r>
          </w:p>
        </w:tc>
      </w:tr>
      <w:tr w:rsidR="004569EE" w:rsidRPr="007D3144" w14:paraId="16161883" w14:textId="77777777">
        <w:trPr>
          <w:trHeight w:val="510"/>
        </w:trPr>
        <w:tc>
          <w:tcPr>
            <w:tcW w:w="6517" w:type="dxa"/>
          </w:tcPr>
          <w:p w14:paraId="76E5A5E2" w14:textId="77777777" w:rsidR="004C7180" w:rsidRPr="00150EDC" w:rsidRDefault="00CF0754">
            <w:pPr>
              <w:pStyle w:val="TableParagraph"/>
              <w:spacing w:before="32" w:line="230" w:lineRule="atLeast"/>
              <w:ind w:right="184"/>
              <w:rPr>
                <w:sz w:val="20"/>
              </w:rPr>
            </w:pPr>
            <w:r w:rsidRPr="00150EDC">
              <w:rPr>
                <w:sz w:val="20"/>
              </w:rPr>
              <w:t>Law</w:t>
            </w:r>
            <w:r w:rsidRPr="00150EDC">
              <w:rPr>
                <w:spacing w:val="-4"/>
                <w:sz w:val="20"/>
              </w:rPr>
              <w:t xml:space="preserve"> </w:t>
            </w:r>
            <w:r w:rsidRPr="00150EDC">
              <w:rPr>
                <w:sz w:val="20"/>
              </w:rPr>
              <w:t>relating</w:t>
            </w:r>
            <w:r w:rsidRPr="00150EDC">
              <w:rPr>
                <w:spacing w:val="-6"/>
                <w:sz w:val="20"/>
              </w:rPr>
              <w:t xml:space="preserve"> </w:t>
            </w:r>
            <w:r w:rsidRPr="00150EDC">
              <w:rPr>
                <w:sz w:val="20"/>
              </w:rPr>
              <w:t>to</w:t>
            </w:r>
            <w:r w:rsidRPr="00150EDC">
              <w:rPr>
                <w:spacing w:val="-6"/>
                <w:sz w:val="20"/>
              </w:rPr>
              <w:t xml:space="preserve"> </w:t>
            </w:r>
            <w:r w:rsidRPr="00150EDC">
              <w:rPr>
                <w:sz w:val="20"/>
              </w:rPr>
              <w:t>the</w:t>
            </w:r>
            <w:r w:rsidRPr="00150EDC">
              <w:rPr>
                <w:spacing w:val="-6"/>
                <w:sz w:val="20"/>
              </w:rPr>
              <w:t xml:space="preserve"> </w:t>
            </w:r>
            <w:r w:rsidRPr="00150EDC">
              <w:rPr>
                <w:sz w:val="20"/>
              </w:rPr>
              <w:t>Protection</w:t>
            </w:r>
            <w:r w:rsidRPr="00150EDC">
              <w:rPr>
                <w:spacing w:val="-6"/>
                <w:sz w:val="20"/>
              </w:rPr>
              <w:t xml:space="preserve"> </w:t>
            </w:r>
            <w:r w:rsidRPr="00150EDC">
              <w:rPr>
                <w:sz w:val="20"/>
              </w:rPr>
              <w:t>of</w:t>
            </w:r>
            <w:r w:rsidRPr="00150EDC">
              <w:rPr>
                <w:spacing w:val="-6"/>
                <w:sz w:val="20"/>
              </w:rPr>
              <w:t xml:space="preserve"> </w:t>
            </w:r>
            <w:r w:rsidRPr="00150EDC">
              <w:rPr>
                <w:sz w:val="20"/>
              </w:rPr>
              <w:t>Children</w:t>
            </w:r>
            <w:r w:rsidRPr="00150EDC">
              <w:rPr>
                <w:spacing w:val="-6"/>
                <w:sz w:val="20"/>
              </w:rPr>
              <w:t xml:space="preserve"> </w:t>
            </w:r>
            <w:r w:rsidRPr="00150EDC">
              <w:rPr>
                <w:sz w:val="20"/>
              </w:rPr>
              <w:t>and</w:t>
            </w:r>
            <w:r w:rsidRPr="00150EDC">
              <w:rPr>
                <w:spacing w:val="-1"/>
                <w:sz w:val="20"/>
              </w:rPr>
              <w:t xml:space="preserve"> </w:t>
            </w:r>
            <w:r w:rsidRPr="00150EDC">
              <w:rPr>
                <w:sz w:val="20"/>
              </w:rPr>
              <w:t>Young</w:t>
            </w:r>
            <w:r w:rsidRPr="00150EDC">
              <w:rPr>
                <w:spacing w:val="-6"/>
                <w:sz w:val="20"/>
              </w:rPr>
              <w:t xml:space="preserve"> </w:t>
            </w:r>
            <w:r w:rsidRPr="00150EDC">
              <w:rPr>
                <w:sz w:val="20"/>
              </w:rPr>
              <w:t>Persons (Guernsey) 1917, Art 51(4)</w:t>
            </w:r>
          </w:p>
        </w:tc>
        <w:tc>
          <w:tcPr>
            <w:tcW w:w="7427" w:type="dxa"/>
          </w:tcPr>
          <w:p w14:paraId="6319BB12" w14:textId="77777777" w:rsidR="004C7180" w:rsidRPr="00150EDC" w:rsidRDefault="004C7180">
            <w:pPr>
              <w:pStyle w:val="TableParagraph"/>
              <w:spacing w:before="6" w:line="240" w:lineRule="auto"/>
              <w:ind w:left="0"/>
              <w:rPr>
                <w:sz w:val="24"/>
              </w:rPr>
            </w:pPr>
          </w:p>
          <w:p w14:paraId="6D2A9800" w14:textId="77777777" w:rsidR="004C7180" w:rsidRPr="00150EDC" w:rsidRDefault="00CF0754">
            <w:pPr>
              <w:pStyle w:val="TableParagraph"/>
              <w:spacing w:before="0"/>
              <w:rPr>
                <w:sz w:val="20"/>
              </w:rPr>
            </w:pPr>
            <w:r w:rsidRPr="00150EDC">
              <w:rPr>
                <w:sz w:val="20"/>
              </w:rPr>
              <w:t>Causing</w:t>
            </w:r>
            <w:r w:rsidRPr="00150EDC">
              <w:rPr>
                <w:spacing w:val="-5"/>
                <w:sz w:val="20"/>
              </w:rPr>
              <w:t xml:space="preserve"> </w:t>
            </w:r>
            <w:r w:rsidRPr="00150EDC">
              <w:rPr>
                <w:sz w:val="20"/>
              </w:rPr>
              <w:t>child</w:t>
            </w:r>
            <w:r w:rsidRPr="00150EDC">
              <w:rPr>
                <w:spacing w:val="-5"/>
                <w:sz w:val="20"/>
              </w:rPr>
              <w:t xml:space="preserve"> </w:t>
            </w:r>
            <w:r w:rsidRPr="00150EDC">
              <w:rPr>
                <w:sz w:val="20"/>
              </w:rPr>
              <w:t>to</w:t>
            </w:r>
            <w:r w:rsidRPr="00150EDC">
              <w:rPr>
                <w:spacing w:val="-5"/>
                <w:sz w:val="20"/>
              </w:rPr>
              <w:t xml:space="preserve"> </w:t>
            </w:r>
            <w:r w:rsidRPr="00150EDC">
              <w:rPr>
                <w:sz w:val="20"/>
              </w:rPr>
              <w:t>take part</w:t>
            </w:r>
            <w:r w:rsidRPr="00150EDC">
              <w:rPr>
                <w:spacing w:val="-5"/>
                <w:sz w:val="20"/>
              </w:rPr>
              <w:t xml:space="preserve"> </w:t>
            </w:r>
            <w:r w:rsidRPr="00150EDC">
              <w:rPr>
                <w:sz w:val="20"/>
              </w:rPr>
              <w:t>in</w:t>
            </w:r>
            <w:r w:rsidRPr="00150EDC">
              <w:rPr>
                <w:spacing w:val="-4"/>
                <w:sz w:val="20"/>
              </w:rPr>
              <w:t xml:space="preserve"> </w:t>
            </w:r>
            <w:r w:rsidRPr="00150EDC">
              <w:rPr>
                <w:sz w:val="20"/>
              </w:rPr>
              <w:t>a</w:t>
            </w:r>
            <w:r w:rsidRPr="00150EDC">
              <w:rPr>
                <w:spacing w:val="-5"/>
                <w:sz w:val="20"/>
              </w:rPr>
              <w:t xml:space="preserve"> </w:t>
            </w:r>
            <w:r w:rsidRPr="00150EDC">
              <w:rPr>
                <w:sz w:val="20"/>
              </w:rPr>
              <w:t>dangerous</w:t>
            </w:r>
            <w:r w:rsidRPr="00150EDC">
              <w:rPr>
                <w:spacing w:val="-4"/>
                <w:sz w:val="20"/>
              </w:rPr>
              <w:t xml:space="preserve"> </w:t>
            </w:r>
            <w:r w:rsidRPr="00150EDC">
              <w:rPr>
                <w:spacing w:val="-2"/>
                <w:sz w:val="20"/>
              </w:rPr>
              <w:t>performance</w:t>
            </w:r>
          </w:p>
        </w:tc>
      </w:tr>
      <w:tr w:rsidR="004569EE" w:rsidRPr="007D3144" w14:paraId="25D14011" w14:textId="77777777">
        <w:trPr>
          <w:trHeight w:val="510"/>
        </w:trPr>
        <w:tc>
          <w:tcPr>
            <w:tcW w:w="6517" w:type="dxa"/>
          </w:tcPr>
          <w:p w14:paraId="68B70B44" w14:textId="77777777" w:rsidR="004C7180" w:rsidRPr="00150EDC" w:rsidRDefault="00CF0754">
            <w:pPr>
              <w:pStyle w:val="TableParagraph"/>
              <w:spacing w:before="32" w:line="230" w:lineRule="atLeast"/>
              <w:ind w:right="184"/>
              <w:rPr>
                <w:sz w:val="20"/>
              </w:rPr>
            </w:pPr>
            <w:r w:rsidRPr="00150EDC">
              <w:rPr>
                <w:sz w:val="20"/>
              </w:rPr>
              <w:t>Law</w:t>
            </w:r>
            <w:r w:rsidRPr="00150EDC">
              <w:rPr>
                <w:spacing w:val="-4"/>
                <w:sz w:val="20"/>
              </w:rPr>
              <w:t xml:space="preserve"> </w:t>
            </w:r>
            <w:r w:rsidRPr="00150EDC">
              <w:rPr>
                <w:sz w:val="20"/>
              </w:rPr>
              <w:t>relating</w:t>
            </w:r>
            <w:r w:rsidRPr="00150EDC">
              <w:rPr>
                <w:spacing w:val="-6"/>
                <w:sz w:val="20"/>
              </w:rPr>
              <w:t xml:space="preserve"> </w:t>
            </w:r>
            <w:r w:rsidRPr="00150EDC">
              <w:rPr>
                <w:sz w:val="20"/>
              </w:rPr>
              <w:t>to</w:t>
            </w:r>
            <w:r w:rsidRPr="00150EDC">
              <w:rPr>
                <w:spacing w:val="-6"/>
                <w:sz w:val="20"/>
              </w:rPr>
              <w:t xml:space="preserve"> </w:t>
            </w:r>
            <w:r w:rsidRPr="00150EDC">
              <w:rPr>
                <w:sz w:val="20"/>
              </w:rPr>
              <w:t>the</w:t>
            </w:r>
            <w:r w:rsidRPr="00150EDC">
              <w:rPr>
                <w:spacing w:val="-6"/>
                <w:sz w:val="20"/>
              </w:rPr>
              <w:t xml:space="preserve"> </w:t>
            </w:r>
            <w:r w:rsidRPr="00150EDC">
              <w:rPr>
                <w:sz w:val="20"/>
              </w:rPr>
              <w:t>Protection</w:t>
            </w:r>
            <w:r w:rsidRPr="00150EDC">
              <w:rPr>
                <w:spacing w:val="-6"/>
                <w:sz w:val="20"/>
              </w:rPr>
              <w:t xml:space="preserve"> </w:t>
            </w:r>
            <w:r w:rsidRPr="00150EDC">
              <w:rPr>
                <w:sz w:val="20"/>
              </w:rPr>
              <w:t>of</w:t>
            </w:r>
            <w:r w:rsidRPr="00150EDC">
              <w:rPr>
                <w:spacing w:val="-6"/>
                <w:sz w:val="20"/>
              </w:rPr>
              <w:t xml:space="preserve"> </w:t>
            </w:r>
            <w:r w:rsidRPr="00150EDC">
              <w:rPr>
                <w:sz w:val="20"/>
              </w:rPr>
              <w:t>Children</w:t>
            </w:r>
            <w:r w:rsidRPr="00150EDC">
              <w:rPr>
                <w:spacing w:val="-6"/>
                <w:sz w:val="20"/>
              </w:rPr>
              <w:t xml:space="preserve"> </w:t>
            </w:r>
            <w:r w:rsidRPr="00150EDC">
              <w:rPr>
                <w:sz w:val="20"/>
              </w:rPr>
              <w:t>and</w:t>
            </w:r>
            <w:r w:rsidRPr="00150EDC">
              <w:rPr>
                <w:spacing w:val="-1"/>
                <w:sz w:val="20"/>
              </w:rPr>
              <w:t xml:space="preserve"> </w:t>
            </w:r>
            <w:r w:rsidRPr="00150EDC">
              <w:rPr>
                <w:sz w:val="20"/>
              </w:rPr>
              <w:t>Young</w:t>
            </w:r>
            <w:r w:rsidRPr="00150EDC">
              <w:rPr>
                <w:spacing w:val="-6"/>
                <w:sz w:val="20"/>
              </w:rPr>
              <w:t xml:space="preserve"> </w:t>
            </w:r>
            <w:r w:rsidRPr="00150EDC">
              <w:rPr>
                <w:sz w:val="20"/>
              </w:rPr>
              <w:t>Persons (Guernsey) 1917, Art 7</w:t>
            </w:r>
          </w:p>
        </w:tc>
        <w:tc>
          <w:tcPr>
            <w:tcW w:w="7427" w:type="dxa"/>
          </w:tcPr>
          <w:p w14:paraId="513819F3" w14:textId="77777777" w:rsidR="004C7180" w:rsidRPr="00150EDC" w:rsidRDefault="004C7180">
            <w:pPr>
              <w:pStyle w:val="TableParagraph"/>
              <w:spacing w:before="6" w:line="240" w:lineRule="auto"/>
              <w:ind w:left="0"/>
              <w:rPr>
                <w:sz w:val="24"/>
              </w:rPr>
            </w:pPr>
          </w:p>
          <w:p w14:paraId="70486ED8" w14:textId="77777777" w:rsidR="004C7180" w:rsidRPr="00150EDC" w:rsidRDefault="00CF0754">
            <w:pPr>
              <w:pStyle w:val="TableParagraph"/>
              <w:spacing w:before="0"/>
              <w:rPr>
                <w:sz w:val="20"/>
              </w:rPr>
            </w:pPr>
            <w:r w:rsidRPr="00150EDC">
              <w:rPr>
                <w:sz w:val="20"/>
              </w:rPr>
              <w:t>Cruelty</w:t>
            </w:r>
            <w:r w:rsidRPr="00150EDC">
              <w:rPr>
                <w:spacing w:val="-4"/>
                <w:sz w:val="20"/>
              </w:rPr>
              <w:t xml:space="preserve"> </w:t>
            </w:r>
            <w:r w:rsidRPr="00150EDC">
              <w:rPr>
                <w:sz w:val="20"/>
              </w:rPr>
              <w:t>to</w:t>
            </w:r>
            <w:r w:rsidRPr="00150EDC">
              <w:rPr>
                <w:spacing w:val="-1"/>
                <w:sz w:val="20"/>
              </w:rPr>
              <w:t xml:space="preserve"> </w:t>
            </w:r>
            <w:r w:rsidRPr="00150EDC">
              <w:rPr>
                <w:sz w:val="20"/>
              </w:rPr>
              <w:t>a</w:t>
            </w:r>
            <w:r w:rsidRPr="00150EDC">
              <w:rPr>
                <w:spacing w:val="-5"/>
                <w:sz w:val="20"/>
              </w:rPr>
              <w:t xml:space="preserve"> </w:t>
            </w:r>
            <w:r w:rsidRPr="00150EDC">
              <w:rPr>
                <w:spacing w:val="-2"/>
                <w:sz w:val="20"/>
              </w:rPr>
              <w:t>child</w:t>
            </w:r>
          </w:p>
        </w:tc>
      </w:tr>
      <w:tr w:rsidR="004569EE" w:rsidRPr="007D3144" w14:paraId="260448A6" w14:textId="77777777">
        <w:trPr>
          <w:trHeight w:val="510"/>
        </w:trPr>
        <w:tc>
          <w:tcPr>
            <w:tcW w:w="6517" w:type="dxa"/>
          </w:tcPr>
          <w:p w14:paraId="67939FB8" w14:textId="77777777" w:rsidR="004C7180" w:rsidRPr="00150EDC" w:rsidRDefault="00CF0754">
            <w:pPr>
              <w:pStyle w:val="TableParagraph"/>
              <w:spacing w:before="33" w:line="230" w:lineRule="atLeast"/>
              <w:ind w:right="184"/>
              <w:rPr>
                <w:sz w:val="20"/>
              </w:rPr>
            </w:pPr>
            <w:r w:rsidRPr="00150EDC">
              <w:rPr>
                <w:sz w:val="20"/>
              </w:rPr>
              <w:t>Law</w:t>
            </w:r>
            <w:r w:rsidRPr="00150EDC">
              <w:rPr>
                <w:spacing w:val="-4"/>
                <w:sz w:val="20"/>
              </w:rPr>
              <w:t xml:space="preserve"> </w:t>
            </w:r>
            <w:r w:rsidRPr="00150EDC">
              <w:rPr>
                <w:sz w:val="20"/>
              </w:rPr>
              <w:t>relating</w:t>
            </w:r>
            <w:r w:rsidRPr="00150EDC">
              <w:rPr>
                <w:spacing w:val="-5"/>
                <w:sz w:val="20"/>
              </w:rPr>
              <w:t xml:space="preserve"> </w:t>
            </w:r>
            <w:r w:rsidRPr="00150EDC">
              <w:rPr>
                <w:sz w:val="20"/>
              </w:rPr>
              <w:t>to</w:t>
            </w:r>
            <w:r w:rsidRPr="00150EDC">
              <w:rPr>
                <w:spacing w:val="-6"/>
                <w:sz w:val="20"/>
              </w:rPr>
              <w:t xml:space="preserve"> </w:t>
            </w:r>
            <w:r w:rsidRPr="00150EDC">
              <w:rPr>
                <w:sz w:val="20"/>
              </w:rPr>
              <w:t>the</w:t>
            </w:r>
            <w:r w:rsidRPr="00150EDC">
              <w:rPr>
                <w:spacing w:val="-6"/>
                <w:sz w:val="20"/>
              </w:rPr>
              <w:t xml:space="preserve"> </w:t>
            </w:r>
            <w:r w:rsidRPr="00150EDC">
              <w:rPr>
                <w:sz w:val="20"/>
              </w:rPr>
              <w:t>Protection</w:t>
            </w:r>
            <w:r w:rsidRPr="00150EDC">
              <w:rPr>
                <w:spacing w:val="-6"/>
                <w:sz w:val="20"/>
              </w:rPr>
              <w:t xml:space="preserve"> </w:t>
            </w:r>
            <w:r w:rsidRPr="00150EDC">
              <w:rPr>
                <w:sz w:val="20"/>
              </w:rPr>
              <w:t>of</w:t>
            </w:r>
            <w:r w:rsidRPr="00150EDC">
              <w:rPr>
                <w:spacing w:val="-6"/>
                <w:sz w:val="20"/>
              </w:rPr>
              <w:t xml:space="preserve"> </w:t>
            </w:r>
            <w:r w:rsidRPr="00150EDC">
              <w:rPr>
                <w:sz w:val="20"/>
              </w:rPr>
              <w:t>Children</w:t>
            </w:r>
            <w:r w:rsidRPr="00150EDC">
              <w:rPr>
                <w:spacing w:val="-6"/>
                <w:sz w:val="20"/>
              </w:rPr>
              <w:t xml:space="preserve"> </w:t>
            </w:r>
            <w:r w:rsidRPr="00150EDC">
              <w:rPr>
                <w:sz w:val="20"/>
              </w:rPr>
              <w:t>and</w:t>
            </w:r>
            <w:r w:rsidRPr="00150EDC">
              <w:rPr>
                <w:spacing w:val="-1"/>
                <w:sz w:val="20"/>
              </w:rPr>
              <w:t xml:space="preserve"> </w:t>
            </w:r>
            <w:r w:rsidRPr="00150EDC">
              <w:rPr>
                <w:sz w:val="20"/>
              </w:rPr>
              <w:t>Young</w:t>
            </w:r>
            <w:r w:rsidRPr="00150EDC">
              <w:rPr>
                <w:spacing w:val="-6"/>
                <w:sz w:val="20"/>
              </w:rPr>
              <w:t xml:space="preserve"> </w:t>
            </w:r>
            <w:r w:rsidRPr="00150EDC">
              <w:rPr>
                <w:sz w:val="20"/>
              </w:rPr>
              <w:t>Persons (Guernsey) 1917, Art 9</w:t>
            </w:r>
          </w:p>
        </w:tc>
        <w:tc>
          <w:tcPr>
            <w:tcW w:w="7427" w:type="dxa"/>
          </w:tcPr>
          <w:p w14:paraId="256343FE" w14:textId="77777777" w:rsidR="004C7180" w:rsidRPr="00150EDC" w:rsidRDefault="004C7180">
            <w:pPr>
              <w:pStyle w:val="TableParagraph"/>
              <w:spacing w:before="7" w:line="240" w:lineRule="auto"/>
              <w:ind w:left="0"/>
              <w:rPr>
                <w:sz w:val="24"/>
              </w:rPr>
            </w:pPr>
          </w:p>
          <w:p w14:paraId="6C341B32" w14:textId="77777777" w:rsidR="004C7180" w:rsidRPr="00150EDC" w:rsidRDefault="00CF0754">
            <w:pPr>
              <w:pStyle w:val="TableParagraph"/>
              <w:spacing w:before="0"/>
              <w:rPr>
                <w:sz w:val="20"/>
              </w:rPr>
            </w:pPr>
            <w:r w:rsidRPr="00150EDC">
              <w:rPr>
                <w:sz w:val="20"/>
              </w:rPr>
              <w:t>All</w:t>
            </w:r>
            <w:r w:rsidRPr="00150EDC">
              <w:rPr>
                <w:spacing w:val="-5"/>
                <w:sz w:val="20"/>
              </w:rPr>
              <w:t xml:space="preserve"> </w:t>
            </w:r>
            <w:r w:rsidRPr="00150EDC">
              <w:rPr>
                <w:sz w:val="20"/>
              </w:rPr>
              <w:t>offence</w:t>
            </w:r>
            <w:r w:rsidRPr="00150EDC">
              <w:rPr>
                <w:spacing w:val="-7"/>
                <w:sz w:val="20"/>
              </w:rPr>
              <w:t xml:space="preserve"> </w:t>
            </w:r>
            <w:r w:rsidRPr="00150EDC">
              <w:rPr>
                <w:sz w:val="20"/>
              </w:rPr>
              <w:t>contrary</w:t>
            </w:r>
            <w:r w:rsidRPr="00150EDC">
              <w:rPr>
                <w:spacing w:val="-1"/>
                <w:sz w:val="20"/>
              </w:rPr>
              <w:t xml:space="preserve"> </w:t>
            </w:r>
            <w:r w:rsidRPr="00150EDC">
              <w:rPr>
                <w:spacing w:val="-5"/>
                <w:sz w:val="20"/>
              </w:rPr>
              <w:t>to</w:t>
            </w:r>
          </w:p>
        </w:tc>
      </w:tr>
      <w:tr w:rsidR="004569EE" w:rsidRPr="007D3144" w14:paraId="4D6671A9" w14:textId="77777777">
        <w:trPr>
          <w:trHeight w:val="255"/>
        </w:trPr>
        <w:tc>
          <w:tcPr>
            <w:tcW w:w="6517" w:type="dxa"/>
          </w:tcPr>
          <w:p w14:paraId="0D63C8F9" w14:textId="77777777" w:rsidR="004C7180" w:rsidRPr="00150EDC" w:rsidRDefault="00CF0754">
            <w:pPr>
              <w:pStyle w:val="TableParagraph"/>
              <w:rPr>
                <w:sz w:val="20"/>
              </w:rPr>
            </w:pPr>
            <w:r w:rsidRPr="00150EDC">
              <w:rPr>
                <w:sz w:val="20"/>
              </w:rPr>
              <w:t>Liquor</w:t>
            </w:r>
            <w:r w:rsidRPr="00150EDC">
              <w:rPr>
                <w:spacing w:val="-7"/>
                <w:sz w:val="20"/>
              </w:rPr>
              <w:t xml:space="preserve"> </w:t>
            </w:r>
            <w:r w:rsidRPr="00150EDC">
              <w:rPr>
                <w:sz w:val="20"/>
              </w:rPr>
              <w:t>Licensing</w:t>
            </w:r>
            <w:r w:rsidRPr="00150EDC">
              <w:rPr>
                <w:spacing w:val="-6"/>
                <w:sz w:val="20"/>
              </w:rPr>
              <w:t xml:space="preserve"> </w:t>
            </w:r>
            <w:r w:rsidRPr="00150EDC">
              <w:rPr>
                <w:sz w:val="20"/>
              </w:rPr>
              <w:t>Ordinance</w:t>
            </w:r>
            <w:r w:rsidRPr="00150EDC">
              <w:rPr>
                <w:spacing w:val="-10"/>
                <w:sz w:val="20"/>
              </w:rPr>
              <w:t xml:space="preserve"> </w:t>
            </w:r>
            <w:r w:rsidRPr="00150EDC">
              <w:rPr>
                <w:sz w:val="20"/>
              </w:rPr>
              <w:t>2006,</w:t>
            </w:r>
            <w:r w:rsidRPr="00150EDC">
              <w:rPr>
                <w:spacing w:val="-10"/>
                <w:sz w:val="20"/>
              </w:rPr>
              <w:t xml:space="preserve"> </w:t>
            </w:r>
            <w:r w:rsidRPr="00150EDC">
              <w:rPr>
                <w:spacing w:val="-2"/>
                <w:sz w:val="20"/>
              </w:rPr>
              <w:t>s31(2)</w:t>
            </w:r>
          </w:p>
        </w:tc>
        <w:tc>
          <w:tcPr>
            <w:tcW w:w="7427" w:type="dxa"/>
          </w:tcPr>
          <w:p w14:paraId="4821A291" w14:textId="77777777" w:rsidR="004C7180" w:rsidRPr="00150EDC" w:rsidRDefault="00CF0754">
            <w:pPr>
              <w:pStyle w:val="TableParagraph"/>
              <w:rPr>
                <w:sz w:val="20"/>
              </w:rPr>
            </w:pPr>
            <w:r w:rsidRPr="00150EDC">
              <w:rPr>
                <w:sz w:val="20"/>
              </w:rPr>
              <w:t>Permitting</w:t>
            </w:r>
            <w:r w:rsidRPr="00150EDC">
              <w:rPr>
                <w:spacing w:val="-6"/>
                <w:sz w:val="20"/>
              </w:rPr>
              <w:t xml:space="preserve"> </w:t>
            </w:r>
            <w:r w:rsidRPr="00150EDC">
              <w:rPr>
                <w:sz w:val="20"/>
              </w:rPr>
              <w:t>licensed</w:t>
            </w:r>
            <w:r w:rsidRPr="00150EDC">
              <w:rPr>
                <w:spacing w:val="-5"/>
                <w:sz w:val="20"/>
              </w:rPr>
              <w:t xml:space="preserve"> </w:t>
            </w:r>
            <w:r w:rsidRPr="00150EDC">
              <w:rPr>
                <w:sz w:val="20"/>
              </w:rPr>
              <w:t>premises to</w:t>
            </w:r>
            <w:r w:rsidRPr="00150EDC">
              <w:rPr>
                <w:spacing w:val="-5"/>
                <w:sz w:val="20"/>
              </w:rPr>
              <w:t xml:space="preserve"> </w:t>
            </w:r>
            <w:r w:rsidRPr="00150EDC">
              <w:rPr>
                <w:sz w:val="20"/>
              </w:rPr>
              <w:t>be</w:t>
            </w:r>
            <w:r w:rsidRPr="00150EDC">
              <w:rPr>
                <w:spacing w:val="-1"/>
                <w:sz w:val="20"/>
              </w:rPr>
              <w:t xml:space="preserve"> </w:t>
            </w:r>
            <w:r w:rsidRPr="00150EDC">
              <w:rPr>
                <w:sz w:val="20"/>
              </w:rPr>
              <w:t>a</w:t>
            </w:r>
            <w:r w:rsidRPr="00150EDC">
              <w:rPr>
                <w:spacing w:val="-5"/>
                <w:sz w:val="20"/>
              </w:rPr>
              <w:t xml:space="preserve"> </w:t>
            </w:r>
            <w:r w:rsidRPr="00150EDC">
              <w:rPr>
                <w:spacing w:val="-2"/>
                <w:sz w:val="20"/>
              </w:rPr>
              <w:t>brothel</w:t>
            </w:r>
          </w:p>
        </w:tc>
      </w:tr>
      <w:tr w:rsidR="004569EE" w:rsidRPr="007D3144" w14:paraId="30D5ACC5" w14:textId="77777777">
        <w:trPr>
          <w:trHeight w:val="255"/>
        </w:trPr>
        <w:tc>
          <w:tcPr>
            <w:tcW w:w="6517" w:type="dxa"/>
          </w:tcPr>
          <w:p w14:paraId="6E234A31" w14:textId="77777777" w:rsidR="004C7180" w:rsidRPr="00150EDC" w:rsidRDefault="00CF0754">
            <w:pPr>
              <w:pStyle w:val="TableParagraph"/>
              <w:rPr>
                <w:sz w:val="20"/>
              </w:rPr>
            </w:pPr>
            <w:r w:rsidRPr="00150EDC">
              <w:rPr>
                <w:sz w:val="20"/>
              </w:rPr>
              <w:t>Malicious</w:t>
            </w:r>
            <w:r w:rsidRPr="00150EDC">
              <w:rPr>
                <w:spacing w:val="-10"/>
                <w:sz w:val="20"/>
              </w:rPr>
              <w:t xml:space="preserve"> </w:t>
            </w:r>
            <w:r w:rsidRPr="00150EDC">
              <w:rPr>
                <w:sz w:val="20"/>
              </w:rPr>
              <w:t>Damage</w:t>
            </w:r>
            <w:r w:rsidRPr="00150EDC">
              <w:rPr>
                <w:spacing w:val="-9"/>
                <w:sz w:val="20"/>
              </w:rPr>
              <w:t xml:space="preserve"> </w:t>
            </w:r>
            <w:r w:rsidRPr="00150EDC">
              <w:rPr>
                <w:sz w:val="20"/>
              </w:rPr>
              <w:t>Act</w:t>
            </w:r>
            <w:r w:rsidRPr="00150EDC">
              <w:rPr>
                <w:spacing w:val="-9"/>
                <w:sz w:val="20"/>
              </w:rPr>
              <w:t xml:space="preserve"> </w:t>
            </w:r>
            <w:r w:rsidRPr="00150EDC">
              <w:rPr>
                <w:sz w:val="20"/>
              </w:rPr>
              <w:t>1861,</w:t>
            </w:r>
            <w:r w:rsidRPr="00150EDC">
              <w:rPr>
                <w:spacing w:val="-9"/>
                <w:sz w:val="20"/>
              </w:rPr>
              <w:t xml:space="preserve"> </w:t>
            </w:r>
            <w:r w:rsidRPr="00150EDC">
              <w:rPr>
                <w:spacing w:val="-5"/>
                <w:sz w:val="20"/>
              </w:rPr>
              <w:t>s10</w:t>
            </w:r>
          </w:p>
        </w:tc>
        <w:tc>
          <w:tcPr>
            <w:tcW w:w="7427" w:type="dxa"/>
          </w:tcPr>
          <w:p w14:paraId="5AE225EC" w14:textId="77777777" w:rsidR="004C7180" w:rsidRPr="00150EDC" w:rsidRDefault="00CF0754">
            <w:pPr>
              <w:pStyle w:val="TableParagraph"/>
              <w:rPr>
                <w:sz w:val="20"/>
              </w:rPr>
            </w:pPr>
            <w:r w:rsidRPr="00150EDC">
              <w:rPr>
                <w:sz w:val="20"/>
              </w:rPr>
              <w:t>Placing</w:t>
            </w:r>
            <w:r w:rsidRPr="00150EDC">
              <w:rPr>
                <w:spacing w:val="-7"/>
                <w:sz w:val="20"/>
              </w:rPr>
              <w:t xml:space="preserve"> </w:t>
            </w:r>
            <w:r w:rsidRPr="00150EDC">
              <w:rPr>
                <w:sz w:val="20"/>
              </w:rPr>
              <w:t>explosives</w:t>
            </w:r>
            <w:r w:rsidRPr="00150EDC">
              <w:rPr>
                <w:spacing w:val="-5"/>
                <w:sz w:val="20"/>
              </w:rPr>
              <w:t xml:space="preserve"> </w:t>
            </w:r>
            <w:r w:rsidRPr="00150EDC">
              <w:rPr>
                <w:sz w:val="20"/>
              </w:rPr>
              <w:t>with</w:t>
            </w:r>
            <w:r w:rsidRPr="00150EDC">
              <w:rPr>
                <w:spacing w:val="-7"/>
                <w:sz w:val="20"/>
              </w:rPr>
              <w:t xml:space="preserve"> </w:t>
            </w:r>
            <w:r w:rsidRPr="00150EDC">
              <w:rPr>
                <w:sz w:val="20"/>
              </w:rPr>
              <w:t>intent</w:t>
            </w:r>
            <w:r w:rsidRPr="00150EDC">
              <w:rPr>
                <w:spacing w:val="-2"/>
                <w:sz w:val="20"/>
              </w:rPr>
              <w:t xml:space="preserve"> </w:t>
            </w:r>
            <w:r w:rsidRPr="00150EDC">
              <w:rPr>
                <w:sz w:val="20"/>
              </w:rPr>
              <w:t>to</w:t>
            </w:r>
            <w:r w:rsidRPr="00150EDC">
              <w:rPr>
                <w:spacing w:val="-5"/>
                <w:sz w:val="20"/>
              </w:rPr>
              <w:t xml:space="preserve"> </w:t>
            </w:r>
            <w:r w:rsidRPr="00150EDC">
              <w:rPr>
                <w:sz w:val="20"/>
              </w:rPr>
              <w:t>damage</w:t>
            </w:r>
            <w:r w:rsidRPr="00150EDC">
              <w:rPr>
                <w:spacing w:val="-2"/>
                <w:sz w:val="20"/>
              </w:rPr>
              <w:t xml:space="preserve"> </w:t>
            </w:r>
            <w:r w:rsidRPr="00150EDC">
              <w:rPr>
                <w:sz w:val="20"/>
              </w:rPr>
              <w:t>building</w:t>
            </w:r>
            <w:r w:rsidRPr="00150EDC">
              <w:rPr>
                <w:spacing w:val="-2"/>
                <w:sz w:val="20"/>
              </w:rPr>
              <w:t xml:space="preserve"> </w:t>
            </w:r>
            <w:r w:rsidRPr="00150EDC">
              <w:rPr>
                <w:sz w:val="20"/>
              </w:rPr>
              <w:t>or</w:t>
            </w:r>
            <w:r w:rsidRPr="00150EDC">
              <w:rPr>
                <w:spacing w:val="-6"/>
                <w:sz w:val="20"/>
              </w:rPr>
              <w:t xml:space="preserve"> </w:t>
            </w:r>
            <w:r w:rsidRPr="00150EDC">
              <w:rPr>
                <w:spacing w:val="-2"/>
                <w:sz w:val="20"/>
              </w:rPr>
              <w:t>contents</w:t>
            </w:r>
          </w:p>
        </w:tc>
      </w:tr>
      <w:tr w:rsidR="004569EE" w:rsidRPr="007D3144" w14:paraId="43E6E9D4" w14:textId="77777777">
        <w:trPr>
          <w:trHeight w:val="255"/>
        </w:trPr>
        <w:tc>
          <w:tcPr>
            <w:tcW w:w="6517" w:type="dxa"/>
          </w:tcPr>
          <w:p w14:paraId="1051D9D6" w14:textId="77777777" w:rsidR="004C7180" w:rsidRPr="00150EDC" w:rsidRDefault="00CF0754">
            <w:pPr>
              <w:pStyle w:val="TableParagraph"/>
              <w:spacing w:before="28"/>
              <w:rPr>
                <w:sz w:val="20"/>
              </w:rPr>
            </w:pPr>
            <w:r w:rsidRPr="00150EDC">
              <w:rPr>
                <w:sz w:val="20"/>
              </w:rPr>
              <w:t>Malicious</w:t>
            </w:r>
            <w:r w:rsidRPr="00150EDC">
              <w:rPr>
                <w:spacing w:val="-7"/>
                <w:sz w:val="20"/>
              </w:rPr>
              <w:t xml:space="preserve"> </w:t>
            </w:r>
            <w:r w:rsidRPr="00150EDC">
              <w:rPr>
                <w:sz w:val="20"/>
              </w:rPr>
              <w:t>Damage</w:t>
            </w:r>
            <w:r w:rsidRPr="00150EDC">
              <w:rPr>
                <w:spacing w:val="-7"/>
                <w:sz w:val="20"/>
              </w:rPr>
              <w:t xml:space="preserve"> </w:t>
            </w:r>
            <w:r w:rsidRPr="00150EDC">
              <w:rPr>
                <w:sz w:val="20"/>
              </w:rPr>
              <w:t>Act</w:t>
            </w:r>
            <w:r w:rsidRPr="00150EDC">
              <w:rPr>
                <w:spacing w:val="-6"/>
                <w:sz w:val="20"/>
              </w:rPr>
              <w:t xml:space="preserve"> </w:t>
            </w:r>
            <w:r w:rsidRPr="00150EDC">
              <w:rPr>
                <w:sz w:val="20"/>
              </w:rPr>
              <w:t>1861,</w:t>
            </w:r>
            <w:r w:rsidRPr="00150EDC">
              <w:rPr>
                <w:spacing w:val="-7"/>
                <w:sz w:val="20"/>
              </w:rPr>
              <w:t xml:space="preserve"> </w:t>
            </w:r>
            <w:r w:rsidRPr="00150EDC">
              <w:rPr>
                <w:sz w:val="20"/>
              </w:rPr>
              <w:t>s1</w:t>
            </w:r>
            <w:r w:rsidRPr="00150EDC">
              <w:rPr>
                <w:spacing w:val="-7"/>
                <w:sz w:val="20"/>
              </w:rPr>
              <w:t xml:space="preserve"> </w:t>
            </w:r>
            <w:r w:rsidRPr="00150EDC">
              <w:rPr>
                <w:sz w:val="20"/>
              </w:rPr>
              <w:t>to</w:t>
            </w:r>
            <w:r w:rsidRPr="00150EDC">
              <w:rPr>
                <w:spacing w:val="-6"/>
                <w:sz w:val="20"/>
              </w:rPr>
              <w:t xml:space="preserve"> </w:t>
            </w:r>
            <w:r w:rsidRPr="00150EDC">
              <w:rPr>
                <w:spacing w:val="-5"/>
                <w:sz w:val="20"/>
              </w:rPr>
              <w:t>s8</w:t>
            </w:r>
          </w:p>
        </w:tc>
        <w:tc>
          <w:tcPr>
            <w:tcW w:w="7427" w:type="dxa"/>
          </w:tcPr>
          <w:p w14:paraId="2F1E992C" w14:textId="77777777" w:rsidR="004C7180" w:rsidRPr="00150EDC" w:rsidRDefault="00CF0754">
            <w:pPr>
              <w:pStyle w:val="TableParagraph"/>
              <w:spacing w:before="28"/>
              <w:rPr>
                <w:sz w:val="20"/>
              </w:rPr>
            </w:pPr>
            <w:r w:rsidRPr="00150EDC">
              <w:rPr>
                <w:sz w:val="20"/>
              </w:rPr>
              <w:t>Arson</w:t>
            </w:r>
            <w:r w:rsidRPr="00150EDC">
              <w:rPr>
                <w:spacing w:val="-8"/>
                <w:sz w:val="20"/>
              </w:rPr>
              <w:t xml:space="preserve"> </w:t>
            </w:r>
            <w:r w:rsidRPr="00150EDC">
              <w:rPr>
                <w:sz w:val="20"/>
              </w:rPr>
              <w:t>and</w:t>
            </w:r>
            <w:r w:rsidRPr="00150EDC">
              <w:rPr>
                <w:spacing w:val="-2"/>
                <w:sz w:val="20"/>
              </w:rPr>
              <w:t xml:space="preserve"> </w:t>
            </w:r>
            <w:r w:rsidRPr="00150EDC">
              <w:rPr>
                <w:sz w:val="20"/>
              </w:rPr>
              <w:t>attempted</w:t>
            </w:r>
            <w:r w:rsidRPr="00150EDC">
              <w:rPr>
                <w:spacing w:val="-2"/>
                <w:sz w:val="20"/>
              </w:rPr>
              <w:t xml:space="preserve"> </w:t>
            </w:r>
            <w:r w:rsidRPr="00150EDC">
              <w:rPr>
                <w:spacing w:val="-4"/>
                <w:sz w:val="20"/>
              </w:rPr>
              <w:t>arson</w:t>
            </w:r>
          </w:p>
        </w:tc>
      </w:tr>
      <w:tr w:rsidR="004569EE" w:rsidRPr="007D3144" w14:paraId="2E90F741" w14:textId="77777777">
        <w:trPr>
          <w:trHeight w:val="255"/>
        </w:trPr>
        <w:tc>
          <w:tcPr>
            <w:tcW w:w="6517" w:type="dxa"/>
          </w:tcPr>
          <w:p w14:paraId="0CA53060" w14:textId="77777777" w:rsidR="004C7180" w:rsidRPr="00150EDC" w:rsidRDefault="00CF0754">
            <w:pPr>
              <w:pStyle w:val="TableParagraph"/>
              <w:rPr>
                <w:sz w:val="20"/>
              </w:rPr>
            </w:pPr>
            <w:r w:rsidRPr="00150EDC">
              <w:rPr>
                <w:sz w:val="20"/>
              </w:rPr>
              <w:t>Malicious</w:t>
            </w:r>
            <w:r w:rsidRPr="00150EDC">
              <w:rPr>
                <w:spacing w:val="-10"/>
                <w:sz w:val="20"/>
              </w:rPr>
              <w:t xml:space="preserve"> </w:t>
            </w:r>
            <w:r w:rsidRPr="00150EDC">
              <w:rPr>
                <w:sz w:val="20"/>
              </w:rPr>
              <w:t>Damage</w:t>
            </w:r>
            <w:r w:rsidRPr="00150EDC">
              <w:rPr>
                <w:spacing w:val="-9"/>
                <w:sz w:val="20"/>
              </w:rPr>
              <w:t xml:space="preserve"> </w:t>
            </w:r>
            <w:r w:rsidRPr="00150EDC">
              <w:rPr>
                <w:sz w:val="20"/>
              </w:rPr>
              <w:t>Act</w:t>
            </w:r>
            <w:r w:rsidRPr="00150EDC">
              <w:rPr>
                <w:spacing w:val="-9"/>
                <w:sz w:val="20"/>
              </w:rPr>
              <w:t xml:space="preserve"> </w:t>
            </w:r>
            <w:r w:rsidRPr="00150EDC">
              <w:rPr>
                <w:sz w:val="20"/>
              </w:rPr>
              <w:t>1861,</w:t>
            </w:r>
            <w:r w:rsidRPr="00150EDC">
              <w:rPr>
                <w:spacing w:val="-9"/>
                <w:sz w:val="20"/>
              </w:rPr>
              <w:t xml:space="preserve"> </w:t>
            </w:r>
            <w:r w:rsidRPr="00150EDC">
              <w:rPr>
                <w:spacing w:val="-5"/>
                <w:sz w:val="20"/>
              </w:rPr>
              <w:t>s47</w:t>
            </w:r>
          </w:p>
        </w:tc>
        <w:tc>
          <w:tcPr>
            <w:tcW w:w="7427" w:type="dxa"/>
          </w:tcPr>
          <w:p w14:paraId="383D9BDB" w14:textId="77777777" w:rsidR="004C7180" w:rsidRPr="00150EDC" w:rsidRDefault="00CF0754">
            <w:pPr>
              <w:pStyle w:val="TableParagraph"/>
              <w:rPr>
                <w:sz w:val="20"/>
              </w:rPr>
            </w:pPr>
            <w:r w:rsidRPr="00150EDC">
              <w:rPr>
                <w:sz w:val="20"/>
              </w:rPr>
              <w:t>Exhibiting</w:t>
            </w:r>
            <w:r w:rsidRPr="00150EDC">
              <w:rPr>
                <w:spacing w:val="-7"/>
                <w:sz w:val="20"/>
              </w:rPr>
              <w:t xml:space="preserve"> </w:t>
            </w:r>
            <w:r w:rsidRPr="00150EDC">
              <w:rPr>
                <w:sz w:val="20"/>
              </w:rPr>
              <w:t>false</w:t>
            </w:r>
            <w:r w:rsidRPr="00150EDC">
              <w:rPr>
                <w:spacing w:val="-7"/>
                <w:sz w:val="20"/>
              </w:rPr>
              <w:t xml:space="preserve"> </w:t>
            </w:r>
            <w:r w:rsidRPr="00150EDC">
              <w:rPr>
                <w:sz w:val="20"/>
              </w:rPr>
              <w:t>signals</w:t>
            </w:r>
            <w:r w:rsidRPr="00150EDC">
              <w:rPr>
                <w:spacing w:val="-5"/>
                <w:sz w:val="20"/>
              </w:rPr>
              <w:t xml:space="preserve"> </w:t>
            </w:r>
            <w:r w:rsidRPr="00150EDC">
              <w:rPr>
                <w:sz w:val="20"/>
              </w:rPr>
              <w:t>to</w:t>
            </w:r>
            <w:r w:rsidRPr="00150EDC">
              <w:rPr>
                <w:spacing w:val="-3"/>
                <w:sz w:val="20"/>
              </w:rPr>
              <w:t xml:space="preserve"> </w:t>
            </w:r>
            <w:r w:rsidRPr="00150EDC">
              <w:rPr>
                <w:sz w:val="20"/>
              </w:rPr>
              <w:t>endanger</w:t>
            </w:r>
            <w:r w:rsidRPr="00150EDC">
              <w:rPr>
                <w:spacing w:val="-6"/>
                <w:sz w:val="20"/>
              </w:rPr>
              <w:t xml:space="preserve"> </w:t>
            </w:r>
            <w:r w:rsidRPr="00150EDC">
              <w:rPr>
                <w:spacing w:val="-2"/>
                <w:sz w:val="20"/>
              </w:rPr>
              <w:t>shipping</w:t>
            </w:r>
          </w:p>
        </w:tc>
      </w:tr>
      <w:tr w:rsidR="004569EE" w:rsidRPr="007D3144" w14:paraId="222EA714" w14:textId="77777777">
        <w:trPr>
          <w:trHeight w:val="255"/>
        </w:trPr>
        <w:tc>
          <w:tcPr>
            <w:tcW w:w="6517" w:type="dxa"/>
          </w:tcPr>
          <w:p w14:paraId="0A6A3229" w14:textId="77777777" w:rsidR="004C7180" w:rsidRPr="00150EDC" w:rsidRDefault="00CF0754">
            <w:pPr>
              <w:pStyle w:val="TableParagraph"/>
              <w:rPr>
                <w:sz w:val="20"/>
              </w:rPr>
            </w:pPr>
            <w:r w:rsidRPr="00150EDC">
              <w:rPr>
                <w:sz w:val="20"/>
              </w:rPr>
              <w:t>Malicious</w:t>
            </w:r>
            <w:r w:rsidRPr="00150EDC">
              <w:rPr>
                <w:spacing w:val="-10"/>
                <w:sz w:val="20"/>
              </w:rPr>
              <w:t xml:space="preserve"> </w:t>
            </w:r>
            <w:r w:rsidRPr="00150EDC">
              <w:rPr>
                <w:sz w:val="20"/>
              </w:rPr>
              <w:t>Damage</w:t>
            </w:r>
            <w:r w:rsidRPr="00150EDC">
              <w:rPr>
                <w:spacing w:val="-9"/>
                <w:sz w:val="20"/>
              </w:rPr>
              <w:t xml:space="preserve"> </w:t>
            </w:r>
            <w:r w:rsidRPr="00150EDC">
              <w:rPr>
                <w:sz w:val="20"/>
              </w:rPr>
              <w:t>Act</w:t>
            </w:r>
            <w:r w:rsidRPr="00150EDC">
              <w:rPr>
                <w:spacing w:val="-9"/>
                <w:sz w:val="20"/>
              </w:rPr>
              <w:t xml:space="preserve"> </w:t>
            </w:r>
            <w:r w:rsidRPr="00150EDC">
              <w:rPr>
                <w:sz w:val="20"/>
              </w:rPr>
              <w:t>1861,</w:t>
            </w:r>
            <w:r w:rsidRPr="00150EDC">
              <w:rPr>
                <w:spacing w:val="-9"/>
                <w:sz w:val="20"/>
              </w:rPr>
              <w:t xml:space="preserve"> </w:t>
            </w:r>
            <w:r w:rsidRPr="00150EDC">
              <w:rPr>
                <w:spacing w:val="-5"/>
                <w:sz w:val="20"/>
              </w:rPr>
              <w:t>s9</w:t>
            </w:r>
          </w:p>
        </w:tc>
        <w:tc>
          <w:tcPr>
            <w:tcW w:w="7427" w:type="dxa"/>
          </w:tcPr>
          <w:p w14:paraId="2713158E" w14:textId="77777777" w:rsidR="004C7180" w:rsidRPr="00150EDC" w:rsidRDefault="00CF0754">
            <w:pPr>
              <w:pStyle w:val="TableParagraph"/>
              <w:rPr>
                <w:sz w:val="20"/>
              </w:rPr>
            </w:pPr>
            <w:r w:rsidRPr="00150EDC">
              <w:rPr>
                <w:sz w:val="20"/>
              </w:rPr>
              <w:t>Causing</w:t>
            </w:r>
            <w:r w:rsidRPr="00150EDC">
              <w:rPr>
                <w:spacing w:val="-9"/>
                <w:sz w:val="20"/>
              </w:rPr>
              <w:t xml:space="preserve"> </w:t>
            </w:r>
            <w:r w:rsidRPr="00150EDC">
              <w:rPr>
                <w:sz w:val="20"/>
              </w:rPr>
              <w:t>explosion</w:t>
            </w:r>
            <w:r w:rsidRPr="00150EDC">
              <w:rPr>
                <w:spacing w:val="-9"/>
                <w:sz w:val="20"/>
              </w:rPr>
              <w:t xml:space="preserve"> </w:t>
            </w:r>
            <w:r w:rsidRPr="00150EDC">
              <w:rPr>
                <w:sz w:val="20"/>
              </w:rPr>
              <w:t>endangering</w:t>
            </w:r>
            <w:r w:rsidRPr="00150EDC">
              <w:rPr>
                <w:spacing w:val="-5"/>
                <w:sz w:val="20"/>
              </w:rPr>
              <w:t xml:space="preserve"> </w:t>
            </w:r>
            <w:r w:rsidRPr="00150EDC">
              <w:rPr>
                <w:spacing w:val="-4"/>
                <w:sz w:val="20"/>
              </w:rPr>
              <w:t>life</w:t>
            </w:r>
          </w:p>
        </w:tc>
      </w:tr>
      <w:tr w:rsidR="004569EE" w:rsidRPr="007D3144" w14:paraId="3104D5B8" w14:textId="77777777">
        <w:trPr>
          <w:trHeight w:val="255"/>
        </w:trPr>
        <w:tc>
          <w:tcPr>
            <w:tcW w:w="6517" w:type="dxa"/>
          </w:tcPr>
          <w:p w14:paraId="72CC7078" w14:textId="77777777" w:rsidR="004C7180" w:rsidRPr="00150EDC" w:rsidRDefault="00CF0754">
            <w:pPr>
              <w:pStyle w:val="TableParagraph"/>
              <w:rPr>
                <w:sz w:val="20"/>
              </w:rPr>
            </w:pPr>
            <w:r w:rsidRPr="00150EDC">
              <w:rPr>
                <w:sz w:val="20"/>
              </w:rPr>
              <w:t>Maritime</w:t>
            </w:r>
            <w:r w:rsidRPr="00150EDC">
              <w:rPr>
                <w:spacing w:val="-12"/>
                <w:sz w:val="20"/>
              </w:rPr>
              <w:t xml:space="preserve"> </w:t>
            </w:r>
            <w:r w:rsidRPr="00150EDC">
              <w:rPr>
                <w:sz w:val="20"/>
              </w:rPr>
              <w:t>Security</w:t>
            </w:r>
            <w:r w:rsidRPr="00150EDC">
              <w:rPr>
                <w:spacing w:val="-10"/>
                <w:sz w:val="20"/>
              </w:rPr>
              <w:t xml:space="preserve"> </w:t>
            </w:r>
            <w:r w:rsidRPr="00150EDC">
              <w:rPr>
                <w:sz w:val="20"/>
              </w:rPr>
              <w:t>Act</w:t>
            </w:r>
            <w:r w:rsidRPr="00150EDC">
              <w:rPr>
                <w:spacing w:val="-12"/>
                <w:sz w:val="20"/>
              </w:rPr>
              <w:t xml:space="preserve"> </w:t>
            </w:r>
            <w:r w:rsidRPr="00150EDC">
              <w:rPr>
                <w:sz w:val="20"/>
              </w:rPr>
              <w:t>1995,</w:t>
            </w:r>
            <w:r w:rsidRPr="00150EDC">
              <w:rPr>
                <w:spacing w:val="-10"/>
                <w:sz w:val="20"/>
              </w:rPr>
              <w:t xml:space="preserve"> </w:t>
            </w:r>
            <w:r w:rsidRPr="00150EDC">
              <w:rPr>
                <w:spacing w:val="-5"/>
                <w:sz w:val="20"/>
              </w:rPr>
              <w:t>s1</w:t>
            </w:r>
          </w:p>
        </w:tc>
        <w:tc>
          <w:tcPr>
            <w:tcW w:w="7427" w:type="dxa"/>
          </w:tcPr>
          <w:p w14:paraId="2803B35E" w14:textId="77777777" w:rsidR="004C7180" w:rsidRPr="00150EDC" w:rsidRDefault="00CF0754">
            <w:pPr>
              <w:pStyle w:val="TableParagraph"/>
              <w:rPr>
                <w:sz w:val="20"/>
              </w:rPr>
            </w:pPr>
            <w:r w:rsidRPr="00150EDC">
              <w:rPr>
                <w:sz w:val="20"/>
              </w:rPr>
              <w:t>Hijacking</w:t>
            </w:r>
            <w:r w:rsidRPr="00150EDC">
              <w:rPr>
                <w:spacing w:val="-8"/>
                <w:sz w:val="20"/>
              </w:rPr>
              <w:t xml:space="preserve"> </w:t>
            </w:r>
            <w:r w:rsidRPr="00150EDC">
              <w:rPr>
                <w:sz w:val="20"/>
              </w:rPr>
              <w:t>of</w:t>
            </w:r>
            <w:r w:rsidRPr="00150EDC">
              <w:rPr>
                <w:spacing w:val="-7"/>
                <w:sz w:val="20"/>
              </w:rPr>
              <w:t xml:space="preserve"> </w:t>
            </w:r>
            <w:r w:rsidRPr="00150EDC">
              <w:rPr>
                <w:spacing w:val="-2"/>
                <w:sz w:val="20"/>
              </w:rPr>
              <w:t>ships</w:t>
            </w:r>
          </w:p>
        </w:tc>
      </w:tr>
      <w:tr w:rsidR="004569EE" w:rsidRPr="007D3144" w14:paraId="62679C83" w14:textId="77777777">
        <w:trPr>
          <w:trHeight w:val="255"/>
        </w:trPr>
        <w:tc>
          <w:tcPr>
            <w:tcW w:w="6517" w:type="dxa"/>
          </w:tcPr>
          <w:p w14:paraId="2187D301" w14:textId="77777777" w:rsidR="004C7180" w:rsidRPr="00150EDC" w:rsidRDefault="00CF0754">
            <w:pPr>
              <w:pStyle w:val="TableParagraph"/>
              <w:rPr>
                <w:sz w:val="20"/>
              </w:rPr>
            </w:pPr>
            <w:r w:rsidRPr="00150EDC">
              <w:rPr>
                <w:sz w:val="20"/>
              </w:rPr>
              <w:t>Maritime</w:t>
            </w:r>
            <w:r w:rsidRPr="00150EDC">
              <w:rPr>
                <w:spacing w:val="-12"/>
                <w:sz w:val="20"/>
              </w:rPr>
              <w:t xml:space="preserve"> </w:t>
            </w:r>
            <w:r w:rsidRPr="00150EDC">
              <w:rPr>
                <w:sz w:val="20"/>
              </w:rPr>
              <w:t>Security</w:t>
            </w:r>
            <w:r w:rsidRPr="00150EDC">
              <w:rPr>
                <w:spacing w:val="-11"/>
                <w:sz w:val="20"/>
              </w:rPr>
              <w:t xml:space="preserve"> </w:t>
            </w:r>
            <w:r w:rsidRPr="00150EDC">
              <w:rPr>
                <w:sz w:val="20"/>
              </w:rPr>
              <w:t>Act</w:t>
            </w:r>
            <w:r w:rsidRPr="00150EDC">
              <w:rPr>
                <w:spacing w:val="-10"/>
                <w:sz w:val="20"/>
              </w:rPr>
              <w:t xml:space="preserve"> </w:t>
            </w:r>
            <w:r w:rsidRPr="00150EDC">
              <w:rPr>
                <w:sz w:val="20"/>
              </w:rPr>
              <w:t>1995,</w:t>
            </w:r>
            <w:r w:rsidRPr="00150EDC">
              <w:rPr>
                <w:spacing w:val="-11"/>
                <w:sz w:val="20"/>
              </w:rPr>
              <w:t xml:space="preserve"> </w:t>
            </w:r>
            <w:r w:rsidRPr="00150EDC">
              <w:rPr>
                <w:spacing w:val="-5"/>
                <w:sz w:val="20"/>
              </w:rPr>
              <w:t>s2</w:t>
            </w:r>
          </w:p>
        </w:tc>
        <w:tc>
          <w:tcPr>
            <w:tcW w:w="7427" w:type="dxa"/>
          </w:tcPr>
          <w:p w14:paraId="72B69B10" w14:textId="77777777" w:rsidR="004C7180" w:rsidRPr="00150EDC" w:rsidRDefault="00CF0754">
            <w:pPr>
              <w:pStyle w:val="TableParagraph"/>
              <w:rPr>
                <w:sz w:val="20"/>
              </w:rPr>
            </w:pPr>
            <w:r w:rsidRPr="00150EDC">
              <w:rPr>
                <w:sz w:val="20"/>
              </w:rPr>
              <w:t>Seizing</w:t>
            </w:r>
            <w:r w:rsidRPr="00150EDC">
              <w:rPr>
                <w:spacing w:val="-6"/>
                <w:sz w:val="20"/>
              </w:rPr>
              <w:t xml:space="preserve"> </w:t>
            </w:r>
            <w:r w:rsidRPr="00150EDC">
              <w:rPr>
                <w:sz w:val="20"/>
              </w:rPr>
              <w:t>or</w:t>
            </w:r>
            <w:r w:rsidRPr="00150EDC">
              <w:rPr>
                <w:spacing w:val="-6"/>
                <w:sz w:val="20"/>
              </w:rPr>
              <w:t xml:space="preserve"> </w:t>
            </w:r>
            <w:r w:rsidRPr="00150EDC">
              <w:rPr>
                <w:sz w:val="20"/>
              </w:rPr>
              <w:t>exercising</w:t>
            </w:r>
            <w:r w:rsidRPr="00150EDC">
              <w:rPr>
                <w:spacing w:val="-6"/>
                <w:sz w:val="20"/>
              </w:rPr>
              <w:t xml:space="preserve"> </w:t>
            </w:r>
            <w:r w:rsidRPr="00150EDC">
              <w:rPr>
                <w:sz w:val="20"/>
              </w:rPr>
              <w:t>control of</w:t>
            </w:r>
            <w:r w:rsidRPr="00150EDC">
              <w:rPr>
                <w:spacing w:val="-5"/>
                <w:sz w:val="20"/>
              </w:rPr>
              <w:t xml:space="preserve"> </w:t>
            </w:r>
            <w:r w:rsidRPr="00150EDC">
              <w:rPr>
                <w:sz w:val="20"/>
              </w:rPr>
              <w:t>fixed</w:t>
            </w:r>
            <w:r w:rsidRPr="00150EDC">
              <w:rPr>
                <w:spacing w:val="-1"/>
                <w:sz w:val="20"/>
              </w:rPr>
              <w:t xml:space="preserve"> </w:t>
            </w:r>
            <w:r w:rsidRPr="00150EDC">
              <w:rPr>
                <w:spacing w:val="-2"/>
                <w:sz w:val="20"/>
              </w:rPr>
              <w:t>platforms</w:t>
            </w:r>
          </w:p>
        </w:tc>
      </w:tr>
      <w:tr w:rsidR="004569EE" w:rsidRPr="007D3144" w14:paraId="7370725F" w14:textId="77777777">
        <w:trPr>
          <w:trHeight w:val="255"/>
        </w:trPr>
        <w:tc>
          <w:tcPr>
            <w:tcW w:w="6517" w:type="dxa"/>
          </w:tcPr>
          <w:p w14:paraId="3BEC366A" w14:textId="77777777" w:rsidR="004C7180" w:rsidRPr="00150EDC" w:rsidRDefault="00CF0754">
            <w:pPr>
              <w:pStyle w:val="TableParagraph"/>
              <w:rPr>
                <w:sz w:val="20"/>
              </w:rPr>
            </w:pPr>
            <w:r w:rsidRPr="00150EDC">
              <w:rPr>
                <w:sz w:val="20"/>
              </w:rPr>
              <w:t>Maritime</w:t>
            </w:r>
            <w:r w:rsidRPr="00150EDC">
              <w:rPr>
                <w:spacing w:val="-12"/>
                <w:sz w:val="20"/>
              </w:rPr>
              <w:t xml:space="preserve"> </w:t>
            </w:r>
            <w:r w:rsidRPr="00150EDC">
              <w:rPr>
                <w:sz w:val="20"/>
              </w:rPr>
              <w:t>Security</w:t>
            </w:r>
            <w:r w:rsidRPr="00150EDC">
              <w:rPr>
                <w:spacing w:val="-11"/>
                <w:sz w:val="20"/>
              </w:rPr>
              <w:t xml:space="preserve"> </w:t>
            </w:r>
            <w:r w:rsidRPr="00150EDC">
              <w:rPr>
                <w:sz w:val="20"/>
              </w:rPr>
              <w:t>Act</w:t>
            </w:r>
            <w:r w:rsidRPr="00150EDC">
              <w:rPr>
                <w:spacing w:val="-10"/>
                <w:sz w:val="20"/>
              </w:rPr>
              <w:t xml:space="preserve"> </w:t>
            </w:r>
            <w:r w:rsidRPr="00150EDC">
              <w:rPr>
                <w:sz w:val="20"/>
              </w:rPr>
              <w:t>1995,</w:t>
            </w:r>
            <w:r w:rsidRPr="00150EDC">
              <w:rPr>
                <w:spacing w:val="-11"/>
                <w:sz w:val="20"/>
              </w:rPr>
              <w:t xml:space="preserve"> </w:t>
            </w:r>
            <w:r w:rsidRPr="00150EDC">
              <w:rPr>
                <w:spacing w:val="-5"/>
                <w:sz w:val="20"/>
              </w:rPr>
              <w:t>s3</w:t>
            </w:r>
          </w:p>
        </w:tc>
        <w:tc>
          <w:tcPr>
            <w:tcW w:w="7427" w:type="dxa"/>
          </w:tcPr>
          <w:p w14:paraId="6FF05EC4" w14:textId="77777777" w:rsidR="004C7180" w:rsidRPr="00150EDC" w:rsidRDefault="00CF0754">
            <w:pPr>
              <w:pStyle w:val="TableParagraph"/>
              <w:rPr>
                <w:sz w:val="20"/>
              </w:rPr>
            </w:pPr>
            <w:r w:rsidRPr="00150EDC">
              <w:rPr>
                <w:sz w:val="20"/>
              </w:rPr>
              <w:t>Destroying</w:t>
            </w:r>
            <w:r w:rsidRPr="00150EDC">
              <w:rPr>
                <w:spacing w:val="-6"/>
                <w:sz w:val="20"/>
              </w:rPr>
              <w:t xml:space="preserve"> </w:t>
            </w:r>
            <w:r w:rsidRPr="00150EDC">
              <w:rPr>
                <w:sz w:val="20"/>
              </w:rPr>
              <w:t>ships</w:t>
            </w:r>
            <w:r w:rsidRPr="00150EDC">
              <w:rPr>
                <w:spacing w:val="-5"/>
                <w:sz w:val="20"/>
              </w:rPr>
              <w:t xml:space="preserve"> </w:t>
            </w:r>
            <w:r w:rsidRPr="00150EDC">
              <w:rPr>
                <w:sz w:val="20"/>
              </w:rPr>
              <w:t>or</w:t>
            </w:r>
            <w:r w:rsidRPr="00150EDC">
              <w:rPr>
                <w:spacing w:val="-2"/>
                <w:sz w:val="20"/>
              </w:rPr>
              <w:t xml:space="preserve"> </w:t>
            </w:r>
            <w:r w:rsidRPr="00150EDC">
              <w:rPr>
                <w:sz w:val="20"/>
              </w:rPr>
              <w:t>fixed</w:t>
            </w:r>
            <w:r w:rsidRPr="00150EDC">
              <w:rPr>
                <w:spacing w:val="-6"/>
                <w:sz w:val="20"/>
              </w:rPr>
              <w:t xml:space="preserve"> </w:t>
            </w:r>
            <w:r w:rsidRPr="00150EDC">
              <w:rPr>
                <w:sz w:val="20"/>
              </w:rPr>
              <w:t>platforms</w:t>
            </w:r>
            <w:r w:rsidRPr="00150EDC">
              <w:rPr>
                <w:spacing w:val="-5"/>
                <w:sz w:val="20"/>
              </w:rPr>
              <w:t xml:space="preserve"> </w:t>
            </w:r>
            <w:r w:rsidRPr="00150EDC">
              <w:rPr>
                <w:sz w:val="20"/>
              </w:rPr>
              <w:t>or</w:t>
            </w:r>
            <w:r w:rsidRPr="00150EDC">
              <w:rPr>
                <w:spacing w:val="-2"/>
                <w:sz w:val="20"/>
              </w:rPr>
              <w:t xml:space="preserve"> </w:t>
            </w:r>
            <w:r w:rsidRPr="00150EDC">
              <w:rPr>
                <w:sz w:val="20"/>
              </w:rPr>
              <w:t>endangering</w:t>
            </w:r>
            <w:r w:rsidRPr="00150EDC">
              <w:rPr>
                <w:spacing w:val="-6"/>
                <w:sz w:val="20"/>
              </w:rPr>
              <w:t xml:space="preserve"> </w:t>
            </w:r>
            <w:r w:rsidRPr="00150EDC">
              <w:rPr>
                <w:sz w:val="20"/>
              </w:rPr>
              <w:t>their</w:t>
            </w:r>
            <w:r w:rsidRPr="00150EDC">
              <w:rPr>
                <w:spacing w:val="-5"/>
                <w:sz w:val="20"/>
              </w:rPr>
              <w:t xml:space="preserve"> </w:t>
            </w:r>
            <w:r w:rsidRPr="00150EDC">
              <w:rPr>
                <w:spacing w:val="-2"/>
                <w:sz w:val="20"/>
              </w:rPr>
              <w:t>safety</w:t>
            </w:r>
          </w:p>
        </w:tc>
      </w:tr>
      <w:tr w:rsidR="004569EE" w:rsidRPr="007D3144" w14:paraId="7CE2CCE3" w14:textId="77777777">
        <w:trPr>
          <w:trHeight w:val="255"/>
        </w:trPr>
        <w:tc>
          <w:tcPr>
            <w:tcW w:w="6517" w:type="dxa"/>
          </w:tcPr>
          <w:p w14:paraId="3BE09961" w14:textId="77777777" w:rsidR="004C7180" w:rsidRPr="00150EDC" w:rsidRDefault="00CF0754">
            <w:pPr>
              <w:pStyle w:val="TableParagraph"/>
              <w:rPr>
                <w:sz w:val="20"/>
              </w:rPr>
            </w:pPr>
            <w:r w:rsidRPr="00150EDC">
              <w:rPr>
                <w:sz w:val="20"/>
              </w:rPr>
              <w:t>Maritime</w:t>
            </w:r>
            <w:r w:rsidRPr="00150EDC">
              <w:rPr>
                <w:spacing w:val="-12"/>
                <w:sz w:val="20"/>
              </w:rPr>
              <w:t xml:space="preserve"> </w:t>
            </w:r>
            <w:r w:rsidRPr="00150EDC">
              <w:rPr>
                <w:sz w:val="20"/>
              </w:rPr>
              <w:t>Security</w:t>
            </w:r>
            <w:r w:rsidRPr="00150EDC">
              <w:rPr>
                <w:spacing w:val="-11"/>
                <w:sz w:val="20"/>
              </w:rPr>
              <w:t xml:space="preserve"> </w:t>
            </w:r>
            <w:r w:rsidRPr="00150EDC">
              <w:rPr>
                <w:sz w:val="20"/>
              </w:rPr>
              <w:t>Act</w:t>
            </w:r>
            <w:r w:rsidRPr="00150EDC">
              <w:rPr>
                <w:spacing w:val="-10"/>
                <w:sz w:val="20"/>
              </w:rPr>
              <w:t xml:space="preserve"> </w:t>
            </w:r>
            <w:r w:rsidRPr="00150EDC">
              <w:rPr>
                <w:sz w:val="20"/>
              </w:rPr>
              <w:t>1995,</w:t>
            </w:r>
            <w:r w:rsidRPr="00150EDC">
              <w:rPr>
                <w:spacing w:val="-11"/>
                <w:sz w:val="20"/>
              </w:rPr>
              <w:t xml:space="preserve"> </w:t>
            </w:r>
            <w:r w:rsidRPr="00150EDC">
              <w:rPr>
                <w:spacing w:val="-5"/>
                <w:sz w:val="20"/>
              </w:rPr>
              <w:t>s4</w:t>
            </w:r>
          </w:p>
        </w:tc>
        <w:tc>
          <w:tcPr>
            <w:tcW w:w="7427" w:type="dxa"/>
          </w:tcPr>
          <w:p w14:paraId="3268E340" w14:textId="77777777" w:rsidR="004C7180" w:rsidRPr="00150EDC" w:rsidRDefault="00CF0754">
            <w:pPr>
              <w:pStyle w:val="TableParagraph"/>
              <w:rPr>
                <w:sz w:val="20"/>
              </w:rPr>
            </w:pPr>
            <w:r w:rsidRPr="00150EDC">
              <w:rPr>
                <w:sz w:val="20"/>
              </w:rPr>
              <w:t>Other</w:t>
            </w:r>
            <w:r w:rsidRPr="00150EDC">
              <w:rPr>
                <w:spacing w:val="-5"/>
                <w:sz w:val="20"/>
              </w:rPr>
              <w:t xml:space="preserve"> </w:t>
            </w:r>
            <w:r w:rsidRPr="00150EDC">
              <w:rPr>
                <w:sz w:val="20"/>
              </w:rPr>
              <w:t>acts</w:t>
            </w:r>
            <w:r w:rsidRPr="00150EDC">
              <w:rPr>
                <w:spacing w:val="-4"/>
                <w:sz w:val="20"/>
              </w:rPr>
              <w:t xml:space="preserve"> </w:t>
            </w:r>
            <w:r w:rsidRPr="00150EDC">
              <w:rPr>
                <w:sz w:val="20"/>
              </w:rPr>
              <w:t>endangering</w:t>
            </w:r>
            <w:r w:rsidRPr="00150EDC">
              <w:rPr>
                <w:spacing w:val="-5"/>
                <w:sz w:val="20"/>
              </w:rPr>
              <w:t xml:space="preserve"> </w:t>
            </w:r>
            <w:r w:rsidRPr="00150EDC">
              <w:rPr>
                <w:sz w:val="20"/>
              </w:rPr>
              <w:t>or</w:t>
            </w:r>
            <w:r w:rsidRPr="00150EDC">
              <w:rPr>
                <w:spacing w:val="-5"/>
                <w:sz w:val="20"/>
              </w:rPr>
              <w:t xml:space="preserve"> </w:t>
            </w:r>
            <w:r w:rsidRPr="00150EDC">
              <w:rPr>
                <w:sz w:val="20"/>
              </w:rPr>
              <w:t>likely</w:t>
            </w:r>
            <w:r w:rsidRPr="00150EDC">
              <w:rPr>
                <w:spacing w:val="-3"/>
                <w:sz w:val="20"/>
              </w:rPr>
              <w:t xml:space="preserve"> </w:t>
            </w:r>
            <w:r w:rsidRPr="00150EDC">
              <w:rPr>
                <w:sz w:val="20"/>
              </w:rPr>
              <w:t>to</w:t>
            </w:r>
            <w:r w:rsidRPr="00150EDC">
              <w:rPr>
                <w:spacing w:val="-1"/>
                <w:sz w:val="20"/>
              </w:rPr>
              <w:t xml:space="preserve"> </w:t>
            </w:r>
            <w:r w:rsidRPr="00150EDC">
              <w:rPr>
                <w:sz w:val="20"/>
              </w:rPr>
              <w:t>endanger</w:t>
            </w:r>
            <w:r w:rsidRPr="00150EDC">
              <w:rPr>
                <w:spacing w:val="-5"/>
                <w:sz w:val="20"/>
              </w:rPr>
              <w:t xml:space="preserve"> </w:t>
            </w:r>
            <w:r w:rsidRPr="00150EDC">
              <w:rPr>
                <w:sz w:val="20"/>
              </w:rPr>
              <w:t>safe</w:t>
            </w:r>
            <w:r w:rsidRPr="00150EDC">
              <w:rPr>
                <w:spacing w:val="-4"/>
                <w:sz w:val="20"/>
              </w:rPr>
              <w:t xml:space="preserve"> </w:t>
            </w:r>
            <w:r w:rsidRPr="00150EDC">
              <w:rPr>
                <w:spacing w:val="-2"/>
                <w:sz w:val="20"/>
              </w:rPr>
              <w:t>navigation</w:t>
            </w:r>
          </w:p>
        </w:tc>
      </w:tr>
      <w:tr w:rsidR="004569EE" w:rsidRPr="007D3144" w14:paraId="3DAFE251" w14:textId="77777777">
        <w:trPr>
          <w:trHeight w:val="255"/>
        </w:trPr>
        <w:tc>
          <w:tcPr>
            <w:tcW w:w="6517" w:type="dxa"/>
          </w:tcPr>
          <w:p w14:paraId="23DB1AFA" w14:textId="77777777" w:rsidR="004C7180" w:rsidRPr="00150EDC" w:rsidRDefault="00CF0754">
            <w:pPr>
              <w:pStyle w:val="TableParagraph"/>
              <w:rPr>
                <w:sz w:val="20"/>
              </w:rPr>
            </w:pPr>
            <w:r w:rsidRPr="00150EDC">
              <w:rPr>
                <w:sz w:val="20"/>
              </w:rPr>
              <w:t>Medical</w:t>
            </w:r>
            <w:r w:rsidRPr="00150EDC">
              <w:rPr>
                <w:spacing w:val="-9"/>
                <w:sz w:val="20"/>
              </w:rPr>
              <w:t xml:space="preserve"> </w:t>
            </w:r>
            <w:r w:rsidRPr="00150EDC">
              <w:rPr>
                <w:sz w:val="20"/>
              </w:rPr>
              <w:t>Act</w:t>
            </w:r>
            <w:r w:rsidRPr="00150EDC">
              <w:rPr>
                <w:spacing w:val="-10"/>
                <w:sz w:val="20"/>
              </w:rPr>
              <w:t xml:space="preserve"> </w:t>
            </w:r>
            <w:r w:rsidRPr="00150EDC">
              <w:rPr>
                <w:sz w:val="20"/>
              </w:rPr>
              <w:t>1956,</w:t>
            </w:r>
            <w:r w:rsidRPr="00150EDC">
              <w:rPr>
                <w:spacing w:val="-10"/>
                <w:sz w:val="20"/>
              </w:rPr>
              <w:t xml:space="preserve"> </w:t>
            </w:r>
            <w:r w:rsidRPr="00150EDC">
              <w:rPr>
                <w:spacing w:val="-5"/>
                <w:sz w:val="20"/>
              </w:rPr>
              <w:t>s31</w:t>
            </w:r>
          </w:p>
        </w:tc>
        <w:tc>
          <w:tcPr>
            <w:tcW w:w="7427" w:type="dxa"/>
          </w:tcPr>
          <w:p w14:paraId="27A69BB3" w14:textId="77777777" w:rsidR="004C7180" w:rsidRPr="00150EDC" w:rsidRDefault="00CF0754">
            <w:pPr>
              <w:pStyle w:val="TableParagraph"/>
              <w:rPr>
                <w:sz w:val="20"/>
              </w:rPr>
            </w:pPr>
            <w:r w:rsidRPr="00150EDC">
              <w:rPr>
                <w:sz w:val="20"/>
              </w:rPr>
              <w:t>Impersonating</w:t>
            </w:r>
            <w:r w:rsidRPr="00150EDC">
              <w:rPr>
                <w:spacing w:val="-5"/>
                <w:sz w:val="20"/>
              </w:rPr>
              <w:t xml:space="preserve"> </w:t>
            </w:r>
            <w:r w:rsidRPr="00150EDC">
              <w:rPr>
                <w:sz w:val="20"/>
              </w:rPr>
              <w:t>a</w:t>
            </w:r>
            <w:r w:rsidRPr="00150EDC">
              <w:rPr>
                <w:spacing w:val="-9"/>
                <w:sz w:val="20"/>
              </w:rPr>
              <w:t xml:space="preserve"> </w:t>
            </w:r>
            <w:r w:rsidRPr="00150EDC">
              <w:rPr>
                <w:spacing w:val="-2"/>
                <w:sz w:val="20"/>
              </w:rPr>
              <w:t>physician</w:t>
            </w:r>
          </w:p>
        </w:tc>
      </w:tr>
      <w:tr w:rsidR="004569EE" w:rsidRPr="007D3144" w14:paraId="22B5C1CB" w14:textId="77777777">
        <w:trPr>
          <w:trHeight w:val="255"/>
        </w:trPr>
        <w:tc>
          <w:tcPr>
            <w:tcW w:w="6517" w:type="dxa"/>
          </w:tcPr>
          <w:p w14:paraId="1F8A116C" w14:textId="77777777" w:rsidR="004C7180" w:rsidRPr="00150EDC" w:rsidRDefault="00CF0754">
            <w:pPr>
              <w:pStyle w:val="TableParagraph"/>
              <w:rPr>
                <w:sz w:val="20"/>
              </w:rPr>
            </w:pPr>
            <w:r w:rsidRPr="00150EDC">
              <w:rPr>
                <w:sz w:val="20"/>
              </w:rPr>
              <w:t>Medicines</w:t>
            </w:r>
            <w:r w:rsidRPr="00150EDC">
              <w:rPr>
                <w:spacing w:val="-12"/>
                <w:sz w:val="20"/>
              </w:rPr>
              <w:t xml:space="preserve"> </w:t>
            </w:r>
            <w:r w:rsidRPr="00150EDC">
              <w:rPr>
                <w:sz w:val="20"/>
              </w:rPr>
              <w:t>Act</w:t>
            </w:r>
            <w:r w:rsidRPr="00150EDC">
              <w:rPr>
                <w:spacing w:val="-11"/>
                <w:sz w:val="20"/>
              </w:rPr>
              <w:t xml:space="preserve"> </w:t>
            </w:r>
            <w:r w:rsidRPr="00150EDC">
              <w:rPr>
                <w:sz w:val="20"/>
              </w:rPr>
              <w:t>1968,</w:t>
            </w:r>
            <w:r w:rsidRPr="00150EDC">
              <w:rPr>
                <w:spacing w:val="-11"/>
                <w:sz w:val="20"/>
              </w:rPr>
              <w:t xml:space="preserve"> </w:t>
            </w:r>
            <w:r w:rsidRPr="00150EDC">
              <w:rPr>
                <w:spacing w:val="-5"/>
                <w:sz w:val="20"/>
              </w:rPr>
              <w:t>s67</w:t>
            </w:r>
          </w:p>
        </w:tc>
        <w:tc>
          <w:tcPr>
            <w:tcW w:w="7427" w:type="dxa"/>
          </w:tcPr>
          <w:p w14:paraId="0ECB2777" w14:textId="77777777" w:rsidR="004C7180" w:rsidRPr="00150EDC" w:rsidRDefault="00CF0754">
            <w:pPr>
              <w:pStyle w:val="TableParagraph"/>
              <w:rPr>
                <w:sz w:val="20"/>
              </w:rPr>
            </w:pPr>
            <w:r w:rsidRPr="00150EDC">
              <w:rPr>
                <w:sz w:val="20"/>
              </w:rPr>
              <w:t>Supplying</w:t>
            </w:r>
            <w:r w:rsidRPr="00150EDC">
              <w:rPr>
                <w:spacing w:val="-6"/>
                <w:sz w:val="20"/>
              </w:rPr>
              <w:t xml:space="preserve"> </w:t>
            </w:r>
            <w:r w:rsidRPr="00150EDC">
              <w:rPr>
                <w:sz w:val="20"/>
              </w:rPr>
              <w:t>a</w:t>
            </w:r>
            <w:r w:rsidRPr="00150EDC">
              <w:rPr>
                <w:spacing w:val="-5"/>
                <w:sz w:val="20"/>
              </w:rPr>
              <w:t xml:space="preserve"> </w:t>
            </w:r>
            <w:r w:rsidRPr="00150EDC">
              <w:rPr>
                <w:sz w:val="20"/>
              </w:rPr>
              <w:t>medicinal</w:t>
            </w:r>
            <w:r w:rsidRPr="00150EDC">
              <w:rPr>
                <w:spacing w:val="-3"/>
                <w:sz w:val="20"/>
              </w:rPr>
              <w:t xml:space="preserve"> </w:t>
            </w:r>
            <w:r w:rsidRPr="00150EDC">
              <w:rPr>
                <w:sz w:val="20"/>
              </w:rPr>
              <w:t>product</w:t>
            </w:r>
            <w:r w:rsidRPr="00150EDC">
              <w:rPr>
                <w:spacing w:val="-4"/>
                <w:sz w:val="20"/>
              </w:rPr>
              <w:t xml:space="preserve"> </w:t>
            </w:r>
            <w:r w:rsidRPr="00150EDC">
              <w:rPr>
                <w:sz w:val="20"/>
              </w:rPr>
              <w:t>without</w:t>
            </w:r>
            <w:r w:rsidRPr="00150EDC">
              <w:rPr>
                <w:spacing w:val="-5"/>
                <w:sz w:val="20"/>
              </w:rPr>
              <w:t xml:space="preserve"> </w:t>
            </w:r>
            <w:r w:rsidRPr="00150EDC">
              <w:rPr>
                <w:spacing w:val="-2"/>
                <w:sz w:val="20"/>
              </w:rPr>
              <w:t>authorisation</w:t>
            </w:r>
          </w:p>
        </w:tc>
      </w:tr>
    </w:tbl>
    <w:p w14:paraId="31D8601D" w14:textId="77777777" w:rsidR="004C7180" w:rsidRPr="00150EDC" w:rsidRDefault="004C7180">
      <w:pPr>
        <w:rPr>
          <w:sz w:val="20"/>
        </w:rPr>
        <w:sectPr w:rsidR="004C7180" w:rsidRPr="00150EDC">
          <w:footerReference w:type="default" r:id="rId136"/>
          <w:pgSz w:w="16840" w:h="11910" w:orient="landscape"/>
          <w:pgMar w:top="1340" w:right="1320" w:bottom="280" w:left="1340" w:header="0" w:footer="0" w:gutter="0"/>
          <w:cols w:space="720"/>
        </w:sectPr>
      </w:pPr>
    </w:p>
    <w:p w14:paraId="54EC0A6E" w14:textId="77777777" w:rsidR="004C7180" w:rsidRPr="00150EDC" w:rsidRDefault="004C7180">
      <w:pPr>
        <w:pStyle w:val="BodyText"/>
        <w:spacing w:before="3"/>
        <w:rPr>
          <w:sz w:val="8"/>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517"/>
        <w:gridCol w:w="7427"/>
      </w:tblGrid>
      <w:tr w:rsidR="004569EE" w:rsidRPr="007D3144" w14:paraId="2DDDA1D5" w14:textId="77777777">
        <w:trPr>
          <w:trHeight w:val="460"/>
        </w:trPr>
        <w:tc>
          <w:tcPr>
            <w:tcW w:w="6517" w:type="dxa"/>
          </w:tcPr>
          <w:p w14:paraId="7E590C40" w14:textId="77777777" w:rsidR="004C7180" w:rsidRPr="00150EDC" w:rsidRDefault="004C7180">
            <w:pPr>
              <w:pStyle w:val="TableParagraph"/>
              <w:spacing w:before="2" w:line="240" w:lineRule="auto"/>
              <w:ind w:left="0"/>
              <w:rPr>
                <w:sz w:val="20"/>
              </w:rPr>
            </w:pPr>
          </w:p>
          <w:p w14:paraId="393801D7" w14:textId="77777777" w:rsidR="004C7180" w:rsidRPr="00150EDC" w:rsidRDefault="00CF0754">
            <w:pPr>
              <w:pStyle w:val="TableParagraph"/>
              <w:spacing w:before="1"/>
              <w:rPr>
                <w:sz w:val="20"/>
              </w:rPr>
            </w:pPr>
            <w:r w:rsidRPr="00150EDC">
              <w:rPr>
                <w:sz w:val="20"/>
              </w:rPr>
              <w:t>Medicines</w:t>
            </w:r>
            <w:r w:rsidRPr="00150EDC">
              <w:rPr>
                <w:spacing w:val="-12"/>
                <w:sz w:val="20"/>
              </w:rPr>
              <w:t xml:space="preserve"> </w:t>
            </w:r>
            <w:r w:rsidRPr="00150EDC">
              <w:rPr>
                <w:sz w:val="20"/>
              </w:rPr>
              <w:t>Act</w:t>
            </w:r>
            <w:r w:rsidRPr="00150EDC">
              <w:rPr>
                <w:spacing w:val="-11"/>
                <w:sz w:val="20"/>
              </w:rPr>
              <w:t xml:space="preserve"> </w:t>
            </w:r>
            <w:r w:rsidRPr="00150EDC">
              <w:rPr>
                <w:sz w:val="20"/>
              </w:rPr>
              <w:t>1968,</w:t>
            </w:r>
            <w:r w:rsidRPr="00150EDC">
              <w:rPr>
                <w:spacing w:val="-11"/>
                <w:sz w:val="20"/>
              </w:rPr>
              <w:t xml:space="preserve"> </w:t>
            </w:r>
            <w:r w:rsidRPr="00150EDC">
              <w:rPr>
                <w:spacing w:val="-2"/>
                <w:sz w:val="20"/>
              </w:rPr>
              <w:t>s67(1A)</w:t>
            </w:r>
          </w:p>
        </w:tc>
        <w:tc>
          <w:tcPr>
            <w:tcW w:w="7427" w:type="dxa"/>
          </w:tcPr>
          <w:p w14:paraId="34AB620F" w14:textId="77777777" w:rsidR="004C7180" w:rsidRPr="00150EDC" w:rsidRDefault="00CF0754">
            <w:pPr>
              <w:pStyle w:val="TableParagraph"/>
              <w:spacing w:before="0" w:line="230" w:lineRule="atLeast"/>
              <w:rPr>
                <w:sz w:val="20"/>
              </w:rPr>
            </w:pPr>
            <w:r w:rsidRPr="00150EDC">
              <w:rPr>
                <w:sz w:val="20"/>
              </w:rPr>
              <w:t>Giving</w:t>
            </w:r>
            <w:r w:rsidRPr="00150EDC">
              <w:rPr>
                <w:spacing w:val="-6"/>
                <w:sz w:val="20"/>
              </w:rPr>
              <w:t xml:space="preserve"> </w:t>
            </w:r>
            <w:r w:rsidRPr="00150EDC">
              <w:rPr>
                <w:sz w:val="20"/>
              </w:rPr>
              <w:t>a</w:t>
            </w:r>
            <w:r w:rsidRPr="00150EDC">
              <w:rPr>
                <w:spacing w:val="-6"/>
                <w:sz w:val="20"/>
              </w:rPr>
              <w:t xml:space="preserve"> </w:t>
            </w:r>
            <w:r w:rsidRPr="00150EDC">
              <w:rPr>
                <w:sz w:val="20"/>
              </w:rPr>
              <w:t>prescription</w:t>
            </w:r>
            <w:r w:rsidRPr="00150EDC">
              <w:rPr>
                <w:spacing w:val="-6"/>
                <w:sz w:val="20"/>
              </w:rPr>
              <w:t xml:space="preserve"> </w:t>
            </w:r>
            <w:r w:rsidRPr="00150EDC">
              <w:rPr>
                <w:sz w:val="20"/>
              </w:rPr>
              <w:t>or</w:t>
            </w:r>
            <w:r w:rsidRPr="00150EDC">
              <w:rPr>
                <w:spacing w:val="-3"/>
                <w:sz w:val="20"/>
              </w:rPr>
              <w:t xml:space="preserve"> </w:t>
            </w:r>
            <w:r w:rsidRPr="00150EDC">
              <w:rPr>
                <w:sz w:val="20"/>
              </w:rPr>
              <w:t>directions</w:t>
            </w:r>
            <w:r w:rsidRPr="00150EDC">
              <w:rPr>
                <w:spacing w:val="-5"/>
                <w:sz w:val="20"/>
              </w:rPr>
              <w:t xml:space="preserve"> </w:t>
            </w:r>
            <w:r w:rsidRPr="00150EDC">
              <w:rPr>
                <w:sz w:val="20"/>
              </w:rPr>
              <w:t>or</w:t>
            </w:r>
            <w:r w:rsidRPr="00150EDC">
              <w:rPr>
                <w:spacing w:val="-3"/>
                <w:sz w:val="20"/>
              </w:rPr>
              <w:t xml:space="preserve"> </w:t>
            </w:r>
            <w:r w:rsidRPr="00150EDC">
              <w:rPr>
                <w:sz w:val="20"/>
              </w:rPr>
              <w:t>administering</w:t>
            </w:r>
            <w:r w:rsidRPr="00150EDC">
              <w:rPr>
                <w:spacing w:val="-2"/>
                <w:sz w:val="20"/>
              </w:rPr>
              <w:t xml:space="preserve"> </w:t>
            </w:r>
            <w:r w:rsidRPr="00150EDC">
              <w:rPr>
                <w:sz w:val="20"/>
              </w:rPr>
              <w:t>a</w:t>
            </w:r>
            <w:r w:rsidRPr="00150EDC">
              <w:rPr>
                <w:spacing w:val="-6"/>
                <w:sz w:val="20"/>
              </w:rPr>
              <w:t xml:space="preserve"> </w:t>
            </w:r>
            <w:r w:rsidRPr="00150EDC">
              <w:rPr>
                <w:sz w:val="20"/>
              </w:rPr>
              <w:t>medical</w:t>
            </w:r>
            <w:r w:rsidRPr="00150EDC">
              <w:rPr>
                <w:spacing w:val="-5"/>
                <w:sz w:val="20"/>
              </w:rPr>
              <w:t xml:space="preserve"> </w:t>
            </w:r>
            <w:r w:rsidRPr="00150EDC">
              <w:rPr>
                <w:sz w:val="20"/>
              </w:rPr>
              <w:t>product</w:t>
            </w:r>
            <w:r w:rsidRPr="00150EDC">
              <w:rPr>
                <w:spacing w:val="-5"/>
                <w:sz w:val="20"/>
              </w:rPr>
              <w:t xml:space="preserve"> </w:t>
            </w:r>
            <w:r w:rsidRPr="00150EDC">
              <w:rPr>
                <w:sz w:val="20"/>
              </w:rPr>
              <w:t>in contravention of the Act</w:t>
            </w:r>
          </w:p>
        </w:tc>
      </w:tr>
      <w:tr w:rsidR="004569EE" w:rsidRPr="007D3144" w14:paraId="2D1C8CCD" w14:textId="77777777">
        <w:trPr>
          <w:trHeight w:val="255"/>
        </w:trPr>
        <w:tc>
          <w:tcPr>
            <w:tcW w:w="6517" w:type="dxa"/>
          </w:tcPr>
          <w:p w14:paraId="2A962DB0" w14:textId="77777777" w:rsidR="004C7180" w:rsidRPr="00150EDC" w:rsidRDefault="00CF0754">
            <w:pPr>
              <w:pStyle w:val="TableParagraph"/>
              <w:rPr>
                <w:sz w:val="20"/>
              </w:rPr>
            </w:pPr>
            <w:r w:rsidRPr="00150EDC">
              <w:rPr>
                <w:sz w:val="20"/>
              </w:rPr>
              <w:t>Mental</w:t>
            </w:r>
            <w:r w:rsidRPr="00150EDC">
              <w:rPr>
                <w:spacing w:val="-8"/>
                <w:sz w:val="20"/>
              </w:rPr>
              <w:t xml:space="preserve"> </w:t>
            </w:r>
            <w:r w:rsidRPr="00150EDC">
              <w:rPr>
                <w:sz w:val="20"/>
              </w:rPr>
              <w:t>Capacity</w:t>
            </w:r>
            <w:r w:rsidRPr="00150EDC">
              <w:rPr>
                <w:spacing w:val="-7"/>
                <w:sz w:val="20"/>
              </w:rPr>
              <w:t xml:space="preserve"> </w:t>
            </w:r>
            <w:r w:rsidRPr="00150EDC">
              <w:rPr>
                <w:sz w:val="20"/>
              </w:rPr>
              <w:t>Act</w:t>
            </w:r>
            <w:r w:rsidRPr="00150EDC">
              <w:rPr>
                <w:spacing w:val="-8"/>
                <w:sz w:val="20"/>
              </w:rPr>
              <w:t xml:space="preserve"> </w:t>
            </w:r>
            <w:r w:rsidRPr="00150EDC">
              <w:rPr>
                <w:sz w:val="20"/>
              </w:rPr>
              <w:t>2005,</w:t>
            </w:r>
            <w:r w:rsidRPr="00150EDC">
              <w:rPr>
                <w:spacing w:val="-8"/>
                <w:sz w:val="20"/>
              </w:rPr>
              <w:t xml:space="preserve"> </w:t>
            </w:r>
            <w:r w:rsidRPr="00150EDC">
              <w:rPr>
                <w:spacing w:val="-5"/>
                <w:sz w:val="20"/>
              </w:rPr>
              <w:t>s44</w:t>
            </w:r>
          </w:p>
        </w:tc>
        <w:tc>
          <w:tcPr>
            <w:tcW w:w="7427" w:type="dxa"/>
          </w:tcPr>
          <w:p w14:paraId="5E639373" w14:textId="77777777" w:rsidR="004C7180" w:rsidRPr="00150EDC" w:rsidRDefault="00CF0754">
            <w:pPr>
              <w:pStyle w:val="TableParagraph"/>
              <w:rPr>
                <w:sz w:val="20"/>
              </w:rPr>
            </w:pPr>
            <w:r w:rsidRPr="00150EDC">
              <w:rPr>
                <w:spacing w:val="-2"/>
                <w:sz w:val="20"/>
              </w:rPr>
              <w:t>Ill-treatenment</w:t>
            </w:r>
            <w:r w:rsidRPr="00150EDC">
              <w:rPr>
                <w:sz w:val="20"/>
              </w:rPr>
              <w:t xml:space="preserve"> </w:t>
            </w:r>
            <w:r w:rsidRPr="00150EDC">
              <w:rPr>
                <w:spacing w:val="-2"/>
                <w:sz w:val="20"/>
              </w:rPr>
              <w:t>or</w:t>
            </w:r>
            <w:r w:rsidRPr="00150EDC">
              <w:rPr>
                <w:spacing w:val="4"/>
                <w:sz w:val="20"/>
              </w:rPr>
              <w:t xml:space="preserve"> </w:t>
            </w:r>
            <w:r w:rsidRPr="00150EDC">
              <w:rPr>
                <w:spacing w:val="-2"/>
                <w:sz w:val="20"/>
              </w:rPr>
              <w:t>neglect</w:t>
            </w:r>
          </w:p>
        </w:tc>
      </w:tr>
      <w:tr w:rsidR="004569EE" w:rsidRPr="007D3144" w14:paraId="352F5565" w14:textId="77777777">
        <w:trPr>
          <w:trHeight w:val="460"/>
        </w:trPr>
        <w:tc>
          <w:tcPr>
            <w:tcW w:w="6517" w:type="dxa"/>
          </w:tcPr>
          <w:p w14:paraId="3B526F23" w14:textId="77777777" w:rsidR="004C7180" w:rsidRPr="00150EDC" w:rsidRDefault="004C7180">
            <w:pPr>
              <w:pStyle w:val="TableParagraph"/>
              <w:spacing w:before="2" w:line="240" w:lineRule="auto"/>
              <w:ind w:left="0"/>
              <w:rPr>
                <w:sz w:val="20"/>
              </w:rPr>
            </w:pPr>
          </w:p>
          <w:p w14:paraId="647E634F" w14:textId="77777777" w:rsidR="004C7180" w:rsidRPr="00150EDC" w:rsidRDefault="00CF0754">
            <w:pPr>
              <w:pStyle w:val="TableParagraph"/>
              <w:spacing w:before="0"/>
              <w:rPr>
                <w:sz w:val="20"/>
              </w:rPr>
            </w:pPr>
            <w:r w:rsidRPr="00150EDC">
              <w:rPr>
                <w:sz w:val="20"/>
              </w:rPr>
              <w:t>Mental</w:t>
            </w:r>
            <w:r w:rsidRPr="00150EDC">
              <w:rPr>
                <w:spacing w:val="-6"/>
                <w:sz w:val="20"/>
              </w:rPr>
              <w:t xml:space="preserve"> </w:t>
            </w:r>
            <w:r w:rsidRPr="00150EDC">
              <w:rPr>
                <w:sz w:val="20"/>
              </w:rPr>
              <w:t>Capacity</w:t>
            </w:r>
            <w:r w:rsidRPr="00150EDC">
              <w:rPr>
                <w:spacing w:val="-6"/>
                <w:sz w:val="20"/>
              </w:rPr>
              <w:t xml:space="preserve"> </w:t>
            </w:r>
            <w:r w:rsidRPr="00150EDC">
              <w:rPr>
                <w:sz w:val="20"/>
              </w:rPr>
              <w:t>Act</w:t>
            </w:r>
            <w:r w:rsidRPr="00150EDC">
              <w:rPr>
                <w:spacing w:val="-6"/>
                <w:sz w:val="20"/>
              </w:rPr>
              <w:t xml:space="preserve"> </w:t>
            </w:r>
            <w:r w:rsidRPr="00150EDC">
              <w:rPr>
                <w:sz w:val="20"/>
              </w:rPr>
              <w:t>2005,</w:t>
            </w:r>
            <w:r w:rsidRPr="00150EDC">
              <w:rPr>
                <w:spacing w:val="-7"/>
                <w:sz w:val="20"/>
              </w:rPr>
              <w:t xml:space="preserve"> </w:t>
            </w:r>
            <w:r w:rsidRPr="00150EDC">
              <w:rPr>
                <w:sz w:val="20"/>
              </w:rPr>
              <w:t>schedule</w:t>
            </w:r>
            <w:r w:rsidRPr="00150EDC">
              <w:rPr>
                <w:spacing w:val="-3"/>
                <w:sz w:val="20"/>
              </w:rPr>
              <w:t xml:space="preserve"> </w:t>
            </w:r>
            <w:r w:rsidRPr="00150EDC">
              <w:rPr>
                <w:sz w:val="20"/>
              </w:rPr>
              <w:t>1,</w:t>
            </w:r>
            <w:r w:rsidRPr="00150EDC">
              <w:rPr>
                <w:spacing w:val="-7"/>
                <w:sz w:val="20"/>
              </w:rPr>
              <w:t xml:space="preserve"> </w:t>
            </w:r>
            <w:r w:rsidRPr="00150EDC">
              <w:rPr>
                <w:sz w:val="20"/>
              </w:rPr>
              <w:t>para</w:t>
            </w:r>
            <w:r w:rsidRPr="00150EDC">
              <w:rPr>
                <w:spacing w:val="-7"/>
                <w:sz w:val="20"/>
              </w:rPr>
              <w:t xml:space="preserve"> </w:t>
            </w:r>
            <w:r w:rsidRPr="00150EDC">
              <w:rPr>
                <w:spacing w:val="-10"/>
                <w:sz w:val="20"/>
              </w:rPr>
              <w:t>4</w:t>
            </w:r>
          </w:p>
        </w:tc>
        <w:tc>
          <w:tcPr>
            <w:tcW w:w="7427" w:type="dxa"/>
          </w:tcPr>
          <w:p w14:paraId="5FB4C67B" w14:textId="77777777" w:rsidR="004C7180" w:rsidRPr="00150EDC" w:rsidRDefault="00CF0754">
            <w:pPr>
              <w:pStyle w:val="TableParagraph"/>
              <w:spacing w:before="0" w:line="230" w:lineRule="atLeast"/>
              <w:ind w:right="186"/>
              <w:rPr>
                <w:sz w:val="20"/>
              </w:rPr>
            </w:pPr>
            <w:r w:rsidRPr="00150EDC">
              <w:rPr>
                <w:sz w:val="20"/>
              </w:rPr>
              <w:t>Making</w:t>
            </w:r>
            <w:r w:rsidRPr="00150EDC">
              <w:rPr>
                <w:spacing w:val="-6"/>
                <w:sz w:val="20"/>
              </w:rPr>
              <w:t xml:space="preserve"> </w:t>
            </w:r>
            <w:r w:rsidRPr="00150EDC">
              <w:rPr>
                <w:sz w:val="20"/>
              </w:rPr>
              <w:t>false</w:t>
            </w:r>
            <w:r w:rsidRPr="00150EDC">
              <w:rPr>
                <w:spacing w:val="-6"/>
                <w:sz w:val="20"/>
              </w:rPr>
              <w:t xml:space="preserve"> </w:t>
            </w:r>
            <w:r w:rsidRPr="00150EDC">
              <w:rPr>
                <w:sz w:val="20"/>
              </w:rPr>
              <w:t>statements</w:t>
            </w:r>
            <w:r w:rsidRPr="00150EDC">
              <w:rPr>
                <w:spacing w:val="-2"/>
                <w:sz w:val="20"/>
              </w:rPr>
              <w:t xml:space="preserve"> </w:t>
            </w:r>
            <w:r w:rsidRPr="00150EDC">
              <w:rPr>
                <w:sz w:val="20"/>
              </w:rPr>
              <w:t>regarding</w:t>
            </w:r>
            <w:r w:rsidRPr="00150EDC">
              <w:rPr>
                <w:spacing w:val="-2"/>
                <w:sz w:val="20"/>
              </w:rPr>
              <w:t xml:space="preserve"> </w:t>
            </w:r>
            <w:r w:rsidRPr="00150EDC">
              <w:rPr>
                <w:sz w:val="20"/>
              </w:rPr>
              <w:t>the</w:t>
            </w:r>
            <w:r w:rsidRPr="00150EDC">
              <w:rPr>
                <w:spacing w:val="-2"/>
                <w:sz w:val="20"/>
              </w:rPr>
              <w:t xml:space="preserve"> </w:t>
            </w:r>
            <w:r w:rsidRPr="00150EDC">
              <w:rPr>
                <w:sz w:val="20"/>
              </w:rPr>
              <w:t>registration</w:t>
            </w:r>
            <w:r w:rsidRPr="00150EDC">
              <w:rPr>
                <w:spacing w:val="-6"/>
                <w:sz w:val="20"/>
              </w:rPr>
              <w:t xml:space="preserve"> </w:t>
            </w:r>
            <w:r w:rsidRPr="00150EDC">
              <w:rPr>
                <w:sz w:val="20"/>
              </w:rPr>
              <w:t>of</w:t>
            </w:r>
            <w:r w:rsidRPr="00150EDC">
              <w:rPr>
                <w:spacing w:val="-6"/>
                <w:sz w:val="20"/>
              </w:rPr>
              <w:t xml:space="preserve"> </w:t>
            </w:r>
            <w:r w:rsidRPr="00150EDC">
              <w:rPr>
                <w:sz w:val="20"/>
              </w:rPr>
              <w:t>an</w:t>
            </w:r>
            <w:r w:rsidRPr="00150EDC">
              <w:rPr>
                <w:spacing w:val="-6"/>
                <w:sz w:val="20"/>
              </w:rPr>
              <w:t xml:space="preserve"> </w:t>
            </w:r>
            <w:r w:rsidRPr="00150EDC">
              <w:rPr>
                <w:sz w:val="20"/>
              </w:rPr>
              <w:t>instrument</w:t>
            </w:r>
            <w:r w:rsidRPr="00150EDC">
              <w:rPr>
                <w:spacing w:val="-3"/>
                <w:sz w:val="20"/>
              </w:rPr>
              <w:t xml:space="preserve"> </w:t>
            </w:r>
            <w:r w:rsidRPr="00150EDC">
              <w:rPr>
                <w:sz w:val="20"/>
              </w:rPr>
              <w:t>-</w:t>
            </w:r>
            <w:r w:rsidRPr="00150EDC">
              <w:rPr>
                <w:spacing w:val="-7"/>
                <w:sz w:val="20"/>
              </w:rPr>
              <w:t xml:space="preserve"> </w:t>
            </w:r>
            <w:r w:rsidRPr="00150EDC">
              <w:rPr>
                <w:sz w:val="20"/>
              </w:rPr>
              <w:t>lasting power of attorney</w:t>
            </w:r>
          </w:p>
        </w:tc>
      </w:tr>
      <w:tr w:rsidR="004569EE" w:rsidRPr="007D3144" w14:paraId="596D37FE" w14:textId="77777777">
        <w:trPr>
          <w:trHeight w:val="460"/>
        </w:trPr>
        <w:tc>
          <w:tcPr>
            <w:tcW w:w="6517" w:type="dxa"/>
          </w:tcPr>
          <w:p w14:paraId="73EBCF11" w14:textId="77777777" w:rsidR="004C7180" w:rsidRPr="00150EDC" w:rsidRDefault="004C7180">
            <w:pPr>
              <w:pStyle w:val="TableParagraph"/>
              <w:spacing w:before="3" w:line="240" w:lineRule="auto"/>
              <w:ind w:left="0"/>
              <w:rPr>
                <w:sz w:val="20"/>
              </w:rPr>
            </w:pPr>
          </w:p>
          <w:p w14:paraId="3873B50A" w14:textId="77777777" w:rsidR="004C7180" w:rsidRPr="00150EDC" w:rsidRDefault="00CF0754">
            <w:pPr>
              <w:pStyle w:val="TableParagraph"/>
              <w:spacing w:before="0"/>
              <w:rPr>
                <w:sz w:val="20"/>
              </w:rPr>
            </w:pPr>
            <w:r w:rsidRPr="00150EDC">
              <w:rPr>
                <w:sz w:val="20"/>
              </w:rPr>
              <w:t>Mental</w:t>
            </w:r>
            <w:r w:rsidRPr="00150EDC">
              <w:rPr>
                <w:spacing w:val="-6"/>
                <w:sz w:val="20"/>
              </w:rPr>
              <w:t xml:space="preserve"> </w:t>
            </w:r>
            <w:r w:rsidRPr="00150EDC">
              <w:rPr>
                <w:sz w:val="20"/>
              </w:rPr>
              <w:t>Capacity</w:t>
            </w:r>
            <w:r w:rsidRPr="00150EDC">
              <w:rPr>
                <w:spacing w:val="-6"/>
                <w:sz w:val="20"/>
              </w:rPr>
              <w:t xml:space="preserve"> </w:t>
            </w:r>
            <w:r w:rsidRPr="00150EDC">
              <w:rPr>
                <w:sz w:val="20"/>
              </w:rPr>
              <w:t>Act</w:t>
            </w:r>
            <w:r w:rsidRPr="00150EDC">
              <w:rPr>
                <w:spacing w:val="-6"/>
                <w:sz w:val="20"/>
              </w:rPr>
              <w:t xml:space="preserve"> </w:t>
            </w:r>
            <w:r w:rsidRPr="00150EDC">
              <w:rPr>
                <w:sz w:val="20"/>
              </w:rPr>
              <w:t>2005,</w:t>
            </w:r>
            <w:r w:rsidRPr="00150EDC">
              <w:rPr>
                <w:spacing w:val="-7"/>
                <w:sz w:val="20"/>
              </w:rPr>
              <w:t xml:space="preserve"> </w:t>
            </w:r>
            <w:r w:rsidRPr="00150EDC">
              <w:rPr>
                <w:sz w:val="20"/>
              </w:rPr>
              <w:t>schedule</w:t>
            </w:r>
            <w:r w:rsidRPr="00150EDC">
              <w:rPr>
                <w:spacing w:val="-3"/>
                <w:sz w:val="20"/>
              </w:rPr>
              <w:t xml:space="preserve"> </w:t>
            </w:r>
            <w:r w:rsidRPr="00150EDC">
              <w:rPr>
                <w:sz w:val="20"/>
              </w:rPr>
              <w:t>4,</w:t>
            </w:r>
            <w:r w:rsidRPr="00150EDC">
              <w:rPr>
                <w:spacing w:val="-7"/>
                <w:sz w:val="20"/>
              </w:rPr>
              <w:t xml:space="preserve"> </w:t>
            </w:r>
            <w:r w:rsidRPr="00150EDC">
              <w:rPr>
                <w:sz w:val="20"/>
              </w:rPr>
              <w:t>para</w:t>
            </w:r>
            <w:r w:rsidRPr="00150EDC">
              <w:rPr>
                <w:spacing w:val="-7"/>
                <w:sz w:val="20"/>
              </w:rPr>
              <w:t xml:space="preserve"> </w:t>
            </w:r>
            <w:r w:rsidRPr="00150EDC">
              <w:rPr>
                <w:spacing w:val="-10"/>
                <w:sz w:val="20"/>
              </w:rPr>
              <w:t>4</w:t>
            </w:r>
          </w:p>
        </w:tc>
        <w:tc>
          <w:tcPr>
            <w:tcW w:w="7427" w:type="dxa"/>
          </w:tcPr>
          <w:p w14:paraId="49F50FD5" w14:textId="77777777" w:rsidR="004C7180" w:rsidRPr="00150EDC" w:rsidRDefault="00CF0754">
            <w:pPr>
              <w:pStyle w:val="TableParagraph"/>
              <w:spacing w:before="0" w:line="230" w:lineRule="atLeast"/>
              <w:ind w:right="186"/>
              <w:rPr>
                <w:sz w:val="20"/>
              </w:rPr>
            </w:pPr>
            <w:r w:rsidRPr="00150EDC">
              <w:rPr>
                <w:sz w:val="20"/>
              </w:rPr>
              <w:t>Making</w:t>
            </w:r>
            <w:r w:rsidRPr="00150EDC">
              <w:rPr>
                <w:spacing w:val="-6"/>
                <w:sz w:val="20"/>
              </w:rPr>
              <w:t xml:space="preserve"> </w:t>
            </w:r>
            <w:r w:rsidRPr="00150EDC">
              <w:rPr>
                <w:sz w:val="20"/>
              </w:rPr>
              <w:t>false</w:t>
            </w:r>
            <w:r w:rsidRPr="00150EDC">
              <w:rPr>
                <w:spacing w:val="-6"/>
                <w:sz w:val="20"/>
              </w:rPr>
              <w:t xml:space="preserve"> </w:t>
            </w:r>
            <w:r w:rsidRPr="00150EDC">
              <w:rPr>
                <w:sz w:val="20"/>
              </w:rPr>
              <w:t>statements</w:t>
            </w:r>
            <w:r w:rsidRPr="00150EDC">
              <w:rPr>
                <w:spacing w:val="-2"/>
                <w:sz w:val="20"/>
              </w:rPr>
              <w:t xml:space="preserve"> </w:t>
            </w:r>
            <w:r w:rsidRPr="00150EDC">
              <w:rPr>
                <w:sz w:val="20"/>
              </w:rPr>
              <w:t>regarding</w:t>
            </w:r>
            <w:r w:rsidRPr="00150EDC">
              <w:rPr>
                <w:spacing w:val="-2"/>
                <w:sz w:val="20"/>
              </w:rPr>
              <w:t xml:space="preserve"> </w:t>
            </w:r>
            <w:r w:rsidRPr="00150EDC">
              <w:rPr>
                <w:sz w:val="20"/>
              </w:rPr>
              <w:t>the</w:t>
            </w:r>
            <w:r w:rsidRPr="00150EDC">
              <w:rPr>
                <w:spacing w:val="-2"/>
                <w:sz w:val="20"/>
              </w:rPr>
              <w:t xml:space="preserve"> </w:t>
            </w:r>
            <w:r w:rsidRPr="00150EDC">
              <w:rPr>
                <w:sz w:val="20"/>
              </w:rPr>
              <w:t>registration</w:t>
            </w:r>
            <w:r w:rsidRPr="00150EDC">
              <w:rPr>
                <w:spacing w:val="-6"/>
                <w:sz w:val="20"/>
              </w:rPr>
              <w:t xml:space="preserve"> </w:t>
            </w:r>
            <w:r w:rsidRPr="00150EDC">
              <w:rPr>
                <w:sz w:val="20"/>
              </w:rPr>
              <w:t>of</w:t>
            </w:r>
            <w:r w:rsidRPr="00150EDC">
              <w:rPr>
                <w:spacing w:val="-6"/>
                <w:sz w:val="20"/>
              </w:rPr>
              <w:t xml:space="preserve"> </w:t>
            </w:r>
            <w:r w:rsidRPr="00150EDC">
              <w:rPr>
                <w:sz w:val="20"/>
              </w:rPr>
              <w:t>an</w:t>
            </w:r>
            <w:r w:rsidRPr="00150EDC">
              <w:rPr>
                <w:spacing w:val="-6"/>
                <w:sz w:val="20"/>
              </w:rPr>
              <w:t xml:space="preserve"> </w:t>
            </w:r>
            <w:r w:rsidRPr="00150EDC">
              <w:rPr>
                <w:sz w:val="20"/>
              </w:rPr>
              <w:t>instrument</w:t>
            </w:r>
            <w:r w:rsidRPr="00150EDC">
              <w:rPr>
                <w:spacing w:val="-3"/>
                <w:sz w:val="20"/>
              </w:rPr>
              <w:t xml:space="preserve"> </w:t>
            </w:r>
            <w:r w:rsidRPr="00150EDC">
              <w:rPr>
                <w:sz w:val="20"/>
              </w:rPr>
              <w:t>-</w:t>
            </w:r>
            <w:r w:rsidRPr="00150EDC">
              <w:rPr>
                <w:spacing w:val="-7"/>
                <w:sz w:val="20"/>
              </w:rPr>
              <w:t xml:space="preserve"> </w:t>
            </w:r>
            <w:r w:rsidRPr="00150EDC">
              <w:rPr>
                <w:sz w:val="20"/>
              </w:rPr>
              <w:t>lasting power of attorney</w:t>
            </w:r>
          </w:p>
        </w:tc>
      </w:tr>
      <w:tr w:rsidR="004569EE" w:rsidRPr="007D3144" w14:paraId="557E2416" w14:textId="77777777">
        <w:trPr>
          <w:trHeight w:val="255"/>
        </w:trPr>
        <w:tc>
          <w:tcPr>
            <w:tcW w:w="6517" w:type="dxa"/>
          </w:tcPr>
          <w:p w14:paraId="4E09EE67" w14:textId="77777777" w:rsidR="004C7180" w:rsidRPr="00150EDC" w:rsidRDefault="00CF0754">
            <w:pPr>
              <w:pStyle w:val="TableParagraph"/>
              <w:rPr>
                <w:sz w:val="20"/>
              </w:rPr>
            </w:pPr>
            <w:r w:rsidRPr="00150EDC">
              <w:rPr>
                <w:sz w:val="20"/>
              </w:rPr>
              <w:t>Mental</w:t>
            </w:r>
            <w:r w:rsidRPr="00150EDC">
              <w:rPr>
                <w:spacing w:val="-7"/>
                <w:sz w:val="20"/>
              </w:rPr>
              <w:t xml:space="preserve"> </w:t>
            </w:r>
            <w:r w:rsidRPr="00150EDC">
              <w:rPr>
                <w:sz w:val="20"/>
              </w:rPr>
              <w:t>Deficiency</w:t>
            </w:r>
            <w:r w:rsidRPr="00150EDC">
              <w:rPr>
                <w:spacing w:val="-8"/>
                <w:sz w:val="20"/>
              </w:rPr>
              <w:t xml:space="preserve"> </w:t>
            </w:r>
            <w:r w:rsidRPr="00150EDC">
              <w:rPr>
                <w:sz w:val="20"/>
              </w:rPr>
              <w:t>And</w:t>
            </w:r>
            <w:r w:rsidRPr="00150EDC">
              <w:rPr>
                <w:spacing w:val="-8"/>
                <w:sz w:val="20"/>
              </w:rPr>
              <w:t xml:space="preserve"> </w:t>
            </w:r>
            <w:r w:rsidRPr="00150EDC">
              <w:rPr>
                <w:sz w:val="20"/>
              </w:rPr>
              <w:t>Lunacy</w:t>
            </w:r>
            <w:r w:rsidRPr="00150EDC">
              <w:rPr>
                <w:spacing w:val="-3"/>
                <w:sz w:val="20"/>
              </w:rPr>
              <w:t xml:space="preserve"> </w:t>
            </w:r>
            <w:r w:rsidRPr="00150EDC">
              <w:rPr>
                <w:sz w:val="20"/>
              </w:rPr>
              <w:t>(Scotland)</w:t>
            </w:r>
            <w:r w:rsidRPr="00150EDC">
              <w:rPr>
                <w:spacing w:val="-4"/>
                <w:sz w:val="20"/>
              </w:rPr>
              <w:t xml:space="preserve"> </w:t>
            </w:r>
            <w:r w:rsidRPr="00150EDC">
              <w:rPr>
                <w:sz w:val="20"/>
              </w:rPr>
              <w:t>Act</w:t>
            </w:r>
            <w:r w:rsidRPr="00150EDC">
              <w:rPr>
                <w:spacing w:val="-7"/>
                <w:sz w:val="20"/>
              </w:rPr>
              <w:t xml:space="preserve"> </w:t>
            </w:r>
            <w:r w:rsidRPr="00150EDC">
              <w:rPr>
                <w:sz w:val="20"/>
              </w:rPr>
              <w:t>1913,</w:t>
            </w:r>
            <w:r w:rsidRPr="00150EDC">
              <w:rPr>
                <w:spacing w:val="-8"/>
                <w:sz w:val="20"/>
              </w:rPr>
              <w:t xml:space="preserve"> </w:t>
            </w:r>
            <w:r w:rsidRPr="00150EDC">
              <w:rPr>
                <w:spacing w:val="-5"/>
                <w:sz w:val="20"/>
              </w:rPr>
              <w:t>s46</w:t>
            </w:r>
          </w:p>
        </w:tc>
        <w:tc>
          <w:tcPr>
            <w:tcW w:w="7427" w:type="dxa"/>
          </w:tcPr>
          <w:p w14:paraId="6E0BCB2B"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6"/>
                <w:sz w:val="20"/>
              </w:rPr>
              <w:t xml:space="preserve"> </w:t>
            </w:r>
            <w:r w:rsidRPr="00150EDC">
              <w:rPr>
                <w:sz w:val="20"/>
              </w:rPr>
              <w:t>against</w:t>
            </w:r>
            <w:r w:rsidRPr="00150EDC">
              <w:rPr>
                <w:spacing w:val="-5"/>
                <w:sz w:val="20"/>
              </w:rPr>
              <w:t xml:space="preserve"> </w:t>
            </w:r>
            <w:r w:rsidRPr="00150EDC">
              <w:rPr>
                <w:spacing w:val="-2"/>
                <w:sz w:val="20"/>
              </w:rPr>
              <w:t>defectives</w:t>
            </w:r>
          </w:p>
        </w:tc>
      </w:tr>
      <w:tr w:rsidR="004569EE" w:rsidRPr="007D3144" w14:paraId="774B2F23" w14:textId="77777777">
        <w:trPr>
          <w:trHeight w:val="255"/>
        </w:trPr>
        <w:tc>
          <w:tcPr>
            <w:tcW w:w="6517" w:type="dxa"/>
          </w:tcPr>
          <w:p w14:paraId="633B3662" w14:textId="77777777" w:rsidR="004C7180" w:rsidRPr="00150EDC" w:rsidRDefault="00CF0754">
            <w:pPr>
              <w:pStyle w:val="TableParagraph"/>
              <w:rPr>
                <w:sz w:val="20"/>
              </w:rPr>
            </w:pPr>
            <w:r w:rsidRPr="00150EDC">
              <w:rPr>
                <w:sz w:val="20"/>
              </w:rPr>
              <w:t>Mental</w:t>
            </w:r>
            <w:r w:rsidRPr="00150EDC">
              <w:rPr>
                <w:spacing w:val="-7"/>
                <w:sz w:val="20"/>
              </w:rPr>
              <w:t xml:space="preserve"> </w:t>
            </w:r>
            <w:r w:rsidRPr="00150EDC">
              <w:rPr>
                <w:sz w:val="20"/>
              </w:rPr>
              <w:t>Health</w:t>
            </w:r>
            <w:r w:rsidRPr="00150EDC">
              <w:rPr>
                <w:spacing w:val="-7"/>
                <w:sz w:val="20"/>
              </w:rPr>
              <w:t xml:space="preserve"> </w:t>
            </w:r>
            <w:r w:rsidRPr="00150EDC">
              <w:rPr>
                <w:sz w:val="20"/>
              </w:rPr>
              <w:t>(Care</w:t>
            </w:r>
            <w:r w:rsidRPr="00150EDC">
              <w:rPr>
                <w:spacing w:val="-8"/>
                <w:sz w:val="20"/>
              </w:rPr>
              <w:t xml:space="preserve"> </w:t>
            </w:r>
            <w:r w:rsidRPr="00150EDC">
              <w:rPr>
                <w:sz w:val="20"/>
              </w:rPr>
              <w:t>and</w:t>
            </w:r>
            <w:r w:rsidRPr="00150EDC">
              <w:rPr>
                <w:spacing w:val="-6"/>
                <w:sz w:val="20"/>
              </w:rPr>
              <w:t xml:space="preserve"> </w:t>
            </w:r>
            <w:r w:rsidRPr="00150EDC">
              <w:rPr>
                <w:sz w:val="20"/>
              </w:rPr>
              <w:t>Treatment)(Scotland)</w:t>
            </w:r>
            <w:r w:rsidRPr="00150EDC">
              <w:rPr>
                <w:spacing w:val="-8"/>
                <w:sz w:val="20"/>
              </w:rPr>
              <w:t xml:space="preserve"> </w:t>
            </w:r>
            <w:r w:rsidRPr="00150EDC">
              <w:rPr>
                <w:sz w:val="20"/>
              </w:rPr>
              <w:t>Act</w:t>
            </w:r>
            <w:r w:rsidRPr="00150EDC">
              <w:rPr>
                <w:spacing w:val="-6"/>
                <w:sz w:val="20"/>
              </w:rPr>
              <w:t xml:space="preserve"> </w:t>
            </w:r>
            <w:r w:rsidRPr="00150EDC">
              <w:rPr>
                <w:sz w:val="20"/>
              </w:rPr>
              <w:t>2003,</w:t>
            </w:r>
            <w:r w:rsidRPr="00150EDC">
              <w:rPr>
                <w:spacing w:val="-3"/>
                <w:sz w:val="20"/>
              </w:rPr>
              <w:t xml:space="preserve"> </w:t>
            </w:r>
            <w:r w:rsidRPr="00150EDC">
              <w:rPr>
                <w:spacing w:val="-4"/>
                <w:sz w:val="20"/>
              </w:rPr>
              <w:t>s311</w:t>
            </w:r>
          </w:p>
        </w:tc>
        <w:tc>
          <w:tcPr>
            <w:tcW w:w="7427" w:type="dxa"/>
          </w:tcPr>
          <w:p w14:paraId="71A237FF" w14:textId="77777777" w:rsidR="004C7180" w:rsidRPr="00150EDC" w:rsidRDefault="00CF0754">
            <w:pPr>
              <w:pStyle w:val="TableParagraph"/>
              <w:rPr>
                <w:sz w:val="20"/>
              </w:rPr>
            </w:pPr>
            <w:r w:rsidRPr="00150EDC">
              <w:rPr>
                <w:sz w:val="20"/>
              </w:rPr>
              <w:t>Non-consensual</w:t>
            </w:r>
            <w:r w:rsidRPr="00150EDC">
              <w:rPr>
                <w:spacing w:val="-11"/>
                <w:sz w:val="20"/>
              </w:rPr>
              <w:t xml:space="preserve"> </w:t>
            </w:r>
            <w:r w:rsidRPr="00150EDC">
              <w:rPr>
                <w:sz w:val="20"/>
              </w:rPr>
              <w:t>sexual</w:t>
            </w:r>
            <w:r w:rsidRPr="00150EDC">
              <w:rPr>
                <w:spacing w:val="-10"/>
                <w:sz w:val="20"/>
              </w:rPr>
              <w:t xml:space="preserve"> </w:t>
            </w:r>
            <w:r w:rsidRPr="00150EDC">
              <w:rPr>
                <w:spacing w:val="-4"/>
                <w:sz w:val="20"/>
              </w:rPr>
              <w:t>acts</w:t>
            </w:r>
          </w:p>
        </w:tc>
      </w:tr>
      <w:tr w:rsidR="004569EE" w:rsidRPr="007D3144" w14:paraId="09582F44" w14:textId="77777777">
        <w:trPr>
          <w:trHeight w:val="255"/>
        </w:trPr>
        <w:tc>
          <w:tcPr>
            <w:tcW w:w="6517" w:type="dxa"/>
          </w:tcPr>
          <w:p w14:paraId="1A5C5B83" w14:textId="77777777" w:rsidR="004C7180" w:rsidRPr="00150EDC" w:rsidRDefault="00CF0754">
            <w:pPr>
              <w:pStyle w:val="TableParagraph"/>
              <w:rPr>
                <w:sz w:val="20"/>
              </w:rPr>
            </w:pPr>
            <w:r w:rsidRPr="00150EDC">
              <w:rPr>
                <w:sz w:val="20"/>
              </w:rPr>
              <w:t>Mental</w:t>
            </w:r>
            <w:r w:rsidRPr="00150EDC">
              <w:rPr>
                <w:spacing w:val="-7"/>
                <w:sz w:val="20"/>
              </w:rPr>
              <w:t xml:space="preserve"> </w:t>
            </w:r>
            <w:r w:rsidRPr="00150EDC">
              <w:rPr>
                <w:sz w:val="20"/>
              </w:rPr>
              <w:t>Health</w:t>
            </w:r>
            <w:r w:rsidRPr="00150EDC">
              <w:rPr>
                <w:spacing w:val="-7"/>
                <w:sz w:val="20"/>
              </w:rPr>
              <w:t xml:space="preserve"> </w:t>
            </w:r>
            <w:r w:rsidRPr="00150EDC">
              <w:rPr>
                <w:sz w:val="20"/>
              </w:rPr>
              <w:t>(Care</w:t>
            </w:r>
            <w:r w:rsidRPr="00150EDC">
              <w:rPr>
                <w:spacing w:val="-8"/>
                <w:sz w:val="20"/>
              </w:rPr>
              <w:t xml:space="preserve"> </w:t>
            </w:r>
            <w:r w:rsidRPr="00150EDC">
              <w:rPr>
                <w:sz w:val="20"/>
              </w:rPr>
              <w:t>and</w:t>
            </w:r>
            <w:r w:rsidRPr="00150EDC">
              <w:rPr>
                <w:spacing w:val="-7"/>
                <w:sz w:val="20"/>
              </w:rPr>
              <w:t xml:space="preserve"> </w:t>
            </w:r>
            <w:r w:rsidRPr="00150EDC">
              <w:rPr>
                <w:sz w:val="20"/>
              </w:rPr>
              <w:t>Treatment)(Scotland)</w:t>
            </w:r>
            <w:r w:rsidRPr="00150EDC">
              <w:rPr>
                <w:spacing w:val="-8"/>
                <w:sz w:val="20"/>
              </w:rPr>
              <w:t xml:space="preserve"> </w:t>
            </w:r>
            <w:r w:rsidRPr="00150EDC">
              <w:rPr>
                <w:sz w:val="20"/>
              </w:rPr>
              <w:t>Act</w:t>
            </w:r>
            <w:r w:rsidRPr="00150EDC">
              <w:rPr>
                <w:spacing w:val="-6"/>
                <w:sz w:val="20"/>
              </w:rPr>
              <w:t xml:space="preserve"> </w:t>
            </w:r>
            <w:r w:rsidRPr="00150EDC">
              <w:rPr>
                <w:sz w:val="20"/>
              </w:rPr>
              <w:t>2003,</w:t>
            </w:r>
            <w:r w:rsidRPr="00150EDC">
              <w:rPr>
                <w:spacing w:val="-3"/>
                <w:sz w:val="20"/>
              </w:rPr>
              <w:t xml:space="preserve"> </w:t>
            </w:r>
            <w:r w:rsidRPr="00150EDC">
              <w:rPr>
                <w:spacing w:val="-4"/>
                <w:sz w:val="20"/>
              </w:rPr>
              <w:t>s313</w:t>
            </w:r>
          </w:p>
        </w:tc>
        <w:tc>
          <w:tcPr>
            <w:tcW w:w="7427" w:type="dxa"/>
          </w:tcPr>
          <w:p w14:paraId="642F6590" w14:textId="77777777" w:rsidR="004C7180" w:rsidRPr="00150EDC" w:rsidRDefault="00CF0754">
            <w:pPr>
              <w:pStyle w:val="TableParagraph"/>
              <w:rPr>
                <w:sz w:val="20"/>
              </w:rPr>
            </w:pPr>
            <w:r w:rsidRPr="00150EDC">
              <w:rPr>
                <w:sz w:val="20"/>
              </w:rPr>
              <w:t>Persons</w:t>
            </w:r>
            <w:r w:rsidRPr="00150EDC">
              <w:rPr>
                <w:spacing w:val="-6"/>
                <w:sz w:val="20"/>
              </w:rPr>
              <w:t xml:space="preserve"> </w:t>
            </w:r>
            <w:r w:rsidRPr="00150EDC">
              <w:rPr>
                <w:sz w:val="20"/>
              </w:rPr>
              <w:t>providing</w:t>
            </w:r>
            <w:r w:rsidRPr="00150EDC">
              <w:rPr>
                <w:spacing w:val="-6"/>
                <w:sz w:val="20"/>
              </w:rPr>
              <w:t xml:space="preserve"> </w:t>
            </w:r>
            <w:r w:rsidRPr="00150EDC">
              <w:rPr>
                <w:sz w:val="20"/>
              </w:rPr>
              <w:t>care</w:t>
            </w:r>
            <w:r w:rsidRPr="00150EDC">
              <w:rPr>
                <w:spacing w:val="-6"/>
                <w:sz w:val="20"/>
              </w:rPr>
              <w:t xml:space="preserve"> </w:t>
            </w:r>
            <w:r w:rsidRPr="00150EDC">
              <w:rPr>
                <w:sz w:val="20"/>
              </w:rPr>
              <w:t>services:</w:t>
            </w:r>
            <w:r w:rsidRPr="00150EDC">
              <w:rPr>
                <w:spacing w:val="-5"/>
                <w:sz w:val="20"/>
              </w:rPr>
              <w:t xml:space="preserve"> </w:t>
            </w:r>
            <w:r w:rsidRPr="00150EDC">
              <w:rPr>
                <w:sz w:val="20"/>
              </w:rPr>
              <w:t>sexual</w:t>
            </w:r>
            <w:r w:rsidRPr="00150EDC">
              <w:rPr>
                <w:spacing w:val="-4"/>
                <w:sz w:val="20"/>
              </w:rPr>
              <w:t xml:space="preserve"> </w:t>
            </w:r>
            <w:r w:rsidRPr="00150EDC">
              <w:rPr>
                <w:spacing w:val="-2"/>
                <w:sz w:val="20"/>
              </w:rPr>
              <w:t>offences</w:t>
            </w:r>
          </w:p>
        </w:tc>
      </w:tr>
      <w:tr w:rsidR="004569EE" w:rsidRPr="007D3144" w14:paraId="2378AAF5" w14:textId="77777777">
        <w:trPr>
          <w:trHeight w:val="255"/>
        </w:trPr>
        <w:tc>
          <w:tcPr>
            <w:tcW w:w="6517" w:type="dxa"/>
          </w:tcPr>
          <w:p w14:paraId="1719F10A" w14:textId="77777777" w:rsidR="004C7180" w:rsidRPr="00150EDC" w:rsidRDefault="00CF0754">
            <w:pPr>
              <w:pStyle w:val="TableParagraph"/>
              <w:spacing w:before="28"/>
              <w:rPr>
                <w:sz w:val="20"/>
              </w:rPr>
            </w:pPr>
            <w:r w:rsidRPr="00150EDC">
              <w:rPr>
                <w:sz w:val="20"/>
              </w:rPr>
              <w:t>Mental</w:t>
            </w:r>
            <w:r w:rsidRPr="00150EDC">
              <w:rPr>
                <w:spacing w:val="-7"/>
                <w:sz w:val="20"/>
              </w:rPr>
              <w:t xml:space="preserve"> </w:t>
            </w:r>
            <w:r w:rsidRPr="00150EDC">
              <w:rPr>
                <w:sz w:val="20"/>
              </w:rPr>
              <w:t>Health</w:t>
            </w:r>
            <w:r w:rsidRPr="00150EDC">
              <w:rPr>
                <w:spacing w:val="-7"/>
                <w:sz w:val="20"/>
              </w:rPr>
              <w:t xml:space="preserve"> </w:t>
            </w:r>
            <w:r w:rsidRPr="00150EDC">
              <w:rPr>
                <w:sz w:val="20"/>
              </w:rPr>
              <w:t>(Care</w:t>
            </w:r>
            <w:r w:rsidRPr="00150EDC">
              <w:rPr>
                <w:spacing w:val="-8"/>
                <w:sz w:val="20"/>
              </w:rPr>
              <w:t xml:space="preserve"> </w:t>
            </w:r>
            <w:r w:rsidRPr="00150EDC">
              <w:rPr>
                <w:sz w:val="20"/>
              </w:rPr>
              <w:t>and</w:t>
            </w:r>
            <w:r w:rsidRPr="00150EDC">
              <w:rPr>
                <w:spacing w:val="-7"/>
                <w:sz w:val="20"/>
              </w:rPr>
              <w:t xml:space="preserve"> </w:t>
            </w:r>
            <w:r w:rsidRPr="00150EDC">
              <w:rPr>
                <w:sz w:val="20"/>
              </w:rPr>
              <w:t>Treatment)(Scotland)</w:t>
            </w:r>
            <w:r w:rsidRPr="00150EDC">
              <w:rPr>
                <w:spacing w:val="-8"/>
                <w:sz w:val="20"/>
              </w:rPr>
              <w:t xml:space="preserve"> </w:t>
            </w:r>
            <w:r w:rsidRPr="00150EDC">
              <w:rPr>
                <w:sz w:val="20"/>
              </w:rPr>
              <w:t>Act</w:t>
            </w:r>
            <w:r w:rsidRPr="00150EDC">
              <w:rPr>
                <w:spacing w:val="-6"/>
                <w:sz w:val="20"/>
              </w:rPr>
              <w:t xml:space="preserve"> </w:t>
            </w:r>
            <w:r w:rsidRPr="00150EDC">
              <w:rPr>
                <w:sz w:val="20"/>
              </w:rPr>
              <w:t>2003,</w:t>
            </w:r>
            <w:r w:rsidRPr="00150EDC">
              <w:rPr>
                <w:spacing w:val="-3"/>
                <w:sz w:val="20"/>
              </w:rPr>
              <w:t xml:space="preserve"> </w:t>
            </w:r>
            <w:r w:rsidRPr="00150EDC">
              <w:rPr>
                <w:spacing w:val="-4"/>
                <w:sz w:val="20"/>
              </w:rPr>
              <w:t>s315</w:t>
            </w:r>
          </w:p>
        </w:tc>
        <w:tc>
          <w:tcPr>
            <w:tcW w:w="7427" w:type="dxa"/>
          </w:tcPr>
          <w:p w14:paraId="5940BBFC" w14:textId="77777777" w:rsidR="004C7180" w:rsidRPr="00150EDC" w:rsidRDefault="00CF0754">
            <w:pPr>
              <w:pStyle w:val="TableParagraph"/>
              <w:spacing w:before="28"/>
              <w:rPr>
                <w:sz w:val="20"/>
              </w:rPr>
            </w:pPr>
            <w:r w:rsidRPr="00150EDC">
              <w:rPr>
                <w:sz w:val="20"/>
              </w:rPr>
              <w:t>Ill-treatment</w:t>
            </w:r>
            <w:r w:rsidRPr="00150EDC">
              <w:rPr>
                <w:spacing w:val="-13"/>
                <w:sz w:val="20"/>
              </w:rPr>
              <w:t xml:space="preserve"> </w:t>
            </w:r>
            <w:r w:rsidRPr="00150EDC">
              <w:rPr>
                <w:sz w:val="20"/>
              </w:rPr>
              <w:t>and</w:t>
            </w:r>
            <w:r w:rsidRPr="00150EDC">
              <w:rPr>
                <w:spacing w:val="-14"/>
                <w:sz w:val="20"/>
              </w:rPr>
              <w:t xml:space="preserve"> </w:t>
            </w:r>
            <w:r w:rsidRPr="00150EDC">
              <w:rPr>
                <w:sz w:val="20"/>
              </w:rPr>
              <w:t>wilful</w:t>
            </w:r>
            <w:r w:rsidRPr="00150EDC">
              <w:rPr>
                <w:spacing w:val="-13"/>
                <w:sz w:val="20"/>
              </w:rPr>
              <w:t xml:space="preserve"> </w:t>
            </w:r>
            <w:r w:rsidRPr="00150EDC">
              <w:rPr>
                <w:spacing w:val="-2"/>
                <w:sz w:val="20"/>
              </w:rPr>
              <w:t>neglect</w:t>
            </w:r>
          </w:p>
        </w:tc>
      </w:tr>
      <w:tr w:rsidR="004569EE" w:rsidRPr="007D3144" w14:paraId="506E2443" w14:textId="77777777">
        <w:trPr>
          <w:trHeight w:val="255"/>
        </w:trPr>
        <w:tc>
          <w:tcPr>
            <w:tcW w:w="6517" w:type="dxa"/>
          </w:tcPr>
          <w:p w14:paraId="67434EDF" w14:textId="77777777" w:rsidR="004C7180" w:rsidRPr="00150EDC" w:rsidRDefault="00CF0754">
            <w:pPr>
              <w:pStyle w:val="TableParagraph"/>
              <w:rPr>
                <w:sz w:val="20"/>
              </w:rPr>
            </w:pPr>
            <w:r w:rsidRPr="00150EDC">
              <w:rPr>
                <w:sz w:val="20"/>
              </w:rPr>
              <w:t>Mental</w:t>
            </w:r>
            <w:r w:rsidRPr="00150EDC">
              <w:rPr>
                <w:spacing w:val="-7"/>
                <w:sz w:val="20"/>
              </w:rPr>
              <w:t xml:space="preserve"> </w:t>
            </w:r>
            <w:r w:rsidRPr="00150EDC">
              <w:rPr>
                <w:sz w:val="20"/>
              </w:rPr>
              <w:t>Health</w:t>
            </w:r>
            <w:r w:rsidRPr="00150EDC">
              <w:rPr>
                <w:spacing w:val="-8"/>
                <w:sz w:val="20"/>
              </w:rPr>
              <w:t xml:space="preserve"> </w:t>
            </w:r>
            <w:r w:rsidRPr="00150EDC">
              <w:rPr>
                <w:sz w:val="20"/>
              </w:rPr>
              <w:t>(Jersey)</w:t>
            </w:r>
            <w:r w:rsidRPr="00150EDC">
              <w:rPr>
                <w:spacing w:val="-4"/>
                <w:sz w:val="20"/>
              </w:rPr>
              <w:t xml:space="preserve"> </w:t>
            </w:r>
            <w:r w:rsidRPr="00150EDC">
              <w:rPr>
                <w:sz w:val="20"/>
              </w:rPr>
              <w:t>Law</w:t>
            </w:r>
            <w:r w:rsidRPr="00150EDC">
              <w:rPr>
                <w:spacing w:val="-7"/>
                <w:sz w:val="20"/>
              </w:rPr>
              <w:t xml:space="preserve"> </w:t>
            </w:r>
            <w:r w:rsidRPr="00150EDC">
              <w:rPr>
                <w:sz w:val="20"/>
              </w:rPr>
              <w:t>1969,</w:t>
            </w:r>
            <w:r w:rsidRPr="00150EDC">
              <w:rPr>
                <w:spacing w:val="-8"/>
                <w:sz w:val="20"/>
              </w:rPr>
              <w:t xml:space="preserve"> </w:t>
            </w:r>
            <w:r w:rsidRPr="00150EDC">
              <w:rPr>
                <w:sz w:val="20"/>
              </w:rPr>
              <w:t>Art</w:t>
            </w:r>
            <w:r w:rsidRPr="00150EDC">
              <w:rPr>
                <w:spacing w:val="-3"/>
                <w:sz w:val="20"/>
              </w:rPr>
              <w:t xml:space="preserve"> </w:t>
            </w:r>
            <w:r w:rsidRPr="00150EDC">
              <w:rPr>
                <w:spacing w:val="-5"/>
                <w:sz w:val="20"/>
              </w:rPr>
              <w:t>37</w:t>
            </w:r>
          </w:p>
        </w:tc>
        <w:tc>
          <w:tcPr>
            <w:tcW w:w="7427" w:type="dxa"/>
          </w:tcPr>
          <w:p w14:paraId="1C35A0FF" w14:textId="77777777" w:rsidR="004C7180" w:rsidRPr="00150EDC" w:rsidRDefault="00CF0754">
            <w:pPr>
              <w:pStyle w:val="TableParagraph"/>
              <w:rPr>
                <w:sz w:val="20"/>
              </w:rPr>
            </w:pPr>
            <w:r w:rsidRPr="00150EDC">
              <w:rPr>
                <w:sz w:val="20"/>
              </w:rPr>
              <w:t>Ill-treatment</w:t>
            </w:r>
            <w:r w:rsidRPr="00150EDC">
              <w:rPr>
                <w:spacing w:val="-12"/>
                <w:sz w:val="20"/>
              </w:rPr>
              <w:t xml:space="preserve"> </w:t>
            </w:r>
            <w:r w:rsidRPr="00150EDC">
              <w:rPr>
                <w:sz w:val="20"/>
              </w:rPr>
              <w:t>of</w:t>
            </w:r>
            <w:r w:rsidRPr="00150EDC">
              <w:rPr>
                <w:spacing w:val="-14"/>
                <w:sz w:val="20"/>
              </w:rPr>
              <w:t xml:space="preserve"> </w:t>
            </w:r>
            <w:r w:rsidRPr="00150EDC">
              <w:rPr>
                <w:spacing w:val="-2"/>
                <w:sz w:val="20"/>
              </w:rPr>
              <w:t>patients</w:t>
            </w:r>
          </w:p>
        </w:tc>
      </w:tr>
      <w:tr w:rsidR="004569EE" w:rsidRPr="007D3144" w14:paraId="112A6CEF" w14:textId="77777777">
        <w:trPr>
          <w:trHeight w:val="255"/>
        </w:trPr>
        <w:tc>
          <w:tcPr>
            <w:tcW w:w="6517" w:type="dxa"/>
          </w:tcPr>
          <w:p w14:paraId="2C71FF13" w14:textId="77777777" w:rsidR="004C7180" w:rsidRPr="00150EDC" w:rsidRDefault="00CF0754">
            <w:pPr>
              <w:pStyle w:val="TableParagraph"/>
              <w:rPr>
                <w:sz w:val="20"/>
              </w:rPr>
            </w:pPr>
            <w:r w:rsidRPr="00150EDC">
              <w:rPr>
                <w:sz w:val="20"/>
              </w:rPr>
              <w:t>Mental</w:t>
            </w:r>
            <w:r w:rsidRPr="00150EDC">
              <w:rPr>
                <w:spacing w:val="-7"/>
                <w:sz w:val="20"/>
              </w:rPr>
              <w:t xml:space="preserve"> </w:t>
            </w:r>
            <w:r w:rsidRPr="00150EDC">
              <w:rPr>
                <w:sz w:val="20"/>
              </w:rPr>
              <w:t>Health</w:t>
            </w:r>
            <w:r w:rsidRPr="00150EDC">
              <w:rPr>
                <w:spacing w:val="-8"/>
                <w:sz w:val="20"/>
              </w:rPr>
              <w:t xml:space="preserve"> </w:t>
            </w:r>
            <w:r w:rsidRPr="00150EDC">
              <w:rPr>
                <w:sz w:val="20"/>
              </w:rPr>
              <w:t>(Jersey)</w:t>
            </w:r>
            <w:r w:rsidRPr="00150EDC">
              <w:rPr>
                <w:spacing w:val="-4"/>
                <w:sz w:val="20"/>
              </w:rPr>
              <w:t xml:space="preserve"> </w:t>
            </w:r>
            <w:r w:rsidRPr="00150EDC">
              <w:rPr>
                <w:sz w:val="20"/>
              </w:rPr>
              <w:t>Law</w:t>
            </w:r>
            <w:r w:rsidRPr="00150EDC">
              <w:rPr>
                <w:spacing w:val="-7"/>
                <w:sz w:val="20"/>
              </w:rPr>
              <w:t xml:space="preserve"> </w:t>
            </w:r>
            <w:r w:rsidRPr="00150EDC">
              <w:rPr>
                <w:sz w:val="20"/>
              </w:rPr>
              <w:t>1969,</w:t>
            </w:r>
            <w:r w:rsidRPr="00150EDC">
              <w:rPr>
                <w:spacing w:val="-8"/>
                <w:sz w:val="20"/>
              </w:rPr>
              <w:t xml:space="preserve"> </w:t>
            </w:r>
            <w:r w:rsidRPr="00150EDC">
              <w:rPr>
                <w:sz w:val="20"/>
              </w:rPr>
              <w:t>Art</w:t>
            </w:r>
            <w:r w:rsidRPr="00150EDC">
              <w:rPr>
                <w:spacing w:val="-3"/>
                <w:sz w:val="20"/>
              </w:rPr>
              <w:t xml:space="preserve"> </w:t>
            </w:r>
            <w:r w:rsidRPr="00150EDC">
              <w:rPr>
                <w:spacing w:val="-5"/>
                <w:sz w:val="20"/>
              </w:rPr>
              <w:t>38</w:t>
            </w:r>
          </w:p>
        </w:tc>
        <w:tc>
          <w:tcPr>
            <w:tcW w:w="7427" w:type="dxa"/>
          </w:tcPr>
          <w:p w14:paraId="2C53427C" w14:textId="77777777" w:rsidR="004C7180" w:rsidRPr="00150EDC" w:rsidRDefault="00CF0754">
            <w:pPr>
              <w:pStyle w:val="TableParagraph"/>
              <w:rPr>
                <w:sz w:val="20"/>
              </w:rPr>
            </w:pPr>
            <w:r w:rsidRPr="00150EDC">
              <w:rPr>
                <w:sz w:val="20"/>
              </w:rPr>
              <w:t>Sexual</w:t>
            </w:r>
            <w:r w:rsidRPr="00150EDC">
              <w:rPr>
                <w:spacing w:val="-5"/>
                <w:sz w:val="20"/>
              </w:rPr>
              <w:t xml:space="preserve"> </w:t>
            </w:r>
            <w:r w:rsidRPr="00150EDC">
              <w:rPr>
                <w:sz w:val="20"/>
              </w:rPr>
              <w:t>offences</w:t>
            </w:r>
            <w:r w:rsidRPr="00150EDC">
              <w:rPr>
                <w:spacing w:val="-6"/>
                <w:sz w:val="20"/>
              </w:rPr>
              <w:t xml:space="preserve"> </w:t>
            </w:r>
            <w:r w:rsidRPr="00150EDC">
              <w:rPr>
                <w:sz w:val="20"/>
              </w:rPr>
              <w:t>against</w:t>
            </w:r>
            <w:r w:rsidRPr="00150EDC">
              <w:rPr>
                <w:spacing w:val="-6"/>
                <w:sz w:val="20"/>
              </w:rPr>
              <w:t xml:space="preserve"> </w:t>
            </w:r>
            <w:r w:rsidRPr="00150EDC">
              <w:rPr>
                <w:sz w:val="20"/>
              </w:rPr>
              <w:t>female</w:t>
            </w:r>
            <w:r w:rsidRPr="00150EDC">
              <w:rPr>
                <w:spacing w:val="-5"/>
                <w:sz w:val="20"/>
              </w:rPr>
              <w:t xml:space="preserve"> </w:t>
            </w:r>
            <w:r w:rsidRPr="00150EDC">
              <w:rPr>
                <w:spacing w:val="-2"/>
                <w:sz w:val="20"/>
              </w:rPr>
              <w:t>patients</w:t>
            </w:r>
          </w:p>
        </w:tc>
      </w:tr>
      <w:tr w:rsidR="004569EE" w:rsidRPr="007D3144" w14:paraId="17248AFC" w14:textId="77777777">
        <w:trPr>
          <w:trHeight w:val="255"/>
        </w:trPr>
        <w:tc>
          <w:tcPr>
            <w:tcW w:w="6517" w:type="dxa"/>
          </w:tcPr>
          <w:p w14:paraId="23A1D728" w14:textId="77777777" w:rsidR="004C7180" w:rsidRPr="00150EDC" w:rsidRDefault="00CF0754">
            <w:pPr>
              <w:pStyle w:val="TableParagraph"/>
              <w:rPr>
                <w:sz w:val="20"/>
              </w:rPr>
            </w:pPr>
            <w:r w:rsidRPr="00150EDC">
              <w:rPr>
                <w:sz w:val="20"/>
              </w:rPr>
              <w:t>Mental</w:t>
            </w:r>
            <w:r w:rsidRPr="00150EDC">
              <w:rPr>
                <w:spacing w:val="-6"/>
                <w:sz w:val="20"/>
              </w:rPr>
              <w:t xml:space="preserve"> </w:t>
            </w:r>
            <w:r w:rsidRPr="00150EDC">
              <w:rPr>
                <w:sz w:val="20"/>
              </w:rPr>
              <w:t>Health</w:t>
            </w:r>
            <w:r w:rsidRPr="00150EDC">
              <w:rPr>
                <w:spacing w:val="-7"/>
                <w:sz w:val="20"/>
              </w:rPr>
              <w:t xml:space="preserve"> </w:t>
            </w:r>
            <w:r w:rsidRPr="00150EDC">
              <w:rPr>
                <w:sz w:val="20"/>
              </w:rPr>
              <w:t>(Northern</w:t>
            </w:r>
            <w:r w:rsidRPr="00150EDC">
              <w:rPr>
                <w:spacing w:val="-7"/>
                <w:sz w:val="20"/>
              </w:rPr>
              <w:t xml:space="preserve"> </w:t>
            </w:r>
            <w:r w:rsidRPr="00150EDC">
              <w:rPr>
                <w:sz w:val="20"/>
              </w:rPr>
              <w:t>Ireland)</w:t>
            </w:r>
            <w:r w:rsidRPr="00150EDC">
              <w:rPr>
                <w:spacing w:val="-8"/>
                <w:sz w:val="20"/>
              </w:rPr>
              <w:t xml:space="preserve"> </w:t>
            </w:r>
            <w:r w:rsidRPr="00150EDC">
              <w:rPr>
                <w:sz w:val="20"/>
              </w:rPr>
              <w:t>Order</w:t>
            </w:r>
            <w:r w:rsidRPr="00150EDC">
              <w:rPr>
                <w:spacing w:val="-7"/>
                <w:sz w:val="20"/>
              </w:rPr>
              <w:t xml:space="preserve"> </w:t>
            </w:r>
            <w:r w:rsidRPr="00150EDC">
              <w:rPr>
                <w:sz w:val="20"/>
              </w:rPr>
              <w:t>1986,</w:t>
            </w:r>
            <w:r w:rsidRPr="00150EDC">
              <w:rPr>
                <w:spacing w:val="-7"/>
                <w:sz w:val="20"/>
              </w:rPr>
              <w:t xml:space="preserve"> </w:t>
            </w:r>
            <w:r w:rsidRPr="00150EDC">
              <w:rPr>
                <w:sz w:val="20"/>
              </w:rPr>
              <w:t>Art</w:t>
            </w:r>
            <w:r w:rsidRPr="00150EDC">
              <w:rPr>
                <w:spacing w:val="-1"/>
                <w:sz w:val="20"/>
              </w:rPr>
              <w:t xml:space="preserve"> </w:t>
            </w:r>
            <w:r w:rsidRPr="00150EDC">
              <w:rPr>
                <w:spacing w:val="-5"/>
                <w:sz w:val="20"/>
              </w:rPr>
              <w:t>119</w:t>
            </w:r>
          </w:p>
        </w:tc>
        <w:tc>
          <w:tcPr>
            <w:tcW w:w="7427" w:type="dxa"/>
          </w:tcPr>
          <w:p w14:paraId="12C7D434" w14:textId="77777777" w:rsidR="004C7180" w:rsidRPr="00150EDC" w:rsidRDefault="00CF0754">
            <w:pPr>
              <w:pStyle w:val="TableParagraph"/>
              <w:rPr>
                <w:sz w:val="20"/>
              </w:rPr>
            </w:pPr>
            <w:r w:rsidRPr="00150EDC">
              <w:rPr>
                <w:sz w:val="20"/>
              </w:rPr>
              <w:t>Forgery,</w:t>
            </w:r>
            <w:r w:rsidRPr="00150EDC">
              <w:rPr>
                <w:spacing w:val="-7"/>
                <w:sz w:val="20"/>
              </w:rPr>
              <w:t xml:space="preserve"> </w:t>
            </w:r>
            <w:r w:rsidRPr="00150EDC">
              <w:rPr>
                <w:sz w:val="20"/>
              </w:rPr>
              <w:t>false</w:t>
            </w:r>
            <w:r w:rsidRPr="00150EDC">
              <w:rPr>
                <w:spacing w:val="-7"/>
                <w:sz w:val="20"/>
              </w:rPr>
              <w:t xml:space="preserve"> </w:t>
            </w:r>
            <w:r w:rsidRPr="00150EDC">
              <w:rPr>
                <w:sz w:val="20"/>
              </w:rPr>
              <w:t>statements,</w:t>
            </w:r>
            <w:r w:rsidRPr="00150EDC">
              <w:rPr>
                <w:spacing w:val="-1"/>
                <w:sz w:val="20"/>
              </w:rPr>
              <w:t xml:space="preserve"> </w:t>
            </w:r>
            <w:r w:rsidRPr="00150EDC">
              <w:rPr>
                <w:spacing w:val="-5"/>
                <w:sz w:val="20"/>
              </w:rPr>
              <w:t>etc</w:t>
            </w:r>
          </w:p>
        </w:tc>
      </w:tr>
      <w:tr w:rsidR="004569EE" w:rsidRPr="007D3144" w14:paraId="267F3EC2" w14:textId="77777777">
        <w:trPr>
          <w:trHeight w:val="255"/>
        </w:trPr>
        <w:tc>
          <w:tcPr>
            <w:tcW w:w="6517" w:type="dxa"/>
          </w:tcPr>
          <w:p w14:paraId="6FF4B2F2" w14:textId="77777777" w:rsidR="004C7180" w:rsidRPr="00150EDC" w:rsidRDefault="00CF0754">
            <w:pPr>
              <w:pStyle w:val="TableParagraph"/>
              <w:rPr>
                <w:sz w:val="20"/>
              </w:rPr>
            </w:pPr>
            <w:r w:rsidRPr="00150EDC">
              <w:rPr>
                <w:sz w:val="20"/>
              </w:rPr>
              <w:t>Mental</w:t>
            </w:r>
            <w:r w:rsidRPr="00150EDC">
              <w:rPr>
                <w:spacing w:val="-6"/>
                <w:sz w:val="20"/>
              </w:rPr>
              <w:t xml:space="preserve"> </w:t>
            </w:r>
            <w:r w:rsidRPr="00150EDC">
              <w:rPr>
                <w:sz w:val="20"/>
              </w:rPr>
              <w:t>Health</w:t>
            </w:r>
            <w:r w:rsidRPr="00150EDC">
              <w:rPr>
                <w:spacing w:val="-7"/>
                <w:sz w:val="20"/>
              </w:rPr>
              <w:t xml:space="preserve"> </w:t>
            </w:r>
            <w:r w:rsidRPr="00150EDC">
              <w:rPr>
                <w:sz w:val="20"/>
              </w:rPr>
              <w:t>(Northern</w:t>
            </w:r>
            <w:r w:rsidRPr="00150EDC">
              <w:rPr>
                <w:spacing w:val="-7"/>
                <w:sz w:val="20"/>
              </w:rPr>
              <w:t xml:space="preserve"> </w:t>
            </w:r>
            <w:r w:rsidRPr="00150EDC">
              <w:rPr>
                <w:sz w:val="20"/>
              </w:rPr>
              <w:t>Ireland)</w:t>
            </w:r>
            <w:r w:rsidRPr="00150EDC">
              <w:rPr>
                <w:spacing w:val="-8"/>
                <w:sz w:val="20"/>
              </w:rPr>
              <w:t xml:space="preserve"> </w:t>
            </w:r>
            <w:r w:rsidRPr="00150EDC">
              <w:rPr>
                <w:sz w:val="20"/>
              </w:rPr>
              <w:t>Order</w:t>
            </w:r>
            <w:r w:rsidRPr="00150EDC">
              <w:rPr>
                <w:spacing w:val="-7"/>
                <w:sz w:val="20"/>
              </w:rPr>
              <w:t xml:space="preserve"> </w:t>
            </w:r>
            <w:r w:rsidRPr="00150EDC">
              <w:rPr>
                <w:sz w:val="20"/>
              </w:rPr>
              <w:t>1986,</w:t>
            </w:r>
            <w:r w:rsidRPr="00150EDC">
              <w:rPr>
                <w:spacing w:val="-7"/>
                <w:sz w:val="20"/>
              </w:rPr>
              <w:t xml:space="preserve"> </w:t>
            </w:r>
            <w:r w:rsidRPr="00150EDC">
              <w:rPr>
                <w:sz w:val="20"/>
              </w:rPr>
              <w:t>Art</w:t>
            </w:r>
            <w:r w:rsidRPr="00150EDC">
              <w:rPr>
                <w:spacing w:val="-1"/>
                <w:sz w:val="20"/>
              </w:rPr>
              <w:t xml:space="preserve"> </w:t>
            </w:r>
            <w:r w:rsidRPr="00150EDC">
              <w:rPr>
                <w:spacing w:val="-5"/>
                <w:sz w:val="20"/>
              </w:rPr>
              <w:t>121</w:t>
            </w:r>
          </w:p>
        </w:tc>
        <w:tc>
          <w:tcPr>
            <w:tcW w:w="7427" w:type="dxa"/>
          </w:tcPr>
          <w:p w14:paraId="1981E01C" w14:textId="77777777" w:rsidR="004C7180" w:rsidRPr="00150EDC" w:rsidRDefault="00CF0754">
            <w:pPr>
              <w:pStyle w:val="TableParagraph"/>
              <w:rPr>
                <w:sz w:val="20"/>
              </w:rPr>
            </w:pPr>
            <w:r w:rsidRPr="00150EDC">
              <w:rPr>
                <w:sz w:val="20"/>
              </w:rPr>
              <w:t>Ill-treatment</w:t>
            </w:r>
            <w:r w:rsidRPr="00150EDC">
              <w:rPr>
                <w:spacing w:val="-12"/>
                <w:sz w:val="20"/>
              </w:rPr>
              <w:t xml:space="preserve"> </w:t>
            </w:r>
            <w:r w:rsidRPr="00150EDC">
              <w:rPr>
                <w:sz w:val="20"/>
              </w:rPr>
              <w:t>of</w:t>
            </w:r>
            <w:r w:rsidRPr="00150EDC">
              <w:rPr>
                <w:spacing w:val="-14"/>
                <w:sz w:val="20"/>
              </w:rPr>
              <w:t xml:space="preserve"> </w:t>
            </w:r>
            <w:r w:rsidRPr="00150EDC">
              <w:rPr>
                <w:spacing w:val="-2"/>
                <w:sz w:val="20"/>
              </w:rPr>
              <w:t>patients</w:t>
            </w:r>
          </w:p>
        </w:tc>
      </w:tr>
      <w:tr w:rsidR="004569EE" w:rsidRPr="007D3144" w14:paraId="05787544" w14:textId="77777777">
        <w:trPr>
          <w:trHeight w:val="255"/>
        </w:trPr>
        <w:tc>
          <w:tcPr>
            <w:tcW w:w="6517" w:type="dxa"/>
          </w:tcPr>
          <w:p w14:paraId="7A974EDF" w14:textId="77777777" w:rsidR="004C7180" w:rsidRPr="00150EDC" w:rsidRDefault="00CF0754">
            <w:pPr>
              <w:pStyle w:val="TableParagraph"/>
              <w:rPr>
                <w:sz w:val="20"/>
              </w:rPr>
            </w:pPr>
            <w:r w:rsidRPr="00150EDC">
              <w:rPr>
                <w:sz w:val="20"/>
              </w:rPr>
              <w:t>Mental</w:t>
            </w:r>
            <w:r w:rsidRPr="00150EDC">
              <w:rPr>
                <w:spacing w:val="-6"/>
                <w:sz w:val="20"/>
              </w:rPr>
              <w:t xml:space="preserve"> </w:t>
            </w:r>
            <w:r w:rsidRPr="00150EDC">
              <w:rPr>
                <w:sz w:val="20"/>
              </w:rPr>
              <w:t>Health</w:t>
            </w:r>
            <w:r w:rsidRPr="00150EDC">
              <w:rPr>
                <w:spacing w:val="-7"/>
                <w:sz w:val="20"/>
              </w:rPr>
              <w:t xml:space="preserve"> </w:t>
            </w:r>
            <w:r w:rsidRPr="00150EDC">
              <w:rPr>
                <w:sz w:val="20"/>
              </w:rPr>
              <w:t>(Northern</w:t>
            </w:r>
            <w:r w:rsidRPr="00150EDC">
              <w:rPr>
                <w:spacing w:val="-7"/>
                <w:sz w:val="20"/>
              </w:rPr>
              <w:t xml:space="preserve"> </w:t>
            </w:r>
            <w:r w:rsidRPr="00150EDC">
              <w:rPr>
                <w:sz w:val="20"/>
              </w:rPr>
              <w:t>Ireland)</w:t>
            </w:r>
            <w:r w:rsidRPr="00150EDC">
              <w:rPr>
                <w:spacing w:val="-8"/>
                <w:sz w:val="20"/>
              </w:rPr>
              <w:t xml:space="preserve"> </w:t>
            </w:r>
            <w:r w:rsidRPr="00150EDC">
              <w:rPr>
                <w:sz w:val="20"/>
              </w:rPr>
              <w:t>Order</w:t>
            </w:r>
            <w:r w:rsidRPr="00150EDC">
              <w:rPr>
                <w:spacing w:val="-7"/>
                <w:sz w:val="20"/>
              </w:rPr>
              <w:t xml:space="preserve"> </w:t>
            </w:r>
            <w:r w:rsidRPr="00150EDC">
              <w:rPr>
                <w:sz w:val="20"/>
              </w:rPr>
              <w:t>1986,</w:t>
            </w:r>
            <w:r w:rsidRPr="00150EDC">
              <w:rPr>
                <w:spacing w:val="-7"/>
                <w:sz w:val="20"/>
              </w:rPr>
              <w:t xml:space="preserve"> </w:t>
            </w:r>
            <w:r w:rsidRPr="00150EDC">
              <w:rPr>
                <w:sz w:val="20"/>
              </w:rPr>
              <w:t>Art</w:t>
            </w:r>
            <w:r w:rsidRPr="00150EDC">
              <w:rPr>
                <w:spacing w:val="-1"/>
                <w:sz w:val="20"/>
              </w:rPr>
              <w:t xml:space="preserve"> </w:t>
            </w:r>
            <w:r w:rsidRPr="00150EDC">
              <w:rPr>
                <w:spacing w:val="-5"/>
                <w:sz w:val="20"/>
              </w:rPr>
              <w:t>122</w:t>
            </w:r>
          </w:p>
        </w:tc>
        <w:tc>
          <w:tcPr>
            <w:tcW w:w="7427" w:type="dxa"/>
          </w:tcPr>
          <w:p w14:paraId="19B9BC45" w14:textId="77777777" w:rsidR="004C7180" w:rsidRPr="00150EDC" w:rsidRDefault="00CF0754">
            <w:pPr>
              <w:pStyle w:val="TableParagraph"/>
              <w:rPr>
                <w:sz w:val="20"/>
              </w:rPr>
            </w:pPr>
            <w:r w:rsidRPr="00150EDC">
              <w:rPr>
                <w:sz w:val="20"/>
              </w:rPr>
              <w:t>Protection</w:t>
            </w:r>
            <w:r w:rsidRPr="00150EDC">
              <w:rPr>
                <w:spacing w:val="-6"/>
                <w:sz w:val="20"/>
              </w:rPr>
              <w:t xml:space="preserve"> </w:t>
            </w:r>
            <w:r w:rsidRPr="00150EDC">
              <w:rPr>
                <w:sz w:val="20"/>
              </w:rPr>
              <w:t>of</w:t>
            </w:r>
            <w:r w:rsidRPr="00150EDC">
              <w:rPr>
                <w:spacing w:val="-5"/>
                <w:sz w:val="20"/>
              </w:rPr>
              <w:t xml:space="preserve"> </w:t>
            </w:r>
            <w:r w:rsidRPr="00150EDC">
              <w:rPr>
                <w:sz w:val="20"/>
              </w:rPr>
              <w:t>women</w:t>
            </w:r>
            <w:r w:rsidRPr="00150EDC">
              <w:rPr>
                <w:spacing w:val="-5"/>
                <w:sz w:val="20"/>
              </w:rPr>
              <w:t xml:space="preserve"> </w:t>
            </w:r>
            <w:r w:rsidRPr="00150EDC">
              <w:rPr>
                <w:sz w:val="20"/>
              </w:rPr>
              <w:t>suffering</w:t>
            </w:r>
            <w:r w:rsidRPr="00150EDC">
              <w:rPr>
                <w:spacing w:val="-5"/>
                <w:sz w:val="20"/>
              </w:rPr>
              <w:t xml:space="preserve"> </w:t>
            </w:r>
            <w:r w:rsidRPr="00150EDC">
              <w:rPr>
                <w:sz w:val="20"/>
              </w:rPr>
              <w:t>from</w:t>
            </w:r>
            <w:r w:rsidRPr="00150EDC">
              <w:rPr>
                <w:spacing w:val="-6"/>
                <w:sz w:val="20"/>
              </w:rPr>
              <w:t xml:space="preserve"> </w:t>
            </w:r>
            <w:r w:rsidRPr="00150EDC">
              <w:rPr>
                <w:sz w:val="20"/>
              </w:rPr>
              <w:t>severe mental</w:t>
            </w:r>
            <w:r w:rsidRPr="00150EDC">
              <w:rPr>
                <w:spacing w:val="-3"/>
                <w:sz w:val="20"/>
              </w:rPr>
              <w:t xml:space="preserve"> </w:t>
            </w:r>
            <w:r w:rsidRPr="00150EDC">
              <w:rPr>
                <w:spacing w:val="-2"/>
                <w:sz w:val="20"/>
              </w:rPr>
              <w:t>handicap</w:t>
            </w:r>
          </w:p>
        </w:tc>
      </w:tr>
      <w:tr w:rsidR="004569EE" w:rsidRPr="007D3144" w14:paraId="15ECF787" w14:textId="77777777">
        <w:trPr>
          <w:trHeight w:val="255"/>
        </w:trPr>
        <w:tc>
          <w:tcPr>
            <w:tcW w:w="6517" w:type="dxa"/>
          </w:tcPr>
          <w:p w14:paraId="79376F24" w14:textId="77777777" w:rsidR="004C7180" w:rsidRPr="00150EDC" w:rsidRDefault="00CF0754">
            <w:pPr>
              <w:pStyle w:val="TableParagraph"/>
              <w:rPr>
                <w:sz w:val="20"/>
              </w:rPr>
            </w:pPr>
            <w:r w:rsidRPr="00150EDC">
              <w:rPr>
                <w:sz w:val="20"/>
              </w:rPr>
              <w:t>Mental</w:t>
            </w:r>
            <w:r w:rsidRPr="00150EDC">
              <w:rPr>
                <w:spacing w:val="-6"/>
                <w:sz w:val="20"/>
              </w:rPr>
              <w:t xml:space="preserve"> </w:t>
            </w:r>
            <w:r w:rsidRPr="00150EDC">
              <w:rPr>
                <w:sz w:val="20"/>
              </w:rPr>
              <w:t>Health</w:t>
            </w:r>
            <w:r w:rsidRPr="00150EDC">
              <w:rPr>
                <w:spacing w:val="-7"/>
                <w:sz w:val="20"/>
              </w:rPr>
              <w:t xml:space="preserve"> </w:t>
            </w:r>
            <w:r w:rsidRPr="00150EDC">
              <w:rPr>
                <w:sz w:val="20"/>
              </w:rPr>
              <w:t>(Northern</w:t>
            </w:r>
            <w:r w:rsidRPr="00150EDC">
              <w:rPr>
                <w:spacing w:val="-7"/>
                <w:sz w:val="20"/>
              </w:rPr>
              <w:t xml:space="preserve"> </w:t>
            </w:r>
            <w:r w:rsidRPr="00150EDC">
              <w:rPr>
                <w:sz w:val="20"/>
              </w:rPr>
              <w:t>Ireland)</w:t>
            </w:r>
            <w:r w:rsidRPr="00150EDC">
              <w:rPr>
                <w:spacing w:val="-7"/>
                <w:sz w:val="20"/>
              </w:rPr>
              <w:t xml:space="preserve"> </w:t>
            </w:r>
            <w:r w:rsidRPr="00150EDC">
              <w:rPr>
                <w:sz w:val="20"/>
              </w:rPr>
              <w:t>Order</w:t>
            </w:r>
            <w:r w:rsidRPr="00150EDC">
              <w:rPr>
                <w:spacing w:val="-7"/>
                <w:sz w:val="20"/>
              </w:rPr>
              <w:t xml:space="preserve"> </w:t>
            </w:r>
            <w:r w:rsidRPr="00150EDC">
              <w:rPr>
                <w:sz w:val="20"/>
              </w:rPr>
              <w:t>1986,</w:t>
            </w:r>
            <w:r w:rsidRPr="00150EDC">
              <w:rPr>
                <w:spacing w:val="-7"/>
                <w:sz w:val="20"/>
              </w:rPr>
              <w:t xml:space="preserve"> </w:t>
            </w:r>
            <w:r w:rsidRPr="00150EDC">
              <w:rPr>
                <w:sz w:val="20"/>
              </w:rPr>
              <w:t>Art</w:t>
            </w:r>
            <w:r w:rsidRPr="00150EDC">
              <w:rPr>
                <w:spacing w:val="1"/>
                <w:sz w:val="20"/>
              </w:rPr>
              <w:t xml:space="preserve"> </w:t>
            </w:r>
            <w:r w:rsidRPr="00150EDC">
              <w:rPr>
                <w:spacing w:val="-5"/>
                <w:sz w:val="20"/>
              </w:rPr>
              <w:t>123</w:t>
            </w:r>
          </w:p>
        </w:tc>
        <w:tc>
          <w:tcPr>
            <w:tcW w:w="7427" w:type="dxa"/>
          </w:tcPr>
          <w:p w14:paraId="5EAFB62E" w14:textId="77777777" w:rsidR="004C7180" w:rsidRPr="00150EDC" w:rsidRDefault="00CF0754">
            <w:pPr>
              <w:pStyle w:val="TableParagraph"/>
              <w:rPr>
                <w:sz w:val="20"/>
              </w:rPr>
            </w:pPr>
            <w:r w:rsidRPr="00150EDC">
              <w:rPr>
                <w:sz w:val="20"/>
              </w:rPr>
              <w:t>Protection</w:t>
            </w:r>
            <w:r w:rsidRPr="00150EDC">
              <w:rPr>
                <w:spacing w:val="-6"/>
                <w:sz w:val="20"/>
              </w:rPr>
              <w:t xml:space="preserve"> </w:t>
            </w:r>
            <w:r w:rsidRPr="00150EDC">
              <w:rPr>
                <w:sz w:val="20"/>
              </w:rPr>
              <w:t>of</w:t>
            </w:r>
            <w:r w:rsidRPr="00150EDC">
              <w:rPr>
                <w:spacing w:val="-5"/>
                <w:sz w:val="20"/>
              </w:rPr>
              <w:t xml:space="preserve"> </w:t>
            </w:r>
            <w:r w:rsidRPr="00150EDC">
              <w:rPr>
                <w:spacing w:val="-2"/>
                <w:sz w:val="20"/>
              </w:rPr>
              <w:t>patients</w:t>
            </w:r>
          </w:p>
        </w:tc>
      </w:tr>
      <w:tr w:rsidR="004569EE" w:rsidRPr="007D3144" w14:paraId="57A37B59" w14:textId="77777777">
        <w:trPr>
          <w:trHeight w:val="255"/>
        </w:trPr>
        <w:tc>
          <w:tcPr>
            <w:tcW w:w="6517" w:type="dxa"/>
          </w:tcPr>
          <w:p w14:paraId="3EE0B056" w14:textId="77777777" w:rsidR="004C7180" w:rsidRPr="00150EDC" w:rsidRDefault="00CF0754">
            <w:pPr>
              <w:pStyle w:val="TableParagraph"/>
              <w:rPr>
                <w:sz w:val="20"/>
              </w:rPr>
            </w:pPr>
            <w:r w:rsidRPr="00150EDC">
              <w:rPr>
                <w:sz w:val="20"/>
              </w:rPr>
              <w:t>Mental</w:t>
            </w:r>
            <w:r w:rsidRPr="00150EDC">
              <w:rPr>
                <w:spacing w:val="-6"/>
                <w:sz w:val="20"/>
              </w:rPr>
              <w:t xml:space="preserve"> </w:t>
            </w:r>
            <w:r w:rsidRPr="00150EDC">
              <w:rPr>
                <w:sz w:val="20"/>
              </w:rPr>
              <w:t>Health</w:t>
            </w:r>
            <w:r w:rsidRPr="00150EDC">
              <w:rPr>
                <w:spacing w:val="-7"/>
                <w:sz w:val="20"/>
              </w:rPr>
              <w:t xml:space="preserve"> </w:t>
            </w:r>
            <w:r w:rsidRPr="00150EDC">
              <w:rPr>
                <w:sz w:val="20"/>
              </w:rPr>
              <w:t>(Northern</w:t>
            </w:r>
            <w:r w:rsidRPr="00150EDC">
              <w:rPr>
                <w:spacing w:val="-7"/>
                <w:sz w:val="20"/>
              </w:rPr>
              <w:t xml:space="preserve"> </w:t>
            </w:r>
            <w:r w:rsidRPr="00150EDC">
              <w:rPr>
                <w:sz w:val="20"/>
              </w:rPr>
              <w:t>Ireland)</w:t>
            </w:r>
            <w:r w:rsidRPr="00150EDC">
              <w:rPr>
                <w:spacing w:val="-8"/>
                <w:sz w:val="20"/>
              </w:rPr>
              <w:t xml:space="preserve"> </w:t>
            </w:r>
            <w:r w:rsidRPr="00150EDC">
              <w:rPr>
                <w:sz w:val="20"/>
              </w:rPr>
              <w:t>Order</w:t>
            </w:r>
            <w:r w:rsidRPr="00150EDC">
              <w:rPr>
                <w:spacing w:val="-7"/>
                <w:sz w:val="20"/>
              </w:rPr>
              <w:t xml:space="preserve"> </w:t>
            </w:r>
            <w:r w:rsidRPr="00150EDC">
              <w:rPr>
                <w:sz w:val="20"/>
              </w:rPr>
              <w:t>1986,</w:t>
            </w:r>
            <w:r w:rsidRPr="00150EDC">
              <w:rPr>
                <w:spacing w:val="-7"/>
                <w:sz w:val="20"/>
              </w:rPr>
              <w:t xml:space="preserve"> </w:t>
            </w:r>
            <w:r w:rsidRPr="00150EDC">
              <w:rPr>
                <w:sz w:val="20"/>
              </w:rPr>
              <w:t>Art</w:t>
            </w:r>
            <w:r w:rsidRPr="00150EDC">
              <w:rPr>
                <w:spacing w:val="-1"/>
                <w:sz w:val="20"/>
              </w:rPr>
              <w:t xml:space="preserve"> </w:t>
            </w:r>
            <w:r w:rsidRPr="00150EDC">
              <w:rPr>
                <w:spacing w:val="-5"/>
                <w:sz w:val="20"/>
              </w:rPr>
              <w:t>124</w:t>
            </w:r>
          </w:p>
        </w:tc>
        <w:tc>
          <w:tcPr>
            <w:tcW w:w="7427" w:type="dxa"/>
          </w:tcPr>
          <w:p w14:paraId="4CD9B938" w14:textId="77777777" w:rsidR="004C7180" w:rsidRPr="00150EDC" w:rsidRDefault="00CF0754">
            <w:pPr>
              <w:pStyle w:val="TableParagraph"/>
              <w:rPr>
                <w:sz w:val="20"/>
              </w:rPr>
            </w:pPr>
            <w:r w:rsidRPr="00150EDC">
              <w:rPr>
                <w:sz w:val="20"/>
              </w:rPr>
              <w:t>Assisting</w:t>
            </w:r>
            <w:r w:rsidRPr="00150EDC">
              <w:rPr>
                <w:spacing w:val="-7"/>
                <w:sz w:val="20"/>
              </w:rPr>
              <w:t xml:space="preserve"> </w:t>
            </w:r>
            <w:r w:rsidRPr="00150EDC">
              <w:rPr>
                <w:sz w:val="20"/>
              </w:rPr>
              <w:t>patients</w:t>
            </w:r>
            <w:r w:rsidRPr="00150EDC">
              <w:rPr>
                <w:spacing w:val="-5"/>
                <w:sz w:val="20"/>
              </w:rPr>
              <w:t xml:space="preserve"> </w:t>
            </w:r>
            <w:r w:rsidRPr="00150EDC">
              <w:rPr>
                <w:sz w:val="20"/>
              </w:rPr>
              <w:t>to</w:t>
            </w:r>
            <w:r w:rsidRPr="00150EDC">
              <w:rPr>
                <w:spacing w:val="-6"/>
                <w:sz w:val="20"/>
              </w:rPr>
              <w:t xml:space="preserve"> </w:t>
            </w:r>
            <w:r w:rsidRPr="00150EDC">
              <w:rPr>
                <w:sz w:val="20"/>
              </w:rPr>
              <w:t>absent</w:t>
            </w:r>
            <w:r w:rsidRPr="00150EDC">
              <w:rPr>
                <w:spacing w:val="-6"/>
                <w:sz w:val="20"/>
              </w:rPr>
              <w:t xml:space="preserve"> </w:t>
            </w:r>
            <w:r w:rsidRPr="00150EDC">
              <w:rPr>
                <w:sz w:val="20"/>
              </w:rPr>
              <w:t>themselves</w:t>
            </w:r>
            <w:r w:rsidRPr="00150EDC">
              <w:rPr>
                <w:spacing w:val="-5"/>
                <w:sz w:val="20"/>
              </w:rPr>
              <w:t xml:space="preserve"> </w:t>
            </w:r>
            <w:r w:rsidRPr="00150EDC">
              <w:rPr>
                <w:sz w:val="20"/>
              </w:rPr>
              <w:t>without</w:t>
            </w:r>
            <w:r w:rsidRPr="00150EDC">
              <w:rPr>
                <w:spacing w:val="-6"/>
                <w:sz w:val="20"/>
              </w:rPr>
              <w:t xml:space="preserve"> </w:t>
            </w:r>
            <w:r w:rsidRPr="00150EDC">
              <w:rPr>
                <w:spacing w:val="-4"/>
                <w:sz w:val="20"/>
              </w:rPr>
              <w:t>leave</w:t>
            </w:r>
          </w:p>
        </w:tc>
      </w:tr>
      <w:tr w:rsidR="004569EE" w:rsidRPr="007D3144" w14:paraId="4996599F" w14:textId="77777777">
        <w:trPr>
          <w:trHeight w:val="255"/>
        </w:trPr>
        <w:tc>
          <w:tcPr>
            <w:tcW w:w="6517" w:type="dxa"/>
          </w:tcPr>
          <w:p w14:paraId="35BFF5A7" w14:textId="77777777" w:rsidR="004C7180" w:rsidRPr="00150EDC" w:rsidRDefault="00CF0754">
            <w:pPr>
              <w:pStyle w:val="TableParagraph"/>
              <w:rPr>
                <w:sz w:val="20"/>
              </w:rPr>
            </w:pPr>
            <w:r w:rsidRPr="00150EDC">
              <w:rPr>
                <w:sz w:val="20"/>
              </w:rPr>
              <w:t>Mental</w:t>
            </w:r>
            <w:r w:rsidRPr="00150EDC">
              <w:rPr>
                <w:spacing w:val="-6"/>
                <w:sz w:val="20"/>
              </w:rPr>
              <w:t xml:space="preserve"> </w:t>
            </w:r>
            <w:r w:rsidRPr="00150EDC">
              <w:rPr>
                <w:sz w:val="20"/>
              </w:rPr>
              <w:t>Health</w:t>
            </w:r>
            <w:r w:rsidRPr="00150EDC">
              <w:rPr>
                <w:spacing w:val="-7"/>
                <w:sz w:val="20"/>
              </w:rPr>
              <w:t xml:space="preserve"> </w:t>
            </w:r>
            <w:r w:rsidRPr="00150EDC">
              <w:rPr>
                <w:sz w:val="20"/>
              </w:rPr>
              <w:t>(Northern</w:t>
            </w:r>
            <w:r w:rsidRPr="00150EDC">
              <w:rPr>
                <w:spacing w:val="-7"/>
                <w:sz w:val="20"/>
              </w:rPr>
              <w:t xml:space="preserve"> </w:t>
            </w:r>
            <w:r w:rsidRPr="00150EDC">
              <w:rPr>
                <w:sz w:val="20"/>
              </w:rPr>
              <w:t>Ireland)</w:t>
            </w:r>
            <w:r w:rsidRPr="00150EDC">
              <w:rPr>
                <w:spacing w:val="-8"/>
                <w:sz w:val="20"/>
              </w:rPr>
              <w:t xml:space="preserve"> </w:t>
            </w:r>
            <w:r w:rsidRPr="00150EDC">
              <w:rPr>
                <w:sz w:val="20"/>
              </w:rPr>
              <w:t>Order</w:t>
            </w:r>
            <w:r w:rsidRPr="00150EDC">
              <w:rPr>
                <w:spacing w:val="-7"/>
                <w:sz w:val="20"/>
              </w:rPr>
              <w:t xml:space="preserve"> </w:t>
            </w:r>
            <w:r w:rsidRPr="00150EDC">
              <w:rPr>
                <w:sz w:val="20"/>
              </w:rPr>
              <w:t>1986,</w:t>
            </w:r>
            <w:r w:rsidRPr="00150EDC">
              <w:rPr>
                <w:spacing w:val="-7"/>
                <w:sz w:val="20"/>
              </w:rPr>
              <w:t xml:space="preserve"> </w:t>
            </w:r>
            <w:r w:rsidRPr="00150EDC">
              <w:rPr>
                <w:sz w:val="20"/>
              </w:rPr>
              <w:t>Art</w:t>
            </w:r>
            <w:r w:rsidRPr="00150EDC">
              <w:rPr>
                <w:spacing w:val="-1"/>
                <w:sz w:val="20"/>
              </w:rPr>
              <w:t xml:space="preserve"> </w:t>
            </w:r>
            <w:r w:rsidRPr="00150EDC">
              <w:rPr>
                <w:spacing w:val="-5"/>
                <w:sz w:val="20"/>
              </w:rPr>
              <w:t>125</w:t>
            </w:r>
          </w:p>
        </w:tc>
        <w:tc>
          <w:tcPr>
            <w:tcW w:w="7427" w:type="dxa"/>
          </w:tcPr>
          <w:p w14:paraId="203FC5DC" w14:textId="77777777" w:rsidR="004C7180" w:rsidRPr="00150EDC" w:rsidRDefault="00CF0754">
            <w:pPr>
              <w:pStyle w:val="TableParagraph"/>
              <w:rPr>
                <w:sz w:val="20"/>
              </w:rPr>
            </w:pPr>
            <w:r w:rsidRPr="00150EDC">
              <w:rPr>
                <w:spacing w:val="-2"/>
                <w:sz w:val="20"/>
              </w:rPr>
              <w:t>Obstruction</w:t>
            </w:r>
          </w:p>
        </w:tc>
      </w:tr>
      <w:tr w:rsidR="004569EE" w:rsidRPr="007D3144" w14:paraId="3BA048AC" w14:textId="77777777">
        <w:trPr>
          <w:trHeight w:val="255"/>
        </w:trPr>
        <w:tc>
          <w:tcPr>
            <w:tcW w:w="6517" w:type="dxa"/>
          </w:tcPr>
          <w:p w14:paraId="27F8F44B" w14:textId="77777777" w:rsidR="004C7180" w:rsidRPr="00150EDC" w:rsidRDefault="00CF0754">
            <w:pPr>
              <w:pStyle w:val="TableParagraph"/>
              <w:spacing w:before="28"/>
              <w:rPr>
                <w:sz w:val="20"/>
              </w:rPr>
            </w:pPr>
            <w:r w:rsidRPr="00150EDC">
              <w:rPr>
                <w:sz w:val="20"/>
              </w:rPr>
              <w:t>Mental</w:t>
            </w:r>
            <w:r w:rsidRPr="00150EDC">
              <w:rPr>
                <w:spacing w:val="-8"/>
                <w:sz w:val="20"/>
              </w:rPr>
              <w:t xml:space="preserve"> </w:t>
            </w:r>
            <w:r w:rsidRPr="00150EDC">
              <w:rPr>
                <w:sz w:val="20"/>
              </w:rPr>
              <w:t>Health</w:t>
            </w:r>
            <w:r w:rsidRPr="00150EDC">
              <w:rPr>
                <w:spacing w:val="-8"/>
                <w:sz w:val="20"/>
              </w:rPr>
              <w:t xml:space="preserve"> </w:t>
            </w:r>
            <w:r w:rsidRPr="00150EDC">
              <w:rPr>
                <w:sz w:val="20"/>
              </w:rPr>
              <w:t>(Scotland)</w:t>
            </w:r>
            <w:r w:rsidRPr="00150EDC">
              <w:rPr>
                <w:spacing w:val="-9"/>
                <w:sz w:val="20"/>
              </w:rPr>
              <w:t xml:space="preserve"> </w:t>
            </w:r>
            <w:r w:rsidRPr="00150EDC">
              <w:rPr>
                <w:sz w:val="20"/>
              </w:rPr>
              <w:t>Act</w:t>
            </w:r>
            <w:r w:rsidRPr="00150EDC">
              <w:rPr>
                <w:spacing w:val="-7"/>
                <w:sz w:val="20"/>
              </w:rPr>
              <w:t xml:space="preserve"> </w:t>
            </w:r>
            <w:r w:rsidRPr="00150EDC">
              <w:rPr>
                <w:sz w:val="20"/>
              </w:rPr>
              <w:t>1960,</w:t>
            </w:r>
            <w:r w:rsidRPr="00150EDC">
              <w:rPr>
                <w:spacing w:val="-9"/>
                <w:sz w:val="20"/>
              </w:rPr>
              <w:t xml:space="preserve"> </w:t>
            </w:r>
            <w:r w:rsidRPr="00150EDC">
              <w:rPr>
                <w:spacing w:val="-5"/>
                <w:sz w:val="20"/>
              </w:rPr>
              <w:t>s94</w:t>
            </w:r>
          </w:p>
        </w:tc>
        <w:tc>
          <w:tcPr>
            <w:tcW w:w="7427" w:type="dxa"/>
          </w:tcPr>
          <w:p w14:paraId="14C09852" w14:textId="77777777" w:rsidR="004C7180" w:rsidRPr="00150EDC" w:rsidRDefault="00CF0754">
            <w:pPr>
              <w:pStyle w:val="TableParagraph"/>
              <w:spacing w:before="28"/>
              <w:rPr>
                <w:sz w:val="20"/>
              </w:rPr>
            </w:pPr>
            <w:r w:rsidRPr="00150EDC">
              <w:rPr>
                <w:sz w:val="20"/>
              </w:rPr>
              <w:t>False</w:t>
            </w:r>
            <w:r w:rsidRPr="00150EDC">
              <w:rPr>
                <w:spacing w:val="-7"/>
                <w:sz w:val="20"/>
              </w:rPr>
              <w:t xml:space="preserve"> </w:t>
            </w:r>
            <w:r w:rsidRPr="00150EDC">
              <w:rPr>
                <w:spacing w:val="-2"/>
                <w:sz w:val="20"/>
              </w:rPr>
              <w:t>statements</w:t>
            </w:r>
          </w:p>
        </w:tc>
      </w:tr>
      <w:tr w:rsidR="004569EE" w:rsidRPr="007D3144" w14:paraId="172C8A73" w14:textId="77777777">
        <w:trPr>
          <w:trHeight w:val="255"/>
        </w:trPr>
        <w:tc>
          <w:tcPr>
            <w:tcW w:w="6517" w:type="dxa"/>
          </w:tcPr>
          <w:p w14:paraId="0F10C1E2" w14:textId="77777777" w:rsidR="004C7180" w:rsidRPr="00150EDC" w:rsidRDefault="00CF0754">
            <w:pPr>
              <w:pStyle w:val="TableParagraph"/>
              <w:rPr>
                <w:sz w:val="20"/>
              </w:rPr>
            </w:pPr>
            <w:r w:rsidRPr="00150EDC">
              <w:rPr>
                <w:sz w:val="20"/>
              </w:rPr>
              <w:t>Mental</w:t>
            </w:r>
            <w:r w:rsidRPr="00150EDC">
              <w:rPr>
                <w:spacing w:val="-8"/>
                <w:sz w:val="20"/>
              </w:rPr>
              <w:t xml:space="preserve"> </w:t>
            </w:r>
            <w:r w:rsidRPr="00150EDC">
              <w:rPr>
                <w:sz w:val="20"/>
              </w:rPr>
              <w:t>Health</w:t>
            </w:r>
            <w:r w:rsidRPr="00150EDC">
              <w:rPr>
                <w:spacing w:val="-8"/>
                <w:sz w:val="20"/>
              </w:rPr>
              <w:t xml:space="preserve"> </w:t>
            </w:r>
            <w:r w:rsidRPr="00150EDC">
              <w:rPr>
                <w:sz w:val="20"/>
              </w:rPr>
              <w:t>(Scotland)</w:t>
            </w:r>
            <w:r w:rsidRPr="00150EDC">
              <w:rPr>
                <w:spacing w:val="-9"/>
                <w:sz w:val="20"/>
              </w:rPr>
              <w:t xml:space="preserve"> </w:t>
            </w:r>
            <w:r w:rsidRPr="00150EDC">
              <w:rPr>
                <w:sz w:val="20"/>
              </w:rPr>
              <w:t>Act</w:t>
            </w:r>
            <w:r w:rsidRPr="00150EDC">
              <w:rPr>
                <w:spacing w:val="-7"/>
                <w:sz w:val="20"/>
              </w:rPr>
              <w:t xml:space="preserve"> </w:t>
            </w:r>
            <w:r w:rsidRPr="00150EDC">
              <w:rPr>
                <w:sz w:val="20"/>
              </w:rPr>
              <w:t>1960,</w:t>
            </w:r>
            <w:r w:rsidRPr="00150EDC">
              <w:rPr>
                <w:spacing w:val="-9"/>
                <w:sz w:val="20"/>
              </w:rPr>
              <w:t xml:space="preserve"> </w:t>
            </w:r>
            <w:r w:rsidRPr="00150EDC">
              <w:rPr>
                <w:spacing w:val="-5"/>
                <w:sz w:val="20"/>
              </w:rPr>
              <w:t>s95</w:t>
            </w:r>
          </w:p>
        </w:tc>
        <w:tc>
          <w:tcPr>
            <w:tcW w:w="7427" w:type="dxa"/>
          </w:tcPr>
          <w:p w14:paraId="10EAB4F3" w14:textId="77777777" w:rsidR="004C7180" w:rsidRPr="00150EDC" w:rsidRDefault="00CF0754">
            <w:pPr>
              <w:pStyle w:val="TableParagraph"/>
              <w:rPr>
                <w:sz w:val="20"/>
              </w:rPr>
            </w:pPr>
            <w:r w:rsidRPr="00150EDC">
              <w:rPr>
                <w:sz w:val="20"/>
              </w:rPr>
              <w:t>Ill-treatment</w:t>
            </w:r>
            <w:r w:rsidRPr="00150EDC">
              <w:rPr>
                <w:spacing w:val="-8"/>
                <w:sz w:val="20"/>
              </w:rPr>
              <w:t xml:space="preserve"> </w:t>
            </w:r>
            <w:r w:rsidRPr="00150EDC">
              <w:rPr>
                <w:sz w:val="20"/>
              </w:rPr>
              <w:t>or</w:t>
            </w:r>
            <w:r w:rsidRPr="00150EDC">
              <w:rPr>
                <w:spacing w:val="-12"/>
                <w:sz w:val="20"/>
              </w:rPr>
              <w:t xml:space="preserve"> </w:t>
            </w:r>
            <w:r w:rsidRPr="00150EDC">
              <w:rPr>
                <w:sz w:val="20"/>
              </w:rPr>
              <w:t>neglect</w:t>
            </w:r>
            <w:r w:rsidRPr="00150EDC">
              <w:rPr>
                <w:spacing w:val="-11"/>
                <w:sz w:val="20"/>
              </w:rPr>
              <w:t xml:space="preserve"> </w:t>
            </w:r>
            <w:r w:rsidRPr="00150EDC">
              <w:rPr>
                <w:sz w:val="20"/>
              </w:rPr>
              <w:t>of</w:t>
            </w:r>
            <w:r w:rsidRPr="00150EDC">
              <w:rPr>
                <w:spacing w:val="-7"/>
                <w:sz w:val="20"/>
              </w:rPr>
              <w:t xml:space="preserve"> </w:t>
            </w:r>
            <w:r w:rsidRPr="00150EDC">
              <w:rPr>
                <w:spacing w:val="-2"/>
                <w:sz w:val="20"/>
              </w:rPr>
              <w:t>patients</w:t>
            </w:r>
          </w:p>
        </w:tc>
      </w:tr>
      <w:tr w:rsidR="004569EE" w:rsidRPr="007D3144" w14:paraId="0C11E3E5" w14:textId="77777777">
        <w:trPr>
          <w:trHeight w:val="255"/>
        </w:trPr>
        <w:tc>
          <w:tcPr>
            <w:tcW w:w="6517" w:type="dxa"/>
          </w:tcPr>
          <w:p w14:paraId="22C80BC9" w14:textId="77777777" w:rsidR="004C7180" w:rsidRPr="00150EDC" w:rsidRDefault="00CF0754">
            <w:pPr>
              <w:pStyle w:val="TableParagraph"/>
              <w:rPr>
                <w:sz w:val="20"/>
              </w:rPr>
            </w:pPr>
            <w:r w:rsidRPr="00150EDC">
              <w:rPr>
                <w:sz w:val="20"/>
              </w:rPr>
              <w:t>Mental</w:t>
            </w:r>
            <w:r w:rsidRPr="00150EDC">
              <w:rPr>
                <w:spacing w:val="-8"/>
                <w:sz w:val="20"/>
              </w:rPr>
              <w:t xml:space="preserve"> </w:t>
            </w:r>
            <w:r w:rsidRPr="00150EDC">
              <w:rPr>
                <w:sz w:val="20"/>
              </w:rPr>
              <w:t>Health</w:t>
            </w:r>
            <w:r w:rsidRPr="00150EDC">
              <w:rPr>
                <w:spacing w:val="-8"/>
                <w:sz w:val="20"/>
              </w:rPr>
              <w:t xml:space="preserve"> </w:t>
            </w:r>
            <w:r w:rsidRPr="00150EDC">
              <w:rPr>
                <w:sz w:val="20"/>
              </w:rPr>
              <w:t>(Scotland)</w:t>
            </w:r>
            <w:r w:rsidRPr="00150EDC">
              <w:rPr>
                <w:spacing w:val="-9"/>
                <w:sz w:val="20"/>
              </w:rPr>
              <w:t xml:space="preserve"> </w:t>
            </w:r>
            <w:r w:rsidRPr="00150EDC">
              <w:rPr>
                <w:sz w:val="20"/>
              </w:rPr>
              <w:t>Act</w:t>
            </w:r>
            <w:r w:rsidRPr="00150EDC">
              <w:rPr>
                <w:spacing w:val="-7"/>
                <w:sz w:val="20"/>
              </w:rPr>
              <w:t xml:space="preserve"> </w:t>
            </w:r>
            <w:r w:rsidRPr="00150EDC">
              <w:rPr>
                <w:sz w:val="20"/>
              </w:rPr>
              <w:t>1960,</w:t>
            </w:r>
            <w:r w:rsidRPr="00150EDC">
              <w:rPr>
                <w:spacing w:val="-9"/>
                <w:sz w:val="20"/>
              </w:rPr>
              <w:t xml:space="preserve"> </w:t>
            </w:r>
            <w:r w:rsidRPr="00150EDC">
              <w:rPr>
                <w:spacing w:val="-5"/>
                <w:sz w:val="20"/>
              </w:rPr>
              <w:t>s96</w:t>
            </w:r>
          </w:p>
        </w:tc>
        <w:tc>
          <w:tcPr>
            <w:tcW w:w="7427" w:type="dxa"/>
          </w:tcPr>
          <w:p w14:paraId="6F78E5B9" w14:textId="77777777" w:rsidR="004C7180" w:rsidRPr="00150EDC" w:rsidRDefault="00CF0754">
            <w:pPr>
              <w:pStyle w:val="TableParagraph"/>
              <w:rPr>
                <w:sz w:val="20"/>
              </w:rPr>
            </w:pPr>
            <w:r w:rsidRPr="00150EDC">
              <w:rPr>
                <w:sz w:val="20"/>
              </w:rPr>
              <w:t>Sexual</w:t>
            </w:r>
            <w:r w:rsidRPr="00150EDC">
              <w:rPr>
                <w:spacing w:val="-5"/>
                <w:sz w:val="20"/>
              </w:rPr>
              <w:t xml:space="preserve"> </w:t>
            </w:r>
            <w:r w:rsidRPr="00150EDC">
              <w:rPr>
                <w:sz w:val="20"/>
              </w:rPr>
              <w:t>offences</w:t>
            </w:r>
            <w:r w:rsidRPr="00150EDC">
              <w:rPr>
                <w:spacing w:val="-5"/>
                <w:sz w:val="20"/>
              </w:rPr>
              <w:t xml:space="preserve"> </w:t>
            </w:r>
            <w:r w:rsidRPr="00150EDC">
              <w:rPr>
                <w:sz w:val="20"/>
              </w:rPr>
              <w:t>against</w:t>
            </w:r>
            <w:r w:rsidRPr="00150EDC">
              <w:rPr>
                <w:spacing w:val="-5"/>
                <w:sz w:val="20"/>
              </w:rPr>
              <w:t xml:space="preserve"> </w:t>
            </w:r>
            <w:r w:rsidRPr="00150EDC">
              <w:rPr>
                <w:sz w:val="20"/>
              </w:rPr>
              <w:t>woman</w:t>
            </w:r>
            <w:r w:rsidRPr="00150EDC">
              <w:rPr>
                <w:spacing w:val="-6"/>
                <w:sz w:val="20"/>
              </w:rPr>
              <w:t xml:space="preserve"> </w:t>
            </w:r>
            <w:r w:rsidRPr="00150EDC">
              <w:rPr>
                <w:spacing w:val="-2"/>
                <w:sz w:val="20"/>
              </w:rPr>
              <w:t>defective</w:t>
            </w:r>
          </w:p>
        </w:tc>
      </w:tr>
      <w:tr w:rsidR="004569EE" w:rsidRPr="007D3144" w14:paraId="13449603" w14:textId="77777777">
        <w:trPr>
          <w:trHeight w:val="255"/>
        </w:trPr>
        <w:tc>
          <w:tcPr>
            <w:tcW w:w="6517" w:type="dxa"/>
          </w:tcPr>
          <w:p w14:paraId="25607B12" w14:textId="77777777" w:rsidR="004C7180" w:rsidRPr="00150EDC" w:rsidRDefault="00CF0754">
            <w:pPr>
              <w:pStyle w:val="TableParagraph"/>
              <w:rPr>
                <w:sz w:val="20"/>
              </w:rPr>
            </w:pPr>
            <w:r w:rsidRPr="00150EDC">
              <w:rPr>
                <w:sz w:val="20"/>
              </w:rPr>
              <w:t>Mental</w:t>
            </w:r>
            <w:r w:rsidRPr="00150EDC">
              <w:rPr>
                <w:spacing w:val="-8"/>
                <w:sz w:val="20"/>
              </w:rPr>
              <w:t xml:space="preserve"> </w:t>
            </w:r>
            <w:r w:rsidRPr="00150EDC">
              <w:rPr>
                <w:sz w:val="20"/>
              </w:rPr>
              <w:t>Health</w:t>
            </w:r>
            <w:r w:rsidRPr="00150EDC">
              <w:rPr>
                <w:spacing w:val="-8"/>
                <w:sz w:val="20"/>
              </w:rPr>
              <w:t xml:space="preserve"> </w:t>
            </w:r>
            <w:r w:rsidRPr="00150EDC">
              <w:rPr>
                <w:sz w:val="20"/>
              </w:rPr>
              <w:t>(Scotland)</w:t>
            </w:r>
            <w:r w:rsidRPr="00150EDC">
              <w:rPr>
                <w:spacing w:val="-9"/>
                <w:sz w:val="20"/>
              </w:rPr>
              <w:t xml:space="preserve"> </w:t>
            </w:r>
            <w:r w:rsidRPr="00150EDC">
              <w:rPr>
                <w:sz w:val="20"/>
              </w:rPr>
              <w:t>Act</w:t>
            </w:r>
            <w:r w:rsidRPr="00150EDC">
              <w:rPr>
                <w:spacing w:val="-7"/>
                <w:sz w:val="20"/>
              </w:rPr>
              <w:t xml:space="preserve"> </w:t>
            </w:r>
            <w:r w:rsidRPr="00150EDC">
              <w:rPr>
                <w:sz w:val="20"/>
              </w:rPr>
              <w:t>1960,</w:t>
            </w:r>
            <w:r w:rsidRPr="00150EDC">
              <w:rPr>
                <w:spacing w:val="-9"/>
                <w:sz w:val="20"/>
              </w:rPr>
              <w:t xml:space="preserve"> </w:t>
            </w:r>
            <w:r w:rsidRPr="00150EDC">
              <w:rPr>
                <w:spacing w:val="-5"/>
                <w:sz w:val="20"/>
              </w:rPr>
              <w:t>s97</w:t>
            </w:r>
          </w:p>
        </w:tc>
        <w:tc>
          <w:tcPr>
            <w:tcW w:w="7427" w:type="dxa"/>
          </w:tcPr>
          <w:p w14:paraId="015E21D5" w14:textId="77777777" w:rsidR="004C7180" w:rsidRPr="00150EDC" w:rsidRDefault="00CF0754">
            <w:pPr>
              <w:pStyle w:val="TableParagraph"/>
              <w:rPr>
                <w:sz w:val="20"/>
              </w:rPr>
            </w:pPr>
            <w:r w:rsidRPr="00150EDC">
              <w:rPr>
                <w:sz w:val="20"/>
              </w:rPr>
              <w:t>Unlawful</w:t>
            </w:r>
            <w:r w:rsidRPr="00150EDC">
              <w:rPr>
                <w:spacing w:val="-4"/>
                <w:sz w:val="20"/>
              </w:rPr>
              <w:t xml:space="preserve"> </w:t>
            </w:r>
            <w:r w:rsidRPr="00150EDC">
              <w:rPr>
                <w:sz w:val="20"/>
              </w:rPr>
              <w:t>sexual</w:t>
            </w:r>
            <w:r w:rsidRPr="00150EDC">
              <w:rPr>
                <w:spacing w:val="-4"/>
                <w:sz w:val="20"/>
              </w:rPr>
              <w:t xml:space="preserve"> </w:t>
            </w:r>
            <w:r w:rsidRPr="00150EDC">
              <w:rPr>
                <w:sz w:val="20"/>
              </w:rPr>
              <w:t>intercourse</w:t>
            </w:r>
            <w:r w:rsidRPr="00150EDC">
              <w:rPr>
                <w:spacing w:val="-6"/>
                <w:sz w:val="20"/>
              </w:rPr>
              <w:t xml:space="preserve"> </w:t>
            </w:r>
            <w:r w:rsidRPr="00150EDC">
              <w:rPr>
                <w:sz w:val="20"/>
              </w:rPr>
              <w:t>with</w:t>
            </w:r>
            <w:r w:rsidRPr="00150EDC">
              <w:rPr>
                <w:spacing w:val="-2"/>
                <w:sz w:val="20"/>
              </w:rPr>
              <w:t xml:space="preserve"> </w:t>
            </w:r>
            <w:r w:rsidRPr="00150EDC">
              <w:rPr>
                <w:sz w:val="20"/>
              </w:rPr>
              <w:t>mental</w:t>
            </w:r>
            <w:r w:rsidRPr="00150EDC">
              <w:rPr>
                <w:spacing w:val="-4"/>
                <w:sz w:val="20"/>
              </w:rPr>
              <w:t xml:space="preserve"> </w:t>
            </w:r>
            <w:r w:rsidRPr="00150EDC">
              <w:rPr>
                <w:sz w:val="20"/>
              </w:rPr>
              <w:t>patient</w:t>
            </w:r>
            <w:r w:rsidRPr="00150EDC">
              <w:rPr>
                <w:spacing w:val="-5"/>
                <w:sz w:val="20"/>
              </w:rPr>
              <w:t xml:space="preserve"> </w:t>
            </w:r>
            <w:r w:rsidRPr="00150EDC">
              <w:rPr>
                <w:sz w:val="20"/>
              </w:rPr>
              <w:t>by</w:t>
            </w:r>
            <w:r w:rsidRPr="00150EDC">
              <w:rPr>
                <w:spacing w:val="-2"/>
                <w:sz w:val="20"/>
              </w:rPr>
              <w:t xml:space="preserve"> </w:t>
            </w:r>
            <w:r w:rsidRPr="00150EDC">
              <w:rPr>
                <w:sz w:val="20"/>
              </w:rPr>
              <w:t>staff</w:t>
            </w:r>
            <w:r w:rsidRPr="00150EDC">
              <w:rPr>
                <w:spacing w:val="-6"/>
                <w:sz w:val="20"/>
              </w:rPr>
              <w:t xml:space="preserve"> </w:t>
            </w:r>
            <w:r w:rsidRPr="00150EDC">
              <w:rPr>
                <w:sz w:val="20"/>
              </w:rPr>
              <w:t>or</w:t>
            </w:r>
            <w:r w:rsidRPr="00150EDC">
              <w:rPr>
                <w:spacing w:val="-1"/>
                <w:sz w:val="20"/>
              </w:rPr>
              <w:t xml:space="preserve"> </w:t>
            </w:r>
            <w:r w:rsidRPr="00150EDC">
              <w:rPr>
                <w:spacing w:val="-2"/>
                <w:sz w:val="20"/>
              </w:rPr>
              <w:t>guardian</w:t>
            </w:r>
          </w:p>
        </w:tc>
      </w:tr>
      <w:tr w:rsidR="004569EE" w:rsidRPr="007D3144" w14:paraId="0A412B40" w14:textId="77777777">
        <w:trPr>
          <w:trHeight w:val="255"/>
        </w:trPr>
        <w:tc>
          <w:tcPr>
            <w:tcW w:w="6517" w:type="dxa"/>
          </w:tcPr>
          <w:p w14:paraId="493BBC52" w14:textId="77777777" w:rsidR="004C7180" w:rsidRPr="00150EDC" w:rsidRDefault="00CF0754">
            <w:pPr>
              <w:pStyle w:val="TableParagraph"/>
              <w:spacing w:before="28"/>
              <w:rPr>
                <w:sz w:val="20"/>
              </w:rPr>
            </w:pPr>
            <w:r w:rsidRPr="00150EDC">
              <w:rPr>
                <w:sz w:val="20"/>
              </w:rPr>
              <w:t>Mental</w:t>
            </w:r>
            <w:r w:rsidRPr="00150EDC">
              <w:rPr>
                <w:spacing w:val="-8"/>
                <w:sz w:val="20"/>
              </w:rPr>
              <w:t xml:space="preserve"> </w:t>
            </w:r>
            <w:r w:rsidRPr="00150EDC">
              <w:rPr>
                <w:sz w:val="20"/>
              </w:rPr>
              <w:t>Health</w:t>
            </w:r>
            <w:r w:rsidRPr="00150EDC">
              <w:rPr>
                <w:spacing w:val="-8"/>
                <w:sz w:val="20"/>
              </w:rPr>
              <w:t xml:space="preserve"> </w:t>
            </w:r>
            <w:r w:rsidRPr="00150EDC">
              <w:rPr>
                <w:sz w:val="20"/>
              </w:rPr>
              <w:t>(Scotland)</w:t>
            </w:r>
            <w:r w:rsidRPr="00150EDC">
              <w:rPr>
                <w:spacing w:val="-9"/>
                <w:sz w:val="20"/>
              </w:rPr>
              <w:t xml:space="preserve"> </w:t>
            </w:r>
            <w:r w:rsidRPr="00150EDC">
              <w:rPr>
                <w:sz w:val="20"/>
              </w:rPr>
              <w:t>Act</w:t>
            </w:r>
            <w:r w:rsidRPr="00150EDC">
              <w:rPr>
                <w:spacing w:val="-7"/>
                <w:sz w:val="20"/>
              </w:rPr>
              <w:t xml:space="preserve"> </w:t>
            </w:r>
            <w:r w:rsidRPr="00150EDC">
              <w:rPr>
                <w:sz w:val="20"/>
              </w:rPr>
              <w:t>1960,</w:t>
            </w:r>
            <w:r w:rsidRPr="00150EDC">
              <w:rPr>
                <w:spacing w:val="-9"/>
                <w:sz w:val="20"/>
              </w:rPr>
              <w:t xml:space="preserve"> </w:t>
            </w:r>
            <w:r w:rsidRPr="00150EDC">
              <w:rPr>
                <w:spacing w:val="-5"/>
                <w:sz w:val="20"/>
              </w:rPr>
              <w:t>s98</w:t>
            </w:r>
          </w:p>
        </w:tc>
        <w:tc>
          <w:tcPr>
            <w:tcW w:w="7427" w:type="dxa"/>
          </w:tcPr>
          <w:p w14:paraId="13B462DB" w14:textId="77777777" w:rsidR="004C7180" w:rsidRPr="00150EDC" w:rsidRDefault="00CF0754">
            <w:pPr>
              <w:pStyle w:val="TableParagraph"/>
              <w:spacing w:before="28"/>
              <w:rPr>
                <w:sz w:val="20"/>
              </w:rPr>
            </w:pPr>
            <w:r w:rsidRPr="00150EDC">
              <w:rPr>
                <w:sz w:val="20"/>
              </w:rPr>
              <w:t>Assisting</w:t>
            </w:r>
            <w:r w:rsidRPr="00150EDC">
              <w:rPr>
                <w:spacing w:val="-7"/>
                <w:sz w:val="20"/>
              </w:rPr>
              <w:t xml:space="preserve"> </w:t>
            </w:r>
            <w:r w:rsidRPr="00150EDC">
              <w:rPr>
                <w:sz w:val="20"/>
              </w:rPr>
              <w:t>escape</w:t>
            </w:r>
            <w:r w:rsidRPr="00150EDC">
              <w:rPr>
                <w:spacing w:val="-6"/>
                <w:sz w:val="20"/>
              </w:rPr>
              <w:t xml:space="preserve"> </w:t>
            </w:r>
            <w:r w:rsidRPr="00150EDC">
              <w:rPr>
                <w:sz w:val="20"/>
              </w:rPr>
              <w:t>from</w:t>
            </w:r>
            <w:r w:rsidRPr="00150EDC">
              <w:rPr>
                <w:spacing w:val="-2"/>
                <w:sz w:val="20"/>
              </w:rPr>
              <w:t xml:space="preserve"> </w:t>
            </w:r>
            <w:r w:rsidRPr="00150EDC">
              <w:rPr>
                <w:sz w:val="20"/>
              </w:rPr>
              <w:t>mental</w:t>
            </w:r>
            <w:r w:rsidRPr="00150EDC">
              <w:rPr>
                <w:spacing w:val="-4"/>
                <w:sz w:val="20"/>
              </w:rPr>
              <w:t xml:space="preserve"> </w:t>
            </w:r>
            <w:r w:rsidRPr="00150EDC">
              <w:rPr>
                <w:sz w:val="20"/>
              </w:rPr>
              <w:t>institution</w:t>
            </w:r>
            <w:r w:rsidRPr="00150EDC">
              <w:rPr>
                <w:spacing w:val="-6"/>
                <w:sz w:val="20"/>
              </w:rPr>
              <w:t xml:space="preserve"> </w:t>
            </w:r>
            <w:r w:rsidRPr="00150EDC">
              <w:rPr>
                <w:sz w:val="20"/>
              </w:rPr>
              <w:t>or</w:t>
            </w:r>
            <w:r w:rsidRPr="00150EDC">
              <w:rPr>
                <w:spacing w:val="-2"/>
                <w:sz w:val="20"/>
              </w:rPr>
              <w:t xml:space="preserve"> harbouring</w:t>
            </w:r>
          </w:p>
        </w:tc>
      </w:tr>
      <w:tr w:rsidR="004569EE" w:rsidRPr="007D3144" w14:paraId="03B3EFD5" w14:textId="77777777">
        <w:trPr>
          <w:trHeight w:val="255"/>
        </w:trPr>
        <w:tc>
          <w:tcPr>
            <w:tcW w:w="6517" w:type="dxa"/>
          </w:tcPr>
          <w:p w14:paraId="0124F8DE" w14:textId="77777777" w:rsidR="004C7180" w:rsidRPr="00150EDC" w:rsidRDefault="00CF0754">
            <w:pPr>
              <w:pStyle w:val="TableParagraph"/>
              <w:rPr>
                <w:sz w:val="20"/>
              </w:rPr>
            </w:pPr>
            <w:r w:rsidRPr="00150EDC">
              <w:rPr>
                <w:sz w:val="20"/>
              </w:rPr>
              <w:t>Mental</w:t>
            </w:r>
            <w:r w:rsidRPr="00150EDC">
              <w:rPr>
                <w:spacing w:val="-8"/>
                <w:sz w:val="20"/>
              </w:rPr>
              <w:t xml:space="preserve"> </w:t>
            </w:r>
            <w:r w:rsidRPr="00150EDC">
              <w:rPr>
                <w:sz w:val="20"/>
              </w:rPr>
              <w:t>Health</w:t>
            </w:r>
            <w:r w:rsidRPr="00150EDC">
              <w:rPr>
                <w:spacing w:val="-8"/>
                <w:sz w:val="20"/>
              </w:rPr>
              <w:t xml:space="preserve"> </w:t>
            </w:r>
            <w:r w:rsidRPr="00150EDC">
              <w:rPr>
                <w:sz w:val="20"/>
              </w:rPr>
              <w:t>(Scotland)</w:t>
            </w:r>
            <w:r w:rsidRPr="00150EDC">
              <w:rPr>
                <w:spacing w:val="-9"/>
                <w:sz w:val="20"/>
              </w:rPr>
              <w:t xml:space="preserve"> </w:t>
            </w:r>
            <w:r w:rsidRPr="00150EDC">
              <w:rPr>
                <w:sz w:val="20"/>
              </w:rPr>
              <w:t>Act</w:t>
            </w:r>
            <w:r w:rsidRPr="00150EDC">
              <w:rPr>
                <w:spacing w:val="-7"/>
                <w:sz w:val="20"/>
              </w:rPr>
              <w:t xml:space="preserve"> </w:t>
            </w:r>
            <w:r w:rsidRPr="00150EDC">
              <w:rPr>
                <w:sz w:val="20"/>
              </w:rPr>
              <w:t>1984,</w:t>
            </w:r>
            <w:r w:rsidRPr="00150EDC">
              <w:rPr>
                <w:spacing w:val="-9"/>
                <w:sz w:val="20"/>
              </w:rPr>
              <w:t xml:space="preserve"> </w:t>
            </w:r>
            <w:r w:rsidRPr="00150EDC">
              <w:rPr>
                <w:spacing w:val="-4"/>
                <w:sz w:val="20"/>
              </w:rPr>
              <w:t>s104</w:t>
            </w:r>
          </w:p>
        </w:tc>
        <w:tc>
          <w:tcPr>
            <w:tcW w:w="7427" w:type="dxa"/>
          </w:tcPr>
          <w:p w14:paraId="026BFC1F" w14:textId="77777777" w:rsidR="004C7180" w:rsidRPr="00150EDC" w:rsidRDefault="00CF0754">
            <w:pPr>
              <w:pStyle w:val="TableParagraph"/>
              <w:rPr>
                <w:sz w:val="20"/>
              </w:rPr>
            </w:pPr>
            <w:r w:rsidRPr="00150EDC">
              <w:rPr>
                <w:sz w:val="20"/>
              </w:rPr>
              <w:t>Forgery</w:t>
            </w:r>
            <w:r w:rsidRPr="00150EDC">
              <w:rPr>
                <w:spacing w:val="-6"/>
                <w:sz w:val="20"/>
              </w:rPr>
              <w:t xml:space="preserve"> </w:t>
            </w:r>
            <w:r w:rsidRPr="00150EDC">
              <w:rPr>
                <w:sz w:val="20"/>
              </w:rPr>
              <w:t>of</w:t>
            </w:r>
            <w:r w:rsidRPr="00150EDC">
              <w:rPr>
                <w:spacing w:val="-2"/>
                <w:sz w:val="20"/>
              </w:rPr>
              <w:t xml:space="preserve"> documents</w:t>
            </w:r>
          </w:p>
        </w:tc>
      </w:tr>
      <w:tr w:rsidR="004569EE" w:rsidRPr="007D3144" w14:paraId="5B101B32" w14:textId="77777777">
        <w:trPr>
          <w:trHeight w:val="255"/>
        </w:trPr>
        <w:tc>
          <w:tcPr>
            <w:tcW w:w="6517" w:type="dxa"/>
          </w:tcPr>
          <w:p w14:paraId="290470B1" w14:textId="77777777" w:rsidR="004C7180" w:rsidRPr="00150EDC" w:rsidRDefault="00CF0754">
            <w:pPr>
              <w:pStyle w:val="TableParagraph"/>
              <w:rPr>
                <w:sz w:val="20"/>
              </w:rPr>
            </w:pPr>
            <w:r w:rsidRPr="00150EDC">
              <w:rPr>
                <w:sz w:val="20"/>
              </w:rPr>
              <w:t>Mental</w:t>
            </w:r>
            <w:r w:rsidRPr="00150EDC">
              <w:rPr>
                <w:spacing w:val="-8"/>
                <w:sz w:val="20"/>
              </w:rPr>
              <w:t xml:space="preserve"> </w:t>
            </w:r>
            <w:r w:rsidRPr="00150EDC">
              <w:rPr>
                <w:sz w:val="20"/>
              </w:rPr>
              <w:t>Health</w:t>
            </w:r>
            <w:r w:rsidRPr="00150EDC">
              <w:rPr>
                <w:spacing w:val="-8"/>
                <w:sz w:val="20"/>
              </w:rPr>
              <w:t xml:space="preserve"> </w:t>
            </w:r>
            <w:r w:rsidRPr="00150EDC">
              <w:rPr>
                <w:sz w:val="20"/>
              </w:rPr>
              <w:t>(Scotland)</w:t>
            </w:r>
            <w:r w:rsidRPr="00150EDC">
              <w:rPr>
                <w:spacing w:val="-9"/>
                <w:sz w:val="20"/>
              </w:rPr>
              <w:t xml:space="preserve"> </w:t>
            </w:r>
            <w:r w:rsidRPr="00150EDC">
              <w:rPr>
                <w:sz w:val="20"/>
              </w:rPr>
              <w:t>Act</w:t>
            </w:r>
            <w:r w:rsidRPr="00150EDC">
              <w:rPr>
                <w:spacing w:val="-7"/>
                <w:sz w:val="20"/>
              </w:rPr>
              <w:t xml:space="preserve"> </w:t>
            </w:r>
            <w:r w:rsidRPr="00150EDC">
              <w:rPr>
                <w:sz w:val="20"/>
              </w:rPr>
              <w:t>1984,</w:t>
            </w:r>
            <w:r w:rsidRPr="00150EDC">
              <w:rPr>
                <w:spacing w:val="-9"/>
                <w:sz w:val="20"/>
              </w:rPr>
              <w:t xml:space="preserve"> </w:t>
            </w:r>
            <w:r w:rsidRPr="00150EDC">
              <w:rPr>
                <w:spacing w:val="-4"/>
                <w:sz w:val="20"/>
              </w:rPr>
              <w:t>s105</w:t>
            </w:r>
          </w:p>
        </w:tc>
        <w:tc>
          <w:tcPr>
            <w:tcW w:w="7427" w:type="dxa"/>
          </w:tcPr>
          <w:p w14:paraId="2A640B3E" w14:textId="77777777" w:rsidR="004C7180" w:rsidRPr="00150EDC" w:rsidRDefault="00CF0754">
            <w:pPr>
              <w:pStyle w:val="TableParagraph"/>
              <w:rPr>
                <w:sz w:val="20"/>
              </w:rPr>
            </w:pPr>
            <w:r w:rsidRPr="00150EDC">
              <w:rPr>
                <w:sz w:val="20"/>
              </w:rPr>
              <w:t>Ill-treatment</w:t>
            </w:r>
            <w:r w:rsidRPr="00150EDC">
              <w:rPr>
                <w:spacing w:val="-12"/>
                <w:sz w:val="20"/>
              </w:rPr>
              <w:t xml:space="preserve"> </w:t>
            </w:r>
            <w:r w:rsidRPr="00150EDC">
              <w:rPr>
                <w:sz w:val="20"/>
              </w:rPr>
              <w:t>of</w:t>
            </w:r>
            <w:r w:rsidRPr="00150EDC">
              <w:rPr>
                <w:spacing w:val="-14"/>
                <w:sz w:val="20"/>
              </w:rPr>
              <w:t xml:space="preserve"> </w:t>
            </w:r>
            <w:r w:rsidRPr="00150EDC">
              <w:rPr>
                <w:spacing w:val="-2"/>
                <w:sz w:val="20"/>
              </w:rPr>
              <w:t>patients</w:t>
            </w:r>
          </w:p>
        </w:tc>
      </w:tr>
      <w:tr w:rsidR="004569EE" w:rsidRPr="007D3144" w14:paraId="53476E50" w14:textId="77777777">
        <w:trPr>
          <w:trHeight w:val="255"/>
        </w:trPr>
        <w:tc>
          <w:tcPr>
            <w:tcW w:w="6517" w:type="dxa"/>
          </w:tcPr>
          <w:p w14:paraId="13F0268E" w14:textId="77777777" w:rsidR="004C7180" w:rsidRPr="00150EDC" w:rsidRDefault="00CF0754">
            <w:pPr>
              <w:pStyle w:val="TableParagraph"/>
              <w:rPr>
                <w:sz w:val="20"/>
              </w:rPr>
            </w:pPr>
            <w:r w:rsidRPr="00150EDC">
              <w:rPr>
                <w:sz w:val="20"/>
              </w:rPr>
              <w:t>Mental</w:t>
            </w:r>
            <w:r w:rsidRPr="00150EDC">
              <w:rPr>
                <w:spacing w:val="-8"/>
                <w:sz w:val="20"/>
              </w:rPr>
              <w:t xml:space="preserve"> </w:t>
            </w:r>
            <w:r w:rsidRPr="00150EDC">
              <w:rPr>
                <w:sz w:val="20"/>
              </w:rPr>
              <w:t>Health</w:t>
            </w:r>
            <w:r w:rsidRPr="00150EDC">
              <w:rPr>
                <w:spacing w:val="-7"/>
                <w:sz w:val="20"/>
              </w:rPr>
              <w:t xml:space="preserve"> </w:t>
            </w:r>
            <w:r w:rsidRPr="00150EDC">
              <w:rPr>
                <w:sz w:val="20"/>
              </w:rPr>
              <w:t>(Scotland)</w:t>
            </w:r>
            <w:r w:rsidRPr="00150EDC">
              <w:rPr>
                <w:spacing w:val="-8"/>
                <w:sz w:val="20"/>
              </w:rPr>
              <w:t xml:space="preserve"> </w:t>
            </w:r>
            <w:r w:rsidRPr="00150EDC">
              <w:rPr>
                <w:sz w:val="20"/>
              </w:rPr>
              <w:t>Act</w:t>
            </w:r>
            <w:r w:rsidRPr="00150EDC">
              <w:rPr>
                <w:spacing w:val="-8"/>
                <w:sz w:val="20"/>
              </w:rPr>
              <w:t xml:space="preserve"> </w:t>
            </w:r>
            <w:r w:rsidRPr="00150EDC">
              <w:rPr>
                <w:sz w:val="20"/>
              </w:rPr>
              <w:t>1984,</w:t>
            </w:r>
            <w:r w:rsidRPr="00150EDC">
              <w:rPr>
                <w:spacing w:val="-8"/>
                <w:sz w:val="20"/>
              </w:rPr>
              <w:t xml:space="preserve"> </w:t>
            </w:r>
            <w:r w:rsidRPr="00150EDC">
              <w:rPr>
                <w:spacing w:val="-4"/>
                <w:sz w:val="20"/>
              </w:rPr>
              <w:t>s106</w:t>
            </w:r>
          </w:p>
        </w:tc>
        <w:tc>
          <w:tcPr>
            <w:tcW w:w="7427" w:type="dxa"/>
          </w:tcPr>
          <w:p w14:paraId="7F03E3CF" w14:textId="77777777" w:rsidR="004C7180" w:rsidRPr="00150EDC" w:rsidRDefault="00CF0754">
            <w:pPr>
              <w:pStyle w:val="TableParagraph"/>
              <w:rPr>
                <w:sz w:val="20"/>
              </w:rPr>
            </w:pPr>
            <w:r w:rsidRPr="00150EDC">
              <w:rPr>
                <w:sz w:val="20"/>
              </w:rPr>
              <w:t>Unlawful</w:t>
            </w:r>
            <w:r w:rsidRPr="00150EDC">
              <w:rPr>
                <w:spacing w:val="-6"/>
                <w:sz w:val="20"/>
              </w:rPr>
              <w:t xml:space="preserve"> </w:t>
            </w:r>
            <w:r w:rsidRPr="00150EDC">
              <w:rPr>
                <w:sz w:val="20"/>
              </w:rPr>
              <w:t>sexual</w:t>
            </w:r>
            <w:r w:rsidRPr="00150EDC">
              <w:rPr>
                <w:spacing w:val="-5"/>
                <w:sz w:val="20"/>
              </w:rPr>
              <w:t xml:space="preserve"> </w:t>
            </w:r>
            <w:r w:rsidRPr="00150EDC">
              <w:rPr>
                <w:sz w:val="20"/>
              </w:rPr>
              <w:t>intercourse</w:t>
            </w:r>
            <w:r w:rsidRPr="00150EDC">
              <w:rPr>
                <w:spacing w:val="-7"/>
                <w:sz w:val="20"/>
              </w:rPr>
              <w:t xml:space="preserve"> </w:t>
            </w:r>
            <w:r w:rsidRPr="00150EDC">
              <w:rPr>
                <w:sz w:val="20"/>
              </w:rPr>
              <w:t>with</w:t>
            </w:r>
            <w:r w:rsidRPr="00150EDC">
              <w:rPr>
                <w:spacing w:val="-3"/>
                <w:sz w:val="20"/>
              </w:rPr>
              <w:t xml:space="preserve"> </w:t>
            </w:r>
            <w:r w:rsidRPr="00150EDC">
              <w:rPr>
                <w:sz w:val="20"/>
              </w:rPr>
              <w:t>protected</w:t>
            </w:r>
            <w:r w:rsidRPr="00150EDC">
              <w:rPr>
                <w:spacing w:val="-3"/>
                <w:sz w:val="20"/>
              </w:rPr>
              <w:t xml:space="preserve"> </w:t>
            </w:r>
            <w:r w:rsidRPr="00150EDC">
              <w:rPr>
                <w:sz w:val="20"/>
              </w:rPr>
              <w:t>persons</w:t>
            </w:r>
            <w:r w:rsidRPr="00150EDC">
              <w:rPr>
                <w:spacing w:val="-6"/>
                <w:sz w:val="20"/>
              </w:rPr>
              <w:t xml:space="preserve"> </w:t>
            </w:r>
            <w:r w:rsidRPr="00150EDC">
              <w:rPr>
                <w:sz w:val="20"/>
              </w:rPr>
              <w:t>/</w:t>
            </w:r>
            <w:r w:rsidRPr="00150EDC">
              <w:rPr>
                <w:spacing w:val="-7"/>
                <w:sz w:val="20"/>
              </w:rPr>
              <w:t xml:space="preserve"> </w:t>
            </w:r>
            <w:r w:rsidRPr="00150EDC">
              <w:rPr>
                <w:spacing w:val="-2"/>
                <w:sz w:val="20"/>
              </w:rPr>
              <w:t>patients</w:t>
            </w:r>
          </w:p>
        </w:tc>
      </w:tr>
      <w:tr w:rsidR="004569EE" w:rsidRPr="007D3144" w14:paraId="2EE3A589" w14:textId="77777777">
        <w:trPr>
          <w:trHeight w:val="250"/>
        </w:trPr>
        <w:tc>
          <w:tcPr>
            <w:tcW w:w="6517" w:type="dxa"/>
            <w:tcBorders>
              <w:bottom w:val="single" w:sz="12" w:space="0" w:color="000000"/>
            </w:tcBorders>
          </w:tcPr>
          <w:p w14:paraId="765FE57A" w14:textId="77777777" w:rsidR="004C7180" w:rsidRPr="00150EDC" w:rsidRDefault="00CF0754">
            <w:pPr>
              <w:pStyle w:val="TableParagraph"/>
              <w:spacing w:line="203" w:lineRule="exact"/>
              <w:rPr>
                <w:sz w:val="20"/>
              </w:rPr>
            </w:pPr>
            <w:r w:rsidRPr="00150EDC">
              <w:rPr>
                <w:sz w:val="20"/>
              </w:rPr>
              <w:t>Mental</w:t>
            </w:r>
            <w:r w:rsidRPr="00150EDC">
              <w:rPr>
                <w:spacing w:val="-8"/>
                <w:sz w:val="20"/>
              </w:rPr>
              <w:t xml:space="preserve"> </w:t>
            </w:r>
            <w:r w:rsidRPr="00150EDC">
              <w:rPr>
                <w:sz w:val="20"/>
              </w:rPr>
              <w:t>Health</w:t>
            </w:r>
            <w:r w:rsidRPr="00150EDC">
              <w:rPr>
                <w:spacing w:val="-8"/>
                <w:sz w:val="20"/>
              </w:rPr>
              <w:t xml:space="preserve"> </w:t>
            </w:r>
            <w:r w:rsidRPr="00150EDC">
              <w:rPr>
                <w:sz w:val="20"/>
              </w:rPr>
              <w:t>(Scotland)</w:t>
            </w:r>
            <w:r w:rsidRPr="00150EDC">
              <w:rPr>
                <w:spacing w:val="-9"/>
                <w:sz w:val="20"/>
              </w:rPr>
              <w:t xml:space="preserve"> </w:t>
            </w:r>
            <w:r w:rsidRPr="00150EDC">
              <w:rPr>
                <w:sz w:val="20"/>
              </w:rPr>
              <w:t>Act</w:t>
            </w:r>
            <w:r w:rsidRPr="00150EDC">
              <w:rPr>
                <w:spacing w:val="-7"/>
                <w:sz w:val="20"/>
              </w:rPr>
              <w:t xml:space="preserve"> </w:t>
            </w:r>
            <w:r w:rsidRPr="00150EDC">
              <w:rPr>
                <w:sz w:val="20"/>
              </w:rPr>
              <w:t>1984,</w:t>
            </w:r>
            <w:r w:rsidRPr="00150EDC">
              <w:rPr>
                <w:spacing w:val="-9"/>
                <w:sz w:val="20"/>
              </w:rPr>
              <w:t xml:space="preserve"> </w:t>
            </w:r>
            <w:r w:rsidRPr="00150EDC">
              <w:rPr>
                <w:spacing w:val="-4"/>
                <w:sz w:val="20"/>
              </w:rPr>
              <w:t>s107</w:t>
            </w:r>
          </w:p>
        </w:tc>
        <w:tc>
          <w:tcPr>
            <w:tcW w:w="7427" w:type="dxa"/>
            <w:tcBorders>
              <w:bottom w:val="single" w:sz="12" w:space="0" w:color="000000"/>
            </w:tcBorders>
          </w:tcPr>
          <w:p w14:paraId="57F3612B" w14:textId="77777777" w:rsidR="004C7180" w:rsidRPr="00150EDC" w:rsidRDefault="00CF0754">
            <w:pPr>
              <w:pStyle w:val="TableParagraph"/>
              <w:spacing w:line="203" w:lineRule="exact"/>
              <w:rPr>
                <w:sz w:val="20"/>
              </w:rPr>
            </w:pPr>
            <w:r w:rsidRPr="00150EDC">
              <w:rPr>
                <w:sz w:val="20"/>
              </w:rPr>
              <w:t>Unlawful</w:t>
            </w:r>
            <w:r w:rsidRPr="00150EDC">
              <w:rPr>
                <w:spacing w:val="-6"/>
                <w:sz w:val="20"/>
              </w:rPr>
              <w:t xml:space="preserve"> </w:t>
            </w:r>
            <w:r w:rsidRPr="00150EDC">
              <w:rPr>
                <w:sz w:val="20"/>
              </w:rPr>
              <w:t>sexual</w:t>
            </w:r>
            <w:r w:rsidRPr="00150EDC">
              <w:rPr>
                <w:spacing w:val="-6"/>
                <w:sz w:val="20"/>
              </w:rPr>
              <w:t xml:space="preserve"> </w:t>
            </w:r>
            <w:r w:rsidRPr="00150EDC">
              <w:rPr>
                <w:sz w:val="20"/>
              </w:rPr>
              <w:t>intercourse</w:t>
            </w:r>
            <w:r w:rsidRPr="00150EDC">
              <w:rPr>
                <w:spacing w:val="-8"/>
                <w:sz w:val="20"/>
              </w:rPr>
              <w:t xml:space="preserve"> </w:t>
            </w:r>
            <w:r w:rsidRPr="00150EDC">
              <w:rPr>
                <w:sz w:val="20"/>
              </w:rPr>
              <w:t>with</w:t>
            </w:r>
            <w:r w:rsidRPr="00150EDC">
              <w:rPr>
                <w:spacing w:val="-4"/>
                <w:sz w:val="20"/>
              </w:rPr>
              <w:t xml:space="preserve"> </w:t>
            </w:r>
            <w:r w:rsidRPr="00150EDC">
              <w:rPr>
                <w:sz w:val="20"/>
              </w:rPr>
              <w:t>mentally</w:t>
            </w:r>
            <w:r w:rsidRPr="00150EDC">
              <w:rPr>
                <w:spacing w:val="-6"/>
                <w:sz w:val="20"/>
              </w:rPr>
              <w:t xml:space="preserve"> </w:t>
            </w:r>
            <w:r w:rsidRPr="00150EDC">
              <w:rPr>
                <w:sz w:val="20"/>
              </w:rPr>
              <w:t>handicapped</w:t>
            </w:r>
            <w:r w:rsidRPr="00150EDC">
              <w:rPr>
                <w:spacing w:val="-8"/>
                <w:sz w:val="20"/>
              </w:rPr>
              <w:t xml:space="preserve"> </w:t>
            </w:r>
            <w:r w:rsidRPr="00150EDC">
              <w:rPr>
                <w:spacing w:val="-2"/>
                <w:sz w:val="20"/>
              </w:rPr>
              <w:t>female</w:t>
            </w:r>
          </w:p>
        </w:tc>
      </w:tr>
      <w:tr w:rsidR="004569EE" w:rsidRPr="007D3144" w14:paraId="0426A4A8" w14:textId="77777777">
        <w:trPr>
          <w:trHeight w:val="250"/>
        </w:trPr>
        <w:tc>
          <w:tcPr>
            <w:tcW w:w="6517" w:type="dxa"/>
            <w:tcBorders>
              <w:top w:val="single" w:sz="12" w:space="0" w:color="000000"/>
            </w:tcBorders>
          </w:tcPr>
          <w:p w14:paraId="6E52365C" w14:textId="77777777" w:rsidR="004C7180" w:rsidRPr="00150EDC" w:rsidRDefault="00CF0754">
            <w:pPr>
              <w:pStyle w:val="TableParagraph"/>
              <w:spacing w:before="22"/>
              <w:rPr>
                <w:sz w:val="20"/>
              </w:rPr>
            </w:pPr>
            <w:r w:rsidRPr="00150EDC">
              <w:rPr>
                <w:sz w:val="20"/>
              </w:rPr>
              <w:t>Mental</w:t>
            </w:r>
            <w:r w:rsidRPr="00150EDC">
              <w:rPr>
                <w:spacing w:val="-8"/>
                <w:sz w:val="20"/>
              </w:rPr>
              <w:t xml:space="preserve"> </w:t>
            </w:r>
            <w:r w:rsidRPr="00150EDC">
              <w:rPr>
                <w:sz w:val="20"/>
              </w:rPr>
              <w:t>Health</w:t>
            </w:r>
            <w:r w:rsidRPr="00150EDC">
              <w:rPr>
                <w:spacing w:val="-8"/>
                <w:sz w:val="20"/>
              </w:rPr>
              <w:t xml:space="preserve"> </w:t>
            </w:r>
            <w:r w:rsidRPr="00150EDC">
              <w:rPr>
                <w:sz w:val="20"/>
              </w:rPr>
              <w:t>(Scotland)</w:t>
            </w:r>
            <w:r w:rsidRPr="00150EDC">
              <w:rPr>
                <w:spacing w:val="-9"/>
                <w:sz w:val="20"/>
              </w:rPr>
              <w:t xml:space="preserve"> </w:t>
            </w:r>
            <w:r w:rsidRPr="00150EDC">
              <w:rPr>
                <w:sz w:val="20"/>
              </w:rPr>
              <w:t>Act</w:t>
            </w:r>
            <w:r w:rsidRPr="00150EDC">
              <w:rPr>
                <w:spacing w:val="-7"/>
                <w:sz w:val="20"/>
              </w:rPr>
              <w:t xml:space="preserve"> </w:t>
            </w:r>
            <w:r w:rsidRPr="00150EDC">
              <w:rPr>
                <w:sz w:val="20"/>
              </w:rPr>
              <w:t>1984,</w:t>
            </w:r>
            <w:r w:rsidRPr="00150EDC">
              <w:rPr>
                <w:spacing w:val="-9"/>
                <w:sz w:val="20"/>
              </w:rPr>
              <w:t xml:space="preserve"> </w:t>
            </w:r>
            <w:r w:rsidRPr="00150EDC">
              <w:rPr>
                <w:spacing w:val="-4"/>
                <w:sz w:val="20"/>
              </w:rPr>
              <w:t>s108</w:t>
            </w:r>
          </w:p>
        </w:tc>
        <w:tc>
          <w:tcPr>
            <w:tcW w:w="7427" w:type="dxa"/>
            <w:tcBorders>
              <w:top w:val="single" w:sz="12" w:space="0" w:color="000000"/>
            </w:tcBorders>
          </w:tcPr>
          <w:p w14:paraId="62FC4D19" w14:textId="77777777" w:rsidR="004C7180" w:rsidRPr="00150EDC" w:rsidRDefault="00CF0754">
            <w:pPr>
              <w:pStyle w:val="TableParagraph"/>
              <w:spacing w:before="22"/>
              <w:rPr>
                <w:sz w:val="20"/>
              </w:rPr>
            </w:pPr>
            <w:r w:rsidRPr="00150EDC">
              <w:rPr>
                <w:sz w:val="20"/>
              </w:rPr>
              <w:t>Assisting</w:t>
            </w:r>
            <w:r w:rsidRPr="00150EDC">
              <w:rPr>
                <w:spacing w:val="-6"/>
                <w:sz w:val="20"/>
              </w:rPr>
              <w:t xml:space="preserve"> </w:t>
            </w:r>
            <w:r w:rsidRPr="00150EDC">
              <w:rPr>
                <w:sz w:val="20"/>
              </w:rPr>
              <w:t>patients</w:t>
            </w:r>
            <w:r w:rsidRPr="00150EDC">
              <w:rPr>
                <w:spacing w:val="-5"/>
                <w:sz w:val="20"/>
              </w:rPr>
              <w:t xml:space="preserve"> </w:t>
            </w:r>
            <w:r w:rsidRPr="00150EDC">
              <w:rPr>
                <w:sz w:val="20"/>
              </w:rPr>
              <w:t>to</w:t>
            </w:r>
            <w:r w:rsidRPr="00150EDC">
              <w:rPr>
                <w:spacing w:val="-5"/>
                <w:sz w:val="20"/>
              </w:rPr>
              <w:t xml:space="preserve"> </w:t>
            </w:r>
            <w:r w:rsidRPr="00150EDC">
              <w:rPr>
                <w:sz w:val="20"/>
              </w:rPr>
              <w:t>absent</w:t>
            </w:r>
            <w:r w:rsidRPr="00150EDC">
              <w:rPr>
                <w:spacing w:val="-6"/>
                <w:sz w:val="20"/>
              </w:rPr>
              <w:t xml:space="preserve"> </w:t>
            </w:r>
            <w:r w:rsidRPr="00150EDC">
              <w:rPr>
                <w:sz w:val="20"/>
              </w:rPr>
              <w:t>themselves</w:t>
            </w:r>
            <w:r w:rsidRPr="00150EDC">
              <w:rPr>
                <w:spacing w:val="-4"/>
                <w:sz w:val="20"/>
              </w:rPr>
              <w:t xml:space="preserve"> </w:t>
            </w:r>
            <w:r w:rsidRPr="00150EDC">
              <w:rPr>
                <w:sz w:val="20"/>
              </w:rPr>
              <w:t>without</w:t>
            </w:r>
            <w:r w:rsidRPr="00150EDC">
              <w:rPr>
                <w:spacing w:val="-6"/>
                <w:sz w:val="20"/>
              </w:rPr>
              <w:t xml:space="preserve"> </w:t>
            </w:r>
            <w:r w:rsidRPr="00150EDC">
              <w:rPr>
                <w:sz w:val="20"/>
              </w:rPr>
              <w:t>leave</w:t>
            </w:r>
            <w:r w:rsidRPr="00150EDC">
              <w:rPr>
                <w:spacing w:val="-5"/>
                <w:sz w:val="20"/>
              </w:rPr>
              <w:t xml:space="preserve"> etc</w:t>
            </w:r>
          </w:p>
        </w:tc>
      </w:tr>
      <w:tr w:rsidR="004569EE" w:rsidRPr="007D3144" w14:paraId="1AF8C7E7" w14:textId="77777777">
        <w:trPr>
          <w:trHeight w:val="255"/>
        </w:trPr>
        <w:tc>
          <w:tcPr>
            <w:tcW w:w="6517" w:type="dxa"/>
          </w:tcPr>
          <w:p w14:paraId="59877C13" w14:textId="77777777" w:rsidR="004C7180" w:rsidRPr="00150EDC" w:rsidRDefault="00CF0754">
            <w:pPr>
              <w:pStyle w:val="TableParagraph"/>
              <w:rPr>
                <w:sz w:val="20"/>
              </w:rPr>
            </w:pPr>
            <w:r w:rsidRPr="00150EDC">
              <w:rPr>
                <w:sz w:val="20"/>
              </w:rPr>
              <w:t>Mental</w:t>
            </w:r>
            <w:r w:rsidRPr="00150EDC">
              <w:rPr>
                <w:spacing w:val="-8"/>
                <w:sz w:val="20"/>
              </w:rPr>
              <w:t xml:space="preserve"> </w:t>
            </w:r>
            <w:r w:rsidRPr="00150EDC">
              <w:rPr>
                <w:sz w:val="20"/>
              </w:rPr>
              <w:t>Health</w:t>
            </w:r>
            <w:r w:rsidRPr="00150EDC">
              <w:rPr>
                <w:spacing w:val="-8"/>
                <w:sz w:val="20"/>
              </w:rPr>
              <w:t xml:space="preserve"> </w:t>
            </w:r>
            <w:r w:rsidRPr="00150EDC">
              <w:rPr>
                <w:sz w:val="20"/>
              </w:rPr>
              <w:t>(Scotland)</w:t>
            </w:r>
            <w:r w:rsidRPr="00150EDC">
              <w:rPr>
                <w:spacing w:val="-9"/>
                <w:sz w:val="20"/>
              </w:rPr>
              <w:t xml:space="preserve"> </w:t>
            </w:r>
            <w:r w:rsidRPr="00150EDC">
              <w:rPr>
                <w:sz w:val="20"/>
              </w:rPr>
              <w:t>Act</w:t>
            </w:r>
            <w:r w:rsidRPr="00150EDC">
              <w:rPr>
                <w:spacing w:val="-7"/>
                <w:sz w:val="20"/>
              </w:rPr>
              <w:t xml:space="preserve"> </w:t>
            </w:r>
            <w:r w:rsidRPr="00150EDC">
              <w:rPr>
                <w:sz w:val="20"/>
              </w:rPr>
              <w:t>1984,</w:t>
            </w:r>
            <w:r w:rsidRPr="00150EDC">
              <w:rPr>
                <w:spacing w:val="-9"/>
                <w:sz w:val="20"/>
              </w:rPr>
              <w:t xml:space="preserve"> </w:t>
            </w:r>
            <w:r w:rsidRPr="00150EDC">
              <w:rPr>
                <w:spacing w:val="-4"/>
                <w:sz w:val="20"/>
              </w:rPr>
              <w:t>s109</w:t>
            </w:r>
          </w:p>
        </w:tc>
        <w:tc>
          <w:tcPr>
            <w:tcW w:w="7427" w:type="dxa"/>
          </w:tcPr>
          <w:p w14:paraId="3DAFC3D6" w14:textId="77777777" w:rsidR="004C7180" w:rsidRPr="00150EDC" w:rsidRDefault="00CF0754">
            <w:pPr>
              <w:pStyle w:val="TableParagraph"/>
              <w:rPr>
                <w:sz w:val="20"/>
              </w:rPr>
            </w:pPr>
            <w:r w:rsidRPr="00150EDC">
              <w:rPr>
                <w:spacing w:val="-2"/>
                <w:sz w:val="20"/>
              </w:rPr>
              <w:t>Obstruction</w:t>
            </w:r>
          </w:p>
        </w:tc>
      </w:tr>
      <w:tr w:rsidR="004569EE" w:rsidRPr="007D3144" w14:paraId="7C06AEE7" w14:textId="77777777">
        <w:trPr>
          <w:trHeight w:val="255"/>
        </w:trPr>
        <w:tc>
          <w:tcPr>
            <w:tcW w:w="6517" w:type="dxa"/>
          </w:tcPr>
          <w:p w14:paraId="5519B69E" w14:textId="77777777" w:rsidR="004C7180" w:rsidRPr="00150EDC" w:rsidRDefault="00CF0754">
            <w:pPr>
              <w:pStyle w:val="TableParagraph"/>
              <w:rPr>
                <w:sz w:val="20"/>
              </w:rPr>
            </w:pPr>
            <w:r w:rsidRPr="00150EDC">
              <w:rPr>
                <w:sz w:val="20"/>
              </w:rPr>
              <w:t>Mental</w:t>
            </w:r>
            <w:r w:rsidRPr="00150EDC">
              <w:rPr>
                <w:spacing w:val="-7"/>
                <w:sz w:val="20"/>
              </w:rPr>
              <w:t xml:space="preserve"> </w:t>
            </w:r>
            <w:r w:rsidRPr="00150EDC">
              <w:rPr>
                <w:sz w:val="20"/>
              </w:rPr>
              <w:t>Health</w:t>
            </w:r>
            <w:r w:rsidRPr="00150EDC">
              <w:rPr>
                <w:spacing w:val="-9"/>
                <w:sz w:val="20"/>
              </w:rPr>
              <w:t xml:space="preserve"> </w:t>
            </w:r>
            <w:r w:rsidRPr="00150EDC">
              <w:rPr>
                <w:sz w:val="20"/>
              </w:rPr>
              <w:t>Act</w:t>
            </w:r>
            <w:r w:rsidRPr="00150EDC">
              <w:rPr>
                <w:spacing w:val="-7"/>
                <w:sz w:val="20"/>
              </w:rPr>
              <w:t xml:space="preserve"> </w:t>
            </w:r>
            <w:r w:rsidRPr="00150EDC">
              <w:rPr>
                <w:sz w:val="20"/>
              </w:rPr>
              <w:t>1959,</w:t>
            </w:r>
            <w:r w:rsidRPr="00150EDC">
              <w:rPr>
                <w:spacing w:val="-8"/>
                <w:sz w:val="20"/>
              </w:rPr>
              <w:t xml:space="preserve"> </w:t>
            </w:r>
            <w:r w:rsidRPr="00150EDC">
              <w:rPr>
                <w:spacing w:val="-4"/>
                <w:sz w:val="20"/>
              </w:rPr>
              <w:t>s125</w:t>
            </w:r>
          </w:p>
        </w:tc>
        <w:tc>
          <w:tcPr>
            <w:tcW w:w="7427" w:type="dxa"/>
          </w:tcPr>
          <w:p w14:paraId="567FB319" w14:textId="77777777" w:rsidR="004C7180" w:rsidRPr="00150EDC" w:rsidRDefault="00CF0754">
            <w:pPr>
              <w:pStyle w:val="TableParagraph"/>
              <w:rPr>
                <w:sz w:val="20"/>
              </w:rPr>
            </w:pPr>
            <w:r w:rsidRPr="00150EDC">
              <w:rPr>
                <w:sz w:val="20"/>
              </w:rPr>
              <w:t>Forgery</w:t>
            </w:r>
            <w:r w:rsidRPr="00150EDC">
              <w:rPr>
                <w:spacing w:val="-6"/>
                <w:sz w:val="20"/>
              </w:rPr>
              <w:t xml:space="preserve"> </w:t>
            </w:r>
            <w:r w:rsidRPr="00150EDC">
              <w:rPr>
                <w:sz w:val="20"/>
              </w:rPr>
              <w:t>of</w:t>
            </w:r>
            <w:r w:rsidRPr="00150EDC">
              <w:rPr>
                <w:spacing w:val="-2"/>
                <w:sz w:val="20"/>
              </w:rPr>
              <w:t xml:space="preserve"> documents</w:t>
            </w:r>
          </w:p>
        </w:tc>
      </w:tr>
      <w:tr w:rsidR="004569EE" w:rsidRPr="007D3144" w14:paraId="62672381" w14:textId="77777777">
        <w:trPr>
          <w:trHeight w:val="255"/>
        </w:trPr>
        <w:tc>
          <w:tcPr>
            <w:tcW w:w="6517" w:type="dxa"/>
          </w:tcPr>
          <w:p w14:paraId="2770D88B" w14:textId="77777777" w:rsidR="004C7180" w:rsidRPr="00150EDC" w:rsidRDefault="00CF0754">
            <w:pPr>
              <w:pStyle w:val="TableParagraph"/>
              <w:rPr>
                <w:sz w:val="20"/>
              </w:rPr>
            </w:pPr>
            <w:r w:rsidRPr="00150EDC">
              <w:rPr>
                <w:sz w:val="20"/>
              </w:rPr>
              <w:t>Mental</w:t>
            </w:r>
            <w:r w:rsidRPr="00150EDC">
              <w:rPr>
                <w:spacing w:val="-7"/>
                <w:sz w:val="20"/>
              </w:rPr>
              <w:t xml:space="preserve"> </w:t>
            </w:r>
            <w:r w:rsidRPr="00150EDC">
              <w:rPr>
                <w:sz w:val="20"/>
              </w:rPr>
              <w:t>Health</w:t>
            </w:r>
            <w:r w:rsidRPr="00150EDC">
              <w:rPr>
                <w:spacing w:val="-9"/>
                <w:sz w:val="20"/>
              </w:rPr>
              <w:t xml:space="preserve"> </w:t>
            </w:r>
            <w:r w:rsidRPr="00150EDC">
              <w:rPr>
                <w:sz w:val="20"/>
              </w:rPr>
              <w:t>Act</w:t>
            </w:r>
            <w:r w:rsidRPr="00150EDC">
              <w:rPr>
                <w:spacing w:val="-7"/>
                <w:sz w:val="20"/>
              </w:rPr>
              <w:t xml:space="preserve"> </w:t>
            </w:r>
            <w:r w:rsidRPr="00150EDC">
              <w:rPr>
                <w:sz w:val="20"/>
              </w:rPr>
              <w:t>1959,</w:t>
            </w:r>
            <w:r w:rsidRPr="00150EDC">
              <w:rPr>
                <w:spacing w:val="-8"/>
                <w:sz w:val="20"/>
              </w:rPr>
              <w:t xml:space="preserve"> </w:t>
            </w:r>
            <w:r w:rsidRPr="00150EDC">
              <w:rPr>
                <w:spacing w:val="-4"/>
                <w:sz w:val="20"/>
              </w:rPr>
              <w:t>s126</w:t>
            </w:r>
          </w:p>
        </w:tc>
        <w:tc>
          <w:tcPr>
            <w:tcW w:w="7427" w:type="dxa"/>
          </w:tcPr>
          <w:p w14:paraId="2F301374" w14:textId="77777777" w:rsidR="004C7180" w:rsidRPr="00150EDC" w:rsidRDefault="00CF0754">
            <w:pPr>
              <w:pStyle w:val="TableParagraph"/>
              <w:rPr>
                <w:sz w:val="20"/>
              </w:rPr>
            </w:pPr>
            <w:r w:rsidRPr="00150EDC">
              <w:rPr>
                <w:sz w:val="20"/>
              </w:rPr>
              <w:t>Ill-treatment</w:t>
            </w:r>
            <w:r w:rsidRPr="00150EDC">
              <w:rPr>
                <w:spacing w:val="-13"/>
                <w:sz w:val="20"/>
              </w:rPr>
              <w:t xml:space="preserve"> </w:t>
            </w:r>
            <w:r w:rsidRPr="00150EDC">
              <w:rPr>
                <w:sz w:val="20"/>
              </w:rPr>
              <w:t>and</w:t>
            </w:r>
            <w:r w:rsidRPr="00150EDC">
              <w:rPr>
                <w:spacing w:val="-14"/>
                <w:sz w:val="20"/>
              </w:rPr>
              <w:t xml:space="preserve"> </w:t>
            </w:r>
            <w:r w:rsidRPr="00150EDC">
              <w:rPr>
                <w:sz w:val="20"/>
              </w:rPr>
              <w:t>wilful</w:t>
            </w:r>
            <w:r w:rsidRPr="00150EDC">
              <w:rPr>
                <w:spacing w:val="-13"/>
                <w:sz w:val="20"/>
              </w:rPr>
              <w:t xml:space="preserve"> </w:t>
            </w:r>
            <w:r w:rsidRPr="00150EDC">
              <w:rPr>
                <w:spacing w:val="-2"/>
                <w:sz w:val="20"/>
              </w:rPr>
              <w:t>neglect</w:t>
            </w:r>
          </w:p>
        </w:tc>
      </w:tr>
      <w:tr w:rsidR="004569EE" w:rsidRPr="007D3144" w14:paraId="057C33ED" w14:textId="77777777">
        <w:trPr>
          <w:trHeight w:val="255"/>
        </w:trPr>
        <w:tc>
          <w:tcPr>
            <w:tcW w:w="6517" w:type="dxa"/>
          </w:tcPr>
          <w:p w14:paraId="29C9E7F4" w14:textId="77777777" w:rsidR="004C7180" w:rsidRPr="00150EDC" w:rsidRDefault="00CF0754">
            <w:pPr>
              <w:pStyle w:val="TableParagraph"/>
              <w:spacing w:before="28"/>
              <w:rPr>
                <w:sz w:val="20"/>
              </w:rPr>
            </w:pPr>
            <w:r w:rsidRPr="00150EDC">
              <w:rPr>
                <w:sz w:val="20"/>
              </w:rPr>
              <w:t>Mental</w:t>
            </w:r>
            <w:r w:rsidRPr="00150EDC">
              <w:rPr>
                <w:spacing w:val="-7"/>
                <w:sz w:val="20"/>
              </w:rPr>
              <w:t xml:space="preserve"> </w:t>
            </w:r>
            <w:r w:rsidRPr="00150EDC">
              <w:rPr>
                <w:sz w:val="20"/>
              </w:rPr>
              <w:t>Health</w:t>
            </w:r>
            <w:r w:rsidRPr="00150EDC">
              <w:rPr>
                <w:spacing w:val="-9"/>
                <w:sz w:val="20"/>
              </w:rPr>
              <w:t xml:space="preserve"> </w:t>
            </w:r>
            <w:r w:rsidRPr="00150EDC">
              <w:rPr>
                <w:sz w:val="20"/>
              </w:rPr>
              <w:t>Act</w:t>
            </w:r>
            <w:r w:rsidRPr="00150EDC">
              <w:rPr>
                <w:spacing w:val="-7"/>
                <w:sz w:val="20"/>
              </w:rPr>
              <w:t xml:space="preserve"> </w:t>
            </w:r>
            <w:r w:rsidRPr="00150EDC">
              <w:rPr>
                <w:sz w:val="20"/>
              </w:rPr>
              <w:t>1959,</w:t>
            </w:r>
            <w:r w:rsidRPr="00150EDC">
              <w:rPr>
                <w:spacing w:val="-8"/>
                <w:sz w:val="20"/>
              </w:rPr>
              <w:t xml:space="preserve"> </w:t>
            </w:r>
            <w:r w:rsidRPr="00150EDC">
              <w:rPr>
                <w:spacing w:val="-4"/>
                <w:sz w:val="20"/>
              </w:rPr>
              <w:t>s128</w:t>
            </w:r>
          </w:p>
        </w:tc>
        <w:tc>
          <w:tcPr>
            <w:tcW w:w="7427" w:type="dxa"/>
          </w:tcPr>
          <w:p w14:paraId="41D4382F" w14:textId="77777777" w:rsidR="004C7180" w:rsidRPr="00150EDC" w:rsidRDefault="00CF0754">
            <w:pPr>
              <w:pStyle w:val="TableParagraph"/>
              <w:spacing w:before="28"/>
              <w:rPr>
                <w:sz w:val="20"/>
              </w:rPr>
            </w:pPr>
            <w:r w:rsidRPr="00150EDC">
              <w:rPr>
                <w:sz w:val="20"/>
              </w:rPr>
              <w:t>Sexual</w:t>
            </w:r>
            <w:r w:rsidRPr="00150EDC">
              <w:rPr>
                <w:spacing w:val="-5"/>
                <w:sz w:val="20"/>
              </w:rPr>
              <w:t xml:space="preserve"> </w:t>
            </w:r>
            <w:r w:rsidRPr="00150EDC">
              <w:rPr>
                <w:sz w:val="20"/>
              </w:rPr>
              <w:t>intercourse</w:t>
            </w:r>
            <w:r w:rsidRPr="00150EDC">
              <w:rPr>
                <w:spacing w:val="-6"/>
                <w:sz w:val="20"/>
              </w:rPr>
              <w:t xml:space="preserve"> </w:t>
            </w:r>
            <w:r w:rsidRPr="00150EDC">
              <w:rPr>
                <w:sz w:val="20"/>
              </w:rPr>
              <w:t>with</w:t>
            </w:r>
            <w:r w:rsidRPr="00150EDC">
              <w:rPr>
                <w:spacing w:val="-6"/>
                <w:sz w:val="20"/>
              </w:rPr>
              <w:t xml:space="preserve"> </w:t>
            </w:r>
            <w:r w:rsidRPr="00150EDC">
              <w:rPr>
                <w:spacing w:val="-2"/>
                <w:sz w:val="20"/>
              </w:rPr>
              <w:t>patients</w:t>
            </w:r>
          </w:p>
        </w:tc>
      </w:tr>
    </w:tbl>
    <w:p w14:paraId="08E0BE34" w14:textId="77777777" w:rsidR="004C7180" w:rsidRPr="00150EDC" w:rsidRDefault="004C7180">
      <w:pPr>
        <w:rPr>
          <w:sz w:val="20"/>
        </w:rPr>
        <w:sectPr w:rsidR="004C7180" w:rsidRPr="00150EDC">
          <w:footerReference w:type="default" r:id="rId137"/>
          <w:pgSz w:w="16840" w:h="11910" w:orient="landscape"/>
          <w:pgMar w:top="1340" w:right="1320" w:bottom="280" w:left="1340" w:header="0" w:footer="0" w:gutter="0"/>
          <w:cols w:space="720"/>
        </w:sectPr>
      </w:pPr>
    </w:p>
    <w:p w14:paraId="30ED7FB9" w14:textId="77777777" w:rsidR="004C7180" w:rsidRPr="00150EDC" w:rsidRDefault="004C7180">
      <w:pPr>
        <w:pStyle w:val="BodyText"/>
        <w:spacing w:before="3"/>
        <w:rPr>
          <w:sz w:val="8"/>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517"/>
        <w:gridCol w:w="7427"/>
      </w:tblGrid>
      <w:tr w:rsidR="004569EE" w:rsidRPr="007D3144" w14:paraId="0F38D4DE" w14:textId="77777777">
        <w:trPr>
          <w:trHeight w:val="254"/>
        </w:trPr>
        <w:tc>
          <w:tcPr>
            <w:tcW w:w="6517" w:type="dxa"/>
          </w:tcPr>
          <w:p w14:paraId="2249A3D7" w14:textId="77777777" w:rsidR="004C7180" w:rsidRPr="00150EDC" w:rsidRDefault="00CF0754">
            <w:pPr>
              <w:pStyle w:val="TableParagraph"/>
              <w:rPr>
                <w:sz w:val="20"/>
              </w:rPr>
            </w:pPr>
            <w:r w:rsidRPr="00150EDC">
              <w:rPr>
                <w:sz w:val="20"/>
              </w:rPr>
              <w:t>Mental</w:t>
            </w:r>
            <w:r w:rsidRPr="00150EDC">
              <w:rPr>
                <w:spacing w:val="-7"/>
                <w:sz w:val="20"/>
              </w:rPr>
              <w:t xml:space="preserve"> </w:t>
            </w:r>
            <w:r w:rsidRPr="00150EDC">
              <w:rPr>
                <w:sz w:val="20"/>
              </w:rPr>
              <w:t>Health</w:t>
            </w:r>
            <w:r w:rsidRPr="00150EDC">
              <w:rPr>
                <w:spacing w:val="-9"/>
                <w:sz w:val="20"/>
              </w:rPr>
              <w:t xml:space="preserve"> </w:t>
            </w:r>
            <w:r w:rsidRPr="00150EDC">
              <w:rPr>
                <w:sz w:val="20"/>
              </w:rPr>
              <w:t>Act</w:t>
            </w:r>
            <w:r w:rsidRPr="00150EDC">
              <w:rPr>
                <w:spacing w:val="-7"/>
                <w:sz w:val="20"/>
              </w:rPr>
              <w:t xml:space="preserve"> </w:t>
            </w:r>
            <w:r w:rsidRPr="00150EDC">
              <w:rPr>
                <w:sz w:val="20"/>
              </w:rPr>
              <w:t>1959,</w:t>
            </w:r>
            <w:r w:rsidRPr="00150EDC">
              <w:rPr>
                <w:spacing w:val="-8"/>
                <w:sz w:val="20"/>
              </w:rPr>
              <w:t xml:space="preserve"> </w:t>
            </w:r>
            <w:r w:rsidRPr="00150EDC">
              <w:rPr>
                <w:spacing w:val="-4"/>
                <w:sz w:val="20"/>
              </w:rPr>
              <w:t>s129</w:t>
            </w:r>
          </w:p>
        </w:tc>
        <w:tc>
          <w:tcPr>
            <w:tcW w:w="7427" w:type="dxa"/>
          </w:tcPr>
          <w:p w14:paraId="7E1F3B74" w14:textId="77777777" w:rsidR="004C7180" w:rsidRPr="00150EDC" w:rsidRDefault="00CF0754">
            <w:pPr>
              <w:pStyle w:val="TableParagraph"/>
              <w:rPr>
                <w:sz w:val="20"/>
              </w:rPr>
            </w:pPr>
            <w:r w:rsidRPr="00150EDC">
              <w:rPr>
                <w:sz w:val="20"/>
              </w:rPr>
              <w:t>Assisting</w:t>
            </w:r>
            <w:r w:rsidRPr="00150EDC">
              <w:rPr>
                <w:spacing w:val="-7"/>
                <w:sz w:val="20"/>
              </w:rPr>
              <w:t xml:space="preserve"> </w:t>
            </w:r>
            <w:r w:rsidRPr="00150EDC">
              <w:rPr>
                <w:sz w:val="20"/>
              </w:rPr>
              <w:t>escape</w:t>
            </w:r>
            <w:r w:rsidRPr="00150EDC">
              <w:rPr>
                <w:spacing w:val="-6"/>
                <w:sz w:val="20"/>
              </w:rPr>
              <w:t xml:space="preserve"> </w:t>
            </w:r>
            <w:r w:rsidRPr="00150EDC">
              <w:rPr>
                <w:sz w:val="20"/>
              </w:rPr>
              <w:t>from</w:t>
            </w:r>
            <w:r w:rsidRPr="00150EDC">
              <w:rPr>
                <w:spacing w:val="-2"/>
                <w:sz w:val="20"/>
              </w:rPr>
              <w:t xml:space="preserve"> </w:t>
            </w:r>
            <w:r w:rsidRPr="00150EDC">
              <w:rPr>
                <w:sz w:val="20"/>
              </w:rPr>
              <w:t>mental</w:t>
            </w:r>
            <w:r w:rsidRPr="00150EDC">
              <w:rPr>
                <w:spacing w:val="-4"/>
                <w:sz w:val="20"/>
              </w:rPr>
              <w:t xml:space="preserve"> </w:t>
            </w:r>
            <w:r w:rsidRPr="00150EDC">
              <w:rPr>
                <w:sz w:val="20"/>
              </w:rPr>
              <w:t>institution</w:t>
            </w:r>
            <w:r w:rsidRPr="00150EDC">
              <w:rPr>
                <w:spacing w:val="-6"/>
                <w:sz w:val="20"/>
              </w:rPr>
              <w:t xml:space="preserve"> </w:t>
            </w:r>
            <w:r w:rsidRPr="00150EDC">
              <w:rPr>
                <w:sz w:val="20"/>
              </w:rPr>
              <w:t>or</w:t>
            </w:r>
            <w:r w:rsidRPr="00150EDC">
              <w:rPr>
                <w:spacing w:val="-2"/>
                <w:sz w:val="20"/>
              </w:rPr>
              <w:t xml:space="preserve"> harbouring</w:t>
            </w:r>
          </w:p>
        </w:tc>
      </w:tr>
      <w:tr w:rsidR="004569EE" w:rsidRPr="007D3144" w14:paraId="28ED9FA2" w14:textId="77777777">
        <w:trPr>
          <w:trHeight w:val="255"/>
        </w:trPr>
        <w:tc>
          <w:tcPr>
            <w:tcW w:w="6517" w:type="dxa"/>
          </w:tcPr>
          <w:p w14:paraId="124B08B7" w14:textId="77777777" w:rsidR="004C7180" w:rsidRPr="00150EDC" w:rsidRDefault="00CF0754">
            <w:pPr>
              <w:pStyle w:val="TableParagraph"/>
              <w:spacing w:before="28"/>
              <w:rPr>
                <w:sz w:val="20"/>
              </w:rPr>
            </w:pPr>
            <w:r w:rsidRPr="00150EDC">
              <w:rPr>
                <w:sz w:val="20"/>
              </w:rPr>
              <w:t>Mental</w:t>
            </w:r>
            <w:r w:rsidRPr="00150EDC">
              <w:rPr>
                <w:spacing w:val="-7"/>
                <w:sz w:val="20"/>
              </w:rPr>
              <w:t xml:space="preserve"> </w:t>
            </w:r>
            <w:r w:rsidRPr="00150EDC">
              <w:rPr>
                <w:sz w:val="20"/>
              </w:rPr>
              <w:t>Health</w:t>
            </w:r>
            <w:r w:rsidRPr="00150EDC">
              <w:rPr>
                <w:spacing w:val="-9"/>
                <w:sz w:val="20"/>
              </w:rPr>
              <w:t xml:space="preserve"> </w:t>
            </w:r>
            <w:r w:rsidRPr="00150EDC">
              <w:rPr>
                <w:sz w:val="20"/>
              </w:rPr>
              <w:t>Act</w:t>
            </w:r>
            <w:r w:rsidRPr="00150EDC">
              <w:rPr>
                <w:spacing w:val="-7"/>
                <w:sz w:val="20"/>
              </w:rPr>
              <w:t xml:space="preserve"> </w:t>
            </w:r>
            <w:r w:rsidRPr="00150EDC">
              <w:rPr>
                <w:sz w:val="20"/>
              </w:rPr>
              <w:t>1974,</w:t>
            </w:r>
            <w:r w:rsidRPr="00150EDC">
              <w:rPr>
                <w:spacing w:val="-8"/>
                <w:sz w:val="20"/>
              </w:rPr>
              <w:t xml:space="preserve"> </w:t>
            </w:r>
            <w:r w:rsidRPr="00150EDC">
              <w:rPr>
                <w:spacing w:val="-5"/>
                <w:sz w:val="20"/>
              </w:rPr>
              <w:t>s90</w:t>
            </w:r>
          </w:p>
        </w:tc>
        <w:tc>
          <w:tcPr>
            <w:tcW w:w="7427" w:type="dxa"/>
          </w:tcPr>
          <w:p w14:paraId="639A1391" w14:textId="77777777" w:rsidR="004C7180" w:rsidRPr="00150EDC" w:rsidRDefault="00CF0754">
            <w:pPr>
              <w:pStyle w:val="TableParagraph"/>
              <w:spacing w:before="28"/>
              <w:rPr>
                <w:sz w:val="20"/>
              </w:rPr>
            </w:pPr>
            <w:r w:rsidRPr="00150EDC">
              <w:rPr>
                <w:sz w:val="20"/>
              </w:rPr>
              <w:t>Forgery</w:t>
            </w:r>
            <w:r w:rsidRPr="00150EDC">
              <w:rPr>
                <w:spacing w:val="-6"/>
                <w:sz w:val="20"/>
              </w:rPr>
              <w:t xml:space="preserve"> </w:t>
            </w:r>
            <w:r w:rsidRPr="00150EDC">
              <w:rPr>
                <w:sz w:val="20"/>
              </w:rPr>
              <w:t>of</w:t>
            </w:r>
            <w:r w:rsidRPr="00150EDC">
              <w:rPr>
                <w:spacing w:val="-2"/>
                <w:sz w:val="20"/>
              </w:rPr>
              <w:t xml:space="preserve"> documents</w:t>
            </w:r>
          </w:p>
        </w:tc>
      </w:tr>
      <w:tr w:rsidR="004569EE" w:rsidRPr="007D3144" w14:paraId="5ECAC6E9" w14:textId="77777777">
        <w:trPr>
          <w:trHeight w:val="255"/>
        </w:trPr>
        <w:tc>
          <w:tcPr>
            <w:tcW w:w="6517" w:type="dxa"/>
          </w:tcPr>
          <w:p w14:paraId="3F11CA4A" w14:textId="77777777" w:rsidR="004C7180" w:rsidRPr="00150EDC" w:rsidRDefault="00CF0754">
            <w:pPr>
              <w:pStyle w:val="TableParagraph"/>
              <w:rPr>
                <w:sz w:val="20"/>
              </w:rPr>
            </w:pPr>
            <w:r w:rsidRPr="00150EDC">
              <w:rPr>
                <w:sz w:val="20"/>
              </w:rPr>
              <w:t>Mental</w:t>
            </w:r>
            <w:r w:rsidRPr="00150EDC">
              <w:rPr>
                <w:spacing w:val="-7"/>
                <w:sz w:val="20"/>
              </w:rPr>
              <w:t xml:space="preserve"> </w:t>
            </w:r>
            <w:r w:rsidRPr="00150EDC">
              <w:rPr>
                <w:sz w:val="20"/>
              </w:rPr>
              <w:t>Health</w:t>
            </w:r>
            <w:r w:rsidRPr="00150EDC">
              <w:rPr>
                <w:spacing w:val="-9"/>
                <w:sz w:val="20"/>
              </w:rPr>
              <w:t xml:space="preserve"> </w:t>
            </w:r>
            <w:r w:rsidRPr="00150EDC">
              <w:rPr>
                <w:sz w:val="20"/>
              </w:rPr>
              <w:t>Act</w:t>
            </w:r>
            <w:r w:rsidRPr="00150EDC">
              <w:rPr>
                <w:spacing w:val="-7"/>
                <w:sz w:val="20"/>
              </w:rPr>
              <w:t xml:space="preserve"> </w:t>
            </w:r>
            <w:r w:rsidRPr="00150EDC">
              <w:rPr>
                <w:sz w:val="20"/>
              </w:rPr>
              <w:t>1974,</w:t>
            </w:r>
            <w:r w:rsidRPr="00150EDC">
              <w:rPr>
                <w:spacing w:val="-8"/>
                <w:sz w:val="20"/>
              </w:rPr>
              <w:t xml:space="preserve"> </w:t>
            </w:r>
            <w:r w:rsidRPr="00150EDC">
              <w:rPr>
                <w:spacing w:val="-5"/>
                <w:sz w:val="20"/>
              </w:rPr>
              <w:t>s91</w:t>
            </w:r>
          </w:p>
        </w:tc>
        <w:tc>
          <w:tcPr>
            <w:tcW w:w="7427" w:type="dxa"/>
          </w:tcPr>
          <w:p w14:paraId="288A5AD1" w14:textId="77777777" w:rsidR="004C7180" w:rsidRPr="00150EDC" w:rsidRDefault="00CF0754">
            <w:pPr>
              <w:pStyle w:val="TableParagraph"/>
              <w:rPr>
                <w:sz w:val="20"/>
              </w:rPr>
            </w:pPr>
            <w:r w:rsidRPr="00150EDC">
              <w:rPr>
                <w:sz w:val="20"/>
              </w:rPr>
              <w:t>Ill-treatment</w:t>
            </w:r>
            <w:r w:rsidRPr="00150EDC">
              <w:rPr>
                <w:spacing w:val="-13"/>
                <w:sz w:val="20"/>
              </w:rPr>
              <w:t xml:space="preserve"> </w:t>
            </w:r>
            <w:r w:rsidRPr="00150EDC">
              <w:rPr>
                <w:sz w:val="20"/>
              </w:rPr>
              <w:t>and</w:t>
            </w:r>
            <w:r w:rsidRPr="00150EDC">
              <w:rPr>
                <w:spacing w:val="-14"/>
                <w:sz w:val="20"/>
              </w:rPr>
              <w:t xml:space="preserve"> </w:t>
            </w:r>
            <w:r w:rsidRPr="00150EDC">
              <w:rPr>
                <w:sz w:val="20"/>
              </w:rPr>
              <w:t>wilful</w:t>
            </w:r>
            <w:r w:rsidRPr="00150EDC">
              <w:rPr>
                <w:spacing w:val="-13"/>
                <w:sz w:val="20"/>
              </w:rPr>
              <w:t xml:space="preserve"> </w:t>
            </w:r>
            <w:r w:rsidRPr="00150EDC">
              <w:rPr>
                <w:spacing w:val="-2"/>
                <w:sz w:val="20"/>
              </w:rPr>
              <w:t>neglect</w:t>
            </w:r>
          </w:p>
        </w:tc>
      </w:tr>
      <w:tr w:rsidR="004569EE" w:rsidRPr="007D3144" w14:paraId="38052296" w14:textId="77777777">
        <w:trPr>
          <w:trHeight w:val="255"/>
        </w:trPr>
        <w:tc>
          <w:tcPr>
            <w:tcW w:w="6517" w:type="dxa"/>
          </w:tcPr>
          <w:p w14:paraId="243DC152" w14:textId="77777777" w:rsidR="004C7180" w:rsidRPr="00150EDC" w:rsidRDefault="00CF0754">
            <w:pPr>
              <w:pStyle w:val="TableParagraph"/>
              <w:rPr>
                <w:sz w:val="20"/>
              </w:rPr>
            </w:pPr>
            <w:r w:rsidRPr="00150EDC">
              <w:rPr>
                <w:sz w:val="20"/>
              </w:rPr>
              <w:t>Mental</w:t>
            </w:r>
            <w:r w:rsidRPr="00150EDC">
              <w:rPr>
                <w:spacing w:val="-7"/>
                <w:sz w:val="20"/>
              </w:rPr>
              <w:t xml:space="preserve"> </w:t>
            </w:r>
            <w:r w:rsidRPr="00150EDC">
              <w:rPr>
                <w:sz w:val="20"/>
              </w:rPr>
              <w:t>Health</w:t>
            </w:r>
            <w:r w:rsidRPr="00150EDC">
              <w:rPr>
                <w:spacing w:val="-9"/>
                <w:sz w:val="20"/>
              </w:rPr>
              <w:t xml:space="preserve"> </w:t>
            </w:r>
            <w:r w:rsidRPr="00150EDC">
              <w:rPr>
                <w:sz w:val="20"/>
              </w:rPr>
              <w:t>Act</w:t>
            </w:r>
            <w:r w:rsidRPr="00150EDC">
              <w:rPr>
                <w:spacing w:val="-7"/>
                <w:sz w:val="20"/>
              </w:rPr>
              <w:t xml:space="preserve"> </w:t>
            </w:r>
            <w:r w:rsidRPr="00150EDC">
              <w:rPr>
                <w:sz w:val="20"/>
              </w:rPr>
              <w:t>1974,</w:t>
            </w:r>
            <w:r w:rsidRPr="00150EDC">
              <w:rPr>
                <w:spacing w:val="-8"/>
                <w:sz w:val="20"/>
              </w:rPr>
              <w:t xml:space="preserve"> </w:t>
            </w:r>
            <w:r w:rsidRPr="00150EDC">
              <w:rPr>
                <w:spacing w:val="-5"/>
                <w:sz w:val="20"/>
              </w:rPr>
              <w:t>s94</w:t>
            </w:r>
          </w:p>
        </w:tc>
        <w:tc>
          <w:tcPr>
            <w:tcW w:w="7427" w:type="dxa"/>
          </w:tcPr>
          <w:p w14:paraId="702E371C" w14:textId="77777777" w:rsidR="004C7180" w:rsidRPr="00150EDC" w:rsidRDefault="00CF0754">
            <w:pPr>
              <w:pStyle w:val="TableParagraph"/>
              <w:rPr>
                <w:sz w:val="20"/>
              </w:rPr>
            </w:pPr>
            <w:r w:rsidRPr="00150EDC">
              <w:rPr>
                <w:sz w:val="20"/>
              </w:rPr>
              <w:t>Assisting</w:t>
            </w:r>
            <w:r w:rsidRPr="00150EDC">
              <w:rPr>
                <w:spacing w:val="-7"/>
                <w:sz w:val="20"/>
              </w:rPr>
              <w:t xml:space="preserve"> </w:t>
            </w:r>
            <w:r w:rsidRPr="00150EDC">
              <w:rPr>
                <w:sz w:val="20"/>
              </w:rPr>
              <w:t>escape</w:t>
            </w:r>
            <w:r w:rsidRPr="00150EDC">
              <w:rPr>
                <w:spacing w:val="-6"/>
                <w:sz w:val="20"/>
              </w:rPr>
              <w:t xml:space="preserve"> </w:t>
            </w:r>
            <w:r w:rsidRPr="00150EDC">
              <w:rPr>
                <w:sz w:val="20"/>
              </w:rPr>
              <w:t>from</w:t>
            </w:r>
            <w:r w:rsidRPr="00150EDC">
              <w:rPr>
                <w:spacing w:val="-2"/>
                <w:sz w:val="20"/>
              </w:rPr>
              <w:t xml:space="preserve"> </w:t>
            </w:r>
            <w:r w:rsidRPr="00150EDC">
              <w:rPr>
                <w:sz w:val="20"/>
              </w:rPr>
              <w:t>mental</w:t>
            </w:r>
            <w:r w:rsidRPr="00150EDC">
              <w:rPr>
                <w:spacing w:val="-4"/>
                <w:sz w:val="20"/>
              </w:rPr>
              <w:t xml:space="preserve"> </w:t>
            </w:r>
            <w:r w:rsidRPr="00150EDC">
              <w:rPr>
                <w:sz w:val="20"/>
              </w:rPr>
              <w:t>institution</w:t>
            </w:r>
            <w:r w:rsidRPr="00150EDC">
              <w:rPr>
                <w:spacing w:val="-6"/>
                <w:sz w:val="20"/>
              </w:rPr>
              <w:t xml:space="preserve"> </w:t>
            </w:r>
            <w:r w:rsidRPr="00150EDC">
              <w:rPr>
                <w:sz w:val="20"/>
              </w:rPr>
              <w:t>or</w:t>
            </w:r>
            <w:r w:rsidRPr="00150EDC">
              <w:rPr>
                <w:spacing w:val="-2"/>
                <w:sz w:val="20"/>
              </w:rPr>
              <w:t xml:space="preserve"> harbouring</w:t>
            </w:r>
          </w:p>
        </w:tc>
      </w:tr>
      <w:tr w:rsidR="004569EE" w:rsidRPr="007D3144" w14:paraId="73336B2A" w14:textId="77777777">
        <w:trPr>
          <w:trHeight w:val="255"/>
        </w:trPr>
        <w:tc>
          <w:tcPr>
            <w:tcW w:w="6517" w:type="dxa"/>
          </w:tcPr>
          <w:p w14:paraId="380CA03F" w14:textId="77777777" w:rsidR="004C7180" w:rsidRPr="00150EDC" w:rsidRDefault="00CF0754">
            <w:pPr>
              <w:pStyle w:val="TableParagraph"/>
              <w:rPr>
                <w:sz w:val="20"/>
              </w:rPr>
            </w:pPr>
            <w:r w:rsidRPr="00150EDC">
              <w:rPr>
                <w:sz w:val="20"/>
              </w:rPr>
              <w:t>Mental</w:t>
            </w:r>
            <w:r w:rsidRPr="00150EDC">
              <w:rPr>
                <w:spacing w:val="-7"/>
                <w:sz w:val="20"/>
              </w:rPr>
              <w:t xml:space="preserve"> </w:t>
            </w:r>
            <w:r w:rsidRPr="00150EDC">
              <w:rPr>
                <w:sz w:val="20"/>
              </w:rPr>
              <w:t>Health</w:t>
            </w:r>
            <w:r w:rsidRPr="00150EDC">
              <w:rPr>
                <w:spacing w:val="-9"/>
                <w:sz w:val="20"/>
              </w:rPr>
              <w:t xml:space="preserve"> </w:t>
            </w:r>
            <w:r w:rsidRPr="00150EDC">
              <w:rPr>
                <w:sz w:val="20"/>
              </w:rPr>
              <w:t>Act</w:t>
            </w:r>
            <w:r w:rsidRPr="00150EDC">
              <w:rPr>
                <w:spacing w:val="-7"/>
                <w:sz w:val="20"/>
              </w:rPr>
              <w:t xml:space="preserve"> </w:t>
            </w:r>
            <w:r w:rsidRPr="00150EDC">
              <w:rPr>
                <w:sz w:val="20"/>
              </w:rPr>
              <w:t>1983,</w:t>
            </w:r>
            <w:r w:rsidRPr="00150EDC">
              <w:rPr>
                <w:spacing w:val="-8"/>
                <w:sz w:val="20"/>
              </w:rPr>
              <w:t xml:space="preserve"> </w:t>
            </w:r>
            <w:r w:rsidRPr="00150EDC">
              <w:rPr>
                <w:spacing w:val="-4"/>
                <w:sz w:val="20"/>
              </w:rPr>
              <w:t>s126</w:t>
            </w:r>
          </w:p>
        </w:tc>
        <w:tc>
          <w:tcPr>
            <w:tcW w:w="7427" w:type="dxa"/>
          </w:tcPr>
          <w:p w14:paraId="576C5CDD" w14:textId="77777777" w:rsidR="004C7180" w:rsidRPr="00150EDC" w:rsidRDefault="00CF0754">
            <w:pPr>
              <w:pStyle w:val="TableParagraph"/>
              <w:rPr>
                <w:sz w:val="20"/>
              </w:rPr>
            </w:pPr>
            <w:r w:rsidRPr="00150EDC">
              <w:rPr>
                <w:sz w:val="20"/>
              </w:rPr>
              <w:t>Forgery,</w:t>
            </w:r>
            <w:r w:rsidRPr="00150EDC">
              <w:rPr>
                <w:spacing w:val="-7"/>
                <w:sz w:val="20"/>
              </w:rPr>
              <w:t xml:space="preserve"> </w:t>
            </w:r>
            <w:r w:rsidRPr="00150EDC">
              <w:rPr>
                <w:sz w:val="20"/>
              </w:rPr>
              <w:t>false</w:t>
            </w:r>
            <w:r w:rsidRPr="00150EDC">
              <w:rPr>
                <w:spacing w:val="-7"/>
                <w:sz w:val="20"/>
              </w:rPr>
              <w:t xml:space="preserve"> </w:t>
            </w:r>
            <w:r w:rsidRPr="00150EDC">
              <w:rPr>
                <w:sz w:val="20"/>
              </w:rPr>
              <w:t>statements,</w:t>
            </w:r>
            <w:r w:rsidRPr="00150EDC">
              <w:rPr>
                <w:spacing w:val="-2"/>
                <w:sz w:val="20"/>
              </w:rPr>
              <w:t xml:space="preserve"> </w:t>
            </w:r>
            <w:r w:rsidRPr="00150EDC">
              <w:rPr>
                <w:spacing w:val="-4"/>
                <w:sz w:val="20"/>
              </w:rPr>
              <w:t>etc.</w:t>
            </w:r>
          </w:p>
        </w:tc>
      </w:tr>
      <w:tr w:rsidR="004569EE" w:rsidRPr="007D3144" w14:paraId="78CCA348" w14:textId="77777777">
        <w:trPr>
          <w:trHeight w:val="255"/>
        </w:trPr>
        <w:tc>
          <w:tcPr>
            <w:tcW w:w="6517" w:type="dxa"/>
          </w:tcPr>
          <w:p w14:paraId="16A32525" w14:textId="77777777" w:rsidR="004C7180" w:rsidRPr="00150EDC" w:rsidRDefault="00CF0754">
            <w:pPr>
              <w:pStyle w:val="TableParagraph"/>
              <w:spacing w:before="28"/>
              <w:rPr>
                <w:sz w:val="20"/>
              </w:rPr>
            </w:pPr>
            <w:r w:rsidRPr="00150EDC">
              <w:rPr>
                <w:sz w:val="20"/>
              </w:rPr>
              <w:t>Mental</w:t>
            </w:r>
            <w:r w:rsidRPr="00150EDC">
              <w:rPr>
                <w:spacing w:val="-7"/>
                <w:sz w:val="20"/>
              </w:rPr>
              <w:t xml:space="preserve"> </w:t>
            </w:r>
            <w:r w:rsidRPr="00150EDC">
              <w:rPr>
                <w:sz w:val="20"/>
              </w:rPr>
              <w:t>Health</w:t>
            </w:r>
            <w:r w:rsidRPr="00150EDC">
              <w:rPr>
                <w:spacing w:val="-9"/>
                <w:sz w:val="20"/>
              </w:rPr>
              <w:t xml:space="preserve"> </w:t>
            </w:r>
            <w:r w:rsidRPr="00150EDC">
              <w:rPr>
                <w:sz w:val="20"/>
              </w:rPr>
              <w:t>Act</w:t>
            </w:r>
            <w:r w:rsidRPr="00150EDC">
              <w:rPr>
                <w:spacing w:val="-7"/>
                <w:sz w:val="20"/>
              </w:rPr>
              <w:t xml:space="preserve"> </w:t>
            </w:r>
            <w:r w:rsidRPr="00150EDC">
              <w:rPr>
                <w:sz w:val="20"/>
              </w:rPr>
              <w:t>1983,</w:t>
            </w:r>
            <w:r w:rsidRPr="00150EDC">
              <w:rPr>
                <w:spacing w:val="-8"/>
                <w:sz w:val="20"/>
              </w:rPr>
              <w:t xml:space="preserve"> </w:t>
            </w:r>
            <w:r w:rsidRPr="00150EDC">
              <w:rPr>
                <w:spacing w:val="-4"/>
                <w:sz w:val="20"/>
              </w:rPr>
              <w:t>s127</w:t>
            </w:r>
          </w:p>
        </w:tc>
        <w:tc>
          <w:tcPr>
            <w:tcW w:w="7427" w:type="dxa"/>
          </w:tcPr>
          <w:p w14:paraId="0BD4ABBA" w14:textId="77777777" w:rsidR="004C7180" w:rsidRPr="00150EDC" w:rsidRDefault="00CF0754">
            <w:pPr>
              <w:pStyle w:val="TableParagraph"/>
              <w:spacing w:before="28"/>
              <w:rPr>
                <w:sz w:val="20"/>
              </w:rPr>
            </w:pPr>
            <w:r w:rsidRPr="00150EDC">
              <w:rPr>
                <w:sz w:val="20"/>
              </w:rPr>
              <w:t>Ill-treatment</w:t>
            </w:r>
            <w:r w:rsidRPr="00150EDC">
              <w:rPr>
                <w:spacing w:val="-12"/>
                <w:sz w:val="20"/>
              </w:rPr>
              <w:t xml:space="preserve"> </w:t>
            </w:r>
            <w:r w:rsidRPr="00150EDC">
              <w:rPr>
                <w:sz w:val="20"/>
              </w:rPr>
              <w:t>of</w:t>
            </w:r>
            <w:r w:rsidRPr="00150EDC">
              <w:rPr>
                <w:spacing w:val="-14"/>
                <w:sz w:val="20"/>
              </w:rPr>
              <w:t xml:space="preserve"> </w:t>
            </w:r>
            <w:r w:rsidRPr="00150EDC">
              <w:rPr>
                <w:spacing w:val="-2"/>
                <w:sz w:val="20"/>
              </w:rPr>
              <w:t>patients</w:t>
            </w:r>
          </w:p>
        </w:tc>
      </w:tr>
      <w:tr w:rsidR="004569EE" w:rsidRPr="007D3144" w14:paraId="63733DC2" w14:textId="77777777">
        <w:trPr>
          <w:trHeight w:val="255"/>
        </w:trPr>
        <w:tc>
          <w:tcPr>
            <w:tcW w:w="6517" w:type="dxa"/>
          </w:tcPr>
          <w:p w14:paraId="5DA10182" w14:textId="77777777" w:rsidR="004C7180" w:rsidRPr="00150EDC" w:rsidRDefault="00CF0754">
            <w:pPr>
              <w:pStyle w:val="TableParagraph"/>
              <w:rPr>
                <w:sz w:val="20"/>
              </w:rPr>
            </w:pPr>
            <w:r w:rsidRPr="00150EDC">
              <w:rPr>
                <w:sz w:val="20"/>
              </w:rPr>
              <w:t>Mental</w:t>
            </w:r>
            <w:r w:rsidRPr="00150EDC">
              <w:rPr>
                <w:spacing w:val="-7"/>
                <w:sz w:val="20"/>
              </w:rPr>
              <w:t xml:space="preserve"> </w:t>
            </w:r>
            <w:r w:rsidRPr="00150EDC">
              <w:rPr>
                <w:sz w:val="20"/>
              </w:rPr>
              <w:t>Health</w:t>
            </w:r>
            <w:r w:rsidRPr="00150EDC">
              <w:rPr>
                <w:spacing w:val="-9"/>
                <w:sz w:val="20"/>
              </w:rPr>
              <w:t xml:space="preserve"> </w:t>
            </w:r>
            <w:r w:rsidRPr="00150EDC">
              <w:rPr>
                <w:sz w:val="20"/>
              </w:rPr>
              <w:t>Act</w:t>
            </w:r>
            <w:r w:rsidRPr="00150EDC">
              <w:rPr>
                <w:spacing w:val="-7"/>
                <w:sz w:val="20"/>
              </w:rPr>
              <w:t xml:space="preserve"> </w:t>
            </w:r>
            <w:r w:rsidRPr="00150EDC">
              <w:rPr>
                <w:sz w:val="20"/>
              </w:rPr>
              <w:t>1983,</w:t>
            </w:r>
            <w:r w:rsidRPr="00150EDC">
              <w:rPr>
                <w:spacing w:val="-8"/>
                <w:sz w:val="20"/>
              </w:rPr>
              <w:t xml:space="preserve"> </w:t>
            </w:r>
            <w:r w:rsidRPr="00150EDC">
              <w:rPr>
                <w:spacing w:val="-4"/>
                <w:sz w:val="20"/>
              </w:rPr>
              <w:t>s128</w:t>
            </w:r>
          </w:p>
        </w:tc>
        <w:tc>
          <w:tcPr>
            <w:tcW w:w="7427" w:type="dxa"/>
          </w:tcPr>
          <w:p w14:paraId="04C3B7EA" w14:textId="77777777" w:rsidR="004C7180" w:rsidRPr="00150EDC" w:rsidRDefault="00CF0754">
            <w:pPr>
              <w:pStyle w:val="TableParagraph"/>
              <w:rPr>
                <w:sz w:val="20"/>
              </w:rPr>
            </w:pPr>
            <w:r w:rsidRPr="00150EDC">
              <w:rPr>
                <w:sz w:val="20"/>
              </w:rPr>
              <w:t>Assisting</w:t>
            </w:r>
            <w:r w:rsidRPr="00150EDC">
              <w:rPr>
                <w:spacing w:val="-6"/>
                <w:sz w:val="20"/>
              </w:rPr>
              <w:t xml:space="preserve"> </w:t>
            </w:r>
            <w:r w:rsidRPr="00150EDC">
              <w:rPr>
                <w:sz w:val="20"/>
              </w:rPr>
              <w:t>patients</w:t>
            </w:r>
            <w:r w:rsidRPr="00150EDC">
              <w:rPr>
                <w:spacing w:val="-5"/>
                <w:sz w:val="20"/>
              </w:rPr>
              <w:t xml:space="preserve"> </w:t>
            </w:r>
            <w:r w:rsidRPr="00150EDC">
              <w:rPr>
                <w:sz w:val="20"/>
              </w:rPr>
              <w:t>to</w:t>
            </w:r>
            <w:r w:rsidRPr="00150EDC">
              <w:rPr>
                <w:spacing w:val="-6"/>
                <w:sz w:val="20"/>
              </w:rPr>
              <w:t xml:space="preserve"> </w:t>
            </w:r>
            <w:r w:rsidRPr="00150EDC">
              <w:rPr>
                <w:sz w:val="20"/>
              </w:rPr>
              <w:t>absent</w:t>
            </w:r>
            <w:r w:rsidRPr="00150EDC">
              <w:rPr>
                <w:spacing w:val="-6"/>
                <w:sz w:val="20"/>
              </w:rPr>
              <w:t xml:space="preserve"> </w:t>
            </w:r>
            <w:r w:rsidRPr="00150EDC">
              <w:rPr>
                <w:sz w:val="20"/>
              </w:rPr>
              <w:t>themselves</w:t>
            </w:r>
            <w:r w:rsidRPr="00150EDC">
              <w:rPr>
                <w:spacing w:val="-3"/>
                <w:sz w:val="20"/>
              </w:rPr>
              <w:t xml:space="preserve"> </w:t>
            </w:r>
            <w:r w:rsidRPr="00150EDC">
              <w:rPr>
                <w:sz w:val="20"/>
              </w:rPr>
              <w:t>without</w:t>
            </w:r>
            <w:r w:rsidRPr="00150EDC">
              <w:rPr>
                <w:spacing w:val="-6"/>
                <w:sz w:val="20"/>
              </w:rPr>
              <w:t xml:space="preserve"> </w:t>
            </w:r>
            <w:r w:rsidRPr="00150EDC">
              <w:rPr>
                <w:sz w:val="20"/>
              </w:rPr>
              <w:t>leave,</w:t>
            </w:r>
            <w:r w:rsidRPr="00150EDC">
              <w:rPr>
                <w:spacing w:val="-5"/>
                <w:sz w:val="20"/>
              </w:rPr>
              <w:t xml:space="preserve"> </w:t>
            </w:r>
            <w:r w:rsidRPr="00150EDC">
              <w:rPr>
                <w:spacing w:val="-4"/>
                <w:sz w:val="20"/>
              </w:rPr>
              <w:t>etc.</w:t>
            </w:r>
          </w:p>
        </w:tc>
      </w:tr>
      <w:tr w:rsidR="004569EE" w:rsidRPr="007D3144" w14:paraId="285F245C" w14:textId="77777777">
        <w:trPr>
          <w:trHeight w:val="255"/>
        </w:trPr>
        <w:tc>
          <w:tcPr>
            <w:tcW w:w="6517" w:type="dxa"/>
          </w:tcPr>
          <w:p w14:paraId="57152CB1" w14:textId="77777777" w:rsidR="004C7180" w:rsidRPr="00150EDC" w:rsidRDefault="00CF0754">
            <w:pPr>
              <w:pStyle w:val="TableParagraph"/>
              <w:rPr>
                <w:sz w:val="20"/>
              </w:rPr>
            </w:pPr>
            <w:r w:rsidRPr="00150EDC">
              <w:rPr>
                <w:sz w:val="20"/>
              </w:rPr>
              <w:t>Mental</w:t>
            </w:r>
            <w:r w:rsidRPr="00150EDC">
              <w:rPr>
                <w:spacing w:val="-7"/>
                <w:sz w:val="20"/>
              </w:rPr>
              <w:t xml:space="preserve"> </w:t>
            </w:r>
            <w:r w:rsidRPr="00150EDC">
              <w:rPr>
                <w:sz w:val="20"/>
              </w:rPr>
              <w:t>Health</w:t>
            </w:r>
            <w:r w:rsidRPr="00150EDC">
              <w:rPr>
                <w:spacing w:val="-9"/>
                <w:sz w:val="20"/>
              </w:rPr>
              <w:t xml:space="preserve"> </w:t>
            </w:r>
            <w:r w:rsidRPr="00150EDC">
              <w:rPr>
                <w:sz w:val="20"/>
              </w:rPr>
              <w:t>Act</w:t>
            </w:r>
            <w:r w:rsidRPr="00150EDC">
              <w:rPr>
                <w:spacing w:val="-7"/>
                <w:sz w:val="20"/>
              </w:rPr>
              <w:t xml:space="preserve"> </w:t>
            </w:r>
            <w:r w:rsidRPr="00150EDC">
              <w:rPr>
                <w:sz w:val="20"/>
              </w:rPr>
              <w:t>1983,</w:t>
            </w:r>
            <w:r w:rsidRPr="00150EDC">
              <w:rPr>
                <w:spacing w:val="-8"/>
                <w:sz w:val="20"/>
              </w:rPr>
              <w:t xml:space="preserve"> </w:t>
            </w:r>
            <w:r w:rsidRPr="00150EDC">
              <w:rPr>
                <w:spacing w:val="-4"/>
                <w:sz w:val="20"/>
              </w:rPr>
              <w:t>s129</w:t>
            </w:r>
          </w:p>
        </w:tc>
        <w:tc>
          <w:tcPr>
            <w:tcW w:w="7427" w:type="dxa"/>
          </w:tcPr>
          <w:p w14:paraId="62606DBF" w14:textId="77777777" w:rsidR="004C7180" w:rsidRPr="00150EDC" w:rsidRDefault="00CF0754">
            <w:pPr>
              <w:pStyle w:val="TableParagraph"/>
              <w:rPr>
                <w:sz w:val="20"/>
              </w:rPr>
            </w:pPr>
            <w:r w:rsidRPr="00150EDC">
              <w:rPr>
                <w:spacing w:val="-2"/>
                <w:sz w:val="20"/>
              </w:rPr>
              <w:t>Obstruction</w:t>
            </w:r>
          </w:p>
        </w:tc>
      </w:tr>
      <w:tr w:rsidR="004569EE" w:rsidRPr="007D3144" w14:paraId="4237B7CD" w14:textId="77777777">
        <w:trPr>
          <w:trHeight w:val="255"/>
        </w:trPr>
        <w:tc>
          <w:tcPr>
            <w:tcW w:w="6517" w:type="dxa"/>
          </w:tcPr>
          <w:p w14:paraId="6502AD71" w14:textId="77777777" w:rsidR="004C7180" w:rsidRPr="00150EDC" w:rsidRDefault="00CF0754">
            <w:pPr>
              <w:pStyle w:val="TableParagraph"/>
              <w:rPr>
                <w:sz w:val="20"/>
              </w:rPr>
            </w:pPr>
            <w:r w:rsidRPr="00150EDC">
              <w:rPr>
                <w:sz w:val="20"/>
              </w:rPr>
              <w:t>Mental</w:t>
            </w:r>
            <w:r w:rsidRPr="00150EDC">
              <w:rPr>
                <w:spacing w:val="-7"/>
                <w:sz w:val="20"/>
              </w:rPr>
              <w:t xml:space="preserve"> </w:t>
            </w:r>
            <w:r w:rsidRPr="00150EDC">
              <w:rPr>
                <w:sz w:val="20"/>
              </w:rPr>
              <w:t>Health</w:t>
            </w:r>
            <w:r w:rsidRPr="00150EDC">
              <w:rPr>
                <w:spacing w:val="-9"/>
                <w:sz w:val="20"/>
              </w:rPr>
              <w:t xml:space="preserve"> </w:t>
            </w:r>
            <w:r w:rsidRPr="00150EDC">
              <w:rPr>
                <w:sz w:val="20"/>
              </w:rPr>
              <w:t>Act</w:t>
            </w:r>
            <w:r w:rsidRPr="00150EDC">
              <w:rPr>
                <w:spacing w:val="-7"/>
                <w:sz w:val="20"/>
              </w:rPr>
              <w:t xml:space="preserve"> </w:t>
            </w:r>
            <w:r w:rsidRPr="00150EDC">
              <w:rPr>
                <w:sz w:val="20"/>
              </w:rPr>
              <w:t>1998,</w:t>
            </w:r>
            <w:r w:rsidRPr="00150EDC">
              <w:rPr>
                <w:spacing w:val="-8"/>
                <w:sz w:val="20"/>
              </w:rPr>
              <w:t xml:space="preserve"> </w:t>
            </w:r>
            <w:r w:rsidRPr="00150EDC">
              <w:rPr>
                <w:spacing w:val="-4"/>
                <w:sz w:val="20"/>
              </w:rPr>
              <w:t>s122</w:t>
            </w:r>
          </w:p>
        </w:tc>
        <w:tc>
          <w:tcPr>
            <w:tcW w:w="7427" w:type="dxa"/>
          </w:tcPr>
          <w:p w14:paraId="32C4C7F4" w14:textId="77777777" w:rsidR="004C7180" w:rsidRPr="00150EDC" w:rsidRDefault="00CF0754">
            <w:pPr>
              <w:pStyle w:val="TableParagraph"/>
              <w:rPr>
                <w:sz w:val="20"/>
              </w:rPr>
            </w:pPr>
            <w:r w:rsidRPr="00150EDC">
              <w:rPr>
                <w:sz w:val="20"/>
              </w:rPr>
              <w:t>Forgery</w:t>
            </w:r>
            <w:r w:rsidRPr="00150EDC">
              <w:rPr>
                <w:spacing w:val="-5"/>
                <w:sz w:val="20"/>
              </w:rPr>
              <w:t xml:space="preserve"> </w:t>
            </w:r>
            <w:r w:rsidRPr="00150EDC">
              <w:rPr>
                <w:sz w:val="20"/>
              </w:rPr>
              <w:t>and</w:t>
            </w:r>
            <w:r w:rsidRPr="00150EDC">
              <w:rPr>
                <w:spacing w:val="-6"/>
                <w:sz w:val="20"/>
              </w:rPr>
              <w:t xml:space="preserve"> </w:t>
            </w:r>
            <w:r w:rsidRPr="00150EDC">
              <w:rPr>
                <w:sz w:val="20"/>
              </w:rPr>
              <w:t>false</w:t>
            </w:r>
            <w:r w:rsidRPr="00150EDC">
              <w:rPr>
                <w:spacing w:val="-6"/>
                <w:sz w:val="20"/>
              </w:rPr>
              <w:t xml:space="preserve"> </w:t>
            </w:r>
            <w:r w:rsidRPr="00150EDC">
              <w:rPr>
                <w:sz w:val="20"/>
              </w:rPr>
              <w:t xml:space="preserve">statements, </w:t>
            </w:r>
            <w:r w:rsidRPr="00150EDC">
              <w:rPr>
                <w:spacing w:val="-5"/>
                <w:sz w:val="20"/>
              </w:rPr>
              <w:t>etc</w:t>
            </w:r>
          </w:p>
        </w:tc>
      </w:tr>
      <w:tr w:rsidR="004569EE" w:rsidRPr="007D3144" w14:paraId="65AA9549" w14:textId="77777777">
        <w:trPr>
          <w:trHeight w:val="255"/>
        </w:trPr>
        <w:tc>
          <w:tcPr>
            <w:tcW w:w="6517" w:type="dxa"/>
          </w:tcPr>
          <w:p w14:paraId="6E931D58" w14:textId="77777777" w:rsidR="004C7180" w:rsidRPr="00150EDC" w:rsidRDefault="00CF0754">
            <w:pPr>
              <w:pStyle w:val="TableParagraph"/>
              <w:rPr>
                <w:sz w:val="20"/>
              </w:rPr>
            </w:pPr>
            <w:r w:rsidRPr="00150EDC">
              <w:rPr>
                <w:sz w:val="20"/>
              </w:rPr>
              <w:t>Mental</w:t>
            </w:r>
            <w:r w:rsidRPr="00150EDC">
              <w:rPr>
                <w:spacing w:val="-7"/>
                <w:sz w:val="20"/>
              </w:rPr>
              <w:t xml:space="preserve"> </w:t>
            </w:r>
            <w:r w:rsidRPr="00150EDC">
              <w:rPr>
                <w:sz w:val="20"/>
              </w:rPr>
              <w:t>Health</w:t>
            </w:r>
            <w:r w:rsidRPr="00150EDC">
              <w:rPr>
                <w:spacing w:val="-9"/>
                <w:sz w:val="20"/>
              </w:rPr>
              <w:t xml:space="preserve"> </w:t>
            </w:r>
            <w:r w:rsidRPr="00150EDC">
              <w:rPr>
                <w:sz w:val="20"/>
              </w:rPr>
              <w:t>Act</w:t>
            </w:r>
            <w:r w:rsidRPr="00150EDC">
              <w:rPr>
                <w:spacing w:val="-7"/>
                <w:sz w:val="20"/>
              </w:rPr>
              <w:t xml:space="preserve"> </w:t>
            </w:r>
            <w:r w:rsidRPr="00150EDC">
              <w:rPr>
                <w:sz w:val="20"/>
              </w:rPr>
              <w:t>1998,</w:t>
            </w:r>
            <w:r w:rsidRPr="00150EDC">
              <w:rPr>
                <w:spacing w:val="-8"/>
                <w:sz w:val="20"/>
              </w:rPr>
              <w:t xml:space="preserve"> </w:t>
            </w:r>
            <w:r w:rsidRPr="00150EDC">
              <w:rPr>
                <w:spacing w:val="-4"/>
                <w:sz w:val="20"/>
              </w:rPr>
              <w:t>s123</w:t>
            </w:r>
          </w:p>
        </w:tc>
        <w:tc>
          <w:tcPr>
            <w:tcW w:w="7427" w:type="dxa"/>
          </w:tcPr>
          <w:p w14:paraId="1CD9AC10" w14:textId="77777777" w:rsidR="004C7180" w:rsidRPr="00150EDC" w:rsidRDefault="00CF0754">
            <w:pPr>
              <w:pStyle w:val="TableParagraph"/>
              <w:rPr>
                <w:sz w:val="20"/>
              </w:rPr>
            </w:pPr>
            <w:r w:rsidRPr="00150EDC">
              <w:rPr>
                <w:sz w:val="20"/>
              </w:rPr>
              <w:t>Ill-treatment</w:t>
            </w:r>
            <w:r w:rsidRPr="00150EDC">
              <w:rPr>
                <w:spacing w:val="-12"/>
                <w:sz w:val="20"/>
              </w:rPr>
              <w:t xml:space="preserve"> </w:t>
            </w:r>
            <w:r w:rsidRPr="00150EDC">
              <w:rPr>
                <w:sz w:val="20"/>
              </w:rPr>
              <w:t>of</w:t>
            </w:r>
            <w:r w:rsidRPr="00150EDC">
              <w:rPr>
                <w:spacing w:val="-14"/>
                <w:sz w:val="20"/>
              </w:rPr>
              <w:t xml:space="preserve"> </w:t>
            </w:r>
            <w:r w:rsidRPr="00150EDC">
              <w:rPr>
                <w:spacing w:val="-2"/>
                <w:sz w:val="20"/>
              </w:rPr>
              <w:t>patients</w:t>
            </w:r>
          </w:p>
        </w:tc>
      </w:tr>
      <w:tr w:rsidR="004569EE" w:rsidRPr="007D3144" w14:paraId="1B21F60C" w14:textId="77777777">
        <w:trPr>
          <w:trHeight w:val="255"/>
        </w:trPr>
        <w:tc>
          <w:tcPr>
            <w:tcW w:w="6517" w:type="dxa"/>
          </w:tcPr>
          <w:p w14:paraId="5C2E098E" w14:textId="77777777" w:rsidR="004C7180" w:rsidRPr="00150EDC" w:rsidRDefault="00CF0754">
            <w:pPr>
              <w:pStyle w:val="TableParagraph"/>
              <w:rPr>
                <w:sz w:val="20"/>
              </w:rPr>
            </w:pPr>
            <w:r w:rsidRPr="00150EDC">
              <w:rPr>
                <w:sz w:val="20"/>
              </w:rPr>
              <w:t>Mental</w:t>
            </w:r>
            <w:r w:rsidRPr="00150EDC">
              <w:rPr>
                <w:spacing w:val="-7"/>
                <w:sz w:val="20"/>
              </w:rPr>
              <w:t xml:space="preserve"> </w:t>
            </w:r>
            <w:r w:rsidRPr="00150EDC">
              <w:rPr>
                <w:sz w:val="20"/>
              </w:rPr>
              <w:t>Health</w:t>
            </w:r>
            <w:r w:rsidRPr="00150EDC">
              <w:rPr>
                <w:spacing w:val="-9"/>
                <w:sz w:val="20"/>
              </w:rPr>
              <w:t xml:space="preserve"> </w:t>
            </w:r>
            <w:r w:rsidRPr="00150EDC">
              <w:rPr>
                <w:sz w:val="20"/>
              </w:rPr>
              <w:t>Act</w:t>
            </w:r>
            <w:r w:rsidRPr="00150EDC">
              <w:rPr>
                <w:spacing w:val="-7"/>
                <w:sz w:val="20"/>
              </w:rPr>
              <w:t xml:space="preserve"> </w:t>
            </w:r>
            <w:r w:rsidRPr="00150EDC">
              <w:rPr>
                <w:sz w:val="20"/>
              </w:rPr>
              <w:t>1998,</w:t>
            </w:r>
            <w:r w:rsidRPr="00150EDC">
              <w:rPr>
                <w:spacing w:val="-8"/>
                <w:sz w:val="20"/>
              </w:rPr>
              <w:t xml:space="preserve"> </w:t>
            </w:r>
            <w:r w:rsidRPr="00150EDC">
              <w:rPr>
                <w:spacing w:val="-4"/>
                <w:sz w:val="20"/>
              </w:rPr>
              <w:t>s124</w:t>
            </w:r>
          </w:p>
        </w:tc>
        <w:tc>
          <w:tcPr>
            <w:tcW w:w="7427" w:type="dxa"/>
          </w:tcPr>
          <w:p w14:paraId="6D3165F9" w14:textId="77777777" w:rsidR="004C7180" w:rsidRPr="00150EDC" w:rsidRDefault="00CF0754">
            <w:pPr>
              <w:pStyle w:val="TableParagraph"/>
              <w:rPr>
                <w:sz w:val="20"/>
              </w:rPr>
            </w:pPr>
            <w:r w:rsidRPr="00150EDC">
              <w:rPr>
                <w:sz w:val="20"/>
              </w:rPr>
              <w:t>Assisting</w:t>
            </w:r>
            <w:r w:rsidRPr="00150EDC">
              <w:rPr>
                <w:spacing w:val="-7"/>
                <w:sz w:val="20"/>
              </w:rPr>
              <w:t xml:space="preserve"> </w:t>
            </w:r>
            <w:r w:rsidRPr="00150EDC">
              <w:rPr>
                <w:sz w:val="20"/>
              </w:rPr>
              <w:t>patients</w:t>
            </w:r>
            <w:r w:rsidRPr="00150EDC">
              <w:rPr>
                <w:spacing w:val="-5"/>
                <w:sz w:val="20"/>
              </w:rPr>
              <w:t xml:space="preserve"> </w:t>
            </w:r>
            <w:r w:rsidRPr="00150EDC">
              <w:rPr>
                <w:sz w:val="20"/>
              </w:rPr>
              <w:t>to</w:t>
            </w:r>
            <w:r w:rsidRPr="00150EDC">
              <w:rPr>
                <w:spacing w:val="-6"/>
                <w:sz w:val="20"/>
              </w:rPr>
              <w:t xml:space="preserve"> </w:t>
            </w:r>
            <w:r w:rsidRPr="00150EDC">
              <w:rPr>
                <w:sz w:val="20"/>
              </w:rPr>
              <w:t>absent</w:t>
            </w:r>
            <w:r w:rsidRPr="00150EDC">
              <w:rPr>
                <w:spacing w:val="-4"/>
                <w:sz w:val="20"/>
              </w:rPr>
              <w:t xml:space="preserve"> </w:t>
            </w:r>
            <w:r w:rsidRPr="00150EDC">
              <w:rPr>
                <w:sz w:val="20"/>
              </w:rPr>
              <w:t>themselves</w:t>
            </w:r>
            <w:r w:rsidRPr="00150EDC">
              <w:rPr>
                <w:spacing w:val="-5"/>
                <w:sz w:val="20"/>
              </w:rPr>
              <w:t xml:space="preserve"> </w:t>
            </w:r>
            <w:r w:rsidRPr="00150EDC">
              <w:rPr>
                <w:sz w:val="20"/>
              </w:rPr>
              <w:t>without</w:t>
            </w:r>
            <w:r w:rsidRPr="00150EDC">
              <w:rPr>
                <w:spacing w:val="-6"/>
                <w:sz w:val="20"/>
              </w:rPr>
              <w:t xml:space="preserve"> </w:t>
            </w:r>
            <w:r w:rsidRPr="00150EDC">
              <w:rPr>
                <w:spacing w:val="-4"/>
                <w:sz w:val="20"/>
              </w:rPr>
              <w:t>leave</w:t>
            </w:r>
          </w:p>
        </w:tc>
      </w:tr>
      <w:tr w:rsidR="004569EE" w:rsidRPr="007D3144" w14:paraId="3A39BC79" w14:textId="77777777">
        <w:trPr>
          <w:trHeight w:val="255"/>
        </w:trPr>
        <w:tc>
          <w:tcPr>
            <w:tcW w:w="6517" w:type="dxa"/>
          </w:tcPr>
          <w:p w14:paraId="00E8F61E" w14:textId="77777777" w:rsidR="004C7180" w:rsidRPr="00150EDC" w:rsidRDefault="00CF0754">
            <w:pPr>
              <w:pStyle w:val="TableParagraph"/>
              <w:rPr>
                <w:sz w:val="20"/>
              </w:rPr>
            </w:pPr>
            <w:r w:rsidRPr="00150EDC">
              <w:rPr>
                <w:sz w:val="20"/>
              </w:rPr>
              <w:t>Mental</w:t>
            </w:r>
            <w:r w:rsidRPr="00150EDC">
              <w:rPr>
                <w:spacing w:val="-7"/>
                <w:sz w:val="20"/>
              </w:rPr>
              <w:t xml:space="preserve"> </w:t>
            </w:r>
            <w:r w:rsidRPr="00150EDC">
              <w:rPr>
                <w:sz w:val="20"/>
              </w:rPr>
              <w:t>Health</w:t>
            </w:r>
            <w:r w:rsidRPr="00150EDC">
              <w:rPr>
                <w:spacing w:val="-9"/>
                <w:sz w:val="20"/>
              </w:rPr>
              <w:t xml:space="preserve"> </w:t>
            </w:r>
            <w:r w:rsidRPr="00150EDC">
              <w:rPr>
                <w:sz w:val="20"/>
              </w:rPr>
              <w:t>Act</w:t>
            </w:r>
            <w:r w:rsidRPr="00150EDC">
              <w:rPr>
                <w:spacing w:val="-7"/>
                <w:sz w:val="20"/>
              </w:rPr>
              <w:t xml:space="preserve"> </w:t>
            </w:r>
            <w:r w:rsidRPr="00150EDC">
              <w:rPr>
                <w:sz w:val="20"/>
              </w:rPr>
              <w:t>1998,</w:t>
            </w:r>
            <w:r w:rsidRPr="00150EDC">
              <w:rPr>
                <w:spacing w:val="-8"/>
                <w:sz w:val="20"/>
              </w:rPr>
              <w:t xml:space="preserve"> </w:t>
            </w:r>
            <w:r w:rsidRPr="00150EDC">
              <w:rPr>
                <w:spacing w:val="-4"/>
                <w:sz w:val="20"/>
              </w:rPr>
              <w:t>s125</w:t>
            </w:r>
          </w:p>
        </w:tc>
        <w:tc>
          <w:tcPr>
            <w:tcW w:w="7427" w:type="dxa"/>
          </w:tcPr>
          <w:p w14:paraId="04368284" w14:textId="77777777" w:rsidR="004C7180" w:rsidRPr="00150EDC" w:rsidRDefault="00CF0754">
            <w:pPr>
              <w:pStyle w:val="TableParagraph"/>
              <w:rPr>
                <w:sz w:val="20"/>
              </w:rPr>
            </w:pPr>
            <w:r w:rsidRPr="00150EDC">
              <w:rPr>
                <w:spacing w:val="-2"/>
                <w:sz w:val="20"/>
              </w:rPr>
              <w:t>Obstruction</w:t>
            </w:r>
          </w:p>
        </w:tc>
      </w:tr>
      <w:tr w:rsidR="004569EE" w:rsidRPr="007D3144" w14:paraId="0F10275F" w14:textId="77777777">
        <w:trPr>
          <w:trHeight w:val="255"/>
        </w:trPr>
        <w:tc>
          <w:tcPr>
            <w:tcW w:w="6517" w:type="dxa"/>
          </w:tcPr>
          <w:p w14:paraId="54004DF9" w14:textId="77777777" w:rsidR="004C7180" w:rsidRPr="00150EDC" w:rsidRDefault="00CF0754">
            <w:pPr>
              <w:pStyle w:val="TableParagraph"/>
              <w:rPr>
                <w:sz w:val="20"/>
              </w:rPr>
            </w:pPr>
            <w:r w:rsidRPr="00150EDC">
              <w:rPr>
                <w:sz w:val="20"/>
              </w:rPr>
              <w:t>Merchant</w:t>
            </w:r>
            <w:r w:rsidRPr="00150EDC">
              <w:rPr>
                <w:spacing w:val="-11"/>
                <w:sz w:val="20"/>
              </w:rPr>
              <w:t xml:space="preserve"> </w:t>
            </w:r>
            <w:r w:rsidRPr="00150EDC">
              <w:rPr>
                <w:sz w:val="20"/>
              </w:rPr>
              <w:t>Shipping</w:t>
            </w:r>
            <w:r w:rsidRPr="00150EDC">
              <w:rPr>
                <w:spacing w:val="-11"/>
                <w:sz w:val="20"/>
              </w:rPr>
              <w:t xml:space="preserve"> </w:t>
            </w:r>
            <w:r w:rsidRPr="00150EDC">
              <w:rPr>
                <w:sz w:val="20"/>
              </w:rPr>
              <w:t>(Bailiwick</w:t>
            </w:r>
            <w:r w:rsidRPr="00150EDC">
              <w:rPr>
                <w:spacing w:val="-9"/>
                <w:sz w:val="20"/>
              </w:rPr>
              <w:t xml:space="preserve"> </w:t>
            </w:r>
            <w:r w:rsidRPr="00150EDC">
              <w:rPr>
                <w:sz w:val="20"/>
              </w:rPr>
              <w:t>Of</w:t>
            </w:r>
            <w:r w:rsidRPr="00150EDC">
              <w:rPr>
                <w:spacing w:val="-11"/>
                <w:sz w:val="20"/>
              </w:rPr>
              <w:t xml:space="preserve"> </w:t>
            </w:r>
            <w:r w:rsidRPr="00150EDC">
              <w:rPr>
                <w:sz w:val="20"/>
              </w:rPr>
              <w:t>Guernsey)</w:t>
            </w:r>
            <w:r w:rsidRPr="00150EDC">
              <w:rPr>
                <w:spacing w:val="-10"/>
                <w:sz w:val="20"/>
              </w:rPr>
              <w:t xml:space="preserve"> </w:t>
            </w:r>
            <w:r w:rsidRPr="00150EDC">
              <w:rPr>
                <w:sz w:val="20"/>
              </w:rPr>
              <w:t>Law</w:t>
            </w:r>
            <w:r w:rsidRPr="00150EDC">
              <w:rPr>
                <w:spacing w:val="-8"/>
                <w:sz w:val="20"/>
              </w:rPr>
              <w:t xml:space="preserve"> </w:t>
            </w:r>
            <w:r w:rsidRPr="00150EDC">
              <w:rPr>
                <w:sz w:val="20"/>
              </w:rPr>
              <w:t>2002,</w:t>
            </w:r>
            <w:r w:rsidRPr="00150EDC">
              <w:rPr>
                <w:spacing w:val="-10"/>
                <w:sz w:val="20"/>
              </w:rPr>
              <w:t xml:space="preserve"> </w:t>
            </w:r>
            <w:r w:rsidRPr="00150EDC">
              <w:rPr>
                <w:spacing w:val="-4"/>
                <w:sz w:val="20"/>
              </w:rPr>
              <w:t>s211</w:t>
            </w:r>
          </w:p>
        </w:tc>
        <w:tc>
          <w:tcPr>
            <w:tcW w:w="7427" w:type="dxa"/>
          </w:tcPr>
          <w:p w14:paraId="2ABC2625" w14:textId="77777777" w:rsidR="004C7180" w:rsidRPr="00150EDC" w:rsidRDefault="00CF0754">
            <w:pPr>
              <w:pStyle w:val="TableParagraph"/>
              <w:rPr>
                <w:sz w:val="20"/>
              </w:rPr>
            </w:pPr>
            <w:r w:rsidRPr="00150EDC">
              <w:rPr>
                <w:sz w:val="20"/>
              </w:rPr>
              <w:t>Damage,</w:t>
            </w:r>
            <w:r w:rsidRPr="00150EDC">
              <w:rPr>
                <w:spacing w:val="-3"/>
                <w:sz w:val="20"/>
              </w:rPr>
              <w:t xml:space="preserve"> </w:t>
            </w:r>
            <w:r w:rsidRPr="00150EDC">
              <w:rPr>
                <w:sz w:val="20"/>
              </w:rPr>
              <w:t>etc</w:t>
            </w:r>
            <w:r w:rsidRPr="00150EDC">
              <w:rPr>
                <w:spacing w:val="-6"/>
                <w:sz w:val="20"/>
              </w:rPr>
              <w:t xml:space="preserve"> </w:t>
            </w:r>
            <w:r w:rsidRPr="00150EDC">
              <w:rPr>
                <w:sz w:val="20"/>
              </w:rPr>
              <w:t>to</w:t>
            </w:r>
            <w:r w:rsidRPr="00150EDC">
              <w:rPr>
                <w:spacing w:val="-7"/>
                <w:sz w:val="20"/>
              </w:rPr>
              <w:t xml:space="preserve"> </w:t>
            </w:r>
            <w:r w:rsidRPr="00150EDC">
              <w:rPr>
                <w:sz w:val="20"/>
              </w:rPr>
              <w:t>lighthouses,</w:t>
            </w:r>
            <w:r w:rsidRPr="00150EDC">
              <w:rPr>
                <w:spacing w:val="-6"/>
                <w:sz w:val="20"/>
              </w:rPr>
              <w:t xml:space="preserve"> </w:t>
            </w:r>
            <w:r w:rsidRPr="00150EDC">
              <w:rPr>
                <w:spacing w:val="-5"/>
                <w:sz w:val="20"/>
              </w:rPr>
              <w:t>etc</w:t>
            </w:r>
          </w:p>
        </w:tc>
      </w:tr>
      <w:tr w:rsidR="004569EE" w:rsidRPr="007D3144" w14:paraId="6180ABEA" w14:textId="77777777">
        <w:trPr>
          <w:trHeight w:val="255"/>
        </w:trPr>
        <w:tc>
          <w:tcPr>
            <w:tcW w:w="6517" w:type="dxa"/>
          </w:tcPr>
          <w:p w14:paraId="79C31763" w14:textId="77777777" w:rsidR="004C7180" w:rsidRPr="00150EDC" w:rsidRDefault="00CF0754">
            <w:pPr>
              <w:pStyle w:val="TableParagraph"/>
              <w:rPr>
                <w:sz w:val="20"/>
              </w:rPr>
            </w:pPr>
            <w:r w:rsidRPr="00150EDC">
              <w:rPr>
                <w:sz w:val="20"/>
              </w:rPr>
              <w:t>Merchant</w:t>
            </w:r>
            <w:r w:rsidRPr="00150EDC">
              <w:rPr>
                <w:spacing w:val="-11"/>
                <w:sz w:val="20"/>
              </w:rPr>
              <w:t xml:space="preserve"> </w:t>
            </w:r>
            <w:r w:rsidRPr="00150EDC">
              <w:rPr>
                <w:sz w:val="20"/>
              </w:rPr>
              <w:t>Shipping</w:t>
            </w:r>
            <w:r w:rsidRPr="00150EDC">
              <w:rPr>
                <w:spacing w:val="-11"/>
                <w:sz w:val="20"/>
              </w:rPr>
              <w:t xml:space="preserve"> </w:t>
            </w:r>
            <w:r w:rsidRPr="00150EDC">
              <w:rPr>
                <w:sz w:val="20"/>
              </w:rPr>
              <w:t>(Bailiwick</w:t>
            </w:r>
            <w:r w:rsidRPr="00150EDC">
              <w:rPr>
                <w:spacing w:val="-9"/>
                <w:sz w:val="20"/>
              </w:rPr>
              <w:t xml:space="preserve"> </w:t>
            </w:r>
            <w:r w:rsidRPr="00150EDC">
              <w:rPr>
                <w:sz w:val="20"/>
              </w:rPr>
              <w:t>Of</w:t>
            </w:r>
            <w:r w:rsidRPr="00150EDC">
              <w:rPr>
                <w:spacing w:val="-11"/>
                <w:sz w:val="20"/>
              </w:rPr>
              <w:t xml:space="preserve"> </w:t>
            </w:r>
            <w:r w:rsidRPr="00150EDC">
              <w:rPr>
                <w:sz w:val="20"/>
              </w:rPr>
              <w:t>Guernsey)</w:t>
            </w:r>
            <w:r w:rsidRPr="00150EDC">
              <w:rPr>
                <w:spacing w:val="-10"/>
                <w:sz w:val="20"/>
              </w:rPr>
              <w:t xml:space="preserve"> </w:t>
            </w:r>
            <w:r w:rsidRPr="00150EDC">
              <w:rPr>
                <w:sz w:val="20"/>
              </w:rPr>
              <w:t>Law</w:t>
            </w:r>
            <w:r w:rsidRPr="00150EDC">
              <w:rPr>
                <w:spacing w:val="-8"/>
                <w:sz w:val="20"/>
              </w:rPr>
              <w:t xml:space="preserve"> </w:t>
            </w:r>
            <w:r w:rsidRPr="00150EDC">
              <w:rPr>
                <w:sz w:val="20"/>
              </w:rPr>
              <w:t>2002,</w:t>
            </w:r>
            <w:r w:rsidRPr="00150EDC">
              <w:rPr>
                <w:spacing w:val="-10"/>
                <w:sz w:val="20"/>
              </w:rPr>
              <w:t xml:space="preserve"> </w:t>
            </w:r>
            <w:r w:rsidRPr="00150EDC">
              <w:rPr>
                <w:spacing w:val="-5"/>
                <w:sz w:val="20"/>
              </w:rPr>
              <w:t>s86</w:t>
            </w:r>
          </w:p>
        </w:tc>
        <w:tc>
          <w:tcPr>
            <w:tcW w:w="7427" w:type="dxa"/>
          </w:tcPr>
          <w:p w14:paraId="4C6533CA" w14:textId="77777777" w:rsidR="004C7180" w:rsidRPr="00150EDC" w:rsidRDefault="00CF0754">
            <w:pPr>
              <w:pStyle w:val="TableParagraph"/>
              <w:rPr>
                <w:sz w:val="20"/>
              </w:rPr>
            </w:pPr>
            <w:r w:rsidRPr="00150EDC">
              <w:rPr>
                <w:sz w:val="20"/>
              </w:rPr>
              <w:t>Failure</w:t>
            </w:r>
            <w:r w:rsidRPr="00150EDC">
              <w:rPr>
                <w:spacing w:val="-7"/>
                <w:sz w:val="20"/>
              </w:rPr>
              <w:t xml:space="preserve"> </w:t>
            </w:r>
            <w:r w:rsidRPr="00150EDC">
              <w:rPr>
                <w:sz w:val="20"/>
              </w:rPr>
              <w:t>to</w:t>
            </w:r>
            <w:r w:rsidRPr="00150EDC">
              <w:rPr>
                <w:spacing w:val="-6"/>
                <w:sz w:val="20"/>
              </w:rPr>
              <w:t xml:space="preserve"> </w:t>
            </w:r>
            <w:r w:rsidRPr="00150EDC">
              <w:rPr>
                <w:sz w:val="20"/>
              </w:rPr>
              <w:t>report</w:t>
            </w:r>
            <w:r w:rsidRPr="00150EDC">
              <w:rPr>
                <w:spacing w:val="-1"/>
                <w:sz w:val="20"/>
              </w:rPr>
              <w:t xml:space="preserve"> </w:t>
            </w:r>
            <w:r w:rsidRPr="00150EDC">
              <w:rPr>
                <w:sz w:val="20"/>
              </w:rPr>
              <w:t>dangers</w:t>
            </w:r>
            <w:r w:rsidRPr="00150EDC">
              <w:rPr>
                <w:spacing w:val="-5"/>
                <w:sz w:val="20"/>
              </w:rPr>
              <w:t xml:space="preserve"> </w:t>
            </w:r>
            <w:r w:rsidRPr="00150EDC">
              <w:rPr>
                <w:sz w:val="20"/>
              </w:rPr>
              <w:t>to</w:t>
            </w:r>
            <w:r w:rsidRPr="00150EDC">
              <w:rPr>
                <w:spacing w:val="-1"/>
                <w:sz w:val="20"/>
              </w:rPr>
              <w:t xml:space="preserve"> </w:t>
            </w:r>
            <w:r w:rsidRPr="00150EDC">
              <w:rPr>
                <w:spacing w:val="-2"/>
                <w:sz w:val="20"/>
              </w:rPr>
              <w:t>navigation</w:t>
            </w:r>
          </w:p>
        </w:tc>
      </w:tr>
      <w:tr w:rsidR="004569EE" w:rsidRPr="007D3144" w14:paraId="672FD21F" w14:textId="77777777">
        <w:trPr>
          <w:trHeight w:val="255"/>
        </w:trPr>
        <w:tc>
          <w:tcPr>
            <w:tcW w:w="6517" w:type="dxa"/>
          </w:tcPr>
          <w:p w14:paraId="2050208D" w14:textId="77777777" w:rsidR="004C7180" w:rsidRPr="00150EDC" w:rsidRDefault="00CF0754">
            <w:pPr>
              <w:pStyle w:val="TableParagraph"/>
              <w:spacing w:before="28"/>
              <w:rPr>
                <w:sz w:val="20"/>
              </w:rPr>
            </w:pPr>
            <w:r w:rsidRPr="00150EDC">
              <w:rPr>
                <w:sz w:val="20"/>
              </w:rPr>
              <w:t>Merchant</w:t>
            </w:r>
            <w:r w:rsidRPr="00150EDC">
              <w:rPr>
                <w:spacing w:val="-12"/>
                <w:sz w:val="20"/>
              </w:rPr>
              <w:t xml:space="preserve"> </w:t>
            </w:r>
            <w:r w:rsidRPr="00150EDC">
              <w:rPr>
                <w:sz w:val="20"/>
              </w:rPr>
              <w:t>Shipping</w:t>
            </w:r>
            <w:r w:rsidRPr="00150EDC">
              <w:rPr>
                <w:spacing w:val="-12"/>
                <w:sz w:val="20"/>
              </w:rPr>
              <w:t xml:space="preserve"> </w:t>
            </w:r>
            <w:r w:rsidRPr="00150EDC">
              <w:rPr>
                <w:sz w:val="20"/>
              </w:rPr>
              <w:t>Act</w:t>
            </w:r>
            <w:r w:rsidRPr="00150EDC">
              <w:rPr>
                <w:spacing w:val="-10"/>
                <w:sz w:val="20"/>
              </w:rPr>
              <w:t xml:space="preserve"> </w:t>
            </w:r>
            <w:r w:rsidRPr="00150EDC">
              <w:rPr>
                <w:sz w:val="20"/>
              </w:rPr>
              <w:t>1894,</w:t>
            </w:r>
            <w:r w:rsidRPr="00150EDC">
              <w:rPr>
                <w:spacing w:val="-12"/>
                <w:sz w:val="20"/>
              </w:rPr>
              <w:t xml:space="preserve"> </w:t>
            </w:r>
            <w:r w:rsidRPr="00150EDC">
              <w:rPr>
                <w:spacing w:val="-4"/>
                <w:sz w:val="20"/>
              </w:rPr>
              <w:t>s220</w:t>
            </w:r>
          </w:p>
        </w:tc>
        <w:tc>
          <w:tcPr>
            <w:tcW w:w="7427" w:type="dxa"/>
          </w:tcPr>
          <w:p w14:paraId="3CFD9452" w14:textId="77777777" w:rsidR="004C7180" w:rsidRPr="00150EDC" w:rsidRDefault="00CF0754">
            <w:pPr>
              <w:pStyle w:val="TableParagraph"/>
              <w:spacing w:before="28"/>
              <w:rPr>
                <w:sz w:val="20"/>
              </w:rPr>
            </w:pPr>
            <w:r w:rsidRPr="00150EDC">
              <w:rPr>
                <w:sz w:val="20"/>
              </w:rPr>
              <w:t>Endangering</w:t>
            </w:r>
            <w:r w:rsidRPr="00150EDC">
              <w:rPr>
                <w:spacing w:val="-8"/>
                <w:sz w:val="20"/>
              </w:rPr>
              <w:t xml:space="preserve"> </w:t>
            </w:r>
            <w:r w:rsidRPr="00150EDC">
              <w:rPr>
                <w:sz w:val="20"/>
              </w:rPr>
              <w:t>ship</w:t>
            </w:r>
            <w:r w:rsidRPr="00150EDC">
              <w:rPr>
                <w:spacing w:val="-2"/>
                <w:sz w:val="20"/>
              </w:rPr>
              <w:t xml:space="preserve"> </w:t>
            </w:r>
            <w:r w:rsidRPr="00150EDC">
              <w:rPr>
                <w:sz w:val="20"/>
              </w:rPr>
              <w:t>by</w:t>
            </w:r>
            <w:r w:rsidRPr="00150EDC">
              <w:rPr>
                <w:spacing w:val="-6"/>
                <w:sz w:val="20"/>
              </w:rPr>
              <w:t xml:space="preserve"> </w:t>
            </w:r>
            <w:r w:rsidRPr="00150EDC">
              <w:rPr>
                <w:spacing w:val="-2"/>
                <w:sz w:val="20"/>
              </w:rPr>
              <w:t>misconduct</w:t>
            </w:r>
          </w:p>
        </w:tc>
      </w:tr>
      <w:tr w:rsidR="004569EE" w:rsidRPr="007D3144" w14:paraId="0A379F8E" w14:textId="77777777">
        <w:trPr>
          <w:trHeight w:val="255"/>
        </w:trPr>
        <w:tc>
          <w:tcPr>
            <w:tcW w:w="6517" w:type="dxa"/>
          </w:tcPr>
          <w:p w14:paraId="309CE247" w14:textId="77777777" w:rsidR="004C7180" w:rsidRPr="00150EDC" w:rsidRDefault="00CF0754">
            <w:pPr>
              <w:pStyle w:val="TableParagraph"/>
              <w:rPr>
                <w:sz w:val="20"/>
              </w:rPr>
            </w:pPr>
            <w:r w:rsidRPr="00150EDC">
              <w:rPr>
                <w:sz w:val="20"/>
              </w:rPr>
              <w:t>Merchant</w:t>
            </w:r>
            <w:r w:rsidRPr="00150EDC">
              <w:rPr>
                <w:spacing w:val="-12"/>
                <w:sz w:val="20"/>
              </w:rPr>
              <w:t xml:space="preserve"> </w:t>
            </w:r>
            <w:r w:rsidRPr="00150EDC">
              <w:rPr>
                <w:sz w:val="20"/>
              </w:rPr>
              <w:t>Shipping</w:t>
            </w:r>
            <w:r w:rsidRPr="00150EDC">
              <w:rPr>
                <w:spacing w:val="-12"/>
                <w:sz w:val="20"/>
              </w:rPr>
              <w:t xml:space="preserve"> </w:t>
            </w:r>
            <w:r w:rsidRPr="00150EDC">
              <w:rPr>
                <w:sz w:val="20"/>
              </w:rPr>
              <w:t>Act</w:t>
            </w:r>
            <w:r w:rsidRPr="00150EDC">
              <w:rPr>
                <w:spacing w:val="-10"/>
                <w:sz w:val="20"/>
              </w:rPr>
              <w:t xml:space="preserve"> </w:t>
            </w:r>
            <w:r w:rsidRPr="00150EDC">
              <w:rPr>
                <w:sz w:val="20"/>
              </w:rPr>
              <w:t>1894,</w:t>
            </w:r>
            <w:r w:rsidRPr="00150EDC">
              <w:rPr>
                <w:spacing w:val="-12"/>
                <w:sz w:val="20"/>
              </w:rPr>
              <w:t xml:space="preserve"> </w:t>
            </w:r>
            <w:r w:rsidRPr="00150EDC">
              <w:rPr>
                <w:spacing w:val="-4"/>
                <w:sz w:val="20"/>
              </w:rPr>
              <w:t>s666</w:t>
            </w:r>
          </w:p>
        </w:tc>
        <w:tc>
          <w:tcPr>
            <w:tcW w:w="7427" w:type="dxa"/>
          </w:tcPr>
          <w:p w14:paraId="0DA190AB" w14:textId="77777777" w:rsidR="004C7180" w:rsidRPr="00150EDC" w:rsidRDefault="00CF0754">
            <w:pPr>
              <w:pStyle w:val="TableParagraph"/>
              <w:rPr>
                <w:sz w:val="20"/>
              </w:rPr>
            </w:pPr>
            <w:r w:rsidRPr="00150EDC">
              <w:rPr>
                <w:sz w:val="20"/>
              </w:rPr>
              <w:t>Maliciously</w:t>
            </w:r>
            <w:r w:rsidRPr="00150EDC">
              <w:rPr>
                <w:spacing w:val="-13"/>
                <w:sz w:val="20"/>
              </w:rPr>
              <w:t xml:space="preserve"> </w:t>
            </w:r>
            <w:r w:rsidRPr="00150EDC">
              <w:rPr>
                <w:sz w:val="20"/>
              </w:rPr>
              <w:t>damage</w:t>
            </w:r>
            <w:r w:rsidRPr="00150EDC">
              <w:rPr>
                <w:spacing w:val="-10"/>
                <w:sz w:val="20"/>
              </w:rPr>
              <w:t xml:space="preserve"> </w:t>
            </w:r>
            <w:r w:rsidRPr="00150EDC">
              <w:rPr>
                <w:sz w:val="20"/>
              </w:rPr>
              <w:t>a</w:t>
            </w:r>
            <w:r w:rsidRPr="00150EDC">
              <w:rPr>
                <w:spacing w:val="-13"/>
                <w:sz w:val="20"/>
              </w:rPr>
              <w:t xml:space="preserve"> </w:t>
            </w:r>
            <w:r w:rsidRPr="00150EDC">
              <w:rPr>
                <w:spacing w:val="-2"/>
                <w:sz w:val="20"/>
              </w:rPr>
              <w:t>lighthouse</w:t>
            </w:r>
          </w:p>
        </w:tc>
      </w:tr>
      <w:tr w:rsidR="004569EE" w:rsidRPr="007D3144" w14:paraId="52150AA3" w14:textId="77777777">
        <w:trPr>
          <w:trHeight w:val="255"/>
        </w:trPr>
        <w:tc>
          <w:tcPr>
            <w:tcW w:w="6517" w:type="dxa"/>
          </w:tcPr>
          <w:p w14:paraId="12F0BD3E" w14:textId="77777777" w:rsidR="004C7180" w:rsidRPr="00150EDC" w:rsidRDefault="00CF0754">
            <w:pPr>
              <w:pStyle w:val="TableParagraph"/>
              <w:rPr>
                <w:sz w:val="20"/>
              </w:rPr>
            </w:pPr>
            <w:r w:rsidRPr="00150EDC">
              <w:rPr>
                <w:sz w:val="20"/>
              </w:rPr>
              <w:t>Misuse</w:t>
            </w:r>
            <w:r w:rsidRPr="00150EDC">
              <w:rPr>
                <w:spacing w:val="-7"/>
                <w:sz w:val="20"/>
              </w:rPr>
              <w:t xml:space="preserve"> </w:t>
            </w:r>
            <w:r w:rsidRPr="00150EDC">
              <w:rPr>
                <w:sz w:val="20"/>
              </w:rPr>
              <w:t>of</w:t>
            </w:r>
            <w:r w:rsidRPr="00150EDC">
              <w:rPr>
                <w:spacing w:val="-7"/>
                <w:sz w:val="20"/>
              </w:rPr>
              <w:t xml:space="preserve"> </w:t>
            </w:r>
            <w:r w:rsidRPr="00150EDC">
              <w:rPr>
                <w:sz w:val="20"/>
              </w:rPr>
              <w:t>Drugs</w:t>
            </w:r>
            <w:r w:rsidRPr="00150EDC">
              <w:rPr>
                <w:spacing w:val="-5"/>
                <w:sz w:val="20"/>
              </w:rPr>
              <w:t xml:space="preserve"> </w:t>
            </w:r>
            <w:r w:rsidRPr="00150EDC">
              <w:rPr>
                <w:sz w:val="20"/>
              </w:rPr>
              <w:t>(Bailiwick</w:t>
            </w:r>
            <w:r w:rsidRPr="00150EDC">
              <w:rPr>
                <w:spacing w:val="-6"/>
                <w:sz w:val="20"/>
              </w:rPr>
              <w:t xml:space="preserve"> </w:t>
            </w:r>
            <w:r w:rsidRPr="00150EDC">
              <w:rPr>
                <w:sz w:val="20"/>
              </w:rPr>
              <w:t>of</w:t>
            </w:r>
            <w:r w:rsidRPr="00150EDC">
              <w:rPr>
                <w:spacing w:val="-6"/>
                <w:sz w:val="20"/>
              </w:rPr>
              <w:t xml:space="preserve"> </w:t>
            </w:r>
            <w:r w:rsidRPr="00150EDC">
              <w:rPr>
                <w:sz w:val="20"/>
              </w:rPr>
              <w:t>Guernsey)</w:t>
            </w:r>
            <w:r w:rsidRPr="00150EDC">
              <w:rPr>
                <w:spacing w:val="-6"/>
                <w:sz w:val="20"/>
              </w:rPr>
              <w:t xml:space="preserve"> </w:t>
            </w:r>
            <w:r w:rsidRPr="00150EDC">
              <w:rPr>
                <w:sz w:val="20"/>
              </w:rPr>
              <w:t>Law</w:t>
            </w:r>
            <w:r w:rsidRPr="00150EDC">
              <w:rPr>
                <w:spacing w:val="-4"/>
                <w:sz w:val="20"/>
              </w:rPr>
              <w:t xml:space="preserve"> </w:t>
            </w:r>
            <w:r w:rsidRPr="00150EDC">
              <w:rPr>
                <w:sz w:val="20"/>
              </w:rPr>
              <w:t>1974,</w:t>
            </w:r>
            <w:r w:rsidRPr="00150EDC">
              <w:rPr>
                <w:spacing w:val="-7"/>
                <w:sz w:val="20"/>
              </w:rPr>
              <w:t xml:space="preserve"> s3</w:t>
            </w:r>
          </w:p>
        </w:tc>
        <w:tc>
          <w:tcPr>
            <w:tcW w:w="7427" w:type="dxa"/>
          </w:tcPr>
          <w:p w14:paraId="38989EE8" w14:textId="77777777" w:rsidR="004C7180" w:rsidRPr="00150EDC" w:rsidRDefault="00CF0754">
            <w:pPr>
              <w:pStyle w:val="TableParagraph"/>
              <w:rPr>
                <w:sz w:val="20"/>
              </w:rPr>
            </w:pPr>
            <w:r w:rsidRPr="00150EDC">
              <w:rPr>
                <w:sz w:val="20"/>
              </w:rPr>
              <w:t>Supplying</w:t>
            </w:r>
            <w:r w:rsidRPr="00150EDC">
              <w:rPr>
                <w:spacing w:val="-5"/>
                <w:sz w:val="20"/>
              </w:rPr>
              <w:t xml:space="preserve"> </w:t>
            </w:r>
            <w:r w:rsidRPr="00150EDC">
              <w:rPr>
                <w:sz w:val="20"/>
              </w:rPr>
              <w:t>a</w:t>
            </w:r>
            <w:r w:rsidRPr="00150EDC">
              <w:rPr>
                <w:spacing w:val="-4"/>
                <w:sz w:val="20"/>
              </w:rPr>
              <w:t xml:space="preserve"> </w:t>
            </w:r>
            <w:r w:rsidRPr="00150EDC">
              <w:rPr>
                <w:sz w:val="20"/>
              </w:rPr>
              <w:t>controlled</w:t>
            </w:r>
            <w:r w:rsidRPr="00150EDC">
              <w:rPr>
                <w:spacing w:val="-4"/>
                <w:sz w:val="20"/>
              </w:rPr>
              <w:t xml:space="preserve"> </w:t>
            </w:r>
            <w:r w:rsidRPr="00150EDC">
              <w:rPr>
                <w:sz w:val="20"/>
              </w:rPr>
              <w:t>drug</w:t>
            </w:r>
            <w:r w:rsidRPr="00150EDC">
              <w:rPr>
                <w:spacing w:val="-4"/>
                <w:sz w:val="20"/>
              </w:rPr>
              <w:t xml:space="preserve"> </w:t>
            </w:r>
            <w:r w:rsidRPr="00150EDC">
              <w:rPr>
                <w:sz w:val="20"/>
              </w:rPr>
              <w:t>to a</w:t>
            </w:r>
            <w:r w:rsidRPr="00150EDC">
              <w:rPr>
                <w:spacing w:val="-4"/>
                <w:sz w:val="20"/>
              </w:rPr>
              <w:t xml:space="preserve"> </w:t>
            </w:r>
            <w:r w:rsidRPr="00150EDC">
              <w:rPr>
                <w:sz w:val="20"/>
              </w:rPr>
              <w:t>child</w:t>
            </w:r>
            <w:r w:rsidRPr="00150EDC">
              <w:rPr>
                <w:spacing w:val="-4"/>
                <w:sz w:val="20"/>
              </w:rPr>
              <w:t xml:space="preserve"> </w:t>
            </w:r>
            <w:r w:rsidRPr="00150EDC">
              <w:rPr>
                <w:sz w:val="20"/>
              </w:rPr>
              <w:t>(under</w:t>
            </w:r>
            <w:r w:rsidRPr="00150EDC">
              <w:rPr>
                <w:spacing w:val="-4"/>
                <w:sz w:val="20"/>
              </w:rPr>
              <w:t xml:space="preserve"> </w:t>
            </w:r>
            <w:r w:rsidRPr="00150EDC">
              <w:rPr>
                <w:spacing w:val="-5"/>
                <w:sz w:val="20"/>
              </w:rPr>
              <w:t>16)</w:t>
            </w:r>
          </w:p>
        </w:tc>
      </w:tr>
      <w:tr w:rsidR="004569EE" w:rsidRPr="007D3144" w14:paraId="542E562F" w14:textId="77777777">
        <w:trPr>
          <w:trHeight w:val="460"/>
        </w:trPr>
        <w:tc>
          <w:tcPr>
            <w:tcW w:w="6517" w:type="dxa"/>
          </w:tcPr>
          <w:p w14:paraId="0C45FFB0" w14:textId="77777777" w:rsidR="004C7180" w:rsidRPr="00150EDC" w:rsidRDefault="004C7180">
            <w:pPr>
              <w:pStyle w:val="TableParagraph"/>
              <w:spacing w:before="3" w:line="240" w:lineRule="auto"/>
              <w:ind w:left="0"/>
              <w:rPr>
                <w:sz w:val="20"/>
              </w:rPr>
            </w:pPr>
          </w:p>
          <w:p w14:paraId="746EA8B3" w14:textId="77777777" w:rsidR="004C7180" w:rsidRPr="00150EDC" w:rsidRDefault="00CF0754">
            <w:pPr>
              <w:pStyle w:val="TableParagraph"/>
              <w:spacing w:before="0"/>
              <w:rPr>
                <w:sz w:val="20"/>
              </w:rPr>
            </w:pPr>
            <w:r w:rsidRPr="00150EDC">
              <w:rPr>
                <w:sz w:val="20"/>
              </w:rPr>
              <w:t>Misuse</w:t>
            </w:r>
            <w:r w:rsidRPr="00150EDC">
              <w:rPr>
                <w:spacing w:val="-7"/>
                <w:sz w:val="20"/>
              </w:rPr>
              <w:t xml:space="preserve"> </w:t>
            </w:r>
            <w:r w:rsidRPr="00150EDC">
              <w:rPr>
                <w:sz w:val="20"/>
              </w:rPr>
              <w:t>of</w:t>
            </w:r>
            <w:r w:rsidRPr="00150EDC">
              <w:rPr>
                <w:spacing w:val="-7"/>
                <w:sz w:val="20"/>
              </w:rPr>
              <w:t xml:space="preserve"> </w:t>
            </w:r>
            <w:r w:rsidRPr="00150EDC">
              <w:rPr>
                <w:sz w:val="20"/>
              </w:rPr>
              <w:t>Drugs</w:t>
            </w:r>
            <w:r w:rsidRPr="00150EDC">
              <w:rPr>
                <w:spacing w:val="-5"/>
                <w:sz w:val="20"/>
              </w:rPr>
              <w:t xml:space="preserve"> </w:t>
            </w:r>
            <w:r w:rsidRPr="00150EDC">
              <w:rPr>
                <w:sz w:val="20"/>
              </w:rPr>
              <w:t>(Jersey)</w:t>
            </w:r>
            <w:r w:rsidRPr="00150EDC">
              <w:rPr>
                <w:spacing w:val="-7"/>
                <w:sz w:val="20"/>
              </w:rPr>
              <w:t xml:space="preserve"> </w:t>
            </w:r>
            <w:r w:rsidRPr="00150EDC">
              <w:rPr>
                <w:sz w:val="20"/>
              </w:rPr>
              <w:t>Law</w:t>
            </w:r>
            <w:r w:rsidRPr="00150EDC">
              <w:rPr>
                <w:spacing w:val="-4"/>
                <w:sz w:val="20"/>
              </w:rPr>
              <w:t xml:space="preserve"> </w:t>
            </w:r>
            <w:r w:rsidRPr="00150EDC">
              <w:rPr>
                <w:sz w:val="20"/>
              </w:rPr>
              <w:t>1978,</w:t>
            </w:r>
            <w:r w:rsidRPr="00150EDC">
              <w:rPr>
                <w:spacing w:val="-7"/>
                <w:sz w:val="20"/>
              </w:rPr>
              <w:t xml:space="preserve"> </w:t>
            </w:r>
            <w:r w:rsidRPr="00150EDC">
              <w:rPr>
                <w:sz w:val="20"/>
              </w:rPr>
              <w:t>Art</w:t>
            </w:r>
            <w:r w:rsidRPr="00150EDC">
              <w:rPr>
                <w:spacing w:val="-1"/>
                <w:sz w:val="20"/>
              </w:rPr>
              <w:t xml:space="preserve"> </w:t>
            </w:r>
            <w:r w:rsidRPr="00150EDC">
              <w:rPr>
                <w:spacing w:val="-5"/>
                <w:sz w:val="20"/>
              </w:rPr>
              <w:t>20</w:t>
            </w:r>
          </w:p>
        </w:tc>
        <w:tc>
          <w:tcPr>
            <w:tcW w:w="7427" w:type="dxa"/>
          </w:tcPr>
          <w:p w14:paraId="544AC9D8" w14:textId="77777777" w:rsidR="004C7180" w:rsidRPr="00150EDC" w:rsidRDefault="00CF0754">
            <w:pPr>
              <w:pStyle w:val="TableParagraph"/>
              <w:spacing w:before="0" w:line="230" w:lineRule="atLeast"/>
              <w:ind w:right="186"/>
              <w:rPr>
                <w:sz w:val="20"/>
              </w:rPr>
            </w:pPr>
            <w:r w:rsidRPr="00150EDC">
              <w:rPr>
                <w:sz w:val="20"/>
              </w:rPr>
              <w:t>Aid</w:t>
            </w:r>
            <w:r w:rsidRPr="00150EDC">
              <w:rPr>
                <w:spacing w:val="-4"/>
                <w:sz w:val="20"/>
              </w:rPr>
              <w:t xml:space="preserve"> </w:t>
            </w:r>
            <w:r w:rsidRPr="00150EDC">
              <w:rPr>
                <w:sz w:val="20"/>
              </w:rPr>
              <w:t>or</w:t>
            </w:r>
            <w:r w:rsidRPr="00150EDC">
              <w:rPr>
                <w:spacing w:val="-5"/>
                <w:sz w:val="20"/>
              </w:rPr>
              <w:t xml:space="preserve"> </w:t>
            </w:r>
            <w:r w:rsidRPr="00150EDC">
              <w:rPr>
                <w:sz w:val="20"/>
              </w:rPr>
              <w:t>abet a</w:t>
            </w:r>
            <w:r w:rsidRPr="00150EDC">
              <w:rPr>
                <w:spacing w:val="-5"/>
                <w:sz w:val="20"/>
              </w:rPr>
              <w:t xml:space="preserve"> </w:t>
            </w:r>
            <w:r w:rsidRPr="00150EDC">
              <w:rPr>
                <w:sz w:val="20"/>
              </w:rPr>
              <w:t>drugs</w:t>
            </w:r>
            <w:r w:rsidRPr="00150EDC">
              <w:rPr>
                <w:spacing w:val="-4"/>
                <w:sz w:val="20"/>
              </w:rPr>
              <w:t xml:space="preserve"> </w:t>
            </w:r>
            <w:r w:rsidRPr="00150EDC">
              <w:rPr>
                <w:sz w:val="20"/>
              </w:rPr>
              <w:t>offence</w:t>
            </w:r>
            <w:r w:rsidRPr="00150EDC">
              <w:rPr>
                <w:spacing w:val="-5"/>
                <w:sz w:val="20"/>
              </w:rPr>
              <w:t xml:space="preserve"> </w:t>
            </w:r>
            <w:r w:rsidRPr="00150EDC">
              <w:rPr>
                <w:sz w:val="20"/>
              </w:rPr>
              <w:t>where</w:t>
            </w:r>
            <w:r w:rsidRPr="00150EDC">
              <w:rPr>
                <w:spacing w:val="-1"/>
                <w:sz w:val="20"/>
              </w:rPr>
              <w:t xml:space="preserve"> </w:t>
            </w:r>
            <w:r w:rsidRPr="00150EDC">
              <w:rPr>
                <w:sz w:val="20"/>
              </w:rPr>
              <w:t>drugs</w:t>
            </w:r>
            <w:r w:rsidRPr="00150EDC">
              <w:rPr>
                <w:spacing w:val="-4"/>
                <w:sz w:val="20"/>
              </w:rPr>
              <w:t xml:space="preserve"> </w:t>
            </w:r>
            <w:r w:rsidRPr="00150EDC">
              <w:rPr>
                <w:sz w:val="20"/>
              </w:rPr>
              <w:t>were</w:t>
            </w:r>
            <w:r w:rsidRPr="00150EDC">
              <w:rPr>
                <w:spacing w:val="-5"/>
                <w:sz w:val="20"/>
              </w:rPr>
              <w:t xml:space="preserve"> </w:t>
            </w:r>
            <w:r w:rsidRPr="00150EDC">
              <w:rPr>
                <w:sz w:val="20"/>
              </w:rPr>
              <w:t>supplied</w:t>
            </w:r>
            <w:r w:rsidRPr="00150EDC">
              <w:rPr>
                <w:spacing w:val="-1"/>
                <w:sz w:val="20"/>
              </w:rPr>
              <w:t xml:space="preserve"> </w:t>
            </w:r>
            <w:r w:rsidRPr="00150EDC">
              <w:rPr>
                <w:sz w:val="20"/>
              </w:rPr>
              <w:t>or</w:t>
            </w:r>
            <w:r w:rsidRPr="00150EDC">
              <w:rPr>
                <w:spacing w:val="-1"/>
                <w:sz w:val="20"/>
              </w:rPr>
              <w:t xml:space="preserve"> </w:t>
            </w:r>
            <w:r w:rsidRPr="00150EDC">
              <w:rPr>
                <w:sz w:val="20"/>
              </w:rPr>
              <w:t>offered</w:t>
            </w:r>
            <w:r w:rsidRPr="00150EDC">
              <w:rPr>
                <w:spacing w:val="-5"/>
                <w:sz w:val="20"/>
              </w:rPr>
              <w:t xml:space="preserve"> </w:t>
            </w:r>
            <w:r w:rsidRPr="00150EDC">
              <w:rPr>
                <w:sz w:val="20"/>
              </w:rPr>
              <w:t>to</w:t>
            </w:r>
            <w:r w:rsidRPr="00150EDC">
              <w:rPr>
                <w:spacing w:val="-5"/>
                <w:sz w:val="20"/>
              </w:rPr>
              <w:t xml:space="preserve"> </w:t>
            </w:r>
            <w:r w:rsidRPr="00150EDC">
              <w:rPr>
                <w:sz w:val="20"/>
              </w:rPr>
              <w:t>be</w:t>
            </w:r>
            <w:r w:rsidRPr="00150EDC">
              <w:rPr>
                <w:spacing w:val="-5"/>
                <w:sz w:val="20"/>
              </w:rPr>
              <w:t xml:space="preserve"> </w:t>
            </w:r>
            <w:r w:rsidRPr="00150EDC">
              <w:rPr>
                <w:sz w:val="20"/>
              </w:rPr>
              <w:t>supplied to a child (under 16)</w:t>
            </w:r>
          </w:p>
        </w:tc>
      </w:tr>
      <w:tr w:rsidR="004569EE" w:rsidRPr="007D3144" w14:paraId="46B673B3" w14:textId="77777777">
        <w:trPr>
          <w:trHeight w:val="460"/>
        </w:trPr>
        <w:tc>
          <w:tcPr>
            <w:tcW w:w="6517" w:type="dxa"/>
          </w:tcPr>
          <w:p w14:paraId="10AD2670" w14:textId="77777777" w:rsidR="004C7180" w:rsidRPr="00150EDC" w:rsidRDefault="004C7180">
            <w:pPr>
              <w:pStyle w:val="TableParagraph"/>
              <w:spacing w:before="2" w:line="240" w:lineRule="auto"/>
              <w:ind w:left="0"/>
              <w:rPr>
                <w:sz w:val="20"/>
              </w:rPr>
            </w:pPr>
          </w:p>
          <w:p w14:paraId="5DA8569A" w14:textId="77777777" w:rsidR="004C7180" w:rsidRPr="00150EDC" w:rsidRDefault="00CF0754">
            <w:pPr>
              <w:pStyle w:val="TableParagraph"/>
              <w:spacing w:before="0"/>
              <w:rPr>
                <w:sz w:val="20"/>
              </w:rPr>
            </w:pPr>
            <w:r w:rsidRPr="00150EDC">
              <w:rPr>
                <w:sz w:val="20"/>
              </w:rPr>
              <w:t>Misuse</w:t>
            </w:r>
            <w:r w:rsidRPr="00150EDC">
              <w:rPr>
                <w:spacing w:val="-7"/>
                <w:sz w:val="20"/>
              </w:rPr>
              <w:t xml:space="preserve"> </w:t>
            </w:r>
            <w:r w:rsidRPr="00150EDC">
              <w:rPr>
                <w:sz w:val="20"/>
              </w:rPr>
              <w:t>of</w:t>
            </w:r>
            <w:r w:rsidRPr="00150EDC">
              <w:rPr>
                <w:spacing w:val="-7"/>
                <w:sz w:val="20"/>
              </w:rPr>
              <w:t xml:space="preserve"> </w:t>
            </w:r>
            <w:r w:rsidRPr="00150EDC">
              <w:rPr>
                <w:sz w:val="20"/>
              </w:rPr>
              <w:t>Drugs</w:t>
            </w:r>
            <w:r w:rsidRPr="00150EDC">
              <w:rPr>
                <w:spacing w:val="-6"/>
                <w:sz w:val="20"/>
              </w:rPr>
              <w:t xml:space="preserve"> </w:t>
            </w:r>
            <w:r w:rsidRPr="00150EDC">
              <w:rPr>
                <w:sz w:val="20"/>
              </w:rPr>
              <w:t>(Jersey)</w:t>
            </w:r>
            <w:r w:rsidRPr="00150EDC">
              <w:rPr>
                <w:spacing w:val="-7"/>
                <w:sz w:val="20"/>
              </w:rPr>
              <w:t xml:space="preserve"> </w:t>
            </w:r>
            <w:r w:rsidRPr="00150EDC">
              <w:rPr>
                <w:sz w:val="20"/>
              </w:rPr>
              <w:t>Law</w:t>
            </w:r>
            <w:r w:rsidRPr="00150EDC">
              <w:rPr>
                <w:spacing w:val="-4"/>
                <w:sz w:val="20"/>
              </w:rPr>
              <w:t xml:space="preserve"> </w:t>
            </w:r>
            <w:r w:rsidRPr="00150EDC">
              <w:rPr>
                <w:sz w:val="20"/>
              </w:rPr>
              <w:t>1978,</w:t>
            </w:r>
            <w:r w:rsidRPr="00150EDC">
              <w:rPr>
                <w:spacing w:val="-7"/>
                <w:sz w:val="20"/>
              </w:rPr>
              <w:t xml:space="preserve"> </w:t>
            </w:r>
            <w:r w:rsidRPr="00150EDC">
              <w:rPr>
                <w:sz w:val="20"/>
              </w:rPr>
              <w:t>Art</w:t>
            </w:r>
            <w:r w:rsidRPr="00150EDC">
              <w:rPr>
                <w:spacing w:val="-1"/>
                <w:sz w:val="20"/>
              </w:rPr>
              <w:t xml:space="preserve"> </w:t>
            </w:r>
            <w:r w:rsidRPr="00150EDC">
              <w:rPr>
                <w:spacing w:val="-5"/>
                <w:sz w:val="20"/>
              </w:rPr>
              <w:t>21</w:t>
            </w:r>
          </w:p>
        </w:tc>
        <w:tc>
          <w:tcPr>
            <w:tcW w:w="7427" w:type="dxa"/>
          </w:tcPr>
          <w:p w14:paraId="1E0F2977" w14:textId="77777777" w:rsidR="004C7180" w:rsidRPr="00150EDC" w:rsidRDefault="00CF0754">
            <w:pPr>
              <w:pStyle w:val="TableParagraph"/>
              <w:spacing w:before="0" w:line="230" w:lineRule="atLeast"/>
              <w:rPr>
                <w:sz w:val="20"/>
              </w:rPr>
            </w:pPr>
            <w:r w:rsidRPr="00150EDC">
              <w:rPr>
                <w:sz w:val="20"/>
              </w:rPr>
              <w:t>Attempt,</w:t>
            </w:r>
            <w:r w:rsidRPr="00150EDC">
              <w:rPr>
                <w:spacing w:val="-6"/>
                <w:sz w:val="20"/>
              </w:rPr>
              <w:t xml:space="preserve"> </w:t>
            </w:r>
            <w:r w:rsidRPr="00150EDC">
              <w:rPr>
                <w:sz w:val="20"/>
              </w:rPr>
              <w:t>incite,</w:t>
            </w:r>
            <w:r w:rsidRPr="00150EDC">
              <w:rPr>
                <w:spacing w:val="-6"/>
                <w:sz w:val="20"/>
              </w:rPr>
              <w:t xml:space="preserve"> </w:t>
            </w:r>
            <w:r w:rsidRPr="00150EDC">
              <w:rPr>
                <w:sz w:val="20"/>
              </w:rPr>
              <w:t>aid,</w:t>
            </w:r>
            <w:r w:rsidRPr="00150EDC">
              <w:rPr>
                <w:spacing w:val="-1"/>
                <w:sz w:val="20"/>
              </w:rPr>
              <w:t xml:space="preserve"> </w:t>
            </w:r>
            <w:r w:rsidRPr="00150EDC">
              <w:rPr>
                <w:sz w:val="20"/>
              </w:rPr>
              <w:t>abet</w:t>
            </w:r>
            <w:r w:rsidRPr="00150EDC">
              <w:rPr>
                <w:spacing w:val="-6"/>
                <w:sz w:val="20"/>
              </w:rPr>
              <w:t xml:space="preserve"> </w:t>
            </w:r>
            <w:r w:rsidRPr="00150EDC">
              <w:rPr>
                <w:sz w:val="20"/>
              </w:rPr>
              <w:t>or</w:t>
            </w:r>
            <w:r w:rsidRPr="00150EDC">
              <w:rPr>
                <w:spacing w:val="-6"/>
                <w:sz w:val="20"/>
              </w:rPr>
              <w:t xml:space="preserve"> </w:t>
            </w:r>
            <w:r w:rsidRPr="00150EDC">
              <w:rPr>
                <w:sz w:val="20"/>
              </w:rPr>
              <w:t>assist</w:t>
            </w:r>
            <w:r w:rsidRPr="00150EDC">
              <w:rPr>
                <w:spacing w:val="-1"/>
                <w:sz w:val="20"/>
              </w:rPr>
              <w:t xml:space="preserve"> </w:t>
            </w:r>
            <w:r w:rsidRPr="00150EDC">
              <w:rPr>
                <w:sz w:val="20"/>
              </w:rPr>
              <w:t>drugs offence</w:t>
            </w:r>
            <w:r w:rsidRPr="00150EDC">
              <w:rPr>
                <w:spacing w:val="-6"/>
                <w:sz w:val="20"/>
              </w:rPr>
              <w:t xml:space="preserve"> </w:t>
            </w:r>
            <w:r w:rsidRPr="00150EDC">
              <w:rPr>
                <w:sz w:val="20"/>
              </w:rPr>
              <w:t>where</w:t>
            </w:r>
            <w:r w:rsidRPr="00150EDC">
              <w:rPr>
                <w:spacing w:val="-6"/>
                <w:sz w:val="20"/>
              </w:rPr>
              <w:t xml:space="preserve"> </w:t>
            </w:r>
            <w:r w:rsidRPr="00150EDC">
              <w:rPr>
                <w:sz w:val="20"/>
              </w:rPr>
              <w:t>drugs</w:t>
            </w:r>
            <w:r w:rsidRPr="00150EDC">
              <w:rPr>
                <w:spacing w:val="-5"/>
                <w:sz w:val="20"/>
              </w:rPr>
              <w:t xml:space="preserve"> </w:t>
            </w:r>
            <w:r w:rsidRPr="00150EDC">
              <w:rPr>
                <w:sz w:val="20"/>
              </w:rPr>
              <w:t>were</w:t>
            </w:r>
            <w:r w:rsidRPr="00150EDC">
              <w:rPr>
                <w:spacing w:val="-6"/>
                <w:sz w:val="20"/>
              </w:rPr>
              <w:t xml:space="preserve"> </w:t>
            </w:r>
            <w:r w:rsidRPr="00150EDC">
              <w:rPr>
                <w:sz w:val="20"/>
              </w:rPr>
              <w:t>supplied</w:t>
            </w:r>
            <w:r w:rsidRPr="00150EDC">
              <w:rPr>
                <w:spacing w:val="-1"/>
                <w:sz w:val="20"/>
              </w:rPr>
              <w:t xml:space="preserve"> </w:t>
            </w:r>
            <w:r w:rsidRPr="00150EDC">
              <w:rPr>
                <w:sz w:val="20"/>
              </w:rPr>
              <w:t>or offered to be supplied to a child (under 16)</w:t>
            </w:r>
          </w:p>
        </w:tc>
      </w:tr>
      <w:tr w:rsidR="004569EE" w:rsidRPr="007D3144" w14:paraId="2D7AD85C" w14:textId="77777777">
        <w:trPr>
          <w:trHeight w:val="255"/>
        </w:trPr>
        <w:tc>
          <w:tcPr>
            <w:tcW w:w="6517" w:type="dxa"/>
          </w:tcPr>
          <w:p w14:paraId="60818014" w14:textId="77777777" w:rsidR="004C7180" w:rsidRPr="00150EDC" w:rsidRDefault="00CF0754">
            <w:pPr>
              <w:pStyle w:val="TableParagraph"/>
              <w:rPr>
                <w:sz w:val="20"/>
              </w:rPr>
            </w:pPr>
            <w:r w:rsidRPr="00150EDC">
              <w:rPr>
                <w:sz w:val="20"/>
              </w:rPr>
              <w:t>Misuse</w:t>
            </w:r>
            <w:r w:rsidRPr="00150EDC">
              <w:rPr>
                <w:spacing w:val="-7"/>
                <w:sz w:val="20"/>
              </w:rPr>
              <w:t xml:space="preserve"> </w:t>
            </w:r>
            <w:r w:rsidRPr="00150EDC">
              <w:rPr>
                <w:sz w:val="20"/>
              </w:rPr>
              <w:t>of</w:t>
            </w:r>
            <w:r w:rsidRPr="00150EDC">
              <w:rPr>
                <w:spacing w:val="-7"/>
                <w:sz w:val="20"/>
              </w:rPr>
              <w:t xml:space="preserve"> </w:t>
            </w:r>
            <w:r w:rsidRPr="00150EDC">
              <w:rPr>
                <w:sz w:val="20"/>
              </w:rPr>
              <w:t>Drugs</w:t>
            </w:r>
            <w:r w:rsidRPr="00150EDC">
              <w:rPr>
                <w:spacing w:val="-6"/>
                <w:sz w:val="20"/>
              </w:rPr>
              <w:t xml:space="preserve"> </w:t>
            </w:r>
            <w:r w:rsidRPr="00150EDC">
              <w:rPr>
                <w:sz w:val="20"/>
              </w:rPr>
              <w:t>(Jersey)</w:t>
            </w:r>
            <w:r w:rsidRPr="00150EDC">
              <w:rPr>
                <w:spacing w:val="-7"/>
                <w:sz w:val="20"/>
              </w:rPr>
              <w:t xml:space="preserve"> </w:t>
            </w:r>
            <w:r w:rsidRPr="00150EDC">
              <w:rPr>
                <w:sz w:val="20"/>
              </w:rPr>
              <w:t>Law</w:t>
            </w:r>
            <w:r w:rsidRPr="00150EDC">
              <w:rPr>
                <w:spacing w:val="-4"/>
                <w:sz w:val="20"/>
              </w:rPr>
              <w:t xml:space="preserve"> </w:t>
            </w:r>
            <w:r w:rsidRPr="00150EDC">
              <w:rPr>
                <w:sz w:val="20"/>
              </w:rPr>
              <w:t>1978,</w:t>
            </w:r>
            <w:r w:rsidRPr="00150EDC">
              <w:rPr>
                <w:spacing w:val="-7"/>
                <w:sz w:val="20"/>
              </w:rPr>
              <w:t xml:space="preserve"> </w:t>
            </w:r>
            <w:r w:rsidRPr="00150EDC">
              <w:rPr>
                <w:sz w:val="20"/>
              </w:rPr>
              <w:t>Art</w:t>
            </w:r>
            <w:r w:rsidRPr="00150EDC">
              <w:rPr>
                <w:spacing w:val="-1"/>
                <w:sz w:val="20"/>
              </w:rPr>
              <w:t xml:space="preserve"> </w:t>
            </w:r>
            <w:r w:rsidRPr="00150EDC">
              <w:rPr>
                <w:spacing w:val="-10"/>
                <w:sz w:val="20"/>
              </w:rPr>
              <w:t>5</w:t>
            </w:r>
          </w:p>
        </w:tc>
        <w:tc>
          <w:tcPr>
            <w:tcW w:w="7427" w:type="dxa"/>
          </w:tcPr>
          <w:p w14:paraId="631B683D" w14:textId="77777777" w:rsidR="004C7180" w:rsidRPr="00150EDC" w:rsidRDefault="00CF0754">
            <w:pPr>
              <w:pStyle w:val="TableParagraph"/>
              <w:rPr>
                <w:sz w:val="20"/>
              </w:rPr>
            </w:pPr>
            <w:r w:rsidRPr="00150EDC">
              <w:rPr>
                <w:sz w:val="20"/>
              </w:rPr>
              <w:t>Supplying</w:t>
            </w:r>
            <w:r w:rsidRPr="00150EDC">
              <w:rPr>
                <w:spacing w:val="-5"/>
                <w:sz w:val="20"/>
              </w:rPr>
              <w:t xml:space="preserve"> </w:t>
            </w:r>
            <w:r w:rsidRPr="00150EDC">
              <w:rPr>
                <w:sz w:val="20"/>
              </w:rPr>
              <w:t>a</w:t>
            </w:r>
            <w:r w:rsidRPr="00150EDC">
              <w:rPr>
                <w:spacing w:val="-4"/>
                <w:sz w:val="20"/>
              </w:rPr>
              <w:t xml:space="preserve"> </w:t>
            </w:r>
            <w:r w:rsidRPr="00150EDC">
              <w:rPr>
                <w:sz w:val="20"/>
              </w:rPr>
              <w:t>controlled</w:t>
            </w:r>
            <w:r w:rsidRPr="00150EDC">
              <w:rPr>
                <w:spacing w:val="-4"/>
                <w:sz w:val="20"/>
              </w:rPr>
              <w:t xml:space="preserve"> </w:t>
            </w:r>
            <w:r w:rsidRPr="00150EDC">
              <w:rPr>
                <w:sz w:val="20"/>
              </w:rPr>
              <w:t>drug</w:t>
            </w:r>
            <w:r w:rsidRPr="00150EDC">
              <w:rPr>
                <w:spacing w:val="-4"/>
                <w:sz w:val="20"/>
              </w:rPr>
              <w:t xml:space="preserve"> </w:t>
            </w:r>
            <w:r w:rsidRPr="00150EDC">
              <w:rPr>
                <w:sz w:val="20"/>
              </w:rPr>
              <w:t>to a</w:t>
            </w:r>
            <w:r w:rsidRPr="00150EDC">
              <w:rPr>
                <w:spacing w:val="-4"/>
                <w:sz w:val="20"/>
              </w:rPr>
              <w:t xml:space="preserve"> </w:t>
            </w:r>
            <w:r w:rsidRPr="00150EDC">
              <w:rPr>
                <w:sz w:val="20"/>
              </w:rPr>
              <w:t>child</w:t>
            </w:r>
            <w:r w:rsidRPr="00150EDC">
              <w:rPr>
                <w:spacing w:val="-4"/>
                <w:sz w:val="20"/>
              </w:rPr>
              <w:t xml:space="preserve"> </w:t>
            </w:r>
            <w:r w:rsidRPr="00150EDC">
              <w:rPr>
                <w:sz w:val="20"/>
              </w:rPr>
              <w:t>(under</w:t>
            </w:r>
            <w:r w:rsidRPr="00150EDC">
              <w:rPr>
                <w:spacing w:val="-4"/>
                <w:sz w:val="20"/>
              </w:rPr>
              <w:t xml:space="preserve"> </w:t>
            </w:r>
            <w:r w:rsidRPr="00150EDC">
              <w:rPr>
                <w:spacing w:val="-5"/>
                <w:sz w:val="20"/>
              </w:rPr>
              <w:t>16)</w:t>
            </w:r>
          </w:p>
        </w:tc>
      </w:tr>
      <w:tr w:rsidR="004569EE" w:rsidRPr="007D3144" w14:paraId="7E4BDB46" w14:textId="77777777">
        <w:trPr>
          <w:trHeight w:val="255"/>
        </w:trPr>
        <w:tc>
          <w:tcPr>
            <w:tcW w:w="6517" w:type="dxa"/>
          </w:tcPr>
          <w:p w14:paraId="5CCAFFFC" w14:textId="77777777" w:rsidR="004C7180" w:rsidRPr="00150EDC" w:rsidRDefault="00CF0754">
            <w:pPr>
              <w:pStyle w:val="TableParagraph"/>
              <w:rPr>
                <w:sz w:val="20"/>
              </w:rPr>
            </w:pPr>
            <w:r w:rsidRPr="00150EDC">
              <w:rPr>
                <w:sz w:val="20"/>
              </w:rPr>
              <w:t>Misuse</w:t>
            </w:r>
            <w:r w:rsidRPr="00150EDC">
              <w:rPr>
                <w:spacing w:val="-7"/>
                <w:sz w:val="20"/>
              </w:rPr>
              <w:t xml:space="preserve"> </w:t>
            </w:r>
            <w:r w:rsidRPr="00150EDC">
              <w:rPr>
                <w:sz w:val="20"/>
              </w:rPr>
              <w:t>of</w:t>
            </w:r>
            <w:r w:rsidRPr="00150EDC">
              <w:rPr>
                <w:spacing w:val="-7"/>
                <w:sz w:val="20"/>
              </w:rPr>
              <w:t xml:space="preserve"> </w:t>
            </w:r>
            <w:r w:rsidRPr="00150EDC">
              <w:rPr>
                <w:sz w:val="20"/>
              </w:rPr>
              <w:t>Drugs</w:t>
            </w:r>
            <w:r w:rsidRPr="00150EDC">
              <w:rPr>
                <w:spacing w:val="-6"/>
                <w:sz w:val="20"/>
              </w:rPr>
              <w:t xml:space="preserve"> </w:t>
            </w:r>
            <w:r w:rsidRPr="00150EDC">
              <w:rPr>
                <w:sz w:val="20"/>
              </w:rPr>
              <w:t>(Jersey)</w:t>
            </w:r>
            <w:r w:rsidRPr="00150EDC">
              <w:rPr>
                <w:spacing w:val="-7"/>
                <w:sz w:val="20"/>
              </w:rPr>
              <w:t xml:space="preserve"> </w:t>
            </w:r>
            <w:r w:rsidRPr="00150EDC">
              <w:rPr>
                <w:sz w:val="20"/>
              </w:rPr>
              <w:t>Law</w:t>
            </w:r>
            <w:r w:rsidRPr="00150EDC">
              <w:rPr>
                <w:spacing w:val="-4"/>
                <w:sz w:val="20"/>
              </w:rPr>
              <w:t xml:space="preserve"> </w:t>
            </w:r>
            <w:r w:rsidRPr="00150EDC">
              <w:rPr>
                <w:sz w:val="20"/>
              </w:rPr>
              <w:t>1978,</w:t>
            </w:r>
            <w:r w:rsidRPr="00150EDC">
              <w:rPr>
                <w:spacing w:val="-7"/>
                <w:sz w:val="20"/>
              </w:rPr>
              <w:t xml:space="preserve"> </w:t>
            </w:r>
            <w:r w:rsidRPr="00150EDC">
              <w:rPr>
                <w:sz w:val="20"/>
              </w:rPr>
              <w:t>Art</w:t>
            </w:r>
            <w:r w:rsidRPr="00150EDC">
              <w:rPr>
                <w:spacing w:val="-1"/>
                <w:sz w:val="20"/>
              </w:rPr>
              <w:t xml:space="preserve"> </w:t>
            </w:r>
            <w:r w:rsidRPr="00150EDC">
              <w:rPr>
                <w:spacing w:val="-10"/>
                <w:sz w:val="20"/>
              </w:rPr>
              <w:t>6</w:t>
            </w:r>
          </w:p>
        </w:tc>
        <w:tc>
          <w:tcPr>
            <w:tcW w:w="7427" w:type="dxa"/>
          </w:tcPr>
          <w:p w14:paraId="72CB5A15" w14:textId="77777777" w:rsidR="004C7180" w:rsidRPr="00150EDC" w:rsidRDefault="00CF0754">
            <w:pPr>
              <w:pStyle w:val="TableParagraph"/>
              <w:rPr>
                <w:sz w:val="20"/>
              </w:rPr>
            </w:pPr>
            <w:r w:rsidRPr="00150EDC">
              <w:rPr>
                <w:sz w:val="20"/>
              </w:rPr>
              <w:t>Supplying</w:t>
            </w:r>
            <w:r w:rsidRPr="00150EDC">
              <w:rPr>
                <w:spacing w:val="-6"/>
                <w:sz w:val="20"/>
              </w:rPr>
              <w:t xml:space="preserve"> </w:t>
            </w:r>
            <w:r w:rsidRPr="00150EDC">
              <w:rPr>
                <w:sz w:val="20"/>
              </w:rPr>
              <w:t>a</w:t>
            </w:r>
            <w:r w:rsidRPr="00150EDC">
              <w:rPr>
                <w:spacing w:val="-5"/>
                <w:sz w:val="20"/>
              </w:rPr>
              <w:t xml:space="preserve"> </w:t>
            </w:r>
            <w:r w:rsidRPr="00150EDC">
              <w:rPr>
                <w:sz w:val="20"/>
              </w:rPr>
              <w:t>scheduled</w:t>
            </w:r>
            <w:r w:rsidRPr="00150EDC">
              <w:rPr>
                <w:spacing w:val="-5"/>
                <w:sz w:val="20"/>
              </w:rPr>
              <w:t xml:space="preserve"> </w:t>
            </w:r>
            <w:r w:rsidRPr="00150EDC">
              <w:rPr>
                <w:sz w:val="20"/>
              </w:rPr>
              <w:t>substance</w:t>
            </w:r>
            <w:r w:rsidRPr="00150EDC">
              <w:rPr>
                <w:spacing w:val="-5"/>
                <w:sz w:val="20"/>
              </w:rPr>
              <w:t xml:space="preserve"> </w:t>
            </w:r>
            <w:r w:rsidRPr="00150EDC">
              <w:rPr>
                <w:sz w:val="20"/>
              </w:rPr>
              <w:t>to</w:t>
            </w:r>
            <w:r w:rsidRPr="00150EDC">
              <w:rPr>
                <w:spacing w:val="-1"/>
                <w:sz w:val="20"/>
              </w:rPr>
              <w:t xml:space="preserve"> </w:t>
            </w:r>
            <w:r w:rsidRPr="00150EDC">
              <w:rPr>
                <w:sz w:val="20"/>
              </w:rPr>
              <w:t>a</w:t>
            </w:r>
            <w:r w:rsidRPr="00150EDC">
              <w:rPr>
                <w:spacing w:val="-5"/>
                <w:sz w:val="20"/>
              </w:rPr>
              <w:t xml:space="preserve"> </w:t>
            </w:r>
            <w:r w:rsidRPr="00150EDC">
              <w:rPr>
                <w:sz w:val="20"/>
              </w:rPr>
              <w:t>child (under</w:t>
            </w:r>
            <w:r w:rsidRPr="00150EDC">
              <w:rPr>
                <w:spacing w:val="-5"/>
                <w:sz w:val="20"/>
              </w:rPr>
              <w:t xml:space="preserve"> 16)</w:t>
            </w:r>
          </w:p>
        </w:tc>
      </w:tr>
      <w:tr w:rsidR="004569EE" w:rsidRPr="007D3144" w14:paraId="74D58DD9" w14:textId="77777777">
        <w:trPr>
          <w:trHeight w:val="255"/>
        </w:trPr>
        <w:tc>
          <w:tcPr>
            <w:tcW w:w="6517" w:type="dxa"/>
          </w:tcPr>
          <w:p w14:paraId="3F28122D" w14:textId="77777777" w:rsidR="004C7180" w:rsidRPr="00150EDC" w:rsidRDefault="00CF0754">
            <w:pPr>
              <w:pStyle w:val="TableParagraph"/>
              <w:spacing w:before="28"/>
              <w:rPr>
                <w:sz w:val="20"/>
              </w:rPr>
            </w:pPr>
            <w:r w:rsidRPr="00150EDC">
              <w:rPr>
                <w:sz w:val="20"/>
              </w:rPr>
              <w:t>Misuse</w:t>
            </w:r>
            <w:r w:rsidRPr="00150EDC">
              <w:rPr>
                <w:spacing w:val="-7"/>
                <w:sz w:val="20"/>
              </w:rPr>
              <w:t xml:space="preserve"> </w:t>
            </w:r>
            <w:r w:rsidRPr="00150EDC">
              <w:rPr>
                <w:sz w:val="20"/>
              </w:rPr>
              <w:t>of</w:t>
            </w:r>
            <w:r w:rsidRPr="00150EDC">
              <w:rPr>
                <w:spacing w:val="-7"/>
                <w:sz w:val="20"/>
              </w:rPr>
              <w:t xml:space="preserve"> </w:t>
            </w:r>
            <w:r w:rsidRPr="00150EDC">
              <w:rPr>
                <w:sz w:val="20"/>
              </w:rPr>
              <w:t>Drugs</w:t>
            </w:r>
            <w:r w:rsidRPr="00150EDC">
              <w:rPr>
                <w:spacing w:val="-5"/>
                <w:sz w:val="20"/>
              </w:rPr>
              <w:t xml:space="preserve"> </w:t>
            </w:r>
            <w:r w:rsidRPr="00150EDC">
              <w:rPr>
                <w:sz w:val="20"/>
              </w:rPr>
              <w:t>(Jersey)</w:t>
            </w:r>
            <w:r w:rsidRPr="00150EDC">
              <w:rPr>
                <w:spacing w:val="-6"/>
                <w:sz w:val="20"/>
              </w:rPr>
              <w:t xml:space="preserve"> </w:t>
            </w:r>
            <w:r w:rsidRPr="00150EDC">
              <w:rPr>
                <w:sz w:val="20"/>
              </w:rPr>
              <w:t>Law</w:t>
            </w:r>
            <w:r w:rsidRPr="00150EDC">
              <w:rPr>
                <w:spacing w:val="-5"/>
                <w:sz w:val="20"/>
              </w:rPr>
              <w:t xml:space="preserve"> </w:t>
            </w:r>
            <w:r w:rsidRPr="00150EDC">
              <w:rPr>
                <w:sz w:val="20"/>
              </w:rPr>
              <w:t>1978,</w:t>
            </w:r>
            <w:r w:rsidRPr="00150EDC">
              <w:rPr>
                <w:spacing w:val="-6"/>
                <w:sz w:val="20"/>
              </w:rPr>
              <w:t xml:space="preserve"> </w:t>
            </w:r>
            <w:r w:rsidRPr="00150EDC">
              <w:rPr>
                <w:sz w:val="20"/>
              </w:rPr>
              <w:t>Art</w:t>
            </w:r>
            <w:r w:rsidRPr="00150EDC">
              <w:rPr>
                <w:spacing w:val="-1"/>
                <w:sz w:val="20"/>
              </w:rPr>
              <w:t xml:space="preserve"> </w:t>
            </w:r>
            <w:r w:rsidRPr="00150EDC">
              <w:rPr>
                <w:spacing w:val="-10"/>
                <w:sz w:val="20"/>
              </w:rPr>
              <w:t>7</w:t>
            </w:r>
          </w:p>
        </w:tc>
        <w:tc>
          <w:tcPr>
            <w:tcW w:w="7427" w:type="dxa"/>
          </w:tcPr>
          <w:p w14:paraId="7F4E2B06" w14:textId="77777777" w:rsidR="004C7180" w:rsidRPr="00150EDC" w:rsidRDefault="00CF0754">
            <w:pPr>
              <w:pStyle w:val="TableParagraph"/>
              <w:spacing w:before="28"/>
              <w:rPr>
                <w:sz w:val="20"/>
              </w:rPr>
            </w:pPr>
            <w:r w:rsidRPr="00150EDC">
              <w:rPr>
                <w:sz w:val="20"/>
              </w:rPr>
              <w:t>Supplying</w:t>
            </w:r>
            <w:r w:rsidRPr="00150EDC">
              <w:rPr>
                <w:spacing w:val="-6"/>
                <w:sz w:val="20"/>
              </w:rPr>
              <w:t xml:space="preserve"> </w:t>
            </w:r>
            <w:r w:rsidRPr="00150EDC">
              <w:rPr>
                <w:sz w:val="20"/>
              </w:rPr>
              <w:t>a</w:t>
            </w:r>
            <w:r w:rsidRPr="00150EDC">
              <w:rPr>
                <w:spacing w:val="-5"/>
                <w:sz w:val="20"/>
              </w:rPr>
              <w:t xml:space="preserve"> </w:t>
            </w:r>
            <w:r w:rsidRPr="00150EDC">
              <w:rPr>
                <w:sz w:val="20"/>
              </w:rPr>
              <w:t>scheduled</w:t>
            </w:r>
            <w:r w:rsidRPr="00150EDC">
              <w:rPr>
                <w:spacing w:val="-5"/>
                <w:sz w:val="20"/>
              </w:rPr>
              <w:t xml:space="preserve"> </w:t>
            </w:r>
            <w:r w:rsidRPr="00150EDC">
              <w:rPr>
                <w:sz w:val="20"/>
              </w:rPr>
              <w:t>substance</w:t>
            </w:r>
            <w:r w:rsidRPr="00150EDC">
              <w:rPr>
                <w:spacing w:val="-5"/>
                <w:sz w:val="20"/>
              </w:rPr>
              <w:t xml:space="preserve"> </w:t>
            </w:r>
            <w:r w:rsidRPr="00150EDC">
              <w:rPr>
                <w:sz w:val="20"/>
              </w:rPr>
              <w:t>to</w:t>
            </w:r>
            <w:r w:rsidRPr="00150EDC">
              <w:rPr>
                <w:spacing w:val="-1"/>
                <w:sz w:val="20"/>
              </w:rPr>
              <w:t xml:space="preserve"> </w:t>
            </w:r>
            <w:r w:rsidRPr="00150EDC">
              <w:rPr>
                <w:sz w:val="20"/>
              </w:rPr>
              <w:t>a</w:t>
            </w:r>
            <w:r w:rsidRPr="00150EDC">
              <w:rPr>
                <w:spacing w:val="-5"/>
                <w:sz w:val="20"/>
              </w:rPr>
              <w:t xml:space="preserve"> </w:t>
            </w:r>
            <w:r w:rsidRPr="00150EDC">
              <w:rPr>
                <w:sz w:val="20"/>
              </w:rPr>
              <w:t>child (under</w:t>
            </w:r>
            <w:r w:rsidRPr="00150EDC">
              <w:rPr>
                <w:spacing w:val="-5"/>
                <w:sz w:val="20"/>
              </w:rPr>
              <w:t xml:space="preserve"> 16)</w:t>
            </w:r>
          </w:p>
        </w:tc>
      </w:tr>
      <w:tr w:rsidR="004569EE" w:rsidRPr="007D3144" w14:paraId="53D61C4B" w14:textId="77777777">
        <w:trPr>
          <w:trHeight w:val="510"/>
        </w:trPr>
        <w:tc>
          <w:tcPr>
            <w:tcW w:w="6517" w:type="dxa"/>
          </w:tcPr>
          <w:p w14:paraId="3FAFA3A9" w14:textId="77777777" w:rsidR="004C7180" w:rsidRPr="00150EDC" w:rsidRDefault="004C7180">
            <w:pPr>
              <w:pStyle w:val="TableParagraph"/>
              <w:spacing w:before="6" w:line="240" w:lineRule="auto"/>
              <w:ind w:left="0"/>
              <w:rPr>
                <w:sz w:val="24"/>
              </w:rPr>
            </w:pPr>
          </w:p>
          <w:p w14:paraId="50265E8A" w14:textId="77777777" w:rsidR="004C7180" w:rsidRPr="00150EDC" w:rsidRDefault="00CF0754">
            <w:pPr>
              <w:pStyle w:val="TableParagraph"/>
              <w:spacing w:before="0"/>
              <w:rPr>
                <w:sz w:val="20"/>
              </w:rPr>
            </w:pPr>
            <w:r w:rsidRPr="00150EDC">
              <w:rPr>
                <w:sz w:val="20"/>
              </w:rPr>
              <w:t>Misuse</w:t>
            </w:r>
            <w:r w:rsidRPr="00150EDC">
              <w:rPr>
                <w:spacing w:val="-10"/>
                <w:sz w:val="20"/>
              </w:rPr>
              <w:t xml:space="preserve"> </w:t>
            </w:r>
            <w:r w:rsidRPr="00150EDC">
              <w:rPr>
                <w:sz w:val="20"/>
              </w:rPr>
              <w:t>of</w:t>
            </w:r>
            <w:r w:rsidRPr="00150EDC">
              <w:rPr>
                <w:spacing w:val="-7"/>
                <w:sz w:val="20"/>
              </w:rPr>
              <w:t xml:space="preserve"> </w:t>
            </w:r>
            <w:r w:rsidRPr="00150EDC">
              <w:rPr>
                <w:sz w:val="20"/>
              </w:rPr>
              <w:t>Drugs</w:t>
            </w:r>
            <w:r w:rsidRPr="00150EDC">
              <w:rPr>
                <w:spacing w:val="-6"/>
                <w:sz w:val="20"/>
              </w:rPr>
              <w:t xml:space="preserve"> </w:t>
            </w:r>
            <w:r w:rsidRPr="00150EDC">
              <w:rPr>
                <w:sz w:val="20"/>
              </w:rPr>
              <w:t>Act</w:t>
            </w:r>
            <w:r w:rsidRPr="00150EDC">
              <w:rPr>
                <w:spacing w:val="-6"/>
                <w:sz w:val="20"/>
              </w:rPr>
              <w:t xml:space="preserve"> </w:t>
            </w:r>
            <w:r w:rsidRPr="00150EDC">
              <w:rPr>
                <w:sz w:val="20"/>
              </w:rPr>
              <w:t>1971,</w:t>
            </w:r>
            <w:r w:rsidRPr="00150EDC">
              <w:rPr>
                <w:spacing w:val="-6"/>
                <w:sz w:val="20"/>
              </w:rPr>
              <w:t xml:space="preserve"> </w:t>
            </w:r>
            <w:r w:rsidRPr="00150EDC">
              <w:rPr>
                <w:spacing w:val="-4"/>
                <w:sz w:val="20"/>
              </w:rPr>
              <w:t>s4(3)</w:t>
            </w:r>
          </w:p>
        </w:tc>
        <w:tc>
          <w:tcPr>
            <w:tcW w:w="7427" w:type="dxa"/>
          </w:tcPr>
          <w:p w14:paraId="6B05AD4C" w14:textId="77777777" w:rsidR="004C7180" w:rsidRPr="00150EDC" w:rsidRDefault="00CF0754">
            <w:pPr>
              <w:pStyle w:val="TableParagraph"/>
              <w:spacing w:before="32" w:line="230" w:lineRule="atLeast"/>
              <w:rPr>
                <w:sz w:val="20"/>
              </w:rPr>
            </w:pPr>
            <w:r w:rsidRPr="00150EDC">
              <w:rPr>
                <w:sz w:val="20"/>
              </w:rPr>
              <w:t>Supplying</w:t>
            </w:r>
            <w:r w:rsidRPr="00150EDC">
              <w:rPr>
                <w:spacing w:val="-5"/>
                <w:sz w:val="20"/>
              </w:rPr>
              <w:t xml:space="preserve"> </w:t>
            </w:r>
            <w:r w:rsidRPr="00150EDC">
              <w:rPr>
                <w:sz w:val="20"/>
              </w:rPr>
              <w:t>or</w:t>
            </w:r>
            <w:r w:rsidRPr="00150EDC">
              <w:rPr>
                <w:spacing w:val="-1"/>
                <w:sz w:val="20"/>
              </w:rPr>
              <w:t xml:space="preserve"> </w:t>
            </w:r>
            <w:r w:rsidRPr="00150EDC">
              <w:rPr>
                <w:sz w:val="20"/>
              </w:rPr>
              <w:t>offering</w:t>
            </w:r>
            <w:r w:rsidRPr="00150EDC">
              <w:rPr>
                <w:spacing w:val="-5"/>
                <w:sz w:val="20"/>
              </w:rPr>
              <w:t xml:space="preserve"> </w:t>
            </w:r>
            <w:r w:rsidRPr="00150EDC">
              <w:rPr>
                <w:sz w:val="20"/>
              </w:rPr>
              <w:t>to</w:t>
            </w:r>
            <w:r w:rsidRPr="00150EDC">
              <w:rPr>
                <w:spacing w:val="-5"/>
                <w:sz w:val="20"/>
              </w:rPr>
              <w:t xml:space="preserve"> </w:t>
            </w:r>
            <w:r w:rsidRPr="00150EDC">
              <w:rPr>
                <w:sz w:val="20"/>
              </w:rPr>
              <w:t>supply, or</w:t>
            </w:r>
            <w:r w:rsidRPr="00150EDC">
              <w:rPr>
                <w:spacing w:val="-5"/>
                <w:sz w:val="20"/>
              </w:rPr>
              <w:t xml:space="preserve"> </w:t>
            </w:r>
            <w:r w:rsidRPr="00150EDC">
              <w:rPr>
                <w:sz w:val="20"/>
              </w:rPr>
              <w:t>being</w:t>
            </w:r>
            <w:r w:rsidRPr="00150EDC">
              <w:rPr>
                <w:spacing w:val="-5"/>
                <w:sz w:val="20"/>
              </w:rPr>
              <w:t xml:space="preserve"> </w:t>
            </w:r>
            <w:r w:rsidRPr="00150EDC">
              <w:rPr>
                <w:sz w:val="20"/>
              </w:rPr>
              <w:t>concerned</w:t>
            </w:r>
            <w:r w:rsidRPr="00150EDC">
              <w:rPr>
                <w:spacing w:val="-5"/>
                <w:sz w:val="20"/>
              </w:rPr>
              <w:t xml:space="preserve"> </w:t>
            </w:r>
            <w:r w:rsidRPr="00150EDC">
              <w:rPr>
                <w:sz w:val="20"/>
              </w:rPr>
              <w:t>in</w:t>
            </w:r>
            <w:r w:rsidRPr="00150EDC">
              <w:rPr>
                <w:spacing w:val="-5"/>
                <w:sz w:val="20"/>
              </w:rPr>
              <w:t xml:space="preserve"> </w:t>
            </w:r>
            <w:r w:rsidRPr="00150EDC">
              <w:rPr>
                <w:sz w:val="20"/>
              </w:rPr>
              <w:t>supplying</w:t>
            </w:r>
            <w:r w:rsidRPr="00150EDC">
              <w:rPr>
                <w:spacing w:val="-5"/>
                <w:sz w:val="20"/>
              </w:rPr>
              <w:t xml:space="preserve"> </w:t>
            </w:r>
            <w:r w:rsidRPr="00150EDC">
              <w:rPr>
                <w:sz w:val="20"/>
              </w:rPr>
              <w:t>or</w:t>
            </w:r>
            <w:r w:rsidRPr="00150EDC">
              <w:rPr>
                <w:spacing w:val="-1"/>
                <w:sz w:val="20"/>
              </w:rPr>
              <w:t xml:space="preserve"> </w:t>
            </w:r>
            <w:r w:rsidRPr="00150EDC">
              <w:rPr>
                <w:sz w:val="20"/>
              </w:rPr>
              <w:t>offering</w:t>
            </w:r>
            <w:r w:rsidRPr="00150EDC">
              <w:rPr>
                <w:spacing w:val="-5"/>
                <w:sz w:val="20"/>
              </w:rPr>
              <w:t xml:space="preserve"> </w:t>
            </w:r>
            <w:r w:rsidRPr="00150EDC">
              <w:rPr>
                <w:sz w:val="20"/>
              </w:rPr>
              <w:t>to supply, a controlled drug to a child (under 16)</w:t>
            </w:r>
          </w:p>
        </w:tc>
      </w:tr>
      <w:tr w:rsidR="004569EE" w:rsidRPr="007D3144" w14:paraId="0F355D8E" w14:textId="77777777">
        <w:trPr>
          <w:trHeight w:val="255"/>
        </w:trPr>
        <w:tc>
          <w:tcPr>
            <w:tcW w:w="6517" w:type="dxa"/>
          </w:tcPr>
          <w:p w14:paraId="58084170" w14:textId="77777777" w:rsidR="004C7180" w:rsidRPr="00150EDC" w:rsidRDefault="00CF0754">
            <w:pPr>
              <w:pStyle w:val="TableParagraph"/>
              <w:rPr>
                <w:sz w:val="20"/>
              </w:rPr>
            </w:pPr>
            <w:r w:rsidRPr="00150EDC">
              <w:rPr>
                <w:sz w:val="20"/>
              </w:rPr>
              <w:t>Misuse</w:t>
            </w:r>
            <w:r w:rsidRPr="00150EDC">
              <w:rPr>
                <w:spacing w:val="-10"/>
                <w:sz w:val="20"/>
              </w:rPr>
              <w:t xml:space="preserve"> </w:t>
            </w:r>
            <w:r w:rsidRPr="00150EDC">
              <w:rPr>
                <w:sz w:val="20"/>
              </w:rPr>
              <w:t>of</w:t>
            </w:r>
            <w:r w:rsidRPr="00150EDC">
              <w:rPr>
                <w:spacing w:val="-7"/>
                <w:sz w:val="20"/>
              </w:rPr>
              <w:t xml:space="preserve"> </w:t>
            </w:r>
            <w:r w:rsidRPr="00150EDC">
              <w:rPr>
                <w:sz w:val="20"/>
              </w:rPr>
              <w:t>Drugs</w:t>
            </w:r>
            <w:r w:rsidRPr="00150EDC">
              <w:rPr>
                <w:spacing w:val="-6"/>
                <w:sz w:val="20"/>
              </w:rPr>
              <w:t xml:space="preserve"> </w:t>
            </w:r>
            <w:r w:rsidRPr="00150EDC">
              <w:rPr>
                <w:sz w:val="20"/>
              </w:rPr>
              <w:t>Act</w:t>
            </w:r>
            <w:r w:rsidRPr="00150EDC">
              <w:rPr>
                <w:spacing w:val="-5"/>
                <w:sz w:val="20"/>
              </w:rPr>
              <w:t xml:space="preserve"> </w:t>
            </w:r>
            <w:r w:rsidRPr="00150EDC">
              <w:rPr>
                <w:sz w:val="20"/>
              </w:rPr>
              <w:t>1976,</w:t>
            </w:r>
            <w:r w:rsidRPr="00150EDC">
              <w:rPr>
                <w:spacing w:val="-6"/>
                <w:sz w:val="20"/>
              </w:rPr>
              <w:t xml:space="preserve"> </w:t>
            </w:r>
            <w:r w:rsidRPr="00150EDC">
              <w:rPr>
                <w:spacing w:val="-4"/>
                <w:sz w:val="20"/>
              </w:rPr>
              <w:t>s4(3)</w:t>
            </w:r>
          </w:p>
        </w:tc>
        <w:tc>
          <w:tcPr>
            <w:tcW w:w="7427" w:type="dxa"/>
          </w:tcPr>
          <w:p w14:paraId="4FC33782" w14:textId="77777777" w:rsidR="004C7180" w:rsidRPr="00150EDC" w:rsidRDefault="00CF0754">
            <w:pPr>
              <w:pStyle w:val="TableParagraph"/>
              <w:rPr>
                <w:sz w:val="20"/>
              </w:rPr>
            </w:pPr>
            <w:r w:rsidRPr="00150EDC">
              <w:rPr>
                <w:sz w:val="20"/>
              </w:rPr>
              <w:t>Supplying</w:t>
            </w:r>
            <w:r w:rsidRPr="00150EDC">
              <w:rPr>
                <w:spacing w:val="-5"/>
                <w:sz w:val="20"/>
              </w:rPr>
              <w:t xml:space="preserve"> </w:t>
            </w:r>
            <w:r w:rsidRPr="00150EDC">
              <w:rPr>
                <w:sz w:val="20"/>
              </w:rPr>
              <w:t>a</w:t>
            </w:r>
            <w:r w:rsidRPr="00150EDC">
              <w:rPr>
                <w:spacing w:val="-4"/>
                <w:sz w:val="20"/>
              </w:rPr>
              <w:t xml:space="preserve"> </w:t>
            </w:r>
            <w:r w:rsidRPr="00150EDC">
              <w:rPr>
                <w:sz w:val="20"/>
              </w:rPr>
              <w:t>controlled</w:t>
            </w:r>
            <w:r w:rsidRPr="00150EDC">
              <w:rPr>
                <w:spacing w:val="-4"/>
                <w:sz w:val="20"/>
              </w:rPr>
              <w:t xml:space="preserve"> </w:t>
            </w:r>
            <w:r w:rsidRPr="00150EDC">
              <w:rPr>
                <w:sz w:val="20"/>
              </w:rPr>
              <w:t>drug</w:t>
            </w:r>
            <w:r w:rsidRPr="00150EDC">
              <w:rPr>
                <w:spacing w:val="-4"/>
                <w:sz w:val="20"/>
              </w:rPr>
              <w:t xml:space="preserve"> </w:t>
            </w:r>
            <w:r w:rsidRPr="00150EDC">
              <w:rPr>
                <w:sz w:val="20"/>
              </w:rPr>
              <w:t>to a</w:t>
            </w:r>
            <w:r w:rsidRPr="00150EDC">
              <w:rPr>
                <w:spacing w:val="-4"/>
                <w:sz w:val="20"/>
              </w:rPr>
              <w:t xml:space="preserve"> </w:t>
            </w:r>
            <w:r w:rsidRPr="00150EDC">
              <w:rPr>
                <w:sz w:val="20"/>
              </w:rPr>
              <w:t>child</w:t>
            </w:r>
            <w:r w:rsidRPr="00150EDC">
              <w:rPr>
                <w:spacing w:val="-4"/>
                <w:sz w:val="20"/>
              </w:rPr>
              <w:t xml:space="preserve"> </w:t>
            </w:r>
            <w:r w:rsidRPr="00150EDC">
              <w:rPr>
                <w:sz w:val="20"/>
              </w:rPr>
              <w:t>(under</w:t>
            </w:r>
            <w:r w:rsidRPr="00150EDC">
              <w:rPr>
                <w:spacing w:val="-4"/>
                <w:sz w:val="20"/>
              </w:rPr>
              <w:t xml:space="preserve"> </w:t>
            </w:r>
            <w:r w:rsidRPr="00150EDC">
              <w:rPr>
                <w:spacing w:val="-5"/>
                <w:sz w:val="20"/>
              </w:rPr>
              <w:t>16)</w:t>
            </w:r>
          </w:p>
        </w:tc>
      </w:tr>
      <w:tr w:rsidR="004569EE" w:rsidRPr="007D3144" w14:paraId="2881C5B6" w14:textId="77777777">
        <w:trPr>
          <w:trHeight w:val="690"/>
        </w:trPr>
        <w:tc>
          <w:tcPr>
            <w:tcW w:w="6517" w:type="dxa"/>
          </w:tcPr>
          <w:p w14:paraId="0D52D693" w14:textId="77777777" w:rsidR="004C7180" w:rsidRPr="00150EDC" w:rsidRDefault="004C7180">
            <w:pPr>
              <w:pStyle w:val="TableParagraph"/>
              <w:spacing w:before="0" w:line="240" w:lineRule="auto"/>
              <w:ind w:left="0"/>
            </w:pPr>
          </w:p>
          <w:p w14:paraId="3DFE6B8B" w14:textId="77777777" w:rsidR="004C7180" w:rsidRPr="00150EDC" w:rsidRDefault="004C7180">
            <w:pPr>
              <w:pStyle w:val="TableParagraph"/>
              <w:spacing w:before="2" w:line="240" w:lineRule="auto"/>
              <w:ind w:left="0"/>
              <w:rPr>
                <w:sz w:val="18"/>
              </w:rPr>
            </w:pPr>
          </w:p>
          <w:p w14:paraId="6470786E" w14:textId="77777777" w:rsidR="004C7180" w:rsidRPr="00150EDC" w:rsidRDefault="00CF0754">
            <w:pPr>
              <w:pStyle w:val="TableParagraph"/>
              <w:spacing w:before="1"/>
              <w:rPr>
                <w:sz w:val="20"/>
              </w:rPr>
            </w:pPr>
            <w:r w:rsidRPr="00150EDC">
              <w:rPr>
                <w:sz w:val="20"/>
              </w:rPr>
              <w:t>Misuse</w:t>
            </w:r>
            <w:r w:rsidRPr="00150EDC">
              <w:rPr>
                <w:spacing w:val="-10"/>
                <w:sz w:val="20"/>
              </w:rPr>
              <w:t xml:space="preserve"> </w:t>
            </w:r>
            <w:r w:rsidRPr="00150EDC">
              <w:rPr>
                <w:sz w:val="20"/>
              </w:rPr>
              <w:t>of</w:t>
            </w:r>
            <w:r w:rsidRPr="00150EDC">
              <w:rPr>
                <w:spacing w:val="-7"/>
                <w:sz w:val="20"/>
              </w:rPr>
              <w:t xml:space="preserve"> </w:t>
            </w:r>
            <w:r w:rsidRPr="00150EDC">
              <w:rPr>
                <w:sz w:val="20"/>
              </w:rPr>
              <w:t>Drugs</w:t>
            </w:r>
            <w:r w:rsidRPr="00150EDC">
              <w:rPr>
                <w:spacing w:val="-6"/>
                <w:sz w:val="20"/>
              </w:rPr>
              <w:t xml:space="preserve"> </w:t>
            </w:r>
            <w:r w:rsidRPr="00150EDC">
              <w:rPr>
                <w:sz w:val="20"/>
              </w:rPr>
              <w:t>Act</w:t>
            </w:r>
            <w:r w:rsidRPr="00150EDC">
              <w:rPr>
                <w:spacing w:val="-6"/>
                <w:sz w:val="20"/>
              </w:rPr>
              <w:t xml:space="preserve"> </w:t>
            </w:r>
            <w:r w:rsidRPr="00150EDC">
              <w:rPr>
                <w:sz w:val="20"/>
              </w:rPr>
              <w:t>1976,</w:t>
            </w:r>
            <w:r w:rsidRPr="00150EDC">
              <w:rPr>
                <w:spacing w:val="-6"/>
                <w:sz w:val="20"/>
              </w:rPr>
              <w:t xml:space="preserve"> </w:t>
            </w:r>
            <w:r w:rsidRPr="00150EDC">
              <w:rPr>
                <w:spacing w:val="-5"/>
                <w:sz w:val="20"/>
              </w:rPr>
              <w:t>s20</w:t>
            </w:r>
          </w:p>
        </w:tc>
        <w:tc>
          <w:tcPr>
            <w:tcW w:w="7427" w:type="dxa"/>
          </w:tcPr>
          <w:p w14:paraId="49C8F1FF" w14:textId="77777777" w:rsidR="004C7180" w:rsidRPr="00150EDC" w:rsidRDefault="00CF0754">
            <w:pPr>
              <w:pStyle w:val="TableParagraph"/>
              <w:spacing w:before="2" w:line="240" w:lineRule="auto"/>
              <w:rPr>
                <w:sz w:val="20"/>
              </w:rPr>
            </w:pPr>
            <w:r w:rsidRPr="00150EDC">
              <w:rPr>
                <w:sz w:val="20"/>
              </w:rPr>
              <w:t>Assisting</w:t>
            </w:r>
            <w:r w:rsidRPr="00150EDC">
              <w:rPr>
                <w:spacing w:val="-6"/>
                <w:sz w:val="20"/>
              </w:rPr>
              <w:t xml:space="preserve"> </w:t>
            </w:r>
            <w:r w:rsidRPr="00150EDC">
              <w:rPr>
                <w:sz w:val="20"/>
              </w:rPr>
              <w:t>in</w:t>
            </w:r>
            <w:r w:rsidRPr="00150EDC">
              <w:rPr>
                <w:spacing w:val="-6"/>
                <w:sz w:val="20"/>
              </w:rPr>
              <w:t xml:space="preserve"> </w:t>
            </w:r>
            <w:r w:rsidRPr="00150EDC">
              <w:rPr>
                <w:sz w:val="20"/>
              </w:rPr>
              <w:t>or</w:t>
            </w:r>
            <w:r w:rsidRPr="00150EDC">
              <w:rPr>
                <w:spacing w:val="-5"/>
                <w:sz w:val="20"/>
              </w:rPr>
              <w:t xml:space="preserve"> </w:t>
            </w:r>
            <w:r w:rsidRPr="00150EDC">
              <w:rPr>
                <w:sz w:val="20"/>
              </w:rPr>
              <w:t>inducing</w:t>
            </w:r>
            <w:r w:rsidRPr="00150EDC">
              <w:rPr>
                <w:spacing w:val="-6"/>
                <w:sz w:val="20"/>
              </w:rPr>
              <w:t xml:space="preserve"> </w:t>
            </w:r>
            <w:r w:rsidRPr="00150EDC">
              <w:rPr>
                <w:sz w:val="20"/>
              </w:rPr>
              <w:t>commission</w:t>
            </w:r>
            <w:r w:rsidRPr="00150EDC">
              <w:rPr>
                <w:spacing w:val="-1"/>
                <w:sz w:val="20"/>
              </w:rPr>
              <w:t xml:space="preserve"> </w:t>
            </w:r>
            <w:r w:rsidRPr="00150EDC">
              <w:rPr>
                <w:sz w:val="20"/>
              </w:rPr>
              <w:t>outside</w:t>
            </w:r>
            <w:r w:rsidRPr="00150EDC">
              <w:rPr>
                <w:spacing w:val="-1"/>
                <w:sz w:val="20"/>
              </w:rPr>
              <w:t xml:space="preserve"> </w:t>
            </w:r>
            <w:r w:rsidRPr="00150EDC">
              <w:rPr>
                <w:sz w:val="20"/>
              </w:rPr>
              <w:t>the</w:t>
            </w:r>
            <w:r w:rsidRPr="00150EDC">
              <w:rPr>
                <w:spacing w:val="-5"/>
                <w:sz w:val="20"/>
              </w:rPr>
              <w:t xml:space="preserve"> </w:t>
            </w:r>
            <w:r w:rsidRPr="00150EDC">
              <w:rPr>
                <w:sz w:val="20"/>
              </w:rPr>
              <w:t>Island</w:t>
            </w:r>
            <w:r w:rsidRPr="00150EDC">
              <w:rPr>
                <w:spacing w:val="-6"/>
                <w:sz w:val="20"/>
              </w:rPr>
              <w:t xml:space="preserve"> </w:t>
            </w:r>
            <w:r w:rsidRPr="00150EDC">
              <w:rPr>
                <w:sz w:val="20"/>
              </w:rPr>
              <w:t>of</w:t>
            </w:r>
            <w:r w:rsidRPr="00150EDC">
              <w:rPr>
                <w:spacing w:val="-1"/>
                <w:sz w:val="20"/>
              </w:rPr>
              <w:t xml:space="preserve"> </w:t>
            </w:r>
            <w:r w:rsidRPr="00150EDC">
              <w:rPr>
                <w:sz w:val="20"/>
              </w:rPr>
              <w:t xml:space="preserve">offence </w:t>
            </w:r>
            <w:r w:rsidRPr="00150EDC">
              <w:rPr>
                <w:spacing w:val="-2"/>
                <w:sz w:val="20"/>
              </w:rPr>
              <w:t>punishable</w:t>
            </w:r>
          </w:p>
          <w:p w14:paraId="3CF89BE7" w14:textId="77777777" w:rsidR="004C7180" w:rsidRPr="00150EDC" w:rsidRDefault="00CF0754">
            <w:pPr>
              <w:pStyle w:val="TableParagraph"/>
              <w:spacing w:before="0" w:line="230" w:lineRule="atLeast"/>
              <w:rPr>
                <w:sz w:val="20"/>
              </w:rPr>
            </w:pPr>
            <w:r w:rsidRPr="00150EDC">
              <w:rPr>
                <w:sz w:val="20"/>
              </w:rPr>
              <w:t>under</w:t>
            </w:r>
            <w:r w:rsidRPr="00150EDC">
              <w:rPr>
                <w:spacing w:val="-1"/>
                <w:sz w:val="20"/>
              </w:rPr>
              <w:t xml:space="preserve"> </w:t>
            </w:r>
            <w:r w:rsidRPr="00150EDC">
              <w:rPr>
                <w:sz w:val="20"/>
              </w:rPr>
              <w:t>a</w:t>
            </w:r>
            <w:r w:rsidRPr="00150EDC">
              <w:rPr>
                <w:spacing w:val="-5"/>
                <w:sz w:val="20"/>
              </w:rPr>
              <w:t xml:space="preserve"> </w:t>
            </w:r>
            <w:r w:rsidRPr="00150EDC">
              <w:rPr>
                <w:sz w:val="20"/>
              </w:rPr>
              <w:t>corresponding</w:t>
            </w:r>
            <w:r w:rsidRPr="00150EDC">
              <w:rPr>
                <w:spacing w:val="-5"/>
                <w:sz w:val="20"/>
              </w:rPr>
              <w:t xml:space="preserve"> </w:t>
            </w:r>
            <w:r w:rsidRPr="00150EDC">
              <w:rPr>
                <w:sz w:val="20"/>
              </w:rPr>
              <w:t>law</w:t>
            </w:r>
            <w:r w:rsidRPr="00150EDC">
              <w:rPr>
                <w:spacing w:val="-3"/>
                <w:sz w:val="20"/>
              </w:rPr>
              <w:t xml:space="preserve"> </w:t>
            </w:r>
            <w:r w:rsidRPr="00150EDC">
              <w:rPr>
                <w:sz w:val="20"/>
              </w:rPr>
              <w:t>involving</w:t>
            </w:r>
            <w:r w:rsidRPr="00150EDC">
              <w:rPr>
                <w:spacing w:val="-5"/>
                <w:sz w:val="20"/>
              </w:rPr>
              <w:t xml:space="preserve"> </w:t>
            </w:r>
            <w:r w:rsidRPr="00150EDC">
              <w:rPr>
                <w:sz w:val="20"/>
              </w:rPr>
              <w:t>supply</w:t>
            </w:r>
            <w:r w:rsidRPr="00150EDC">
              <w:rPr>
                <w:spacing w:val="-3"/>
                <w:sz w:val="20"/>
              </w:rPr>
              <w:t xml:space="preserve"> </w:t>
            </w:r>
            <w:r w:rsidRPr="00150EDC">
              <w:rPr>
                <w:sz w:val="20"/>
              </w:rPr>
              <w:t>or</w:t>
            </w:r>
            <w:r w:rsidRPr="00150EDC">
              <w:rPr>
                <w:spacing w:val="-5"/>
                <w:sz w:val="20"/>
              </w:rPr>
              <w:t xml:space="preserve"> </w:t>
            </w:r>
            <w:r w:rsidRPr="00150EDC">
              <w:rPr>
                <w:sz w:val="20"/>
              </w:rPr>
              <w:t>offering</w:t>
            </w:r>
            <w:r w:rsidRPr="00150EDC">
              <w:rPr>
                <w:spacing w:val="-5"/>
                <w:sz w:val="20"/>
              </w:rPr>
              <w:t xml:space="preserve"> </w:t>
            </w:r>
            <w:r w:rsidRPr="00150EDC">
              <w:rPr>
                <w:sz w:val="20"/>
              </w:rPr>
              <w:t>to supply</w:t>
            </w:r>
            <w:r w:rsidRPr="00150EDC">
              <w:rPr>
                <w:spacing w:val="-3"/>
                <w:sz w:val="20"/>
              </w:rPr>
              <w:t xml:space="preserve"> </w:t>
            </w:r>
            <w:r w:rsidRPr="00150EDC">
              <w:rPr>
                <w:sz w:val="20"/>
              </w:rPr>
              <w:t>drugs</w:t>
            </w:r>
            <w:r w:rsidRPr="00150EDC">
              <w:rPr>
                <w:spacing w:val="-4"/>
                <w:sz w:val="20"/>
              </w:rPr>
              <w:t xml:space="preserve"> </w:t>
            </w:r>
            <w:r w:rsidRPr="00150EDC">
              <w:rPr>
                <w:sz w:val="20"/>
              </w:rPr>
              <w:t>to</w:t>
            </w:r>
            <w:r w:rsidRPr="00150EDC">
              <w:rPr>
                <w:spacing w:val="-1"/>
                <w:sz w:val="20"/>
              </w:rPr>
              <w:t xml:space="preserve"> </w:t>
            </w:r>
            <w:r w:rsidRPr="00150EDC">
              <w:rPr>
                <w:sz w:val="20"/>
              </w:rPr>
              <w:t>a</w:t>
            </w:r>
            <w:r w:rsidRPr="00150EDC">
              <w:rPr>
                <w:spacing w:val="-5"/>
                <w:sz w:val="20"/>
              </w:rPr>
              <w:t xml:space="preserve"> </w:t>
            </w:r>
            <w:r w:rsidRPr="00150EDC">
              <w:rPr>
                <w:sz w:val="20"/>
              </w:rPr>
              <w:t>child (under 16)</w:t>
            </w:r>
          </w:p>
        </w:tc>
      </w:tr>
      <w:tr w:rsidR="004569EE" w:rsidRPr="007D3144" w14:paraId="3FB74A8D" w14:textId="77777777">
        <w:trPr>
          <w:trHeight w:val="253"/>
        </w:trPr>
        <w:tc>
          <w:tcPr>
            <w:tcW w:w="6517" w:type="dxa"/>
          </w:tcPr>
          <w:p w14:paraId="158A93F6" w14:textId="77777777" w:rsidR="004C7180" w:rsidRPr="00150EDC" w:rsidRDefault="00CF0754">
            <w:pPr>
              <w:pStyle w:val="TableParagraph"/>
              <w:spacing w:before="26"/>
              <w:rPr>
                <w:sz w:val="20"/>
              </w:rPr>
            </w:pPr>
            <w:r w:rsidRPr="00150EDC">
              <w:rPr>
                <w:sz w:val="20"/>
              </w:rPr>
              <w:t>Modern</w:t>
            </w:r>
            <w:r w:rsidRPr="00150EDC">
              <w:rPr>
                <w:spacing w:val="-12"/>
                <w:sz w:val="20"/>
              </w:rPr>
              <w:t xml:space="preserve"> </w:t>
            </w:r>
            <w:r w:rsidRPr="00150EDC">
              <w:rPr>
                <w:sz w:val="20"/>
              </w:rPr>
              <w:t>Slavery</w:t>
            </w:r>
            <w:r w:rsidRPr="00150EDC">
              <w:rPr>
                <w:spacing w:val="-10"/>
                <w:sz w:val="20"/>
              </w:rPr>
              <w:t xml:space="preserve"> </w:t>
            </w:r>
            <w:r w:rsidRPr="00150EDC">
              <w:rPr>
                <w:sz w:val="20"/>
              </w:rPr>
              <w:t>Act</w:t>
            </w:r>
            <w:r w:rsidRPr="00150EDC">
              <w:rPr>
                <w:spacing w:val="-10"/>
                <w:sz w:val="20"/>
              </w:rPr>
              <w:t xml:space="preserve"> </w:t>
            </w:r>
            <w:r w:rsidRPr="00150EDC">
              <w:rPr>
                <w:sz w:val="20"/>
              </w:rPr>
              <w:t>2015,</w:t>
            </w:r>
            <w:r w:rsidRPr="00150EDC">
              <w:rPr>
                <w:spacing w:val="-11"/>
                <w:sz w:val="20"/>
              </w:rPr>
              <w:t xml:space="preserve"> </w:t>
            </w:r>
            <w:r w:rsidRPr="00150EDC">
              <w:rPr>
                <w:spacing w:val="-5"/>
                <w:sz w:val="20"/>
              </w:rPr>
              <w:t>s1</w:t>
            </w:r>
          </w:p>
        </w:tc>
        <w:tc>
          <w:tcPr>
            <w:tcW w:w="7427" w:type="dxa"/>
          </w:tcPr>
          <w:p w14:paraId="005B0ABB" w14:textId="77777777" w:rsidR="004C7180" w:rsidRPr="00150EDC" w:rsidRDefault="00CF0754">
            <w:pPr>
              <w:pStyle w:val="TableParagraph"/>
              <w:spacing w:before="26"/>
              <w:rPr>
                <w:sz w:val="20"/>
              </w:rPr>
            </w:pPr>
            <w:r w:rsidRPr="00150EDC">
              <w:rPr>
                <w:sz w:val="20"/>
              </w:rPr>
              <w:t>Slavery,</w:t>
            </w:r>
            <w:r w:rsidRPr="00150EDC">
              <w:rPr>
                <w:spacing w:val="-5"/>
                <w:sz w:val="20"/>
              </w:rPr>
              <w:t xml:space="preserve"> </w:t>
            </w:r>
            <w:r w:rsidRPr="00150EDC">
              <w:rPr>
                <w:sz w:val="20"/>
              </w:rPr>
              <w:t>servitude</w:t>
            </w:r>
            <w:r w:rsidRPr="00150EDC">
              <w:rPr>
                <w:spacing w:val="-6"/>
                <w:sz w:val="20"/>
              </w:rPr>
              <w:t xml:space="preserve"> </w:t>
            </w:r>
            <w:r w:rsidRPr="00150EDC">
              <w:rPr>
                <w:sz w:val="20"/>
              </w:rPr>
              <w:t>and</w:t>
            </w:r>
            <w:r w:rsidRPr="00150EDC">
              <w:rPr>
                <w:spacing w:val="-6"/>
                <w:sz w:val="20"/>
              </w:rPr>
              <w:t xml:space="preserve"> </w:t>
            </w:r>
            <w:r w:rsidRPr="00150EDC">
              <w:rPr>
                <w:sz w:val="20"/>
              </w:rPr>
              <w:t>forced</w:t>
            </w:r>
            <w:r w:rsidRPr="00150EDC">
              <w:rPr>
                <w:spacing w:val="-6"/>
                <w:sz w:val="20"/>
              </w:rPr>
              <w:t xml:space="preserve"> </w:t>
            </w:r>
            <w:r w:rsidRPr="00150EDC">
              <w:rPr>
                <w:sz w:val="20"/>
              </w:rPr>
              <w:t>or</w:t>
            </w:r>
            <w:r w:rsidRPr="00150EDC">
              <w:rPr>
                <w:spacing w:val="-6"/>
                <w:sz w:val="20"/>
              </w:rPr>
              <w:t xml:space="preserve"> </w:t>
            </w:r>
            <w:r w:rsidRPr="00150EDC">
              <w:rPr>
                <w:sz w:val="20"/>
              </w:rPr>
              <w:t>compulsory</w:t>
            </w:r>
            <w:r w:rsidRPr="00150EDC">
              <w:rPr>
                <w:spacing w:val="-4"/>
                <w:sz w:val="20"/>
              </w:rPr>
              <w:t xml:space="preserve"> </w:t>
            </w:r>
            <w:r w:rsidRPr="00150EDC">
              <w:rPr>
                <w:spacing w:val="-2"/>
                <w:sz w:val="20"/>
              </w:rPr>
              <w:t>labour</w:t>
            </w:r>
          </w:p>
        </w:tc>
      </w:tr>
      <w:tr w:rsidR="004569EE" w:rsidRPr="007D3144" w14:paraId="33CC7633" w14:textId="77777777">
        <w:trPr>
          <w:trHeight w:val="255"/>
        </w:trPr>
        <w:tc>
          <w:tcPr>
            <w:tcW w:w="6517" w:type="dxa"/>
          </w:tcPr>
          <w:p w14:paraId="75B3D9EA" w14:textId="77777777" w:rsidR="004C7180" w:rsidRPr="00150EDC" w:rsidRDefault="00CF0754">
            <w:pPr>
              <w:pStyle w:val="TableParagraph"/>
              <w:rPr>
                <w:sz w:val="20"/>
              </w:rPr>
            </w:pPr>
            <w:r w:rsidRPr="00150EDC">
              <w:rPr>
                <w:sz w:val="20"/>
              </w:rPr>
              <w:t>Modern</w:t>
            </w:r>
            <w:r w:rsidRPr="00150EDC">
              <w:rPr>
                <w:spacing w:val="-12"/>
                <w:sz w:val="20"/>
              </w:rPr>
              <w:t xml:space="preserve"> </w:t>
            </w:r>
            <w:r w:rsidRPr="00150EDC">
              <w:rPr>
                <w:sz w:val="20"/>
              </w:rPr>
              <w:t>Slavery</w:t>
            </w:r>
            <w:r w:rsidRPr="00150EDC">
              <w:rPr>
                <w:spacing w:val="-10"/>
                <w:sz w:val="20"/>
              </w:rPr>
              <w:t xml:space="preserve"> </w:t>
            </w:r>
            <w:r w:rsidRPr="00150EDC">
              <w:rPr>
                <w:sz w:val="20"/>
              </w:rPr>
              <w:t>Act</w:t>
            </w:r>
            <w:r w:rsidRPr="00150EDC">
              <w:rPr>
                <w:spacing w:val="-10"/>
                <w:sz w:val="20"/>
              </w:rPr>
              <w:t xml:space="preserve"> </w:t>
            </w:r>
            <w:r w:rsidRPr="00150EDC">
              <w:rPr>
                <w:sz w:val="20"/>
              </w:rPr>
              <w:t>2015,</w:t>
            </w:r>
            <w:r w:rsidRPr="00150EDC">
              <w:rPr>
                <w:spacing w:val="-11"/>
                <w:sz w:val="20"/>
              </w:rPr>
              <w:t xml:space="preserve"> </w:t>
            </w:r>
            <w:r w:rsidRPr="00150EDC">
              <w:rPr>
                <w:spacing w:val="-5"/>
                <w:sz w:val="20"/>
              </w:rPr>
              <w:t>s2</w:t>
            </w:r>
          </w:p>
        </w:tc>
        <w:tc>
          <w:tcPr>
            <w:tcW w:w="7427" w:type="dxa"/>
          </w:tcPr>
          <w:p w14:paraId="0FBBD44E" w14:textId="77777777" w:rsidR="004C7180" w:rsidRPr="00150EDC" w:rsidRDefault="00CF0754">
            <w:pPr>
              <w:pStyle w:val="TableParagraph"/>
              <w:rPr>
                <w:sz w:val="20"/>
              </w:rPr>
            </w:pPr>
            <w:r w:rsidRPr="00150EDC">
              <w:rPr>
                <w:sz w:val="20"/>
              </w:rPr>
              <w:t>Human</w:t>
            </w:r>
            <w:r w:rsidRPr="00150EDC">
              <w:rPr>
                <w:spacing w:val="-10"/>
                <w:sz w:val="20"/>
              </w:rPr>
              <w:t xml:space="preserve"> </w:t>
            </w:r>
            <w:r w:rsidRPr="00150EDC">
              <w:rPr>
                <w:spacing w:val="-2"/>
                <w:sz w:val="20"/>
              </w:rPr>
              <w:t>trafficking</w:t>
            </w:r>
          </w:p>
        </w:tc>
      </w:tr>
      <w:tr w:rsidR="004569EE" w:rsidRPr="007D3144" w14:paraId="53F1E998" w14:textId="77777777">
        <w:trPr>
          <w:trHeight w:val="255"/>
        </w:trPr>
        <w:tc>
          <w:tcPr>
            <w:tcW w:w="6517" w:type="dxa"/>
          </w:tcPr>
          <w:p w14:paraId="45DF4F67" w14:textId="77777777" w:rsidR="004C7180" w:rsidRPr="00150EDC" w:rsidRDefault="00CF0754">
            <w:pPr>
              <w:pStyle w:val="TableParagraph"/>
              <w:spacing w:before="28"/>
              <w:rPr>
                <w:sz w:val="20"/>
              </w:rPr>
            </w:pPr>
            <w:r w:rsidRPr="00150EDC">
              <w:rPr>
                <w:sz w:val="20"/>
              </w:rPr>
              <w:t>Nationality,</w:t>
            </w:r>
            <w:r w:rsidRPr="00150EDC">
              <w:rPr>
                <w:spacing w:val="-7"/>
                <w:sz w:val="20"/>
              </w:rPr>
              <w:t xml:space="preserve"> </w:t>
            </w:r>
            <w:r w:rsidRPr="00150EDC">
              <w:rPr>
                <w:sz w:val="20"/>
              </w:rPr>
              <w:t>Immigartion</w:t>
            </w:r>
            <w:r w:rsidRPr="00150EDC">
              <w:rPr>
                <w:spacing w:val="-7"/>
                <w:sz w:val="20"/>
              </w:rPr>
              <w:t xml:space="preserve"> </w:t>
            </w:r>
            <w:r w:rsidRPr="00150EDC">
              <w:rPr>
                <w:sz w:val="20"/>
              </w:rPr>
              <w:t>and</w:t>
            </w:r>
            <w:r w:rsidRPr="00150EDC">
              <w:rPr>
                <w:spacing w:val="-7"/>
                <w:sz w:val="20"/>
              </w:rPr>
              <w:t xml:space="preserve"> </w:t>
            </w:r>
            <w:r w:rsidRPr="00150EDC">
              <w:rPr>
                <w:sz w:val="20"/>
              </w:rPr>
              <w:t>Asylum</w:t>
            </w:r>
            <w:r w:rsidRPr="00150EDC">
              <w:rPr>
                <w:spacing w:val="-7"/>
                <w:sz w:val="20"/>
              </w:rPr>
              <w:t xml:space="preserve"> </w:t>
            </w:r>
            <w:r w:rsidRPr="00150EDC">
              <w:rPr>
                <w:sz w:val="20"/>
              </w:rPr>
              <w:t>Act</w:t>
            </w:r>
            <w:r w:rsidRPr="00150EDC">
              <w:rPr>
                <w:spacing w:val="-6"/>
                <w:sz w:val="20"/>
              </w:rPr>
              <w:t xml:space="preserve"> </w:t>
            </w:r>
            <w:r w:rsidRPr="00150EDC">
              <w:rPr>
                <w:sz w:val="20"/>
              </w:rPr>
              <w:t>2002,</w:t>
            </w:r>
            <w:r w:rsidRPr="00150EDC">
              <w:rPr>
                <w:spacing w:val="-7"/>
                <w:sz w:val="20"/>
              </w:rPr>
              <w:t xml:space="preserve"> </w:t>
            </w:r>
            <w:r w:rsidRPr="00150EDC">
              <w:rPr>
                <w:spacing w:val="-4"/>
                <w:sz w:val="20"/>
              </w:rPr>
              <w:t>s145</w:t>
            </w:r>
          </w:p>
        </w:tc>
        <w:tc>
          <w:tcPr>
            <w:tcW w:w="7427" w:type="dxa"/>
          </w:tcPr>
          <w:p w14:paraId="22F60A32" w14:textId="77777777" w:rsidR="004C7180" w:rsidRPr="00150EDC" w:rsidRDefault="00CF0754">
            <w:pPr>
              <w:pStyle w:val="TableParagraph"/>
              <w:spacing w:before="28"/>
              <w:rPr>
                <w:sz w:val="20"/>
              </w:rPr>
            </w:pPr>
            <w:r w:rsidRPr="00150EDC">
              <w:rPr>
                <w:sz w:val="20"/>
              </w:rPr>
              <w:t>Traffic</w:t>
            </w:r>
            <w:r w:rsidRPr="00150EDC">
              <w:rPr>
                <w:spacing w:val="-5"/>
                <w:sz w:val="20"/>
              </w:rPr>
              <w:t xml:space="preserve"> </w:t>
            </w:r>
            <w:r w:rsidRPr="00150EDC">
              <w:rPr>
                <w:sz w:val="20"/>
              </w:rPr>
              <w:t>in</w:t>
            </w:r>
            <w:r w:rsidRPr="00150EDC">
              <w:rPr>
                <w:spacing w:val="-2"/>
                <w:sz w:val="20"/>
              </w:rPr>
              <w:t xml:space="preserve"> prostitution</w:t>
            </w:r>
          </w:p>
        </w:tc>
      </w:tr>
    </w:tbl>
    <w:p w14:paraId="029B465D" w14:textId="77777777" w:rsidR="004C7180" w:rsidRPr="00150EDC" w:rsidRDefault="004C7180">
      <w:pPr>
        <w:rPr>
          <w:sz w:val="20"/>
        </w:rPr>
        <w:sectPr w:rsidR="004C7180" w:rsidRPr="00150EDC">
          <w:footerReference w:type="default" r:id="rId138"/>
          <w:pgSz w:w="16840" w:h="11910" w:orient="landscape"/>
          <w:pgMar w:top="1340" w:right="1320" w:bottom="280" w:left="1340" w:header="0" w:footer="0" w:gutter="0"/>
          <w:cols w:space="720"/>
        </w:sectPr>
      </w:pPr>
    </w:p>
    <w:p w14:paraId="19E6FE9B" w14:textId="77777777" w:rsidR="004C7180" w:rsidRPr="00150EDC" w:rsidRDefault="004C7180">
      <w:pPr>
        <w:pStyle w:val="BodyText"/>
        <w:spacing w:before="3"/>
        <w:rPr>
          <w:sz w:val="8"/>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517"/>
        <w:gridCol w:w="7427"/>
      </w:tblGrid>
      <w:tr w:rsidR="004569EE" w:rsidRPr="007D3144" w14:paraId="099E5FB8" w14:textId="77777777">
        <w:trPr>
          <w:trHeight w:val="254"/>
        </w:trPr>
        <w:tc>
          <w:tcPr>
            <w:tcW w:w="6517" w:type="dxa"/>
          </w:tcPr>
          <w:p w14:paraId="4DC24937" w14:textId="77777777" w:rsidR="004C7180" w:rsidRPr="00150EDC" w:rsidRDefault="00CF0754">
            <w:pPr>
              <w:pStyle w:val="TableParagraph"/>
              <w:rPr>
                <w:sz w:val="20"/>
              </w:rPr>
            </w:pPr>
            <w:r w:rsidRPr="00150EDC">
              <w:rPr>
                <w:sz w:val="20"/>
              </w:rPr>
              <w:t>Naval</w:t>
            </w:r>
            <w:r w:rsidRPr="00150EDC">
              <w:rPr>
                <w:spacing w:val="-6"/>
                <w:sz w:val="20"/>
              </w:rPr>
              <w:t xml:space="preserve"> </w:t>
            </w:r>
            <w:r w:rsidRPr="00150EDC">
              <w:rPr>
                <w:sz w:val="20"/>
              </w:rPr>
              <w:t>Discipline</w:t>
            </w:r>
            <w:r w:rsidRPr="00150EDC">
              <w:rPr>
                <w:spacing w:val="-7"/>
                <w:sz w:val="20"/>
              </w:rPr>
              <w:t xml:space="preserve"> </w:t>
            </w:r>
            <w:r w:rsidRPr="00150EDC">
              <w:rPr>
                <w:sz w:val="20"/>
              </w:rPr>
              <w:t>Act</w:t>
            </w:r>
            <w:r w:rsidRPr="00150EDC">
              <w:rPr>
                <w:spacing w:val="-7"/>
                <w:sz w:val="20"/>
              </w:rPr>
              <w:t xml:space="preserve"> </w:t>
            </w:r>
            <w:r w:rsidRPr="00150EDC">
              <w:rPr>
                <w:sz w:val="20"/>
              </w:rPr>
              <w:t>1957,</w:t>
            </w:r>
            <w:r w:rsidRPr="00150EDC">
              <w:rPr>
                <w:spacing w:val="-7"/>
                <w:sz w:val="20"/>
              </w:rPr>
              <w:t xml:space="preserve"> </w:t>
            </w:r>
            <w:r w:rsidRPr="00150EDC">
              <w:rPr>
                <w:spacing w:val="-5"/>
                <w:sz w:val="20"/>
              </w:rPr>
              <w:t>s42</w:t>
            </w:r>
          </w:p>
        </w:tc>
        <w:tc>
          <w:tcPr>
            <w:tcW w:w="7427" w:type="dxa"/>
          </w:tcPr>
          <w:p w14:paraId="317FA9B5" w14:textId="77777777" w:rsidR="004C7180" w:rsidRPr="00150EDC" w:rsidRDefault="00CF0754">
            <w:pPr>
              <w:pStyle w:val="TableParagraph"/>
              <w:rPr>
                <w:sz w:val="20"/>
              </w:rPr>
            </w:pPr>
            <w:r w:rsidRPr="00150EDC">
              <w:rPr>
                <w:sz w:val="20"/>
              </w:rPr>
              <w:t>Civil</w:t>
            </w:r>
            <w:r w:rsidRPr="00150EDC">
              <w:rPr>
                <w:spacing w:val="-5"/>
                <w:sz w:val="20"/>
              </w:rPr>
              <w:t xml:space="preserve"> </w:t>
            </w:r>
            <w:r w:rsidRPr="00150EDC">
              <w:rPr>
                <w:sz w:val="20"/>
              </w:rPr>
              <w:t>offences</w:t>
            </w:r>
            <w:r w:rsidRPr="00150EDC">
              <w:rPr>
                <w:spacing w:val="-5"/>
                <w:sz w:val="20"/>
              </w:rPr>
              <w:t xml:space="preserve"> </w:t>
            </w:r>
            <w:r w:rsidRPr="00150EDC">
              <w:rPr>
                <w:sz w:val="20"/>
              </w:rPr>
              <w:t>-</w:t>
            </w:r>
            <w:r w:rsidRPr="00150EDC">
              <w:rPr>
                <w:spacing w:val="-3"/>
                <w:sz w:val="20"/>
              </w:rPr>
              <w:t xml:space="preserve"> </w:t>
            </w:r>
            <w:r w:rsidRPr="00150EDC">
              <w:rPr>
                <w:sz w:val="20"/>
              </w:rPr>
              <w:t>equivalent</w:t>
            </w:r>
            <w:r w:rsidRPr="00150EDC">
              <w:rPr>
                <w:spacing w:val="-7"/>
                <w:sz w:val="20"/>
              </w:rPr>
              <w:t xml:space="preserve"> </w:t>
            </w:r>
            <w:r w:rsidRPr="00150EDC">
              <w:rPr>
                <w:spacing w:val="-2"/>
                <w:sz w:val="20"/>
              </w:rPr>
              <w:t>offences</w:t>
            </w:r>
          </w:p>
        </w:tc>
      </w:tr>
      <w:tr w:rsidR="004569EE" w:rsidRPr="007D3144" w14:paraId="08EC879D" w14:textId="77777777">
        <w:trPr>
          <w:trHeight w:val="255"/>
        </w:trPr>
        <w:tc>
          <w:tcPr>
            <w:tcW w:w="6517" w:type="dxa"/>
          </w:tcPr>
          <w:p w14:paraId="1BCADCF4" w14:textId="77777777" w:rsidR="004C7180" w:rsidRPr="00150EDC" w:rsidRDefault="00CF0754">
            <w:pPr>
              <w:pStyle w:val="TableParagraph"/>
              <w:spacing w:before="28"/>
              <w:rPr>
                <w:sz w:val="20"/>
              </w:rPr>
            </w:pPr>
            <w:r w:rsidRPr="00150EDC">
              <w:rPr>
                <w:sz w:val="20"/>
              </w:rPr>
              <w:t>Northern</w:t>
            </w:r>
            <w:r w:rsidRPr="00150EDC">
              <w:rPr>
                <w:spacing w:val="-7"/>
                <w:sz w:val="20"/>
              </w:rPr>
              <w:t xml:space="preserve"> </w:t>
            </w:r>
            <w:r w:rsidRPr="00150EDC">
              <w:rPr>
                <w:sz w:val="20"/>
              </w:rPr>
              <w:t>Ireland</w:t>
            </w:r>
            <w:r w:rsidRPr="00150EDC">
              <w:rPr>
                <w:spacing w:val="-7"/>
                <w:sz w:val="20"/>
              </w:rPr>
              <w:t xml:space="preserve"> </w:t>
            </w:r>
            <w:r w:rsidRPr="00150EDC">
              <w:rPr>
                <w:sz w:val="20"/>
              </w:rPr>
              <w:t>(Emergency</w:t>
            </w:r>
            <w:r w:rsidRPr="00150EDC">
              <w:rPr>
                <w:spacing w:val="-6"/>
                <w:sz w:val="20"/>
              </w:rPr>
              <w:t xml:space="preserve"> </w:t>
            </w:r>
            <w:r w:rsidRPr="00150EDC">
              <w:rPr>
                <w:sz w:val="20"/>
              </w:rPr>
              <w:t>Provisions)</w:t>
            </w:r>
            <w:r w:rsidRPr="00150EDC">
              <w:rPr>
                <w:spacing w:val="-7"/>
                <w:sz w:val="20"/>
              </w:rPr>
              <w:t xml:space="preserve"> </w:t>
            </w:r>
            <w:r w:rsidRPr="00150EDC">
              <w:rPr>
                <w:sz w:val="20"/>
              </w:rPr>
              <w:t>Act</w:t>
            </w:r>
            <w:r w:rsidRPr="00150EDC">
              <w:rPr>
                <w:spacing w:val="-6"/>
                <w:sz w:val="20"/>
              </w:rPr>
              <w:t xml:space="preserve"> </w:t>
            </w:r>
            <w:r w:rsidRPr="00150EDC">
              <w:rPr>
                <w:sz w:val="20"/>
              </w:rPr>
              <w:t>1978,</w:t>
            </w:r>
            <w:r w:rsidRPr="00150EDC">
              <w:rPr>
                <w:spacing w:val="-6"/>
                <w:sz w:val="20"/>
              </w:rPr>
              <w:t xml:space="preserve"> </w:t>
            </w:r>
            <w:r w:rsidRPr="00150EDC">
              <w:rPr>
                <w:spacing w:val="-5"/>
                <w:sz w:val="20"/>
              </w:rPr>
              <w:t>s23</w:t>
            </w:r>
          </w:p>
        </w:tc>
        <w:tc>
          <w:tcPr>
            <w:tcW w:w="7427" w:type="dxa"/>
          </w:tcPr>
          <w:p w14:paraId="508B3E94" w14:textId="77777777" w:rsidR="004C7180" w:rsidRPr="00150EDC" w:rsidRDefault="00CF0754">
            <w:pPr>
              <w:pStyle w:val="TableParagraph"/>
              <w:spacing w:before="28"/>
              <w:rPr>
                <w:sz w:val="20"/>
              </w:rPr>
            </w:pPr>
            <w:r w:rsidRPr="00150EDC">
              <w:rPr>
                <w:sz w:val="20"/>
              </w:rPr>
              <w:t>Training</w:t>
            </w:r>
            <w:r w:rsidRPr="00150EDC">
              <w:rPr>
                <w:spacing w:val="-7"/>
                <w:sz w:val="20"/>
              </w:rPr>
              <w:t xml:space="preserve"> </w:t>
            </w:r>
            <w:r w:rsidRPr="00150EDC">
              <w:rPr>
                <w:sz w:val="20"/>
              </w:rPr>
              <w:t>in</w:t>
            </w:r>
            <w:r w:rsidRPr="00150EDC">
              <w:rPr>
                <w:spacing w:val="-4"/>
                <w:sz w:val="20"/>
              </w:rPr>
              <w:t xml:space="preserve"> </w:t>
            </w:r>
            <w:r w:rsidRPr="00150EDC">
              <w:rPr>
                <w:sz w:val="20"/>
              </w:rPr>
              <w:t>making</w:t>
            </w:r>
            <w:r w:rsidRPr="00150EDC">
              <w:rPr>
                <w:spacing w:val="-5"/>
                <w:sz w:val="20"/>
              </w:rPr>
              <w:t xml:space="preserve"> </w:t>
            </w:r>
            <w:r w:rsidRPr="00150EDC">
              <w:rPr>
                <w:sz w:val="20"/>
              </w:rPr>
              <w:t>or use</w:t>
            </w:r>
            <w:r w:rsidRPr="00150EDC">
              <w:rPr>
                <w:spacing w:val="-4"/>
                <w:sz w:val="20"/>
              </w:rPr>
              <w:t xml:space="preserve"> </w:t>
            </w:r>
            <w:r w:rsidRPr="00150EDC">
              <w:rPr>
                <w:sz w:val="20"/>
              </w:rPr>
              <w:t>of</w:t>
            </w:r>
            <w:r w:rsidRPr="00150EDC">
              <w:rPr>
                <w:spacing w:val="-4"/>
                <w:sz w:val="20"/>
              </w:rPr>
              <w:t xml:space="preserve"> </w:t>
            </w:r>
            <w:r w:rsidRPr="00150EDC">
              <w:rPr>
                <w:sz w:val="20"/>
              </w:rPr>
              <w:t>firearms, explosives</w:t>
            </w:r>
            <w:r w:rsidRPr="00150EDC">
              <w:rPr>
                <w:spacing w:val="-4"/>
                <w:sz w:val="20"/>
              </w:rPr>
              <w:t xml:space="preserve"> </w:t>
            </w:r>
            <w:r w:rsidRPr="00150EDC">
              <w:rPr>
                <w:sz w:val="20"/>
              </w:rPr>
              <w:t>or</w:t>
            </w:r>
            <w:r w:rsidRPr="00150EDC">
              <w:rPr>
                <w:spacing w:val="-4"/>
                <w:sz w:val="20"/>
              </w:rPr>
              <w:t xml:space="preserve"> </w:t>
            </w:r>
            <w:r w:rsidRPr="00150EDC">
              <w:rPr>
                <w:sz w:val="20"/>
              </w:rPr>
              <w:t>explosive</w:t>
            </w:r>
            <w:r w:rsidRPr="00150EDC">
              <w:rPr>
                <w:spacing w:val="-4"/>
                <w:sz w:val="20"/>
              </w:rPr>
              <w:t xml:space="preserve"> </w:t>
            </w:r>
            <w:r w:rsidRPr="00150EDC">
              <w:rPr>
                <w:spacing w:val="-2"/>
                <w:sz w:val="20"/>
              </w:rPr>
              <w:t>substances</w:t>
            </w:r>
          </w:p>
        </w:tc>
      </w:tr>
      <w:tr w:rsidR="004569EE" w:rsidRPr="007D3144" w14:paraId="4455077B" w14:textId="77777777">
        <w:trPr>
          <w:trHeight w:val="255"/>
        </w:trPr>
        <w:tc>
          <w:tcPr>
            <w:tcW w:w="6517" w:type="dxa"/>
          </w:tcPr>
          <w:p w14:paraId="751B4F53" w14:textId="77777777" w:rsidR="004C7180" w:rsidRPr="00150EDC" w:rsidRDefault="00CF0754">
            <w:pPr>
              <w:pStyle w:val="TableParagraph"/>
              <w:rPr>
                <w:sz w:val="20"/>
              </w:rPr>
            </w:pPr>
            <w:r w:rsidRPr="00150EDC">
              <w:rPr>
                <w:sz w:val="20"/>
              </w:rPr>
              <w:t>Northern</w:t>
            </w:r>
            <w:r w:rsidRPr="00150EDC">
              <w:rPr>
                <w:spacing w:val="-7"/>
                <w:sz w:val="20"/>
              </w:rPr>
              <w:t xml:space="preserve"> </w:t>
            </w:r>
            <w:r w:rsidRPr="00150EDC">
              <w:rPr>
                <w:sz w:val="20"/>
              </w:rPr>
              <w:t>Ireland</w:t>
            </w:r>
            <w:r w:rsidRPr="00150EDC">
              <w:rPr>
                <w:spacing w:val="-7"/>
                <w:sz w:val="20"/>
              </w:rPr>
              <w:t xml:space="preserve"> </w:t>
            </w:r>
            <w:r w:rsidRPr="00150EDC">
              <w:rPr>
                <w:sz w:val="20"/>
              </w:rPr>
              <w:t>(Emergency</w:t>
            </w:r>
            <w:r w:rsidRPr="00150EDC">
              <w:rPr>
                <w:spacing w:val="-6"/>
                <w:sz w:val="20"/>
              </w:rPr>
              <w:t xml:space="preserve"> </w:t>
            </w:r>
            <w:r w:rsidRPr="00150EDC">
              <w:rPr>
                <w:sz w:val="20"/>
              </w:rPr>
              <w:t>Provisions)</w:t>
            </w:r>
            <w:r w:rsidRPr="00150EDC">
              <w:rPr>
                <w:spacing w:val="-7"/>
                <w:sz w:val="20"/>
              </w:rPr>
              <w:t xml:space="preserve"> </w:t>
            </w:r>
            <w:r w:rsidRPr="00150EDC">
              <w:rPr>
                <w:sz w:val="20"/>
              </w:rPr>
              <w:t>Act</w:t>
            </w:r>
            <w:r w:rsidRPr="00150EDC">
              <w:rPr>
                <w:spacing w:val="-6"/>
                <w:sz w:val="20"/>
              </w:rPr>
              <w:t xml:space="preserve"> </w:t>
            </w:r>
            <w:r w:rsidRPr="00150EDC">
              <w:rPr>
                <w:sz w:val="20"/>
              </w:rPr>
              <w:t>1978,</w:t>
            </w:r>
            <w:r w:rsidRPr="00150EDC">
              <w:rPr>
                <w:spacing w:val="-6"/>
                <w:sz w:val="20"/>
              </w:rPr>
              <w:t xml:space="preserve"> </w:t>
            </w:r>
            <w:r w:rsidRPr="00150EDC">
              <w:rPr>
                <w:spacing w:val="-5"/>
                <w:sz w:val="20"/>
              </w:rPr>
              <w:t>s32</w:t>
            </w:r>
          </w:p>
        </w:tc>
        <w:tc>
          <w:tcPr>
            <w:tcW w:w="7427" w:type="dxa"/>
          </w:tcPr>
          <w:p w14:paraId="33BF1352" w14:textId="77777777" w:rsidR="004C7180" w:rsidRPr="00150EDC" w:rsidRDefault="00CF0754">
            <w:pPr>
              <w:pStyle w:val="TableParagraph"/>
              <w:rPr>
                <w:sz w:val="20"/>
              </w:rPr>
            </w:pPr>
            <w:r w:rsidRPr="00150EDC">
              <w:rPr>
                <w:sz w:val="20"/>
              </w:rPr>
              <w:t>Possession</w:t>
            </w:r>
            <w:r w:rsidRPr="00150EDC">
              <w:rPr>
                <w:spacing w:val="-7"/>
                <w:sz w:val="20"/>
              </w:rPr>
              <w:t xml:space="preserve"> </w:t>
            </w:r>
            <w:r w:rsidRPr="00150EDC">
              <w:rPr>
                <w:sz w:val="20"/>
              </w:rPr>
              <w:t>of</w:t>
            </w:r>
            <w:r w:rsidRPr="00150EDC">
              <w:rPr>
                <w:spacing w:val="-6"/>
                <w:sz w:val="20"/>
              </w:rPr>
              <w:t xml:space="preserve"> </w:t>
            </w:r>
            <w:r w:rsidRPr="00150EDC">
              <w:rPr>
                <w:sz w:val="20"/>
              </w:rPr>
              <w:t>items</w:t>
            </w:r>
            <w:r w:rsidRPr="00150EDC">
              <w:rPr>
                <w:spacing w:val="-5"/>
                <w:sz w:val="20"/>
              </w:rPr>
              <w:t xml:space="preserve"> </w:t>
            </w:r>
            <w:r w:rsidRPr="00150EDC">
              <w:rPr>
                <w:sz w:val="20"/>
              </w:rPr>
              <w:t>for terrorist</w:t>
            </w:r>
            <w:r w:rsidRPr="00150EDC">
              <w:rPr>
                <w:spacing w:val="-1"/>
                <w:sz w:val="20"/>
              </w:rPr>
              <w:t xml:space="preserve"> </w:t>
            </w:r>
            <w:r w:rsidRPr="00150EDC">
              <w:rPr>
                <w:spacing w:val="-2"/>
                <w:sz w:val="20"/>
              </w:rPr>
              <w:t>purposes</w:t>
            </w:r>
          </w:p>
        </w:tc>
      </w:tr>
      <w:tr w:rsidR="004569EE" w:rsidRPr="007D3144" w14:paraId="6052103A" w14:textId="77777777">
        <w:trPr>
          <w:trHeight w:val="255"/>
        </w:trPr>
        <w:tc>
          <w:tcPr>
            <w:tcW w:w="6517" w:type="dxa"/>
          </w:tcPr>
          <w:p w14:paraId="0D0CD998" w14:textId="77777777" w:rsidR="004C7180" w:rsidRPr="00150EDC" w:rsidRDefault="00CF0754">
            <w:pPr>
              <w:pStyle w:val="TableParagraph"/>
              <w:rPr>
                <w:sz w:val="20"/>
              </w:rPr>
            </w:pPr>
            <w:r w:rsidRPr="00150EDC">
              <w:rPr>
                <w:sz w:val="20"/>
              </w:rPr>
              <w:t>Northern</w:t>
            </w:r>
            <w:r w:rsidRPr="00150EDC">
              <w:rPr>
                <w:spacing w:val="-7"/>
                <w:sz w:val="20"/>
              </w:rPr>
              <w:t xml:space="preserve"> </w:t>
            </w:r>
            <w:r w:rsidRPr="00150EDC">
              <w:rPr>
                <w:sz w:val="20"/>
              </w:rPr>
              <w:t>Ireland</w:t>
            </w:r>
            <w:r w:rsidRPr="00150EDC">
              <w:rPr>
                <w:spacing w:val="-7"/>
                <w:sz w:val="20"/>
              </w:rPr>
              <w:t xml:space="preserve"> </w:t>
            </w:r>
            <w:r w:rsidRPr="00150EDC">
              <w:rPr>
                <w:sz w:val="20"/>
              </w:rPr>
              <w:t>(Emergency</w:t>
            </w:r>
            <w:r w:rsidRPr="00150EDC">
              <w:rPr>
                <w:spacing w:val="-6"/>
                <w:sz w:val="20"/>
              </w:rPr>
              <w:t xml:space="preserve"> </w:t>
            </w:r>
            <w:r w:rsidRPr="00150EDC">
              <w:rPr>
                <w:sz w:val="20"/>
              </w:rPr>
              <w:t>Provisions)</w:t>
            </w:r>
            <w:r w:rsidRPr="00150EDC">
              <w:rPr>
                <w:spacing w:val="-7"/>
                <w:sz w:val="20"/>
              </w:rPr>
              <w:t xml:space="preserve"> </w:t>
            </w:r>
            <w:r w:rsidRPr="00150EDC">
              <w:rPr>
                <w:sz w:val="20"/>
              </w:rPr>
              <w:t>Act</w:t>
            </w:r>
            <w:r w:rsidRPr="00150EDC">
              <w:rPr>
                <w:spacing w:val="-6"/>
                <w:sz w:val="20"/>
              </w:rPr>
              <w:t xml:space="preserve"> </w:t>
            </w:r>
            <w:r w:rsidRPr="00150EDC">
              <w:rPr>
                <w:sz w:val="20"/>
              </w:rPr>
              <w:t>1991,</w:t>
            </w:r>
            <w:r w:rsidRPr="00150EDC">
              <w:rPr>
                <w:spacing w:val="-6"/>
                <w:sz w:val="20"/>
              </w:rPr>
              <w:t xml:space="preserve"> </w:t>
            </w:r>
            <w:r w:rsidRPr="00150EDC">
              <w:rPr>
                <w:spacing w:val="-5"/>
                <w:sz w:val="20"/>
              </w:rPr>
              <w:t>s27</w:t>
            </w:r>
          </w:p>
        </w:tc>
        <w:tc>
          <w:tcPr>
            <w:tcW w:w="7427" w:type="dxa"/>
          </w:tcPr>
          <w:p w14:paraId="410462E0" w14:textId="77777777" w:rsidR="004C7180" w:rsidRPr="00150EDC" w:rsidRDefault="00CF0754">
            <w:pPr>
              <w:pStyle w:val="TableParagraph"/>
              <w:rPr>
                <w:sz w:val="20"/>
              </w:rPr>
            </w:pPr>
            <w:r w:rsidRPr="00150EDC">
              <w:rPr>
                <w:sz w:val="20"/>
              </w:rPr>
              <w:t>Directing</w:t>
            </w:r>
            <w:r w:rsidRPr="00150EDC">
              <w:rPr>
                <w:spacing w:val="-6"/>
                <w:sz w:val="20"/>
              </w:rPr>
              <w:t xml:space="preserve"> </w:t>
            </w:r>
            <w:r w:rsidRPr="00150EDC">
              <w:rPr>
                <w:sz w:val="20"/>
              </w:rPr>
              <w:t>activities of</w:t>
            </w:r>
            <w:r w:rsidRPr="00150EDC">
              <w:rPr>
                <w:spacing w:val="-6"/>
                <w:sz w:val="20"/>
              </w:rPr>
              <w:t xml:space="preserve"> </w:t>
            </w:r>
            <w:r w:rsidRPr="00150EDC">
              <w:rPr>
                <w:sz w:val="20"/>
              </w:rPr>
              <w:t>a</w:t>
            </w:r>
            <w:r w:rsidRPr="00150EDC">
              <w:rPr>
                <w:spacing w:val="-5"/>
                <w:sz w:val="20"/>
              </w:rPr>
              <w:t xml:space="preserve"> </w:t>
            </w:r>
            <w:r w:rsidRPr="00150EDC">
              <w:rPr>
                <w:sz w:val="20"/>
              </w:rPr>
              <w:t>terrorist</w:t>
            </w:r>
            <w:r w:rsidRPr="00150EDC">
              <w:rPr>
                <w:spacing w:val="-6"/>
                <w:sz w:val="20"/>
              </w:rPr>
              <w:t xml:space="preserve"> </w:t>
            </w:r>
            <w:r w:rsidRPr="00150EDC">
              <w:rPr>
                <w:spacing w:val="-2"/>
                <w:sz w:val="20"/>
              </w:rPr>
              <w:t>organisation</w:t>
            </w:r>
          </w:p>
        </w:tc>
      </w:tr>
      <w:tr w:rsidR="004569EE" w:rsidRPr="007D3144" w14:paraId="11015B7C" w14:textId="77777777">
        <w:trPr>
          <w:trHeight w:val="255"/>
        </w:trPr>
        <w:tc>
          <w:tcPr>
            <w:tcW w:w="6517" w:type="dxa"/>
          </w:tcPr>
          <w:p w14:paraId="47456DA4" w14:textId="77777777" w:rsidR="004C7180" w:rsidRPr="00150EDC" w:rsidRDefault="00CF0754">
            <w:pPr>
              <w:pStyle w:val="TableParagraph"/>
              <w:rPr>
                <w:sz w:val="20"/>
              </w:rPr>
            </w:pPr>
            <w:r w:rsidRPr="00150EDC">
              <w:rPr>
                <w:sz w:val="20"/>
              </w:rPr>
              <w:t>Northern</w:t>
            </w:r>
            <w:r w:rsidRPr="00150EDC">
              <w:rPr>
                <w:spacing w:val="-7"/>
                <w:sz w:val="20"/>
              </w:rPr>
              <w:t xml:space="preserve"> </w:t>
            </w:r>
            <w:r w:rsidRPr="00150EDC">
              <w:rPr>
                <w:sz w:val="20"/>
              </w:rPr>
              <w:t>Ireland</w:t>
            </w:r>
            <w:r w:rsidRPr="00150EDC">
              <w:rPr>
                <w:spacing w:val="-7"/>
                <w:sz w:val="20"/>
              </w:rPr>
              <w:t xml:space="preserve"> </w:t>
            </w:r>
            <w:r w:rsidRPr="00150EDC">
              <w:rPr>
                <w:sz w:val="20"/>
              </w:rPr>
              <w:t>(Emergency</w:t>
            </w:r>
            <w:r w:rsidRPr="00150EDC">
              <w:rPr>
                <w:spacing w:val="-6"/>
                <w:sz w:val="20"/>
              </w:rPr>
              <w:t xml:space="preserve"> </w:t>
            </w:r>
            <w:r w:rsidRPr="00150EDC">
              <w:rPr>
                <w:sz w:val="20"/>
              </w:rPr>
              <w:t>Provisions)</w:t>
            </w:r>
            <w:r w:rsidRPr="00150EDC">
              <w:rPr>
                <w:spacing w:val="-7"/>
                <w:sz w:val="20"/>
              </w:rPr>
              <w:t xml:space="preserve"> </w:t>
            </w:r>
            <w:r w:rsidRPr="00150EDC">
              <w:rPr>
                <w:sz w:val="20"/>
              </w:rPr>
              <w:t>Act</w:t>
            </w:r>
            <w:r w:rsidRPr="00150EDC">
              <w:rPr>
                <w:spacing w:val="-6"/>
                <w:sz w:val="20"/>
              </w:rPr>
              <w:t xml:space="preserve"> </w:t>
            </w:r>
            <w:r w:rsidRPr="00150EDC">
              <w:rPr>
                <w:sz w:val="20"/>
              </w:rPr>
              <w:t>1991,</w:t>
            </w:r>
            <w:r w:rsidRPr="00150EDC">
              <w:rPr>
                <w:spacing w:val="-6"/>
                <w:sz w:val="20"/>
              </w:rPr>
              <w:t xml:space="preserve"> </w:t>
            </w:r>
            <w:r w:rsidRPr="00150EDC">
              <w:rPr>
                <w:spacing w:val="-5"/>
                <w:sz w:val="20"/>
              </w:rPr>
              <w:t>s30</w:t>
            </w:r>
          </w:p>
        </w:tc>
        <w:tc>
          <w:tcPr>
            <w:tcW w:w="7427" w:type="dxa"/>
          </w:tcPr>
          <w:p w14:paraId="4D8C0DFC" w14:textId="77777777" w:rsidR="004C7180" w:rsidRPr="00150EDC" w:rsidRDefault="00CF0754">
            <w:pPr>
              <w:pStyle w:val="TableParagraph"/>
              <w:rPr>
                <w:sz w:val="20"/>
              </w:rPr>
            </w:pPr>
            <w:r w:rsidRPr="00150EDC">
              <w:rPr>
                <w:sz w:val="20"/>
              </w:rPr>
              <w:t>Possession</w:t>
            </w:r>
            <w:r w:rsidRPr="00150EDC">
              <w:rPr>
                <w:spacing w:val="-7"/>
                <w:sz w:val="20"/>
              </w:rPr>
              <w:t xml:space="preserve"> </w:t>
            </w:r>
            <w:r w:rsidRPr="00150EDC">
              <w:rPr>
                <w:sz w:val="20"/>
              </w:rPr>
              <w:t>of</w:t>
            </w:r>
            <w:r w:rsidRPr="00150EDC">
              <w:rPr>
                <w:spacing w:val="-6"/>
                <w:sz w:val="20"/>
              </w:rPr>
              <w:t xml:space="preserve"> </w:t>
            </w:r>
            <w:r w:rsidRPr="00150EDC">
              <w:rPr>
                <w:sz w:val="20"/>
              </w:rPr>
              <w:t>items</w:t>
            </w:r>
            <w:r w:rsidRPr="00150EDC">
              <w:rPr>
                <w:spacing w:val="-5"/>
                <w:sz w:val="20"/>
              </w:rPr>
              <w:t xml:space="preserve"> </w:t>
            </w:r>
            <w:r w:rsidRPr="00150EDC">
              <w:rPr>
                <w:sz w:val="20"/>
              </w:rPr>
              <w:t>for</w:t>
            </w:r>
            <w:r w:rsidRPr="00150EDC">
              <w:rPr>
                <w:spacing w:val="-2"/>
                <w:sz w:val="20"/>
              </w:rPr>
              <w:t xml:space="preserve"> </w:t>
            </w:r>
            <w:r w:rsidRPr="00150EDC">
              <w:rPr>
                <w:sz w:val="20"/>
              </w:rPr>
              <w:t>terrorist</w:t>
            </w:r>
            <w:r w:rsidRPr="00150EDC">
              <w:rPr>
                <w:spacing w:val="-1"/>
                <w:sz w:val="20"/>
              </w:rPr>
              <w:t xml:space="preserve"> </w:t>
            </w:r>
            <w:r w:rsidRPr="00150EDC">
              <w:rPr>
                <w:spacing w:val="-2"/>
                <w:sz w:val="20"/>
              </w:rPr>
              <w:t>purposes</w:t>
            </w:r>
          </w:p>
        </w:tc>
      </w:tr>
      <w:tr w:rsidR="004569EE" w:rsidRPr="007D3144" w14:paraId="6E8F9165" w14:textId="77777777">
        <w:trPr>
          <w:trHeight w:val="255"/>
        </w:trPr>
        <w:tc>
          <w:tcPr>
            <w:tcW w:w="6517" w:type="dxa"/>
          </w:tcPr>
          <w:p w14:paraId="7C1F5CD7" w14:textId="77777777" w:rsidR="004C7180" w:rsidRPr="00150EDC" w:rsidRDefault="00CF0754">
            <w:pPr>
              <w:pStyle w:val="TableParagraph"/>
              <w:spacing w:before="28"/>
              <w:rPr>
                <w:sz w:val="20"/>
              </w:rPr>
            </w:pPr>
            <w:r w:rsidRPr="00150EDC">
              <w:rPr>
                <w:sz w:val="20"/>
              </w:rPr>
              <w:t>Northern</w:t>
            </w:r>
            <w:r w:rsidRPr="00150EDC">
              <w:rPr>
                <w:spacing w:val="-7"/>
                <w:sz w:val="20"/>
              </w:rPr>
              <w:t xml:space="preserve"> </w:t>
            </w:r>
            <w:r w:rsidRPr="00150EDC">
              <w:rPr>
                <w:sz w:val="20"/>
              </w:rPr>
              <w:t>Ireland</w:t>
            </w:r>
            <w:r w:rsidRPr="00150EDC">
              <w:rPr>
                <w:spacing w:val="-6"/>
                <w:sz w:val="20"/>
              </w:rPr>
              <w:t xml:space="preserve"> </w:t>
            </w:r>
            <w:r w:rsidRPr="00150EDC">
              <w:rPr>
                <w:sz w:val="20"/>
              </w:rPr>
              <w:t>(Emergency</w:t>
            </w:r>
            <w:r w:rsidRPr="00150EDC">
              <w:rPr>
                <w:spacing w:val="-5"/>
                <w:sz w:val="20"/>
              </w:rPr>
              <w:t xml:space="preserve"> </w:t>
            </w:r>
            <w:r w:rsidRPr="00150EDC">
              <w:rPr>
                <w:sz w:val="20"/>
              </w:rPr>
              <w:t>Provisions)</w:t>
            </w:r>
            <w:r w:rsidRPr="00150EDC">
              <w:rPr>
                <w:spacing w:val="-7"/>
                <w:sz w:val="20"/>
              </w:rPr>
              <w:t xml:space="preserve"> </w:t>
            </w:r>
            <w:r w:rsidRPr="00150EDC">
              <w:rPr>
                <w:sz w:val="20"/>
              </w:rPr>
              <w:t>Act</w:t>
            </w:r>
            <w:r w:rsidRPr="00150EDC">
              <w:rPr>
                <w:spacing w:val="-6"/>
                <w:sz w:val="20"/>
              </w:rPr>
              <w:t xml:space="preserve"> </w:t>
            </w:r>
            <w:r w:rsidRPr="00150EDC">
              <w:rPr>
                <w:sz w:val="20"/>
              </w:rPr>
              <w:t>1991,</w:t>
            </w:r>
            <w:r w:rsidRPr="00150EDC">
              <w:rPr>
                <w:spacing w:val="-6"/>
                <w:sz w:val="20"/>
              </w:rPr>
              <w:t xml:space="preserve"> </w:t>
            </w:r>
            <w:r w:rsidRPr="00150EDC">
              <w:rPr>
                <w:spacing w:val="-5"/>
                <w:sz w:val="20"/>
              </w:rPr>
              <w:t>s32</w:t>
            </w:r>
          </w:p>
        </w:tc>
        <w:tc>
          <w:tcPr>
            <w:tcW w:w="7427" w:type="dxa"/>
          </w:tcPr>
          <w:p w14:paraId="5A39982B" w14:textId="77777777" w:rsidR="004C7180" w:rsidRPr="00150EDC" w:rsidRDefault="00CF0754">
            <w:pPr>
              <w:pStyle w:val="TableParagraph"/>
              <w:spacing w:before="28"/>
              <w:rPr>
                <w:sz w:val="20"/>
              </w:rPr>
            </w:pPr>
            <w:r w:rsidRPr="00150EDC">
              <w:rPr>
                <w:sz w:val="20"/>
              </w:rPr>
              <w:t>Training</w:t>
            </w:r>
            <w:r w:rsidRPr="00150EDC">
              <w:rPr>
                <w:spacing w:val="-5"/>
                <w:sz w:val="20"/>
              </w:rPr>
              <w:t xml:space="preserve"> </w:t>
            </w:r>
            <w:r w:rsidRPr="00150EDC">
              <w:rPr>
                <w:sz w:val="20"/>
              </w:rPr>
              <w:t>in</w:t>
            </w:r>
            <w:r w:rsidRPr="00150EDC">
              <w:rPr>
                <w:spacing w:val="-4"/>
                <w:sz w:val="20"/>
              </w:rPr>
              <w:t xml:space="preserve"> </w:t>
            </w:r>
            <w:r w:rsidRPr="00150EDC">
              <w:rPr>
                <w:sz w:val="20"/>
              </w:rPr>
              <w:t>making</w:t>
            </w:r>
            <w:r w:rsidRPr="00150EDC">
              <w:rPr>
                <w:spacing w:val="-5"/>
                <w:sz w:val="20"/>
              </w:rPr>
              <w:t xml:space="preserve"> </w:t>
            </w:r>
            <w:r w:rsidRPr="00150EDC">
              <w:rPr>
                <w:sz w:val="20"/>
              </w:rPr>
              <w:t>or</w:t>
            </w:r>
            <w:r w:rsidRPr="00150EDC">
              <w:rPr>
                <w:spacing w:val="1"/>
                <w:sz w:val="20"/>
              </w:rPr>
              <w:t xml:space="preserve"> </w:t>
            </w:r>
            <w:r w:rsidRPr="00150EDC">
              <w:rPr>
                <w:sz w:val="20"/>
              </w:rPr>
              <w:t>use</w:t>
            </w:r>
            <w:r w:rsidRPr="00150EDC">
              <w:rPr>
                <w:spacing w:val="-5"/>
                <w:sz w:val="20"/>
              </w:rPr>
              <w:t xml:space="preserve"> </w:t>
            </w:r>
            <w:r w:rsidRPr="00150EDC">
              <w:rPr>
                <w:sz w:val="20"/>
              </w:rPr>
              <w:t>of</w:t>
            </w:r>
            <w:r w:rsidRPr="00150EDC">
              <w:rPr>
                <w:spacing w:val="-4"/>
                <w:sz w:val="20"/>
              </w:rPr>
              <w:t xml:space="preserve"> </w:t>
            </w:r>
            <w:r w:rsidRPr="00150EDC">
              <w:rPr>
                <w:sz w:val="20"/>
              </w:rPr>
              <w:t>firearms</w:t>
            </w:r>
            <w:r w:rsidRPr="00150EDC">
              <w:rPr>
                <w:spacing w:val="1"/>
                <w:sz w:val="20"/>
              </w:rPr>
              <w:t xml:space="preserve"> </w:t>
            </w:r>
            <w:r w:rsidRPr="00150EDC">
              <w:rPr>
                <w:sz w:val="20"/>
              </w:rPr>
              <w:t>or</w:t>
            </w:r>
            <w:r w:rsidRPr="00150EDC">
              <w:rPr>
                <w:spacing w:val="-4"/>
                <w:sz w:val="20"/>
              </w:rPr>
              <w:t xml:space="preserve"> </w:t>
            </w:r>
            <w:r w:rsidRPr="00150EDC">
              <w:rPr>
                <w:spacing w:val="-2"/>
                <w:sz w:val="20"/>
              </w:rPr>
              <w:t>explosives</w:t>
            </w:r>
          </w:p>
        </w:tc>
      </w:tr>
      <w:tr w:rsidR="004569EE" w:rsidRPr="007D3144" w14:paraId="6563429E" w14:textId="77777777">
        <w:trPr>
          <w:trHeight w:val="255"/>
        </w:trPr>
        <w:tc>
          <w:tcPr>
            <w:tcW w:w="6517" w:type="dxa"/>
          </w:tcPr>
          <w:p w14:paraId="14C9BF7D" w14:textId="77777777" w:rsidR="004C7180" w:rsidRPr="00150EDC" w:rsidRDefault="00CF0754">
            <w:pPr>
              <w:pStyle w:val="TableParagraph"/>
              <w:rPr>
                <w:sz w:val="20"/>
              </w:rPr>
            </w:pPr>
            <w:r w:rsidRPr="00150EDC">
              <w:rPr>
                <w:sz w:val="20"/>
              </w:rPr>
              <w:t>Northern</w:t>
            </w:r>
            <w:r w:rsidRPr="00150EDC">
              <w:rPr>
                <w:spacing w:val="-7"/>
                <w:sz w:val="20"/>
              </w:rPr>
              <w:t xml:space="preserve"> </w:t>
            </w:r>
            <w:r w:rsidRPr="00150EDC">
              <w:rPr>
                <w:sz w:val="20"/>
              </w:rPr>
              <w:t>Ireland</w:t>
            </w:r>
            <w:r w:rsidRPr="00150EDC">
              <w:rPr>
                <w:spacing w:val="-7"/>
                <w:sz w:val="20"/>
              </w:rPr>
              <w:t xml:space="preserve"> </w:t>
            </w:r>
            <w:r w:rsidRPr="00150EDC">
              <w:rPr>
                <w:sz w:val="20"/>
              </w:rPr>
              <w:t>(Emergency</w:t>
            </w:r>
            <w:r w:rsidRPr="00150EDC">
              <w:rPr>
                <w:spacing w:val="-6"/>
                <w:sz w:val="20"/>
              </w:rPr>
              <w:t xml:space="preserve"> </w:t>
            </w:r>
            <w:r w:rsidRPr="00150EDC">
              <w:rPr>
                <w:sz w:val="20"/>
              </w:rPr>
              <w:t>Provisions)</w:t>
            </w:r>
            <w:r w:rsidRPr="00150EDC">
              <w:rPr>
                <w:spacing w:val="-7"/>
                <w:sz w:val="20"/>
              </w:rPr>
              <w:t xml:space="preserve"> </w:t>
            </w:r>
            <w:r w:rsidRPr="00150EDC">
              <w:rPr>
                <w:sz w:val="20"/>
              </w:rPr>
              <w:t>Act</w:t>
            </w:r>
            <w:r w:rsidRPr="00150EDC">
              <w:rPr>
                <w:spacing w:val="-6"/>
                <w:sz w:val="20"/>
              </w:rPr>
              <w:t xml:space="preserve"> </w:t>
            </w:r>
            <w:r w:rsidRPr="00150EDC">
              <w:rPr>
                <w:sz w:val="20"/>
              </w:rPr>
              <w:t>1996,</w:t>
            </w:r>
            <w:r w:rsidRPr="00150EDC">
              <w:rPr>
                <w:spacing w:val="-6"/>
                <w:sz w:val="20"/>
              </w:rPr>
              <w:t xml:space="preserve"> </w:t>
            </w:r>
            <w:r w:rsidRPr="00150EDC">
              <w:rPr>
                <w:spacing w:val="-5"/>
                <w:sz w:val="20"/>
              </w:rPr>
              <w:t>s29</w:t>
            </w:r>
          </w:p>
        </w:tc>
        <w:tc>
          <w:tcPr>
            <w:tcW w:w="7427" w:type="dxa"/>
          </w:tcPr>
          <w:p w14:paraId="1AC3D230" w14:textId="77777777" w:rsidR="004C7180" w:rsidRPr="00150EDC" w:rsidRDefault="00CF0754">
            <w:pPr>
              <w:pStyle w:val="TableParagraph"/>
              <w:rPr>
                <w:sz w:val="20"/>
              </w:rPr>
            </w:pPr>
            <w:r w:rsidRPr="00150EDC">
              <w:rPr>
                <w:sz w:val="20"/>
              </w:rPr>
              <w:t>Directing</w:t>
            </w:r>
            <w:r w:rsidRPr="00150EDC">
              <w:rPr>
                <w:spacing w:val="-6"/>
                <w:sz w:val="20"/>
              </w:rPr>
              <w:t xml:space="preserve"> </w:t>
            </w:r>
            <w:r w:rsidRPr="00150EDC">
              <w:rPr>
                <w:sz w:val="20"/>
              </w:rPr>
              <w:t>activities of</w:t>
            </w:r>
            <w:r w:rsidRPr="00150EDC">
              <w:rPr>
                <w:spacing w:val="-6"/>
                <w:sz w:val="20"/>
              </w:rPr>
              <w:t xml:space="preserve"> </w:t>
            </w:r>
            <w:r w:rsidRPr="00150EDC">
              <w:rPr>
                <w:sz w:val="20"/>
              </w:rPr>
              <w:t>a</w:t>
            </w:r>
            <w:r w:rsidRPr="00150EDC">
              <w:rPr>
                <w:spacing w:val="-5"/>
                <w:sz w:val="20"/>
              </w:rPr>
              <w:t xml:space="preserve"> </w:t>
            </w:r>
            <w:r w:rsidRPr="00150EDC">
              <w:rPr>
                <w:sz w:val="20"/>
              </w:rPr>
              <w:t>terrorist</w:t>
            </w:r>
            <w:r w:rsidRPr="00150EDC">
              <w:rPr>
                <w:spacing w:val="-6"/>
                <w:sz w:val="20"/>
              </w:rPr>
              <w:t xml:space="preserve"> </w:t>
            </w:r>
            <w:r w:rsidRPr="00150EDC">
              <w:rPr>
                <w:spacing w:val="-2"/>
                <w:sz w:val="20"/>
              </w:rPr>
              <w:t>organisation</w:t>
            </w:r>
          </w:p>
        </w:tc>
      </w:tr>
      <w:tr w:rsidR="004569EE" w:rsidRPr="007D3144" w14:paraId="54085B7F" w14:textId="77777777">
        <w:trPr>
          <w:trHeight w:val="255"/>
        </w:trPr>
        <w:tc>
          <w:tcPr>
            <w:tcW w:w="6517" w:type="dxa"/>
          </w:tcPr>
          <w:p w14:paraId="2BFF96AB" w14:textId="77777777" w:rsidR="004C7180" w:rsidRPr="00150EDC" w:rsidRDefault="00CF0754">
            <w:pPr>
              <w:pStyle w:val="TableParagraph"/>
              <w:rPr>
                <w:sz w:val="20"/>
              </w:rPr>
            </w:pPr>
            <w:r w:rsidRPr="00150EDC">
              <w:rPr>
                <w:sz w:val="20"/>
              </w:rPr>
              <w:t>Northern</w:t>
            </w:r>
            <w:r w:rsidRPr="00150EDC">
              <w:rPr>
                <w:spacing w:val="-7"/>
                <w:sz w:val="20"/>
              </w:rPr>
              <w:t xml:space="preserve"> </w:t>
            </w:r>
            <w:r w:rsidRPr="00150EDC">
              <w:rPr>
                <w:sz w:val="20"/>
              </w:rPr>
              <w:t>Ireland</w:t>
            </w:r>
            <w:r w:rsidRPr="00150EDC">
              <w:rPr>
                <w:spacing w:val="-7"/>
                <w:sz w:val="20"/>
              </w:rPr>
              <w:t xml:space="preserve"> </w:t>
            </w:r>
            <w:r w:rsidRPr="00150EDC">
              <w:rPr>
                <w:sz w:val="20"/>
              </w:rPr>
              <w:t>(Emergency</w:t>
            </w:r>
            <w:r w:rsidRPr="00150EDC">
              <w:rPr>
                <w:spacing w:val="-6"/>
                <w:sz w:val="20"/>
              </w:rPr>
              <w:t xml:space="preserve"> </w:t>
            </w:r>
            <w:r w:rsidRPr="00150EDC">
              <w:rPr>
                <w:sz w:val="20"/>
              </w:rPr>
              <w:t>Provisions)</w:t>
            </w:r>
            <w:r w:rsidRPr="00150EDC">
              <w:rPr>
                <w:spacing w:val="-7"/>
                <w:sz w:val="20"/>
              </w:rPr>
              <w:t xml:space="preserve"> </w:t>
            </w:r>
            <w:r w:rsidRPr="00150EDC">
              <w:rPr>
                <w:sz w:val="20"/>
              </w:rPr>
              <w:t>Act</w:t>
            </w:r>
            <w:r w:rsidRPr="00150EDC">
              <w:rPr>
                <w:spacing w:val="-6"/>
                <w:sz w:val="20"/>
              </w:rPr>
              <w:t xml:space="preserve"> </w:t>
            </w:r>
            <w:r w:rsidRPr="00150EDC">
              <w:rPr>
                <w:sz w:val="20"/>
              </w:rPr>
              <w:t>1996,</w:t>
            </w:r>
            <w:r w:rsidRPr="00150EDC">
              <w:rPr>
                <w:spacing w:val="-6"/>
                <w:sz w:val="20"/>
              </w:rPr>
              <w:t xml:space="preserve"> </w:t>
            </w:r>
            <w:r w:rsidRPr="00150EDC">
              <w:rPr>
                <w:spacing w:val="-5"/>
                <w:sz w:val="20"/>
              </w:rPr>
              <w:t>s32</w:t>
            </w:r>
          </w:p>
        </w:tc>
        <w:tc>
          <w:tcPr>
            <w:tcW w:w="7427" w:type="dxa"/>
          </w:tcPr>
          <w:p w14:paraId="0743EDD9" w14:textId="77777777" w:rsidR="004C7180" w:rsidRPr="00150EDC" w:rsidRDefault="00CF0754">
            <w:pPr>
              <w:pStyle w:val="TableParagraph"/>
              <w:rPr>
                <w:sz w:val="20"/>
              </w:rPr>
            </w:pPr>
            <w:r w:rsidRPr="00150EDC">
              <w:rPr>
                <w:sz w:val="20"/>
              </w:rPr>
              <w:t>Possession</w:t>
            </w:r>
            <w:r w:rsidRPr="00150EDC">
              <w:rPr>
                <w:spacing w:val="-7"/>
                <w:sz w:val="20"/>
              </w:rPr>
              <w:t xml:space="preserve"> </w:t>
            </w:r>
            <w:r w:rsidRPr="00150EDC">
              <w:rPr>
                <w:sz w:val="20"/>
              </w:rPr>
              <w:t>of</w:t>
            </w:r>
            <w:r w:rsidRPr="00150EDC">
              <w:rPr>
                <w:spacing w:val="-6"/>
                <w:sz w:val="20"/>
              </w:rPr>
              <w:t xml:space="preserve"> </w:t>
            </w:r>
            <w:r w:rsidRPr="00150EDC">
              <w:rPr>
                <w:sz w:val="20"/>
              </w:rPr>
              <w:t>items</w:t>
            </w:r>
            <w:r w:rsidRPr="00150EDC">
              <w:rPr>
                <w:spacing w:val="-5"/>
                <w:sz w:val="20"/>
              </w:rPr>
              <w:t xml:space="preserve"> </w:t>
            </w:r>
            <w:r w:rsidRPr="00150EDC">
              <w:rPr>
                <w:sz w:val="20"/>
              </w:rPr>
              <w:t>for</w:t>
            </w:r>
            <w:r w:rsidRPr="00150EDC">
              <w:rPr>
                <w:spacing w:val="-2"/>
                <w:sz w:val="20"/>
              </w:rPr>
              <w:t xml:space="preserve"> </w:t>
            </w:r>
            <w:r w:rsidRPr="00150EDC">
              <w:rPr>
                <w:sz w:val="20"/>
              </w:rPr>
              <w:t>terrorist</w:t>
            </w:r>
            <w:r w:rsidRPr="00150EDC">
              <w:rPr>
                <w:spacing w:val="-1"/>
                <w:sz w:val="20"/>
              </w:rPr>
              <w:t xml:space="preserve"> </w:t>
            </w:r>
            <w:r w:rsidRPr="00150EDC">
              <w:rPr>
                <w:spacing w:val="-2"/>
                <w:sz w:val="20"/>
              </w:rPr>
              <w:t>purposes</w:t>
            </w:r>
          </w:p>
        </w:tc>
      </w:tr>
      <w:tr w:rsidR="004569EE" w:rsidRPr="007D3144" w14:paraId="728425B7" w14:textId="77777777">
        <w:trPr>
          <w:trHeight w:val="255"/>
        </w:trPr>
        <w:tc>
          <w:tcPr>
            <w:tcW w:w="6517" w:type="dxa"/>
          </w:tcPr>
          <w:p w14:paraId="5FAB03C8" w14:textId="77777777" w:rsidR="004C7180" w:rsidRPr="00150EDC" w:rsidRDefault="00CF0754">
            <w:pPr>
              <w:pStyle w:val="TableParagraph"/>
              <w:rPr>
                <w:sz w:val="20"/>
              </w:rPr>
            </w:pPr>
            <w:r w:rsidRPr="00150EDC">
              <w:rPr>
                <w:sz w:val="20"/>
              </w:rPr>
              <w:t>Northern</w:t>
            </w:r>
            <w:r w:rsidRPr="00150EDC">
              <w:rPr>
                <w:spacing w:val="-7"/>
                <w:sz w:val="20"/>
              </w:rPr>
              <w:t xml:space="preserve"> </w:t>
            </w:r>
            <w:r w:rsidRPr="00150EDC">
              <w:rPr>
                <w:sz w:val="20"/>
              </w:rPr>
              <w:t>Ireland</w:t>
            </w:r>
            <w:r w:rsidRPr="00150EDC">
              <w:rPr>
                <w:spacing w:val="-7"/>
                <w:sz w:val="20"/>
              </w:rPr>
              <w:t xml:space="preserve"> </w:t>
            </w:r>
            <w:r w:rsidRPr="00150EDC">
              <w:rPr>
                <w:sz w:val="20"/>
              </w:rPr>
              <w:t>(Emergency</w:t>
            </w:r>
            <w:r w:rsidRPr="00150EDC">
              <w:rPr>
                <w:spacing w:val="-6"/>
                <w:sz w:val="20"/>
              </w:rPr>
              <w:t xml:space="preserve"> </w:t>
            </w:r>
            <w:r w:rsidRPr="00150EDC">
              <w:rPr>
                <w:sz w:val="20"/>
              </w:rPr>
              <w:t>Provisions)</w:t>
            </w:r>
            <w:r w:rsidRPr="00150EDC">
              <w:rPr>
                <w:spacing w:val="-7"/>
                <w:sz w:val="20"/>
              </w:rPr>
              <w:t xml:space="preserve"> </w:t>
            </w:r>
            <w:r w:rsidRPr="00150EDC">
              <w:rPr>
                <w:sz w:val="20"/>
              </w:rPr>
              <w:t>Act</w:t>
            </w:r>
            <w:r w:rsidRPr="00150EDC">
              <w:rPr>
                <w:spacing w:val="-6"/>
                <w:sz w:val="20"/>
              </w:rPr>
              <w:t xml:space="preserve"> </w:t>
            </w:r>
            <w:r w:rsidRPr="00150EDC">
              <w:rPr>
                <w:sz w:val="20"/>
              </w:rPr>
              <w:t>1996,</w:t>
            </w:r>
            <w:r w:rsidRPr="00150EDC">
              <w:rPr>
                <w:spacing w:val="-6"/>
                <w:sz w:val="20"/>
              </w:rPr>
              <w:t xml:space="preserve"> </w:t>
            </w:r>
            <w:r w:rsidRPr="00150EDC">
              <w:rPr>
                <w:spacing w:val="-5"/>
                <w:sz w:val="20"/>
              </w:rPr>
              <w:t>s34</w:t>
            </w:r>
          </w:p>
        </w:tc>
        <w:tc>
          <w:tcPr>
            <w:tcW w:w="7427" w:type="dxa"/>
          </w:tcPr>
          <w:p w14:paraId="3EBCF808" w14:textId="77777777" w:rsidR="004C7180" w:rsidRPr="00150EDC" w:rsidRDefault="00CF0754">
            <w:pPr>
              <w:pStyle w:val="TableParagraph"/>
              <w:rPr>
                <w:sz w:val="20"/>
              </w:rPr>
            </w:pPr>
            <w:r w:rsidRPr="00150EDC">
              <w:rPr>
                <w:sz w:val="20"/>
              </w:rPr>
              <w:t>Training</w:t>
            </w:r>
            <w:r w:rsidRPr="00150EDC">
              <w:rPr>
                <w:spacing w:val="-5"/>
                <w:sz w:val="20"/>
              </w:rPr>
              <w:t xml:space="preserve"> </w:t>
            </w:r>
            <w:r w:rsidRPr="00150EDC">
              <w:rPr>
                <w:sz w:val="20"/>
              </w:rPr>
              <w:t>in</w:t>
            </w:r>
            <w:r w:rsidRPr="00150EDC">
              <w:rPr>
                <w:spacing w:val="-4"/>
                <w:sz w:val="20"/>
              </w:rPr>
              <w:t xml:space="preserve"> </w:t>
            </w:r>
            <w:r w:rsidRPr="00150EDC">
              <w:rPr>
                <w:sz w:val="20"/>
              </w:rPr>
              <w:t>making</w:t>
            </w:r>
            <w:r w:rsidRPr="00150EDC">
              <w:rPr>
                <w:spacing w:val="-5"/>
                <w:sz w:val="20"/>
              </w:rPr>
              <w:t xml:space="preserve"> </w:t>
            </w:r>
            <w:r w:rsidRPr="00150EDC">
              <w:rPr>
                <w:sz w:val="20"/>
              </w:rPr>
              <w:t>or</w:t>
            </w:r>
            <w:r w:rsidRPr="00150EDC">
              <w:rPr>
                <w:spacing w:val="1"/>
                <w:sz w:val="20"/>
              </w:rPr>
              <w:t xml:space="preserve"> </w:t>
            </w:r>
            <w:r w:rsidRPr="00150EDC">
              <w:rPr>
                <w:sz w:val="20"/>
              </w:rPr>
              <w:t>use</w:t>
            </w:r>
            <w:r w:rsidRPr="00150EDC">
              <w:rPr>
                <w:spacing w:val="-5"/>
                <w:sz w:val="20"/>
              </w:rPr>
              <w:t xml:space="preserve"> </w:t>
            </w:r>
            <w:r w:rsidRPr="00150EDC">
              <w:rPr>
                <w:sz w:val="20"/>
              </w:rPr>
              <w:t>of</w:t>
            </w:r>
            <w:r w:rsidRPr="00150EDC">
              <w:rPr>
                <w:spacing w:val="-4"/>
                <w:sz w:val="20"/>
              </w:rPr>
              <w:t xml:space="preserve"> </w:t>
            </w:r>
            <w:r w:rsidRPr="00150EDC">
              <w:rPr>
                <w:sz w:val="20"/>
              </w:rPr>
              <w:t>firearms</w:t>
            </w:r>
            <w:r w:rsidRPr="00150EDC">
              <w:rPr>
                <w:spacing w:val="1"/>
                <w:sz w:val="20"/>
              </w:rPr>
              <w:t xml:space="preserve"> </w:t>
            </w:r>
            <w:r w:rsidRPr="00150EDC">
              <w:rPr>
                <w:sz w:val="20"/>
              </w:rPr>
              <w:t>or</w:t>
            </w:r>
            <w:r w:rsidRPr="00150EDC">
              <w:rPr>
                <w:spacing w:val="-4"/>
                <w:sz w:val="20"/>
              </w:rPr>
              <w:t xml:space="preserve"> </w:t>
            </w:r>
            <w:r w:rsidRPr="00150EDC">
              <w:rPr>
                <w:spacing w:val="-2"/>
                <w:sz w:val="20"/>
              </w:rPr>
              <w:t>explosives</w:t>
            </w:r>
          </w:p>
        </w:tc>
      </w:tr>
      <w:tr w:rsidR="004569EE" w:rsidRPr="007D3144" w14:paraId="6CD08151" w14:textId="77777777">
        <w:trPr>
          <w:trHeight w:val="460"/>
        </w:trPr>
        <w:tc>
          <w:tcPr>
            <w:tcW w:w="6517" w:type="dxa"/>
          </w:tcPr>
          <w:p w14:paraId="52A7E360" w14:textId="77777777" w:rsidR="004C7180" w:rsidRPr="00150EDC" w:rsidRDefault="004C7180">
            <w:pPr>
              <w:pStyle w:val="TableParagraph"/>
              <w:spacing w:before="2" w:line="240" w:lineRule="auto"/>
              <w:ind w:left="0"/>
              <w:rPr>
                <w:sz w:val="20"/>
              </w:rPr>
            </w:pPr>
          </w:p>
          <w:p w14:paraId="0DCACA7F" w14:textId="77777777" w:rsidR="004C7180" w:rsidRPr="00150EDC" w:rsidRDefault="00CF0754">
            <w:pPr>
              <w:pStyle w:val="TableParagraph"/>
              <w:spacing w:before="1"/>
              <w:rPr>
                <w:sz w:val="20"/>
              </w:rPr>
            </w:pPr>
            <w:r w:rsidRPr="00150EDC">
              <w:rPr>
                <w:sz w:val="20"/>
              </w:rPr>
              <w:t>Nuclear</w:t>
            </w:r>
            <w:r w:rsidRPr="00150EDC">
              <w:rPr>
                <w:spacing w:val="-8"/>
                <w:sz w:val="20"/>
              </w:rPr>
              <w:t xml:space="preserve"> </w:t>
            </w:r>
            <w:r w:rsidRPr="00150EDC">
              <w:rPr>
                <w:sz w:val="20"/>
              </w:rPr>
              <w:t>Material</w:t>
            </w:r>
            <w:r w:rsidRPr="00150EDC">
              <w:rPr>
                <w:spacing w:val="-3"/>
                <w:sz w:val="20"/>
              </w:rPr>
              <w:t xml:space="preserve"> </w:t>
            </w:r>
            <w:r w:rsidRPr="00150EDC">
              <w:rPr>
                <w:sz w:val="20"/>
              </w:rPr>
              <w:t>(Offences)</w:t>
            </w:r>
            <w:r w:rsidRPr="00150EDC">
              <w:rPr>
                <w:spacing w:val="-8"/>
                <w:sz w:val="20"/>
              </w:rPr>
              <w:t xml:space="preserve"> </w:t>
            </w:r>
            <w:r w:rsidRPr="00150EDC">
              <w:rPr>
                <w:sz w:val="20"/>
              </w:rPr>
              <w:t>Act</w:t>
            </w:r>
            <w:r w:rsidRPr="00150EDC">
              <w:rPr>
                <w:spacing w:val="-7"/>
                <w:sz w:val="20"/>
              </w:rPr>
              <w:t xml:space="preserve"> </w:t>
            </w:r>
            <w:r w:rsidRPr="00150EDC">
              <w:rPr>
                <w:sz w:val="20"/>
              </w:rPr>
              <w:t>1983,</w:t>
            </w:r>
            <w:r w:rsidRPr="00150EDC">
              <w:rPr>
                <w:spacing w:val="-7"/>
                <w:sz w:val="20"/>
              </w:rPr>
              <w:t xml:space="preserve"> </w:t>
            </w:r>
            <w:r w:rsidRPr="00150EDC">
              <w:rPr>
                <w:spacing w:val="-5"/>
                <w:sz w:val="20"/>
              </w:rPr>
              <w:t>s1</w:t>
            </w:r>
          </w:p>
        </w:tc>
        <w:tc>
          <w:tcPr>
            <w:tcW w:w="7427" w:type="dxa"/>
          </w:tcPr>
          <w:p w14:paraId="37C71DD7" w14:textId="77777777" w:rsidR="004C7180" w:rsidRPr="00150EDC" w:rsidRDefault="00CF0754">
            <w:pPr>
              <w:pStyle w:val="TableParagraph"/>
              <w:spacing w:before="0" w:line="230" w:lineRule="atLeast"/>
              <w:rPr>
                <w:sz w:val="20"/>
              </w:rPr>
            </w:pPr>
            <w:r w:rsidRPr="00150EDC">
              <w:rPr>
                <w:sz w:val="20"/>
              </w:rPr>
              <w:t>Offences</w:t>
            </w:r>
            <w:r w:rsidRPr="00150EDC">
              <w:rPr>
                <w:spacing w:val="-4"/>
                <w:sz w:val="20"/>
              </w:rPr>
              <w:t xml:space="preserve"> </w:t>
            </w:r>
            <w:r w:rsidRPr="00150EDC">
              <w:rPr>
                <w:sz w:val="20"/>
              </w:rPr>
              <w:t>committed</w:t>
            </w:r>
            <w:r w:rsidRPr="00150EDC">
              <w:rPr>
                <w:spacing w:val="-5"/>
                <w:sz w:val="20"/>
              </w:rPr>
              <w:t xml:space="preserve"> </w:t>
            </w:r>
            <w:r w:rsidRPr="00150EDC">
              <w:rPr>
                <w:sz w:val="20"/>
              </w:rPr>
              <w:t>outside</w:t>
            </w:r>
            <w:r w:rsidRPr="00150EDC">
              <w:rPr>
                <w:spacing w:val="-5"/>
                <w:sz w:val="20"/>
              </w:rPr>
              <w:t xml:space="preserve"> </w:t>
            </w:r>
            <w:r w:rsidRPr="00150EDC">
              <w:rPr>
                <w:sz w:val="20"/>
              </w:rPr>
              <w:t>the</w:t>
            </w:r>
            <w:r w:rsidRPr="00150EDC">
              <w:rPr>
                <w:spacing w:val="-5"/>
                <w:sz w:val="20"/>
              </w:rPr>
              <w:t xml:space="preserve"> </w:t>
            </w:r>
            <w:r w:rsidRPr="00150EDC">
              <w:rPr>
                <w:sz w:val="20"/>
              </w:rPr>
              <w:t>United</w:t>
            </w:r>
            <w:r w:rsidRPr="00150EDC">
              <w:rPr>
                <w:spacing w:val="-5"/>
                <w:sz w:val="20"/>
              </w:rPr>
              <w:t xml:space="preserve"> </w:t>
            </w:r>
            <w:r w:rsidRPr="00150EDC">
              <w:rPr>
                <w:sz w:val="20"/>
              </w:rPr>
              <w:t>Kingdom</w:t>
            </w:r>
            <w:r w:rsidRPr="00150EDC">
              <w:rPr>
                <w:spacing w:val="-5"/>
                <w:sz w:val="20"/>
              </w:rPr>
              <w:t xml:space="preserve"> </w:t>
            </w:r>
            <w:r w:rsidRPr="00150EDC">
              <w:rPr>
                <w:sz w:val="20"/>
              </w:rPr>
              <w:t>in relation</w:t>
            </w:r>
            <w:r w:rsidRPr="00150EDC">
              <w:rPr>
                <w:spacing w:val="-5"/>
                <w:sz w:val="20"/>
              </w:rPr>
              <w:t xml:space="preserve"> </w:t>
            </w:r>
            <w:r w:rsidRPr="00150EDC">
              <w:rPr>
                <w:sz w:val="20"/>
              </w:rPr>
              <w:t>to</w:t>
            </w:r>
            <w:r w:rsidRPr="00150EDC">
              <w:rPr>
                <w:spacing w:val="-5"/>
                <w:sz w:val="20"/>
              </w:rPr>
              <w:t xml:space="preserve"> </w:t>
            </w:r>
            <w:r w:rsidRPr="00150EDC">
              <w:rPr>
                <w:sz w:val="20"/>
              </w:rPr>
              <w:t>or by</w:t>
            </w:r>
            <w:r w:rsidRPr="00150EDC">
              <w:rPr>
                <w:spacing w:val="-4"/>
                <w:sz w:val="20"/>
              </w:rPr>
              <w:t xml:space="preserve"> </w:t>
            </w:r>
            <w:r w:rsidRPr="00150EDC">
              <w:rPr>
                <w:sz w:val="20"/>
              </w:rPr>
              <w:t>means</w:t>
            </w:r>
            <w:r w:rsidRPr="00150EDC">
              <w:rPr>
                <w:spacing w:val="-4"/>
                <w:sz w:val="20"/>
              </w:rPr>
              <w:t xml:space="preserve"> </w:t>
            </w:r>
            <w:r w:rsidRPr="00150EDC">
              <w:rPr>
                <w:sz w:val="20"/>
              </w:rPr>
              <w:t>of nuclear material</w:t>
            </w:r>
          </w:p>
        </w:tc>
      </w:tr>
      <w:tr w:rsidR="004569EE" w:rsidRPr="007D3144" w14:paraId="14D02CFC" w14:textId="77777777">
        <w:trPr>
          <w:trHeight w:val="255"/>
        </w:trPr>
        <w:tc>
          <w:tcPr>
            <w:tcW w:w="6517" w:type="dxa"/>
          </w:tcPr>
          <w:p w14:paraId="15FDF3D1" w14:textId="77777777" w:rsidR="004C7180" w:rsidRPr="00150EDC" w:rsidRDefault="00CF0754">
            <w:pPr>
              <w:pStyle w:val="TableParagraph"/>
              <w:rPr>
                <w:sz w:val="20"/>
              </w:rPr>
            </w:pPr>
            <w:r w:rsidRPr="00150EDC">
              <w:rPr>
                <w:sz w:val="20"/>
              </w:rPr>
              <w:t>Nurses</w:t>
            </w:r>
            <w:r w:rsidRPr="00150EDC">
              <w:rPr>
                <w:spacing w:val="-6"/>
                <w:sz w:val="20"/>
              </w:rPr>
              <w:t xml:space="preserve"> </w:t>
            </w:r>
            <w:r w:rsidRPr="00150EDC">
              <w:rPr>
                <w:sz w:val="20"/>
              </w:rPr>
              <w:t>and</w:t>
            </w:r>
            <w:r w:rsidRPr="00150EDC">
              <w:rPr>
                <w:spacing w:val="-6"/>
                <w:sz w:val="20"/>
              </w:rPr>
              <w:t xml:space="preserve"> </w:t>
            </w:r>
            <w:r w:rsidRPr="00150EDC">
              <w:rPr>
                <w:sz w:val="20"/>
              </w:rPr>
              <w:t>Midwives</w:t>
            </w:r>
            <w:r w:rsidRPr="00150EDC">
              <w:rPr>
                <w:spacing w:val="-5"/>
                <w:sz w:val="20"/>
              </w:rPr>
              <w:t xml:space="preserve"> </w:t>
            </w:r>
            <w:r w:rsidRPr="00150EDC">
              <w:rPr>
                <w:sz w:val="20"/>
              </w:rPr>
              <w:t>Act</w:t>
            </w:r>
            <w:r w:rsidRPr="00150EDC">
              <w:rPr>
                <w:spacing w:val="-5"/>
                <w:sz w:val="20"/>
              </w:rPr>
              <w:t xml:space="preserve"> </w:t>
            </w:r>
            <w:r w:rsidRPr="00150EDC">
              <w:rPr>
                <w:sz w:val="20"/>
              </w:rPr>
              <w:t>(Northern</w:t>
            </w:r>
            <w:r w:rsidRPr="00150EDC">
              <w:rPr>
                <w:spacing w:val="-7"/>
                <w:sz w:val="20"/>
              </w:rPr>
              <w:t xml:space="preserve"> </w:t>
            </w:r>
            <w:r w:rsidRPr="00150EDC">
              <w:rPr>
                <w:sz w:val="20"/>
              </w:rPr>
              <w:t>Ireland)</w:t>
            </w:r>
            <w:r w:rsidRPr="00150EDC">
              <w:rPr>
                <w:spacing w:val="-6"/>
                <w:sz w:val="20"/>
              </w:rPr>
              <w:t xml:space="preserve"> </w:t>
            </w:r>
            <w:r w:rsidRPr="00150EDC">
              <w:rPr>
                <w:sz w:val="20"/>
              </w:rPr>
              <w:t>1970,</w:t>
            </w:r>
            <w:r w:rsidRPr="00150EDC">
              <w:rPr>
                <w:spacing w:val="-6"/>
                <w:sz w:val="20"/>
              </w:rPr>
              <w:t xml:space="preserve"> </w:t>
            </w:r>
            <w:r w:rsidRPr="00150EDC">
              <w:rPr>
                <w:spacing w:val="-2"/>
                <w:sz w:val="20"/>
              </w:rPr>
              <w:t>s14(1)(b)</w:t>
            </w:r>
          </w:p>
        </w:tc>
        <w:tc>
          <w:tcPr>
            <w:tcW w:w="7427" w:type="dxa"/>
          </w:tcPr>
          <w:p w14:paraId="4A7F6846" w14:textId="77777777" w:rsidR="004C7180" w:rsidRPr="00150EDC" w:rsidRDefault="00CF0754">
            <w:pPr>
              <w:pStyle w:val="TableParagraph"/>
              <w:rPr>
                <w:sz w:val="20"/>
              </w:rPr>
            </w:pPr>
            <w:r w:rsidRPr="00150EDC">
              <w:rPr>
                <w:sz w:val="20"/>
              </w:rPr>
              <w:t>Falsely</w:t>
            </w:r>
            <w:r w:rsidRPr="00150EDC">
              <w:rPr>
                <w:spacing w:val="-3"/>
                <w:sz w:val="20"/>
              </w:rPr>
              <w:t xml:space="preserve"> </w:t>
            </w:r>
            <w:r w:rsidRPr="00150EDC">
              <w:rPr>
                <w:sz w:val="20"/>
              </w:rPr>
              <w:t>claim</w:t>
            </w:r>
            <w:r w:rsidRPr="00150EDC">
              <w:rPr>
                <w:spacing w:val="-3"/>
                <w:sz w:val="20"/>
              </w:rPr>
              <w:t xml:space="preserve"> </w:t>
            </w:r>
            <w:r w:rsidRPr="00150EDC">
              <w:rPr>
                <w:sz w:val="20"/>
              </w:rPr>
              <w:t>to</w:t>
            </w:r>
            <w:r w:rsidRPr="00150EDC">
              <w:rPr>
                <w:spacing w:val="-4"/>
                <w:sz w:val="20"/>
              </w:rPr>
              <w:t xml:space="preserve"> </w:t>
            </w:r>
            <w:r w:rsidRPr="00150EDC">
              <w:rPr>
                <w:sz w:val="20"/>
              </w:rPr>
              <w:t>be</w:t>
            </w:r>
            <w:r w:rsidRPr="00150EDC">
              <w:rPr>
                <w:spacing w:val="1"/>
                <w:sz w:val="20"/>
              </w:rPr>
              <w:t xml:space="preserve"> </w:t>
            </w:r>
            <w:r w:rsidRPr="00150EDC">
              <w:rPr>
                <w:spacing w:val="-2"/>
                <w:sz w:val="20"/>
              </w:rPr>
              <w:t>registered</w:t>
            </w:r>
          </w:p>
        </w:tc>
      </w:tr>
      <w:tr w:rsidR="004569EE" w:rsidRPr="007D3144" w14:paraId="3418150E" w14:textId="77777777">
        <w:trPr>
          <w:trHeight w:val="255"/>
        </w:trPr>
        <w:tc>
          <w:tcPr>
            <w:tcW w:w="6517" w:type="dxa"/>
          </w:tcPr>
          <w:p w14:paraId="115A7413" w14:textId="77777777" w:rsidR="004C7180" w:rsidRPr="00150EDC" w:rsidRDefault="00CF0754">
            <w:pPr>
              <w:pStyle w:val="TableParagraph"/>
              <w:rPr>
                <w:sz w:val="20"/>
              </w:rPr>
            </w:pPr>
            <w:r w:rsidRPr="00150EDC">
              <w:rPr>
                <w:sz w:val="20"/>
              </w:rPr>
              <w:t>Nursing</w:t>
            </w:r>
            <w:r w:rsidRPr="00150EDC">
              <w:rPr>
                <w:spacing w:val="-9"/>
                <w:sz w:val="20"/>
              </w:rPr>
              <w:t xml:space="preserve"> </w:t>
            </w:r>
            <w:r w:rsidRPr="00150EDC">
              <w:rPr>
                <w:sz w:val="20"/>
              </w:rPr>
              <w:t>Homes</w:t>
            </w:r>
            <w:r w:rsidRPr="00150EDC">
              <w:rPr>
                <w:spacing w:val="-7"/>
                <w:sz w:val="20"/>
              </w:rPr>
              <w:t xml:space="preserve"> </w:t>
            </w:r>
            <w:r w:rsidRPr="00150EDC">
              <w:rPr>
                <w:sz w:val="20"/>
              </w:rPr>
              <w:t>Registration</w:t>
            </w:r>
            <w:r w:rsidRPr="00150EDC">
              <w:rPr>
                <w:spacing w:val="-3"/>
                <w:sz w:val="20"/>
              </w:rPr>
              <w:t xml:space="preserve"> </w:t>
            </w:r>
            <w:r w:rsidRPr="00150EDC">
              <w:rPr>
                <w:sz w:val="20"/>
              </w:rPr>
              <w:t>(Scotland)</w:t>
            </w:r>
            <w:r w:rsidRPr="00150EDC">
              <w:rPr>
                <w:spacing w:val="-8"/>
                <w:sz w:val="20"/>
              </w:rPr>
              <w:t xml:space="preserve"> </w:t>
            </w:r>
            <w:r w:rsidRPr="00150EDC">
              <w:rPr>
                <w:sz w:val="20"/>
              </w:rPr>
              <w:t>Act</w:t>
            </w:r>
            <w:r w:rsidRPr="00150EDC">
              <w:rPr>
                <w:spacing w:val="-7"/>
                <w:sz w:val="20"/>
              </w:rPr>
              <w:t xml:space="preserve"> </w:t>
            </w:r>
            <w:r w:rsidRPr="00150EDC">
              <w:rPr>
                <w:sz w:val="20"/>
              </w:rPr>
              <w:t>1938,</w:t>
            </w:r>
            <w:r w:rsidRPr="00150EDC">
              <w:rPr>
                <w:spacing w:val="-8"/>
                <w:sz w:val="20"/>
              </w:rPr>
              <w:t xml:space="preserve"> </w:t>
            </w:r>
            <w:r w:rsidRPr="00150EDC">
              <w:rPr>
                <w:spacing w:val="-4"/>
                <w:sz w:val="20"/>
              </w:rPr>
              <w:t>s4(3)</w:t>
            </w:r>
          </w:p>
        </w:tc>
        <w:tc>
          <w:tcPr>
            <w:tcW w:w="7427" w:type="dxa"/>
          </w:tcPr>
          <w:p w14:paraId="5623BD0A" w14:textId="77777777" w:rsidR="004C7180" w:rsidRPr="00150EDC" w:rsidRDefault="00CF0754">
            <w:pPr>
              <w:pStyle w:val="TableParagraph"/>
              <w:rPr>
                <w:sz w:val="20"/>
              </w:rPr>
            </w:pPr>
            <w:r w:rsidRPr="00150EDC">
              <w:rPr>
                <w:sz w:val="20"/>
              </w:rPr>
              <w:t>Fail</w:t>
            </w:r>
            <w:r w:rsidRPr="00150EDC">
              <w:rPr>
                <w:spacing w:val="-5"/>
                <w:sz w:val="20"/>
              </w:rPr>
              <w:t xml:space="preserve"> </w:t>
            </w:r>
            <w:r w:rsidRPr="00150EDC">
              <w:rPr>
                <w:sz w:val="20"/>
              </w:rPr>
              <w:t>to</w:t>
            </w:r>
            <w:r w:rsidRPr="00150EDC">
              <w:rPr>
                <w:spacing w:val="-6"/>
                <w:sz w:val="20"/>
              </w:rPr>
              <w:t xml:space="preserve"> </w:t>
            </w:r>
            <w:r w:rsidRPr="00150EDC">
              <w:rPr>
                <w:sz w:val="20"/>
              </w:rPr>
              <w:t>complete</w:t>
            </w:r>
            <w:r w:rsidRPr="00150EDC">
              <w:rPr>
                <w:spacing w:val="-4"/>
                <w:sz w:val="20"/>
              </w:rPr>
              <w:t xml:space="preserve"> </w:t>
            </w:r>
            <w:r w:rsidRPr="00150EDC">
              <w:rPr>
                <w:sz w:val="20"/>
              </w:rPr>
              <w:t>appropriate</w:t>
            </w:r>
            <w:r w:rsidRPr="00150EDC">
              <w:rPr>
                <w:spacing w:val="-6"/>
                <w:sz w:val="20"/>
              </w:rPr>
              <w:t xml:space="preserve"> </w:t>
            </w:r>
            <w:r w:rsidRPr="00150EDC">
              <w:rPr>
                <w:spacing w:val="-2"/>
                <w:sz w:val="20"/>
              </w:rPr>
              <w:t>records</w:t>
            </w:r>
          </w:p>
        </w:tc>
      </w:tr>
      <w:tr w:rsidR="004569EE" w:rsidRPr="007D3144" w14:paraId="043C8241" w14:textId="77777777">
        <w:trPr>
          <w:trHeight w:val="255"/>
        </w:trPr>
        <w:tc>
          <w:tcPr>
            <w:tcW w:w="6517" w:type="dxa"/>
          </w:tcPr>
          <w:p w14:paraId="1AEC8D8F" w14:textId="77777777" w:rsidR="004C7180" w:rsidRPr="00150EDC" w:rsidRDefault="00CF0754">
            <w:pPr>
              <w:pStyle w:val="TableParagraph"/>
              <w:rPr>
                <w:sz w:val="20"/>
              </w:rPr>
            </w:pPr>
            <w:r w:rsidRPr="00150EDC">
              <w:rPr>
                <w:sz w:val="20"/>
              </w:rPr>
              <w:t>Obscene</w:t>
            </w:r>
            <w:r w:rsidRPr="00150EDC">
              <w:rPr>
                <w:spacing w:val="-7"/>
                <w:sz w:val="20"/>
              </w:rPr>
              <w:t xml:space="preserve"> </w:t>
            </w:r>
            <w:r w:rsidRPr="00150EDC">
              <w:rPr>
                <w:sz w:val="20"/>
              </w:rPr>
              <w:t>Publications</w:t>
            </w:r>
            <w:r w:rsidRPr="00150EDC">
              <w:rPr>
                <w:spacing w:val="-6"/>
                <w:sz w:val="20"/>
              </w:rPr>
              <w:t xml:space="preserve"> </w:t>
            </w:r>
            <w:r w:rsidRPr="00150EDC">
              <w:rPr>
                <w:sz w:val="20"/>
              </w:rPr>
              <w:t>(Bailiwick</w:t>
            </w:r>
            <w:r w:rsidRPr="00150EDC">
              <w:rPr>
                <w:spacing w:val="-6"/>
                <w:sz w:val="20"/>
              </w:rPr>
              <w:t xml:space="preserve"> </w:t>
            </w:r>
            <w:r w:rsidRPr="00150EDC">
              <w:rPr>
                <w:sz w:val="20"/>
              </w:rPr>
              <w:t>of</w:t>
            </w:r>
            <w:r w:rsidRPr="00150EDC">
              <w:rPr>
                <w:spacing w:val="-4"/>
                <w:sz w:val="20"/>
              </w:rPr>
              <w:t xml:space="preserve"> </w:t>
            </w:r>
            <w:r w:rsidRPr="00150EDC">
              <w:rPr>
                <w:sz w:val="20"/>
              </w:rPr>
              <w:t>Guernsey)</w:t>
            </w:r>
            <w:r w:rsidRPr="00150EDC">
              <w:rPr>
                <w:spacing w:val="-7"/>
                <w:sz w:val="20"/>
              </w:rPr>
              <w:t xml:space="preserve"> </w:t>
            </w:r>
            <w:r w:rsidRPr="00150EDC">
              <w:rPr>
                <w:sz w:val="20"/>
              </w:rPr>
              <w:t>Law</w:t>
            </w:r>
            <w:r w:rsidRPr="00150EDC">
              <w:rPr>
                <w:spacing w:val="-5"/>
                <w:sz w:val="20"/>
              </w:rPr>
              <w:t xml:space="preserve"> </w:t>
            </w:r>
            <w:r w:rsidRPr="00150EDC">
              <w:rPr>
                <w:sz w:val="20"/>
              </w:rPr>
              <w:t>1985,</w:t>
            </w:r>
            <w:r w:rsidRPr="00150EDC">
              <w:rPr>
                <w:spacing w:val="-2"/>
                <w:sz w:val="20"/>
              </w:rPr>
              <w:t xml:space="preserve"> s1(1)(a)</w:t>
            </w:r>
          </w:p>
        </w:tc>
        <w:tc>
          <w:tcPr>
            <w:tcW w:w="7427" w:type="dxa"/>
          </w:tcPr>
          <w:p w14:paraId="7FFF67C2" w14:textId="77777777" w:rsidR="004C7180" w:rsidRPr="00150EDC" w:rsidRDefault="00CF0754">
            <w:pPr>
              <w:pStyle w:val="TableParagraph"/>
              <w:rPr>
                <w:sz w:val="20"/>
              </w:rPr>
            </w:pPr>
            <w:r w:rsidRPr="00150EDC">
              <w:rPr>
                <w:sz w:val="20"/>
              </w:rPr>
              <w:t>Importing</w:t>
            </w:r>
            <w:r w:rsidRPr="00150EDC">
              <w:rPr>
                <w:spacing w:val="-8"/>
                <w:sz w:val="20"/>
              </w:rPr>
              <w:t xml:space="preserve"> </w:t>
            </w:r>
            <w:r w:rsidRPr="00150EDC">
              <w:rPr>
                <w:sz w:val="20"/>
              </w:rPr>
              <w:t>or</w:t>
            </w:r>
            <w:r w:rsidRPr="00150EDC">
              <w:rPr>
                <w:spacing w:val="-3"/>
                <w:sz w:val="20"/>
              </w:rPr>
              <w:t xml:space="preserve"> </w:t>
            </w:r>
            <w:r w:rsidRPr="00150EDC">
              <w:rPr>
                <w:sz w:val="20"/>
              </w:rPr>
              <w:t>exporting</w:t>
            </w:r>
            <w:r w:rsidRPr="00150EDC">
              <w:rPr>
                <w:spacing w:val="-8"/>
                <w:sz w:val="20"/>
              </w:rPr>
              <w:t xml:space="preserve"> </w:t>
            </w:r>
            <w:r w:rsidRPr="00150EDC">
              <w:rPr>
                <w:sz w:val="20"/>
              </w:rPr>
              <w:t>obscene</w:t>
            </w:r>
            <w:r w:rsidRPr="00150EDC">
              <w:rPr>
                <w:spacing w:val="-3"/>
                <w:sz w:val="20"/>
              </w:rPr>
              <w:t xml:space="preserve"> </w:t>
            </w:r>
            <w:r w:rsidRPr="00150EDC">
              <w:rPr>
                <w:spacing w:val="-2"/>
                <w:sz w:val="20"/>
              </w:rPr>
              <w:t>publications</w:t>
            </w:r>
          </w:p>
        </w:tc>
      </w:tr>
      <w:tr w:rsidR="004569EE" w:rsidRPr="007D3144" w14:paraId="3524BC5E" w14:textId="77777777">
        <w:trPr>
          <w:trHeight w:val="255"/>
        </w:trPr>
        <w:tc>
          <w:tcPr>
            <w:tcW w:w="6517" w:type="dxa"/>
          </w:tcPr>
          <w:p w14:paraId="205DA5FF" w14:textId="77777777" w:rsidR="004C7180" w:rsidRPr="00150EDC" w:rsidRDefault="00CF0754">
            <w:pPr>
              <w:pStyle w:val="TableParagraph"/>
              <w:spacing w:before="28"/>
              <w:rPr>
                <w:sz w:val="20"/>
              </w:rPr>
            </w:pPr>
            <w:r w:rsidRPr="00150EDC">
              <w:rPr>
                <w:sz w:val="20"/>
              </w:rPr>
              <w:t>Offences</w:t>
            </w:r>
            <w:r w:rsidRPr="00150EDC">
              <w:rPr>
                <w:spacing w:val="-5"/>
                <w:sz w:val="20"/>
              </w:rPr>
              <w:t xml:space="preserve"> </w:t>
            </w:r>
            <w:r w:rsidRPr="00150EDC">
              <w:rPr>
                <w:sz w:val="20"/>
              </w:rPr>
              <w:t>Against</w:t>
            </w:r>
            <w:r w:rsidRPr="00150EDC">
              <w:rPr>
                <w:spacing w:val="-6"/>
                <w:sz w:val="20"/>
              </w:rPr>
              <w:t xml:space="preserve"> </w:t>
            </w:r>
            <w:r w:rsidRPr="00150EDC">
              <w:rPr>
                <w:sz w:val="20"/>
              </w:rPr>
              <w:t>the</w:t>
            </w:r>
            <w:r w:rsidRPr="00150EDC">
              <w:rPr>
                <w:spacing w:val="-6"/>
                <w:sz w:val="20"/>
              </w:rPr>
              <w:t xml:space="preserve"> </w:t>
            </w:r>
            <w:r w:rsidRPr="00150EDC">
              <w:rPr>
                <w:sz w:val="20"/>
              </w:rPr>
              <w:t>Person</w:t>
            </w:r>
            <w:r w:rsidRPr="00150EDC">
              <w:rPr>
                <w:spacing w:val="-6"/>
                <w:sz w:val="20"/>
              </w:rPr>
              <w:t xml:space="preserve"> </w:t>
            </w:r>
            <w:r w:rsidRPr="00150EDC">
              <w:rPr>
                <w:sz w:val="20"/>
              </w:rPr>
              <w:t>Act</w:t>
            </w:r>
            <w:r w:rsidRPr="00150EDC">
              <w:rPr>
                <w:spacing w:val="-5"/>
                <w:sz w:val="20"/>
              </w:rPr>
              <w:t xml:space="preserve"> </w:t>
            </w:r>
            <w:r w:rsidRPr="00150EDC">
              <w:rPr>
                <w:sz w:val="20"/>
              </w:rPr>
              <w:t>1861,</w:t>
            </w:r>
            <w:r w:rsidRPr="00150EDC">
              <w:rPr>
                <w:spacing w:val="-6"/>
                <w:sz w:val="20"/>
              </w:rPr>
              <w:t xml:space="preserve"> </w:t>
            </w:r>
            <w:r w:rsidRPr="00150EDC">
              <w:rPr>
                <w:spacing w:val="-5"/>
                <w:sz w:val="20"/>
              </w:rPr>
              <w:t>s16</w:t>
            </w:r>
          </w:p>
        </w:tc>
        <w:tc>
          <w:tcPr>
            <w:tcW w:w="7427" w:type="dxa"/>
          </w:tcPr>
          <w:p w14:paraId="43B5EBD2" w14:textId="77777777" w:rsidR="004C7180" w:rsidRPr="00150EDC" w:rsidRDefault="00CF0754">
            <w:pPr>
              <w:pStyle w:val="TableParagraph"/>
              <w:spacing w:before="28"/>
              <w:rPr>
                <w:sz w:val="20"/>
              </w:rPr>
            </w:pPr>
            <w:r w:rsidRPr="00150EDC">
              <w:rPr>
                <w:sz w:val="20"/>
              </w:rPr>
              <w:t>Threats</w:t>
            </w:r>
            <w:r w:rsidRPr="00150EDC">
              <w:rPr>
                <w:spacing w:val="-6"/>
                <w:sz w:val="20"/>
              </w:rPr>
              <w:t xml:space="preserve"> </w:t>
            </w:r>
            <w:r w:rsidRPr="00150EDC">
              <w:rPr>
                <w:sz w:val="20"/>
              </w:rPr>
              <w:t>to</w:t>
            </w:r>
            <w:r w:rsidRPr="00150EDC">
              <w:rPr>
                <w:spacing w:val="-5"/>
                <w:sz w:val="20"/>
              </w:rPr>
              <w:t xml:space="preserve"> </w:t>
            </w:r>
            <w:r w:rsidRPr="00150EDC">
              <w:rPr>
                <w:spacing w:val="-4"/>
                <w:sz w:val="20"/>
              </w:rPr>
              <w:t>kill</w:t>
            </w:r>
          </w:p>
        </w:tc>
      </w:tr>
      <w:tr w:rsidR="004569EE" w:rsidRPr="007D3144" w14:paraId="033077AA" w14:textId="77777777">
        <w:trPr>
          <w:trHeight w:val="255"/>
        </w:trPr>
        <w:tc>
          <w:tcPr>
            <w:tcW w:w="6517" w:type="dxa"/>
          </w:tcPr>
          <w:p w14:paraId="5D5B3D43" w14:textId="77777777" w:rsidR="004C7180" w:rsidRPr="00150EDC" w:rsidRDefault="00CF0754">
            <w:pPr>
              <w:pStyle w:val="TableParagraph"/>
              <w:rPr>
                <w:sz w:val="20"/>
              </w:rPr>
            </w:pPr>
            <w:r w:rsidRPr="00150EDC">
              <w:rPr>
                <w:sz w:val="20"/>
              </w:rPr>
              <w:t>Offences</w:t>
            </w:r>
            <w:r w:rsidRPr="00150EDC">
              <w:rPr>
                <w:spacing w:val="-5"/>
                <w:sz w:val="20"/>
              </w:rPr>
              <w:t xml:space="preserve"> </w:t>
            </w:r>
            <w:r w:rsidRPr="00150EDC">
              <w:rPr>
                <w:sz w:val="20"/>
              </w:rPr>
              <w:t>Against</w:t>
            </w:r>
            <w:r w:rsidRPr="00150EDC">
              <w:rPr>
                <w:spacing w:val="-6"/>
                <w:sz w:val="20"/>
              </w:rPr>
              <w:t xml:space="preserve"> </w:t>
            </w:r>
            <w:r w:rsidRPr="00150EDC">
              <w:rPr>
                <w:sz w:val="20"/>
              </w:rPr>
              <w:t>the</w:t>
            </w:r>
            <w:r w:rsidRPr="00150EDC">
              <w:rPr>
                <w:spacing w:val="-6"/>
                <w:sz w:val="20"/>
              </w:rPr>
              <w:t xml:space="preserve"> </w:t>
            </w:r>
            <w:r w:rsidRPr="00150EDC">
              <w:rPr>
                <w:sz w:val="20"/>
              </w:rPr>
              <w:t>Person</w:t>
            </w:r>
            <w:r w:rsidRPr="00150EDC">
              <w:rPr>
                <w:spacing w:val="-6"/>
                <w:sz w:val="20"/>
              </w:rPr>
              <w:t xml:space="preserve"> </w:t>
            </w:r>
            <w:r w:rsidRPr="00150EDC">
              <w:rPr>
                <w:sz w:val="20"/>
              </w:rPr>
              <w:t>Act</w:t>
            </w:r>
            <w:r w:rsidRPr="00150EDC">
              <w:rPr>
                <w:spacing w:val="-5"/>
                <w:sz w:val="20"/>
              </w:rPr>
              <w:t xml:space="preserve"> </w:t>
            </w:r>
            <w:r w:rsidRPr="00150EDC">
              <w:rPr>
                <w:sz w:val="20"/>
              </w:rPr>
              <w:t>1861,</w:t>
            </w:r>
            <w:r w:rsidRPr="00150EDC">
              <w:rPr>
                <w:spacing w:val="-6"/>
                <w:sz w:val="20"/>
              </w:rPr>
              <w:t xml:space="preserve"> </w:t>
            </w:r>
            <w:r w:rsidRPr="00150EDC">
              <w:rPr>
                <w:spacing w:val="-5"/>
                <w:sz w:val="20"/>
              </w:rPr>
              <w:t>s18</w:t>
            </w:r>
          </w:p>
        </w:tc>
        <w:tc>
          <w:tcPr>
            <w:tcW w:w="7427" w:type="dxa"/>
          </w:tcPr>
          <w:p w14:paraId="104A0863" w14:textId="77777777" w:rsidR="004C7180" w:rsidRPr="00150EDC" w:rsidRDefault="00CF0754">
            <w:pPr>
              <w:pStyle w:val="TableParagraph"/>
              <w:rPr>
                <w:sz w:val="20"/>
              </w:rPr>
            </w:pPr>
            <w:r w:rsidRPr="00150EDC">
              <w:rPr>
                <w:sz w:val="20"/>
              </w:rPr>
              <w:t>Wounding</w:t>
            </w:r>
            <w:r w:rsidRPr="00150EDC">
              <w:rPr>
                <w:spacing w:val="-6"/>
                <w:sz w:val="20"/>
              </w:rPr>
              <w:t xml:space="preserve"> </w:t>
            </w:r>
            <w:r w:rsidRPr="00150EDC">
              <w:rPr>
                <w:sz w:val="20"/>
              </w:rPr>
              <w:t>with</w:t>
            </w:r>
            <w:r w:rsidRPr="00150EDC">
              <w:rPr>
                <w:spacing w:val="-5"/>
                <w:sz w:val="20"/>
              </w:rPr>
              <w:t xml:space="preserve"> </w:t>
            </w:r>
            <w:r w:rsidRPr="00150EDC">
              <w:rPr>
                <w:sz w:val="20"/>
              </w:rPr>
              <w:t>intent</w:t>
            </w:r>
            <w:r w:rsidRPr="00150EDC">
              <w:rPr>
                <w:spacing w:val="-1"/>
                <w:sz w:val="20"/>
              </w:rPr>
              <w:t xml:space="preserve"> </w:t>
            </w:r>
            <w:r w:rsidRPr="00150EDC">
              <w:rPr>
                <w:sz w:val="20"/>
              </w:rPr>
              <w:t>to</w:t>
            </w:r>
            <w:r w:rsidRPr="00150EDC">
              <w:rPr>
                <w:spacing w:val="-5"/>
                <w:sz w:val="20"/>
              </w:rPr>
              <w:t xml:space="preserve"> </w:t>
            </w:r>
            <w:r w:rsidRPr="00150EDC">
              <w:rPr>
                <w:sz w:val="20"/>
              </w:rPr>
              <w:t>cause</w:t>
            </w:r>
            <w:r w:rsidRPr="00150EDC">
              <w:rPr>
                <w:spacing w:val="-6"/>
                <w:sz w:val="20"/>
              </w:rPr>
              <w:t xml:space="preserve"> </w:t>
            </w:r>
            <w:r w:rsidRPr="00150EDC">
              <w:rPr>
                <w:sz w:val="20"/>
              </w:rPr>
              <w:t>grevious</w:t>
            </w:r>
            <w:r w:rsidRPr="00150EDC">
              <w:rPr>
                <w:spacing w:val="-4"/>
                <w:sz w:val="20"/>
              </w:rPr>
              <w:t xml:space="preserve"> </w:t>
            </w:r>
            <w:r w:rsidRPr="00150EDC">
              <w:rPr>
                <w:sz w:val="20"/>
              </w:rPr>
              <w:t>bodily</w:t>
            </w:r>
            <w:r w:rsidRPr="00150EDC">
              <w:rPr>
                <w:spacing w:val="-4"/>
                <w:sz w:val="20"/>
              </w:rPr>
              <w:t xml:space="preserve"> harm</w:t>
            </w:r>
          </w:p>
        </w:tc>
      </w:tr>
      <w:tr w:rsidR="004569EE" w:rsidRPr="007D3144" w14:paraId="1CA0D2B8" w14:textId="77777777">
        <w:trPr>
          <w:trHeight w:val="255"/>
        </w:trPr>
        <w:tc>
          <w:tcPr>
            <w:tcW w:w="6517" w:type="dxa"/>
          </w:tcPr>
          <w:p w14:paraId="756B62FC" w14:textId="77777777" w:rsidR="004C7180" w:rsidRPr="00150EDC" w:rsidRDefault="00CF0754">
            <w:pPr>
              <w:pStyle w:val="TableParagraph"/>
              <w:rPr>
                <w:sz w:val="20"/>
              </w:rPr>
            </w:pPr>
            <w:r w:rsidRPr="00150EDC">
              <w:rPr>
                <w:sz w:val="20"/>
              </w:rPr>
              <w:t>Offences</w:t>
            </w:r>
            <w:r w:rsidRPr="00150EDC">
              <w:rPr>
                <w:spacing w:val="-5"/>
                <w:sz w:val="20"/>
              </w:rPr>
              <w:t xml:space="preserve"> </w:t>
            </w:r>
            <w:r w:rsidRPr="00150EDC">
              <w:rPr>
                <w:sz w:val="20"/>
              </w:rPr>
              <w:t>Against</w:t>
            </w:r>
            <w:r w:rsidRPr="00150EDC">
              <w:rPr>
                <w:spacing w:val="-5"/>
                <w:sz w:val="20"/>
              </w:rPr>
              <w:t xml:space="preserve"> </w:t>
            </w:r>
            <w:r w:rsidRPr="00150EDC">
              <w:rPr>
                <w:sz w:val="20"/>
              </w:rPr>
              <w:t>the</w:t>
            </w:r>
            <w:r w:rsidRPr="00150EDC">
              <w:rPr>
                <w:spacing w:val="-6"/>
                <w:sz w:val="20"/>
              </w:rPr>
              <w:t xml:space="preserve"> </w:t>
            </w:r>
            <w:r w:rsidRPr="00150EDC">
              <w:rPr>
                <w:sz w:val="20"/>
              </w:rPr>
              <w:t>Person</w:t>
            </w:r>
            <w:r w:rsidRPr="00150EDC">
              <w:rPr>
                <w:spacing w:val="-5"/>
                <w:sz w:val="20"/>
              </w:rPr>
              <w:t xml:space="preserve"> </w:t>
            </w:r>
            <w:r w:rsidRPr="00150EDC">
              <w:rPr>
                <w:sz w:val="20"/>
              </w:rPr>
              <w:t>Act</w:t>
            </w:r>
            <w:r w:rsidRPr="00150EDC">
              <w:rPr>
                <w:spacing w:val="-5"/>
                <w:sz w:val="20"/>
              </w:rPr>
              <w:t xml:space="preserve"> </w:t>
            </w:r>
            <w:r w:rsidRPr="00150EDC">
              <w:rPr>
                <w:sz w:val="20"/>
              </w:rPr>
              <w:t>1861,</w:t>
            </w:r>
            <w:r w:rsidRPr="00150EDC">
              <w:rPr>
                <w:spacing w:val="-5"/>
                <w:sz w:val="20"/>
              </w:rPr>
              <w:t xml:space="preserve"> s20</w:t>
            </w:r>
          </w:p>
        </w:tc>
        <w:tc>
          <w:tcPr>
            <w:tcW w:w="7427" w:type="dxa"/>
          </w:tcPr>
          <w:p w14:paraId="33C16086" w14:textId="77777777" w:rsidR="004C7180" w:rsidRPr="00150EDC" w:rsidRDefault="00CF0754">
            <w:pPr>
              <w:pStyle w:val="TableParagraph"/>
              <w:rPr>
                <w:sz w:val="20"/>
              </w:rPr>
            </w:pPr>
            <w:r w:rsidRPr="00150EDC">
              <w:rPr>
                <w:spacing w:val="-2"/>
                <w:sz w:val="20"/>
              </w:rPr>
              <w:t>Malicious wounding</w:t>
            </w:r>
          </w:p>
        </w:tc>
      </w:tr>
      <w:tr w:rsidR="004569EE" w:rsidRPr="007D3144" w14:paraId="310388F2" w14:textId="77777777">
        <w:trPr>
          <w:trHeight w:val="455"/>
        </w:trPr>
        <w:tc>
          <w:tcPr>
            <w:tcW w:w="6517" w:type="dxa"/>
            <w:tcBorders>
              <w:bottom w:val="single" w:sz="12" w:space="0" w:color="000000"/>
            </w:tcBorders>
          </w:tcPr>
          <w:p w14:paraId="60C08EBF" w14:textId="77777777" w:rsidR="004C7180" w:rsidRPr="00150EDC" w:rsidRDefault="004C7180">
            <w:pPr>
              <w:pStyle w:val="TableParagraph"/>
              <w:spacing w:before="2" w:line="240" w:lineRule="auto"/>
              <w:ind w:left="0"/>
              <w:rPr>
                <w:sz w:val="20"/>
              </w:rPr>
            </w:pPr>
          </w:p>
          <w:p w14:paraId="56310E2D" w14:textId="77777777" w:rsidR="004C7180" w:rsidRPr="00150EDC" w:rsidRDefault="00CF0754">
            <w:pPr>
              <w:pStyle w:val="TableParagraph"/>
              <w:spacing w:before="0" w:line="203" w:lineRule="exact"/>
              <w:rPr>
                <w:sz w:val="20"/>
              </w:rPr>
            </w:pPr>
            <w:r w:rsidRPr="00150EDC">
              <w:rPr>
                <w:sz w:val="20"/>
              </w:rPr>
              <w:t>Offences</w:t>
            </w:r>
            <w:r w:rsidRPr="00150EDC">
              <w:rPr>
                <w:spacing w:val="-5"/>
                <w:sz w:val="20"/>
              </w:rPr>
              <w:t xml:space="preserve"> </w:t>
            </w:r>
            <w:r w:rsidRPr="00150EDC">
              <w:rPr>
                <w:sz w:val="20"/>
              </w:rPr>
              <w:t>Against</w:t>
            </w:r>
            <w:r w:rsidRPr="00150EDC">
              <w:rPr>
                <w:spacing w:val="-6"/>
                <w:sz w:val="20"/>
              </w:rPr>
              <w:t xml:space="preserve"> </w:t>
            </w:r>
            <w:r w:rsidRPr="00150EDC">
              <w:rPr>
                <w:sz w:val="20"/>
              </w:rPr>
              <w:t>the</w:t>
            </w:r>
            <w:r w:rsidRPr="00150EDC">
              <w:rPr>
                <w:spacing w:val="-6"/>
                <w:sz w:val="20"/>
              </w:rPr>
              <w:t xml:space="preserve"> </w:t>
            </w:r>
            <w:r w:rsidRPr="00150EDC">
              <w:rPr>
                <w:sz w:val="20"/>
              </w:rPr>
              <w:t>Person</w:t>
            </w:r>
            <w:r w:rsidRPr="00150EDC">
              <w:rPr>
                <w:spacing w:val="-6"/>
                <w:sz w:val="20"/>
              </w:rPr>
              <w:t xml:space="preserve"> </w:t>
            </w:r>
            <w:r w:rsidRPr="00150EDC">
              <w:rPr>
                <w:sz w:val="20"/>
              </w:rPr>
              <w:t>Act</w:t>
            </w:r>
            <w:r w:rsidRPr="00150EDC">
              <w:rPr>
                <w:spacing w:val="-5"/>
                <w:sz w:val="20"/>
              </w:rPr>
              <w:t xml:space="preserve"> </w:t>
            </w:r>
            <w:r w:rsidRPr="00150EDC">
              <w:rPr>
                <w:sz w:val="20"/>
              </w:rPr>
              <w:t>1861,</w:t>
            </w:r>
            <w:r w:rsidRPr="00150EDC">
              <w:rPr>
                <w:spacing w:val="-6"/>
                <w:sz w:val="20"/>
              </w:rPr>
              <w:t xml:space="preserve"> </w:t>
            </w:r>
            <w:r w:rsidRPr="00150EDC">
              <w:rPr>
                <w:spacing w:val="-5"/>
                <w:sz w:val="20"/>
              </w:rPr>
              <w:t>s21</w:t>
            </w:r>
          </w:p>
        </w:tc>
        <w:tc>
          <w:tcPr>
            <w:tcW w:w="7427" w:type="dxa"/>
            <w:tcBorders>
              <w:bottom w:val="single" w:sz="12" w:space="0" w:color="000000"/>
            </w:tcBorders>
          </w:tcPr>
          <w:p w14:paraId="32F9B78E" w14:textId="77777777" w:rsidR="004C7180" w:rsidRPr="00150EDC" w:rsidRDefault="00CF0754">
            <w:pPr>
              <w:pStyle w:val="TableParagraph"/>
              <w:spacing w:before="0" w:line="230" w:lineRule="atLeast"/>
              <w:rPr>
                <w:sz w:val="20"/>
              </w:rPr>
            </w:pPr>
            <w:r w:rsidRPr="00150EDC">
              <w:rPr>
                <w:sz w:val="20"/>
              </w:rPr>
              <w:t>Attempt</w:t>
            </w:r>
            <w:r w:rsidRPr="00150EDC">
              <w:rPr>
                <w:spacing w:val="-5"/>
                <w:sz w:val="20"/>
              </w:rPr>
              <w:t xml:space="preserve"> </w:t>
            </w:r>
            <w:r w:rsidRPr="00150EDC">
              <w:rPr>
                <w:sz w:val="20"/>
              </w:rPr>
              <w:t>to</w:t>
            </w:r>
            <w:r w:rsidRPr="00150EDC">
              <w:rPr>
                <w:spacing w:val="-5"/>
                <w:sz w:val="20"/>
              </w:rPr>
              <w:t xml:space="preserve"> </w:t>
            </w:r>
            <w:r w:rsidRPr="00150EDC">
              <w:rPr>
                <w:sz w:val="20"/>
              </w:rPr>
              <w:t>choke,</w:t>
            </w:r>
            <w:r w:rsidRPr="00150EDC">
              <w:rPr>
                <w:spacing w:val="-5"/>
                <w:sz w:val="20"/>
              </w:rPr>
              <w:t xml:space="preserve"> </w:t>
            </w:r>
            <w:r w:rsidRPr="00150EDC">
              <w:rPr>
                <w:sz w:val="20"/>
              </w:rPr>
              <w:t>suffocate</w:t>
            </w:r>
            <w:r w:rsidRPr="00150EDC">
              <w:rPr>
                <w:spacing w:val="-5"/>
                <w:sz w:val="20"/>
              </w:rPr>
              <w:t xml:space="preserve"> </w:t>
            </w:r>
            <w:r w:rsidRPr="00150EDC">
              <w:rPr>
                <w:sz w:val="20"/>
              </w:rPr>
              <w:t>or strangle</w:t>
            </w:r>
            <w:r w:rsidRPr="00150EDC">
              <w:rPr>
                <w:spacing w:val="-4"/>
                <w:sz w:val="20"/>
              </w:rPr>
              <w:t xml:space="preserve"> </w:t>
            </w:r>
            <w:r w:rsidRPr="00150EDC">
              <w:rPr>
                <w:sz w:val="20"/>
              </w:rPr>
              <w:t>in</w:t>
            </w:r>
            <w:r w:rsidRPr="00150EDC">
              <w:rPr>
                <w:spacing w:val="-5"/>
                <w:sz w:val="20"/>
              </w:rPr>
              <w:t xml:space="preserve"> </w:t>
            </w:r>
            <w:r w:rsidRPr="00150EDC">
              <w:rPr>
                <w:sz w:val="20"/>
              </w:rPr>
              <w:t>order</w:t>
            </w:r>
            <w:r w:rsidRPr="00150EDC">
              <w:rPr>
                <w:spacing w:val="-5"/>
                <w:sz w:val="20"/>
              </w:rPr>
              <w:t xml:space="preserve"> </w:t>
            </w:r>
            <w:r w:rsidRPr="00150EDC">
              <w:rPr>
                <w:sz w:val="20"/>
              </w:rPr>
              <w:t>to</w:t>
            </w:r>
            <w:r w:rsidRPr="00150EDC">
              <w:rPr>
                <w:spacing w:val="-5"/>
                <w:sz w:val="20"/>
              </w:rPr>
              <w:t xml:space="preserve"> </w:t>
            </w:r>
            <w:r w:rsidRPr="00150EDC">
              <w:rPr>
                <w:sz w:val="20"/>
              </w:rPr>
              <w:t>commit or</w:t>
            </w:r>
            <w:r w:rsidRPr="00150EDC">
              <w:rPr>
                <w:spacing w:val="-5"/>
                <w:sz w:val="20"/>
              </w:rPr>
              <w:t xml:space="preserve"> </w:t>
            </w:r>
            <w:r w:rsidRPr="00150EDC">
              <w:rPr>
                <w:sz w:val="20"/>
              </w:rPr>
              <w:t>assist</w:t>
            </w:r>
            <w:r w:rsidRPr="00150EDC">
              <w:rPr>
                <w:spacing w:val="-4"/>
                <w:sz w:val="20"/>
              </w:rPr>
              <w:t xml:space="preserve"> </w:t>
            </w:r>
            <w:r w:rsidRPr="00150EDC">
              <w:rPr>
                <w:sz w:val="20"/>
              </w:rPr>
              <w:t>in</w:t>
            </w:r>
            <w:r w:rsidRPr="00150EDC">
              <w:rPr>
                <w:spacing w:val="-5"/>
                <w:sz w:val="20"/>
              </w:rPr>
              <w:t xml:space="preserve"> </w:t>
            </w:r>
            <w:r w:rsidRPr="00150EDC">
              <w:rPr>
                <w:sz w:val="20"/>
              </w:rPr>
              <w:t>committing any indictable offence</w:t>
            </w:r>
          </w:p>
        </w:tc>
      </w:tr>
      <w:tr w:rsidR="004569EE" w:rsidRPr="007D3144" w14:paraId="4A144821" w14:textId="77777777">
        <w:trPr>
          <w:trHeight w:val="450"/>
        </w:trPr>
        <w:tc>
          <w:tcPr>
            <w:tcW w:w="6517" w:type="dxa"/>
            <w:tcBorders>
              <w:top w:val="single" w:sz="12" w:space="0" w:color="000000"/>
            </w:tcBorders>
          </w:tcPr>
          <w:p w14:paraId="6FA974E4" w14:textId="77777777" w:rsidR="004C7180" w:rsidRPr="00150EDC" w:rsidRDefault="004C7180">
            <w:pPr>
              <w:pStyle w:val="TableParagraph"/>
              <w:spacing w:before="4" w:line="240" w:lineRule="auto"/>
              <w:ind w:left="0"/>
              <w:rPr>
                <w:sz w:val="19"/>
              </w:rPr>
            </w:pPr>
          </w:p>
          <w:p w14:paraId="52F64BE2" w14:textId="77777777" w:rsidR="004C7180" w:rsidRPr="00150EDC" w:rsidRDefault="00CF0754">
            <w:pPr>
              <w:pStyle w:val="TableParagraph"/>
              <w:spacing w:before="0"/>
              <w:rPr>
                <w:sz w:val="20"/>
              </w:rPr>
            </w:pPr>
            <w:r w:rsidRPr="00150EDC">
              <w:rPr>
                <w:sz w:val="20"/>
              </w:rPr>
              <w:t>Offences</w:t>
            </w:r>
            <w:r w:rsidRPr="00150EDC">
              <w:rPr>
                <w:spacing w:val="-5"/>
                <w:sz w:val="20"/>
              </w:rPr>
              <w:t xml:space="preserve"> </w:t>
            </w:r>
            <w:r w:rsidRPr="00150EDC">
              <w:rPr>
                <w:sz w:val="20"/>
              </w:rPr>
              <w:t>Against</w:t>
            </w:r>
            <w:r w:rsidRPr="00150EDC">
              <w:rPr>
                <w:spacing w:val="-6"/>
                <w:sz w:val="20"/>
              </w:rPr>
              <w:t xml:space="preserve"> </w:t>
            </w:r>
            <w:r w:rsidRPr="00150EDC">
              <w:rPr>
                <w:sz w:val="20"/>
              </w:rPr>
              <w:t>the</w:t>
            </w:r>
            <w:r w:rsidRPr="00150EDC">
              <w:rPr>
                <w:spacing w:val="-6"/>
                <w:sz w:val="20"/>
              </w:rPr>
              <w:t xml:space="preserve"> </w:t>
            </w:r>
            <w:r w:rsidRPr="00150EDC">
              <w:rPr>
                <w:sz w:val="20"/>
              </w:rPr>
              <w:t>Person</w:t>
            </w:r>
            <w:r w:rsidRPr="00150EDC">
              <w:rPr>
                <w:spacing w:val="-6"/>
                <w:sz w:val="20"/>
              </w:rPr>
              <w:t xml:space="preserve"> </w:t>
            </w:r>
            <w:r w:rsidRPr="00150EDC">
              <w:rPr>
                <w:sz w:val="20"/>
              </w:rPr>
              <w:t>Act</w:t>
            </w:r>
            <w:r w:rsidRPr="00150EDC">
              <w:rPr>
                <w:spacing w:val="-5"/>
                <w:sz w:val="20"/>
              </w:rPr>
              <w:t xml:space="preserve"> </w:t>
            </w:r>
            <w:r w:rsidRPr="00150EDC">
              <w:rPr>
                <w:sz w:val="20"/>
              </w:rPr>
              <w:t>1861,</w:t>
            </w:r>
            <w:r w:rsidRPr="00150EDC">
              <w:rPr>
                <w:spacing w:val="-6"/>
                <w:sz w:val="20"/>
              </w:rPr>
              <w:t xml:space="preserve"> </w:t>
            </w:r>
            <w:r w:rsidRPr="00150EDC">
              <w:rPr>
                <w:spacing w:val="-5"/>
                <w:sz w:val="20"/>
              </w:rPr>
              <w:t>s22</w:t>
            </w:r>
          </w:p>
        </w:tc>
        <w:tc>
          <w:tcPr>
            <w:tcW w:w="7427" w:type="dxa"/>
            <w:tcBorders>
              <w:top w:val="single" w:sz="12" w:space="0" w:color="000000"/>
            </w:tcBorders>
          </w:tcPr>
          <w:p w14:paraId="4DC9FD16" w14:textId="77777777" w:rsidR="004C7180" w:rsidRPr="00150EDC" w:rsidRDefault="00CF0754">
            <w:pPr>
              <w:pStyle w:val="TableParagraph"/>
              <w:spacing w:before="0" w:line="223" w:lineRule="exact"/>
              <w:rPr>
                <w:sz w:val="20"/>
              </w:rPr>
            </w:pPr>
            <w:r w:rsidRPr="00150EDC">
              <w:rPr>
                <w:sz w:val="20"/>
              </w:rPr>
              <w:t>Using</w:t>
            </w:r>
            <w:r w:rsidRPr="00150EDC">
              <w:rPr>
                <w:spacing w:val="-4"/>
                <w:sz w:val="20"/>
              </w:rPr>
              <w:t xml:space="preserve"> </w:t>
            </w:r>
            <w:r w:rsidRPr="00150EDC">
              <w:rPr>
                <w:sz w:val="20"/>
              </w:rPr>
              <w:t>chloroform</w:t>
            </w:r>
            <w:r w:rsidRPr="00150EDC">
              <w:rPr>
                <w:spacing w:val="-1"/>
                <w:sz w:val="20"/>
              </w:rPr>
              <w:t xml:space="preserve"> </w:t>
            </w:r>
            <w:r w:rsidRPr="00150EDC">
              <w:rPr>
                <w:sz w:val="20"/>
              </w:rPr>
              <w:t>etc</w:t>
            </w:r>
            <w:r w:rsidRPr="00150EDC">
              <w:rPr>
                <w:spacing w:val="-3"/>
                <w:sz w:val="20"/>
              </w:rPr>
              <w:t xml:space="preserve"> </w:t>
            </w:r>
            <w:r w:rsidRPr="00150EDC">
              <w:rPr>
                <w:sz w:val="20"/>
              </w:rPr>
              <w:t>to</w:t>
            </w:r>
            <w:r w:rsidRPr="00150EDC">
              <w:rPr>
                <w:spacing w:val="-4"/>
                <w:sz w:val="20"/>
              </w:rPr>
              <w:t xml:space="preserve"> </w:t>
            </w:r>
            <w:r w:rsidRPr="00150EDC">
              <w:rPr>
                <w:sz w:val="20"/>
              </w:rPr>
              <w:t>commit</w:t>
            </w:r>
            <w:r w:rsidRPr="00150EDC">
              <w:rPr>
                <w:spacing w:val="2"/>
                <w:sz w:val="20"/>
              </w:rPr>
              <w:t xml:space="preserve"> </w:t>
            </w:r>
            <w:r w:rsidRPr="00150EDC">
              <w:rPr>
                <w:sz w:val="20"/>
              </w:rPr>
              <w:t>or</w:t>
            </w:r>
            <w:r w:rsidRPr="00150EDC">
              <w:rPr>
                <w:spacing w:val="-4"/>
                <w:sz w:val="20"/>
              </w:rPr>
              <w:t xml:space="preserve"> </w:t>
            </w:r>
            <w:r w:rsidRPr="00150EDC">
              <w:rPr>
                <w:sz w:val="20"/>
              </w:rPr>
              <w:t>assist</w:t>
            </w:r>
            <w:r w:rsidRPr="00150EDC">
              <w:rPr>
                <w:spacing w:val="-3"/>
                <w:sz w:val="20"/>
              </w:rPr>
              <w:t xml:space="preserve"> </w:t>
            </w:r>
            <w:r w:rsidRPr="00150EDC">
              <w:rPr>
                <w:sz w:val="20"/>
              </w:rPr>
              <w:t>in</w:t>
            </w:r>
            <w:r w:rsidRPr="00150EDC">
              <w:rPr>
                <w:spacing w:val="-4"/>
                <w:sz w:val="20"/>
              </w:rPr>
              <w:t xml:space="preserve"> </w:t>
            </w:r>
            <w:r w:rsidRPr="00150EDC">
              <w:rPr>
                <w:sz w:val="20"/>
              </w:rPr>
              <w:t>the</w:t>
            </w:r>
            <w:r w:rsidRPr="00150EDC">
              <w:rPr>
                <w:spacing w:val="-4"/>
                <w:sz w:val="20"/>
              </w:rPr>
              <w:t xml:space="preserve"> </w:t>
            </w:r>
            <w:r w:rsidRPr="00150EDC">
              <w:rPr>
                <w:sz w:val="20"/>
              </w:rPr>
              <w:t>committing</w:t>
            </w:r>
            <w:r w:rsidRPr="00150EDC">
              <w:rPr>
                <w:spacing w:val="-4"/>
                <w:sz w:val="20"/>
              </w:rPr>
              <w:t xml:space="preserve"> </w:t>
            </w:r>
            <w:r w:rsidRPr="00150EDC">
              <w:rPr>
                <w:sz w:val="20"/>
              </w:rPr>
              <w:t>of</w:t>
            </w:r>
            <w:r w:rsidRPr="00150EDC">
              <w:rPr>
                <w:spacing w:val="-4"/>
                <w:sz w:val="20"/>
              </w:rPr>
              <w:t xml:space="preserve"> </w:t>
            </w:r>
            <w:r w:rsidRPr="00150EDC">
              <w:rPr>
                <w:sz w:val="20"/>
              </w:rPr>
              <w:t>any</w:t>
            </w:r>
            <w:r w:rsidRPr="00150EDC">
              <w:rPr>
                <w:spacing w:val="-3"/>
                <w:sz w:val="20"/>
              </w:rPr>
              <w:t xml:space="preserve"> </w:t>
            </w:r>
            <w:r w:rsidRPr="00150EDC">
              <w:rPr>
                <w:spacing w:val="-2"/>
                <w:sz w:val="20"/>
              </w:rPr>
              <w:t>indictable</w:t>
            </w:r>
          </w:p>
          <w:p w14:paraId="58FF029E" w14:textId="77777777" w:rsidR="004C7180" w:rsidRPr="00150EDC" w:rsidRDefault="00CF0754">
            <w:pPr>
              <w:pStyle w:val="TableParagraph"/>
              <w:spacing w:before="0"/>
              <w:rPr>
                <w:sz w:val="20"/>
              </w:rPr>
            </w:pPr>
            <w:r w:rsidRPr="00150EDC">
              <w:rPr>
                <w:spacing w:val="-2"/>
                <w:sz w:val="20"/>
              </w:rPr>
              <w:t>offence</w:t>
            </w:r>
          </w:p>
        </w:tc>
      </w:tr>
      <w:tr w:rsidR="004569EE" w:rsidRPr="007D3144" w14:paraId="210A8273" w14:textId="77777777">
        <w:trPr>
          <w:trHeight w:val="460"/>
        </w:trPr>
        <w:tc>
          <w:tcPr>
            <w:tcW w:w="6517" w:type="dxa"/>
          </w:tcPr>
          <w:p w14:paraId="072006F0" w14:textId="77777777" w:rsidR="004C7180" w:rsidRPr="00150EDC" w:rsidRDefault="004C7180">
            <w:pPr>
              <w:pStyle w:val="TableParagraph"/>
              <w:spacing w:before="2" w:line="240" w:lineRule="auto"/>
              <w:ind w:left="0"/>
              <w:rPr>
                <w:sz w:val="20"/>
              </w:rPr>
            </w:pPr>
          </w:p>
          <w:p w14:paraId="72B6DCB5" w14:textId="77777777" w:rsidR="004C7180" w:rsidRPr="00150EDC" w:rsidRDefault="00CF0754">
            <w:pPr>
              <w:pStyle w:val="TableParagraph"/>
              <w:spacing w:before="0"/>
              <w:rPr>
                <w:sz w:val="20"/>
              </w:rPr>
            </w:pPr>
            <w:r w:rsidRPr="00150EDC">
              <w:rPr>
                <w:sz w:val="20"/>
              </w:rPr>
              <w:t>Offences</w:t>
            </w:r>
            <w:r w:rsidRPr="00150EDC">
              <w:rPr>
                <w:spacing w:val="-5"/>
                <w:sz w:val="20"/>
              </w:rPr>
              <w:t xml:space="preserve"> </w:t>
            </w:r>
            <w:r w:rsidRPr="00150EDC">
              <w:rPr>
                <w:sz w:val="20"/>
              </w:rPr>
              <w:t>Against</w:t>
            </w:r>
            <w:r w:rsidRPr="00150EDC">
              <w:rPr>
                <w:spacing w:val="-6"/>
                <w:sz w:val="20"/>
              </w:rPr>
              <w:t xml:space="preserve"> </w:t>
            </w:r>
            <w:r w:rsidRPr="00150EDC">
              <w:rPr>
                <w:sz w:val="20"/>
              </w:rPr>
              <w:t>the</w:t>
            </w:r>
            <w:r w:rsidRPr="00150EDC">
              <w:rPr>
                <w:spacing w:val="-6"/>
                <w:sz w:val="20"/>
              </w:rPr>
              <w:t xml:space="preserve"> </w:t>
            </w:r>
            <w:r w:rsidRPr="00150EDC">
              <w:rPr>
                <w:sz w:val="20"/>
              </w:rPr>
              <w:t>Person</w:t>
            </w:r>
            <w:r w:rsidRPr="00150EDC">
              <w:rPr>
                <w:spacing w:val="-6"/>
                <w:sz w:val="20"/>
              </w:rPr>
              <w:t xml:space="preserve"> </w:t>
            </w:r>
            <w:r w:rsidRPr="00150EDC">
              <w:rPr>
                <w:sz w:val="20"/>
              </w:rPr>
              <w:t>Act</w:t>
            </w:r>
            <w:r w:rsidRPr="00150EDC">
              <w:rPr>
                <w:spacing w:val="-5"/>
                <w:sz w:val="20"/>
              </w:rPr>
              <w:t xml:space="preserve"> </w:t>
            </w:r>
            <w:r w:rsidRPr="00150EDC">
              <w:rPr>
                <w:sz w:val="20"/>
              </w:rPr>
              <w:t>1861,</w:t>
            </w:r>
            <w:r w:rsidRPr="00150EDC">
              <w:rPr>
                <w:spacing w:val="-6"/>
                <w:sz w:val="20"/>
              </w:rPr>
              <w:t xml:space="preserve"> </w:t>
            </w:r>
            <w:r w:rsidRPr="00150EDC">
              <w:rPr>
                <w:spacing w:val="-5"/>
                <w:sz w:val="20"/>
              </w:rPr>
              <w:t>s23</w:t>
            </w:r>
          </w:p>
        </w:tc>
        <w:tc>
          <w:tcPr>
            <w:tcW w:w="7427" w:type="dxa"/>
          </w:tcPr>
          <w:p w14:paraId="6C3DFC72" w14:textId="77777777" w:rsidR="004C7180" w:rsidRPr="00150EDC" w:rsidRDefault="00CF0754">
            <w:pPr>
              <w:pStyle w:val="TableParagraph"/>
              <w:spacing w:before="0" w:line="230" w:lineRule="atLeast"/>
              <w:ind w:right="186"/>
              <w:rPr>
                <w:sz w:val="20"/>
              </w:rPr>
            </w:pPr>
            <w:r w:rsidRPr="00150EDC">
              <w:rPr>
                <w:sz w:val="20"/>
              </w:rPr>
              <w:t>Maliciously</w:t>
            </w:r>
            <w:r w:rsidRPr="00150EDC">
              <w:rPr>
                <w:spacing w:val="-6"/>
                <w:sz w:val="20"/>
              </w:rPr>
              <w:t xml:space="preserve"> </w:t>
            </w:r>
            <w:r w:rsidRPr="00150EDC">
              <w:rPr>
                <w:sz w:val="20"/>
              </w:rPr>
              <w:t>administering</w:t>
            </w:r>
            <w:r w:rsidRPr="00150EDC">
              <w:rPr>
                <w:spacing w:val="-7"/>
                <w:sz w:val="20"/>
              </w:rPr>
              <w:t xml:space="preserve"> </w:t>
            </w:r>
            <w:r w:rsidRPr="00150EDC">
              <w:rPr>
                <w:sz w:val="20"/>
              </w:rPr>
              <w:t>poison</w:t>
            </w:r>
            <w:r w:rsidRPr="00150EDC">
              <w:rPr>
                <w:spacing w:val="-7"/>
                <w:sz w:val="20"/>
              </w:rPr>
              <w:t xml:space="preserve"> </w:t>
            </w:r>
            <w:r w:rsidRPr="00150EDC">
              <w:rPr>
                <w:sz w:val="20"/>
              </w:rPr>
              <w:t>etc</w:t>
            </w:r>
            <w:r w:rsidRPr="00150EDC">
              <w:rPr>
                <w:spacing w:val="-6"/>
                <w:sz w:val="20"/>
              </w:rPr>
              <w:t xml:space="preserve"> </w:t>
            </w:r>
            <w:r w:rsidRPr="00150EDC">
              <w:rPr>
                <w:sz w:val="20"/>
              </w:rPr>
              <w:t>so</w:t>
            </w:r>
            <w:r w:rsidRPr="00150EDC">
              <w:rPr>
                <w:spacing w:val="-2"/>
                <w:sz w:val="20"/>
              </w:rPr>
              <w:t xml:space="preserve"> </w:t>
            </w:r>
            <w:r w:rsidRPr="00150EDC">
              <w:rPr>
                <w:sz w:val="20"/>
              </w:rPr>
              <w:t>as</w:t>
            </w:r>
            <w:r w:rsidRPr="00150EDC">
              <w:rPr>
                <w:spacing w:val="-6"/>
                <w:sz w:val="20"/>
              </w:rPr>
              <w:t xml:space="preserve"> </w:t>
            </w:r>
            <w:r w:rsidRPr="00150EDC">
              <w:rPr>
                <w:sz w:val="20"/>
              </w:rPr>
              <w:t>to</w:t>
            </w:r>
            <w:r w:rsidRPr="00150EDC">
              <w:rPr>
                <w:spacing w:val="-3"/>
                <w:sz w:val="20"/>
              </w:rPr>
              <w:t xml:space="preserve"> </w:t>
            </w:r>
            <w:r w:rsidRPr="00150EDC">
              <w:rPr>
                <w:sz w:val="20"/>
              </w:rPr>
              <w:t>endanger</w:t>
            </w:r>
            <w:r w:rsidRPr="00150EDC">
              <w:rPr>
                <w:spacing w:val="-2"/>
                <w:sz w:val="20"/>
              </w:rPr>
              <w:t xml:space="preserve"> </w:t>
            </w:r>
            <w:r w:rsidRPr="00150EDC">
              <w:rPr>
                <w:sz w:val="20"/>
              </w:rPr>
              <w:t>life</w:t>
            </w:r>
            <w:r w:rsidRPr="00150EDC">
              <w:rPr>
                <w:spacing w:val="-7"/>
                <w:sz w:val="20"/>
              </w:rPr>
              <w:t xml:space="preserve"> </w:t>
            </w:r>
            <w:r w:rsidRPr="00150EDC">
              <w:rPr>
                <w:sz w:val="20"/>
              </w:rPr>
              <w:t>or</w:t>
            </w:r>
            <w:r w:rsidRPr="00150EDC">
              <w:rPr>
                <w:spacing w:val="-7"/>
                <w:sz w:val="20"/>
              </w:rPr>
              <w:t xml:space="preserve"> </w:t>
            </w:r>
            <w:r w:rsidRPr="00150EDC">
              <w:rPr>
                <w:sz w:val="20"/>
              </w:rPr>
              <w:t>inflict</w:t>
            </w:r>
            <w:r w:rsidRPr="00150EDC">
              <w:rPr>
                <w:spacing w:val="-2"/>
                <w:sz w:val="20"/>
              </w:rPr>
              <w:t xml:space="preserve"> </w:t>
            </w:r>
            <w:r w:rsidRPr="00150EDC">
              <w:rPr>
                <w:sz w:val="20"/>
              </w:rPr>
              <w:t>grevious bodily harm</w:t>
            </w:r>
          </w:p>
        </w:tc>
      </w:tr>
      <w:tr w:rsidR="004569EE" w:rsidRPr="007D3144" w14:paraId="7923E939" w14:textId="77777777">
        <w:trPr>
          <w:trHeight w:val="255"/>
        </w:trPr>
        <w:tc>
          <w:tcPr>
            <w:tcW w:w="6517" w:type="dxa"/>
          </w:tcPr>
          <w:p w14:paraId="2B3B31F2" w14:textId="77777777" w:rsidR="004C7180" w:rsidRPr="00150EDC" w:rsidRDefault="00CF0754">
            <w:pPr>
              <w:pStyle w:val="TableParagraph"/>
              <w:rPr>
                <w:sz w:val="20"/>
              </w:rPr>
            </w:pPr>
            <w:r w:rsidRPr="00150EDC">
              <w:rPr>
                <w:sz w:val="20"/>
              </w:rPr>
              <w:t>Offences</w:t>
            </w:r>
            <w:r w:rsidRPr="00150EDC">
              <w:rPr>
                <w:spacing w:val="-5"/>
                <w:sz w:val="20"/>
              </w:rPr>
              <w:t xml:space="preserve"> </w:t>
            </w:r>
            <w:r w:rsidRPr="00150EDC">
              <w:rPr>
                <w:sz w:val="20"/>
              </w:rPr>
              <w:t>Against</w:t>
            </w:r>
            <w:r w:rsidRPr="00150EDC">
              <w:rPr>
                <w:spacing w:val="-6"/>
                <w:sz w:val="20"/>
              </w:rPr>
              <w:t xml:space="preserve"> </w:t>
            </w:r>
            <w:r w:rsidRPr="00150EDC">
              <w:rPr>
                <w:sz w:val="20"/>
              </w:rPr>
              <w:t>the</w:t>
            </w:r>
            <w:r w:rsidRPr="00150EDC">
              <w:rPr>
                <w:spacing w:val="-6"/>
                <w:sz w:val="20"/>
              </w:rPr>
              <w:t xml:space="preserve"> </w:t>
            </w:r>
            <w:r w:rsidRPr="00150EDC">
              <w:rPr>
                <w:sz w:val="20"/>
              </w:rPr>
              <w:t>Person</w:t>
            </w:r>
            <w:r w:rsidRPr="00150EDC">
              <w:rPr>
                <w:spacing w:val="-6"/>
                <w:sz w:val="20"/>
              </w:rPr>
              <w:t xml:space="preserve"> </w:t>
            </w:r>
            <w:r w:rsidRPr="00150EDC">
              <w:rPr>
                <w:sz w:val="20"/>
              </w:rPr>
              <w:t>Act</w:t>
            </w:r>
            <w:r w:rsidRPr="00150EDC">
              <w:rPr>
                <w:spacing w:val="-5"/>
                <w:sz w:val="20"/>
              </w:rPr>
              <w:t xml:space="preserve"> </w:t>
            </w:r>
            <w:r w:rsidRPr="00150EDC">
              <w:rPr>
                <w:sz w:val="20"/>
              </w:rPr>
              <w:t>1861,</w:t>
            </w:r>
            <w:r w:rsidRPr="00150EDC">
              <w:rPr>
                <w:spacing w:val="-6"/>
                <w:sz w:val="20"/>
              </w:rPr>
              <w:t xml:space="preserve"> </w:t>
            </w:r>
            <w:r w:rsidRPr="00150EDC">
              <w:rPr>
                <w:spacing w:val="-5"/>
                <w:sz w:val="20"/>
              </w:rPr>
              <w:t>s27</w:t>
            </w:r>
          </w:p>
        </w:tc>
        <w:tc>
          <w:tcPr>
            <w:tcW w:w="7427" w:type="dxa"/>
          </w:tcPr>
          <w:p w14:paraId="18F7E549" w14:textId="77777777" w:rsidR="004C7180" w:rsidRPr="00150EDC" w:rsidRDefault="00CF0754">
            <w:pPr>
              <w:pStyle w:val="TableParagraph"/>
              <w:rPr>
                <w:sz w:val="20"/>
              </w:rPr>
            </w:pPr>
            <w:r w:rsidRPr="00150EDC">
              <w:rPr>
                <w:sz w:val="20"/>
              </w:rPr>
              <w:t>Exposing</w:t>
            </w:r>
            <w:r w:rsidRPr="00150EDC">
              <w:rPr>
                <w:spacing w:val="-6"/>
                <w:sz w:val="20"/>
              </w:rPr>
              <w:t xml:space="preserve"> </w:t>
            </w:r>
            <w:r w:rsidRPr="00150EDC">
              <w:rPr>
                <w:sz w:val="20"/>
              </w:rPr>
              <w:t>children</w:t>
            </w:r>
            <w:r w:rsidRPr="00150EDC">
              <w:rPr>
                <w:spacing w:val="-5"/>
                <w:sz w:val="20"/>
              </w:rPr>
              <w:t xml:space="preserve"> </w:t>
            </w:r>
            <w:r w:rsidRPr="00150EDC">
              <w:rPr>
                <w:sz w:val="20"/>
              </w:rPr>
              <w:t>whereby</w:t>
            </w:r>
            <w:r w:rsidRPr="00150EDC">
              <w:rPr>
                <w:spacing w:val="-5"/>
                <w:sz w:val="20"/>
              </w:rPr>
              <w:t xml:space="preserve"> </w:t>
            </w:r>
            <w:r w:rsidRPr="00150EDC">
              <w:rPr>
                <w:sz w:val="20"/>
              </w:rPr>
              <w:t>life</w:t>
            </w:r>
            <w:r w:rsidRPr="00150EDC">
              <w:rPr>
                <w:spacing w:val="-5"/>
                <w:sz w:val="20"/>
              </w:rPr>
              <w:t xml:space="preserve"> </w:t>
            </w:r>
            <w:r w:rsidRPr="00150EDC">
              <w:rPr>
                <w:sz w:val="20"/>
              </w:rPr>
              <w:t xml:space="preserve">is </w:t>
            </w:r>
            <w:r w:rsidRPr="00150EDC">
              <w:rPr>
                <w:spacing w:val="-2"/>
                <w:sz w:val="20"/>
              </w:rPr>
              <w:t>endangered</w:t>
            </w:r>
          </w:p>
        </w:tc>
      </w:tr>
      <w:tr w:rsidR="004569EE" w:rsidRPr="007D3144" w14:paraId="2EF13367" w14:textId="77777777">
        <w:trPr>
          <w:trHeight w:val="255"/>
        </w:trPr>
        <w:tc>
          <w:tcPr>
            <w:tcW w:w="6517" w:type="dxa"/>
          </w:tcPr>
          <w:p w14:paraId="71B72963" w14:textId="77777777" w:rsidR="004C7180" w:rsidRPr="00150EDC" w:rsidRDefault="00CF0754">
            <w:pPr>
              <w:pStyle w:val="TableParagraph"/>
              <w:rPr>
                <w:sz w:val="20"/>
              </w:rPr>
            </w:pPr>
            <w:r w:rsidRPr="00150EDC">
              <w:rPr>
                <w:sz w:val="20"/>
              </w:rPr>
              <w:t>Offences</w:t>
            </w:r>
            <w:r w:rsidRPr="00150EDC">
              <w:rPr>
                <w:spacing w:val="-5"/>
                <w:sz w:val="20"/>
              </w:rPr>
              <w:t xml:space="preserve"> </w:t>
            </w:r>
            <w:r w:rsidRPr="00150EDC">
              <w:rPr>
                <w:sz w:val="20"/>
              </w:rPr>
              <w:t>Against</w:t>
            </w:r>
            <w:r w:rsidRPr="00150EDC">
              <w:rPr>
                <w:spacing w:val="-6"/>
                <w:sz w:val="20"/>
              </w:rPr>
              <w:t xml:space="preserve"> </w:t>
            </w:r>
            <w:r w:rsidRPr="00150EDC">
              <w:rPr>
                <w:sz w:val="20"/>
              </w:rPr>
              <w:t>the</w:t>
            </w:r>
            <w:r w:rsidRPr="00150EDC">
              <w:rPr>
                <w:spacing w:val="-6"/>
                <w:sz w:val="20"/>
              </w:rPr>
              <w:t xml:space="preserve"> </w:t>
            </w:r>
            <w:r w:rsidRPr="00150EDC">
              <w:rPr>
                <w:sz w:val="20"/>
              </w:rPr>
              <w:t>Person</w:t>
            </w:r>
            <w:r w:rsidRPr="00150EDC">
              <w:rPr>
                <w:spacing w:val="-6"/>
                <w:sz w:val="20"/>
              </w:rPr>
              <w:t xml:space="preserve"> </w:t>
            </w:r>
            <w:r w:rsidRPr="00150EDC">
              <w:rPr>
                <w:sz w:val="20"/>
              </w:rPr>
              <w:t>Act</w:t>
            </w:r>
            <w:r w:rsidRPr="00150EDC">
              <w:rPr>
                <w:spacing w:val="-5"/>
                <w:sz w:val="20"/>
              </w:rPr>
              <w:t xml:space="preserve"> </w:t>
            </w:r>
            <w:r w:rsidRPr="00150EDC">
              <w:rPr>
                <w:sz w:val="20"/>
              </w:rPr>
              <w:t>1861,</w:t>
            </w:r>
            <w:r w:rsidRPr="00150EDC">
              <w:rPr>
                <w:spacing w:val="-6"/>
                <w:sz w:val="20"/>
              </w:rPr>
              <w:t xml:space="preserve"> </w:t>
            </w:r>
            <w:r w:rsidRPr="00150EDC">
              <w:rPr>
                <w:spacing w:val="-5"/>
                <w:sz w:val="20"/>
              </w:rPr>
              <w:t>s28</w:t>
            </w:r>
          </w:p>
        </w:tc>
        <w:tc>
          <w:tcPr>
            <w:tcW w:w="7427" w:type="dxa"/>
          </w:tcPr>
          <w:p w14:paraId="1ABBBA92" w14:textId="77777777" w:rsidR="004C7180" w:rsidRPr="00150EDC" w:rsidRDefault="00CF0754">
            <w:pPr>
              <w:pStyle w:val="TableParagraph"/>
              <w:rPr>
                <w:sz w:val="20"/>
              </w:rPr>
            </w:pPr>
            <w:r w:rsidRPr="00150EDC">
              <w:rPr>
                <w:sz w:val="20"/>
              </w:rPr>
              <w:t>Causing</w:t>
            </w:r>
            <w:r w:rsidRPr="00150EDC">
              <w:rPr>
                <w:spacing w:val="-7"/>
                <w:sz w:val="20"/>
              </w:rPr>
              <w:t xml:space="preserve"> </w:t>
            </w:r>
            <w:r w:rsidRPr="00150EDC">
              <w:rPr>
                <w:sz w:val="20"/>
              </w:rPr>
              <w:t>bodily</w:t>
            </w:r>
            <w:r w:rsidRPr="00150EDC">
              <w:rPr>
                <w:spacing w:val="-5"/>
                <w:sz w:val="20"/>
              </w:rPr>
              <w:t xml:space="preserve"> </w:t>
            </w:r>
            <w:r w:rsidRPr="00150EDC">
              <w:rPr>
                <w:sz w:val="20"/>
              </w:rPr>
              <w:t>injury</w:t>
            </w:r>
            <w:r w:rsidRPr="00150EDC">
              <w:rPr>
                <w:spacing w:val="-6"/>
                <w:sz w:val="20"/>
              </w:rPr>
              <w:t xml:space="preserve"> </w:t>
            </w:r>
            <w:r w:rsidRPr="00150EDC">
              <w:rPr>
                <w:sz w:val="20"/>
              </w:rPr>
              <w:t>by</w:t>
            </w:r>
            <w:r w:rsidRPr="00150EDC">
              <w:rPr>
                <w:spacing w:val="-1"/>
                <w:sz w:val="20"/>
              </w:rPr>
              <w:t xml:space="preserve"> </w:t>
            </w:r>
            <w:r w:rsidRPr="00150EDC">
              <w:rPr>
                <w:spacing w:val="-2"/>
                <w:sz w:val="20"/>
              </w:rPr>
              <w:t>explosives</w:t>
            </w:r>
          </w:p>
        </w:tc>
      </w:tr>
      <w:tr w:rsidR="004569EE" w:rsidRPr="007D3144" w14:paraId="4D0BFF21" w14:textId="77777777">
        <w:trPr>
          <w:trHeight w:val="255"/>
        </w:trPr>
        <w:tc>
          <w:tcPr>
            <w:tcW w:w="6517" w:type="dxa"/>
          </w:tcPr>
          <w:p w14:paraId="764DD161" w14:textId="77777777" w:rsidR="004C7180" w:rsidRPr="00150EDC" w:rsidRDefault="00CF0754">
            <w:pPr>
              <w:pStyle w:val="TableParagraph"/>
              <w:rPr>
                <w:sz w:val="20"/>
              </w:rPr>
            </w:pPr>
            <w:r w:rsidRPr="00150EDC">
              <w:rPr>
                <w:sz w:val="20"/>
              </w:rPr>
              <w:t>Offences</w:t>
            </w:r>
            <w:r w:rsidRPr="00150EDC">
              <w:rPr>
                <w:spacing w:val="-5"/>
                <w:sz w:val="20"/>
              </w:rPr>
              <w:t xml:space="preserve"> </w:t>
            </w:r>
            <w:r w:rsidRPr="00150EDC">
              <w:rPr>
                <w:sz w:val="20"/>
              </w:rPr>
              <w:t>Against</w:t>
            </w:r>
            <w:r w:rsidRPr="00150EDC">
              <w:rPr>
                <w:spacing w:val="-6"/>
                <w:sz w:val="20"/>
              </w:rPr>
              <w:t xml:space="preserve"> </w:t>
            </w:r>
            <w:r w:rsidRPr="00150EDC">
              <w:rPr>
                <w:sz w:val="20"/>
              </w:rPr>
              <w:t>the</w:t>
            </w:r>
            <w:r w:rsidRPr="00150EDC">
              <w:rPr>
                <w:spacing w:val="-6"/>
                <w:sz w:val="20"/>
              </w:rPr>
              <w:t xml:space="preserve"> </w:t>
            </w:r>
            <w:r w:rsidRPr="00150EDC">
              <w:rPr>
                <w:sz w:val="20"/>
              </w:rPr>
              <w:t>Person</w:t>
            </w:r>
            <w:r w:rsidRPr="00150EDC">
              <w:rPr>
                <w:spacing w:val="-6"/>
                <w:sz w:val="20"/>
              </w:rPr>
              <w:t xml:space="preserve"> </w:t>
            </w:r>
            <w:r w:rsidRPr="00150EDC">
              <w:rPr>
                <w:sz w:val="20"/>
              </w:rPr>
              <w:t>Act</w:t>
            </w:r>
            <w:r w:rsidRPr="00150EDC">
              <w:rPr>
                <w:spacing w:val="-5"/>
                <w:sz w:val="20"/>
              </w:rPr>
              <w:t xml:space="preserve"> </w:t>
            </w:r>
            <w:r w:rsidRPr="00150EDC">
              <w:rPr>
                <w:sz w:val="20"/>
              </w:rPr>
              <w:t>1861,</w:t>
            </w:r>
            <w:r w:rsidRPr="00150EDC">
              <w:rPr>
                <w:spacing w:val="-6"/>
                <w:sz w:val="20"/>
              </w:rPr>
              <w:t xml:space="preserve"> </w:t>
            </w:r>
            <w:r w:rsidRPr="00150EDC">
              <w:rPr>
                <w:spacing w:val="-5"/>
                <w:sz w:val="20"/>
              </w:rPr>
              <w:t>s29</w:t>
            </w:r>
          </w:p>
        </w:tc>
        <w:tc>
          <w:tcPr>
            <w:tcW w:w="7427" w:type="dxa"/>
          </w:tcPr>
          <w:p w14:paraId="226663B6" w14:textId="77777777" w:rsidR="004C7180" w:rsidRPr="00150EDC" w:rsidRDefault="00CF0754">
            <w:pPr>
              <w:pStyle w:val="TableParagraph"/>
              <w:rPr>
                <w:sz w:val="20"/>
              </w:rPr>
            </w:pPr>
            <w:r w:rsidRPr="00150EDC">
              <w:rPr>
                <w:sz w:val="20"/>
              </w:rPr>
              <w:t>Using</w:t>
            </w:r>
            <w:r w:rsidRPr="00150EDC">
              <w:rPr>
                <w:spacing w:val="-6"/>
                <w:sz w:val="20"/>
              </w:rPr>
              <w:t xml:space="preserve"> </w:t>
            </w:r>
            <w:r w:rsidRPr="00150EDC">
              <w:rPr>
                <w:sz w:val="20"/>
              </w:rPr>
              <w:t>explosives</w:t>
            </w:r>
            <w:r w:rsidRPr="00150EDC">
              <w:rPr>
                <w:spacing w:val="-5"/>
                <w:sz w:val="20"/>
              </w:rPr>
              <w:t xml:space="preserve"> </w:t>
            </w:r>
            <w:r w:rsidRPr="00150EDC">
              <w:rPr>
                <w:sz w:val="20"/>
              </w:rPr>
              <w:t>etc</w:t>
            </w:r>
            <w:r w:rsidRPr="00150EDC">
              <w:rPr>
                <w:spacing w:val="-5"/>
                <w:sz w:val="20"/>
              </w:rPr>
              <w:t xml:space="preserve"> </w:t>
            </w:r>
            <w:r w:rsidRPr="00150EDC">
              <w:rPr>
                <w:sz w:val="20"/>
              </w:rPr>
              <w:t>with</w:t>
            </w:r>
            <w:r w:rsidRPr="00150EDC">
              <w:rPr>
                <w:spacing w:val="-6"/>
                <w:sz w:val="20"/>
              </w:rPr>
              <w:t xml:space="preserve"> </w:t>
            </w:r>
            <w:r w:rsidRPr="00150EDC">
              <w:rPr>
                <w:sz w:val="20"/>
              </w:rPr>
              <w:t>intent</w:t>
            </w:r>
            <w:r w:rsidRPr="00150EDC">
              <w:rPr>
                <w:spacing w:val="-6"/>
                <w:sz w:val="20"/>
              </w:rPr>
              <w:t xml:space="preserve"> </w:t>
            </w:r>
            <w:r w:rsidRPr="00150EDC">
              <w:rPr>
                <w:sz w:val="20"/>
              </w:rPr>
              <w:t>to</w:t>
            </w:r>
            <w:r w:rsidRPr="00150EDC">
              <w:rPr>
                <w:spacing w:val="-2"/>
                <w:sz w:val="20"/>
              </w:rPr>
              <w:t xml:space="preserve"> </w:t>
            </w:r>
            <w:r w:rsidRPr="00150EDC">
              <w:rPr>
                <w:sz w:val="20"/>
              </w:rPr>
              <w:t>do</w:t>
            </w:r>
            <w:r w:rsidRPr="00150EDC">
              <w:rPr>
                <w:spacing w:val="-6"/>
                <w:sz w:val="20"/>
              </w:rPr>
              <w:t xml:space="preserve"> </w:t>
            </w:r>
            <w:r w:rsidRPr="00150EDC">
              <w:rPr>
                <w:sz w:val="20"/>
              </w:rPr>
              <w:t>grevious bodily</w:t>
            </w:r>
            <w:r w:rsidRPr="00150EDC">
              <w:rPr>
                <w:spacing w:val="-5"/>
                <w:sz w:val="20"/>
              </w:rPr>
              <w:t xml:space="preserve"> </w:t>
            </w:r>
            <w:r w:rsidRPr="00150EDC">
              <w:rPr>
                <w:spacing w:val="-4"/>
                <w:sz w:val="20"/>
              </w:rPr>
              <w:t>harm</w:t>
            </w:r>
          </w:p>
        </w:tc>
      </w:tr>
      <w:tr w:rsidR="004569EE" w:rsidRPr="007D3144" w14:paraId="187C75E9" w14:textId="77777777">
        <w:trPr>
          <w:trHeight w:val="255"/>
        </w:trPr>
        <w:tc>
          <w:tcPr>
            <w:tcW w:w="6517" w:type="dxa"/>
          </w:tcPr>
          <w:p w14:paraId="60476FCD" w14:textId="77777777" w:rsidR="004C7180" w:rsidRPr="00150EDC" w:rsidRDefault="00CF0754">
            <w:pPr>
              <w:pStyle w:val="TableParagraph"/>
              <w:rPr>
                <w:sz w:val="20"/>
              </w:rPr>
            </w:pPr>
            <w:r w:rsidRPr="00150EDC">
              <w:rPr>
                <w:sz w:val="20"/>
              </w:rPr>
              <w:t>Offences</w:t>
            </w:r>
            <w:r w:rsidRPr="00150EDC">
              <w:rPr>
                <w:spacing w:val="-5"/>
                <w:sz w:val="20"/>
              </w:rPr>
              <w:t xml:space="preserve"> </w:t>
            </w:r>
            <w:r w:rsidRPr="00150EDC">
              <w:rPr>
                <w:sz w:val="20"/>
              </w:rPr>
              <w:t>Against</w:t>
            </w:r>
            <w:r w:rsidRPr="00150EDC">
              <w:rPr>
                <w:spacing w:val="-6"/>
                <w:sz w:val="20"/>
              </w:rPr>
              <w:t xml:space="preserve"> </w:t>
            </w:r>
            <w:r w:rsidRPr="00150EDC">
              <w:rPr>
                <w:sz w:val="20"/>
              </w:rPr>
              <w:t>the</w:t>
            </w:r>
            <w:r w:rsidRPr="00150EDC">
              <w:rPr>
                <w:spacing w:val="-6"/>
                <w:sz w:val="20"/>
              </w:rPr>
              <w:t xml:space="preserve"> </w:t>
            </w:r>
            <w:r w:rsidRPr="00150EDC">
              <w:rPr>
                <w:sz w:val="20"/>
              </w:rPr>
              <w:t>Person</w:t>
            </w:r>
            <w:r w:rsidRPr="00150EDC">
              <w:rPr>
                <w:spacing w:val="-6"/>
                <w:sz w:val="20"/>
              </w:rPr>
              <w:t xml:space="preserve"> </w:t>
            </w:r>
            <w:r w:rsidRPr="00150EDC">
              <w:rPr>
                <w:sz w:val="20"/>
              </w:rPr>
              <w:t>Act</w:t>
            </w:r>
            <w:r w:rsidRPr="00150EDC">
              <w:rPr>
                <w:spacing w:val="-5"/>
                <w:sz w:val="20"/>
              </w:rPr>
              <w:t xml:space="preserve"> </w:t>
            </w:r>
            <w:r w:rsidRPr="00150EDC">
              <w:rPr>
                <w:sz w:val="20"/>
              </w:rPr>
              <w:t>1861,</w:t>
            </w:r>
            <w:r w:rsidRPr="00150EDC">
              <w:rPr>
                <w:spacing w:val="-6"/>
                <w:sz w:val="20"/>
              </w:rPr>
              <w:t xml:space="preserve"> </w:t>
            </w:r>
            <w:r w:rsidRPr="00150EDC">
              <w:rPr>
                <w:spacing w:val="-5"/>
                <w:sz w:val="20"/>
              </w:rPr>
              <w:t>s30</w:t>
            </w:r>
          </w:p>
        </w:tc>
        <w:tc>
          <w:tcPr>
            <w:tcW w:w="7427" w:type="dxa"/>
          </w:tcPr>
          <w:p w14:paraId="2F98EB02" w14:textId="77777777" w:rsidR="004C7180" w:rsidRPr="00150EDC" w:rsidRDefault="00CF0754">
            <w:pPr>
              <w:pStyle w:val="TableParagraph"/>
              <w:rPr>
                <w:sz w:val="20"/>
              </w:rPr>
            </w:pPr>
            <w:r w:rsidRPr="00150EDC">
              <w:rPr>
                <w:sz w:val="20"/>
              </w:rPr>
              <w:t>Placing</w:t>
            </w:r>
            <w:r w:rsidRPr="00150EDC">
              <w:rPr>
                <w:spacing w:val="-7"/>
                <w:sz w:val="20"/>
              </w:rPr>
              <w:t xml:space="preserve"> </w:t>
            </w:r>
            <w:r w:rsidRPr="00150EDC">
              <w:rPr>
                <w:sz w:val="20"/>
              </w:rPr>
              <w:t>explosives</w:t>
            </w:r>
            <w:r w:rsidRPr="00150EDC">
              <w:rPr>
                <w:spacing w:val="-5"/>
                <w:sz w:val="20"/>
              </w:rPr>
              <w:t xml:space="preserve"> </w:t>
            </w:r>
            <w:r w:rsidRPr="00150EDC">
              <w:rPr>
                <w:sz w:val="20"/>
              </w:rPr>
              <w:t>with</w:t>
            </w:r>
            <w:r w:rsidRPr="00150EDC">
              <w:rPr>
                <w:spacing w:val="-6"/>
                <w:sz w:val="20"/>
              </w:rPr>
              <w:t xml:space="preserve"> </w:t>
            </w:r>
            <w:r w:rsidRPr="00150EDC">
              <w:rPr>
                <w:sz w:val="20"/>
              </w:rPr>
              <w:t>intent</w:t>
            </w:r>
            <w:r w:rsidRPr="00150EDC">
              <w:rPr>
                <w:spacing w:val="-2"/>
                <w:sz w:val="20"/>
              </w:rPr>
              <w:t xml:space="preserve"> </w:t>
            </w:r>
            <w:r w:rsidRPr="00150EDC">
              <w:rPr>
                <w:sz w:val="20"/>
              </w:rPr>
              <w:t>to</w:t>
            </w:r>
            <w:r w:rsidRPr="00150EDC">
              <w:rPr>
                <w:spacing w:val="-6"/>
                <w:sz w:val="20"/>
              </w:rPr>
              <w:t xml:space="preserve"> </w:t>
            </w:r>
            <w:r w:rsidRPr="00150EDC">
              <w:rPr>
                <w:sz w:val="20"/>
              </w:rPr>
              <w:t>do</w:t>
            </w:r>
            <w:r w:rsidRPr="00150EDC">
              <w:rPr>
                <w:spacing w:val="-1"/>
                <w:sz w:val="20"/>
              </w:rPr>
              <w:t xml:space="preserve"> </w:t>
            </w:r>
            <w:r w:rsidRPr="00150EDC">
              <w:rPr>
                <w:sz w:val="20"/>
              </w:rPr>
              <w:t>bodily</w:t>
            </w:r>
            <w:r w:rsidRPr="00150EDC">
              <w:rPr>
                <w:spacing w:val="-5"/>
                <w:sz w:val="20"/>
              </w:rPr>
              <w:t xml:space="preserve"> </w:t>
            </w:r>
            <w:r w:rsidRPr="00150EDC">
              <w:rPr>
                <w:spacing w:val="-2"/>
                <w:sz w:val="20"/>
              </w:rPr>
              <w:t>injury</w:t>
            </w:r>
          </w:p>
        </w:tc>
      </w:tr>
      <w:tr w:rsidR="004569EE" w:rsidRPr="007D3144" w14:paraId="4A2AA50E" w14:textId="77777777">
        <w:trPr>
          <w:trHeight w:val="255"/>
        </w:trPr>
        <w:tc>
          <w:tcPr>
            <w:tcW w:w="6517" w:type="dxa"/>
          </w:tcPr>
          <w:p w14:paraId="79C41860" w14:textId="77777777" w:rsidR="004C7180" w:rsidRPr="00150EDC" w:rsidRDefault="00CF0754">
            <w:pPr>
              <w:pStyle w:val="TableParagraph"/>
              <w:rPr>
                <w:sz w:val="20"/>
              </w:rPr>
            </w:pPr>
            <w:r w:rsidRPr="00150EDC">
              <w:rPr>
                <w:sz w:val="20"/>
              </w:rPr>
              <w:t>Offences</w:t>
            </w:r>
            <w:r w:rsidRPr="00150EDC">
              <w:rPr>
                <w:spacing w:val="-5"/>
                <w:sz w:val="20"/>
              </w:rPr>
              <w:t xml:space="preserve"> </w:t>
            </w:r>
            <w:r w:rsidRPr="00150EDC">
              <w:rPr>
                <w:sz w:val="20"/>
              </w:rPr>
              <w:t>Against</w:t>
            </w:r>
            <w:r w:rsidRPr="00150EDC">
              <w:rPr>
                <w:spacing w:val="-6"/>
                <w:sz w:val="20"/>
              </w:rPr>
              <w:t xml:space="preserve"> </w:t>
            </w:r>
            <w:r w:rsidRPr="00150EDC">
              <w:rPr>
                <w:sz w:val="20"/>
              </w:rPr>
              <w:t>the</w:t>
            </w:r>
            <w:r w:rsidRPr="00150EDC">
              <w:rPr>
                <w:spacing w:val="-6"/>
                <w:sz w:val="20"/>
              </w:rPr>
              <w:t xml:space="preserve"> </w:t>
            </w:r>
            <w:r w:rsidRPr="00150EDC">
              <w:rPr>
                <w:sz w:val="20"/>
              </w:rPr>
              <w:t>Person</w:t>
            </w:r>
            <w:r w:rsidRPr="00150EDC">
              <w:rPr>
                <w:spacing w:val="-6"/>
                <w:sz w:val="20"/>
              </w:rPr>
              <w:t xml:space="preserve"> </w:t>
            </w:r>
            <w:r w:rsidRPr="00150EDC">
              <w:rPr>
                <w:sz w:val="20"/>
              </w:rPr>
              <w:t>Act</w:t>
            </w:r>
            <w:r w:rsidRPr="00150EDC">
              <w:rPr>
                <w:spacing w:val="-5"/>
                <w:sz w:val="20"/>
              </w:rPr>
              <w:t xml:space="preserve"> </w:t>
            </w:r>
            <w:r w:rsidRPr="00150EDC">
              <w:rPr>
                <w:sz w:val="20"/>
              </w:rPr>
              <w:t>1861,</w:t>
            </w:r>
            <w:r w:rsidRPr="00150EDC">
              <w:rPr>
                <w:spacing w:val="-6"/>
                <w:sz w:val="20"/>
              </w:rPr>
              <w:t xml:space="preserve"> </w:t>
            </w:r>
            <w:r w:rsidRPr="00150EDC">
              <w:rPr>
                <w:spacing w:val="-5"/>
                <w:sz w:val="20"/>
              </w:rPr>
              <w:t>s31</w:t>
            </w:r>
          </w:p>
        </w:tc>
        <w:tc>
          <w:tcPr>
            <w:tcW w:w="7427" w:type="dxa"/>
          </w:tcPr>
          <w:p w14:paraId="72E80592" w14:textId="77777777" w:rsidR="004C7180" w:rsidRPr="00150EDC" w:rsidRDefault="00CF0754">
            <w:pPr>
              <w:pStyle w:val="TableParagraph"/>
              <w:rPr>
                <w:sz w:val="20"/>
              </w:rPr>
            </w:pPr>
            <w:r w:rsidRPr="00150EDC">
              <w:rPr>
                <w:sz w:val="20"/>
              </w:rPr>
              <w:t>Setting</w:t>
            </w:r>
            <w:r w:rsidRPr="00150EDC">
              <w:rPr>
                <w:spacing w:val="-8"/>
                <w:sz w:val="20"/>
              </w:rPr>
              <w:t xml:space="preserve"> </w:t>
            </w:r>
            <w:r w:rsidRPr="00150EDC">
              <w:rPr>
                <w:sz w:val="20"/>
              </w:rPr>
              <w:t>spring</w:t>
            </w:r>
            <w:r w:rsidRPr="00150EDC">
              <w:rPr>
                <w:spacing w:val="-5"/>
                <w:sz w:val="20"/>
              </w:rPr>
              <w:t xml:space="preserve"> </w:t>
            </w:r>
            <w:r w:rsidRPr="00150EDC">
              <w:rPr>
                <w:sz w:val="20"/>
              </w:rPr>
              <w:t>guns</w:t>
            </w:r>
            <w:r w:rsidRPr="00150EDC">
              <w:rPr>
                <w:spacing w:val="1"/>
                <w:sz w:val="20"/>
              </w:rPr>
              <w:t xml:space="preserve"> </w:t>
            </w:r>
            <w:r w:rsidRPr="00150EDC">
              <w:rPr>
                <w:sz w:val="20"/>
              </w:rPr>
              <w:t>etc</w:t>
            </w:r>
            <w:r w:rsidRPr="00150EDC">
              <w:rPr>
                <w:spacing w:val="-4"/>
                <w:sz w:val="20"/>
              </w:rPr>
              <w:t xml:space="preserve"> </w:t>
            </w:r>
            <w:r w:rsidRPr="00150EDC">
              <w:rPr>
                <w:sz w:val="20"/>
              </w:rPr>
              <w:t>with</w:t>
            </w:r>
            <w:r w:rsidRPr="00150EDC">
              <w:rPr>
                <w:spacing w:val="-5"/>
                <w:sz w:val="20"/>
              </w:rPr>
              <w:t xml:space="preserve"> </w:t>
            </w:r>
            <w:r w:rsidRPr="00150EDC">
              <w:rPr>
                <w:sz w:val="20"/>
              </w:rPr>
              <w:t>intent</w:t>
            </w:r>
            <w:r w:rsidRPr="00150EDC">
              <w:rPr>
                <w:spacing w:val="-5"/>
                <w:sz w:val="20"/>
              </w:rPr>
              <w:t xml:space="preserve"> </w:t>
            </w:r>
            <w:r w:rsidRPr="00150EDC">
              <w:rPr>
                <w:sz w:val="20"/>
              </w:rPr>
              <w:t>to</w:t>
            </w:r>
            <w:r w:rsidRPr="00150EDC">
              <w:rPr>
                <w:spacing w:val="-5"/>
                <w:sz w:val="20"/>
              </w:rPr>
              <w:t xml:space="preserve"> </w:t>
            </w:r>
            <w:r w:rsidRPr="00150EDC">
              <w:rPr>
                <w:sz w:val="20"/>
              </w:rPr>
              <w:t>do grevious</w:t>
            </w:r>
            <w:r w:rsidRPr="00150EDC">
              <w:rPr>
                <w:spacing w:val="-4"/>
                <w:sz w:val="20"/>
              </w:rPr>
              <w:t xml:space="preserve"> </w:t>
            </w:r>
            <w:r w:rsidRPr="00150EDC">
              <w:rPr>
                <w:sz w:val="20"/>
              </w:rPr>
              <w:t>bodily</w:t>
            </w:r>
            <w:r w:rsidRPr="00150EDC">
              <w:rPr>
                <w:spacing w:val="-4"/>
                <w:sz w:val="20"/>
              </w:rPr>
              <w:t xml:space="preserve"> harm</w:t>
            </w:r>
          </w:p>
        </w:tc>
      </w:tr>
      <w:tr w:rsidR="004569EE" w:rsidRPr="007D3144" w14:paraId="1F2C6D04" w14:textId="77777777">
        <w:trPr>
          <w:trHeight w:val="255"/>
        </w:trPr>
        <w:tc>
          <w:tcPr>
            <w:tcW w:w="6517" w:type="dxa"/>
          </w:tcPr>
          <w:p w14:paraId="610ADD08" w14:textId="77777777" w:rsidR="004C7180" w:rsidRPr="00150EDC" w:rsidRDefault="00CF0754">
            <w:pPr>
              <w:pStyle w:val="TableParagraph"/>
              <w:spacing w:before="28"/>
              <w:rPr>
                <w:sz w:val="20"/>
              </w:rPr>
            </w:pPr>
            <w:r w:rsidRPr="00150EDC">
              <w:rPr>
                <w:sz w:val="20"/>
              </w:rPr>
              <w:t>Offences</w:t>
            </w:r>
            <w:r w:rsidRPr="00150EDC">
              <w:rPr>
                <w:spacing w:val="-5"/>
                <w:sz w:val="20"/>
              </w:rPr>
              <w:t xml:space="preserve"> </w:t>
            </w:r>
            <w:r w:rsidRPr="00150EDC">
              <w:rPr>
                <w:sz w:val="20"/>
              </w:rPr>
              <w:t>Against</w:t>
            </w:r>
            <w:r w:rsidRPr="00150EDC">
              <w:rPr>
                <w:spacing w:val="-6"/>
                <w:sz w:val="20"/>
              </w:rPr>
              <w:t xml:space="preserve"> </w:t>
            </w:r>
            <w:r w:rsidRPr="00150EDC">
              <w:rPr>
                <w:sz w:val="20"/>
              </w:rPr>
              <w:t>the</w:t>
            </w:r>
            <w:r w:rsidRPr="00150EDC">
              <w:rPr>
                <w:spacing w:val="-6"/>
                <w:sz w:val="20"/>
              </w:rPr>
              <w:t xml:space="preserve"> </w:t>
            </w:r>
            <w:r w:rsidRPr="00150EDC">
              <w:rPr>
                <w:sz w:val="20"/>
              </w:rPr>
              <w:t>Person</w:t>
            </w:r>
            <w:r w:rsidRPr="00150EDC">
              <w:rPr>
                <w:spacing w:val="-6"/>
                <w:sz w:val="20"/>
              </w:rPr>
              <w:t xml:space="preserve"> </w:t>
            </w:r>
            <w:r w:rsidRPr="00150EDC">
              <w:rPr>
                <w:sz w:val="20"/>
              </w:rPr>
              <w:t>Act</w:t>
            </w:r>
            <w:r w:rsidRPr="00150EDC">
              <w:rPr>
                <w:spacing w:val="-5"/>
                <w:sz w:val="20"/>
              </w:rPr>
              <w:t xml:space="preserve"> </w:t>
            </w:r>
            <w:r w:rsidRPr="00150EDC">
              <w:rPr>
                <w:sz w:val="20"/>
              </w:rPr>
              <w:t>1861,</w:t>
            </w:r>
            <w:r w:rsidRPr="00150EDC">
              <w:rPr>
                <w:spacing w:val="-6"/>
                <w:sz w:val="20"/>
              </w:rPr>
              <w:t xml:space="preserve"> </w:t>
            </w:r>
            <w:r w:rsidRPr="00150EDC">
              <w:rPr>
                <w:spacing w:val="-5"/>
                <w:sz w:val="20"/>
              </w:rPr>
              <w:t>s32</w:t>
            </w:r>
          </w:p>
        </w:tc>
        <w:tc>
          <w:tcPr>
            <w:tcW w:w="7427" w:type="dxa"/>
          </w:tcPr>
          <w:p w14:paraId="78CE58AA" w14:textId="77777777" w:rsidR="004C7180" w:rsidRPr="00150EDC" w:rsidRDefault="00CF0754">
            <w:pPr>
              <w:pStyle w:val="TableParagraph"/>
              <w:spacing w:before="28"/>
              <w:rPr>
                <w:sz w:val="20"/>
              </w:rPr>
            </w:pPr>
            <w:r w:rsidRPr="00150EDC">
              <w:rPr>
                <w:sz w:val="20"/>
              </w:rPr>
              <w:t>Endangering</w:t>
            </w:r>
            <w:r w:rsidRPr="00150EDC">
              <w:rPr>
                <w:spacing w:val="-6"/>
                <w:sz w:val="20"/>
              </w:rPr>
              <w:t xml:space="preserve"> </w:t>
            </w:r>
            <w:r w:rsidRPr="00150EDC">
              <w:rPr>
                <w:sz w:val="20"/>
              </w:rPr>
              <w:t>the</w:t>
            </w:r>
            <w:r w:rsidRPr="00150EDC">
              <w:rPr>
                <w:spacing w:val="-6"/>
                <w:sz w:val="20"/>
              </w:rPr>
              <w:t xml:space="preserve"> </w:t>
            </w:r>
            <w:r w:rsidRPr="00150EDC">
              <w:rPr>
                <w:sz w:val="20"/>
              </w:rPr>
              <w:t>safety of</w:t>
            </w:r>
            <w:r w:rsidRPr="00150EDC">
              <w:rPr>
                <w:spacing w:val="-6"/>
                <w:sz w:val="20"/>
              </w:rPr>
              <w:t xml:space="preserve"> </w:t>
            </w:r>
            <w:r w:rsidRPr="00150EDC">
              <w:rPr>
                <w:sz w:val="20"/>
              </w:rPr>
              <w:t>railway</w:t>
            </w:r>
            <w:r w:rsidRPr="00150EDC">
              <w:rPr>
                <w:spacing w:val="-4"/>
                <w:sz w:val="20"/>
              </w:rPr>
              <w:t xml:space="preserve"> </w:t>
            </w:r>
            <w:r w:rsidRPr="00150EDC">
              <w:rPr>
                <w:spacing w:val="-2"/>
                <w:sz w:val="20"/>
              </w:rPr>
              <w:t>passengers</w:t>
            </w:r>
          </w:p>
        </w:tc>
      </w:tr>
      <w:tr w:rsidR="004569EE" w:rsidRPr="007D3144" w14:paraId="356F61EA" w14:textId="77777777">
        <w:trPr>
          <w:trHeight w:val="255"/>
        </w:trPr>
        <w:tc>
          <w:tcPr>
            <w:tcW w:w="6517" w:type="dxa"/>
          </w:tcPr>
          <w:p w14:paraId="065F04A7" w14:textId="77777777" w:rsidR="004C7180" w:rsidRPr="00150EDC" w:rsidRDefault="00CF0754">
            <w:pPr>
              <w:pStyle w:val="TableParagraph"/>
              <w:rPr>
                <w:sz w:val="20"/>
              </w:rPr>
            </w:pPr>
            <w:r w:rsidRPr="00150EDC">
              <w:rPr>
                <w:sz w:val="20"/>
              </w:rPr>
              <w:t>Offences</w:t>
            </w:r>
            <w:r w:rsidRPr="00150EDC">
              <w:rPr>
                <w:spacing w:val="-5"/>
                <w:sz w:val="20"/>
              </w:rPr>
              <w:t xml:space="preserve"> </w:t>
            </w:r>
            <w:r w:rsidRPr="00150EDC">
              <w:rPr>
                <w:sz w:val="20"/>
              </w:rPr>
              <w:t>Against</w:t>
            </w:r>
            <w:r w:rsidRPr="00150EDC">
              <w:rPr>
                <w:spacing w:val="-6"/>
                <w:sz w:val="20"/>
              </w:rPr>
              <w:t xml:space="preserve"> </w:t>
            </w:r>
            <w:r w:rsidRPr="00150EDC">
              <w:rPr>
                <w:sz w:val="20"/>
              </w:rPr>
              <w:t>the</w:t>
            </w:r>
            <w:r w:rsidRPr="00150EDC">
              <w:rPr>
                <w:spacing w:val="-6"/>
                <w:sz w:val="20"/>
              </w:rPr>
              <w:t xml:space="preserve"> </w:t>
            </w:r>
            <w:r w:rsidRPr="00150EDC">
              <w:rPr>
                <w:sz w:val="20"/>
              </w:rPr>
              <w:t>Person</w:t>
            </w:r>
            <w:r w:rsidRPr="00150EDC">
              <w:rPr>
                <w:spacing w:val="-6"/>
                <w:sz w:val="20"/>
              </w:rPr>
              <w:t xml:space="preserve"> </w:t>
            </w:r>
            <w:r w:rsidRPr="00150EDC">
              <w:rPr>
                <w:sz w:val="20"/>
              </w:rPr>
              <w:t>Act</w:t>
            </w:r>
            <w:r w:rsidRPr="00150EDC">
              <w:rPr>
                <w:spacing w:val="-5"/>
                <w:sz w:val="20"/>
              </w:rPr>
              <w:t xml:space="preserve"> </w:t>
            </w:r>
            <w:r w:rsidRPr="00150EDC">
              <w:rPr>
                <w:sz w:val="20"/>
              </w:rPr>
              <w:t>1861,</w:t>
            </w:r>
            <w:r w:rsidRPr="00150EDC">
              <w:rPr>
                <w:spacing w:val="-6"/>
                <w:sz w:val="20"/>
              </w:rPr>
              <w:t xml:space="preserve"> </w:t>
            </w:r>
            <w:r w:rsidRPr="00150EDC">
              <w:rPr>
                <w:spacing w:val="-5"/>
                <w:sz w:val="20"/>
              </w:rPr>
              <w:t>s35</w:t>
            </w:r>
          </w:p>
        </w:tc>
        <w:tc>
          <w:tcPr>
            <w:tcW w:w="7427" w:type="dxa"/>
          </w:tcPr>
          <w:p w14:paraId="0642381D" w14:textId="77777777" w:rsidR="004C7180" w:rsidRPr="00150EDC" w:rsidRDefault="00CF0754">
            <w:pPr>
              <w:pStyle w:val="TableParagraph"/>
              <w:rPr>
                <w:sz w:val="20"/>
              </w:rPr>
            </w:pPr>
            <w:r w:rsidRPr="00150EDC">
              <w:rPr>
                <w:sz w:val="20"/>
              </w:rPr>
              <w:t>Injuring</w:t>
            </w:r>
            <w:r w:rsidRPr="00150EDC">
              <w:rPr>
                <w:spacing w:val="-3"/>
                <w:sz w:val="20"/>
              </w:rPr>
              <w:t xml:space="preserve"> </w:t>
            </w:r>
            <w:r w:rsidRPr="00150EDC">
              <w:rPr>
                <w:sz w:val="20"/>
              </w:rPr>
              <w:t>persons</w:t>
            </w:r>
            <w:r w:rsidRPr="00150EDC">
              <w:rPr>
                <w:spacing w:val="-6"/>
                <w:sz w:val="20"/>
              </w:rPr>
              <w:t xml:space="preserve"> </w:t>
            </w:r>
            <w:r w:rsidRPr="00150EDC">
              <w:rPr>
                <w:sz w:val="20"/>
              </w:rPr>
              <w:t>by</w:t>
            </w:r>
            <w:r w:rsidRPr="00150EDC">
              <w:rPr>
                <w:spacing w:val="-7"/>
                <w:sz w:val="20"/>
              </w:rPr>
              <w:t xml:space="preserve"> </w:t>
            </w:r>
            <w:r w:rsidRPr="00150EDC">
              <w:rPr>
                <w:sz w:val="20"/>
              </w:rPr>
              <w:t>furious</w:t>
            </w:r>
            <w:r w:rsidRPr="00150EDC">
              <w:rPr>
                <w:spacing w:val="-1"/>
                <w:sz w:val="20"/>
              </w:rPr>
              <w:t xml:space="preserve"> </w:t>
            </w:r>
            <w:r w:rsidRPr="00150EDC">
              <w:rPr>
                <w:spacing w:val="-2"/>
                <w:sz w:val="20"/>
              </w:rPr>
              <w:t>driving</w:t>
            </w:r>
          </w:p>
        </w:tc>
      </w:tr>
      <w:tr w:rsidR="004569EE" w:rsidRPr="007D3144" w14:paraId="1D9CC1FC" w14:textId="77777777">
        <w:trPr>
          <w:trHeight w:val="255"/>
        </w:trPr>
        <w:tc>
          <w:tcPr>
            <w:tcW w:w="6517" w:type="dxa"/>
          </w:tcPr>
          <w:p w14:paraId="0D0C1C63" w14:textId="77777777" w:rsidR="004C7180" w:rsidRPr="00150EDC" w:rsidRDefault="00CF0754">
            <w:pPr>
              <w:pStyle w:val="TableParagraph"/>
              <w:rPr>
                <w:sz w:val="20"/>
              </w:rPr>
            </w:pPr>
            <w:r w:rsidRPr="00150EDC">
              <w:rPr>
                <w:sz w:val="20"/>
              </w:rPr>
              <w:t>Offences</w:t>
            </w:r>
            <w:r w:rsidRPr="00150EDC">
              <w:rPr>
                <w:spacing w:val="-5"/>
                <w:sz w:val="20"/>
              </w:rPr>
              <w:t xml:space="preserve"> </w:t>
            </w:r>
            <w:r w:rsidRPr="00150EDC">
              <w:rPr>
                <w:sz w:val="20"/>
              </w:rPr>
              <w:t>Against</w:t>
            </w:r>
            <w:r w:rsidRPr="00150EDC">
              <w:rPr>
                <w:spacing w:val="-6"/>
                <w:sz w:val="20"/>
              </w:rPr>
              <w:t xml:space="preserve"> </w:t>
            </w:r>
            <w:r w:rsidRPr="00150EDC">
              <w:rPr>
                <w:sz w:val="20"/>
              </w:rPr>
              <w:t>the</w:t>
            </w:r>
            <w:r w:rsidRPr="00150EDC">
              <w:rPr>
                <w:spacing w:val="-6"/>
                <w:sz w:val="20"/>
              </w:rPr>
              <w:t xml:space="preserve"> </w:t>
            </w:r>
            <w:r w:rsidRPr="00150EDC">
              <w:rPr>
                <w:sz w:val="20"/>
              </w:rPr>
              <w:t>Person</w:t>
            </w:r>
            <w:r w:rsidRPr="00150EDC">
              <w:rPr>
                <w:spacing w:val="-6"/>
                <w:sz w:val="20"/>
              </w:rPr>
              <w:t xml:space="preserve"> </w:t>
            </w:r>
            <w:r w:rsidRPr="00150EDC">
              <w:rPr>
                <w:sz w:val="20"/>
              </w:rPr>
              <w:t>Act</w:t>
            </w:r>
            <w:r w:rsidRPr="00150EDC">
              <w:rPr>
                <w:spacing w:val="-5"/>
                <w:sz w:val="20"/>
              </w:rPr>
              <w:t xml:space="preserve"> </w:t>
            </w:r>
            <w:r w:rsidRPr="00150EDC">
              <w:rPr>
                <w:sz w:val="20"/>
              </w:rPr>
              <w:t>1861,</w:t>
            </w:r>
            <w:r w:rsidRPr="00150EDC">
              <w:rPr>
                <w:spacing w:val="-6"/>
                <w:sz w:val="20"/>
              </w:rPr>
              <w:t xml:space="preserve"> </w:t>
            </w:r>
            <w:r w:rsidRPr="00150EDC">
              <w:rPr>
                <w:spacing w:val="-5"/>
                <w:sz w:val="20"/>
              </w:rPr>
              <w:t>s37</w:t>
            </w:r>
          </w:p>
        </w:tc>
        <w:tc>
          <w:tcPr>
            <w:tcW w:w="7427" w:type="dxa"/>
          </w:tcPr>
          <w:p w14:paraId="24A9B54B" w14:textId="77777777" w:rsidR="004C7180" w:rsidRPr="00150EDC" w:rsidRDefault="00CF0754">
            <w:pPr>
              <w:pStyle w:val="TableParagraph"/>
              <w:rPr>
                <w:sz w:val="20"/>
              </w:rPr>
            </w:pPr>
            <w:r w:rsidRPr="00150EDC">
              <w:rPr>
                <w:sz w:val="20"/>
              </w:rPr>
              <w:t>Assaulting</w:t>
            </w:r>
            <w:r w:rsidRPr="00150EDC">
              <w:rPr>
                <w:spacing w:val="-9"/>
                <w:sz w:val="20"/>
              </w:rPr>
              <w:t xml:space="preserve"> </w:t>
            </w:r>
            <w:r w:rsidRPr="00150EDC">
              <w:rPr>
                <w:sz w:val="20"/>
              </w:rPr>
              <w:t>officer</w:t>
            </w:r>
            <w:r w:rsidRPr="00150EDC">
              <w:rPr>
                <w:spacing w:val="-8"/>
                <w:sz w:val="20"/>
              </w:rPr>
              <w:t xml:space="preserve"> </w:t>
            </w:r>
            <w:r w:rsidRPr="00150EDC">
              <w:rPr>
                <w:sz w:val="20"/>
              </w:rPr>
              <w:t>preserving</w:t>
            </w:r>
            <w:r w:rsidRPr="00150EDC">
              <w:rPr>
                <w:spacing w:val="-3"/>
                <w:sz w:val="20"/>
              </w:rPr>
              <w:t xml:space="preserve"> </w:t>
            </w:r>
            <w:r w:rsidRPr="00150EDC">
              <w:rPr>
                <w:spacing w:val="-2"/>
                <w:sz w:val="20"/>
              </w:rPr>
              <w:t>wreck</w:t>
            </w:r>
          </w:p>
        </w:tc>
      </w:tr>
      <w:tr w:rsidR="004569EE" w:rsidRPr="007D3144" w14:paraId="48403837" w14:textId="77777777">
        <w:trPr>
          <w:trHeight w:val="255"/>
        </w:trPr>
        <w:tc>
          <w:tcPr>
            <w:tcW w:w="6517" w:type="dxa"/>
          </w:tcPr>
          <w:p w14:paraId="21CA9BD1" w14:textId="77777777" w:rsidR="004C7180" w:rsidRPr="00150EDC" w:rsidRDefault="00CF0754">
            <w:pPr>
              <w:pStyle w:val="TableParagraph"/>
              <w:rPr>
                <w:sz w:val="20"/>
              </w:rPr>
            </w:pPr>
            <w:r w:rsidRPr="00150EDC">
              <w:rPr>
                <w:sz w:val="20"/>
              </w:rPr>
              <w:t>Offences</w:t>
            </w:r>
            <w:r w:rsidRPr="00150EDC">
              <w:rPr>
                <w:spacing w:val="-5"/>
                <w:sz w:val="20"/>
              </w:rPr>
              <w:t xml:space="preserve"> </w:t>
            </w:r>
            <w:r w:rsidRPr="00150EDC">
              <w:rPr>
                <w:sz w:val="20"/>
              </w:rPr>
              <w:t>Against</w:t>
            </w:r>
            <w:r w:rsidRPr="00150EDC">
              <w:rPr>
                <w:spacing w:val="-6"/>
                <w:sz w:val="20"/>
              </w:rPr>
              <w:t xml:space="preserve"> </w:t>
            </w:r>
            <w:r w:rsidRPr="00150EDC">
              <w:rPr>
                <w:sz w:val="20"/>
              </w:rPr>
              <w:t>the</w:t>
            </w:r>
            <w:r w:rsidRPr="00150EDC">
              <w:rPr>
                <w:spacing w:val="-6"/>
                <w:sz w:val="20"/>
              </w:rPr>
              <w:t xml:space="preserve"> </w:t>
            </w:r>
            <w:r w:rsidRPr="00150EDC">
              <w:rPr>
                <w:sz w:val="20"/>
              </w:rPr>
              <w:t>Person</w:t>
            </w:r>
            <w:r w:rsidRPr="00150EDC">
              <w:rPr>
                <w:spacing w:val="-6"/>
                <w:sz w:val="20"/>
              </w:rPr>
              <w:t xml:space="preserve"> </w:t>
            </w:r>
            <w:r w:rsidRPr="00150EDC">
              <w:rPr>
                <w:sz w:val="20"/>
              </w:rPr>
              <w:t>Act</w:t>
            </w:r>
            <w:r w:rsidRPr="00150EDC">
              <w:rPr>
                <w:spacing w:val="-5"/>
                <w:sz w:val="20"/>
              </w:rPr>
              <w:t xml:space="preserve"> </w:t>
            </w:r>
            <w:r w:rsidRPr="00150EDC">
              <w:rPr>
                <w:sz w:val="20"/>
              </w:rPr>
              <w:t>1861,</w:t>
            </w:r>
            <w:r w:rsidRPr="00150EDC">
              <w:rPr>
                <w:spacing w:val="-6"/>
                <w:sz w:val="20"/>
              </w:rPr>
              <w:t xml:space="preserve"> </w:t>
            </w:r>
            <w:r w:rsidRPr="00150EDC">
              <w:rPr>
                <w:spacing w:val="-5"/>
                <w:sz w:val="20"/>
              </w:rPr>
              <w:t>s38</w:t>
            </w:r>
          </w:p>
        </w:tc>
        <w:tc>
          <w:tcPr>
            <w:tcW w:w="7427" w:type="dxa"/>
          </w:tcPr>
          <w:p w14:paraId="74C86E66" w14:textId="77777777" w:rsidR="004C7180" w:rsidRPr="00150EDC" w:rsidRDefault="00CF0754">
            <w:pPr>
              <w:pStyle w:val="TableParagraph"/>
              <w:rPr>
                <w:sz w:val="20"/>
              </w:rPr>
            </w:pPr>
            <w:r w:rsidRPr="00150EDC">
              <w:rPr>
                <w:sz w:val="20"/>
              </w:rPr>
              <w:t>Assault</w:t>
            </w:r>
            <w:r w:rsidRPr="00150EDC">
              <w:rPr>
                <w:spacing w:val="-5"/>
                <w:sz w:val="20"/>
              </w:rPr>
              <w:t xml:space="preserve"> </w:t>
            </w:r>
            <w:r w:rsidRPr="00150EDC">
              <w:rPr>
                <w:sz w:val="20"/>
              </w:rPr>
              <w:t>with</w:t>
            </w:r>
            <w:r w:rsidRPr="00150EDC">
              <w:rPr>
                <w:spacing w:val="-5"/>
                <w:sz w:val="20"/>
              </w:rPr>
              <w:t xml:space="preserve"> </w:t>
            </w:r>
            <w:r w:rsidRPr="00150EDC">
              <w:rPr>
                <w:sz w:val="20"/>
              </w:rPr>
              <w:t>intent</w:t>
            </w:r>
            <w:r w:rsidRPr="00150EDC">
              <w:rPr>
                <w:spacing w:val="-1"/>
                <w:sz w:val="20"/>
              </w:rPr>
              <w:t xml:space="preserve"> </w:t>
            </w:r>
            <w:r w:rsidRPr="00150EDC">
              <w:rPr>
                <w:sz w:val="20"/>
              </w:rPr>
              <w:t>to</w:t>
            </w:r>
            <w:r w:rsidRPr="00150EDC">
              <w:rPr>
                <w:spacing w:val="-5"/>
                <w:sz w:val="20"/>
              </w:rPr>
              <w:t xml:space="preserve"> </w:t>
            </w:r>
            <w:r w:rsidRPr="00150EDC">
              <w:rPr>
                <w:sz w:val="20"/>
              </w:rPr>
              <w:t>resist</w:t>
            </w:r>
            <w:r w:rsidRPr="00150EDC">
              <w:rPr>
                <w:spacing w:val="-4"/>
                <w:sz w:val="20"/>
              </w:rPr>
              <w:t xml:space="preserve"> </w:t>
            </w:r>
            <w:r w:rsidRPr="00150EDC">
              <w:rPr>
                <w:spacing w:val="-2"/>
                <w:sz w:val="20"/>
              </w:rPr>
              <w:t>arrest</w:t>
            </w:r>
          </w:p>
        </w:tc>
      </w:tr>
      <w:tr w:rsidR="004569EE" w:rsidRPr="007D3144" w14:paraId="6480FEB8" w14:textId="77777777">
        <w:trPr>
          <w:trHeight w:val="255"/>
        </w:trPr>
        <w:tc>
          <w:tcPr>
            <w:tcW w:w="6517" w:type="dxa"/>
          </w:tcPr>
          <w:p w14:paraId="62B964E1" w14:textId="77777777" w:rsidR="004C7180" w:rsidRPr="00150EDC" w:rsidRDefault="00CF0754">
            <w:pPr>
              <w:pStyle w:val="TableParagraph"/>
              <w:spacing w:before="28"/>
              <w:rPr>
                <w:sz w:val="20"/>
              </w:rPr>
            </w:pPr>
            <w:r w:rsidRPr="00150EDC">
              <w:rPr>
                <w:sz w:val="20"/>
              </w:rPr>
              <w:t>Offences</w:t>
            </w:r>
            <w:r w:rsidRPr="00150EDC">
              <w:rPr>
                <w:spacing w:val="-5"/>
                <w:sz w:val="20"/>
              </w:rPr>
              <w:t xml:space="preserve"> </w:t>
            </w:r>
            <w:r w:rsidRPr="00150EDC">
              <w:rPr>
                <w:sz w:val="20"/>
              </w:rPr>
              <w:t>Against</w:t>
            </w:r>
            <w:r w:rsidRPr="00150EDC">
              <w:rPr>
                <w:spacing w:val="-6"/>
                <w:sz w:val="20"/>
              </w:rPr>
              <w:t xml:space="preserve"> </w:t>
            </w:r>
            <w:r w:rsidRPr="00150EDC">
              <w:rPr>
                <w:sz w:val="20"/>
              </w:rPr>
              <w:t>the</w:t>
            </w:r>
            <w:r w:rsidRPr="00150EDC">
              <w:rPr>
                <w:spacing w:val="-6"/>
                <w:sz w:val="20"/>
              </w:rPr>
              <w:t xml:space="preserve"> </w:t>
            </w:r>
            <w:r w:rsidRPr="00150EDC">
              <w:rPr>
                <w:sz w:val="20"/>
              </w:rPr>
              <w:t>Person</w:t>
            </w:r>
            <w:r w:rsidRPr="00150EDC">
              <w:rPr>
                <w:spacing w:val="-5"/>
                <w:sz w:val="20"/>
              </w:rPr>
              <w:t xml:space="preserve"> </w:t>
            </w:r>
            <w:r w:rsidRPr="00150EDC">
              <w:rPr>
                <w:sz w:val="20"/>
              </w:rPr>
              <w:t>Act</w:t>
            </w:r>
            <w:r w:rsidRPr="00150EDC">
              <w:rPr>
                <w:spacing w:val="-5"/>
                <w:sz w:val="20"/>
              </w:rPr>
              <w:t xml:space="preserve"> </w:t>
            </w:r>
            <w:r w:rsidRPr="00150EDC">
              <w:rPr>
                <w:sz w:val="20"/>
              </w:rPr>
              <w:t>1861,</w:t>
            </w:r>
            <w:r w:rsidRPr="00150EDC">
              <w:rPr>
                <w:spacing w:val="-6"/>
                <w:sz w:val="20"/>
              </w:rPr>
              <w:t xml:space="preserve"> </w:t>
            </w:r>
            <w:r w:rsidRPr="00150EDC">
              <w:rPr>
                <w:spacing w:val="-5"/>
                <w:sz w:val="20"/>
              </w:rPr>
              <w:t>s4</w:t>
            </w:r>
          </w:p>
        </w:tc>
        <w:tc>
          <w:tcPr>
            <w:tcW w:w="7427" w:type="dxa"/>
          </w:tcPr>
          <w:p w14:paraId="7D5FEFD7" w14:textId="77777777" w:rsidR="004C7180" w:rsidRPr="00150EDC" w:rsidRDefault="00CF0754">
            <w:pPr>
              <w:pStyle w:val="TableParagraph"/>
              <w:spacing w:before="28"/>
              <w:rPr>
                <w:sz w:val="20"/>
              </w:rPr>
            </w:pPr>
            <w:r w:rsidRPr="00150EDC">
              <w:rPr>
                <w:sz w:val="20"/>
              </w:rPr>
              <w:t>Soliciting</w:t>
            </w:r>
            <w:r w:rsidRPr="00150EDC">
              <w:rPr>
                <w:spacing w:val="-9"/>
                <w:sz w:val="20"/>
              </w:rPr>
              <w:t xml:space="preserve"> </w:t>
            </w:r>
            <w:r w:rsidRPr="00150EDC">
              <w:rPr>
                <w:spacing w:val="-2"/>
                <w:sz w:val="20"/>
              </w:rPr>
              <w:t>murder</w:t>
            </w:r>
          </w:p>
        </w:tc>
      </w:tr>
    </w:tbl>
    <w:p w14:paraId="43B8BD2C" w14:textId="77777777" w:rsidR="004C7180" w:rsidRPr="00150EDC" w:rsidRDefault="004C7180">
      <w:pPr>
        <w:rPr>
          <w:sz w:val="20"/>
        </w:rPr>
        <w:sectPr w:rsidR="004C7180" w:rsidRPr="00150EDC">
          <w:footerReference w:type="default" r:id="rId139"/>
          <w:pgSz w:w="16840" w:h="11910" w:orient="landscape"/>
          <w:pgMar w:top="1340" w:right="1320" w:bottom="280" w:left="1340" w:header="0" w:footer="0" w:gutter="0"/>
          <w:cols w:space="720"/>
        </w:sectPr>
      </w:pPr>
    </w:p>
    <w:p w14:paraId="213E2325" w14:textId="77777777" w:rsidR="004C7180" w:rsidRPr="00150EDC" w:rsidRDefault="004C7180">
      <w:pPr>
        <w:pStyle w:val="BodyText"/>
        <w:spacing w:before="3"/>
        <w:rPr>
          <w:sz w:val="8"/>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517"/>
        <w:gridCol w:w="7427"/>
      </w:tblGrid>
      <w:tr w:rsidR="004569EE" w:rsidRPr="007D3144" w14:paraId="6F58603A" w14:textId="77777777">
        <w:trPr>
          <w:trHeight w:val="254"/>
        </w:trPr>
        <w:tc>
          <w:tcPr>
            <w:tcW w:w="6517" w:type="dxa"/>
          </w:tcPr>
          <w:p w14:paraId="67D6F3F8" w14:textId="77777777" w:rsidR="004C7180" w:rsidRPr="00150EDC" w:rsidRDefault="00CF0754">
            <w:pPr>
              <w:pStyle w:val="TableParagraph"/>
              <w:rPr>
                <w:sz w:val="20"/>
              </w:rPr>
            </w:pPr>
            <w:r w:rsidRPr="00150EDC">
              <w:rPr>
                <w:sz w:val="20"/>
              </w:rPr>
              <w:t>Offences</w:t>
            </w:r>
            <w:r w:rsidRPr="00150EDC">
              <w:rPr>
                <w:spacing w:val="-5"/>
                <w:sz w:val="20"/>
              </w:rPr>
              <w:t xml:space="preserve"> </w:t>
            </w:r>
            <w:r w:rsidRPr="00150EDC">
              <w:rPr>
                <w:sz w:val="20"/>
              </w:rPr>
              <w:t>Against</w:t>
            </w:r>
            <w:r w:rsidRPr="00150EDC">
              <w:rPr>
                <w:spacing w:val="-6"/>
                <w:sz w:val="20"/>
              </w:rPr>
              <w:t xml:space="preserve"> </w:t>
            </w:r>
            <w:r w:rsidRPr="00150EDC">
              <w:rPr>
                <w:sz w:val="20"/>
              </w:rPr>
              <w:t>the</w:t>
            </w:r>
            <w:r w:rsidRPr="00150EDC">
              <w:rPr>
                <w:spacing w:val="-6"/>
                <w:sz w:val="20"/>
              </w:rPr>
              <w:t xml:space="preserve"> </w:t>
            </w:r>
            <w:r w:rsidRPr="00150EDC">
              <w:rPr>
                <w:sz w:val="20"/>
              </w:rPr>
              <w:t>Person</w:t>
            </w:r>
            <w:r w:rsidRPr="00150EDC">
              <w:rPr>
                <w:spacing w:val="-6"/>
                <w:sz w:val="20"/>
              </w:rPr>
              <w:t xml:space="preserve"> </w:t>
            </w:r>
            <w:r w:rsidRPr="00150EDC">
              <w:rPr>
                <w:sz w:val="20"/>
              </w:rPr>
              <w:t>Act</w:t>
            </w:r>
            <w:r w:rsidRPr="00150EDC">
              <w:rPr>
                <w:spacing w:val="-5"/>
                <w:sz w:val="20"/>
              </w:rPr>
              <w:t xml:space="preserve"> </w:t>
            </w:r>
            <w:r w:rsidRPr="00150EDC">
              <w:rPr>
                <w:sz w:val="20"/>
              </w:rPr>
              <w:t>1861,</w:t>
            </w:r>
            <w:r w:rsidRPr="00150EDC">
              <w:rPr>
                <w:spacing w:val="-6"/>
                <w:sz w:val="20"/>
              </w:rPr>
              <w:t xml:space="preserve"> </w:t>
            </w:r>
            <w:r w:rsidRPr="00150EDC">
              <w:rPr>
                <w:spacing w:val="-5"/>
                <w:sz w:val="20"/>
              </w:rPr>
              <w:t>s42</w:t>
            </w:r>
          </w:p>
        </w:tc>
        <w:tc>
          <w:tcPr>
            <w:tcW w:w="7427" w:type="dxa"/>
          </w:tcPr>
          <w:p w14:paraId="3C5A4D68" w14:textId="77777777" w:rsidR="004C7180" w:rsidRPr="00150EDC" w:rsidRDefault="00CF0754">
            <w:pPr>
              <w:pStyle w:val="TableParagraph"/>
              <w:rPr>
                <w:sz w:val="20"/>
              </w:rPr>
            </w:pPr>
            <w:r w:rsidRPr="00150EDC">
              <w:rPr>
                <w:sz w:val="20"/>
              </w:rPr>
              <w:t>Common</w:t>
            </w:r>
            <w:r w:rsidRPr="00150EDC">
              <w:rPr>
                <w:spacing w:val="-5"/>
                <w:sz w:val="20"/>
              </w:rPr>
              <w:t xml:space="preserve"> </w:t>
            </w:r>
            <w:r w:rsidRPr="00150EDC">
              <w:rPr>
                <w:sz w:val="20"/>
              </w:rPr>
              <w:t>Assault</w:t>
            </w:r>
            <w:r w:rsidRPr="00150EDC">
              <w:rPr>
                <w:spacing w:val="-4"/>
                <w:sz w:val="20"/>
              </w:rPr>
              <w:t xml:space="preserve"> </w:t>
            </w:r>
            <w:r w:rsidRPr="00150EDC">
              <w:rPr>
                <w:sz w:val="20"/>
              </w:rPr>
              <w:t>or</w:t>
            </w:r>
            <w:r w:rsidRPr="00150EDC">
              <w:rPr>
                <w:spacing w:val="-5"/>
                <w:sz w:val="20"/>
              </w:rPr>
              <w:t xml:space="preserve"> </w:t>
            </w:r>
            <w:r w:rsidRPr="00150EDC">
              <w:rPr>
                <w:sz w:val="20"/>
              </w:rPr>
              <w:t>Battery</w:t>
            </w:r>
            <w:r w:rsidRPr="00150EDC">
              <w:rPr>
                <w:spacing w:val="-4"/>
                <w:sz w:val="20"/>
              </w:rPr>
              <w:t xml:space="preserve"> </w:t>
            </w:r>
            <w:r w:rsidRPr="00150EDC">
              <w:rPr>
                <w:sz w:val="20"/>
              </w:rPr>
              <w:t>where</w:t>
            </w:r>
            <w:r w:rsidRPr="00150EDC">
              <w:rPr>
                <w:spacing w:val="-5"/>
                <w:sz w:val="20"/>
              </w:rPr>
              <w:t xml:space="preserve"> </w:t>
            </w:r>
            <w:r w:rsidRPr="00150EDC">
              <w:rPr>
                <w:sz w:val="20"/>
              </w:rPr>
              <w:t>victim was</w:t>
            </w:r>
            <w:r w:rsidRPr="00150EDC">
              <w:rPr>
                <w:spacing w:val="-4"/>
                <w:sz w:val="20"/>
              </w:rPr>
              <w:t xml:space="preserve"> </w:t>
            </w:r>
            <w:r w:rsidRPr="00150EDC">
              <w:rPr>
                <w:sz w:val="20"/>
              </w:rPr>
              <w:t>under</w:t>
            </w:r>
            <w:r w:rsidRPr="00150EDC">
              <w:rPr>
                <w:spacing w:val="-5"/>
                <w:sz w:val="20"/>
              </w:rPr>
              <w:t xml:space="preserve"> 16</w:t>
            </w:r>
          </w:p>
        </w:tc>
      </w:tr>
      <w:tr w:rsidR="004569EE" w:rsidRPr="007D3144" w14:paraId="525327BD" w14:textId="77777777">
        <w:trPr>
          <w:trHeight w:val="255"/>
        </w:trPr>
        <w:tc>
          <w:tcPr>
            <w:tcW w:w="6517" w:type="dxa"/>
          </w:tcPr>
          <w:p w14:paraId="2C707BEB" w14:textId="77777777" w:rsidR="004C7180" w:rsidRPr="00150EDC" w:rsidRDefault="00CF0754">
            <w:pPr>
              <w:pStyle w:val="TableParagraph"/>
              <w:spacing w:before="28"/>
              <w:rPr>
                <w:sz w:val="20"/>
              </w:rPr>
            </w:pPr>
            <w:r w:rsidRPr="00150EDC">
              <w:rPr>
                <w:sz w:val="20"/>
              </w:rPr>
              <w:t>Offences</w:t>
            </w:r>
            <w:r w:rsidRPr="00150EDC">
              <w:rPr>
                <w:spacing w:val="-5"/>
                <w:sz w:val="20"/>
              </w:rPr>
              <w:t xml:space="preserve"> </w:t>
            </w:r>
            <w:r w:rsidRPr="00150EDC">
              <w:rPr>
                <w:sz w:val="20"/>
              </w:rPr>
              <w:t>Against</w:t>
            </w:r>
            <w:r w:rsidRPr="00150EDC">
              <w:rPr>
                <w:spacing w:val="-6"/>
                <w:sz w:val="20"/>
              </w:rPr>
              <w:t xml:space="preserve"> </w:t>
            </w:r>
            <w:r w:rsidRPr="00150EDC">
              <w:rPr>
                <w:sz w:val="20"/>
              </w:rPr>
              <w:t>the</w:t>
            </w:r>
            <w:r w:rsidRPr="00150EDC">
              <w:rPr>
                <w:spacing w:val="-6"/>
                <w:sz w:val="20"/>
              </w:rPr>
              <w:t xml:space="preserve"> </w:t>
            </w:r>
            <w:r w:rsidRPr="00150EDC">
              <w:rPr>
                <w:sz w:val="20"/>
              </w:rPr>
              <w:t>Person</w:t>
            </w:r>
            <w:r w:rsidRPr="00150EDC">
              <w:rPr>
                <w:spacing w:val="-6"/>
                <w:sz w:val="20"/>
              </w:rPr>
              <w:t xml:space="preserve"> </w:t>
            </w:r>
            <w:r w:rsidRPr="00150EDC">
              <w:rPr>
                <w:sz w:val="20"/>
              </w:rPr>
              <w:t>Act</w:t>
            </w:r>
            <w:r w:rsidRPr="00150EDC">
              <w:rPr>
                <w:spacing w:val="-5"/>
                <w:sz w:val="20"/>
              </w:rPr>
              <w:t xml:space="preserve"> </w:t>
            </w:r>
            <w:r w:rsidRPr="00150EDC">
              <w:rPr>
                <w:sz w:val="20"/>
              </w:rPr>
              <w:t>1861,</w:t>
            </w:r>
            <w:r w:rsidRPr="00150EDC">
              <w:rPr>
                <w:spacing w:val="-6"/>
                <w:sz w:val="20"/>
              </w:rPr>
              <w:t xml:space="preserve"> </w:t>
            </w:r>
            <w:r w:rsidRPr="00150EDC">
              <w:rPr>
                <w:spacing w:val="-5"/>
                <w:sz w:val="20"/>
              </w:rPr>
              <w:t>s43</w:t>
            </w:r>
          </w:p>
        </w:tc>
        <w:tc>
          <w:tcPr>
            <w:tcW w:w="7427" w:type="dxa"/>
          </w:tcPr>
          <w:p w14:paraId="724EC11B" w14:textId="77777777" w:rsidR="004C7180" w:rsidRPr="00150EDC" w:rsidRDefault="00CF0754">
            <w:pPr>
              <w:pStyle w:val="TableParagraph"/>
              <w:spacing w:before="28"/>
              <w:rPr>
                <w:sz w:val="20"/>
              </w:rPr>
            </w:pPr>
            <w:r w:rsidRPr="00150EDC">
              <w:rPr>
                <w:sz w:val="20"/>
              </w:rPr>
              <w:t>Aggravated</w:t>
            </w:r>
            <w:r w:rsidRPr="00150EDC">
              <w:rPr>
                <w:spacing w:val="-7"/>
                <w:sz w:val="20"/>
              </w:rPr>
              <w:t xml:space="preserve"> </w:t>
            </w:r>
            <w:r w:rsidRPr="00150EDC">
              <w:rPr>
                <w:sz w:val="20"/>
              </w:rPr>
              <w:t>assault against</w:t>
            </w:r>
            <w:r w:rsidRPr="00150EDC">
              <w:rPr>
                <w:spacing w:val="-6"/>
                <w:sz w:val="20"/>
              </w:rPr>
              <w:t xml:space="preserve"> </w:t>
            </w:r>
            <w:r w:rsidRPr="00150EDC">
              <w:rPr>
                <w:sz w:val="20"/>
              </w:rPr>
              <w:t>a</w:t>
            </w:r>
            <w:r w:rsidRPr="00150EDC">
              <w:rPr>
                <w:spacing w:val="-6"/>
                <w:sz w:val="20"/>
              </w:rPr>
              <w:t xml:space="preserve"> </w:t>
            </w:r>
            <w:r w:rsidRPr="00150EDC">
              <w:rPr>
                <w:sz w:val="20"/>
              </w:rPr>
              <w:t>child</w:t>
            </w:r>
            <w:r w:rsidRPr="00150EDC">
              <w:rPr>
                <w:spacing w:val="-1"/>
                <w:sz w:val="20"/>
              </w:rPr>
              <w:t xml:space="preserve"> </w:t>
            </w:r>
            <w:r w:rsidRPr="00150EDC">
              <w:rPr>
                <w:sz w:val="20"/>
              </w:rPr>
              <w:t>or</w:t>
            </w:r>
            <w:r w:rsidRPr="00150EDC">
              <w:rPr>
                <w:spacing w:val="-6"/>
                <w:sz w:val="20"/>
              </w:rPr>
              <w:t xml:space="preserve"> </w:t>
            </w:r>
            <w:r w:rsidRPr="00150EDC">
              <w:rPr>
                <w:sz w:val="20"/>
              </w:rPr>
              <w:t>young</w:t>
            </w:r>
            <w:r w:rsidRPr="00150EDC">
              <w:rPr>
                <w:spacing w:val="-6"/>
                <w:sz w:val="20"/>
              </w:rPr>
              <w:t xml:space="preserve"> </w:t>
            </w:r>
            <w:r w:rsidRPr="00150EDC">
              <w:rPr>
                <w:spacing w:val="-2"/>
                <w:sz w:val="20"/>
              </w:rPr>
              <w:t>person</w:t>
            </w:r>
          </w:p>
        </w:tc>
      </w:tr>
      <w:tr w:rsidR="004569EE" w:rsidRPr="007D3144" w14:paraId="7FCBE0FD" w14:textId="77777777">
        <w:trPr>
          <w:trHeight w:val="255"/>
        </w:trPr>
        <w:tc>
          <w:tcPr>
            <w:tcW w:w="6517" w:type="dxa"/>
          </w:tcPr>
          <w:p w14:paraId="5B284C1C" w14:textId="77777777" w:rsidR="004C7180" w:rsidRPr="00150EDC" w:rsidRDefault="00CF0754">
            <w:pPr>
              <w:pStyle w:val="TableParagraph"/>
              <w:rPr>
                <w:sz w:val="20"/>
              </w:rPr>
            </w:pPr>
            <w:r w:rsidRPr="00150EDC">
              <w:rPr>
                <w:sz w:val="20"/>
              </w:rPr>
              <w:t>Offences</w:t>
            </w:r>
            <w:r w:rsidRPr="00150EDC">
              <w:rPr>
                <w:spacing w:val="-5"/>
                <w:sz w:val="20"/>
              </w:rPr>
              <w:t xml:space="preserve"> </w:t>
            </w:r>
            <w:r w:rsidRPr="00150EDC">
              <w:rPr>
                <w:sz w:val="20"/>
              </w:rPr>
              <w:t>Against</w:t>
            </w:r>
            <w:r w:rsidRPr="00150EDC">
              <w:rPr>
                <w:spacing w:val="-6"/>
                <w:sz w:val="20"/>
              </w:rPr>
              <w:t xml:space="preserve"> </w:t>
            </w:r>
            <w:r w:rsidRPr="00150EDC">
              <w:rPr>
                <w:sz w:val="20"/>
              </w:rPr>
              <w:t>the</w:t>
            </w:r>
            <w:r w:rsidRPr="00150EDC">
              <w:rPr>
                <w:spacing w:val="-5"/>
                <w:sz w:val="20"/>
              </w:rPr>
              <w:t xml:space="preserve"> </w:t>
            </w:r>
            <w:r w:rsidRPr="00150EDC">
              <w:rPr>
                <w:sz w:val="20"/>
              </w:rPr>
              <w:t>Person</w:t>
            </w:r>
            <w:r w:rsidRPr="00150EDC">
              <w:rPr>
                <w:spacing w:val="-5"/>
                <w:sz w:val="20"/>
              </w:rPr>
              <w:t xml:space="preserve"> </w:t>
            </w:r>
            <w:r w:rsidRPr="00150EDC">
              <w:rPr>
                <w:sz w:val="20"/>
              </w:rPr>
              <w:t>Act</w:t>
            </w:r>
            <w:r w:rsidRPr="00150EDC">
              <w:rPr>
                <w:spacing w:val="-5"/>
                <w:sz w:val="20"/>
              </w:rPr>
              <w:t xml:space="preserve"> </w:t>
            </w:r>
            <w:r w:rsidRPr="00150EDC">
              <w:rPr>
                <w:sz w:val="20"/>
              </w:rPr>
              <w:t>1861,</w:t>
            </w:r>
            <w:r w:rsidRPr="00150EDC">
              <w:rPr>
                <w:spacing w:val="-6"/>
                <w:sz w:val="20"/>
              </w:rPr>
              <w:t xml:space="preserve"> </w:t>
            </w:r>
            <w:r w:rsidRPr="00150EDC">
              <w:rPr>
                <w:spacing w:val="-5"/>
                <w:sz w:val="20"/>
              </w:rPr>
              <w:t>s47</w:t>
            </w:r>
          </w:p>
        </w:tc>
        <w:tc>
          <w:tcPr>
            <w:tcW w:w="7427" w:type="dxa"/>
          </w:tcPr>
          <w:p w14:paraId="33FCAED5" w14:textId="77777777" w:rsidR="004C7180" w:rsidRPr="00150EDC" w:rsidRDefault="00CF0754">
            <w:pPr>
              <w:pStyle w:val="TableParagraph"/>
              <w:rPr>
                <w:sz w:val="20"/>
              </w:rPr>
            </w:pPr>
            <w:r w:rsidRPr="00150EDC">
              <w:rPr>
                <w:sz w:val="20"/>
              </w:rPr>
              <w:t>Assault</w:t>
            </w:r>
            <w:r w:rsidRPr="00150EDC">
              <w:rPr>
                <w:spacing w:val="-8"/>
                <w:sz w:val="20"/>
              </w:rPr>
              <w:t xml:space="preserve"> </w:t>
            </w:r>
            <w:r w:rsidRPr="00150EDC">
              <w:rPr>
                <w:sz w:val="20"/>
              </w:rPr>
              <w:t>ocassioning</w:t>
            </w:r>
            <w:r w:rsidRPr="00150EDC">
              <w:rPr>
                <w:spacing w:val="-8"/>
                <w:sz w:val="20"/>
              </w:rPr>
              <w:t xml:space="preserve"> </w:t>
            </w:r>
            <w:r w:rsidRPr="00150EDC">
              <w:rPr>
                <w:spacing w:val="-5"/>
                <w:sz w:val="20"/>
              </w:rPr>
              <w:t>ABH</w:t>
            </w:r>
          </w:p>
        </w:tc>
      </w:tr>
      <w:tr w:rsidR="004569EE" w:rsidRPr="007D3144" w14:paraId="5E3F3CB9" w14:textId="77777777">
        <w:trPr>
          <w:trHeight w:val="255"/>
        </w:trPr>
        <w:tc>
          <w:tcPr>
            <w:tcW w:w="6517" w:type="dxa"/>
          </w:tcPr>
          <w:p w14:paraId="4B835247" w14:textId="77777777" w:rsidR="004C7180" w:rsidRPr="00150EDC" w:rsidRDefault="00CF0754">
            <w:pPr>
              <w:pStyle w:val="TableParagraph"/>
              <w:rPr>
                <w:sz w:val="20"/>
              </w:rPr>
            </w:pPr>
            <w:r w:rsidRPr="00150EDC">
              <w:rPr>
                <w:sz w:val="20"/>
              </w:rPr>
              <w:t>Offences</w:t>
            </w:r>
            <w:r w:rsidRPr="00150EDC">
              <w:rPr>
                <w:spacing w:val="-5"/>
                <w:sz w:val="20"/>
              </w:rPr>
              <w:t xml:space="preserve"> </w:t>
            </w:r>
            <w:r w:rsidRPr="00150EDC">
              <w:rPr>
                <w:sz w:val="20"/>
              </w:rPr>
              <w:t>Against</w:t>
            </w:r>
            <w:r w:rsidRPr="00150EDC">
              <w:rPr>
                <w:spacing w:val="-6"/>
                <w:sz w:val="20"/>
              </w:rPr>
              <w:t xml:space="preserve"> </w:t>
            </w:r>
            <w:r w:rsidRPr="00150EDC">
              <w:rPr>
                <w:sz w:val="20"/>
              </w:rPr>
              <w:t>the</w:t>
            </w:r>
            <w:r w:rsidRPr="00150EDC">
              <w:rPr>
                <w:spacing w:val="-6"/>
                <w:sz w:val="20"/>
              </w:rPr>
              <w:t xml:space="preserve"> </w:t>
            </w:r>
            <w:r w:rsidRPr="00150EDC">
              <w:rPr>
                <w:sz w:val="20"/>
              </w:rPr>
              <w:t>Person</w:t>
            </w:r>
            <w:r w:rsidRPr="00150EDC">
              <w:rPr>
                <w:spacing w:val="-6"/>
                <w:sz w:val="20"/>
              </w:rPr>
              <w:t xml:space="preserve"> </w:t>
            </w:r>
            <w:r w:rsidRPr="00150EDC">
              <w:rPr>
                <w:sz w:val="20"/>
              </w:rPr>
              <w:t>Act</w:t>
            </w:r>
            <w:r w:rsidRPr="00150EDC">
              <w:rPr>
                <w:spacing w:val="-5"/>
                <w:sz w:val="20"/>
              </w:rPr>
              <w:t xml:space="preserve"> </w:t>
            </w:r>
            <w:r w:rsidRPr="00150EDC">
              <w:rPr>
                <w:sz w:val="20"/>
              </w:rPr>
              <w:t>1861,</w:t>
            </w:r>
            <w:r w:rsidRPr="00150EDC">
              <w:rPr>
                <w:spacing w:val="-6"/>
                <w:sz w:val="20"/>
              </w:rPr>
              <w:t xml:space="preserve"> </w:t>
            </w:r>
            <w:r w:rsidRPr="00150EDC">
              <w:rPr>
                <w:spacing w:val="-5"/>
                <w:sz w:val="20"/>
              </w:rPr>
              <w:t>s48</w:t>
            </w:r>
          </w:p>
        </w:tc>
        <w:tc>
          <w:tcPr>
            <w:tcW w:w="7427" w:type="dxa"/>
          </w:tcPr>
          <w:p w14:paraId="07F85E1D" w14:textId="77777777" w:rsidR="004C7180" w:rsidRPr="00150EDC" w:rsidRDefault="00CF0754">
            <w:pPr>
              <w:pStyle w:val="TableParagraph"/>
              <w:rPr>
                <w:sz w:val="20"/>
              </w:rPr>
            </w:pPr>
            <w:r w:rsidRPr="00150EDC">
              <w:rPr>
                <w:spacing w:val="-4"/>
                <w:sz w:val="20"/>
              </w:rPr>
              <w:t>Rape</w:t>
            </w:r>
          </w:p>
        </w:tc>
      </w:tr>
      <w:tr w:rsidR="004569EE" w:rsidRPr="007D3144" w14:paraId="40955AA8" w14:textId="77777777">
        <w:trPr>
          <w:trHeight w:val="255"/>
        </w:trPr>
        <w:tc>
          <w:tcPr>
            <w:tcW w:w="6517" w:type="dxa"/>
          </w:tcPr>
          <w:p w14:paraId="3B097C45" w14:textId="77777777" w:rsidR="004C7180" w:rsidRPr="00150EDC" w:rsidRDefault="00CF0754">
            <w:pPr>
              <w:pStyle w:val="TableParagraph"/>
              <w:rPr>
                <w:sz w:val="20"/>
              </w:rPr>
            </w:pPr>
            <w:r w:rsidRPr="00150EDC">
              <w:rPr>
                <w:sz w:val="20"/>
              </w:rPr>
              <w:t>Offences</w:t>
            </w:r>
            <w:r w:rsidRPr="00150EDC">
              <w:rPr>
                <w:spacing w:val="-5"/>
                <w:sz w:val="20"/>
              </w:rPr>
              <w:t xml:space="preserve"> </w:t>
            </w:r>
            <w:r w:rsidRPr="00150EDC">
              <w:rPr>
                <w:sz w:val="20"/>
              </w:rPr>
              <w:t>Against</w:t>
            </w:r>
            <w:r w:rsidRPr="00150EDC">
              <w:rPr>
                <w:spacing w:val="-6"/>
                <w:sz w:val="20"/>
              </w:rPr>
              <w:t xml:space="preserve"> </w:t>
            </w:r>
            <w:r w:rsidRPr="00150EDC">
              <w:rPr>
                <w:sz w:val="20"/>
              </w:rPr>
              <w:t>the</w:t>
            </w:r>
            <w:r w:rsidRPr="00150EDC">
              <w:rPr>
                <w:spacing w:val="-6"/>
                <w:sz w:val="20"/>
              </w:rPr>
              <w:t xml:space="preserve"> </w:t>
            </w:r>
            <w:r w:rsidRPr="00150EDC">
              <w:rPr>
                <w:sz w:val="20"/>
              </w:rPr>
              <w:t>Person</w:t>
            </w:r>
            <w:r w:rsidRPr="00150EDC">
              <w:rPr>
                <w:spacing w:val="-6"/>
                <w:sz w:val="20"/>
              </w:rPr>
              <w:t xml:space="preserve"> </w:t>
            </w:r>
            <w:r w:rsidRPr="00150EDC">
              <w:rPr>
                <w:sz w:val="20"/>
              </w:rPr>
              <w:t>Act</w:t>
            </w:r>
            <w:r w:rsidRPr="00150EDC">
              <w:rPr>
                <w:spacing w:val="-5"/>
                <w:sz w:val="20"/>
              </w:rPr>
              <w:t xml:space="preserve"> </w:t>
            </w:r>
            <w:r w:rsidRPr="00150EDC">
              <w:rPr>
                <w:sz w:val="20"/>
              </w:rPr>
              <w:t>1861,</w:t>
            </w:r>
            <w:r w:rsidRPr="00150EDC">
              <w:rPr>
                <w:spacing w:val="-6"/>
                <w:sz w:val="20"/>
              </w:rPr>
              <w:t xml:space="preserve"> </w:t>
            </w:r>
            <w:r w:rsidRPr="00150EDC">
              <w:rPr>
                <w:spacing w:val="-5"/>
                <w:sz w:val="20"/>
              </w:rPr>
              <w:t>s5</w:t>
            </w:r>
          </w:p>
        </w:tc>
        <w:tc>
          <w:tcPr>
            <w:tcW w:w="7427" w:type="dxa"/>
          </w:tcPr>
          <w:p w14:paraId="75F12E97" w14:textId="77777777" w:rsidR="004C7180" w:rsidRPr="00150EDC" w:rsidRDefault="00CF0754">
            <w:pPr>
              <w:pStyle w:val="TableParagraph"/>
              <w:rPr>
                <w:sz w:val="20"/>
              </w:rPr>
            </w:pPr>
            <w:r w:rsidRPr="00150EDC">
              <w:rPr>
                <w:spacing w:val="-2"/>
                <w:sz w:val="20"/>
              </w:rPr>
              <w:t>Manslaughter</w:t>
            </w:r>
          </w:p>
        </w:tc>
      </w:tr>
      <w:tr w:rsidR="004569EE" w:rsidRPr="007D3144" w14:paraId="470E1A84" w14:textId="77777777">
        <w:trPr>
          <w:trHeight w:val="255"/>
        </w:trPr>
        <w:tc>
          <w:tcPr>
            <w:tcW w:w="6517" w:type="dxa"/>
          </w:tcPr>
          <w:p w14:paraId="3CC3A5FD" w14:textId="77777777" w:rsidR="004C7180" w:rsidRPr="00150EDC" w:rsidRDefault="00CF0754">
            <w:pPr>
              <w:pStyle w:val="TableParagraph"/>
              <w:spacing w:before="28"/>
              <w:rPr>
                <w:sz w:val="20"/>
              </w:rPr>
            </w:pPr>
            <w:r w:rsidRPr="00150EDC">
              <w:rPr>
                <w:sz w:val="20"/>
              </w:rPr>
              <w:t>Offences</w:t>
            </w:r>
            <w:r w:rsidRPr="00150EDC">
              <w:rPr>
                <w:spacing w:val="-5"/>
                <w:sz w:val="20"/>
              </w:rPr>
              <w:t xml:space="preserve"> </w:t>
            </w:r>
            <w:r w:rsidRPr="00150EDC">
              <w:rPr>
                <w:sz w:val="20"/>
              </w:rPr>
              <w:t>Against</w:t>
            </w:r>
            <w:r w:rsidRPr="00150EDC">
              <w:rPr>
                <w:spacing w:val="-6"/>
                <w:sz w:val="20"/>
              </w:rPr>
              <w:t xml:space="preserve"> </w:t>
            </w:r>
            <w:r w:rsidRPr="00150EDC">
              <w:rPr>
                <w:sz w:val="20"/>
              </w:rPr>
              <w:t>the</w:t>
            </w:r>
            <w:r w:rsidRPr="00150EDC">
              <w:rPr>
                <w:spacing w:val="-6"/>
                <w:sz w:val="20"/>
              </w:rPr>
              <w:t xml:space="preserve"> </w:t>
            </w:r>
            <w:r w:rsidRPr="00150EDC">
              <w:rPr>
                <w:sz w:val="20"/>
              </w:rPr>
              <w:t>Person</w:t>
            </w:r>
            <w:r w:rsidRPr="00150EDC">
              <w:rPr>
                <w:spacing w:val="-6"/>
                <w:sz w:val="20"/>
              </w:rPr>
              <w:t xml:space="preserve"> </w:t>
            </w:r>
            <w:r w:rsidRPr="00150EDC">
              <w:rPr>
                <w:sz w:val="20"/>
              </w:rPr>
              <w:t>Act</w:t>
            </w:r>
            <w:r w:rsidRPr="00150EDC">
              <w:rPr>
                <w:spacing w:val="-5"/>
                <w:sz w:val="20"/>
              </w:rPr>
              <w:t xml:space="preserve"> </w:t>
            </w:r>
            <w:r w:rsidRPr="00150EDC">
              <w:rPr>
                <w:sz w:val="20"/>
              </w:rPr>
              <w:t>1861,</w:t>
            </w:r>
            <w:r w:rsidRPr="00150EDC">
              <w:rPr>
                <w:spacing w:val="-6"/>
                <w:sz w:val="20"/>
              </w:rPr>
              <w:t xml:space="preserve"> </w:t>
            </w:r>
            <w:r w:rsidRPr="00150EDC">
              <w:rPr>
                <w:spacing w:val="-5"/>
                <w:sz w:val="20"/>
              </w:rPr>
              <w:t>s52</w:t>
            </w:r>
          </w:p>
        </w:tc>
        <w:tc>
          <w:tcPr>
            <w:tcW w:w="7427" w:type="dxa"/>
          </w:tcPr>
          <w:p w14:paraId="38C3B546" w14:textId="77777777" w:rsidR="004C7180" w:rsidRPr="00150EDC" w:rsidRDefault="00CF0754">
            <w:pPr>
              <w:pStyle w:val="TableParagraph"/>
              <w:spacing w:before="28"/>
              <w:rPr>
                <w:sz w:val="20"/>
              </w:rPr>
            </w:pPr>
            <w:r w:rsidRPr="00150EDC">
              <w:rPr>
                <w:sz w:val="20"/>
              </w:rPr>
              <w:t>Indecent</w:t>
            </w:r>
            <w:r w:rsidRPr="00150EDC">
              <w:rPr>
                <w:spacing w:val="-3"/>
                <w:sz w:val="20"/>
              </w:rPr>
              <w:t xml:space="preserve"> </w:t>
            </w:r>
            <w:r w:rsidRPr="00150EDC">
              <w:rPr>
                <w:sz w:val="20"/>
              </w:rPr>
              <w:t>assault</w:t>
            </w:r>
            <w:r w:rsidRPr="00150EDC">
              <w:rPr>
                <w:spacing w:val="-3"/>
                <w:sz w:val="20"/>
              </w:rPr>
              <w:t xml:space="preserve"> </w:t>
            </w:r>
            <w:r w:rsidRPr="00150EDC">
              <w:rPr>
                <w:sz w:val="20"/>
              </w:rPr>
              <w:t>upon</w:t>
            </w:r>
            <w:r w:rsidRPr="00150EDC">
              <w:rPr>
                <w:spacing w:val="-3"/>
                <w:sz w:val="20"/>
              </w:rPr>
              <w:t xml:space="preserve"> </w:t>
            </w:r>
            <w:r w:rsidRPr="00150EDC">
              <w:rPr>
                <w:sz w:val="20"/>
              </w:rPr>
              <w:t>a</w:t>
            </w:r>
            <w:r w:rsidRPr="00150EDC">
              <w:rPr>
                <w:spacing w:val="-8"/>
                <w:sz w:val="20"/>
              </w:rPr>
              <w:t xml:space="preserve"> </w:t>
            </w:r>
            <w:r w:rsidRPr="00150EDC">
              <w:rPr>
                <w:spacing w:val="-2"/>
                <w:sz w:val="20"/>
              </w:rPr>
              <w:t>female</w:t>
            </w:r>
          </w:p>
        </w:tc>
      </w:tr>
      <w:tr w:rsidR="004569EE" w:rsidRPr="007D3144" w14:paraId="5C3A0308" w14:textId="77777777">
        <w:trPr>
          <w:trHeight w:val="255"/>
        </w:trPr>
        <w:tc>
          <w:tcPr>
            <w:tcW w:w="6517" w:type="dxa"/>
          </w:tcPr>
          <w:p w14:paraId="031C1CDD" w14:textId="77777777" w:rsidR="004C7180" w:rsidRPr="00150EDC" w:rsidRDefault="00CF0754">
            <w:pPr>
              <w:pStyle w:val="TableParagraph"/>
              <w:rPr>
                <w:sz w:val="20"/>
              </w:rPr>
            </w:pPr>
            <w:r w:rsidRPr="00150EDC">
              <w:rPr>
                <w:sz w:val="20"/>
              </w:rPr>
              <w:t>Offences</w:t>
            </w:r>
            <w:r w:rsidRPr="00150EDC">
              <w:rPr>
                <w:spacing w:val="-5"/>
                <w:sz w:val="20"/>
              </w:rPr>
              <w:t xml:space="preserve"> </w:t>
            </w:r>
            <w:r w:rsidRPr="00150EDC">
              <w:rPr>
                <w:sz w:val="20"/>
              </w:rPr>
              <w:t>Against</w:t>
            </w:r>
            <w:r w:rsidRPr="00150EDC">
              <w:rPr>
                <w:spacing w:val="-6"/>
                <w:sz w:val="20"/>
              </w:rPr>
              <w:t xml:space="preserve"> </w:t>
            </w:r>
            <w:r w:rsidRPr="00150EDC">
              <w:rPr>
                <w:sz w:val="20"/>
              </w:rPr>
              <w:t>the</w:t>
            </w:r>
            <w:r w:rsidRPr="00150EDC">
              <w:rPr>
                <w:spacing w:val="-6"/>
                <w:sz w:val="20"/>
              </w:rPr>
              <w:t xml:space="preserve"> </w:t>
            </w:r>
            <w:r w:rsidRPr="00150EDC">
              <w:rPr>
                <w:sz w:val="20"/>
              </w:rPr>
              <w:t>Person</w:t>
            </w:r>
            <w:r w:rsidRPr="00150EDC">
              <w:rPr>
                <w:spacing w:val="-3"/>
                <w:sz w:val="20"/>
              </w:rPr>
              <w:t xml:space="preserve"> </w:t>
            </w:r>
            <w:r w:rsidRPr="00150EDC">
              <w:rPr>
                <w:sz w:val="20"/>
              </w:rPr>
              <w:t>Act</w:t>
            </w:r>
            <w:r w:rsidRPr="00150EDC">
              <w:rPr>
                <w:spacing w:val="-5"/>
                <w:sz w:val="20"/>
              </w:rPr>
              <w:t xml:space="preserve"> </w:t>
            </w:r>
            <w:r w:rsidRPr="00150EDC">
              <w:rPr>
                <w:sz w:val="20"/>
              </w:rPr>
              <w:t>1861,</w:t>
            </w:r>
            <w:r w:rsidRPr="00150EDC">
              <w:rPr>
                <w:spacing w:val="-6"/>
                <w:sz w:val="20"/>
              </w:rPr>
              <w:t xml:space="preserve"> </w:t>
            </w:r>
            <w:r w:rsidRPr="00150EDC">
              <w:rPr>
                <w:spacing w:val="-5"/>
                <w:sz w:val="20"/>
              </w:rPr>
              <w:t>s53</w:t>
            </w:r>
          </w:p>
        </w:tc>
        <w:tc>
          <w:tcPr>
            <w:tcW w:w="7427" w:type="dxa"/>
          </w:tcPr>
          <w:p w14:paraId="688BF4C4" w14:textId="77777777" w:rsidR="004C7180" w:rsidRPr="00150EDC" w:rsidRDefault="00CF0754">
            <w:pPr>
              <w:pStyle w:val="TableParagraph"/>
              <w:rPr>
                <w:sz w:val="20"/>
              </w:rPr>
            </w:pPr>
            <w:r w:rsidRPr="00150EDC">
              <w:rPr>
                <w:spacing w:val="-2"/>
                <w:sz w:val="20"/>
              </w:rPr>
              <w:t>Abduction</w:t>
            </w:r>
          </w:p>
        </w:tc>
      </w:tr>
      <w:tr w:rsidR="004569EE" w:rsidRPr="007D3144" w14:paraId="52A3F80D" w14:textId="77777777">
        <w:trPr>
          <w:trHeight w:val="255"/>
        </w:trPr>
        <w:tc>
          <w:tcPr>
            <w:tcW w:w="6517" w:type="dxa"/>
          </w:tcPr>
          <w:p w14:paraId="3893361A" w14:textId="77777777" w:rsidR="004C7180" w:rsidRPr="00150EDC" w:rsidRDefault="00CF0754">
            <w:pPr>
              <w:pStyle w:val="TableParagraph"/>
              <w:rPr>
                <w:sz w:val="20"/>
              </w:rPr>
            </w:pPr>
            <w:r w:rsidRPr="00150EDC">
              <w:rPr>
                <w:sz w:val="20"/>
              </w:rPr>
              <w:t>Offences</w:t>
            </w:r>
            <w:r w:rsidRPr="00150EDC">
              <w:rPr>
                <w:spacing w:val="-5"/>
                <w:sz w:val="20"/>
              </w:rPr>
              <w:t xml:space="preserve"> </w:t>
            </w:r>
            <w:r w:rsidRPr="00150EDC">
              <w:rPr>
                <w:sz w:val="20"/>
              </w:rPr>
              <w:t>Against</w:t>
            </w:r>
            <w:r w:rsidRPr="00150EDC">
              <w:rPr>
                <w:spacing w:val="-6"/>
                <w:sz w:val="20"/>
              </w:rPr>
              <w:t xml:space="preserve"> </w:t>
            </w:r>
            <w:r w:rsidRPr="00150EDC">
              <w:rPr>
                <w:sz w:val="20"/>
              </w:rPr>
              <w:t>the</w:t>
            </w:r>
            <w:r w:rsidRPr="00150EDC">
              <w:rPr>
                <w:spacing w:val="-6"/>
                <w:sz w:val="20"/>
              </w:rPr>
              <w:t xml:space="preserve"> </w:t>
            </w:r>
            <w:r w:rsidRPr="00150EDC">
              <w:rPr>
                <w:sz w:val="20"/>
              </w:rPr>
              <w:t>Person</w:t>
            </w:r>
            <w:r w:rsidRPr="00150EDC">
              <w:rPr>
                <w:spacing w:val="-6"/>
                <w:sz w:val="20"/>
              </w:rPr>
              <w:t xml:space="preserve"> </w:t>
            </w:r>
            <w:r w:rsidRPr="00150EDC">
              <w:rPr>
                <w:sz w:val="20"/>
              </w:rPr>
              <w:t>Act</w:t>
            </w:r>
            <w:r w:rsidRPr="00150EDC">
              <w:rPr>
                <w:spacing w:val="-5"/>
                <w:sz w:val="20"/>
              </w:rPr>
              <w:t xml:space="preserve"> </w:t>
            </w:r>
            <w:r w:rsidRPr="00150EDC">
              <w:rPr>
                <w:sz w:val="20"/>
              </w:rPr>
              <w:t>1861,</w:t>
            </w:r>
            <w:r w:rsidRPr="00150EDC">
              <w:rPr>
                <w:spacing w:val="-6"/>
                <w:sz w:val="20"/>
              </w:rPr>
              <w:t xml:space="preserve"> </w:t>
            </w:r>
            <w:r w:rsidRPr="00150EDC">
              <w:rPr>
                <w:spacing w:val="-5"/>
                <w:sz w:val="20"/>
              </w:rPr>
              <w:t>s54</w:t>
            </w:r>
          </w:p>
        </w:tc>
        <w:tc>
          <w:tcPr>
            <w:tcW w:w="7427" w:type="dxa"/>
          </w:tcPr>
          <w:p w14:paraId="028F6861" w14:textId="77777777" w:rsidR="004C7180" w:rsidRPr="00150EDC" w:rsidRDefault="00CF0754">
            <w:pPr>
              <w:pStyle w:val="TableParagraph"/>
              <w:rPr>
                <w:sz w:val="20"/>
              </w:rPr>
            </w:pPr>
            <w:r w:rsidRPr="00150EDC">
              <w:rPr>
                <w:spacing w:val="-2"/>
                <w:sz w:val="20"/>
              </w:rPr>
              <w:t>Abduction</w:t>
            </w:r>
          </w:p>
        </w:tc>
      </w:tr>
      <w:tr w:rsidR="004569EE" w:rsidRPr="007D3144" w14:paraId="63F6D147" w14:textId="77777777">
        <w:trPr>
          <w:trHeight w:val="255"/>
        </w:trPr>
        <w:tc>
          <w:tcPr>
            <w:tcW w:w="6517" w:type="dxa"/>
          </w:tcPr>
          <w:p w14:paraId="776FE802" w14:textId="77777777" w:rsidR="004C7180" w:rsidRPr="00150EDC" w:rsidRDefault="00CF0754">
            <w:pPr>
              <w:pStyle w:val="TableParagraph"/>
              <w:rPr>
                <w:sz w:val="20"/>
              </w:rPr>
            </w:pPr>
            <w:r w:rsidRPr="00150EDC">
              <w:rPr>
                <w:sz w:val="20"/>
              </w:rPr>
              <w:t>Offences</w:t>
            </w:r>
            <w:r w:rsidRPr="00150EDC">
              <w:rPr>
                <w:spacing w:val="-5"/>
                <w:sz w:val="20"/>
              </w:rPr>
              <w:t xml:space="preserve"> </w:t>
            </w:r>
            <w:r w:rsidRPr="00150EDC">
              <w:rPr>
                <w:sz w:val="20"/>
              </w:rPr>
              <w:t>Against</w:t>
            </w:r>
            <w:r w:rsidRPr="00150EDC">
              <w:rPr>
                <w:spacing w:val="-6"/>
                <w:sz w:val="20"/>
              </w:rPr>
              <w:t xml:space="preserve"> </w:t>
            </w:r>
            <w:r w:rsidRPr="00150EDC">
              <w:rPr>
                <w:sz w:val="20"/>
              </w:rPr>
              <w:t>the</w:t>
            </w:r>
            <w:r w:rsidRPr="00150EDC">
              <w:rPr>
                <w:spacing w:val="-6"/>
                <w:sz w:val="20"/>
              </w:rPr>
              <w:t xml:space="preserve"> </w:t>
            </w:r>
            <w:r w:rsidRPr="00150EDC">
              <w:rPr>
                <w:sz w:val="20"/>
              </w:rPr>
              <w:t>Person</w:t>
            </w:r>
            <w:r w:rsidRPr="00150EDC">
              <w:rPr>
                <w:spacing w:val="-6"/>
                <w:sz w:val="20"/>
              </w:rPr>
              <w:t xml:space="preserve"> </w:t>
            </w:r>
            <w:r w:rsidRPr="00150EDC">
              <w:rPr>
                <w:sz w:val="20"/>
              </w:rPr>
              <w:t>Act</w:t>
            </w:r>
            <w:r w:rsidRPr="00150EDC">
              <w:rPr>
                <w:spacing w:val="-5"/>
                <w:sz w:val="20"/>
              </w:rPr>
              <w:t xml:space="preserve"> </w:t>
            </w:r>
            <w:r w:rsidRPr="00150EDC">
              <w:rPr>
                <w:sz w:val="20"/>
              </w:rPr>
              <w:t>1861,</w:t>
            </w:r>
            <w:r w:rsidRPr="00150EDC">
              <w:rPr>
                <w:spacing w:val="-6"/>
                <w:sz w:val="20"/>
              </w:rPr>
              <w:t xml:space="preserve"> </w:t>
            </w:r>
            <w:r w:rsidRPr="00150EDC">
              <w:rPr>
                <w:spacing w:val="-5"/>
                <w:sz w:val="20"/>
              </w:rPr>
              <w:t>s55</w:t>
            </w:r>
          </w:p>
        </w:tc>
        <w:tc>
          <w:tcPr>
            <w:tcW w:w="7427" w:type="dxa"/>
          </w:tcPr>
          <w:p w14:paraId="1B248B0A" w14:textId="77777777" w:rsidR="004C7180" w:rsidRPr="00150EDC" w:rsidRDefault="00CF0754">
            <w:pPr>
              <w:pStyle w:val="TableParagraph"/>
              <w:rPr>
                <w:sz w:val="20"/>
              </w:rPr>
            </w:pPr>
            <w:r w:rsidRPr="00150EDC">
              <w:rPr>
                <w:sz w:val="20"/>
              </w:rPr>
              <w:t>Abduction</w:t>
            </w:r>
            <w:r w:rsidRPr="00150EDC">
              <w:rPr>
                <w:spacing w:val="-6"/>
                <w:sz w:val="20"/>
              </w:rPr>
              <w:t xml:space="preserve"> </w:t>
            </w:r>
            <w:r w:rsidRPr="00150EDC">
              <w:rPr>
                <w:sz w:val="20"/>
              </w:rPr>
              <w:t>of a</w:t>
            </w:r>
            <w:r w:rsidRPr="00150EDC">
              <w:rPr>
                <w:spacing w:val="-5"/>
                <w:sz w:val="20"/>
              </w:rPr>
              <w:t xml:space="preserve"> </w:t>
            </w:r>
            <w:r w:rsidRPr="00150EDC">
              <w:rPr>
                <w:sz w:val="20"/>
              </w:rPr>
              <w:t>girl</w:t>
            </w:r>
            <w:r w:rsidRPr="00150EDC">
              <w:rPr>
                <w:spacing w:val="1"/>
                <w:sz w:val="20"/>
              </w:rPr>
              <w:t xml:space="preserve"> </w:t>
            </w:r>
            <w:r w:rsidRPr="00150EDC">
              <w:rPr>
                <w:sz w:val="20"/>
              </w:rPr>
              <w:t>under</w:t>
            </w:r>
            <w:r w:rsidRPr="00150EDC">
              <w:rPr>
                <w:spacing w:val="-5"/>
                <w:sz w:val="20"/>
              </w:rPr>
              <w:t xml:space="preserve"> 16</w:t>
            </w:r>
          </w:p>
        </w:tc>
      </w:tr>
      <w:tr w:rsidR="004569EE" w:rsidRPr="007D3144" w14:paraId="7E3AEA7F" w14:textId="77777777">
        <w:trPr>
          <w:trHeight w:val="255"/>
        </w:trPr>
        <w:tc>
          <w:tcPr>
            <w:tcW w:w="6517" w:type="dxa"/>
          </w:tcPr>
          <w:p w14:paraId="0EC7780C" w14:textId="77777777" w:rsidR="004C7180" w:rsidRPr="00150EDC" w:rsidRDefault="00CF0754">
            <w:pPr>
              <w:pStyle w:val="TableParagraph"/>
              <w:rPr>
                <w:sz w:val="20"/>
              </w:rPr>
            </w:pPr>
            <w:r w:rsidRPr="00150EDC">
              <w:rPr>
                <w:sz w:val="20"/>
              </w:rPr>
              <w:t>Offences</w:t>
            </w:r>
            <w:r w:rsidRPr="00150EDC">
              <w:rPr>
                <w:spacing w:val="-5"/>
                <w:sz w:val="20"/>
              </w:rPr>
              <w:t xml:space="preserve"> </w:t>
            </w:r>
            <w:r w:rsidRPr="00150EDC">
              <w:rPr>
                <w:sz w:val="20"/>
              </w:rPr>
              <w:t>Against</w:t>
            </w:r>
            <w:r w:rsidRPr="00150EDC">
              <w:rPr>
                <w:spacing w:val="-6"/>
                <w:sz w:val="20"/>
              </w:rPr>
              <w:t xml:space="preserve"> </w:t>
            </w:r>
            <w:r w:rsidRPr="00150EDC">
              <w:rPr>
                <w:sz w:val="20"/>
              </w:rPr>
              <w:t>the</w:t>
            </w:r>
            <w:r w:rsidRPr="00150EDC">
              <w:rPr>
                <w:spacing w:val="-6"/>
                <w:sz w:val="20"/>
              </w:rPr>
              <w:t xml:space="preserve"> </w:t>
            </w:r>
            <w:r w:rsidRPr="00150EDC">
              <w:rPr>
                <w:sz w:val="20"/>
              </w:rPr>
              <w:t>Person</w:t>
            </w:r>
            <w:r w:rsidRPr="00150EDC">
              <w:rPr>
                <w:spacing w:val="-6"/>
                <w:sz w:val="20"/>
              </w:rPr>
              <w:t xml:space="preserve"> </w:t>
            </w:r>
            <w:r w:rsidRPr="00150EDC">
              <w:rPr>
                <w:sz w:val="20"/>
              </w:rPr>
              <w:t>Act</w:t>
            </w:r>
            <w:r w:rsidRPr="00150EDC">
              <w:rPr>
                <w:spacing w:val="-5"/>
                <w:sz w:val="20"/>
              </w:rPr>
              <w:t xml:space="preserve"> </w:t>
            </w:r>
            <w:r w:rsidRPr="00150EDC">
              <w:rPr>
                <w:sz w:val="20"/>
              </w:rPr>
              <w:t>1861,</w:t>
            </w:r>
            <w:r w:rsidRPr="00150EDC">
              <w:rPr>
                <w:spacing w:val="-6"/>
                <w:sz w:val="20"/>
              </w:rPr>
              <w:t xml:space="preserve"> </w:t>
            </w:r>
            <w:r w:rsidRPr="00150EDC">
              <w:rPr>
                <w:spacing w:val="-5"/>
                <w:sz w:val="20"/>
              </w:rPr>
              <w:t>s56</w:t>
            </w:r>
          </w:p>
        </w:tc>
        <w:tc>
          <w:tcPr>
            <w:tcW w:w="7427" w:type="dxa"/>
          </w:tcPr>
          <w:p w14:paraId="15552361" w14:textId="77777777" w:rsidR="004C7180" w:rsidRPr="00150EDC" w:rsidRDefault="00CF0754">
            <w:pPr>
              <w:pStyle w:val="TableParagraph"/>
              <w:rPr>
                <w:sz w:val="20"/>
              </w:rPr>
            </w:pPr>
            <w:r w:rsidRPr="00150EDC">
              <w:rPr>
                <w:sz w:val="20"/>
              </w:rPr>
              <w:t>Child</w:t>
            </w:r>
            <w:r w:rsidRPr="00150EDC">
              <w:rPr>
                <w:spacing w:val="-7"/>
                <w:sz w:val="20"/>
              </w:rPr>
              <w:t xml:space="preserve"> </w:t>
            </w:r>
            <w:r w:rsidRPr="00150EDC">
              <w:rPr>
                <w:sz w:val="20"/>
              </w:rPr>
              <w:t>stealing,</w:t>
            </w:r>
            <w:r w:rsidRPr="00150EDC">
              <w:rPr>
                <w:spacing w:val="-2"/>
                <w:sz w:val="20"/>
              </w:rPr>
              <w:t xml:space="preserve"> </w:t>
            </w:r>
            <w:r w:rsidRPr="00150EDC">
              <w:rPr>
                <w:sz w:val="20"/>
              </w:rPr>
              <w:t>receiving</w:t>
            </w:r>
            <w:r w:rsidRPr="00150EDC">
              <w:rPr>
                <w:spacing w:val="-3"/>
                <w:sz w:val="20"/>
              </w:rPr>
              <w:t xml:space="preserve"> </w:t>
            </w:r>
            <w:r w:rsidRPr="00150EDC">
              <w:rPr>
                <w:sz w:val="20"/>
              </w:rPr>
              <w:t>or</w:t>
            </w:r>
            <w:r w:rsidRPr="00150EDC">
              <w:rPr>
                <w:spacing w:val="-6"/>
                <w:sz w:val="20"/>
              </w:rPr>
              <w:t xml:space="preserve"> </w:t>
            </w:r>
            <w:r w:rsidRPr="00150EDC">
              <w:rPr>
                <w:sz w:val="20"/>
              </w:rPr>
              <w:t>harbouring</w:t>
            </w:r>
            <w:r w:rsidRPr="00150EDC">
              <w:rPr>
                <w:spacing w:val="-2"/>
                <w:sz w:val="20"/>
              </w:rPr>
              <w:t xml:space="preserve"> </w:t>
            </w:r>
            <w:r w:rsidRPr="00150EDC">
              <w:rPr>
                <w:sz w:val="20"/>
              </w:rPr>
              <w:t>a</w:t>
            </w:r>
            <w:r w:rsidRPr="00150EDC">
              <w:rPr>
                <w:spacing w:val="-7"/>
                <w:sz w:val="20"/>
              </w:rPr>
              <w:t xml:space="preserve"> </w:t>
            </w:r>
            <w:r w:rsidRPr="00150EDC">
              <w:rPr>
                <w:sz w:val="20"/>
              </w:rPr>
              <w:t>stolen</w:t>
            </w:r>
            <w:r w:rsidRPr="00150EDC">
              <w:rPr>
                <w:spacing w:val="-7"/>
                <w:sz w:val="20"/>
              </w:rPr>
              <w:t xml:space="preserve"> </w:t>
            </w:r>
            <w:r w:rsidRPr="00150EDC">
              <w:rPr>
                <w:spacing w:val="-4"/>
                <w:sz w:val="20"/>
              </w:rPr>
              <w:t>child</w:t>
            </w:r>
          </w:p>
        </w:tc>
      </w:tr>
      <w:tr w:rsidR="004569EE" w:rsidRPr="007D3144" w14:paraId="39E84D1B" w14:textId="77777777">
        <w:trPr>
          <w:trHeight w:val="255"/>
        </w:trPr>
        <w:tc>
          <w:tcPr>
            <w:tcW w:w="6517" w:type="dxa"/>
          </w:tcPr>
          <w:p w14:paraId="3542F50F" w14:textId="77777777" w:rsidR="004C7180" w:rsidRPr="00150EDC" w:rsidRDefault="00CF0754">
            <w:pPr>
              <w:pStyle w:val="TableParagraph"/>
              <w:rPr>
                <w:sz w:val="20"/>
              </w:rPr>
            </w:pPr>
            <w:r w:rsidRPr="00150EDC">
              <w:rPr>
                <w:sz w:val="20"/>
              </w:rPr>
              <w:t>Offences</w:t>
            </w:r>
            <w:r w:rsidRPr="00150EDC">
              <w:rPr>
                <w:spacing w:val="-5"/>
                <w:sz w:val="20"/>
              </w:rPr>
              <w:t xml:space="preserve"> </w:t>
            </w:r>
            <w:r w:rsidRPr="00150EDC">
              <w:rPr>
                <w:sz w:val="20"/>
              </w:rPr>
              <w:t>Against</w:t>
            </w:r>
            <w:r w:rsidRPr="00150EDC">
              <w:rPr>
                <w:spacing w:val="-6"/>
                <w:sz w:val="20"/>
              </w:rPr>
              <w:t xml:space="preserve"> </w:t>
            </w:r>
            <w:r w:rsidRPr="00150EDC">
              <w:rPr>
                <w:sz w:val="20"/>
              </w:rPr>
              <w:t>the</w:t>
            </w:r>
            <w:r w:rsidRPr="00150EDC">
              <w:rPr>
                <w:spacing w:val="-6"/>
                <w:sz w:val="20"/>
              </w:rPr>
              <w:t xml:space="preserve"> </w:t>
            </w:r>
            <w:r w:rsidRPr="00150EDC">
              <w:rPr>
                <w:sz w:val="20"/>
              </w:rPr>
              <w:t>Person</w:t>
            </w:r>
            <w:r w:rsidRPr="00150EDC">
              <w:rPr>
                <w:spacing w:val="-6"/>
                <w:sz w:val="20"/>
              </w:rPr>
              <w:t xml:space="preserve"> </w:t>
            </w:r>
            <w:r w:rsidRPr="00150EDC">
              <w:rPr>
                <w:sz w:val="20"/>
              </w:rPr>
              <w:t>Act</w:t>
            </w:r>
            <w:r w:rsidRPr="00150EDC">
              <w:rPr>
                <w:spacing w:val="-5"/>
                <w:sz w:val="20"/>
              </w:rPr>
              <w:t xml:space="preserve"> </w:t>
            </w:r>
            <w:r w:rsidRPr="00150EDC">
              <w:rPr>
                <w:sz w:val="20"/>
              </w:rPr>
              <w:t>1861,</w:t>
            </w:r>
            <w:r w:rsidRPr="00150EDC">
              <w:rPr>
                <w:spacing w:val="-6"/>
                <w:sz w:val="20"/>
              </w:rPr>
              <w:t xml:space="preserve"> </w:t>
            </w:r>
            <w:r w:rsidRPr="00150EDC">
              <w:rPr>
                <w:spacing w:val="-5"/>
                <w:sz w:val="20"/>
              </w:rPr>
              <w:t>s58</w:t>
            </w:r>
          </w:p>
        </w:tc>
        <w:tc>
          <w:tcPr>
            <w:tcW w:w="7427" w:type="dxa"/>
          </w:tcPr>
          <w:p w14:paraId="64C02214" w14:textId="77777777" w:rsidR="004C7180" w:rsidRPr="00150EDC" w:rsidRDefault="00CF0754">
            <w:pPr>
              <w:pStyle w:val="TableParagraph"/>
              <w:rPr>
                <w:sz w:val="20"/>
              </w:rPr>
            </w:pPr>
            <w:r w:rsidRPr="00150EDC">
              <w:rPr>
                <w:sz w:val="20"/>
              </w:rPr>
              <w:t>Administering</w:t>
            </w:r>
            <w:r w:rsidRPr="00150EDC">
              <w:rPr>
                <w:spacing w:val="-9"/>
                <w:sz w:val="20"/>
              </w:rPr>
              <w:t xml:space="preserve"> </w:t>
            </w:r>
            <w:r w:rsidRPr="00150EDC">
              <w:rPr>
                <w:spacing w:val="-2"/>
                <w:sz w:val="20"/>
              </w:rPr>
              <w:t>drugs</w:t>
            </w:r>
          </w:p>
        </w:tc>
      </w:tr>
      <w:tr w:rsidR="004569EE" w:rsidRPr="007D3144" w14:paraId="4859D1C8" w14:textId="77777777">
        <w:trPr>
          <w:trHeight w:val="460"/>
        </w:trPr>
        <w:tc>
          <w:tcPr>
            <w:tcW w:w="6517" w:type="dxa"/>
          </w:tcPr>
          <w:p w14:paraId="1FE2D79B" w14:textId="77777777" w:rsidR="004C7180" w:rsidRPr="00150EDC" w:rsidRDefault="004C7180">
            <w:pPr>
              <w:pStyle w:val="TableParagraph"/>
              <w:spacing w:before="2" w:line="240" w:lineRule="auto"/>
              <w:ind w:left="0"/>
              <w:rPr>
                <w:sz w:val="20"/>
              </w:rPr>
            </w:pPr>
          </w:p>
          <w:p w14:paraId="5C762422" w14:textId="77777777" w:rsidR="004C7180" w:rsidRPr="00150EDC" w:rsidRDefault="00CF0754">
            <w:pPr>
              <w:pStyle w:val="TableParagraph"/>
              <w:spacing w:before="0"/>
              <w:rPr>
                <w:sz w:val="20"/>
              </w:rPr>
            </w:pPr>
            <w:r w:rsidRPr="00150EDC">
              <w:rPr>
                <w:sz w:val="20"/>
              </w:rPr>
              <w:t>Offences</w:t>
            </w:r>
            <w:r w:rsidRPr="00150EDC">
              <w:rPr>
                <w:spacing w:val="-5"/>
                <w:sz w:val="20"/>
              </w:rPr>
              <w:t xml:space="preserve"> </w:t>
            </w:r>
            <w:r w:rsidRPr="00150EDC">
              <w:rPr>
                <w:sz w:val="20"/>
              </w:rPr>
              <w:t>Against</w:t>
            </w:r>
            <w:r w:rsidRPr="00150EDC">
              <w:rPr>
                <w:spacing w:val="-6"/>
                <w:sz w:val="20"/>
              </w:rPr>
              <w:t xml:space="preserve"> </w:t>
            </w:r>
            <w:r w:rsidRPr="00150EDC">
              <w:rPr>
                <w:sz w:val="20"/>
              </w:rPr>
              <w:t>the</w:t>
            </w:r>
            <w:r w:rsidRPr="00150EDC">
              <w:rPr>
                <w:spacing w:val="-6"/>
                <w:sz w:val="20"/>
              </w:rPr>
              <w:t xml:space="preserve"> </w:t>
            </w:r>
            <w:r w:rsidRPr="00150EDC">
              <w:rPr>
                <w:sz w:val="20"/>
              </w:rPr>
              <w:t>Person</w:t>
            </w:r>
            <w:r w:rsidRPr="00150EDC">
              <w:rPr>
                <w:spacing w:val="-6"/>
                <w:sz w:val="20"/>
              </w:rPr>
              <w:t xml:space="preserve"> </w:t>
            </w:r>
            <w:r w:rsidRPr="00150EDC">
              <w:rPr>
                <w:sz w:val="20"/>
              </w:rPr>
              <w:t>Act</w:t>
            </w:r>
            <w:r w:rsidRPr="00150EDC">
              <w:rPr>
                <w:spacing w:val="-5"/>
                <w:sz w:val="20"/>
              </w:rPr>
              <w:t xml:space="preserve"> </w:t>
            </w:r>
            <w:r w:rsidRPr="00150EDC">
              <w:rPr>
                <w:sz w:val="20"/>
              </w:rPr>
              <w:t>1861,</w:t>
            </w:r>
            <w:r w:rsidRPr="00150EDC">
              <w:rPr>
                <w:spacing w:val="-6"/>
                <w:sz w:val="20"/>
              </w:rPr>
              <w:t xml:space="preserve"> </w:t>
            </w:r>
            <w:r w:rsidRPr="00150EDC">
              <w:rPr>
                <w:spacing w:val="-5"/>
                <w:sz w:val="20"/>
              </w:rPr>
              <w:t>s61</w:t>
            </w:r>
          </w:p>
        </w:tc>
        <w:tc>
          <w:tcPr>
            <w:tcW w:w="7427" w:type="dxa"/>
          </w:tcPr>
          <w:p w14:paraId="3B55097D" w14:textId="77777777" w:rsidR="004C7180" w:rsidRPr="00150EDC" w:rsidRDefault="00CF0754">
            <w:pPr>
              <w:pStyle w:val="TableParagraph"/>
              <w:spacing w:before="0" w:line="230" w:lineRule="atLeast"/>
              <w:rPr>
                <w:sz w:val="20"/>
              </w:rPr>
            </w:pPr>
            <w:r w:rsidRPr="00150EDC">
              <w:rPr>
                <w:sz w:val="20"/>
              </w:rPr>
              <w:t>Buggery,</w:t>
            </w:r>
            <w:r w:rsidRPr="00150EDC">
              <w:rPr>
                <w:spacing w:val="-4"/>
                <w:sz w:val="20"/>
              </w:rPr>
              <w:t xml:space="preserve"> </w:t>
            </w:r>
            <w:r w:rsidRPr="00150EDC">
              <w:rPr>
                <w:sz w:val="20"/>
              </w:rPr>
              <w:t>where</w:t>
            </w:r>
            <w:r w:rsidRPr="00150EDC">
              <w:rPr>
                <w:spacing w:val="-5"/>
                <w:sz w:val="20"/>
              </w:rPr>
              <w:t xml:space="preserve"> </w:t>
            </w:r>
            <w:r w:rsidRPr="00150EDC">
              <w:rPr>
                <w:sz w:val="20"/>
              </w:rPr>
              <w:t>the</w:t>
            </w:r>
            <w:r w:rsidRPr="00150EDC">
              <w:rPr>
                <w:spacing w:val="-5"/>
                <w:sz w:val="20"/>
              </w:rPr>
              <w:t xml:space="preserve"> </w:t>
            </w:r>
            <w:r w:rsidRPr="00150EDC">
              <w:rPr>
                <w:sz w:val="20"/>
              </w:rPr>
              <w:t>person</w:t>
            </w:r>
            <w:r w:rsidRPr="00150EDC">
              <w:rPr>
                <w:spacing w:val="-5"/>
                <w:sz w:val="20"/>
              </w:rPr>
              <w:t xml:space="preserve"> </w:t>
            </w:r>
            <w:r w:rsidRPr="00150EDC">
              <w:rPr>
                <w:sz w:val="20"/>
              </w:rPr>
              <w:t>with</w:t>
            </w:r>
            <w:r w:rsidRPr="00150EDC">
              <w:rPr>
                <w:spacing w:val="-5"/>
                <w:sz w:val="20"/>
              </w:rPr>
              <w:t xml:space="preserve"> </w:t>
            </w:r>
            <w:r w:rsidRPr="00150EDC">
              <w:rPr>
                <w:sz w:val="20"/>
              </w:rPr>
              <w:t>whom</w:t>
            </w:r>
            <w:r w:rsidRPr="00150EDC">
              <w:rPr>
                <w:spacing w:val="-2"/>
                <w:sz w:val="20"/>
              </w:rPr>
              <w:t xml:space="preserve"> </w:t>
            </w:r>
            <w:r w:rsidRPr="00150EDC">
              <w:rPr>
                <w:sz w:val="20"/>
              </w:rPr>
              <w:t>the</w:t>
            </w:r>
            <w:r w:rsidRPr="00150EDC">
              <w:rPr>
                <w:spacing w:val="-5"/>
                <w:sz w:val="20"/>
              </w:rPr>
              <w:t xml:space="preserve"> </w:t>
            </w:r>
            <w:r w:rsidRPr="00150EDC">
              <w:rPr>
                <w:sz w:val="20"/>
              </w:rPr>
              <w:t>offence</w:t>
            </w:r>
            <w:r w:rsidRPr="00150EDC">
              <w:rPr>
                <w:spacing w:val="-1"/>
                <w:sz w:val="20"/>
              </w:rPr>
              <w:t xml:space="preserve"> </w:t>
            </w:r>
            <w:r w:rsidRPr="00150EDC">
              <w:rPr>
                <w:sz w:val="20"/>
              </w:rPr>
              <w:t>was</w:t>
            </w:r>
            <w:r w:rsidRPr="00150EDC">
              <w:rPr>
                <w:spacing w:val="-4"/>
                <w:sz w:val="20"/>
              </w:rPr>
              <w:t xml:space="preserve"> </w:t>
            </w:r>
            <w:r w:rsidRPr="00150EDC">
              <w:rPr>
                <w:sz w:val="20"/>
              </w:rPr>
              <w:t>committed</w:t>
            </w:r>
            <w:r w:rsidRPr="00150EDC">
              <w:rPr>
                <w:spacing w:val="-1"/>
                <w:sz w:val="20"/>
              </w:rPr>
              <w:t xml:space="preserve"> </w:t>
            </w:r>
            <w:r w:rsidRPr="00150EDC">
              <w:rPr>
                <w:sz w:val="20"/>
              </w:rPr>
              <w:t>was</w:t>
            </w:r>
            <w:r w:rsidRPr="00150EDC">
              <w:rPr>
                <w:spacing w:val="-4"/>
                <w:sz w:val="20"/>
              </w:rPr>
              <w:t xml:space="preserve"> </w:t>
            </w:r>
            <w:r w:rsidRPr="00150EDC">
              <w:rPr>
                <w:sz w:val="20"/>
              </w:rPr>
              <w:t>under</w:t>
            </w:r>
            <w:r w:rsidRPr="00150EDC">
              <w:rPr>
                <w:spacing w:val="-5"/>
                <w:sz w:val="20"/>
              </w:rPr>
              <w:t xml:space="preserve"> </w:t>
            </w:r>
            <w:r w:rsidRPr="00150EDC">
              <w:rPr>
                <w:sz w:val="20"/>
              </w:rPr>
              <w:t>the age of 16 or did not consent to the act</w:t>
            </w:r>
          </w:p>
        </w:tc>
      </w:tr>
      <w:tr w:rsidR="004569EE" w:rsidRPr="007D3144" w14:paraId="608117F0" w14:textId="77777777">
        <w:trPr>
          <w:trHeight w:val="255"/>
        </w:trPr>
        <w:tc>
          <w:tcPr>
            <w:tcW w:w="6517" w:type="dxa"/>
          </w:tcPr>
          <w:p w14:paraId="38D1C989" w14:textId="77777777" w:rsidR="004C7180" w:rsidRPr="00150EDC" w:rsidRDefault="00CF0754">
            <w:pPr>
              <w:pStyle w:val="TableParagraph"/>
              <w:rPr>
                <w:sz w:val="20"/>
              </w:rPr>
            </w:pPr>
            <w:r w:rsidRPr="00150EDC">
              <w:rPr>
                <w:sz w:val="20"/>
              </w:rPr>
              <w:t>Offences</w:t>
            </w:r>
            <w:r w:rsidRPr="00150EDC">
              <w:rPr>
                <w:spacing w:val="-5"/>
                <w:sz w:val="20"/>
              </w:rPr>
              <w:t xml:space="preserve"> </w:t>
            </w:r>
            <w:r w:rsidRPr="00150EDC">
              <w:rPr>
                <w:sz w:val="20"/>
              </w:rPr>
              <w:t>Against</w:t>
            </w:r>
            <w:r w:rsidRPr="00150EDC">
              <w:rPr>
                <w:spacing w:val="-6"/>
                <w:sz w:val="20"/>
              </w:rPr>
              <w:t xml:space="preserve"> </w:t>
            </w:r>
            <w:r w:rsidRPr="00150EDC">
              <w:rPr>
                <w:sz w:val="20"/>
              </w:rPr>
              <w:t>the</w:t>
            </w:r>
            <w:r w:rsidRPr="00150EDC">
              <w:rPr>
                <w:spacing w:val="-6"/>
                <w:sz w:val="20"/>
              </w:rPr>
              <w:t xml:space="preserve"> </w:t>
            </w:r>
            <w:r w:rsidRPr="00150EDC">
              <w:rPr>
                <w:sz w:val="20"/>
              </w:rPr>
              <w:t>Person</w:t>
            </w:r>
            <w:r w:rsidRPr="00150EDC">
              <w:rPr>
                <w:spacing w:val="-6"/>
                <w:sz w:val="20"/>
              </w:rPr>
              <w:t xml:space="preserve"> </w:t>
            </w:r>
            <w:r w:rsidRPr="00150EDC">
              <w:rPr>
                <w:sz w:val="20"/>
              </w:rPr>
              <w:t>Act</w:t>
            </w:r>
            <w:r w:rsidRPr="00150EDC">
              <w:rPr>
                <w:spacing w:val="-3"/>
                <w:sz w:val="20"/>
              </w:rPr>
              <w:t xml:space="preserve"> </w:t>
            </w:r>
            <w:r w:rsidRPr="00150EDC">
              <w:rPr>
                <w:sz w:val="20"/>
              </w:rPr>
              <w:t>1861,</w:t>
            </w:r>
            <w:r w:rsidRPr="00150EDC">
              <w:rPr>
                <w:spacing w:val="-6"/>
                <w:sz w:val="20"/>
              </w:rPr>
              <w:t xml:space="preserve"> </w:t>
            </w:r>
            <w:r w:rsidRPr="00150EDC">
              <w:rPr>
                <w:spacing w:val="-5"/>
                <w:sz w:val="20"/>
              </w:rPr>
              <w:t>s62</w:t>
            </w:r>
          </w:p>
        </w:tc>
        <w:tc>
          <w:tcPr>
            <w:tcW w:w="7427" w:type="dxa"/>
          </w:tcPr>
          <w:p w14:paraId="632D6B7A" w14:textId="77777777" w:rsidR="004C7180" w:rsidRPr="00150EDC" w:rsidRDefault="00CF0754">
            <w:pPr>
              <w:pStyle w:val="TableParagraph"/>
              <w:rPr>
                <w:sz w:val="20"/>
              </w:rPr>
            </w:pPr>
            <w:r w:rsidRPr="00150EDC">
              <w:rPr>
                <w:sz w:val="20"/>
              </w:rPr>
              <w:t>Indecent</w:t>
            </w:r>
            <w:r w:rsidRPr="00150EDC">
              <w:rPr>
                <w:spacing w:val="-3"/>
                <w:sz w:val="20"/>
              </w:rPr>
              <w:t xml:space="preserve"> </w:t>
            </w:r>
            <w:r w:rsidRPr="00150EDC">
              <w:rPr>
                <w:sz w:val="20"/>
              </w:rPr>
              <w:t>assault</w:t>
            </w:r>
            <w:r w:rsidRPr="00150EDC">
              <w:rPr>
                <w:spacing w:val="-3"/>
                <w:sz w:val="20"/>
              </w:rPr>
              <w:t xml:space="preserve"> </w:t>
            </w:r>
            <w:r w:rsidRPr="00150EDC">
              <w:rPr>
                <w:sz w:val="20"/>
              </w:rPr>
              <w:t>upon</w:t>
            </w:r>
            <w:r w:rsidRPr="00150EDC">
              <w:rPr>
                <w:spacing w:val="-3"/>
                <w:sz w:val="20"/>
              </w:rPr>
              <w:t xml:space="preserve"> </w:t>
            </w:r>
            <w:r w:rsidRPr="00150EDC">
              <w:rPr>
                <w:sz w:val="20"/>
              </w:rPr>
              <w:t>a</w:t>
            </w:r>
            <w:r w:rsidRPr="00150EDC">
              <w:rPr>
                <w:spacing w:val="-8"/>
                <w:sz w:val="20"/>
              </w:rPr>
              <w:t xml:space="preserve"> </w:t>
            </w:r>
            <w:r w:rsidRPr="00150EDC">
              <w:rPr>
                <w:spacing w:val="-4"/>
                <w:sz w:val="20"/>
              </w:rPr>
              <w:t>male</w:t>
            </w:r>
          </w:p>
        </w:tc>
      </w:tr>
      <w:tr w:rsidR="004569EE" w:rsidRPr="007D3144" w14:paraId="4D04870B" w14:textId="77777777">
        <w:trPr>
          <w:trHeight w:val="255"/>
        </w:trPr>
        <w:tc>
          <w:tcPr>
            <w:tcW w:w="6517" w:type="dxa"/>
          </w:tcPr>
          <w:p w14:paraId="53802C40" w14:textId="77777777" w:rsidR="004C7180" w:rsidRPr="00150EDC" w:rsidRDefault="00CF0754">
            <w:pPr>
              <w:pStyle w:val="TableParagraph"/>
              <w:spacing w:before="28"/>
              <w:rPr>
                <w:sz w:val="20"/>
              </w:rPr>
            </w:pPr>
            <w:r w:rsidRPr="00150EDC">
              <w:rPr>
                <w:sz w:val="20"/>
              </w:rPr>
              <w:t>Petty</w:t>
            </w:r>
            <w:r w:rsidRPr="00150EDC">
              <w:rPr>
                <w:spacing w:val="-6"/>
                <w:sz w:val="20"/>
              </w:rPr>
              <w:t xml:space="preserve"> </w:t>
            </w:r>
            <w:r w:rsidRPr="00150EDC">
              <w:rPr>
                <w:sz w:val="20"/>
              </w:rPr>
              <w:t>Sessions</w:t>
            </w:r>
            <w:r w:rsidRPr="00150EDC">
              <w:rPr>
                <w:spacing w:val="-6"/>
                <w:sz w:val="20"/>
              </w:rPr>
              <w:t xml:space="preserve"> </w:t>
            </w:r>
            <w:r w:rsidRPr="00150EDC">
              <w:rPr>
                <w:sz w:val="20"/>
              </w:rPr>
              <w:t>and</w:t>
            </w:r>
            <w:r w:rsidRPr="00150EDC">
              <w:rPr>
                <w:spacing w:val="-2"/>
                <w:sz w:val="20"/>
              </w:rPr>
              <w:t xml:space="preserve"> </w:t>
            </w:r>
            <w:r w:rsidRPr="00150EDC">
              <w:rPr>
                <w:sz w:val="20"/>
              </w:rPr>
              <w:t>Summary</w:t>
            </w:r>
            <w:r w:rsidRPr="00150EDC">
              <w:rPr>
                <w:spacing w:val="-5"/>
                <w:sz w:val="20"/>
              </w:rPr>
              <w:t xml:space="preserve"> </w:t>
            </w:r>
            <w:r w:rsidRPr="00150EDC">
              <w:rPr>
                <w:sz w:val="20"/>
              </w:rPr>
              <w:t>Jurisdiction</w:t>
            </w:r>
            <w:r w:rsidRPr="00150EDC">
              <w:rPr>
                <w:spacing w:val="-7"/>
                <w:sz w:val="20"/>
              </w:rPr>
              <w:t xml:space="preserve"> </w:t>
            </w:r>
            <w:r w:rsidRPr="00150EDC">
              <w:rPr>
                <w:sz w:val="20"/>
              </w:rPr>
              <w:t>Act</w:t>
            </w:r>
            <w:r w:rsidRPr="00150EDC">
              <w:rPr>
                <w:spacing w:val="-5"/>
                <w:sz w:val="20"/>
              </w:rPr>
              <w:t xml:space="preserve"> </w:t>
            </w:r>
            <w:r w:rsidRPr="00150EDC">
              <w:rPr>
                <w:sz w:val="20"/>
              </w:rPr>
              <w:t>1927,</w:t>
            </w:r>
            <w:r w:rsidRPr="00150EDC">
              <w:rPr>
                <w:spacing w:val="-7"/>
                <w:sz w:val="20"/>
              </w:rPr>
              <w:t xml:space="preserve"> </w:t>
            </w:r>
            <w:r w:rsidRPr="00150EDC">
              <w:rPr>
                <w:spacing w:val="-2"/>
                <w:sz w:val="20"/>
              </w:rPr>
              <w:t>s56(2)</w:t>
            </w:r>
          </w:p>
        </w:tc>
        <w:tc>
          <w:tcPr>
            <w:tcW w:w="7427" w:type="dxa"/>
          </w:tcPr>
          <w:p w14:paraId="772E79D3" w14:textId="77777777" w:rsidR="004C7180" w:rsidRPr="00150EDC" w:rsidRDefault="00CF0754">
            <w:pPr>
              <w:pStyle w:val="TableParagraph"/>
              <w:spacing w:before="28"/>
              <w:rPr>
                <w:sz w:val="20"/>
              </w:rPr>
            </w:pPr>
            <w:r w:rsidRPr="00150EDC">
              <w:rPr>
                <w:sz w:val="20"/>
              </w:rPr>
              <w:t>Aggravated</w:t>
            </w:r>
            <w:r w:rsidRPr="00150EDC">
              <w:rPr>
                <w:spacing w:val="-6"/>
                <w:sz w:val="20"/>
              </w:rPr>
              <w:t xml:space="preserve"> </w:t>
            </w:r>
            <w:r w:rsidRPr="00150EDC">
              <w:rPr>
                <w:sz w:val="20"/>
              </w:rPr>
              <w:t>assault,</w:t>
            </w:r>
            <w:r w:rsidRPr="00150EDC">
              <w:rPr>
                <w:spacing w:val="-5"/>
                <w:sz w:val="20"/>
              </w:rPr>
              <w:t xml:space="preserve"> </w:t>
            </w:r>
            <w:r w:rsidRPr="00150EDC">
              <w:rPr>
                <w:sz w:val="20"/>
              </w:rPr>
              <w:t>assault</w:t>
            </w:r>
            <w:r w:rsidRPr="00150EDC">
              <w:rPr>
                <w:spacing w:val="1"/>
                <w:sz w:val="20"/>
              </w:rPr>
              <w:t xml:space="preserve"> </w:t>
            </w:r>
            <w:r w:rsidRPr="00150EDC">
              <w:rPr>
                <w:sz w:val="20"/>
              </w:rPr>
              <w:t>on</w:t>
            </w:r>
            <w:r w:rsidRPr="00150EDC">
              <w:rPr>
                <w:spacing w:val="-6"/>
                <w:sz w:val="20"/>
              </w:rPr>
              <w:t xml:space="preserve"> </w:t>
            </w:r>
            <w:r w:rsidRPr="00150EDC">
              <w:rPr>
                <w:sz w:val="20"/>
              </w:rPr>
              <w:t>a</w:t>
            </w:r>
            <w:r w:rsidRPr="00150EDC">
              <w:rPr>
                <w:spacing w:val="-5"/>
                <w:sz w:val="20"/>
              </w:rPr>
              <w:t xml:space="preserve"> </w:t>
            </w:r>
            <w:r w:rsidRPr="00150EDC">
              <w:rPr>
                <w:sz w:val="20"/>
              </w:rPr>
              <w:t>child</w:t>
            </w:r>
            <w:r w:rsidRPr="00150EDC">
              <w:rPr>
                <w:spacing w:val="-5"/>
                <w:sz w:val="20"/>
              </w:rPr>
              <w:t xml:space="preserve"> </w:t>
            </w:r>
            <w:r w:rsidRPr="00150EDC">
              <w:rPr>
                <w:sz w:val="20"/>
              </w:rPr>
              <w:t>or young</w:t>
            </w:r>
            <w:r w:rsidRPr="00150EDC">
              <w:rPr>
                <w:spacing w:val="-5"/>
                <w:sz w:val="20"/>
              </w:rPr>
              <w:t xml:space="preserve"> </w:t>
            </w:r>
            <w:r w:rsidRPr="00150EDC">
              <w:rPr>
                <w:spacing w:val="-2"/>
                <w:sz w:val="20"/>
              </w:rPr>
              <w:t>person</w:t>
            </w:r>
          </w:p>
        </w:tc>
      </w:tr>
      <w:tr w:rsidR="004569EE" w:rsidRPr="007D3144" w14:paraId="584EA434" w14:textId="77777777">
        <w:trPr>
          <w:trHeight w:val="255"/>
        </w:trPr>
        <w:tc>
          <w:tcPr>
            <w:tcW w:w="6517" w:type="dxa"/>
          </w:tcPr>
          <w:p w14:paraId="41BD8058" w14:textId="77777777" w:rsidR="004C7180" w:rsidRPr="00150EDC" w:rsidRDefault="00CF0754">
            <w:pPr>
              <w:pStyle w:val="TableParagraph"/>
              <w:rPr>
                <w:sz w:val="20"/>
              </w:rPr>
            </w:pPr>
            <w:r w:rsidRPr="00150EDC">
              <w:rPr>
                <w:sz w:val="20"/>
              </w:rPr>
              <w:t>Petty</w:t>
            </w:r>
            <w:r w:rsidRPr="00150EDC">
              <w:rPr>
                <w:spacing w:val="-6"/>
                <w:sz w:val="20"/>
              </w:rPr>
              <w:t xml:space="preserve"> </w:t>
            </w:r>
            <w:r w:rsidRPr="00150EDC">
              <w:rPr>
                <w:sz w:val="20"/>
              </w:rPr>
              <w:t>Sessions</w:t>
            </w:r>
            <w:r w:rsidRPr="00150EDC">
              <w:rPr>
                <w:spacing w:val="-6"/>
                <w:sz w:val="20"/>
              </w:rPr>
              <w:t xml:space="preserve"> </w:t>
            </w:r>
            <w:r w:rsidRPr="00150EDC">
              <w:rPr>
                <w:sz w:val="20"/>
              </w:rPr>
              <w:t>and</w:t>
            </w:r>
            <w:r w:rsidRPr="00150EDC">
              <w:rPr>
                <w:spacing w:val="-2"/>
                <w:sz w:val="20"/>
              </w:rPr>
              <w:t xml:space="preserve"> </w:t>
            </w:r>
            <w:r w:rsidRPr="00150EDC">
              <w:rPr>
                <w:sz w:val="20"/>
              </w:rPr>
              <w:t>Summary</w:t>
            </w:r>
            <w:r w:rsidRPr="00150EDC">
              <w:rPr>
                <w:spacing w:val="-5"/>
                <w:sz w:val="20"/>
              </w:rPr>
              <w:t xml:space="preserve"> </w:t>
            </w:r>
            <w:r w:rsidRPr="00150EDC">
              <w:rPr>
                <w:sz w:val="20"/>
              </w:rPr>
              <w:t>Jurisdiction</w:t>
            </w:r>
            <w:r w:rsidRPr="00150EDC">
              <w:rPr>
                <w:spacing w:val="-7"/>
                <w:sz w:val="20"/>
              </w:rPr>
              <w:t xml:space="preserve"> </w:t>
            </w:r>
            <w:r w:rsidRPr="00150EDC">
              <w:rPr>
                <w:sz w:val="20"/>
              </w:rPr>
              <w:t>Act</w:t>
            </w:r>
            <w:r w:rsidRPr="00150EDC">
              <w:rPr>
                <w:spacing w:val="-6"/>
                <w:sz w:val="20"/>
              </w:rPr>
              <w:t xml:space="preserve"> </w:t>
            </w:r>
            <w:r w:rsidRPr="00150EDC">
              <w:rPr>
                <w:sz w:val="20"/>
              </w:rPr>
              <w:t>1927,</w:t>
            </w:r>
            <w:r w:rsidRPr="00150EDC">
              <w:rPr>
                <w:spacing w:val="-6"/>
                <w:sz w:val="20"/>
              </w:rPr>
              <w:t xml:space="preserve"> </w:t>
            </w:r>
            <w:r w:rsidRPr="00150EDC">
              <w:rPr>
                <w:sz w:val="20"/>
              </w:rPr>
              <w:t>s63(15)</w:t>
            </w:r>
            <w:r w:rsidRPr="00150EDC">
              <w:rPr>
                <w:spacing w:val="-7"/>
                <w:sz w:val="20"/>
              </w:rPr>
              <w:t xml:space="preserve"> </w:t>
            </w:r>
            <w:r w:rsidRPr="00150EDC">
              <w:rPr>
                <w:sz w:val="20"/>
              </w:rPr>
              <w:t>and</w:t>
            </w:r>
            <w:r w:rsidRPr="00150EDC">
              <w:rPr>
                <w:spacing w:val="-7"/>
                <w:sz w:val="20"/>
              </w:rPr>
              <w:t xml:space="preserve"> </w:t>
            </w:r>
            <w:r w:rsidRPr="00150EDC">
              <w:rPr>
                <w:spacing w:val="-2"/>
                <w:sz w:val="20"/>
              </w:rPr>
              <w:t>(15A)</w:t>
            </w:r>
          </w:p>
        </w:tc>
        <w:tc>
          <w:tcPr>
            <w:tcW w:w="7427" w:type="dxa"/>
          </w:tcPr>
          <w:p w14:paraId="1DF19786" w14:textId="77777777" w:rsidR="004C7180" w:rsidRPr="00150EDC" w:rsidRDefault="00CF0754">
            <w:pPr>
              <w:pStyle w:val="TableParagraph"/>
              <w:rPr>
                <w:sz w:val="20"/>
              </w:rPr>
            </w:pPr>
            <w:r w:rsidRPr="00150EDC">
              <w:rPr>
                <w:sz w:val="20"/>
              </w:rPr>
              <w:t>Indecent</w:t>
            </w:r>
            <w:r w:rsidRPr="00150EDC">
              <w:rPr>
                <w:spacing w:val="-8"/>
                <w:sz w:val="20"/>
              </w:rPr>
              <w:t xml:space="preserve"> </w:t>
            </w:r>
            <w:r w:rsidRPr="00150EDC">
              <w:rPr>
                <w:spacing w:val="-2"/>
                <w:sz w:val="20"/>
              </w:rPr>
              <w:t>exposure</w:t>
            </w:r>
          </w:p>
        </w:tc>
      </w:tr>
      <w:tr w:rsidR="004569EE" w:rsidRPr="007D3144" w14:paraId="07520E39" w14:textId="77777777">
        <w:trPr>
          <w:trHeight w:val="255"/>
        </w:trPr>
        <w:tc>
          <w:tcPr>
            <w:tcW w:w="6517" w:type="dxa"/>
          </w:tcPr>
          <w:p w14:paraId="5BFE4564" w14:textId="77777777" w:rsidR="004C7180" w:rsidRPr="00150EDC" w:rsidRDefault="00CF0754">
            <w:pPr>
              <w:pStyle w:val="TableParagraph"/>
              <w:rPr>
                <w:sz w:val="20"/>
              </w:rPr>
            </w:pPr>
            <w:r w:rsidRPr="00150EDC">
              <w:rPr>
                <w:sz w:val="20"/>
              </w:rPr>
              <w:t>Petty</w:t>
            </w:r>
            <w:r w:rsidRPr="00150EDC">
              <w:rPr>
                <w:spacing w:val="-6"/>
                <w:sz w:val="20"/>
              </w:rPr>
              <w:t xml:space="preserve"> </w:t>
            </w:r>
            <w:r w:rsidRPr="00150EDC">
              <w:rPr>
                <w:sz w:val="20"/>
              </w:rPr>
              <w:t>Sessions</w:t>
            </w:r>
            <w:r w:rsidRPr="00150EDC">
              <w:rPr>
                <w:spacing w:val="-6"/>
                <w:sz w:val="20"/>
              </w:rPr>
              <w:t xml:space="preserve"> </w:t>
            </w:r>
            <w:r w:rsidRPr="00150EDC">
              <w:rPr>
                <w:sz w:val="20"/>
              </w:rPr>
              <w:t>and</w:t>
            </w:r>
            <w:r w:rsidRPr="00150EDC">
              <w:rPr>
                <w:spacing w:val="-2"/>
                <w:sz w:val="20"/>
              </w:rPr>
              <w:t xml:space="preserve"> </w:t>
            </w:r>
            <w:r w:rsidRPr="00150EDC">
              <w:rPr>
                <w:sz w:val="20"/>
              </w:rPr>
              <w:t>Summary</w:t>
            </w:r>
            <w:r w:rsidRPr="00150EDC">
              <w:rPr>
                <w:spacing w:val="-5"/>
                <w:sz w:val="20"/>
              </w:rPr>
              <w:t xml:space="preserve"> </w:t>
            </w:r>
            <w:r w:rsidRPr="00150EDC">
              <w:rPr>
                <w:sz w:val="20"/>
              </w:rPr>
              <w:t>Jurisdiction</w:t>
            </w:r>
            <w:r w:rsidRPr="00150EDC">
              <w:rPr>
                <w:spacing w:val="-7"/>
                <w:sz w:val="20"/>
              </w:rPr>
              <w:t xml:space="preserve"> </w:t>
            </w:r>
            <w:r w:rsidRPr="00150EDC">
              <w:rPr>
                <w:sz w:val="20"/>
              </w:rPr>
              <w:t>Act</w:t>
            </w:r>
            <w:r w:rsidRPr="00150EDC">
              <w:rPr>
                <w:spacing w:val="-5"/>
                <w:sz w:val="20"/>
              </w:rPr>
              <w:t xml:space="preserve"> </w:t>
            </w:r>
            <w:r w:rsidRPr="00150EDC">
              <w:rPr>
                <w:sz w:val="20"/>
              </w:rPr>
              <w:t>1927,</w:t>
            </w:r>
            <w:r w:rsidRPr="00150EDC">
              <w:rPr>
                <w:spacing w:val="-7"/>
                <w:sz w:val="20"/>
              </w:rPr>
              <w:t xml:space="preserve"> </w:t>
            </w:r>
            <w:r w:rsidRPr="00150EDC">
              <w:rPr>
                <w:spacing w:val="-2"/>
                <w:sz w:val="20"/>
              </w:rPr>
              <w:t>s66(4)</w:t>
            </w:r>
          </w:p>
        </w:tc>
        <w:tc>
          <w:tcPr>
            <w:tcW w:w="7427" w:type="dxa"/>
          </w:tcPr>
          <w:p w14:paraId="44B8F9C0" w14:textId="77777777" w:rsidR="004C7180" w:rsidRPr="00150EDC" w:rsidRDefault="00CF0754">
            <w:pPr>
              <w:pStyle w:val="TableParagraph"/>
              <w:rPr>
                <w:sz w:val="20"/>
              </w:rPr>
            </w:pPr>
            <w:r w:rsidRPr="00150EDC">
              <w:rPr>
                <w:sz w:val="20"/>
              </w:rPr>
              <w:t>Furious</w:t>
            </w:r>
            <w:r w:rsidRPr="00150EDC">
              <w:rPr>
                <w:spacing w:val="-7"/>
                <w:sz w:val="20"/>
              </w:rPr>
              <w:t xml:space="preserve"> </w:t>
            </w:r>
            <w:r w:rsidRPr="00150EDC">
              <w:rPr>
                <w:spacing w:val="-2"/>
                <w:sz w:val="20"/>
              </w:rPr>
              <w:t>driving</w:t>
            </w:r>
          </w:p>
        </w:tc>
      </w:tr>
      <w:tr w:rsidR="004569EE" w:rsidRPr="007D3144" w14:paraId="0EFBF951" w14:textId="77777777">
        <w:trPr>
          <w:trHeight w:val="255"/>
        </w:trPr>
        <w:tc>
          <w:tcPr>
            <w:tcW w:w="6517" w:type="dxa"/>
          </w:tcPr>
          <w:p w14:paraId="71F86184" w14:textId="77777777" w:rsidR="004C7180" w:rsidRPr="00150EDC" w:rsidRDefault="00CF0754">
            <w:pPr>
              <w:pStyle w:val="TableParagraph"/>
              <w:rPr>
                <w:sz w:val="20"/>
              </w:rPr>
            </w:pPr>
            <w:r w:rsidRPr="00150EDC">
              <w:rPr>
                <w:sz w:val="20"/>
              </w:rPr>
              <w:t>Pilotage</w:t>
            </w:r>
            <w:r w:rsidRPr="00150EDC">
              <w:rPr>
                <w:spacing w:val="-7"/>
                <w:sz w:val="20"/>
              </w:rPr>
              <w:t xml:space="preserve"> </w:t>
            </w:r>
            <w:r w:rsidRPr="00150EDC">
              <w:rPr>
                <w:sz w:val="20"/>
              </w:rPr>
              <w:t>Act</w:t>
            </w:r>
            <w:r w:rsidRPr="00150EDC">
              <w:rPr>
                <w:spacing w:val="-6"/>
                <w:sz w:val="20"/>
              </w:rPr>
              <w:t xml:space="preserve"> </w:t>
            </w:r>
            <w:r w:rsidRPr="00150EDC">
              <w:rPr>
                <w:sz w:val="20"/>
              </w:rPr>
              <w:t>1913,</w:t>
            </w:r>
            <w:r w:rsidRPr="00150EDC">
              <w:rPr>
                <w:spacing w:val="-7"/>
                <w:sz w:val="20"/>
              </w:rPr>
              <w:t xml:space="preserve"> </w:t>
            </w:r>
            <w:r w:rsidRPr="00150EDC">
              <w:rPr>
                <w:spacing w:val="-5"/>
                <w:sz w:val="20"/>
              </w:rPr>
              <w:t>s46</w:t>
            </w:r>
          </w:p>
        </w:tc>
        <w:tc>
          <w:tcPr>
            <w:tcW w:w="7427" w:type="dxa"/>
          </w:tcPr>
          <w:p w14:paraId="60C209B9" w14:textId="77777777" w:rsidR="004C7180" w:rsidRPr="00150EDC" w:rsidRDefault="00CF0754">
            <w:pPr>
              <w:pStyle w:val="TableParagraph"/>
              <w:rPr>
                <w:sz w:val="20"/>
              </w:rPr>
            </w:pPr>
            <w:r w:rsidRPr="00150EDC">
              <w:rPr>
                <w:sz w:val="20"/>
              </w:rPr>
              <w:t>Endangering</w:t>
            </w:r>
            <w:r w:rsidRPr="00150EDC">
              <w:rPr>
                <w:spacing w:val="-8"/>
                <w:sz w:val="20"/>
              </w:rPr>
              <w:t xml:space="preserve"> </w:t>
            </w:r>
            <w:r w:rsidRPr="00150EDC">
              <w:rPr>
                <w:sz w:val="20"/>
              </w:rPr>
              <w:t>ship</w:t>
            </w:r>
            <w:r w:rsidRPr="00150EDC">
              <w:rPr>
                <w:spacing w:val="-2"/>
                <w:sz w:val="20"/>
              </w:rPr>
              <w:t xml:space="preserve"> </w:t>
            </w:r>
            <w:r w:rsidRPr="00150EDC">
              <w:rPr>
                <w:sz w:val="20"/>
              </w:rPr>
              <w:t>by</w:t>
            </w:r>
            <w:r w:rsidRPr="00150EDC">
              <w:rPr>
                <w:spacing w:val="-6"/>
                <w:sz w:val="20"/>
              </w:rPr>
              <w:t xml:space="preserve"> </w:t>
            </w:r>
            <w:r w:rsidRPr="00150EDC">
              <w:rPr>
                <w:spacing w:val="-2"/>
                <w:sz w:val="20"/>
              </w:rPr>
              <w:t>misconduct</w:t>
            </w:r>
          </w:p>
        </w:tc>
      </w:tr>
      <w:tr w:rsidR="004569EE" w:rsidRPr="007D3144" w14:paraId="3C20EDF0" w14:textId="77777777">
        <w:trPr>
          <w:trHeight w:val="255"/>
        </w:trPr>
        <w:tc>
          <w:tcPr>
            <w:tcW w:w="6517" w:type="dxa"/>
          </w:tcPr>
          <w:p w14:paraId="73985C9C" w14:textId="77777777" w:rsidR="004C7180" w:rsidRPr="00150EDC" w:rsidRDefault="00CF0754">
            <w:pPr>
              <w:pStyle w:val="TableParagraph"/>
              <w:spacing w:before="28"/>
              <w:rPr>
                <w:sz w:val="20"/>
              </w:rPr>
            </w:pPr>
            <w:r w:rsidRPr="00150EDC">
              <w:rPr>
                <w:sz w:val="20"/>
              </w:rPr>
              <w:t>Pilotage</w:t>
            </w:r>
            <w:r w:rsidRPr="00150EDC">
              <w:rPr>
                <w:spacing w:val="-7"/>
                <w:sz w:val="20"/>
              </w:rPr>
              <w:t xml:space="preserve"> </w:t>
            </w:r>
            <w:r w:rsidRPr="00150EDC">
              <w:rPr>
                <w:sz w:val="20"/>
              </w:rPr>
              <w:t>Act</w:t>
            </w:r>
            <w:r w:rsidRPr="00150EDC">
              <w:rPr>
                <w:spacing w:val="-6"/>
                <w:sz w:val="20"/>
              </w:rPr>
              <w:t xml:space="preserve"> </w:t>
            </w:r>
            <w:r w:rsidRPr="00150EDC">
              <w:rPr>
                <w:sz w:val="20"/>
              </w:rPr>
              <w:t>1983,</w:t>
            </w:r>
            <w:r w:rsidRPr="00150EDC">
              <w:rPr>
                <w:spacing w:val="-7"/>
                <w:sz w:val="20"/>
              </w:rPr>
              <w:t xml:space="preserve"> </w:t>
            </w:r>
            <w:r w:rsidRPr="00150EDC">
              <w:rPr>
                <w:spacing w:val="-5"/>
                <w:sz w:val="20"/>
              </w:rPr>
              <w:t>s52</w:t>
            </w:r>
          </w:p>
        </w:tc>
        <w:tc>
          <w:tcPr>
            <w:tcW w:w="7427" w:type="dxa"/>
          </w:tcPr>
          <w:p w14:paraId="3725B1C0" w14:textId="77777777" w:rsidR="004C7180" w:rsidRPr="00150EDC" w:rsidRDefault="00CF0754">
            <w:pPr>
              <w:pStyle w:val="TableParagraph"/>
              <w:spacing w:before="28"/>
              <w:rPr>
                <w:sz w:val="20"/>
              </w:rPr>
            </w:pPr>
            <w:r w:rsidRPr="00150EDC">
              <w:rPr>
                <w:sz w:val="20"/>
              </w:rPr>
              <w:t>Endangering</w:t>
            </w:r>
            <w:r w:rsidRPr="00150EDC">
              <w:rPr>
                <w:spacing w:val="-8"/>
                <w:sz w:val="20"/>
              </w:rPr>
              <w:t xml:space="preserve"> </w:t>
            </w:r>
            <w:r w:rsidRPr="00150EDC">
              <w:rPr>
                <w:sz w:val="20"/>
              </w:rPr>
              <w:t>ship</w:t>
            </w:r>
            <w:r w:rsidRPr="00150EDC">
              <w:rPr>
                <w:spacing w:val="-2"/>
                <w:sz w:val="20"/>
              </w:rPr>
              <w:t xml:space="preserve"> </w:t>
            </w:r>
            <w:r w:rsidRPr="00150EDC">
              <w:rPr>
                <w:sz w:val="20"/>
              </w:rPr>
              <w:t>by</w:t>
            </w:r>
            <w:r w:rsidRPr="00150EDC">
              <w:rPr>
                <w:spacing w:val="-6"/>
                <w:sz w:val="20"/>
              </w:rPr>
              <w:t xml:space="preserve"> </w:t>
            </w:r>
            <w:r w:rsidRPr="00150EDC">
              <w:rPr>
                <w:spacing w:val="-2"/>
                <w:sz w:val="20"/>
              </w:rPr>
              <w:t>misconduct</w:t>
            </w:r>
          </w:p>
        </w:tc>
      </w:tr>
      <w:tr w:rsidR="004569EE" w:rsidRPr="007D3144" w14:paraId="0B7A7634" w14:textId="77777777">
        <w:trPr>
          <w:trHeight w:val="255"/>
        </w:trPr>
        <w:tc>
          <w:tcPr>
            <w:tcW w:w="6517" w:type="dxa"/>
          </w:tcPr>
          <w:p w14:paraId="5654EC33" w14:textId="77777777" w:rsidR="004C7180" w:rsidRPr="00150EDC" w:rsidRDefault="00CF0754">
            <w:pPr>
              <w:pStyle w:val="TableParagraph"/>
              <w:rPr>
                <w:sz w:val="20"/>
              </w:rPr>
            </w:pPr>
            <w:r w:rsidRPr="00150EDC">
              <w:rPr>
                <w:sz w:val="20"/>
              </w:rPr>
              <w:t>Prevention</w:t>
            </w:r>
            <w:r w:rsidRPr="00150EDC">
              <w:rPr>
                <w:spacing w:val="-2"/>
                <w:sz w:val="20"/>
              </w:rPr>
              <w:t xml:space="preserve"> </w:t>
            </w:r>
            <w:r w:rsidRPr="00150EDC">
              <w:rPr>
                <w:sz w:val="20"/>
              </w:rPr>
              <w:t>of</w:t>
            </w:r>
            <w:r w:rsidRPr="00150EDC">
              <w:rPr>
                <w:spacing w:val="-6"/>
                <w:sz w:val="20"/>
              </w:rPr>
              <w:t xml:space="preserve"> </w:t>
            </w:r>
            <w:r w:rsidRPr="00150EDC">
              <w:rPr>
                <w:sz w:val="20"/>
              </w:rPr>
              <w:t>Terrorism</w:t>
            </w:r>
            <w:r w:rsidRPr="00150EDC">
              <w:rPr>
                <w:spacing w:val="-6"/>
                <w:sz w:val="20"/>
              </w:rPr>
              <w:t xml:space="preserve"> </w:t>
            </w:r>
            <w:r w:rsidRPr="00150EDC">
              <w:rPr>
                <w:sz w:val="20"/>
              </w:rPr>
              <w:t>(Temporary</w:t>
            </w:r>
            <w:r w:rsidRPr="00150EDC">
              <w:rPr>
                <w:spacing w:val="-5"/>
                <w:sz w:val="20"/>
              </w:rPr>
              <w:t xml:space="preserve"> </w:t>
            </w:r>
            <w:r w:rsidRPr="00150EDC">
              <w:rPr>
                <w:sz w:val="20"/>
              </w:rPr>
              <w:t>Provisions)</w:t>
            </w:r>
            <w:r w:rsidRPr="00150EDC">
              <w:rPr>
                <w:spacing w:val="-7"/>
                <w:sz w:val="20"/>
              </w:rPr>
              <w:t xml:space="preserve"> </w:t>
            </w:r>
            <w:r w:rsidRPr="00150EDC">
              <w:rPr>
                <w:sz w:val="20"/>
              </w:rPr>
              <w:t>Act</w:t>
            </w:r>
            <w:r w:rsidRPr="00150EDC">
              <w:rPr>
                <w:spacing w:val="-5"/>
                <w:sz w:val="20"/>
              </w:rPr>
              <w:t xml:space="preserve"> </w:t>
            </w:r>
            <w:r w:rsidRPr="00150EDC">
              <w:rPr>
                <w:sz w:val="20"/>
              </w:rPr>
              <w:t>1989,</w:t>
            </w:r>
            <w:r w:rsidRPr="00150EDC">
              <w:rPr>
                <w:spacing w:val="-6"/>
                <w:sz w:val="20"/>
              </w:rPr>
              <w:t xml:space="preserve"> </w:t>
            </w:r>
            <w:r w:rsidRPr="00150EDC">
              <w:rPr>
                <w:spacing w:val="-2"/>
                <w:sz w:val="20"/>
              </w:rPr>
              <w:t>s16(A)</w:t>
            </w:r>
          </w:p>
        </w:tc>
        <w:tc>
          <w:tcPr>
            <w:tcW w:w="7427" w:type="dxa"/>
          </w:tcPr>
          <w:p w14:paraId="12F63C78" w14:textId="77777777" w:rsidR="004C7180" w:rsidRPr="00150EDC" w:rsidRDefault="00CF0754">
            <w:pPr>
              <w:pStyle w:val="TableParagraph"/>
              <w:rPr>
                <w:sz w:val="20"/>
              </w:rPr>
            </w:pPr>
            <w:r w:rsidRPr="00150EDC">
              <w:rPr>
                <w:sz w:val="20"/>
              </w:rPr>
              <w:t>Possession</w:t>
            </w:r>
            <w:r w:rsidRPr="00150EDC">
              <w:rPr>
                <w:spacing w:val="-7"/>
                <w:sz w:val="20"/>
              </w:rPr>
              <w:t xml:space="preserve"> </w:t>
            </w:r>
            <w:r w:rsidRPr="00150EDC">
              <w:rPr>
                <w:sz w:val="20"/>
              </w:rPr>
              <w:t>of</w:t>
            </w:r>
            <w:r w:rsidRPr="00150EDC">
              <w:rPr>
                <w:spacing w:val="-6"/>
                <w:sz w:val="20"/>
              </w:rPr>
              <w:t xml:space="preserve"> </w:t>
            </w:r>
            <w:r w:rsidRPr="00150EDC">
              <w:rPr>
                <w:sz w:val="20"/>
              </w:rPr>
              <w:t>articles</w:t>
            </w:r>
            <w:r w:rsidRPr="00150EDC">
              <w:rPr>
                <w:spacing w:val="-5"/>
                <w:sz w:val="20"/>
              </w:rPr>
              <w:t xml:space="preserve"> </w:t>
            </w:r>
            <w:r w:rsidRPr="00150EDC">
              <w:rPr>
                <w:sz w:val="20"/>
              </w:rPr>
              <w:t>for</w:t>
            </w:r>
            <w:r w:rsidRPr="00150EDC">
              <w:rPr>
                <w:spacing w:val="-6"/>
                <w:sz w:val="20"/>
              </w:rPr>
              <w:t xml:space="preserve"> </w:t>
            </w:r>
            <w:r w:rsidRPr="00150EDC">
              <w:rPr>
                <w:sz w:val="20"/>
              </w:rPr>
              <w:t>terrorist</w:t>
            </w:r>
            <w:r w:rsidRPr="00150EDC">
              <w:rPr>
                <w:spacing w:val="-1"/>
                <w:sz w:val="20"/>
              </w:rPr>
              <w:t xml:space="preserve"> </w:t>
            </w:r>
            <w:r w:rsidRPr="00150EDC">
              <w:rPr>
                <w:spacing w:val="-2"/>
                <w:sz w:val="20"/>
              </w:rPr>
              <w:t>purposes</w:t>
            </w:r>
          </w:p>
        </w:tc>
      </w:tr>
      <w:tr w:rsidR="004569EE" w:rsidRPr="007D3144" w14:paraId="312D55C6" w14:textId="77777777">
        <w:trPr>
          <w:trHeight w:val="255"/>
        </w:trPr>
        <w:tc>
          <w:tcPr>
            <w:tcW w:w="6517" w:type="dxa"/>
          </w:tcPr>
          <w:p w14:paraId="74155B9D" w14:textId="77777777" w:rsidR="004C7180" w:rsidRPr="00150EDC" w:rsidRDefault="00CF0754">
            <w:pPr>
              <w:pStyle w:val="TableParagraph"/>
              <w:rPr>
                <w:sz w:val="20"/>
              </w:rPr>
            </w:pPr>
            <w:r w:rsidRPr="00150EDC">
              <w:rPr>
                <w:sz w:val="20"/>
              </w:rPr>
              <w:t>Prevention</w:t>
            </w:r>
            <w:r w:rsidRPr="00150EDC">
              <w:rPr>
                <w:spacing w:val="-2"/>
                <w:sz w:val="20"/>
              </w:rPr>
              <w:t xml:space="preserve"> </w:t>
            </w:r>
            <w:r w:rsidRPr="00150EDC">
              <w:rPr>
                <w:sz w:val="20"/>
              </w:rPr>
              <w:t>of</w:t>
            </w:r>
            <w:r w:rsidRPr="00150EDC">
              <w:rPr>
                <w:spacing w:val="-6"/>
                <w:sz w:val="20"/>
              </w:rPr>
              <w:t xml:space="preserve"> </w:t>
            </w:r>
            <w:r w:rsidRPr="00150EDC">
              <w:rPr>
                <w:sz w:val="20"/>
              </w:rPr>
              <w:t>Terrorism</w:t>
            </w:r>
            <w:r w:rsidRPr="00150EDC">
              <w:rPr>
                <w:spacing w:val="-6"/>
                <w:sz w:val="20"/>
              </w:rPr>
              <w:t xml:space="preserve"> </w:t>
            </w:r>
            <w:r w:rsidRPr="00150EDC">
              <w:rPr>
                <w:sz w:val="20"/>
              </w:rPr>
              <w:t>(Temporary</w:t>
            </w:r>
            <w:r w:rsidRPr="00150EDC">
              <w:rPr>
                <w:spacing w:val="-5"/>
                <w:sz w:val="20"/>
              </w:rPr>
              <w:t xml:space="preserve"> </w:t>
            </w:r>
            <w:r w:rsidRPr="00150EDC">
              <w:rPr>
                <w:sz w:val="20"/>
              </w:rPr>
              <w:t>Provisions)</w:t>
            </w:r>
            <w:r w:rsidRPr="00150EDC">
              <w:rPr>
                <w:spacing w:val="-7"/>
                <w:sz w:val="20"/>
              </w:rPr>
              <w:t xml:space="preserve"> </w:t>
            </w:r>
            <w:r w:rsidRPr="00150EDC">
              <w:rPr>
                <w:sz w:val="20"/>
              </w:rPr>
              <w:t>Act</w:t>
            </w:r>
            <w:r w:rsidRPr="00150EDC">
              <w:rPr>
                <w:spacing w:val="-5"/>
                <w:sz w:val="20"/>
              </w:rPr>
              <w:t xml:space="preserve"> </w:t>
            </w:r>
            <w:r w:rsidRPr="00150EDC">
              <w:rPr>
                <w:sz w:val="20"/>
              </w:rPr>
              <w:t>1989,</w:t>
            </w:r>
            <w:r w:rsidRPr="00150EDC">
              <w:rPr>
                <w:spacing w:val="-6"/>
                <w:sz w:val="20"/>
              </w:rPr>
              <w:t xml:space="preserve"> </w:t>
            </w:r>
            <w:r w:rsidRPr="00150EDC">
              <w:rPr>
                <w:spacing w:val="-5"/>
                <w:sz w:val="20"/>
              </w:rPr>
              <w:t>s9</w:t>
            </w:r>
          </w:p>
        </w:tc>
        <w:tc>
          <w:tcPr>
            <w:tcW w:w="7427" w:type="dxa"/>
          </w:tcPr>
          <w:p w14:paraId="7268951C" w14:textId="77777777" w:rsidR="004C7180" w:rsidRPr="00150EDC" w:rsidRDefault="00CF0754">
            <w:pPr>
              <w:pStyle w:val="TableParagraph"/>
              <w:rPr>
                <w:sz w:val="20"/>
              </w:rPr>
            </w:pPr>
            <w:r w:rsidRPr="00150EDC">
              <w:rPr>
                <w:sz w:val="20"/>
              </w:rPr>
              <w:t>Contributing</w:t>
            </w:r>
            <w:r w:rsidRPr="00150EDC">
              <w:rPr>
                <w:spacing w:val="-7"/>
                <w:sz w:val="20"/>
              </w:rPr>
              <w:t xml:space="preserve"> </w:t>
            </w:r>
            <w:r w:rsidRPr="00150EDC">
              <w:rPr>
                <w:sz w:val="20"/>
              </w:rPr>
              <w:t>to</w:t>
            </w:r>
            <w:r w:rsidRPr="00150EDC">
              <w:rPr>
                <w:spacing w:val="-2"/>
                <w:sz w:val="20"/>
              </w:rPr>
              <w:t xml:space="preserve"> </w:t>
            </w:r>
            <w:r w:rsidRPr="00150EDC">
              <w:rPr>
                <w:sz w:val="20"/>
              </w:rPr>
              <w:t>acts</w:t>
            </w:r>
            <w:r w:rsidRPr="00150EDC">
              <w:rPr>
                <w:spacing w:val="-5"/>
                <w:sz w:val="20"/>
              </w:rPr>
              <w:t xml:space="preserve"> </w:t>
            </w:r>
            <w:r w:rsidRPr="00150EDC">
              <w:rPr>
                <w:sz w:val="20"/>
              </w:rPr>
              <w:t>of</w:t>
            </w:r>
            <w:r w:rsidRPr="00150EDC">
              <w:rPr>
                <w:spacing w:val="-7"/>
                <w:sz w:val="20"/>
              </w:rPr>
              <w:t xml:space="preserve"> </w:t>
            </w:r>
            <w:r w:rsidRPr="00150EDC">
              <w:rPr>
                <w:spacing w:val="-2"/>
                <w:sz w:val="20"/>
              </w:rPr>
              <w:t>terrorism</w:t>
            </w:r>
          </w:p>
        </w:tc>
      </w:tr>
      <w:tr w:rsidR="004569EE" w:rsidRPr="007D3144" w14:paraId="45234CDB" w14:textId="77777777">
        <w:trPr>
          <w:trHeight w:val="255"/>
        </w:trPr>
        <w:tc>
          <w:tcPr>
            <w:tcW w:w="6517" w:type="dxa"/>
          </w:tcPr>
          <w:p w14:paraId="3340577C" w14:textId="77777777" w:rsidR="004C7180" w:rsidRPr="00150EDC" w:rsidRDefault="00CF0754">
            <w:pPr>
              <w:pStyle w:val="TableParagraph"/>
              <w:rPr>
                <w:sz w:val="20"/>
              </w:rPr>
            </w:pPr>
            <w:r w:rsidRPr="00150EDC">
              <w:rPr>
                <w:sz w:val="20"/>
              </w:rPr>
              <w:t>Prevention</w:t>
            </w:r>
            <w:r w:rsidRPr="00150EDC">
              <w:rPr>
                <w:spacing w:val="-3"/>
                <w:sz w:val="20"/>
              </w:rPr>
              <w:t xml:space="preserve"> </w:t>
            </w:r>
            <w:r w:rsidRPr="00150EDC">
              <w:rPr>
                <w:sz w:val="20"/>
              </w:rPr>
              <w:t>of</w:t>
            </w:r>
            <w:r w:rsidRPr="00150EDC">
              <w:rPr>
                <w:spacing w:val="-7"/>
                <w:sz w:val="20"/>
              </w:rPr>
              <w:t xml:space="preserve"> </w:t>
            </w:r>
            <w:r w:rsidRPr="00150EDC">
              <w:rPr>
                <w:sz w:val="20"/>
              </w:rPr>
              <w:t>Terrorism</w:t>
            </w:r>
            <w:r w:rsidRPr="00150EDC">
              <w:rPr>
                <w:spacing w:val="-6"/>
                <w:sz w:val="20"/>
              </w:rPr>
              <w:t xml:space="preserve"> </w:t>
            </w:r>
            <w:r w:rsidRPr="00150EDC">
              <w:rPr>
                <w:sz w:val="20"/>
              </w:rPr>
              <w:t>Act</w:t>
            </w:r>
            <w:r w:rsidRPr="00150EDC">
              <w:rPr>
                <w:spacing w:val="-6"/>
                <w:sz w:val="20"/>
              </w:rPr>
              <w:t xml:space="preserve"> </w:t>
            </w:r>
            <w:r w:rsidRPr="00150EDC">
              <w:rPr>
                <w:sz w:val="20"/>
              </w:rPr>
              <w:t>2000,</w:t>
            </w:r>
            <w:r w:rsidRPr="00150EDC">
              <w:rPr>
                <w:spacing w:val="-7"/>
                <w:sz w:val="20"/>
              </w:rPr>
              <w:t xml:space="preserve"> </w:t>
            </w:r>
            <w:r w:rsidRPr="00150EDC">
              <w:rPr>
                <w:spacing w:val="-5"/>
                <w:sz w:val="20"/>
              </w:rPr>
              <w:t>s57</w:t>
            </w:r>
          </w:p>
        </w:tc>
        <w:tc>
          <w:tcPr>
            <w:tcW w:w="7427" w:type="dxa"/>
          </w:tcPr>
          <w:p w14:paraId="4668FF9F" w14:textId="77777777" w:rsidR="004C7180" w:rsidRPr="00150EDC" w:rsidRDefault="00CF0754">
            <w:pPr>
              <w:pStyle w:val="TableParagraph"/>
              <w:rPr>
                <w:sz w:val="20"/>
              </w:rPr>
            </w:pPr>
            <w:r w:rsidRPr="00150EDC">
              <w:rPr>
                <w:sz w:val="20"/>
              </w:rPr>
              <w:t>Possession</w:t>
            </w:r>
            <w:r w:rsidRPr="00150EDC">
              <w:rPr>
                <w:spacing w:val="-7"/>
                <w:sz w:val="20"/>
              </w:rPr>
              <w:t xml:space="preserve"> </w:t>
            </w:r>
            <w:r w:rsidRPr="00150EDC">
              <w:rPr>
                <w:sz w:val="20"/>
              </w:rPr>
              <w:t>of</w:t>
            </w:r>
            <w:r w:rsidRPr="00150EDC">
              <w:rPr>
                <w:spacing w:val="-6"/>
                <w:sz w:val="20"/>
              </w:rPr>
              <w:t xml:space="preserve"> </w:t>
            </w:r>
            <w:r w:rsidRPr="00150EDC">
              <w:rPr>
                <w:sz w:val="20"/>
              </w:rPr>
              <w:t>articles</w:t>
            </w:r>
            <w:r w:rsidRPr="00150EDC">
              <w:rPr>
                <w:spacing w:val="-5"/>
                <w:sz w:val="20"/>
              </w:rPr>
              <w:t xml:space="preserve"> </w:t>
            </w:r>
            <w:r w:rsidRPr="00150EDC">
              <w:rPr>
                <w:sz w:val="20"/>
              </w:rPr>
              <w:t>for</w:t>
            </w:r>
            <w:r w:rsidRPr="00150EDC">
              <w:rPr>
                <w:spacing w:val="-6"/>
                <w:sz w:val="20"/>
              </w:rPr>
              <w:t xml:space="preserve"> </w:t>
            </w:r>
            <w:r w:rsidRPr="00150EDC">
              <w:rPr>
                <w:sz w:val="20"/>
              </w:rPr>
              <w:t>terrorist</w:t>
            </w:r>
            <w:r w:rsidRPr="00150EDC">
              <w:rPr>
                <w:spacing w:val="-1"/>
                <w:sz w:val="20"/>
              </w:rPr>
              <w:t xml:space="preserve"> </w:t>
            </w:r>
            <w:r w:rsidRPr="00150EDC">
              <w:rPr>
                <w:spacing w:val="-2"/>
                <w:sz w:val="20"/>
              </w:rPr>
              <w:t>purposes</w:t>
            </w:r>
          </w:p>
        </w:tc>
      </w:tr>
      <w:tr w:rsidR="004569EE" w:rsidRPr="007D3144" w14:paraId="48DC748B" w14:textId="77777777">
        <w:trPr>
          <w:trHeight w:val="255"/>
        </w:trPr>
        <w:tc>
          <w:tcPr>
            <w:tcW w:w="6517" w:type="dxa"/>
          </w:tcPr>
          <w:p w14:paraId="76483C15" w14:textId="77777777" w:rsidR="004C7180" w:rsidRPr="00150EDC" w:rsidRDefault="00CF0754">
            <w:pPr>
              <w:pStyle w:val="TableParagraph"/>
              <w:rPr>
                <w:sz w:val="20"/>
              </w:rPr>
            </w:pPr>
            <w:r w:rsidRPr="00150EDC">
              <w:rPr>
                <w:sz w:val="20"/>
              </w:rPr>
              <w:t>Prison</w:t>
            </w:r>
            <w:r w:rsidRPr="00150EDC">
              <w:rPr>
                <w:spacing w:val="-6"/>
                <w:sz w:val="20"/>
              </w:rPr>
              <w:t xml:space="preserve"> </w:t>
            </w:r>
            <w:r w:rsidRPr="00150EDC">
              <w:rPr>
                <w:sz w:val="20"/>
              </w:rPr>
              <w:t>(Jersey)</w:t>
            </w:r>
            <w:r w:rsidRPr="00150EDC">
              <w:rPr>
                <w:spacing w:val="-5"/>
                <w:sz w:val="20"/>
              </w:rPr>
              <w:t xml:space="preserve"> </w:t>
            </w:r>
            <w:r w:rsidRPr="00150EDC">
              <w:rPr>
                <w:sz w:val="20"/>
              </w:rPr>
              <w:t>Law</w:t>
            </w:r>
            <w:r w:rsidRPr="00150EDC">
              <w:rPr>
                <w:spacing w:val="-4"/>
                <w:sz w:val="20"/>
              </w:rPr>
              <w:t xml:space="preserve"> </w:t>
            </w:r>
            <w:r w:rsidRPr="00150EDC">
              <w:rPr>
                <w:sz w:val="20"/>
              </w:rPr>
              <w:t>1957,</w:t>
            </w:r>
            <w:r w:rsidRPr="00150EDC">
              <w:rPr>
                <w:spacing w:val="-5"/>
                <w:sz w:val="20"/>
              </w:rPr>
              <w:t xml:space="preserve"> </w:t>
            </w:r>
            <w:r w:rsidRPr="00150EDC">
              <w:rPr>
                <w:sz w:val="20"/>
              </w:rPr>
              <w:t>Art</w:t>
            </w:r>
            <w:r w:rsidRPr="00150EDC">
              <w:rPr>
                <w:spacing w:val="-3"/>
                <w:sz w:val="20"/>
              </w:rPr>
              <w:t xml:space="preserve"> </w:t>
            </w:r>
            <w:r w:rsidRPr="00150EDC">
              <w:rPr>
                <w:spacing w:val="-5"/>
                <w:sz w:val="20"/>
              </w:rPr>
              <w:t>29</w:t>
            </w:r>
          </w:p>
        </w:tc>
        <w:tc>
          <w:tcPr>
            <w:tcW w:w="7427" w:type="dxa"/>
          </w:tcPr>
          <w:p w14:paraId="4C35D941" w14:textId="77777777" w:rsidR="004C7180" w:rsidRPr="00150EDC" w:rsidRDefault="00CF0754">
            <w:pPr>
              <w:pStyle w:val="TableParagraph"/>
              <w:rPr>
                <w:sz w:val="20"/>
              </w:rPr>
            </w:pPr>
            <w:r w:rsidRPr="00150EDC">
              <w:rPr>
                <w:sz w:val="20"/>
              </w:rPr>
              <w:t>Conveying</w:t>
            </w:r>
            <w:r w:rsidRPr="00150EDC">
              <w:rPr>
                <w:spacing w:val="-5"/>
                <w:sz w:val="20"/>
              </w:rPr>
              <w:t xml:space="preserve"> </w:t>
            </w:r>
            <w:r w:rsidRPr="00150EDC">
              <w:rPr>
                <w:sz w:val="20"/>
              </w:rPr>
              <w:t>drugs</w:t>
            </w:r>
            <w:r w:rsidRPr="00150EDC">
              <w:rPr>
                <w:spacing w:val="-4"/>
                <w:sz w:val="20"/>
              </w:rPr>
              <w:t xml:space="preserve"> </w:t>
            </w:r>
            <w:r w:rsidRPr="00150EDC">
              <w:rPr>
                <w:sz w:val="20"/>
              </w:rPr>
              <w:t>to</w:t>
            </w:r>
            <w:r w:rsidRPr="00150EDC">
              <w:rPr>
                <w:spacing w:val="-5"/>
                <w:sz w:val="20"/>
              </w:rPr>
              <w:t xml:space="preserve"> </w:t>
            </w:r>
            <w:r w:rsidRPr="00150EDC">
              <w:rPr>
                <w:sz w:val="20"/>
              </w:rPr>
              <w:t>a</w:t>
            </w:r>
            <w:r w:rsidRPr="00150EDC">
              <w:rPr>
                <w:spacing w:val="-5"/>
                <w:sz w:val="20"/>
              </w:rPr>
              <w:t xml:space="preserve"> </w:t>
            </w:r>
            <w:r w:rsidRPr="00150EDC">
              <w:rPr>
                <w:spacing w:val="-2"/>
                <w:sz w:val="20"/>
              </w:rPr>
              <w:t>prisoner</w:t>
            </w:r>
          </w:p>
        </w:tc>
      </w:tr>
      <w:tr w:rsidR="004569EE" w:rsidRPr="007D3144" w14:paraId="2F03CFC4" w14:textId="77777777">
        <w:trPr>
          <w:trHeight w:val="255"/>
        </w:trPr>
        <w:tc>
          <w:tcPr>
            <w:tcW w:w="6517" w:type="dxa"/>
          </w:tcPr>
          <w:p w14:paraId="4C6FE1D8" w14:textId="77777777" w:rsidR="004C7180" w:rsidRPr="00150EDC" w:rsidRDefault="00CF0754">
            <w:pPr>
              <w:pStyle w:val="TableParagraph"/>
              <w:spacing w:before="28"/>
              <w:rPr>
                <w:sz w:val="20"/>
              </w:rPr>
            </w:pPr>
            <w:r w:rsidRPr="00150EDC">
              <w:rPr>
                <w:sz w:val="20"/>
              </w:rPr>
              <w:t>Prohibition</w:t>
            </w:r>
            <w:r w:rsidRPr="00150EDC">
              <w:rPr>
                <w:spacing w:val="-8"/>
                <w:sz w:val="20"/>
              </w:rPr>
              <w:t xml:space="preserve"> </w:t>
            </w:r>
            <w:r w:rsidRPr="00150EDC">
              <w:rPr>
                <w:sz w:val="20"/>
              </w:rPr>
              <w:t>of</w:t>
            </w:r>
            <w:r w:rsidRPr="00150EDC">
              <w:rPr>
                <w:spacing w:val="-2"/>
                <w:sz w:val="20"/>
              </w:rPr>
              <w:t xml:space="preserve"> </w:t>
            </w:r>
            <w:r w:rsidRPr="00150EDC">
              <w:rPr>
                <w:sz w:val="20"/>
              </w:rPr>
              <w:t>Female</w:t>
            </w:r>
            <w:r w:rsidRPr="00150EDC">
              <w:rPr>
                <w:spacing w:val="-7"/>
                <w:sz w:val="20"/>
              </w:rPr>
              <w:t xml:space="preserve"> </w:t>
            </w:r>
            <w:r w:rsidRPr="00150EDC">
              <w:rPr>
                <w:sz w:val="20"/>
              </w:rPr>
              <w:t>Circumcision</w:t>
            </w:r>
            <w:r w:rsidRPr="00150EDC">
              <w:rPr>
                <w:spacing w:val="-8"/>
                <w:sz w:val="20"/>
              </w:rPr>
              <w:t xml:space="preserve"> </w:t>
            </w:r>
            <w:r w:rsidRPr="00150EDC">
              <w:rPr>
                <w:sz w:val="20"/>
              </w:rPr>
              <w:t>Act</w:t>
            </w:r>
            <w:r w:rsidRPr="00150EDC">
              <w:rPr>
                <w:spacing w:val="-6"/>
                <w:sz w:val="20"/>
              </w:rPr>
              <w:t xml:space="preserve"> </w:t>
            </w:r>
            <w:r w:rsidRPr="00150EDC">
              <w:rPr>
                <w:sz w:val="20"/>
              </w:rPr>
              <w:t>1985,</w:t>
            </w:r>
            <w:r w:rsidRPr="00150EDC">
              <w:rPr>
                <w:spacing w:val="-8"/>
                <w:sz w:val="20"/>
              </w:rPr>
              <w:t xml:space="preserve"> </w:t>
            </w:r>
            <w:r w:rsidRPr="00150EDC">
              <w:rPr>
                <w:spacing w:val="-5"/>
                <w:sz w:val="20"/>
              </w:rPr>
              <w:t>s1</w:t>
            </w:r>
          </w:p>
        </w:tc>
        <w:tc>
          <w:tcPr>
            <w:tcW w:w="7427" w:type="dxa"/>
          </w:tcPr>
          <w:p w14:paraId="7B380424" w14:textId="77777777" w:rsidR="004C7180" w:rsidRPr="00150EDC" w:rsidRDefault="00CF0754">
            <w:pPr>
              <w:pStyle w:val="TableParagraph"/>
              <w:spacing w:before="28"/>
              <w:rPr>
                <w:sz w:val="20"/>
              </w:rPr>
            </w:pPr>
            <w:r w:rsidRPr="00150EDC">
              <w:rPr>
                <w:sz w:val="20"/>
              </w:rPr>
              <w:t>Prohibition</w:t>
            </w:r>
            <w:r w:rsidRPr="00150EDC">
              <w:rPr>
                <w:spacing w:val="-8"/>
                <w:sz w:val="20"/>
              </w:rPr>
              <w:t xml:space="preserve"> </w:t>
            </w:r>
            <w:r w:rsidRPr="00150EDC">
              <w:rPr>
                <w:sz w:val="20"/>
              </w:rPr>
              <w:t>of</w:t>
            </w:r>
            <w:r w:rsidRPr="00150EDC">
              <w:rPr>
                <w:spacing w:val="-2"/>
                <w:sz w:val="20"/>
              </w:rPr>
              <w:t xml:space="preserve"> </w:t>
            </w:r>
            <w:r w:rsidRPr="00150EDC">
              <w:rPr>
                <w:sz w:val="20"/>
              </w:rPr>
              <w:t>female</w:t>
            </w:r>
            <w:r w:rsidRPr="00150EDC">
              <w:rPr>
                <w:spacing w:val="-6"/>
                <w:sz w:val="20"/>
              </w:rPr>
              <w:t xml:space="preserve"> </w:t>
            </w:r>
            <w:r w:rsidRPr="00150EDC">
              <w:rPr>
                <w:spacing w:val="-2"/>
                <w:sz w:val="20"/>
              </w:rPr>
              <w:t>circumcision</w:t>
            </w:r>
          </w:p>
        </w:tc>
      </w:tr>
      <w:tr w:rsidR="004569EE" w:rsidRPr="007D3144" w14:paraId="167CF042" w14:textId="77777777">
        <w:trPr>
          <w:trHeight w:val="255"/>
        </w:trPr>
        <w:tc>
          <w:tcPr>
            <w:tcW w:w="6517" w:type="dxa"/>
          </w:tcPr>
          <w:p w14:paraId="40466141" w14:textId="77777777" w:rsidR="004C7180" w:rsidRPr="00150EDC" w:rsidRDefault="00CF0754">
            <w:pPr>
              <w:pStyle w:val="TableParagraph"/>
              <w:rPr>
                <w:sz w:val="20"/>
              </w:rPr>
            </w:pPr>
            <w:r w:rsidRPr="00150EDC">
              <w:rPr>
                <w:sz w:val="20"/>
              </w:rPr>
              <w:t>Prohibition</w:t>
            </w:r>
            <w:r w:rsidRPr="00150EDC">
              <w:rPr>
                <w:spacing w:val="-8"/>
                <w:sz w:val="20"/>
              </w:rPr>
              <w:t xml:space="preserve"> </w:t>
            </w:r>
            <w:r w:rsidRPr="00150EDC">
              <w:rPr>
                <w:sz w:val="20"/>
              </w:rPr>
              <w:t>of</w:t>
            </w:r>
            <w:r w:rsidRPr="00150EDC">
              <w:rPr>
                <w:spacing w:val="-2"/>
                <w:sz w:val="20"/>
              </w:rPr>
              <w:t xml:space="preserve"> </w:t>
            </w:r>
            <w:r w:rsidRPr="00150EDC">
              <w:rPr>
                <w:sz w:val="20"/>
              </w:rPr>
              <w:t>Female</w:t>
            </w:r>
            <w:r w:rsidRPr="00150EDC">
              <w:rPr>
                <w:spacing w:val="-6"/>
                <w:sz w:val="20"/>
              </w:rPr>
              <w:t xml:space="preserve"> </w:t>
            </w:r>
            <w:r w:rsidRPr="00150EDC">
              <w:rPr>
                <w:sz w:val="20"/>
              </w:rPr>
              <w:t>Genital</w:t>
            </w:r>
            <w:r w:rsidRPr="00150EDC">
              <w:rPr>
                <w:spacing w:val="-6"/>
                <w:sz w:val="20"/>
              </w:rPr>
              <w:t xml:space="preserve"> </w:t>
            </w:r>
            <w:r w:rsidRPr="00150EDC">
              <w:rPr>
                <w:sz w:val="20"/>
              </w:rPr>
              <w:t>Mutilation</w:t>
            </w:r>
            <w:r w:rsidRPr="00150EDC">
              <w:rPr>
                <w:spacing w:val="-3"/>
                <w:sz w:val="20"/>
              </w:rPr>
              <w:t xml:space="preserve"> </w:t>
            </w:r>
            <w:r w:rsidRPr="00150EDC">
              <w:rPr>
                <w:sz w:val="20"/>
              </w:rPr>
              <w:t>(Scotland)</w:t>
            </w:r>
            <w:r w:rsidRPr="00150EDC">
              <w:rPr>
                <w:spacing w:val="-7"/>
                <w:sz w:val="20"/>
              </w:rPr>
              <w:t xml:space="preserve"> </w:t>
            </w:r>
            <w:r w:rsidRPr="00150EDC">
              <w:rPr>
                <w:sz w:val="20"/>
              </w:rPr>
              <w:t>Act</w:t>
            </w:r>
            <w:r w:rsidRPr="00150EDC">
              <w:rPr>
                <w:spacing w:val="-7"/>
                <w:sz w:val="20"/>
              </w:rPr>
              <w:t xml:space="preserve"> </w:t>
            </w:r>
            <w:r w:rsidRPr="00150EDC">
              <w:rPr>
                <w:sz w:val="20"/>
              </w:rPr>
              <w:t>2005,</w:t>
            </w:r>
            <w:r w:rsidRPr="00150EDC">
              <w:rPr>
                <w:spacing w:val="-7"/>
                <w:sz w:val="20"/>
              </w:rPr>
              <w:t xml:space="preserve"> </w:t>
            </w:r>
            <w:r w:rsidRPr="00150EDC">
              <w:rPr>
                <w:spacing w:val="-5"/>
                <w:sz w:val="20"/>
              </w:rPr>
              <w:t>s1</w:t>
            </w:r>
          </w:p>
        </w:tc>
        <w:tc>
          <w:tcPr>
            <w:tcW w:w="7427" w:type="dxa"/>
          </w:tcPr>
          <w:p w14:paraId="670DC64A" w14:textId="77777777" w:rsidR="004C7180" w:rsidRPr="00150EDC" w:rsidRDefault="00CF0754">
            <w:pPr>
              <w:pStyle w:val="TableParagraph"/>
              <w:rPr>
                <w:sz w:val="20"/>
              </w:rPr>
            </w:pPr>
            <w:r w:rsidRPr="00150EDC">
              <w:rPr>
                <w:sz w:val="20"/>
              </w:rPr>
              <w:t>Female</w:t>
            </w:r>
            <w:r w:rsidRPr="00150EDC">
              <w:rPr>
                <w:spacing w:val="-7"/>
                <w:sz w:val="20"/>
              </w:rPr>
              <w:t xml:space="preserve"> </w:t>
            </w:r>
            <w:r w:rsidRPr="00150EDC">
              <w:rPr>
                <w:sz w:val="20"/>
              </w:rPr>
              <w:t>genital</w:t>
            </w:r>
            <w:r w:rsidRPr="00150EDC">
              <w:rPr>
                <w:spacing w:val="-6"/>
                <w:sz w:val="20"/>
              </w:rPr>
              <w:t xml:space="preserve"> </w:t>
            </w:r>
            <w:r w:rsidRPr="00150EDC">
              <w:rPr>
                <w:spacing w:val="-2"/>
                <w:sz w:val="20"/>
              </w:rPr>
              <w:t>mutilation</w:t>
            </w:r>
          </w:p>
        </w:tc>
      </w:tr>
      <w:tr w:rsidR="004569EE" w:rsidRPr="007D3144" w14:paraId="16DA6CAA" w14:textId="77777777">
        <w:trPr>
          <w:trHeight w:val="255"/>
        </w:trPr>
        <w:tc>
          <w:tcPr>
            <w:tcW w:w="6517" w:type="dxa"/>
          </w:tcPr>
          <w:p w14:paraId="5219D29E" w14:textId="77777777" w:rsidR="004C7180" w:rsidRPr="00150EDC" w:rsidRDefault="00CF0754">
            <w:pPr>
              <w:pStyle w:val="TableParagraph"/>
              <w:rPr>
                <w:sz w:val="20"/>
              </w:rPr>
            </w:pPr>
            <w:r w:rsidRPr="00150EDC">
              <w:rPr>
                <w:sz w:val="20"/>
              </w:rPr>
              <w:t>Prohibition</w:t>
            </w:r>
            <w:r w:rsidRPr="00150EDC">
              <w:rPr>
                <w:spacing w:val="-8"/>
                <w:sz w:val="20"/>
              </w:rPr>
              <w:t xml:space="preserve"> </w:t>
            </w:r>
            <w:r w:rsidRPr="00150EDC">
              <w:rPr>
                <w:sz w:val="20"/>
              </w:rPr>
              <w:t>of</w:t>
            </w:r>
            <w:r w:rsidRPr="00150EDC">
              <w:rPr>
                <w:spacing w:val="-2"/>
                <w:sz w:val="20"/>
              </w:rPr>
              <w:t xml:space="preserve"> </w:t>
            </w:r>
            <w:r w:rsidRPr="00150EDC">
              <w:rPr>
                <w:sz w:val="20"/>
              </w:rPr>
              <w:t>Female</w:t>
            </w:r>
            <w:r w:rsidRPr="00150EDC">
              <w:rPr>
                <w:spacing w:val="-6"/>
                <w:sz w:val="20"/>
              </w:rPr>
              <w:t xml:space="preserve"> </w:t>
            </w:r>
            <w:r w:rsidRPr="00150EDC">
              <w:rPr>
                <w:sz w:val="20"/>
              </w:rPr>
              <w:t>Genital</w:t>
            </w:r>
            <w:r w:rsidRPr="00150EDC">
              <w:rPr>
                <w:spacing w:val="-4"/>
                <w:sz w:val="20"/>
              </w:rPr>
              <w:t xml:space="preserve"> </w:t>
            </w:r>
            <w:r w:rsidRPr="00150EDC">
              <w:rPr>
                <w:sz w:val="20"/>
              </w:rPr>
              <w:t>Mutilation</w:t>
            </w:r>
            <w:r w:rsidRPr="00150EDC">
              <w:rPr>
                <w:spacing w:val="-3"/>
                <w:sz w:val="20"/>
              </w:rPr>
              <w:t xml:space="preserve"> </w:t>
            </w:r>
            <w:r w:rsidRPr="00150EDC">
              <w:rPr>
                <w:sz w:val="20"/>
              </w:rPr>
              <w:t>(Scotland)</w:t>
            </w:r>
            <w:r w:rsidRPr="00150EDC">
              <w:rPr>
                <w:spacing w:val="-7"/>
                <w:sz w:val="20"/>
              </w:rPr>
              <w:t xml:space="preserve"> </w:t>
            </w:r>
            <w:r w:rsidRPr="00150EDC">
              <w:rPr>
                <w:sz w:val="20"/>
              </w:rPr>
              <w:t>Act</w:t>
            </w:r>
            <w:r w:rsidRPr="00150EDC">
              <w:rPr>
                <w:spacing w:val="-7"/>
                <w:sz w:val="20"/>
              </w:rPr>
              <w:t xml:space="preserve"> </w:t>
            </w:r>
            <w:r w:rsidRPr="00150EDC">
              <w:rPr>
                <w:sz w:val="20"/>
              </w:rPr>
              <w:t>2005,</w:t>
            </w:r>
            <w:r w:rsidRPr="00150EDC">
              <w:rPr>
                <w:spacing w:val="-7"/>
                <w:sz w:val="20"/>
              </w:rPr>
              <w:t xml:space="preserve"> </w:t>
            </w:r>
            <w:r w:rsidRPr="00150EDC">
              <w:rPr>
                <w:spacing w:val="-5"/>
                <w:sz w:val="20"/>
              </w:rPr>
              <w:t>s3</w:t>
            </w:r>
          </w:p>
        </w:tc>
        <w:tc>
          <w:tcPr>
            <w:tcW w:w="7427" w:type="dxa"/>
          </w:tcPr>
          <w:p w14:paraId="43B1CB8B" w14:textId="77777777" w:rsidR="004C7180" w:rsidRPr="00150EDC" w:rsidRDefault="00CF0754">
            <w:pPr>
              <w:pStyle w:val="TableParagraph"/>
              <w:rPr>
                <w:sz w:val="20"/>
              </w:rPr>
            </w:pPr>
            <w:r w:rsidRPr="00150EDC">
              <w:rPr>
                <w:sz w:val="20"/>
              </w:rPr>
              <w:t>Aiding</w:t>
            </w:r>
            <w:r w:rsidRPr="00150EDC">
              <w:rPr>
                <w:spacing w:val="-6"/>
                <w:sz w:val="20"/>
              </w:rPr>
              <w:t xml:space="preserve"> </w:t>
            </w:r>
            <w:r w:rsidRPr="00150EDC">
              <w:rPr>
                <w:sz w:val="20"/>
              </w:rPr>
              <w:t>and</w:t>
            </w:r>
            <w:r w:rsidRPr="00150EDC">
              <w:rPr>
                <w:spacing w:val="-5"/>
                <w:sz w:val="20"/>
              </w:rPr>
              <w:t xml:space="preserve"> </w:t>
            </w:r>
            <w:r w:rsidRPr="00150EDC">
              <w:rPr>
                <w:sz w:val="20"/>
              </w:rPr>
              <w:t>abetting</w:t>
            </w:r>
            <w:r w:rsidRPr="00150EDC">
              <w:rPr>
                <w:spacing w:val="-6"/>
                <w:sz w:val="20"/>
              </w:rPr>
              <w:t xml:space="preserve"> </w:t>
            </w:r>
            <w:r w:rsidRPr="00150EDC">
              <w:rPr>
                <w:sz w:val="20"/>
              </w:rPr>
              <w:t>female</w:t>
            </w:r>
            <w:r w:rsidRPr="00150EDC">
              <w:rPr>
                <w:spacing w:val="-4"/>
                <w:sz w:val="20"/>
              </w:rPr>
              <w:t xml:space="preserve"> </w:t>
            </w:r>
            <w:r w:rsidRPr="00150EDC">
              <w:rPr>
                <w:sz w:val="20"/>
              </w:rPr>
              <w:t>genital</w:t>
            </w:r>
            <w:r w:rsidRPr="00150EDC">
              <w:rPr>
                <w:spacing w:val="-3"/>
                <w:sz w:val="20"/>
              </w:rPr>
              <w:t xml:space="preserve"> </w:t>
            </w:r>
            <w:r w:rsidRPr="00150EDC">
              <w:rPr>
                <w:spacing w:val="-2"/>
                <w:sz w:val="20"/>
              </w:rPr>
              <w:t>mutilation</w:t>
            </w:r>
          </w:p>
        </w:tc>
      </w:tr>
      <w:tr w:rsidR="004569EE" w:rsidRPr="007D3144" w14:paraId="760FBC74" w14:textId="77777777">
        <w:trPr>
          <w:trHeight w:val="255"/>
        </w:trPr>
        <w:tc>
          <w:tcPr>
            <w:tcW w:w="6517" w:type="dxa"/>
          </w:tcPr>
          <w:p w14:paraId="54876F14" w14:textId="77777777" w:rsidR="004C7180" w:rsidRPr="00150EDC" w:rsidRDefault="00CF0754">
            <w:pPr>
              <w:pStyle w:val="TableParagraph"/>
              <w:rPr>
                <w:sz w:val="20"/>
              </w:rPr>
            </w:pPr>
            <w:r w:rsidRPr="00150EDC">
              <w:rPr>
                <w:sz w:val="20"/>
              </w:rPr>
              <w:t>Prohibition</w:t>
            </w:r>
            <w:r w:rsidRPr="00150EDC">
              <w:rPr>
                <w:spacing w:val="-8"/>
                <w:sz w:val="20"/>
              </w:rPr>
              <w:t xml:space="preserve"> </w:t>
            </w:r>
            <w:r w:rsidRPr="00150EDC">
              <w:rPr>
                <w:sz w:val="20"/>
              </w:rPr>
              <w:t>of</w:t>
            </w:r>
            <w:r w:rsidRPr="00150EDC">
              <w:rPr>
                <w:spacing w:val="-2"/>
                <w:sz w:val="20"/>
              </w:rPr>
              <w:t xml:space="preserve"> </w:t>
            </w:r>
            <w:r w:rsidRPr="00150EDC">
              <w:rPr>
                <w:sz w:val="20"/>
              </w:rPr>
              <w:t>Female</w:t>
            </w:r>
            <w:r w:rsidRPr="00150EDC">
              <w:rPr>
                <w:spacing w:val="-6"/>
                <w:sz w:val="20"/>
              </w:rPr>
              <w:t xml:space="preserve"> </w:t>
            </w:r>
            <w:r w:rsidRPr="00150EDC">
              <w:rPr>
                <w:sz w:val="20"/>
              </w:rPr>
              <w:t>Genital</w:t>
            </w:r>
            <w:r w:rsidRPr="00150EDC">
              <w:rPr>
                <w:spacing w:val="-6"/>
                <w:sz w:val="20"/>
              </w:rPr>
              <w:t xml:space="preserve"> </w:t>
            </w:r>
            <w:r w:rsidRPr="00150EDC">
              <w:rPr>
                <w:sz w:val="20"/>
              </w:rPr>
              <w:t>Mutilation</w:t>
            </w:r>
            <w:r w:rsidRPr="00150EDC">
              <w:rPr>
                <w:spacing w:val="-3"/>
                <w:sz w:val="20"/>
              </w:rPr>
              <w:t xml:space="preserve"> </w:t>
            </w:r>
            <w:r w:rsidRPr="00150EDC">
              <w:rPr>
                <w:sz w:val="20"/>
              </w:rPr>
              <w:t>(Scotland)</w:t>
            </w:r>
            <w:r w:rsidRPr="00150EDC">
              <w:rPr>
                <w:spacing w:val="-7"/>
                <w:sz w:val="20"/>
              </w:rPr>
              <w:t xml:space="preserve"> </w:t>
            </w:r>
            <w:r w:rsidRPr="00150EDC">
              <w:rPr>
                <w:sz w:val="20"/>
              </w:rPr>
              <w:t>Act</w:t>
            </w:r>
            <w:r w:rsidRPr="00150EDC">
              <w:rPr>
                <w:spacing w:val="-7"/>
                <w:sz w:val="20"/>
              </w:rPr>
              <w:t xml:space="preserve"> </w:t>
            </w:r>
            <w:r w:rsidRPr="00150EDC">
              <w:rPr>
                <w:sz w:val="20"/>
              </w:rPr>
              <w:t>2005,</w:t>
            </w:r>
            <w:r w:rsidRPr="00150EDC">
              <w:rPr>
                <w:spacing w:val="-7"/>
                <w:sz w:val="20"/>
              </w:rPr>
              <w:t xml:space="preserve"> </w:t>
            </w:r>
            <w:r w:rsidRPr="00150EDC">
              <w:rPr>
                <w:spacing w:val="-5"/>
                <w:sz w:val="20"/>
              </w:rPr>
              <w:t>s4</w:t>
            </w:r>
          </w:p>
        </w:tc>
        <w:tc>
          <w:tcPr>
            <w:tcW w:w="7427" w:type="dxa"/>
          </w:tcPr>
          <w:p w14:paraId="6ABD2A61" w14:textId="77777777" w:rsidR="004C7180" w:rsidRPr="00150EDC" w:rsidRDefault="00CF0754">
            <w:pPr>
              <w:pStyle w:val="TableParagraph"/>
              <w:rPr>
                <w:sz w:val="20"/>
              </w:rPr>
            </w:pPr>
            <w:r w:rsidRPr="00150EDC">
              <w:rPr>
                <w:sz w:val="20"/>
              </w:rPr>
              <w:t>Female</w:t>
            </w:r>
            <w:r w:rsidRPr="00150EDC">
              <w:rPr>
                <w:spacing w:val="-5"/>
                <w:sz w:val="20"/>
              </w:rPr>
              <w:t xml:space="preserve"> </w:t>
            </w:r>
            <w:r w:rsidRPr="00150EDC">
              <w:rPr>
                <w:sz w:val="20"/>
              </w:rPr>
              <w:t>genital</w:t>
            </w:r>
            <w:r w:rsidRPr="00150EDC">
              <w:rPr>
                <w:spacing w:val="-3"/>
                <w:sz w:val="20"/>
              </w:rPr>
              <w:t xml:space="preserve"> </w:t>
            </w:r>
            <w:r w:rsidRPr="00150EDC">
              <w:rPr>
                <w:sz w:val="20"/>
              </w:rPr>
              <w:t>mutilation</w:t>
            </w:r>
            <w:r w:rsidRPr="00150EDC">
              <w:rPr>
                <w:spacing w:val="-8"/>
                <w:sz w:val="20"/>
              </w:rPr>
              <w:t xml:space="preserve"> </w:t>
            </w:r>
            <w:r w:rsidRPr="00150EDC">
              <w:rPr>
                <w:sz w:val="20"/>
              </w:rPr>
              <w:t>-</w:t>
            </w:r>
            <w:r w:rsidRPr="00150EDC">
              <w:rPr>
                <w:spacing w:val="-10"/>
                <w:sz w:val="20"/>
              </w:rPr>
              <w:t xml:space="preserve"> </w:t>
            </w:r>
            <w:r w:rsidRPr="00150EDC">
              <w:rPr>
                <w:sz w:val="20"/>
              </w:rPr>
              <w:t>extra-territorial</w:t>
            </w:r>
            <w:r w:rsidRPr="00150EDC">
              <w:rPr>
                <w:spacing w:val="-6"/>
                <w:sz w:val="20"/>
              </w:rPr>
              <w:t xml:space="preserve"> </w:t>
            </w:r>
            <w:r w:rsidRPr="00150EDC">
              <w:rPr>
                <w:spacing w:val="-4"/>
                <w:sz w:val="20"/>
              </w:rPr>
              <w:t>acts</w:t>
            </w:r>
          </w:p>
        </w:tc>
      </w:tr>
      <w:tr w:rsidR="004569EE" w:rsidRPr="007D3144" w14:paraId="61F693FE" w14:textId="77777777">
        <w:trPr>
          <w:trHeight w:val="255"/>
        </w:trPr>
        <w:tc>
          <w:tcPr>
            <w:tcW w:w="6517" w:type="dxa"/>
          </w:tcPr>
          <w:p w14:paraId="54BD9996" w14:textId="77777777" w:rsidR="004C7180" w:rsidRPr="00150EDC" w:rsidRDefault="00CF0754">
            <w:pPr>
              <w:pStyle w:val="TableParagraph"/>
              <w:spacing w:before="28"/>
              <w:rPr>
                <w:sz w:val="20"/>
              </w:rPr>
            </w:pPr>
            <w:r w:rsidRPr="00150EDC">
              <w:rPr>
                <w:sz w:val="20"/>
              </w:rPr>
              <w:t>Protection</w:t>
            </w:r>
            <w:r w:rsidRPr="00150EDC">
              <w:rPr>
                <w:spacing w:val="-7"/>
                <w:sz w:val="20"/>
              </w:rPr>
              <w:t xml:space="preserve"> </w:t>
            </w:r>
            <w:r w:rsidRPr="00150EDC">
              <w:rPr>
                <w:sz w:val="20"/>
              </w:rPr>
              <w:t>from</w:t>
            </w:r>
            <w:r w:rsidRPr="00150EDC">
              <w:rPr>
                <w:spacing w:val="-7"/>
                <w:sz w:val="20"/>
              </w:rPr>
              <w:t xml:space="preserve"> </w:t>
            </w:r>
            <w:r w:rsidRPr="00150EDC">
              <w:rPr>
                <w:sz w:val="20"/>
              </w:rPr>
              <w:t>Harassment</w:t>
            </w:r>
            <w:r w:rsidRPr="00150EDC">
              <w:rPr>
                <w:spacing w:val="-6"/>
                <w:sz w:val="20"/>
              </w:rPr>
              <w:t xml:space="preserve"> </w:t>
            </w:r>
            <w:r w:rsidRPr="00150EDC">
              <w:rPr>
                <w:sz w:val="20"/>
              </w:rPr>
              <w:t>(Bailiwick</w:t>
            </w:r>
            <w:r w:rsidRPr="00150EDC">
              <w:rPr>
                <w:spacing w:val="-6"/>
                <w:sz w:val="20"/>
              </w:rPr>
              <w:t xml:space="preserve"> </w:t>
            </w:r>
            <w:r w:rsidRPr="00150EDC">
              <w:rPr>
                <w:sz w:val="20"/>
              </w:rPr>
              <w:t>of</w:t>
            </w:r>
            <w:r w:rsidRPr="00150EDC">
              <w:rPr>
                <w:spacing w:val="-3"/>
                <w:sz w:val="20"/>
              </w:rPr>
              <w:t xml:space="preserve"> </w:t>
            </w:r>
            <w:r w:rsidRPr="00150EDC">
              <w:rPr>
                <w:sz w:val="20"/>
              </w:rPr>
              <w:t>Guernsey)</w:t>
            </w:r>
            <w:r w:rsidRPr="00150EDC">
              <w:rPr>
                <w:spacing w:val="-7"/>
                <w:sz w:val="20"/>
              </w:rPr>
              <w:t xml:space="preserve"> </w:t>
            </w:r>
            <w:r w:rsidRPr="00150EDC">
              <w:rPr>
                <w:sz w:val="20"/>
              </w:rPr>
              <w:t>Law</w:t>
            </w:r>
            <w:r w:rsidRPr="00150EDC">
              <w:rPr>
                <w:spacing w:val="-1"/>
                <w:sz w:val="20"/>
              </w:rPr>
              <w:t xml:space="preserve"> </w:t>
            </w:r>
            <w:r w:rsidRPr="00150EDC">
              <w:rPr>
                <w:sz w:val="20"/>
              </w:rPr>
              <w:t>2005,</w:t>
            </w:r>
            <w:r w:rsidRPr="00150EDC">
              <w:rPr>
                <w:spacing w:val="-7"/>
                <w:sz w:val="20"/>
              </w:rPr>
              <w:t xml:space="preserve"> </w:t>
            </w:r>
            <w:r w:rsidRPr="00150EDC">
              <w:rPr>
                <w:spacing w:val="-5"/>
                <w:sz w:val="20"/>
              </w:rPr>
              <w:t>s3</w:t>
            </w:r>
          </w:p>
        </w:tc>
        <w:tc>
          <w:tcPr>
            <w:tcW w:w="7427" w:type="dxa"/>
          </w:tcPr>
          <w:p w14:paraId="08B9FB9E" w14:textId="77777777" w:rsidR="004C7180" w:rsidRPr="00150EDC" w:rsidRDefault="00CF0754">
            <w:pPr>
              <w:pStyle w:val="TableParagraph"/>
              <w:spacing w:before="28"/>
              <w:rPr>
                <w:sz w:val="20"/>
              </w:rPr>
            </w:pPr>
            <w:r w:rsidRPr="00150EDC">
              <w:rPr>
                <w:sz w:val="20"/>
              </w:rPr>
              <w:t>Putting</w:t>
            </w:r>
            <w:r w:rsidRPr="00150EDC">
              <w:rPr>
                <w:spacing w:val="-4"/>
                <w:sz w:val="20"/>
              </w:rPr>
              <w:t xml:space="preserve"> </w:t>
            </w:r>
            <w:r w:rsidRPr="00150EDC">
              <w:rPr>
                <w:sz w:val="20"/>
              </w:rPr>
              <w:t>people</w:t>
            </w:r>
            <w:r w:rsidRPr="00150EDC">
              <w:rPr>
                <w:spacing w:val="-3"/>
                <w:sz w:val="20"/>
              </w:rPr>
              <w:t xml:space="preserve"> </w:t>
            </w:r>
            <w:r w:rsidRPr="00150EDC">
              <w:rPr>
                <w:sz w:val="20"/>
              </w:rPr>
              <w:t>in</w:t>
            </w:r>
            <w:r w:rsidRPr="00150EDC">
              <w:rPr>
                <w:spacing w:val="-4"/>
                <w:sz w:val="20"/>
              </w:rPr>
              <w:t xml:space="preserve"> </w:t>
            </w:r>
            <w:r w:rsidRPr="00150EDC">
              <w:rPr>
                <w:sz w:val="20"/>
              </w:rPr>
              <w:t>fear</w:t>
            </w:r>
            <w:r w:rsidRPr="00150EDC">
              <w:rPr>
                <w:spacing w:val="-4"/>
                <w:sz w:val="20"/>
              </w:rPr>
              <w:t xml:space="preserve"> </w:t>
            </w:r>
            <w:r w:rsidRPr="00150EDC">
              <w:rPr>
                <w:sz w:val="20"/>
              </w:rPr>
              <w:t>of</w:t>
            </w:r>
            <w:r w:rsidRPr="00150EDC">
              <w:rPr>
                <w:spacing w:val="-3"/>
                <w:sz w:val="20"/>
              </w:rPr>
              <w:t xml:space="preserve"> </w:t>
            </w:r>
            <w:r w:rsidRPr="00150EDC">
              <w:rPr>
                <w:spacing w:val="-2"/>
                <w:sz w:val="20"/>
              </w:rPr>
              <w:t>violence</w:t>
            </w:r>
          </w:p>
        </w:tc>
      </w:tr>
      <w:tr w:rsidR="004569EE" w:rsidRPr="007D3144" w14:paraId="2B6A4621" w14:textId="77777777">
        <w:trPr>
          <w:trHeight w:val="255"/>
        </w:trPr>
        <w:tc>
          <w:tcPr>
            <w:tcW w:w="6517" w:type="dxa"/>
          </w:tcPr>
          <w:p w14:paraId="4B986EEF" w14:textId="77777777" w:rsidR="004C7180" w:rsidRPr="00150EDC" w:rsidRDefault="00CF0754">
            <w:pPr>
              <w:pStyle w:val="TableParagraph"/>
              <w:rPr>
                <w:sz w:val="20"/>
              </w:rPr>
            </w:pPr>
            <w:r w:rsidRPr="00150EDC">
              <w:rPr>
                <w:sz w:val="20"/>
              </w:rPr>
              <w:t>Protection</w:t>
            </w:r>
            <w:r w:rsidRPr="00150EDC">
              <w:rPr>
                <w:spacing w:val="-6"/>
                <w:sz w:val="20"/>
              </w:rPr>
              <w:t xml:space="preserve"> </w:t>
            </w:r>
            <w:r w:rsidRPr="00150EDC">
              <w:rPr>
                <w:sz w:val="20"/>
              </w:rPr>
              <w:t>from</w:t>
            </w:r>
            <w:r w:rsidRPr="00150EDC">
              <w:rPr>
                <w:spacing w:val="-6"/>
                <w:sz w:val="20"/>
              </w:rPr>
              <w:t xml:space="preserve"> </w:t>
            </w:r>
            <w:r w:rsidRPr="00150EDC">
              <w:rPr>
                <w:sz w:val="20"/>
              </w:rPr>
              <w:t>Harassment</w:t>
            </w:r>
            <w:r w:rsidRPr="00150EDC">
              <w:rPr>
                <w:spacing w:val="-5"/>
                <w:sz w:val="20"/>
              </w:rPr>
              <w:t xml:space="preserve"> </w:t>
            </w:r>
            <w:r w:rsidRPr="00150EDC">
              <w:rPr>
                <w:sz w:val="20"/>
              </w:rPr>
              <w:t>(Northern</w:t>
            </w:r>
            <w:r w:rsidRPr="00150EDC">
              <w:rPr>
                <w:spacing w:val="-6"/>
                <w:sz w:val="20"/>
              </w:rPr>
              <w:t xml:space="preserve"> </w:t>
            </w:r>
            <w:r w:rsidRPr="00150EDC">
              <w:rPr>
                <w:sz w:val="20"/>
              </w:rPr>
              <w:t>Ireland)</w:t>
            </w:r>
            <w:r w:rsidRPr="00150EDC">
              <w:rPr>
                <w:spacing w:val="-5"/>
                <w:sz w:val="20"/>
              </w:rPr>
              <w:t xml:space="preserve"> </w:t>
            </w:r>
            <w:r w:rsidRPr="00150EDC">
              <w:rPr>
                <w:sz w:val="20"/>
              </w:rPr>
              <w:t>Order</w:t>
            </w:r>
            <w:r w:rsidRPr="00150EDC">
              <w:rPr>
                <w:spacing w:val="-6"/>
                <w:sz w:val="20"/>
              </w:rPr>
              <w:t xml:space="preserve"> </w:t>
            </w:r>
            <w:r w:rsidRPr="00150EDC">
              <w:rPr>
                <w:sz w:val="20"/>
              </w:rPr>
              <w:t>1997,</w:t>
            </w:r>
            <w:r w:rsidRPr="00150EDC">
              <w:rPr>
                <w:spacing w:val="-5"/>
                <w:sz w:val="20"/>
              </w:rPr>
              <w:t xml:space="preserve"> </w:t>
            </w:r>
            <w:r w:rsidRPr="00150EDC">
              <w:rPr>
                <w:sz w:val="20"/>
              </w:rPr>
              <w:t>Art</w:t>
            </w:r>
            <w:r w:rsidRPr="00150EDC">
              <w:rPr>
                <w:spacing w:val="-6"/>
                <w:sz w:val="20"/>
              </w:rPr>
              <w:t xml:space="preserve"> </w:t>
            </w:r>
            <w:r w:rsidRPr="00150EDC">
              <w:rPr>
                <w:spacing w:val="-10"/>
                <w:sz w:val="20"/>
              </w:rPr>
              <w:t>6</w:t>
            </w:r>
          </w:p>
        </w:tc>
        <w:tc>
          <w:tcPr>
            <w:tcW w:w="7427" w:type="dxa"/>
          </w:tcPr>
          <w:p w14:paraId="31E4A3BD" w14:textId="77777777" w:rsidR="004C7180" w:rsidRPr="00150EDC" w:rsidRDefault="00CF0754">
            <w:pPr>
              <w:pStyle w:val="TableParagraph"/>
              <w:rPr>
                <w:sz w:val="20"/>
              </w:rPr>
            </w:pPr>
            <w:r w:rsidRPr="00150EDC">
              <w:rPr>
                <w:sz w:val="20"/>
              </w:rPr>
              <w:t>Putting</w:t>
            </w:r>
            <w:r w:rsidRPr="00150EDC">
              <w:rPr>
                <w:spacing w:val="-4"/>
                <w:sz w:val="20"/>
              </w:rPr>
              <w:t xml:space="preserve"> </w:t>
            </w:r>
            <w:r w:rsidRPr="00150EDC">
              <w:rPr>
                <w:sz w:val="20"/>
              </w:rPr>
              <w:t>people</w:t>
            </w:r>
            <w:r w:rsidRPr="00150EDC">
              <w:rPr>
                <w:spacing w:val="-3"/>
                <w:sz w:val="20"/>
              </w:rPr>
              <w:t xml:space="preserve"> </w:t>
            </w:r>
            <w:r w:rsidRPr="00150EDC">
              <w:rPr>
                <w:sz w:val="20"/>
              </w:rPr>
              <w:t>in</w:t>
            </w:r>
            <w:r w:rsidRPr="00150EDC">
              <w:rPr>
                <w:spacing w:val="-4"/>
                <w:sz w:val="20"/>
              </w:rPr>
              <w:t xml:space="preserve"> </w:t>
            </w:r>
            <w:r w:rsidRPr="00150EDC">
              <w:rPr>
                <w:sz w:val="20"/>
              </w:rPr>
              <w:t>fear</w:t>
            </w:r>
            <w:r w:rsidRPr="00150EDC">
              <w:rPr>
                <w:spacing w:val="-4"/>
                <w:sz w:val="20"/>
              </w:rPr>
              <w:t xml:space="preserve"> </w:t>
            </w:r>
            <w:r w:rsidRPr="00150EDC">
              <w:rPr>
                <w:sz w:val="20"/>
              </w:rPr>
              <w:t>of</w:t>
            </w:r>
            <w:r w:rsidRPr="00150EDC">
              <w:rPr>
                <w:spacing w:val="-3"/>
                <w:sz w:val="20"/>
              </w:rPr>
              <w:t xml:space="preserve"> </w:t>
            </w:r>
            <w:r w:rsidRPr="00150EDC">
              <w:rPr>
                <w:spacing w:val="-2"/>
                <w:sz w:val="20"/>
              </w:rPr>
              <w:t>violence</w:t>
            </w:r>
          </w:p>
        </w:tc>
      </w:tr>
      <w:tr w:rsidR="004569EE" w:rsidRPr="007D3144" w14:paraId="42A25D9E" w14:textId="77777777">
        <w:trPr>
          <w:trHeight w:val="255"/>
        </w:trPr>
        <w:tc>
          <w:tcPr>
            <w:tcW w:w="6517" w:type="dxa"/>
          </w:tcPr>
          <w:p w14:paraId="271129DF" w14:textId="77777777" w:rsidR="004C7180" w:rsidRPr="00150EDC" w:rsidRDefault="00CF0754">
            <w:pPr>
              <w:pStyle w:val="TableParagraph"/>
              <w:rPr>
                <w:sz w:val="20"/>
              </w:rPr>
            </w:pPr>
            <w:r w:rsidRPr="00150EDC">
              <w:rPr>
                <w:sz w:val="20"/>
              </w:rPr>
              <w:t>Protection</w:t>
            </w:r>
            <w:r w:rsidRPr="00150EDC">
              <w:rPr>
                <w:spacing w:val="-10"/>
                <w:sz w:val="20"/>
              </w:rPr>
              <w:t xml:space="preserve"> </w:t>
            </w:r>
            <w:r w:rsidRPr="00150EDC">
              <w:rPr>
                <w:sz w:val="20"/>
              </w:rPr>
              <w:t>from</w:t>
            </w:r>
            <w:r w:rsidRPr="00150EDC">
              <w:rPr>
                <w:spacing w:val="-8"/>
                <w:sz w:val="20"/>
              </w:rPr>
              <w:t xml:space="preserve"> </w:t>
            </w:r>
            <w:r w:rsidRPr="00150EDC">
              <w:rPr>
                <w:sz w:val="20"/>
              </w:rPr>
              <w:t>Harrassment</w:t>
            </w:r>
            <w:r w:rsidRPr="00150EDC">
              <w:rPr>
                <w:spacing w:val="-8"/>
                <w:sz w:val="20"/>
              </w:rPr>
              <w:t xml:space="preserve"> </w:t>
            </w:r>
            <w:r w:rsidRPr="00150EDC">
              <w:rPr>
                <w:sz w:val="20"/>
              </w:rPr>
              <w:t>Act</w:t>
            </w:r>
            <w:r w:rsidRPr="00150EDC">
              <w:rPr>
                <w:spacing w:val="-3"/>
                <w:sz w:val="20"/>
              </w:rPr>
              <w:t xml:space="preserve"> </w:t>
            </w:r>
            <w:r w:rsidRPr="00150EDC">
              <w:rPr>
                <w:sz w:val="20"/>
              </w:rPr>
              <w:t>1997,</w:t>
            </w:r>
            <w:r w:rsidRPr="00150EDC">
              <w:rPr>
                <w:spacing w:val="-2"/>
                <w:sz w:val="20"/>
              </w:rPr>
              <w:t xml:space="preserve"> </w:t>
            </w:r>
            <w:r w:rsidRPr="00150EDC">
              <w:rPr>
                <w:spacing w:val="-5"/>
                <w:sz w:val="20"/>
              </w:rPr>
              <w:t>s4</w:t>
            </w:r>
          </w:p>
        </w:tc>
        <w:tc>
          <w:tcPr>
            <w:tcW w:w="7427" w:type="dxa"/>
          </w:tcPr>
          <w:p w14:paraId="5880073C" w14:textId="77777777" w:rsidR="004C7180" w:rsidRPr="00150EDC" w:rsidRDefault="00CF0754">
            <w:pPr>
              <w:pStyle w:val="TableParagraph"/>
              <w:rPr>
                <w:sz w:val="20"/>
              </w:rPr>
            </w:pPr>
            <w:r w:rsidRPr="00150EDC">
              <w:rPr>
                <w:sz w:val="20"/>
              </w:rPr>
              <w:t>Putting</w:t>
            </w:r>
            <w:r w:rsidRPr="00150EDC">
              <w:rPr>
                <w:spacing w:val="-4"/>
                <w:sz w:val="20"/>
              </w:rPr>
              <w:t xml:space="preserve"> </w:t>
            </w:r>
            <w:r w:rsidRPr="00150EDC">
              <w:rPr>
                <w:sz w:val="20"/>
              </w:rPr>
              <w:t>people</w:t>
            </w:r>
            <w:r w:rsidRPr="00150EDC">
              <w:rPr>
                <w:spacing w:val="-3"/>
                <w:sz w:val="20"/>
              </w:rPr>
              <w:t xml:space="preserve"> </w:t>
            </w:r>
            <w:r w:rsidRPr="00150EDC">
              <w:rPr>
                <w:sz w:val="20"/>
              </w:rPr>
              <w:t>in</w:t>
            </w:r>
            <w:r w:rsidRPr="00150EDC">
              <w:rPr>
                <w:spacing w:val="-4"/>
                <w:sz w:val="20"/>
              </w:rPr>
              <w:t xml:space="preserve"> </w:t>
            </w:r>
            <w:r w:rsidRPr="00150EDC">
              <w:rPr>
                <w:sz w:val="20"/>
              </w:rPr>
              <w:t>fear</w:t>
            </w:r>
            <w:r w:rsidRPr="00150EDC">
              <w:rPr>
                <w:spacing w:val="-4"/>
                <w:sz w:val="20"/>
              </w:rPr>
              <w:t xml:space="preserve"> </w:t>
            </w:r>
            <w:r w:rsidRPr="00150EDC">
              <w:rPr>
                <w:sz w:val="20"/>
              </w:rPr>
              <w:t>of</w:t>
            </w:r>
            <w:r w:rsidRPr="00150EDC">
              <w:rPr>
                <w:spacing w:val="-3"/>
                <w:sz w:val="20"/>
              </w:rPr>
              <w:t xml:space="preserve"> </w:t>
            </w:r>
            <w:r w:rsidRPr="00150EDC">
              <w:rPr>
                <w:spacing w:val="-2"/>
                <w:sz w:val="20"/>
              </w:rPr>
              <w:t>violence</w:t>
            </w:r>
          </w:p>
        </w:tc>
      </w:tr>
      <w:tr w:rsidR="004569EE" w:rsidRPr="007D3144" w14:paraId="13C88334" w14:textId="77777777">
        <w:trPr>
          <w:trHeight w:val="255"/>
        </w:trPr>
        <w:tc>
          <w:tcPr>
            <w:tcW w:w="6517" w:type="dxa"/>
          </w:tcPr>
          <w:p w14:paraId="69EE418D" w14:textId="77777777" w:rsidR="004C7180" w:rsidRPr="00150EDC" w:rsidRDefault="00CF0754">
            <w:pPr>
              <w:pStyle w:val="TableParagraph"/>
              <w:rPr>
                <w:sz w:val="20"/>
              </w:rPr>
            </w:pPr>
            <w:r w:rsidRPr="00150EDC">
              <w:rPr>
                <w:sz w:val="20"/>
              </w:rPr>
              <w:t>Protection</w:t>
            </w:r>
            <w:r w:rsidRPr="00150EDC">
              <w:rPr>
                <w:spacing w:val="-10"/>
                <w:sz w:val="20"/>
              </w:rPr>
              <w:t xml:space="preserve"> </w:t>
            </w:r>
            <w:r w:rsidRPr="00150EDC">
              <w:rPr>
                <w:sz w:val="20"/>
              </w:rPr>
              <w:t>from</w:t>
            </w:r>
            <w:r w:rsidRPr="00150EDC">
              <w:rPr>
                <w:spacing w:val="-8"/>
                <w:sz w:val="20"/>
              </w:rPr>
              <w:t xml:space="preserve"> </w:t>
            </w:r>
            <w:r w:rsidRPr="00150EDC">
              <w:rPr>
                <w:sz w:val="20"/>
              </w:rPr>
              <w:t>Harrassment</w:t>
            </w:r>
            <w:r w:rsidRPr="00150EDC">
              <w:rPr>
                <w:spacing w:val="-8"/>
                <w:sz w:val="20"/>
              </w:rPr>
              <w:t xml:space="preserve"> </w:t>
            </w:r>
            <w:r w:rsidRPr="00150EDC">
              <w:rPr>
                <w:sz w:val="20"/>
              </w:rPr>
              <w:t>Act</w:t>
            </w:r>
            <w:r w:rsidRPr="00150EDC">
              <w:rPr>
                <w:spacing w:val="-3"/>
                <w:sz w:val="20"/>
              </w:rPr>
              <w:t xml:space="preserve"> </w:t>
            </w:r>
            <w:r w:rsidRPr="00150EDC">
              <w:rPr>
                <w:sz w:val="20"/>
              </w:rPr>
              <w:t>1997,</w:t>
            </w:r>
            <w:r w:rsidRPr="00150EDC">
              <w:rPr>
                <w:spacing w:val="-2"/>
                <w:sz w:val="20"/>
              </w:rPr>
              <w:t xml:space="preserve"> </w:t>
            </w:r>
            <w:r w:rsidRPr="00150EDC">
              <w:rPr>
                <w:spacing w:val="-5"/>
                <w:sz w:val="20"/>
              </w:rPr>
              <w:t>s4A</w:t>
            </w:r>
          </w:p>
        </w:tc>
        <w:tc>
          <w:tcPr>
            <w:tcW w:w="7427" w:type="dxa"/>
          </w:tcPr>
          <w:p w14:paraId="74559F2D" w14:textId="77777777" w:rsidR="004C7180" w:rsidRPr="00150EDC" w:rsidRDefault="00CF0754">
            <w:pPr>
              <w:pStyle w:val="TableParagraph"/>
              <w:rPr>
                <w:sz w:val="20"/>
              </w:rPr>
            </w:pPr>
            <w:r w:rsidRPr="00150EDC">
              <w:rPr>
                <w:sz w:val="20"/>
              </w:rPr>
              <w:t>Stalking</w:t>
            </w:r>
            <w:r w:rsidRPr="00150EDC">
              <w:rPr>
                <w:spacing w:val="-6"/>
                <w:sz w:val="20"/>
              </w:rPr>
              <w:t xml:space="preserve"> </w:t>
            </w:r>
            <w:r w:rsidRPr="00150EDC">
              <w:rPr>
                <w:sz w:val="20"/>
              </w:rPr>
              <w:t>involving</w:t>
            </w:r>
            <w:r w:rsidRPr="00150EDC">
              <w:rPr>
                <w:spacing w:val="-6"/>
                <w:sz w:val="20"/>
              </w:rPr>
              <w:t xml:space="preserve"> </w:t>
            </w:r>
            <w:r w:rsidRPr="00150EDC">
              <w:rPr>
                <w:sz w:val="20"/>
              </w:rPr>
              <w:t>fear</w:t>
            </w:r>
            <w:r w:rsidRPr="00150EDC">
              <w:rPr>
                <w:spacing w:val="-5"/>
                <w:sz w:val="20"/>
              </w:rPr>
              <w:t xml:space="preserve"> </w:t>
            </w:r>
            <w:r w:rsidRPr="00150EDC">
              <w:rPr>
                <w:sz w:val="20"/>
              </w:rPr>
              <w:t>of</w:t>
            </w:r>
            <w:r w:rsidRPr="00150EDC">
              <w:rPr>
                <w:spacing w:val="-6"/>
                <w:sz w:val="20"/>
              </w:rPr>
              <w:t xml:space="preserve"> </w:t>
            </w:r>
            <w:r w:rsidRPr="00150EDC">
              <w:rPr>
                <w:sz w:val="20"/>
              </w:rPr>
              <w:t>violence</w:t>
            </w:r>
            <w:r w:rsidRPr="00150EDC">
              <w:rPr>
                <w:spacing w:val="-1"/>
                <w:sz w:val="20"/>
              </w:rPr>
              <w:t xml:space="preserve"> </w:t>
            </w:r>
            <w:r w:rsidRPr="00150EDC">
              <w:rPr>
                <w:sz w:val="20"/>
              </w:rPr>
              <w:t>or</w:t>
            </w:r>
            <w:r w:rsidRPr="00150EDC">
              <w:rPr>
                <w:spacing w:val="-5"/>
                <w:sz w:val="20"/>
              </w:rPr>
              <w:t xml:space="preserve"> </w:t>
            </w:r>
            <w:r w:rsidRPr="00150EDC">
              <w:rPr>
                <w:sz w:val="20"/>
              </w:rPr>
              <w:t>serious alarm</w:t>
            </w:r>
            <w:r w:rsidRPr="00150EDC">
              <w:rPr>
                <w:spacing w:val="-2"/>
                <w:sz w:val="20"/>
              </w:rPr>
              <w:t xml:space="preserve"> </w:t>
            </w:r>
            <w:r w:rsidRPr="00150EDC">
              <w:rPr>
                <w:sz w:val="20"/>
              </w:rPr>
              <w:t>or</w:t>
            </w:r>
            <w:r w:rsidRPr="00150EDC">
              <w:rPr>
                <w:spacing w:val="-5"/>
                <w:sz w:val="20"/>
              </w:rPr>
              <w:t xml:space="preserve"> </w:t>
            </w:r>
            <w:r w:rsidRPr="00150EDC">
              <w:rPr>
                <w:spacing w:val="-2"/>
                <w:sz w:val="20"/>
              </w:rPr>
              <w:t>distress</w:t>
            </w:r>
          </w:p>
        </w:tc>
      </w:tr>
      <w:tr w:rsidR="004569EE" w:rsidRPr="007D3144" w14:paraId="785A39B4" w14:textId="77777777">
        <w:trPr>
          <w:trHeight w:val="255"/>
        </w:trPr>
        <w:tc>
          <w:tcPr>
            <w:tcW w:w="6517" w:type="dxa"/>
          </w:tcPr>
          <w:p w14:paraId="0E5E0D21" w14:textId="77777777" w:rsidR="004C7180" w:rsidRPr="00150EDC" w:rsidRDefault="00CF0754">
            <w:pPr>
              <w:pStyle w:val="TableParagraph"/>
              <w:rPr>
                <w:sz w:val="20"/>
              </w:rPr>
            </w:pPr>
            <w:r w:rsidRPr="00150EDC">
              <w:rPr>
                <w:sz w:val="20"/>
              </w:rPr>
              <w:t>Protection</w:t>
            </w:r>
            <w:r w:rsidRPr="00150EDC">
              <w:rPr>
                <w:spacing w:val="-10"/>
                <w:sz w:val="20"/>
              </w:rPr>
              <w:t xml:space="preserve"> </w:t>
            </w:r>
            <w:r w:rsidRPr="00150EDC">
              <w:rPr>
                <w:sz w:val="20"/>
              </w:rPr>
              <w:t>from</w:t>
            </w:r>
            <w:r w:rsidRPr="00150EDC">
              <w:rPr>
                <w:spacing w:val="-8"/>
                <w:sz w:val="20"/>
              </w:rPr>
              <w:t xml:space="preserve"> </w:t>
            </w:r>
            <w:r w:rsidRPr="00150EDC">
              <w:rPr>
                <w:sz w:val="20"/>
              </w:rPr>
              <w:t>Harrassment</w:t>
            </w:r>
            <w:r w:rsidRPr="00150EDC">
              <w:rPr>
                <w:spacing w:val="-8"/>
                <w:sz w:val="20"/>
              </w:rPr>
              <w:t xml:space="preserve"> </w:t>
            </w:r>
            <w:r w:rsidRPr="00150EDC">
              <w:rPr>
                <w:sz w:val="20"/>
              </w:rPr>
              <w:t>Act</w:t>
            </w:r>
            <w:r w:rsidRPr="00150EDC">
              <w:rPr>
                <w:spacing w:val="-3"/>
                <w:sz w:val="20"/>
              </w:rPr>
              <w:t xml:space="preserve"> </w:t>
            </w:r>
            <w:r w:rsidRPr="00150EDC">
              <w:rPr>
                <w:sz w:val="20"/>
              </w:rPr>
              <w:t>2000,</w:t>
            </w:r>
            <w:r w:rsidRPr="00150EDC">
              <w:rPr>
                <w:spacing w:val="-2"/>
                <w:sz w:val="20"/>
              </w:rPr>
              <w:t xml:space="preserve"> </w:t>
            </w:r>
            <w:r w:rsidRPr="00150EDC">
              <w:rPr>
                <w:spacing w:val="-5"/>
                <w:sz w:val="20"/>
              </w:rPr>
              <w:t>s4</w:t>
            </w:r>
          </w:p>
        </w:tc>
        <w:tc>
          <w:tcPr>
            <w:tcW w:w="7427" w:type="dxa"/>
          </w:tcPr>
          <w:p w14:paraId="492A570C" w14:textId="77777777" w:rsidR="004C7180" w:rsidRPr="00150EDC" w:rsidRDefault="00CF0754">
            <w:pPr>
              <w:pStyle w:val="TableParagraph"/>
              <w:rPr>
                <w:sz w:val="20"/>
              </w:rPr>
            </w:pPr>
            <w:r w:rsidRPr="00150EDC">
              <w:rPr>
                <w:sz w:val="20"/>
              </w:rPr>
              <w:t>Putting</w:t>
            </w:r>
            <w:r w:rsidRPr="00150EDC">
              <w:rPr>
                <w:spacing w:val="-4"/>
                <w:sz w:val="20"/>
              </w:rPr>
              <w:t xml:space="preserve"> </w:t>
            </w:r>
            <w:r w:rsidRPr="00150EDC">
              <w:rPr>
                <w:sz w:val="20"/>
              </w:rPr>
              <w:t>people</w:t>
            </w:r>
            <w:r w:rsidRPr="00150EDC">
              <w:rPr>
                <w:spacing w:val="-3"/>
                <w:sz w:val="20"/>
              </w:rPr>
              <w:t xml:space="preserve"> </w:t>
            </w:r>
            <w:r w:rsidRPr="00150EDC">
              <w:rPr>
                <w:sz w:val="20"/>
              </w:rPr>
              <w:t>in</w:t>
            </w:r>
            <w:r w:rsidRPr="00150EDC">
              <w:rPr>
                <w:spacing w:val="-4"/>
                <w:sz w:val="20"/>
              </w:rPr>
              <w:t xml:space="preserve"> </w:t>
            </w:r>
            <w:r w:rsidRPr="00150EDC">
              <w:rPr>
                <w:sz w:val="20"/>
              </w:rPr>
              <w:t>fear</w:t>
            </w:r>
            <w:r w:rsidRPr="00150EDC">
              <w:rPr>
                <w:spacing w:val="-4"/>
                <w:sz w:val="20"/>
              </w:rPr>
              <w:t xml:space="preserve"> </w:t>
            </w:r>
            <w:r w:rsidRPr="00150EDC">
              <w:rPr>
                <w:sz w:val="20"/>
              </w:rPr>
              <w:t>of</w:t>
            </w:r>
            <w:r w:rsidRPr="00150EDC">
              <w:rPr>
                <w:spacing w:val="-3"/>
                <w:sz w:val="20"/>
              </w:rPr>
              <w:t xml:space="preserve"> </w:t>
            </w:r>
            <w:r w:rsidRPr="00150EDC">
              <w:rPr>
                <w:spacing w:val="-2"/>
                <w:sz w:val="20"/>
              </w:rPr>
              <w:t>violence</w:t>
            </w:r>
          </w:p>
        </w:tc>
      </w:tr>
      <w:tr w:rsidR="004569EE" w:rsidRPr="007D3144" w14:paraId="0A1FC511" w14:textId="77777777">
        <w:trPr>
          <w:trHeight w:val="255"/>
        </w:trPr>
        <w:tc>
          <w:tcPr>
            <w:tcW w:w="6517" w:type="dxa"/>
          </w:tcPr>
          <w:p w14:paraId="3864A022" w14:textId="77777777" w:rsidR="004C7180" w:rsidRPr="00150EDC" w:rsidRDefault="00CF0754">
            <w:pPr>
              <w:pStyle w:val="TableParagraph"/>
              <w:rPr>
                <w:sz w:val="20"/>
              </w:rPr>
            </w:pPr>
            <w:r w:rsidRPr="00150EDC">
              <w:rPr>
                <w:sz w:val="20"/>
              </w:rPr>
              <w:t>Protection</w:t>
            </w:r>
            <w:r w:rsidRPr="00150EDC">
              <w:rPr>
                <w:spacing w:val="-7"/>
                <w:sz w:val="20"/>
              </w:rPr>
              <w:t xml:space="preserve"> </w:t>
            </w:r>
            <w:r w:rsidRPr="00150EDC">
              <w:rPr>
                <w:sz w:val="20"/>
              </w:rPr>
              <w:t>of</w:t>
            </w:r>
            <w:r w:rsidRPr="00150EDC">
              <w:rPr>
                <w:spacing w:val="-6"/>
                <w:sz w:val="20"/>
              </w:rPr>
              <w:t xml:space="preserve"> </w:t>
            </w:r>
            <w:r w:rsidRPr="00150EDC">
              <w:rPr>
                <w:sz w:val="20"/>
              </w:rPr>
              <w:t>Aircraft</w:t>
            </w:r>
            <w:r w:rsidRPr="00150EDC">
              <w:rPr>
                <w:spacing w:val="-7"/>
                <w:sz w:val="20"/>
              </w:rPr>
              <w:t xml:space="preserve"> </w:t>
            </w:r>
            <w:r w:rsidRPr="00150EDC">
              <w:rPr>
                <w:sz w:val="20"/>
              </w:rPr>
              <w:t>Act</w:t>
            </w:r>
            <w:r w:rsidRPr="00150EDC">
              <w:rPr>
                <w:spacing w:val="-2"/>
                <w:sz w:val="20"/>
              </w:rPr>
              <w:t xml:space="preserve"> </w:t>
            </w:r>
            <w:r w:rsidRPr="00150EDC">
              <w:rPr>
                <w:sz w:val="20"/>
              </w:rPr>
              <w:t>1973,</w:t>
            </w:r>
            <w:r w:rsidRPr="00150EDC">
              <w:rPr>
                <w:spacing w:val="-1"/>
                <w:sz w:val="20"/>
              </w:rPr>
              <w:t xml:space="preserve"> </w:t>
            </w:r>
            <w:r w:rsidRPr="00150EDC">
              <w:rPr>
                <w:spacing w:val="-5"/>
                <w:sz w:val="20"/>
              </w:rPr>
              <w:t>s1</w:t>
            </w:r>
          </w:p>
        </w:tc>
        <w:tc>
          <w:tcPr>
            <w:tcW w:w="7427" w:type="dxa"/>
          </w:tcPr>
          <w:p w14:paraId="07600801" w14:textId="77777777" w:rsidR="004C7180" w:rsidRPr="00150EDC" w:rsidRDefault="00CF0754">
            <w:pPr>
              <w:pStyle w:val="TableParagraph"/>
              <w:rPr>
                <w:sz w:val="20"/>
              </w:rPr>
            </w:pPr>
            <w:r w:rsidRPr="00150EDC">
              <w:rPr>
                <w:sz w:val="20"/>
              </w:rPr>
              <w:t>Destroying,</w:t>
            </w:r>
            <w:r w:rsidRPr="00150EDC">
              <w:rPr>
                <w:spacing w:val="-4"/>
                <w:sz w:val="20"/>
              </w:rPr>
              <w:t xml:space="preserve"> </w:t>
            </w:r>
            <w:r w:rsidRPr="00150EDC">
              <w:rPr>
                <w:sz w:val="20"/>
              </w:rPr>
              <w:t>damaging</w:t>
            </w:r>
            <w:r w:rsidRPr="00150EDC">
              <w:rPr>
                <w:spacing w:val="-9"/>
                <w:sz w:val="20"/>
              </w:rPr>
              <w:t xml:space="preserve"> </w:t>
            </w:r>
            <w:r w:rsidRPr="00150EDC">
              <w:rPr>
                <w:sz w:val="20"/>
              </w:rPr>
              <w:t>or</w:t>
            </w:r>
            <w:r w:rsidRPr="00150EDC">
              <w:rPr>
                <w:spacing w:val="-8"/>
                <w:sz w:val="20"/>
              </w:rPr>
              <w:t xml:space="preserve"> </w:t>
            </w:r>
            <w:r w:rsidRPr="00150EDC">
              <w:rPr>
                <w:sz w:val="20"/>
              </w:rPr>
              <w:t>endangering</w:t>
            </w:r>
            <w:r w:rsidRPr="00150EDC">
              <w:rPr>
                <w:spacing w:val="-2"/>
                <w:sz w:val="20"/>
              </w:rPr>
              <w:t xml:space="preserve"> aircraft</w:t>
            </w:r>
          </w:p>
        </w:tc>
      </w:tr>
    </w:tbl>
    <w:p w14:paraId="7FD7C136" w14:textId="77777777" w:rsidR="004C7180" w:rsidRPr="00150EDC" w:rsidRDefault="004C7180">
      <w:pPr>
        <w:rPr>
          <w:sz w:val="20"/>
        </w:rPr>
        <w:sectPr w:rsidR="004C7180" w:rsidRPr="00150EDC">
          <w:footerReference w:type="default" r:id="rId140"/>
          <w:pgSz w:w="16840" w:h="11910" w:orient="landscape"/>
          <w:pgMar w:top="1340" w:right="1320" w:bottom="280" w:left="1340" w:header="0" w:footer="0" w:gutter="0"/>
          <w:cols w:space="720"/>
        </w:sectPr>
      </w:pPr>
    </w:p>
    <w:p w14:paraId="131C42FC" w14:textId="77777777" w:rsidR="004C7180" w:rsidRPr="00150EDC" w:rsidRDefault="004C7180">
      <w:pPr>
        <w:pStyle w:val="BodyText"/>
        <w:spacing w:before="3"/>
        <w:rPr>
          <w:sz w:val="8"/>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517"/>
        <w:gridCol w:w="7427"/>
      </w:tblGrid>
      <w:tr w:rsidR="004569EE" w:rsidRPr="007D3144" w14:paraId="2B9AECE3" w14:textId="77777777">
        <w:trPr>
          <w:trHeight w:val="460"/>
        </w:trPr>
        <w:tc>
          <w:tcPr>
            <w:tcW w:w="6517" w:type="dxa"/>
          </w:tcPr>
          <w:p w14:paraId="3E427585" w14:textId="77777777" w:rsidR="004C7180" w:rsidRPr="00150EDC" w:rsidRDefault="004C7180">
            <w:pPr>
              <w:pStyle w:val="TableParagraph"/>
              <w:spacing w:before="2" w:line="240" w:lineRule="auto"/>
              <w:ind w:left="0"/>
              <w:rPr>
                <w:sz w:val="20"/>
              </w:rPr>
            </w:pPr>
          </w:p>
          <w:p w14:paraId="16A33D18" w14:textId="77777777" w:rsidR="004C7180" w:rsidRPr="00150EDC" w:rsidRDefault="00CF0754">
            <w:pPr>
              <w:pStyle w:val="TableParagraph"/>
              <w:spacing w:before="1"/>
              <w:rPr>
                <w:sz w:val="20"/>
              </w:rPr>
            </w:pPr>
            <w:r w:rsidRPr="00150EDC">
              <w:rPr>
                <w:sz w:val="20"/>
              </w:rPr>
              <w:t>Protection</w:t>
            </w:r>
            <w:r w:rsidRPr="00150EDC">
              <w:rPr>
                <w:spacing w:val="-7"/>
                <w:sz w:val="20"/>
              </w:rPr>
              <w:t xml:space="preserve"> </w:t>
            </w:r>
            <w:r w:rsidRPr="00150EDC">
              <w:rPr>
                <w:sz w:val="20"/>
              </w:rPr>
              <w:t>of</w:t>
            </w:r>
            <w:r w:rsidRPr="00150EDC">
              <w:rPr>
                <w:spacing w:val="-6"/>
                <w:sz w:val="20"/>
              </w:rPr>
              <w:t xml:space="preserve"> </w:t>
            </w:r>
            <w:r w:rsidRPr="00150EDC">
              <w:rPr>
                <w:sz w:val="20"/>
              </w:rPr>
              <w:t>Aircraft</w:t>
            </w:r>
            <w:r w:rsidRPr="00150EDC">
              <w:rPr>
                <w:spacing w:val="-7"/>
                <w:sz w:val="20"/>
              </w:rPr>
              <w:t xml:space="preserve"> </w:t>
            </w:r>
            <w:r w:rsidRPr="00150EDC">
              <w:rPr>
                <w:sz w:val="20"/>
              </w:rPr>
              <w:t>Act</w:t>
            </w:r>
            <w:r w:rsidRPr="00150EDC">
              <w:rPr>
                <w:spacing w:val="-2"/>
                <w:sz w:val="20"/>
              </w:rPr>
              <w:t xml:space="preserve"> </w:t>
            </w:r>
            <w:r w:rsidRPr="00150EDC">
              <w:rPr>
                <w:sz w:val="20"/>
              </w:rPr>
              <w:t>1973,</w:t>
            </w:r>
            <w:r w:rsidRPr="00150EDC">
              <w:rPr>
                <w:spacing w:val="-1"/>
                <w:sz w:val="20"/>
              </w:rPr>
              <w:t xml:space="preserve"> </w:t>
            </w:r>
            <w:r w:rsidRPr="00150EDC">
              <w:rPr>
                <w:spacing w:val="-5"/>
                <w:sz w:val="20"/>
              </w:rPr>
              <w:t>s16</w:t>
            </w:r>
          </w:p>
        </w:tc>
        <w:tc>
          <w:tcPr>
            <w:tcW w:w="7427" w:type="dxa"/>
          </w:tcPr>
          <w:p w14:paraId="0F6B8A07" w14:textId="77777777" w:rsidR="004C7180" w:rsidRPr="00150EDC" w:rsidRDefault="00CF0754">
            <w:pPr>
              <w:pStyle w:val="TableParagraph"/>
              <w:spacing w:before="0" w:line="230" w:lineRule="atLeast"/>
              <w:ind w:right="227"/>
              <w:rPr>
                <w:sz w:val="20"/>
              </w:rPr>
            </w:pPr>
            <w:r w:rsidRPr="00150EDC">
              <w:rPr>
                <w:sz w:val="20"/>
              </w:rPr>
              <w:t>Possessing</w:t>
            </w:r>
            <w:r w:rsidRPr="00150EDC">
              <w:rPr>
                <w:spacing w:val="-7"/>
                <w:sz w:val="20"/>
              </w:rPr>
              <w:t xml:space="preserve"> </w:t>
            </w:r>
            <w:r w:rsidRPr="00150EDC">
              <w:rPr>
                <w:sz w:val="20"/>
              </w:rPr>
              <w:t>dangerous</w:t>
            </w:r>
            <w:r w:rsidRPr="00150EDC">
              <w:rPr>
                <w:spacing w:val="-6"/>
                <w:sz w:val="20"/>
              </w:rPr>
              <w:t xml:space="preserve"> </w:t>
            </w:r>
            <w:r w:rsidRPr="00150EDC">
              <w:rPr>
                <w:sz w:val="20"/>
              </w:rPr>
              <w:t>articles</w:t>
            </w:r>
            <w:r w:rsidRPr="00150EDC">
              <w:rPr>
                <w:spacing w:val="-6"/>
                <w:sz w:val="20"/>
              </w:rPr>
              <w:t xml:space="preserve"> </w:t>
            </w:r>
            <w:r w:rsidRPr="00150EDC">
              <w:rPr>
                <w:sz w:val="20"/>
              </w:rPr>
              <w:t>on</w:t>
            </w:r>
            <w:r w:rsidRPr="00150EDC">
              <w:rPr>
                <w:spacing w:val="-7"/>
                <w:sz w:val="20"/>
              </w:rPr>
              <w:t xml:space="preserve"> </w:t>
            </w:r>
            <w:r w:rsidRPr="00150EDC">
              <w:rPr>
                <w:sz w:val="20"/>
              </w:rPr>
              <w:t>aircraft,</w:t>
            </w:r>
            <w:r w:rsidRPr="00150EDC">
              <w:rPr>
                <w:spacing w:val="-7"/>
                <w:sz w:val="20"/>
              </w:rPr>
              <w:t xml:space="preserve"> </w:t>
            </w:r>
            <w:r w:rsidRPr="00150EDC">
              <w:rPr>
                <w:sz w:val="20"/>
              </w:rPr>
              <w:t>aerodrome</w:t>
            </w:r>
            <w:r w:rsidRPr="00150EDC">
              <w:rPr>
                <w:spacing w:val="-3"/>
                <w:sz w:val="20"/>
              </w:rPr>
              <w:t xml:space="preserve"> </w:t>
            </w:r>
            <w:r w:rsidRPr="00150EDC">
              <w:rPr>
                <w:sz w:val="20"/>
              </w:rPr>
              <w:t>or</w:t>
            </w:r>
            <w:r w:rsidRPr="00150EDC">
              <w:rPr>
                <w:spacing w:val="-4"/>
                <w:sz w:val="20"/>
              </w:rPr>
              <w:t xml:space="preserve"> </w:t>
            </w:r>
            <w:r w:rsidRPr="00150EDC">
              <w:rPr>
                <w:sz w:val="20"/>
              </w:rPr>
              <w:t>air</w:t>
            </w:r>
            <w:r w:rsidRPr="00150EDC">
              <w:rPr>
                <w:spacing w:val="-6"/>
                <w:sz w:val="20"/>
              </w:rPr>
              <w:t xml:space="preserve"> </w:t>
            </w:r>
            <w:r w:rsidRPr="00150EDC">
              <w:rPr>
                <w:sz w:val="20"/>
              </w:rPr>
              <w:t xml:space="preserve">navigation </w:t>
            </w:r>
            <w:r w:rsidRPr="00150EDC">
              <w:rPr>
                <w:spacing w:val="-2"/>
                <w:sz w:val="20"/>
              </w:rPr>
              <w:t>installation</w:t>
            </w:r>
          </w:p>
        </w:tc>
      </w:tr>
      <w:tr w:rsidR="004569EE" w:rsidRPr="007D3144" w14:paraId="151FFB40" w14:textId="77777777">
        <w:trPr>
          <w:trHeight w:val="255"/>
        </w:trPr>
        <w:tc>
          <w:tcPr>
            <w:tcW w:w="6517" w:type="dxa"/>
          </w:tcPr>
          <w:p w14:paraId="717E78BC" w14:textId="77777777" w:rsidR="004C7180" w:rsidRPr="00150EDC" w:rsidRDefault="00CF0754">
            <w:pPr>
              <w:pStyle w:val="TableParagraph"/>
              <w:rPr>
                <w:sz w:val="20"/>
              </w:rPr>
            </w:pPr>
            <w:r w:rsidRPr="00150EDC">
              <w:rPr>
                <w:sz w:val="20"/>
              </w:rPr>
              <w:t>Protection</w:t>
            </w:r>
            <w:r w:rsidRPr="00150EDC">
              <w:rPr>
                <w:spacing w:val="-7"/>
                <w:sz w:val="20"/>
              </w:rPr>
              <w:t xml:space="preserve"> </w:t>
            </w:r>
            <w:r w:rsidRPr="00150EDC">
              <w:rPr>
                <w:sz w:val="20"/>
              </w:rPr>
              <w:t>of</w:t>
            </w:r>
            <w:r w:rsidRPr="00150EDC">
              <w:rPr>
                <w:spacing w:val="-6"/>
                <w:sz w:val="20"/>
              </w:rPr>
              <w:t xml:space="preserve"> </w:t>
            </w:r>
            <w:r w:rsidRPr="00150EDC">
              <w:rPr>
                <w:sz w:val="20"/>
              </w:rPr>
              <w:t>Aircraft</w:t>
            </w:r>
            <w:r w:rsidRPr="00150EDC">
              <w:rPr>
                <w:spacing w:val="-7"/>
                <w:sz w:val="20"/>
              </w:rPr>
              <w:t xml:space="preserve"> </w:t>
            </w:r>
            <w:r w:rsidRPr="00150EDC">
              <w:rPr>
                <w:sz w:val="20"/>
              </w:rPr>
              <w:t>Act</w:t>
            </w:r>
            <w:r w:rsidRPr="00150EDC">
              <w:rPr>
                <w:spacing w:val="-2"/>
                <w:sz w:val="20"/>
              </w:rPr>
              <w:t xml:space="preserve"> </w:t>
            </w:r>
            <w:r w:rsidRPr="00150EDC">
              <w:rPr>
                <w:sz w:val="20"/>
              </w:rPr>
              <w:t>1973,</w:t>
            </w:r>
            <w:r w:rsidRPr="00150EDC">
              <w:rPr>
                <w:spacing w:val="-1"/>
                <w:sz w:val="20"/>
              </w:rPr>
              <w:t xml:space="preserve"> </w:t>
            </w:r>
            <w:r w:rsidRPr="00150EDC">
              <w:rPr>
                <w:spacing w:val="-5"/>
                <w:sz w:val="20"/>
              </w:rPr>
              <w:t>s2</w:t>
            </w:r>
          </w:p>
        </w:tc>
        <w:tc>
          <w:tcPr>
            <w:tcW w:w="7427" w:type="dxa"/>
          </w:tcPr>
          <w:p w14:paraId="1BEAADF3" w14:textId="77777777" w:rsidR="004C7180" w:rsidRPr="00150EDC" w:rsidRDefault="00CF0754">
            <w:pPr>
              <w:pStyle w:val="TableParagraph"/>
              <w:rPr>
                <w:sz w:val="20"/>
              </w:rPr>
            </w:pPr>
            <w:r w:rsidRPr="00150EDC">
              <w:rPr>
                <w:sz w:val="20"/>
              </w:rPr>
              <w:t>Destroying</w:t>
            </w:r>
            <w:r w:rsidRPr="00150EDC">
              <w:rPr>
                <w:spacing w:val="-2"/>
                <w:sz w:val="20"/>
              </w:rPr>
              <w:t xml:space="preserve"> </w:t>
            </w:r>
            <w:r w:rsidRPr="00150EDC">
              <w:rPr>
                <w:sz w:val="20"/>
              </w:rPr>
              <w:t>or</w:t>
            </w:r>
            <w:r w:rsidRPr="00150EDC">
              <w:rPr>
                <w:spacing w:val="-6"/>
                <w:sz w:val="20"/>
              </w:rPr>
              <w:t xml:space="preserve"> </w:t>
            </w:r>
            <w:r w:rsidRPr="00150EDC">
              <w:rPr>
                <w:sz w:val="20"/>
              </w:rPr>
              <w:t>damaging</w:t>
            </w:r>
            <w:r w:rsidRPr="00150EDC">
              <w:rPr>
                <w:spacing w:val="-6"/>
                <w:sz w:val="20"/>
              </w:rPr>
              <w:t xml:space="preserve"> </w:t>
            </w:r>
            <w:r w:rsidRPr="00150EDC">
              <w:rPr>
                <w:sz w:val="20"/>
              </w:rPr>
              <w:t>air</w:t>
            </w:r>
            <w:r w:rsidRPr="00150EDC">
              <w:rPr>
                <w:spacing w:val="-1"/>
                <w:sz w:val="20"/>
              </w:rPr>
              <w:t xml:space="preserve"> </w:t>
            </w:r>
            <w:r w:rsidRPr="00150EDC">
              <w:rPr>
                <w:sz w:val="20"/>
              </w:rPr>
              <w:t>navigation</w:t>
            </w:r>
            <w:r w:rsidRPr="00150EDC">
              <w:rPr>
                <w:spacing w:val="-6"/>
                <w:sz w:val="20"/>
              </w:rPr>
              <w:t xml:space="preserve"> </w:t>
            </w:r>
            <w:r w:rsidRPr="00150EDC">
              <w:rPr>
                <w:sz w:val="20"/>
              </w:rPr>
              <w:t>facility</w:t>
            </w:r>
            <w:r w:rsidRPr="00150EDC">
              <w:rPr>
                <w:spacing w:val="-5"/>
                <w:sz w:val="20"/>
              </w:rPr>
              <w:t xml:space="preserve"> </w:t>
            </w:r>
            <w:r w:rsidRPr="00150EDC">
              <w:rPr>
                <w:sz w:val="20"/>
              </w:rPr>
              <w:t>or</w:t>
            </w:r>
            <w:r w:rsidRPr="00150EDC">
              <w:rPr>
                <w:spacing w:val="-6"/>
                <w:sz w:val="20"/>
              </w:rPr>
              <w:t xml:space="preserve"> </w:t>
            </w:r>
            <w:r w:rsidRPr="00150EDC">
              <w:rPr>
                <w:sz w:val="20"/>
              </w:rPr>
              <w:t>endangering</w:t>
            </w:r>
            <w:r w:rsidRPr="00150EDC">
              <w:rPr>
                <w:spacing w:val="-6"/>
                <w:sz w:val="20"/>
              </w:rPr>
              <w:t xml:space="preserve"> </w:t>
            </w:r>
            <w:r w:rsidRPr="00150EDC">
              <w:rPr>
                <w:spacing w:val="-2"/>
                <w:sz w:val="20"/>
              </w:rPr>
              <w:t>aircraft</w:t>
            </w:r>
          </w:p>
        </w:tc>
      </w:tr>
      <w:tr w:rsidR="004569EE" w:rsidRPr="007D3144" w14:paraId="6B89A189" w14:textId="77777777">
        <w:trPr>
          <w:trHeight w:val="255"/>
        </w:trPr>
        <w:tc>
          <w:tcPr>
            <w:tcW w:w="6517" w:type="dxa"/>
          </w:tcPr>
          <w:p w14:paraId="06F69408" w14:textId="77777777" w:rsidR="004C7180" w:rsidRPr="00150EDC" w:rsidRDefault="00CF0754">
            <w:pPr>
              <w:pStyle w:val="TableParagraph"/>
              <w:rPr>
                <w:sz w:val="20"/>
              </w:rPr>
            </w:pPr>
            <w:r w:rsidRPr="00150EDC">
              <w:rPr>
                <w:sz w:val="20"/>
              </w:rPr>
              <w:t>Protection</w:t>
            </w:r>
            <w:r w:rsidRPr="00150EDC">
              <w:rPr>
                <w:spacing w:val="-7"/>
                <w:sz w:val="20"/>
              </w:rPr>
              <w:t xml:space="preserve"> </w:t>
            </w:r>
            <w:r w:rsidRPr="00150EDC">
              <w:rPr>
                <w:sz w:val="20"/>
              </w:rPr>
              <w:t>of</w:t>
            </w:r>
            <w:r w:rsidRPr="00150EDC">
              <w:rPr>
                <w:spacing w:val="-6"/>
                <w:sz w:val="20"/>
              </w:rPr>
              <w:t xml:space="preserve"> </w:t>
            </w:r>
            <w:r w:rsidRPr="00150EDC">
              <w:rPr>
                <w:sz w:val="20"/>
              </w:rPr>
              <w:t>Aircraft</w:t>
            </w:r>
            <w:r w:rsidRPr="00150EDC">
              <w:rPr>
                <w:spacing w:val="-6"/>
                <w:sz w:val="20"/>
              </w:rPr>
              <w:t xml:space="preserve"> </w:t>
            </w:r>
            <w:r w:rsidRPr="00150EDC">
              <w:rPr>
                <w:sz w:val="20"/>
              </w:rPr>
              <w:t>Act</w:t>
            </w:r>
            <w:r w:rsidRPr="00150EDC">
              <w:rPr>
                <w:spacing w:val="-2"/>
                <w:sz w:val="20"/>
              </w:rPr>
              <w:t xml:space="preserve"> </w:t>
            </w:r>
            <w:r w:rsidRPr="00150EDC">
              <w:rPr>
                <w:sz w:val="20"/>
              </w:rPr>
              <w:t>1973,</w:t>
            </w:r>
            <w:r w:rsidRPr="00150EDC">
              <w:rPr>
                <w:spacing w:val="-1"/>
                <w:sz w:val="20"/>
              </w:rPr>
              <w:t xml:space="preserve"> </w:t>
            </w:r>
            <w:r w:rsidRPr="00150EDC">
              <w:rPr>
                <w:spacing w:val="-5"/>
                <w:sz w:val="20"/>
              </w:rPr>
              <w:t>s3</w:t>
            </w:r>
          </w:p>
        </w:tc>
        <w:tc>
          <w:tcPr>
            <w:tcW w:w="7427" w:type="dxa"/>
          </w:tcPr>
          <w:p w14:paraId="3C9998D9" w14:textId="77777777" w:rsidR="004C7180" w:rsidRPr="00150EDC" w:rsidRDefault="00CF0754">
            <w:pPr>
              <w:pStyle w:val="TableParagraph"/>
              <w:rPr>
                <w:sz w:val="20"/>
              </w:rPr>
            </w:pPr>
            <w:r w:rsidRPr="00150EDC">
              <w:rPr>
                <w:sz w:val="20"/>
              </w:rPr>
              <w:t>Inducing</w:t>
            </w:r>
            <w:r w:rsidRPr="00150EDC">
              <w:rPr>
                <w:spacing w:val="-2"/>
                <w:sz w:val="20"/>
              </w:rPr>
              <w:t xml:space="preserve"> </w:t>
            </w:r>
            <w:r w:rsidRPr="00150EDC">
              <w:rPr>
                <w:sz w:val="20"/>
              </w:rPr>
              <w:t>or</w:t>
            </w:r>
            <w:r w:rsidRPr="00150EDC">
              <w:rPr>
                <w:spacing w:val="-5"/>
                <w:sz w:val="20"/>
              </w:rPr>
              <w:t xml:space="preserve"> </w:t>
            </w:r>
            <w:r w:rsidRPr="00150EDC">
              <w:rPr>
                <w:sz w:val="20"/>
              </w:rPr>
              <w:t>assisting</w:t>
            </w:r>
            <w:r w:rsidRPr="00150EDC">
              <w:rPr>
                <w:spacing w:val="-6"/>
                <w:sz w:val="20"/>
              </w:rPr>
              <w:t xml:space="preserve"> </w:t>
            </w:r>
            <w:r w:rsidRPr="00150EDC">
              <w:rPr>
                <w:sz w:val="20"/>
              </w:rPr>
              <w:t>an</w:t>
            </w:r>
            <w:r w:rsidRPr="00150EDC">
              <w:rPr>
                <w:spacing w:val="-1"/>
                <w:sz w:val="20"/>
              </w:rPr>
              <w:t xml:space="preserve"> </w:t>
            </w:r>
            <w:r w:rsidRPr="00150EDC">
              <w:rPr>
                <w:sz w:val="20"/>
              </w:rPr>
              <w:t>offence</w:t>
            </w:r>
            <w:r w:rsidRPr="00150EDC">
              <w:rPr>
                <w:spacing w:val="-6"/>
                <w:sz w:val="20"/>
              </w:rPr>
              <w:t xml:space="preserve"> </w:t>
            </w:r>
            <w:r w:rsidRPr="00150EDC">
              <w:rPr>
                <w:sz w:val="20"/>
              </w:rPr>
              <w:t>against</w:t>
            </w:r>
            <w:r w:rsidRPr="00150EDC">
              <w:rPr>
                <w:spacing w:val="-4"/>
                <w:sz w:val="20"/>
              </w:rPr>
              <w:t xml:space="preserve"> </w:t>
            </w:r>
            <w:r w:rsidRPr="00150EDC">
              <w:rPr>
                <w:spacing w:val="-2"/>
                <w:sz w:val="20"/>
              </w:rPr>
              <w:t>aircraft</w:t>
            </w:r>
          </w:p>
        </w:tc>
      </w:tr>
      <w:tr w:rsidR="004569EE" w:rsidRPr="007D3144" w14:paraId="4227EB84" w14:textId="77777777">
        <w:trPr>
          <w:trHeight w:val="510"/>
        </w:trPr>
        <w:tc>
          <w:tcPr>
            <w:tcW w:w="6517" w:type="dxa"/>
          </w:tcPr>
          <w:p w14:paraId="1A06E368" w14:textId="77777777" w:rsidR="004C7180" w:rsidRPr="00150EDC" w:rsidRDefault="00CF0754">
            <w:pPr>
              <w:pStyle w:val="TableParagraph"/>
              <w:spacing w:before="32" w:line="230" w:lineRule="atLeast"/>
              <w:ind w:right="184"/>
              <w:rPr>
                <w:sz w:val="20"/>
              </w:rPr>
            </w:pPr>
            <w:r w:rsidRPr="00150EDC">
              <w:rPr>
                <w:sz w:val="20"/>
              </w:rPr>
              <w:t>Protection</w:t>
            </w:r>
            <w:r w:rsidRPr="00150EDC">
              <w:rPr>
                <w:spacing w:val="-7"/>
                <w:sz w:val="20"/>
              </w:rPr>
              <w:t xml:space="preserve"> </w:t>
            </w:r>
            <w:r w:rsidRPr="00150EDC">
              <w:rPr>
                <w:sz w:val="20"/>
              </w:rPr>
              <w:t>of</w:t>
            </w:r>
            <w:r w:rsidRPr="00150EDC">
              <w:rPr>
                <w:spacing w:val="-7"/>
                <w:sz w:val="20"/>
              </w:rPr>
              <w:t xml:space="preserve"> </w:t>
            </w:r>
            <w:r w:rsidRPr="00150EDC">
              <w:rPr>
                <w:sz w:val="20"/>
              </w:rPr>
              <w:t>Children</w:t>
            </w:r>
            <w:r w:rsidRPr="00150EDC">
              <w:rPr>
                <w:spacing w:val="-7"/>
                <w:sz w:val="20"/>
              </w:rPr>
              <w:t xml:space="preserve"> </w:t>
            </w:r>
            <w:r w:rsidRPr="00150EDC">
              <w:rPr>
                <w:sz w:val="20"/>
              </w:rPr>
              <w:t>and</w:t>
            </w:r>
            <w:r w:rsidRPr="00150EDC">
              <w:rPr>
                <w:spacing w:val="-7"/>
                <w:sz w:val="20"/>
              </w:rPr>
              <w:t xml:space="preserve"> </w:t>
            </w:r>
            <w:r w:rsidRPr="00150EDC">
              <w:rPr>
                <w:sz w:val="20"/>
              </w:rPr>
              <w:t>Prevention</w:t>
            </w:r>
            <w:r w:rsidRPr="00150EDC">
              <w:rPr>
                <w:spacing w:val="-7"/>
                <w:sz w:val="20"/>
              </w:rPr>
              <w:t xml:space="preserve"> </w:t>
            </w:r>
            <w:r w:rsidRPr="00150EDC">
              <w:rPr>
                <w:sz w:val="20"/>
              </w:rPr>
              <w:t>of</w:t>
            </w:r>
            <w:r w:rsidRPr="00150EDC">
              <w:rPr>
                <w:spacing w:val="-7"/>
                <w:sz w:val="20"/>
              </w:rPr>
              <w:t xml:space="preserve"> </w:t>
            </w:r>
            <w:r w:rsidRPr="00150EDC">
              <w:rPr>
                <w:sz w:val="20"/>
              </w:rPr>
              <w:t>Sexual</w:t>
            </w:r>
            <w:r w:rsidRPr="00150EDC">
              <w:rPr>
                <w:spacing w:val="-5"/>
                <w:sz w:val="20"/>
              </w:rPr>
              <w:t xml:space="preserve"> </w:t>
            </w:r>
            <w:r w:rsidRPr="00150EDC">
              <w:rPr>
                <w:sz w:val="20"/>
              </w:rPr>
              <w:t>Offences</w:t>
            </w:r>
            <w:r w:rsidRPr="00150EDC">
              <w:rPr>
                <w:spacing w:val="-2"/>
                <w:sz w:val="20"/>
              </w:rPr>
              <w:t xml:space="preserve"> </w:t>
            </w:r>
            <w:r w:rsidRPr="00150EDC">
              <w:rPr>
                <w:sz w:val="20"/>
              </w:rPr>
              <w:t>(Scotland) Act 2005, s1</w:t>
            </w:r>
          </w:p>
        </w:tc>
        <w:tc>
          <w:tcPr>
            <w:tcW w:w="7427" w:type="dxa"/>
          </w:tcPr>
          <w:p w14:paraId="154ED025" w14:textId="77777777" w:rsidR="004C7180" w:rsidRPr="00150EDC" w:rsidRDefault="004C7180">
            <w:pPr>
              <w:pStyle w:val="TableParagraph"/>
              <w:spacing w:before="7" w:line="240" w:lineRule="auto"/>
              <w:ind w:left="0"/>
              <w:rPr>
                <w:sz w:val="24"/>
              </w:rPr>
            </w:pPr>
          </w:p>
          <w:p w14:paraId="0B93DA3C" w14:textId="77777777" w:rsidR="004C7180" w:rsidRPr="00150EDC" w:rsidRDefault="00CF0754">
            <w:pPr>
              <w:pStyle w:val="TableParagraph"/>
              <w:spacing w:before="0"/>
              <w:rPr>
                <w:sz w:val="20"/>
              </w:rPr>
            </w:pPr>
            <w:r w:rsidRPr="00150EDC">
              <w:rPr>
                <w:sz w:val="20"/>
              </w:rPr>
              <w:t>Meeting</w:t>
            </w:r>
            <w:r w:rsidRPr="00150EDC">
              <w:rPr>
                <w:spacing w:val="-9"/>
                <w:sz w:val="20"/>
              </w:rPr>
              <w:t xml:space="preserve"> </w:t>
            </w:r>
            <w:r w:rsidRPr="00150EDC">
              <w:rPr>
                <w:sz w:val="20"/>
              </w:rPr>
              <w:t>a</w:t>
            </w:r>
            <w:r w:rsidRPr="00150EDC">
              <w:rPr>
                <w:spacing w:val="-13"/>
                <w:sz w:val="20"/>
              </w:rPr>
              <w:t xml:space="preserve"> </w:t>
            </w:r>
            <w:r w:rsidRPr="00150EDC">
              <w:rPr>
                <w:sz w:val="20"/>
              </w:rPr>
              <w:t>child</w:t>
            </w:r>
            <w:r w:rsidRPr="00150EDC">
              <w:rPr>
                <w:spacing w:val="-13"/>
                <w:sz w:val="20"/>
              </w:rPr>
              <w:t xml:space="preserve"> </w:t>
            </w:r>
            <w:r w:rsidRPr="00150EDC">
              <w:rPr>
                <w:sz w:val="20"/>
              </w:rPr>
              <w:t>following</w:t>
            </w:r>
            <w:r w:rsidRPr="00150EDC">
              <w:rPr>
                <w:spacing w:val="-13"/>
                <w:sz w:val="20"/>
              </w:rPr>
              <w:t xml:space="preserve"> </w:t>
            </w:r>
            <w:r w:rsidRPr="00150EDC">
              <w:rPr>
                <w:sz w:val="20"/>
              </w:rPr>
              <w:t>certain</w:t>
            </w:r>
            <w:r w:rsidRPr="00150EDC">
              <w:rPr>
                <w:spacing w:val="-13"/>
                <w:sz w:val="20"/>
              </w:rPr>
              <w:t xml:space="preserve"> </w:t>
            </w:r>
            <w:r w:rsidRPr="00150EDC">
              <w:rPr>
                <w:sz w:val="20"/>
              </w:rPr>
              <w:t>preliminary</w:t>
            </w:r>
            <w:r w:rsidRPr="00150EDC">
              <w:rPr>
                <w:spacing w:val="-12"/>
                <w:sz w:val="20"/>
              </w:rPr>
              <w:t xml:space="preserve"> </w:t>
            </w:r>
            <w:r w:rsidRPr="00150EDC">
              <w:rPr>
                <w:spacing w:val="-2"/>
                <w:sz w:val="20"/>
              </w:rPr>
              <w:t>contact</w:t>
            </w:r>
          </w:p>
        </w:tc>
      </w:tr>
      <w:tr w:rsidR="004569EE" w:rsidRPr="007D3144" w14:paraId="24328F70" w14:textId="77777777">
        <w:trPr>
          <w:trHeight w:val="510"/>
        </w:trPr>
        <w:tc>
          <w:tcPr>
            <w:tcW w:w="6517" w:type="dxa"/>
          </w:tcPr>
          <w:p w14:paraId="1082F7E1" w14:textId="77777777" w:rsidR="004C7180" w:rsidRPr="00150EDC" w:rsidRDefault="00CF0754">
            <w:pPr>
              <w:pStyle w:val="TableParagraph"/>
              <w:spacing w:before="32" w:line="230" w:lineRule="atLeast"/>
              <w:ind w:right="184"/>
              <w:rPr>
                <w:sz w:val="20"/>
              </w:rPr>
            </w:pPr>
            <w:r w:rsidRPr="00150EDC">
              <w:rPr>
                <w:sz w:val="20"/>
              </w:rPr>
              <w:t>Protection</w:t>
            </w:r>
            <w:r w:rsidRPr="00150EDC">
              <w:rPr>
                <w:spacing w:val="-7"/>
                <w:sz w:val="20"/>
              </w:rPr>
              <w:t xml:space="preserve"> </w:t>
            </w:r>
            <w:r w:rsidRPr="00150EDC">
              <w:rPr>
                <w:sz w:val="20"/>
              </w:rPr>
              <w:t>of</w:t>
            </w:r>
            <w:r w:rsidRPr="00150EDC">
              <w:rPr>
                <w:spacing w:val="-7"/>
                <w:sz w:val="20"/>
              </w:rPr>
              <w:t xml:space="preserve"> </w:t>
            </w:r>
            <w:r w:rsidRPr="00150EDC">
              <w:rPr>
                <w:sz w:val="20"/>
              </w:rPr>
              <w:t>Children</w:t>
            </w:r>
            <w:r w:rsidRPr="00150EDC">
              <w:rPr>
                <w:spacing w:val="-7"/>
                <w:sz w:val="20"/>
              </w:rPr>
              <w:t xml:space="preserve"> </w:t>
            </w:r>
            <w:r w:rsidRPr="00150EDC">
              <w:rPr>
                <w:sz w:val="20"/>
              </w:rPr>
              <w:t>and</w:t>
            </w:r>
            <w:r w:rsidRPr="00150EDC">
              <w:rPr>
                <w:spacing w:val="-7"/>
                <w:sz w:val="20"/>
              </w:rPr>
              <w:t xml:space="preserve"> </w:t>
            </w:r>
            <w:r w:rsidRPr="00150EDC">
              <w:rPr>
                <w:sz w:val="20"/>
              </w:rPr>
              <w:t>Prevention</w:t>
            </w:r>
            <w:r w:rsidRPr="00150EDC">
              <w:rPr>
                <w:spacing w:val="-7"/>
                <w:sz w:val="20"/>
              </w:rPr>
              <w:t xml:space="preserve"> </w:t>
            </w:r>
            <w:r w:rsidRPr="00150EDC">
              <w:rPr>
                <w:sz w:val="20"/>
              </w:rPr>
              <w:t>of</w:t>
            </w:r>
            <w:r w:rsidRPr="00150EDC">
              <w:rPr>
                <w:spacing w:val="-4"/>
                <w:sz w:val="20"/>
              </w:rPr>
              <w:t xml:space="preserve"> </w:t>
            </w:r>
            <w:r w:rsidRPr="00150EDC">
              <w:rPr>
                <w:sz w:val="20"/>
              </w:rPr>
              <w:t>Sexual</w:t>
            </w:r>
            <w:r w:rsidRPr="00150EDC">
              <w:rPr>
                <w:spacing w:val="-5"/>
                <w:sz w:val="20"/>
              </w:rPr>
              <w:t xml:space="preserve"> </w:t>
            </w:r>
            <w:r w:rsidRPr="00150EDC">
              <w:rPr>
                <w:sz w:val="20"/>
              </w:rPr>
              <w:t>Offences</w:t>
            </w:r>
            <w:r w:rsidRPr="00150EDC">
              <w:rPr>
                <w:spacing w:val="-2"/>
                <w:sz w:val="20"/>
              </w:rPr>
              <w:t xml:space="preserve"> </w:t>
            </w:r>
            <w:r w:rsidRPr="00150EDC">
              <w:rPr>
                <w:sz w:val="20"/>
              </w:rPr>
              <w:t>(Scotland) Act 2005, s10</w:t>
            </w:r>
          </w:p>
        </w:tc>
        <w:tc>
          <w:tcPr>
            <w:tcW w:w="7427" w:type="dxa"/>
          </w:tcPr>
          <w:p w14:paraId="0B6C2CD0" w14:textId="77777777" w:rsidR="004C7180" w:rsidRPr="00150EDC" w:rsidRDefault="004C7180">
            <w:pPr>
              <w:pStyle w:val="TableParagraph"/>
              <w:spacing w:before="6" w:line="240" w:lineRule="auto"/>
              <w:ind w:left="0"/>
              <w:rPr>
                <w:sz w:val="24"/>
              </w:rPr>
            </w:pPr>
          </w:p>
          <w:p w14:paraId="4FFFD245" w14:textId="77777777" w:rsidR="004C7180" w:rsidRPr="00150EDC" w:rsidRDefault="00CF0754">
            <w:pPr>
              <w:pStyle w:val="TableParagraph"/>
              <w:spacing w:before="0"/>
              <w:rPr>
                <w:sz w:val="20"/>
              </w:rPr>
            </w:pPr>
            <w:r w:rsidRPr="00150EDC">
              <w:rPr>
                <w:sz w:val="20"/>
              </w:rPr>
              <w:t>Causing</w:t>
            </w:r>
            <w:r w:rsidRPr="00150EDC">
              <w:rPr>
                <w:spacing w:val="-6"/>
                <w:sz w:val="20"/>
              </w:rPr>
              <w:t xml:space="preserve"> </w:t>
            </w:r>
            <w:r w:rsidRPr="00150EDC">
              <w:rPr>
                <w:sz w:val="20"/>
              </w:rPr>
              <w:t>or</w:t>
            </w:r>
            <w:r w:rsidRPr="00150EDC">
              <w:rPr>
                <w:spacing w:val="-2"/>
                <w:sz w:val="20"/>
              </w:rPr>
              <w:t xml:space="preserve"> </w:t>
            </w:r>
            <w:r w:rsidRPr="00150EDC">
              <w:rPr>
                <w:sz w:val="20"/>
              </w:rPr>
              <w:t>inciting</w:t>
            </w:r>
            <w:r w:rsidRPr="00150EDC">
              <w:rPr>
                <w:spacing w:val="-6"/>
                <w:sz w:val="20"/>
              </w:rPr>
              <w:t xml:space="preserve"> </w:t>
            </w:r>
            <w:r w:rsidRPr="00150EDC">
              <w:rPr>
                <w:sz w:val="20"/>
              </w:rPr>
              <w:t>provision</w:t>
            </w:r>
            <w:r w:rsidRPr="00150EDC">
              <w:rPr>
                <w:spacing w:val="-1"/>
                <w:sz w:val="20"/>
              </w:rPr>
              <w:t xml:space="preserve"> </w:t>
            </w:r>
            <w:r w:rsidRPr="00150EDC">
              <w:rPr>
                <w:sz w:val="20"/>
              </w:rPr>
              <w:t>by</w:t>
            </w:r>
            <w:r w:rsidRPr="00150EDC">
              <w:rPr>
                <w:spacing w:val="-5"/>
                <w:sz w:val="20"/>
              </w:rPr>
              <w:t xml:space="preserve"> </w:t>
            </w:r>
            <w:r w:rsidRPr="00150EDC">
              <w:rPr>
                <w:sz w:val="20"/>
              </w:rPr>
              <w:t>child</w:t>
            </w:r>
            <w:r w:rsidRPr="00150EDC">
              <w:rPr>
                <w:spacing w:val="-6"/>
                <w:sz w:val="20"/>
              </w:rPr>
              <w:t xml:space="preserve"> </w:t>
            </w:r>
            <w:r w:rsidRPr="00150EDC">
              <w:rPr>
                <w:sz w:val="20"/>
              </w:rPr>
              <w:t>of sexual</w:t>
            </w:r>
            <w:r w:rsidRPr="00150EDC">
              <w:rPr>
                <w:spacing w:val="-5"/>
                <w:sz w:val="20"/>
              </w:rPr>
              <w:t xml:space="preserve"> </w:t>
            </w:r>
            <w:r w:rsidRPr="00150EDC">
              <w:rPr>
                <w:sz w:val="20"/>
              </w:rPr>
              <w:t>services</w:t>
            </w:r>
            <w:r w:rsidRPr="00150EDC">
              <w:rPr>
                <w:spacing w:val="-5"/>
                <w:sz w:val="20"/>
              </w:rPr>
              <w:t xml:space="preserve"> </w:t>
            </w:r>
            <w:r w:rsidRPr="00150EDC">
              <w:rPr>
                <w:sz w:val="20"/>
              </w:rPr>
              <w:t>or</w:t>
            </w:r>
            <w:r w:rsidRPr="00150EDC">
              <w:rPr>
                <w:spacing w:val="-1"/>
                <w:sz w:val="20"/>
              </w:rPr>
              <w:t xml:space="preserve"> </w:t>
            </w:r>
            <w:r w:rsidRPr="00150EDC">
              <w:rPr>
                <w:sz w:val="20"/>
              </w:rPr>
              <w:t>child</w:t>
            </w:r>
            <w:r w:rsidRPr="00150EDC">
              <w:rPr>
                <w:spacing w:val="-6"/>
                <w:sz w:val="20"/>
              </w:rPr>
              <w:t xml:space="preserve"> </w:t>
            </w:r>
            <w:r w:rsidRPr="00150EDC">
              <w:rPr>
                <w:spacing w:val="-2"/>
                <w:sz w:val="20"/>
              </w:rPr>
              <w:t>pornography</w:t>
            </w:r>
          </w:p>
        </w:tc>
      </w:tr>
      <w:tr w:rsidR="004569EE" w:rsidRPr="007D3144" w14:paraId="26248136" w14:textId="77777777">
        <w:trPr>
          <w:trHeight w:val="510"/>
        </w:trPr>
        <w:tc>
          <w:tcPr>
            <w:tcW w:w="6517" w:type="dxa"/>
          </w:tcPr>
          <w:p w14:paraId="42B58485" w14:textId="77777777" w:rsidR="004C7180" w:rsidRPr="00150EDC" w:rsidRDefault="00CF0754">
            <w:pPr>
              <w:pStyle w:val="TableParagraph"/>
              <w:spacing w:before="32" w:line="230" w:lineRule="atLeast"/>
              <w:ind w:right="184"/>
              <w:rPr>
                <w:sz w:val="20"/>
              </w:rPr>
            </w:pPr>
            <w:r w:rsidRPr="00150EDC">
              <w:rPr>
                <w:sz w:val="20"/>
              </w:rPr>
              <w:t>Protection</w:t>
            </w:r>
            <w:r w:rsidRPr="00150EDC">
              <w:rPr>
                <w:spacing w:val="-7"/>
                <w:sz w:val="20"/>
              </w:rPr>
              <w:t xml:space="preserve"> </w:t>
            </w:r>
            <w:r w:rsidRPr="00150EDC">
              <w:rPr>
                <w:sz w:val="20"/>
              </w:rPr>
              <w:t>of</w:t>
            </w:r>
            <w:r w:rsidRPr="00150EDC">
              <w:rPr>
                <w:spacing w:val="-7"/>
                <w:sz w:val="20"/>
              </w:rPr>
              <w:t xml:space="preserve"> </w:t>
            </w:r>
            <w:r w:rsidRPr="00150EDC">
              <w:rPr>
                <w:sz w:val="20"/>
              </w:rPr>
              <w:t>Children</w:t>
            </w:r>
            <w:r w:rsidRPr="00150EDC">
              <w:rPr>
                <w:spacing w:val="-7"/>
                <w:sz w:val="20"/>
              </w:rPr>
              <w:t xml:space="preserve"> </w:t>
            </w:r>
            <w:r w:rsidRPr="00150EDC">
              <w:rPr>
                <w:sz w:val="20"/>
              </w:rPr>
              <w:t>and</w:t>
            </w:r>
            <w:r w:rsidRPr="00150EDC">
              <w:rPr>
                <w:spacing w:val="-7"/>
                <w:sz w:val="20"/>
              </w:rPr>
              <w:t xml:space="preserve"> </w:t>
            </w:r>
            <w:r w:rsidRPr="00150EDC">
              <w:rPr>
                <w:sz w:val="20"/>
              </w:rPr>
              <w:t>Prevention</w:t>
            </w:r>
            <w:r w:rsidRPr="00150EDC">
              <w:rPr>
                <w:spacing w:val="-7"/>
                <w:sz w:val="20"/>
              </w:rPr>
              <w:t xml:space="preserve"> </w:t>
            </w:r>
            <w:r w:rsidRPr="00150EDC">
              <w:rPr>
                <w:sz w:val="20"/>
              </w:rPr>
              <w:t>of</w:t>
            </w:r>
            <w:r w:rsidRPr="00150EDC">
              <w:rPr>
                <w:spacing w:val="-7"/>
                <w:sz w:val="20"/>
              </w:rPr>
              <w:t xml:space="preserve"> </w:t>
            </w:r>
            <w:r w:rsidRPr="00150EDC">
              <w:rPr>
                <w:sz w:val="20"/>
              </w:rPr>
              <w:t>Sexual</w:t>
            </w:r>
            <w:r w:rsidRPr="00150EDC">
              <w:rPr>
                <w:spacing w:val="-5"/>
                <w:sz w:val="20"/>
              </w:rPr>
              <w:t xml:space="preserve"> </w:t>
            </w:r>
            <w:r w:rsidRPr="00150EDC">
              <w:rPr>
                <w:sz w:val="20"/>
              </w:rPr>
              <w:t>Offences</w:t>
            </w:r>
            <w:r w:rsidRPr="00150EDC">
              <w:rPr>
                <w:spacing w:val="-2"/>
                <w:sz w:val="20"/>
              </w:rPr>
              <w:t xml:space="preserve"> </w:t>
            </w:r>
            <w:r w:rsidRPr="00150EDC">
              <w:rPr>
                <w:sz w:val="20"/>
              </w:rPr>
              <w:t>(Scotland) Act 2005, s11</w:t>
            </w:r>
          </w:p>
        </w:tc>
        <w:tc>
          <w:tcPr>
            <w:tcW w:w="7427" w:type="dxa"/>
          </w:tcPr>
          <w:p w14:paraId="48A9AB12" w14:textId="77777777" w:rsidR="004C7180" w:rsidRPr="00150EDC" w:rsidRDefault="004C7180">
            <w:pPr>
              <w:pStyle w:val="TableParagraph"/>
              <w:spacing w:before="6" w:line="240" w:lineRule="auto"/>
              <w:ind w:left="0"/>
              <w:rPr>
                <w:sz w:val="24"/>
              </w:rPr>
            </w:pPr>
          </w:p>
          <w:p w14:paraId="3014B9B1" w14:textId="77777777" w:rsidR="004C7180" w:rsidRPr="00150EDC" w:rsidRDefault="00CF0754">
            <w:pPr>
              <w:pStyle w:val="TableParagraph"/>
              <w:spacing w:before="0"/>
              <w:rPr>
                <w:sz w:val="20"/>
              </w:rPr>
            </w:pPr>
            <w:r w:rsidRPr="00150EDC">
              <w:rPr>
                <w:sz w:val="20"/>
              </w:rPr>
              <w:t>Controlling</w:t>
            </w:r>
            <w:r w:rsidRPr="00150EDC">
              <w:rPr>
                <w:spacing w:val="-2"/>
                <w:sz w:val="20"/>
              </w:rPr>
              <w:t xml:space="preserve"> </w:t>
            </w:r>
            <w:r w:rsidRPr="00150EDC">
              <w:rPr>
                <w:sz w:val="20"/>
              </w:rPr>
              <w:t>a</w:t>
            </w:r>
            <w:r w:rsidRPr="00150EDC">
              <w:rPr>
                <w:spacing w:val="-7"/>
                <w:sz w:val="20"/>
              </w:rPr>
              <w:t xml:space="preserve"> </w:t>
            </w:r>
            <w:r w:rsidRPr="00150EDC">
              <w:rPr>
                <w:sz w:val="20"/>
              </w:rPr>
              <w:t>child</w:t>
            </w:r>
            <w:r w:rsidRPr="00150EDC">
              <w:rPr>
                <w:spacing w:val="-6"/>
                <w:sz w:val="20"/>
              </w:rPr>
              <w:t xml:space="preserve"> </w:t>
            </w:r>
            <w:r w:rsidRPr="00150EDC">
              <w:rPr>
                <w:sz w:val="20"/>
              </w:rPr>
              <w:t>providing</w:t>
            </w:r>
            <w:r w:rsidRPr="00150EDC">
              <w:rPr>
                <w:spacing w:val="-2"/>
                <w:sz w:val="20"/>
              </w:rPr>
              <w:t xml:space="preserve"> </w:t>
            </w:r>
            <w:r w:rsidRPr="00150EDC">
              <w:rPr>
                <w:sz w:val="20"/>
              </w:rPr>
              <w:t>sexual</w:t>
            </w:r>
            <w:r w:rsidRPr="00150EDC">
              <w:rPr>
                <w:spacing w:val="-4"/>
                <w:sz w:val="20"/>
              </w:rPr>
              <w:t xml:space="preserve"> </w:t>
            </w:r>
            <w:r w:rsidRPr="00150EDC">
              <w:rPr>
                <w:sz w:val="20"/>
              </w:rPr>
              <w:t>services</w:t>
            </w:r>
            <w:r w:rsidRPr="00150EDC">
              <w:rPr>
                <w:spacing w:val="-6"/>
                <w:sz w:val="20"/>
              </w:rPr>
              <w:t xml:space="preserve"> </w:t>
            </w:r>
            <w:r w:rsidRPr="00150EDC">
              <w:rPr>
                <w:sz w:val="20"/>
              </w:rPr>
              <w:t>or</w:t>
            </w:r>
            <w:r w:rsidRPr="00150EDC">
              <w:rPr>
                <w:spacing w:val="-3"/>
                <w:sz w:val="20"/>
              </w:rPr>
              <w:t xml:space="preserve"> </w:t>
            </w:r>
            <w:r w:rsidRPr="00150EDC">
              <w:rPr>
                <w:sz w:val="20"/>
              </w:rPr>
              <w:t>involved</w:t>
            </w:r>
            <w:r w:rsidRPr="00150EDC">
              <w:rPr>
                <w:spacing w:val="-2"/>
                <w:sz w:val="20"/>
              </w:rPr>
              <w:t xml:space="preserve"> </w:t>
            </w:r>
            <w:r w:rsidRPr="00150EDC">
              <w:rPr>
                <w:sz w:val="20"/>
              </w:rPr>
              <w:t>in</w:t>
            </w:r>
            <w:r w:rsidRPr="00150EDC">
              <w:rPr>
                <w:spacing w:val="-2"/>
                <w:sz w:val="20"/>
              </w:rPr>
              <w:t xml:space="preserve"> pornography</w:t>
            </w:r>
          </w:p>
        </w:tc>
      </w:tr>
      <w:tr w:rsidR="004569EE" w:rsidRPr="007D3144" w14:paraId="2F93C4F0" w14:textId="77777777">
        <w:trPr>
          <w:trHeight w:val="510"/>
        </w:trPr>
        <w:tc>
          <w:tcPr>
            <w:tcW w:w="6517" w:type="dxa"/>
          </w:tcPr>
          <w:p w14:paraId="617DBA26" w14:textId="77777777" w:rsidR="004C7180" w:rsidRPr="00150EDC" w:rsidRDefault="00CF0754">
            <w:pPr>
              <w:pStyle w:val="TableParagraph"/>
              <w:spacing w:before="32" w:line="230" w:lineRule="atLeast"/>
              <w:ind w:right="184"/>
              <w:rPr>
                <w:sz w:val="20"/>
              </w:rPr>
            </w:pPr>
            <w:r w:rsidRPr="00150EDC">
              <w:rPr>
                <w:sz w:val="20"/>
              </w:rPr>
              <w:t>Protection</w:t>
            </w:r>
            <w:r w:rsidRPr="00150EDC">
              <w:rPr>
                <w:spacing w:val="-7"/>
                <w:sz w:val="20"/>
              </w:rPr>
              <w:t xml:space="preserve"> </w:t>
            </w:r>
            <w:r w:rsidRPr="00150EDC">
              <w:rPr>
                <w:sz w:val="20"/>
              </w:rPr>
              <w:t>of</w:t>
            </w:r>
            <w:r w:rsidRPr="00150EDC">
              <w:rPr>
                <w:spacing w:val="-7"/>
                <w:sz w:val="20"/>
              </w:rPr>
              <w:t xml:space="preserve"> </w:t>
            </w:r>
            <w:r w:rsidRPr="00150EDC">
              <w:rPr>
                <w:sz w:val="20"/>
              </w:rPr>
              <w:t>Children</w:t>
            </w:r>
            <w:r w:rsidRPr="00150EDC">
              <w:rPr>
                <w:spacing w:val="-7"/>
                <w:sz w:val="20"/>
              </w:rPr>
              <w:t xml:space="preserve"> </w:t>
            </w:r>
            <w:r w:rsidRPr="00150EDC">
              <w:rPr>
                <w:sz w:val="20"/>
              </w:rPr>
              <w:t>and</w:t>
            </w:r>
            <w:r w:rsidRPr="00150EDC">
              <w:rPr>
                <w:spacing w:val="-7"/>
                <w:sz w:val="20"/>
              </w:rPr>
              <w:t xml:space="preserve"> </w:t>
            </w:r>
            <w:r w:rsidRPr="00150EDC">
              <w:rPr>
                <w:sz w:val="20"/>
              </w:rPr>
              <w:t>Prevention</w:t>
            </w:r>
            <w:r w:rsidRPr="00150EDC">
              <w:rPr>
                <w:spacing w:val="-7"/>
                <w:sz w:val="20"/>
              </w:rPr>
              <w:t xml:space="preserve"> </w:t>
            </w:r>
            <w:r w:rsidRPr="00150EDC">
              <w:rPr>
                <w:sz w:val="20"/>
              </w:rPr>
              <w:t>of</w:t>
            </w:r>
            <w:r w:rsidRPr="00150EDC">
              <w:rPr>
                <w:spacing w:val="-7"/>
                <w:sz w:val="20"/>
              </w:rPr>
              <w:t xml:space="preserve"> </w:t>
            </w:r>
            <w:r w:rsidRPr="00150EDC">
              <w:rPr>
                <w:sz w:val="20"/>
              </w:rPr>
              <w:t>Sexual</w:t>
            </w:r>
            <w:r w:rsidRPr="00150EDC">
              <w:rPr>
                <w:spacing w:val="-5"/>
                <w:sz w:val="20"/>
              </w:rPr>
              <w:t xml:space="preserve"> </w:t>
            </w:r>
            <w:r w:rsidRPr="00150EDC">
              <w:rPr>
                <w:sz w:val="20"/>
              </w:rPr>
              <w:t>Offences</w:t>
            </w:r>
            <w:r w:rsidRPr="00150EDC">
              <w:rPr>
                <w:spacing w:val="-2"/>
                <w:sz w:val="20"/>
              </w:rPr>
              <w:t xml:space="preserve"> </w:t>
            </w:r>
            <w:r w:rsidRPr="00150EDC">
              <w:rPr>
                <w:sz w:val="20"/>
              </w:rPr>
              <w:t>(Scotland) Act 2005, s12</w:t>
            </w:r>
          </w:p>
        </w:tc>
        <w:tc>
          <w:tcPr>
            <w:tcW w:w="7427" w:type="dxa"/>
          </w:tcPr>
          <w:p w14:paraId="2F5B3339" w14:textId="77777777" w:rsidR="004C7180" w:rsidRPr="00150EDC" w:rsidRDefault="004C7180">
            <w:pPr>
              <w:pStyle w:val="TableParagraph"/>
              <w:spacing w:before="6" w:line="240" w:lineRule="auto"/>
              <w:ind w:left="0"/>
              <w:rPr>
                <w:sz w:val="24"/>
              </w:rPr>
            </w:pPr>
          </w:p>
          <w:p w14:paraId="58C8EF5E" w14:textId="77777777" w:rsidR="004C7180" w:rsidRPr="00150EDC" w:rsidRDefault="00CF0754">
            <w:pPr>
              <w:pStyle w:val="TableParagraph"/>
              <w:spacing w:before="1"/>
              <w:rPr>
                <w:sz w:val="20"/>
              </w:rPr>
            </w:pPr>
            <w:r w:rsidRPr="00150EDC">
              <w:rPr>
                <w:sz w:val="20"/>
              </w:rPr>
              <w:t>Arranging</w:t>
            </w:r>
            <w:r w:rsidRPr="00150EDC">
              <w:rPr>
                <w:spacing w:val="-4"/>
                <w:sz w:val="20"/>
              </w:rPr>
              <w:t xml:space="preserve"> </w:t>
            </w:r>
            <w:r w:rsidRPr="00150EDC">
              <w:rPr>
                <w:sz w:val="20"/>
              </w:rPr>
              <w:t>or</w:t>
            </w:r>
            <w:r w:rsidRPr="00150EDC">
              <w:rPr>
                <w:spacing w:val="-6"/>
                <w:sz w:val="20"/>
              </w:rPr>
              <w:t xml:space="preserve"> </w:t>
            </w:r>
            <w:r w:rsidRPr="00150EDC">
              <w:rPr>
                <w:sz w:val="20"/>
              </w:rPr>
              <w:t>facilitating</w:t>
            </w:r>
            <w:r w:rsidRPr="00150EDC">
              <w:rPr>
                <w:spacing w:val="-5"/>
                <w:sz w:val="20"/>
              </w:rPr>
              <w:t xml:space="preserve"> </w:t>
            </w:r>
            <w:r w:rsidRPr="00150EDC">
              <w:rPr>
                <w:sz w:val="20"/>
              </w:rPr>
              <w:t>provision</w:t>
            </w:r>
            <w:r w:rsidRPr="00150EDC">
              <w:rPr>
                <w:spacing w:val="-2"/>
                <w:sz w:val="20"/>
              </w:rPr>
              <w:t xml:space="preserve"> </w:t>
            </w:r>
            <w:r w:rsidRPr="00150EDC">
              <w:rPr>
                <w:sz w:val="20"/>
              </w:rPr>
              <w:t>by</w:t>
            </w:r>
            <w:r w:rsidRPr="00150EDC">
              <w:rPr>
                <w:spacing w:val="-5"/>
                <w:sz w:val="20"/>
              </w:rPr>
              <w:t xml:space="preserve"> </w:t>
            </w:r>
            <w:r w:rsidRPr="00150EDC">
              <w:rPr>
                <w:sz w:val="20"/>
              </w:rPr>
              <w:t>child</w:t>
            </w:r>
            <w:r w:rsidRPr="00150EDC">
              <w:rPr>
                <w:spacing w:val="-6"/>
                <w:sz w:val="20"/>
              </w:rPr>
              <w:t xml:space="preserve"> </w:t>
            </w:r>
            <w:r w:rsidRPr="00150EDC">
              <w:rPr>
                <w:sz w:val="20"/>
              </w:rPr>
              <w:t>of</w:t>
            </w:r>
            <w:r w:rsidRPr="00150EDC">
              <w:rPr>
                <w:spacing w:val="-5"/>
                <w:sz w:val="20"/>
              </w:rPr>
              <w:t xml:space="preserve"> </w:t>
            </w:r>
            <w:r w:rsidRPr="00150EDC">
              <w:rPr>
                <w:sz w:val="20"/>
              </w:rPr>
              <w:t>sexual</w:t>
            </w:r>
            <w:r w:rsidRPr="00150EDC">
              <w:rPr>
                <w:spacing w:val="-4"/>
                <w:sz w:val="20"/>
              </w:rPr>
              <w:t xml:space="preserve"> </w:t>
            </w:r>
            <w:r w:rsidRPr="00150EDC">
              <w:rPr>
                <w:sz w:val="20"/>
              </w:rPr>
              <w:t>services</w:t>
            </w:r>
            <w:r w:rsidRPr="00150EDC">
              <w:rPr>
                <w:spacing w:val="-5"/>
                <w:sz w:val="20"/>
              </w:rPr>
              <w:t xml:space="preserve"> </w:t>
            </w:r>
            <w:r w:rsidRPr="00150EDC">
              <w:rPr>
                <w:sz w:val="20"/>
              </w:rPr>
              <w:t>or</w:t>
            </w:r>
            <w:r w:rsidRPr="00150EDC">
              <w:rPr>
                <w:spacing w:val="-6"/>
                <w:sz w:val="20"/>
              </w:rPr>
              <w:t xml:space="preserve"> </w:t>
            </w:r>
            <w:r w:rsidRPr="00150EDC">
              <w:rPr>
                <w:sz w:val="20"/>
              </w:rPr>
              <w:t>child</w:t>
            </w:r>
            <w:r w:rsidRPr="00150EDC">
              <w:rPr>
                <w:spacing w:val="-1"/>
                <w:sz w:val="20"/>
              </w:rPr>
              <w:t xml:space="preserve"> </w:t>
            </w:r>
            <w:r w:rsidRPr="00150EDC">
              <w:rPr>
                <w:spacing w:val="-2"/>
                <w:sz w:val="20"/>
              </w:rPr>
              <w:t>pornography</w:t>
            </w:r>
          </w:p>
        </w:tc>
      </w:tr>
      <w:tr w:rsidR="004569EE" w:rsidRPr="007D3144" w14:paraId="2DE029D8" w14:textId="77777777">
        <w:trPr>
          <w:trHeight w:val="510"/>
        </w:trPr>
        <w:tc>
          <w:tcPr>
            <w:tcW w:w="6517" w:type="dxa"/>
          </w:tcPr>
          <w:p w14:paraId="52F6F238" w14:textId="77777777" w:rsidR="004C7180" w:rsidRPr="00150EDC" w:rsidRDefault="00CF0754">
            <w:pPr>
              <w:pStyle w:val="TableParagraph"/>
              <w:spacing w:before="32" w:line="230" w:lineRule="atLeast"/>
              <w:ind w:right="184"/>
              <w:rPr>
                <w:sz w:val="20"/>
              </w:rPr>
            </w:pPr>
            <w:r w:rsidRPr="00150EDC">
              <w:rPr>
                <w:sz w:val="20"/>
              </w:rPr>
              <w:t>Protection</w:t>
            </w:r>
            <w:r w:rsidRPr="00150EDC">
              <w:rPr>
                <w:spacing w:val="-7"/>
                <w:sz w:val="20"/>
              </w:rPr>
              <w:t xml:space="preserve"> </w:t>
            </w:r>
            <w:r w:rsidRPr="00150EDC">
              <w:rPr>
                <w:sz w:val="20"/>
              </w:rPr>
              <w:t>of</w:t>
            </w:r>
            <w:r w:rsidRPr="00150EDC">
              <w:rPr>
                <w:spacing w:val="-7"/>
                <w:sz w:val="20"/>
              </w:rPr>
              <w:t xml:space="preserve"> </w:t>
            </w:r>
            <w:r w:rsidRPr="00150EDC">
              <w:rPr>
                <w:sz w:val="20"/>
              </w:rPr>
              <w:t>Children</w:t>
            </w:r>
            <w:r w:rsidRPr="00150EDC">
              <w:rPr>
                <w:spacing w:val="-7"/>
                <w:sz w:val="20"/>
              </w:rPr>
              <w:t xml:space="preserve"> </w:t>
            </w:r>
            <w:r w:rsidRPr="00150EDC">
              <w:rPr>
                <w:sz w:val="20"/>
              </w:rPr>
              <w:t>and</w:t>
            </w:r>
            <w:r w:rsidRPr="00150EDC">
              <w:rPr>
                <w:spacing w:val="-7"/>
                <w:sz w:val="20"/>
              </w:rPr>
              <w:t xml:space="preserve"> </w:t>
            </w:r>
            <w:r w:rsidRPr="00150EDC">
              <w:rPr>
                <w:sz w:val="20"/>
              </w:rPr>
              <w:t>Prevention</w:t>
            </w:r>
            <w:r w:rsidRPr="00150EDC">
              <w:rPr>
                <w:spacing w:val="-7"/>
                <w:sz w:val="20"/>
              </w:rPr>
              <w:t xml:space="preserve"> </w:t>
            </w:r>
            <w:r w:rsidRPr="00150EDC">
              <w:rPr>
                <w:sz w:val="20"/>
              </w:rPr>
              <w:t>of</w:t>
            </w:r>
            <w:r w:rsidRPr="00150EDC">
              <w:rPr>
                <w:spacing w:val="-7"/>
                <w:sz w:val="20"/>
              </w:rPr>
              <w:t xml:space="preserve"> </w:t>
            </w:r>
            <w:r w:rsidRPr="00150EDC">
              <w:rPr>
                <w:sz w:val="20"/>
              </w:rPr>
              <w:t>Sexual</w:t>
            </w:r>
            <w:r w:rsidRPr="00150EDC">
              <w:rPr>
                <w:spacing w:val="-5"/>
                <w:sz w:val="20"/>
              </w:rPr>
              <w:t xml:space="preserve"> </w:t>
            </w:r>
            <w:r w:rsidRPr="00150EDC">
              <w:rPr>
                <w:sz w:val="20"/>
              </w:rPr>
              <w:t>Offences</w:t>
            </w:r>
            <w:r w:rsidRPr="00150EDC">
              <w:rPr>
                <w:spacing w:val="-1"/>
                <w:sz w:val="20"/>
              </w:rPr>
              <w:t xml:space="preserve"> </w:t>
            </w:r>
            <w:r w:rsidRPr="00150EDC">
              <w:rPr>
                <w:sz w:val="20"/>
              </w:rPr>
              <w:t>(Scotland) Act 2005, s9</w:t>
            </w:r>
          </w:p>
        </w:tc>
        <w:tc>
          <w:tcPr>
            <w:tcW w:w="7427" w:type="dxa"/>
          </w:tcPr>
          <w:p w14:paraId="66B72FAC" w14:textId="77777777" w:rsidR="004C7180" w:rsidRPr="00150EDC" w:rsidRDefault="004C7180">
            <w:pPr>
              <w:pStyle w:val="TableParagraph"/>
              <w:spacing w:before="6" w:line="240" w:lineRule="auto"/>
              <w:ind w:left="0"/>
              <w:rPr>
                <w:sz w:val="24"/>
              </w:rPr>
            </w:pPr>
          </w:p>
          <w:p w14:paraId="1CACD7D1" w14:textId="77777777" w:rsidR="004C7180" w:rsidRPr="00150EDC" w:rsidRDefault="00CF0754">
            <w:pPr>
              <w:pStyle w:val="TableParagraph"/>
              <w:spacing w:before="0"/>
              <w:rPr>
                <w:sz w:val="20"/>
              </w:rPr>
            </w:pPr>
            <w:r w:rsidRPr="00150EDC">
              <w:rPr>
                <w:sz w:val="20"/>
              </w:rPr>
              <w:t>Paying</w:t>
            </w:r>
            <w:r w:rsidRPr="00150EDC">
              <w:rPr>
                <w:spacing w:val="-5"/>
                <w:sz w:val="20"/>
              </w:rPr>
              <w:t xml:space="preserve"> </w:t>
            </w:r>
            <w:r w:rsidRPr="00150EDC">
              <w:rPr>
                <w:sz w:val="20"/>
              </w:rPr>
              <w:t>for</w:t>
            </w:r>
            <w:r w:rsidRPr="00150EDC">
              <w:rPr>
                <w:spacing w:val="-5"/>
                <w:sz w:val="20"/>
              </w:rPr>
              <w:t xml:space="preserve"> </w:t>
            </w:r>
            <w:r w:rsidRPr="00150EDC">
              <w:rPr>
                <w:sz w:val="20"/>
              </w:rPr>
              <w:t>sexual</w:t>
            </w:r>
            <w:r w:rsidRPr="00150EDC">
              <w:rPr>
                <w:spacing w:val="-3"/>
                <w:sz w:val="20"/>
              </w:rPr>
              <w:t xml:space="preserve"> </w:t>
            </w:r>
            <w:r w:rsidRPr="00150EDC">
              <w:rPr>
                <w:sz w:val="20"/>
              </w:rPr>
              <w:t>services</w:t>
            </w:r>
            <w:r w:rsidRPr="00150EDC">
              <w:rPr>
                <w:spacing w:val="-4"/>
                <w:sz w:val="20"/>
              </w:rPr>
              <w:t xml:space="preserve"> </w:t>
            </w:r>
            <w:r w:rsidRPr="00150EDC">
              <w:rPr>
                <w:sz w:val="20"/>
              </w:rPr>
              <w:t>of</w:t>
            </w:r>
            <w:r w:rsidRPr="00150EDC">
              <w:rPr>
                <w:spacing w:val="-4"/>
                <w:sz w:val="20"/>
              </w:rPr>
              <w:t xml:space="preserve"> </w:t>
            </w:r>
            <w:r w:rsidRPr="00150EDC">
              <w:rPr>
                <w:sz w:val="20"/>
              </w:rPr>
              <w:t xml:space="preserve">a </w:t>
            </w:r>
            <w:r w:rsidRPr="00150EDC">
              <w:rPr>
                <w:spacing w:val="-4"/>
                <w:sz w:val="20"/>
              </w:rPr>
              <w:t>child</w:t>
            </w:r>
          </w:p>
        </w:tc>
      </w:tr>
      <w:tr w:rsidR="004569EE" w:rsidRPr="007D3144" w14:paraId="7D52CF28" w14:textId="77777777">
        <w:trPr>
          <w:trHeight w:val="255"/>
        </w:trPr>
        <w:tc>
          <w:tcPr>
            <w:tcW w:w="6517" w:type="dxa"/>
          </w:tcPr>
          <w:p w14:paraId="0BB210CC" w14:textId="77777777" w:rsidR="004C7180" w:rsidRPr="00150EDC" w:rsidRDefault="00CF0754">
            <w:pPr>
              <w:pStyle w:val="TableParagraph"/>
              <w:spacing w:before="28"/>
              <w:rPr>
                <w:sz w:val="20"/>
              </w:rPr>
            </w:pPr>
            <w:r w:rsidRPr="00150EDC">
              <w:rPr>
                <w:sz w:val="20"/>
              </w:rPr>
              <w:t>Protection</w:t>
            </w:r>
            <w:r w:rsidRPr="00150EDC">
              <w:rPr>
                <w:spacing w:val="-9"/>
                <w:sz w:val="20"/>
              </w:rPr>
              <w:t xml:space="preserve"> </w:t>
            </w:r>
            <w:r w:rsidRPr="00150EDC">
              <w:rPr>
                <w:sz w:val="20"/>
              </w:rPr>
              <w:t>of</w:t>
            </w:r>
            <w:r w:rsidRPr="00150EDC">
              <w:rPr>
                <w:spacing w:val="-6"/>
                <w:sz w:val="20"/>
              </w:rPr>
              <w:t xml:space="preserve"> </w:t>
            </w:r>
            <w:r w:rsidRPr="00150EDC">
              <w:rPr>
                <w:sz w:val="20"/>
              </w:rPr>
              <w:t>Children</w:t>
            </w:r>
            <w:r w:rsidRPr="00150EDC">
              <w:rPr>
                <w:spacing w:val="-6"/>
                <w:sz w:val="20"/>
              </w:rPr>
              <w:t xml:space="preserve"> </w:t>
            </w:r>
            <w:r w:rsidRPr="00150EDC">
              <w:rPr>
                <w:sz w:val="20"/>
              </w:rPr>
              <w:t>(Bailiwick</w:t>
            </w:r>
            <w:r w:rsidRPr="00150EDC">
              <w:rPr>
                <w:spacing w:val="-5"/>
                <w:sz w:val="20"/>
              </w:rPr>
              <w:t xml:space="preserve"> </w:t>
            </w:r>
            <w:r w:rsidRPr="00150EDC">
              <w:rPr>
                <w:sz w:val="20"/>
              </w:rPr>
              <w:t>of</w:t>
            </w:r>
            <w:r w:rsidRPr="00150EDC">
              <w:rPr>
                <w:spacing w:val="-7"/>
                <w:sz w:val="20"/>
              </w:rPr>
              <w:t xml:space="preserve"> </w:t>
            </w:r>
            <w:r w:rsidRPr="00150EDC">
              <w:rPr>
                <w:sz w:val="20"/>
              </w:rPr>
              <w:t>Gurnsey)</w:t>
            </w:r>
            <w:r w:rsidRPr="00150EDC">
              <w:rPr>
                <w:spacing w:val="-6"/>
                <w:sz w:val="20"/>
              </w:rPr>
              <w:t xml:space="preserve"> </w:t>
            </w:r>
            <w:r w:rsidRPr="00150EDC">
              <w:rPr>
                <w:sz w:val="20"/>
              </w:rPr>
              <w:t>Law</w:t>
            </w:r>
            <w:r w:rsidRPr="00150EDC">
              <w:rPr>
                <w:spacing w:val="-4"/>
                <w:sz w:val="20"/>
              </w:rPr>
              <w:t xml:space="preserve"> </w:t>
            </w:r>
            <w:r w:rsidRPr="00150EDC">
              <w:rPr>
                <w:sz w:val="20"/>
              </w:rPr>
              <w:t>1985,</w:t>
            </w:r>
            <w:r w:rsidRPr="00150EDC">
              <w:rPr>
                <w:spacing w:val="-6"/>
                <w:sz w:val="20"/>
              </w:rPr>
              <w:t xml:space="preserve"> </w:t>
            </w:r>
            <w:r w:rsidRPr="00150EDC">
              <w:rPr>
                <w:spacing w:val="-5"/>
                <w:sz w:val="20"/>
              </w:rPr>
              <w:t>s1</w:t>
            </w:r>
          </w:p>
        </w:tc>
        <w:tc>
          <w:tcPr>
            <w:tcW w:w="7427" w:type="dxa"/>
          </w:tcPr>
          <w:p w14:paraId="493B26F8" w14:textId="77777777" w:rsidR="004C7180" w:rsidRPr="00150EDC" w:rsidRDefault="00CF0754">
            <w:pPr>
              <w:pStyle w:val="TableParagraph"/>
              <w:spacing w:before="28"/>
              <w:rPr>
                <w:sz w:val="20"/>
              </w:rPr>
            </w:pPr>
            <w:r w:rsidRPr="00150EDC">
              <w:rPr>
                <w:sz w:val="20"/>
              </w:rPr>
              <w:t>Gross</w:t>
            </w:r>
            <w:r w:rsidRPr="00150EDC">
              <w:rPr>
                <w:spacing w:val="-7"/>
                <w:sz w:val="20"/>
              </w:rPr>
              <w:t xml:space="preserve"> </w:t>
            </w:r>
            <w:r w:rsidRPr="00150EDC">
              <w:rPr>
                <w:sz w:val="20"/>
              </w:rPr>
              <w:t>indecency</w:t>
            </w:r>
            <w:r w:rsidRPr="00150EDC">
              <w:rPr>
                <w:spacing w:val="-4"/>
                <w:sz w:val="20"/>
              </w:rPr>
              <w:t xml:space="preserve"> </w:t>
            </w:r>
            <w:r w:rsidRPr="00150EDC">
              <w:rPr>
                <w:sz w:val="20"/>
              </w:rPr>
              <w:t>with/</w:t>
            </w:r>
            <w:r w:rsidRPr="00150EDC">
              <w:rPr>
                <w:spacing w:val="-4"/>
                <w:sz w:val="20"/>
              </w:rPr>
              <w:t xml:space="preserve"> </w:t>
            </w:r>
            <w:r w:rsidRPr="00150EDC">
              <w:rPr>
                <w:sz w:val="20"/>
              </w:rPr>
              <w:t>towards a</w:t>
            </w:r>
            <w:r w:rsidRPr="00150EDC">
              <w:rPr>
                <w:spacing w:val="-5"/>
                <w:sz w:val="20"/>
              </w:rPr>
              <w:t xml:space="preserve"> </w:t>
            </w:r>
            <w:r w:rsidRPr="00150EDC">
              <w:rPr>
                <w:sz w:val="20"/>
              </w:rPr>
              <w:t>child or</w:t>
            </w:r>
            <w:r w:rsidRPr="00150EDC">
              <w:rPr>
                <w:spacing w:val="-5"/>
                <w:sz w:val="20"/>
              </w:rPr>
              <w:t xml:space="preserve"> </w:t>
            </w:r>
            <w:r w:rsidRPr="00150EDC">
              <w:rPr>
                <w:sz w:val="20"/>
              </w:rPr>
              <w:t>inciting a</w:t>
            </w:r>
            <w:r w:rsidRPr="00150EDC">
              <w:rPr>
                <w:spacing w:val="-5"/>
                <w:sz w:val="20"/>
              </w:rPr>
              <w:t xml:space="preserve"> </w:t>
            </w:r>
            <w:r w:rsidRPr="00150EDC">
              <w:rPr>
                <w:sz w:val="20"/>
              </w:rPr>
              <w:t>child</w:t>
            </w:r>
            <w:r w:rsidRPr="00150EDC">
              <w:rPr>
                <w:spacing w:val="-5"/>
                <w:sz w:val="20"/>
              </w:rPr>
              <w:t xml:space="preserve"> </w:t>
            </w:r>
            <w:r w:rsidRPr="00150EDC">
              <w:rPr>
                <w:sz w:val="20"/>
              </w:rPr>
              <w:t>to such</w:t>
            </w:r>
            <w:r w:rsidRPr="00150EDC">
              <w:rPr>
                <w:spacing w:val="-5"/>
                <w:sz w:val="20"/>
              </w:rPr>
              <w:t xml:space="preserve"> </w:t>
            </w:r>
            <w:r w:rsidRPr="00150EDC">
              <w:rPr>
                <w:sz w:val="20"/>
              </w:rPr>
              <w:t xml:space="preserve">an </w:t>
            </w:r>
            <w:r w:rsidRPr="00150EDC">
              <w:rPr>
                <w:spacing w:val="-5"/>
                <w:sz w:val="20"/>
              </w:rPr>
              <w:t>act</w:t>
            </w:r>
          </w:p>
        </w:tc>
      </w:tr>
      <w:tr w:rsidR="004569EE" w:rsidRPr="007D3144" w14:paraId="59D304ED" w14:textId="77777777">
        <w:trPr>
          <w:trHeight w:val="460"/>
        </w:trPr>
        <w:tc>
          <w:tcPr>
            <w:tcW w:w="6517" w:type="dxa"/>
          </w:tcPr>
          <w:p w14:paraId="6CE23447" w14:textId="77777777" w:rsidR="004C7180" w:rsidRPr="00150EDC" w:rsidRDefault="004C7180">
            <w:pPr>
              <w:pStyle w:val="TableParagraph"/>
              <w:spacing w:before="2" w:line="240" w:lineRule="auto"/>
              <w:ind w:left="0"/>
              <w:rPr>
                <w:sz w:val="20"/>
              </w:rPr>
            </w:pPr>
          </w:p>
          <w:p w14:paraId="3CFC86A6" w14:textId="77777777" w:rsidR="004C7180" w:rsidRPr="00150EDC" w:rsidRDefault="00CF0754">
            <w:pPr>
              <w:pStyle w:val="TableParagraph"/>
              <w:spacing w:before="0"/>
              <w:rPr>
                <w:sz w:val="20"/>
              </w:rPr>
            </w:pPr>
            <w:r w:rsidRPr="00150EDC">
              <w:rPr>
                <w:sz w:val="20"/>
              </w:rPr>
              <w:t>Protection</w:t>
            </w:r>
            <w:r w:rsidRPr="00150EDC">
              <w:rPr>
                <w:spacing w:val="-9"/>
                <w:sz w:val="20"/>
              </w:rPr>
              <w:t xml:space="preserve"> </w:t>
            </w:r>
            <w:r w:rsidRPr="00150EDC">
              <w:rPr>
                <w:sz w:val="20"/>
              </w:rPr>
              <w:t>of</w:t>
            </w:r>
            <w:r w:rsidRPr="00150EDC">
              <w:rPr>
                <w:spacing w:val="-6"/>
                <w:sz w:val="20"/>
              </w:rPr>
              <w:t xml:space="preserve"> </w:t>
            </w:r>
            <w:r w:rsidRPr="00150EDC">
              <w:rPr>
                <w:sz w:val="20"/>
              </w:rPr>
              <w:t>Children</w:t>
            </w:r>
            <w:r w:rsidRPr="00150EDC">
              <w:rPr>
                <w:spacing w:val="-6"/>
                <w:sz w:val="20"/>
              </w:rPr>
              <w:t xml:space="preserve"> </w:t>
            </w:r>
            <w:r w:rsidRPr="00150EDC">
              <w:rPr>
                <w:sz w:val="20"/>
              </w:rPr>
              <w:t>(Bailiwick</w:t>
            </w:r>
            <w:r w:rsidRPr="00150EDC">
              <w:rPr>
                <w:spacing w:val="-5"/>
                <w:sz w:val="20"/>
              </w:rPr>
              <w:t xml:space="preserve"> </w:t>
            </w:r>
            <w:r w:rsidRPr="00150EDC">
              <w:rPr>
                <w:sz w:val="20"/>
              </w:rPr>
              <w:t>of</w:t>
            </w:r>
            <w:r w:rsidRPr="00150EDC">
              <w:rPr>
                <w:spacing w:val="-7"/>
                <w:sz w:val="20"/>
              </w:rPr>
              <w:t xml:space="preserve"> </w:t>
            </w:r>
            <w:r w:rsidRPr="00150EDC">
              <w:rPr>
                <w:sz w:val="20"/>
              </w:rPr>
              <w:t>Gurnsey)</w:t>
            </w:r>
            <w:r w:rsidRPr="00150EDC">
              <w:rPr>
                <w:spacing w:val="-6"/>
                <w:sz w:val="20"/>
              </w:rPr>
              <w:t xml:space="preserve"> </w:t>
            </w:r>
            <w:r w:rsidRPr="00150EDC">
              <w:rPr>
                <w:sz w:val="20"/>
              </w:rPr>
              <w:t>Law</w:t>
            </w:r>
            <w:r w:rsidRPr="00150EDC">
              <w:rPr>
                <w:spacing w:val="-4"/>
                <w:sz w:val="20"/>
              </w:rPr>
              <w:t xml:space="preserve"> </w:t>
            </w:r>
            <w:r w:rsidRPr="00150EDC">
              <w:rPr>
                <w:sz w:val="20"/>
              </w:rPr>
              <w:t>1985,</w:t>
            </w:r>
            <w:r w:rsidRPr="00150EDC">
              <w:rPr>
                <w:spacing w:val="-6"/>
                <w:sz w:val="20"/>
              </w:rPr>
              <w:t xml:space="preserve"> </w:t>
            </w:r>
            <w:r w:rsidRPr="00150EDC">
              <w:rPr>
                <w:spacing w:val="-5"/>
                <w:sz w:val="20"/>
              </w:rPr>
              <w:t>s2</w:t>
            </w:r>
          </w:p>
        </w:tc>
        <w:tc>
          <w:tcPr>
            <w:tcW w:w="7427" w:type="dxa"/>
          </w:tcPr>
          <w:p w14:paraId="3EC655B6" w14:textId="77777777" w:rsidR="004C7180" w:rsidRPr="00150EDC" w:rsidRDefault="00CF0754">
            <w:pPr>
              <w:pStyle w:val="TableParagraph"/>
              <w:spacing w:before="0" w:line="230" w:lineRule="atLeast"/>
              <w:ind w:right="186"/>
              <w:rPr>
                <w:sz w:val="20"/>
              </w:rPr>
            </w:pPr>
            <w:r w:rsidRPr="00150EDC">
              <w:rPr>
                <w:sz w:val="20"/>
              </w:rPr>
              <w:t>Print,</w:t>
            </w:r>
            <w:r w:rsidRPr="00150EDC">
              <w:rPr>
                <w:spacing w:val="-5"/>
                <w:sz w:val="20"/>
              </w:rPr>
              <w:t xml:space="preserve"> </w:t>
            </w:r>
            <w:r w:rsidRPr="00150EDC">
              <w:rPr>
                <w:sz w:val="20"/>
              </w:rPr>
              <w:t>publish,</w:t>
            </w:r>
            <w:r w:rsidRPr="00150EDC">
              <w:rPr>
                <w:spacing w:val="-5"/>
                <w:sz w:val="20"/>
              </w:rPr>
              <w:t xml:space="preserve"> </w:t>
            </w:r>
            <w:r w:rsidRPr="00150EDC">
              <w:rPr>
                <w:sz w:val="20"/>
              </w:rPr>
              <w:t>sell</w:t>
            </w:r>
            <w:r w:rsidRPr="00150EDC">
              <w:rPr>
                <w:spacing w:val="-2"/>
                <w:sz w:val="20"/>
              </w:rPr>
              <w:t xml:space="preserve"> </w:t>
            </w:r>
            <w:r w:rsidRPr="00150EDC">
              <w:rPr>
                <w:sz w:val="20"/>
              </w:rPr>
              <w:t>or</w:t>
            </w:r>
            <w:r w:rsidRPr="00150EDC">
              <w:rPr>
                <w:spacing w:val="-2"/>
                <w:sz w:val="20"/>
              </w:rPr>
              <w:t xml:space="preserve"> </w:t>
            </w:r>
            <w:r w:rsidRPr="00150EDC">
              <w:rPr>
                <w:sz w:val="20"/>
              </w:rPr>
              <w:t>hire,</w:t>
            </w:r>
            <w:r w:rsidRPr="00150EDC">
              <w:rPr>
                <w:spacing w:val="-5"/>
                <w:sz w:val="20"/>
              </w:rPr>
              <w:t xml:space="preserve"> </w:t>
            </w:r>
            <w:r w:rsidRPr="00150EDC">
              <w:rPr>
                <w:sz w:val="20"/>
              </w:rPr>
              <w:t>or</w:t>
            </w:r>
            <w:r w:rsidRPr="00150EDC">
              <w:rPr>
                <w:spacing w:val="-5"/>
                <w:sz w:val="20"/>
              </w:rPr>
              <w:t xml:space="preserve"> </w:t>
            </w:r>
            <w:r w:rsidRPr="00150EDC">
              <w:rPr>
                <w:sz w:val="20"/>
              </w:rPr>
              <w:t>possess</w:t>
            </w:r>
            <w:r w:rsidRPr="00150EDC">
              <w:rPr>
                <w:spacing w:val="-4"/>
                <w:sz w:val="20"/>
              </w:rPr>
              <w:t xml:space="preserve"> </w:t>
            </w:r>
            <w:r w:rsidRPr="00150EDC">
              <w:rPr>
                <w:sz w:val="20"/>
              </w:rPr>
              <w:t>with</w:t>
            </w:r>
            <w:r w:rsidRPr="00150EDC">
              <w:rPr>
                <w:spacing w:val="-5"/>
                <w:sz w:val="20"/>
              </w:rPr>
              <w:t xml:space="preserve"> </w:t>
            </w:r>
            <w:r w:rsidRPr="00150EDC">
              <w:rPr>
                <w:sz w:val="20"/>
              </w:rPr>
              <w:t>intent</w:t>
            </w:r>
            <w:r w:rsidRPr="00150EDC">
              <w:rPr>
                <w:spacing w:val="-5"/>
                <w:sz w:val="20"/>
              </w:rPr>
              <w:t xml:space="preserve"> </w:t>
            </w:r>
            <w:r w:rsidRPr="00150EDC">
              <w:rPr>
                <w:sz w:val="20"/>
              </w:rPr>
              <w:t>to</w:t>
            </w:r>
            <w:r w:rsidRPr="00150EDC">
              <w:rPr>
                <w:spacing w:val="-5"/>
                <w:sz w:val="20"/>
              </w:rPr>
              <w:t xml:space="preserve"> </w:t>
            </w:r>
            <w:r w:rsidRPr="00150EDC">
              <w:rPr>
                <w:sz w:val="20"/>
              </w:rPr>
              <w:t>sell</w:t>
            </w:r>
            <w:r w:rsidRPr="00150EDC">
              <w:rPr>
                <w:spacing w:val="-2"/>
                <w:sz w:val="20"/>
              </w:rPr>
              <w:t xml:space="preserve"> </w:t>
            </w:r>
            <w:r w:rsidRPr="00150EDC">
              <w:rPr>
                <w:sz w:val="20"/>
              </w:rPr>
              <w:t>or</w:t>
            </w:r>
            <w:r w:rsidRPr="00150EDC">
              <w:rPr>
                <w:spacing w:val="-2"/>
                <w:sz w:val="20"/>
              </w:rPr>
              <w:t xml:space="preserve"> </w:t>
            </w:r>
            <w:r w:rsidRPr="00150EDC">
              <w:rPr>
                <w:sz w:val="20"/>
              </w:rPr>
              <w:t>hire,</w:t>
            </w:r>
            <w:r w:rsidRPr="00150EDC">
              <w:rPr>
                <w:spacing w:val="-5"/>
                <w:sz w:val="20"/>
              </w:rPr>
              <w:t xml:space="preserve"> </w:t>
            </w:r>
            <w:r w:rsidRPr="00150EDC">
              <w:rPr>
                <w:sz w:val="20"/>
              </w:rPr>
              <w:t>harmful publications which would tend to corrupt a child</w:t>
            </w:r>
          </w:p>
        </w:tc>
      </w:tr>
      <w:tr w:rsidR="004569EE" w:rsidRPr="007D3144" w14:paraId="4B674059" w14:textId="77777777">
        <w:trPr>
          <w:trHeight w:val="460"/>
        </w:trPr>
        <w:tc>
          <w:tcPr>
            <w:tcW w:w="6517" w:type="dxa"/>
          </w:tcPr>
          <w:p w14:paraId="0F70E1D3" w14:textId="77777777" w:rsidR="004C7180" w:rsidRPr="00150EDC" w:rsidRDefault="004C7180">
            <w:pPr>
              <w:pStyle w:val="TableParagraph"/>
              <w:spacing w:before="2" w:line="240" w:lineRule="auto"/>
              <w:ind w:left="0"/>
              <w:rPr>
                <w:sz w:val="20"/>
              </w:rPr>
            </w:pPr>
          </w:p>
          <w:p w14:paraId="78941A70" w14:textId="77777777" w:rsidR="004C7180" w:rsidRPr="00150EDC" w:rsidRDefault="00CF0754">
            <w:pPr>
              <w:pStyle w:val="TableParagraph"/>
              <w:spacing w:before="0"/>
              <w:rPr>
                <w:sz w:val="20"/>
              </w:rPr>
            </w:pPr>
            <w:r w:rsidRPr="00150EDC">
              <w:rPr>
                <w:sz w:val="20"/>
              </w:rPr>
              <w:t>Protection</w:t>
            </w:r>
            <w:r w:rsidRPr="00150EDC">
              <w:rPr>
                <w:spacing w:val="-9"/>
                <w:sz w:val="20"/>
              </w:rPr>
              <w:t xml:space="preserve"> </w:t>
            </w:r>
            <w:r w:rsidRPr="00150EDC">
              <w:rPr>
                <w:sz w:val="20"/>
              </w:rPr>
              <w:t>of</w:t>
            </w:r>
            <w:r w:rsidRPr="00150EDC">
              <w:rPr>
                <w:spacing w:val="-6"/>
                <w:sz w:val="20"/>
              </w:rPr>
              <w:t xml:space="preserve"> </w:t>
            </w:r>
            <w:r w:rsidRPr="00150EDC">
              <w:rPr>
                <w:sz w:val="20"/>
              </w:rPr>
              <w:t>Children</w:t>
            </w:r>
            <w:r w:rsidRPr="00150EDC">
              <w:rPr>
                <w:spacing w:val="-6"/>
                <w:sz w:val="20"/>
              </w:rPr>
              <w:t xml:space="preserve"> </w:t>
            </w:r>
            <w:r w:rsidRPr="00150EDC">
              <w:rPr>
                <w:sz w:val="20"/>
              </w:rPr>
              <w:t>(Bailiwick</w:t>
            </w:r>
            <w:r w:rsidRPr="00150EDC">
              <w:rPr>
                <w:spacing w:val="-5"/>
                <w:sz w:val="20"/>
              </w:rPr>
              <w:t xml:space="preserve"> </w:t>
            </w:r>
            <w:r w:rsidRPr="00150EDC">
              <w:rPr>
                <w:sz w:val="20"/>
              </w:rPr>
              <w:t>of</w:t>
            </w:r>
            <w:r w:rsidRPr="00150EDC">
              <w:rPr>
                <w:spacing w:val="-7"/>
                <w:sz w:val="20"/>
              </w:rPr>
              <w:t xml:space="preserve"> </w:t>
            </w:r>
            <w:r w:rsidRPr="00150EDC">
              <w:rPr>
                <w:sz w:val="20"/>
              </w:rPr>
              <w:t>Gurnsey)</w:t>
            </w:r>
            <w:r w:rsidRPr="00150EDC">
              <w:rPr>
                <w:spacing w:val="-6"/>
                <w:sz w:val="20"/>
              </w:rPr>
              <w:t xml:space="preserve"> </w:t>
            </w:r>
            <w:r w:rsidRPr="00150EDC">
              <w:rPr>
                <w:sz w:val="20"/>
              </w:rPr>
              <w:t>Law</w:t>
            </w:r>
            <w:r w:rsidRPr="00150EDC">
              <w:rPr>
                <w:spacing w:val="-4"/>
                <w:sz w:val="20"/>
              </w:rPr>
              <w:t xml:space="preserve"> </w:t>
            </w:r>
            <w:r w:rsidRPr="00150EDC">
              <w:rPr>
                <w:sz w:val="20"/>
              </w:rPr>
              <w:t>1985,</w:t>
            </w:r>
            <w:r w:rsidRPr="00150EDC">
              <w:rPr>
                <w:spacing w:val="-6"/>
                <w:sz w:val="20"/>
              </w:rPr>
              <w:t xml:space="preserve"> </w:t>
            </w:r>
            <w:r w:rsidRPr="00150EDC">
              <w:rPr>
                <w:spacing w:val="-2"/>
                <w:sz w:val="20"/>
              </w:rPr>
              <w:t>s3(1)(a)</w:t>
            </w:r>
          </w:p>
        </w:tc>
        <w:tc>
          <w:tcPr>
            <w:tcW w:w="7427" w:type="dxa"/>
          </w:tcPr>
          <w:p w14:paraId="64C74321" w14:textId="77777777" w:rsidR="004C7180" w:rsidRPr="00150EDC" w:rsidRDefault="00CF0754">
            <w:pPr>
              <w:pStyle w:val="TableParagraph"/>
              <w:spacing w:before="0" w:line="230" w:lineRule="atLeast"/>
              <w:ind w:right="227"/>
              <w:rPr>
                <w:sz w:val="20"/>
              </w:rPr>
            </w:pPr>
            <w:r w:rsidRPr="00150EDC">
              <w:rPr>
                <w:sz w:val="20"/>
              </w:rPr>
              <w:t>Take,</w:t>
            </w:r>
            <w:r w:rsidRPr="00150EDC">
              <w:rPr>
                <w:spacing w:val="-7"/>
                <w:sz w:val="20"/>
              </w:rPr>
              <w:t xml:space="preserve"> </w:t>
            </w:r>
            <w:r w:rsidRPr="00150EDC">
              <w:rPr>
                <w:sz w:val="20"/>
              </w:rPr>
              <w:t>permit</w:t>
            </w:r>
            <w:r w:rsidRPr="00150EDC">
              <w:rPr>
                <w:spacing w:val="-1"/>
                <w:sz w:val="20"/>
              </w:rPr>
              <w:t xml:space="preserve"> </w:t>
            </w:r>
            <w:r w:rsidRPr="00150EDC">
              <w:rPr>
                <w:sz w:val="20"/>
              </w:rPr>
              <w:t>or</w:t>
            </w:r>
            <w:r w:rsidRPr="00150EDC">
              <w:rPr>
                <w:spacing w:val="-7"/>
                <w:sz w:val="20"/>
              </w:rPr>
              <w:t xml:space="preserve"> </w:t>
            </w:r>
            <w:r w:rsidRPr="00150EDC">
              <w:rPr>
                <w:sz w:val="20"/>
              </w:rPr>
              <w:t>make</w:t>
            </w:r>
            <w:r w:rsidRPr="00150EDC">
              <w:rPr>
                <w:spacing w:val="-7"/>
                <w:sz w:val="20"/>
              </w:rPr>
              <w:t xml:space="preserve"> </w:t>
            </w:r>
            <w:r w:rsidRPr="00150EDC">
              <w:rPr>
                <w:sz w:val="20"/>
              </w:rPr>
              <w:t>and</w:t>
            </w:r>
            <w:r w:rsidRPr="00150EDC">
              <w:rPr>
                <w:spacing w:val="-7"/>
                <w:sz w:val="20"/>
              </w:rPr>
              <w:t xml:space="preserve"> </w:t>
            </w:r>
            <w:r w:rsidRPr="00150EDC">
              <w:rPr>
                <w:sz w:val="20"/>
              </w:rPr>
              <w:t>indecent</w:t>
            </w:r>
            <w:r w:rsidRPr="00150EDC">
              <w:rPr>
                <w:spacing w:val="-7"/>
                <w:sz w:val="20"/>
              </w:rPr>
              <w:t xml:space="preserve"> </w:t>
            </w:r>
            <w:r w:rsidRPr="00150EDC">
              <w:rPr>
                <w:sz w:val="20"/>
              </w:rPr>
              <w:t>photograps</w:t>
            </w:r>
            <w:r w:rsidRPr="00150EDC">
              <w:rPr>
                <w:spacing w:val="-1"/>
                <w:sz w:val="20"/>
              </w:rPr>
              <w:t xml:space="preserve"> </w:t>
            </w:r>
            <w:r w:rsidRPr="00150EDC">
              <w:rPr>
                <w:sz w:val="20"/>
              </w:rPr>
              <w:t>or</w:t>
            </w:r>
            <w:r w:rsidRPr="00150EDC">
              <w:rPr>
                <w:spacing w:val="-7"/>
                <w:sz w:val="20"/>
              </w:rPr>
              <w:t xml:space="preserve"> </w:t>
            </w:r>
            <w:r w:rsidRPr="00150EDC">
              <w:rPr>
                <w:sz w:val="20"/>
              </w:rPr>
              <w:t>pseudo-photographs</w:t>
            </w:r>
            <w:r w:rsidRPr="00150EDC">
              <w:rPr>
                <w:spacing w:val="-6"/>
                <w:sz w:val="20"/>
              </w:rPr>
              <w:t xml:space="preserve"> </w:t>
            </w:r>
            <w:r w:rsidRPr="00150EDC">
              <w:rPr>
                <w:sz w:val="20"/>
              </w:rPr>
              <w:t xml:space="preserve">of </w:t>
            </w:r>
            <w:r w:rsidRPr="00150EDC">
              <w:rPr>
                <w:spacing w:val="-2"/>
                <w:sz w:val="20"/>
              </w:rPr>
              <w:t>children</w:t>
            </w:r>
          </w:p>
        </w:tc>
      </w:tr>
      <w:tr w:rsidR="004569EE" w:rsidRPr="007D3144" w14:paraId="1A95F9A2" w14:textId="77777777">
        <w:trPr>
          <w:trHeight w:val="255"/>
        </w:trPr>
        <w:tc>
          <w:tcPr>
            <w:tcW w:w="6517" w:type="dxa"/>
          </w:tcPr>
          <w:p w14:paraId="531C7DBB" w14:textId="77777777" w:rsidR="004C7180" w:rsidRPr="00150EDC" w:rsidRDefault="00CF0754">
            <w:pPr>
              <w:pStyle w:val="TableParagraph"/>
              <w:spacing w:before="28"/>
              <w:rPr>
                <w:sz w:val="20"/>
              </w:rPr>
            </w:pPr>
            <w:r w:rsidRPr="00150EDC">
              <w:rPr>
                <w:sz w:val="20"/>
              </w:rPr>
              <w:t>Protection</w:t>
            </w:r>
            <w:r w:rsidRPr="00150EDC">
              <w:rPr>
                <w:spacing w:val="-9"/>
                <w:sz w:val="20"/>
              </w:rPr>
              <w:t xml:space="preserve"> </w:t>
            </w:r>
            <w:r w:rsidRPr="00150EDC">
              <w:rPr>
                <w:sz w:val="20"/>
              </w:rPr>
              <w:t>of</w:t>
            </w:r>
            <w:r w:rsidRPr="00150EDC">
              <w:rPr>
                <w:spacing w:val="-6"/>
                <w:sz w:val="20"/>
              </w:rPr>
              <w:t xml:space="preserve"> </w:t>
            </w:r>
            <w:r w:rsidRPr="00150EDC">
              <w:rPr>
                <w:sz w:val="20"/>
              </w:rPr>
              <w:t>Children</w:t>
            </w:r>
            <w:r w:rsidRPr="00150EDC">
              <w:rPr>
                <w:spacing w:val="-6"/>
                <w:sz w:val="20"/>
              </w:rPr>
              <w:t xml:space="preserve"> </w:t>
            </w:r>
            <w:r w:rsidRPr="00150EDC">
              <w:rPr>
                <w:sz w:val="20"/>
              </w:rPr>
              <w:t>(Bailiwick</w:t>
            </w:r>
            <w:r w:rsidRPr="00150EDC">
              <w:rPr>
                <w:spacing w:val="-5"/>
                <w:sz w:val="20"/>
              </w:rPr>
              <w:t xml:space="preserve"> </w:t>
            </w:r>
            <w:r w:rsidRPr="00150EDC">
              <w:rPr>
                <w:sz w:val="20"/>
              </w:rPr>
              <w:t>of</w:t>
            </w:r>
            <w:r w:rsidRPr="00150EDC">
              <w:rPr>
                <w:spacing w:val="-7"/>
                <w:sz w:val="20"/>
              </w:rPr>
              <w:t xml:space="preserve"> </w:t>
            </w:r>
            <w:r w:rsidRPr="00150EDC">
              <w:rPr>
                <w:sz w:val="20"/>
              </w:rPr>
              <w:t>Gurnsey)</w:t>
            </w:r>
            <w:r w:rsidRPr="00150EDC">
              <w:rPr>
                <w:spacing w:val="-6"/>
                <w:sz w:val="20"/>
              </w:rPr>
              <w:t xml:space="preserve"> </w:t>
            </w:r>
            <w:r w:rsidRPr="00150EDC">
              <w:rPr>
                <w:sz w:val="20"/>
              </w:rPr>
              <w:t>Law</w:t>
            </w:r>
            <w:r w:rsidRPr="00150EDC">
              <w:rPr>
                <w:spacing w:val="-4"/>
                <w:sz w:val="20"/>
              </w:rPr>
              <w:t xml:space="preserve"> </w:t>
            </w:r>
            <w:r w:rsidRPr="00150EDC">
              <w:rPr>
                <w:sz w:val="20"/>
              </w:rPr>
              <w:t>1985,</w:t>
            </w:r>
            <w:r w:rsidRPr="00150EDC">
              <w:rPr>
                <w:spacing w:val="-6"/>
                <w:sz w:val="20"/>
              </w:rPr>
              <w:t xml:space="preserve"> </w:t>
            </w:r>
            <w:r w:rsidRPr="00150EDC">
              <w:rPr>
                <w:spacing w:val="-2"/>
                <w:sz w:val="20"/>
              </w:rPr>
              <w:t>s3(1)(b)</w:t>
            </w:r>
          </w:p>
        </w:tc>
        <w:tc>
          <w:tcPr>
            <w:tcW w:w="7427" w:type="dxa"/>
          </w:tcPr>
          <w:p w14:paraId="07106241" w14:textId="77777777" w:rsidR="004C7180" w:rsidRPr="00150EDC" w:rsidRDefault="00CF0754">
            <w:pPr>
              <w:pStyle w:val="TableParagraph"/>
              <w:spacing w:before="28"/>
              <w:rPr>
                <w:sz w:val="20"/>
              </w:rPr>
            </w:pPr>
            <w:r w:rsidRPr="00150EDC">
              <w:rPr>
                <w:sz w:val="20"/>
              </w:rPr>
              <w:t>Distribute</w:t>
            </w:r>
            <w:r w:rsidRPr="00150EDC">
              <w:rPr>
                <w:spacing w:val="-7"/>
                <w:sz w:val="20"/>
              </w:rPr>
              <w:t xml:space="preserve"> </w:t>
            </w:r>
            <w:r w:rsidRPr="00150EDC">
              <w:rPr>
                <w:sz w:val="20"/>
              </w:rPr>
              <w:t>or</w:t>
            </w:r>
            <w:r w:rsidRPr="00150EDC">
              <w:rPr>
                <w:spacing w:val="-7"/>
                <w:sz w:val="20"/>
              </w:rPr>
              <w:t xml:space="preserve"> </w:t>
            </w:r>
            <w:r w:rsidRPr="00150EDC">
              <w:rPr>
                <w:sz w:val="20"/>
              </w:rPr>
              <w:t>show</w:t>
            </w:r>
            <w:r w:rsidRPr="00150EDC">
              <w:rPr>
                <w:spacing w:val="-5"/>
                <w:sz w:val="20"/>
              </w:rPr>
              <w:t xml:space="preserve"> </w:t>
            </w:r>
            <w:r w:rsidRPr="00150EDC">
              <w:rPr>
                <w:sz w:val="20"/>
              </w:rPr>
              <w:t>indecent</w:t>
            </w:r>
            <w:r w:rsidRPr="00150EDC">
              <w:rPr>
                <w:spacing w:val="-1"/>
                <w:sz w:val="20"/>
              </w:rPr>
              <w:t xml:space="preserve"> </w:t>
            </w:r>
            <w:r w:rsidRPr="00150EDC">
              <w:rPr>
                <w:sz w:val="20"/>
              </w:rPr>
              <w:t>photograps</w:t>
            </w:r>
            <w:r w:rsidRPr="00150EDC">
              <w:rPr>
                <w:spacing w:val="-5"/>
                <w:sz w:val="20"/>
              </w:rPr>
              <w:t xml:space="preserve"> </w:t>
            </w:r>
            <w:r w:rsidRPr="00150EDC">
              <w:rPr>
                <w:sz w:val="20"/>
              </w:rPr>
              <w:t>or</w:t>
            </w:r>
            <w:r w:rsidRPr="00150EDC">
              <w:rPr>
                <w:spacing w:val="-3"/>
                <w:sz w:val="20"/>
              </w:rPr>
              <w:t xml:space="preserve"> </w:t>
            </w:r>
            <w:r w:rsidRPr="00150EDC">
              <w:rPr>
                <w:sz w:val="20"/>
              </w:rPr>
              <w:t>pseudo-photographs</w:t>
            </w:r>
            <w:r w:rsidRPr="00150EDC">
              <w:rPr>
                <w:spacing w:val="-5"/>
                <w:sz w:val="20"/>
              </w:rPr>
              <w:t xml:space="preserve"> </w:t>
            </w:r>
            <w:r w:rsidRPr="00150EDC">
              <w:rPr>
                <w:sz w:val="20"/>
              </w:rPr>
              <w:t>of</w:t>
            </w:r>
            <w:r w:rsidRPr="00150EDC">
              <w:rPr>
                <w:spacing w:val="-7"/>
                <w:sz w:val="20"/>
              </w:rPr>
              <w:t xml:space="preserve"> </w:t>
            </w:r>
            <w:r w:rsidRPr="00150EDC">
              <w:rPr>
                <w:spacing w:val="-2"/>
                <w:sz w:val="20"/>
              </w:rPr>
              <w:t>children</w:t>
            </w:r>
          </w:p>
        </w:tc>
      </w:tr>
      <w:tr w:rsidR="004569EE" w:rsidRPr="007D3144" w14:paraId="41459880" w14:textId="77777777">
        <w:trPr>
          <w:trHeight w:val="460"/>
        </w:trPr>
        <w:tc>
          <w:tcPr>
            <w:tcW w:w="6517" w:type="dxa"/>
          </w:tcPr>
          <w:p w14:paraId="0696812A" w14:textId="77777777" w:rsidR="004C7180" w:rsidRPr="00150EDC" w:rsidRDefault="004C7180">
            <w:pPr>
              <w:pStyle w:val="TableParagraph"/>
              <w:spacing w:before="2" w:line="240" w:lineRule="auto"/>
              <w:ind w:left="0"/>
              <w:rPr>
                <w:sz w:val="20"/>
              </w:rPr>
            </w:pPr>
          </w:p>
          <w:p w14:paraId="56E5DC68" w14:textId="77777777" w:rsidR="004C7180" w:rsidRPr="00150EDC" w:rsidRDefault="00CF0754">
            <w:pPr>
              <w:pStyle w:val="TableParagraph"/>
              <w:spacing w:before="0"/>
              <w:rPr>
                <w:sz w:val="20"/>
              </w:rPr>
            </w:pPr>
            <w:r w:rsidRPr="00150EDC">
              <w:rPr>
                <w:sz w:val="20"/>
              </w:rPr>
              <w:t>Protection</w:t>
            </w:r>
            <w:r w:rsidRPr="00150EDC">
              <w:rPr>
                <w:spacing w:val="-8"/>
                <w:sz w:val="20"/>
              </w:rPr>
              <w:t xml:space="preserve"> </w:t>
            </w:r>
            <w:r w:rsidRPr="00150EDC">
              <w:rPr>
                <w:sz w:val="20"/>
              </w:rPr>
              <w:t>of</w:t>
            </w:r>
            <w:r w:rsidRPr="00150EDC">
              <w:rPr>
                <w:spacing w:val="-6"/>
                <w:sz w:val="20"/>
              </w:rPr>
              <w:t xml:space="preserve"> </w:t>
            </w:r>
            <w:r w:rsidRPr="00150EDC">
              <w:rPr>
                <w:sz w:val="20"/>
              </w:rPr>
              <w:t>Children</w:t>
            </w:r>
            <w:r w:rsidRPr="00150EDC">
              <w:rPr>
                <w:spacing w:val="-6"/>
                <w:sz w:val="20"/>
              </w:rPr>
              <w:t xml:space="preserve"> </w:t>
            </w:r>
            <w:r w:rsidRPr="00150EDC">
              <w:rPr>
                <w:sz w:val="20"/>
              </w:rPr>
              <w:t>(Bailiwick</w:t>
            </w:r>
            <w:r w:rsidRPr="00150EDC">
              <w:rPr>
                <w:spacing w:val="-5"/>
                <w:sz w:val="20"/>
              </w:rPr>
              <w:t xml:space="preserve"> </w:t>
            </w:r>
            <w:r w:rsidRPr="00150EDC">
              <w:rPr>
                <w:sz w:val="20"/>
              </w:rPr>
              <w:t>of</w:t>
            </w:r>
            <w:r w:rsidRPr="00150EDC">
              <w:rPr>
                <w:spacing w:val="-6"/>
                <w:sz w:val="20"/>
              </w:rPr>
              <w:t xml:space="preserve"> </w:t>
            </w:r>
            <w:r w:rsidRPr="00150EDC">
              <w:rPr>
                <w:sz w:val="20"/>
              </w:rPr>
              <w:t>Gurnsey)</w:t>
            </w:r>
            <w:r w:rsidRPr="00150EDC">
              <w:rPr>
                <w:spacing w:val="-6"/>
                <w:sz w:val="20"/>
              </w:rPr>
              <w:t xml:space="preserve"> </w:t>
            </w:r>
            <w:r w:rsidRPr="00150EDC">
              <w:rPr>
                <w:sz w:val="20"/>
              </w:rPr>
              <w:t>Law</w:t>
            </w:r>
            <w:r w:rsidRPr="00150EDC">
              <w:rPr>
                <w:spacing w:val="-4"/>
                <w:sz w:val="20"/>
              </w:rPr>
              <w:t xml:space="preserve"> </w:t>
            </w:r>
            <w:r w:rsidRPr="00150EDC">
              <w:rPr>
                <w:sz w:val="20"/>
              </w:rPr>
              <w:t>1985,</w:t>
            </w:r>
            <w:r w:rsidRPr="00150EDC">
              <w:rPr>
                <w:spacing w:val="-5"/>
                <w:sz w:val="20"/>
              </w:rPr>
              <w:t xml:space="preserve"> </w:t>
            </w:r>
            <w:r w:rsidRPr="00150EDC">
              <w:rPr>
                <w:spacing w:val="-2"/>
                <w:sz w:val="20"/>
              </w:rPr>
              <w:t>s3(1)(c)</w:t>
            </w:r>
          </w:p>
        </w:tc>
        <w:tc>
          <w:tcPr>
            <w:tcW w:w="7427" w:type="dxa"/>
          </w:tcPr>
          <w:p w14:paraId="4B456BCE" w14:textId="77777777" w:rsidR="004C7180" w:rsidRPr="00150EDC" w:rsidRDefault="00CF0754">
            <w:pPr>
              <w:pStyle w:val="TableParagraph"/>
              <w:spacing w:before="0" w:line="230" w:lineRule="atLeast"/>
              <w:rPr>
                <w:sz w:val="20"/>
              </w:rPr>
            </w:pPr>
            <w:r w:rsidRPr="00150EDC">
              <w:rPr>
                <w:sz w:val="20"/>
              </w:rPr>
              <w:t>Possess</w:t>
            </w:r>
            <w:r w:rsidRPr="00150EDC">
              <w:rPr>
                <w:spacing w:val="-6"/>
                <w:sz w:val="20"/>
              </w:rPr>
              <w:t xml:space="preserve"> </w:t>
            </w:r>
            <w:r w:rsidRPr="00150EDC">
              <w:rPr>
                <w:sz w:val="20"/>
              </w:rPr>
              <w:t>indencent</w:t>
            </w:r>
            <w:r w:rsidRPr="00150EDC">
              <w:rPr>
                <w:spacing w:val="-7"/>
                <w:sz w:val="20"/>
              </w:rPr>
              <w:t xml:space="preserve"> </w:t>
            </w:r>
            <w:r w:rsidRPr="00150EDC">
              <w:rPr>
                <w:sz w:val="20"/>
              </w:rPr>
              <w:t>photographs</w:t>
            </w:r>
            <w:r w:rsidRPr="00150EDC">
              <w:rPr>
                <w:spacing w:val="-1"/>
                <w:sz w:val="20"/>
              </w:rPr>
              <w:t xml:space="preserve"> </w:t>
            </w:r>
            <w:r w:rsidRPr="00150EDC">
              <w:rPr>
                <w:sz w:val="20"/>
              </w:rPr>
              <w:t>or</w:t>
            </w:r>
            <w:r w:rsidRPr="00150EDC">
              <w:rPr>
                <w:spacing w:val="-7"/>
                <w:sz w:val="20"/>
              </w:rPr>
              <w:t xml:space="preserve"> </w:t>
            </w:r>
            <w:r w:rsidRPr="00150EDC">
              <w:rPr>
                <w:sz w:val="20"/>
              </w:rPr>
              <w:t>pseudo-photographs</w:t>
            </w:r>
            <w:r w:rsidRPr="00150EDC">
              <w:rPr>
                <w:spacing w:val="-1"/>
                <w:sz w:val="20"/>
              </w:rPr>
              <w:t xml:space="preserve"> </w:t>
            </w:r>
            <w:r w:rsidRPr="00150EDC">
              <w:rPr>
                <w:sz w:val="20"/>
              </w:rPr>
              <w:t>of</w:t>
            </w:r>
            <w:r w:rsidRPr="00150EDC">
              <w:rPr>
                <w:spacing w:val="-7"/>
                <w:sz w:val="20"/>
              </w:rPr>
              <w:t xml:space="preserve"> </w:t>
            </w:r>
            <w:r w:rsidRPr="00150EDC">
              <w:rPr>
                <w:sz w:val="20"/>
              </w:rPr>
              <w:t>children</w:t>
            </w:r>
            <w:r w:rsidRPr="00150EDC">
              <w:rPr>
                <w:spacing w:val="-7"/>
                <w:sz w:val="20"/>
              </w:rPr>
              <w:t xml:space="preserve"> </w:t>
            </w:r>
            <w:r w:rsidRPr="00150EDC">
              <w:rPr>
                <w:sz w:val="20"/>
              </w:rPr>
              <w:t>with</w:t>
            </w:r>
            <w:r w:rsidRPr="00150EDC">
              <w:rPr>
                <w:spacing w:val="-7"/>
                <w:sz w:val="20"/>
              </w:rPr>
              <w:t xml:space="preserve"> </w:t>
            </w:r>
            <w:r w:rsidRPr="00150EDC">
              <w:rPr>
                <w:sz w:val="20"/>
              </w:rPr>
              <w:t>intent</w:t>
            </w:r>
            <w:r w:rsidRPr="00150EDC">
              <w:rPr>
                <w:spacing w:val="-7"/>
                <w:sz w:val="20"/>
              </w:rPr>
              <w:t xml:space="preserve"> </w:t>
            </w:r>
            <w:r w:rsidRPr="00150EDC">
              <w:rPr>
                <w:sz w:val="20"/>
              </w:rPr>
              <w:t>to distribute or show to others</w:t>
            </w:r>
          </w:p>
        </w:tc>
      </w:tr>
      <w:tr w:rsidR="004569EE" w:rsidRPr="007D3144" w14:paraId="3734FEFF" w14:textId="77777777">
        <w:trPr>
          <w:trHeight w:val="460"/>
        </w:trPr>
        <w:tc>
          <w:tcPr>
            <w:tcW w:w="6517" w:type="dxa"/>
          </w:tcPr>
          <w:p w14:paraId="25F83819" w14:textId="77777777" w:rsidR="004C7180" w:rsidRPr="00150EDC" w:rsidRDefault="004C7180">
            <w:pPr>
              <w:pStyle w:val="TableParagraph"/>
              <w:spacing w:before="2" w:line="240" w:lineRule="auto"/>
              <w:ind w:left="0"/>
              <w:rPr>
                <w:sz w:val="20"/>
              </w:rPr>
            </w:pPr>
          </w:p>
          <w:p w14:paraId="3E8CE981" w14:textId="77777777" w:rsidR="004C7180" w:rsidRPr="00150EDC" w:rsidRDefault="00CF0754">
            <w:pPr>
              <w:pStyle w:val="TableParagraph"/>
              <w:spacing w:before="0"/>
              <w:rPr>
                <w:sz w:val="20"/>
              </w:rPr>
            </w:pPr>
            <w:r w:rsidRPr="00150EDC">
              <w:rPr>
                <w:sz w:val="20"/>
              </w:rPr>
              <w:t>Protection</w:t>
            </w:r>
            <w:r w:rsidRPr="00150EDC">
              <w:rPr>
                <w:spacing w:val="-9"/>
                <w:sz w:val="20"/>
              </w:rPr>
              <w:t xml:space="preserve"> </w:t>
            </w:r>
            <w:r w:rsidRPr="00150EDC">
              <w:rPr>
                <w:sz w:val="20"/>
              </w:rPr>
              <w:t>of</w:t>
            </w:r>
            <w:r w:rsidRPr="00150EDC">
              <w:rPr>
                <w:spacing w:val="-6"/>
                <w:sz w:val="20"/>
              </w:rPr>
              <w:t xml:space="preserve"> </w:t>
            </w:r>
            <w:r w:rsidRPr="00150EDC">
              <w:rPr>
                <w:sz w:val="20"/>
              </w:rPr>
              <w:t>Children</w:t>
            </w:r>
            <w:r w:rsidRPr="00150EDC">
              <w:rPr>
                <w:spacing w:val="-6"/>
                <w:sz w:val="20"/>
              </w:rPr>
              <w:t xml:space="preserve"> </w:t>
            </w:r>
            <w:r w:rsidRPr="00150EDC">
              <w:rPr>
                <w:sz w:val="20"/>
              </w:rPr>
              <w:t>(Bailiwick</w:t>
            </w:r>
            <w:r w:rsidRPr="00150EDC">
              <w:rPr>
                <w:spacing w:val="-5"/>
                <w:sz w:val="20"/>
              </w:rPr>
              <w:t xml:space="preserve"> </w:t>
            </w:r>
            <w:r w:rsidRPr="00150EDC">
              <w:rPr>
                <w:sz w:val="20"/>
              </w:rPr>
              <w:t>of</w:t>
            </w:r>
            <w:r w:rsidRPr="00150EDC">
              <w:rPr>
                <w:spacing w:val="-7"/>
                <w:sz w:val="20"/>
              </w:rPr>
              <w:t xml:space="preserve"> </w:t>
            </w:r>
            <w:r w:rsidRPr="00150EDC">
              <w:rPr>
                <w:sz w:val="20"/>
              </w:rPr>
              <w:t>Gurnsey)</w:t>
            </w:r>
            <w:r w:rsidRPr="00150EDC">
              <w:rPr>
                <w:spacing w:val="-6"/>
                <w:sz w:val="20"/>
              </w:rPr>
              <w:t xml:space="preserve"> </w:t>
            </w:r>
            <w:r w:rsidRPr="00150EDC">
              <w:rPr>
                <w:sz w:val="20"/>
              </w:rPr>
              <w:t>Law</w:t>
            </w:r>
            <w:r w:rsidRPr="00150EDC">
              <w:rPr>
                <w:spacing w:val="-4"/>
                <w:sz w:val="20"/>
              </w:rPr>
              <w:t xml:space="preserve"> </w:t>
            </w:r>
            <w:r w:rsidRPr="00150EDC">
              <w:rPr>
                <w:sz w:val="20"/>
              </w:rPr>
              <w:t>1985,</w:t>
            </w:r>
            <w:r w:rsidRPr="00150EDC">
              <w:rPr>
                <w:spacing w:val="-6"/>
                <w:sz w:val="20"/>
              </w:rPr>
              <w:t xml:space="preserve"> </w:t>
            </w:r>
            <w:r w:rsidRPr="00150EDC">
              <w:rPr>
                <w:spacing w:val="-2"/>
                <w:sz w:val="20"/>
              </w:rPr>
              <w:t>S3(1)(d)</w:t>
            </w:r>
          </w:p>
        </w:tc>
        <w:tc>
          <w:tcPr>
            <w:tcW w:w="7427" w:type="dxa"/>
          </w:tcPr>
          <w:p w14:paraId="3EE6CC36" w14:textId="77777777" w:rsidR="004C7180" w:rsidRPr="00150EDC" w:rsidRDefault="00CF0754">
            <w:pPr>
              <w:pStyle w:val="TableParagraph"/>
              <w:spacing w:before="0" w:line="230" w:lineRule="atLeast"/>
              <w:rPr>
                <w:sz w:val="20"/>
              </w:rPr>
            </w:pPr>
            <w:r w:rsidRPr="00150EDC">
              <w:rPr>
                <w:sz w:val="20"/>
              </w:rPr>
              <w:t>Publish</w:t>
            </w:r>
            <w:r w:rsidRPr="00150EDC">
              <w:rPr>
                <w:spacing w:val="-6"/>
                <w:sz w:val="20"/>
              </w:rPr>
              <w:t xml:space="preserve"> </w:t>
            </w:r>
            <w:r w:rsidRPr="00150EDC">
              <w:rPr>
                <w:sz w:val="20"/>
              </w:rPr>
              <w:t>any</w:t>
            </w:r>
            <w:r w:rsidRPr="00150EDC">
              <w:rPr>
                <w:spacing w:val="-5"/>
                <w:sz w:val="20"/>
              </w:rPr>
              <w:t xml:space="preserve"> </w:t>
            </w:r>
            <w:r w:rsidRPr="00150EDC">
              <w:rPr>
                <w:sz w:val="20"/>
              </w:rPr>
              <w:t>advertisement</w:t>
            </w:r>
            <w:r w:rsidRPr="00150EDC">
              <w:rPr>
                <w:spacing w:val="-1"/>
                <w:sz w:val="20"/>
              </w:rPr>
              <w:t xml:space="preserve"> </w:t>
            </w:r>
            <w:r w:rsidRPr="00150EDC">
              <w:rPr>
                <w:sz w:val="20"/>
              </w:rPr>
              <w:t>regarding</w:t>
            </w:r>
            <w:r w:rsidRPr="00150EDC">
              <w:rPr>
                <w:spacing w:val="-6"/>
                <w:sz w:val="20"/>
              </w:rPr>
              <w:t xml:space="preserve"> </w:t>
            </w:r>
            <w:r w:rsidRPr="00150EDC">
              <w:rPr>
                <w:sz w:val="20"/>
              </w:rPr>
              <w:t>the</w:t>
            </w:r>
            <w:r w:rsidRPr="00150EDC">
              <w:rPr>
                <w:spacing w:val="-6"/>
                <w:sz w:val="20"/>
              </w:rPr>
              <w:t xml:space="preserve"> </w:t>
            </w:r>
            <w:r w:rsidRPr="00150EDC">
              <w:rPr>
                <w:sz w:val="20"/>
              </w:rPr>
              <w:t>distribution</w:t>
            </w:r>
            <w:r w:rsidRPr="00150EDC">
              <w:rPr>
                <w:spacing w:val="-6"/>
                <w:sz w:val="20"/>
              </w:rPr>
              <w:t xml:space="preserve"> </w:t>
            </w:r>
            <w:r w:rsidRPr="00150EDC">
              <w:rPr>
                <w:sz w:val="20"/>
              </w:rPr>
              <w:t>or</w:t>
            </w:r>
            <w:r w:rsidRPr="00150EDC">
              <w:rPr>
                <w:spacing w:val="-6"/>
                <w:sz w:val="20"/>
              </w:rPr>
              <w:t xml:space="preserve"> </w:t>
            </w:r>
            <w:r w:rsidRPr="00150EDC">
              <w:rPr>
                <w:sz w:val="20"/>
              </w:rPr>
              <w:t>showing</w:t>
            </w:r>
            <w:r w:rsidRPr="00150EDC">
              <w:rPr>
                <w:spacing w:val="-6"/>
                <w:sz w:val="20"/>
              </w:rPr>
              <w:t xml:space="preserve"> </w:t>
            </w:r>
            <w:r w:rsidRPr="00150EDC">
              <w:rPr>
                <w:sz w:val="20"/>
              </w:rPr>
              <w:t>of</w:t>
            </w:r>
            <w:r w:rsidRPr="00150EDC">
              <w:rPr>
                <w:spacing w:val="-6"/>
                <w:sz w:val="20"/>
              </w:rPr>
              <w:t xml:space="preserve"> </w:t>
            </w:r>
            <w:r w:rsidRPr="00150EDC">
              <w:rPr>
                <w:sz w:val="20"/>
              </w:rPr>
              <w:t>indecent photographs or pseudo-photographs of children</w:t>
            </w:r>
          </w:p>
        </w:tc>
      </w:tr>
      <w:tr w:rsidR="004569EE" w:rsidRPr="007D3144" w14:paraId="73A06FC0" w14:textId="77777777">
        <w:trPr>
          <w:trHeight w:val="255"/>
        </w:trPr>
        <w:tc>
          <w:tcPr>
            <w:tcW w:w="6517" w:type="dxa"/>
          </w:tcPr>
          <w:p w14:paraId="07274C24" w14:textId="77777777" w:rsidR="004C7180" w:rsidRPr="00150EDC" w:rsidRDefault="00CF0754">
            <w:pPr>
              <w:pStyle w:val="TableParagraph"/>
              <w:spacing w:before="28"/>
              <w:rPr>
                <w:sz w:val="20"/>
              </w:rPr>
            </w:pPr>
            <w:r w:rsidRPr="00150EDC">
              <w:rPr>
                <w:sz w:val="20"/>
              </w:rPr>
              <w:t>Protection</w:t>
            </w:r>
            <w:r w:rsidRPr="00150EDC">
              <w:rPr>
                <w:spacing w:val="-9"/>
                <w:sz w:val="20"/>
              </w:rPr>
              <w:t xml:space="preserve"> </w:t>
            </w:r>
            <w:r w:rsidRPr="00150EDC">
              <w:rPr>
                <w:sz w:val="20"/>
              </w:rPr>
              <w:t>of</w:t>
            </w:r>
            <w:r w:rsidRPr="00150EDC">
              <w:rPr>
                <w:spacing w:val="-6"/>
                <w:sz w:val="20"/>
              </w:rPr>
              <w:t xml:space="preserve"> </w:t>
            </w:r>
            <w:r w:rsidRPr="00150EDC">
              <w:rPr>
                <w:sz w:val="20"/>
              </w:rPr>
              <w:t>Children</w:t>
            </w:r>
            <w:r w:rsidRPr="00150EDC">
              <w:rPr>
                <w:spacing w:val="-6"/>
                <w:sz w:val="20"/>
              </w:rPr>
              <w:t xml:space="preserve"> </w:t>
            </w:r>
            <w:r w:rsidRPr="00150EDC">
              <w:rPr>
                <w:sz w:val="20"/>
              </w:rPr>
              <w:t>(Bailiwick</w:t>
            </w:r>
            <w:r w:rsidRPr="00150EDC">
              <w:rPr>
                <w:spacing w:val="-5"/>
                <w:sz w:val="20"/>
              </w:rPr>
              <w:t xml:space="preserve"> </w:t>
            </w:r>
            <w:r w:rsidRPr="00150EDC">
              <w:rPr>
                <w:sz w:val="20"/>
              </w:rPr>
              <w:t>of</w:t>
            </w:r>
            <w:r w:rsidRPr="00150EDC">
              <w:rPr>
                <w:spacing w:val="-7"/>
                <w:sz w:val="20"/>
              </w:rPr>
              <w:t xml:space="preserve"> </w:t>
            </w:r>
            <w:r w:rsidRPr="00150EDC">
              <w:rPr>
                <w:sz w:val="20"/>
              </w:rPr>
              <w:t>Gurnsey)</w:t>
            </w:r>
            <w:r w:rsidRPr="00150EDC">
              <w:rPr>
                <w:spacing w:val="-6"/>
                <w:sz w:val="20"/>
              </w:rPr>
              <w:t xml:space="preserve"> </w:t>
            </w:r>
            <w:r w:rsidRPr="00150EDC">
              <w:rPr>
                <w:sz w:val="20"/>
              </w:rPr>
              <w:t>Law</w:t>
            </w:r>
            <w:r w:rsidRPr="00150EDC">
              <w:rPr>
                <w:spacing w:val="-4"/>
                <w:sz w:val="20"/>
              </w:rPr>
              <w:t xml:space="preserve"> </w:t>
            </w:r>
            <w:r w:rsidRPr="00150EDC">
              <w:rPr>
                <w:sz w:val="20"/>
              </w:rPr>
              <w:t>1985,</w:t>
            </w:r>
            <w:r w:rsidRPr="00150EDC">
              <w:rPr>
                <w:spacing w:val="-6"/>
                <w:sz w:val="20"/>
              </w:rPr>
              <w:t xml:space="preserve"> </w:t>
            </w:r>
            <w:r w:rsidRPr="00150EDC">
              <w:rPr>
                <w:spacing w:val="-2"/>
                <w:sz w:val="20"/>
              </w:rPr>
              <w:t>s3A(1)</w:t>
            </w:r>
          </w:p>
        </w:tc>
        <w:tc>
          <w:tcPr>
            <w:tcW w:w="7427" w:type="dxa"/>
          </w:tcPr>
          <w:p w14:paraId="09A0A9D8" w14:textId="77777777" w:rsidR="004C7180" w:rsidRPr="00150EDC" w:rsidRDefault="00CF0754">
            <w:pPr>
              <w:pStyle w:val="TableParagraph"/>
              <w:spacing w:before="28"/>
              <w:rPr>
                <w:sz w:val="20"/>
              </w:rPr>
            </w:pPr>
            <w:r w:rsidRPr="00150EDC">
              <w:rPr>
                <w:sz w:val="20"/>
              </w:rPr>
              <w:t>Possess</w:t>
            </w:r>
            <w:r w:rsidRPr="00150EDC">
              <w:rPr>
                <w:spacing w:val="-8"/>
                <w:sz w:val="20"/>
              </w:rPr>
              <w:t xml:space="preserve"> </w:t>
            </w:r>
            <w:r w:rsidRPr="00150EDC">
              <w:rPr>
                <w:sz w:val="20"/>
              </w:rPr>
              <w:t>indecent</w:t>
            </w:r>
            <w:r w:rsidRPr="00150EDC">
              <w:rPr>
                <w:spacing w:val="-7"/>
                <w:sz w:val="20"/>
              </w:rPr>
              <w:t xml:space="preserve"> </w:t>
            </w:r>
            <w:r w:rsidRPr="00150EDC">
              <w:rPr>
                <w:sz w:val="20"/>
              </w:rPr>
              <w:t>photographs</w:t>
            </w:r>
            <w:r w:rsidRPr="00150EDC">
              <w:rPr>
                <w:spacing w:val="-6"/>
                <w:sz w:val="20"/>
              </w:rPr>
              <w:t xml:space="preserve"> </w:t>
            </w:r>
            <w:r w:rsidRPr="00150EDC">
              <w:rPr>
                <w:sz w:val="20"/>
              </w:rPr>
              <w:t>or</w:t>
            </w:r>
            <w:r w:rsidRPr="00150EDC">
              <w:rPr>
                <w:spacing w:val="-6"/>
                <w:sz w:val="20"/>
              </w:rPr>
              <w:t xml:space="preserve"> </w:t>
            </w:r>
            <w:r w:rsidRPr="00150EDC">
              <w:rPr>
                <w:sz w:val="20"/>
              </w:rPr>
              <w:t>pseudo-photographs</w:t>
            </w:r>
            <w:r w:rsidRPr="00150EDC">
              <w:rPr>
                <w:spacing w:val="-6"/>
                <w:sz w:val="20"/>
              </w:rPr>
              <w:t xml:space="preserve"> </w:t>
            </w:r>
            <w:r w:rsidRPr="00150EDC">
              <w:rPr>
                <w:sz w:val="20"/>
              </w:rPr>
              <w:t>of</w:t>
            </w:r>
            <w:r w:rsidRPr="00150EDC">
              <w:rPr>
                <w:spacing w:val="-1"/>
                <w:sz w:val="20"/>
              </w:rPr>
              <w:t xml:space="preserve"> </w:t>
            </w:r>
            <w:r w:rsidRPr="00150EDC">
              <w:rPr>
                <w:spacing w:val="-2"/>
                <w:sz w:val="20"/>
              </w:rPr>
              <w:t>children</w:t>
            </w:r>
          </w:p>
        </w:tc>
      </w:tr>
      <w:tr w:rsidR="004569EE" w:rsidRPr="007D3144" w14:paraId="1A1A4AAE" w14:textId="77777777">
        <w:trPr>
          <w:trHeight w:val="255"/>
        </w:trPr>
        <w:tc>
          <w:tcPr>
            <w:tcW w:w="6517" w:type="dxa"/>
          </w:tcPr>
          <w:p w14:paraId="6CEC0000" w14:textId="77777777" w:rsidR="004C7180" w:rsidRPr="00150EDC" w:rsidRDefault="00CF0754">
            <w:pPr>
              <w:pStyle w:val="TableParagraph"/>
              <w:rPr>
                <w:sz w:val="20"/>
              </w:rPr>
            </w:pPr>
            <w:r w:rsidRPr="00150EDC">
              <w:rPr>
                <w:sz w:val="20"/>
              </w:rPr>
              <w:t>Protection</w:t>
            </w:r>
            <w:r w:rsidRPr="00150EDC">
              <w:rPr>
                <w:spacing w:val="-9"/>
                <w:sz w:val="20"/>
              </w:rPr>
              <w:t xml:space="preserve"> </w:t>
            </w:r>
            <w:r w:rsidRPr="00150EDC">
              <w:rPr>
                <w:sz w:val="20"/>
              </w:rPr>
              <w:t>of</w:t>
            </w:r>
            <w:r w:rsidRPr="00150EDC">
              <w:rPr>
                <w:spacing w:val="-6"/>
                <w:sz w:val="20"/>
              </w:rPr>
              <w:t xml:space="preserve"> </w:t>
            </w:r>
            <w:r w:rsidRPr="00150EDC">
              <w:rPr>
                <w:sz w:val="20"/>
              </w:rPr>
              <w:t>Children</w:t>
            </w:r>
            <w:r w:rsidRPr="00150EDC">
              <w:rPr>
                <w:spacing w:val="-7"/>
                <w:sz w:val="20"/>
              </w:rPr>
              <w:t xml:space="preserve"> </w:t>
            </w:r>
            <w:r w:rsidRPr="00150EDC">
              <w:rPr>
                <w:sz w:val="20"/>
              </w:rPr>
              <w:t>(Jersey)</w:t>
            </w:r>
            <w:r w:rsidRPr="00150EDC">
              <w:rPr>
                <w:spacing w:val="-3"/>
                <w:sz w:val="20"/>
              </w:rPr>
              <w:t xml:space="preserve"> </w:t>
            </w:r>
            <w:r w:rsidRPr="00150EDC">
              <w:rPr>
                <w:sz w:val="20"/>
              </w:rPr>
              <w:t>Law</w:t>
            </w:r>
            <w:r w:rsidRPr="00150EDC">
              <w:rPr>
                <w:spacing w:val="-4"/>
                <w:sz w:val="20"/>
              </w:rPr>
              <w:t xml:space="preserve"> </w:t>
            </w:r>
            <w:r w:rsidRPr="00150EDC">
              <w:rPr>
                <w:sz w:val="20"/>
              </w:rPr>
              <w:t>1994,</w:t>
            </w:r>
            <w:r w:rsidRPr="00150EDC">
              <w:rPr>
                <w:spacing w:val="-7"/>
                <w:sz w:val="20"/>
              </w:rPr>
              <w:t xml:space="preserve"> </w:t>
            </w:r>
            <w:r w:rsidRPr="00150EDC">
              <w:rPr>
                <w:sz w:val="20"/>
              </w:rPr>
              <w:t>Art</w:t>
            </w:r>
            <w:r w:rsidRPr="00150EDC">
              <w:rPr>
                <w:spacing w:val="-1"/>
                <w:sz w:val="20"/>
              </w:rPr>
              <w:t xml:space="preserve"> </w:t>
            </w:r>
            <w:r w:rsidRPr="00150EDC">
              <w:rPr>
                <w:spacing w:val="-10"/>
                <w:sz w:val="20"/>
              </w:rPr>
              <w:t>2</w:t>
            </w:r>
          </w:p>
        </w:tc>
        <w:tc>
          <w:tcPr>
            <w:tcW w:w="7427" w:type="dxa"/>
          </w:tcPr>
          <w:p w14:paraId="34C8E587" w14:textId="77777777" w:rsidR="004C7180" w:rsidRPr="00150EDC" w:rsidRDefault="00CF0754">
            <w:pPr>
              <w:pStyle w:val="TableParagraph"/>
              <w:rPr>
                <w:sz w:val="20"/>
              </w:rPr>
            </w:pPr>
            <w:r w:rsidRPr="00150EDC">
              <w:rPr>
                <w:sz w:val="20"/>
              </w:rPr>
              <w:t>Taking,</w:t>
            </w:r>
            <w:r w:rsidRPr="00150EDC">
              <w:rPr>
                <w:spacing w:val="-2"/>
                <w:sz w:val="20"/>
              </w:rPr>
              <w:t xml:space="preserve"> </w:t>
            </w:r>
            <w:r w:rsidRPr="00150EDC">
              <w:rPr>
                <w:sz w:val="20"/>
              </w:rPr>
              <w:t>or</w:t>
            </w:r>
            <w:r w:rsidRPr="00150EDC">
              <w:rPr>
                <w:spacing w:val="-4"/>
                <w:sz w:val="20"/>
              </w:rPr>
              <w:t xml:space="preserve"> </w:t>
            </w:r>
            <w:r w:rsidRPr="00150EDC">
              <w:rPr>
                <w:sz w:val="20"/>
              </w:rPr>
              <w:t>permitting</w:t>
            </w:r>
            <w:r w:rsidRPr="00150EDC">
              <w:rPr>
                <w:spacing w:val="-5"/>
                <w:sz w:val="20"/>
              </w:rPr>
              <w:t xml:space="preserve"> </w:t>
            </w:r>
            <w:r w:rsidRPr="00150EDC">
              <w:rPr>
                <w:sz w:val="20"/>
              </w:rPr>
              <w:t>to</w:t>
            </w:r>
            <w:r w:rsidRPr="00150EDC">
              <w:rPr>
                <w:spacing w:val="-4"/>
                <w:sz w:val="20"/>
              </w:rPr>
              <w:t xml:space="preserve"> </w:t>
            </w:r>
            <w:r w:rsidRPr="00150EDC">
              <w:rPr>
                <w:sz w:val="20"/>
              </w:rPr>
              <w:t>be</w:t>
            </w:r>
            <w:r w:rsidRPr="00150EDC">
              <w:rPr>
                <w:spacing w:val="-4"/>
                <w:sz w:val="20"/>
              </w:rPr>
              <w:t xml:space="preserve"> </w:t>
            </w:r>
            <w:r w:rsidRPr="00150EDC">
              <w:rPr>
                <w:sz w:val="20"/>
              </w:rPr>
              <w:t>taken,</w:t>
            </w:r>
            <w:r w:rsidRPr="00150EDC">
              <w:rPr>
                <w:spacing w:val="-5"/>
                <w:sz w:val="20"/>
              </w:rPr>
              <w:t xml:space="preserve"> </w:t>
            </w:r>
            <w:r w:rsidRPr="00150EDC">
              <w:rPr>
                <w:sz w:val="20"/>
              </w:rPr>
              <w:t>any</w:t>
            </w:r>
            <w:r w:rsidRPr="00150EDC">
              <w:rPr>
                <w:spacing w:val="-3"/>
                <w:sz w:val="20"/>
              </w:rPr>
              <w:t xml:space="preserve"> </w:t>
            </w:r>
            <w:r w:rsidRPr="00150EDC">
              <w:rPr>
                <w:sz w:val="20"/>
              </w:rPr>
              <w:t>indecent</w:t>
            </w:r>
            <w:r w:rsidRPr="00150EDC">
              <w:rPr>
                <w:spacing w:val="-4"/>
                <w:sz w:val="20"/>
              </w:rPr>
              <w:t xml:space="preserve"> </w:t>
            </w:r>
            <w:r w:rsidRPr="00150EDC">
              <w:rPr>
                <w:sz w:val="20"/>
              </w:rPr>
              <w:t>photograph</w:t>
            </w:r>
            <w:r w:rsidRPr="00150EDC">
              <w:rPr>
                <w:spacing w:val="-5"/>
                <w:sz w:val="20"/>
              </w:rPr>
              <w:t xml:space="preserve"> </w:t>
            </w:r>
            <w:r w:rsidRPr="00150EDC">
              <w:rPr>
                <w:sz w:val="20"/>
              </w:rPr>
              <w:t>of</w:t>
            </w:r>
            <w:r w:rsidRPr="00150EDC">
              <w:rPr>
                <w:spacing w:val="-4"/>
                <w:sz w:val="20"/>
              </w:rPr>
              <w:t xml:space="preserve"> </w:t>
            </w:r>
            <w:r w:rsidRPr="00150EDC">
              <w:rPr>
                <w:sz w:val="20"/>
              </w:rPr>
              <w:t>a</w:t>
            </w:r>
            <w:r w:rsidRPr="00150EDC">
              <w:rPr>
                <w:spacing w:val="-4"/>
                <w:sz w:val="20"/>
              </w:rPr>
              <w:t xml:space="preserve"> </w:t>
            </w:r>
            <w:r w:rsidRPr="00150EDC">
              <w:rPr>
                <w:spacing w:val="-2"/>
                <w:sz w:val="20"/>
              </w:rPr>
              <w:t>child</w:t>
            </w:r>
          </w:p>
        </w:tc>
      </w:tr>
      <w:tr w:rsidR="004569EE" w:rsidRPr="007D3144" w14:paraId="63A33610" w14:textId="77777777">
        <w:trPr>
          <w:trHeight w:val="255"/>
        </w:trPr>
        <w:tc>
          <w:tcPr>
            <w:tcW w:w="6517" w:type="dxa"/>
          </w:tcPr>
          <w:p w14:paraId="7DAFB87E" w14:textId="77777777" w:rsidR="004C7180" w:rsidRPr="00150EDC" w:rsidRDefault="00CF0754">
            <w:pPr>
              <w:pStyle w:val="TableParagraph"/>
              <w:rPr>
                <w:sz w:val="20"/>
              </w:rPr>
            </w:pPr>
            <w:r w:rsidRPr="00150EDC">
              <w:rPr>
                <w:sz w:val="20"/>
              </w:rPr>
              <w:t>Protection</w:t>
            </w:r>
            <w:r w:rsidRPr="00150EDC">
              <w:rPr>
                <w:spacing w:val="-7"/>
                <w:sz w:val="20"/>
              </w:rPr>
              <w:t xml:space="preserve"> </w:t>
            </w:r>
            <w:r w:rsidRPr="00150EDC">
              <w:rPr>
                <w:sz w:val="20"/>
              </w:rPr>
              <w:t>of</w:t>
            </w:r>
            <w:r w:rsidRPr="00150EDC">
              <w:rPr>
                <w:spacing w:val="-6"/>
                <w:sz w:val="20"/>
              </w:rPr>
              <w:t xml:space="preserve"> </w:t>
            </w:r>
            <w:r w:rsidRPr="00150EDC">
              <w:rPr>
                <w:sz w:val="20"/>
              </w:rPr>
              <w:t>Children</w:t>
            </w:r>
            <w:r w:rsidRPr="00150EDC">
              <w:rPr>
                <w:spacing w:val="-7"/>
                <w:sz w:val="20"/>
              </w:rPr>
              <w:t xml:space="preserve"> </w:t>
            </w:r>
            <w:r w:rsidRPr="00150EDC">
              <w:rPr>
                <w:sz w:val="20"/>
              </w:rPr>
              <w:t>(Northern</w:t>
            </w:r>
            <w:r w:rsidRPr="00150EDC">
              <w:rPr>
                <w:spacing w:val="-6"/>
                <w:sz w:val="20"/>
              </w:rPr>
              <w:t xml:space="preserve"> </w:t>
            </w:r>
            <w:r w:rsidRPr="00150EDC">
              <w:rPr>
                <w:sz w:val="20"/>
              </w:rPr>
              <w:t>Ireland)</w:t>
            </w:r>
            <w:r w:rsidRPr="00150EDC">
              <w:rPr>
                <w:spacing w:val="-2"/>
                <w:sz w:val="20"/>
              </w:rPr>
              <w:t xml:space="preserve"> </w:t>
            </w:r>
            <w:r w:rsidRPr="00150EDC">
              <w:rPr>
                <w:sz w:val="20"/>
              </w:rPr>
              <w:t>Order</w:t>
            </w:r>
            <w:r w:rsidRPr="00150EDC">
              <w:rPr>
                <w:spacing w:val="-7"/>
                <w:sz w:val="20"/>
              </w:rPr>
              <w:t xml:space="preserve"> </w:t>
            </w:r>
            <w:r w:rsidRPr="00150EDC">
              <w:rPr>
                <w:sz w:val="20"/>
              </w:rPr>
              <w:t>1978,</w:t>
            </w:r>
            <w:r w:rsidRPr="00150EDC">
              <w:rPr>
                <w:spacing w:val="-6"/>
                <w:sz w:val="20"/>
              </w:rPr>
              <w:t xml:space="preserve"> </w:t>
            </w:r>
            <w:r w:rsidRPr="00150EDC">
              <w:rPr>
                <w:sz w:val="20"/>
              </w:rPr>
              <w:t>Art</w:t>
            </w:r>
            <w:r w:rsidRPr="00150EDC">
              <w:rPr>
                <w:spacing w:val="-2"/>
                <w:sz w:val="20"/>
              </w:rPr>
              <w:t xml:space="preserve"> </w:t>
            </w:r>
            <w:r w:rsidRPr="00150EDC">
              <w:rPr>
                <w:spacing w:val="-10"/>
                <w:sz w:val="20"/>
              </w:rPr>
              <w:t>3</w:t>
            </w:r>
          </w:p>
        </w:tc>
        <w:tc>
          <w:tcPr>
            <w:tcW w:w="7427" w:type="dxa"/>
          </w:tcPr>
          <w:p w14:paraId="5945BE52" w14:textId="77777777" w:rsidR="004C7180" w:rsidRPr="00150EDC" w:rsidRDefault="00CF0754">
            <w:pPr>
              <w:pStyle w:val="TableParagraph"/>
              <w:rPr>
                <w:sz w:val="20"/>
              </w:rPr>
            </w:pPr>
            <w:r w:rsidRPr="00150EDC">
              <w:rPr>
                <w:sz w:val="20"/>
              </w:rPr>
              <w:t>Indecent</w:t>
            </w:r>
            <w:r w:rsidRPr="00150EDC">
              <w:rPr>
                <w:spacing w:val="-4"/>
                <w:sz w:val="20"/>
              </w:rPr>
              <w:t xml:space="preserve"> </w:t>
            </w:r>
            <w:r w:rsidRPr="00150EDC">
              <w:rPr>
                <w:sz w:val="20"/>
              </w:rPr>
              <w:t>photographs</w:t>
            </w:r>
            <w:r w:rsidRPr="00150EDC">
              <w:rPr>
                <w:spacing w:val="-9"/>
                <w:sz w:val="20"/>
              </w:rPr>
              <w:t xml:space="preserve"> </w:t>
            </w:r>
            <w:r w:rsidRPr="00150EDC">
              <w:rPr>
                <w:sz w:val="20"/>
              </w:rPr>
              <w:t>of</w:t>
            </w:r>
            <w:r w:rsidRPr="00150EDC">
              <w:rPr>
                <w:spacing w:val="-3"/>
                <w:sz w:val="20"/>
              </w:rPr>
              <w:t xml:space="preserve"> </w:t>
            </w:r>
            <w:r w:rsidRPr="00150EDC">
              <w:rPr>
                <w:spacing w:val="-2"/>
                <w:sz w:val="20"/>
              </w:rPr>
              <w:t>children</w:t>
            </w:r>
          </w:p>
        </w:tc>
      </w:tr>
      <w:tr w:rsidR="004569EE" w:rsidRPr="007D3144" w14:paraId="4011D567" w14:textId="77777777">
        <w:trPr>
          <w:trHeight w:val="255"/>
        </w:trPr>
        <w:tc>
          <w:tcPr>
            <w:tcW w:w="6517" w:type="dxa"/>
          </w:tcPr>
          <w:p w14:paraId="075E01B2" w14:textId="77777777" w:rsidR="004C7180" w:rsidRPr="00150EDC" w:rsidRDefault="00CF0754">
            <w:pPr>
              <w:pStyle w:val="TableParagraph"/>
              <w:rPr>
                <w:sz w:val="20"/>
              </w:rPr>
            </w:pPr>
            <w:r w:rsidRPr="00150EDC">
              <w:rPr>
                <w:sz w:val="20"/>
              </w:rPr>
              <w:t>Protection</w:t>
            </w:r>
            <w:r w:rsidRPr="00150EDC">
              <w:rPr>
                <w:spacing w:val="-7"/>
                <w:sz w:val="20"/>
              </w:rPr>
              <w:t xml:space="preserve"> </w:t>
            </w:r>
            <w:r w:rsidRPr="00150EDC">
              <w:rPr>
                <w:sz w:val="20"/>
              </w:rPr>
              <w:t>of</w:t>
            </w:r>
            <w:r w:rsidRPr="00150EDC">
              <w:rPr>
                <w:spacing w:val="-7"/>
                <w:sz w:val="20"/>
              </w:rPr>
              <w:t xml:space="preserve"> </w:t>
            </w:r>
            <w:r w:rsidRPr="00150EDC">
              <w:rPr>
                <w:sz w:val="20"/>
              </w:rPr>
              <w:t>Children</w:t>
            </w:r>
            <w:r w:rsidRPr="00150EDC">
              <w:rPr>
                <w:spacing w:val="-6"/>
                <w:sz w:val="20"/>
              </w:rPr>
              <w:t xml:space="preserve"> </w:t>
            </w:r>
            <w:r w:rsidRPr="00150EDC">
              <w:rPr>
                <w:sz w:val="20"/>
              </w:rPr>
              <w:t>(Scotland)</w:t>
            </w:r>
            <w:r w:rsidRPr="00150EDC">
              <w:rPr>
                <w:spacing w:val="-7"/>
                <w:sz w:val="20"/>
              </w:rPr>
              <w:t xml:space="preserve"> </w:t>
            </w:r>
            <w:r w:rsidRPr="00150EDC">
              <w:rPr>
                <w:sz w:val="20"/>
              </w:rPr>
              <w:t>Act</w:t>
            </w:r>
            <w:r w:rsidRPr="00150EDC">
              <w:rPr>
                <w:spacing w:val="-6"/>
                <w:sz w:val="20"/>
              </w:rPr>
              <w:t xml:space="preserve"> </w:t>
            </w:r>
            <w:r w:rsidRPr="00150EDC">
              <w:rPr>
                <w:sz w:val="20"/>
              </w:rPr>
              <w:t>2003,</w:t>
            </w:r>
            <w:r w:rsidRPr="00150EDC">
              <w:rPr>
                <w:spacing w:val="-6"/>
                <w:sz w:val="20"/>
              </w:rPr>
              <w:t xml:space="preserve"> </w:t>
            </w:r>
            <w:r w:rsidRPr="00150EDC">
              <w:rPr>
                <w:spacing w:val="-2"/>
                <w:sz w:val="20"/>
              </w:rPr>
              <w:t>s11(1)</w:t>
            </w:r>
          </w:p>
        </w:tc>
        <w:tc>
          <w:tcPr>
            <w:tcW w:w="7427" w:type="dxa"/>
          </w:tcPr>
          <w:p w14:paraId="3C73C322" w14:textId="77777777" w:rsidR="004C7180" w:rsidRPr="00150EDC" w:rsidRDefault="00CF0754">
            <w:pPr>
              <w:pStyle w:val="TableParagraph"/>
              <w:rPr>
                <w:sz w:val="20"/>
              </w:rPr>
            </w:pPr>
            <w:r w:rsidRPr="00150EDC">
              <w:rPr>
                <w:sz w:val="20"/>
              </w:rPr>
              <w:t>Offences</w:t>
            </w:r>
            <w:r w:rsidRPr="00150EDC">
              <w:rPr>
                <w:spacing w:val="-1"/>
                <w:sz w:val="20"/>
              </w:rPr>
              <w:t xml:space="preserve"> </w:t>
            </w:r>
            <w:r w:rsidRPr="00150EDC">
              <w:rPr>
                <w:sz w:val="20"/>
              </w:rPr>
              <w:t>relating</w:t>
            </w:r>
            <w:r w:rsidRPr="00150EDC">
              <w:rPr>
                <w:spacing w:val="-2"/>
                <w:sz w:val="20"/>
              </w:rPr>
              <w:t xml:space="preserve"> </w:t>
            </w:r>
            <w:r w:rsidRPr="00150EDC">
              <w:rPr>
                <w:sz w:val="20"/>
              </w:rPr>
              <w:t>to</w:t>
            </w:r>
            <w:r w:rsidRPr="00150EDC">
              <w:rPr>
                <w:spacing w:val="-7"/>
                <w:sz w:val="20"/>
              </w:rPr>
              <w:t xml:space="preserve"> </w:t>
            </w:r>
            <w:r w:rsidRPr="00150EDC">
              <w:rPr>
                <w:sz w:val="20"/>
              </w:rPr>
              <w:t>working</w:t>
            </w:r>
            <w:r w:rsidRPr="00150EDC">
              <w:rPr>
                <w:spacing w:val="-6"/>
                <w:sz w:val="20"/>
              </w:rPr>
              <w:t xml:space="preserve"> </w:t>
            </w:r>
            <w:r w:rsidRPr="00150EDC">
              <w:rPr>
                <w:sz w:val="20"/>
              </w:rPr>
              <w:t>with</w:t>
            </w:r>
            <w:r w:rsidRPr="00150EDC">
              <w:rPr>
                <w:spacing w:val="-6"/>
                <w:sz w:val="20"/>
              </w:rPr>
              <w:t xml:space="preserve"> </w:t>
            </w:r>
            <w:r w:rsidRPr="00150EDC">
              <w:rPr>
                <w:sz w:val="20"/>
              </w:rPr>
              <w:t>children</w:t>
            </w:r>
            <w:r w:rsidRPr="00150EDC">
              <w:rPr>
                <w:spacing w:val="-7"/>
                <w:sz w:val="20"/>
              </w:rPr>
              <w:t xml:space="preserve"> </w:t>
            </w:r>
            <w:r w:rsidRPr="00150EDC">
              <w:rPr>
                <w:sz w:val="20"/>
              </w:rPr>
              <w:t>whilst</w:t>
            </w:r>
            <w:r w:rsidRPr="00150EDC">
              <w:rPr>
                <w:spacing w:val="-1"/>
                <w:sz w:val="20"/>
              </w:rPr>
              <w:t xml:space="preserve"> </w:t>
            </w:r>
            <w:r w:rsidRPr="00150EDC">
              <w:rPr>
                <w:spacing w:val="-2"/>
                <w:sz w:val="20"/>
              </w:rPr>
              <w:t>disqualified</w:t>
            </w:r>
          </w:p>
        </w:tc>
      </w:tr>
      <w:tr w:rsidR="004569EE" w:rsidRPr="007D3144" w14:paraId="34AE829C" w14:textId="77777777">
        <w:trPr>
          <w:trHeight w:val="255"/>
        </w:trPr>
        <w:tc>
          <w:tcPr>
            <w:tcW w:w="6517" w:type="dxa"/>
          </w:tcPr>
          <w:p w14:paraId="0734B965" w14:textId="77777777" w:rsidR="004C7180" w:rsidRPr="00150EDC" w:rsidRDefault="00CF0754">
            <w:pPr>
              <w:pStyle w:val="TableParagraph"/>
              <w:rPr>
                <w:sz w:val="20"/>
              </w:rPr>
            </w:pPr>
            <w:r w:rsidRPr="00150EDC">
              <w:rPr>
                <w:sz w:val="20"/>
              </w:rPr>
              <w:t>Protection</w:t>
            </w:r>
            <w:r w:rsidRPr="00150EDC">
              <w:rPr>
                <w:spacing w:val="-6"/>
                <w:sz w:val="20"/>
              </w:rPr>
              <w:t xml:space="preserve"> </w:t>
            </w:r>
            <w:r w:rsidRPr="00150EDC">
              <w:rPr>
                <w:sz w:val="20"/>
              </w:rPr>
              <w:t>of</w:t>
            </w:r>
            <w:r w:rsidRPr="00150EDC">
              <w:rPr>
                <w:spacing w:val="-6"/>
                <w:sz w:val="20"/>
              </w:rPr>
              <w:t xml:space="preserve"> </w:t>
            </w:r>
            <w:r w:rsidRPr="00150EDC">
              <w:rPr>
                <w:sz w:val="20"/>
              </w:rPr>
              <w:t>Children</w:t>
            </w:r>
            <w:r w:rsidRPr="00150EDC">
              <w:rPr>
                <w:spacing w:val="-6"/>
                <w:sz w:val="20"/>
              </w:rPr>
              <w:t xml:space="preserve"> </w:t>
            </w:r>
            <w:r w:rsidRPr="00150EDC">
              <w:rPr>
                <w:sz w:val="20"/>
              </w:rPr>
              <w:t>Act</w:t>
            </w:r>
            <w:r w:rsidRPr="00150EDC">
              <w:rPr>
                <w:spacing w:val="-5"/>
                <w:sz w:val="20"/>
              </w:rPr>
              <w:t xml:space="preserve"> </w:t>
            </w:r>
            <w:r w:rsidRPr="00150EDC">
              <w:rPr>
                <w:sz w:val="20"/>
              </w:rPr>
              <w:t>1978,</w:t>
            </w:r>
            <w:r w:rsidRPr="00150EDC">
              <w:rPr>
                <w:spacing w:val="-6"/>
                <w:sz w:val="20"/>
              </w:rPr>
              <w:t xml:space="preserve"> </w:t>
            </w:r>
            <w:r w:rsidRPr="00150EDC">
              <w:rPr>
                <w:spacing w:val="-5"/>
                <w:sz w:val="20"/>
              </w:rPr>
              <w:t>s1</w:t>
            </w:r>
          </w:p>
        </w:tc>
        <w:tc>
          <w:tcPr>
            <w:tcW w:w="7427" w:type="dxa"/>
          </w:tcPr>
          <w:p w14:paraId="0CB91D87" w14:textId="77777777" w:rsidR="004C7180" w:rsidRPr="00150EDC" w:rsidRDefault="00CF0754">
            <w:pPr>
              <w:pStyle w:val="TableParagraph"/>
              <w:rPr>
                <w:sz w:val="20"/>
              </w:rPr>
            </w:pPr>
            <w:r w:rsidRPr="00150EDC">
              <w:rPr>
                <w:sz w:val="20"/>
              </w:rPr>
              <w:t>Indecent</w:t>
            </w:r>
            <w:r w:rsidRPr="00150EDC">
              <w:rPr>
                <w:spacing w:val="-4"/>
                <w:sz w:val="20"/>
              </w:rPr>
              <w:t xml:space="preserve"> </w:t>
            </w:r>
            <w:r w:rsidRPr="00150EDC">
              <w:rPr>
                <w:sz w:val="20"/>
              </w:rPr>
              <w:t>photographs</w:t>
            </w:r>
            <w:r w:rsidRPr="00150EDC">
              <w:rPr>
                <w:spacing w:val="-9"/>
                <w:sz w:val="20"/>
              </w:rPr>
              <w:t xml:space="preserve"> </w:t>
            </w:r>
            <w:r w:rsidRPr="00150EDC">
              <w:rPr>
                <w:sz w:val="20"/>
              </w:rPr>
              <w:t>of</w:t>
            </w:r>
            <w:r w:rsidRPr="00150EDC">
              <w:rPr>
                <w:spacing w:val="-3"/>
                <w:sz w:val="20"/>
              </w:rPr>
              <w:t xml:space="preserve"> </w:t>
            </w:r>
            <w:r w:rsidRPr="00150EDC">
              <w:rPr>
                <w:spacing w:val="-2"/>
                <w:sz w:val="20"/>
              </w:rPr>
              <w:t>children</w:t>
            </w:r>
          </w:p>
        </w:tc>
      </w:tr>
      <w:tr w:rsidR="004569EE" w:rsidRPr="007D3144" w14:paraId="54F6E7E4" w14:textId="77777777">
        <w:trPr>
          <w:trHeight w:val="460"/>
        </w:trPr>
        <w:tc>
          <w:tcPr>
            <w:tcW w:w="6517" w:type="dxa"/>
          </w:tcPr>
          <w:p w14:paraId="25D567DA" w14:textId="77777777" w:rsidR="004C7180" w:rsidRPr="00150EDC" w:rsidRDefault="00CF0754">
            <w:pPr>
              <w:pStyle w:val="TableParagraph"/>
              <w:spacing w:before="0" w:line="230" w:lineRule="atLeast"/>
              <w:ind w:right="184"/>
              <w:rPr>
                <w:sz w:val="20"/>
              </w:rPr>
            </w:pPr>
            <w:r w:rsidRPr="00150EDC">
              <w:rPr>
                <w:sz w:val="20"/>
              </w:rPr>
              <w:t>Protection</w:t>
            </w:r>
            <w:r w:rsidRPr="00150EDC">
              <w:rPr>
                <w:spacing w:val="-7"/>
                <w:sz w:val="20"/>
              </w:rPr>
              <w:t xml:space="preserve"> </w:t>
            </w:r>
            <w:r w:rsidRPr="00150EDC">
              <w:rPr>
                <w:sz w:val="20"/>
              </w:rPr>
              <w:t>of</w:t>
            </w:r>
            <w:r w:rsidRPr="00150EDC">
              <w:rPr>
                <w:spacing w:val="-7"/>
                <w:sz w:val="20"/>
              </w:rPr>
              <w:t xml:space="preserve"> </w:t>
            </w:r>
            <w:r w:rsidRPr="00150EDC">
              <w:rPr>
                <w:sz w:val="20"/>
              </w:rPr>
              <w:t>Children</w:t>
            </w:r>
            <w:r w:rsidRPr="00150EDC">
              <w:rPr>
                <w:spacing w:val="-7"/>
                <w:sz w:val="20"/>
              </w:rPr>
              <w:t xml:space="preserve"> </w:t>
            </w:r>
            <w:r w:rsidRPr="00150EDC">
              <w:rPr>
                <w:sz w:val="20"/>
              </w:rPr>
              <w:t>and</w:t>
            </w:r>
            <w:r w:rsidRPr="00150EDC">
              <w:rPr>
                <w:spacing w:val="-7"/>
                <w:sz w:val="20"/>
              </w:rPr>
              <w:t xml:space="preserve"> </w:t>
            </w:r>
            <w:r w:rsidRPr="00150EDC">
              <w:rPr>
                <w:sz w:val="20"/>
              </w:rPr>
              <w:t>Prevention</w:t>
            </w:r>
            <w:r w:rsidRPr="00150EDC">
              <w:rPr>
                <w:spacing w:val="-7"/>
                <w:sz w:val="20"/>
              </w:rPr>
              <w:t xml:space="preserve"> </w:t>
            </w:r>
            <w:r w:rsidRPr="00150EDC">
              <w:rPr>
                <w:sz w:val="20"/>
              </w:rPr>
              <w:t>of</w:t>
            </w:r>
            <w:r w:rsidRPr="00150EDC">
              <w:rPr>
                <w:spacing w:val="-7"/>
                <w:sz w:val="20"/>
              </w:rPr>
              <w:t xml:space="preserve"> </w:t>
            </w:r>
            <w:r w:rsidRPr="00150EDC">
              <w:rPr>
                <w:sz w:val="20"/>
              </w:rPr>
              <w:t>Sexual</w:t>
            </w:r>
            <w:r w:rsidRPr="00150EDC">
              <w:rPr>
                <w:spacing w:val="-5"/>
                <w:sz w:val="20"/>
              </w:rPr>
              <w:t xml:space="preserve"> </w:t>
            </w:r>
            <w:r w:rsidRPr="00150EDC">
              <w:rPr>
                <w:sz w:val="20"/>
              </w:rPr>
              <w:t>Offences</w:t>
            </w:r>
            <w:r w:rsidRPr="00150EDC">
              <w:rPr>
                <w:spacing w:val="-2"/>
                <w:sz w:val="20"/>
              </w:rPr>
              <w:t xml:space="preserve"> </w:t>
            </w:r>
            <w:r w:rsidRPr="00150EDC">
              <w:rPr>
                <w:sz w:val="20"/>
              </w:rPr>
              <w:t>(Scotland) Act 2005, s1</w:t>
            </w:r>
          </w:p>
        </w:tc>
        <w:tc>
          <w:tcPr>
            <w:tcW w:w="7427" w:type="dxa"/>
          </w:tcPr>
          <w:p w14:paraId="06FDCD1F" w14:textId="77777777" w:rsidR="004C7180" w:rsidRPr="00150EDC" w:rsidRDefault="004C7180">
            <w:pPr>
              <w:pStyle w:val="TableParagraph"/>
              <w:spacing w:before="2" w:line="240" w:lineRule="auto"/>
              <w:ind w:left="0"/>
              <w:rPr>
                <w:sz w:val="20"/>
              </w:rPr>
            </w:pPr>
          </w:p>
          <w:p w14:paraId="51B2D735" w14:textId="77777777" w:rsidR="004C7180" w:rsidRPr="00150EDC" w:rsidRDefault="00CF0754">
            <w:pPr>
              <w:pStyle w:val="TableParagraph"/>
              <w:spacing w:before="0"/>
              <w:rPr>
                <w:sz w:val="20"/>
              </w:rPr>
            </w:pPr>
            <w:r w:rsidRPr="00150EDC">
              <w:rPr>
                <w:sz w:val="20"/>
              </w:rPr>
              <w:t>Meeting</w:t>
            </w:r>
            <w:r w:rsidRPr="00150EDC">
              <w:rPr>
                <w:spacing w:val="-9"/>
                <w:sz w:val="20"/>
              </w:rPr>
              <w:t xml:space="preserve"> </w:t>
            </w:r>
            <w:r w:rsidRPr="00150EDC">
              <w:rPr>
                <w:sz w:val="20"/>
              </w:rPr>
              <w:t>a</w:t>
            </w:r>
            <w:r w:rsidRPr="00150EDC">
              <w:rPr>
                <w:spacing w:val="-13"/>
                <w:sz w:val="20"/>
              </w:rPr>
              <w:t xml:space="preserve"> </w:t>
            </w:r>
            <w:r w:rsidRPr="00150EDC">
              <w:rPr>
                <w:sz w:val="20"/>
              </w:rPr>
              <w:t>child</w:t>
            </w:r>
            <w:r w:rsidRPr="00150EDC">
              <w:rPr>
                <w:spacing w:val="-13"/>
                <w:sz w:val="20"/>
              </w:rPr>
              <w:t xml:space="preserve"> </w:t>
            </w:r>
            <w:r w:rsidRPr="00150EDC">
              <w:rPr>
                <w:sz w:val="20"/>
              </w:rPr>
              <w:t>following</w:t>
            </w:r>
            <w:r w:rsidRPr="00150EDC">
              <w:rPr>
                <w:spacing w:val="-13"/>
                <w:sz w:val="20"/>
              </w:rPr>
              <w:t xml:space="preserve"> </w:t>
            </w:r>
            <w:r w:rsidRPr="00150EDC">
              <w:rPr>
                <w:sz w:val="20"/>
              </w:rPr>
              <w:t>certain</w:t>
            </w:r>
            <w:r w:rsidRPr="00150EDC">
              <w:rPr>
                <w:spacing w:val="-13"/>
                <w:sz w:val="20"/>
              </w:rPr>
              <w:t xml:space="preserve"> </w:t>
            </w:r>
            <w:r w:rsidRPr="00150EDC">
              <w:rPr>
                <w:sz w:val="20"/>
              </w:rPr>
              <w:t>preliminary</w:t>
            </w:r>
            <w:r w:rsidRPr="00150EDC">
              <w:rPr>
                <w:spacing w:val="-12"/>
                <w:sz w:val="20"/>
              </w:rPr>
              <w:t xml:space="preserve"> </w:t>
            </w:r>
            <w:r w:rsidRPr="00150EDC">
              <w:rPr>
                <w:spacing w:val="-2"/>
                <w:sz w:val="20"/>
              </w:rPr>
              <w:t>contact</w:t>
            </w:r>
          </w:p>
        </w:tc>
      </w:tr>
      <w:tr w:rsidR="004569EE" w:rsidRPr="007D3144" w14:paraId="028E0127" w14:textId="77777777">
        <w:trPr>
          <w:trHeight w:val="510"/>
        </w:trPr>
        <w:tc>
          <w:tcPr>
            <w:tcW w:w="6517" w:type="dxa"/>
          </w:tcPr>
          <w:p w14:paraId="1F2AF54A" w14:textId="77777777" w:rsidR="004C7180" w:rsidRPr="00150EDC" w:rsidRDefault="00CF0754">
            <w:pPr>
              <w:pStyle w:val="TableParagraph"/>
              <w:spacing w:before="32" w:line="230" w:lineRule="atLeast"/>
              <w:ind w:right="184"/>
              <w:rPr>
                <w:sz w:val="20"/>
              </w:rPr>
            </w:pPr>
            <w:r w:rsidRPr="00150EDC">
              <w:rPr>
                <w:sz w:val="20"/>
              </w:rPr>
              <w:t>Protection</w:t>
            </w:r>
            <w:r w:rsidRPr="00150EDC">
              <w:rPr>
                <w:spacing w:val="-7"/>
                <w:sz w:val="20"/>
              </w:rPr>
              <w:t xml:space="preserve"> </w:t>
            </w:r>
            <w:r w:rsidRPr="00150EDC">
              <w:rPr>
                <w:sz w:val="20"/>
              </w:rPr>
              <w:t>of</w:t>
            </w:r>
            <w:r w:rsidRPr="00150EDC">
              <w:rPr>
                <w:spacing w:val="-7"/>
                <w:sz w:val="20"/>
              </w:rPr>
              <w:t xml:space="preserve"> </w:t>
            </w:r>
            <w:r w:rsidRPr="00150EDC">
              <w:rPr>
                <w:sz w:val="20"/>
              </w:rPr>
              <w:t>Children</w:t>
            </w:r>
            <w:r w:rsidRPr="00150EDC">
              <w:rPr>
                <w:spacing w:val="-7"/>
                <w:sz w:val="20"/>
              </w:rPr>
              <w:t xml:space="preserve"> </w:t>
            </w:r>
            <w:r w:rsidRPr="00150EDC">
              <w:rPr>
                <w:sz w:val="20"/>
              </w:rPr>
              <w:t>and</w:t>
            </w:r>
            <w:r w:rsidRPr="00150EDC">
              <w:rPr>
                <w:spacing w:val="-6"/>
                <w:sz w:val="20"/>
              </w:rPr>
              <w:t xml:space="preserve"> </w:t>
            </w:r>
            <w:r w:rsidRPr="00150EDC">
              <w:rPr>
                <w:sz w:val="20"/>
              </w:rPr>
              <w:t>Prevention</w:t>
            </w:r>
            <w:r w:rsidRPr="00150EDC">
              <w:rPr>
                <w:spacing w:val="-7"/>
                <w:sz w:val="20"/>
              </w:rPr>
              <w:t xml:space="preserve"> </w:t>
            </w:r>
            <w:r w:rsidRPr="00150EDC">
              <w:rPr>
                <w:sz w:val="20"/>
              </w:rPr>
              <w:t>of</w:t>
            </w:r>
            <w:r w:rsidRPr="00150EDC">
              <w:rPr>
                <w:spacing w:val="-7"/>
                <w:sz w:val="20"/>
              </w:rPr>
              <w:t xml:space="preserve"> </w:t>
            </w:r>
            <w:r w:rsidRPr="00150EDC">
              <w:rPr>
                <w:sz w:val="20"/>
              </w:rPr>
              <w:t>Sexual</w:t>
            </w:r>
            <w:r w:rsidRPr="00150EDC">
              <w:rPr>
                <w:spacing w:val="-5"/>
                <w:sz w:val="20"/>
              </w:rPr>
              <w:t xml:space="preserve"> </w:t>
            </w:r>
            <w:r w:rsidRPr="00150EDC">
              <w:rPr>
                <w:sz w:val="20"/>
              </w:rPr>
              <w:t>Offences</w:t>
            </w:r>
            <w:r w:rsidRPr="00150EDC">
              <w:rPr>
                <w:spacing w:val="-2"/>
                <w:sz w:val="20"/>
              </w:rPr>
              <w:t xml:space="preserve"> </w:t>
            </w:r>
            <w:r w:rsidRPr="00150EDC">
              <w:rPr>
                <w:sz w:val="20"/>
              </w:rPr>
              <w:t>(Scotland) Act 2005, s10</w:t>
            </w:r>
          </w:p>
        </w:tc>
        <w:tc>
          <w:tcPr>
            <w:tcW w:w="7427" w:type="dxa"/>
          </w:tcPr>
          <w:p w14:paraId="4E10DB18" w14:textId="77777777" w:rsidR="004C7180" w:rsidRPr="00150EDC" w:rsidRDefault="004C7180">
            <w:pPr>
              <w:pStyle w:val="TableParagraph"/>
              <w:spacing w:before="6" w:line="240" w:lineRule="auto"/>
              <w:ind w:left="0"/>
              <w:rPr>
                <w:sz w:val="24"/>
              </w:rPr>
            </w:pPr>
          </w:p>
          <w:p w14:paraId="77B1FEEF" w14:textId="77777777" w:rsidR="004C7180" w:rsidRPr="00150EDC" w:rsidRDefault="00CF0754">
            <w:pPr>
              <w:pStyle w:val="TableParagraph"/>
              <w:spacing w:before="0"/>
              <w:rPr>
                <w:sz w:val="20"/>
              </w:rPr>
            </w:pPr>
            <w:r w:rsidRPr="00150EDC">
              <w:rPr>
                <w:sz w:val="20"/>
              </w:rPr>
              <w:t>Causing</w:t>
            </w:r>
            <w:r w:rsidRPr="00150EDC">
              <w:rPr>
                <w:spacing w:val="-6"/>
                <w:sz w:val="20"/>
              </w:rPr>
              <w:t xml:space="preserve"> </w:t>
            </w:r>
            <w:r w:rsidRPr="00150EDC">
              <w:rPr>
                <w:sz w:val="20"/>
              </w:rPr>
              <w:t>or</w:t>
            </w:r>
            <w:r w:rsidRPr="00150EDC">
              <w:rPr>
                <w:spacing w:val="-2"/>
                <w:sz w:val="20"/>
              </w:rPr>
              <w:t xml:space="preserve"> </w:t>
            </w:r>
            <w:r w:rsidRPr="00150EDC">
              <w:rPr>
                <w:sz w:val="20"/>
              </w:rPr>
              <w:t>inciting</w:t>
            </w:r>
            <w:r w:rsidRPr="00150EDC">
              <w:rPr>
                <w:spacing w:val="-6"/>
                <w:sz w:val="20"/>
              </w:rPr>
              <w:t xml:space="preserve"> </w:t>
            </w:r>
            <w:r w:rsidRPr="00150EDC">
              <w:rPr>
                <w:sz w:val="20"/>
              </w:rPr>
              <w:t>provision</w:t>
            </w:r>
            <w:r w:rsidRPr="00150EDC">
              <w:rPr>
                <w:spacing w:val="-1"/>
                <w:sz w:val="20"/>
              </w:rPr>
              <w:t xml:space="preserve"> </w:t>
            </w:r>
            <w:r w:rsidRPr="00150EDC">
              <w:rPr>
                <w:sz w:val="20"/>
              </w:rPr>
              <w:t>by</w:t>
            </w:r>
            <w:r w:rsidRPr="00150EDC">
              <w:rPr>
                <w:spacing w:val="-5"/>
                <w:sz w:val="20"/>
              </w:rPr>
              <w:t xml:space="preserve"> </w:t>
            </w:r>
            <w:r w:rsidRPr="00150EDC">
              <w:rPr>
                <w:sz w:val="20"/>
              </w:rPr>
              <w:t>child</w:t>
            </w:r>
            <w:r w:rsidRPr="00150EDC">
              <w:rPr>
                <w:spacing w:val="-6"/>
                <w:sz w:val="20"/>
              </w:rPr>
              <w:t xml:space="preserve"> </w:t>
            </w:r>
            <w:r w:rsidRPr="00150EDC">
              <w:rPr>
                <w:sz w:val="20"/>
              </w:rPr>
              <w:t>of sexual</w:t>
            </w:r>
            <w:r w:rsidRPr="00150EDC">
              <w:rPr>
                <w:spacing w:val="-5"/>
                <w:sz w:val="20"/>
              </w:rPr>
              <w:t xml:space="preserve"> </w:t>
            </w:r>
            <w:r w:rsidRPr="00150EDC">
              <w:rPr>
                <w:sz w:val="20"/>
              </w:rPr>
              <w:t>services</w:t>
            </w:r>
            <w:r w:rsidRPr="00150EDC">
              <w:rPr>
                <w:spacing w:val="-5"/>
                <w:sz w:val="20"/>
              </w:rPr>
              <w:t xml:space="preserve"> </w:t>
            </w:r>
            <w:r w:rsidRPr="00150EDC">
              <w:rPr>
                <w:sz w:val="20"/>
              </w:rPr>
              <w:t>or</w:t>
            </w:r>
            <w:r w:rsidRPr="00150EDC">
              <w:rPr>
                <w:spacing w:val="-1"/>
                <w:sz w:val="20"/>
              </w:rPr>
              <w:t xml:space="preserve"> </w:t>
            </w:r>
            <w:r w:rsidRPr="00150EDC">
              <w:rPr>
                <w:sz w:val="20"/>
              </w:rPr>
              <w:t>child</w:t>
            </w:r>
            <w:r w:rsidRPr="00150EDC">
              <w:rPr>
                <w:spacing w:val="-6"/>
                <w:sz w:val="20"/>
              </w:rPr>
              <w:t xml:space="preserve"> </w:t>
            </w:r>
            <w:r w:rsidRPr="00150EDC">
              <w:rPr>
                <w:spacing w:val="-2"/>
                <w:sz w:val="20"/>
              </w:rPr>
              <w:t>pornography</w:t>
            </w:r>
          </w:p>
        </w:tc>
      </w:tr>
    </w:tbl>
    <w:p w14:paraId="1CCEDF0E" w14:textId="77777777" w:rsidR="004C7180" w:rsidRPr="00150EDC" w:rsidRDefault="004C7180">
      <w:pPr>
        <w:rPr>
          <w:sz w:val="20"/>
        </w:rPr>
        <w:sectPr w:rsidR="004C7180" w:rsidRPr="00150EDC">
          <w:footerReference w:type="default" r:id="rId141"/>
          <w:pgSz w:w="16840" w:h="11910" w:orient="landscape"/>
          <w:pgMar w:top="1340" w:right="1320" w:bottom="280" w:left="1340" w:header="0" w:footer="0" w:gutter="0"/>
          <w:cols w:space="720"/>
        </w:sectPr>
      </w:pPr>
    </w:p>
    <w:p w14:paraId="474FE42B" w14:textId="77777777" w:rsidR="004C7180" w:rsidRPr="00150EDC" w:rsidRDefault="004C7180">
      <w:pPr>
        <w:pStyle w:val="BodyText"/>
        <w:spacing w:before="3"/>
        <w:rPr>
          <w:sz w:val="8"/>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517"/>
        <w:gridCol w:w="7427"/>
      </w:tblGrid>
      <w:tr w:rsidR="004569EE" w:rsidRPr="007D3144" w14:paraId="424B3BFC" w14:textId="77777777">
        <w:trPr>
          <w:trHeight w:val="510"/>
        </w:trPr>
        <w:tc>
          <w:tcPr>
            <w:tcW w:w="6517" w:type="dxa"/>
          </w:tcPr>
          <w:p w14:paraId="5EF12C6C" w14:textId="77777777" w:rsidR="004C7180" w:rsidRPr="00150EDC" w:rsidRDefault="00CF0754">
            <w:pPr>
              <w:pStyle w:val="TableParagraph"/>
              <w:spacing w:before="32" w:line="230" w:lineRule="atLeast"/>
              <w:ind w:right="184"/>
              <w:rPr>
                <w:sz w:val="20"/>
              </w:rPr>
            </w:pPr>
            <w:r w:rsidRPr="00150EDC">
              <w:rPr>
                <w:sz w:val="20"/>
              </w:rPr>
              <w:t>Protection</w:t>
            </w:r>
            <w:r w:rsidRPr="00150EDC">
              <w:rPr>
                <w:spacing w:val="-7"/>
                <w:sz w:val="20"/>
              </w:rPr>
              <w:t xml:space="preserve"> </w:t>
            </w:r>
            <w:r w:rsidRPr="00150EDC">
              <w:rPr>
                <w:sz w:val="20"/>
              </w:rPr>
              <w:t>of</w:t>
            </w:r>
            <w:r w:rsidRPr="00150EDC">
              <w:rPr>
                <w:spacing w:val="-7"/>
                <w:sz w:val="20"/>
              </w:rPr>
              <w:t xml:space="preserve"> </w:t>
            </w:r>
            <w:r w:rsidRPr="00150EDC">
              <w:rPr>
                <w:sz w:val="20"/>
              </w:rPr>
              <w:t>Children</w:t>
            </w:r>
            <w:r w:rsidRPr="00150EDC">
              <w:rPr>
                <w:spacing w:val="-7"/>
                <w:sz w:val="20"/>
              </w:rPr>
              <w:t xml:space="preserve"> </w:t>
            </w:r>
            <w:r w:rsidRPr="00150EDC">
              <w:rPr>
                <w:sz w:val="20"/>
              </w:rPr>
              <w:t>and</w:t>
            </w:r>
            <w:r w:rsidRPr="00150EDC">
              <w:rPr>
                <w:spacing w:val="-7"/>
                <w:sz w:val="20"/>
              </w:rPr>
              <w:t xml:space="preserve"> </w:t>
            </w:r>
            <w:r w:rsidRPr="00150EDC">
              <w:rPr>
                <w:sz w:val="20"/>
              </w:rPr>
              <w:t>Prevention</w:t>
            </w:r>
            <w:r w:rsidRPr="00150EDC">
              <w:rPr>
                <w:spacing w:val="-7"/>
                <w:sz w:val="20"/>
              </w:rPr>
              <w:t xml:space="preserve"> </w:t>
            </w:r>
            <w:r w:rsidRPr="00150EDC">
              <w:rPr>
                <w:sz w:val="20"/>
              </w:rPr>
              <w:t>of</w:t>
            </w:r>
            <w:r w:rsidRPr="00150EDC">
              <w:rPr>
                <w:spacing w:val="-7"/>
                <w:sz w:val="20"/>
              </w:rPr>
              <w:t xml:space="preserve"> </w:t>
            </w:r>
            <w:r w:rsidRPr="00150EDC">
              <w:rPr>
                <w:sz w:val="20"/>
              </w:rPr>
              <w:t>Sexual</w:t>
            </w:r>
            <w:r w:rsidRPr="00150EDC">
              <w:rPr>
                <w:spacing w:val="-5"/>
                <w:sz w:val="20"/>
              </w:rPr>
              <w:t xml:space="preserve"> </w:t>
            </w:r>
            <w:r w:rsidRPr="00150EDC">
              <w:rPr>
                <w:sz w:val="20"/>
              </w:rPr>
              <w:t>Offences</w:t>
            </w:r>
            <w:r w:rsidRPr="00150EDC">
              <w:rPr>
                <w:spacing w:val="-2"/>
                <w:sz w:val="20"/>
              </w:rPr>
              <w:t xml:space="preserve"> </w:t>
            </w:r>
            <w:r w:rsidRPr="00150EDC">
              <w:rPr>
                <w:sz w:val="20"/>
              </w:rPr>
              <w:t>(Scotland) Act 2005, s11</w:t>
            </w:r>
          </w:p>
        </w:tc>
        <w:tc>
          <w:tcPr>
            <w:tcW w:w="7427" w:type="dxa"/>
          </w:tcPr>
          <w:p w14:paraId="65420D2A" w14:textId="77777777" w:rsidR="004C7180" w:rsidRPr="00150EDC" w:rsidRDefault="004C7180">
            <w:pPr>
              <w:pStyle w:val="TableParagraph"/>
              <w:spacing w:before="6" w:line="240" w:lineRule="auto"/>
              <w:ind w:left="0"/>
              <w:rPr>
                <w:sz w:val="24"/>
              </w:rPr>
            </w:pPr>
          </w:p>
          <w:p w14:paraId="31FFED9C" w14:textId="77777777" w:rsidR="004C7180" w:rsidRPr="00150EDC" w:rsidRDefault="00CF0754">
            <w:pPr>
              <w:pStyle w:val="TableParagraph"/>
              <w:spacing w:before="1"/>
              <w:rPr>
                <w:sz w:val="20"/>
              </w:rPr>
            </w:pPr>
            <w:r w:rsidRPr="00150EDC">
              <w:rPr>
                <w:sz w:val="20"/>
              </w:rPr>
              <w:t>Controlling</w:t>
            </w:r>
            <w:r w:rsidRPr="00150EDC">
              <w:rPr>
                <w:spacing w:val="-2"/>
                <w:sz w:val="20"/>
              </w:rPr>
              <w:t xml:space="preserve"> </w:t>
            </w:r>
            <w:r w:rsidRPr="00150EDC">
              <w:rPr>
                <w:sz w:val="20"/>
              </w:rPr>
              <w:t>a</w:t>
            </w:r>
            <w:r w:rsidRPr="00150EDC">
              <w:rPr>
                <w:spacing w:val="-7"/>
                <w:sz w:val="20"/>
              </w:rPr>
              <w:t xml:space="preserve"> </w:t>
            </w:r>
            <w:r w:rsidRPr="00150EDC">
              <w:rPr>
                <w:sz w:val="20"/>
              </w:rPr>
              <w:t>child</w:t>
            </w:r>
            <w:r w:rsidRPr="00150EDC">
              <w:rPr>
                <w:spacing w:val="-6"/>
                <w:sz w:val="20"/>
              </w:rPr>
              <w:t xml:space="preserve"> </w:t>
            </w:r>
            <w:r w:rsidRPr="00150EDC">
              <w:rPr>
                <w:sz w:val="20"/>
              </w:rPr>
              <w:t>providing</w:t>
            </w:r>
            <w:r w:rsidRPr="00150EDC">
              <w:rPr>
                <w:spacing w:val="-1"/>
                <w:sz w:val="20"/>
              </w:rPr>
              <w:t xml:space="preserve"> </w:t>
            </w:r>
            <w:r w:rsidRPr="00150EDC">
              <w:rPr>
                <w:sz w:val="20"/>
              </w:rPr>
              <w:t>sexual</w:t>
            </w:r>
            <w:r w:rsidRPr="00150EDC">
              <w:rPr>
                <w:spacing w:val="-5"/>
                <w:sz w:val="20"/>
              </w:rPr>
              <w:t xml:space="preserve"> </w:t>
            </w:r>
            <w:r w:rsidRPr="00150EDC">
              <w:rPr>
                <w:sz w:val="20"/>
              </w:rPr>
              <w:t>services</w:t>
            </w:r>
            <w:r w:rsidRPr="00150EDC">
              <w:rPr>
                <w:spacing w:val="-6"/>
                <w:sz w:val="20"/>
              </w:rPr>
              <w:t xml:space="preserve"> </w:t>
            </w:r>
            <w:r w:rsidRPr="00150EDC">
              <w:rPr>
                <w:sz w:val="20"/>
              </w:rPr>
              <w:t>or</w:t>
            </w:r>
            <w:r w:rsidRPr="00150EDC">
              <w:rPr>
                <w:spacing w:val="-6"/>
                <w:sz w:val="20"/>
              </w:rPr>
              <w:t xml:space="preserve"> </w:t>
            </w:r>
            <w:r w:rsidRPr="00150EDC">
              <w:rPr>
                <w:sz w:val="20"/>
              </w:rPr>
              <w:t>involved</w:t>
            </w:r>
            <w:r w:rsidRPr="00150EDC">
              <w:rPr>
                <w:spacing w:val="-2"/>
                <w:sz w:val="20"/>
              </w:rPr>
              <w:t xml:space="preserve"> </w:t>
            </w:r>
            <w:r w:rsidRPr="00150EDC">
              <w:rPr>
                <w:sz w:val="20"/>
              </w:rPr>
              <w:t>in</w:t>
            </w:r>
            <w:r w:rsidRPr="00150EDC">
              <w:rPr>
                <w:spacing w:val="-2"/>
                <w:sz w:val="20"/>
              </w:rPr>
              <w:t xml:space="preserve"> pornography</w:t>
            </w:r>
          </w:p>
        </w:tc>
      </w:tr>
      <w:tr w:rsidR="004569EE" w:rsidRPr="007D3144" w14:paraId="670507C8" w14:textId="77777777">
        <w:trPr>
          <w:trHeight w:val="510"/>
        </w:trPr>
        <w:tc>
          <w:tcPr>
            <w:tcW w:w="6517" w:type="dxa"/>
          </w:tcPr>
          <w:p w14:paraId="5B4902DE" w14:textId="77777777" w:rsidR="004C7180" w:rsidRPr="00150EDC" w:rsidRDefault="00CF0754">
            <w:pPr>
              <w:pStyle w:val="TableParagraph"/>
              <w:spacing w:before="32" w:line="230" w:lineRule="atLeast"/>
              <w:ind w:right="184"/>
              <w:rPr>
                <w:sz w:val="20"/>
              </w:rPr>
            </w:pPr>
            <w:r w:rsidRPr="00150EDC">
              <w:rPr>
                <w:sz w:val="20"/>
              </w:rPr>
              <w:t>Protection</w:t>
            </w:r>
            <w:r w:rsidRPr="00150EDC">
              <w:rPr>
                <w:spacing w:val="-7"/>
                <w:sz w:val="20"/>
              </w:rPr>
              <w:t xml:space="preserve"> </w:t>
            </w:r>
            <w:r w:rsidRPr="00150EDC">
              <w:rPr>
                <w:sz w:val="20"/>
              </w:rPr>
              <w:t>of</w:t>
            </w:r>
            <w:r w:rsidRPr="00150EDC">
              <w:rPr>
                <w:spacing w:val="-7"/>
                <w:sz w:val="20"/>
              </w:rPr>
              <w:t xml:space="preserve"> </w:t>
            </w:r>
            <w:r w:rsidRPr="00150EDC">
              <w:rPr>
                <w:sz w:val="20"/>
              </w:rPr>
              <w:t>Children</w:t>
            </w:r>
            <w:r w:rsidRPr="00150EDC">
              <w:rPr>
                <w:spacing w:val="-7"/>
                <w:sz w:val="20"/>
              </w:rPr>
              <w:t xml:space="preserve"> </w:t>
            </w:r>
            <w:r w:rsidRPr="00150EDC">
              <w:rPr>
                <w:sz w:val="20"/>
              </w:rPr>
              <w:t>and</w:t>
            </w:r>
            <w:r w:rsidRPr="00150EDC">
              <w:rPr>
                <w:spacing w:val="-7"/>
                <w:sz w:val="20"/>
              </w:rPr>
              <w:t xml:space="preserve"> </w:t>
            </w:r>
            <w:r w:rsidRPr="00150EDC">
              <w:rPr>
                <w:sz w:val="20"/>
              </w:rPr>
              <w:t>Prevention</w:t>
            </w:r>
            <w:r w:rsidRPr="00150EDC">
              <w:rPr>
                <w:spacing w:val="-7"/>
                <w:sz w:val="20"/>
              </w:rPr>
              <w:t xml:space="preserve"> </w:t>
            </w:r>
            <w:r w:rsidRPr="00150EDC">
              <w:rPr>
                <w:sz w:val="20"/>
              </w:rPr>
              <w:t>of</w:t>
            </w:r>
            <w:r w:rsidRPr="00150EDC">
              <w:rPr>
                <w:spacing w:val="-7"/>
                <w:sz w:val="20"/>
              </w:rPr>
              <w:t xml:space="preserve"> </w:t>
            </w:r>
            <w:r w:rsidRPr="00150EDC">
              <w:rPr>
                <w:sz w:val="20"/>
              </w:rPr>
              <w:t>Sexual</w:t>
            </w:r>
            <w:r w:rsidRPr="00150EDC">
              <w:rPr>
                <w:spacing w:val="-5"/>
                <w:sz w:val="20"/>
              </w:rPr>
              <w:t xml:space="preserve"> </w:t>
            </w:r>
            <w:r w:rsidRPr="00150EDC">
              <w:rPr>
                <w:sz w:val="20"/>
              </w:rPr>
              <w:t>Offences</w:t>
            </w:r>
            <w:r w:rsidRPr="00150EDC">
              <w:rPr>
                <w:spacing w:val="-2"/>
                <w:sz w:val="20"/>
              </w:rPr>
              <w:t xml:space="preserve"> </w:t>
            </w:r>
            <w:r w:rsidRPr="00150EDC">
              <w:rPr>
                <w:sz w:val="20"/>
              </w:rPr>
              <w:t>(Scotland) Act 2005, s12</w:t>
            </w:r>
          </w:p>
        </w:tc>
        <w:tc>
          <w:tcPr>
            <w:tcW w:w="7427" w:type="dxa"/>
          </w:tcPr>
          <w:p w14:paraId="1AFFF410" w14:textId="77777777" w:rsidR="004C7180" w:rsidRPr="00150EDC" w:rsidRDefault="004C7180">
            <w:pPr>
              <w:pStyle w:val="TableParagraph"/>
              <w:spacing w:before="6" w:line="240" w:lineRule="auto"/>
              <w:ind w:left="0"/>
              <w:rPr>
                <w:sz w:val="24"/>
              </w:rPr>
            </w:pPr>
          </w:p>
          <w:p w14:paraId="6842D57D" w14:textId="77777777" w:rsidR="004C7180" w:rsidRPr="00150EDC" w:rsidRDefault="00CF0754">
            <w:pPr>
              <w:pStyle w:val="TableParagraph"/>
              <w:spacing w:before="0"/>
              <w:rPr>
                <w:sz w:val="20"/>
              </w:rPr>
            </w:pPr>
            <w:r w:rsidRPr="00150EDC">
              <w:rPr>
                <w:sz w:val="20"/>
              </w:rPr>
              <w:t>Arranging</w:t>
            </w:r>
            <w:r w:rsidRPr="00150EDC">
              <w:rPr>
                <w:spacing w:val="-4"/>
                <w:sz w:val="20"/>
              </w:rPr>
              <w:t xml:space="preserve"> </w:t>
            </w:r>
            <w:r w:rsidRPr="00150EDC">
              <w:rPr>
                <w:sz w:val="20"/>
              </w:rPr>
              <w:t>or</w:t>
            </w:r>
            <w:r w:rsidRPr="00150EDC">
              <w:rPr>
                <w:spacing w:val="-6"/>
                <w:sz w:val="20"/>
              </w:rPr>
              <w:t xml:space="preserve"> </w:t>
            </w:r>
            <w:r w:rsidRPr="00150EDC">
              <w:rPr>
                <w:sz w:val="20"/>
              </w:rPr>
              <w:t>facilitating</w:t>
            </w:r>
            <w:r w:rsidRPr="00150EDC">
              <w:rPr>
                <w:spacing w:val="-5"/>
                <w:sz w:val="20"/>
              </w:rPr>
              <w:t xml:space="preserve"> </w:t>
            </w:r>
            <w:r w:rsidRPr="00150EDC">
              <w:rPr>
                <w:sz w:val="20"/>
              </w:rPr>
              <w:t>provision</w:t>
            </w:r>
            <w:r w:rsidRPr="00150EDC">
              <w:rPr>
                <w:spacing w:val="-2"/>
                <w:sz w:val="20"/>
              </w:rPr>
              <w:t xml:space="preserve"> </w:t>
            </w:r>
            <w:r w:rsidRPr="00150EDC">
              <w:rPr>
                <w:sz w:val="20"/>
              </w:rPr>
              <w:t>by</w:t>
            </w:r>
            <w:r w:rsidRPr="00150EDC">
              <w:rPr>
                <w:spacing w:val="-5"/>
                <w:sz w:val="20"/>
              </w:rPr>
              <w:t xml:space="preserve"> </w:t>
            </w:r>
            <w:r w:rsidRPr="00150EDC">
              <w:rPr>
                <w:sz w:val="20"/>
              </w:rPr>
              <w:t>child</w:t>
            </w:r>
            <w:r w:rsidRPr="00150EDC">
              <w:rPr>
                <w:spacing w:val="-6"/>
                <w:sz w:val="20"/>
              </w:rPr>
              <w:t xml:space="preserve"> </w:t>
            </w:r>
            <w:r w:rsidRPr="00150EDC">
              <w:rPr>
                <w:sz w:val="20"/>
              </w:rPr>
              <w:t>of</w:t>
            </w:r>
            <w:r w:rsidRPr="00150EDC">
              <w:rPr>
                <w:spacing w:val="-5"/>
                <w:sz w:val="20"/>
              </w:rPr>
              <w:t xml:space="preserve"> </w:t>
            </w:r>
            <w:r w:rsidRPr="00150EDC">
              <w:rPr>
                <w:sz w:val="20"/>
              </w:rPr>
              <w:t>sexual</w:t>
            </w:r>
            <w:r w:rsidRPr="00150EDC">
              <w:rPr>
                <w:spacing w:val="-4"/>
                <w:sz w:val="20"/>
              </w:rPr>
              <w:t xml:space="preserve"> </w:t>
            </w:r>
            <w:r w:rsidRPr="00150EDC">
              <w:rPr>
                <w:sz w:val="20"/>
              </w:rPr>
              <w:t>services</w:t>
            </w:r>
            <w:r w:rsidRPr="00150EDC">
              <w:rPr>
                <w:spacing w:val="-5"/>
                <w:sz w:val="20"/>
              </w:rPr>
              <w:t xml:space="preserve"> </w:t>
            </w:r>
            <w:r w:rsidRPr="00150EDC">
              <w:rPr>
                <w:sz w:val="20"/>
              </w:rPr>
              <w:t>or</w:t>
            </w:r>
            <w:r w:rsidRPr="00150EDC">
              <w:rPr>
                <w:spacing w:val="-6"/>
                <w:sz w:val="20"/>
              </w:rPr>
              <w:t xml:space="preserve"> </w:t>
            </w:r>
            <w:r w:rsidRPr="00150EDC">
              <w:rPr>
                <w:sz w:val="20"/>
              </w:rPr>
              <w:t>child</w:t>
            </w:r>
            <w:r w:rsidRPr="00150EDC">
              <w:rPr>
                <w:spacing w:val="-1"/>
                <w:sz w:val="20"/>
              </w:rPr>
              <w:t xml:space="preserve"> </w:t>
            </w:r>
            <w:r w:rsidRPr="00150EDC">
              <w:rPr>
                <w:spacing w:val="-2"/>
                <w:sz w:val="20"/>
              </w:rPr>
              <w:t>pornography</w:t>
            </w:r>
          </w:p>
        </w:tc>
      </w:tr>
      <w:tr w:rsidR="004569EE" w:rsidRPr="007D3144" w14:paraId="3179F54B" w14:textId="77777777">
        <w:trPr>
          <w:trHeight w:val="510"/>
        </w:trPr>
        <w:tc>
          <w:tcPr>
            <w:tcW w:w="6517" w:type="dxa"/>
          </w:tcPr>
          <w:p w14:paraId="470868A9" w14:textId="77777777" w:rsidR="004C7180" w:rsidRPr="00150EDC" w:rsidRDefault="00CF0754">
            <w:pPr>
              <w:pStyle w:val="TableParagraph"/>
              <w:spacing w:before="32" w:line="230" w:lineRule="atLeast"/>
              <w:ind w:right="184"/>
              <w:rPr>
                <w:sz w:val="20"/>
              </w:rPr>
            </w:pPr>
            <w:r w:rsidRPr="00150EDC">
              <w:rPr>
                <w:sz w:val="20"/>
              </w:rPr>
              <w:t>Protection</w:t>
            </w:r>
            <w:r w:rsidRPr="00150EDC">
              <w:rPr>
                <w:spacing w:val="-7"/>
                <w:sz w:val="20"/>
              </w:rPr>
              <w:t xml:space="preserve"> </w:t>
            </w:r>
            <w:r w:rsidRPr="00150EDC">
              <w:rPr>
                <w:sz w:val="20"/>
              </w:rPr>
              <w:t>of</w:t>
            </w:r>
            <w:r w:rsidRPr="00150EDC">
              <w:rPr>
                <w:spacing w:val="-7"/>
                <w:sz w:val="20"/>
              </w:rPr>
              <w:t xml:space="preserve"> </w:t>
            </w:r>
            <w:r w:rsidRPr="00150EDC">
              <w:rPr>
                <w:sz w:val="20"/>
              </w:rPr>
              <w:t>Children</w:t>
            </w:r>
            <w:r w:rsidRPr="00150EDC">
              <w:rPr>
                <w:spacing w:val="-7"/>
                <w:sz w:val="20"/>
              </w:rPr>
              <w:t xml:space="preserve"> </w:t>
            </w:r>
            <w:r w:rsidRPr="00150EDC">
              <w:rPr>
                <w:sz w:val="20"/>
              </w:rPr>
              <w:t>and</w:t>
            </w:r>
            <w:r w:rsidRPr="00150EDC">
              <w:rPr>
                <w:spacing w:val="-7"/>
                <w:sz w:val="20"/>
              </w:rPr>
              <w:t xml:space="preserve"> </w:t>
            </w:r>
            <w:r w:rsidRPr="00150EDC">
              <w:rPr>
                <w:sz w:val="20"/>
              </w:rPr>
              <w:t>Prevention</w:t>
            </w:r>
            <w:r w:rsidRPr="00150EDC">
              <w:rPr>
                <w:spacing w:val="-7"/>
                <w:sz w:val="20"/>
              </w:rPr>
              <w:t xml:space="preserve"> </w:t>
            </w:r>
            <w:r w:rsidRPr="00150EDC">
              <w:rPr>
                <w:sz w:val="20"/>
              </w:rPr>
              <w:t>of</w:t>
            </w:r>
            <w:r w:rsidRPr="00150EDC">
              <w:rPr>
                <w:spacing w:val="-7"/>
                <w:sz w:val="20"/>
              </w:rPr>
              <w:t xml:space="preserve"> </w:t>
            </w:r>
            <w:r w:rsidRPr="00150EDC">
              <w:rPr>
                <w:sz w:val="20"/>
              </w:rPr>
              <w:t>Sexual</w:t>
            </w:r>
            <w:r w:rsidRPr="00150EDC">
              <w:rPr>
                <w:spacing w:val="-5"/>
                <w:sz w:val="20"/>
              </w:rPr>
              <w:t xml:space="preserve"> </w:t>
            </w:r>
            <w:r w:rsidRPr="00150EDC">
              <w:rPr>
                <w:sz w:val="20"/>
              </w:rPr>
              <w:t>Offences</w:t>
            </w:r>
            <w:r w:rsidRPr="00150EDC">
              <w:rPr>
                <w:spacing w:val="-1"/>
                <w:sz w:val="20"/>
              </w:rPr>
              <w:t xml:space="preserve"> </w:t>
            </w:r>
            <w:r w:rsidRPr="00150EDC">
              <w:rPr>
                <w:sz w:val="20"/>
              </w:rPr>
              <w:t>(Scotland) Act 2005, s9</w:t>
            </w:r>
          </w:p>
        </w:tc>
        <w:tc>
          <w:tcPr>
            <w:tcW w:w="7427" w:type="dxa"/>
          </w:tcPr>
          <w:p w14:paraId="28A3EF8A" w14:textId="77777777" w:rsidR="004C7180" w:rsidRPr="00150EDC" w:rsidRDefault="004C7180">
            <w:pPr>
              <w:pStyle w:val="TableParagraph"/>
              <w:spacing w:before="7" w:line="240" w:lineRule="auto"/>
              <w:ind w:left="0"/>
              <w:rPr>
                <w:sz w:val="24"/>
              </w:rPr>
            </w:pPr>
          </w:p>
          <w:p w14:paraId="34295A4C" w14:textId="77777777" w:rsidR="004C7180" w:rsidRPr="00150EDC" w:rsidRDefault="00CF0754">
            <w:pPr>
              <w:pStyle w:val="TableParagraph"/>
              <w:spacing w:before="0"/>
              <w:rPr>
                <w:sz w:val="20"/>
              </w:rPr>
            </w:pPr>
            <w:r w:rsidRPr="00150EDC">
              <w:rPr>
                <w:sz w:val="20"/>
              </w:rPr>
              <w:t>Paying</w:t>
            </w:r>
            <w:r w:rsidRPr="00150EDC">
              <w:rPr>
                <w:spacing w:val="-5"/>
                <w:sz w:val="20"/>
              </w:rPr>
              <w:t xml:space="preserve"> </w:t>
            </w:r>
            <w:r w:rsidRPr="00150EDC">
              <w:rPr>
                <w:sz w:val="20"/>
              </w:rPr>
              <w:t>for</w:t>
            </w:r>
            <w:r w:rsidRPr="00150EDC">
              <w:rPr>
                <w:spacing w:val="-5"/>
                <w:sz w:val="20"/>
              </w:rPr>
              <w:t xml:space="preserve"> </w:t>
            </w:r>
            <w:r w:rsidRPr="00150EDC">
              <w:rPr>
                <w:sz w:val="20"/>
              </w:rPr>
              <w:t>sexual</w:t>
            </w:r>
            <w:r w:rsidRPr="00150EDC">
              <w:rPr>
                <w:spacing w:val="-3"/>
                <w:sz w:val="20"/>
              </w:rPr>
              <w:t xml:space="preserve"> </w:t>
            </w:r>
            <w:r w:rsidRPr="00150EDC">
              <w:rPr>
                <w:sz w:val="20"/>
              </w:rPr>
              <w:t>services</w:t>
            </w:r>
            <w:r w:rsidRPr="00150EDC">
              <w:rPr>
                <w:spacing w:val="-4"/>
                <w:sz w:val="20"/>
              </w:rPr>
              <w:t xml:space="preserve"> </w:t>
            </w:r>
            <w:r w:rsidRPr="00150EDC">
              <w:rPr>
                <w:sz w:val="20"/>
              </w:rPr>
              <w:t>of</w:t>
            </w:r>
            <w:r w:rsidRPr="00150EDC">
              <w:rPr>
                <w:spacing w:val="-4"/>
                <w:sz w:val="20"/>
              </w:rPr>
              <w:t xml:space="preserve"> </w:t>
            </w:r>
            <w:r w:rsidRPr="00150EDC">
              <w:rPr>
                <w:sz w:val="20"/>
              </w:rPr>
              <w:t xml:space="preserve">a </w:t>
            </w:r>
            <w:r w:rsidRPr="00150EDC">
              <w:rPr>
                <w:spacing w:val="-4"/>
                <w:sz w:val="20"/>
              </w:rPr>
              <w:t>child</w:t>
            </w:r>
          </w:p>
        </w:tc>
      </w:tr>
      <w:tr w:rsidR="004569EE" w:rsidRPr="007D3144" w14:paraId="0919AF5F" w14:textId="77777777">
        <w:trPr>
          <w:trHeight w:val="510"/>
        </w:trPr>
        <w:tc>
          <w:tcPr>
            <w:tcW w:w="6517" w:type="dxa"/>
          </w:tcPr>
          <w:p w14:paraId="2EC4165D" w14:textId="77777777" w:rsidR="004C7180" w:rsidRPr="00150EDC" w:rsidRDefault="00CF0754">
            <w:pPr>
              <w:pStyle w:val="TableParagraph"/>
              <w:spacing w:before="32" w:line="230" w:lineRule="atLeast"/>
              <w:rPr>
                <w:sz w:val="20"/>
              </w:rPr>
            </w:pPr>
            <w:r w:rsidRPr="00150EDC">
              <w:rPr>
                <w:sz w:val="20"/>
              </w:rPr>
              <w:t>Protection</w:t>
            </w:r>
            <w:r w:rsidRPr="00150EDC">
              <w:rPr>
                <w:spacing w:val="-6"/>
                <w:sz w:val="20"/>
              </w:rPr>
              <w:t xml:space="preserve"> </w:t>
            </w:r>
            <w:r w:rsidRPr="00150EDC">
              <w:rPr>
                <w:sz w:val="20"/>
              </w:rPr>
              <w:t>of</w:t>
            </w:r>
            <w:r w:rsidRPr="00150EDC">
              <w:rPr>
                <w:spacing w:val="-6"/>
                <w:sz w:val="20"/>
              </w:rPr>
              <w:t xml:space="preserve"> </w:t>
            </w:r>
            <w:r w:rsidRPr="00150EDC">
              <w:rPr>
                <w:sz w:val="20"/>
              </w:rPr>
              <w:t>Children</w:t>
            </w:r>
            <w:r w:rsidRPr="00150EDC">
              <w:rPr>
                <w:spacing w:val="-6"/>
                <w:sz w:val="20"/>
              </w:rPr>
              <w:t xml:space="preserve"> </w:t>
            </w:r>
            <w:r w:rsidRPr="00150EDC">
              <w:rPr>
                <w:sz w:val="20"/>
              </w:rPr>
              <w:t>and</w:t>
            </w:r>
            <w:r w:rsidRPr="00150EDC">
              <w:rPr>
                <w:spacing w:val="-6"/>
                <w:sz w:val="20"/>
              </w:rPr>
              <w:t xml:space="preserve"> </w:t>
            </w:r>
            <w:r w:rsidRPr="00150EDC">
              <w:rPr>
                <w:sz w:val="20"/>
              </w:rPr>
              <w:t>Vulnerable</w:t>
            </w:r>
            <w:r w:rsidRPr="00150EDC">
              <w:rPr>
                <w:spacing w:val="-5"/>
                <w:sz w:val="20"/>
              </w:rPr>
              <w:t xml:space="preserve"> </w:t>
            </w:r>
            <w:r w:rsidRPr="00150EDC">
              <w:rPr>
                <w:sz w:val="20"/>
              </w:rPr>
              <w:t>Adults</w:t>
            </w:r>
            <w:r w:rsidRPr="00150EDC">
              <w:rPr>
                <w:spacing w:val="-1"/>
                <w:sz w:val="20"/>
              </w:rPr>
              <w:t xml:space="preserve"> </w:t>
            </w:r>
            <w:r w:rsidRPr="00150EDC">
              <w:rPr>
                <w:sz w:val="20"/>
              </w:rPr>
              <w:t>(Northern</w:t>
            </w:r>
            <w:r w:rsidRPr="00150EDC">
              <w:rPr>
                <w:spacing w:val="-6"/>
                <w:sz w:val="20"/>
              </w:rPr>
              <w:t xml:space="preserve"> </w:t>
            </w:r>
            <w:r w:rsidRPr="00150EDC">
              <w:rPr>
                <w:sz w:val="20"/>
              </w:rPr>
              <w:t>Ireland)</w:t>
            </w:r>
            <w:r w:rsidRPr="00150EDC">
              <w:rPr>
                <w:spacing w:val="-6"/>
                <w:sz w:val="20"/>
              </w:rPr>
              <w:t xml:space="preserve"> </w:t>
            </w:r>
            <w:r w:rsidRPr="00150EDC">
              <w:rPr>
                <w:sz w:val="20"/>
              </w:rPr>
              <w:t>Order 2003, Art 30</w:t>
            </w:r>
          </w:p>
        </w:tc>
        <w:tc>
          <w:tcPr>
            <w:tcW w:w="7427" w:type="dxa"/>
          </w:tcPr>
          <w:p w14:paraId="339AB8A4" w14:textId="77777777" w:rsidR="004C7180" w:rsidRPr="00150EDC" w:rsidRDefault="004C7180">
            <w:pPr>
              <w:pStyle w:val="TableParagraph"/>
              <w:spacing w:before="6" w:line="240" w:lineRule="auto"/>
              <w:ind w:left="0"/>
              <w:rPr>
                <w:sz w:val="24"/>
              </w:rPr>
            </w:pPr>
          </w:p>
          <w:p w14:paraId="51AA30A9" w14:textId="77777777" w:rsidR="004C7180" w:rsidRPr="00150EDC" w:rsidRDefault="00CF0754">
            <w:pPr>
              <w:pStyle w:val="TableParagraph"/>
              <w:spacing w:before="0"/>
              <w:rPr>
                <w:sz w:val="20"/>
              </w:rPr>
            </w:pPr>
            <w:r w:rsidRPr="00150EDC">
              <w:rPr>
                <w:sz w:val="20"/>
              </w:rPr>
              <w:t>Offences</w:t>
            </w:r>
            <w:r w:rsidRPr="00150EDC">
              <w:rPr>
                <w:spacing w:val="-2"/>
                <w:sz w:val="20"/>
              </w:rPr>
              <w:t xml:space="preserve"> </w:t>
            </w:r>
            <w:r w:rsidRPr="00150EDC">
              <w:rPr>
                <w:sz w:val="20"/>
              </w:rPr>
              <w:t>relating</w:t>
            </w:r>
            <w:r w:rsidRPr="00150EDC">
              <w:rPr>
                <w:spacing w:val="-2"/>
                <w:sz w:val="20"/>
              </w:rPr>
              <w:t xml:space="preserve"> </w:t>
            </w:r>
            <w:r w:rsidRPr="00150EDC">
              <w:rPr>
                <w:sz w:val="20"/>
              </w:rPr>
              <w:t>to</w:t>
            </w:r>
            <w:r w:rsidRPr="00150EDC">
              <w:rPr>
                <w:spacing w:val="-7"/>
                <w:sz w:val="20"/>
              </w:rPr>
              <w:t xml:space="preserve"> </w:t>
            </w:r>
            <w:r w:rsidRPr="00150EDC">
              <w:rPr>
                <w:sz w:val="20"/>
              </w:rPr>
              <w:t>working</w:t>
            </w:r>
            <w:r w:rsidRPr="00150EDC">
              <w:rPr>
                <w:spacing w:val="-7"/>
                <w:sz w:val="20"/>
              </w:rPr>
              <w:t xml:space="preserve"> </w:t>
            </w:r>
            <w:r w:rsidRPr="00150EDC">
              <w:rPr>
                <w:sz w:val="20"/>
              </w:rPr>
              <w:t>with</w:t>
            </w:r>
            <w:r w:rsidRPr="00150EDC">
              <w:rPr>
                <w:spacing w:val="-6"/>
                <w:sz w:val="20"/>
              </w:rPr>
              <w:t xml:space="preserve"> </w:t>
            </w:r>
            <w:r w:rsidRPr="00150EDC">
              <w:rPr>
                <w:sz w:val="20"/>
              </w:rPr>
              <w:t>children</w:t>
            </w:r>
            <w:r w:rsidRPr="00150EDC">
              <w:rPr>
                <w:spacing w:val="-7"/>
                <w:sz w:val="20"/>
              </w:rPr>
              <w:t xml:space="preserve"> </w:t>
            </w:r>
            <w:r w:rsidRPr="00150EDC">
              <w:rPr>
                <w:sz w:val="20"/>
              </w:rPr>
              <w:t>whilst</w:t>
            </w:r>
            <w:r w:rsidRPr="00150EDC">
              <w:rPr>
                <w:spacing w:val="-2"/>
                <w:sz w:val="20"/>
              </w:rPr>
              <w:t xml:space="preserve"> disqualified</w:t>
            </w:r>
          </w:p>
        </w:tc>
      </w:tr>
      <w:tr w:rsidR="004569EE" w:rsidRPr="007D3144" w14:paraId="24FDD4EA" w14:textId="77777777">
        <w:trPr>
          <w:trHeight w:val="510"/>
        </w:trPr>
        <w:tc>
          <w:tcPr>
            <w:tcW w:w="6517" w:type="dxa"/>
          </w:tcPr>
          <w:p w14:paraId="3969792C" w14:textId="77777777" w:rsidR="004C7180" w:rsidRPr="00150EDC" w:rsidRDefault="004C7180">
            <w:pPr>
              <w:pStyle w:val="TableParagraph"/>
              <w:spacing w:before="6" w:line="240" w:lineRule="auto"/>
              <w:ind w:left="0"/>
              <w:rPr>
                <w:sz w:val="24"/>
              </w:rPr>
            </w:pPr>
          </w:p>
          <w:p w14:paraId="1E5A6687" w14:textId="77777777" w:rsidR="004C7180" w:rsidRPr="00150EDC" w:rsidRDefault="00CF0754">
            <w:pPr>
              <w:pStyle w:val="TableParagraph"/>
              <w:spacing w:before="0"/>
              <w:rPr>
                <w:sz w:val="20"/>
              </w:rPr>
            </w:pPr>
            <w:r w:rsidRPr="00150EDC">
              <w:rPr>
                <w:sz w:val="20"/>
              </w:rPr>
              <w:t>Protection</w:t>
            </w:r>
            <w:r w:rsidRPr="00150EDC">
              <w:rPr>
                <w:spacing w:val="-6"/>
                <w:sz w:val="20"/>
              </w:rPr>
              <w:t xml:space="preserve"> </w:t>
            </w:r>
            <w:r w:rsidRPr="00150EDC">
              <w:rPr>
                <w:sz w:val="20"/>
              </w:rPr>
              <w:t>of</w:t>
            </w:r>
            <w:r w:rsidRPr="00150EDC">
              <w:rPr>
                <w:spacing w:val="-6"/>
                <w:sz w:val="20"/>
              </w:rPr>
              <w:t xml:space="preserve"> </w:t>
            </w:r>
            <w:r w:rsidRPr="00150EDC">
              <w:rPr>
                <w:sz w:val="20"/>
              </w:rPr>
              <w:t>the</w:t>
            </w:r>
            <w:r w:rsidRPr="00150EDC">
              <w:rPr>
                <w:spacing w:val="-6"/>
                <w:sz w:val="20"/>
              </w:rPr>
              <w:t xml:space="preserve"> </w:t>
            </w:r>
            <w:r w:rsidRPr="00150EDC">
              <w:rPr>
                <w:sz w:val="20"/>
              </w:rPr>
              <w:t>Person</w:t>
            </w:r>
            <w:r w:rsidRPr="00150EDC">
              <w:rPr>
                <w:spacing w:val="-1"/>
                <w:sz w:val="20"/>
              </w:rPr>
              <w:t xml:space="preserve"> </w:t>
            </w:r>
            <w:r w:rsidRPr="00150EDC">
              <w:rPr>
                <w:sz w:val="20"/>
              </w:rPr>
              <w:t>and</w:t>
            </w:r>
            <w:r w:rsidRPr="00150EDC">
              <w:rPr>
                <w:spacing w:val="-4"/>
                <w:sz w:val="20"/>
              </w:rPr>
              <w:t xml:space="preserve"> </w:t>
            </w:r>
            <w:r w:rsidRPr="00150EDC">
              <w:rPr>
                <w:sz w:val="20"/>
              </w:rPr>
              <w:t>Property</w:t>
            </w:r>
            <w:r w:rsidRPr="00150EDC">
              <w:rPr>
                <w:spacing w:val="-5"/>
                <w:sz w:val="20"/>
              </w:rPr>
              <w:t xml:space="preserve"> </w:t>
            </w:r>
            <w:r w:rsidRPr="00150EDC">
              <w:rPr>
                <w:sz w:val="20"/>
              </w:rPr>
              <w:t>Act</w:t>
            </w:r>
            <w:r w:rsidRPr="00150EDC">
              <w:rPr>
                <w:spacing w:val="-2"/>
                <w:sz w:val="20"/>
              </w:rPr>
              <w:t xml:space="preserve"> </w:t>
            </w:r>
            <w:r w:rsidRPr="00150EDC">
              <w:rPr>
                <w:sz w:val="20"/>
              </w:rPr>
              <w:t>(Northern</w:t>
            </w:r>
            <w:r w:rsidRPr="00150EDC">
              <w:rPr>
                <w:spacing w:val="-6"/>
                <w:sz w:val="20"/>
              </w:rPr>
              <w:t xml:space="preserve"> </w:t>
            </w:r>
            <w:r w:rsidRPr="00150EDC">
              <w:rPr>
                <w:sz w:val="20"/>
              </w:rPr>
              <w:t>Ireland)</w:t>
            </w:r>
            <w:r w:rsidRPr="00150EDC">
              <w:rPr>
                <w:spacing w:val="-5"/>
                <w:sz w:val="20"/>
              </w:rPr>
              <w:t xml:space="preserve"> </w:t>
            </w:r>
            <w:r w:rsidRPr="00150EDC">
              <w:rPr>
                <w:sz w:val="20"/>
              </w:rPr>
              <w:t>1969,</w:t>
            </w:r>
            <w:r w:rsidRPr="00150EDC">
              <w:rPr>
                <w:spacing w:val="-6"/>
                <w:sz w:val="20"/>
              </w:rPr>
              <w:t xml:space="preserve"> </w:t>
            </w:r>
            <w:r w:rsidRPr="00150EDC">
              <w:rPr>
                <w:spacing w:val="-5"/>
                <w:sz w:val="20"/>
              </w:rPr>
              <w:t>s3</w:t>
            </w:r>
          </w:p>
        </w:tc>
        <w:tc>
          <w:tcPr>
            <w:tcW w:w="7427" w:type="dxa"/>
          </w:tcPr>
          <w:p w14:paraId="0D1BFED8" w14:textId="77777777" w:rsidR="004C7180" w:rsidRPr="00150EDC" w:rsidRDefault="004C7180">
            <w:pPr>
              <w:pStyle w:val="TableParagraph"/>
              <w:spacing w:before="6" w:line="240" w:lineRule="auto"/>
              <w:ind w:left="0"/>
              <w:rPr>
                <w:sz w:val="24"/>
              </w:rPr>
            </w:pPr>
          </w:p>
          <w:p w14:paraId="060C67FC" w14:textId="77777777" w:rsidR="004C7180" w:rsidRPr="00150EDC" w:rsidRDefault="00CF0754">
            <w:pPr>
              <w:pStyle w:val="TableParagraph"/>
              <w:spacing w:before="0"/>
              <w:rPr>
                <w:sz w:val="20"/>
              </w:rPr>
            </w:pPr>
            <w:r w:rsidRPr="00150EDC">
              <w:rPr>
                <w:sz w:val="20"/>
              </w:rPr>
              <w:t>Use</w:t>
            </w:r>
            <w:r w:rsidRPr="00150EDC">
              <w:rPr>
                <w:spacing w:val="-5"/>
                <w:sz w:val="20"/>
              </w:rPr>
              <w:t xml:space="preserve"> </w:t>
            </w:r>
            <w:r w:rsidRPr="00150EDC">
              <w:rPr>
                <w:sz w:val="20"/>
              </w:rPr>
              <w:t>of</w:t>
            </w:r>
            <w:r w:rsidRPr="00150EDC">
              <w:rPr>
                <w:spacing w:val="-5"/>
                <w:sz w:val="20"/>
              </w:rPr>
              <w:t xml:space="preserve"> </w:t>
            </w:r>
            <w:r w:rsidRPr="00150EDC">
              <w:rPr>
                <w:sz w:val="20"/>
              </w:rPr>
              <w:t>petrol</w:t>
            </w:r>
            <w:r w:rsidRPr="00150EDC">
              <w:rPr>
                <w:spacing w:val="-3"/>
                <w:sz w:val="20"/>
              </w:rPr>
              <w:t xml:space="preserve"> </w:t>
            </w:r>
            <w:r w:rsidRPr="00150EDC">
              <w:rPr>
                <w:sz w:val="20"/>
              </w:rPr>
              <w:t>bombs,</w:t>
            </w:r>
            <w:r w:rsidRPr="00150EDC">
              <w:rPr>
                <w:spacing w:val="-4"/>
                <w:sz w:val="20"/>
              </w:rPr>
              <w:t xml:space="preserve"> </w:t>
            </w:r>
            <w:r w:rsidRPr="00150EDC">
              <w:rPr>
                <w:spacing w:val="-5"/>
                <w:sz w:val="20"/>
              </w:rPr>
              <w:t>etc</w:t>
            </w:r>
          </w:p>
        </w:tc>
      </w:tr>
      <w:tr w:rsidR="004569EE" w:rsidRPr="007D3144" w14:paraId="397E823C" w14:textId="77777777">
        <w:trPr>
          <w:trHeight w:val="255"/>
        </w:trPr>
        <w:tc>
          <w:tcPr>
            <w:tcW w:w="6517" w:type="dxa"/>
          </w:tcPr>
          <w:p w14:paraId="38DDC87C" w14:textId="77777777" w:rsidR="004C7180" w:rsidRPr="00150EDC" w:rsidRDefault="00CF0754">
            <w:pPr>
              <w:pStyle w:val="TableParagraph"/>
              <w:spacing w:before="28"/>
              <w:rPr>
                <w:sz w:val="20"/>
              </w:rPr>
            </w:pPr>
            <w:r w:rsidRPr="00150EDC">
              <w:rPr>
                <w:sz w:val="20"/>
              </w:rPr>
              <w:t>Protection</w:t>
            </w:r>
            <w:r w:rsidRPr="00150EDC">
              <w:rPr>
                <w:spacing w:val="-7"/>
                <w:sz w:val="20"/>
              </w:rPr>
              <w:t xml:space="preserve"> </w:t>
            </w:r>
            <w:r w:rsidRPr="00150EDC">
              <w:rPr>
                <w:sz w:val="20"/>
              </w:rPr>
              <w:t>of</w:t>
            </w:r>
            <w:r w:rsidRPr="00150EDC">
              <w:rPr>
                <w:spacing w:val="-7"/>
                <w:sz w:val="20"/>
              </w:rPr>
              <w:t xml:space="preserve"> </w:t>
            </w:r>
            <w:r w:rsidRPr="00150EDC">
              <w:rPr>
                <w:sz w:val="20"/>
              </w:rPr>
              <w:t>Vulnerable</w:t>
            </w:r>
            <w:r w:rsidRPr="00150EDC">
              <w:rPr>
                <w:spacing w:val="-6"/>
                <w:sz w:val="20"/>
              </w:rPr>
              <w:t xml:space="preserve"> </w:t>
            </w:r>
            <w:r w:rsidRPr="00150EDC">
              <w:rPr>
                <w:sz w:val="20"/>
              </w:rPr>
              <w:t>Groups</w:t>
            </w:r>
            <w:r w:rsidRPr="00150EDC">
              <w:rPr>
                <w:spacing w:val="-1"/>
                <w:sz w:val="20"/>
              </w:rPr>
              <w:t xml:space="preserve"> </w:t>
            </w:r>
            <w:r w:rsidRPr="00150EDC">
              <w:rPr>
                <w:sz w:val="20"/>
              </w:rPr>
              <w:t>(Scotland)</w:t>
            </w:r>
            <w:r w:rsidRPr="00150EDC">
              <w:rPr>
                <w:spacing w:val="-6"/>
                <w:sz w:val="20"/>
              </w:rPr>
              <w:t xml:space="preserve"> </w:t>
            </w:r>
            <w:r w:rsidRPr="00150EDC">
              <w:rPr>
                <w:sz w:val="20"/>
              </w:rPr>
              <w:t>Act</w:t>
            </w:r>
            <w:r w:rsidRPr="00150EDC">
              <w:rPr>
                <w:spacing w:val="-6"/>
                <w:sz w:val="20"/>
              </w:rPr>
              <w:t xml:space="preserve"> </w:t>
            </w:r>
            <w:r w:rsidRPr="00150EDC">
              <w:rPr>
                <w:sz w:val="20"/>
              </w:rPr>
              <w:t>2007,</w:t>
            </w:r>
            <w:r w:rsidRPr="00150EDC">
              <w:rPr>
                <w:spacing w:val="-7"/>
                <w:sz w:val="20"/>
              </w:rPr>
              <w:t xml:space="preserve"> </w:t>
            </w:r>
            <w:r w:rsidRPr="00150EDC">
              <w:rPr>
                <w:spacing w:val="-5"/>
                <w:sz w:val="20"/>
              </w:rPr>
              <w:t>s34</w:t>
            </w:r>
          </w:p>
        </w:tc>
        <w:tc>
          <w:tcPr>
            <w:tcW w:w="7427" w:type="dxa"/>
          </w:tcPr>
          <w:p w14:paraId="2F610EB8" w14:textId="77777777" w:rsidR="004C7180" w:rsidRPr="00150EDC" w:rsidRDefault="00CF0754">
            <w:pPr>
              <w:pStyle w:val="TableParagraph"/>
              <w:spacing w:before="28"/>
              <w:rPr>
                <w:sz w:val="20"/>
              </w:rPr>
            </w:pPr>
            <w:r w:rsidRPr="00150EDC">
              <w:rPr>
                <w:sz w:val="20"/>
              </w:rPr>
              <w:t>Barred</w:t>
            </w:r>
            <w:r w:rsidRPr="00150EDC">
              <w:rPr>
                <w:spacing w:val="-6"/>
                <w:sz w:val="20"/>
              </w:rPr>
              <w:t xml:space="preserve"> </w:t>
            </w:r>
            <w:r w:rsidRPr="00150EDC">
              <w:rPr>
                <w:sz w:val="20"/>
              </w:rPr>
              <w:t>person not</w:t>
            </w:r>
            <w:r w:rsidRPr="00150EDC">
              <w:rPr>
                <w:spacing w:val="-5"/>
                <w:sz w:val="20"/>
              </w:rPr>
              <w:t xml:space="preserve"> </w:t>
            </w:r>
            <w:r w:rsidRPr="00150EDC">
              <w:rPr>
                <w:sz w:val="20"/>
              </w:rPr>
              <w:t>to</w:t>
            </w:r>
            <w:r w:rsidRPr="00150EDC">
              <w:rPr>
                <w:spacing w:val="-5"/>
                <w:sz w:val="20"/>
              </w:rPr>
              <w:t xml:space="preserve"> </w:t>
            </w:r>
            <w:r w:rsidRPr="00150EDC">
              <w:rPr>
                <w:sz w:val="20"/>
              </w:rPr>
              <w:t>engage</w:t>
            </w:r>
            <w:r w:rsidRPr="00150EDC">
              <w:rPr>
                <w:spacing w:val="-5"/>
                <w:sz w:val="20"/>
              </w:rPr>
              <w:t xml:space="preserve"> </w:t>
            </w:r>
            <w:r w:rsidRPr="00150EDC">
              <w:rPr>
                <w:sz w:val="20"/>
              </w:rPr>
              <w:t>in</w:t>
            </w:r>
            <w:r w:rsidRPr="00150EDC">
              <w:rPr>
                <w:spacing w:val="-5"/>
                <w:sz w:val="20"/>
              </w:rPr>
              <w:t xml:space="preserve"> </w:t>
            </w:r>
            <w:r w:rsidRPr="00150EDC">
              <w:rPr>
                <w:sz w:val="20"/>
              </w:rPr>
              <w:t xml:space="preserve">regulated </w:t>
            </w:r>
            <w:r w:rsidRPr="00150EDC">
              <w:rPr>
                <w:spacing w:val="-2"/>
                <w:sz w:val="20"/>
              </w:rPr>
              <w:t>activity</w:t>
            </w:r>
          </w:p>
        </w:tc>
      </w:tr>
      <w:tr w:rsidR="004569EE" w:rsidRPr="007D3144" w14:paraId="22319FCE" w14:textId="77777777">
        <w:trPr>
          <w:trHeight w:val="255"/>
        </w:trPr>
        <w:tc>
          <w:tcPr>
            <w:tcW w:w="6517" w:type="dxa"/>
          </w:tcPr>
          <w:p w14:paraId="45570606" w14:textId="77777777" w:rsidR="004C7180" w:rsidRPr="00150EDC" w:rsidRDefault="00CF0754">
            <w:pPr>
              <w:pStyle w:val="TableParagraph"/>
              <w:rPr>
                <w:sz w:val="20"/>
              </w:rPr>
            </w:pPr>
            <w:r w:rsidRPr="00150EDC">
              <w:rPr>
                <w:sz w:val="20"/>
              </w:rPr>
              <w:t>Protection</w:t>
            </w:r>
            <w:r w:rsidRPr="00150EDC">
              <w:rPr>
                <w:spacing w:val="-7"/>
                <w:sz w:val="20"/>
              </w:rPr>
              <w:t xml:space="preserve"> </w:t>
            </w:r>
            <w:r w:rsidRPr="00150EDC">
              <w:rPr>
                <w:sz w:val="20"/>
              </w:rPr>
              <w:t>of</w:t>
            </w:r>
            <w:r w:rsidRPr="00150EDC">
              <w:rPr>
                <w:spacing w:val="-7"/>
                <w:sz w:val="20"/>
              </w:rPr>
              <w:t xml:space="preserve"> </w:t>
            </w:r>
            <w:r w:rsidRPr="00150EDC">
              <w:rPr>
                <w:sz w:val="20"/>
              </w:rPr>
              <w:t>Vulnerable</w:t>
            </w:r>
            <w:r w:rsidRPr="00150EDC">
              <w:rPr>
                <w:spacing w:val="-6"/>
                <w:sz w:val="20"/>
              </w:rPr>
              <w:t xml:space="preserve"> </w:t>
            </w:r>
            <w:r w:rsidRPr="00150EDC">
              <w:rPr>
                <w:sz w:val="20"/>
              </w:rPr>
              <w:t>Groups</w:t>
            </w:r>
            <w:r w:rsidRPr="00150EDC">
              <w:rPr>
                <w:spacing w:val="-1"/>
                <w:sz w:val="20"/>
              </w:rPr>
              <w:t xml:space="preserve"> </w:t>
            </w:r>
            <w:r w:rsidRPr="00150EDC">
              <w:rPr>
                <w:sz w:val="20"/>
              </w:rPr>
              <w:t>(Scotland)</w:t>
            </w:r>
            <w:r w:rsidRPr="00150EDC">
              <w:rPr>
                <w:spacing w:val="-6"/>
                <w:sz w:val="20"/>
              </w:rPr>
              <w:t xml:space="preserve"> </w:t>
            </w:r>
            <w:r w:rsidRPr="00150EDC">
              <w:rPr>
                <w:sz w:val="20"/>
              </w:rPr>
              <w:t>Act</w:t>
            </w:r>
            <w:r w:rsidRPr="00150EDC">
              <w:rPr>
                <w:spacing w:val="-6"/>
                <w:sz w:val="20"/>
              </w:rPr>
              <w:t xml:space="preserve"> </w:t>
            </w:r>
            <w:r w:rsidRPr="00150EDC">
              <w:rPr>
                <w:sz w:val="20"/>
              </w:rPr>
              <w:t>2007,</w:t>
            </w:r>
            <w:r w:rsidRPr="00150EDC">
              <w:rPr>
                <w:spacing w:val="-7"/>
                <w:sz w:val="20"/>
              </w:rPr>
              <w:t xml:space="preserve"> </w:t>
            </w:r>
            <w:r w:rsidRPr="00150EDC">
              <w:rPr>
                <w:spacing w:val="-5"/>
                <w:sz w:val="20"/>
              </w:rPr>
              <w:t>s35</w:t>
            </w:r>
          </w:p>
        </w:tc>
        <w:tc>
          <w:tcPr>
            <w:tcW w:w="7427" w:type="dxa"/>
          </w:tcPr>
          <w:p w14:paraId="368EDFEF" w14:textId="77777777" w:rsidR="004C7180" w:rsidRPr="00150EDC" w:rsidRDefault="00CF0754">
            <w:pPr>
              <w:pStyle w:val="TableParagraph"/>
              <w:rPr>
                <w:sz w:val="20"/>
              </w:rPr>
            </w:pPr>
            <w:r w:rsidRPr="00150EDC">
              <w:rPr>
                <w:sz w:val="20"/>
              </w:rPr>
              <w:t>Organisations</w:t>
            </w:r>
            <w:r w:rsidRPr="00150EDC">
              <w:rPr>
                <w:spacing w:val="-4"/>
                <w:sz w:val="20"/>
              </w:rPr>
              <w:t xml:space="preserve"> </w:t>
            </w:r>
            <w:r w:rsidRPr="00150EDC">
              <w:rPr>
                <w:sz w:val="20"/>
              </w:rPr>
              <w:t>not</w:t>
            </w:r>
            <w:r w:rsidRPr="00150EDC">
              <w:rPr>
                <w:spacing w:val="-5"/>
                <w:sz w:val="20"/>
              </w:rPr>
              <w:t xml:space="preserve"> </w:t>
            </w:r>
            <w:r w:rsidRPr="00150EDC">
              <w:rPr>
                <w:sz w:val="20"/>
              </w:rPr>
              <w:t>to</w:t>
            </w:r>
            <w:r w:rsidRPr="00150EDC">
              <w:rPr>
                <w:spacing w:val="-5"/>
                <w:sz w:val="20"/>
              </w:rPr>
              <w:t xml:space="preserve"> </w:t>
            </w:r>
            <w:r w:rsidRPr="00150EDC">
              <w:rPr>
                <w:sz w:val="20"/>
              </w:rPr>
              <w:t>use</w:t>
            </w:r>
            <w:r w:rsidRPr="00150EDC">
              <w:rPr>
                <w:spacing w:val="-5"/>
                <w:sz w:val="20"/>
              </w:rPr>
              <w:t xml:space="preserve"> </w:t>
            </w:r>
            <w:r w:rsidRPr="00150EDC">
              <w:rPr>
                <w:sz w:val="20"/>
              </w:rPr>
              <w:t>barred</w:t>
            </w:r>
            <w:r w:rsidRPr="00150EDC">
              <w:rPr>
                <w:spacing w:val="-5"/>
                <w:sz w:val="20"/>
              </w:rPr>
              <w:t xml:space="preserve"> </w:t>
            </w:r>
            <w:r w:rsidRPr="00150EDC">
              <w:rPr>
                <w:sz w:val="20"/>
              </w:rPr>
              <w:t>individuals</w:t>
            </w:r>
            <w:r w:rsidRPr="00150EDC">
              <w:rPr>
                <w:spacing w:val="-3"/>
                <w:sz w:val="20"/>
              </w:rPr>
              <w:t xml:space="preserve"> </w:t>
            </w:r>
            <w:r w:rsidRPr="00150EDC">
              <w:rPr>
                <w:sz w:val="20"/>
              </w:rPr>
              <w:t>for</w:t>
            </w:r>
            <w:r w:rsidRPr="00150EDC">
              <w:rPr>
                <w:spacing w:val="-5"/>
                <w:sz w:val="20"/>
              </w:rPr>
              <w:t xml:space="preserve"> </w:t>
            </w:r>
            <w:r w:rsidRPr="00150EDC">
              <w:rPr>
                <w:sz w:val="20"/>
              </w:rPr>
              <w:t xml:space="preserve">regulated </w:t>
            </w:r>
            <w:r w:rsidRPr="00150EDC">
              <w:rPr>
                <w:spacing w:val="-4"/>
                <w:sz w:val="20"/>
              </w:rPr>
              <w:t>work</w:t>
            </w:r>
          </w:p>
        </w:tc>
      </w:tr>
      <w:tr w:rsidR="004569EE" w:rsidRPr="007D3144" w14:paraId="09CA7A6A" w14:textId="77777777">
        <w:trPr>
          <w:trHeight w:val="255"/>
        </w:trPr>
        <w:tc>
          <w:tcPr>
            <w:tcW w:w="6517" w:type="dxa"/>
          </w:tcPr>
          <w:p w14:paraId="64CC5C5A" w14:textId="77777777" w:rsidR="004C7180" w:rsidRPr="00150EDC" w:rsidRDefault="00CF0754">
            <w:pPr>
              <w:pStyle w:val="TableParagraph"/>
              <w:rPr>
                <w:sz w:val="20"/>
              </w:rPr>
            </w:pPr>
            <w:r w:rsidRPr="00150EDC">
              <w:rPr>
                <w:sz w:val="20"/>
              </w:rPr>
              <w:t>Protection</w:t>
            </w:r>
            <w:r w:rsidRPr="00150EDC">
              <w:rPr>
                <w:spacing w:val="-7"/>
                <w:sz w:val="20"/>
              </w:rPr>
              <w:t xml:space="preserve"> </w:t>
            </w:r>
            <w:r w:rsidRPr="00150EDC">
              <w:rPr>
                <w:sz w:val="20"/>
              </w:rPr>
              <w:t>of</w:t>
            </w:r>
            <w:r w:rsidRPr="00150EDC">
              <w:rPr>
                <w:spacing w:val="-7"/>
                <w:sz w:val="20"/>
              </w:rPr>
              <w:t xml:space="preserve"> </w:t>
            </w:r>
            <w:r w:rsidRPr="00150EDC">
              <w:rPr>
                <w:sz w:val="20"/>
              </w:rPr>
              <w:t>Vulnerable</w:t>
            </w:r>
            <w:r w:rsidRPr="00150EDC">
              <w:rPr>
                <w:spacing w:val="-6"/>
                <w:sz w:val="20"/>
              </w:rPr>
              <w:t xml:space="preserve"> </w:t>
            </w:r>
            <w:r w:rsidRPr="00150EDC">
              <w:rPr>
                <w:sz w:val="20"/>
              </w:rPr>
              <w:t>Groups</w:t>
            </w:r>
            <w:r w:rsidRPr="00150EDC">
              <w:rPr>
                <w:spacing w:val="-1"/>
                <w:sz w:val="20"/>
              </w:rPr>
              <w:t xml:space="preserve"> </w:t>
            </w:r>
            <w:r w:rsidRPr="00150EDC">
              <w:rPr>
                <w:sz w:val="20"/>
              </w:rPr>
              <w:t>(Scotland)</w:t>
            </w:r>
            <w:r w:rsidRPr="00150EDC">
              <w:rPr>
                <w:spacing w:val="-6"/>
                <w:sz w:val="20"/>
              </w:rPr>
              <w:t xml:space="preserve"> </w:t>
            </w:r>
            <w:r w:rsidRPr="00150EDC">
              <w:rPr>
                <w:sz w:val="20"/>
              </w:rPr>
              <w:t>Act</w:t>
            </w:r>
            <w:r w:rsidRPr="00150EDC">
              <w:rPr>
                <w:spacing w:val="-6"/>
                <w:sz w:val="20"/>
              </w:rPr>
              <w:t xml:space="preserve"> </w:t>
            </w:r>
            <w:r w:rsidRPr="00150EDC">
              <w:rPr>
                <w:sz w:val="20"/>
              </w:rPr>
              <w:t>2007,</w:t>
            </w:r>
            <w:r w:rsidRPr="00150EDC">
              <w:rPr>
                <w:spacing w:val="-7"/>
                <w:sz w:val="20"/>
              </w:rPr>
              <w:t xml:space="preserve"> </w:t>
            </w:r>
            <w:r w:rsidRPr="00150EDC">
              <w:rPr>
                <w:spacing w:val="-5"/>
                <w:sz w:val="20"/>
              </w:rPr>
              <w:t>s36</w:t>
            </w:r>
          </w:p>
        </w:tc>
        <w:tc>
          <w:tcPr>
            <w:tcW w:w="7427" w:type="dxa"/>
          </w:tcPr>
          <w:p w14:paraId="0EFFE395" w14:textId="77777777" w:rsidR="004C7180" w:rsidRPr="00150EDC" w:rsidRDefault="00CF0754">
            <w:pPr>
              <w:pStyle w:val="TableParagraph"/>
              <w:rPr>
                <w:sz w:val="20"/>
              </w:rPr>
            </w:pPr>
            <w:r w:rsidRPr="00150EDC">
              <w:rPr>
                <w:sz w:val="20"/>
              </w:rPr>
              <w:t>Personnel</w:t>
            </w:r>
            <w:r w:rsidRPr="00150EDC">
              <w:rPr>
                <w:spacing w:val="-6"/>
                <w:sz w:val="20"/>
              </w:rPr>
              <w:t xml:space="preserve"> </w:t>
            </w:r>
            <w:r w:rsidRPr="00150EDC">
              <w:rPr>
                <w:sz w:val="20"/>
              </w:rPr>
              <w:t>suppliers</w:t>
            </w:r>
            <w:r w:rsidRPr="00150EDC">
              <w:rPr>
                <w:spacing w:val="-1"/>
                <w:sz w:val="20"/>
              </w:rPr>
              <w:t xml:space="preserve"> </w:t>
            </w:r>
            <w:r w:rsidRPr="00150EDC">
              <w:rPr>
                <w:sz w:val="20"/>
              </w:rPr>
              <w:t>not</w:t>
            </w:r>
            <w:r w:rsidRPr="00150EDC">
              <w:rPr>
                <w:spacing w:val="-7"/>
                <w:sz w:val="20"/>
              </w:rPr>
              <w:t xml:space="preserve"> </w:t>
            </w:r>
            <w:r w:rsidRPr="00150EDC">
              <w:rPr>
                <w:sz w:val="20"/>
              </w:rPr>
              <w:t>to</w:t>
            </w:r>
            <w:r w:rsidRPr="00150EDC">
              <w:rPr>
                <w:spacing w:val="-7"/>
                <w:sz w:val="20"/>
              </w:rPr>
              <w:t xml:space="preserve"> </w:t>
            </w:r>
            <w:r w:rsidRPr="00150EDC">
              <w:rPr>
                <w:sz w:val="20"/>
              </w:rPr>
              <w:t>supply</w:t>
            </w:r>
            <w:r w:rsidRPr="00150EDC">
              <w:rPr>
                <w:spacing w:val="-1"/>
                <w:sz w:val="20"/>
              </w:rPr>
              <w:t xml:space="preserve"> </w:t>
            </w:r>
            <w:r w:rsidRPr="00150EDC">
              <w:rPr>
                <w:sz w:val="20"/>
              </w:rPr>
              <w:t>barred</w:t>
            </w:r>
            <w:r w:rsidRPr="00150EDC">
              <w:rPr>
                <w:spacing w:val="-7"/>
                <w:sz w:val="20"/>
              </w:rPr>
              <w:t xml:space="preserve"> </w:t>
            </w:r>
            <w:r w:rsidRPr="00150EDC">
              <w:rPr>
                <w:sz w:val="20"/>
              </w:rPr>
              <w:t>individuals</w:t>
            </w:r>
            <w:r w:rsidRPr="00150EDC">
              <w:rPr>
                <w:spacing w:val="-5"/>
                <w:sz w:val="20"/>
              </w:rPr>
              <w:t xml:space="preserve"> </w:t>
            </w:r>
            <w:r w:rsidRPr="00150EDC">
              <w:rPr>
                <w:sz w:val="20"/>
              </w:rPr>
              <w:t>for</w:t>
            </w:r>
            <w:r w:rsidRPr="00150EDC">
              <w:rPr>
                <w:spacing w:val="-7"/>
                <w:sz w:val="20"/>
              </w:rPr>
              <w:t xml:space="preserve"> </w:t>
            </w:r>
            <w:r w:rsidRPr="00150EDC">
              <w:rPr>
                <w:sz w:val="20"/>
              </w:rPr>
              <w:t>regulated</w:t>
            </w:r>
            <w:r w:rsidRPr="00150EDC">
              <w:rPr>
                <w:spacing w:val="-6"/>
                <w:sz w:val="20"/>
              </w:rPr>
              <w:t xml:space="preserve"> </w:t>
            </w:r>
            <w:r w:rsidRPr="00150EDC">
              <w:rPr>
                <w:spacing w:val="-4"/>
                <w:sz w:val="20"/>
              </w:rPr>
              <w:t>work</w:t>
            </w:r>
          </w:p>
        </w:tc>
      </w:tr>
      <w:tr w:rsidR="004569EE" w:rsidRPr="007D3144" w14:paraId="1F1A4146" w14:textId="77777777">
        <w:trPr>
          <w:trHeight w:val="255"/>
        </w:trPr>
        <w:tc>
          <w:tcPr>
            <w:tcW w:w="6517" w:type="dxa"/>
          </w:tcPr>
          <w:p w14:paraId="37C6D939" w14:textId="77777777" w:rsidR="004C7180" w:rsidRPr="00150EDC" w:rsidRDefault="00CF0754">
            <w:pPr>
              <w:pStyle w:val="TableParagraph"/>
              <w:rPr>
                <w:sz w:val="20"/>
              </w:rPr>
            </w:pPr>
            <w:r w:rsidRPr="00150EDC">
              <w:rPr>
                <w:sz w:val="20"/>
              </w:rPr>
              <w:t>Psychoactive</w:t>
            </w:r>
            <w:r w:rsidRPr="00150EDC">
              <w:rPr>
                <w:spacing w:val="-8"/>
                <w:sz w:val="20"/>
              </w:rPr>
              <w:t xml:space="preserve"> </w:t>
            </w:r>
            <w:r w:rsidRPr="00150EDC">
              <w:rPr>
                <w:sz w:val="20"/>
              </w:rPr>
              <w:t>Substances</w:t>
            </w:r>
            <w:r w:rsidRPr="00150EDC">
              <w:rPr>
                <w:spacing w:val="-7"/>
                <w:sz w:val="20"/>
              </w:rPr>
              <w:t xml:space="preserve"> </w:t>
            </w:r>
            <w:r w:rsidRPr="00150EDC">
              <w:rPr>
                <w:sz w:val="20"/>
              </w:rPr>
              <w:t>Act</w:t>
            </w:r>
            <w:r w:rsidRPr="00150EDC">
              <w:rPr>
                <w:spacing w:val="-6"/>
                <w:sz w:val="20"/>
              </w:rPr>
              <w:t xml:space="preserve"> </w:t>
            </w:r>
            <w:r w:rsidRPr="00150EDC">
              <w:rPr>
                <w:sz w:val="20"/>
              </w:rPr>
              <w:t>2016,</w:t>
            </w:r>
            <w:r w:rsidRPr="00150EDC">
              <w:rPr>
                <w:spacing w:val="-8"/>
                <w:sz w:val="20"/>
              </w:rPr>
              <w:t xml:space="preserve"> </w:t>
            </w:r>
            <w:r w:rsidRPr="00150EDC">
              <w:rPr>
                <w:spacing w:val="-5"/>
                <w:sz w:val="20"/>
              </w:rPr>
              <w:t>s5</w:t>
            </w:r>
          </w:p>
        </w:tc>
        <w:tc>
          <w:tcPr>
            <w:tcW w:w="7427" w:type="dxa"/>
          </w:tcPr>
          <w:p w14:paraId="628839B2" w14:textId="77777777" w:rsidR="004C7180" w:rsidRPr="00150EDC" w:rsidRDefault="00CF0754">
            <w:pPr>
              <w:pStyle w:val="TableParagraph"/>
              <w:rPr>
                <w:sz w:val="20"/>
              </w:rPr>
            </w:pPr>
            <w:r w:rsidRPr="00150EDC">
              <w:rPr>
                <w:sz w:val="20"/>
              </w:rPr>
              <w:t>Supply</w:t>
            </w:r>
            <w:r w:rsidRPr="00150EDC">
              <w:rPr>
                <w:spacing w:val="-3"/>
                <w:sz w:val="20"/>
              </w:rPr>
              <w:t xml:space="preserve"> </w:t>
            </w:r>
            <w:r w:rsidRPr="00150EDC">
              <w:rPr>
                <w:sz w:val="20"/>
              </w:rPr>
              <w:t>of</w:t>
            </w:r>
            <w:r w:rsidRPr="00150EDC">
              <w:rPr>
                <w:spacing w:val="-5"/>
                <w:sz w:val="20"/>
              </w:rPr>
              <w:t xml:space="preserve"> </w:t>
            </w:r>
            <w:r w:rsidRPr="00150EDC">
              <w:rPr>
                <w:sz w:val="20"/>
              </w:rPr>
              <w:t>psychoactive</w:t>
            </w:r>
            <w:r w:rsidRPr="00150EDC">
              <w:rPr>
                <w:spacing w:val="-4"/>
                <w:sz w:val="20"/>
              </w:rPr>
              <w:t xml:space="preserve"> </w:t>
            </w:r>
            <w:r w:rsidRPr="00150EDC">
              <w:rPr>
                <w:sz w:val="20"/>
              </w:rPr>
              <w:t>substance</w:t>
            </w:r>
            <w:r w:rsidRPr="00150EDC">
              <w:rPr>
                <w:spacing w:val="-5"/>
                <w:sz w:val="20"/>
              </w:rPr>
              <w:t xml:space="preserve"> </w:t>
            </w:r>
            <w:r w:rsidRPr="00150EDC">
              <w:rPr>
                <w:sz w:val="20"/>
              </w:rPr>
              <w:t>to</w:t>
            </w:r>
            <w:r w:rsidRPr="00150EDC">
              <w:rPr>
                <w:spacing w:val="-5"/>
                <w:sz w:val="20"/>
              </w:rPr>
              <w:t xml:space="preserve"> </w:t>
            </w:r>
            <w:r w:rsidRPr="00150EDC">
              <w:rPr>
                <w:sz w:val="20"/>
              </w:rPr>
              <w:t>a</w:t>
            </w:r>
            <w:r w:rsidRPr="00150EDC">
              <w:rPr>
                <w:spacing w:val="1"/>
                <w:sz w:val="20"/>
              </w:rPr>
              <w:t xml:space="preserve"> </w:t>
            </w:r>
            <w:r w:rsidRPr="00150EDC">
              <w:rPr>
                <w:sz w:val="20"/>
              </w:rPr>
              <w:t>child</w:t>
            </w:r>
            <w:r w:rsidRPr="00150EDC">
              <w:rPr>
                <w:spacing w:val="-5"/>
                <w:sz w:val="20"/>
              </w:rPr>
              <w:t xml:space="preserve"> </w:t>
            </w:r>
            <w:r w:rsidRPr="00150EDC">
              <w:rPr>
                <w:sz w:val="20"/>
              </w:rPr>
              <w:t>(under</w:t>
            </w:r>
            <w:r w:rsidRPr="00150EDC">
              <w:rPr>
                <w:spacing w:val="-4"/>
                <w:sz w:val="20"/>
              </w:rPr>
              <w:t xml:space="preserve"> </w:t>
            </w:r>
            <w:r w:rsidRPr="00150EDC">
              <w:rPr>
                <w:spacing w:val="-5"/>
                <w:sz w:val="20"/>
              </w:rPr>
              <w:t>16)</w:t>
            </w:r>
          </w:p>
        </w:tc>
      </w:tr>
      <w:tr w:rsidR="004569EE" w:rsidRPr="007D3144" w14:paraId="05744CBD" w14:textId="77777777">
        <w:trPr>
          <w:trHeight w:val="255"/>
        </w:trPr>
        <w:tc>
          <w:tcPr>
            <w:tcW w:w="6517" w:type="dxa"/>
          </w:tcPr>
          <w:p w14:paraId="4D46EB94" w14:textId="77777777" w:rsidR="004C7180" w:rsidRPr="00150EDC" w:rsidRDefault="00CF0754">
            <w:pPr>
              <w:pStyle w:val="TableParagraph"/>
              <w:spacing w:before="28"/>
              <w:rPr>
                <w:sz w:val="20"/>
              </w:rPr>
            </w:pPr>
            <w:r w:rsidRPr="00150EDC">
              <w:rPr>
                <w:sz w:val="20"/>
              </w:rPr>
              <w:t>Public</w:t>
            </w:r>
            <w:r w:rsidRPr="00150EDC">
              <w:rPr>
                <w:spacing w:val="-7"/>
                <w:sz w:val="20"/>
              </w:rPr>
              <w:t xml:space="preserve"> </w:t>
            </w:r>
            <w:r w:rsidRPr="00150EDC">
              <w:rPr>
                <w:sz w:val="20"/>
              </w:rPr>
              <w:t>Order</w:t>
            </w:r>
            <w:r w:rsidRPr="00150EDC">
              <w:rPr>
                <w:spacing w:val="-3"/>
                <w:sz w:val="20"/>
              </w:rPr>
              <w:t xml:space="preserve"> </w:t>
            </w:r>
            <w:r w:rsidRPr="00150EDC">
              <w:rPr>
                <w:sz w:val="20"/>
              </w:rPr>
              <w:t>(Bailiwick</w:t>
            </w:r>
            <w:r w:rsidRPr="00150EDC">
              <w:rPr>
                <w:spacing w:val="-7"/>
                <w:sz w:val="20"/>
              </w:rPr>
              <w:t xml:space="preserve"> </w:t>
            </w:r>
            <w:r w:rsidRPr="00150EDC">
              <w:rPr>
                <w:sz w:val="20"/>
              </w:rPr>
              <w:t>of</w:t>
            </w:r>
            <w:r w:rsidRPr="00150EDC">
              <w:rPr>
                <w:spacing w:val="-7"/>
                <w:sz w:val="20"/>
              </w:rPr>
              <w:t xml:space="preserve"> </w:t>
            </w:r>
            <w:r w:rsidRPr="00150EDC">
              <w:rPr>
                <w:sz w:val="20"/>
              </w:rPr>
              <w:t>Guernsey)</w:t>
            </w:r>
            <w:r w:rsidRPr="00150EDC">
              <w:rPr>
                <w:spacing w:val="-2"/>
                <w:sz w:val="20"/>
              </w:rPr>
              <w:t xml:space="preserve"> </w:t>
            </w:r>
            <w:r w:rsidRPr="00150EDC">
              <w:rPr>
                <w:sz w:val="20"/>
              </w:rPr>
              <w:t>Law</w:t>
            </w:r>
            <w:r w:rsidRPr="00150EDC">
              <w:rPr>
                <w:spacing w:val="-6"/>
                <w:sz w:val="20"/>
              </w:rPr>
              <w:t xml:space="preserve"> </w:t>
            </w:r>
            <w:r w:rsidRPr="00150EDC">
              <w:rPr>
                <w:sz w:val="20"/>
              </w:rPr>
              <w:t>2006,</w:t>
            </w:r>
            <w:r w:rsidRPr="00150EDC">
              <w:rPr>
                <w:spacing w:val="-7"/>
                <w:sz w:val="20"/>
              </w:rPr>
              <w:t xml:space="preserve"> </w:t>
            </w:r>
            <w:r w:rsidRPr="00150EDC">
              <w:rPr>
                <w:spacing w:val="-5"/>
                <w:sz w:val="20"/>
              </w:rPr>
              <w:t>s1</w:t>
            </w:r>
          </w:p>
        </w:tc>
        <w:tc>
          <w:tcPr>
            <w:tcW w:w="7427" w:type="dxa"/>
          </w:tcPr>
          <w:p w14:paraId="34C85BBE" w14:textId="77777777" w:rsidR="004C7180" w:rsidRPr="00150EDC" w:rsidRDefault="00CF0754">
            <w:pPr>
              <w:pStyle w:val="TableParagraph"/>
              <w:spacing w:before="28"/>
              <w:rPr>
                <w:sz w:val="20"/>
              </w:rPr>
            </w:pPr>
            <w:r w:rsidRPr="00150EDC">
              <w:rPr>
                <w:spacing w:val="-4"/>
                <w:sz w:val="20"/>
              </w:rPr>
              <w:t>Riot</w:t>
            </w:r>
          </w:p>
        </w:tc>
      </w:tr>
      <w:tr w:rsidR="004569EE" w:rsidRPr="007D3144" w14:paraId="40FE73BD" w14:textId="77777777">
        <w:trPr>
          <w:trHeight w:val="255"/>
        </w:trPr>
        <w:tc>
          <w:tcPr>
            <w:tcW w:w="6517" w:type="dxa"/>
          </w:tcPr>
          <w:p w14:paraId="59B0916D" w14:textId="77777777" w:rsidR="004C7180" w:rsidRPr="00150EDC" w:rsidRDefault="00CF0754">
            <w:pPr>
              <w:pStyle w:val="TableParagraph"/>
              <w:rPr>
                <w:sz w:val="20"/>
              </w:rPr>
            </w:pPr>
            <w:r w:rsidRPr="00150EDC">
              <w:rPr>
                <w:sz w:val="20"/>
              </w:rPr>
              <w:t>Public</w:t>
            </w:r>
            <w:r w:rsidRPr="00150EDC">
              <w:rPr>
                <w:spacing w:val="-7"/>
                <w:sz w:val="20"/>
              </w:rPr>
              <w:t xml:space="preserve"> </w:t>
            </w:r>
            <w:r w:rsidRPr="00150EDC">
              <w:rPr>
                <w:sz w:val="20"/>
              </w:rPr>
              <w:t>Order</w:t>
            </w:r>
            <w:r w:rsidRPr="00150EDC">
              <w:rPr>
                <w:spacing w:val="-3"/>
                <w:sz w:val="20"/>
              </w:rPr>
              <w:t xml:space="preserve"> </w:t>
            </w:r>
            <w:r w:rsidRPr="00150EDC">
              <w:rPr>
                <w:sz w:val="20"/>
              </w:rPr>
              <w:t>(Bailiwick</w:t>
            </w:r>
            <w:r w:rsidRPr="00150EDC">
              <w:rPr>
                <w:spacing w:val="-7"/>
                <w:sz w:val="20"/>
              </w:rPr>
              <w:t xml:space="preserve"> </w:t>
            </w:r>
            <w:r w:rsidRPr="00150EDC">
              <w:rPr>
                <w:sz w:val="20"/>
              </w:rPr>
              <w:t>of</w:t>
            </w:r>
            <w:r w:rsidRPr="00150EDC">
              <w:rPr>
                <w:spacing w:val="-7"/>
                <w:sz w:val="20"/>
              </w:rPr>
              <w:t xml:space="preserve"> </w:t>
            </w:r>
            <w:r w:rsidRPr="00150EDC">
              <w:rPr>
                <w:sz w:val="20"/>
              </w:rPr>
              <w:t>Guernsey)</w:t>
            </w:r>
            <w:r w:rsidRPr="00150EDC">
              <w:rPr>
                <w:spacing w:val="-2"/>
                <w:sz w:val="20"/>
              </w:rPr>
              <w:t xml:space="preserve"> </w:t>
            </w:r>
            <w:r w:rsidRPr="00150EDC">
              <w:rPr>
                <w:sz w:val="20"/>
              </w:rPr>
              <w:t>Law</w:t>
            </w:r>
            <w:r w:rsidRPr="00150EDC">
              <w:rPr>
                <w:spacing w:val="-6"/>
                <w:sz w:val="20"/>
              </w:rPr>
              <w:t xml:space="preserve"> </w:t>
            </w:r>
            <w:r w:rsidRPr="00150EDC">
              <w:rPr>
                <w:sz w:val="20"/>
              </w:rPr>
              <w:t>2006,</w:t>
            </w:r>
            <w:r w:rsidRPr="00150EDC">
              <w:rPr>
                <w:spacing w:val="-7"/>
                <w:sz w:val="20"/>
              </w:rPr>
              <w:t xml:space="preserve"> </w:t>
            </w:r>
            <w:r w:rsidRPr="00150EDC">
              <w:rPr>
                <w:spacing w:val="-5"/>
                <w:sz w:val="20"/>
              </w:rPr>
              <w:t>s2</w:t>
            </w:r>
          </w:p>
        </w:tc>
        <w:tc>
          <w:tcPr>
            <w:tcW w:w="7427" w:type="dxa"/>
          </w:tcPr>
          <w:p w14:paraId="65C7E739" w14:textId="77777777" w:rsidR="004C7180" w:rsidRPr="00150EDC" w:rsidRDefault="00CF0754">
            <w:pPr>
              <w:pStyle w:val="TableParagraph"/>
              <w:rPr>
                <w:sz w:val="20"/>
              </w:rPr>
            </w:pPr>
            <w:r w:rsidRPr="00150EDC">
              <w:rPr>
                <w:sz w:val="20"/>
              </w:rPr>
              <w:t>Violent</w:t>
            </w:r>
            <w:r w:rsidRPr="00150EDC">
              <w:rPr>
                <w:spacing w:val="-7"/>
                <w:sz w:val="20"/>
              </w:rPr>
              <w:t xml:space="preserve"> </w:t>
            </w:r>
            <w:r w:rsidRPr="00150EDC">
              <w:rPr>
                <w:spacing w:val="-2"/>
                <w:sz w:val="20"/>
              </w:rPr>
              <w:t>disorder</w:t>
            </w:r>
          </w:p>
        </w:tc>
      </w:tr>
      <w:tr w:rsidR="004569EE" w:rsidRPr="007D3144" w14:paraId="22A97B46" w14:textId="77777777">
        <w:trPr>
          <w:trHeight w:val="255"/>
        </w:trPr>
        <w:tc>
          <w:tcPr>
            <w:tcW w:w="6517" w:type="dxa"/>
          </w:tcPr>
          <w:p w14:paraId="7CAAE110" w14:textId="77777777" w:rsidR="004C7180" w:rsidRPr="00150EDC" w:rsidRDefault="00CF0754">
            <w:pPr>
              <w:pStyle w:val="TableParagraph"/>
              <w:rPr>
                <w:sz w:val="20"/>
              </w:rPr>
            </w:pPr>
            <w:r w:rsidRPr="00150EDC">
              <w:rPr>
                <w:sz w:val="20"/>
              </w:rPr>
              <w:t>Public</w:t>
            </w:r>
            <w:r w:rsidRPr="00150EDC">
              <w:rPr>
                <w:spacing w:val="-7"/>
                <w:sz w:val="20"/>
              </w:rPr>
              <w:t xml:space="preserve"> </w:t>
            </w:r>
            <w:r w:rsidRPr="00150EDC">
              <w:rPr>
                <w:sz w:val="20"/>
              </w:rPr>
              <w:t>Order</w:t>
            </w:r>
            <w:r w:rsidRPr="00150EDC">
              <w:rPr>
                <w:spacing w:val="-3"/>
                <w:sz w:val="20"/>
              </w:rPr>
              <w:t xml:space="preserve"> </w:t>
            </w:r>
            <w:r w:rsidRPr="00150EDC">
              <w:rPr>
                <w:sz w:val="20"/>
              </w:rPr>
              <w:t>(Bailiwick</w:t>
            </w:r>
            <w:r w:rsidRPr="00150EDC">
              <w:rPr>
                <w:spacing w:val="-7"/>
                <w:sz w:val="20"/>
              </w:rPr>
              <w:t xml:space="preserve"> </w:t>
            </w:r>
            <w:r w:rsidRPr="00150EDC">
              <w:rPr>
                <w:sz w:val="20"/>
              </w:rPr>
              <w:t>of</w:t>
            </w:r>
            <w:r w:rsidRPr="00150EDC">
              <w:rPr>
                <w:spacing w:val="-7"/>
                <w:sz w:val="20"/>
              </w:rPr>
              <w:t xml:space="preserve"> </w:t>
            </w:r>
            <w:r w:rsidRPr="00150EDC">
              <w:rPr>
                <w:sz w:val="20"/>
              </w:rPr>
              <w:t>Guernsey)</w:t>
            </w:r>
            <w:r w:rsidRPr="00150EDC">
              <w:rPr>
                <w:spacing w:val="-2"/>
                <w:sz w:val="20"/>
              </w:rPr>
              <w:t xml:space="preserve"> </w:t>
            </w:r>
            <w:r w:rsidRPr="00150EDC">
              <w:rPr>
                <w:sz w:val="20"/>
              </w:rPr>
              <w:t>Law</w:t>
            </w:r>
            <w:r w:rsidRPr="00150EDC">
              <w:rPr>
                <w:spacing w:val="-6"/>
                <w:sz w:val="20"/>
              </w:rPr>
              <w:t xml:space="preserve"> </w:t>
            </w:r>
            <w:r w:rsidRPr="00150EDC">
              <w:rPr>
                <w:sz w:val="20"/>
              </w:rPr>
              <w:t>2006,</w:t>
            </w:r>
            <w:r w:rsidRPr="00150EDC">
              <w:rPr>
                <w:spacing w:val="-7"/>
                <w:sz w:val="20"/>
              </w:rPr>
              <w:t xml:space="preserve"> </w:t>
            </w:r>
            <w:r w:rsidRPr="00150EDC">
              <w:rPr>
                <w:spacing w:val="-5"/>
                <w:sz w:val="20"/>
              </w:rPr>
              <w:t>s3</w:t>
            </w:r>
          </w:p>
        </w:tc>
        <w:tc>
          <w:tcPr>
            <w:tcW w:w="7427" w:type="dxa"/>
          </w:tcPr>
          <w:p w14:paraId="428926FC" w14:textId="77777777" w:rsidR="004C7180" w:rsidRPr="00150EDC" w:rsidRDefault="00CF0754">
            <w:pPr>
              <w:pStyle w:val="TableParagraph"/>
              <w:rPr>
                <w:sz w:val="20"/>
              </w:rPr>
            </w:pPr>
            <w:r w:rsidRPr="00150EDC">
              <w:rPr>
                <w:spacing w:val="-2"/>
                <w:sz w:val="20"/>
              </w:rPr>
              <w:t>Affray</w:t>
            </w:r>
          </w:p>
        </w:tc>
      </w:tr>
      <w:tr w:rsidR="004569EE" w:rsidRPr="007D3144" w14:paraId="412D1785" w14:textId="77777777">
        <w:trPr>
          <w:trHeight w:val="255"/>
        </w:trPr>
        <w:tc>
          <w:tcPr>
            <w:tcW w:w="6517" w:type="dxa"/>
          </w:tcPr>
          <w:p w14:paraId="5AEAEB38" w14:textId="77777777" w:rsidR="004C7180" w:rsidRPr="00150EDC" w:rsidRDefault="00CF0754">
            <w:pPr>
              <w:pStyle w:val="TableParagraph"/>
              <w:rPr>
                <w:sz w:val="20"/>
              </w:rPr>
            </w:pPr>
            <w:r w:rsidRPr="00150EDC">
              <w:rPr>
                <w:sz w:val="20"/>
              </w:rPr>
              <w:t>Public</w:t>
            </w:r>
            <w:r w:rsidRPr="00150EDC">
              <w:rPr>
                <w:spacing w:val="-7"/>
                <w:sz w:val="20"/>
              </w:rPr>
              <w:t xml:space="preserve"> </w:t>
            </w:r>
            <w:r w:rsidRPr="00150EDC">
              <w:rPr>
                <w:sz w:val="20"/>
              </w:rPr>
              <w:t>Order</w:t>
            </w:r>
            <w:r w:rsidRPr="00150EDC">
              <w:rPr>
                <w:spacing w:val="-8"/>
                <w:sz w:val="20"/>
              </w:rPr>
              <w:t xml:space="preserve"> </w:t>
            </w:r>
            <w:r w:rsidRPr="00150EDC">
              <w:rPr>
                <w:sz w:val="20"/>
              </w:rPr>
              <w:t>Act</w:t>
            </w:r>
            <w:r w:rsidRPr="00150EDC">
              <w:rPr>
                <w:spacing w:val="-3"/>
                <w:sz w:val="20"/>
              </w:rPr>
              <w:t xml:space="preserve"> </w:t>
            </w:r>
            <w:r w:rsidRPr="00150EDC">
              <w:rPr>
                <w:sz w:val="20"/>
              </w:rPr>
              <w:t>1986,</w:t>
            </w:r>
            <w:r w:rsidRPr="00150EDC">
              <w:rPr>
                <w:spacing w:val="-2"/>
                <w:sz w:val="20"/>
              </w:rPr>
              <w:t xml:space="preserve"> </w:t>
            </w:r>
            <w:r w:rsidRPr="00150EDC">
              <w:rPr>
                <w:spacing w:val="-5"/>
                <w:sz w:val="20"/>
              </w:rPr>
              <w:t>s1</w:t>
            </w:r>
          </w:p>
        </w:tc>
        <w:tc>
          <w:tcPr>
            <w:tcW w:w="7427" w:type="dxa"/>
          </w:tcPr>
          <w:p w14:paraId="014EA56E" w14:textId="77777777" w:rsidR="004C7180" w:rsidRPr="00150EDC" w:rsidRDefault="00CF0754">
            <w:pPr>
              <w:pStyle w:val="TableParagraph"/>
              <w:rPr>
                <w:sz w:val="20"/>
              </w:rPr>
            </w:pPr>
            <w:r w:rsidRPr="00150EDC">
              <w:rPr>
                <w:spacing w:val="-4"/>
                <w:sz w:val="20"/>
              </w:rPr>
              <w:t>Riot</w:t>
            </w:r>
          </w:p>
        </w:tc>
      </w:tr>
      <w:tr w:rsidR="004569EE" w:rsidRPr="007D3144" w14:paraId="52F4E1F2" w14:textId="77777777">
        <w:trPr>
          <w:trHeight w:val="255"/>
        </w:trPr>
        <w:tc>
          <w:tcPr>
            <w:tcW w:w="6517" w:type="dxa"/>
          </w:tcPr>
          <w:p w14:paraId="79EC29BF" w14:textId="77777777" w:rsidR="004C7180" w:rsidRPr="00150EDC" w:rsidRDefault="00CF0754">
            <w:pPr>
              <w:pStyle w:val="TableParagraph"/>
              <w:rPr>
                <w:sz w:val="20"/>
              </w:rPr>
            </w:pPr>
            <w:r w:rsidRPr="00150EDC">
              <w:rPr>
                <w:sz w:val="20"/>
              </w:rPr>
              <w:t>Public</w:t>
            </w:r>
            <w:r w:rsidRPr="00150EDC">
              <w:rPr>
                <w:spacing w:val="-7"/>
                <w:sz w:val="20"/>
              </w:rPr>
              <w:t xml:space="preserve"> </w:t>
            </w:r>
            <w:r w:rsidRPr="00150EDC">
              <w:rPr>
                <w:sz w:val="20"/>
              </w:rPr>
              <w:t>Order</w:t>
            </w:r>
            <w:r w:rsidRPr="00150EDC">
              <w:rPr>
                <w:spacing w:val="-8"/>
                <w:sz w:val="20"/>
              </w:rPr>
              <w:t xml:space="preserve"> </w:t>
            </w:r>
            <w:r w:rsidRPr="00150EDC">
              <w:rPr>
                <w:sz w:val="20"/>
              </w:rPr>
              <w:t>Act</w:t>
            </w:r>
            <w:r w:rsidRPr="00150EDC">
              <w:rPr>
                <w:spacing w:val="-3"/>
                <w:sz w:val="20"/>
              </w:rPr>
              <w:t xml:space="preserve"> </w:t>
            </w:r>
            <w:r w:rsidRPr="00150EDC">
              <w:rPr>
                <w:sz w:val="20"/>
              </w:rPr>
              <w:t>1986,</w:t>
            </w:r>
            <w:r w:rsidRPr="00150EDC">
              <w:rPr>
                <w:spacing w:val="-2"/>
                <w:sz w:val="20"/>
              </w:rPr>
              <w:t xml:space="preserve"> </w:t>
            </w:r>
            <w:r w:rsidRPr="00150EDC">
              <w:rPr>
                <w:spacing w:val="-5"/>
                <w:sz w:val="20"/>
              </w:rPr>
              <w:t>s2</w:t>
            </w:r>
          </w:p>
        </w:tc>
        <w:tc>
          <w:tcPr>
            <w:tcW w:w="7427" w:type="dxa"/>
          </w:tcPr>
          <w:p w14:paraId="740A8749" w14:textId="77777777" w:rsidR="004C7180" w:rsidRPr="00150EDC" w:rsidRDefault="00CF0754">
            <w:pPr>
              <w:pStyle w:val="TableParagraph"/>
              <w:rPr>
                <w:sz w:val="20"/>
              </w:rPr>
            </w:pPr>
            <w:r w:rsidRPr="00150EDC">
              <w:rPr>
                <w:sz w:val="20"/>
              </w:rPr>
              <w:t>Violent</w:t>
            </w:r>
            <w:r w:rsidRPr="00150EDC">
              <w:rPr>
                <w:spacing w:val="-7"/>
                <w:sz w:val="20"/>
              </w:rPr>
              <w:t xml:space="preserve"> </w:t>
            </w:r>
            <w:r w:rsidRPr="00150EDC">
              <w:rPr>
                <w:spacing w:val="-2"/>
                <w:sz w:val="20"/>
              </w:rPr>
              <w:t>disorder</w:t>
            </w:r>
          </w:p>
        </w:tc>
      </w:tr>
      <w:tr w:rsidR="004569EE" w:rsidRPr="007D3144" w14:paraId="7ED45259" w14:textId="77777777">
        <w:trPr>
          <w:trHeight w:val="255"/>
        </w:trPr>
        <w:tc>
          <w:tcPr>
            <w:tcW w:w="6517" w:type="dxa"/>
          </w:tcPr>
          <w:p w14:paraId="178CE672" w14:textId="77777777" w:rsidR="004C7180" w:rsidRPr="00150EDC" w:rsidRDefault="00CF0754">
            <w:pPr>
              <w:pStyle w:val="TableParagraph"/>
              <w:rPr>
                <w:sz w:val="20"/>
              </w:rPr>
            </w:pPr>
            <w:r w:rsidRPr="00150EDC">
              <w:rPr>
                <w:sz w:val="20"/>
              </w:rPr>
              <w:t>Public</w:t>
            </w:r>
            <w:r w:rsidRPr="00150EDC">
              <w:rPr>
                <w:spacing w:val="-7"/>
                <w:sz w:val="20"/>
              </w:rPr>
              <w:t xml:space="preserve"> </w:t>
            </w:r>
            <w:r w:rsidRPr="00150EDC">
              <w:rPr>
                <w:sz w:val="20"/>
              </w:rPr>
              <w:t>Order</w:t>
            </w:r>
            <w:r w:rsidRPr="00150EDC">
              <w:rPr>
                <w:spacing w:val="-8"/>
                <w:sz w:val="20"/>
              </w:rPr>
              <w:t xml:space="preserve"> </w:t>
            </w:r>
            <w:r w:rsidRPr="00150EDC">
              <w:rPr>
                <w:sz w:val="20"/>
              </w:rPr>
              <w:t>Act</w:t>
            </w:r>
            <w:r w:rsidRPr="00150EDC">
              <w:rPr>
                <w:spacing w:val="-3"/>
                <w:sz w:val="20"/>
              </w:rPr>
              <w:t xml:space="preserve"> </w:t>
            </w:r>
            <w:r w:rsidRPr="00150EDC">
              <w:rPr>
                <w:sz w:val="20"/>
              </w:rPr>
              <w:t>1986,</w:t>
            </w:r>
            <w:r w:rsidRPr="00150EDC">
              <w:rPr>
                <w:spacing w:val="-2"/>
                <w:sz w:val="20"/>
              </w:rPr>
              <w:t xml:space="preserve"> </w:t>
            </w:r>
            <w:r w:rsidRPr="00150EDC">
              <w:rPr>
                <w:spacing w:val="-5"/>
                <w:sz w:val="20"/>
              </w:rPr>
              <w:t>s3</w:t>
            </w:r>
          </w:p>
        </w:tc>
        <w:tc>
          <w:tcPr>
            <w:tcW w:w="7427" w:type="dxa"/>
          </w:tcPr>
          <w:p w14:paraId="13715B9D" w14:textId="77777777" w:rsidR="004C7180" w:rsidRPr="00150EDC" w:rsidRDefault="00CF0754">
            <w:pPr>
              <w:pStyle w:val="TableParagraph"/>
              <w:rPr>
                <w:sz w:val="20"/>
              </w:rPr>
            </w:pPr>
            <w:r w:rsidRPr="00150EDC">
              <w:rPr>
                <w:spacing w:val="-2"/>
                <w:sz w:val="20"/>
              </w:rPr>
              <w:t>Affray</w:t>
            </w:r>
          </w:p>
        </w:tc>
      </w:tr>
      <w:tr w:rsidR="004569EE" w:rsidRPr="007D3144" w14:paraId="69E6FB15" w14:textId="77777777">
        <w:trPr>
          <w:trHeight w:val="255"/>
        </w:trPr>
        <w:tc>
          <w:tcPr>
            <w:tcW w:w="6517" w:type="dxa"/>
          </w:tcPr>
          <w:p w14:paraId="32682901" w14:textId="77777777" w:rsidR="004C7180" w:rsidRPr="00150EDC" w:rsidRDefault="00CF0754">
            <w:pPr>
              <w:pStyle w:val="TableParagraph"/>
              <w:rPr>
                <w:sz w:val="20"/>
              </w:rPr>
            </w:pPr>
            <w:r w:rsidRPr="00150EDC">
              <w:rPr>
                <w:sz w:val="20"/>
              </w:rPr>
              <w:t>Public</w:t>
            </w:r>
            <w:r w:rsidRPr="00150EDC">
              <w:rPr>
                <w:spacing w:val="-7"/>
                <w:sz w:val="20"/>
              </w:rPr>
              <w:t xml:space="preserve"> </w:t>
            </w:r>
            <w:r w:rsidRPr="00150EDC">
              <w:rPr>
                <w:sz w:val="20"/>
              </w:rPr>
              <w:t>Order</w:t>
            </w:r>
            <w:r w:rsidRPr="00150EDC">
              <w:rPr>
                <w:spacing w:val="-8"/>
                <w:sz w:val="20"/>
              </w:rPr>
              <w:t xml:space="preserve"> </w:t>
            </w:r>
            <w:r w:rsidRPr="00150EDC">
              <w:rPr>
                <w:sz w:val="20"/>
              </w:rPr>
              <w:t>Act</w:t>
            </w:r>
            <w:r w:rsidRPr="00150EDC">
              <w:rPr>
                <w:spacing w:val="-3"/>
                <w:sz w:val="20"/>
              </w:rPr>
              <w:t xml:space="preserve"> </w:t>
            </w:r>
            <w:r w:rsidRPr="00150EDC">
              <w:rPr>
                <w:sz w:val="20"/>
              </w:rPr>
              <w:t>1998,</w:t>
            </w:r>
            <w:r w:rsidRPr="00150EDC">
              <w:rPr>
                <w:spacing w:val="-2"/>
                <w:sz w:val="20"/>
              </w:rPr>
              <w:t xml:space="preserve"> </w:t>
            </w:r>
            <w:r w:rsidRPr="00150EDC">
              <w:rPr>
                <w:spacing w:val="-5"/>
                <w:sz w:val="20"/>
              </w:rPr>
              <w:t>s1</w:t>
            </w:r>
          </w:p>
        </w:tc>
        <w:tc>
          <w:tcPr>
            <w:tcW w:w="7427" w:type="dxa"/>
          </w:tcPr>
          <w:p w14:paraId="60F9CAD3" w14:textId="77777777" w:rsidR="004C7180" w:rsidRPr="00150EDC" w:rsidRDefault="00CF0754">
            <w:pPr>
              <w:pStyle w:val="TableParagraph"/>
              <w:rPr>
                <w:sz w:val="20"/>
              </w:rPr>
            </w:pPr>
            <w:r w:rsidRPr="00150EDC">
              <w:rPr>
                <w:spacing w:val="-2"/>
                <w:sz w:val="20"/>
              </w:rPr>
              <w:t>Affray</w:t>
            </w:r>
          </w:p>
        </w:tc>
      </w:tr>
      <w:tr w:rsidR="004569EE" w:rsidRPr="007D3144" w14:paraId="5AE83843" w14:textId="77777777">
        <w:trPr>
          <w:trHeight w:val="255"/>
        </w:trPr>
        <w:tc>
          <w:tcPr>
            <w:tcW w:w="6517" w:type="dxa"/>
          </w:tcPr>
          <w:p w14:paraId="5D3B4D30" w14:textId="77777777" w:rsidR="004C7180" w:rsidRPr="00150EDC" w:rsidRDefault="00CF0754">
            <w:pPr>
              <w:pStyle w:val="TableParagraph"/>
              <w:rPr>
                <w:sz w:val="20"/>
              </w:rPr>
            </w:pPr>
            <w:r w:rsidRPr="00150EDC">
              <w:rPr>
                <w:sz w:val="20"/>
              </w:rPr>
              <w:t>Public</w:t>
            </w:r>
            <w:r w:rsidRPr="00150EDC">
              <w:rPr>
                <w:spacing w:val="-7"/>
                <w:sz w:val="20"/>
              </w:rPr>
              <w:t xml:space="preserve"> </w:t>
            </w:r>
            <w:r w:rsidRPr="00150EDC">
              <w:rPr>
                <w:sz w:val="20"/>
              </w:rPr>
              <w:t>Services</w:t>
            </w:r>
            <w:r w:rsidRPr="00150EDC">
              <w:rPr>
                <w:spacing w:val="-6"/>
                <w:sz w:val="20"/>
              </w:rPr>
              <w:t xml:space="preserve"> </w:t>
            </w:r>
            <w:r w:rsidRPr="00150EDC">
              <w:rPr>
                <w:sz w:val="20"/>
              </w:rPr>
              <w:t>Reform</w:t>
            </w:r>
            <w:r w:rsidRPr="00150EDC">
              <w:rPr>
                <w:spacing w:val="-6"/>
                <w:sz w:val="20"/>
              </w:rPr>
              <w:t xml:space="preserve"> </w:t>
            </w:r>
            <w:r w:rsidRPr="00150EDC">
              <w:rPr>
                <w:sz w:val="20"/>
              </w:rPr>
              <w:t>(Scotland)</w:t>
            </w:r>
            <w:r w:rsidRPr="00150EDC">
              <w:rPr>
                <w:spacing w:val="-7"/>
                <w:sz w:val="20"/>
              </w:rPr>
              <w:t xml:space="preserve"> </w:t>
            </w:r>
            <w:r w:rsidRPr="00150EDC">
              <w:rPr>
                <w:sz w:val="20"/>
              </w:rPr>
              <w:t>Act</w:t>
            </w:r>
            <w:r w:rsidRPr="00150EDC">
              <w:rPr>
                <w:spacing w:val="-6"/>
                <w:sz w:val="20"/>
              </w:rPr>
              <w:t xml:space="preserve"> </w:t>
            </w:r>
            <w:r w:rsidRPr="00150EDC">
              <w:rPr>
                <w:sz w:val="20"/>
              </w:rPr>
              <w:t>2010,</w:t>
            </w:r>
            <w:r w:rsidRPr="00150EDC">
              <w:rPr>
                <w:spacing w:val="-7"/>
                <w:sz w:val="20"/>
              </w:rPr>
              <w:t xml:space="preserve"> </w:t>
            </w:r>
            <w:r w:rsidRPr="00150EDC">
              <w:rPr>
                <w:spacing w:val="-5"/>
                <w:sz w:val="20"/>
              </w:rPr>
              <w:t>s78</w:t>
            </w:r>
          </w:p>
        </w:tc>
        <w:tc>
          <w:tcPr>
            <w:tcW w:w="7427" w:type="dxa"/>
          </w:tcPr>
          <w:p w14:paraId="470D0E3E" w14:textId="77777777" w:rsidR="004C7180" w:rsidRPr="00150EDC" w:rsidRDefault="00CF0754">
            <w:pPr>
              <w:pStyle w:val="TableParagraph"/>
              <w:rPr>
                <w:sz w:val="20"/>
              </w:rPr>
            </w:pPr>
            <w:r w:rsidRPr="00150EDC">
              <w:rPr>
                <w:sz w:val="20"/>
              </w:rPr>
              <w:t>Regulations:</w:t>
            </w:r>
            <w:r w:rsidRPr="00150EDC">
              <w:rPr>
                <w:spacing w:val="-9"/>
                <w:sz w:val="20"/>
              </w:rPr>
              <w:t xml:space="preserve"> </w:t>
            </w:r>
            <w:r w:rsidRPr="00150EDC">
              <w:rPr>
                <w:sz w:val="20"/>
              </w:rPr>
              <w:t>care</w:t>
            </w:r>
            <w:r w:rsidRPr="00150EDC">
              <w:rPr>
                <w:spacing w:val="-10"/>
                <w:sz w:val="20"/>
              </w:rPr>
              <w:t xml:space="preserve"> </w:t>
            </w:r>
            <w:r w:rsidRPr="00150EDC">
              <w:rPr>
                <w:spacing w:val="-2"/>
                <w:sz w:val="20"/>
              </w:rPr>
              <w:t>services</w:t>
            </w:r>
          </w:p>
        </w:tc>
      </w:tr>
      <w:tr w:rsidR="004569EE" w:rsidRPr="007D3144" w14:paraId="249D41BE" w14:textId="77777777">
        <w:trPr>
          <w:trHeight w:val="255"/>
        </w:trPr>
        <w:tc>
          <w:tcPr>
            <w:tcW w:w="6517" w:type="dxa"/>
          </w:tcPr>
          <w:p w14:paraId="19C35715" w14:textId="77777777" w:rsidR="004C7180" w:rsidRPr="00150EDC" w:rsidRDefault="00CF0754">
            <w:pPr>
              <w:pStyle w:val="TableParagraph"/>
              <w:rPr>
                <w:sz w:val="20"/>
              </w:rPr>
            </w:pPr>
            <w:r w:rsidRPr="00150EDC">
              <w:rPr>
                <w:sz w:val="20"/>
              </w:rPr>
              <w:t>Public</w:t>
            </w:r>
            <w:r w:rsidRPr="00150EDC">
              <w:rPr>
                <w:spacing w:val="-7"/>
                <w:sz w:val="20"/>
              </w:rPr>
              <w:t xml:space="preserve"> </w:t>
            </w:r>
            <w:r w:rsidRPr="00150EDC">
              <w:rPr>
                <w:sz w:val="20"/>
              </w:rPr>
              <w:t>Services</w:t>
            </w:r>
            <w:r w:rsidRPr="00150EDC">
              <w:rPr>
                <w:spacing w:val="-6"/>
                <w:sz w:val="20"/>
              </w:rPr>
              <w:t xml:space="preserve"> </w:t>
            </w:r>
            <w:r w:rsidRPr="00150EDC">
              <w:rPr>
                <w:sz w:val="20"/>
              </w:rPr>
              <w:t>Reform</w:t>
            </w:r>
            <w:r w:rsidRPr="00150EDC">
              <w:rPr>
                <w:spacing w:val="-6"/>
                <w:sz w:val="20"/>
              </w:rPr>
              <w:t xml:space="preserve"> </w:t>
            </w:r>
            <w:r w:rsidRPr="00150EDC">
              <w:rPr>
                <w:sz w:val="20"/>
              </w:rPr>
              <w:t>(Scotland)</w:t>
            </w:r>
            <w:r w:rsidRPr="00150EDC">
              <w:rPr>
                <w:spacing w:val="-7"/>
                <w:sz w:val="20"/>
              </w:rPr>
              <w:t xml:space="preserve"> </w:t>
            </w:r>
            <w:r w:rsidRPr="00150EDC">
              <w:rPr>
                <w:sz w:val="20"/>
              </w:rPr>
              <w:t>Act</w:t>
            </w:r>
            <w:r w:rsidRPr="00150EDC">
              <w:rPr>
                <w:spacing w:val="-6"/>
                <w:sz w:val="20"/>
              </w:rPr>
              <w:t xml:space="preserve"> </w:t>
            </w:r>
            <w:r w:rsidRPr="00150EDC">
              <w:rPr>
                <w:sz w:val="20"/>
              </w:rPr>
              <w:t>2010,</w:t>
            </w:r>
            <w:r w:rsidRPr="00150EDC">
              <w:rPr>
                <w:spacing w:val="-7"/>
                <w:sz w:val="20"/>
              </w:rPr>
              <w:t xml:space="preserve"> </w:t>
            </w:r>
            <w:r w:rsidRPr="00150EDC">
              <w:rPr>
                <w:spacing w:val="-5"/>
                <w:sz w:val="20"/>
              </w:rPr>
              <w:t>s80</w:t>
            </w:r>
          </w:p>
        </w:tc>
        <w:tc>
          <w:tcPr>
            <w:tcW w:w="7427" w:type="dxa"/>
          </w:tcPr>
          <w:p w14:paraId="75F073F4" w14:textId="77777777" w:rsidR="004C7180" w:rsidRPr="00150EDC" w:rsidRDefault="00CF0754">
            <w:pPr>
              <w:pStyle w:val="TableParagraph"/>
              <w:rPr>
                <w:sz w:val="20"/>
              </w:rPr>
            </w:pPr>
            <w:r w:rsidRPr="00150EDC">
              <w:rPr>
                <w:sz w:val="20"/>
              </w:rPr>
              <w:t>Offences</w:t>
            </w:r>
            <w:r w:rsidRPr="00150EDC">
              <w:rPr>
                <w:spacing w:val="-6"/>
                <w:sz w:val="20"/>
              </w:rPr>
              <w:t xml:space="preserve"> </w:t>
            </w:r>
            <w:r w:rsidRPr="00150EDC">
              <w:rPr>
                <w:sz w:val="20"/>
              </w:rPr>
              <w:t>in</w:t>
            </w:r>
            <w:r w:rsidRPr="00150EDC">
              <w:rPr>
                <w:spacing w:val="-2"/>
                <w:sz w:val="20"/>
              </w:rPr>
              <w:t xml:space="preserve"> </w:t>
            </w:r>
            <w:r w:rsidRPr="00150EDC">
              <w:rPr>
                <w:sz w:val="20"/>
              </w:rPr>
              <w:t>relation</w:t>
            </w:r>
            <w:r w:rsidRPr="00150EDC">
              <w:rPr>
                <w:spacing w:val="-6"/>
                <w:sz w:val="20"/>
              </w:rPr>
              <w:t xml:space="preserve"> </w:t>
            </w:r>
            <w:r w:rsidRPr="00150EDC">
              <w:rPr>
                <w:sz w:val="20"/>
              </w:rPr>
              <w:t>to</w:t>
            </w:r>
            <w:r w:rsidRPr="00150EDC">
              <w:rPr>
                <w:spacing w:val="-1"/>
                <w:sz w:val="20"/>
              </w:rPr>
              <w:t xml:space="preserve"> </w:t>
            </w:r>
            <w:r w:rsidRPr="00150EDC">
              <w:rPr>
                <w:spacing w:val="-2"/>
                <w:sz w:val="20"/>
              </w:rPr>
              <w:t>registration</w:t>
            </w:r>
          </w:p>
        </w:tc>
      </w:tr>
      <w:tr w:rsidR="004569EE" w:rsidRPr="007D3144" w14:paraId="33F84701" w14:textId="77777777">
        <w:trPr>
          <w:trHeight w:val="255"/>
        </w:trPr>
        <w:tc>
          <w:tcPr>
            <w:tcW w:w="6517" w:type="dxa"/>
          </w:tcPr>
          <w:p w14:paraId="3FEFD14B" w14:textId="77777777" w:rsidR="004C7180" w:rsidRPr="00150EDC" w:rsidRDefault="00CF0754">
            <w:pPr>
              <w:pStyle w:val="TableParagraph"/>
              <w:spacing w:before="28"/>
              <w:rPr>
                <w:sz w:val="20"/>
              </w:rPr>
            </w:pPr>
            <w:r w:rsidRPr="00150EDC">
              <w:rPr>
                <w:sz w:val="20"/>
              </w:rPr>
              <w:t>Public</w:t>
            </w:r>
            <w:r w:rsidRPr="00150EDC">
              <w:rPr>
                <w:spacing w:val="-7"/>
                <w:sz w:val="20"/>
              </w:rPr>
              <w:t xml:space="preserve"> </w:t>
            </w:r>
            <w:r w:rsidRPr="00150EDC">
              <w:rPr>
                <w:sz w:val="20"/>
              </w:rPr>
              <w:t>Services</w:t>
            </w:r>
            <w:r w:rsidRPr="00150EDC">
              <w:rPr>
                <w:spacing w:val="-6"/>
                <w:sz w:val="20"/>
              </w:rPr>
              <w:t xml:space="preserve"> </w:t>
            </w:r>
            <w:r w:rsidRPr="00150EDC">
              <w:rPr>
                <w:sz w:val="20"/>
              </w:rPr>
              <w:t>Reform</w:t>
            </w:r>
            <w:r w:rsidRPr="00150EDC">
              <w:rPr>
                <w:spacing w:val="-6"/>
                <w:sz w:val="20"/>
              </w:rPr>
              <w:t xml:space="preserve"> </w:t>
            </w:r>
            <w:r w:rsidRPr="00150EDC">
              <w:rPr>
                <w:sz w:val="20"/>
              </w:rPr>
              <w:t>(Scotland)</w:t>
            </w:r>
            <w:r w:rsidRPr="00150EDC">
              <w:rPr>
                <w:spacing w:val="-7"/>
                <w:sz w:val="20"/>
              </w:rPr>
              <w:t xml:space="preserve"> </w:t>
            </w:r>
            <w:r w:rsidRPr="00150EDC">
              <w:rPr>
                <w:sz w:val="20"/>
              </w:rPr>
              <w:t>Act</w:t>
            </w:r>
            <w:r w:rsidRPr="00150EDC">
              <w:rPr>
                <w:spacing w:val="-6"/>
                <w:sz w:val="20"/>
              </w:rPr>
              <w:t xml:space="preserve"> </w:t>
            </w:r>
            <w:r w:rsidRPr="00150EDC">
              <w:rPr>
                <w:sz w:val="20"/>
              </w:rPr>
              <w:t>2010,</w:t>
            </w:r>
            <w:r w:rsidRPr="00150EDC">
              <w:rPr>
                <w:spacing w:val="-7"/>
                <w:sz w:val="20"/>
              </w:rPr>
              <w:t xml:space="preserve"> </w:t>
            </w:r>
            <w:r w:rsidRPr="00150EDC">
              <w:rPr>
                <w:spacing w:val="-5"/>
                <w:sz w:val="20"/>
              </w:rPr>
              <w:t>s81</w:t>
            </w:r>
          </w:p>
        </w:tc>
        <w:tc>
          <w:tcPr>
            <w:tcW w:w="7427" w:type="dxa"/>
          </w:tcPr>
          <w:p w14:paraId="6E3CF7B8" w14:textId="77777777" w:rsidR="004C7180" w:rsidRPr="00150EDC" w:rsidRDefault="00CF0754">
            <w:pPr>
              <w:pStyle w:val="TableParagraph"/>
              <w:spacing w:before="28"/>
              <w:rPr>
                <w:sz w:val="20"/>
              </w:rPr>
            </w:pPr>
            <w:r w:rsidRPr="00150EDC">
              <w:rPr>
                <w:sz w:val="20"/>
              </w:rPr>
              <w:t>False</w:t>
            </w:r>
            <w:r w:rsidRPr="00150EDC">
              <w:rPr>
                <w:spacing w:val="-5"/>
                <w:sz w:val="20"/>
              </w:rPr>
              <w:t xml:space="preserve"> </w:t>
            </w:r>
            <w:r w:rsidRPr="00150EDC">
              <w:rPr>
                <w:sz w:val="20"/>
              </w:rPr>
              <w:t>statements</w:t>
            </w:r>
            <w:r w:rsidRPr="00150EDC">
              <w:rPr>
                <w:spacing w:val="-5"/>
                <w:sz w:val="20"/>
              </w:rPr>
              <w:t xml:space="preserve"> </w:t>
            </w:r>
            <w:r w:rsidRPr="00150EDC">
              <w:rPr>
                <w:sz w:val="20"/>
              </w:rPr>
              <w:t>in</w:t>
            </w:r>
            <w:r w:rsidRPr="00150EDC">
              <w:rPr>
                <w:spacing w:val="-4"/>
                <w:sz w:val="20"/>
              </w:rPr>
              <w:t xml:space="preserve"> </w:t>
            </w:r>
            <w:r w:rsidRPr="00150EDC">
              <w:rPr>
                <w:spacing w:val="-2"/>
                <w:sz w:val="20"/>
              </w:rPr>
              <w:t>applications</w:t>
            </w:r>
          </w:p>
        </w:tc>
      </w:tr>
      <w:tr w:rsidR="004569EE" w:rsidRPr="007D3144" w14:paraId="732518AA" w14:textId="77777777">
        <w:trPr>
          <w:trHeight w:val="255"/>
        </w:trPr>
        <w:tc>
          <w:tcPr>
            <w:tcW w:w="6517" w:type="dxa"/>
          </w:tcPr>
          <w:p w14:paraId="56C8C043" w14:textId="77777777" w:rsidR="004C7180" w:rsidRPr="00150EDC" w:rsidRDefault="00CF0754">
            <w:pPr>
              <w:pStyle w:val="TableParagraph"/>
              <w:rPr>
                <w:sz w:val="20"/>
              </w:rPr>
            </w:pPr>
            <w:r w:rsidRPr="00150EDC">
              <w:rPr>
                <w:sz w:val="20"/>
              </w:rPr>
              <w:t>Punishment</w:t>
            </w:r>
            <w:r w:rsidRPr="00150EDC">
              <w:rPr>
                <w:spacing w:val="-2"/>
                <w:sz w:val="20"/>
              </w:rPr>
              <w:t xml:space="preserve"> </w:t>
            </w:r>
            <w:r w:rsidRPr="00150EDC">
              <w:rPr>
                <w:sz w:val="20"/>
              </w:rPr>
              <w:t>of</w:t>
            </w:r>
            <w:r w:rsidRPr="00150EDC">
              <w:rPr>
                <w:spacing w:val="-6"/>
                <w:sz w:val="20"/>
              </w:rPr>
              <w:t xml:space="preserve"> </w:t>
            </w:r>
            <w:r w:rsidRPr="00150EDC">
              <w:rPr>
                <w:sz w:val="20"/>
              </w:rPr>
              <w:t>Incest</w:t>
            </w:r>
            <w:r w:rsidRPr="00150EDC">
              <w:rPr>
                <w:spacing w:val="-6"/>
                <w:sz w:val="20"/>
              </w:rPr>
              <w:t xml:space="preserve"> </w:t>
            </w:r>
            <w:r w:rsidRPr="00150EDC">
              <w:rPr>
                <w:sz w:val="20"/>
              </w:rPr>
              <w:t>Act</w:t>
            </w:r>
            <w:r w:rsidRPr="00150EDC">
              <w:rPr>
                <w:spacing w:val="-6"/>
                <w:sz w:val="20"/>
              </w:rPr>
              <w:t xml:space="preserve"> </w:t>
            </w:r>
            <w:r w:rsidRPr="00150EDC">
              <w:rPr>
                <w:sz w:val="20"/>
              </w:rPr>
              <w:t>1908,</w:t>
            </w:r>
            <w:r w:rsidRPr="00150EDC">
              <w:rPr>
                <w:spacing w:val="-6"/>
                <w:sz w:val="20"/>
              </w:rPr>
              <w:t xml:space="preserve"> </w:t>
            </w:r>
            <w:r w:rsidRPr="00150EDC">
              <w:rPr>
                <w:spacing w:val="-5"/>
                <w:sz w:val="20"/>
              </w:rPr>
              <w:t>s1</w:t>
            </w:r>
          </w:p>
        </w:tc>
        <w:tc>
          <w:tcPr>
            <w:tcW w:w="7427" w:type="dxa"/>
          </w:tcPr>
          <w:p w14:paraId="6E84AE71" w14:textId="77777777" w:rsidR="004C7180" w:rsidRPr="00150EDC" w:rsidRDefault="00CF0754">
            <w:pPr>
              <w:pStyle w:val="TableParagraph"/>
              <w:rPr>
                <w:sz w:val="20"/>
              </w:rPr>
            </w:pPr>
            <w:r w:rsidRPr="00150EDC">
              <w:rPr>
                <w:sz w:val="20"/>
              </w:rPr>
              <w:t>Incest</w:t>
            </w:r>
            <w:r w:rsidRPr="00150EDC">
              <w:rPr>
                <w:spacing w:val="-5"/>
                <w:sz w:val="20"/>
              </w:rPr>
              <w:t xml:space="preserve"> </w:t>
            </w:r>
            <w:r w:rsidRPr="00150EDC">
              <w:rPr>
                <w:sz w:val="20"/>
              </w:rPr>
              <w:t xml:space="preserve">by </w:t>
            </w:r>
            <w:r w:rsidRPr="00150EDC">
              <w:rPr>
                <w:spacing w:val="-2"/>
                <w:sz w:val="20"/>
              </w:rPr>
              <w:t>males</w:t>
            </w:r>
          </w:p>
        </w:tc>
      </w:tr>
      <w:tr w:rsidR="004569EE" w:rsidRPr="007D3144" w14:paraId="1FC965A5" w14:textId="77777777">
        <w:trPr>
          <w:trHeight w:val="255"/>
        </w:trPr>
        <w:tc>
          <w:tcPr>
            <w:tcW w:w="6517" w:type="dxa"/>
          </w:tcPr>
          <w:p w14:paraId="71301616" w14:textId="77777777" w:rsidR="004C7180" w:rsidRPr="00150EDC" w:rsidRDefault="00CF0754">
            <w:pPr>
              <w:pStyle w:val="TableParagraph"/>
              <w:rPr>
                <w:sz w:val="20"/>
              </w:rPr>
            </w:pPr>
            <w:r w:rsidRPr="00150EDC">
              <w:rPr>
                <w:sz w:val="20"/>
              </w:rPr>
              <w:t>Punishment</w:t>
            </w:r>
            <w:r w:rsidRPr="00150EDC">
              <w:rPr>
                <w:spacing w:val="-2"/>
                <w:sz w:val="20"/>
              </w:rPr>
              <w:t xml:space="preserve"> </w:t>
            </w:r>
            <w:r w:rsidRPr="00150EDC">
              <w:rPr>
                <w:sz w:val="20"/>
              </w:rPr>
              <w:t>of</w:t>
            </w:r>
            <w:r w:rsidRPr="00150EDC">
              <w:rPr>
                <w:spacing w:val="-6"/>
                <w:sz w:val="20"/>
              </w:rPr>
              <w:t xml:space="preserve"> </w:t>
            </w:r>
            <w:r w:rsidRPr="00150EDC">
              <w:rPr>
                <w:sz w:val="20"/>
              </w:rPr>
              <w:t>Incest</w:t>
            </w:r>
            <w:r w:rsidRPr="00150EDC">
              <w:rPr>
                <w:spacing w:val="-6"/>
                <w:sz w:val="20"/>
              </w:rPr>
              <w:t xml:space="preserve"> </w:t>
            </w:r>
            <w:r w:rsidRPr="00150EDC">
              <w:rPr>
                <w:sz w:val="20"/>
              </w:rPr>
              <w:t>Act</w:t>
            </w:r>
            <w:r w:rsidRPr="00150EDC">
              <w:rPr>
                <w:spacing w:val="-6"/>
                <w:sz w:val="20"/>
              </w:rPr>
              <w:t xml:space="preserve"> </w:t>
            </w:r>
            <w:r w:rsidRPr="00150EDC">
              <w:rPr>
                <w:sz w:val="20"/>
              </w:rPr>
              <w:t>1908,</w:t>
            </w:r>
            <w:r w:rsidRPr="00150EDC">
              <w:rPr>
                <w:spacing w:val="-6"/>
                <w:sz w:val="20"/>
              </w:rPr>
              <w:t xml:space="preserve"> </w:t>
            </w:r>
            <w:r w:rsidRPr="00150EDC">
              <w:rPr>
                <w:spacing w:val="-5"/>
                <w:sz w:val="20"/>
              </w:rPr>
              <w:t>s2</w:t>
            </w:r>
          </w:p>
        </w:tc>
        <w:tc>
          <w:tcPr>
            <w:tcW w:w="7427" w:type="dxa"/>
          </w:tcPr>
          <w:p w14:paraId="5CCC2C39" w14:textId="77777777" w:rsidR="004C7180" w:rsidRPr="00150EDC" w:rsidRDefault="00CF0754">
            <w:pPr>
              <w:pStyle w:val="TableParagraph"/>
              <w:rPr>
                <w:sz w:val="20"/>
              </w:rPr>
            </w:pPr>
            <w:r w:rsidRPr="00150EDC">
              <w:rPr>
                <w:sz w:val="20"/>
              </w:rPr>
              <w:t>Incest</w:t>
            </w:r>
            <w:r w:rsidRPr="00150EDC">
              <w:rPr>
                <w:spacing w:val="-5"/>
                <w:sz w:val="20"/>
              </w:rPr>
              <w:t xml:space="preserve"> </w:t>
            </w:r>
            <w:r w:rsidRPr="00150EDC">
              <w:rPr>
                <w:sz w:val="20"/>
              </w:rPr>
              <w:t>by</w:t>
            </w:r>
            <w:r w:rsidRPr="00150EDC">
              <w:rPr>
                <w:spacing w:val="-5"/>
                <w:sz w:val="20"/>
              </w:rPr>
              <w:t xml:space="preserve"> </w:t>
            </w:r>
            <w:r w:rsidRPr="00150EDC">
              <w:rPr>
                <w:spacing w:val="-2"/>
                <w:sz w:val="20"/>
              </w:rPr>
              <w:t>females</w:t>
            </w:r>
          </w:p>
        </w:tc>
      </w:tr>
      <w:tr w:rsidR="004569EE" w:rsidRPr="007D3144" w14:paraId="4C32CC1F" w14:textId="77777777">
        <w:trPr>
          <w:trHeight w:val="255"/>
        </w:trPr>
        <w:tc>
          <w:tcPr>
            <w:tcW w:w="6517" w:type="dxa"/>
          </w:tcPr>
          <w:p w14:paraId="0C4D23BE" w14:textId="77777777" w:rsidR="004C7180" w:rsidRPr="00150EDC" w:rsidRDefault="00CF0754">
            <w:pPr>
              <w:pStyle w:val="TableParagraph"/>
              <w:rPr>
                <w:sz w:val="20"/>
              </w:rPr>
            </w:pPr>
            <w:r w:rsidRPr="00150EDC">
              <w:rPr>
                <w:sz w:val="20"/>
              </w:rPr>
              <w:t>Registered</w:t>
            </w:r>
            <w:r w:rsidRPr="00150EDC">
              <w:rPr>
                <w:spacing w:val="-5"/>
                <w:sz w:val="20"/>
              </w:rPr>
              <w:t xml:space="preserve"> </w:t>
            </w:r>
            <w:r w:rsidRPr="00150EDC">
              <w:rPr>
                <w:sz w:val="20"/>
              </w:rPr>
              <w:t>Homes</w:t>
            </w:r>
            <w:r w:rsidRPr="00150EDC">
              <w:rPr>
                <w:spacing w:val="-3"/>
                <w:sz w:val="20"/>
              </w:rPr>
              <w:t xml:space="preserve"> </w:t>
            </w:r>
            <w:r w:rsidRPr="00150EDC">
              <w:rPr>
                <w:sz w:val="20"/>
              </w:rPr>
              <w:t>(Northern</w:t>
            </w:r>
            <w:r w:rsidRPr="00150EDC">
              <w:rPr>
                <w:spacing w:val="-4"/>
                <w:sz w:val="20"/>
              </w:rPr>
              <w:t xml:space="preserve"> </w:t>
            </w:r>
            <w:r w:rsidRPr="00150EDC">
              <w:rPr>
                <w:sz w:val="20"/>
              </w:rPr>
              <w:t>Ireland)</w:t>
            </w:r>
            <w:r w:rsidRPr="00150EDC">
              <w:rPr>
                <w:spacing w:val="-7"/>
                <w:sz w:val="20"/>
              </w:rPr>
              <w:t xml:space="preserve"> </w:t>
            </w:r>
            <w:r w:rsidRPr="00150EDC">
              <w:rPr>
                <w:sz w:val="20"/>
              </w:rPr>
              <w:t>Order</w:t>
            </w:r>
            <w:r w:rsidRPr="00150EDC">
              <w:rPr>
                <w:spacing w:val="-4"/>
                <w:sz w:val="20"/>
              </w:rPr>
              <w:t xml:space="preserve"> </w:t>
            </w:r>
            <w:r w:rsidRPr="00150EDC">
              <w:rPr>
                <w:sz w:val="20"/>
              </w:rPr>
              <w:t>1992,</w:t>
            </w:r>
            <w:r w:rsidRPr="00150EDC">
              <w:rPr>
                <w:spacing w:val="-9"/>
                <w:sz w:val="20"/>
              </w:rPr>
              <w:t xml:space="preserve"> </w:t>
            </w:r>
            <w:r w:rsidRPr="00150EDC">
              <w:rPr>
                <w:sz w:val="20"/>
              </w:rPr>
              <w:t>Art</w:t>
            </w:r>
            <w:r w:rsidRPr="00150EDC">
              <w:rPr>
                <w:spacing w:val="-8"/>
                <w:sz w:val="20"/>
              </w:rPr>
              <w:t xml:space="preserve"> </w:t>
            </w:r>
            <w:r w:rsidRPr="00150EDC">
              <w:rPr>
                <w:spacing w:val="-2"/>
                <w:sz w:val="20"/>
              </w:rPr>
              <w:t>17(1)</w:t>
            </w:r>
          </w:p>
        </w:tc>
        <w:tc>
          <w:tcPr>
            <w:tcW w:w="7427" w:type="dxa"/>
          </w:tcPr>
          <w:p w14:paraId="0660D75D" w14:textId="77777777" w:rsidR="004C7180" w:rsidRPr="00150EDC" w:rsidRDefault="00CF0754">
            <w:pPr>
              <w:pStyle w:val="TableParagraph"/>
              <w:rPr>
                <w:sz w:val="20"/>
              </w:rPr>
            </w:pPr>
            <w:r w:rsidRPr="00150EDC">
              <w:rPr>
                <w:sz w:val="20"/>
              </w:rPr>
              <w:t>Carrying</w:t>
            </w:r>
            <w:r w:rsidRPr="00150EDC">
              <w:rPr>
                <w:spacing w:val="-1"/>
                <w:sz w:val="20"/>
              </w:rPr>
              <w:t xml:space="preserve"> </w:t>
            </w:r>
            <w:r w:rsidRPr="00150EDC">
              <w:rPr>
                <w:sz w:val="20"/>
              </w:rPr>
              <w:t>on</w:t>
            </w:r>
            <w:r w:rsidRPr="00150EDC">
              <w:rPr>
                <w:spacing w:val="-4"/>
                <w:sz w:val="20"/>
              </w:rPr>
              <w:t xml:space="preserve"> </w:t>
            </w:r>
            <w:r w:rsidRPr="00150EDC">
              <w:rPr>
                <w:sz w:val="20"/>
              </w:rPr>
              <w:t>a</w:t>
            </w:r>
            <w:r w:rsidRPr="00150EDC">
              <w:rPr>
                <w:spacing w:val="-5"/>
                <w:sz w:val="20"/>
              </w:rPr>
              <w:t xml:space="preserve"> </w:t>
            </w:r>
            <w:r w:rsidRPr="00150EDC">
              <w:rPr>
                <w:sz w:val="20"/>
              </w:rPr>
              <w:t>home</w:t>
            </w:r>
            <w:r w:rsidRPr="00150EDC">
              <w:rPr>
                <w:spacing w:val="-5"/>
                <w:sz w:val="20"/>
              </w:rPr>
              <w:t xml:space="preserve"> </w:t>
            </w:r>
            <w:r w:rsidRPr="00150EDC">
              <w:rPr>
                <w:sz w:val="20"/>
              </w:rPr>
              <w:t>whilst</w:t>
            </w:r>
            <w:r w:rsidRPr="00150EDC">
              <w:rPr>
                <w:spacing w:val="-4"/>
                <w:sz w:val="20"/>
              </w:rPr>
              <w:t xml:space="preserve"> </w:t>
            </w:r>
            <w:r w:rsidRPr="00150EDC">
              <w:rPr>
                <w:sz w:val="20"/>
              </w:rPr>
              <w:t xml:space="preserve">not </w:t>
            </w:r>
            <w:r w:rsidRPr="00150EDC">
              <w:rPr>
                <w:spacing w:val="-2"/>
                <w:sz w:val="20"/>
              </w:rPr>
              <w:t>registered</w:t>
            </w:r>
          </w:p>
        </w:tc>
      </w:tr>
      <w:tr w:rsidR="004569EE" w:rsidRPr="007D3144" w14:paraId="4F2E406B" w14:textId="77777777">
        <w:trPr>
          <w:trHeight w:val="255"/>
        </w:trPr>
        <w:tc>
          <w:tcPr>
            <w:tcW w:w="6517" w:type="dxa"/>
          </w:tcPr>
          <w:p w14:paraId="53CDAA16" w14:textId="77777777" w:rsidR="004C7180" w:rsidRPr="00150EDC" w:rsidRDefault="00CF0754">
            <w:pPr>
              <w:pStyle w:val="TableParagraph"/>
              <w:spacing w:before="28"/>
              <w:rPr>
                <w:sz w:val="20"/>
              </w:rPr>
            </w:pPr>
            <w:r w:rsidRPr="00150EDC">
              <w:rPr>
                <w:sz w:val="20"/>
              </w:rPr>
              <w:t>Registered</w:t>
            </w:r>
            <w:r w:rsidRPr="00150EDC">
              <w:rPr>
                <w:spacing w:val="-6"/>
                <w:sz w:val="20"/>
              </w:rPr>
              <w:t xml:space="preserve"> </w:t>
            </w:r>
            <w:r w:rsidRPr="00150EDC">
              <w:rPr>
                <w:sz w:val="20"/>
              </w:rPr>
              <w:t>Homes</w:t>
            </w:r>
            <w:r w:rsidRPr="00150EDC">
              <w:rPr>
                <w:spacing w:val="-9"/>
                <w:sz w:val="20"/>
              </w:rPr>
              <w:t xml:space="preserve"> </w:t>
            </w:r>
            <w:r w:rsidRPr="00150EDC">
              <w:rPr>
                <w:sz w:val="20"/>
              </w:rPr>
              <w:t>Act</w:t>
            </w:r>
            <w:r w:rsidRPr="00150EDC">
              <w:rPr>
                <w:spacing w:val="-6"/>
                <w:sz w:val="20"/>
              </w:rPr>
              <w:t xml:space="preserve"> </w:t>
            </w:r>
            <w:r w:rsidRPr="00150EDC">
              <w:rPr>
                <w:sz w:val="20"/>
              </w:rPr>
              <w:t>1984,</w:t>
            </w:r>
            <w:r w:rsidRPr="00150EDC">
              <w:rPr>
                <w:spacing w:val="-10"/>
                <w:sz w:val="20"/>
              </w:rPr>
              <w:t xml:space="preserve"> </w:t>
            </w:r>
            <w:r w:rsidRPr="00150EDC">
              <w:rPr>
                <w:spacing w:val="-2"/>
                <w:sz w:val="20"/>
              </w:rPr>
              <w:t>s16(2)</w:t>
            </w:r>
          </w:p>
        </w:tc>
        <w:tc>
          <w:tcPr>
            <w:tcW w:w="7427" w:type="dxa"/>
          </w:tcPr>
          <w:p w14:paraId="1402EC41" w14:textId="77777777" w:rsidR="004C7180" w:rsidRPr="00150EDC" w:rsidRDefault="00CF0754">
            <w:pPr>
              <w:pStyle w:val="TableParagraph"/>
              <w:spacing w:before="28"/>
              <w:rPr>
                <w:sz w:val="20"/>
              </w:rPr>
            </w:pPr>
            <w:r w:rsidRPr="00150EDC">
              <w:rPr>
                <w:sz w:val="20"/>
              </w:rPr>
              <w:t>Contravening</w:t>
            </w:r>
            <w:r w:rsidRPr="00150EDC">
              <w:rPr>
                <w:spacing w:val="-6"/>
                <w:sz w:val="20"/>
              </w:rPr>
              <w:t xml:space="preserve"> </w:t>
            </w:r>
            <w:r w:rsidRPr="00150EDC">
              <w:rPr>
                <w:sz w:val="20"/>
              </w:rPr>
              <w:t>or</w:t>
            </w:r>
            <w:r w:rsidRPr="00150EDC">
              <w:rPr>
                <w:spacing w:val="-5"/>
                <w:sz w:val="20"/>
              </w:rPr>
              <w:t xml:space="preserve"> </w:t>
            </w:r>
            <w:r w:rsidRPr="00150EDC">
              <w:rPr>
                <w:sz w:val="20"/>
              </w:rPr>
              <w:t>failing</w:t>
            </w:r>
            <w:r w:rsidRPr="00150EDC">
              <w:rPr>
                <w:spacing w:val="-5"/>
                <w:sz w:val="20"/>
              </w:rPr>
              <w:t xml:space="preserve"> </w:t>
            </w:r>
            <w:r w:rsidRPr="00150EDC">
              <w:rPr>
                <w:sz w:val="20"/>
              </w:rPr>
              <w:t>to</w:t>
            </w:r>
            <w:r w:rsidRPr="00150EDC">
              <w:rPr>
                <w:spacing w:val="-5"/>
                <w:sz w:val="20"/>
              </w:rPr>
              <w:t xml:space="preserve"> </w:t>
            </w:r>
            <w:r w:rsidRPr="00150EDC">
              <w:rPr>
                <w:sz w:val="20"/>
              </w:rPr>
              <w:t>comply</w:t>
            </w:r>
            <w:r w:rsidRPr="00150EDC">
              <w:rPr>
                <w:spacing w:val="-3"/>
                <w:sz w:val="20"/>
              </w:rPr>
              <w:t xml:space="preserve"> </w:t>
            </w:r>
            <w:r w:rsidRPr="00150EDC">
              <w:rPr>
                <w:sz w:val="20"/>
              </w:rPr>
              <w:t>with</w:t>
            </w:r>
            <w:r w:rsidRPr="00150EDC">
              <w:rPr>
                <w:spacing w:val="-5"/>
                <w:sz w:val="20"/>
              </w:rPr>
              <w:t xml:space="preserve"> </w:t>
            </w:r>
            <w:r w:rsidRPr="00150EDC">
              <w:rPr>
                <w:spacing w:val="-2"/>
                <w:sz w:val="20"/>
              </w:rPr>
              <w:t>regulations</w:t>
            </w:r>
          </w:p>
        </w:tc>
      </w:tr>
      <w:tr w:rsidR="004569EE" w:rsidRPr="007D3144" w14:paraId="062BE95E" w14:textId="77777777">
        <w:trPr>
          <w:trHeight w:val="255"/>
        </w:trPr>
        <w:tc>
          <w:tcPr>
            <w:tcW w:w="6517" w:type="dxa"/>
          </w:tcPr>
          <w:p w14:paraId="3C6A3BA9" w14:textId="77777777" w:rsidR="004C7180" w:rsidRPr="00150EDC" w:rsidRDefault="00CF0754">
            <w:pPr>
              <w:pStyle w:val="TableParagraph"/>
              <w:rPr>
                <w:sz w:val="20"/>
              </w:rPr>
            </w:pPr>
            <w:r w:rsidRPr="00150EDC">
              <w:rPr>
                <w:sz w:val="20"/>
              </w:rPr>
              <w:t>Registered</w:t>
            </w:r>
            <w:r w:rsidRPr="00150EDC">
              <w:rPr>
                <w:spacing w:val="-6"/>
                <w:sz w:val="20"/>
              </w:rPr>
              <w:t xml:space="preserve"> </w:t>
            </w:r>
            <w:r w:rsidRPr="00150EDC">
              <w:rPr>
                <w:sz w:val="20"/>
              </w:rPr>
              <w:t>Homes</w:t>
            </w:r>
            <w:r w:rsidRPr="00150EDC">
              <w:rPr>
                <w:spacing w:val="-9"/>
                <w:sz w:val="20"/>
              </w:rPr>
              <w:t xml:space="preserve"> </w:t>
            </w:r>
            <w:r w:rsidRPr="00150EDC">
              <w:rPr>
                <w:sz w:val="20"/>
              </w:rPr>
              <w:t>Act</w:t>
            </w:r>
            <w:r w:rsidRPr="00150EDC">
              <w:rPr>
                <w:spacing w:val="-6"/>
                <w:sz w:val="20"/>
              </w:rPr>
              <w:t xml:space="preserve"> </w:t>
            </w:r>
            <w:r w:rsidRPr="00150EDC">
              <w:rPr>
                <w:sz w:val="20"/>
              </w:rPr>
              <w:t>1984,</w:t>
            </w:r>
            <w:r w:rsidRPr="00150EDC">
              <w:rPr>
                <w:spacing w:val="-10"/>
                <w:sz w:val="20"/>
              </w:rPr>
              <w:t xml:space="preserve"> </w:t>
            </w:r>
            <w:r w:rsidRPr="00150EDC">
              <w:rPr>
                <w:spacing w:val="-2"/>
                <w:sz w:val="20"/>
              </w:rPr>
              <w:t>s17(6)</w:t>
            </w:r>
          </w:p>
        </w:tc>
        <w:tc>
          <w:tcPr>
            <w:tcW w:w="7427" w:type="dxa"/>
          </w:tcPr>
          <w:p w14:paraId="527FA6B9" w14:textId="77777777" w:rsidR="004C7180" w:rsidRPr="00150EDC" w:rsidRDefault="00CF0754">
            <w:pPr>
              <w:pStyle w:val="TableParagraph"/>
              <w:rPr>
                <w:sz w:val="20"/>
              </w:rPr>
            </w:pPr>
            <w:r w:rsidRPr="00150EDC">
              <w:rPr>
                <w:spacing w:val="-2"/>
                <w:sz w:val="20"/>
              </w:rPr>
              <w:t>Obstruction</w:t>
            </w:r>
          </w:p>
        </w:tc>
      </w:tr>
      <w:tr w:rsidR="004569EE" w:rsidRPr="007D3144" w14:paraId="37D4C758" w14:textId="77777777">
        <w:trPr>
          <w:trHeight w:val="255"/>
        </w:trPr>
        <w:tc>
          <w:tcPr>
            <w:tcW w:w="6517" w:type="dxa"/>
          </w:tcPr>
          <w:p w14:paraId="5DA46CAD" w14:textId="77777777" w:rsidR="004C7180" w:rsidRPr="00150EDC" w:rsidRDefault="00CF0754">
            <w:pPr>
              <w:pStyle w:val="TableParagraph"/>
              <w:rPr>
                <w:sz w:val="20"/>
              </w:rPr>
            </w:pPr>
            <w:r w:rsidRPr="00150EDC">
              <w:rPr>
                <w:sz w:val="20"/>
              </w:rPr>
              <w:t>Registered</w:t>
            </w:r>
            <w:r w:rsidRPr="00150EDC">
              <w:rPr>
                <w:spacing w:val="-6"/>
                <w:sz w:val="20"/>
              </w:rPr>
              <w:t xml:space="preserve"> </w:t>
            </w:r>
            <w:r w:rsidRPr="00150EDC">
              <w:rPr>
                <w:sz w:val="20"/>
              </w:rPr>
              <w:t>Homes</w:t>
            </w:r>
            <w:r w:rsidRPr="00150EDC">
              <w:rPr>
                <w:spacing w:val="-9"/>
                <w:sz w:val="20"/>
              </w:rPr>
              <w:t xml:space="preserve"> </w:t>
            </w:r>
            <w:r w:rsidRPr="00150EDC">
              <w:rPr>
                <w:sz w:val="20"/>
              </w:rPr>
              <w:t>Act</w:t>
            </w:r>
            <w:r w:rsidRPr="00150EDC">
              <w:rPr>
                <w:spacing w:val="-6"/>
                <w:sz w:val="20"/>
              </w:rPr>
              <w:t xml:space="preserve"> </w:t>
            </w:r>
            <w:r w:rsidRPr="00150EDC">
              <w:rPr>
                <w:sz w:val="20"/>
              </w:rPr>
              <w:t>1984,</w:t>
            </w:r>
            <w:r w:rsidRPr="00150EDC">
              <w:rPr>
                <w:spacing w:val="-10"/>
                <w:sz w:val="20"/>
              </w:rPr>
              <w:t xml:space="preserve"> </w:t>
            </w:r>
            <w:r w:rsidRPr="00150EDC">
              <w:rPr>
                <w:spacing w:val="-5"/>
                <w:sz w:val="20"/>
              </w:rPr>
              <w:t>s2</w:t>
            </w:r>
          </w:p>
        </w:tc>
        <w:tc>
          <w:tcPr>
            <w:tcW w:w="7427" w:type="dxa"/>
          </w:tcPr>
          <w:p w14:paraId="07EA052A" w14:textId="77777777" w:rsidR="004C7180" w:rsidRPr="00150EDC" w:rsidRDefault="00CF0754">
            <w:pPr>
              <w:pStyle w:val="TableParagraph"/>
              <w:rPr>
                <w:sz w:val="20"/>
              </w:rPr>
            </w:pPr>
            <w:r w:rsidRPr="00150EDC">
              <w:rPr>
                <w:sz w:val="20"/>
              </w:rPr>
              <w:t>Carrying</w:t>
            </w:r>
            <w:r w:rsidRPr="00150EDC">
              <w:rPr>
                <w:spacing w:val="-2"/>
                <w:sz w:val="20"/>
              </w:rPr>
              <w:t xml:space="preserve"> </w:t>
            </w:r>
            <w:r w:rsidRPr="00150EDC">
              <w:rPr>
                <w:sz w:val="20"/>
              </w:rPr>
              <w:t>on</w:t>
            </w:r>
            <w:r w:rsidRPr="00150EDC">
              <w:rPr>
                <w:spacing w:val="-7"/>
                <w:sz w:val="20"/>
              </w:rPr>
              <w:t xml:space="preserve"> </w:t>
            </w:r>
            <w:r w:rsidRPr="00150EDC">
              <w:rPr>
                <w:sz w:val="20"/>
              </w:rPr>
              <w:t>a</w:t>
            </w:r>
            <w:r w:rsidRPr="00150EDC">
              <w:rPr>
                <w:spacing w:val="-2"/>
                <w:sz w:val="20"/>
              </w:rPr>
              <w:t xml:space="preserve"> </w:t>
            </w:r>
            <w:r w:rsidRPr="00150EDC">
              <w:rPr>
                <w:sz w:val="20"/>
              </w:rPr>
              <w:t>residential</w:t>
            </w:r>
            <w:r w:rsidRPr="00150EDC">
              <w:rPr>
                <w:spacing w:val="-4"/>
                <w:sz w:val="20"/>
              </w:rPr>
              <w:t xml:space="preserve"> </w:t>
            </w:r>
            <w:r w:rsidRPr="00150EDC">
              <w:rPr>
                <w:sz w:val="20"/>
              </w:rPr>
              <w:t>care</w:t>
            </w:r>
            <w:r w:rsidRPr="00150EDC">
              <w:rPr>
                <w:spacing w:val="-2"/>
                <w:sz w:val="20"/>
              </w:rPr>
              <w:t xml:space="preserve"> </w:t>
            </w:r>
            <w:r w:rsidRPr="00150EDC">
              <w:rPr>
                <w:sz w:val="20"/>
              </w:rPr>
              <w:t>home</w:t>
            </w:r>
            <w:r w:rsidRPr="00150EDC">
              <w:rPr>
                <w:spacing w:val="-7"/>
                <w:sz w:val="20"/>
              </w:rPr>
              <w:t xml:space="preserve"> </w:t>
            </w:r>
            <w:r w:rsidRPr="00150EDC">
              <w:rPr>
                <w:sz w:val="20"/>
              </w:rPr>
              <w:t>without</w:t>
            </w:r>
            <w:r w:rsidRPr="00150EDC">
              <w:rPr>
                <w:spacing w:val="-6"/>
                <w:sz w:val="20"/>
              </w:rPr>
              <w:t xml:space="preserve"> </w:t>
            </w:r>
            <w:r w:rsidRPr="00150EDC">
              <w:rPr>
                <w:sz w:val="20"/>
              </w:rPr>
              <w:t>being</w:t>
            </w:r>
            <w:r w:rsidRPr="00150EDC">
              <w:rPr>
                <w:spacing w:val="-2"/>
                <w:sz w:val="20"/>
              </w:rPr>
              <w:t xml:space="preserve"> registered</w:t>
            </w:r>
          </w:p>
        </w:tc>
      </w:tr>
      <w:tr w:rsidR="004569EE" w:rsidRPr="007D3144" w14:paraId="463113A3" w14:textId="77777777">
        <w:trPr>
          <w:trHeight w:val="255"/>
        </w:trPr>
        <w:tc>
          <w:tcPr>
            <w:tcW w:w="6517" w:type="dxa"/>
          </w:tcPr>
          <w:p w14:paraId="78F03F73" w14:textId="77777777" w:rsidR="004C7180" w:rsidRPr="00150EDC" w:rsidRDefault="00CF0754">
            <w:pPr>
              <w:pStyle w:val="TableParagraph"/>
              <w:rPr>
                <w:sz w:val="20"/>
              </w:rPr>
            </w:pPr>
            <w:r w:rsidRPr="00150EDC">
              <w:rPr>
                <w:sz w:val="20"/>
              </w:rPr>
              <w:t>Registered</w:t>
            </w:r>
            <w:r w:rsidRPr="00150EDC">
              <w:rPr>
                <w:spacing w:val="-6"/>
                <w:sz w:val="20"/>
              </w:rPr>
              <w:t xml:space="preserve"> </w:t>
            </w:r>
            <w:r w:rsidRPr="00150EDC">
              <w:rPr>
                <w:sz w:val="20"/>
              </w:rPr>
              <w:t>Homes</w:t>
            </w:r>
            <w:r w:rsidRPr="00150EDC">
              <w:rPr>
                <w:spacing w:val="-9"/>
                <w:sz w:val="20"/>
              </w:rPr>
              <w:t xml:space="preserve"> </w:t>
            </w:r>
            <w:r w:rsidRPr="00150EDC">
              <w:rPr>
                <w:sz w:val="20"/>
              </w:rPr>
              <w:t>Act</w:t>
            </w:r>
            <w:r w:rsidRPr="00150EDC">
              <w:rPr>
                <w:spacing w:val="-6"/>
                <w:sz w:val="20"/>
              </w:rPr>
              <w:t xml:space="preserve"> </w:t>
            </w:r>
            <w:r w:rsidRPr="00150EDC">
              <w:rPr>
                <w:sz w:val="20"/>
              </w:rPr>
              <w:t>1984,</w:t>
            </w:r>
            <w:r w:rsidRPr="00150EDC">
              <w:rPr>
                <w:spacing w:val="-10"/>
                <w:sz w:val="20"/>
              </w:rPr>
              <w:t xml:space="preserve"> </w:t>
            </w:r>
            <w:r w:rsidRPr="00150EDC">
              <w:rPr>
                <w:spacing w:val="-2"/>
                <w:sz w:val="20"/>
              </w:rPr>
              <w:t>s23(1)</w:t>
            </w:r>
          </w:p>
        </w:tc>
        <w:tc>
          <w:tcPr>
            <w:tcW w:w="7427" w:type="dxa"/>
          </w:tcPr>
          <w:p w14:paraId="33BF1FBB" w14:textId="77777777" w:rsidR="004C7180" w:rsidRPr="00150EDC" w:rsidRDefault="00CF0754">
            <w:pPr>
              <w:pStyle w:val="TableParagraph"/>
              <w:rPr>
                <w:sz w:val="20"/>
              </w:rPr>
            </w:pPr>
            <w:r w:rsidRPr="00150EDC">
              <w:rPr>
                <w:sz w:val="20"/>
              </w:rPr>
              <w:t>Carrying</w:t>
            </w:r>
            <w:r w:rsidRPr="00150EDC">
              <w:rPr>
                <w:spacing w:val="-1"/>
                <w:sz w:val="20"/>
              </w:rPr>
              <w:t xml:space="preserve"> </w:t>
            </w:r>
            <w:r w:rsidRPr="00150EDC">
              <w:rPr>
                <w:sz w:val="20"/>
              </w:rPr>
              <w:t>on</w:t>
            </w:r>
            <w:r w:rsidRPr="00150EDC">
              <w:rPr>
                <w:spacing w:val="-5"/>
                <w:sz w:val="20"/>
              </w:rPr>
              <w:t xml:space="preserve"> </w:t>
            </w:r>
            <w:r w:rsidRPr="00150EDC">
              <w:rPr>
                <w:sz w:val="20"/>
              </w:rPr>
              <w:t>a</w:t>
            </w:r>
            <w:r w:rsidRPr="00150EDC">
              <w:rPr>
                <w:spacing w:val="-5"/>
                <w:sz w:val="20"/>
              </w:rPr>
              <w:t xml:space="preserve"> </w:t>
            </w:r>
            <w:r w:rsidRPr="00150EDC">
              <w:rPr>
                <w:sz w:val="20"/>
              </w:rPr>
              <w:t>nursing home</w:t>
            </w:r>
            <w:r w:rsidRPr="00150EDC">
              <w:rPr>
                <w:spacing w:val="-5"/>
                <w:sz w:val="20"/>
              </w:rPr>
              <w:t xml:space="preserve"> </w:t>
            </w:r>
            <w:r w:rsidRPr="00150EDC">
              <w:rPr>
                <w:sz w:val="20"/>
              </w:rPr>
              <w:t>or</w:t>
            </w:r>
            <w:r w:rsidRPr="00150EDC">
              <w:rPr>
                <w:spacing w:val="-2"/>
                <w:sz w:val="20"/>
              </w:rPr>
              <w:t xml:space="preserve"> </w:t>
            </w:r>
            <w:r w:rsidRPr="00150EDC">
              <w:rPr>
                <w:sz w:val="20"/>
              </w:rPr>
              <w:t>mental</w:t>
            </w:r>
            <w:r w:rsidRPr="00150EDC">
              <w:rPr>
                <w:spacing w:val="-3"/>
                <w:sz w:val="20"/>
              </w:rPr>
              <w:t xml:space="preserve"> </w:t>
            </w:r>
            <w:r w:rsidRPr="00150EDC">
              <w:rPr>
                <w:sz w:val="20"/>
              </w:rPr>
              <w:t>nursing</w:t>
            </w:r>
            <w:r w:rsidRPr="00150EDC">
              <w:rPr>
                <w:spacing w:val="-5"/>
                <w:sz w:val="20"/>
              </w:rPr>
              <w:t xml:space="preserve"> </w:t>
            </w:r>
            <w:r w:rsidRPr="00150EDC">
              <w:rPr>
                <w:sz w:val="20"/>
              </w:rPr>
              <w:t>home</w:t>
            </w:r>
            <w:r w:rsidRPr="00150EDC">
              <w:rPr>
                <w:spacing w:val="-5"/>
                <w:sz w:val="20"/>
              </w:rPr>
              <w:t xml:space="preserve"> </w:t>
            </w:r>
            <w:r w:rsidRPr="00150EDC">
              <w:rPr>
                <w:sz w:val="20"/>
              </w:rPr>
              <w:t>without</w:t>
            </w:r>
            <w:r w:rsidRPr="00150EDC">
              <w:rPr>
                <w:spacing w:val="-5"/>
                <w:sz w:val="20"/>
              </w:rPr>
              <w:t xml:space="preserve"> </w:t>
            </w:r>
            <w:r w:rsidRPr="00150EDC">
              <w:rPr>
                <w:sz w:val="20"/>
              </w:rPr>
              <w:t>being</w:t>
            </w:r>
            <w:r w:rsidRPr="00150EDC">
              <w:rPr>
                <w:spacing w:val="-5"/>
                <w:sz w:val="20"/>
              </w:rPr>
              <w:t xml:space="preserve"> </w:t>
            </w:r>
            <w:r w:rsidRPr="00150EDC">
              <w:rPr>
                <w:spacing w:val="-2"/>
                <w:sz w:val="20"/>
              </w:rPr>
              <w:t>registered</w:t>
            </w:r>
          </w:p>
        </w:tc>
      </w:tr>
      <w:tr w:rsidR="004569EE" w:rsidRPr="007D3144" w14:paraId="6F485082" w14:textId="77777777">
        <w:trPr>
          <w:trHeight w:val="255"/>
        </w:trPr>
        <w:tc>
          <w:tcPr>
            <w:tcW w:w="6517" w:type="dxa"/>
          </w:tcPr>
          <w:p w14:paraId="63CB31B9" w14:textId="77777777" w:rsidR="004C7180" w:rsidRPr="00150EDC" w:rsidRDefault="00CF0754">
            <w:pPr>
              <w:pStyle w:val="TableParagraph"/>
              <w:rPr>
                <w:sz w:val="20"/>
              </w:rPr>
            </w:pPr>
            <w:r w:rsidRPr="00150EDC">
              <w:rPr>
                <w:sz w:val="20"/>
              </w:rPr>
              <w:t>Registered</w:t>
            </w:r>
            <w:r w:rsidRPr="00150EDC">
              <w:rPr>
                <w:spacing w:val="-6"/>
                <w:sz w:val="20"/>
              </w:rPr>
              <w:t xml:space="preserve"> </w:t>
            </w:r>
            <w:r w:rsidRPr="00150EDC">
              <w:rPr>
                <w:sz w:val="20"/>
              </w:rPr>
              <w:t>Homes</w:t>
            </w:r>
            <w:r w:rsidRPr="00150EDC">
              <w:rPr>
                <w:spacing w:val="-9"/>
                <w:sz w:val="20"/>
              </w:rPr>
              <w:t xml:space="preserve"> </w:t>
            </w:r>
            <w:r w:rsidRPr="00150EDC">
              <w:rPr>
                <w:sz w:val="20"/>
              </w:rPr>
              <w:t>Act</w:t>
            </w:r>
            <w:r w:rsidRPr="00150EDC">
              <w:rPr>
                <w:spacing w:val="-6"/>
                <w:sz w:val="20"/>
              </w:rPr>
              <w:t xml:space="preserve"> </w:t>
            </w:r>
            <w:r w:rsidRPr="00150EDC">
              <w:rPr>
                <w:sz w:val="20"/>
              </w:rPr>
              <w:t>1984,</w:t>
            </w:r>
            <w:r w:rsidRPr="00150EDC">
              <w:rPr>
                <w:spacing w:val="-10"/>
                <w:sz w:val="20"/>
              </w:rPr>
              <w:t xml:space="preserve"> </w:t>
            </w:r>
            <w:r w:rsidRPr="00150EDC">
              <w:rPr>
                <w:spacing w:val="-2"/>
                <w:sz w:val="20"/>
              </w:rPr>
              <w:t>s23(6)</w:t>
            </w:r>
          </w:p>
        </w:tc>
        <w:tc>
          <w:tcPr>
            <w:tcW w:w="7427" w:type="dxa"/>
          </w:tcPr>
          <w:p w14:paraId="053F7A6D" w14:textId="77777777" w:rsidR="004C7180" w:rsidRPr="00150EDC" w:rsidRDefault="00CF0754">
            <w:pPr>
              <w:pStyle w:val="TableParagraph"/>
              <w:rPr>
                <w:sz w:val="20"/>
              </w:rPr>
            </w:pPr>
            <w:r w:rsidRPr="00150EDC">
              <w:rPr>
                <w:sz w:val="20"/>
              </w:rPr>
              <w:t>Failing</w:t>
            </w:r>
            <w:r w:rsidRPr="00150EDC">
              <w:rPr>
                <w:spacing w:val="-5"/>
                <w:sz w:val="20"/>
              </w:rPr>
              <w:t xml:space="preserve"> </w:t>
            </w:r>
            <w:r w:rsidRPr="00150EDC">
              <w:rPr>
                <w:sz w:val="20"/>
              </w:rPr>
              <w:t>to display</w:t>
            </w:r>
            <w:r w:rsidRPr="00150EDC">
              <w:rPr>
                <w:spacing w:val="-4"/>
                <w:sz w:val="20"/>
              </w:rPr>
              <w:t xml:space="preserve"> </w:t>
            </w:r>
            <w:r w:rsidRPr="00150EDC">
              <w:rPr>
                <w:sz w:val="20"/>
              </w:rPr>
              <w:t>a</w:t>
            </w:r>
            <w:r w:rsidRPr="00150EDC">
              <w:rPr>
                <w:spacing w:val="-5"/>
                <w:sz w:val="20"/>
              </w:rPr>
              <w:t xml:space="preserve"> </w:t>
            </w:r>
            <w:r w:rsidRPr="00150EDC">
              <w:rPr>
                <w:sz w:val="20"/>
              </w:rPr>
              <w:t>certificate</w:t>
            </w:r>
            <w:r w:rsidRPr="00150EDC">
              <w:rPr>
                <w:spacing w:val="-5"/>
                <w:sz w:val="20"/>
              </w:rPr>
              <w:t xml:space="preserve"> </w:t>
            </w:r>
            <w:r w:rsidRPr="00150EDC">
              <w:rPr>
                <w:sz w:val="20"/>
              </w:rPr>
              <w:t>of</w:t>
            </w:r>
            <w:r w:rsidRPr="00150EDC">
              <w:rPr>
                <w:spacing w:val="-4"/>
                <w:sz w:val="20"/>
              </w:rPr>
              <w:t xml:space="preserve"> </w:t>
            </w:r>
            <w:r w:rsidRPr="00150EDC">
              <w:rPr>
                <w:spacing w:val="-2"/>
                <w:sz w:val="20"/>
              </w:rPr>
              <w:t>registration</w:t>
            </w:r>
          </w:p>
        </w:tc>
      </w:tr>
      <w:tr w:rsidR="004569EE" w:rsidRPr="007D3144" w14:paraId="2D618E41" w14:textId="77777777">
        <w:trPr>
          <w:trHeight w:val="255"/>
        </w:trPr>
        <w:tc>
          <w:tcPr>
            <w:tcW w:w="6517" w:type="dxa"/>
          </w:tcPr>
          <w:p w14:paraId="44456BCF" w14:textId="77777777" w:rsidR="004C7180" w:rsidRPr="00150EDC" w:rsidRDefault="00CF0754">
            <w:pPr>
              <w:pStyle w:val="TableParagraph"/>
              <w:rPr>
                <w:sz w:val="20"/>
              </w:rPr>
            </w:pPr>
            <w:r w:rsidRPr="00150EDC">
              <w:rPr>
                <w:sz w:val="20"/>
              </w:rPr>
              <w:t>Registered</w:t>
            </w:r>
            <w:r w:rsidRPr="00150EDC">
              <w:rPr>
                <w:spacing w:val="-6"/>
                <w:sz w:val="20"/>
              </w:rPr>
              <w:t xml:space="preserve"> </w:t>
            </w:r>
            <w:r w:rsidRPr="00150EDC">
              <w:rPr>
                <w:sz w:val="20"/>
              </w:rPr>
              <w:t>Homes</w:t>
            </w:r>
            <w:r w:rsidRPr="00150EDC">
              <w:rPr>
                <w:spacing w:val="-9"/>
                <w:sz w:val="20"/>
              </w:rPr>
              <w:t xml:space="preserve"> </w:t>
            </w:r>
            <w:r w:rsidRPr="00150EDC">
              <w:rPr>
                <w:sz w:val="20"/>
              </w:rPr>
              <w:t>Act</w:t>
            </w:r>
            <w:r w:rsidRPr="00150EDC">
              <w:rPr>
                <w:spacing w:val="-5"/>
                <w:sz w:val="20"/>
              </w:rPr>
              <w:t xml:space="preserve"> </w:t>
            </w:r>
            <w:r w:rsidRPr="00150EDC">
              <w:rPr>
                <w:sz w:val="20"/>
              </w:rPr>
              <w:t>1984,</w:t>
            </w:r>
            <w:r w:rsidRPr="00150EDC">
              <w:rPr>
                <w:spacing w:val="-10"/>
                <w:sz w:val="20"/>
              </w:rPr>
              <w:t xml:space="preserve"> </w:t>
            </w:r>
            <w:r w:rsidRPr="00150EDC">
              <w:rPr>
                <w:spacing w:val="-2"/>
                <w:sz w:val="20"/>
              </w:rPr>
              <w:t>s24(1)</w:t>
            </w:r>
          </w:p>
        </w:tc>
        <w:tc>
          <w:tcPr>
            <w:tcW w:w="7427" w:type="dxa"/>
          </w:tcPr>
          <w:p w14:paraId="3645C349" w14:textId="77777777" w:rsidR="004C7180" w:rsidRPr="00150EDC" w:rsidRDefault="00CF0754">
            <w:pPr>
              <w:pStyle w:val="TableParagraph"/>
              <w:rPr>
                <w:sz w:val="20"/>
              </w:rPr>
            </w:pPr>
            <w:r w:rsidRPr="00150EDC">
              <w:rPr>
                <w:sz w:val="20"/>
              </w:rPr>
              <w:t>Holding</w:t>
            </w:r>
            <w:r w:rsidRPr="00150EDC">
              <w:rPr>
                <w:spacing w:val="-6"/>
                <w:sz w:val="20"/>
              </w:rPr>
              <w:t xml:space="preserve"> </w:t>
            </w:r>
            <w:r w:rsidRPr="00150EDC">
              <w:rPr>
                <w:sz w:val="20"/>
              </w:rPr>
              <w:t>out</w:t>
            </w:r>
            <w:r w:rsidRPr="00150EDC">
              <w:rPr>
                <w:spacing w:val="-2"/>
                <w:sz w:val="20"/>
              </w:rPr>
              <w:t xml:space="preserve"> </w:t>
            </w:r>
            <w:r w:rsidRPr="00150EDC">
              <w:rPr>
                <w:sz w:val="20"/>
              </w:rPr>
              <w:t>premises</w:t>
            </w:r>
            <w:r w:rsidRPr="00150EDC">
              <w:rPr>
                <w:spacing w:val="-5"/>
                <w:sz w:val="20"/>
              </w:rPr>
              <w:t xml:space="preserve"> </w:t>
            </w:r>
            <w:r w:rsidRPr="00150EDC">
              <w:rPr>
                <w:sz w:val="20"/>
              </w:rPr>
              <w:t>as</w:t>
            </w:r>
            <w:r w:rsidRPr="00150EDC">
              <w:rPr>
                <w:spacing w:val="-5"/>
                <w:sz w:val="20"/>
              </w:rPr>
              <w:t xml:space="preserve"> </w:t>
            </w:r>
            <w:r w:rsidRPr="00150EDC">
              <w:rPr>
                <w:sz w:val="20"/>
              </w:rPr>
              <w:t>nursing</w:t>
            </w:r>
            <w:r w:rsidRPr="00150EDC">
              <w:rPr>
                <w:spacing w:val="-1"/>
                <w:sz w:val="20"/>
              </w:rPr>
              <w:t xml:space="preserve"> </w:t>
            </w:r>
            <w:r w:rsidRPr="00150EDC">
              <w:rPr>
                <w:sz w:val="20"/>
              </w:rPr>
              <w:t>home</w:t>
            </w:r>
            <w:r w:rsidRPr="00150EDC">
              <w:rPr>
                <w:spacing w:val="-6"/>
                <w:sz w:val="20"/>
              </w:rPr>
              <w:t xml:space="preserve"> </w:t>
            </w:r>
            <w:r w:rsidRPr="00150EDC">
              <w:rPr>
                <w:sz w:val="20"/>
              </w:rPr>
              <w:t>or</w:t>
            </w:r>
            <w:r w:rsidRPr="00150EDC">
              <w:rPr>
                <w:spacing w:val="-2"/>
                <w:sz w:val="20"/>
              </w:rPr>
              <w:t xml:space="preserve"> </w:t>
            </w:r>
            <w:r w:rsidRPr="00150EDC">
              <w:rPr>
                <w:sz w:val="20"/>
              </w:rPr>
              <w:t>maternity</w:t>
            </w:r>
            <w:r w:rsidRPr="00150EDC">
              <w:rPr>
                <w:spacing w:val="-5"/>
                <w:sz w:val="20"/>
              </w:rPr>
              <w:t xml:space="preserve"> </w:t>
            </w:r>
            <w:r w:rsidRPr="00150EDC">
              <w:rPr>
                <w:spacing w:val="-4"/>
                <w:sz w:val="20"/>
              </w:rPr>
              <w:t>home</w:t>
            </w:r>
          </w:p>
        </w:tc>
      </w:tr>
    </w:tbl>
    <w:p w14:paraId="129B1913" w14:textId="77777777" w:rsidR="004C7180" w:rsidRPr="00150EDC" w:rsidRDefault="004C7180">
      <w:pPr>
        <w:rPr>
          <w:sz w:val="20"/>
        </w:rPr>
        <w:sectPr w:rsidR="004C7180" w:rsidRPr="00150EDC">
          <w:footerReference w:type="default" r:id="rId142"/>
          <w:pgSz w:w="16840" w:h="11910" w:orient="landscape"/>
          <w:pgMar w:top="1340" w:right="1320" w:bottom="280" w:left="1340" w:header="0" w:footer="0" w:gutter="0"/>
          <w:cols w:space="720"/>
        </w:sectPr>
      </w:pPr>
    </w:p>
    <w:p w14:paraId="631DAFFD" w14:textId="77777777" w:rsidR="004C7180" w:rsidRPr="00150EDC" w:rsidRDefault="004C7180">
      <w:pPr>
        <w:pStyle w:val="BodyText"/>
        <w:spacing w:before="3"/>
        <w:rPr>
          <w:sz w:val="8"/>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517"/>
        <w:gridCol w:w="7427"/>
      </w:tblGrid>
      <w:tr w:rsidR="004569EE" w:rsidRPr="007D3144" w14:paraId="7DE94208" w14:textId="77777777">
        <w:trPr>
          <w:trHeight w:val="254"/>
        </w:trPr>
        <w:tc>
          <w:tcPr>
            <w:tcW w:w="6517" w:type="dxa"/>
          </w:tcPr>
          <w:p w14:paraId="04F55EB2" w14:textId="77777777" w:rsidR="004C7180" w:rsidRPr="00150EDC" w:rsidRDefault="00CF0754">
            <w:pPr>
              <w:pStyle w:val="TableParagraph"/>
              <w:rPr>
                <w:sz w:val="20"/>
              </w:rPr>
            </w:pPr>
            <w:r w:rsidRPr="00150EDC">
              <w:rPr>
                <w:sz w:val="20"/>
              </w:rPr>
              <w:t>Registered</w:t>
            </w:r>
            <w:r w:rsidRPr="00150EDC">
              <w:rPr>
                <w:spacing w:val="-6"/>
                <w:sz w:val="20"/>
              </w:rPr>
              <w:t xml:space="preserve"> </w:t>
            </w:r>
            <w:r w:rsidRPr="00150EDC">
              <w:rPr>
                <w:sz w:val="20"/>
              </w:rPr>
              <w:t>Homes</w:t>
            </w:r>
            <w:r w:rsidRPr="00150EDC">
              <w:rPr>
                <w:spacing w:val="-9"/>
                <w:sz w:val="20"/>
              </w:rPr>
              <w:t xml:space="preserve"> </w:t>
            </w:r>
            <w:r w:rsidRPr="00150EDC">
              <w:rPr>
                <w:sz w:val="20"/>
              </w:rPr>
              <w:t>Act</w:t>
            </w:r>
            <w:r w:rsidRPr="00150EDC">
              <w:rPr>
                <w:spacing w:val="-6"/>
                <w:sz w:val="20"/>
              </w:rPr>
              <w:t xml:space="preserve"> </w:t>
            </w:r>
            <w:r w:rsidRPr="00150EDC">
              <w:rPr>
                <w:sz w:val="20"/>
              </w:rPr>
              <w:t>1984,</w:t>
            </w:r>
            <w:r w:rsidRPr="00150EDC">
              <w:rPr>
                <w:spacing w:val="-10"/>
                <w:sz w:val="20"/>
              </w:rPr>
              <w:t xml:space="preserve"> </w:t>
            </w:r>
            <w:r w:rsidRPr="00150EDC">
              <w:rPr>
                <w:spacing w:val="-2"/>
                <w:sz w:val="20"/>
              </w:rPr>
              <w:t>s24(2)</w:t>
            </w:r>
          </w:p>
        </w:tc>
        <w:tc>
          <w:tcPr>
            <w:tcW w:w="7427" w:type="dxa"/>
          </w:tcPr>
          <w:p w14:paraId="543E87B6" w14:textId="77777777" w:rsidR="004C7180" w:rsidRPr="00150EDC" w:rsidRDefault="00CF0754">
            <w:pPr>
              <w:pStyle w:val="TableParagraph"/>
              <w:rPr>
                <w:sz w:val="20"/>
              </w:rPr>
            </w:pPr>
            <w:r w:rsidRPr="00150EDC">
              <w:rPr>
                <w:sz w:val="20"/>
              </w:rPr>
              <w:t>Holding</w:t>
            </w:r>
            <w:r w:rsidRPr="00150EDC">
              <w:rPr>
                <w:spacing w:val="-7"/>
                <w:sz w:val="20"/>
              </w:rPr>
              <w:t xml:space="preserve"> </w:t>
            </w:r>
            <w:r w:rsidRPr="00150EDC">
              <w:rPr>
                <w:sz w:val="20"/>
              </w:rPr>
              <w:t>out</w:t>
            </w:r>
            <w:r w:rsidRPr="00150EDC">
              <w:rPr>
                <w:spacing w:val="-3"/>
                <w:sz w:val="20"/>
              </w:rPr>
              <w:t xml:space="preserve"> </w:t>
            </w:r>
            <w:r w:rsidRPr="00150EDC">
              <w:rPr>
                <w:sz w:val="20"/>
              </w:rPr>
              <w:t>premises</w:t>
            </w:r>
            <w:r w:rsidRPr="00150EDC">
              <w:rPr>
                <w:spacing w:val="-6"/>
                <w:sz w:val="20"/>
              </w:rPr>
              <w:t xml:space="preserve"> </w:t>
            </w:r>
            <w:r w:rsidRPr="00150EDC">
              <w:rPr>
                <w:sz w:val="20"/>
              </w:rPr>
              <w:t>as</w:t>
            </w:r>
            <w:r w:rsidRPr="00150EDC">
              <w:rPr>
                <w:spacing w:val="-1"/>
                <w:sz w:val="20"/>
              </w:rPr>
              <w:t xml:space="preserve"> </w:t>
            </w:r>
            <w:r w:rsidRPr="00150EDC">
              <w:rPr>
                <w:sz w:val="20"/>
              </w:rPr>
              <w:t>mental</w:t>
            </w:r>
            <w:r w:rsidRPr="00150EDC">
              <w:rPr>
                <w:spacing w:val="-2"/>
                <w:sz w:val="20"/>
              </w:rPr>
              <w:t xml:space="preserve"> </w:t>
            </w:r>
            <w:r w:rsidRPr="00150EDC">
              <w:rPr>
                <w:sz w:val="20"/>
              </w:rPr>
              <w:t>nursing</w:t>
            </w:r>
            <w:r w:rsidRPr="00150EDC">
              <w:rPr>
                <w:spacing w:val="-7"/>
                <w:sz w:val="20"/>
              </w:rPr>
              <w:t xml:space="preserve"> </w:t>
            </w:r>
            <w:r w:rsidRPr="00150EDC">
              <w:rPr>
                <w:spacing w:val="-4"/>
                <w:sz w:val="20"/>
              </w:rPr>
              <w:t>home</w:t>
            </w:r>
          </w:p>
        </w:tc>
      </w:tr>
      <w:tr w:rsidR="004569EE" w:rsidRPr="007D3144" w14:paraId="510FB8A7" w14:textId="77777777">
        <w:trPr>
          <w:trHeight w:val="255"/>
        </w:trPr>
        <w:tc>
          <w:tcPr>
            <w:tcW w:w="6517" w:type="dxa"/>
          </w:tcPr>
          <w:p w14:paraId="789722D7" w14:textId="77777777" w:rsidR="004C7180" w:rsidRPr="00150EDC" w:rsidRDefault="00CF0754">
            <w:pPr>
              <w:pStyle w:val="TableParagraph"/>
              <w:spacing w:before="28"/>
              <w:rPr>
                <w:sz w:val="20"/>
              </w:rPr>
            </w:pPr>
            <w:r w:rsidRPr="00150EDC">
              <w:rPr>
                <w:sz w:val="20"/>
              </w:rPr>
              <w:t>Registered</w:t>
            </w:r>
            <w:r w:rsidRPr="00150EDC">
              <w:rPr>
                <w:spacing w:val="-6"/>
                <w:sz w:val="20"/>
              </w:rPr>
              <w:t xml:space="preserve"> </w:t>
            </w:r>
            <w:r w:rsidRPr="00150EDC">
              <w:rPr>
                <w:sz w:val="20"/>
              </w:rPr>
              <w:t>Homes</w:t>
            </w:r>
            <w:r w:rsidRPr="00150EDC">
              <w:rPr>
                <w:spacing w:val="-9"/>
                <w:sz w:val="20"/>
              </w:rPr>
              <w:t xml:space="preserve"> </w:t>
            </w:r>
            <w:r w:rsidRPr="00150EDC">
              <w:rPr>
                <w:sz w:val="20"/>
              </w:rPr>
              <w:t>Act</w:t>
            </w:r>
            <w:r w:rsidRPr="00150EDC">
              <w:rPr>
                <w:spacing w:val="-6"/>
                <w:sz w:val="20"/>
              </w:rPr>
              <w:t xml:space="preserve"> </w:t>
            </w:r>
            <w:r w:rsidRPr="00150EDC">
              <w:rPr>
                <w:sz w:val="20"/>
              </w:rPr>
              <w:t>1984,</w:t>
            </w:r>
            <w:r w:rsidRPr="00150EDC">
              <w:rPr>
                <w:spacing w:val="-10"/>
                <w:sz w:val="20"/>
              </w:rPr>
              <w:t xml:space="preserve"> </w:t>
            </w:r>
            <w:r w:rsidRPr="00150EDC">
              <w:rPr>
                <w:spacing w:val="-2"/>
                <w:sz w:val="20"/>
              </w:rPr>
              <w:t>s26(e)</w:t>
            </w:r>
          </w:p>
        </w:tc>
        <w:tc>
          <w:tcPr>
            <w:tcW w:w="7427" w:type="dxa"/>
          </w:tcPr>
          <w:p w14:paraId="59208EB6" w14:textId="77777777" w:rsidR="004C7180" w:rsidRPr="00150EDC" w:rsidRDefault="00CF0754">
            <w:pPr>
              <w:pStyle w:val="TableParagraph"/>
              <w:spacing w:before="28"/>
              <w:rPr>
                <w:sz w:val="20"/>
              </w:rPr>
            </w:pPr>
            <w:r w:rsidRPr="00150EDC">
              <w:rPr>
                <w:sz w:val="20"/>
              </w:rPr>
              <w:t>Contravening</w:t>
            </w:r>
            <w:r w:rsidRPr="00150EDC">
              <w:rPr>
                <w:spacing w:val="-6"/>
                <w:sz w:val="20"/>
              </w:rPr>
              <w:t xml:space="preserve"> </w:t>
            </w:r>
            <w:r w:rsidRPr="00150EDC">
              <w:rPr>
                <w:sz w:val="20"/>
              </w:rPr>
              <w:t>or</w:t>
            </w:r>
            <w:r w:rsidRPr="00150EDC">
              <w:rPr>
                <w:spacing w:val="-5"/>
                <w:sz w:val="20"/>
              </w:rPr>
              <w:t xml:space="preserve"> </w:t>
            </w:r>
            <w:r w:rsidRPr="00150EDC">
              <w:rPr>
                <w:sz w:val="20"/>
              </w:rPr>
              <w:t>failing</w:t>
            </w:r>
            <w:r w:rsidRPr="00150EDC">
              <w:rPr>
                <w:spacing w:val="-5"/>
                <w:sz w:val="20"/>
              </w:rPr>
              <w:t xml:space="preserve"> </w:t>
            </w:r>
            <w:r w:rsidRPr="00150EDC">
              <w:rPr>
                <w:sz w:val="20"/>
              </w:rPr>
              <w:t>to</w:t>
            </w:r>
            <w:r w:rsidRPr="00150EDC">
              <w:rPr>
                <w:spacing w:val="-5"/>
                <w:sz w:val="20"/>
              </w:rPr>
              <w:t xml:space="preserve"> </w:t>
            </w:r>
            <w:r w:rsidRPr="00150EDC">
              <w:rPr>
                <w:sz w:val="20"/>
              </w:rPr>
              <w:t>comply</w:t>
            </w:r>
            <w:r w:rsidRPr="00150EDC">
              <w:rPr>
                <w:spacing w:val="-3"/>
                <w:sz w:val="20"/>
              </w:rPr>
              <w:t xml:space="preserve"> </w:t>
            </w:r>
            <w:r w:rsidRPr="00150EDC">
              <w:rPr>
                <w:sz w:val="20"/>
              </w:rPr>
              <w:t>with</w:t>
            </w:r>
            <w:r w:rsidRPr="00150EDC">
              <w:rPr>
                <w:spacing w:val="-5"/>
                <w:sz w:val="20"/>
              </w:rPr>
              <w:t xml:space="preserve"> </w:t>
            </w:r>
            <w:r w:rsidRPr="00150EDC">
              <w:rPr>
                <w:spacing w:val="-2"/>
                <w:sz w:val="20"/>
              </w:rPr>
              <w:t>regulations</w:t>
            </w:r>
          </w:p>
        </w:tc>
      </w:tr>
      <w:tr w:rsidR="004569EE" w:rsidRPr="007D3144" w14:paraId="1D4D78B0" w14:textId="77777777">
        <w:trPr>
          <w:trHeight w:val="255"/>
        </w:trPr>
        <w:tc>
          <w:tcPr>
            <w:tcW w:w="6517" w:type="dxa"/>
          </w:tcPr>
          <w:p w14:paraId="632BC505" w14:textId="77777777" w:rsidR="004C7180" w:rsidRPr="00150EDC" w:rsidRDefault="00CF0754">
            <w:pPr>
              <w:pStyle w:val="TableParagraph"/>
              <w:rPr>
                <w:sz w:val="20"/>
              </w:rPr>
            </w:pPr>
            <w:r w:rsidRPr="00150EDC">
              <w:rPr>
                <w:sz w:val="20"/>
              </w:rPr>
              <w:t>Registered</w:t>
            </w:r>
            <w:r w:rsidRPr="00150EDC">
              <w:rPr>
                <w:spacing w:val="-6"/>
                <w:sz w:val="20"/>
              </w:rPr>
              <w:t xml:space="preserve"> </w:t>
            </w:r>
            <w:r w:rsidRPr="00150EDC">
              <w:rPr>
                <w:sz w:val="20"/>
              </w:rPr>
              <w:t>Homes</w:t>
            </w:r>
            <w:r w:rsidRPr="00150EDC">
              <w:rPr>
                <w:spacing w:val="-9"/>
                <w:sz w:val="20"/>
              </w:rPr>
              <w:t xml:space="preserve"> </w:t>
            </w:r>
            <w:r w:rsidRPr="00150EDC">
              <w:rPr>
                <w:sz w:val="20"/>
              </w:rPr>
              <w:t>Act</w:t>
            </w:r>
            <w:r w:rsidRPr="00150EDC">
              <w:rPr>
                <w:spacing w:val="-6"/>
                <w:sz w:val="20"/>
              </w:rPr>
              <w:t xml:space="preserve"> </w:t>
            </w:r>
            <w:r w:rsidRPr="00150EDC">
              <w:rPr>
                <w:sz w:val="20"/>
              </w:rPr>
              <w:t>1984,</w:t>
            </w:r>
            <w:r w:rsidRPr="00150EDC">
              <w:rPr>
                <w:spacing w:val="-10"/>
                <w:sz w:val="20"/>
              </w:rPr>
              <w:t xml:space="preserve"> </w:t>
            </w:r>
            <w:r w:rsidRPr="00150EDC">
              <w:rPr>
                <w:spacing w:val="-2"/>
                <w:sz w:val="20"/>
              </w:rPr>
              <w:t>s27(g)</w:t>
            </w:r>
          </w:p>
        </w:tc>
        <w:tc>
          <w:tcPr>
            <w:tcW w:w="7427" w:type="dxa"/>
          </w:tcPr>
          <w:p w14:paraId="21322F4E" w14:textId="77777777" w:rsidR="004C7180" w:rsidRPr="00150EDC" w:rsidRDefault="00CF0754">
            <w:pPr>
              <w:pStyle w:val="TableParagraph"/>
              <w:rPr>
                <w:sz w:val="20"/>
              </w:rPr>
            </w:pPr>
            <w:r w:rsidRPr="00150EDC">
              <w:rPr>
                <w:sz w:val="20"/>
              </w:rPr>
              <w:t>Contravening</w:t>
            </w:r>
            <w:r w:rsidRPr="00150EDC">
              <w:rPr>
                <w:spacing w:val="-6"/>
                <w:sz w:val="20"/>
              </w:rPr>
              <w:t xml:space="preserve"> </w:t>
            </w:r>
            <w:r w:rsidRPr="00150EDC">
              <w:rPr>
                <w:sz w:val="20"/>
              </w:rPr>
              <w:t>or</w:t>
            </w:r>
            <w:r w:rsidRPr="00150EDC">
              <w:rPr>
                <w:spacing w:val="-5"/>
                <w:sz w:val="20"/>
              </w:rPr>
              <w:t xml:space="preserve"> </w:t>
            </w:r>
            <w:r w:rsidRPr="00150EDC">
              <w:rPr>
                <w:sz w:val="20"/>
              </w:rPr>
              <w:t>failing</w:t>
            </w:r>
            <w:r w:rsidRPr="00150EDC">
              <w:rPr>
                <w:spacing w:val="-5"/>
                <w:sz w:val="20"/>
              </w:rPr>
              <w:t xml:space="preserve"> </w:t>
            </w:r>
            <w:r w:rsidRPr="00150EDC">
              <w:rPr>
                <w:sz w:val="20"/>
              </w:rPr>
              <w:t>to</w:t>
            </w:r>
            <w:r w:rsidRPr="00150EDC">
              <w:rPr>
                <w:spacing w:val="-5"/>
                <w:sz w:val="20"/>
              </w:rPr>
              <w:t xml:space="preserve"> </w:t>
            </w:r>
            <w:r w:rsidRPr="00150EDC">
              <w:rPr>
                <w:sz w:val="20"/>
              </w:rPr>
              <w:t>comply</w:t>
            </w:r>
            <w:r w:rsidRPr="00150EDC">
              <w:rPr>
                <w:spacing w:val="-3"/>
                <w:sz w:val="20"/>
              </w:rPr>
              <w:t xml:space="preserve"> </w:t>
            </w:r>
            <w:r w:rsidRPr="00150EDC">
              <w:rPr>
                <w:sz w:val="20"/>
              </w:rPr>
              <w:t>with</w:t>
            </w:r>
            <w:r w:rsidRPr="00150EDC">
              <w:rPr>
                <w:spacing w:val="-5"/>
                <w:sz w:val="20"/>
              </w:rPr>
              <w:t xml:space="preserve"> </w:t>
            </w:r>
            <w:r w:rsidRPr="00150EDC">
              <w:rPr>
                <w:spacing w:val="-2"/>
                <w:sz w:val="20"/>
              </w:rPr>
              <w:t>regulations</w:t>
            </w:r>
          </w:p>
        </w:tc>
      </w:tr>
      <w:tr w:rsidR="004569EE" w:rsidRPr="007D3144" w14:paraId="6D66E2BB" w14:textId="77777777">
        <w:trPr>
          <w:trHeight w:val="255"/>
        </w:trPr>
        <w:tc>
          <w:tcPr>
            <w:tcW w:w="6517" w:type="dxa"/>
          </w:tcPr>
          <w:p w14:paraId="401BB800" w14:textId="77777777" w:rsidR="004C7180" w:rsidRPr="00150EDC" w:rsidRDefault="00CF0754">
            <w:pPr>
              <w:pStyle w:val="TableParagraph"/>
              <w:rPr>
                <w:sz w:val="20"/>
              </w:rPr>
            </w:pPr>
            <w:r w:rsidRPr="00150EDC">
              <w:rPr>
                <w:sz w:val="20"/>
              </w:rPr>
              <w:t>Registered</w:t>
            </w:r>
            <w:r w:rsidRPr="00150EDC">
              <w:rPr>
                <w:spacing w:val="-6"/>
                <w:sz w:val="20"/>
              </w:rPr>
              <w:t xml:space="preserve"> </w:t>
            </w:r>
            <w:r w:rsidRPr="00150EDC">
              <w:rPr>
                <w:sz w:val="20"/>
              </w:rPr>
              <w:t>Homes</w:t>
            </w:r>
            <w:r w:rsidRPr="00150EDC">
              <w:rPr>
                <w:spacing w:val="-9"/>
                <w:sz w:val="20"/>
              </w:rPr>
              <w:t xml:space="preserve"> </w:t>
            </w:r>
            <w:r w:rsidRPr="00150EDC">
              <w:rPr>
                <w:sz w:val="20"/>
              </w:rPr>
              <w:t>Act</w:t>
            </w:r>
            <w:r w:rsidRPr="00150EDC">
              <w:rPr>
                <w:spacing w:val="-6"/>
                <w:sz w:val="20"/>
              </w:rPr>
              <w:t xml:space="preserve"> </w:t>
            </w:r>
            <w:r w:rsidRPr="00150EDC">
              <w:rPr>
                <w:sz w:val="20"/>
              </w:rPr>
              <w:t>1984,</w:t>
            </w:r>
            <w:r w:rsidRPr="00150EDC">
              <w:rPr>
                <w:spacing w:val="-10"/>
                <w:sz w:val="20"/>
              </w:rPr>
              <w:t xml:space="preserve"> </w:t>
            </w:r>
            <w:r w:rsidRPr="00150EDC">
              <w:rPr>
                <w:spacing w:val="-2"/>
                <w:sz w:val="20"/>
              </w:rPr>
              <w:t>s29(4)</w:t>
            </w:r>
          </w:p>
        </w:tc>
        <w:tc>
          <w:tcPr>
            <w:tcW w:w="7427" w:type="dxa"/>
          </w:tcPr>
          <w:p w14:paraId="026EBD75" w14:textId="77777777" w:rsidR="004C7180" w:rsidRPr="00150EDC" w:rsidRDefault="00CF0754">
            <w:pPr>
              <w:pStyle w:val="TableParagraph"/>
              <w:rPr>
                <w:sz w:val="20"/>
              </w:rPr>
            </w:pPr>
            <w:r w:rsidRPr="00150EDC">
              <w:rPr>
                <w:sz w:val="20"/>
              </w:rPr>
              <w:t>Failing</w:t>
            </w:r>
            <w:r w:rsidRPr="00150EDC">
              <w:rPr>
                <w:spacing w:val="-6"/>
                <w:sz w:val="20"/>
              </w:rPr>
              <w:t xml:space="preserve"> </w:t>
            </w:r>
            <w:r w:rsidRPr="00150EDC">
              <w:rPr>
                <w:sz w:val="20"/>
              </w:rPr>
              <w:t>to</w:t>
            </w:r>
            <w:r w:rsidRPr="00150EDC">
              <w:rPr>
                <w:spacing w:val="-5"/>
                <w:sz w:val="20"/>
              </w:rPr>
              <w:t xml:space="preserve"> </w:t>
            </w:r>
            <w:r w:rsidRPr="00150EDC">
              <w:rPr>
                <w:sz w:val="20"/>
              </w:rPr>
              <w:t>comply</w:t>
            </w:r>
            <w:r w:rsidRPr="00150EDC">
              <w:rPr>
                <w:spacing w:val="-3"/>
                <w:sz w:val="20"/>
              </w:rPr>
              <w:t xml:space="preserve"> </w:t>
            </w:r>
            <w:r w:rsidRPr="00150EDC">
              <w:rPr>
                <w:sz w:val="20"/>
              </w:rPr>
              <w:t>with</w:t>
            </w:r>
            <w:r w:rsidRPr="00150EDC">
              <w:rPr>
                <w:spacing w:val="-1"/>
                <w:sz w:val="20"/>
              </w:rPr>
              <w:t xml:space="preserve"> </w:t>
            </w:r>
            <w:r w:rsidRPr="00150EDC">
              <w:rPr>
                <w:sz w:val="20"/>
              </w:rPr>
              <w:t>a</w:t>
            </w:r>
            <w:r w:rsidRPr="00150EDC">
              <w:rPr>
                <w:spacing w:val="-5"/>
                <w:sz w:val="20"/>
              </w:rPr>
              <w:t xml:space="preserve"> </w:t>
            </w:r>
            <w:r w:rsidRPr="00150EDC">
              <w:rPr>
                <w:sz w:val="20"/>
              </w:rPr>
              <w:t>condition</w:t>
            </w:r>
            <w:r w:rsidRPr="00150EDC">
              <w:rPr>
                <w:spacing w:val="-5"/>
                <w:sz w:val="20"/>
              </w:rPr>
              <w:t xml:space="preserve"> </w:t>
            </w:r>
            <w:r w:rsidRPr="00150EDC">
              <w:rPr>
                <w:sz w:val="20"/>
              </w:rPr>
              <w:t>of</w:t>
            </w:r>
            <w:r w:rsidRPr="00150EDC">
              <w:rPr>
                <w:spacing w:val="1"/>
                <w:sz w:val="20"/>
              </w:rPr>
              <w:t xml:space="preserve"> </w:t>
            </w:r>
            <w:r w:rsidRPr="00150EDC">
              <w:rPr>
                <w:spacing w:val="-2"/>
                <w:sz w:val="20"/>
              </w:rPr>
              <w:t>registration</w:t>
            </w:r>
          </w:p>
        </w:tc>
      </w:tr>
      <w:tr w:rsidR="004569EE" w:rsidRPr="007D3144" w14:paraId="7B78BE95" w14:textId="77777777">
        <w:trPr>
          <w:trHeight w:val="255"/>
        </w:trPr>
        <w:tc>
          <w:tcPr>
            <w:tcW w:w="6517" w:type="dxa"/>
          </w:tcPr>
          <w:p w14:paraId="1F1506BD" w14:textId="77777777" w:rsidR="004C7180" w:rsidRPr="00150EDC" w:rsidRDefault="00CF0754">
            <w:pPr>
              <w:pStyle w:val="TableParagraph"/>
              <w:rPr>
                <w:sz w:val="20"/>
              </w:rPr>
            </w:pPr>
            <w:r w:rsidRPr="00150EDC">
              <w:rPr>
                <w:sz w:val="20"/>
              </w:rPr>
              <w:t>Registered</w:t>
            </w:r>
            <w:r w:rsidRPr="00150EDC">
              <w:rPr>
                <w:spacing w:val="-6"/>
                <w:sz w:val="20"/>
              </w:rPr>
              <w:t xml:space="preserve"> </w:t>
            </w:r>
            <w:r w:rsidRPr="00150EDC">
              <w:rPr>
                <w:sz w:val="20"/>
              </w:rPr>
              <w:t>Homes</w:t>
            </w:r>
            <w:r w:rsidRPr="00150EDC">
              <w:rPr>
                <w:spacing w:val="-9"/>
                <w:sz w:val="20"/>
              </w:rPr>
              <w:t xml:space="preserve"> </w:t>
            </w:r>
            <w:r w:rsidRPr="00150EDC">
              <w:rPr>
                <w:sz w:val="20"/>
              </w:rPr>
              <w:t>Act</w:t>
            </w:r>
            <w:r w:rsidRPr="00150EDC">
              <w:rPr>
                <w:spacing w:val="-6"/>
                <w:sz w:val="20"/>
              </w:rPr>
              <w:t xml:space="preserve"> </w:t>
            </w:r>
            <w:r w:rsidRPr="00150EDC">
              <w:rPr>
                <w:sz w:val="20"/>
              </w:rPr>
              <w:t>1984,</w:t>
            </w:r>
            <w:r w:rsidRPr="00150EDC">
              <w:rPr>
                <w:spacing w:val="-10"/>
                <w:sz w:val="20"/>
              </w:rPr>
              <w:t xml:space="preserve"> </w:t>
            </w:r>
            <w:r w:rsidRPr="00150EDC">
              <w:rPr>
                <w:spacing w:val="-2"/>
                <w:sz w:val="20"/>
              </w:rPr>
              <w:t>s35(5)</w:t>
            </w:r>
          </w:p>
        </w:tc>
        <w:tc>
          <w:tcPr>
            <w:tcW w:w="7427" w:type="dxa"/>
          </w:tcPr>
          <w:p w14:paraId="04B0534F" w14:textId="77777777" w:rsidR="004C7180" w:rsidRPr="00150EDC" w:rsidRDefault="00CF0754">
            <w:pPr>
              <w:pStyle w:val="TableParagraph"/>
              <w:rPr>
                <w:sz w:val="20"/>
              </w:rPr>
            </w:pPr>
            <w:r w:rsidRPr="00150EDC">
              <w:rPr>
                <w:spacing w:val="-2"/>
                <w:sz w:val="20"/>
              </w:rPr>
              <w:t>Obstruction</w:t>
            </w:r>
          </w:p>
        </w:tc>
      </w:tr>
      <w:tr w:rsidR="004569EE" w:rsidRPr="007D3144" w14:paraId="7C69CDA4" w14:textId="77777777">
        <w:trPr>
          <w:trHeight w:val="255"/>
        </w:trPr>
        <w:tc>
          <w:tcPr>
            <w:tcW w:w="6517" w:type="dxa"/>
          </w:tcPr>
          <w:p w14:paraId="623465DE" w14:textId="77777777" w:rsidR="004C7180" w:rsidRPr="00150EDC" w:rsidRDefault="00CF0754">
            <w:pPr>
              <w:pStyle w:val="TableParagraph"/>
              <w:spacing w:before="28"/>
              <w:rPr>
                <w:sz w:val="20"/>
              </w:rPr>
            </w:pPr>
            <w:r w:rsidRPr="00150EDC">
              <w:rPr>
                <w:sz w:val="20"/>
              </w:rPr>
              <w:t>Registered</w:t>
            </w:r>
            <w:r w:rsidRPr="00150EDC">
              <w:rPr>
                <w:spacing w:val="-6"/>
                <w:sz w:val="20"/>
              </w:rPr>
              <w:t xml:space="preserve"> </w:t>
            </w:r>
            <w:r w:rsidRPr="00150EDC">
              <w:rPr>
                <w:sz w:val="20"/>
              </w:rPr>
              <w:t>Homes</w:t>
            </w:r>
            <w:r w:rsidRPr="00150EDC">
              <w:rPr>
                <w:spacing w:val="-9"/>
                <w:sz w:val="20"/>
              </w:rPr>
              <w:t xml:space="preserve"> </w:t>
            </w:r>
            <w:r w:rsidRPr="00150EDC">
              <w:rPr>
                <w:sz w:val="20"/>
              </w:rPr>
              <w:t>Act</w:t>
            </w:r>
            <w:r w:rsidRPr="00150EDC">
              <w:rPr>
                <w:spacing w:val="-6"/>
                <w:sz w:val="20"/>
              </w:rPr>
              <w:t xml:space="preserve"> </w:t>
            </w:r>
            <w:r w:rsidRPr="00150EDC">
              <w:rPr>
                <w:sz w:val="20"/>
              </w:rPr>
              <w:t>1984,</w:t>
            </w:r>
            <w:r w:rsidRPr="00150EDC">
              <w:rPr>
                <w:spacing w:val="-10"/>
                <w:sz w:val="20"/>
              </w:rPr>
              <w:t xml:space="preserve"> </w:t>
            </w:r>
            <w:r w:rsidRPr="00150EDC">
              <w:rPr>
                <w:spacing w:val="-2"/>
                <w:sz w:val="20"/>
              </w:rPr>
              <w:t>s35(6)</w:t>
            </w:r>
          </w:p>
        </w:tc>
        <w:tc>
          <w:tcPr>
            <w:tcW w:w="7427" w:type="dxa"/>
          </w:tcPr>
          <w:p w14:paraId="0F34ECB6" w14:textId="77777777" w:rsidR="004C7180" w:rsidRPr="00150EDC" w:rsidRDefault="00CF0754">
            <w:pPr>
              <w:pStyle w:val="TableParagraph"/>
              <w:spacing w:before="28"/>
              <w:rPr>
                <w:sz w:val="20"/>
              </w:rPr>
            </w:pPr>
            <w:r w:rsidRPr="00150EDC">
              <w:rPr>
                <w:spacing w:val="-2"/>
                <w:sz w:val="20"/>
              </w:rPr>
              <w:t>Obstruction</w:t>
            </w:r>
          </w:p>
        </w:tc>
      </w:tr>
      <w:tr w:rsidR="004569EE" w:rsidRPr="007D3144" w14:paraId="4917F888" w14:textId="77777777">
        <w:trPr>
          <w:trHeight w:val="255"/>
        </w:trPr>
        <w:tc>
          <w:tcPr>
            <w:tcW w:w="6517" w:type="dxa"/>
          </w:tcPr>
          <w:p w14:paraId="02031062" w14:textId="77777777" w:rsidR="004C7180" w:rsidRPr="00150EDC" w:rsidRDefault="00CF0754">
            <w:pPr>
              <w:pStyle w:val="TableParagraph"/>
              <w:rPr>
                <w:sz w:val="20"/>
              </w:rPr>
            </w:pPr>
            <w:r w:rsidRPr="00150EDC">
              <w:rPr>
                <w:sz w:val="20"/>
              </w:rPr>
              <w:t>Registered</w:t>
            </w:r>
            <w:r w:rsidRPr="00150EDC">
              <w:rPr>
                <w:spacing w:val="-6"/>
                <w:sz w:val="20"/>
              </w:rPr>
              <w:t xml:space="preserve"> </w:t>
            </w:r>
            <w:r w:rsidRPr="00150EDC">
              <w:rPr>
                <w:sz w:val="20"/>
              </w:rPr>
              <w:t>Homes</w:t>
            </w:r>
            <w:r w:rsidRPr="00150EDC">
              <w:rPr>
                <w:spacing w:val="-9"/>
                <w:sz w:val="20"/>
              </w:rPr>
              <w:t xml:space="preserve"> </w:t>
            </w:r>
            <w:r w:rsidRPr="00150EDC">
              <w:rPr>
                <w:sz w:val="20"/>
              </w:rPr>
              <w:t>Act</w:t>
            </w:r>
            <w:r w:rsidRPr="00150EDC">
              <w:rPr>
                <w:spacing w:val="-6"/>
                <w:sz w:val="20"/>
              </w:rPr>
              <w:t xml:space="preserve"> </w:t>
            </w:r>
            <w:r w:rsidRPr="00150EDC">
              <w:rPr>
                <w:sz w:val="20"/>
              </w:rPr>
              <w:t>1984,</w:t>
            </w:r>
            <w:r w:rsidRPr="00150EDC">
              <w:rPr>
                <w:spacing w:val="-10"/>
                <w:sz w:val="20"/>
              </w:rPr>
              <w:t xml:space="preserve"> </w:t>
            </w:r>
            <w:r w:rsidRPr="00150EDC">
              <w:rPr>
                <w:spacing w:val="-4"/>
                <w:sz w:val="20"/>
              </w:rPr>
              <w:t>s5(5)</w:t>
            </w:r>
          </w:p>
        </w:tc>
        <w:tc>
          <w:tcPr>
            <w:tcW w:w="7427" w:type="dxa"/>
          </w:tcPr>
          <w:p w14:paraId="4A982032" w14:textId="77777777" w:rsidR="004C7180" w:rsidRPr="00150EDC" w:rsidRDefault="00CF0754">
            <w:pPr>
              <w:pStyle w:val="TableParagraph"/>
              <w:rPr>
                <w:sz w:val="20"/>
              </w:rPr>
            </w:pPr>
            <w:r w:rsidRPr="00150EDC">
              <w:rPr>
                <w:sz w:val="20"/>
              </w:rPr>
              <w:t>Failing</w:t>
            </w:r>
            <w:r w:rsidRPr="00150EDC">
              <w:rPr>
                <w:spacing w:val="-6"/>
                <w:sz w:val="20"/>
              </w:rPr>
              <w:t xml:space="preserve"> </w:t>
            </w:r>
            <w:r w:rsidRPr="00150EDC">
              <w:rPr>
                <w:sz w:val="20"/>
              </w:rPr>
              <w:t>to</w:t>
            </w:r>
            <w:r w:rsidRPr="00150EDC">
              <w:rPr>
                <w:spacing w:val="-5"/>
                <w:sz w:val="20"/>
              </w:rPr>
              <w:t xml:space="preserve"> </w:t>
            </w:r>
            <w:r w:rsidRPr="00150EDC">
              <w:rPr>
                <w:sz w:val="20"/>
              </w:rPr>
              <w:t>comply</w:t>
            </w:r>
            <w:r w:rsidRPr="00150EDC">
              <w:rPr>
                <w:spacing w:val="-3"/>
                <w:sz w:val="20"/>
              </w:rPr>
              <w:t xml:space="preserve"> </w:t>
            </w:r>
            <w:r w:rsidRPr="00150EDC">
              <w:rPr>
                <w:sz w:val="20"/>
              </w:rPr>
              <w:t>with</w:t>
            </w:r>
            <w:r w:rsidRPr="00150EDC">
              <w:rPr>
                <w:spacing w:val="-1"/>
                <w:sz w:val="20"/>
              </w:rPr>
              <w:t xml:space="preserve"> </w:t>
            </w:r>
            <w:r w:rsidRPr="00150EDC">
              <w:rPr>
                <w:sz w:val="20"/>
              </w:rPr>
              <w:t>a</w:t>
            </w:r>
            <w:r w:rsidRPr="00150EDC">
              <w:rPr>
                <w:spacing w:val="-5"/>
                <w:sz w:val="20"/>
              </w:rPr>
              <w:t xml:space="preserve"> </w:t>
            </w:r>
            <w:r w:rsidRPr="00150EDC">
              <w:rPr>
                <w:sz w:val="20"/>
              </w:rPr>
              <w:t>condition</w:t>
            </w:r>
            <w:r w:rsidRPr="00150EDC">
              <w:rPr>
                <w:spacing w:val="-5"/>
                <w:sz w:val="20"/>
              </w:rPr>
              <w:t xml:space="preserve"> </w:t>
            </w:r>
            <w:r w:rsidRPr="00150EDC">
              <w:rPr>
                <w:sz w:val="20"/>
              </w:rPr>
              <w:t>of</w:t>
            </w:r>
            <w:r w:rsidRPr="00150EDC">
              <w:rPr>
                <w:spacing w:val="1"/>
                <w:sz w:val="20"/>
              </w:rPr>
              <w:t xml:space="preserve"> </w:t>
            </w:r>
            <w:r w:rsidRPr="00150EDC">
              <w:rPr>
                <w:spacing w:val="-2"/>
                <w:sz w:val="20"/>
              </w:rPr>
              <w:t>registration</w:t>
            </w:r>
          </w:p>
        </w:tc>
      </w:tr>
      <w:tr w:rsidR="004569EE" w:rsidRPr="007D3144" w14:paraId="47C00979" w14:textId="77777777">
        <w:trPr>
          <w:trHeight w:val="255"/>
        </w:trPr>
        <w:tc>
          <w:tcPr>
            <w:tcW w:w="6517" w:type="dxa"/>
          </w:tcPr>
          <w:p w14:paraId="37A64622" w14:textId="77777777" w:rsidR="004C7180" w:rsidRPr="00150EDC" w:rsidRDefault="00CF0754">
            <w:pPr>
              <w:pStyle w:val="TableParagraph"/>
              <w:rPr>
                <w:sz w:val="20"/>
              </w:rPr>
            </w:pPr>
            <w:r w:rsidRPr="00150EDC">
              <w:rPr>
                <w:sz w:val="20"/>
              </w:rPr>
              <w:t>Registered</w:t>
            </w:r>
            <w:r w:rsidRPr="00150EDC">
              <w:rPr>
                <w:spacing w:val="-6"/>
                <w:sz w:val="20"/>
              </w:rPr>
              <w:t xml:space="preserve"> </w:t>
            </w:r>
            <w:r w:rsidRPr="00150EDC">
              <w:rPr>
                <w:sz w:val="20"/>
              </w:rPr>
              <w:t>Homes</w:t>
            </w:r>
            <w:r w:rsidRPr="00150EDC">
              <w:rPr>
                <w:spacing w:val="-9"/>
                <w:sz w:val="20"/>
              </w:rPr>
              <w:t xml:space="preserve"> </w:t>
            </w:r>
            <w:r w:rsidRPr="00150EDC">
              <w:rPr>
                <w:sz w:val="20"/>
              </w:rPr>
              <w:t>Act</w:t>
            </w:r>
            <w:r w:rsidRPr="00150EDC">
              <w:rPr>
                <w:spacing w:val="-6"/>
                <w:sz w:val="20"/>
              </w:rPr>
              <w:t xml:space="preserve"> </w:t>
            </w:r>
            <w:r w:rsidRPr="00150EDC">
              <w:rPr>
                <w:sz w:val="20"/>
              </w:rPr>
              <w:t>1984,</w:t>
            </w:r>
            <w:r w:rsidRPr="00150EDC">
              <w:rPr>
                <w:spacing w:val="-10"/>
                <w:sz w:val="20"/>
              </w:rPr>
              <w:t xml:space="preserve"> </w:t>
            </w:r>
            <w:r w:rsidRPr="00150EDC">
              <w:rPr>
                <w:spacing w:val="-4"/>
                <w:sz w:val="20"/>
              </w:rPr>
              <w:t>s5(6)</w:t>
            </w:r>
          </w:p>
        </w:tc>
        <w:tc>
          <w:tcPr>
            <w:tcW w:w="7427" w:type="dxa"/>
          </w:tcPr>
          <w:p w14:paraId="00DD6032" w14:textId="77777777" w:rsidR="004C7180" w:rsidRPr="00150EDC" w:rsidRDefault="00CF0754">
            <w:pPr>
              <w:pStyle w:val="TableParagraph"/>
              <w:rPr>
                <w:sz w:val="20"/>
              </w:rPr>
            </w:pPr>
            <w:r w:rsidRPr="00150EDC">
              <w:rPr>
                <w:sz w:val="20"/>
              </w:rPr>
              <w:t>Failing</w:t>
            </w:r>
            <w:r w:rsidRPr="00150EDC">
              <w:rPr>
                <w:spacing w:val="-5"/>
                <w:sz w:val="20"/>
              </w:rPr>
              <w:t xml:space="preserve"> </w:t>
            </w:r>
            <w:r w:rsidRPr="00150EDC">
              <w:rPr>
                <w:sz w:val="20"/>
              </w:rPr>
              <w:t>to display</w:t>
            </w:r>
            <w:r w:rsidRPr="00150EDC">
              <w:rPr>
                <w:spacing w:val="-4"/>
                <w:sz w:val="20"/>
              </w:rPr>
              <w:t xml:space="preserve"> </w:t>
            </w:r>
            <w:r w:rsidRPr="00150EDC">
              <w:rPr>
                <w:sz w:val="20"/>
              </w:rPr>
              <w:t>a</w:t>
            </w:r>
            <w:r w:rsidRPr="00150EDC">
              <w:rPr>
                <w:spacing w:val="-5"/>
                <w:sz w:val="20"/>
              </w:rPr>
              <w:t xml:space="preserve"> </w:t>
            </w:r>
            <w:r w:rsidRPr="00150EDC">
              <w:rPr>
                <w:sz w:val="20"/>
              </w:rPr>
              <w:t>certificate</w:t>
            </w:r>
            <w:r w:rsidRPr="00150EDC">
              <w:rPr>
                <w:spacing w:val="-5"/>
                <w:sz w:val="20"/>
              </w:rPr>
              <w:t xml:space="preserve"> </w:t>
            </w:r>
            <w:r w:rsidRPr="00150EDC">
              <w:rPr>
                <w:sz w:val="20"/>
              </w:rPr>
              <w:t>of</w:t>
            </w:r>
            <w:r w:rsidRPr="00150EDC">
              <w:rPr>
                <w:spacing w:val="-4"/>
                <w:sz w:val="20"/>
              </w:rPr>
              <w:t xml:space="preserve"> </w:t>
            </w:r>
            <w:r w:rsidRPr="00150EDC">
              <w:rPr>
                <w:spacing w:val="-2"/>
                <w:sz w:val="20"/>
              </w:rPr>
              <w:t>registration</w:t>
            </w:r>
          </w:p>
        </w:tc>
      </w:tr>
      <w:tr w:rsidR="004569EE" w:rsidRPr="007D3144" w14:paraId="1F1B59EB" w14:textId="77777777">
        <w:trPr>
          <w:trHeight w:val="255"/>
        </w:trPr>
        <w:tc>
          <w:tcPr>
            <w:tcW w:w="6517" w:type="dxa"/>
          </w:tcPr>
          <w:p w14:paraId="2D384059" w14:textId="77777777" w:rsidR="004C7180" w:rsidRPr="00150EDC" w:rsidRDefault="00CF0754">
            <w:pPr>
              <w:pStyle w:val="TableParagraph"/>
              <w:rPr>
                <w:sz w:val="20"/>
              </w:rPr>
            </w:pPr>
            <w:r w:rsidRPr="00150EDC">
              <w:rPr>
                <w:sz w:val="20"/>
              </w:rPr>
              <w:t>Regulation</w:t>
            </w:r>
            <w:r w:rsidRPr="00150EDC">
              <w:rPr>
                <w:spacing w:val="-3"/>
                <w:sz w:val="20"/>
              </w:rPr>
              <w:t xml:space="preserve"> </w:t>
            </w:r>
            <w:r w:rsidRPr="00150EDC">
              <w:rPr>
                <w:sz w:val="20"/>
              </w:rPr>
              <w:t>of</w:t>
            </w:r>
            <w:r w:rsidRPr="00150EDC">
              <w:rPr>
                <w:spacing w:val="-7"/>
                <w:sz w:val="20"/>
              </w:rPr>
              <w:t xml:space="preserve"> </w:t>
            </w:r>
            <w:r w:rsidRPr="00150EDC">
              <w:rPr>
                <w:sz w:val="20"/>
              </w:rPr>
              <w:t>Care</w:t>
            </w:r>
            <w:r w:rsidRPr="00150EDC">
              <w:rPr>
                <w:spacing w:val="-7"/>
                <w:sz w:val="20"/>
              </w:rPr>
              <w:t xml:space="preserve"> </w:t>
            </w:r>
            <w:r w:rsidRPr="00150EDC">
              <w:rPr>
                <w:sz w:val="20"/>
              </w:rPr>
              <w:t>(Scotland)</w:t>
            </w:r>
            <w:r w:rsidRPr="00150EDC">
              <w:rPr>
                <w:spacing w:val="-7"/>
                <w:sz w:val="20"/>
              </w:rPr>
              <w:t xml:space="preserve"> </w:t>
            </w:r>
            <w:r w:rsidRPr="00150EDC">
              <w:rPr>
                <w:sz w:val="20"/>
              </w:rPr>
              <w:t>Act</w:t>
            </w:r>
            <w:r w:rsidRPr="00150EDC">
              <w:rPr>
                <w:spacing w:val="-7"/>
                <w:sz w:val="20"/>
              </w:rPr>
              <w:t xml:space="preserve"> </w:t>
            </w:r>
            <w:r w:rsidRPr="00150EDC">
              <w:rPr>
                <w:sz w:val="20"/>
              </w:rPr>
              <w:t>2001,</w:t>
            </w:r>
            <w:r w:rsidRPr="00150EDC">
              <w:rPr>
                <w:spacing w:val="-7"/>
                <w:sz w:val="20"/>
              </w:rPr>
              <w:t xml:space="preserve"> </w:t>
            </w:r>
            <w:r w:rsidRPr="00150EDC">
              <w:rPr>
                <w:spacing w:val="-5"/>
                <w:sz w:val="20"/>
              </w:rPr>
              <w:t>s21</w:t>
            </w:r>
          </w:p>
        </w:tc>
        <w:tc>
          <w:tcPr>
            <w:tcW w:w="7427" w:type="dxa"/>
          </w:tcPr>
          <w:p w14:paraId="62097005" w14:textId="77777777" w:rsidR="004C7180" w:rsidRPr="00150EDC" w:rsidRDefault="00CF0754">
            <w:pPr>
              <w:pStyle w:val="TableParagraph"/>
              <w:rPr>
                <w:sz w:val="20"/>
              </w:rPr>
            </w:pPr>
            <w:r w:rsidRPr="00150EDC">
              <w:rPr>
                <w:sz w:val="20"/>
              </w:rPr>
              <w:t>Offences</w:t>
            </w:r>
            <w:r w:rsidRPr="00150EDC">
              <w:rPr>
                <w:spacing w:val="-6"/>
                <w:sz w:val="20"/>
              </w:rPr>
              <w:t xml:space="preserve"> </w:t>
            </w:r>
            <w:r w:rsidRPr="00150EDC">
              <w:rPr>
                <w:sz w:val="20"/>
              </w:rPr>
              <w:t>in</w:t>
            </w:r>
            <w:r w:rsidRPr="00150EDC">
              <w:rPr>
                <w:spacing w:val="-1"/>
                <w:sz w:val="20"/>
              </w:rPr>
              <w:t xml:space="preserve"> </w:t>
            </w:r>
            <w:r w:rsidRPr="00150EDC">
              <w:rPr>
                <w:sz w:val="20"/>
              </w:rPr>
              <w:t>relation</w:t>
            </w:r>
            <w:r w:rsidRPr="00150EDC">
              <w:rPr>
                <w:spacing w:val="-7"/>
                <w:sz w:val="20"/>
              </w:rPr>
              <w:t xml:space="preserve"> </w:t>
            </w:r>
            <w:r w:rsidRPr="00150EDC">
              <w:rPr>
                <w:sz w:val="20"/>
              </w:rPr>
              <w:t xml:space="preserve">to </w:t>
            </w:r>
            <w:r w:rsidRPr="00150EDC">
              <w:rPr>
                <w:spacing w:val="-2"/>
                <w:sz w:val="20"/>
              </w:rPr>
              <w:t>registration</w:t>
            </w:r>
          </w:p>
        </w:tc>
      </w:tr>
      <w:tr w:rsidR="004569EE" w:rsidRPr="007D3144" w14:paraId="2468E809" w14:textId="77777777">
        <w:trPr>
          <w:trHeight w:val="255"/>
        </w:trPr>
        <w:tc>
          <w:tcPr>
            <w:tcW w:w="6517" w:type="dxa"/>
          </w:tcPr>
          <w:p w14:paraId="775547A3" w14:textId="77777777" w:rsidR="004C7180" w:rsidRPr="00150EDC" w:rsidRDefault="00CF0754">
            <w:pPr>
              <w:pStyle w:val="TableParagraph"/>
              <w:rPr>
                <w:sz w:val="20"/>
              </w:rPr>
            </w:pPr>
            <w:r w:rsidRPr="00150EDC">
              <w:rPr>
                <w:sz w:val="20"/>
              </w:rPr>
              <w:t>Regulation</w:t>
            </w:r>
            <w:r w:rsidRPr="00150EDC">
              <w:rPr>
                <w:spacing w:val="-3"/>
                <w:sz w:val="20"/>
              </w:rPr>
              <w:t xml:space="preserve"> </w:t>
            </w:r>
            <w:r w:rsidRPr="00150EDC">
              <w:rPr>
                <w:sz w:val="20"/>
              </w:rPr>
              <w:t>of</w:t>
            </w:r>
            <w:r w:rsidRPr="00150EDC">
              <w:rPr>
                <w:spacing w:val="-7"/>
                <w:sz w:val="20"/>
              </w:rPr>
              <w:t xml:space="preserve"> </w:t>
            </w:r>
            <w:r w:rsidRPr="00150EDC">
              <w:rPr>
                <w:sz w:val="20"/>
              </w:rPr>
              <w:t>Care</w:t>
            </w:r>
            <w:r w:rsidRPr="00150EDC">
              <w:rPr>
                <w:spacing w:val="-7"/>
                <w:sz w:val="20"/>
              </w:rPr>
              <w:t xml:space="preserve"> </w:t>
            </w:r>
            <w:r w:rsidRPr="00150EDC">
              <w:rPr>
                <w:sz w:val="20"/>
              </w:rPr>
              <w:t>(Scotland)</w:t>
            </w:r>
            <w:r w:rsidRPr="00150EDC">
              <w:rPr>
                <w:spacing w:val="-7"/>
                <w:sz w:val="20"/>
              </w:rPr>
              <w:t xml:space="preserve"> </w:t>
            </w:r>
            <w:r w:rsidRPr="00150EDC">
              <w:rPr>
                <w:sz w:val="20"/>
              </w:rPr>
              <w:t>Act</w:t>
            </w:r>
            <w:r w:rsidRPr="00150EDC">
              <w:rPr>
                <w:spacing w:val="-7"/>
                <w:sz w:val="20"/>
              </w:rPr>
              <w:t xml:space="preserve"> </w:t>
            </w:r>
            <w:r w:rsidRPr="00150EDC">
              <w:rPr>
                <w:sz w:val="20"/>
              </w:rPr>
              <w:t>2001,</w:t>
            </w:r>
            <w:r w:rsidRPr="00150EDC">
              <w:rPr>
                <w:spacing w:val="-7"/>
                <w:sz w:val="20"/>
              </w:rPr>
              <w:t xml:space="preserve"> </w:t>
            </w:r>
            <w:r w:rsidRPr="00150EDC">
              <w:rPr>
                <w:spacing w:val="-5"/>
                <w:sz w:val="20"/>
              </w:rPr>
              <w:t>s22</w:t>
            </w:r>
          </w:p>
        </w:tc>
        <w:tc>
          <w:tcPr>
            <w:tcW w:w="7427" w:type="dxa"/>
          </w:tcPr>
          <w:p w14:paraId="1DAA2C0E" w14:textId="77777777" w:rsidR="004C7180" w:rsidRPr="00150EDC" w:rsidRDefault="00CF0754">
            <w:pPr>
              <w:pStyle w:val="TableParagraph"/>
              <w:rPr>
                <w:sz w:val="20"/>
              </w:rPr>
            </w:pPr>
            <w:r w:rsidRPr="00150EDC">
              <w:rPr>
                <w:sz w:val="20"/>
              </w:rPr>
              <w:t>False</w:t>
            </w:r>
            <w:r w:rsidRPr="00150EDC">
              <w:rPr>
                <w:spacing w:val="-5"/>
                <w:sz w:val="20"/>
              </w:rPr>
              <w:t xml:space="preserve"> </w:t>
            </w:r>
            <w:r w:rsidRPr="00150EDC">
              <w:rPr>
                <w:sz w:val="20"/>
              </w:rPr>
              <w:t>statements</w:t>
            </w:r>
            <w:r w:rsidRPr="00150EDC">
              <w:rPr>
                <w:spacing w:val="-5"/>
                <w:sz w:val="20"/>
              </w:rPr>
              <w:t xml:space="preserve"> </w:t>
            </w:r>
            <w:r w:rsidRPr="00150EDC">
              <w:rPr>
                <w:sz w:val="20"/>
              </w:rPr>
              <w:t>in</w:t>
            </w:r>
            <w:r w:rsidRPr="00150EDC">
              <w:rPr>
                <w:spacing w:val="-4"/>
                <w:sz w:val="20"/>
              </w:rPr>
              <w:t xml:space="preserve"> </w:t>
            </w:r>
            <w:r w:rsidRPr="00150EDC">
              <w:rPr>
                <w:spacing w:val="-2"/>
                <w:sz w:val="20"/>
              </w:rPr>
              <w:t>applications</w:t>
            </w:r>
          </w:p>
        </w:tc>
      </w:tr>
      <w:tr w:rsidR="004569EE" w:rsidRPr="007D3144" w14:paraId="60CD3B93" w14:textId="77777777">
        <w:trPr>
          <w:trHeight w:val="255"/>
        </w:trPr>
        <w:tc>
          <w:tcPr>
            <w:tcW w:w="6517" w:type="dxa"/>
          </w:tcPr>
          <w:p w14:paraId="679A57AA" w14:textId="77777777" w:rsidR="004C7180" w:rsidRPr="00150EDC" w:rsidRDefault="00CF0754">
            <w:pPr>
              <w:pStyle w:val="TableParagraph"/>
              <w:rPr>
                <w:sz w:val="20"/>
              </w:rPr>
            </w:pPr>
            <w:r w:rsidRPr="00150EDC">
              <w:rPr>
                <w:sz w:val="20"/>
              </w:rPr>
              <w:t>Regulation</w:t>
            </w:r>
            <w:r w:rsidRPr="00150EDC">
              <w:rPr>
                <w:spacing w:val="-3"/>
                <w:sz w:val="20"/>
              </w:rPr>
              <w:t xml:space="preserve"> </w:t>
            </w:r>
            <w:r w:rsidRPr="00150EDC">
              <w:rPr>
                <w:sz w:val="20"/>
              </w:rPr>
              <w:t>of</w:t>
            </w:r>
            <w:r w:rsidRPr="00150EDC">
              <w:rPr>
                <w:spacing w:val="-7"/>
                <w:sz w:val="20"/>
              </w:rPr>
              <w:t xml:space="preserve"> </w:t>
            </w:r>
            <w:r w:rsidRPr="00150EDC">
              <w:rPr>
                <w:sz w:val="20"/>
              </w:rPr>
              <w:t>Care</w:t>
            </w:r>
            <w:r w:rsidRPr="00150EDC">
              <w:rPr>
                <w:spacing w:val="-7"/>
                <w:sz w:val="20"/>
              </w:rPr>
              <w:t xml:space="preserve"> </w:t>
            </w:r>
            <w:r w:rsidRPr="00150EDC">
              <w:rPr>
                <w:sz w:val="20"/>
              </w:rPr>
              <w:t>(Scotland)</w:t>
            </w:r>
            <w:r w:rsidRPr="00150EDC">
              <w:rPr>
                <w:spacing w:val="-7"/>
                <w:sz w:val="20"/>
              </w:rPr>
              <w:t xml:space="preserve"> </w:t>
            </w:r>
            <w:r w:rsidRPr="00150EDC">
              <w:rPr>
                <w:sz w:val="20"/>
              </w:rPr>
              <w:t>Act</w:t>
            </w:r>
            <w:r w:rsidRPr="00150EDC">
              <w:rPr>
                <w:spacing w:val="-7"/>
                <w:sz w:val="20"/>
              </w:rPr>
              <w:t xml:space="preserve"> </w:t>
            </w:r>
            <w:r w:rsidRPr="00150EDC">
              <w:rPr>
                <w:sz w:val="20"/>
              </w:rPr>
              <w:t>2001,</w:t>
            </w:r>
            <w:r w:rsidRPr="00150EDC">
              <w:rPr>
                <w:spacing w:val="-7"/>
                <w:sz w:val="20"/>
              </w:rPr>
              <w:t xml:space="preserve"> </w:t>
            </w:r>
            <w:r w:rsidRPr="00150EDC">
              <w:rPr>
                <w:spacing w:val="-2"/>
                <w:sz w:val="20"/>
              </w:rPr>
              <w:t>s29(10)</w:t>
            </w:r>
          </w:p>
        </w:tc>
        <w:tc>
          <w:tcPr>
            <w:tcW w:w="7427" w:type="dxa"/>
          </w:tcPr>
          <w:p w14:paraId="27221004" w14:textId="77777777" w:rsidR="004C7180" w:rsidRPr="00150EDC" w:rsidRDefault="00CF0754">
            <w:pPr>
              <w:pStyle w:val="TableParagraph"/>
              <w:rPr>
                <w:sz w:val="20"/>
              </w:rPr>
            </w:pPr>
            <w:r w:rsidRPr="00150EDC">
              <w:rPr>
                <w:sz w:val="20"/>
              </w:rPr>
              <w:t>Offences</w:t>
            </w:r>
            <w:r w:rsidRPr="00150EDC">
              <w:rPr>
                <w:spacing w:val="-8"/>
                <w:sz w:val="20"/>
              </w:rPr>
              <w:t xml:space="preserve"> </w:t>
            </w:r>
            <w:r w:rsidRPr="00150EDC">
              <w:rPr>
                <w:sz w:val="20"/>
              </w:rPr>
              <w:t>under</w:t>
            </w:r>
            <w:r w:rsidRPr="00150EDC">
              <w:rPr>
                <w:spacing w:val="-3"/>
                <w:sz w:val="20"/>
              </w:rPr>
              <w:t xml:space="preserve"> </w:t>
            </w:r>
            <w:r w:rsidRPr="00150EDC">
              <w:rPr>
                <w:spacing w:val="-2"/>
                <w:sz w:val="20"/>
              </w:rPr>
              <w:t>regulations</w:t>
            </w:r>
          </w:p>
        </w:tc>
      </w:tr>
      <w:tr w:rsidR="004569EE" w:rsidRPr="007D3144" w14:paraId="3DDEDF2E" w14:textId="77777777">
        <w:trPr>
          <w:trHeight w:val="255"/>
        </w:trPr>
        <w:tc>
          <w:tcPr>
            <w:tcW w:w="6517" w:type="dxa"/>
          </w:tcPr>
          <w:p w14:paraId="3C73533D" w14:textId="77777777" w:rsidR="004C7180" w:rsidRPr="00150EDC" w:rsidRDefault="00CF0754">
            <w:pPr>
              <w:pStyle w:val="TableParagraph"/>
              <w:rPr>
                <w:sz w:val="20"/>
              </w:rPr>
            </w:pPr>
            <w:r w:rsidRPr="00150EDC">
              <w:rPr>
                <w:sz w:val="20"/>
              </w:rPr>
              <w:t>Representation</w:t>
            </w:r>
            <w:r w:rsidRPr="00150EDC">
              <w:rPr>
                <w:spacing w:val="-4"/>
                <w:sz w:val="20"/>
              </w:rPr>
              <w:t xml:space="preserve"> </w:t>
            </w:r>
            <w:r w:rsidRPr="00150EDC">
              <w:rPr>
                <w:sz w:val="20"/>
              </w:rPr>
              <w:t>of</w:t>
            </w:r>
            <w:r w:rsidRPr="00150EDC">
              <w:rPr>
                <w:spacing w:val="-8"/>
                <w:sz w:val="20"/>
              </w:rPr>
              <w:t xml:space="preserve"> </w:t>
            </w:r>
            <w:r w:rsidRPr="00150EDC">
              <w:rPr>
                <w:sz w:val="20"/>
              </w:rPr>
              <w:t>the</w:t>
            </w:r>
            <w:r w:rsidRPr="00150EDC">
              <w:rPr>
                <w:spacing w:val="-3"/>
                <w:sz w:val="20"/>
              </w:rPr>
              <w:t xml:space="preserve"> </w:t>
            </w:r>
            <w:r w:rsidRPr="00150EDC">
              <w:rPr>
                <w:sz w:val="20"/>
              </w:rPr>
              <w:t>People</w:t>
            </w:r>
            <w:r w:rsidRPr="00150EDC">
              <w:rPr>
                <w:spacing w:val="-7"/>
                <w:sz w:val="20"/>
              </w:rPr>
              <w:t xml:space="preserve"> </w:t>
            </w:r>
            <w:r w:rsidRPr="00150EDC">
              <w:rPr>
                <w:sz w:val="20"/>
              </w:rPr>
              <w:t>Act</w:t>
            </w:r>
            <w:r w:rsidRPr="00150EDC">
              <w:rPr>
                <w:spacing w:val="-7"/>
                <w:sz w:val="20"/>
              </w:rPr>
              <w:t xml:space="preserve"> </w:t>
            </w:r>
            <w:r w:rsidRPr="00150EDC">
              <w:rPr>
                <w:sz w:val="20"/>
              </w:rPr>
              <w:t>1949,</w:t>
            </w:r>
            <w:r w:rsidRPr="00150EDC">
              <w:rPr>
                <w:spacing w:val="-7"/>
                <w:sz w:val="20"/>
              </w:rPr>
              <w:t xml:space="preserve"> </w:t>
            </w:r>
            <w:r w:rsidRPr="00150EDC">
              <w:rPr>
                <w:spacing w:val="-4"/>
                <w:sz w:val="20"/>
              </w:rPr>
              <w:t>s101</w:t>
            </w:r>
          </w:p>
        </w:tc>
        <w:tc>
          <w:tcPr>
            <w:tcW w:w="7427" w:type="dxa"/>
          </w:tcPr>
          <w:p w14:paraId="2F4D2706" w14:textId="77777777" w:rsidR="004C7180" w:rsidRPr="00150EDC" w:rsidRDefault="00CF0754">
            <w:pPr>
              <w:pStyle w:val="TableParagraph"/>
              <w:rPr>
                <w:sz w:val="20"/>
              </w:rPr>
            </w:pPr>
            <w:r w:rsidRPr="00150EDC">
              <w:rPr>
                <w:spacing w:val="-2"/>
                <w:sz w:val="20"/>
              </w:rPr>
              <w:t>Abduction</w:t>
            </w:r>
          </w:p>
        </w:tc>
      </w:tr>
      <w:tr w:rsidR="004569EE" w:rsidRPr="007D3144" w14:paraId="1B293AAA" w14:textId="77777777">
        <w:trPr>
          <w:trHeight w:val="255"/>
        </w:trPr>
        <w:tc>
          <w:tcPr>
            <w:tcW w:w="6517" w:type="dxa"/>
          </w:tcPr>
          <w:p w14:paraId="2A24C4EC" w14:textId="77777777" w:rsidR="004C7180" w:rsidRPr="00150EDC" w:rsidRDefault="00CF0754">
            <w:pPr>
              <w:pStyle w:val="TableParagraph"/>
              <w:rPr>
                <w:sz w:val="20"/>
              </w:rPr>
            </w:pPr>
            <w:r w:rsidRPr="00150EDC">
              <w:rPr>
                <w:sz w:val="20"/>
              </w:rPr>
              <w:t>Road</w:t>
            </w:r>
            <w:r w:rsidRPr="00150EDC">
              <w:rPr>
                <w:spacing w:val="-8"/>
                <w:sz w:val="20"/>
              </w:rPr>
              <w:t xml:space="preserve"> </w:t>
            </w:r>
            <w:r w:rsidRPr="00150EDC">
              <w:rPr>
                <w:sz w:val="20"/>
              </w:rPr>
              <w:t>Traffic</w:t>
            </w:r>
            <w:r w:rsidRPr="00150EDC">
              <w:rPr>
                <w:spacing w:val="-5"/>
                <w:sz w:val="20"/>
              </w:rPr>
              <w:t xml:space="preserve"> </w:t>
            </w:r>
            <w:r w:rsidRPr="00150EDC">
              <w:rPr>
                <w:sz w:val="20"/>
              </w:rPr>
              <w:t>(Drink</w:t>
            </w:r>
            <w:r w:rsidRPr="00150EDC">
              <w:rPr>
                <w:spacing w:val="-6"/>
                <w:sz w:val="20"/>
              </w:rPr>
              <w:t xml:space="preserve"> </w:t>
            </w:r>
            <w:r w:rsidRPr="00150EDC">
              <w:rPr>
                <w:sz w:val="20"/>
              </w:rPr>
              <w:t>Driving)</w:t>
            </w:r>
            <w:r w:rsidRPr="00150EDC">
              <w:rPr>
                <w:spacing w:val="-7"/>
                <w:sz w:val="20"/>
              </w:rPr>
              <w:t xml:space="preserve"> </w:t>
            </w:r>
            <w:r w:rsidRPr="00150EDC">
              <w:rPr>
                <w:sz w:val="20"/>
              </w:rPr>
              <w:t>(Guernsey)</w:t>
            </w:r>
            <w:r w:rsidRPr="00150EDC">
              <w:rPr>
                <w:spacing w:val="-8"/>
                <w:sz w:val="20"/>
              </w:rPr>
              <w:t xml:space="preserve"> </w:t>
            </w:r>
            <w:r w:rsidRPr="00150EDC">
              <w:rPr>
                <w:sz w:val="20"/>
              </w:rPr>
              <w:t>Law</w:t>
            </w:r>
            <w:r w:rsidRPr="00150EDC">
              <w:rPr>
                <w:spacing w:val="-1"/>
                <w:sz w:val="20"/>
              </w:rPr>
              <w:t xml:space="preserve"> </w:t>
            </w:r>
            <w:r w:rsidRPr="00150EDC">
              <w:rPr>
                <w:sz w:val="20"/>
              </w:rPr>
              <w:t>1989,</w:t>
            </w:r>
            <w:r w:rsidRPr="00150EDC">
              <w:rPr>
                <w:spacing w:val="-2"/>
                <w:sz w:val="20"/>
              </w:rPr>
              <w:t xml:space="preserve"> </w:t>
            </w:r>
            <w:r w:rsidRPr="00150EDC">
              <w:rPr>
                <w:spacing w:val="-5"/>
                <w:sz w:val="20"/>
              </w:rPr>
              <w:t>s1A</w:t>
            </w:r>
          </w:p>
        </w:tc>
        <w:tc>
          <w:tcPr>
            <w:tcW w:w="7427" w:type="dxa"/>
          </w:tcPr>
          <w:p w14:paraId="5FA36A13" w14:textId="77777777" w:rsidR="004C7180" w:rsidRPr="00150EDC" w:rsidRDefault="00CF0754">
            <w:pPr>
              <w:pStyle w:val="TableParagraph"/>
              <w:rPr>
                <w:sz w:val="20"/>
              </w:rPr>
            </w:pPr>
            <w:r w:rsidRPr="00150EDC">
              <w:rPr>
                <w:sz w:val="20"/>
              </w:rPr>
              <w:t>Causing</w:t>
            </w:r>
            <w:r w:rsidRPr="00150EDC">
              <w:rPr>
                <w:spacing w:val="-6"/>
                <w:sz w:val="20"/>
              </w:rPr>
              <w:t xml:space="preserve"> </w:t>
            </w:r>
            <w:r w:rsidRPr="00150EDC">
              <w:rPr>
                <w:sz w:val="20"/>
              </w:rPr>
              <w:t>death</w:t>
            </w:r>
            <w:r w:rsidRPr="00150EDC">
              <w:rPr>
                <w:spacing w:val="-5"/>
                <w:sz w:val="20"/>
              </w:rPr>
              <w:t xml:space="preserve"> </w:t>
            </w:r>
            <w:r w:rsidRPr="00150EDC">
              <w:rPr>
                <w:sz w:val="20"/>
              </w:rPr>
              <w:t>by</w:t>
            </w:r>
            <w:r w:rsidRPr="00150EDC">
              <w:rPr>
                <w:spacing w:val="-4"/>
                <w:sz w:val="20"/>
              </w:rPr>
              <w:t xml:space="preserve"> </w:t>
            </w:r>
            <w:r w:rsidRPr="00150EDC">
              <w:rPr>
                <w:sz w:val="20"/>
              </w:rPr>
              <w:t>careless</w:t>
            </w:r>
            <w:r w:rsidRPr="00150EDC">
              <w:rPr>
                <w:spacing w:val="1"/>
                <w:sz w:val="20"/>
              </w:rPr>
              <w:t xml:space="preserve"> </w:t>
            </w:r>
            <w:r w:rsidRPr="00150EDC">
              <w:rPr>
                <w:sz w:val="20"/>
              </w:rPr>
              <w:t>driving</w:t>
            </w:r>
            <w:r w:rsidRPr="00150EDC">
              <w:rPr>
                <w:spacing w:val="-5"/>
                <w:sz w:val="20"/>
              </w:rPr>
              <w:t xml:space="preserve"> </w:t>
            </w:r>
            <w:r w:rsidRPr="00150EDC">
              <w:rPr>
                <w:sz w:val="20"/>
              </w:rPr>
              <w:t>when</w:t>
            </w:r>
            <w:r w:rsidRPr="00150EDC">
              <w:rPr>
                <w:spacing w:val="-5"/>
                <w:sz w:val="20"/>
              </w:rPr>
              <w:t xml:space="preserve"> </w:t>
            </w:r>
            <w:r w:rsidRPr="00150EDC">
              <w:rPr>
                <w:sz w:val="20"/>
              </w:rPr>
              <w:t>under the</w:t>
            </w:r>
            <w:r w:rsidRPr="00150EDC">
              <w:rPr>
                <w:spacing w:val="-5"/>
                <w:sz w:val="20"/>
              </w:rPr>
              <w:t xml:space="preserve"> </w:t>
            </w:r>
            <w:r w:rsidRPr="00150EDC">
              <w:rPr>
                <w:sz w:val="20"/>
              </w:rPr>
              <w:t>influence</w:t>
            </w:r>
            <w:r w:rsidRPr="00150EDC">
              <w:rPr>
                <w:spacing w:val="-6"/>
                <w:sz w:val="20"/>
              </w:rPr>
              <w:t xml:space="preserve"> </w:t>
            </w:r>
            <w:r w:rsidRPr="00150EDC">
              <w:rPr>
                <w:sz w:val="20"/>
              </w:rPr>
              <w:t>of</w:t>
            </w:r>
            <w:r w:rsidRPr="00150EDC">
              <w:rPr>
                <w:spacing w:val="-5"/>
                <w:sz w:val="20"/>
              </w:rPr>
              <w:t xml:space="preserve"> </w:t>
            </w:r>
            <w:r w:rsidRPr="00150EDC">
              <w:rPr>
                <w:sz w:val="20"/>
              </w:rPr>
              <w:t>drink</w:t>
            </w:r>
            <w:r w:rsidRPr="00150EDC">
              <w:rPr>
                <w:spacing w:val="-4"/>
                <w:sz w:val="20"/>
              </w:rPr>
              <w:t xml:space="preserve"> </w:t>
            </w:r>
            <w:r w:rsidRPr="00150EDC">
              <w:rPr>
                <w:sz w:val="20"/>
              </w:rPr>
              <w:t>or</w:t>
            </w:r>
            <w:r w:rsidRPr="00150EDC">
              <w:rPr>
                <w:spacing w:val="-1"/>
                <w:sz w:val="20"/>
              </w:rPr>
              <w:t xml:space="preserve"> </w:t>
            </w:r>
            <w:r w:rsidRPr="00150EDC">
              <w:rPr>
                <w:spacing w:val="-2"/>
                <w:sz w:val="20"/>
              </w:rPr>
              <w:t>drugs</w:t>
            </w:r>
          </w:p>
        </w:tc>
      </w:tr>
      <w:tr w:rsidR="004569EE" w:rsidRPr="007D3144" w14:paraId="74567354" w14:textId="77777777">
        <w:trPr>
          <w:trHeight w:val="255"/>
        </w:trPr>
        <w:tc>
          <w:tcPr>
            <w:tcW w:w="6517" w:type="dxa"/>
          </w:tcPr>
          <w:p w14:paraId="17BC447B" w14:textId="77777777" w:rsidR="004C7180" w:rsidRPr="00150EDC" w:rsidRDefault="00CF0754">
            <w:pPr>
              <w:pStyle w:val="TableParagraph"/>
              <w:rPr>
                <w:sz w:val="20"/>
              </w:rPr>
            </w:pPr>
            <w:r w:rsidRPr="00150EDC">
              <w:rPr>
                <w:sz w:val="20"/>
              </w:rPr>
              <w:t>Road</w:t>
            </w:r>
            <w:r w:rsidRPr="00150EDC">
              <w:rPr>
                <w:spacing w:val="-9"/>
                <w:sz w:val="20"/>
              </w:rPr>
              <w:t xml:space="preserve"> </w:t>
            </w:r>
            <w:r w:rsidRPr="00150EDC">
              <w:rPr>
                <w:sz w:val="20"/>
              </w:rPr>
              <w:t>Traffic</w:t>
            </w:r>
            <w:r w:rsidRPr="00150EDC">
              <w:rPr>
                <w:spacing w:val="-5"/>
                <w:sz w:val="20"/>
              </w:rPr>
              <w:t xml:space="preserve"> </w:t>
            </w:r>
            <w:r w:rsidRPr="00150EDC">
              <w:rPr>
                <w:sz w:val="20"/>
              </w:rPr>
              <w:t>(Jersey)</w:t>
            </w:r>
            <w:r w:rsidRPr="00150EDC">
              <w:rPr>
                <w:spacing w:val="-2"/>
                <w:sz w:val="20"/>
              </w:rPr>
              <w:t xml:space="preserve"> </w:t>
            </w:r>
            <w:r w:rsidRPr="00150EDC">
              <w:rPr>
                <w:sz w:val="20"/>
              </w:rPr>
              <w:t>Law</w:t>
            </w:r>
            <w:r w:rsidRPr="00150EDC">
              <w:rPr>
                <w:spacing w:val="-5"/>
                <w:sz w:val="20"/>
              </w:rPr>
              <w:t xml:space="preserve"> </w:t>
            </w:r>
            <w:r w:rsidRPr="00150EDC">
              <w:rPr>
                <w:sz w:val="20"/>
              </w:rPr>
              <w:t>1956,</w:t>
            </w:r>
            <w:r w:rsidRPr="00150EDC">
              <w:rPr>
                <w:spacing w:val="-6"/>
                <w:sz w:val="20"/>
              </w:rPr>
              <w:t xml:space="preserve"> </w:t>
            </w:r>
            <w:r w:rsidRPr="00150EDC">
              <w:rPr>
                <w:sz w:val="20"/>
              </w:rPr>
              <w:t>Art</w:t>
            </w:r>
            <w:r w:rsidRPr="00150EDC">
              <w:rPr>
                <w:spacing w:val="-2"/>
                <w:sz w:val="20"/>
              </w:rPr>
              <w:t xml:space="preserve"> </w:t>
            </w:r>
            <w:r w:rsidRPr="00150EDC">
              <w:rPr>
                <w:spacing w:val="-5"/>
                <w:sz w:val="20"/>
              </w:rPr>
              <w:t>14a</w:t>
            </w:r>
          </w:p>
        </w:tc>
        <w:tc>
          <w:tcPr>
            <w:tcW w:w="7427" w:type="dxa"/>
          </w:tcPr>
          <w:p w14:paraId="2C9BE96B" w14:textId="77777777" w:rsidR="004C7180" w:rsidRPr="00150EDC" w:rsidRDefault="00CF0754">
            <w:pPr>
              <w:pStyle w:val="TableParagraph"/>
              <w:rPr>
                <w:sz w:val="20"/>
              </w:rPr>
            </w:pPr>
            <w:r w:rsidRPr="00150EDC">
              <w:rPr>
                <w:sz w:val="20"/>
              </w:rPr>
              <w:t>Causing</w:t>
            </w:r>
            <w:r w:rsidRPr="00150EDC">
              <w:rPr>
                <w:spacing w:val="-8"/>
                <w:sz w:val="20"/>
              </w:rPr>
              <w:t xml:space="preserve"> </w:t>
            </w:r>
            <w:r w:rsidRPr="00150EDC">
              <w:rPr>
                <w:sz w:val="20"/>
              </w:rPr>
              <w:t>death</w:t>
            </w:r>
            <w:r w:rsidRPr="00150EDC">
              <w:rPr>
                <w:spacing w:val="-8"/>
                <w:sz w:val="20"/>
              </w:rPr>
              <w:t xml:space="preserve"> </w:t>
            </w:r>
            <w:r w:rsidRPr="00150EDC">
              <w:rPr>
                <w:sz w:val="20"/>
              </w:rPr>
              <w:t>by</w:t>
            </w:r>
            <w:r w:rsidRPr="00150EDC">
              <w:rPr>
                <w:spacing w:val="-2"/>
                <w:sz w:val="20"/>
              </w:rPr>
              <w:t xml:space="preserve"> </w:t>
            </w:r>
            <w:r w:rsidRPr="00150EDC">
              <w:rPr>
                <w:sz w:val="20"/>
              </w:rPr>
              <w:t>dangerous</w:t>
            </w:r>
            <w:r w:rsidRPr="00150EDC">
              <w:rPr>
                <w:spacing w:val="-2"/>
                <w:sz w:val="20"/>
              </w:rPr>
              <w:t xml:space="preserve"> driving</w:t>
            </w:r>
          </w:p>
        </w:tc>
      </w:tr>
      <w:tr w:rsidR="004569EE" w:rsidRPr="007D3144" w14:paraId="17D69ABF" w14:textId="77777777">
        <w:trPr>
          <w:trHeight w:val="255"/>
        </w:trPr>
        <w:tc>
          <w:tcPr>
            <w:tcW w:w="6517" w:type="dxa"/>
          </w:tcPr>
          <w:p w14:paraId="339345F7" w14:textId="77777777" w:rsidR="004C7180" w:rsidRPr="00150EDC" w:rsidRDefault="00CF0754">
            <w:pPr>
              <w:pStyle w:val="TableParagraph"/>
              <w:spacing w:before="28"/>
              <w:rPr>
                <w:sz w:val="20"/>
              </w:rPr>
            </w:pPr>
            <w:r w:rsidRPr="00150EDC">
              <w:rPr>
                <w:sz w:val="20"/>
              </w:rPr>
              <w:t>Road</w:t>
            </w:r>
            <w:r w:rsidRPr="00150EDC">
              <w:rPr>
                <w:spacing w:val="-9"/>
                <w:sz w:val="20"/>
              </w:rPr>
              <w:t xml:space="preserve"> </w:t>
            </w:r>
            <w:r w:rsidRPr="00150EDC">
              <w:rPr>
                <w:sz w:val="20"/>
              </w:rPr>
              <w:t>Traffic</w:t>
            </w:r>
            <w:r w:rsidRPr="00150EDC">
              <w:rPr>
                <w:spacing w:val="-5"/>
                <w:sz w:val="20"/>
              </w:rPr>
              <w:t xml:space="preserve"> </w:t>
            </w:r>
            <w:r w:rsidRPr="00150EDC">
              <w:rPr>
                <w:sz w:val="20"/>
              </w:rPr>
              <w:t>(Jersey)</w:t>
            </w:r>
            <w:r w:rsidRPr="00150EDC">
              <w:rPr>
                <w:spacing w:val="-2"/>
                <w:sz w:val="20"/>
              </w:rPr>
              <w:t xml:space="preserve"> </w:t>
            </w:r>
            <w:r w:rsidRPr="00150EDC">
              <w:rPr>
                <w:sz w:val="20"/>
              </w:rPr>
              <w:t>Law</w:t>
            </w:r>
            <w:r w:rsidRPr="00150EDC">
              <w:rPr>
                <w:spacing w:val="-5"/>
                <w:sz w:val="20"/>
              </w:rPr>
              <w:t xml:space="preserve"> </w:t>
            </w:r>
            <w:r w:rsidRPr="00150EDC">
              <w:rPr>
                <w:sz w:val="20"/>
              </w:rPr>
              <w:t>1956,</w:t>
            </w:r>
            <w:r w:rsidRPr="00150EDC">
              <w:rPr>
                <w:spacing w:val="-6"/>
                <w:sz w:val="20"/>
              </w:rPr>
              <w:t xml:space="preserve"> </w:t>
            </w:r>
            <w:r w:rsidRPr="00150EDC">
              <w:rPr>
                <w:sz w:val="20"/>
              </w:rPr>
              <w:t>Art</w:t>
            </w:r>
            <w:r w:rsidRPr="00150EDC">
              <w:rPr>
                <w:spacing w:val="-2"/>
                <w:sz w:val="20"/>
              </w:rPr>
              <w:t xml:space="preserve"> </w:t>
            </w:r>
            <w:r w:rsidRPr="00150EDC">
              <w:rPr>
                <w:spacing w:val="-5"/>
                <w:sz w:val="20"/>
              </w:rPr>
              <w:t>23</w:t>
            </w:r>
          </w:p>
        </w:tc>
        <w:tc>
          <w:tcPr>
            <w:tcW w:w="7427" w:type="dxa"/>
          </w:tcPr>
          <w:p w14:paraId="33EFF6AA" w14:textId="77777777" w:rsidR="004C7180" w:rsidRPr="00150EDC" w:rsidRDefault="00CF0754">
            <w:pPr>
              <w:pStyle w:val="TableParagraph"/>
              <w:spacing w:before="28"/>
              <w:rPr>
                <w:sz w:val="20"/>
              </w:rPr>
            </w:pPr>
            <w:r w:rsidRPr="00150EDC">
              <w:rPr>
                <w:sz w:val="20"/>
              </w:rPr>
              <w:t>Causing</w:t>
            </w:r>
            <w:r w:rsidRPr="00150EDC">
              <w:rPr>
                <w:spacing w:val="-8"/>
                <w:sz w:val="20"/>
              </w:rPr>
              <w:t xml:space="preserve"> </w:t>
            </w:r>
            <w:r w:rsidRPr="00150EDC">
              <w:rPr>
                <w:sz w:val="20"/>
              </w:rPr>
              <w:t>death</w:t>
            </w:r>
            <w:r w:rsidRPr="00150EDC">
              <w:rPr>
                <w:spacing w:val="-8"/>
                <w:sz w:val="20"/>
              </w:rPr>
              <w:t xml:space="preserve"> </w:t>
            </w:r>
            <w:r w:rsidRPr="00150EDC">
              <w:rPr>
                <w:sz w:val="20"/>
              </w:rPr>
              <w:t>by</w:t>
            </w:r>
            <w:r w:rsidRPr="00150EDC">
              <w:rPr>
                <w:spacing w:val="-2"/>
                <w:sz w:val="20"/>
              </w:rPr>
              <w:t xml:space="preserve"> </w:t>
            </w:r>
            <w:r w:rsidRPr="00150EDC">
              <w:rPr>
                <w:sz w:val="20"/>
              </w:rPr>
              <w:t>dangerous</w:t>
            </w:r>
            <w:r w:rsidRPr="00150EDC">
              <w:rPr>
                <w:spacing w:val="-2"/>
                <w:sz w:val="20"/>
              </w:rPr>
              <w:t xml:space="preserve"> driving</w:t>
            </w:r>
          </w:p>
        </w:tc>
      </w:tr>
      <w:tr w:rsidR="004569EE" w:rsidRPr="007D3144" w14:paraId="274DADBF" w14:textId="77777777">
        <w:trPr>
          <w:trHeight w:val="255"/>
        </w:trPr>
        <w:tc>
          <w:tcPr>
            <w:tcW w:w="6517" w:type="dxa"/>
          </w:tcPr>
          <w:p w14:paraId="1EFB53B3" w14:textId="77777777" w:rsidR="004C7180" w:rsidRPr="00150EDC" w:rsidRDefault="00CF0754">
            <w:pPr>
              <w:pStyle w:val="TableParagraph"/>
              <w:rPr>
                <w:sz w:val="20"/>
              </w:rPr>
            </w:pPr>
            <w:r w:rsidRPr="00150EDC">
              <w:rPr>
                <w:sz w:val="20"/>
              </w:rPr>
              <w:t>Road</w:t>
            </w:r>
            <w:r w:rsidRPr="00150EDC">
              <w:rPr>
                <w:spacing w:val="-9"/>
                <w:sz w:val="20"/>
              </w:rPr>
              <w:t xml:space="preserve"> </w:t>
            </w:r>
            <w:r w:rsidRPr="00150EDC">
              <w:rPr>
                <w:sz w:val="20"/>
              </w:rPr>
              <w:t>Traffic</w:t>
            </w:r>
            <w:r w:rsidRPr="00150EDC">
              <w:rPr>
                <w:spacing w:val="-5"/>
                <w:sz w:val="20"/>
              </w:rPr>
              <w:t xml:space="preserve"> </w:t>
            </w:r>
            <w:r w:rsidRPr="00150EDC">
              <w:rPr>
                <w:sz w:val="20"/>
              </w:rPr>
              <w:t>(Jersey)</w:t>
            </w:r>
            <w:r w:rsidRPr="00150EDC">
              <w:rPr>
                <w:spacing w:val="-2"/>
                <w:sz w:val="20"/>
              </w:rPr>
              <w:t xml:space="preserve"> </w:t>
            </w:r>
            <w:r w:rsidRPr="00150EDC">
              <w:rPr>
                <w:sz w:val="20"/>
              </w:rPr>
              <w:t>Law</w:t>
            </w:r>
            <w:r w:rsidRPr="00150EDC">
              <w:rPr>
                <w:spacing w:val="-5"/>
                <w:sz w:val="20"/>
              </w:rPr>
              <w:t xml:space="preserve"> </w:t>
            </w:r>
            <w:r w:rsidRPr="00150EDC">
              <w:rPr>
                <w:sz w:val="20"/>
              </w:rPr>
              <w:t>1956,</w:t>
            </w:r>
            <w:r w:rsidRPr="00150EDC">
              <w:rPr>
                <w:spacing w:val="-6"/>
                <w:sz w:val="20"/>
              </w:rPr>
              <w:t xml:space="preserve"> </w:t>
            </w:r>
            <w:r w:rsidRPr="00150EDC">
              <w:rPr>
                <w:sz w:val="20"/>
              </w:rPr>
              <w:t>Art</w:t>
            </w:r>
            <w:r w:rsidRPr="00150EDC">
              <w:rPr>
                <w:spacing w:val="-2"/>
                <w:sz w:val="20"/>
              </w:rPr>
              <w:t xml:space="preserve"> </w:t>
            </w:r>
            <w:r w:rsidRPr="00150EDC">
              <w:rPr>
                <w:spacing w:val="-5"/>
                <w:sz w:val="20"/>
              </w:rPr>
              <w:t>26</w:t>
            </w:r>
          </w:p>
        </w:tc>
        <w:tc>
          <w:tcPr>
            <w:tcW w:w="7427" w:type="dxa"/>
          </w:tcPr>
          <w:p w14:paraId="2AC6CA5A" w14:textId="77777777" w:rsidR="004C7180" w:rsidRPr="00150EDC" w:rsidRDefault="00CF0754">
            <w:pPr>
              <w:pStyle w:val="TableParagraph"/>
              <w:rPr>
                <w:sz w:val="20"/>
              </w:rPr>
            </w:pPr>
            <w:r w:rsidRPr="00150EDC">
              <w:rPr>
                <w:sz w:val="20"/>
              </w:rPr>
              <w:t>Causing</w:t>
            </w:r>
            <w:r w:rsidRPr="00150EDC">
              <w:rPr>
                <w:spacing w:val="-6"/>
                <w:sz w:val="20"/>
              </w:rPr>
              <w:t xml:space="preserve"> </w:t>
            </w:r>
            <w:r w:rsidRPr="00150EDC">
              <w:rPr>
                <w:sz w:val="20"/>
              </w:rPr>
              <w:t>death</w:t>
            </w:r>
            <w:r w:rsidRPr="00150EDC">
              <w:rPr>
                <w:spacing w:val="-5"/>
                <w:sz w:val="20"/>
              </w:rPr>
              <w:t xml:space="preserve"> </w:t>
            </w:r>
            <w:r w:rsidRPr="00150EDC">
              <w:rPr>
                <w:sz w:val="20"/>
              </w:rPr>
              <w:t>by</w:t>
            </w:r>
            <w:r w:rsidRPr="00150EDC">
              <w:rPr>
                <w:spacing w:val="-4"/>
                <w:sz w:val="20"/>
              </w:rPr>
              <w:t xml:space="preserve"> </w:t>
            </w:r>
            <w:r w:rsidRPr="00150EDC">
              <w:rPr>
                <w:sz w:val="20"/>
              </w:rPr>
              <w:t>careless</w:t>
            </w:r>
            <w:r w:rsidRPr="00150EDC">
              <w:rPr>
                <w:spacing w:val="1"/>
                <w:sz w:val="20"/>
              </w:rPr>
              <w:t xml:space="preserve"> </w:t>
            </w:r>
            <w:r w:rsidRPr="00150EDC">
              <w:rPr>
                <w:sz w:val="20"/>
              </w:rPr>
              <w:t>driving</w:t>
            </w:r>
            <w:r w:rsidRPr="00150EDC">
              <w:rPr>
                <w:spacing w:val="-5"/>
                <w:sz w:val="20"/>
              </w:rPr>
              <w:t xml:space="preserve"> </w:t>
            </w:r>
            <w:r w:rsidRPr="00150EDC">
              <w:rPr>
                <w:sz w:val="20"/>
              </w:rPr>
              <w:t>when</w:t>
            </w:r>
            <w:r w:rsidRPr="00150EDC">
              <w:rPr>
                <w:spacing w:val="-5"/>
                <w:sz w:val="20"/>
              </w:rPr>
              <w:t xml:space="preserve"> </w:t>
            </w:r>
            <w:r w:rsidRPr="00150EDC">
              <w:rPr>
                <w:sz w:val="20"/>
              </w:rPr>
              <w:t>under the</w:t>
            </w:r>
            <w:r w:rsidRPr="00150EDC">
              <w:rPr>
                <w:spacing w:val="-5"/>
                <w:sz w:val="20"/>
              </w:rPr>
              <w:t xml:space="preserve"> </w:t>
            </w:r>
            <w:r w:rsidRPr="00150EDC">
              <w:rPr>
                <w:sz w:val="20"/>
              </w:rPr>
              <w:t>influence</w:t>
            </w:r>
            <w:r w:rsidRPr="00150EDC">
              <w:rPr>
                <w:spacing w:val="-6"/>
                <w:sz w:val="20"/>
              </w:rPr>
              <w:t xml:space="preserve"> </w:t>
            </w:r>
            <w:r w:rsidRPr="00150EDC">
              <w:rPr>
                <w:sz w:val="20"/>
              </w:rPr>
              <w:t>of</w:t>
            </w:r>
            <w:r w:rsidRPr="00150EDC">
              <w:rPr>
                <w:spacing w:val="-5"/>
                <w:sz w:val="20"/>
              </w:rPr>
              <w:t xml:space="preserve"> </w:t>
            </w:r>
            <w:r w:rsidRPr="00150EDC">
              <w:rPr>
                <w:sz w:val="20"/>
              </w:rPr>
              <w:t>drink</w:t>
            </w:r>
            <w:r w:rsidRPr="00150EDC">
              <w:rPr>
                <w:spacing w:val="-4"/>
                <w:sz w:val="20"/>
              </w:rPr>
              <w:t xml:space="preserve"> </w:t>
            </w:r>
            <w:r w:rsidRPr="00150EDC">
              <w:rPr>
                <w:sz w:val="20"/>
              </w:rPr>
              <w:t>or</w:t>
            </w:r>
            <w:r w:rsidRPr="00150EDC">
              <w:rPr>
                <w:spacing w:val="-1"/>
                <w:sz w:val="20"/>
              </w:rPr>
              <w:t xml:space="preserve"> </w:t>
            </w:r>
            <w:r w:rsidRPr="00150EDC">
              <w:rPr>
                <w:spacing w:val="-2"/>
                <w:sz w:val="20"/>
              </w:rPr>
              <w:t>drugs</w:t>
            </w:r>
          </w:p>
        </w:tc>
      </w:tr>
      <w:tr w:rsidR="004569EE" w:rsidRPr="007D3144" w14:paraId="7CDAC113" w14:textId="77777777">
        <w:trPr>
          <w:trHeight w:val="255"/>
        </w:trPr>
        <w:tc>
          <w:tcPr>
            <w:tcW w:w="6517" w:type="dxa"/>
          </w:tcPr>
          <w:p w14:paraId="6A0F4410" w14:textId="77777777" w:rsidR="004C7180" w:rsidRPr="00150EDC" w:rsidRDefault="00CF0754">
            <w:pPr>
              <w:pStyle w:val="TableParagraph"/>
              <w:rPr>
                <w:sz w:val="20"/>
              </w:rPr>
            </w:pPr>
            <w:r w:rsidRPr="00150EDC">
              <w:rPr>
                <w:sz w:val="20"/>
              </w:rPr>
              <w:t>Road</w:t>
            </w:r>
            <w:r w:rsidRPr="00150EDC">
              <w:rPr>
                <w:spacing w:val="-6"/>
                <w:sz w:val="20"/>
              </w:rPr>
              <w:t xml:space="preserve"> </w:t>
            </w:r>
            <w:r w:rsidRPr="00150EDC">
              <w:rPr>
                <w:sz w:val="20"/>
              </w:rPr>
              <w:t>Traffic</w:t>
            </w:r>
            <w:r w:rsidRPr="00150EDC">
              <w:rPr>
                <w:spacing w:val="-5"/>
                <w:sz w:val="20"/>
              </w:rPr>
              <w:t xml:space="preserve"> </w:t>
            </w:r>
            <w:r w:rsidRPr="00150EDC">
              <w:rPr>
                <w:sz w:val="20"/>
              </w:rPr>
              <w:t>(Northern</w:t>
            </w:r>
            <w:r w:rsidRPr="00150EDC">
              <w:rPr>
                <w:spacing w:val="-6"/>
                <w:sz w:val="20"/>
              </w:rPr>
              <w:t xml:space="preserve"> </w:t>
            </w:r>
            <w:r w:rsidRPr="00150EDC">
              <w:rPr>
                <w:sz w:val="20"/>
              </w:rPr>
              <w:t>Ireland)</w:t>
            </w:r>
            <w:r w:rsidRPr="00150EDC">
              <w:rPr>
                <w:spacing w:val="-5"/>
                <w:sz w:val="20"/>
              </w:rPr>
              <w:t xml:space="preserve"> </w:t>
            </w:r>
            <w:r w:rsidRPr="00150EDC">
              <w:rPr>
                <w:sz w:val="20"/>
              </w:rPr>
              <w:t>Order</w:t>
            </w:r>
            <w:r w:rsidRPr="00150EDC">
              <w:rPr>
                <w:spacing w:val="-6"/>
                <w:sz w:val="20"/>
              </w:rPr>
              <w:t xml:space="preserve"> </w:t>
            </w:r>
            <w:r w:rsidRPr="00150EDC">
              <w:rPr>
                <w:sz w:val="20"/>
              </w:rPr>
              <w:t>1981,</w:t>
            </w:r>
            <w:r w:rsidRPr="00150EDC">
              <w:rPr>
                <w:spacing w:val="-6"/>
                <w:sz w:val="20"/>
              </w:rPr>
              <w:t xml:space="preserve"> </w:t>
            </w:r>
            <w:r w:rsidRPr="00150EDC">
              <w:rPr>
                <w:sz w:val="20"/>
              </w:rPr>
              <w:t>Art</w:t>
            </w:r>
            <w:r w:rsidRPr="00150EDC">
              <w:rPr>
                <w:spacing w:val="-1"/>
                <w:sz w:val="20"/>
              </w:rPr>
              <w:t xml:space="preserve"> </w:t>
            </w:r>
            <w:r w:rsidRPr="00150EDC">
              <w:rPr>
                <w:spacing w:val="-5"/>
                <w:sz w:val="20"/>
              </w:rPr>
              <w:t>139</w:t>
            </w:r>
          </w:p>
        </w:tc>
        <w:tc>
          <w:tcPr>
            <w:tcW w:w="7427" w:type="dxa"/>
          </w:tcPr>
          <w:p w14:paraId="66B3052F" w14:textId="77777777" w:rsidR="004C7180" w:rsidRPr="00150EDC" w:rsidRDefault="00CF0754">
            <w:pPr>
              <w:pStyle w:val="TableParagraph"/>
              <w:rPr>
                <w:sz w:val="20"/>
              </w:rPr>
            </w:pPr>
            <w:r w:rsidRPr="00150EDC">
              <w:rPr>
                <w:sz w:val="20"/>
              </w:rPr>
              <w:t>Causing</w:t>
            </w:r>
            <w:r w:rsidRPr="00150EDC">
              <w:rPr>
                <w:spacing w:val="-6"/>
                <w:sz w:val="20"/>
              </w:rPr>
              <w:t xml:space="preserve"> </w:t>
            </w:r>
            <w:r w:rsidRPr="00150EDC">
              <w:rPr>
                <w:sz w:val="20"/>
              </w:rPr>
              <w:t>death</w:t>
            </w:r>
            <w:r w:rsidRPr="00150EDC">
              <w:rPr>
                <w:spacing w:val="-5"/>
                <w:sz w:val="20"/>
              </w:rPr>
              <w:t xml:space="preserve"> </w:t>
            </w:r>
            <w:r w:rsidRPr="00150EDC">
              <w:rPr>
                <w:sz w:val="20"/>
              </w:rPr>
              <w:t>or</w:t>
            </w:r>
            <w:r w:rsidRPr="00150EDC">
              <w:rPr>
                <w:spacing w:val="-6"/>
                <w:sz w:val="20"/>
              </w:rPr>
              <w:t xml:space="preserve"> </w:t>
            </w:r>
            <w:r w:rsidRPr="00150EDC">
              <w:rPr>
                <w:sz w:val="20"/>
              </w:rPr>
              <w:t>grievous</w:t>
            </w:r>
            <w:r w:rsidRPr="00150EDC">
              <w:rPr>
                <w:spacing w:val="-4"/>
                <w:sz w:val="20"/>
              </w:rPr>
              <w:t xml:space="preserve"> </w:t>
            </w:r>
            <w:r w:rsidRPr="00150EDC">
              <w:rPr>
                <w:sz w:val="20"/>
              </w:rPr>
              <w:t>bodily</w:t>
            </w:r>
            <w:r w:rsidRPr="00150EDC">
              <w:rPr>
                <w:spacing w:val="-4"/>
                <w:sz w:val="20"/>
              </w:rPr>
              <w:t xml:space="preserve"> </w:t>
            </w:r>
            <w:r w:rsidRPr="00150EDC">
              <w:rPr>
                <w:sz w:val="20"/>
              </w:rPr>
              <w:t>harm</w:t>
            </w:r>
            <w:r w:rsidRPr="00150EDC">
              <w:rPr>
                <w:spacing w:val="-6"/>
                <w:sz w:val="20"/>
              </w:rPr>
              <w:t xml:space="preserve"> </w:t>
            </w:r>
            <w:r w:rsidRPr="00150EDC">
              <w:rPr>
                <w:sz w:val="20"/>
              </w:rPr>
              <w:t>by reckless</w:t>
            </w:r>
            <w:r w:rsidRPr="00150EDC">
              <w:rPr>
                <w:spacing w:val="-4"/>
                <w:sz w:val="20"/>
              </w:rPr>
              <w:t xml:space="preserve"> </w:t>
            </w:r>
            <w:r w:rsidRPr="00150EDC">
              <w:rPr>
                <w:spacing w:val="-2"/>
                <w:sz w:val="20"/>
              </w:rPr>
              <w:t>driving</w:t>
            </w:r>
          </w:p>
        </w:tc>
      </w:tr>
      <w:tr w:rsidR="004569EE" w:rsidRPr="007D3144" w14:paraId="77DD2753" w14:textId="77777777">
        <w:trPr>
          <w:trHeight w:val="255"/>
        </w:trPr>
        <w:tc>
          <w:tcPr>
            <w:tcW w:w="6517" w:type="dxa"/>
          </w:tcPr>
          <w:p w14:paraId="6F2DF068" w14:textId="77777777" w:rsidR="004C7180" w:rsidRPr="00150EDC" w:rsidRDefault="00CF0754">
            <w:pPr>
              <w:pStyle w:val="TableParagraph"/>
              <w:rPr>
                <w:sz w:val="20"/>
              </w:rPr>
            </w:pPr>
            <w:r w:rsidRPr="00150EDC">
              <w:rPr>
                <w:sz w:val="20"/>
              </w:rPr>
              <w:t>Road</w:t>
            </w:r>
            <w:r w:rsidRPr="00150EDC">
              <w:rPr>
                <w:spacing w:val="-6"/>
                <w:sz w:val="20"/>
              </w:rPr>
              <w:t xml:space="preserve"> </w:t>
            </w:r>
            <w:r w:rsidRPr="00150EDC">
              <w:rPr>
                <w:sz w:val="20"/>
              </w:rPr>
              <w:t>Traffic</w:t>
            </w:r>
            <w:r w:rsidRPr="00150EDC">
              <w:rPr>
                <w:spacing w:val="-4"/>
                <w:sz w:val="20"/>
              </w:rPr>
              <w:t xml:space="preserve"> </w:t>
            </w:r>
            <w:r w:rsidRPr="00150EDC">
              <w:rPr>
                <w:sz w:val="20"/>
              </w:rPr>
              <w:t>(Northern</w:t>
            </w:r>
            <w:r w:rsidRPr="00150EDC">
              <w:rPr>
                <w:spacing w:val="-6"/>
                <w:sz w:val="20"/>
              </w:rPr>
              <w:t xml:space="preserve"> </w:t>
            </w:r>
            <w:r w:rsidRPr="00150EDC">
              <w:rPr>
                <w:sz w:val="20"/>
              </w:rPr>
              <w:t>Ireland)</w:t>
            </w:r>
            <w:r w:rsidRPr="00150EDC">
              <w:rPr>
                <w:spacing w:val="-5"/>
                <w:sz w:val="20"/>
              </w:rPr>
              <w:t xml:space="preserve"> </w:t>
            </w:r>
            <w:r w:rsidRPr="00150EDC">
              <w:rPr>
                <w:sz w:val="20"/>
              </w:rPr>
              <w:t>Order</w:t>
            </w:r>
            <w:r w:rsidRPr="00150EDC">
              <w:rPr>
                <w:spacing w:val="-6"/>
                <w:sz w:val="20"/>
              </w:rPr>
              <w:t xml:space="preserve"> </w:t>
            </w:r>
            <w:r w:rsidRPr="00150EDC">
              <w:rPr>
                <w:sz w:val="20"/>
              </w:rPr>
              <w:t>1981,</w:t>
            </w:r>
            <w:r w:rsidRPr="00150EDC">
              <w:rPr>
                <w:spacing w:val="-6"/>
                <w:sz w:val="20"/>
              </w:rPr>
              <w:t xml:space="preserve"> </w:t>
            </w:r>
            <w:r w:rsidRPr="00150EDC">
              <w:rPr>
                <w:sz w:val="20"/>
              </w:rPr>
              <w:t xml:space="preserve">Art </w:t>
            </w:r>
            <w:r w:rsidRPr="00150EDC">
              <w:rPr>
                <w:spacing w:val="-2"/>
                <w:sz w:val="20"/>
              </w:rPr>
              <w:t>172(b)</w:t>
            </w:r>
          </w:p>
        </w:tc>
        <w:tc>
          <w:tcPr>
            <w:tcW w:w="7427" w:type="dxa"/>
          </w:tcPr>
          <w:p w14:paraId="506CC562" w14:textId="77777777" w:rsidR="004C7180" w:rsidRPr="00150EDC" w:rsidRDefault="00CF0754">
            <w:pPr>
              <w:pStyle w:val="TableParagraph"/>
              <w:rPr>
                <w:sz w:val="20"/>
              </w:rPr>
            </w:pPr>
            <w:r w:rsidRPr="00150EDC">
              <w:rPr>
                <w:sz w:val="20"/>
              </w:rPr>
              <w:t>Aggravated</w:t>
            </w:r>
            <w:r w:rsidRPr="00150EDC">
              <w:rPr>
                <w:spacing w:val="-7"/>
                <w:sz w:val="20"/>
              </w:rPr>
              <w:t xml:space="preserve"> </w:t>
            </w:r>
            <w:r w:rsidRPr="00150EDC">
              <w:rPr>
                <w:sz w:val="20"/>
              </w:rPr>
              <w:t>vehicle</w:t>
            </w:r>
            <w:r w:rsidRPr="00150EDC">
              <w:rPr>
                <w:spacing w:val="-5"/>
                <w:sz w:val="20"/>
              </w:rPr>
              <w:t xml:space="preserve"> </w:t>
            </w:r>
            <w:r w:rsidRPr="00150EDC">
              <w:rPr>
                <w:sz w:val="20"/>
              </w:rPr>
              <w:t>taking</w:t>
            </w:r>
            <w:r w:rsidRPr="00150EDC">
              <w:rPr>
                <w:spacing w:val="-6"/>
                <w:sz w:val="20"/>
              </w:rPr>
              <w:t xml:space="preserve"> </w:t>
            </w:r>
            <w:r w:rsidRPr="00150EDC">
              <w:rPr>
                <w:sz w:val="20"/>
              </w:rPr>
              <w:t>causing</w:t>
            </w:r>
            <w:r w:rsidRPr="00150EDC">
              <w:rPr>
                <w:spacing w:val="-6"/>
                <w:sz w:val="20"/>
              </w:rPr>
              <w:t xml:space="preserve"> </w:t>
            </w:r>
            <w:r w:rsidRPr="00150EDC">
              <w:rPr>
                <w:sz w:val="20"/>
              </w:rPr>
              <w:t>death</w:t>
            </w:r>
            <w:r w:rsidRPr="00150EDC">
              <w:rPr>
                <w:spacing w:val="-3"/>
                <w:sz w:val="20"/>
              </w:rPr>
              <w:t xml:space="preserve"> </w:t>
            </w:r>
            <w:r w:rsidRPr="00150EDC">
              <w:rPr>
                <w:sz w:val="20"/>
              </w:rPr>
              <w:t>or</w:t>
            </w:r>
            <w:r w:rsidRPr="00150EDC">
              <w:rPr>
                <w:spacing w:val="-6"/>
                <w:sz w:val="20"/>
              </w:rPr>
              <w:t xml:space="preserve"> </w:t>
            </w:r>
            <w:r w:rsidRPr="00150EDC">
              <w:rPr>
                <w:sz w:val="20"/>
              </w:rPr>
              <w:t>grievous bodily</w:t>
            </w:r>
            <w:r w:rsidRPr="00150EDC">
              <w:rPr>
                <w:spacing w:val="-5"/>
                <w:sz w:val="20"/>
              </w:rPr>
              <w:t xml:space="preserve"> </w:t>
            </w:r>
            <w:r w:rsidRPr="00150EDC">
              <w:rPr>
                <w:spacing w:val="-2"/>
                <w:sz w:val="20"/>
              </w:rPr>
              <w:t>injury</w:t>
            </w:r>
          </w:p>
        </w:tc>
      </w:tr>
      <w:tr w:rsidR="004569EE" w:rsidRPr="007D3144" w14:paraId="3895AA80" w14:textId="77777777">
        <w:trPr>
          <w:trHeight w:val="255"/>
        </w:trPr>
        <w:tc>
          <w:tcPr>
            <w:tcW w:w="6517" w:type="dxa"/>
          </w:tcPr>
          <w:p w14:paraId="7A3A9C7A" w14:textId="77777777" w:rsidR="004C7180" w:rsidRPr="00150EDC" w:rsidRDefault="00CF0754">
            <w:pPr>
              <w:pStyle w:val="TableParagraph"/>
              <w:spacing w:before="28"/>
              <w:rPr>
                <w:sz w:val="20"/>
              </w:rPr>
            </w:pPr>
            <w:r w:rsidRPr="00150EDC">
              <w:rPr>
                <w:sz w:val="20"/>
              </w:rPr>
              <w:t>Road</w:t>
            </w:r>
            <w:r w:rsidRPr="00150EDC">
              <w:rPr>
                <w:spacing w:val="-6"/>
                <w:sz w:val="20"/>
              </w:rPr>
              <w:t xml:space="preserve"> </w:t>
            </w:r>
            <w:r w:rsidRPr="00150EDC">
              <w:rPr>
                <w:sz w:val="20"/>
              </w:rPr>
              <w:t>Traffic</w:t>
            </w:r>
            <w:r w:rsidRPr="00150EDC">
              <w:rPr>
                <w:spacing w:val="-5"/>
                <w:sz w:val="20"/>
              </w:rPr>
              <w:t xml:space="preserve"> </w:t>
            </w:r>
            <w:r w:rsidRPr="00150EDC">
              <w:rPr>
                <w:sz w:val="20"/>
              </w:rPr>
              <w:t>(Northern</w:t>
            </w:r>
            <w:r w:rsidRPr="00150EDC">
              <w:rPr>
                <w:spacing w:val="-6"/>
                <w:sz w:val="20"/>
              </w:rPr>
              <w:t xml:space="preserve"> </w:t>
            </w:r>
            <w:r w:rsidRPr="00150EDC">
              <w:rPr>
                <w:sz w:val="20"/>
              </w:rPr>
              <w:t>Ireland)</w:t>
            </w:r>
            <w:r w:rsidRPr="00150EDC">
              <w:rPr>
                <w:spacing w:val="-5"/>
                <w:sz w:val="20"/>
              </w:rPr>
              <w:t xml:space="preserve"> </w:t>
            </w:r>
            <w:r w:rsidRPr="00150EDC">
              <w:rPr>
                <w:sz w:val="20"/>
              </w:rPr>
              <w:t>Order</w:t>
            </w:r>
            <w:r w:rsidRPr="00150EDC">
              <w:rPr>
                <w:spacing w:val="-6"/>
                <w:sz w:val="20"/>
              </w:rPr>
              <w:t xml:space="preserve"> </w:t>
            </w:r>
            <w:r w:rsidRPr="00150EDC">
              <w:rPr>
                <w:sz w:val="20"/>
              </w:rPr>
              <w:t>1995,</w:t>
            </w:r>
            <w:r w:rsidRPr="00150EDC">
              <w:rPr>
                <w:spacing w:val="-6"/>
                <w:sz w:val="20"/>
              </w:rPr>
              <w:t xml:space="preserve"> </w:t>
            </w:r>
            <w:r w:rsidRPr="00150EDC">
              <w:rPr>
                <w:sz w:val="20"/>
              </w:rPr>
              <w:t>Art</w:t>
            </w:r>
            <w:r w:rsidRPr="00150EDC">
              <w:rPr>
                <w:spacing w:val="-1"/>
                <w:sz w:val="20"/>
              </w:rPr>
              <w:t xml:space="preserve"> </w:t>
            </w:r>
            <w:r w:rsidRPr="00150EDC">
              <w:rPr>
                <w:spacing w:val="-4"/>
                <w:sz w:val="20"/>
              </w:rPr>
              <w:t>11(a)</w:t>
            </w:r>
          </w:p>
        </w:tc>
        <w:tc>
          <w:tcPr>
            <w:tcW w:w="7427" w:type="dxa"/>
          </w:tcPr>
          <w:p w14:paraId="3591E1F1" w14:textId="77777777" w:rsidR="004C7180" w:rsidRPr="00150EDC" w:rsidRDefault="00CF0754">
            <w:pPr>
              <w:pStyle w:val="TableParagraph"/>
              <w:spacing w:before="28"/>
              <w:rPr>
                <w:sz w:val="20"/>
              </w:rPr>
            </w:pPr>
            <w:r w:rsidRPr="00150EDC">
              <w:rPr>
                <w:sz w:val="20"/>
              </w:rPr>
              <w:t>Causing</w:t>
            </w:r>
            <w:r w:rsidRPr="00150EDC">
              <w:rPr>
                <w:spacing w:val="-6"/>
                <w:sz w:val="20"/>
              </w:rPr>
              <w:t xml:space="preserve"> </w:t>
            </w:r>
            <w:r w:rsidRPr="00150EDC">
              <w:rPr>
                <w:sz w:val="20"/>
              </w:rPr>
              <w:t>death</w:t>
            </w:r>
            <w:r w:rsidRPr="00150EDC">
              <w:rPr>
                <w:spacing w:val="-5"/>
                <w:sz w:val="20"/>
              </w:rPr>
              <w:t xml:space="preserve"> </w:t>
            </w:r>
            <w:r w:rsidRPr="00150EDC">
              <w:rPr>
                <w:sz w:val="20"/>
              </w:rPr>
              <w:t>or</w:t>
            </w:r>
            <w:r w:rsidRPr="00150EDC">
              <w:rPr>
                <w:spacing w:val="-5"/>
                <w:sz w:val="20"/>
              </w:rPr>
              <w:t xml:space="preserve"> </w:t>
            </w:r>
            <w:r w:rsidRPr="00150EDC">
              <w:rPr>
                <w:sz w:val="20"/>
              </w:rPr>
              <w:t>grievous</w:t>
            </w:r>
            <w:r w:rsidRPr="00150EDC">
              <w:rPr>
                <w:spacing w:val="-5"/>
                <w:sz w:val="20"/>
              </w:rPr>
              <w:t xml:space="preserve"> </w:t>
            </w:r>
            <w:r w:rsidRPr="00150EDC">
              <w:rPr>
                <w:sz w:val="20"/>
              </w:rPr>
              <w:t>bodily</w:t>
            </w:r>
            <w:r w:rsidRPr="00150EDC">
              <w:rPr>
                <w:spacing w:val="-4"/>
                <w:sz w:val="20"/>
              </w:rPr>
              <w:t xml:space="preserve"> </w:t>
            </w:r>
            <w:r w:rsidRPr="00150EDC">
              <w:rPr>
                <w:sz w:val="20"/>
              </w:rPr>
              <w:t>injury by</w:t>
            </w:r>
            <w:r w:rsidRPr="00150EDC">
              <w:rPr>
                <w:spacing w:val="-4"/>
                <w:sz w:val="20"/>
              </w:rPr>
              <w:t xml:space="preserve"> </w:t>
            </w:r>
            <w:r w:rsidRPr="00150EDC">
              <w:rPr>
                <w:sz w:val="20"/>
              </w:rPr>
              <w:t>careless</w:t>
            </w:r>
            <w:r w:rsidRPr="00150EDC">
              <w:rPr>
                <w:spacing w:val="-4"/>
                <w:sz w:val="20"/>
              </w:rPr>
              <w:t xml:space="preserve"> </w:t>
            </w:r>
            <w:r w:rsidRPr="00150EDC">
              <w:rPr>
                <w:sz w:val="20"/>
              </w:rPr>
              <w:t>or</w:t>
            </w:r>
            <w:r w:rsidRPr="00150EDC">
              <w:rPr>
                <w:spacing w:val="-6"/>
                <w:sz w:val="20"/>
              </w:rPr>
              <w:t xml:space="preserve"> </w:t>
            </w:r>
            <w:r w:rsidRPr="00150EDC">
              <w:rPr>
                <w:sz w:val="20"/>
              </w:rPr>
              <w:t>inconsiderate</w:t>
            </w:r>
            <w:r w:rsidRPr="00150EDC">
              <w:rPr>
                <w:spacing w:val="-5"/>
                <w:sz w:val="20"/>
              </w:rPr>
              <w:t xml:space="preserve"> </w:t>
            </w:r>
            <w:r w:rsidRPr="00150EDC">
              <w:rPr>
                <w:spacing w:val="-2"/>
                <w:sz w:val="20"/>
              </w:rPr>
              <w:t>driving</w:t>
            </w:r>
          </w:p>
        </w:tc>
      </w:tr>
      <w:tr w:rsidR="004569EE" w:rsidRPr="007D3144" w14:paraId="111A86CB" w14:textId="77777777">
        <w:trPr>
          <w:trHeight w:val="255"/>
        </w:trPr>
        <w:tc>
          <w:tcPr>
            <w:tcW w:w="6517" w:type="dxa"/>
          </w:tcPr>
          <w:p w14:paraId="60BAC312" w14:textId="77777777" w:rsidR="004C7180" w:rsidRPr="00150EDC" w:rsidRDefault="00CF0754">
            <w:pPr>
              <w:pStyle w:val="TableParagraph"/>
              <w:rPr>
                <w:sz w:val="20"/>
              </w:rPr>
            </w:pPr>
            <w:r w:rsidRPr="00150EDC">
              <w:rPr>
                <w:sz w:val="20"/>
              </w:rPr>
              <w:t>Road</w:t>
            </w:r>
            <w:r w:rsidRPr="00150EDC">
              <w:rPr>
                <w:spacing w:val="-6"/>
                <w:sz w:val="20"/>
              </w:rPr>
              <w:t xml:space="preserve"> </w:t>
            </w:r>
            <w:r w:rsidRPr="00150EDC">
              <w:rPr>
                <w:sz w:val="20"/>
              </w:rPr>
              <w:t>Traffic</w:t>
            </w:r>
            <w:r w:rsidRPr="00150EDC">
              <w:rPr>
                <w:spacing w:val="-4"/>
                <w:sz w:val="20"/>
              </w:rPr>
              <w:t xml:space="preserve"> </w:t>
            </w:r>
            <w:r w:rsidRPr="00150EDC">
              <w:rPr>
                <w:sz w:val="20"/>
              </w:rPr>
              <w:t>(Northern</w:t>
            </w:r>
            <w:r w:rsidRPr="00150EDC">
              <w:rPr>
                <w:spacing w:val="-6"/>
                <w:sz w:val="20"/>
              </w:rPr>
              <w:t xml:space="preserve"> </w:t>
            </w:r>
            <w:r w:rsidRPr="00150EDC">
              <w:rPr>
                <w:sz w:val="20"/>
              </w:rPr>
              <w:t>Ireland)</w:t>
            </w:r>
            <w:r w:rsidRPr="00150EDC">
              <w:rPr>
                <w:spacing w:val="-6"/>
                <w:sz w:val="20"/>
              </w:rPr>
              <w:t xml:space="preserve"> </w:t>
            </w:r>
            <w:r w:rsidRPr="00150EDC">
              <w:rPr>
                <w:sz w:val="20"/>
              </w:rPr>
              <w:t>Order</w:t>
            </w:r>
            <w:r w:rsidRPr="00150EDC">
              <w:rPr>
                <w:spacing w:val="-6"/>
                <w:sz w:val="20"/>
              </w:rPr>
              <w:t xml:space="preserve"> </w:t>
            </w:r>
            <w:r w:rsidRPr="00150EDC">
              <w:rPr>
                <w:sz w:val="20"/>
              </w:rPr>
              <w:t>1995,</w:t>
            </w:r>
            <w:r w:rsidRPr="00150EDC">
              <w:rPr>
                <w:spacing w:val="-6"/>
                <w:sz w:val="20"/>
              </w:rPr>
              <w:t xml:space="preserve"> </w:t>
            </w:r>
            <w:r w:rsidRPr="00150EDC">
              <w:rPr>
                <w:sz w:val="20"/>
              </w:rPr>
              <w:t xml:space="preserve">Art </w:t>
            </w:r>
            <w:r w:rsidRPr="00150EDC">
              <w:rPr>
                <w:spacing w:val="-4"/>
                <w:sz w:val="20"/>
              </w:rPr>
              <w:t>12(b)</w:t>
            </w:r>
          </w:p>
        </w:tc>
        <w:tc>
          <w:tcPr>
            <w:tcW w:w="7427" w:type="dxa"/>
          </w:tcPr>
          <w:p w14:paraId="77DA69D2" w14:textId="77777777" w:rsidR="004C7180" w:rsidRPr="00150EDC" w:rsidRDefault="00CF0754">
            <w:pPr>
              <w:pStyle w:val="TableParagraph"/>
              <w:rPr>
                <w:sz w:val="20"/>
              </w:rPr>
            </w:pPr>
            <w:r w:rsidRPr="00150EDC">
              <w:rPr>
                <w:sz w:val="20"/>
              </w:rPr>
              <w:t>Causing</w:t>
            </w:r>
            <w:r w:rsidRPr="00150EDC">
              <w:rPr>
                <w:spacing w:val="-6"/>
                <w:sz w:val="20"/>
              </w:rPr>
              <w:t xml:space="preserve"> </w:t>
            </w:r>
            <w:r w:rsidRPr="00150EDC">
              <w:rPr>
                <w:sz w:val="20"/>
              </w:rPr>
              <w:t>death</w:t>
            </w:r>
            <w:r w:rsidRPr="00150EDC">
              <w:rPr>
                <w:spacing w:val="-5"/>
                <w:sz w:val="20"/>
              </w:rPr>
              <w:t xml:space="preserve"> </w:t>
            </w:r>
            <w:r w:rsidRPr="00150EDC">
              <w:rPr>
                <w:sz w:val="20"/>
              </w:rPr>
              <w:t>by driving</w:t>
            </w:r>
            <w:r w:rsidRPr="00150EDC">
              <w:rPr>
                <w:spacing w:val="-5"/>
                <w:sz w:val="20"/>
              </w:rPr>
              <w:t xml:space="preserve"> </w:t>
            </w:r>
            <w:r w:rsidRPr="00150EDC">
              <w:rPr>
                <w:sz w:val="20"/>
              </w:rPr>
              <w:t>whilst</w:t>
            </w:r>
            <w:r w:rsidRPr="00150EDC">
              <w:rPr>
                <w:spacing w:val="-5"/>
                <w:sz w:val="20"/>
              </w:rPr>
              <w:t xml:space="preserve"> </w:t>
            </w:r>
            <w:r w:rsidRPr="00150EDC">
              <w:rPr>
                <w:spacing w:val="-2"/>
                <w:sz w:val="20"/>
              </w:rPr>
              <w:t>disqualified</w:t>
            </w:r>
          </w:p>
        </w:tc>
      </w:tr>
      <w:tr w:rsidR="004569EE" w:rsidRPr="007D3144" w14:paraId="32CDABC3" w14:textId="77777777">
        <w:trPr>
          <w:trHeight w:val="460"/>
        </w:trPr>
        <w:tc>
          <w:tcPr>
            <w:tcW w:w="6517" w:type="dxa"/>
          </w:tcPr>
          <w:p w14:paraId="41B1C3A2" w14:textId="77777777" w:rsidR="004C7180" w:rsidRPr="00150EDC" w:rsidRDefault="004C7180">
            <w:pPr>
              <w:pStyle w:val="TableParagraph"/>
              <w:spacing w:before="2" w:line="240" w:lineRule="auto"/>
              <w:ind w:left="0"/>
              <w:rPr>
                <w:sz w:val="20"/>
              </w:rPr>
            </w:pPr>
          </w:p>
          <w:p w14:paraId="5BAAE5EE" w14:textId="77777777" w:rsidR="004C7180" w:rsidRPr="00150EDC" w:rsidRDefault="00CF0754">
            <w:pPr>
              <w:pStyle w:val="TableParagraph"/>
              <w:spacing w:before="0"/>
              <w:rPr>
                <w:sz w:val="20"/>
              </w:rPr>
            </w:pPr>
            <w:r w:rsidRPr="00150EDC">
              <w:rPr>
                <w:sz w:val="20"/>
              </w:rPr>
              <w:t>Road</w:t>
            </w:r>
            <w:r w:rsidRPr="00150EDC">
              <w:rPr>
                <w:spacing w:val="-6"/>
                <w:sz w:val="20"/>
              </w:rPr>
              <w:t xml:space="preserve"> </w:t>
            </w:r>
            <w:r w:rsidRPr="00150EDC">
              <w:rPr>
                <w:sz w:val="20"/>
              </w:rPr>
              <w:t>Traffic</w:t>
            </w:r>
            <w:r w:rsidRPr="00150EDC">
              <w:rPr>
                <w:spacing w:val="-5"/>
                <w:sz w:val="20"/>
              </w:rPr>
              <w:t xml:space="preserve"> </w:t>
            </w:r>
            <w:r w:rsidRPr="00150EDC">
              <w:rPr>
                <w:sz w:val="20"/>
              </w:rPr>
              <w:t>(Northern</w:t>
            </w:r>
            <w:r w:rsidRPr="00150EDC">
              <w:rPr>
                <w:spacing w:val="-6"/>
                <w:sz w:val="20"/>
              </w:rPr>
              <w:t xml:space="preserve"> </w:t>
            </w:r>
            <w:r w:rsidRPr="00150EDC">
              <w:rPr>
                <w:sz w:val="20"/>
              </w:rPr>
              <w:t>Ireland)</w:t>
            </w:r>
            <w:r w:rsidRPr="00150EDC">
              <w:rPr>
                <w:spacing w:val="-5"/>
                <w:sz w:val="20"/>
              </w:rPr>
              <w:t xml:space="preserve"> </w:t>
            </w:r>
            <w:r w:rsidRPr="00150EDC">
              <w:rPr>
                <w:sz w:val="20"/>
              </w:rPr>
              <w:t>Order</w:t>
            </w:r>
            <w:r w:rsidRPr="00150EDC">
              <w:rPr>
                <w:spacing w:val="-6"/>
                <w:sz w:val="20"/>
              </w:rPr>
              <w:t xml:space="preserve"> </w:t>
            </w:r>
            <w:r w:rsidRPr="00150EDC">
              <w:rPr>
                <w:sz w:val="20"/>
              </w:rPr>
              <w:t>1995,</w:t>
            </w:r>
            <w:r w:rsidRPr="00150EDC">
              <w:rPr>
                <w:spacing w:val="-6"/>
                <w:sz w:val="20"/>
              </w:rPr>
              <w:t xml:space="preserve"> </w:t>
            </w:r>
            <w:r w:rsidRPr="00150EDC">
              <w:rPr>
                <w:sz w:val="20"/>
              </w:rPr>
              <w:t>Art</w:t>
            </w:r>
            <w:r w:rsidRPr="00150EDC">
              <w:rPr>
                <w:spacing w:val="-1"/>
                <w:sz w:val="20"/>
              </w:rPr>
              <w:t xml:space="preserve"> </w:t>
            </w:r>
            <w:r w:rsidRPr="00150EDC">
              <w:rPr>
                <w:spacing w:val="-5"/>
                <w:sz w:val="20"/>
              </w:rPr>
              <w:t>14</w:t>
            </w:r>
          </w:p>
        </w:tc>
        <w:tc>
          <w:tcPr>
            <w:tcW w:w="7427" w:type="dxa"/>
          </w:tcPr>
          <w:p w14:paraId="4643D19F" w14:textId="77777777" w:rsidR="004C7180" w:rsidRPr="00150EDC" w:rsidRDefault="00CF0754">
            <w:pPr>
              <w:pStyle w:val="TableParagraph"/>
              <w:spacing w:before="0" w:line="230" w:lineRule="atLeast"/>
              <w:ind w:right="186"/>
              <w:rPr>
                <w:sz w:val="20"/>
              </w:rPr>
            </w:pPr>
            <w:r w:rsidRPr="00150EDC">
              <w:rPr>
                <w:sz w:val="20"/>
              </w:rPr>
              <w:t>Causing</w:t>
            </w:r>
            <w:r w:rsidRPr="00150EDC">
              <w:rPr>
                <w:spacing w:val="-6"/>
                <w:sz w:val="20"/>
              </w:rPr>
              <w:t xml:space="preserve"> </w:t>
            </w:r>
            <w:r w:rsidRPr="00150EDC">
              <w:rPr>
                <w:sz w:val="20"/>
              </w:rPr>
              <w:t>death</w:t>
            </w:r>
            <w:r w:rsidRPr="00150EDC">
              <w:rPr>
                <w:spacing w:val="-6"/>
                <w:sz w:val="20"/>
              </w:rPr>
              <w:t xml:space="preserve"> </w:t>
            </w:r>
            <w:r w:rsidRPr="00150EDC">
              <w:rPr>
                <w:sz w:val="20"/>
              </w:rPr>
              <w:t>or</w:t>
            </w:r>
            <w:r w:rsidRPr="00150EDC">
              <w:rPr>
                <w:spacing w:val="-6"/>
                <w:sz w:val="20"/>
              </w:rPr>
              <w:t xml:space="preserve"> </w:t>
            </w:r>
            <w:r w:rsidRPr="00150EDC">
              <w:rPr>
                <w:sz w:val="20"/>
              </w:rPr>
              <w:t>grievous</w:t>
            </w:r>
            <w:r w:rsidRPr="00150EDC">
              <w:rPr>
                <w:spacing w:val="-5"/>
                <w:sz w:val="20"/>
              </w:rPr>
              <w:t xml:space="preserve"> </w:t>
            </w:r>
            <w:r w:rsidRPr="00150EDC">
              <w:rPr>
                <w:sz w:val="20"/>
              </w:rPr>
              <w:t>bodily</w:t>
            </w:r>
            <w:r w:rsidRPr="00150EDC">
              <w:rPr>
                <w:spacing w:val="-5"/>
                <w:sz w:val="20"/>
              </w:rPr>
              <w:t xml:space="preserve"> </w:t>
            </w:r>
            <w:r w:rsidRPr="00150EDC">
              <w:rPr>
                <w:sz w:val="20"/>
              </w:rPr>
              <w:t>injury by</w:t>
            </w:r>
            <w:r w:rsidRPr="00150EDC">
              <w:rPr>
                <w:spacing w:val="-5"/>
                <w:sz w:val="20"/>
              </w:rPr>
              <w:t xml:space="preserve"> </w:t>
            </w:r>
            <w:r w:rsidRPr="00150EDC">
              <w:rPr>
                <w:sz w:val="20"/>
              </w:rPr>
              <w:t>careless</w:t>
            </w:r>
            <w:r w:rsidRPr="00150EDC">
              <w:rPr>
                <w:spacing w:val="-5"/>
                <w:sz w:val="20"/>
              </w:rPr>
              <w:t xml:space="preserve"> </w:t>
            </w:r>
            <w:r w:rsidRPr="00150EDC">
              <w:rPr>
                <w:sz w:val="20"/>
              </w:rPr>
              <w:t>driving</w:t>
            </w:r>
            <w:r w:rsidRPr="00150EDC">
              <w:rPr>
                <w:spacing w:val="-6"/>
                <w:sz w:val="20"/>
              </w:rPr>
              <w:t xml:space="preserve"> </w:t>
            </w:r>
            <w:r w:rsidRPr="00150EDC">
              <w:rPr>
                <w:sz w:val="20"/>
              </w:rPr>
              <w:t>when</w:t>
            </w:r>
            <w:r w:rsidRPr="00150EDC">
              <w:rPr>
                <w:spacing w:val="-6"/>
                <w:sz w:val="20"/>
              </w:rPr>
              <w:t xml:space="preserve"> </w:t>
            </w:r>
            <w:r w:rsidRPr="00150EDC">
              <w:rPr>
                <w:sz w:val="20"/>
              </w:rPr>
              <w:t>under</w:t>
            </w:r>
            <w:r w:rsidRPr="00150EDC">
              <w:rPr>
                <w:spacing w:val="-1"/>
                <w:sz w:val="20"/>
              </w:rPr>
              <w:t xml:space="preserve"> </w:t>
            </w:r>
            <w:r w:rsidRPr="00150EDC">
              <w:rPr>
                <w:sz w:val="20"/>
              </w:rPr>
              <w:t>influence of drink or drugs</w:t>
            </w:r>
          </w:p>
        </w:tc>
      </w:tr>
      <w:tr w:rsidR="004569EE" w:rsidRPr="007D3144" w14:paraId="518423EC" w14:textId="77777777">
        <w:trPr>
          <w:trHeight w:val="460"/>
        </w:trPr>
        <w:tc>
          <w:tcPr>
            <w:tcW w:w="6517" w:type="dxa"/>
          </w:tcPr>
          <w:p w14:paraId="17431A01" w14:textId="77777777" w:rsidR="004C7180" w:rsidRPr="00150EDC" w:rsidRDefault="004C7180">
            <w:pPr>
              <w:pStyle w:val="TableParagraph"/>
              <w:spacing w:before="2" w:line="240" w:lineRule="auto"/>
              <w:ind w:left="0"/>
              <w:rPr>
                <w:sz w:val="20"/>
              </w:rPr>
            </w:pPr>
          </w:p>
          <w:p w14:paraId="04495AC1" w14:textId="77777777" w:rsidR="004C7180" w:rsidRPr="00150EDC" w:rsidRDefault="00CF0754">
            <w:pPr>
              <w:pStyle w:val="TableParagraph"/>
              <w:spacing w:before="1"/>
              <w:rPr>
                <w:sz w:val="20"/>
              </w:rPr>
            </w:pPr>
            <w:r w:rsidRPr="00150EDC">
              <w:rPr>
                <w:sz w:val="20"/>
              </w:rPr>
              <w:t>Road</w:t>
            </w:r>
            <w:r w:rsidRPr="00150EDC">
              <w:rPr>
                <w:spacing w:val="-6"/>
                <w:sz w:val="20"/>
              </w:rPr>
              <w:t xml:space="preserve"> </w:t>
            </w:r>
            <w:r w:rsidRPr="00150EDC">
              <w:rPr>
                <w:sz w:val="20"/>
              </w:rPr>
              <w:t>Traffic</w:t>
            </w:r>
            <w:r w:rsidRPr="00150EDC">
              <w:rPr>
                <w:spacing w:val="-4"/>
                <w:sz w:val="20"/>
              </w:rPr>
              <w:t xml:space="preserve"> </w:t>
            </w:r>
            <w:r w:rsidRPr="00150EDC">
              <w:rPr>
                <w:sz w:val="20"/>
              </w:rPr>
              <w:t>(Northern</w:t>
            </w:r>
            <w:r w:rsidRPr="00150EDC">
              <w:rPr>
                <w:spacing w:val="-6"/>
                <w:sz w:val="20"/>
              </w:rPr>
              <w:t xml:space="preserve"> </w:t>
            </w:r>
            <w:r w:rsidRPr="00150EDC">
              <w:rPr>
                <w:sz w:val="20"/>
              </w:rPr>
              <w:t>Ireland)</w:t>
            </w:r>
            <w:r w:rsidRPr="00150EDC">
              <w:rPr>
                <w:spacing w:val="-6"/>
                <w:sz w:val="20"/>
              </w:rPr>
              <w:t xml:space="preserve"> </w:t>
            </w:r>
            <w:r w:rsidRPr="00150EDC">
              <w:rPr>
                <w:sz w:val="20"/>
              </w:rPr>
              <w:t>Order</w:t>
            </w:r>
            <w:r w:rsidRPr="00150EDC">
              <w:rPr>
                <w:spacing w:val="-6"/>
                <w:sz w:val="20"/>
              </w:rPr>
              <w:t xml:space="preserve"> </w:t>
            </w:r>
            <w:r w:rsidRPr="00150EDC">
              <w:rPr>
                <w:sz w:val="20"/>
              </w:rPr>
              <w:t>1995,</w:t>
            </w:r>
            <w:r w:rsidRPr="00150EDC">
              <w:rPr>
                <w:spacing w:val="-6"/>
                <w:sz w:val="20"/>
              </w:rPr>
              <w:t xml:space="preserve"> </w:t>
            </w:r>
            <w:r w:rsidRPr="00150EDC">
              <w:rPr>
                <w:sz w:val="20"/>
              </w:rPr>
              <w:t xml:space="preserve">Art </w:t>
            </w:r>
            <w:r w:rsidRPr="00150EDC">
              <w:rPr>
                <w:spacing w:val="-5"/>
                <w:sz w:val="20"/>
              </w:rPr>
              <w:t>15</w:t>
            </w:r>
          </w:p>
        </w:tc>
        <w:tc>
          <w:tcPr>
            <w:tcW w:w="7427" w:type="dxa"/>
          </w:tcPr>
          <w:p w14:paraId="0D2B4F0B" w14:textId="77777777" w:rsidR="004C7180" w:rsidRPr="00150EDC" w:rsidRDefault="00CF0754">
            <w:pPr>
              <w:pStyle w:val="TableParagraph"/>
              <w:spacing w:before="0" w:line="230" w:lineRule="atLeast"/>
              <w:rPr>
                <w:sz w:val="20"/>
              </w:rPr>
            </w:pPr>
            <w:r w:rsidRPr="00150EDC">
              <w:rPr>
                <w:sz w:val="20"/>
              </w:rPr>
              <w:t>Causing</w:t>
            </w:r>
            <w:r w:rsidRPr="00150EDC">
              <w:rPr>
                <w:spacing w:val="-5"/>
                <w:sz w:val="20"/>
              </w:rPr>
              <w:t xml:space="preserve"> </w:t>
            </w:r>
            <w:r w:rsidRPr="00150EDC">
              <w:rPr>
                <w:sz w:val="20"/>
              </w:rPr>
              <w:t>death</w:t>
            </w:r>
            <w:r w:rsidRPr="00150EDC">
              <w:rPr>
                <w:spacing w:val="-5"/>
                <w:sz w:val="20"/>
              </w:rPr>
              <w:t xml:space="preserve"> </w:t>
            </w:r>
            <w:r w:rsidRPr="00150EDC">
              <w:rPr>
                <w:sz w:val="20"/>
              </w:rPr>
              <w:t>or</w:t>
            </w:r>
            <w:r w:rsidRPr="00150EDC">
              <w:rPr>
                <w:spacing w:val="-5"/>
                <w:sz w:val="20"/>
              </w:rPr>
              <w:t xml:space="preserve"> </w:t>
            </w:r>
            <w:r w:rsidRPr="00150EDC">
              <w:rPr>
                <w:sz w:val="20"/>
              </w:rPr>
              <w:t>grievous</w:t>
            </w:r>
            <w:r w:rsidRPr="00150EDC">
              <w:rPr>
                <w:spacing w:val="-4"/>
                <w:sz w:val="20"/>
              </w:rPr>
              <w:t xml:space="preserve"> </w:t>
            </w:r>
            <w:r w:rsidRPr="00150EDC">
              <w:rPr>
                <w:sz w:val="20"/>
              </w:rPr>
              <w:t>bodily</w:t>
            </w:r>
            <w:r w:rsidRPr="00150EDC">
              <w:rPr>
                <w:spacing w:val="-4"/>
                <w:sz w:val="20"/>
              </w:rPr>
              <w:t xml:space="preserve"> </w:t>
            </w:r>
            <w:r w:rsidRPr="00150EDC">
              <w:rPr>
                <w:sz w:val="20"/>
              </w:rPr>
              <w:t>injury by</w:t>
            </w:r>
            <w:r w:rsidRPr="00150EDC">
              <w:rPr>
                <w:spacing w:val="-4"/>
                <w:sz w:val="20"/>
              </w:rPr>
              <w:t xml:space="preserve"> </w:t>
            </w:r>
            <w:r w:rsidRPr="00150EDC">
              <w:rPr>
                <w:sz w:val="20"/>
              </w:rPr>
              <w:t>careless</w:t>
            </w:r>
            <w:r w:rsidRPr="00150EDC">
              <w:rPr>
                <w:spacing w:val="-4"/>
                <w:sz w:val="20"/>
              </w:rPr>
              <w:t xml:space="preserve"> </w:t>
            </w:r>
            <w:r w:rsidRPr="00150EDC">
              <w:rPr>
                <w:sz w:val="20"/>
              </w:rPr>
              <w:t>or</w:t>
            </w:r>
            <w:r w:rsidRPr="00150EDC">
              <w:rPr>
                <w:spacing w:val="-5"/>
                <w:sz w:val="20"/>
              </w:rPr>
              <w:t xml:space="preserve"> </w:t>
            </w:r>
            <w:r w:rsidRPr="00150EDC">
              <w:rPr>
                <w:sz w:val="20"/>
              </w:rPr>
              <w:t>inconsiderate</w:t>
            </w:r>
            <w:r w:rsidRPr="00150EDC">
              <w:rPr>
                <w:spacing w:val="-5"/>
                <w:sz w:val="20"/>
              </w:rPr>
              <w:t xml:space="preserve"> </w:t>
            </w:r>
            <w:r w:rsidRPr="00150EDC">
              <w:rPr>
                <w:sz w:val="20"/>
              </w:rPr>
              <w:t>driving</w:t>
            </w:r>
            <w:r w:rsidRPr="00150EDC">
              <w:rPr>
                <w:spacing w:val="-5"/>
                <w:sz w:val="20"/>
              </w:rPr>
              <w:t xml:space="preserve"> </w:t>
            </w:r>
            <w:r w:rsidRPr="00150EDC">
              <w:rPr>
                <w:sz w:val="20"/>
              </w:rPr>
              <w:t>with excess alcohol</w:t>
            </w:r>
          </w:p>
        </w:tc>
      </w:tr>
      <w:tr w:rsidR="004569EE" w:rsidRPr="007D3144" w14:paraId="1389116F" w14:textId="77777777">
        <w:trPr>
          <w:trHeight w:val="255"/>
        </w:trPr>
        <w:tc>
          <w:tcPr>
            <w:tcW w:w="6517" w:type="dxa"/>
          </w:tcPr>
          <w:p w14:paraId="55630726" w14:textId="77777777" w:rsidR="004C7180" w:rsidRPr="00150EDC" w:rsidRDefault="00CF0754">
            <w:pPr>
              <w:pStyle w:val="TableParagraph"/>
              <w:rPr>
                <w:sz w:val="20"/>
              </w:rPr>
            </w:pPr>
            <w:r w:rsidRPr="00150EDC">
              <w:rPr>
                <w:sz w:val="20"/>
              </w:rPr>
              <w:t>Road</w:t>
            </w:r>
            <w:r w:rsidRPr="00150EDC">
              <w:rPr>
                <w:spacing w:val="-6"/>
                <w:sz w:val="20"/>
              </w:rPr>
              <w:t xml:space="preserve"> </w:t>
            </w:r>
            <w:r w:rsidRPr="00150EDC">
              <w:rPr>
                <w:sz w:val="20"/>
              </w:rPr>
              <w:t>Traffic</w:t>
            </w:r>
            <w:r w:rsidRPr="00150EDC">
              <w:rPr>
                <w:spacing w:val="-5"/>
                <w:sz w:val="20"/>
              </w:rPr>
              <w:t xml:space="preserve"> </w:t>
            </w:r>
            <w:r w:rsidRPr="00150EDC">
              <w:rPr>
                <w:sz w:val="20"/>
              </w:rPr>
              <w:t>(Northern</w:t>
            </w:r>
            <w:r w:rsidRPr="00150EDC">
              <w:rPr>
                <w:spacing w:val="-6"/>
                <w:sz w:val="20"/>
              </w:rPr>
              <w:t xml:space="preserve"> </w:t>
            </w:r>
            <w:r w:rsidRPr="00150EDC">
              <w:rPr>
                <w:sz w:val="20"/>
              </w:rPr>
              <w:t>Ireland)</w:t>
            </w:r>
            <w:r w:rsidRPr="00150EDC">
              <w:rPr>
                <w:spacing w:val="-5"/>
                <w:sz w:val="20"/>
              </w:rPr>
              <w:t xml:space="preserve"> </w:t>
            </w:r>
            <w:r w:rsidRPr="00150EDC">
              <w:rPr>
                <w:sz w:val="20"/>
              </w:rPr>
              <w:t>Order</w:t>
            </w:r>
            <w:r w:rsidRPr="00150EDC">
              <w:rPr>
                <w:spacing w:val="-6"/>
                <w:sz w:val="20"/>
              </w:rPr>
              <w:t xml:space="preserve"> </w:t>
            </w:r>
            <w:r w:rsidRPr="00150EDC">
              <w:rPr>
                <w:sz w:val="20"/>
              </w:rPr>
              <w:t>1995,</w:t>
            </w:r>
            <w:r w:rsidRPr="00150EDC">
              <w:rPr>
                <w:spacing w:val="-6"/>
                <w:sz w:val="20"/>
              </w:rPr>
              <w:t xml:space="preserve"> </w:t>
            </w:r>
            <w:r w:rsidRPr="00150EDC">
              <w:rPr>
                <w:sz w:val="20"/>
              </w:rPr>
              <w:t>Art</w:t>
            </w:r>
            <w:r w:rsidRPr="00150EDC">
              <w:rPr>
                <w:spacing w:val="-1"/>
                <w:sz w:val="20"/>
              </w:rPr>
              <w:t xml:space="preserve"> </w:t>
            </w:r>
            <w:r w:rsidRPr="00150EDC">
              <w:rPr>
                <w:spacing w:val="-10"/>
                <w:sz w:val="20"/>
              </w:rPr>
              <w:t>9</w:t>
            </w:r>
          </w:p>
        </w:tc>
        <w:tc>
          <w:tcPr>
            <w:tcW w:w="7427" w:type="dxa"/>
          </w:tcPr>
          <w:p w14:paraId="531624A8" w14:textId="77777777" w:rsidR="004C7180" w:rsidRPr="00150EDC" w:rsidRDefault="00CF0754">
            <w:pPr>
              <w:pStyle w:val="TableParagraph"/>
              <w:rPr>
                <w:sz w:val="20"/>
              </w:rPr>
            </w:pPr>
            <w:r w:rsidRPr="00150EDC">
              <w:rPr>
                <w:sz w:val="20"/>
              </w:rPr>
              <w:t>Causing</w:t>
            </w:r>
            <w:r w:rsidRPr="00150EDC">
              <w:rPr>
                <w:spacing w:val="-6"/>
                <w:sz w:val="20"/>
              </w:rPr>
              <w:t xml:space="preserve"> </w:t>
            </w:r>
            <w:r w:rsidRPr="00150EDC">
              <w:rPr>
                <w:sz w:val="20"/>
              </w:rPr>
              <w:t>death</w:t>
            </w:r>
            <w:r w:rsidRPr="00150EDC">
              <w:rPr>
                <w:spacing w:val="-6"/>
                <w:sz w:val="20"/>
              </w:rPr>
              <w:t xml:space="preserve"> </w:t>
            </w:r>
            <w:r w:rsidRPr="00150EDC">
              <w:rPr>
                <w:sz w:val="20"/>
              </w:rPr>
              <w:t>or</w:t>
            </w:r>
            <w:r w:rsidRPr="00150EDC">
              <w:rPr>
                <w:spacing w:val="-6"/>
                <w:sz w:val="20"/>
              </w:rPr>
              <w:t xml:space="preserve"> </w:t>
            </w:r>
            <w:r w:rsidRPr="00150EDC">
              <w:rPr>
                <w:sz w:val="20"/>
              </w:rPr>
              <w:t>grievous</w:t>
            </w:r>
            <w:r w:rsidRPr="00150EDC">
              <w:rPr>
                <w:spacing w:val="-4"/>
                <w:sz w:val="20"/>
              </w:rPr>
              <w:t xml:space="preserve"> </w:t>
            </w:r>
            <w:r w:rsidRPr="00150EDC">
              <w:rPr>
                <w:sz w:val="20"/>
              </w:rPr>
              <w:t>bodily</w:t>
            </w:r>
            <w:r w:rsidRPr="00150EDC">
              <w:rPr>
                <w:spacing w:val="-5"/>
                <w:sz w:val="20"/>
              </w:rPr>
              <w:t xml:space="preserve"> </w:t>
            </w:r>
            <w:r w:rsidRPr="00150EDC">
              <w:rPr>
                <w:sz w:val="20"/>
              </w:rPr>
              <w:t>injury by</w:t>
            </w:r>
            <w:r w:rsidRPr="00150EDC">
              <w:rPr>
                <w:spacing w:val="-5"/>
                <w:sz w:val="20"/>
              </w:rPr>
              <w:t xml:space="preserve"> </w:t>
            </w:r>
            <w:r w:rsidRPr="00150EDC">
              <w:rPr>
                <w:sz w:val="20"/>
              </w:rPr>
              <w:t>dangerous</w:t>
            </w:r>
            <w:r w:rsidRPr="00150EDC">
              <w:rPr>
                <w:spacing w:val="-5"/>
                <w:sz w:val="20"/>
              </w:rPr>
              <w:t xml:space="preserve"> </w:t>
            </w:r>
            <w:r w:rsidRPr="00150EDC">
              <w:rPr>
                <w:spacing w:val="-2"/>
                <w:sz w:val="20"/>
              </w:rPr>
              <w:t>driving</w:t>
            </w:r>
          </w:p>
        </w:tc>
      </w:tr>
      <w:tr w:rsidR="004569EE" w:rsidRPr="007D3144" w14:paraId="4F168068" w14:textId="77777777">
        <w:trPr>
          <w:trHeight w:val="255"/>
        </w:trPr>
        <w:tc>
          <w:tcPr>
            <w:tcW w:w="6517" w:type="dxa"/>
          </w:tcPr>
          <w:p w14:paraId="0C6E7EFB" w14:textId="77777777" w:rsidR="004C7180" w:rsidRPr="00150EDC" w:rsidRDefault="00CF0754">
            <w:pPr>
              <w:pStyle w:val="TableParagraph"/>
              <w:rPr>
                <w:sz w:val="20"/>
              </w:rPr>
            </w:pPr>
            <w:r w:rsidRPr="00150EDC">
              <w:rPr>
                <w:sz w:val="20"/>
              </w:rPr>
              <w:t>Road</w:t>
            </w:r>
            <w:r w:rsidRPr="00150EDC">
              <w:rPr>
                <w:spacing w:val="-7"/>
                <w:sz w:val="20"/>
              </w:rPr>
              <w:t xml:space="preserve"> </w:t>
            </w:r>
            <w:r w:rsidRPr="00150EDC">
              <w:rPr>
                <w:sz w:val="20"/>
              </w:rPr>
              <w:t>Traffic</w:t>
            </w:r>
            <w:r w:rsidRPr="00150EDC">
              <w:rPr>
                <w:spacing w:val="-5"/>
                <w:sz w:val="20"/>
              </w:rPr>
              <w:t xml:space="preserve"> </w:t>
            </w:r>
            <w:r w:rsidRPr="00150EDC">
              <w:rPr>
                <w:sz w:val="20"/>
              </w:rPr>
              <w:t>Act,</w:t>
            </w:r>
            <w:r w:rsidRPr="00150EDC">
              <w:rPr>
                <w:spacing w:val="-6"/>
                <w:sz w:val="20"/>
              </w:rPr>
              <w:t xml:space="preserve"> </w:t>
            </w:r>
            <w:r w:rsidRPr="00150EDC">
              <w:rPr>
                <w:sz w:val="20"/>
              </w:rPr>
              <w:t>1960,</w:t>
            </w:r>
            <w:r w:rsidRPr="00150EDC">
              <w:rPr>
                <w:spacing w:val="-6"/>
                <w:sz w:val="20"/>
              </w:rPr>
              <w:t xml:space="preserve"> </w:t>
            </w:r>
            <w:r w:rsidRPr="00150EDC">
              <w:rPr>
                <w:spacing w:val="-5"/>
                <w:sz w:val="20"/>
              </w:rPr>
              <w:t>s1</w:t>
            </w:r>
          </w:p>
        </w:tc>
        <w:tc>
          <w:tcPr>
            <w:tcW w:w="7427" w:type="dxa"/>
          </w:tcPr>
          <w:p w14:paraId="060A2ABE" w14:textId="77777777" w:rsidR="004C7180" w:rsidRPr="00150EDC" w:rsidRDefault="00CF0754">
            <w:pPr>
              <w:pStyle w:val="TableParagraph"/>
              <w:rPr>
                <w:sz w:val="20"/>
              </w:rPr>
            </w:pPr>
            <w:r w:rsidRPr="00150EDC">
              <w:rPr>
                <w:sz w:val="20"/>
              </w:rPr>
              <w:t>Causing</w:t>
            </w:r>
            <w:r w:rsidRPr="00150EDC">
              <w:rPr>
                <w:spacing w:val="-7"/>
                <w:sz w:val="20"/>
              </w:rPr>
              <w:t xml:space="preserve"> </w:t>
            </w:r>
            <w:r w:rsidRPr="00150EDC">
              <w:rPr>
                <w:sz w:val="20"/>
              </w:rPr>
              <w:t>death</w:t>
            </w:r>
            <w:r w:rsidRPr="00150EDC">
              <w:rPr>
                <w:spacing w:val="-7"/>
                <w:sz w:val="20"/>
              </w:rPr>
              <w:t xml:space="preserve"> </w:t>
            </w:r>
            <w:r w:rsidRPr="00150EDC">
              <w:rPr>
                <w:sz w:val="20"/>
              </w:rPr>
              <w:t>by</w:t>
            </w:r>
            <w:r w:rsidRPr="00150EDC">
              <w:rPr>
                <w:spacing w:val="-1"/>
                <w:sz w:val="20"/>
              </w:rPr>
              <w:t xml:space="preserve"> </w:t>
            </w:r>
            <w:r w:rsidRPr="00150EDC">
              <w:rPr>
                <w:sz w:val="20"/>
              </w:rPr>
              <w:t>reckless</w:t>
            </w:r>
            <w:r w:rsidRPr="00150EDC">
              <w:rPr>
                <w:spacing w:val="-1"/>
                <w:sz w:val="20"/>
              </w:rPr>
              <w:t xml:space="preserve"> </w:t>
            </w:r>
            <w:r w:rsidRPr="00150EDC">
              <w:rPr>
                <w:sz w:val="20"/>
              </w:rPr>
              <w:t>or</w:t>
            </w:r>
            <w:r w:rsidRPr="00150EDC">
              <w:rPr>
                <w:spacing w:val="-6"/>
                <w:sz w:val="20"/>
              </w:rPr>
              <w:t xml:space="preserve"> </w:t>
            </w:r>
            <w:r w:rsidRPr="00150EDC">
              <w:rPr>
                <w:sz w:val="20"/>
              </w:rPr>
              <w:t>dangerous</w:t>
            </w:r>
            <w:r w:rsidRPr="00150EDC">
              <w:rPr>
                <w:spacing w:val="-6"/>
                <w:sz w:val="20"/>
              </w:rPr>
              <w:t xml:space="preserve"> </w:t>
            </w:r>
            <w:r w:rsidRPr="00150EDC">
              <w:rPr>
                <w:spacing w:val="-2"/>
                <w:sz w:val="20"/>
              </w:rPr>
              <w:t>driving</w:t>
            </w:r>
          </w:p>
        </w:tc>
      </w:tr>
      <w:tr w:rsidR="004569EE" w:rsidRPr="007D3144" w14:paraId="0FB04491" w14:textId="77777777">
        <w:trPr>
          <w:trHeight w:val="255"/>
        </w:trPr>
        <w:tc>
          <w:tcPr>
            <w:tcW w:w="6517" w:type="dxa"/>
          </w:tcPr>
          <w:p w14:paraId="2D48F744" w14:textId="77777777" w:rsidR="004C7180" w:rsidRPr="00150EDC" w:rsidRDefault="00CF0754">
            <w:pPr>
              <w:pStyle w:val="TableParagraph"/>
              <w:rPr>
                <w:sz w:val="20"/>
              </w:rPr>
            </w:pPr>
            <w:r w:rsidRPr="00150EDC">
              <w:rPr>
                <w:sz w:val="20"/>
              </w:rPr>
              <w:t>Road</w:t>
            </w:r>
            <w:r w:rsidRPr="00150EDC">
              <w:rPr>
                <w:spacing w:val="-7"/>
                <w:sz w:val="20"/>
              </w:rPr>
              <w:t xml:space="preserve"> </w:t>
            </w:r>
            <w:r w:rsidRPr="00150EDC">
              <w:rPr>
                <w:sz w:val="20"/>
              </w:rPr>
              <w:t>Traffic</w:t>
            </w:r>
            <w:r w:rsidRPr="00150EDC">
              <w:rPr>
                <w:spacing w:val="-4"/>
                <w:sz w:val="20"/>
              </w:rPr>
              <w:t xml:space="preserve"> </w:t>
            </w:r>
            <w:r w:rsidRPr="00150EDC">
              <w:rPr>
                <w:sz w:val="20"/>
              </w:rPr>
              <w:t>Act</w:t>
            </w:r>
            <w:r w:rsidRPr="00150EDC">
              <w:rPr>
                <w:spacing w:val="-5"/>
                <w:sz w:val="20"/>
              </w:rPr>
              <w:t xml:space="preserve"> </w:t>
            </w:r>
            <w:r w:rsidRPr="00150EDC">
              <w:rPr>
                <w:sz w:val="20"/>
              </w:rPr>
              <w:t>1972,</w:t>
            </w:r>
            <w:r w:rsidRPr="00150EDC">
              <w:rPr>
                <w:spacing w:val="-6"/>
                <w:sz w:val="20"/>
              </w:rPr>
              <w:t xml:space="preserve"> </w:t>
            </w:r>
            <w:r w:rsidRPr="00150EDC">
              <w:rPr>
                <w:spacing w:val="-5"/>
                <w:sz w:val="20"/>
              </w:rPr>
              <w:t>s1</w:t>
            </w:r>
          </w:p>
        </w:tc>
        <w:tc>
          <w:tcPr>
            <w:tcW w:w="7427" w:type="dxa"/>
          </w:tcPr>
          <w:p w14:paraId="6342AB3E" w14:textId="77777777" w:rsidR="004C7180" w:rsidRPr="00150EDC" w:rsidRDefault="00CF0754">
            <w:pPr>
              <w:pStyle w:val="TableParagraph"/>
              <w:rPr>
                <w:sz w:val="20"/>
              </w:rPr>
            </w:pPr>
            <w:r w:rsidRPr="00150EDC">
              <w:rPr>
                <w:sz w:val="20"/>
              </w:rPr>
              <w:t>Causing</w:t>
            </w:r>
            <w:r w:rsidRPr="00150EDC">
              <w:rPr>
                <w:spacing w:val="-7"/>
                <w:sz w:val="20"/>
              </w:rPr>
              <w:t xml:space="preserve"> </w:t>
            </w:r>
            <w:r w:rsidRPr="00150EDC">
              <w:rPr>
                <w:sz w:val="20"/>
              </w:rPr>
              <w:t>death</w:t>
            </w:r>
            <w:r w:rsidRPr="00150EDC">
              <w:rPr>
                <w:spacing w:val="-7"/>
                <w:sz w:val="20"/>
              </w:rPr>
              <w:t xml:space="preserve"> </w:t>
            </w:r>
            <w:r w:rsidRPr="00150EDC">
              <w:rPr>
                <w:sz w:val="20"/>
              </w:rPr>
              <w:t>by</w:t>
            </w:r>
            <w:r w:rsidRPr="00150EDC">
              <w:rPr>
                <w:spacing w:val="-1"/>
                <w:sz w:val="20"/>
              </w:rPr>
              <w:t xml:space="preserve"> </w:t>
            </w:r>
            <w:r w:rsidRPr="00150EDC">
              <w:rPr>
                <w:sz w:val="20"/>
              </w:rPr>
              <w:t>reckless</w:t>
            </w:r>
            <w:r w:rsidRPr="00150EDC">
              <w:rPr>
                <w:spacing w:val="-1"/>
                <w:sz w:val="20"/>
              </w:rPr>
              <w:t xml:space="preserve"> </w:t>
            </w:r>
            <w:r w:rsidRPr="00150EDC">
              <w:rPr>
                <w:sz w:val="20"/>
              </w:rPr>
              <w:t>or</w:t>
            </w:r>
            <w:r w:rsidRPr="00150EDC">
              <w:rPr>
                <w:spacing w:val="-6"/>
                <w:sz w:val="20"/>
              </w:rPr>
              <w:t xml:space="preserve"> </w:t>
            </w:r>
            <w:r w:rsidRPr="00150EDC">
              <w:rPr>
                <w:sz w:val="20"/>
              </w:rPr>
              <w:t>dangerous</w:t>
            </w:r>
            <w:r w:rsidRPr="00150EDC">
              <w:rPr>
                <w:spacing w:val="-6"/>
                <w:sz w:val="20"/>
              </w:rPr>
              <w:t xml:space="preserve"> </w:t>
            </w:r>
            <w:r w:rsidRPr="00150EDC">
              <w:rPr>
                <w:spacing w:val="-2"/>
                <w:sz w:val="20"/>
              </w:rPr>
              <w:t>driving</w:t>
            </w:r>
          </w:p>
        </w:tc>
      </w:tr>
      <w:tr w:rsidR="004569EE" w:rsidRPr="007D3144" w14:paraId="6FAB37BC" w14:textId="77777777">
        <w:trPr>
          <w:trHeight w:val="255"/>
        </w:trPr>
        <w:tc>
          <w:tcPr>
            <w:tcW w:w="6517" w:type="dxa"/>
          </w:tcPr>
          <w:p w14:paraId="78431662" w14:textId="77777777" w:rsidR="004C7180" w:rsidRPr="00150EDC" w:rsidRDefault="00CF0754">
            <w:pPr>
              <w:pStyle w:val="TableParagraph"/>
              <w:spacing w:before="28"/>
              <w:rPr>
                <w:sz w:val="20"/>
              </w:rPr>
            </w:pPr>
            <w:r w:rsidRPr="00150EDC">
              <w:rPr>
                <w:sz w:val="20"/>
              </w:rPr>
              <w:t>Road</w:t>
            </w:r>
            <w:r w:rsidRPr="00150EDC">
              <w:rPr>
                <w:spacing w:val="-7"/>
                <w:sz w:val="20"/>
              </w:rPr>
              <w:t xml:space="preserve"> </w:t>
            </w:r>
            <w:r w:rsidRPr="00150EDC">
              <w:rPr>
                <w:sz w:val="20"/>
              </w:rPr>
              <w:t>Traffic</w:t>
            </w:r>
            <w:r w:rsidRPr="00150EDC">
              <w:rPr>
                <w:spacing w:val="-4"/>
                <w:sz w:val="20"/>
              </w:rPr>
              <w:t xml:space="preserve"> </w:t>
            </w:r>
            <w:r w:rsidRPr="00150EDC">
              <w:rPr>
                <w:sz w:val="20"/>
              </w:rPr>
              <w:t>Act</w:t>
            </w:r>
            <w:r w:rsidRPr="00150EDC">
              <w:rPr>
                <w:spacing w:val="-5"/>
                <w:sz w:val="20"/>
              </w:rPr>
              <w:t xml:space="preserve"> </w:t>
            </w:r>
            <w:r w:rsidRPr="00150EDC">
              <w:rPr>
                <w:sz w:val="20"/>
              </w:rPr>
              <w:t>1985,</w:t>
            </w:r>
            <w:r w:rsidRPr="00150EDC">
              <w:rPr>
                <w:spacing w:val="-6"/>
                <w:sz w:val="20"/>
              </w:rPr>
              <w:t xml:space="preserve"> </w:t>
            </w:r>
            <w:r w:rsidRPr="00150EDC">
              <w:rPr>
                <w:spacing w:val="-5"/>
                <w:sz w:val="20"/>
              </w:rPr>
              <w:t>s1</w:t>
            </w:r>
          </w:p>
        </w:tc>
        <w:tc>
          <w:tcPr>
            <w:tcW w:w="7427" w:type="dxa"/>
          </w:tcPr>
          <w:p w14:paraId="40BEB825" w14:textId="77777777" w:rsidR="004C7180" w:rsidRPr="00150EDC" w:rsidRDefault="00CF0754">
            <w:pPr>
              <w:pStyle w:val="TableParagraph"/>
              <w:spacing w:before="28"/>
              <w:rPr>
                <w:sz w:val="20"/>
              </w:rPr>
            </w:pPr>
            <w:r w:rsidRPr="00150EDC">
              <w:rPr>
                <w:sz w:val="20"/>
              </w:rPr>
              <w:t>Causing</w:t>
            </w:r>
            <w:r w:rsidRPr="00150EDC">
              <w:rPr>
                <w:spacing w:val="-8"/>
                <w:sz w:val="20"/>
              </w:rPr>
              <w:t xml:space="preserve"> </w:t>
            </w:r>
            <w:r w:rsidRPr="00150EDC">
              <w:rPr>
                <w:sz w:val="20"/>
              </w:rPr>
              <w:t>death</w:t>
            </w:r>
            <w:r w:rsidRPr="00150EDC">
              <w:rPr>
                <w:spacing w:val="-8"/>
                <w:sz w:val="20"/>
              </w:rPr>
              <w:t xml:space="preserve"> </w:t>
            </w:r>
            <w:r w:rsidRPr="00150EDC">
              <w:rPr>
                <w:sz w:val="20"/>
              </w:rPr>
              <w:t>by</w:t>
            </w:r>
            <w:r w:rsidRPr="00150EDC">
              <w:rPr>
                <w:spacing w:val="-2"/>
                <w:sz w:val="20"/>
              </w:rPr>
              <w:t xml:space="preserve"> </w:t>
            </w:r>
            <w:r w:rsidRPr="00150EDC">
              <w:rPr>
                <w:sz w:val="20"/>
              </w:rPr>
              <w:t>dangerous</w:t>
            </w:r>
            <w:r w:rsidRPr="00150EDC">
              <w:rPr>
                <w:spacing w:val="-2"/>
                <w:sz w:val="20"/>
              </w:rPr>
              <w:t xml:space="preserve"> driving</w:t>
            </w:r>
          </w:p>
        </w:tc>
      </w:tr>
      <w:tr w:rsidR="004569EE" w:rsidRPr="007D3144" w14:paraId="3AAE7F01" w14:textId="77777777">
        <w:trPr>
          <w:trHeight w:val="255"/>
        </w:trPr>
        <w:tc>
          <w:tcPr>
            <w:tcW w:w="6517" w:type="dxa"/>
          </w:tcPr>
          <w:p w14:paraId="16860E67" w14:textId="77777777" w:rsidR="004C7180" w:rsidRPr="00150EDC" w:rsidRDefault="00CF0754">
            <w:pPr>
              <w:pStyle w:val="TableParagraph"/>
              <w:rPr>
                <w:sz w:val="20"/>
              </w:rPr>
            </w:pPr>
            <w:r w:rsidRPr="00150EDC">
              <w:rPr>
                <w:sz w:val="20"/>
              </w:rPr>
              <w:t>Road</w:t>
            </w:r>
            <w:r w:rsidRPr="00150EDC">
              <w:rPr>
                <w:spacing w:val="-7"/>
                <w:sz w:val="20"/>
              </w:rPr>
              <w:t xml:space="preserve"> </w:t>
            </w:r>
            <w:r w:rsidRPr="00150EDC">
              <w:rPr>
                <w:sz w:val="20"/>
              </w:rPr>
              <w:t>Traffic</w:t>
            </w:r>
            <w:r w:rsidRPr="00150EDC">
              <w:rPr>
                <w:spacing w:val="-4"/>
                <w:sz w:val="20"/>
              </w:rPr>
              <w:t xml:space="preserve"> </w:t>
            </w:r>
            <w:r w:rsidRPr="00150EDC">
              <w:rPr>
                <w:sz w:val="20"/>
              </w:rPr>
              <w:t>Act</w:t>
            </w:r>
            <w:r w:rsidRPr="00150EDC">
              <w:rPr>
                <w:spacing w:val="-5"/>
                <w:sz w:val="20"/>
              </w:rPr>
              <w:t xml:space="preserve"> </w:t>
            </w:r>
            <w:r w:rsidRPr="00150EDC">
              <w:rPr>
                <w:sz w:val="20"/>
              </w:rPr>
              <w:t>1985,</w:t>
            </w:r>
            <w:r w:rsidRPr="00150EDC">
              <w:rPr>
                <w:spacing w:val="-6"/>
                <w:sz w:val="20"/>
              </w:rPr>
              <w:t xml:space="preserve"> </w:t>
            </w:r>
            <w:r w:rsidRPr="00150EDC">
              <w:rPr>
                <w:spacing w:val="-4"/>
                <w:sz w:val="20"/>
              </w:rPr>
              <w:t>s1(a)</w:t>
            </w:r>
          </w:p>
        </w:tc>
        <w:tc>
          <w:tcPr>
            <w:tcW w:w="7427" w:type="dxa"/>
          </w:tcPr>
          <w:p w14:paraId="2FE3367F" w14:textId="77777777" w:rsidR="004C7180" w:rsidRPr="00150EDC" w:rsidRDefault="00CF0754">
            <w:pPr>
              <w:pStyle w:val="TableParagraph"/>
              <w:rPr>
                <w:sz w:val="20"/>
              </w:rPr>
            </w:pPr>
            <w:r w:rsidRPr="00150EDC">
              <w:rPr>
                <w:sz w:val="20"/>
              </w:rPr>
              <w:t>Causing</w:t>
            </w:r>
            <w:r w:rsidRPr="00150EDC">
              <w:rPr>
                <w:spacing w:val="-6"/>
                <w:sz w:val="20"/>
              </w:rPr>
              <w:t xml:space="preserve"> </w:t>
            </w:r>
            <w:r w:rsidRPr="00150EDC">
              <w:rPr>
                <w:sz w:val="20"/>
              </w:rPr>
              <w:t>serious</w:t>
            </w:r>
            <w:r w:rsidRPr="00150EDC">
              <w:rPr>
                <w:spacing w:val="-5"/>
                <w:sz w:val="20"/>
              </w:rPr>
              <w:t xml:space="preserve"> </w:t>
            </w:r>
            <w:r w:rsidRPr="00150EDC">
              <w:rPr>
                <w:sz w:val="20"/>
              </w:rPr>
              <w:t>bodily</w:t>
            </w:r>
            <w:r w:rsidRPr="00150EDC">
              <w:rPr>
                <w:spacing w:val="-4"/>
                <w:sz w:val="20"/>
              </w:rPr>
              <w:t xml:space="preserve"> </w:t>
            </w:r>
            <w:r w:rsidRPr="00150EDC">
              <w:rPr>
                <w:sz w:val="20"/>
              </w:rPr>
              <w:t>harm</w:t>
            </w:r>
            <w:r w:rsidRPr="00150EDC">
              <w:rPr>
                <w:spacing w:val="-6"/>
                <w:sz w:val="20"/>
              </w:rPr>
              <w:t xml:space="preserve"> </w:t>
            </w:r>
            <w:r w:rsidRPr="00150EDC">
              <w:rPr>
                <w:sz w:val="20"/>
              </w:rPr>
              <w:t>by</w:t>
            </w:r>
            <w:r w:rsidRPr="00150EDC">
              <w:rPr>
                <w:spacing w:val="-4"/>
                <w:sz w:val="20"/>
              </w:rPr>
              <w:t xml:space="preserve"> </w:t>
            </w:r>
            <w:r w:rsidRPr="00150EDC">
              <w:rPr>
                <w:sz w:val="20"/>
              </w:rPr>
              <w:t xml:space="preserve">dangerous </w:t>
            </w:r>
            <w:r w:rsidRPr="00150EDC">
              <w:rPr>
                <w:spacing w:val="-2"/>
                <w:sz w:val="20"/>
              </w:rPr>
              <w:t>driving</w:t>
            </w:r>
          </w:p>
        </w:tc>
      </w:tr>
      <w:tr w:rsidR="004569EE" w:rsidRPr="007D3144" w14:paraId="57BEF8D9" w14:textId="77777777">
        <w:trPr>
          <w:trHeight w:val="255"/>
        </w:trPr>
        <w:tc>
          <w:tcPr>
            <w:tcW w:w="6517" w:type="dxa"/>
          </w:tcPr>
          <w:p w14:paraId="534B0D2C" w14:textId="77777777" w:rsidR="004C7180" w:rsidRPr="00150EDC" w:rsidRDefault="00CF0754">
            <w:pPr>
              <w:pStyle w:val="TableParagraph"/>
              <w:rPr>
                <w:sz w:val="20"/>
              </w:rPr>
            </w:pPr>
            <w:r w:rsidRPr="00150EDC">
              <w:rPr>
                <w:sz w:val="20"/>
              </w:rPr>
              <w:t>Road</w:t>
            </w:r>
            <w:r w:rsidRPr="00150EDC">
              <w:rPr>
                <w:spacing w:val="-7"/>
                <w:sz w:val="20"/>
              </w:rPr>
              <w:t xml:space="preserve"> </w:t>
            </w:r>
            <w:r w:rsidRPr="00150EDC">
              <w:rPr>
                <w:sz w:val="20"/>
              </w:rPr>
              <w:t>Traffic</w:t>
            </w:r>
            <w:r w:rsidRPr="00150EDC">
              <w:rPr>
                <w:spacing w:val="-4"/>
                <w:sz w:val="20"/>
              </w:rPr>
              <w:t xml:space="preserve"> </w:t>
            </w:r>
            <w:r w:rsidRPr="00150EDC">
              <w:rPr>
                <w:sz w:val="20"/>
              </w:rPr>
              <w:t>Act</w:t>
            </w:r>
            <w:r w:rsidRPr="00150EDC">
              <w:rPr>
                <w:spacing w:val="-5"/>
                <w:sz w:val="20"/>
              </w:rPr>
              <w:t xml:space="preserve"> </w:t>
            </w:r>
            <w:r w:rsidRPr="00150EDC">
              <w:rPr>
                <w:sz w:val="20"/>
              </w:rPr>
              <w:t>1985,</w:t>
            </w:r>
            <w:r w:rsidRPr="00150EDC">
              <w:rPr>
                <w:spacing w:val="-6"/>
                <w:sz w:val="20"/>
              </w:rPr>
              <w:t xml:space="preserve"> </w:t>
            </w:r>
            <w:r w:rsidRPr="00150EDC">
              <w:rPr>
                <w:spacing w:val="-4"/>
                <w:sz w:val="20"/>
              </w:rPr>
              <w:t>s2(b)</w:t>
            </w:r>
          </w:p>
        </w:tc>
        <w:tc>
          <w:tcPr>
            <w:tcW w:w="7427" w:type="dxa"/>
          </w:tcPr>
          <w:p w14:paraId="01453997" w14:textId="77777777" w:rsidR="004C7180" w:rsidRPr="00150EDC" w:rsidRDefault="00CF0754">
            <w:pPr>
              <w:pStyle w:val="TableParagraph"/>
              <w:rPr>
                <w:sz w:val="20"/>
              </w:rPr>
            </w:pPr>
            <w:r w:rsidRPr="00150EDC">
              <w:rPr>
                <w:sz w:val="20"/>
              </w:rPr>
              <w:t>Causing</w:t>
            </w:r>
            <w:r w:rsidRPr="00150EDC">
              <w:rPr>
                <w:spacing w:val="-7"/>
                <w:sz w:val="20"/>
              </w:rPr>
              <w:t xml:space="preserve"> </w:t>
            </w:r>
            <w:r w:rsidRPr="00150EDC">
              <w:rPr>
                <w:sz w:val="20"/>
              </w:rPr>
              <w:t>death</w:t>
            </w:r>
            <w:r w:rsidRPr="00150EDC">
              <w:rPr>
                <w:spacing w:val="-6"/>
                <w:sz w:val="20"/>
              </w:rPr>
              <w:t xml:space="preserve"> </w:t>
            </w:r>
            <w:r w:rsidRPr="00150EDC">
              <w:rPr>
                <w:sz w:val="20"/>
              </w:rPr>
              <w:t>by</w:t>
            </w:r>
            <w:r w:rsidRPr="00150EDC">
              <w:rPr>
                <w:spacing w:val="-6"/>
                <w:sz w:val="20"/>
              </w:rPr>
              <w:t xml:space="preserve"> </w:t>
            </w:r>
            <w:r w:rsidRPr="00150EDC">
              <w:rPr>
                <w:sz w:val="20"/>
              </w:rPr>
              <w:t>careless or</w:t>
            </w:r>
            <w:r w:rsidRPr="00150EDC">
              <w:rPr>
                <w:spacing w:val="-7"/>
                <w:sz w:val="20"/>
              </w:rPr>
              <w:t xml:space="preserve"> </w:t>
            </w:r>
            <w:r w:rsidRPr="00150EDC">
              <w:rPr>
                <w:sz w:val="20"/>
              </w:rPr>
              <w:t>inconsiderate</w:t>
            </w:r>
            <w:r w:rsidRPr="00150EDC">
              <w:rPr>
                <w:spacing w:val="-6"/>
                <w:sz w:val="20"/>
              </w:rPr>
              <w:t xml:space="preserve"> </w:t>
            </w:r>
            <w:r w:rsidRPr="00150EDC">
              <w:rPr>
                <w:spacing w:val="-2"/>
                <w:sz w:val="20"/>
              </w:rPr>
              <w:t>driving</w:t>
            </w:r>
          </w:p>
        </w:tc>
      </w:tr>
      <w:tr w:rsidR="004569EE" w:rsidRPr="007D3144" w14:paraId="2564B1DE" w14:textId="77777777">
        <w:trPr>
          <w:trHeight w:val="255"/>
        </w:trPr>
        <w:tc>
          <w:tcPr>
            <w:tcW w:w="6517" w:type="dxa"/>
          </w:tcPr>
          <w:p w14:paraId="545D7001" w14:textId="77777777" w:rsidR="004C7180" w:rsidRPr="00150EDC" w:rsidRDefault="00CF0754">
            <w:pPr>
              <w:pStyle w:val="TableParagraph"/>
              <w:rPr>
                <w:sz w:val="20"/>
              </w:rPr>
            </w:pPr>
            <w:r w:rsidRPr="00150EDC">
              <w:rPr>
                <w:sz w:val="20"/>
              </w:rPr>
              <w:t>Road</w:t>
            </w:r>
            <w:r w:rsidRPr="00150EDC">
              <w:rPr>
                <w:spacing w:val="-7"/>
                <w:sz w:val="20"/>
              </w:rPr>
              <w:t xml:space="preserve"> </w:t>
            </w:r>
            <w:r w:rsidRPr="00150EDC">
              <w:rPr>
                <w:sz w:val="20"/>
              </w:rPr>
              <w:t>Traffic</w:t>
            </w:r>
            <w:r w:rsidRPr="00150EDC">
              <w:rPr>
                <w:spacing w:val="-4"/>
                <w:sz w:val="20"/>
              </w:rPr>
              <w:t xml:space="preserve"> </w:t>
            </w:r>
            <w:r w:rsidRPr="00150EDC">
              <w:rPr>
                <w:sz w:val="20"/>
              </w:rPr>
              <w:t>Act</w:t>
            </w:r>
            <w:r w:rsidRPr="00150EDC">
              <w:rPr>
                <w:spacing w:val="-5"/>
                <w:sz w:val="20"/>
              </w:rPr>
              <w:t xml:space="preserve"> </w:t>
            </w:r>
            <w:r w:rsidRPr="00150EDC">
              <w:rPr>
                <w:sz w:val="20"/>
              </w:rPr>
              <w:t>1985,</w:t>
            </w:r>
            <w:r w:rsidRPr="00150EDC">
              <w:rPr>
                <w:spacing w:val="-6"/>
                <w:sz w:val="20"/>
              </w:rPr>
              <w:t xml:space="preserve"> </w:t>
            </w:r>
            <w:r w:rsidRPr="00150EDC">
              <w:rPr>
                <w:spacing w:val="-4"/>
                <w:sz w:val="20"/>
              </w:rPr>
              <w:t>s2(c)</w:t>
            </w:r>
          </w:p>
        </w:tc>
        <w:tc>
          <w:tcPr>
            <w:tcW w:w="7427" w:type="dxa"/>
          </w:tcPr>
          <w:p w14:paraId="1F9EAD22" w14:textId="77777777" w:rsidR="004C7180" w:rsidRPr="00150EDC" w:rsidRDefault="00CF0754">
            <w:pPr>
              <w:pStyle w:val="TableParagraph"/>
              <w:rPr>
                <w:sz w:val="20"/>
              </w:rPr>
            </w:pPr>
            <w:r w:rsidRPr="00150EDC">
              <w:rPr>
                <w:sz w:val="20"/>
              </w:rPr>
              <w:t>Causing</w:t>
            </w:r>
            <w:r w:rsidRPr="00150EDC">
              <w:rPr>
                <w:spacing w:val="-6"/>
                <w:sz w:val="20"/>
              </w:rPr>
              <w:t xml:space="preserve"> </w:t>
            </w:r>
            <w:r w:rsidRPr="00150EDC">
              <w:rPr>
                <w:sz w:val="20"/>
              </w:rPr>
              <w:t>serious</w:t>
            </w:r>
            <w:r w:rsidRPr="00150EDC">
              <w:rPr>
                <w:spacing w:val="-4"/>
                <w:sz w:val="20"/>
              </w:rPr>
              <w:t xml:space="preserve"> </w:t>
            </w:r>
            <w:r w:rsidRPr="00150EDC">
              <w:rPr>
                <w:sz w:val="20"/>
              </w:rPr>
              <w:t>bodily</w:t>
            </w:r>
            <w:r w:rsidRPr="00150EDC">
              <w:rPr>
                <w:spacing w:val="-4"/>
                <w:sz w:val="20"/>
              </w:rPr>
              <w:t xml:space="preserve"> </w:t>
            </w:r>
            <w:r w:rsidRPr="00150EDC">
              <w:rPr>
                <w:sz w:val="20"/>
              </w:rPr>
              <w:t>harm</w:t>
            </w:r>
            <w:r w:rsidRPr="00150EDC">
              <w:rPr>
                <w:spacing w:val="-6"/>
                <w:sz w:val="20"/>
              </w:rPr>
              <w:t xml:space="preserve"> </w:t>
            </w:r>
            <w:r w:rsidRPr="00150EDC">
              <w:rPr>
                <w:sz w:val="20"/>
              </w:rPr>
              <w:t>by</w:t>
            </w:r>
            <w:r w:rsidRPr="00150EDC">
              <w:rPr>
                <w:spacing w:val="-4"/>
                <w:sz w:val="20"/>
              </w:rPr>
              <w:t xml:space="preserve"> </w:t>
            </w:r>
            <w:r w:rsidRPr="00150EDC">
              <w:rPr>
                <w:sz w:val="20"/>
              </w:rPr>
              <w:t>careless</w:t>
            </w:r>
            <w:r w:rsidRPr="00150EDC">
              <w:rPr>
                <w:spacing w:val="-4"/>
                <w:sz w:val="20"/>
              </w:rPr>
              <w:t xml:space="preserve"> </w:t>
            </w:r>
            <w:r w:rsidRPr="00150EDC">
              <w:rPr>
                <w:sz w:val="20"/>
              </w:rPr>
              <w:t>or</w:t>
            </w:r>
            <w:r w:rsidRPr="00150EDC">
              <w:rPr>
                <w:spacing w:val="-5"/>
                <w:sz w:val="20"/>
              </w:rPr>
              <w:t xml:space="preserve"> </w:t>
            </w:r>
            <w:r w:rsidRPr="00150EDC">
              <w:rPr>
                <w:sz w:val="20"/>
              </w:rPr>
              <w:t>inconsiderate</w:t>
            </w:r>
            <w:r w:rsidRPr="00150EDC">
              <w:rPr>
                <w:spacing w:val="-1"/>
                <w:sz w:val="20"/>
              </w:rPr>
              <w:t xml:space="preserve"> </w:t>
            </w:r>
            <w:r w:rsidRPr="00150EDC">
              <w:rPr>
                <w:spacing w:val="-2"/>
                <w:sz w:val="20"/>
              </w:rPr>
              <w:t>driving</w:t>
            </w:r>
          </w:p>
        </w:tc>
      </w:tr>
      <w:tr w:rsidR="004569EE" w:rsidRPr="007D3144" w14:paraId="3A849706" w14:textId="77777777">
        <w:trPr>
          <w:trHeight w:val="255"/>
        </w:trPr>
        <w:tc>
          <w:tcPr>
            <w:tcW w:w="6517" w:type="dxa"/>
          </w:tcPr>
          <w:p w14:paraId="23085430" w14:textId="77777777" w:rsidR="004C7180" w:rsidRPr="00150EDC" w:rsidRDefault="00CF0754">
            <w:pPr>
              <w:pStyle w:val="TableParagraph"/>
              <w:rPr>
                <w:sz w:val="20"/>
              </w:rPr>
            </w:pPr>
            <w:r w:rsidRPr="00150EDC">
              <w:rPr>
                <w:sz w:val="20"/>
              </w:rPr>
              <w:t>Road</w:t>
            </w:r>
            <w:r w:rsidRPr="00150EDC">
              <w:rPr>
                <w:spacing w:val="-7"/>
                <w:sz w:val="20"/>
              </w:rPr>
              <w:t xml:space="preserve"> </w:t>
            </w:r>
            <w:r w:rsidRPr="00150EDC">
              <w:rPr>
                <w:sz w:val="20"/>
              </w:rPr>
              <w:t>Traffic</w:t>
            </w:r>
            <w:r w:rsidRPr="00150EDC">
              <w:rPr>
                <w:spacing w:val="-4"/>
                <w:sz w:val="20"/>
              </w:rPr>
              <w:t xml:space="preserve"> </w:t>
            </w:r>
            <w:r w:rsidRPr="00150EDC">
              <w:rPr>
                <w:sz w:val="20"/>
              </w:rPr>
              <w:t>Act</w:t>
            </w:r>
            <w:r w:rsidRPr="00150EDC">
              <w:rPr>
                <w:spacing w:val="-5"/>
                <w:sz w:val="20"/>
              </w:rPr>
              <w:t xml:space="preserve"> </w:t>
            </w:r>
            <w:r w:rsidRPr="00150EDC">
              <w:rPr>
                <w:sz w:val="20"/>
              </w:rPr>
              <w:t>1985,</w:t>
            </w:r>
            <w:r w:rsidRPr="00150EDC">
              <w:rPr>
                <w:spacing w:val="-6"/>
                <w:sz w:val="20"/>
              </w:rPr>
              <w:t xml:space="preserve"> </w:t>
            </w:r>
            <w:r w:rsidRPr="00150EDC">
              <w:rPr>
                <w:spacing w:val="-4"/>
                <w:sz w:val="20"/>
              </w:rPr>
              <w:t>s3(a)</w:t>
            </w:r>
          </w:p>
        </w:tc>
        <w:tc>
          <w:tcPr>
            <w:tcW w:w="7427" w:type="dxa"/>
          </w:tcPr>
          <w:p w14:paraId="1192744E" w14:textId="77777777" w:rsidR="004C7180" w:rsidRPr="00150EDC" w:rsidRDefault="00CF0754">
            <w:pPr>
              <w:pStyle w:val="TableParagraph"/>
              <w:rPr>
                <w:sz w:val="20"/>
              </w:rPr>
            </w:pPr>
            <w:r w:rsidRPr="00150EDC">
              <w:rPr>
                <w:sz w:val="20"/>
              </w:rPr>
              <w:t>Causing</w:t>
            </w:r>
            <w:r w:rsidRPr="00150EDC">
              <w:rPr>
                <w:spacing w:val="-6"/>
                <w:sz w:val="20"/>
              </w:rPr>
              <w:t xml:space="preserve"> </w:t>
            </w:r>
            <w:r w:rsidRPr="00150EDC">
              <w:rPr>
                <w:sz w:val="20"/>
              </w:rPr>
              <w:t>death</w:t>
            </w:r>
            <w:r w:rsidRPr="00150EDC">
              <w:rPr>
                <w:spacing w:val="-5"/>
                <w:sz w:val="20"/>
              </w:rPr>
              <w:t xml:space="preserve"> </w:t>
            </w:r>
            <w:r w:rsidRPr="00150EDC">
              <w:rPr>
                <w:sz w:val="20"/>
              </w:rPr>
              <w:t>by</w:t>
            </w:r>
            <w:r w:rsidRPr="00150EDC">
              <w:rPr>
                <w:spacing w:val="-3"/>
                <w:sz w:val="20"/>
              </w:rPr>
              <w:t xml:space="preserve"> </w:t>
            </w:r>
            <w:r w:rsidRPr="00150EDC">
              <w:rPr>
                <w:sz w:val="20"/>
              </w:rPr>
              <w:t>careless</w:t>
            </w:r>
            <w:r w:rsidRPr="00150EDC">
              <w:rPr>
                <w:spacing w:val="1"/>
                <w:sz w:val="20"/>
              </w:rPr>
              <w:t xml:space="preserve"> </w:t>
            </w:r>
            <w:r w:rsidRPr="00150EDC">
              <w:rPr>
                <w:sz w:val="20"/>
              </w:rPr>
              <w:t>driving</w:t>
            </w:r>
            <w:r w:rsidRPr="00150EDC">
              <w:rPr>
                <w:spacing w:val="-5"/>
                <w:sz w:val="20"/>
              </w:rPr>
              <w:t xml:space="preserve"> </w:t>
            </w:r>
            <w:r w:rsidRPr="00150EDC">
              <w:rPr>
                <w:sz w:val="20"/>
              </w:rPr>
              <w:t>when</w:t>
            </w:r>
            <w:r w:rsidRPr="00150EDC">
              <w:rPr>
                <w:spacing w:val="-5"/>
                <w:sz w:val="20"/>
              </w:rPr>
              <w:t xml:space="preserve"> </w:t>
            </w:r>
            <w:r w:rsidRPr="00150EDC">
              <w:rPr>
                <w:sz w:val="20"/>
              </w:rPr>
              <w:t>under the</w:t>
            </w:r>
            <w:r w:rsidRPr="00150EDC">
              <w:rPr>
                <w:spacing w:val="-6"/>
                <w:sz w:val="20"/>
              </w:rPr>
              <w:t xml:space="preserve"> </w:t>
            </w:r>
            <w:r w:rsidRPr="00150EDC">
              <w:rPr>
                <w:sz w:val="20"/>
              </w:rPr>
              <w:t>influence</w:t>
            </w:r>
            <w:r w:rsidRPr="00150EDC">
              <w:rPr>
                <w:spacing w:val="-5"/>
                <w:sz w:val="20"/>
              </w:rPr>
              <w:t xml:space="preserve"> </w:t>
            </w:r>
            <w:r w:rsidRPr="00150EDC">
              <w:rPr>
                <w:sz w:val="20"/>
              </w:rPr>
              <w:t>of</w:t>
            </w:r>
            <w:r w:rsidRPr="00150EDC">
              <w:rPr>
                <w:spacing w:val="-5"/>
                <w:sz w:val="20"/>
              </w:rPr>
              <w:t xml:space="preserve"> </w:t>
            </w:r>
            <w:r w:rsidRPr="00150EDC">
              <w:rPr>
                <w:sz w:val="20"/>
              </w:rPr>
              <w:t>drink</w:t>
            </w:r>
            <w:r w:rsidRPr="00150EDC">
              <w:rPr>
                <w:spacing w:val="-4"/>
                <w:sz w:val="20"/>
              </w:rPr>
              <w:t xml:space="preserve"> </w:t>
            </w:r>
            <w:r w:rsidRPr="00150EDC">
              <w:rPr>
                <w:sz w:val="20"/>
              </w:rPr>
              <w:t>or</w:t>
            </w:r>
            <w:r w:rsidRPr="00150EDC">
              <w:rPr>
                <w:spacing w:val="-1"/>
                <w:sz w:val="20"/>
              </w:rPr>
              <w:t xml:space="preserve"> </w:t>
            </w:r>
            <w:r w:rsidRPr="00150EDC">
              <w:rPr>
                <w:spacing w:val="-2"/>
                <w:sz w:val="20"/>
              </w:rPr>
              <w:t>drugs</w:t>
            </w:r>
          </w:p>
        </w:tc>
      </w:tr>
      <w:tr w:rsidR="004569EE" w:rsidRPr="007D3144" w14:paraId="52D1FBD3" w14:textId="77777777">
        <w:trPr>
          <w:trHeight w:val="255"/>
        </w:trPr>
        <w:tc>
          <w:tcPr>
            <w:tcW w:w="6517" w:type="dxa"/>
          </w:tcPr>
          <w:p w14:paraId="0BA28DFC" w14:textId="77777777" w:rsidR="004C7180" w:rsidRPr="00150EDC" w:rsidRDefault="00CF0754">
            <w:pPr>
              <w:pStyle w:val="TableParagraph"/>
              <w:spacing w:before="28"/>
              <w:rPr>
                <w:sz w:val="20"/>
              </w:rPr>
            </w:pPr>
            <w:r w:rsidRPr="00150EDC">
              <w:rPr>
                <w:sz w:val="20"/>
              </w:rPr>
              <w:t>Road</w:t>
            </w:r>
            <w:r w:rsidRPr="00150EDC">
              <w:rPr>
                <w:spacing w:val="-7"/>
                <w:sz w:val="20"/>
              </w:rPr>
              <w:t xml:space="preserve"> </w:t>
            </w:r>
            <w:r w:rsidRPr="00150EDC">
              <w:rPr>
                <w:sz w:val="20"/>
              </w:rPr>
              <w:t>Traffic</w:t>
            </w:r>
            <w:r w:rsidRPr="00150EDC">
              <w:rPr>
                <w:spacing w:val="-4"/>
                <w:sz w:val="20"/>
              </w:rPr>
              <w:t xml:space="preserve"> </w:t>
            </w:r>
            <w:r w:rsidRPr="00150EDC">
              <w:rPr>
                <w:sz w:val="20"/>
              </w:rPr>
              <w:t>Act</w:t>
            </w:r>
            <w:r w:rsidRPr="00150EDC">
              <w:rPr>
                <w:spacing w:val="-5"/>
                <w:sz w:val="20"/>
              </w:rPr>
              <w:t xml:space="preserve"> </w:t>
            </w:r>
            <w:r w:rsidRPr="00150EDC">
              <w:rPr>
                <w:sz w:val="20"/>
              </w:rPr>
              <w:t>1985,</w:t>
            </w:r>
            <w:r w:rsidRPr="00150EDC">
              <w:rPr>
                <w:spacing w:val="-6"/>
                <w:sz w:val="20"/>
              </w:rPr>
              <w:t xml:space="preserve"> </w:t>
            </w:r>
            <w:r w:rsidRPr="00150EDC">
              <w:rPr>
                <w:spacing w:val="-4"/>
                <w:sz w:val="20"/>
              </w:rPr>
              <w:t>s3(b)</w:t>
            </w:r>
          </w:p>
        </w:tc>
        <w:tc>
          <w:tcPr>
            <w:tcW w:w="7427" w:type="dxa"/>
          </w:tcPr>
          <w:p w14:paraId="762DB6FD" w14:textId="77777777" w:rsidR="004C7180" w:rsidRPr="00150EDC" w:rsidRDefault="00CF0754">
            <w:pPr>
              <w:pStyle w:val="TableParagraph"/>
              <w:spacing w:before="28"/>
              <w:rPr>
                <w:sz w:val="20"/>
              </w:rPr>
            </w:pPr>
            <w:r w:rsidRPr="00150EDC">
              <w:rPr>
                <w:sz w:val="20"/>
              </w:rPr>
              <w:t>Causing</w:t>
            </w:r>
            <w:r w:rsidRPr="00150EDC">
              <w:rPr>
                <w:spacing w:val="-7"/>
                <w:sz w:val="20"/>
              </w:rPr>
              <w:t xml:space="preserve"> </w:t>
            </w:r>
            <w:r w:rsidRPr="00150EDC">
              <w:rPr>
                <w:sz w:val="20"/>
              </w:rPr>
              <w:t>death</w:t>
            </w:r>
            <w:r w:rsidRPr="00150EDC">
              <w:rPr>
                <w:spacing w:val="-6"/>
                <w:sz w:val="20"/>
              </w:rPr>
              <w:t xml:space="preserve"> </w:t>
            </w:r>
            <w:r w:rsidRPr="00150EDC">
              <w:rPr>
                <w:sz w:val="20"/>
              </w:rPr>
              <w:t>by driving</w:t>
            </w:r>
            <w:r w:rsidRPr="00150EDC">
              <w:rPr>
                <w:spacing w:val="-6"/>
                <w:sz w:val="20"/>
              </w:rPr>
              <w:t xml:space="preserve"> </w:t>
            </w:r>
            <w:r w:rsidRPr="00150EDC">
              <w:rPr>
                <w:sz w:val="20"/>
              </w:rPr>
              <w:t>whilst</w:t>
            </w:r>
            <w:r w:rsidRPr="00150EDC">
              <w:rPr>
                <w:spacing w:val="-5"/>
                <w:sz w:val="20"/>
              </w:rPr>
              <w:t xml:space="preserve"> </w:t>
            </w:r>
            <w:r w:rsidRPr="00150EDC">
              <w:rPr>
                <w:sz w:val="20"/>
              </w:rPr>
              <w:t>unlicensed,</w:t>
            </w:r>
            <w:r w:rsidRPr="00150EDC">
              <w:rPr>
                <w:spacing w:val="-6"/>
                <w:sz w:val="20"/>
              </w:rPr>
              <w:t xml:space="preserve"> </w:t>
            </w:r>
            <w:r w:rsidRPr="00150EDC">
              <w:rPr>
                <w:sz w:val="20"/>
              </w:rPr>
              <w:t>disqualified</w:t>
            </w:r>
            <w:r w:rsidRPr="00150EDC">
              <w:rPr>
                <w:spacing w:val="-6"/>
                <w:sz w:val="20"/>
              </w:rPr>
              <w:t xml:space="preserve"> </w:t>
            </w:r>
            <w:r w:rsidRPr="00150EDC">
              <w:rPr>
                <w:sz w:val="20"/>
              </w:rPr>
              <w:t>or</w:t>
            </w:r>
            <w:r w:rsidRPr="00150EDC">
              <w:rPr>
                <w:spacing w:val="-2"/>
                <w:sz w:val="20"/>
              </w:rPr>
              <w:t xml:space="preserve"> uninsured</w:t>
            </w:r>
          </w:p>
        </w:tc>
      </w:tr>
    </w:tbl>
    <w:p w14:paraId="5CB6A77D" w14:textId="77777777" w:rsidR="004C7180" w:rsidRPr="00150EDC" w:rsidRDefault="004C7180">
      <w:pPr>
        <w:rPr>
          <w:sz w:val="20"/>
        </w:rPr>
        <w:sectPr w:rsidR="004C7180" w:rsidRPr="00150EDC">
          <w:footerReference w:type="default" r:id="rId143"/>
          <w:pgSz w:w="16840" w:h="11910" w:orient="landscape"/>
          <w:pgMar w:top="1340" w:right="1320" w:bottom="280" w:left="1340" w:header="0" w:footer="0" w:gutter="0"/>
          <w:cols w:space="720"/>
        </w:sectPr>
      </w:pPr>
    </w:p>
    <w:p w14:paraId="66445E71" w14:textId="77777777" w:rsidR="004C7180" w:rsidRPr="00150EDC" w:rsidRDefault="004C7180">
      <w:pPr>
        <w:pStyle w:val="BodyText"/>
        <w:spacing w:before="3"/>
        <w:rPr>
          <w:sz w:val="8"/>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517"/>
        <w:gridCol w:w="7427"/>
      </w:tblGrid>
      <w:tr w:rsidR="004569EE" w:rsidRPr="007D3144" w14:paraId="4D96BE91" w14:textId="77777777">
        <w:trPr>
          <w:trHeight w:val="254"/>
        </w:trPr>
        <w:tc>
          <w:tcPr>
            <w:tcW w:w="6517" w:type="dxa"/>
          </w:tcPr>
          <w:p w14:paraId="67E814CD" w14:textId="77777777" w:rsidR="004C7180" w:rsidRPr="00150EDC" w:rsidRDefault="00CF0754">
            <w:pPr>
              <w:pStyle w:val="TableParagraph"/>
              <w:rPr>
                <w:sz w:val="20"/>
              </w:rPr>
            </w:pPr>
            <w:r w:rsidRPr="00150EDC">
              <w:rPr>
                <w:sz w:val="20"/>
              </w:rPr>
              <w:t>Road</w:t>
            </w:r>
            <w:r w:rsidRPr="00150EDC">
              <w:rPr>
                <w:spacing w:val="-7"/>
                <w:sz w:val="20"/>
              </w:rPr>
              <w:t xml:space="preserve"> </w:t>
            </w:r>
            <w:r w:rsidRPr="00150EDC">
              <w:rPr>
                <w:sz w:val="20"/>
              </w:rPr>
              <w:t>Traffic</w:t>
            </w:r>
            <w:r w:rsidRPr="00150EDC">
              <w:rPr>
                <w:spacing w:val="-4"/>
                <w:sz w:val="20"/>
              </w:rPr>
              <w:t xml:space="preserve"> </w:t>
            </w:r>
            <w:r w:rsidRPr="00150EDC">
              <w:rPr>
                <w:sz w:val="20"/>
              </w:rPr>
              <w:t>Act</w:t>
            </w:r>
            <w:r w:rsidRPr="00150EDC">
              <w:rPr>
                <w:spacing w:val="-5"/>
                <w:sz w:val="20"/>
              </w:rPr>
              <w:t xml:space="preserve"> </w:t>
            </w:r>
            <w:r w:rsidRPr="00150EDC">
              <w:rPr>
                <w:sz w:val="20"/>
              </w:rPr>
              <w:t>1988,</w:t>
            </w:r>
            <w:r w:rsidRPr="00150EDC">
              <w:rPr>
                <w:spacing w:val="-6"/>
                <w:sz w:val="20"/>
              </w:rPr>
              <w:t xml:space="preserve"> </w:t>
            </w:r>
            <w:r w:rsidRPr="00150EDC">
              <w:rPr>
                <w:spacing w:val="-5"/>
                <w:sz w:val="20"/>
              </w:rPr>
              <w:t>s1</w:t>
            </w:r>
          </w:p>
        </w:tc>
        <w:tc>
          <w:tcPr>
            <w:tcW w:w="7427" w:type="dxa"/>
          </w:tcPr>
          <w:p w14:paraId="4D72F110" w14:textId="77777777" w:rsidR="004C7180" w:rsidRPr="00150EDC" w:rsidRDefault="00CF0754">
            <w:pPr>
              <w:pStyle w:val="TableParagraph"/>
              <w:rPr>
                <w:sz w:val="20"/>
              </w:rPr>
            </w:pPr>
            <w:r w:rsidRPr="00150EDC">
              <w:rPr>
                <w:sz w:val="20"/>
              </w:rPr>
              <w:t>Causing</w:t>
            </w:r>
            <w:r w:rsidRPr="00150EDC">
              <w:rPr>
                <w:spacing w:val="-8"/>
                <w:sz w:val="20"/>
              </w:rPr>
              <w:t xml:space="preserve"> </w:t>
            </w:r>
            <w:r w:rsidRPr="00150EDC">
              <w:rPr>
                <w:sz w:val="20"/>
              </w:rPr>
              <w:t>death</w:t>
            </w:r>
            <w:r w:rsidRPr="00150EDC">
              <w:rPr>
                <w:spacing w:val="-8"/>
                <w:sz w:val="20"/>
              </w:rPr>
              <w:t xml:space="preserve"> </w:t>
            </w:r>
            <w:r w:rsidRPr="00150EDC">
              <w:rPr>
                <w:sz w:val="20"/>
              </w:rPr>
              <w:t>by</w:t>
            </w:r>
            <w:r w:rsidRPr="00150EDC">
              <w:rPr>
                <w:spacing w:val="-2"/>
                <w:sz w:val="20"/>
              </w:rPr>
              <w:t xml:space="preserve"> </w:t>
            </w:r>
            <w:r w:rsidRPr="00150EDC">
              <w:rPr>
                <w:sz w:val="20"/>
              </w:rPr>
              <w:t>dangerous</w:t>
            </w:r>
            <w:r w:rsidRPr="00150EDC">
              <w:rPr>
                <w:spacing w:val="-2"/>
                <w:sz w:val="20"/>
              </w:rPr>
              <w:t xml:space="preserve"> driving</w:t>
            </w:r>
          </w:p>
        </w:tc>
      </w:tr>
      <w:tr w:rsidR="004569EE" w:rsidRPr="007D3144" w14:paraId="3F9BCCBE" w14:textId="77777777">
        <w:trPr>
          <w:trHeight w:val="255"/>
        </w:trPr>
        <w:tc>
          <w:tcPr>
            <w:tcW w:w="6517" w:type="dxa"/>
          </w:tcPr>
          <w:p w14:paraId="2B198CA8" w14:textId="77777777" w:rsidR="004C7180" w:rsidRPr="00150EDC" w:rsidRDefault="00CF0754">
            <w:pPr>
              <w:pStyle w:val="TableParagraph"/>
              <w:spacing w:before="28"/>
              <w:rPr>
                <w:sz w:val="20"/>
              </w:rPr>
            </w:pPr>
            <w:r w:rsidRPr="00150EDC">
              <w:rPr>
                <w:sz w:val="20"/>
              </w:rPr>
              <w:t>Road</w:t>
            </w:r>
            <w:r w:rsidRPr="00150EDC">
              <w:rPr>
                <w:spacing w:val="-7"/>
                <w:sz w:val="20"/>
              </w:rPr>
              <w:t xml:space="preserve"> </w:t>
            </w:r>
            <w:r w:rsidRPr="00150EDC">
              <w:rPr>
                <w:sz w:val="20"/>
              </w:rPr>
              <w:t>Traffic</w:t>
            </w:r>
            <w:r w:rsidRPr="00150EDC">
              <w:rPr>
                <w:spacing w:val="-4"/>
                <w:sz w:val="20"/>
              </w:rPr>
              <w:t xml:space="preserve"> </w:t>
            </w:r>
            <w:r w:rsidRPr="00150EDC">
              <w:rPr>
                <w:sz w:val="20"/>
              </w:rPr>
              <w:t>Act</w:t>
            </w:r>
            <w:r w:rsidRPr="00150EDC">
              <w:rPr>
                <w:spacing w:val="-5"/>
                <w:sz w:val="20"/>
              </w:rPr>
              <w:t xml:space="preserve"> </w:t>
            </w:r>
            <w:r w:rsidRPr="00150EDC">
              <w:rPr>
                <w:sz w:val="20"/>
              </w:rPr>
              <w:t>1988,</w:t>
            </w:r>
            <w:r w:rsidRPr="00150EDC">
              <w:rPr>
                <w:spacing w:val="-6"/>
                <w:sz w:val="20"/>
              </w:rPr>
              <w:t xml:space="preserve"> </w:t>
            </w:r>
            <w:r w:rsidRPr="00150EDC">
              <w:rPr>
                <w:spacing w:val="-5"/>
                <w:sz w:val="20"/>
              </w:rPr>
              <w:t>s3A</w:t>
            </w:r>
          </w:p>
        </w:tc>
        <w:tc>
          <w:tcPr>
            <w:tcW w:w="7427" w:type="dxa"/>
          </w:tcPr>
          <w:p w14:paraId="0E35C38E" w14:textId="77777777" w:rsidR="004C7180" w:rsidRPr="00150EDC" w:rsidRDefault="00CF0754">
            <w:pPr>
              <w:pStyle w:val="TableParagraph"/>
              <w:spacing w:before="28"/>
              <w:rPr>
                <w:sz w:val="20"/>
              </w:rPr>
            </w:pPr>
            <w:r w:rsidRPr="00150EDC">
              <w:rPr>
                <w:sz w:val="20"/>
              </w:rPr>
              <w:t>Causing</w:t>
            </w:r>
            <w:r w:rsidRPr="00150EDC">
              <w:rPr>
                <w:spacing w:val="-6"/>
                <w:sz w:val="20"/>
              </w:rPr>
              <w:t xml:space="preserve"> </w:t>
            </w:r>
            <w:r w:rsidRPr="00150EDC">
              <w:rPr>
                <w:sz w:val="20"/>
              </w:rPr>
              <w:t>death</w:t>
            </w:r>
            <w:r w:rsidRPr="00150EDC">
              <w:rPr>
                <w:spacing w:val="-5"/>
                <w:sz w:val="20"/>
              </w:rPr>
              <w:t xml:space="preserve"> </w:t>
            </w:r>
            <w:r w:rsidRPr="00150EDC">
              <w:rPr>
                <w:sz w:val="20"/>
              </w:rPr>
              <w:t>by</w:t>
            </w:r>
            <w:r w:rsidRPr="00150EDC">
              <w:rPr>
                <w:spacing w:val="-4"/>
                <w:sz w:val="20"/>
              </w:rPr>
              <w:t xml:space="preserve"> </w:t>
            </w:r>
            <w:r w:rsidRPr="00150EDC">
              <w:rPr>
                <w:sz w:val="20"/>
              </w:rPr>
              <w:t>careless</w:t>
            </w:r>
            <w:r w:rsidRPr="00150EDC">
              <w:rPr>
                <w:spacing w:val="1"/>
                <w:sz w:val="20"/>
              </w:rPr>
              <w:t xml:space="preserve"> </w:t>
            </w:r>
            <w:r w:rsidRPr="00150EDC">
              <w:rPr>
                <w:sz w:val="20"/>
              </w:rPr>
              <w:t>driving</w:t>
            </w:r>
            <w:r w:rsidRPr="00150EDC">
              <w:rPr>
                <w:spacing w:val="-5"/>
                <w:sz w:val="20"/>
              </w:rPr>
              <w:t xml:space="preserve"> </w:t>
            </w:r>
            <w:r w:rsidRPr="00150EDC">
              <w:rPr>
                <w:sz w:val="20"/>
              </w:rPr>
              <w:t>when</w:t>
            </w:r>
            <w:r w:rsidRPr="00150EDC">
              <w:rPr>
                <w:spacing w:val="-5"/>
                <w:sz w:val="20"/>
              </w:rPr>
              <w:t xml:space="preserve"> </w:t>
            </w:r>
            <w:r w:rsidRPr="00150EDC">
              <w:rPr>
                <w:sz w:val="20"/>
              </w:rPr>
              <w:t>under the</w:t>
            </w:r>
            <w:r w:rsidRPr="00150EDC">
              <w:rPr>
                <w:spacing w:val="-5"/>
                <w:sz w:val="20"/>
              </w:rPr>
              <w:t xml:space="preserve"> </w:t>
            </w:r>
            <w:r w:rsidRPr="00150EDC">
              <w:rPr>
                <w:sz w:val="20"/>
              </w:rPr>
              <w:t>influence</w:t>
            </w:r>
            <w:r w:rsidRPr="00150EDC">
              <w:rPr>
                <w:spacing w:val="-6"/>
                <w:sz w:val="20"/>
              </w:rPr>
              <w:t xml:space="preserve"> </w:t>
            </w:r>
            <w:r w:rsidRPr="00150EDC">
              <w:rPr>
                <w:sz w:val="20"/>
              </w:rPr>
              <w:t>of</w:t>
            </w:r>
            <w:r w:rsidRPr="00150EDC">
              <w:rPr>
                <w:spacing w:val="-5"/>
                <w:sz w:val="20"/>
              </w:rPr>
              <w:t xml:space="preserve"> </w:t>
            </w:r>
            <w:r w:rsidRPr="00150EDC">
              <w:rPr>
                <w:sz w:val="20"/>
              </w:rPr>
              <w:t>drink</w:t>
            </w:r>
            <w:r w:rsidRPr="00150EDC">
              <w:rPr>
                <w:spacing w:val="-4"/>
                <w:sz w:val="20"/>
              </w:rPr>
              <w:t xml:space="preserve"> </w:t>
            </w:r>
            <w:r w:rsidRPr="00150EDC">
              <w:rPr>
                <w:sz w:val="20"/>
              </w:rPr>
              <w:t>or</w:t>
            </w:r>
            <w:r w:rsidRPr="00150EDC">
              <w:rPr>
                <w:spacing w:val="-1"/>
                <w:sz w:val="20"/>
              </w:rPr>
              <w:t xml:space="preserve"> </w:t>
            </w:r>
            <w:r w:rsidRPr="00150EDC">
              <w:rPr>
                <w:spacing w:val="-2"/>
                <w:sz w:val="20"/>
              </w:rPr>
              <w:t>drugs</w:t>
            </w:r>
          </w:p>
        </w:tc>
      </w:tr>
      <w:tr w:rsidR="004569EE" w:rsidRPr="007D3144" w14:paraId="495A9784" w14:textId="77777777">
        <w:trPr>
          <w:trHeight w:val="255"/>
        </w:trPr>
        <w:tc>
          <w:tcPr>
            <w:tcW w:w="6517" w:type="dxa"/>
          </w:tcPr>
          <w:p w14:paraId="570A6AAA" w14:textId="77777777" w:rsidR="004C7180" w:rsidRPr="00150EDC" w:rsidRDefault="00CF0754">
            <w:pPr>
              <w:pStyle w:val="TableParagraph"/>
              <w:rPr>
                <w:sz w:val="20"/>
              </w:rPr>
            </w:pPr>
            <w:r w:rsidRPr="00150EDC">
              <w:rPr>
                <w:sz w:val="20"/>
              </w:rPr>
              <w:t>Road</w:t>
            </w:r>
            <w:r w:rsidRPr="00150EDC">
              <w:rPr>
                <w:spacing w:val="-7"/>
                <w:sz w:val="20"/>
              </w:rPr>
              <w:t xml:space="preserve"> </w:t>
            </w:r>
            <w:r w:rsidRPr="00150EDC">
              <w:rPr>
                <w:sz w:val="20"/>
              </w:rPr>
              <w:t>Traffic</w:t>
            </w:r>
            <w:r w:rsidRPr="00150EDC">
              <w:rPr>
                <w:spacing w:val="-4"/>
                <w:sz w:val="20"/>
              </w:rPr>
              <w:t xml:space="preserve"> </w:t>
            </w:r>
            <w:r w:rsidRPr="00150EDC">
              <w:rPr>
                <w:sz w:val="20"/>
              </w:rPr>
              <w:t>Act</w:t>
            </w:r>
            <w:r w:rsidRPr="00150EDC">
              <w:rPr>
                <w:spacing w:val="-5"/>
                <w:sz w:val="20"/>
              </w:rPr>
              <w:t xml:space="preserve"> </w:t>
            </w:r>
            <w:r w:rsidRPr="00150EDC">
              <w:rPr>
                <w:sz w:val="20"/>
              </w:rPr>
              <w:t>1988,</w:t>
            </w:r>
            <w:r w:rsidRPr="00150EDC">
              <w:rPr>
                <w:spacing w:val="-6"/>
                <w:sz w:val="20"/>
              </w:rPr>
              <w:t xml:space="preserve"> </w:t>
            </w:r>
            <w:r w:rsidRPr="00150EDC">
              <w:rPr>
                <w:spacing w:val="-4"/>
                <w:sz w:val="20"/>
              </w:rPr>
              <w:t>s3ZB</w:t>
            </w:r>
          </w:p>
        </w:tc>
        <w:tc>
          <w:tcPr>
            <w:tcW w:w="7427" w:type="dxa"/>
          </w:tcPr>
          <w:p w14:paraId="45AAED33" w14:textId="77777777" w:rsidR="004C7180" w:rsidRPr="00150EDC" w:rsidRDefault="00CF0754">
            <w:pPr>
              <w:pStyle w:val="TableParagraph"/>
              <w:rPr>
                <w:sz w:val="20"/>
              </w:rPr>
            </w:pPr>
            <w:r w:rsidRPr="00150EDC">
              <w:rPr>
                <w:sz w:val="20"/>
              </w:rPr>
              <w:t>Causing</w:t>
            </w:r>
            <w:r w:rsidRPr="00150EDC">
              <w:rPr>
                <w:spacing w:val="-7"/>
                <w:sz w:val="20"/>
              </w:rPr>
              <w:t xml:space="preserve"> </w:t>
            </w:r>
            <w:r w:rsidRPr="00150EDC">
              <w:rPr>
                <w:sz w:val="20"/>
              </w:rPr>
              <w:t>death</w:t>
            </w:r>
            <w:r w:rsidRPr="00150EDC">
              <w:rPr>
                <w:spacing w:val="-6"/>
                <w:sz w:val="20"/>
              </w:rPr>
              <w:t xml:space="preserve"> </w:t>
            </w:r>
            <w:r w:rsidRPr="00150EDC">
              <w:rPr>
                <w:sz w:val="20"/>
              </w:rPr>
              <w:t>by driving</w:t>
            </w:r>
            <w:r w:rsidRPr="00150EDC">
              <w:rPr>
                <w:spacing w:val="-6"/>
                <w:sz w:val="20"/>
              </w:rPr>
              <w:t xml:space="preserve"> </w:t>
            </w:r>
            <w:r w:rsidRPr="00150EDC">
              <w:rPr>
                <w:sz w:val="20"/>
              </w:rPr>
              <w:t>whilst</w:t>
            </w:r>
            <w:r w:rsidRPr="00150EDC">
              <w:rPr>
                <w:spacing w:val="-5"/>
                <w:sz w:val="20"/>
              </w:rPr>
              <w:t xml:space="preserve"> </w:t>
            </w:r>
            <w:r w:rsidRPr="00150EDC">
              <w:rPr>
                <w:sz w:val="20"/>
              </w:rPr>
              <w:t>unlicensed,</w:t>
            </w:r>
            <w:r w:rsidRPr="00150EDC">
              <w:rPr>
                <w:spacing w:val="-6"/>
                <w:sz w:val="20"/>
              </w:rPr>
              <w:t xml:space="preserve"> </w:t>
            </w:r>
            <w:r w:rsidRPr="00150EDC">
              <w:rPr>
                <w:sz w:val="20"/>
              </w:rPr>
              <w:t>disqualified</w:t>
            </w:r>
            <w:r w:rsidRPr="00150EDC">
              <w:rPr>
                <w:spacing w:val="-6"/>
                <w:sz w:val="20"/>
              </w:rPr>
              <w:t xml:space="preserve"> </w:t>
            </w:r>
            <w:r w:rsidRPr="00150EDC">
              <w:rPr>
                <w:sz w:val="20"/>
              </w:rPr>
              <w:t>or</w:t>
            </w:r>
            <w:r w:rsidRPr="00150EDC">
              <w:rPr>
                <w:spacing w:val="-2"/>
                <w:sz w:val="20"/>
              </w:rPr>
              <w:t xml:space="preserve"> uninsured</w:t>
            </w:r>
          </w:p>
        </w:tc>
      </w:tr>
      <w:tr w:rsidR="004569EE" w:rsidRPr="007D3144" w14:paraId="1E196496" w14:textId="77777777">
        <w:trPr>
          <w:trHeight w:val="510"/>
        </w:trPr>
        <w:tc>
          <w:tcPr>
            <w:tcW w:w="6517" w:type="dxa"/>
          </w:tcPr>
          <w:p w14:paraId="33738290" w14:textId="77777777" w:rsidR="004C7180" w:rsidRPr="00150EDC" w:rsidRDefault="004C7180">
            <w:pPr>
              <w:pStyle w:val="TableParagraph"/>
              <w:spacing w:before="6" w:line="240" w:lineRule="auto"/>
              <w:ind w:left="0"/>
              <w:rPr>
                <w:sz w:val="24"/>
              </w:rPr>
            </w:pPr>
          </w:p>
          <w:p w14:paraId="71649F75" w14:textId="77777777" w:rsidR="004C7180" w:rsidRPr="00150EDC" w:rsidRDefault="00CF0754">
            <w:pPr>
              <w:pStyle w:val="TableParagraph"/>
              <w:spacing w:before="0"/>
              <w:rPr>
                <w:sz w:val="20"/>
              </w:rPr>
            </w:pPr>
            <w:r w:rsidRPr="00150EDC">
              <w:rPr>
                <w:sz w:val="20"/>
              </w:rPr>
              <w:t>Safeguarding</w:t>
            </w:r>
            <w:r w:rsidRPr="00150EDC">
              <w:rPr>
                <w:spacing w:val="-9"/>
                <w:sz w:val="20"/>
              </w:rPr>
              <w:t xml:space="preserve"> </w:t>
            </w:r>
            <w:r w:rsidRPr="00150EDC">
              <w:rPr>
                <w:sz w:val="20"/>
              </w:rPr>
              <w:t>Vulnerable</w:t>
            </w:r>
            <w:r w:rsidRPr="00150EDC">
              <w:rPr>
                <w:spacing w:val="-3"/>
                <w:sz w:val="20"/>
              </w:rPr>
              <w:t xml:space="preserve"> </w:t>
            </w:r>
            <w:r w:rsidRPr="00150EDC">
              <w:rPr>
                <w:sz w:val="20"/>
              </w:rPr>
              <w:t>Groups</w:t>
            </w:r>
            <w:r w:rsidRPr="00150EDC">
              <w:rPr>
                <w:spacing w:val="-7"/>
                <w:sz w:val="20"/>
              </w:rPr>
              <w:t xml:space="preserve"> </w:t>
            </w:r>
            <w:r w:rsidRPr="00150EDC">
              <w:rPr>
                <w:sz w:val="20"/>
              </w:rPr>
              <w:t>(Northern</w:t>
            </w:r>
            <w:r w:rsidRPr="00150EDC">
              <w:rPr>
                <w:spacing w:val="-8"/>
                <w:sz w:val="20"/>
              </w:rPr>
              <w:t xml:space="preserve"> </w:t>
            </w:r>
            <w:r w:rsidRPr="00150EDC">
              <w:rPr>
                <w:sz w:val="20"/>
              </w:rPr>
              <w:t>Ireland)</w:t>
            </w:r>
            <w:r w:rsidRPr="00150EDC">
              <w:rPr>
                <w:spacing w:val="-4"/>
                <w:sz w:val="20"/>
              </w:rPr>
              <w:t xml:space="preserve"> </w:t>
            </w:r>
            <w:r w:rsidRPr="00150EDC">
              <w:rPr>
                <w:sz w:val="20"/>
              </w:rPr>
              <w:t>Order</w:t>
            </w:r>
            <w:r w:rsidRPr="00150EDC">
              <w:rPr>
                <w:spacing w:val="-4"/>
                <w:sz w:val="20"/>
              </w:rPr>
              <w:t xml:space="preserve"> </w:t>
            </w:r>
            <w:r w:rsidRPr="00150EDC">
              <w:rPr>
                <w:sz w:val="20"/>
              </w:rPr>
              <w:t>2007,</w:t>
            </w:r>
            <w:r w:rsidRPr="00150EDC">
              <w:rPr>
                <w:spacing w:val="-8"/>
                <w:sz w:val="20"/>
              </w:rPr>
              <w:t xml:space="preserve"> </w:t>
            </w:r>
            <w:r w:rsidRPr="00150EDC">
              <w:rPr>
                <w:sz w:val="20"/>
              </w:rPr>
              <w:t>Art</w:t>
            </w:r>
            <w:r w:rsidRPr="00150EDC">
              <w:rPr>
                <w:spacing w:val="-2"/>
                <w:sz w:val="20"/>
              </w:rPr>
              <w:t xml:space="preserve"> </w:t>
            </w:r>
            <w:r w:rsidRPr="00150EDC">
              <w:rPr>
                <w:spacing w:val="-5"/>
                <w:sz w:val="20"/>
              </w:rPr>
              <w:t>11</w:t>
            </w:r>
          </w:p>
        </w:tc>
        <w:tc>
          <w:tcPr>
            <w:tcW w:w="7427" w:type="dxa"/>
          </w:tcPr>
          <w:p w14:paraId="3C4640D8" w14:textId="77777777" w:rsidR="004C7180" w:rsidRPr="00150EDC" w:rsidRDefault="004C7180">
            <w:pPr>
              <w:pStyle w:val="TableParagraph"/>
              <w:spacing w:before="6" w:line="240" w:lineRule="auto"/>
              <w:ind w:left="0"/>
              <w:rPr>
                <w:sz w:val="24"/>
              </w:rPr>
            </w:pPr>
          </w:p>
          <w:p w14:paraId="6E326353" w14:textId="77777777" w:rsidR="004C7180" w:rsidRPr="00150EDC" w:rsidRDefault="00CF0754">
            <w:pPr>
              <w:pStyle w:val="TableParagraph"/>
              <w:spacing w:before="0"/>
              <w:rPr>
                <w:sz w:val="20"/>
              </w:rPr>
            </w:pPr>
            <w:r w:rsidRPr="00150EDC">
              <w:rPr>
                <w:sz w:val="20"/>
              </w:rPr>
              <w:t>Barred</w:t>
            </w:r>
            <w:r w:rsidRPr="00150EDC">
              <w:rPr>
                <w:spacing w:val="-6"/>
                <w:sz w:val="20"/>
              </w:rPr>
              <w:t xml:space="preserve"> </w:t>
            </w:r>
            <w:r w:rsidRPr="00150EDC">
              <w:rPr>
                <w:sz w:val="20"/>
              </w:rPr>
              <w:t>person not</w:t>
            </w:r>
            <w:r w:rsidRPr="00150EDC">
              <w:rPr>
                <w:spacing w:val="-5"/>
                <w:sz w:val="20"/>
              </w:rPr>
              <w:t xml:space="preserve"> </w:t>
            </w:r>
            <w:r w:rsidRPr="00150EDC">
              <w:rPr>
                <w:sz w:val="20"/>
              </w:rPr>
              <w:t>to</w:t>
            </w:r>
            <w:r w:rsidRPr="00150EDC">
              <w:rPr>
                <w:spacing w:val="-5"/>
                <w:sz w:val="20"/>
              </w:rPr>
              <w:t xml:space="preserve"> </w:t>
            </w:r>
            <w:r w:rsidRPr="00150EDC">
              <w:rPr>
                <w:sz w:val="20"/>
              </w:rPr>
              <w:t>engage</w:t>
            </w:r>
            <w:r w:rsidRPr="00150EDC">
              <w:rPr>
                <w:spacing w:val="-5"/>
                <w:sz w:val="20"/>
              </w:rPr>
              <w:t xml:space="preserve"> </w:t>
            </w:r>
            <w:r w:rsidRPr="00150EDC">
              <w:rPr>
                <w:sz w:val="20"/>
              </w:rPr>
              <w:t>in</w:t>
            </w:r>
            <w:r w:rsidRPr="00150EDC">
              <w:rPr>
                <w:spacing w:val="-5"/>
                <w:sz w:val="20"/>
              </w:rPr>
              <w:t xml:space="preserve"> </w:t>
            </w:r>
            <w:r w:rsidRPr="00150EDC">
              <w:rPr>
                <w:sz w:val="20"/>
              </w:rPr>
              <w:t xml:space="preserve">regulated </w:t>
            </w:r>
            <w:r w:rsidRPr="00150EDC">
              <w:rPr>
                <w:spacing w:val="-2"/>
                <w:sz w:val="20"/>
              </w:rPr>
              <w:t>activity</w:t>
            </w:r>
          </w:p>
        </w:tc>
      </w:tr>
      <w:tr w:rsidR="004569EE" w:rsidRPr="007D3144" w14:paraId="1BF194A9" w14:textId="77777777">
        <w:trPr>
          <w:trHeight w:val="255"/>
        </w:trPr>
        <w:tc>
          <w:tcPr>
            <w:tcW w:w="6517" w:type="dxa"/>
          </w:tcPr>
          <w:p w14:paraId="4F3484AA" w14:textId="77777777" w:rsidR="004C7180" w:rsidRPr="00150EDC" w:rsidRDefault="00CF0754">
            <w:pPr>
              <w:pStyle w:val="TableParagraph"/>
              <w:spacing w:before="28"/>
              <w:rPr>
                <w:sz w:val="20"/>
              </w:rPr>
            </w:pPr>
            <w:r w:rsidRPr="00150EDC">
              <w:rPr>
                <w:sz w:val="20"/>
              </w:rPr>
              <w:t>Safeguarding</w:t>
            </w:r>
            <w:r w:rsidRPr="00150EDC">
              <w:rPr>
                <w:spacing w:val="-8"/>
                <w:sz w:val="20"/>
              </w:rPr>
              <w:t xml:space="preserve"> </w:t>
            </w:r>
            <w:r w:rsidRPr="00150EDC">
              <w:rPr>
                <w:sz w:val="20"/>
              </w:rPr>
              <w:t>Vulnerable</w:t>
            </w:r>
            <w:r w:rsidRPr="00150EDC">
              <w:rPr>
                <w:spacing w:val="-4"/>
                <w:sz w:val="20"/>
              </w:rPr>
              <w:t xml:space="preserve"> </w:t>
            </w:r>
            <w:r w:rsidRPr="00150EDC">
              <w:rPr>
                <w:sz w:val="20"/>
              </w:rPr>
              <w:t>Groups</w:t>
            </w:r>
            <w:r w:rsidRPr="00150EDC">
              <w:rPr>
                <w:spacing w:val="-6"/>
                <w:sz w:val="20"/>
              </w:rPr>
              <w:t xml:space="preserve"> </w:t>
            </w:r>
            <w:r w:rsidRPr="00150EDC">
              <w:rPr>
                <w:sz w:val="20"/>
              </w:rPr>
              <w:t>Act</w:t>
            </w:r>
            <w:r w:rsidRPr="00150EDC">
              <w:rPr>
                <w:spacing w:val="-7"/>
                <w:sz w:val="20"/>
              </w:rPr>
              <w:t xml:space="preserve"> </w:t>
            </w:r>
            <w:r w:rsidRPr="00150EDC">
              <w:rPr>
                <w:sz w:val="20"/>
              </w:rPr>
              <w:t>2006,</w:t>
            </w:r>
            <w:r w:rsidRPr="00150EDC">
              <w:rPr>
                <w:spacing w:val="-8"/>
                <w:sz w:val="20"/>
              </w:rPr>
              <w:t xml:space="preserve"> </w:t>
            </w:r>
            <w:r w:rsidRPr="00150EDC">
              <w:rPr>
                <w:spacing w:val="-5"/>
                <w:sz w:val="20"/>
              </w:rPr>
              <w:t>s19</w:t>
            </w:r>
          </w:p>
        </w:tc>
        <w:tc>
          <w:tcPr>
            <w:tcW w:w="7427" w:type="dxa"/>
          </w:tcPr>
          <w:p w14:paraId="2CD2541D" w14:textId="77777777" w:rsidR="004C7180" w:rsidRPr="00150EDC" w:rsidRDefault="00CF0754">
            <w:pPr>
              <w:pStyle w:val="TableParagraph"/>
              <w:spacing w:before="28"/>
              <w:rPr>
                <w:sz w:val="20"/>
              </w:rPr>
            </w:pPr>
            <w:r w:rsidRPr="00150EDC">
              <w:rPr>
                <w:sz w:val="20"/>
              </w:rPr>
              <w:t>Permitting</w:t>
            </w:r>
            <w:r w:rsidRPr="00150EDC">
              <w:rPr>
                <w:spacing w:val="-6"/>
                <w:sz w:val="20"/>
              </w:rPr>
              <w:t xml:space="preserve"> </w:t>
            </w:r>
            <w:r w:rsidRPr="00150EDC">
              <w:rPr>
                <w:sz w:val="20"/>
              </w:rPr>
              <w:t>or</w:t>
            </w:r>
            <w:r w:rsidRPr="00150EDC">
              <w:rPr>
                <w:spacing w:val="-5"/>
                <w:sz w:val="20"/>
              </w:rPr>
              <w:t xml:space="preserve"> </w:t>
            </w:r>
            <w:r w:rsidRPr="00150EDC">
              <w:rPr>
                <w:sz w:val="20"/>
              </w:rPr>
              <w:t>supplying</w:t>
            </w:r>
            <w:r w:rsidRPr="00150EDC">
              <w:rPr>
                <w:spacing w:val="-5"/>
                <w:sz w:val="20"/>
              </w:rPr>
              <w:t xml:space="preserve"> </w:t>
            </w:r>
            <w:r w:rsidRPr="00150EDC">
              <w:rPr>
                <w:sz w:val="20"/>
              </w:rPr>
              <w:t>a</w:t>
            </w:r>
            <w:r w:rsidRPr="00150EDC">
              <w:rPr>
                <w:spacing w:val="-1"/>
                <w:sz w:val="20"/>
              </w:rPr>
              <w:t xml:space="preserve"> </w:t>
            </w:r>
            <w:r w:rsidRPr="00150EDC">
              <w:rPr>
                <w:sz w:val="20"/>
              </w:rPr>
              <w:t>barred</w:t>
            </w:r>
            <w:r w:rsidRPr="00150EDC">
              <w:rPr>
                <w:spacing w:val="-5"/>
                <w:sz w:val="20"/>
              </w:rPr>
              <w:t xml:space="preserve"> </w:t>
            </w:r>
            <w:r w:rsidRPr="00150EDC">
              <w:rPr>
                <w:sz w:val="20"/>
              </w:rPr>
              <w:t>person to</w:t>
            </w:r>
            <w:r w:rsidRPr="00150EDC">
              <w:rPr>
                <w:spacing w:val="-5"/>
                <w:sz w:val="20"/>
              </w:rPr>
              <w:t xml:space="preserve"> </w:t>
            </w:r>
            <w:r w:rsidRPr="00150EDC">
              <w:rPr>
                <w:sz w:val="20"/>
              </w:rPr>
              <w:t>engage in</w:t>
            </w:r>
            <w:r w:rsidRPr="00150EDC">
              <w:rPr>
                <w:spacing w:val="-5"/>
                <w:sz w:val="20"/>
              </w:rPr>
              <w:t xml:space="preserve"> </w:t>
            </w:r>
            <w:r w:rsidRPr="00150EDC">
              <w:rPr>
                <w:sz w:val="20"/>
              </w:rPr>
              <w:t>regulated</w:t>
            </w:r>
            <w:r w:rsidRPr="00150EDC">
              <w:rPr>
                <w:spacing w:val="-5"/>
                <w:sz w:val="20"/>
              </w:rPr>
              <w:t xml:space="preserve"> </w:t>
            </w:r>
            <w:r w:rsidRPr="00150EDC">
              <w:rPr>
                <w:spacing w:val="-2"/>
                <w:sz w:val="20"/>
              </w:rPr>
              <w:t>activity</w:t>
            </w:r>
          </w:p>
        </w:tc>
      </w:tr>
      <w:tr w:rsidR="004569EE" w:rsidRPr="007D3144" w14:paraId="3D5BD03B" w14:textId="77777777">
        <w:trPr>
          <w:trHeight w:val="255"/>
        </w:trPr>
        <w:tc>
          <w:tcPr>
            <w:tcW w:w="6517" w:type="dxa"/>
          </w:tcPr>
          <w:p w14:paraId="1DE0CCBF" w14:textId="77777777" w:rsidR="004C7180" w:rsidRPr="00150EDC" w:rsidRDefault="00CF0754">
            <w:pPr>
              <w:pStyle w:val="TableParagraph"/>
              <w:rPr>
                <w:sz w:val="20"/>
              </w:rPr>
            </w:pPr>
            <w:r w:rsidRPr="00150EDC">
              <w:rPr>
                <w:sz w:val="20"/>
              </w:rPr>
              <w:t>Safeguarding</w:t>
            </w:r>
            <w:r w:rsidRPr="00150EDC">
              <w:rPr>
                <w:spacing w:val="-8"/>
                <w:sz w:val="20"/>
              </w:rPr>
              <w:t xml:space="preserve"> </w:t>
            </w:r>
            <w:r w:rsidRPr="00150EDC">
              <w:rPr>
                <w:sz w:val="20"/>
              </w:rPr>
              <w:t>Vulnerable</w:t>
            </w:r>
            <w:r w:rsidRPr="00150EDC">
              <w:rPr>
                <w:spacing w:val="-4"/>
                <w:sz w:val="20"/>
              </w:rPr>
              <w:t xml:space="preserve"> </w:t>
            </w:r>
            <w:r w:rsidRPr="00150EDC">
              <w:rPr>
                <w:sz w:val="20"/>
              </w:rPr>
              <w:t>Groups</w:t>
            </w:r>
            <w:r w:rsidRPr="00150EDC">
              <w:rPr>
                <w:spacing w:val="-6"/>
                <w:sz w:val="20"/>
              </w:rPr>
              <w:t xml:space="preserve"> </w:t>
            </w:r>
            <w:r w:rsidRPr="00150EDC">
              <w:rPr>
                <w:sz w:val="20"/>
              </w:rPr>
              <w:t>Act</w:t>
            </w:r>
            <w:r w:rsidRPr="00150EDC">
              <w:rPr>
                <w:spacing w:val="-7"/>
                <w:sz w:val="20"/>
              </w:rPr>
              <w:t xml:space="preserve"> </w:t>
            </w:r>
            <w:r w:rsidRPr="00150EDC">
              <w:rPr>
                <w:sz w:val="20"/>
              </w:rPr>
              <w:t>2006,</w:t>
            </w:r>
            <w:r w:rsidRPr="00150EDC">
              <w:rPr>
                <w:spacing w:val="-8"/>
                <w:sz w:val="20"/>
              </w:rPr>
              <w:t xml:space="preserve"> </w:t>
            </w:r>
            <w:r w:rsidRPr="00150EDC">
              <w:rPr>
                <w:spacing w:val="-5"/>
                <w:sz w:val="20"/>
              </w:rPr>
              <w:t>s7</w:t>
            </w:r>
          </w:p>
        </w:tc>
        <w:tc>
          <w:tcPr>
            <w:tcW w:w="7427" w:type="dxa"/>
          </w:tcPr>
          <w:p w14:paraId="541B7B73" w14:textId="77777777" w:rsidR="004C7180" w:rsidRPr="00150EDC" w:rsidRDefault="00CF0754">
            <w:pPr>
              <w:pStyle w:val="TableParagraph"/>
              <w:rPr>
                <w:sz w:val="20"/>
              </w:rPr>
            </w:pPr>
            <w:r w:rsidRPr="00150EDC">
              <w:rPr>
                <w:sz w:val="20"/>
              </w:rPr>
              <w:t>Barred</w:t>
            </w:r>
            <w:r w:rsidRPr="00150EDC">
              <w:rPr>
                <w:spacing w:val="-5"/>
                <w:sz w:val="20"/>
              </w:rPr>
              <w:t xml:space="preserve"> </w:t>
            </w:r>
            <w:r w:rsidRPr="00150EDC">
              <w:rPr>
                <w:sz w:val="20"/>
              </w:rPr>
              <w:t>person</w:t>
            </w:r>
            <w:r w:rsidRPr="00150EDC">
              <w:rPr>
                <w:spacing w:val="-1"/>
                <w:sz w:val="20"/>
              </w:rPr>
              <w:t xml:space="preserve"> </w:t>
            </w:r>
            <w:r w:rsidRPr="00150EDC">
              <w:rPr>
                <w:sz w:val="20"/>
              </w:rPr>
              <w:t>not</w:t>
            </w:r>
            <w:r w:rsidRPr="00150EDC">
              <w:rPr>
                <w:spacing w:val="-4"/>
                <w:sz w:val="20"/>
              </w:rPr>
              <w:t xml:space="preserve"> </w:t>
            </w:r>
            <w:r w:rsidRPr="00150EDC">
              <w:rPr>
                <w:sz w:val="20"/>
              </w:rPr>
              <w:t>to</w:t>
            </w:r>
            <w:r w:rsidRPr="00150EDC">
              <w:rPr>
                <w:spacing w:val="-5"/>
                <w:sz w:val="20"/>
              </w:rPr>
              <w:t xml:space="preserve"> </w:t>
            </w:r>
            <w:r w:rsidRPr="00150EDC">
              <w:rPr>
                <w:sz w:val="20"/>
              </w:rPr>
              <w:t>engage</w:t>
            </w:r>
            <w:r w:rsidRPr="00150EDC">
              <w:rPr>
                <w:spacing w:val="-5"/>
                <w:sz w:val="20"/>
              </w:rPr>
              <w:t xml:space="preserve"> </w:t>
            </w:r>
            <w:r w:rsidRPr="00150EDC">
              <w:rPr>
                <w:sz w:val="20"/>
              </w:rPr>
              <w:t>in</w:t>
            </w:r>
            <w:r w:rsidRPr="00150EDC">
              <w:rPr>
                <w:spacing w:val="-3"/>
                <w:sz w:val="20"/>
              </w:rPr>
              <w:t xml:space="preserve"> </w:t>
            </w:r>
            <w:r w:rsidRPr="00150EDC">
              <w:rPr>
                <w:sz w:val="20"/>
              </w:rPr>
              <w:t xml:space="preserve">regulated </w:t>
            </w:r>
            <w:r w:rsidRPr="00150EDC">
              <w:rPr>
                <w:spacing w:val="-2"/>
                <w:sz w:val="20"/>
              </w:rPr>
              <w:t>activity</w:t>
            </w:r>
          </w:p>
        </w:tc>
      </w:tr>
      <w:tr w:rsidR="004569EE" w:rsidRPr="007D3144" w14:paraId="3002121E" w14:textId="77777777">
        <w:trPr>
          <w:trHeight w:val="255"/>
        </w:trPr>
        <w:tc>
          <w:tcPr>
            <w:tcW w:w="6517" w:type="dxa"/>
          </w:tcPr>
          <w:p w14:paraId="06503F07" w14:textId="77777777" w:rsidR="004C7180" w:rsidRPr="00150EDC" w:rsidRDefault="00CF0754">
            <w:pPr>
              <w:pStyle w:val="TableParagraph"/>
              <w:rPr>
                <w:sz w:val="20"/>
              </w:rPr>
            </w:pPr>
            <w:r w:rsidRPr="00150EDC">
              <w:rPr>
                <w:sz w:val="20"/>
              </w:rPr>
              <w:t>Safeguarding</w:t>
            </w:r>
            <w:r w:rsidRPr="00150EDC">
              <w:rPr>
                <w:spacing w:val="-8"/>
                <w:sz w:val="20"/>
              </w:rPr>
              <w:t xml:space="preserve"> </w:t>
            </w:r>
            <w:r w:rsidRPr="00150EDC">
              <w:rPr>
                <w:sz w:val="20"/>
              </w:rPr>
              <w:t>Vulnerable</w:t>
            </w:r>
            <w:r w:rsidRPr="00150EDC">
              <w:rPr>
                <w:spacing w:val="-4"/>
                <w:sz w:val="20"/>
              </w:rPr>
              <w:t xml:space="preserve"> </w:t>
            </w:r>
            <w:r w:rsidRPr="00150EDC">
              <w:rPr>
                <w:sz w:val="20"/>
              </w:rPr>
              <w:t>Groups</w:t>
            </w:r>
            <w:r w:rsidRPr="00150EDC">
              <w:rPr>
                <w:spacing w:val="-6"/>
                <w:sz w:val="20"/>
              </w:rPr>
              <w:t xml:space="preserve"> </w:t>
            </w:r>
            <w:r w:rsidRPr="00150EDC">
              <w:rPr>
                <w:sz w:val="20"/>
              </w:rPr>
              <w:t>Act</w:t>
            </w:r>
            <w:r w:rsidRPr="00150EDC">
              <w:rPr>
                <w:spacing w:val="-7"/>
                <w:sz w:val="20"/>
              </w:rPr>
              <w:t xml:space="preserve"> </w:t>
            </w:r>
            <w:r w:rsidRPr="00150EDC">
              <w:rPr>
                <w:sz w:val="20"/>
              </w:rPr>
              <w:t>2006,</w:t>
            </w:r>
            <w:r w:rsidRPr="00150EDC">
              <w:rPr>
                <w:spacing w:val="-8"/>
                <w:sz w:val="20"/>
              </w:rPr>
              <w:t xml:space="preserve"> </w:t>
            </w:r>
            <w:r w:rsidRPr="00150EDC">
              <w:rPr>
                <w:spacing w:val="-5"/>
                <w:sz w:val="20"/>
              </w:rPr>
              <w:t>s9</w:t>
            </w:r>
          </w:p>
        </w:tc>
        <w:tc>
          <w:tcPr>
            <w:tcW w:w="7427" w:type="dxa"/>
          </w:tcPr>
          <w:p w14:paraId="4F8EAFFB" w14:textId="77777777" w:rsidR="004C7180" w:rsidRPr="00150EDC" w:rsidRDefault="00CF0754">
            <w:pPr>
              <w:pStyle w:val="TableParagraph"/>
              <w:rPr>
                <w:sz w:val="20"/>
              </w:rPr>
            </w:pPr>
            <w:r w:rsidRPr="00150EDC">
              <w:rPr>
                <w:sz w:val="20"/>
              </w:rPr>
              <w:t>Use</w:t>
            </w:r>
            <w:r w:rsidRPr="00150EDC">
              <w:rPr>
                <w:spacing w:val="-6"/>
                <w:sz w:val="20"/>
              </w:rPr>
              <w:t xml:space="preserve"> </w:t>
            </w:r>
            <w:r w:rsidRPr="00150EDC">
              <w:rPr>
                <w:sz w:val="20"/>
              </w:rPr>
              <w:t>of</w:t>
            </w:r>
            <w:r w:rsidRPr="00150EDC">
              <w:rPr>
                <w:spacing w:val="-5"/>
                <w:sz w:val="20"/>
              </w:rPr>
              <w:t xml:space="preserve"> </w:t>
            </w:r>
            <w:r w:rsidRPr="00150EDC">
              <w:rPr>
                <w:sz w:val="20"/>
              </w:rPr>
              <w:t>barred</w:t>
            </w:r>
            <w:r w:rsidRPr="00150EDC">
              <w:rPr>
                <w:spacing w:val="-1"/>
                <w:sz w:val="20"/>
              </w:rPr>
              <w:t xml:space="preserve"> </w:t>
            </w:r>
            <w:r w:rsidRPr="00150EDC">
              <w:rPr>
                <w:sz w:val="20"/>
              </w:rPr>
              <w:t>person</w:t>
            </w:r>
            <w:r w:rsidRPr="00150EDC">
              <w:rPr>
                <w:spacing w:val="-6"/>
                <w:sz w:val="20"/>
              </w:rPr>
              <w:t xml:space="preserve"> </w:t>
            </w:r>
            <w:r w:rsidRPr="00150EDC">
              <w:rPr>
                <w:sz w:val="20"/>
              </w:rPr>
              <w:t>for</w:t>
            </w:r>
            <w:r w:rsidRPr="00150EDC">
              <w:rPr>
                <w:spacing w:val="-5"/>
                <w:sz w:val="20"/>
              </w:rPr>
              <w:t xml:space="preserve"> </w:t>
            </w:r>
            <w:r w:rsidRPr="00150EDC">
              <w:rPr>
                <w:sz w:val="20"/>
              </w:rPr>
              <w:t>regulated</w:t>
            </w:r>
            <w:r w:rsidRPr="00150EDC">
              <w:rPr>
                <w:spacing w:val="-1"/>
                <w:sz w:val="20"/>
              </w:rPr>
              <w:t xml:space="preserve"> </w:t>
            </w:r>
            <w:r w:rsidRPr="00150EDC">
              <w:rPr>
                <w:spacing w:val="-2"/>
                <w:sz w:val="20"/>
              </w:rPr>
              <w:t>activity</w:t>
            </w:r>
          </w:p>
        </w:tc>
      </w:tr>
      <w:tr w:rsidR="004569EE" w:rsidRPr="007D3144" w14:paraId="4D2FF39E" w14:textId="77777777">
        <w:trPr>
          <w:trHeight w:val="255"/>
        </w:trPr>
        <w:tc>
          <w:tcPr>
            <w:tcW w:w="6517" w:type="dxa"/>
          </w:tcPr>
          <w:p w14:paraId="5A7DCBE2" w14:textId="77777777" w:rsidR="004C7180" w:rsidRPr="00150EDC" w:rsidRDefault="00CF0754">
            <w:pPr>
              <w:pStyle w:val="TableParagraph"/>
              <w:rPr>
                <w:sz w:val="20"/>
              </w:rPr>
            </w:pPr>
            <w:r w:rsidRPr="00150EDC">
              <w:rPr>
                <w:sz w:val="20"/>
              </w:rPr>
              <w:t>Serious</w:t>
            </w:r>
            <w:r w:rsidRPr="00150EDC">
              <w:rPr>
                <w:spacing w:val="-6"/>
                <w:sz w:val="20"/>
              </w:rPr>
              <w:t xml:space="preserve"> </w:t>
            </w:r>
            <w:r w:rsidRPr="00150EDC">
              <w:rPr>
                <w:sz w:val="20"/>
              </w:rPr>
              <w:t>Crime</w:t>
            </w:r>
            <w:r w:rsidRPr="00150EDC">
              <w:rPr>
                <w:spacing w:val="-2"/>
                <w:sz w:val="20"/>
              </w:rPr>
              <w:t xml:space="preserve"> </w:t>
            </w:r>
            <w:r w:rsidRPr="00150EDC">
              <w:rPr>
                <w:sz w:val="20"/>
              </w:rPr>
              <w:t>Act</w:t>
            </w:r>
            <w:r w:rsidRPr="00150EDC">
              <w:rPr>
                <w:spacing w:val="-6"/>
                <w:sz w:val="20"/>
              </w:rPr>
              <w:t xml:space="preserve"> </w:t>
            </w:r>
            <w:r w:rsidRPr="00150EDC">
              <w:rPr>
                <w:sz w:val="20"/>
              </w:rPr>
              <w:t>2007,</w:t>
            </w:r>
            <w:r w:rsidRPr="00150EDC">
              <w:rPr>
                <w:spacing w:val="-6"/>
                <w:sz w:val="20"/>
              </w:rPr>
              <w:t xml:space="preserve"> </w:t>
            </w:r>
            <w:r w:rsidRPr="00150EDC">
              <w:rPr>
                <w:spacing w:val="-5"/>
                <w:sz w:val="20"/>
              </w:rPr>
              <w:t>s44</w:t>
            </w:r>
          </w:p>
        </w:tc>
        <w:tc>
          <w:tcPr>
            <w:tcW w:w="7427" w:type="dxa"/>
          </w:tcPr>
          <w:p w14:paraId="270385C7" w14:textId="77777777" w:rsidR="004C7180" w:rsidRPr="00150EDC" w:rsidRDefault="00CF0754">
            <w:pPr>
              <w:pStyle w:val="TableParagraph"/>
              <w:rPr>
                <w:sz w:val="20"/>
              </w:rPr>
            </w:pPr>
            <w:r w:rsidRPr="00150EDC">
              <w:rPr>
                <w:sz w:val="20"/>
              </w:rPr>
              <w:t>Intentionally</w:t>
            </w:r>
            <w:r w:rsidRPr="00150EDC">
              <w:rPr>
                <w:spacing w:val="-7"/>
                <w:sz w:val="20"/>
              </w:rPr>
              <w:t xml:space="preserve"> </w:t>
            </w:r>
            <w:r w:rsidRPr="00150EDC">
              <w:rPr>
                <w:sz w:val="20"/>
              </w:rPr>
              <w:t>encouraging</w:t>
            </w:r>
            <w:r w:rsidRPr="00150EDC">
              <w:rPr>
                <w:spacing w:val="-8"/>
                <w:sz w:val="20"/>
              </w:rPr>
              <w:t xml:space="preserve"> </w:t>
            </w:r>
            <w:r w:rsidRPr="00150EDC">
              <w:rPr>
                <w:sz w:val="20"/>
              </w:rPr>
              <w:t>or</w:t>
            </w:r>
            <w:r w:rsidRPr="00150EDC">
              <w:rPr>
                <w:spacing w:val="-3"/>
                <w:sz w:val="20"/>
              </w:rPr>
              <w:t xml:space="preserve"> </w:t>
            </w:r>
            <w:r w:rsidRPr="00150EDC">
              <w:rPr>
                <w:sz w:val="20"/>
              </w:rPr>
              <w:t>assisting</w:t>
            </w:r>
            <w:r w:rsidRPr="00150EDC">
              <w:rPr>
                <w:spacing w:val="-4"/>
                <w:sz w:val="20"/>
              </w:rPr>
              <w:t xml:space="preserve"> </w:t>
            </w:r>
            <w:r w:rsidRPr="00150EDC">
              <w:rPr>
                <w:sz w:val="20"/>
              </w:rPr>
              <w:t>an</w:t>
            </w:r>
            <w:r w:rsidRPr="00150EDC">
              <w:rPr>
                <w:spacing w:val="-7"/>
                <w:sz w:val="20"/>
              </w:rPr>
              <w:t xml:space="preserve"> </w:t>
            </w:r>
            <w:r w:rsidRPr="00150EDC">
              <w:rPr>
                <w:spacing w:val="-2"/>
                <w:sz w:val="20"/>
              </w:rPr>
              <w:t>offence</w:t>
            </w:r>
          </w:p>
        </w:tc>
      </w:tr>
      <w:tr w:rsidR="004569EE" w:rsidRPr="007D3144" w14:paraId="6E09F383" w14:textId="77777777">
        <w:trPr>
          <w:trHeight w:val="255"/>
        </w:trPr>
        <w:tc>
          <w:tcPr>
            <w:tcW w:w="6517" w:type="dxa"/>
          </w:tcPr>
          <w:p w14:paraId="43A1C373" w14:textId="77777777" w:rsidR="004C7180" w:rsidRPr="00150EDC" w:rsidRDefault="00CF0754">
            <w:pPr>
              <w:pStyle w:val="TableParagraph"/>
              <w:rPr>
                <w:sz w:val="20"/>
              </w:rPr>
            </w:pPr>
            <w:r w:rsidRPr="00150EDC">
              <w:rPr>
                <w:sz w:val="20"/>
              </w:rPr>
              <w:t>Serious</w:t>
            </w:r>
            <w:r w:rsidRPr="00150EDC">
              <w:rPr>
                <w:spacing w:val="-6"/>
                <w:sz w:val="20"/>
              </w:rPr>
              <w:t xml:space="preserve"> </w:t>
            </w:r>
            <w:r w:rsidRPr="00150EDC">
              <w:rPr>
                <w:sz w:val="20"/>
              </w:rPr>
              <w:t>Crime</w:t>
            </w:r>
            <w:r w:rsidRPr="00150EDC">
              <w:rPr>
                <w:spacing w:val="-2"/>
                <w:sz w:val="20"/>
              </w:rPr>
              <w:t xml:space="preserve"> </w:t>
            </w:r>
            <w:r w:rsidRPr="00150EDC">
              <w:rPr>
                <w:sz w:val="20"/>
              </w:rPr>
              <w:t>Act</w:t>
            </w:r>
            <w:r w:rsidRPr="00150EDC">
              <w:rPr>
                <w:spacing w:val="-6"/>
                <w:sz w:val="20"/>
              </w:rPr>
              <w:t xml:space="preserve"> </w:t>
            </w:r>
            <w:r w:rsidRPr="00150EDC">
              <w:rPr>
                <w:sz w:val="20"/>
              </w:rPr>
              <w:t>2007,</w:t>
            </w:r>
            <w:r w:rsidRPr="00150EDC">
              <w:rPr>
                <w:spacing w:val="-6"/>
                <w:sz w:val="20"/>
              </w:rPr>
              <w:t xml:space="preserve"> </w:t>
            </w:r>
            <w:r w:rsidRPr="00150EDC">
              <w:rPr>
                <w:spacing w:val="-5"/>
                <w:sz w:val="20"/>
              </w:rPr>
              <w:t>s45</w:t>
            </w:r>
          </w:p>
        </w:tc>
        <w:tc>
          <w:tcPr>
            <w:tcW w:w="7427" w:type="dxa"/>
          </w:tcPr>
          <w:p w14:paraId="2FD3DE75" w14:textId="77777777" w:rsidR="004C7180" w:rsidRPr="00150EDC" w:rsidRDefault="00CF0754">
            <w:pPr>
              <w:pStyle w:val="TableParagraph"/>
              <w:rPr>
                <w:sz w:val="20"/>
              </w:rPr>
            </w:pPr>
            <w:r w:rsidRPr="00150EDC">
              <w:rPr>
                <w:sz w:val="20"/>
              </w:rPr>
              <w:t>Encouraging</w:t>
            </w:r>
            <w:r w:rsidRPr="00150EDC">
              <w:rPr>
                <w:spacing w:val="-8"/>
                <w:sz w:val="20"/>
              </w:rPr>
              <w:t xml:space="preserve"> </w:t>
            </w:r>
            <w:r w:rsidRPr="00150EDC">
              <w:rPr>
                <w:sz w:val="20"/>
              </w:rPr>
              <w:t>or</w:t>
            </w:r>
            <w:r w:rsidRPr="00150EDC">
              <w:rPr>
                <w:spacing w:val="-1"/>
                <w:sz w:val="20"/>
              </w:rPr>
              <w:t xml:space="preserve"> </w:t>
            </w:r>
            <w:r w:rsidRPr="00150EDC">
              <w:rPr>
                <w:sz w:val="20"/>
              </w:rPr>
              <w:t>assisting</w:t>
            </w:r>
            <w:r w:rsidRPr="00150EDC">
              <w:rPr>
                <w:spacing w:val="-6"/>
                <w:sz w:val="20"/>
              </w:rPr>
              <w:t xml:space="preserve"> </w:t>
            </w:r>
            <w:r w:rsidRPr="00150EDC">
              <w:rPr>
                <w:sz w:val="20"/>
              </w:rPr>
              <w:t>an</w:t>
            </w:r>
            <w:r w:rsidRPr="00150EDC">
              <w:rPr>
                <w:spacing w:val="-4"/>
                <w:sz w:val="20"/>
              </w:rPr>
              <w:t xml:space="preserve"> </w:t>
            </w:r>
            <w:r w:rsidRPr="00150EDC">
              <w:rPr>
                <w:sz w:val="20"/>
              </w:rPr>
              <w:t>offence</w:t>
            </w:r>
            <w:r w:rsidRPr="00150EDC">
              <w:rPr>
                <w:spacing w:val="-5"/>
                <w:sz w:val="20"/>
              </w:rPr>
              <w:t xml:space="preserve"> </w:t>
            </w:r>
            <w:r w:rsidRPr="00150EDC">
              <w:rPr>
                <w:sz w:val="20"/>
              </w:rPr>
              <w:t>believing</w:t>
            </w:r>
            <w:r w:rsidRPr="00150EDC">
              <w:rPr>
                <w:spacing w:val="-5"/>
                <w:sz w:val="20"/>
              </w:rPr>
              <w:t xml:space="preserve"> </w:t>
            </w:r>
            <w:r w:rsidRPr="00150EDC">
              <w:rPr>
                <w:sz w:val="20"/>
              </w:rPr>
              <w:t>it</w:t>
            </w:r>
            <w:r w:rsidRPr="00150EDC">
              <w:rPr>
                <w:spacing w:val="-5"/>
                <w:sz w:val="20"/>
              </w:rPr>
              <w:t xml:space="preserve"> </w:t>
            </w:r>
            <w:r w:rsidRPr="00150EDC">
              <w:rPr>
                <w:sz w:val="20"/>
              </w:rPr>
              <w:t>will</w:t>
            </w:r>
            <w:r w:rsidRPr="00150EDC">
              <w:rPr>
                <w:spacing w:val="-2"/>
                <w:sz w:val="20"/>
              </w:rPr>
              <w:t xml:space="preserve"> </w:t>
            </w:r>
            <w:r w:rsidRPr="00150EDC">
              <w:rPr>
                <w:sz w:val="20"/>
              </w:rPr>
              <w:t>be</w:t>
            </w:r>
            <w:r w:rsidRPr="00150EDC">
              <w:rPr>
                <w:spacing w:val="-5"/>
                <w:sz w:val="20"/>
              </w:rPr>
              <w:t xml:space="preserve"> </w:t>
            </w:r>
            <w:r w:rsidRPr="00150EDC">
              <w:rPr>
                <w:spacing w:val="-2"/>
                <w:sz w:val="20"/>
              </w:rPr>
              <w:t>committed</w:t>
            </w:r>
          </w:p>
        </w:tc>
      </w:tr>
      <w:tr w:rsidR="004569EE" w:rsidRPr="007D3144" w14:paraId="3E8D0CF3" w14:textId="77777777">
        <w:trPr>
          <w:trHeight w:val="255"/>
        </w:trPr>
        <w:tc>
          <w:tcPr>
            <w:tcW w:w="6517" w:type="dxa"/>
          </w:tcPr>
          <w:p w14:paraId="0ECFCD99" w14:textId="77777777" w:rsidR="004C7180" w:rsidRPr="00150EDC" w:rsidRDefault="00CF0754">
            <w:pPr>
              <w:pStyle w:val="TableParagraph"/>
              <w:rPr>
                <w:sz w:val="20"/>
              </w:rPr>
            </w:pPr>
            <w:r w:rsidRPr="00150EDC">
              <w:rPr>
                <w:sz w:val="20"/>
              </w:rPr>
              <w:t>Serious</w:t>
            </w:r>
            <w:r w:rsidRPr="00150EDC">
              <w:rPr>
                <w:spacing w:val="-6"/>
                <w:sz w:val="20"/>
              </w:rPr>
              <w:t xml:space="preserve"> </w:t>
            </w:r>
            <w:r w:rsidRPr="00150EDC">
              <w:rPr>
                <w:sz w:val="20"/>
              </w:rPr>
              <w:t>Crime</w:t>
            </w:r>
            <w:r w:rsidRPr="00150EDC">
              <w:rPr>
                <w:spacing w:val="-2"/>
                <w:sz w:val="20"/>
              </w:rPr>
              <w:t xml:space="preserve"> </w:t>
            </w:r>
            <w:r w:rsidRPr="00150EDC">
              <w:rPr>
                <w:sz w:val="20"/>
              </w:rPr>
              <w:t>Act</w:t>
            </w:r>
            <w:r w:rsidRPr="00150EDC">
              <w:rPr>
                <w:spacing w:val="-6"/>
                <w:sz w:val="20"/>
              </w:rPr>
              <w:t xml:space="preserve"> </w:t>
            </w:r>
            <w:r w:rsidRPr="00150EDC">
              <w:rPr>
                <w:sz w:val="20"/>
              </w:rPr>
              <w:t>2007,</w:t>
            </w:r>
            <w:r w:rsidRPr="00150EDC">
              <w:rPr>
                <w:spacing w:val="-6"/>
                <w:sz w:val="20"/>
              </w:rPr>
              <w:t xml:space="preserve"> </w:t>
            </w:r>
            <w:r w:rsidRPr="00150EDC">
              <w:rPr>
                <w:spacing w:val="-5"/>
                <w:sz w:val="20"/>
              </w:rPr>
              <w:t>s46</w:t>
            </w:r>
          </w:p>
        </w:tc>
        <w:tc>
          <w:tcPr>
            <w:tcW w:w="7427" w:type="dxa"/>
          </w:tcPr>
          <w:p w14:paraId="550F145D" w14:textId="77777777" w:rsidR="004C7180" w:rsidRPr="00150EDC" w:rsidRDefault="00CF0754">
            <w:pPr>
              <w:pStyle w:val="TableParagraph"/>
              <w:rPr>
                <w:sz w:val="20"/>
              </w:rPr>
            </w:pPr>
            <w:r w:rsidRPr="00150EDC">
              <w:rPr>
                <w:sz w:val="20"/>
              </w:rPr>
              <w:t>Encouraging</w:t>
            </w:r>
            <w:r w:rsidRPr="00150EDC">
              <w:rPr>
                <w:spacing w:val="-9"/>
                <w:sz w:val="20"/>
              </w:rPr>
              <w:t xml:space="preserve"> </w:t>
            </w:r>
            <w:r w:rsidRPr="00150EDC">
              <w:rPr>
                <w:sz w:val="20"/>
              </w:rPr>
              <w:t>or</w:t>
            </w:r>
            <w:r w:rsidRPr="00150EDC">
              <w:rPr>
                <w:spacing w:val="-3"/>
                <w:sz w:val="20"/>
              </w:rPr>
              <w:t xml:space="preserve"> </w:t>
            </w:r>
            <w:r w:rsidRPr="00150EDC">
              <w:rPr>
                <w:sz w:val="20"/>
              </w:rPr>
              <w:t>assisting</w:t>
            </w:r>
            <w:r w:rsidRPr="00150EDC">
              <w:rPr>
                <w:spacing w:val="-6"/>
                <w:sz w:val="20"/>
              </w:rPr>
              <w:t xml:space="preserve"> </w:t>
            </w:r>
            <w:r w:rsidRPr="00150EDC">
              <w:rPr>
                <w:sz w:val="20"/>
              </w:rPr>
              <w:t>offences</w:t>
            </w:r>
            <w:r w:rsidRPr="00150EDC">
              <w:rPr>
                <w:spacing w:val="-1"/>
                <w:sz w:val="20"/>
              </w:rPr>
              <w:t xml:space="preserve"> </w:t>
            </w:r>
            <w:r w:rsidRPr="00150EDC">
              <w:rPr>
                <w:sz w:val="20"/>
              </w:rPr>
              <w:t>believing</w:t>
            </w:r>
            <w:r w:rsidRPr="00150EDC">
              <w:rPr>
                <w:spacing w:val="-2"/>
                <w:sz w:val="20"/>
              </w:rPr>
              <w:t xml:space="preserve"> </w:t>
            </w:r>
            <w:r w:rsidRPr="00150EDC">
              <w:rPr>
                <w:sz w:val="20"/>
              </w:rPr>
              <w:t>one</w:t>
            </w:r>
            <w:r w:rsidRPr="00150EDC">
              <w:rPr>
                <w:spacing w:val="-1"/>
                <w:sz w:val="20"/>
              </w:rPr>
              <w:t xml:space="preserve"> </w:t>
            </w:r>
            <w:r w:rsidRPr="00150EDC">
              <w:rPr>
                <w:sz w:val="20"/>
              </w:rPr>
              <w:t>or</w:t>
            </w:r>
            <w:r w:rsidRPr="00150EDC">
              <w:rPr>
                <w:spacing w:val="-7"/>
                <w:sz w:val="20"/>
              </w:rPr>
              <w:t xml:space="preserve"> </w:t>
            </w:r>
            <w:r w:rsidRPr="00150EDC">
              <w:rPr>
                <w:sz w:val="20"/>
              </w:rPr>
              <w:t>more</w:t>
            </w:r>
            <w:r w:rsidRPr="00150EDC">
              <w:rPr>
                <w:spacing w:val="-2"/>
                <w:sz w:val="20"/>
              </w:rPr>
              <w:t xml:space="preserve"> </w:t>
            </w:r>
            <w:r w:rsidRPr="00150EDC">
              <w:rPr>
                <w:sz w:val="20"/>
              </w:rPr>
              <w:t>will</w:t>
            </w:r>
            <w:r w:rsidRPr="00150EDC">
              <w:rPr>
                <w:spacing w:val="-4"/>
                <w:sz w:val="20"/>
              </w:rPr>
              <w:t xml:space="preserve"> </w:t>
            </w:r>
            <w:r w:rsidRPr="00150EDC">
              <w:rPr>
                <w:sz w:val="20"/>
              </w:rPr>
              <w:t>be</w:t>
            </w:r>
            <w:r w:rsidRPr="00150EDC">
              <w:rPr>
                <w:spacing w:val="-6"/>
                <w:sz w:val="20"/>
              </w:rPr>
              <w:t xml:space="preserve"> </w:t>
            </w:r>
            <w:r w:rsidRPr="00150EDC">
              <w:rPr>
                <w:spacing w:val="-2"/>
                <w:sz w:val="20"/>
              </w:rPr>
              <w:t>committed</w:t>
            </w:r>
          </w:p>
        </w:tc>
      </w:tr>
      <w:tr w:rsidR="004569EE" w:rsidRPr="007D3144" w14:paraId="5EC4ADE6" w14:textId="77777777">
        <w:trPr>
          <w:trHeight w:val="255"/>
        </w:trPr>
        <w:tc>
          <w:tcPr>
            <w:tcW w:w="6517" w:type="dxa"/>
          </w:tcPr>
          <w:p w14:paraId="4436A5F6"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3"/>
                <w:sz w:val="20"/>
              </w:rPr>
              <w:t xml:space="preserve"> </w:t>
            </w:r>
            <w:r w:rsidRPr="00150EDC">
              <w:rPr>
                <w:sz w:val="20"/>
              </w:rPr>
              <w:t>(Amendment)</w:t>
            </w:r>
            <w:r w:rsidRPr="00150EDC">
              <w:rPr>
                <w:spacing w:val="-8"/>
                <w:sz w:val="20"/>
              </w:rPr>
              <w:t xml:space="preserve"> </w:t>
            </w:r>
            <w:r w:rsidRPr="00150EDC">
              <w:rPr>
                <w:sz w:val="20"/>
              </w:rPr>
              <w:t>Act</w:t>
            </w:r>
            <w:r w:rsidRPr="00150EDC">
              <w:rPr>
                <w:spacing w:val="-7"/>
                <w:sz w:val="20"/>
              </w:rPr>
              <w:t xml:space="preserve"> </w:t>
            </w:r>
            <w:r w:rsidRPr="00150EDC">
              <w:rPr>
                <w:sz w:val="20"/>
              </w:rPr>
              <w:t>2000,</w:t>
            </w:r>
            <w:r w:rsidRPr="00150EDC">
              <w:rPr>
                <w:spacing w:val="-8"/>
                <w:sz w:val="20"/>
              </w:rPr>
              <w:t xml:space="preserve"> </w:t>
            </w:r>
            <w:r w:rsidRPr="00150EDC">
              <w:rPr>
                <w:spacing w:val="-5"/>
                <w:sz w:val="20"/>
              </w:rPr>
              <w:t>s3</w:t>
            </w:r>
          </w:p>
        </w:tc>
        <w:tc>
          <w:tcPr>
            <w:tcW w:w="7427" w:type="dxa"/>
          </w:tcPr>
          <w:p w14:paraId="7F89A67B" w14:textId="77777777" w:rsidR="004C7180" w:rsidRPr="00150EDC" w:rsidRDefault="00CF0754">
            <w:pPr>
              <w:pStyle w:val="TableParagraph"/>
              <w:rPr>
                <w:sz w:val="20"/>
              </w:rPr>
            </w:pPr>
            <w:r w:rsidRPr="00150EDC">
              <w:rPr>
                <w:sz w:val="20"/>
              </w:rPr>
              <w:t>Abuse</w:t>
            </w:r>
            <w:r w:rsidRPr="00150EDC">
              <w:rPr>
                <w:spacing w:val="-5"/>
                <w:sz w:val="20"/>
              </w:rPr>
              <w:t xml:space="preserve"> </w:t>
            </w:r>
            <w:r w:rsidRPr="00150EDC">
              <w:rPr>
                <w:sz w:val="20"/>
              </w:rPr>
              <w:t>of</w:t>
            </w:r>
            <w:r w:rsidRPr="00150EDC">
              <w:rPr>
                <w:spacing w:val="-5"/>
                <w:sz w:val="20"/>
              </w:rPr>
              <w:t xml:space="preserve"> </w:t>
            </w:r>
            <w:r w:rsidRPr="00150EDC">
              <w:rPr>
                <w:sz w:val="20"/>
              </w:rPr>
              <w:t>position</w:t>
            </w:r>
            <w:r w:rsidRPr="00150EDC">
              <w:rPr>
                <w:spacing w:val="-5"/>
                <w:sz w:val="20"/>
              </w:rPr>
              <w:t xml:space="preserve"> </w:t>
            </w:r>
            <w:r w:rsidRPr="00150EDC">
              <w:rPr>
                <w:sz w:val="20"/>
              </w:rPr>
              <w:t xml:space="preserve">of </w:t>
            </w:r>
            <w:r w:rsidRPr="00150EDC">
              <w:rPr>
                <w:spacing w:val="-4"/>
                <w:sz w:val="20"/>
              </w:rPr>
              <w:t>trust</w:t>
            </w:r>
          </w:p>
        </w:tc>
      </w:tr>
      <w:tr w:rsidR="004569EE" w:rsidRPr="007D3144" w14:paraId="11570560" w14:textId="77777777">
        <w:trPr>
          <w:trHeight w:val="255"/>
        </w:trPr>
        <w:tc>
          <w:tcPr>
            <w:tcW w:w="6517" w:type="dxa"/>
          </w:tcPr>
          <w:p w14:paraId="3A503C14"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2"/>
                <w:sz w:val="20"/>
              </w:rPr>
              <w:t xml:space="preserve"> </w:t>
            </w:r>
            <w:r w:rsidRPr="00150EDC">
              <w:rPr>
                <w:sz w:val="20"/>
              </w:rPr>
              <w:t>(Bailiwick</w:t>
            </w:r>
            <w:r w:rsidRPr="00150EDC">
              <w:rPr>
                <w:spacing w:val="-7"/>
                <w:sz w:val="20"/>
              </w:rPr>
              <w:t xml:space="preserve"> </w:t>
            </w:r>
            <w:r w:rsidRPr="00150EDC">
              <w:rPr>
                <w:sz w:val="20"/>
              </w:rPr>
              <w:t>of</w:t>
            </w:r>
            <w:r w:rsidRPr="00150EDC">
              <w:rPr>
                <w:spacing w:val="-5"/>
                <w:sz w:val="20"/>
              </w:rPr>
              <w:t xml:space="preserve"> </w:t>
            </w:r>
            <w:r w:rsidRPr="00150EDC">
              <w:rPr>
                <w:sz w:val="20"/>
              </w:rPr>
              <w:t>Guernsey)</w:t>
            </w:r>
            <w:r w:rsidRPr="00150EDC">
              <w:rPr>
                <w:spacing w:val="-7"/>
                <w:sz w:val="20"/>
              </w:rPr>
              <w:t xml:space="preserve"> </w:t>
            </w:r>
            <w:r w:rsidRPr="00150EDC">
              <w:rPr>
                <w:sz w:val="20"/>
              </w:rPr>
              <w:t>Law</w:t>
            </w:r>
            <w:r w:rsidRPr="00150EDC">
              <w:rPr>
                <w:spacing w:val="-6"/>
                <w:sz w:val="20"/>
              </w:rPr>
              <w:t xml:space="preserve"> </w:t>
            </w:r>
            <w:r w:rsidRPr="00150EDC">
              <w:rPr>
                <w:sz w:val="20"/>
              </w:rPr>
              <w:t>1983,</w:t>
            </w:r>
            <w:r w:rsidRPr="00150EDC">
              <w:rPr>
                <w:spacing w:val="-7"/>
                <w:sz w:val="20"/>
              </w:rPr>
              <w:t xml:space="preserve"> s4</w:t>
            </w:r>
          </w:p>
        </w:tc>
        <w:tc>
          <w:tcPr>
            <w:tcW w:w="7427" w:type="dxa"/>
          </w:tcPr>
          <w:p w14:paraId="331D97D8" w14:textId="77777777" w:rsidR="004C7180" w:rsidRPr="00150EDC" w:rsidRDefault="00CF0754">
            <w:pPr>
              <w:pStyle w:val="TableParagraph"/>
              <w:rPr>
                <w:sz w:val="20"/>
              </w:rPr>
            </w:pPr>
            <w:r w:rsidRPr="00150EDC">
              <w:rPr>
                <w:sz w:val="20"/>
              </w:rPr>
              <w:t>Procuring</w:t>
            </w:r>
            <w:r w:rsidRPr="00150EDC">
              <w:rPr>
                <w:spacing w:val="-4"/>
                <w:sz w:val="20"/>
              </w:rPr>
              <w:t xml:space="preserve"> </w:t>
            </w:r>
            <w:r w:rsidRPr="00150EDC">
              <w:rPr>
                <w:sz w:val="20"/>
              </w:rPr>
              <w:t>others</w:t>
            </w:r>
            <w:r w:rsidRPr="00150EDC">
              <w:rPr>
                <w:spacing w:val="-2"/>
                <w:sz w:val="20"/>
              </w:rPr>
              <w:t xml:space="preserve"> </w:t>
            </w:r>
            <w:r w:rsidRPr="00150EDC">
              <w:rPr>
                <w:sz w:val="20"/>
              </w:rPr>
              <w:t>to</w:t>
            </w:r>
            <w:r w:rsidRPr="00150EDC">
              <w:rPr>
                <w:spacing w:val="-7"/>
                <w:sz w:val="20"/>
              </w:rPr>
              <w:t xml:space="preserve"> </w:t>
            </w:r>
            <w:r w:rsidRPr="00150EDC">
              <w:rPr>
                <w:sz w:val="20"/>
              </w:rPr>
              <w:t>commit</w:t>
            </w:r>
            <w:r w:rsidRPr="00150EDC">
              <w:rPr>
                <w:spacing w:val="-7"/>
                <w:sz w:val="20"/>
              </w:rPr>
              <w:t xml:space="preserve"> </w:t>
            </w:r>
            <w:r w:rsidRPr="00150EDC">
              <w:rPr>
                <w:sz w:val="20"/>
              </w:rPr>
              <w:t>homosexual</w:t>
            </w:r>
            <w:r w:rsidRPr="00150EDC">
              <w:rPr>
                <w:spacing w:val="-5"/>
                <w:sz w:val="20"/>
              </w:rPr>
              <w:t xml:space="preserve"> </w:t>
            </w:r>
            <w:r w:rsidRPr="00150EDC">
              <w:rPr>
                <w:spacing w:val="-4"/>
                <w:sz w:val="20"/>
              </w:rPr>
              <w:t>acts</w:t>
            </w:r>
          </w:p>
        </w:tc>
      </w:tr>
      <w:tr w:rsidR="004569EE" w:rsidRPr="007D3144" w14:paraId="6CA10E6D" w14:textId="77777777">
        <w:trPr>
          <w:trHeight w:val="255"/>
        </w:trPr>
        <w:tc>
          <w:tcPr>
            <w:tcW w:w="6517" w:type="dxa"/>
          </w:tcPr>
          <w:p w14:paraId="5275E76D"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2"/>
                <w:sz w:val="20"/>
              </w:rPr>
              <w:t xml:space="preserve"> </w:t>
            </w:r>
            <w:r w:rsidRPr="00150EDC">
              <w:rPr>
                <w:sz w:val="20"/>
              </w:rPr>
              <w:t>(Bailiwick</w:t>
            </w:r>
            <w:r w:rsidRPr="00150EDC">
              <w:rPr>
                <w:spacing w:val="-7"/>
                <w:sz w:val="20"/>
              </w:rPr>
              <w:t xml:space="preserve"> </w:t>
            </w:r>
            <w:r w:rsidRPr="00150EDC">
              <w:rPr>
                <w:sz w:val="20"/>
              </w:rPr>
              <w:t>of</w:t>
            </w:r>
            <w:r w:rsidRPr="00150EDC">
              <w:rPr>
                <w:spacing w:val="-7"/>
                <w:sz w:val="20"/>
              </w:rPr>
              <w:t xml:space="preserve"> </w:t>
            </w:r>
            <w:r w:rsidRPr="00150EDC">
              <w:rPr>
                <w:sz w:val="20"/>
              </w:rPr>
              <w:t>Guernsey)</w:t>
            </w:r>
            <w:r w:rsidRPr="00150EDC">
              <w:rPr>
                <w:spacing w:val="-8"/>
                <w:sz w:val="20"/>
              </w:rPr>
              <w:t xml:space="preserve"> </w:t>
            </w:r>
            <w:r w:rsidRPr="00150EDC">
              <w:rPr>
                <w:sz w:val="20"/>
              </w:rPr>
              <w:t>Law</w:t>
            </w:r>
            <w:r w:rsidRPr="00150EDC">
              <w:rPr>
                <w:spacing w:val="-6"/>
                <w:sz w:val="20"/>
              </w:rPr>
              <w:t xml:space="preserve"> </w:t>
            </w:r>
            <w:r w:rsidRPr="00150EDC">
              <w:rPr>
                <w:sz w:val="20"/>
              </w:rPr>
              <w:t>1983,</w:t>
            </w:r>
            <w:r w:rsidRPr="00150EDC">
              <w:rPr>
                <w:spacing w:val="-7"/>
                <w:sz w:val="20"/>
              </w:rPr>
              <w:t xml:space="preserve"> </w:t>
            </w:r>
            <w:r w:rsidRPr="00150EDC">
              <w:rPr>
                <w:spacing w:val="-5"/>
                <w:sz w:val="20"/>
              </w:rPr>
              <w:t>s5</w:t>
            </w:r>
          </w:p>
        </w:tc>
        <w:tc>
          <w:tcPr>
            <w:tcW w:w="7427" w:type="dxa"/>
          </w:tcPr>
          <w:p w14:paraId="103C193E" w14:textId="77777777" w:rsidR="004C7180" w:rsidRPr="00150EDC" w:rsidRDefault="00CF0754">
            <w:pPr>
              <w:pStyle w:val="TableParagraph"/>
              <w:rPr>
                <w:sz w:val="20"/>
              </w:rPr>
            </w:pPr>
            <w:r w:rsidRPr="00150EDC">
              <w:rPr>
                <w:sz w:val="20"/>
              </w:rPr>
              <w:t>Living</w:t>
            </w:r>
            <w:r w:rsidRPr="00150EDC">
              <w:rPr>
                <w:spacing w:val="-6"/>
                <w:sz w:val="20"/>
              </w:rPr>
              <w:t xml:space="preserve"> </w:t>
            </w:r>
            <w:r w:rsidRPr="00150EDC">
              <w:rPr>
                <w:sz w:val="20"/>
              </w:rPr>
              <w:t>on</w:t>
            </w:r>
            <w:r w:rsidRPr="00150EDC">
              <w:rPr>
                <w:spacing w:val="-5"/>
                <w:sz w:val="20"/>
              </w:rPr>
              <w:t xml:space="preserve"> </w:t>
            </w:r>
            <w:r w:rsidRPr="00150EDC">
              <w:rPr>
                <w:sz w:val="20"/>
              </w:rPr>
              <w:t>earnings</w:t>
            </w:r>
            <w:r w:rsidRPr="00150EDC">
              <w:rPr>
                <w:spacing w:val="-5"/>
                <w:sz w:val="20"/>
              </w:rPr>
              <w:t xml:space="preserve"> </w:t>
            </w:r>
            <w:r w:rsidRPr="00150EDC">
              <w:rPr>
                <w:sz w:val="20"/>
              </w:rPr>
              <w:t>of male</w:t>
            </w:r>
            <w:r w:rsidRPr="00150EDC">
              <w:rPr>
                <w:spacing w:val="-5"/>
                <w:sz w:val="20"/>
              </w:rPr>
              <w:t xml:space="preserve"> </w:t>
            </w:r>
            <w:r w:rsidRPr="00150EDC">
              <w:rPr>
                <w:spacing w:val="-2"/>
                <w:sz w:val="20"/>
              </w:rPr>
              <w:t>prostitution</w:t>
            </w:r>
          </w:p>
        </w:tc>
      </w:tr>
      <w:tr w:rsidR="004569EE" w:rsidRPr="007D3144" w14:paraId="2BFE5E2E" w14:textId="77777777">
        <w:trPr>
          <w:trHeight w:val="255"/>
        </w:trPr>
        <w:tc>
          <w:tcPr>
            <w:tcW w:w="6517" w:type="dxa"/>
          </w:tcPr>
          <w:p w14:paraId="79B3608F" w14:textId="77777777" w:rsidR="004C7180" w:rsidRPr="00150EDC" w:rsidRDefault="00CF0754">
            <w:pPr>
              <w:pStyle w:val="TableParagraph"/>
              <w:spacing w:before="28"/>
              <w:rPr>
                <w:sz w:val="20"/>
              </w:rPr>
            </w:pPr>
            <w:r w:rsidRPr="00150EDC">
              <w:rPr>
                <w:sz w:val="20"/>
              </w:rPr>
              <w:t>Sexual</w:t>
            </w:r>
            <w:r w:rsidRPr="00150EDC">
              <w:rPr>
                <w:spacing w:val="-6"/>
                <w:sz w:val="20"/>
              </w:rPr>
              <w:t xml:space="preserve"> </w:t>
            </w:r>
            <w:r w:rsidRPr="00150EDC">
              <w:rPr>
                <w:sz w:val="20"/>
              </w:rPr>
              <w:t>Offences</w:t>
            </w:r>
            <w:r w:rsidRPr="00150EDC">
              <w:rPr>
                <w:spacing w:val="-1"/>
                <w:sz w:val="20"/>
              </w:rPr>
              <w:t xml:space="preserve"> </w:t>
            </w:r>
            <w:r w:rsidRPr="00150EDC">
              <w:rPr>
                <w:sz w:val="20"/>
              </w:rPr>
              <w:t>(Conspiracy</w:t>
            </w:r>
            <w:r w:rsidRPr="00150EDC">
              <w:rPr>
                <w:spacing w:val="-6"/>
                <w:sz w:val="20"/>
              </w:rPr>
              <w:t xml:space="preserve"> </w:t>
            </w:r>
            <w:r w:rsidRPr="00150EDC">
              <w:rPr>
                <w:sz w:val="20"/>
              </w:rPr>
              <w:t>and</w:t>
            </w:r>
            <w:r w:rsidRPr="00150EDC">
              <w:rPr>
                <w:spacing w:val="-7"/>
                <w:sz w:val="20"/>
              </w:rPr>
              <w:t xml:space="preserve"> </w:t>
            </w:r>
            <w:r w:rsidRPr="00150EDC">
              <w:rPr>
                <w:sz w:val="20"/>
              </w:rPr>
              <w:t>Incitement)</w:t>
            </w:r>
            <w:r w:rsidRPr="00150EDC">
              <w:rPr>
                <w:spacing w:val="-8"/>
                <w:sz w:val="20"/>
              </w:rPr>
              <w:t xml:space="preserve"> </w:t>
            </w:r>
            <w:r w:rsidRPr="00150EDC">
              <w:rPr>
                <w:sz w:val="20"/>
              </w:rPr>
              <w:t>Act</w:t>
            </w:r>
            <w:r w:rsidRPr="00150EDC">
              <w:rPr>
                <w:spacing w:val="-6"/>
                <w:sz w:val="20"/>
              </w:rPr>
              <w:t xml:space="preserve"> </w:t>
            </w:r>
            <w:r w:rsidRPr="00150EDC">
              <w:rPr>
                <w:sz w:val="20"/>
              </w:rPr>
              <w:t>1996,</w:t>
            </w:r>
            <w:r w:rsidRPr="00150EDC">
              <w:rPr>
                <w:spacing w:val="-7"/>
                <w:sz w:val="20"/>
              </w:rPr>
              <w:t xml:space="preserve"> </w:t>
            </w:r>
            <w:r w:rsidRPr="00150EDC">
              <w:rPr>
                <w:spacing w:val="-5"/>
                <w:sz w:val="20"/>
              </w:rPr>
              <w:t>s1</w:t>
            </w:r>
          </w:p>
        </w:tc>
        <w:tc>
          <w:tcPr>
            <w:tcW w:w="7427" w:type="dxa"/>
          </w:tcPr>
          <w:p w14:paraId="718C3C9E" w14:textId="77777777" w:rsidR="004C7180" w:rsidRPr="00150EDC" w:rsidRDefault="00CF0754">
            <w:pPr>
              <w:pStyle w:val="TableParagraph"/>
              <w:spacing w:before="28"/>
              <w:rPr>
                <w:sz w:val="20"/>
              </w:rPr>
            </w:pPr>
            <w:r w:rsidRPr="00150EDC">
              <w:rPr>
                <w:sz w:val="20"/>
              </w:rPr>
              <w:t>Conspiracy</w:t>
            </w:r>
            <w:r w:rsidRPr="00150EDC">
              <w:rPr>
                <w:spacing w:val="-8"/>
                <w:sz w:val="20"/>
              </w:rPr>
              <w:t xml:space="preserve"> </w:t>
            </w:r>
            <w:r w:rsidRPr="00150EDC">
              <w:rPr>
                <w:sz w:val="20"/>
              </w:rPr>
              <w:t>to</w:t>
            </w:r>
            <w:r w:rsidRPr="00150EDC">
              <w:rPr>
                <w:spacing w:val="-6"/>
                <w:sz w:val="20"/>
              </w:rPr>
              <w:t xml:space="preserve"> </w:t>
            </w:r>
            <w:r w:rsidRPr="00150EDC">
              <w:rPr>
                <w:sz w:val="20"/>
              </w:rPr>
              <w:t>commit</w:t>
            </w:r>
            <w:r w:rsidRPr="00150EDC">
              <w:rPr>
                <w:spacing w:val="-6"/>
                <w:sz w:val="20"/>
              </w:rPr>
              <w:t xml:space="preserve"> </w:t>
            </w:r>
            <w:r w:rsidRPr="00150EDC">
              <w:rPr>
                <w:sz w:val="20"/>
              </w:rPr>
              <w:t>sexual</w:t>
            </w:r>
            <w:r w:rsidRPr="00150EDC">
              <w:rPr>
                <w:spacing w:val="-1"/>
                <w:sz w:val="20"/>
              </w:rPr>
              <w:t xml:space="preserve"> </w:t>
            </w:r>
            <w:r w:rsidRPr="00150EDC">
              <w:rPr>
                <w:sz w:val="20"/>
              </w:rPr>
              <w:t>offences</w:t>
            </w:r>
            <w:r w:rsidRPr="00150EDC">
              <w:rPr>
                <w:spacing w:val="-5"/>
                <w:sz w:val="20"/>
              </w:rPr>
              <w:t xml:space="preserve"> </w:t>
            </w:r>
            <w:r w:rsidRPr="00150EDC">
              <w:rPr>
                <w:sz w:val="20"/>
              </w:rPr>
              <w:t>outside</w:t>
            </w:r>
            <w:r w:rsidRPr="00150EDC">
              <w:rPr>
                <w:spacing w:val="-7"/>
                <w:sz w:val="20"/>
              </w:rPr>
              <w:t xml:space="preserve"> </w:t>
            </w:r>
            <w:r w:rsidRPr="00150EDC">
              <w:rPr>
                <w:sz w:val="20"/>
              </w:rPr>
              <w:t>the</w:t>
            </w:r>
            <w:r w:rsidRPr="00150EDC">
              <w:rPr>
                <w:spacing w:val="-2"/>
                <w:sz w:val="20"/>
              </w:rPr>
              <w:t xml:space="preserve"> </w:t>
            </w:r>
            <w:r w:rsidRPr="00150EDC">
              <w:rPr>
                <w:sz w:val="20"/>
              </w:rPr>
              <w:t>United</w:t>
            </w:r>
            <w:r w:rsidRPr="00150EDC">
              <w:rPr>
                <w:spacing w:val="-1"/>
                <w:sz w:val="20"/>
              </w:rPr>
              <w:t xml:space="preserve"> </w:t>
            </w:r>
            <w:r w:rsidRPr="00150EDC">
              <w:rPr>
                <w:spacing w:val="-2"/>
                <w:sz w:val="20"/>
              </w:rPr>
              <w:t>Kingdom</w:t>
            </w:r>
          </w:p>
        </w:tc>
      </w:tr>
      <w:tr w:rsidR="004569EE" w:rsidRPr="007D3144" w14:paraId="2A3FAB4A" w14:textId="77777777">
        <w:trPr>
          <w:trHeight w:val="255"/>
        </w:trPr>
        <w:tc>
          <w:tcPr>
            <w:tcW w:w="6517" w:type="dxa"/>
          </w:tcPr>
          <w:p w14:paraId="586FCA06"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1"/>
                <w:sz w:val="20"/>
              </w:rPr>
              <w:t xml:space="preserve"> </w:t>
            </w:r>
            <w:r w:rsidRPr="00150EDC">
              <w:rPr>
                <w:sz w:val="20"/>
              </w:rPr>
              <w:t>(Conspiracy</w:t>
            </w:r>
            <w:r w:rsidRPr="00150EDC">
              <w:rPr>
                <w:spacing w:val="-6"/>
                <w:sz w:val="20"/>
              </w:rPr>
              <w:t xml:space="preserve"> </w:t>
            </w:r>
            <w:r w:rsidRPr="00150EDC">
              <w:rPr>
                <w:sz w:val="20"/>
              </w:rPr>
              <w:t>and</w:t>
            </w:r>
            <w:r w:rsidRPr="00150EDC">
              <w:rPr>
                <w:spacing w:val="-7"/>
                <w:sz w:val="20"/>
              </w:rPr>
              <w:t xml:space="preserve"> </w:t>
            </w:r>
            <w:r w:rsidRPr="00150EDC">
              <w:rPr>
                <w:sz w:val="20"/>
              </w:rPr>
              <w:t>Incitement)</w:t>
            </w:r>
            <w:r w:rsidRPr="00150EDC">
              <w:rPr>
                <w:spacing w:val="-8"/>
                <w:sz w:val="20"/>
              </w:rPr>
              <w:t xml:space="preserve"> </w:t>
            </w:r>
            <w:r w:rsidRPr="00150EDC">
              <w:rPr>
                <w:sz w:val="20"/>
              </w:rPr>
              <w:t>Act</w:t>
            </w:r>
            <w:r w:rsidRPr="00150EDC">
              <w:rPr>
                <w:spacing w:val="-6"/>
                <w:sz w:val="20"/>
              </w:rPr>
              <w:t xml:space="preserve"> </w:t>
            </w:r>
            <w:r w:rsidRPr="00150EDC">
              <w:rPr>
                <w:sz w:val="20"/>
              </w:rPr>
              <w:t>1996,</w:t>
            </w:r>
            <w:r w:rsidRPr="00150EDC">
              <w:rPr>
                <w:spacing w:val="-7"/>
                <w:sz w:val="20"/>
              </w:rPr>
              <w:t xml:space="preserve"> </w:t>
            </w:r>
            <w:r w:rsidRPr="00150EDC">
              <w:rPr>
                <w:spacing w:val="-5"/>
                <w:sz w:val="20"/>
              </w:rPr>
              <w:t>s2</w:t>
            </w:r>
          </w:p>
        </w:tc>
        <w:tc>
          <w:tcPr>
            <w:tcW w:w="7427" w:type="dxa"/>
          </w:tcPr>
          <w:p w14:paraId="53A634AD" w14:textId="77777777" w:rsidR="004C7180" w:rsidRPr="00150EDC" w:rsidRDefault="00CF0754">
            <w:pPr>
              <w:pStyle w:val="TableParagraph"/>
              <w:rPr>
                <w:sz w:val="20"/>
              </w:rPr>
            </w:pPr>
            <w:r w:rsidRPr="00150EDC">
              <w:rPr>
                <w:sz w:val="20"/>
              </w:rPr>
              <w:t>Incitement</w:t>
            </w:r>
            <w:r w:rsidRPr="00150EDC">
              <w:rPr>
                <w:spacing w:val="-6"/>
                <w:sz w:val="20"/>
              </w:rPr>
              <w:t xml:space="preserve"> </w:t>
            </w:r>
            <w:r w:rsidRPr="00150EDC">
              <w:rPr>
                <w:sz w:val="20"/>
              </w:rPr>
              <w:t>to</w:t>
            </w:r>
            <w:r w:rsidRPr="00150EDC">
              <w:rPr>
                <w:spacing w:val="-5"/>
                <w:sz w:val="20"/>
              </w:rPr>
              <w:t xml:space="preserve"> </w:t>
            </w:r>
            <w:r w:rsidRPr="00150EDC">
              <w:rPr>
                <w:sz w:val="20"/>
              </w:rPr>
              <w:t>commit</w:t>
            </w:r>
            <w:r w:rsidRPr="00150EDC">
              <w:rPr>
                <w:spacing w:val="-4"/>
                <w:sz w:val="20"/>
              </w:rPr>
              <w:t xml:space="preserve"> </w:t>
            </w:r>
            <w:r w:rsidRPr="00150EDC">
              <w:rPr>
                <w:sz w:val="20"/>
              </w:rPr>
              <w:t>sexual</w:t>
            </w:r>
            <w:r w:rsidRPr="00150EDC">
              <w:rPr>
                <w:spacing w:val="-3"/>
                <w:sz w:val="20"/>
              </w:rPr>
              <w:t xml:space="preserve"> </w:t>
            </w:r>
            <w:r w:rsidRPr="00150EDC">
              <w:rPr>
                <w:sz w:val="20"/>
              </w:rPr>
              <w:t>offences</w:t>
            </w:r>
            <w:r w:rsidRPr="00150EDC">
              <w:rPr>
                <w:spacing w:val="-4"/>
                <w:sz w:val="20"/>
              </w:rPr>
              <w:t xml:space="preserve"> </w:t>
            </w:r>
            <w:r w:rsidRPr="00150EDC">
              <w:rPr>
                <w:sz w:val="20"/>
              </w:rPr>
              <w:t>outside</w:t>
            </w:r>
            <w:r w:rsidRPr="00150EDC">
              <w:rPr>
                <w:spacing w:val="-5"/>
                <w:sz w:val="20"/>
              </w:rPr>
              <w:t xml:space="preserve"> </w:t>
            </w:r>
            <w:r w:rsidRPr="00150EDC">
              <w:rPr>
                <w:sz w:val="20"/>
              </w:rPr>
              <w:t>the</w:t>
            </w:r>
            <w:r w:rsidRPr="00150EDC">
              <w:rPr>
                <w:spacing w:val="-6"/>
                <w:sz w:val="20"/>
              </w:rPr>
              <w:t xml:space="preserve"> </w:t>
            </w:r>
            <w:r w:rsidRPr="00150EDC">
              <w:rPr>
                <w:sz w:val="20"/>
              </w:rPr>
              <w:t xml:space="preserve">United </w:t>
            </w:r>
            <w:r w:rsidRPr="00150EDC">
              <w:rPr>
                <w:spacing w:val="-2"/>
                <w:sz w:val="20"/>
              </w:rPr>
              <w:t>Kingdom</w:t>
            </w:r>
          </w:p>
        </w:tc>
      </w:tr>
      <w:tr w:rsidR="004569EE" w:rsidRPr="007D3144" w14:paraId="703792A8" w14:textId="77777777">
        <w:trPr>
          <w:trHeight w:val="255"/>
        </w:trPr>
        <w:tc>
          <w:tcPr>
            <w:tcW w:w="6517" w:type="dxa"/>
          </w:tcPr>
          <w:p w14:paraId="679AF293"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1"/>
                <w:sz w:val="20"/>
              </w:rPr>
              <w:t xml:space="preserve"> </w:t>
            </w:r>
            <w:r w:rsidRPr="00150EDC">
              <w:rPr>
                <w:sz w:val="20"/>
              </w:rPr>
              <w:t>(Jersey)</w:t>
            </w:r>
            <w:r w:rsidRPr="00150EDC">
              <w:rPr>
                <w:spacing w:val="-7"/>
                <w:sz w:val="20"/>
              </w:rPr>
              <w:t xml:space="preserve"> </w:t>
            </w:r>
            <w:r w:rsidRPr="00150EDC">
              <w:rPr>
                <w:sz w:val="20"/>
              </w:rPr>
              <w:t>Law</w:t>
            </w:r>
            <w:r w:rsidRPr="00150EDC">
              <w:rPr>
                <w:spacing w:val="-5"/>
                <w:sz w:val="20"/>
              </w:rPr>
              <w:t xml:space="preserve"> </w:t>
            </w:r>
            <w:r w:rsidRPr="00150EDC">
              <w:rPr>
                <w:sz w:val="20"/>
              </w:rPr>
              <w:t>2007,</w:t>
            </w:r>
            <w:r w:rsidRPr="00150EDC">
              <w:rPr>
                <w:spacing w:val="-7"/>
                <w:sz w:val="20"/>
              </w:rPr>
              <w:t xml:space="preserve"> </w:t>
            </w:r>
            <w:r w:rsidRPr="00150EDC">
              <w:rPr>
                <w:sz w:val="20"/>
              </w:rPr>
              <w:t>Art</w:t>
            </w:r>
            <w:r w:rsidRPr="00150EDC">
              <w:rPr>
                <w:spacing w:val="-7"/>
                <w:sz w:val="20"/>
              </w:rPr>
              <w:t xml:space="preserve"> </w:t>
            </w:r>
            <w:r w:rsidRPr="00150EDC">
              <w:rPr>
                <w:spacing w:val="-10"/>
                <w:sz w:val="20"/>
              </w:rPr>
              <w:t>2</w:t>
            </w:r>
          </w:p>
        </w:tc>
        <w:tc>
          <w:tcPr>
            <w:tcW w:w="7427" w:type="dxa"/>
          </w:tcPr>
          <w:p w14:paraId="3E58D030" w14:textId="77777777" w:rsidR="004C7180" w:rsidRPr="00150EDC" w:rsidRDefault="00CF0754">
            <w:pPr>
              <w:pStyle w:val="TableParagraph"/>
              <w:rPr>
                <w:sz w:val="20"/>
              </w:rPr>
            </w:pPr>
            <w:r w:rsidRPr="00150EDC">
              <w:rPr>
                <w:sz w:val="20"/>
              </w:rPr>
              <w:t>Meeting</w:t>
            </w:r>
            <w:r w:rsidRPr="00150EDC">
              <w:rPr>
                <w:spacing w:val="-9"/>
                <w:sz w:val="20"/>
              </w:rPr>
              <w:t xml:space="preserve"> </w:t>
            </w:r>
            <w:r w:rsidRPr="00150EDC">
              <w:rPr>
                <w:sz w:val="20"/>
              </w:rPr>
              <w:t>a</w:t>
            </w:r>
            <w:r w:rsidRPr="00150EDC">
              <w:rPr>
                <w:spacing w:val="-12"/>
                <w:sz w:val="20"/>
              </w:rPr>
              <w:t xml:space="preserve"> </w:t>
            </w:r>
            <w:r w:rsidRPr="00150EDC">
              <w:rPr>
                <w:sz w:val="20"/>
              </w:rPr>
              <w:t>child</w:t>
            </w:r>
            <w:r w:rsidRPr="00150EDC">
              <w:rPr>
                <w:spacing w:val="-12"/>
                <w:sz w:val="20"/>
              </w:rPr>
              <w:t xml:space="preserve"> </w:t>
            </w:r>
            <w:r w:rsidRPr="00150EDC">
              <w:rPr>
                <w:sz w:val="20"/>
              </w:rPr>
              <w:t>following</w:t>
            </w:r>
            <w:r w:rsidRPr="00150EDC">
              <w:rPr>
                <w:spacing w:val="-12"/>
                <w:sz w:val="20"/>
              </w:rPr>
              <w:t xml:space="preserve"> </w:t>
            </w:r>
            <w:r w:rsidRPr="00150EDC">
              <w:rPr>
                <w:sz w:val="20"/>
              </w:rPr>
              <w:t>sexual</w:t>
            </w:r>
            <w:r w:rsidRPr="00150EDC">
              <w:rPr>
                <w:spacing w:val="-11"/>
                <w:sz w:val="20"/>
              </w:rPr>
              <w:t xml:space="preserve"> </w:t>
            </w:r>
            <w:r w:rsidRPr="00150EDC">
              <w:rPr>
                <w:sz w:val="20"/>
              </w:rPr>
              <w:t>grooming,</w:t>
            </w:r>
            <w:r w:rsidRPr="00150EDC">
              <w:rPr>
                <w:spacing w:val="-12"/>
                <w:sz w:val="20"/>
              </w:rPr>
              <w:t xml:space="preserve"> </w:t>
            </w:r>
            <w:r w:rsidRPr="00150EDC">
              <w:rPr>
                <w:spacing w:val="-5"/>
                <w:sz w:val="20"/>
              </w:rPr>
              <w:t>etc</w:t>
            </w:r>
          </w:p>
        </w:tc>
      </w:tr>
      <w:tr w:rsidR="004569EE" w:rsidRPr="007D3144" w14:paraId="4CD2948A" w14:textId="77777777">
        <w:trPr>
          <w:trHeight w:val="255"/>
        </w:trPr>
        <w:tc>
          <w:tcPr>
            <w:tcW w:w="6517" w:type="dxa"/>
          </w:tcPr>
          <w:p w14:paraId="1F023357" w14:textId="77777777" w:rsidR="004C7180" w:rsidRPr="00150EDC" w:rsidRDefault="00CF0754">
            <w:pPr>
              <w:pStyle w:val="TableParagraph"/>
              <w:rPr>
                <w:sz w:val="20"/>
              </w:rPr>
            </w:pPr>
            <w:r w:rsidRPr="00150EDC">
              <w:rPr>
                <w:sz w:val="20"/>
              </w:rPr>
              <w:t>Sexual</w:t>
            </w:r>
            <w:r w:rsidRPr="00150EDC">
              <w:rPr>
                <w:spacing w:val="-5"/>
                <w:sz w:val="20"/>
              </w:rPr>
              <w:t xml:space="preserve"> </w:t>
            </w:r>
            <w:r w:rsidRPr="00150EDC">
              <w:rPr>
                <w:sz w:val="20"/>
              </w:rPr>
              <w:t>Offences</w:t>
            </w:r>
            <w:r w:rsidRPr="00150EDC">
              <w:rPr>
                <w:spacing w:val="-2"/>
                <w:sz w:val="20"/>
              </w:rPr>
              <w:t xml:space="preserve"> </w:t>
            </w:r>
            <w:r w:rsidRPr="00150EDC">
              <w:rPr>
                <w:sz w:val="20"/>
              </w:rPr>
              <w:t>(Jersey)</w:t>
            </w:r>
            <w:r w:rsidRPr="00150EDC">
              <w:rPr>
                <w:spacing w:val="-7"/>
                <w:sz w:val="20"/>
              </w:rPr>
              <w:t xml:space="preserve"> </w:t>
            </w:r>
            <w:r w:rsidRPr="00150EDC">
              <w:rPr>
                <w:sz w:val="20"/>
              </w:rPr>
              <w:t>Law</w:t>
            </w:r>
            <w:r w:rsidRPr="00150EDC">
              <w:rPr>
                <w:spacing w:val="-4"/>
                <w:sz w:val="20"/>
              </w:rPr>
              <w:t xml:space="preserve"> </w:t>
            </w:r>
            <w:r w:rsidRPr="00150EDC">
              <w:rPr>
                <w:sz w:val="20"/>
              </w:rPr>
              <w:t>2007,</w:t>
            </w:r>
            <w:r w:rsidRPr="00150EDC">
              <w:rPr>
                <w:spacing w:val="-7"/>
                <w:sz w:val="20"/>
              </w:rPr>
              <w:t xml:space="preserve"> </w:t>
            </w:r>
            <w:r w:rsidRPr="00150EDC">
              <w:rPr>
                <w:sz w:val="20"/>
              </w:rPr>
              <w:t>Art</w:t>
            </w:r>
            <w:r w:rsidRPr="00150EDC">
              <w:rPr>
                <w:spacing w:val="-7"/>
                <w:sz w:val="20"/>
              </w:rPr>
              <w:t xml:space="preserve"> </w:t>
            </w:r>
            <w:r w:rsidRPr="00150EDC">
              <w:rPr>
                <w:spacing w:val="-10"/>
                <w:sz w:val="20"/>
              </w:rPr>
              <w:t>3</w:t>
            </w:r>
          </w:p>
        </w:tc>
        <w:tc>
          <w:tcPr>
            <w:tcW w:w="7427" w:type="dxa"/>
          </w:tcPr>
          <w:p w14:paraId="32785145" w14:textId="77777777" w:rsidR="004C7180" w:rsidRPr="00150EDC" w:rsidRDefault="00CF0754">
            <w:pPr>
              <w:pStyle w:val="TableParagraph"/>
              <w:rPr>
                <w:sz w:val="20"/>
              </w:rPr>
            </w:pPr>
            <w:r w:rsidRPr="00150EDC">
              <w:rPr>
                <w:sz w:val="20"/>
              </w:rPr>
              <w:t>Abuse</w:t>
            </w:r>
            <w:r w:rsidRPr="00150EDC">
              <w:rPr>
                <w:spacing w:val="-5"/>
                <w:sz w:val="20"/>
              </w:rPr>
              <w:t xml:space="preserve"> </w:t>
            </w:r>
            <w:r w:rsidRPr="00150EDC">
              <w:rPr>
                <w:sz w:val="20"/>
              </w:rPr>
              <w:t>of</w:t>
            </w:r>
            <w:r w:rsidRPr="00150EDC">
              <w:rPr>
                <w:spacing w:val="-5"/>
                <w:sz w:val="20"/>
              </w:rPr>
              <w:t xml:space="preserve"> </w:t>
            </w:r>
            <w:r w:rsidRPr="00150EDC">
              <w:rPr>
                <w:sz w:val="20"/>
              </w:rPr>
              <w:t>position</w:t>
            </w:r>
            <w:r w:rsidRPr="00150EDC">
              <w:rPr>
                <w:spacing w:val="-4"/>
                <w:sz w:val="20"/>
              </w:rPr>
              <w:t xml:space="preserve"> </w:t>
            </w:r>
            <w:r w:rsidRPr="00150EDC">
              <w:rPr>
                <w:sz w:val="20"/>
              </w:rPr>
              <w:t>of trust:</w:t>
            </w:r>
            <w:r w:rsidRPr="00150EDC">
              <w:rPr>
                <w:spacing w:val="-5"/>
                <w:sz w:val="20"/>
              </w:rPr>
              <w:t xml:space="preserve"> </w:t>
            </w:r>
            <w:r w:rsidRPr="00150EDC">
              <w:rPr>
                <w:sz w:val="20"/>
              </w:rPr>
              <w:t>sexual</w:t>
            </w:r>
            <w:r w:rsidRPr="00150EDC">
              <w:rPr>
                <w:spacing w:val="-3"/>
                <w:sz w:val="20"/>
              </w:rPr>
              <w:t xml:space="preserve"> </w:t>
            </w:r>
            <w:r w:rsidRPr="00150EDC">
              <w:rPr>
                <w:sz w:val="20"/>
              </w:rPr>
              <w:t>activity</w:t>
            </w:r>
            <w:r w:rsidRPr="00150EDC">
              <w:rPr>
                <w:spacing w:val="-3"/>
                <w:sz w:val="20"/>
              </w:rPr>
              <w:t xml:space="preserve"> </w:t>
            </w:r>
            <w:r w:rsidRPr="00150EDC">
              <w:rPr>
                <w:sz w:val="20"/>
              </w:rPr>
              <w:t>with</w:t>
            </w:r>
            <w:r w:rsidRPr="00150EDC">
              <w:rPr>
                <w:spacing w:val="-5"/>
                <w:sz w:val="20"/>
              </w:rPr>
              <w:t xml:space="preserve"> </w:t>
            </w:r>
            <w:r w:rsidRPr="00150EDC">
              <w:rPr>
                <w:sz w:val="20"/>
              </w:rPr>
              <w:t>a</w:t>
            </w:r>
            <w:r w:rsidRPr="00150EDC">
              <w:rPr>
                <w:spacing w:val="-4"/>
                <w:sz w:val="20"/>
              </w:rPr>
              <w:t xml:space="preserve"> child</w:t>
            </w:r>
          </w:p>
        </w:tc>
      </w:tr>
      <w:tr w:rsidR="004569EE" w:rsidRPr="007D3144" w14:paraId="4B9C67C9" w14:textId="77777777">
        <w:trPr>
          <w:trHeight w:val="255"/>
        </w:trPr>
        <w:tc>
          <w:tcPr>
            <w:tcW w:w="6517" w:type="dxa"/>
          </w:tcPr>
          <w:p w14:paraId="45994F1E" w14:textId="77777777" w:rsidR="004C7180" w:rsidRPr="00150EDC" w:rsidRDefault="00CF0754">
            <w:pPr>
              <w:pStyle w:val="TableParagraph"/>
              <w:spacing w:before="28"/>
              <w:rPr>
                <w:sz w:val="20"/>
              </w:rPr>
            </w:pPr>
            <w:r w:rsidRPr="00150EDC">
              <w:rPr>
                <w:sz w:val="20"/>
              </w:rPr>
              <w:t>Sexual</w:t>
            </w:r>
            <w:r w:rsidRPr="00150EDC">
              <w:rPr>
                <w:spacing w:val="-6"/>
                <w:sz w:val="20"/>
              </w:rPr>
              <w:t xml:space="preserve"> </w:t>
            </w:r>
            <w:r w:rsidRPr="00150EDC">
              <w:rPr>
                <w:sz w:val="20"/>
              </w:rPr>
              <w:t>Offences</w:t>
            </w:r>
            <w:r w:rsidRPr="00150EDC">
              <w:rPr>
                <w:spacing w:val="-1"/>
                <w:sz w:val="20"/>
              </w:rPr>
              <w:t xml:space="preserve"> </w:t>
            </w:r>
            <w:r w:rsidRPr="00150EDC">
              <w:rPr>
                <w:sz w:val="20"/>
              </w:rPr>
              <w:t>(Jersey)</w:t>
            </w:r>
            <w:r w:rsidRPr="00150EDC">
              <w:rPr>
                <w:spacing w:val="-7"/>
                <w:sz w:val="20"/>
              </w:rPr>
              <w:t xml:space="preserve"> </w:t>
            </w:r>
            <w:r w:rsidRPr="00150EDC">
              <w:rPr>
                <w:sz w:val="20"/>
              </w:rPr>
              <w:t>Law</w:t>
            </w:r>
            <w:r w:rsidRPr="00150EDC">
              <w:rPr>
                <w:spacing w:val="-5"/>
                <w:sz w:val="20"/>
              </w:rPr>
              <w:t xml:space="preserve"> </w:t>
            </w:r>
            <w:r w:rsidRPr="00150EDC">
              <w:rPr>
                <w:sz w:val="20"/>
              </w:rPr>
              <w:t>2007,</w:t>
            </w:r>
            <w:r w:rsidRPr="00150EDC">
              <w:rPr>
                <w:spacing w:val="-7"/>
                <w:sz w:val="20"/>
              </w:rPr>
              <w:t xml:space="preserve"> </w:t>
            </w:r>
            <w:r w:rsidRPr="00150EDC">
              <w:rPr>
                <w:sz w:val="20"/>
              </w:rPr>
              <w:t>Art</w:t>
            </w:r>
            <w:r w:rsidRPr="00150EDC">
              <w:rPr>
                <w:spacing w:val="-7"/>
                <w:sz w:val="20"/>
              </w:rPr>
              <w:t xml:space="preserve"> </w:t>
            </w:r>
            <w:r w:rsidRPr="00150EDC">
              <w:rPr>
                <w:spacing w:val="-10"/>
                <w:sz w:val="20"/>
              </w:rPr>
              <w:t>4</w:t>
            </w:r>
          </w:p>
        </w:tc>
        <w:tc>
          <w:tcPr>
            <w:tcW w:w="7427" w:type="dxa"/>
          </w:tcPr>
          <w:p w14:paraId="257D1BB3" w14:textId="77777777" w:rsidR="004C7180" w:rsidRPr="00150EDC" w:rsidRDefault="00CF0754">
            <w:pPr>
              <w:pStyle w:val="TableParagraph"/>
              <w:spacing w:before="28"/>
              <w:rPr>
                <w:sz w:val="20"/>
              </w:rPr>
            </w:pPr>
            <w:r w:rsidRPr="00150EDC">
              <w:rPr>
                <w:sz w:val="20"/>
              </w:rPr>
              <w:t>Abuse</w:t>
            </w:r>
            <w:r w:rsidRPr="00150EDC">
              <w:rPr>
                <w:spacing w:val="-7"/>
                <w:sz w:val="20"/>
              </w:rPr>
              <w:t xml:space="preserve"> </w:t>
            </w:r>
            <w:r w:rsidRPr="00150EDC">
              <w:rPr>
                <w:sz w:val="20"/>
              </w:rPr>
              <w:t>of</w:t>
            </w:r>
            <w:r w:rsidRPr="00150EDC">
              <w:rPr>
                <w:spacing w:val="-5"/>
                <w:sz w:val="20"/>
              </w:rPr>
              <w:t xml:space="preserve"> </w:t>
            </w:r>
            <w:r w:rsidRPr="00150EDC">
              <w:rPr>
                <w:sz w:val="20"/>
              </w:rPr>
              <w:t>position</w:t>
            </w:r>
            <w:r w:rsidRPr="00150EDC">
              <w:rPr>
                <w:spacing w:val="-5"/>
                <w:sz w:val="20"/>
              </w:rPr>
              <w:t xml:space="preserve"> </w:t>
            </w:r>
            <w:r w:rsidRPr="00150EDC">
              <w:rPr>
                <w:sz w:val="20"/>
              </w:rPr>
              <w:t>of trust:</w:t>
            </w:r>
            <w:r w:rsidRPr="00150EDC">
              <w:rPr>
                <w:spacing w:val="-5"/>
                <w:sz w:val="20"/>
              </w:rPr>
              <w:t xml:space="preserve"> </w:t>
            </w:r>
            <w:r w:rsidRPr="00150EDC">
              <w:rPr>
                <w:sz w:val="20"/>
              </w:rPr>
              <w:t>causing or</w:t>
            </w:r>
            <w:r w:rsidRPr="00150EDC">
              <w:rPr>
                <w:spacing w:val="-5"/>
                <w:sz w:val="20"/>
              </w:rPr>
              <w:t xml:space="preserve"> </w:t>
            </w:r>
            <w:r w:rsidRPr="00150EDC">
              <w:rPr>
                <w:sz w:val="20"/>
              </w:rPr>
              <w:t>inciting</w:t>
            </w:r>
            <w:r w:rsidRPr="00150EDC">
              <w:rPr>
                <w:spacing w:val="-5"/>
                <w:sz w:val="20"/>
              </w:rPr>
              <w:t xml:space="preserve"> </w:t>
            </w:r>
            <w:r w:rsidRPr="00150EDC">
              <w:rPr>
                <w:sz w:val="20"/>
              </w:rPr>
              <w:t>a</w:t>
            </w:r>
            <w:r w:rsidRPr="00150EDC">
              <w:rPr>
                <w:spacing w:val="-5"/>
                <w:sz w:val="20"/>
              </w:rPr>
              <w:t xml:space="preserve"> </w:t>
            </w:r>
            <w:r w:rsidRPr="00150EDC">
              <w:rPr>
                <w:sz w:val="20"/>
              </w:rPr>
              <w:t>child to</w:t>
            </w:r>
            <w:r w:rsidRPr="00150EDC">
              <w:rPr>
                <w:spacing w:val="-5"/>
                <w:sz w:val="20"/>
              </w:rPr>
              <w:t xml:space="preserve"> </w:t>
            </w:r>
            <w:r w:rsidRPr="00150EDC">
              <w:rPr>
                <w:sz w:val="20"/>
              </w:rPr>
              <w:t>engage</w:t>
            </w:r>
            <w:r w:rsidRPr="00150EDC">
              <w:rPr>
                <w:spacing w:val="-5"/>
                <w:sz w:val="20"/>
              </w:rPr>
              <w:t xml:space="preserve"> </w:t>
            </w:r>
            <w:r w:rsidRPr="00150EDC">
              <w:rPr>
                <w:sz w:val="20"/>
              </w:rPr>
              <w:t>in</w:t>
            </w:r>
            <w:r w:rsidRPr="00150EDC">
              <w:rPr>
                <w:spacing w:val="-5"/>
                <w:sz w:val="20"/>
              </w:rPr>
              <w:t xml:space="preserve"> </w:t>
            </w:r>
            <w:r w:rsidRPr="00150EDC">
              <w:rPr>
                <w:sz w:val="20"/>
              </w:rPr>
              <w:t>sexual</w:t>
            </w:r>
            <w:r w:rsidRPr="00150EDC">
              <w:rPr>
                <w:spacing w:val="-2"/>
                <w:sz w:val="20"/>
              </w:rPr>
              <w:t xml:space="preserve"> activity</w:t>
            </w:r>
          </w:p>
        </w:tc>
      </w:tr>
      <w:tr w:rsidR="004569EE" w:rsidRPr="007D3144" w14:paraId="1D172099" w14:textId="77777777">
        <w:trPr>
          <w:trHeight w:val="255"/>
        </w:trPr>
        <w:tc>
          <w:tcPr>
            <w:tcW w:w="6517" w:type="dxa"/>
          </w:tcPr>
          <w:p w14:paraId="4A4667FB"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1"/>
                <w:sz w:val="20"/>
              </w:rPr>
              <w:t xml:space="preserve"> </w:t>
            </w:r>
            <w:r w:rsidRPr="00150EDC">
              <w:rPr>
                <w:sz w:val="20"/>
              </w:rPr>
              <w:t>(Jersey)</w:t>
            </w:r>
            <w:r w:rsidRPr="00150EDC">
              <w:rPr>
                <w:spacing w:val="-7"/>
                <w:sz w:val="20"/>
              </w:rPr>
              <w:t xml:space="preserve"> </w:t>
            </w:r>
            <w:r w:rsidRPr="00150EDC">
              <w:rPr>
                <w:sz w:val="20"/>
              </w:rPr>
              <w:t>Law</w:t>
            </w:r>
            <w:r w:rsidRPr="00150EDC">
              <w:rPr>
                <w:spacing w:val="-5"/>
                <w:sz w:val="20"/>
              </w:rPr>
              <w:t xml:space="preserve"> </w:t>
            </w:r>
            <w:r w:rsidRPr="00150EDC">
              <w:rPr>
                <w:sz w:val="20"/>
              </w:rPr>
              <w:t>2007,</w:t>
            </w:r>
            <w:r w:rsidRPr="00150EDC">
              <w:rPr>
                <w:spacing w:val="-7"/>
                <w:sz w:val="20"/>
              </w:rPr>
              <w:t xml:space="preserve"> </w:t>
            </w:r>
            <w:r w:rsidRPr="00150EDC">
              <w:rPr>
                <w:sz w:val="20"/>
              </w:rPr>
              <w:t>Art</w:t>
            </w:r>
            <w:r w:rsidRPr="00150EDC">
              <w:rPr>
                <w:spacing w:val="-7"/>
                <w:sz w:val="20"/>
              </w:rPr>
              <w:t xml:space="preserve"> </w:t>
            </w:r>
            <w:r w:rsidRPr="00150EDC">
              <w:rPr>
                <w:spacing w:val="-10"/>
                <w:sz w:val="20"/>
              </w:rPr>
              <w:t>5</w:t>
            </w:r>
          </w:p>
        </w:tc>
        <w:tc>
          <w:tcPr>
            <w:tcW w:w="7427" w:type="dxa"/>
          </w:tcPr>
          <w:p w14:paraId="0A0FD97C" w14:textId="77777777" w:rsidR="004C7180" w:rsidRPr="00150EDC" w:rsidRDefault="00CF0754">
            <w:pPr>
              <w:pStyle w:val="TableParagraph"/>
              <w:rPr>
                <w:sz w:val="20"/>
              </w:rPr>
            </w:pPr>
            <w:r w:rsidRPr="00150EDC">
              <w:rPr>
                <w:sz w:val="20"/>
              </w:rPr>
              <w:t>Abuse</w:t>
            </w:r>
            <w:r w:rsidRPr="00150EDC">
              <w:rPr>
                <w:spacing w:val="-7"/>
                <w:sz w:val="20"/>
              </w:rPr>
              <w:t xml:space="preserve"> </w:t>
            </w:r>
            <w:r w:rsidRPr="00150EDC">
              <w:rPr>
                <w:sz w:val="20"/>
              </w:rPr>
              <w:t>of</w:t>
            </w:r>
            <w:r w:rsidRPr="00150EDC">
              <w:rPr>
                <w:spacing w:val="-5"/>
                <w:sz w:val="20"/>
              </w:rPr>
              <w:t xml:space="preserve"> </w:t>
            </w:r>
            <w:r w:rsidRPr="00150EDC">
              <w:rPr>
                <w:sz w:val="20"/>
              </w:rPr>
              <w:t>position</w:t>
            </w:r>
            <w:r w:rsidRPr="00150EDC">
              <w:rPr>
                <w:spacing w:val="-5"/>
                <w:sz w:val="20"/>
              </w:rPr>
              <w:t xml:space="preserve"> </w:t>
            </w:r>
            <w:r w:rsidRPr="00150EDC">
              <w:rPr>
                <w:sz w:val="20"/>
              </w:rPr>
              <w:t>of trust:</w:t>
            </w:r>
            <w:r w:rsidRPr="00150EDC">
              <w:rPr>
                <w:spacing w:val="-5"/>
                <w:sz w:val="20"/>
              </w:rPr>
              <w:t xml:space="preserve"> </w:t>
            </w:r>
            <w:r w:rsidRPr="00150EDC">
              <w:rPr>
                <w:sz w:val="20"/>
              </w:rPr>
              <w:t>sexual</w:t>
            </w:r>
            <w:r w:rsidRPr="00150EDC">
              <w:rPr>
                <w:spacing w:val="-3"/>
                <w:sz w:val="20"/>
              </w:rPr>
              <w:t xml:space="preserve"> </w:t>
            </w:r>
            <w:r w:rsidRPr="00150EDC">
              <w:rPr>
                <w:sz w:val="20"/>
              </w:rPr>
              <w:t>activity</w:t>
            </w:r>
            <w:r w:rsidRPr="00150EDC">
              <w:rPr>
                <w:spacing w:val="-4"/>
                <w:sz w:val="20"/>
              </w:rPr>
              <w:t xml:space="preserve"> </w:t>
            </w:r>
            <w:r w:rsidRPr="00150EDC">
              <w:rPr>
                <w:sz w:val="20"/>
              </w:rPr>
              <w:t>in</w:t>
            </w:r>
            <w:r w:rsidRPr="00150EDC">
              <w:rPr>
                <w:spacing w:val="-5"/>
                <w:sz w:val="20"/>
              </w:rPr>
              <w:t xml:space="preserve"> </w:t>
            </w:r>
            <w:r w:rsidRPr="00150EDC">
              <w:rPr>
                <w:sz w:val="20"/>
              </w:rPr>
              <w:t>the presence</w:t>
            </w:r>
            <w:r w:rsidRPr="00150EDC">
              <w:rPr>
                <w:spacing w:val="-1"/>
                <w:sz w:val="20"/>
              </w:rPr>
              <w:t xml:space="preserve"> </w:t>
            </w:r>
            <w:r w:rsidRPr="00150EDC">
              <w:rPr>
                <w:sz w:val="20"/>
              </w:rPr>
              <w:t>of</w:t>
            </w:r>
            <w:r w:rsidRPr="00150EDC">
              <w:rPr>
                <w:spacing w:val="-5"/>
                <w:sz w:val="20"/>
              </w:rPr>
              <w:t xml:space="preserve"> </w:t>
            </w:r>
            <w:r w:rsidRPr="00150EDC">
              <w:rPr>
                <w:sz w:val="20"/>
              </w:rPr>
              <w:t>a</w:t>
            </w:r>
            <w:r w:rsidRPr="00150EDC">
              <w:rPr>
                <w:spacing w:val="-4"/>
                <w:sz w:val="20"/>
              </w:rPr>
              <w:t xml:space="preserve"> </w:t>
            </w:r>
            <w:r w:rsidRPr="00150EDC">
              <w:rPr>
                <w:spacing w:val="-2"/>
                <w:sz w:val="20"/>
              </w:rPr>
              <w:t>child</w:t>
            </w:r>
          </w:p>
        </w:tc>
      </w:tr>
      <w:tr w:rsidR="004569EE" w:rsidRPr="007D3144" w14:paraId="1B5C5789" w14:textId="77777777">
        <w:trPr>
          <w:trHeight w:val="255"/>
        </w:trPr>
        <w:tc>
          <w:tcPr>
            <w:tcW w:w="6517" w:type="dxa"/>
          </w:tcPr>
          <w:p w14:paraId="1B4A4A0D"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1"/>
                <w:sz w:val="20"/>
              </w:rPr>
              <w:t xml:space="preserve"> </w:t>
            </w:r>
            <w:r w:rsidRPr="00150EDC">
              <w:rPr>
                <w:sz w:val="20"/>
              </w:rPr>
              <w:t>(Jersey)</w:t>
            </w:r>
            <w:r w:rsidRPr="00150EDC">
              <w:rPr>
                <w:spacing w:val="-7"/>
                <w:sz w:val="20"/>
              </w:rPr>
              <w:t xml:space="preserve"> </w:t>
            </w:r>
            <w:r w:rsidRPr="00150EDC">
              <w:rPr>
                <w:sz w:val="20"/>
              </w:rPr>
              <w:t>Law</w:t>
            </w:r>
            <w:r w:rsidRPr="00150EDC">
              <w:rPr>
                <w:spacing w:val="-5"/>
                <w:sz w:val="20"/>
              </w:rPr>
              <w:t xml:space="preserve"> </w:t>
            </w:r>
            <w:r w:rsidRPr="00150EDC">
              <w:rPr>
                <w:sz w:val="20"/>
              </w:rPr>
              <w:t>2007,</w:t>
            </w:r>
            <w:r w:rsidRPr="00150EDC">
              <w:rPr>
                <w:spacing w:val="-7"/>
                <w:sz w:val="20"/>
              </w:rPr>
              <w:t xml:space="preserve"> </w:t>
            </w:r>
            <w:r w:rsidRPr="00150EDC">
              <w:rPr>
                <w:sz w:val="20"/>
              </w:rPr>
              <w:t>Art</w:t>
            </w:r>
            <w:r w:rsidRPr="00150EDC">
              <w:rPr>
                <w:spacing w:val="-7"/>
                <w:sz w:val="20"/>
              </w:rPr>
              <w:t xml:space="preserve"> </w:t>
            </w:r>
            <w:r w:rsidRPr="00150EDC">
              <w:rPr>
                <w:spacing w:val="-10"/>
                <w:sz w:val="20"/>
              </w:rPr>
              <w:t>6</w:t>
            </w:r>
          </w:p>
        </w:tc>
        <w:tc>
          <w:tcPr>
            <w:tcW w:w="7427" w:type="dxa"/>
          </w:tcPr>
          <w:p w14:paraId="0C079E9B" w14:textId="77777777" w:rsidR="004C7180" w:rsidRPr="00150EDC" w:rsidRDefault="00CF0754">
            <w:pPr>
              <w:pStyle w:val="TableParagraph"/>
              <w:rPr>
                <w:sz w:val="20"/>
              </w:rPr>
            </w:pPr>
            <w:r w:rsidRPr="00150EDC">
              <w:rPr>
                <w:sz w:val="20"/>
              </w:rPr>
              <w:t>Abuse</w:t>
            </w:r>
            <w:r w:rsidRPr="00150EDC">
              <w:rPr>
                <w:spacing w:val="-5"/>
                <w:sz w:val="20"/>
              </w:rPr>
              <w:t xml:space="preserve"> </w:t>
            </w:r>
            <w:r w:rsidRPr="00150EDC">
              <w:rPr>
                <w:sz w:val="20"/>
              </w:rPr>
              <w:t>of</w:t>
            </w:r>
            <w:r w:rsidRPr="00150EDC">
              <w:rPr>
                <w:spacing w:val="-4"/>
                <w:sz w:val="20"/>
              </w:rPr>
              <w:t xml:space="preserve"> </w:t>
            </w:r>
            <w:r w:rsidRPr="00150EDC">
              <w:rPr>
                <w:sz w:val="20"/>
              </w:rPr>
              <w:t>position</w:t>
            </w:r>
            <w:r w:rsidRPr="00150EDC">
              <w:rPr>
                <w:spacing w:val="-5"/>
                <w:sz w:val="20"/>
              </w:rPr>
              <w:t xml:space="preserve"> </w:t>
            </w:r>
            <w:r w:rsidRPr="00150EDC">
              <w:rPr>
                <w:sz w:val="20"/>
              </w:rPr>
              <w:t>of</w:t>
            </w:r>
            <w:r w:rsidRPr="00150EDC">
              <w:rPr>
                <w:spacing w:val="1"/>
                <w:sz w:val="20"/>
              </w:rPr>
              <w:t xml:space="preserve"> </w:t>
            </w:r>
            <w:r w:rsidRPr="00150EDC">
              <w:rPr>
                <w:sz w:val="20"/>
              </w:rPr>
              <w:t>trust:</w:t>
            </w:r>
            <w:r w:rsidRPr="00150EDC">
              <w:rPr>
                <w:spacing w:val="-4"/>
                <w:sz w:val="20"/>
              </w:rPr>
              <w:t xml:space="preserve"> </w:t>
            </w:r>
            <w:r w:rsidRPr="00150EDC">
              <w:rPr>
                <w:sz w:val="20"/>
              </w:rPr>
              <w:t>causing a</w:t>
            </w:r>
            <w:r w:rsidRPr="00150EDC">
              <w:rPr>
                <w:spacing w:val="-4"/>
                <w:sz w:val="20"/>
              </w:rPr>
              <w:t xml:space="preserve"> </w:t>
            </w:r>
            <w:r w:rsidRPr="00150EDC">
              <w:rPr>
                <w:sz w:val="20"/>
              </w:rPr>
              <w:t>child</w:t>
            </w:r>
            <w:r w:rsidRPr="00150EDC">
              <w:rPr>
                <w:spacing w:val="-5"/>
                <w:sz w:val="20"/>
              </w:rPr>
              <w:t xml:space="preserve"> </w:t>
            </w:r>
            <w:r w:rsidRPr="00150EDC">
              <w:rPr>
                <w:sz w:val="20"/>
              </w:rPr>
              <w:t>to</w:t>
            </w:r>
            <w:r w:rsidRPr="00150EDC">
              <w:rPr>
                <w:spacing w:val="-4"/>
                <w:sz w:val="20"/>
              </w:rPr>
              <w:t xml:space="preserve"> </w:t>
            </w:r>
            <w:r w:rsidRPr="00150EDC">
              <w:rPr>
                <w:sz w:val="20"/>
              </w:rPr>
              <w:t>watch a</w:t>
            </w:r>
            <w:r w:rsidRPr="00150EDC">
              <w:rPr>
                <w:spacing w:val="-4"/>
                <w:sz w:val="20"/>
              </w:rPr>
              <w:t xml:space="preserve"> </w:t>
            </w:r>
            <w:r w:rsidRPr="00150EDC">
              <w:rPr>
                <w:sz w:val="20"/>
              </w:rPr>
              <w:t>sexual</w:t>
            </w:r>
            <w:r w:rsidRPr="00150EDC">
              <w:rPr>
                <w:spacing w:val="-2"/>
                <w:sz w:val="20"/>
              </w:rPr>
              <w:t xml:space="preserve"> </w:t>
            </w:r>
            <w:r w:rsidRPr="00150EDC">
              <w:rPr>
                <w:spacing w:val="-5"/>
                <w:sz w:val="20"/>
              </w:rPr>
              <w:t>act</w:t>
            </w:r>
          </w:p>
        </w:tc>
      </w:tr>
      <w:tr w:rsidR="004569EE" w:rsidRPr="007D3144" w14:paraId="200290AB" w14:textId="77777777">
        <w:trPr>
          <w:trHeight w:val="255"/>
        </w:trPr>
        <w:tc>
          <w:tcPr>
            <w:tcW w:w="6517" w:type="dxa"/>
          </w:tcPr>
          <w:p w14:paraId="4096D13A"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2"/>
                <w:sz w:val="20"/>
              </w:rPr>
              <w:t xml:space="preserve"> </w:t>
            </w:r>
            <w:r w:rsidRPr="00150EDC">
              <w:rPr>
                <w:sz w:val="20"/>
              </w:rPr>
              <w:t>(Northern</w:t>
            </w:r>
            <w:r w:rsidRPr="00150EDC">
              <w:rPr>
                <w:spacing w:val="-7"/>
                <w:sz w:val="20"/>
              </w:rPr>
              <w:t xml:space="preserve"> </w:t>
            </w:r>
            <w:r w:rsidRPr="00150EDC">
              <w:rPr>
                <w:sz w:val="20"/>
              </w:rPr>
              <w:t>Ireland)</w:t>
            </w:r>
            <w:r w:rsidRPr="00150EDC">
              <w:rPr>
                <w:spacing w:val="-4"/>
                <w:sz w:val="20"/>
              </w:rPr>
              <w:t xml:space="preserve"> </w:t>
            </w:r>
            <w:r w:rsidRPr="00150EDC">
              <w:rPr>
                <w:sz w:val="20"/>
              </w:rPr>
              <w:t>Order</w:t>
            </w:r>
            <w:r w:rsidRPr="00150EDC">
              <w:rPr>
                <w:spacing w:val="-8"/>
                <w:sz w:val="20"/>
              </w:rPr>
              <w:t xml:space="preserve"> </w:t>
            </w:r>
            <w:r w:rsidRPr="00150EDC">
              <w:rPr>
                <w:sz w:val="20"/>
              </w:rPr>
              <w:t>1978,</w:t>
            </w:r>
            <w:r w:rsidRPr="00150EDC">
              <w:rPr>
                <w:spacing w:val="-7"/>
                <w:sz w:val="20"/>
              </w:rPr>
              <w:t xml:space="preserve"> </w:t>
            </w:r>
            <w:r w:rsidRPr="00150EDC">
              <w:rPr>
                <w:sz w:val="20"/>
              </w:rPr>
              <w:t>Art</w:t>
            </w:r>
            <w:r w:rsidRPr="00150EDC">
              <w:rPr>
                <w:spacing w:val="-7"/>
                <w:sz w:val="20"/>
              </w:rPr>
              <w:t xml:space="preserve"> </w:t>
            </w:r>
            <w:r w:rsidRPr="00150EDC">
              <w:rPr>
                <w:spacing w:val="-10"/>
                <w:sz w:val="20"/>
              </w:rPr>
              <w:t>3</w:t>
            </w:r>
          </w:p>
        </w:tc>
        <w:tc>
          <w:tcPr>
            <w:tcW w:w="7427" w:type="dxa"/>
          </w:tcPr>
          <w:p w14:paraId="74E56938" w14:textId="77777777" w:rsidR="004C7180" w:rsidRPr="00150EDC" w:rsidRDefault="00CF0754">
            <w:pPr>
              <w:pStyle w:val="TableParagraph"/>
              <w:rPr>
                <w:sz w:val="20"/>
              </w:rPr>
            </w:pPr>
            <w:r w:rsidRPr="00150EDC">
              <w:rPr>
                <w:spacing w:val="-4"/>
                <w:sz w:val="20"/>
              </w:rPr>
              <w:t>Rape</w:t>
            </w:r>
          </w:p>
        </w:tc>
      </w:tr>
      <w:tr w:rsidR="004569EE" w:rsidRPr="007D3144" w14:paraId="75F1E260" w14:textId="77777777">
        <w:trPr>
          <w:trHeight w:val="255"/>
        </w:trPr>
        <w:tc>
          <w:tcPr>
            <w:tcW w:w="6517" w:type="dxa"/>
          </w:tcPr>
          <w:p w14:paraId="1D74A566"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2"/>
                <w:sz w:val="20"/>
              </w:rPr>
              <w:t xml:space="preserve"> </w:t>
            </w:r>
            <w:r w:rsidRPr="00150EDC">
              <w:rPr>
                <w:sz w:val="20"/>
              </w:rPr>
              <w:t>(Northern</w:t>
            </w:r>
            <w:r w:rsidRPr="00150EDC">
              <w:rPr>
                <w:spacing w:val="-7"/>
                <w:sz w:val="20"/>
              </w:rPr>
              <w:t xml:space="preserve"> </w:t>
            </w:r>
            <w:r w:rsidRPr="00150EDC">
              <w:rPr>
                <w:sz w:val="20"/>
              </w:rPr>
              <w:t>Ireland)</w:t>
            </w:r>
            <w:r w:rsidRPr="00150EDC">
              <w:rPr>
                <w:spacing w:val="-4"/>
                <w:sz w:val="20"/>
              </w:rPr>
              <w:t xml:space="preserve"> </w:t>
            </w:r>
            <w:r w:rsidRPr="00150EDC">
              <w:rPr>
                <w:sz w:val="20"/>
              </w:rPr>
              <w:t>Order</w:t>
            </w:r>
            <w:r w:rsidRPr="00150EDC">
              <w:rPr>
                <w:spacing w:val="-7"/>
                <w:sz w:val="20"/>
              </w:rPr>
              <w:t xml:space="preserve"> </w:t>
            </w:r>
            <w:r w:rsidRPr="00150EDC">
              <w:rPr>
                <w:sz w:val="20"/>
              </w:rPr>
              <w:t>2008,</w:t>
            </w:r>
            <w:r w:rsidRPr="00150EDC">
              <w:rPr>
                <w:spacing w:val="-7"/>
                <w:sz w:val="20"/>
              </w:rPr>
              <w:t xml:space="preserve"> </w:t>
            </w:r>
            <w:r w:rsidRPr="00150EDC">
              <w:rPr>
                <w:sz w:val="20"/>
              </w:rPr>
              <w:t>Art</w:t>
            </w:r>
            <w:r w:rsidRPr="00150EDC">
              <w:rPr>
                <w:spacing w:val="-7"/>
                <w:sz w:val="20"/>
              </w:rPr>
              <w:t xml:space="preserve"> </w:t>
            </w:r>
            <w:r w:rsidRPr="00150EDC">
              <w:rPr>
                <w:spacing w:val="-5"/>
                <w:sz w:val="20"/>
              </w:rPr>
              <w:t>12</w:t>
            </w:r>
          </w:p>
        </w:tc>
        <w:tc>
          <w:tcPr>
            <w:tcW w:w="7427" w:type="dxa"/>
          </w:tcPr>
          <w:p w14:paraId="1EF9F327" w14:textId="77777777" w:rsidR="004C7180" w:rsidRPr="00150EDC" w:rsidRDefault="00CF0754">
            <w:pPr>
              <w:pStyle w:val="TableParagraph"/>
              <w:rPr>
                <w:sz w:val="20"/>
              </w:rPr>
            </w:pPr>
            <w:r w:rsidRPr="00150EDC">
              <w:rPr>
                <w:sz w:val="20"/>
              </w:rPr>
              <w:t>Rape</w:t>
            </w:r>
            <w:r w:rsidRPr="00150EDC">
              <w:rPr>
                <w:spacing w:val="-5"/>
                <w:sz w:val="20"/>
              </w:rPr>
              <w:t xml:space="preserve"> </w:t>
            </w:r>
            <w:r w:rsidRPr="00150EDC">
              <w:rPr>
                <w:sz w:val="20"/>
              </w:rPr>
              <w:t>of</w:t>
            </w:r>
            <w:r w:rsidRPr="00150EDC">
              <w:rPr>
                <w:spacing w:val="-5"/>
                <w:sz w:val="20"/>
              </w:rPr>
              <w:t xml:space="preserve"> </w:t>
            </w:r>
            <w:r w:rsidRPr="00150EDC">
              <w:rPr>
                <w:sz w:val="20"/>
              </w:rPr>
              <w:t>a child</w:t>
            </w:r>
            <w:r w:rsidRPr="00150EDC">
              <w:rPr>
                <w:spacing w:val="-5"/>
                <w:sz w:val="20"/>
              </w:rPr>
              <w:t xml:space="preserve"> </w:t>
            </w:r>
            <w:r w:rsidRPr="00150EDC">
              <w:rPr>
                <w:sz w:val="20"/>
              </w:rPr>
              <w:t>under</w:t>
            </w:r>
            <w:r w:rsidRPr="00150EDC">
              <w:rPr>
                <w:spacing w:val="-1"/>
                <w:sz w:val="20"/>
              </w:rPr>
              <w:t xml:space="preserve"> </w:t>
            </w:r>
            <w:r w:rsidRPr="00150EDC">
              <w:rPr>
                <w:spacing w:val="-5"/>
                <w:sz w:val="20"/>
              </w:rPr>
              <w:t>13</w:t>
            </w:r>
          </w:p>
        </w:tc>
      </w:tr>
      <w:tr w:rsidR="004569EE" w:rsidRPr="007D3144" w14:paraId="1F100B68" w14:textId="77777777">
        <w:trPr>
          <w:trHeight w:val="255"/>
        </w:trPr>
        <w:tc>
          <w:tcPr>
            <w:tcW w:w="6517" w:type="dxa"/>
          </w:tcPr>
          <w:p w14:paraId="5B867A74"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2"/>
                <w:sz w:val="20"/>
              </w:rPr>
              <w:t xml:space="preserve"> </w:t>
            </w:r>
            <w:r w:rsidRPr="00150EDC">
              <w:rPr>
                <w:sz w:val="20"/>
              </w:rPr>
              <w:t>(Northern</w:t>
            </w:r>
            <w:r w:rsidRPr="00150EDC">
              <w:rPr>
                <w:spacing w:val="-7"/>
                <w:sz w:val="20"/>
              </w:rPr>
              <w:t xml:space="preserve"> </w:t>
            </w:r>
            <w:r w:rsidRPr="00150EDC">
              <w:rPr>
                <w:sz w:val="20"/>
              </w:rPr>
              <w:t>Ireland)</w:t>
            </w:r>
            <w:r w:rsidRPr="00150EDC">
              <w:rPr>
                <w:spacing w:val="-4"/>
                <w:sz w:val="20"/>
              </w:rPr>
              <w:t xml:space="preserve"> </w:t>
            </w:r>
            <w:r w:rsidRPr="00150EDC">
              <w:rPr>
                <w:sz w:val="20"/>
              </w:rPr>
              <w:t>Order</w:t>
            </w:r>
            <w:r w:rsidRPr="00150EDC">
              <w:rPr>
                <w:spacing w:val="-8"/>
                <w:sz w:val="20"/>
              </w:rPr>
              <w:t xml:space="preserve"> </w:t>
            </w:r>
            <w:r w:rsidRPr="00150EDC">
              <w:rPr>
                <w:sz w:val="20"/>
              </w:rPr>
              <w:t>2008,</w:t>
            </w:r>
            <w:r w:rsidRPr="00150EDC">
              <w:rPr>
                <w:spacing w:val="-7"/>
                <w:sz w:val="20"/>
              </w:rPr>
              <w:t xml:space="preserve"> </w:t>
            </w:r>
            <w:r w:rsidRPr="00150EDC">
              <w:rPr>
                <w:sz w:val="20"/>
              </w:rPr>
              <w:t>Art</w:t>
            </w:r>
            <w:r w:rsidRPr="00150EDC">
              <w:rPr>
                <w:spacing w:val="-7"/>
                <w:sz w:val="20"/>
              </w:rPr>
              <w:t xml:space="preserve"> </w:t>
            </w:r>
            <w:r w:rsidRPr="00150EDC">
              <w:rPr>
                <w:spacing w:val="-5"/>
                <w:sz w:val="20"/>
              </w:rPr>
              <w:t>13</w:t>
            </w:r>
          </w:p>
        </w:tc>
        <w:tc>
          <w:tcPr>
            <w:tcW w:w="7427" w:type="dxa"/>
          </w:tcPr>
          <w:p w14:paraId="51149E77" w14:textId="77777777" w:rsidR="004C7180" w:rsidRPr="00150EDC" w:rsidRDefault="00CF0754">
            <w:pPr>
              <w:pStyle w:val="TableParagraph"/>
              <w:rPr>
                <w:sz w:val="20"/>
              </w:rPr>
            </w:pPr>
            <w:r w:rsidRPr="00150EDC">
              <w:rPr>
                <w:sz w:val="20"/>
              </w:rPr>
              <w:t>Assault</w:t>
            </w:r>
            <w:r w:rsidRPr="00150EDC">
              <w:rPr>
                <w:spacing w:val="-4"/>
                <w:sz w:val="20"/>
              </w:rPr>
              <w:t xml:space="preserve"> </w:t>
            </w:r>
            <w:r w:rsidRPr="00150EDC">
              <w:rPr>
                <w:sz w:val="20"/>
              </w:rPr>
              <w:t>of</w:t>
            </w:r>
            <w:r w:rsidRPr="00150EDC">
              <w:rPr>
                <w:spacing w:val="-5"/>
                <w:sz w:val="20"/>
              </w:rPr>
              <w:t xml:space="preserve"> </w:t>
            </w:r>
            <w:r w:rsidRPr="00150EDC">
              <w:rPr>
                <w:sz w:val="20"/>
              </w:rPr>
              <w:t>a</w:t>
            </w:r>
            <w:r w:rsidRPr="00150EDC">
              <w:rPr>
                <w:spacing w:val="-5"/>
                <w:sz w:val="20"/>
              </w:rPr>
              <w:t xml:space="preserve"> </w:t>
            </w:r>
            <w:r w:rsidRPr="00150EDC">
              <w:rPr>
                <w:sz w:val="20"/>
              </w:rPr>
              <w:t>child under</w:t>
            </w:r>
            <w:r w:rsidRPr="00150EDC">
              <w:rPr>
                <w:spacing w:val="-5"/>
                <w:sz w:val="20"/>
              </w:rPr>
              <w:t xml:space="preserve"> </w:t>
            </w:r>
            <w:r w:rsidRPr="00150EDC">
              <w:rPr>
                <w:sz w:val="20"/>
              </w:rPr>
              <w:t>13 by</w:t>
            </w:r>
            <w:r w:rsidRPr="00150EDC">
              <w:rPr>
                <w:spacing w:val="-4"/>
                <w:sz w:val="20"/>
              </w:rPr>
              <w:t xml:space="preserve"> </w:t>
            </w:r>
            <w:r w:rsidRPr="00150EDC">
              <w:rPr>
                <w:spacing w:val="-2"/>
                <w:sz w:val="20"/>
              </w:rPr>
              <w:t>penertration</w:t>
            </w:r>
          </w:p>
        </w:tc>
      </w:tr>
      <w:tr w:rsidR="004569EE" w:rsidRPr="007D3144" w14:paraId="0E554ACC" w14:textId="77777777">
        <w:trPr>
          <w:trHeight w:val="255"/>
        </w:trPr>
        <w:tc>
          <w:tcPr>
            <w:tcW w:w="6517" w:type="dxa"/>
          </w:tcPr>
          <w:p w14:paraId="459255E5"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2"/>
                <w:sz w:val="20"/>
              </w:rPr>
              <w:t xml:space="preserve"> </w:t>
            </w:r>
            <w:r w:rsidRPr="00150EDC">
              <w:rPr>
                <w:sz w:val="20"/>
              </w:rPr>
              <w:t>(Northern</w:t>
            </w:r>
            <w:r w:rsidRPr="00150EDC">
              <w:rPr>
                <w:spacing w:val="-7"/>
                <w:sz w:val="20"/>
              </w:rPr>
              <w:t xml:space="preserve"> </w:t>
            </w:r>
            <w:r w:rsidRPr="00150EDC">
              <w:rPr>
                <w:sz w:val="20"/>
              </w:rPr>
              <w:t>Ireland)</w:t>
            </w:r>
            <w:r w:rsidRPr="00150EDC">
              <w:rPr>
                <w:spacing w:val="-4"/>
                <w:sz w:val="20"/>
              </w:rPr>
              <w:t xml:space="preserve"> </w:t>
            </w:r>
            <w:r w:rsidRPr="00150EDC">
              <w:rPr>
                <w:sz w:val="20"/>
              </w:rPr>
              <w:t>Order</w:t>
            </w:r>
            <w:r w:rsidRPr="00150EDC">
              <w:rPr>
                <w:spacing w:val="-8"/>
                <w:sz w:val="20"/>
              </w:rPr>
              <w:t xml:space="preserve"> </w:t>
            </w:r>
            <w:r w:rsidRPr="00150EDC">
              <w:rPr>
                <w:sz w:val="20"/>
              </w:rPr>
              <w:t>2008,</w:t>
            </w:r>
            <w:r w:rsidRPr="00150EDC">
              <w:rPr>
                <w:spacing w:val="-7"/>
                <w:sz w:val="20"/>
              </w:rPr>
              <w:t xml:space="preserve"> </w:t>
            </w:r>
            <w:r w:rsidRPr="00150EDC">
              <w:rPr>
                <w:sz w:val="20"/>
              </w:rPr>
              <w:t>Art</w:t>
            </w:r>
            <w:r w:rsidRPr="00150EDC">
              <w:rPr>
                <w:spacing w:val="-7"/>
                <w:sz w:val="20"/>
              </w:rPr>
              <w:t xml:space="preserve"> </w:t>
            </w:r>
            <w:r w:rsidRPr="00150EDC">
              <w:rPr>
                <w:spacing w:val="-5"/>
                <w:sz w:val="20"/>
              </w:rPr>
              <w:t>14</w:t>
            </w:r>
          </w:p>
        </w:tc>
        <w:tc>
          <w:tcPr>
            <w:tcW w:w="7427" w:type="dxa"/>
          </w:tcPr>
          <w:p w14:paraId="19F6061D" w14:textId="77777777" w:rsidR="004C7180" w:rsidRPr="00150EDC" w:rsidRDefault="00CF0754">
            <w:pPr>
              <w:pStyle w:val="TableParagraph"/>
              <w:rPr>
                <w:sz w:val="20"/>
              </w:rPr>
            </w:pPr>
            <w:r w:rsidRPr="00150EDC">
              <w:rPr>
                <w:sz w:val="20"/>
              </w:rPr>
              <w:t>Sexual</w:t>
            </w:r>
            <w:r w:rsidRPr="00150EDC">
              <w:rPr>
                <w:spacing w:val="-4"/>
                <w:sz w:val="20"/>
              </w:rPr>
              <w:t xml:space="preserve"> </w:t>
            </w:r>
            <w:r w:rsidRPr="00150EDC">
              <w:rPr>
                <w:sz w:val="20"/>
              </w:rPr>
              <w:t>assault of</w:t>
            </w:r>
            <w:r w:rsidRPr="00150EDC">
              <w:rPr>
                <w:spacing w:val="-6"/>
                <w:sz w:val="20"/>
              </w:rPr>
              <w:t xml:space="preserve"> </w:t>
            </w:r>
            <w:r w:rsidRPr="00150EDC">
              <w:rPr>
                <w:sz w:val="20"/>
              </w:rPr>
              <w:t>a</w:t>
            </w:r>
            <w:r w:rsidRPr="00150EDC">
              <w:rPr>
                <w:spacing w:val="-6"/>
                <w:sz w:val="20"/>
              </w:rPr>
              <w:t xml:space="preserve"> </w:t>
            </w:r>
            <w:r w:rsidRPr="00150EDC">
              <w:rPr>
                <w:sz w:val="20"/>
              </w:rPr>
              <w:t>child</w:t>
            </w:r>
            <w:r w:rsidRPr="00150EDC">
              <w:rPr>
                <w:spacing w:val="-1"/>
                <w:sz w:val="20"/>
              </w:rPr>
              <w:t xml:space="preserve"> </w:t>
            </w:r>
            <w:r w:rsidRPr="00150EDC">
              <w:rPr>
                <w:sz w:val="20"/>
              </w:rPr>
              <w:t>under</w:t>
            </w:r>
            <w:r w:rsidRPr="00150EDC">
              <w:rPr>
                <w:spacing w:val="-5"/>
                <w:sz w:val="20"/>
              </w:rPr>
              <w:t xml:space="preserve"> 13</w:t>
            </w:r>
          </w:p>
        </w:tc>
      </w:tr>
      <w:tr w:rsidR="004569EE" w:rsidRPr="007D3144" w14:paraId="0A68E328" w14:textId="77777777">
        <w:trPr>
          <w:trHeight w:val="255"/>
        </w:trPr>
        <w:tc>
          <w:tcPr>
            <w:tcW w:w="6517" w:type="dxa"/>
          </w:tcPr>
          <w:p w14:paraId="792339CA"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2"/>
                <w:sz w:val="20"/>
              </w:rPr>
              <w:t xml:space="preserve"> </w:t>
            </w:r>
            <w:r w:rsidRPr="00150EDC">
              <w:rPr>
                <w:sz w:val="20"/>
              </w:rPr>
              <w:t>(Northern</w:t>
            </w:r>
            <w:r w:rsidRPr="00150EDC">
              <w:rPr>
                <w:spacing w:val="-7"/>
                <w:sz w:val="20"/>
              </w:rPr>
              <w:t xml:space="preserve"> </w:t>
            </w:r>
            <w:r w:rsidRPr="00150EDC">
              <w:rPr>
                <w:sz w:val="20"/>
              </w:rPr>
              <w:t>Ireland)</w:t>
            </w:r>
            <w:r w:rsidRPr="00150EDC">
              <w:rPr>
                <w:spacing w:val="-4"/>
                <w:sz w:val="20"/>
              </w:rPr>
              <w:t xml:space="preserve"> </w:t>
            </w:r>
            <w:r w:rsidRPr="00150EDC">
              <w:rPr>
                <w:sz w:val="20"/>
              </w:rPr>
              <w:t>Order</w:t>
            </w:r>
            <w:r w:rsidRPr="00150EDC">
              <w:rPr>
                <w:spacing w:val="-8"/>
                <w:sz w:val="20"/>
              </w:rPr>
              <w:t xml:space="preserve"> </w:t>
            </w:r>
            <w:r w:rsidRPr="00150EDC">
              <w:rPr>
                <w:sz w:val="20"/>
              </w:rPr>
              <w:t>2008,</w:t>
            </w:r>
            <w:r w:rsidRPr="00150EDC">
              <w:rPr>
                <w:spacing w:val="-7"/>
                <w:sz w:val="20"/>
              </w:rPr>
              <w:t xml:space="preserve"> </w:t>
            </w:r>
            <w:r w:rsidRPr="00150EDC">
              <w:rPr>
                <w:sz w:val="20"/>
              </w:rPr>
              <w:t>Art</w:t>
            </w:r>
            <w:r w:rsidRPr="00150EDC">
              <w:rPr>
                <w:spacing w:val="-7"/>
                <w:sz w:val="20"/>
              </w:rPr>
              <w:t xml:space="preserve"> </w:t>
            </w:r>
            <w:r w:rsidRPr="00150EDC">
              <w:rPr>
                <w:spacing w:val="-5"/>
                <w:sz w:val="20"/>
              </w:rPr>
              <w:t>15</w:t>
            </w:r>
          </w:p>
        </w:tc>
        <w:tc>
          <w:tcPr>
            <w:tcW w:w="7427" w:type="dxa"/>
          </w:tcPr>
          <w:p w14:paraId="576CF7BD" w14:textId="77777777" w:rsidR="004C7180" w:rsidRPr="00150EDC" w:rsidRDefault="00CF0754">
            <w:pPr>
              <w:pStyle w:val="TableParagraph"/>
              <w:rPr>
                <w:sz w:val="20"/>
              </w:rPr>
            </w:pPr>
            <w:r w:rsidRPr="00150EDC">
              <w:rPr>
                <w:sz w:val="20"/>
              </w:rPr>
              <w:t>Causing</w:t>
            </w:r>
            <w:r w:rsidRPr="00150EDC">
              <w:rPr>
                <w:spacing w:val="-6"/>
                <w:sz w:val="20"/>
              </w:rPr>
              <w:t xml:space="preserve"> </w:t>
            </w:r>
            <w:r w:rsidRPr="00150EDC">
              <w:rPr>
                <w:sz w:val="20"/>
              </w:rPr>
              <w:t>or</w:t>
            </w:r>
            <w:r w:rsidRPr="00150EDC">
              <w:rPr>
                <w:spacing w:val="-1"/>
                <w:sz w:val="20"/>
              </w:rPr>
              <w:t xml:space="preserve"> </w:t>
            </w:r>
            <w:r w:rsidRPr="00150EDC">
              <w:rPr>
                <w:sz w:val="20"/>
              </w:rPr>
              <w:t>inciting</w:t>
            </w:r>
            <w:r w:rsidRPr="00150EDC">
              <w:rPr>
                <w:spacing w:val="-6"/>
                <w:sz w:val="20"/>
              </w:rPr>
              <w:t xml:space="preserve"> </w:t>
            </w:r>
            <w:r w:rsidRPr="00150EDC">
              <w:rPr>
                <w:sz w:val="20"/>
              </w:rPr>
              <w:t>a child</w:t>
            </w:r>
            <w:r w:rsidRPr="00150EDC">
              <w:rPr>
                <w:spacing w:val="-6"/>
                <w:sz w:val="20"/>
              </w:rPr>
              <w:t xml:space="preserve"> </w:t>
            </w:r>
            <w:r w:rsidRPr="00150EDC">
              <w:rPr>
                <w:sz w:val="20"/>
              </w:rPr>
              <w:t>under</w:t>
            </w:r>
            <w:r w:rsidRPr="00150EDC">
              <w:rPr>
                <w:spacing w:val="-2"/>
                <w:sz w:val="20"/>
              </w:rPr>
              <w:t xml:space="preserve"> </w:t>
            </w:r>
            <w:r w:rsidRPr="00150EDC">
              <w:rPr>
                <w:sz w:val="20"/>
              </w:rPr>
              <w:t>13</w:t>
            </w:r>
            <w:r w:rsidRPr="00150EDC">
              <w:rPr>
                <w:spacing w:val="-5"/>
                <w:sz w:val="20"/>
              </w:rPr>
              <w:t xml:space="preserve"> </w:t>
            </w:r>
            <w:r w:rsidRPr="00150EDC">
              <w:rPr>
                <w:sz w:val="20"/>
              </w:rPr>
              <w:t>to</w:t>
            </w:r>
            <w:r w:rsidRPr="00150EDC">
              <w:rPr>
                <w:spacing w:val="-1"/>
                <w:sz w:val="20"/>
              </w:rPr>
              <w:t xml:space="preserve"> </w:t>
            </w:r>
            <w:r w:rsidRPr="00150EDC">
              <w:rPr>
                <w:sz w:val="20"/>
              </w:rPr>
              <w:t>engage</w:t>
            </w:r>
            <w:r w:rsidRPr="00150EDC">
              <w:rPr>
                <w:spacing w:val="-6"/>
                <w:sz w:val="20"/>
              </w:rPr>
              <w:t xml:space="preserve"> </w:t>
            </w:r>
            <w:r w:rsidRPr="00150EDC">
              <w:rPr>
                <w:sz w:val="20"/>
              </w:rPr>
              <w:t>in</w:t>
            </w:r>
            <w:r w:rsidRPr="00150EDC">
              <w:rPr>
                <w:spacing w:val="-5"/>
                <w:sz w:val="20"/>
              </w:rPr>
              <w:t xml:space="preserve"> </w:t>
            </w:r>
            <w:r w:rsidRPr="00150EDC">
              <w:rPr>
                <w:sz w:val="20"/>
              </w:rPr>
              <w:t>sexual</w:t>
            </w:r>
            <w:r w:rsidRPr="00150EDC">
              <w:rPr>
                <w:spacing w:val="-4"/>
                <w:sz w:val="20"/>
              </w:rPr>
              <w:t xml:space="preserve"> </w:t>
            </w:r>
            <w:r w:rsidRPr="00150EDC">
              <w:rPr>
                <w:spacing w:val="-2"/>
                <w:sz w:val="20"/>
              </w:rPr>
              <w:t>activity</w:t>
            </w:r>
          </w:p>
        </w:tc>
      </w:tr>
      <w:tr w:rsidR="004569EE" w:rsidRPr="007D3144" w14:paraId="0E4B956B" w14:textId="77777777">
        <w:trPr>
          <w:trHeight w:val="255"/>
        </w:trPr>
        <w:tc>
          <w:tcPr>
            <w:tcW w:w="6517" w:type="dxa"/>
          </w:tcPr>
          <w:p w14:paraId="74DF32AB"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2"/>
                <w:sz w:val="20"/>
              </w:rPr>
              <w:t xml:space="preserve"> </w:t>
            </w:r>
            <w:r w:rsidRPr="00150EDC">
              <w:rPr>
                <w:sz w:val="20"/>
              </w:rPr>
              <w:t>(Northern</w:t>
            </w:r>
            <w:r w:rsidRPr="00150EDC">
              <w:rPr>
                <w:spacing w:val="-7"/>
                <w:sz w:val="20"/>
              </w:rPr>
              <w:t xml:space="preserve"> </w:t>
            </w:r>
            <w:r w:rsidRPr="00150EDC">
              <w:rPr>
                <w:sz w:val="20"/>
              </w:rPr>
              <w:t>Ireland)</w:t>
            </w:r>
            <w:r w:rsidRPr="00150EDC">
              <w:rPr>
                <w:spacing w:val="-4"/>
                <w:sz w:val="20"/>
              </w:rPr>
              <w:t xml:space="preserve"> </w:t>
            </w:r>
            <w:r w:rsidRPr="00150EDC">
              <w:rPr>
                <w:sz w:val="20"/>
              </w:rPr>
              <w:t>Order</w:t>
            </w:r>
            <w:r w:rsidRPr="00150EDC">
              <w:rPr>
                <w:spacing w:val="-8"/>
                <w:sz w:val="20"/>
              </w:rPr>
              <w:t xml:space="preserve"> </w:t>
            </w:r>
            <w:r w:rsidRPr="00150EDC">
              <w:rPr>
                <w:sz w:val="20"/>
              </w:rPr>
              <w:t>2008,</w:t>
            </w:r>
            <w:r w:rsidRPr="00150EDC">
              <w:rPr>
                <w:spacing w:val="-7"/>
                <w:sz w:val="20"/>
              </w:rPr>
              <w:t xml:space="preserve"> </w:t>
            </w:r>
            <w:r w:rsidRPr="00150EDC">
              <w:rPr>
                <w:sz w:val="20"/>
              </w:rPr>
              <w:t>Art</w:t>
            </w:r>
            <w:r w:rsidRPr="00150EDC">
              <w:rPr>
                <w:spacing w:val="-7"/>
                <w:sz w:val="20"/>
              </w:rPr>
              <w:t xml:space="preserve"> </w:t>
            </w:r>
            <w:r w:rsidRPr="00150EDC">
              <w:rPr>
                <w:spacing w:val="-5"/>
                <w:sz w:val="20"/>
              </w:rPr>
              <w:t>16</w:t>
            </w:r>
          </w:p>
        </w:tc>
        <w:tc>
          <w:tcPr>
            <w:tcW w:w="7427" w:type="dxa"/>
          </w:tcPr>
          <w:p w14:paraId="31A7D2B7" w14:textId="77777777" w:rsidR="004C7180" w:rsidRPr="00150EDC" w:rsidRDefault="00CF0754">
            <w:pPr>
              <w:pStyle w:val="TableParagraph"/>
              <w:rPr>
                <w:sz w:val="20"/>
              </w:rPr>
            </w:pPr>
            <w:r w:rsidRPr="00150EDC">
              <w:rPr>
                <w:sz w:val="20"/>
              </w:rPr>
              <w:t>Sexual</w:t>
            </w:r>
            <w:r w:rsidRPr="00150EDC">
              <w:rPr>
                <w:spacing w:val="-3"/>
                <w:sz w:val="20"/>
              </w:rPr>
              <w:t xml:space="preserve"> </w:t>
            </w:r>
            <w:r w:rsidRPr="00150EDC">
              <w:rPr>
                <w:sz w:val="20"/>
              </w:rPr>
              <w:t>activity</w:t>
            </w:r>
            <w:r w:rsidRPr="00150EDC">
              <w:rPr>
                <w:spacing w:val="-4"/>
                <w:sz w:val="20"/>
              </w:rPr>
              <w:t xml:space="preserve"> </w:t>
            </w:r>
            <w:r w:rsidRPr="00150EDC">
              <w:rPr>
                <w:sz w:val="20"/>
              </w:rPr>
              <w:t>with</w:t>
            </w:r>
            <w:r w:rsidRPr="00150EDC">
              <w:rPr>
                <w:spacing w:val="-5"/>
                <w:sz w:val="20"/>
              </w:rPr>
              <w:t xml:space="preserve"> </w:t>
            </w:r>
            <w:r w:rsidRPr="00150EDC">
              <w:rPr>
                <w:sz w:val="20"/>
              </w:rPr>
              <w:t>a</w:t>
            </w:r>
            <w:r w:rsidRPr="00150EDC">
              <w:rPr>
                <w:spacing w:val="-4"/>
                <w:sz w:val="20"/>
              </w:rPr>
              <w:t xml:space="preserve"> child</w:t>
            </w:r>
          </w:p>
        </w:tc>
      </w:tr>
      <w:tr w:rsidR="004569EE" w:rsidRPr="007D3144" w14:paraId="52426AFD" w14:textId="77777777">
        <w:trPr>
          <w:trHeight w:val="255"/>
        </w:trPr>
        <w:tc>
          <w:tcPr>
            <w:tcW w:w="6517" w:type="dxa"/>
          </w:tcPr>
          <w:p w14:paraId="04AFE2AC" w14:textId="77777777" w:rsidR="004C7180" w:rsidRPr="00150EDC" w:rsidRDefault="00CF0754">
            <w:pPr>
              <w:pStyle w:val="TableParagraph"/>
              <w:spacing w:before="28"/>
              <w:rPr>
                <w:sz w:val="20"/>
              </w:rPr>
            </w:pPr>
            <w:r w:rsidRPr="00150EDC">
              <w:rPr>
                <w:sz w:val="20"/>
              </w:rPr>
              <w:t>Sexual</w:t>
            </w:r>
            <w:r w:rsidRPr="00150EDC">
              <w:rPr>
                <w:spacing w:val="-6"/>
                <w:sz w:val="20"/>
              </w:rPr>
              <w:t xml:space="preserve"> </w:t>
            </w:r>
            <w:r w:rsidRPr="00150EDC">
              <w:rPr>
                <w:sz w:val="20"/>
              </w:rPr>
              <w:t>Offences</w:t>
            </w:r>
            <w:r w:rsidRPr="00150EDC">
              <w:rPr>
                <w:spacing w:val="-2"/>
                <w:sz w:val="20"/>
              </w:rPr>
              <w:t xml:space="preserve"> </w:t>
            </w:r>
            <w:r w:rsidRPr="00150EDC">
              <w:rPr>
                <w:sz w:val="20"/>
              </w:rPr>
              <w:t>(Northern</w:t>
            </w:r>
            <w:r w:rsidRPr="00150EDC">
              <w:rPr>
                <w:spacing w:val="-7"/>
                <w:sz w:val="20"/>
              </w:rPr>
              <w:t xml:space="preserve"> </w:t>
            </w:r>
            <w:r w:rsidRPr="00150EDC">
              <w:rPr>
                <w:sz w:val="20"/>
              </w:rPr>
              <w:t>Ireland)</w:t>
            </w:r>
            <w:r w:rsidRPr="00150EDC">
              <w:rPr>
                <w:spacing w:val="-4"/>
                <w:sz w:val="20"/>
              </w:rPr>
              <w:t xml:space="preserve"> </w:t>
            </w:r>
            <w:r w:rsidRPr="00150EDC">
              <w:rPr>
                <w:sz w:val="20"/>
              </w:rPr>
              <w:t>Order</w:t>
            </w:r>
            <w:r w:rsidRPr="00150EDC">
              <w:rPr>
                <w:spacing w:val="-7"/>
                <w:sz w:val="20"/>
              </w:rPr>
              <w:t xml:space="preserve"> </w:t>
            </w:r>
            <w:r w:rsidRPr="00150EDC">
              <w:rPr>
                <w:sz w:val="20"/>
              </w:rPr>
              <w:t>2008,</w:t>
            </w:r>
            <w:r w:rsidRPr="00150EDC">
              <w:rPr>
                <w:spacing w:val="-8"/>
                <w:sz w:val="20"/>
              </w:rPr>
              <w:t xml:space="preserve"> </w:t>
            </w:r>
            <w:r w:rsidRPr="00150EDC">
              <w:rPr>
                <w:sz w:val="20"/>
              </w:rPr>
              <w:t>Art</w:t>
            </w:r>
            <w:r w:rsidRPr="00150EDC">
              <w:rPr>
                <w:spacing w:val="-3"/>
                <w:sz w:val="20"/>
              </w:rPr>
              <w:t xml:space="preserve"> </w:t>
            </w:r>
            <w:r w:rsidRPr="00150EDC">
              <w:rPr>
                <w:spacing w:val="-5"/>
                <w:sz w:val="20"/>
              </w:rPr>
              <w:t>17</w:t>
            </w:r>
          </w:p>
        </w:tc>
        <w:tc>
          <w:tcPr>
            <w:tcW w:w="7427" w:type="dxa"/>
          </w:tcPr>
          <w:p w14:paraId="6A9787D2" w14:textId="77777777" w:rsidR="004C7180" w:rsidRPr="00150EDC" w:rsidRDefault="00CF0754">
            <w:pPr>
              <w:pStyle w:val="TableParagraph"/>
              <w:spacing w:before="28"/>
              <w:rPr>
                <w:sz w:val="20"/>
              </w:rPr>
            </w:pPr>
            <w:r w:rsidRPr="00150EDC">
              <w:rPr>
                <w:sz w:val="20"/>
              </w:rPr>
              <w:t>Causing</w:t>
            </w:r>
            <w:r w:rsidRPr="00150EDC">
              <w:rPr>
                <w:spacing w:val="-6"/>
                <w:sz w:val="20"/>
              </w:rPr>
              <w:t xml:space="preserve"> </w:t>
            </w:r>
            <w:r w:rsidRPr="00150EDC">
              <w:rPr>
                <w:sz w:val="20"/>
              </w:rPr>
              <w:t>or</w:t>
            </w:r>
            <w:r w:rsidRPr="00150EDC">
              <w:rPr>
                <w:spacing w:val="-1"/>
                <w:sz w:val="20"/>
              </w:rPr>
              <w:t xml:space="preserve"> </w:t>
            </w:r>
            <w:r w:rsidRPr="00150EDC">
              <w:rPr>
                <w:sz w:val="20"/>
              </w:rPr>
              <w:t>inciting</w:t>
            </w:r>
            <w:r w:rsidRPr="00150EDC">
              <w:rPr>
                <w:spacing w:val="-6"/>
                <w:sz w:val="20"/>
              </w:rPr>
              <w:t xml:space="preserve"> </w:t>
            </w:r>
            <w:r w:rsidRPr="00150EDC">
              <w:rPr>
                <w:sz w:val="20"/>
              </w:rPr>
              <w:t>a</w:t>
            </w:r>
            <w:r w:rsidRPr="00150EDC">
              <w:rPr>
                <w:spacing w:val="-1"/>
                <w:sz w:val="20"/>
              </w:rPr>
              <w:t xml:space="preserve"> </w:t>
            </w:r>
            <w:r w:rsidRPr="00150EDC">
              <w:rPr>
                <w:sz w:val="20"/>
              </w:rPr>
              <w:t>child</w:t>
            </w:r>
            <w:r w:rsidRPr="00150EDC">
              <w:rPr>
                <w:spacing w:val="-5"/>
                <w:sz w:val="20"/>
              </w:rPr>
              <w:t xml:space="preserve"> </w:t>
            </w:r>
            <w:r w:rsidRPr="00150EDC">
              <w:rPr>
                <w:sz w:val="20"/>
              </w:rPr>
              <w:t>to</w:t>
            </w:r>
            <w:r w:rsidRPr="00150EDC">
              <w:rPr>
                <w:spacing w:val="-1"/>
                <w:sz w:val="20"/>
              </w:rPr>
              <w:t xml:space="preserve"> </w:t>
            </w:r>
            <w:r w:rsidRPr="00150EDC">
              <w:rPr>
                <w:sz w:val="20"/>
              </w:rPr>
              <w:t>engage</w:t>
            </w:r>
            <w:r w:rsidRPr="00150EDC">
              <w:rPr>
                <w:spacing w:val="-6"/>
                <w:sz w:val="20"/>
              </w:rPr>
              <w:t xml:space="preserve"> </w:t>
            </w:r>
            <w:r w:rsidRPr="00150EDC">
              <w:rPr>
                <w:sz w:val="20"/>
              </w:rPr>
              <w:t>in</w:t>
            </w:r>
            <w:r w:rsidRPr="00150EDC">
              <w:rPr>
                <w:spacing w:val="-5"/>
                <w:sz w:val="20"/>
              </w:rPr>
              <w:t xml:space="preserve"> </w:t>
            </w:r>
            <w:r w:rsidRPr="00150EDC">
              <w:rPr>
                <w:sz w:val="20"/>
              </w:rPr>
              <w:t>sexual</w:t>
            </w:r>
            <w:r w:rsidRPr="00150EDC">
              <w:rPr>
                <w:spacing w:val="-4"/>
                <w:sz w:val="20"/>
              </w:rPr>
              <w:t xml:space="preserve"> </w:t>
            </w:r>
            <w:r w:rsidRPr="00150EDC">
              <w:rPr>
                <w:spacing w:val="-2"/>
                <w:sz w:val="20"/>
              </w:rPr>
              <w:t>activity</w:t>
            </w:r>
          </w:p>
        </w:tc>
      </w:tr>
      <w:tr w:rsidR="004569EE" w:rsidRPr="007D3144" w14:paraId="7A93CAC1" w14:textId="77777777">
        <w:trPr>
          <w:trHeight w:val="255"/>
        </w:trPr>
        <w:tc>
          <w:tcPr>
            <w:tcW w:w="6517" w:type="dxa"/>
          </w:tcPr>
          <w:p w14:paraId="590F54BC"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2"/>
                <w:sz w:val="20"/>
              </w:rPr>
              <w:t xml:space="preserve"> </w:t>
            </w:r>
            <w:r w:rsidRPr="00150EDC">
              <w:rPr>
                <w:sz w:val="20"/>
              </w:rPr>
              <w:t>(Northern</w:t>
            </w:r>
            <w:r w:rsidRPr="00150EDC">
              <w:rPr>
                <w:spacing w:val="-7"/>
                <w:sz w:val="20"/>
              </w:rPr>
              <w:t xml:space="preserve"> </w:t>
            </w:r>
            <w:r w:rsidRPr="00150EDC">
              <w:rPr>
                <w:sz w:val="20"/>
              </w:rPr>
              <w:t>Ireland)</w:t>
            </w:r>
            <w:r w:rsidRPr="00150EDC">
              <w:rPr>
                <w:spacing w:val="-4"/>
                <w:sz w:val="20"/>
              </w:rPr>
              <w:t xml:space="preserve"> </w:t>
            </w:r>
            <w:r w:rsidRPr="00150EDC">
              <w:rPr>
                <w:sz w:val="20"/>
              </w:rPr>
              <w:t>Order</w:t>
            </w:r>
            <w:r w:rsidRPr="00150EDC">
              <w:rPr>
                <w:spacing w:val="-8"/>
                <w:sz w:val="20"/>
              </w:rPr>
              <w:t xml:space="preserve"> </w:t>
            </w:r>
            <w:r w:rsidRPr="00150EDC">
              <w:rPr>
                <w:sz w:val="20"/>
              </w:rPr>
              <w:t>2008,</w:t>
            </w:r>
            <w:r w:rsidRPr="00150EDC">
              <w:rPr>
                <w:spacing w:val="-7"/>
                <w:sz w:val="20"/>
              </w:rPr>
              <w:t xml:space="preserve"> </w:t>
            </w:r>
            <w:r w:rsidRPr="00150EDC">
              <w:rPr>
                <w:sz w:val="20"/>
              </w:rPr>
              <w:t>Art</w:t>
            </w:r>
            <w:r w:rsidRPr="00150EDC">
              <w:rPr>
                <w:spacing w:val="-7"/>
                <w:sz w:val="20"/>
              </w:rPr>
              <w:t xml:space="preserve"> </w:t>
            </w:r>
            <w:r w:rsidRPr="00150EDC">
              <w:rPr>
                <w:spacing w:val="-5"/>
                <w:sz w:val="20"/>
              </w:rPr>
              <w:t>18</w:t>
            </w:r>
          </w:p>
        </w:tc>
        <w:tc>
          <w:tcPr>
            <w:tcW w:w="7427" w:type="dxa"/>
          </w:tcPr>
          <w:p w14:paraId="3C328E8F" w14:textId="77777777" w:rsidR="004C7180" w:rsidRPr="00150EDC" w:rsidRDefault="00CF0754">
            <w:pPr>
              <w:pStyle w:val="TableParagraph"/>
              <w:rPr>
                <w:sz w:val="20"/>
              </w:rPr>
            </w:pPr>
            <w:r w:rsidRPr="00150EDC">
              <w:rPr>
                <w:sz w:val="20"/>
              </w:rPr>
              <w:t>Engaging</w:t>
            </w:r>
            <w:r w:rsidRPr="00150EDC">
              <w:rPr>
                <w:spacing w:val="-6"/>
                <w:sz w:val="20"/>
              </w:rPr>
              <w:t xml:space="preserve"> </w:t>
            </w:r>
            <w:r w:rsidRPr="00150EDC">
              <w:rPr>
                <w:sz w:val="20"/>
              </w:rPr>
              <w:t>in</w:t>
            </w:r>
            <w:r w:rsidRPr="00150EDC">
              <w:rPr>
                <w:spacing w:val="-5"/>
                <w:sz w:val="20"/>
              </w:rPr>
              <w:t xml:space="preserve"> </w:t>
            </w:r>
            <w:r w:rsidRPr="00150EDC">
              <w:rPr>
                <w:sz w:val="20"/>
              </w:rPr>
              <w:t>sexual</w:t>
            </w:r>
            <w:r w:rsidRPr="00150EDC">
              <w:rPr>
                <w:spacing w:val="-3"/>
                <w:sz w:val="20"/>
              </w:rPr>
              <w:t xml:space="preserve"> </w:t>
            </w:r>
            <w:r w:rsidRPr="00150EDC">
              <w:rPr>
                <w:sz w:val="20"/>
              </w:rPr>
              <w:t>activity</w:t>
            </w:r>
            <w:r w:rsidRPr="00150EDC">
              <w:rPr>
                <w:spacing w:val="-4"/>
                <w:sz w:val="20"/>
              </w:rPr>
              <w:t xml:space="preserve"> </w:t>
            </w:r>
            <w:r w:rsidRPr="00150EDC">
              <w:rPr>
                <w:sz w:val="20"/>
              </w:rPr>
              <w:t>in</w:t>
            </w:r>
            <w:r w:rsidRPr="00150EDC">
              <w:rPr>
                <w:spacing w:val="-5"/>
                <w:sz w:val="20"/>
              </w:rPr>
              <w:t xml:space="preserve"> </w:t>
            </w:r>
            <w:r w:rsidRPr="00150EDC">
              <w:rPr>
                <w:sz w:val="20"/>
              </w:rPr>
              <w:t>the presence</w:t>
            </w:r>
            <w:r w:rsidRPr="00150EDC">
              <w:rPr>
                <w:spacing w:val="-5"/>
                <w:sz w:val="20"/>
              </w:rPr>
              <w:t xml:space="preserve"> </w:t>
            </w:r>
            <w:r w:rsidRPr="00150EDC">
              <w:rPr>
                <w:sz w:val="20"/>
              </w:rPr>
              <w:t>of</w:t>
            </w:r>
            <w:r w:rsidRPr="00150EDC">
              <w:rPr>
                <w:spacing w:val="1"/>
                <w:sz w:val="20"/>
              </w:rPr>
              <w:t xml:space="preserve"> </w:t>
            </w:r>
            <w:r w:rsidRPr="00150EDC">
              <w:rPr>
                <w:sz w:val="20"/>
              </w:rPr>
              <w:t>a</w:t>
            </w:r>
            <w:r w:rsidRPr="00150EDC">
              <w:rPr>
                <w:spacing w:val="-5"/>
                <w:sz w:val="20"/>
              </w:rPr>
              <w:t xml:space="preserve"> </w:t>
            </w:r>
            <w:r w:rsidRPr="00150EDC">
              <w:rPr>
                <w:spacing w:val="-4"/>
                <w:sz w:val="20"/>
              </w:rPr>
              <w:t>child</w:t>
            </w:r>
          </w:p>
        </w:tc>
      </w:tr>
      <w:tr w:rsidR="004569EE" w:rsidRPr="007D3144" w14:paraId="401CCD0B" w14:textId="77777777">
        <w:trPr>
          <w:trHeight w:val="255"/>
        </w:trPr>
        <w:tc>
          <w:tcPr>
            <w:tcW w:w="6517" w:type="dxa"/>
          </w:tcPr>
          <w:p w14:paraId="12D640E8"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2"/>
                <w:sz w:val="20"/>
              </w:rPr>
              <w:t xml:space="preserve"> </w:t>
            </w:r>
            <w:r w:rsidRPr="00150EDC">
              <w:rPr>
                <w:sz w:val="20"/>
              </w:rPr>
              <w:t>(Northern</w:t>
            </w:r>
            <w:r w:rsidRPr="00150EDC">
              <w:rPr>
                <w:spacing w:val="-7"/>
                <w:sz w:val="20"/>
              </w:rPr>
              <w:t xml:space="preserve"> </w:t>
            </w:r>
            <w:r w:rsidRPr="00150EDC">
              <w:rPr>
                <w:sz w:val="20"/>
              </w:rPr>
              <w:t>Ireland)</w:t>
            </w:r>
            <w:r w:rsidRPr="00150EDC">
              <w:rPr>
                <w:spacing w:val="-4"/>
                <w:sz w:val="20"/>
              </w:rPr>
              <w:t xml:space="preserve"> </w:t>
            </w:r>
            <w:r w:rsidRPr="00150EDC">
              <w:rPr>
                <w:sz w:val="20"/>
              </w:rPr>
              <w:t>Order</w:t>
            </w:r>
            <w:r w:rsidRPr="00150EDC">
              <w:rPr>
                <w:spacing w:val="-8"/>
                <w:sz w:val="20"/>
              </w:rPr>
              <w:t xml:space="preserve"> </w:t>
            </w:r>
            <w:r w:rsidRPr="00150EDC">
              <w:rPr>
                <w:sz w:val="20"/>
              </w:rPr>
              <w:t>2008,</w:t>
            </w:r>
            <w:r w:rsidRPr="00150EDC">
              <w:rPr>
                <w:spacing w:val="-7"/>
                <w:sz w:val="20"/>
              </w:rPr>
              <w:t xml:space="preserve"> </w:t>
            </w:r>
            <w:r w:rsidRPr="00150EDC">
              <w:rPr>
                <w:sz w:val="20"/>
              </w:rPr>
              <w:t>Art</w:t>
            </w:r>
            <w:r w:rsidRPr="00150EDC">
              <w:rPr>
                <w:spacing w:val="-7"/>
                <w:sz w:val="20"/>
              </w:rPr>
              <w:t xml:space="preserve"> </w:t>
            </w:r>
            <w:r w:rsidRPr="00150EDC">
              <w:rPr>
                <w:spacing w:val="-5"/>
                <w:sz w:val="20"/>
              </w:rPr>
              <w:t>19</w:t>
            </w:r>
          </w:p>
        </w:tc>
        <w:tc>
          <w:tcPr>
            <w:tcW w:w="7427" w:type="dxa"/>
          </w:tcPr>
          <w:p w14:paraId="4084C23F" w14:textId="77777777" w:rsidR="004C7180" w:rsidRPr="00150EDC" w:rsidRDefault="00CF0754">
            <w:pPr>
              <w:pStyle w:val="TableParagraph"/>
              <w:rPr>
                <w:sz w:val="20"/>
              </w:rPr>
            </w:pPr>
            <w:r w:rsidRPr="00150EDC">
              <w:rPr>
                <w:sz w:val="20"/>
              </w:rPr>
              <w:t>Causing</w:t>
            </w:r>
            <w:r w:rsidRPr="00150EDC">
              <w:rPr>
                <w:spacing w:val="-5"/>
                <w:sz w:val="20"/>
              </w:rPr>
              <w:t xml:space="preserve"> </w:t>
            </w:r>
            <w:r w:rsidRPr="00150EDC">
              <w:rPr>
                <w:sz w:val="20"/>
              </w:rPr>
              <w:t>a</w:t>
            </w:r>
            <w:r w:rsidRPr="00150EDC">
              <w:rPr>
                <w:spacing w:val="-4"/>
                <w:sz w:val="20"/>
              </w:rPr>
              <w:t xml:space="preserve"> </w:t>
            </w:r>
            <w:r w:rsidRPr="00150EDC">
              <w:rPr>
                <w:sz w:val="20"/>
              </w:rPr>
              <w:t>child to</w:t>
            </w:r>
            <w:r w:rsidRPr="00150EDC">
              <w:rPr>
                <w:spacing w:val="-4"/>
                <w:sz w:val="20"/>
              </w:rPr>
              <w:t xml:space="preserve"> </w:t>
            </w:r>
            <w:r w:rsidRPr="00150EDC">
              <w:rPr>
                <w:sz w:val="20"/>
              </w:rPr>
              <w:t>watch</w:t>
            </w:r>
            <w:r w:rsidRPr="00150EDC">
              <w:rPr>
                <w:spacing w:val="-4"/>
                <w:sz w:val="20"/>
              </w:rPr>
              <w:t xml:space="preserve"> </w:t>
            </w:r>
            <w:r w:rsidRPr="00150EDC">
              <w:rPr>
                <w:sz w:val="20"/>
              </w:rPr>
              <w:t>a</w:t>
            </w:r>
            <w:r w:rsidRPr="00150EDC">
              <w:rPr>
                <w:spacing w:val="-4"/>
                <w:sz w:val="20"/>
              </w:rPr>
              <w:t xml:space="preserve"> </w:t>
            </w:r>
            <w:r w:rsidRPr="00150EDC">
              <w:rPr>
                <w:sz w:val="20"/>
              </w:rPr>
              <w:t>sexual</w:t>
            </w:r>
            <w:r w:rsidRPr="00150EDC">
              <w:rPr>
                <w:spacing w:val="-2"/>
                <w:sz w:val="20"/>
              </w:rPr>
              <w:t xml:space="preserve"> </w:t>
            </w:r>
            <w:r w:rsidRPr="00150EDC">
              <w:rPr>
                <w:spacing w:val="-5"/>
                <w:sz w:val="20"/>
              </w:rPr>
              <w:t>act</w:t>
            </w:r>
          </w:p>
        </w:tc>
      </w:tr>
      <w:tr w:rsidR="004569EE" w:rsidRPr="007D3144" w14:paraId="5BD329BD" w14:textId="77777777">
        <w:trPr>
          <w:trHeight w:val="255"/>
        </w:trPr>
        <w:tc>
          <w:tcPr>
            <w:tcW w:w="6517" w:type="dxa"/>
          </w:tcPr>
          <w:p w14:paraId="2BF2F6E3"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2"/>
                <w:sz w:val="20"/>
              </w:rPr>
              <w:t xml:space="preserve"> </w:t>
            </w:r>
            <w:r w:rsidRPr="00150EDC">
              <w:rPr>
                <w:sz w:val="20"/>
              </w:rPr>
              <w:t>(Northern</w:t>
            </w:r>
            <w:r w:rsidRPr="00150EDC">
              <w:rPr>
                <w:spacing w:val="-7"/>
                <w:sz w:val="20"/>
              </w:rPr>
              <w:t xml:space="preserve"> </w:t>
            </w:r>
            <w:r w:rsidRPr="00150EDC">
              <w:rPr>
                <w:sz w:val="20"/>
              </w:rPr>
              <w:t>Ireland)</w:t>
            </w:r>
            <w:r w:rsidRPr="00150EDC">
              <w:rPr>
                <w:spacing w:val="-4"/>
                <w:sz w:val="20"/>
              </w:rPr>
              <w:t xml:space="preserve"> </w:t>
            </w:r>
            <w:r w:rsidRPr="00150EDC">
              <w:rPr>
                <w:sz w:val="20"/>
              </w:rPr>
              <w:t>Order</w:t>
            </w:r>
            <w:r w:rsidRPr="00150EDC">
              <w:rPr>
                <w:spacing w:val="-8"/>
                <w:sz w:val="20"/>
              </w:rPr>
              <w:t xml:space="preserve"> </w:t>
            </w:r>
            <w:r w:rsidRPr="00150EDC">
              <w:rPr>
                <w:sz w:val="20"/>
              </w:rPr>
              <w:t>2008,</w:t>
            </w:r>
            <w:r w:rsidRPr="00150EDC">
              <w:rPr>
                <w:spacing w:val="-7"/>
                <w:sz w:val="20"/>
              </w:rPr>
              <w:t xml:space="preserve"> </w:t>
            </w:r>
            <w:r w:rsidRPr="00150EDC">
              <w:rPr>
                <w:sz w:val="20"/>
              </w:rPr>
              <w:t>Art</w:t>
            </w:r>
            <w:r w:rsidRPr="00150EDC">
              <w:rPr>
                <w:spacing w:val="-7"/>
                <w:sz w:val="20"/>
              </w:rPr>
              <w:t xml:space="preserve"> </w:t>
            </w:r>
            <w:r w:rsidRPr="00150EDC">
              <w:rPr>
                <w:spacing w:val="-5"/>
                <w:sz w:val="20"/>
              </w:rPr>
              <w:t>20</w:t>
            </w:r>
          </w:p>
        </w:tc>
        <w:tc>
          <w:tcPr>
            <w:tcW w:w="7427" w:type="dxa"/>
          </w:tcPr>
          <w:p w14:paraId="22F63EC7"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5"/>
                <w:sz w:val="20"/>
              </w:rPr>
              <w:t xml:space="preserve"> </w:t>
            </w:r>
            <w:r w:rsidRPr="00150EDC">
              <w:rPr>
                <w:sz w:val="20"/>
              </w:rPr>
              <w:t>against</w:t>
            </w:r>
            <w:r w:rsidRPr="00150EDC">
              <w:rPr>
                <w:spacing w:val="-4"/>
                <w:sz w:val="20"/>
              </w:rPr>
              <w:t xml:space="preserve"> </w:t>
            </w:r>
            <w:r w:rsidRPr="00150EDC">
              <w:rPr>
                <w:sz w:val="20"/>
              </w:rPr>
              <w:t>children</w:t>
            </w:r>
            <w:r w:rsidRPr="00150EDC">
              <w:rPr>
                <w:spacing w:val="-6"/>
                <w:sz w:val="20"/>
              </w:rPr>
              <w:t xml:space="preserve"> </w:t>
            </w:r>
            <w:r w:rsidRPr="00150EDC">
              <w:rPr>
                <w:sz w:val="20"/>
              </w:rPr>
              <w:t>committed</w:t>
            </w:r>
            <w:r w:rsidRPr="00150EDC">
              <w:rPr>
                <w:spacing w:val="-5"/>
                <w:sz w:val="20"/>
              </w:rPr>
              <w:t xml:space="preserve"> </w:t>
            </w:r>
            <w:r w:rsidRPr="00150EDC">
              <w:rPr>
                <w:sz w:val="20"/>
              </w:rPr>
              <w:t>by</w:t>
            </w:r>
            <w:r w:rsidRPr="00150EDC">
              <w:rPr>
                <w:spacing w:val="-5"/>
                <w:sz w:val="20"/>
              </w:rPr>
              <w:t xml:space="preserve"> </w:t>
            </w:r>
            <w:r w:rsidRPr="00150EDC">
              <w:rPr>
                <w:sz w:val="20"/>
              </w:rPr>
              <w:t>children</w:t>
            </w:r>
            <w:r w:rsidRPr="00150EDC">
              <w:rPr>
                <w:spacing w:val="-5"/>
                <w:sz w:val="20"/>
              </w:rPr>
              <w:t xml:space="preserve"> </w:t>
            </w:r>
            <w:r w:rsidRPr="00150EDC">
              <w:rPr>
                <w:sz w:val="20"/>
              </w:rPr>
              <w:t>or</w:t>
            </w:r>
            <w:r w:rsidRPr="00150EDC">
              <w:rPr>
                <w:spacing w:val="-1"/>
                <w:sz w:val="20"/>
              </w:rPr>
              <w:t xml:space="preserve"> </w:t>
            </w:r>
            <w:r w:rsidRPr="00150EDC">
              <w:rPr>
                <w:sz w:val="20"/>
              </w:rPr>
              <w:t>young</w:t>
            </w:r>
            <w:r w:rsidRPr="00150EDC">
              <w:rPr>
                <w:spacing w:val="-5"/>
                <w:sz w:val="20"/>
              </w:rPr>
              <w:t xml:space="preserve"> </w:t>
            </w:r>
            <w:r w:rsidRPr="00150EDC">
              <w:rPr>
                <w:spacing w:val="-2"/>
                <w:sz w:val="20"/>
              </w:rPr>
              <w:t>persons</w:t>
            </w:r>
          </w:p>
        </w:tc>
      </w:tr>
      <w:tr w:rsidR="004569EE" w:rsidRPr="007D3144" w14:paraId="191AAF8F" w14:textId="77777777">
        <w:trPr>
          <w:trHeight w:val="255"/>
        </w:trPr>
        <w:tc>
          <w:tcPr>
            <w:tcW w:w="6517" w:type="dxa"/>
          </w:tcPr>
          <w:p w14:paraId="4EF52282" w14:textId="77777777" w:rsidR="004C7180" w:rsidRPr="00150EDC" w:rsidRDefault="00CF0754">
            <w:pPr>
              <w:pStyle w:val="TableParagraph"/>
              <w:spacing w:before="28"/>
              <w:rPr>
                <w:sz w:val="20"/>
              </w:rPr>
            </w:pPr>
            <w:r w:rsidRPr="00150EDC">
              <w:rPr>
                <w:sz w:val="20"/>
              </w:rPr>
              <w:t>Sexual</w:t>
            </w:r>
            <w:r w:rsidRPr="00150EDC">
              <w:rPr>
                <w:spacing w:val="-6"/>
                <w:sz w:val="20"/>
              </w:rPr>
              <w:t xml:space="preserve"> </w:t>
            </w:r>
            <w:r w:rsidRPr="00150EDC">
              <w:rPr>
                <w:sz w:val="20"/>
              </w:rPr>
              <w:t>Offences</w:t>
            </w:r>
            <w:r w:rsidRPr="00150EDC">
              <w:rPr>
                <w:spacing w:val="-2"/>
                <w:sz w:val="20"/>
              </w:rPr>
              <w:t xml:space="preserve"> </w:t>
            </w:r>
            <w:r w:rsidRPr="00150EDC">
              <w:rPr>
                <w:sz w:val="20"/>
              </w:rPr>
              <w:t>(Northern</w:t>
            </w:r>
            <w:r w:rsidRPr="00150EDC">
              <w:rPr>
                <w:spacing w:val="-7"/>
                <w:sz w:val="20"/>
              </w:rPr>
              <w:t xml:space="preserve"> </w:t>
            </w:r>
            <w:r w:rsidRPr="00150EDC">
              <w:rPr>
                <w:sz w:val="20"/>
              </w:rPr>
              <w:t>Ireland)</w:t>
            </w:r>
            <w:r w:rsidRPr="00150EDC">
              <w:rPr>
                <w:spacing w:val="-4"/>
                <w:sz w:val="20"/>
              </w:rPr>
              <w:t xml:space="preserve"> </w:t>
            </w:r>
            <w:r w:rsidRPr="00150EDC">
              <w:rPr>
                <w:sz w:val="20"/>
              </w:rPr>
              <w:t>Order</w:t>
            </w:r>
            <w:r w:rsidRPr="00150EDC">
              <w:rPr>
                <w:spacing w:val="-8"/>
                <w:sz w:val="20"/>
              </w:rPr>
              <w:t xml:space="preserve"> </w:t>
            </w:r>
            <w:r w:rsidRPr="00150EDC">
              <w:rPr>
                <w:sz w:val="20"/>
              </w:rPr>
              <w:t>2008,</w:t>
            </w:r>
            <w:r w:rsidRPr="00150EDC">
              <w:rPr>
                <w:spacing w:val="-7"/>
                <w:sz w:val="20"/>
              </w:rPr>
              <w:t xml:space="preserve"> </w:t>
            </w:r>
            <w:r w:rsidRPr="00150EDC">
              <w:rPr>
                <w:sz w:val="20"/>
              </w:rPr>
              <w:t>Art</w:t>
            </w:r>
            <w:r w:rsidRPr="00150EDC">
              <w:rPr>
                <w:spacing w:val="-7"/>
                <w:sz w:val="20"/>
              </w:rPr>
              <w:t xml:space="preserve"> </w:t>
            </w:r>
            <w:r w:rsidRPr="00150EDC">
              <w:rPr>
                <w:spacing w:val="-5"/>
                <w:sz w:val="20"/>
              </w:rPr>
              <w:t>21</w:t>
            </w:r>
          </w:p>
        </w:tc>
        <w:tc>
          <w:tcPr>
            <w:tcW w:w="7427" w:type="dxa"/>
          </w:tcPr>
          <w:p w14:paraId="2D39AFD1" w14:textId="77777777" w:rsidR="004C7180" w:rsidRPr="00150EDC" w:rsidRDefault="00CF0754">
            <w:pPr>
              <w:pStyle w:val="TableParagraph"/>
              <w:spacing w:before="28"/>
              <w:rPr>
                <w:sz w:val="20"/>
              </w:rPr>
            </w:pPr>
            <w:r w:rsidRPr="00150EDC">
              <w:rPr>
                <w:sz w:val="20"/>
              </w:rPr>
              <w:t>Arranging or</w:t>
            </w:r>
            <w:r w:rsidRPr="00150EDC">
              <w:rPr>
                <w:spacing w:val="-5"/>
                <w:sz w:val="20"/>
              </w:rPr>
              <w:t xml:space="preserve"> </w:t>
            </w:r>
            <w:r w:rsidRPr="00150EDC">
              <w:rPr>
                <w:sz w:val="20"/>
              </w:rPr>
              <w:t>facilitating</w:t>
            </w:r>
            <w:r w:rsidRPr="00150EDC">
              <w:rPr>
                <w:spacing w:val="-5"/>
                <w:sz w:val="20"/>
              </w:rPr>
              <w:t xml:space="preserve"> </w:t>
            </w:r>
            <w:r w:rsidRPr="00150EDC">
              <w:rPr>
                <w:sz w:val="20"/>
              </w:rPr>
              <w:t>commission of</w:t>
            </w:r>
            <w:r w:rsidRPr="00150EDC">
              <w:rPr>
                <w:spacing w:val="-5"/>
                <w:sz w:val="20"/>
              </w:rPr>
              <w:t xml:space="preserve"> </w:t>
            </w:r>
            <w:r w:rsidRPr="00150EDC">
              <w:rPr>
                <w:sz w:val="20"/>
              </w:rPr>
              <w:t>a</w:t>
            </w:r>
            <w:r w:rsidRPr="00150EDC">
              <w:rPr>
                <w:spacing w:val="-4"/>
                <w:sz w:val="20"/>
              </w:rPr>
              <w:t xml:space="preserve"> </w:t>
            </w:r>
            <w:r w:rsidRPr="00150EDC">
              <w:rPr>
                <w:sz w:val="20"/>
              </w:rPr>
              <w:t>sex</w:t>
            </w:r>
            <w:r w:rsidRPr="00150EDC">
              <w:rPr>
                <w:spacing w:val="-4"/>
                <w:sz w:val="20"/>
              </w:rPr>
              <w:t xml:space="preserve"> </w:t>
            </w:r>
            <w:r w:rsidRPr="00150EDC">
              <w:rPr>
                <w:sz w:val="20"/>
              </w:rPr>
              <w:t>offence</w:t>
            </w:r>
            <w:r w:rsidRPr="00150EDC">
              <w:rPr>
                <w:spacing w:val="-5"/>
                <w:sz w:val="20"/>
              </w:rPr>
              <w:t xml:space="preserve"> </w:t>
            </w:r>
            <w:r w:rsidRPr="00150EDC">
              <w:rPr>
                <w:sz w:val="20"/>
              </w:rPr>
              <w:t>against</w:t>
            </w:r>
            <w:r w:rsidRPr="00150EDC">
              <w:rPr>
                <w:spacing w:val="-4"/>
                <w:sz w:val="20"/>
              </w:rPr>
              <w:t xml:space="preserve"> </w:t>
            </w:r>
            <w:r w:rsidRPr="00150EDC">
              <w:rPr>
                <w:sz w:val="20"/>
              </w:rPr>
              <w:t>a</w:t>
            </w:r>
            <w:r w:rsidRPr="00150EDC">
              <w:rPr>
                <w:spacing w:val="-1"/>
                <w:sz w:val="20"/>
              </w:rPr>
              <w:t xml:space="preserve"> </w:t>
            </w:r>
            <w:r w:rsidRPr="00150EDC">
              <w:rPr>
                <w:spacing w:val="-2"/>
                <w:sz w:val="20"/>
              </w:rPr>
              <w:t>child</w:t>
            </w:r>
          </w:p>
        </w:tc>
      </w:tr>
    </w:tbl>
    <w:p w14:paraId="2FCDB121" w14:textId="77777777" w:rsidR="004C7180" w:rsidRPr="00150EDC" w:rsidRDefault="004C7180">
      <w:pPr>
        <w:rPr>
          <w:sz w:val="20"/>
        </w:rPr>
        <w:sectPr w:rsidR="004C7180" w:rsidRPr="00150EDC">
          <w:footerReference w:type="default" r:id="rId144"/>
          <w:pgSz w:w="16840" w:h="11910" w:orient="landscape"/>
          <w:pgMar w:top="1340" w:right="1320" w:bottom="280" w:left="1340" w:header="0" w:footer="0" w:gutter="0"/>
          <w:cols w:space="720"/>
        </w:sectPr>
      </w:pPr>
    </w:p>
    <w:p w14:paraId="011110F7" w14:textId="77777777" w:rsidR="004C7180" w:rsidRPr="00150EDC" w:rsidRDefault="004C7180">
      <w:pPr>
        <w:pStyle w:val="BodyText"/>
        <w:spacing w:before="3"/>
        <w:rPr>
          <w:sz w:val="8"/>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517"/>
        <w:gridCol w:w="7427"/>
      </w:tblGrid>
      <w:tr w:rsidR="004569EE" w:rsidRPr="007D3144" w14:paraId="43577DF4" w14:textId="77777777">
        <w:trPr>
          <w:trHeight w:val="254"/>
        </w:trPr>
        <w:tc>
          <w:tcPr>
            <w:tcW w:w="6517" w:type="dxa"/>
          </w:tcPr>
          <w:p w14:paraId="06C47C45"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2"/>
                <w:sz w:val="20"/>
              </w:rPr>
              <w:t xml:space="preserve"> </w:t>
            </w:r>
            <w:r w:rsidRPr="00150EDC">
              <w:rPr>
                <w:sz w:val="20"/>
              </w:rPr>
              <w:t>(Northern</w:t>
            </w:r>
            <w:r w:rsidRPr="00150EDC">
              <w:rPr>
                <w:spacing w:val="-7"/>
                <w:sz w:val="20"/>
              </w:rPr>
              <w:t xml:space="preserve"> </w:t>
            </w:r>
            <w:r w:rsidRPr="00150EDC">
              <w:rPr>
                <w:sz w:val="20"/>
              </w:rPr>
              <w:t>Ireland)</w:t>
            </w:r>
            <w:r w:rsidRPr="00150EDC">
              <w:rPr>
                <w:spacing w:val="-4"/>
                <w:sz w:val="20"/>
              </w:rPr>
              <w:t xml:space="preserve"> </w:t>
            </w:r>
            <w:r w:rsidRPr="00150EDC">
              <w:rPr>
                <w:sz w:val="20"/>
              </w:rPr>
              <w:t>Order</w:t>
            </w:r>
            <w:r w:rsidRPr="00150EDC">
              <w:rPr>
                <w:spacing w:val="-8"/>
                <w:sz w:val="20"/>
              </w:rPr>
              <w:t xml:space="preserve"> </w:t>
            </w:r>
            <w:r w:rsidRPr="00150EDC">
              <w:rPr>
                <w:sz w:val="20"/>
              </w:rPr>
              <w:t>2008,</w:t>
            </w:r>
            <w:r w:rsidRPr="00150EDC">
              <w:rPr>
                <w:spacing w:val="-7"/>
                <w:sz w:val="20"/>
              </w:rPr>
              <w:t xml:space="preserve"> </w:t>
            </w:r>
            <w:r w:rsidRPr="00150EDC">
              <w:rPr>
                <w:sz w:val="20"/>
              </w:rPr>
              <w:t>Art</w:t>
            </w:r>
            <w:r w:rsidRPr="00150EDC">
              <w:rPr>
                <w:spacing w:val="-7"/>
                <w:sz w:val="20"/>
              </w:rPr>
              <w:t xml:space="preserve"> </w:t>
            </w:r>
            <w:r w:rsidRPr="00150EDC">
              <w:rPr>
                <w:spacing w:val="-5"/>
                <w:sz w:val="20"/>
              </w:rPr>
              <w:t>22</w:t>
            </w:r>
          </w:p>
        </w:tc>
        <w:tc>
          <w:tcPr>
            <w:tcW w:w="7427" w:type="dxa"/>
          </w:tcPr>
          <w:p w14:paraId="3AE020CF" w14:textId="77777777" w:rsidR="004C7180" w:rsidRPr="00150EDC" w:rsidRDefault="00CF0754">
            <w:pPr>
              <w:pStyle w:val="TableParagraph"/>
              <w:rPr>
                <w:sz w:val="20"/>
              </w:rPr>
            </w:pPr>
            <w:r w:rsidRPr="00150EDC">
              <w:rPr>
                <w:sz w:val="20"/>
              </w:rPr>
              <w:t>Meeting</w:t>
            </w:r>
            <w:r w:rsidRPr="00150EDC">
              <w:rPr>
                <w:spacing w:val="-9"/>
                <w:sz w:val="20"/>
              </w:rPr>
              <w:t xml:space="preserve"> </w:t>
            </w:r>
            <w:r w:rsidRPr="00150EDC">
              <w:rPr>
                <w:sz w:val="20"/>
              </w:rPr>
              <w:t>a</w:t>
            </w:r>
            <w:r w:rsidRPr="00150EDC">
              <w:rPr>
                <w:spacing w:val="-13"/>
                <w:sz w:val="20"/>
              </w:rPr>
              <w:t xml:space="preserve"> </w:t>
            </w:r>
            <w:r w:rsidRPr="00150EDC">
              <w:rPr>
                <w:sz w:val="20"/>
              </w:rPr>
              <w:t>child</w:t>
            </w:r>
            <w:r w:rsidRPr="00150EDC">
              <w:rPr>
                <w:spacing w:val="-12"/>
                <w:sz w:val="20"/>
              </w:rPr>
              <w:t xml:space="preserve"> </w:t>
            </w:r>
            <w:r w:rsidRPr="00150EDC">
              <w:rPr>
                <w:sz w:val="20"/>
              </w:rPr>
              <w:t>following</w:t>
            </w:r>
            <w:r w:rsidRPr="00150EDC">
              <w:rPr>
                <w:spacing w:val="-13"/>
                <w:sz w:val="20"/>
              </w:rPr>
              <w:t xml:space="preserve"> </w:t>
            </w:r>
            <w:r w:rsidRPr="00150EDC">
              <w:rPr>
                <w:sz w:val="20"/>
              </w:rPr>
              <w:t>sexual</w:t>
            </w:r>
            <w:r w:rsidRPr="00150EDC">
              <w:rPr>
                <w:spacing w:val="-11"/>
                <w:sz w:val="20"/>
              </w:rPr>
              <w:t xml:space="preserve"> </w:t>
            </w:r>
            <w:r w:rsidRPr="00150EDC">
              <w:rPr>
                <w:sz w:val="20"/>
              </w:rPr>
              <w:t>grooming</w:t>
            </w:r>
            <w:r w:rsidRPr="00150EDC">
              <w:rPr>
                <w:spacing w:val="-8"/>
                <w:sz w:val="20"/>
              </w:rPr>
              <w:t xml:space="preserve"> </w:t>
            </w:r>
            <w:r w:rsidRPr="00150EDC">
              <w:rPr>
                <w:spacing w:val="-4"/>
                <w:sz w:val="20"/>
              </w:rPr>
              <w:t>etc.</w:t>
            </w:r>
          </w:p>
        </w:tc>
      </w:tr>
      <w:tr w:rsidR="004569EE" w:rsidRPr="007D3144" w14:paraId="76B130CC" w14:textId="77777777">
        <w:trPr>
          <w:trHeight w:val="255"/>
        </w:trPr>
        <w:tc>
          <w:tcPr>
            <w:tcW w:w="6517" w:type="dxa"/>
          </w:tcPr>
          <w:p w14:paraId="0E87C638" w14:textId="77777777" w:rsidR="004C7180" w:rsidRPr="00150EDC" w:rsidRDefault="00CF0754">
            <w:pPr>
              <w:pStyle w:val="TableParagraph"/>
              <w:spacing w:before="28"/>
              <w:rPr>
                <w:sz w:val="20"/>
              </w:rPr>
            </w:pPr>
            <w:r w:rsidRPr="00150EDC">
              <w:rPr>
                <w:sz w:val="20"/>
              </w:rPr>
              <w:t>Sexual</w:t>
            </w:r>
            <w:r w:rsidRPr="00150EDC">
              <w:rPr>
                <w:spacing w:val="-6"/>
                <w:sz w:val="20"/>
              </w:rPr>
              <w:t xml:space="preserve"> </w:t>
            </w:r>
            <w:r w:rsidRPr="00150EDC">
              <w:rPr>
                <w:sz w:val="20"/>
              </w:rPr>
              <w:t>Offences</w:t>
            </w:r>
            <w:r w:rsidRPr="00150EDC">
              <w:rPr>
                <w:spacing w:val="-2"/>
                <w:sz w:val="20"/>
              </w:rPr>
              <w:t xml:space="preserve"> </w:t>
            </w:r>
            <w:r w:rsidRPr="00150EDC">
              <w:rPr>
                <w:sz w:val="20"/>
              </w:rPr>
              <w:t>(Northern</w:t>
            </w:r>
            <w:r w:rsidRPr="00150EDC">
              <w:rPr>
                <w:spacing w:val="-7"/>
                <w:sz w:val="20"/>
              </w:rPr>
              <w:t xml:space="preserve"> </w:t>
            </w:r>
            <w:r w:rsidRPr="00150EDC">
              <w:rPr>
                <w:sz w:val="20"/>
              </w:rPr>
              <w:t>Ireland)</w:t>
            </w:r>
            <w:r w:rsidRPr="00150EDC">
              <w:rPr>
                <w:spacing w:val="-4"/>
                <w:sz w:val="20"/>
              </w:rPr>
              <w:t xml:space="preserve"> </w:t>
            </w:r>
            <w:r w:rsidRPr="00150EDC">
              <w:rPr>
                <w:sz w:val="20"/>
              </w:rPr>
              <w:t>Order</w:t>
            </w:r>
            <w:r w:rsidRPr="00150EDC">
              <w:rPr>
                <w:spacing w:val="-8"/>
                <w:sz w:val="20"/>
              </w:rPr>
              <w:t xml:space="preserve"> </w:t>
            </w:r>
            <w:r w:rsidRPr="00150EDC">
              <w:rPr>
                <w:sz w:val="20"/>
              </w:rPr>
              <w:t>2008,</w:t>
            </w:r>
            <w:r w:rsidRPr="00150EDC">
              <w:rPr>
                <w:spacing w:val="-7"/>
                <w:sz w:val="20"/>
              </w:rPr>
              <w:t xml:space="preserve"> </w:t>
            </w:r>
            <w:r w:rsidRPr="00150EDC">
              <w:rPr>
                <w:sz w:val="20"/>
              </w:rPr>
              <w:t>Art</w:t>
            </w:r>
            <w:r w:rsidRPr="00150EDC">
              <w:rPr>
                <w:spacing w:val="-7"/>
                <w:sz w:val="20"/>
              </w:rPr>
              <w:t xml:space="preserve"> </w:t>
            </w:r>
            <w:r w:rsidRPr="00150EDC">
              <w:rPr>
                <w:spacing w:val="-5"/>
                <w:sz w:val="20"/>
              </w:rPr>
              <w:t>23</w:t>
            </w:r>
          </w:p>
        </w:tc>
        <w:tc>
          <w:tcPr>
            <w:tcW w:w="7427" w:type="dxa"/>
          </w:tcPr>
          <w:p w14:paraId="09CC1E40" w14:textId="77777777" w:rsidR="004C7180" w:rsidRPr="00150EDC" w:rsidRDefault="00CF0754">
            <w:pPr>
              <w:pStyle w:val="TableParagraph"/>
              <w:spacing w:before="28"/>
              <w:rPr>
                <w:sz w:val="20"/>
              </w:rPr>
            </w:pPr>
            <w:r w:rsidRPr="00150EDC">
              <w:rPr>
                <w:sz w:val="20"/>
              </w:rPr>
              <w:t>Abuse</w:t>
            </w:r>
            <w:r w:rsidRPr="00150EDC">
              <w:rPr>
                <w:spacing w:val="-5"/>
                <w:sz w:val="20"/>
              </w:rPr>
              <w:t xml:space="preserve"> </w:t>
            </w:r>
            <w:r w:rsidRPr="00150EDC">
              <w:rPr>
                <w:sz w:val="20"/>
              </w:rPr>
              <w:t>of</w:t>
            </w:r>
            <w:r w:rsidRPr="00150EDC">
              <w:rPr>
                <w:spacing w:val="-5"/>
                <w:sz w:val="20"/>
              </w:rPr>
              <w:t xml:space="preserve"> </w:t>
            </w:r>
            <w:r w:rsidRPr="00150EDC">
              <w:rPr>
                <w:sz w:val="20"/>
              </w:rPr>
              <w:t>position</w:t>
            </w:r>
            <w:r w:rsidRPr="00150EDC">
              <w:rPr>
                <w:spacing w:val="-4"/>
                <w:sz w:val="20"/>
              </w:rPr>
              <w:t xml:space="preserve"> </w:t>
            </w:r>
            <w:r w:rsidRPr="00150EDC">
              <w:rPr>
                <w:sz w:val="20"/>
              </w:rPr>
              <w:t>of trust:</w:t>
            </w:r>
            <w:r w:rsidRPr="00150EDC">
              <w:rPr>
                <w:spacing w:val="-5"/>
                <w:sz w:val="20"/>
              </w:rPr>
              <w:t xml:space="preserve"> </w:t>
            </w:r>
            <w:r w:rsidRPr="00150EDC">
              <w:rPr>
                <w:sz w:val="20"/>
              </w:rPr>
              <w:t>sexual</w:t>
            </w:r>
            <w:r w:rsidRPr="00150EDC">
              <w:rPr>
                <w:spacing w:val="-3"/>
                <w:sz w:val="20"/>
              </w:rPr>
              <w:t xml:space="preserve"> </w:t>
            </w:r>
            <w:r w:rsidRPr="00150EDC">
              <w:rPr>
                <w:sz w:val="20"/>
              </w:rPr>
              <w:t>activity</w:t>
            </w:r>
            <w:r w:rsidRPr="00150EDC">
              <w:rPr>
                <w:spacing w:val="-3"/>
                <w:sz w:val="20"/>
              </w:rPr>
              <w:t xml:space="preserve"> </w:t>
            </w:r>
            <w:r w:rsidRPr="00150EDC">
              <w:rPr>
                <w:sz w:val="20"/>
              </w:rPr>
              <w:t>with</w:t>
            </w:r>
            <w:r w:rsidRPr="00150EDC">
              <w:rPr>
                <w:spacing w:val="-5"/>
                <w:sz w:val="20"/>
              </w:rPr>
              <w:t xml:space="preserve"> </w:t>
            </w:r>
            <w:r w:rsidRPr="00150EDC">
              <w:rPr>
                <w:sz w:val="20"/>
              </w:rPr>
              <w:t>a</w:t>
            </w:r>
            <w:r w:rsidRPr="00150EDC">
              <w:rPr>
                <w:spacing w:val="-4"/>
                <w:sz w:val="20"/>
              </w:rPr>
              <w:t xml:space="preserve"> child</w:t>
            </w:r>
          </w:p>
        </w:tc>
      </w:tr>
      <w:tr w:rsidR="004569EE" w:rsidRPr="007D3144" w14:paraId="7A51AF4E" w14:textId="77777777">
        <w:trPr>
          <w:trHeight w:val="255"/>
        </w:trPr>
        <w:tc>
          <w:tcPr>
            <w:tcW w:w="6517" w:type="dxa"/>
          </w:tcPr>
          <w:p w14:paraId="06AA011E"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2"/>
                <w:sz w:val="20"/>
              </w:rPr>
              <w:t xml:space="preserve"> </w:t>
            </w:r>
            <w:r w:rsidRPr="00150EDC">
              <w:rPr>
                <w:sz w:val="20"/>
              </w:rPr>
              <w:t>(Northern</w:t>
            </w:r>
            <w:r w:rsidRPr="00150EDC">
              <w:rPr>
                <w:spacing w:val="-7"/>
                <w:sz w:val="20"/>
              </w:rPr>
              <w:t xml:space="preserve"> </w:t>
            </w:r>
            <w:r w:rsidRPr="00150EDC">
              <w:rPr>
                <w:sz w:val="20"/>
              </w:rPr>
              <w:t>Ireland)</w:t>
            </w:r>
            <w:r w:rsidRPr="00150EDC">
              <w:rPr>
                <w:spacing w:val="-1"/>
                <w:sz w:val="20"/>
              </w:rPr>
              <w:t xml:space="preserve"> </w:t>
            </w:r>
            <w:r w:rsidRPr="00150EDC">
              <w:rPr>
                <w:sz w:val="20"/>
              </w:rPr>
              <w:t>Order</w:t>
            </w:r>
            <w:r w:rsidRPr="00150EDC">
              <w:rPr>
                <w:spacing w:val="-8"/>
                <w:sz w:val="20"/>
              </w:rPr>
              <w:t xml:space="preserve"> </w:t>
            </w:r>
            <w:r w:rsidRPr="00150EDC">
              <w:rPr>
                <w:sz w:val="20"/>
              </w:rPr>
              <w:t>2008,</w:t>
            </w:r>
            <w:r w:rsidRPr="00150EDC">
              <w:rPr>
                <w:spacing w:val="-7"/>
                <w:sz w:val="20"/>
              </w:rPr>
              <w:t xml:space="preserve"> </w:t>
            </w:r>
            <w:r w:rsidRPr="00150EDC">
              <w:rPr>
                <w:sz w:val="20"/>
              </w:rPr>
              <w:t>Art</w:t>
            </w:r>
            <w:r w:rsidRPr="00150EDC">
              <w:rPr>
                <w:spacing w:val="-7"/>
                <w:sz w:val="20"/>
              </w:rPr>
              <w:t xml:space="preserve"> 24</w:t>
            </w:r>
          </w:p>
        </w:tc>
        <w:tc>
          <w:tcPr>
            <w:tcW w:w="7427" w:type="dxa"/>
          </w:tcPr>
          <w:p w14:paraId="42F98AE1" w14:textId="77777777" w:rsidR="004C7180" w:rsidRPr="00150EDC" w:rsidRDefault="00CF0754">
            <w:pPr>
              <w:pStyle w:val="TableParagraph"/>
              <w:rPr>
                <w:sz w:val="20"/>
              </w:rPr>
            </w:pPr>
            <w:r w:rsidRPr="00150EDC">
              <w:rPr>
                <w:sz w:val="20"/>
              </w:rPr>
              <w:t>Abuse</w:t>
            </w:r>
            <w:r w:rsidRPr="00150EDC">
              <w:rPr>
                <w:spacing w:val="-7"/>
                <w:sz w:val="20"/>
              </w:rPr>
              <w:t xml:space="preserve"> </w:t>
            </w:r>
            <w:r w:rsidRPr="00150EDC">
              <w:rPr>
                <w:sz w:val="20"/>
              </w:rPr>
              <w:t>of</w:t>
            </w:r>
            <w:r w:rsidRPr="00150EDC">
              <w:rPr>
                <w:spacing w:val="-5"/>
                <w:sz w:val="20"/>
              </w:rPr>
              <w:t xml:space="preserve"> </w:t>
            </w:r>
            <w:r w:rsidRPr="00150EDC">
              <w:rPr>
                <w:sz w:val="20"/>
              </w:rPr>
              <w:t>position</w:t>
            </w:r>
            <w:r w:rsidRPr="00150EDC">
              <w:rPr>
                <w:spacing w:val="-5"/>
                <w:sz w:val="20"/>
              </w:rPr>
              <w:t xml:space="preserve"> </w:t>
            </w:r>
            <w:r w:rsidRPr="00150EDC">
              <w:rPr>
                <w:sz w:val="20"/>
              </w:rPr>
              <w:t>of trust:</w:t>
            </w:r>
            <w:r w:rsidRPr="00150EDC">
              <w:rPr>
                <w:spacing w:val="-5"/>
                <w:sz w:val="20"/>
              </w:rPr>
              <w:t xml:space="preserve"> </w:t>
            </w:r>
            <w:r w:rsidRPr="00150EDC">
              <w:rPr>
                <w:sz w:val="20"/>
              </w:rPr>
              <w:t>causing or</w:t>
            </w:r>
            <w:r w:rsidRPr="00150EDC">
              <w:rPr>
                <w:spacing w:val="-5"/>
                <w:sz w:val="20"/>
              </w:rPr>
              <w:t xml:space="preserve"> </w:t>
            </w:r>
            <w:r w:rsidRPr="00150EDC">
              <w:rPr>
                <w:sz w:val="20"/>
              </w:rPr>
              <w:t>inciting</w:t>
            </w:r>
            <w:r w:rsidRPr="00150EDC">
              <w:rPr>
                <w:spacing w:val="-5"/>
                <w:sz w:val="20"/>
              </w:rPr>
              <w:t xml:space="preserve"> </w:t>
            </w:r>
            <w:r w:rsidRPr="00150EDC">
              <w:rPr>
                <w:sz w:val="20"/>
              </w:rPr>
              <w:t>a</w:t>
            </w:r>
            <w:r w:rsidRPr="00150EDC">
              <w:rPr>
                <w:spacing w:val="-5"/>
                <w:sz w:val="20"/>
              </w:rPr>
              <w:t xml:space="preserve"> </w:t>
            </w:r>
            <w:r w:rsidRPr="00150EDC">
              <w:rPr>
                <w:sz w:val="20"/>
              </w:rPr>
              <w:t>child to</w:t>
            </w:r>
            <w:r w:rsidRPr="00150EDC">
              <w:rPr>
                <w:spacing w:val="-5"/>
                <w:sz w:val="20"/>
              </w:rPr>
              <w:t xml:space="preserve"> </w:t>
            </w:r>
            <w:r w:rsidRPr="00150EDC">
              <w:rPr>
                <w:sz w:val="20"/>
              </w:rPr>
              <w:t>engage</w:t>
            </w:r>
            <w:r w:rsidRPr="00150EDC">
              <w:rPr>
                <w:spacing w:val="-5"/>
                <w:sz w:val="20"/>
              </w:rPr>
              <w:t xml:space="preserve"> </w:t>
            </w:r>
            <w:r w:rsidRPr="00150EDC">
              <w:rPr>
                <w:sz w:val="20"/>
              </w:rPr>
              <w:t>in</w:t>
            </w:r>
            <w:r w:rsidRPr="00150EDC">
              <w:rPr>
                <w:spacing w:val="-5"/>
                <w:sz w:val="20"/>
              </w:rPr>
              <w:t xml:space="preserve"> </w:t>
            </w:r>
            <w:r w:rsidRPr="00150EDC">
              <w:rPr>
                <w:sz w:val="20"/>
              </w:rPr>
              <w:t>sexual</w:t>
            </w:r>
            <w:r w:rsidRPr="00150EDC">
              <w:rPr>
                <w:spacing w:val="-2"/>
                <w:sz w:val="20"/>
              </w:rPr>
              <w:t xml:space="preserve"> activity</w:t>
            </w:r>
          </w:p>
        </w:tc>
      </w:tr>
      <w:tr w:rsidR="004569EE" w:rsidRPr="007D3144" w14:paraId="451261CE" w14:textId="77777777">
        <w:trPr>
          <w:trHeight w:val="255"/>
        </w:trPr>
        <w:tc>
          <w:tcPr>
            <w:tcW w:w="6517" w:type="dxa"/>
          </w:tcPr>
          <w:p w14:paraId="2ABF2DD0"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2"/>
                <w:sz w:val="20"/>
              </w:rPr>
              <w:t xml:space="preserve"> </w:t>
            </w:r>
            <w:r w:rsidRPr="00150EDC">
              <w:rPr>
                <w:sz w:val="20"/>
              </w:rPr>
              <w:t>(Northern</w:t>
            </w:r>
            <w:r w:rsidRPr="00150EDC">
              <w:rPr>
                <w:spacing w:val="-7"/>
                <w:sz w:val="20"/>
              </w:rPr>
              <w:t xml:space="preserve"> </w:t>
            </w:r>
            <w:r w:rsidRPr="00150EDC">
              <w:rPr>
                <w:sz w:val="20"/>
              </w:rPr>
              <w:t>Ireland)</w:t>
            </w:r>
            <w:r w:rsidRPr="00150EDC">
              <w:rPr>
                <w:spacing w:val="-4"/>
                <w:sz w:val="20"/>
              </w:rPr>
              <w:t xml:space="preserve"> </w:t>
            </w:r>
            <w:r w:rsidRPr="00150EDC">
              <w:rPr>
                <w:sz w:val="20"/>
              </w:rPr>
              <w:t>Order</w:t>
            </w:r>
            <w:r w:rsidRPr="00150EDC">
              <w:rPr>
                <w:spacing w:val="-8"/>
                <w:sz w:val="20"/>
              </w:rPr>
              <w:t xml:space="preserve"> </w:t>
            </w:r>
            <w:r w:rsidRPr="00150EDC">
              <w:rPr>
                <w:sz w:val="20"/>
              </w:rPr>
              <w:t>2008,</w:t>
            </w:r>
            <w:r w:rsidRPr="00150EDC">
              <w:rPr>
                <w:spacing w:val="-7"/>
                <w:sz w:val="20"/>
              </w:rPr>
              <w:t xml:space="preserve"> </w:t>
            </w:r>
            <w:r w:rsidRPr="00150EDC">
              <w:rPr>
                <w:sz w:val="20"/>
              </w:rPr>
              <w:t>Art</w:t>
            </w:r>
            <w:r w:rsidRPr="00150EDC">
              <w:rPr>
                <w:spacing w:val="-7"/>
                <w:sz w:val="20"/>
              </w:rPr>
              <w:t xml:space="preserve"> </w:t>
            </w:r>
            <w:r w:rsidRPr="00150EDC">
              <w:rPr>
                <w:spacing w:val="-5"/>
                <w:sz w:val="20"/>
              </w:rPr>
              <w:t>25</w:t>
            </w:r>
          </w:p>
        </w:tc>
        <w:tc>
          <w:tcPr>
            <w:tcW w:w="7427" w:type="dxa"/>
          </w:tcPr>
          <w:p w14:paraId="034D3C63" w14:textId="77777777" w:rsidR="004C7180" w:rsidRPr="00150EDC" w:rsidRDefault="00CF0754">
            <w:pPr>
              <w:pStyle w:val="TableParagraph"/>
              <w:rPr>
                <w:sz w:val="20"/>
              </w:rPr>
            </w:pPr>
            <w:r w:rsidRPr="00150EDC">
              <w:rPr>
                <w:sz w:val="20"/>
              </w:rPr>
              <w:t>Abuse</w:t>
            </w:r>
            <w:r w:rsidRPr="00150EDC">
              <w:rPr>
                <w:spacing w:val="-7"/>
                <w:sz w:val="20"/>
              </w:rPr>
              <w:t xml:space="preserve"> </w:t>
            </w:r>
            <w:r w:rsidRPr="00150EDC">
              <w:rPr>
                <w:sz w:val="20"/>
              </w:rPr>
              <w:t>of</w:t>
            </w:r>
            <w:r w:rsidRPr="00150EDC">
              <w:rPr>
                <w:spacing w:val="-5"/>
                <w:sz w:val="20"/>
              </w:rPr>
              <w:t xml:space="preserve"> </w:t>
            </w:r>
            <w:r w:rsidRPr="00150EDC">
              <w:rPr>
                <w:sz w:val="20"/>
              </w:rPr>
              <w:t>position</w:t>
            </w:r>
            <w:r w:rsidRPr="00150EDC">
              <w:rPr>
                <w:spacing w:val="-5"/>
                <w:sz w:val="20"/>
              </w:rPr>
              <w:t xml:space="preserve"> </w:t>
            </w:r>
            <w:r w:rsidRPr="00150EDC">
              <w:rPr>
                <w:sz w:val="20"/>
              </w:rPr>
              <w:t>of trust:</w:t>
            </w:r>
            <w:r w:rsidRPr="00150EDC">
              <w:rPr>
                <w:spacing w:val="-5"/>
                <w:sz w:val="20"/>
              </w:rPr>
              <w:t xml:space="preserve"> </w:t>
            </w:r>
            <w:r w:rsidRPr="00150EDC">
              <w:rPr>
                <w:sz w:val="20"/>
              </w:rPr>
              <w:t>sexual</w:t>
            </w:r>
            <w:r w:rsidRPr="00150EDC">
              <w:rPr>
                <w:spacing w:val="-3"/>
                <w:sz w:val="20"/>
              </w:rPr>
              <w:t xml:space="preserve"> </w:t>
            </w:r>
            <w:r w:rsidRPr="00150EDC">
              <w:rPr>
                <w:sz w:val="20"/>
              </w:rPr>
              <w:t>activity</w:t>
            </w:r>
            <w:r w:rsidRPr="00150EDC">
              <w:rPr>
                <w:spacing w:val="-4"/>
                <w:sz w:val="20"/>
              </w:rPr>
              <w:t xml:space="preserve"> </w:t>
            </w:r>
            <w:r w:rsidRPr="00150EDC">
              <w:rPr>
                <w:sz w:val="20"/>
              </w:rPr>
              <w:t>in</w:t>
            </w:r>
            <w:r w:rsidRPr="00150EDC">
              <w:rPr>
                <w:spacing w:val="-5"/>
                <w:sz w:val="20"/>
              </w:rPr>
              <w:t xml:space="preserve"> </w:t>
            </w:r>
            <w:r w:rsidRPr="00150EDC">
              <w:rPr>
                <w:sz w:val="20"/>
              </w:rPr>
              <w:t>the presence</w:t>
            </w:r>
            <w:r w:rsidRPr="00150EDC">
              <w:rPr>
                <w:spacing w:val="-1"/>
                <w:sz w:val="20"/>
              </w:rPr>
              <w:t xml:space="preserve"> </w:t>
            </w:r>
            <w:r w:rsidRPr="00150EDC">
              <w:rPr>
                <w:sz w:val="20"/>
              </w:rPr>
              <w:t>of</w:t>
            </w:r>
            <w:r w:rsidRPr="00150EDC">
              <w:rPr>
                <w:spacing w:val="-5"/>
                <w:sz w:val="20"/>
              </w:rPr>
              <w:t xml:space="preserve"> </w:t>
            </w:r>
            <w:r w:rsidRPr="00150EDC">
              <w:rPr>
                <w:sz w:val="20"/>
              </w:rPr>
              <w:t>a</w:t>
            </w:r>
            <w:r w:rsidRPr="00150EDC">
              <w:rPr>
                <w:spacing w:val="-4"/>
                <w:sz w:val="20"/>
              </w:rPr>
              <w:t xml:space="preserve"> </w:t>
            </w:r>
            <w:r w:rsidRPr="00150EDC">
              <w:rPr>
                <w:spacing w:val="-2"/>
                <w:sz w:val="20"/>
              </w:rPr>
              <w:t>child</w:t>
            </w:r>
          </w:p>
        </w:tc>
      </w:tr>
      <w:tr w:rsidR="004569EE" w:rsidRPr="007D3144" w14:paraId="5E0E58A2" w14:textId="77777777">
        <w:trPr>
          <w:trHeight w:val="255"/>
        </w:trPr>
        <w:tc>
          <w:tcPr>
            <w:tcW w:w="6517" w:type="dxa"/>
          </w:tcPr>
          <w:p w14:paraId="6D3EEC62"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1"/>
                <w:sz w:val="20"/>
              </w:rPr>
              <w:t xml:space="preserve"> </w:t>
            </w:r>
            <w:r w:rsidRPr="00150EDC">
              <w:rPr>
                <w:sz w:val="20"/>
              </w:rPr>
              <w:t>(Northern</w:t>
            </w:r>
            <w:r w:rsidRPr="00150EDC">
              <w:rPr>
                <w:spacing w:val="-7"/>
                <w:sz w:val="20"/>
              </w:rPr>
              <w:t xml:space="preserve"> </w:t>
            </w:r>
            <w:r w:rsidRPr="00150EDC">
              <w:rPr>
                <w:sz w:val="20"/>
              </w:rPr>
              <w:t>Ireland)</w:t>
            </w:r>
            <w:r w:rsidRPr="00150EDC">
              <w:rPr>
                <w:spacing w:val="-4"/>
                <w:sz w:val="20"/>
              </w:rPr>
              <w:t xml:space="preserve"> </w:t>
            </w:r>
            <w:r w:rsidRPr="00150EDC">
              <w:rPr>
                <w:sz w:val="20"/>
              </w:rPr>
              <w:t>Order</w:t>
            </w:r>
            <w:r w:rsidRPr="00150EDC">
              <w:rPr>
                <w:spacing w:val="-7"/>
                <w:sz w:val="20"/>
              </w:rPr>
              <w:t xml:space="preserve"> </w:t>
            </w:r>
            <w:r w:rsidRPr="00150EDC">
              <w:rPr>
                <w:sz w:val="20"/>
              </w:rPr>
              <w:t>2008,</w:t>
            </w:r>
            <w:r w:rsidRPr="00150EDC">
              <w:rPr>
                <w:spacing w:val="-7"/>
                <w:sz w:val="20"/>
              </w:rPr>
              <w:t xml:space="preserve"> </w:t>
            </w:r>
            <w:r w:rsidRPr="00150EDC">
              <w:rPr>
                <w:sz w:val="20"/>
              </w:rPr>
              <w:t>Art</w:t>
            </w:r>
            <w:r w:rsidRPr="00150EDC">
              <w:rPr>
                <w:spacing w:val="-7"/>
                <w:sz w:val="20"/>
              </w:rPr>
              <w:t xml:space="preserve"> </w:t>
            </w:r>
            <w:r w:rsidRPr="00150EDC">
              <w:rPr>
                <w:spacing w:val="-5"/>
                <w:sz w:val="20"/>
              </w:rPr>
              <w:t>26</w:t>
            </w:r>
          </w:p>
        </w:tc>
        <w:tc>
          <w:tcPr>
            <w:tcW w:w="7427" w:type="dxa"/>
          </w:tcPr>
          <w:p w14:paraId="21FF6690" w14:textId="77777777" w:rsidR="004C7180" w:rsidRPr="00150EDC" w:rsidRDefault="00CF0754">
            <w:pPr>
              <w:pStyle w:val="TableParagraph"/>
              <w:rPr>
                <w:sz w:val="20"/>
              </w:rPr>
            </w:pPr>
            <w:r w:rsidRPr="00150EDC">
              <w:rPr>
                <w:sz w:val="20"/>
              </w:rPr>
              <w:t>Abuse</w:t>
            </w:r>
            <w:r w:rsidRPr="00150EDC">
              <w:rPr>
                <w:spacing w:val="-5"/>
                <w:sz w:val="20"/>
              </w:rPr>
              <w:t xml:space="preserve"> </w:t>
            </w:r>
            <w:r w:rsidRPr="00150EDC">
              <w:rPr>
                <w:sz w:val="20"/>
              </w:rPr>
              <w:t>of</w:t>
            </w:r>
            <w:r w:rsidRPr="00150EDC">
              <w:rPr>
                <w:spacing w:val="-4"/>
                <w:sz w:val="20"/>
              </w:rPr>
              <w:t xml:space="preserve"> </w:t>
            </w:r>
            <w:r w:rsidRPr="00150EDC">
              <w:rPr>
                <w:sz w:val="20"/>
              </w:rPr>
              <w:t>position</w:t>
            </w:r>
            <w:r w:rsidRPr="00150EDC">
              <w:rPr>
                <w:spacing w:val="-5"/>
                <w:sz w:val="20"/>
              </w:rPr>
              <w:t xml:space="preserve"> </w:t>
            </w:r>
            <w:r w:rsidRPr="00150EDC">
              <w:rPr>
                <w:sz w:val="20"/>
              </w:rPr>
              <w:t>of</w:t>
            </w:r>
            <w:r w:rsidRPr="00150EDC">
              <w:rPr>
                <w:spacing w:val="1"/>
                <w:sz w:val="20"/>
              </w:rPr>
              <w:t xml:space="preserve"> </w:t>
            </w:r>
            <w:r w:rsidRPr="00150EDC">
              <w:rPr>
                <w:sz w:val="20"/>
              </w:rPr>
              <w:t>trust:</w:t>
            </w:r>
            <w:r w:rsidRPr="00150EDC">
              <w:rPr>
                <w:spacing w:val="-4"/>
                <w:sz w:val="20"/>
              </w:rPr>
              <w:t xml:space="preserve"> </w:t>
            </w:r>
            <w:r w:rsidRPr="00150EDC">
              <w:rPr>
                <w:sz w:val="20"/>
              </w:rPr>
              <w:t>causing a</w:t>
            </w:r>
            <w:r w:rsidRPr="00150EDC">
              <w:rPr>
                <w:spacing w:val="-4"/>
                <w:sz w:val="20"/>
              </w:rPr>
              <w:t xml:space="preserve"> </w:t>
            </w:r>
            <w:r w:rsidRPr="00150EDC">
              <w:rPr>
                <w:sz w:val="20"/>
              </w:rPr>
              <w:t>child</w:t>
            </w:r>
            <w:r w:rsidRPr="00150EDC">
              <w:rPr>
                <w:spacing w:val="-5"/>
                <w:sz w:val="20"/>
              </w:rPr>
              <w:t xml:space="preserve"> </w:t>
            </w:r>
            <w:r w:rsidRPr="00150EDC">
              <w:rPr>
                <w:sz w:val="20"/>
              </w:rPr>
              <w:t>to</w:t>
            </w:r>
            <w:r w:rsidRPr="00150EDC">
              <w:rPr>
                <w:spacing w:val="-4"/>
                <w:sz w:val="20"/>
              </w:rPr>
              <w:t xml:space="preserve"> </w:t>
            </w:r>
            <w:r w:rsidRPr="00150EDC">
              <w:rPr>
                <w:sz w:val="20"/>
              </w:rPr>
              <w:t>watch a</w:t>
            </w:r>
            <w:r w:rsidRPr="00150EDC">
              <w:rPr>
                <w:spacing w:val="-4"/>
                <w:sz w:val="20"/>
              </w:rPr>
              <w:t xml:space="preserve"> </w:t>
            </w:r>
            <w:r w:rsidRPr="00150EDC">
              <w:rPr>
                <w:sz w:val="20"/>
              </w:rPr>
              <w:t>sexual</w:t>
            </w:r>
            <w:r w:rsidRPr="00150EDC">
              <w:rPr>
                <w:spacing w:val="-2"/>
                <w:sz w:val="20"/>
              </w:rPr>
              <w:t xml:space="preserve"> </w:t>
            </w:r>
            <w:r w:rsidRPr="00150EDC">
              <w:rPr>
                <w:spacing w:val="-5"/>
                <w:sz w:val="20"/>
              </w:rPr>
              <w:t>act</w:t>
            </w:r>
          </w:p>
        </w:tc>
      </w:tr>
      <w:tr w:rsidR="004569EE" w:rsidRPr="007D3144" w14:paraId="0A4CA041" w14:textId="77777777">
        <w:trPr>
          <w:trHeight w:val="255"/>
        </w:trPr>
        <w:tc>
          <w:tcPr>
            <w:tcW w:w="6517" w:type="dxa"/>
          </w:tcPr>
          <w:p w14:paraId="676B3323" w14:textId="77777777" w:rsidR="004C7180" w:rsidRPr="00150EDC" w:rsidRDefault="00CF0754">
            <w:pPr>
              <w:pStyle w:val="TableParagraph"/>
              <w:spacing w:before="28"/>
              <w:rPr>
                <w:sz w:val="20"/>
              </w:rPr>
            </w:pPr>
            <w:r w:rsidRPr="00150EDC">
              <w:rPr>
                <w:sz w:val="20"/>
              </w:rPr>
              <w:t>Sexual</w:t>
            </w:r>
            <w:r w:rsidRPr="00150EDC">
              <w:rPr>
                <w:spacing w:val="-6"/>
                <w:sz w:val="20"/>
              </w:rPr>
              <w:t xml:space="preserve"> </w:t>
            </w:r>
            <w:r w:rsidRPr="00150EDC">
              <w:rPr>
                <w:sz w:val="20"/>
              </w:rPr>
              <w:t>Offences</w:t>
            </w:r>
            <w:r w:rsidRPr="00150EDC">
              <w:rPr>
                <w:spacing w:val="-2"/>
                <w:sz w:val="20"/>
              </w:rPr>
              <w:t xml:space="preserve"> </w:t>
            </w:r>
            <w:r w:rsidRPr="00150EDC">
              <w:rPr>
                <w:sz w:val="20"/>
              </w:rPr>
              <w:t>(Northern</w:t>
            </w:r>
            <w:r w:rsidRPr="00150EDC">
              <w:rPr>
                <w:spacing w:val="-7"/>
                <w:sz w:val="20"/>
              </w:rPr>
              <w:t xml:space="preserve"> </w:t>
            </w:r>
            <w:r w:rsidRPr="00150EDC">
              <w:rPr>
                <w:sz w:val="20"/>
              </w:rPr>
              <w:t>Ireland)</w:t>
            </w:r>
            <w:r w:rsidRPr="00150EDC">
              <w:rPr>
                <w:spacing w:val="-4"/>
                <w:sz w:val="20"/>
              </w:rPr>
              <w:t xml:space="preserve"> </w:t>
            </w:r>
            <w:r w:rsidRPr="00150EDC">
              <w:rPr>
                <w:sz w:val="20"/>
              </w:rPr>
              <w:t>Order</w:t>
            </w:r>
            <w:r w:rsidRPr="00150EDC">
              <w:rPr>
                <w:spacing w:val="-8"/>
                <w:sz w:val="20"/>
              </w:rPr>
              <w:t xml:space="preserve"> </w:t>
            </w:r>
            <w:r w:rsidRPr="00150EDC">
              <w:rPr>
                <w:sz w:val="20"/>
              </w:rPr>
              <w:t>2008,</w:t>
            </w:r>
            <w:r w:rsidRPr="00150EDC">
              <w:rPr>
                <w:spacing w:val="-7"/>
                <w:sz w:val="20"/>
              </w:rPr>
              <w:t xml:space="preserve"> </w:t>
            </w:r>
            <w:r w:rsidRPr="00150EDC">
              <w:rPr>
                <w:sz w:val="20"/>
              </w:rPr>
              <w:t>Art</w:t>
            </w:r>
            <w:r w:rsidRPr="00150EDC">
              <w:rPr>
                <w:spacing w:val="-7"/>
                <w:sz w:val="20"/>
              </w:rPr>
              <w:t xml:space="preserve"> </w:t>
            </w:r>
            <w:r w:rsidRPr="00150EDC">
              <w:rPr>
                <w:spacing w:val="-5"/>
                <w:sz w:val="20"/>
              </w:rPr>
              <w:t>27</w:t>
            </w:r>
          </w:p>
        </w:tc>
        <w:tc>
          <w:tcPr>
            <w:tcW w:w="7427" w:type="dxa"/>
          </w:tcPr>
          <w:p w14:paraId="1695C253" w14:textId="77777777" w:rsidR="004C7180" w:rsidRPr="00150EDC" w:rsidRDefault="00CF0754">
            <w:pPr>
              <w:pStyle w:val="TableParagraph"/>
              <w:spacing w:before="28"/>
              <w:rPr>
                <w:sz w:val="20"/>
              </w:rPr>
            </w:pPr>
            <w:r w:rsidRPr="00150EDC">
              <w:rPr>
                <w:sz w:val="20"/>
              </w:rPr>
              <w:t>Abuse</w:t>
            </w:r>
            <w:r w:rsidRPr="00150EDC">
              <w:rPr>
                <w:spacing w:val="-7"/>
                <w:sz w:val="20"/>
              </w:rPr>
              <w:t xml:space="preserve"> </w:t>
            </w:r>
            <w:r w:rsidRPr="00150EDC">
              <w:rPr>
                <w:sz w:val="20"/>
              </w:rPr>
              <w:t>of</w:t>
            </w:r>
            <w:r w:rsidRPr="00150EDC">
              <w:rPr>
                <w:spacing w:val="-4"/>
                <w:sz w:val="20"/>
              </w:rPr>
              <w:t xml:space="preserve"> </w:t>
            </w:r>
            <w:r w:rsidRPr="00150EDC">
              <w:rPr>
                <w:sz w:val="20"/>
              </w:rPr>
              <w:t>position</w:t>
            </w:r>
            <w:r w:rsidRPr="00150EDC">
              <w:rPr>
                <w:spacing w:val="-4"/>
                <w:sz w:val="20"/>
              </w:rPr>
              <w:t xml:space="preserve"> </w:t>
            </w:r>
            <w:r w:rsidRPr="00150EDC">
              <w:rPr>
                <w:sz w:val="20"/>
              </w:rPr>
              <w:t>of trust:</w:t>
            </w:r>
            <w:r w:rsidRPr="00150EDC">
              <w:rPr>
                <w:spacing w:val="1"/>
                <w:sz w:val="20"/>
              </w:rPr>
              <w:t xml:space="preserve"> </w:t>
            </w:r>
            <w:r w:rsidRPr="00150EDC">
              <w:rPr>
                <w:sz w:val="20"/>
              </w:rPr>
              <w:t>acts</w:t>
            </w:r>
            <w:r w:rsidRPr="00150EDC">
              <w:rPr>
                <w:spacing w:val="-3"/>
                <w:sz w:val="20"/>
              </w:rPr>
              <w:t xml:space="preserve"> </w:t>
            </w:r>
            <w:r w:rsidRPr="00150EDC">
              <w:rPr>
                <w:sz w:val="20"/>
              </w:rPr>
              <w:t>done</w:t>
            </w:r>
            <w:r w:rsidRPr="00150EDC">
              <w:rPr>
                <w:spacing w:val="-4"/>
                <w:sz w:val="20"/>
              </w:rPr>
              <w:t xml:space="preserve"> </w:t>
            </w:r>
            <w:r w:rsidRPr="00150EDC">
              <w:rPr>
                <w:sz w:val="20"/>
              </w:rPr>
              <w:t>in</w:t>
            </w:r>
            <w:r w:rsidRPr="00150EDC">
              <w:rPr>
                <w:spacing w:val="-5"/>
                <w:sz w:val="20"/>
              </w:rPr>
              <w:t xml:space="preserve"> </w:t>
            </w:r>
            <w:r w:rsidRPr="00150EDC">
              <w:rPr>
                <w:sz w:val="20"/>
              </w:rPr>
              <w:t>England</w:t>
            </w:r>
            <w:r w:rsidRPr="00150EDC">
              <w:rPr>
                <w:spacing w:val="-4"/>
                <w:sz w:val="20"/>
              </w:rPr>
              <w:t xml:space="preserve"> </w:t>
            </w:r>
            <w:r w:rsidRPr="00150EDC">
              <w:rPr>
                <w:sz w:val="20"/>
              </w:rPr>
              <w:t>and</w:t>
            </w:r>
            <w:r w:rsidRPr="00150EDC">
              <w:rPr>
                <w:spacing w:val="-4"/>
                <w:sz w:val="20"/>
              </w:rPr>
              <w:t xml:space="preserve"> </w:t>
            </w:r>
            <w:r w:rsidRPr="00150EDC">
              <w:rPr>
                <w:sz w:val="20"/>
              </w:rPr>
              <w:t>Wales</w:t>
            </w:r>
            <w:r w:rsidRPr="00150EDC">
              <w:rPr>
                <w:spacing w:val="-3"/>
                <w:sz w:val="20"/>
              </w:rPr>
              <w:t xml:space="preserve"> </w:t>
            </w:r>
            <w:r w:rsidRPr="00150EDC">
              <w:rPr>
                <w:sz w:val="20"/>
              </w:rPr>
              <w:t>or</w:t>
            </w:r>
            <w:r w:rsidRPr="00150EDC">
              <w:rPr>
                <w:spacing w:val="-4"/>
                <w:sz w:val="20"/>
              </w:rPr>
              <w:t xml:space="preserve"> </w:t>
            </w:r>
            <w:r w:rsidRPr="00150EDC">
              <w:rPr>
                <w:spacing w:val="-2"/>
                <w:sz w:val="20"/>
              </w:rPr>
              <w:t>Scotland</w:t>
            </w:r>
          </w:p>
        </w:tc>
      </w:tr>
      <w:tr w:rsidR="004569EE" w:rsidRPr="007D3144" w14:paraId="4FF40ED7" w14:textId="77777777">
        <w:trPr>
          <w:trHeight w:val="255"/>
        </w:trPr>
        <w:tc>
          <w:tcPr>
            <w:tcW w:w="6517" w:type="dxa"/>
          </w:tcPr>
          <w:p w14:paraId="38AC96A2"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2"/>
                <w:sz w:val="20"/>
              </w:rPr>
              <w:t xml:space="preserve"> </w:t>
            </w:r>
            <w:r w:rsidRPr="00150EDC">
              <w:rPr>
                <w:sz w:val="20"/>
              </w:rPr>
              <w:t>(Northern</w:t>
            </w:r>
            <w:r w:rsidRPr="00150EDC">
              <w:rPr>
                <w:spacing w:val="-6"/>
                <w:sz w:val="20"/>
              </w:rPr>
              <w:t xml:space="preserve"> </w:t>
            </w:r>
            <w:r w:rsidRPr="00150EDC">
              <w:rPr>
                <w:sz w:val="20"/>
              </w:rPr>
              <w:t>Ireland)</w:t>
            </w:r>
            <w:r w:rsidRPr="00150EDC">
              <w:rPr>
                <w:spacing w:val="-4"/>
                <w:sz w:val="20"/>
              </w:rPr>
              <w:t xml:space="preserve"> </w:t>
            </w:r>
            <w:r w:rsidRPr="00150EDC">
              <w:rPr>
                <w:sz w:val="20"/>
              </w:rPr>
              <w:t>Order</w:t>
            </w:r>
            <w:r w:rsidRPr="00150EDC">
              <w:rPr>
                <w:spacing w:val="-7"/>
                <w:sz w:val="20"/>
              </w:rPr>
              <w:t xml:space="preserve"> </w:t>
            </w:r>
            <w:r w:rsidRPr="00150EDC">
              <w:rPr>
                <w:sz w:val="20"/>
              </w:rPr>
              <w:t>2008,</w:t>
            </w:r>
            <w:r w:rsidRPr="00150EDC">
              <w:rPr>
                <w:spacing w:val="-7"/>
                <w:sz w:val="20"/>
              </w:rPr>
              <w:t xml:space="preserve"> </w:t>
            </w:r>
            <w:r w:rsidRPr="00150EDC">
              <w:rPr>
                <w:sz w:val="20"/>
              </w:rPr>
              <w:t>Art</w:t>
            </w:r>
            <w:r w:rsidRPr="00150EDC">
              <w:rPr>
                <w:spacing w:val="-7"/>
                <w:sz w:val="20"/>
              </w:rPr>
              <w:t xml:space="preserve"> </w:t>
            </w:r>
            <w:r w:rsidRPr="00150EDC">
              <w:rPr>
                <w:spacing w:val="-5"/>
                <w:sz w:val="20"/>
              </w:rPr>
              <w:t>32</w:t>
            </w:r>
          </w:p>
        </w:tc>
        <w:tc>
          <w:tcPr>
            <w:tcW w:w="7427" w:type="dxa"/>
          </w:tcPr>
          <w:p w14:paraId="501BA775" w14:textId="77777777" w:rsidR="004C7180" w:rsidRPr="00150EDC" w:rsidRDefault="00CF0754">
            <w:pPr>
              <w:pStyle w:val="TableParagraph"/>
              <w:rPr>
                <w:sz w:val="20"/>
              </w:rPr>
            </w:pPr>
            <w:r w:rsidRPr="00150EDC">
              <w:rPr>
                <w:sz w:val="20"/>
              </w:rPr>
              <w:t>Sexual</w:t>
            </w:r>
            <w:r w:rsidRPr="00150EDC">
              <w:rPr>
                <w:spacing w:val="-3"/>
                <w:sz w:val="20"/>
              </w:rPr>
              <w:t xml:space="preserve"> </w:t>
            </w:r>
            <w:r w:rsidRPr="00150EDC">
              <w:rPr>
                <w:sz w:val="20"/>
              </w:rPr>
              <w:t>activity</w:t>
            </w:r>
            <w:r w:rsidRPr="00150EDC">
              <w:rPr>
                <w:spacing w:val="-4"/>
                <w:sz w:val="20"/>
              </w:rPr>
              <w:t xml:space="preserve"> </w:t>
            </w:r>
            <w:r w:rsidRPr="00150EDC">
              <w:rPr>
                <w:sz w:val="20"/>
              </w:rPr>
              <w:t>with</w:t>
            </w:r>
            <w:r w:rsidRPr="00150EDC">
              <w:rPr>
                <w:spacing w:val="-5"/>
                <w:sz w:val="20"/>
              </w:rPr>
              <w:t xml:space="preserve"> </w:t>
            </w:r>
            <w:r w:rsidRPr="00150EDC">
              <w:rPr>
                <w:sz w:val="20"/>
              </w:rPr>
              <w:t>a</w:t>
            </w:r>
            <w:r w:rsidRPr="00150EDC">
              <w:rPr>
                <w:spacing w:val="-5"/>
                <w:sz w:val="20"/>
              </w:rPr>
              <w:t xml:space="preserve"> </w:t>
            </w:r>
            <w:r w:rsidRPr="00150EDC">
              <w:rPr>
                <w:sz w:val="20"/>
              </w:rPr>
              <w:t>child</w:t>
            </w:r>
            <w:r w:rsidRPr="00150EDC">
              <w:rPr>
                <w:spacing w:val="-4"/>
                <w:sz w:val="20"/>
              </w:rPr>
              <w:t xml:space="preserve"> </w:t>
            </w:r>
            <w:r w:rsidRPr="00150EDC">
              <w:rPr>
                <w:sz w:val="20"/>
              </w:rPr>
              <w:t>family</w:t>
            </w:r>
            <w:r w:rsidRPr="00150EDC">
              <w:rPr>
                <w:spacing w:val="1"/>
                <w:sz w:val="20"/>
              </w:rPr>
              <w:t xml:space="preserve"> </w:t>
            </w:r>
            <w:r w:rsidRPr="00150EDC">
              <w:rPr>
                <w:spacing w:val="-2"/>
                <w:sz w:val="20"/>
              </w:rPr>
              <w:t>member</w:t>
            </w:r>
          </w:p>
        </w:tc>
      </w:tr>
      <w:tr w:rsidR="004569EE" w:rsidRPr="007D3144" w14:paraId="71DC825F" w14:textId="77777777">
        <w:trPr>
          <w:trHeight w:val="255"/>
        </w:trPr>
        <w:tc>
          <w:tcPr>
            <w:tcW w:w="6517" w:type="dxa"/>
          </w:tcPr>
          <w:p w14:paraId="60EA380D"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2"/>
                <w:sz w:val="20"/>
              </w:rPr>
              <w:t xml:space="preserve"> </w:t>
            </w:r>
            <w:r w:rsidRPr="00150EDC">
              <w:rPr>
                <w:sz w:val="20"/>
              </w:rPr>
              <w:t>(Northern</w:t>
            </w:r>
            <w:r w:rsidRPr="00150EDC">
              <w:rPr>
                <w:spacing w:val="-7"/>
                <w:sz w:val="20"/>
              </w:rPr>
              <w:t xml:space="preserve"> </w:t>
            </w:r>
            <w:r w:rsidRPr="00150EDC">
              <w:rPr>
                <w:sz w:val="20"/>
              </w:rPr>
              <w:t>Ireland)</w:t>
            </w:r>
            <w:r w:rsidRPr="00150EDC">
              <w:rPr>
                <w:spacing w:val="-4"/>
                <w:sz w:val="20"/>
              </w:rPr>
              <w:t xml:space="preserve"> </w:t>
            </w:r>
            <w:r w:rsidRPr="00150EDC">
              <w:rPr>
                <w:sz w:val="20"/>
              </w:rPr>
              <w:t>Order</w:t>
            </w:r>
            <w:r w:rsidRPr="00150EDC">
              <w:rPr>
                <w:spacing w:val="-8"/>
                <w:sz w:val="20"/>
              </w:rPr>
              <w:t xml:space="preserve"> </w:t>
            </w:r>
            <w:r w:rsidRPr="00150EDC">
              <w:rPr>
                <w:sz w:val="20"/>
              </w:rPr>
              <w:t>2008,</w:t>
            </w:r>
            <w:r w:rsidRPr="00150EDC">
              <w:rPr>
                <w:spacing w:val="-7"/>
                <w:sz w:val="20"/>
              </w:rPr>
              <w:t xml:space="preserve"> </w:t>
            </w:r>
            <w:r w:rsidRPr="00150EDC">
              <w:rPr>
                <w:sz w:val="20"/>
              </w:rPr>
              <w:t>Art</w:t>
            </w:r>
            <w:r w:rsidRPr="00150EDC">
              <w:rPr>
                <w:spacing w:val="-7"/>
                <w:sz w:val="20"/>
              </w:rPr>
              <w:t xml:space="preserve"> </w:t>
            </w:r>
            <w:r w:rsidRPr="00150EDC">
              <w:rPr>
                <w:spacing w:val="-5"/>
                <w:sz w:val="20"/>
              </w:rPr>
              <w:t>33</w:t>
            </w:r>
          </w:p>
        </w:tc>
        <w:tc>
          <w:tcPr>
            <w:tcW w:w="7427" w:type="dxa"/>
          </w:tcPr>
          <w:p w14:paraId="147544C9" w14:textId="77777777" w:rsidR="004C7180" w:rsidRPr="00150EDC" w:rsidRDefault="00CF0754">
            <w:pPr>
              <w:pStyle w:val="TableParagraph"/>
              <w:rPr>
                <w:sz w:val="20"/>
              </w:rPr>
            </w:pPr>
            <w:r w:rsidRPr="00150EDC">
              <w:rPr>
                <w:sz w:val="20"/>
              </w:rPr>
              <w:t>Inciting</w:t>
            </w:r>
            <w:r w:rsidRPr="00150EDC">
              <w:rPr>
                <w:spacing w:val="-6"/>
                <w:sz w:val="20"/>
              </w:rPr>
              <w:t xml:space="preserve"> </w:t>
            </w:r>
            <w:r w:rsidRPr="00150EDC">
              <w:rPr>
                <w:sz w:val="20"/>
              </w:rPr>
              <w:t>a</w:t>
            </w:r>
            <w:r w:rsidRPr="00150EDC">
              <w:rPr>
                <w:spacing w:val="-5"/>
                <w:sz w:val="20"/>
              </w:rPr>
              <w:t xml:space="preserve"> </w:t>
            </w:r>
            <w:r w:rsidRPr="00150EDC">
              <w:rPr>
                <w:sz w:val="20"/>
              </w:rPr>
              <w:t>child</w:t>
            </w:r>
            <w:r w:rsidRPr="00150EDC">
              <w:rPr>
                <w:spacing w:val="-1"/>
                <w:sz w:val="20"/>
              </w:rPr>
              <w:t xml:space="preserve"> </w:t>
            </w:r>
            <w:r w:rsidRPr="00150EDC">
              <w:rPr>
                <w:sz w:val="20"/>
              </w:rPr>
              <w:t>family</w:t>
            </w:r>
            <w:r w:rsidRPr="00150EDC">
              <w:rPr>
                <w:spacing w:val="-4"/>
                <w:sz w:val="20"/>
              </w:rPr>
              <w:t xml:space="preserve"> </w:t>
            </w:r>
            <w:r w:rsidRPr="00150EDC">
              <w:rPr>
                <w:sz w:val="20"/>
              </w:rPr>
              <w:t>member</w:t>
            </w:r>
            <w:r w:rsidRPr="00150EDC">
              <w:rPr>
                <w:spacing w:val="-5"/>
                <w:sz w:val="20"/>
              </w:rPr>
              <w:t xml:space="preserve"> </w:t>
            </w:r>
            <w:r w:rsidRPr="00150EDC">
              <w:rPr>
                <w:sz w:val="20"/>
              </w:rPr>
              <w:t>to</w:t>
            </w:r>
            <w:r w:rsidRPr="00150EDC">
              <w:rPr>
                <w:spacing w:val="-1"/>
                <w:sz w:val="20"/>
              </w:rPr>
              <w:t xml:space="preserve"> </w:t>
            </w:r>
            <w:r w:rsidRPr="00150EDC">
              <w:rPr>
                <w:sz w:val="20"/>
              </w:rPr>
              <w:t>engage</w:t>
            </w:r>
            <w:r w:rsidRPr="00150EDC">
              <w:rPr>
                <w:spacing w:val="-5"/>
                <w:sz w:val="20"/>
              </w:rPr>
              <w:t xml:space="preserve"> </w:t>
            </w:r>
            <w:r w:rsidRPr="00150EDC">
              <w:rPr>
                <w:sz w:val="20"/>
              </w:rPr>
              <w:t>in</w:t>
            </w:r>
            <w:r w:rsidRPr="00150EDC">
              <w:rPr>
                <w:spacing w:val="-5"/>
                <w:sz w:val="20"/>
              </w:rPr>
              <w:t xml:space="preserve"> </w:t>
            </w:r>
            <w:r w:rsidRPr="00150EDC">
              <w:rPr>
                <w:sz w:val="20"/>
              </w:rPr>
              <w:t>sexual</w:t>
            </w:r>
            <w:r w:rsidRPr="00150EDC">
              <w:rPr>
                <w:spacing w:val="-3"/>
                <w:sz w:val="20"/>
              </w:rPr>
              <w:t xml:space="preserve"> </w:t>
            </w:r>
            <w:r w:rsidRPr="00150EDC">
              <w:rPr>
                <w:spacing w:val="-2"/>
                <w:sz w:val="20"/>
              </w:rPr>
              <w:t>activity</w:t>
            </w:r>
          </w:p>
        </w:tc>
      </w:tr>
      <w:tr w:rsidR="004569EE" w:rsidRPr="007D3144" w14:paraId="71D9B8CC" w14:textId="77777777">
        <w:trPr>
          <w:trHeight w:val="255"/>
        </w:trPr>
        <w:tc>
          <w:tcPr>
            <w:tcW w:w="6517" w:type="dxa"/>
          </w:tcPr>
          <w:p w14:paraId="33826EEC"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2"/>
                <w:sz w:val="20"/>
              </w:rPr>
              <w:t xml:space="preserve"> </w:t>
            </w:r>
            <w:r w:rsidRPr="00150EDC">
              <w:rPr>
                <w:sz w:val="20"/>
              </w:rPr>
              <w:t>(Northern</w:t>
            </w:r>
            <w:r w:rsidRPr="00150EDC">
              <w:rPr>
                <w:spacing w:val="-7"/>
                <w:sz w:val="20"/>
              </w:rPr>
              <w:t xml:space="preserve"> </w:t>
            </w:r>
            <w:r w:rsidRPr="00150EDC">
              <w:rPr>
                <w:sz w:val="20"/>
              </w:rPr>
              <w:t>Ireland)</w:t>
            </w:r>
            <w:r w:rsidRPr="00150EDC">
              <w:rPr>
                <w:spacing w:val="-4"/>
                <w:sz w:val="20"/>
              </w:rPr>
              <w:t xml:space="preserve"> </w:t>
            </w:r>
            <w:r w:rsidRPr="00150EDC">
              <w:rPr>
                <w:sz w:val="20"/>
              </w:rPr>
              <w:t>Order</w:t>
            </w:r>
            <w:r w:rsidRPr="00150EDC">
              <w:rPr>
                <w:spacing w:val="-8"/>
                <w:sz w:val="20"/>
              </w:rPr>
              <w:t xml:space="preserve"> </w:t>
            </w:r>
            <w:r w:rsidRPr="00150EDC">
              <w:rPr>
                <w:sz w:val="20"/>
              </w:rPr>
              <w:t>2008,</w:t>
            </w:r>
            <w:r w:rsidRPr="00150EDC">
              <w:rPr>
                <w:spacing w:val="-7"/>
                <w:sz w:val="20"/>
              </w:rPr>
              <w:t xml:space="preserve"> </w:t>
            </w:r>
            <w:r w:rsidRPr="00150EDC">
              <w:rPr>
                <w:sz w:val="20"/>
              </w:rPr>
              <w:t>Art</w:t>
            </w:r>
            <w:r w:rsidRPr="00150EDC">
              <w:rPr>
                <w:spacing w:val="-7"/>
                <w:sz w:val="20"/>
              </w:rPr>
              <w:t xml:space="preserve"> </w:t>
            </w:r>
            <w:r w:rsidRPr="00150EDC">
              <w:rPr>
                <w:spacing w:val="-5"/>
                <w:sz w:val="20"/>
              </w:rPr>
              <w:t>37</w:t>
            </w:r>
          </w:p>
        </w:tc>
        <w:tc>
          <w:tcPr>
            <w:tcW w:w="7427" w:type="dxa"/>
          </w:tcPr>
          <w:p w14:paraId="2DE629AE" w14:textId="77777777" w:rsidR="004C7180" w:rsidRPr="00150EDC" w:rsidRDefault="00CF0754">
            <w:pPr>
              <w:pStyle w:val="TableParagraph"/>
              <w:rPr>
                <w:sz w:val="20"/>
              </w:rPr>
            </w:pPr>
            <w:r w:rsidRPr="00150EDC">
              <w:rPr>
                <w:sz w:val="20"/>
              </w:rPr>
              <w:t>Paying</w:t>
            </w:r>
            <w:r w:rsidRPr="00150EDC">
              <w:rPr>
                <w:spacing w:val="-5"/>
                <w:sz w:val="20"/>
              </w:rPr>
              <w:t xml:space="preserve"> </w:t>
            </w:r>
            <w:r w:rsidRPr="00150EDC">
              <w:rPr>
                <w:sz w:val="20"/>
              </w:rPr>
              <w:t>for</w:t>
            </w:r>
            <w:r w:rsidRPr="00150EDC">
              <w:rPr>
                <w:spacing w:val="-5"/>
                <w:sz w:val="20"/>
              </w:rPr>
              <w:t xml:space="preserve"> </w:t>
            </w:r>
            <w:r w:rsidRPr="00150EDC">
              <w:rPr>
                <w:sz w:val="20"/>
              </w:rPr>
              <w:t>sexual</w:t>
            </w:r>
            <w:r w:rsidRPr="00150EDC">
              <w:rPr>
                <w:spacing w:val="-3"/>
                <w:sz w:val="20"/>
              </w:rPr>
              <w:t xml:space="preserve"> </w:t>
            </w:r>
            <w:r w:rsidRPr="00150EDC">
              <w:rPr>
                <w:sz w:val="20"/>
              </w:rPr>
              <w:t>services</w:t>
            </w:r>
            <w:r w:rsidRPr="00150EDC">
              <w:rPr>
                <w:spacing w:val="-4"/>
                <w:sz w:val="20"/>
              </w:rPr>
              <w:t xml:space="preserve"> </w:t>
            </w:r>
            <w:r w:rsidRPr="00150EDC">
              <w:rPr>
                <w:sz w:val="20"/>
              </w:rPr>
              <w:t>of</w:t>
            </w:r>
            <w:r w:rsidRPr="00150EDC">
              <w:rPr>
                <w:spacing w:val="-4"/>
                <w:sz w:val="20"/>
              </w:rPr>
              <w:t xml:space="preserve"> </w:t>
            </w:r>
            <w:r w:rsidRPr="00150EDC">
              <w:rPr>
                <w:sz w:val="20"/>
              </w:rPr>
              <w:t xml:space="preserve">a </w:t>
            </w:r>
            <w:r w:rsidRPr="00150EDC">
              <w:rPr>
                <w:spacing w:val="-4"/>
                <w:sz w:val="20"/>
              </w:rPr>
              <w:t>child</w:t>
            </w:r>
          </w:p>
        </w:tc>
      </w:tr>
      <w:tr w:rsidR="004569EE" w:rsidRPr="007D3144" w14:paraId="20CCC965" w14:textId="77777777">
        <w:trPr>
          <w:trHeight w:val="255"/>
        </w:trPr>
        <w:tc>
          <w:tcPr>
            <w:tcW w:w="6517" w:type="dxa"/>
          </w:tcPr>
          <w:p w14:paraId="489359FA"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2"/>
                <w:sz w:val="20"/>
              </w:rPr>
              <w:t xml:space="preserve"> </w:t>
            </w:r>
            <w:r w:rsidRPr="00150EDC">
              <w:rPr>
                <w:sz w:val="20"/>
              </w:rPr>
              <w:t>(Northern</w:t>
            </w:r>
            <w:r w:rsidRPr="00150EDC">
              <w:rPr>
                <w:spacing w:val="-7"/>
                <w:sz w:val="20"/>
              </w:rPr>
              <w:t xml:space="preserve"> </w:t>
            </w:r>
            <w:r w:rsidRPr="00150EDC">
              <w:rPr>
                <w:sz w:val="20"/>
              </w:rPr>
              <w:t>Ireland)</w:t>
            </w:r>
            <w:r w:rsidRPr="00150EDC">
              <w:rPr>
                <w:spacing w:val="-4"/>
                <w:sz w:val="20"/>
              </w:rPr>
              <w:t xml:space="preserve"> </w:t>
            </w:r>
            <w:r w:rsidRPr="00150EDC">
              <w:rPr>
                <w:sz w:val="20"/>
              </w:rPr>
              <w:t>Order</w:t>
            </w:r>
            <w:r w:rsidRPr="00150EDC">
              <w:rPr>
                <w:spacing w:val="-8"/>
                <w:sz w:val="20"/>
              </w:rPr>
              <w:t xml:space="preserve"> </w:t>
            </w:r>
            <w:r w:rsidRPr="00150EDC">
              <w:rPr>
                <w:sz w:val="20"/>
              </w:rPr>
              <w:t>2008,</w:t>
            </w:r>
            <w:r w:rsidRPr="00150EDC">
              <w:rPr>
                <w:spacing w:val="-7"/>
                <w:sz w:val="20"/>
              </w:rPr>
              <w:t xml:space="preserve"> </w:t>
            </w:r>
            <w:r w:rsidRPr="00150EDC">
              <w:rPr>
                <w:sz w:val="20"/>
              </w:rPr>
              <w:t>Art</w:t>
            </w:r>
            <w:r w:rsidRPr="00150EDC">
              <w:rPr>
                <w:spacing w:val="-7"/>
                <w:sz w:val="20"/>
              </w:rPr>
              <w:t xml:space="preserve"> </w:t>
            </w:r>
            <w:r w:rsidRPr="00150EDC">
              <w:rPr>
                <w:spacing w:val="-5"/>
                <w:sz w:val="20"/>
              </w:rPr>
              <w:t>38</w:t>
            </w:r>
          </w:p>
        </w:tc>
        <w:tc>
          <w:tcPr>
            <w:tcW w:w="7427" w:type="dxa"/>
          </w:tcPr>
          <w:p w14:paraId="57EFAD00" w14:textId="77777777" w:rsidR="004C7180" w:rsidRPr="00150EDC" w:rsidRDefault="00CF0754">
            <w:pPr>
              <w:pStyle w:val="TableParagraph"/>
              <w:rPr>
                <w:sz w:val="20"/>
              </w:rPr>
            </w:pPr>
            <w:r w:rsidRPr="00150EDC">
              <w:rPr>
                <w:sz w:val="20"/>
              </w:rPr>
              <w:t>Causing</w:t>
            </w:r>
            <w:r w:rsidRPr="00150EDC">
              <w:rPr>
                <w:spacing w:val="-8"/>
                <w:sz w:val="20"/>
              </w:rPr>
              <w:t xml:space="preserve"> </w:t>
            </w:r>
            <w:r w:rsidRPr="00150EDC">
              <w:rPr>
                <w:sz w:val="20"/>
              </w:rPr>
              <w:t>or</w:t>
            </w:r>
            <w:r w:rsidRPr="00150EDC">
              <w:rPr>
                <w:spacing w:val="-3"/>
                <w:sz w:val="20"/>
              </w:rPr>
              <w:t xml:space="preserve"> </w:t>
            </w:r>
            <w:r w:rsidRPr="00150EDC">
              <w:rPr>
                <w:sz w:val="20"/>
              </w:rPr>
              <w:t>inciting</w:t>
            </w:r>
            <w:r w:rsidRPr="00150EDC">
              <w:rPr>
                <w:spacing w:val="-7"/>
                <w:sz w:val="20"/>
              </w:rPr>
              <w:t xml:space="preserve"> </w:t>
            </w:r>
            <w:r w:rsidRPr="00150EDC">
              <w:rPr>
                <w:sz w:val="20"/>
              </w:rPr>
              <w:t>child</w:t>
            </w:r>
            <w:r w:rsidRPr="00150EDC">
              <w:rPr>
                <w:spacing w:val="-3"/>
                <w:sz w:val="20"/>
              </w:rPr>
              <w:t xml:space="preserve"> </w:t>
            </w:r>
            <w:r w:rsidRPr="00150EDC">
              <w:rPr>
                <w:sz w:val="20"/>
              </w:rPr>
              <w:t>prostitution</w:t>
            </w:r>
            <w:r w:rsidRPr="00150EDC">
              <w:rPr>
                <w:spacing w:val="-3"/>
                <w:sz w:val="20"/>
              </w:rPr>
              <w:t xml:space="preserve"> </w:t>
            </w:r>
            <w:r w:rsidRPr="00150EDC">
              <w:rPr>
                <w:sz w:val="20"/>
              </w:rPr>
              <w:t>or</w:t>
            </w:r>
            <w:r w:rsidRPr="00150EDC">
              <w:rPr>
                <w:spacing w:val="-7"/>
                <w:sz w:val="20"/>
              </w:rPr>
              <w:t xml:space="preserve"> </w:t>
            </w:r>
            <w:r w:rsidRPr="00150EDC">
              <w:rPr>
                <w:spacing w:val="-2"/>
                <w:sz w:val="20"/>
              </w:rPr>
              <w:t>pornography</w:t>
            </w:r>
          </w:p>
        </w:tc>
      </w:tr>
      <w:tr w:rsidR="004569EE" w:rsidRPr="007D3144" w14:paraId="41D3FEFB" w14:textId="77777777">
        <w:trPr>
          <w:trHeight w:val="255"/>
        </w:trPr>
        <w:tc>
          <w:tcPr>
            <w:tcW w:w="6517" w:type="dxa"/>
          </w:tcPr>
          <w:p w14:paraId="6B56ECD9"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2"/>
                <w:sz w:val="20"/>
              </w:rPr>
              <w:t xml:space="preserve"> </w:t>
            </w:r>
            <w:r w:rsidRPr="00150EDC">
              <w:rPr>
                <w:sz w:val="20"/>
              </w:rPr>
              <w:t>(Northern</w:t>
            </w:r>
            <w:r w:rsidRPr="00150EDC">
              <w:rPr>
                <w:spacing w:val="-7"/>
                <w:sz w:val="20"/>
              </w:rPr>
              <w:t xml:space="preserve"> </w:t>
            </w:r>
            <w:r w:rsidRPr="00150EDC">
              <w:rPr>
                <w:sz w:val="20"/>
              </w:rPr>
              <w:t>Ireland)</w:t>
            </w:r>
            <w:r w:rsidRPr="00150EDC">
              <w:rPr>
                <w:spacing w:val="-4"/>
                <w:sz w:val="20"/>
              </w:rPr>
              <w:t xml:space="preserve"> </w:t>
            </w:r>
            <w:r w:rsidRPr="00150EDC">
              <w:rPr>
                <w:sz w:val="20"/>
              </w:rPr>
              <w:t>Order</w:t>
            </w:r>
            <w:r w:rsidRPr="00150EDC">
              <w:rPr>
                <w:spacing w:val="-8"/>
                <w:sz w:val="20"/>
              </w:rPr>
              <w:t xml:space="preserve"> </w:t>
            </w:r>
            <w:r w:rsidRPr="00150EDC">
              <w:rPr>
                <w:sz w:val="20"/>
              </w:rPr>
              <w:t>2008,</w:t>
            </w:r>
            <w:r w:rsidRPr="00150EDC">
              <w:rPr>
                <w:spacing w:val="-7"/>
                <w:sz w:val="20"/>
              </w:rPr>
              <w:t xml:space="preserve"> </w:t>
            </w:r>
            <w:r w:rsidRPr="00150EDC">
              <w:rPr>
                <w:sz w:val="20"/>
              </w:rPr>
              <w:t>Art</w:t>
            </w:r>
            <w:r w:rsidRPr="00150EDC">
              <w:rPr>
                <w:spacing w:val="-7"/>
                <w:sz w:val="20"/>
              </w:rPr>
              <w:t xml:space="preserve"> </w:t>
            </w:r>
            <w:r w:rsidRPr="00150EDC">
              <w:rPr>
                <w:spacing w:val="-5"/>
                <w:sz w:val="20"/>
              </w:rPr>
              <w:t>39</w:t>
            </w:r>
          </w:p>
        </w:tc>
        <w:tc>
          <w:tcPr>
            <w:tcW w:w="7427" w:type="dxa"/>
          </w:tcPr>
          <w:p w14:paraId="00C933C7" w14:textId="77777777" w:rsidR="004C7180" w:rsidRPr="00150EDC" w:rsidRDefault="00CF0754">
            <w:pPr>
              <w:pStyle w:val="TableParagraph"/>
              <w:rPr>
                <w:sz w:val="20"/>
              </w:rPr>
            </w:pPr>
            <w:r w:rsidRPr="00150EDC">
              <w:rPr>
                <w:sz w:val="20"/>
              </w:rPr>
              <w:t>Controlling</w:t>
            </w:r>
            <w:r w:rsidRPr="00150EDC">
              <w:rPr>
                <w:spacing w:val="-1"/>
                <w:sz w:val="20"/>
              </w:rPr>
              <w:t xml:space="preserve"> </w:t>
            </w:r>
            <w:r w:rsidRPr="00150EDC">
              <w:rPr>
                <w:sz w:val="20"/>
              </w:rPr>
              <w:t>a</w:t>
            </w:r>
            <w:r w:rsidRPr="00150EDC">
              <w:rPr>
                <w:spacing w:val="-5"/>
                <w:sz w:val="20"/>
              </w:rPr>
              <w:t xml:space="preserve"> </w:t>
            </w:r>
            <w:r w:rsidRPr="00150EDC">
              <w:rPr>
                <w:sz w:val="20"/>
              </w:rPr>
              <w:t>child</w:t>
            </w:r>
            <w:r w:rsidRPr="00150EDC">
              <w:rPr>
                <w:spacing w:val="-6"/>
                <w:sz w:val="20"/>
              </w:rPr>
              <w:t xml:space="preserve"> </w:t>
            </w:r>
            <w:r w:rsidRPr="00150EDC">
              <w:rPr>
                <w:sz w:val="20"/>
              </w:rPr>
              <w:t>prostitute</w:t>
            </w:r>
            <w:r w:rsidRPr="00150EDC">
              <w:rPr>
                <w:spacing w:val="-5"/>
                <w:sz w:val="20"/>
              </w:rPr>
              <w:t xml:space="preserve"> </w:t>
            </w:r>
            <w:r w:rsidRPr="00150EDC">
              <w:rPr>
                <w:sz w:val="20"/>
              </w:rPr>
              <w:t>or</w:t>
            </w:r>
            <w:r w:rsidRPr="00150EDC">
              <w:rPr>
                <w:spacing w:val="-2"/>
                <w:sz w:val="20"/>
              </w:rPr>
              <w:t xml:space="preserve"> </w:t>
            </w:r>
            <w:r w:rsidRPr="00150EDC">
              <w:rPr>
                <w:sz w:val="20"/>
              </w:rPr>
              <w:t>a</w:t>
            </w:r>
            <w:r w:rsidRPr="00150EDC">
              <w:rPr>
                <w:spacing w:val="-5"/>
                <w:sz w:val="20"/>
              </w:rPr>
              <w:t xml:space="preserve"> </w:t>
            </w:r>
            <w:r w:rsidRPr="00150EDC">
              <w:rPr>
                <w:sz w:val="20"/>
              </w:rPr>
              <w:t>child</w:t>
            </w:r>
            <w:r w:rsidRPr="00150EDC">
              <w:rPr>
                <w:spacing w:val="-5"/>
                <w:sz w:val="20"/>
              </w:rPr>
              <w:t xml:space="preserve"> </w:t>
            </w:r>
            <w:r w:rsidRPr="00150EDC">
              <w:rPr>
                <w:sz w:val="20"/>
              </w:rPr>
              <w:t>involved</w:t>
            </w:r>
            <w:r w:rsidRPr="00150EDC">
              <w:rPr>
                <w:spacing w:val="-5"/>
                <w:sz w:val="20"/>
              </w:rPr>
              <w:t xml:space="preserve"> </w:t>
            </w:r>
            <w:r w:rsidRPr="00150EDC">
              <w:rPr>
                <w:sz w:val="20"/>
              </w:rPr>
              <w:t>in</w:t>
            </w:r>
            <w:r w:rsidRPr="00150EDC">
              <w:rPr>
                <w:spacing w:val="-3"/>
                <w:sz w:val="20"/>
              </w:rPr>
              <w:t xml:space="preserve"> </w:t>
            </w:r>
            <w:r w:rsidRPr="00150EDC">
              <w:rPr>
                <w:spacing w:val="-2"/>
                <w:sz w:val="20"/>
              </w:rPr>
              <w:t>pornography</w:t>
            </w:r>
          </w:p>
        </w:tc>
      </w:tr>
      <w:tr w:rsidR="004569EE" w:rsidRPr="007D3144" w14:paraId="2E888A81" w14:textId="77777777">
        <w:trPr>
          <w:trHeight w:val="255"/>
        </w:trPr>
        <w:tc>
          <w:tcPr>
            <w:tcW w:w="6517" w:type="dxa"/>
          </w:tcPr>
          <w:p w14:paraId="7CE9CB08"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2"/>
                <w:sz w:val="20"/>
              </w:rPr>
              <w:t xml:space="preserve"> </w:t>
            </w:r>
            <w:r w:rsidRPr="00150EDC">
              <w:rPr>
                <w:sz w:val="20"/>
              </w:rPr>
              <w:t>(Northern</w:t>
            </w:r>
            <w:r w:rsidRPr="00150EDC">
              <w:rPr>
                <w:spacing w:val="-7"/>
                <w:sz w:val="20"/>
              </w:rPr>
              <w:t xml:space="preserve"> </w:t>
            </w:r>
            <w:r w:rsidRPr="00150EDC">
              <w:rPr>
                <w:sz w:val="20"/>
              </w:rPr>
              <w:t>Ireland)</w:t>
            </w:r>
            <w:r w:rsidRPr="00150EDC">
              <w:rPr>
                <w:spacing w:val="-4"/>
                <w:sz w:val="20"/>
              </w:rPr>
              <w:t xml:space="preserve"> </w:t>
            </w:r>
            <w:r w:rsidRPr="00150EDC">
              <w:rPr>
                <w:sz w:val="20"/>
              </w:rPr>
              <w:t>Order</w:t>
            </w:r>
            <w:r w:rsidRPr="00150EDC">
              <w:rPr>
                <w:spacing w:val="-8"/>
                <w:sz w:val="20"/>
              </w:rPr>
              <w:t xml:space="preserve"> </w:t>
            </w:r>
            <w:r w:rsidRPr="00150EDC">
              <w:rPr>
                <w:sz w:val="20"/>
              </w:rPr>
              <w:t>2008,</w:t>
            </w:r>
            <w:r w:rsidRPr="00150EDC">
              <w:rPr>
                <w:spacing w:val="-7"/>
                <w:sz w:val="20"/>
              </w:rPr>
              <w:t xml:space="preserve"> </w:t>
            </w:r>
            <w:r w:rsidRPr="00150EDC">
              <w:rPr>
                <w:sz w:val="20"/>
              </w:rPr>
              <w:t>Art</w:t>
            </w:r>
            <w:r w:rsidRPr="00150EDC">
              <w:rPr>
                <w:spacing w:val="-7"/>
                <w:sz w:val="20"/>
              </w:rPr>
              <w:t xml:space="preserve"> </w:t>
            </w:r>
            <w:r w:rsidRPr="00150EDC">
              <w:rPr>
                <w:spacing w:val="-5"/>
                <w:sz w:val="20"/>
              </w:rPr>
              <w:t>40</w:t>
            </w:r>
          </w:p>
        </w:tc>
        <w:tc>
          <w:tcPr>
            <w:tcW w:w="7427" w:type="dxa"/>
          </w:tcPr>
          <w:p w14:paraId="301EF422" w14:textId="77777777" w:rsidR="004C7180" w:rsidRPr="00150EDC" w:rsidRDefault="00CF0754">
            <w:pPr>
              <w:pStyle w:val="TableParagraph"/>
              <w:rPr>
                <w:sz w:val="20"/>
              </w:rPr>
            </w:pPr>
            <w:r w:rsidRPr="00150EDC">
              <w:rPr>
                <w:sz w:val="20"/>
              </w:rPr>
              <w:t>Arranging</w:t>
            </w:r>
            <w:r w:rsidRPr="00150EDC">
              <w:rPr>
                <w:spacing w:val="-4"/>
                <w:sz w:val="20"/>
              </w:rPr>
              <w:t xml:space="preserve"> </w:t>
            </w:r>
            <w:r w:rsidRPr="00150EDC">
              <w:rPr>
                <w:sz w:val="20"/>
              </w:rPr>
              <w:t>or</w:t>
            </w:r>
            <w:r w:rsidRPr="00150EDC">
              <w:rPr>
                <w:spacing w:val="-7"/>
                <w:sz w:val="20"/>
              </w:rPr>
              <w:t xml:space="preserve"> </w:t>
            </w:r>
            <w:r w:rsidRPr="00150EDC">
              <w:rPr>
                <w:sz w:val="20"/>
              </w:rPr>
              <w:t>facilitating</w:t>
            </w:r>
            <w:r w:rsidRPr="00150EDC">
              <w:rPr>
                <w:spacing w:val="-8"/>
                <w:sz w:val="20"/>
              </w:rPr>
              <w:t xml:space="preserve"> </w:t>
            </w:r>
            <w:r w:rsidRPr="00150EDC">
              <w:rPr>
                <w:sz w:val="20"/>
              </w:rPr>
              <w:t>child</w:t>
            </w:r>
            <w:r w:rsidRPr="00150EDC">
              <w:rPr>
                <w:spacing w:val="-3"/>
                <w:sz w:val="20"/>
              </w:rPr>
              <w:t xml:space="preserve"> </w:t>
            </w:r>
            <w:r w:rsidRPr="00150EDC">
              <w:rPr>
                <w:sz w:val="20"/>
              </w:rPr>
              <w:t>prostitution</w:t>
            </w:r>
            <w:r w:rsidRPr="00150EDC">
              <w:rPr>
                <w:spacing w:val="-4"/>
                <w:sz w:val="20"/>
              </w:rPr>
              <w:t xml:space="preserve"> </w:t>
            </w:r>
            <w:r w:rsidRPr="00150EDC">
              <w:rPr>
                <w:sz w:val="20"/>
              </w:rPr>
              <w:t>or</w:t>
            </w:r>
            <w:r w:rsidRPr="00150EDC">
              <w:rPr>
                <w:spacing w:val="-7"/>
                <w:sz w:val="20"/>
              </w:rPr>
              <w:t xml:space="preserve"> </w:t>
            </w:r>
            <w:r w:rsidRPr="00150EDC">
              <w:rPr>
                <w:spacing w:val="-2"/>
                <w:sz w:val="20"/>
              </w:rPr>
              <w:t>pornography</w:t>
            </w:r>
          </w:p>
        </w:tc>
      </w:tr>
      <w:tr w:rsidR="004569EE" w:rsidRPr="007D3144" w14:paraId="081092EE" w14:textId="77777777">
        <w:trPr>
          <w:trHeight w:val="255"/>
        </w:trPr>
        <w:tc>
          <w:tcPr>
            <w:tcW w:w="6517" w:type="dxa"/>
          </w:tcPr>
          <w:p w14:paraId="47363BA6"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2"/>
                <w:sz w:val="20"/>
              </w:rPr>
              <w:t xml:space="preserve"> </w:t>
            </w:r>
            <w:r w:rsidRPr="00150EDC">
              <w:rPr>
                <w:sz w:val="20"/>
              </w:rPr>
              <w:t>(Northern</w:t>
            </w:r>
            <w:r w:rsidRPr="00150EDC">
              <w:rPr>
                <w:spacing w:val="-7"/>
                <w:sz w:val="20"/>
              </w:rPr>
              <w:t xml:space="preserve"> </w:t>
            </w:r>
            <w:r w:rsidRPr="00150EDC">
              <w:rPr>
                <w:sz w:val="20"/>
              </w:rPr>
              <w:t>Ireland)</w:t>
            </w:r>
            <w:r w:rsidRPr="00150EDC">
              <w:rPr>
                <w:spacing w:val="-4"/>
                <w:sz w:val="20"/>
              </w:rPr>
              <w:t xml:space="preserve"> </w:t>
            </w:r>
            <w:r w:rsidRPr="00150EDC">
              <w:rPr>
                <w:sz w:val="20"/>
              </w:rPr>
              <w:t>Order</w:t>
            </w:r>
            <w:r w:rsidRPr="00150EDC">
              <w:rPr>
                <w:spacing w:val="-8"/>
                <w:sz w:val="20"/>
              </w:rPr>
              <w:t xml:space="preserve"> </w:t>
            </w:r>
            <w:r w:rsidRPr="00150EDC">
              <w:rPr>
                <w:sz w:val="20"/>
              </w:rPr>
              <w:t>2008,</w:t>
            </w:r>
            <w:r w:rsidRPr="00150EDC">
              <w:rPr>
                <w:spacing w:val="-7"/>
                <w:sz w:val="20"/>
              </w:rPr>
              <w:t xml:space="preserve"> </w:t>
            </w:r>
            <w:r w:rsidRPr="00150EDC">
              <w:rPr>
                <w:sz w:val="20"/>
              </w:rPr>
              <w:t>Art</w:t>
            </w:r>
            <w:r w:rsidRPr="00150EDC">
              <w:rPr>
                <w:spacing w:val="-7"/>
                <w:sz w:val="20"/>
              </w:rPr>
              <w:t xml:space="preserve"> </w:t>
            </w:r>
            <w:r w:rsidRPr="00150EDC">
              <w:rPr>
                <w:spacing w:val="-5"/>
                <w:sz w:val="20"/>
              </w:rPr>
              <w:t>42</w:t>
            </w:r>
          </w:p>
        </w:tc>
        <w:tc>
          <w:tcPr>
            <w:tcW w:w="7427" w:type="dxa"/>
          </w:tcPr>
          <w:p w14:paraId="069B1F68" w14:textId="77777777" w:rsidR="004C7180" w:rsidRPr="00150EDC" w:rsidRDefault="00CF0754">
            <w:pPr>
              <w:pStyle w:val="TableParagraph"/>
              <w:rPr>
                <w:sz w:val="20"/>
              </w:rPr>
            </w:pPr>
            <w:r w:rsidRPr="00150EDC">
              <w:rPr>
                <w:sz w:val="20"/>
              </w:rPr>
              <w:t>Indecent</w:t>
            </w:r>
            <w:r w:rsidRPr="00150EDC">
              <w:rPr>
                <w:spacing w:val="-1"/>
                <w:sz w:val="20"/>
              </w:rPr>
              <w:t xml:space="preserve"> </w:t>
            </w:r>
            <w:r w:rsidRPr="00150EDC">
              <w:rPr>
                <w:sz w:val="20"/>
              </w:rPr>
              <w:t>photographs</w:t>
            </w:r>
            <w:r w:rsidRPr="00150EDC">
              <w:rPr>
                <w:spacing w:val="-6"/>
                <w:sz w:val="20"/>
              </w:rPr>
              <w:t xml:space="preserve"> </w:t>
            </w:r>
            <w:r w:rsidRPr="00150EDC">
              <w:rPr>
                <w:sz w:val="20"/>
              </w:rPr>
              <w:t>of persons</w:t>
            </w:r>
            <w:r w:rsidRPr="00150EDC">
              <w:rPr>
                <w:spacing w:val="-6"/>
                <w:sz w:val="20"/>
              </w:rPr>
              <w:t xml:space="preserve"> </w:t>
            </w:r>
            <w:r w:rsidRPr="00150EDC">
              <w:rPr>
                <w:sz w:val="20"/>
              </w:rPr>
              <w:t>aged</w:t>
            </w:r>
            <w:r w:rsidRPr="00150EDC">
              <w:rPr>
                <w:spacing w:val="-6"/>
                <w:sz w:val="20"/>
              </w:rPr>
              <w:t xml:space="preserve"> </w:t>
            </w:r>
            <w:r w:rsidRPr="00150EDC">
              <w:rPr>
                <w:sz w:val="20"/>
              </w:rPr>
              <w:t>16</w:t>
            </w:r>
            <w:r w:rsidRPr="00150EDC">
              <w:rPr>
                <w:spacing w:val="-6"/>
                <w:sz w:val="20"/>
              </w:rPr>
              <w:t xml:space="preserve"> </w:t>
            </w:r>
            <w:r w:rsidRPr="00150EDC">
              <w:rPr>
                <w:sz w:val="20"/>
              </w:rPr>
              <w:t>or</w:t>
            </w:r>
            <w:r w:rsidRPr="00150EDC">
              <w:rPr>
                <w:spacing w:val="-3"/>
                <w:sz w:val="20"/>
              </w:rPr>
              <w:t xml:space="preserve"> </w:t>
            </w:r>
            <w:r w:rsidRPr="00150EDC">
              <w:rPr>
                <w:spacing w:val="-5"/>
                <w:sz w:val="20"/>
              </w:rPr>
              <w:t>17</w:t>
            </w:r>
          </w:p>
        </w:tc>
      </w:tr>
      <w:tr w:rsidR="004569EE" w:rsidRPr="007D3144" w14:paraId="44016B16" w14:textId="77777777">
        <w:trPr>
          <w:trHeight w:val="255"/>
        </w:trPr>
        <w:tc>
          <w:tcPr>
            <w:tcW w:w="6517" w:type="dxa"/>
          </w:tcPr>
          <w:p w14:paraId="7EE16623"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1"/>
                <w:sz w:val="20"/>
              </w:rPr>
              <w:t xml:space="preserve"> </w:t>
            </w:r>
            <w:r w:rsidRPr="00150EDC">
              <w:rPr>
                <w:sz w:val="20"/>
              </w:rPr>
              <w:t>(Northern</w:t>
            </w:r>
            <w:r w:rsidRPr="00150EDC">
              <w:rPr>
                <w:spacing w:val="-8"/>
                <w:sz w:val="20"/>
              </w:rPr>
              <w:t xml:space="preserve"> </w:t>
            </w:r>
            <w:r w:rsidRPr="00150EDC">
              <w:rPr>
                <w:sz w:val="20"/>
              </w:rPr>
              <w:t>Ireland)</w:t>
            </w:r>
            <w:r w:rsidRPr="00150EDC">
              <w:rPr>
                <w:spacing w:val="-3"/>
                <w:sz w:val="20"/>
              </w:rPr>
              <w:t xml:space="preserve"> </w:t>
            </w:r>
            <w:r w:rsidRPr="00150EDC">
              <w:rPr>
                <w:sz w:val="20"/>
              </w:rPr>
              <w:t>Order</w:t>
            </w:r>
            <w:r w:rsidRPr="00150EDC">
              <w:rPr>
                <w:spacing w:val="-7"/>
                <w:sz w:val="20"/>
              </w:rPr>
              <w:t xml:space="preserve"> </w:t>
            </w:r>
            <w:r w:rsidRPr="00150EDC">
              <w:rPr>
                <w:sz w:val="20"/>
              </w:rPr>
              <w:t>2008,</w:t>
            </w:r>
            <w:r w:rsidRPr="00150EDC">
              <w:rPr>
                <w:spacing w:val="-7"/>
                <w:sz w:val="20"/>
              </w:rPr>
              <w:t xml:space="preserve"> </w:t>
            </w:r>
            <w:r w:rsidRPr="00150EDC">
              <w:rPr>
                <w:sz w:val="20"/>
              </w:rPr>
              <w:t>Art</w:t>
            </w:r>
            <w:r w:rsidRPr="00150EDC">
              <w:rPr>
                <w:spacing w:val="-7"/>
                <w:sz w:val="20"/>
              </w:rPr>
              <w:t xml:space="preserve"> </w:t>
            </w:r>
            <w:r w:rsidRPr="00150EDC">
              <w:rPr>
                <w:spacing w:val="-5"/>
                <w:sz w:val="20"/>
              </w:rPr>
              <w:t>43</w:t>
            </w:r>
          </w:p>
        </w:tc>
        <w:tc>
          <w:tcPr>
            <w:tcW w:w="7427" w:type="dxa"/>
          </w:tcPr>
          <w:p w14:paraId="281836F7" w14:textId="77777777" w:rsidR="004C7180" w:rsidRPr="00150EDC" w:rsidRDefault="00CF0754">
            <w:pPr>
              <w:pStyle w:val="TableParagraph"/>
              <w:rPr>
                <w:sz w:val="20"/>
              </w:rPr>
            </w:pPr>
            <w:r w:rsidRPr="00150EDC">
              <w:rPr>
                <w:sz w:val="20"/>
              </w:rPr>
              <w:t>Sexual</w:t>
            </w:r>
            <w:r w:rsidRPr="00150EDC">
              <w:rPr>
                <w:spacing w:val="-3"/>
                <w:sz w:val="20"/>
              </w:rPr>
              <w:t xml:space="preserve"> </w:t>
            </w:r>
            <w:r w:rsidRPr="00150EDC">
              <w:rPr>
                <w:sz w:val="20"/>
              </w:rPr>
              <w:t>activity</w:t>
            </w:r>
            <w:r w:rsidRPr="00150EDC">
              <w:rPr>
                <w:spacing w:val="-4"/>
                <w:sz w:val="20"/>
              </w:rPr>
              <w:t xml:space="preserve"> </w:t>
            </w:r>
            <w:r w:rsidRPr="00150EDC">
              <w:rPr>
                <w:sz w:val="20"/>
              </w:rPr>
              <w:t>with</w:t>
            </w:r>
            <w:r w:rsidRPr="00150EDC">
              <w:rPr>
                <w:spacing w:val="-4"/>
                <w:sz w:val="20"/>
              </w:rPr>
              <w:t xml:space="preserve"> </w:t>
            </w:r>
            <w:r w:rsidRPr="00150EDC">
              <w:rPr>
                <w:sz w:val="20"/>
              </w:rPr>
              <w:t>a</w:t>
            </w:r>
            <w:r w:rsidRPr="00150EDC">
              <w:rPr>
                <w:spacing w:val="-1"/>
                <w:sz w:val="20"/>
              </w:rPr>
              <w:t xml:space="preserve"> </w:t>
            </w:r>
            <w:r w:rsidRPr="00150EDC">
              <w:rPr>
                <w:sz w:val="20"/>
              </w:rPr>
              <w:t>person</w:t>
            </w:r>
            <w:r w:rsidRPr="00150EDC">
              <w:rPr>
                <w:spacing w:val="-5"/>
                <w:sz w:val="20"/>
              </w:rPr>
              <w:t xml:space="preserve"> </w:t>
            </w:r>
            <w:r w:rsidRPr="00150EDC">
              <w:rPr>
                <w:sz w:val="20"/>
              </w:rPr>
              <w:t>with</w:t>
            </w:r>
            <w:r w:rsidRPr="00150EDC">
              <w:rPr>
                <w:spacing w:val="-4"/>
                <w:sz w:val="20"/>
              </w:rPr>
              <w:t xml:space="preserve"> </w:t>
            </w:r>
            <w:r w:rsidRPr="00150EDC">
              <w:rPr>
                <w:sz w:val="20"/>
              </w:rPr>
              <w:t>a</w:t>
            </w:r>
            <w:r w:rsidRPr="00150EDC">
              <w:rPr>
                <w:spacing w:val="-1"/>
                <w:sz w:val="20"/>
              </w:rPr>
              <w:t xml:space="preserve"> </w:t>
            </w:r>
            <w:r w:rsidRPr="00150EDC">
              <w:rPr>
                <w:sz w:val="20"/>
              </w:rPr>
              <w:t>mental</w:t>
            </w:r>
            <w:r w:rsidRPr="00150EDC">
              <w:rPr>
                <w:spacing w:val="-2"/>
                <w:sz w:val="20"/>
              </w:rPr>
              <w:t xml:space="preserve"> </w:t>
            </w:r>
            <w:r w:rsidRPr="00150EDC">
              <w:rPr>
                <w:sz w:val="20"/>
              </w:rPr>
              <w:t>disorder</w:t>
            </w:r>
            <w:r w:rsidRPr="00150EDC">
              <w:rPr>
                <w:spacing w:val="-5"/>
                <w:sz w:val="20"/>
              </w:rPr>
              <w:t xml:space="preserve"> </w:t>
            </w:r>
            <w:r w:rsidRPr="00150EDC">
              <w:rPr>
                <w:sz w:val="20"/>
              </w:rPr>
              <w:t>impeding</w:t>
            </w:r>
            <w:r w:rsidRPr="00150EDC">
              <w:rPr>
                <w:spacing w:val="-4"/>
                <w:sz w:val="20"/>
              </w:rPr>
              <w:t xml:space="preserve"> </w:t>
            </w:r>
            <w:r w:rsidRPr="00150EDC">
              <w:rPr>
                <w:spacing w:val="-2"/>
                <w:sz w:val="20"/>
              </w:rPr>
              <w:t>choice</w:t>
            </w:r>
          </w:p>
        </w:tc>
      </w:tr>
      <w:tr w:rsidR="004569EE" w:rsidRPr="007D3144" w14:paraId="7748D9B6" w14:textId="77777777">
        <w:trPr>
          <w:trHeight w:val="460"/>
        </w:trPr>
        <w:tc>
          <w:tcPr>
            <w:tcW w:w="6517" w:type="dxa"/>
          </w:tcPr>
          <w:p w14:paraId="0575FE2B" w14:textId="77777777" w:rsidR="004C7180" w:rsidRPr="00150EDC" w:rsidRDefault="004C7180">
            <w:pPr>
              <w:pStyle w:val="TableParagraph"/>
              <w:spacing w:before="2" w:line="240" w:lineRule="auto"/>
              <w:ind w:left="0"/>
              <w:rPr>
                <w:sz w:val="20"/>
              </w:rPr>
            </w:pPr>
          </w:p>
          <w:p w14:paraId="1AA45C90" w14:textId="77777777" w:rsidR="004C7180" w:rsidRPr="00150EDC" w:rsidRDefault="00CF0754">
            <w:pPr>
              <w:pStyle w:val="TableParagraph"/>
              <w:spacing w:before="1"/>
              <w:rPr>
                <w:sz w:val="20"/>
              </w:rPr>
            </w:pPr>
            <w:r w:rsidRPr="00150EDC">
              <w:rPr>
                <w:sz w:val="20"/>
              </w:rPr>
              <w:t>Sexual</w:t>
            </w:r>
            <w:r w:rsidRPr="00150EDC">
              <w:rPr>
                <w:spacing w:val="-6"/>
                <w:sz w:val="20"/>
              </w:rPr>
              <w:t xml:space="preserve"> </w:t>
            </w:r>
            <w:r w:rsidRPr="00150EDC">
              <w:rPr>
                <w:sz w:val="20"/>
              </w:rPr>
              <w:t>Offences</w:t>
            </w:r>
            <w:r w:rsidRPr="00150EDC">
              <w:rPr>
                <w:spacing w:val="-2"/>
                <w:sz w:val="20"/>
              </w:rPr>
              <w:t xml:space="preserve"> </w:t>
            </w:r>
            <w:r w:rsidRPr="00150EDC">
              <w:rPr>
                <w:sz w:val="20"/>
              </w:rPr>
              <w:t>(Northern</w:t>
            </w:r>
            <w:r w:rsidRPr="00150EDC">
              <w:rPr>
                <w:spacing w:val="-7"/>
                <w:sz w:val="20"/>
              </w:rPr>
              <w:t xml:space="preserve"> </w:t>
            </w:r>
            <w:r w:rsidRPr="00150EDC">
              <w:rPr>
                <w:sz w:val="20"/>
              </w:rPr>
              <w:t>Ireland)</w:t>
            </w:r>
            <w:r w:rsidRPr="00150EDC">
              <w:rPr>
                <w:spacing w:val="-4"/>
                <w:sz w:val="20"/>
              </w:rPr>
              <w:t xml:space="preserve"> </w:t>
            </w:r>
            <w:r w:rsidRPr="00150EDC">
              <w:rPr>
                <w:sz w:val="20"/>
              </w:rPr>
              <w:t>Order</w:t>
            </w:r>
            <w:r w:rsidRPr="00150EDC">
              <w:rPr>
                <w:spacing w:val="-8"/>
                <w:sz w:val="20"/>
              </w:rPr>
              <w:t xml:space="preserve"> </w:t>
            </w:r>
            <w:r w:rsidRPr="00150EDC">
              <w:rPr>
                <w:sz w:val="20"/>
              </w:rPr>
              <w:t>2008,</w:t>
            </w:r>
            <w:r w:rsidRPr="00150EDC">
              <w:rPr>
                <w:spacing w:val="-7"/>
                <w:sz w:val="20"/>
              </w:rPr>
              <w:t xml:space="preserve"> </w:t>
            </w:r>
            <w:r w:rsidRPr="00150EDC">
              <w:rPr>
                <w:sz w:val="20"/>
              </w:rPr>
              <w:t>Art</w:t>
            </w:r>
            <w:r w:rsidRPr="00150EDC">
              <w:rPr>
                <w:spacing w:val="-7"/>
                <w:sz w:val="20"/>
              </w:rPr>
              <w:t xml:space="preserve"> </w:t>
            </w:r>
            <w:r w:rsidRPr="00150EDC">
              <w:rPr>
                <w:spacing w:val="-5"/>
                <w:sz w:val="20"/>
              </w:rPr>
              <w:t>44</w:t>
            </w:r>
          </w:p>
        </w:tc>
        <w:tc>
          <w:tcPr>
            <w:tcW w:w="7427" w:type="dxa"/>
          </w:tcPr>
          <w:p w14:paraId="2E7FC8D8" w14:textId="77777777" w:rsidR="004C7180" w:rsidRPr="00150EDC" w:rsidRDefault="00CF0754">
            <w:pPr>
              <w:pStyle w:val="TableParagraph"/>
              <w:spacing w:before="0" w:line="230" w:lineRule="atLeast"/>
              <w:ind w:right="186"/>
              <w:rPr>
                <w:sz w:val="20"/>
              </w:rPr>
            </w:pPr>
            <w:r w:rsidRPr="00150EDC">
              <w:rPr>
                <w:sz w:val="20"/>
              </w:rPr>
              <w:t>Causing</w:t>
            </w:r>
            <w:r w:rsidRPr="00150EDC">
              <w:rPr>
                <w:spacing w:val="-6"/>
                <w:sz w:val="20"/>
              </w:rPr>
              <w:t xml:space="preserve"> </w:t>
            </w:r>
            <w:r w:rsidRPr="00150EDC">
              <w:rPr>
                <w:sz w:val="20"/>
              </w:rPr>
              <w:t>or</w:t>
            </w:r>
            <w:r w:rsidRPr="00150EDC">
              <w:rPr>
                <w:spacing w:val="-1"/>
                <w:sz w:val="20"/>
              </w:rPr>
              <w:t xml:space="preserve"> </w:t>
            </w:r>
            <w:r w:rsidRPr="00150EDC">
              <w:rPr>
                <w:sz w:val="20"/>
              </w:rPr>
              <w:t>inciting</w:t>
            </w:r>
            <w:r w:rsidRPr="00150EDC">
              <w:rPr>
                <w:spacing w:val="-6"/>
                <w:sz w:val="20"/>
              </w:rPr>
              <w:t xml:space="preserve"> </w:t>
            </w:r>
            <w:r w:rsidRPr="00150EDC">
              <w:rPr>
                <w:sz w:val="20"/>
              </w:rPr>
              <w:t>a</w:t>
            </w:r>
            <w:r w:rsidRPr="00150EDC">
              <w:rPr>
                <w:spacing w:val="-1"/>
                <w:sz w:val="20"/>
              </w:rPr>
              <w:t xml:space="preserve"> </w:t>
            </w:r>
            <w:r w:rsidRPr="00150EDC">
              <w:rPr>
                <w:sz w:val="20"/>
              </w:rPr>
              <w:t>person,</w:t>
            </w:r>
            <w:r w:rsidRPr="00150EDC">
              <w:rPr>
                <w:spacing w:val="-6"/>
                <w:sz w:val="20"/>
              </w:rPr>
              <w:t xml:space="preserve"> </w:t>
            </w:r>
            <w:r w:rsidRPr="00150EDC">
              <w:rPr>
                <w:sz w:val="20"/>
              </w:rPr>
              <w:t>with</w:t>
            </w:r>
            <w:r w:rsidRPr="00150EDC">
              <w:rPr>
                <w:spacing w:val="-1"/>
                <w:sz w:val="20"/>
              </w:rPr>
              <w:t xml:space="preserve"> </w:t>
            </w:r>
            <w:r w:rsidRPr="00150EDC">
              <w:rPr>
                <w:sz w:val="20"/>
              </w:rPr>
              <w:t>a</w:t>
            </w:r>
            <w:r w:rsidRPr="00150EDC">
              <w:rPr>
                <w:spacing w:val="-6"/>
                <w:sz w:val="20"/>
              </w:rPr>
              <w:t xml:space="preserve"> </w:t>
            </w:r>
            <w:r w:rsidRPr="00150EDC">
              <w:rPr>
                <w:sz w:val="20"/>
              </w:rPr>
              <w:t>mental</w:t>
            </w:r>
            <w:r w:rsidRPr="00150EDC">
              <w:rPr>
                <w:spacing w:val="-4"/>
                <w:sz w:val="20"/>
              </w:rPr>
              <w:t xml:space="preserve"> </w:t>
            </w:r>
            <w:r w:rsidRPr="00150EDC">
              <w:rPr>
                <w:sz w:val="20"/>
              </w:rPr>
              <w:t>disorder</w:t>
            </w:r>
            <w:r w:rsidRPr="00150EDC">
              <w:rPr>
                <w:spacing w:val="-6"/>
                <w:sz w:val="20"/>
              </w:rPr>
              <w:t xml:space="preserve"> </w:t>
            </w:r>
            <w:r w:rsidRPr="00150EDC">
              <w:rPr>
                <w:sz w:val="20"/>
              </w:rPr>
              <w:t>impeding</w:t>
            </w:r>
            <w:r w:rsidRPr="00150EDC">
              <w:rPr>
                <w:spacing w:val="-6"/>
                <w:sz w:val="20"/>
              </w:rPr>
              <w:t xml:space="preserve"> </w:t>
            </w:r>
            <w:r w:rsidRPr="00150EDC">
              <w:rPr>
                <w:sz w:val="20"/>
              </w:rPr>
              <w:t>choice, to</w:t>
            </w:r>
            <w:r w:rsidRPr="00150EDC">
              <w:rPr>
                <w:spacing w:val="-6"/>
                <w:sz w:val="20"/>
              </w:rPr>
              <w:t xml:space="preserve"> </w:t>
            </w:r>
            <w:r w:rsidRPr="00150EDC">
              <w:rPr>
                <w:sz w:val="20"/>
              </w:rPr>
              <w:t>engage in sexual activity</w:t>
            </w:r>
          </w:p>
        </w:tc>
      </w:tr>
      <w:tr w:rsidR="004569EE" w:rsidRPr="007D3144" w14:paraId="03B60382" w14:textId="77777777">
        <w:trPr>
          <w:trHeight w:val="460"/>
        </w:trPr>
        <w:tc>
          <w:tcPr>
            <w:tcW w:w="6517" w:type="dxa"/>
          </w:tcPr>
          <w:p w14:paraId="40D513C1" w14:textId="77777777" w:rsidR="004C7180" w:rsidRPr="00150EDC" w:rsidRDefault="004C7180">
            <w:pPr>
              <w:pStyle w:val="TableParagraph"/>
              <w:spacing w:before="2" w:line="240" w:lineRule="auto"/>
              <w:ind w:left="0"/>
              <w:rPr>
                <w:sz w:val="20"/>
              </w:rPr>
            </w:pPr>
          </w:p>
          <w:p w14:paraId="496397AC" w14:textId="77777777" w:rsidR="004C7180" w:rsidRPr="00150EDC" w:rsidRDefault="00CF0754">
            <w:pPr>
              <w:pStyle w:val="TableParagraph"/>
              <w:spacing w:before="0"/>
              <w:rPr>
                <w:sz w:val="20"/>
              </w:rPr>
            </w:pPr>
            <w:r w:rsidRPr="00150EDC">
              <w:rPr>
                <w:sz w:val="20"/>
              </w:rPr>
              <w:t>Sexual</w:t>
            </w:r>
            <w:r w:rsidRPr="00150EDC">
              <w:rPr>
                <w:spacing w:val="-6"/>
                <w:sz w:val="20"/>
              </w:rPr>
              <w:t xml:space="preserve"> </w:t>
            </w:r>
            <w:r w:rsidRPr="00150EDC">
              <w:rPr>
                <w:sz w:val="20"/>
              </w:rPr>
              <w:t>Offences</w:t>
            </w:r>
            <w:r w:rsidRPr="00150EDC">
              <w:rPr>
                <w:spacing w:val="-2"/>
                <w:sz w:val="20"/>
              </w:rPr>
              <w:t xml:space="preserve"> </w:t>
            </w:r>
            <w:r w:rsidRPr="00150EDC">
              <w:rPr>
                <w:sz w:val="20"/>
              </w:rPr>
              <w:t>(Northern</w:t>
            </w:r>
            <w:r w:rsidRPr="00150EDC">
              <w:rPr>
                <w:spacing w:val="-7"/>
                <w:sz w:val="20"/>
              </w:rPr>
              <w:t xml:space="preserve"> </w:t>
            </w:r>
            <w:r w:rsidRPr="00150EDC">
              <w:rPr>
                <w:sz w:val="20"/>
              </w:rPr>
              <w:t>Ireland)</w:t>
            </w:r>
            <w:r w:rsidRPr="00150EDC">
              <w:rPr>
                <w:spacing w:val="-4"/>
                <w:sz w:val="20"/>
              </w:rPr>
              <w:t xml:space="preserve"> </w:t>
            </w:r>
            <w:r w:rsidRPr="00150EDC">
              <w:rPr>
                <w:sz w:val="20"/>
              </w:rPr>
              <w:t>Order</w:t>
            </w:r>
            <w:r w:rsidRPr="00150EDC">
              <w:rPr>
                <w:spacing w:val="-8"/>
                <w:sz w:val="20"/>
              </w:rPr>
              <w:t xml:space="preserve"> </w:t>
            </w:r>
            <w:r w:rsidRPr="00150EDC">
              <w:rPr>
                <w:sz w:val="20"/>
              </w:rPr>
              <w:t>2008,</w:t>
            </w:r>
            <w:r w:rsidRPr="00150EDC">
              <w:rPr>
                <w:spacing w:val="-7"/>
                <w:sz w:val="20"/>
              </w:rPr>
              <w:t xml:space="preserve"> </w:t>
            </w:r>
            <w:r w:rsidRPr="00150EDC">
              <w:rPr>
                <w:sz w:val="20"/>
              </w:rPr>
              <w:t>Art</w:t>
            </w:r>
            <w:r w:rsidRPr="00150EDC">
              <w:rPr>
                <w:spacing w:val="-7"/>
                <w:sz w:val="20"/>
              </w:rPr>
              <w:t xml:space="preserve"> </w:t>
            </w:r>
            <w:r w:rsidRPr="00150EDC">
              <w:rPr>
                <w:spacing w:val="-5"/>
                <w:sz w:val="20"/>
              </w:rPr>
              <w:t>45</w:t>
            </w:r>
          </w:p>
        </w:tc>
        <w:tc>
          <w:tcPr>
            <w:tcW w:w="7427" w:type="dxa"/>
          </w:tcPr>
          <w:p w14:paraId="0CBE830B" w14:textId="77777777" w:rsidR="004C7180" w:rsidRPr="00150EDC" w:rsidRDefault="00CF0754">
            <w:pPr>
              <w:pStyle w:val="TableParagraph"/>
              <w:spacing w:before="0" w:line="230" w:lineRule="atLeast"/>
              <w:rPr>
                <w:sz w:val="20"/>
              </w:rPr>
            </w:pPr>
            <w:r w:rsidRPr="00150EDC">
              <w:rPr>
                <w:sz w:val="20"/>
              </w:rPr>
              <w:t>Engaging</w:t>
            </w:r>
            <w:r w:rsidRPr="00150EDC">
              <w:rPr>
                <w:spacing w:val="-5"/>
                <w:sz w:val="20"/>
              </w:rPr>
              <w:t xml:space="preserve"> </w:t>
            </w:r>
            <w:r w:rsidRPr="00150EDC">
              <w:rPr>
                <w:sz w:val="20"/>
              </w:rPr>
              <w:t>in</w:t>
            </w:r>
            <w:r w:rsidRPr="00150EDC">
              <w:rPr>
                <w:spacing w:val="-5"/>
                <w:sz w:val="20"/>
              </w:rPr>
              <w:t xml:space="preserve"> </w:t>
            </w:r>
            <w:r w:rsidRPr="00150EDC">
              <w:rPr>
                <w:sz w:val="20"/>
              </w:rPr>
              <w:t>sexual</w:t>
            </w:r>
            <w:r w:rsidRPr="00150EDC">
              <w:rPr>
                <w:spacing w:val="-3"/>
                <w:sz w:val="20"/>
              </w:rPr>
              <w:t xml:space="preserve"> </w:t>
            </w:r>
            <w:r w:rsidRPr="00150EDC">
              <w:rPr>
                <w:sz w:val="20"/>
              </w:rPr>
              <w:t>activity</w:t>
            </w:r>
            <w:r w:rsidRPr="00150EDC">
              <w:rPr>
                <w:spacing w:val="-4"/>
                <w:sz w:val="20"/>
              </w:rPr>
              <w:t xml:space="preserve"> </w:t>
            </w:r>
            <w:r w:rsidRPr="00150EDC">
              <w:rPr>
                <w:sz w:val="20"/>
              </w:rPr>
              <w:t>in</w:t>
            </w:r>
            <w:r w:rsidRPr="00150EDC">
              <w:rPr>
                <w:spacing w:val="-5"/>
                <w:sz w:val="20"/>
              </w:rPr>
              <w:t xml:space="preserve"> </w:t>
            </w:r>
            <w:r w:rsidRPr="00150EDC">
              <w:rPr>
                <w:sz w:val="20"/>
              </w:rPr>
              <w:t>the presence</w:t>
            </w:r>
            <w:r w:rsidRPr="00150EDC">
              <w:rPr>
                <w:spacing w:val="-5"/>
                <w:sz w:val="20"/>
              </w:rPr>
              <w:t xml:space="preserve"> </w:t>
            </w:r>
            <w:r w:rsidRPr="00150EDC">
              <w:rPr>
                <w:sz w:val="20"/>
              </w:rPr>
              <w:t>of a</w:t>
            </w:r>
            <w:r w:rsidRPr="00150EDC">
              <w:rPr>
                <w:spacing w:val="-5"/>
                <w:sz w:val="20"/>
              </w:rPr>
              <w:t xml:space="preserve"> </w:t>
            </w:r>
            <w:r w:rsidRPr="00150EDC">
              <w:rPr>
                <w:sz w:val="20"/>
              </w:rPr>
              <w:t>person</w:t>
            </w:r>
            <w:r w:rsidRPr="00150EDC">
              <w:rPr>
                <w:spacing w:val="-5"/>
                <w:sz w:val="20"/>
              </w:rPr>
              <w:t xml:space="preserve"> </w:t>
            </w:r>
            <w:r w:rsidRPr="00150EDC">
              <w:rPr>
                <w:sz w:val="20"/>
              </w:rPr>
              <w:t>with</w:t>
            </w:r>
            <w:r w:rsidRPr="00150EDC">
              <w:rPr>
                <w:spacing w:val="-5"/>
                <w:sz w:val="20"/>
              </w:rPr>
              <w:t xml:space="preserve"> </w:t>
            </w:r>
            <w:r w:rsidRPr="00150EDC">
              <w:rPr>
                <w:sz w:val="20"/>
              </w:rPr>
              <w:t>a</w:t>
            </w:r>
            <w:r w:rsidRPr="00150EDC">
              <w:rPr>
                <w:spacing w:val="-5"/>
                <w:sz w:val="20"/>
              </w:rPr>
              <w:t xml:space="preserve"> </w:t>
            </w:r>
            <w:r w:rsidRPr="00150EDC">
              <w:rPr>
                <w:sz w:val="20"/>
              </w:rPr>
              <w:t>mental</w:t>
            </w:r>
            <w:r w:rsidRPr="00150EDC">
              <w:rPr>
                <w:spacing w:val="-3"/>
                <w:sz w:val="20"/>
              </w:rPr>
              <w:t xml:space="preserve"> </w:t>
            </w:r>
            <w:r w:rsidRPr="00150EDC">
              <w:rPr>
                <w:sz w:val="20"/>
              </w:rPr>
              <w:t>disorder impeding choice</w:t>
            </w:r>
          </w:p>
        </w:tc>
      </w:tr>
      <w:tr w:rsidR="004569EE" w:rsidRPr="007D3144" w14:paraId="320C098B" w14:textId="77777777">
        <w:trPr>
          <w:trHeight w:val="250"/>
        </w:trPr>
        <w:tc>
          <w:tcPr>
            <w:tcW w:w="6517" w:type="dxa"/>
            <w:tcBorders>
              <w:bottom w:val="single" w:sz="12" w:space="0" w:color="000000"/>
            </w:tcBorders>
          </w:tcPr>
          <w:p w14:paraId="78B142C7" w14:textId="77777777" w:rsidR="004C7180" w:rsidRPr="00150EDC" w:rsidRDefault="00CF0754">
            <w:pPr>
              <w:pStyle w:val="TableParagraph"/>
              <w:spacing w:line="203" w:lineRule="exact"/>
              <w:rPr>
                <w:sz w:val="20"/>
              </w:rPr>
            </w:pPr>
            <w:r w:rsidRPr="00150EDC">
              <w:rPr>
                <w:sz w:val="20"/>
              </w:rPr>
              <w:t>Sexual</w:t>
            </w:r>
            <w:r w:rsidRPr="00150EDC">
              <w:rPr>
                <w:spacing w:val="-6"/>
                <w:sz w:val="20"/>
              </w:rPr>
              <w:t xml:space="preserve"> </w:t>
            </w:r>
            <w:r w:rsidRPr="00150EDC">
              <w:rPr>
                <w:sz w:val="20"/>
              </w:rPr>
              <w:t>Offences</w:t>
            </w:r>
            <w:r w:rsidRPr="00150EDC">
              <w:rPr>
                <w:spacing w:val="-2"/>
                <w:sz w:val="20"/>
              </w:rPr>
              <w:t xml:space="preserve"> </w:t>
            </w:r>
            <w:r w:rsidRPr="00150EDC">
              <w:rPr>
                <w:sz w:val="20"/>
              </w:rPr>
              <w:t>(Northern</w:t>
            </w:r>
            <w:r w:rsidRPr="00150EDC">
              <w:rPr>
                <w:spacing w:val="-7"/>
                <w:sz w:val="20"/>
              </w:rPr>
              <w:t xml:space="preserve"> </w:t>
            </w:r>
            <w:r w:rsidRPr="00150EDC">
              <w:rPr>
                <w:sz w:val="20"/>
              </w:rPr>
              <w:t>Ireland)</w:t>
            </w:r>
            <w:r w:rsidRPr="00150EDC">
              <w:rPr>
                <w:spacing w:val="-4"/>
                <w:sz w:val="20"/>
              </w:rPr>
              <w:t xml:space="preserve"> </w:t>
            </w:r>
            <w:r w:rsidRPr="00150EDC">
              <w:rPr>
                <w:sz w:val="20"/>
              </w:rPr>
              <w:t>Order</w:t>
            </w:r>
            <w:r w:rsidRPr="00150EDC">
              <w:rPr>
                <w:spacing w:val="-8"/>
                <w:sz w:val="20"/>
              </w:rPr>
              <w:t xml:space="preserve"> </w:t>
            </w:r>
            <w:r w:rsidRPr="00150EDC">
              <w:rPr>
                <w:sz w:val="20"/>
              </w:rPr>
              <w:t>2008,</w:t>
            </w:r>
            <w:r w:rsidRPr="00150EDC">
              <w:rPr>
                <w:spacing w:val="-7"/>
                <w:sz w:val="20"/>
              </w:rPr>
              <w:t xml:space="preserve"> </w:t>
            </w:r>
            <w:r w:rsidRPr="00150EDC">
              <w:rPr>
                <w:sz w:val="20"/>
              </w:rPr>
              <w:t>Art</w:t>
            </w:r>
            <w:r w:rsidRPr="00150EDC">
              <w:rPr>
                <w:spacing w:val="-7"/>
                <w:sz w:val="20"/>
              </w:rPr>
              <w:t xml:space="preserve"> </w:t>
            </w:r>
            <w:r w:rsidRPr="00150EDC">
              <w:rPr>
                <w:spacing w:val="-5"/>
                <w:sz w:val="20"/>
              </w:rPr>
              <w:t>46</w:t>
            </w:r>
          </w:p>
        </w:tc>
        <w:tc>
          <w:tcPr>
            <w:tcW w:w="7427" w:type="dxa"/>
            <w:tcBorders>
              <w:bottom w:val="single" w:sz="12" w:space="0" w:color="000000"/>
            </w:tcBorders>
          </w:tcPr>
          <w:p w14:paraId="435BC11B" w14:textId="77777777" w:rsidR="004C7180" w:rsidRPr="00150EDC" w:rsidRDefault="00CF0754">
            <w:pPr>
              <w:pStyle w:val="TableParagraph"/>
              <w:spacing w:line="203" w:lineRule="exact"/>
              <w:rPr>
                <w:sz w:val="20"/>
              </w:rPr>
            </w:pPr>
            <w:r w:rsidRPr="00150EDC">
              <w:rPr>
                <w:sz w:val="20"/>
              </w:rPr>
              <w:t>Causing</w:t>
            </w:r>
            <w:r w:rsidRPr="00150EDC">
              <w:rPr>
                <w:spacing w:val="-5"/>
                <w:sz w:val="20"/>
              </w:rPr>
              <w:t xml:space="preserve"> </w:t>
            </w:r>
            <w:r w:rsidRPr="00150EDC">
              <w:rPr>
                <w:sz w:val="20"/>
              </w:rPr>
              <w:t>a</w:t>
            </w:r>
            <w:r w:rsidRPr="00150EDC">
              <w:rPr>
                <w:spacing w:val="-5"/>
                <w:sz w:val="20"/>
              </w:rPr>
              <w:t xml:space="preserve"> </w:t>
            </w:r>
            <w:r w:rsidRPr="00150EDC">
              <w:rPr>
                <w:sz w:val="20"/>
              </w:rPr>
              <w:t>person,</w:t>
            </w:r>
            <w:r w:rsidRPr="00150EDC">
              <w:rPr>
                <w:spacing w:val="-4"/>
                <w:sz w:val="20"/>
              </w:rPr>
              <w:t xml:space="preserve"> </w:t>
            </w:r>
            <w:r w:rsidRPr="00150EDC">
              <w:rPr>
                <w:sz w:val="20"/>
              </w:rPr>
              <w:t>with</w:t>
            </w:r>
            <w:r w:rsidRPr="00150EDC">
              <w:rPr>
                <w:spacing w:val="-5"/>
                <w:sz w:val="20"/>
              </w:rPr>
              <w:t xml:space="preserve"> </w:t>
            </w:r>
            <w:r w:rsidRPr="00150EDC">
              <w:rPr>
                <w:sz w:val="20"/>
              </w:rPr>
              <w:t>a</w:t>
            </w:r>
            <w:r w:rsidRPr="00150EDC">
              <w:rPr>
                <w:spacing w:val="-1"/>
                <w:sz w:val="20"/>
              </w:rPr>
              <w:t xml:space="preserve"> </w:t>
            </w:r>
            <w:r w:rsidRPr="00150EDC">
              <w:rPr>
                <w:sz w:val="20"/>
              </w:rPr>
              <w:t>mental</w:t>
            </w:r>
            <w:r w:rsidRPr="00150EDC">
              <w:rPr>
                <w:spacing w:val="-2"/>
                <w:sz w:val="20"/>
              </w:rPr>
              <w:t xml:space="preserve"> </w:t>
            </w:r>
            <w:r w:rsidRPr="00150EDC">
              <w:rPr>
                <w:sz w:val="20"/>
              </w:rPr>
              <w:t>disorder</w:t>
            </w:r>
            <w:r w:rsidRPr="00150EDC">
              <w:rPr>
                <w:spacing w:val="-5"/>
                <w:sz w:val="20"/>
              </w:rPr>
              <w:t xml:space="preserve"> </w:t>
            </w:r>
            <w:r w:rsidRPr="00150EDC">
              <w:rPr>
                <w:sz w:val="20"/>
              </w:rPr>
              <w:t>impeding choice,</w:t>
            </w:r>
            <w:r w:rsidRPr="00150EDC">
              <w:rPr>
                <w:spacing w:val="-4"/>
                <w:sz w:val="20"/>
              </w:rPr>
              <w:t xml:space="preserve"> </w:t>
            </w:r>
            <w:r w:rsidRPr="00150EDC">
              <w:rPr>
                <w:sz w:val="20"/>
              </w:rPr>
              <w:t>to</w:t>
            </w:r>
            <w:r w:rsidRPr="00150EDC">
              <w:rPr>
                <w:spacing w:val="-5"/>
                <w:sz w:val="20"/>
              </w:rPr>
              <w:t xml:space="preserve"> </w:t>
            </w:r>
            <w:r w:rsidRPr="00150EDC">
              <w:rPr>
                <w:sz w:val="20"/>
              </w:rPr>
              <w:t>watch a</w:t>
            </w:r>
            <w:r w:rsidRPr="00150EDC">
              <w:rPr>
                <w:spacing w:val="-4"/>
                <w:sz w:val="20"/>
              </w:rPr>
              <w:t xml:space="preserve"> </w:t>
            </w:r>
            <w:r w:rsidRPr="00150EDC">
              <w:rPr>
                <w:sz w:val="20"/>
              </w:rPr>
              <w:t>sexual</w:t>
            </w:r>
            <w:r w:rsidRPr="00150EDC">
              <w:rPr>
                <w:spacing w:val="-3"/>
                <w:sz w:val="20"/>
              </w:rPr>
              <w:t xml:space="preserve"> </w:t>
            </w:r>
            <w:r w:rsidRPr="00150EDC">
              <w:rPr>
                <w:spacing w:val="-5"/>
                <w:sz w:val="20"/>
              </w:rPr>
              <w:t>act</w:t>
            </w:r>
          </w:p>
        </w:tc>
      </w:tr>
      <w:tr w:rsidR="004569EE" w:rsidRPr="007D3144" w14:paraId="6AC0A82B" w14:textId="77777777">
        <w:trPr>
          <w:trHeight w:val="455"/>
        </w:trPr>
        <w:tc>
          <w:tcPr>
            <w:tcW w:w="6517" w:type="dxa"/>
            <w:tcBorders>
              <w:top w:val="single" w:sz="12" w:space="0" w:color="000000"/>
            </w:tcBorders>
          </w:tcPr>
          <w:p w14:paraId="12D6E015" w14:textId="77777777" w:rsidR="004C7180" w:rsidRPr="00150EDC" w:rsidRDefault="004C7180">
            <w:pPr>
              <w:pStyle w:val="TableParagraph"/>
              <w:spacing w:before="9" w:line="240" w:lineRule="auto"/>
              <w:ind w:left="0"/>
              <w:rPr>
                <w:sz w:val="19"/>
              </w:rPr>
            </w:pPr>
          </w:p>
          <w:p w14:paraId="585F3D26" w14:textId="77777777" w:rsidR="004C7180" w:rsidRPr="00150EDC" w:rsidRDefault="00CF0754">
            <w:pPr>
              <w:pStyle w:val="TableParagraph"/>
              <w:spacing w:before="0"/>
              <w:rPr>
                <w:sz w:val="20"/>
              </w:rPr>
            </w:pPr>
            <w:r w:rsidRPr="00150EDC">
              <w:rPr>
                <w:sz w:val="20"/>
              </w:rPr>
              <w:t>Sexual</w:t>
            </w:r>
            <w:r w:rsidRPr="00150EDC">
              <w:rPr>
                <w:spacing w:val="-6"/>
                <w:sz w:val="20"/>
              </w:rPr>
              <w:t xml:space="preserve"> </w:t>
            </w:r>
            <w:r w:rsidRPr="00150EDC">
              <w:rPr>
                <w:sz w:val="20"/>
              </w:rPr>
              <w:t>Offences</w:t>
            </w:r>
            <w:r w:rsidRPr="00150EDC">
              <w:rPr>
                <w:spacing w:val="-2"/>
                <w:sz w:val="20"/>
              </w:rPr>
              <w:t xml:space="preserve"> </w:t>
            </w:r>
            <w:r w:rsidRPr="00150EDC">
              <w:rPr>
                <w:sz w:val="20"/>
              </w:rPr>
              <w:t>(Northern</w:t>
            </w:r>
            <w:r w:rsidRPr="00150EDC">
              <w:rPr>
                <w:spacing w:val="-7"/>
                <w:sz w:val="20"/>
              </w:rPr>
              <w:t xml:space="preserve"> </w:t>
            </w:r>
            <w:r w:rsidRPr="00150EDC">
              <w:rPr>
                <w:sz w:val="20"/>
              </w:rPr>
              <w:t>Ireland)</w:t>
            </w:r>
            <w:r w:rsidRPr="00150EDC">
              <w:rPr>
                <w:spacing w:val="-4"/>
                <w:sz w:val="20"/>
              </w:rPr>
              <w:t xml:space="preserve"> </w:t>
            </w:r>
            <w:r w:rsidRPr="00150EDC">
              <w:rPr>
                <w:sz w:val="20"/>
              </w:rPr>
              <w:t>Order</w:t>
            </w:r>
            <w:r w:rsidRPr="00150EDC">
              <w:rPr>
                <w:spacing w:val="-8"/>
                <w:sz w:val="20"/>
              </w:rPr>
              <w:t xml:space="preserve"> </w:t>
            </w:r>
            <w:r w:rsidRPr="00150EDC">
              <w:rPr>
                <w:sz w:val="20"/>
              </w:rPr>
              <w:t>2008,</w:t>
            </w:r>
            <w:r w:rsidRPr="00150EDC">
              <w:rPr>
                <w:spacing w:val="-7"/>
                <w:sz w:val="20"/>
              </w:rPr>
              <w:t xml:space="preserve"> </w:t>
            </w:r>
            <w:r w:rsidRPr="00150EDC">
              <w:rPr>
                <w:sz w:val="20"/>
              </w:rPr>
              <w:t>Art</w:t>
            </w:r>
            <w:r w:rsidRPr="00150EDC">
              <w:rPr>
                <w:spacing w:val="-7"/>
                <w:sz w:val="20"/>
              </w:rPr>
              <w:t xml:space="preserve"> </w:t>
            </w:r>
            <w:r w:rsidRPr="00150EDC">
              <w:rPr>
                <w:spacing w:val="-5"/>
                <w:sz w:val="20"/>
              </w:rPr>
              <w:t>47</w:t>
            </w:r>
          </w:p>
        </w:tc>
        <w:tc>
          <w:tcPr>
            <w:tcW w:w="7427" w:type="dxa"/>
            <w:tcBorders>
              <w:top w:val="single" w:sz="12" w:space="0" w:color="000000"/>
            </w:tcBorders>
          </w:tcPr>
          <w:p w14:paraId="58B9CB7F" w14:textId="77777777" w:rsidR="004C7180" w:rsidRPr="00150EDC" w:rsidRDefault="00CF0754">
            <w:pPr>
              <w:pStyle w:val="TableParagraph"/>
              <w:spacing w:before="0" w:line="230" w:lineRule="exact"/>
              <w:rPr>
                <w:sz w:val="20"/>
              </w:rPr>
            </w:pPr>
            <w:r w:rsidRPr="00150EDC">
              <w:rPr>
                <w:sz w:val="20"/>
              </w:rPr>
              <w:t>Inducement,</w:t>
            </w:r>
            <w:r w:rsidRPr="00150EDC">
              <w:rPr>
                <w:spacing w:val="-6"/>
                <w:sz w:val="20"/>
              </w:rPr>
              <w:t xml:space="preserve"> </w:t>
            </w:r>
            <w:r w:rsidRPr="00150EDC">
              <w:rPr>
                <w:sz w:val="20"/>
              </w:rPr>
              <w:t>threat</w:t>
            </w:r>
            <w:r w:rsidRPr="00150EDC">
              <w:rPr>
                <w:spacing w:val="-6"/>
                <w:sz w:val="20"/>
              </w:rPr>
              <w:t xml:space="preserve"> </w:t>
            </w:r>
            <w:r w:rsidRPr="00150EDC">
              <w:rPr>
                <w:sz w:val="20"/>
              </w:rPr>
              <w:t>or</w:t>
            </w:r>
            <w:r w:rsidRPr="00150EDC">
              <w:rPr>
                <w:spacing w:val="-2"/>
                <w:sz w:val="20"/>
              </w:rPr>
              <w:t xml:space="preserve"> </w:t>
            </w:r>
            <w:r w:rsidRPr="00150EDC">
              <w:rPr>
                <w:sz w:val="20"/>
              </w:rPr>
              <w:t>deception</w:t>
            </w:r>
            <w:r w:rsidRPr="00150EDC">
              <w:rPr>
                <w:spacing w:val="-6"/>
                <w:sz w:val="20"/>
              </w:rPr>
              <w:t xml:space="preserve"> </w:t>
            </w:r>
            <w:r w:rsidRPr="00150EDC">
              <w:rPr>
                <w:sz w:val="20"/>
              </w:rPr>
              <w:t>to</w:t>
            </w:r>
            <w:r w:rsidRPr="00150EDC">
              <w:rPr>
                <w:spacing w:val="-1"/>
                <w:sz w:val="20"/>
              </w:rPr>
              <w:t xml:space="preserve"> </w:t>
            </w:r>
            <w:r w:rsidRPr="00150EDC">
              <w:rPr>
                <w:sz w:val="20"/>
              </w:rPr>
              <w:t>procure</w:t>
            </w:r>
            <w:r w:rsidRPr="00150EDC">
              <w:rPr>
                <w:spacing w:val="-6"/>
                <w:sz w:val="20"/>
              </w:rPr>
              <w:t xml:space="preserve"> </w:t>
            </w:r>
            <w:r w:rsidRPr="00150EDC">
              <w:rPr>
                <w:sz w:val="20"/>
              </w:rPr>
              <w:t>sexual</w:t>
            </w:r>
            <w:r w:rsidRPr="00150EDC">
              <w:rPr>
                <w:spacing w:val="-4"/>
                <w:sz w:val="20"/>
              </w:rPr>
              <w:t xml:space="preserve"> </w:t>
            </w:r>
            <w:r w:rsidRPr="00150EDC">
              <w:rPr>
                <w:sz w:val="20"/>
              </w:rPr>
              <w:t>activity with</w:t>
            </w:r>
            <w:r w:rsidRPr="00150EDC">
              <w:rPr>
                <w:spacing w:val="-6"/>
                <w:sz w:val="20"/>
              </w:rPr>
              <w:t xml:space="preserve"> </w:t>
            </w:r>
            <w:r w:rsidRPr="00150EDC">
              <w:rPr>
                <w:sz w:val="20"/>
              </w:rPr>
              <w:t>a</w:t>
            </w:r>
            <w:r w:rsidRPr="00150EDC">
              <w:rPr>
                <w:spacing w:val="-6"/>
                <w:sz w:val="20"/>
              </w:rPr>
              <w:t xml:space="preserve"> </w:t>
            </w:r>
            <w:r w:rsidRPr="00150EDC">
              <w:rPr>
                <w:sz w:val="20"/>
              </w:rPr>
              <w:t>person</w:t>
            </w:r>
            <w:r w:rsidRPr="00150EDC">
              <w:rPr>
                <w:spacing w:val="-6"/>
                <w:sz w:val="20"/>
              </w:rPr>
              <w:t xml:space="preserve"> </w:t>
            </w:r>
            <w:r w:rsidRPr="00150EDC">
              <w:rPr>
                <w:sz w:val="20"/>
              </w:rPr>
              <w:t>with</w:t>
            </w:r>
            <w:r w:rsidRPr="00150EDC">
              <w:rPr>
                <w:spacing w:val="-2"/>
                <w:sz w:val="20"/>
              </w:rPr>
              <w:t xml:space="preserve"> </w:t>
            </w:r>
            <w:r w:rsidRPr="00150EDC">
              <w:rPr>
                <w:sz w:val="20"/>
              </w:rPr>
              <w:t>a mental disorder</w:t>
            </w:r>
          </w:p>
        </w:tc>
      </w:tr>
      <w:tr w:rsidR="004569EE" w:rsidRPr="007D3144" w14:paraId="50EFF418" w14:textId="77777777">
        <w:trPr>
          <w:trHeight w:val="455"/>
        </w:trPr>
        <w:tc>
          <w:tcPr>
            <w:tcW w:w="6517" w:type="dxa"/>
          </w:tcPr>
          <w:p w14:paraId="7C005C13" w14:textId="77777777" w:rsidR="004C7180" w:rsidRPr="00150EDC" w:rsidRDefault="004C7180">
            <w:pPr>
              <w:pStyle w:val="TableParagraph"/>
              <w:spacing w:before="9" w:line="240" w:lineRule="auto"/>
              <w:ind w:left="0"/>
              <w:rPr>
                <w:sz w:val="19"/>
              </w:rPr>
            </w:pPr>
          </w:p>
          <w:p w14:paraId="34D938AB" w14:textId="77777777" w:rsidR="004C7180" w:rsidRPr="00150EDC" w:rsidRDefault="00CF0754">
            <w:pPr>
              <w:pStyle w:val="TableParagraph"/>
              <w:spacing w:before="0"/>
              <w:rPr>
                <w:sz w:val="20"/>
              </w:rPr>
            </w:pPr>
            <w:r w:rsidRPr="00150EDC">
              <w:rPr>
                <w:sz w:val="20"/>
              </w:rPr>
              <w:t>Sexual</w:t>
            </w:r>
            <w:r w:rsidRPr="00150EDC">
              <w:rPr>
                <w:spacing w:val="-6"/>
                <w:sz w:val="20"/>
              </w:rPr>
              <w:t xml:space="preserve"> </w:t>
            </w:r>
            <w:r w:rsidRPr="00150EDC">
              <w:rPr>
                <w:sz w:val="20"/>
              </w:rPr>
              <w:t>Offences</w:t>
            </w:r>
            <w:r w:rsidRPr="00150EDC">
              <w:rPr>
                <w:spacing w:val="-2"/>
                <w:sz w:val="20"/>
              </w:rPr>
              <w:t xml:space="preserve"> </w:t>
            </w:r>
            <w:r w:rsidRPr="00150EDC">
              <w:rPr>
                <w:sz w:val="20"/>
              </w:rPr>
              <w:t>(Northern</w:t>
            </w:r>
            <w:r w:rsidRPr="00150EDC">
              <w:rPr>
                <w:spacing w:val="-7"/>
                <w:sz w:val="20"/>
              </w:rPr>
              <w:t xml:space="preserve"> </w:t>
            </w:r>
            <w:r w:rsidRPr="00150EDC">
              <w:rPr>
                <w:sz w:val="20"/>
              </w:rPr>
              <w:t>Ireland)</w:t>
            </w:r>
            <w:r w:rsidRPr="00150EDC">
              <w:rPr>
                <w:spacing w:val="-4"/>
                <w:sz w:val="20"/>
              </w:rPr>
              <w:t xml:space="preserve"> </w:t>
            </w:r>
            <w:r w:rsidRPr="00150EDC">
              <w:rPr>
                <w:sz w:val="20"/>
              </w:rPr>
              <w:t>Order</w:t>
            </w:r>
            <w:r w:rsidRPr="00150EDC">
              <w:rPr>
                <w:spacing w:val="-8"/>
                <w:sz w:val="20"/>
              </w:rPr>
              <w:t xml:space="preserve"> </w:t>
            </w:r>
            <w:r w:rsidRPr="00150EDC">
              <w:rPr>
                <w:sz w:val="20"/>
              </w:rPr>
              <w:t>2008,</w:t>
            </w:r>
            <w:r w:rsidRPr="00150EDC">
              <w:rPr>
                <w:spacing w:val="-7"/>
                <w:sz w:val="20"/>
              </w:rPr>
              <w:t xml:space="preserve"> </w:t>
            </w:r>
            <w:r w:rsidRPr="00150EDC">
              <w:rPr>
                <w:sz w:val="20"/>
              </w:rPr>
              <w:t>Art</w:t>
            </w:r>
            <w:r w:rsidRPr="00150EDC">
              <w:rPr>
                <w:spacing w:val="-7"/>
                <w:sz w:val="20"/>
              </w:rPr>
              <w:t xml:space="preserve"> </w:t>
            </w:r>
            <w:r w:rsidRPr="00150EDC">
              <w:rPr>
                <w:spacing w:val="-5"/>
                <w:sz w:val="20"/>
              </w:rPr>
              <w:t>48</w:t>
            </w:r>
          </w:p>
        </w:tc>
        <w:tc>
          <w:tcPr>
            <w:tcW w:w="7427" w:type="dxa"/>
          </w:tcPr>
          <w:p w14:paraId="0C5FC407" w14:textId="77777777" w:rsidR="004C7180" w:rsidRPr="00150EDC" w:rsidRDefault="00CF0754">
            <w:pPr>
              <w:pStyle w:val="TableParagraph"/>
              <w:spacing w:before="0" w:line="230" w:lineRule="exact"/>
              <w:ind w:right="186"/>
              <w:rPr>
                <w:sz w:val="20"/>
              </w:rPr>
            </w:pPr>
            <w:r w:rsidRPr="00150EDC">
              <w:rPr>
                <w:sz w:val="20"/>
              </w:rPr>
              <w:t>Causing</w:t>
            </w:r>
            <w:r w:rsidRPr="00150EDC">
              <w:rPr>
                <w:spacing w:val="-6"/>
                <w:sz w:val="20"/>
              </w:rPr>
              <w:t xml:space="preserve"> </w:t>
            </w:r>
            <w:r w:rsidRPr="00150EDC">
              <w:rPr>
                <w:sz w:val="20"/>
              </w:rPr>
              <w:t>a</w:t>
            </w:r>
            <w:r w:rsidRPr="00150EDC">
              <w:rPr>
                <w:spacing w:val="-6"/>
                <w:sz w:val="20"/>
              </w:rPr>
              <w:t xml:space="preserve"> </w:t>
            </w:r>
            <w:r w:rsidRPr="00150EDC">
              <w:rPr>
                <w:sz w:val="20"/>
              </w:rPr>
              <w:t>person</w:t>
            </w:r>
            <w:r w:rsidRPr="00150EDC">
              <w:rPr>
                <w:spacing w:val="-6"/>
                <w:sz w:val="20"/>
              </w:rPr>
              <w:t xml:space="preserve"> </w:t>
            </w:r>
            <w:r w:rsidRPr="00150EDC">
              <w:rPr>
                <w:sz w:val="20"/>
              </w:rPr>
              <w:t>with</w:t>
            </w:r>
            <w:r w:rsidRPr="00150EDC">
              <w:rPr>
                <w:spacing w:val="-6"/>
                <w:sz w:val="20"/>
              </w:rPr>
              <w:t xml:space="preserve"> </w:t>
            </w:r>
            <w:r w:rsidRPr="00150EDC">
              <w:rPr>
                <w:sz w:val="20"/>
              </w:rPr>
              <w:t>a</w:t>
            </w:r>
            <w:r w:rsidRPr="00150EDC">
              <w:rPr>
                <w:spacing w:val="-2"/>
                <w:sz w:val="20"/>
              </w:rPr>
              <w:t xml:space="preserve"> </w:t>
            </w:r>
            <w:r w:rsidRPr="00150EDC">
              <w:rPr>
                <w:sz w:val="20"/>
              </w:rPr>
              <w:t>mental disorder</w:t>
            </w:r>
            <w:r w:rsidRPr="00150EDC">
              <w:rPr>
                <w:spacing w:val="-6"/>
                <w:sz w:val="20"/>
              </w:rPr>
              <w:t xml:space="preserve"> </w:t>
            </w:r>
            <w:r w:rsidRPr="00150EDC">
              <w:rPr>
                <w:sz w:val="20"/>
              </w:rPr>
              <w:t>to</w:t>
            </w:r>
            <w:r w:rsidRPr="00150EDC">
              <w:rPr>
                <w:spacing w:val="-1"/>
                <w:sz w:val="20"/>
              </w:rPr>
              <w:t xml:space="preserve"> </w:t>
            </w:r>
            <w:r w:rsidRPr="00150EDC">
              <w:rPr>
                <w:sz w:val="20"/>
              </w:rPr>
              <w:t>engage</w:t>
            </w:r>
            <w:r w:rsidRPr="00150EDC">
              <w:rPr>
                <w:spacing w:val="-6"/>
                <w:sz w:val="20"/>
              </w:rPr>
              <w:t xml:space="preserve"> </w:t>
            </w:r>
            <w:r w:rsidRPr="00150EDC">
              <w:rPr>
                <w:sz w:val="20"/>
              </w:rPr>
              <w:t>in</w:t>
            </w:r>
            <w:r w:rsidRPr="00150EDC">
              <w:rPr>
                <w:spacing w:val="-1"/>
                <w:sz w:val="20"/>
              </w:rPr>
              <w:t xml:space="preserve"> </w:t>
            </w:r>
            <w:r w:rsidRPr="00150EDC">
              <w:rPr>
                <w:sz w:val="20"/>
              </w:rPr>
              <w:t>or</w:t>
            </w:r>
            <w:r w:rsidRPr="00150EDC">
              <w:rPr>
                <w:spacing w:val="-2"/>
                <w:sz w:val="20"/>
              </w:rPr>
              <w:t xml:space="preserve"> </w:t>
            </w:r>
            <w:r w:rsidRPr="00150EDC">
              <w:rPr>
                <w:sz w:val="20"/>
              </w:rPr>
              <w:t>agree</w:t>
            </w:r>
            <w:r w:rsidRPr="00150EDC">
              <w:rPr>
                <w:spacing w:val="-1"/>
                <w:sz w:val="20"/>
              </w:rPr>
              <w:t xml:space="preserve"> </w:t>
            </w:r>
            <w:r w:rsidRPr="00150EDC">
              <w:rPr>
                <w:sz w:val="20"/>
              </w:rPr>
              <w:t>to</w:t>
            </w:r>
            <w:r w:rsidRPr="00150EDC">
              <w:rPr>
                <w:spacing w:val="-6"/>
                <w:sz w:val="20"/>
              </w:rPr>
              <w:t xml:space="preserve"> </w:t>
            </w:r>
            <w:r w:rsidRPr="00150EDC">
              <w:rPr>
                <w:sz w:val="20"/>
              </w:rPr>
              <w:t>sexual</w:t>
            </w:r>
            <w:r w:rsidRPr="00150EDC">
              <w:rPr>
                <w:spacing w:val="-4"/>
                <w:sz w:val="20"/>
              </w:rPr>
              <w:t xml:space="preserve"> </w:t>
            </w:r>
            <w:r w:rsidRPr="00150EDC">
              <w:rPr>
                <w:sz w:val="20"/>
              </w:rPr>
              <w:t>activity by inducement, threat or deception</w:t>
            </w:r>
          </w:p>
        </w:tc>
      </w:tr>
      <w:tr w:rsidR="004569EE" w:rsidRPr="007D3144" w14:paraId="41296126" w14:textId="77777777">
        <w:trPr>
          <w:trHeight w:val="455"/>
        </w:trPr>
        <w:tc>
          <w:tcPr>
            <w:tcW w:w="6517" w:type="dxa"/>
          </w:tcPr>
          <w:p w14:paraId="2074155C" w14:textId="77777777" w:rsidR="004C7180" w:rsidRPr="00150EDC" w:rsidRDefault="004C7180">
            <w:pPr>
              <w:pStyle w:val="TableParagraph"/>
              <w:spacing w:before="9" w:line="240" w:lineRule="auto"/>
              <w:ind w:left="0"/>
              <w:rPr>
                <w:sz w:val="19"/>
              </w:rPr>
            </w:pPr>
          </w:p>
          <w:p w14:paraId="20643FB1" w14:textId="77777777" w:rsidR="004C7180" w:rsidRPr="00150EDC" w:rsidRDefault="00CF0754">
            <w:pPr>
              <w:pStyle w:val="TableParagraph"/>
              <w:spacing w:before="0"/>
              <w:rPr>
                <w:sz w:val="20"/>
              </w:rPr>
            </w:pPr>
            <w:r w:rsidRPr="00150EDC">
              <w:rPr>
                <w:sz w:val="20"/>
              </w:rPr>
              <w:t>Sexual</w:t>
            </w:r>
            <w:r w:rsidRPr="00150EDC">
              <w:rPr>
                <w:spacing w:val="-6"/>
                <w:sz w:val="20"/>
              </w:rPr>
              <w:t xml:space="preserve"> </w:t>
            </w:r>
            <w:r w:rsidRPr="00150EDC">
              <w:rPr>
                <w:sz w:val="20"/>
              </w:rPr>
              <w:t>Offences</w:t>
            </w:r>
            <w:r w:rsidRPr="00150EDC">
              <w:rPr>
                <w:spacing w:val="-2"/>
                <w:sz w:val="20"/>
              </w:rPr>
              <w:t xml:space="preserve"> </w:t>
            </w:r>
            <w:r w:rsidRPr="00150EDC">
              <w:rPr>
                <w:sz w:val="20"/>
              </w:rPr>
              <w:t>(Northern</w:t>
            </w:r>
            <w:r w:rsidRPr="00150EDC">
              <w:rPr>
                <w:spacing w:val="-7"/>
                <w:sz w:val="20"/>
              </w:rPr>
              <w:t xml:space="preserve"> </w:t>
            </w:r>
            <w:r w:rsidRPr="00150EDC">
              <w:rPr>
                <w:sz w:val="20"/>
              </w:rPr>
              <w:t>Ireland)</w:t>
            </w:r>
            <w:r w:rsidRPr="00150EDC">
              <w:rPr>
                <w:spacing w:val="-4"/>
                <w:sz w:val="20"/>
              </w:rPr>
              <w:t xml:space="preserve"> </w:t>
            </w:r>
            <w:r w:rsidRPr="00150EDC">
              <w:rPr>
                <w:sz w:val="20"/>
              </w:rPr>
              <w:t>Order</w:t>
            </w:r>
            <w:r w:rsidRPr="00150EDC">
              <w:rPr>
                <w:spacing w:val="-8"/>
                <w:sz w:val="20"/>
              </w:rPr>
              <w:t xml:space="preserve"> </w:t>
            </w:r>
            <w:r w:rsidRPr="00150EDC">
              <w:rPr>
                <w:sz w:val="20"/>
              </w:rPr>
              <w:t>2008,</w:t>
            </w:r>
            <w:r w:rsidRPr="00150EDC">
              <w:rPr>
                <w:spacing w:val="-7"/>
                <w:sz w:val="20"/>
              </w:rPr>
              <w:t xml:space="preserve"> </w:t>
            </w:r>
            <w:r w:rsidRPr="00150EDC">
              <w:rPr>
                <w:sz w:val="20"/>
              </w:rPr>
              <w:t>Art</w:t>
            </w:r>
            <w:r w:rsidRPr="00150EDC">
              <w:rPr>
                <w:spacing w:val="-7"/>
                <w:sz w:val="20"/>
              </w:rPr>
              <w:t xml:space="preserve"> </w:t>
            </w:r>
            <w:r w:rsidRPr="00150EDC">
              <w:rPr>
                <w:spacing w:val="-5"/>
                <w:sz w:val="20"/>
              </w:rPr>
              <w:t>49</w:t>
            </w:r>
          </w:p>
        </w:tc>
        <w:tc>
          <w:tcPr>
            <w:tcW w:w="7427" w:type="dxa"/>
          </w:tcPr>
          <w:p w14:paraId="40EC37E7" w14:textId="77777777" w:rsidR="004C7180" w:rsidRPr="00150EDC" w:rsidRDefault="00CF0754">
            <w:pPr>
              <w:pStyle w:val="TableParagraph"/>
              <w:spacing w:before="0" w:line="230" w:lineRule="exact"/>
              <w:ind w:right="186"/>
              <w:rPr>
                <w:sz w:val="20"/>
              </w:rPr>
            </w:pPr>
            <w:r w:rsidRPr="00150EDC">
              <w:rPr>
                <w:sz w:val="20"/>
              </w:rPr>
              <w:t>Engaging</w:t>
            </w:r>
            <w:r w:rsidRPr="00150EDC">
              <w:rPr>
                <w:spacing w:val="-6"/>
                <w:sz w:val="20"/>
              </w:rPr>
              <w:t xml:space="preserve"> </w:t>
            </w:r>
            <w:r w:rsidRPr="00150EDC">
              <w:rPr>
                <w:sz w:val="20"/>
              </w:rPr>
              <w:t>in</w:t>
            </w:r>
            <w:r w:rsidRPr="00150EDC">
              <w:rPr>
                <w:spacing w:val="-6"/>
                <w:sz w:val="20"/>
              </w:rPr>
              <w:t xml:space="preserve"> </w:t>
            </w:r>
            <w:r w:rsidRPr="00150EDC">
              <w:rPr>
                <w:sz w:val="20"/>
              </w:rPr>
              <w:t>sexual</w:t>
            </w:r>
            <w:r w:rsidRPr="00150EDC">
              <w:rPr>
                <w:spacing w:val="-4"/>
                <w:sz w:val="20"/>
              </w:rPr>
              <w:t xml:space="preserve"> </w:t>
            </w:r>
            <w:r w:rsidRPr="00150EDC">
              <w:rPr>
                <w:sz w:val="20"/>
              </w:rPr>
              <w:t>activity</w:t>
            </w:r>
            <w:r w:rsidRPr="00150EDC">
              <w:rPr>
                <w:spacing w:val="-5"/>
                <w:sz w:val="20"/>
              </w:rPr>
              <w:t xml:space="preserve"> </w:t>
            </w:r>
            <w:r w:rsidRPr="00150EDC">
              <w:rPr>
                <w:sz w:val="20"/>
              </w:rPr>
              <w:t>in</w:t>
            </w:r>
            <w:r w:rsidRPr="00150EDC">
              <w:rPr>
                <w:spacing w:val="-6"/>
                <w:sz w:val="20"/>
              </w:rPr>
              <w:t xml:space="preserve"> </w:t>
            </w:r>
            <w:r w:rsidRPr="00150EDC">
              <w:rPr>
                <w:sz w:val="20"/>
              </w:rPr>
              <w:t>the</w:t>
            </w:r>
            <w:r w:rsidRPr="00150EDC">
              <w:rPr>
                <w:spacing w:val="-1"/>
                <w:sz w:val="20"/>
              </w:rPr>
              <w:t xml:space="preserve"> </w:t>
            </w:r>
            <w:r w:rsidRPr="00150EDC">
              <w:rPr>
                <w:sz w:val="20"/>
              </w:rPr>
              <w:t>presence,</w:t>
            </w:r>
            <w:r w:rsidRPr="00150EDC">
              <w:rPr>
                <w:spacing w:val="-6"/>
                <w:sz w:val="20"/>
              </w:rPr>
              <w:t xml:space="preserve"> </w:t>
            </w:r>
            <w:r w:rsidRPr="00150EDC">
              <w:rPr>
                <w:sz w:val="20"/>
              </w:rPr>
              <w:t>by inducement,</w:t>
            </w:r>
            <w:r w:rsidRPr="00150EDC">
              <w:rPr>
                <w:spacing w:val="-6"/>
                <w:sz w:val="20"/>
              </w:rPr>
              <w:t xml:space="preserve"> </w:t>
            </w:r>
            <w:r w:rsidRPr="00150EDC">
              <w:rPr>
                <w:sz w:val="20"/>
              </w:rPr>
              <w:t>threat</w:t>
            </w:r>
            <w:r w:rsidRPr="00150EDC">
              <w:rPr>
                <w:spacing w:val="-6"/>
                <w:sz w:val="20"/>
              </w:rPr>
              <w:t xml:space="preserve"> </w:t>
            </w:r>
            <w:r w:rsidRPr="00150EDC">
              <w:rPr>
                <w:sz w:val="20"/>
              </w:rPr>
              <w:t>or</w:t>
            </w:r>
            <w:r w:rsidRPr="00150EDC">
              <w:rPr>
                <w:spacing w:val="-6"/>
                <w:sz w:val="20"/>
              </w:rPr>
              <w:t xml:space="preserve"> </w:t>
            </w:r>
            <w:r w:rsidRPr="00150EDC">
              <w:rPr>
                <w:sz w:val="20"/>
              </w:rPr>
              <w:t>deception, of a person with a mental disorder</w:t>
            </w:r>
          </w:p>
        </w:tc>
      </w:tr>
      <w:tr w:rsidR="004569EE" w:rsidRPr="007D3144" w14:paraId="247C69E4" w14:textId="77777777">
        <w:trPr>
          <w:trHeight w:val="251"/>
        </w:trPr>
        <w:tc>
          <w:tcPr>
            <w:tcW w:w="6517" w:type="dxa"/>
          </w:tcPr>
          <w:p w14:paraId="6B80CC8A" w14:textId="77777777" w:rsidR="004C7180" w:rsidRPr="00150EDC" w:rsidRDefault="00CF0754">
            <w:pPr>
              <w:pStyle w:val="TableParagraph"/>
              <w:spacing w:before="23"/>
              <w:rPr>
                <w:sz w:val="20"/>
              </w:rPr>
            </w:pPr>
            <w:r w:rsidRPr="00150EDC">
              <w:rPr>
                <w:sz w:val="20"/>
              </w:rPr>
              <w:t>Sexual</w:t>
            </w:r>
            <w:r w:rsidRPr="00150EDC">
              <w:rPr>
                <w:spacing w:val="-6"/>
                <w:sz w:val="20"/>
              </w:rPr>
              <w:t xml:space="preserve"> </w:t>
            </w:r>
            <w:r w:rsidRPr="00150EDC">
              <w:rPr>
                <w:sz w:val="20"/>
              </w:rPr>
              <w:t>Offences</w:t>
            </w:r>
            <w:r w:rsidRPr="00150EDC">
              <w:rPr>
                <w:spacing w:val="-2"/>
                <w:sz w:val="20"/>
              </w:rPr>
              <w:t xml:space="preserve"> </w:t>
            </w:r>
            <w:r w:rsidRPr="00150EDC">
              <w:rPr>
                <w:sz w:val="20"/>
              </w:rPr>
              <w:t>(Northern</w:t>
            </w:r>
            <w:r w:rsidRPr="00150EDC">
              <w:rPr>
                <w:spacing w:val="-7"/>
                <w:sz w:val="20"/>
              </w:rPr>
              <w:t xml:space="preserve"> </w:t>
            </w:r>
            <w:r w:rsidRPr="00150EDC">
              <w:rPr>
                <w:sz w:val="20"/>
              </w:rPr>
              <w:t>Ireland)</w:t>
            </w:r>
            <w:r w:rsidRPr="00150EDC">
              <w:rPr>
                <w:spacing w:val="-4"/>
                <w:sz w:val="20"/>
              </w:rPr>
              <w:t xml:space="preserve"> </w:t>
            </w:r>
            <w:r w:rsidRPr="00150EDC">
              <w:rPr>
                <w:sz w:val="20"/>
              </w:rPr>
              <w:t>Order</w:t>
            </w:r>
            <w:r w:rsidRPr="00150EDC">
              <w:rPr>
                <w:spacing w:val="-8"/>
                <w:sz w:val="20"/>
              </w:rPr>
              <w:t xml:space="preserve"> </w:t>
            </w:r>
            <w:r w:rsidRPr="00150EDC">
              <w:rPr>
                <w:sz w:val="20"/>
              </w:rPr>
              <w:t>2008,</w:t>
            </w:r>
            <w:r w:rsidRPr="00150EDC">
              <w:rPr>
                <w:spacing w:val="-7"/>
                <w:sz w:val="20"/>
              </w:rPr>
              <w:t xml:space="preserve"> </w:t>
            </w:r>
            <w:r w:rsidRPr="00150EDC">
              <w:rPr>
                <w:sz w:val="20"/>
              </w:rPr>
              <w:t>Art</w:t>
            </w:r>
            <w:r w:rsidRPr="00150EDC">
              <w:rPr>
                <w:spacing w:val="-7"/>
                <w:sz w:val="20"/>
              </w:rPr>
              <w:t xml:space="preserve"> </w:t>
            </w:r>
            <w:r w:rsidRPr="00150EDC">
              <w:rPr>
                <w:spacing w:val="-10"/>
                <w:sz w:val="20"/>
              </w:rPr>
              <w:t>5</w:t>
            </w:r>
          </w:p>
        </w:tc>
        <w:tc>
          <w:tcPr>
            <w:tcW w:w="7427" w:type="dxa"/>
          </w:tcPr>
          <w:p w14:paraId="4733ACE3" w14:textId="77777777" w:rsidR="004C7180" w:rsidRPr="00150EDC" w:rsidRDefault="00CF0754">
            <w:pPr>
              <w:pStyle w:val="TableParagraph"/>
              <w:spacing w:before="23"/>
              <w:rPr>
                <w:sz w:val="20"/>
              </w:rPr>
            </w:pPr>
            <w:r w:rsidRPr="00150EDC">
              <w:rPr>
                <w:spacing w:val="-4"/>
                <w:sz w:val="20"/>
              </w:rPr>
              <w:t>Rape</w:t>
            </w:r>
          </w:p>
        </w:tc>
      </w:tr>
      <w:tr w:rsidR="004569EE" w:rsidRPr="007D3144" w14:paraId="159E6722" w14:textId="77777777">
        <w:trPr>
          <w:trHeight w:val="460"/>
        </w:trPr>
        <w:tc>
          <w:tcPr>
            <w:tcW w:w="6517" w:type="dxa"/>
          </w:tcPr>
          <w:p w14:paraId="53F7191B" w14:textId="77777777" w:rsidR="004C7180" w:rsidRPr="00150EDC" w:rsidRDefault="004C7180">
            <w:pPr>
              <w:pStyle w:val="TableParagraph"/>
              <w:spacing w:before="2" w:line="240" w:lineRule="auto"/>
              <w:ind w:left="0"/>
              <w:rPr>
                <w:sz w:val="20"/>
              </w:rPr>
            </w:pPr>
          </w:p>
          <w:p w14:paraId="498B1360" w14:textId="77777777" w:rsidR="004C7180" w:rsidRPr="00150EDC" w:rsidRDefault="00CF0754">
            <w:pPr>
              <w:pStyle w:val="TableParagraph"/>
              <w:spacing w:before="0"/>
              <w:rPr>
                <w:sz w:val="20"/>
              </w:rPr>
            </w:pPr>
            <w:r w:rsidRPr="00150EDC">
              <w:rPr>
                <w:sz w:val="20"/>
              </w:rPr>
              <w:t>Sexual</w:t>
            </w:r>
            <w:r w:rsidRPr="00150EDC">
              <w:rPr>
                <w:spacing w:val="-6"/>
                <w:sz w:val="20"/>
              </w:rPr>
              <w:t xml:space="preserve"> </w:t>
            </w:r>
            <w:r w:rsidRPr="00150EDC">
              <w:rPr>
                <w:sz w:val="20"/>
              </w:rPr>
              <w:t>Offences</w:t>
            </w:r>
            <w:r w:rsidRPr="00150EDC">
              <w:rPr>
                <w:spacing w:val="-2"/>
                <w:sz w:val="20"/>
              </w:rPr>
              <w:t xml:space="preserve"> </w:t>
            </w:r>
            <w:r w:rsidRPr="00150EDC">
              <w:rPr>
                <w:sz w:val="20"/>
              </w:rPr>
              <w:t>(Northern</w:t>
            </w:r>
            <w:r w:rsidRPr="00150EDC">
              <w:rPr>
                <w:spacing w:val="-7"/>
                <w:sz w:val="20"/>
              </w:rPr>
              <w:t xml:space="preserve"> </w:t>
            </w:r>
            <w:r w:rsidRPr="00150EDC">
              <w:rPr>
                <w:sz w:val="20"/>
              </w:rPr>
              <w:t>Ireland)</w:t>
            </w:r>
            <w:r w:rsidRPr="00150EDC">
              <w:rPr>
                <w:spacing w:val="-4"/>
                <w:sz w:val="20"/>
              </w:rPr>
              <w:t xml:space="preserve"> </w:t>
            </w:r>
            <w:r w:rsidRPr="00150EDC">
              <w:rPr>
                <w:sz w:val="20"/>
              </w:rPr>
              <w:t>Order</w:t>
            </w:r>
            <w:r w:rsidRPr="00150EDC">
              <w:rPr>
                <w:spacing w:val="-8"/>
                <w:sz w:val="20"/>
              </w:rPr>
              <w:t xml:space="preserve"> </w:t>
            </w:r>
            <w:r w:rsidRPr="00150EDC">
              <w:rPr>
                <w:sz w:val="20"/>
              </w:rPr>
              <w:t>2008,</w:t>
            </w:r>
            <w:r w:rsidRPr="00150EDC">
              <w:rPr>
                <w:spacing w:val="-7"/>
                <w:sz w:val="20"/>
              </w:rPr>
              <w:t xml:space="preserve"> </w:t>
            </w:r>
            <w:r w:rsidRPr="00150EDC">
              <w:rPr>
                <w:sz w:val="20"/>
              </w:rPr>
              <w:t>Art</w:t>
            </w:r>
            <w:r w:rsidRPr="00150EDC">
              <w:rPr>
                <w:spacing w:val="-7"/>
                <w:sz w:val="20"/>
              </w:rPr>
              <w:t xml:space="preserve"> </w:t>
            </w:r>
            <w:r w:rsidRPr="00150EDC">
              <w:rPr>
                <w:spacing w:val="-5"/>
                <w:sz w:val="20"/>
              </w:rPr>
              <w:t>50</w:t>
            </w:r>
          </w:p>
        </w:tc>
        <w:tc>
          <w:tcPr>
            <w:tcW w:w="7427" w:type="dxa"/>
          </w:tcPr>
          <w:p w14:paraId="7773194C" w14:textId="77777777" w:rsidR="004C7180" w:rsidRPr="00150EDC" w:rsidRDefault="00CF0754">
            <w:pPr>
              <w:pStyle w:val="TableParagraph"/>
              <w:spacing w:before="0" w:line="230" w:lineRule="atLeast"/>
              <w:rPr>
                <w:sz w:val="20"/>
              </w:rPr>
            </w:pPr>
            <w:r w:rsidRPr="00150EDC">
              <w:rPr>
                <w:sz w:val="20"/>
              </w:rPr>
              <w:t>Causing</w:t>
            </w:r>
            <w:r w:rsidRPr="00150EDC">
              <w:rPr>
                <w:spacing w:val="-5"/>
                <w:sz w:val="20"/>
              </w:rPr>
              <w:t xml:space="preserve"> </w:t>
            </w:r>
            <w:r w:rsidRPr="00150EDC">
              <w:rPr>
                <w:sz w:val="20"/>
              </w:rPr>
              <w:t>a</w:t>
            </w:r>
            <w:r w:rsidRPr="00150EDC">
              <w:rPr>
                <w:spacing w:val="-5"/>
                <w:sz w:val="20"/>
              </w:rPr>
              <w:t xml:space="preserve"> </w:t>
            </w:r>
            <w:r w:rsidRPr="00150EDC">
              <w:rPr>
                <w:sz w:val="20"/>
              </w:rPr>
              <w:t>person</w:t>
            </w:r>
            <w:r w:rsidRPr="00150EDC">
              <w:rPr>
                <w:spacing w:val="-5"/>
                <w:sz w:val="20"/>
              </w:rPr>
              <w:t xml:space="preserve"> </w:t>
            </w:r>
            <w:r w:rsidRPr="00150EDC">
              <w:rPr>
                <w:sz w:val="20"/>
              </w:rPr>
              <w:t>with</w:t>
            </w:r>
            <w:r w:rsidRPr="00150EDC">
              <w:rPr>
                <w:spacing w:val="-5"/>
                <w:sz w:val="20"/>
              </w:rPr>
              <w:t xml:space="preserve"> </w:t>
            </w:r>
            <w:r w:rsidRPr="00150EDC">
              <w:rPr>
                <w:sz w:val="20"/>
              </w:rPr>
              <w:t>a</w:t>
            </w:r>
            <w:r w:rsidRPr="00150EDC">
              <w:rPr>
                <w:spacing w:val="-1"/>
                <w:sz w:val="20"/>
              </w:rPr>
              <w:t xml:space="preserve"> </w:t>
            </w:r>
            <w:r w:rsidRPr="00150EDC">
              <w:rPr>
                <w:sz w:val="20"/>
              </w:rPr>
              <w:t>mental disorder</w:t>
            </w:r>
            <w:r w:rsidRPr="00150EDC">
              <w:rPr>
                <w:spacing w:val="-5"/>
                <w:sz w:val="20"/>
              </w:rPr>
              <w:t xml:space="preserve"> </w:t>
            </w:r>
            <w:r w:rsidRPr="00150EDC">
              <w:rPr>
                <w:sz w:val="20"/>
              </w:rPr>
              <w:t>to</w:t>
            </w:r>
            <w:r w:rsidRPr="00150EDC">
              <w:rPr>
                <w:spacing w:val="-1"/>
                <w:sz w:val="20"/>
              </w:rPr>
              <w:t xml:space="preserve"> </w:t>
            </w:r>
            <w:r w:rsidRPr="00150EDC">
              <w:rPr>
                <w:sz w:val="20"/>
              </w:rPr>
              <w:t>watch</w:t>
            </w:r>
            <w:r w:rsidRPr="00150EDC">
              <w:rPr>
                <w:spacing w:val="-5"/>
                <w:sz w:val="20"/>
              </w:rPr>
              <w:t xml:space="preserve"> </w:t>
            </w:r>
            <w:r w:rsidRPr="00150EDC">
              <w:rPr>
                <w:sz w:val="20"/>
              </w:rPr>
              <w:t>a</w:t>
            </w:r>
            <w:r w:rsidRPr="00150EDC">
              <w:rPr>
                <w:spacing w:val="-5"/>
                <w:sz w:val="20"/>
              </w:rPr>
              <w:t xml:space="preserve"> </w:t>
            </w:r>
            <w:r w:rsidRPr="00150EDC">
              <w:rPr>
                <w:sz w:val="20"/>
              </w:rPr>
              <w:t>sexual</w:t>
            </w:r>
            <w:r w:rsidRPr="00150EDC">
              <w:rPr>
                <w:spacing w:val="-3"/>
                <w:sz w:val="20"/>
              </w:rPr>
              <w:t xml:space="preserve"> </w:t>
            </w:r>
            <w:r w:rsidRPr="00150EDC">
              <w:rPr>
                <w:sz w:val="20"/>
              </w:rPr>
              <w:t>act</w:t>
            </w:r>
            <w:r w:rsidRPr="00150EDC">
              <w:rPr>
                <w:spacing w:val="-4"/>
                <w:sz w:val="20"/>
              </w:rPr>
              <w:t xml:space="preserve"> </w:t>
            </w:r>
            <w:r w:rsidRPr="00150EDC">
              <w:rPr>
                <w:sz w:val="20"/>
              </w:rPr>
              <w:t>by</w:t>
            </w:r>
            <w:r w:rsidRPr="00150EDC">
              <w:rPr>
                <w:spacing w:val="-4"/>
                <w:sz w:val="20"/>
              </w:rPr>
              <w:t xml:space="preserve"> </w:t>
            </w:r>
            <w:r w:rsidRPr="00150EDC">
              <w:rPr>
                <w:sz w:val="20"/>
              </w:rPr>
              <w:t>inducement, threat or deception</w:t>
            </w:r>
          </w:p>
        </w:tc>
      </w:tr>
      <w:tr w:rsidR="004569EE" w:rsidRPr="007D3144" w14:paraId="480491DA" w14:textId="77777777">
        <w:trPr>
          <w:trHeight w:val="255"/>
        </w:trPr>
        <w:tc>
          <w:tcPr>
            <w:tcW w:w="6517" w:type="dxa"/>
          </w:tcPr>
          <w:p w14:paraId="78E733D4" w14:textId="77777777" w:rsidR="004C7180" w:rsidRPr="00150EDC" w:rsidRDefault="00CF0754">
            <w:pPr>
              <w:pStyle w:val="TableParagraph"/>
              <w:spacing w:before="28"/>
              <w:rPr>
                <w:sz w:val="20"/>
              </w:rPr>
            </w:pPr>
            <w:r w:rsidRPr="00150EDC">
              <w:rPr>
                <w:sz w:val="20"/>
              </w:rPr>
              <w:t>Sexual</w:t>
            </w:r>
            <w:r w:rsidRPr="00150EDC">
              <w:rPr>
                <w:spacing w:val="-6"/>
                <w:sz w:val="20"/>
              </w:rPr>
              <w:t xml:space="preserve"> </w:t>
            </w:r>
            <w:r w:rsidRPr="00150EDC">
              <w:rPr>
                <w:sz w:val="20"/>
              </w:rPr>
              <w:t>Offences</w:t>
            </w:r>
            <w:r w:rsidRPr="00150EDC">
              <w:rPr>
                <w:spacing w:val="-1"/>
                <w:sz w:val="20"/>
              </w:rPr>
              <w:t xml:space="preserve"> </w:t>
            </w:r>
            <w:r w:rsidRPr="00150EDC">
              <w:rPr>
                <w:sz w:val="20"/>
              </w:rPr>
              <w:t>(Northern</w:t>
            </w:r>
            <w:r w:rsidRPr="00150EDC">
              <w:rPr>
                <w:spacing w:val="-7"/>
                <w:sz w:val="20"/>
              </w:rPr>
              <w:t xml:space="preserve"> </w:t>
            </w:r>
            <w:r w:rsidRPr="00150EDC">
              <w:rPr>
                <w:sz w:val="20"/>
              </w:rPr>
              <w:t>Ireland)</w:t>
            </w:r>
            <w:r w:rsidRPr="00150EDC">
              <w:rPr>
                <w:spacing w:val="-4"/>
                <w:sz w:val="20"/>
              </w:rPr>
              <w:t xml:space="preserve"> </w:t>
            </w:r>
            <w:r w:rsidRPr="00150EDC">
              <w:rPr>
                <w:sz w:val="20"/>
              </w:rPr>
              <w:t>Order</w:t>
            </w:r>
            <w:r w:rsidRPr="00150EDC">
              <w:rPr>
                <w:spacing w:val="-7"/>
                <w:sz w:val="20"/>
              </w:rPr>
              <w:t xml:space="preserve"> </w:t>
            </w:r>
            <w:r w:rsidRPr="00150EDC">
              <w:rPr>
                <w:sz w:val="20"/>
              </w:rPr>
              <w:t>2008,</w:t>
            </w:r>
            <w:r w:rsidRPr="00150EDC">
              <w:rPr>
                <w:spacing w:val="-7"/>
                <w:sz w:val="20"/>
              </w:rPr>
              <w:t xml:space="preserve"> </w:t>
            </w:r>
            <w:r w:rsidRPr="00150EDC">
              <w:rPr>
                <w:sz w:val="20"/>
              </w:rPr>
              <w:t>Art</w:t>
            </w:r>
            <w:r w:rsidRPr="00150EDC">
              <w:rPr>
                <w:spacing w:val="-7"/>
                <w:sz w:val="20"/>
              </w:rPr>
              <w:t xml:space="preserve"> </w:t>
            </w:r>
            <w:r w:rsidRPr="00150EDC">
              <w:rPr>
                <w:spacing w:val="-5"/>
                <w:sz w:val="20"/>
              </w:rPr>
              <w:t>51</w:t>
            </w:r>
          </w:p>
        </w:tc>
        <w:tc>
          <w:tcPr>
            <w:tcW w:w="7427" w:type="dxa"/>
          </w:tcPr>
          <w:p w14:paraId="58BC39DC" w14:textId="77777777" w:rsidR="004C7180" w:rsidRPr="00150EDC" w:rsidRDefault="00CF0754">
            <w:pPr>
              <w:pStyle w:val="TableParagraph"/>
              <w:spacing w:before="28"/>
              <w:rPr>
                <w:sz w:val="20"/>
              </w:rPr>
            </w:pPr>
            <w:r w:rsidRPr="00150EDC">
              <w:rPr>
                <w:sz w:val="20"/>
              </w:rPr>
              <w:t>Care</w:t>
            </w:r>
            <w:r w:rsidRPr="00150EDC">
              <w:rPr>
                <w:spacing w:val="-5"/>
                <w:sz w:val="20"/>
              </w:rPr>
              <w:t xml:space="preserve"> </w:t>
            </w:r>
            <w:r w:rsidRPr="00150EDC">
              <w:rPr>
                <w:sz w:val="20"/>
              </w:rPr>
              <w:t>workers:</w:t>
            </w:r>
            <w:r w:rsidRPr="00150EDC">
              <w:rPr>
                <w:spacing w:val="-4"/>
                <w:sz w:val="20"/>
              </w:rPr>
              <w:t xml:space="preserve"> </w:t>
            </w:r>
            <w:r w:rsidRPr="00150EDC">
              <w:rPr>
                <w:sz w:val="20"/>
              </w:rPr>
              <w:t>sexual</w:t>
            </w:r>
            <w:r w:rsidRPr="00150EDC">
              <w:rPr>
                <w:spacing w:val="-3"/>
                <w:sz w:val="20"/>
              </w:rPr>
              <w:t xml:space="preserve"> </w:t>
            </w:r>
            <w:r w:rsidRPr="00150EDC">
              <w:rPr>
                <w:sz w:val="20"/>
              </w:rPr>
              <w:t>activity</w:t>
            </w:r>
            <w:r w:rsidRPr="00150EDC">
              <w:rPr>
                <w:spacing w:val="-4"/>
                <w:sz w:val="20"/>
              </w:rPr>
              <w:t xml:space="preserve"> </w:t>
            </w:r>
            <w:r w:rsidRPr="00150EDC">
              <w:rPr>
                <w:sz w:val="20"/>
              </w:rPr>
              <w:t>with a</w:t>
            </w:r>
            <w:r w:rsidRPr="00150EDC">
              <w:rPr>
                <w:spacing w:val="-5"/>
                <w:sz w:val="20"/>
              </w:rPr>
              <w:t xml:space="preserve"> </w:t>
            </w:r>
            <w:r w:rsidRPr="00150EDC">
              <w:rPr>
                <w:sz w:val="20"/>
              </w:rPr>
              <w:t>person</w:t>
            </w:r>
            <w:r w:rsidRPr="00150EDC">
              <w:rPr>
                <w:spacing w:val="-5"/>
                <w:sz w:val="20"/>
              </w:rPr>
              <w:t xml:space="preserve"> </w:t>
            </w:r>
            <w:r w:rsidRPr="00150EDC">
              <w:rPr>
                <w:sz w:val="20"/>
              </w:rPr>
              <w:t>with</w:t>
            </w:r>
            <w:r w:rsidRPr="00150EDC">
              <w:rPr>
                <w:spacing w:val="-1"/>
                <w:sz w:val="20"/>
              </w:rPr>
              <w:t xml:space="preserve"> </w:t>
            </w:r>
            <w:r w:rsidRPr="00150EDC">
              <w:rPr>
                <w:sz w:val="20"/>
              </w:rPr>
              <w:t>a</w:t>
            </w:r>
            <w:r w:rsidRPr="00150EDC">
              <w:rPr>
                <w:spacing w:val="-5"/>
                <w:sz w:val="20"/>
              </w:rPr>
              <w:t xml:space="preserve"> </w:t>
            </w:r>
            <w:r w:rsidRPr="00150EDC">
              <w:rPr>
                <w:sz w:val="20"/>
              </w:rPr>
              <w:t>mental</w:t>
            </w:r>
            <w:r w:rsidRPr="00150EDC">
              <w:rPr>
                <w:spacing w:val="1"/>
                <w:sz w:val="20"/>
              </w:rPr>
              <w:t xml:space="preserve"> </w:t>
            </w:r>
            <w:r w:rsidRPr="00150EDC">
              <w:rPr>
                <w:spacing w:val="-2"/>
                <w:sz w:val="20"/>
              </w:rPr>
              <w:t>disorder</w:t>
            </w:r>
          </w:p>
        </w:tc>
      </w:tr>
      <w:tr w:rsidR="004569EE" w:rsidRPr="007D3144" w14:paraId="6663937E" w14:textId="77777777">
        <w:trPr>
          <w:trHeight w:val="255"/>
        </w:trPr>
        <w:tc>
          <w:tcPr>
            <w:tcW w:w="6517" w:type="dxa"/>
          </w:tcPr>
          <w:p w14:paraId="725C255E"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2"/>
                <w:sz w:val="20"/>
              </w:rPr>
              <w:t xml:space="preserve"> </w:t>
            </w:r>
            <w:r w:rsidRPr="00150EDC">
              <w:rPr>
                <w:sz w:val="20"/>
              </w:rPr>
              <w:t>(Northern</w:t>
            </w:r>
            <w:r w:rsidRPr="00150EDC">
              <w:rPr>
                <w:spacing w:val="-7"/>
                <w:sz w:val="20"/>
              </w:rPr>
              <w:t xml:space="preserve"> </w:t>
            </w:r>
            <w:r w:rsidRPr="00150EDC">
              <w:rPr>
                <w:sz w:val="20"/>
              </w:rPr>
              <w:t>Ireland)</w:t>
            </w:r>
            <w:r w:rsidRPr="00150EDC">
              <w:rPr>
                <w:spacing w:val="-4"/>
                <w:sz w:val="20"/>
              </w:rPr>
              <w:t xml:space="preserve"> </w:t>
            </w:r>
            <w:r w:rsidRPr="00150EDC">
              <w:rPr>
                <w:sz w:val="20"/>
              </w:rPr>
              <w:t>Order</w:t>
            </w:r>
            <w:r w:rsidRPr="00150EDC">
              <w:rPr>
                <w:spacing w:val="-8"/>
                <w:sz w:val="20"/>
              </w:rPr>
              <w:t xml:space="preserve"> </w:t>
            </w:r>
            <w:r w:rsidRPr="00150EDC">
              <w:rPr>
                <w:sz w:val="20"/>
              </w:rPr>
              <w:t>2008,</w:t>
            </w:r>
            <w:r w:rsidRPr="00150EDC">
              <w:rPr>
                <w:spacing w:val="-7"/>
                <w:sz w:val="20"/>
              </w:rPr>
              <w:t xml:space="preserve"> </w:t>
            </w:r>
            <w:r w:rsidRPr="00150EDC">
              <w:rPr>
                <w:sz w:val="20"/>
              </w:rPr>
              <w:t>Art</w:t>
            </w:r>
            <w:r w:rsidRPr="00150EDC">
              <w:rPr>
                <w:spacing w:val="-7"/>
                <w:sz w:val="20"/>
              </w:rPr>
              <w:t xml:space="preserve"> </w:t>
            </w:r>
            <w:r w:rsidRPr="00150EDC">
              <w:rPr>
                <w:spacing w:val="-5"/>
                <w:sz w:val="20"/>
              </w:rPr>
              <w:t>52</w:t>
            </w:r>
          </w:p>
        </w:tc>
        <w:tc>
          <w:tcPr>
            <w:tcW w:w="7427" w:type="dxa"/>
          </w:tcPr>
          <w:p w14:paraId="54128ACC" w14:textId="77777777" w:rsidR="004C7180" w:rsidRPr="00150EDC" w:rsidRDefault="00CF0754">
            <w:pPr>
              <w:pStyle w:val="TableParagraph"/>
              <w:rPr>
                <w:sz w:val="20"/>
              </w:rPr>
            </w:pPr>
            <w:r w:rsidRPr="00150EDC">
              <w:rPr>
                <w:sz w:val="20"/>
              </w:rPr>
              <w:t>Care</w:t>
            </w:r>
            <w:r w:rsidRPr="00150EDC">
              <w:rPr>
                <w:spacing w:val="-6"/>
                <w:sz w:val="20"/>
              </w:rPr>
              <w:t xml:space="preserve"> </w:t>
            </w:r>
            <w:r w:rsidRPr="00150EDC">
              <w:rPr>
                <w:sz w:val="20"/>
              </w:rPr>
              <w:t>workers:</w:t>
            </w:r>
            <w:r w:rsidRPr="00150EDC">
              <w:rPr>
                <w:spacing w:val="-5"/>
                <w:sz w:val="20"/>
              </w:rPr>
              <w:t xml:space="preserve"> </w:t>
            </w:r>
            <w:r w:rsidRPr="00150EDC">
              <w:rPr>
                <w:sz w:val="20"/>
              </w:rPr>
              <w:t>causing</w:t>
            </w:r>
            <w:r w:rsidRPr="00150EDC">
              <w:rPr>
                <w:spacing w:val="-6"/>
                <w:sz w:val="20"/>
              </w:rPr>
              <w:t xml:space="preserve"> </w:t>
            </w:r>
            <w:r w:rsidRPr="00150EDC">
              <w:rPr>
                <w:sz w:val="20"/>
              </w:rPr>
              <w:t>or</w:t>
            </w:r>
            <w:r w:rsidRPr="00150EDC">
              <w:rPr>
                <w:spacing w:val="-5"/>
                <w:sz w:val="20"/>
              </w:rPr>
              <w:t xml:space="preserve"> </w:t>
            </w:r>
            <w:r w:rsidRPr="00150EDC">
              <w:rPr>
                <w:sz w:val="20"/>
              </w:rPr>
              <w:t>inciting</w:t>
            </w:r>
            <w:r w:rsidRPr="00150EDC">
              <w:rPr>
                <w:spacing w:val="-6"/>
                <w:sz w:val="20"/>
              </w:rPr>
              <w:t xml:space="preserve"> </w:t>
            </w:r>
            <w:r w:rsidRPr="00150EDC">
              <w:rPr>
                <w:sz w:val="20"/>
              </w:rPr>
              <w:t>sexual</w:t>
            </w:r>
            <w:r w:rsidRPr="00150EDC">
              <w:rPr>
                <w:spacing w:val="-4"/>
                <w:sz w:val="20"/>
              </w:rPr>
              <w:t xml:space="preserve"> </w:t>
            </w:r>
            <w:r w:rsidRPr="00150EDC">
              <w:rPr>
                <w:spacing w:val="-2"/>
                <w:sz w:val="20"/>
              </w:rPr>
              <w:t>activity</w:t>
            </w:r>
          </w:p>
        </w:tc>
      </w:tr>
      <w:tr w:rsidR="004569EE" w:rsidRPr="007D3144" w14:paraId="745D0859" w14:textId="77777777">
        <w:trPr>
          <w:trHeight w:val="255"/>
        </w:trPr>
        <w:tc>
          <w:tcPr>
            <w:tcW w:w="6517" w:type="dxa"/>
          </w:tcPr>
          <w:p w14:paraId="151E2B62"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2"/>
                <w:sz w:val="20"/>
              </w:rPr>
              <w:t xml:space="preserve"> </w:t>
            </w:r>
            <w:r w:rsidRPr="00150EDC">
              <w:rPr>
                <w:sz w:val="20"/>
              </w:rPr>
              <w:t>(Northern</w:t>
            </w:r>
            <w:r w:rsidRPr="00150EDC">
              <w:rPr>
                <w:spacing w:val="-7"/>
                <w:sz w:val="20"/>
              </w:rPr>
              <w:t xml:space="preserve"> </w:t>
            </w:r>
            <w:r w:rsidRPr="00150EDC">
              <w:rPr>
                <w:sz w:val="20"/>
              </w:rPr>
              <w:t>Ireland)</w:t>
            </w:r>
            <w:r w:rsidRPr="00150EDC">
              <w:rPr>
                <w:spacing w:val="-4"/>
                <w:sz w:val="20"/>
              </w:rPr>
              <w:t xml:space="preserve"> </w:t>
            </w:r>
            <w:r w:rsidRPr="00150EDC">
              <w:rPr>
                <w:sz w:val="20"/>
              </w:rPr>
              <w:t>Order</w:t>
            </w:r>
            <w:r w:rsidRPr="00150EDC">
              <w:rPr>
                <w:spacing w:val="-6"/>
                <w:sz w:val="20"/>
              </w:rPr>
              <w:t xml:space="preserve"> </w:t>
            </w:r>
            <w:r w:rsidRPr="00150EDC">
              <w:rPr>
                <w:sz w:val="20"/>
              </w:rPr>
              <w:t>2008,</w:t>
            </w:r>
            <w:r w:rsidRPr="00150EDC">
              <w:rPr>
                <w:spacing w:val="-7"/>
                <w:sz w:val="20"/>
              </w:rPr>
              <w:t xml:space="preserve"> </w:t>
            </w:r>
            <w:r w:rsidRPr="00150EDC">
              <w:rPr>
                <w:sz w:val="20"/>
              </w:rPr>
              <w:t>Art</w:t>
            </w:r>
            <w:r w:rsidRPr="00150EDC">
              <w:rPr>
                <w:spacing w:val="-7"/>
                <w:sz w:val="20"/>
              </w:rPr>
              <w:t xml:space="preserve"> 53</w:t>
            </w:r>
          </w:p>
        </w:tc>
        <w:tc>
          <w:tcPr>
            <w:tcW w:w="7427" w:type="dxa"/>
          </w:tcPr>
          <w:p w14:paraId="41730393" w14:textId="77777777" w:rsidR="004C7180" w:rsidRPr="00150EDC" w:rsidRDefault="00CF0754">
            <w:pPr>
              <w:pStyle w:val="TableParagraph"/>
              <w:rPr>
                <w:sz w:val="20"/>
              </w:rPr>
            </w:pPr>
            <w:r w:rsidRPr="00150EDC">
              <w:rPr>
                <w:sz w:val="20"/>
              </w:rPr>
              <w:t>Care</w:t>
            </w:r>
            <w:r w:rsidRPr="00150EDC">
              <w:rPr>
                <w:spacing w:val="-5"/>
                <w:sz w:val="20"/>
              </w:rPr>
              <w:t xml:space="preserve"> </w:t>
            </w:r>
            <w:r w:rsidRPr="00150EDC">
              <w:rPr>
                <w:sz w:val="20"/>
              </w:rPr>
              <w:t>workers:</w:t>
            </w:r>
            <w:r w:rsidRPr="00150EDC">
              <w:rPr>
                <w:spacing w:val="-4"/>
                <w:sz w:val="20"/>
              </w:rPr>
              <w:t xml:space="preserve"> </w:t>
            </w:r>
            <w:r w:rsidRPr="00150EDC">
              <w:rPr>
                <w:sz w:val="20"/>
              </w:rPr>
              <w:t>sexual</w:t>
            </w:r>
            <w:r w:rsidRPr="00150EDC">
              <w:rPr>
                <w:spacing w:val="-3"/>
                <w:sz w:val="20"/>
              </w:rPr>
              <w:t xml:space="preserve"> </w:t>
            </w:r>
            <w:r w:rsidRPr="00150EDC">
              <w:rPr>
                <w:sz w:val="20"/>
              </w:rPr>
              <w:t>activity</w:t>
            </w:r>
            <w:r w:rsidRPr="00150EDC">
              <w:rPr>
                <w:spacing w:val="-4"/>
                <w:sz w:val="20"/>
              </w:rPr>
              <w:t xml:space="preserve"> </w:t>
            </w:r>
            <w:r w:rsidRPr="00150EDC">
              <w:rPr>
                <w:sz w:val="20"/>
              </w:rPr>
              <w:t>in the</w:t>
            </w:r>
            <w:r w:rsidRPr="00150EDC">
              <w:rPr>
                <w:spacing w:val="-4"/>
                <w:sz w:val="20"/>
              </w:rPr>
              <w:t xml:space="preserve"> </w:t>
            </w:r>
            <w:r w:rsidRPr="00150EDC">
              <w:rPr>
                <w:sz w:val="20"/>
              </w:rPr>
              <w:t>presence</w:t>
            </w:r>
            <w:r w:rsidRPr="00150EDC">
              <w:rPr>
                <w:spacing w:val="-5"/>
                <w:sz w:val="20"/>
              </w:rPr>
              <w:t xml:space="preserve"> </w:t>
            </w:r>
            <w:r w:rsidRPr="00150EDC">
              <w:rPr>
                <w:sz w:val="20"/>
              </w:rPr>
              <w:t>of a</w:t>
            </w:r>
            <w:r w:rsidRPr="00150EDC">
              <w:rPr>
                <w:spacing w:val="-5"/>
                <w:sz w:val="20"/>
              </w:rPr>
              <w:t xml:space="preserve"> </w:t>
            </w:r>
            <w:r w:rsidRPr="00150EDC">
              <w:rPr>
                <w:sz w:val="20"/>
              </w:rPr>
              <w:t>person with</w:t>
            </w:r>
            <w:r w:rsidRPr="00150EDC">
              <w:rPr>
                <w:spacing w:val="-4"/>
                <w:sz w:val="20"/>
              </w:rPr>
              <w:t xml:space="preserve"> </w:t>
            </w:r>
            <w:r w:rsidRPr="00150EDC">
              <w:rPr>
                <w:sz w:val="20"/>
              </w:rPr>
              <w:t>a</w:t>
            </w:r>
            <w:r w:rsidRPr="00150EDC">
              <w:rPr>
                <w:spacing w:val="-5"/>
                <w:sz w:val="20"/>
              </w:rPr>
              <w:t xml:space="preserve"> </w:t>
            </w:r>
            <w:r w:rsidRPr="00150EDC">
              <w:rPr>
                <w:sz w:val="20"/>
              </w:rPr>
              <w:t>mental</w:t>
            </w:r>
            <w:r w:rsidRPr="00150EDC">
              <w:rPr>
                <w:spacing w:val="-3"/>
                <w:sz w:val="20"/>
              </w:rPr>
              <w:t xml:space="preserve"> </w:t>
            </w:r>
            <w:r w:rsidRPr="00150EDC">
              <w:rPr>
                <w:spacing w:val="-2"/>
                <w:sz w:val="20"/>
              </w:rPr>
              <w:t>disorder</w:t>
            </w:r>
          </w:p>
        </w:tc>
      </w:tr>
      <w:tr w:rsidR="004569EE" w:rsidRPr="007D3144" w14:paraId="0622C048" w14:textId="77777777">
        <w:trPr>
          <w:trHeight w:val="255"/>
        </w:trPr>
        <w:tc>
          <w:tcPr>
            <w:tcW w:w="6517" w:type="dxa"/>
          </w:tcPr>
          <w:p w14:paraId="30163864"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2"/>
                <w:sz w:val="20"/>
              </w:rPr>
              <w:t xml:space="preserve"> </w:t>
            </w:r>
            <w:r w:rsidRPr="00150EDC">
              <w:rPr>
                <w:sz w:val="20"/>
              </w:rPr>
              <w:t>(Northern</w:t>
            </w:r>
            <w:r w:rsidRPr="00150EDC">
              <w:rPr>
                <w:spacing w:val="-7"/>
                <w:sz w:val="20"/>
              </w:rPr>
              <w:t xml:space="preserve"> </w:t>
            </w:r>
            <w:r w:rsidRPr="00150EDC">
              <w:rPr>
                <w:sz w:val="20"/>
              </w:rPr>
              <w:t>Ireland)</w:t>
            </w:r>
            <w:r w:rsidRPr="00150EDC">
              <w:rPr>
                <w:spacing w:val="-4"/>
                <w:sz w:val="20"/>
              </w:rPr>
              <w:t xml:space="preserve"> </w:t>
            </w:r>
            <w:r w:rsidRPr="00150EDC">
              <w:rPr>
                <w:sz w:val="20"/>
              </w:rPr>
              <w:t>Order</w:t>
            </w:r>
            <w:r w:rsidRPr="00150EDC">
              <w:rPr>
                <w:spacing w:val="-8"/>
                <w:sz w:val="20"/>
              </w:rPr>
              <w:t xml:space="preserve"> </w:t>
            </w:r>
            <w:r w:rsidRPr="00150EDC">
              <w:rPr>
                <w:sz w:val="20"/>
              </w:rPr>
              <w:t>2008,</w:t>
            </w:r>
            <w:r w:rsidRPr="00150EDC">
              <w:rPr>
                <w:spacing w:val="-7"/>
                <w:sz w:val="20"/>
              </w:rPr>
              <w:t xml:space="preserve"> </w:t>
            </w:r>
            <w:r w:rsidRPr="00150EDC">
              <w:rPr>
                <w:sz w:val="20"/>
              </w:rPr>
              <w:t>Art</w:t>
            </w:r>
            <w:r w:rsidRPr="00150EDC">
              <w:rPr>
                <w:spacing w:val="-7"/>
                <w:sz w:val="20"/>
              </w:rPr>
              <w:t xml:space="preserve"> </w:t>
            </w:r>
            <w:r w:rsidRPr="00150EDC">
              <w:rPr>
                <w:spacing w:val="-5"/>
                <w:sz w:val="20"/>
              </w:rPr>
              <w:t>54</w:t>
            </w:r>
          </w:p>
        </w:tc>
        <w:tc>
          <w:tcPr>
            <w:tcW w:w="7427" w:type="dxa"/>
          </w:tcPr>
          <w:p w14:paraId="5F7E2A1F" w14:textId="77777777" w:rsidR="004C7180" w:rsidRPr="00150EDC" w:rsidRDefault="00CF0754">
            <w:pPr>
              <w:pStyle w:val="TableParagraph"/>
              <w:rPr>
                <w:sz w:val="20"/>
              </w:rPr>
            </w:pPr>
            <w:r w:rsidRPr="00150EDC">
              <w:rPr>
                <w:sz w:val="20"/>
              </w:rPr>
              <w:t>Care</w:t>
            </w:r>
            <w:r w:rsidRPr="00150EDC">
              <w:rPr>
                <w:spacing w:val="-5"/>
                <w:sz w:val="20"/>
              </w:rPr>
              <w:t xml:space="preserve"> </w:t>
            </w:r>
            <w:r w:rsidRPr="00150EDC">
              <w:rPr>
                <w:sz w:val="20"/>
              </w:rPr>
              <w:t>workers:</w:t>
            </w:r>
            <w:r w:rsidRPr="00150EDC">
              <w:rPr>
                <w:spacing w:val="-3"/>
                <w:sz w:val="20"/>
              </w:rPr>
              <w:t xml:space="preserve"> </w:t>
            </w:r>
            <w:r w:rsidRPr="00150EDC">
              <w:rPr>
                <w:sz w:val="20"/>
              </w:rPr>
              <w:t>causing</w:t>
            </w:r>
            <w:r w:rsidRPr="00150EDC">
              <w:rPr>
                <w:spacing w:val="-5"/>
                <w:sz w:val="20"/>
              </w:rPr>
              <w:t xml:space="preserve"> </w:t>
            </w:r>
            <w:r w:rsidRPr="00150EDC">
              <w:rPr>
                <w:sz w:val="20"/>
              </w:rPr>
              <w:t>a person</w:t>
            </w:r>
            <w:r w:rsidRPr="00150EDC">
              <w:rPr>
                <w:spacing w:val="-4"/>
                <w:sz w:val="20"/>
              </w:rPr>
              <w:t xml:space="preserve"> </w:t>
            </w:r>
            <w:r w:rsidRPr="00150EDC">
              <w:rPr>
                <w:sz w:val="20"/>
              </w:rPr>
              <w:t>with</w:t>
            </w:r>
            <w:r w:rsidRPr="00150EDC">
              <w:rPr>
                <w:spacing w:val="-5"/>
                <w:sz w:val="20"/>
              </w:rPr>
              <w:t xml:space="preserve"> </w:t>
            </w:r>
            <w:r w:rsidRPr="00150EDC">
              <w:rPr>
                <w:sz w:val="20"/>
              </w:rPr>
              <w:t>a mental</w:t>
            </w:r>
            <w:r w:rsidRPr="00150EDC">
              <w:rPr>
                <w:spacing w:val="-3"/>
                <w:sz w:val="20"/>
              </w:rPr>
              <w:t xml:space="preserve"> </w:t>
            </w:r>
            <w:r w:rsidRPr="00150EDC">
              <w:rPr>
                <w:sz w:val="20"/>
              </w:rPr>
              <w:t>disorder</w:t>
            </w:r>
            <w:r w:rsidRPr="00150EDC">
              <w:rPr>
                <w:spacing w:val="-4"/>
                <w:sz w:val="20"/>
              </w:rPr>
              <w:t xml:space="preserve"> </w:t>
            </w:r>
            <w:r w:rsidRPr="00150EDC">
              <w:rPr>
                <w:sz w:val="20"/>
              </w:rPr>
              <w:t>to watch</w:t>
            </w:r>
            <w:r w:rsidRPr="00150EDC">
              <w:rPr>
                <w:spacing w:val="-4"/>
                <w:sz w:val="20"/>
              </w:rPr>
              <w:t xml:space="preserve"> </w:t>
            </w:r>
            <w:r w:rsidRPr="00150EDC">
              <w:rPr>
                <w:sz w:val="20"/>
              </w:rPr>
              <w:t>a</w:t>
            </w:r>
            <w:r w:rsidRPr="00150EDC">
              <w:rPr>
                <w:spacing w:val="-4"/>
                <w:sz w:val="20"/>
              </w:rPr>
              <w:t xml:space="preserve"> </w:t>
            </w:r>
            <w:r w:rsidRPr="00150EDC">
              <w:rPr>
                <w:sz w:val="20"/>
              </w:rPr>
              <w:t>sexual</w:t>
            </w:r>
            <w:r w:rsidRPr="00150EDC">
              <w:rPr>
                <w:spacing w:val="-3"/>
                <w:sz w:val="20"/>
              </w:rPr>
              <w:t xml:space="preserve"> </w:t>
            </w:r>
            <w:r w:rsidRPr="00150EDC">
              <w:rPr>
                <w:spacing w:val="-5"/>
                <w:sz w:val="20"/>
              </w:rPr>
              <w:t>act</w:t>
            </w:r>
          </w:p>
        </w:tc>
      </w:tr>
      <w:tr w:rsidR="004569EE" w:rsidRPr="007D3144" w14:paraId="57DDDF07" w14:textId="77777777">
        <w:trPr>
          <w:trHeight w:val="255"/>
        </w:trPr>
        <w:tc>
          <w:tcPr>
            <w:tcW w:w="6517" w:type="dxa"/>
          </w:tcPr>
          <w:p w14:paraId="7E373589"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1"/>
                <w:sz w:val="20"/>
              </w:rPr>
              <w:t xml:space="preserve"> </w:t>
            </w:r>
            <w:r w:rsidRPr="00150EDC">
              <w:rPr>
                <w:sz w:val="20"/>
              </w:rPr>
              <w:t>(Northern</w:t>
            </w:r>
            <w:r w:rsidRPr="00150EDC">
              <w:rPr>
                <w:spacing w:val="-7"/>
                <w:sz w:val="20"/>
              </w:rPr>
              <w:t xml:space="preserve"> </w:t>
            </w:r>
            <w:r w:rsidRPr="00150EDC">
              <w:rPr>
                <w:sz w:val="20"/>
              </w:rPr>
              <w:t>Ireland)</w:t>
            </w:r>
            <w:r w:rsidRPr="00150EDC">
              <w:rPr>
                <w:spacing w:val="-4"/>
                <w:sz w:val="20"/>
              </w:rPr>
              <w:t xml:space="preserve"> </w:t>
            </w:r>
            <w:r w:rsidRPr="00150EDC">
              <w:rPr>
                <w:sz w:val="20"/>
              </w:rPr>
              <w:t>Order</w:t>
            </w:r>
            <w:r w:rsidRPr="00150EDC">
              <w:rPr>
                <w:spacing w:val="-7"/>
                <w:sz w:val="20"/>
              </w:rPr>
              <w:t xml:space="preserve"> </w:t>
            </w:r>
            <w:r w:rsidRPr="00150EDC">
              <w:rPr>
                <w:sz w:val="20"/>
              </w:rPr>
              <w:t>2008,</w:t>
            </w:r>
            <w:r w:rsidRPr="00150EDC">
              <w:rPr>
                <w:spacing w:val="-7"/>
                <w:sz w:val="20"/>
              </w:rPr>
              <w:t xml:space="preserve"> </w:t>
            </w:r>
            <w:r w:rsidRPr="00150EDC">
              <w:rPr>
                <w:sz w:val="20"/>
              </w:rPr>
              <w:t>Art</w:t>
            </w:r>
            <w:r w:rsidRPr="00150EDC">
              <w:rPr>
                <w:spacing w:val="-7"/>
                <w:sz w:val="20"/>
              </w:rPr>
              <w:t xml:space="preserve"> </w:t>
            </w:r>
            <w:r w:rsidRPr="00150EDC">
              <w:rPr>
                <w:spacing w:val="-5"/>
                <w:sz w:val="20"/>
              </w:rPr>
              <w:t>59</w:t>
            </w:r>
          </w:p>
        </w:tc>
        <w:tc>
          <w:tcPr>
            <w:tcW w:w="7427" w:type="dxa"/>
          </w:tcPr>
          <w:p w14:paraId="270DCF7E" w14:textId="77777777" w:rsidR="004C7180" w:rsidRPr="00150EDC" w:rsidRDefault="00CF0754">
            <w:pPr>
              <w:pStyle w:val="TableParagraph"/>
              <w:rPr>
                <w:sz w:val="20"/>
              </w:rPr>
            </w:pPr>
            <w:r w:rsidRPr="00150EDC">
              <w:rPr>
                <w:sz w:val="20"/>
              </w:rPr>
              <w:t>Loitering</w:t>
            </w:r>
            <w:r w:rsidRPr="00150EDC">
              <w:rPr>
                <w:spacing w:val="-2"/>
                <w:sz w:val="20"/>
              </w:rPr>
              <w:t xml:space="preserve"> </w:t>
            </w:r>
            <w:r w:rsidRPr="00150EDC">
              <w:rPr>
                <w:sz w:val="20"/>
              </w:rPr>
              <w:t>or</w:t>
            </w:r>
            <w:r w:rsidRPr="00150EDC">
              <w:rPr>
                <w:spacing w:val="-7"/>
                <w:sz w:val="20"/>
              </w:rPr>
              <w:t xml:space="preserve"> </w:t>
            </w:r>
            <w:r w:rsidRPr="00150EDC">
              <w:rPr>
                <w:sz w:val="20"/>
              </w:rPr>
              <w:t>soliciting</w:t>
            </w:r>
            <w:r w:rsidRPr="00150EDC">
              <w:rPr>
                <w:spacing w:val="-7"/>
                <w:sz w:val="20"/>
              </w:rPr>
              <w:t xml:space="preserve"> </w:t>
            </w:r>
            <w:r w:rsidRPr="00150EDC">
              <w:rPr>
                <w:sz w:val="20"/>
              </w:rPr>
              <w:t>for</w:t>
            </w:r>
            <w:r w:rsidRPr="00150EDC">
              <w:rPr>
                <w:spacing w:val="-1"/>
                <w:sz w:val="20"/>
              </w:rPr>
              <w:t xml:space="preserve"> </w:t>
            </w:r>
            <w:r w:rsidRPr="00150EDC">
              <w:rPr>
                <w:sz w:val="20"/>
              </w:rPr>
              <w:t>purposes</w:t>
            </w:r>
            <w:r w:rsidRPr="00150EDC">
              <w:rPr>
                <w:spacing w:val="-6"/>
                <w:sz w:val="20"/>
              </w:rPr>
              <w:t xml:space="preserve"> </w:t>
            </w:r>
            <w:r w:rsidRPr="00150EDC">
              <w:rPr>
                <w:sz w:val="20"/>
              </w:rPr>
              <w:t>of</w:t>
            </w:r>
            <w:r w:rsidRPr="00150EDC">
              <w:rPr>
                <w:spacing w:val="-7"/>
                <w:sz w:val="20"/>
              </w:rPr>
              <w:t xml:space="preserve"> </w:t>
            </w:r>
            <w:r w:rsidRPr="00150EDC">
              <w:rPr>
                <w:spacing w:val="-2"/>
                <w:sz w:val="20"/>
              </w:rPr>
              <w:t>prostitution</w:t>
            </w:r>
          </w:p>
        </w:tc>
      </w:tr>
      <w:tr w:rsidR="004569EE" w:rsidRPr="007D3144" w14:paraId="49536291" w14:textId="77777777">
        <w:trPr>
          <w:trHeight w:val="255"/>
        </w:trPr>
        <w:tc>
          <w:tcPr>
            <w:tcW w:w="6517" w:type="dxa"/>
          </w:tcPr>
          <w:p w14:paraId="75C1E99B" w14:textId="77777777" w:rsidR="004C7180" w:rsidRPr="00150EDC" w:rsidRDefault="00CF0754">
            <w:pPr>
              <w:pStyle w:val="TableParagraph"/>
              <w:spacing w:before="28"/>
              <w:rPr>
                <w:sz w:val="20"/>
              </w:rPr>
            </w:pPr>
            <w:r w:rsidRPr="00150EDC">
              <w:rPr>
                <w:sz w:val="20"/>
              </w:rPr>
              <w:t>Sexual</w:t>
            </w:r>
            <w:r w:rsidRPr="00150EDC">
              <w:rPr>
                <w:spacing w:val="-6"/>
                <w:sz w:val="20"/>
              </w:rPr>
              <w:t xml:space="preserve"> </w:t>
            </w:r>
            <w:r w:rsidRPr="00150EDC">
              <w:rPr>
                <w:sz w:val="20"/>
              </w:rPr>
              <w:t>Offences</w:t>
            </w:r>
            <w:r w:rsidRPr="00150EDC">
              <w:rPr>
                <w:spacing w:val="-2"/>
                <w:sz w:val="20"/>
              </w:rPr>
              <w:t xml:space="preserve"> </w:t>
            </w:r>
            <w:r w:rsidRPr="00150EDC">
              <w:rPr>
                <w:sz w:val="20"/>
              </w:rPr>
              <w:t>(Northern</w:t>
            </w:r>
            <w:r w:rsidRPr="00150EDC">
              <w:rPr>
                <w:spacing w:val="-7"/>
                <w:sz w:val="20"/>
              </w:rPr>
              <w:t xml:space="preserve"> </w:t>
            </w:r>
            <w:r w:rsidRPr="00150EDC">
              <w:rPr>
                <w:sz w:val="20"/>
              </w:rPr>
              <w:t>Ireland)</w:t>
            </w:r>
            <w:r w:rsidRPr="00150EDC">
              <w:rPr>
                <w:spacing w:val="-4"/>
                <w:sz w:val="20"/>
              </w:rPr>
              <w:t xml:space="preserve"> </w:t>
            </w:r>
            <w:r w:rsidRPr="00150EDC">
              <w:rPr>
                <w:sz w:val="20"/>
              </w:rPr>
              <w:t>Order</w:t>
            </w:r>
            <w:r w:rsidRPr="00150EDC">
              <w:rPr>
                <w:spacing w:val="-8"/>
                <w:sz w:val="20"/>
              </w:rPr>
              <w:t xml:space="preserve"> </w:t>
            </w:r>
            <w:r w:rsidRPr="00150EDC">
              <w:rPr>
                <w:sz w:val="20"/>
              </w:rPr>
              <w:t>2008,</w:t>
            </w:r>
            <w:r w:rsidRPr="00150EDC">
              <w:rPr>
                <w:spacing w:val="-7"/>
                <w:sz w:val="20"/>
              </w:rPr>
              <w:t xml:space="preserve"> </w:t>
            </w:r>
            <w:r w:rsidRPr="00150EDC">
              <w:rPr>
                <w:sz w:val="20"/>
              </w:rPr>
              <w:t>Art</w:t>
            </w:r>
            <w:r w:rsidRPr="00150EDC">
              <w:rPr>
                <w:spacing w:val="-7"/>
                <w:sz w:val="20"/>
              </w:rPr>
              <w:t xml:space="preserve"> </w:t>
            </w:r>
            <w:r w:rsidRPr="00150EDC">
              <w:rPr>
                <w:spacing w:val="-10"/>
                <w:sz w:val="20"/>
              </w:rPr>
              <w:t>6</w:t>
            </w:r>
          </w:p>
        </w:tc>
        <w:tc>
          <w:tcPr>
            <w:tcW w:w="7427" w:type="dxa"/>
          </w:tcPr>
          <w:p w14:paraId="2B2BC5E3" w14:textId="77777777" w:rsidR="004C7180" w:rsidRPr="00150EDC" w:rsidRDefault="00CF0754">
            <w:pPr>
              <w:pStyle w:val="TableParagraph"/>
              <w:spacing w:before="28"/>
              <w:rPr>
                <w:sz w:val="20"/>
              </w:rPr>
            </w:pPr>
            <w:r w:rsidRPr="00150EDC">
              <w:rPr>
                <w:sz w:val="20"/>
              </w:rPr>
              <w:t>Assault</w:t>
            </w:r>
            <w:r w:rsidRPr="00150EDC">
              <w:rPr>
                <w:spacing w:val="-5"/>
                <w:sz w:val="20"/>
              </w:rPr>
              <w:t xml:space="preserve"> </w:t>
            </w:r>
            <w:r w:rsidRPr="00150EDC">
              <w:rPr>
                <w:sz w:val="20"/>
              </w:rPr>
              <w:t>by</w:t>
            </w:r>
            <w:r w:rsidRPr="00150EDC">
              <w:rPr>
                <w:spacing w:val="-4"/>
                <w:sz w:val="20"/>
              </w:rPr>
              <w:t xml:space="preserve"> </w:t>
            </w:r>
            <w:r w:rsidRPr="00150EDC">
              <w:rPr>
                <w:spacing w:val="-2"/>
                <w:sz w:val="20"/>
              </w:rPr>
              <w:t>penertration</w:t>
            </w:r>
          </w:p>
        </w:tc>
      </w:tr>
    </w:tbl>
    <w:p w14:paraId="1EF92AFF" w14:textId="77777777" w:rsidR="004C7180" w:rsidRPr="00150EDC" w:rsidRDefault="004C7180">
      <w:pPr>
        <w:rPr>
          <w:sz w:val="20"/>
        </w:rPr>
        <w:sectPr w:rsidR="004C7180" w:rsidRPr="00150EDC">
          <w:footerReference w:type="default" r:id="rId145"/>
          <w:pgSz w:w="16840" w:h="11910" w:orient="landscape"/>
          <w:pgMar w:top="1340" w:right="1320" w:bottom="280" w:left="1340" w:header="0" w:footer="0" w:gutter="0"/>
          <w:cols w:space="720"/>
        </w:sectPr>
      </w:pPr>
    </w:p>
    <w:p w14:paraId="57F335B4" w14:textId="77777777" w:rsidR="004C7180" w:rsidRPr="00150EDC" w:rsidRDefault="004C7180">
      <w:pPr>
        <w:pStyle w:val="BodyText"/>
        <w:spacing w:before="3"/>
        <w:rPr>
          <w:sz w:val="8"/>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517"/>
        <w:gridCol w:w="7427"/>
      </w:tblGrid>
      <w:tr w:rsidR="004569EE" w:rsidRPr="007D3144" w14:paraId="6672DA1E" w14:textId="77777777">
        <w:trPr>
          <w:trHeight w:val="254"/>
        </w:trPr>
        <w:tc>
          <w:tcPr>
            <w:tcW w:w="6517" w:type="dxa"/>
          </w:tcPr>
          <w:p w14:paraId="286015A8"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2"/>
                <w:sz w:val="20"/>
              </w:rPr>
              <w:t xml:space="preserve"> </w:t>
            </w:r>
            <w:r w:rsidRPr="00150EDC">
              <w:rPr>
                <w:sz w:val="20"/>
              </w:rPr>
              <w:t>(Northern</w:t>
            </w:r>
            <w:r w:rsidRPr="00150EDC">
              <w:rPr>
                <w:spacing w:val="-7"/>
                <w:sz w:val="20"/>
              </w:rPr>
              <w:t xml:space="preserve"> </w:t>
            </w:r>
            <w:r w:rsidRPr="00150EDC">
              <w:rPr>
                <w:sz w:val="20"/>
              </w:rPr>
              <w:t>Ireland)</w:t>
            </w:r>
            <w:r w:rsidRPr="00150EDC">
              <w:rPr>
                <w:spacing w:val="-4"/>
                <w:sz w:val="20"/>
              </w:rPr>
              <w:t xml:space="preserve"> </w:t>
            </w:r>
            <w:r w:rsidRPr="00150EDC">
              <w:rPr>
                <w:sz w:val="20"/>
              </w:rPr>
              <w:t>Order</w:t>
            </w:r>
            <w:r w:rsidRPr="00150EDC">
              <w:rPr>
                <w:spacing w:val="-8"/>
                <w:sz w:val="20"/>
              </w:rPr>
              <w:t xml:space="preserve"> </w:t>
            </w:r>
            <w:r w:rsidRPr="00150EDC">
              <w:rPr>
                <w:sz w:val="20"/>
              </w:rPr>
              <w:t>2008,</w:t>
            </w:r>
            <w:r w:rsidRPr="00150EDC">
              <w:rPr>
                <w:spacing w:val="-7"/>
                <w:sz w:val="20"/>
              </w:rPr>
              <w:t xml:space="preserve"> </w:t>
            </w:r>
            <w:r w:rsidRPr="00150EDC">
              <w:rPr>
                <w:sz w:val="20"/>
              </w:rPr>
              <w:t>Art</w:t>
            </w:r>
            <w:r w:rsidRPr="00150EDC">
              <w:rPr>
                <w:spacing w:val="-7"/>
                <w:sz w:val="20"/>
              </w:rPr>
              <w:t xml:space="preserve"> </w:t>
            </w:r>
            <w:r w:rsidRPr="00150EDC">
              <w:rPr>
                <w:spacing w:val="-5"/>
                <w:sz w:val="20"/>
              </w:rPr>
              <w:t>60</w:t>
            </w:r>
          </w:p>
        </w:tc>
        <w:tc>
          <w:tcPr>
            <w:tcW w:w="7427" w:type="dxa"/>
          </w:tcPr>
          <w:p w14:paraId="092B8AA7" w14:textId="77777777" w:rsidR="004C7180" w:rsidRPr="00150EDC" w:rsidRDefault="00CF0754">
            <w:pPr>
              <w:pStyle w:val="TableParagraph"/>
              <w:rPr>
                <w:sz w:val="20"/>
              </w:rPr>
            </w:pPr>
            <w:r w:rsidRPr="00150EDC">
              <w:rPr>
                <w:spacing w:val="-2"/>
                <w:sz w:val="20"/>
              </w:rPr>
              <w:t>Kerb-crawling</w:t>
            </w:r>
          </w:p>
        </w:tc>
      </w:tr>
      <w:tr w:rsidR="004569EE" w:rsidRPr="007D3144" w14:paraId="67DAFAD9" w14:textId="77777777">
        <w:trPr>
          <w:trHeight w:val="255"/>
        </w:trPr>
        <w:tc>
          <w:tcPr>
            <w:tcW w:w="6517" w:type="dxa"/>
          </w:tcPr>
          <w:p w14:paraId="5F26AC9A" w14:textId="77777777" w:rsidR="004C7180" w:rsidRPr="00150EDC" w:rsidRDefault="00CF0754">
            <w:pPr>
              <w:pStyle w:val="TableParagraph"/>
              <w:spacing w:before="28"/>
              <w:rPr>
                <w:sz w:val="20"/>
              </w:rPr>
            </w:pPr>
            <w:r w:rsidRPr="00150EDC">
              <w:rPr>
                <w:sz w:val="20"/>
              </w:rPr>
              <w:t>Sexual</w:t>
            </w:r>
            <w:r w:rsidRPr="00150EDC">
              <w:rPr>
                <w:spacing w:val="-6"/>
                <w:sz w:val="20"/>
              </w:rPr>
              <w:t xml:space="preserve"> </w:t>
            </w:r>
            <w:r w:rsidRPr="00150EDC">
              <w:rPr>
                <w:sz w:val="20"/>
              </w:rPr>
              <w:t>Offences</w:t>
            </w:r>
            <w:r w:rsidRPr="00150EDC">
              <w:rPr>
                <w:spacing w:val="-2"/>
                <w:sz w:val="20"/>
              </w:rPr>
              <w:t xml:space="preserve"> </w:t>
            </w:r>
            <w:r w:rsidRPr="00150EDC">
              <w:rPr>
                <w:sz w:val="20"/>
              </w:rPr>
              <w:t>(Northern</w:t>
            </w:r>
            <w:r w:rsidRPr="00150EDC">
              <w:rPr>
                <w:spacing w:val="-7"/>
                <w:sz w:val="20"/>
              </w:rPr>
              <w:t xml:space="preserve"> </w:t>
            </w:r>
            <w:r w:rsidRPr="00150EDC">
              <w:rPr>
                <w:sz w:val="20"/>
              </w:rPr>
              <w:t>Ireland)</w:t>
            </w:r>
            <w:r w:rsidRPr="00150EDC">
              <w:rPr>
                <w:spacing w:val="-4"/>
                <w:sz w:val="20"/>
              </w:rPr>
              <w:t xml:space="preserve"> </w:t>
            </w:r>
            <w:r w:rsidRPr="00150EDC">
              <w:rPr>
                <w:sz w:val="20"/>
              </w:rPr>
              <w:t>Order</w:t>
            </w:r>
            <w:r w:rsidRPr="00150EDC">
              <w:rPr>
                <w:spacing w:val="-7"/>
                <w:sz w:val="20"/>
              </w:rPr>
              <w:t xml:space="preserve"> </w:t>
            </w:r>
            <w:r w:rsidRPr="00150EDC">
              <w:rPr>
                <w:sz w:val="20"/>
              </w:rPr>
              <w:t>2008,</w:t>
            </w:r>
            <w:r w:rsidRPr="00150EDC">
              <w:rPr>
                <w:spacing w:val="-7"/>
                <w:sz w:val="20"/>
              </w:rPr>
              <w:t xml:space="preserve"> </w:t>
            </w:r>
            <w:r w:rsidRPr="00150EDC">
              <w:rPr>
                <w:sz w:val="20"/>
              </w:rPr>
              <w:t>Art</w:t>
            </w:r>
            <w:r w:rsidRPr="00150EDC">
              <w:rPr>
                <w:spacing w:val="-7"/>
                <w:sz w:val="20"/>
              </w:rPr>
              <w:t xml:space="preserve"> </w:t>
            </w:r>
            <w:r w:rsidRPr="00150EDC">
              <w:rPr>
                <w:spacing w:val="-5"/>
                <w:sz w:val="20"/>
              </w:rPr>
              <w:t>61</w:t>
            </w:r>
          </w:p>
        </w:tc>
        <w:tc>
          <w:tcPr>
            <w:tcW w:w="7427" w:type="dxa"/>
          </w:tcPr>
          <w:p w14:paraId="69B88BE0" w14:textId="77777777" w:rsidR="004C7180" w:rsidRPr="00150EDC" w:rsidRDefault="00CF0754">
            <w:pPr>
              <w:pStyle w:val="TableParagraph"/>
              <w:spacing w:before="28"/>
              <w:rPr>
                <w:sz w:val="20"/>
              </w:rPr>
            </w:pPr>
            <w:r w:rsidRPr="00150EDC">
              <w:rPr>
                <w:sz w:val="20"/>
              </w:rPr>
              <w:t>Persistent</w:t>
            </w:r>
            <w:r w:rsidRPr="00150EDC">
              <w:rPr>
                <w:spacing w:val="-11"/>
                <w:sz w:val="20"/>
              </w:rPr>
              <w:t xml:space="preserve"> </w:t>
            </w:r>
            <w:r w:rsidRPr="00150EDC">
              <w:rPr>
                <w:spacing w:val="-2"/>
                <w:sz w:val="20"/>
              </w:rPr>
              <w:t>soliciting</w:t>
            </w:r>
          </w:p>
        </w:tc>
      </w:tr>
      <w:tr w:rsidR="004569EE" w:rsidRPr="007D3144" w14:paraId="5FF153B0" w14:textId="77777777">
        <w:trPr>
          <w:trHeight w:val="255"/>
        </w:trPr>
        <w:tc>
          <w:tcPr>
            <w:tcW w:w="6517" w:type="dxa"/>
          </w:tcPr>
          <w:p w14:paraId="56D634F1"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2"/>
                <w:sz w:val="20"/>
              </w:rPr>
              <w:t xml:space="preserve"> </w:t>
            </w:r>
            <w:r w:rsidRPr="00150EDC">
              <w:rPr>
                <w:sz w:val="20"/>
              </w:rPr>
              <w:t>(Northern</w:t>
            </w:r>
            <w:r w:rsidRPr="00150EDC">
              <w:rPr>
                <w:spacing w:val="-7"/>
                <w:sz w:val="20"/>
              </w:rPr>
              <w:t xml:space="preserve"> </w:t>
            </w:r>
            <w:r w:rsidRPr="00150EDC">
              <w:rPr>
                <w:sz w:val="20"/>
              </w:rPr>
              <w:t>Ireland)</w:t>
            </w:r>
            <w:r w:rsidRPr="00150EDC">
              <w:rPr>
                <w:spacing w:val="-4"/>
                <w:sz w:val="20"/>
              </w:rPr>
              <w:t xml:space="preserve"> </w:t>
            </w:r>
            <w:r w:rsidRPr="00150EDC">
              <w:rPr>
                <w:sz w:val="20"/>
              </w:rPr>
              <w:t>Order</w:t>
            </w:r>
            <w:r w:rsidRPr="00150EDC">
              <w:rPr>
                <w:spacing w:val="-8"/>
                <w:sz w:val="20"/>
              </w:rPr>
              <w:t xml:space="preserve"> </w:t>
            </w:r>
            <w:r w:rsidRPr="00150EDC">
              <w:rPr>
                <w:sz w:val="20"/>
              </w:rPr>
              <w:t>2008,</w:t>
            </w:r>
            <w:r w:rsidRPr="00150EDC">
              <w:rPr>
                <w:spacing w:val="-7"/>
                <w:sz w:val="20"/>
              </w:rPr>
              <w:t xml:space="preserve"> </w:t>
            </w:r>
            <w:r w:rsidRPr="00150EDC">
              <w:rPr>
                <w:sz w:val="20"/>
              </w:rPr>
              <w:t>Art</w:t>
            </w:r>
            <w:r w:rsidRPr="00150EDC">
              <w:rPr>
                <w:spacing w:val="-7"/>
                <w:sz w:val="20"/>
              </w:rPr>
              <w:t xml:space="preserve"> </w:t>
            </w:r>
            <w:r w:rsidRPr="00150EDC">
              <w:rPr>
                <w:spacing w:val="-5"/>
                <w:sz w:val="20"/>
              </w:rPr>
              <w:t>62</w:t>
            </w:r>
          </w:p>
        </w:tc>
        <w:tc>
          <w:tcPr>
            <w:tcW w:w="7427" w:type="dxa"/>
          </w:tcPr>
          <w:p w14:paraId="72B9E0C8" w14:textId="77777777" w:rsidR="004C7180" w:rsidRPr="00150EDC" w:rsidRDefault="00CF0754">
            <w:pPr>
              <w:pStyle w:val="TableParagraph"/>
              <w:rPr>
                <w:sz w:val="20"/>
              </w:rPr>
            </w:pPr>
            <w:r w:rsidRPr="00150EDC">
              <w:rPr>
                <w:sz w:val="20"/>
              </w:rPr>
              <w:t>Causing</w:t>
            </w:r>
            <w:r w:rsidRPr="00150EDC">
              <w:rPr>
                <w:spacing w:val="-7"/>
                <w:sz w:val="20"/>
              </w:rPr>
              <w:t xml:space="preserve"> </w:t>
            </w:r>
            <w:r w:rsidRPr="00150EDC">
              <w:rPr>
                <w:sz w:val="20"/>
              </w:rPr>
              <w:t>or</w:t>
            </w:r>
            <w:r w:rsidRPr="00150EDC">
              <w:rPr>
                <w:spacing w:val="-2"/>
                <w:sz w:val="20"/>
              </w:rPr>
              <w:t xml:space="preserve"> </w:t>
            </w:r>
            <w:r w:rsidRPr="00150EDC">
              <w:rPr>
                <w:sz w:val="20"/>
              </w:rPr>
              <w:t>inciting</w:t>
            </w:r>
            <w:r w:rsidRPr="00150EDC">
              <w:rPr>
                <w:spacing w:val="-7"/>
                <w:sz w:val="20"/>
              </w:rPr>
              <w:t xml:space="preserve"> </w:t>
            </w:r>
            <w:r w:rsidRPr="00150EDC">
              <w:rPr>
                <w:sz w:val="20"/>
              </w:rPr>
              <w:t>prostitution</w:t>
            </w:r>
            <w:r w:rsidRPr="00150EDC">
              <w:rPr>
                <w:spacing w:val="-6"/>
                <w:sz w:val="20"/>
              </w:rPr>
              <w:t xml:space="preserve"> </w:t>
            </w:r>
            <w:r w:rsidRPr="00150EDC">
              <w:rPr>
                <w:sz w:val="20"/>
              </w:rPr>
              <w:t>for</w:t>
            </w:r>
            <w:r w:rsidRPr="00150EDC">
              <w:rPr>
                <w:spacing w:val="-7"/>
                <w:sz w:val="20"/>
              </w:rPr>
              <w:t xml:space="preserve"> </w:t>
            </w:r>
            <w:r w:rsidRPr="00150EDC">
              <w:rPr>
                <w:spacing w:val="-4"/>
                <w:sz w:val="20"/>
              </w:rPr>
              <w:t>gain</w:t>
            </w:r>
          </w:p>
        </w:tc>
      </w:tr>
      <w:tr w:rsidR="004569EE" w:rsidRPr="007D3144" w14:paraId="499F0DB0" w14:textId="77777777">
        <w:trPr>
          <w:trHeight w:val="255"/>
        </w:trPr>
        <w:tc>
          <w:tcPr>
            <w:tcW w:w="6517" w:type="dxa"/>
          </w:tcPr>
          <w:p w14:paraId="48246AAB"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2"/>
                <w:sz w:val="20"/>
              </w:rPr>
              <w:t xml:space="preserve"> </w:t>
            </w:r>
            <w:r w:rsidRPr="00150EDC">
              <w:rPr>
                <w:sz w:val="20"/>
              </w:rPr>
              <w:t>(Northern</w:t>
            </w:r>
            <w:r w:rsidRPr="00150EDC">
              <w:rPr>
                <w:spacing w:val="-7"/>
                <w:sz w:val="20"/>
              </w:rPr>
              <w:t xml:space="preserve"> </w:t>
            </w:r>
            <w:r w:rsidRPr="00150EDC">
              <w:rPr>
                <w:sz w:val="20"/>
              </w:rPr>
              <w:t>Ireland)</w:t>
            </w:r>
            <w:r w:rsidRPr="00150EDC">
              <w:rPr>
                <w:spacing w:val="-4"/>
                <w:sz w:val="20"/>
              </w:rPr>
              <w:t xml:space="preserve"> </w:t>
            </w:r>
            <w:r w:rsidRPr="00150EDC">
              <w:rPr>
                <w:sz w:val="20"/>
              </w:rPr>
              <w:t>Order</w:t>
            </w:r>
            <w:r w:rsidRPr="00150EDC">
              <w:rPr>
                <w:spacing w:val="-8"/>
                <w:sz w:val="20"/>
              </w:rPr>
              <w:t xml:space="preserve"> </w:t>
            </w:r>
            <w:r w:rsidRPr="00150EDC">
              <w:rPr>
                <w:sz w:val="20"/>
              </w:rPr>
              <w:t>2008,</w:t>
            </w:r>
            <w:r w:rsidRPr="00150EDC">
              <w:rPr>
                <w:spacing w:val="-7"/>
                <w:sz w:val="20"/>
              </w:rPr>
              <w:t xml:space="preserve"> </w:t>
            </w:r>
            <w:r w:rsidRPr="00150EDC">
              <w:rPr>
                <w:sz w:val="20"/>
              </w:rPr>
              <w:t>Art</w:t>
            </w:r>
            <w:r w:rsidRPr="00150EDC">
              <w:rPr>
                <w:spacing w:val="-7"/>
                <w:sz w:val="20"/>
              </w:rPr>
              <w:t xml:space="preserve"> </w:t>
            </w:r>
            <w:r w:rsidRPr="00150EDC">
              <w:rPr>
                <w:spacing w:val="-5"/>
                <w:sz w:val="20"/>
              </w:rPr>
              <w:t>63</w:t>
            </w:r>
          </w:p>
        </w:tc>
        <w:tc>
          <w:tcPr>
            <w:tcW w:w="7427" w:type="dxa"/>
          </w:tcPr>
          <w:p w14:paraId="381CF2E5" w14:textId="77777777" w:rsidR="004C7180" w:rsidRPr="00150EDC" w:rsidRDefault="00CF0754">
            <w:pPr>
              <w:pStyle w:val="TableParagraph"/>
              <w:rPr>
                <w:sz w:val="20"/>
              </w:rPr>
            </w:pPr>
            <w:r w:rsidRPr="00150EDC">
              <w:rPr>
                <w:sz w:val="20"/>
              </w:rPr>
              <w:t>Controlling</w:t>
            </w:r>
            <w:r w:rsidRPr="00150EDC">
              <w:rPr>
                <w:spacing w:val="-5"/>
                <w:sz w:val="20"/>
              </w:rPr>
              <w:t xml:space="preserve"> </w:t>
            </w:r>
            <w:r w:rsidRPr="00150EDC">
              <w:rPr>
                <w:sz w:val="20"/>
              </w:rPr>
              <w:t>prostitution</w:t>
            </w:r>
            <w:r w:rsidRPr="00150EDC">
              <w:rPr>
                <w:spacing w:val="-10"/>
                <w:sz w:val="20"/>
              </w:rPr>
              <w:t xml:space="preserve"> </w:t>
            </w:r>
            <w:r w:rsidRPr="00150EDC">
              <w:rPr>
                <w:sz w:val="20"/>
              </w:rPr>
              <w:t>for</w:t>
            </w:r>
            <w:r w:rsidRPr="00150EDC">
              <w:rPr>
                <w:spacing w:val="-9"/>
                <w:sz w:val="20"/>
              </w:rPr>
              <w:t xml:space="preserve"> </w:t>
            </w:r>
            <w:r w:rsidRPr="00150EDC">
              <w:rPr>
                <w:spacing w:val="-4"/>
                <w:sz w:val="20"/>
              </w:rPr>
              <w:t>gain</w:t>
            </w:r>
          </w:p>
        </w:tc>
      </w:tr>
      <w:tr w:rsidR="004569EE" w:rsidRPr="007D3144" w14:paraId="011830F7" w14:textId="77777777">
        <w:trPr>
          <w:trHeight w:val="255"/>
        </w:trPr>
        <w:tc>
          <w:tcPr>
            <w:tcW w:w="6517" w:type="dxa"/>
          </w:tcPr>
          <w:p w14:paraId="75DCF240"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2"/>
                <w:sz w:val="20"/>
              </w:rPr>
              <w:t xml:space="preserve"> </w:t>
            </w:r>
            <w:r w:rsidRPr="00150EDC">
              <w:rPr>
                <w:sz w:val="20"/>
              </w:rPr>
              <w:t>(Northern</w:t>
            </w:r>
            <w:r w:rsidRPr="00150EDC">
              <w:rPr>
                <w:spacing w:val="-7"/>
                <w:sz w:val="20"/>
              </w:rPr>
              <w:t xml:space="preserve"> </w:t>
            </w:r>
            <w:r w:rsidRPr="00150EDC">
              <w:rPr>
                <w:sz w:val="20"/>
              </w:rPr>
              <w:t>Ireland)</w:t>
            </w:r>
            <w:r w:rsidRPr="00150EDC">
              <w:rPr>
                <w:spacing w:val="-4"/>
                <w:sz w:val="20"/>
              </w:rPr>
              <w:t xml:space="preserve"> </w:t>
            </w:r>
            <w:r w:rsidRPr="00150EDC">
              <w:rPr>
                <w:sz w:val="20"/>
              </w:rPr>
              <w:t>Order</w:t>
            </w:r>
            <w:r w:rsidRPr="00150EDC">
              <w:rPr>
                <w:spacing w:val="-8"/>
                <w:sz w:val="20"/>
              </w:rPr>
              <w:t xml:space="preserve"> </w:t>
            </w:r>
            <w:r w:rsidRPr="00150EDC">
              <w:rPr>
                <w:sz w:val="20"/>
              </w:rPr>
              <w:t>2008,</w:t>
            </w:r>
            <w:r w:rsidRPr="00150EDC">
              <w:rPr>
                <w:spacing w:val="-7"/>
                <w:sz w:val="20"/>
              </w:rPr>
              <w:t xml:space="preserve"> </w:t>
            </w:r>
            <w:r w:rsidRPr="00150EDC">
              <w:rPr>
                <w:sz w:val="20"/>
              </w:rPr>
              <w:t>Art</w:t>
            </w:r>
            <w:r w:rsidRPr="00150EDC">
              <w:rPr>
                <w:spacing w:val="-7"/>
                <w:sz w:val="20"/>
              </w:rPr>
              <w:t xml:space="preserve"> </w:t>
            </w:r>
            <w:r w:rsidRPr="00150EDC">
              <w:rPr>
                <w:spacing w:val="-5"/>
                <w:sz w:val="20"/>
              </w:rPr>
              <w:t>64</w:t>
            </w:r>
          </w:p>
        </w:tc>
        <w:tc>
          <w:tcPr>
            <w:tcW w:w="7427" w:type="dxa"/>
          </w:tcPr>
          <w:p w14:paraId="38466EDF" w14:textId="77777777" w:rsidR="004C7180" w:rsidRPr="00150EDC" w:rsidRDefault="00CF0754">
            <w:pPr>
              <w:pStyle w:val="TableParagraph"/>
              <w:rPr>
                <w:sz w:val="20"/>
              </w:rPr>
            </w:pPr>
            <w:r w:rsidRPr="00150EDC">
              <w:rPr>
                <w:sz w:val="20"/>
              </w:rPr>
              <w:t>Keeping</w:t>
            </w:r>
            <w:r w:rsidRPr="00150EDC">
              <w:rPr>
                <w:spacing w:val="-7"/>
                <w:sz w:val="20"/>
              </w:rPr>
              <w:t xml:space="preserve"> </w:t>
            </w:r>
            <w:r w:rsidRPr="00150EDC">
              <w:rPr>
                <w:sz w:val="20"/>
              </w:rPr>
              <w:t>a</w:t>
            </w:r>
            <w:r w:rsidRPr="00150EDC">
              <w:rPr>
                <w:spacing w:val="-3"/>
                <w:sz w:val="20"/>
              </w:rPr>
              <w:t xml:space="preserve"> </w:t>
            </w:r>
            <w:r w:rsidRPr="00150EDC">
              <w:rPr>
                <w:sz w:val="20"/>
              </w:rPr>
              <w:t>brothel</w:t>
            </w:r>
            <w:r w:rsidRPr="00150EDC">
              <w:rPr>
                <w:spacing w:val="-4"/>
                <w:sz w:val="20"/>
              </w:rPr>
              <w:t xml:space="preserve"> </w:t>
            </w:r>
            <w:r w:rsidRPr="00150EDC">
              <w:rPr>
                <w:sz w:val="20"/>
              </w:rPr>
              <w:t>used</w:t>
            </w:r>
            <w:r w:rsidRPr="00150EDC">
              <w:rPr>
                <w:spacing w:val="-2"/>
                <w:sz w:val="20"/>
              </w:rPr>
              <w:t xml:space="preserve"> </w:t>
            </w:r>
            <w:r w:rsidRPr="00150EDC">
              <w:rPr>
                <w:sz w:val="20"/>
              </w:rPr>
              <w:t>for</w:t>
            </w:r>
            <w:r w:rsidRPr="00150EDC">
              <w:rPr>
                <w:spacing w:val="-2"/>
                <w:sz w:val="20"/>
              </w:rPr>
              <w:t xml:space="preserve"> prostitution</w:t>
            </w:r>
          </w:p>
        </w:tc>
      </w:tr>
      <w:tr w:rsidR="004569EE" w:rsidRPr="007D3144" w14:paraId="4FF56298" w14:textId="77777777">
        <w:trPr>
          <w:trHeight w:val="255"/>
        </w:trPr>
        <w:tc>
          <w:tcPr>
            <w:tcW w:w="6517" w:type="dxa"/>
          </w:tcPr>
          <w:p w14:paraId="181B1FF1" w14:textId="77777777" w:rsidR="004C7180" w:rsidRPr="00150EDC" w:rsidRDefault="00CF0754">
            <w:pPr>
              <w:pStyle w:val="TableParagraph"/>
              <w:spacing w:before="28"/>
              <w:rPr>
                <w:sz w:val="20"/>
              </w:rPr>
            </w:pPr>
            <w:r w:rsidRPr="00150EDC">
              <w:rPr>
                <w:sz w:val="20"/>
              </w:rPr>
              <w:t>Sexual</w:t>
            </w:r>
            <w:r w:rsidRPr="00150EDC">
              <w:rPr>
                <w:spacing w:val="-6"/>
                <w:sz w:val="20"/>
              </w:rPr>
              <w:t xml:space="preserve"> </w:t>
            </w:r>
            <w:r w:rsidRPr="00150EDC">
              <w:rPr>
                <w:sz w:val="20"/>
              </w:rPr>
              <w:t>Offences</w:t>
            </w:r>
            <w:r w:rsidRPr="00150EDC">
              <w:rPr>
                <w:spacing w:val="-2"/>
                <w:sz w:val="20"/>
              </w:rPr>
              <w:t xml:space="preserve"> </w:t>
            </w:r>
            <w:r w:rsidRPr="00150EDC">
              <w:rPr>
                <w:sz w:val="20"/>
              </w:rPr>
              <w:t>(Northern</w:t>
            </w:r>
            <w:r w:rsidRPr="00150EDC">
              <w:rPr>
                <w:spacing w:val="-7"/>
                <w:sz w:val="20"/>
              </w:rPr>
              <w:t xml:space="preserve"> </w:t>
            </w:r>
            <w:r w:rsidRPr="00150EDC">
              <w:rPr>
                <w:sz w:val="20"/>
              </w:rPr>
              <w:t>Ireland)</w:t>
            </w:r>
            <w:r w:rsidRPr="00150EDC">
              <w:rPr>
                <w:spacing w:val="-4"/>
                <w:sz w:val="20"/>
              </w:rPr>
              <w:t xml:space="preserve"> </w:t>
            </w:r>
            <w:r w:rsidRPr="00150EDC">
              <w:rPr>
                <w:sz w:val="20"/>
              </w:rPr>
              <w:t>Order</w:t>
            </w:r>
            <w:r w:rsidRPr="00150EDC">
              <w:rPr>
                <w:spacing w:val="-8"/>
                <w:sz w:val="20"/>
              </w:rPr>
              <w:t xml:space="preserve"> </w:t>
            </w:r>
            <w:r w:rsidRPr="00150EDC">
              <w:rPr>
                <w:sz w:val="20"/>
              </w:rPr>
              <w:t>2008,</w:t>
            </w:r>
            <w:r w:rsidRPr="00150EDC">
              <w:rPr>
                <w:spacing w:val="-7"/>
                <w:sz w:val="20"/>
              </w:rPr>
              <w:t xml:space="preserve"> </w:t>
            </w:r>
            <w:r w:rsidRPr="00150EDC">
              <w:rPr>
                <w:sz w:val="20"/>
              </w:rPr>
              <w:t>Art</w:t>
            </w:r>
            <w:r w:rsidRPr="00150EDC">
              <w:rPr>
                <w:spacing w:val="-7"/>
                <w:sz w:val="20"/>
              </w:rPr>
              <w:t xml:space="preserve"> </w:t>
            </w:r>
            <w:r w:rsidRPr="00150EDC">
              <w:rPr>
                <w:spacing w:val="-5"/>
                <w:sz w:val="20"/>
              </w:rPr>
              <w:t>64A</w:t>
            </w:r>
          </w:p>
        </w:tc>
        <w:tc>
          <w:tcPr>
            <w:tcW w:w="7427" w:type="dxa"/>
          </w:tcPr>
          <w:p w14:paraId="63A51A78" w14:textId="77777777" w:rsidR="004C7180" w:rsidRPr="00150EDC" w:rsidRDefault="00CF0754">
            <w:pPr>
              <w:pStyle w:val="TableParagraph"/>
              <w:spacing w:before="28"/>
              <w:rPr>
                <w:sz w:val="20"/>
              </w:rPr>
            </w:pPr>
            <w:r w:rsidRPr="00150EDC">
              <w:rPr>
                <w:sz w:val="20"/>
              </w:rPr>
              <w:t>Paying</w:t>
            </w:r>
            <w:r w:rsidRPr="00150EDC">
              <w:rPr>
                <w:spacing w:val="-5"/>
                <w:sz w:val="20"/>
              </w:rPr>
              <w:t xml:space="preserve"> </w:t>
            </w:r>
            <w:r w:rsidRPr="00150EDC">
              <w:rPr>
                <w:sz w:val="20"/>
              </w:rPr>
              <w:t>for</w:t>
            </w:r>
            <w:r w:rsidRPr="00150EDC">
              <w:rPr>
                <w:spacing w:val="-5"/>
                <w:sz w:val="20"/>
              </w:rPr>
              <w:t xml:space="preserve"> </w:t>
            </w:r>
            <w:r w:rsidRPr="00150EDC">
              <w:rPr>
                <w:sz w:val="20"/>
              </w:rPr>
              <w:t>sexual</w:t>
            </w:r>
            <w:r w:rsidRPr="00150EDC">
              <w:rPr>
                <w:spacing w:val="-2"/>
                <w:sz w:val="20"/>
              </w:rPr>
              <w:t xml:space="preserve"> </w:t>
            </w:r>
            <w:r w:rsidRPr="00150EDC">
              <w:rPr>
                <w:sz w:val="20"/>
              </w:rPr>
              <w:t>services</w:t>
            </w:r>
            <w:r w:rsidRPr="00150EDC">
              <w:rPr>
                <w:spacing w:val="-4"/>
                <w:sz w:val="20"/>
              </w:rPr>
              <w:t xml:space="preserve"> </w:t>
            </w:r>
            <w:r w:rsidRPr="00150EDC">
              <w:rPr>
                <w:sz w:val="20"/>
              </w:rPr>
              <w:t>of</w:t>
            </w:r>
            <w:r w:rsidRPr="00150EDC">
              <w:rPr>
                <w:spacing w:val="-5"/>
                <w:sz w:val="20"/>
              </w:rPr>
              <w:t xml:space="preserve"> </w:t>
            </w:r>
            <w:r w:rsidRPr="00150EDC">
              <w:rPr>
                <w:sz w:val="20"/>
              </w:rPr>
              <w:t>a prostitute</w:t>
            </w:r>
            <w:r w:rsidRPr="00150EDC">
              <w:rPr>
                <w:spacing w:val="-4"/>
                <w:sz w:val="20"/>
              </w:rPr>
              <w:t xml:space="preserve"> </w:t>
            </w:r>
            <w:r w:rsidRPr="00150EDC">
              <w:rPr>
                <w:sz w:val="20"/>
              </w:rPr>
              <w:t>subjected to</w:t>
            </w:r>
            <w:r w:rsidRPr="00150EDC">
              <w:rPr>
                <w:spacing w:val="-5"/>
                <w:sz w:val="20"/>
              </w:rPr>
              <w:t xml:space="preserve"> </w:t>
            </w:r>
            <w:r w:rsidRPr="00150EDC">
              <w:rPr>
                <w:sz w:val="20"/>
              </w:rPr>
              <w:t>force</w:t>
            </w:r>
            <w:r w:rsidRPr="00150EDC">
              <w:rPr>
                <w:spacing w:val="-4"/>
                <w:sz w:val="20"/>
              </w:rPr>
              <w:t xml:space="preserve"> </w:t>
            </w:r>
            <w:r w:rsidRPr="00150EDC">
              <w:rPr>
                <w:spacing w:val="-5"/>
                <w:sz w:val="20"/>
              </w:rPr>
              <w:t>etc</w:t>
            </w:r>
          </w:p>
        </w:tc>
      </w:tr>
      <w:tr w:rsidR="004569EE" w:rsidRPr="007D3144" w14:paraId="4EAFB553" w14:textId="77777777">
        <w:trPr>
          <w:trHeight w:val="255"/>
        </w:trPr>
        <w:tc>
          <w:tcPr>
            <w:tcW w:w="6517" w:type="dxa"/>
          </w:tcPr>
          <w:p w14:paraId="13D44015"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1"/>
                <w:sz w:val="20"/>
              </w:rPr>
              <w:t xml:space="preserve"> </w:t>
            </w:r>
            <w:r w:rsidRPr="00150EDC">
              <w:rPr>
                <w:sz w:val="20"/>
              </w:rPr>
              <w:t>(Northern</w:t>
            </w:r>
            <w:r w:rsidRPr="00150EDC">
              <w:rPr>
                <w:spacing w:val="-7"/>
                <w:sz w:val="20"/>
              </w:rPr>
              <w:t xml:space="preserve"> </w:t>
            </w:r>
            <w:r w:rsidRPr="00150EDC">
              <w:rPr>
                <w:sz w:val="20"/>
              </w:rPr>
              <w:t>Ireland)</w:t>
            </w:r>
            <w:r w:rsidRPr="00150EDC">
              <w:rPr>
                <w:spacing w:val="-3"/>
                <w:sz w:val="20"/>
              </w:rPr>
              <w:t xml:space="preserve"> </w:t>
            </w:r>
            <w:r w:rsidRPr="00150EDC">
              <w:rPr>
                <w:sz w:val="20"/>
              </w:rPr>
              <w:t>Order</w:t>
            </w:r>
            <w:r w:rsidRPr="00150EDC">
              <w:rPr>
                <w:spacing w:val="-7"/>
                <w:sz w:val="20"/>
              </w:rPr>
              <w:t xml:space="preserve"> </w:t>
            </w:r>
            <w:r w:rsidRPr="00150EDC">
              <w:rPr>
                <w:sz w:val="20"/>
              </w:rPr>
              <w:t>2008,</w:t>
            </w:r>
            <w:r w:rsidRPr="00150EDC">
              <w:rPr>
                <w:spacing w:val="-7"/>
                <w:sz w:val="20"/>
              </w:rPr>
              <w:t xml:space="preserve"> </w:t>
            </w:r>
            <w:r w:rsidRPr="00150EDC">
              <w:rPr>
                <w:sz w:val="20"/>
              </w:rPr>
              <w:t>Art</w:t>
            </w:r>
            <w:r w:rsidRPr="00150EDC">
              <w:rPr>
                <w:spacing w:val="-7"/>
                <w:sz w:val="20"/>
              </w:rPr>
              <w:t xml:space="preserve"> </w:t>
            </w:r>
            <w:r w:rsidRPr="00150EDC">
              <w:rPr>
                <w:spacing w:val="-5"/>
                <w:sz w:val="20"/>
              </w:rPr>
              <w:t>65</w:t>
            </w:r>
          </w:p>
        </w:tc>
        <w:tc>
          <w:tcPr>
            <w:tcW w:w="7427" w:type="dxa"/>
          </w:tcPr>
          <w:p w14:paraId="50AB1775" w14:textId="77777777" w:rsidR="004C7180" w:rsidRPr="00150EDC" w:rsidRDefault="00CF0754">
            <w:pPr>
              <w:pStyle w:val="TableParagraph"/>
              <w:rPr>
                <w:sz w:val="20"/>
              </w:rPr>
            </w:pPr>
            <w:r w:rsidRPr="00150EDC">
              <w:rPr>
                <w:sz w:val="20"/>
              </w:rPr>
              <w:t>Administering</w:t>
            </w:r>
            <w:r w:rsidRPr="00150EDC">
              <w:rPr>
                <w:spacing w:val="-3"/>
                <w:sz w:val="20"/>
              </w:rPr>
              <w:t xml:space="preserve"> </w:t>
            </w:r>
            <w:r w:rsidRPr="00150EDC">
              <w:rPr>
                <w:sz w:val="20"/>
              </w:rPr>
              <w:t>a</w:t>
            </w:r>
            <w:r w:rsidRPr="00150EDC">
              <w:rPr>
                <w:spacing w:val="-6"/>
                <w:sz w:val="20"/>
              </w:rPr>
              <w:t xml:space="preserve"> </w:t>
            </w:r>
            <w:r w:rsidRPr="00150EDC">
              <w:rPr>
                <w:sz w:val="20"/>
              </w:rPr>
              <w:t>substance</w:t>
            </w:r>
            <w:r w:rsidRPr="00150EDC">
              <w:rPr>
                <w:spacing w:val="-7"/>
                <w:sz w:val="20"/>
              </w:rPr>
              <w:t xml:space="preserve"> </w:t>
            </w:r>
            <w:r w:rsidRPr="00150EDC">
              <w:rPr>
                <w:sz w:val="20"/>
              </w:rPr>
              <w:t>with</w:t>
            </w:r>
            <w:r w:rsidRPr="00150EDC">
              <w:rPr>
                <w:spacing w:val="-2"/>
                <w:sz w:val="20"/>
              </w:rPr>
              <w:t xml:space="preserve"> intent</w:t>
            </w:r>
          </w:p>
        </w:tc>
      </w:tr>
      <w:tr w:rsidR="004569EE" w:rsidRPr="007D3144" w14:paraId="7A2B289F" w14:textId="77777777">
        <w:trPr>
          <w:trHeight w:val="255"/>
        </w:trPr>
        <w:tc>
          <w:tcPr>
            <w:tcW w:w="6517" w:type="dxa"/>
          </w:tcPr>
          <w:p w14:paraId="45CC187A"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2"/>
                <w:sz w:val="20"/>
              </w:rPr>
              <w:t xml:space="preserve"> </w:t>
            </w:r>
            <w:r w:rsidRPr="00150EDC">
              <w:rPr>
                <w:sz w:val="20"/>
              </w:rPr>
              <w:t>(Northern</w:t>
            </w:r>
            <w:r w:rsidRPr="00150EDC">
              <w:rPr>
                <w:spacing w:val="-7"/>
                <w:sz w:val="20"/>
              </w:rPr>
              <w:t xml:space="preserve"> </w:t>
            </w:r>
            <w:r w:rsidRPr="00150EDC">
              <w:rPr>
                <w:sz w:val="20"/>
              </w:rPr>
              <w:t>Ireland)</w:t>
            </w:r>
            <w:r w:rsidRPr="00150EDC">
              <w:rPr>
                <w:spacing w:val="-4"/>
                <w:sz w:val="20"/>
              </w:rPr>
              <w:t xml:space="preserve"> </w:t>
            </w:r>
            <w:r w:rsidRPr="00150EDC">
              <w:rPr>
                <w:sz w:val="20"/>
              </w:rPr>
              <w:t>Order</w:t>
            </w:r>
            <w:r w:rsidRPr="00150EDC">
              <w:rPr>
                <w:spacing w:val="-8"/>
                <w:sz w:val="20"/>
              </w:rPr>
              <w:t xml:space="preserve"> </w:t>
            </w:r>
            <w:r w:rsidRPr="00150EDC">
              <w:rPr>
                <w:sz w:val="20"/>
              </w:rPr>
              <w:t>2008,</w:t>
            </w:r>
            <w:r w:rsidRPr="00150EDC">
              <w:rPr>
                <w:spacing w:val="-7"/>
                <w:sz w:val="20"/>
              </w:rPr>
              <w:t xml:space="preserve"> </w:t>
            </w:r>
            <w:r w:rsidRPr="00150EDC">
              <w:rPr>
                <w:sz w:val="20"/>
              </w:rPr>
              <w:t>Art</w:t>
            </w:r>
            <w:r w:rsidRPr="00150EDC">
              <w:rPr>
                <w:spacing w:val="-7"/>
                <w:sz w:val="20"/>
              </w:rPr>
              <w:t xml:space="preserve"> </w:t>
            </w:r>
            <w:r w:rsidRPr="00150EDC">
              <w:rPr>
                <w:spacing w:val="-5"/>
                <w:sz w:val="20"/>
              </w:rPr>
              <w:t>66</w:t>
            </w:r>
          </w:p>
        </w:tc>
        <w:tc>
          <w:tcPr>
            <w:tcW w:w="7427" w:type="dxa"/>
          </w:tcPr>
          <w:p w14:paraId="41D3ECAB" w14:textId="77777777" w:rsidR="004C7180" w:rsidRPr="00150EDC" w:rsidRDefault="00CF0754">
            <w:pPr>
              <w:pStyle w:val="TableParagraph"/>
              <w:rPr>
                <w:sz w:val="20"/>
              </w:rPr>
            </w:pPr>
            <w:r w:rsidRPr="00150EDC">
              <w:rPr>
                <w:sz w:val="20"/>
              </w:rPr>
              <w:t>Committing</w:t>
            </w:r>
            <w:r w:rsidRPr="00150EDC">
              <w:rPr>
                <w:spacing w:val="-1"/>
                <w:sz w:val="20"/>
              </w:rPr>
              <w:t xml:space="preserve"> </w:t>
            </w:r>
            <w:r w:rsidRPr="00150EDC">
              <w:rPr>
                <w:sz w:val="20"/>
              </w:rPr>
              <w:t>an</w:t>
            </w:r>
            <w:r w:rsidRPr="00150EDC">
              <w:rPr>
                <w:spacing w:val="-6"/>
                <w:sz w:val="20"/>
              </w:rPr>
              <w:t xml:space="preserve"> </w:t>
            </w:r>
            <w:r w:rsidRPr="00150EDC">
              <w:rPr>
                <w:sz w:val="20"/>
              </w:rPr>
              <w:t>offence</w:t>
            </w:r>
            <w:r w:rsidRPr="00150EDC">
              <w:rPr>
                <w:spacing w:val="-6"/>
                <w:sz w:val="20"/>
              </w:rPr>
              <w:t xml:space="preserve"> </w:t>
            </w:r>
            <w:r w:rsidRPr="00150EDC">
              <w:rPr>
                <w:sz w:val="20"/>
              </w:rPr>
              <w:t>with intent to</w:t>
            </w:r>
            <w:r w:rsidRPr="00150EDC">
              <w:rPr>
                <w:spacing w:val="-6"/>
                <w:sz w:val="20"/>
              </w:rPr>
              <w:t xml:space="preserve"> </w:t>
            </w:r>
            <w:r w:rsidRPr="00150EDC">
              <w:rPr>
                <w:sz w:val="20"/>
              </w:rPr>
              <w:t>commit</w:t>
            </w:r>
            <w:r w:rsidRPr="00150EDC">
              <w:rPr>
                <w:spacing w:val="-5"/>
                <w:sz w:val="20"/>
              </w:rPr>
              <w:t xml:space="preserve"> </w:t>
            </w:r>
            <w:r w:rsidRPr="00150EDC">
              <w:rPr>
                <w:sz w:val="20"/>
              </w:rPr>
              <w:t>a</w:t>
            </w:r>
            <w:r w:rsidRPr="00150EDC">
              <w:rPr>
                <w:spacing w:val="-5"/>
                <w:sz w:val="20"/>
              </w:rPr>
              <w:t xml:space="preserve"> </w:t>
            </w:r>
            <w:r w:rsidRPr="00150EDC">
              <w:rPr>
                <w:sz w:val="20"/>
              </w:rPr>
              <w:t>sexual</w:t>
            </w:r>
            <w:r w:rsidRPr="00150EDC">
              <w:rPr>
                <w:spacing w:val="-4"/>
                <w:sz w:val="20"/>
              </w:rPr>
              <w:t xml:space="preserve"> </w:t>
            </w:r>
            <w:r w:rsidRPr="00150EDC">
              <w:rPr>
                <w:spacing w:val="-2"/>
                <w:sz w:val="20"/>
              </w:rPr>
              <w:t>offence</w:t>
            </w:r>
          </w:p>
        </w:tc>
      </w:tr>
      <w:tr w:rsidR="004569EE" w:rsidRPr="007D3144" w14:paraId="31DFB550" w14:textId="77777777">
        <w:trPr>
          <w:trHeight w:val="255"/>
        </w:trPr>
        <w:tc>
          <w:tcPr>
            <w:tcW w:w="6517" w:type="dxa"/>
          </w:tcPr>
          <w:p w14:paraId="64C2470F"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2"/>
                <w:sz w:val="20"/>
              </w:rPr>
              <w:t xml:space="preserve"> </w:t>
            </w:r>
            <w:r w:rsidRPr="00150EDC">
              <w:rPr>
                <w:sz w:val="20"/>
              </w:rPr>
              <w:t>(Northern</w:t>
            </w:r>
            <w:r w:rsidRPr="00150EDC">
              <w:rPr>
                <w:spacing w:val="-7"/>
                <w:sz w:val="20"/>
              </w:rPr>
              <w:t xml:space="preserve"> </w:t>
            </w:r>
            <w:r w:rsidRPr="00150EDC">
              <w:rPr>
                <w:sz w:val="20"/>
              </w:rPr>
              <w:t>Ireland)</w:t>
            </w:r>
            <w:r w:rsidRPr="00150EDC">
              <w:rPr>
                <w:spacing w:val="-4"/>
                <w:sz w:val="20"/>
              </w:rPr>
              <w:t xml:space="preserve"> </w:t>
            </w:r>
            <w:r w:rsidRPr="00150EDC">
              <w:rPr>
                <w:sz w:val="20"/>
              </w:rPr>
              <w:t>Order</w:t>
            </w:r>
            <w:r w:rsidRPr="00150EDC">
              <w:rPr>
                <w:spacing w:val="-8"/>
                <w:sz w:val="20"/>
              </w:rPr>
              <w:t xml:space="preserve"> </w:t>
            </w:r>
            <w:r w:rsidRPr="00150EDC">
              <w:rPr>
                <w:sz w:val="20"/>
              </w:rPr>
              <w:t>2008,</w:t>
            </w:r>
            <w:r w:rsidRPr="00150EDC">
              <w:rPr>
                <w:spacing w:val="-7"/>
                <w:sz w:val="20"/>
              </w:rPr>
              <w:t xml:space="preserve"> </w:t>
            </w:r>
            <w:r w:rsidRPr="00150EDC">
              <w:rPr>
                <w:sz w:val="20"/>
              </w:rPr>
              <w:t>Art</w:t>
            </w:r>
            <w:r w:rsidRPr="00150EDC">
              <w:rPr>
                <w:spacing w:val="-7"/>
                <w:sz w:val="20"/>
              </w:rPr>
              <w:t xml:space="preserve"> </w:t>
            </w:r>
            <w:r w:rsidRPr="00150EDC">
              <w:rPr>
                <w:spacing w:val="-5"/>
                <w:sz w:val="20"/>
              </w:rPr>
              <w:t>67</w:t>
            </w:r>
          </w:p>
        </w:tc>
        <w:tc>
          <w:tcPr>
            <w:tcW w:w="7427" w:type="dxa"/>
          </w:tcPr>
          <w:p w14:paraId="0C2CE87D" w14:textId="77777777" w:rsidR="004C7180" w:rsidRPr="00150EDC" w:rsidRDefault="00CF0754">
            <w:pPr>
              <w:pStyle w:val="TableParagraph"/>
              <w:rPr>
                <w:sz w:val="20"/>
              </w:rPr>
            </w:pPr>
            <w:r w:rsidRPr="00150EDC">
              <w:rPr>
                <w:sz w:val="20"/>
              </w:rPr>
              <w:t>Trespass</w:t>
            </w:r>
            <w:r w:rsidRPr="00150EDC">
              <w:rPr>
                <w:spacing w:val="-3"/>
                <w:sz w:val="20"/>
              </w:rPr>
              <w:t xml:space="preserve"> </w:t>
            </w:r>
            <w:r w:rsidRPr="00150EDC">
              <w:rPr>
                <w:sz w:val="20"/>
              </w:rPr>
              <w:t>with</w:t>
            </w:r>
            <w:r w:rsidRPr="00150EDC">
              <w:rPr>
                <w:spacing w:val="-6"/>
                <w:sz w:val="20"/>
              </w:rPr>
              <w:t xml:space="preserve"> </w:t>
            </w:r>
            <w:r w:rsidRPr="00150EDC">
              <w:rPr>
                <w:sz w:val="20"/>
              </w:rPr>
              <w:t>intent</w:t>
            </w:r>
            <w:r w:rsidRPr="00150EDC">
              <w:rPr>
                <w:spacing w:val="-6"/>
                <w:sz w:val="20"/>
              </w:rPr>
              <w:t xml:space="preserve"> </w:t>
            </w:r>
            <w:r w:rsidRPr="00150EDC">
              <w:rPr>
                <w:sz w:val="20"/>
              </w:rPr>
              <w:t>to</w:t>
            </w:r>
            <w:r w:rsidRPr="00150EDC">
              <w:rPr>
                <w:spacing w:val="-6"/>
                <w:sz w:val="20"/>
              </w:rPr>
              <w:t xml:space="preserve"> </w:t>
            </w:r>
            <w:r w:rsidRPr="00150EDC">
              <w:rPr>
                <w:sz w:val="20"/>
              </w:rPr>
              <w:t>commit a</w:t>
            </w:r>
            <w:r w:rsidRPr="00150EDC">
              <w:rPr>
                <w:spacing w:val="-4"/>
                <w:sz w:val="20"/>
              </w:rPr>
              <w:t xml:space="preserve"> </w:t>
            </w:r>
            <w:r w:rsidRPr="00150EDC">
              <w:rPr>
                <w:sz w:val="20"/>
              </w:rPr>
              <w:t xml:space="preserve">sexual </w:t>
            </w:r>
            <w:r w:rsidRPr="00150EDC">
              <w:rPr>
                <w:spacing w:val="-2"/>
                <w:sz w:val="20"/>
              </w:rPr>
              <w:t>offence</w:t>
            </w:r>
          </w:p>
        </w:tc>
      </w:tr>
      <w:tr w:rsidR="004569EE" w:rsidRPr="007D3144" w14:paraId="324391C7" w14:textId="77777777">
        <w:trPr>
          <w:trHeight w:val="255"/>
        </w:trPr>
        <w:tc>
          <w:tcPr>
            <w:tcW w:w="6517" w:type="dxa"/>
          </w:tcPr>
          <w:p w14:paraId="6E3B96DA"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2"/>
                <w:sz w:val="20"/>
              </w:rPr>
              <w:t xml:space="preserve"> </w:t>
            </w:r>
            <w:r w:rsidRPr="00150EDC">
              <w:rPr>
                <w:sz w:val="20"/>
              </w:rPr>
              <w:t>(Northern</w:t>
            </w:r>
            <w:r w:rsidRPr="00150EDC">
              <w:rPr>
                <w:spacing w:val="-7"/>
                <w:sz w:val="20"/>
              </w:rPr>
              <w:t xml:space="preserve"> </w:t>
            </w:r>
            <w:r w:rsidRPr="00150EDC">
              <w:rPr>
                <w:sz w:val="20"/>
              </w:rPr>
              <w:t>Ireland)</w:t>
            </w:r>
            <w:r w:rsidRPr="00150EDC">
              <w:rPr>
                <w:spacing w:val="-4"/>
                <w:sz w:val="20"/>
              </w:rPr>
              <w:t xml:space="preserve"> </w:t>
            </w:r>
            <w:r w:rsidRPr="00150EDC">
              <w:rPr>
                <w:sz w:val="20"/>
              </w:rPr>
              <w:t>Order</w:t>
            </w:r>
            <w:r w:rsidRPr="00150EDC">
              <w:rPr>
                <w:spacing w:val="-8"/>
                <w:sz w:val="20"/>
              </w:rPr>
              <w:t xml:space="preserve"> </w:t>
            </w:r>
            <w:r w:rsidRPr="00150EDC">
              <w:rPr>
                <w:sz w:val="20"/>
              </w:rPr>
              <w:t>2008,</w:t>
            </w:r>
            <w:r w:rsidRPr="00150EDC">
              <w:rPr>
                <w:spacing w:val="-7"/>
                <w:sz w:val="20"/>
              </w:rPr>
              <w:t xml:space="preserve"> </w:t>
            </w:r>
            <w:r w:rsidRPr="00150EDC">
              <w:rPr>
                <w:sz w:val="20"/>
              </w:rPr>
              <w:t>Art</w:t>
            </w:r>
            <w:r w:rsidRPr="00150EDC">
              <w:rPr>
                <w:spacing w:val="-7"/>
                <w:sz w:val="20"/>
              </w:rPr>
              <w:t xml:space="preserve"> </w:t>
            </w:r>
            <w:r w:rsidRPr="00150EDC">
              <w:rPr>
                <w:spacing w:val="-5"/>
                <w:sz w:val="20"/>
              </w:rPr>
              <w:t>68</w:t>
            </w:r>
          </w:p>
        </w:tc>
        <w:tc>
          <w:tcPr>
            <w:tcW w:w="7427" w:type="dxa"/>
          </w:tcPr>
          <w:p w14:paraId="7F170C66" w14:textId="77777777" w:rsidR="004C7180" w:rsidRPr="00150EDC" w:rsidRDefault="00CF0754">
            <w:pPr>
              <w:pStyle w:val="TableParagraph"/>
              <w:rPr>
                <w:sz w:val="20"/>
              </w:rPr>
            </w:pPr>
            <w:r w:rsidRPr="00150EDC">
              <w:rPr>
                <w:sz w:val="20"/>
              </w:rPr>
              <w:t>Sex</w:t>
            </w:r>
            <w:r w:rsidRPr="00150EDC">
              <w:rPr>
                <w:spacing w:val="-4"/>
                <w:sz w:val="20"/>
              </w:rPr>
              <w:t xml:space="preserve"> </w:t>
            </w:r>
            <w:r w:rsidRPr="00150EDC">
              <w:rPr>
                <w:sz w:val="20"/>
              </w:rPr>
              <w:t>with</w:t>
            </w:r>
            <w:r w:rsidRPr="00150EDC">
              <w:rPr>
                <w:spacing w:val="-4"/>
                <w:sz w:val="20"/>
              </w:rPr>
              <w:t xml:space="preserve"> </w:t>
            </w:r>
            <w:r w:rsidRPr="00150EDC">
              <w:rPr>
                <w:sz w:val="20"/>
              </w:rPr>
              <w:t>an</w:t>
            </w:r>
            <w:r w:rsidRPr="00150EDC">
              <w:rPr>
                <w:spacing w:val="-5"/>
                <w:sz w:val="20"/>
              </w:rPr>
              <w:t xml:space="preserve"> </w:t>
            </w:r>
            <w:r w:rsidRPr="00150EDC">
              <w:rPr>
                <w:sz w:val="20"/>
              </w:rPr>
              <w:t>adult</w:t>
            </w:r>
            <w:r w:rsidRPr="00150EDC">
              <w:rPr>
                <w:spacing w:val="-3"/>
                <w:sz w:val="20"/>
              </w:rPr>
              <w:t xml:space="preserve"> </w:t>
            </w:r>
            <w:r w:rsidRPr="00150EDC">
              <w:rPr>
                <w:sz w:val="20"/>
              </w:rPr>
              <w:t>relative:</w:t>
            </w:r>
            <w:r w:rsidRPr="00150EDC">
              <w:rPr>
                <w:spacing w:val="-4"/>
                <w:sz w:val="20"/>
              </w:rPr>
              <w:t xml:space="preserve"> </w:t>
            </w:r>
            <w:r w:rsidRPr="00150EDC">
              <w:rPr>
                <w:spacing w:val="-2"/>
                <w:sz w:val="20"/>
              </w:rPr>
              <w:t>penetration</w:t>
            </w:r>
          </w:p>
        </w:tc>
      </w:tr>
      <w:tr w:rsidR="004569EE" w:rsidRPr="007D3144" w14:paraId="0CC5FB10" w14:textId="77777777">
        <w:trPr>
          <w:trHeight w:val="255"/>
        </w:trPr>
        <w:tc>
          <w:tcPr>
            <w:tcW w:w="6517" w:type="dxa"/>
          </w:tcPr>
          <w:p w14:paraId="653C4859"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2"/>
                <w:sz w:val="20"/>
              </w:rPr>
              <w:t xml:space="preserve"> </w:t>
            </w:r>
            <w:r w:rsidRPr="00150EDC">
              <w:rPr>
                <w:sz w:val="20"/>
              </w:rPr>
              <w:t>(Northern</w:t>
            </w:r>
            <w:r w:rsidRPr="00150EDC">
              <w:rPr>
                <w:spacing w:val="-7"/>
                <w:sz w:val="20"/>
              </w:rPr>
              <w:t xml:space="preserve"> </w:t>
            </w:r>
            <w:r w:rsidRPr="00150EDC">
              <w:rPr>
                <w:sz w:val="20"/>
              </w:rPr>
              <w:t>Ireland)</w:t>
            </w:r>
            <w:r w:rsidRPr="00150EDC">
              <w:rPr>
                <w:spacing w:val="-4"/>
                <w:sz w:val="20"/>
              </w:rPr>
              <w:t xml:space="preserve"> </w:t>
            </w:r>
            <w:r w:rsidRPr="00150EDC">
              <w:rPr>
                <w:sz w:val="20"/>
              </w:rPr>
              <w:t>Order</w:t>
            </w:r>
            <w:r w:rsidRPr="00150EDC">
              <w:rPr>
                <w:spacing w:val="-8"/>
                <w:sz w:val="20"/>
              </w:rPr>
              <w:t xml:space="preserve"> </w:t>
            </w:r>
            <w:r w:rsidRPr="00150EDC">
              <w:rPr>
                <w:sz w:val="20"/>
              </w:rPr>
              <w:t>2008,</w:t>
            </w:r>
            <w:r w:rsidRPr="00150EDC">
              <w:rPr>
                <w:spacing w:val="-7"/>
                <w:sz w:val="20"/>
              </w:rPr>
              <w:t xml:space="preserve"> </w:t>
            </w:r>
            <w:r w:rsidRPr="00150EDC">
              <w:rPr>
                <w:sz w:val="20"/>
              </w:rPr>
              <w:t>Art</w:t>
            </w:r>
            <w:r w:rsidRPr="00150EDC">
              <w:rPr>
                <w:spacing w:val="-7"/>
                <w:sz w:val="20"/>
              </w:rPr>
              <w:t xml:space="preserve"> </w:t>
            </w:r>
            <w:r w:rsidRPr="00150EDC">
              <w:rPr>
                <w:spacing w:val="-5"/>
                <w:sz w:val="20"/>
              </w:rPr>
              <w:t>69</w:t>
            </w:r>
          </w:p>
        </w:tc>
        <w:tc>
          <w:tcPr>
            <w:tcW w:w="7427" w:type="dxa"/>
          </w:tcPr>
          <w:p w14:paraId="54B05BFE" w14:textId="77777777" w:rsidR="004C7180" w:rsidRPr="00150EDC" w:rsidRDefault="00CF0754">
            <w:pPr>
              <w:pStyle w:val="TableParagraph"/>
              <w:rPr>
                <w:sz w:val="20"/>
              </w:rPr>
            </w:pPr>
            <w:r w:rsidRPr="00150EDC">
              <w:rPr>
                <w:sz w:val="20"/>
              </w:rPr>
              <w:t>Sex</w:t>
            </w:r>
            <w:r w:rsidRPr="00150EDC">
              <w:rPr>
                <w:spacing w:val="-5"/>
                <w:sz w:val="20"/>
              </w:rPr>
              <w:t xml:space="preserve"> </w:t>
            </w:r>
            <w:r w:rsidRPr="00150EDC">
              <w:rPr>
                <w:sz w:val="20"/>
              </w:rPr>
              <w:t>with</w:t>
            </w:r>
            <w:r w:rsidRPr="00150EDC">
              <w:rPr>
                <w:spacing w:val="-5"/>
                <w:sz w:val="20"/>
              </w:rPr>
              <w:t xml:space="preserve"> </w:t>
            </w:r>
            <w:r w:rsidRPr="00150EDC">
              <w:rPr>
                <w:sz w:val="20"/>
              </w:rPr>
              <w:t>an</w:t>
            </w:r>
            <w:r w:rsidRPr="00150EDC">
              <w:rPr>
                <w:spacing w:val="-5"/>
                <w:sz w:val="20"/>
              </w:rPr>
              <w:t xml:space="preserve"> </w:t>
            </w:r>
            <w:r w:rsidRPr="00150EDC">
              <w:rPr>
                <w:sz w:val="20"/>
              </w:rPr>
              <w:t>adult</w:t>
            </w:r>
            <w:r w:rsidRPr="00150EDC">
              <w:rPr>
                <w:spacing w:val="-5"/>
                <w:sz w:val="20"/>
              </w:rPr>
              <w:t xml:space="preserve"> </w:t>
            </w:r>
            <w:r w:rsidRPr="00150EDC">
              <w:rPr>
                <w:sz w:val="20"/>
              </w:rPr>
              <w:t>relative:</w:t>
            </w:r>
            <w:r w:rsidRPr="00150EDC">
              <w:rPr>
                <w:spacing w:val="-5"/>
                <w:sz w:val="20"/>
              </w:rPr>
              <w:t xml:space="preserve"> </w:t>
            </w:r>
            <w:r w:rsidRPr="00150EDC">
              <w:rPr>
                <w:sz w:val="20"/>
              </w:rPr>
              <w:t>consenting to</w:t>
            </w:r>
            <w:r w:rsidRPr="00150EDC">
              <w:rPr>
                <w:spacing w:val="-5"/>
                <w:sz w:val="20"/>
              </w:rPr>
              <w:t xml:space="preserve"> </w:t>
            </w:r>
            <w:r w:rsidRPr="00150EDC">
              <w:rPr>
                <w:spacing w:val="-2"/>
                <w:sz w:val="20"/>
              </w:rPr>
              <w:t>penetration</w:t>
            </w:r>
          </w:p>
        </w:tc>
      </w:tr>
      <w:tr w:rsidR="004569EE" w:rsidRPr="007D3144" w14:paraId="4550E670" w14:textId="77777777">
        <w:trPr>
          <w:trHeight w:val="255"/>
        </w:trPr>
        <w:tc>
          <w:tcPr>
            <w:tcW w:w="6517" w:type="dxa"/>
          </w:tcPr>
          <w:p w14:paraId="223D5BD9"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2"/>
                <w:sz w:val="20"/>
              </w:rPr>
              <w:t xml:space="preserve"> </w:t>
            </w:r>
            <w:r w:rsidRPr="00150EDC">
              <w:rPr>
                <w:sz w:val="20"/>
              </w:rPr>
              <w:t>(Northern</w:t>
            </w:r>
            <w:r w:rsidRPr="00150EDC">
              <w:rPr>
                <w:spacing w:val="-6"/>
                <w:sz w:val="20"/>
              </w:rPr>
              <w:t xml:space="preserve"> </w:t>
            </w:r>
            <w:r w:rsidRPr="00150EDC">
              <w:rPr>
                <w:sz w:val="20"/>
              </w:rPr>
              <w:t>Ireland)</w:t>
            </w:r>
            <w:r w:rsidRPr="00150EDC">
              <w:rPr>
                <w:spacing w:val="-4"/>
                <w:sz w:val="20"/>
              </w:rPr>
              <w:t xml:space="preserve"> </w:t>
            </w:r>
            <w:r w:rsidRPr="00150EDC">
              <w:rPr>
                <w:sz w:val="20"/>
              </w:rPr>
              <w:t>Order</w:t>
            </w:r>
            <w:r w:rsidRPr="00150EDC">
              <w:rPr>
                <w:spacing w:val="-7"/>
                <w:sz w:val="20"/>
              </w:rPr>
              <w:t xml:space="preserve"> </w:t>
            </w:r>
            <w:r w:rsidRPr="00150EDC">
              <w:rPr>
                <w:sz w:val="20"/>
              </w:rPr>
              <w:t>2008,</w:t>
            </w:r>
            <w:r w:rsidRPr="00150EDC">
              <w:rPr>
                <w:spacing w:val="-7"/>
                <w:sz w:val="20"/>
              </w:rPr>
              <w:t xml:space="preserve"> </w:t>
            </w:r>
            <w:r w:rsidRPr="00150EDC">
              <w:rPr>
                <w:sz w:val="20"/>
              </w:rPr>
              <w:t>Art</w:t>
            </w:r>
            <w:r w:rsidRPr="00150EDC">
              <w:rPr>
                <w:spacing w:val="-7"/>
                <w:sz w:val="20"/>
              </w:rPr>
              <w:t xml:space="preserve"> </w:t>
            </w:r>
            <w:r w:rsidRPr="00150EDC">
              <w:rPr>
                <w:spacing w:val="-10"/>
                <w:sz w:val="20"/>
              </w:rPr>
              <w:t>7</w:t>
            </w:r>
          </w:p>
        </w:tc>
        <w:tc>
          <w:tcPr>
            <w:tcW w:w="7427" w:type="dxa"/>
          </w:tcPr>
          <w:p w14:paraId="26F94ECD"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pacing w:val="-2"/>
                <w:sz w:val="20"/>
              </w:rPr>
              <w:t>assault</w:t>
            </w:r>
          </w:p>
        </w:tc>
      </w:tr>
      <w:tr w:rsidR="004569EE" w:rsidRPr="007D3144" w14:paraId="4DBC7018" w14:textId="77777777">
        <w:trPr>
          <w:trHeight w:val="255"/>
        </w:trPr>
        <w:tc>
          <w:tcPr>
            <w:tcW w:w="6517" w:type="dxa"/>
          </w:tcPr>
          <w:p w14:paraId="4BA539F8"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2"/>
                <w:sz w:val="20"/>
              </w:rPr>
              <w:t xml:space="preserve"> </w:t>
            </w:r>
            <w:r w:rsidRPr="00150EDC">
              <w:rPr>
                <w:sz w:val="20"/>
              </w:rPr>
              <w:t>(Northern</w:t>
            </w:r>
            <w:r w:rsidRPr="00150EDC">
              <w:rPr>
                <w:spacing w:val="-7"/>
                <w:sz w:val="20"/>
              </w:rPr>
              <w:t xml:space="preserve"> </w:t>
            </w:r>
            <w:r w:rsidRPr="00150EDC">
              <w:rPr>
                <w:sz w:val="20"/>
              </w:rPr>
              <w:t>Ireland)</w:t>
            </w:r>
            <w:r w:rsidRPr="00150EDC">
              <w:rPr>
                <w:spacing w:val="-4"/>
                <w:sz w:val="20"/>
              </w:rPr>
              <w:t xml:space="preserve"> </w:t>
            </w:r>
            <w:r w:rsidRPr="00150EDC">
              <w:rPr>
                <w:sz w:val="20"/>
              </w:rPr>
              <w:t>Order</w:t>
            </w:r>
            <w:r w:rsidRPr="00150EDC">
              <w:rPr>
                <w:spacing w:val="-8"/>
                <w:sz w:val="20"/>
              </w:rPr>
              <w:t xml:space="preserve"> </w:t>
            </w:r>
            <w:r w:rsidRPr="00150EDC">
              <w:rPr>
                <w:sz w:val="20"/>
              </w:rPr>
              <w:t>2008,</w:t>
            </w:r>
            <w:r w:rsidRPr="00150EDC">
              <w:rPr>
                <w:spacing w:val="-7"/>
                <w:sz w:val="20"/>
              </w:rPr>
              <w:t xml:space="preserve"> </w:t>
            </w:r>
            <w:r w:rsidRPr="00150EDC">
              <w:rPr>
                <w:sz w:val="20"/>
              </w:rPr>
              <w:t>Art</w:t>
            </w:r>
            <w:r w:rsidRPr="00150EDC">
              <w:rPr>
                <w:spacing w:val="-7"/>
                <w:sz w:val="20"/>
              </w:rPr>
              <w:t xml:space="preserve"> </w:t>
            </w:r>
            <w:r w:rsidRPr="00150EDC">
              <w:rPr>
                <w:spacing w:val="-5"/>
                <w:sz w:val="20"/>
              </w:rPr>
              <w:t>70</w:t>
            </w:r>
          </w:p>
        </w:tc>
        <w:tc>
          <w:tcPr>
            <w:tcW w:w="7427" w:type="dxa"/>
          </w:tcPr>
          <w:p w14:paraId="1CADAC6C" w14:textId="77777777" w:rsidR="004C7180" w:rsidRPr="00150EDC" w:rsidRDefault="00CF0754">
            <w:pPr>
              <w:pStyle w:val="TableParagraph"/>
              <w:rPr>
                <w:sz w:val="20"/>
              </w:rPr>
            </w:pPr>
            <w:r w:rsidRPr="00150EDC">
              <w:rPr>
                <w:spacing w:val="-2"/>
                <w:sz w:val="20"/>
              </w:rPr>
              <w:t>Exposure</w:t>
            </w:r>
          </w:p>
        </w:tc>
      </w:tr>
      <w:tr w:rsidR="004569EE" w:rsidRPr="007D3144" w14:paraId="1A03F433" w14:textId="77777777">
        <w:trPr>
          <w:trHeight w:val="255"/>
        </w:trPr>
        <w:tc>
          <w:tcPr>
            <w:tcW w:w="6517" w:type="dxa"/>
          </w:tcPr>
          <w:p w14:paraId="51251FC9"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2"/>
                <w:sz w:val="20"/>
              </w:rPr>
              <w:t xml:space="preserve"> </w:t>
            </w:r>
            <w:r w:rsidRPr="00150EDC">
              <w:rPr>
                <w:sz w:val="20"/>
              </w:rPr>
              <w:t>(Northern</w:t>
            </w:r>
            <w:r w:rsidRPr="00150EDC">
              <w:rPr>
                <w:spacing w:val="-7"/>
                <w:sz w:val="20"/>
              </w:rPr>
              <w:t xml:space="preserve"> </w:t>
            </w:r>
            <w:r w:rsidRPr="00150EDC">
              <w:rPr>
                <w:sz w:val="20"/>
              </w:rPr>
              <w:t>Ireland)</w:t>
            </w:r>
            <w:r w:rsidRPr="00150EDC">
              <w:rPr>
                <w:spacing w:val="-4"/>
                <w:sz w:val="20"/>
              </w:rPr>
              <w:t xml:space="preserve"> </w:t>
            </w:r>
            <w:r w:rsidRPr="00150EDC">
              <w:rPr>
                <w:sz w:val="20"/>
              </w:rPr>
              <w:t>Order</w:t>
            </w:r>
            <w:r w:rsidRPr="00150EDC">
              <w:rPr>
                <w:spacing w:val="-8"/>
                <w:sz w:val="20"/>
              </w:rPr>
              <w:t xml:space="preserve"> </w:t>
            </w:r>
            <w:r w:rsidRPr="00150EDC">
              <w:rPr>
                <w:sz w:val="20"/>
              </w:rPr>
              <w:t>2008,</w:t>
            </w:r>
            <w:r w:rsidRPr="00150EDC">
              <w:rPr>
                <w:spacing w:val="-7"/>
                <w:sz w:val="20"/>
              </w:rPr>
              <w:t xml:space="preserve"> </w:t>
            </w:r>
            <w:r w:rsidRPr="00150EDC">
              <w:rPr>
                <w:sz w:val="20"/>
              </w:rPr>
              <w:t>Art</w:t>
            </w:r>
            <w:r w:rsidRPr="00150EDC">
              <w:rPr>
                <w:spacing w:val="-7"/>
                <w:sz w:val="20"/>
              </w:rPr>
              <w:t xml:space="preserve"> </w:t>
            </w:r>
            <w:r w:rsidRPr="00150EDC">
              <w:rPr>
                <w:spacing w:val="-5"/>
                <w:sz w:val="20"/>
              </w:rPr>
              <w:t>71</w:t>
            </w:r>
          </w:p>
        </w:tc>
        <w:tc>
          <w:tcPr>
            <w:tcW w:w="7427" w:type="dxa"/>
          </w:tcPr>
          <w:p w14:paraId="18413E69" w14:textId="77777777" w:rsidR="004C7180" w:rsidRPr="00150EDC" w:rsidRDefault="00CF0754">
            <w:pPr>
              <w:pStyle w:val="TableParagraph"/>
              <w:rPr>
                <w:sz w:val="20"/>
              </w:rPr>
            </w:pPr>
            <w:r w:rsidRPr="00150EDC">
              <w:rPr>
                <w:spacing w:val="-2"/>
                <w:sz w:val="20"/>
              </w:rPr>
              <w:t>Voyerism</w:t>
            </w:r>
          </w:p>
        </w:tc>
      </w:tr>
      <w:tr w:rsidR="004569EE" w:rsidRPr="007D3144" w14:paraId="17884BDB" w14:textId="77777777">
        <w:trPr>
          <w:trHeight w:val="255"/>
        </w:trPr>
        <w:tc>
          <w:tcPr>
            <w:tcW w:w="6517" w:type="dxa"/>
          </w:tcPr>
          <w:p w14:paraId="24BC08E5" w14:textId="77777777" w:rsidR="004C7180" w:rsidRPr="00150EDC" w:rsidRDefault="00CF0754">
            <w:pPr>
              <w:pStyle w:val="TableParagraph"/>
              <w:spacing w:before="28"/>
              <w:rPr>
                <w:sz w:val="20"/>
              </w:rPr>
            </w:pPr>
            <w:r w:rsidRPr="00150EDC">
              <w:rPr>
                <w:sz w:val="20"/>
              </w:rPr>
              <w:t>Sexual</w:t>
            </w:r>
            <w:r w:rsidRPr="00150EDC">
              <w:rPr>
                <w:spacing w:val="-6"/>
                <w:sz w:val="20"/>
              </w:rPr>
              <w:t xml:space="preserve"> </w:t>
            </w:r>
            <w:r w:rsidRPr="00150EDC">
              <w:rPr>
                <w:sz w:val="20"/>
              </w:rPr>
              <w:t>Offences</w:t>
            </w:r>
            <w:r w:rsidRPr="00150EDC">
              <w:rPr>
                <w:spacing w:val="-2"/>
                <w:sz w:val="20"/>
              </w:rPr>
              <w:t xml:space="preserve"> </w:t>
            </w:r>
            <w:r w:rsidRPr="00150EDC">
              <w:rPr>
                <w:sz w:val="20"/>
              </w:rPr>
              <w:t>(Northern</w:t>
            </w:r>
            <w:r w:rsidRPr="00150EDC">
              <w:rPr>
                <w:spacing w:val="-7"/>
                <w:sz w:val="20"/>
              </w:rPr>
              <w:t xml:space="preserve"> </w:t>
            </w:r>
            <w:r w:rsidRPr="00150EDC">
              <w:rPr>
                <w:sz w:val="20"/>
              </w:rPr>
              <w:t>Ireland)</w:t>
            </w:r>
            <w:r w:rsidRPr="00150EDC">
              <w:rPr>
                <w:spacing w:val="-4"/>
                <w:sz w:val="20"/>
              </w:rPr>
              <w:t xml:space="preserve"> </w:t>
            </w:r>
            <w:r w:rsidRPr="00150EDC">
              <w:rPr>
                <w:sz w:val="20"/>
              </w:rPr>
              <w:t>Order</w:t>
            </w:r>
            <w:r w:rsidRPr="00150EDC">
              <w:rPr>
                <w:spacing w:val="-8"/>
                <w:sz w:val="20"/>
              </w:rPr>
              <w:t xml:space="preserve"> </w:t>
            </w:r>
            <w:r w:rsidRPr="00150EDC">
              <w:rPr>
                <w:sz w:val="20"/>
              </w:rPr>
              <w:t>2008,</w:t>
            </w:r>
            <w:r w:rsidRPr="00150EDC">
              <w:rPr>
                <w:spacing w:val="-7"/>
                <w:sz w:val="20"/>
              </w:rPr>
              <w:t xml:space="preserve"> </w:t>
            </w:r>
            <w:r w:rsidRPr="00150EDC">
              <w:rPr>
                <w:sz w:val="20"/>
              </w:rPr>
              <w:t>Art</w:t>
            </w:r>
            <w:r w:rsidRPr="00150EDC">
              <w:rPr>
                <w:spacing w:val="-7"/>
                <w:sz w:val="20"/>
              </w:rPr>
              <w:t xml:space="preserve"> </w:t>
            </w:r>
            <w:r w:rsidRPr="00150EDC">
              <w:rPr>
                <w:spacing w:val="-5"/>
                <w:sz w:val="20"/>
              </w:rPr>
              <w:t>73</w:t>
            </w:r>
          </w:p>
        </w:tc>
        <w:tc>
          <w:tcPr>
            <w:tcW w:w="7427" w:type="dxa"/>
          </w:tcPr>
          <w:p w14:paraId="5CADEDCA" w14:textId="77777777" w:rsidR="004C7180" w:rsidRPr="00150EDC" w:rsidRDefault="00CF0754">
            <w:pPr>
              <w:pStyle w:val="TableParagraph"/>
              <w:spacing w:before="28"/>
              <w:rPr>
                <w:sz w:val="20"/>
              </w:rPr>
            </w:pPr>
            <w:r w:rsidRPr="00150EDC">
              <w:rPr>
                <w:sz w:val="20"/>
              </w:rPr>
              <w:t>Intercourse</w:t>
            </w:r>
            <w:r w:rsidRPr="00150EDC">
              <w:rPr>
                <w:spacing w:val="-7"/>
                <w:sz w:val="20"/>
              </w:rPr>
              <w:t xml:space="preserve"> </w:t>
            </w:r>
            <w:r w:rsidRPr="00150EDC">
              <w:rPr>
                <w:sz w:val="20"/>
              </w:rPr>
              <w:t>with</w:t>
            </w:r>
            <w:r w:rsidRPr="00150EDC">
              <w:rPr>
                <w:spacing w:val="-4"/>
                <w:sz w:val="20"/>
              </w:rPr>
              <w:t xml:space="preserve"> </w:t>
            </w:r>
            <w:r w:rsidRPr="00150EDC">
              <w:rPr>
                <w:sz w:val="20"/>
              </w:rPr>
              <w:t>an</w:t>
            </w:r>
            <w:r w:rsidRPr="00150EDC">
              <w:rPr>
                <w:spacing w:val="-6"/>
                <w:sz w:val="20"/>
              </w:rPr>
              <w:t xml:space="preserve"> </w:t>
            </w:r>
            <w:r w:rsidRPr="00150EDC">
              <w:rPr>
                <w:spacing w:val="-2"/>
                <w:sz w:val="20"/>
              </w:rPr>
              <w:t>animal</w:t>
            </w:r>
          </w:p>
        </w:tc>
      </w:tr>
      <w:tr w:rsidR="004569EE" w:rsidRPr="007D3144" w14:paraId="1AD7F1D7" w14:textId="77777777">
        <w:trPr>
          <w:trHeight w:val="255"/>
        </w:trPr>
        <w:tc>
          <w:tcPr>
            <w:tcW w:w="6517" w:type="dxa"/>
          </w:tcPr>
          <w:p w14:paraId="62D2D27E"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2"/>
                <w:sz w:val="20"/>
              </w:rPr>
              <w:t xml:space="preserve"> </w:t>
            </w:r>
            <w:r w:rsidRPr="00150EDC">
              <w:rPr>
                <w:sz w:val="20"/>
              </w:rPr>
              <w:t>(Northern</w:t>
            </w:r>
            <w:r w:rsidRPr="00150EDC">
              <w:rPr>
                <w:spacing w:val="-7"/>
                <w:sz w:val="20"/>
              </w:rPr>
              <w:t xml:space="preserve"> </w:t>
            </w:r>
            <w:r w:rsidRPr="00150EDC">
              <w:rPr>
                <w:sz w:val="20"/>
              </w:rPr>
              <w:t>Ireland)</w:t>
            </w:r>
            <w:r w:rsidRPr="00150EDC">
              <w:rPr>
                <w:spacing w:val="-4"/>
                <w:sz w:val="20"/>
              </w:rPr>
              <w:t xml:space="preserve"> </w:t>
            </w:r>
            <w:r w:rsidRPr="00150EDC">
              <w:rPr>
                <w:sz w:val="20"/>
              </w:rPr>
              <w:t>Order</w:t>
            </w:r>
            <w:r w:rsidRPr="00150EDC">
              <w:rPr>
                <w:spacing w:val="-8"/>
                <w:sz w:val="20"/>
              </w:rPr>
              <w:t xml:space="preserve"> </w:t>
            </w:r>
            <w:r w:rsidRPr="00150EDC">
              <w:rPr>
                <w:sz w:val="20"/>
              </w:rPr>
              <w:t>2008,</w:t>
            </w:r>
            <w:r w:rsidRPr="00150EDC">
              <w:rPr>
                <w:spacing w:val="-7"/>
                <w:sz w:val="20"/>
              </w:rPr>
              <w:t xml:space="preserve"> </w:t>
            </w:r>
            <w:r w:rsidRPr="00150EDC">
              <w:rPr>
                <w:sz w:val="20"/>
              </w:rPr>
              <w:t>Art</w:t>
            </w:r>
            <w:r w:rsidRPr="00150EDC">
              <w:rPr>
                <w:spacing w:val="-7"/>
                <w:sz w:val="20"/>
              </w:rPr>
              <w:t xml:space="preserve"> </w:t>
            </w:r>
            <w:r w:rsidRPr="00150EDC">
              <w:rPr>
                <w:spacing w:val="-5"/>
                <w:sz w:val="20"/>
              </w:rPr>
              <w:t>74</w:t>
            </w:r>
          </w:p>
        </w:tc>
        <w:tc>
          <w:tcPr>
            <w:tcW w:w="7427" w:type="dxa"/>
          </w:tcPr>
          <w:p w14:paraId="4CE225FB" w14:textId="77777777" w:rsidR="004C7180" w:rsidRPr="00150EDC" w:rsidRDefault="00CF0754">
            <w:pPr>
              <w:pStyle w:val="TableParagraph"/>
              <w:rPr>
                <w:sz w:val="20"/>
              </w:rPr>
            </w:pPr>
            <w:r w:rsidRPr="00150EDC">
              <w:rPr>
                <w:sz w:val="20"/>
              </w:rPr>
              <w:t>Sexual</w:t>
            </w:r>
            <w:r w:rsidRPr="00150EDC">
              <w:rPr>
                <w:spacing w:val="-4"/>
                <w:sz w:val="20"/>
              </w:rPr>
              <w:t xml:space="preserve"> </w:t>
            </w:r>
            <w:r w:rsidRPr="00150EDC">
              <w:rPr>
                <w:sz w:val="20"/>
              </w:rPr>
              <w:t>penetration</w:t>
            </w:r>
            <w:r w:rsidRPr="00150EDC">
              <w:rPr>
                <w:spacing w:val="-6"/>
                <w:sz w:val="20"/>
              </w:rPr>
              <w:t xml:space="preserve"> </w:t>
            </w:r>
            <w:r w:rsidRPr="00150EDC">
              <w:rPr>
                <w:sz w:val="20"/>
              </w:rPr>
              <w:t>of</w:t>
            </w:r>
            <w:r w:rsidRPr="00150EDC">
              <w:rPr>
                <w:spacing w:val="-6"/>
                <w:sz w:val="20"/>
              </w:rPr>
              <w:t xml:space="preserve"> </w:t>
            </w:r>
            <w:r w:rsidRPr="00150EDC">
              <w:rPr>
                <w:sz w:val="20"/>
              </w:rPr>
              <w:t xml:space="preserve">a </w:t>
            </w:r>
            <w:r w:rsidRPr="00150EDC">
              <w:rPr>
                <w:spacing w:val="-2"/>
                <w:sz w:val="20"/>
              </w:rPr>
              <w:t>corpse</w:t>
            </w:r>
          </w:p>
        </w:tc>
      </w:tr>
      <w:tr w:rsidR="004569EE" w:rsidRPr="007D3144" w14:paraId="3EA87E48" w14:textId="77777777">
        <w:trPr>
          <w:trHeight w:val="255"/>
        </w:trPr>
        <w:tc>
          <w:tcPr>
            <w:tcW w:w="6517" w:type="dxa"/>
          </w:tcPr>
          <w:p w14:paraId="69658EE8"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2"/>
                <w:sz w:val="20"/>
              </w:rPr>
              <w:t xml:space="preserve"> </w:t>
            </w:r>
            <w:r w:rsidRPr="00150EDC">
              <w:rPr>
                <w:sz w:val="20"/>
              </w:rPr>
              <w:t>(Northern</w:t>
            </w:r>
            <w:r w:rsidRPr="00150EDC">
              <w:rPr>
                <w:spacing w:val="-7"/>
                <w:sz w:val="20"/>
              </w:rPr>
              <w:t xml:space="preserve"> </w:t>
            </w:r>
            <w:r w:rsidRPr="00150EDC">
              <w:rPr>
                <w:sz w:val="20"/>
              </w:rPr>
              <w:t>Ireland)</w:t>
            </w:r>
            <w:r w:rsidRPr="00150EDC">
              <w:rPr>
                <w:spacing w:val="-4"/>
                <w:sz w:val="20"/>
              </w:rPr>
              <w:t xml:space="preserve"> </w:t>
            </w:r>
            <w:r w:rsidRPr="00150EDC">
              <w:rPr>
                <w:sz w:val="20"/>
              </w:rPr>
              <w:t>Order</w:t>
            </w:r>
            <w:r w:rsidRPr="00150EDC">
              <w:rPr>
                <w:spacing w:val="-8"/>
                <w:sz w:val="20"/>
              </w:rPr>
              <w:t xml:space="preserve"> </w:t>
            </w:r>
            <w:r w:rsidRPr="00150EDC">
              <w:rPr>
                <w:sz w:val="20"/>
              </w:rPr>
              <w:t>2008,</w:t>
            </w:r>
            <w:r w:rsidRPr="00150EDC">
              <w:rPr>
                <w:spacing w:val="-7"/>
                <w:sz w:val="20"/>
              </w:rPr>
              <w:t xml:space="preserve"> </w:t>
            </w:r>
            <w:r w:rsidRPr="00150EDC">
              <w:rPr>
                <w:sz w:val="20"/>
              </w:rPr>
              <w:t>Art</w:t>
            </w:r>
            <w:r w:rsidRPr="00150EDC">
              <w:rPr>
                <w:spacing w:val="-7"/>
                <w:sz w:val="20"/>
              </w:rPr>
              <w:t xml:space="preserve"> </w:t>
            </w:r>
            <w:r w:rsidRPr="00150EDC">
              <w:rPr>
                <w:spacing w:val="-5"/>
                <w:sz w:val="20"/>
              </w:rPr>
              <w:t>76</w:t>
            </w:r>
          </w:p>
        </w:tc>
        <w:tc>
          <w:tcPr>
            <w:tcW w:w="7427" w:type="dxa"/>
          </w:tcPr>
          <w:p w14:paraId="78285742" w14:textId="77777777" w:rsidR="004C7180" w:rsidRPr="00150EDC" w:rsidRDefault="00CF0754">
            <w:pPr>
              <w:pStyle w:val="TableParagraph"/>
              <w:rPr>
                <w:sz w:val="20"/>
              </w:rPr>
            </w:pPr>
            <w:r w:rsidRPr="00150EDC">
              <w:rPr>
                <w:sz w:val="20"/>
              </w:rPr>
              <w:t>Offences</w:t>
            </w:r>
            <w:r w:rsidRPr="00150EDC">
              <w:rPr>
                <w:spacing w:val="-6"/>
                <w:sz w:val="20"/>
              </w:rPr>
              <w:t xml:space="preserve"> </w:t>
            </w:r>
            <w:r w:rsidRPr="00150EDC">
              <w:rPr>
                <w:sz w:val="20"/>
              </w:rPr>
              <w:t>outisde</w:t>
            </w:r>
            <w:r w:rsidRPr="00150EDC">
              <w:rPr>
                <w:spacing w:val="-6"/>
                <w:sz w:val="20"/>
              </w:rPr>
              <w:t xml:space="preserve"> </w:t>
            </w:r>
            <w:r w:rsidRPr="00150EDC">
              <w:rPr>
                <w:sz w:val="20"/>
              </w:rPr>
              <w:t>the</w:t>
            </w:r>
            <w:r w:rsidRPr="00150EDC">
              <w:rPr>
                <w:spacing w:val="-7"/>
                <w:sz w:val="20"/>
              </w:rPr>
              <w:t xml:space="preserve"> </w:t>
            </w:r>
            <w:r w:rsidRPr="00150EDC">
              <w:rPr>
                <w:sz w:val="20"/>
              </w:rPr>
              <w:t>United</w:t>
            </w:r>
            <w:r w:rsidRPr="00150EDC">
              <w:rPr>
                <w:spacing w:val="-6"/>
                <w:sz w:val="20"/>
              </w:rPr>
              <w:t xml:space="preserve"> </w:t>
            </w:r>
            <w:r w:rsidRPr="00150EDC">
              <w:rPr>
                <w:spacing w:val="-2"/>
                <w:sz w:val="20"/>
              </w:rPr>
              <w:t>Kingdom</w:t>
            </w:r>
          </w:p>
        </w:tc>
      </w:tr>
      <w:tr w:rsidR="004569EE" w:rsidRPr="007D3144" w14:paraId="74704EF4" w14:textId="77777777">
        <w:trPr>
          <w:trHeight w:val="255"/>
        </w:trPr>
        <w:tc>
          <w:tcPr>
            <w:tcW w:w="6517" w:type="dxa"/>
          </w:tcPr>
          <w:p w14:paraId="61015B02"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1"/>
                <w:sz w:val="20"/>
              </w:rPr>
              <w:t xml:space="preserve"> </w:t>
            </w:r>
            <w:r w:rsidRPr="00150EDC">
              <w:rPr>
                <w:sz w:val="20"/>
              </w:rPr>
              <w:t>(Northern</w:t>
            </w:r>
            <w:r w:rsidRPr="00150EDC">
              <w:rPr>
                <w:spacing w:val="-7"/>
                <w:sz w:val="20"/>
              </w:rPr>
              <w:t xml:space="preserve"> </w:t>
            </w:r>
            <w:r w:rsidRPr="00150EDC">
              <w:rPr>
                <w:sz w:val="20"/>
              </w:rPr>
              <w:t>Ireland)</w:t>
            </w:r>
            <w:r w:rsidRPr="00150EDC">
              <w:rPr>
                <w:spacing w:val="-3"/>
                <w:sz w:val="20"/>
              </w:rPr>
              <w:t xml:space="preserve"> </w:t>
            </w:r>
            <w:r w:rsidRPr="00150EDC">
              <w:rPr>
                <w:sz w:val="20"/>
              </w:rPr>
              <w:t>Order</w:t>
            </w:r>
            <w:r w:rsidRPr="00150EDC">
              <w:rPr>
                <w:spacing w:val="-7"/>
                <w:sz w:val="20"/>
              </w:rPr>
              <w:t xml:space="preserve"> </w:t>
            </w:r>
            <w:r w:rsidRPr="00150EDC">
              <w:rPr>
                <w:sz w:val="20"/>
              </w:rPr>
              <w:t>2008,</w:t>
            </w:r>
            <w:r w:rsidRPr="00150EDC">
              <w:rPr>
                <w:spacing w:val="-7"/>
                <w:sz w:val="20"/>
              </w:rPr>
              <w:t xml:space="preserve"> </w:t>
            </w:r>
            <w:r w:rsidRPr="00150EDC">
              <w:rPr>
                <w:sz w:val="20"/>
              </w:rPr>
              <w:t>Art</w:t>
            </w:r>
            <w:r w:rsidRPr="00150EDC">
              <w:rPr>
                <w:spacing w:val="-7"/>
                <w:sz w:val="20"/>
              </w:rPr>
              <w:t xml:space="preserve"> </w:t>
            </w:r>
            <w:r w:rsidRPr="00150EDC">
              <w:rPr>
                <w:spacing w:val="-10"/>
                <w:sz w:val="20"/>
              </w:rPr>
              <w:t>8</w:t>
            </w:r>
          </w:p>
        </w:tc>
        <w:tc>
          <w:tcPr>
            <w:tcW w:w="7427" w:type="dxa"/>
          </w:tcPr>
          <w:p w14:paraId="0C0D472D" w14:textId="77777777" w:rsidR="004C7180" w:rsidRPr="00150EDC" w:rsidRDefault="00CF0754">
            <w:pPr>
              <w:pStyle w:val="TableParagraph"/>
              <w:rPr>
                <w:sz w:val="20"/>
              </w:rPr>
            </w:pPr>
            <w:r w:rsidRPr="00150EDC">
              <w:rPr>
                <w:sz w:val="20"/>
              </w:rPr>
              <w:t>Causing</w:t>
            </w:r>
            <w:r w:rsidRPr="00150EDC">
              <w:rPr>
                <w:spacing w:val="-5"/>
                <w:sz w:val="20"/>
              </w:rPr>
              <w:t xml:space="preserve"> </w:t>
            </w:r>
            <w:r w:rsidRPr="00150EDC">
              <w:rPr>
                <w:sz w:val="20"/>
              </w:rPr>
              <w:t>a</w:t>
            </w:r>
            <w:r w:rsidRPr="00150EDC">
              <w:rPr>
                <w:spacing w:val="-4"/>
                <w:sz w:val="20"/>
              </w:rPr>
              <w:t xml:space="preserve"> </w:t>
            </w:r>
            <w:r w:rsidRPr="00150EDC">
              <w:rPr>
                <w:sz w:val="20"/>
              </w:rPr>
              <w:t>person</w:t>
            </w:r>
            <w:r w:rsidRPr="00150EDC">
              <w:rPr>
                <w:spacing w:val="-5"/>
                <w:sz w:val="20"/>
              </w:rPr>
              <w:t xml:space="preserve"> </w:t>
            </w:r>
            <w:r w:rsidRPr="00150EDC">
              <w:rPr>
                <w:sz w:val="20"/>
              </w:rPr>
              <w:t>to</w:t>
            </w:r>
            <w:r w:rsidRPr="00150EDC">
              <w:rPr>
                <w:spacing w:val="-4"/>
                <w:sz w:val="20"/>
              </w:rPr>
              <w:t xml:space="preserve"> </w:t>
            </w:r>
            <w:r w:rsidRPr="00150EDC">
              <w:rPr>
                <w:sz w:val="20"/>
              </w:rPr>
              <w:t>engage</w:t>
            </w:r>
            <w:r w:rsidRPr="00150EDC">
              <w:rPr>
                <w:spacing w:val="-4"/>
                <w:sz w:val="20"/>
              </w:rPr>
              <w:t xml:space="preserve"> </w:t>
            </w:r>
            <w:r w:rsidRPr="00150EDC">
              <w:rPr>
                <w:sz w:val="20"/>
              </w:rPr>
              <w:t>in</w:t>
            </w:r>
            <w:r w:rsidRPr="00150EDC">
              <w:rPr>
                <w:spacing w:val="-5"/>
                <w:sz w:val="20"/>
              </w:rPr>
              <w:t xml:space="preserve"> </w:t>
            </w:r>
            <w:r w:rsidRPr="00150EDC">
              <w:rPr>
                <w:sz w:val="20"/>
              </w:rPr>
              <w:t>sexual</w:t>
            </w:r>
            <w:r w:rsidRPr="00150EDC">
              <w:rPr>
                <w:spacing w:val="-2"/>
                <w:sz w:val="20"/>
              </w:rPr>
              <w:t xml:space="preserve"> </w:t>
            </w:r>
            <w:r w:rsidRPr="00150EDC">
              <w:rPr>
                <w:sz w:val="20"/>
              </w:rPr>
              <w:t>activity</w:t>
            </w:r>
            <w:r w:rsidRPr="00150EDC">
              <w:rPr>
                <w:spacing w:val="-4"/>
                <w:sz w:val="20"/>
              </w:rPr>
              <w:t xml:space="preserve"> </w:t>
            </w:r>
            <w:r w:rsidRPr="00150EDC">
              <w:rPr>
                <w:sz w:val="20"/>
              </w:rPr>
              <w:t>without</w:t>
            </w:r>
            <w:r w:rsidRPr="00150EDC">
              <w:rPr>
                <w:spacing w:val="-4"/>
                <w:sz w:val="20"/>
              </w:rPr>
              <w:t xml:space="preserve"> </w:t>
            </w:r>
            <w:r w:rsidRPr="00150EDC">
              <w:rPr>
                <w:spacing w:val="-2"/>
                <w:sz w:val="20"/>
              </w:rPr>
              <w:t>consent</w:t>
            </w:r>
          </w:p>
        </w:tc>
      </w:tr>
      <w:tr w:rsidR="004569EE" w:rsidRPr="007D3144" w14:paraId="6FF014CA" w14:textId="77777777">
        <w:trPr>
          <w:trHeight w:val="255"/>
        </w:trPr>
        <w:tc>
          <w:tcPr>
            <w:tcW w:w="6517" w:type="dxa"/>
          </w:tcPr>
          <w:p w14:paraId="1391DD08" w14:textId="77777777" w:rsidR="004C7180" w:rsidRPr="00150EDC" w:rsidRDefault="00CF0754">
            <w:pPr>
              <w:pStyle w:val="TableParagraph"/>
              <w:spacing w:before="28"/>
              <w:rPr>
                <w:sz w:val="20"/>
              </w:rPr>
            </w:pPr>
            <w:r w:rsidRPr="00150EDC">
              <w:rPr>
                <w:sz w:val="20"/>
              </w:rPr>
              <w:t>Sexual</w:t>
            </w:r>
            <w:r w:rsidRPr="00150EDC">
              <w:rPr>
                <w:spacing w:val="-7"/>
                <w:sz w:val="20"/>
              </w:rPr>
              <w:t xml:space="preserve"> </w:t>
            </w:r>
            <w:r w:rsidRPr="00150EDC">
              <w:rPr>
                <w:sz w:val="20"/>
              </w:rPr>
              <w:t>Offences</w:t>
            </w:r>
            <w:r w:rsidRPr="00150EDC">
              <w:rPr>
                <w:spacing w:val="-3"/>
                <w:sz w:val="20"/>
              </w:rPr>
              <w:t xml:space="preserve"> </w:t>
            </w:r>
            <w:r w:rsidRPr="00150EDC">
              <w:rPr>
                <w:sz w:val="20"/>
              </w:rPr>
              <w:t>(Scotland)</w:t>
            </w:r>
            <w:r w:rsidRPr="00150EDC">
              <w:rPr>
                <w:spacing w:val="-8"/>
                <w:sz w:val="20"/>
              </w:rPr>
              <w:t xml:space="preserve"> </w:t>
            </w:r>
            <w:r w:rsidRPr="00150EDC">
              <w:rPr>
                <w:sz w:val="20"/>
              </w:rPr>
              <w:t>Act</w:t>
            </w:r>
            <w:r w:rsidRPr="00150EDC">
              <w:rPr>
                <w:spacing w:val="-7"/>
                <w:sz w:val="20"/>
              </w:rPr>
              <w:t xml:space="preserve"> </w:t>
            </w:r>
            <w:r w:rsidRPr="00150EDC">
              <w:rPr>
                <w:sz w:val="20"/>
              </w:rPr>
              <w:t>1967,</w:t>
            </w:r>
            <w:r w:rsidRPr="00150EDC">
              <w:rPr>
                <w:spacing w:val="-8"/>
                <w:sz w:val="20"/>
              </w:rPr>
              <w:t xml:space="preserve"> </w:t>
            </w:r>
            <w:r w:rsidRPr="00150EDC">
              <w:rPr>
                <w:spacing w:val="-5"/>
                <w:sz w:val="20"/>
              </w:rPr>
              <w:t>s4</w:t>
            </w:r>
          </w:p>
        </w:tc>
        <w:tc>
          <w:tcPr>
            <w:tcW w:w="7427" w:type="dxa"/>
          </w:tcPr>
          <w:p w14:paraId="5DD92F15" w14:textId="77777777" w:rsidR="004C7180" w:rsidRPr="00150EDC" w:rsidRDefault="00CF0754">
            <w:pPr>
              <w:pStyle w:val="TableParagraph"/>
              <w:spacing w:before="28"/>
              <w:rPr>
                <w:sz w:val="20"/>
              </w:rPr>
            </w:pPr>
            <w:r w:rsidRPr="00150EDC">
              <w:rPr>
                <w:sz w:val="20"/>
              </w:rPr>
              <w:t>Procuring</w:t>
            </w:r>
            <w:r w:rsidRPr="00150EDC">
              <w:rPr>
                <w:spacing w:val="-4"/>
                <w:sz w:val="20"/>
              </w:rPr>
              <w:t xml:space="preserve"> </w:t>
            </w:r>
            <w:r w:rsidRPr="00150EDC">
              <w:rPr>
                <w:sz w:val="20"/>
              </w:rPr>
              <w:t>others</w:t>
            </w:r>
            <w:r w:rsidRPr="00150EDC">
              <w:rPr>
                <w:spacing w:val="-2"/>
                <w:sz w:val="20"/>
              </w:rPr>
              <w:t xml:space="preserve"> </w:t>
            </w:r>
            <w:r w:rsidRPr="00150EDC">
              <w:rPr>
                <w:sz w:val="20"/>
              </w:rPr>
              <w:t>to</w:t>
            </w:r>
            <w:r w:rsidRPr="00150EDC">
              <w:rPr>
                <w:spacing w:val="-7"/>
                <w:sz w:val="20"/>
              </w:rPr>
              <w:t xml:space="preserve"> </w:t>
            </w:r>
            <w:r w:rsidRPr="00150EDC">
              <w:rPr>
                <w:sz w:val="20"/>
              </w:rPr>
              <w:t>commit</w:t>
            </w:r>
            <w:r w:rsidRPr="00150EDC">
              <w:rPr>
                <w:spacing w:val="-7"/>
                <w:sz w:val="20"/>
              </w:rPr>
              <w:t xml:space="preserve"> </w:t>
            </w:r>
            <w:r w:rsidRPr="00150EDC">
              <w:rPr>
                <w:sz w:val="20"/>
              </w:rPr>
              <w:t>homosexual</w:t>
            </w:r>
            <w:r w:rsidRPr="00150EDC">
              <w:rPr>
                <w:spacing w:val="-5"/>
                <w:sz w:val="20"/>
              </w:rPr>
              <w:t xml:space="preserve"> </w:t>
            </w:r>
            <w:r w:rsidRPr="00150EDC">
              <w:rPr>
                <w:spacing w:val="-4"/>
                <w:sz w:val="20"/>
              </w:rPr>
              <w:t>acts</w:t>
            </w:r>
          </w:p>
        </w:tc>
      </w:tr>
      <w:tr w:rsidR="004569EE" w:rsidRPr="007D3144" w14:paraId="5373EE19" w14:textId="77777777">
        <w:trPr>
          <w:trHeight w:val="255"/>
        </w:trPr>
        <w:tc>
          <w:tcPr>
            <w:tcW w:w="6517" w:type="dxa"/>
          </w:tcPr>
          <w:p w14:paraId="685A7341" w14:textId="77777777" w:rsidR="004C7180" w:rsidRPr="00150EDC" w:rsidRDefault="00CF0754">
            <w:pPr>
              <w:pStyle w:val="TableParagraph"/>
              <w:rPr>
                <w:sz w:val="20"/>
              </w:rPr>
            </w:pPr>
            <w:r w:rsidRPr="00150EDC">
              <w:rPr>
                <w:sz w:val="20"/>
              </w:rPr>
              <w:t>Sexual</w:t>
            </w:r>
            <w:r w:rsidRPr="00150EDC">
              <w:rPr>
                <w:spacing w:val="-7"/>
                <w:sz w:val="20"/>
              </w:rPr>
              <w:t xml:space="preserve"> </w:t>
            </w:r>
            <w:r w:rsidRPr="00150EDC">
              <w:rPr>
                <w:sz w:val="20"/>
              </w:rPr>
              <w:t>Offences</w:t>
            </w:r>
            <w:r w:rsidRPr="00150EDC">
              <w:rPr>
                <w:spacing w:val="-3"/>
                <w:sz w:val="20"/>
              </w:rPr>
              <w:t xml:space="preserve"> </w:t>
            </w:r>
            <w:r w:rsidRPr="00150EDC">
              <w:rPr>
                <w:sz w:val="20"/>
              </w:rPr>
              <w:t>(Scotland)</w:t>
            </w:r>
            <w:r w:rsidRPr="00150EDC">
              <w:rPr>
                <w:spacing w:val="-8"/>
                <w:sz w:val="20"/>
              </w:rPr>
              <w:t xml:space="preserve"> </w:t>
            </w:r>
            <w:r w:rsidRPr="00150EDC">
              <w:rPr>
                <w:sz w:val="20"/>
              </w:rPr>
              <w:t>Act</w:t>
            </w:r>
            <w:r w:rsidRPr="00150EDC">
              <w:rPr>
                <w:spacing w:val="-7"/>
                <w:sz w:val="20"/>
              </w:rPr>
              <w:t xml:space="preserve"> </w:t>
            </w:r>
            <w:r w:rsidRPr="00150EDC">
              <w:rPr>
                <w:sz w:val="20"/>
              </w:rPr>
              <w:t>1967,</w:t>
            </w:r>
            <w:r w:rsidRPr="00150EDC">
              <w:rPr>
                <w:spacing w:val="-8"/>
                <w:sz w:val="20"/>
              </w:rPr>
              <w:t xml:space="preserve"> </w:t>
            </w:r>
            <w:r w:rsidRPr="00150EDC">
              <w:rPr>
                <w:spacing w:val="-5"/>
                <w:sz w:val="20"/>
              </w:rPr>
              <w:t>s5</w:t>
            </w:r>
          </w:p>
        </w:tc>
        <w:tc>
          <w:tcPr>
            <w:tcW w:w="7427" w:type="dxa"/>
          </w:tcPr>
          <w:p w14:paraId="710477C7" w14:textId="77777777" w:rsidR="004C7180" w:rsidRPr="00150EDC" w:rsidRDefault="00CF0754">
            <w:pPr>
              <w:pStyle w:val="TableParagraph"/>
              <w:rPr>
                <w:sz w:val="20"/>
              </w:rPr>
            </w:pPr>
            <w:r w:rsidRPr="00150EDC">
              <w:rPr>
                <w:sz w:val="20"/>
              </w:rPr>
              <w:t>Living</w:t>
            </w:r>
            <w:r w:rsidRPr="00150EDC">
              <w:rPr>
                <w:spacing w:val="-6"/>
                <w:sz w:val="20"/>
              </w:rPr>
              <w:t xml:space="preserve"> </w:t>
            </w:r>
            <w:r w:rsidRPr="00150EDC">
              <w:rPr>
                <w:sz w:val="20"/>
              </w:rPr>
              <w:t>on</w:t>
            </w:r>
            <w:r w:rsidRPr="00150EDC">
              <w:rPr>
                <w:spacing w:val="-5"/>
                <w:sz w:val="20"/>
              </w:rPr>
              <w:t xml:space="preserve"> </w:t>
            </w:r>
            <w:r w:rsidRPr="00150EDC">
              <w:rPr>
                <w:sz w:val="20"/>
              </w:rPr>
              <w:t>earnings</w:t>
            </w:r>
            <w:r w:rsidRPr="00150EDC">
              <w:rPr>
                <w:spacing w:val="-5"/>
                <w:sz w:val="20"/>
              </w:rPr>
              <w:t xml:space="preserve"> </w:t>
            </w:r>
            <w:r w:rsidRPr="00150EDC">
              <w:rPr>
                <w:sz w:val="20"/>
              </w:rPr>
              <w:t>of male</w:t>
            </w:r>
            <w:r w:rsidRPr="00150EDC">
              <w:rPr>
                <w:spacing w:val="-5"/>
                <w:sz w:val="20"/>
              </w:rPr>
              <w:t xml:space="preserve"> </w:t>
            </w:r>
            <w:r w:rsidRPr="00150EDC">
              <w:rPr>
                <w:spacing w:val="-2"/>
                <w:sz w:val="20"/>
              </w:rPr>
              <w:t>prostitution</w:t>
            </w:r>
          </w:p>
        </w:tc>
      </w:tr>
      <w:tr w:rsidR="004569EE" w:rsidRPr="007D3144" w14:paraId="4FC2721F" w14:textId="77777777">
        <w:trPr>
          <w:trHeight w:val="255"/>
        </w:trPr>
        <w:tc>
          <w:tcPr>
            <w:tcW w:w="6517" w:type="dxa"/>
          </w:tcPr>
          <w:p w14:paraId="21822900" w14:textId="77777777" w:rsidR="004C7180" w:rsidRPr="00150EDC" w:rsidRDefault="00CF0754">
            <w:pPr>
              <w:pStyle w:val="TableParagraph"/>
              <w:rPr>
                <w:sz w:val="20"/>
              </w:rPr>
            </w:pPr>
            <w:r w:rsidRPr="00150EDC">
              <w:rPr>
                <w:sz w:val="20"/>
              </w:rPr>
              <w:t>Sexual</w:t>
            </w:r>
            <w:r w:rsidRPr="00150EDC">
              <w:rPr>
                <w:spacing w:val="-7"/>
                <w:sz w:val="20"/>
              </w:rPr>
              <w:t xml:space="preserve"> </w:t>
            </w:r>
            <w:r w:rsidRPr="00150EDC">
              <w:rPr>
                <w:sz w:val="20"/>
              </w:rPr>
              <w:t>Offences</w:t>
            </w:r>
            <w:r w:rsidRPr="00150EDC">
              <w:rPr>
                <w:spacing w:val="-3"/>
                <w:sz w:val="20"/>
              </w:rPr>
              <w:t xml:space="preserve"> </w:t>
            </w:r>
            <w:r w:rsidRPr="00150EDC">
              <w:rPr>
                <w:sz w:val="20"/>
              </w:rPr>
              <w:t>(Scotland)</w:t>
            </w:r>
            <w:r w:rsidRPr="00150EDC">
              <w:rPr>
                <w:spacing w:val="-8"/>
                <w:sz w:val="20"/>
              </w:rPr>
              <w:t xml:space="preserve"> </w:t>
            </w:r>
            <w:r w:rsidRPr="00150EDC">
              <w:rPr>
                <w:sz w:val="20"/>
              </w:rPr>
              <w:t>Act</w:t>
            </w:r>
            <w:r w:rsidRPr="00150EDC">
              <w:rPr>
                <w:spacing w:val="-7"/>
                <w:sz w:val="20"/>
              </w:rPr>
              <w:t xml:space="preserve"> </w:t>
            </w:r>
            <w:r w:rsidRPr="00150EDC">
              <w:rPr>
                <w:sz w:val="20"/>
              </w:rPr>
              <w:t>1976,</w:t>
            </w:r>
            <w:r w:rsidRPr="00150EDC">
              <w:rPr>
                <w:spacing w:val="-8"/>
                <w:sz w:val="20"/>
              </w:rPr>
              <w:t xml:space="preserve"> </w:t>
            </w:r>
            <w:r w:rsidRPr="00150EDC">
              <w:rPr>
                <w:spacing w:val="-5"/>
                <w:sz w:val="20"/>
              </w:rPr>
              <w:t>s1</w:t>
            </w:r>
          </w:p>
        </w:tc>
        <w:tc>
          <w:tcPr>
            <w:tcW w:w="7427" w:type="dxa"/>
          </w:tcPr>
          <w:p w14:paraId="196B9867" w14:textId="77777777" w:rsidR="004C7180" w:rsidRPr="00150EDC" w:rsidRDefault="00CF0754">
            <w:pPr>
              <w:pStyle w:val="TableParagraph"/>
              <w:rPr>
                <w:sz w:val="20"/>
              </w:rPr>
            </w:pPr>
            <w:r w:rsidRPr="00150EDC">
              <w:rPr>
                <w:spacing w:val="-2"/>
                <w:sz w:val="20"/>
              </w:rPr>
              <w:t>Procuring</w:t>
            </w:r>
          </w:p>
        </w:tc>
      </w:tr>
      <w:tr w:rsidR="004569EE" w:rsidRPr="007D3144" w14:paraId="61240901" w14:textId="77777777">
        <w:trPr>
          <w:trHeight w:val="255"/>
        </w:trPr>
        <w:tc>
          <w:tcPr>
            <w:tcW w:w="6517" w:type="dxa"/>
          </w:tcPr>
          <w:p w14:paraId="71A0ECC5" w14:textId="77777777" w:rsidR="004C7180" w:rsidRPr="00150EDC" w:rsidRDefault="00CF0754">
            <w:pPr>
              <w:pStyle w:val="TableParagraph"/>
              <w:rPr>
                <w:sz w:val="20"/>
              </w:rPr>
            </w:pPr>
            <w:r w:rsidRPr="00150EDC">
              <w:rPr>
                <w:sz w:val="20"/>
              </w:rPr>
              <w:t>Sexual</w:t>
            </w:r>
            <w:r w:rsidRPr="00150EDC">
              <w:rPr>
                <w:spacing w:val="-7"/>
                <w:sz w:val="20"/>
              </w:rPr>
              <w:t xml:space="preserve"> </w:t>
            </w:r>
            <w:r w:rsidRPr="00150EDC">
              <w:rPr>
                <w:sz w:val="20"/>
              </w:rPr>
              <w:t>Offences</w:t>
            </w:r>
            <w:r w:rsidRPr="00150EDC">
              <w:rPr>
                <w:spacing w:val="-3"/>
                <w:sz w:val="20"/>
              </w:rPr>
              <w:t xml:space="preserve"> </w:t>
            </w:r>
            <w:r w:rsidRPr="00150EDC">
              <w:rPr>
                <w:sz w:val="20"/>
              </w:rPr>
              <w:t>(Scotland)</w:t>
            </w:r>
            <w:r w:rsidRPr="00150EDC">
              <w:rPr>
                <w:spacing w:val="-8"/>
                <w:sz w:val="20"/>
              </w:rPr>
              <w:t xml:space="preserve"> </w:t>
            </w:r>
            <w:r w:rsidRPr="00150EDC">
              <w:rPr>
                <w:sz w:val="20"/>
              </w:rPr>
              <w:t>Act</w:t>
            </w:r>
            <w:r w:rsidRPr="00150EDC">
              <w:rPr>
                <w:spacing w:val="-7"/>
                <w:sz w:val="20"/>
              </w:rPr>
              <w:t xml:space="preserve"> </w:t>
            </w:r>
            <w:r w:rsidRPr="00150EDC">
              <w:rPr>
                <w:sz w:val="20"/>
              </w:rPr>
              <w:t>1976,</w:t>
            </w:r>
            <w:r w:rsidRPr="00150EDC">
              <w:rPr>
                <w:spacing w:val="-8"/>
                <w:sz w:val="20"/>
              </w:rPr>
              <w:t xml:space="preserve"> </w:t>
            </w:r>
            <w:r w:rsidRPr="00150EDC">
              <w:rPr>
                <w:spacing w:val="-5"/>
                <w:sz w:val="20"/>
              </w:rPr>
              <w:t>s10</w:t>
            </w:r>
          </w:p>
        </w:tc>
        <w:tc>
          <w:tcPr>
            <w:tcW w:w="7427" w:type="dxa"/>
          </w:tcPr>
          <w:p w14:paraId="45A835C8" w14:textId="77777777" w:rsidR="004C7180" w:rsidRPr="00150EDC" w:rsidRDefault="00CF0754">
            <w:pPr>
              <w:pStyle w:val="TableParagraph"/>
              <w:rPr>
                <w:sz w:val="20"/>
              </w:rPr>
            </w:pPr>
            <w:r w:rsidRPr="00150EDC">
              <w:rPr>
                <w:sz w:val="20"/>
              </w:rPr>
              <w:t>Permitting</w:t>
            </w:r>
            <w:r w:rsidRPr="00150EDC">
              <w:rPr>
                <w:spacing w:val="-4"/>
                <w:sz w:val="20"/>
              </w:rPr>
              <w:t xml:space="preserve"> </w:t>
            </w:r>
            <w:r w:rsidRPr="00150EDC">
              <w:rPr>
                <w:sz w:val="20"/>
              </w:rPr>
              <w:t>girl</w:t>
            </w:r>
            <w:r w:rsidRPr="00150EDC">
              <w:rPr>
                <w:spacing w:val="-2"/>
                <w:sz w:val="20"/>
              </w:rPr>
              <w:t xml:space="preserve"> </w:t>
            </w:r>
            <w:r w:rsidRPr="00150EDC">
              <w:rPr>
                <w:sz w:val="20"/>
              </w:rPr>
              <w:t>to</w:t>
            </w:r>
            <w:r w:rsidRPr="00150EDC">
              <w:rPr>
                <w:spacing w:val="-4"/>
                <w:sz w:val="20"/>
              </w:rPr>
              <w:t xml:space="preserve"> </w:t>
            </w:r>
            <w:r w:rsidRPr="00150EDC">
              <w:rPr>
                <w:sz w:val="20"/>
              </w:rPr>
              <w:t>use</w:t>
            </w:r>
            <w:r w:rsidRPr="00150EDC">
              <w:rPr>
                <w:spacing w:val="-3"/>
                <w:sz w:val="20"/>
              </w:rPr>
              <w:t xml:space="preserve"> </w:t>
            </w:r>
            <w:r w:rsidRPr="00150EDC">
              <w:rPr>
                <w:sz w:val="20"/>
              </w:rPr>
              <w:t>premises</w:t>
            </w:r>
            <w:r w:rsidRPr="00150EDC">
              <w:rPr>
                <w:spacing w:val="-3"/>
                <w:sz w:val="20"/>
              </w:rPr>
              <w:t xml:space="preserve"> </w:t>
            </w:r>
            <w:r w:rsidRPr="00150EDC">
              <w:rPr>
                <w:sz w:val="20"/>
              </w:rPr>
              <w:t>for</w:t>
            </w:r>
            <w:r w:rsidRPr="00150EDC">
              <w:rPr>
                <w:spacing w:val="-3"/>
                <w:sz w:val="20"/>
              </w:rPr>
              <w:t xml:space="preserve"> </w:t>
            </w:r>
            <w:r w:rsidRPr="00150EDC">
              <w:rPr>
                <w:spacing w:val="-2"/>
                <w:sz w:val="20"/>
              </w:rPr>
              <w:t>intercourse</w:t>
            </w:r>
          </w:p>
        </w:tc>
      </w:tr>
      <w:tr w:rsidR="004569EE" w:rsidRPr="007D3144" w14:paraId="230DF8B2" w14:textId="77777777">
        <w:trPr>
          <w:trHeight w:val="255"/>
        </w:trPr>
        <w:tc>
          <w:tcPr>
            <w:tcW w:w="6517" w:type="dxa"/>
          </w:tcPr>
          <w:p w14:paraId="3E7A52EA" w14:textId="77777777" w:rsidR="004C7180" w:rsidRPr="00150EDC" w:rsidRDefault="00CF0754">
            <w:pPr>
              <w:pStyle w:val="TableParagraph"/>
              <w:rPr>
                <w:sz w:val="20"/>
              </w:rPr>
            </w:pPr>
            <w:r w:rsidRPr="00150EDC">
              <w:rPr>
                <w:sz w:val="20"/>
              </w:rPr>
              <w:t>Sexual</w:t>
            </w:r>
            <w:r w:rsidRPr="00150EDC">
              <w:rPr>
                <w:spacing w:val="-7"/>
                <w:sz w:val="20"/>
              </w:rPr>
              <w:t xml:space="preserve"> </w:t>
            </w:r>
            <w:r w:rsidRPr="00150EDC">
              <w:rPr>
                <w:sz w:val="20"/>
              </w:rPr>
              <w:t>Offences</w:t>
            </w:r>
            <w:r w:rsidRPr="00150EDC">
              <w:rPr>
                <w:spacing w:val="-3"/>
                <w:sz w:val="20"/>
              </w:rPr>
              <w:t xml:space="preserve"> </w:t>
            </w:r>
            <w:r w:rsidRPr="00150EDC">
              <w:rPr>
                <w:sz w:val="20"/>
              </w:rPr>
              <w:t>(Scotland)</w:t>
            </w:r>
            <w:r w:rsidRPr="00150EDC">
              <w:rPr>
                <w:spacing w:val="-8"/>
                <w:sz w:val="20"/>
              </w:rPr>
              <w:t xml:space="preserve"> </w:t>
            </w:r>
            <w:r w:rsidRPr="00150EDC">
              <w:rPr>
                <w:sz w:val="20"/>
              </w:rPr>
              <w:t>Act</w:t>
            </w:r>
            <w:r w:rsidRPr="00150EDC">
              <w:rPr>
                <w:spacing w:val="-7"/>
                <w:sz w:val="20"/>
              </w:rPr>
              <w:t xml:space="preserve"> </w:t>
            </w:r>
            <w:r w:rsidRPr="00150EDC">
              <w:rPr>
                <w:sz w:val="20"/>
              </w:rPr>
              <w:t>1976,</w:t>
            </w:r>
            <w:r w:rsidRPr="00150EDC">
              <w:rPr>
                <w:spacing w:val="-8"/>
                <w:sz w:val="20"/>
              </w:rPr>
              <w:t xml:space="preserve"> </w:t>
            </w:r>
            <w:r w:rsidRPr="00150EDC">
              <w:rPr>
                <w:spacing w:val="-5"/>
                <w:sz w:val="20"/>
              </w:rPr>
              <w:t>s11</w:t>
            </w:r>
          </w:p>
        </w:tc>
        <w:tc>
          <w:tcPr>
            <w:tcW w:w="7427" w:type="dxa"/>
          </w:tcPr>
          <w:p w14:paraId="75CBB5E5" w14:textId="77777777" w:rsidR="004C7180" w:rsidRPr="00150EDC" w:rsidRDefault="00CF0754">
            <w:pPr>
              <w:pStyle w:val="TableParagraph"/>
              <w:rPr>
                <w:sz w:val="20"/>
              </w:rPr>
            </w:pPr>
            <w:r w:rsidRPr="00150EDC">
              <w:rPr>
                <w:sz w:val="20"/>
              </w:rPr>
              <w:t>Causing</w:t>
            </w:r>
            <w:r w:rsidRPr="00150EDC">
              <w:rPr>
                <w:spacing w:val="-6"/>
                <w:sz w:val="20"/>
              </w:rPr>
              <w:t xml:space="preserve"> </w:t>
            </w:r>
            <w:r w:rsidRPr="00150EDC">
              <w:rPr>
                <w:sz w:val="20"/>
              </w:rPr>
              <w:t>on</w:t>
            </w:r>
            <w:r w:rsidRPr="00150EDC">
              <w:rPr>
                <w:spacing w:val="-1"/>
                <w:sz w:val="20"/>
              </w:rPr>
              <w:t xml:space="preserve"> </w:t>
            </w:r>
            <w:r w:rsidRPr="00150EDC">
              <w:rPr>
                <w:sz w:val="20"/>
              </w:rPr>
              <w:t>encouraging</w:t>
            </w:r>
            <w:r w:rsidRPr="00150EDC">
              <w:rPr>
                <w:spacing w:val="-6"/>
                <w:sz w:val="20"/>
              </w:rPr>
              <w:t xml:space="preserve"> </w:t>
            </w:r>
            <w:r w:rsidRPr="00150EDC">
              <w:rPr>
                <w:sz w:val="20"/>
              </w:rPr>
              <w:t>seduction,</w:t>
            </w:r>
            <w:r w:rsidRPr="00150EDC">
              <w:rPr>
                <w:spacing w:val="-5"/>
                <w:sz w:val="20"/>
              </w:rPr>
              <w:t xml:space="preserve"> </w:t>
            </w:r>
            <w:r w:rsidRPr="00150EDC">
              <w:rPr>
                <w:sz w:val="20"/>
              </w:rPr>
              <w:t>prostitution,</w:t>
            </w:r>
            <w:r w:rsidRPr="00150EDC">
              <w:rPr>
                <w:spacing w:val="-6"/>
                <w:sz w:val="20"/>
              </w:rPr>
              <w:t xml:space="preserve"> </w:t>
            </w:r>
            <w:r w:rsidRPr="00150EDC">
              <w:rPr>
                <w:sz w:val="20"/>
              </w:rPr>
              <w:t>etc,</w:t>
            </w:r>
            <w:r w:rsidRPr="00150EDC">
              <w:rPr>
                <w:spacing w:val="-6"/>
                <w:sz w:val="20"/>
              </w:rPr>
              <w:t xml:space="preserve"> </w:t>
            </w:r>
            <w:r w:rsidRPr="00150EDC">
              <w:rPr>
                <w:sz w:val="20"/>
              </w:rPr>
              <w:t>of</w:t>
            </w:r>
            <w:r w:rsidRPr="00150EDC">
              <w:rPr>
                <w:spacing w:val="-5"/>
                <w:sz w:val="20"/>
              </w:rPr>
              <w:t xml:space="preserve"> </w:t>
            </w:r>
            <w:r w:rsidRPr="00150EDC">
              <w:rPr>
                <w:sz w:val="20"/>
              </w:rPr>
              <w:t>girl</w:t>
            </w:r>
            <w:r w:rsidRPr="00150EDC">
              <w:rPr>
                <w:spacing w:val="-4"/>
                <w:sz w:val="20"/>
              </w:rPr>
              <w:t xml:space="preserve"> </w:t>
            </w:r>
            <w:r w:rsidRPr="00150EDC">
              <w:rPr>
                <w:sz w:val="20"/>
              </w:rPr>
              <w:t>under</w:t>
            </w:r>
            <w:r w:rsidRPr="00150EDC">
              <w:rPr>
                <w:spacing w:val="-2"/>
                <w:sz w:val="20"/>
              </w:rPr>
              <w:t xml:space="preserve"> </w:t>
            </w:r>
            <w:r w:rsidRPr="00150EDC">
              <w:rPr>
                <w:spacing w:val="-5"/>
                <w:sz w:val="20"/>
              </w:rPr>
              <w:t>16</w:t>
            </w:r>
          </w:p>
        </w:tc>
      </w:tr>
      <w:tr w:rsidR="004569EE" w:rsidRPr="007D3144" w14:paraId="7DD20A05" w14:textId="77777777">
        <w:trPr>
          <w:trHeight w:val="255"/>
        </w:trPr>
        <w:tc>
          <w:tcPr>
            <w:tcW w:w="6517" w:type="dxa"/>
          </w:tcPr>
          <w:p w14:paraId="6A0A8AB8" w14:textId="77777777" w:rsidR="004C7180" w:rsidRPr="00150EDC" w:rsidRDefault="00CF0754">
            <w:pPr>
              <w:pStyle w:val="TableParagraph"/>
              <w:rPr>
                <w:sz w:val="20"/>
              </w:rPr>
            </w:pPr>
            <w:r w:rsidRPr="00150EDC">
              <w:rPr>
                <w:sz w:val="20"/>
              </w:rPr>
              <w:t>Sexual</w:t>
            </w:r>
            <w:r w:rsidRPr="00150EDC">
              <w:rPr>
                <w:spacing w:val="-7"/>
                <w:sz w:val="20"/>
              </w:rPr>
              <w:t xml:space="preserve"> </w:t>
            </w:r>
            <w:r w:rsidRPr="00150EDC">
              <w:rPr>
                <w:sz w:val="20"/>
              </w:rPr>
              <w:t>Offences</w:t>
            </w:r>
            <w:r w:rsidRPr="00150EDC">
              <w:rPr>
                <w:spacing w:val="-2"/>
                <w:sz w:val="20"/>
              </w:rPr>
              <w:t xml:space="preserve"> </w:t>
            </w:r>
            <w:r w:rsidRPr="00150EDC">
              <w:rPr>
                <w:sz w:val="20"/>
              </w:rPr>
              <w:t>(Scotland)</w:t>
            </w:r>
            <w:r w:rsidRPr="00150EDC">
              <w:rPr>
                <w:spacing w:val="-8"/>
                <w:sz w:val="20"/>
              </w:rPr>
              <w:t xml:space="preserve"> </w:t>
            </w:r>
            <w:r w:rsidRPr="00150EDC">
              <w:rPr>
                <w:sz w:val="20"/>
              </w:rPr>
              <w:t>Act</w:t>
            </w:r>
            <w:r w:rsidRPr="00150EDC">
              <w:rPr>
                <w:spacing w:val="-7"/>
                <w:sz w:val="20"/>
              </w:rPr>
              <w:t xml:space="preserve"> </w:t>
            </w:r>
            <w:r w:rsidRPr="00150EDC">
              <w:rPr>
                <w:sz w:val="20"/>
              </w:rPr>
              <w:t>1976,</w:t>
            </w:r>
            <w:r w:rsidRPr="00150EDC">
              <w:rPr>
                <w:spacing w:val="-8"/>
                <w:sz w:val="20"/>
              </w:rPr>
              <w:t xml:space="preserve"> </w:t>
            </w:r>
            <w:r w:rsidRPr="00150EDC">
              <w:rPr>
                <w:spacing w:val="-5"/>
                <w:sz w:val="20"/>
              </w:rPr>
              <w:t>s12</w:t>
            </w:r>
          </w:p>
        </w:tc>
        <w:tc>
          <w:tcPr>
            <w:tcW w:w="7427" w:type="dxa"/>
          </w:tcPr>
          <w:p w14:paraId="3178AEAE" w14:textId="77777777" w:rsidR="004C7180" w:rsidRPr="00150EDC" w:rsidRDefault="00CF0754">
            <w:pPr>
              <w:pStyle w:val="TableParagraph"/>
              <w:rPr>
                <w:sz w:val="20"/>
              </w:rPr>
            </w:pPr>
            <w:r w:rsidRPr="00150EDC">
              <w:rPr>
                <w:sz w:val="20"/>
              </w:rPr>
              <w:t>Persons</w:t>
            </w:r>
            <w:r w:rsidRPr="00150EDC">
              <w:rPr>
                <w:spacing w:val="-6"/>
                <w:sz w:val="20"/>
              </w:rPr>
              <w:t xml:space="preserve"> </w:t>
            </w:r>
            <w:r w:rsidRPr="00150EDC">
              <w:rPr>
                <w:sz w:val="20"/>
              </w:rPr>
              <w:t>trading</w:t>
            </w:r>
            <w:r w:rsidRPr="00150EDC">
              <w:rPr>
                <w:spacing w:val="-6"/>
                <w:sz w:val="20"/>
              </w:rPr>
              <w:t xml:space="preserve"> </w:t>
            </w:r>
            <w:r w:rsidRPr="00150EDC">
              <w:rPr>
                <w:sz w:val="20"/>
              </w:rPr>
              <w:t>in</w:t>
            </w:r>
            <w:r w:rsidRPr="00150EDC">
              <w:rPr>
                <w:spacing w:val="-1"/>
                <w:sz w:val="20"/>
              </w:rPr>
              <w:t xml:space="preserve"> </w:t>
            </w:r>
            <w:r w:rsidRPr="00150EDC">
              <w:rPr>
                <w:spacing w:val="-2"/>
                <w:sz w:val="20"/>
              </w:rPr>
              <w:t>prostitution</w:t>
            </w:r>
          </w:p>
        </w:tc>
      </w:tr>
      <w:tr w:rsidR="004569EE" w:rsidRPr="007D3144" w14:paraId="28D06F35" w14:textId="77777777">
        <w:trPr>
          <w:trHeight w:val="255"/>
        </w:trPr>
        <w:tc>
          <w:tcPr>
            <w:tcW w:w="6517" w:type="dxa"/>
          </w:tcPr>
          <w:p w14:paraId="7DD76696" w14:textId="77777777" w:rsidR="004C7180" w:rsidRPr="00150EDC" w:rsidRDefault="00CF0754">
            <w:pPr>
              <w:pStyle w:val="TableParagraph"/>
              <w:rPr>
                <w:sz w:val="20"/>
              </w:rPr>
            </w:pPr>
            <w:r w:rsidRPr="00150EDC">
              <w:rPr>
                <w:sz w:val="20"/>
              </w:rPr>
              <w:t>Sexual</w:t>
            </w:r>
            <w:r w:rsidRPr="00150EDC">
              <w:rPr>
                <w:spacing w:val="-7"/>
                <w:sz w:val="20"/>
              </w:rPr>
              <w:t xml:space="preserve"> </w:t>
            </w:r>
            <w:r w:rsidRPr="00150EDC">
              <w:rPr>
                <w:sz w:val="20"/>
              </w:rPr>
              <w:t>Offences</w:t>
            </w:r>
            <w:r w:rsidRPr="00150EDC">
              <w:rPr>
                <w:spacing w:val="-3"/>
                <w:sz w:val="20"/>
              </w:rPr>
              <w:t xml:space="preserve"> </w:t>
            </w:r>
            <w:r w:rsidRPr="00150EDC">
              <w:rPr>
                <w:sz w:val="20"/>
              </w:rPr>
              <w:t>(Scotland)</w:t>
            </w:r>
            <w:r w:rsidRPr="00150EDC">
              <w:rPr>
                <w:spacing w:val="-8"/>
                <w:sz w:val="20"/>
              </w:rPr>
              <w:t xml:space="preserve"> </w:t>
            </w:r>
            <w:r w:rsidRPr="00150EDC">
              <w:rPr>
                <w:sz w:val="20"/>
              </w:rPr>
              <w:t>Act</w:t>
            </w:r>
            <w:r w:rsidRPr="00150EDC">
              <w:rPr>
                <w:spacing w:val="-7"/>
                <w:sz w:val="20"/>
              </w:rPr>
              <w:t xml:space="preserve"> </w:t>
            </w:r>
            <w:r w:rsidRPr="00150EDC">
              <w:rPr>
                <w:sz w:val="20"/>
              </w:rPr>
              <w:t>1976,</w:t>
            </w:r>
            <w:r w:rsidRPr="00150EDC">
              <w:rPr>
                <w:spacing w:val="-8"/>
                <w:sz w:val="20"/>
              </w:rPr>
              <w:t xml:space="preserve"> </w:t>
            </w:r>
            <w:r w:rsidRPr="00150EDC">
              <w:rPr>
                <w:spacing w:val="-5"/>
                <w:sz w:val="20"/>
              </w:rPr>
              <w:t>s13</w:t>
            </w:r>
          </w:p>
        </w:tc>
        <w:tc>
          <w:tcPr>
            <w:tcW w:w="7427" w:type="dxa"/>
          </w:tcPr>
          <w:p w14:paraId="4B878399" w14:textId="77777777" w:rsidR="004C7180" w:rsidRPr="00150EDC" w:rsidRDefault="00CF0754">
            <w:pPr>
              <w:pStyle w:val="TableParagraph"/>
              <w:rPr>
                <w:sz w:val="20"/>
              </w:rPr>
            </w:pPr>
            <w:r w:rsidRPr="00150EDC">
              <w:rPr>
                <w:sz w:val="20"/>
              </w:rPr>
              <w:t>Brothel</w:t>
            </w:r>
            <w:r w:rsidRPr="00150EDC">
              <w:rPr>
                <w:spacing w:val="-8"/>
                <w:sz w:val="20"/>
              </w:rPr>
              <w:t xml:space="preserve"> </w:t>
            </w:r>
            <w:r w:rsidRPr="00150EDC">
              <w:rPr>
                <w:spacing w:val="-2"/>
                <w:sz w:val="20"/>
              </w:rPr>
              <w:t>keeping</w:t>
            </w:r>
          </w:p>
        </w:tc>
      </w:tr>
      <w:tr w:rsidR="004569EE" w:rsidRPr="007D3144" w14:paraId="31CDA121" w14:textId="77777777">
        <w:trPr>
          <w:trHeight w:val="255"/>
        </w:trPr>
        <w:tc>
          <w:tcPr>
            <w:tcW w:w="6517" w:type="dxa"/>
          </w:tcPr>
          <w:p w14:paraId="5F4709F0" w14:textId="77777777" w:rsidR="004C7180" w:rsidRPr="00150EDC" w:rsidRDefault="00CF0754">
            <w:pPr>
              <w:pStyle w:val="TableParagraph"/>
              <w:rPr>
                <w:sz w:val="20"/>
              </w:rPr>
            </w:pPr>
            <w:r w:rsidRPr="00150EDC">
              <w:rPr>
                <w:sz w:val="20"/>
              </w:rPr>
              <w:t>Sexual</w:t>
            </w:r>
            <w:r w:rsidRPr="00150EDC">
              <w:rPr>
                <w:spacing w:val="-7"/>
                <w:sz w:val="20"/>
              </w:rPr>
              <w:t xml:space="preserve"> </w:t>
            </w:r>
            <w:r w:rsidRPr="00150EDC">
              <w:rPr>
                <w:sz w:val="20"/>
              </w:rPr>
              <w:t>Offences</w:t>
            </w:r>
            <w:r w:rsidRPr="00150EDC">
              <w:rPr>
                <w:spacing w:val="-3"/>
                <w:sz w:val="20"/>
              </w:rPr>
              <w:t xml:space="preserve"> </w:t>
            </w:r>
            <w:r w:rsidRPr="00150EDC">
              <w:rPr>
                <w:sz w:val="20"/>
              </w:rPr>
              <w:t>(Scotland)</w:t>
            </w:r>
            <w:r w:rsidRPr="00150EDC">
              <w:rPr>
                <w:spacing w:val="-8"/>
                <w:sz w:val="20"/>
              </w:rPr>
              <w:t xml:space="preserve"> </w:t>
            </w:r>
            <w:r w:rsidRPr="00150EDC">
              <w:rPr>
                <w:sz w:val="20"/>
              </w:rPr>
              <w:t>Act</w:t>
            </w:r>
            <w:r w:rsidRPr="00150EDC">
              <w:rPr>
                <w:spacing w:val="-7"/>
                <w:sz w:val="20"/>
              </w:rPr>
              <w:t xml:space="preserve"> </w:t>
            </w:r>
            <w:r w:rsidRPr="00150EDC">
              <w:rPr>
                <w:sz w:val="20"/>
              </w:rPr>
              <w:t>1976,</w:t>
            </w:r>
            <w:r w:rsidRPr="00150EDC">
              <w:rPr>
                <w:spacing w:val="-8"/>
                <w:sz w:val="20"/>
              </w:rPr>
              <w:t xml:space="preserve"> </w:t>
            </w:r>
            <w:r w:rsidRPr="00150EDC">
              <w:rPr>
                <w:spacing w:val="-5"/>
                <w:sz w:val="20"/>
              </w:rPr>
              <w:t>s14</w:t>
            </w:r>
          </w:p>
        </w:tc>
        <w:tc>
          <w:tcPr>
            <w:tcW w:w="7427" w:type="dxa"/>
          </w:tcPr>
          <w:p w14:paraId="4355132E" w14:textId="77777777" w:rsidR="004C7180" w:rsidRPr="00150EDC" w:rsidRDefault="00CF0754">
            <w:pPr>
              <w:pStyle w:val="TableParagraph"/>
              <w:rPr>
                <w:sz w:val="20"/>
              </w:rPr>
            </w:pPr>
            <w:r w:rsidRPr="00150EDC">
              <w:rPr>
                <w:sz w:val="20"/>
              </w:rPr>
              <w:t>Allowing</w:t>
            </w:r>
            <w:r w:rsidRPr="00150EDC">
              <w:rPr>
                <w:spacing w:val="-5"/>
                <w:sz w:val="20"/>
              </w:rPr>
              <w:t xml:space="preserve"> </w:t>
            </w:r>
            <w:r w:rsidRPr="00150EDC">
              <w:rPr>
                <w:sz w:val="20"/>
              </w:rPr>
              <w:t>child</w:t>
            </w:r>
            <w:r w:rsidRPr="00150EDC">
              <w:rPr>
                <w:spacing w:val="-5"/>
                <w:sz w:val="20"/>
              </w:rPr>
              <w:t xml:space="preserve"> </w:t>
            </w:r>
            <w:r w:rsidRPr="00150EDC">
              <w:rPr>
                <w:sz w:val="20"/>
              </w:rPr>
              <w:t>to</w:t>
            </w:r>
            <w:r w:rsidRPr="00150EDC">
              <w:rPr>
                <w:spacing w:val="-4"/>
                <w:sz w:val="20"/>
              </w:rPr>
              <w:t xml:space="preserve"> </w:t>
            </w:r>
            <w:r w:rsidRPr="00150EDC">
              <w:rPr>
                <w:sz w:val="20"/>
              </w:rPr>
              <w:t>be in</w:t>
            </w:r>
            <w:r w:rsidRPr="00150EDC">
              <w:rPr>
                <w:spacing w:val="-4"/>
                <w:sz w:val="20"/>
              </w:rPr>
              <w:t xml:space="preserve"> </w:t>
            </w:r>
            <w:r w:rsidRPr="00150EDC">
              <w:rPr>
                <w:spacing w:val="-2"/>
                <w:sz w:val="20"/>
              </w:rPr>
              <w:t>brothel</w:t>
            </w:r>
          </w:p>
        </w:tc>
      </w:tr>
      <w:tr w:rsidR="004569EE" w:rsidRPr="007D3144" w14:paraId="45282364" w14:textId="77777777">
        <w:trPr>
          <w:trHeight w:val="255"/>
        </w:trPr>
        <w:tc>
          <w:tcPr>
            <w:tcW w:w="6517" w:type="dxa"/>
          </w:tcPr>
          <w:p w14:paraId="38AB4B87" w14:textId="77777777" w:rsidR="004C7180" w:rsidRPr="00150EDC" w:rsidRDefault="00CF0754">
            <w:pPr>
              <w:pStyle w:val="TableParagraph"/>
              <w:rPr>
                <w:sz w:val="20"/>
              </w:rPr>
            </w:pPr>
            <w:r w:rsidRPr="00150EDC">
              <w:rPr>
                <w:sz w:val="20"/>
              </w:rPr>
              <w:t>Sexual</w:t>
            </w:r>
            <w:r w:rsidRPr="00150EDC">
              <w:rPr>
                <w:spacing w:val="-7"/>
                <w:sz w:val="20"/>
              </w:rPr>
              <w:t xml:space="preserve"> </w:t>
            </w:r>
            <w:r w:rsidRPr="00150EDC">
              <w:rPr>
                <w:sz w:val="20"/>
              </w:rPr>
              <w:t>Offences</w:t>
            </w:r>
            <w:r w:rsidRPr="00150EDC">
              <w:rPr>
                <w:spacing w:val="-3"/>
                <w:sz w:val="20"/>
              </w:rPr>
              <w:t xml:space="preserve"> </w:t>
            </w:r>
            <w:r w:rsidRPr="00150EDC">
              <w:rPr>
                <w:sz w:val="20"/>
              </w:rPr>
              <w:t>(Scotland)</w:t>
            </w:r>
            <w:r w:rsidRPr="00150EDC">
              <w:rPr>
                <w:spacing w:val="-8"/>
                <w:sz w:val="20"/>
              </w:rPr>
              <w:t xml:space="preserve"> </w:t>
            </w:r>
            <w:r w:rsidRPr="00150EDC">
              <w:rPr>
                <w:sz w:val="20"/>
              </w:rPr>
              <w:t>Act</w:t>
            </w:r>
            <w:r w:rsidRPr="00150EDC">
              <w:rPr>
                <w:spacing w:val="-7"/>
                <w:sz w:val="20"/>
              </w:rPr>
              <w:t xml:space="preserve"> </w:t>
            </w:r>
            <w:r w:rsidRPr="00150EDC">
              <w:rPr>
                <w:sz w:val="20"/>
              </w:rPr>
              <w:t>1976,</w:t>
            </w:r>
            <w:r w:rsidRPr="00150EDC">
              <w:rPr>
                <w:spacing w:val="-8"/>
                <w:sz w:val="20"/>
              </w:rPr>
              <w:t xml:space="preserve"> </w:t>
            </w:r>
            <w:r w:rsidRPr="00150EDC">
              <w:rPr>
                <w:spacing w:val="-5"/>
                <w:sz w:val="20"/>
              </w:rPr>
              <w:t>s2</w:t>
            </w:r>
          </w:p>
        </w:tc>
        <w:tc>
          <w:tcPr>
            <w:tcW w:w="7427" w:type="dxa"/>
          </w:tcPr>
          <w:p w14:paraId="1E7D3A09" w14:textId="77777777" w:rsidR="004C7180" w:rsidRPr="00150EDC" w:rsidRDefault="00CF0754">
            <w:pPr>
              <w:pStyle w:val="TableParagraph"/>
              <w:rPr>
                <w:sz w:val="20"/>
              </w:rPr>
            </w:pPr>
            <w:r w:rsidRPr="00150EDC">
              <w:rPr>
                <w:sz w:val="20"/>
              </w:rPr>
              <w:t>Procuring</w:t>
            </w:r>
            <w:r w:rsidRPr="00150EDC">
              <w:rPr>
                <w:spacing w:val="-3"/>
                <w:sz w:val="20"/>
              </w:rPr>
              <w:t xml:space="preserve"> </w:t>
            </w:r>
            <w:r w:rsidRPr="00150EDC">
              <w:rPr>
                <w:sz w:val="20"/>
              </w:rPr>
              <w:t>by</w:t>
            </w:r>
            <w:r w:rsidRPr="00150EDC">
              <w:rPr>
                <w:spacing w:val="-6"/>
                <w:sz w:val="20"/>
              </w:rPr>
              <w:t xml:space="preserve"> </w:t>
            </w:r>
            <w:r w:rsidRPr="00150EDC">
              <w:rPr>
                <w:sz w:val="20"/>
              </w:rPr>
              <w:t>threats,</w:t>
            </w:r>
            <w:r w:rsidRPr="00150EDC">
              <w:rPr>
                <w:spacing w:val="-7"/>
                <w:sz w:val="20"/>
              </w:rPr>
              <w:t xml:space="preserve"> </w:t>
            </w:r>
            <w:r w:rsidRPr="00150EDC">
              <w:rPr>
                <w:spacing w:val="-5"/>
                <w:sz w:val="20"/>
              </w:rPr>
              <w:t>etc</w:t>
            </w:r>
          </w:p>
        </w:tc>
      </w:tr>
      <w:tr w:rsidR="004569EE" w:rsidRPr="007D3144" w14:paraId="1FE379E8" w14:textId="77777777">
        <w:trPr>
          <w:trHeight w:val="255"/>
        </w:trPr>
        <w:tc>
          <w:tcPr>
            <w:tcW w:w="6517" w:type="dxa"/>
          </w:tcPr>
          <w:p w14:paraId="2FE28F0B" w14:textId="77777777" w:rsidR="004C7180" w:rsidRPr="00150EDC" w:rsidRDefault="00CF0754">
            <w:pPr>
              <w:pStyle w:val="TableParagraph"/>
              <w:spacing w:before="28"/>
              <w:rPr>
                <w:sz w:val="20"/>
              </w:rPr>
            </w:pPr>
            <w:r w:rsidRPr="00150EDC">
              <w:rPr>
                <w:sz w:val="20"/>
              </w:rPr>
              <w:t>Sexual</w:t>
            </w:r>
            <w:r w:rsidRPr="00150EDC">
              <w:rPr>
                <w:spacing w:val="-7"/>
                <w:sz w:val="20"/>
              </w:rPr>
              <w:t xml:space="preserve"> </w:t>
            </w:r>
            <w:r w:rsidRPr="00150EDC">
              <w:rPr>
                <w:sz w:val="20"/>
              </w:rPr>
              <w:t>Offences</w:t>
            </w:r>
            <w:r w:rsidRPr="00150EDC">
              <w:rPr>
                <w:spacing w:val="-3"/>
                <w:sz w:val="20"/>
              </w:rPr>
              <w:t xml:space="preserve"> </w:t>
            </w:r>
            <w:r w:rsidRPr="00150EDC">
              <w:rPr>
                <w:sz w:val="20"/>
              </w:rPr>
              <w:t>(Scotland)</w:t>
            </w:r>
            <w:r w:rsidRPr="00150EDC">
              <w:rPr>
                <w:spacing w:val="-8"/>
                <w:sz w:val="20"/>
              </w:rPr>
              <w:t xml:space="preserve"> </w:t>
            </w:r>
            <w:r w:rsidRPr="00150EDC">
              <w:rPr>
                <w:sz w:val="20"/>
              </w:rPr>
              <w:t>Act</w:t>
            </w:r>
            <w:r w:rsidRPr="00150EDC">
              <w:rPr>
                <w:spacing w:val="-7"/>
                <w:sz w:val="20"/>
              </w:rPr>
              <w:t xml:space="preserve"> </w:t>
            </w:r>
            <w:r w:rsidRPr="00150EDC">
              <w:rPr>
                <w:sz w:val="20"/>
              </w:rPr>
              <w:t>1976,</w:t>
            </w:r>
            <w:r w:rsidRPr="00150EDC">
              <w:rPr>
                <w:spacing w:val="-8"/>
                <w:sz w:val="20"/>
              </w:rPr>
              <w:t xml:space="preserve"> </w:t>
            </w:r>
            <w:r w:rsidRPr="00150EDC">
              <w:rPr>
                <w:spacing w:val="-5"/>
                <w:sz w:val="20"/>
              </w:rPr>
              <w:t>s2A</w:t>
            </w:r>
          </w:p>
        </w:tc>
        <w:tc>
          <w:tcPr>
            <w:tcW w:w="7427" w:type="dxa"/>
          </w:tcPr>
          <w:p w14:paraId="21965910" w14:textId="77777777" w:rsidR="004C7180" w:rsidRPr="00150EDC" w:rsidRDefault="00CF0754">
            <w:pPr>
              <w:pStyle w:val="TableParagraph"/>
              <w:spacing w:before="28"/>
              <w:rPr>
                <w:sz w:val="20"/>
              </w:rPr>
            </w:pPr>
            <w:r w:rsidRPr="00150EDC">
              <w:rPr>
                <w:spacing w:val="-2"/>
                <w:sz w:val="20"/>
              </w:rPr>
              <w:t>Incest</w:t>
            </w:r>
          </w:p>
        </w:tc>
      </w:tr>
      <w:tr w:rsidR="004569EE" w:rsidRPr="007D3144" w14:paraId="01FAC27A" w14:textId="77777777">
        <w:trPr>
          <w:trHeight w:val="255"/>
        </w:trPr>
        <w:tc>
          <w:tcPr>
            <w:tcW w:w="6517" w:type="dxa"/>
          </w:tcPr>
          <w:p w14:paraId="74C86A82" w14:textId="77777777" w:rsidR="004C7180" w:rsidRPr="00150EDC" w:rsidRDefault="00CF0754">
            <w:pPr>
              <w:pStyle w:val="TableParagraph"/>
              <w:rPr>
                <w:sz w:val="20"/>
              </w:rPr>
            </w:pPr>
            <w:r w:rsidRPr="00150EDC">
              <w:rPr>
                <w:sz w:val="20"/>
              </w:rPr>
              <w:t>Sexual</w:t>
            </w:r>
            <w:r w:rsidRPr="00150EDC">
              <w:rPr>
                <w:spacing w:val="-7"/>
                <w:sz w:val="20"/>
              </w:rPr>
              <w:t xml:space="preserve"> </w:t>
            </w:r>
            <w:r w:rsidRPr="00150EDC">
              <w:rPr>
                <w:sz w:val="20"/>
              </w:rPr>
              <w:t>Offences</w:t>
            </w:r>
            <w:r w:rsidRPr="00150EDC">
              <w:rPr>
                <w:spacing w:val="-3"/>
                <w:sz w:val="20"/>
              </w:rPr>
              <w:t xml:space="preserve"> </w:t>
            </w:r>
            <w:r w:rsidRPr="00150EDC">
              <w:rPr>
                <w:sz w:val="20"/>
              </w:rPr>
              <w:t>(Scotland)</w:t>
            </w:r>
            <w:r w:rsidRPr="00150EDC">
              <w:rPr>
                <w:spacing w:val="-8"/>
                <w:sz w:val="20"/>
              </w:rPr>
              <w:t xml:space="preserve"> </w:t>
            </w:r>
            <w:r w:rsidRPr="00150EDC">
              <w:rPr>
                <w:sz w:val="20"/>
              </w:rPr>
              <w:t>Act</w:t>
            </w:r>
            <w:r w:rsidRPr="00150EDC">
              <w:rPr>
                <w:spacing w:val="-7"/>
                <w:sz w:val="20"/>
              </w:rPr>
              <w:t xml:space="preserve"> </w:t>
            </w:r>
            <w:r w:rsidRPr="00150EDC">
              <w:rPr>
                <w:sz w:val="20"/>
              </w:rPr>
              <w:t>1976,</w:t>
            </w:r>
            <w:r w:rsidRPr="00150EDC">
              <w:rPr>
                <w:spacing w:val="-8"/>
                <w:sz w:val="20"/>
              </w:rPr>
              <w:t xml:space="preserve"> </w:t>
            </w:r>
            <w:r w:rsidRPr="00150EDC">
              <w:rPr>
                <w:spacing w:val="-5"/>
                <w:sz w:val="20"/>
              </w:rPr>
              <w:t>s2B</w:t>
            </w:r>
          </w:p>
        </w:tc>
        <w:tc>
          <w:tcPr>
            <w:tcW w:w="7427" w:type="dxa"/>
          </w:tcPr>
          <w:p w14:paraId="47AAE407" w14:textId="77777777" w:rsidR="004C7180" w:rsidRPr="00150EDC" w:rsidRDefault="00CF0754">
            <w:pPr>
              <w:pStyle w:val="TableParagraph"/>
              <w:rPr>
                <w:sz w:val="20"/>
              </w:rPr>
            </w:pPr>
            <w:r w:rsidRPr="00150EDC">
              <w:rPr>
                <w:sz w:val="20"/>
              </w:rPr>
              <w:t>Intercourse</w:t>
            </w:r>
            <w:r w:rsidRPr="00150EDC">
              <w:rPr>
                <w:spacing w:val="-9"/>
                <w:sz w:val="20"/>
              </w:rPr>
              <w:t xml:space="preserve"> </w:t>
            </w:r>
            <w:r w:rsidRPr="00150EDC">
              <w:rPr>
                <w:sz w:val="20"/>
              </w:rPr>
              <w:t>with</w:t>
            </w:r>
            <w:r w:rsidRPr="00150EDC">
              <w:rPr>
                <w:spacing w:val="-9"/>
                <w:sz w:val="20"/>
              </w:rPr>
              <w:t xml:space="preserve"> </w:t>
            </w:r>
            <w:r w:rsidRPr="00150EDC">
              <w:rPr>
                <w:sz w:val="20"/>
              </w:rPr>
              <w:t>step-</w:t>
            </w:r>
            <w:r w:rsidRPr="00150EDC">
              <w:rPr>
                <w:spacing w:val="-4"/>
                <w:sz w:val="20"/>
              </w:rPr>
              <w:t>child</w:t>
            </w:r>
          </w:p>
        </w:tc>
      </w:tr>
      <w:tr w:rsidR="004569EE" w:rsidRPr="007D3144" w14:paraId="5CA75C68" w14:textId="77777777">
        <w:trPr>
          <w:trHeight w:val="255"/>
        </w:trPr>
        <w:tc>
          <w:tcPr>
            <w:tcW w:w="6517" w:type="dxa"/>
          </w:tcPr>
          <w:p w14:paraId="0C03854F" w14:textId="77777777" w:rsidR="004C7180" w:rsidRPr="00150EDC" w:rsidRDefault="00CF0754">
            <w:pPr>
              <w:pStyle w:val="TableParagraph"/>
              <w:rPr>
                <w:sz w:val="20"/>
              </w:rPr>
            </w:pPr>
            <w:r w:rsidRPr="00150EDC">
              <w:rPr>
                <w:sz w:val="20"/>
              </w:rPr>
              <w:t>Sexual</w:t>
            </w:r>
            <w:r w:rsidRPr="00150EDC">
              <w:rPr>
                <w:spacing w:val="-7"/>
                <w:sz w:val="20"/>
              </w:rPr>
              <w:t xml:space="preserve"> </w:t>
            </w:r>
            <w:r w:rsidRPr="00150EDC">
              <w:rPr>
                <w:sz w:val="20"/>
              </w:rPr>
              <w:t>Offences</w:t>
            </w:r>
            <w:r w:rsidRPr="00150EDC">
              <w:rPr>
                <w:spacing w:val="-3"/>
                <w:sz w:val="20"/>
              </w:rPr>
              <w:t xml:space="preserve"> </w:t>
            </w:r>
            <w:r w:rsidRPr="00150EDC">
              <w:rPr>
                <w:sz w:val="20"/>
              </w:rPr>
              <w:t>(Scotland)</w:t>
            </w:r>
            <w:r w:rsidRPr="00150EDC">
              <w:rPr>
                <w:spacing w:val="-8"/>
                <w:sz w:val="20"/>
              </w:rPr>
              <w:t xml:space="preserve"> </w:t>
            </w:r>
            <w:r w:rsidRPr="00150EDC">
              <w:rPr>
                <w:sz w:val="20"/>
              </w:rPr>
              <w:t>Act</w:t>
            </w:r>
            <w:r w:rsidRPr="00150EDC">
              <w:rPr>
                <w:spacing w:val="-7"/>
                <w:sz w:val="20"/>
              </w:rPr>
              <w:t xml:space="preserve"> </w:t>
            </w:r>
            <w:r w:rsidRPr="00150EDC">
              <w:rPr>
                <w:sz w:val="20"/>
              </w:rPr>
              <w:t>1976,</w:t>
            </w:r>
            <w:r w:rsidRPr="00150EDC">
              <w:rPr>
                <w:spacing w:val="-8"/>
                <w:sz w:val="20"/>
              </w:rPr>
              <w:t xml:space="preserve"> </w:t>
            </w:r>
            <w:r w:rsidRPr="00150EDC">
              <w:rPr>
                <w:spacing w:val="-5"/>
                <w:sz w:val="20"/>
              </w:rPr>
              <w:t>s2C</w:t>
            </w:r>
          </w:p>
        </w:tc>
        <w:tc>
          <w:tcPr>
            <w:tcW w:w="7427" w:type="dxa"/>
          </w:tcPr>
          <w:p w14:paraId="7E1DEA02" w14:textId="77777777" w:rsidR="004C7180" w:rsidRPr="00150EDC" w:rsidRDefault="00CF0754">
            <w:pPr>
              <w:pStyle w:val="TableParagraph"/>
              <w:rPr>
                <w:sz w:val="20"/>
              </w:rPr>
            </w:pPr>
            <w:r w:rsidRPr="00150EDC">
              <w:rPr>
                <w:sz w:val="20"/>
              </w:rPr>
              <w:t>Intercourse</w:t>
            </w:r>
            <w:r w:rsidRPr="00150EDC">
              <w:rPr>
                <w:spacing w:val="-6"/>
                <w:sz w:val="20"/>
              </w:rPr>
              <w:t xml:space="preserve"> </w:t>
            </w:r>
            <w:r w:rsidRPr="00150EDC">
              <w:rPr>
                <w:sz w:val="20"/>
              </w:rPr>
              <w:t>of</w:t>
            </w:r>
            <w:r w:rsidRPr="00150EDC">
              <w:rPr>
                <w:spacing w:val="-5"/>
                <w:sz w:val="20"/>
              </w:rPr>
              <w:t xml:space="preserve"> </w:t>
            </w:r>
            <w:r w:rsidRPr="00150EDC">
              <w:rPr>
                <w:sz w:val="20"/>
              </w:rPr>
              <w:t>person</w:t>
            </w:r>
            <w:r w:rsidRPr="00150EDC">
              <w:rPr>
                <w:spacing w:val="-6"/>
                <w:sz w:val="20"/>
              </w:rPr>
              <w:t xml:space="preserve"> </w:t>
            </w:r>
            <w:r w:rsidRPr="00150EDC">
              <w:rPr>
                <w:sz w:val="20"/>
              </w:rPr>
              <w:t>in position</w:t>
            </w:r>
            <w:r w:rsidRPr="00150EDC">
              <w:rPr>
                <w:spacing w:val="-1"/>
                <w:sz w:val="20"/>
              </w:rPr>
              <w:t xml:space="preserve"> </w:t>
            </w:r>
            <w:r w:rsidRPr="00150EDC">
              <w:rPr>
                <w:sz w:val="20"/>
              </w:rPr>
              <w:t>of</w:t>
            </w:r>
            <w:r w:rsidRPr="00150EDC">
              <w:rPr>
                <w:spacing w:val="-5"/>
                <w:sz w:val="20"/>
              </w:rPr>
              <w:t xml:space="preserve"> </w:t>
            </w:r>
            <w:r w:rsidRPr="00150EDC">
              <w:rPr>
                <w:sz w:val="20"/>
              </w:rPr>
              <w:t>trust</w:t>
            </w:r>
            <w:r w:rsidRPr="00150EDC">
              <w:rPr>
                <w:spacing w:val="-6"/>
                <w:sz w:val="20"/>
              </w:rPr>
              <w:t xml:space="preserve"> </w:t>
            </w:r>
            <w:r w:rsidRPr="00150EDC">
              <w:rPr>
                <w:sz w:val="20"/>
              </w:rPr>
              <w:t>with</w:t>
            </w:r>
            <w:r w:rsidRPr="00150EDC">
              <w:rPr>
                <w:spacing w:val="-5"/>
                <w:sz w:val="20"/>
              </w:rPr>
              <w:t xml:space="preserve"> </w:t>
            </w:r>
            <w:r w:rsidRPr="00150EDC">
              <w:rPr>
                <w:sz w:val="20"/>
              </w:rPr>
              <w:t>child</w:t>
            </w:r>
            <w:r w:rsidRPr="00150EDC">
              <w:rPr>
                <w:spacing w:val="-1"/>
                <w:sz w:val="20"/>
              </w:rPr>
              <w:t xml:space="preserve"> </w:t>
            </w:r>
            <w:r w:rsidRPr="00150EDC">
              <w:rPr>
                <w:sz w:val="20"/>
              </w:rPr>
              <w:t>under</w:t>
            </w:r>
            <w:r w:rsidRPr="00150EDC">
              <w:rPr>
                <w:spacing w:val="-1"/>
                <w:sz w:val="20"/>
              </w:rPr>
              <w:t xml:space="preserve"> </w:t>
            </w:r>
            <w:r w:rsidRPr="00150EDC">
              <w:rPr>
                <w:spacing w:val="-5"/>
                <w:sz w:val="20"/>
              </w:rPr>
              <w:t>16</w:t>
            </w:r>
          </w:p>
        </w:tc>
      </w:tr>
      <w:tr w:rsidR="004569EE" w:rsidRPr="007D3144" w14:paraId="577092E7" w14:textId="77777777">
        <w:trPr>
          <w:trHeight w:val="255"/>
        </w:trPr>
        <w:tc>
          <w:tcPr>
            <w:tcW w:w="6517" w:type="dxa"/>
          </w:tcPr>
          <w:p w14:paraId="1B90DEEB" w14:textId="77777777" w:rsidR="004C7180" w:rsidRPr="00150EDC" w:rsidRDefault="00CF0754">
            <w:pPr>
              <w:pStyle w:val="TableParagraph"/>
              <w:rPr>
                <w:sz w:val="20"/>
              </w:rPr>
            </w:pPr>
            <w:r w:rsidRPr="00150EDC">
              <w:rPr>
                <w:sz w:val="20"/>
              </w:rPr>
              <w:t>Sexual</w:t>
            </w:r>
            <w:r w:rsidRPr="00150EDC">
              <w:rPr>
                <w:spacing w:val="-7"/>
                <w:sz w:val="20"/>
              </w:rPr>
              <w:t xml:space="preserve"> </w:t>
            </w:r>
            <w:r w:rsidRPr="00150EDC">
              <w:rPr>
                <w:sz w:val="20"/>
              </w:rPr>
              <w:t>Offences</w:t>
            </w:r>
            <w:r w:rsidRPr="00150EDC">
              <w:rPr>
                <w:spacing w:val="-3"/>
                <w:sz w:val="20"/>
              </w:rPr>
              <w:t xml:space="preserve"> </w:t>
            </w:r>
            <w:r w:rsidRPr="00150EDC">
              <w:rPr>
                <w:sz w:val="20"/>
              </w:rPr>
              <w:t>(Scotland)</w:t>
            </w:r>
            <w:r w:rsidRPr="00150EDC">
              <w:rPr>
                <w:spacing w:val="-8"/>
                <w:sz w:val="20"/>
              </w:rPr>
              <w:t xml:space="preserve"> </w:t>
            </w:r>
            <w:r w:rsidRPr="00150EDC">
              <w:rPr>
                <w:sz w:val="20"/>
              </w:rPr>
              <w:t>Act</w:t>
            </w:r>
            <w:r w:rsidRPr="00150EDC">
              <w:rPr>
                <w:spacing w:val="-7"/>
                <w:sz w:val="20"/>
              </w:rPr>
              <w:t xml:space="preserve"> </w:t>
            </w:r>
            <w:r w:rsidRPr="00150EDC">
              <w:rPr>
                <w:sz w:val="20"/>
              </w:rPr>
              <w:t>1976,</w:t>
            </w:r>
            <w:r w:rsidRPr="00150EDC">
              <w:rPr>
                <w:spacing w:val="-8"/>
                <w:sz w:val="20"/>
              </w:rPr>
              <w:t xml:space="preserve"> </w:t>
            </w:r>
            <w:r w:rsidRPr="00150EDC">
              <w:rPr>
                <w:spacing w:val="-5"/>
                <w:sz w:val="20"/>
              </w:rPr>
              <w:t>s3</w:t>
            </w:r>
          </w:p>
        </w:tc>
        <w:tc>
          <w:tcPr>
            <w:tcW w:w="7427" w:type="dxa"/>
          </w:tcPr>
          <w:p w14:paraId="1FC4AEBF" w14:textId="77777777" w:rsidR="004C7180" w:rsidRPr="00150EDC" w:rsidRDefault="00CF0754">
            <w:pPr>
              <w:pStyle w:val="TableParagraph"/>
              <w:rPr>
                <w:sz w:val="20"/>
              </w:rPr>
            </w:pPr>
            <w:r w:rsidRPr="00150EDC">
              <w:rPr>
                <w:sz w:val="20"/>
              </w:rPr>
              <w:t>Intercourse</w:t>
            </w:r>
            <w:r w:rsidRPr="00150EDC">
              <w:rPr>
                <w:spacing w:val="-7"/>
                <w:sz w:val="20"/>
              </w:rPr>
              <w:t xml:space="preserve"> </w:t>
            </w:r>
            <w:r w:rsidRPr="00150EDC">
              <w:rPr>
                <w:sz w:val="20"/>
              </w:rPr>
              <w:t>with</w:t>
            </w:r>
            <w:r w:rsidRPr="00150EDC">
              <w:rPr>
                <w:spacing w:val="-3"/>
                <w:sz w:val="20"/>
              </w:rPr>
              <w:t xml:space="preserve"> </w:t>
            </w:r>
            <w:r w:rsidRPr="00150EDC">
              <w:rPr>
                <w:sz w:val="20"/>
              </w:rPr>
              <w:t>girl</w:t>
            </w:r>
            <w:r w:rsidRPr="00150EDC">
              <w:rPr>
                <w:spacing w:val="-5"/>
                <w:sz w:val="20"/>
              </w:rPr>
              <w:t xml:space="preserve"> </w:t>
            </w:r>
            <w:r w:rsidRPr="00150EDC">
              <w:rPr>
                <w:sz w:val="20"/>
              </w:rPr>
              <w:t>under</w:t>
            </w:r>
            <w:r w:rsidRPr="00150EDC">
              <w:rPr>
                <w:spacing w:val="-2"/>
                <w:sz w:val="20"/>
              </w:rPr>
              <w:t xml:space="preserve"> </w:t>
            </w:r>
            <w:r w:rsidRPr="00150EDC">
              <w:rPr>
                <w:spacing w:val="-5"/>
                <w:sz w:val="20"/>
              </w:rPr>
              <w:t>13</w:t>
            </w:r>
          </w:p>
        </w:tc>
      </w:tr>
      <w:tr w:rsidR="004569EE" w:rsidRPr="007D3144" w14:paraId="5A658B16" w14:textId="77777777">
        <w:trPr>
          <w:trHeight w:val="255"/>
        </w:trPr>
        <w:tc>
          <w:tcPr>
            <w:tcW w:w="6517" w:type="dxa"/>
          </w:tcPr>
          <w:p w14:paraId="14C086A1" w14:textId="77777777" w:rsidR="004C7180" w:rsidRPr="00150EDC" w:rsidRDefault="00CF0754">
            <w:pPr>
              <w:pStyle w:val="TableParagraph"/>
              <w:spacing w:before="28"/>
              <w:rPr>
                <w:sz w:val="20"/>
              </w:rPr>
            </w:pPr>
            <w:r w:rsidRPr="00150EDC">
              <w:rPr>
                <w:sz w:val="20"/>
              </w:rPr>
              <w:t>Sexual</w:t>
            </w:r>
            <w:r w:rsidRPr="00150EDC">
              <w:rPr>
                <w:spacing w:val="-7"/>
                <w:sz w:val="20"/>
              </w:rPr>
              <w:t xml:space="preserve"> </w:t>
            </w:r>
            <w:r w:rsidRPr="00150EDC">
              <w:rPr>
                <w:sz w:val="20"/>
              </w:rPr>
              <w:t>Offences</w:t>
            </w:r>
            <w:r w:rsidRPr="00150EDC">
              <w:rPr>
                <w:spacing w:val="-3"/>
                <w:sz w:val="20"/>
              </w:rPr>
              <w:t xml:space="preserve"> </w:t>
            </w:r>
            <w:r w:rsidRPr="00150EDC">
              <w:rPr>
                <w:sz w:val="20"/>
              </w:rPr>
              <w:t>(Scotland)</w:t>
            </w:r>
            <w:r w:rsidRPr="00150EDC">
              <w:rPr>
                <w:spacing w:val="-8"/>
                <w:sz w:val="20"/>
              </w:rPr>
              <w:t xml:space="preserve"> </w:t>
            </w:r>
            <w:r w:rsidRPr="00150EDC">
              <w:rPr>
                <w:sz w:val="20"/>
              </w:rPr>
              <w:t>Act</w:t>
            </w:r>
            <w:r w:rsidRPr="00150EDC">
              <w:rPr>
                <w:spacing w:val="-7"/>
                <w:sz w:val="20"/>
              </w:rPr>
              <w:t xml:space="preserve"> </w:t>
            </w:r>
            <w:r w:rsidRPr="00150EDC">
              <w:rPr>
                <w:sz w:val="20"/>
              </w:rPr>
              <w:t>1976,</w:t>
            </w:r>
            <w:r w:rsidRPr="00150EDC">
              <w:rPr>
                <w:spacing w:val="-8"/>
                <w:sz w:val="20"/>
              </w:rPr>
              <w:t xml:space="preserve"> </w:t>
            </w:r>
            <w:r w:rsidRPr="00150EDC">
              <w:rPr>
                <w:spacing w:val="-5"/>
                <w:sz w:val="20"/>
              </w:rPr>
              <w:t>s4</w:t>
            </w:r>
          </w:p>
        </w:tc>
        <w:tc>
          <w:tcPr>
            <w:tcW w:w="7427" w:type="dxa"/>
          </w:tcPr>
          <w:p w14:paraId="38F998BE" w14:textId="77777777" w:rsidR="004C7180" w:rsidRPr="00150EDC" w:rsidRDefault="00CF0754">
            <w:pPr>
              <w:pStyle w:val="TableParagraph"/>
              <w:spacing w:before="28"/>
              <w:rPr>
                <w:sz w:val="20"/>
              </w:rPr>
            </w:pPr>
            <w:r w:rsidRPr="00150EDC">
              <w:rPr>
                <w:sz w:val="20"/>
              </w:rPr>
              <w:t>Intercourse</w:t>
            </w:r>
            <w:r w:rsidRPr="00150EDC">
              <w:rPr>
                <w:spacing w:val="-6"/>
                <w:sz w:val="20"/>
              </w:rPr>
              <w:t xml:space="preserve"> </w:t>
            </w:r>
            <w:r w:rsidRPr="00150EDC">
              <w:rPr>
                <w:sz w:val="20"/>
              </w:rPr>
              <w:t>with</w:t>
            </w:r>
            <w:r w:rsidRPr="00150EDC">
              <w:rPr>
                <w:spacing w:val="-3"/>
                <w:sz w:val="20"/>
              </w:rPr>
              <w:t xml:space="preserve"> </w:t>
            </w:r>
            <w:r w:rsidRPr="00150EDC">
              <w:rPr>
                <w:sz w:val="20"/>
              </w:rPr>
              <w:t>girl</w:t>
            </w:r>
            <w:r w:rsidRPr="00150EDC">
              <w:rPr>
                <w:spacing w:val="-4"/>
                <w:sz w:val="20"/>
              </w:rPr>
              <w:t xml:space="preserve"> </w:t>
            </w:r>
            <w:r w:rsidRPr="00150EDC">
              <w:rPr>
                <w:sz w:val="20"/>
              </w:rPr>
              <w:t>between</w:t>
            </w:r>
            <w:r w:rsidRPr="00150EDC">
              <w:rPr>
                <w:spacing w:val="-1"/>
                <w:sz w:val="20"/>
              </w:rPr>
              <w:t xml:space="preserve"> </w:t>
            </w:r>
            <w:r w:rsidRPr="00150EDC">
              <w:rPr>
                <w:sz w:val="20"/>
              </w:rPr>
              <w:t>13</w:t>
            </w:r>
            <w:r w:rsidRPr="00150EDC">
              <w:rPr>
                <w:spacing w:val="-6"/>
                <w:sz w:val="20"/>
              </w:rPr>
              <w:t xml:space="preserve"> </w:t>
            </w:r>
            <w:r w:rsidRPr="00150EDC">
              <w:rPr>
                <w:sz w:val="20"/>
              </w:rPr>
              <w:t>and</w:t>
            </w:r>
            <w:r w:rsidRPr="00150EDC">
              <w:rPr>
                <w:spacing w:val="-6"/>
                <w:sz w:val="20"/>
              </w:rPr>
              <w:t xml:space="preserve"> </w:t>
            </w:r>
            <w:r w:rsidRPr="00150EDC">
              <w:rPr>
                <w:spacing w:val="-5"/>
                <w:sz w:val="20"/>
              </w:rPr>
              <w:t>16</w:t>
            </w:r>
          </w:p>
        </w:tc>
      </w:tr>
    </w:tbl>
    <w:p w14:paraId="0495B193" w14:textId="77777777" w:rsidR="004C7180" w:rsidRPr="00150EDC" w:rsidRDefault="004C7180">
      <w:pPr>
        <w:rPr>
          <w:sz w:val="20"/>
        </w:rPr>
        <w:sectPr w:rsidR="004C7180" w:rsidRPr="00150EDC">
          <w:footerReference w:type="default" r:id="rId146"/>
          <w:pgSz w:w="16840" w:h="11910" w:orient="landscape"/>
          <w:pgMar w:top="1340" w:right="1320" w:bottom="280" w:left="1340" w:header="0" w:footer="0" w:gutter="0"/>
          <w:cols w:space="720"/>
        </w:sectPr>
      </w:pPr>
    </w:p>
    <w:p w14:paraId="7DC9FB10" w14:textId="77777777" w:rsidR="004C7180" w:rsidRPr="00150EDC" w:rsidRDefault="004C7180">
      <w:pPr>
        <w:pStyle w:val="BodyText"/>
        <w:spacing w:before="3"/>
        <w:rPr>
          <w:sz w:val="8"/>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517"/>
        <w:gridCol w:w="7427"/>
      </w:tblGrid>
      <w:tr w:rsidR="004569EE" w:rsidRPr="007D3144" w14:paraId="77C37830" w14:textId="77777777">
        <w:trPr>
          <w:trHeight w:val="254"/>
        </w:trPr>
        <w:tc>
          <w:tcPr>
            <w:tcW w:w="6517" w:type="dxa"/>
          </w:tcPr>
          <w:p w14:paraId="48B18A86" w14:textId="77777777" w:rsidR="004C7180" w:rsidRPr="00150EDC" w:rsidRDefault="00CF0754">
            <w:pPr>
              <w:pStyle w:val="TableParagraph"/>
              <w:rPr>
                <w:sz w:val="20"/>
              </w:rPr>
            </w:pPr>
            <w:r w:rsidRPr="00150EDC">
              <w:rPr>
                <w:sz w:val="20"/>
              </w:rPr>
              <w:t>Sexual</w:t>
            </w:r>
            <w:r w:rsidRPr="00150EDC">
              <w:rPr>
                <w:spacing w:val="-7"/>
                <w:sz w:val="20"/>
              </w:rPr>
              <w:t xml:space="preserve"> </w:t>
            </w:r>
            <w:r w:rsidRPr="00150EDC">
              <w:rPr>
                <w:sz w:val="20"/>
              </w:rPr>
              <w:t>Offences</w:t>
            </w:r>
            <w:r w:rsidRPr="00150EDC">
              <w:rPr>
                <w:spacing w:val="-3"/>
                <w:sz w:val="20"/>
              </w:rPr>
              <w:t xml:space="preserve"> </w:t>
            </w:r>
            <w:r w:rsidRPr="00150EDC">
              <w:rPr>
                <w:sz w:val="20"/>
              </w:rPr>
              <w:t>(Scotland)</w:t>
            </w:r>
            <w:r w:rsidRPr="00150EDC">
              <w:rPr>
                <w:spacing w:val="-8"/>
                <w:sz w:val="20"/>
              </w:rPr>
              <w:t xml:space="preserve"> </w:t>
            </w:r>
            <w:r w:rsidRPr="00150EDC">
              <w:rPr>
                <w:sz w:val="20"/>
              </w:rPr>
              <w:t>Act</w:t>
            </w:r>
            <w:r w:rsidRPr="00150EDC">
              <w:rPr>
                <w:spacing w:val="-7"/>
                <w:sz w:val="20"/>
              </w:rPr>
              <w:t xml:space="preserve"> </w:t>
            </w:r>
            <w:r w:rsidRPr="00150EDC">
              <w:rPr>
                <w:sz w:val="20"/>
              </w:rPr>
              <w:t>1976,</w:t>
            </w:r>
            <w:r w:rsidRPr="00150EDC">
              <w:rPr>
                <w:spacing w:val="-8"/>
                <w:sz w:val="20"/>
              </w:rPr>
              <w:t xml:space="preserve"> </w:t>
            </w:r>
            <w:r w:rsidRPr="00150EDC">
              <w:rPr>
                <w:spacing w:val="-5"/>
                <w:sz w:val="20"/>
              </w:rPr>
              <w:t>s5</w:t>
            </w:r>
          </w:p>
        </w:tc>
        <w:tc>
          <w:tcPr>
            <w:tcW w:w="7427" w:type="dxa"/>
          </w:tcPr>
          <w:p w14:paraId="5E1C1E4E" w14:textId="77777777" w:rsidR="004C7180" w:rsidRPr="00150EDC" w:rsidRDefault="00CF0754">
            <w:pPr>
              <w:pStyle w:val="TableParagraph"/>
              <w:rPr>
                <w:sz w:val="20"/>
              </w:rPr>
            </w:pPr>
            <w:r w:rsidRPr="00150EDC">
              <w:rPr>
                <w:sz w:val="20"/>
              </w:rPr>
              <w:t>Indecent</w:t>
            </w:r>
            <w:r w:rsidRPr="00150EDC">
              <w:rPr>
                <w:spacing w:val="-2"/>
                <w:sz w:val="20"/>
              </w:rPr>
              <w:t xml:space="preserve"> </w:t>
            </w:r>
            <w:r w:rsidRPr="00150EDC">
              <w:rPr>
                <w:sz w:val="20"/>
              </w:rPr>
              <w:t>behaviour</w:t>
            </w:r>
            <w:r w:rsidRPr="00150EDC">
              <w:rPr>
                <w:spacing w:val="-7"/>
                <w:sz w:val="20"/>
              </w:rPr>
              <w:t xml:space="preserve"> </w:t>
            </w:r>
            <w:r w:rsidRPr="00150EDC">
              <w:rPr>
                <w:sz w:val="20"/>
              </w:rPr>
              <w:t>towards</w:t>
            </w:r>
            <w:r w:rsidRPr="00150EDC">
              <w:rPr>
                <w:spacing w:val="-1"/>
                <w:sz w:val="20"/>
              </w:rPr>
              <w:t xml:space="preserve"> </w:t>
            </w:r>
            <w:r w:rsidRPr="00150EDC">
              <w:rPr>
                <w:sz w:val="20"/>
              </w:rPr>
              <w:t>girl</w:t>
            </w:r>
            <w:r w:rsidRPr="00150EDC">
              <w:rPr>
                <w:spacing w:val="-5"/>
                <w:sz w:val="20"/>
              </w:rPr>
              <w:t xml:space="preserve"> </w:t>
            </w:r>
            <w:r w:rsidRPr="00150EDC">
              <w:rPr>
                <w:sz w:val="20"/>
              </w:rPr>
              <w:t>between</w:t>
            </w:r>
            <w:r w:rsidRPr="00150EDC">
              <w:rPr>
                <w:spacing w:val="-3"/>
                <w:sz w:val="20"/>
              </w:rPr>
              <w:t xml:space="preserve"> </w:t>
            </w:r>
            <w:r w:rsidRPr="00150EDC">
              <w:rPr>
                <w:sz w:val="20"/>
              </w:rPr>
              <w:t>12</w:t>
            </w:r>
            <w:r w:rsidRPr="00150EDC">
              <w:rPr>
                <w:spacing w:val="-7"/>
                <w:sz w:val="20"/>
              </w:rPr>
              <w:t xml:space="preserve"> </w:t>
            </w:r>
            <w:r w:rsidRPr="00150EDC">
              <w:rPr>
                <w:sz w:val="20"/>
              </w:rPr>
              <w:t>and</w:t>
            </w:r>
            <w:r w:rsidRPr="00150EDC">
              <w:rPr>
                <w:spacing w:val="-7"/>
                <w:sz w:val="20"/>
              </w:rPr>
              <w:t xml:space="preserve"> </w:t>
            </w:r>
            <w:r w:rsidRPr="00150EDC">
              <w:rPr>
                <w:spacing w:val="-5"/>
                <w:sz w:val="20"/>
              </w:rPr>
              <w:t>16</w:t>
            </w:r>
          </w:p>
        </w:tc>
      </w:tr>
      <w:tr w:rsidR="004569EE" w:rsidRPr="007D3144" w14:paraId="10A56CD0" w14:textId="77777777">
        <w:trPr>
          <w:trHeight w:val="510"/>
        </w:trPr>
        <w:tc>
          <w:tcPr>
            <w:tcW w:w="6517" w:type="dxa"/>
          </w:tcPr>
          <w:p w14:paraId="20E6D22F" w14:textId="77777777" w:rsidR="004C7180" w:rsidRPr="00150EDC" w:rsidRDefault="004C7180">
            <w:pPr>
              <w:pStyle w:val="TableParagraph"/>
              <w:spacing w:before="7" w:line="240" w:lineRule="auto"/>
              <w:ind w:left="0"/>
              <w:rPr>
                <w:sz w:val="24"/>
              </w:rPr>
            </w:pPr>
          </w:p>
          <w:p w14:paraId="521A1B95" w14:textId="77777777" w:rsidR="004C7180" w:rsidRPr="00150EDC" w:rsidRDefault="00CF0754">
            <w:pPr>
              <w:pStyle w:val="TableParagraph"/>
              <w:spacing w:before="0"/>
              <w:rPr>
                <w:sz w:val="20"/>
              </w:rPr>
            </w:pPr>
            <w:r w:rsidRPr="00150EDC">
              <w:rPr>
                <w:sz w:val="20"/>
              </w:rPr>
              <w:t>Sexual</w:t>
            </w:r>
            <w:r w:rsidRPr="00150EDC">
              <w:rPr>
                <w:spacing w:val="-7"/>
                <w:sz w:val="20"/>
              </w:rPr>
              <w:t xml:space="preserve"> </w:t>
            </w:r>
            <w:r w:rsidRPr="00150EDC">
              <w:rPr>
                <w:sz w:val="20"/>
              </w:rPr>
              <w:t>Offences</w:t>
            </w:r>
            <w:r w:rsidRPr="00150EDC">
              <w:rPr>
                <w:spacing w:val="-3"/>
                <w:sz w:val="20"/>
              </w:rPr>
              <w:t xml:space="preserve"> </w:t>
            </w:r>
            <w:r w:rsidRPr="00150EDC">
              <w:rPr>
                <w:sz w:val="20"/>
              </w:rPr>
              <w:t>(Scotland)</w:t>
            </w:r>
            <w:r w:rsidRPr="00150EDC">
              <w:rPr>
                <w:spacing w:val="-8"/>
                <w:sz w:val="20"/>
              </w:rPr>
              <w:t xml:space="preserve"> </w:t>
            </w:r>
            <w:r w:rsidRPr="00150EDC">
              <w:rPr>
                <w:sz w:val="20"/>
              </w:rPr>
              <w:t>Act</w:t>
            </w:r>
            <w:r w:rsidRPr="00150EDC">
              <w:rPr>
                <w:spacing w:val="-7"/>
                <w:sz w:val="20"/>
              </w:rPr>
              <w:t xml:space="preserve"> </w:t>
            </w:r>
            <w:r w:rsidRPr="00150EDC">
              <w:rPr>
                <w:sz w:val="20"/>
              </w:rPr>
              <w:t>1976,</w:t>
            </w:r>
            <w:r w:rsidRPr="00150EDC">
              <w:rPr>
                <w:spacing w:val="-8"/>
                <w:sz w:val="20"/>
              </w:rPr>
              <w:t xml:space="preserve"> </w:t>
            </w:r>
            <w:r w:rsidRPr="00150EDC">
              <w:rPr>
                <w:spacing w:val="-5"/>
                <w:sz w:val="20"/>
              </w:rPr>
              <w:t>s7</w:t>
            </w:r>
          </w:p>
        </w:tc>
        <w:tc>
          <w:tcPr>
            <w:tcW w:w="7427" w:type="dxa"/>
          </w:tcPr>
          <w:p w14:paraId="4EA0FA0C" w14:textId="77777777" w:rsidR="004C7180" w:rsidRPr="00150EDC" w:rsidRDefault="00CF0754">
            <w:pPr>
              <w:pStyle w:val="TableParagraph"/>
              <w:spacing w:before="33" w:line="230" w:lineRule="atLeast"/>
              <w:rPr>
                <w:sz w:val="20"/>
              </w:rPr>
            </w:pPr>
            <w:r w:rsidRPr="00150EDC">
              <w:rPr>
                <w:sz w:val="20"/>
              </w:rPr>
              <w:t>Gross</w:t>
            </w:r>
            <w:r w:rsidRPr="00150EDC">
              <w:rPr>
                <w:spacing w:val="-5"/>
                <w:sz w:val="20"/>
              </w:rPr>
              <w:t xml:space="preserve"> </w:t>
            </w:r>
            <w:r w:rsidRPr="00150EDC">
              <w:rPr>
                <w:sz w:val="20"/>
              </w:rPr>
              <w:t>indecency</w:t>
            </w:r>
            <w:r w:rsidRPr="00150EDC">
              <w:rPr>
                <w:spacing w:val="-5"/>
                <w:sz w:val="20"/>
              </w:rPr>
              <w:t xml:space="preserve"> </w:t>
            </w:r>
            <w:r w:rsidRPr="00150EDC">
              <w:rPr>
                <w:sz w:val="20"/>
              </w:rPr>
              <w:t>between</w:t>
            </w:r>
            <w:r w:rsidRPr="00150EDC">
              <w:rPr>
                <w:spacing w:val="-1"/>
                <w:sz w:val="20"/>
              </w:rPr>
              <w:t xml:space="preserve"> </w:t>
            </w:r>
            <w:r w:rsidRPr="00150EDC">
              <w:rPr>
                <w:sz w:val="20"/>
              </w:rPr>
              <w:t>males,</w:t>
            </w:r>
            <w:r w:rsidRPr="00150EDC">
              <w:rPr>
                <w:spacing w:val="-5"/>
                <w:sz w:val="20"/>
              </w:rPr>
              <w:t xml:space="preserve"> </w:t>
            </w:r>
            <w:r w:rsidRPr="00150EDC">
              <w:rPr>
                <w:sz w:val="20"/>
              </w:rPr>
              <w:t>where</w:t>
            </w:r>
            <w:r w:rsidRPr="00150EDC">
              <w:rPr>
                <w:spacing w:val="-6"/>
                <w:sz w:val="20"/>
              </w:rPr>
              <w:t xml:space="preserve"> </w:t>
            </w:r>
            <w:r w:rsidRPr="00150EDC">
              <w:rPr>
                <w:sz w:val="20"/>
              </w:rPr>
              <w:t>the</w:t>
            </w:r>
            <w:r w:rsidRPr="00150EDC">
              <w:rPr>
                <w:spacing w:val="-6"/>
                <w:sz w:val="20"/>
              </w:rPr>
              <w:t xml:space="preserve"> </w:t>
            </w:r>
            <w:r w:rsidRPr="00150EDC">
              <w:rPr>
                <w:sz w:val="20"/>
              </w:rPr>
              <w:t>person</w:t>
            </w:r>
            <w:r w:rsidRPr="00150EDC">
              <w:rPr>
                <w:spacing w:val="-6"/>
                <w:sz w:val="20"/>
              </w:rPr>
              <w:t xml:space="preserve"> </w:t>
            </w:r>
            <w:r w:rsidRPr="00150EDC">
              <w:rPr>
                <w:sz w:val="20"/>
              </w:rPr>
              <w:t>with</w:t>
            </w:r>
            <w:r w:rsidRPr="00150EDC">
              <w:rPr>
                <w:spacing w:val="-1"/>
                <w:sz w:val="20"/>
              </w:rPr>
              <w:t xml:space="preserve"> </w:t>
            </w:r>
            <w:r w:rsidRPr="00150EDC">
              <w:rPr>
                <w:sz w:val="20"/>
              </w:rPr>
              <w:t>whom</w:t>
            </w:r>
            <w:r w:rsidRPr="00150EDC">
              <w:rPr>
                <w:spacing w:val="-6"/>
                <w:sz w:val="20"/>
              </w:rPr>
              <w:t xml:space="preserve"> </w:t>
            </w:r>
            <w:r w:rsidRPr="00150EDC">
              <w:rPr>
                <w:sz w:val="20"/>
              </w:rPr>
              <w:t>the</w:t>
            </w:r>
            <w:r w:rsidRPr="00150EDC">
              <w:rPr>
                <w:spacing w:val="-1"/>
                <w:sz w:val="20"/>
              </w:rPr>
              <w:t xml:space="preserve"> </w:t>
            </w:r>
            <w:r w:rsidRPr="00150EDC">
              <w:rPr>
                <w:sz w:val="20"/>
              </w:rPr>
              <w:t>offence</w:t>
            </w:r>
            <w:r w:rsidRPr="00150EDC">
              <w:rPr>
                <w:spacing w:val="-6"/>
                <w:sz w:val="20"/>
              </w:rPr>
              <w:t xml:space="preserve"> </w:t>
            </w:r>
            <w:r w:rsidRPr="00150EDC">
              <w:rPr>
                <w:sz w:val="20"/>
              </w:rPr>
              <w:t>was committed was under the age of 16 or did not consent to the act</w:t>
            </w:r>
          </w:p>
        </w:tc>
      </w:tr>
      <w:tr w:rsidR="004569EE" w:rsidRPr="007D3144" w14:paraId="7009CDC6" w14:textId="77777777">
        <w:trPr>
          <w:trHeight w:val="255"/>
        </w:trPr>
        <w:tc>
          <w:tcPr>
            <w:tcW w:w="6517" w:type="dxa"/>
          </w:tcPr>
          <w:p w14:paraId="354C21DC" w14:textId="77777777" w:rsidR="004C7180" w:rsidRPr="00150EDC" w:rsidRDefault="00CF0754">
            <w:pPr>
              <w:pStyle w:val="TableParagraph"/>
              <w:rPr>
                <w:sz w:val="20"/>
              </w:rPr>
            </w:pPr>
            <w:r w:rsidRPr="00150EDC">
              <w:rPr>
                <w:sz w:val="20"/>
              </w:rPr>
              <w:t>Sexual</w:t>
            </w:r>
            <w:r w:rsidRPr="00150EDC">
              <w:rPr>
                <w:spacing w:val="-7"/>
                <w:sz w:val="20"/>
              </w:rPr>
              <w:t xml:space="preserve"> </w:t>
            </w:r>
            <w:r w:rsidRPr="00150EDC">
              <w:rPr>
                <w:sz w:val="20"/>
              </w:rPr>
              <w:t>Offences</w:t>
            </w:r>
            <w:r w:rsidRPr="00150EDC">
              <w:rPr>
                <w:spacing w:val="-3"/>
                <w:sz w:val="20"/>
              </w:rPr>
              <w:t xml:space="preserve"> </w:t>
            </w:r>
            <w:r w:rsidRPr="00150EDC">
              <w:rPr>
                <w:sz w:val="20"/>
              </w:rPr>
              <w:t>(Scotland)</w:t>
            </w:r>
            <w:r w:rsidRPr="00150EDC">
              <w:rPr>
                <w:spacing w:val="-8"/>
                <w:sz w:val="20"/>
              </w:rPr>
              <w:t xml:space="preserve"> </w:t>
            </w:r>
            <w:r w:rsidRPr="00150EDC">
              <w:rPr>
                <w:sz w:val="20"/>
              </w:rPr>
              <w:t>Act</w:t>
            </w:r>
            <w:r w:rsidRPr="00150EDC">
              <w:rPr>
                <w:spacing w:val="-7"/>
                <w:sz w:val="20"/>
              </w:rPr>
              <w:t xml:space="preserve"> </w:t>
            </w:r>
            <w:r w:rsidRPr="00150EDC">
              <w:rPr>
                <w:sz w:val="20"/>
              </w:rPr>
              <w:t>1976,</w:t>
            </w:r>
            <w:r w:rsidRPr="00150EDC">
              <w:rPr>
                <w:spacing w:val="-8"/>
                <w:sz w:val="20"/>
              </w:rPr>
              <w:t xml:space="preserve"> </w:t>
            </w:r>
            <w:r w:rsidRPr="00150EDC">
              <w:rPr>
                <w:spacing w:val="-5"/>
                <w:sz w:val="20"/>
              </w:rPr>
              <w:t>s8</w:t>
            </w:r>
          </w:p>
        </w:tc>
        <w:tc>
          <w:tcPr>
            <w:tcW w:w="7427" w:type="dxa"/>
          </w:tcPr>
          <w:p w14:paraId="44BBB489" w14:textId="77777777" w:rsidR="004C7180" w:rsidRPr="00150EDC" w:rsidRDefault="00CF0754">
            <w:pPr>
              <w:pStyle w:val="TableParagraph"/>
              <w:rPr>
                <w:sz w:val="20"/>
              </w:rPr>
            </w:pPr>
            <w:r w:rsidRPr="00150EDC">
              <w:rPr>
                <w:sz w:val="20"/>
              </w:rPr>
              <w:t>Abduction</w:t>
            </w:r>
            <w:r w:rsidRPr="00150EDC">
              <w:rPr>
                <w:spacing w:val="-6"/>
                <w:sz w:val="20"/>
              </w:rPr>
              <w:t xml:space="preserve"> </w:t>
            </w:r>
            <w:r w:rsidRPr="00150EDC">
              <w:rPr>
                <w:sz w:val="20"/>
              </w:rPr>
              <w:t>of girl</w:t>
            </w:r>
            <w:r w:rsidRPr="00150EDC">
              <w:rPr>
                <w:spacing w:val="-3"/>
                <w:sz w:val="20"/>
              </w:rPr>
              <w:t xml:space="preserve"> </w:t>
            </w:r>
            <w:r w:rsidRPr="00150EDC">
              <w:rPr>
                <w:sz w:val="20"/>
              </w:rPr>
              <w:t>under</w:t>
            </w:r>
            <w:r w:rsidRPr="00150EDC">
              <w:rPr>
                <w:spacing w:val="-2"/>
                <w:sz w:val="20"/>
              </w:rPr>
              <w:t xml:space="preserve"> </w:t>
            </w:r>
            <w:r w:rsidRPr="00150EDC">
              <w:rPr>
                <w:sz w:val="20"/>
              </w:rPr>
              <w:t>18</w:t>
            </w:r>
            <w:r w:rsidRPr="00150EDC">
              <w:rPr>
                <w:spacing w:val="-5"/>
                <w:sz w:val="20"/>
              </w:rPr>
              <w:t xml:space="preserve"> </w:t>
            </w:r>
            <w:r w:rsidRPr="00150EDC">
              <w:rPr>
                <w:sz w:val="20"/>
              </w:rPr>
              <w:t>with</w:t>
            </w:r>
            <w:r w:rsidRPr="00150EDC">
              <w:rPr>
                <w:spacing w:val="-5"/>
                <w:sz w:val="20"/>
              </w:rPr>
              <w:t xml:space="preserve"> </w:t>
            </w:r>
            <w:r w:rsidRPr="00150EDC">
              <w:rPr>
                <w:sz w:val="20"/>
              </w:rPr>
              <w:t>intent</w:t>
            </w:r>
            <w:r w:rsidRPr="00150EDC">
              <w:rPr>
                <w:spacing w:val="-5"/>
                <w:sz w:val="20"/>
              </w:rPr>
              <w:t xml:space="preserve"> </w:t>
            </w:r>
            <w:r w:rsidRPr="00150EDC">
              <w:rPr>
                <w:sz w:val="20"/>
              </w:rPr>
              <w:t>to</w:t>
            </w:r>
            <w:r w:rsidRPr="00150EDC">
              <w:rPr>
                <w:spacing w:val="-5"/>
                <w:sz w:val="20"/>
              </w:rPr>
              <w:t xml:space="preserve"> </w:t>
            </w:r>
            <w:r w:rsidRPr="00150EDC">
              <w:rPr>
                <w:sz w:val="20"/>
              </w:rPr>
              <w:t>have sexual</w:t>
            </w:r>
            <w:r w:rsidRPr="00150EDC">
              <w:rPr>
                <w:spacing w:val="-4"/>
                <w:sz w:val="20"/>
              </w:rPr>
              <w:t xml:space="preserve"> </w:t>
            </w:r>
            <w:r w:rsidRPr="00150EDC">
              <w:rPr>
                <w:spacing w:val="-2"/>
                <w:sz w:val="20"/>
              </w:rPr>
              <w:t>intercourse</w:t>
            </w:r>
          </w:p>
        </w:tc>
      </w:tr>
      <w:tr w:rsidR="004569EE" w:rsidRPr="007D3144" w14:paraId="3FD4FD9F" w14:textId="77777777">
        <w:trPr>
          <w:trHeight w:val="255"/>
        </w:trPr>
        <w:tc>
          <w:tcPr>
            <w:tcW w:w="6517" w:type="dxa"/>
          </w:tcPr>
          <w:p w14:paraId="4328153F" w14:textId="77777777" w:rsidR="004C7180" w:rsidRPr="00150EDC" w:rsidRDefault="00CF0754">
            <w:pPr>
              <w:pStyle w:val="TableParagraph"/>
              <w:rPr>
                <w:sz w:val="20"/>
              </w:rPr>
            </w:pPr>
            <w:r w:rsidRPr="00150EDC">
              <w:rPr>
                <w:sz w:val="20"/>
              </w:rPr>
              <w:t>Sexual</w:t>
            </w:r>
            <w:r w:rsidRPr="00150EDC">
              <w:rPr>
                <w:spacing w:val="-7"/>
                <w:sz w:val="20"/>
              </w:rPr>
              <w:t xml:space="preserve"> </w:t>
            </w:r>
            <w:r w:rsidRPr="00150EDC">
              <w:rPr>
                <w:sz w:val="20"/>
              </w:rPr>
              <w:t>Offences</w:t>
            </w:r>
            <w:r w:rsidRPr="00150EDC">
              <w:rPr>
                <w:spacing w:val="-3"/>
                <w:sz w:val="20"/>
              </w:rPr>
              <w:t xml:space="preserve"> </w:t>
            </w:r>
            <w:r w:rsidRPr="00150EDC">
              <w:rPr>
                <w:sz w:val="20"/>
              </w:rPr>
              <w:t>(Scotland)</w:t>
            </w:r>
            <w:r w:rsidRPr="00150EDC">
              <w:rPr>
                <w:spacing w:val="-8"/>
                <w:sz w:val="20"/>
              </w:rPr>
              <w:t xml:space="preserve"> </w:t>
            </w:r>
            <w:r w:rsidRPr="00150EDC">
              <w:rPr>
                <w:sz w:val="20"/>
              </w:rPr>
              <w:t>Act</w:t>
            </w:r>
            <w:r w:rsidRPr="00150EDC">
              <w:rPr>
                <w:spacing w:val="-7"/>
                <w:sz w:val="20"/>
              </w:rPr>
              <w:t xml:space="preserve"> </w:t>
            </w:r>
            <w:r w:rsidRPr="00150EDC">
              <w:rPr>
                <w:sz w:val="20"/>
              </w:rPr>
              <w:t>1976,</w:t>
            </w:r>
            <w:r w:rsidRPr="00150EDC">
              <w:rPr>
                <w:spacing w:val="-8"/>
                <w:sz w:val="20"/>
              </w:rPr>
              <w:t xml:space="preserve"> </w:t>
            </w:r>
            <w:r w:rsidRPr="00150EDC">
              <w:rPr>
                <w:spacing w:val="-5"/>
                <w:sz w:val="20"/>
              </w:rPr>
              <w:t>s9</w:t>
            </w:r>
          </w:p>
        </w:tc>
        <w:tc>
          <w:tcPr>
            <w:tcW w:w="7427" w:type="dxa"/>
          </w:tcPr>
          <w:p w14:paraId="73C3F683" w14:textId="77777777" w:rsidR="004C7180" w:rsidRPr="00150EDC" w:rsidRDefault="00CF0754">
            <w:pPr>
              <w:pStyle w:val="TableParagraph"/>
              <w:rPr>
                <w:sz w:val="20"/>
              </w:rPr>
            </w:pPr>
            <w:r w:rsidRPr="00150EDC">
              <w:rPr>
                <w:sz w:val="20"/>
              </w:rPr>
              <w:t>Unlawful</w:t>
            </w:r>
            <w:r w:rsidRPr="00150EDC">
              <w:rPr>
                <w:spacing w:val="-5"/>
                <w:sz w:val="20"/>
              </w:rPr>
              <w:t xml:space="preserve"> </w:t>
            </w:r>
            <w:r w:rsidRPr="00150EDC">
              <w:rPr>
                <w:sz w:val="20"/>
              </w:rPr>
              <w:t>detention</w:t>
            </w:r>
            <w:r w:rsidRPr="00150EDC">
              <w:rPr>
                <w:spacing w:val="-6"/>
                <w:sz w:val="20"/>
              </w:rPr>
              <w:t xml:space="preserve"> </w:t>
            </w:r>
            <w:r w:rsidRPr="00150EDC">
              <w:rPr>
                <w:sz w:val="20"/>
              </w:rPr>
              <w:t>with</w:t>
            </w:r>
            <w:r w:rsidRPr="00150EDC">
              <w:rPr>
                <w:spacing w:val="-7"/>
                <w:sz w:val="20"/>
              </w:rPr>
              <w:t xml:space="preserve"> </w:t>
            </w:r>
            <w:r w:rsidRPr="00150EDC">
              <w:rPr>
                <w:sz w:val="20"/>
              </w:rPr>
              <w:t>intent</w:t>
            </w:r>
            <w:r w:rsidRPr="00150EDC">
              <w:rPr>
                <w:spacing w:val="-2"/>
                <w:sz w:val="20"/>
              </w:rPr>
              <w:t xml:space="preserve"> </w:t>
            </w:r>
            <w:r w:rsidRPr="00150EDC">
              <w:rPr>
                <w:sz w:val="20"/>
              </w:rPr>
              <w:t>to</w:t>
            </w:r>
            <w:r w:rsidRPr="00150EDC">
              <w:rPr>
                <w:spacing w:val="-6"/>
                <w:sz w:val="20"/>
              </w:rPr>
              <w:t xml:space="preserve"> </w:t>
            </w:r>
            <w:r w:rsidRPr="00150EDC">
              <w:rPr>
                <w:sz w:val="20"/>
              </w:rPr>
              <w:t>have</w:t>
            </w:r>
            <w:r w:rsidRPr="00150EDC">
              <w:rPr>
                <w:spacing w:val="-6"/>
                <w:sz w:val="20"/>
              </w:rPr>
              <w:t xml:space="preserve"> </w:t>
            </w:r>
            <w:r w:rsidRPr="00150EDC">
              <w:rPr>
                <w:sz w:val="20"/>
              </w:rPr>
              <w:t>sexual</w:t>
            </w:r>
            <w:r w:rsidRPr="00150EDC">
              <w:rPr>
                <w:spacing w:val="-5"/>
                <w:sz w:val="20"/>
              </w:rPr>
              <w:t xml:space="preserve"> </w:t>
            </w:r>
            <w:r w:rsidRPr="00150EDC">
              <w:rPr>
                <w:spacing w:val="-2"/>
                <w:sz w:val="20"/>
              </w:rPr>
              <w:t>intercourse</w:t>
            </w:r>
          </w:p>
        </w:tc>
      </w:tr>
      <w:tr w:rsidR="004569EE" w:rsidRPr="007D3144" w14:paraId="52659077" w14:textId="77777777">
        <w:trPr>
          <w:trHeight w:val="255"/>
        </w:trPr>
        <w:tc>
          <w:tcPr>
            <w:tcW w:w="6517" w:type="dxa"/>
          </w:tcPr>
          <w:p w14:paraId="69128451" w14:textId="77777777" w:rsidR="004C7180" w:rsidRPr="00150EDC" w:rsidRDefault="00CF0754">
            <w:pPr>
              <w:pStyle w:val="TableParagraph"/>
              <w:spacing w:before="28"/>
              <w:rPr>
                <w:sz w:val="20"/>
              </w:rPr>
            </w:pPr>
            <w:r w:rsidRPr="00150EDC">
              <w:rPr>
                <w:sz w:val="20"/>
              </w:rPr>
              <w:t>Sexual</w:t>
            </w:r>
            <w:r w:rsidRPr="00150EDC">
              <w:rPr>
                <w:spacing w:val="-7"/>
                <w:sz w:val="20"/>
              </w:rPr>
              <w:t xml:space="preserve"> </w:t>
            </w:r>
            <w:r w:rsidRPr="00150EDC">
              <w:rPr>
                <w:sz w:val="20"/>
              </w:rPr>
              <w:t>Offences</w:t>
            </w:r>
            <w:r w:rsidRPr="00150EDC">
              <w:rPr>
                <w:spacing w:val="-3"/>
                <w:sz w:val="20"/>
              </w:rPr>
              <w:t xml:space="preserve"> </w:t>
            </w:r>
            <w:r w:rsidRPr="00150EDC">
              <w:rPr>
                <w:sz w:val="20"/>
              </w:rPr>
              <w:t>(Scotland)</w:t>
            </w:r>
            <w:r w:rsidRPr="00150EDC">
              <w:rPr>
                <w:spacing w:val="-8"/>
                <w:sz w:val="20"/>
              </w:rPr>
              <w:t xml:space="preserve"> </w:t>
            </w:r>
            <w:r w:rsidRPr="00150EDC">
              <w:rPr>
                <w:sz w:val="20"/>
              </w:rPr>
              <w:t>Act</w:t>
            </w:r>
            <w:r w:rsidRPr="00150EDC">
              <w:rPr>
                <w:spacing w:val="-7"/>
                <w:sz w:val="20"/>
              </w:rPr>
              <w:t xml:space="preserve"> </w:t>
            </w:r>
            <w:r w:rsidRPr="00150EDC">
              <w:rPr>
                <w:sz w:val="20"/>
              </w:rPr>
              <w:t>2009,</w:t>
            </w:r>
            <w:r w:rsidRPr="00150EDC">
              <w:rPr>
                <w:spacing w:val="-8"/>
                <w:sz w:val="20"/>
              </w:rPr>
              <w:t xml:space="preserve"> </w:t>
            </w:r>
            <w:r w:rsidRPr="00150EDC">
              <w:rPr>
                <w:spacing w:val="-5"/>
                <w:sz w:val="20"/>
              </w:rPr>
              <w:t>s1</w:t>
            </w:r>
          </w:p>
        </w:tc>
        <w:tc>
          <w:tcPr>
            <w:tcW w:w="7427" w:type="dxa"/>
          </w:tcPr>
          <w:p w14:paraId="066B032D" w14:textId="77777777" w:rsidR="004C7180" w:rsidRPr="00150EDC" w:rsidRDefault="00CF0754">
            <w:pPr>
              <w:pStyle w:val="TableParagraph"/>
              <w:spacing w:before="28"/>
              <w:rPr>
                <w:sz w:val="20"/>
              </w:rPr>
            </w:pPr>
            <w:r w:rsidRPr="00150EDC">
              <w:rPr>
                <w:spacing w:val="-4"/>
                <w:sz w:val="20"/>
              </w:rPr>
              <w:t>Rape</w:t>
            </w:r>
          </w:p>
        </w:tc>
      </w:tr>
      <w:tr w:rsidR="004569EE" w:rsidRPr="007D3144" w14:paraId="3F5EB467" w14:textId="77777777">
        <w:trPr>
          <w:trHeight w:val="255"/>
        </w:trPr>
        <w:tc>
          <w:tcPr>
            <w:tcW w:w="6517" w:type="dxa"/>
          </w:tcPr>
          <w:p w14:paraId="1D640B23" w14:textId="77777777" w:rsidR="004C7180" w:rsidRPr="00150EDC" w:rsidRDefault="00CF0754">
            <w:pPr>
              <w:pStyle w:val="TableParagraph"/>
              <w:rPr>
                <w:sz w:val="20"/>
              </w:rPr>
            </w:pPr>
            <w:r w:rsidRPr="00150EDC">
              <w:rPr>
                <w:sz w:val="20"/>
              </w:rPr>
              <w:t>Sexual</w:t>
            </w:r>
            <w:r w:rsidRPr="00150EDC">
              <w:rPr>
                <w:spacing w:val="-7"/>
                <w:sz w:val="20"/>
              </w:rPr>
              <w:t xml:space="preserve"> </w:t>
            </w:r>
            <w:r w:rsidRPr="00150EDC">
              <w:rPr>
                <w:sz w:val="20"/>
              </w:rPr>
              <w:t>Offences</w:t>
            </w:r>
            <w:r w:rsidRPr="00150EDC">
              <w:rPr>
                <w:spacing w:val="-3"/>
                <w:sz w:val="20"/>
              </w:rPr>
              <w:t xml:space="preserve"> </w:t>
            </w:r>
            <w:r w:rsidRPr="00150EDC">
              <w:rPr>
                <w:sz w:val="20"/>
              </w:rPr>
              <w:t>(Scotland)</w:t>
            </w:r>
            <w:r w:rsidRPr="00150EDC">
              <w:rPr>
                <w:spacing w:val="-8"/>
                <w:sz w:val="20"/>
              </w:rPr>
              <w:t xml:space="preserve"> </w:t>
            </w:r>
            <w:r w:rsidRPr="00150EDC">
              <w:rPr>
                <w:sz w:val="20"/>
              </w:rPr>
              <w:t>Act</w:t>
            </w:r>
            <w:r w:rsidRPr="00150EDC">
              <w:rPr>
                <w:spacing w:val="-7"/>
                <w:sz w:val="20"/>
              </w:rPr>
              <w:t xml:space="preserve"> </w:t>
            </w:r>
            <w:r w:rsidRPr="00150EDC">
              <w:rPr>
                <w:sz w:val="20"/>
              </w:rPr>
              <w:t>2009,</w:t>
            </w:r>
            <w:r w:rsidRPr="00150EDC">
              <w:rPr>
                <w:spacing w:val="-8"/>
                <w:sz w:val="20"/>
              </w:rPr>
              <w:t xml:space="preserve"> </w:t>
            </w:r>
            <w:r w:rsidRPr="00150EDC">
              <w:rPr>
                <w:spacing w:val="-5"/>
                <w:sz w:val="20"/>
              </w:rPr>
              <w:t>s2</w:t>
            </w:r>
          </w:p>
        </w:tc>
        <w:tc>
          <w:tcPr>
            <w:tcW w:w="7427" w:type="dxa"/>
          </w:tcPr>
          <w:p w14:paraId="220BF264"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assault</w:t>
            </w:r>
            <w:r w:rsidRPr="00150EDC">
              <w:rPr>
                <w:spacing w:val="-1"/>
                <w:sz w:val="20"/>
              </w:rPr>
              <w:t xml:space="preserve"> </w:t>
            </w:r>
            <w:r w:rsidRPr="00150EDC">
              <w:rPr>
                <w:sz w:val="20"/>
              </w:rPr>
              <w:t>by</w:t>
            </w:r>
            <w:r w:rsidRPr="00150EDC">
              <w:rPr>
                <w:spacing w:val="-6"/>
                <w:sz w:val="20"/>
              </w:rPr>
              <w:t xml:space="preserve"> </w:t>
            </w:r>
            <w:r w:rsidRPr="00150EDC">
              <w:rPr>
                <w:spacing w:val="-2"/>
                <w:sz w:val="20"/>
              </w:rPr>
              <w:t>penetration</w:t>
            </w:r>
          </w:p>
        </w:tc>
      </w:tr>
      <w:tr w:rsidR="004569EE" w:rsidRPr="007D3144" w14:paraId="7ACC649A" w14:textId="77777777">
        <w:trPr>
          <w:trHeight w:val="255"/>
        </w:trPr>
        <w:tc>
          <w:tcPr>
            <w:tcW w:w="6517" w:type="dxa"/>
          </w:tcPr>
          <w:p w14:paraId="2F3BB799" w14:textId="77777777" w:rsidR="004C7180" w:rsidRPr="00150EDC" w:rsidRDefault="00CF0754">
            <w:pPr>
              <w:pStyle w:val="TableParagraph"/>
              <w:rPr>
                <w:sz w:val="20"/>
              </w:rPr>
            </w:pPr>
            <w:r w:rsidRPr="00150EDC">
              <w:rPr>
                <w:sz w:val="20"/>
              </w:rPr>
              <w:t>Sexual</w:t>
            </w:r>
            <w:r w:rsidRPr="00150EDC">
              <w:rPr>
                <w:spacing w:val="-7"/>
                <w:sz w:val="20"/>
              </w:rPr>
              <w:t xml:space="preserve"> </w:t>
            </w:r>
            <w:r w:rsidRPr="00150EDC">
              <w:rPr>
                <w:sz w:val="20"/>
              </w:rPr>
              <w:t>Offences</w:t>
            </w:r>
            <w:r w:rsidRPr="00150EDC">
              <w:rPr>
                <w:spacing w:val="-3"/>
                <w:sz w:val="20"/>
              </w:rPr>
              <w:t xml:space="preserve"> </w:t>
            </w:r>
            <w:r w:rsidRPr="00150EDC">
              <w:rPr>
                <w:sz w:val="20"/>
              </w:rPr>
              <w:t>(Scotland)</w:t>
            </w:r>
            <w:r w:rsidRPr="00150EDC">
              <w:rPr>
                <w:spacing w:val="-8"/>
                <w:sz w:val="20"/>
              </w:rPr>
              <w:t xml:space="preserve"> </w:t>
            </w:r>
            <w:r w:rsidRPr="00150EDC">
              <w:rPr>
                <w:sz w:val="20"/>
              </w:rPr>
              <w:t>Act</w:t>
            </w:r>
            <w:r w:rsidRPr="00150EDC">
              <w:rPr>
                <w:spacing w:val="-7"/>
                <w:sz w:val="20"/>
              </w:rPr>
              <w:t xml:space="preserve"> </w:t>
            </w:r>
            <w:r w:rsidRPr="00150EDC">
              <w:rPr>
                <w:sz w:val="20"/>
              </w:rPr>
              <w:t>2009,</w:t>
            </w:r>
            <w:r w:rsidRPr="00150EDC">
              <w:rPr>
                <w:spacing w:val="-8"/>
                <w:sz w:val="20"/>
              </w:rPr>
              <w:t xml:space="preserve"> </w:t>
            </w:r>
            <w:r w:rsidRPr="00150EDC">
              <w:rPr>
                <w:spacing w:val="-5"/>
                <w:sz w:val="20"/>
              </w:rPr>
              <w:t>s3</w:t>
            </w:r>
          </w:p>
        </w:tc>
        <w:tc>
          <w:tcPr>
            <w:tcW w:w="7427" w:type="dxa"/>
          </w:tcPr>
          <w:p w14:paraId="20FF3CCE"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pacing w:val="-2"/>
                <w:sz w:val="20"/>
              </w:rPr>
              <w:t>assault</w:t>
            </w:r>
          </w:p>
        </w:tc>
      </w:tr>
      <w:tr w:rsidR="004569EE" w:rsidRPr="007D3144" w14:paraId="76D9A3EF" w14:textId="77777777">
        <w:trPr>
          <w:trHeight w:val="255"/>
        </w:trPr>
        <w:tc>
          <w:tcPr>
            <w:tcW w:w="6517" w:type="dxa"/>
          </w:tcPr>
          <w:p w14:paraId="0E3C69E0" w14:textId="77777777" w:rsidR="004C7180" w:rsidRPr="00150EDC" w:rsidRDefault="00CF0754">
            <w:pPr>
              <w:pStyle w:val="TableParagraph"/>
              <w:rPr>
                <w:sz w:val="20"/>
              </w:rPr>
            </w:pPr>
            <w:r w:rsidRPr="00150EDC">
              <w:rPr>
                <w:sz w:val="20"/>
              </w:rPr>
              <w:t>Sexual</w:t>
            </w:r>
            <w:r w:rsidRPr="00150EDC">
              <w:rPr>
                <w:spacing w:val="-7"/>
                <w:sz w:val="20"/>
              </w:rPr>
              <w:t xml:space="preserve"> </w:t>
            </w:r>
            <w:r w:rsidRPr="00150EDC">
              <w:rPr>
                <w:sz w:val="20"/>
              </w:rPr>
              <w:t>Offences</w:t>
            </w:r>
            <w:r w:rsidRPr="00150EDC">
              <w:rPr>
                <w:spacing w:val="-3"/>
                <w:sz w:val="20"/>
              </w:rPr>
              <w:t xml:space="preserve"> </w:t>
            </w:r>
            <w:r w:rsidRPr="00150EDC">
              <w:rPr>
                <w:sz w:val="20"/>
              </w:rPr>
              <w:t>(Scotland)</w:t>
            </w:r>
            <w:r w:rsidRPr="00150EDC">
              <w:rPr>
                <w:spacing w:val="-8"/>
                <w:sz w:val="20"/>
              </w:rPr>
              <w:t xml:space="preserve"> </w:t>
            </w:r>
            <w:r w:rsidRPr="00150EDC">
              <w:rPr>
                <w:sz w:val="20"/>
              </w:rPr>
              <w:t>Act</w:t>
            </w:r>
            <w:r w:rsidRPr="00150EDC">
              <w:rPr>
                <w:spacing w:val="-7"/>
                <w:sz w:val="20"/>
              </w:rPr>
              <w:t xml:space="preserve"> </w:t>
            </w:r>
            <w:r w:rsidRPr="00150EDC">
              <w:rPr>
                <w:sz w:val="20"/>
              </w:rPr>
              <w:t>2009,</w:t>
            </w:r>
            <w:r w:rsidRPr="00150EDC">
              <w:rPr>
                <w:spacing w:val="-8"/>
                <w:sz w:val="20"/>
              </w:rPr>
              <w:t xml:space="preserve"> </w:t>
            </w:r>
            <w:r w:rsidRPr="00150EDC">
              <w:rPr>
                <w:spacing w:val="-5"/>
                <w:sz w:val="20"/>
              </w:rPr>
              <w:t>s4</w:t>
            </w:r>
          </w:p>
        </w:tc>
        <w:tc>
          <w:tcPr>
            <w:tcW w:w="7427" w:type="dxa"/>
          </w:tcPr>
          <w:p w14:paraId="3EB668A7"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pacing w:val="-2"/>
                <w:sz w:val="20"/>
              </w:rPr>
              <w:t>coercion</w:t>
            </w:r>
          </w:p>
        </w:tc>
      </w:tr>
      <w:tr w:rsidR="004569EE" w:rsidRPr="007D3144" w14:paraId="660CD9A4" w14:textId="77777777">
        <w:trPr>
          <w:trHeight w:val="255"/>
        </w:trPr>
        <w:tc>
          <w:tcPr>
            <w:tcW w:w="6517" w:type="dxa"/>
          </w:tcPr>
          <w:p w14:paraId="1672FCCA" w14:textId="77777777" w:rsidR="004C7180" w:rsidRPr="00150EDC" w:rsidRDefault="00CF0754">
            <w:pPr>
              <w:pStyle w:val="TableParagraph"/>
              <w:rPr>
                <w:sz w:val="20"/>
              </w:rPr>
            </w:pPr>
            <w:r w:rsidRPr="00150EDC">
              <w:rPr>
                <w:sz w:val="20"/>
              </w:rPr>
              <w:t>Sexual</w:t>
            </w:r>
            <w:r w:rsidRPr="00150EDC">
              <w:rPr>
                <w:spacing w:val="-7"/>
                <w:sz w:val="20"/>
              </w:rPr>
              <w:t xml:space="preserve"> </w:t>
            </w:r>
            <w:r w:rsidRPr="00150EDC">
              <w:rPr>
                <w:sz w:val="20"/>
              </w:rPr>
              <w:t>Offences</w:t>
            </w:r>
            <w:r w:rsidRPr="00150EDC">
              <w:rPr>
                <w:spacing w:val="-3"/>
                <w:sz w:val="20"/>
              </w:rPr>
              <w:t xml:space="preserve"> </w:t>
            </w:r>
            <w:r w:rsidRPr="00150EDC">
              <w:rPr>
                <w:sz w:val="20"/>
              </w:rPr>
              <w:t>(Scotland)</w:t>
            </w:r>
            <w:r w:rsidRPr="00150EDC">
              <w:rPr>
                <w:spacing w:val="-8"/>
                <w:sz w:val="20"/>
              </w:rPr>
              <w:t xml:space="preserve"> </w:t>
            </w:r>
            <w:r w:rsidRPr="00150EDC">
              <w:rPr>
                <w:sz w:val="20"/>
              </w:rPr>
              <w:t>Act</w:t>
            </w:r>
            <w:r w:rsidRPr="00150EDC">
              <w:rPr>
                <w:spacing w:val="-7"/>
                <w:sz w:val="20"/>
              </w:rPr>
              <w:t xml:space="preserve"> </w:t>
            </w:r>
            <w:r w:rsidRPr="00150EDC">
              <w:rPr>
                <w:sz w:val="20"/>
              </w:rPr>
              <w:t>2009,</w:t>
            </w:r>
            <w:r w:rsidRPr="00150EDC">
              <w:rPr>
                <w:spacing w:val="-8"/>
                <w:sz w:val="20"/>
              </w:rPr>
              <w:t xml:space="preserve"> </w:t>
            </w:r>
            <w:r w:rsidRPr="00150EDC">
              <w:rPr>
                <w:spacing w:val="-5"/>
                <w:sz w:val="20"/>
              </w:rPr>
              <w:t>s11</w:t>
            </w:r>
          </w:p>
        </w:tc>
        <w:tc>
          <w:tcPr>
            <w:tcW w:w="7427" w:type="dxa"/>
          </w:tcPr>
          <w:p w14:paraId="545899B0" w14:textId="77777777" w:rsidR="004C7180" w:rsidRPr="00150EDC" w:rsidRDefault="00CF0754">
            <w:pPr>
              <w:pStyle w:val="TableParagraph"/>
              <w:rPr>
                <w:sz w:val="20"/>
              </w:rPr>
            </w:pPr>
            <w:r w:rsidRPr="00150EDC">
              <w:rPr>
                <w:sz w:val="20"/>
              </w:rPr>
              <w:t>Administering</w:t>
            </w:r>
            <w:r w:rsidRPr="00150EDC">
              <w:rPr>
                <w:spacing w:val="-2"/>
                <w:sz w:val="20"/>
              </w:rPr>
              <w:t xml:space="preserve"> </w:t>
            </w:r>
            <w:r w:rsidRPr="00150EDC">
              <w:rPr>
                <w:sz w:val="20"/>
              </w:rPr>
              <w:t>a</w:t>
            </w:r>
            <w:r w:rsidRPr="00150EDC">
              <w:rPr>
                <w:spacing w:val="-6"/>
                <w:sz w:val="20"/>
              </w:rPr>
              <w:t xml:space="preserve"> </w:t>
            </w:r>
            <w:r w:rsidRPr="00150EDC">
              <w:rPr>
                <w:sz w:val="20"/>
              </w:rPr>
              <w:t>substance</w:t>
            </w:r>
            <w:r w:rsidRPr="00150EDC">
              <w:rPr>
                <w:spacing w:val="-6"/>
                <w:sz w:val="20"/>
              </w:rPr>
              <w:t xml:space="preserve"> </w:t>
            </w:r>
            <w:r w:rsidRPr="00150EDC">
              <w:rPr>
                <w:sz w:val="20"/>
              </w:rPr>
              <w:t>for</w:t>
            </w:r>
            <w:r w:rsidRPr="00150EDC">
              <w:rPr>
                <w:spacing w:val="-5"/>
                <w:sz w:val="20"/>
              </w:rPr>
              <w:t xml:space="preserve"> </w:t>
            </w:r>
            <w:r w:rsidRPr="00150EDC">
              <w:rPr>
                <w:sz w:val="20"/>
              </w:rPr>
              <w:t>sexual</w:t>
            </w:r>
            <w:r w:rsidRPr="00150EDC">
              <w:rPr>
                <w:spacing w:val="-4"/>
                <w:sz w:val="20"/>
              </w:rPr>
              <w:t xml:space="preserve"> </w:t>
            </w:r>
            <w:r w:rsidRPr="00150EDC">
              <w:rPr>
                <w:spacing w:val="-2"/>
                <w:sz w:val="20"/>
              </w:rPr>
              <w:t>purposes</w:t>
            </w:r>
          </w:p>
        </w:tc>
      </w:tr>
      <w:tr w:rsidR="004569EE" w:rsidRPr="007D3144" w14:paraId="76372AE3" w14:textId="77777777">
        <w:trPr>
          <w:trHeight w:val="255"/>
        </w:trPr>
        <w:tc>
          <w:tcPr>
            <w:tcW w:w="6517" w:type="dxa"/>
          </w:tcPr>
          <w:p w14:paraId="16064737" w14:textId="77777777" w:rsidR="004C7180" w:rsidRPr="00150EDC" w:rsidRDefault="00CF0754">
            <w:pPr>
              <w:pStyle w:val="TableParagraph"/>
              <w:rPr>
                <w:sz w:val="20"/>
              </w:rPr>
            </w:pPr>
            <w:r w:rsidRPr="00150EDC">
              <w:rPr>
                <w:sz w:val="20"/>
              </w:rPr>
              <w:t>Sexual</w:t>
            </w:r>
            <w:r w:rsidRPr="00150EDC">
              <w:rPr>
                <w:spacing w:val="-7"/>
                <w:sz w:val="20"/>
              </w:rPr>
              <w:t xml:space="preserve"> </w:t>
            </w:r>
            <w:r w:rsidRPr="00150EDC">
              <w:rPr>
                <w:sz w:val="20"/>
              </w:rPr>
              <w:t>Offences</w:t>
            </w:r>
            <w:r w:rsidRPr="00150EDC">
              <w:rPr>
                <w:spacing w:val="-3"/>
                <w:sz w:val="20"/>
              </w:rPr>
              <w:t xml:space="preserve"> </w:t>
            </w:r>
            <w:r w:rsidRPr="00150EDC">
              <w:rPr>
                <w:sz w:val="20"/>
              </w:rPr>
              <w:t>(Scotland)</w:t>
            </w:r>
            <w:r w:rsidRPr="00150EDC">
              <w:rPr>
                <w:spacing w:val="-8"/>
                <w:sz w:val="20"/>
              </w:rPr>
              <w:t xml:space="preserve"> </w:t>
            </w:r>
            <w:r w:rsidRPr="00150EDC">
              <w:rPr>
                <w:sz w:val="20"/>
              </w:rPr>
              <w:t>Act</w:t>
            </w:r>
            <w:r w:rsidRPr="00150EDC">
              <w:rPr>
                <w:spacing w:val="-7"/>
                <w:sz w:val="20"/>
              </w:rPr>
              <w:t xml:space="preserve"> </w:t>
            </w:r>
            <w:r w:rsidRPr="00150EDC">
              <w:rPr>
                <w:sz w:val="20"/>
              </w:rPr>
              <w:t>2009,</w:t>
            </w:r>
            <w:r w:rsidRPr="00150EDC">
              <w:rPr>
                <w:spacing w:val="-8"/>
                <w:sz w:val="20"/>
              </w:rPr>
              <w:t xml:space="preserve"> </w:t>
            </w:r>
            <w:r w:rsidRPr="00150EDC">
              <w:rPr>
                <w:spacing w:val="-5"/>
                <w:sz w:val="20"/>
              </w:rPr>
              <w:t>s18</w:t>
            </w:r>
          </w:p>
        </w:tc>
        <w:tc>
          <w:tcPr>
            <w:tcW w:w="7427" w:type="dxa"/>
          </w:tcPr>
          <w:p w14:paraId="09E6CC45" w14:textId="77777777" w:rsidR="004C7180" w:rsidRPr="00150EDC" w:rsidRDefault="00CF0754">
            <w:pPr>
              <w:pStyle w:val="TableParagraph"/>
              <w:rPr>
                <w:sz w:val="20"/>
              </w:rPr>
            </w:pPr>
            <w:r w:rsidRPr="00150EDC">
              <w:rPr>
                <w:sz w:val="20"/>
              </w:rPr>
              <w:t>Rape</w:t>
            </w:r>
            <w:r w:rsidRPr="00150EDC">
              <w:rPr>
                <w:spacing w:val="-5"/>
                <w:sz w:val="20"/>
              </w:rPr>
              <w:t xml:space="preserve"> </w:t>
            </w:r>
            <w:r w:rsidRPr="00150EDC">
              <w:rPr>
                <w:sz w:val="20"/>
              </w:rPr>
              <w:t>of</w:t>
            </w:r>
            <w:r w:rsidRPr="00150EDC">
              <w:rPr>
                <w:spacing w:val="-4"/>
                <w:sz w:val="20"/>
              </w:rPr>
              <w:t xml:space="preserve"> </w:t>
            </w:r>
            <w:r w:rsidRPr="00150EDC">
              <w:rPr>
                <w:sz w:val="20"/>
              </w:rPr>
              <w:t>a young</w:t>
            </w:r>
            <w:r w:rsidRPr="00150EDC">
              <w:rPr>
                <w:spacing w:val="-3"/>
                <w:sz w:val="20"/>
              </w:rPr>
              <w:t xml:space="preserve"> </w:t>
            </w:r>
            <w:r w:rsidRPr="00150EDC">
              <w:rPr>
                <w:spacing w:val="-4"/>
                <w:sz w:val="20"/>
              </w:rPr>
              <w:t>child</w:t>
            </w:r>
          </w:p>
        </w:tc>
      </w:tr>
      <w:tr w:rsidR="004569EE" w:rsidRPr="007D3144" w14:paraId="4338C013" w14:textId="77777777">
        <w:trPr>
          <w:trHeight w:val="255"/>
        </w:trPr>
        <w:tc>
          <w:tcPr>
            <w:tcW w:w="6517" w:type="dxa"/>
          </w:tcPr>
          <w:p w14:paraId="3D752CAB" w14:textId="77777777" w:rsidR="004C7180" w:rsidRPr="00150EDC" w:rsidRDefault="00CF0754">
            <w:pPr>
              <w:pStyle w:val="TableParagraph"/>
              <w:rPr>
                <w:sz w:val="20"/>
              </w:rPr>
            </w:pPr>
            <w:r w:rsidRPr="00150EDC">
              <w:rPr>
                <w:sz w:val="20"/>
              </w:rPr>
              <w:t>Sexual</w:t>
            </w:r>
            <w:r w:rsidRPr="00150EDC">
              <w:rPr>
                <w:spacing w:val="-7"/>
                <w:sz w:val="20"/>
              </w:rPr>
              <w:t xml:space="preserve"> </w:t>
            </w:r>
            <w:r w:rsidRPr="00150EDC">
              <w:rPr>
                <w:sz w:val="20"/>
              </w:rPr>
              <w:t>Offences</w:t>
            </w:r>
            <w:r w:rsidRPr="00150EDC">
              <w:rPr>
                <w:spacing w:val="-3"/>
                <w:sz w:val="20"/>
              </w:rPr>
              <w:t xml:space="preserve"> </w:t>
            </w:r>
            <w:r w:rsidRPr="00150EDC">
              <w:rPr>
                <w:sz w:val="20"/>
              </w:rPr>
              <w:t>(Scotland)</w:t>
            </w:r>
            <w:r w:rsidRPr="00150EDC">
              <w:rPr>
                <w:spacing w:val="-8"/>
                <w:sz w:val="20"/>
              </w:rPr>
              <w:t xml:space="preserve"> </w:t>
            </w:r>
            <w:r w:rsidRPr="00150EDC">
              <w:rPr>
                <w:sz w:val="20"/>
              </w:rPr>
              <w:t>Act</w:t>
            </w:r>
            <w:r w:rsidRPr="00150EDC">
              <w:rPr>
                <w:spacing w:val="-7"/>
                <w:sz w:val="20"/>
              </w:rPr>
              <w:t xml:space="preserve"> </w:t>
            </w:r>
            <w:r w:rsidRPr="00150EDC">
              <w:rPr>
                <w:sz w:val="20"/>
              </w:rPr>
              <w:t>2009,</w:t>
            </w:r>
            <w:r w:rsidRPr="00150EDC">
              <w:rPr>
                <w:spacing w:val="-8"/>
                <w:sz w:val="20"/>
              </w:rPr>
              <w:t xml:space="preserve"> </w:t>
            </w:r>
            <w:r w:rsidRPr="00150EDC">
              <w:rPr>
                <w:spacing w:val="-5"/>
                <w:sz w:val="20"/>
              </w:rPr>
              <w:t>s19</w:t>
            </w:r>
          </w:p>
        </w:tc>
        <w:tc>
          <w:tcPr>
            <w:tcW w:w="7427" w:type="dxa"/>
          </w:tcPr>
          <w:p w14:paraId="533F6CAB" w14:textId="77777777" w:rsidR="004C7180" w:rsidRPr="00150EDC" w:rsidRDefault="00CF0754">
            <w:pPr>
              <w:pStyle w:val="TableParagraph"/>
              <w:rPr>
                <w:sz w:val="20"/>
              </w:rPr>
            </w:pPr>
            <w:r w:rsidRPr="00150EDC">
              <w:rPr>
                <w:sz w:val="20"/>
              </w:rPr>
              <w:t>Sexual</w:t>
            </w:r>
            <w:r w:rsidRPr="00150EDC">
              <w:rPr>
                <w:spacing w:val="-3"/>
                <w:sz w:val="20"/>
              </w:rPr>
              <w:t xml:space="preserve"> </w:t>
            </w:r>
            <w:r w:rsidRPr="00150EDC">
              <w:rPr>
                <w:sz w:val="20"/>
              </w:rPr>
              <w:t>assault</w:t>
            </w:r>
            <w:r w:rsidRPr="00150EDC">
              <w:rPr>
                <w:spacing w:val="1"/>
                <w:sz w:val="20"/>
              </w:rPr>
              <w:t xml:space="preserve"> </w:t>
            </w:r>
            <w:r w:rsidRPr="00150EDC">
              <w:rPr>
                <w:sz w:val="20"/>
              </w:rPr>
              <w:t>on</w:t>
            </w:r>
            <w:r w:rsidRPr="00150EDC">
              <w:rPr>
                <w:spacing w:val="-5"/>
                <w:sz w:val="20"/>
              </w:rPr>
              <w:t xml:space="preserve"> </w:t>
            </w:r>
            <w:r w:rsidRPr="00150EDC">
              <w:rPr>
                <w:sz w:val="20"/>
              </w:rPr>
              <w:t>a</w:t>
            </w:r>
            <w:r w:rsidRPr="00150EDC">
              <w:rPr>
                <w:spacing w:val="-4"/>
                <w:sz w:val="20"/>
              </w:rPr>
              <w:t xml:space="preserve"> </w:t>
            </w:r>
            <w:r w:rsidRPr="00150EDC">
              <w:rPr>
                <w:sz w:val="20"/>
              </w:rPr>
              <w:t>young</w:t>
            </w:r>
            <w:r w:rsidRPr="00150EDC">
              <w:rPr>
                <w:spacing w:val="-5"/>
                <w:sz w:val="20"/>
              </w:rPr>
              <w:t xml:space="preserve"> </w:t>
            </w:r>
            <w:r w:rsidRPr="00150EDC">
              <w:rPr>
                <w:sz w:val="20"/>
              </w:rPr>
              <w:t>child</w:t>
            </w:r>
            <w:r w:rsidRPr="00150EDC">
              <w:rPr>
                <w:spacing w:val="-5"/>
                <w:sz w:val="20"/>
              </w:rPr>
              <w:t xml:space="preserve"> </w:t>
            </w:r>
            <w:r w:rsidRPr="00150EDC">
              <w:rPr>
                <w:sz w:val="20"/>
              </w:rPr>
              <w:t>by</w:t>
            </w:r>
            <w:r w:rsidRPr="00150EDC">
              <w:rPr>
                <w:spacing w:val="-3"/>
                <w:sz w:val="20"/>
              </w:rPr>
              <w:t xml:space="preserve"> </w:t>
            </w:r>
            <w:r w:rsidRPr="00150EDC">
              <w:rPr>
                <w:spacing w:val="-2"/>
                <w:sz w:val="20"/>
              </w:rPr>
              <w:t>penetration</w:t>
            </w:r>
          </w:p>
        </w:tc>
      </w:tr>
      <w:tr w:rsidR="004569EE" w:rsidRPr="007D3144" w14:paraId="337144C8" w14:textId="77777777">
        <w:trPr>
          <w:trHeight w:val="255"/>
        </w:trPr>
        <w:tc>
          <w:tcPr>
            <w:tcW w:w="6517" w:type="dxa"/>
          </w:tcPr>
          <w:p w14:paraId="732D7E94" w14:textId="77777777" w:rsidR="004C7180" w:rsidRPr="00150EDC" w:rsidRDefault="00CF0754">
            <w:pPr>
              <w:pStyle w:val="TableParagraph"/>
              <w:rPr>
                <w:sz w:val="20"/>
              </w:rPr>
            </w:pPr>
            <w:r w:rsidRPr="00150EDC">
              <w:rPr>
                <w:sz w:val="20"/>
              </w:rPr>
              <w:t>Sexual</w:t>
            </w:r>
            <w:r w:rsidRPr="00150EDC">
              <w:rPr>
                <w:spacing w:val="-7"/>
                <w:sz w:val="20"/>
              </w:rPr>
              <w:t xml:space="preserve"> </w:t>
            </w:r>
            <w:r w:rsidRPr="00150EDC">
              <w:rPr>
                <w:sz w:val="20"/>
              </w:rPr>
              <w:t>Offences</w:t>
            </w:r>
            <w:r w:rsidRPr="00150EDC">
              <w:rPr>
                <w:spacing w:val="-3"/>
                <w:sz w:val="20"/>
              </w:rPr>
              <w:t xml:space="preserve"> </w:t>
            </w:r>
            <w:r w:rsidRPr="00150EDC">
              <w:rPr>
                <w:sz w:val="20"/>
              </w:rPr>
              <w:t>(Scotland)</w:t>
            </w:r>
            <w:r w:rsidRPr="00150EDC">
              <w:rPr>
                <w:spacing w:val="-8"/>
                <w:sz w:val="20"/>
              </w:rPr>
              <w:t xml:space="preserve"> </w:t>
            </w:r>
            <w:r w:rsidRPr="00150EDC">
              <w:rPr>
                <w:sz w:val="20"/>
              </w:rPr>
              <w:t>Act</w:t>
            </w:r>
            <w:r w:rsidRPr="00150EDC">
              <w:rPr>
                <w:spacing w:val="-7"/>
                <w:sz w:val="20"/>
              </w:rPr>
              <w:t xml:space="preserve"> </w:t>
            </w:r>
            <w:r w:rsidRPr="00150EDC">
              <w:rPr>
                <w:sz w:val="20"/>
              </w:rPr>
              <w:t>2009,</w:t>
            </w:r>
            <w:r w:rsidRPr="00150EDC">
              <w:rPr>
                <w:spacing w:val="-8"/>
                <w:sz w:val="20"/>
              </w:rPr>
              <w:t xml:space="preserve"> </w:t>
            </w:r>
            <w:r w:rsidRPr="00150EDC">
              <w:rPr>
                <w:spacing w:val="-5"/>
                <w:sz w:val="20"/>
              </w:rPr>
              <w:t>s20</w:t>
            </w:r>
          </w:p>
        </w:tc>
        <w:tc>
          <w:tcPr>
            <w:tcW w:w="7427" w:type="dxa"/>
          </w:tcPr>
          <w:p w14:paraId="335DE043" w14:textId="77777777" w:rsidR="004C7180" w:rsidRPr="00150EDC" w:rsidRDefault="00CF0754">
            <w:pPr>
              <w:pStyle w:val="TableParagraph"/>
              <w:rPr>
                <w:sz w:val="20"/>
              </w:rPr>
            </w:pPr>
            <w:r w:rsidRPr="00150EDC">
              <w:rPr>
                <w:sz w:val="20"/>
              </w:rPr>
              <w:t>Sexual</w:t>
            </w:r>
            <w:r w:rsidRPr="00150EDC">
              <w:rPr>
                <w:spacing w:val="-4"/>
                <w:sz w:val="20"/>
              </w:rPr>
              <w:t xml:space="preserve"> </w:t>
            </w:r>
            <w:r w:rsidRPr="00150EDC">
              <w:rPr>
                <w:sz w:val="20"/>
              </w:rPr>
              <w:t>assault on</w:t>
            </w:r>
            <w:r w:rsidRPr="00150EDC">
              <w:rPr>
                <w:spacing w:val="-5"/>
                <w:sz w:val="20"/>
              </w:rPr>
              <w:t xml:space="preserve"> </w:t>
            </w:r>
            <w:r w:rsidRPr="00150EDC">
              <w:rPr>
                <w:sz w:val="20"/>
              </w:rPr>
              <w:t>a</w:t>
            </w:r>
            <w:r w:rsidRPr="00150EDC">
              <w:rPr>
                <w:spacing w:val="-6"/>
                <w:sz w:val="20"/>
              </w:rPr>
              <w:t xml:space="preserve"> </w:t>
            </w:r>
            <w:r w:rsidRPr="00150EDC">
              <w:rPr>
                <w:sz w:val="20"/>
              </w:rPr>
              <w:t>young</w:t>
            </w:r>
            <w:r w:rsidRPr="00150EDC">
              <w:rPr>
                <w:spacing w:val="-5"/>
                <w:sz w:val="20"/>
              </w:rPr>
              <w:t xml:space="preserve"> </w:t>
            </w:r>
            <w:r w:rsidRPr="00150EDC">
              <w:rPr>
                <w:spacing w:val="-4"/>
                <w:sz w:val="20"/>
              </w:rPr>
              <w:t>child</w:t>
            </w:r>
          </w:p>
        </w:tc>
      </w:tr>
      <w:tr w:rsidR="004569EE" w:rsidRPr="007D3144" w14:paraId="48F4021F" w14:textId="77777777">
        <w:trPr>
          <w:trHeight w:val="255"/>
        </w:trPr>
        <w:tc>
          <w:tcPr>
            <w:tcW w:w="6517" w:type="dxa"/>
          </w:tcPr>
          <w:p w14:paraId="1B68695A" w14:textId="77777777" w:rsidR="004C7180" w:rsidRPr="00150EDC" w:rsidRDefault="00CF0754">
            <w:pPr>
              <w:pStyle w:val="TableParagraph"/>
              <w:rPr>
                <w:sz w:val="20"/>
              </w:rPr>
            </w:pPr>
            <w:r w:rsidRPr="00150EDC">
              <w:rPr>
                <w:sz w:val="20"/>
              </w:rPr>
              <w:t>Sexual</w:t>
            </w:r>
            <w:r w:rsidRPr="00150EDC">
              <w:rPr>
                <w:spacing w:val="-7"/>
                <w:sz w:val="20"/>
              </w:rPr>
              <w:t xml:space="preserve"> </w:t>
            </w:r>
            <w:r w:rsidRPr="00150EDC">
              <w:rPr>
                <w:sz w:val="20"/>
              </w:rPr>
              <w:t>Offences</w:t>
            </w:r>
            <w:r w:rsidRPr="00150EDC">
              <w:rPr>
                <w:spacing w:val="-3"/>
                <w:sz w:val="20"/>
              </w:rPr>
              <w:t xml:space="preserve"> </w:t>
            </w:r>
            <w:r w:rsidRPr="00150EDC">
              <w:rPr>
                <w:sz w:val="20"/>
              </w:rPr>
              <w:t>(Scotland)</w:t>
            </w:r>
            <w:r w:rsidRPr="00150EDC">
              <w:rPr>
                <w:spacing w:val="-8"/>
                <w:sz w:val="20"/>
              </w:rPr>
              <w:t xml:space="preserve"> </w:t>
            </w:r>
            <w:r w:rsidRPr="00150EDC">
              <w:rPr>
                <w:sz w:val="20"/>
              </w:rPr>
              <w:t>Act</w:t>
            </w:r>
            <w:r w:rsidRPr="00150EDC">
              <w:rPr>
                <w:spacing w:val="-7"/>
                <w:sz w:val="20"/>
              </w:rPr>
              <w:t xml:space="preserve"> </w:t>
            </w:r>
            <w:r w:rsidRPr="00150EDC">
              <w:rPr>
                <w:sz w:val="20"/>
              </w:rPr>
              <w:t>2009,</w:t>
            </w:r>
            <w:r w:rsidRPr="00150EDC">
              <w:rPr>
                <w:spacing w:val="-8"/>
                <w:sz w:val="20"/>
              </w:rPr>
              <w:t xml:space="preserve"> </w:t>
            </w:r>
            <w:r w:rsidRPr="00150EDC">
              <w:rPr>
                <w:spacing w:val="-5"/>
                <w:sz w:val="20"/>
              </w:rPr>
              <w:t>s21</w:t>
            </w:r>
          </w:p>
        </w:tc>
        <w:tc>
          <w:tcPr>
            <w:tcW w:w="7427" w:type="dxa"/>
          </w:tcPr>
          <w:p w14:paraId="0F9E5A1F" w14:textId="77777777" w:rsidR="004C7180" w:rsidRPr="00150EDC" w:rsidRDefault="00CF0754">
            <w:pPr>
              <w:pStyle w:val="TableParagraph"/>
              <w:rPr>
                <w:sz w:val="20"/>
              </w:rPr>
            </w:pPr>
            <w:r w:rsidRPr="00150EDC">
              <w:rPr>
                <w:sz w:val="20"/>
              </w:rPr>
              <w:t>Causing</w:t>
            </w:r>
            <w:r w:rsidRPr="00150EDC">
              <w:rPr>
                <w:spacing w:val="-4"/>
                <w:sz w:val="20"/>
              </w:rPr>
              <w:t xml:space="preserve"> </w:t>
            </w:r>
            <w:r w:rsidRPr="00150EDC">
              <w:rPr>
                <w:sz w:val="20"/>
              </w:rPr>
              <w:t>a</w:t>
            </w:r>
            <w:r w:rsidRPr="00150EDC">
              <w:rPr>
                <w:spacing w:val="-4"/>
                <w:sz w:val="20"/>
              </w:rPr>
              <w:t xml:space="preserve"> </w:t>
            </w:r>
            <w:r w:rsidRPr="00150EDC">
              <w:rPr>
                <w:sz w:val="20"/>
              </w:rPr>
              <w:t>young</w:t>
            </w:r>
            <w:r w:rsidRPr="00150EDC">
              <w:rPr>
                <w:spacing w:val="-4"/>
                <w:sz w:val="20"/>
              </w:rPr>
              <w:t xml:space="preserve"> </w:t>
            </w:r>
            <w:r w:rsidRPr="00150EDC">
              <w:rPr>
                <w:sz w:val="20"/>
              </w:rPr>
              <w:t>child</w:t>
            </w:r>
            <w:r w:rsidRPr="00150EDC">
              <w:rPr>
                <w:spacing w:val="-4"/>
                <w:sz w:val="20"/>
              </w:rPr>
              <w:t xml:space="preserve"> </w:t>
            </w:r>
            <w:r w:rsidRPr="00150EDC">
              <w:rPr>
                <w:sz w:val="20"/>
              </w:rPr>
              <w:t>to</w:t>
            </w:r>
            <w:r w:rsidRPr="00150EDC">
              <w:rPr>
                <w:spacing w:val="-4"/>
                <w:sz w:val="20"/>
              </w:rPr>
              <w:t xml:space="preserve"> </w:t>
            </w:r>
            <w:r w:rsidRPr="00150EDC">
              <w:rPr>
                <w:sz w:val="20"/>
              </w:rPr>
              <w:t>participate</w:t>
            </w:r>
            <w:r w:rsidRPr="00150EDC">
              <w:rPr>
                <w:spacing w:val="-4"/>
                <w:sz w:val="20"/>
              </w:rPr>
              <w:t xml:space="preserve"> </w:t>
            </w:r>
            <w:r w:rsidRPr="00150EDC">
              <w:rPr>
                <w:sz w:val="20"/>
              </w:rPr>
              <w:t>in</w:t>
            </w:r>
            <w:r w:rsidRPr="00150EDC">
              <w:rPr>
                <w:spacing w:val="-4"/>
                <w:sz w:val="20"/>
              </w:rPr>
              <w:t xml:space="preserve"> </w:t>
            </w:r>
            <w:r w:rsidRPr="00150EDC">
              <w:rPr>
                <w:sz w:val="20"/>
              </w:rPr>
              <w:t>a</w:t>
            </w:r>
            <w:r w:rsidRPr="00150EDC">
              <w:rPr>
                <w:spacing w:val="-4"/>
                <w:sz w:val="20"/>
              </w:rPr>
              <w:t xml:space="preserve"> </w:t>
            </w:r>
            <w:r w:rsidRPr="00150EDC">
              <w:rPr>
                <w:sz w:val="20"/>
              </w:rPr>
              <w:t>sexual</w:t>
            </w:r>
            <w:r w:rsidRPr="00150EDC">
              <w:rPr>
                <w:spacing w:val="-2"/>
                <w:sz w:val="20"/>
              </w:rPr>
              <w:t xml:space="preserve"> activity</w:t>
            </w:r>
          </w:p>
        </w:tc>
      </w:tr>
      <w:tr w:rsidR="004569EE" w:rsidRPr="007D3144" w14:paraId="25D411FA" w14:textId="77777777">
        <w:trPr>
          <w:trHeight w:val="255"/>
        </w:trPr>
        <w:tc>
          <w:tcPr>
            <w:tcW w:w="6517" w:type="dxa"/>
          </w:tcPr>
          <w:p w14:paraId="54023534" w14:textId="77777777" w:rsidR="004C7180" w:rsidRPr="00150EDC" w:rsidRDefault="00CF0754">
            <w:pPr>
              <w:pStyle w:val="TableParagraph"/>
              <w:spacing w:before="28"/>
              <w:rPr>
                <w:sz w:val="20"/>
              </w:rPr>
            </w:pPr>
            <w:r w:rsidRPr="00150EDC">
              <w:rPr>
                <w:sz w:val="20"/>
              </w:rPr>
              <w:t>Sexual</w:t>
            </w:r>
            <w:r w:rsidRPr="00150EDC">
              <w:rPr>
                <w:spacing w:val="-7"/>
                <w:sz w:val="20"/>
              </w:rPr>
              <w:t xml:space="preserve"> </w:t>
            </w:r>
            <w:r w:rsidRPr="00150EDC">
              <w:rPr>
                <w:sz w:val="20"/>
              </w:rPr>
              <w:t>Offences</w:t>
            </w:r>
            <w:r w:rsidRPr="00150EDC">
              <w:rPr>
                <w:spacing w:val="-3"/>
                <w:sz w:val="20"/>
              </w:rPr>
              <w:t xml:space="preserve"> </w:t>
            </w:r>
            <w:r w:rsidRPr="00150EDC">
              <w:rPr>
                <w:sz w:val="20"/>
              </w:rPr>
              <w:t>(Scotland)</w:t>
            </w:r>
            <w:r w:rsidRPr="00150EDC">
              <w:rPr>
                <w:spacing w:val="-8"/>
                <w:sz w:val="20"/>
              </w:rPr>
              <w:t xml:space="preserve"> </w:t>
            </w:r>
            <w:r w:rsidRPr="00150EDC">
              <w:rPr>
                <w:sz w:val="20"/>
              </w:rPr>
              <w:t>Act</w:t>
            </w:r>
            <w:r w:rsidRPr="00150EDC">
              <w:rPr>
                <w:spacing w:val="-7"/>
                <w:sz w:val="20"/>
              </w:rPr>
              <w:t xml:space="preserve"> </w:t>
            </w:r>
            <w:r w:rsidRPr="00150EDC">
              <w:rPr>
                <w:sz w:val="20"/>
              </w:rPr>
              <w:t>2009,</w:t>
            </w:r>
            <w:r w:rsidRPr="00150EDC">
              <w:rPr>
                <w:spacing w:val="-8"/>
                <w:sz w:val="20"/>
              </w:rPr>
              <w:t xml:space="preserve"> </w:t>
            </w:r>
            <w:r w:rsidRPr="00150EDC">
              <w:rPr>
                <w:spacing w:val="-5"/>
                <w:sz w:val="20"/>
              </w:rPr>
              <w:t>s22</w:t>
            </w:r>
          </w:p>
        </w:tc>
        <w:tc>
          <w:tcPr>
            <w:tcW w:w="7427" w:type="dxa"/>
          </w:tcPr>
          <w:p w14:paraId="73BFF2D7" w14:textId="77777777" w:rsidR="004C7180" w:rsidRPr="00150EDC" w:rsidRDefault="00CF0754">
            <w:pPr>
              <w:pStyle w:val="TableParagraph"/>
              <w:spacing w:before="28"/>
              <w:rPr>
                <w:sz w:val="20"/>
              </w:rPr>
            </w:pPr>
            <w:r w:rsidRPr="00150EDC">
              <w:rPr>
                <w:sz w:val="20"/>
              </w:rPr>
              <w:t>Causing</w:t>
            </w:r>
            <w:r w:rsidRPr="00150EDC">
              <w:rPr>
                <w:spacing w:val="-5"/>
                <w:sz w:val="20"/>
              </w:rPr>
              <w:t xml:space="preserve"> </w:t>
            </w:r>
            <w:r w:rsidRPr="00150EDC">
              <w:rPr>
                <w:sz w:val="20"/>
              </w:rPr>
              <w:t>a</w:t>
            </w:r>
            <w:r w:rsidRPr="00150EDC">
              <w:rPr>
                <w:spacing w:val="-4"/>
                <w:sz w:val="20"/>
              </w:rPr>
              <w:t xml:space="preserve"> </w:t>
            </w:r>
            <w:r w:rsidRPr="00150EDC">
              <w:rPr>
                <w:sz w:val="20"/>
              </w:rPr>
              <w:t>young</w:t>
            </w:r>
            <w:r w:rsidRPr="00150EDC">
              <w:rPr>
                <w:spacing w:val="-4"/>
                <w:sz w:val="20"/>
              </w:rPr>
              <w:t xml:space="preserve"> </w:t>
            </w:r>
            <w:r w:rsidRPr="00150EDC">
              <w:rPr>
                <w:sz w:val="20"/>
              </w:rPr>
              <w:t>child</w:t>
            </w:r>
            <w:r w:rsidRPr="00150EDC">
              <w:rPr>
                <w:spacing w:val="-4"/>
                <w:sz w:val="20"/>
              </w:rPr>
              <w:t xml:space="preserve"> </w:t>
            </w:r>
            <w:r w:rsidRPr="00150EDC">
              <w:rPr>
                <w:sz w:val="20"/>
              </w:rPr>
              <w:t>to</w:t>
            </w:r>
            <w:r w:rsidRPr="00150EDC">
              <w:rPr>
                <w:spacing w:val="-4"/>
                <w:sz w:val="20"/>
              </w:rPr>
              <w:t xml:space="preserve"> </w:t>
            </w:r>
            <w:r w:rsidRPr="00150EDC">
              <w:rPr>
                <w:sz w:val="20"/>
              </w:rPr>
              <w:t>be</w:t>
            </w:r>
            <w:r w:rsidRPr="00150EDC">
              <w:rPr>
                <w:spacing w:val="-4"/>
                <w:sz w:val="20"/>
              </w:rPr>
              <w:t xml:space="preserve"> </w:t>
            </w:r>
            <w:r w:rsidRPr="00150EDC">
              <w:rPr>
                <w:sz w:val="20"/>
              </w:rPr>
              <w:t>present during</w:t>
            </w:r>
            <w:r w:rsidRPr="00150EDC">
              <w:rPr>
                <w:spacing w:val="-4"/>
                <w:sz w:val="20"/>
              </w:rPr>
              <w:t xml:space="preserve"> </w:t>
            </w:r>
            <w:r w:rsidRPr="00150EDC">
              <w:rPr>
                <w:sz w:val="20"/>
              </w:rPr>
              <w:t>a</w:t>
            </w:r>
            <w:r w:rsidRPr="00150EDC">
              <w:rPr>
                <w:spacing w:val="-4"/>
                <w:sz w:val="20"/>
              </w:rPr>
              <w:t xml:space="preserve"> </w:t>
            </w:r>
            <w:r w:rsidRPr="00150EDC">
              <w:rPr>
                <w:sz w:val="20"/>
              </w:rPr>
              <w:t>sexual</w:t>
            </w:r>
            <w:r w:rsidRPr="00150EDC">
              <w:rPr>
                <w:spacing w:val="-2"/>
                <w:sz w:val="20"/>
              </w:rPr>
              <w:t xml:space="preserve"> activity</w:t>
            </w:r>
          </w:p>
        </w:tc>
      </w:tr>
      <w:tr w:rsidR="004569EE" w:rsidRPr="007D3144" w14:paraId="6886BCD4" w14:textId="77777777">
        <w:trPr>
          <w:trHeight w:val="255"/>
        </w:trPr>
        <w:tc>
          <w:tcPr>
            <w:tcW w:w="6517" w:type="dxa"/>
          </w:tcPr>
          <w:p w14:paraId="53C25EA3" w14:textId="77777777" w:rsidR="004C7180" w:rsidRPr="00150EDC" w:rsidRDefault="00CF0754">
            <w:pPr>
              <w:pStyle w:val="TableParagraph"/>
              <w:rPr>
                <w:sz w:val="20"/>
              </w:rPr>
            </w:pPr>
            <w:r w:rsidRPr="00150EDC">
              <w:rPr>
                <w:sz w:val="20"/>
              </w:rPr>
              <w:t>Sexual</w:t>
            </w:r>
            <w:r w:rsidRPr="00150EDC">
              <w:rPr>
                <w:spacing w:val="-7"/>
                <w:sz w:val="20"/>
              </w:rPr>
              <w:t xml:space="preserve"> </w:t>
            </w:r>
            <w:r w:rsidRPr="00150EDC">
              <w:rPr>
                <w:sz w:val="20"/>
              </w:rPr>
              <w:t>Offences</w:t>
            </w:r>
            <w:r w:rsidRPr="00150EDC">
              <w:rPr>
                <w:spacing w:val="-3"/>
                <w:sz w:val="20"/>
              </w:rPr>
              <w:t xml:space="preserve"> </w:t>
            </w:r>
            <w:r w:rsidRPr="00150EDC">
              <w:rPr>
                <w:sz w:val="20"/>
              </w:rPr>
              <w:t>(Scotland)</w:t>
            </w:r>
            <w:r w:rsidRPr="00150EDC">
              <w:rPr>
                <w:spacing w:val="-8"/>
                <w:sz w:val="20"/>
              </w:rPr>
              <w:t xml:space="preserve"> </w:t>
            </w:r>
            <w:r w:rsidRPr="00150EDC">
              <w:rPr>
                <w:sz w:val="20"/>
              </w:rPr>
              <w:t>Act</w:t>
            </w:r>
            <w:r w:rsidRPr="00150EDC">
              <w:rPr>
                <w:spacing w:val="-7"/>
                <w:sz w:val="20"/>
              </w:rPr>
              <w:t xml:space="preserve"> </w:t>
            </w:r>
            <w:r w:rsidRPr="00150EDC">
              <w:rPr>
                <w:sz w:val="20"/>
              </w:rPr>
              <w:t>2009,</w:t>
            </w:r>
            <w:r w:rsidRPr="00150EDC">
              <w:rPr>
                <w:spacing w:val="-8"/>
                <w:sz w:val="20"/>
              </w:rPr>
              <w:t xml:space="preserve"> </w:t>
            </w:r>
            <w:r w:rsidRPr="00150EDC">
              <w:rPr>
                <w:spacing w:val="-5"/>
                <w:sz w:val="20"/>
              </w:rPr>
              <w:t>s23</w:t>
            </w:r>
          </w:p>
        </w:tc>
        <w:tc>
          <w:tcPr>
            <w:tcW w:w="7427" w:type="dxa"/>
          </w:tcPr>
          <w:p w14:paraId="62B5839B" w14:textId="77777777" w:rsidR="004C7180" w:rsidRPr="00150EDC" w:rsidRDefault="00CF0754">
            <w:pPr>
              <w:pStyle w:val="TableParagraph"/>
              <w:rPr>
                <w:sz w:val="20"/>
              </w:rPr>
            </w:pPr>
            <w:r w:rsidRPr="00150EDC">
              <w:rPr>
                <w:sz w:val="20"/>
              </w:rPr>
              <w:t>Causing</w:t>
            </w:r>
            <w:r w:rsidRPr="00150EDC">
              <w:rPr>
                <w:spacing w:val="-5"/>
                <w:sz w:val="20"/>
              </w:rPr>
              <w:t xml:space="preserve"> </w:t>
            </w:r>
            <w:r w:rsidRPr="00150EDC">
              <w:rPr>
                <w:sz w:val="20"/>
              </w:rPr>
              <w:t>a</w:t>
            </w:r>
            <w:r w:rsidRPr="00150EDC">
              <w:rPr>
                <w:spacing w:val="-4"/>
                <w:sz w:val="20"/>
              </w:rPr>
              <w:t xml:space="preserve"> </w:t>
            </w:r>
            <w:r w:rsidRPr="00150EDC">
              <w:rPr>
                <w:sz w:val="20"/>
              </w:rPr>
              <w:t>young</w:t>
            </w:r>
            <w:r w:rsidRPr="00150EDC">
              <w:rPr>
                <w:spacing w:val="-5"/>
                <w:sz w:val="20"/>
              </w:rPr>
              <w:t xml:space="preserve"> </w:t>
            </w:r>
            <w:r w:rsidRPr="00150EDC">
              <w:rPr>
                <w:sz w:val="20"/>
              </w:rPr>
              <w:t>child</w:t>
            </w:r>
            <w:r w:rsidRPr="00150EDC">
              <w:rPr>
                <w:spacing w:val="-4"/>
                <w:sz w:val="20"/>
              </w:rPr>
              <w:t xml:space="preserve"> </w:t>
            </w:r>
            <w:r w:rsidRPr="00150EDC">
              <w:rPr>
                <w:sz w:val="20"/>
              </w:rPr>
              <w:t>to</w:t>
            </w:r>
            <w:r w:rsidRPr="00150EDC">
              <w:rPr>
                <w:spacing w:val="-4"/>
                <w:sz w:val="20"/>
              </w:rPr>
              <w:t xml:space="preserve"> </w:t>
            </w:r>
            <w:r w:rsidRPr="00150EDC">
              <w:rPr>
                <w:sz w:val="20"/>
              </w:rPr>
              <w:t>look</w:t>
            </w:r>
            <w:r w:rsidRPr="00150EDC">
              <w:rPr>
                <w:spacing w:val="-4"/>
                <w:sz w:val="20"/>
              </w:rPr>
              <w:t xml:space="preserve"> </w:t>
            </w:r>
            <w:r w:rsidRPr="00150EDC">
              <w:rPr>
                <w:sz w:val="20"/>
              </w:rPr>
              <w:t>at</w:t>
            </w:r>
            <w:r w:rsidRPr="00150EDC">
              <w:rPr>
                <w:spacing w:val="-4"/>
                <w:sz w:val="20"/>
              </w:rPr>
              <w:t xml:space="preserve"> </w:t>
            </w:r>
            <w:r w:rsidRPr="00150EDC">
              <w:rPr>
                <w:sz w:val="20"/>
              </w:rPr>
              <w:t>a sexual</w:t>
            </w:r>
            <w:r w:rsidRPr="00150EDC">
              <w:rPr>
                <w:spacing w:val="-2"/>
                <w:sz w:val="20"/>
              </w:rPr>
              <w:t xml:space="preserve"> </w:t>
            </w:r>
            <w:r w:rsidRPr="00150EDC">
              <w:rPr>
                <w:spacing w:val="-4"/>
                <w:sz w:val="20"/>
              </w:rPr>
              <w:t>image</w:t>
            </w:r>
          </w:p>
        </w:tc>
      </w:tr>
      <w:tr w:rsidR="004569EE" w:rsidRPr="007D3144" w14:paraId="79303331" w14:textId="77777777">
        <w:trPr>
          <w:trHeight w:val="255"/>
        </w:trPr>
        <w:tc>
          <w:tcPr>
            <w:tcW w:w="6517" w:type="dxa"/>
          </w:tcPr>
          <w:p w14:paraId="140703F5" w14:textId="77777777" w:rsidR="004C7180" w:rsidRPr="00150EDC" w:rsidRDefault="00CF0754">
            <w:pPr>
              <w:pStyle w:val="TableParagraph"/>
              <w:rPr>
                <w:sz w:val="20"/>
              </w:rPr>
            </w:pPr>
            <w:r w:rsidRPr="00150EDC">
              <w:rPr>
                <w:sz w:val="20"/>
              </w:rPr>
              <w:t>Sexual</w:t>
            </w:r>
            <w:r w:rsidRPr="00150EDC">
              <w:rPr>
                <w:spacing w:val="-7"/>
                <w:sz w:val="20"/>
              </w:rPr>
              <w:t xml:space="preserve"> </w:t>
            </w:r>
            <w:r w:rsidRPr="00150EDC">
              <w:rPr>
                <w:sz w:val="20"/>
              </w:rPr>
              <w:t>Offences</w:t>
            </w:r>
            <w:r w:rsidRPr="00150EDC">
              <w:rPr>
                <w:spacing w:val="-3"/>
                <w:sz w:val="20"/>
              </w:rPr>
              <w:t xml:space="preserve"> </w:t>
            </w:r>
            <w:r w:rsidRPr="00150EDC">
              <w:rPr>
                <w:sz w:val="20"/>
              </w:rPr>
              <w:t>(Scotland)</w:t>
            </w:r>
            <w:r w:rsidRPr="00150EDC">
              <w:rPr>
                <w:spacing w:val="-8"/>
                <w:sz w:val="20"/>
              </w:rPr>
              <w:t xml:space="preserve"> </w:t>
            </w:r>
            <w:r w:rsidRPr="00150EDC">
              <w:rPr>
                <w:sz w:val="20"/>
              </w:rPr>
              <w:t>Act</w:t>
            </w:r>
            <w:r w:rsidRPr="00150EDC">
              <w:rPr>
                <w:spacing w:val="-7"/>
                <w:sz w:val="20"/>
              </w:rPr>
              <w:t xml:space="preserve"> </w:t>
            </w:r>
            <w:r w:rsidRPr="00150EDC">
              <w:rPr>
                <w:sz w:val="20"/>
              </w:rPr>
              <w:t>2009,</w:t>
            </w:r>
            <w:r w:rsidRPr="00150EDC">
              <w:rPr>
                <w:spacing w:val="-8"/>
                <w:sz w:val="20"/>
              </w:rPr>
              <w:t xml:space="preserve"> </w:t>
            </w:r>
            <w:r w:rsidRPr="00150EDC">
              <w:rPr>
                <w:spacing w:val="-5"/>
                <w:sz w:val="20"/>
              </w:rPr>
              <w:t>s24</w:t>
            </w:r>
          </w:p>
        </w:tc>
        <w:tc>
          <w:tcPr>
            <w:tcW w:w="7427" w:type="dxa"/>
          </w:tcPr>
          <w:p w14:paraId="6C2F99E7" w14:textId="77777777" w:rsidR="004C7180" w:rsidRPr="00150EDC" w:rsidRDefault="00CF0754">
            <w:pPr>
              <w:pStyle w:val="TableParagraph"/>
              <w:rPr>
                <w:sz w:val="20"/>
              </w:rPr>
            </w:pPr>
            <w:r w:rsidRPr="00150EDC">
              <w:rPr>
                <w:sz w:val="20"/>
              </w:rPr>
              <w:t>Communicating</w:t>
            </w:r>
            <w:r w:rsidRPr="00150EDC">
              <w:rPr>
                <w:spacing w:val="-7"/>
                <w:sz w:val="20"/>
              </w:rPr>
              <w:t xml:space="preserve"> </w:t>
            </w:r>
            <w:r w:rsidRPr="00150EDC">
              <w:rPr>
                <w:sz w:val="20"/>
              </w:rPr>
              <w:t>indecently</w:t>
            </w:r>
            <w:r w:rsidRPr="00150EDC">
              <w:rPr>
                <w:spacing w:val="-5"/>
                <w:sz w:val="20"/>
              </w:rPr>
              <w:t xml:space="preserve"> </w:t>
            </w:r>
            <w:r w:rsidRPr="00150EDC">
              <w:rPr>
                <w:sz w:val="20"/>
              </w:rPr>
              <w:t>with</w:t>
            </w:r>
            <w:r w:rsidRPr="00150EDC">
              <w:rPr>
                <w:spacing w:val="-2"/>
                <w:sz w:val="20"/>
              </w:rPr>
              <w:t xml:space="preserve"> </w:t>
            </w:r>
            <w:r w:rsidRPr="00150EDC">
              <w:rPr>
                <w:sz w:val="20"/>
              </w:rPr>
              <w:t>a</w:t>
            </w:r>
            <w:r w:rsidRPr="00150EDC">
              <w:rPr>
                <w:spacing w:val="-7"/>
                <w:sz w:val="20"/>
              </w:rPr>
              <w:t xml:space="preserve"> </w:t>
            </w:r>
            <w:r w:rsidRPr="00150EDC">
              <w:rPr>
                <w:sz w:val="20"/>
              </w:rPr>
              <w:t>young</w:t>
            </w:r>
            <w:r w:rsidRPr="00150EDC">
              <w:rPr>
                <w:spacing w:val="-6"/>
                <w:sz w:val="20"/>
              </w:rPr>
              <w:t xml:space="preserve"> </w:t>
            </w:r>
            <w:r w:rsidRPr="00150EDC">
              <w:rPr>
                <w:sz w:val="20"/>
              </w:rPr>
              <w:t>child</w:t>
            </w:r>
            <w:r w:rsidRPr="00150EDC">
              <w:rPr>
                <w:spacing w:val="-2"/>
                <w:sz w:val="20"/>
              </w:rPr>
              <w:t xml:space="preserve"> </w:t>
            </w:r>
            <w:r w:rsidRPr="00150EDC">
              <w:rPr>
                <w:spacing w:val="-5"/>
                <w:sz w:val="20"/>
              </w:rPr>
              <w:t>etc</w:t>
            </w:r>
          </w:p>
        </w:tc>
      </w:tr>
      <w:tr w:rsidR="004569EE" w:rsidRPr="007D3144" w14:paraId="75EAA347" w14:textId="77777777">
        <w:trPr>
          <w:trHeight w:val="255"/>
        </w:trPr>
        <w:tc>
          <w:tcPr>
            <w:tcW w:w="6517" w:type="dxa"/>
          </w:tcPr>
          <w:p w14:paraId="4928DDCE" w14:textId="77777777" w:rsidR="004C7180" w:rsidRPr="00150EDC" w:rsidRDefault="00CF0754">
            <w:pPr>
              <w:pStyle w:val="TableParagraph"/>
              <w:rPr>
                <w:sz w:val="20"/>
              </w:rPr>
            </w:pPr>
            <w:r w:rsidRPr="00150EDC">
              <w:rPr>
                <w:sz w:val="20"/>
              </w:rPr>
              <w:t>Sexual</w:t>
            </w:r>
            <w:r w:rsidRPr="00150EDC">
              <w:rPr>
                <w:spacing w:val="-7"/>
                <w:sz w:val="20"/>
              </w:rPr>
              <w:t xml:space="preserve"> </w:t>
            </w:r>
            <w:r w:rsidRPr="00150EDC">
              <w:rPr>
                <w:sz w:val="20"/>
              </w:rPr>
              <w:t>Offences</w:t>
            </w:r>
            <w:r w:rsidRPr="00150EDC">
              <w:rPr>
                <w:spacing w:val="-3"/>
                <w:sz w:val="20"/>
              </w:rPr>
              <w:t xml:space="preserve"> </w:t>
            </w:r>
            <w:r w:rsidRPr="00150EDC">
              <w:rPr>
                <w:sz w:val="20"/>
              </w:rPr>
              <w:t>(Scotland)</w:t>
            </w:r>
            <w:r w:rsidRPr="00150EDC">
              <w:rPr>
                <w:spacing w:val="-8"/>
                <w:sz w:val="20"/>
              </w:rPr>
              <w:t xml:space="preserve"> </w:t>
            </w:r>
            <w:r w:rsidRPr="00150EDC">
              <w:rPr>
                <w:sz w:val="20"/>
              </w:rPr>
              <w:t>Act</w:t>
            </w:r>
            <w:r w:rsidRPr="00150EDC">
              <w:rPr>
                <w:spacing w:val="-7"/>
                <w:sz w:val="20"/>
              </w:rPr>
              <w:t xml:space="preserve"> </w:t>
            </w:r>
            <w:r w:rsidRPr="00150EDC">
              <w:rPr>
                <w:sz w:val="20"/>
              </w:rPr>
              <w:t>2009,</w:t>
            </w:r>
            <w:r w:rsidRPr="00150EDC">
              <w:rPr>
                <w:spacing w:val="-8"/>
                <w:sz w:val="20"/>
              </w:rPr>
              <w:t xml:space="preserve"> </w:t>
            </w:r>
            <w:r w:rsidRPr="00150EDC">
              <w:rPr>
                <w:spacing w:val="-5"/>
                <w:sz w:val="20"/>
              </w:rPr>
              <w:t>s25</w:t>
            </w:r>
          </w:p>
        </w:tc>
        <w:tc>
          <w:tcPr>
            <w:tcW w:w="7427" w:type="dxa"/>
          </w:tcPr>
          <w:p w14:paraId="3FD1FD2E" w14:textId="77777777" w:rsidR="004C7180" w:rsidRPr="00150EDC" w:rsidRDefault="00CF0754">
            <w:pPr>
              <w:pStyle w:val="TableParagraph"/>
              <w:rPr>
                <w:sz w:val="20"/>
              </w:rPr>
            </w:pPr>
            <w:r w:rsidRPr="00150EDC">
              <w:rPr>
                <w:sz w:val="20"/>
              </w:rPr>
              <w:t>Sexual</w:t>
            </w:r>
            <w:r w:rsidRPr="00150EDC">
              <w:rPr>
                <w:spacing w:val="-4"/>
                <w:sz w:val="20"/>
              </w:rPr>
              <w:t xml:space="preserve"> </w:t>
            </w:r>
            <w:r w:rsidRPr="00150EDC">
              <w:rPr>
                <w:sz w:val="20"/>
              </w:rPr>
              <w:t>exposure</w:t>
            </w:r>
            <w:r w:rsidRPr="00150EDC">
              <w:rPr>
                <w:spacing w:val="-5"/>
                <w:sz w:val="20"/>
              </w:rPr>
              <w:t xml:space="preserve"> </w:t>
            </w:r>
            <w:r w:rsidRPr="00150EDC">
              <w:rPr>
                <w:sz w:val="20"/>
              </w:rPr>
              <w:t>to</w:t>
            </w:r>
            <w:r w:rsidRPr="00150EDC">
              <w:rPr>
                <w:spacing w:val="-1"/>
                <w:sz w:val="20"/>
              </w:rPr>
              <w:t xml:space="preserve"> </w:t>
            </w:r>
            <w:r w:rsidRPr="00150EDC">
              <w:rPr>
                <w:sz w:val="20"/>
              </w:rPr>
              <w:t>a</w:t>
            </w:r>
            <w:r w:rsidRPr="00150EDC">
              <w:rPr>
                <w:spacing w:val="-5"/>
                <w:sz w:val="20"/>
              </w:rPr>
              <w:t xml:space="preserve"> </w:t>
            </w:r>
            <w:r w:rsidRPr="00150EDC">
              <w:rPr>
                <w:sz w:val="20"/>
              </w:rPr>
              <w:t>young</w:t>
            </w:r>
            <w:r w:rsidRPr="00150EDC">
              <w:rPr>
                <w:spacing w:val="-5"/>
                <w:sz w:val="20"/>
              </w:rPr>
              <w:t xml:space="preserve"> </w:t>
            </w:r>
            <w:r w:rsidRPr="00150EDC">
              <w:rPr>
                <w:spacing w:val="-4"/>
                <w:sz w:val="20"/>
              </w:rPr>
              <w:t>child</w:t>
            </w:r>
          </w:p>
        </w:tc>
      </w:tr>
      <w:tr w:rsidR="004569EE" w:rsidRPr="007D3144" w14:paraId="6FE4ADAA" w14:textId="77777777">
        <w:trPr>
          <w:trHeight w:val="255"/>
        </w:trPr>
        <w:tc>
          <w:tcPr>
            <w:tcW w:w="6517" w:type="dxa"/>
          </w:tcPr>
          <w:p w14:paraId="4586C544" w14:textId="77777777" w:rsidR="004C7180" w:rsidRPr="00150EDC" w:rsidRDefault="00CF0754">
            <w:pPr>
              <w:pStyle w:val="TableParagraph"/>
              <w:spacing w:before="28"/>
              <w:rPr>
                <w:sz w:val="20"/>
              </w:rPr>
            </w:pPr>
            <w:r w:rsidRPr="00150EDC">
              <w:rPr>
                <w:sz w:val="20"/>
              </w:rPr>
              <w:t>Sexual</w:t>
            </w:r>
            <w:r w:rsidRPr="00150EDC">
              <w:rPr>
                <w:spacing w:val="-7"/>
                <w:sz w:val="20"/>
              </w:rPr>
              <w:t xml:space="preserve"> </w:t>
            </w:r>
            <w:r w:rsidRPr="00150EDC">
              <w:rPr>
                <w:sz w:val="20"/>
              </w:rPr>
              <w:t>Offences</w:t>
            </w:r>
            <w:r w:rsidRPr="00150EDC">
              <w:rPr>
                <w:spacing w:val="-3"/>
                <w:sz w:val="20"/>
              </w:rPr>
              <w:t xml:space="preserve"> </w:t>
            </w:r>
            <w:r w:rsidRPr="00150EDC">
              <w:rPr>
                <w:sz w:val="20"/>
              </w:rPr>
              <w:t>(Scotland)</w:t>
            </w:r>
            <w:r w:rsidRPr="00150EDC">
              <w:rPr>
                <w:spacing w:val="-8"/>
                <w:sz w:val="20"/>
              </w:rPr>
              <w:t xml:space="preserve"> </w:t>
            </w:r>
            <w:r w:rsidRPr="00150EDC">
              <w:rPr>
                <w:sz w:val="20"/>
              </w:rPr>
              <w:t>Act</w:t>
            </w:r>
            <w:r w:rsidRPr="00150EDC">
              <w:rPr>
                <w:spacing w:val="-7"/>
                <w:sz w:val="20"/>
              </w:rPr>
              <w:t xml:space="preserve"> </w:t>
            </w:r>
            <w:r w:rsidRPr="00150EDC">
              <w:rPr>
                <w:sz w:val="20"/>
              </w:rPr>
              <w:t>2009,</w:t>
            </w:r>
            <w:r w:rsidRPr="00150EDC">
              <w:rPr>
                <w:spacing w:val="-8"/>
                <w:sz w:val="20"/>
              </w:rPr>
              <w:t xml:space="preserve"> </w:t>
            </w:r>
            <w:r w:rsidRPr="00150EDC">
              <w:rPr>
                <w:spacing w:val="-5"/>
                <w:sz w:val="20"/>
              </w:rPr>
              <w:t>s26</w:t>
            </w:r>
          </w:p>
        </w:tc>
        <w:tc>
          <w:tcPr>
            <w:tcW w:w="7427" w:type="dxa"/>
          </w:tcPr>
          <w:p w14:paraId="5E4A9FE3" w14:textId="77777777" w:rsidR="004C7180" w:rsidRPr="00150EDC" w:rsidRDefault="00CF0754">
            <w:pPr>
              <w:pStyle w:val="TableParagraph"/>
              <w:spacing w:before="28"/>
              <w:rPr>
                <w:sz w:val="20"/>
              </w:rPr>
            </w:pPr>
            <w:r w:rsidRPr="00150EDC">
              <w:rPr>
                <w:sz w:val="20"/>
              </w:rPr>
              <w:t>Voyeurism</w:t>
            </w:r>
            <w:r w:rsidRPr="00150EDC">
              <w:rPr>
                <w:spacing w:val="-6"/>
                <w:sz w:val="20"/>
              </w:rPr>
              <w:t xml:space="preserve"> </w:t>
            </w:r>
            <w:r w:rsidRPr="00150EDC">
              <w:rPr>
                <w:sz w:val="20"/>
              </w:rPr>
              <w:t>towards</w:t>
            </w:r>
            <w:r w:rsidRPr="00150EDC">
              <w:rPr>
                <w:spacing w:val="-5"/>
                <w:sz w:val="20"/>
              </w:rPr>
              <w:t xml:space="preserve"> </w:t>
            </w:r>
            <w:r w:rsidRPr="00150EDC">
              <w:rPr>
                <w:sz w:val="20"/>
              </w:rPr>
              <w:t>a</w:t>
            </w:r>
            <w:r w:rsidRPr="00150EDC">
              <w:rPr>
                <w:spacing w:val="-1"/>
                <w:sz w:val="20"/>
              </w:rPr>
              <w:t xml:space="preserve"> </w:t>
            </w:r>
            <w:r w:rsidRPr="00150EDC">
              <w:rPr>
                <w:sz w:val="20"/>
              </w:rPr>
              <w:t>young</w:t>
            </w:r>
            <w:r w:rsidRPr="00150EDC">
              <w:rPr>
                <w:spacing w:val="-5"/>
                <w:sz w:val="20"/>
              </w:rPr>
              <w:t xml:space="preserve"> </w:t>
            </w:r>
            <w:r w:rsidRPr="00150EDC">
              <w:rPr>
                <w:spacing w:val="-2"/>
                <w:sz w:val="20"/>
              </w:rPr>
              <w:t>child</w:t>
            </w:r>
          </w:p>
        </w:tc>
      </w:tr>
      <w:tr w:rsidR="004569EE" w:rsidRPr="007D3144" w14:paraId="5F25E373" w14:textId="77777777">
        <w:trPr>
          <w:trHeight w:val="255"/>
        </w:trPr>
        <w:tc>
          <w:tcPr>
            <w:tcW w:w="6517" w:type="dxa"/>
          </w:tcPr>
          <w:p w14:paraId="32E749AC" w14:textId="77777777" w:rsidR="004C7180" w:rsidRPr="00150EDC" w:rsidRDefault="00CF0754">
            <w:pPr>
              <w:pStyle w:val="TableParagraph"/>
              <w:rPr>
                <w:sz w:val="20"/>
              </w:rPr>
            </w:pPr>
            <w:r w:rsidRPr="00150EDC">
              <w:rPr>
                <w:sz w:val="20"/>
              </w:rPr>
              <w:t>Sexual</w:t>
            </w:r>
            <w:r w:rsidRPr="00150EDC">
              <w:rPr>
                <w:spacing w:val="-7"/>
                <w:sz w:val="20"/>
              </w:rPr>
              <w:t xml:space="preserve"> </w:t>
            </w:r>
            <w:r w:rsidRPr="00150EDC">
              <w:rPr>
                <w:sz w:val="20"/>
              </w:rPr>
              <w:t>Offences</w:t>
            </w:r>
            <w:r w:rsidRPr="00150EDC">
              <w:rPr>
                <w:spacing w:val="-3"/>
                <w:sz w:val="20"/>
              </w:rPr>
              <w:t xml:space="preserve"> </w:t>
            </w:r>
            <w:r w:rsidRPr="00150EDC">
              <w:rPr>
                <w:sz w:val="20"/>
              </w:rPr>
              <w:t>(Scotland)</w:t>
            </w:r>
            <w:r w:rsidRPr="00150EDC">
              <w:rPr>
                <w:spacing w:val="-8"/>
                <w:sz w:val="20"/>
              </w:rPr>
              <w:t xml:space="preserve"> </w:t>
            </w:r>
            <w:r w:rsidRPr="00150EDC">
              <w:rPr>
                <w:sz w:val="20"/>
              </w:rPr>
              <w:t>Act</w:t>
            </w:r>
            <w:r w:rsidRPr="00150EDC">
              <w:rPr>
                <w:spacing w:val="-7"/>
                <w:sz w:val="20"/>
              </w:rPr>
              <w:t xml:space="preserve"> </w:t>
            </w:r>
            <w:r w:rsidRPr="00150EDC">
              <w:rPr>
                <w:sz w:val="20"/>
              </w:rPr>
              <w:t>2009,</w:t>
            </w:r>
            <w:r w:rsidRPr="00150EDC">
              <w:rPr>
                <w:spacing w:val="-8"/>
                <w:sz w:val="20"/>
              </w:rPr>
              <w:t xml:space="preserve"> </w:t>
            </w:r>
            <w:r w:rsidRPr="00150EDC">
              <w:rPr>
                <w:spacing w:val="-5"/>
                <w:sz w:val="20"/>
              </w:rPr>
              <w:t>s28</w:t>
            </w:r>
          </w:p>
        </w:tc>
        <w:tc>
          <w:tcPr>
            <w:tcW w:w="7427" w:type="dxa"/>
          </w:tcPr>
          <w:p w14:paraId="6E020926" w14:textId="77777777" w:rsidR="004C7180" w:rsidRPr="00150EDC" w:rsidRDefault="00CF0754">
            <w:pPr>
              <w:pStyle w:val="TableParagraph"/>
              <w:rPr>
                <w:sz w:val="20"/>
              </w:rPr>
            </w:pPr>
            <w:r w:rsidRPr="00150EDC">
              <w:rPr>
                <w:sz w:val="20"/>
              </w:rPr>
              <w:t>Having</w:t>
            </w:r>
            <w:r w:rsidRPr="00150EDC">
              <w:rPr>
                <w:spacing w:val="-7"/>
                <w:sz w:val="20"/>
              </w:rPr>
              <w:t xml:space="preserve"> </w:t>
            </w:r>
            <w:r w:rsidRPr="00150EDC">
              <w:rPr>
                <w:sz w:val="20"/>
              </w:rPr>
              <w:t>intercourse</w:t>
            </w:r>
            <w:r w:rsidRPr="00150EDC">
              <w:rPr>
                <w:spacing w:val="-3"/>
                <w:sz w:val="20"/>
              </w:rPr>
              <w:t xml:space="preserve"> </w:t>
            </w:r>
            <w:r w:rsidRPr="00150EDC">
              <w:rPr>
                <w:sz w:val="20"/>
              </w:rPr>
              <w:t>with</w:t>
            </w:r>
            <w:r w:rsidRPr="00150EDC">
              <w:rPr>
                <w:spacing w:val="-6"/>
                <w:sz w:val="20"/>
              </w:rPr>
              <w:t xml:space="preserve"> </w:t>
            </w:r>
            <w:r w:rsidRPr="00150EDC">
              <w:rPr>
                <w:sz w:val="20"/>
              </w:rPr>
              <w:t>an</w:t>
            </w:r>
            <w:r w:rsidRPr="00150EDC">
              <w:rPr>
                <w:spacing w:val="-3"/>
                <w:sz w:val="20"/>
              </w:rPr>
              <w:t xml:space="preserve"> </w:t>
            </w:r>
            <w:r w:rsidRPr="00150EDC">
              <w:rPr>
                <w:sz w:val="20"/>
              </w:rPr>
              <w:t>older</w:t>
            </w:r>
            <w:r w:rsidRPr="00150EDC">
              <w:rPr>
                <w:spacing w:val="-2"/>
                <w:sz w:val="20"/>
              </w:rPr>
              <w:t xml:space="preserve"> </w:t>
            </w:r>
            <w:r w:rsidRPr="00150EDC">
              <w:rPr>
                <w:spacing w:val="-4"/>
                <w:sz w:val="20"/>
              </w:rPr>
              <w:t>child</w:t>
            </w:r>
          </w:p>
        </w:tc>
      </w:tr>
      <w:tr w:rsidR="004569EE" w:rsidRPr="007D3144" w14:paraId="0949AD81" w14:textId="77777777">
        <w:trPr>
          <w:trHeight w:val="255"/>
        </w:trPr>
        <w:tc>
          <w:tcPr>
            <w:tcW w:w="6517" w:type="dxa"/>
          </w:tcPr>
          <w:p w14:paraId="4B939B4D" w14:textId="77777777" w:rsidR="004C7180" w:rsidRPr="00150EDC" w:rsidRDefault="00CF0754">
            <w:pPr>
              <w:pStyle w:val="TableParagraph"/>
              <w:rPr>
                <w:sz w:val="20"/>
              </w:rPr>
            </w:pPr>
            <w:r w:rsidRPr="00150EDC">
              <w:rPr>
                <w:sz w:val="20"/>
              </w:rPr>
              <w:t>Sexual</w:t>
            </w:r>
            <w:r w:rsidRPr="00150EDC">
              <w:rPr>
                <w:spacing w:val="-7"/>
                <w:sz w:val="20"/>
              </w:rPr>
              <w:t xml:space="preserve"> </w:t>
            </w:r>
            <w:r w:rsidRPr="00150EDC">
              <w:rPr>
                <w:sz w:val="20"/>
              </w:rPr>
              <w:t>Offences</w:t>
            </w:r>
            <w:r w:rsidRPr="00150EDC">
              <w:rPr>
                <w:spacing w:val="-3"/>
                <w:sz w:val="20"/>
              </w:rPr>
              <w:t xml:space="preserve"> </w:t>
            </w:r>
            <w:r w:rsidRPr="00150EDC">
              <w:rPr>
                <w:sz w:val="20"/>
              </w:rPr>
              <w:t>(Scotland)</w:t>
            </w:r>
            <w:r w:rsidRPr="00150EDC">
              <w:rPr>
                <w:spacing w:val="-8"/>
                <w:sz w:val="20"/>
              </w:rPr>
              <w:t xml:space="preserve"> </w:t>
            </w:r>
            <w:r w:rsidRPr="00150EDC">
              <w:rPr>
                <w:sz w:val="20"/>
              </w:rPr>
              <w:t>Act</w:t>
            </w:r>
            <w:r w:rsidRPr="00150EDC">
              <w:rPr>
                <w:spacing w:val="-7"/>
                <w:sz w:val="20"/>
              </w:rPr>
              <w:t xml:space="preserve"> </w:t>
            </w:r>
            <w:r w:rsidRPr="00150EDC">
              <w:rPr>
                <w:sz w:val="20"/>
              </w:rPr>
              <w:t>2009,</w:t>
            </w:r>
            <w:r w:rsidRPr="00150EDC">
              <w:rPr>
                <w:spacing w:val="-8"/>
                <w:sz w:val="20"/>
              </w:rPr>
              <w:t xml:space="preserve"> </w:t>
            </w:r>
            <w:r w:rsidRPr="00150EDC">
              <w:rPr>
                <w:spacing w:val="-5"/>
                <w:sz w:val="20"/>
              </w:rPr>
              <w:t>s29</w:t>
            </w:r>
          </w:p>
        </w:tc>
        <w:tc>
          <w:tcPr>
            <w:tcW w:w="7427" w:type="dxa"/>
          </w:tcPr>
          <w:p w14:paraId="78B9C1B8" w14:textId="77777777" w:rsidR="004C7180" w:rsidRPr="00150EDC" w:rsidRDefault="00CF0754">
            <w:pPr>
              <w:pStyle w:val="TableParagraph"/>
              <w:rPr>
                <w:sz w:val="20"/>
              </w:rPr>
            </w:pPr>
            <w:r w:rsidRPr="00150EDC">
              <w:rPr>
                <w:sz w:val="20"/>
              </w:rPr>
              <w:t>Engaging</w:t>
            </w:r>
            <w:r w:rsidRPr="00150EDC">
              <w:rPr>
                <w:spacing w:val="-8"/>
                <w:sz w:val="20"/>
              </w:rPr>
              <w:t xml:space="preserve"> </w:t>
            </w:r>
            <w:r w:rsidRPr="00150EDC">
              <w:rPr>
                <w:sz w:val="20"/>
              </w:rPr>
              <w:t>in</w:t>
            </w:r>
            <w:r w:rsidRPr="00150EDC">
              <w:rPr>
                <w:spacing w:val="-2"/>
                <w:sz w:val="20"/>
              </w:rPr>
              <w:t xml:space="preserve"> </w:t>
            </w:r>
            <w:r w:rsidRPr="00150EDC">
              <w:rPr>
                <w:sz w:val="20"/>
              </w:rPr>
              <w:t>penetrative</w:t>
            </w:r>
            <w:r w:rsidRPr="00150EDC">
              <w:rPr>
                <w:spacing w:val="-6"/>
                <w:sz w:val="20"/>
              </w:rPr>
              <w:t xml:space="preserve"> </w:t>
            </w:r>
            <w:r w:rsidRPr="00150EDC">
              <w:rPr>
                <w:sz w:val="20"/>
              </w:rPr>
              <w:t>sexual</w:t>
            </w:r>
            <w:r w:rsidRPr="00150EDC">
              <w:rPr>
                <w:spacing w:val="-4"/>
                <w:sz w:val="20"/>
              </w:rPr>
              <w:t xml:space="preserve"> </w:t>
            </w:r>
            <w:r w:rsidRPr="00150EDC">
              <w:rPr>
                <w:sz w:val="20"/>
              </w:rPr>
              <w:t>activity</w:t>
            </w:r>
            <w:r w:rsidRPr="00150EDC">
              <w:rPr>
                <w:spacing w:val="-5"/>
                <w:sz w:val="20"/>
              </w:rPr>
              <w:t xml:space="preserve"> </w:t>
            </w:r>
            <w:r w:rsidRPr="00150EDC">
              <w:rPr>
                <w:sz w:val="20"/>
              </w:rPr>
              <w:t>with</w:t>
            </w:r>
            <w:r w:rsidRPr="00150EDC">
              <w:rPr>
                <w:spacing w:val="-6"/>
                <w:sz w:val="20"/>
              </w:rPr>
              <w:t xml:space="preserve"> </w:t>
            </w:r>
            <w:r w:rsidRPr="00150EDC">
              <w:rPr>
                <w:sz w:val="20"/>
              </w:rPr>
              <w:t>or</w:t>
            </w:r>
            <w:r w:rsidRPr="00150EDC">
              <w:rPr>
                <w:spacing w:val="-2"/>
                <w:sz w:val="20"/>
              </w:rPr>
              <w:t xml:space="preserve"> </w:t>
            </w:r>
            <w:r w:rsidRPr="00150EDC">
              <w:rPr>
                <w:sz w:val="20"/>
              </w:rPr>
              <w:t>towards</w:t>
            </w:r>
            <w:r w:rsidRPr="00150EDC">
              <w:rPr>
                <w:spacing w:val="-5"/>
                <w:sz w:val="20"/>
              </w:rPr>
              <w:t xml:space="preserve"> </w:t>
            </w:r>
            <w:r w:rsidRPr="00150EDC">
              <w:rPr>
                <w:sz w:val="20"/>
              </w:rPr>
              <w:t>an</w:t>
            </w:r>
            <w:r w:rsidRPr="00150EDC">
              <w:rPr>
                <w:spacing w:val="-2"/>
                <w:sz w:val="20"/>
              </w:rPr>
              <w:t xml:space="preserve"> </w:t>
            </w:r>
            <w:r w:rsidRPr="00150EDC">
              <w:rPr>
                <w:sz w:val="20"/>
              </w:rPr>
              <w:t>older</w:t>
            </w:r>
            <w:r w:rsidRPr="00150EDC">
              <w:rPr>
                <w:spacing w:val="-5"/>
                <w:sz w:val="20"/>
              </w:rPr>
              <w:t xml:space="preserve"> </w:t>
            </w:r>
            <w:r w:rsidRPr="00150EDC">
              <w:rPr>
                <w:spacing w:val="-2"/>
                <w:sz w:val="20"/>
              </w:rPr>
              <w:t>child</w:t>
            </w:r>
          </w:p>
        </w:tc>
      </w:tr>
      <w:tr w:rsidR="004569EE" w:rsidRPr="007D3144" w14:paraId="3E2ECED5" w14:textId="77777777">
        <w:trPr>
          <w:trHeight w:val="255"/>
        </w:trPr>
        <w:tc>
          <w:tcPr>
            <w:tcW w:w="6517" w:type="dxa"/>
          </w:tcPr>
          <w:p w14:paraId="6A91D280" w14:textId="77777777" w:rsidR="004C7180" w:rsidRPr="00150EDC" w:rsidRDefault="00CF0754">
            <w:pPr>
              <w:pStyle w:val="TableParagraph"/>
              <w:rPr>
                <w:sz w:val="20"/>
              </w:rPr>
            </w:pPr>
            <w:r w:rsidRPr="00150EDC">
              <w:rPr>
                <w:sz w:val="20"/>
              </w:rPr>
              <w:t>Sexual</w:t>
            </w:r>
            <w:r w:rsidRPr="00150EDC">
              <w:rPr>
                <w:spacing w:val="-7"/>
                <w:sz w:val="20"/>
              </w:rPr>
              <w:t xml:space="preserve"> </w:t>
            </w:r>
            <w:r w:rsidRPr="00150EDC">
              <w:rPr>
                <w:sz w:val="20"/>
              </w:rPr>
              <w:t>Offences</w:t>
            </w:r>
            <w:r w:rsidRPr="00150EDC">
              <w:rPr>
                <w:spacing w:val="-3"/>
                <w:sz w:val="20"/>
              </w:rPr>
              <w:t xml:space="preserve"> </w:t>
            </w:r>
            <w:r w:rsidRPr="00150EDC">
              <w:rPr>
                <w:sz w:val="20"/>
              </w:rPr>
              <w:t>(Scotland)</w:t>
            </w:r>
            <w:r w:rsidRPr="00150EDC">
              <w:rPr>
                <w:spacing w:val="-8"/>
                <w:sz w:val="20"/>
              </w:rPr>
              <w:t xml:space="preserve"> </w:t>
            </w:r>
            <w:r w:rsidRPr="00150EDC">
              <w:rPr>
                <w:sz w:val="20"/>
              </w:rPr>
              <w:t>Act</w:t>
            </w:r>
            <w:r w:rsidRPr="00150EDC">
              <w:rPr>
                <w:spacing w:val="-7"/>
                <w:sz w:val="20"/>
              </w:rPr>
              <w:t xml:space="preserve"> </w:t>
            </w:r>
            <w:r w:rsidRPr="00150EDC">
              <w:rPr>
                <w:sz w:val="20"/>
              </w:rPr>
              <w:t>2009,</w:t>
            </w:r>
            <w:r w:rsidRPr="00150EDC">
              <w:rPr>
                <w:spacing w:val="-8"/>
                <w:sz w:val="20"/>
              </w:rPr>
              <w:t xml:space="preserve"> </w:t>
            </w:r>
            <w:r w:rsidRPr="00150EDC">
              <w:rPr>
                <w:spacing w:val="-5"/>
                <w:sz w:val="20"/>
              </w:rPr>
              <w:t>s30</w:t>
            </w:r>
          </w:p>
        </w:tc>
        <w:tc>
          <w:tcPr>
            <w:tcW w:w="7427" w:type="dxa"/>
          </w:tcPr>
          <w:p w14:paraId="774571E1" w14:textId="77777777" w:rsidR="004C7180" w:rsidRPr="00150EDC" w:rsidRDefault="00CF0754">
            <w:pPr>
              <w:pStyle w:val="TableParagraph"/>
              <w:rPr>
                <w:sz w:val="20"/>
              </w:rPr>
            </w:pPr>
            <w:r w:rsidRPr="00150EDC">
              <w:rPr>
                <w:sz w:val="20"/>
              </w:rPr>
              <w:t>Engaging</w:t>
            </w:r>
            <w:r w:rsidRPr="00150EDC">
              <w:rPr>
                <w:spacing w:val="-6"/>
                <w:sz w:val="20"/>
              </w:rPr>
              <w:t xml:space="preserve"> </w:t>
            </w:r>
            <w:r w:rsidRPr="00150EDC">
              <w:rPr>
                <w:sz w:val="20"/>
              </w:rPr>
              <w:t>in</w:t>
            </w:r>
            <w:r w:rsidRPr="00150EDC">
              <w:rPr>
                <w:spacing w:val="-5"/>
                <w:sz w:val="20"/>
              </w:rPr>
              <w:t xml:space="preserve"> </w:t>
            </w:r>
            <w:r w:rsidRPr="00150EDC">
              <w:rPr>
                <w:sz w:val="20"/>
              </w:rPr>
              <w:t>sexual</w:t>
            </w:r>
            <w:r w:rsidRPr="00150EDC">
              <w:rPr>
                <w:spacing w:val="-3"/>
                <w:sz w:val="20"/>
              </w:rPr>
              <w:t xml:space="preserve"> </w:t>
            </w:r>
            <w:r w:rsidRPr="00150EDC">
              <w:rPr>
                <w:sz w:val="20"/>
              </w:rPr>
              <w:t>activity</w:t>
            </w:r>
            <w:r w:rsidRPr="00150EDC">
              <w:rPr>
                <w:spacing w:val="-5"/>
                <w:sz w:val="20"/>
              </w:rPr>
              <w:t xml:space="preserve"> </w:t>
            </w:r>
            <w:r w:rsidRPr="00150EDC">
              <w:rPr>
                <w:sz w:val="20"/>
              </w:rPr>
              <w:t>with</w:t>
            </w:r>
            <w:r w:rsidRPr="00150EDC">
              <w:rPr>
                <w:spacing w:val="-5"/>
                <w:sz w:val="20"/>
              </w:rPr>
              <w:t xml:space="preserve"> </w:t>
            </w:r>
            <w:r w:rsidRPr="00150EDC">
              <w:rPr>
                <w:sz w:val="20"/>
              </w:rPr>
              <w:t>or</w:t>
            </w:r>
            <w:r w:rsidRPr="00150EDC">
              <w:rPr>
                <w:spacing w:val="-1"/>
                <w:sz w:val="20"/>
              </w:rPr>
              <w:t xml:space="preserve"> </w:t>
            </w:r>
            <w:r w:rsidRPr="00150EDC">
              <w:rPr>
                <w:sz w:val="20"/>
              </w:rPr>
              <w:t>towards an</w:t>
            </w:r>
            <w:r w:rsidRPr="00150EDC">
              <w:rPr>
                <w:spacing w:val="-5"/>
                <w:sz w:val="20"/>
              </w:rPr>
              <w:t xml:space="preserve"> </w:t>
            </w:r>
            <w:r w:rsidRPr="00150EDC">
              <w:rPr>
                <w:sz w:val="20"/>
              </w:rPr>
              <w:t>older</w:t>
            </w:r>
            <w:r w:rsidRPr="00150EDC">
              <w:rPr>
                <w:spacing w:val="-5"/>
                <w:sz w:val="20"/>
              </w:rPr>
              <w:t xml:space="preserve"> </w:t>
            </w:r>
            <w:r w:rsidRPr="00150EDC">
              <w:rPr>
                <w:spacing w:val="-4"/>
                <w:sz w:val="20"/>
              </w:rPr>
              <w:t>child</w:t>
            </w:r>
          </w:p>
        </w:tc>
      </w:tr>
      <w:tr w:rsidR="004569EE" w:rsidRPr="007D3144" w14:paraId="573620F6" w14:textId="77777777">
        <w:trPr>
          <w:trHeight w:val="255"/>
        </w:trPr>
        <w:tc>
          <w:tcPr>
            <w:tcW w:w="6517" w:type="dxa"/>
          </w:tcPr>
          <w:p w14:paraId="24C1923B" w14:textId="77777777" w:rsidR="004C7180" w:rsidRPr="00150EDC" w:rsidRDefault="00CF0754">
            <w:pPr>
              <w:pStyle w:val="TableParagraph"/>
              <w:rPr>
                <w:sz w:val="20"/>
              </w:rPr>
            </w:pPr>
            <w:r w:rsidRPr="00150EDC">
              <w:rPr>
                <w:sz w:val="20"/>
              </w:rPr>
              <w:t>Sexual</w:t>
            </w:r>
            <w:r w:rsidRPr="00150EDC">
              <w:rPr>
                <w:spacing w:val="-7"/>
                <w:sz w:val="20"/>
              </w:rPr>
              <w:t xml:space="preserve"> </w:t>
            </w:r>
            <w:r w:rsidRPr="00150EDC">
              <w:rPr>
                <w:sz w:val="20"/>
              </w:rPr>
              <w:t>Offences</w:t>
            </w:r>
            <w:r w:rsidRPr="00150EDC">
              <w:rPr>
                <w:spacing w:val="-3"/>
                <w:sz w:val="20"/>
              </w:rPr>
              <w:t xml:space="preserve"> </w:t>
            </w:r>
            <w:r w:rsidRPr="00150EDC">
              <w:rPr>
                <w:sz w:val="20"/>
              </w:rPr>
              <w:t>(Scotland)</w:t>
            </w:r>
            <w:r w:rsidRPr="00150EDC">
              <w:rPr>
                <w:spacing w:val="-8"/>
                <w:sz w:val="20"/>
              </w:rPr>
              <w:t xml:space="preserve"> </w:t>
            </w:r>
            <w:r w:rsidRPr="00150EDC">
              <w:rPr>
                <w:sz w:val="20"/>
              </w:rPr>
              <w:t>Act</w:t>
            </w:r>
            <w:r w:rsidRPr="00150EDC">
              <w:rPr>
                <w:spacing w:val="-7"/>
                <w:sz w:val="20"/>
              </w:rPr>
              <w:t xml:space="preserve"> </w:t>
            </w:r>
            <w:r w:rsidRPr="00150EDC">
              <w:rPr>
                <w:sz w:val="20"/>
              </w:rPr>
              <w:t>2009,</w:t>
            </w:r>
            <w:r w:rsidRPr="00150EDC">
              <w:rPr>
                <w:spacing w:val="-8"/>
                <w:sz w:val="20"/>
              </w:rPr>
              <w:t xml:space="preserve"> </w:t>
            </w:r>
            <w:r w:rsidRPr="00150EDC">
              <w:rPr>
                <w:spacing w:val="-5"/>
                <w:sz w:val="20"/>
              </w:rPr>
              <w:t>s31</w:t>
            </w:r>
          </w:p>
        </w:tc>
        <w:tc>
          <w:tcPr>
            <w:tcW w:w="7427" w:type="dxa"/>
          </w:tcPr>
          <w:p w14:paraId="31139489" w14:textId="77777777" w:rsidR="004C7180" w:rsidRPr="00150EDC" w:rsidRDefault="00CF0754">
            <w:pPr>
              <w:pStyle w:val="TableParagraph"/>
              <w:rPr>
                <w:sz w:val="20"/>
              </w:rPr>
            </w:pPr>
            <w:r w:rsidRPr="00150EDC">
              <w:rPr>
                <w:sz w:val="20"/>
              </w:rPr>
              <w:t>Causing</w:t>
            </w:r>
            <w:r w:rsidRPr="00150EDC">
              <w:rPr>
                <w:spacing w:val="-7"/>
                <w:sz w:val="20"/>
              </w:rPr>
              <w:t xml:space="preserve"> </w:t>
            </w:r>
            <w:r w:rsidRPr="00150EDC">
              <w:rPr>
                <w:sz w:val="20"/>
              </w:rPr>
              <w:t>an</w:t>
            </w:r>
            <w:r w:rsidRPr="00150EDC">
              <w:rPr>
                <w:spacing w:val="-1"/>
                <w:sz w:val="20"/>
              </w:rPr>
              <w:t xml:space="preserve"> </w:t>
            </w:r>
            <w:r w:rsidRPr="00150EDC">
              <w:rPr>
                <w:sz w:val="20"/>
              </w:rPr>
              <w:t>older</w:t>
            </w:r>
            <w:r w:rsidRPr="00150EDC">
              <w:rPr>
                <w:spacing w:val="-2"/>
                <w:sz w:val="20"/>
              </w:rPr>
              <w:t xml:space="preserve"> </w:t>
            </w:r>
            <w:r w:rsidRPr="00150EDC">
              <w:rPr>
                <w:sz w:val="20"/>
              </w:rPr>
              <w:t>child</w:t>
            </w:r>
            <w:r w:rsidRPr="00150EDC">
              <w:rPr>
                <w:spacing w:val="-6"/>
                <w:sz w:val="20"/>
              </w:rPr>
              <w:t xml:space="preserve"> </w:t>
            </w:r>
            <w:r w:rsidRPr="00150EDC">
              <w:rPr>
                <w:sz w:val="20"/>
              </w:rPr>
              <w:t>to</w:t>
            </w:r>
            <w:r w:rsidRPr="00150EDC">
              <w:rPr>
                <w:spacing w:val="-2"/>
                <w:sz w:val="20"/>
              </w:rPr>
              <w:t xml:space="preserve"> </w:t>
            </w:r>
            <w:r w:rsidRPr="00150EDC">
              <w:rPr>
                <w:sz w:val="20"/>
              </w:rPr>
              <w:t>participate</w:t>
            </w:r>
            <w:r w:rsidRPr="00150EDC">
              <w:rPr>
                <w:spacing w:val="-6"/>
                <w:sz w:val="20"/>
              </w:rPr>
              <w:t xml:space="preserve"> </w:t>
            </w:r>
            <w:r w:rsidRPr="00150EDC">
              <w:rPr>
                <w:sz w:val="20"/>
              </w:rPr>
              <w:t>in</w:t>
            </w:r>
            <w:r w:rsidRPr="00150EDC">
              <w:rPr>
                <w:spacing w:val="-2"/>
                <w:sz w:val="20"/>
              </w:rPr>
              <w:t xml:space="preserve"> </w:t>
            </w:r>
            <w:r w:rsidRPr="00150EDC">
              <w:rPr>
                <w:sz w:val="20"/>
              </w:rPr>
              <w:t>a</w:t>
            </w:r>
            <w:r w:rsidRPr="00150EDC">
              <w:rPr>
                <w:spacing w:val="-6"/>
                <w:sz w:val="20"/>
              </w:rPr>
              <w:t xml:space="preserve"> </w:t>
            </w:r>
            <w:r w:rsidRPr="00150EDC">
              <w:rPr>
                <w:sz w:val="20"/>
              </w:rPr>
              <w:t>sexual</w:t>
            </w:r>
            <w:r w:rsidRPr="00150EDC">
              <w:rPr>
                <w:spacing w:val="-1"/>
                <w:sz w:val="20"/>
              </w:rPr>
              <w:t xml:space="preserve"> </w:t>
            </w:r>
            <w:r w:rsidRPr="00150EDC">
              <w:rPr>
                <w:spacing w:val="-2"/>
                <w:sz w:val="20"/>
              </w:rPr>
              <w:t>activity</w:t>
            </w:r>
          </w:p>
        </w:tc>
      </w:tr>
      <w:tr w:rsidR="004569EE" w:rsidRPr="007D3144" w14:paraId="5AB66B13" w14:textId="77777777">
        <w:trPr>
          <w:trHeight w:val="255"/>
        </w:trPr>
        <w:tc>
          <w:tcPr>
            <w:tcW w:w="6517" w:type="dxa"/>
          </w:tcPr>
          <w:p w14:paraId="529B6B5C" w14:textId="77777777" w:rsidR="004C7180" w:rsidRPr="00150EDC" w:rsidRDefault="00CF0754">
            <w:pPr>
              <w:pStyle w:val="TableParagraph"/>
              <w:rPr>
                <w:sz w:val="20"/>
              </w:rPr>
            </w:pPr>
            <w:r w:rsidRPr="00150EDC">
              <w:rPr>
                <w:sz w:val="20"/>
              </w:rPr>
              <w:t>Sexual</w:t>
            </w:r>
            <w:r w:rsidRPr="00150EDC">
              <w:rPr>
                <w:spacing w:val="-7"/>
                <w:sz w:val="20"/>
              </w:rPr>
              <w:t xml:space="preserve"> </w:t>
            </w:r>
            <w:r w:rsidRPr="00150EDC">
              <w:rPr>
                <w:sz w:val="20"/>
              </w:rPr>
              <w:t>Offences</w:t>
            </w:r>
            <w:r w:rsidRPr="00150EDC">
              <w:rPr>
                <w:spacing w:val="-3"/>
                <w:sz w:val="20"/>
              </w:rPr>
              <w:t xml:space="preserve"> </w:t>
            </w:r>
            <w:r w:rsidRPr="00150EDC">
              <w:rPr>
                <w:sz w:val="20"/>
              </w:rPr>
              <w:t>(Scotland)</w:t>
            </w:r>
            <w:r w:rsidRPr="00150EDC">
              <w:rPr>
                <w:spacing w:val="-8"/>
                <w:sz w:val="20"/>
              </w:rPr>
              <w:t xml:space="preserve"> </w:t>
            </w:r>
            <w:r w:rsidRPr="00150EDC">
              <w:rPr>
                <w:sz w:val="20"/>
              </w:rPr>
              <w:t>Act</w:t>
            </w:r>
            <w:r w:rsidRPr="00150EDC">
              <w:rPr>
                <w:spacing w:val="-7"/>
                <w:sz w:val="20"/>
              </w:rPr>
              <w:t xml:space="preserve"> </w:t>
            </w:r>
            <w:r w:rsidRPr="00150EDC">
              <w:rPr>
                <w:sz w:val="20"/>
              </w:rPr>
              <w:t>2009,</w:t>
            </w:r>
            <w:r w:rsidRPr="00150EDC">
              <w:rPr>
                <w:spacing w:val="-8"/>
                <w:sz w:val="20"/>
              </w:rPr>
              <w:t xml:space="preserve"> </w:t>
            </w:r>
            <w:r w:rsidRPr="00150EDC">
              <w:rPr>
                <w:spacing w:val="-5"/>
                <w:sz w:val="20"/>
              </w:rPr>
              <w:t>s32</w:t>
            </w:r>
          </w:p>
        </w:tc>
        <w:tc>
          <w:tcPr>
            <w:tcW w:w="7427" w:type="dxa"/>
          </w:tcPr>
          <w:p w14:paraId="2F729B23" w14:textId="77777777" w:rsidR="004C7180" w:rsidRPr="00150EDC" w:rsidRDefault="00CF0754">
            <w:pPr>
              <w:pStyle w:val="TableParagraph"/>
              <w:rPr>
                <w:sz w:val="20"/>
              </w:rPr>
            </w:pPr>
            <w:r w:rsidRPr="00150EDC">
              <w:rPr>
                <w:sz w:val="20"/>
              </w:rPr>
              <w:t>Causing</w:t>
            </w:r>
            <w:r w:rsidRPr="00150EDC">
              <w:rPr>
                <w:spacing w:val="-6"/>
                <w:sz w:val="20"/>
              </w:rPr>
              <w:t xml:space="preserve"> </w:t>
            </w:r>
            <w:r w:rsidRPr="00150EDC">
              <w:rPr>
                <w:sz w:val="20"/>
              </w:rPr>
              <w:t>an</w:t>
            </w:r>
            <w:r w:rsidRPr="00150EDC">
              <w:rPr>
                <w:spacing w:val="-1"/>
                <w:sz w:val="20"/>
              </w:rPr>
              <w:t xml:space="preserve"> </w:t>
            </w:r>
            <w:r w:rsidRPr="00150EDC">
              <w:rPr>
                <w:sz w:val="20"/>
              </w:rPr>
              <w:t>older</w:t>
            </w:r>
            <w:r w:rsidRPr="00150EDC">
              <w:rPr>
                <w:spacing w:val="-1"/>
                <w:sz w:val="20"/>
              </w:rPr>
              <w:t xml:space="preserve"> </w:t>
            </w:r>
            <w:r w:rsidRPr="00150EDC">
              <w:rPr>
                <w:sz w:val="20"/>
              </w:rPr>
              <w:t>child</w:t>
            </w:r>
            <w:r w:rsidRPr="00150EDC">
              <w:rPr>
                <w:spacing w:val="-6"/>
                <w:sz w:val="20"/>
              </w:rPr>
              <w:t xml:space="preserve"> </w:t>
            </w:r>
            <w:r w:rsidRPr="00150EDC">
              <w:rPr>
                <w:sz w:val="20"/>
              </w:rPr>
              <w:t>to be</w:t>
            </w:r>
            <w:r w:rsidRPr="00150EDC">
              <w:rPr>
                <w:spacing w:val="-6"/>
                <w:sz w:val="20"/>
              </w:rPr>
              <w:t xml:space="preserve"> </w:t>
            </w:r>
            <w:r w:rsidRPr="00150EDC">
              <w:rPr>
                <w:sz w:val="20"/>
              </w:rPr>
              <w:t>present during</w:t>
            </w:r>
            <w:r w:rsidRPr="00150EDC">
              <w:rPr>
                <w:spacing w:val="-6"/>
                <w:sz w:val="20"/>
              </w:rPr>
              <w:t xml:space="preserve"> </w:t>
            </w:r>
            <w:r w:rsidRPr="00150EDC">
              <w:rPr>
                <w:sz w:val="20"/>
              </w:rPr>
              <w:t>a</w:t>
            </w:r>
            <w:r w:rsidRPr="00150EDC">
              <w:rPr>
                <w:spacing w:val="-5"/>
                <w:sz w:val="20"/>
              </w:rPr>
              <w:t xml:space="preserve"> </w:t>
            </w:r>
            <w:r w:rsidRPr="00150EDC">
              <w:rPr>
                <w:sz w:val="20"/>
              </w:rPr>
              <w:t>sexual</w:t>
            </w:r>
            <w:r w:rsidRPr="00150EDC">
              <w:rPr>
                <w:spacing w:val="-4"/>
                <w:sz w:val="20"/>
              </w:rPr>
              <w:t xml:space="preserve"> </w:t>
            </w:r>
            <w:r w:rsidRPr="00150EDC">
              <w:rPr>
                <w:spacing w:val="-2"/>
                <w:sz w:val="20"/>
              </w:rPr>
              <w:t>activity</w:t>
            </w:r>
          </w:p>
        </w:tc>
      </w:tr>
      <w:tr w:rsidR="004569EE" w:rsidRPr="007D3144" w14:paraId="39B0EAE8" w14:textId="77777777">
        <w:trPr>
          <w:trHeight w:val="255"/>
        </w:trPr>
        <w:tc>
          <w:tcPr>
            <w:tcW w:w="6517" w:type="dxa"/>
          </w:tcPr>
          <w:p w14:paraId="23369E2E" w14:textId="77777777" w:rsidR="004C7180" w:rsidRPr="00150EDC" w:rsidRDefault="00CF0754">
            <w:pPr>
              <w:pStyle w:val="TableParagraph"/>
              <w:rPr>
                <w:sz w:val="20"/>
              </w:rPr>
            </w:pPr>
            <w:r w:rsidRPr="00150EDC">
              <w:rPr>
                <w:sz w:val="20"/>
              </w:rPr>
              <w:t>Sexual</w:t>
            </w:r>
            <w:r w:rsidRPr="00150EDC">
              <w:rPr>
                <w:spacing w:val="-7"/>
                <w:sz w:val="20"/>
              </w:rPr>
              <w:t xml:space="preserve"> </w:t>
            </w:r>
            <w:r w:rsidRPr="00150EDC">
              <w:rPr>
                <w:sz w:val="20"/>
              </w:rPr>
              <w:t>Offences</w:t>
            </w:r>
            <w:r w:rsidRPr="00150EDC">
              <w:rPr>
                <w:spacing w:val="-3"/>
                <w:sz w:val="20"/>
              </w:rPr>
              <w:t xml:space="preserve"> </w:t>
            </w:r>
            <w:r w:rsidRPr="00150EDC">
              <w:rPr>
                <w:sz w:val="20"/>
              </w:rPr>
              <w:t>(Scotland)</w:t>
            </w:r>
            <w:r w:rsidRPr="00150EDC">
              <w:rPr>
                <w:spacing w:val="-8"/>
                <w:sz w:val="20"/>
              </w:rPr>
              <w:t xml:space="preserve"> </w:t>
            </w:r>
            <w:r w:rsidRPr="00150EDC">
              <w:rPr>
                <w:sz w:val="20"/>
              </w:rPr>
              <w:t>Act</w:t>
            </w:r>
            <w:r w:rsidRPr="00150EDC">
              <w:rPr>
                <w:spacing w:val="-7"/>
                <w:sz w:val="20"/>
              </w:rPr>
              <w:t xml:space="preserve"> </w:t>
            </w:r>
            <w:r w:rsidRPr="00150EDC">
              <w:rPr>
                <w:sz w:val="20"/>
              </w:rPr>
              <w:t>2009,</w:t>
            </w:r>
            <w:r w:rsidRPr="00150EDC">
              <w:rPr>
                <w:spacing w:val="-8"/>
                <w:sz w:val="20"/>
              </w:rPr>
              <w:t xml:space="preserve"> </w:t>
            </w:r>
            <w:r w:rsidRPr="00150EDC">
              <w:rPr>
                <w:spacing w:val="-5"/>
                <w:sz w:val="20"/>
              </w:rPr>
              <w:t>s33</w:t>
            </w:r>
          </w:p>
        </w:tc>
        <w:tc>
          <w:tcPr>
            <w:tcW w:w="7427" w:type="dxa"/>
          </w:tcPr>
          <w:p w14:paraId="015F223B" w14:textId="77777777" w:rsidR="004C7180" w:rsidRPr="00150EDC" w:rsidRDefault="00CF0754">
            <w:pPr>
              <w:pStyle w:val="TableParagraph"/>
              <w:rPr>
                <w:sz w:val="20"/>
              </w:rPr>
            </w:pPr>
            <w:r w:rsidRPr="00150EDC">
              <w:rPr>
                <w:sz w:val="20"/>
              </w:rPr>
              <w:t>Causing</w:t>
            </w:r>
            <w:r w:rsidRPr="00150EDC">
              <w:rPr>
                <w:spacing w:val="-6"/>
                <w:sz w:val="20"/>
              </w:rPr>
              <w:t xml:space="preserve"> </w:t>
            </w:r>
            <w:r w:rsidRPr="00150EDC">
              <w:rPr>
                <w:sz w:val="20"/>
              </w:rPr>
              <w:t>an</w:t>
            </w:r>
            <w:r w:rsidRPr="00150EDC">
              <w:rPr>
                <w:spacing w:val="-1"/>
                <w:sz w:val="20"/>
              </w:rPr>
              <w:t xml:space="preserve"> </w:t>
            </w:r>
            <w:r w:rsidRPr="00150EDC">
              <w:rPr>
                <w:sz w:val="20"/>
              </w:rPr>
              <w:t>older</w:t>
            </w:r>
            <w:r w:rsidRPr="00150EDC">
              <w:rPr>
                <w:spacing w:val="-1"/>
                <w:sz w:val="20"/>
              </w:rPr>
              <w:t xml:space="preserve"> </w:t>
            </w:r>
            <w:r w:rsidRPr="00150EDC">
              <w:rPr>
                <w:sz w:val="20"/>
              </w:rPr>
              <w:t>child</w:t>
            </w:r>
            <w:r w:rsidRPr="00150EDC">
              <w:rPr>
                <w:spacing w:val="-5"/>
                <w:sz w:val="20"/>
              </w:rPr>
              <w:t xml:space="preserve"> </w:t>
            </w:r>
            <w:r w:rsidRPr="00150EDC">
              <w:rPr>
                <w:sz w:val="20"/>
              </w:rPr>
              <w:t>to</w:t>
            </w:r>
            <w:r w:rsidRPr="00150EDC">
              <w:rPr>
                <w:spacing w:val="-6"/>
                <w:sz w:val="20"/>
              </w:rPr>
              <w:t xml:space="preserve"> </w:t>
            </w:r>
            <w:r w:rsidRPr="00150EDC">
              <w:rPr>
                <w:sz w:val="20"/>
              </w:rPr>
              <w:t>look</w:t>
            </w:r>
            <w:r w:rsidRPr="00150EDC">
              <w:rPr>
                <w:spacing w:val="-4"/>
                <w:sz w:val="20"/>
              </w:rPr>
              <w:t xml:space="preserve"> </w:t>
            </w:r>
            <w:r w:rsidRPr="00150EDC">
              <w:rPr>
                <w:sz w:val="20"/>
              </w:rPr>
              <w:t>at</w:t>
            </w:r>
            <w:r w:rsidRPr="00150EDC">
              <w:rPr>
                <w:spacing w:val="-1"/>
                <w:sz w:val="20"/>
              </w:rPr>
              <w:t xml:space="preserve"> </w:t>
            </w:r>
            <w:r w:rsidRPr="00150EDC">
              <w:rPr>
                <w:sz w:val="20"/>
              </w:rPr>
              <w:t>a</w:t>
            </w:r>
            <w:r w:rsidRPr="00150EDC">
              <w:rPr>
                <w:spacing w:val="-5"/>
                <w:sz w:val="20"/>
              </w:rPr>
              <w:t xml:space="preserve"> </w:t>
            </w:r>
            <w:r w:rsidRPr="00150EDC">
              <w:rPr>
                <w:sz w:val="20"/>
              </w:rPr>
              <w:t>sexual</w:t>
            </w:r>
            <w:r w:rsidRPr="00150EDC">
              <w:rPr>
                <w:spacing w:val="-4"/>
                <w:sz w:val="20"/>
              </w:rPr>
              <w:t xml:space="preserve"> image</w:t>
            </w:r>
          </w:p>
        </w:tc>
      </w:tr>
      <w:tr w:rsidR="004569EE" w:rsidRPr="007D3144" w14:paraId="4B139896" w14:textId="77777777">
        <w:trPr>
          <w:trHeight w:val="255"/>
        </w:trPr>
        <w:tc>
          <w:tcPr>
            <w:tcW w:w="6517" w:type="dxa"/>
          </w:tcPr>
          <w:p w14:paraId="533085F8" w14:textId="77777777" w:rsidR="004C7180" w:rsidRPr="00150EDC" w:rsidRDefault="00CF0754">
            <w:pPr>
              <w:pStyle w:val="TableParagraph"/>
              <w:rPr>
                <w:sz w:val="20"/>
              </w:rPr>
            </w:pPr>
            <w:r w:rsidRPr="00150EDC">
              <w:rPr>
                <w:sz w:val="20"/>
              </w:rPr>
              <w:t>Sexual</w:t>
            </w:r>
            <w:r w:rsidRPr="00150EDC">
              <w:rPr>
                <w:spacing w:val="-7"/>
                <w:sz w:val="20"/>
              </w:rPr>
              <w:t xml:space="preserve"> </w:t>
            </w:r>
            <w:r w:rsidRPr="00150EDC">
              <w:rPr>
                <w:sz w:val="20"/>
              </w:rPr>
              <w:t>Offences</w:t>
            </w:r>
            <w:r w:rsidRPr="00150EDC">
              <w:rPr>
                <w:spacing w:val="-3"/>
                <w:sz w:val="20"/>
              </w:rPr>
              <w:t xml:space="preserve"> </w:t>
            </w:r>
            <w:r w:rsidRPr="00150EDC">
              <w:rPr>
                <w:sz w:val="20"/>
              </w:rPr>
              <w:t>(Scotland)</w:t>
            </w:r>
            <w:r w:rsidRPr="00150EDC">
              <w:rPr>
                <w:spacing w:val="-8"/>
                <w:sz w:val="20"/>
              </w:rPr>
              <w:t xml:space="preserve"> </w:t>
            </w:r>
            <w:r w:rsidRPr="00150EDC">
              <w:rPr>
                <w:sz w:val="20"/>
              </w:rPr>
              <w:t>Act</w:t>
            </w:r>
            <w:r w:rsidRPr="00150EDC">
              <w:rPr>
                <w:spacing w:val="-7"/>
                <w:sz w:val="20"/>
              </w:rPr>
              <w:t xml:space="preserve"> </w:t>
            </w:r>
            <w:r w:rsidRPr="00150EDC">
              <w:rPr>
                <w:sz w:val="20"/>
              </w:rPr>
              <w:t>2009,</w:t>
            </w:r>
            <w:r w:rsidRPr="00150EDC">
              <w:rPr>
                <w:spacing w:val="-8"/>
                <w:sz w:val="20"/>
              </w:rPr>
              <w:t xml:space="preserve"> </w:t>
            </w:r>
            <w:r w:rsidRPr="00150EDC">
              <w:rPr>
                <w:spacing w:val="-5"/>
                <w:sz w:val="20"/>
              </w:rPr>
              <w:t>s34</w:t>
            </w:r>
          </w:p>
        </w:tc>
        <w:tc>
          <w:tcPr>
            <w:tcW w:w="7427" w:type="dxa"/>
          </w:tcPr>
          <w:p w14:paraId="07906F89" w14:textId="77777777" w:rsidR="004C7180" w:rsidRPr="00150EDC" w:rsidRDefault="00CF0754">
            <w:pPr>
              <w:pStyle w:val="TableParagraph"/>
              <w:rPr>
                <w:sz w:val="20"/>
              </w:rPr>
            </w:pPr>
            <w:r w:rsidRPr="00150EDC">
              <w:rPr>
                <w:sz w:val="20"/>
              </w:rPr>
              <w:t>Communicating</w:t>
            </w:r>
            <w:r w:rsidRPr="00150EDC">
              <w:rPr>
                <w:spacing w:val="-7"/>
                <w:sz w:val="20"/>
              </w:rPr>
              <w:t xml:space="preserve"> </w:t>
            </w:r>
            <w:r w:rsidRPr="00150EDC">
              <w:rPr>
                <w:sz w:val="20"/>
              </w:rPr>
              <w:t>indecently</w:t>
            </w:r>
            <w:r w:rsidRPr="00150EDC">
              <w:rPr>
                <w:spacing w:val="-6"/>
                <w:sz w:val="20"/>
              </w:rPr>
              <w:t xml:space="preserve"> </w:t>
            </w:r>
            <w:r w:rsidRPr="00150EDC">
              <w:rPr>
                <w:sz w:val="20"/>
              </w:rPr>
              <w:t>with</w:t>
            </w:r>
            <w:r w:rsidRPr="00150EDC">
              <w:rPr>
                <w:spacing w:val="-2"/>
                <w:sz w:val="20"/>
              </w:rPr>
              <w:t xml:space="preserve"> </w:t>
            </w:r>
            <w:r w:rsidRPr="00150EDC">
              <w:rPr>
                <w:sz w:val="20"/>
              </w:rPr>
              <w:t>an</w:t>
            </w:r>
            <w:r w:rsidRPr="00150EDC">
              <w:rPr>
                <w:spacing w:val="-6"/>
                <w:sz w:val="20"/>
              </w:rPr>
              <w:t xml:space="preserve"> </w:t>
            </w:r>
            <w:r w:rsidRPr="00150EDC">
              <w:rPr>
                <w:sz w:val="20"/>
              </w:rPr>
              <w:t>older</w:t>
            </w:r>
            <w:r w:rsidRPr="00150EDC">
              <w:rPr>
                <w:spacing w:val="-7"/>
                <w:sz w:val="20"/>
              </w:rPr>
              <w:t xml:space="preserve"> </w:t>
            </w:r>
            <w:r w:rsidRPr="00150EDC">
              <w:rPr>
                <w:sz w:val="20"/>
              </w:rPr>
              <w:t>child</w:t>
            </w:r>
            <w:r w:rsidRPr="00150EDC">
              <w:rPr>
                <w:spacing w:val="-2"/>
                <w:sz w:val="20"/>
              </w:rPr>
              <w:t xml:space="preserve"> </w:t>
            </w:r>
            <w:r w:rsidRPr="00150EDC">
              <w:rPr>
                <w:spacing w:val="-5"/>
                <w:sz w:val="20"/>
              </w:rPr>
              <w:t>etc</w:t>
            </w:r>
          </w:p>
        </w:tc>
      </w:tr>
      <w:tr w:rsidR="004569EE" w:rsidRPr="007D3144" w14:paraId="0DC076D1" w14:textId="77777777">
        <w:trPr>
          <w:trHeight w:val="255"/>
        </w:trPr>
        <w:tc>
          <w:tcPr>
            <w:tcW w:w="6517" w:type="dxa"/>
          </w:tcPr>
          <w:p w14:paraId="49D186B6" w14:textId="77777777" w:rsidR="004C7180" w:rsidRPr="00150EDC" w:rsidRDefault="00CF0754">
            <w:pPr>
              <w:pStyle w:val="TableParagraph"/>
              <w:rPr>
                <w:sz w:val="20"/>
              </w:rPr>
            </w:pPr>
            <w:r w:rsidRPr="00150EDC">
              <w:rPr>
                <w:sz w:val="20"/>
              </w:rPr>
              <w:t>Sexual</w:t>
            </w:r>
            <w:r w:rsidRPr="00150EDC">
              <w:rPr>
                <w:spacing w:val="-7"/>
                <w:sz w:val="20"/>
              </w:rPr>
              <w:t xml:space="preserve"> </w:t>
            </w:r>
            <w:r w:rsidRPr="00150EDC">
              <w:rPr>
                <w:sz w:val="20"/>
              </w:rPr>
              <w:t>Offences</w:t>
            </w:r>
            <w:r w:rsidRPr="00150EDC">
              <w:rPr>
                <w:spacing w:val="-3"/>
                <w:sz w:val="20"/>
              </w:rPr>
              <w:t xml:space="preserve"> </w:t>
            </w:r>
            <w:r w:rsidRPr="00150EDC">
              <w:rPr>
                <w:sz w:val="20"/>
              </w:rPr>
              <w:t>(Scotland)</w:t>
            </w:r>
            <w:r w:rsidRPr="00150EDC">
              <w:rPr>
                <w:spacing w:val="-8"/>
                <w:sz w:val="20"/>
              </w:rPr>
              <w:t xml:space="preserve"> </w:t>
            </w:r>
            <w:r w:rsidRPr="00150EDC">
              <w:rPr>
                <w:sz w:val="20"/>
              </w:rPr>
              <w:t>Act</w:t>
            </w:r>
            <w:r w:rsidRPr="00150EDC">
              <w:rPr>
                <w:spacing w:val="-7"/>
                <w:sz w:val="20"/>
              </w:rPr>
              <w:t xml:space="preserve"> </w:t>
            </w:r>
            <w:r w:rsidRPr="00150EDC">
              <w:rPr>
                <w:sz w:val="20"/>
              </w:rPr>
              <w:t>2009,</w:t>
            </w:r>
            <w:r w:rsidRPr="00150EDC">
              <w:rPr>
                <w:spacing w:val="-8"/>
                <w:sz w:val="20"/>
              </w:rPr>
              <w:t xml:space="preserve"> </w:t>
            </w:r>
            <w:r w:rsidRPr="00150EDC">
              <w:rPr>
                <w:spacing w:val="-5"/>
                <w:sz w:val="20"/>
              </w:rPr>
              <w:t>s35</w:t>
            </w:r>
          </w:p>
        </w:tc>
        <w:tc>
          <w:tcPr>
            <w:tcW w:w="7427" w:type="dxa"/>
          </w:tcPr>
          <w:p w14:paraId="0629D441" w14:textId="77777777" w:rsidR="004C7180" w:rsidRPr="00150EDC" w:rsidRDefault="00CF0754">
            <w:pPr>
              <w:pStyle w:val="TableParagraph"/>
              <w:rPr>
                <w:sz w:val="20"/>
              </w:rPr>
            </w:pPr>
            <w:r w:rsidRPr="00150EDC">
              <w:rPr>
                <w:sz w:val="20"/>
              </w:rPr>
              <w:t>Sexual</w:t>
            </w:r>
            <w:r w:rsidRPr="00150EDC">
              <w:rPr>
                <w:spacing w:val="-4"/>
                <w:sz w:val="20"/>
              </w:rPr>
              <w:t xml:space="preserve"> </w:t>
            </w:r>
            <w:r w:rsidRPr="00150EDC">
              <w:rPr>
                <w:sz w:val="20"/>
              </w:rPr>
              <w:t>exposure</w:t>
            </w:r>
            <w:r w:rsidRPr="00150EDC">
              <w:rPr>
                <w:spacing w:val="-6"/>
                <w:sz w:val="20"/>
              </w:rPr>
              <w:t xml:space="preserve"> </w:t>
            </w:r>
            <w:r w:rsidRPr="00150EDC">
              <w:rPr>
                <w:sz w:val="20"/>
              </w:rPr>
              <w:t>to an</w:t>
            </w:r>
            <w:r w:rsidRPr="00150EDC">
              <w:rPr>
                <w:spacing w:val="-6"/>
                <w:sz w:val="20"/>
              </w:rPr>
              <w:t xml:space="preserve"> </w:t>
            </w:r>
            <w:r w:rsidRPr="00150EDC">
              <w:rPr>
                <w:sz w:val="20"/>
              </w:rPr>
              <w:t>older</w:t>
            </w:r>
            <w:r w:rsidRPr="00150EDC">
              <w:rPr>
                <w:spacing w:val="-5"/>
                <w:sz w:val="20"/>
              </w:rPr>
              <w:t xml:space="preserve"> </w:t>
            </w:r>
            <w:r w:rsidRPr="00150EDC">
              <w:rPr>
                <w:spacing w:val="-4"/>
                <w:sz w:val="20"/>
              </w:rPr>
              <w:t>child</w:t>
            </w:r>
          </w:p>
        </w:tc>
      </w:tr>
      <w:tr w:rsidR="004569EE" w:rsidRPr="007D3144" w14:paraId="5839B1B6" w14:textId="77777777">
        <w:trPr>
          <w:trHeight w:val="255"/>
        </w:trPr>
        <w:tc>
          <w:tcPr>
            <w:tcW w:w="6517" w:type="dxa"/>
          </w:tcPr>
          <w:p w14:paraId="2B9AE20E" w14:textId="77777777" w:rsidR="004C7180" w:rsidRPr="00150EDC" w:rsidRDefault="00CF0754">
            <w:pPr>
              <w:pStyle w:val="TableParagraph"/>
              <w:spacing w:before="28"/>
              <w:rPr>
                <w:sz w:val="20"/>
              </w:rPr>
            </w:pPr>
            <w:r w:rsidRPr="00150EDC">
              <w:rPr>
                <w:sz w:val="20"/>
              </w:rPr>
              <w:t>Sexual</w:t>
            </w:r>
            <w:r w:rsidRPr="00150EDC">
              <w:rPr>
                <w:spacing w:val="-7"/>
                <w:sz w:val="20"/>
              </w:rPr>
              <w:t xml:space="preserve"> </w:t>
            </w:r>
            <w:r w:rsidRPr="00150EDC">
              <w:rPr>
                <w:sz w:val="20"/>
              </w:rPr>
              <w:t>Offences</w:t>
            </w:r>
            <w:r w:rsidRPr="00150EDC">
              <w:rPr>
                <w:spacing w:val="-3"/>
                <w:sz w:val="20"/>
              </w:rPr>
              <w:t xml:space="preserve"> </w:t>
            </w:r>
            <w:r w:rsidRPr="00150EDC">
              <w:rPr>
                <w:sz w:val="20"/>
              </w:rPr>
              <w:t>(Scotland)</w:t>
            </w:r>
            <w:r w:rsidRPr="00150EDC">
              <w:rPr>
                <w:spacing w:val="-8"/>
                <w:sz w:val="20"/>
              </w:rPr>
              <w:t xml:space="preserve"> </w:t>
            </w:r>
            <w:r w:rsidRPr="00150EDC">
              <w:rPr>
                <w:sz w:val="20"/>
              </w:rPr>
              <w:t>Act</w:t>
            </w:r>
            <w:r w:rsidRPr="00150EDC">
              <w:rPr>
                <w:spacing w:val="-7"/>
                <w:sz w:val="20"/>
              </w:rPr>
              <w:t xml:space="preserve"> </w:t>
            </w:r>
            <w:r w:rsidRPr="00150EDC">
              <w:rPr>
                <w:sz w:val="20"/>
              </w:rPr>
              <w:t>2009,</w:t>
            </w:r>
            <w:r w:rsidRPr="00150EDC">
              <w:rPr>
                <w:spacing w:val="-8"/>
                <w:sz w:val="20"/>
              </w:rPr>
              <w:t xml:space="preserve"> </w:t>
            </w:r>
            <w:r w:rsidRPr="00150EDC">
              <w:rPr>
                <w:spacing w:val="-5"/>
                <w:sz w:val="20"/>
              </w:rPr>
              <w:t>s36</w:t>
            </w:r>
          </w:p>
        </w:tc>
        <w:tc>
          <w:tcPr>
            <w:tcW w:w="7427" w:type="dxa"/>
          </w:tcPr>
          <w:p w14:paraId="6FDEFA6A" w14:textId="77777777" w:rsidR="004C7180" w:rsidRPr="00150EDC" w:rsidRDefault="00CF0754">
            <w:pPr>
              <w:pStyle w:val="TableParagraph"/>
              <w:spacing w:before="28"/>
              <w:rPr>
                <w:sz w:val="20"/>
              </w:rPr>
            </w:pPr>
            <w:r w:rsidRPr="00150EDC">
              <w:rPr>
                <w:sz w:val="20"/>
              </w:rPr>
              <w:t>Voyeurism</w:t>
            </w:r>
            <w:r w:rsidRPr="00150EDC">
              <w:rPr>
                <w:spacing w:val="-5"/>
                <w:sz w:val="20"/>
              </w:rPr>
              <w:t xml:space="preserve"> </w:t>
            </w:r>
            <w:r w:rsidRPr="00150EDC">
              <w:rPr>
                <w:sz w:val="20"/>
              </w:rPr>
              <w:t>towards</w:t>
            </w:r>
            <w:r w:rsidRPr="00150EDC">
              <w:rPr>
                <w:spacing w:val="-4"/>
                <w:sz w:val="20"/>
              </w:rPr>
              <w:t xml:space="preserve"> </w:t>
            </w:r>
            <w:r w:rsidRPr="00150EDC">
              <w:rPr>
                <w:sz w:val="20"/>
              </w:rPr>
              <w:t>an</w:t>
            </w:r>
            <w:r w:rsidRPr="00150EDC">
              <w:rPr>
                <w:spacing w:val="-5"/>
                <w:sz w:val="20"/>
              </w:rPr>
              <w:t xml:space="preserve"> </w:t>
            </w:r>
            <w:r w:rsidRPr="00150EDC">
              <w:rPr>
                <w:sz w:val="20"/>
              </w:rPr>
              <w:t>older</w:t>
            </w:r>
            <w:r w:rsidRPr="00150EDC">
              <w:rPr>
                <w:spacing w:val="-4"/>
                <w:sz w:val="20"/>
              </w:rPr>
              <w:t xml:space="preserve"> child</w:t>
            </w:r>
          </w:p>
        </w:tc>
      </w:tr>
      <w:tr w:rsidR="004569EE" w:rsidRPr="007D3144" w14:paraId="08D7D4F0" w14:textId="77777777">
        <w:trPr>
          <w:trHeight w:val="255"/>
        </w:trPr>
        <w:tc>
          <w:tcPr>
            <w:tcW w:w="6517" w:type="dxa"/>
          </w:tcPr>
          <w:p w14:paraId="3863810A" w14:textId="77777777" w:rsidR="004C7180" w:rsidRPr="00150EDC" w:rsidRDefault="00CF0754">
            <w:pPr>
              <w:pStyle w:val="TableParagraph"/>
              <w:rPr>
                <w:sz w:val="20"/>
              </w:rPr>
            </w:pPr>
            <w:r w:rsidRPr="00150EDC">
              <w:rPr>
                <w:sz w:val="20"/>
              </w:rPr>
              <w:t>Sexual</w:t>
            </w:r>
            <w:r w:rsidRPr="00150EDC">
              <w:rPr>
                <w:spacing w:val="-7"/>
                <w:sz w:val="20"/>
              </w:rPr>
              <w:t xml:space="preserve"> </w:t>
            </w:r>
            <w:r w:rsidRPr="00150EDC">
              <w:rPr>
                <w:sz w:val="20"/>
              </w:rPr>
              <w:t>Offences</w:t>
            </w:r>
            <w:r w:rsidRPr="00150EDC">
              <w:rPr>
                <w:spacing w:val="-3"/>
                <w:sz w:val="20"/>
              </w:rPr>
              <w:t xml:space="preserve"> </w:t>
            </w:r>
            <w:r w:rsidRPr="00150EDC">
              <w:rPr>
                <w:sz w:val="20"/>
              </w:rPr>
              <w:t>(Scotland)</w:t>
            </w:r>
            <w:r w:rsidRPr="00150EDC">
              <w:rPr>
                <w:spacing w:val="-8"/>
                <w:sz w:val="20"/>
              </w:rPr>
              <w:t xml:space="preserve"> </w:t>
            </w:r>
            <w:r w:rsidRPr="00150EDC">
              <w:rPr>
                <w:sz w:val="20"/>
              </w:rPr>
              <w:t>Act</w:t>
            </w:r>
            <w:r w:rsidRPr="00150EDC">
              <w:rPr>
                <w:spacing w:val="-7"/>
                <w:sz w:val="20"/>
              </w:rPr>
              <w:t xml:space="preserve"> </w:t>
            </w:r>
            <w:r w:rsidRPr="00150EDC">
              <w:rPr>
                <w:sz w:val="20"/>
              </w:rPr>
              <w:t>2009,</w:t>
            </w:r>
            <w:r w:rsidRPr="00150EDC">
              <w:rPr>
                <w:spacing w:val="-8"/>
                <w:sz w:val="20"/>
              </w:rPr>
              <w:t xml:space="preserve"> </w:t>
            </w:r>
            <w:r w:rsidRPr="00150EDC">
              <w:rPr>
                <w:spacing w:val="-5"/>
                <w:sz w:val="20"/>
              </w:rPr>
              <w:t>s37</w:t>
            </w:r>
          </w:p>
        </w:tc>
        <w:tc>
          <w:tcPr>
            <w:tcW w:w="7427" w:type="dxa"/>
          </w:tcPr>
          <w:p w14:paraId="5C5A2204" w14:textId="77777777" w:rsidR="004C7180" w:rsidRPr="00150EDC" w:rsidRDefault="00CF0754">
            <w:pPr>
              <w:pStyle w:val="TableParagraph"/>
              <w:rPr>
                <w:sz w:val="20"/>
              </w:rPr>
            </w:pPr>
            <w:r w:rsidRPr="00150EDC">
              <w:rPr>
                <w:sz w:val="20"/>
              </w:rPr>
              <w:t>Older</w:t>
            </w:r>
            <w:r w:rsidRPr="00150EDC">
              <w:rPr>
                <w:spacing w:val="-6"/>
                <w:sz w:val="20"/>
              </w:rPr>
              <w:t xml:space="preserve"> </w:t>
            </w:r>
            <w:r w:rsidRPr="00150EDC">
              <w:rPr>
                <w:sz w:val="20"/>
              </w:rPr>
              <w:t>children</w:t>
            </w:r>
            <w:r w:rsidRPr="00150EDC">
              <w:rPr>
                <w:spacing w:val="-5"/>
                <w:sz w:val="20"/>
              </w:rPr>
              <w:t xml:space="preserve"> </w:t>
            </w:r>
            <w:r w:rsidRPr="00150EDC">
              <w:rPr>
                <w:sz w:val="20"/>
              </w:rPr>
              <w:t>engaging</w:t>
            </w:r>
            <w:r w:rsidRPr="00150EDC">
              <w:rPr>
                <w:spacing w:val="-6"/>
                <w:sz w:val="20"/>
              </w:rPr>
              <w:t xml:space="preserve"> </w:t>
            </w:r>
            <w:r w:rsidRPr="00150EDC">
              <w:rPr>
                <w:sz w:val="20"/>
              </w:rPr>
              <w:t>in</w:t>
            </w:r>
            <w:r w:rsidRPr="00150EDC">
              <w:rPr>
                <w:spacing w:val="-5"/>
                <w:sz w:val="20"/>
              </w:rPr>
              <w:t xml:space="preserve"> </w:t>
            </w:r>
            <w:r w:rsidRPr="00150EDC">
              <w:rPr>
                <w:sz w:val="20"/>
              </w:rPr>
              <w:t>sexual</w:t>
            </w:r>
            <w:r w:rsidRPr="00150EDC">
              <w:rPr>
                <w:spacing w:val="-4"/>
                <w:sz w:val="20"/>
              </w:rPr>
              <w:t xml:space="preserve"> </w:t>
            </w:r>
            <w:r w:rsidRPr="00150EDC">
              <w:rPr>
                <w:sz w:val="20"/>
              </w:rPr>
              <w:t>conduct</w:t>
            </w:r>
            <w:r w:rsidRPr="00150EDC">
              <w:rPr>
                <w:spacing w:val="-4"/>
                <w:sz w:val="20"/>
              </w:rPr>
              <w:t xml:space="preserve"> </w:t>
            </w:r>
            <w:r w:rsidRPr="00150EDC">
              <w:rPr>
                <w:sz w:val="20"/>
              </w:rPr>
              <w:t>with</w:t>
            </w:r>
            <w:r w:rsidRPr="00150EDC">
              <w:rPr>
                <w:spacing w:val="-2"/>
                <w:sz w:val="20"/>
              </w:rPr>
              <w:t xml:space="preserve"> </w:t>
            </w:r>
            <w:r w:rsidRPr="00150EDC">
              <w:rPr>
                <w:sz w:val="20"/>
              </w:rPr>
              <w:t>each</w:t>
            </w:r>
            <w:r w:rsidRPr="00150EDC">
              <w:rPr>
                <w:spacing w:val="-5"/>
                <w:sz w:val="20"/>
              </w:rPr>
              <w:t xml:space="preserve"> </w:t>
            </w:r>
            <w:r w:rsidRPr="00150EDC">
              <w:rPr>
                <w:spacing w:val="-2"/>
                <w:sz w:val="20"/>
              </w:rPr>
              <w:t>other</w:t>
            </w:r>
          </w:p>
        </w:tc>
      </w:tr>
      <w:tr w:rsidR="004569EE" w:rsidRPr="007D3144" w14:paraId="23FFCAC0" w14:textId="77777777">
        <w:trPr>
          <w:trHeight w:val="255"/>
        </w:trPr>
        <w:tc>
          <w:tcPr>
            <w:tcW w:w="6517" w:type="dxa"/>
          </w:tcPr>
          <w:p w14:paraId="5B10BABA" w14:textId="77777777" w:rsidR="004C7180" w:rsidRPr="00150EDC" w:rsidRDefault="00CF0754">
            <w:pPr>
              <w:pStyle w:val="TableParagraph"/>
              <w:rPr>
                <w:sz w:val="20"/>
              </w:rPr>
            </w:pPr>
            <w:r w:rsidRPr="00150EDC">
              <w:rPr>
                <w:sz w:val="20"/>
              </w:rPr>
              <w:t>Sexual</w:t>
            </w:r>
            <w:r w:rsidRPr="00150EDC">
              <w:rPr>
                <w:spacing w:val="-7"/>
                <w:sz w:val="20"/>
              </w:rPr>
              <w:t xml:space="preserve"> </w:t>
            </w:r>
            <w:r w:rsidRPr="00150EDC">
              <w:rPr>
                <w:sz w:val="20"/>
              </w:rPr>
              <w:t>Offences</w:t>
            </w:r>
            <w:r w:rsidRPr="00150EDC">
              <w:rPr>
                <w:spacing w:val="-3"/>
                <w:sz w:val="20"/>
              </w:rPr>
              <w:t xml:space="preserve"> </w:t>
            </w:r>
            <w:r w:rsidRPr="00150EDC">
              <w:rPr>
                <w:sz w:val="20"/>
              </w:rPr>
              <w:t>(Scotland)</w:t>
            </w:r>
            <w:r w:rsidRPr="00150EDC">
              <w:rPr>
                <w:spacing w:val="-8"/>
                <w:sz w:val="20"/>
              </w:rPr>
              <w:t xml:space="preserve"> </w:t>
            </w:r>
            <w:r w:rsidRPr="00150EDC">
              <w:rPr>
                <w:sz w:val="20"/>
              </w:rPr>
              <w:t>Act</w:t>
            </w:r>
            <w:r w:rsidRPr="00150EDC">
              <w:rPr>
                <w:spacing w:val="-7"/>
                <w:sz w:val="20"/>
              </w:rPr>
              <w:t xml:space="preserve"> </w:t>
            </w:r>
            <w:r w:rsidRPr="00150EDC">
              <w:rPr>
                <w:sz w:val="20"/>
              </w:rPr>
              <w:t>2009,</w:t>
            </w:r>
            <w:r w:rsidRPr="00150EDC">
              <w:rPr>
                <w:spacing w:val="-8"/>
                <w:sz w:val="20"/>
              </w:rPr>
              <w:t xml:space="preserve"> </w:t>
            </w:r>
            <w:r w:rsidRPr="00150EDC">
              <w:rPr>
                <w:spacing w:val="-5"/>
                <w:sz w:val="20"/>
              </w:rPr>
              <w:t>s42</w:t>
            </w:r>
          </w:p>
        </w:tc>
        <w:tc>
          <w:tcPr>
            <w:tcW w:w="7427" w:type="dxa"/>
          </w:tcPr>
          <w:p w14:paraId="2BD84C9C" w14:textId="77777777" w:rsidR="004C7180" w:rsidRPr="00150EDC" w:rsidRDefault="00CF0754">
            <w:pPr>
              <w:pStyle w:val="TableParagraph"/>
              <w:rPr>
                <w:sz w:val="20"/>
              </w:rPr>
            </w:pPr>
            <w:r w:rsidRPr="00150EDC">
              <w:rPr>
                <w:sz w:val="20"/>
              </w:rPr>
              <w:t>Sexual</w:t>
            </w:r>
            <w:r w:rsidRPr="00150EDC">
              <w:rPr>
                <w:spacing w:val="-5"/>
                <w:sz w:val="20"/>
              </w:rPr>
              <w:t xml:space="preserve"> </w:t>
            </w:r>
            <w:r w:rsidRPr="00150EDC">
              <w:rPr>
                <w:sz w:val="20"/>
              </w:rPr>
              <w:t>abuse</w:t>
            </w:r>
            <w:r w:rsidRPr="00150EDC">
              <w:rPr>
                <w:spacing w:val="-3"/>
                <w:sz w:val="20"/>
              </w:rPr>
              <w:t xml:space="preserve"> </w:t>
            </w:r>
            <w:r w:rsidRPr="00150EDC">
              <w:rPr>
                <w:sz w:val="20"/>
              </w:rPr>
              <w:t>of</w:t>
            </w:r>
            <w:r w:rsidRPr="00150EDC">
              <w:rPr>
                <w:spacing w:val="-6"/>
                <w:sz w:val="20"/>
              </w:rPr>
              <w:t xml:space="preserve"> </w:t>
            </w:r>
            <w:r w:rsidRPr="00150EDC">
              <w:rPr>
                <w:spacing w:val="-4"/>
                <w:sz w:val="20"/>
              </w:rPr>
              <w:t>trust</w:t>
            </w:r>
          </w:p>
        </w:tc>
      </w:tr>
      <w:tr w:rsidR="004569EE" w:rsidRPr="007D3144" w14:paraId="55EE9453" w14:textId="77777777">
        <w:trPr>
          <w:trHeight w:val="255"/>
        </w:trPr>
        <w:tc>
          <w:tcPr>
            <w:tcW w:w="6517" w:type="dxa"/>
          </w:tcPr>
          <w:p w14:paraId="2711E591" w14:textId="77777777" w:rsidR="004C7180" w:rsidRPr="00150EDC" w:rsidRDefault="00CF0754">
            <w:pPr>
              <w:pStyle w:val="TableParagraph"/>
              <w:rPr>
                <w:sz w:val="20"/>
              </w:rPr>
            </w:pPr>
            <w:r w:rsidRPr="00150EDC">
              <w:rPr>
                <w:sz w:val="20"/>
              </w:rPr>
              <w:t>Sexual</w:t>
            </w:r>
            <w:r w:rsidRPr="00150EDC">
              <w:rPr>
                <w:spacing w:val="-7"/>
                <w:sz w:val="20"/>
              </w:rPr>
              <w:t xml:space="preserve"> </w:t>
            </w:r>
            <w:r w:rsidRPr="00150EDC">
              <w:rPr>
                <w:sz w:val="20"/>
              </w:rPr>
              <w:t>Offences</w:t>
            </w:r>
            <w:r w:rsidRPr="00150EDC">
              <w:rPr>
                <w:spacing w:val="-3"/>
                <w:sz w:val="20"/>
              </w:rPr>
              <w:t xml:space="preserve"> </w:t>
            </w:r>
            <w:r w:rsidRPr="00150EDC">
              <w:rPr>
                <w:sz w:val="20"/>
              </w:rPr>
              <w:t>(Scotland)</w:t>
            </w:r>
            <w:r w:rsidRPr="00150EDC">
              <w:rPr>
                <w:spacing w:val="-8"/>
                <w:sz w:val="20"/>
              </w:rPr>
              <w:t xml:space="preserve"> </w:t>
            </w:r>
            <w:r w:rsidRPr="00150EDC">
              <w:rPr>
                <w:sz w:val="20"/>
              </w:rPr>
              <w:t>Act</w:t>
            </w:r>
            <w:r w:rsidRPr="00150EDC">
              <w:rPr>
                <w:spacing w:val="-7"/>
                <w:sz w:val="20"/>
              </w:rPr>
              <w:t xml:space="preserve"> </w:t>
            </w:r>
            <w:r w:rsidRPr="00150EDC">
              <w:rPr>
                <w:sz w:val="20"/>
              </w:rPr>
              <w:t>2009,</w:t>
            </w:r>
            <w:r w:rsidRPr="00150EDC">
              <w:rPr>
                <w:spacing w:val="-8"/>
                <w:sz w:val="20"/>
              </w:rPr>
              <w:t xml:space="preserve"> </w:t>
            </w:r>
            <w:r w:rsidRPr="00150EDC">
              <w:rPr>
                <w:spacing w:val="-5"/>
                <w:sz w:val="20"/>
              </w:rPr>
              <w:t>s46</w:t>
            </w:r>
          </w:p>
        </w:tc>
        <w:tc>
          <w:tcPr>
            <w:tcW w:w="7427" w:type="dxa"/>
          </w:tcPr>
          <w:p w14:paraId="74A0BFE4" w14:textId="77777777" w:rsidR="004C7180" w:rsidRPr="00150EDC" w:rsidRDefault="00CF0754">
            <w:pPr>
              <w:pStyle w:val="TableParagraph"/>
              <w:rPr>
                <w:sz w:val="20"/>
              </w:rPr>
            </w:pPr>
            <w:r w:rsidRPr="00150EDC">
              <w:rPr>
                <w:sz w:val="20"/>
              </w:rPr>
              <w:t>Sexual</w:t>
            </w:r>
            <w:r w:rsidRPr="00150EDC">
              <w:rPr>
                <w:spacing w:val="-4"/>
                <w:sz w:val="20"/>
              </w:rPr>
              <w:t xml:space="preserve"> </w:t>
            </w:r>
            <w:r w:rsidRPr="00150EDC">
              <w:rPr>
                <w:sz w:val="20"/>
              </w:rPr>
              <w:t>abuse of</w:t>
            </w:r>
            <w:r w:rsidRPr="00150EDC">
              <w:rPr>
                <w:spacing w:val="-5"/>
                <w:sz w:val="20"/>
              </w:rPr>
              <w:t xml:space="preserve"> </w:t>
            </w:r>
            <w:r w:rsidRPr="00150EDC">
              <w:rPr>
                <w:sz w:val="20"/>
              </w:rPr>
              <w:t>trust</w:t>
            </w:r>
            <w:r w:rsidRPr="00150EDC">
              <w:rPr>
                <w:spacing w:val="-5"/>
                <w:sz w:val="20"/>
              </w:rPr>
              <w:t xml:space="preserve"> </w:t>
            </w:r>
            <w:r w:rsidRPr="00150EDC">
              <w:rPr>
                <w:sz w:val="20"/>
              </w:rPr>
              <w:t>of a</w:t>
            </w:r>
            <w:r w:rsidRPr="00150EDC">
              <w:rPr>
                <w:spacing w:val="-5"/>
                <w:sz w:val="20"/>
              </w:rPr>
              <w:t xml:space="preserve"> </w:t>
            </w:r>
            <w:r w:rsidRPr="00150EDC">
              <w:rPr>
                <w:sz w:val="20"/>
              </w:rPr>
              <w:t>mentally</w:t>
            </w:r>
            <w:r w:rsidRPr="00150EDC">
              <w:rPr>
                <w:spacing w:val="-4"/>
                <w:sz w:val="20"/>
              </w:rPr>
              <w:t xml:space="preserve"> </w:t>
            </w:r>
            <w:r w:rsidRPr="00150EDC">
              <w:rPr>
                <w:sz w:val="20"/>
              </w:rPr>
              <w:t>disordered</w:t>
            </w:r>
            <w:r w:rsidRPr="00150EDC">
              <w:rPr>
                <w:spacing w:val="-5"/>
                <w:sz w:val="20"/>
              </w:rPr>
              <w:t xml:space="preserve"> </w:t>
            </w:r>
            <w:r w:rsidRPr="00150EDC">
              <w:rPr>
                <w:spacing w:val="-2"/>
                <w:sz w:val="20"/>
              </w:rPr>
              <w:t>person</w:t>
            </w:r>
          </w:p>
        </w:tc>
      </w:tr>
      <w:tr w:rsidR="004569EE" w:rsidRPr="007D3144" w14:paraId="56B4FCAE" w14:textId="77777777">
        <w:trPr>
          <w:trHeight w:val="255"/>
        </w:trPr>
        <w:tc>
          <w:tcPr>
            <w:tcW w:w="6517" w:type="dxa"/>
          </w:tcPr>
          <w:p w14:paraId="3CBD0FCA" w14:textId="77777777" w:rsidR="004C7180" w:rsidRPr="00150EDC" w:rsidRDefault="00CF0754">
            <w:pPr>
              <w:pStyle w:val="TableParagraph"/>
              <w:spacing w:before="28"/>
              <w:rPr>
                <w:sz w:val="20"/>
              </w:rPr>
            </w:pPr>
            <w:r w:rsidRPr="00150EDC">
              <w:rPr>
                <w:sz w:val="20"/>
              </w:rPr>
              <w:t>Sexual</w:t>
            </w:r>
            <w:r w:rsidRPr="00150EDC">
              <w:rPr>
                <w:spacing w:val="-7"/>
                <w:sz w:val="20"/>
              </w:rPr>
              <w:t xml:space="preserve"> </w:t>
            </w:r>
            <w:r w:rsidRPr="00150EDC">
              <w:rPr>
                <w:sz w:val="20"/>
              </w:rPr>
              <w:t>Offences</w:t>
            </w:r>
            <w:r w:rsidRPr="00150EDC">
              <w:rPr>
                <w:spacing w:val="-3"/>
                <w:sz w:val="20"/>
              </w:rPr>
              <w:t xml:space="preserve"> </w:t>
            </w:r>
            <w:r w:rsidRPr="00150EDC">
              <w:rPr>
                <w:sz w:val="20"/>
              </w:rPr>
              <w:t>(Scotland)</w:t>
            </w:r>
            <w:r w:rsidRPr="00150EDC">
              <w:rPr>
                <w:spacing w:val="-8"/>
                <w:sz w:val="20"/>
              </w:rPr>
              <w:t xml:space="preserve"> </w:t>
            </w:r>
            <w:r w:rsidRPr="00150EDC">
              <w:rPr>
                <w:sz w:val="20"/>
              </w:rPr>
              <w:t>Act</w:t>
            </w:r>
            <w:r w:rsidRPr="00150EDC">
              <w:rPr>
                <w:spacing w:val="-7"/>
                <w:sz w:val="20"/>
              </w:rPr>
              <w:t xml:space="preserve"> </w:t>
            </w:r>
            <w:r w:rsidRPr="00150EDC">
              <w:rPr>
                <w:sz w:val="20"/>
              </w:rPr>
              <w:t>2009,</w:t>
            </w:r>
            <w:r w:rsidRPr="00150EDC">
              <w:rPr>
                <w:spacing w:val="-8"/>
                <w:sz w:val="20"/>
              </w:rPr>
              <w:t xml:space="preserve"> </w:t>
            </w:r>
            <w:r w:rsidRPr="00150EDC">
              <w:rPr>
                <w:spacing w:val="-5"/>
                <w:sz w:val="20"/>
              </w:rPr>
              <w:t>s5</w:t>
            </w:r>
          </w:p>
        </w:tc>
        <w:tc>
          <w:tcPr>
            <w:tcW w:w="7427" w:type="dxa"/>
          </w:tcPr>
          <w:p w14:paraId="3C1397D8" w14:textId="77777777" w:rsidR="004C7180" w:rsidRPr="00150EDC" w:rsidRDefault="00CF0754">
            <w:pPr>
              <w:pStyle w:val="TableParagraph"/>
              <w:spacing w:before="28"/>
              <w:rPr>
                <w:sz w:val="20"/>
              </w:rPr>
            </w:pPr>
            <w:r w:rsidRPr="00150EDC">
              <w:rPr>
                <w:sz w:val="20"/>
              </w:rPr>
              <w:t>Coercing</w:t>
            </w:r>
            <w:r w:rsidRPr="00150EDC">
              <w:rPr>
                <w:spacing w:val="-7"/>
                <w:sz w:val="20"/>
              </w:rPr>
              <w:t xml:space="preserve"> </w:t>
            </w:r>
            <w:r w:rsidRPr="00150EDC">
              <w:rPr>
                <w:sz w:val="20"/>
              </w:rPr>
              <w:t>a</w:t>
            </w:r>
            <w:r w:rsidRPr="00150EDC">
              <w:rPr>
                <w:spacing w:val="-2"/>
                <w:sz w:val="20"/>
              </w:rPr>
              <w:t xml:space="preserve"> </w:t>
            </w:r>
            <w:r w:rsidRPr="00150EDC">
              <w:rPr>
                <w:sz w:val="20"/>
              </w:rPr>
              <w:t>person</w:t>
            </w:r>
            <w:r w:rsidRPr="00150EDC">
              <w:rPr>
                <w:spacing w:val="-6"/>
                <w:sz w:val="20"/>
              </w:rPr>
              <w:t xml:space="preserve"> </w:t>
            </w:r>
            <w:r w:rsidRPr="00150EDC">
              <w:rPr>
                <w:sz w:val="20"/>
              </w:rPr>
              <w:t>into</w:t>
            </w:r>
            <w:r w:rsidRPr="00150EDC">
              <w:rPr>
                <w:spacing w:val="-2"/>
                <w:sz w:val="20"/>
              </w:rPr>
              <w:t xml:space="preserve"> </w:t>
            </w:r>
            <w:r w:rsidRPr="00150EDC">
              <w:rPr>
                <w:sz w:val="20"/>
              </w:rPr>
              <w:t>being</w:t>
            </w:r>
            <w:r w:rsidRPr="00150EDC">
              <w:rPr>
                <w:spacing w:val="-2"/>
                <w:sz w:val="20"/>
              </w:rPr>
              <w:t xml:space="preserve"> </w:t>
            </w:r>
            <w:r w:rsidRPr="00150EDC">
              <w:rPr>
                <w:sz w:val="20"/>
              </w:rPr>
              <w:t>present</w:t>
            </w:r>
            <w:r w:rsidRPr="00150EDC">
              <w:rPr>
                <w:spacing w:val="-6"/>
                <w:sz w:val="20"/>
              </w:rPr>
              <w:t xml:space="preserve"> </w:t>
            </w:r>
            <w:r w:rsidRPr="00150EDC">
              <w:rPr>
                <w:sz w:val="20"/>
              </w:rPr>
              <w:t>during</w:t>
            </w:r>
            <w:r w:rsidRPr="00150EDC">
              <w:rPr>
                <w:spacing w:val="-2"/>
                <w:sz w:val="20"/>
              </w:rPr>
              <w:t xml:space="preserve"> </w:t>
            </w:r>
            <w:r w:rsidRPr="00150EDC">
              <w:rPr>
                <w:sz w:val="20"/>
              </w:rPr>
              <w:t>a</w:t>
            </w:r>
            <w:r w:rsidRPr="00150EDC">
              <w:rPr>
                <w:spacing w:val="-6"/>
                <w:sz w:val="20"/>
              </w:rPr>
              <w:t xml:space="preserve"> </w:t>
            </w:r>
            <w:r w:rsidRPr="00150EDC">
              <w:rPr>
                <w:sz w:val="20"/>
              </w:rPr>
              <w:t>sexual</w:t>
            </w:r>
            <w:r w:rsidRPr="00150EDC">
              <w:rPr>
                <w:spacing w:val="-1"/>
                <w:sz w:val="20"/>
              </w:rPr>
              <w:t xml:space="preserve"> </w:t>
            </w:r>
            <w:r w:rsidRPr="00150EDC">
              <w:rPr>
                <w:spacing w:val="-2"/>
                <w:sz w:val="20"/>
              </w:rPr>
              <w:t>activity</w:t>
            </w:r>
          </w:p>
        </w:tc>
      </w:tr>
    </w:tbl>
    <w:p w14:paraId="784E766D" w14:textId="77777777" w:rsidR="004C7180" w:rsidRPr="00150EDC" w:rsidRDefault="004C7180">
      <w:pPr>
        <w:rPr>
          <w:sz w:val="20"/>
        </w:rPr>
        <w:sectPr w:rsidR="004C7180" w:rsidRPr="00150EDC">
          <w:footerReference w:type="default" r:id="rId147"/>
          <w:pgSz w:w="16840" w:h="11910" w:orient="landscape"/>
          <w:pgMar w:top="1340" w:right="1320" w:bottom="280" w:left="1340" w:header="0" w:footer="0" w:gutter="0"/>
          <w:cols w:space="720"/>
        </w:sectPr>
      </w:pPr>
    </w:p>
    <w:p w14:paraId="75221DEB" w14:textId="77777777" w:rsidR="004C7180" w:rsidRPr="00150EDC" w:rsidRDefault="004C7180">
      <w:pPr>
        <w:pStyle w:val="BodyText"/>
        <w:spacing w:before="3"/>
        <w:rPr>
          <w:sz w:val="8"/>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517"/>
        <w:gridCol w:w="7427"/>
      </w:tblGrid>
      <w:tr w:rsidR="004569EE" w:rsidRPr="007D3144" w14:paraId="51853528" w14:textId="77777777">
        <w:trPr>
          <w:trHeight w:val="254"/>
        </w:trPr>
        <w:tc>
          <w:tcPr>
            <w:tcW w:w="6517" w:type="dxa"/>
          </w:tcPr>
          <w:p w14:paraId="38E2B6FC" w14:textId="77777777" w:rsidR="004C7180" w:rsidRPr="00150EDC" w:rsidRDefault="00CF0754">
            <w:pPr>
              <w:pStyle w:val="TableParagraph"/>
              <w:rPr>
                <w:sz w:val="20"/>
              </w:rPr>
            </w:pPr>
            <w:r w:rsidRPr="00150EDC">
              <w:rPr>
                <w:sz w:val="20"/>
              </w:rPr>
              <w:t>Sexual</w:t>
            </w:r>
            <w:r w:rsidRPr="00150EDC">
              <w:rPr>
                <w:spacing w:val="-7"/>
                <w:sz w:val="20"/>
              </w:rPr>
              <w:t xml:space="preserve"> </w:t>
            </w:r>
            <w:r w:rsidRPr="00150EDC">
              <w:rPr>
                <w:sz w:val="20"/>
              </w:rPr>
              <w:t>Offences</w:t>
            </w:r>
            <w:r w:rsidRPr="00150EDC">
              <w:rPr>
                <w:spacing w:val="-3"/>
                <w:sz w:val="20"/>
              </w:rPr>
              <w:t xml:space="preserve"> </w:t>
            </w:r>
            <w:r w:rsidRPr="00150EDC">
              <w:rPr>
                <w:sz w:val="20"/>
              </w:rPr>
              <w:t>(Scotland)</w:t>
            </w:r>
            <w:r w:rsidRPr="00150EDC">
              <w:rPr>
                <w:spacing w:val="-8"/>
                <w:sz w:val="20"/>
              </w:rPr>
              <w:t xml:space="preserve"> </w:t>
            </w:r>
            <w:r w:rsidRPr="00150EDC">
              <w:rPr>
                <w:sz w:val="20"/>
              </w:rPr>
              <w:t>Act</w:t>
            </w:r>
            <w:r w:rsidRPr="00150EDC">
              <w:rPr>
                <w:spacing w:val="-7"/>
                <w:sz w:val="20"/>
              </w:rPr>
              <w:t xml:space="preserve"> </w:t>
            </w:r>
            <w:r w:rsidRPr="00150EDC">
              <w:rPr>
                <w:sz w:val="20"/>
              </w:rPr>
              <w:t>2009,</w:t>
            </w:r>
            <w:r w:rsidRPr="00150EDC">
              <w:rPr>
                <w:spacing w:val="-8"/>
                <w:sz w:val="20"/>
              </w:rPr>
              <w:t xml:space="preserve"> </w:t>
            </w:r>
            <w:r w:rsidRPr="00150EDC">
              <w:rPr>
                <w:spacing w:val="-5"/>
                <w:sz w:val="20"/>
              </w:rPr>
              <w:t>s6</w:t>
            </w:r>
          </w:p>
        </w:tc>
        <w:tc>
          <w:tcPr>
            <w:tcW w:w="7427" w:type="dxa"/>
          </w:tcPr>
          <w:p w14:paraId="6C92A9B3" w14:textId="77777777" w:rsidR="004C7180" w:rsidRPr="00150EDC" w:rsidRDefault="00CF0754">
            <w:pPr>
              <w:pStyle w:val="TableParagraph"/>
              <w:rPr>
                <w:sz w:val="20"/>
              </w:rPr>
            </w:pPr>
            <w:r w:rsidRPr="00150EDC">
              <w:rPr>
                <w:sz w:val="20"/>
              </w:rPr>
              <w:t>Coercing</w:t>
            </w:r>
            <w:r w:rsidRPr="00150EDC">
              <w:rPr>
                <w:spacing w:val="-6"/>
                <w:sz w:val="20"/>
              </w:rPr>
              <w:t xml:space="preserve"> </w:t>
            </w:r>
            <w:r w:rsidRPr="00150EDC">
              <w:rPr>
                <w:sz w:val="20"/>
              </w:rPr>
              <w:t>a</w:t>
            </w:r>
            <w:r w:rsidRPr="00150EDC">
              <w:rPr>
                <w:spacing w:val="-1"/>
                <w:sz w:val="20"/>
              </w:rPr>
              <w:t xml:space="preserve"> </w:t>
            </w:r>
            <w:r w:rsidRPr="00150EDC">
              <w:rPr>
                <w:sz w:val="20"/>
              </w:rPr>
              <w:t>person</w:t>
            </w:r>
            <w:r w:rsidRPr="00150EDC">
              <w:rPr>
                <w:spacing w:val="-6"/>
                <w:sz w:val="20"/>
              </w:rPr>
              <w:t xml:space="preserve"> </w:t>
            </w:r>
            <w:r w:rsidRPr="00150EDC">
              <w:rPr>
                <w:sz w:val="20"/>
              </w:rPr>
              <w:t>into</w:t>
            </w:r>
            <w:r w:rsidRPr="00150EDC">
              <w:rPr>
                <w:spacing w:val="-1"/>
                <w:sz w:val="20"/>
              </w:rPr>
              <w:t xml:space="preserve"> </w:t>
            </w:r>
            <w:r w:rsidRPr="00150EDC">
              <w:rPr>
                <w:sz w:val="20"/>
              </w:rPr>
              <w:t>looking</w:t>
            </w:r>
            <w:r w:rsidRPr="00150EDC">
              <w:rPr>
                <w:spacing w:val="-1"/>
                <w:sz w:val="20"/>
              </w:rPr>
              <w:t xml:space="preserve"> </w:t>
            </w:r>
            <w:r w:rsidRPr="00150EDC">
              <w:rPr>
                <w:sz w:val="20"/>
              </w:rPr>
              <w:t>at</w:t>
            </w:r>
            <w:r w:rsidRPr="00150EDC">
              <w:rPr>
                <w:spacing w:val="-6"/>
                <w:sz w:val="20"/>
              </w:rPr>
              <w:t xml:space="preserve"> </w:t>
            </w:r>
            <w:r w:rsidRPr="00150EDC">
              <w:rPr>
                <w:sz w:val="20"/>
              </w:rPr>
              <w:t>a</w:t>
            </w:r>
            <w:r w:rsidRPr="00150EDC">
              <w:rPr>
                <w:spacing w:val="-6"/>
                <w:sz w:val="20"/>
              </w:rPr>
              <w:t xml:space="preserve"> </w:t>
            </w:r>
            <w:r w:rsidRPr="00150EDC">
              <w:rPr>
                <w:sz w:val="20"/>
              </w:rPr>
              <w:t>sexual</w:t>
            </w:r>
            <w:r w:rsidRPr="00150EDC">
              <w:rPr>
                <w:spacing w:val="-4"/>
                <w:sz w:val="20"/>
              </w:rPr>
              <w:t xml:space="preserve"> image</w:t>
            </w:r>
          </w:p>
        </w:tc>
      </w:tr>
      <w:tr w:rsidR="004569EE" w:rsidRPr="007D3144" w14:paraId="73AA685E" w14:textId="77777777">
        <w:trPr>
          <w:trHeight w:val="255"/>
        </w:trPr>
        <w:tc>
          <w:tcPr>
            <w:tcW w:w="6517" w:type="dxa"/>
          </w:tcPr>
          <w:p w14:paraId="7E55268E" w14:textId="77777777" w:rsidR="004C7180" w:rsidRPr="00150EDC" w:rsidRDefault="00CF0754">
            <w:pPr>
              <w:pStyle w:val="TableParagraph"/>
              <w:spacing w:before="28"/>
              <w:rPr>
                <w:sz w:val="20"/>
              </w:rPr>
            </w:pPr>
            <w:r w:rsidRPr="00150EDC">
              <w:rPr>
                <w:sz w:val="20"/>
              </w:rPr>
              <w:t>Sexual</w:t>
            </w:r>
            <w:r w:rsidRPr="00150EDC">
              <w:rPr>
                <w:spacing w:val="-7"/>
                <w:sz w:val="20"/>
              </w:rPr>
              <w:t xml:space="preserve"> </w:t>
            </w:r>
            <w:r w:rsidRPr="00150EDC">
              <w:rPr>
                <w:sz w:val="20"/>
              </w:rPr>
              <w:t>Offences</w:t>
            </w:r>
            <w:r w:rsidRPr="00150EDC">
              <w:rPr>
                <w:spacing w:val="-1"/>
                <w:sz w:val="20"/>
              </w:rPr>
              <w:t xml:space="preserve"> </w:t>
            </w:r>
            <w:r w:rsidRPr="00150EDC">
              <w:rPr>
                <w:sz w:val="20"/>
              </w:rPr>
              <w:t>(Scotland)</w:t>
            </w:r>
            <w:r w:rsidRPr="00150EDC">
              <w:rPr>
                <w:spacing w:val="-8"/>
                <w:sz w:val="20"/>
              </w:rPr>
              <w:t xml:space="preserve"> </w:t>
            </w:r>
            <w:r w:rsidRPr="00150EDC">
              <w:rPr>
                <w:sz w:val="20"/>
              </w:rPr>
              <w:t>Act</w:t>
            </w:r>
            <w:r w:rsidRPr="00150EDC">
              <w:rPr>
                <w:spacing w:val="-7"/>
                <w:sz w:val="20"/>
              </w:rPr>
              <w:t xml:space="preserve"> </w:t>
            </w:r>
            <w:r w:rsidRPr="00150EDC">
              <w:rPr>
                <w:sz w:val="20"/>
              </w:rPr>
              <w:t>2009,</w:t>
            </w:r>
            <w:r w:rsidRPr="00150EDC">
              <w:rPr>
                <w:spacing w:val="-8"/>
                <w:sz w:val="20"/>
              </w:rPr>
              <w:t xml:space="preserve"> </w:t>
            </w:r>
            <w:r w:rsidRPr="00150EDC">
              <w:rPr>
                <w:spacing w:val="-5"/>
                <w:sz w:val="20"/>
              </w:rPr>
              <w:t>s7</w:t>
            </w:r>
          </w:p>
        </w:tc>
        <w:tc>
          <w:tcPr>
            <w:tcW w:w="7427" w:type="dxa"/>
          </w:tcPr>
          <w:p w14:paraId="23B50C6D" w14:textId="77777777" w:rsidR="004C7180" w:rsidRPr="00150EDC" w:rsidRDefault="00CF0754">
            <w:pPr>
              <w:pStyle w:val="TableParagraph"/>
              <w:spacing w:before="28"/>
              <w:rPr>
                <w:sz w:val="20"/>
              </w:rPr>
            </w:pPr>
            <w:r w:rsidRPr="00150EDC">
              <w:rPr>
                <w:sz w:val="20"/>
              </w:rPr>
              <w:t>Communicating</w:t>
            </w:r>
            <w:r w:rsidRPr="00150EDC">
              <w:rPr>
                <w:spacing w:val="-12"/>
                <w:sz w:val="20"/>
              </w:rPr>
              <w:t xml:space="preserve"> </w:t>
            </w:r>
            <w:r w:rsidRPr="00150EDC">
              <w:rPr>
                <w:sz w:val="20"/>
              </w:rPr>
              <w:t>indecently</w:t>
            </w:r>
            <w:r w:rsidRPr="00150EDC">
              <w:rPr>
                <w:spacing w:val="-11"/>
                <w:sz w:val="20"/>
              </w:rPr>
              <w:t xml:space="preserve"> </w:t>
            </w:r>
            <w:r w:rsidRPr="00150EDC">
              <w:rPr>
                <w:spacing w:val="-5"/>
                <w:sz w:val="20"/>
              </w:rPr>
              <w:t>etc</w:t>
            </w:r>
          </w:p>
        </w:tc>
      </w:tr>
      <w:tr w:rsidR="004569EE" w:rsidRPr="007D3144" w14:paraId="7B4495B5" w14:textId="77777777">
        <w:trPr>
          <w:trHeight w:val="255"/>
        </w:trPr>
        <w:tc>
          <w:tcPr>
            <w:tcW w:w="6517" w:type="dxa"/>
          </w:tcPr>
          <w:p w14:paraId="6B72D5E2" w14:textId="77777777" w:rsidR="004C7180" w:rsidRPr="00150EDC" w:rsidRDefault="00CF0754">
            <w:pPr>
              <w:pStyle w:val="TableParagraph"/>
              <w:rPr>
                <w:sz w:val="20"/>
              </w:rPr>
            </w:pPr>
            <w:r w:rsidRPr="00150EDC">
              <w:rPr>
                <w:sz w:val="20"/>
              </w:rPr>
              <w:t>Sexual</w:t>
            </w:r>
            <w:r w:rsidRPr="00150EDC">
              <w:rPr>
                <w:spacing w:val="-7"/>
                <w:sz w:val="20"/>
              </w:rPr>
              <w:t xml:space="preserve"> </w:t>
            </w:r>
            <w:r w:rsidRPr="00150EDC">
              <w:rPr>
                <w:sz w:val="20"/>
              </w:rPr>
              <w:t>Offences</w:t>
            </w:r>
            <w:r w:rsidRPr="00150EDC">
              <w:rPr>
                <w:spacing w:val="-3"/>
                <w:sz w:val="20"/>
              </w:rPr>
              <w:t xml:space="preserve"> </w:t>
            </w:r>
            <w:r w:rsidRPr="00150EDC">
              <w:rPr>
                <w:sz w:val="20"/>
              </w:rPr>
              <w:t>(Scotland)</w:t>
            </w:r>
            <w:r w:rsidRPr="00150EDC">
              <w:rPr>
                <w:spacing w:val="-8"/>
                <w:sz w:val="20"/>
              </w:rPr>
              <w:t xml:space="preserve"> </w:t>
            </w:r>
            <w:r w:rsidRPr="00150EDC">
              <w:rPr>
                <w:sz w:val="20"/>
              </w:rPr>
              <w:t>Act</w:t>
            </w:r>
            <w:r w:rsidRPr="00150EDC">
              <w:rPr>
                <w:spacing w:val="-7"/>
                <w:sz w:val="20"/>
              </w:rPr>
              <w:t xml:space="preserve"> </w:t>
            </w:r>
            <w:r w:rsidRPr="00150EDC">
              <w:rPr>
                <w:sz w:val="20"/>
              </w:rPr>
              <w:t>2009,</w:t>
            </w:r>
            <w:r w:rsidRPr="00150EDC">
              <w:rPr>
                <w:spacing w:val="-8"/>
                <w:sz w:val="20"/>
              </w:rPr>
              <w:t xml:space="preserve"> </w:t>
            </w:r>
            <w:r w:rsidRPr="00150EDC">
              <w:rPr>
                <w:spacing w:val="-5"/>
                <w:sz w:val="20"/>
              </w:rPr>
              <w:t>s8</w:t>
            </w:r>
          </w:p>
        </w:tc>
        <w:tc>
          <w:tcPr>
            <w:tcW w:w="7427" w:type="dxa"/>
          </w:tcPr>
          <w:p w14:paraId="2F842322"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pacing w:val="-2"/>
                <w:sz w:val="20"/>
              </w:rPr>
              <w:t>exposure</w:t>
            </w:r>
          </w:p>
        </w:tc>
      </w:tr>
      <w:tr w:rsidR="004569EE" w:rsidRPr="007D3144" w14:paraId="489A1C94" w14:textId="77777777">
        <w:trPr>
          <w:trHeight w:val="255"/>
        </w:trPr>
        <w:tc>
          <w:tcPr>
            <w:tcW w:w="6517" w:type="dxa"/>
          </w:tcPr>
          <w:p w14:paraId="1130301A" w14:textId="77777777" w:rsidR="004C7180" w:rsidRPr="00150EDC" w:rsidRDefault="00CF0754">
            <w:pPr>
              <w:pStyle w:val="TableParagraph"/>
              <w:rPr>
                <w:sz w:val="20"/>
              </w:rPr>
            </w:pPr>
            <w:r w:rsidRPr="00150EDC">
              <w:rPr>
                <w:sz w:val="20"/>
              </w:rPr>
              <w:t>Sexual</w:t>
            </w:r>
            <w:r w:rsidRPr="00150EDC">
              <w:rPr>
                <w:spacing w:val="-7"/>
                <w:sz w:val="20"/>
              </w:rPr>
              <w:t xml:space="preserve"> </w:t>
            </w:r>
            <w:r w:rsidRPr="00150EDC">
              <w:rPr>
                <w:sz w:val="20"/>
              </w:rPr>
              <w:t>Offences</w:t>
            </w:r>
            <w:r w:rsidRPr="00150EDC">
              <w:rPr>
                <w:spacing w:val="-3"/>
                <w:sz w:val="20"/>
              </w:rPr>
              <w:t xml:space="preserve"> </w:t>
            </w:r>
            <w:r w:rsidRPr="00150EDC">
              <w:rPr>
                <w:sz w:val="20"/>
              </w:rPr>
              <w:t>(Scotland)</w:t>
            </w:r>
            <w:r w:rsidRPr="00150EDC">
              <w:rPr>
                <w:spacing w:val="-8"/>
                <w:sz w:val="20"/>
              </w:rPr>
              <w:t xml:space="preserve"> </w:t>
            </w:r>
            <w:r w:rsidRPr="00150EDC">
              <w:rPr>
                <w:sz w:val="20"/>
              </w:rPr>
              <w:t>Act</w:t>
            </w:r>
            <w:r w:rsidRPr="00150EDC">
              <w:rPr>
                <w:spacing w:val="-7"/>
                <w:sz w:val="20"/>
              </w:rPr>
              <w:t xml:space="preserve"> </w:t>
            </w:r>
            <w:r w:rsidRPr="00150EDC">
              <w:rPr>
                <w:sz w:val="20"/>
              </w:rPr>
              <w:t>2009,</w:t>
            </w:r>
            <w:r w:rsidRPr="00150EDC">
              <w:rPr>
                <w:spacing w:val="-8"/>
                <w:sz w:val="20"/>
              </w:rPr>
              <w:t xml:space="preserve"> </w:t>
            </w:r>
            <w:r w:rsidRPr="00150EDC">
              <w:rPr>
                <w:spacing w:val="-5"/>
                <w:sz w:val="20"/>
              </w:rPr>
              <w:t>s9</w:t>
            </w:r>
          </w:p>
        </w:tc>
        <w:tc>
          <w:tcPr>
            <w:tcW w:w="7427" w:type="dxa"/>
          </w:tcPr>
          <w:p w14:paraId="00B205EE" w14:textId="77777777" w:rsidR="004C7180" w:rsidRPr="00150EDC" w:rsidRDefault="00CF0754">
            <w:pPr>
              <w:pStyle w:val="TableParagraph"/>
              <w:rPr>
                <w:sz w:val="20"/>
              </w:rPr>
            </w:pPr>
            <w:r w:rsidRPr="00150EDC">
              <w:rPr>
                <w:spacing w:val="-2"/>
                <w:sz w:val="20"/>
              </w:rPr>
              <w:t>Voyerism</w:t>
            </w:r>
          </w:p>
        </w:tc>
      </w:tr>
      <w:tr w:rsidR="004569EE" w:rsidRPr="007D3144" w14:paraId="7F5AB0D2" w14:textId="77777777">
        <w:trPr>
          <w:trHeight w:val="255"/>
        </w:trPr>
        <w:tc>
          <w:tcPr>
            <w:tcW w:w="6517" w:type="dxa"/>
          </w:tcPr>
          <w:p w14:paraId="5B473E8B"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3"/>
                <w:sz w:val="20"/>
              </w:rPr>
              <w:t xml:space="preserve"> </w:t>
            </w:r>
            <w:r w:rsidRPr="00150EDC">
              <w:rPr>
                <w:sz w:val="20"/>
              </w:rPr>
              <w:t>Act</w:t>
            </w:r>
            <w:r w:rsidRPr="00150EDC">
              <w:rPr>
                <w:spacing w:val="-6"/>
                <w:sz w:val="20"/>
              </w:rPr>
              <w:t xml:space="preserve"> </w:t>
            </w:r>
            <w:r w:rsidRPr="00150EDC">
              <w:rPr>
                <w:sz w:val="20"/>
              </w:rPr>
              <w:t>1956,</w:t>
            </w:r>
            <w:r w:rsidRPr="00150EDC">
              <w:rPr>
                <w:spacing w:val="-8"/>
                <w:sz w:val="20"/>
              </w:rPr>
              <w:t xml:space="preserve"> </w:t>
            </w:r>
            <w:r w:rsidRPr="00150EDC">
              <w:rPr>
                <w:spacing w:val="-5"/>
                <w:sz w:val="20"/>
              </w:rPr>
              <w:t>s1</w:t>
            </w:r>
          </w:p>
        </w:tc>
        <w:tc>
          <w:tcPr>
            <w:tcW w:w="7427" w:type="dxa"/>
          </w:tcPr>
          <w:p w14:paraId="57374B90" w14:textId="77777777" w:rsidR="004C7180" w:rsidRPr="00150EDC" w:rsidRDefault="00CF0754">
            <w:pPr>
              <w:pStyle w:val="TableParagraph"/>
              <w:rPr>
                <w:sz w:val="20"/>
              </w:rPr>
            </w:pPr>
            <w:r w:rsidRPr="00150EDC">
              <w:rPr>
                <w:spacing w:val="-4"/>
                <w:sz w:val="20"/>
              </w:rPr>
              <w:t>Rape</w:t>
            </w:r>
          </w:p>
        </w:tc>
      </w:tr>
      <w:tr w:rsidR="004569EE" w:rsidRPr="007D3144" w14:paraId="56FC4F2B" w14:textId="77777777">
        <w:trPr>
          <w:trHeight w:val="255"/>
        </w:trPr>
        <w:tc>
          <w:tcPr>
            <w:tcW w:w="6517" w:type="dxa"/>
          </w:tcPr>
          <w:p w14:paraId="553E5C80" w14:textId="77777777" w:rsidR="004C7180" w:rsidRPr="00150EDC" w:rsidRDefault="00CF0754">
            <w:pPr>
              <w:pStyle w:val="TableParagraph"/>
              <w:spacing w:before="28"/>
              <w:rPr>
                <w:sz w:val="20"/>
              </w:rPr>
            </w:pPr>
            <w:r w:rsidRPr="00150EDC">
              <w:rPr>
                <w:sz w:val="20"/>
              </w:rPr>
              <w:t>Sexual</w:t>
            </w:r>
            <w:r w:rsidRPr="00150EDC">
              <w:rPr>
                <w:spacing w:val="-6"/>
                <w:sz w:val="20"/>
              </w:rPr>
              <w:t xml:space="preserve"> </w:t>
            </w:r>
            <w:r w:rsidRPr="00150EDC">
              <w:rPr>
                <w:sz w:val="20"/>
              </w:rPr>
              <w:t>Offences</w:t>
            </w:r>
            <w:r w:rsidRPr="00150EDC">
              <w:rPr>
                <w:spacing w:val="-3"/>
                <w:sz w:val="20"/>
              </w:rPr>
              <w:t xml:space="preserve"> </w:t>
            </w:r>
            <w:r w:rsidRPr="00150EDC">
              <w:rPr>
                <w:sz w:val="20"/>
              </w:rPr>
              <w:t>Act</w:t>
            </w:r>
            <w:r w:rsidRPr="00150EDC">
              <w:rPr>
                <w:spacing w:val="-6"/>
                <w:sz w:val="20"/>
              </w:rPr>
              <w:t xml:space="preserve"> </w:t>
            </w:r>
            <w:r w:rsidRPr="00150EDC">
              <w:rPr>
                <w:sz w:val="20"/>
              </w:rPr>
              <w:t>1956,</w:t>
            </w:r>
            <w:r w:rsidRPr="00150EDC">
              <w:rPr>
                <w:spacing w:val="-8"/>
                <w:sz w:val="20"/>
              </w:rPr>
              <w:t xml:space="preserve"> </w:t>
            </w:r>
            <w:r w:rsidRPr="00150EDC">
              <w:rPr>
                <w:spacing w:val="-5"/>
                <w:sz w:val="20"/>
              </w:rPr>
              <w:t>s10</w:t>
            </w:r>
          </w:p>
        </w:tc>
        <w:tc>
          <w:tcPr>
            <w:tcW w:w="7427" w:type="dxa"/>
          </w:tcPr>
          <w:p w14:paraId="546F9036" w14:textId="77777777" w:rsidR="004C7180" w:rsidRPr="00150EDC" w:rsidRDefault="00CF0754">
            <w:pPr>
              <w:pStyle w:val="TableParagraph"/>
              <w:spacing w:before="28"/>
              <w:rPr>
                <w:sz w:val="20"/>
              </w:rPr>
            </w:pPr>
            <w:r w:rsidRPr="00150EDC">
              <w:rPr>
                <w:sz w:val="20"/>
              </w:rPr>
              <w:t>Incest</w:t>
            </w:r>
            <w:r w:rsidRPr="00150EDC">
              <w:rPr>
                <w:spacing w:val="-4"/>
                <w:sz w:val="20"/>
              </w:rPr>
              <w:t xml:space="preserve"> </w:t>
            </w:r>
            <w:r w:rsidRPr="00150EDC">
              <w:rPr>
                <w:sz w:val="20"/>
              </w:rPr>
              <w:t>by</w:t>
            </w:r>
            <w:r w:rsidRPr="00150EDC">
              <w:rPr>
                <w:spacing w:val="-4"/>
                <w:sz w:val="20"/>
              </w:rPr>
              <w:t xml:space="preserve"> </w:t>
            </w:r>
            <w:r w:rsidRPr="00150EDC">
              <w:rPr>
                <w:sz w:val="20"/>
              </w:rPr>
              <w:t>a</w:t>
            </w:r>
            <w:r w:rsidRPr="00150EDC">
              <w:rPr>
                <w:spacing w:val="1"/>
                <w:sz w:val="20"/>
              </w:rPr>
              <w:t xml:space="preserve"> </w:t>
            </w:r>
            <w:r w:rsidRPr="00150EDC">
              <w:rPr>
                <w:spacing w:val="-5"/>
                <w:sz w:val="20"/>
              </w:rPr>
              <w:t>man</w:t>
            </w:r>
          </w:p>
        </w:tc>
      </w:tr>
      <w:tr w:rsidR="004569EE" w:rsidRPr="007D3144" w14:paraId="673A3FFD" w14:textId="77777777">
        <w:trPr>
          <w:trHeight w:val="255"/>
        </w:trPr>
        <w:tc>
          <w:tcPr>
            <w:tcW w:w="6517" w:type="dxa"/>
          </w:tcPr>
          <w:p w14:paraId="2875FF83"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2"/>
                <w:sz w:val="20"/>
              </w:rPr>
              <w:t xml:space="preserve"> </w:t>
            </w:r>
            <w:r w:rsidRPr="00150EDC">
              <w:rPr>
                <w:sz w:val="20"/>
              </w:rPr>
              <w:t>Act</w:t>
            </w:r>
            <w:r w:rsidRPr="00150EDC">
              <w:rPr>
                <w:spacing w:val="-7"/>
                <w:sz w:val="20"/>
              </w:rPr>
              <w:t xml:space="preserve"> </w:t>
            </w:r>
            <w:r w:rsidRPr="00150EDC">
              <w:rPr>
                <w:sz w:val="20"/>
              </w:rPr>
              <w:t>1956,</w:t>
            </w:r>
            <w:r w:rsidRPr="00150EDC">
              <w:rPr>
                <w:spacing w:val="-7"/>
                <w:sz w:val="20"/>
              </w:rPr>
              <w:t xml:space="preserve"> </w:t>
            </w:r>
            <w:r w:rsidRPr="00150EDC">
              <w:rPr>
                <w:spacing w:val="-5"/>
                <w:sz w:val="20"/>
              </w:rPr>
              <w:t>s11</w:t>
            </w:r>
          </w:p>
        </w:tc>
        <w:tc>
          <w:tcPr>
            <w:tcW w:w="7427" w:type="dxa"/>
          </w:tcPr>
          <w:p w14:paraId="51D804BA" w14:textId="77777777" w:rsidR="004C7180" w:rsidRPr="00150EDC" w:rsidRDefault="00CF0754">
            <w:pPr>
              <w:pStyle w:val="TableParagraph"/>
              <w:rPr>
                <w:sz w:val="20"/>
              </w:rPr>
            </w:pPr>
            <w:r w:rsidRPr="00150EDC">
              <w:rPr>
                <w:sz w:val="20"/>
              </w:rPr>
              <w:t>Incest</w:t>
            </w:r>
            <w:r w:rsidRPr="00150EDC">
              <w:rPr>
                <w:spacing w:val="-4"/>
                <w:sz w:val="20"/>
              </w:rPr>
              <w:t xml:space="preserve"> </w:t>
            </w:r>
            <w:r w:rsidRPr="00150EDC">
              <w:rPr>
                <w:sz w:val="20"/>
              </w:rPr>
              <w:t>by</w:t>
            </w:r>
            <w:r w:rsidRPr="00150EDC">
              <w:rPr>
                <w:spacing w:val="-4"/>
                <w:sz w:val="20"/>
              </w:rPr>
              <w:t xml:space="preserve"> </w:t>
            </w:r>
            <w:r w:rsidRPr="00150EDC">
              <w:rPr>
                <w:sz w:val="20"/>
              </w:rPr>
              <w:t>a</w:t>
            </w:r>
            <w:r w:rsidRPr="00150EDC">
              <w:rPr>
                <w:spacing w:val="1"/>
                <w:sz w:val="20"/>
              </w:rPr>
              <w:t xml:space="preserve"> </w:t>
            </w:r>
            <w:r w:rsidRPr="00150EDC">
              <w:rPr>
                <w:spacing w:val="-2"/>
                <w:sz w:val="20"/>
              </w:rPr>
              <w:t>woman</w:t>
            </w:r>
          </w:p>
        </w:tc>
      </w:tr>
      <w:tr w:rsidR="004569EE" w:rsidRPr="007D3144" w14:paraId="748943EE" w14:textId="77777777">
        <w:trPr>
          <w:trHeight w:val="460"/>
        </w:trPr>
        <w:tc>
          <w:tcPr>
            <w:tcW w:w="6517" w:type="dxa"/>
          </w:tcPr>
          <w:p w14:paraId="40B5C6BE" w14:textId="77777777" w:rsidR="004C7180" w:rsidRPr="00150EDC" w:rsidRDefault="004C7180">
            <w:pPr>
              <w:pStyle w:val="TableParagraph"/>
              <w:spacing w:before="2" w:line="240" w:lineRule="auto"/>
              <w:ind w:left="0"/>
              <w:rPr>
                <w:sz w:val="20"/>
              </w:rPr>
            </w:pPr>
          </w:p>
          <w:p w14:paraId="18964E34" w14:textId="77777777" w:rsidR="004C7180" w:rsidRPr="00150EDC" w:rsidRDefault="00CF0754">
            <w:pPr>
              <w:pStyle w:val="TableParagraph"/>
              <w:spacing w:before="0"/>
              <w:rPr>
                <w:sz w:val="20"/>
              </w:rPr>
            </w:pPr>
            <w:r w:rsidRPr="00150EDC">
              <w:rPr>
                <w:sz w:val="20"/>
              </w:rPr>
              <w:t>Sexual</w:t>
            </w:r>
            <w:r w:rsidRPr="00150EDC">
              <w:rPr>
                <w:spacing w:val="-6"/>
                <w:sz w:val="20"/>
              </w:rPr>
              <w:t xml:space="preserve"> </w:t>
            </w:r>
            <w:r w:rsidRPr="00150EDC">
              <w:rPr>
                <w:sz w:val="20"/>
              </w:rPr>
              <w:t>Offences</w:t>
            </w:r>
            <w:r w:rsidRPr="00150EDC">
              <w:rPr>
                <w:spacing w:val="-3"/>
                <w:sz w:val="20"/>
              </w:rPr>
              <w:t xml:space="preserve"> </w:t>
            </w:r>
            <w:r w:rsidRPr="00150EDC">
              <w:rPr>
                <w:sz w:val="20"/>
              </w:rPr>
              <w:t>Act</w:t>
            </w:r>
            <w:r w:rsidRPr="00150EDC">
              <w:rPr>
                <w:spacing w:val="-6"/>
                <w:sz w:val="20"/>
              </w:rPr>
              <w:t xml:space="preserve"> </w:t>
            </w:r>
            <w:r w:rsidRPr="00150EDC">
              <w:rPr>
                <w:sz w:val="20"/>
              </w:rPr>
              <w:t>1956,</w:t>
            </w:r>
            <w:r w:rsidRPr="00150EDC">
              <w:rPr>
                <w:spacing w:val="-8"/>
                <w:sz w:val="20"/>
              </w:rPr>
              <w:t xml:space="preserve"> </w:t>
            </w:r>
            <w:r w:rsidRPr="00150EDC">
              <w:rPr>
                <w:spacing w:val="-5"/>
                <w:sz w:val="20"/>
              </w:rPr>
              <w:t>s12</w:t>
            </w:r>
          </w:p>
        </w:tc>
        <w:tc>
          <w:tcPr>
            <w:tcW w:w="7427" w:type="dxa"/>
          </w:tcPr>
          <w:p w14:paraId="5942D8F0" w14:textId="77777777" w:rsidR="004C7180" w:rsidRPr="00150EDC" w:rsidRDefault="00CF0754">
            <w:pPr>
              <w:pStyle w:val="TableParagraph"/>
              <w:spacing w:before="0" w:line="230" w:lineRule="atLeast"/>
              <w:rPr>
                <w:sz w:val="20"/>
              </w:rPr>
            </w:pPr>
            <w:r w:rsidRPr="00150EDC">
              <w:rPr>
                <w:sz w:val="20"/>
              </w:rPr>
              <w:t>Buggery,</w:t>
            </w:r>
            <w:r w:rsidRPr="00150EDC">
              <w:rPr>
                <w:spacing w:val="-4"/>
                <w:sz w:val="20"/>
              </w:rPr>
              <w:t xml:space="preserve"> </w:t>
            </w:r>
            <w:r w:rsidRPr="00150EDC">
              <w:rPr>
                <w:sz w:val="20"/>
              </w:rPr>
              <w:t>where</w:t>
            </w:r>
            <w:r w:rsidRPr="00150EDC">
              <w:rPr>
                <w:spacing w:val="-5"/>
                <w:sz w:val="20"/>
              </w:rPr>
              <w:t xml:space="preserve"> </w:t>
            </w:r>
            <w:r w:rsidRPr="00150EDC">
              <w:rPr>
                <w:sz w:val="20"/>
              </w:rPr>
              <w:t>the</w:t>
            </w:r>
            <w:r w:rsidRPr="00150EDC">
              <w:rPr>
                <w:spacing w:val="-5"/>
                <w:sz w:val="20"/>
              </w:rPr>
              <w:t xml:space="preserve"> </w:t>
            </w:r>
            <w:r w:rsidRPr="00150EDC">
              <w:rPr>
                <w:sz w:val="20"/>
              </w:rPr>
              <w:t>person</w:t>
            </w:r>
            <w:r w:rsidRPr="00150EDC">
              <w:rPr>
                <w:spacing w:val="-5"/>
                <w:sz w:val="20"/>
              </w:rPr>
              <w:t xml:space="preserve"> </w:t>
            </w:r>
            <w:r w:rsidRPr="00150EDC">
              <w:rPr>
                <w:sz w:val="20"/>
              </w:rPr>
              <w:t>with</w:t>
            </w:r>
            <w:r w:rsidRPr="00150EDC">
              <w:rPr>
                <w:spacing w:val="-5"/>
                <w:sz w:val="20"/>
              </w:rPr>
              <w:t xml:space="preserve"> </w:t>
            </w:r>
            <w:r w:rsidRPr="00150EDC">
              <w:rPr>
                <w:sz w:val="20"/>
              </w:rPr>
              <w:t>whom</w:t>
            </w:r>
            <w:r w:rsidRPr="00150EDC">
              <w:rPr>
                <w:spacing w:val="-2"/>
                <w:sz w:val="20"/>
              </w:rPr>
              <w:t xml:space="preserve"> </w:t>
            </w:r>
            <w:r w:rsidRPr="00150EDC">
              <w:rPr>
                <w:sz w:val="20"/>
              </w:rPr>
              <w:t>the</w:t>
            </w:r>
            <w:r w:rsidRPr="00150EDC">
              <w:rPr>
                <w:spacing w:val="-5"/>
                <w:sz w:val="20"/>
              </w:rPr>
              <w:t xml:space="preserve"> </w:t>
            </w:r>
            <w:r w:rsidRPr="00150EDC">
              <w:rPr>
                <w:sz w:val="20"/>
              </w:rPr>
              <w:t>offence</w:t>
            </w:r>
            <w:r w:rsidRPr="00150EDC">
              <w:rPr>
                <w:spacing w:val="-1"/>
                <w:sz w:val="20"/>
              </w:rPr>
              <w:t xml:space="preserve"> </w:t>
            </w:r>
            <w:r w:rsidRPr="00150EDC">
              <w:rPr>
                <w:sz w:val="20"/>
              </w:rPr>
              <w:t>was</w:t>
            </w:r>
            <w:r w:rsidRPr="00150EDC">
              <w:rPr>
                <w:spacing w:val="-4"/>
                <w:sz w:val="20"/>
              </w:rPr>
              <w:t xml:space="preserve"> </w:t>
            </w:r>
            <w:r w:rsidRPr="00150EDC">
              <w:rPr>
                <w:sz w:val="20"/>
              </w:rPr>
              <w:t>committed</w:t>
            </w:r>
            <w:r w:rsidRPr="00150EDC">
              <w:rPr>
                <w:spacing w:val="-1"/>
                <w:sz w:val="20"/>
              </w:rPr>
              <w:t xml:space="preserve"> </w:t>
            </w:r>
            <w:r w:rsidRPr="00150EDC">
              <w:rPr>
                <w:sz w:val="20"/>
              </w:rPr>
              <w:t>was</w:t>
            </w:r>
            <w:r w:rsidRPr="00150EDC">
              <w:rPr>
                <w:spacing w:val="-4"/>
                <w:sz w:val="20"/>
              </w:rPr>
              <w:t xml:space="preserve"> </w:t>
            </w:r>
            <w:r w:rsidRPr="00150EDC">
              <w:rPr>
                <w:sz w:val="20"/>
              </w:rPr>
              <w:t>under</w:t>
            </w:r>
            <w:r w:rsidRPr="00150EDC">
              <w:rPr>
                <w:spacing w:val="-5"/>
                <w:sz w:val="20"/>
              </w:rPr>
              <w:t xml:space="preserve"> </w:t>
            </w:r>
            <w:r w:rsidRPr="00150EDC">
              <w:rPr>
                <w:sz w:val="20"/>
              </w:rPr>
              <w:t>the age of 16 or did not consent to the act</w:t>
            </w:r>
          </w:p>
        </w:tc>
      </w:tr>
      <w:tr w:rsidR="004569EE" w:rsidRPr="007D3144" w14:paraId="66FE5D1A" w14:textId="77777777">
        <w:trPr>
          <w:trHeight w:val="510"/>
        </w:trPr>
        <w:tc>
          <w:tcPr>
            <w:tcW w:w="6517" w:type="dxa"/>
          </w:tcPr>
          <w:p w14:paraId="50FFEC02" w14:textId="77777777" w:rsidR="004C7180" w:rsidRPr="00150EDC" w:rsidRDefault="004C7180">
            <w:pPr>
              <w:pStyle w:val="TableParagraph"/>
              <w:spacing w:before="6" w:line="240" w:lineRule="auto"/>
              <w:ind w:left="0"/>
              <w:rPr>
                <w:sz w:val="24"/>
              </w:rPr>
            </w:pPr>
          </w:p>
          <w:p w14:paraId="050DEDF5" w14:textId="77777777" w:rsidR="004C7180" w:rsidRPr="00150EDC" w:rsidRDefault="00CF0754">
            <w:pPr>
              <w:pStyle w:val="TableParagraph"/>
              <w:spacing w:before="1"/>
              <w:rPr>
                <w:sz w:val="20"/>
              </w:rPr>
            </w:pPr>
            <w:r w:rsidRPr="00150EDC">
              <w:rPr>
                <w:sz w:val="20"/>
              </w:rPr>
              <w:t>Sexual</w:t>
            </w:r>
            <w:r w:rsidRPr="00150EDC">
              <w:rPr>
                <w:spacing w:val="-6"/>
                <w:sz w:val="20"/>
              </w:rPr>
              <w:t xml:space="preserve"> </w:t>
            </w:r>
            <w:r w:rsidRPr="00150EDC">
              <w:rPr>
                <w:sz w:val="20"/>
              </w:rPr>
              <w:t>Offences</w:t>
            </w:r>
            <w:r w:rsidRPr="00150EDC">
              <w:rPr>
                <w:spacing w:val="-3"/>
                <w:sz w:val="20"/>
              </w:rPr>
              <w:t xml:space="preserve"> </w:t>
            </w:r>
            <w:r w:rsidRPr="00150EDC">
              <w:rPr>
                <w:sz w:val="20"/>
              </w:rPr>
              <w:t>Act</w:t>
            </w:r>
            <w:r w:rsidRPr="00150EDC">
              <w:rPr>
                <w:spacing w:val="-6"/>
                <w:sz w:val="20"/>
              </w:rPr>
              <w:t xml:space="preserve"> </w:t>
            </w:r>
            <w:r w:rsidRPr="00150EDC">
              <w:rPr>
                <w:sz w:val="20"/>
              </w:rPr>
              <w:t>1956,</w:t>
            </w:r>
            <w:r w:rsidRPr="00150EDC">
              <w:rPr>
                <w:spacing w:val="-8"/>
                <w:sz w:val="20"/>
              </w:rPr>
              <w:t xml:space="preserve"> </w:t>
            </w:r>
            <w:r w:rsidRPr="00150EDC">
              <w:rPr>
                <w:spacing w:val="-5"/>
                <w:sz w:val="20"/>
              </w:rPr>
              <w:t>s13</w:t>
            </w:r>
          </w:p>
        </w:tc>
        <w:tc>
          <w:tcPr>
            <w:tcW w:w="7427" w:type="dxa"/>
          </w:tcPr>
          <w:p w14:paraId="026E92B2" w14:textId="77777777" w:rsidR="004C7180" w:rsidRPr="00150EDC" w:rsidRDefault="00CF0754">
            <w:pPr>
              <w:pStyle w:val="TableParagraph"/>
              <w:spacing w:before="32" w:line="230" w:lineRule="atLeast"/>
              <w:ind w:right="186"/>
              <w:rPr>
                <w:sz w:val="20"/>
              </w:rPr>
            </w:pPr>
            <w:r w:rsidRPr="00150EDC">
              <w:rPr>
                <w:sz w:val="20"/>
              </w:rPr>
              <w:t>Indecency between</w:t>
            </w:r>
            <w:r w:rsidRPr="00150EDC">
              <w:rPr>
                <w:spacing w:val="-6"/>
                <w:sz w:val="20"/>
              </w:rPr>
              <w:t xml:space="preserve"> </w:t>
            </w:r>
            <w:r w:rsidRPr="00150EDC">
              <w:rPr>
                <w:sz w:val="20"/>
              </w:rPr>
              <w:t>men,</w:t>
            </w:r>
            <w:r w:rsidRPr="00150EDC">
              <w:rPr>
                <w:spacing w:val="-6"/>
                <w:sz w:val="20"/>
              </w:rPr>
              <w:t xml:space="preserve"> </w:t>
            </w:r>
            <w:r w:rsidRPr="00150EDC">
              <w:rPr>
                <w:sz w:val="20"/>
              </w:rPr>
              <w:t>where</w:t>
            </w:r>
            <w:r w:rsidRPr="00150EDC">
              <w:rPr>
                <w:spacing w:val="-6"/>
                <w:sz w:val="20"/>
              </w:rPr>
              <w:t xml:space="preserve"> </w:t>
            </w:r>
            <w:r w:rsidRPr="00150EDC">
              <w:rPr>
                <w:sz w:val="20"/>
              </w:rPr>
              <w:t>the</w:t>
            </w:r>
            <w:r w:rsidRPr="00150EDC">
              <w:rPr>
                <w:spacing w:val="-4"/>
                <w:sz w:val="20"/>
              </w:rPr>
              <w:t xml:space="preserve"> </w:t>
            </w:r>
            <w:r w:rsidRPr="00150EDC">
              <w:rPr>
                <w:sz w:val="20"/>
              </w:rPr>
              <w:t>person</w:t>
            </w:r>
            <w:r w:rsidRPr="00150EDC">
              <w:rPr>
                <w:spacing w:val="-6"/>
                <w:sz w:val="20"/>
              </w:rPr>
              <w:t xml:space="preserve"> </w:t>
            </w:r>
            <w:r w:rsidRPr="00150EDC">
              <w:rPr>
                <w:sz w:val="20"/>
              </w:rPr>
              <w:t>with</w:t>
            </w:r>
            <w:r w:rsidRPr="00150EDC">
              <w:rPr>
                <w:spacing w:val="-6"/>
                <w:sz w:val="20"/>
              </w:rPr>
              <w:t xml:space="preserve"> </w:t>
            </w:r>
            <w:r w:rsidRPr="00150EDC">
              <w:rPr>
                <w:sz w:val="20"/>
              </w:rPr>
              <w:t>whom</w:t>
            </w:r>
            <w:r w:rsidRPr="00150EDC">
              <w:rPr>
                <w:spacing w:val="-6"/>
                <w:sz w:val="20"/>
              </w:rPr>
              <w:t xml:space="preserve"> </w:t>
            </w:r>
            <w:r w:rsidRPr="00150EDC">
              <w:rPr>
                <w:sz w:val="20"/>
              </w:rPr>
              <w:t>the</w:t>
            </w:r>
            <w:r w:rsidRPr="00150EDC">
              <w:rPr>
                <w:spacing w:val="-6"/>
                <w:sz w:val="20"/>
              </w:rPr>
              <w:t xml:space="preserve"> </w:t>
            </w:r>
            <w:r w:rsidRPr="00150EDC">
              <w:rPr>
                <w:sz w:val="20"/>
              </w:rPr>
              <w:t>offence</w:t>
            </w:r>
            <w:r w:rsidRPr="00150EDC">
              <w:rPr>
                <w:spacing w:val="-6"/>
                <w:sz w:val="20"/>
              </w:rPr>
              <w:t xml:space="preserve"> </w:t>
            </w:r>
            <w:r w:rsidRPr="00150EDC">
              <w:rPr>
                <w:sz w:val="20"/>
              </w:rPr>
              <w:t>was committed was under the age of 16 or did not consent to the act</w:t>
            </w:r>
          </w:p>
        </w:tc>
      </w:tr>
      <w:tr w:rsidR="004569EE" w:rsidRPr="007D3144" w14:paraId="0D516353" w14:textId="77777777">
        <w:trPr>
          <w:trHeight w:val="255"/>
        </w:trPr>
        <w:tc>
          <w:tcPr>
            <w:tcW w:w="6517" w:type="dxa"/>
          </w:tcPr>
          <w:p w14:paraId="47468F41"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3"/>
                <w:sz w:val="20"/>
              </w:rPr>
              <w:t xml:space="preserve"> </w:t>
            </w:r>
            <w:r w:rsidRPr="00150EDC">
              <w:rPr>
                <w:sz w:val="20"/>
              </w:rPr>
              <w:t>Act</w:t>
            </w:r>
            <w:r w:rsidRPr="00150EDC">
              <w:rPr>
                <w:spacing w:val="-6"/>
                <w:sz w:val="20"/>
              </w:rPr>
              <w:t xml:space="preserve"> </w:t>
            </w:r>
            <w:r w:rsidRPr="00150EDC">
              <w:rPr>
                <w:sz w:val="20"/>
              </w:rPr>
              <w:t>1956,</w:t>
            </w:r>
            <w:r w:rsidRPr="00150EDC">
              <w:rPr>
                <w:spacing w:val="-8"/>
                <w:sz w:val="20"/>
              </w:rPr>
              <w:t xml:space="preserve"> </w:t>
            </w:r>
            <w:r w:rsidRPr="00150EDC">
              <w:rPr>
                <w:spacing w:val="-5"/>
                <w:sz w:val="20"/>
              </w:rPr>
              <w:t>s14</w:t>
            </w:r>
          </w:p>
        </w:tc>
        <w:tc>
          <w:tcPr>
            <w:tcW w:w="7427" w:type="dxa"/>
          </w:tcPr>
          <w:p w14:paraId="78F2952A" w14:textId="77777777" w:rsidR="004C7180" w:rsidRPr="00150EDC" w:rsidRDefault="00CF0754">
            <w:pPr>
              <w:pStyle w:val="TableParagraph"/>
              <w:rPr>
                <w:sz w:val="20"/>
              </w:rPr>
            </w:pPr>
            <w:r w:rsidRPr="00150EDC">
              <w:rPr>
                <w:sz w:val="20"/>
              </w:rPr>
              <w:t>Indecent</w:t>
            </w:r>
            <w:r w:rsidRPr="00150EDC">
              <w:rPr>
                <w:spacing w:val="-2"/>
                <w:sz w:val="20"/>
              </w:rPr>
              <w:t xml:space="preserve"> </w:t>
            </w:r>
            <w:r w:rsidRPr="00150EDC">
              <w:rPr>
                <w:sz w:val="20"/>
              </w:rPr>
              <w:t>assault</w:t>
            </w:r>
            <w:r w:rsidRPr="00150EDC">
              <w:rPr>
                <w:spacing w:val="-2"/>
                <w:sz w:val="20"/>
              </w:rPr>
              <w:t xml:space="preserve"> </w:t>
            </w:r>
            <w:r w:rsidRPr="00150EDC">
              <w:rPr>
                <w:sz w:val="20"/>
              </w:rPr>
              <w:t>on</w:t>
            </w:r>
            <w:r w:rsidRPr="00150EDC">
              <w:rPr>
                <w:spacing w:val="-7"/>
                <w:sz w:val="20"/>
              </w:rPr>
              <w:t xml:space="preserve"> </w:t>
            </w:r>
            <w:r w:rsidRPr="00150EDC">
              <w:rPr>
                <w:sz w:val="20"/>
              </w:rPr>
              <w:t>a</w:t>
            </w:r>
            <w:r w:rsidRPr="00150EDC">
              <w:rPr>
                <w:spacing w:val="-7"/>
                <w:sz w:val="20"/>
              </w:rPr>
              <w:t xml:space="preserve"> </w:t>
            </w:r>
            <w:r w:rsidRPr="00150EDC">
              <w:rPr>
                <w:spacing w:val="-2"/>
                <w:sz w:val="20"/>
              </w:rPr>
              <w:t>woman</w:t>
            </w:r>
          </w:p>
        </w:tc>
      </w:tr>
      <w:tr w:rsidR="004569EE" w:rsidRPr="007D3144" w14:paraId="7EAABB0E" w14:textId="77777777">
        <w:trPr>
          <w:trHeight w:val="255"/>
        </w:trPr>
        <w:tc>
          <w:tcPr>
            <w:tcW w:w="6517" w:type="dxa"/>
          </w:tcPr>
          <w:p w14:paraId="065C0C65"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3"/>
                <w:sz w:val="20"/>
              </w:rPr>
              <w:t xml:space="preserve"> </w:t>
            </w:r>
            <w:r w:rsidRPr="00150EDC">
              <w:rPr>
                <w:sz w:val="20"/>
              </w:rPr>
              <w:t>Act</w:t>
            </w:r>
            <w:r w:rsidRPr="00150EDC">
              <w:rPr>
                <w:spacing w:val="-6"/>
                <w:sz w:val="20"/>
              </w:rPr>
              <w:t xml:space="preserve"> </w:t>
            </w:r>
            <w:r w:rsidRPr="00150EDC">
              <w:rPr>
                <w:sz w:val="20"/>
              </w:rPr>
              <w:t>1956,</w:t>
            </w:r>
            <w:r w:rsidRPr="00150EDC">
              <w:rPr>
                <w:spacing w:val="-8"/>
                <w:sz w:val="20"/>
              </w:rPr>
              <w:t xml:space="preserve"> </w:t>
            </w:r>
            <w:r w:rsidRPr="00150EDC">
              <w:rPr>
                <w:spacing w:val="-5"/>
                <w:sz w:val="20"/>
              </w:rPr>
              <w:t>s15</w:t>
            </w:r>
          </w:p>
        </w:tc>
        <w:tc>
          <w:tcPr>
            <w:tcW w:w="7427" w:type="dxa"/>
          </w:tcPr>
          <w:p w14:paraId="14543CBC" w14:textId="77777777" w:rsidR="004C7180" w:rsidRPr="00150EDC" w:rsidRDefault="00CF0754">
            <w:pPr>
              <w:pStyle w:val="TableParagraph"/>
              <w:rPr>
                <w:sz w:val="20"/>
              </w:rPr>
            </w:pPr>
            <w:r w:rsidRPr="00150EDC">
              <w:rPr>
                <w:sz w:val="20"/>
              </w:rPr>
              <w:t>Indecent</w:t>
            </w:r>
            <w:r w:rsidRPr="00150EDC">
              <w:rPr>
                <w:spacing w:val="-2"/>
                <w:sz w:val="20"/>
              </w:rPr>
              <w:t xml:space="preserve"> </w:t>
            </w:r>
            <w:r w:rsidRPr="00150EDC">
              <w:rPr>
                <w:sz w:val="20"/>
              </w:rPr>
              <w:t>assault</w:t>
            </w:r>
            <w:r w:rsidRPr="00150EDC">
              <w:rPr>
                <w:spacing w:val="-2"/>
                <w:sz w:val="20"/>
              </w:rPr>
              <w:t xml:space="preserve"> </w:t>
            </w:r>
            <w:r w:rsidRPr="00150EDC">
              <w:rPr>
                <w:sz w:val="20"/>
              </w:rPr>
              <w:t>on</w:t>
            </w:r>
            <w:r w:rsidRPr="00150EDC">
              <w:rPr>
                <w:spacing w:val="-7"/>
                <w:sz w:val="20"/>
              </w:rPr>
              <w:t xml:space="preserve"> </w:t>
            </w:r>
            <w:r w:rsidRPr="00150EDC">
              <w:rPr>
                <w:sz w:val="20"/>
              </w:rPr>
              <w:t>a</w:t>
            </w:r>
            <w:r w:rsidRPr="00150EDC">
              <w:rPr>
                <w:spacing w:val="-3"/>
                <w:sz w:val="20"/>
              </w:rPr>
              <w:t xml:space="preserve"> </w:t>
            </w:r>
            <w:r w:rsidRPr="00150EDC">
              <w:rPr>
                <w:spacing w:val="-5"/>
                <w:sz w:val="20"/>
              </w:rPr>
              <w:t>man</w:t>
            </w:r>
          </w:p>
        </w:tc>
      </w:tr>
      <w:tr w:rsidR="004569EE" w:rsidRPr="007D3144" w14:paraId="22BCEFA6" w14:textId="77777777">
        <w:trPr>
          <w:trHeight w:val="255"/>
        </w:trPr>
        <w:tc>
          <w:tcPr>
            <w:tcW w:w="6517" w:type="dxa"/>
          </w:tcPr>
          <w:p w14:paraId="76D70237"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3"/>
                <w:sz w:val="20"/>
              </w:rPr>
              <w:t xml:space="preserve"> </w:t>
            </w:r>
            <w:r w:rsidRPr="00150EDC">
              <w:rPr>
                <w:sz w:val="20"/>
              </w:rPr>
              <w:t>Act</w:t>
            </w:r>
            <w:r w:rsidRPr="00150EDC">
              <w:rPr>
                <w:spacing w:val="-6"/>
                <w:sz w:val="20"/>
              </w:rPr>
              <w:t xml:space="preserve"> </w:t>
            </w:r>
            <w:r w:rsidRPr="00150EDC">
              <w:rPr>
                <w:sz w:val="20"/>
              </w:rPr>
              <w:t>1956,</w:t>
            </w:r>
            <w:r w:rsidRPr="00150EDC">
              <w:rPr>
                <w:spacing w:val="-8"/>
                <w:sz w:val="20"/>
              </w:rPr>
              <w:t xml:space="preserve"> </w:t>
            </w:r>
            <w:r w:rsidRPr="00150EDC">
              <w:rPr>
                <w:spacing w:val="-5"/>
                <w:sz w:val="20"/>
              </w:rPr>
              <w:t>s16</w:t>
            </w:r>
          </w:p>
        </w:tc>
        <w:tc>
          <w:tcPr>
            <w:tcW w:w="7427" w:type="dxa"/>
          </w:tcPr>
          <w:p w14:paraId="317CFB2E" w14:textId="77777777" w:rsidR="004C7180" w:rsidRPr="00150EDC" w:rsidRDefault="00CF0754">
            <w:pPr>
              <w:pStyle w:val="TableParagraph"/>
              <w:rPr>
                <w:sz w:val="20"/>
              </w:rPr>
            </w:pPr>
            <w:r w:rsidRPr="00150EDC">
              <w:rPr>
                <w:sz w:val="20"/>
              </w:rPr>
              <w:t>Assault</w:t>
            </w:r>
            <w:r w:rsidRPr="00150EDC">
              <w:rPr>
                <w:spacing w:val="-5"/>
                <w:sz w:val="20"/>
              </w:rPr>
              <w:t xml:space="preserve"> </w:t>
            </w:r>
            <w:r w:rsidRPr="00150EDC">
              <w:rPr>
                <w:sz w:val="20"/>
              </w:rPr>
              <w:t>with</w:t>
            </w:r>
            <w:r w:rsidRPr="00150EDC">
              <w:rPr>
                <w:spacing w:val="-6"/>
                <w:sz w:val="20"/>
              </w:rPr>
              <w:t xml:space="preserve"> </w:t>
            </w:r>
            <w:r w:rsidRPr="00150EDC">
              <w:rPr>
                <w:sz w:val="20"/>
              </w:rPr>
              <w:t>intent to</w:t>
            </w:r>
            <w:r w:rsidRPr="00150EDC">
              <w:rPr>
                <w:spacing w:val="-6"/>
                <w:sz w:val="20"/>
              </w:rPr>
              <w:t xml:space="preserve"> </w:t>
            </w:r>
            <w:r w:rsidRPr="00150EDC">
              <w:rPr>
                <w:sz w:val="20"/>
              </w:rPr>
              <w:t>commit</w:t>
            </w:r>
            <w:r w:rsidRPr="00150EDC">
              <w:rPr>
                <w:spacing w:val="-4"/>
                <w:sz w:val="20"/>
              </w:rPr>
              <w:t xml:space="preserve"> </w:t>
            </w:r>
            <w:r w:rsidRPr="00150EDC">
              <w:rPr>
                <w:spacing w:val="-2"/>
                <w:sz w:val="20"/>
              </w:rPr>
              <w:t>buggery</w:t>
            </w:r>
          </w:p>
        </w:tc>
      </w:tr>
      <w:tr w:rsidR="004569EE" w:rsidRPr="007D3144" w14:paraId="6103CD08" w14:textId="77777777">
        <w:trPr>
          <w:trHeight w:val="255"/>
        </w:trPr>
        <w:tc>
          <w:tcPr>
            <w:tcW w:w="6517" w:type="dxa"/>
          </w:tcPr>
          <w:p w14:paraId="45428846" w14:textId="77777777" w:rsidR="004C7180" w:rsidRPr="00150EDC" w:rsidRDefault="00CF0754">
            <w:pPr>
              <w:pStyle w:val="TableParagraph"/>
              <w:spacing w:before="28"/>
              <w:rPr>
                <w:sz w:val="20"/>
              </w:rPr>
            </w:pPr>
            <w:r w:rsidRPr="00150EDC">
              <w:rPr>
                <w:sz w:val="20"/>
              </w:rPr>
              <w:t>Sexual</w:t>
            </w:r>
            <w:r w:rsidRPr="00150EDC">
              <w:rPr>
                <w:spacing w:val="-6"/>
                <w:sz w:val="20"/>
              </w:rPr>
              <w:t xml:space="preserve"> </w:t>
            </w:r>
            <w:r w:rsidRPr="00150EDC">
              <w:rPr>
                <w:sz w:val="20"/>
              </w:rPr>
              <w:t>Offences</w:t>
            </w:r>
            <w:r w:rsidRPr="00150EDC">
              <w:rPr>
                <w:spacing w:val="-3"/>
                <w:sz w:val="20"/>
              </w:rPr>
              <w:t xml:space="preserve"> </w:t>
            </w:r>
            <w:r w:rsidRPr="00150EDC">
              <w:rPr>
                <w:sz w:val="20"/>
              </w:rPr>
              <w:t>Act</w:t>
            </w:r>
            <w:r w:rsidRPr="00150EDC">
              <w:rPr>
                <w:spacing w:val="-6"/>
                <w:sz w:val="20"/>
              </w:rPr>
              <w:t xml:space="preserve"> </w:t>
            </w:r>
            <w:r w:rsidRPr="00150EDC">
              <w:rPr>
                <w:sz w:val="20"/>
              </w:rPr>
              <w:t>1956,</w:t>
            </w:r>
            <w:r w:rsidRPr="00150EDC">
              <w:rPr>
                <w:spacing w:val="-8"/>
                <w:sz w:val="20"/>
              </w:rPr>
              <w:t xml:space="preserve"> </w:t>
            </w:r>
            <w:r w:rsidRPr="00150EDC">
              <w:rPr>
                <w:spacing w:val="-5"/>
                <w:sz w:val="20"/>
              </w:rPr>
              <w:t>s17</w:t>
            </w:r>
          </w:p>
        </w:tc>
        <w:tc>
          <w:tcPr>
            <w:tcW w:w="7427" w:type="dxa"/>
          </w:tcPr>
          <w:p w14:paraId="2472BE85" w14:textId="77777777" w:rsidR="004C7180" w:rsidRPr="00150EDC" w:rsidRDefault="00CF0754">
            <w:pPr>
              <w:pStyle w:val="TableParagraph"/>
              <w:spacing w:before="28"/>
              <w:rPr>
                <w:sz w:val="20"/>
              </w:rPr>
            </w:pPr>
            <w:r w:rsidRPr="00150EDC">
              <w:rPr>
                <w:sz w:val="20"/>
              </w:rPr>
              <w:t>Abduction</w:t>
            </w:r>
            <w:r w:rsidRPr="00150EDC">
              <w:rPr>
                <w:spacing w:val="-4"/>
                <w:sz w:val="20"/>
              </w:rPr>
              <w:t xml:space="preserve"> </w:t>
            </w:r>
            <w:r w:rsidRPr="00150EDC">
              <w:rPr>
                <w:sz w:val="20"/>
              </w:rPr>
              <w:t>of</w:t>
            </w:r>
            <w:r w:rsidRPr="00150EDC">
              <w:rPr>
                <w:spacing w:val="-4"/>
                <w:sz w:val="20"/>
              </w:rPr>
              <w:t xml:space="preserve"> </w:t>
            </w:r>
            <w:r w:rsidRPr="00150EDC">
              <w:rPr>
                <w:sz w:val="20"/>
              </w:rPr>
              <w:t>woman</w:t>
            </w:r>
            <w:r w:rsidRPr="00150EDC">
              <w:rPr>
                <w:spacing w:val="1"/>
                <w:sz w:val="20"/>
              </w:rPr>
              <w:t xml:space="preserve"> </w:t>
            </w:r>
            <w:r w:rsidRPr="00150EDC">
              <w:rPr>
                <w:sz w:val="20"/>
              </w:rPr>
              <w:t>by</w:t>
            </w:r>
            <w:r w:rsidRPr="00150EDC">
              <w:rPr>
                <w:spacing w:val="-3"/>
                <w:sz w:val="20"/>
              </w:rPr>
              <w:t xml:space="preserve"> </w:t>
            </w:r>
            <w:r w:rsidRPr="00150EDC">
              <w:rPr>
                <w:sz w:val="20"/>
              </w:rPr>
              <w:t>force</w:t>
            </w:r>
            <w:r w:rsidRPr="00150EDC">
              <w:rPr>
                <w:spacing w:val="-4"/>
                <w:sz w:val="20"/>
              </w:rPr>
              <w:t xml:space="preserve"> </w:t>
            </w:r>
            <w:r w:rsidRPr="00150EDC">
              <w:rPr>
                <w:sz w:val="20"/>
              </w:rPr>
              <w:t>or</w:t>
            </w:r>
            <w:r w:rsidRPr="00150EDC">
              <w:rPr>
                <w:spacing w:val="-3"/>
                <w:sz w:val="20"/>
              </w:rPr>
              <w:t xml:space="preserve"> </w:t>
            </w:r>
            <w:r w:rsidRPr="00150EDC">
              <w:rPr>
                <w:sz w:val="20"/>
              </w:rPr>
              <w:t>for the</w:t>
            </w:r>
            <w:r w:rsidRPr="00150EDC">
              <w:rPr>
                <w:spacing w:val="-4"/>
                <w:sz w:val="20"/>
              </w:rPr>
              <w:t xml:space="preserve"> </w:t>
            </w:r>
            <w:r w:rsidRPr="00150EDC">
              <w:rPr>
                <w:sz w:val="20"/>
              </w:rPr>
              <w:t>sake</w:t>
            </w:r>
            <w:r w:rsidRPr="00150EDC">
              <w:rPr>
                <w:spacing w:val="-4"/>
                <w:sz w:val="20"/>
              </w:rPr>
              <w:t xml:space="preserve"> </w:t>
            </w:r>
            <w:r w:rsidRPr="00150EDC">
              <w:rPr>
                <w:sz w:val="20"/>
              </w:rPr>
              <w:t>of</w:t>
            </w:r>
            <w:r w:rsidRPr="00150EDC">
              <w:rPr>
                <w:spacing w:val="-4"/>
                <w:sz w:val="20"/>
              </w:rPr>
              <w:t xml:space="preserve"> </w:t>
            </w:r>
            <w:r w:rsidRPr="00150EDC">
              <w:rPr>
                <w:sz w:val="20"/>
              </w:rPr>
              <w:t>her</w:t>
            </w:r>
            <w:r w:rsidRPr="00150EDC">
              <w:rPr>
                <w:spacing w:val="-3"/>
                <w:sz w:val="20"/>
              </w:rPr>
              <w:t xml:space="preserve"> </w:t>
            </w:r>
            <w:r w:rsidRPr="00150EDC">
              <w:rPr>
                <w:spacing w:val="-2"/>
                <w:sz w:val="20"/>
              </w:rPr>
              <w:t>property</w:t>
            </w:r>
          </w:p>
        </w:tc>
      </w:tr>
      <w:tr w:rsidR="004569EE" w:rsidRPr="007D3144" w14:paraId="4DCECF57" w14:textId="77777777">
        <w:trPr>
          <w:trHeight w:val="255"/>
        </w:trPr>
        <w:tc>
          <w:tcPr>
            <w:tcW w:w="6517" w:type="dxa"/>
          </w:tcPr>
          <w:p w14:paraId="69DD8824"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3"/>
                <w:sz w:val="20"/>
              </w:rPr>
              <w:t xml:space="preserve"> </w:t>
            </w:r>
            <w:r w:rsidRPr="00150EDC">
              <w:rPr>
                <w:sz w:val="20"/>
              </w:rPr>
              <w:t>Act</w:t>
            </w:r>
            <w:r w:rsidRPr="00150EDC">
              <w:rPr>
                <w:spacing w:val="-6"/>
                <w:sz w:val="20"/>
              </w:rPr>
              <w:t xml:space="preserve"> </w:t>
            </w:r>
            <w:r w:rsidRPr="00150EDC">
              <w:rPr>
                <w:sz w:val="20"/>
              </w:rPr>
              <w:t>1956,</w:t>
            </w:r>
            <w:r w:rsidRPr="00150EDC">
              <w:rPr>
                <w:spacing w:val="-8"/>
                <w:sz w:val="20"/>
              </w:rPr>
              <w:t xml:space="preserve"> </w:t>
            </w:r>
            <w:r w:rsidRPr="00150EDC">
              <w:rPr>
                <w:spacing w:val="-5"/>
                <w:sz w:val="20"/>
              </w:rPr>
              <w:t>s19</w:t>
            </w:r>
          </w:p>
        </w:tc>
        <w:tc>
          <w:tcPr>
            <w:tcW w:w="7427" w:type="dxa"/>
          </w:tcPr>
          <w:p w14:paraId="72BCBDEB" w14:textId="77777777" w:rsidR="004C7180" w:rsidRPr="00150EDC" w:rsidRDefault="00CF0754">
            <w:pPr>
              <w:pStyle w:val="TableParagraph"/>
              <w:rPr>
                <w:sz w:val="20"/>
              </w:rPr>
            </w:pPr>
            <w:r w:rsidRPr="00150EDC">
              <w:rPr>
                <w:sz w:val="20"/>
              </w:rPr>
              <w:t>Abduction</w:t>
            </w:r>
            <w:r w:rsidRPr="00150EDC">
              <w:rPr>
                <w:spacing w:val="-6"/>
                <w:sz w:val="20"/>
              </w:rPr>
              <w:t xml:space="preserve"> </w:t>
            </w:r>
            <w:r w:rsidRPr="00150EDC">
              <w:rPr>
                <w:sz w:val="20"/>
              </w:rPr>
              <w:t>of</w:t>
            </w:r>
            <w:r w:rsidRPr="00150EDC">
              <w:rPr>
                <w:spacing w:val="-1"/>
                <w:sz w:val="20"/>
              </w:rPr>
              <w:t xml:space="preserve"> </w:t>
            </w:r>
            <w:r w:rsidRPr="00150EDC">
              <w:rPr>
                <w:sz w:val="20"/>
              </w:rPr>
              <w:t>unmarried</w:t>
            </w:r>
            <w:r w:rsidRPr="00150EDC">
              <w:rPr>
                <w:spacing w:val="-5"/>
                <w:sz w:val="20"/>
              </w:rPr>
              <w:t xml:space="preserve"> </w:t>
            </w:r>
            <w:r w:rsidRPr="00150EDC">
              <w:rPr>
                <w:sz w:val="20"/>
              </w:rPr>
              <w:t>girl</w:t>
            </w:r>
            <w:r w:rsidRPr="00150EDC">
              <w:rPr>
                <w:spacing w:val="-4"/>
                <w:sz w:val="20"/>
              </w:rPr>
              <w:t xml:space="preserve"> </w:t>
            </w:r>
            <w:r w:rsidRPr="00150EDC">
              <w:rPr>
                <w:sz w:val="20"/>
              </w:rPr>
              <w:t>under 18</w:t>
            </w:r>
            <w:r w:rsidRPr="00150EDC">
              <w:rPr>
                <w:spacing w:val="-6"/>
                <w:sz w:val="20"/>
              </w:rPr>
              <w:t xml:space="preserve"> </w:t>
            </w:r>
            <w:r w:rsidRPr="00150EDC">
              <w:rPr>
                <w:sz w:val="20"/>
              </w:rPr>
              <w:t>from</w:t>
            </w:r>
            <w:r w:rsidRPr="00150EDC">
              <w:rPr>
                <w:spacing w:val="-2"/>
                <w:sz w:val="20"/>
              </w:rPr>
              <w:t xml:space="preserve"> </w:t>
            </w:r>
            <w:r w:rsidRPr="00150EDC">
              <w:rPr>
                <w:sz w:val="20"/>
              </w:rPr>
              <w:t>parent</w:t>
            </w:r>
            <w:r w:rsidRPr="00150EDC">
              <w:rPr>
                <w:spacing w:val="-5"/>
                <w:sz w:val="20"/>
              </w:rPr>
              <w:t xml:space="preserve"> </w:t>
            </w:r>
            <w:r w:rsidRPr="00150EDC">
              <w:rPr>
                <w:sz w:val="20"/>
              </w:rPr>
              <w:t>or</w:t>
            </w:r>
            <w:r w:rsidRPr="00150EDC">
              <w:rPr>
                <w:spacing w:val="-2"/>
                <w:sz w:val="20"/>
              </w:rPr>
              <w:t xml:space="preserve"> guardian</w:t>
            </w:r>
          </w:p>
        </w:tc>
      </w:tr>
      <w:tr w:rsidR="004569EE" w:rsidRPr="007D3144" w14:paraId="6F89D1B9" w14:textId="77777777">
        <w:trPr>
          <w:trHeight w:val="255"/>
        </w:trPr>
        <w:tc>
          <w:tcPr>
            <w:tcW w:w="6517" w:type="dxa"/>
          </w:tcPr>
          <w:p w14:paraId="11F516E6"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3"/>
                <w:sz w:val="20"/>
              </w:rPr>
              <w:t xml:space="preserve"> </w:t>
            </w:r>
            <w:r w:rsidRPr="00150EDC">
              <w:rPr>
                <w:sz w:val="20"/>
              </w:rPr>
              <w:t>Act</w:t>
            </w:r>
            <w:r w:rsidRPr="00150EDC">
              <w:rPr>
                <w:spacing w:val="-6"/>
                <w:sz w:val="20"/>
              </w:rPr>
              <w:t xml:space="preserve"> </w:t>
            </w:r>
            <w:r w:rsidRPr="00150EDC">
              <w:rPr>
                <w:sz w:val="20"/>
              </w:rPr>
              <w:t>1956,</w:t>
            </w:r>
            <w:r w:rsidRPr="00150EDC">
              <w:rPr>
                <w:spacing w:val="-8"/>
                <w:sz w:val="20"/>
              </w:rPr>
              <w:t xml:space="preserve"> </w:t>
            </w:r>
            <w:r w:rsidRPr="00150EDC">
              <w:rPr>
                <w:spacing w:val="-5"/>
                <w:sz w:val="20"/>
              </w:rPr>
              <w:t>s2</w:t>
            </w:r>
          </w:p>
        </w:tc>
        <w:tc>
          <w:tcPr>
            <w:tcW w:w="7427" w:type="dxa"/>
          </w:tcPr>
          <w:p w14:paraId="027C2450" w14:textId="77777777" w:rsidR="004C7180" w:rsidRPr="00150EDC" w:rsidRDefault="00CF0754">
            <w:pPr>
              <w:pStyle w:val="TableParagraph"/>
              <w:rPr>
                <w:sz w:val="20"/>
              </w:rPr>
            </w:pPr>
            <w:r w:rsidRPr="00150EDC">
              <w:rPr>
                <w:sz w:val="20"/>
              </w:rPr>
              <w:t>Procurement</w:t>
            </w:r>
            <w:r w:rsidRPr="00150EDC">
              <w:rPr>
                <w:spacing w:val="-6"/>
                <w:sz w:val="20"/>
              </w:rPr>
              <w:t xml:space="preserve"> </w:t>
            </w:r>
            <w:r w:rsidRPr="00150EDC">
              <w:rPr>
                <w:sz w:val="20"/>
              </w:rPr>
              <w:t>of</w:t>
            </w:r>
            <w:r w:rsidRPr="00150EDC">
              <w:rPr>
                <w:spacing w:val="-1"/>
                <w:sz w:val="20"/>
              </w:rPr>
              <w:t xml:space="preserve"> </w:t>
            </w:r>
            <w:r w:rsidRPr="00150EDC">
              <w:rPr>
                <w:sz w:val="20"/>
              </w:rPr>
              <w:t>woman</w:t>
            </w:r>
            <w:r w:rsidRPr="00150EDC">
              <w:rPr>
                <w:spacing w:val="-6"/>
                <w:sz w:val="20"/>
              </w:rPr>
              <w:t xml:space="preserve"> </w:t>
            </w:r>
            <w:r w:rsidRPr="00150EDC">
              <w:rPr>
                <w:sz w:val="20"/>
              </w:rPr>
              <w:t>by</w:t>
            </w:r>
            <w:r w:rsidRPr="00150EDC">
              <w:rPr>
                <w:spacing w:val="-4"/>
                <w:sz w:val="20"/>
              </w:rPr>
              <w:t xml:space="preserve"> </w:t>
            </w:r>
            <w:r w:rsidRPr="00150EDC">
              <w:rPr>
                <w:spacing w:val="-2"/>
                <w:sz w:val="20"/>
              </w:rPr>
              <w:t>threats</w:t>
            </w:r>
          </w:p>
        </w:tc>
      </w:tr>
      <w:tr w:rsidR="004569EE" w:rsidRPr="007D3144" w14:paraId="63145E26" w14:textId="77777777">
        <w:trPr>
          <w:trHeight w:val="255"/>
        </w:trPr>
        <w:tc>
          <w:tcPr>
            <w:tcW w:w="6517" w:type="dxa"/>
          </w:tcPr>
          <w:p w14:paraId="153F9D0C"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3"/>
                <w:sz w:val="20"/>
              </w:rPr>
              <w:t xml:space="preserve"> </w:t>
            </w:r>
            <w:r w:rsidRPr="00150EDC">
              <w:rPr>
                <w:sz w:val="20"/>
              </w:rPr>
              <w:t>Act</w:t>
            </w:r>
            <w:r w:rsidRPr="00150EDC">
              <w:rPr>
                <w:spacing w:val="-6"/>
                <w:sz w:val="20"/>
              </w:rPr>
              <w:t xml:space="preserve"> </w:t>
            </w:r>
            <w:r w:rsidRPr="00150EDC">
              <w:rPr>
                <w:sz w:val="20"/>
              </w:rPr>
              <w:t>1956,</w:t>
            </w:r>
            <w:r w:rsidRPr="00150EDC">
              <w:rPr>
                <w:spacing w:val="-8"/>
                <w:sz w:val="20"/>
              </w:rPr>
              <w:t xml:space="preserve"> </w:t>
            </w:r>
            <w:r w:rsidRPr="00150EDC">
              <w:rPr>
                <w:spacing w:val="-5"/>
                <w:sz w:val="20"/>
              </w:rPr>
              <w:t>s20</w:t>
            </w:r>
          </w:p>
        </w:tc>
        <w:tc>
          <w:tcPr>
            <w:tcW w:w="7427" w:type="dxa"/>
          </w:tcPr>
          <w:p w14:paraId="4478A30F" w14:textId="77777777" w:rsidR="004C7180" w:rsidRPr="00150EDC" w:rsidRDefault="00CF0754">
            <w:pPr>
              <w:pStyle w:val="TableParagraph"/>
              <w:rPr>
                <w:sz w:val="20"/>
              </w:rPr>
            </w:pPr>
            <w:r w:rsidRPr="00150EDC">
              <w:rPr>
                <w:sz w:val="20"/>
              </w:rPr>
              <w:t>Abduction</w:t>
            </w:r>
            <w:r w:rsidRPr="00150EDC">
              <w:rPr>
                <w:spacing w:val="-6"/>
                <w:sz w:val="20"/>
              </w:rPr>
              <w:t xml:space="preserve"> </w:t>
            </w:r>
            <w:r w:rsidRPr="00150EDC">
              <w:rPr>
                <w:sz w:val="20"/>
              </w:rPr>
              <w:t>of</w:t>
            </w:r>
            <w:r w:rsidRPr="00150EDC">
              <w:rPr>
                <w:spacing w:val="-1"/>
                <w:sz w:val="20"/>
              </w:rPr>
              <w:t xml:space="preserve"> </w:t>
            </w:r>
            <w:r w:rsidRPr="00150EDC">
              <w:rPr>
                <w:sz w:val="20"/>
              </w:rPr>
              <w:t>unmarried</w:t>
            </w:r>
            <w:r w:rsidRPr="00150EDC">
              <w:rPr>
                <w:spacing w:val="-5"/>
                <w:sz w:val="20"/>
              </w:rPr>
              <w:t xml:space="preserve"> </w:t>
            </w:r>
            <w:r w:rsidRPr="00150EDC">
              <w:rPr>
                <w:sz w:val="20"/>
              </w:rPr>
              <w:t>girl</w:t>
            </w:r>
            <w:r w:rsidRPr="00150EDC">
              <w:rPr>
                <w:spacing w:val="-4"/>
                <w:sz w:val="20"/>
              </w:rPr>
              <w:t xml:space="preserve"> </w:t>
            </w:r>
            <w:r w:rsidRPr="00150EDC">
              <w:rPr>
                <w:sz w:val="20"/>
              </w:rPr>
              <w:t>under 16</w:t>
            </w:r>
            <w:r w:rsidRPr="00150EDC">
              <w:rPr>
                <w:spacing w:val="-6"/>
                <w:sz w:val="20"/>
              </w:rPr>
              <w:t xml:space="preserve"> </w:t>
            </w:r>
            <w:r w:rsidRPr="00150EDC">
              <w:rPr>
                <w:sz w:val="20"/>
              </w:rPr>
              <w:t>from</w:t>
            </w:r>
            <w:r w:rsidRPr="00150EDC">
              <w:rPr>
                <w:spacing w:val="-2"/>
                <w:sz w:val="20"/>
              </w:rPr>
              <w:t xml:space="preserve"> </w:t>
            </w:r>
            <w:r w:rsidRPr="00150EDC">
              <w:rPr>
                <w:sz w:val="20"/>
              </w:rPr>
              <w:t>parent</w:t>
            </w:r>
            <w:r w:rsidRPr="00150EDC">
              <w:rPr>
                <w:spacing w:val="-5"/>
                <w:sz w:val="20"/>
              </w:rPr>
              <w:t xml:space="preserve"> </w:t>
            </w:r>
            <w:r w:rsidRPr="00150EDC">
              <w:rPr>
                <w:sz w:val="20"/>
              </w:rPr>
              <w:t>or</w:t>
            </w:r>
            <w:r w:rsidRPr="00150EDC">
              <w:rPr>
                <w:spacing w:val="-2"/>
                <w:sz w:val="20"/>
              </w:rPr>
              <w:t xml:space="preserve"> guardian</w:t>
            </w:r>
          </w:p>
        </w:tc>
      </w:tr>
      <w:tr w:rsidR="004569EE" w:rsidRPr="007D3144" w14:paraId="2B70928F" w14:textId="77777777">
        <w:trPr>
          <w:trHeight w:val="255"/>
        </w:trPr>
        <w:tc>
          <w:tcPr>
            <w:tcW w:w="6517" w:type="dxa"/>
          </w:tcPr>
          <w:p w14:paraId="1F6CC0A2"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3"/>
                <w:sz w:val="20"/>
              </w:rPr>
              <w:t xml:space="preserve"> </w:t>
            </w:r>
            <w:r w:rsidRPr="00150EDC">
              <w:rPr>
                <w:sz w:val="20"/>
              </w:rPr>
              <w:t>Act</w:t>
            </w:r>
            <w:r w:rsidRPr="00150EDC">
              <w:rPr>
                <w:spacing w:val="-6"/>
                <w:sz w:val="20"/>
              </w:rPr>
              <w:t xml:space="preserve"> </w:t>
            </w:r>
            <w:r w:rsidRPr="00150EDC">
              <w:rPr>
                <w:sz w:val="20"/>
              </w:rPr>
              <w:t>1956,</w:t>
            </w:r>
            <w:r w:rsidRPr="00150EDC">
              <w:rPr>
                <w:spacing w:val="-8"/>
                <w:sz w:val="20"/>
              </w:rPr>
              <w:t xml:space="preserve"> </w:t>
            </w:r>
            <w:r w:rsidRPr="00150EDC">
              <w:rPr>
                <w:spacing w:val="-5"/>
                <w:sz w:val="20"/>
              </w:rPr>
              <w:t>s21</w:t>
            </w:r>
          </w:p>
        </w:tc>
        <w:tc>
          <w:tcPr>
            <w:tcW w:w="7427" w:type="dxa"/>
          </w:tcPr>
          <w:p w14:paraId="2A26BEC0" w14:textId="77777777" w:rsidR="004C7180" w:rsidRPr="00150EDC" w:rsidRDefault="00CF0754">
            <w:pPr>
              <w:pStyle w:val="TableParagraph"/>
              <w:rPr>
                <w:sz w:val="20"/>
              </w:rPr>
            </w:pPr>
            <w:r w:rsidRPr="00150EDC">
              <w:rPr>
                <w:sz w:val="20"/>
              </w:rPr>
              <w:t>Abduction</w:t>
            </w:r>
            <w:r w:rsidRPr="00150EDC">
              <w:rPr>
                <w:spacing w:val="-6"/>
                <w:sz w:val="20"/>
              </w:rPr>
              <w:t xml:space="preserve"> </w:t>
            </w:r>
            <w:r w:rsidRPr="00150EDC">
              <w:rPr>
                <w:sz w:val="20"/>
              </w:rPr>
              <w:t>of</w:t>
            </w:r>
            <w:r w:rsidRPr="00150EDC">
              <w:rPr>
                <w:spacing w:val="-1"/>
                <w:sz w:val="20"/>
              </w:rPr>
              <w:t xml:space="preserve"> </w:t>
            </w:r>
            <w:r w:rsidRPr="00150EDC">
              <w:rPr>
                <w:sz w:val="20"/>
              </w:rPr>
              <w:t>defective</w:t>
            </w:r>
            <w:r w:rsidRPr="00150EDC">
              <w:rPr>
                <w:spacing w:val="-5"/>
                <w:sz w:val="20"/>
              </w:rPr>
              <w:t xml:space="preserve"> </w:t>
            </w:r>
            <w:r w:rsidRPr="00150EDC">
              <w:rPr>
                <w:sz w:val="20"/>
              </w:rPr>
              <w:t>from</w:t>
            </w:r>
            <w:r w:rsidRPr="00150EDC">
              <w:rPr>
                <w:spacing w:val="-5"/>
                <w:sz w:val="20"/>
              </w:rPr>
              <w:t xml:space="preserve"> </w:t>
            </w:r>
            <w:r w:rsidRPr="00150EDC">
              <w:rPr>
                <w:sz w:val="20"/>
              </w:rPr>
              <w:t>parent</w:t>
            </w:r>
            <w:r w:rsidRPr="00150EDC">
              <w:rPr>
                <w:spacing w:val="-1"/>
                <w:sz w:val="20"/>
              </w:rPr>
              <w:t xml:space="preserve"> </w:t>
            </w:r>
            <w:r w:rsidRPr="00150EDC">
              <w:rPr>
                <w:sz w:val="20"/>
              </w:rPr>
              <w:t>or</w:t>
            </w:r>
            <w:r w:rsidRPr="00150EDC">
              <w:rPr>
                <w:spacing w:val="-5"/>
                <w:sz w:val="20"/>
              </w:rPr>
              <w:t xml:space="preserve"> </w:t>
            </w:r>
            <w:r w:rsidRPr="00150EDC">
              <w:rPr>
                <w:spacing w:val="-2"/>
                <w:sz w:val="20"/>
              </w:rPr>
              <w:t>guardian</w:t>
            </w:r>
          </w:p>
        </w:tc>
      </w:tr>
      <w:tr w:rsidR="004569EE" w:rsidRPr="007D3144" w14:paraId="7A7BDC0B" w14:textId="77777777">
        <w:trPr>
          <w:trHeight w:val="255"/>
        </w:trPr>
        <w:tc>
          <w:tcPr>
            <w:tcW w:w="6517" w:type="dxa"/>
          </w:tcPr>
          <w:p w14:paraId="18B34461"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3"/>
                <w:sz w:val="20"/>
              </w:rPr>
              <w:t xml:space="preserve"> </w:t>
            </w:r>
            <w:r w:rsidRPr="00150EDC">
              <w:rPr>
                <w:sz w:val="20"/>
              </w:rPr>
              <w:t>Act</w:t>
            </w:r>
            <w:r w:rsidRPr="00150EDC">
              <w:rPr>
                <w:spacing w:val="-6"/>
                <w:sz w:val="20"/>
              </w:rPr>
              <w:t xml:space="preserve"> </w:t>
            </w:r>
            <w:r w:rsidRPr="00150EDC">
              <w:rPr>
                <w:sz w:val="20"/>
              </w:rPr>
              <w:t>1956,</w:t>
            </w:r>
            <w:r w:rsidRPr="00150EDC">
              <w:rPr>
                <w:spacing w:val="-8"/>
                <w:sz w:val="20"/>
              </w:rPr>
              <w:t xml:space="preserve"> </w:t>
            </w:r>
            <w:r w:rsidRPr="00150EDC">
              <w:rPr>
                <w:spacing w:val="-5"/>
                <w:sz w:val="20"/>
              </w:rPr>
              <w:t>s22</w:t>
            </w:r>
          </w:p>
        </w:tc>
        <w:tc>
          <w:tcPr>
            <w:tcW w:w="7427" w:type="dxa"/>
          </w:tcPr>
          <w:p w14:paraId="3052FB35" w14:textId="77777777" w:rsidR="004C7180" w:rsidRPr="00150EDC" w:rsidRDefault="00CF0754">
            <w:pPr>
              <w:pStyle w:val="TableParagraph"/>
              <w:rPr>
                <w:sz w:val="20"/>
              </w:rPr>
            </w:pPr>
            <w:r w:rsidRPr="00150EDC">
              <w:rPr>
                <w:sz w:val="20"/>
              </w:rPr>
              <w:t>Causing</w:t>
            </w:r>
            <w:r w:rsidRPr="00150EDC">
              <w:rPr>
                <w:spacing w:val="-8"/>
                <w:sz w:val="20"/>
              </w:rPr>
              <w:t xml:space="preserve"> </w:t>
            </w:r>
            <w:r w:rsidRPr="00150EDC">
              <w:rPr>
                <w:sz w:val="20"/>
              </w:rPr>
              <w:t>prostitution</w:t>
            </w:r>
            <w:r w:rsidRPr="00150EDC">
              <w:rPr>
                <w:spacing w:val="-7"/>
                <w:sz w:val="20"/>
              </w:rPr>
              <w:t xml:space="preserve"> </w:t>
            </w:r>
            <w:r w:rsidRPr="00150EDC">
              <w:rPr>
                <w:sz w:val="20"/>
              </w:rPr>
              <w:t>of</w:t>
            </w:r>
            <w:r w:rsidRPr="00150EDC">
              <w:rPr>
                <w:spacing w:val="-7"/>
                <w:sz w:val="20"/>
              </w:rPr>
              <w:t xml:space="preserve"> </w:t>
            </w:r>
            <w:r w:rsidRPr="00150EDC">
              <w:rPr>
                <w:spacing w:val="-4"/>
                <w:sz w:val="20"/>
              </w:rPr>
              <w:t>women</w:t>
            </w:r>
          </w:p>
        </w:tc>
      </w:tr>
      <w:tr w:rsidR="004569EE" w:rsidRPr="007D3144" w14:paraId="2D3D1CB5" w14:textId="77777777">
        <w:trPr>
          <w:trHeight w:val="255"/>
        </w:trPr>
        <w:tc>
          <w:tcPr>
            <w:tcW w:w="6517" w:type="dxa"/>
          </w:tcPr>
          <w:p w14:paraId="7CB5903F"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3"/>
                <w:sz w:val="20"/>
              </w:rPr>
              <w:t xml:space="preserve"> </w:t>
            </w:r>
            <w:r w:rsidRPr="00150EDC">
              <w:rPr>
                <w:sz w:val="20"/>
              </w:rPr>
              <w:t>Act</w:t>
            </w:r>
            <w:r w:rsidRPr="00150EDC">
              <w:rPr>
                <w:spacing w:val="-6"/>
                <w:sz w:val="20"/>
              </w:rPr>
              <w:t xml:space="preserve"> </w:t>
            </w:r>
            <w:r w:rsidRPr="00150EDC">
              <w:rPr>
                <w:sz w:val="20"/>
              </w:rPr>
              <w:t>1956,</w:t>
            </w:r>
            <w:r w:rsidRPr="00150EDC">
              <w:rPr>
                <w:spacing w:val="-8"/>
                <w:sz w:val="20"/>
              </w:rPr>
              <w:t xml:space="preserve"> </w:t>
            </w:r>
            <w:r w:rsidRPr="00150EDC">
              <w:rPr>
                <w:spacing w:val="-5"/>
                <w:sz w:val="20"/>
              </w:rPr>
              <w:t>s23</w:t>
            </w:r>
          </w:p>
        </w:tc>
        <w:tc>
          <w:tcPr>
            <w:tcW w:w="7427" w:type="dxa"/>
          </w:tcPr>
          <w:p w14:paraId="5C6BC3A3" w14:textId="77777777" w:rsidR="004C7180" w:rsidRPr="00150EDC" w:rsidRDefault="00CF0754">
            <w:pPr>
              <w:pStyle w:val="TableParagraph"/>
              <w:rPr>
                <w:sz w:val="20"/>
              </w:rPr>
            </w:pPr>
            <w:r w:rsidRPr="00150EDC">
              <w:rPr>
                <w:sz w:val="20"/>
              </w:rPr>
              <w:t>Procuration</w:t>
            </w:r>
            <w:r w:rsidRPr="00150EDC">
              <w:rPr>
                <w:spacing w:val="-6"/>
                <w:sz w:val="20"/>
              </w:rPr>
              <w:t xml:space="preserve"> </w:t>
            </w:r>
            <w:r w:rsidRPr="00150EDC">
              <w:rPr>
                <w:sz w:val="20"/>
              </w:rPr>
              <w:t>of</w:t>
            </w:r>
            <w:r w:rsidRPr="00150EDC">
              <w:rPr>
                <w:spacing w:val="-5"/>
                <w:sz w:val="20"/>
              </w:rPr>
              <w:t xml:space="preserve"> </w:t>
            </w:r>
            <w:r w:rsidRPr="00150EDC">
              <w:rPr>
                <w:sz w:val="20"/>
              </w:rPr>
              <w:t>girl</w:t>
            </w:r>
            <w:r w:rsidRPr="00150EDC">
              <w:rPr>
                <w:spacing w:val="-3"/>
                <w:sz w:val="20"/>
              </w:rPr>
              <w:t xml:space="preserve"> </w:t>
            </w:r>
            <w:r w:rsidRPr="00150EDC">
              <w:rPr>
                <w:sz w:val="20"/>
              </w:rPr>
              <w:t>under</w:t>
            </w:r>
            <w:r w:rsidRPr="00150EDC">
              <w:rPr>
                <w:spacing w:val="-5"/>
                <w:sz w:val="20"/>
              </w:rPr>
              <w:t xml:space="preserve"> </w:t>
            </w:r>
            <w:r w:rsidRPr="00150EDC">
              <w:rPr>
                <w:spacing w:val="-7"/>
                <w:sz w:val="20"/>
              </w:rPr>
              <w:t>21</w:t>
            </w:r>
          </w:p>
        </w:tc>
      </w:tr>
      <w:tr w:rsidR="004569EE" w:rsidRPr="007D3144" w14:paraId="2A061E3A" w14:textId="77777777">
        <w:trPr>
          <w:trHeight w:val="255"/>
        </w:trPr>
        <w:tc>
          <w:tcPr>
            <w:tcW w:w="6517" w:type="dxa"/>
          </w:tcPr>
          <w:p w14:paraId="1C831317"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3"/>
                <w:sz w:val="20"/>
              </w:rPr>
              <w:t xml:space="preserve"> </w:t>
            </w:r>
            <w:r w:rsidRPr="00150EDC">
              <w:rPr>
                <w:sz w:val="20"/>
              </w:rPr>
              <w:t>Act</w:t>
            </w:r>
            <w:r w:rsidRPr="00150EDC">
              <w:rPr>
                <w:spacing w:val="-6"/>
                <w:sz w:val="20"/>
              </w:rPr>
              <w:t xml:space="preserve"> </w:t>
            </w:r>
            <w:r w:rsidRPr="00150EDC">
              <w:rPr>
                <w:sz w:val="20"/>
              </w:rPr>
              <w:t>1956,</w:t>
            </w:r>
            <w:r w:rsidRPr="00150EDC">
              <w:rPr>
                <w:spacing w:val="-8"/>
                <w:sz w:val="20"/>
              </w:rPr>
              <w:t xml:space="preserve"> </w:t>
            </w:r>
            <w:r w:rsidRPr="00150EDC">
              <w:rPr>
                <w:spacing w:val="-5"/>
                <w:sz w:val="20"/>
              </w:rPr>
              <w:t>s24</w:t>
            </w:r>
          </w:p>
        </w:tc>
        <w:tc>
          <w:tcPr>
            <w:tcW w:w="7427" w:type="dxa"/>
          </w:tcPr>
          <w:p w14:paraId="6B8009D5" w14:textId="77777777" w:rsidR="004C7180" w:rsidRPr="00150EDC" w:rsidRDefault="00CF0754">
            <w:pPr>
              <w:pStyle w:val="TableParagraph"/>
              <w:rPr>
                <w:sz w:val="20"/>
              </w:rPr>
            </w:pPr>
            <w:r w:rsidRPr="00150EDC">
              <w:rPr>
                <w:sz w:val="20"/>
              </w:rPr>
              <w:t>Detention</w:t>
            </w:r>
            <w:r w:rsidRPr="00150EDC">
              <w:rPr>
                <w:spacing w:val="-1"/>
                <w:sz w:val="20"/>
              </w:rPr>
              <w:t xml:space="preserve"> </w:t>
            </w:r>
            <w:r w:rsidRPr="00150EDC">
              <w:rPr>
                <w:sz w:val="20"/>
              </w:rPr>
              <w:t>of</w:t>
            </w:r>
            <w:r w:rsidRPr="00150EDC">
              <w:rPr>
                <w:spacing w:val="-6"/>
                <w:sz w:val="20"/>
              </w:rPr>
              <w:t xml:space="preserve"> </w:t>
            </w:r>
            <w:r w:rsidRPr="00150EDC">
              <w:rPr>
                <w:sz w:val="20"/>
              </w:rPr>
              <w:t>woman</w:t>
            </w:r>
            <w:r w:rsidRPr="00150EDC">
              <w:rPr>
                <w:spacing w:val="-5"/>
                <w:sz w:val="20"/>
              </w:rPr>
              <w:t xml:space="preserve"> </w:t>
            </w:r>
            <w:r w:rsidRPr="00150EDC">
              <w:rPr>
                <w:sz w:val="20"/>
              </w:rPr>
              <w:t>in</w:t>
            </w:r>
            <w:r w:rsidRPr="00150EDC">
              <w:rPr>
                <w:spacing w:val="-5"/>
                <w:sz w:val="20"/>
              </w:rPr>
              <w:t xml:space="preserve"> </w:t>
            </w:r>
            <w:r w:rsidRPr="00150EDC">
              <w:rPr>
                <w:sz w:val="20"/>
              </w:rPr>
              <w:t>brothel</w:t>
            </w:r>
            <w:r w:rsidRPr="00150EDC">
              <w:rPr>
                <w:spacing w:val="-4"/>
                <w:sz w:val="20"/>
              </w:rPr>
              <w:t xml:space="preserve"> </w:t>
            </w:r>
            <w:r w:rsidRPr="00150EDC">
              <w:rPr>
                <w:sz w:val="20"/>
              </w:rPr>
              <w:t>or</w:t>
            </w:r>
            <w:r w:rsidRPr="00150EDC">
              <w:rPr>
                <w:spacing w:val="-5"/>
                <w:sz w:val="20"/>
              </w:rPr>
              <w:t xml:space="preserve"> </w:t>
            </w:r>
            <w:r w:rsidRPr="00150EDC">
              <w:rPr>
                <w:sz w:val="20"/>
              </w:rPr>
              <w:t>other</w:t>
            </w:r>
            <w:r w:rsidRPr="00150EDC">
              <w:rPr>
                <w:spacing w:val="-1"/>
                <w:sz w:val="20"/>
              </w:rPr>
              <w:t xml:space="preserve"> </w:t>
            </w:r>
            <w:r w:rsidRPr="00150EDC">
              <w:rPr>
                <w:spacing w:val="-2"/>
                <w:sz w:val="20"/>
              </w:rPr>
              <w:t>premises</w:t>
            </w:r>
          </w:p>
        </w:tc>
      </w:tr>
      <w:tr w:rsidR="004569EE" w:rsidRPr="007D3144" w14:paraId="3993A89D" w14:textId="77777777">
        <w:trPr>
          <w:trHeight w:val="255"/>
        </w:trPr>
        <w:tc>
          <w:tcPr>
            <w:tcW w:w="6517" w:type="dxa"/>
          </w:tcPr>
          <w:p w14:paraId="47C255A3"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3"/>
                <w:sz w:val="20"/>
              </w:rPr>
              <w:t xml:space="preserve"> </w:t>
            </w:r>
            <w:r w:rsidRPr="00150EDC">
              <w:rPr>
                <w:sz w:val="20"/>
              </w:rPr>
              <w:t>Act</w:t>
            </w:r>
            <w:r w:rsidRPr="00150EDC">
              <w:rPr>
                <w:spacing w:val="-6"/>
                <w:sz w:val="20"/>
              </w:rPr>
              <w:t xml:space="preserve"> </w:t>
            </w:r>
            <w:r w:rsidRPr="00150EDC">
              <w:rPr>
                <w:sz w:val="20"/>
              </w:rPr>
              <w:t>1956,</w:t>
            </w:r>
            <w:r w:rsidRPr="00150EDC">
              <w:rPr>
                <w:spacing w:val="-8"/>
                <w:sz w:val="20"/>
              </w:rPr>
              <w:t xml:space="preserve"> </w:t>
            </w:r>
            <w:r w:rsidRPr="00150EDC">
              <w:rPr>
                <w:spacing w:val="-5"/>
                <w:sz w:val="20"/>
              </w:rPr>
              <w:t>s25</w:t>
            </w:r>
          </w:p>
        </w:tc>
        <w:tc>
          <w:tcPr>
            <w:tcW w:w="7427" w:type="dxa"/>
          </w:tcPr>
          <w:p w14:paraId="055C1B65" w14:textId="77777777" w:rsidR="004C7180" w:rsidRPr="00150EDC" w:rsidRDefault="00CF0754">
            <w:pPr>
              <w:pStyle w:val="TableParagraph"/>
              <w:rPr>
                <w:sz w:val="20"/>
              </w:rPr>
            </w:pPr>
            <w:r w:rsidRPr="00150EDC">
              <w:rPr>
                <w:sz w:val="20"/>
              </w:rPr>
              <w:t>Permitting</w:t>
            </w:r>
            <w:r w:rsidRPr="00150EDC">
              <w:rPr>
                <w:spacing w:val="-4"/>
                <w:sz w:val="20"/>
              </w:rPr>
              <w:t xml:space="preserve"> </w:t>
            </w:r>
            <w:r w:rsidRPr="00150EDC">
              <w:rPr>
                <w:sz w:val="20"/>
              </w:rPr>
              <w:t>girl</w:t>
            </w:r>
            <w:r w:rsidRPr="00150EDC">
              <w:rPr>
                <w:spacing w:val="-2"/>
                <w:sz w:val="20"/>
              </w:rPr>
              <w:t xml:space="preserve"> </w:t>
            </w:r>
            <w:r w:rsidRPr="00150EDC">
              <w:rPr>
                <w:sz w:val="20"/>
              </w:rPr>
              <w:t>under</w:t>
            </w:r>
            <w:r w:rsidRPr="00150EDC">
              <w:rPr>
                <w:spacing w:val="-3"/>
                <w:sz w:val="20"/>
              </w:rPr>
              <w:t xml:space="preserve"> </w:t>
            </w:r>
            <w:r w:rsidRPr="00150EDC">
              <w:rPr>
                <w:sz w:val="20"/>
              </w:rPr>
              <w:t>13</w:t>
            </w:r>
            <w:r w:rsidRPr="00150EDC">
              <w:rPr>
                <w:spacing w:val="-4"/>
                <w:sz w:val="20"/>
              </w:rPr>
              <w:t xml:space="preserve"> </w:t>
            </w:r>
            <w:r w:rsidRPr="00150EDC">
              <w:rPr>
                <w:sz w:val="20"/>
              </w:rPr>
              <w:t>to</w:t>
            </w:r>
            <w:r w:rsidRPr="00150EDC">
              <w:rPr>
                <w:spacing w:val="-4"/>
                <w:sz w:val="20"/>
              </w:rPr>
              <w:t xml:space="preserve"> </w:t>
            </w:r>
            <w:r w:rsidRPr="00150EDC">
              <w:rPr>
                <w:sz w:val="20"/>
              </w:rPr>
              <w:t>use</w:t>
            </w:r>
            <w:r w:rsidRPr="00150EDC">
              <w:rPr>
                <w:spacing w:val="-3"/>
                <w:sz w:val="20"/>
              </w:rPr>
              <w:t xml:space="preserve"> </w:t>
            </w:r>
            <w:r w:rsidRPr="00150EDC">
              <w:rPr>
                <w:sz w:val="20"/>
              </w:rPr>
              <w:t>premises</w:t>
            </w:r>
            <w:r w:rsidRPr="00150EDC">
              <w:rPr>
                <w:spacing w:val="-3"/>
                <w:sz w:val="20"/>
              </w:rPr>
              <w:t xml:space="preserve"> </w:t>
            </w:r>
            <w:r w:rsidRPr="00150EDC">
              <w:rPr>
                <w:sz w:val="20"/>
              </w:rPr>
              <w:t>for</w:t>
            </w:r>
            <w:r w:rsidRPr="00150EDC">
              <w:rPr>
                <w:spacing w:val="-4"/>
                <w:sz w:val="20"/>
              </w:rPr>
              <w:t xml:space="preserve"> </w:t>
            </w:r>
            <w:r w:rsidRPr="00150EDC">
              <w:rPr>
                <w:spacing w:val="-2"/>
                <w:sz w:val="20"/>
              </w:rPr>
              <w:t>intercourse</w:t>
            </w:r>
          </w:p>
        </w:tc>
      </w:tr>
      <w:tr w:rsidR="004569EE" w:rsidRPr="007D3144" w14:paraId="0D4076D8" w14:textId="77777777">
        <w:trPr>
          <w:trHeight w:val="255"/>
        </w:trPr>
        <w:tc>
          <w:tcPr>
            <w:tcW w:w="6517" w:type="dxa"/>
          </w:tcPr>
          <w:p w14:paraId="70B86E57" w14:textId="77777777" w:rsidR="004C7180" w:rsidRPr="00150EDC" w:rsidRDefault="00CF0754">
            <w:pPr>
              <w:pStyle w:val="TableParagraph"/>
              <w:spacing w:before="28"/>
              <w:rPr>
                <w:sz w:val="20"/>
              </w:rPr>
            </w:pPr>
            <w:r w:rsidRPr="00150EDC">
              <w:rPr>
                <w:sz w:val="20"/>
              </w:rPr>
              <w:t>Sexual</w:t>
            </w:r>
            <w:r w:rsidRPr="00150EDC">
              <w:rPr>
                <w:spacing w:val="-6"/>
                <w:sz w:val="20"/>
              </w:rPr>
              <w:t xml:space="preserve"> </w:t>
            </w:r>
            <w:r w:rsidRPr="00150EDC">
              <w:rPr>
                <w:sz w:val="20"/>
              </w:rPr>
              <w:t>Offences</w:t>
            </w:r>
            <w:r w:rsidRPr="00150EDC">
              <w:rPr>
                <w:spacing w:val="-3"/>
                <w:sz w:val="20"/>
              </w:rPr>
              <w:t xml:space="preserve"> </w:t>
            </w:r>
            <w:r w:rsidRPr="00150EDC">
              <w:rPr>
                <w:sz w:val="20"/>
              </w:rPr>
              <w:t>Act</w:t>
            </w:r>
            <w:r w:rsidRPr="00150EDC">
              <w:rPr>
                <w:spacing w:val="-6"/>
                <w:sz w:val="20"/>
              </w:rPr>
              <w:t xml:space="preserve"> </w:t>
            </w:r>
            <w:r w:rsidRPr="00150EDC">
              <w:rPr>
                <w:sz w:val="20"/>
              </w:rPr>
              <w:t>1956,</w:t>
            </w:r>
            <w:r w:rsidRPr="00150EDC">
              <w:rPr>
                <w:spacing w:val="-8"/>
                <w:sz w:val="20"/>
              </w:rPr>
              <w:t xml:space="preserve"> </w:t>
            </w:r>
            <w:r w:rsidRPr="00150EDC">
              <w:rPr>
                <w:spacing w:val="-5"/>
                <w:sz w:val="20"/>
              </w:rPr>
              <w:t>s26</w:t>
            </w:r>
          </w:p>
        </w:tc>
        <w:tc>
          <w:tcPr>
            <w:tcW w:w="7427" w:type="dxa"/>
          </w:tcPr>
          <w:p w14:paraId="6E6E019B" w14:textId="77777777" w:rsidR="004C7180" w:rsidRPr="00150EDC" w:rsidRDefault="00CF0754">
            <w:pPr>
              <w:pStyle w:val="TableParagraph"/>
              <w:spacing w:before="28"/>
              <w:rPr>
                <w:sz w:val="20"/>
              </w:rPr>
            </w:pPr>
            <w:r w:rsidRPr="00150EDC">
              <w:rPr>
                <w:sz w:val="20"/>
              </w:rPr>
              <w:t>Permitting</w:t>
            </w:r>
            <w:r w:rsidRPr="00150EDC">
              <w:rPr>
                <w:spacing w:val="-6"/>
                <w:sz w:val="20"/>
              </w:rPr>
              <w:t xml:space="preserve"> </w:t>
            </w:r>
            <w:r w:rsidRPr="00150EDC">
              <w:rPr>
                <w:sz w:val="20"/>
              </w:rPr>
              <w:t>girl</w:t>
            </w:r>
            <w:r w:rsidRPr="00150EDC">
              <w:rPr>
                <w:spacing w:val="-4"/>
                <w:sz w:val="20"/>
              </w:rPr>
              <w:t xml:space="preserve"> </w:t>
            </w:r>
            <w:r w:rsidRPr="00150EDC">
              <w:rPr>
                <w:sz w:val="20"/>
              </w:rPr>
              <w:t>between</w:t>
            </w:r>
            <w:r w:rsidRPr="00150EDC">
              <w:rPr>
                <w:spacing w:val="-6"/>
                <w:sz w:val="20"/>
              </w:rPr>
              <w:t xml:space="preserve"> </w:t>
            </w:r>
            <w:r w:rsidRPr="00150EDC">
              <w:rPr>
                <w:sz w:val="20"/>
              </w:rPr>
              <w:t>13</w:t>
            </w:r>
            <w:r w:rsidRPr="00150EDC">
              <w:rPr>
                <w:spacing w:val="-1"/>
                <w:sz w:val="20"/>
              </w:rPr>
              <w:t xml:space="preserve"> </w:t>
            </w:r>
            <w:r w:rsidRPr="00150EDC">
              <w:rPr>
                <w:sz w:val="20"/>
              </w:rPr>
              <w:t>and</w:t>
            </w:r>
            <w:r w:rsidRPr="00150EDC">
              <w:rPr>
                <w:spacing w:val="-1"/>
                <w:sz w:val="20"/>
              </w:rPr>
              <w:t xml:space="preserve"> </w:t>
            </w:r>
            <w:r w:rsidRPr="00150EDC">
              <w:rPr>
                <w:sz w:val="20"/>
              </w:rPr>
              <w:t>16</w:t>
            </w:r>
            <w:r w:rsidRPr="00150EDC">
              <w:rPr>
                <w:spacing w:val="-5"/>
                <w:sz w:val="20"/>
              </w:rPr>
              <w:t xml:space="preserve"> </w:t>
            </w:r>
            <w:r w:rsidRPr="00150EDC">
              <w:rPr>
                <w:sz w:val="20"/>
              </w:rPr>
              <w:t>to</w:t>
            </w:r>
            <w:r w:rsidRPr="00150EDC">
              <w:rPr>
                <w:spacing w:val="-1"/>
                <w:sz w:val="20"/>
              </w:rPr>
              <w:t xml:space="preserve"> </w:t>
            </w:r>
            <w:r w:rsidRPr="00150EDC">
              <w:rPr>
                <w:sz w:val="20"/>
              </w:rPr>
              <w:t>use</w:t>
            </w:r>
            <w:r w:rsidRPr="00150EDC">
              <w:rPr>
                <w:spacing w:val="-6"/>
                <w:sz w:val="20"/>
              </w:rPr>
              <w:t xml:space="preserve"> </w:t>
            </w:r>
            <w:r w:rsidRPr="00150EDC">
              <w:rPr>
                <w:sz w:val="20"/>
              </w:rPr>
              <w:t>premises for</w:t>
            </w:r>
            <w:r w:rsidRPr="00150EDC">
              <w:rPr>
                <w:spacing w:val="-6"/>
                <w:sz w:val="20"/>
              </w:rPr>
              <w:t xml:space="preserve"> </w:t>
            </w:r>
            <w:r w:rsidRPr="00150EDC">
              <w:rPr>
                <w:spacing w:val="-2"/>
                <w:sz w:val="20"/>
              </w:rPr>
              <w:t>intercourse</w:t>
            </w:r>
          </w:p>
        </w:tc>
      </w:tr>
      <w:tr w:rsidR="004569EE" w:rsidRPr="007D3144" w14:paraId="64155ACB" w14:textId="77777777">
        <w:trPr>
          <w:trHeight w:val="255"/>
        </w:trPr>
        <w:tc>
          <w:tcPr>
            <w:tcW w:w="6517" w:type="dxa"/>
          </w:tcPr>
          <w:p w14:paraId="7D1C06B8"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3"/>
                <w:sz w:val="20"/>
              </w:rPr>
              <w:t xml:space="preserve"> </w:t>
            </w:r>
            <w:r w:rsidRPr="00150EDC">
              <w:rPr>
                <w:sz w:val="20"/>
              </w:rPr>
              <w:t>Act</w:t>
            </w:r>
            <w:r w:rsidRPr="00150EDC">
              <w:rPr>
                <w:spacing w:val="-6"/>
                <w:sz w:val="20"/>
              </w:rPr>
              <w:t xml:space="preserve"> </w:t>
            </w:r>
            <w:r w:rsidRPr="00150EDC">
              <w:rPr>
                <w:sz w:val="20"/>
              </w:rPr>
              <w:t>1956,</w:t>
            </w:r>
            <w:r w:rsidRPr="00150EDC">
              <w:rPr>
                <w:spacing w:val="-8"/>
                <w:sz w:val="20"/>
              </w:rPr>
              <w:t xml:space="preserve"> </w:t>
            </w:r>
            <w:r w:rsidRPr="00150EDC">
              <w:rPr>
                <w:spacing w:val="-5"/>
                <w:sz w:val="20"/>
              </w:rPr>
              <w:t>s27</w:t>
            </w:r>
          </w:p>
        </w:tc>
        <w:tc>
          <w:tcPr>
            <w:tcW w:w="7427" w:type="dxa"/>
          </w:tcPr>
          <w:p w14:paraId="373AC146" w14:textId="77777777" w:rsidR="004C7180" w:rsidRPr="00150EDC" w:rsidRDefault="00CF0754">
            <w:pPr>
              <w:pStyle w:val="TableParagraph"/>
              <w:rPr>
                <w:sz w:val="20"/>
              </w:rPr>
            </w:pPr>
            <w:r w:rsidRPr="00150EDC">
              <w:rPr>
                <w:sz w:val="20"/>
              </w:rPr>
              <w:t>Permitting</w:t>
            </w:r>
            <w:r w:rsidRPr="00150EDC">
              <w:rPr>
                <w:spacing w:val="-5"/>
                <w:sz w:val="20"/>
              </w:rPr>
              <w:t xml:space="preserve"> </w:t>
            </w:r>
            <w:r w:rsidRPr="00150EDC">
              <w:rPr>
                <w:sz w:val="20"/>
              </w:rPr>
              <w:t>defective</w:t>
            </w:r>
            <w:r w:rsidRPr="00150EDC">
              <w:rPr>
                <w:spacing w:val="-5"/>
                <w:sz w:val="20"/>
              </w:rPr>
              <w:t xml:space="preserve"> </w:t>
            </w:r>
            <w:r w:rsidRPr="00150EDC">
              <w:rPr>
                <w:sz w:val="20"/>
              </w:rPr>
              <w:t>to</w:t>
            </w:r>
            <w:r w:rsidRPr="00150EDC">
              <w:rPr>
                <w:spacing w:val="-4"/>
                <w:sz w:val="20"/>
              </w:rPr>
              <w:t xml:space="preserve"> </w:t>
            </w:r>
            <w:r w:rsidRPr="00150EDC">
              <w:rPr>
                <w:sz w:val="20"/>
              </w:rPr>
              <w:t>use premises</w:t>
            </w:r>
            <w:r w:rsidRPr="00150EDC">
              <w:rPr>
                <w:spacing w:val="-4"/>
                <w:sz w:val="20"/>
              </w:rPr>
              <w:t xml:space="preserve"> </w:t>
            </w:r>
            <w:r w:rsidRPr="00150EDC">
              <w:rPr>
                <w:sz w:val="20"/>
              </w:rPr>
              <w:t>for</w:t>
            </w:r>
            <w:r w:rsidRPr="00150EDC">
              <w:rPr>
                <w:spacing w:val="-4"/>
                <w:sz w:val="20"/>
              </w:rPr>
              <w:t xml:space="preserve"> </w:t>
            </w:r>
            <w:r w:rsidRPr="00150EDC">
              <w:rPr>
                <w:spacing w:val="-2"/>
                <w:sz w:val="20"/>
              </w:rPr>
              <w:t>intercourse</w:t>
            </w:r>
          </w:p>
        </w:tc>
      </w:tr>
      <w:tr w:rsidR="004569EE" w:rsidRPr="007D3144" w14:paraId="4D21F492" w14:textId="77777777">
        <w:trPr>
          <w:trHeight w:val="460"/>
        </w:trPr>
        <w:tc>
          <w:tcPr>
            <w:tcW w:w="6517" w:type="dxa"/>
          </w:tcPr>
          <w:p w14:paraId="2248F8B6" w14:textId="77777777" w:rsidR="004C7180" w:rsidRPr="00150EDC" w:rsidRDefault="004C7180">
            <w:pPr>
              <w:pStyle w:val="TableParagraph"/>
              <w:spacing w:before="2" w:line="240" w:lineRule="auto"/>
              <w:ind w:left="0"/>
              <w:rPr>
                <w:sz w:val="20"/>
              </w:rPr>
            </w:pPr>
          </w:p>
          <w:p w14:paraId="647A2539" w14:textId="77777777" w:rsidR="004C7180" w:rsidRPr="00150EDC" w:rsidRDefault="00CF0754">
            <w:pPr>
              <w:pStyle w:val="TableParagraph"/>
              <w:spacing w:before="0"/>
              <w:rPr>
                <w:sz w:val="20"/>
              </w:rPr>
            </w:pPr>
            <w:r w:rsidRPr="00150EDC">
              <w:rPr>
                <w:sz w:val="20"/>
              </w:rPr>
              <w:t>Sexual</w:t>
            </w:r>
            <w:r w:rsidRPr="00150EDC">
              <w:rPr>
                <w:spacing w:val="-6"/>
                <w:sz w:val="20"/>
              </w:rPr>
              <w:t xml:space="preserve"> </w:t>
            </w:r>
            <w:r w:rsidRPr="00150EDC">
              <w:rPr>
                <w:sz w:val="20"/>
              </w:rPr>
              <w:t>Offences</w:t>
            </w:r>
            <w:r w:rsidRPr="00150EDC">
              <w:rPr>
                <w:spacing w:val="-3"/>
                <w:sz w:val="20"/>
              </w:rPr>
              <w:t xml:space="preserve"> </w:t>
            </w:r>
            <w:r w:rsidRPr="00150EDC">
              <w:rPr>
                <w:sz w:val="20"/>
              </w:rPr>
              <w:t>Act</w:t>
            </w:r>
            <w:r w:rsidRPr="00150EDC">
              <w:rPr>
                <w:spacing w:val="-6"/>
                <w:sz w:val="20"/>
              </w:rPr>
              <w:t xml:space="preserve"> </w:t>
            </w:r>
            <w:r w:rsidRPr="00150EDC">
              <w:rPr>
                <w:sz w:val="20"/>
              </w:rPr>
              <w:t>1956,</w:t>
            </w:r>
            <w:r w:rsidRPr="00150EDC">
              <w:rPr>
                <w:spacing w:val="-8"/>
                <w:sz w:val="20"/>
              </w:rPr>
              <w:t xml:space="preserve"> </w:t>
            </w:r>
            <w:r w:rsidRPr="00150EDC">
              <w:rPr>
                <w:spacing w:val="-5"/>
                <w:sz w:val="20"/>
              </w:rPr>
              <w:t>s28</w:t>
            </w:r>
          </w:p>
        </w:tc>
        <w:tc>
          <w:tcPr>
            <w:tcW w:w="7427" w:type="dxa"/>
          </w:tcPr>
          <w:p w14:paraId="3CF2E402" w14:textId="77777777" w:rsidR="004C7180" w:rsidRPr="00150EDC" w:rsidRDefault="00CF0754">
            <w:pPr>
              <w:pStyle w:val="TableParagraph"/>
              <w:spacing w:before="0" w:line="230" w:lineRule="atLeast"/>
              <w:ind w:right="186"/>
              <w:rPr>
                <w:sz w:val="20"/>
              </w:rPr>
            </w:pPr>
            <w:r w:rsidRPr="00150EDC">
              <w:rPr>
                <w:sz w:val="20"/>
              </w:rPr>
              <w:t>Causing</w:t>
            </w:r>
            <w:r w:rsidRPr="00150EDC">
              <w:rPr>
                <w:spacing w:val="-6"/>
                <w:sz w:val="20"/>
              </w:rPr>
              <w:t xml:space="preserve"> </w:t>
            </w:r>
            <w:r w:rsidRPr="00150EDC">
              <w:rPr>
                <w:sz w:val="20"/>
              </w:rPr>
              <w:t>or</w:t>
            </w:r>
            <w:r w:rsidRPr="00150EDC">
              <w:rPr>
                <w:spacing w:val="-1"/>
                <w:sz w:val="20"/>
              </w:rPr>
              <w:t xml:space="preserve"> </w:t>
            </w:r>
            <w:r w:rsidRPr="00150EDC">
              <w:rPr>
                <w:sz w:val="20"/>
              </w:rPr>
              <w:t>encouraging</w:t>
            </w:r>
            <w:r w:rsidRPr="00150EDC">
              <w:rPr>
                <w:spacing w:val="-6"/>
                <w:sz w:val="20"/>
              </w:rPr>
              <w:t xml:space="preserve"> </w:t>
            </w:r>
            <w:r w:rsidRPr="00150EDC">
              <w:rPr>
                <w:sz w:val="20"/>
              </w:rPr>
              <w:t>prostitution</w:t>
            </w:r>
            <w:r w:rsidRPr="00150EDC">
              <w:rPr>
                <w:spacing w:val="-6"/>
                <w:sz w:val="20"/>
              </w:rPr>
              <w:t xml:space="preserve"> </w:t>
            </w:r>
            <w:r w:rsidRPr="00150EDC">
              <w:rPr>
                <w:sz w:val="20"/>
              </w:rPr>
              <w:t>of,</w:t>
            </w:r>
            <w:r w:rsidRPr="00150EDC">
              <w:rPr>
                <w:spacing w:val="-4"/>
                <w:sz w:val="20"/>
              </w:rPr>
              <w:t xml:space="preserve"> </w:t>
            </w:r>
            <w:r w:rsidRPr="00150EDC">
              <w:rPr>
                <w:sz w:val="20"/>
              </w:rPr>
              <w:t>intercourse</w:t>
            </w:r>
            <w:r w:rsidRPr="00150EDC">
              <w:rPr>
                <w:spacing w:val="-6"/>
                <w:sz w:val="20"/>
              </w:rPr>
              <w:t xml:space="preserve"> </w:t>
            </w:r>
            <w:r w:rsidRPr="00150EDC">
              <w:rPr>
                <w:sz w:val="20"/>
              </w:rPr>
              <w:t>with</w:t>
            </w:r>
            <w:r w:rsidRPr="00150EDC">
              <w:rPr>
                <w:spacing w:val="-2"/>
                <w:sz w:val="20"/>
              </w:rPr>
              <w:t xml:space="preserve"> </w:t>
            </w:r>
            <w:r w:rsidRPr="00150EDC">
              <w:rPr>
                <w:sz w:val="20"/>
              </w:rPr>
              <w:t>or</w:t>
            </w:r>
            <w:r w:rsidRPr="00150EDC">
              <w:rPr>
                <w:spacing w:val="-6"/>
                <w:sz w:val="20"/>
              </w:rPr>
              <w:t xml:space="preserve"> </w:t>
            </w:r>
            <w:r w:rsidRPr="00150EDC">
              <w:rPr>
                <w:sz w:val="20"/>
              </w:rPr>
              <w:t>indecent</w:t>
            </w:r>
            <w:r w:rsidRPr="00150EDC">
              <w:rPr>
                <w:spacing w:val="-6"/>
                <w:sz w:val="20"/>
              </w:rPr>
              <w:t xml:space="preserve"> </w:t>
            </w:r>
            <w:r w:rsidRPr="00150EDC">
              <w:rPr>
                <w:sz w:val="20"/>
              </w:rPr>
              <w:t>assault</w:t>
            </w:r>
            <w:r w:rsidRPr="00150EDC">
              <w:rPr>
                <w:spacing w:val="-5"/>
                <w:sz w:val="20"/>
              </w:rPr>
              <w:t xml:space="preserve"> </w:t>
            </w:r>
            <w:r w:rsidRPr="00150EDC">
              <w:rPr>
                <w:sz w:val="20"/>
              </w:rPr>
              <w:t>on, girl under 16</w:t>
            </w:r>
          </w:p>
        </w:tc>
      </w:tr>
      <w:tr w:rsidR="004569EE" w:rsidRPr="007D3144" w14:paraId="2D425836" w14:textId="77777777">
        <w:trPr>
          <w:trHeight w:val="255"/>
        </w:trPr>
        <w:tc>
          <w:tcPr>
            <w:tcW w:w="6517" w:type="dxa"/>
          </w:tcPr>
          <w:p w14:paraId="2AB068B2" w14:textId="77777777" w:rsidR="004C7180" w:rsidRPr="00150EDC" w:rsidRDefault="00CF0754">
            <w:pPr>
              <w:pStyle w:val="TableParagraph"/>
              <w:spacing w:before="28"/>
              <w:rPr>
                <w:sz w:val="20"/>
              </w:rPr>
            </w:pPr>
            <w:r w:rsidRPr="00150EDC">
              <w:rPr>
                <w:sz w:val="20"/>
              </w:rPr>
              <w:t>Sexual</w:t>
            </w:r>
            <w:r w:rsidRPr="00150EDC">
              <w:rPr>
                <w:spacing w:val="-6"/>
                <w:sz w:val="20"/>
              </w:rPr>
              <w:t xml:space="preserve"> </w:t>
            </w:r>
            <w:r w:rsidRPr="00150EDC">
              <w:rPr>
                <w:sz w:val="20"/>
              </w:rPr>
              <w:t>Offences</w:t>
            </w:r>
            <w:r w:rsidRPr="00150EDC">
              <w:rPr>
                <w:spacing w:val="-3"/>
                <w:sz w:val="20"/>
              </w:rPr>
              <w:t xml:space="preserve"> </w:t>
            </w:r>
            <w:r w:rsidRPr="00150EDC">
              <w:rPr>
                <w:sz w:val="20"/>
              </w:rPr>
              <w:t>Act</w:t>
            </w:r>
            <w:r w:rsidRPr="00150EDC">
              <w:rPr>
                <w:spacing w:val="-6"/>
                <w:sz w:val="20"/>
              </w:rPr>
              <w:t xml:space="preserve"> </w:t>
            </w:r>
            <w:r w:rsidRPr="00150EDC">
              <w:rPr>
                <w:sz w:val="20"/>
              </w:rPr>
              <w:t>1956,</w:t>
            </w:r>
            <w:r w:rsidRPr="00150EDC">
              <w:rPr>
                <w:spacing w:val="-8"/>
                <w:sz w:val="20"/>
              </w:rPr>
              <w:t xml:space="preserve"> </w:t>
            </w:r>
            <w:r w:rsidRPr="00150EDC">
              <w:rPr>
                <w:spacing w:val="-5"/>
                <w:sz w:val="20"/>
              </w:rPr>
              <w:t>s29</w:t>
            </w:r>
          </w:p>
        </w:tc>
        <w:tc>
          <w:tcPr>
            <w:tcW w:w="7427" w:type="dxa"/>
          </w:tcPr>
          <w:p w14:paraId="4CAD3E78" w14:textId="77777777" w:rsidR="004C7180" w:rsidRPr="00150EDC" w:rsidRDefault="00CF0754">
            <w:pPr>
              <w:pStyle w:val="TableParagraph"/>
              <w:spacing w:before="28"/>
              <w:rPr>
                <w:sz w:val="20"/>
              </w:rPr>
            </w:pPr>
            <w:r w:rsidRPr="00150EDC">
              <w:rPr>
                <w:sz w:val="20"/>
              </w:rPr>
              <w:t>Causing</w:t>
            </w:r>
            <w:r w:rsidRPr="00150EDC">
              <w:rPr>
                <w:spacing w:val="-7"/>
                <w:sz w:val="20"/>
              </w:rPr>
              <w:t xml:space="preserve"> </w:t>
            </w:r>
            <w:r w:rsidRPr="00150EDC">
              <w:rPr>
                <w:sz w:val="20"/>
              </w:rPr>
              <w:t>or</w:t>
            </w:r>
            <w:r w:rsidRPr="00150EDC">
              <w:rPr>
                <w:spacing w:val="-3"/>
                <w:sz w:val="20"/>
              </w:rPr>
              <w:t xml:space="preserve"> </w:t>
            </w:r>
            <w:r w:rsidRPr="00150EDC">
              <w:rPr>
                <w:sz w:val="20"/>
              </w:rPr>
              <w:t>encouraging</w:t>
            </w:r>
            <w:r w:rsidRPr="00150EDC">
              <w:rPr>
                <w:spacing w:val="-6"/>
                <w:sz w:val="20"/>
              </w:rPr>
              <w:t xml:space="preserve"> </w:t>
            </w:r>
            <w:r w:rsidRPr="00150EDC">
              <w:rPr>
                <w:sz w:val="20"/>
              </w:rPr>
              <w:t>prostitution</w:t>
            </w:r>
            <w:r w:rsidRPr="00150EDC">
              <w:rPr>
                <w:spacing w:val="-7"/>
                <w:sz w:val="20"/>
              </w:rPr>
              <w:t xml:space="preserve"> </w:t>
            </w:r>
            <w:r w:rsidRPr="00150EDC">
              <w:rPr>
                <w:sz w:val="20"/>
              </w:rPr>
              <w:t>of</w:t>
            </w:r>
            <w:r w:rsidRPr="00150EDC">
              <w:rPr>
                <w:spacing w:val="-7"/>
                <w:sz w:val="20"/>
              </w:rPr>
              <w:t xml:space="preserve"> </w:t>
            </w:r>
            <w:r w:rsidRPr="00150EDC">
              <w:rPr>
                <w:spacing w:val="-2"/>
                <w:sz w:val="20"/>
              </w:rPr>
              <w:t>defective</w:t>
            </w:r>
          </w:p>
        </w:tc>
      </w:tr>
      <w:tr w:rsidR="004569EE" w:rsidRPr="007D3144" w14:paraId="1293440D" w14:textId="77777777">
        <w:trPr>
          <w:trHeight w:val="255"/>
        </w:trPr>
        <w:tc>
          <w:tcPr>
            <w:tcW w:w="6517" w:type="dxa"/>
          </w:tcPr>
          <w:p w14:paraId="653EE88E"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3"/>
                <w:sz w:val="20"/>
              </w:rPr>
              <w:t xml:space="preserve"> </w:t>
            </w:r>
            <w:r w:rsidRPr="00150EDC">
              <w:rPr>
                <w:sz w:val="20"/>
              </w:rPr>
              <w:t>Act</w:t>
            </w:r>
            <w:r w:rsidRPr="00150EDC">
              <w:rPr>
                <w:spacing w:val="-6"/>
                <w:sz w:val="20"/>
              </w:rPr>
              <w:t xml:space="preserve"> </w:t>
            </w:r>
            <w:r w:rsidRPr="00150EDC">
              <w:rPr>
                <w:sz w:val="20"/>
              </w:rPr>
              <w:t>1956,</w:t>
            </w:r>
            <w:r w:rsidRPr="00150EDC">
              <w:rPr>
                <w:spacing w:val="-8"/>
                <w:sz w:val="20"/>
              </w:rPr>
              <w:t xml:space="preserve"> </w:t>
            </w:r>
            <w:r w:rsidRPr="00150EDC">
              <w:rPr>
                <w:spacing w:val="-5"/>
                <w:sz w:val="20"/>
              </w:rPr>
              <w:t>s3</w:t>
            </w:r>
          </w:p>
        </w:tc>
        <w:tc>
          <w:tcPr>
            <w:tcW w:w="7427" w:type="dxa"/>
          </w:tcPr>
          <w:p w14:paraId="396C80BA" w14:textId="77777777" w:rsidR="004C7180" w:rsidRPr="00150EDC" w:rsidRDefault="00CF0754">
            <w:pPr>
              <w:pStyle w:val="TableParagraph"/>
              <w:rPr>
                <w:sz w:val="20"/>
              </w:rPr>
            </w:pPr>
            <w:r w:rsidRPr="00150EDC">
              <w:rPr>
                <w:sz w:val="20"/>
              </w:rPr>
              <w:t>Procurement</w:t>
            </w:r>
            <w:r w:rsidRPr="00150EDC">
              <w:rPr>
                <w:spacing w:val="-6"/>
                <w:sz w:val="20"/>
              </w:rPr>
              <w:t xml:space="preserve"> </w:t>
            </w:r>
            <w:r w:rsidRPr="00150EDC">
              <w:rPr>
                <w:sz w:val="20"/>
              </w:rPr>
              <w:t>of</w:t>
            </w:r>
            <w:r w:rsidRPr="00150EDC">
              <w:rPr>
                <w:spacing w:val="-1"/>
                <w:sz w:val="20"/>
              </w:rPr>
              <w:t xml:space="preserve"> </w:t>
            </w:r>
            <w:r w:rsidRPr="00150EDC">
              <w:rPr>
                <w:sz w:val="20"/>
              </w:rPr>
              <w:t>woman</w:t>
            </w:r>
            <w:r w:rsidRPr="00150EDC">
              <w:rPr>
                <w:spacing w:val="-5"/>
                <w:sz w:val="20"/>
              </w:rPr>
              <w:t xml:space="preserve"> </w:t>
            </w:r>
            <w:r w:rsidRPr="00150EDC">
              <w:rPr>
                <w:sz w:val="20"/>
              </w:rPr>
              <w:t>by</w:t>
            </w:r>
            <w:r w:rsidRPr="00150EDC">
              <w:rPr>
                <w:spacing w:val="-5"/>
                <w:sz w:val="20"/>
              </w:rPr>
              <w:t xml:space="preserve"> </w:t>
            </w:r>
            <w:r w:rsidRPr="00150EDC">
              <w:rPr>
                <w:sz w:val="20"/>
              </w:rPr>
              <w:t>false</w:t>
            </w:r>
            <w:r w:rsidRPr="00150EDC">
              <w:rPr>
                <w:spacing w:val="-1"/>
                <w:sz w:val="20"/>
              </w:rPr>
              <w:t xml:space="preserve"> </w:t>
            </w:r>
            <w:r w:rsidRPr="00150EDC">
              <w:rPr>
                <w:spacing w:val="-2"/>
                <w:sz w:val="20"/>
              </w:rPr>
              <w:t>pretences</w:t>
            </w:r>
          </w:p>
        </w:tc>
      </w:tr>
      <w:tr w:rsidR="004569EE" w:rsidRPr="007D3144" w14:paraId="49C6DF72" w14:textId="77777777">
        <w:trPr>
          <w:trHeight w:val="255"/>
        </w:trPr>
        <w:tc>
          <w:tcPr>
            <w:tcW w:w="6517" w:type="dxa"/>
          </w:tcPr>
          <w:p w14:paraId="36A67074"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3"/>
                <w:sz w:val="20"/>
              </w:rPr>
              <w:t xml:space="preserve"> </w:t>
            </w:r>
            <w:r w:rsidRPr="00150EDC">
              <w:rPr>
                <w:sz w:val="20"/>
              </w:rPr>
              <w:t>Act</w:t>
            </w:r>
            <w:r w:rsidRPr="00150EDC">
              <w:rPr>
                <w:spacing w:val="-6"/>
                <w:sz w:val="20"/>
              </w:rPr>
              <w:t xml:space="preserve"> </w:t>
            </w:r>
            <w:r w:rsidRPr="00150EDC">
              <w:rPr>
                <w:sz w:val="20"/>
              </w:rPr>
              <w:t>1956,</w:t>
            </w:r>
            <w:r w:rsidRPr="00150EDC">
              <w:rPr>
                <w:spacing w:val="-8"/>
                <w:sz w:val="20"/>
              </w:rPr>
              <w:t xml:space="preserve"> </w:t>
            </w:r>
            <w:r w:rsidRPr="00150EDC">
              <w:rPr>
                <w:spacing w:val="-5"/>
                <w:sz w:val="20"/>
              </w:rPr>
              <w:t>s30</w:t>
            </w:r>
          </w:p>
        </w:tc>
        <w:tc>
          <w:tcPr>
            <w:tcW w:w="7427" w:type="dxa"/>
          </w:tcPr>
          <w:p w14:paraId="2A34E1CB" w14:textId="77777777" w:rsidR="004C7180" w:rsidRPr="00150EDC" w:rsidRDefault="00CF0754">
            <w:pPr>
              <w:pStyle w:val="TableParagraph"/>
              <w:rPr>
                <w:sz w:val="20"/>
              </w:rPr>
            </w:pPr>
            <w:r w:rsidRPr="00150EDC">
              <w:rPr>
                <w:sz w:val="20"/>
              </w:rPr>
              <w:t>Man</w:t>
            </w:r>
            <w:r w:rsidRPr="00150EDC">
              <w:rPr>
                <w:spacing w:val="-10"/>
                <w:sz w:val="20"/>
              </w:rPr>
              <w:t xml:space="preserve"> </w:t>
            </w:r>
            <w:r w:rsidRPr="00150EDC">
              <w:rPr>
                <w:sz w:val="20"/>
              </w:rPr>
              <w:t>living</w:t>
            </w:r>
            <w:r w:rsidRPr="00150EDC">
              <w:rPr>
                <w:spacing w:val="-9"/>
                <w:sz w:val="20"/>
              </w:rPr>
              <w:t xml:space="preserve"> </w:t>
            </w:r>
            <w:r w:rsidRPr="00150EDC">
              <w:rPr>
                <w:sz w:val="20"/>
              </w:rPr>
              <w:t>on</w:t>
            </w:r>
            <w:r w:rsidRPr="00150EDC">
              <w:rPr>
                <w:spacing w:val="-9"/>
                <w:sz w:val="20"/>
              </w:rPr>
              <w:t xml:space="preserve"> </w:t>
            </w:r>
            <w:r w:rsidRPr="00150EDC">
              <w:rPr>
                <w:sz w:val="20"/>
              </w:rPr>
              <w:t>earnings</w:t>
            </w:r>
            <w:r w:rsidRPr="00150EDC">
              <w:rPr>
                <w:spacing w:val="-4"/>
                <w:sz w:val="20"/>
              </w:rPr>
              <w:t xml:space="preserve"> </w:t>
            </w:r>
            <w:r w:rsidRPr="00150EDC">
              <w:rPr>
                <w:sz w:val="20"/>
              </w:rPr>
              <w:t>of</w:t>
            </w:r>
            <w:r w:rsidRPr="00150EDC">
              <w:rPr>
                <w:spacing w:val="-9"/>
                <w:sz w:val="20"/>
              </w:rPr>
              <w:t xml:space="preserve"> </w:t>
            </w:r>
            <w:r w:rsidRPr="00150EDC">
              <w:rPr>
                <w:spacing w:val="-2"/>
                <w:sz w:val="20"/>
              </w:rPr>
              <w:t>prostitution</w:t>
            </w:r>
          </w:p>
        </w:tc>
      </w:tr>
      <w:tr w:rsidR="004569EE" w:rsidRPr="007D3144" w14:paraId="5FE8896E" w14:textId="77777777">
        <w:trPr>
          <w:trHeight w:val="255"/>
        </w:trPr>
        <w:tc>
          <w:tcPr>
            <w:tcW w:w="6517" w:type="dxa"/>
          </w:tcPr>
          <w:p w14:paraId="6D76E2D1"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3"/>
                <w:sz w:val="20"/>
              </w:rPr>
              <w:t xml:space="preserve"> </w:t>
            </w:r>
            <w:r w:rsidRPr="00150EDC">
              <w:rPr>
                <w:sz w:val="20"/>
              </w:rPr>
              <w:t>Act</w:t>
            </w:r>
            <w:r w:rsidRPr="00150EDC">
              <w:rPr>
                <w:spacing w:val="-6"/>
                <w:sz w:val="20"/>
              </w:rPr>
              <w:t xml:space="preserve"> </w:t>
            </w:r>
            <w:r w:rsidRPr="00150EDC">
              <w:rPr>
                <w:sz w:val="20"/>
              </w:rPr>
              <w:t>1956,</w:t>
            </w:r>
            <w:r w:rsidRPr="00150EDC">
              <w:rPr>
                <w:spacing w:val="-8"/>
                <w:sz w:val="20"/>
              </w:rPr>
              <w:t xml:space="preserve"> </w:t>
            </w:r>
            <w:r w:rsidRPr="00150EDC">
              <w:rPr>
                <w:spacing w:val="-5"/>
                <w:sz w:val="20"/>
              </w:rPr>
              <w:t>s31</w:t>
            </w:r>
          </w:p>
        </w:tc>
        <w:tc>
          <w:tcPr>
            <w:tcW w:w="7427" w:type="dxa"/>
          </w:tcPr>
          <w:p w14:paraId="04E853EE" w14:textId="77777777" w:rsidR="004C7180" w:rsidRPr="00150EDC" w:rsidRDefault="00CF0754">
            <w:pPr>
              <w:pStyle w:val="TableParagraph"/>
              <w:rPr>
                <w:sz w:val="20"/>
              </w:rPr>
            </w:pPr>
            <w:r w:rsidRPr="00150EDC">
              <w:rPr>
                <w:sz w:val="20"/>
              </w:rPr>
              <w:t>Woman</w:t>
            </w:r>
            <w:r w:rsidRPr="00150EDC">
              <w:rPr>
                <w:spacing w:val="-8"/>
                <w:sz w:val="20"/>
              </w:rPr>
              <w:t xml:space="preserve"> </w:t>
            </w:r>
            <w:r w:rsidRPr="00150EDC">
              <w:rPr>
                <w:sz w:val="20"/>
              </w:rPr>
              <w:t>exercising</w:t>
            </w:r>
            <w:r w:rsidRPr="00150EDC">
              <w:rPr>
                <w:spacing w:val="-7"/>
                <w:sz w:val="20"/>
              </w:rPr>
              <w:t xml:space="preserve"> </w:t>
            </w:r>
            <w:r w:rsidRPr="00150EDC">
              <w:rPr>
                <w:sz w:val="20"/>
              </w:rPr>
              <w:t>control</w:t>
            </w:r>
            <w:r w:rsidRPr="00150EDC">
              <w:rPr>
                <w:spacing w:val="-1"/>
                <w:sz w:val="20"/>
              </w:rPr>
              <w:t xml:space="preserve"> </w:t>
            </w:r>
            <w:r w:rsidRPr="00150EDC">
              <w:rPr>
                <w:sz w:val="20"/>
              </w:rPr>
              <w:t>over</w:t>
            </w:r>
            <w:r w:rsidRPr="00150EDC">
              <w:rPr>
                <w:spacing w:val="-7"/>
                <w:sz w:val="20"/>
              </w:rPr>
              <w:t xml:space="preserve"> </w:t>
            </w:r>
            <w:r w:rsidRPr="00150EDC">
              <w:rPr>
                <w:spacing w:val="-2"/>
                <w:sz w:val="20"/>
              </w:rPr>
              <w:t>prostitute</w:t>
            </w:r>
          </w:p>
        </w:tc>
      </w:tr>
      <w:tr w:rsidR="004569EE" w:rsidRPr="007D3144" w14:paraId="75462087" w14:textId="77777777">
        <w:trPr>
          <w:trHeight w:val="255"/>
        </w:trPr>
        <w:tc>
          <w:tcPr>
            <w:tcW w:w="6517" w:type="dxa"/>
          </w:tcPr>
          <w:p w14:paraId="76ED3519"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3"/>
                <w:sz w:val="20"/>
              </w:rPr>
              <w:t xml:space="preserve"> </w:t>
            </w:r>
            <w:r w:rsidRPr="00150EDC">
              <w:rPr>
                <w:sz w:val="20"/>
              </w:rPr>
              <w:t>Act</w:t>
            </w:r>
            <w:r w:rsidRPr="00150EDC">
              <w:rPr>
                <w:spacing w:val="-6"/>
                <w:sz w:val="20"/>
              </w:rPr>
              <w:t xml:space="preserve"> </w:t>
            </w:r>
            <w:r w:rsidRPr="00150EDC">
              <w:rPr>
                <w:sz w:val="20"/>
              </w:rPr>
              <w:t>1956,</w:t>
            </w:r>
            <w:r w:rsidRPr="00150EDC">
              <w:rPr>
                <w:spacing w:val="-8"/>
                <w:sz w:val="20"/>
              </w:rPr>
              <w:t xml:space="preserve"> </w:t>
            </w:r>
            <w:r w:rsidRPr="00150EDC">
              <w:rPr>
                <w:spacing w:val="-5"/>
                <w:sz w:val="20"/>
              </w:rPr>
              <w:t>s32</w:t>
            </w:r>
          </w:p>
        </w:tc>
        <w:tc>
          <w:tcPr>
            <w:tcW w:w="7427" w:type="dxa"/>
          </w:tcPr>
          <w:p w14:paraId="051AEEC1" w14:textId="77777777" w:rsidR="004C7180" w:rsidRPr="00150EDC" w:rsidRDefault="00CF0754">
            <w:pPr>
              <w:pStyle w:val="TableParagraph"/>
              <w:rPr>
                <w:sz w:val="20"/>
              </w:rPr>
            </w:pPr>
            <w:r w:rsidRPr="00150EDC">
              <w:rPr>
                <w:sz w:val="20"/>
              </w:rPr>
              <w:t>Soliciting</w:t>
            </w:r>
            <w:r w:rsidRPr="00150EDC">
              <w:rPr>
                <w:spacing w:val="-7"/>
                <w:sz w:val="20"/>
              </w:rPr>
              <w:t xml:space="preserve"> </w:t>
            </w:r>
            <w:r w:rsidRPr="00150EDC">
              <w:rPr>
                <w:sz w:val="20"/>
              </w:rPr>
              <w:t>by</w:t>
            </w:r>
            <w:r w:rsidRPr="00150EDC">
              <w:rPr>
                <w:spacing w:val="-5"/>
                <w:sz w:val="20"/>
              </w:rPr>
              <w:t xml:space="preserve"> men</w:t>
            </w:r>
          </w:p>
        </w:tc>
      </w:tr>
      <w:tr w:rsidR="004569EE" w:rsidRPr="007D3144" w14:paraId="22645D28" w14:textId="77777777">
        <w:trPr>
          <w:trHeight w:val="255"/>
        </w:trPr>
        <w:tc>
          <w:tcPr>
            <w:tcW w:w="6517" w:type="dxa"/>
          </w:tcPr>
          <w:p w14:paraId="1E5AC0A6" w14:textId="77777777" w:rsidR="004C7180" w:rsidRPr="00150EDC" w:rsidRDefault="00CF0754">
            <w:pPr>
              <w:pStyle w:val="TableParagraph"/>
              <w:spacing w:before="28"/>
              <w:rPr>
                <w:sz w:val="20"/>
              </w:rPr>
            </w:pPr>
            <w:r w:rsidRPr="00150EDC">
              <w:rPr>
                <w:sz w:val="20"/>
              </w:rPr>
              <w:t>Sexual</w:t>
            </w:r>
            <w:r w:rsidRPr="00150EDC">
              <w:rPr>
                <w:spacing w:val="-6"/>
                <w:sz w:val="20"/>
              </w:rPr>
              <w:t xml:space="preserve"> </w:t>
            </w:r>
            <w:r w:rsidRPr="00150EDC">
              <w:rPr>
                <w:sz w:val="20"/>
              </w:rPr>
              <w:t>Offences</w:t>
            </w:r>
            <w:r w:rsidRPr="00150EDC">
              <w:rPr>
                <w:spacing w:val="-3"/>
                <w:sz w:val="20"/>
              </w:rPr>
              <w:t xml:space="preserve"> </w:t>
            </w:r>
            <w:r w:rsidRPr="00150EDC">
              <w:rPr>
                <w:sz w:val="20"/>
              </w:rPr>
              <w:t>Act</w:t>
            </w:r>
            <w:r w:rsidRPr="00150EDC">
              <w:rPr>
                <w:spacing w:val="-6"/>
                <w:sz w:val="20"/>
              </w:rPr>
              <w:t xml:space="preserve"> </w:t>
            </w:r>
            <w:r w:rsidRPr="00150EDC">
              <w:rPr>
                <w:sz w:val="20"/>
              </w:rPr>
              <w:t>1956,</w:t>
            </w:r>
            <w:r w:rsidRPr="00150EDC">
              <w:rPr>
                <w:spacing w:val="-8"/>
                <w:sz w:val="20"/>
              </w:rPr>
              <w:t xml:space="preserve"> </w:t>
            </w:r>
            <w:r w:rsidRPr="00150EDC">
              <w:rPr>
                <w:spacing w:val="-5"/>
                <w:sz w:val="20"/>
              </w:rPr>
              <w:t>s33</w:t>
            </w:r>
          </w:p>
        </w:tc>
        <w:tc>
          <w:tcPr>
            <w:tcW w:w="7427" w:type="dxa"/>
          </w:tcPr>
          <w:p w14:paraId="1A9D5F79" w14:textId="77777777" w:rsidR="004C7180" w:rsidRPr="00150EDC" w:rsidRDefault="00CF0754">
            <w:pPr>
              <w:pStyle w:val="TableParagraph"/>
              <w:spacing w:before="28"/>
              <w:rPr>
                <w:sz w:val="20"/>
              </w:rPr>
            </w:pPr>
            <w:r w:rsidRPr="00150EDC">
              <w:rPr>
                <w:sz w:val="20"/>
              </w:rPr>
              <w:t>Keeping</w:t>
            </w:r>
            <w:r w:rsidRPr="00150EDC">
              <w:rPr>
                <w:spacing w:val="-6"/>
                <w:sz w:val="20"/>
              </w:rPr>
              <w:t xml:space="preserve"> </w:t>
            </w:r>
            <w:r w:rsidRPr="00150EDC">
              <w:rPr>
                <w:sz w:val="20"/>
              </w:rPr>
              <w:t>a</w:t>
            </w:r>
            <w:r w:rsidRPr="00150EDC">
              <w:rPr>
                <w:spacing w:val="-1"/>
                <w:sz w:val="20"/>
              </w:rPr>
              <w:t xml:space="preserve"> </w:t>
            </w:r>
            <w:r w:rsidRPr="00150EDC">
              <w:rPr>
                <w:spacing w:val="-2"/>
                <w:sz w:val="20"/>
              </w:rPr>
              <w:t>brothel</w:t>
            </w:r>
          </w:p>
        </w:tc>
      </w:tr>
    </w:tbl>
    <w:p w14:paraId="7F5683D8" w14:textId="77777777" w:rsidR="004C7180" w:rsidRPr="00150EDC" w:rsidRDefault="004C7180">
      <w:pPr>
        <w:rPr>
          <w:sz w:val="20"/>
        </w:rPr>
        <w:sectPr w:rsidR="004C7180" w:rsidRPr="00150EDC">
          <w:footerReference w:type="default" r:id="rId148"/>
          <w:pgSz w:w="16840" w:h="11910" w:orient="landscape"/>
          <w:pgMar w:top="1340" w:right="1320" w:bottom="280" w:left="1340" w:header="0" w:footer="0" w:gutter="0"/>
          <w:cols w:space="720"/>
        </w:sectPr>
      </w:pPr>
    </w:p>
    <w:p w14:paraId="350CFE24" w14:textId="77777777" w:rsidR="004C7180" w:rsidRPr="00150EDC" w:rsidRDefault="004C7180">
      <w:pPr>
        <w:pStyle w:val="BodyText"/>
        <w:spacing w:before="3"/>
        <w:rPr>
          <w:sz w:val="8"/>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517"/>
        <w:gridCol w:w="7427"/>
      </w:tblGrid>
      <w:tr w:rsidR="004569EE" w:rsidRPr="007D3144" w14:paraId="00CFCEE0" w14:textId="77777777">
        <w:trPr>
          <w:trHeight w:val="254"/>
        </w:trPr>
        <w:tc>
          <w:tcPr>
            <w:tcW w:w="6517" w:type="dxa"/>
          </w:tcPr>
          <w:p w14:paraId="4E7E6A8B"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3"/>
                <w:sz w:val="20"/>
              </w:rPr>
              <w:t xml:space="preserve"> </w:t>
            </w:r>
            <w:r w:rsidRPr="00150EDC">
              <w:rPr>
                <w:sz w:val="20"/>
              </w:rPr>
              <w:t>Act</w:t>
            </w:r>
            <w:r w:rsidRPr="00150EDC">
              <w:rPr>
                <w:spacing w:val="-6"/>
                <w:sz w:val="20"/>
              </w:rPr>
              <w:t xml:space="preserve"> </w:t>
            </w:r>
            <w:r w:rsidRPr="00150EDC">
              <w:rPr>
                <w:sz w:val="20"/>
              </w:rPr>
              <w:t>1956,</w:t>
            </w:r>
            <w:r w:rsidRPr="00150EDC">
              <w:rPr>
                <w:spacing w:val="-8"/>
                <w:sz w:val="20"/>
              </w:rPr>
              <w:t xml:space="preserve"> </w:t>
            </w:r>
            <w:r w:rsidRPr="00150EDC">
              <w:rPr>
                <w:spacing w:val="-5"/>
                <w:sz w:val="20"/>
              </w:rPr>
              <w:t>s4</w:t>
            </w:r>
          </w:p>
        </w:tc>
        <w:tc>
          <w:tcPr>
            <w:tcW w:w="7427" w:type="dxa"/>
          </w:tcPr>
          <w:p w14:paraId="62CA2A90" w14:textId="77777777" w:rsidR="004C7180" w:rsidRPr="00150EDC" w:rsidRDefault="00CF0754">
            <w:pPr>
              <w:pStyle w:val="TableParagraph"/>
              <w:rPr>
                <w:sz w:val="20"/>
              </w:rPr>
            </w:pPr>
            <w:r w:rsidRPr="00150EDC">
              <w:rPr>
                <w:sz w:val="20"/>
              </w:rPr>
              <w:t>Administering</w:t>
            </w:r>
            <w:r w:rsidRPr="00150EDC">
              <w:rPr>
                <w:spacing w:val="-2"/>
                <w:sz w:val="20"/>
              </w:rPr>
              <w:t xml:space="preserve"> </w:t>
            </w:r>
            <w:r w:rsidRPr="00150EDC">
              <w:rPr>
                <w:sz w:val="20"/>
              </w:rPr>
              <w:t>drugs</w:t>
            </w:r>
            <w:r w:rsidRPr="00150EDC">
              <w:rPr>
                <w:spacing w:val="-1"/>
                <w:sz w:val="20"/>
              </w:rPr>
              <w:t xml:space="preserve"> </w:t>
            </w:r>
            <w:r w:rsidRPr="00150EDC">
              <w:rPr>
                <w:sz w:val="20"/>
              </w:rPr>
              <w:t>to</w:t>
            </w:r>
            <w:r w:rsidRPr="00150EDC">
              <w:rPr>
                <w:spacing w:val="-7"/>
                <w:sz w:val="20"/>
              </w:rPr>
              <w:t xml:space="preserve"> </w:t>
            </w:r>
            <w:r w:rsidRPr="00150EDC">
              <w:rPr>
                <w:sz w:val="20"/>
              </w:rPr>
              <w:t>to</w:t>
            </w:r>
            <w:r w:rsidRPr="00150EDC">
              <w:rPr>
                <w:spacing w:val="-2"/>
                <w:sz w:val="20"/>
              </w:rPr>
              <w:t xml:space="preserve"> </w:t>
            </w:r>
            <w:r w:rsidRPr="00150EDC">
              <w:rPr>
                <w:sz w:val="20"/>
              </w:rPr>
              <w:t>obtain</w:t>
            </w:r>
            <w:r w:rsidRPr="00150EDC">
              <w:rPr>
                <w:spacing w:val="-6"/>
                <w:sz w:val="20"/>
              </w:rPr>
              <w:t xml:space="preserve"> </w:t>
            </w:r>
            <w:r w:rsidRPr="00150EDC">
              <w:rPr>
                <w:sz w:val="20"/>
              </w:rPr>
              <w:t>or</w:t>
            </w:r>
            <w:r w:rsidRPr="00150EDC">
              <w:rPr>
                <w:spacing w:val="-7"/>
                <w:sz w:val="20"/>
              </w:rPr>
              <w:t xml:space="preserve"> </w:t>
            </w:r>
            <w:r w:rsidRPr="00150EDC">
              <w:rPr>
                <w:sz w:val="20"/>
              </w:rPr>
              <w:t>facilitate</w:t>
            </w:r>
            <w:r w:rsidRPr="00150EDC">
              <w:rPr>
                <w:spacing w:val="-6"/>
                <w:sz w:val="20"/>
              </w:rPr>
              <w:t xml:space="preserve"> </w:t>
            </w:r>
            <w:r w:rsidRPr="00150EDC">
              <w:rPr>
                <w:spacing w:val="-2"/>
                <w:sz w:val="20"/>
              </w:rPr>
              <w:t>intercourse</w:t>
            </w:r>
          </w:p>
        </w:tc>
      </w:tr>
      <w:tr w:rsidR="004569EE" w:rsidRPr="007D3144" w14:paraId="6837A2F5" w14:textId="77777777">
        <w:trPr>
          <w:trHeight w:val="255"/>
        </w:trPr>
        <w:tc>
          <w:tcPr>
            <w:tcW w:w="6517" w:type="dxa"/>
          </w:tcPr>
          <w:p w14:paraId="3F4024D1" w14:textId="77777777" w:rsidR="004C7180" w:rsidRPr="00150EDC" w:rsidRDefault="00CF0754">
            <w:pPr>
              <w:pStyle w:val="TableParagraph"/>
              <w:spacing w:before="28"/>
              <w:rPr>
                <w:sz w:val="20"/>
              </w:rPr>
            </w:pPr>
            <w:r w:rsidRPr="00150EDC">
              <w:rPr>
                <w:sz w:val="20"/>
              </w:rPr>
              <w:t>Sexual</w:t>
            </w:r>
            <w:r w:rsidRPr="00150EDC">
              <w:rPr>
                <w:spacing w:val="-6"/>
                <w:sz w:val="20"/>
              </w:rPr>
              <w:t xml:space="preserve"> </w:t>
            </w:r>
            <w:r w:rsidRPr="00150EDC">
              <w:rPr>
                <w:sz w:val="20"/>
              </w:rPr>
              <w:t>Offences</w:t>
            </w:r>
            <w:r w:rsidRPr="00150EDC">
              <w:rPr>
                <w:spacing w:val="-3"/>
                <w:sz w:val="20"/>
              </w:rPr>
              <w:t xml:space="preserve"> </w:t>
            </w:r>
            <w:r w:rsidRPr="00150EDC">
              <w:rPr>
                <w:sz w:val="20"/>
              </w:rPr>
              <w:t>Act</w:t>
            </w:r>
            <w:r w:rsidRPr="00150EDC">
              <w:rPr>
                <w:spacing w:val="-6"/>
                <w:sz w:val="20"/>
              </w:rPr>
              <w:t xml:space="preserve"> </w:t>
            </w:r>
            <w:r w:rsidRPr="00150EDC">
              <w:rPr>
                <w:sz w:val="20"/>
              </w:rPr>
              <w:t>1956,</w:t>
            </w:r>
            <w:r w:rsidRPr="00150EDC">
              <w:rPr>
                <w:spacing w:val="-8"/>
                <w:sz w:val="20"/>
              </w:rPr>
              <w:t xml:space="preserve"> </w:t>
            </w:r>
            <w:r w:rsidRPr="00150EDC">
              <w:rPr>
                <w:spacing w:val="-5"/>
                <w:sz w:val="20"/>
              </w:rPr>
              <w:t>s5</w:t>
            </w:r>
          </w:p>
        </w:tc>
        <w:tc>
          <w:tcPr>
            <w:tcW w:w="7427" w:type="dxa"/>
          </w:tcPr>
          <w:p w14:paraId="1AD13DAC" w14:textId="77777777" w:rsidR="004C7180" w:rsidRPr="00150EDC" w:rsidRDefault="00CF0754">
            <w:pPr>
              <w:pStyle w:val="TableParagraph"/>
              <w:spacing w:before="28"/>
              <w:rPr>
                <w:sz w:val="20"/>
              </w:rPr>
            </w:pPr>
            <w:r w:rsidRPr="00150EDC">
              <w:rPr>
                <w:sz w:val="20"/>
              </w:rPr>
              <w:t>Intercourse</w:t>
            </w:r>
            <w:r w:rsidRPr="00150EDC">
              <w:rPr>
                <w:spacing w:val="-7"/>
                <w:sz w:val="20"/>
              </w:rPr>
              <w:t xml:space="preserve"> </w:t>
            </w:r>
            <w:r w:rsidRPr="00150EDC">
              <w:rPr>
                <w:sz w:val="20"/>
              </w:rPr>
              <w:t>with</w:t>
            </w:r>
            <w:r w:rsidRPr="00150EDC">
              <w:rPr>
                <w:spacing w:val="-3"/>
                <w:sz w:val="20"/>
              </w:rPr>
              <w:t xml:space="preserve"> </w:t>
            </w:r>
            <w:r w:rsidRPr="00150EDC">
              <w:rPr>
                <w:sz w:val="20"/>
              </w:rPr>
              <w:t>girl</w:t>
            </w:r>
            <w:r w:rsidRPr="00150EDC">
              <w:rPr>
                <w:spacing w:val="-5"/>
                <w:sz w:val="20"/>
              </w:rPr>
              <w:t xml:space="preserve"> </w:t>
            </w:r>
            <w:r w:rsidRPr="00150EDC">
              <w:rPr>
                <w:sz w:val="20"/>
              </w:rPr>
              <w:t>under</w:t>
            </w:r>
            <w:r w:rsidRPr="00150EDC">
              <w:rPr>
                <w:spacing w:val="-2"/>
                <w:sz w:val="20"/>
              </w:rPr>
              <w:t xml:space="preserve"> </w:t>
            </w:r>
            <w:r w:rsidRPr="00150EDC">
              <w:rPr>
                <w:spacing w:val="-5"/>
                <w:sz w:val="20"/>
              </w:rPr>
              <w:t>13</w:t>
            </w:r>
          </w:p>
        </w:tc>
      </w:tr>
      <w:tr w:rsidR="004569EE" w:rsidRPr="007D3144" w14:paraId="2F559A68" w14:textId="77777777">
        <w:trPr>
          <w:trHeight w:val="255"/>
        </w:trPr>
        <w:tc>
          <w:tcPr>
            <w:tcW w:w="6517" w:type="dxa"/>
          </w:tcPr>
          <w:p w14:paraId="3973890A"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3"/>
                <w:sz w:val="20"/>
              </w:rPr>
              <w:t xml:space="preserve"> </w:t>
            </w:r>
            <w:r w:rsidRPr="00150EDC">
              <w:rPr>
                <w:sz w:val="20"/>
              </w:rPr>
              <w:t>Act</w:t>
            </w:r>
            <w:r w:rsidRPr="00150EDC">
              <w:rPr>
                <w:spacing w:val="-6"/>
                <w:sz w:val="20"/>
              </w:rPr>
              <w:t xml:space="preserve"> </w:t>
            </w:r>
            <w:r w:rsidRPr="00150EDC">
              <w:rPr>
                <w:sz w:val="20"/>
              </w:rPr>
              <w:t>1956,</w:t>
            </w:r>
            <w:r w:rsidRPr="00150EDC">
              <w:rPr>
                <w:spacing w:val="-8"/>
                <w:sz w:val="20"/>
              </w:rPr>
              <w:t xml:space="preserve"> </w:t>
            </w:r>
            <w:r w:rsidRPr="00150EDC">
              <w:rPr>
                <w:spacing w:val="-5"/>
                <w:sz w:val="20"/>
              </w:rPr>
              <w:t>s6</w:t>
            </w:r>
          </w:p>
        </w:tc>
        <w:tc>
          <w:tcPr>
            <w:tcW w:w="7427" w:type="dxa"/>
          </w:tcPr>
          <w:p w14:paraId="205D1E06" w14:textId="77777777" w:rsidR="004C7180" w:rsidRPr="00150EDC" w:rsidRDefault="00CF0754">
            <w:pPr>
              <w:pStyle w:val="TableParagraph"/>
              <w:rPr>
                <w:sz w:val="20"/>
              </w:rPr>
            </w:pPr>
            <w:r w:rsidRPr="00150EDC">
              <w:rPr>
                <w:sz w:val="20"/>
              </w:rPr>
              <w:t>Intercourse</w:t>
            </w:r>
            <w:r w:rsidRPr="00150EDC">
              <w:rPr>
                <w:spacing w:val="-6"/>
                <w:sz w:val="20"/>
              </w:rPr>
              <w:t xml:space="preserve"> </w:t>
            </w:r>
            <w:r w:rsidRPr="00150EDC">
              <w:rPr>
                <w:sz w:val="20"/>
              </w:rPr>
              <w:t>with</w:t>
            </w:r>
            <w:r w:rsidRPr="00150EDC">
              <w:rPr>
                <w:spacing w:val="-3"/>
                <w:sz w:val="20"/>
              </w:rPr>
              <w:t xml:space="preserve"> </w:t>
            </w:r>
            <w:r w:rsidRPr="00150EDC">
              <w:rPr>
                <w:sz w:val="20"/>
              </w:rPr>
              <w:t>girl</w:t>
            </w:r>
            <w:r w:rsidRPr="00150EDC">
              <w:rPr>
                <w:spacing w:val="-4"/>
                <w:sz w:val="20"/>
              </w:rPr>
              <w:t xml:space="preserve"> </w:t>
            </w:r>
            <w:r w:rsidRPr="00150EDC">
              <w:rPr>
                <w:sz w:val="20"/>
              </w:rPr>
              <w:t>between</w:t>
            </w:r>
            <w:r w:rsidRPr="00150EDC">
              <w:rPr>
                <w:spacing w:val="-1"/>
                <w:sz w:val="20"/>
              </w:rPr>
              <w:t xml:space="preserve"> </w:t>
            </w:r>
            <w:r w:rsidRPr="00150EDC">
              <w:rPr>
                <w:sz w:val="20"/>
              </w:rPr>
              <w:t>13</w:t>
            </w:r>
            <w:r w:rsidRPr="00150EDC">
              <w:rPr>
                <w:spacing w:val="-6"/>
                <w:sz w:val="20"/>
              </w:rPr>
              <w:t xml:space="preserve"> </w:t>
            </w:r>
            <w:r w:rsidRPr="00150EDC">
              <w:rPr>
                <w:sz w:val="20"/>
              </w:rPr>
              <w:t>and</w:t>
            </w:r>
            <w:r w:rsidRPr="00150EDC">
              <w:rPr>
                <w:spacing w:val="-6"/>
                <w:sz w:val="20"/>
              </w:rPr>
              <w:t xml:space="preserve"> </w:t>
            </w:r>
            <w:r w:rsidRPr="00150EDC">
              <w:rPr>
                <w:spacing w:val="-5"/>
                <w:sz w:val="20"/>
              </w:rPr>
              <w:t>16</w:t>
            </w:r>
          </w:p>
        </w:tc>
      </w:tr>
      <w:tr w:rsidR="004569EE" w:rsidRPr="007D3144" w14:paraId="3F77D246" w14:textId="77777777">
        <w:trPr>
          <w:trHeight w:val="255"/>
        </w:trPr>
        <w:tc>
          <w:tcPr>
            <w:tcW w:w="6517" w:type="dxa"/>
          </w:tcPr>
          <w:p w14:paraId="0211538A"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3"/>
                <w:sz w:val="20"/>
              </w:rPr>
              <w:t xml:space="preserve"> </w:t>
            </w:r>
            <w:r w:rsidRPr="00150EDC">
              <w:rPr>
                <w:sz w:val="20"/>
              </w:rPr>
              <w:t>Act</w:t>
            </w:r>
            <w:r w:rsidRPr="00150EDC">
              <w:rPr>
                <w:spacing w:val="-6"/>
                <w:sz w:val="20"/>
              </w:rPr>
              <w:t xml:space="preserve"> </w:t>
            </w:r>
            <w:r w:rsidRPr="00150EDC">
              <w:rPr>
                <w:sz w:val="20"/>
              </w:rPr>
              <w:t>1956,</w:t>
            </w:r>
            <w:r w:rsidRPr="00150EDC">
              <w:rPr>
                <w:spacing w:val="-8"/>
                <w:sz w:val="20"/>
              </w:rPr>
              <w:t xml:space="preserve"> </w:t>
            </w:r>
            <w:r w:rsidRPr="00150EDC">
              <w:rPr>
                <w:spacing w:val="-5"/>
                <w:sz w:val="20"/>
              </w:rPr>
              <w:t>s7</w:t>
            </w:r>
          </w:p>
        </w:tc>
        <w:tc>
          <w:tcPr>
            <w:tcW w:w="7427" w:type="dxa"/>
          </w:tcPr>
          <w:p w14:paraId="6DBE7ABF" w14:textId="77777777" w:rsidR="004C7180" w:rsidRPr="00150EDC" w:rsidRDefault="00CF0754">
            <w:pPr>
              <w:pStyle w:val="TableParagraph"/>
              <w:rPr>
                <w:sz w:val="20"/>
              </w:rPr>
            </w:pPr>
            <w:r w:rsidRPr="00150EDC">
              <w:rPr>
                <w:sz w:val="20"/>
              </w:rPr>
              <w:t>Intercourse</w:t>
            </w:r>
            <w:r w:rsidRPr="00150EDC">
              <w:rPr>
                <w:spacing w:val="-9"/>
                <w:sz w:val="20"/>
              </w:rPr>
              <w:t xml:space="preserve"> </w:t>
            </w:r>
            <w:r w:rsidRPr="00150EDC">
              <w:rPr>
                <w:sz w:val="20"/>
              </w:rPr>
              <w:t>with</w:t>
            </w:r>
            <w:r w:rsidRPr="00150EDC">
              <w:rPr>
                <w:spacing w:val="-4"/>
                <w:sz w:val="20"/>
              </w:rPr>
              <w:t xml:space="preserve"> </w:t>
            </w:r>
            <w:r w:rsidRPr="00150EDC">
              <w:rPr>
                <w:spacing w:val="-2"/>
                <w:sz w:val="20"/>
              </w:rPr>
              <w:t>defective</w:t>
            </w:r>
          </w:p>
        </w:tc>
      </w:tr>
      <w:tr w:rsidR="004569EE" w:rsidRPr="007D3144" w14:paraId="578DF360" w14:textId="77777777">
        <w:trPr>
          <w:trHeight w:val="255"/>
        </w:trPr>
        <w:tc>
          <w:tcPr>
            <w:tcW w:w="6517" w:type="dxa"/>
          </w:tcPr>
          <w:p w14:paraId="72CA8C96"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3"/>
                <w:sz w:val="20"/>
              </w:rPr>
              <w:t xml:space="preserve"> </w:t>
            </w:r>
            <w:r w:rsidRPr="00150EDC">
              <w:rPr>
                <w:sz w:val="20"/>
              </w:rPr>
              <w:t>Act</w:t>
            </w:r>
            <w:r w:rsidRPr="00150EDC">
              <w:rPr>
                <w:spacing w:val="-6"/>
                <w:sz w:val="20"/>
              </w:rPr>
              <w:t xml:space="preserve"> </w:t>
            </w:r>
            <w:r w:rsidRPr="00150EDC">
              <w:rPr>
                <w:sz w:val="20"/>
              </w:rPr>
              <w:t>1956,</w:t>
            </w:r>
            <w:r w:rsidRPr="00150EDC">
              <w:rPr>
                <w:spacing w:val="-8"/>
                <w:sz w:val="20"/>
              </w:rPr>
              <w:t xml:space="preserve"> </w:t>
            </w:r>
            <w:r w:rsidRPr="00150EDC">
              <w:rPr>
                <w:spacing w:val="-5"/>
                <w:sz w:val="20"/>
              </w:rPr>
              <w:t>s9</w:t>
            </w:r>
          </w:p>
        </w:tc>
        <w:tc>
          <w:tcPr>
            <w:tcW w:w="7427" w:type="dxa"/>
          </w:tcPr>
          <w:p w14:paraId="5F80496E" w14:textId="77777777" w:rsidR="004C7180" w:rsidRPr="00150EDC" w:rsidRDefault="00CF0754">
            <w:pPr>
              <w:pStyle w:val="TableParagraph"/>
              <w:rPr>
                <w:sz w:val="20"/>
              </w:rPr>
            </w:pPr>
            <w:r w:rsidRPr="00150EDC">
              <w:rPr>
                <w:sz w:val="20"/>
              </w:rPr>
              <w:t>Procurement</w:t>
            </w:r>
            <w:r w:rsidRPr="00150EDC">
              <w:rPr>
                <w:spacing w:val="-9"/>
                <w:sz w:val="20"/>
              </w:rPr>
              <w:t xml:space="preserve"> </w:t>
            </w:r>
            <w:r w:rsidRPr="00150EDC">
              <w:rPr>
                <w:sz w:val="20"/>
              </w:rPr>
              <w:t>of</w:t>
            </w:r>
            <w:r w:rsidRPr="00150EDC">
              <w:rPr>
                <w:spacing w:val="-2"/>
                <w:sz w:val="20"/>
              </w:rPr>
              <w:t xml:space="preserve"> defective</w:t>
            </w:r>
          </w:p>
        </w:tc>
      </w:tr>
      <w:tr w:rsidR="004569EE" w:rsidRPr="007D3144" w14:paraId="0BA06C31" w14:textId="77777777">
        <w:trPr>
          <w:trHeight w:val="255"/>
        </w:trPr>
        <w:tc>
          <w:tcPr>
            <w:tcW w:w="6517" w:type="dxa"/>
          </w:tcPr>
          <w:p w14:paraId="7BBE91B9" w14:textId="77777777" w:rsidR="004C7180" w:rsidRPr="00150EDC" w:rsidRDefault="00CF0754">
            <w:pPr>
              <w:pStyle w:val="TableParagraph"/>
              <w:spacing w:before="28"/>
              <w:rPr>
                <w:sz w:val="20"/>
              </w:rPr>
            </w:pPr>
            <w:r w:rsidRPr="00150EDC">
              <w:rPr>
                <w:sz w:val="20"/>
              </w:rPr>
              <w:t>Sexual</w:t>
            </w:r>
            <w:r w:rsidRPr="00150EDC">
              <w:rPr>
                <w:spacing w:val="-6"/>
                <w:sz w:val="20"/>
              </w:rPr>
              <w:t xml:space="preserve"> </w:t>
            </w:r>
            <w:r w:rsidRPr="00150EDC">
              <w:rPr>
                <w:sz w:val="20"/>
              </w:rPr>
              <w:t>Offences</w:t>
            </w:r>
            <w:r w:rsidRPr="00150EDC">
              <w:rPr>
                <w:spacing w:val="-3"/>
                <w:sz w:val="20"/>
              </w:rPr>
              <w:t xml:space="preserve"> </w:t>
            </w:r>
            <w:r w:rsidRPr="00150EDC">
              <w:rPr>
                <w:sz w:val="20"/>
              </w:rPr>
              <w:t>Act</w:t>
            </w:r>
            <w:r w:rsidRPr="00150EDC">
              <w:rPr>
                <w:spacing w:val="-6"/>
                <w:sz w:val="20"/>
              </w:rPr>
              <w:t xml:space="preserve"> </w:t>
            </w:r>
            <w:r w:rsidRPr="00150EDC">
              <w:rPr>
                <w:sz w:val="20"/>
              </w:rPr>
              <w:t>1967,</w:t>
            </w:r>
            <w:r w:rsidRPr="00150EDC">
              <w:rPr>
                <w:spacing w:val="-8"/>
                <w:sz w:val="20"/>
              </w:rPr>
              <w:t xml:space="preserve"> </w:t>
            </w:r>
            <w:r w:rsidRPr="00150EDC">
              <w:rPr>
                <w:spacing w:val="-5"/>
                <w:sz w:val="20"/>
              </w:rPr>
              <w:t>s4</w:t>
            </w:r>
          </w:p>
        </w:tc>
        <w:tc>
          <w:tcPr>
            <w:tcW w:w="7427" w:type="dxa"/>
          </w:tcPr>
          <w:p w14:paraId="58E95CF8" w14:textId="77777777" w:rsidR="004C7180" w:rsidRPr="00150EDC" w:rsidRDefault="00CF0754">
            <w:pPr>
              <w:pStyle w:val="TableParagraph"/>
              <w:spacing w:before="28"/>
              <w:rPr>
                <w:sz w:val="20"/>
              </w:rPr>
            </w:pPr>
            <w:r w:rsidRPr="00150EDC">
              <w:rPr>
                <w:sz w:val="20"/>
              </w:rPr>
              <w:t>Procuring</w:t>
            </w:r>
            <w:r w:rsidRPr="00150EDC">
              <w:rPr>
                <w:spacing w:val="-4"/>
                <w:sz w:val="20"/>
              </w:rPr>
              <w:t xml:space="preserve"> </w:t>
            </w:r>
            <w:r w:rsidRPr="00150EDC">
              <w:rPr>
                <w:sz w:val="20"/>
              </w:rPr>
              <w:t>others</w:t>
            </w:r>
            <w:r w:rsidRPr="00150EDC">
              <w:rPr>
                <w:spacing w:val="-2"/>
                <w:sz w:val="20"/>
              </w:rPr>
              <w:t xml:space="preserve"> </w:t>
            </w:r>
            <w:r w:rsidRPr="00150EDC">
              <w:rPr>
                <w:sz w:val="20"/>
              </w:rPr>
              <w:t>to</w:t>
            </w:r>
            <w:r w:rsidRPr="00150EDC">
              <w:rPr>
                <w:spacing w:val="-7"/>
                <w:sz w:val="20"/>
              </w:rPr>
              <w:t xml:space="preserve"> </w:t>
            </w:r>
            <w:r w:rsidRPr="00150EDC">
              <w:rPr>
                <w:sz w:val="20"/>
              </w:rPr>
              <w:t>commit</w:t>
            </w:r>
            <w:r w:rsidRPr="00150EDC">
              <w:rPr>
                <w:spacing w:val="-7"/>
                <w:sz w:val="20"/>
              </w:rPr>
              <w:t xml:space="preserve"> </w:t>
            </w:r>
            <w:r w:rsidRPr="00150EDC">
              <w:rPr>
                <w:sz w:val="20"/>
              </w:rPr>
              <w:t>homosexual</w:t>
            </w:r>
            <w:r w:rsidRPr="00150EDC">
              <w:rPr>
                <w:spacing w:val="-5"/>
                <w:sz w:val="20"/>
              </w:rPr>
              <w:t xml:space="preserve"> </w:t>
            </w:r>
            <w:r w:rsidRPr="00150EDC">
              <w:rPr>
                <w:spacing w:val="-4"/>
                <w:sz w:val="20"/>
              </w:rPr>
              <w:t>acts</w:t>
            </w:r>
          </w:p>
        </w:tc>
      </w:tr>
      <w:tr w:rsidR="004569EE" w:rsidRPr="007D3144" w14:paraId="38D77921" w14:textId="77777777">
        <w:trPr>
          <w:trHeight w:val="255"/>
        </w:trPr>
        <w:tc>
          <w:tcPr>
            <w:tcW w:w="6517" w:type="dxa"/>
          </w:tcPr>
          <w:p w14:paraId="24633BF7"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3"/>
                <w:sz w:val="20"/>
              </w:rPr>
              <w:t xml:space="preserve"> </w:t>
            </w:r>
            <w:r w:rsidRPr="00150EDC">
              <w:rPr>
                <w:sz w:val="20"/>
              </w:rPr>
              <w:t>Act</w:t>
            </w:r>
            <w:r w:rsidRPr="00150EDC">
              <w:rPr>
                <w:spacing w:val="-6"/>
                <w:sz w:val="20"/>
              </w:rPr>
              <w:t xml:space="preserve"> </w:t>
            </w:r>
            <w:r w:rsidRPr="00150EDC">
              <w:rPr>
                <w:sz w:val="20"/>
              </w:rPr>
              <w:t>1967,</w:t>
            </w:r>
            <w:r w:rsidRPr="00150EDC">
              <w:rPr>
                <w:spacing w:val="-8"/>
                <w:sz w:val="20"/>
              </w:rPr>
              <w:t xml:space="preserve"> </w:t>
            </w:r>
            <w:r w:rsidRPr="00150EDC">
              <w:rPr>
                <w:spacing w:val="-5"/>
                <w:sz w:val="20"/>
              </w:rPr>
              <w:t>s5</w:t>
            </w:r>
          </w:p>
        </w:tc>
        <w:tc>
          <w:tcPr>
            <w:tcW w:w="7427" w:type="dxa"/>
          </w:tcPr>
          <w:p w14:paraId="0E0033FF" w14:textId="77777777" w:rsidR="004C7180" w:rsidRPr="00150EDC" w:rsidRDefault="00CF0754">
            <w:pPr>
              <w:pStyle w:val="TableParagraph"/>
              <w:rPr>
                <w:sz w:val="20"/>
              </w:rPr>
            </w:pPr>
            <w:r w:rsidRPr="00150EDC">
              <w:rPr>
                <w:sz w:val="20"/>
              </w:rPr>
              <w:t>Living</w:t>
            </w:r>
            <w:r w:rsidRPr="00150EDC">
              <w:rPr>
                <w:spacing w:val="-6"/>
                <w:sz w:val="20"/>
              </w:rPr>
              <w:t xml:space="preserve"> </w:t>
            </w:r>
            <w:r w:rsidRPr="00150EDC">
              <w:rPr>
                <w:sz w:val="20"/>
              </w:rPr>
              <w:t>on</w:t>
            </w:r>
            <w:r w:rsidRPr="00150EDC">
              <w:rPr>
                <w:spacing w:val="-5"/>
                <w:sz w:val="20"/>
              </w:rPr>
              <w:t xml:space="preserve"> </w:t>
            </w:r>
            <w:r w:rsidRPr="00150EDC">
              <w:rPr>
                <w:sz w:val="20"/>
              </w:rPr>
              <w:t>earnings</w:t>
            </w:r>
            <w:r w:rsidRPr="00150EDC">
              <w:rPr>
                <w:spacing w:val="-5"/>
                <w:sz w:val="20"/>
              </w:rPr>
              <w:t xml:space="preserve"> </w:t>
            </w:r>
            <w:r w:rsidRPr="00150EDC">
              <w:rPr>
                <w:sz w:val="20"/>
              </w:rPr>
              <w:t>of male</w:t>
            </w:r>
            <w:r w:rsidRPr="00150EDC">
              <w:rPr>
                <w:spacing w:val="-5"/>
                <w:sz w:val="20"/>
              </w:rPr>
              <w:t xml:space="preserve"> </w:t>
            </w:r>
            <w:r w:rsidRPr="00150EDC">
              <w:rPr>
                <w:spacing w:val="-2"/>
                <w:sz w:val="20"/>
              </w:rPr>
              <w:t>prostitution</w:t>
            </w:r>
          </w:p>
        </w:tc>
      </w:tr>
      <w:tr w:rsidR="004569EE" w:rsidRPr="007D3144" w14:paraId="3A8D9EDD" w14:textId="77777777">
        <w:trPr>
          <w:trHeight w:val="255"/>
        </w:trPr>
        <w:tc>
          <w:tcPr>
            <w:tcW w:w="6517" w:type="dxa"/>
          </w:tcPr>
          <w:p w14:paraId="3D4EC95F" w14:textId="77777777" w:rsidR="004C7180" w:rsidRPr="00150EDC" w:rsidRDefault="00CF0754">
            <w:pPr>
              <w:pStyle w:val="TableParagraph"/>
              <w:rPr>
                <w:sz w:val="20"/>
              </w:rPr>
            </w:pPr>
            <w:r w:rsidRPr="00150EDC">
              <w:rPr>
                <w:sz w:val="20"/>
              </w:rPr>
              <w:t>Sexual</w:t>
            </w:r>
            <w:r w:rsidRPr="00150EDC">
              <w:rPr>
                <w:spacing w:val="-5"/>
                <w:sz w:val="20"/>
              </w:rPr>
              <w:t xml:space="preserve"> </w:t>
            </w:r>
            <w:r w:rsidRPr="00150EDC">
              <w:rPr>
                <w:sz w:val="20"/>
              </w:rPr>
              <w:t>Offences</w:t>
            </w:r>
            <w:r w:rsidRPr="00150EDC">
              <w:rPr>
                <w:spacing w:val="-1"/>
                <w:sz w:val="20"/>
              </w:rPr>
              <w:t xml:space="preserve"> </w:t>
            </w:r>
            <w:r w:rsidRPr="00150EDC">
              <w:rPr>
                <w:sz w:val="20"/>
              </w:rPr>
              <w:t>Act</w:t>
            </w:r>
            <w:r w:rsidRPr="00150EDC">
              <w:rPr>
                <w:spacing w:val="-5"/>
                <w:sz w:val="20"/>
              </w:rPr>
              <w:t xml:space="preserve"> </w:t>
            </w:r>
            <w:r w:rsidRPr="00150EDC">
              <w:rPr>
                <w:sz w:val="20"/>
              </w:rPr>
              <w:t>1992</w:t>
            </w:r>
            <w:r w:rsidRPr="00150EDC">
              <w:rPr>
                <w:spacing w:val="-7"/>
                <w:sz w:val="20"/>
              </w:rPr>
              <w:t xml:space="preserve"> </w:t>
            </w:r>
            <w:r w:rsidRPr="00150EDC">
              <w:rPr>
                <w:sz w:val="20"/>
              </w:rPr>
              <w:t>(Isle</w:t>
            </w:r>
            <w:r w:rsidRPr="00150EDC">
              <w:rPr>
                <w:spacing w:val="-1"/>
                <w:sz w:val="20"/>
              </w:rPr>
              <w:t xml:space="preserve"> </w:t>
            </w:r>
            <w:r w:rsidRPr="00150EDC">
              <w:rPr>
                <w:sz w:val="20"/>
              </w:rPr>
              <w:t>of</w:t>
            </w:r>
            <w:r w:rsidRPr="00150EDC">
              <w:rPr>
                <w:spacing w:val="-7"/>
                <w:sz w:val="20"/>
              </w:rPr>
              <w:t xml:space="preserve"> </w:t>
            </w:r>
            <w:r w:rsidRPr="00150EDC">
              <w:rPr>
                <w:sz w:val="20"/>
              </w:rPr>
              <w:t>Man),</w:t>
            </w:r>
            <w:r w:rsidRPr="00150EDC">
              <w:rPr>
                <w:spacing w:val="-6"/>
                <w:sz w:val="20"/>
              </w:rPr>
              <w:t xml:space="preserve"> </w:t>
            </w:r>
            <w:r w:rsidRPr="00150EDC">
              <w:rPr>
                <w:spacing w:val="-5"/>
                <w:sz w:val="20"/>
              </w:rPr>
              <w:t>s1</w:t>
            </w:r>
          </w:p>
        </w:tc>
        <w:tc>
          <w:tcPr>
            <w:tcW w:w="7427" w:type="dxa"/>
          </w:tcPr>
          <w:p w14:paraId="129007F3" w14:textId="77777777" w:rsidR="004C7180" w:rsidRPr="00150EDC" w:rsidRDefault="00CF0754">
            <w:pPr>
              <w:pStyle w:val="TableParagraph"/>
              <w:rPr>
                <w:sz w:val="20"/>
              </w:rPr>
            </w:pPr>
            <w:r w:rsidRPr="00150EDC">
              <w:rPr>
                <w:spacing w:val="-4"/>
                <w:sz w:val="20"/>
              </w:rPr>
              <w:t>Rape</w:t>
            </w:r>
          </w:p>
        </w:tc>
      </w:tr>
      <w:tr w:rsidR="004569EE" w:rsidRPr="007D3144" w14:paraId="1681F49B" w14:textId="77777777">
        <w:trPr>
          <w:trHeight w:val="255"/>
        </w:trPr>
        <w:tc>
          <w:tcPr>
            <w:tcW w:w="6517" w:type="dxa"/>
          </w:tcPr>
          <w:p w14:paraId="661456DB" w14:textId="77777777" w:rsidR="004C7180" w:rsidRPr="00150EDC" w:rsidRDefault="00CF0754">
            <w:pPr>
              <w:pStyle w:val="TableParagraph"/>
              <w:rPr>
                <w:sz w:val="20"/>
              </w:rPr>
            </w:pPr>
            <w:r w:rsidRPr="00150EDC">
              <w:rPr>
                <w:sz w:val="20"/>
              </w:rPr>
              <w:t>Sexual</w:t>
            </w:r>
            <w:r w:rsidRPr="00150EDC">
              <w:rPr>
                <w:spacing w:val="-5"/>
                <w:sz w:val="20"/>
              </w:rPr>
              <w:t xml:space="preserve"> </w:t>
            </w:r>
            <w:r w:rsidRPr="00150EDC">
              <w:rPr>
                <w:sz w:val="20"/>
              </w:rPr>
              <w:t>Offences</w:t>
            </w:r>
            <w:r w:rsidRPr="00150EDC">
              <w:rPr>
                <w:spacing w:val="-1"/>
                <w:sz w:val="20"/>
              </w:rPr>
              <w:t xml:space="preserve"> </w:t>
            </w:r>
            <w:r w:rsidRPr="00150EDC">
              <w:rPr>
                <w:sz w:val="20"/>
              </w:rPr>
              <w:t>Act</w:t>
            </w:r>
            <w:r w:rsidRPr="00150EDC">
              <w:rPr>
                <w:spacing w:val="-5"/>
                <w:sz w:val="20"/>
              </w:rPr>
              <w:t xml:space="preserve"> </w:t>
            </w:r>
            <w:r w:rsidRPr="00150EDC">
              <w:rPr>
                <w:sz w:val="20"/>
              </w:rPr>
              <w:t>1992</w:t>
            </w:r>
            <w:r w:rsidRPr="00150EDC">
              <w:rPr>
                <w:spacing w:val="-7"/>
                <w:sz w:val="20"/>
              </w:rPr>
              <w:t xml:space="preserve"> </w:t>
            </w:r>
            <w:r w:rsidRPr="00150EDC">
              <w:rPr>
                <w:sz w:val="20"/>
              </w:rPr>
              <w:t>(Isle</w:t>
            </w:r>
            <w:r w:rsidRPr="00150EDC">
              <w:rPr>
                <w:spacing w:val="-1"/>
                <w:sz w:val="20"/>
              </w:rPr>
              <w:t xml:space="preserve"> </w:t>
            </w:r>
            <w:r w:rsidRPr="00150EDC">
              <w:rPr>
                <w:sz w:val="20"/>
              </w:rPr>
              <w:t>of</w:t>
            </w:r>
            <w:r w:rsidRPr="00150EDC">
              <w:rPr>
                <w:spacing w:val="-7"/>
                <w:sz w:val="20"/>
              </w:rPr>
              <w:t xml:space="preserve"> </w:t>
            </w:r>
            <w:r w:rsidRPr="00150EDC">
              <w:rPr>
                <w:sz w:val="20"/>
              </w:rPr>
              <w:t>Man),</w:t>
            </w:r>
            <w:r w:rsidRPr="00150EDC">
              <w:rPr>
                <w:spacing w:val="-6"/>
                <w:sz w:val="20"/>
              </w:rPr>
              <w:t xml:space="preserve"> </w:t>
            </w:r>
            <w:r w:rsidRPr="00150EDC">
              <w:rPr>
                <w:spacing w:val="-5"/>
                <w:sz w:val="20"/>
              </w:rPr>
              <w:t>s11</w:t>
            </w:r>
          </w:p>
        </w:tc>
        <w:tc>
          <w:tcPr>
            <w:tcW w:w="7427" w:type="dxa"/>
          </w:tcPr>
          <w:p w14:paraId="3554EFD8" w14:textId="77777777" w:rsidR="004C7180" w:rsidRPr="00150EDC" w:rsidRDefault="00CF0754">
            <w:pPr>
              <w:pStyle w:val="TableParagraph"/>
              <w:rPr>
                <w:sz w:val="20"/>
              </w:rPr>
            </w:pPr>
            <w:r w:rsidRPr="00150EDC">
              <w:rPr>
                <w:sz w:val="20"/>
              </w:rPr>
              <w:t>Assault</w:t>
            </w:r>
            <w:r w:rsidRPr="00150EDC">
              <w:rPr>
                <w:spacing w:val="-5"/>
                <w:sz w:val="20"/>
              </w:rPr>
              <w:t xml:space="preserve"> </w:t>
            </w:r>
            <w:r w:rsidRPr="00150EDC">
              <w:rPr>
                <w:sz w:val="20"/>
              </w:rPr>
              <w:t>with</w:t>
            </w:r>
            <w:r w:rsidRPr="00150EDC">
              <w:rPr>
                <w:spacing w:val="-6"/>
                <w:sz w:val="20"/>
              </w:rPr>
              <w:t xml:space="preserve"> </w:t>
            </w:r>
            <w:r w:rsidRPr="00150EDC">
              <w:rPr>
                <w:sz w:val="20"/>
              </w:rPr>
              <w:t>intent to</w:t>
            </w:r>
            <w:r w:rsidRPr="00150EDC">
              <w:rPr>
                <w:spacing w:val="-6"/>
                <w:sz w:val="20"/>
              </w:rPr>
              <w:t xml:space="preserve"> </w:t>
            </w:r>
            <w:r w:rsidRPr="00150EDC">
              <w:rPr>
                <w:sz w:val="20"/>
              </w:rPr>
              <w:t>commit</w:t>
            </w:r>
            <w:r w:rsidRPr="00150EDC">
              <w:rPr>
                <w:spacing w:val="-4"/>
                <w:sz w:val="20"/>
              </w:rPr>
              <w:t xml:space="preserve"> </w:t>
            </w:r>
            <w:r w:rsidRPr="00150EDC">
              <w:rPr>
                <w:spacing w:val="-2"/>
                <w:sz w:val="20"/>
              </w:rPr>
              <w:t>buggery</w:t>
            </w:r>
          </w:p>
        </w:tc>
      </w:tr>
      <w:tr w:rsidR="004569EE" w:rsidRPr="007D3144" w14:paraId="7E573EB4" w14:textId="77777777">
        <w:trPr>
          <w:trHeight w:val="255"/>
        </w:trPr>
        <w:tc>
          <w:tcPr>
            <w:tcW w:w="6517" w:type="dxa"/>
          </w:tcPr>
          <w:p w14:paraId="1291AE8F" w14:textId="77777777" w:rsidR="004C7180" w:rsidRPr="00150EDC" w:rsidRDefault="00CF0754">
            <w:pPr>
              <w:pStyle w:val="TableParagraph"/>
              <w:rPr>
                <w:sz w:val="20"/>
              </w:rPr>
            </w:pPr>
            <w:r w:rsidRPr="00150EDC">
              <w:rPr>
                <w:sz w:val="20"/>
              </w:rPr>
              <w:t>Sexual</w:t>
            </w:r>
            <w:r w:rsidRPr="00150EDC">
              <w:rPr>
                <w:spacing w:val="-5"/>
                <w:sz w:val="20"/>
              </w:rPr>
              <w:t xml:space="preserve"> </w:t>
            </w:r>
            <w:r w:rsidRPr="00150EDC">
              <w:rPr>
                <w:sz w:val="20"/>
              </w:rPr>
              <w:t>Offences</w:t>
            </w:r>
            <w:r w:rsidRPr="00150EDC">
              <w:rPr>
                <w:spacing w:val="-1"/>
                <w:sz w:val="20"/>
              </w:rPr>
              <w:t xml:space="preserve"> </w:t>
            </w:r>
            <w:r w:rsidRPr="00150EDC">
              <w:rPr>
                <w:sz w:val="20"/>
              </w:rPr>
              <w:t>Act</w:t>
            </w:r>
            <w:r w:rsidRPr="00150EDC">
              <w:rPr>
                <w:spacing w:val="-5"/>
                <w:sz w:val="20"/>
              </w:rPr>
              <w:t xml:space="preserve"> </w:t>
            </w:r>
            <w:r w:rsidRPr="00150EDC">
              <w:rPr>
                <w:sz w:val="20"/>
              </w:rPr>
              <w:t>1992</w:t>
            </w:r>
            <w:r w:rsidRPr="00150EDC">
              <w:rPr>
                <w:spacing w:val="-7"/>
                <w:sz w:val="20"/>
              </w:rPr>
              <w:t xml:space="preserve"> </w:t>
            </w:r>
            <w:r w:rsidRPr="00150EDC">
              <w:rPr>
                <w:sz w:val="20"/>
              </w:rPr>
              <w:t>(Isle</w:t>
            </w:r>
            <w:r w:rsidRPr="00150EDC">
              <w:rPr>
                <w:spacing w:val="-1"/>
                <w:sz w:val="20"/>
              </w:rPr>
              <w:t xml:space="preserve"> </w:t>
            </w:r>
            <w:r w:rsidRPr="00150EDC">
              <w:rPr>
                <w:sz w:val="20"/>
              </w:rPr>
              <w:t>of</w:t>
            </w:r>
            <w:r w:rsidRPr="00150EDC">
              <w:rPr>
                <w:spacing w:val="-7"/>
                <w:sz w:val="20"/>
              </w:rPr>
              <w:t xml:space="preserve"> </w:t>
            </w:r>
            <w:r w:rsidRPr="00150EDC">
              <w:rPr>
                <w:sz w:val="20"/>
              </w:rPr>
              <w:t>Man),</w:t>
            </w:r>
            <w:r w:rsidRPr="00150EDC">
              <w:rPr>
                <w:spacing w:val="-6"/>
                <w:sz w:val="20"/>
              </w:rPr>
              <w:t xml:space="preserve"> </w:t>
            </w:r>
            <w:r w:rsidRPr="00150EDC">
              <w:rPr>
                <w:spacing w:val="-5"/>
                <w:sz w:val="20"/>
              </w:rPr>
              <w:t>s12</w:t>
            </w:r>
          </w:p>
        </w:tc>
        <w:tc>
          <w:tcPr>
            <w:tcW w:w="7427" w:type="dxa"/>
          </w:tcPr>
          <w:p w14:paraId="79E26C07" w14:textId="77777777" w:rsidR="004C7180" w:rsidRPr="00150EDC" w:rsidRDefault="00CF0754">
            <w:pPr>
              <w:pStyle w:val="TableParagraph"/>
              <w:rPr>
                <w:sz w:val="20"/>
              </w:rPr>
            </w:pPr>
            <w:r w:rsidRPr="00150EDC">
              <w:rPr>
                <w:spacing w:val="-2"/>
                <w:sz w:val="20"/>
              </w:rPr>
              <w:t>Bestiality</w:t>
            </w:r>
          </w:p>
        </w:tc>
      </w:tr>
      <w:tr w:rsidR="004569EE" w:rsidRPr="007D3144" w14:paraId="1C7B2E00" w14:textId="77777777">
        <w:trPr>
          <w:trHeight w:val="255"/>
        </w:trPr>
        <w:tc>
          <w:tcPr>
            <w:tcW w:w="6517" w:type="dxa"/>
          </w:tcPr>
          <w:p w14:paraId="740D6A76" w14:textId="77777777" w:rsidR="004C7180" w:rsidRPr="00150EDC" w:rsidRDefault="00CF0754">
            <w:pPr>
              <w:pStyle w:val="TableParagraph"/>
              <w:rPr>
                <w:sz w:val="20"/>
              </w:rPr>
            </w:pPr>
            <w:r w:rsidRPr="00150EDC">
              <w:rPr>
                <w:sz w:val="20"/>
              </w:rPr>
              <w:t>Sexual</w:t>
            </w:r>
            <w:r w:rsidRPr="00150EDC">
              <w:rPr>
                <w:spacing w:val="-5"/>
                <w:sz w:val="20"/>
              </w:rPr>
              <w:t xml:space="preserve"> </w:t>
            </w:r>
            <w:r w:rsidRPr="00150EDC">
              <w:rPr>
                <w:sz w:val="20"/>
              </w:rPr>
              <w:t>Offences</w:t>
            </w:r>
            <w:r w:rsidRPr="00150EDC">
              <w:rPr>
                <w:spacing w:val="-1"/>
                <w:sz w:val="20"/>
              </w:rPr>
              <w:t xml:space="preserve"> </w:t>
            </w:r>
            <w:r w:rsidRPr="00150EDC">
              <w:rPr>
                <w:sz w:val="20"/>
              </w:rPr>
              <w:t>Act</w:t>
            </w:r>
            <w:r w:rsidRPr="00150EDC">
              <w:rPr>
                <w:spacing w:val="-5"/>
                <w:sz w:val="20"/>
              </w:rPr>
              <w:t xml:space="preserve"> </w:t>
            </w:r>
            <w:r w:rsidRPr="00150EDC">
              <w:rPr>
                <w:sz w:val="20"/>
              </w:rPr>
              <w:t>1992</w:t>
            </w:r>
            <w:r w:rsidRPr="00150EDC">
              <w:rPr>
                <w:spacing w:val="-7"/>
                <w:sz w:val="20"/>
              </w:rPr>
              <w:t xml:space="preserve"> </w:t>
            </w:r>
            <w:r w:rsidRPr="00150EDC">
              <w:rPr>
                <w:sz w:val="20"/>
              </w:rPr>
              <w:t>(Isle</w:t>
            </w:r>
            <w:r w:rsidRPr="00150EDC">
              <w:rPr>
                <w:spacing w:val="-1"/>
                <w:sz w:val="20"/>
              </w:rPr>
              <w:t xml:space="preserve"> </w:t>
            </w:r>
            <w:r w:rsidRPr="00150EDC">
              <w:rPr>
                <w:sz w:val="20"/>
              </w:rPr>
              <w:t>of</w:t>
            </w:r>
            <w:r w:rsidRPr="00150EDC">
              <w:rPr>
                <w:spacing w:val="-7"/>
                <w:sz w:val="20"/>
              </w:rPr>
              <w:t xml:space="preserve"> </w:t>
            </w:r>
            <w:r w:rsidRPr="00150EDC">
              <w:rPr>
                <w:sz w:val="20"/>
              </w:rPr>
              <w:t>Man),</w:t>
            </w:r>
            <w:r w:rsidRPr="00150EDC">
              <w:rPr>
                <w:spacing w:val="-6"/>
                <w:sz w:val="20"/>
              </w:rPr>
              <w:t xml:space="preserve"> </w:t>
            </w:r>
            <w:r w:rsidRPr="00150EDC">
              <w:rPr>
                <w:spacing w:val="-5"/>
                <w:sz w:val="20"/>
              </w:rPr>
              <w:t>s13</w:t>
            </w:r>
          </w:p>
        </w:tc>
        <w:tc>
          <w:tcPr>
            <w:tcW w:w="7427" w:type="dxa"/>
          </w:tcPr>
          <w:p w14:paraId="41BA2070" w14:textId="77777777" w:rsidR="004C7180" w:rsidRPr="00150EDC" w:rsidRDefault="00CF0754">
            <w:pPr>
              <w:pStyle w:val="TableParagraph"/>
              <w:rPr>
                <w:sz w:val="20"/>
              </w:rPr>
            </w:pPr>
            <w:r w:rsidRPr="00150EDC">
              <w:rPr>
                <w:sz w:val="20"/>
              </w:rPr>
              <w:t>Indecent</w:t>
            </w:r>
            <w:r w:rsidRPr="00150EDC">
              <w:rPr>
                <w:spacing w:val="-8"/>
                <w:sz w:val="20"/>
              </w:rPr>
              <w:t xml:space="preserve"> </w:t>
            </w:r>
            <w:r w:rsidRPr="00150EDC">
              <w:rPr>
                <w:spacing w:val="-2"/>
                <w:sz w:val="20"/>
              </w:rPr>
              <w:t>assault</w:t>
            </w:r>
          </w:p>
        </w:tc>
      </w:tr>
      <w:tr w:rsidR="004569EE" w:rsidRPr="007D3144" w14:paraId="522628AE" w14:textId="77777777">
        <w:trPr>
          <w:trHeight w:val="255"/>
        </w:trPr>
        <w:tc>
          <w:tcPr>
            <w:tcW w:w="6517" w:type="dxa"/>
          </w:tcPr>
          <w:p w14:paraId="3CA06A27" w14:textId="77777777" w:rsidR="004C7180" w:rsidRPr="00150EDC" w:rsidRDefault="00CF0754">
            <w:pPr>
              <w:pStyle w:val="TableParagraph"/>
              <w:rPr>
                <w:sz w:val="20"/>
              </w:rPr>
            </w:pPr>
            <w:r w:rsidRPr="00150EDC">
              <w:rPr>
                <w:sz w:val="20"/>
              </w:rPr>
              <w:t>Sexual</w:t>
            </w:r>
            <w:r w:rsidRPr="00150EDC">
              <w:rPr>
                <w:spacing w:val="-5"/>
                <w:sz w:val="20"/>
              </w:rPr>
              <w:t xml:space="preserve"> </w:t>
            </w:r>
            <w:r w:rsidRPr="00150EDC">
              <w:rPr>
                <w:sz w:val="20"/>
              </w:rPr>
              <w:t>Offences</w:t>
            </w:r>
            <w:r w:rsidRPr="00150EDC">
              <w:rPr>
                <w:spacing w:val="-1"/>
                <w:sz w:val="20"/>
              </w:rPr>
              <w:t xml:space="preserve"> </w:t>
            </w:r>
            <w:r w:rsidRPr="00150EDC">
              <w:rPr>
                <w:sz w:val="20"/>
              </w:rPr>
              <w:t>Act</w:t>
            </w:r>
            <w:r w:rsidRPr="00150EDC">
              <w:rPr>
                <w:spacing w:val="-5"/>
                <w:sz w:val="20"/>
              </w:rPr>
              <w:t xml:space="preserve"> </w:t>
            </w:r>
            <w:r w:rsidRPr="00150EDC">
              <w:rPr>
                <w:sz w:val="20"/>
              </w:rPr>
              <w:t>1992</w:t>
            </w:r>
            <w:r w:rsidRPr="00150EDC">
              <w:rPr>
                <w:spacing w:val="-7"/>
                <w:sz w:val="20"/>
              </w:rPr>
              <w:t xml:space="preserve"> </w:t>
            </w:r>
            <w:r w:rsidRPr="00150EDC">
              <w:rPr>
                <w:sz w:val="20"/>
              </w:rPr>
              <w:t>(Isle</w:t>
            </w:r>
            <w:r w:rsidRPr="00150EDC">
              <w:rPr>
                <w:spacing w:val="-1"/>
                <w:sz w:val="20"/>
              </w:rPr>
              <w:t xml:space="preserve"> </w:t>
            </w:r>
            <w:r w:rsidRPr="00150EDC">
              <w:rPr>
                <w:sz w:val="20"/>
              </w:rPr>
              <w:t>of</w:t>
            </w:r>
            <w:r w:rsidRPr="00150EDC">
              <w:rPr>
                <w:spacing w:val="-7"/>
                <w:sz w:val="20"/>
              </w:rPr>
              <w:t xml:space="preserve"> </w:t>
            </w:r>
            <w:r w:rsidRPr="00150EDC">
              <w:rPr>
                <w:sz w:val="20"/>
              </w:rPr>
              <w:t>Man),</w:t>
            </w:r>
            <w:r w:rsidRPr="00150EDC">
              <w:rPr>
                <w:spacing w:val="-6"/>
                <w:sz w:val="20"/>
              </w:rPr>
              <w:t xml:space="preserve"> </w:t>
            </w:r>
            <w:r w:rsidRPr="00150EDC">
              <w:rPr>
                <w:spacing w:val="-5"/>
                <w:sz w:val="20"/>
              </w:rPr>
              <w:t>s14</w:t>
            </w:r>
          </w:p>
        </w:tc>
        <w:tc>
          <w:tcPr>
            <w:tcW w:w="7427" w:type="dxa"/>
          </w:tcPr>
          <w:p w14:paraId="71151DD3" w14:textId="77777777" w:rsidR="004C7180" w:rsidRPr="00150EDC" w:rsidRDefault="00CF0754">
            <w:pPr>
              <w:pStyle w:val="TableParagraph"/>
              <w:rPr>
                <w:sz w:val="20"/>
              </w:rPr>
            </w:pPr>
            <w:r w:rsidRPr="00150EDC">
              <w:rPr>
                <w:sz w:val="20"/>
              </w:rPr>
              <w:t>Gross</w:t>
            </w:r>
            <w:r w:rsidRPr="00150EDC">
              <w:rPr>
                <w:spacing w:val="-5"/>
                <w:sz w:val="20"/>
              </w:rPr>
              <w:t xml:space="preserve"> </w:t>
            </w:r>
            <w:r w:rsidRPr="00150EDC">
              <w:rPr>
                <w:sz w:val="20"/>
              </w:rPr>
              <w:t>indecency</w:t>
            </w:r>
            <w:r w:rsidRPr="00150EDC">
              <w:rPr>
                <w:spacing w:val="-5"/>
                <w:sz w:val="20"/>
              </w:rPr>
              <w:t xml:space="preserve"> </w:t>
            </w:r>
            <w:r w:rsidRPr="00150EDC">
              <w:rPr>
                <w:sz w:val="20"/>
              </w:rPr>
              <w:t>with</w:t>
            </w:r>
            <w:r w:rsidRPr="00150EDC">
              <w:rPr>
                <w:spacing w:val="-2"/>
                <w:sz w:val="20"/>
              </w:rPr>
              <w:t xml:space="preserve"> </w:t>
            </w:r>
            <w:r w:rsidRPr="00150EDC">
              <w:rPr>
                <w:sz w:val="20"/>
              </w:rPr>
              <w:t>person</w:t>
            </w:r>
            <w:r w:rsidRPr="00150EDC">
              <w:rPr>
                <w:spacing w:val="-6"/>
                <w:sz w:val="20"/>
              </w:rPr>
              <w:t xml:space="preserve"> </w:t>
            </w:r>
            <w:r w:rsidRPr="00150EDC">
              <w:rPr>
                <w:sz w:val="20"/>
              </w:rPr>
              <w:t>under</w:t>
            </w:r>
            <w:r w:rsidRPr="00150EDC">
              <w:rPr>
                <w:spacing w:val="-5"/>
                <w:sz w:val="20"/>
              </w:rPr>
              <w:t xml:space="preserve"> 16</w:t>
            </w:r>
          </w:p>
        </w:tc>
      </w:tr>
      <w:tr w:rsidR="004569EE" w:rsidRPr="007D3144" w14:paraId="5E6460E3" w14:textId="77777777">
        <w:trPr>
          <w:trHeight w:val="255"/>
        </w:trPr>
        <w:tc>
          <w:tcPr>
            <w:tcW w:w="6517" w:type="dxa"/>
          </w:tcPr>
          <w:p w14:paraId="1CF36CF6" w14:textId="77777777" w:rsidR="004C7180" w:rsidRPr="00150EDC" w:rsidRDefault="00CF0754">
            <w:pPr>
              <w:pStyle w:val="TableParagraph"/>
              <w:rPr>
                <w:sz w:val="20"/>
              </w:rPr>
            </w:pPr>
            <w:r w:rsidRPr="00150EDC">
              <w:rPr>
                <w:sz w:val="20"/>
              </w:rPr>
              <w:t>Sexual</w:t>
            </w:r>
            <w:r w:rsidRPr="00150EDC">
              <w:rPr>
                <w:spacing w:val="-5"/>
                <w:sz w:val="20"/>
              </w:rPr>
              <w:t xml:space="preserve"> </w:t>
            </w:r>
            <w:r w:rsidRPr="00150EDC">
              <w:rPr>
                <w:sz w:val="20"/>
              </w:rPr>
              <w:t>Offences</w:t>
            </w:r>
            <w:r w:rsidRPr="00150EDC">
              <w:rPr>
                <w:spacing w:val="-1"/>
                <w:sz w:val="20"/>
              </w:rPr>
              <w:t xml:space="preserve"> </w:t>
            </w:r>
            <w:r w:rsidRPr="00150EDC">
              <w:rPr>
                <w:sz w:val="20"/>
              </w:rPr>
              <w:t>Act</w:t>
            </w:r>
            <w:r w:rsidRPr="00150EDC">
              <w:rPr>
                <w:spacing w:val="-5"/>
                <w:sz w:val="20"/>
              </w:rPr>
              <w:t xml:space="preserve"> </w:t>
            </w:r>
            <w:r w:rsidRPr="00150EDC">
              <w:rPr>
                <w:sz w:val="20"/>
              </w:rPr>
              <w:t>1992</w:t>
            </w:r>
            <w:r w:rsidRPr="00150EDC">
              <w:rPr>
                <w:spacing w:val="-7"/>
                <w:sz w:val="20"/>
              </w:rPr>
              <w:t xml:space="preserve"> </w:t>
            </w:r>
            <w:r w:rsidRPr="00150EDC">
              <w:rPr>
                <w:sz w:val="20"/>
              </w:rPr>
              <w:t>(Isle</w:t>
            </w:r>
            <w:r w:rsidRPr="00150EDC">
              <w:rPr>
                <w:spacing w:val="-1"/>
                <w:sz w:val="20"/>
              </w:rPr>
              <w:t xml:space="preserve"> </w:t>
            </w:r>
            <w:r w:rsidRPr="00150EDC">
              <w:rPr>
                <w:sz w:val="20"/>
              </w:rPr>
              <w:t>of</w:t>
            </w:r>
            <w:r w:rsidRPr="00150EDC">
              <w:rPr>
                <w:spacing w:val="-7"/>
                <w:sz w:val="20"/>
              </w:rPr>
              <w:t xml:space="preserve"> </w:t>
            </w:r>
            <w:r w:rsidRPr="00150EDC">
              <w:rPr>
                <w:sz w:val="20"/>
              </w:rPr>
              <w:t>Man),</w:t>
            </w:r>
            <w:r w:rsidRPr="00150EDC">
              <w:rPr>
                <w:spacing w:val="-6"/>
                <w:sz w:val="20"/>
              </w:rPr>
              <w:t xml:space="preserve"> </w:t>
            </w:r>
            <w:r w:rsidRPr="00150EDC">
              <w:rPr>
                <w:spacing w:val="-5"/>
                <w:sz w:val="20"/>
              </w:rPr>
              <w:t>s15</w:t>
            </w:r>
          </w:p>
        </w:tc>
        <w:tc>
          <w:tcPr>
            <w:tcW w:w="7427" w:type="dxa"/>
          </w:tcPr>
          <w:p w14:paraId="41A7D35D" w14:textId="77777777" w:rsidR="004C7180" w:rsidRPr="00150EDC" w:rsidRDefault="00CF0754">
            <w:pPr>
              <w:pStyle w:val="TableParagraph"/>
              <w:rPr>
                <w:sz w:val="20"/>
              </w:rPr>
            </w:pPr>
            <w:r w:rsidRPr="00150EDC">
              <w:rPr>
                <w:sz w:val="20"/>
              </w:rPr>
              <w:t>Abduction</w:t>
            </w:r>
            <w:r w:rsidRPr="00150EDC">
              <w:rPr>
                <w:spacing w:val="-7"/>
                <w:sz w:val="20"/>
              </w:rPr>
              <w:t xml:space="preserve"> </w:t>
            </w:r>
            <w:r w:rsidRPr="00150EDC">
              <w:rPr>
                <w:sz w:val="20"/>
              </w:rPr>
              <w:t>by</w:t>
            </w:r>
            <w:r w:rsidRPr="00150EDC">
              <w:rPr>
                <w:spacing w:val="-6"/>
                <w:sz w:val="20"/>
              </w:rPr>
              <w:t xml:space="preserve"> </w:t>
            </w:r>
            <w:r w:rsidRPr="00150EDC">
              <w:rPr>
                <w:spacing w:val="-2"/>
                <w:sz w:val="20"/>
              </w:rPr>
              <w:t>force</w:t>
            </w:r>
          </w:p>
        </w:tc>
      </w:tr>
      <w:tr w:rsidR="004569EE" w:rsidRPr="007D3144" w14:paraId="4566A425" w14:textId="77777777">
        <w:trPr>
          <w:trHeight w:val="255"/>
        </w:trPr>
        <w:tc>
          <w:tcPr>
            <w:tcW w:w="6517" w:type="dxa"/>
          </w:tcPr>
          <w:p w14:paraId="4BE5D6F4" w14:textId="77777777" w:rsidR="004C7180" w:rsidRPr="00150EDC" w:rsidRDefault="00CF0754">
            <w:pPr>
              <w:pStyle w:val="TableParagraph"/>
              <w:rPr>
                <w:sz w:val="20"/>
              </w:rPr>
            </w:pPr>
            <w:r w:rsidRPr="00150EDC">
              <w:rPr>
                <w:sz w:val="20"/>
              </w:rPr>
              <w:t>Sexual</w:t>
            </w:r>
            <w:r w:rsidRPr="00150EDC">
              <w:rPr>
                <w:spacing w:val="-5"/>
                <w:sz w:val="20"/>
              </w:rPr>
              <w:t xml:space="preserve"> </w:t>
            </w:r>
            <w:r w:rsidRPr="00150EDC">
              <w:rPr>
                <w:sz w:val="20"/>
              </w:rPr>
              <w:t>Offences</w:t>
            </w:r>
            <w:r w:rsidRPr="00150EDC">
              <w:rPr>
                <w:spacing w:val="-1"/>
                <w:sz w:val="20"/>
              </w:rPr>
              <w:t xml:space="preserve"> </w:t>
            </w:r>
            <w:r w:rsidRPr="00150EDC">
              <w:rPr>
                <w:sz w:val="20"/>
              </w:rPr>
              <w:t>Act</w:t>
            </w:r>
            <w:r w:rsidRPr="00150EDC">
              <w:rPr>
                <w:spacing w:val="-5"/>
                <w:sz w:val="20"/>
              </w:rPr>
              <w:t xml:space="preserve"> </w:t>
            </w:r>
            <w:r w:rsidRPr="00150EDC">
              <w:rPr>
                <w:sz w:val="20"/>
              </w:rPr>
              <w:t>1992</w:t>
            </w:r>
            <w:r w:rsidRPr="00150EDC">
              <w:rPr>
                <w:spacing w:val="-7"/>
                <w:sz w:val="20"/>
              </w:rPr>
              <w:t xml:space="preserve"> </w:t>
            </w:r>
            <w:r w:rsidRPr="00150EDC">
              <w:rPr>
                <w:sz w:val="20"/>
              </w:rPr>
              <w:t>(Isle</w:t>
            </w:r>
            <w:r w:rsidRPr="00150EDC">
              <w:rPr>
                <w:spacing w:val="-1"/>
                <w:sz w:val="20"/>
              </w:rPr>
              <w:t xml:space="preserve"> </w:t>
            </w:r>
            <w:r w:rsidRPr="00150EDC">
              <w:rPr>
                <w:sz w:val="20"/>
              </w:rPr>
              <w:t>of</w:t>
            </w:r>
            <w:r w:rsidRPr="00150EDC">
              <w:rPr>
                <w:spacing w:val="-7"/>
                <w:sz w:val="20"/>
              </w:rPr>
              <w:t xml:space="preserve"> </w:t>
            </w:r>
            <w:r w:rsidRPr="00150EDC">
              <w:rPr>
                <w:sz w:val="20"/>
              </w:rPr>
              <w:t>Man),</w:t>
            </w:r>
            <w:r w:rsidRPr="00150EDC">
              <w:rPr>
                <w:spacing w:val="-6"/>
                <w:sz w:val="20"/>
              </w:rPr>
              <w:t xml:space="preserve"> </w:t>
            </w:r>
            <w:r w:rsidRPr="00150EDC">
              <w:rPr>
                <w:spacing w:val="-5"/>
                <w:sz w:val="20"/>
              </w:rPr>
              <w:t>s16</w:t>
            </w:r>
          </w:p>
        </w:tc>
        <w:tc>
          <w:tcPr>
            <w:tcW w:w="7427" w:type="dxa"/>
          </w:tcPr>
          <w:p w14:paraId="4B743D76" w14:textId="77777777" w:rsidR="004C7180" w:rsidRPr="00150EDC" w:rsidRDefault="00CF0754">
            <w:pPr>
              <w:pStyle w:val="TableParagraph"/>
              <w:rPr>
                <w:sz w:val="20"/>
              </w:rPr>
            </w:pPr>
            <w:r w:rsidRPr="00150EDC">
              <w:rPr>
                <w:sz w:val="20"/>
              </w:rPr>
              <w:t>Abducting</w:t>
            </w:r>
            <w:r w:rsidRPr="00150EDC">
              <w:rPr>
                <w:spacing w:val="-7"/>
                <w:sz w:val="20"/>
              </w:rPr>
              <w:t xml:space="preserve"> </w:t>
            </w:r>
            <w:r w:rsidRPr="00150EDC">
              <w:rPr>
                <w:sz w:val="20"/>
              </w:rPr>
              <w:t>woman</w:t>
            </w:r>
            <w:r w:rsidRPr="00150EDC">
              <w:rPr>
                <w:spacing w:val="-7"/>
                <w:sz w:val="20"/>
              </w:rPr>
              <w:t xml:space="preserve"> </w:t>
            </w:r>
            <w:r w:rsidRPr="00150EDC">
              <w:rPr>
                <w:spacing w:val="-2"/>
                <w:sz w:val="20"/>
              </w:rPr>
              <w:t>defective</w:t>
            </w:r>
          </w:p>
        </w:tc>
      </w:tr>
      <w:tr w:rsidR="004569EE" w:rsidRPr="007D3144" w14:paraId="0B3E6770" w14:textId="77777777">
        <w:trPr>
          <w:trHeight w:val="255"/>
        </w:trPr>
        <w:tc>
          <w:tcPr>
            <w:tcW w:w="6517" w:type="dxa"/>
          </w:tcPr>
          <w:p w14:paraId="0DB3F5D6" w14:textId="77777777" w:rsidR="004C7180" w:rsidRPr="00150EDC" w:rsidRDefault="00CF0754">
            <w:pPr>
              <w:pStyle w:val="TableParagraph"/>
              <w:spacing w:before="28"/>
              <w:rPr>
                <w:sz w:val="20"/>
              </w:rPr>
            </w:pPr>
            <w:r w:rsidRPr="00150EDC">
              <w:rPr>
                <w:sz w:val="20"/>
              </w:rPr>
              <w:t>Sexual</w:t>
            </w:r>
            <w:r w:rsidRPr="00150EDC">
              <w:rPr>
                <w:spacing w:val="-5"/>
                <w:sz w:val="20"/>
              </w:rPr>
              <w:t xml:space="preserve"> </w:t>
            </w:r>
            <w:r w:rsidRPr="00150EDC">
              <w:rPr>
                <w:sz w:val="20"/>
              </w:rPr>
              <w:t>Offences</w:t>
            </w:r>
            <w:r w:rsidRPr="00150EDC">
              <w:rPr>
                <w:spacing w:val="-1"/>
                <w:sz w:val="20"/>
              </w:rPr>
              <w:t xml:space="preserve"> </w:t>
            </w:r>
            <w:r w:rsidRPr="00150EDC">
              <w:rPr>
                <w:sz w:val="20"/>
              </w:rPr>
              <w:t>Act</w:t>
            </w:r>
            <w:r w:rsidRPr="00150EDC">
              <w:rPr>
                <w:spacing w:val="-5"/>
                <w:sz w:val="20"/>
              </w:rPr>
              <w:t xml:space="preserve"> </w:t>
            </w:r>
            <w:r w:rsidRPr="00150EDC">
              <w:rPr>
                <w:sz w:val="20"/>
              </w:rPr>
              <w:t>1992</w:t>
            </w:r>
            <w:r w:rsidRPr="00150EDC">
              <w:rPr>
                <w:spacing w:val="-7"/>
                <w:sz w:val="20"/>
              </w:rPr>
              <w:t xml:space="preserve"> </w:t>
            </w:r>
            <w:r w:rsidRPr="00150EDC">
              <w:rPr>
                <w:sz w:val="20"/>
              </w:rPr>
              <w:t>(Isle</w:t>
            </w:r>
            <w:r w:rsidRPr="00150EDC">
              <w:rPr>
                <w:spacing w:val="-1"/>
                <w:sz w:val="20"/>
              </w:rPr>
              <w:t xml:space="preserve"> </w:t>
            </w:r>
            <w:r w:rsidRPr="00150EDC">
              <w:rPr>
                <w:sz w:val="20"/>
              </w:rPr>
              <w:t>of</w:t>
            </w:r>
            <w:r w:rsidRPr="00150EDC">
              <w:rPr>
                <w:spacing w:val="-7"/>
                <w:sz w:val="20"/>
              </w:rPr>
              <w:t xml:space="preserve"> </w:t>
            </w:r>
            <w:r w:rsidRPr="00150EDC">
              <w:rPr>
                <w:sz w:val="20"/>
              </w:rPr>
              <w:t>Man),</w:t>
            </w:r>
            <w:r w:rsidRPr="00150EDC">
              <w:rPr>
                <w:spacing w:val="-6"/>
                <w:sz w:val="20"/>
              </w:rPr>
              <w:t xml:space="preserve"> </w:t>
            </w:r>
            <w:r w:rsidRPr="00150EDC">
              <w:rPr>
                <w:spacing w:val="-5"/>
                <w:sz w:val="20"/>
              </w:rPr>
              <w:t>s17</w:t>
            </w:r>
          </w:p>
        </w:tc>
        <w:tc>
          <w:tcPr>
            <w:tcW w:w="7427" w:type="dxa"/>
          </w:tcPr>
          <w:p w14:paraId="4BEAD6C7" w14:textId="77777777" w:rsidR="004C7180" w:rsidRPr="00150EDC" w:rsidRDefault="00CF0754">
            <w:pPr>
              <w:pStyle w:val="TableParagraph"/>
              <w:spacing w:before="28"/>
              <w:rPr>
                <w:sz w:val="20"/>
              </w:rPr>
            </w:pPr>
            <w:r w:rsidRPr="00150EDC">
              <w:rPr>
                <w:sz w:val="20"/>
              </w:rPr>
              <w:t>Causing</w:t>
            </w:r>
            <w:r w:rsidRPr="00150EDC">
              <w:rPr>
                <w:spacing w:val="-11"/>
                <w:sz w:val="20"/>
              </w:rPr>
              <w:t xml:space="preserve"> </w:t>
            </w:r>
            <w:r w:rsidRPr="00150EDC">
              <w:rPr>
                <w:spacing w:val="-2"/>
                <w:sz w:val="20"/>
              </w:rPr>
              <w:t>prostitution</w:t>
            </w:r>
          </w:p>
        </w:tc>
      </w:tr>
      <w:tr w:rsidR="004569EE" w:rsidRPr="007D3144" w14:paraId="6C9A970A" w14:textId="77777777">
        <w:trPr>
          <w:trHeight w:val="255"/>
        </w:trPr>
        <w:tc>
          <w:tcPr>
            <w:tcW w:w="6517" w:type="dxa"/>
          </w:tcPr>
          <w:p w14:paraId="7412F0AD" w14:textId="77777777" w:rsidR="004C7180" w:rsidRPr="00150EDC" w:rsidRDefault="00CF0754">
            <w:pPr>
              <w:pStyle w:val="TableParagraph"/>
              <w:rPr>
                <w:sz w:val="20"/>
              </w:rPr>
            </w:pPr>
            <w:r w:rsidRPr="00150EDC">
              <w:rPr>
                <w:sz w:val="20"/>
              </w:rPr>
              <w:t>Sexual</w:t>
            </w:r>
            <w:r w:rsidRPr="00150EDC">
              <w:rPr>
                <w:spacing w:val="-5"/>
                <w:sz w:val="20"/>
              </w:rPr>
              <w:t xml:space="preserve"> </w:t>
            </w:r>
            <w:r w:rsidRPr="00150EDC">
              <w:rPr>
                <w:sz w:val="20"/>
              </w:rPr>
              <w:t>Offences</w:t>
            </w:r>
            <w:r w:rsidRPr="00150EDC">
              <w:rPr>
                <w:spacing w:val="-1"/>
                <w:sz w:val="20"/>
              </w:rPr>
              <w:t xml:space="preserve"> </w:t>
            </w:r>
            <w:r w:rsidRPr="00150EDC">
              <w:rPr>
                <w:sz w:val="20"/>
              </w:rPr>
              <w:t>Act</w:t>
            </w:r>
            <w:r w:rsidRPr="00150EDC">
              <w:rPr>
                <w:spacing w:val="-4"/>
                <w:sz w:val="20"/>
              </w:rPr>
              <w:t xml:space="preserve"> </w:t>
            </w:r>
            <w:r w:rsidRPr="00150EDC">
              <w:rPr>
                <w:sz w:val="20"/>
              </w:rPr>
              <w:t>1992</w:t>
            </w:r>
            <w:r w:rsidRPr="00150EDC">
              <w:rPr>
                <w:spacing w:val="-7"/>
                <w:sz w:val="20"/>
              </w:rPr>
              <w:t xml:space="preserve"> </w:t>
            </w:r>
            <w:r w:rsidRPr="00150EDC">
              <w:rPr>
                <w:sz w:val="20"/>
              </w:rPr>
              <w:t>(Isle</w:t>
            </w:r>
            <w:r w:rsidRPr="00150EDC">
              <w:rPr>
                <w:spacing w:val="-1"/>
                <w:sz w:val="20"/>
              </w:rPr>
              <w:t xml:space="preserve"> </w:t>
            </w:r>
            <w:r w:rsidRPr="00150EDC">
              <w:rPr>
                <w:sz w:val="20"/>
              </w:rPr>
              <w:t>of</w:t>
            </w:r>
            <w:r w:rsidRPr="00150EDC">
              <w:rPr>
                <w:spacing w:val="-7"/>
                <w:sz w:val="20"/>
              </w:rPr>
              <w:t xml:space="preserve"> </w:t>
            </w:r>
            <w:r w:rsidRPr="00150EDC">
              <w:rPr>
                <w:sz w:val="20"/>
              </w:rPr>
              <w:t>Man),</w:t>
            </w:r>
            <w:r w:rsidRPr="00150EDC">
              <w:rPr>
                <w:spacing w:val="-6"/>
                <w:sz w:val="20"/>
              </w:rPr>
              <w:t xml:space="preserve"> </w:t>
            </w:r>
            <w:r w:rsidRPr="00150EDC">
              <w:rPr>
                <w:spacing w:val="-5"/>
                <w:sz w:val="20"/>
              </w:rPr>
              <w:t>s18</w:t>
            </w:r>
          </w:p>
        </w:tc>
        <w:tc>
          <w:tcPr>
            <w:tcW w:w="7427" w:type="dxa"/>
          </w:tcPr>
          <w:p w14:paraId="15A81782" w14:textId="77777777" w:rsidR="004C7180" w:rsidRPr="00150EDC" w:rsidRDefault="00CF0754">
            <w:pPr>
              <w:pStyle w:val="TableParagraph"/>
              <w:rPr>
                <w:sz w:val="20"/>
              </w:rPr>
            </w:pPr>
            <w:r w:rsidRPr="00150EDC">
              <w:rPr>
                <w:sz w:val="20"/>
              </w:rPr>
              <w:t>Procurement</w:t>
            </w:r>
            <w:r w:rsidRPr="00150EDC">
              <w:rPr>
                <w:spacing w:val="-7"/>
                <w:sz w:val="20"/>
              </w:rPr>
              <w:t xml:space="preserve"> </w:t>
            </w:r>
            <w:r w:rsidRPr="00150EDC">
              <w:rPr>
                <w:sz w:val="20"/>
              </w:rPr>
              <w:t>of</w:t>
            </w:r>
            <w:r w:rsidRPr="00150EDC">
              <w:rPr>
                <w:spacing w:val="-2"/>
                <w:sz w:val="20"/>
              </w:rPr>
              <w:t xml:space="preserve"> </w:t>
            </w:r>
            <w:r w:rsidRPr="00150EDC">
              <w:rPr>
                <w:sz w:val="20"/>
              </w:rPr>
              <w:t>person</w:t>
            </w:r>
            <w:r w:rsidRPr="00150EDC">
              <w:rPr>
                <w:spacing w:val="-6"/>
                <w:sz w:val="20"/>
              </w:rPr>
              <w:t xml:space="preserve"> </w:t>
            </w:r>
            <w:r w:rsidRPr="00150EDC">
              <w:rPr>
                <w:sz w:val="20"/>
              </w:rPr>
              <w:t>under</w:t>
            </w:r>
            <w:r w:rsidRPr="00150EDC">
              <w:rPr>
                <w:spacing w:val="-3"/>
                <w:sz w:val="20"/>
              </w:rPr>
              <w:t xml:space="preserve"> </w:t>
            </w:r>
            <w:r w:rsidRPr="00150EDC">
              <w:rPr>
                <w:spacing w:val="-5"/>
                <w:sz w:val="20"/>
              </w:rPr>
              <w:t>18</w:t>
            </w:r>
          </w:p>
        </w:tc>
      </w:tr>
      <w:tr w:rsidR="004569EE" w:rsidRPr="007D3144" w14:paraId="6B325035" w14:textId="77777777">
        <w:trPr>
          <w:trHeight w:val="255"/>
        </w:trPr>
        <w:tc>
          <w:tcPr>
            <w:tcW w:w="6517" w:type="dxa"/>
          </w:tcPr>
          <w:p w14:paraId="01A1390C" w14:textId="77777777" w:rsidR="004C7180" w:rsidRPr="00150EDC" w:rsidRDefault="00CF0754">
            <w:pPr>
              <w:pStyle w:val="TableParagraph"/>
              <w:rPr>
                <w:sz w:val="20"/>
              </w:rPr>
            </w:pPr>
            <w:r w:rsidRPr="00150EDC">
              <w:rPr>
                <w:sz w:val="20"/>
              </w:rPr>
              <w:t>Sexual</w:t>
            </w:r>
            <w:r w:rsidRPr="00150EDC">
              <w:rPr>
                <w:spacing w:val="-5"/>
                <w:sz w:val="20"/>
              </w:rPr>
              <w:t xml:space="preserve"> </w:t>
            </w:r>
            <w:r w:rsidRPr="00150EDC">
              <w:rPr>
                <w:sz w:val="20"/>
              </w:rPr>
              <w:t>Offences</w:t>
            </w:r>
            <w:r w:rsidRPr="00150EDC">
              <w:rPr>
                <w:spacing w:val="-1"/>
                <w:sz w:val="20"/>
              </w:rPr>
              <w:t xml:space="preserve"> </w:t>
            </w:r>
            <w:r w:rsidRPr="00150EDC">
              <w:rPr>
                <w:sz w:val="20"/>
              </w:rPr>
              <w:t>Act</w:t>
            </w:r>
            <w:r w:rsidRPr="00150EDC">
              <w:rPr>
                <w:spacing w:val="-5"/>
                <w:sz w:val="20"/>
              </w:rPr>
              <w:t xml:space="preserve"> </w:t>
            </w:r>
            <w:r w:rsidRPr="00150EDC">
              <w:rPr>
                <w:sz w:val="20"/>
              </w:rPr>
              <w:t>1992</w:t>
            </w:r>
            <w:r w:rsidRPr="00150EDC">
              <w:rPr>
                <w:spacing w:val="-7"/>
                <w:sz w:val="20"/>
              </w:rPr>
              <w:t xml:space="preserve"> </w:t>
            </w:r>
            <w:r w:rsidRPr="00150EDC">
              <w:rPr>
                <w:sz w:val="20"/>
              </w:rPr>
              <w:t>(Isle</w:t>
            </w:r>
            <w:r w:rsidRPr="00150EDC">
              <w:rPr>
                <w:spacing w:val="-1"/>
                <w:sz w:val="20"/>
              </w:rPr>
              <w:t xml:space="preserve"> </w:t>
            </w:r>
            <w:r w:rsidRPr="00150EDC">
              <w:rPr>
                <w:sz w:val="20"/>
              </w:rPr>
              <w:t>of</w:t>
            </w:r>
            <w:r w:rsidRPr="00150EDC">
              <w:rPr>
                <w:spacing w:val="-7"/>
                <w:sz w:val="20"/>
              </w:rPr>
              <w:t xml:space="preserve"> </w:t>
            </w:r>
            <w:r w:rsidRPr="00150EDC">
              <w:rPr>
                <w:sz w:val="20"/>
              </w:rPr>
              <w:t>Man),</w:t>
            </w:r>
            <w:r w:rsidRPr="00150EDC">
              <w:rPr>
                <w:spacing w:val="-6"/>
                <w:sz w:val="20"/>
              </w:rPr>
              <w:t xml:space="preserve"> </w:t>
            </w:r>
            <w:r w:rsidRPr="00150EDC">
              <w:rPr>
                <w:spacing w:val="-5"/>
                <w:sz w:val="20"/>
              </w:rPr>
              <w:t>s19</w:t>
            </w:r>
          </w:p>
        </w:tc>
        <w:tc>
          <w:tcPr>
            <w:tcW w:w="7427" w:type="dxa"/>
          </w:tcPr>
          <w:p w14:paraId="21162FBE" w14:textId="77777777" w:rsidR="004C7180" w:rsidRPr="00150EDC" w:rsidRDefault="00CF0754">
            <w:pPr>
              <w:pStyle w:val="TableParagraph"/>
              <w:rPr>
                <w:sz w:val="20"/>
              </w:rPr>
            </w:pPr>
            <w:r w:rsidRPr="00150EDC">
              <w:rPr>
                <w:sz w:val="20"/>
              </w:rPr>
              <w:t>Procuring</w:t>
            </w:r>
            <w:r w:rsidRPr="00150EDC">
              <w:rPr>
                <w:spacing w:val="-8"/>
                <w:sz w:val="20"/>
              </w:rPr>
              <w:t xml:space="preserve"> </w:t>
            </w:r>
            <w:r w:rsidRPr="00150EDC">
              <w:rPr>
                <w:sz w:val="20"/>
              </w:rPr>
              <w:t>woman</w:t>
            </w:r>
            <w:r w:rsidRPr="00150EDC">
              <w:rPr>
                <w:spacing w:val="-3"/>
                <w:sz w:val="20"/>
              </w:rPr>
              <w:t xml:space="preserve"> </w:t>
            </w:r>
            <w:r w:rsidRPr="00150EDC">
              <w:rPr>
                <w:spacing w:val="-2"/>
                <w:sz w:val="20"/>
              </w:rPr>
              <w:t>defective</w:t>
            </w:r>
          </w:p>
        </w:tc>
      </w:tr>
      <w:tr w:rsidR="004569EE" w:rsidRPr="007D3144" w14:paraId="04FB2458" w14:textId="77777777">
        <w:trPr>
          <w:trHeight w:val="255"/>
        </w:trPr>
        <w:tc>
          <w:tcPr>
            <w:tcW w:w="6517" w:type="dxa"/>
          </w:tcPr>
          <w:p w14:paraId="043BF1D6" w14:textId="77777777" w:rsidR="004C7180" w:rsidRPr="00150EDC" w:rsidRDefault="00CF0754">
            <w:pPr>
              <w:pStyle w:val="TableParagraph"/>
              <w:rPr>
                <w:sz w:val="20"/>
              </w:rPr>
            </w:pPr>
            <w:r w:rsidRPr="00150EDC">
              <w:rPr>
                <w:sz w:val="20"/>
              </w:rPr>
              <w:t>Sexual</w:t>
            </w:r>
            <w:r w:rsidRPr="00150EDC">
              <w:rPr>
                <w:spacing w:val="-5"/>
                <w:sz w:val="20"/>
              </w:rPr>
              <w:t xml:space="preserve"> </w:t>
            </w:r>
            <w:r w:rsidRPr="00150EDC">
              <w:rPr>
                <w:sz w:val="20"/>
              </w:rPr>
              <w:t>Offences</w:t>
            </w:r>
            <w:r w:rsidRPr="00150EDC">
              <w:rPr>
                <w:spacing w:val="-1"/>
                <w:sz w:val="20"/>
              </w:rPr>
              <w:t xml:space="preserve"> </w:t>
            </w:r>
            <w:r w:rsidRPr="00150EDC">
              <w:rPr>
                <w:sz w:val="20"/>
              </w:rPr>
              <w:t>Act</w:t>
            </w:r>
            <w:r w:rsidRPr="00150EDC">
              <w:rPr>
                <w:spacing w:val="-5"/>
                <w:sz w:val="20"/>
              </w:rPr>
              <w:t xml:space="preserve"> </w:t>
            </w:r>
            <w:r w:rsidRPr="00150EDC">
              <w:rPr>
                <w:sz w:val="20"/>
              </w:rPr>
              <w:t>1992</w:t>
            </w:r>
            <w:r w:rsidRPr="00150EDC">
              <w:rPr>
                <w:spacing w:val="-7"/>
                <w:sz w:val="20"/>
              </w:rPr>
              <w:t xml:space="preserve"> </w:t>
            </w:r>
            <w:r w:rsidRPr="00150EDC">
              <w:rPr>
                <w:sz w:val="20"/>
              </w:rPr>
              <w:t>(Isle</w:t>
            </w:r>
            <w:r w:rsidRPr="00150EDC">
              <w:rPr>
                <w:spacing w:val="-1"/>
                <w:sz w:val="20"/>
              </w:rPr>
              <w:t xml:space="preserve"> </w:t>
            </w:r>
            <w:r w:rsidRPr="00150EDC">
              <w:rPr>
                <w:sz w:val="20"/>
              </w:rPr>
              <w:t>of</w:t>
            </w:r>
            <w:r w:rsidRPr="00150EDC">
              <w:rPr>
                <w:spacing w:val="-7"/>
                <w:sz w:val="20"/>
              </w:rPr>
              <w:t xml:space="preserve"> </w:t>
            </w:r>
            <w:r w:rsidRPr="00150EDC">
              <w:rPr>
                <w:sz w:val="20"/>
              </w:rPr>
              <w:t>Man),</w:t>
            </w:r>
            <w:r w:rsidRPr="00150EDC">
              <w:rPr>
                <w:spacing w:val="-6"/>
                <w:sz w:val="20"/>
              </w:rPr>
              <w:t xml:space="preserve"> </w:t>
            </w:r>
            <w:r w:rsidRPr="00150EDC">
              <w:rPr>
                <w:spacing w:val="-5"/>
                <w:sz w:val="20"/>
              </w:rPr>
              <w:t>s2</w:t>
            </w:r>
          </w:p>
        </w:tc>
        <w:tc>
          <w:tcPr>
            <w:tcW w:w="7427" w:type="dxa"/>
          </w:tcPr>
          <w:p w14:paraId="0AB96242" w14:textId="77777777" w:rsidR="004C7180" w:rsidRPr="00150EDC" w:rsidRDefault="00CF0754">
            <w:pPr>
              <w:pStyle w:val="TableParagraph"/>
              <w:rPr>
                <w:sz w:val="20"/>
              </w:rPr>
            </w:pPr>
            <w:r w:rsidRPr="00150EDC">
              <w:rPr>
                <w:sz w:val="20"/>
              </w:rPr>
              <w:t>Procurement</w:t>
            </w:r>
            <w:r w:rsidRPr="00150EDC">
              <w:rPr>
                <w:spacing w:val="-7"/>
                <w:sz w:val="20"/>
              </w:rPr>
              <w:t xml:space="preserve"> </w:t>
            </w:r>
            <w:r w:rsidRPr="00150EDC">
              <w:rPr>
                <w:sz w:val="20"/>
              </w:rPr>
              <w:t>by</w:t>
            </w:r>
            <w:r w:rsidRPr="00150EDC">
              <w:rPr>
                <w:spacing w:val="-1"/>
                <w:sz w:val="20"/>
              </w:rPr>
              <w:t xml:space="preserve"> </w:t>
            </w:r>
            <w:r w:rsidRPr="00150EDC">
              <w:rPr>
                <w:sz w:val="20"/>
              </w:rPr>
              <w:t>threats</w:t>
            </w:r>
            <w:r w:rsidRPr="00150EDC">
              <w:rPr>
                <w:spacing w:val="-6"/>
                <w:sz w:val="20"/>
              </w:rPr>
              <w:t xml:space="preserve"> </w:t>
            </w:r>
            <w:r w:rsidRPr="00150EDC">
              <w:rPr>
                <w:sz w:val="20"/>
              </w:rPr>
              <w:t>or</w:t>
            </w:r>
            <w:r w:rsidRPr="00150EDC">
              <w:rPr>
                <w:spacing w:val="-1"/>
                <w:sz w:val="20"/>
              </w:rPr>
              <w:t xml:space="preserve"> </w:t>
            </w:r>
            <w:r w:rsidRPr="00150EDC">
              <w:rPr>
                <w:spacing w:val="-4"/>
                <w:sz w:val="20"/>
              </w:rPr>
              <w:t>lies</w:t>
            </w:r>
          </w:p>
        </w:tc>
      </w:tr>
      <w:tr w:rsidR="004569EE" w:rsidRPr="007D3144" w14:paraId="1F28FF62" w14:textId="77777777">
        <w:trPr>
          <w:trHeight w:val="255"/>
        </w:trPr>
        <w:tc>
          <w:tcPr>
            <w:tcW w:w="6517" w:type="dxa"/>
          </w:tcPr>
          <w:p w14:paraId="31ADF772" w14:textId="77777777" w:rsidR="004C7180" w:rsidRPr="00150EDC" w:rsidRDefault="00CF0754">
            <w:pPr>
              <w:pStyle w:val="TableParagraph"/>
              <w:spacing w:before="28"/>
              <w:rPr>
                <w:sz w:val="20"/>
              </w:rPr>
            </w:pPr>
            <w:r w:rsidRPr="00150EDC">
              <w:rPr>
                <w:sz w:val="20"/>
              </w:rPr>
              <w:t>Sexual</w:t>
            </w:r>
            <w:r w:rsidRPr="00150EDC">
              <w:rPr>
                <w:spacing w:val="-5"/>
                <w:sz w:val="20"/>
              </w:rPr>
              <w:t xml:space="preserve"> </w:t>
            </w:r>
            <w:r w:rsidRPr="00150EDC">
              <w:rPr>
                <w:sz w:val="20"/>
              </w:rPr>
              <w:t>Offences</w:t>
            </w:r>
            <w:r w:rsidRPr="00150EDC">
              <w:rPr>
                <w:spacing w:val="-1"/>
                <w:sz w:val="20"/>
              </w:rPr>
              <w:t xml:space="preserve"> </w:t>
            </w:r>
            <w:r w:rsidRPr="00150EDC">
              <w:rPr>
                <w:sz w:val="20"/>
              </w:rPr>
              <w:t>Act</w:t>
            </w:r>
            <w:r w:rsidRPr="00150EDC">
              <w:rPr>
                <w:spacing w:val="-5"/>
                <w:sz w:val="20"/>
              </w:rPr>
              <w:t xml:space="preserve"> </w:t>
            </w:r>
            <w:r w:rsidRPr="00150EDC">
              <w:rPr>
                <w:sz w:val="20"/>
              </w:rPr>
              <w:t>1992</w:t>
            </w:r>
            <w:r w:rsidRPr="00150EDC">
              <w:rPr>
                <w:spacing w:val="-7"/>
                <w:sz w:val="20"/>
              </w:rPr>
              <w:t xml:space="preserve"> </w:t>
            </w:r>
            <w:r w:rsidRPr="00150EDC">
              <w:rPr>
                <w:sz w:val="20"/>
              </w:rPr>
              <w:t>(Isle</w:t>
            </w:r>
            <w:r w:rsidRPr="00150EDC">
              <w:rPr>
                <w:spacing w:val="-1"/>
                <w:sz w:val="20"/>
              </w:rPr>
              <w:t xml:space="preserve"> </w:t>
            </w:r>
            <w:r w:rsidRPr="00150EDC">
              <w:rPr>
                <w:sz w:val="20"/>
              </w:rPr>
              <w:t>of</w:t>
            </w:r>
            <w:r w:rsidRPr="00150EDC">
              <w:rPr>
                <w:spacing w:val="-7"/>
                <w:sz w:val="20"/>
              </w:rPr>
              <w:t xml:space="preserve"> </w:t>
            </w:r>
            <w:r w:rsidRPr="00150EDC">
              <w:rPr>
                <w:sz w:val="20"/>
              </w:rPr>
              <w:t>Man),</w:t>
            </w:r>
            <w:r w:rsidRPr="00150EDC">
              <w:rPr>
                <w:spacing w:val="-6"/>
                <w:sz w:val="20"/>
              </w:rPr>
              <w:t xml:space="preserve"> </w:t>
            </w:r>
            <w:r w:rsidRPr="00150EDC">
              <w:rPr>
                <w:spacing w:val="-5"/>
                <w:sz w:val="20"/>
              </w:rPr>
              <w:t>s20</w:t>
            </w:r>
          </w:p>
        </w:tc>
        <w:tc>
          <w:tcPr>
            <w:tcW w:w="7427" w:type="dxa"/>
          </w:tcPr>
          <w:p w14:paraId="79FAA215" w14:textId="77777777" w:rsidR="004C7180" w:rsidRPr="00150EDC" w:rsidRDefault="00CF0754">
            <w:pPr>
              <w:pStyle w:val="TableParagraph"/>
              <w:spacing w:before="28"/>
              <w:rPr>
                <w:sz w:val="20"/>
              </w:rPr>
            </w:pPr>
            <w:r w:rsidRPr="00150EDC">
              <w:rPr>
                <w:sz w:val="20"/>
              </w:rPr>
              <w:t>Detention</w:t>
            </w:r>
            <w:r w:rsidRPr="00150EDC">
              <w:rPr>
                <w:spacing w:val="-9"/>
                <w:sz w:val="20"/>
              </w:rPr>
              <w:t xml:space="preserve"> </w:t>
            </w:r>
            <w:r w:rsidRPr="00150EDC">
              <w:rPr>
                <w:sz w:val="20"/>
              </w:rPr>
              <w:t>in</w:t>
            </w:r>
            <w:r w:rsidRPr="00150EDC">
              <w:rPr>
                <w:spacing w:val="-3"/>
                <w:sz w:val="20"/>
              </w:rPr>
              <w:t xml:space="preserve"> </w:t>
            </w:r>
            <w:r w:rsidRPr="00150EDC">
              <w:rPr>
                <w:spacing w:val="-2"/>
                <w:sz w:val="20"/>
              </w:rPr>
              <w:t>brothel</w:t>
            </w:r>
          </w:p>
        </w:tc>
      </w:tr>
      <w:tr w:rsidR="004569EE" w:rsidRPr="007D3144" w14:paraId="2CE42B70" w14:textId="77777777">
        <w:trPr>
          <w:trHeight w:val="255"/>
        </w:trPr>
        <w:tc>
          <w:tcPr>
            <w:tcW w:w="6517" w:type="dxa"/>
          </w:tcPr>
          <w:p w14:paraId="02DA20E8" w14:textId="77777777" w:rsidR="004C7180" w:rsidRPr="00150EDC" w:rsidRDefault="00CF0754">
            <w:pPr>
              <w:pStyle w:val="TableParagraph"/>
              <w:rPr>
                <w:sz w:val="20"/>
              </w:rPr>
            </w:pPr>
            <w:r w:rsidRPr="00150EDC">
              <w:rPr>
                <w:sz w:val="20"/>
              </w:rPr>
              <w:t>Sexual</w:t>
            </w:r>
            <w:r w:rsidRPr="00150EDC">
              <w:rPr>
                <w:spacing w:val="-5"/>
                <w:sz w:val="20"/>
              </w:rPr>
              <w:t xml:space="preserve"> </w:t>
            </w:r>
            <w:r w:rsidRPr="00150EDC">
              <w:rPr>
                <w:sz w:val="20"/>
              </w:rPr>
              <w:t>Offences</w:t>
            </w:r>
            <w:r w:rsidRPr="00150EDC">
              <w:rPr>
                <w:spacing w:val="-1"/>
                <w:sz w:val="20"/>
              </w:rPr>
              <w:t xml:space="preserve"> </w:t>
            </w:r>
            <w:r w:rsidRPr="00150EDC">
              <w:rPr>
                <w:sz w:val="20"/>
              </w:rPr>
              <w:t>Act</w:t>
            </w:r>
            <w:r w:rsidRPr="00150EDC">
              <w:rPr>
                <w:spacing w:val="-5"/>
                <w:sz w:val="20"/>
              </w:rPr>
              <w:t xml:space="preserve"> </w:t>
            </w:r>
            <w:r w:rsidRPr="00150EDC">
              <w:rPr>
                <w:sz w:val="20"/>
              </w:rPr>
              <w:t>1992</w:t>
            </w:r>
            <w:r w:rsidRPr="00150EDC">
              <w:rPr>
                <w:spacing w:val="-7"/>
                <w:sz w:val="20"/>
              </w:rPr>
              <w:t xml:space="preserve"> </w:t>
            </w:r>
            <w:r w:rsidRPr="00150EDC">
              <w:rPr>
                <w:sz w:val="20"/>
              </w:rPr>
              <w:t>(Isle</w:t>
            </w:r>
            <w:r w:rsidRPr="00150EDC">
              <w:rPr>
                <w:spacing w:val="-1"/>
                <w:sz w:val="20"/>
              </w:rPr>
              <w:t xml:space="preserve"> </w:t>
            </w:r>
            <w:r w:rsidRPr="00150EDC">
              <w:rPr>
                <w:sz w:val="20"/>
              </w:rPr>
              <w:t>of</w:t>
            </w:r>
            <w:r w:rsidRPr="00150EDC">
              <w:rPr>
                <w:spacing w:val="-7"/>
                <w:sz w:val="20"/>
              </w:rPr>
              <w:t xml:space="preserve"> </w:t>
            </w:r>
            <w:r w:rsidRPr="00150EDC">
              <w:rPr>
                <w:sz w:val="20"/>
              </w:rPr>
              <w:t>Man),</w:t>
            </w:r>
            <w:r w:rsidRPr="00150EDC">
              <w:rPr>
                <w:spacing w:val="-6"/>
                <w:sz w:val="20"/>
              </w:rPr>
              <w:t xml:space="preserve"> </w:t>
            </w:r>
            <w:r w:rsidRPr="00150EDC">
              <w:rPr>
                <w:spacing w:val="-5"/>
                <w:sz w:val="20"/>
              </w:rPr>
              <w:t>s21</w:t>
            </w:r>
          </w:p>
        </w:tc>
        <w:tc>
          <w:tcPr>
            <w:tcW w:w="7427" w:type="dxa"/>
          </w:tcPr>
          <w:p w14:paraId="052D10A5" w14:textId="77777777" w:rsidR="004C7180" w:rsidRPr="00150EDC" w:rsidRDefault="00CF0754">
            <w:pPr>
              <w:pStyle w:val="TableParagraph"/>
              <w:rPr>
                <w:sz w:val="20"/>
              </w:rPr>
            </w:pPr>
            <w:r w:rsidRPr="00150EDC">
              <w:rPr>
                <w:sz w:val="20"/>
              </w:rPr>
              <w:t>Permitting</w:t>
            </w:r>
            <w:r w:rsidRPr="00150EDC">
              <w:rPr>
                <w:spacing w:val="-5"/>
                <w:sz w:val="20"/>
              </w:rPr>
              <w:t xml:space="preserve"> </w:t>
            </w:r>
            <w:r w:rsidRPr="00150EDC">
              <w:rPr>
                <w:sz w:val="20"/>
              </w:rPr>
              <w:t>person</w:t>
            </w:r>
            <w:r w:rsidRPr="00150EDC">
              <w:rPr>
                <w:spacing w:val="1"/>
                <w:sz w:val="20"/>
              </w:rPr>
              <w:t xml:space="preserve"> </w:t>
            </w:r>
            <w:r w:rsidRPr="00150EDC">
              <w:rPr>
                <w:sz w:val="20"/>
              </w:rPr>
              <w:t>under</w:t>
            </w:r>
            <w:r w:rsidRPr="00150EDC">
              <w:rPr>
                <w:spacing w:val="-5"/>
                <w:sz w:val="20"/>
              </w:rPr>
              <w:t xml:space="preserve"> </w:t>
            </w:r>
            <w:r w:rsidRPr="00150EDC">
              <w:rPr>
                <w:sz w:val="20"/>
              </w:rPr>
              <w:t>16</w:t>
            </w:r>
            <w:r w:rsidRPr="00150EDC">
              <w:rPr>
                <w:spacing w:val="-4"/>
                <w:sz w:val="20"/>
              </w:rPr>
              <w:t xml:space="preserve"> </w:t>
            </w:r>
            <w:r w:rsidRPr="00150EDC">
              <w:rPr>
                <w:sz w:val="20"/>
              </w:rPr>
              <w:t>to</w:t>
            </w:r>
            <w:r w:rsidRPr="00150EDC">
              <w:rPr>
                <w:spacing w:val="-5"/>
                <w:sz w:val="20"/>
              </w:rPr>
              <w:t xml:space="preserve"> </w:t>
            </w:r>
            <w:r w:rsidRPr="00150EDC">
              <w:rPr>
                <w:sz w:val="20"/>
              </w:rPr>
              <w:t>use</w:t>
            </w:r>
            <w:r w:rsidRPr="00150EDC">
              <w:rPr>
                <w:spacing w:val="-4"/>
                <w:sz w:val="20"/>
              </w:rPr>
              <w:t xml:space="preserve"> </w:t>
            </w:r>
            <w:r w:rsidRPr="00150EDC">
              <w:rPr>
                <w:sz w:val="20"/>
              </w:rPr>
              <w:t>premises</w:t>
            </w:r>
            <w:r w:rsidRPr="00150EDC">
              <w:rPr>
                <w:spacing w:val="-3"/>
                <w:sz w:val="20"/>
              </w:rPr>
              <w:t xml:space="preserve"> </w:t>
            </w:r>
            <w:r w:rsidRPr="00150EDC">
              <w:rPr>
                <w:sz w:val="20"/>
              </w:rPr>
              <w:t>for</w:t>
            </w:r>
            <w:r w:rsidRPr="00150EDC">
              <w:rPr>
                <w:spacing w:val="-5"/>
                <w:sz w:val="20"/>
              </w:rPr>
              <w:t xml:space="preserve"> sex</w:t>
            </w:r>
          </w:p>
        </w:tc>
      </w:tr>
      <w:tr w:rsidR="004569EE" w:rsidRPr="007D3144" w14:paraId="42EC613F" w14:textId="77777777">
        <w:trPr>
          <w:trHeight w:val="255"/>
        </w:trPr>
        <w:tc>
          <w:tcPr>
            <w:tcW w:w="6517" w:type="dxa"/>
          </w:tcPr>
          <w:p w14:paraId="48633993" w14:textId="77777777" w:rsidR="004C7180" w:rsidRPr="00150EDC" w:rsidRDefault="00CF0754">
            <w:pPr>
              <w:pStyle w:val="TableParagraph"/>
              <w:rPr>
                <w:sz w:val="20"/>
              </w:rPr>
            </w:pPr>
            <w:r w:rsidRPr="00150EDC">
              <w:rPr>
                <w:sz w:val="20"/>
              </w:rPr>
              <w:t>Sexual</w:t>
            </w:r>
            <w:r w:rsidRPr="00150EDC">
              <w:rPr>
                <w:spacing w:val="-5"/>
                <w:sz w:val="20"/>
              </w:rPr>
              <w:t xml:space="preserve"> </w:t>
            </w:r>
            <w:r w:rsidRPr="00150EDC">
              <w:rPr>
                <w:sz w:val="20"/>
              </w:rPr>
              <w:t>Offences</w:t>
            </w:r>
            <w:r w:rsidRPr="00150EDC">
              <w:rPr>
                <w:spacing w:val="-1"/>
                <w:sz w:val="20"/>
              </w:rPr>
              <w:t xml:space="preserve"> </w:t>
            </w:r>
            <w:r w:rsidRPr="00150EDC">
              <w:rPr>
                <w:sz w:val="20"/>
              </w:rPr>
              <w:t>Act</w:t>
            </w:r>
            <w:r w:rsidRPr="00150EDC">
              <w:rPr>
                <w:spacing w:val="-5"/>
                <w:sz w:val="20"/>
              </w:rPr>
              <w:t xml:space="preserve"> </w:t>
            </w:r>
            <w:r w:rsidRPr="00150EDC">
              <w:rPr>
                <w:sz w:val="20"/>
              </w:rPr>
              <w:t>1992</w:t>
            </w:r>
            <w:r w:rsidRPr="00150EDC">
              <w:rPr>
                <w:spacing w:val="-7"/>
                <w:sz w:val="20"/>
              </w:rPr>
              <w:t xml:space="preserve"> </w:t>
            </w:r>
            <w:r w:rsidRPr="00150EDC">
              <w:rPr>
                <w:sz w:val="20"/>
              </w:rPr>
              <w:t>(Isle</w:t>
            </w:r>
            <w:r w:rsidRPr="00150EDC">
              <w:rPr>
                <w:spacing w:val="-1"/>
                <w:sz w:val="20"/>
              </w:rPr>
              <w:t xml:space="preserve"> </w:t>
            </w:r>
            <w:r w:rsidRPr="00150EDC">
              <w:rPr>
                <w:sz w:val="20"/>
              </w:rPr>
              <w:t>of</w:t>
            </w:r>
            <w:r w:rsidRPr="00150EDC">
              <w:rPr>
                <w:spacing w:val="-7"/>
                <w:sz w:val="20"/>
              </w:rPr>
              <w:t xml:space="preserve"> </w:t>
            </w:r>
            <w:r w:rsidRPr="00150EDC">
              <w:rPr>
                <w:sz w:val="20"/>
              </w:rPr>
              <w:t>Man),</w:t>
            </w:r>
            <w:r w:rsidRPr="00150EDC">
              <w:rPr>
                <w:spacing w:val="-6"/>
                <w:sz w:val="20"/>
              </w:rPr>
              <w:t xml:space="preserve"> </w:t>
            </w:r>
            <w:r w:rsidRPr="00150EDC">
              <w:rPr>
                <w:spacing w:val="-5"/>
                <w:sz w:val="20"/>
              </w:rPr>
              <w:t>s22</w:t>
            </w:r>
          </w:p>
        </w:tc>
        <w:tc>
          <w:tcPr>
            <w:tcW w:w="7427" w:type="dxa"/>
          </w:tcPr>
          <w:p w14:paraId="21A49B73" w14:textId="77777777" w:rsidR="004C7180" w:rsidRPr="00150EDC" w:rsidRDefault="00CF0754">
            <w:pPr>
              <w:pStyle w:val="TableParagraph"/>
              <w:rPr>
                <w:sz w:val="20"/>
              </w:rPr>
            </w:pPr>
            <w:r w:rsidRPr="00150EDC">
              <w:rPr>
                <w:sz w:val="20"/>
              </w:rPr>
              <w:t>Permitting</w:t>
            </w:r>
            <w:r w:rsidRPr="00150EDC">
              <w:rPr>
                <w:spacing w:val="-5"/>
                <w:sz w:val="20"/>
              </w:rPr>
              <w:t xml:space="preserve"> </w:t>
            </w:r>
            <w:r w:rsidRPr="00150EDC">
              <w:rPr>
                <w:sz w:val="20"/>
              </w:rPr>
              <w:t>defective</w:t>
            </w:r>
            <w:r w:rsidRPr="00150EDC">
              <w:rPr>
                <w:spacing w:val="-5"/>
                <w:sz w:val="20"/>
              </w:rPr>
              <w:t xml:space="preserve"> </w:t>
            </w:r>
            <w:r w:rsidRPr="00150EDC">
              <w:rPr>
                <w:sz w:val="20"/>
              </w:rPr>
              <w:t>to</w:t>
            </w:r>
            <w:r w:rsidRPr="00150EDC">
              <w:rPr>
                <w:spacing w:val="-4"/>
                <w:sz w:val="20"/>
              </w:rPr>
              <w:t xml:space="preserve"> </w:t>
            </w:r>
            <w:r w:rsidRPr="00150EDC">
              <w:rPr>
                <w:sz w:val="20"/>
              </w:rPr>
              <w:t>use premises</w:t>
            </w:r>
            <w:r w:rsidRPr="00150EDC">
              <w:rPr>
                <w:spacing w:val="-4"/>
                <w:sz w:val="20"/>
              </w:rPr>
              <w:t xml:space="preserve"> </w:t>
            </w:r>
            <w:r w:rsidRPr="00150EDC">
              <w:rPr>
                <w:sz w:val="20"/>
              </w:rPr>
              <w:t>for</w:t>
            </w:r>
            <w:r w:rsidRPr="00150EDC">
              <w:rPr>
                <w:spacing w:val="-4"/>
                <w:sz w:val="20"/>
              </w:rPr>
              <w:t xml:space="preserve"> </w:t>
            </w:r>
            <w:r w:rsidRPr="00150EDC">
              <w:rPr>
                <w:spacing w:val="-2"/>
                <w:sz w:val="20"/>
              </w:rPr>
              <w:t>intercourse</w:t>
            </w:r>
          </w:p>
        </w:tc>
      </w:tr>
      <w:tr w:rsidR="004569EE" w:rsidRPr="007D3144" w14:paraId="15368991" w14:textId="77777777">
        <w:trPr>
          <w:trHeight w:val="255"/>
        </w:trPr>
        <w:tc>
          <w:tcPr>
            <w:tcW w:w="6517" w:type="dxa"/>
          </w:tcPr>
          <w:p w14:paraId="015B78E5" w14:textId="77777777" w:rsidR="004C7180" w:rsidRPr="00150EDC" w:rsidRDefault="00CF0754">
            <w:pPr>
              <w:pStyle w:val="TableParagraph"/>
              <w:rPr>
                <w:sz w:val="20"/>
              </w:rPr>
            </w:pPr>
            <w:r w:rsidRPr="00150EDC">
              <w:rPr>
                <w:sz w:val="20"/>
              </w:rPr>
              <w:t>Sexual</w:t>
            </w:r>
            <w:r w:rsidRPr="00150EDC">
              <w:rPr>
                <w:spacing w:val="-5"/>
                <w:sz w:val="20"/>
              </w:rPr>
              <w:t xml:space="preserve"> </w:t>
            </w:r>
            <w:r w:rsidRPr="00150EDC">
              <w:rPr>
                <w:sz w:val="20"/>
              </w:rPr>
              <w:t>Offences</w:t>
            </w:r>
            <w:r w:rsidRPr="00150EDC">
              <w:rPr>
                <w:spacing w:val="-1"/>
                <w:sz w:val="20"/>
              </w:rPr>
              <w:t xml:space="preserve"> </w:t>
            </w:r>
            <w:r w:rsidRPr="00150EDC">
              <w:rPr>
                <w:sz w:val="20"/>
              </w:rPr>
              <w:t>Act</w:t>
            </w:r>
            <w:r w:rsidRPr="00150EDC">
              <w:rPr>
                <w:spacing w:val="-5"/>
                <w:sz w:val="20"/>
              </w:rPr>
              <w:t xml:space="preserve"> </w:t>
            </w:r>
            <w:r w:rsidRPr="00150EDC">
              <w:rPr>
                <w:sz w:val="20"/>
              </w:rPr>
              <w:t>1992</w:t>
            </w:r>
            <w:r w:rsidRPr="00150EDC">
              <w:rPr>
                <w:spacing w:val="-7"/>
                <w:sz w:val="20"/>
              </w:rPr>
              <w:t xml:space="preserve"> </w:t>
            </w:r>
            <w:r w:rsidRPr="00150EDC">
              <w:rPr>
                <w:sz w:val="20"/>
              </w:rPr>
              <w:t>(Isle</w:t>
            </w:r>
            <w:r w:rsidRPr="00150EDC">
              <w:rPr>
                <w:spacing w:val="-1"/>
                <w:sz w:val="20"/>
              </w:rPr>
              <w:t xml:space="preserve"> </w:t>
            </w:r>
            <w:r w:rsidRPr="00150EDC">
              <w:rPr>
                <w:sz w:val="20"/>
              </w:rPr>
              <w:t>of</w:t>
            </w:r>
            <w:r w:rsidRPr="00150EDC">
              <w:rPr>
                <w:spacing w:val="-7"/>
                <w:sz w:val="20"/>
              </w:rPr>
              <w:t xml:space="preserve"> </w:t>
            </w:r>
            <w:r w:rsidRPr="00150EDC">
              <w:rPr>
                <w:sz w:val="20"/>
              </w:rPr>
              <w:t>Man),</w:t>
            </w:r>
            <w:r w:rsidRPr="00150EDC">
              <w:rPr>
                <w:spacing w:val="-6"/>
                <w:sz w:val="20"/>
              </w:rPr>
              <w:t xml:space="preserve"> </w:t>
            </w:r>
            <w:r w:rsidRPr="00150EDC">
              <w:rPr>
                <w:spacing w:val="-5"/>
                <w:sz w:val="20"/>
              </w:rPr>
              <w:t>s23</w:t>
            </w:r>
          </w:p>
        </w:tc>
        <w:tc>
          <w:tcPr>
            <w:tcW w:w="7427" w:type="dxa"/>
          </w:tcPr>
          <w:p w14:paraId="2D3995DA" w14:textId="77777777" w:rsidR="004C7180" w:rsidRPr="00150EDC" w:rsidRDefault="00CF0754">
            <w:pPr>
              <w:pStyle w:val="TableParagraph"/>
              <w:rPr>
                <w:sz w:val="20"/>
              </w:rPr>
            </w:pPr>
            <w:r w:rsidRPr="00150EDC">
              <w:rPr>
                <w:sz w:val="20"/>
              </w:rPr>
              <w:t>Causing</w:t>
            </w:r>
            <w:r w:rsidRPr="00150EDC">
              <w:rPr>
                <w:spacing w:val="-7"/>
                <w:sz w:val="20"/>
              </w:rPr>
              <w:t xml:space="preserve"> </w:t>
            </w:r>
            <w:r w:rsidRPr="00150EDC">
              <w:rPr>
                <w:sz w:val="20"/>
              </w:rPr>
              <w:t>or</w:t>
            </w:r>
            <w:r w:rsidRPr="00150EDC">
              <w:rPr>
                <w:spacing w:val="-2"/>
                <w:sz w:val="20"/>
              </w:rPr>
              <w:t xml:space="preserve"> </w:t>
            </w:r>
            <w:r w:rsidRPr="00150EDC">
              <w:rPr>
                <w:sz w:val="20"/>
              </w:rPr>
              <w:t>encouraging</w:t>
            </w:r>
            <w:r w:rsidRPr="00150EDC">
              <w:rPr>
                <w:spacing w:val="-6"/>
                <w:sz w:val="20"/>
              </w:rPr>
              <w:t xml:space="preserve"> </w:t>
            </w:r>
            <w:r w:rsidRPr="00150EDC">
              <w:rPr>
                <w:sz w:val="20"/>
              </w:rPr>
              <w:t>prostitution</w:t>
            </w:r>
            <w:r w:rsidRPr="00150EDC">
              <w:rPr>
                <w:spacing w:val="-6"/>
                <w:sz w:val="20"/>
              </w:rPr>
              <w:t xml:space="preserve"> </w:t>
            </w:r>
            <w:r w:rsidRPr="00150EDC">
              <w:rPr>
                <w:sz w:val="20"/>
              </w:rPr>
              <w:t>of</w:t>
            </w:r>
            <w:r w:rsidRPr="00150EDC">
              <w:rPr>
                <w:spacing w:val="-7"/>
                <w:sz w:val="20"/>
              </w:rPr>
              <w:t xml:space="preserve"> </w:t>
            </w:r>
            <w:r w:rsidRPr="00150EDC">
              <w:rPr>
                <w:sz w:val="20"/>
              </w:rPr>
              <w:t>person</w:t>
            </w:r>
            <w:r w:rsidRPr="00150EDC">
              <w:rPr>
                <w:spacing w:val="-2"/>
                <w:sz w:val="20"/>
              </w:rPr>
              <w:t xml:space="preserve"> </w:t>
            </w:r>
            <w:r w:rsidRPr="00150EDC">
              <w:rPr>
                <w:sz w:val="20"/>
              </w:rPr>
              <w:t>under</w:t>
            </w:r>
            <w:r w:rsidRPr="00150EDC">
              <w:rPr>
                <w:spacing w:val="-6"/>
                <w:sz w:val="20"/>
              </w:rPr>
              <w:t xml:space="preserve"> </w:t>
            </w:r>
            <w:r w:rsidRPr="00150EDC">
              <w:rPr>
                <w:spacing w:val="-5"/>
                <w:sz w:val="20"/>
              </w:rPr>
              <w:t>16</w:t>
            </w:r>
          </w:p>
        </w:tc>
      </w:tr>
      <w:tr w:rsidR="004569EE" w:rsidRPr="007D3144" w14:paraId="7151F2FA" w14:textId="77777777">
        <w:trPr>
          <w:trHeight w:val="255"/>
        </w:trPr>
        <w:tc>
          <w:tcPr>
            <w:tcW w:w="6517" w:type="dxa"/>
          </w:tcPr>
          <w:p w14:paraId="68483596" w14:textId="77777777" w:rsidR="004C7180" w:rsidRPr="00150EDC" w:rsidRDefault="00CF0754">
            <w:pPr>
              <w:pStyle w:val="TableParagraph"/>
              <w:rPr>
                <w:sz w:val="20"/>
              </w:rPr>
            </w:pPr>
            <w:r w:rsidRPr="00150EDC">
              <w:rPr>
                <w:sz w:val="20"/>
              </w:rPr>
              <w:t>Sexual</w:t>
            </w:r>
            <w:r w:rsidRPr="00150EDC">
              <w:rPr>
                <w:spacing w:val="-5"/>
                <w:sz w:val="20"/>
              </w:rPr>
              <w:t xml:space="preserve"> </w:t>
            </w:r>
            <w:r w:rsidRPr="00150EDC">
              <w:rPr>
                <w:sz w:val="20"/>
              </w:rPr>
              <w:t>Offences</w:t>
            </w:r>
            <w:r w:rsidRPr="00150EDC">
              <w:rPr>
                <w:spacing w:val="-1"/>
                <w:sz w:val="20"/>
              </w:rPr>
              <w:t xml:space="preserve"> </w:t>
            </w:r>
            <w:r w:rsidRPr="00150EDC">
              <w:rPr>
                <w:sz w:val="20"/>
              </w:rPr>
              <w:t>Act</w:t>
            </w:r>
            <w:r w:rsidRPr="00150EDC">
              <w:rPr>
                <w:spacing w:val="-5"/>
                <w:sz w:val="20"/>
              </w:rPr>
              <w:t xml:space="preserve"> </w:t>
            </w:r>
            <w:r w:rsidRPr="00150EDC">
              <w:rPr>
                <w:sz w:val="20"/>
              </w:rPr>
              <w:t>1992</w:t>
            </w:r>
            <w:r w:rsidRPr="00150EDC">
              <w:rPr>
                <w:spacing w:val="-7"/>
                <w:sz w:val="20"/>
              </w:rPr>
              <w:t xml:space="preserve"> </w:t>
            </w:r>
            <w:r w:rsidRPr="00150EDC">
              <w:rPr>
                <w:sz w:val="20"/>
              </w:rPr>
              <w:t>(Isle</w:t>
            </w:r>
            <w:r w:rsidRPr="00150EDC">
              <w:rPr>
                <w:spacing w:val="-1"/>
                <w:sz w:val="20"/>
              </w:rPr>
              <w:t xml:space="preserve"> </w:t>
            </w:r>
            <w:r w:rsidRPr="00150EDC">
              <w:rPr>
                <w:sz w:val="20"/>
              </w:rPr>
              <w:t>of</w:t>
            </w:r>
            <w:r w:rsidRPr="00150EDC">
              <w:rPr>
                <w:spacing w:val="-7"/>
                <w:sz w:val="20"/>
              </w:rPr>
              <w:t xml:space="preserve"> </w:t>
            </w:r>
            <w:r w:rsidRPr="00150EDC">
              <w:rPr>
                <w:sz w:val="20"/>
              </w:rPr>
              <w:t>Man),</w:t>
            </w:r>
            <w:r w:rsidRPr="00150EDC">
              <w:rPr>
                <w:spacing w:val="-6"/>
                <w:sz w:val="20"/>
              </w:rPr>
              <w:t xml:space="preserve"> </w:t>
            </w:r>
            <w:r w:rsidRPr="00150EDC">
              <w:rPr>
                <w:spacing w:val="-5"/>
                <w:sz w:val="20"/>
              </w:rPr>
              <w:t>s24</w:t>
            </w:r>
          </w:p>
        </w:tc>
        <w:tc>
          <w:tcPr>
            <w:tcW w:w="7427" w:type="dxa"/>
          </w:tcPr>
          <w:p w14:paraId="353C9CA3" w14:textId="77777777" w:rsidR="004C7180" w:rsidRPr="00150EDC" w:rsidRDefault="00CF0754">
            <w:pPr>
              <w:pStyle w:val="TableParagraph"/>
              <w:rPr>
                <w:sz w:val="20"/>
              </w:rPr>
            </w:pPr>
            <w:r w:rsidRPr="00150EDC">
              <w:rPr>
                <w:sz w:val="20"/>
              </w:rPr>
              <w:t>Causing</w:t>
            </w:r>
            <w:r w:rsidRPr="00150EDC">
              <w:rPr>
                <w:spacing w:val="-7"/>
                <w:sz w:val="20"/>
              </w:rPr>
              <w:t xml:space="preserve"> </w:t>
            </w:r>
            <w:r w:rsidRPr="00150EDC">
              <w:rPr>
                <w:sz w:val="20"/>
              </w:rPr>
              <w:t>defective</w:t>
            </w:r>
            <w:r w:rsidRPr="00150EDC">
              <w:rPr>
                <w:spacing w:val="-6"/>
                <w:sz w:val="20"/>
              </w:rPr>
              <w:t xml:space="preserve"> </w:t>
            </w:r>
            <w:r w:rsidRPr="00150EDC">
              <w:rPr>
                <w:sz w:val="20"/>
              </w:rPr>
              <w:t>to</w:t>
            </w:r>
            <w:r w:rsidRPr="00150EDC">
              <w:rPr>
                <w:spacing w:val="-2"/>
                <w:sz w:val="20"/>
              </w:rPr>
              <w:t xml:space="preserve"> </w:t>
            </w:r>
            <w:r w:rsidRPr="00150EDC">
              <w:rPr>
                <w:sz w:val="20"/>
              </w:rPr>
              <w:t>become</w:t>
            </w:r>
            <w:r w:rsidRPr="00150EDC">
              <w:rPr>
                <w:spacing w:val="-6"/>
                <w:sz w:val="20"/>
              </w:rPr>
              <w:t xml:space="preserve"> </w:t>
            </w:r>
            <w:r w:rsidRPr="00150EDC">
              <w:rPr>
                <w:spacing w:val="-2"/>
                <w:sz w:val="20"/>
              </w:rPr>
              <w:t>prostitute</w:t>
            </w:r>
          </w:p>
        </w:tc>
      </w:tr>
      <w:tr w:rsidR="004569EE" w:rsidRPr="007D3144" w14:paraId="0BEA7A9F" w14:textId="77777777">
        <w:trPr>
          <w:trHeight w:val="255"/>
        </w:trPr>
        <w:tc>
          <w:tcPr>
            <w:tcW w:w="6517" w:type="dxa"/>
          </w:tcPr>
          <w:p w14:paraId="6FE351E2" w14:textId="77777777" w:rsidR="004C7180" w:rsidRPr="00150EDC" w:rsidRDefault="00CF0754">
            <w:pPr>
              <w:pStyle w:val="TableParagraph"/>
              <w:rPr>
                <w:sz w:val="20"/>
              </w:rPr>
            </w:pPr>
            <w:r w:rsidRPr="00150EDC">
              <w:rPr>
                <w:sz w:val="20"/>
              </w:rPr>
              <w:t>Sexual</w:t>
            </w:r>
            <w:r w:rsidRPr="00150EDC">
              <w:rPr>
                <w:spacing w:val="-5"/>
                <w:sz w:val="20"/>
              </w:rPr>
              <w:t xml:space="preserve"> </w:t>
            </w:r>
            <w:r w:rsidRPr="00150EDC">
              <w:rPr>
                <w:sz w:val="20"/>
              </w:rPr>
              <w:t>Offences</w:t>
            </w:r>
            <w:r w:rsidRPr="00150EDC">
              <w:rPr>
                <w:spacing w:val="-1"/>
                <w:sz w:val="20"/>
              </w:rPr>
              <w:t xml:space="preserve"> </w:t>
            </w:r>
            <w:r w:rsidRPr="00150EDC">
              <w:rPr>
                <w:sz w:val="20"/>
              </w:rPr>
              <w:t>Act</w:t>
            </w:r>
            <w:r w:rsidRPr="00150EDC">
              <w:rPr>
                <w:spacing w:val="-5"/>
                <w:sz w:val="20"/>
              </w:rPr>
              <w:t xml:space="preserve"> </w:t>
            </w:r>
            <w:r w:rsidRPr="00150EDC">
              <w:rPr>
                <w:sz w:val="20"/>
              </w:rPr>
              <w:t>1992</w:t>
            </w:r>
            <w:r w:rsidRPr="00150EDC">
              <w:rPr>
                <w:spacing w:val="-7"/>
                <w:sz w:val="20"/>
              </w:rPr>
              <w:t xml:space="preserve"> </w:t>
            </w:r>
            <w:r w:rsidRPr="00150EDC">
              <w:rPr>
                <w:sz w:val="20"/>
              </w:rPr>
              <w:t>(Isle</w:t>
            </w:r>
            <w:r w:rsidRPr="00150EDC">
              <w:rPr>
                <w:spacing w:val="-1"/>
                <w:sz w:val="20"/>
              </w:rPr>
              <w:t xml:space="preserve"> </w:t>
            </w:r>
            <w:r w:rsidRPr="00150EDC">
              <w:rPr>
                <w:sz w:val="20"/>
              </w:rPr>
              <w:t>of</w:t>
            </w:r>
            <w:r w:rsidRPr="00150EDC">
              <w:rPr>
                <w:spacing w:val="-7"/>
                <w:sz w:val="20"/>
              </w:rPr>
              <w:t xml:space="preserve"> </w:t>
            </w:r>
            <w:r w:rsidRPr="00150EDC">
              <w:rPr>
                <w:sz w:val="20"/>
              </w:rPr>
              <w:t>Man),</w:t>
            </w:r>
            <w:r w:rsidRPr="00150EDC">
              <w:rPr>
                <w:spacing w:val="-6"/>
                <w:sz w:val="20"/>
              </w:rPr>
              <w:t xml:space="preserve"> </w:t>
            </w:r>
            <w:r w:rsidRPr="00150EDC">
              <w:rPr>
                <w:spacing w:val="-5"/>
                <w:sz w:val="20"/>
              </w:rPr>
              <w:t>s25</w:t>
            </w:r>
          </w:p>
        </w:tc>
        <w:tc>
          <w:tcPr>
            <w:tcW w:w="7427" w:type="dxa"/>
          </w:tcPr>
          <w:p w14:paraId="7EC94F0C" w14:textId="77777777" w:rsidR="004C7180" w:rsidRPr="00150EDC" w:rsidRDefault="00CF0754">
            <w:pPr>
              <w:pStyle w:val="TableParagraph"/>
              <w:rPr>
                <w:sz w:val="20"/>
              </w:rPr>
            </w:pPr>
            <w:r w:rsidRPr="00150EDC">
              <w:rPr>
                <w:sz w:val="20"/>
              </w:rPr>
              <w:t>Living</w:t>
            </w:r>
            <w:r w:rsidRPr="00150EDC">
              <w:rPr>
                <w:spacing w:val="-5"/>
                <w:sz w:val="20"/>
              </w:rPr>
              <w:t xml:space="preserve"> </w:t>
            </w:r>
            <w:r w:rsidRPr="00150EDC">
              <w:rPr>
                <w:sz w:val="20"/>
              </w:rPr>
              <w:t>on</w:t>
            </w:r>
            <w:r w:rsidRPr="00150EDC">
              <w:rPr>
                <w:spacing w:val="-5"/>
                <w:sz w:val="20"/>
              </w:rPr>
              <w:t xml:space="preserve"> </w:t>
            </w:r>
            <w:r w:rsidRPr="00150EDC">
              <w:rPr>
                <w:sz w:val="20"/>
              </w:rPr>
              <w:t>immoral</w:t>
            </w:r>
            <w:r w:rsidRPr="00150EDC">
              <w:rPr>
                <w:spacing w:val="-3"/>
                <w:sz w:val="20"/>
              </w:rPr>
              <w:t xml:space="preserve"> </w:t>
            </w:r>
            <w:r w:rsidRPr="00150EDC">
              <w:rPr>
                <w:sz w:val="20"/>
              </w:rPr>
              <w:t>earnings</w:t>
            </w:r>
            <w:r w:rsidRPr="00150EDC">
              <w:rPr>
                <w:spacing w:val="-4"/>
                <w:sz w:val="20"/>
              </w:rPr>
              <w:t xml:space="preserve"> </w:t>
            </w:r>
            <w:r w:rsidRPr="00150EDC">
              <w:rPr>
                <w:sz w:val="20"/>
              </w:rPr>
              <w:t>or</w:t>
            </w:r>
            <w:r w:rsidRPr="00150EDC">
              <w:rPr>
                <w:spacing w:val="-4"/>
                <w:sz w:val="20"/>
              </w:rPr>
              <w:t xml:space="preserve"> </w:t>
            </w:r>
            <w:r w:rsidRPr="00150EDC">
              <w:rPr>
                <w:sz w:val="20"/>
              </w:rPr>
              <w:t>exercising</w:t>
            </w:r>
            <w:r w:rsidRPr="00150EDC">
              <w:rPr>
                <w:spacing w:val="-5"/>
                <w:sz w:val="20"/>
              </w:rPr>
              <w:t xml:space="preserve"> </w:t>
            </w:r>
            <w:r w:rsidRPr="00150EDC">
              <w:rPr>
                <w:sz w:val="20"/>
              </w:rPr>
              <w:t>control</w:t>
            </w:r>
            <w:r w:rsidRPr="00150EDC">
              <w:rPr>
                <w:spacing w:val="-3"/>
                <w:sz w:val="20"/>
              </w:rPr>
              <w:t xml:space="preserve"> </w:t>
            </w:r>
            <w:r w:rsidRPr="00150EDC">
              <w:rPr>
                <w:sz w:val="20"/>
              </w:rPr>
              <w:t>over</w:t>
            </w:r>
            <w:r w:rsidRPr="00150EDC">
              <w:rPr>
                <w:spacing w:val="-5"/>
                <w:sz w:val="20"/>
              </w:rPr>
              <w:t xml:space="preserve"> </w:t>
            </w:r>
            <w:r w:rsidRPr="00150EDC">
              <w:rPr>
                <w:spacing w:val="-2"/>
                <w:sz w:val="20"/>
              </w:rPr>
              <w:t>prostitute</w:t>
            </w:r>
          </w:p>
        </w:tc>
      </w:tr>
      <w:tr w:rsidR="004569EE" w:rsidRPr="007D3144" w14:paraId="3DB3F5EC" w14:textId="77777777">
        <w:trPr>
          <w:trHeight w:val="255"/>
        </w:trPr>
        <w:tc>
          <w:tcPr>
            <w:tcW w:w="6517" w:type="dxa"/>
          </w:tcPr>
          <w:p w14:paraId="3D6ED198" w14:textId="77777777" w:rsidR="004C7180" w:rsidRPr="00150EDC" w:rsidRDefault="00CF0754">
            <w:pPr>
              <w:pStyle w:val="TableParagraph"/>
              <w:rPr>
                <w:sz w:val="20"/>
              </w:rPr>
            </w:pPr>
            <w:r w:rsidRPr="00150EDC">
              <w:rPr>
                <w:sz w:val="20"/>
              </w:rPr>
              <w:t>Sexual</w:t>
            </w:r>
            <w:r w:rsidRPr="00150EDC">
              <w:rPr>
                <w:spacing w:val="-5"/>
                <w:sz w:val="20"/>
              </w:rPr>
              <w:t xml:space="preserve"> </w:t>
            </w:r>
            <w:r w:rsidRPr="00150EDC">
              <w:rPr>
                <w:sz w:val="20"/>
              </w:rPr>
              <w:t>Offences</w:t>
            </w:r>
            <w:r w:rsidRPr="00150EDC">
              <w:rPr>
                <w:spacing w:val="-1"/>
                <w:sz w:val="20"/>
              </w:rPr>
              <w:t xml:space="preserve"> </w:t>
            </w:r>
            <w:r w:rsidRPr="00150EDC">
              <w:rPr>
                <w:sz w:val="20"/>
              </w:rPr>
              <w:t>Act</w:t>
            </w:r>
            <w:r w:rsidRPr="00150EDC">
              <w:rPr>
                <w:spacing w:val="-5"/>
                <w:sz w:val="20"/>
              </w:rPr>
              <w:t xml:space="preserve"> </w:t>
            </w:r>
            <w:r w:rsidRPr="00150EDC">
              <w:rPr>
                <w:sz w:val="20"/>
              </w:rPr>
              <w:t>1992</w:t>
            </w:r>
            <w:r w:rsidRPr="00150EDC">
              <w:rPr>
                <w:spacing w:val="-7"/>
                <w:sz w:val="20"/>
              </w:rPr>
              <w:t xml:space="preserve"> </w:t>
            </w:r>
            <w:r w:rsidRPr="00150EDC">
              <w:rPr>
                <w:sz w:val="20"/>
              </w:rPr>
              <w:t>(Isle</w:t>
            </w:r>
            <w:r w:rsidRPr="00150EDC">
              <w:rPr>
                <w:spacing w:val="-1"/>
                <w:sz w:val="20"/>
              </w:rPr>
              <w:t xml:space="preserve"> </w:t>
            </w:r>
            <w:r w:rsidRPr="00150EDC">
              <w:rPr>
                <w:sz w:val="20"/>
              </w:rPr>
              <w:t>of</w:t>
            </w:r>
            <w:r w:rsidRPr="00150EDC">
              <w:rPr>
                <w:spacing w:val="-7"/>
                <w:sz w:val="20"/>
              </w:rPr>
              <w:t xml:space="preserve"> </w:t>
            </w:r>
            <w:r w:rsidRPr="00150EDC">
              <w:rPr>
                <w:sz w:val="20"/>
              </w:rPr>
              <w:t>Man),</w:t>
            </w:r>
            <w:r w:rsidRPr="00150EDC">
              <w:rPr>
                <w:spacing w:val="-6"/>
                <w:sz w:val="20"/>
              </w:rPr>
              <w:t xml:space="preserve"> </w:t>
            </w:r>
            <w:r w:rsidRPr="00150EDC">
              <w:rPr>
                <w:spacing w:val="-5"/>
                <w:sz w:val="20"/>
              </w:rPr>
              <w:t>s26</w:t>
            </w:r>
          </w:p>
        </w:tc>
        <w:tc>
          <w:tcPr>
            <w:tcW w:w="7427" w:type="dxa"/>
          </w:tcPr>
          <w:p w14:paraId="5F6B9806" w14:textId="77777777" w:rsidR="004C7180" w:rsidRPr="00150EDC" w:rsidRDefault="00CF0754">
            <w:pPr>
              <w:pStyle w:val="TableParagraph"/>
              <w:rPr>
                <w:sz w:val="20"/>
              </w:rPr>
            </w:pPr>
            <w:r w:rsidRPr="00150EDC">
              <w:rPr>
                <w:spacing w:val="-2"/>
                <w:sz w:val="20"/>
              </w:rPr>
              <w:t>Soliciting</w:t>
            </w:r>
          </w:p>
        </w:tc>
      </w:tr>
      <w:tr w:rsidR="004569EE" w:rsidRPr="007D3144" w14:paraId="703B3605" w14:textId="77777777">
        <w:trPr>
          <w:trHeight w:val="255"/>
        </w:trPr>
        <w:tc>
          <w:tcPr>
            <w:tcW w:w="6517" w:type="dxa"/>
          </w:tcPr>
          <w:p w14:paraId="3BEE2D1C" w14:textId="77777777" w:rsidR="004C7180" w:rsidRPr="00150EDC" w:rsidRDefault="00CF0754">
            <w:pPr>
              <w:pStyle w:val="TableParagraph"/>
              <w:rPr>
                <w:sz w:val="20"/>
              </w:rPr>
            </w:pPr>
            <w:r w:rsidRPr="00150EDC">
              <w:rPr>
                <w:sz w:val="20"/>
              </w:rPr>
              <w:t>Sexual</w:t>
            </w:r>
            <w:r w:rsidRPr="00150EDC">
              <w:rPr>
                <w:spacing w:val="-5"/>
                <w:sz w:val="20"/>
              </w:rPr>
              <w:t xml:space="preserve"> </w:t>
            </w:r>
            <w:r w:rsidRPr="00150EDC">
              <w:rPr>
                <w:sz w:val="20"/>
              </w:rPr>
              <w:t>Offences</w:t>
            </w:r>
            <w:r w:rsidRPr="00150EDC">
              <w:rPr>
                <w:spacing w:val="-1"/>
                <w:sz w:val="20"/>
              </w:rPr>
              <w:t xml:space="preserve"> </w:t>
            </w:r>
            <w:r w:rsidRPr="00150EDC">
              <w:rPr>
                <w:sz w:val="20"/>
              </w:rPr>
              <w:t>Act</w:t>
            </w:r>
            <w:r w:rsidRPr="00150EDC">
              <w:rPr>
                <w:spacing w:val="-5"/>
                <w:sz w:val="20"/>
              </w:rPr>
              <w:t xml:space="preserve"> </w:t>
            </w:r>
            <w:r w:rsidRPr="00150EDC">
              <w:rPr>
                <w:sz w:val="20"/>
              </w:rPr>
              <w:t>1992</w:t>
            </w:r>
            <w:r w:rsidRPr="00150EDC">
              <w:rPr>
                <w:spacing w:val="-7"/>
                <w:sz w:val="20"/>
              </w:rPr>
              <w:t xml:space="preserve"> </w:t>
            </w:r>
            <w:r w:rsidRPr="00150EDC">
              <w:rPr>
                <w:sz w:val="20"/>
              </w:rPr>
              <w:t>(Isle</w:t>
            </w:r>
            <w:r w:rsidRPr="00150EDC">
              <w:rPr>
                <w:spacing w:val="-1"/>
                <w:sz w:val="20"/>
              </w:rPr>
              <w:t xml:space="preserve"> </w:t>
            </w:r>
            <w:r w:rsidRPr="00150EDC">
              <w:rPr>
                <w:sz w:val="20"/>
              </w:rPr>
              <w:t>of</w:t>
            </w:r>
            <w:r w:rsidRPr="00150EDC">
              <w:rPr>
                <w:spacing w:val="-7"/>
                <w:sz w:val="20"/>
              </w:rPr>
              <w:t xml:space="preserve"> </w:t>
            </w:r>
            <w:r w:rsidRPr="00150EDC">
              <w:rPr>
                <w:sz w:val="20"/>
              </w:rPr>
              <w:t>Man),</w:t>
            </w:r>
            <w:r w:rsidRPr="00150EDC">
              <w:rPr>
                <w:spacing w:val="-6"/>
                <w:sz w:val="20"/>
              </w:rPr>
              <w:t xml:space="preserve"> </w:t>
            </w:r>
            <w:r w:rsidRPr="00150EDC">
              <w:rPr>
                <w:spacing w:val="-5"/>
                <w:sz w:val="20"/>
              </w:rPr>
              <w:t>s27</w:t>
            </w:r>
          </w:p>
        </w:tc>
        <w:tc>
          <w:tcPr>
            <w:tcW w:w="7427" w:type="dxa"/>
          </w:tcPr>
          <w:p w14:paraId="3B4564DD" w14:textId="77777777" w:rsidR="004C7180" w:rsidRPr="00150EDC" w:rsidRDefault="00CF0754">
            <w:pPr>
              <w:pStyle w:val="TableParagraph"/>
              <w:rPr>
                <w:sz w:val="20"/>
              </w:rPr>
            </w:pPr>
            <w:r w:rsidRPr="00150EDC">
              <w:rPr>
                <w:sz w:val="20"/>
              </w:rPr>
              <w:t>Loitering</w:t>
            </w:r>
            <w:r w:rsidRPr="00150EDC">
              <w:rPr>
                <w:spacing w:val="-4"/>
                <w:sz w:val="20"/>
              </w:rPr>
              <w:t xml:space="preserve"> </w:t>
            </w:r>
            <w:r w:rsidRPr="00150EDC">
              <w:rPr>
                <w:sz w:val="20"/>
              </w:rPr>
              <w:t>for</w:t>
            </w:r>
            <w:r w:rsidRPr="00150EDC">
              <w:rPr>
                <w:spacing w:val="-5"/>
                <w:sz w:val="20"/>
              </w:rPr>
              <w:t xml:space="preserve"> </w:t>
            </w:r>
            <w:r w:rsidRPr="00150EDC">
              <w:rPr>
                <w:sz w:val="20"/>
              </w:rPr>
              <w:t>purposes</w:t>
            </w:r>
            <w:r w:rsidRPr="00150EDC">
              <w:rPr>
                <w:spacing w:val="-8"/>
                <w:sz w:val="20"/>
              </w:rPr>
              <w:t xml:space="preserve"> </w:t>
            </w:r>
            <w:r w:rsidRPr="00150EDC">
              <w:rPr>
                <w:sz w:val="20"/>
              </w:rPr>
              <w:t>of</w:t>
            </w:r>
            <w:r w:rsidRPr="00150EDC">
              <w:rPr>
                <w:spacing w:val="-4"/>
                <w:sz w:val="20"/>
              </w:rPr>
              <w:t xml:space="preserve"> </w:t>
            </w:r>
            <w:r w:rsidRPr="00150EDC">
              <w:rPr>
                <w:spacing w:val="-2"/>
                <w:sz w:val="20"/>
              </w:rPr>
              <w:t>prostitution</w:t>
            </w:r>
          </w:p>
        </w:tc>
      </w:tr>
      <w:tr w:rsidR="004569EE" w:rsidRPr="007D3144" w14:paraId="4C412C47" w14:textId="77777777">
        <w:trPr>
          <w:trHeight w:val="255"/>
        </w:trPr>
        <w:tc>
          <w:tcPr>
            <w:tcW w:w="6517" w:type="dxa"/>
          </w:tcPr>
          <w:p w14:paraId="2A943F73" w14:textId="77777777" w:rsidR="004C7180" w:rsidRPr="00150EDC" w:rsidRDefault="00CF0754">
            <w:pPr>
              <w:pStyle w:val="TableParagraph"/>
              <w:rPr>
                <w:sz w:val="20"/>
              </w:rPr>
            </w:pPr>
            <w:r w:rsidRPr="00150EDC">
              <w:rPr>
                <w:sz w:val="20"/>
              </w:rPr>
              <w:t>Sexual</w:t>
            </w:r>
            <w:r w:rsidRPr="00150EDC">
              <w:rPr>
                <w:spacing w:val="-5"/>
                <w:sz w:val="20"/>
              </w:rPr>
              <w:t xml:space="preserve"> </w:t>
            </w:r>
            <w:r w:rsidRPr="00150EDC">
              <w:rPr>
                <w:sz w:val="20"/>
              </w:rPr>
              <w:t>Offences</w:t>
            </w:r>
            <w:r w:rsidRPr="00150EDC">
              <w:rPr>
                <w:spacing w:val="-1"/>
                <w:sz w:val="20"/>
              </w:rPr>
              <w:t xml:space="preserve"> </w:t>
            </w:r>
            <w:r w:rsidRPr="00150EDC">
              <w:rPr>
                <w:sz w:val="20"/>
              </w:rPr>
              <w:t>Act</w:t>
            </w:r>
            <w:r w:rsidRPr="00150EDC">
              <w:rPr>
                <w:spacing w:val="-5"/>
                <w:sz w:val="20"/>
              </w:rPr>
              <w:t xml:space="preserve"> </w:t>
            </w:r>
            <w:r w:rsidRPr="00150EDC">
              <w:rPr>
                <w:sz w:val="20"/>
              </w:rPr>
              <w:t>1992</w:t>
            </w:r>
            <w:r w:rsidRPr="00150EDC">
              <w:rPr>
                <w:spacing w:val="-7"/>
                <w:sz w:val="20"/>
              </w:rPr>
              <w:t xml:space="preserve"> </w:t>
            </w:r>
            <w:r w:rsidRPr="00150EDC">
              <w:rPr>
                <w:sz w:val="20"/>
              </w:rPr>
              <w:t>(Isle</w:t>
            </w:r>
            <w:r w:rsidRPr="00150EDC">
              <w:rPr>
                <w:spacing w:val="-1"/>
                <w:sz w:val="20"/>
              </w:rPr>
              <w:t xml:space="preserve"> </w:t>
            </w:r>
            <w:r w:rsidRPr="00150EDC">
              <w:rPr>
                <w:sz w:val="20"/>
              </w:rPr>
              <w:t>of</w:t>
            </w:r>
            <w:r w:rsidRPr="00150EDC">
              <w:rPr>
                <w:spacing w:val="-7"/>
                <w:sz w:val="20"/>
              </w:rPr>
              <w:t xml:space="preserve"> </w:t>
            </w:r>
            <w:r w:rsidRPr="00150EDC">
              <w:rPr>
                <w:sz w:val="20"/>
              </w:rPr>
              <w:t>Man),</w:t>
            </w:r>
            <w:r w:rsidRPr="00150EDC">
              <w:rPr>
                <w:spacing w:val="-6"/>
                <w:sz w:val="20"/>
              </w:rPr>
              <w:t xml:space="preserve"> </w:t>
            </w:r>
            <w:r w:rsidRPr="00150EDC">
              <w:rPr>
                <w:spacing w:val="-5"/>
                <w:sz w:val="20"/>
              </w:rPr>
              <w:t>s28</w:t>
            </w:r>
          </w:p>
        </w:tc>
        <w:tc>
          <w:tcPr>
            <w:tcW w:w="7427" w:type="dxa"/>
          </w:tcPr>
          <w:p w14:paraId="1452EC55" w14:textId="77777777" w:rsidR="004C7180" w:rsidRPr="00150EDC" w:rsidRDefault="00CF0754">
            <w:pPr>
              <w:pStyle w:val="TableParagraph"/>
              <w:rPr>
                <w:sz w:val="20"/>
              </w:rPr>
            </w:pPr>
            <w:r w:rsidRPr="00150EDC">
              <w:rPr>
                <w:sz w:val="20"/>
              </w:rPr>
              <w:t>Brothel</w:t>
            </w:r>
            <w:r w:rsidRPr="00150EDC">
              <w:rPr>
                <w:spacing w:val="-8"/>
                <w:sz w:val="20"/>
              </w:rPr>
              <w:t xml:space="preserve"> </w:t>
            </w:r>
            <w:r w:rsidRPr="00150EDC">
              <w:rPr>
                <w:spacing w:val="-2"/>
                <w:sz w:val="20"/>
              </w:rPr>
              <w:t>keeping</w:t>
            </w:r>
          </w:p>
        </w:tc>
      </w:tr>
      <w:tr w:rsidR="004569EE" w:rsidRPr="007D3144" w14:paraId="0DCEE12E" w14:textId="77777777">
        <w:trPr>
          <w:trHeight w:val="255"/>
        </w:trPr>
        <w:tc>
          <w:tcPr>
            <w:tcW w:w="6517" w:type="dxa"/>
          </w:tcPr>
          <w:p w14:paraId="7B4C90DB" w14:textId="77777777" w:rsidR="004C7180" w:rsidRPr="00150EDC" w:rsidRDefault="00CF0754">
            <w:pPr>
              <w:pStyle w:val="TableParagraph"/>
              <w:spacing w:before="28"/>
              <w:rPr>
                <w:sz w:val="20"/>
              </w:rPr>
            </w:pPr>
            <w:r w:rsidRPr="00150EDC">
              <w:rPr>
                <w:sz w:val="20"/>
              </w:rPr>
              <w:t>Sexual</w:t>
            </w:r>
            <w:r w:rsidRPr="00150EDC">
              <w:rPr>
                <w:spacing w:val="-5"/>
                <w:sz w:val="20"/>
              </w:rPr>
              <w:t xml:space="preserve"> </w:t>
            </w:r>
            <w:r w:rsidRPr="00150EDC">
              <w:rPr>
                <w:sz w:val="20"/>
              </w:rPr>
              <w:t>Offences</w:t>
            </w:r>
            <w:r w:rsidRPr="00150EDC">
              <w:rPr>
                <w:spacing w:val="-1"/>
                <w:sz w:val="20"/>
              </w:rPr>
              <w:t xml:space="preserve"> </w:t>
            </w:r>
            <w:r w:rsidRPr="00150EDC">
              <w:rPr>
                <w:sz w:val="20"/>
              </w:rPr>
              <w:t>Act</w:t>
            </w:r>
            <w:r w:rsidRPr="00150EDC">
              <w:rPr>
                <w:spacing w:val="-5"/>
                <w:sz w:val="20"/>
              </w:rPr>
              <w:t xml:space="preserve"> </w:t>
            </w:r>
            <w:r w:rsidRPr="00150EDC">
              <w:rPr>
                <w:sz w:val="20"/>
              </w:rPr>
              <w:t>1992</w:t>
            </w:r>
            <w:r w:rsidRPr="00150EDC">
              <w:rPr>
                <w:spacing w:val="-7"/>
                <w:sz w:val="20"/>
              </w:rPr>
              <w:t xml:space="preserve"> </w:t>
            </w:r>
            <w:r w:rsidRPr="00150EDC">
              <w:rPr>
                <w:sz w:val="20"/>
              </w:rPr>
              <w:t>(Isle</w:t>
            </w:r>
            <w:r w:rsidRPr="00150EDC">
              <w:rPr>
                <w:spacing w:val="-1"/>
                <w:sz w:val="20"/>
              </w:rPr>
              <w:t xml:space="preserve"> </w:t>
            </w:r>
            <w:r w:rsidRPr="00150EDC">
              <w:rPr>
                <w:sz w:val="20"/>
              </w:rPr>
              <w:t>of</w:t>
            </w:r>
            <w:r w:rsidRPr="00150EDC">
              <w:rPr>
                <w:spacing w:val="-7"/>
                <w:sz w:val="20"/>
              </w:rPr>
              <w:t xml:space="preserve"> </w:t>
            </w:r>
            <w:r w:rsidRPr="00150EDC">
              <w:rPr>
                <w:sz w:val="20"/>
              </w:rPr>
              <w:t>Man),</w:t>
            </w:r>
            <w:r w:rsidRPr="00150EDC">
              <w:rPr>
                <w:spacing w:val="-6"/>
                <w:sz w:val="20"/>
              </w:rPr>
              <w:t xml:space="preserve"> </w:t>
            </w:r>
            <w:r w:rsidRPr="00150EDC">
              <w:rPr>
                <w:spacing w:val="-5"/>
                <w:sz w:val="20"/>
              </w:rPr>
              <w:t>s29</w:t>
            </w:r>
          </w:p>
        </w:tc>
        <w:tc>
          <w:tcPr>
            <w:tcW w:w="7427" w:type="dxa"/>
          </w:tcPr>
          <w:p w14:paraId="435E256F" w14:textId="77777777" w:rsidR="004C7180" w:rsidRPr="00150EDC" w:rsidRDefault="00CF0754">
            <w:pPr>
              <w:pStyle w:val="TableParagraph"/>
              <w:spacing w:before="28"/>
              <w:rPr>
                <w:sz w:val="20"/>
              </w:rPr>
            </w:pPr>
            <w:r w:rsidRPr="00150EDC">
              <w:rPr>
                <w:sz w:val="20"/>
              </w:rPr>
              <w:t>Letting</w:t>
            </w:r>
            <w:r w:rsidRPr="00150EDC">
              <w:rPr>
                <w:spacing w:val="-7"/>
                <w:sz w:val="20"/>
              </w:rPr>
              <w:t xml:space="preserve"> </w:t>
            </w:r>
            <w:r w:rsidRPr="00150EDC">
              <w:rPr>
                <w:sz w:val="20"/>
              </w:rPr>
              <w:t>premises</w:t>
            </w:r>
            <w:r w:rsidRPr="00150EDC">
              <w:rPr>
                <w:spacing w:val="-1"/>
                <w:sz w:val="20"/>
              </w:rPr>
              <w:t xml:space="preserve"> </w:t>
            </w:r>
            <w:r w:rsidRPr="00150EDC">
              <w:rPr>
                <w:sz w:val="20"/>
              </w:rPr>
              <w:t>for</w:t>
            </w:r>
            <w:r w:rsidRPr="00150EDC">
              <w:rPr>
                <w:spacing w:val="-2"/>
                <w:sz w:val="20"/>
              </w:rPr>
              <w:t xml:space="preserve"> </w:t>
            </w:r>
            <w:r w:rsidRPr="00150EDC">
              <w:rPr>
                <w:sz w:val="20"/>
              </w:rPr>
              <w:t>use</w:t>
            </w:r>
            <w:r w:rsidRPr="00150EDC">
              <w:rPr>
                <w:spacing w:val="-7"/>
                <w:sz w:val="20"/>
              </w:rPr>
              <w:t xml:space="preserve"> </w:t>
            </w:r>
            <w:r w:rsidRPr="00150EDC">
              <w:rPr>
                <w:sz w:val="20"/>
              </w:rPr>
              <w:t>as</w:t>
            </w:r>
            <w:r w:rsidRPr="00150EDC">
              <w:rPr>
                <w:spacing w:val="-1"/>
                <w:sz w:val="20"/>
              </w:rPr>
              <w:t xml:space="preserve"> </w:t>
            </w:r>
            <w:r w:rsidRPr="00150EDC">
              <w:rPr>
                <w:spacing w:val="-2"/>
                <w:sz w:val="20"/>
              </w:rPr>
              <w:t>brothel</w:t>
            </w:r>
          </w:p>
        </w:tc>
      </w:tr>
      <w:tr w:rsidR="004569EE" w:rsidRPr="007D3144" w14:paraId="266C8CFB" w14:textId="77777777">
        <w:trPr>
          <w:trHeight w:val="255"/>
        </w:trPr>
        <w:tc>
          <w:tcPr>
            <w:tcW w:w="6517" w:type="dxa"/>
          </w:tcPr>
          <w:p w14:paraId="54A14A9F" w14:textId="77777777" w:rsidR="004C7180" w:rsidRPr="00150EDC" w:rsidRDefault="00CF0754">
            <w:pPr>
              <w:pStyle w:val="TableParagraph"/>
              <w:rPr>
                <w:sz w:val="20"/>
              </w:rPr>
            </w:pPr>
            <w:r w:rsidRPr="00150EDC">
              <w:rPr>
                <w:sz w:val="20"/>
              </w:rPr>
              <w:t>Sexual</w:t>
            </w:r>
            <w:r w:rsidRPr="00150EDC">
              <w:rPr>
                <w:spacing w:val="-5"/>
                <w:sz w:val="20"/>
              </w:rPr>
              <w:t xml:space="preserve"> </w:t>
            </w:r>
            <w:r w:rsidRPr="00150EDC">
              <w:rPr>
                <w:sz w:val="20"/>
              </w:rPr>
              <w:t>Offences</w:t>
            </w:r>
            <w:r w:rsidRPr="00150EDC">
              <w:rPr>
                <w:spacing w:val="-1"/>
                <w:sz w:val="20"/>
              </w:rPr>
              <w:t xml:space="preserve"> </w:t>
            </w:r>
            <w:r w:rsidRPr="00150EDC">
              <w:rPr>
                <w:sz w:val="20"/>
              </w:rPr>
              <w:t>Act</w:t>
            </w:r>
            <w:r w:rsidRPr="00150EDC">
              <w:rPr>
                <w:spacing w:val="-5"/>
                <w:sz w:val="20"/>
              </w:rPr>
              <w:t xml:space="preserve"> </w:t>
            </w:r>
            <w:r w:rsidRPr="00150EDC">
              <w:rPr>
                <w:sz w:val="20"/>
              </w:rPr>
              <w:t>1992</w:t>
            </w:r>
            <w:r w:rsidRPr="00150EDC">
              <w:rPr>
                <w:spacing w:val="-7"/>
                <w:sz w:val="20"/>
              </w:rPr>
              <w:t xml:space="preserve"> </w:t>
            </w:r>
            <w:r w:rsidRPr="00150EDC">
              <w:rPr>
                <w:sz w:val="20"/>
              </w:rPr>
              <w:t>(Isle</w:t>
            </w:r>
            <w:r w:rsidRPr="00150EDC">
              <w:rPr>
                <w:spacing w:val="-1"/>
                <w:sz w:val="20"/>
              </w:rPr>
              <w:t xml:space="preserve"> </w:t>
            </w:r>
            <w:r w:rsidRPr="00150EDC">
              <w:rPr>
                <w:sz w:val="20"/>
              </w:rPr>
              <w:t>of</w:t>
            </w:r>
            <w:r w:rsidRPr="00150EDC">
              <w:rPr>
                <w:spacing w:val="-7"/>
                <w:sz w:val="20"/>
              </w:rPr>
              <w:t xml:space="preserve"> </w:t>
            </w:r>
            <w:r w:rsidRPr="00150EDC">
              <w:rPr>
                <w:sz w:val="20"/>
              </w:rPr>
              <w:t>Man),</w:t>
            </w:r>
            <w:r w:rsidRPr="00150EDC">
              <w:rPr>
                <w:spacing w:val="-6"/>
                <w:sz w:val="20"/>
              </w:rPr>
              <w:t xml:space="preserve"> </w:t>
            </w:r>
            <w:r w:rsidRPr="00150EDC">
              <w:rPr>
                <w:spacing w:val="-5"/>
                <w:sz w:val="20"/>
              </w:rPr>
              <w:t>s3</w:t>
            </w:r>
          </w:p>
        </w:tc>
        <w:tc>
          <w:tcPr>
            <w:tcW w:w="7427" w:type="dxa"/>
          </w:tcPr>
          <w:p w14:paraId="4AB89658" w14:textId="77777777" w:rsidR="004C7180" w:rsidRPr="00150EDC" w:rsidRDefault="00CF0754">
            <w:pPr>
              <w:pStyle w:val="TableParagraph"/>
              <w:rPr>
                <w:sz w:val="20"/>
              </w:rPr>
            </w:pPr>
            <w:r w:rsidRPr="00150EDC">
              <w:rPr>
                <w:sz w:val="20"/>
              </w:rPr>
              <w:t>Administering</w:t>
            </w:r>
            <w:r w:rsidRPr="00150EDC">
              <w:rPr>
                <w:spacing w:val="-4"/>
                <w:sz w:val="20"/>
              </w:rPr>
              <w:t xml:space="preserve"> </w:t>
            </w:r>
            <w:r w:rsidRPr="00150EDC">
              <w:rPr>
                <w:sz w:val="20"/>
              </w:rPr>
              <w:t>drugs</w:t>
            </w:r>
            <w:r w:rsidRPr="00150EDC">
              <w:rPr>
                <w:spacing w:val="-4"/>
                <w:sz w:val="20"/>
              </w:rPr>
              <w:t xml:space="preserve"> </w:t>
            </w:r>
            <w:r w:rsidRPr="00150EDC">
              <w:rPr>
                <w:sz w:val="20"/>
              </w:rPr>
              <w:t>for</w:t>
            </w:r>
            <w:r w:rsidRPr="00150EDC">
              <w:rPr>
                <w:spacing w:val="-8"/>
                <w:sz w:val="20"/>
              </w:rPr>
              <w:t xml:space="preserve"> </w:t>
            </w:r>
            <w:r w:rsidRPr="00150EDC">
              <w:rPr>
                <w:sz w:val="20"/>
              </w:rPr>
              <w:t>sexual</w:t>
            </w:r>
            <w:r w:rsidRPr="00150EDC">
              <w:rPr>
                <w:spacing w:val="-6"/>
                <w:sz w:val="20"/>
              </w:rPr>
              <w:t xml:space="preserve"> </w:t>
            </w:r>
            <w:r w:rsidRPr="00150EDC">
              <w:rPr>
                <w:spacing w:val="-2"/>
                <w:sz w:val="20"/>
              </w:rPr>
              <w:t>purposes</w:t>
            </w:r>
          </w:p>
        </w:tc>
      </w:tr>
      <w:tr w:rsidR="004569EE" w:rsidRPr="007D3144" w14:paraId="679438A2" w14:textId="77777777">
        <w:trPr>
          <w:trHeight w:val="255"/>
        </w:trPr>
        <w:tc>
          <w:tcPr>
            <w:tcW w:w="6517" w:type="dxa"/>
          </w:tcPr>
          <w:p w14:paraId="2D6938F3" w14:textId="77777777" w:rsidR="004C7180" w:rsidRPr="00150EDC" w:rsidRDefault="00CF0754">
            <w:pPr>
              <w:pStyle w:val="TableParagraph"/>
              <w:rPr>
                <w:sz w:val="20"/>
              </w:rPr>
            </w:pPr>
            <w:r w:rsidRPr="00150EDC">
              <w:rPr>
                <w:sz w:val="20"/>
              </w:rPr>
              <w:t>Sexual</w:t>
            </w:r>
            <w:r w:rsidRPr="00150EDC">
              <w:rPr>
                <w:spacing w:val="-5"/>
                <w:sz w:val="20"/>
              </w:rPr>
              <w:t xml:space="preserve"> </w:t>
            </w:r>
            <w:r w:rsidRPr="00150EDC">
              <w:rPr>
                <w:sz w:val="20"/>
              </w:rPr>
              <w:t>Offences</w:t>
            </w:r>
            <w:r w:rsidRPr="00150EDC">
              <w:rPr>
                <w:spacing w:val="-1"/>
                <w:sz w:val="20"/>
              </w:rPr>
              <w:t xml:space="preserve"> </w:t>
            </w:r>
            <w:r w:rsidRPr="00150EDC">
              <w:rPr>
                <w:sz w:val="20"/>
              </w:rPr>
              <w:t>Act</w:t>
            </w:r>
            <w:r w:rsidRPr="00150EDC">
              <w:rPr>
                <w:spacing w:val="-5"/>
                <w:sz w:val="20"/>
              </w:rPr>
              <w:t xml:space="preserve"> </w:t>
            </w:r>
            <w:r w:rsidRPr="00150EDC">
              <w:rPr>
                <w:sz w:val="20"/>
              </w:rPr>
              <w:t>1992</w:t>
            </w:r>
            <w:r w:rsidRPr="00150EDC">
              <w:rPr>
                <w:spacing w:val="-7"/>
                <w:sz w:val="20"/>
              </w:rPr>
              <w:t xml:space="preserve"> </w:t>
            </w:r>
            <w:r w:rsidRPr="00150EDC">
              <w:rPr>
                <w:sz w:val="20"/>
              </w:rPr>
              <w:t>(Isle</w:t>
            </w:r>
            <w:r w:rsidRPr="00150EDC">
              <w:rPr>
                <w:spacing w:val="-1"/>
                <w:sz w:val="20"/>
              </w:rPr>
              <w:t xml:space="preserve"> </w:t>
            </w:r>
            <w:r w:rsidRPr="00150EDC">
              <w:rPr>
                <w:sz w:val="20"/>
              </w:rPr>
              <w:t>of</w:t>
            </w:r>
            <w:r w:rsidRPr="00150EDC">
              <w:rPr>
                <w:spacing w:val="-7"/>
                <w:sz w:val="20"/>
              </w:rPr>
              <w:t xml:space="preserve"> </w:t>
            </w:r>
            <w:r w:rsidRPr="00150EDC">
              <w:rPr>
                <w:sz w:val="20"/>
              </w:rPr>
              <w:t>Man),</w:t>
            </w:r>
            <w:r w:rsidRPr="00150EDC">
              <w:rPr>
                <w:spacing w:val="-6"/>
                <w:sz w:val="20"/>
              </w:rPr>
              <w:t xml:space="preserve"> </w:t>
            </w:r>
            <w:r w:rsidRPr="00150EDC">
              <w:rPr>
                <w:spacing w:val="-5"/>
                <w:sz w:val="20"/>
              </w:rPr>
              <w:t>s30</w:t>
            </w:r>
          </w:p>
        </w:tc>
        <w:tc>
          <w:tcPr>
            <w:tcW w:w="7427" w:type="dxa"/>
          </w:tcPr>
          <w:p w14:paraId="38BA8BDC" w14:textId="77777777" w:rsidR="004C7180" w:rsidRPr="00150EDC" w:rsidRDefault="00CF0754">
            <w:pPr>
              <w:pStyle w:val="TableParagraph"/>
              <w:rPr>
                <w:sz w:val="20"/>
              </w:rPr>
            </w:pPr>
            <w:r w:rsidRPr="00150EDC">
              <w:rPr>
                <w:sz w:val="20"/>
              </w:rPr>
              <w:t>Cause</w:t>
            </w:r>
            <w:r w:rsidRPr="00150EDC">
              <w:rPr>
                <w:spacing w:val="-5"/>
                <w:sz w:val="20"/>
              </w:rPr>
              <w:t xml:space="preserve"> </w:t>
            </w:r>
            <w:r w:rsidRPr="00150EDC">
              <w:rPr>
                <w:sz w:val="20"/>
              </w:rPr>
              <w:t>girl</w:t>
            </w:r>
            <w:r w:rsidRPr="00150EDC">
              <w:rPr>
                <w:spacing w:val="-2"/>
                <w:sz w:val="20"/>
              </w:rPr>
              <w:t xml:space="preserve"> </w:t>
            </w:r>
            <w:r w:rsidRPr="00150EDC">
              <w:rPr>
                <w:sz w:val="20"/>
              </w:rPr>
              <w:t>under</w:t>
            </w:r>
            <w:r w:rsidRPr="00150EDC">
              <w:rPr>
                <w:spacing w:val="1"/>
                <w:sz w:val="20"/>
              </w:rPr>
              <w:t xml:space="preserve"> </w:t>
            </w:r>
            <w:r w:rsidRPr="00150EDC">
              <w:rPr>
                <w:sz w:val="20"/>
              </w:rPr>
              <w:t>16</w:t>
            </w:r>
            <w:r w:rsidRPr="00150EDC">
              <w:rPr>
                <w:spacing w:val="-5"/>
                <w:sz w:val="20"/>
              </w:rPr>
              <w:t xml:space="preserve"> </w:t>
            </w:r>
            <w:r w:rsidRPr="00150EDC">
              <w:rPr>
                <w:sz w:val="20"/>
              </w:rPr>
              <w:t>to</w:t>
            </w:r>
            <w:r w:rsidRPr="00150EDC">
              <w:rPr>
                <w:spacing w:val="-4"/>
                <w:sz w:val="20"/>
              </w:rPr>
              <w:t xml:space="preserve"> </w:t>
            </w:r>
            <w:r w:rsidRPr="00150EDC">
              <w:rPr>
                <w:sz w:val="20"/>
              </w:rPr>
              <w:t>becoem</w:t>
            </w:r>
            <w:r w:rsidRPr="00150EDC">
              <w:rPr>
                <w:spacing w:val="-3"/>
                <w:sz w:val="20"/>
              </w:rPr>
              <w:t xml:space="preserve"> </w:t>
            </w:r>
            <w:r w:rsidRPr="00150EDC">
              <w:rPr>
                <w:sz w:val="20"/>
              </w:rPr>
              <w:t>prostitute,</w:t>
            </w:r>
            <w:r w:rsidRPr="00150EDC">
              <w:rPr>
                <w:spacing w:val="-4"/>
                <w:sz w:val="20"/>
              </w:rPr>
              <w:t xml:space="preserve"> </w:t>
            </w:r>
            <w:r w:rsidRPr="00150EDC">
              <w:rPr>
                <w:sz w:val="20"/>
              </w:rPr>
              <w:t>permit</w:t>
            </w:r>
            <w:r w:rsidRPr="00150EDC">
              <w:rPr>
                <w:spacing w:val="-4"/>
                <w:sz w:val="20"/>
              </w:rPr>
              <w:t xml:space="preserve"> </w:t>
            </w:r>
            <w:r w:rsidRPr="00150EDC">
              <w:rPr>
                <w:sz w:val="20"/>
              </w:rPr>
              <w:t>premises</w:t>
            </w:r>
            <w:r w:rsidRPr="00150EDC">
              <w:rPr>
                <w:spacing w:val="-3"/>
                <w:sz w:val="20"/>
              </w:rPr>
              <w:t xml:space="preserve"> </w:t>
            </w:r>
            <w:r w:rsidRPr="00150EDC">
              <w:rPr>
                <w:sz w:val="20"/>
              </w:rPr>
              <w:t>to</w:t>
            </w:r>
            <w:r w:rsidRPr="00150EDC">
              <w:rPr>
                <w:spacing w:val="-4"/>
                <w:sz w:val="20"/>
              </w:rPr>
              <w:t xml:space="preserve"> </w:t>
            </w:r>
            <w:r w:rsidRPr="00150EDC">
              <w:rPr>
                <w:sz w:val="20"/>
              </w:rPr>
              <w:t>be</w:t>
            </w:r>
            <w:r w:rsidRPr="00150EDC">
              <w:rPr>
                <w:spacing w:val="-4"/>
                <w:sz w:val="20"/>
              </w:rPr>
              <w:t xml:space="preserve"> </w:t>
            </w:r>
            <w:r w:rsidRPr="00150EDC">
              <w:rPr>
                <w:sz w:val="20"/>
              </w:rPr>
              <w:t>used</w:t>
            </w:r>
            <w:r w:rsidRPr="00150EDC">
              <w:rPr>
                <w:spacing w:val="-5"/>
                <w:sz w:val="20"/>
              </w:rPr>
              <w:t xml:space="preserve"> </w:t>
            </w:r>
            <w:r w:rsidRPr="00150EDC">
              <w:rPr>
                <w:sz w:val="20"/>
              </w:rPr>
              <w:t>as</w:t>
            </w:r>
            <w:r w:rsidRPr="00150EDC">
              <w:rPr>
                <w:spacing w:val="2"/>
                <w:sz w:val="20"/>
              </w:rPr>
              <w:t xml:space="preserve"> </w:t>
            </w:r>
            <w:r w:rsidRPr="00150EDC">
              <w:rPr>
                <w:spacing w:val="-2"/>
                <w:sz w:val="20"/>
              </w:rPr>
              <w:t>brothel</w:t>
            </w:r>
          </w:p>
        </w:tc>
      </w:tr>
      <w:tr w:rsidR="004569EE" w:rsidRPr="007D3144" w14:paraId="49E7461E" w14:textId="77777777">
        <w:trPr>
          <w:trHeight w:val="255"/>
        </w:trPr>
        <w:tc>
          <w:tcPr>
            <w:tcW w:w="6517" w:type="dxa"/>
          </w:tcPr>
          <w:p w14:paraId="3C4D8428" w14:textId="77777777" w:rsidR="004C7180" w:rsidRPr="00150EDC" w:rsidRDefault="00CF0754">
            <w:pPr>
              <w:pStyle w:val="TableParagraph"/>
              <w:rPr>
                <w:sz w:val="20"/>
              </w:rPr>
            </w:pPr>
            <w:r w:rsidRPr="00150EDC">
              <w:rPr>
                <w:sz w:val="20"/>
              </w:rPr>
              <w:t>Sexual</w:t>
            </w:r>
            <w:r w:rsidRPr="00150EDC">
              <w:rPr>
                <w:spacing w:val="-5"/>
                <w:sz w:val="20"/>
              </w:rPr>
              <w:t xml:space="preserve"> </w:t>
            </w:r>
            <w:r w:rsidRPr="00150EDC">
              <w:rPr>
                <w:sz w:val="20"/>
              </w:rPr>
              <w:t>Offences</w:t>
            </w:r>
            <w:r w:rsidRPr="00150EDC">
              <w:rPr>
                <w:spacing w:val="-1"/>
                <w:sz w:val="20"/>
              </w:rPr>
              <w:t xml:space="preserve"> </w:t>
            </w:r>
            <w:r w:rsidRPr="00150EDC">
              <w:rPr>
                <w:sz w:val="20"/>
              </w:rPr>
              <w:t>Act</w:t>
            </w:r>
            <w:r w:rsidRPr="00150EDC">
              <w:rPr>
                <w:spacing w:val="-5"/>
                <w:sz w:val="20"/>
              </w:rPr>
              <w:t xml:space="preserve"> </w:t>
            </w:r>
            <w:r w:rsidRPr="00150EDC">
              <w:rPr>
                <w:sz w:val="20"/>
              </w:rPr>
              <w:t>1992</w:t>
            </w:r>
            <w:r w:rsidRPr="00150EDC">
              <w:rPr>
                <w:spacing w:val="-7"/>
                <w:sz w:val="20"/>
              </w:rPr>
              <w:t xml:space="preserve"> </w:t>
            </w:r>
            <w:r w:rsidRPr="00150EDC">
              <w:rPr>
                <w:sz w:val="20"/>
              </w:rPr>
              <w:t>(Isle</w:t>
            </w:r>
            <w:r w:rsidRPr="00150EDC">
              <w:rPr>
                <w:spacing w:val="-1"/>
                <w:sz w:val="20"/>
              </w:rPr>
              <w:t xml:space="preserve"> </w:t>
            </w:r>
            <w:r w:rsidRPr="00150EDC">
              <w:rPr>
                <w:sz w:val="20"/>
              </w:rPr>
              <w:t>of</w:t>
            </w:r>
            <w:r w:rsidRPr="00150EDC">
              <w:rPr>
                <w:spacing w:val="-7"/>
                <w:sz w:val="20"/>
              </w:rPr>
              <w:t xml:space="preserve"> </w:t>
            </w:r>
            <w:r w:rsidRPr="00150EDC">
              <w:rPr>
                <w:sz w:val="20"/>
              </w:rPr>
              <w:t>Man),</w:t>
            </w:r>
            <w:r w:rsidRPr="00150EDC">
              <w:rPr>
                <w:spacing w:val="-6"/>
                <w:sz w:val="20"/>
              </w:rPr>
              <w:t xml:space="preserve"> </w:t>
            </w:r>
            <w:r w:rsidRPr="00150EDC">
              <w:rPr>
                <w:spacing w:val="-5"/>
                <w:sz w:val="20"/>
              </w:rPr>
              <w:t>s31</w:t>
            </w:r>
          </w:p>
        </w:tc>
        <w:tc>
          <w:tcPr>
            <w:tcW w:w="7427" w:type="dxa"/>
          </w:tcPr>
          <w:p w14:paraId="04D3BC31" w14:textId="77777777" w:rsidR="004C7180" w:rsidRPr="00150EDC" w:rsidRDefault="00CF0754">
            <w:pPr>
              <w:pStyle w:val="TableParagraph"/>
              <w:rPr>
                <w:sz w:val="20"/>
              </w:rPr>
            </w:pPr>
            <w:r w:rsidRPr="00150EDC">
              <w:rPr>
                <w:sz w:val="20"/>
              </w:rPr>
              <w:t>Permit</w:t>
            </w:r>
            <w:r w:rsidRPr="00150EDC">
              <w:rPr>
                <w:spacing w:val="-3"/>
                <w:sz w:val="20"/>
              </w:rPr>
              <w:t xml:space="preserve"> </w:t>
            </w:r>
            <w:r w:rsidRPr="00150EDC">
              <w:rPr>
                <w:sz w:val="20"/>
              </w:rPr>
              <w:t>premises</w:t>
            </w:r>
            <w:r w:rsidRPr="00150EDC">
              <w:rPr>
                <w:spacing w:val="-3"/>
                <w:sz w:val="20"/>
              </w:rPr>
              <w:t xml:space="preserve"> </w:t>
            </w:r>
            <w:r w:rsidRPr="00150EDC">
              <w:rPr>
                <w:sz w:val="20"/>
              </w:rPr>
              <w:t>to be</w:t>
            </w:r>
            <w:r w:rsidRPr="00150EDC">
              <w:rPr>
                <w:spacing w:val="-4"/>
                <w:sz w:val="20"/>
              </w:rPr>
              <w:t xml:space="preserve"> </w:t>
            </w:r>
            <w:r w:rsidRPr="00150EDC">
              <w:rPr>
                <w:sz w:val="20"/>
              </w:rPr>
              <w:t>used</w:t>
            </w:r>
            <w:r w:rsidRPr="00150EDC">
              <w:rPr>
                <w:spacing w:val="-4"/>
                <w:sz w:val="20"/>
              </w:rPr>
              <w:t xml:space="preserve"> </w:t>
            </w:r>
            <w:r w:rsidRPr="00150EDC">
              <w:rPr>
                <w:sz w:val="20"/>
              </w:rPr>
              <w:t>for</w:t>
            </w:r>
            <w:r w:rsidRPr="00150EDC">
              <w:rPr>
                <w:spacing w:val="-3"/>
                <w:sz w:val="20"/>
              </w:rPr>
              <w:t xml:space="preserve"> </w:t>
            </w:r>
            <w:r w:rsidRPr="00150EDC">
              <w:rPr>
                <w:spacing w:val="-2"/>
                <w:sz w:val="20"/>
              </w:rPr>
              <w:t>prostitution</w:t>
            </w:r>
          </w:p>
        </w:tc>
      </w:tr>
      <w:tr w:rsidR="004569EE" w:rsidRPr="007D3144" w14:paraId="5422A98D" w14:textId="77777777">
        <w:trPr>
          <w:trHeight w:val="255"/>
        </w:trPr>
        <w:tc>
          <w:tcPr>
            <w:tcW w:w="6517" w:type="dxa"/>
          </w:tcPr>
          <w:p w14:paraId="4879CE15" w14:textId="77777777" w:rsidR="004C7180" w:rsidRPr="00150EDC" w:rsidRDefault="00CF0754">
            <w:pPr>
              <w:pStyle w:val="TableParagraph"/>
              <w:spacing w:before="28"/>
              <w:rPr>
                <w:sz w:val="20"/>
              </w:rPr>
            </w:pPr>
            <w:r w:rsidRPr="00150EDC">
              <w:rPr>
                <w:sz w:val="20"/>
              </w:rPr>
              <w:t>Sexual</w:t>
            </w:r>
            <w:r w:rsidRPr="00150EDC">
              <w:rPr>
                <w:spacing w:val="-5"/>
                <w:sz w:val="20"/>
              </w:rPr>
              <w:t xml:space="preserve"> </w:t>
            </w:r>
            <w:r w:rsidRPr="00150EDC">
              <w:rPr>
                <w:sz w:val="20"/>
              </w:rPr>
              <w:t>Offences</w:t>
            </w:r>
            <w:r w:rsidRPr="00150EDC">
              <w:rPr>
                <w:spacing w:val="-1"/>
                <w:sz w:val="20"/>
              </w:rPr>
              <w:t xml:space="preserve"> </w:t>
            </w:r>
            <w:r w:rsidRPr="00150EDC">
              <w:rPr>
                <w:sz w:val="20"/>
              </w:rPr>
              <w:t>Act</w:t>
            </w:r>
            <w:r w:rsidRPr="00150EDC">
              <w:rPr>
                <w:spacing w:val="-5"/>
                <w:sz w:val="20"/>
              </w:rPr>
              <w:t xml:space="preserve"> </w:t>
            </w:r>
            <w:r w:rsidRPr="00150EDC">
              <w:rPr>
                <w:sz w:val="20"/>
              </w:rPr>
              <w:t>1992</w:t>
            </w:r>
            <w:r w:rsidRPr="00150EDC">
              <w:rPr>
                <w:spacing w:val="-7"/>
                <w:sz w:val="20"/>
              </w:rPr>
              <w:t xml:space="preserve"> </w:t>
            </w:r>
            <w:r w:rsidRPr="00150EDC">
              <w:rPr>
                <w:sz w:val="20"/>
              </w:rPr>
              <w:t>(Isle</w:t>
            </w:r>
            <w:r w:rsidRPr="00150EDC">
              <w:rPr>
                <w:spacing w:val="-1"/>
                <w:sz w:val="20"/>
              </w:rPr>
              <w:t xml:space="preserve"> </w:t>
            </w:r>
            <w:r w:rsidRPr="00150EDC">
              <w:rPr>
                <w:sz w:val="20"/>
              </w:rPr>
              <w:t>of</w:t>
            </w:r>
            <w:r w:rsidRPr="00150EDC">
              <w:rPr>
                <w:spacing w:val="-7"/>
                <w:sz w:val="20"/>
              </w:rPr>
              <w:t xml:space="preserve"> </w:t>
            </w:r>
            <w:r w:rsidRPr="00150EDC">
              <w:rPr>
                <w:sz w:val="20"/>
              </w:rPr>
              <w:t>Man),</w:t>
            </w:r>
            <w:r w:rsidRPr="00150EDC">
              <w:rPr>
                <w:spacing w:val="-6"/>
                <w:sz w:val="20"/>
              </w:rPr>
              <w:t xml:space="preserve"> </w:t>
            </w:r>
            <w:r w:rsidRPr="00150EDC">
              <w:rPr>
                <w:spacing w:val="-5"/>
                <w:sz w:val="20"/>
              </w:rPr>
              <w:t>s4</w:t>
            </w:r>
          </w:p>
        </w:tc>
        <w:tc>
          <w:tcPr>
            <w:tcW w:w="7427" w:type="dxa"/>
          </w:tcPr>
          <w:p w14:paraId="03E3C5A9" w14:textId="77777777" w:rsidR="004C7180" w:rsidRPr="00150EDC" w:rsidRDefault="00CF0754">
            <w:pPr>
              <w:pStyle w:val="TableParagraph"/>
              <w:spacing w:before="28"/>
              <w:rPr>
                <w:sz w:val="20"/>
              </w:rPr>
            </w:pPr>
            <w:r w:rsidRPr="00150EDC">
              <w:rPr>
                <w:sz w:val="20"/>
              </w:rPr>
              <w:t>Unlawful</w:t>
            </w:r>
            <w:r w:rsidRPr="00150EDC">
              <w:rPr>
                <w:spacing w:val="-9"/>
                <w:sz w:val="20"/>
              </w:rPr>
              <w:t xml:space="preserve"> </w:t>
            </w:r>
            <w:r w:rsidRPr="00150EDC">
              <w:rPr>
                <w:sz w:val="20"/>
              </w:rPr>
              <w:t>sexual</w:t>
            </w:r>
            <w:r w:rsidRPr="00150EDC">
              <w:rPr>
                <w:spacing w:val="-8"/>
                <w:sz w:val="20"/>
              </w:rPr>
              <w:t xml:space="preserve"> </w:t>
            </w:r>
            <w:r w:rsidRPr="00150EDC">
              <w:rPr>
                <w:spacing w:val="-2"/>
                <w:sz w:val="20"/>
              </w:rPr>
              <w:t>intercourse</w:t>
            </w:r>
          </w:p>
        </w:tc>
      </w:tr>
    </w:tbl>
    <w:p w14:paraId="50CF7929" w14:textId="77777777" w:rsidR="004C7180" w:rsidRPr="00150EDC" w:rsidRDefault="004C7180">
      <w:pPr>
        <w:rPr>
          <w:sz w:val="20"/>
        </w:rPr>
        <w:sectPr w:rsidR="004C7180" w:rsidRPr="00150EDC">
          <w:footerReference w:type="default" r:id="rId149"/>
          <w:pgSz w:w="16840" w:h="11910" w:orient="landscape"/>
          <w:pgMar w:top="1340" w:right="1320" w:bottom="280" w:left="1340" w:header="0" w:footer="0" w:gutter="0"/>
          <w:cols w:space="720"/>
        </w:sectPr>
      </w:pPr>
    </w:p>
    <w:p w14:paraId="42680C29" w14:textId="77777777" w:rsidR="004C7180" w:rsidRPr="00150EDC" w:rsidRDefault="004C7180">
      <w:pPr>
        <w:pStyle w:val="BodyText"/>
        <w:spacing w:before="3"/>
        <w:rPr>
          <w:sz w:val="8"/>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517"/>
        <w:gridCol w:w="7427"/>
      </w:tblGrid>
      <w:tr w:rsidR="004569EE" w:rsidRPr="007D3144" w14:paraId="3FC20060" w14:textId="77777777">
        <w:trPr>
          <w:trHeight w:val="254"/>
        </w:trPr>
        <w:tc>
          <w:tcPr>
            <w:tcW w:w="6517" w:type="dxa"/>
          </w:tcPr>
          <w:p w14:paraId="2CA75ACF" w14:textId="77777777" w:rsidR="004C7180" w:rsidRPr="00150EDC" w:rsidRDefault="00CF0754">
            <w:pPr>
              <w:pStyle w:val="TableParagraph"/>
              <w:rPr>
                <w:sz w:val="20"/>
              </w:rPr>
            </w:pPr>
            <w:r w:rsidRPr="00150EDC">
              <w:rPr>
                <w:sz w:val="20"/>
              </w:rPr>
              <w:t>Sexual</w:t>
            </w:r>
            <w:r w:rsidRPr="00150EDC">
              <w:rPr>
                <w:spacing w:val="-5"/>
                <w:sz w:val="20"/>
              </w:rPr>
              <w:t xml:space="preserve"> </w:t>
            </w:r>
            <w:r w:rsidRPr="00150EDC">
              <w:rPr>
                <w:sz w:val="20"/>
              </w:rPr>
              <w:t>Offences</w:t>
            </w:r>
            <w:r w:rsidRPr="00150EDC">
              <w:rPr>
                <w:spacing w:val="-1"/>
                <w:sz w:val="20"/>
              </w:rPr>
              <w:t xml:space="preserve"> </w:t>
            </w:r>
            <w:r w:rsidRPr="00150EDC">
              <w:rPr>
                <w:sz w:val="20"/>
              </w:rPr>
              <w:t>Act</w:t>
            </w:r>
            <w:r w:rsidRPr="00150EDC">
              <w:rPr>
                <w:spacing w:val="-5"/>
                <w:sz w:val="20"/>
              </w:rPr>
              <w:t xml:space="preserve"> </w:t>
            </w:r>
            <w:r w:rsidRPr="00150EDC">
              <w:rPr>
                <w:sz w:val="20"/>
              </w:rPr>
              <w:t>1992</w:t>
            </w:r>
            <w:r w:rsidRPr="00150EDC">
              <w:rPr>
                <w:spacing w:val="-6"/>
                <w:sz w:val="20"/>
              </w:rPr>
              <w:t xml:space="preserve"> </w:t>
            </w:r>
            <w:r w:rsidRPr="00150EDC">
              <w:rPr>
                <w:sz w:val="20"/>
              </w:rPr>
              <w:t>(Isle</w:t>
            </w:r>
            <w:r w:rsidRPr="00150EDC">
              <w:rPr>
                <w:spacing w:val="-2"/>
                <w:sz w:val="20"/>
              </w:rPr>
              <w:t xml:space="preserve"> </w:t>
            </w:r>
            <w:r w:rsidRPr="00150EDC">
              <w:rPr>
                <w:sz w:val="20"/>
              </w:rPr>
              <w:t>of</w:t>
            </w:r>
            <w:r w:rsidRPr="00150EDC">
              <w:rPr>
                <w:spacing w:val="-4"/>
                <w:sz w:val="20"/>
              </w:rPr>
              <w:t xml:space="preserve"> </w:t>
            </w:r>
            <w:r w:rsidRPr="00150EDC">
              <w:rPr>
                <w:sz w:val="20"/>
              </w:rPr>
              <w:t>Man),</w:t>
            </w:r>
            <w:r w:rsidRPr="00150EDC">
              <w:rPr>
                <w:spacing w:val="-6"/>
                <w:sz w:val="20"/>
              </w:rPr>
              <w:t xml:space="preserve"> </w:t>
            </w:r>
            <w:r w:rsidRPr="00150EDC">
              <w:rPr>
                <w:spacing w:val="-5"/>
                <w:sz w:val="20"/>
              </w:rPr>
              <w:t>s5</w:t>
            </w:r>
          </w:p>
        </w:tc>
        <w:tc>
          <w:tcPr>
            <w:tcW w:w="7427" w:type="dxa"/>
          </w:tcPr>
          <w:p w14:paraId="2B538FD7" w14:textId="77777777" w:rsidR="004C7180" w:rsidRPr="00150EDC" w:rsidRDefault="00CF0754">
            <w:pPr>
              <w:pStyle w:val="TableParagraph"/>
              <w:rPr>
                <w:sz w:val="20"/>
              </w:rPr>
            </w:pPr>
            <w:r w:rsidRPr="00150EDC">
              <w:rPr>
                <w:sz w:val="20"/>
              </w:rPr>
              <w:t>Sexual</w:t>
            </w:r>
            <w:r w:rsidRPr="00150EDC">
              <w:rPr>
                <w:spacing w:val="-4"/>
                <w:sz w:val="20"/>
              </w:rPr>
              <w:t xml:space="preserve"> </w:t>
            </w:r>
            <w:r w:rsidRPr="00150EDC">
              <w:rPr>
                <w:sz w:val="20"/>
              </w:rPr>
              <w:t>act</w:t>
            </w:r>
            <w:r w:rsidRPr="00150EDC">
              <w:rPr>
                <w:spacing w:val="-5"/>
                <w:sz w:val="20"/>
              </w:rPr>
              <w:t xml:space="preserve"> </w:t>
            </w:r>
            <w:r w:rsidRPr="00150EDC">
              <w:rPr>
                <w:sz w:val="20"/>
              </w:rPr>
              <w:t>with</w:t>
            </w:r>
            <w:r w:rsidRPr="00150EDC">
              <w:rPr>
                <w:spacing w:val="-6"/>
                <w:sz w:val="20"/>
              </w:rPr>
              <w:t xml:space="preserve"> </w:t>
            </w:r>
            <w:r w:rsidRPr="00150EDC">
              <w:rPr>
                <w:sz w:val="20"/>
              </w:rPr>
              <w:t>subnormal</w:t>
            </w:r>
            <w:r w:rsidRPr="00150EDC">
              <w:rPr>
                <w:spacing w:val="-3"/>
                <w:sz w:val="20"/>
              </w:rPr>
              <w:t xml:space="preserve"> </w:t>
            </w:r>
            <w:r w:rsidRPr="00150EDC">
              <w:rPr>
                <w:spacing w:val="-2"/>
                <w:sz w:val="20"/>
              </w:rPr>
              <w:t>person</w:t>
            </w:r>
          </w:p>
        </w:tc>
      </w:tr>
      <w:tr w:rsidR="004569EE" w:rsidRPr="007D3144" w14:paraId="4B1B47F5" w14:textId="77777777">
        <w:trPr>
          <w:trHeight w:val="255"/>
        </w:trPr>
        <w:tc>
          <w:tcPr>
            <w:tcW w:w="6517" w:type="dxa"/>
          </w:tcPr>
          <w:p w14:paraId="1095317A" w14:textId="77777777" w:rsidR="004C7180" w:rsidRPr="00150EDC" w:rsidRDefault="00CF0754">
            <w:pPr>
              <w:pStyle w:val="TableParagraph"/>
              <w:spacing w:before="28"/>
              <w:rPr>
                <w:sz w:val="20"/>
              </w:rPr>
            </w:pPr>
            <w:r w:rsidRPr="00150EDC">
              <w:rPr>
                <w:sz w:val="20"/>
              </w:rPr>
              <w:t>Sexual</w:t>
            </w:r>
            <w:r w:rsidRPr="00150EDC">
              <w:rPr>
                <w:spacing w:val="-5"/>
                <w:sz w:val="20"/>
              </w:rPr>
              <w:t xml:space="preserve"> </w:t>
            </w:r>
            <w:r w:rsidRPr="00150EDC">
              <w:rPr>
                <w:sz w:val="20"/>
              </w:rPr>
              <w:t>Offences</w:t>
            </w:r>
            <w:r w:rsidRPr="00150EDC">
              <w:rPr>
                <w:spacing w:val="-1"/>
                <w:sz w:val="20"/>
              </w:rPr>
              <w:t xml:space="preserve"> </w:t>
            </w:r>
            <w:r w:rsidRPr="00150EDC">
              <w:rPr>
                <w:sz w:val="20"/>
              </w:rPr>
              <w:t>Act</w:t>
            </w:r>
            <w:r w:rsidRPr="00150EDC">
              <w:rPr>
                <w:spacing w:val="-5"/>
                <w:sz w:val="20"/>
              </w:rPr>
              <w:t xml:space="preserve"> </w:t>
            </w:r>
            <w:r w:rsidRPr="00150EDC">
              <w:rPr>
                <w:sz w:val="20"/>
              </w:rPr>
              <w:t>1992</w:t>
            </w:r>
            <w:r w:rsidRPr="00150EDC">
              <w:rPr>
                <w:spacing w:val="-7"/>
                <w:sz w:val="20"/>
              </w:rPr>
              <w:t xml:space="preserve"> </w:t>
            </w:r>
            <w:r w:rsidRPr="00150EDC">
              <w:rPr>
                <w:sz w:val="20"/>
              </w:rPr>
              <w:t>(Isle</w:t>
            </w:r>
            <w:r w:rsidRPr="00150EDC">
              <w:rPr>
                <w:spacing w:val="-1"/>
                <w:sz w:val="20"/>
              </w:rPr>
              <w:t xml:space="preserve"> </w:t>
            </w:r>
            <w:r w:rsidRPr="00150EDC">
              <w:rPr>
                <w:sz w:val="20"/>
              </w:rPr>
              <w:t>of</w:t>
            </w:r>
            <w:r w:rsidRPr="00150EDC">
              <w:rPr>
                <w:spacing w:val="-7"/>
                <w:sz w:val="20"/>
              </w:rPr>
              <w:t xml:space="preserve"> </w:t>
            </w:r>
            <w:r w:rsidRPr="00150EDC">
              <w:rPr>
                <w:sz w:val="20"/>
              </w:rPr>
              <w:t>Man),</w:t>
            </w:r>
            <w:r w:rsidRPr="00150EDC">
              <w:rPr>
                <w:spacing w:val="-6"/>
                <w:sz w:val="20"/>
              </w:rPr>
              <w:t xml:space="preserve"> </w:t>
            </w:r>
            <w:r w:rsidRPr="00150EDC">
              <w:rPr>
                <w:spacing w:val="-5"/>
                <w:sz w:val="20"/>
              </w:rPr>
              <w:t>s6</w:t>
            </w:r>
          </w:p>
        </w:tc>
        <w:tc>
          <w:tcPr>
            <w:tcW w:w="7427" w:type="dxa"/>
          </w:tcPr>
          <w:p w14:paraId="4697DD8D" w14:textId="77777777" w:rsidR="004C7180" w:rsidRPr="00150EDC" w:rsidRDefault="00CF0754">
            <w:pPr>
              <w:pStyle w:val="TableParagraph"/>
              <w:spacing w:before="28"/>
              <w:rPr>
                <w:sz w:val="20"/>
              </w:rPr>
            </w:pPr>
            <w:r w:rsidRPr="00150EDC">
              <w:rPr>
                <w:sz w:val="20"/>
              </w:rPr>
              <w:t>Sexual</w:t>
            </w:r>
            <w:r w:rsidRPr="00150EDC">
              <w:rPr>
                <w:spacing w:val="-5"/>
                <w:sz w:val="20"/>
              </w:rPr>
              <w:t xml:space="preserve"> </w:t>
            </w:r>
            <w:r w:rsidRPr="00150EDC">
              <w:rPr>
                <w:sz w:val="20"/>
              </w:rPr>
              <w:t>offences</w:t>
            </w:r>
            <w:r w:rsidRPr="00150EDC">
              <w:rPr>
                <w:spacing w:val="-5"/>
                <w:sz w:val="20"/>
              </w:rPr>
              <w:t xml:space="preserve"> </w:t>
            </w:r>
            <w:r w:rsidRPr="00150EDC">
              <w:rPr>
                <w:sz w:val="20"/>
              </w:rPr>
              <w:t>against</w:t>
            </w:r>
            <w:r w:rsidRPr="00150EDC">
              <w:rPr>
                <w:spacing w:val="-5"/>
                <w:sz w:val="20"/>
              </w:rPr>
              <w:t xml:space="preserve"> </w:t>
            </w:r>
            <w:r w:rsidRPr="00150EDC">
              <w:rPr>
                <w:sz w:val="20"/>
              </w:rPr>
              <w:t>mental</w:t>
            </w:r>
            <w:r w:rsidRPr="00150EDC">
              <w:rPr>
                <w:spacing w:val="-4"/>
                <w:sz w:val="20"/>
              </w:rPr>
              <w:t xml:space="preserve"> </w:t>
            </w:r>
            <w:r w:rsidRPr="00150EDC">
              <w:rPr>
                <w:sz w:val="20"/>
              </w:rPr>
              <w:t>patient</w:t>
            </w:r>
            <w:r w:rsidRPr="00150EDC">
              <w:rPr>
                <w:spacing w:val="-6"/>
                <w:sz w:val="20"/>
              </w:rPr>
              <w:t xml:space="preserve"> </w:t>
            </w:r>
            <w:r w:rsidRPr="00150EDC">
              <w:rPr>
                <w:sz w:val="20"/>
              </w:rPr>
              <w:t>by hospital</w:t>
            </w:r>
            <w:r w:rsidRPr="00150EDC">
              <w:rPr>
                <w:spacing w:val="-4"/>
                <w:sz w:val="20"/>
              </w:rPr>
              <w:t xml:space="preserve"> </w:t>
            </w:r>
            <w:r w:rsidRPr="00150EDC">
              <w:rPr>
                <w:sz w:val="20"/>
              </w:rPr>
              <w:t>staff</w:t>
            </w:r>
            <w:r w:rsidRPr="00150EDC">
              <w:rPr>
                <w:spacing w:val="-1"/>
                <w:sz w:val="20"/>
              </w:rPr>
              <w:t xml:space="preserve"> </w:t>
            </w:r>
            <w:r w:rsidRPr="00150EDC">
              <w:rPr>
                <w:sz w:val="20"/>
              </w:rPr>
              <w:t>or</w:t>
            </w:r>
            <w:r w:rsidRPr="00150EDC">
              <w:rPr>
                <w:spacing w:val="-1"/>
                <w:sz w:val="20"/>
              </w:rPr>
              <w:t xml:space="preserve"> </w:t>
            </w:r>
            <w:r w:rsidRPr="00150EDC">
              <w:rPr>
                <w:spacing w:val="-2"/>
                <w:sz w:val="20"/>
              </w:rPr>
              <w:t>guardian</w:t>
            </w:r>
          </w:p>
        </w:tc>
      </w:tr>
      <w:tr w:rsidR="004569EE" w:rsidRPr="007D3144" w14:paraId="1F925A89" w14:textId="77777777">
        <w:trPr>
          <w:trHeight w:val="255"/>
        </w:trPr>
        <w:tc>
          <w:tcPr>
            <w:tcW w:w="6517" w:type="dxa"/>
          </w:tcPr>
          <w:p w14:paraId="70A464C2" w14:textId="77777777" w:rsidR="004C7180" w:rsidRPr="00150EDC" w:rsidRDefault="00CF0754">
            <w:pPr>
              <w:pStyle w:val="TableParagraph"/>
              <w:rPr>
                <w:sz w:val="20"/>
              </w:rPr>
            </w:pPr>
            <w:r w:rsidRPr="00150EDC">
              <w:rPr>
                <w:sz w:val="20"/>
              </w:rPr>
              <w:t>Sexual</w:t>
            </w:r>
            <w:r w:rsidRPr="00150EDC">
              <w:rPr>
                <w:spacing w:val="-5"/>
                <w:sz w:val="20"/>
              </w:rPr>
              <w:t xml:space="preserve"> </w:t>
            </w:r>
            <w:r w:rsidRPr="00150EDC">
              <w:rPr>
                <w:sz w:val="20"/>
              </w:rPr>
              <w:t>Offences</w:t>
            </w:r>
            <w:r w:rsidRPr="00150EDC">
              <w:rPr>
                <w:spacing w:val="-1"/>
                <w:sz w:val="20"/>
              </w:rPr>
              <w:t xml:space="preserve"> </w:t>
            </w:r>
            <w:r w:rsidRPr="00150EDC">
              <w:rPr>
                <w:sz w:val="20"/>
              </w:rPr>
              <w:t>Act</w:t>
            </w:r>
            <w:r w:rsidRPr="00150EDC">
              <w:rPr>
                <w:spacing w:val="-5"/>
                <w:sz w:val="20"/>
              </w:rPr>
              <w:t xml:space="preserve"> </w:t>
            </w:r>
            <w:r w:rsidRPr="00150EDC">
              <w:rPr>
                <w:sz w:val="20"/>
              </w:rPr>
              <w:t>1992</w:t>
            </w:r>
            <w:r w:rsidRPr="00150EDC">
              <w:rPr>
                <w:spacing w:val="-7"/>
                <w:sz w:val="20"/>
              </w:rPr>
              <w:t xml:space="preserve"> </w:t>
            </w:r>
            <w:r w:rsidRPr="00150EDC">
              <w:rPr>
                <w:sz w:val="20"/>
              </w:rPr>
              <w:t>(Isle</w:t>
            </w:r>
            <w:r w:rsidRPr="00150EDC">
              <w:rPr>
                <w:spacing w:val="-1"/>
                <w:sz w:val="20"/>
              </w:rPr>
              <w:t xml:space="preserve"> </w:t>
            </w:r>
            <w:r w:rsidRPr="00150EDC">
              <w:rPr>
                <w:sz w:val="20"/>
              </w:rPr>
              <w:t>of</w:t>
            </w:r>
            <w:r w:rsidRPr="00150EDC">
              <w:rPr>
                <w:spacing w:val="-7"/>
                <w:sz w:val="20"/>
              </w:rPr>
              <w:t xml:space="preserve"> </w:t>
            </w:r>
            <w:r w:rsidRPr="00150EDC">
              <w:rPr>
                <w:sz w:val="20"/>
              </w:rPr>
              <w:t>Man),</w:t>
            </w:r>
            <w:r w:rsidRPr="00150EDC">
              <w:rPr>
                <w:spacing w:val="-6"/>
                <w:sz w:val="20"/>
              </w:rPr>
              <w:t xml:space="preserve"> </w:t>
            </w:r>
            <w:r w:rsidRPr="00150EDC">
              <w:rPr>
                <w:spacing w:val="-5"/>
                <w:sz w:val="20"/>
              </w:rPr>
              <w:t>s7</w:t>
            </w:r>
          </w:p>
        </w:tc>
        <w:tc>
          <w:tcPr>
            <w:tcW w:w="7427" w:type="dxa"/>
          </w:tcPr>
          <w:p w14:paraId="6DBA4FC0" w14:textId="77777777" w:rsidR="004C7180" w:rsidRPr="00150EDC" w:rsidRDefault="00CF0754">
            <w:pPr>
              <w:pStyle w:val="TableParagraph"/>
              <w:rPr>
                <w:sz w:val="20"/>
              </w:rPr>
            </w:pPr>
            <w:r w:rsidRPr="00150EDC">
              <w:rPr>
                <w:sz w:val="20"/>
              </w:rPr>
              <w:t>Incest</w:t>
            </w:r>
            <w:r w:rsidRPr="00150EDC">
              <w:rPr>
                <w:spacing w:val="-5"/>
                <w:sz w:val="20"/>
              </w:rPr>
              <w:t xml:space="preserve"> </w:t>
            </w:r>
            <w:r w:rsidRPr="00150EDC">
              <w:rPr>
                <w:sz w:val="20"/>
              </w:rPr>
              <w:t>(</w:t>
            </w:r>
            <w:r w:rsidRPr="00150EDC">
              <w:rPr>
                <w:spacing w:val="-7"/>
                <w:sz w:val="20"/>
              </w:rPr>
              <w:t xml:space="preserve"> </w:t>
            </w:r>
            <w:r w:rsidRPr="00150EDC">
              <w:rPr>
                <w:sz w:val="20"/>
              </w:rPr>
              <w:t xml:space="preserve">including </w:t>
            </w:r>
            <w:r w:rsidRPr="00150EDC">
              <w:rPr>
                <w:spacing w:val="-2"/>
                <w:sz w:val="20"/>
              </w:rPr>
              <w:t>attempted)</w:t>
            </w:r>
          </w:p>
        </w:tc>
      </w:tr>
      <w:tr w:rsidR="004569EE" w:rsidRPr="007D3144" w14:paraId="36E36FEF" w14:textId="77777777">
        <w:trPr>
          <w:trHeight w:val="255"/>
        </w:trPr>
        <w:tc>
          <w:tcPr>
            <w:tcW w:w="6517" w:type="dxa"/>
          </w:tcPr>
          <w:p w14:paraId="4CA7EEE5" w14:textId="77777777" w:rsidR="004C7180" w:rsidRPr="00150EDC" w:rsidRDefault="00CF0754">
            <w:pPr>
              <w:pStyle w:val="TableParagraph"/>
              <w:rPr>
                <w:sz w:val="20"/>
              </w:rPr>
            </w:pPr>
            <w:r w:rsidRPr="00150EDC">
              <w:rPr>
                <w:sz w:val="20"/>
              </w:rPr>
              <w:t>Sexual</w:t>
            </w:r>
            <w:r w:rsidRPr="00150EDC">
              <w:rPr>
                <w:spacing w:val="-5"/>
                <w:sz w:val="20"/>
              </w:rPr>
              <w:t xml:space="preserve"> </w:t>
            </w:r>
            <w:r w:rsidRPr="00150EDC">
              <w:rPr>
                <w:sz w:val="20"/>
              </w:rPr>
              <w:t>Offences Act</w:t>
            </w:r>
            <w:r w:rsidRPr="00150EDC">
              <w:rPr>
                <w:spacing w:val="-5"/>
                <w:sz w:val="20"/>
              </w:rPr>
              <w:t xml:space="preserve"> </w:t>
            </w:r>
            <w:r w:rsidRPr="00150EDC">
              <w:rPr>
                <w:sz w:val="20"/>
              </w:rPr>
              <w:t>1992</w:t>
            </w:r>
            <w:r w:rsidRPr="00150EDC">
              <w:rPr>
                <w:spacing w:val="-6"/>
                <w:sz w:val="20"/>
              </w:rPr>
              <w:t xml:space="preserve"> </w:t>
            </w:r>
            <w:r w:rsidRPr="00150EDC">
              <w:rPr>
                <w:sz w:val="20"/>
              </w:rPr>
              <w:t>(Isle</w:t>
            </w:r>
            <w:r w:rsidRPr="00150EDC">
              <w:rPr>
                <w:spacing w:val="-2"/>
                <w:sz w:val="20"/>
              </w:rPr>
              <w:t xml:space="preserve"> </w:t>
            </w:r>
            <w:r w:rsidRPr="00150EDC">
              <w:rPr>
                <w:sz w:val="20"/>
              </w:rPr>
              <w:t>of</w:t>
            </w:r>
            <w:r w:rsidRPr="00150EDC">
              <w:rPr>
                <w:spacing w:val="-6"/>
                <w:sz w:val="20"/>
              </w:rPr>
              <w:t xml:space="preserve"> </w:t>
            </w:r>
            <w:r w:rsidRPr="00150EDC">
              <w:rPr>
                <w:sz w:val="20"/>
              </w:rPr>
              <w:t>Man),</w:t>
            </w:r>
            <w:r w:rsidRPr="00150EDC">
              <w:rPr>
                <w:spacing w:val="-6"/>
                <w:sz w:val="20"/>
              </w:rPr>
              <w:t xml:space="preserve"> </w:t>
            </w:r>
            <w:r w:rsidRPr="00150EDC">
              <w:rPr>
                <w:spacing w:val="-5"/>
                <w:sz w:val="20"/>
              </w:rPr>
              <w:t>s8</w:t>
            </w:r>
          </w:p>
        </w:tc>
        <w:tc>
          <w:tcPr>
            <w:tcW w:w="7427" w:type="dxa"/>
          </w:tcPr>
          <w:p w14:paraId="618498B6" w14:textId="77777777" w:rsidR="004C7180" w:rsidRPr="00150EDC" w:rsidRDefault="00CF0754">
            <w:pPr>
              <w:pStyle w:val="TableParagraph"/>
              <w:rPr>
                <w:sz w:val="20"/>
              </w:rPr>
            </w:pPr>
            <w:r w:rsidRPr="00150EDC">
              <w:rPr>
                <w:sz w:val="20"/>
              </w:rPr>
              <w:t>Inciting</w:t>
            </w:r>
            <w:r w:rsidRPr="00150EDC">
              <w:rPr>
                <w:spacing w:val="-5"/>
                <w:sz w:val="20"/>
              </w:rPr>
              <w:t xml:space="preserve"> </w:t>
            </w:r>
            <w:r w:rsidRPr="00150EDC">
              <w:rPr>
                <w:sz w:val="20"/>
              </w:rPr>
              <w:t>girl</w:t>
            </w:r>
            <w:r w:rsidRPr="00150EDC">
              <w:rPr>
                <w:spacing w:val="1"/>
                <w:sz w:val="20"/>
              </w:rPr>
              <w:t xml:space="preserve"> </w:t>
            </w:r>
            <w:r w:rsidRPr="00150EDC">
              <w:rPr>
                <w:sz w:val="20"/>
              </w:rPr>
              <w:t>under</w:t>
            </w:r>
            <w:r w:rsidRPr="00150EDC">
              <w:rPr>
                <w:spacing w:val="-5"/>
                <w:sz w:val="20"/>
              </w:rPr>
              <w:t xml:space="preserve"> </w:t>
            </w:r>
            <w:r w:rsidRPr="00150EDC">
              <w:rPr>
                <w:sz w:val="20"/>
              </w:rPr>
              <w:t>16</w:t>
            </w:r>
            <w:r w:rsidRPr="00150EDC">
              <w:rPr>
                <w:spacing w:val="-5"/>
                <w:sz w:val="20"/>
              </w:rPr>
              <w:t xml:space="preserve"> </w:t>
            </w:r>
            <w:r w:rsidRPr="00150EDC">
              <w:rPr>
                <w:sz w:val="20"/>
              </w:rPr>
              <w:t>to</w:t>
            </w:r>
            <w:r w:rsidRPr="00150EDC">
              <w:rPr>
                <w:spacing w:val="-5"/>
                <w:sz w:val="20"/>
              </w:rPr>
              <w:t xml:space="preserve"> </w:t>
            </w:r>
            <w:r w:rsidRPr="00150EDC">
              <w:rPr>
                <w:sz w:val="20"/>
              </w:rPr>
              <w:t>commit</w:t>
            </w:r>
            <w:r w:rsidRPr="00150EDC">
              <w:rPr>
                <w:spacing w:val="-4"/>
                <w:sz w:val="20"/>
              </w:rPr>
              <w:t xml:space="preserve"> </w:t>
            </w:r>
            <w:r w:rsidRPr="00150EDC">
              <w:rPr>
                <w:spacing w:val="-2"/>
                <w:sz w:val="20"/>
              </w:rPr>
              <w:t>incest</w:t>
            </w:r>
          </w:p>
        </w:tc>
      </w:tr>
      <w:tr w:rsidR="004569EE" w:rsidRPr="007D3144" w14:paraId="227FE6CC" w14:textId="77777777">
        <w:trPr>
          <w:trHeight w:val="510"/>
        </w:trPr>
        <w:tc>
          <w:tcPr>
            <w:tcW w:w="6517" w:type="dxa"/>
          </w:tcPr>
          <w:p w14:paraId="4E49FA4A" w14:textId="77777777" w:rsidR="004C7180" w:rsidRPr="00150EDC" w:rsidRDefault="004C7180">
            <w:pPr>
              <w:pStyle w:val="TableParagraph"/>
              <w:spacing w:before="7" w:line="240" w:lineRule="auto"/>
              <w:ind w:left="0"/>
              <w:rPr>
                <w:sz w:val="24"/>
              </w:rPr>
            </w:pPr>
          </w:p>
          <w:p w14:paraId="0713DA41" w14:textId="77777777" w:rsidR="004C7180" w:rsidRPr="00150EDC" w:rsidRDefault="00CF0754">
            <w:pPr>
              <w:pStyle w:val="TableParagraph"/>
              <w:spacing w:before="0"/>
              <w:rPr>
                <w:sz w:val="20"/>
              </w:rPr>
            </w:pPr>
            <w:r w:rsidRPr="00150EDC">
              <w:rPr>
                <w:sz w:val="20"/>
              </w:rPr>
              <w:t>Sexual</w:t>
            </w:r>
            <w:r w:rsidRPr="00150EDC">
              <w:rPr>
                <w:spacing w:val="-5"/>
                <w:sz w:val="20"/>
              </w:rPr>
              <w:t xml:space="preserve"> </w:t>
            </w:r>
            <w:r w:rsidRPr="00150EDC">
              <w:rPr>
                <w:sz w:val="20"/>
              </w:rPr>
              <w:t>Offences</w:t>
            </w:r>
            <w:r w:rsidRPr="00150EDC">
              <w:rPr>
                <w:spacing w:val="-1"/>
                <w:sz w:val="20"/>
              </w:rPr>
              <w:t xml:space="preserve"> </w:t>
            </w:r>
            <w:r w:rsidRPr="00150EDC">
              <w:rPr>
                <w:sz w:val="20"/>
              </w:rPr>
              <w:t>Act</w:t>
            </w:r>
            <w:r w:rsidRPr="00150EDC">
              <w:rPr>
                <w:spacing w:val="-5"/>
                <w:sz w:val="20"/>
              </w:rPr>
              <w:t xml:space="preserve"> </w:t>
            </w:r>
            <w:r w:rsidRPr="00150EDC">
              <w:rPr>
                <w:sz w:val="20"/>
              </w:rPr>
              <w:t>1992</w:t>
            </w:r>
            <w:r w:rsidRPr="00150EDC">
              <w:rPr>
                <w:spacing w:val="-7"/>
                <w:sz w:val="20"/>
              </w:rPr>
              <w:t xml:space="preserve"> </w:t>
            </w:r>
            <w:r w:rsidRPr="00150EDC">
              <w:rPr>
                <w:sz w:val="20"/>
              </w:rPr>
              <w:t>(Isle</w:t>
            </w:r>
            <w:r w:rsidRPr="00150EDC">
              <w:rPr>
                <w:spacing w:val="-1"/>
                <w:sz w:val="20"/>
              </w:rPr>
              <w:t xml:space="preserve"> </w:t>
            </w:r>
            <w:r w:rsidRPr="00150EDC">
              <w:rPr>
                <w:sz w:val="20"/>
              </w:rPr>
              <w:t>of</w:t>
            </w:r>
            <w:r w:rsidRPr="00150EDC">
              <w:rPr>
                <w:spacing w:val="-7"/>
                <w:sz w:val="20"/>
              </w:rPr>
              <w:t xml:space="preserve"> </w:t>
            </w:r>
            <w:r w:rsidRPr="00150EDC">
              <w:rPr>
                <w:sz w:val="20"/>
              </w:rPr>
              <w:t>Man),</w:t>
            </w:r>
            <w:r w:rsidRPr="00150EDC">
              <w:rPr>
                <w:spacing w:val="-6"/>
                <w:sz w:val="20"/>
              </w:rPr>
              <w:t xml:space="preserve"> </w:t>
            </w:r>
            <w:r w:rsidRPr="00150EDC">
              <w:rPr>
                <w:spacing w:val="-5"/>
                <w:sz w:val="20"/>
              </w:rPr>
              <w:t>s9</w:t>
            </w:r>
          </w:p>
        </w:tc>
        <w:tc>
          <w:tcPr>
            <w:tcW w:w="7427" w:type="dxa"/>
          </w:tcPr>
          <w:p w14:paraId="1FA89C46" w14:textId="77777777" w:rsidR="004C7180" w:rsidRPr="00150EDC" w:rsidRDefault="00CF0754">
            <w:pPr>
              <w:pStyle w:val="TableParagraph"/>
              <w:spacing w:before="32" w:line="230" w:lineRule="atLeast"/>
              <w:rPr>
                <w:sz w:val="20"/>
              </w:rPr>
            </w:pPr>
            <w:r w:rsidRPr="00150EDC">
              <w:rPr>
                <w:sz w:val="20"/>
              </w:rPr>
              <w:t>Buggery,</w:t>
            </w:r>
            <w:r w:rsidRPr="00150EDC">
              <w:rPr>
                <w:spacing w:val="-5"/>
                <w:sz w:val="20"/>
              </w:rPr>
              <w:t xml:space="preserve"> </w:t>
            </w:r>
            <w:r w:rsidRPr="00150EDC">
              <w:rPr>
                <w:sz w:val="20"/>
              </w:rPr>
              <w:t>gross</w:t>
            </w:r>
            <w:r w:rsidRPr="00150EDC">
              <w:rPr>
                <w:spacing w:val="-5"/>
                <w:sz w:val="20"/>
              </w:rPr>
              <w:t xml:space="preserve"> </w:t>
            </w:r>
            <w:r w:rsidRPr="00150EDC">
              <w:rPr>
                <w:sz w:val="20"/>
              </w:rPr>
              <w:t>indecency and</w:t>
            </w:r>
            <w:r w:rsidRPr="00150EDC">
              <w:rPr>
                <w:spacing w:val="-6"/>
                <w:sz w:val="20"/>
              </w:rPr>
              <w:t xml:space="preserve"> </w:t>
            </w:r>
            <w:r w:rsidRPr="00150EDC">
              <w:rPr>
                <w:sz w:val="20"/>
              </w:rPr>
              <w:t>procuring</w:t>
            </w:r>
            <w:r w:rsidRPr="00150EDC">
              <w:rPr>
                <w:spacing w:val="-6"/>
                <w:sz w:val="20"/>
              </w:rPr>
              <w:t xml:space="preserve"> </w:t>
            </w:r>
            <w:r w:rsidRPr="00150EDC">
              <w:rPr>
                <w:sz w:val="20"/>
              </w:rPr>
              <w:t>man,</w:t>
            </w:r>
            <w:r w:rsidRPr="00150EDC">
              <w:rPr>
                <w:spacing w:val="-6"/>
                <w:sz w:val="20"/>
              </w:rPr>
              <w:t xml:space="preserve"> </w:t>
            </w:r>
            <w:r w:rsidRPr="00150EDC">
              <w:rPr>
                <w:sz w:val="20"/>
              </w:rPr>
              <w:t>where</w:t>
            </w:r>
            <w:r w:rsidRPr="00150EDC">
              <w:rPr>
                <w:spacing w:val="-6"/>
                <w:sz w:val="20"/>
              </w:rPr>
              <w:t xml:space="preserve"> </w:t>
            </w:r>
            <w:r w:rsidRPr="00150EDC">
              <w:rPr>
                <w:sz w:val="20"/>
              </w:rPr>
              <w:t>the</w:t>
            </w:r>
            <w:r w:rsidRPr="00150EDC">
              <w:rPr>
                <w:spacing w:val="-1"/>
                <w:sz w:val="20"/>
              </w:rPr>
              <w:t xml:space="preserve"> </w:t>
            </w:r>
            <w:r w:rsidRPr="00150EDC">
              <w:rPr>
                <w:sz w:val="20"/>
              </w:rPr>
              <w:t>person</w:t>
            </w:r>
            <w:r w:rsidRPr="00150EDC">
              <w:rPr>
                <w:spacing w:val="-6"/>
                <w:sz w:val="20"/>
              </w:rPr>
              <w:t xml:space="preserve"> </w:t>
            </w:r>
            <w:r w:rsidRPr="00150EDC">
              <w:rPr>
                <w:sz w:val="20"/>
              </w:rPr>
              <w:t>with</w:t>
            </w:r>
            <w:r w:rsidRPr="00150EDC">
              <w:rPr>
                <w:spacing w:val="-6"/>
                <w:sz w:val="20"/>
              </w:rPr>
              <w:t xml:space="preserve"> </w:t>
            </w:r>
            <w:r w:rsidRPr="00150EDC">
              <w:rPr>
                <w:sz w:val="20"/>
              </w:rPr>
              <w:t>whom</w:t>
            </w:r>
            <w:r w:rsidRPr="00150EDC">
              <w:rPr>
                <w:spacing w:val="-2"/>
                <w:sz w:val="20"/>
              </w:rPr>
              <w:t xml:space="preserve"> </w:t>
            </w:r>
            <w:r w:rsidRPr="00150EDC">
              <w:rPr>
                <w:sz w:val="20"/>
              </w:rPr>
              <w:t>the offence was committed was under the age of 16 or did not consent to the act</w:t>
            </w:r>
          </w:p>
        </w:tc>
      </w:tr>
      <w:tr w:rsidR="004569EE" w:rsidRPr="007D3144" w14:paraId="0DD326E6" w14:textId="77777777">
        <w:trPr>
          <w:trHeight w:val="255"/>
        </w:trPr>
        <w:tc>
          <w:tcPr>
            <w:tcW w:w="6517" w:type="dxa"/>
          </w:tcPr>
          <w:p w14:paraId="1FC5F0E2"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3"/>
                <w:sz w:val="20"/>
              </w:rPr>
              <w:t xml:space="preserve"> </w:t>
            </w:r>
            <w:r w:rsidRPr="00150EDC">
              <w:rPr>
                <w:sz w:val="20"/>
              </w:rPr>
              <w:t>Act</w:t>
            </w:r>
            <w:r w:rsidRPr="00150EDC">
              <w:rPr>
                <w:spacing w:val="-6"/>
                <w:sz w:val="20"/>
              </w:rPr>
              <w:t xml:space="preserve"> </w:t>
            </w:r>
            <w:r w:rsidRPr="00150EDC">
              <w:rPr>
                <w:sz w:val="20"/>
              </w:rPr>
              <w:t>1997,</w:t>
            </w:r>
            <w:r w:rsidRPr="00150EDC">
              <w:rPr>
                <w:spacing w:val="-8"/>
                <w:sz w:val="20"/>
              </w:rPr>
              <w:t xml:space="preserve"> </w:t>
            </w:r>
            <w:r w:rsidRPr="00150EDC">
              <w:rPr>
                <w:spacing w:val="-5"/>
                <w:sz w:val="20"/>
              </w:rPr>
              <w:t>s29</w:t>
            </w:r>
          </w:p>
        </w:tc>
        <w:tc>
          <w:tcPr>
            <w:tcW w:w="7427" w:type="dxa"/>
          </w:tcPr>
          <w:p w14:paraId="07B6E09A" w14:textId="77777777" w:rsidR="004C7180" w:rsidRPr="00150EDC" w:rsidRDefault="00CF0754">
            <w:pPr>
              <w:pStyle w:val="TableParagraph"/>
              <w:rPr>
                <w:sz w:val="20"/>
              </w:rPr>
            </w:pPr>
            <w:r w:rsidRPr="00150EDC">
              <w:rPr>
                <w:sz w:val="20"/>
              </w:rPr>
              <w:t>Brothel</w:t>
            </w:r>
            <w:r w:rsidRPr="00150EDC">
              <w:rPr>
                <w:spacing w:val="-8"/>
                <w:sz w:val="20"/>
              </w:rPr>
              <w:t xml:space="preserve"> </w:t>
            </w:r>
            <w:r w:rsidRPr="00150EDC">
              <w:rPr>
                <w:spacing w:val="-2"/>
                <w:sz w:val="20"/>
              </w:rPr>
              <w:t>keeping</w:t>
            </w:r>
          </w:p>
        </w:tc>
      </w:tr>
      <w:tr w:rsidR="004569EE" w:rsidRPr="007D3144" w14:paraId="09072F72" w14:textId="77777777">
        <w:trPr>
          <w:trHeight w:val="255"/>
        </w:trPr>
        <w:tc>
          <w:tcPr>
            <w:tcW w:w="6517" w:type="dxa"/>
          </w:tcPr>
          <w:p w14:paraId="78880CCF"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3"/>
                <w:sz w:val="20"/>
              </w:rPr>
              <w:t xml:space="preserve"> </w:t>
            </w:r>
            <w:r w:rsidRPr="00150EDC">
              <w:rPr>
                <w:sz w:val="20"/>
              </w:rPr>
              <w:t>Act</w:t>
            </w:r>
            <w:r w:rsidRPr="00150EDC">
              <w:rPr>
                <w:spacing w:val="-6"/>
                <w:sz w:val="20"/>
              </w:rPr>
              <w:t xml:space="preserve"> </w:t>
            </w:r>
            <w:r w:rsidRPr="00150EDC">
              <w:rPr>
                <w:sz w:val="20"/>
              </w:rPr>
              <w:t>1997,</w:t>
            </w:r>
            <w:r w:rsidRPr="00150EDC">
              <w:rPr>
                <w:spacing w:val="-8"/>
                <w:sz w:val="20"/>
              </w:rPr>
              <w:t xml:space="preserve"> </w:t>
            </w:r>
            <w:r w:rsidRPr="00150EDC">
              <w:rPr>
                <w:spacing w:val="-5"/>
                <w:sz w:val="20"/>
              </w:rPr>
              <w:t>s30</w:t>
            </w:r>
          </w:p>
        </w:tc>
        <w:tc>
          <w:tcPr>
            <w:tcW w:w="7427" w:type="dxa"/>
          </w:tcPr>
          <w:p w14:paraId="16605770" w14:textId="77777777" w:rsidR="004C7180" w:rsidRPr="00150EDC" w:rsidRDefault="00CF0754">
            <w:pPr>
              <w:pStyle w:val="TableParagraph"/>
              <w:rPr>
                <w:sz w:val="20"/>
              </w:rPr>
            </w:pPr>
            <w:r w:rsidRPr="00150EDC">
              <w:rPr>
                <w:sz w:val="20"/>
              </w:rPr>
              <w:t>Permit</w:t>
            </w:r>
            <w:r w:rsidRPr="00150EDC">
              <w:rPr>
                <w:spacing w:val="-4"/>
                <w:sz w:val="20"/>
              </w:rPr>
              <w:t xml:space="preserve"> </w:t>
            </w:r>
            <w:r w:rsidRPr="00150EDC">
              <w:rPr>
                <w:sz w:val="20"/>
              </w:rPr>
              <w:t>premises</w:t>
            </w:r>
            <w:r w:rsidRPr="00150EDC">
              <w:rPr>
                <w:spacing w:val="-3"/>
                <w:sz w:val="20"/>
              </w:rPr>
              <w:t xml:space="preserve"> </w:t>
            </w:r>
            <w:r w:rsidRPr="00150EDC">
              <w:rPr>
                <w:sz w:val="20"/>
              </w:rPr>
              <w:t>to</w:t>
            </w:r>
            <w:r w:rsidRPr="00150EDC">
              <w:rPr>
                <w:spacing w:val="1"/>
                <w:sz w:val="20"/>
              </w:rPr>
              <w:t xml:space="preserve"> </w:t>
            </w:r>
            <w:r w:rsidRPr="00150EDC">
              <w:rPr>
                <w:sz w:val="20"/>
              </w:rPr>
              <w:t>be</w:t>
            </w:r>
            <w:r w:rsidRPr="00150EDC">
              <w:rPr>
                <w:spacing w:val="-4"/>
                <w:sz w:val="20"/>
              </w:rPr>
              <w:t xml:space="preserve"> </w:t>
            </w:r>
            <w:r w:rsidRPr="00150EDC">
              <w:rPr>
                <w:sz w:val="20"/>
              </w:rPr>
              <w:t>used</w:t>
            </w:r>
            <w:r w:rsidRPr="00150EDC">
              <w:rPr>
                <w:spacing w:val="-4"/>
                <w:sz w:val="20"/>
              </w:rPr>
              <w:t xml:space="preserve"> </w:t>
            </w:r>
            <w:r w:rsidRPr="00150EDC">
              <w:rPr>
                <w:sz w:val="20"/>
              </w:rPr>
              <w:t>as</w:t>
            </w:r>
            <w:r w:rsidRPr="00150EDC">
              <w:rPr>
                <w:spacing w:val="2"/>
                <w:sz w:val="20"/>
              </w:rPr>
              <w:t xml:space="preserve"> </w:t>
            </w:r>
            <w:r w:rsidRPr="00150EDC">
              <w:rPr>
                <w:sz w:val="20"/>
              </w:rPr>
              <w:t>a</w:t>
            </w:r>
            <w:r w:rsidRPr="00150EDC">
              <w:rPr>
                <w:spacing w:val="-4"/>
                <w:sz w:val="20"/>
              </w:rPr>
              <w:t xml:space="preserve"> </w:t>
            </w:r>
            <w:r w:rsidRPr="00150EDC">
              <w:rPr>
                <w:spacing w:val="-2"/>
                <w:sz w:val="20"/>
              </w:rPr>
              <w:t>brothel</w:t>
            </w:r>
          </w:p>
        </w:tc>
      </w:tr>
      <w:tr w:rsidR="004569EE" w:rsidRPr="007D3144" w14:paraId="499D0131" w14:textId="77777777">
        <w:trPr>
          <w:trHeight w:val="255"/>
        </w:trPr>
        <w:tc>
          <w:tcPr>
            <w:tcW w:w="6517" w:type="dxa"/>
          </w:tcPr>
          <w:p w14:paraId="73B3CE06"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3"/>
                <w:sz w:val="20"/>
              </w:rPr>
              <w:t xml:space="preserve"> </w:t>
            </w:r>
            <w:r w:rsidRPr="00150EDC">
              <w:rPr>
                <w:sz w:val="20"/>
              </w:rPr>
              <w:t>Act</w:t>
            </w:r>
            <w:r w:rsidRPr="00150EDC">
              <w:rPr>
                <w:spacing w:val="-6"/>
                <w:sz w:val="20"/>
              </w:rPr>
              <w:t xml:space="preserve"> </w:t>
            </w:r>
            <w:r w:rsidRPr="00150EDC">
              <w:rPr>
                <w:sz w:val="20"/>
              </w:rPr>
              <w:t>2003,</w:t>
            </w:r>
            <w:r w:rsidRPr="00150EDC">
              <w:rPr>
                <w:spacing w:val="-8"/>
                <w:sz w:val="20"/>
              </w:rPr>
              <w:t xml:space="preserve"> </w:t>
            </w:r>
            <w:r w:rsidRPr="00150EDC">
              <w:rPr>
                <w:spacing w:val="-2"/>
                <w:sz w:val="20"/>
              </w:rPr>
              <w:t>s113(1)</w:t>
            </w:r>
          </w:p>
        </w:tc>
        <w:tc>
          <w:tcPr>
            <w:tcW w:w="7427" w:type="dxa"/>
          </w:tcPr>
          <w:p w14:paraId="53F3C36D" w14:textId="77777777" w:rsidR="004C7180" w:rsidRPr="00150EDC" w:rsidRDefault="00CF0754">
            <w:pPr>
              <w:pStyle w:val="TableParagraph"/>
              <w:rPr>
                <w:sz w:val="20"/>
              </w:rPr>
            </w:pPr>
            <w:r w:rsidRPr="00150EDC">
              <w:rPr>
                <w:sz w:val="20"/>
              </w:rPr>
              <w:t>Engaging</w:t>
            </w:r>
            <w:r w:rsidRPr="00150EDC">
              <w:rPr>
                <w:spacing w:val="-8"/>
                <w:sz w:val="20"/>
              </w:rPr>
              <w:t xml:space="preserve"> </w:t>
            </w:r>
            <w:r w:rsidRPr="00150EDC">
              <w:rPr>
                <w:sz w:val="20"/>
              </w:rPr>
              <w:t>in</w:t>
            </w:r>
            <w:r w:rsidRPr="00150EDC">
              <w:rPr>
                <w:spacing w:val="-6"/>
                <w:sz w:val="20"/>
              </w:rPr>
              <w:t xml:space="preserve"> </w:t>
            </w:r>
            <w:r w:rsidRPr="00150EDC">
              <w:rPr>
                <w:sz w:val="20"/>
              </w:rPr>
              <w:t>conduct</w:t>
            </w:r>
            <w:r w:rsidRPr="00150EDC">
              <w:rPr>
                <w:spacing w:val="-6"/>
                <w:sz w:val="20"/>
              </w:rPr>
              <w:t xml:space="preserve"> </w:t>
            </w:r>
            <w:r w:rsidRPr="00150EDC">
              <w:rPr>
                <w:sz w:val="20"/>
              </w:rPr>
              <w:t>prohibited</w:t>
            </w:r>
            <w:r w:rsidRPr="00150EDC">
              <w:rPr>
                <w:spacing w:val="-1"/>
                <w:sz w:val="20"/>
              </w:rPr>
              <w:t xml:space="preserve"> </w:t>
            </w:r>
            <w:r w:rsidRPr="00150EDC">
              <w:rPr>
                <w:sz w:val="20"/>
              </w:rPr>
              <w:t>by</w:t>
            </w:r>
            <w:r w:rsidRPr="00150EDC">
              <w:rPr>
                <w:spacing w:val="-5"/>
                <w:sz w:val="20"/>
              </w:rPr>
              <w:t xml:space="preserve"> </w:t>
            </w:r>
            <w:r w:rsidRPr="00150EDC">
              <w:rPr>
                <w:sz w:val="20"/>
              </w:rPr>
              <w:t>a</w:t>
            </w:r>
            <w:r w:rsidRPr="00150EDC">
              <w:rPr>
                <w:spacing w:val="-6"/>
                <w:sz w:val="20"/>
              </w:rPr>
              <w:t xml:space="preserve"> </w:t>
            </w:r>
            <w:r w:rsidRPr="00150EDC">
              <w:rPr>
                <w:sz w:val="20"/>
              </w:rPr>
              <w:t>sexual</w:t>
            </w:r>
            <w:r w:rsidRPr="00150EDC">
              <w:rPr>
                <w:spacing w:val="-4"/>
                <w:sz w:val="20"/>
              </w:rPr>
              <w:t xml:space="preserve"> </w:t>
            </w:r>
            <w:r w:rsidRPr="00150EDC">
              <w:rPr>
                <w:sz w:val="20"/>
              </w:rPr>
              <w:t>offences</w:t>
            </w:r>
            <w:r w:rsidRPr="00150EDC">
              <w:rPr>
                <w:spacing w:val="-5"/>
                <w:sz w:val="20"/>
              </w:rPr>
              <w:t xml:space="preserve"> </w:t>
            </w:r>
            <w:r w:rsidRPr="00150EDC">
              <w:rPr>
                <w:sz w:val="20"/>
              </w:rPr>
              <w:t>prevention</w:t>
            </w:r>
            <w:r w:rsidRPr="00150EDC">
              <w:rPr>
                <w:spacing w:val="-5"/>
                <w:sz w:val="20"/>
              </w:rPr>
              <w:t xml:space="preserve"> </w:t>
            </w:r>
            <w:r w:rsidRPr="00150EDC">
              <w:rPr>
                <w:spacing w:val="-2"/>
                <w:sz w:val="20"/>
              </w:rPr>
              <w:t>order</w:t>
            </w:r>
          </w:p>
        </w:tc>
      </w:tr>
      <w:tr w:rsidR="004569EE" w:rsidRPr="007D3144" w14:paraId="1AB7ED99" w14:textId="77777777">
        <w:trPr>
          <w:trHeight w:val="255"/>
        </w:trPr>
        <w:tc>
          <w:tcPr>
            <w:tcW w:w="6517" w:type="dxa"/>
          </w:tcPr>
          <w:p w14:paraId="2743916A"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3"/>
                <w:sz w:val="20"/>
              </w:rPr>
              <w:t xml:space="preserve"> </w:t>
            </w:r>
            <w:r w:rsidRPr="00150EDC">
              <w:rPr>
                <w:sz w:val="20"/>
              </w:rPr>
              <w:t>Act</w:t>
            </w:r>
            <w:r w:rsidRPr="00150EDC">
              <w:rPr>
                <w:spacing w:val="-6"/>
                <w:sz w:val="20"/>
              </w:rPr>
              <w:t xml:space="preserve"> </w:t>
            </w:r>
            <w:r w:rsidRPr="00150EDC">
              <w:rPr>
                <w:sz w:val="20"/>
              </w:rPr>
              <w:t>2003,</w:t>
            </w:r>
            <w:r w:rsidRPr="00150EDC">
              <w:rPr>
                <w:spacing w:val="-8"/>
                <w:sz w:val="20"/>
              </w:rPr>
              <w:t xml:space="preserve"> </w:t>
            </w:r>
            <w:r w:rsidRPr="00150EDC">
              <w:rPr>
                <w:spacing w:val="-5"/>
                <w:sz w:val="20"/>
              </w:rPr>
              <w:t>s1</w:t>
            </w:r>
          </w:p>
        </w:tc>
        <w:tc>
          <w:tcPr>
            <w:tcW w:w="7427" w:type="dxa"/>
          </w:tcPr>
          <w:p w14:paraId="662E5677" w14:textId="77777777" w:rsidR="004C7180" w:rsidRPr="00150EDC" w:rsidRDefault="00CF0754">
            <w:pPr>
              <w:pStyle w:val="TableParagraph"/>
              <w:rPr>
                <w:sz w:val="20"/>
              </w:rPr>
            </w:pPr>
            <w:r w:rsidRPr="00150EDC">
              <w:rPr>
                <w:spacing w:val="-4"/>
                <w:sz w:val="20"/>
              </w:rPr>
              <w:t>Rape</w:t>
            </w:r>
          </w:p>
        </w:tc>
      </w:tr>
      <w:tr w:rsidR="004569EE" w:rsidRPr="007D3144" w14:paraId="61E71E5F" w14:textId="77777777">
        <w:trPr>
          <w:trHeight w:val="255"/>
        </w:trPr>
        <w:tc>
          <w:tcPr>
            <w:tcW w:w="6517" w:type="dxa"/>
          </w:tcPr>
          <w:p w14:paraId="1D22BC4F"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3"/>
                <w:sz w:val="20"/>
              </w:rPr>
              <w:t xml:space="preserve"> </w:t>
            </w:r>
            <w:r w:rsidRPr="00150EDC">
              <w:rPr>
                <w:sz w:val="20"/>
              </w:rPr>
              <w:t>Act</w:t>
            </w:r>
            <w:r w:rsidRPr="00150EDC">
              <w:rPr>
                <w:spacing w:val="-6"/>
                <w:sz w:val="20"/>
              </w:rPr>
              <w:t xml:space="preserve"> </w:t>
            </w:r>
            <w:r w:rsidRPr="00150EDC">
              <w:rPr>
                <w:sz w:val="20"/>
              </w:rPr>
              <w:t>2003,</w:t>
            </w:r>
            <w:r w:rsidRPr="00150EDC">
              <w:rPr>
                <w:spacing w:val="-8"/>
                <w:sz w:val="20"/>
              </w:rPr>
              <w:t xml:space="preserve"> </w:t>
            </w:r>
            <w:r w:rsidRPr="00150EDC">
              <w:rPr>
                <w:spacing w:val="-5"/>
                <w:sz w:val="20"/>
              </w:rPr>
              <w:t>s10</w:t>
            </w:r>
          </w:p>
        </w:tc>
        <w:tc>
          <w:tcPr>
            <w:tcW w:w="7427" w:type="dxa"/>
          </w:tcPr>
          <w:p w14:paraId="589EDF3D" w14:textId="77777777" w:rsidR="004C7180" w:rsidRPr="00150EDC" w:rsidRDefault="00CF0754">
            <w:pPr>
              <w:pStyle w:val="TableParagraph"/>
              <w:rPr>
                <w:sz w:val="20"/>
              </w:rPr>
            </w:pPr>
            <w:r w:rsidRPr="00150EDC">
              <w:rPr>
                <w:sz w:val="20"/>
              </w:rPr>
              <w:t>Causing</w:t>
            </w:r>
            <w:r w:rsidRPr="00150EDC">
              <w:rPr>
                <w:spacing w:val="-6"/>
                <w:sz w:val="20"/>
              </w:rPr>
              <w:t xml:space="preserve"> </w:t>
            </w:r>
            <w:r w:rsidRPr="00150EDC">
              <w:rPr>
                <w:sz w:val="20"/>
              </w:rPr>
              <w:t>or</w:t>
            </w:r>
            <w:r w:rsidRPr="00150EDC">
              <w:rPr>
                <w:spacing w:val="-1"/>
                <w:sz w:val="20"/>
              </w:rPr>
              <w:t xml:space="preserve"> </w:t>
            </w:r>
            <w:r w:rsidRPr="00150EDC">
              <w:rPr>
                <w:sz w:val="20"/>
              </w:rPr>
              <w:t>inciting</w:t>
            </w:r>
            <w:r w:rsidRPr="00150EDC">
              <w:rPr>
                <w:spacing w:val="-6"/>
                <w:sz w:val="20"/>
              </w:rPr>
              <w:t xml:space="preserve"> </w:t>
            </w:r>
            <w:r w:rsidRPr="00150EDC">
              <w:rPr>
                <w:sz w:val="20"/>
              </w:rPr>
              <w:t>a</w:t>
            </w:r>
            <w:r w:rsidRPr="00150EDC">
              <w:rPr>
                <w:spacing w:val="-1"/>
                <w:sz w:val="20"/>
              </w:rPr>
              <w:t xml:space="preserve"> </w:t>
            </w:r>
            <w:r w:rsidRPr="00150EDC">
              <w:rPr>
                <w:sz w:val="20"/>
              </w:rPr>
              <w:t>child</w:t>
            </w:r>
            <w:r w:rsidRPr="00150EDC">
              <w:rPr>
                <w:spacing w:val="-5"/>
                <w:sz w:val="20"/>
              </w:rPr>
              <w:t xml:space="preserve"> </w:t>
            </w:r>
            <w:r w:rsidRPr="00150EDC">
              <w:rPr>
                <w:sz w:val="20"/>
              </w:rPr>
              <w:t>to</w:t>
            </w:r>
            <w:r w:rsidRPr="00150EDC">
              <w:rPr>
                <w:spacing w:val="-1"/>
                <w:sz w:val="20"/>
              </w:rPr>
              <w:t xml:space="preserve"> </w:t>
            </w:r>
            <w:r w:rsidRPr="00150EDC">
              <w:rPr>
                <w:sz w:val="20"/>
              </w:rPr>
              <w:t>engage</w:t>
            </w:r>
            <w:r w:rsidRPr="00150EDC">
              <w:rPr>
                <w:spacing w:val="-6"/>
                <w:sz w:val="20"/>
              </w:rPr>
              <w:t xml:space="preserve"> </w:t>
            </w:r>
            <w:r w:rsidRPr="00150EDC">
              <w:rPr>
                <w:sz w:val="20"/>
              </w:rPr>
              <w:t>in</w:t>
            </w:r>
            <w:r w:rsidRPr="00150EDC">
              <w:rPr>
                <w:spacing w:val="-5"/>
                <w:sz w:val="20"/>
              </w:rPr>
              <w:t xml:space="preserve"> </w:t>
            </w:r>
            <w:r w:rsidRPr="00150EDC">
              <w:rPr>
                <w:sz w:val="20"/>
              </w:rPr>
              <w:t>sexual</w:t>
            </w:r>
            <w:r w:rsidRPr="00150EDC">
              <w:rPr>
                <w:spacing w:val="-4"/>
                <w:sz w:val="20"/>
              </w:rPr>
              <w:t xml:space="preserve"> </w:t>
            </w:r>
            <w:r w:rsidRPr="00150EDC">
              <w:rPr>
                <w:spacing w:val="-2"/>
                <w:sz w:val="20"/>
              </w:rPr>
              <w:t>activity</w:t>
            </w:r>
          </w:p>
        </w:tc>
      </w:tr>
      <w:tr w:rsidR="004569EE" w:rsidRPr="007D3144" w14:paraId="1853102A" w14:textId="77777777">
        <w:trPr>
          <w:trHeight w:val="255"/>
        </w:trPr>
        <w:tc>
          <w:tcPr>
            <w:tcW w:w="6517" w:type="dxa"/>
          </w:tcPr>
          <w:p w14:paraId="7A84FBF9"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3"/>
                <w:sz w:val="20"/>
              </w:rPr>
              <w:t xml:space="preserve"> </w:t>
            </w:r>
            <w:r w:rsidRPr="00150EDC">
              <w:rPr>
                <w:sz w:val="20"/>
              </w:rPr>
              <w:t>Act</w:t>
            </w:r>
            <w:r w:rsidRPr="00150EDC">
              <w:rPr>
                <w:spacing w:val="-6"/>
                <w:sz w:val="20"/>
              </w:rPr>
              <w:t xml:space="preserve"> </w:t>
            </w:r>
            <w:r w:rsidRPr="00150EDC">
              <w:rPr>
                <w:sz w:val="20"/>
              </w:rPr>
              <w:t>2003,</w:t>
            </w:r>
            <w:r w:rsidRPr="00150EDC">
              <w:rPr>
                <w:spacing w:val="-8"/>
                <w:sz w:val="20"/>
              </w:rPr>
              <w:t xml:space="preserve"> </w:t>
            </w:r>
            <w:r w:rsidRPr="00150EDC">
              <w:rPr>
                <w:spacing w:val="-5"/>
                <w:sz w:val="20"/>
              </w:rPr>
              <w:t>s11</w:t>
            </w:r>
          </w:p>
        </w:tc>
        <w:tc>
          <w:tcPr>
            <w:tcW w:w="7427" w:type="dxa"/>
          </w:tcPr>
          <w:p w14:paraId="5AC37B03" w14:textId="77777777" w:rsidR="004C7180" w:rsidRPr="00150EDC" w:rsidRDefault="00CF0754">
            <w:pPr>
              <w:pStyle w:val="TableParagraph"/>
              <w:rPr>
                <w:sz w:val="20"/>
              </w:rPr>
            </w:pPr>
            <w:r w:rsidRPr="00150EDC">
              <w:rPr>
                <w:sz w:val="20"/>
              </w:rPr>
              <w:t>Engaging</w:t>
            </w:r>
            <w:r w:rsidRPr="00150EDC">
              <w:rPr>
                <w:spacing w:val="-6"/>
                <w:sz w:val="20"/>
              </w:rPr>
              <w:t xml:space="preserve"> </w:t>
            </w:r>
            <w:r w:rsidRPr="00150EDC">
              <w:rPr>
                <w:sz w:val="20"/>
              </w:rPr>
              <w:t>in</w:t>
            </w:r>
            <w:r w:rsidRPr="00150EDC">
              <w:rPr>
                <w:spacing w:val="-5"/>
                <w:sz w:val="20"/>
              </w:rPr>
              <w:t xml:space="preserve"> </w:t>
            </w:r>
            <w:r w:rsidRPr="00150EDC">
              <w:rPr>
                <w:sz w:val="20"/>
              </w:rPr>
              <w:t>sexual</w:t>
            </w:r>
            <w:r w:rsidRPr="00150EDC">
              <w:rPr>
                <w:spacing w:val="-3"/>
                <w:sz w:val="20"/>
              </w:rPr>
              <w:t xml:space="preserve"> </w:t>
            </w:r>
            <w:r w:rsidRPr="00150EDC">
              <w:rPr>
                <w:sz w:val="20"/>
              </w:rPr>
              <w:t>activity</w:t>
            </w:r>
            <w:r w:rsidRPr="00150EDC">
              <w:rPr>
                <w:spacing w:val="-4"/>
                <w:sz w:val="20"/>
              </w:rPr>
              <w:t xml:space="preserve"> </w:t>
            </w:r>
            <w:r w:rsidRPr="00150EDC">
              <w:rPr>
                <w:sz w:val="20"/>
              </w:rPr>
              <w:t>in</w:t>
            </w:r>
            <w:r w:rsidRPr="00150EDC">
              <w:rPr>
                <w:spacing w:val="-5"/>
                <w:sz w:val="20"/>
              </w:rPr>
              <w:t xml:space="preserve"> </w:t>
            </w:r>
            <w:r w:rsidRPr="00150EDC">
              <w:rPr>
                <w:sz w:val="20"/>
              </w:rPr>
              <w:t>the presence</w:t>
            </w:r>
            <w:r w:rsidRPr="00150EDC">
              <w:rPr>
                <w:spacing w:val="-5"/>
                <w:sz w:val="20"/>
              </w:rPr>
              <w:t xml:space="preserve"> </w:t>
            </w:r>
            <w:r w:rsidRPr="00150EDC">
              <w:rPr>
                <w:sz w:val="20"/>
              </w:rPr>
              <w:t>of</w:t>
            </w:r>
            <w:r w:rsidRPr="00150EDC">
              <w:rPr>
                <w:spacing w:val="1"/>
                <w:sz w:val="20"/>
              </w:rPr>
              <w:t xml:space="preserve"> </w:t>
            </w:r>
            <w:r w:rsidRPr="00150EDC">
              <w:rPr>
                <w:sz w:val="20"/>
              </w:rPr>
              <w:t>a</w:t>
            </w:r>
            <w:r w:rsidRPr="00150EDC">
              <w:rPr>
                <w:spacing w:val="-5"/>
                <w:sz w:val="20"/>
              </w:rPr>
              <w:t xml:space="preserve"> </w:t>
            </w:r>
            <w:r w:rsidRPr="00150EDC">
              <w:rPr>
                <w:spacing w:val="-4"/>
                <w:sz w:val="20"/>
              </w:rPr>
              <w:t>child</w:t>
            </w:r>
          </w:p>
        </w:tc>
      </w:tr>
      <w:tr w:rsidR="004569EE" w:rsidRPr="007D3144" w14:paraId="6C44ADFE" w14:textId="77777777">
        <w:trPr>
          <w:trHeight w:val="255"/>
        </w:trPr>
        <w:tc>
          <w:tcPr>
            <w:tcW w:w="6517" w:type="dxa"/>
          </w:tcPr>
          <w:p w14:paraId="459FC837"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3"/>
                <w:sz w:val="20"/>
              </w:rPr>
              <w:t xml:space="preserve"> </w:t>
            </w:r>
            <w:r w:rsidRPr="00150EDC">
              <w:rPr>
                <w:sz w:val="20"/>
              </w:rPr>
              <w:t>Act</w:t>
            </w:r>
            <w:r w:rsidRPr="00150EDC">
              <w:rPr>
                <w:spacing w:val="-6"/>
                <w:sz w:val="20"/>
              </w:rPr>
              <w:t xml:space="preserve"> </w:t>
            </w:r>
            <w:r w:rsidRPr="00150EDC">
              <w:rPr>
                <w:sz w:val="20"/>
              </w:rPr>
              <w:t>2003,</w:t>
            </w:r>
            <w:r w:rsidRPr="00150EDC">
              <w:rPr>
                <w:spacing w:val="-8"/>
                <w:sz w:val="20"/>
              </w:rPr>
              <w:t xml:space="preserve"> </w:t>
            </w:r>
            <w:r w:rsidRPr="00150EDC">
              <w:rPr>
                <w:spacing w:val="-5"/>
                <w:sz w:val="20"/>
              </w:rPr>
              <w:t>s12</w:t>
            </w:r>
          </w:p>
        </w:tc>
        <w:tc>
          <w:tcPr>
            <w:tcW w:w="7427" w:type="dxa"/>
          </w:tcPr>
          <w:p w14:paraId="1DD0BF39" w14:textId="77777777" w:rsidR="004C7180" w:rsidRPr="00150EDC" w:rsidRDefault="00CF0754">
            <w:pPr>
              <w:pStyle w:val="TableParagraph"/>
              <w:rPr>
                <w:sz w:val="20"/>
              </w:rPr>
            </w:pPr>
            <w:r w:rsidRPr="00150EDC">
              <w:rPr>
                <w:sz w:val="20"/>
              </w:rPr>
              <w:t>Causing</w:t>
            </w:r>
            <w:r w:rsidRPr="00150EDC">
              <w:rPr>
                <w:spacing w:val="-5"/>
                <w:sz w:val="20"/>
              </w:rPr>
              <w:t xml:space="preserve"> </w:t>
            </w:r>
            <w:r w:rsidRPr="00150EDC">
              <w:rPr>
                <w:sz w:val="20"/>
              </w:rPr>
              <w:t>a</w:t>
            </w:r>
            <w:r w:rsidRPr="00150EDC">
              <w:rPr>
                <w:spacing w:val="-4"/>
                <w:sz w:val="20"/>
              </w:rPr>
              <w:t xml:space="preserve"> </w:t>
            </w:r>
            <w:r w:rsidRPr="00150EDC">
              <w:rPr>
                <w:sz w:val="20"/>
              </w:rPr>
              <w:t>child to</w:t>
            </w:r>
            <w:r w:rsidRPr="00150EDC">
              <w:rPr>
                <w:spacing w:val="-4"/>
                <w:sz w:val="20"/>
              </w:rPr>
              <w:t xml:space="preserve"> </w:t>
            </w:r>
            <w:r w:rsidRPr="00150EDC">
              <w:rPr>
                <w:sz w:val="20"/>
              </w:rPr>
              <w:t>watch</w:t>
            </w:r>
            <w:r w:rsidRPr="00150EDC">
              <w:rPr>
                <w:spacing w:val="-4"/>
                <w:sz w:val="20"/>
              </w:rPr>
              <w:t xml:space="preserve"> </w:t>
            </w:r>
            <w:r w:rsidRPr="00150EDC">
              <w:rPr>
                <w:sz w:val="20"/>
              </w:rPr>
              <w:t>a</w:t>
            </w:r>
            <w:r w:rsidRPr="00150EDC">
              <w:rPr>
                <w:spacing w:val="-5"/>
                <w:sz w:val="20"/>
              </w:rPr>
              <w:t xml:space="preserve"> </w:t>
            </w:r>
            <w:r w:rsidRPr="00150EDC">
              <w:rPr>
                <w:sz w:val="20"/>
              </w:rPr>
              <w:t>sexual</w:t>
            </w:r>
            <w:r w:rsidRPr="00150EDC">
              <w:rPr>
                <w:spacing w:val="-2"/>
                <w:sz w:val="20"/>
              </w:rPr>
              <w:t xml:space="preserve"> </w:t>
            </w:r>
            <w:r w:rsidRPr="00150EDC">
              <w:rPr>
                <w:spacing w:val="-5"/>
                <w:sz w:val="20"/>
              </w:rPr>
              <w:t>act</w:t>
            </w:r>
          </w:p>
        </w:tc>
      </w:tr>
      <w:tr w:rsidR="004569EE" w:rsidRPr="007D3144" w14:paraId="532A8C10" w14:textId="77777777">
        <w:trPr>
          <w:trHeight w:val="255"/>
        </w:trPr>
        <w:tc>
          <w:tcPr>
            <w:tcW w:w="6517" w:type="dxa"/>
          </w:tcPr>
          <w:p w14:paraId="21D3E3A2"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3"/>
                <w:sz w:val="20"/>
              </w:rPr>
              <w:t xml:space="preserve"> </w:t>
            </w:r>
            <w:r w:rsidRPr="00150EDC">
              <w:rPr>
                <w:sz w:val="20"/>
              </w:rPr>
              <w:t>Act</w:t>
            </w:r>
            <w:r w:rsidRPr="00150EDC">
              <w:rPr>
                <w:spacing w:val="-6"/>
                <w:sz w:val="20"/>
              </w:rPr>
              <w:t xml:space="preserve"> </w:t>
            </w:r>
            <w:r w:rsidRPr="00150EDC">
              <w:rPr>
                <w:sz w:val="20"/>
              </w:rPr>
              <w:t>2003,</w:t>
            </w:r>
            <w:r w:rsidRPr="00150EDC">
              <w:rPr>
                <w:spacing w:val="-8"/>
                <w:sz w:val="20"/>
              </w:rPr>
              <w:t xml:space="preserve"> </w:t>
            </w:r>
            <w:r w:rsidRPr="00150EDC">
              <w:rPr>
                <w:spacing w:val="-5"/>
                <w:sz w:val="20"/>
              </w:rPr>
              <w:t>s13</w:t>
            </w:r>
          </w:p>
        </w:tc>
        <w:tc>
          <w:tcPr>
            <w:tcW w:w="7427" w:type="dxa"/>
          </w:tcPr>
          <w:p w14:paraId="58D08927" w14:textId="77777777" w:rsidR="004C7180" w:rsidRPr="00150EDC" w:rsidRDefault="00CF0754">
            <w:pPr>
              <w:pStyle w:val="TableParagraph"/>
              <w:rPr>
                <w:sz w:val="20"/>
              </w:rPr>
            </w:pPr>
            <w:r w:rsidRPr="00150EDC">
              <w:rPr>
                <w:sz w:val="20"/>
              </w:rPr>
              <w:t>Child</w:t>
            </w:r>
            <w:r w:rsidRPr="00150EDC">
              <w:rPr>
                <w:spacing w:val="-6"/>
                <w:sz w:val="20"/>
              </w:rPr>
              <w:t xml:space="preserve"> </w:t>
            </w:r>
            <w:r w:rsidRPr="00150EDC">
              <w:rPr>
                <w:sz w:val="20"/>
              </w:rPr>
              <w:t>sex</w:t>
            </w:r>
            <w:r w:rsidRPr="00150EDC">
              <w:rPr>
                <w:spacing w:val="-4"/>
                <w:sz w:val="20"/>
              </w:rPr>
              <w:t xml:space="preserve"> </w:t>
            </w:r>
            <w:r w:rsidRPr="00150EDC">
              <w:rPr>
                <w:sz w:val="20"/>
              </w:rPr>
              <w:t>offences</w:t>
            </w:r>
            <w:r w:rsidRPr="00150EDC">
              <w:rPr>
                <w:spacing w:val="-4"/>
                <w:sz w:val="20"/>
              </w:rPr>
              <w:t xml:space="preserve"> </w:t>
            </w:r>
            <w:r w:rsidRPr="00150EDC">
              <w:rPr>
                <w:sz w:val="20"/>
              </w:rPr>
              <w:t>committed by</w:t>
            </w:r>
            <w:r w:rsidRPr="00150EDC">
              <w:rPr>
                <w:spacing w:val="-5"/>
                <w:sz w:val="20"/>
              </w:rPr>
              <w:t xml:space="preserve"> </w:t>
            </w:r>
            <w:r w:rsidRPr="00150EDC">
              <w:rPr>
                <w:sz w:val="20"/>
              </w:rPr>
              <w:t>children</w:t>
            </w:r>
            <w:r w:rsidRPr="00150EDC">
              <w:rPr>
                <w:spacing w:val="-5"/>
                <w:sz w:val="20"/>
              </w:rPr>
              <w:t xml:space="preserve"> </w:t>
            </w:r>
            <w:r w:rsidRPr="00150EDC">
              <w:rPr>
                <w:sz w:val="20"/>
              </w:rPr>
              <w:t>or</w:t>
            </w:r>
            <w:r w:rsidRPr="00150EDC">
              <w:rPr>
                <w:spacing w:val="-5"/>
                <w:sz w:val="20"/>
              </w:rPr>
              <w:t xml:space="preserve"> </w:t>
            </w:r>
            <w:r w:rsidRPr="00150EDC">
              <w:rPr>
                <w:sz w:val="20"/>
              </w:rPr>
              <w:t>young</w:t>
            </w:r>
            <w:r w:rsidRPr="00150EDC">
              <w:rPr>
                <w:spacing w:val="-5"/>
                <w:sz w:val="20"/>
              </w:rPr>
              <w:t xml:space="preserve"> </w:t>
            </w:r>
            <w:r w:rsidRPr="00150EDC">
              <w:rPr>
                <w:spacing w:val="-2"/>
                <w:sz w:val="20"/>
              </w:rPr>
              <w:t>persons</w:t>
            </w:r>
          </w:p>
        </w:tc>
      </w:tr>
      <w:tr w:rsidR="004569EE" w:rsidRPr="007D3144" w14:paraId="7065279D" w14:textId="77777777">
        <w:trPr>
          <w:trHeight w:val="255"/>
        </w:trPr>
        <w:tc>
          <w:tcPr>
            <w:tcW w:w="6517" w:type="dxa"/>
          </w:tcPr>
          <w:p w14:paraId="224C150F" w14:textId="77777777" w:rsidR="004C7180" w:rsidRPr="00150EDC" w:rsidRDefault="00CF0754">
            <w:pPr>
              <w:pStyle w:val="TableParagraph"/>
              <w:spacing w:before="28"/>
              <w:rPr>
                <w:sz w:val="20"/>
              </w:rPr>
            </w:pPr>
            <w:r w:rsidRPr="00150EDC">
              <w:rPr>
                <w:sz w:val="20"/>
              </w:rPr>
              <w:t>Sexual</w:t>
            </w:r>
            <w:r w:rsidRPr="00150EDC">
              <w:rPr>
                <w:spacing w:val="-6"/>
                <w:sz w:val="20"/>
              </w:rPr>
              <w:t xml:space="preserve"> </w:t>
            </w:r>
            <w:r w:rsidRPr="00150EDC">
              <w:rPr>
                <w:sz w:val="20"/>
              </w:rPr>
              <w:t>Offences</w:t>
            </w:r>
            <w:r w:rsidRPr="00150EDC">
              <w:rPr>
                <w:spacing w:val="-3"/>
                <w:sz w:val="20"/>
              </w:rPr>
              <w:t xml:space="preserve"> </w:t>
            </w:r>
            <w:r w:rsidRPr="00150EDC">
              <w:rPr>
                <w:sz w:val="20"/>
              </w:rPr>
              <w:t>Act</w:t>
            </w:r>
            <w:r w:rsidRPr="00150EDC">
              <w:rPr>
                <w:spacing w:val="-6"/>
                <w:sz w:val="20"/>
              </w:rPr>
              <w:t xml:space="preserve"> </w:t>
            </w:r>
            <w:r w:rsidRPr="00150EDC">
              <w:rPr>
                <w:sz w:val="20"/>
              </w:rPr>
              <w:t>2003,</w:t>
            </w:r>
            <w:r w:rsidRPr="00150EDC">
              <w:rPr>
                <w:spacing w:val="-8"/>
                <w:sz w:val="20"/>
              </w:rPr>
              <w:t xml:space="preserve"> </w:t>
            </w:r>
            <w:r w:rsidRPr="00150EDC">
              <w:rPr>
                <w:spacing w:val="-5"/>
                <w:sz w:val="20"/>
              </w:rPr>
              <w:t>s14</w:t>
            </w:r>
          </w:p>
        </w:tc>
        <w:tc>
          <w:tcPr>
            <w:tcW w:w="7427" w:type="dxa"/>
          </w:tcPr>
          <w:p w14:paraId="5BD0B2B8" w14:textId="77777777" w:rsidR="004C7180" w:rsidRPr="00150EDC" w:rsidRDefault="00CF0754">
            <w:pPr>
              <w:pStyle w:val="TableParagraph"/>
              <w:spacing w:before="28"/>
              <w:rPr>
                <w:sz w:val="20"/>
              </w:rPr>
            </w:pPr>
            <w:r w:rsidRPr="00150EDC">
              <w:rPr>
                <w:sz w:val="20"/>
              </w:rPr>
              <w:t>Arranging</w:t>
            </w:r>
            <w:r w:rsidRPr="00150EDC">
              <w:rPr>
                <w:spacing w:val="-1"/>
                <w:sz w:val="20"/>
              </w:rPr>
              <w:t xml:space="preserve"> </w:t>
            </w:r>
            <w:r w:rsidRPr="00150EDC">
              <w:rPr>
                <w:sz w:val="20"/>
              </w:rPr>
              <w:t>or</w:t>
            </w:r>
            <w:r w:rsidRPr="00150EDC">
              <w:rPr>
                <w:spacing w:val="-6"/>
                <w:sz w:val="20"/>
              </w:rPr>
              <w:t xml:space="preserve"> </w:t>
            </w:r>
            <w:r w:rsidRPr="00150EDC">
              <w:rPr>
                <w:sz w:val="20"/>
              </w:rPr>
              <w:t>facilitating</w:t>
            </w:r>
            <w:r w:rsidRPr="00150EDC">
              <w:rPr>
                <w:spacing w:val="-6"/>
                <w:sz w:val="20"/>
              </w:rPr>
              <w:t xml:space="preserve"> </w:t>
            </w:r>
            <w:r w:rsidRPr="00150EDC">
              <w:rPr>
                <w:sz w:val="20"/>
              </w:rPr>
              <w:t>commission</w:t>
            </w:r>
            <w:r w:rsidRPr="00150EDC">
              <w:rPr>
                <w:spacing w:val="-1"/>
                <w:sz w:val="20"/>
              </w:rPr>
              <w:t xml:space="preserve"> </w:t>
            </w:r>
            <w:r w:rsidRPr="00150EDC">
              <w:rPr>
                <w:sz w:val="20"/>
              </w:rPr>
              <w:t>of</w:t>
            </w:r>
            <w:r w:rsidRPr="00150EDC">
              <w:rPr>
                <w:spacing w:val="-5"/>
                <w:sz w:val="20"/>
              </w:rPr>
              <w:t xml:space="preserve"> </w:t>
            </w:r>
            <w:r w:rsidRPr="00150EDC">
              <w:rPr>
                <w:sz w:val="20"/>
              </w:rPr>
              <w:t>a</w:t>
            </w:r>
            <w:r w:rsidRPr="00150EDC">
              <w:rPr>
                <w:spacing w:val="-6"/>
                <w:sz w:val="20"/>
              </w:rPr>
              <w:t xml:space="preserve"> </w:t>
            </w:r>
            <w:r w:rsidRPr="00150EDC">
              <w:rPr>
                <w:sz w:val="20"/>
              </w:rPr>
              <w:t>child</w:t>
            </w:r>
            <w:r w:rsidRPr="00150EDC">
              <w:rPr>
                <w:spacing w:val="-6"/>
                <w:sz w:val="20"/>
              </w:rPr>
              <w:t xml:space="preserve"> </w:t>
            </w:r>
            <w:r w:rsidRPr="00150EDC">
              <w:rPr>
                <w:sz w:val="20"/>
              </w:rPr>
              <w:t>sex</w:t>
            </w:r>
            <w:r w:rsidRPr="00150EDC">
              <w:rPr>
                <w:spacing w:val="-4"/>
                <w:sz w:val="20"/>
              </w:rPr>
              <w:t xml:space="preserve"> </w:t>
            </w:r>
            <w:r w:rsidRPr="00150EDC">
              <w:rPr>
                <w:spacing w:val="-2"/>
                <w:sz w:val="20"/>
              </w:rPr>
              <w:t>offence</w:t>
            </w:r>
          </w:p>
        </w:tc>
      </w:tr>
      <w:tr w:rsidR="004569EE" w:rsidRPr="007D3144" w14:paraId="517B32EB" w14:textId="77777777">
        <w:trPr>
          <w:trHeight w:val="255"/>
        </w:trPr>
        <w:tc>
          <w:tcPr>
            <w:tcW w:w="6517" w:type="dxa"/>
          </w:tcPr>
          <w:p w14:paraId="73ADAC04"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3"/>
                <w:sz w:val="20"/>
              </w:rPr>
              <w:t xml:space="preserve"> </w:t>
            </w:r>
            <w:r w:rsidRPr="00150EDC">
              <w:rPr>
                <w:sz w:val="20"/>
              </w:rPr>
              <w:t>Act</w:t>
            </w:r>
            <w:r w:rsidRPr="00150EDC">
              <w:rPr>
                <w:spacing w:val="-6"/>
                <w:sz w:val="20"/>
              </w:rPr>
              <w:t xml:space="preserve"> </w:t>
            </w:r>
            <w:r w:rsidRPr="00150EDC">
              <w:rPr>
                <w:sz w:val="20"/>
              </w:rPr>
              <w:t>2003,</w:t>
            </w:r>
            <w:r w:rsidRPr="00150EDC">
              <w:rPr>
                <w:spacing w:val="-8"/>
                <w:sz w:val="20"/>
              </w:rPr>
              <w:t xml:space="preserve"> </w:t>
            </w:r>
            <w:r w:rsidRPr="00150EDC">
              <w:rPr>
                <w:spacing w:val="-5"/>
                <w:sz w:val="20"/>
              </w:rPr>
              <w:t>s15</w:t>
            </w:r>
          </w:p>
        </w:tc>
        <w:tc>
          <w:tcPr>
            <w:tcW w:w="7427" w:type="dxa"/>
          </w:tcPr>
          <w:p w14:paraId="68AD0A90" w14:textId="77777777" w:rsidR="004C7180" w:rsidRPr="00150EDC" w:rsidRDefault="00CF0754">
            <w:pPr>
              <w:pStyle w:val="TableParagraph"/>
              <w:rPr>
                <w:sz w:val="20"/>
              </w:rPr>
            </w:pPr>
            <w:r w:rsidRPr="00150EDC">
              <w:rPr>
                <w:sz w:val="20"/>
              </w:rPr>
              <w:t>Meeting</w:t>
            </w:r>
            <w:r w:rsidRPr="00150EDC">
              <w:rPr>
                <w:spacing w:val="-8"/>
                <w:sz w:val="20"/>
              </w:rPr>
              <w:t xml:space="preserve"> </w:t>
            </w:r>
            <w:r w:rsidRPr="00150EDC">
              <w:rPr>
                <w:sz w:val="20"/>
              </w:rPr>
              <w:t>a</w:t>
            </w:r>
            <w:r w:rsidRPr="00150EDC">
              <w:rPr>
                <w:spacing w:val="-12"/>
                <w:sz w:val="20"/>
              </w:rPr>
              <w:t xml:space="preserve"> </w:t>
            </w:r>
            <w:r w:rsidRPr="00150EDC">
              <w:rPr>
                <w:sz w:val="20"/>
              </w:rPr>
              <w:t>child</w:t>
            </w:r>
            <w:r w:rsidRPr="00150EDC">
              <w:rPr>
                <w:spacing w:val="-11"/>
                <w:sz w:val="20"/>
              </w:rPr>
              <w:t xml:space="preserve"> </w:t>
            </w:r>
            <w:r w:rsidRPr="00150EDC">
              <w:rPr>
                <w:sz w:val="20"/>
              </w:rPr>
              <w:t>following</w:t>
            </w:r>
            <w:r w:rsidRPr="00150EDC">
              <w:rPr>
                <w:spacing w:val="-12"/>
                <w:sz w:val="20"/>
              </w:rPr>
              <w:t xml:space="preserve"> </w:t>
            </w:r>
            <w:r w:rsidRPr="00150EDC">
              <w:rPr>
                <w:sz w:val="20"/>
              </w:rPr>
              <w:t>sexual</w:t>
            </w:r>
            <w:r w:rsidRPr="00150EDC">
              <w:rPr>
                <w:spacing w:val="-8"/>
                <w:sz w:val="20"/>
              </w:rPr>
              <w:t xml:space="preserve"> </w:t>
            </w:r>
            <w:r w:rsidRPr="00150EDC">
              <w:rPr>
                <w:spacing w:val="-2"/>
                <w:sz w:val="20"/>
              </w:rPr>
              <w:t>grooming</w:t>
            </w:r>
          </w:p>
        </w:tc>
      </w:tr>
      <w:tr w:rsidR="004569EE" w:rsidRPr="007D3144" w14:paraId="30A96286" w14:textId="77777777">
        <w:trPr>
          <w:trHeight w:val="255"/>
        </w:trPr>
        <w:tc>
          <w:tcPr>
            <w:tcW w:w="6517" w:type="dxa"/>
          </w:tcPr>
          <w:p w14:paraId="7E5D3DD4"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3"/>
                <w:sz w:val="20"/>
              </w:rPr>
              <w:t xml:space="preserve"> </w:t>
            </w:r>
            <w:r w:rsidRPr="00150EDC">
              <w:rPr>
                <w:sz w:val="20"/>
              </w:rPr>
              <w:t>Act</w:t>
            </w:r>
            <w:r w:rsidRPr="00150EDC">
              <w:rPr>
                <w:spacing w:val="-6"/>
                <w:sz w:val="20"/>
              </w:rPr>
              <w:t xml:space="preserve"> </w:t>
            </w:r>
            <w:r w:rsidRPr="00150EDC">
              <w:rPr>
                <w:sz w:val="20"/>
              </w:rPr>
              <w:t>2003,</w:t>
            </w:r>
            <w:r w:rsidRPr="00150EDC">
              <w:rPr>
                <w:spacing w:val="-8"/>
                <w:sz w:val="20"/>
              </w:rPr>
              <w:t xml:space="preserve"> </w:t>
            </w:r>
            <w:r w:rsidRPr="00150EDC">
              <w:rPr>
                <w:spacing w:val="-5"/>
                <w:sz w:val="20"/>
              </w:rPr>
              <w:t>s16</w:t>
            </w:r>
          </w:p>
        </w:tc>
        <w:tc>
          <w:tcPr>
            <w:tcW w:w="7427" w:type="dxa"/>
          </w:tcPr>
          <w:p w14:paraId="5A19F3C3" w14:textId="77777777" w:rsidR="004C7180" w:rsidRPr="00150EDC" w:rsidRDefault="00CF0754">
            <w:pPr>
              <w:pStyle w:val="TableParagraph"/>
              <w:rPr>
                <w:sz w:val="20"/>
              </w:rPr>
            </w:pPr>
            <w:r w:rsidRPr="00150EDC">
              <w:rPr>
                <w:sz w:val="20"/>
              </w:rPr>
              <w:t>Abuse</w:t>
            </w:r>
            <w:r w:rsidRPr="00150EDC">
              <w:rPr>
                <w:spacing w:val="-5"/>
                <w:sz w:val="20"/>
              </w:rPr>
              <w:t xml:space="preserve"> </w:t>
            </w:r>
            <w:r w:rsidRPr="00150EDC">
              <w:rPr>
                <w:sz w:val="20"/>
              </w:rPr>
              <w:t>of</w:t>
            </w:r>
            <w:r w:rsidRPr="00150EDC">
              <w:rPr>
                <w:spacing w:val="-4"/>
                <w:sz w:val="20"/>
              </w:rPr>
              <w:t xml:space="preserve"> </w:t>
            </w:r>
            <w:r w:rsidRPr="00150EDC">
              <w:rPr>
                <w:sz w:val="20"/>
              </w:rPr>
              <w:t>position</w:t>
            </w:r>
            <w:r w:rsidRPr="00150EDC">
              <w:rPr>
                <w:spacing w:val="-4"/>
                <w:sz w:val="20"/>
              </w:rPr>
              <w:t xml:space="preserve"> </w:t>
            </w:r>
            <w:r w:rsidRPr="00150EDC">
              <w:rPr>
                <w:sz w:val="20"/>
              </w:rPr>
              <w:t>of</w:t>
            </w:r>
            <w:r w:rsidRPr="00150EDC">
              <w:rPr>
                <w:spacing w:val="1"/>
                <w:sz w:val="20"/>
              </w:rPr>
              <w:t xml:space="preserve"> </w:t>
            </w:r>
            <w:r w:rsidRPr="00150EDC">
              <w:rPr>
                <w:sz w:val="20"/>
              </w:rPr>
              <w:t>trust</w:t>
            </w:r>
            <w:r w:rsidRPr="00150EDC">
              <w:rPr>
                <w:spacing w:val="-3"/>
                <w:sz w:val="20"/>
              </w:rPr>
              <w:t xml:space="preserve"> </w:t>
            </w:r>
            <w:r w:rsidRPr="00150EDC">
              <w:rPr>
                <w:sz w:val="20"/>
              </w:rPr>
              <w:t>sexual</w:t>
            </w:r>
            <w:r w:rsidRPr="00150EDC">
              <w:rPr>
                <w:spacing w:val="-2"/>
                <w:sz w:val="20"/>
              </w:rPr>
              <w:t xml:space="preserve"> </w:t>
            </w:r>
            <w:r w:rsidRPr="00150EDC">
              <w:rPr>
                <w:sz w:val="20"/>
              </w:rPr>
              <w:t>activity</w:t>
            </w:r>
            <w:r w:rsidRPr="00150EDC">
              <w:rPr>
                <w:spacing w:val="-3"/>
                <w:sz w:val="20"/>
              </w:rPr>
              <w:t xml:space="preserve"> </w:t>
            </w:r>
            <w:r w:rsidRPr="00150EDC">
              <w:rPr>
                <w:sz w:val="20"/>
              </w:rPr>
              <w:t>with</w:t>
            </w:r>
            <w:r w:rsidRPr="00150EDC">
              <w:rPr>
                <w:spacing w:val="-4"/>
                <w:sz w:val="20"/>
              </w:rPr>
              <w:t xml:space="preserve"> </w:t>
            </w:r>
            <w:r w:rsidRPr="00150EDC">
              <w:rPr>
                <w:sz w:val="20"/>
              </w:rPr>
              <w:t>a</w:t>
            </w:r>
            <w:r w:rsidRPr="00150EDC">
              <w:rPr>
                <w:spacing w:val="-4"/>
                <w:sz w:val="20"/>
              </w:rPr>
              <w:t xml:space="preserve"> child</w:t>
            </w:r>
          </w:p>
        </w:tc>
      </w:tr>
      <w:tr w:rsidR="004569EE" w:rsidRPr="007D3144" w14:paraId="2F22E400" w14:textId="77777777">
        <w:trPr>
          <w:trHeight w:val="255"/>
        </w:trPr>
        <w:tc>
          <w:tcPr>
            <w:tcW w:w="6517" w:type="dxa"/>
          </w:tcPr>
          <w:p w14:paraId="6D356A9F"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3"/>
                <w:sz w:val="20"/>
              </w:rPr>
              <w:t xml:space="preserve"> </w:t>
            </w:r>
            <w:r w:rsidRPr="00150EDC">
              <w:rPr>
                <w:sz w:val="20"/>
              </w:rPr>
              <w:t>Act</w:t>
            </w:r>
            <w:r w:rsidRPr="00150EDC">
              <w:rPr>
                <w:spacing w:val="-6"/>
                <w:sz w:val="20"/>
              </w:rPr>
              <w:t xml:space="preserve"> </w:t>
            </w:r>
            <w:r w:rsidRPr="00150EDC">
              <w:rPr>
                <w:sz w:val="20"/>
              </w:rPr>
              <w:t>2003,</w:t>
            </w:r>
            <w:r w:rsidRPr="00150EDC">
              <w:rPr>
                <w:spacing w:val="-8"/>
                <w:sz w:val="20"/>
              </w:rPr>
              <w:t xml:space="preserve"> </w:t>
            </w:r>
            <w:r w:rsidRPr="00150EDC">
              <w:rPr>
                <w:spacing w:val="-5"/>
                <w:sz w:val="20"/>
              </w:rPr>
              <w:t>s17</w:t>
            </w:r>
          </w:p>
        </w:tc>
        <w:tc>
          <w:tcPr>
            <w:tcW w:w="7427" w:type="dxa"/>
          </w:tcPr>
          <w:p w14:paraId="35483B97" w14:textId="77777777" w:rsidR="004C7180" w:rsidRPr="00150EDC" w:rsidRDefault="00CF0754">
            <w:pPr>
              <w:pStyle w:val="TableParagraph"/>
              <w:rPr>
                <w:sz w:val="20"/>
              </w:rPr>
            </w:pPr>
            <w:r w:rsidRPr="00150EDC">
              <w:rPr>
                <w:sz w:val="20"/>
              </w:rPr>
              <w:t>Abuse</w:t>
            </w:r>
            <w:r w:rsidRPr="00150EDC">
              <w:rPr>
                <w:spacing w:val="-7"/>
                <w:sz w:val="20"/>
              </w:rPr>
              <w:t xml:space="preserve"> </w:t>
            </w:r>
            <w:r w:rsidRPr="00150EDC">
              <w:rPr>
                <w:sz w:val="20"/>
              </w:rPr>
              <w:t>of</w:t>
            </w:r>
            <w:r w:rsidRPr="00150EDC">
              <w:rPr>
                <w:spacing w:val="-4"/>
                <w:sz w:val="20"/>
              </w:rPr>
              <w:t xml:space="preserve"> </w:t>
            </w:r>
            <w:r w:rsidRPr="00150EDC">
              <w:rPr>
                <w:sz w:val="20"/>
              </w:rPr>
              <w:t>position</w:t>
            </w:r>
            <w:r w:rsidRPr="00150EDC">
              <w:rPr>
                <w:spacing w:val="-5"/>
                <w:sz w:val="20"/>
              </w:rPr>
              <w:t xml:space="preserve"> </w:t>
            </w:r>
            <w:r w:rsidRPr="00150EDC">
              <w:rPr>
                <w:sz w:val="20"/>
              </w:rPr>
              <w:t>of</w:t>
            </w:r>
            <w:r w:rsidRPr="00150EDC">
              <w:rPr>
                <w:spacing w:val="1"/>
                <w:sz w:val="20"/>
              </w:rPr>
              <w:t xml:space="preserve"> </w:t>
            </w:r>
            <w:r w:rsidRPr="00150EDC">
              <w:rPr>
                <w:sz w:val="20"/>
              </w:rPr>
              <w:t>trust</w:t>
            </w:r>
            <w:r w:rsidRPr="00150EDC">
              <w:rPr>
                <w:spacing w:val="-4"/>
                <w:sz w:val="20"/>
              </w:rPr>
              <w:t xml:space="preserve"> </w:t>
            </w:r>
            <w:r w:rsidRPr="00150EDC">
              <w:rPr>
                <w:sz w:val="20"/>
              </w:rPr>
              <w:t>causing</w:t>
            </w:r>
            <w:r w:rsidRPr="00150EDC">
              <w:rPr>
                <w:spacing w:val="1"/>
                <w:sz w:val="20"/>
              </w:rPr>
              <w:t xml:space="preserve"> </w:t>
            </w:r>
            <w:r w:rsidRPr="00150EDC">
              <w:rPr>
                <w:sz w:val="20"/>
              </w:rPr>
              <w:t>or</w:t>
            </w:r>
            <w:r w:rsidRPr="00150EDC">
              <w:rPr>
                <w:spacing w:val="-5"/>
                <w:sz w:val="20"/>
              </w:rPr>
              <w:t xml:space="preserve"> </w:t>
            </w:r>
            <w:r w:rsidRPr="00150EDC">
              <w:rPr>
                <w:sz w:val="20"/>
              </w:rPr>
              <w:t>inciting</w:t>
            </w:r>
            <w:r w:rsidRPr="00150EDC">
              <w:rPr>
                <w:spacing w:val="-4"/>
                <w:sz w:val="20"/>
              </w:rPr>
              <w:t xml:space="preserve"> </w:t>
            </w:r>
            <w:r w:rsidRPr="00150EDC">
              <w:rPr>
                <w:sz w:val="20"/>
              </w:rPr>
              <w:t>a</w:t>
            </w:r>
            <w:r w:rsidRPr="00150EDC">
              <w:rPr>
                <w:spacing w:val="-4"/>
                <w:sz w:val="20"/>
              </w:rPr>
              <w:t xml:space="preserve"> </w:t>
            </w:r>
            <w:r w:rsidRPr="00150EDC">
              <w:rPr>
                <w:sz w:val="20"/>
              </w:rPr>
              <w:t>child to</w:t>
            </w:r>
            <w:r w:rsidRPr="00150EDC">
              <w:rPr>
                <w:spacing w:val="-4"/>
                <w:sz w:val="20"/>
              </w:rPr>
              <w:t xml:space="preserve"> </w:t>
            </w:r>
            <w:r w:rsidRPr="00150EDC">
              <w:rPr>
                <w:sz w:val="20"/>
              </w:rPr>
              <w:t>engage</w:t>
            </w:r>
            <w:r w:rsidRPr="00150EDC">
              <w:rPr>
                <w:spacing w:val="-5"/>
                <w:sz w:val="20"/>
              </w:rPr>
              <w:t xml:space="preserve"> </w:t>
            </w:r>
            <w:r w:rsidRPr="00150EDC">
              <w:rPr>
                <w:sz w:val="20"/>
              </w:rPr>
              <w:t>in</w:t>
            </w:r>
            <w:r w:rsidRPr="00150EDC">
              <w:rPr>
                <w:spacing w:val="-4"/>
                <w:sz w:val="20"/>
              </w:rPr>
              <w:t xml:space="preserve"> </w:t>
            </w:r>
            <w:r w:rsidRPr="00150EDC">
              <w:rPr>
                <w:sz w:val="20"/>
              </w:rPr>
              <w:t>sexual</w:t>
            </w:r>
            <w:r w:rsidRPr="00150EDC">
              <w:rPr>
                <w:spacing w:val="-2"/>
                <w:sz w:val="20"/>
              </w:rPr>
              <w:t xml:space="preserve"> activity</w:t>
            </w:r>
          </w:p>
        </w:tc>
      </w:tr>
      <w:tr w:rsidR="004569EE" w:rsidRPr="007D3144" w14:paraId="037D0CAC" w14:textId="77777777">
        <w:trPr>
          <w:trHeight w:val="255"/>
        </w:trPr>
        <w:tc>
          <w:tcPr>
            <w:tcW w:w="6517" w:type="dxa"/>
          </w:tcPr>
          <w:p w14:paraId="6891AD2A" w14:textId="77777777" w:rsidR="004C7180" w:rsidRPr="00150EDC" w:rsidRDefault="00CF0754">
            <w:pPr>
              <w:pStyle w:val="TableParagraph"/>
              <w:spacing w:before="28"/>
              <w:rPr>
                <w:sz w:val="20"/>
              </w:rPr>
            </w:pPr>
            <w:r w:rsidRPr="00150EDC">
              <w:rPr>
                <w:sz w:val="20"/>
              </w:rPr>
              <w:t>Sexual</w:t>
            </w:r>
            <w:r w:rsidRPr="00150EDC">
              <w:rPr>
                <w:spacing w:val="-6"/>
                <w:sz w:val="20"/>
              </w:rPr>
              <w:t xml:space="preserve"> </w:t>
            </w:r>
            <w:r w:rsidRPr="00150EDC">
              <w:rPr>
                <w:sz w:val="20"/>
              </w:rPr>
              <w:t>Offences</w:t>
            </w:r>
            <w:r w:rsidRPr="00150EDC">
              <w:rPr>
                <w:spacing w:val="-3"/>
                <w:sz w:val="20"/>
              </w:rPr>
              <w:t xml:space="preserve"> </w:t>
            </w:r>
            <w:r w:rsidRPr="00150EDC">
              <w:rPr>
                <w:sz w:val="20"/>
              </w:rPr>
              <w:t>Act</w:t>
            </w:r>
            <w:r w:rsidRPr="00150EDC">
              <w:rPr>
                <w:spacing w:val="-6"/>
                <w:sz w:val="20"/>
              </w:rPr>
              <w:t xml:space="preserve"> </w:t>
            </w:r>
            <w:r w:rsidRPr="00150EDC">
              <w:rPr>
                <w:sz w:val="20"/>
              </w:rPr>
              <w:t>2003,</w:t>
            </w:r>
            <w:r w:rsidRPr="00150EDC">
              <w:rPr>
                <w:spacing w:val="-8"/>
                <w:sz w:val="20"/>
              </w:rPr>
              <w:t xml:space="preserve"> </w:t>
            </w:r>
            <w:r w:rsidRPr="00150EDC">
              <w:rPr>
                <w:spacing w:val="-5"/>
                <w:sz w:val="20"/>
              </w:rPr>
              <w:t>s18</w:t>
            </w:r>
          </w:p>
        </w:tc>
        <w:tc>
          <w:tcPr>
            <w:tcW w:w="7427" w:type="dxa"/>
          </w:tcPr>
          <w:p w14:paraId="37AD03F1" w14:textId="77777777" w:rsidR="004C7180" w:rsidRPr="00150EDC" w:rsidRDefault="00CF0754">
            <w:pPr>
              <w:pStyle w:val="TableParagraph"/>
              <w:spacing w:before="28"/>
              <w:rPr>
                <w:sz w:val="20"/>
              </w:rPr>
            </w:pPr>
            <w:r w:rsidRPr="00150EDC">
              <w:rPr>
                <w:sz w:val="20"/>
              </w:rPr>
              <w:t>Abuse</w:t>
            </w:r>
            <w:r w:rsidRPr="00150EDC">
              <w:rPr>
                <w:spacing w:val="-8"/>
                <w:sz w:val="20"/>
              </w:rPr>
              <w:t xml:space="preserve"> </w:t>
            </w:r>
            <w:r w:rsidRPr="00150EDC">
              <w:rPr>
                <w:sz w:val="20"/>
              </w:rPr>
              <w:t>of</w:t>
            </w:r>
            <w:r w:rsidRPr="00150EDC">
              <w:rPr>
                <w:spacing w:val="-5"/>
                <w:sz w:val="20"/>
              </w:rPr>
              <w:t xml:space="preserve"> </w:t>
            </w:r>
            <w:r w:rsidRPr="00150EDC">
              <w:rPr>
                <w:sz w:val="20"/>
              </w:rPr>
              <w:t>position</w:t>
            </w:r>
            <w:r w:rsidRPr="00150EDC">
              <w:rPr>
                <w:spacing w:val="-5"/>
                <w:sz w:val="20"/>
              </w:rPr>
              <w:t xml:space="preserve"> </w:t>
            </w:r>
            <w:r w:rsidRPr="00150EDC">
              <w:rPr>
                <w:sz w:val="20"/>
              </w:rPr>
              <w:t>of</w:t>
            </w:r>
            <w:r w:rsidRPr="00150EDC">
              <w:rPr>
                <w:spacing w:val="-1"/>
                <w:sz w:val="20"/>
              </w:rPr>
              <w:t xml:space="preserve"> </w:t>
            </w:r>
            <w:r w:rsidRPr="00150EDC">
              <w:rPr>
                <w:sz w:val="20"/>
              </w:rPr>
              <w:t>trust</w:t>
            </w:r>
            <w:r w:rsidRPr="00150EDC">
              <w:rPr>
                <w:spacing w:val="-4"/>
                <w:sz w:val="20"/>
              </w:rPr>
              <w:t xml:space="preserve"> </w:t>
            </w:r>
            <w:r w:rsidRPr="00150EDC">
              <w:rPr>
                <w:sz w:val="20"/>
              </w:rPr>
              <w:t>sexual</w:t>
            </w:r>
            <w:r w:rsidRPr="00150EDC">
              <w:rPr>
                <w:spacing w:val="-3"/>
                <w:sz w:val="20"/>
              </w:rPr>
              <w:t xml:space="preserve"> </w:t>
            </w:r>
            <w:r w:rsidRPr="00150EDC">
              <w:rPr>
                <w:sz w:val="20"/>
              </w:rPr>
              <w:t>acitivity</w:t>
            </w:r>
            <w:r w:rsidRPr="00150EDC">
              <w:rPr>
                <w:spacing w:val="-5"/>
                <w:sz w:val="20"/>
              </w:rPr>
              <w:t xml:space="preserve"> </w:t>
            </w:r>
            <w:r w:rsidRPr="00150EDC">
              <w:rPr>
                <w:sz w:val="20"/>
              </w:rPr>
              <w:t>in the</w:t>
            </w:r>
            <w:r w:rsidRPr="00150EDC">
              <w:rPr>
                <w:spacing w:val="-1"/>
                <w:sz w:val="20"/>
              </w:rPr>
              <w:t xml:space="preserve"> </w:t>
            </w:r>
            <w:r w:rsidRPr="00150EDC">
              <w:rPr>
                <w:sz w:val="20"/>
              </w:rPr>
              <w:t>presence of</w:t>
            </w:r>
            <w:r w:rsidRPr="00150EDC">
              <w:rPr>
                <w:spacing w:val="-5"/>
                <w:sz w:val="20"/>
              </w:rPr>
              <w:t xml:space="preserve"> </w:t>
            </w:r>
            <w:r w:rsidRPr="00150EDC">
              <w:rPr>
                <w:sz w:val="20"/>
              </w:rPr>
              <w:t>a</w:t>
            </w:r>
            <w:r w:rsidRPr="00150EDC">
              <w:rPr>
                <w:spacing w:val="-5"/>
                <w:sz w:val="20"/>
              </w:rPr>
              <w:t xml:space="preserve"> </w:t>
            </w:r>
            <w:r w:rsidRPr="00150EDC">
              <w:rPr>
                <w:spacing w:val="-2"/>
                <w:sz w:val="20"/>
              </w:rPr>
              <w:t>child</w:t>
            </w:r>
          </w:p>
        </w:tc>
      </w:tr>
      <w:tr w:rsidR="004569EE" w:rsidRPr="007D3144" w14:paraId="5B6D6F0A" w14:textId="77777777">
        <w:trPr>
          <w:trHeight w:val="255"/>
        </w:trPr>
        <w:tc>
          <w:tcPr>
            <w:tcW w:w="6517" w:type="dxa"/>
          </w:tcPr>
          <w:p w14:paraId="6F5BC6F9"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3"/>
                <w:sz w:val="20"/>
              </w:rPr>
              <w:t xml:space="preserve"> </w:t>
            </w:r>
            <w:r w:rsidRPr="00150EDC">
              <w:rPr>
                <w:sz w:val="20"/>
              </w:rPr>
              <w:t>Act</w:t>
            </w:r>
            <w:r w:rsidRPr="00150EDC">
              <w:rPr>
                <w:spacing w:val="-6"/>
                <w:sz w:val="20"/>
              </w:rPr>
              <w:t xml:space="preserve"> </w:t>
            </w:r>
            <w:r w:rsidRPr="00150EDC">
              <w:rPr>
                <w:sz w:val="20"/>
              </w:rPr>
              <w:t>2003,</w:t>
            </w:r>
            <w:r w:rsidRPr="00150EDC">
              <w:rPr>
                <w:spacing w:val="-8"/>
                <w:sz w:val="20"/>
              </w:rPr>
              <w:t xml:space="preserve"> </w:t>
            </w:r>
            <w:r w:rsidRPr="00150EDC">
              <w:rPr>
                <w:spacing w:val="-5"/>
                <w:sz w:val="20"/>
              </w:rPr>
              <w:t>s19</w:t>
            </w:r>
          </w:p>
        </w:tc>
        <w:tc>
          <w:tcPr>
            <w:tcW w:w="7427" w:type="dxa"/>
          </w:tcPr>
          <w:p w14:paraId="2EED29E8" w14:textId="77777777" w:rsidR="004C7180" w:rsidRPr="00150EDC" w:rsidRDefault="00CF0754">
            <w:pPr>
              <w:pStyle w:val="TableParagraph"/>
              <w:rPr>
                <w:sz w:val="20"/>
              </w:rPr>
            </w:pPr>
            <w:r w:rsidRPr="00150EDC">
              <w:rPr>
                <w:sz w:val="20"/>
              </w:rPr>
              <w:t>Abuse</w:t>
            </w:r>
            <w:r w:rsidRPr="00150EDC">
              <w:rPr>
                <w:spacing w:val="-5"/>
                <w:sz w:val="20"/>
              </w:rPr>
              <w:t xml:space="preserve"> </w:t>
            </w:r>
            <w:r w:rsidRPr="00150EDC">
              <w:rPr>
                <w:sz w:val="20"/>
              </w:rPr>
              <w:t>of</w:t>
            </w:r>
            <w:r w:rsidRPr="00150EDC">
              <w:rPr>
                <w:spacing w:val="-5"/>
                <w:sz w:val="20"/>
              </w:rPr>
              <w:t xml:space="preserve"> </w:t>
            </w:r>
            <w:r w:rsidRPr="00150EDC">
              <w:rPr>
                <w:sz w:val="20"/>
              </w:rPr>
              <w:t>position</w:t>
            </w:r>
            <w:r w:rsidRPr="00150EDC">
              <w:rPr>
                <w:spacing w:val="-4"/>
                <w:sz w:val="20"/>
              </w:rPr>
              <w:t xml:space="preserve"> </w:t>
            </w:r>
            <w:r w:rsidRPr="00150EDC">
              <w:rPr>
                <w:sz w:val="20"/>
              </w:rPr>
              <w:t>of trust</w:t>
            </w:r>
            <w:r w:rsidRPr="00150EDC">
              <w:rPr>
                <w:spacing w:val="-4"/>
                <w:sz w:val="20"/>
              </w:rPr>
              <w:t xml:space="preserve"> </w:t>
            </w:r>
            <w:r w:rsidRPr="00150EDC">
              <w:rPr>
                <w:sz w:val="20"/>
              </w:rPr>
              <w:t>causing a</w:t>
            </w:r>
            <w:r w:rsidRPr="00150EDC">
              <w:rPr>
                <w:spacing w:val="-5"/>
                <w:sz w:val="20"/>
              </w:rPr>
              <w:t xml:space="preserve"> </w:t>
            </w:r>
            <w:r w:rsidRPr="00150EDC">
              <w:rPr>
                <w:sz w:val="20"/>
              </w:rPr>
              <w:t>child</w:t>
            </w:r>
            <w:r w:rsidRPr="00150EDC">
              <w:rPr>
                <w:spacing w:val="-4"/>
                <w:sz w:val="20"/>
              </w:rPr>
              <w:t xml:space="preserve"> </w:t>
            </w:r>
            <w:r w:rsidRPr="00150EDC">
              <w:rPr>
                <w:sz w:val="20"/>
              </w:rPr>
              <w:t>to watch</w:t>
            </w:r>
            <w:r w:rsidRPr="00150EDC">
              <w:rPr>
                <w:spacing w:val="-5"/>
                <w:sz w:val="20"/>
              </w:rPr>
              <w:t xml:space="preserve"> </w:t>
            </w:r>
            <w:r w:rsidRPr="00150EDC">
              <w:rPr>
                <w:sz w:val="20"/>
              </w:rPr>
              <w:t>a sexual</w:t>
            </w:r>
            <w:r w:rsidRPr="00150EDC">
              <w:rPr>
                <w:spacing w:val="-2"/>
                <w:sz w:val="20"/>
              </w:rPr>
              <w:t xml:space="preserve"> </w:t>
            </w:r>
            <w:r w:rsidRPr="00150EDC">
              <w:rPr>
                <w:spacing w:val="-5"/>
                <w:sz w:val="20"/>
              </w:rPr>
              <w:t>act</w:t>
            </w:r>
          </w:p>
        </w:tc>
      </w:tr>
      <w:tr w:rsidR="004569EE" w:rsidRPr="007D3144" w14:paraId="406A0CDD" w14:textId="77777777">
        <w:trPr>
          <w:trHeight w:val="255"/>
        </w:trPr>
        <w:tc>
          <w:tcPr>
            <w:tcW w:w="6517" w:type="dxa"/>
          </w:tcPr>
          <w:p w14:paraId="1049B099"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3"/>
                <w:sz w:val="20"/>
              </w:rPr>
              <w:t xml:space="preserve"> </w:t>
            </w:r>
            <w:r w:rsidRPr="00150EDC">
              <w:rPr>
                <w:sz w:val="20"/>
              </w:rPr>
              <w:t>Act</w:t>
            </w:r>
            <w:r w:rsidRPr="00150EDC">
              <w:rPr>
                <w:spacing w:val="-6"/>
                <w:sz w:val="20"/>
              </w:rPr>
              <w:t xml:space="preserve"> </w:t>
            </w:r>
            <w:r w:rsidRPr="00150EDC">
              <w:rPr>
                <w:sz w:val="20"/>
              </w:rPr>
              <w:t>2003,</w:t>
            </w:r>
            <w:r w:rsidRPr="00150EDC">
              <w:rPr>
                <w:spacing w:val="-8"/>
                <w:sz w:val="20"/>
              </w:rPr>
              <w:t xml:space="preserve"> </w:t>
            </w:r>
            <w:r w:rsidRPr="00150EDC">
              <w:rPr>
                <w:spacing w:val="-5"/>
                <w:sz w:val="20"/>
              </w:rPr>
              <w:t>s2</w:t>
            </w:r>
          </w:p>
        </w:tc>
        <w:tc>
          <w:tcPr>
            <w:tcW w:w="7427" w:type="dxa"/>
          </w:tcPr>
          <w:p w14:paraId="76088883" w14:textId="77777777" w:rsidR="004C7180" w:rsidRPr="00150EDC" w:rsidRDefault="00CF0754">
            <w:pPr>
              <w:pStyle w:val="TableParagraph"/>
              <w:rPr>
                <w:sz w:val="20"/>
              </w:rPr>
            </w:pPr>
            <w:r w:rsidRPr="00150EDC">
              <w:rPr>
                <w:sz w:val="20"/>
              </w:rPr>
              <w:t>Assault</w:t>
            </w:r>
            <w:r w:rsidRPr="00150EDC">
              <w:rPr>
                <w:spacing w:val="-5"/>
                <w:sz w:val="20"/>
              </w:rPr>
              <w:t xml:space="preserve"> </w:t>
            </w:r>
            <w:r w:rsidRPr="00150EDC">
              <w:rPr>
                <w:sz w:val="20"/>
              </w:rPr>
              <w:t>by</w:t>
            </w:r>
            <w:r w:rsidRPr="00150EDC">
              <w:rPr>
                <w:spacing w:val="-4"/>
                <w:sz w:val="20"/>
              </w:rPr>
              <w:t xml:space="preserve"> </w:t>
            </w:r>
            <w:r w:rsidRPr="00150EDC">
              <w:rPr>
                <w:spacing w:val="-2"/>
                <w:sz w:val="20"/>
              </w:rPr>
              <w:t>penetration</w:t>
            </w:r>
          </w:p>
        </w:tc>
      </w:tr>
      <w:tr w:rsidR="004569EE" w:rsidRPr="007D3144" w14:paraId="0D6FDCE2" w14:textId="77777777">
        <w:trPr>
          <w:trHeight w:val="255"/>
        </w:trPr>
        <w:tc>
          <w:tcPr>
            <w:tcW w:w="6517" w:type="dxa"/>
          </w:tcPr>
          <w:p w14:paraId="3F7C5D1E"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3"/>
                <w:sz w:val="20"/>
              </w:rPr>
              <w:t xml:space="preserve"> </w:t>
            </w:r>
            <w:r w:rsidRPr="00150EDC">
              <w:rPr>
                <w:sz w:val="20"/>
              </w:rPr>
              <w:t>Act</w:t>
            </w:r>
            <w:r w:rsidRPr="00150EDC">
              <w:rPr>
                <w:spacing w:val="-6"/>
                <w:sz w:val="20"/>
              </w:rPr>
              <w:t xml:space="preserve"> </w:t>
            </w:r>
            <w:r w:rsidRPr="00150EDC">
              <w:rPr>
                <w:sz w:val="20"/>
              </w:rPr>
              <w:t>2003,</w:t>
            </w:r>
            <w:r w:rsidRPr="00150EDC">
              <w:rPr>
                <w:spacing w:val="-8"/>
                <w:sz w:val="20"/>
              </w:rPr>
              <w:t xml:space="preserve"> </w:t>
            </w:r>
            <w:r w:rsidRPr="00150EDC">
              <w:rPr>
                <w:spacing w:val="-5"/>
                <w:sz w:val="20"/>
              </w:rPr>
              <w:t>s20</w:t>
            </w:r>
          </w:p>
        </w:tc>
        <w:tc>
          <w:tcPr>
            <w:tcW w:w="7427" w:type="dxa"/>
          </w:tcPr>
          <w:p w14:paraId="210D11C8" w14:textId="77777777" w:rsidR="004C7180" w:rsidRPr="00150EDC" w:rsidRDefault="00CF0754">
            <w:pPr>
              <w:pStyle w:val="TableParagraph"/>
              <w:rPr>
                <w:sz w:val="20"/>
              </w:rPr>
            </w:pPr>
            <w:r w:rsidRPr="00150EDC">
              <w:rPr>
                <w:sz w:val="20"/>
              </w:rPr>
              <w:t>Abuse</w:t>
            </w:r>
            <w:r w:rsidRPr="00150EDC">
              <w:rPr>
                <w:spacing w:val="-5"/>
                <w:sz w:val="20"/>
              </w:rPr>
              <w:t xml:space="preserve"> </w:t>
            </w:r>
            <w:r w:rsidRPr="00150EDC">
              <w:rPr>
                <w:sz w:val="20"/>
              </w:rPr>
              <w:t>of</w:t>
            </w:r>
            <w:r w:rsidRPr="00150EDC">
              <w:rPr>
                <w:spacing w:val="-5"/>
                <w:sz w:val="20"/>
              </w:rPr>
              <w:t xml:space="preserve"> </w:t>
            </w:r>
            <w:r w:rsidRPr="00150EDC">
              <w:rPr>
                <w:sz w:val="20"/>
              </w:rPr>
              <w:t>position</w:t>
            </w:r>
            <w:r w:rsidRPr="00150EDC">
              <w:rPr>
                <w:spacing w:val="-5"/>
                <w:sz w:val="20"/>
              </w:rPr>
              <w:t xml:space="preserve"> </w:t>
            </w:r>
            <w:r w:rsidRPr="00150EDC">
              <w:rPr>
                <w:sz w:val="20"/>
              </w:rPr>
              <w:t>of trust: acts</w:t>
            </w:r>
            <w:r w:rsidRPr="00150EDC">
              <w:rPr>
                <w:spacing w:val="-4"/>
                <w:sz w:val="20"/>
              </w:rPr>
              <w:t xml:space="preserve"> </w:t>
            </w:r>
            <w:r w:rsidRPr="00150EDC">
              <w:rPr>
                <w:sz w:val="20"/>
              </w:rPr>
              <w:t>done</w:t>
            </w:r>
            <w:r w:rsidRPr="00150EDC">
              <w:rPr>
                <w:spacing w:val="-5"/>
                <w:sz w:val="20"/>
              </w:rPr>
              <w:t xml:space="preserve"> </w:t>
            </w:r>
            <w:r w:rsidRPr="00150EDC">
              <w:rPr>
                <w:sz w:val="20"/>
              </w:rPr>
              <w:t>in</w:t>
            </w:r>
            <w:r w:rsidRPr="00150EDC">
              <w:rPr>
                <w:spacing w:val="-4"/>
                <w:sz w:val="20"/>
              </w:rPr>
              <w:t xml:space="preserve"> </w:t>
            </w:r>
            <w:r w:rsidRPr="00150EDC">
              <w:rPr>
                <w:spacing w:val="-2"/>
                <w:sz w:val="20"/>
              </w:rPr>
              <w:t>Scotland</w:t>
            </w:r>
          </w:p>
        </w:tc>
      </w:tr>
      <w:tr w:rsidR="004569EE" w:rsidRPr="007D3144" w14:paraId="2EECB367" w14:textId="77777777">
        <w:trPr>
          <w:trHeight w:val="255"/>
        </w:trPr>
        <w:tc>
          <w:tcPr>
            <w:tcW w:w="6517" w:type="dxa"/>
          </w:tcPr>
          <w:p w14:paraId="1779788F"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3"/>
                <w:sz w:val="20"/>
              </w:rPr>
              <w:t xml:space="preserve"> </w:t>
            </w:r>
            <w:r w:rsidRPr="00150EDC">
              <w:rPr>
                <w:sz w:val="20"/>
              </w:rPr>
              <w:t>Act</w:t>
            </w:r>
            <w:r w:rsidRPr="00150EDC">
              <w:rPr>
                <w:spacing w:val="-6"/>
                <w:sz w:val="20"/>
              </w:rPr>
              <w:t xml:space="preserve"> </w:t>
            </w:r>
            <w:r w:rsidRPr="00150EDC">
              <w:rPr>
                <w:sz w:val="20"/>
              </w:rPr>
              <w:t>2003,</w:t>
            </w:r>
            <w:r w:rsidRPr="00150EDC">
              <w:rPr>
                <w:spacing w:val="-8"/>
                <w:sz w:val="20"/>
              </w:rPr>
              <w:t xml:space="preserve"> </w:t>
            </w:r>
            <w:r w:rsidRPr="00150EDC">
              <w:rPr>
                <w:spacing w:val="-5"/>
                <w:sz w:val="20"/>
              </w:rPr>
              <w:t>s25</w:t>
            </w:r>
          </w:p>
        </w:tc>
        <w:tc>
          <w:tcPr>
            <w:tcW w:w="7427" w:type="dxa"/>
          </w:tcPr>
          <w:p w14:paraId="2A12D11B" w14:textId="77777777" w:rsidR="004C7180" w:rsidRPr="00150EDC" w:rsidRDefault="00CF0754">
            <w:pPr>
              <w:pStyle w:val="TableParagraph"/>
              <w:rPr>
                <w:sz w:val="20"/>
              </w:rPr>
            </w:pPr>
            <w:r w:rsidRPr="00150EDC">
              <w:rPr>
                <w:sz w:val="20"/>
              </w:rPr>
              <w:t>Sexual</w:t>
            </w:r>
            <w:r w:rsidRPr="00150EDC">
              <w:rPr>
                <w:spacing w:val="-3"/>
                <w:sz w:val="20"/>
              </w:rPr>
              <w:t xml:space="preserve"> </w:t>
            </w:r>
            <w:r w:rsidRPr="00150EDC">
              <w:rPr>
                <w:sz w:val="20"/>
              </w:rPr>
              <w:t>activity</w:t>
            </w:r>
            <w:r w:rsidRPr="00150EDC">
              <w:rPr>
                <w:spacing w:val="-4"/>
                <w:sz w:val="20"/>
              </w:rPr>
              <w:t xml:space="preserve"> </w:t>
            </w:r>
            <w:r w:rsidRPr="00150EDC">
              <w:rPr>
                <w:sz w:val="20"/>
              </w:rPr>
              <w:t>with</w:t>
            </w:r>
            <w:r w:rsidRPr="00150EDC">
              <w:rPr>
                <w:spacing w:val="-5"/>
                <w:sz w:val="20"/>
              </w:rPr>
              <w:t xml:space="preserve"> </w:t>
            </w:r>
            <w:r w:rsidRPr="00150EDC">
              <w:rPr>
                <w:sz w:val="20"/>
              </w:rPr>
              <w:t>a</w:t>
            </w:r>
            <w:r w:rsidRPr="00150EDC">
              <w:rPr>
                <w:spacing w:val="-5"/>
                <w:sz w:val="20"/>
              </w:rPr>
              <w:t xml:space="preserve"> </w:t>
            </w:r>
            <w:r w:rsidRPr="00150EDC">
              <w:rPr>
                <w:sz w:val="20"/>
              </w:rPr>
              <w:t>child</w:t>
            </w:r>
            <w:r w:rsidRPr="00150EDC">
              <w:rPr>
                <w:spacing w:val="-4"/>
                <w:sz w:val="20"/>
              </w:rPr>
              <w:t xml:space="preserve"> </w:t>
            </w:r>
            <w:r w:rsidRPr="00150EDC">
              <w:rPr>
                <w:sz w:val="20"/>
              </w:rPr>
              <w:t>family</w:t>
            </w:r>
            <w:r w:rsidRPr="00150EDC">
              <w:rPr>
                <w:spacing w:val="1"/>
                <w:sz w:val="20"/>
              </w:rPr>
              <w:t xml:space="preserve"> </w:t>
            </w:r>
            <w:r w:rsidRPr="00150EDC">
              <w:rPr>
                <w:spacing w:val="-2"/>
                <w:sz w:val="20"/>
              </w:rPr>
              <w:t>member</w:t>
            </w:r>
          </w:p>
        </w:tc>
      </w:tr>
      <w:tr w:rsidR="004569EE" w:rsidRPr="007D3144" w14:paraId="4CE2644A" w14:textId="77777777">
        <w:trPr>
          <w:trHeight w:val="255"/>
        </w:trPr>
        <w:tc>
          <w:tcPr>
            <w:tcW w:w="6517" w:type="dxa"/>
          </w:tcPr>
          <w:p w14:paraId="49AB51E8"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3"/>
                <w:sz w:val="20"/>
              </w:rPr>
              <w:t xml:space="preserve"> </w:t>
            </w:r>
            <w:r w:rsidRPr="00150EDC">
              <w:rPr>
                <w:sz w:val="20"/>
              </w:rPr>
              <w:t>Act</w:t>
            </w:r>
            <w:r w:rsidRPr="00150EDC">
              <w:rPr>
                <w:spacing w:val="-6"/>
                <w:sz w:val="20"/>
              </w:rPr>
              <w:t xml:space="preserve"> </w:t>
            </w:r>
            <w:r w:rsidRPr="00150EDC">
              <w:rPr>
                <w:sz w:val="20"/>
              </w:rPr>
              <w:t>2003,</w:t>
            </w:r>
            <w:r w:rsidRPr="00150EDC">
              <w:rPr>
                <w:spacing w:val="-8"/>
                <w:sz w:val="20"/>
              </w:rPr>
              <w:t xml:space="preserve"> </w:t>
            </w:r>
            <w:r w:rsidRPr="00150EDC">
              <w:rPr>
                <w:spacing w:val="-5"/>
                <w:sz w:val="20"/>
              </w:rPr>
              <w:t>s26</w:t>
            </w:r>
          </w:p>
        </w:tc>
        <w:tc>
          <w:tcPr>
            <w:tcW w:w="7427" w:type="dxa"/>
          </w:tcPr>
          <w:p w14:paraId="4C7202CE" w14:textId="77777777" w:rsidR="004C7180" w:rsidRPr="00150EDC" w:rsidRDefault="00CF0754">
            <w:pPr>
              <w:pStyle w:val="TableParagraph"/>
              <w:rPr>
                <w:sz w:val="20"/>
              </w:rPr>
            </w:pPr>
            <w:r w:rsidRPr="00150EDC">
              <w:rPr>
                <w:sz w:val="20"/>
              </w:rPr>
              <w:t>Inciting</w:t>
            </w:r>
            <w:r w:rsidRPr="00150EDC">
              <w:rPr>
                <w:spacing w:val="-6"/>
                <w:sz w:val="20"/>
              </w:rPr>
              <w:t xml:space="preserve"> </w:t>
            </w:r>
            <w:r w:rsidRPr="00150EDC">
              <w:rPr>
                <w:sz w:val="20"/>
              </w:rPr>
              <w:t>a</w:t>
            </w:r>
            <w:r w:rsidRPr="00150EDC">
              <w:rPr>
                <w:spacing w:val="-5"/>
                <w:sz w:val="20"/>
              </w:rPr>
              <w:t xml:space="preserve"> </w:t>
            </w:r>
            <w:r w:rsidRPr="00150EDC">
              <w:rPr>
                <w:sz w:val="20"/>
              </w:rPr>
              <w:t>child</w:t>
            </w:r>
            <w:r w:rsidRPr="00150EDC">
              <w:rPr>
                <w:spacing w:val="-1"/>
                <w:sz w:val="20"/>
              </w:rPr>
              <w:t xml:space="preserve"> </w:t>
            </w:r>
            <w:r w:rsidRPr="00150EDC">
              <w:rPr>
                <w:sz w:val="20"/>
              </w:rPr>
              <w:t>family</w:t>
            </w:r>
            <w:r w:rsidRPr="00150EDC">
              <w:rPr>
                <w:spacing w:val="-4"/>
                <w:sz w:val="20"/>
              </w:rPr>
              <w:t xml:space="preserve"> </w:t>
            </w:r>
            <w:r w:rsidRPr="00150EDC">
              <w:rPr>
                <w:sz w:val="20"/>
              </w:rPr>
              <w:t>member</w:t>
            </w:r>
            <w:r w:rsidRPr="00150EDC">
              <w:rPr>
                <w:spacing w:val="-5"/>
                <w:sz w:val="20"/>
              </w:rPr>
              <w:t xml:space="preserve"> </w:t>
            </w:r>
            <w:r w:rsidRPr="00150EDC">
              <w:rPr>
                <w:sz w:val="20"/>
              </w:rPr>
              <w:t>to</w:t>
            </w:r>
            <w:r w:rsidRPr="00150EDC">
              <w:rPr>
                <w:spacing w:val="-1"/>
                <w:sz w:val="20"/>
              </w:rPr>
              <w:t xml:space="preserve"> </w:t>
            </w:r>
            <w:r w:rsidRPr="00150EDC">
              <w:rPr>
                <w:sz w:val="20"/>
              </w:rPr>
              <w:t>engage</w:t>
            </w:r>
            <w:r w:rsidRPr="00150EDC">
              <w:rPr>
                <w:spacing w:val="-5"/>
                <w:sz w:val="20"/>
              </w:rPr>
              <w:t xml:space="preserve"> </w:t>
            </w:r>
            <w:r w:rsidRPr="00150EDC">
              <w:rPr>
                <w:sz w:val="20"/>
              </w:rPr>
              <w:t>in</w:t>
            </w:r>
            <w:r w:rsidRPr="00150EDC">
              <w:rPr>
                <w:spacing w:val="-5"/>
                <w:sz w:val="20"/>
              </w:rPr>
              <w:t xml:space="preserve"> </w:t>
            </w:r>
            <w:r w:rsidRPr="00150EDC">
              <w:rPr>
                <w:sz w:val="20"/>
              </w:rPr>
              <w:t>sexual</w:t>
            </w:r>
            <w:r w:rsidRPr="00150EDC">
              <w:rPr>
                <w:spacing w:val="-3"/>
                <w:sz w:val="20"/>
              </w:rPr>
              <w:t xml:space="preserve"> </w:t>
            </w:r>
            <w:r w:rsidRPr="00150EDC">
              <w:rPr>
                <w:spacing w:val="-2"/>
                <w:sz w:val="20"/>
              </w:rPr>
              <w:t>activity</w:t>
            </w:r>
          </w:p>
        </w:tc>
      </w:tr>
      <w:tr w:rsidR="004569EE" w:rsidRPr="007D3144" w14:paraId="678B7A0C" w14:textId="77777777">
        <w:trPr>
          <w:trHeight w:val="255"/>
        </w:trPr>
        <w:tc>
          <w:tcPr>
            <w:tcW w:w="6517" w:type="dxa"/>
          </w:tcPr>
          <w:p w14:paraId="242E415A"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3"/>
                <w:sz w:val="20"/>
              </w:rPr>
              <w:t xml:space="preserve"> </w:t>
            </w:r>
            <w:r w:rsidRPr="00150EDC">
              <w:rPr>
                <w:sz w:val="20"/>
              </w:rPr>
              <w:t>Act</w:t>
            </w:r>
            <w:r w:rsidRPr="00150EDC">
              <w:rPr>
                <w:spacing w:val="-6"/>
                <w:sz w:val="20"/>
              </w:rPr>
              <w:t xml:space="preserve"> </w:t>
            </w:r>
            <w:r w:rsidRPr="00150EDC">
              <w:rPr>
                <w:sz w:val="20"/>
              </w:rPr>
              <w:t>2003,</w:t>
            </w:r>
            <w:r w:rsidRPr="00150EDC">
              <w:rPr>
                <w:spacing w:val="-8"/>
                <w:sz w:val="20"/>
              </w:rPr>
              <w:t xml:space="preserve"> </w:t>
            </w:r>
            <w:r w:rsidRPr="00150EDC">
              <w:rPr>
                <w:spacing w:val="-5"/>
                <w:sz w:val="20"/>
              </w:rPr>
              <w:t>s3</w:t>
            </w:r>
          </w:p>
        </w:tc>
        <w:tc>
          <w:tcPr>
            <w:tcW w:w="7427" w:type="dxa"/>
          </w:tcPr>
          <w:p w14:paraId="1D8DE4B3"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pacing w:val="-2"/>
                <w:sz w:val="20"/>
              </w:rPr>
              <w:t>assault</w:t>
            </w:r>
          </w:p>
        </w:tc>
      </w:tr>
      <w:tr w:rsidR="004569EE" w:rsidRPr="007D3144" w14:paraId="4B6DADA2" w14:textId="77777777">
        <w:trPr>
          <w:trHeight w:val="255"/>
        </w:trPr>
        <w:tc>
          <w:tcPr>
            <w:tcW w:w="6517" w:type="dxa"/>
          </w:tcPr>
          <w:p w14:paraId="6CD60216"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3"/>
                <w:sz w:val="20"/>
              </w:rPr>
              <w:t xml:space="preserve"> </w:t>
            </w:r>
            <w:r w:rsidRPr="00150EDC">
              <w:rPr>
                <w:sz w:val="20"/>
              </w:rPr>
              <w:t>Act</w:t>
            </w:r>
            <w:r w:rsidRPr="00150EDC">
              <w:rPr>
                <w:spacing w:val="-6"/>
                <w:sz w:val="20"/>
              </w:rPr>
              <w:t xml:space="preserve"> </w:t>
            </w:r>
            <w:r w:rsidRPr="00150EDC">
              <w:rPr>
                <w:sz w:val="20"/>
              </w:rPr>
              <w:t>2003,</w:t>
            </w:r>
            <w:r w:rsidRPr="00150EDC">
              <w:rPr>
                <w:spacing w:val="-8"/>
                <w:sz w:val="20"/>
              </w:rPr>
              <w:t xml:space="preserve"> </w:t>
            </w:r>
            <w:r w:rsidRPr="00150EDC">
              <w:rPr>
                <w:spacing w:val="-5"/>
                <w:sz w:val="20"/>
              </w:rPr>
              <w:t>s30</w:t>
            </w:r>
          </w:p>
        </w:tc>
        <w:tc>
          <w:tcPr>
            <w:tcW w:w="7427" w:type="dxa"/>
          </w:tcPr>
          <w:p w14:paraId="691AFD20" w14:textId="77777777" w:rsidR="004C7180" w:rsidRPr="00150EDC" w:rsidRDefault="00CF0754">
            <w:pPr>
              <w:pStyle w:val="TableParagraph"/>
              <w:rPr>
                <w:sz w:val="20"/>
              </w:rPr>
            </w:pPr>
            <w:r w:rsidRPr="00150EDC">
              <w:rPr>
                <w:sz w:val="20"/>
              </w:rPr>
              <w:t>Sexual</w:t>
            </w:r>
            <w:r w:rsidRPr="00150EDC">
              <w:rPr>
                <w:spacing w:val="-3"/>
                <w:sz w:val="20"/>
              </w:rPr>
              <w:t xml:space="preserve"> </w:t>
            </w:r>
            <w:r w:rsidRPr="00150EDC">
              <w:rPr>
                <w:sz w:val="20"/>
              </w:rPr>
              <w:t>activity</w:t>
            </w:r>
            <w:r w:rsidRPr="00150EDC">
              <w:rPr>
                <w:spacing w:val="-4"/>
                <w:sz w:val="20"/>
              </w:rPr>
              <w:t xml:space="preserve"> </w:t>
            </w:r>
            <w:r w:rsidRPr="00150EDC">
              <w:rPr>
                <w:sz w:val="20"/>
              </w:rPr>
              <w:t>with</w:t>
            </w:r>
            <w:r w:rsidRPr="00150EDC">
              <w:rPr>
                <w:spacing w:val="-4"/>
                <w:sz w:val="20"/>
              </w:rPr>
              <w:t xml:space="preserve"> </w:t>
            </w:r>
            <w:r w:rsidRPr="00150EDC">
              <w:rPr>
                <w:sz w:val="20"/>
              </w:rPr>
              <w:t>a</w:t>
            </w:r>
            <w:r w:rsidRPr="00150EDC">
              <w:rPr>
                <w:spacing w:val="-1"/>
                <w:sz w:val="20"/>
              </w:rPr>
              <w:t xml:space="preserve"> </w:t>
            </w:r>
            <w:r w:rsidRPr="00150EDC">
              <w:rPr>
                <w:sz w:val="20"/>
              </w:rPr>
              <w:t>person</w:t>
            </w:r>
            <w:r w:rsidRPr="00150EDC">
              <w:rPr>
                <w:spacing w:val="-5"/>
                <w:sz w:val="20"/>
              </w:rPr>
              <w:t xml:space="preserve"> </w:t>
            </w:r>
            <w:r w:rsidRPr="00150EDC">
              <w:rPr>
                <w:sz w:val="20"/>
              </w:rPr>
              <w:t>with</w:t>
            </w:r>
            <w:r w:rsidRPr="00150EDC">
              <w:rPr>
                <w:spacing w:val="-4"/>
                <w:sz w:val="20"/>
              </w:rPr>
              <w:t xml:space="preserve"> </w:t>
            </w:r>
            <w:r w:rsidRPr="00150EDC">
              <w:rPr>
                <w:sz w:val="20"/>
              </w:rPr>
              <w:t>a</w:t>
            </w:r>
            <w:r w:rsidRPr="00150EDC">
              <w:rPr>
                <w:spacing w:val="-1"/>
                <w:sz w:val="20"/>
              </w:rPr>
              <w:t xml:space="preserve"> </w:t>
            </w:r>
            <w:r w:rsidRPr="00150EDC">
              <w:rPr>
                <w:sz w:val="20"/>
              </w:rPr>
              <w:t>mental</w:t>
            </w:r>
            <w:r w:rsidRPr="00150EDC">
              <w:rPr>
                <w:spacing w:val="-2"/>
                <w:sz w:val="20"/>
              </w:rPr>
              <w:t xml:space="preserve"> </w:t>
            </w:r>
            <w:r w:rsidRPr="00150EDC">
              <w:rPr>
                <w:sz w:val="20"/>
              </w:rPr>
              <w:t>disorder</w:t>
            </w:r>
            <w:r w:rsidRPr="00150EDC">
              <w:rPr>
                <w:spacing w:val="-5"/>
                <w:sz w:val="20"/>
              </w:rPr>
              <w:t xml:space="preserve"> </w:t>
            </w:r>
            <w:r w:rsidRPr="00150EDC">
              <w:rPr>
                <w:sz w:val="20"/>
              </w:rPr>
              <w:t>impeding</w:t>
            </w:r>
            <w:r w:rsidRPr="00150EDC">
              <w:rPr>
                <w:spacing w:val="-4"/>
                <w:sz w:val="20"/>
              </w:rPr>
              <w:t xml:space="preserve"> </w:t>
            </w:r>
            <w:r w:rsidRPr="00150EDC">
              <w:rPr>
                <w:spacing w:val="-2"/>
                <w:sz w:val="20"/>
              </w:rPr>
              <w:t>choice</w:t>
            </w:r>
          </w:p>
        </w:tc>
      </w:tr>
      <w:tr w:rsidR="004569EE" w:rsidRPr="007D3144" w14:paraId="40D5785A" w14:textId="77777777">
        <w:trPr>
          <w:trHeight w:val="460"/>
        </w:trPr>
        <w:tc>
          <w:tcPr>
            <w:tcW w:w="6517" w:type="dxa"/>
          </w:tcPr>
          <w:p w14:paraId="49AB071A" w14:textId="77777777" w:rsidR="004C7180" w:rsidRPr="00150EDC" w:rsidRDefault="004C7180">
            <w:pPr>
              <w:pStyle w:val="TableParagraph"/>
              <w:spacing w:before="2" w:line="240" w:lineRule="auto"/>
              <w:ind w:left="0"/>
              <w:rPr>
                <w:sz w:val="20"/>
              </w:rPr>
            </w:pPr>
          </w:p>
          <w:p w14:paraId="413C55D3" w14:textId="77777777" w:rsidR="004C7180" w:rsidRPr="00150EDC" w:rsidRDefault="00CF0754">
            <w:pPr>
              <w:pStyle w:val="TableParagraph"/>
              <w:spacing w:before="1"/>
              <w:rPr>
                <w:sz w:val="20"/>
              </w:rPr>
            </w:pPr>
            <w:r w:rsidRPr="00150EDC">
              <w:rPr>
                <w:sz w:val="20"/>
              </w:rPr>
              <w:t>Sexual</w:t>
            </w:r>
            <w:r w:rsidRPr="00150EDC">
              <w:rPr>
                <w:spacing w:val="-6"/>
                <w:sz w:val="20"/>
              </w:rPr>
              <w:t xml:space="preserve"> </w:t>
            </w:r>
            <w:r w:rsidRPr="00150EDC">
              <w:rPr>
                <w:sz w:val="20"/>
              </w:rPr>
              <w:t>Offences</w:t>
            </w:r>
            <w:r w:rsidRPr="00150EDC">
              <w:rPr>
                <w:spacing w:val="-3"/>
                <w:sz w:val="20"/>
              </w:rPr>
              <w:t xml:space="preserve"> </w:t>
            </w:r>
            <w:r w:rsidRPr="00150EDC">
              <w:rPr>
                <w:sz w:val="20"/>
              </w:rPr>
              <w:t>Act</w:t>
            </w:r>
            <w:r w:rsidRPr="00150EDC">
              <w:rPr>
                <w:spacing w:val="-6"/>
                <w:sz w:val="20"/>
              </w:rPr>
              <w:t xml:space="preserve"> </w:t>
            </w:r>
            <w:r w:rsidRPr="00150EDC">
              <w:rPr>
                <w:sz w:val="20"/>
              </w:rPr>
              <w:t>2003,</w:t>
            </w:r>
            <w:r w:rsidRPr="00150EDC">
              <w:rPr>
                <w:spacing w:val="-8"/>
                <w:sz w:val="20"/>
              </w:rPr>
              <w:t xml:space="preserve"> </w:t>
            </w:r>
            <w:r w:rsidRPr="00150EDC">
              <w:rPr>
                <w:spacing w:val="-5"/>
                <w:sz w:val="20"/>
              </w:rPr>
              <w:t>s31</w:t>
            </w:r>
          </w:p>
        </w:tc>
        <w:tc>
          <w:tcPr>
            <w:tcW w:w="7427" w:type="dxa"/>
          </w:tcPr>
          <w:p w14:paraId="42B55046" w14:textId="77777777" w:rsidR="004C7180" w:rsidRPr="00150EDC" w:rsidRDefault="00CF0754">
            <w:pPr>
              <w:pStyle w:val="TableParagraph"/>
              <w:spacing w:before="0" w:line="230" w:lineRule="atLeast"/>
              <w:rPr>
                <w:sz w:val="20"/>
              </w:rPr>
            </w:pPr>
            <w:r w:rsidRPr="00150EDC">
              <w:rPr>
                <w:sz w:val="20"/>
              </w:rPr>
              <w:t>causing</w:t>
            </w:r>
            <w:r w:rsidRPr="00150EDC">
              <w:rPr>
                <w:spacing w:val="-5"/>
                <w:sz w:val="20"/>
              </w:rPr>
              <w:t xml:space="preserve"> </w:t>
            </w:r>
            <w:r w:rsidRPr="00150EDC">
              <w:rPr>
                <w:sz w:val="20"/>
              </w:rPr>
              <w:t>or</w:t>
            </w:r>
            <w:r w:rsidRPr="00150EDC">
              <w:rPr>
                <w:spacing w:val="-5"/>
                <w:sz w:val="20"/>
              </w:rPr>
              <w:t xml:space="preserve"> </w:t>
            </w:r>
            <w:r w:rsidRPr="00150EDC">
              <w:rPr>
                <w:sz w:val="20"/>
              </w:rPr>
              <w:t>inciting a</w:t>
            </w:r>
            <w:r w:rsidRPr="00150EDC">
              <w:rPr>
                <w:spacing w:val="-5"/>
                <w:sz w:val="20"/>
              </w:rPr>
              <w:t xml:space="preserve"> </w:t>
            </w:r>
            <w:r w:rsidRPr="00150EDC">
              <w:rPr>
                <w:sz w:val="20"/>
              </w:rPr>
              <w:t>person</w:t>
            </w:r>
            <w:r w:rsidRPr="00150EDC">
              <w:rPr>
                <w:spacing w:val="-5"/>
                <w:sz w:val="20"/>
              </w:rPr>
              <w:t xml:space="preserve"> </w:t>
            </w:r>
            <w:r w:rsidRPr="00150EDC">
              <w:rPr>
                <w:sz w:val="20"/>
              </w:rPr>
              <w:t>with</w:t>
            </w:r>
            <w:r w:rsidRPr="00150EDC">
              <w:rPr>
                <w:spacing w:val="-1"/>
                <w:sz w:val="20"/>
              </w:rPr>
              <w:t xml:space="preserve"> </w:t>
            </w:r>
            <w:r w:rsidRPr="00150EDC">
              <w:rPr>
                <w:sz w:val="20"/>
              </w:rPr>
              <w:t>a</w:t>
            </w:r>
            <w:r w:rsidRPr="00150EDC">
              <w:rPr>
                <w:spacing w:val="-5"/>
                <w:sz w:val="20"/>
              </w:rPr>
              <w:t xml:space="preserve"> </w:t>
            </w:r>
            <w:r w:rsidRPr="00150EDC">
              <w:rPr>
                <w:sz w:val="20"/>
              </w:rPr>
              <w:t>mental</w:t>
            </w:r>
            <w:r w:rsidRPr="00150EDC">
              <w:rPr>
                <w:spacing w:val="-3"/>
                <w:sz w:val="20"/>
              </w:rPr>
              <w:t xml:space="preserve"> </w:t>
            </w:r>
            <w:r w:rsidRPr="00150EDC">
              <w:rPr>
                <w:sz w:val="20"/>
              </w:rPr>
              <w:t>disorder</w:t>
            </w:r>
            <w:r w:rsidRPr="00150EDC">
              <w:rPr>
                <w:spacing w:val="-5"/>
                <w:sz w:val="20"/>
              </w:rPr>
              <w:t xml:space="preserve"> </w:t>
            </w:r>
            <w:r w:rsidRPr="00150EDC">
              <w:rPr>
                <w:sz w:val="20"/>
              </w:rPr>
              <w:t>impeding</w:t>
            </w:r>
            <w:r w:rsidRPr="00150EDC">
              <w:rPr>
                <w:spacing w:val="-5"/>
                <w:sz w:val="20"/>
              </w:rPr>
              <w:t xml:space="preserve"> </w:t>
            </w:r>
            <w:r w:rsidRPr="00150EDC">
              <w:rPr>
                <w:sz w:val="20"/>
              </w:rPr>
              <w:t>choice</w:t>
            </w:r>
            <w:r w:rsidRPr="00150EDC">
              <w:rPr>
                <w:spacing w:val="-5"/>
                <w:sz w:val="20"/>
              </w:rPr>
              <w:t xml:space="preserve"> </w:t>
            </w:r>
            <w:r w:rsidRPr="00150EDC">
              <w:rPr>
                <w:sz w:val="20"/>
              </w:rPr>
              <w:t>to</w:t>
            </w:r>
            <w:r w:rsidRPr="00150EDC">
              <w:rPr>
                <w:spacing w:val="-5"/>
                <w:sz w:val="20"/>
              </w:rPr>
              <w:t xml:space="preserve"> </w:t>
            </w:r>
            <w:r w:rsidRPr="00150EDC">
              <w:rPr>
                <w:sz w:val="20"/>
              </w:rPr>
              <w:t>engage</w:t>
            </w:r>
            <w:r w:rsidRPr="00150EDC">
              <w:rPr>
                <w:spacing w:val="-5"/>
                <w:sz w:val="20"/>
              </w:rPr>
              <w:t xml:space="preserve"> </w:t>
            </w:r>
            <w:r w:rsidRPr="00150EDC">
              <w:rPr>
                <w:sz w:val="20"/>
              </w:rPr>
              <w:t>in sexual activity</w:t>
            </w:r>
          </w:p>
        </w:tc>
      </w:tr>
      <w:tr w:rsidR="004569EE" w:rsidRPr="007D3144" w14:paraId="557A3129" w14:textId="77777777">
        <w:trPr>
          <w:trHeight w:val="460"/>
        </w:trPr>
        <w:tc>
          <w:tcPr>
            <w:tcW w:w="6517" w:type="dxa"/>
          </w:tcPr>
          <w:p w14:paraId="5876F640" w14:textId="77777777" w:rsidR="004C7180" w:rsidRPr="00150EDC" w:rsidRDefault="004C7180">
            <w:pPr>
              <w:pStyle w:val="TableParagraph"/>
              <w:spacing w:before="2" w:line="240" w:lineRule="auto"/>
              <w:ind w:left="0"/>
              <w:rPr>
                <w:sz w:val="20"/>
              </w:rPr>
            </w:pPr>
          </w:p>
          <w:p w14:paraId="66D1E21E" w14:textId="77777777" w:rsidR="004C7180" w:rsidRPr="00150EDC" w:rsidRDefault="00CF0754">
            <w:pPr>
              <w:pStyle w:val="TableParagraph"/>
              <w:spacing w:before="0"/>
              <w:rPr>
                <w:sz w:val="20"/>
              </w:rPr>
            </w:pPr>
            <w:r w:rsidRPr="00150EDC">
              <w:rPr>
                <w:sz w:val="20"/>
              </w:rPr>
              <w:t>Sexual</w:t>
            </w:r>
            <w:r w:rsidRPr="00150EDC">
              <w:rPr>
                <w:spacing w:val="-6"/>
                <w:sz w:val="20"/>
              </w:rPr>
              <w:t xml:space="preserve"> </w:t>
            </w:r>
            <w:r w:rsidRPr="00150EDC">
              <w:rPr>
                <w:sz w:val="20"/>
              </w:rPr>
              <w:t>Offences</w:t>
            </w:r>
            <w:r w:rsidRPr="00150EDC">
              <w:rPr>
                <w:spacing w:val="-3"/>
                <w:sz w:val="20"/>
              </w:rPr>
              <w:t xml:space="preserve"> </w:t>
            </w:r>
            <w:r w:rsidRPr="00150EDC">
              <w:rPr>
                <w:sz w:val="20"/>
              </w:rPr>
              <w:t>Act</w:t>
            </w:r>
            <w:r w:rsidRPr="00150EDC">
              <w:rPr>
                <w:spacing w:val="-5"/>
                <w:sz w:val="20"/>
              </w:rPr>
              <w:t xml:space="preserve"> </w:t>
            </w:r>
            <w:r w:rsidRPr="00150EDC">
              <w:rPr>
                <w:sz w:val="20"/>
              </w:rPr>
              <w:t>2003,</w:t>
            </w:r>
            <w:r w:rsidRPr="00150EDC">
              <w:rPr>
                <w:spacing w:val="-8"/>
                <w:sz w:val="20"/>
              </w:rPr>
              <w:t xml:space="preserve"> </w:t>
            </w:r>
            <w:r w:rsidRPr="00150EDC">
              <w:rPr>
                <w:spacing w:val="-5"/>
                <w:sz w:val="20"/>
              </w:rPr>
              <w:t>s32</w:t>
            </w:r>
          </w:p>
        </w:tc>
        <w:tc>
          <w:tcPr>
            <w:tcW w:w="7427" w:type="dxa"/>
          </w:tcPr>
          <w:p w14:paraId="1CDC962E" w14:textId="77777777" w:rsidR="004C7180" w:rsidRPr="00150EDC" w:rsidRDefault="00CF0754">
            <w:pPr>
              <w:pStyle w:val="TableParagraph"/>
              <w:spacing w:before="0" w:line="230" w:lineRule="atLeast"/>
              <w:rPr>
                <w:sz w:val="20"/>
              </w:rPr>
            </w:pPr>
            <w:r w:rsidRPr="00150EDC">
              <w:rPr>
                <w:sz w:val="20"/>
              </w:rPr>
              <w:t>Engaging</w:t>
            </w:r>
            <w:r w:rsidRPr="00150EDC">
              <w:rPr>
                <w:spacing w:val="-5"/>
                <w:sz w:val="20"/>
              </w:rPr>
              <w:t xml:space="preserve"> </w:t>
            </w:r>
            <w:r w:rsidRPr="00150EDC">
              <w:rPr>
                <w:sz w:val="20"/>
              </w:rPr>
              <w:t>in</w:t>
            </w:r>
            <w:r w:rsidRPr="00150EDC">
              <w:rPr>
                <w:spacing w:val="-5"/>
                <w:sz w:val="20"/>
              </w:rPr>
              <w:t xml:space="preserve"> </w:t>
            </w:r>
            <w:r w:rsidRPr="00150EDC">
              <w:rPr>
                <w:sz w:val="20"/>
              </w:rPr>
              <w:t>sexual</w:t>
            </w:r>
            <w:r w:rsidRPr="00150EDC">
              <w:rPr>
                <w:spacing w:val="-3"/>
                <w:sz w:val="20"/>
              </w:rPr>
              <w:t xml:space="preserve"> </w:t>
            </w:r>
            <w:r w:rsidRPr="00150EDC">
              <w:rPr>
                <w:sz w:val="20"/>
              </w:rPr>
              <w:t>activity</w:t>
            </w:r>
            <w:r w:rsidRPr="00150EDC">
              <w:rPr>
                <w:spacing w:val="-4"/>
                <w:sz w:val="20"/>
              </w:rPr>
              <w:t xml:space="preserve"> </w:t>
            </w:r>
            <w:r w:rsidRPr="00150EDC">
              <w:rPr>
                <w:sz w:val="20"/>
              </w:rPr>
              <w:t>in</w:t>
            </w:r>
            <w:r w:rsidRPr="00150EDC">
              <w:rPr>
                <w:spacing w:val="-5"/>
                <w:sz w:val="20"/>
              </w:rPr>
              <w:t xml:space="preserve"> </w:t>
            </w:r>
            <w:r w:rsidRPr="00150EDC">
              <w:rPr>
                <w:sz w:val="20"/>
              </w:rPr>
              <w:t>the presence</w:t>
            </w:r>
            <w:r w:rsidRPr="00150EDC">
              <w:rPr>
                <w:spacing w:val="-5"/>
                <w:sz w:val="20"/>
              </w:rPr>
              <w:t xml:space="preserve"> </w:t>
            </w:r>
            <w:r w:rsidRPr="00150EDC">
              <w:rPr>
                <w:sz w:val="20"/>
              </w:rPr>
              <w:t>of a</w:t>
            </w:r>
            <w:r w:rsidRPr="00150EDC">
              <w:rPr>
                <w:spacing w:val="-5"/>
                <w:sz w:val="20"/>
              </w:rPr>
              <w:t xml:space="preserve"> </w:t>
            </w:r>
            <w:r w:rsidRPr="00150EDC">
              <w:rPr>
                <w:sz w:val="20"/>
              </w:rPr>
              <w:t>person</w:t>
            </w:r>
            <w:r w:rsidRPr="00150EDC">
              <w:rPr>
                <w:spacing w:val="-5"/>
                <w:sz w:val="20"/>
              </w:rPr>
              <w:t xml:space="preserve"> </w:t>
            </w:r>
            <w:r w:rsidRPr="00150EDC">
              <w:rPr>
                <w:sz w:val="20"/>
              </w:rPr>
              <w:t>with</w:t>
            </w:r>
            <w:r w:rsidRPr="00150EDC">
              <w:rPr>
                <w:spacing w:val="-5"/>
                <w:sz w:val="20"/>
              </w:rPr>
              <w:t xml:space="preserve"> </w:t>
            </w:r>
            <w:r w:rsidRPr="00150EDC">
              <w:rPr>
                <w:sz w:val="20"/>
              </w:rPr>
              <w:t>a</w:t>
            </w:r>
            <w:r w:rsidRPr="00150EDC">
              <w:rPr>
                <w:spacing w:val="-5"/>
                <w:sz w:val="20"/>
              </w:rPr>
              <w:t xml:space="preserve"> </w:t>
            </w:r>
            <w:r w:rsidRPr="00150EDC">
              <w:rPr>
                <w:sz w:val="20"/>
              </w:rPr>
              <w:t>mental</w:t>
            </w:r>
            <w:r w:rsidRPr="00150EDC">
              <w:rPr>
                <w:spacing w:val="-3"/>
                <w:sz w:val="20"/>
              </w:rPr>
              <w:t xml:space="preserve"> </w:t>
            </w:r>
            <w:r w:rsidRPr="00150EDC">
              <w:rPr>
                <w:sz w:val="20"/>
              </w:rPr>
              <w:t>disorder impeding choice</w:t>
            </w:r>
          </w:p>
        </w:tc>
      </w:tr>
      <w:tr w:rsidR="004569EE" w:rsidRPr="007D3144" w14:paraId="0FC5F389" w14:textId="77777777">
        <w:trPr>
          <w:trHeight w:val="255"/>
        </w:trPr>
        <w:tc>
          <w:tcPr>
            <w:tcW w:w="6517" w:type="dxa"/>
          </w:tcPr>
          <w:p w14:paraId="4BBCD28D"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3"/>
                <w:sz w:val="20"/>
              </w:rPr>
              <w:t xml:space="preserve"> </w:t>
            </w:r>
            <w:r w:rsidRPr="00150EDC">
              <w:rPr>
                <w:sz w:val="20"/>
              </w:rPr>
              <w:t>Act</w:t>
            </w:r>
            <w:r w:rsidRPr="00150EDC">
              <w:rPr>
                <w:spacing w:val="-6"/>
                <w:sz w:val="20"/>
              </w:rPr>
              <w:t xml:space="preserve"> </w:t>
            </w:r>
            <w:r w:rsidRPr="00150EDC">
              <w:rPr>
                <w:sz w:val="20"/>
              </w:rPr>
              <w:t>2003,</w:t>
            </w:r>
            <w:r w:rsidRPr="00150EDC">
              <w:rPr>
                <w:spacing w:val="-8"/>
                <w:sz w:val="20"/>
              </w:rPr>
              <w:t xml:space="preserve"> </w:t>
            </w:r>
            <w:r w:rsidRPr="00150EDC">
              <w:rPr>
                <w:spacing w:val="-5"/>
                <w:sz w:val="20"/>
              </w:rPr>
              <w:t>s33</w:t>
            </w:r>
          </w:p>
        </w:tc>
        <w:tc>
          <w:tcPr>
            <w:tcW w:w="7427" w:type="dxa"/>
          </w:tcPr>
          <w:p w14:paraId="25E65134" w14:textId="77777777" w:rsidR="004C7180" w:rsidRPr="00150EDC" w:rsidRDefault="00CF0754">
            <w:pPr>
              <w:pStyle w:val="TableParagraph"/>
              <w:rPr>
                <w:sz w:val="20"/>
              </w:rPr>
            </w:pPr>
            <w:r w:rsidRPr="00150EDC">
              <w:rPr>
                <w:sz w:val="20"/>
              </w:rPr>
              <w:t>Causing</w:t>
            </w:r>
            <w:r w:rsidRPr="00150EDC">
              <w:rPr>
                <w:spacing w:val="-6"/>
                <w:sz w:val="20"/>
              </w:rPr>
              <w:t xml:space="preserve"> </w:t>
            </w:r>
            <w:r w:rsidRPr="00150EDC">
              <w:rPr>
                <w:sz w:val="20"/>
              </w:rPr>
              <w:t>a</w:t>
            </w:r>
            <w:r w:rsidRPr="00150EDC">
              <w:rPr>
                <w:spacing w:val="-5"/>
                <w:sz w:val="20"/>
              </w:rPr>
              <w:t xml:space="preserve"> </w:t>
            </w:r>
            <w:r w:rsidRPr="00150EDC">
              <w:rPr>
                <w:sz w:val="20"/>
              </w:rPr>
              <w:t>person</w:t>
            </w:r>
            <w:r w:rsidRPr="00150EDC">
              <w:rPr>
                <w:spacing w:val="-5"/>
                <w:sz w:val="20"/>
              </w:rPr>
              <w:t xml:space="preserve"> </w:t>
            </w:r>
            <w:r w:rsidRPr="00150EDC">
              <w:rPr>
                <w:sz w:val="20"/>
              </w:rPr>
              <w:t>with</w:t>
            </w:r>
            <w:r w:rsidRPr="00150EDC">
              <w:rPr>
                <w:spacing w:val="-5"/>
                <w:sz w:val="20"/>
              </w:rPr>
              <w:t xml:space="preserve"> </w:t>
            </w:r>
            <w:r w:rsidRPr="00150EDC">
              <w:rPr>
                <w:sz w:val="20"/>
              </w:rPr>
              <w:t>a</w:t>
            </w:r>
            <w:r w:rsidRPr="00150EDC">
              <w:rPr>
                <w:spacing w:val="-2"/>
                <w:sz w:val="20"/>
              </w:rPr>
              <w:t xml:space="preserve"> </w:t>
            </w:r>
            <w:r w:rsidRPr="00150EDC">
              <w:rPr>
                <w:sz w:val="20"/>
              </w:rPr>
              <w:t>mental</w:t>
            </w:r>
            <w:r w:rsidRPr="00150EDC">
              <w:rPr>
                <w:spacing w:val="1"/>
                <w:sz w:val="20"/>
              </w:rPr>
              <w:t xml:space="preserve"> </w:t>
            </w:r>
            <w:r w:rsidRPr="00150EDC">
              <w:rPr>
                <w:sz w:val="20"/>
              </w:rPr>
              <w:t>disorder</w:t>
            </w:r>
            <w:r w:rsidRPr="00150EDC">
              <w:rPr>
                <w:spacing w:val="-6"/>
                <w:sz w:val="20"/>
              </w:rPr>
              <w:t xml:space="preserve"> </w:t>
            </w:r>
            <w:r w:rsidRPr="00150EDC">
              <w:rPr>
                <w:sz w:val="20"/>
              </w:rPr>
              <w:t>impeding</w:t>
            </w:r>
            <w:r w:rsidRPr="00150EDC">
              <w:rPr>
                <w:spacing w:val="-5"/>
                <w:sz w:val="20"/>
              </w:rPr>
              <w:t xml:space="preserve"> </w:t>
            </w:r>
            <w:r w:rsidRPr="00150EDC">
              <w:rPr>
                <w:sz w:val="20"/>
              </w:rPr>
              <w:t>choice to</w:t>
            </w:r>
            <w:r w:rsidRPr="00150EDC">
              <w:rPr>
                <w:spacing w:val="-6"/>
                <w:sz w:val="20"/>
              </w:rPr>
              <w:t xml:space="preserve"> </w:t>
            </w:r>
            <w:r w:rsidRPr="00150EDC">
              <w:rPr>
                <w:sz w:val="20"/>
              </w:rPr>
              <w:t>watch</w:t>
            </w:r>
            <w:r w:rsidRPr="00150EDC">
              <w:rPr>
                <w:spacing w:val="-5"/>
                <w:sz w:val="20"/>
              </w:rPr>
              <w:t xml:space="preserve"> </w:t>
            </w:r>
            <w:r w:rsidRPr="00150EDC">
              <w:rPr>
                <w:sz w:val="20"/>
              </w:rPr>
              <w:t xml:space="preserve">a sexual </w:t>
            </w:r>
            <w:r w:rsidRPr="00150EDC">
              <w:rPr>
                <w:spacing w:val="-5"/>
                <w:sz w:val="20"/>
              </w:rPr>
              <w:t>act</w:t>
            </w:r>
          </w:p>
        </w:tc>
      </w:tr>
      <w:tr w:rsidR="004569EE" w:rsidRPr="007D3144" w14:paraId="5FD7FBA9" w14:textId="77777777">
        <w:trPr>
          <w:trHeight w:val="460"/>
        </w:trPr>
        <w:tc>
          <w:tcPr>
            <w:tcW w:w="6517" w:type="dxa"/>
          </w:tcPr>
          <w:p w14:paraId="381C98B9" w14:textId="77777777" w:rsidR="004C7180" w:rsidRPr="00150EDC" w:rsidRDefault="004C7180">
            <w:pPr>
              <w:pStyle w:val="TableParagraph"/>
              <w:spacing w:before="2" w:line="240" w:lineRule="auto"/>
              <w:ind w:left="0"/>
              <w:rPr>
                <w:sz w:val="20"/>
              </w:rPr>
            </w:pPr>
          </w:p>
          <w:p w14:paraId="3C1BD5C3" w14:textId="77777777" w:rsidR="004C7180" w:rsidRPr="00150EDC" w:rsidRDefault="00CF0754">
            <w:pPr>
              <w:pStyle w:val="TableParagraph"/>
              <w:spacing w:before="1"/>
              <w:rPr>
                <w:sz w:val="20"/>
              </w:rPr>
            </w:pPr>
            <w:r w:rsidRPr="00150EDC">
              <w:rPr>
                <w:sz w:val="20"/>
              </w:rPr>
              <w:t>Sexual</w:t>
            </w:r>
            <w:r w:rsidRPr="00150EDC">
              <w:rPr>
                <w:spacing w:val="-6"/>
                <w:sz w:val="20"/>
              </w:rPr>
              <w:t xml:space="preserve"> </w:t>
            </w:r>
            <w:r w:rsidRPr="00150EDC">
              <w:rPr>
                <w:sz w:val="20"/>
              </w:rPr>
              <w:t>Offences</w:t>
            </w:r>
            <w:r w:rsidRPr="00150EDC">
              <w:rPr>
                <w:spacing w:val="-3"/>
                <w:sz w:val="20"/>
              </w:rPr>
              <w:t xml:space="preserve"> </w:t>
            </w:r>
            <w:r w:rsidRPr="00150EDC">
              <w:rPr>
                <w:sz w:val="20"/>
              </w:rPr>
              <w:t>Act</w:t>
            </w:r>
            <w:r w:rsidRPr="00150EDC">
              <w:rPr>
                <w:spacing w:val="-6"/>
                <w:sz w:val="20"/>
              </w:rPr>
              <w:t xml:space="preserve"> </w:t>
            </w:r>
            <w:r w:rsidRPr="00150EDC">
              <w:rPr>
                <w:sz w:val="20"/>
              </w:rPr>
              <w:t>2003,</w:t>
            </w:r>
            <w:r w:rsidRPr="00150EDC">
              <w:rPr>
                <w:spacing w:val="-8"/>
                <w:sz w:val="20"/>
              </w:rPr>
              <w:t xml:space="preserve"> </w:t>
            </w:r>
            <w:r w:rsidRPr="00150EDC">
              <w:rPr>
                <w:spacing w:val="-5"/>
                <w:sz w:val="20"/>
              </w:rPr>
              <w:t>s34</w:t>
            </w:r>
          </w:p>
        </w:tc>
        <w:tc>
          <w:tcPr>
            <w:tcW w:w="7427" w:type="dxa"/>
          </w:tcPr>
          <w:p w14:paraId="12E46A8A" w14:textId="77777777" w:rsidR="004C7180" w:rsidRPr="00150EDC" w:rsidRDefault="00CF0754">
            <w:pPr>
              <w:pStyle w:val="TableParagraph"/>
              <w:spacing w:before="0" w:line="230" w:lineRule="atLeast"/>
              <w:rPr>
                <w:sz w:val="20"/>
              </w:rPr>
            </w:pPr>
            <w:r w:rsidRPr="00150EDC">
              <w:rPr>
                <w:sz w:val="20"/>
              </w:rPr>
              <w:t>Inducement</w:t>
            </w:r>
            <w:r w:rsidRPr="00150EDC">
              <w:rPr>
                <w:spacing w:val="-6"/>
                <w:sz w:val="20"/>
              </w:rPr>
              <w:t xml:space="preserve"> </w:t>
            </w:r>
            <w:r w:rsidRPr="00150EDC">
              <w:rPr>
                <w:sz w:val="20"/>
              </w:rPr>
              <w:t>threat or</w:t>
            </w:r>
            <w:r w:rsidRPr="00150EDC">
              <w:rPr>
                <w:spacing w:val="-6"/>
                <w:sz w:val="20"/>
              </w:rPr>
              <w:t xml:space="preserve"> </w:t>
            </w:r>
            <w:r w:rsidRPr="00150EDC">
              <w:rPr>
                <w:sz w:val="20"/>
              </w:rPr>
              <w:t>deception</w:t>
            </w:r>
            <w:r w:rsidRPr="00150EDC">
              <w:rPr>
                <w:spacing w:val="-6"/>
                <w:sz w:val="20"/>
              </w:rPr>
              <w:t xml:space="preserve"> </w:t>
            </w:r>
            <w:r w:rsidRPr="00150EDC">
              <w:rPr>
                <w:sz w:val="20"/>
              </w:rPr>
              <w:t>to</w:t>
            </w:r>
            <w:r w:rsidRPr="00150EDC">
              <w:rPr>
                <w:spacing w:val="-1"/>
                <w:sz w:val="20"/>
              </w:rPr>
              <w:t xml:space="preserve"> </w:t>
            </w:r>
            <w:r w:rsidRPr="00150EDC">
              <w:rPr>
                <w:sz w:val="20"/>
              </w:rPr>
              <w:t>procure</w:t>
            </w:r>
            <w:r w:rsidRPr="00150EDC">
              <w:rPr>
                <w:spacing w:val="-6"/>
                <w:sz w:val="20"/>
              </w:rPr>
              <w:t xml:space="preserve"> </w:t>
            </w:r>
            <w:r w:rsidRPr="00150EDC">
              <w:rPr>
                <w:sz w:val="20"/>
              </w:rPr>
              <w:t>sexual</w:t>
            </w:r>
            <w:r w:rsidRPr="00150EDC">
              <w:rPr>
                <w:spacing w:val="-4"/>
                <w:sz w:val="20"/>
              </w:rPr>
              <w:t xml:space="preserve"> </w:t>
            </w:r>
            <w:r w:rsidRPr="00150EDC">
              <w:rPr>
                <w:sz w:val="20"/>
              </w:rPr>
              <w:t>activity with</w:t>
            </w:r>
            <w:r w:rsidRPr="00150EDC">
              <w:rPr>
                <w:spacing w:val="-6"/>
                <w:sz w:val="20"/>
              </w:rPr>
              <w:t xml:space="preserve"> </w:t>
            </w:r>
            <w:r w:rsidRPr="00150EDC">
              <w:rPr>
                <w:sz w:val="20"/>
              </w:rPr>
              <w:t>a</w:t>
            </w:r>
            <w:r w:rsidRPr="00150EDC">
              <w:rPr>
                <w:spacing w:val="-6"/>
                <w:sz w:val="20"/>
              </w:rPr>
              <w:t xml:space="preserve"> </w:t>
            </w:r>
            <w:r w:rsidRPr="00150EDC">
              <w:rPr>
                <w:sz w:val="20"/>
              </w:rPr>
              <w:t>person</w:t>
            </w:r>
            <w:r w:rsidRPr="00150EDC">
              <w:rPr>
                <w:spacing w:val="-6"/>
                <w:sz w:val="20"/>
              </w:rPr>
              <w:t xml:space="preserve"> </w:t>
            </w:r>
            <w:r w:rsidRPr="00150EDC">
              <w:rPr>
                <w:sz w:val="20"/>
              </w:rPr>
              <w:t>with</w:t>
            </w:r>
            <w:r w:rsidRPr="00150EDC">
              <w:rPr>
                <w:spacing w:val="-2"/>
                <w:sz w:val="20"/>
              </w:rPr>
              <w:t xml:space="preserve"> </w:t>
            </w:r>
            <w:r w:rsidRPr="00150EDC">
              <w:rPr>
                <w:sz w:val="20"/>
              </w:rPr>
              <w:t>a mental disorder</w:t>
            </w:r>
          </w:p>
        </w:tc>
      </w:tr>
    </w:tbl>
    <w:p w14:paraId="7BDE5FD4" w14:textId="77777777" w:rsidR="004C7180" w:rsidRPr="00150EDC" w:rsidRDefault="004C7180">
      <w:pPr>
        <w:spacing w:line="230" w:lineRule="atLeast"/>
        <w:rPr>
          <w:sz w:val="20"/>
        </w:rPr>
        <w:sectPr w:rsidR="004C7180" w:rsidRPr="00150EDC">
          <w:footerReference w:type="default" r:id="rId150"/>
          <w:pgSz w:w="16840" w:h="11910" w:orient="landscape"/>
          <w:pgMar w:top="1340" w:right="1320" w:bottom="280" w:left="1340" w:header="0" w:footer="0" w:gutter="0"/>
          <w:cols w:space="720"/>
        </w:sectPr>
      </w:pPr>
    </w:p>
    <w:p w14:paraId="1D0F3543" w14:textId="77777777" w:rsidR="004C7180" w:rsidRPr="00150EDC" w:rsidRDefault="004C7180">
      <w:pPr>
        <w:pStyle w:val="BodyText"/>
        <w:spacing w:before="3"/>
        <w:rPr>
          <w:sz w:val="8"/>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517"/>
        <w:gridCol w:w="7427"/>
      </w:tblGrid>
      <w:tr w:rsidR="004569EE" w:rsidRPr="007D3144" w14:paraId="5C865448" w14:textId="77777777">
        <w:trPr>
          <w:trHeight w:val="460"/>
        </w:trPr>
        <w:tc>
          <w:tcPr>
            <w:tcW w:w="6517" w:type="dxa"/>
          </w:tcPr>
          <w:p w14:paraId="6B7B1EE2" w14:textId="77777777" w:rsidR="004C7180" w:rsidRPr="00150EDC" w:rsidRDefault="004C7180">
            <w:pPr>
              <w:pStyle w:val="TableParagraph"/>
              <w:spacing w:before="2" w:line="240" w:lineRule="auto"/>
              <w:ind w:left="0"/>
              <w:rPr>
                <w:sz w:val="20"/>
              </w:rPr>
            </w:pPr>
          </w:p>
          <w:p w14:paraId="6D5CB23E" w14:textId="77777777" w:rsidR="004C7180" w:rsidRPr="00150EDC" w:rsidRDefault="00CF0754">
            <w:pPr>
              <w:pStyle w:val="TableParagraph"/>
              <w:spacing w:before="1"/>
              <w:rPr>
                <w:sz w:val="20"/>
              </w:rPr>
            </w:pPr>
            <w:r w:rsidRPr="00150EDC">
              <w:rPr>
                <w:sz w:val="20"/>
              </w:rPr>
              <w:t>Sexual</w:t>
            </w:r>
            <w:r w:rsidRPr="00150EDC">
              <w:rPr>
                <w:spacing w:val="-6"/>
                <w:sz w:val="20"/>
              </w:rPr>
              <w:t xml:space="preserve"> </w:t>
            </w:r>
            <w:r w:rsidRPr="00150EDC">
              <w:rPr>
                <w:sz w:val="20"/>
              </w:rPr>
              <w:t>Offences</w:t>
            </w:r>
            <w:r w:rsidRPr="00150EDC">
              <w:rPr>
                <w:spacing w:val="-3"/>
                <w:sz w:val="20"/>
              </w:rPr>
              <w:t xml:space="preserve"> </w:t>
            </w:r>
            <w:r w:rsidRPr="00150EDC">
              <w:rPr>
                <w:sz w:val="20"/>
              </w:rPr>
              <w:t>Act</w:t>
            </w:r>
            <w:r w:rsidRPr="00150EDC">
              <w:rPr>
                <w:spacing w:val="-6"/>
                <w:sz w:val="20"/>
              </w:rPr>
              <w:t xml:space="preserve"> </w:t>
            </w:r>
            <w:r w:rsidRPr="00150EDC">
              <w:rPr>
                <w:sz w:val="20"/>
              </w:rPr>
              <w:t>2003,</w:t>
            </w:r>
            <w:r w:rsidRPr="00150EDC">
              <w:rPr>
                <w:spacing w:val="-8"/>
                <w:sz w:val="20"/>
              </w:rPr>
              <w:t xml:space="preserve"> </w:t>
            </w:r>
            <w:r w:rsidRPr="00150EDC">
              <w:rPr>
                <w:spacing w:val="-5"/>
                <w:sz w:val="20"/>
              </w:rPr>
              <w:t>s35</w:t>
            </w:r>
          </w:p>
        </w:tc>
        <w:tc>
          <w:tcPr>
            <w:tcW w:w="7427" w:type="dxa"/>
          </w:tcPr>
          <w:p w14:paraId="182EF554" w14:textId="77777777" w:rsidR="004C7180" w:rsidRPr="00150EDC" w:rsidRDefault="00CF0754">
            <w:pPr>
              <w:pStyle w:val="TableParagraph"/>
              <w:spacing w:before="0" w:line="230" w:lineRule="atLeast"/>
              <w:rPr>
                <w:sz w:val="20"/>
              </w:rPr>
            </w:pPr>
            <w:r w:rsidRPr="00150EDC">
              <w:rPr>
                <w:sz w:val="20"/>
              </w:rPr>
              <w:t>Causing</w:t>
            </w:r>
            <w:r w:rsidRPr="00150EDC">
              <w:rPr>
                <w:spacing w:val="-5"/>
                <w:sz w:val="20"/>
              </w:rPr>
              <w:t xml:space="preserve"> </w:t>
            </w:r>
            <w:r w:rsidRPr="00150EDC">
              <w:rPr>
                <w:sz w:val="20"/>
              </w:rPr>
              <w:t>person</w:t>
            </w:r>
            <w:r w:rsidRPr="00150EDC">
              <w:rPr>
                <w:spacing w:val="-5"/>
                <w:sz w:val="20"/>
              </w:rPr>
              <w:t xml:space="preserve"> </w:t>
            </w:r>
            <w:r w:rsidRPr="00150EDC">
              <w:rPr>
                <w:sz w:val="20"/>
              </w:rPr>
              <w:t>with a</w:t>
            </w:r>
            <w:r w:rsidRPr="00150EDC">
              <w:rPr>
                <w:spacing w:val="-5"/>
                <w:sz w:val="20"/>
              </w:rPr>
              <w:t xml:space="preserve"> </w:t>
            </w:r>
            <w:r w:rsidRPr="00150EDC">
              <w:rPr>
                <w:sz w:val="20"/>
              </w:rPr>
              <w:t>mental</w:t>
            </w:r>
            <w:r w:rsidRPr="00150EDC">
              <w:rPr>
                <w:spacing w:val="-3"/>
                <w:sz w:val="20"/>
              </w:rPr>
              <w:t xml:space="preserve"> </w:t>
            </w:r>
            <w:r w:rsidRPr="00150EDC">
              <w:rPr>
                <w:sz w:val="20"/>
              </w:rPr>
              <w:t>disorder</w:t>
            </w:r>
            <w:r w:rsidRPr="00150EDC">
              <w:rPr>
                <w:spacing w:val="-5"/>
                <w:sz w:val="20"/>
              </w:rPr>
              <w:t xml:space="preserve"> </w:t>
            </w:r>
            <w:r w:rsidRPr="00150EDC">
              <w:rPr>
                <w:sz w:val="20"/>
              </w:rPr>
              <w:t>to</w:t>
            </w:r>
            <w:r w:rsidRPr="00150EDC">
              <w:rPr>
                <w:spacing w:val="-5"/>
                <w:sz w:val="20"/>
              </w:rPr>
              <w:t xml:space="preserve"> </w:t>
            </w:r>
            <w:r w:rsidRPr="00150EDC">
              <w:rPr>
                <w:sz w:val="20"/>
              </w:rPr>
              <w:t>enagge</w:t>
            </w:r>
            <w:r w:rsidRPr="00150EDC">
              <w:rPr>
                <w:spacing w:val="-2"/>
                <w:sz w:val="20"/>
              </w:rPr>
              <w:t xml:space="preserve"> </w:t>
            </w:r>
            <w:r w:rsidRPr="00150EDC">
              <w:rPr>
                <w:sz w:val="20"/>
              </w:rPr>
              <w:t>in</w:t>
            </w:r>
            <w:r w:rsidRPr="00150EDC">
              <w:rPr>
                <w:spacing w:val="-4"/>
                <w:sz w:val="20"/>
              </w:rPr>
              <w:t xml:space="preserve"> </w:t>
            </w:r>
            <w:r w:rsidRPr="00150EDC">
              <w:rPr>
                <w:sz w:val="20"/>
              </w:rPr>
              <w:t>or</w:t>
            </w:r>
            <w:r w:rsidRPr="00150EDC">
              <w:rPr>
                <w:spacing w:val="-5"/>
                <w:sz w:val="20"/>
              </w:rPr>
              <w:t xml:space="preserve"> </w:t>
            </w:r>
            <w:r w:rsidRPr="00150EDC">
              <w:rPr>
                <w:sz w:val="20"/>
              </w:rPr>
              <w:t>agree</w:t>
            </w:r>
            <w:r w:rsidRPr="00150EDC">
              <w:rPr>
                <w:spacing w:val="-5"/>
                <w:sz w:val="20"/>
              </w:rPr>
              <w:t xml:space="preserve"> </w:t>
            </w:r>
            <w:r w:rsidRPr="00150EDC">
              <w:rPr>
                <w:sz w:val="20"/>
              </w:rPr>
              <w:t>to engage</w:t>
            </w:r>
            <w:r w:rsidRPr="00150EDC">
              <w:rPr>
                <w:spacing w:val="-5"/>
                <w:sz w:val="20"/>
              </w:rPr>
              <w:t xml:space="preserve"> </w:t>
            </w:r>
            <w:r w:rsidRPr="00150EDC">
              <w:rPr>
                <w:sz w:val="20"/>
              </w:rPr>
              <w:t>in</w:t>
            </w:r>
            <w:r w:rsidRPr="00150EDC">
              <w:rPr>
                <w:spacing w:val="-5"/>
                <w:sz w:val="20"/>
              </w:rPr>
              <w:t xml:space="preserve"> </w:t>
            </w:r>
            <w:r w:rsidRPr="00150EDC">
              <w:rPr>
                <w:sz w:val="20"/>
              </w:rPr>
              <w:t>sexual activity by inducement threat or deception</w:t>
            </w:r>
          </w:p>
        </w:tc>
      </w:tr>
      <w:tr w:rsidR="004569EE" w:rsidRPr="007D3144" w14:paraId="16CC0BD3" w14:textId="77777777">
        <w:trPr>
          <w:trHeight w:val="460"/>
        </w:trPr>
        <w:tc>
          <w:tcPr>
            <w:tcW w:w="6517" w:type="dxa"/>
          </w:tcPr>
          <w:p w14:paraId="285C33E9" w14:textId="77777777" w:rsidR="004C7180" w:rsidRPr="00150EDC" w:rsidRDefault="004C7180">
            <w:pPr>
              <w:pStyle w:val="TableParagraph"/>
              <w:spacing w:before="2" w:line="240" w:lineRule="auto"/>
              <w:ind w:left="0"/>
              <w:rPr>
                <w:sz w:val="20"/>
              </w:rPr>
            </w:pPr>
          </w:p>
          <w:p w14:paraId="74403EBE" w14:textId="77777777" w:rsidR="004C7180" w:rsidRPr="00150EDC" w:rsidRDefault="00CF0754">
            <w:pPr>
              <w:pStyle w:val="TableParagraph"/>
              <w:spacing w:before="0"/>
              <w:rPr>
                <w:sz w:val="20"/>
              </w:rPr>
            </w:pPr>
            <w:r w:rsidRPr="00150EDC">
              <w:rPr>
                <w:sz w:val="20"/>
              </w:rPr>
              <w:t>Sexual</w:t>
            </w:r>
            <w:r w:rsidRPr="00150EDC">
              <w:rPr>
                <w:spacing w:val="-6"/>
                <w:sz w:val="20"/>
              </w:rPr>
              <w:t xml:space="preserve"> </w:t>
            </w:r>
            <w:r w:rsidRPr="00150EDC">
              <w:rPr>
                <w:sz w:val="20"/>
              </w:rPr>
              <w:t>Offences</w:t>
            </w:r>
            <w:r w:rsidRPr="00150EDC">
              <w:rPr>
                <w:spacing w:val="-3"/>
                <w:sz w:val="20"/>
              </w:rPr>
              <w:t xml:space="preserve"> </w:t>
            </w:r>
            <w:r w:rsidRPr="00150EDC">
              <w:rPr>
                <w:sz w:val="20"/>
              </w:rPr>
              <w:t>Act</w:t>
            </w:r>
            <w:r w:rsidRPr="00150EDC">
              <w:rPr>
                <w:spacing w:val="-6"/>
                <w:sz w:val="20"/>
              </w:rPr>
              <w:t xml:space="preserve"> </w:t>
            </w:r>
            <w:r w:rsidRPr="00150EDC">
              <w:rPr>
                <w:sz w:val="20"/>
              </w:rPr>
              <w:t>2003,</w:t>
            </w:r>
            <w:r w:rsidRPr="00150EDC">
              <w:rPr>
                <w:spacing w:val="-8"/>
                <w:sz w:val="20"/>
              </w:rPr>
              <w:t xml:space="preserve"> </w:t>
            </w:r>
            <w:r w:rsidRPr="00150EDC">
              <w:rPr>
                <w:spacing w:val="-5"/>
                <w:sz w:val="20"/>
              </w:rPr>
              <w:t>s36</w:t>
            </w:r>
          </w:p>
        </w:tc>
        <w:tc>
          <w:tcPr>
            <w:tcW w:w="7427" w:type="dxa"/>
          </w:tcPr>
          <w:p w14:paraId="5FB3FBB4" w14:textId="77777777" w:rsidR="004C7180" w:rsidRPr="00150EDC" w:rsidRDefault="00CF0754">
            <w:pPr>
              <w:pStyle w:val="TableParagraph"/>
              <w:spacing w:before="0" w:line="230" w:lineRule="atLeast"/>
              <w:rPr>
                <w:sz w:val="20"/>
              </w:rPr>
            </w:pPr>
            <w:r w:rsidRPr="00150EDC">
              <w:rPr>
                <w:sz w:val="20"/>
              </w:rPr>
              <w:t>Engaging</w:t>
            </w:r>
            <w:r w:rsidRPr="00150EDC">
              <w:rPr>
                <w:spacing w:val="-6"/>
                <w:sz w:val="20"/>
              </w:rPr>
              <w:t xml:space="preserve"> </w:t>
            </w:r>
            <w:r w:rsidRPr="00150EDC">
              <w:rPr>
                <w:sz w:val="20"/>
              </w:rPr>
              <w:t>in</w:t>
            </w:r>
            <w:r w:rsidRPr="00150EDC">
              <w:rPr>
                <w:spacing w:val="-6"/>
                <w:sz w:val="20"/>
              </w:rPr>
              <w:t xml:space="preserve"> </w:t>
            </w:r>
            <w:r w:rsidRPr="00150EDC">
              <w:rPr>
                <w:sz w:val="20"/>
              </w:rPr>
              <w:t>sexual</w:t>
            </w:r>
            <w:r w:rsidRPr="00150EDC">
              <w:rPr>
                <w:spacing w:val="-4"/>
                <w:sz w:val="20"/>
              </w:rPr>
              <w:t xml:space="preserve"> </w:t>
            </w:r>
            <w:r w:rsidRPr="00150EDC">
              <w:rPr>
                <w:sz w:val="20"/>
              </w:rPr>
              <w:t>activity</w:t>
            </w:r>
            <w:r w:rsidRPr="00150EDC">
              <w:rPr>
                <w:spacing w:val="-5"/>
                <w:sz w:val="20"/>
              </w:rPr>
              <w:t xml:space="preserve"> </w:t>
            </w:r>
            <w:r w:rsidRPr="00150EDC">
              <w:rPr>
                <w:sz w:val="20"/>
              </w:rPr>
              <w:t>in</w:t>
            </w:r>
            <w:r w:rsidRPr="00150EDC">
              <w:rPr>
                <w:spacing w:val="-6"/>
                <w:sz w:val="20"/>
              </w:rPr>
              <w:t xml:space="preserve"> </w:t>
            </w:r>
            <w:r w:rsidRPr="00150EDC">
              <w:rPr>
                <w:sz w:val="20"/>
              </w:rPr>
              <w:t>the</w:t>
            </w:r>
            <w:r w:rsidRPr="00150EDC">
              <w:rPr>
                <w:spacing w:val="-2"/>
                <w:sz w:val="20"/>
              </w:rPr>
              <w:t xml:space="preserve"> </w:t>
            </w:r>
            <w:r w:rsidRPr="00150EDC">
              <w:rPr>
                <w:sz w:val="20"/>
              </w:rPr>
              <w:t>presence,</w:t>
            </w:r>
            <w:r w:rsidRPr="00150EDC">
              <w:rPr>
                <w:spacing w:val="-6"/>
                <w:sz w:val="20"/>
              </w:rPr>
              <w:t xml:space="preserve"> </w:t>
            </w:r>
            <w:r w:rsidRPr="00150EDC">
              <w:rPr>
                <w:sz w:val="20"/>
              </w:rPr>
              <w:t>procured</w:t>
            </w:r>
            <w:r w:rsidRPr="00150EDC">
              <w:rPr>
                <w:spacing w:val="-6"/>
                <w:sz w:val="20"/>
              </w:rPr>
              <w:t xml:space="preserve"> </w:t>
            </w:r>
            <w:r w:rsidRPr="00150EDC">
              <w:rPr>
                <w:sz w:val="20"/>
              </w:rPr>
              <w:t>by</w:t>
            </w:r>
            <w:r w:rsidRPr="00150EDC">
              <w:rPr>
                <w:spacing w:val="-1"/>
                <w:sz w:val="20"/>
              </w:rPr>
              <w:t xml:space="preserve"> </w:t>
            </w:r>
            <w:r w:rsidRPr="00150EDC">
              <w:rPr>
                <w:sz w:val="20"/>
              </w:rPr>
              <w:t>inducement</w:t>
            </w:r>
            <w:r w:rsidRPr="00150EDC">
              <w:rPr>
                <w:spacing w:val="-6"/>
                <w:sz w:val="20"/>
              </w:rPr>
              <w:t xml:space="preserve"> </w:t>
            </w:r>
            <w:r w:rsidRPr="00150EDC">
              <w:rPr>
                <w:sz w:val="20"/>
              </w:rPr>
              <w:t>threat</w:t>
            </w:r>
            <w:r w:rsidRPr="00150EDC">
              <w:rPr>
                <w:spacing w:val="-2"/>
                <w:sz w:val="20"/>
              </w:rPr>
              <w:t xml:space="preserve"> </w:t>
            </w:r>
            <w:r w:rsidRPr="00150EDC">
              <w:rPr>
                <w:sz w:val="20"/>
              </w:rPr>
              <w:t>or deception of a person with a mental disorder</w:t>
            </w:r>
          </w:p>
        </w:tc>
      </w:tr>
      <w:tr w:rsidR="004569EE" w:rsidRPr="007D3144" w14:paraId="0F138D1A" w14:textId="77777777">
        <w:trPr>
          <w:trHeight w:val="460"/>
        </w:trPr>
        <w:tc>
          <w:tcPr>
            <w:tcW w:w="6517" w:type="dxa"/>
          </w:tcPr>
          <w:p w14:paraId="2CEE528E" w14:textId="77777777" w:rsidR="004C7180" w:rsidRPr="00150EDC" w:rsidRDefault="004C7180">
            <w:pPr>
              <w:pStyle w:val="TableParagraph"/>
              <w:spacing w:before="2" w:line="240" w:lineRule="auto"/>
              <w:ind w:left="0"/>
              <w:rPr>
                <w:sz w:val="20"/>
              </w:rPr>
            </w:pPr>
          </w:p>
          <w:p w14:paraId="4DE1CE34" w14:textId="77777777" w:rsidR="004C7180" w:rsidRPr="00150EDC" w:rsidRDefault="00CF0754">
            <w:pPr>
              <w:pStyle w:val="TableParagraph"/>
              <w:spacing w:before="0"/>
              <w:rPr>
                <w:sz w:val="20"/>
              </w:rPr>
            </w:pPr>
            <w:r w:rsidRPr="00150EDC">
              <w:rPr>
                <w:sz w:val="20"/>
              </w:rPr>
              <w:t>Sexual</w:t>
            </w:r>
            <w:r w:rsidRPr="00150EDC">
              <w:rPr>
                <w:spacing w:val="-6"/>
                <w:sz w:val="20"/>
              </w:rPr>
              <w:t xml:space="preserve"> </w:t>
            </w:r>
            <w:r w:rsidRPr="00150EDC">
              <w:rPr>
                <w:sz w:val="20"/>
              </w:rPr>
              <w:t>Offences</w:t>
            </w:r>
            <w:r w:rsidRPr="00150EDC">
              <w:rPr>
                <w:spacing w:val="-2"/>
                <w:sz w:val="20"/>
              </w:rPr>
              <w:t xml:space="preserve"> </w:t>
            </w:r>
            <w:r w:rsidRPr="00150EDC">
              <w:rPr>
                <w:sz w:val="20"/>
              </w:rPr>
              <w:t>Act</w:t>
            </w:r>
            <w:r w:rsidRPr="00150EDC">
              <w:rPr>
                <w:spacing w:val="-7"/>
                <w:sz w:val="20"/>
              </w:rPr>
              <w:t xml:space="preserve"> </w:t>
            </w:r>
            <w:r w:rsidRPr="00150EDC">
              <w:rPr>
                <w:sz w:val="20"/>
              </w:rPr>
              <w:t>2003,</w:t>
            </w:r>
            <w:r w:rsidRPr="00150EDC">
              <w:rPr>
                <w:spacing w:val="-6"/>
                <w:sz w:val="20"/>
              </w:rPr>
              <w:t xml:space="preserve"> </w:t>
            </w:r>
            <w:r w:rsidRPr="00150EDC">
              <w:rPr>
                <w:spacing w:val="-5"/>
                <w:sz w:val="20"/>
              </w:rPr>
              <w:t>s37</w:t>
            </w:r>
          </w:p>
        </w:tc>
        <w:tc>
          <w:tcPr>
            <w:tcW w:w="7427" w:type="dxa"/>
          </w:tcPr>
          <w:p w14:paraId="6AB078B4" w14:textId="77777777" w:rsidR="004C7180" w:rsidRPr="00150EDC" w:rsidRDefault="00CF0754">
            <w:pPr>
              <w:pStyle w:val="TableParagraph"/>
              <w:spacing w:before="0" w:line="230" w:lineRule="atLeast"/>
              <w:rPr>
                <w:sz w:val="20"/>
              </w:rPr>
            </w:pPr>
            <w:r w:rsidRPr="00150EDC">
              <w:rPr>
                <w:sz w:val="20"/>
              </w:rPr>
              <w:t>Causing</w:t>
            </w:r>
            <w:r w:rsidRPr="00150EDC">
              <w:rPr>
                <w:spacing w:val="-5"/>
                <w:sz w:val="20"/>
              </w:rPr>
              <w:t xml:space="preserve"> </w:t>
            </w:r>
            <w:r w:rsidRPr="00150EDC">
              <w:rPr>
                <w:sz w:val="20"/>
              </w:rPr>
              <w:t>a</w:t>
            </w:r>
            <w:r w:rsidRPr="00150EDC">
              <w:rPr>
                <w:spacing w:val="-5"/>
                <w:sz w:val="20"/>
              </w:rPr>
              <w:t xml:space="preserve"> </w:t>
            </w:r>
            <w:r w:rsidRPr="00150EDC">
              <w:rPr>
                <w:sz w:val="20"/>
              </w:rPr>
              <w:t>person</w:t>
            </w:r>
            <w:r w:rsidRPr="00150EDC">
              <w:rPr>
                <w:spacing w:val="-5"/>
                <w:sz w:val="20"/>
              </w:rPr>
              <w:t xml:space="preserve"> </w:t>
            </w:r>
            <w:r w:rsidRPr="00150EDC">
              <w:rPr>
                <w:sz w:val="20"/>
              </w:rPr>
              <w:t>with</w:t>
            </w:r>
            <w:r w:rsidRPr="00150EDC">
              <w:rPr>
                <w:spacing w:val="-5"/>
                <w:sz w:val="20"/>
              </w:rPr>
              <w:t xml:space="preserve"> </w:t>
            </w:r>
            <w:r w:rsidRPr="00150EDC">
              <w:rPr>
                <w:sz w:val="20"/>
              </w:rPr>
              <w:t>a</w:t>
            </w:r>
            <w:r w:rsidRPr="00150EDC">
              <w:rPr>
                <w:spacing w:val="-2"/>
                <w:sz w:val="20"/>
              </w:rPr>
              <w:t xml:space="preserve"> </w:t>
            </w:r>
            <w:r w:rsidRPr="00150EDC">
              <w:rPr>
                <w:sz w:val="20"/>
              </w:rPr>
              <w:t>mental disorder</w:t>
            </w:r>
            <w:r w:rsidRPr="00150EDC">
              <w:rPr>
                <w:spacing w:val="-5"/>
                <w:sz w:val="20"/>
              </w:rPr>
              <w:t xml:space="preserve"> </w:t>
            </w:r>
            <w:r w:rsidRPr="00150EDC">
              <w:rPr>
                <w:sz w:val="20"/>
              </w:rPr>
              <w:t>to</w:t>
            </w:r>
            <w:r w:rsidRPr="00150EDC">
              <w:rPr>
                <w:spacing w:val="-1"/>
                <w:sz w:val="20"/>
              </w:rPr>
              <w:t xml:space="preserve"> </w:t>
            </w:r>
            <w:r w:rsidRPr="00150EDC">
              <w:rPr>
                <w:sz w:val="20"/>
              </w:rPr>
              <w:t>watch</w:t>
            </w:r>
            <w:r w:rsidRPr="00150EDC">
              <w:rPr>
                <w:spacing w:val="-5"/>
                <w:sz w:val="20"/>
              </w:rPr>
              <w:t xml:space="preserve"> </w:t>
            </w:r>
            <w:r w:rsidRPr="00150EDC">
              <w:rPr>
                <w:sz w:val="20"/>
              </w:rPr>
              <w:t>a</w:t>
            </w:r>
            <w:r w:rsidRPr="00150EDC">
              <w:rPr>
                <w:spacing w:val="-5"/>
                <w:sz w:val="20"/>
              </w:rPr>
              <w:t xml:space="preserve"> </w:t>
            </w:r>
            <w:r w:rsidRPr="00150EDC">
              <w:rPr>
                <w:sz w:val="20"/>
              </w:rPr>
              <w:t>sexual</w:t>
            </w:r>
            <w:r w:rsidRPr="00150EDC">
              <w:rPr>
                <w:spacing w:val="-3"/>
                <w:sz w:val="20"/>
              </w:rPr>
              <w:t xml:space="preserve"> </w:t>
            </w:r>
            <w:r w:rsidRPr="00150EDC">
              <w:rPr>
                <w:sz w:val="20"/>
              </w:rPr>
              <w:t>act</w:t>
            </w:r>
            <w:r w:rsidRPr="00150EDC">
              <w:rPr>
                <w:spacing w:val="-4"/>
                <w:sz w:val="20"/>
              </w:rPr>
              <w:t xml:space="preserve"> </w:t>
            </w:r>
            <w:r w:rsidRPr="00150EDC">
              <w:rPr>
                <w:sz w:val="20"/>
              </w:rPr>
              <w:t>by</w:t>
            </w:r>
            <w:r w:rsidRPr="00150EDC">
              <w:rPr>
                <w:spacing w:val="-4"/>
                <w:sz w:val="20"/>
              </w:rPr>
              <w:t xml:space="preserve"> </w:t>
            </w:r>
            <w:r w:rsidRPr="00150EDC">
              <w:rPr>
                <w:sz w:val="20"/>
              </w:rPr>
              <w:t>inducement threat or deception</w:t>
            </w:r>
          </w:p>
        </w:tc>
      </w:tr>
      <w:tr w:rsidR="004569EE" w:rsidRPr="007D3144" w14:paraId="45B3077A" w14:textId="77777777">
        <w:trPr>
          <w:trHeight w:val="255"/>
        </w:trPr>
        <w:tc>
          <w:tcPr>
            <w:tcW w:w="6517" w:type="dxa"/>
          </w:tcPr>
          <w:p w14:paraId="7C18CDA6" w14:textId="77777777" w:rsidR="004C7180" w:rsidRPr="00150EDC" w:rsidRDefault="00CF0754">
            <w:pPr>
              <w:pStyle w:val="TableParagraph"/>
              <w:spacing w:before="28"/>
              <w:rPr>
                <w:sz w:val="20"/>
              </w:rPr>
            </w:pPr>
            <w:r w:rsidRPr="00150EDC">
              <w:rPr>
                <w:sz w:val="20"/>
              </w:rPr>
              <w:t>Sexual</w:t>
            </w:r>
            <w:r w:rsidRPr="00150EDC">
              <w:rPr>
                <w:spacing w:val="-6"/>
                <w:sz w:val="20"/>
              </w:rPr>
              <w:t xml:space="preserve"> </w:t>
            </w:r>
            <w:r w:rsidRPr="00150EDC">
              <w:rPr>
                <w:sz w:val="20"/>
              </w:rPr>
              <w:t>Offences</w:t>
            </w:r>
            <w:r w:rsidRPr="00150EDC">
              <w:rPr>
                <w:spacing w:val="-3"/>
                <w:sz w:val="20"/>
              </w:rPr>
              <w:t xml:space="preserve"> </w:t>
            </w:r>
            <w:r w:rsidRPr="00150EDC">
              <w:rPr>
                <w:sz w:val="20"/>
              </w:rPr>
              <w:t>Act</w:t>
            </w:r>
            <w:r w:rsidRPr="00150EDC">
              <w:rPr>
                <w:spacing w:val="-6"/>
                <w:sz w:val="20"/>
              </w:rPr>
              <w:t xml:space="preserve"> </w:t>
            </w:r>
            <w:r w:rsidRPr="00150EDC">
              <w:rPr>
                <w:sz w:val="20"/>
              </w:rPr>
              <w:t>2003,</w:t>
            </w:r>
            <w:r w:rsidRPr="00150EDC">
              <w:rPr>
                <w:spacing w:val="-8"/>
                <w:sz w:val="20"/>
              </w:rPr>
              <w:t xml:space="preserve"> </w:t>
            </w:r>
            <w:r w:rsidRPr="00150EDC">
              <w:rPr>
                <w:spacing w:val="-5"/>
                <w:sz w:val="20"/>
              </w:rPr>
              <w:t>s38</w:t>
            </w:r>
          </w:p>
        </w:tc>
        <w:tc>
          <w:tcPr>
            <w:tcW w:w="7427" w:type="dxa"/>
          </w:tcPr>
          <w:p w14:paraId="5E9643C7" w14:textId="77777777" w:rsidR="004C7180" w:rsidRPr="00150EDC" w:rsidRDefault="00CF0754">
            <w:pPr>
              <w:pStyle w:val="TableParagraph"/>
              <w:spacing w:before="28"/>
              <w:rPr>
                <w:sz w:val="20"/>
              </w:rPr>
            </w:pPr>
            <w:r w:rsidRPr="00150EDC">
              <w:rPr>
                <w:sz w:val="20"/>
              </w:rPr>
              <w:t>Care</w:t>
            </w:r>
            <w:r w:rsidRPr="00150EDC">
              <w:rPr>
                <w:spacing w:val="-5"/>
                <w:sz w:val="20"/>
              </w:rPr>
              <w:t xml:space="preserve"> </w:t>
            </w:r>
            <w:r w:rsidRPr="00150EDC">
              <w:rPr>
                <w:sz w:val="20"/>
              </w:rPr>
              <w:t>workers</w:t>
            </w:r>
            <w:r w:rsidRPr="00150EDC">
              <w:rPr>
                <w:spacing w:val="-4"/>
                <w:sz w:val="20"/>
              </w:rPr>
              <w:t xml:space="preserve"> </w:t>
            </w:r>
            <w:r w:rsidRPr="00150EDC">
              <w:rPr>
                <w:sz w:val="20"/>
              </w:rPr>
              <w:t>sexual</w:t>
            </w:r>
            <w:r w:rsidRPr="00150EDC">
              <w:rPr>
                <w:spacing w:val="-3"/>
                <w:sz w:val="20"/>
              </w:rPr>
              <w:t xml:space="preserve"> </w:t>
            </w:r>
            <w:r w:rsidRPr="00150EDC">
              <w:rPr>
                <w:sz w:val="20"/>
              </w:rPr>
              <w:t>activity</w:t>
            </w:r>
            <w:r w:rsidRPr="00150EDC">
              <w:rPr>
                <w:spacing w:val="-4"/>
                <w:sz w:val="20"/>
              </w:rPr>
              <w:t xml:space="preserve"> </w:t>
            </w:r>
            <w:r w:rsidRPr="00150EDC">
              <w:rPr>
                <w:sz w:val="20"/>
              </w:rPr>
              <w:t>with a</w:t>
            </w:r>
            <w:r w:rsidRPr="00150EDC">
              <w:rPr>
                <w:spacing w:val="-5"/>
                <w:sz w:val="20"/>
              </w:rPr>
              <w:t xml:space="preserve"> </w:t>
            </w:r>
            <w:r w:rsidRPr="00150EDC">
              <w:rPr>
                <w:sz w:val="20"/>
              </w:rPr>
              <w:t>person</w:t>
            </w:r>
            <w:r w:rsidRPr="00150EDC">
              <w:rPr>
                <w:spacing w:val="-5"/>
                <w:sz w:val="20"/>
              </w:rPr>
              <w:t xml:space="preserve"> </w:t>
            </w:r>
            <w:r w:rsidRPr="00150EDC">
              <w:rPr>
                <w:sz w:val="20"/>
              </w:rPr>
              <w:t>with</w:t>
            </w:r>
            <w:r w:rsidRPr="00150EDC">
              <w:rPr>
                <w:spacing w:val="-1"/>
                <w:sz w:val="20"/>
              </w:rPr>
              <w:t xml:space="preserve"> </w:t>
            </w:r>
            <w:r w:rsidRPr="00150EDC">
              <w:rPr>
                <w:sz w:val="20"/>
              </w:rPr>
              <w:t>a</w:t>
            </w:r>
            <w:r w:rsidRPr="00150EDC">
              <w:rPr>
                <w:spacing w:val="-5"/>
                <w:sz w:val="20"/>
              </w:rPr>
              <w:t xml:space="preserve"> </w:t>
            </w:r>
            <w:r w:rsidRPr="00150EDC">
              <w:rPr>
                <w:sz w:val="20"/>
              </w:rPr>
              <w:t>mental</w:t>
            </w:r>
            <w:r w:rsidRPr="00150EDC">
              <w:rPr>
                <w:spacing w:val="1"/>
                <w:sz w:val="20"/>
              </w:rPr>
              <w:t xml:space="preserve"> </w:t>
            </w:r>
            <w:r w:rsidRPr="00150EDC">
              <w:rPr>
                <w:spacing w:val="-2"/>
                <w:sz w:val="20"/>
              </w:rPr>
              <w:t>disorder</w:t>
            </w:r>
          </w:p>
        </w:tc>
      </w:tr>
      <w:tr w:rsidR="004569EE" w:rsidRPr="007D3144" w14:paraId="796F0706" w14:textId="77777777">
        <w:trPr>
          <w:trHeight w:val="255"/>
        </w:trPr>
        <w:tc>
          <w:tcPr>
            <w:tcW w:w="6517" w:type="dxa"/>
          </w:tcPr>
          <w:p w14:paraId="0032B987"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3"/>
                <w:sz w:val="20"/>
              </w:rPr>
              <w:t xml:space="preserve"> </w:t>
            </w:r>
            <w:r w:rsidRPr="00150EDC">
              <w:rPr>
                <w:sz w:val="20"/>
              </w:rPr>
              <w:t>Act</w:t>
            </w:r>
            <w:r w:rsidRPr="00150EDC">
              <w:rPr>
                <w:spacing w:val="-6"/>
                <w:sz w:val="20"/>
              </w:rPr>
              <w:t xml:space="preserve"> </w:t>
            </w:r>
            <w:r w:rsidRPr="00150EDC">
              <w:rPr>
                <w:sz w:val="20"/>
              </w:rPr>
              <w:t>2003,</w:t>
            </w:r>
            <w:r w:rsidRPr="00150EDC">
              <w:rPr>
                <w:spacing w:val="-8"/>
                <w:sz w:val="20"/>
              </w:rPr>
              <w:t xml:space="preserve"> </w:t>
            </w:r>
            <w:r w:rsidRPr="00150EDC">
              <w:rPr>
                <w:spacing w:val="-5"/>
                <w:sz w:val="20"/>
              </w:rPr>
              <w:t>s39</w:t>
            </w:r>
          </w:p>
        </w:tc>
        <w:tc>
          <w:tcPr>
            <w:tcW w:w="7427" w:type="dxa"/>
          </w:tcPr>
          <w:p w14:paraId="35041A3B" w14:textId="77777777" w:rsidR="004C7180" w:rsidRPr="00150EDC" w:rsidRDefault="00CF0754">
            <w:pPr>
              <w:pStyle w:val="TableParagraph"/>
              <w:rPr>
                <w:sz w:val="20"/>
              </w:rPr>
            </w:pPr>
            <w:r w:rsidRPr="00150EDC">
              <w:rPr>
                <w:sz w:val="20"/>
              </w:rPr>
              <w:t>Care</w:t>
            </w:r>
            <w:r w:rsidRPr="00150EDC">
              <w:rPr>
                <w:spacing w:val="-7"/>
                <w:sz w:val="20"/>
              </w:rPr>
              <w:t xml:space="preserve"> </w:t>
            </w:r>
            <w:r w:rsidRPr="00150EDC">
              <w:rPr>
                <w:sz w:val="20"/>
              </w:rPr>
              <w:t>workers</w:t>
            </w:r>
            <w:r w:rsidRPr="00150EDC">
              <w:rPr>
                <w:spacing w:val="-5"/>
                <w:sz w:val="20"/>
              </w:rPr>
              <w:t xml:space="preserve"> </w:t>
            </w:r>
            <w:r w:rsidRPr="00150EDC">
              <w:rPr>
                <w:sz w:val="20"/>
              </w:rPr>
              <w:t>causing</w:t>
            </w:r>
            <w:r w:rsidRPr="00150EDC">
              <w:rPr>
                <w:spacing w:val="-6"/>
                <w:sz w:val="20"/>
              </w:rPr>
              <w:t xml:space="preserve"> </w:t>
            </w:r>
            <w:r w:rsidRPr="00150EDC">
              <w:rPr>
                <w:sz w:val="20"/>
              </w:rPr>
              <w:t>or</w:t>
            </w:r>
            <w:r w:rsidRPr="00150EDC">
              <w:rPr>
                <w:spacing w:val="-2"/>
                <w:sz w:val="20"/>
              </w:rPr>
              <w:t xml:space="preserve"> </w:t>
            </w:r>
            <w:r w:rsidRPr="00150EDC">
              <w:rPr>
                <w:sz w:val="20"/>
              </w:rPr>
              <w:t>inciting</w:t>
            </w:r>
            <w:r w:rsidRPr="00150EDC">
              <w:rPr>
                <w:spacing w:val="-6"/>
                <w:sz w:val="20"/>
              </w:rPr>
              <w:t xml:space="preserve"> </w:t>
            </w:r>
            <w:r w:rsidRPr="00150EDC">
              <w:rPr>
                <w:sz w:val="20"/>
              </w:rPr>
              <w:t>sexual</w:t>
            </w:r>
            <w:r w:rsidRPr="00150EDC">
              <w:rPr>
                <w:spacing w:val="-4"/>
                <w:sz w:val="20"/>
              </w:rPr>
              <w:t xml:space="preserve"> </w:t>
            </w:r>
            <w:r w:rsidRPr="00150EDC">
              <w:rPr>
                <w:spacing w:val="-2"/>
                <w:sz w:val="20"/>
              </w:rPr>
              <w:t>activity</w:t>
            </w:r>
          </w:p>
        </w:tc>
      </w:tr>
      <w:tr w:rsidR="004569EE" w:rsidRPr="007D3144" w14:paraId="3D09CA67" w14:textId="77777777">
        <w:trPr>
          <w:trHeight w:val="255"/>
        </w:trPr>
        <w:tc>
          <w:tcPr>
            <w:tcW w:w="6517" w:type="dxa"/>
          </w:tcPr>
          <w:p w14:paraId="336D653F"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3"/>
                <w:sz w:val="20"/>
              </w:rPr>
              <w:t xml:space="preserve"> </w:t>
            </w:r>
            <w:r w:rsidRPr="00150EDC">
              <w:rPr>
                <w:sz w:val="20"/>
              </w:rPr>
              <w:t>Act</w:t>
            </w:r>
            <w:r w:rsidRPr="00150EDC">
              <w:rPr>
                <w:spacing w:val="-6"/>
                <w:sz w:val="20"/>
              </w:rPr>
              <w:t xml:space="preserve"> </w:t>
            </w:r>
            <w:r w:rsidRPr="00150EDC">
              <w:rPr>
                <w:sz w:val="20"/>
              </w:rPr>
              <w:t>2003,</w:t>
            </w:r>
            <w:r w:rsidRPr="00150EDC">
              <w:rPr>
                <w:spacing w:val="-8"/>
                <w:sz w:val="20"/>
              </w:rPr>
              <w:t xml:space="preserve"> </w:t>
            </w:r>
            <w:r w:rsidRPr="00150EDC">
              <w:rPr>
                <w:spacing w:val="-5"/>
                <w:sz w:val="20"/>
              </w:rPr>
              <w:t>s4</w:t>
            </w:r>
          </w:p>
        </w:tc>
        <w:tc>
          <w:tcPr>
            <w:tcW w:w="7427" w:type="dxa"/>
          </w:tcPr>
          <w:p w14:paraId="06D1E34E" w14:textId="77777777" w:rsidR="004C7180" w:rsidRPr="00150EDC" w:rsidRDefault="00CF0754">
            <w:pPr>
              <w:pStyle w:val="TableParagraph"/>
              <w:rPr>
                <w:sz w:val="20"/>
              </w:rPr>
            </w:pPr>
            <w:r w:rsidRPr="00150EDC">
              <w:rPr>
                <w:sz w:val="20"/>
              </w:rPr>
              <w:t>Causing</w:t>
            </w:r>
            <w:r w:rsidRPr="00150EDC">
              <w:rPr>
                <w:spacing w:val="-5"/>
                <w:sz w:val="20"/>
              </w:rPr>
              <w:t xml:space="preserve"> </w:t>
            </w:r>
            <w:r w:rsidRPr="00150EDC">
              <w:rPr>
                <w:sz w:val="20"/>
              </w:rPr>
              <w:t>a</w:t>
            </w:r>
            <w:r w:rsidRPr="00150EDC">
              <w:rPr>
                <w:spacing w:val="-4"/>
                <w:sz w:val="20"/>
              </w:rPr>
              <w:t xml:space="preserve"> </w:t>
            </w:r>
            <w:r w:rsidRPr="00150EDC">
              <w:rPr>
                <w:sz w:val="20"/>
              </w:rPr>
              <w:t>person</w:t>
            </w:r>
            <w:r w:rsidRPr="00150EDC">
              <w:rPr>
                <w:spacing w:val="-5"/>
                <w:sz w:val="20"/>
              </w:rPr>
              <w:t xml:space="preserve"> </w:t>
            </w:r>
            <w:r w:rsidRPr="00150EDC">
              <w:rPr>
                <w:sz w:val="20"/>
              </w:rPr>
              <w:t>to</w:t>
            </w:r>
            <w:r w:rsidRPr="00150EDC">
              <w:rPr>
                <w:spacing w:val="-4"/>
                <w:sz w:val="20"/>
              </w:rPr>
              <w:t xml:space="preserve"> </w:t>
            </w:r>
            <w:r w:rsidRPr="00150EDC">
              <w:rPr>
                <w:sz w:val="20"/>
              </w:rPr>
              <w:t>engage</w:t>
            </w:r>
            <w:r w:rsidRPr="00150EDC">
              <w:rPr>
                <w:spacing w:val="-4"/>
                <w:sz w:val="20"/>
              </w:rPr>
              <w:t xml:space="preserve"> </w:t>
            </w:r>
            <w:r w:rsidRPr="00150EDC">
              <w:rPr>
                <w:sz w:val="20"/>
              </w:rPr>
              <w:t>in</w:t>
            </w:r>
            <w:r w:rsidRPr="00150EDC">
              <w:rPr>
                <w:spacing w:val="-5"/>
                <w:sz w:val="20"/>
              </w:rPr>
              <w:t xml:space="preserve"> </w:t>
            </w:r>
            <w:r w:rsidRPr="00150EDC">
              <w:rPr>
                <w:sz w:val="20"/>
              </w:rPr>
              <w:t>sexual</w:t>
            </w:r>
            <w:r w:rsidRPr="00150EDC">
              <w:rPr>
                <w:spacing w:val="-2"/>
                <w:sz w:val="20"/>
              </w:rPr>
              <w:t xml:space="preserve"> </w:t>
            </w:r>
            <w:r w:rsidRPr="00150EDC">
              <w:rPr>
                <w:sz w:val="20"/>
              </w:rPr>
              <w:t>activity</w:t>
            </w:r>
            <w:r w:rsidRPr="00150EDC">
              <w:rPr>
                <w:spacing w:val="-4"/>
                <w:sz w:val="20"/>
              </w:rPr>
              <w:t xml:space="preserve"> </w:t>
            </w:r>
            <w:r w:rsidRPr="00150EDC">
              <w:rPr>
                <w:sz w:val="20"/>
              </w:rPr>
              <w:t>without</w:t>
            </w:r>
            <w:r w:rsidRPr="00150EDC">
              <w:rPr>
                <w:spacing w:val="-4"/>
                <w:sz w:val="20"/>
              </w:rPr>
              <w:t xml:space="preserve"> </w:t>
            </w:r>
            <w:r w:rsidRPr="00150EDC">
              <w:rPr>
                <w:spacing w:val="-2"/>
                <w:sz w:val="20"/>
              </w:rPr>
              <w:t>consent</w:t>
            </w:r>
          </w:p>
        </w:tc>
      </w:tr>
      <w:tr w:rsidR="004569EE" w:rsidRPr="007D3144" w14:paraId="01786543" w14:textId="77777777">
        <w:trPr>
          <w:trHeight w:val="255"/>
        </w:trPr>
        <w:tc>
          <w:tcPr>
            <w:tcW w:w="6517" w:type="dxa"/>
          </w:tcPr>
          <w:p w14:paraId="3BA6AB8F"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3"/>
                <w:sz w:val="20"/>
              </w:rPr>
              <w:t xml:space="preserve"> </w:t>
            </w:r>
            <w:r w:rsidRPr="00150EDC">
              <w:rPr>
                <w:sz w:val="20"/>
              </w:rPr>
              <w:t>Act</w:t>
            </w:r>
            <w:r w:rsidRPr="00150EDC">
              <w:rPr>
                <w:spacing w:val="-6"/>
                <w:sz w:val="20"/>
              </w:rPr>
              <w:t xml:space="preserve"> </w:t>
            </w:r>
            <w:r w:rsidRPr="00150EDC">
              <w:rPr>
                <w:sz w:val="20"/>
              </w:rPr>
              <w:t>2003,</w:t>
            </w:r>
            <w:r w:rsidRPr="00150EDC">
              <w:rPr>
                <w:spacing w:val="-8"/>
                <w:sz w:val="20"/>
              </w:rPr>
              <w:t xml:space="preserve"> </w:t>
            </w:r>
            <w:r w:rsidRPr="00150EDC">
              <w:rPr>
                <w:spacing w:val="-5"/>
                <w:sz w:val="20"/>
              </w:rPr>
              <w:t>s40</w:t>
            </w:r>
          </w:p>
        </w:tc>
        <w:tc>
          <w:tcPr>
            <w:tcW w:w="7427" w:type="dxa"/>
          </w:tcPr>
          <w:p w14:paraId="04105423" w14:textId="77777777" w:rsidR="004C7180" w:rsidRPr="00150EDC" w:rsidRDefault="00CF0754">
            <w:pPr>
              <w:pStyle w:val="TableParagraph"/>
              <w:rPr>
                <w:sz w:val="20"/>
              </w:rPr>
            </w:pPr>
            <w:r w:rsidRPr="00150EDC">
              <w:rPr>
                <w:sz w:val="20"/>
              </w:rPr>
              <w:t>Care</w:t>
            </w:r>
            <w:r w:rsidRPr="00150EDC">
              <w:rPr>
                <w:spacing w:val="-5"/>
                <w:sz w:val="20"/>
              </w:rPr>
              <w:t xml:space="preserve"> </w:t>
            </w:r>
            <w:r w:rsidRPr="00150EDC">
              <w:rPr>
                <w:sz w:val="20"/>
              </w:rPr>
              <w:t>workers</w:t>
            </w:r>
            <w:r w:rsidRPr="00150EDC">
              <w:rPr>
                <w:spacing w:val="-3"/>
                <w:sz w:val="20"/>
              </w:rPr>
              <w:t xml:space="preserve"> </w:t>
            </w:r>
            <w:r w:rsidRPr="00150EDC">
              <w:rPr>
                <w:sz w:val="20"/>
              </w:rPr>
              <w:t>sexual</w:t>
            </w:r>
            <w:r w:rsidRPr="00150EDC">
              <w:rPr>
                <w:spacing w:val="-3"/>
                <w:sz w:val="20"/>
              </w:rPr>
              <w:t xml:space="preserve"> </w:t>
            </w:r>
            <w:r w:rsidRPr="00150EDC">
              <w:rPr>
                <w:sz w:val="20"/>
              </w:rPr>
              <w:t>activity</w:t>
            </w:r>
            <w:r w:rsidRPr="00150EDC">
              <w:rPr>
                <w:spacing w:val="-3"/>
                <w:sz w:val="20"/>
              </w:rPr>
              <w:t xml:space="preserve"> </w:t>
            </w:r>
            <w:r w:rsidRPr="00150EDC">
              <w:rPr>
                <w:sz w:val="20"/>
              </w:rPr>
              <w:t>in</w:t>
            </w:r>
            <w:r w:rsidRPr="00150EDC">
              <w:rPr>
                <w:spacing w:val="-4"/>
                <w:sz w:val="20"/>
              </w:rPr>
              <w:t xml:space="preserve"> </w:t>
            </w:r>
            <w:r w:rsidRPr="00150EDC">
              <w:rPr>
                <w:sz w:val="20"/>
              </w:rPr>
              <w:t>the</w:t>
            </w:r>
            <w:r w:rsidRPr="00150EDC">
              <w:rPr>
                <w:spacing w:val="-4"/>
                <w:sz w:val="20"/>
              </w:rPr>
              <w:t xml:space="preserve"> </w:t>
            </w:r>
            <w:r w:rsidRPr="00150EDC">
              <w:rPr>
                <w:sz w:val="20"/>
              </w:rPr>
              <w:t>presence</w:t>
            </w:r>
            <w:r w:rsidRPr="00150EDC">
              <w:rPr>
                <w:spacing w:val="-5"/>
                <w:sz w:val="20"/>
              </w:rPr>
              <w:t xml:space="preserve"> </w:t>
            </w:r>
            <w:r w:rsidRPr="00150EDC">
              <w:rPr>
                <w:sz w:val="20"/>
              </w:rPr>
              <w:t>of</w:t>
            </w:r>
            <w:r w:rsidRPr="00150EDC">
              <w:rPr>
                <w:spacing w:val="-4"/>
                <w:sz w:val="20"/>
              </w:rPr>
              <w:t xml:space="preserve"> </w:t>
            </w:r>
            <w:r w:rsidRPr="00150EDC">
              <w:rPr>
                <w:sz w:val="20"/>
              </w:rPr>
              <w:t>a person with</w:t>
            </w:r>
            <w:r w:rsidRPr="00150EDC">
              <w:rPr>
                <w:spacing w:val="-4"/>
                <w:sz w:val="20"/>
              </w:rPr>
              <w:t xml:space="preserve"> </w:t>
            </w:r>
            <w:r w:rsidRPr="00150EDC">
              <w:rPr>
                <w:sz w:val="20"/>
              </w:rPr>
              <w:t>a</w:t>
            </w:r>
            <w:r w:rsidRPr="00150EDC">
              <w:rPr>
                <w:spacing w:val="-4"/>
                <w:sz w:val="20"/>
              </w:rPr>
              <w:t xml:space="preserve"> </w:t>
            </w:r>
            <w:r w:rsidRPr="00150EDC">
              <w:rPr>
                <w:sz w:val="20"/>
              </w:rPr>
              <w:t>mental</w:t>
            </w:r>
            <w:r w:rsidRPr="00150EDC">
              <w:rPr>
                <w:spacing w:val="-3"/>
                <w:sz w:val="20"/>
              </w:rPr>
              <w:t xml:space="preserve"> </w:t>
            </w:r>
            <w:r w:rsidRPr="00150EDC">
              <w:rPr>
                <w:spacing w:val="-2"/>
                <w:sz w:val="20"/>
              </w:rPr>
              <w:t>disorder</w:t>
            </w:r>
          </w:p>
        </w:tc>
      </w:tr>
      <w:tr w:rsidR="004569EE" w:rsidRPr="007D3144" w14:paraId="46E2103B" w14:textId="77777777">
        <w:trPr>
          <w:trHeight w:val="255"/>
        </w:trPr>
        <w:tc>
          <w:tcPr>
            <w:tcW w:w="6517" w:type="dxa"/>
          </w:tcPr>
          <w:p w14:paraId="02D164B4" w14:textId="77777777" w:rsidR="004C7180" w:rsidRPr="00150EDC" w:rsidRDefault="00CF0754">
            <w:pPr>
              <w:pStyle w:val="TableParagraph"/>
              <w:spacing w:before="28"/>
              <w:rPr>
                <w:sz w:val="20"/>
              </w:rPr>
            </w:pPr>
            <w:r w:rsidRPr="00150EDC">
              <w:rPr>
                <w:sz w:val="20"/>
              </w:rPr>
              <w:t>Sexual</w:t>
            </w:r>
            <w:r w:rsidRPr="00150EDC">
              <w:rPr>
                <w:spacing w:val="-6"/>
                <w:sz w:val="20"/>
              </w:rPr>
              <w:t xml:space="preserve"> </w:t>
            </w:r>
            <w:r w:rsidRPr="00150EDC">
              <w:rPr>
                <w:sz w:val="20"/>
              </w:rPr>
              <w:t>Offences</w:t>
            </w:r>
            <w:r w:rsidRPr="00150EDC">
              <w:rPr>
                <w:spacing w:val="-3"/>
                <w:sz w:val="20"/>
              </w:rPr>
              <w:t xml:space="preserve"> </w:t>
            </w:r>
            <w:r w:rsidRPr="00150EDC">
              <w:rPr>
                <w:sz w:val="20"/>
              </w:rPr>
              <w:t>Act</w:t>
            </w:r>
            <w:r w:rsidRPr="00150EDC">
              <w:rPr>
                <w:spacing w:val="-6"/>
                <w:sz w:val="20"/>
              </w:rPr>
              <w:t xml:space="preserve"> </w:t>
            </w:r>
            <w:r w:rsidRPr="00150EDC">
              <w:rPr>
                <w:sz w:val="20"/>
              </w:rPr>
              <w:t>2003,</w:t>
            </w:r>
            <w:r w:rsidRPr="00150EDC">
              <w:rPr>
                <w:spacing w:val="-8"/>
                <w:sz w:val="20"/>
              </w:rPr>
              <w:t xml:space="preserve"> </w:t>
            </w:r>
            <w:r w:rsidRPr="00150EDC">
              <w:rPr>
                <w:spacing w:val="-5"/>
                <w:sz w:val="20"/>
              </w:rPr>
              <w:t>s41</w:t>
            </w:r>
          </w:p>
        </w:tc>
        <w:tc>
          <w:tcPr>
            <w:tcW w:w="7427" w:type="dxa"/>
          </w:tcPr>
          <w:p w14:paraId="36110B0F" w14:textId="77777777" w:rsidR="004C7180" w:rsidRPr="00150EDC" w:rsidRDefault="00CF0754">
            <w:pPr>
              <w:pStyle w:val="TableParagraph"/>
              <w:spacing w:before="28"/>
              <w:rPr>
                <w:sz w:val="20"/>
              </w:rPr>
            </w:pPr>
            <w:r w:rsidRPr="00150EDC">
              <w:rPr>
                <w:sz w:val="20"/>
              </w:rPr>
              <w:t>Care</w:t>
            </w:r>
            <w:r w:rsidRPr="00150EDC">
              <w:rPr>
                <w:spacing w:val="-6"/>
                <w:sz w:val="20"/>
              </w:rPr>
              <w:t xml:space="preserve"> </w:t>
            </w:r>
            <w:r w:rsidRPr="00150EDC">
              <w:rPr>
                <w:sz w:val="20"/>
              </w:rPr>
              <w:t>workers</w:t>
            </w:r>
            <w:r w:rsidRPr="00150EDC">
              <w:rPr>
                <w:spacing w:val="-4"/>
                <w:sz w:val="20"/>
              </w:rPr>
              <w:t xml:space="preserve"> </w:t>
            </w:r>
            <w:r w:rsidRPr="00150EDC">
              <w:rPr>
                <w:sz w:val="20"/>
              </w:rPr>
              <w:t>causing</w:t>
            </w:r>
            <w:r w:rsidRPr="00150EDC">
              <w:rPr>
                <w:spacing w:val="-5"/>
                <w:sz w:val="20"/>
              </w:rPr>
              <w:t xml:space="preserve"> </w:t>
            </w:r>
            <w:r w:rsidRPr="00150EDC">
              <w:rPr>
                <w:sz w:val="20"/>
              </w:rPr>
              <w:t>a</w:t>
            </w:r>
            <w:r w:rsidRPr="00150EDC">
              <w:rPr>
                <w:spacing w:val="-1"/>
                <w:sz w:val="20"/>
              </w:rPr>
              <w:t xml:space="preserve"> </w:t>
            </w:r>
            <w:r w:rsidRPr="00150EDC">
              <w:rPr>
                <w:sz w:val="20"/>
              </w:rPr>
              <w:t>person</w:t>
            </w:r>
            <w:r w:rsidRPr="00150EDC">
              <w:rPr>
                <w:spacing w:val="-5"/>
                <w:sz w:val="20"/>
              </w:rPr>
              <w:t xml:space="preserve"> </w:t>
            </w:r>
            <w:r w:rsidRPr="00150EDC">
              <w:rPr>
                <w:sz w:val="20"/>
              </w:rPr>
              <w:t>with</w:t>
            </w:r>
            <w:r w:rsidRPr="00150EDC">
              <w:rPr>
                <w:spacing w:val="-5"/>
                <w:sz w:val="20"/>
              </w:rPr>
              <w:t xml:space="preserve"> </w:t>
            </w:r>
            <w:r w:rsidRPr="00150EDC">
              <w:rPr>
                <w:sz w:val="20"/>
              </w:rPr>
              <w:t>a</w:t>
            </w:r>
            <w:r w:rsidRPr="00150EDC">
              <w:rPr>
                <w:spacing w:val="-2"/>
                <w:sz w:val="20"/>
              </w:rPr>
              <w:t xml:space="preserve"> </w:t>
            </w:r>
            <w:r w:rsidRPr="00150EDC">
              <w:rPr>
                <w:sz w:val="20"/>
              </w:rPr>
              <w:t>mental</w:t>
            </w:r>
            <w:r w:rsidRPr="00150EDC">
              <w:rPr>
                <w:spacing w:val="1"/>
                <w:sz w:val="20"/>
              </w:rPr>
              <w:t xml:space="preserve"> </w:t>
            </w:r>
            <w:r w:rsidRPr="00150EDC">
              <w:rPr>
                <w:sz w:val="20"/>
              </w:rPr>
              <w:t>disorder</w:t>
            </w:r>
            <w:r w:rsidRPr="00150EDC">
              <w:rPr>
                <w:spacing w:val="-5"/>
                <w:sz w:val="20"/>
              </w:rPr>
              <w:t xml:space="preserve"> </w:t>
            </w:r>
            <w:r w:rsidRPr="00150EDC">
              <w:rPr>
                <w:sz w:val="20"/>
              </w:rPr>
              <w:t>to</w:t>
            </w:r>
            <w:r w:rsidRPr="00150EDC">
              <w:rPr>
                <w:spacing w:val="3"/>
                <w:sz w:val="20"/>
              </w:rPr>
              <w:t xml:space="preserve"> </w:t>
            </w:r>
            <w:r w:rsidRPr="00150EDC">
              <w:rPr>
                <w:sz w:val="20"/>
              </w:rPr>
              <w:t>watch</w:t>
            </w:r>
            <w:r w:rsidRPr="00150EDC">
              <w:rPr>
                <w:spacing w:val="-5"/>
                <w:sz w:val="20"/>
              </w:rPr>
              <w:t xml:space="preserve"> </w:t>
            </w:r>
            <w:r w:rsidRPr="00150EDC">
              <w:rPr>
                <w:sz w:val="20"/>
              </w:rPr>
              <w:t>a</w:t>
            </w:r>
            <w:r w:rsidRPr="00150EDC">
              <w:rPr>
                <w:spacing w:val="-5"/>
                <w:sz w:val="20"/>
              </w:rPr>
              <w:t xml:space="preserve"> </w:t>
            </w:r>
            <w:r w:rsidRPr="00150EDC">
              <w:rPr>
                <w:sz w:val="20"/>
              </w:rPr>
              <w:t>sexual</w:t>
            </w:r>
            <w:r w:rsidRPr="00150EDC">
              <w:rPr>
                <w:spacing w:val="-3"/>
                <w:sz w:val="20"/>
              </w:rPr>
              <w:t xml:space="preserve"> </w:t>
            </w:r>
            <w:r w:rsidRPr="00150EDC">
              <w:rPr>
                <w:spacing w:val="-5"/>
                <w:sz w:val="20"/>
              </w:rPr>
              <w:t>act</w:t>
            </w:r>
          </w:p>
        </w:tc>
      </w:tr>
      <w:tr w:rsidR="004569EE" w:rsidRPr="007D3144" w14:paraId="2EB60FC3" w14:textId="77777777">
        <w:trPr>
          <w:trHeight w:val="255"/>
        </w:trPr>
        <w:tc>
          <w:tcPr>
            <w:tcW w:w="6517" w:type="dxa"/>
          </w:tcPr>
          <w:p w14:paraId="6995877D"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3"/>
                <w:sz w:val="20"/>
              </w:rPr>
              <w:t xml:space="preserve"> </w:t>
            </w:r>
            <w:r w:rsidRPr="00150EDC">
              <w:rPr>
                <w:sz w:val="20"/>
              </w:rPr>
              <w:t>Act</w:t>
            </w:r>
            <w:r w:rsidRPr="00150EDC">
              <w:rPr>
                <w:spacing w:val="-6"/>
                <w:sz w:val="20"/>
              </w:rPr>
              <w:t xml:space="preserve"> </w:t>
            </w:r>
            <w:r w:rsidRPr="00150EDC">
              <w:rPr>
                <w:sz w:val="20"/>
              </w:rPr>
              <w:t>2003,</w:t>
            </w:r>
            <w:r w:rsidRPr="00150EDC">
              <w:rPr>
                <w:spacing w:val="-8"/>
                <w:sz w:val="20"/>
              </w:rPr>
              <w:t xml:space="preserve"> </w:t>
            </w:r>
            <w:r w:rsidRPr="00150EDC">
              <w:rPr>
                <w:spacing w:val="-5"/>
                <w:sz w:val="20"/>
              </w:rPr>
              <w:t>s47</w:t>
            </w:r>
          </w:p>
        </w:tc>
        <w:tc>
          <w:tcPr>
            <w:tcW w:w="7427" w:type="dxa"/>
          </w:tcPr>
          <w:p w14:paraId="287BC15F" w14:textId="77777777" w:rsidR="004C7180" w:rsidRPr="00150EDC" w:rsidRDefault="00CF0754">
            <w:pPr>
              <w:pStyle w:val="TableParagraph"/>
              <w:rPr>
                <w:sz w:val="20"/>
              </w:rPr>
            </w:pPr>
            <w:r w:rsidRPr="00150EDC">
              <w:rPr>
                <w:sz w:val="20"/>
              </w:rPr>
              <w:t>Paying</w:t>
            </w:r>
            <w:r w:rsidRPr="00150EDC">
              <w:rPr>
                <w:spacing w:val="-5"/>
                <w:sz w:val="20"/>
              </w:rPr>
              <w:t xml:space="preserve"> </w:t>
            </w:r>
            <w:r w:rsidRPr="00150EDC">
              <w:rPr>
                <w:sz w:val="20"/>
              </w:rPr>
              <w:t>for</w:t>
            </w:r>
            <w:r w:rsidRPr="00150EDC">
              <w:rPr>
                <w:spacing w:val="-5"/>
                <w:sz w:val="20"/>
              </w:rPr>
              <w:t xml:space="preserve"> </w:t>
            </w:r>
            <w:r w:rsidRPr="00150EDC">
              <w:rPr>
                <w:sz w:val="20"/>
              </w:rPr>
              <w:t>sexual</w:t>
            </w:r>
            <w:r w:rsidRPr="00150EDC">
              <w:rPr>
                <w:spacing w:val="-3"/>
                <w:sz w:val="20"/>
              </w:rPr>
              <w:t xml:space="preserve"> </w:t>
            </w:r>
            <w:r w:rsidRPr="00150EDC">
              <w:rPr>
                <w:sz w:val="20"/>
              </w:rPr>
              <w:t>services</w:t>
            </w:r>
            <w:r w:rsidRPr="00150EDC">
              <w:rPr>
                <w:spacing w:val="-4"/>
                <w:sz w:val="20"/>
              </w:rPr>
              <w:t xml:space="preserve"> </w:t>
            </w:r>
            <w:r w:rsidRPr="00150EDC">
              <w:rPr>
                <w:sz w:val="20"/>
              </w:rPr>
              <w:t>of</w:t>
            </w:r>
            <w:r w:rsidRPr="00150EDC">
              <w:rPr>
                <w:spacing w:val="-4"/>
                <w:sz w:val="20"/>
              </w:rPr>
              <w:t xml:space="preserve"> </w:t>
            </w:r>
            <w:r w:rsidRPr="00150EDC">
              <w:rPr>
                <w:sz w:val="20"/>
              </w:rPr>
              <w:t xml:space="preserve">a </w:t>
            </w:r>
            <w:r w:rsidRPr="00150EDC">
              <w:rPr>
                <w:spacing w:val="-4"/>
                <w:sz w:val="20"/>
              </w:rPr>
              <w:t>child</w:t>
            </w:r>
          </w:p>
        </w:tc>
      </w:tr>
      <w:tr w:rsidR="004569EE" w:rsidRPr="007D3144" w14:paraId="046FBC0C" w14:textId="77777777">
        <w:trPr>
          <w:trHeight w:val="255"/>
        </w:trPr>
        <w:tc>
          <w:tcPr>
            <w:tcW w:w="6517" w:type="dxa"/>
          </w:tcPr>
          <w:p w14:paraId="198772CD"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3"/>
                <w:sz w:val="20"/>
              </w:rPr>
              <w:t xml:space="preserve"> </w:t>
            </w:r>
            <w:r w:rsidRPr="00150EDC">
              <w:rPr>
                <w:sz w:val="20"/>
              </w:rPr>
              <w:t>Act</w:t>
            </w:r>
            <w:r w:rsidRPr="00150EDC">
              <w:rPr>
                <w:spacing w:val="-6"/>
                <w:sz w:val="20"/>
              </w:rPr>
              <w:t xml:space="preserve"> </w:t>
            </w:r>
            <w:r w:rsidRPr="00150EDC">
              <w:rPr>
                <w:sz w:val="20"/>
              </w:rPr>
              <w:t>2003,</w:t>
            </w:r>
            <w:r w:rsidRPr="00150EDC">
              <w:rPr>
                <w:spacing w:val="-8"/>
                <w:sz w:val="20"/>
              </w:rPr>
              <w:t xml:space="preserve"> </w:t>
            </w:r>
            <w:r w:rsidRPr="00150EDC">
              <w:rPr>
                <w:spacing w:val="-5"/>
                <w:sz w:val="20"/>
              </w:rPr>
              <w:t>s48</w:t>
            </w:r>
          </w:p>
        </w:tc>
        <w:tc>
          <w:tcPr>
            <w:tcW w:w="7427" w:type="dxa"/>
          </w:tcPr>
          <w:p w14:paraId="7C4BD678" w14:textId="77777777" w:rsidR="004C7180" w:rsidRPr="00150EDC" w:rsidRDefault="00CF0754">
            <w:pPr>
              <w:pStyle w:val="TableParagraph"/>
              <w:rPr>
                <w:sz w:val="20"/>
              </w:rPr>
            </w:pPr>
            <w:r w:rsidRPr="00150EDC">
              <w:rPr>
                <w:sz w:val="20"/>
              </w:rPr>
              <w:t>Causing</w:t>
            </w:r>
            <w:r w:rsidRPr="00150EDC">
              <w:rPr>
                <w:spacing w:val="-8"/>
                <w:sz w:val="20"/>
              </w:rPr>
              <w:t xml:space="preserve"> </w:t>
            </w:r>
            <w:r w:rsidRPr="00150EDC">
              <w:rPr>
                <w:sz w:val="20"/>
              </w:rPr>
              <w:t>or</w:t>
            </w:r>
            <w:r w:rsidRPr="00150EDC">
              <w:rPr>
                <w:spacing w:val="-3"/>
                <w:sz w:val="20"/>
              </w:rPr>
              <w:t xml:space="preserve"> </w:t>
            </w:r>
            <w:r w:rsidRPr="00150EDC">
              <w:rPr>
                <w:sz w:val="20"/>
              </w:rPr>
              <w:t>inciting</w:t>
            </w:r>
            <w:r w:rsidRPr="00150EDC">
              <w:rPr>
                <w:spacing w:val="-7"/>
                <w:sz w:val="20"/>
              </w:rPr>
              <w:t xml:space="preserve"> </w:t>
            </w:r>
            <w:r w:rsidRPr="00150EDC">
              <w:rPr>
                <w:sz w:val="20"/>
              </w:rPr>
              <w:t>child</w:t>
            </w:r>
            <w:r w:rsidRPr="00150EDC">
              <w:rPr>
                <w:spacing w:val="-3"/>
                <w:sz w:val="20"/>
              </w:rPr>
              <w:t xml:space="preserve"> </w:t>
            </w:r>
            <w:r w:rsidRPr="00150EDC">
              <w:rPr>
                <w:sz w:val="20"/>
              </w:rPr>
              <w:t>prostitution</w:t>
            </w:r>
            <w:r w:rsidRPr="00150EDC">
              <w:rPr>
                <w:spacing w:val="-3"/>
                <w:sz w:val="20"/>
              </w:rPr>
              <w:t xml:space="preserve"> </w:t>
            </w:r>
            <w:r w:rsidRPr="00150EDC">
              <w:rPr>
                <w:sz w:val="20"/>
              </w:rPr>
              <w:t>or</w:t>
            </w:r>
            <w:r w:rsidRPr="00150EDC">
              <w:rPr>
                <w:spacing w:val="-7"/>
                <w:sz w:val="20"/>
              </w:rPr>
              <w:t xml:space="preserve"> </w:t>
            </w:r>
            <w:r w:rsidRPr="00150EDC">
              <w:rPr>
                <w:spacing w:val="-2"/>
                <w:sz w:val="20"/>
              </w:rPr>
              <w:t>pornography</w:t>
            </w:r>
          </w:p>
        </w:tc>
      </w:tr>
      <w:tr w:rsidR="004569EE" w:rsidRPr="007D3144" w14:paraId="39DF0C8F" w14:textId="77777777">
        <w:trPr>
          <w:trHeight w:val="255"/>
        </w:trPr>
        <w:tc>
          <w:tcPr>
            <w:tcW w:w="6517" w:type="dxa"/>
          </w:tcPr>
          <w:p w14:paraId="4D8DD4FA"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3"/>
                <w:sz w:val="20"/>
              </w:rPr>
              <w:t xml:space="preserve"> </w:t>
            </w:r>
            <w:r w:rsidRPr="00150EDC">
              <w:rPr>
                <w:sz w:val="20"/>
              </w:rPr>
              <w:t>Act</w:t>
            </w:r>
            <w:r w:rsidRPr="00150EDC">
              <w:rPr>
                <w:spacing w:val="-5"/>
                <w:sz w:val="20"/>
              </w:rPr>
              <w:t xml:space="preserve"> </w:t>
            </w:r>
            <w:r w:rsidRPr="00150EDC">
              <w:rPr>
                <w:sz w:val="20"/>
              </w:rPr>
              <w:t>2003,</w:t>
            </w:r>
            <w:r w:rsidRPr="00150EDC">
              <w:rPr>
                <w:spacing w:val="-8"/>
                <w:sz w:val="20"/>
              </w:rPr>
              <w:t xml:space="preserve"> </w:t>
            </w:r>
            <w:r w:rsidRPr="00150EDC">
              <w:rPr>
                <w:spacing w:val="-5"/>
                <w:sz w:val="20"/>
              </w:rPr>
              <w:t>s49</w:t>
            </w:r>
          </w:p>
        </w:tc>
        <w:tc>
          <w:tcPr>
            <w:tcW w:w="7427" w:type="dxa"/>
          </w:tcPr>
          <w:p w14:paraId="553052A3" w14:textId="77777777" w:rsidR="004C7180" w:rsidRPr="00150EDC" w:rsidRDefault="00CF0754">
            <w:pPr>
              <w:pStyle w:val="TableParagraph"/>
              <w:rPr>
                <w:sz w:val="20"/>
              </w:rPr>
            </w:pPr>
            <w:r w:rsidRPr="00150EDC">
              <w:rPr>
                <w:sz w:val="20"/>
              </w:rPr>
              <w:t>Controlling</w:t>
            </w:r>
            <w:r w:rsidRPr="00150EDC">
              <w:rPr>
                <w:spacing w:val="-1"/>
                <w:sz w:val="20"/>
              </w:rPr>
              <w:t xml:space="preserve"> </w:t>
            </w:r>
            <w:r w:rsidRPr="00150EDC">
              <w:rPr>
                <w:sz w:val="20"/>
              </w:rPr>
              <w:t>a</w:t>
            </w:r>
            <w:r w:rsidRPr="00150EDC">
              <w:rPr>
                <w:spacing w:val="-5"/>
                <w:sz w:val="20"/>
              </w:rPr>
              <w:t xml:space="preserve"> </w:t>
            </w:r>
            <w:r w:rsidRPr="00150EDC">
              <w:rPr>
                <w:sz w:val="20"/>
              </w:rPr>
              <w:t>child</w:t>
            </w:r>
            <w:r w:rsidRPr="00150EDC">
              <w:rPr>
                <w:spacing w:val="-6"/>
                <w:sz w:val="20"/>
              </w:rPr>
              <w:t xml:space="preserve"> </w:t>
            </w:r>
            <w:r w:rsidRPr="00150EDC">
              <w:rPr>
                <w:sz w:val="20"/>
              </w:rPr>
              <w:t>prostitute</w:t>
            </w:r>
            <w:r w:rsidRPr="00150EDC">
              <w:rPr>
                <w:spacing w:val="-5"/>
                <w:sz w:val="20"/>
              </w:rPr>
              <w:t xml:space="preserve"> </w:t>
            </w:r>
            <w:r w:rsidRPr="00150EDC">
              <w:rPr>
                <w:sz w:val="20"/>
              </w:rPr>
              <w:t>or</w:t>
            </w:r>
            <w:r w:rsidRPr="00150EDC">
              <w:rPr>
                <w:spacing w:val="-2"/>
                <w:sz w:val="20"/>
              </w:rPr>
              <w:t xml:space="preserve"> </w:t>
            </w:r>
            <w:r w:rsidRPr="00150EDC">
              <w:rPr>
                <w:sz w:val="20"/>
              </w:rPr>
              <w:t>a</w:t>
            </w:r>
            <w:r w:rsidRPr="00150EDC">
              <w:rPr>
                <w:spacing w:val="-5"/>
                <w:sz w:val="20"/>
              </w:rPr>
              <w:t xml:space="preserve"> </w:t>
            </w:r>
            <w:r w:rsidRPr="00150EDC">
              <w:rPr>
                <w:sz w:val="20"/>
              </w:rPr>
              <w:t>child</w:t>
            </w:r>
            <w:r w:rsidRPr="00150EDC">
              <w:rPr>
                <w:spacing w:val="-5"/>
                <w:sz w:val="20"/>
              </w:rPr>
              <w:t xml:space="preserve"> </w:t>
            </w:r>
            <w:r w:rsidRPr="00150EDC">
              <w:rPr>
                <w:sz w:val="20"/>
              </w:rPr>
              <w:t>involved</w:t>
            </w:r>
            <w:r w:rsidRPr="00150EDC">
              <w:rPr>
                <w:spacing w:val="-6"/>
                <w:sz w:val="20"/>
              </w:rPr>
              <w:t xml:space="preserve"> </w:t>
            </w:r>
            <w:r w:rsidRPr="00150EDC">
              <w:rPr>
                <w:sz w:val="20"/>
              </w:rPr>
              <w:t>in</w:t>
            </w:r>
            <w:r w:rsidRPr="00150EDC">
              <w:rPr>
                <w:spacing w:val="-5"/>
                <w:sz w:val="20"/>
              </w:rPr>
              <w:t xml:space="preserve"> </w:t>
            </w:r>
            <w:r w:rsidRPr="00150EDC">
              <w:rPr>
                <w:spacing w:val="-2"/>
                <w:sz w:val="20"/>
              </w:rPr>
              <w:t>pornography</w:t>
            </w:r>
          </w:p>
        </w:tc>
      </w:tr>
      <w:tr w:rsidR="004569EE" w:rsidRPr="007D3144" w14:paraId="2D82B4B6" w14:textId="77777777">
        <w:trPr>
          <w:trHeight w:val="255"/>
        </w:trPr>
        <w:tc>
          <w:tcPr>
            <w:tcW w:w="6517" w:type="dxa"/>
          </w:tcPr>
          <w:p w14:paraId="3CF19F85"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3"/>
                <w:sz w:val="20"/>
              </w:rPr>
              <w:t xml:space="preserve"> </w:t>
            </w:r>
            <w:r w:rsidRPr="00150EDC">
              <w:rPr>
                <w:sz w:val="20"/>
              </w:rPr>
              <w:t>Act</w:t>
            </w:r>
            <w:r w:rsidRPr="00150EDC">
              <w:rPr>
                <w:spacing w:val="-6"/>
                <w:sz w:val="20"/>
              </w:rPr>
              <w:t xml:space="preserve"> </w:t>
            </w:r>
            <w:r w:rsidRPr="00150EDC">
              <w:rPr>
                <w:sz w:val="20"/>
              </w:rPr>
              <w:t>2003,</w:t>
            </w:r>
            <w:r w:rsidRPr="00150EDC">
              <w:rPr>
                <w:spacing w:val="-8"/>
                <w:sz w:val="20"/>
              </w:rPr>
              <w:t xml:space="preserve"> </w:t>
            </w:r>
            <w:r w:rsidRPr="00150EDC">
              <w:rPr>
                <w:spacing w:val="-5"/>
                <w:sz w:val="20"/>
              </w:rPr>
              <w:t>s5</w:t>
            </w:r>
          </w:p>
        </w:tc>
        <w:tc>
          <w:tcPr>
            <w:tcW w:w="7427" w:type="dxa"/>
          </w:tcPr>
          <w:p w14:paraId="1C81756E" w14:textId="77777777" w:rsidR="004C7180" w:rsidRPr="00150EDC" w:rsidRDefault="00CF0754">
            <w:pPr>
              <w:pStyle w:val="TableParagraph"/>
              <w:rPr>
                <w:sz w:val="20"/>
              </w:rPr>
            </w:pPr>
            <w:r w:rsidRPr="00150EDC">
              <w:rPr>
                <w:sz w:val="20"/>
              </w:rPr>
              <w:t>Rape</w:t>
            </w:r>
            <w:r w:rsidRPr="00150EDC">
              <w:rPr>
                <w:spacing w:val="-5"/>
                <w:sz w:val="20"/>
              </w:rPr>
              <w:t xml:space="preserve"> </w:t>
            </w:r>
            <w:r w:rsidRPr="00150EDC">
              <w:rPr>
                <w:sz w:val="20"/>
              </w:rPr>
              <w:t>of</w:t>
            </w:r>
            <w:r w:rsidRPr="00150EDC">
              <w:rPr>
                <w:spacing w:val="-5"/>
                <w:sz w:val="20"/>
              </w:rPr>
              <w:t xml:space="preserve"> </w:t>
            </w:r>
            <w:r w:rsidRPr="00150EDC">
              <w:rPr>
                <w:sz w:val="20"/>
              </w:rPr>
              <w:t>a child</w:t>
            </w:r>
            <w:r w:rsidRPr="00150EDC">
              <w:rPr>
                <w:spacing w:val="-5"/>
                <w:sz w:val="20"/>
              </w:rPr>
              <w:t xml:space="preserve"> </w:t>
            </w:r>
            <w:r w:rsidRPr="00150EDC">
              <w:rPr>
                <w:sz w:val="20"/>
              </w:rPr>
              <w:t>under</w:t>
            </w:r>
            <w:r w:rsidRPr="00150EDC">
              <w:rPr>
                <w:spacing w:val="-1"/>
                <w:sz w:val="20"/>
              </w:rPr>
              <w:t xml:space="preserve"> </w:t>
            </w:r>
            <w:r w:rsidRPr="00150EDC">
              <w:rPr>
                <w:spacing w:val="-5"/>
                <w:sz w:val="20"/>
              </w:rPr>
              <w:t>13</w:t>
            </w:r>
          </w:p>
        </w:tc>
      </w:tr>
      <w:tr w:rsidR="004569EE" w:rsidRPr="007D3144" w14:paraId="3BE00959" w14:textId="77777777">
        <w:trPr>
          <w:trHeight w:val="255"/>
        </w:trPr>
        <w:tc>
          <w:tcPr>
            <w:tcW w:w="6517" w:type="dxa"/>
          </w:tcPr>
          <w:p w14:paraId="0A5B62FE"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3"/>
                <w:sz w:val="20"/>
              </w:rPr>
              <w:t xml:space="preserve"> </w:t>
            </w:r>
            <w:r w:rsidRPr="00150EDC">
              <w:rPr>
                <w:sz w:val="20"/>
              </w:rPr>
              <w:t>Act</w:t>
            </w:r>
            <w:r w:rsidRPr="00150EDC">
              <w:rPr>
                <w:spacing w:val="-6"/>
                <w:sz w:val="20"/>
              </w:rPr>
              <w:t xml:space="preserve"> </w:t>
            </w:r>
            <w:r w:rsidRPr="00150EDC">
              <w:rPr>
                <w:sz w:val="20"/>
              </w:rPr>
              <w:t>2003,</w:t>
            </w:r>
            <w:r w:rsidRPr="00150EDC">
              <w:rPr>
                <w:spacing w:val="-8"/>
                <w:sz w:val="20"/>
              </w:rPr>
              <w:t xml:space="preserve"> </w:t>
            </w:r>
            <w:r w:rsidRPr="00150EDC">
              <w:rPr>
                <w:spacing w:val="-5"/>
                <w:sz w:val="20"/>
              </w:rPr>
              <w:t>s50</w:t>
            </w:r>
          </w:p>
        </w:tc>
        <w:tc>
          <w:tcPr>
            <w:tcW w:w="7427" w:type="dxa"/>
          </w:tcPr>
          <w:p w14:paraId="6EF15894" w14:textId="77777777" w:rsidR="004C7180" w:rsidRPr="00150EDC" w:rsidRDefault="00CF0754">
            <w:pPr>
              <w:pStyle w:val="TableParagraph"/>
              <w:rPr>
                <w:sz w:val="20"/>
              </w:rPr>
            </w:pPr>
            <w:r w:rsidRPr="00150EDC">
              <w:rPr>
                <w:sz w:val="20"/>
              </w:rPr>
              <w:t>Arranging</w:t>
            </w:r>
            <w:r w:rsidRPr="00150EDC">
              <w:rPr>
                <w:spacing w:val="-4"/>
                <w:sz w:val="20"/>
              </w:rPr>
              <w:t xml:space="preserve"> </w:t>
            </w:r>
            <w:r w:rsidRPr="00150EDC">
              <w:rPr>
                <w:sz w:val="20"/>
              </w:rPr>
              <w:t>or</w:t>
            </w:r>
            <w:r w:rsidRPr="00150EDC">
              <w:rPr>
                <w:spacing w:val="-7"/>
                <w:sz w:val="20"/>
              </w:rPr>
              <w:t xml:space="preserve"> </w:t>
            </w:r>
            <w:r w:rsidRPr="00150EDC">
              <w:rPr>
                <w:sz w:val="20"/>
              </w:rPr>
              <w:t>facilitating</w:t>
            </w:r>
            <w:r w:rsidRPr="00150EDC">
              <w:rPr>
                <w:spacing w:val="-8"/>
                <w:sz w:val="20"/>
              </w:rPr>
              <w:t xml:space="preserve"> </w:t>
            </w:r>
            <w:r w:rsidRPr="00150EDC">
              <w:rPr>
                <w:sz w:val="20"/>
              </w:rPr>
              <w:t>child</w:t>
            </w:r>
            <w:r w:rsidRPr="00150EDC">
              <w:rPr>
                <w:spacing w:val="-3"/>
                <w:sz w:val="20"/>
              </w:rPr>
              <w:t xml:space="preserve"> </w:t>
            </w:r>
            <w:r w:rsidRPr="00150EDC">
              <w:rPr>
                <w:sz w:val="20"/>
              </w:rPr>
              <w:t>prostitution</w:t>
            </w:r>
            <w:r w:rsidRPr="00150EDC">
              <w:rPr>
                <w:spacing w:val="-4"/>
                <w:sz w:val="20"/>
              </w:rPr>
              <w:t xml:space="preserve"> </w:t>
            </w:r>
            <w:r w:rsidRPr="00150EDC">
              <w:rPr>
                <w:sz w:val="20"/>
              </w:rPr>
              <w:t>or</w:t>
            </w:r>
            <w:r w:rsidRPr="00150EDC">
              <w:rPr>
                <w:spacing w:val="-7"/>
                <w:sz w:val="20"/>
              </w:rPr>
              <w:t xml:space="preserve"> </w:t>
            </w:r>
            <w:r w:rsidRPr="00150EDC">
              <w:rPr>
                <w:spacing w:val="-2"/>
                <w:sz w:val="20"/>
              </w:rPr>
              <w:t>pornography</w:t>
            </w:r>
          </w:p>
        </w:tc>
      </w:tr>
      <w:tr w:rsidR="004569EE" w:rsidRPr="007D3144" w14:paraId="0D0675E2" w14:textId="77777777">
        <w:trPr>
          <w:trHeight w:val="255"/>
        </w:trPr>
        <w:tc>
          <w:tcPr>
            <w:tcW w:w="6517" w:type="dxa"/>
          </w:tcPr>
          <w:p w14:paraId="1CD35E3F"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3"/>
                <w:sz w:val="20"/>
              </w:rPr>
              <w:t xml:space="preserve"> </w:t>
            </w:r>
            <w:r w:rsidRPr="00150EDC">
              <w:rPr>
                <w:sz w:val="20"/>
              </w:rPr>
              <w:t>Act</w:t>
            </w:r>
            <w:r w:rsidRPr="00150EDC">
              <w:rPr>
                <w:spacing w:val="-6"/>
                <w:sz w:val="20"/>
              </w:rPr>
              <w:t xml:space="preserve"> </w:t>
            </w:r>
            <w:r w:rsidRPr="00150EDC">
              <w:rPr>
                <w:sz w:val="20"/>
              </w:rPr>
              <w:t>2003,</w:t>
            </w:r>
            <w:r w:rsidRPr="00150EDC">
              <w:rPr>
                <w:spacing w:val="-8"/>
                <w:sz w:val="20"/>
              </w:rPr>
              <w:t xml:space="preserve"> </w:t>
            </w:r>
            <w:r w:rsidRPr="00150EDC">
              <w:rPr>
                <w:spacing w:val="-5"/>
                <w:sz w:val="20"/>
              </w:rPr>
              <w:t>s52</w:t>
            </w:r>
          </w:p>
        </w:tc>
        <w:tc>
          <w:tcPr>
            <w:tcW w:w="7427" w:type="dxa"/>
          </w:tcPr>
          <w:p w14:paraId="73D3523A" w14:textId="77777777" w:rsidR="004C7180" w:rsidRPr="00150EDC" w:rsidRDefault="00CF0754">
            <w:pPr>
              <w:pStyle w:val="TableParagraph"/>
              <w:rPr>
                <w:sz w:val="20"/>
              </w:rPr>
            </w:pPr>
            <w:r w:rsidRPr="00150EDC">
              <w:rPr>
                <w:sz w:val="20"/>
              </w:rPr>
              <w:t>Causing</w:t>
            </w:r>
            <w:r w:rsidRPr="00150EDC">
              <w:rPr>
                <w:spacing w:val="-7"/>
                <w:sz w:val="20"/>
              </w:rPr>
              <w:t xml:space="preserve"> </w:t>
            </w:r>
            <w:r w:rsidRPr="00150EDC">
              <w:rPr>
                <w:sz w:val="20"/>
              </w:rPr>
              <w:t>or</w:t>
            </w:r>
            <w:r w:rsidRPr="00150EDC">
              <w:rPr>
                <w:spacing w:val="-2"/>
                <w:sz w:val="20"/>
              </w:rPr>
              <w:t xml:space="preserve"> </w:t>
            </w:r>
            <w:r w:rsidRPr="00150EDC">
              <w:rPr>
                <w:sz w:val="20"/>
              </w:rPr>
              <w:t>inciting</w:t>
            </w:r>
            <w:r w:rsidRPr="00150EDC">
              <w:rPr>
                <w:spacing w:val="-7"/>
                <w:sz w:val="20"/>
              </w:rPr>
              <w:t xml:space="preserve"> </w:t>
            </w:r>
            <w:r w:rsidRPr="00150EDC">
              <w:rPr>
                <w:sz w:val="20"/>
              </w:rPr>
              <w:t>prostitution</w:t>
            </w:r>
            <w:r w:rsidRPr="00150EDC">
              <w:rPr>
                <w:spacing w:val="-6"/>
                <w:sz w:val="20"/>
              </w:rPr>
              <w:t xml:space="preserve"> </w:t>
            </w:r>
            <w:r w:rsidRPr="00150EDC">
              <w:rPr>
                <w:sz w:val="20"/>
              </w:rPr>
              <w:t>for</w:t>
            </w:r>
            <w:r w:rsidRPr="00150EDC">
              <w:rPr>
                <w:spacing w:val="-7"/>
                <w:sz w:val="20"/>
              </w:rPr>
              <w:t xml:space="preserve"> </w:t>
            </w:r>
            <w:r w:rsidRPr="00150EDC">
              <w:rPr>
                <w:spacing w:val="-4"/>
                <w:sz w:val="20"/>
              </w:rPr>
              <w:t>gain</w:t>
            </w:r>
          </w:p>
        </w:tc>
      </w:tr>
      <w:tr w:rsidR="004569EE" w:rsidRPr="007D3144" w14:paraId="0B1E2F43" w14:textId="77777777">
        <w:trPr>
          <w:trHeight w:val="255"/>
        </w:trPr>
        <w:tc>
          <w:tcPr>
            <w:tcW w:w="6517" w:type="dxa"/>
          </w:tcPr>
          <w:p w14:paraId="4BE5077D"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3"/>
                <w:sz w:val="20"/>
              </w:rPr>
              <w:t xml:space="preserve"> </w:t>
            </w:r>
            <w:r w:rsidRPr="00150EDC">
              <w:rPr>
                <w:sz w:val="20"/>
              </w:rPr>
              <w:t>Act</w:t>
            </w:r>
            <w:r w:rsidRPr="00150EDC">
              <w:rPr>
                <w:spacing w:val="-6"/>
                <w:sz w:val="20"/>
              </w:rPr>
              <w:t xml:space="preserve"> </w:t>
            </w:r>
            <w:r w:rsidRPr="00150EDC">
              <w:rPr>
                <w:sz w:val="20"/>
              </w:rPr>
              <w:t>2003,</w:t>
            </w:r>
            <w:r w:rsidRPr="00150EDC">
              <w:rPr>
                <w:spacing w:val="-8"/>
                <w:sz w:val="20"/>
              </w:rPr>
              <w:t xml:space="preserve"> </w:t>
            </w:r>
            <w:r w:rsidRPr="00150EDC">
              <w:rPr>
                <w:spacing w:val="-5"/>
                <w:sz w:val="20"/>
              </w:rPr>
              <w:t>s53</w:t>
            </w:r>
          </w:p>
        </w:tc>
        <w:tc>
          <w:tcPr>
            <w:tcW w:w="7427" w:type="dxa"/>
          </w:tcPr>
          <w:p w14:paraId="2C5D1C94" w14:textId="77777777" w:rsidR="004C7180" w:rsidRPr="00150EDC" w:rsidRDefault="00CF0754">
            <w:pPr>
              <w:pStyle w:val="TableParagraph"/>
              <w:rPr>
                <w:sz w:val="20"/>
              </w:rPr>
            </w:pPr>
            <w:r w:rsidRPr="00150EDC">
              <w:rPr>
                <w:sz w:val="20"/>
              </w:rPr>
              <w:t>Controlling</w:t>
            </w:r>
            <w:r w:rsidRPr="00150EDC">
              <w:rPr>
                <w:spacing w:val="-5"/>
                <w:sz w:val="20"/>
              </w:rPr>
              <w:t xml:space="preserve"> </w:t>
            </w:r>
            <w:r w:rsidRPr="00150EDC">
              <w:rPr>
                <w:sz w:val="20"/>
              </w:rPr>
              <w:t>prostitution</w:t>
            </w:r>
            <w:r w:rsidRPr="00150EDC">
              <w:rPr>
                <w:spacing w:val="-10"/>
                <w:sz w:val="20"/>
              </w:rPr>
              <w:t xml:space="preserve"> </w:t>
            </w:r>
            <w:r w:rsidRPr="00150EDC">
              <w:rPr>
                <w:sz w:val="20"/>
              </w:rPr>
              <w:t>for</w:t>
            </w:r>
            <w:r w:rsidRPr="00150EDC">
              <w:rPr>
                <w:spacing w:val="-9"/>
                <w:sz w:val="20"/>
              </w:rPr>
              <w:t xml:space="preserve"> </w:t>
            </w:r>
            <w:r w:rsidRPr="00150EDC">
              <w:rPr>
                <w:spacing w:val="-4"/>
                <w:sz w:val="20"/>
              </w:rPr>
              <w:t>gain</w:t>
            </w:r>
          </w:p>
        </w:tc>
      </w:tr>
      <w:tr w:rsidR="004569EE" w:rsidRPr="007D3144" w14:paraId="338C29DE" w14:textId="77777777">
        <w:trPr>
          <w:trHeight w:val="255"/>
        </w:trPr>
        <w:tc>
          <w:tcPr>
            <w:tcW w:w="6517" w:type="dxa"/>
          </w:tcPr>
          <w:p w14:paraId="2007DA7C"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3"/>
                <w:sz w:val="20"/>
              </w:rPr>
              <w:t xml:space="preserve"> </w:t>
            </w:r>
            <w:r w:rsidRPr="00150EDC">
              <w:rPr>
                <w:sz w:val="20"/>
              </w:rPr>
              <w:t>Act</w:t>
            </w:r>
            <w:r w:rsidRPr="00150EDC">
              <w:rPr>
                <w:spacing w:val="-6"/>
                <w:sz w:val="20"/>
              </w:rPr>
              <w:t xml:space="preserve"> </w:t>
            </w:r>
            <w:r w:rsidRPr="00150EDC">
              <w:rPr>
                <w:sz w:val="20"/>
              </w:rPr>
              <w:t>2003,</w:t>
            </w:r>
            <w:r w:rsidRPr="00150EDC">
              <w:rPr>
                <w:spacing w:val="-8"/>
                <w:sz w:val="20"/>
              </w:rPr>
              <w:t xml:space="preserve"> </w:t>
            </w:r>
            <w:r w:rsidRPr="00150EDC">
              <w:rPr>
                <w:spacing w:val="-5"/>
                <w:sz w:val="20"/>
              </w:rPr>
              <w:t>s57</w:t>
            </w:r>
          </w:p>
        </w:tc>
        <w:tc>
          <w:tcPr>
            <w:tcW w:w="7427" w:type="dxa"/>
          </w:tcPr>
          <w:p w14:paraId="685582EA" w14:textId="77777777" w:rsidR="004C7180" w:rsidRPr="00150EDC" w:rsidRDefault="00CF0754">
            <w:pPr>
              <w:pStyle w:val="TableParagraph"/>
              <w:rPr>
                <w:sz w:val="20"/>
              </w:rPr>
            </w:pPr>
            <w:r w:rsidRPr="00150EDC">
              <w:rPr>
                <w:sz w:val="20"/>
              </w:rPr>
              <w:t>Trafficking</w:t>
            </w:r>
            <w:r w:rsidRPr="00150EDC">
              <w:rPr>
                <w:spacing w:val="-2"/>
                <w:sz w:val="20"/>
              </w:rPr>
              <w:t xml:space="preserve"> </w:t>
            </w:r>
            <w:r w:rsidRPr="00150EDC">
              <w:rPr>
                <w:sz w:val="20"/>
              </w:rPr>
              <w:t>into</w:t>
            </w:r>
            <w:r w:rsidRPr="00150EDC">
              <w:rPr>
                <w:spacing w:val="-6"/>
                <w:sz w:val="20"/>
              </w:rPr>
              <w:t xml:space="preserve"> </w:t>
            </w:r>
            <w:r w:rsidRPr="00150EDC">
              <w:rPr>
                <w:sz w:val="20"/>
              </w:rPr>
              <w:t>the</w:t>
            </w:r>
            <w:r w:rsidRPr="00150EDC">
              <w:rPr>
                <w:spacing w:val="-6"/>
                <w:sz w:val="20"/>
              </w:rPr>
              <w:t xml:space="preserve"> </w:t>
            </w:r>
            <w:r w:rsidRPr="00150EDC">
              <w:rPr>
                <w:sz w:val="20"/>
              </w:rPr>
              <w:t>UK</w:t>
            </w:r>
            <w:r w:rsidRPr="00150EDC">
              <w:rPr>
                <w:spacing w:val="-3"/>
                <w:sz w:val="20"/>
              </w:rPr>
              <w:t xml:space="preserve"> </w:t>
            </w:r>
            <w:r w:rsidRPr="00150EDC">
              <w:rPr>
                <w:sz w:val="20"/>
              </w:rPr>
              <w:t>for</w:t>
            </w:r>
            <w:r w:rsidRPr="00150EDC">
              <w:rPr>
                <w:spacing w:val="-6"/>
                <w:sz w:val="20"/>
              </w:rPr>
              <w:t xml:space="preserve"> </w:t>
            </w:r>
            <w:r w:rsidRPr="00150EDC">
              <w:rPr>
                <w:sz w:val="20"/>
              </w:rPr>
              <w:t>sexual</w:t>
            </w:r>
            <w:r w:rsidRPr="00150EDC">
              <w:rPr>
                <w:spacing w:val="-4"/>
                <w:sz w:val="20"/>
              </w:rPr>
              <w:t xml:space="preserve"> </w:t>
            </w:r>
            <w:r w:rsidRPr="00150EDC">
              <w:rPr>
                <w:spacing w:val="-2"/>
                <w:sz w:val="20"/>
              </w:rPr>
              <w:t>exploitation</w:t>
            </w:r>
          </w:p>
        </w:tc>
      </w:tr>
      <w:tr w:rsidR="004569EE" w:rsidRPr="007D3144" w14:paraId="3C87796D" w14:textId="77777777">
        <w:trPr>
          <w:trHeight w:val="255"/>
        </w:trPr>
        <w:tc>
          <w:tcPr>
            <w:tcW w:w="6517" w:type="dxa"/>
          </w:tcPr>
          <w:p w14:paraId="232F01D7" w14:textId="77777777" w:rsidR="004C7180" w:rsidRPr="00150EDC" w:rsidRDefault="00CF0754">
            <w:pPr>
              <w:pStyle w:val="TableParagraph"/>
              <w:spacing w:before="28"/>
              <w:rPr>
                <w:sz w:val="20"/>
              </w:rPr>
            </w:pPr>
            <w:r w:rsidRPr="00150EDC">
              <w:rPr>
                <w:sz w:val="20"/>
              </w:rPr>
              <w:t>Sexual</w:t>
            </w:r>
            <w:r w:rsidRPr="00150EDC">
              <w:rPr>
                <w:spacing w:val="-6"/>
                <w:sz w:val="20"/>
              </w:rPr>
              <w:t xml:space="preserve"> </w:t>
            </w:r>
            <w:r w:rsidRPr="00150EDC">
              <w:rPr>
                <w:sz w:val="20"/>
              </w:rPr>
              <w:t>Offences</w:t>
            </w:r>
            <w:r w:rsidRPr="00150EDC">
              <w:rPr>
                <w:spacing w:val="-3"/>
                <w:sz w:val="20"/>
              </w:rPr>
              <w:t xml:space="preserve"> </w:t>
            </w:r>
            <w:r w:rsidRPr="00150EDC">
              <w:rPr>
                <w:sz w:val="20"/>
              </w:rPr>
              <w:t>Act</w:t>
            </w:r>
            <w:r w:rsidRPr="00150EDC">
              <w:rPr>
                <w:spacing w:val="-6"/>
                <w:sz w:val="20"/>
              </w:rPr>
              <w:t xml:space="preserve"> </w:t>
            </w:r>
            <w:r w:rsidRPr="00150EDC">
              <w:rPr>
                <w:sz w:val="20"/>
              </w:rPr>
              <w:t>2003,</w:t>
            </w:r>
            <w:r w:rsidRPr="00150EDC">
              <w:rPr>
                <w:spacing w:val="-8"/>
                <w:sz w:val="20"/>
              </w:rPr>
              <w:t xml:space="preserve"> </w:t>
            </w:r>
            <w:r w:rsidRPr="00150EDC">
              <w:rPr>
                <w:spacing w:val="-5"/>
                <w:sz w:val="20"/>
              </w:rPr>
              <w:t>s58</w:t>
            </w:r>
          </w:p>
        </w:tc>
        <w:tc>
          <w:tcPr>
            <w:tcW w:w="7427" w:type="dxa"/>
          </w:tcPr>
          <w:p w14:paraId="5D6666ED" w14:textId="77777777" w:rsidR="004C7180" w:rsidRPr="00150EDC" w:rsidRDefault="00CF0754">
            <w:pPr>
              <w:pStyle w:val="TableParagraph"/>
              <w:spacing w:before="28"/>
              <w:rPr>
                <w:sz w:val="20"/>
              </w:rPr>
            </w:pPr>
            <w:r w:rsidRPr="00150EDC">
              <w:rPr>
                <w:sz w:val="20"/>
              </w:rPr>
              <w:t>Trafficking</w:t>
            </w:r>
            <w:r w:rsidRPr="00150EDC">
              <w:rPr>
                <w:spacing w:val="-2"/>
                <w:sz w:val="20"/>
              </w:rPr>
              <w:t xml:space="preserve"> </w:t>
            </w:r>
            <w:r w:rsidRPr="00150EDC">
              <w:rPr>
                <w:sz w:val="20"/>
              </w:rPr>
              <w:t>within</w:t>
            </w:r>
            <w:r w:rsidRPr="00150EDC">
              <w:rPr>
                <w:spacing w:val="-5"/>
                <w:sz w:val="20"/>
              </w:rPr>
              <w:t xml:space="preserve"> </w:t>
            </w:r>
            <w:r w:rsidRPr="00150EDC">
              <w:rPr>
                <w:sz w:val="20"/>
              </w:rPr>
              <w:t>the</w:t>
            </w:r>
            <w:r w:rsidRPr="00150EDC">
              <w:rPr>
                <w:spacing w:val="-6"/>
                <w:sz w:val="20"/>
              </w:rPr>
              <w:t xml:space="preserve"> </w:t>
            </w:r>
            <w:r w:rsidRPr="00150EDC">
              <w:rPr>
                <w:sz w:val="20"/>
              </w:rPr>
              <w:t>UK</w:t>
            </w:r>
            <w:r w:rsidRPr="00150EDC">
              <w:rPr>
                <w:spacing w:val="-4"/>
                <w:sz w:val="20"/>
              </w:rPr>
              <w:t xml:space="preserve"> </w:t>
            </w:r>
            <w:r w:rsidRPr="00150EDC">
              <w:rPr>
                <w:sz w:val="20"/>
              </w:rPr>
              <w:t>for</w:t>
            </w:r>
            <w:r w:rsidRPr="00150EDC">
              <w:rPr>
                <w:spacing w:val="-6"/>
                <w:sz w:val="20"/>
              </w:rPr>
              <w:t xml:space="preserve"> </w:t>
            </w:r>
            <w:r w:rsidRPr="00150EDC">
              <w:rPr>
                <w:sz w:val="20"/>
              </w:rPr>
              <w:t>sexual</w:t>
            </w:r>
            <w:r w:rsidRPr="00150EDC">
              <w:rPr>
                <w:spacing w:val="-4"/>
                <w:sz w:val="20"/>
              </w:rPr>
              <w:t xml:space="preserve"> </w:t>
            </w:r>
            <w:r w:rsidRPr="00150EDC">
              <w:rPr>
                <w:spacing w:val="-2"/>
                <w:sz w:val="20"/>
              </w:rPr>
              <w:t>expoloitation</w:t>
            </w:r>
          </w:p>
        </w:tc>
      </w:tr>
      <w:tr w:rsidR="004569EE" w:rsidRPr="007D3144" w14:paraId="599E3BC9" w14:textId="77777777">
        <w:trPr>
          <w:trHeight w:val="255"/>
        </w:trPr>
        <w:tc>
          <w:tcPr>
            <w:tcW w:w="6517" w:type="dxa"/>
          </w:tcPr>
          <w:p w14:paraId="344A1095"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3"/>
                <w:sz w:val="20"/>
              </w:rPr>
              <w:t xml:space="preserve"> </w:t>
            </w:r>
            <w:r w:rsidRPr="00150EDC">
              <w:rPr>
                <w:sz w:val="20"/>
              </w:rPr>
              <w:t>Act</w:t>
            </w:r>
            <w:r w:rsidRPr="00150EDC">
              <w:rPr>
                <w:spacing w:val="-6"/>
                <w:sz w:val="20"/>
              </w:rPr>
              <w:t xml:space="preserve"> </w:t>
            </w:r>
            <w:r w:rsidRPr="00150EDC">
              <w:rPr>
                <w:sz w:val="20"/>
              </w:rPr>
              <w:t>2003,</w:t>
            </w:r>
            <w:r w:rsidRPr="00150EDC">
              <w:rPr>
                <w:spacing w:val="-8"/>
                <w:sz w:val="20"/>
              </w:rPr>
              <w:t xml:space="preserve"> </w:t>
            </w:r>
            <w:r w:rsidRPr="00150EDC">
              <w:rPr>
                <w:spacing w:val="-5"/>
                <w:sz w:val="20"/>
              </w:rPr>
              <w:t>s59</w:t>
            </w:r>
          </w:p>
        </w:tc>
        <w:tc>
          <w:tcPr>
            <w:tcW w:w="7427" w:type="dxa"/>
          </w:tcPr>
          <w:p w14:paraId="186AF0A2" w14:textId="77777777" w:rsidR="004C7180" w:rsidRPr="00150EDC" w:rsidRDefault="00CF0754">
            <w:pPr>
              <w:pStyle w:val="TableParagraph"/>
              <w:rPr>
                <w:sz w:val="20"/>
              </w:rPr>
            </w:pPr>
            <w:r w:rsidRPr="00150EDC">
              <w:rPr>
                <w:sz w:val="20"/>
              </w:rPr>
              <w:t>Trafficking</w:t>
            </w:r>
            <w:r w:rsidRPr="00150EDC">
              <w:rPr>
                <w:spacing w:val="-2"/>
                <w:sz w:val="20"/>
              </w:rPr>
              <w:t xml:space="preserve"> </w:t>
            </w:r>
            <w:r w:rsidRPr="00150EDC">
              <w:rPr>
                <w:sz w:val="20"/>
              </w:rPr>
              <w:t>out</w:t>
            </w:r>
            <w:r w:rsidRPr="00150EDC">
              <w:rPr>
                <w:spacing w:val="-2"/>
                <w:sz w:val="20"/>
              </w:rPr>
              <w:t xml:space="preserve"> </w:t>
            </w:r>
            <w:r w:rsidRPr="00150EDC">
              <w:rPr>
                <w:sz w:val="20"/>
              </w:rPr>
              <w:t>of</w:t>
            </w:r>
            <w:r w:rsidRPr="00150EDC">
              <w:rPr>
                <w:spacing w:val="-6"/>
                <w:sz w:val="20"/>
              </w:rPr>
              <w:t xml:space="preserve"> </w:t>
            </w:r>
            <w:r w:rsidRPr="00150EDC">
              <w:rPr>
                <w:sz w:val="20"/>
              </w:rPr>
              <w:t>the</w:t>
            </w:r>
            <w:r w:rsidRPr="00150EDC">
              <w:rPr>
                <w:spacing w:val="-1"/>
                <w:sz w:val="20"/>
              </w:rPr>
              <w:t xml:space="preserve"> </w:t>
            </w:r>
            <w:r w:rsidRPr="00150EDC">
              <w:rPr>
                <w:sz w:val="20"/>
              </w:rPr>
              <w:t>UK</w:t>
            </w:r>
            <w:r w:rsidRPr="00150EDC">
              <w:rPr>
                <w:spacing w:val="-4"/>
                <w:sz w:val="20"/>
              </w:rPr>
              <w:t xml:space="preserve"> </w:t>
            </w:r>
            <w:r w:rsidRPr="00150EDC">
              <w:rPr>
                <w:sz w:val="20"/>
              </w:rPr>
              <w:t>for</w:t>
            </w:r>
            <w:r w:rsidRPr="00150EDC">
              <w:rPr>
                <w:spacing w:val="-6"/>
                <w:sz w:val="20"/>
              </w:rPr>
              <w:t xml:space="preserve"> </w:t>
            </w:r>
            <w:r w:rsidRPr="00150EDC">
              <w:rPr>
                <w:sz w:val="20"/>
              </w:rPr>
              <w:t>sexual</w:t>
            </w:r>
            <w:r w:rsidRPr="00150EDC">
              <w:rPr>
                <w:spacing w:val="-4"/>
                <w:sz w:val="20"/>
              </w:rPr>
              <w:t xml:space="preserve"> </w:t>
            </w:r>
            <w:r w:rsidRPr="00150EDC">
              <w:rPr>
                <w:spacing w:val="-2"/>
                <w:sz w:val="20"/>
              </w:rPr>
              <w:t>exploitation</w:t>
            </w:r>
          </w:p>
        </w:tc>
      </w:tr>
      <w:tr w:rsidR="004569EE" w:rsidRPr="007D3144" w14:paraId="7B06AE7B" w14:textId="77777777">
        <w:trPr>
          <w:trHeight w:val="255"/>
        </w:trPr>
        <w:tc>
          <w:tcPr>
            <w:tcW w:w="6517" w:type="dxa"/>
          </w:tcPr>
          <w:p w14:paraId="26686C0E"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3"/>
                <w:sz w:val="20"/>
              </w:rPr>
              <w:t xml:space="preserve"> </w:t>
            </w:r>
            <w:r w:rsidRPr="00150EDC">
              <w:rPr>
                <w:sz w:val="20"/>
              </w:rPr>
              <w:t>Act</w:t>
            </w:r>
            <w:r w:rsidRPr="00150EDC">
              <w:rPr>
                <w:spacing w:val="-6"/>
                <w:sz w:val="20"/>
              </w:rPr>
              <w:t xml:space="preserve"> </w:t>
            </w:r>
            <w:r w:rsidRPr="00150EDC">
              <w:rPr>
                <w:sz w:val="20"/>
              </w:rPr>
              <w:t>2003,</w:t>
            </w:r>
            <w:r w:rsidRPr="00150EDC">
              <w:rPr>
                <w:spacing w:val="-8"/>
                <w:sz w:val="20"/>
              </w:rPr>
              <w:t xml:space="preserve"> </w:t>
            </w:r>
            <w:r w:rsidRPr="00150EDC">
              <w:rPr>
                <w:spacing w:val="-4"/>
                <w:sz w:val="20"/>
              </w:rPr>
              <w:t>s59A</w:t>
            </w:r>
          </w:p>
        </w:tc>
        <w:tc>
          <w:tcPr>
            <w:tcW w:w="7427" w:type="dxa"/>
          </w:tcPr>
          <w:p w14:paraId="0F062D5B" w14:textId="77777777" w:rsidR="004C7180" w:rsidRPr="00150EDC" w:rsidRDefault="00CF0754">
            <w:pPr>
              <w:pStyle w:val="TableParagraph"/>
              <w:rPr>
                <w:sz w:val="20"/>
              </w:rPr>
            </w:pPr>
            <w:r w:rsidRPr="00150EDC">
              <w:rPr>
                <w:sz w:val="20"/>
              </w:rPr>
              <w:t>Trafficking</w:t>
            </w:r>
            <w:r w:rsidRPr="00150EDC">
              <w:rPr>
                <w:spacing w:val="-4"/>
                <w:sz w:val="20"/>
              </w:rPr>
              <w:t xml:space="preserve"> </w:t>
            </w:r>
            <w:r w:rsidRPr="00150EDC">
              <w:rPr>
                <w:sz w:val="20"/>
              </w:rPr>
              <w:t>for</w:t>
            </w:r>
            <w:r w:rsidRPr="00150EDC">
              <w:rPr>
                <w:spacing w:val="-8"/>
                <w:sz w:val="20"/>
              </w:rPr>
              <w:t xml:space="preserve"> </w:t>
            </w:r>
            <w:r w:rsidRPr="00150EDC">
              <w:rPr>
                <w:sz w:val="20"/>
              </w:rPr>
              <w:t>sexual</w:t>
            </w:r>
            <w:r w:rsidRPr="00150EDC">
              <w:rPr>
                <w:spacing w:val="-6"/>
                <w:sz w:val="20"/>
              </w:rPr>
              <w:t xml:space="preserve"> </w:t>
            </w:r>
            <w:r w:rsidRPr="00150EDC">
              <w:rPr>
                <w:spacing w:val="-2"/>
                <w:sz w:val="20"/>
              </w:rPr>
              <w:t>exploitation</w:t>
            </w:r>
          </w:p>
        </w:tc>
      </w:tr>
      <w:tr w:rsidR="004569EE" w:rsidRPr="007D3144" w14:paraId="62304E6F" w14:textId="77777777">
        <w:trPr>
          <w:trHeight w:val="255"/>
        </w:trPr>
        <w:tc>
          <w:tcPr>
            <w:tcW w:w="6517" w:type="dxa"/>
          </w:tcPr>
          <w:p w14:paraId="4A60AE40"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3"/>
                <w:sz w:val="20"/>
              </w:rPr>
              <w:t xml:space="preserve"> </w:t>
            </w:r>
            <w:r w:rsidRPr="00150EDC">
              <w:rPr>
                <w:sz w:val="20"/>
              </w:rPr>
              <w:t>Act</w:t>
            </w:r>
            <w:r w:rsidRPr="00150EDC">
              <w:rPr>
                <w:spacing w:val="-6"/>
                <w:sz w:val="20"/>
              </w:rPr>
              <w:t xml:space="preserve"> </w:t>
            </w:r>
            <w:r w:rsidRPr="00150EDC">
              <w:rPr>
                <w:sz w:val="20"/>
              </w:rPr>
              <w:t>2003,</w:t>
            </w:r>
            <w:r w:rsidRPr="00150EDC">
              <w:rPr>
                <w:spacing w:val="-8"/>
                <w:sz w:val="20"/>
              </w:rPr>
              <w:t xml:space="preserve"> </w:t>
            </w:r>
            <w:r w:rsidRPr="00150EDC">
              <w:rPr>
                <w:spacing w:val="-5"/>
                <w:sz w:val="20"/>
              </w:rPr>
              <w:t>s6</w:t>
            </w:r>
          </w:p>
        </w:tc>
        <w:tc>
          <w:tcPr>
            <w:tcW w:w="7427" w:type="dxa"/>
          </w:tcPr>
          <w:p w14:paraId="7A09B9F8" w14:textId="77777777" w:rsidR="004C7180" w:rsidRPr="00150EDC" w:rsidRDefault="00CF0754">
            <w:pPr>
              <w:pStyle w:val="TableParagraph"/>
              <w:rPr>
                <w:sz w:val="20"/>
              </w:rPr>
            </w:pPr>
            <w:r w:rsidRPr="00150EDC">
              <w:rPr>
                <w:sz w:val="20"/>
              </w:rPr>
              <w:t>Assault</w:t>
            </w:r>
            <w:r w:rsidRPr="00150EDC">
              <w:rPr>
                <w:spacing w:val="-4"/>
                <w:sz w:val="20"/>
              </w:rPr>
              <w:t xml:space="preserve"> </w:t>
            </w:r>
            <w:r w:rsidRPr="00150EDC">
              <w:rPr>
                <w:sz w:val="20"/>
              </w:rPr>
              <w:t>of</w:t>
            </w:r>
            <w:r w:rsidRPr="00150EDC">
              <w:rPr>
                <w:spacing w:val="-5"/>
                <w:sz w:val="20"/>
              </w:rPr>
              <w:t xml:space="preserve"> </w:t>
            </w:r>
            <w:r w:rsidRPr="00150EDC">
              <w:rPr>
                <w:sz w:val="20"/>
              </w:rPr>
              <w:t>a</w:t>
            </w:r>
            <w:r w:rsidRPr="00150EDC">
              <w:rPr>
                <w:spacing w:val="-5"/>
                <w:sz w:val="20"/>
              </w:rPr>
              <w:t xml:space="preserve"> </w:t>
            </w:r>
            <w:r w:rsidRPr="00150EDC">
              <w:rPr>
                <w:sz w:val="20"/>
              </w:rPr>
              <w:t>child</w:t>
            </w:r>
            <w:r w:rsidRPr="00150EDC">
              <w:rPr>
                <w:spacing w:val="1"/>
                <w:sz w:val="20"/>
              </w:rPr>
              <w:t xml:space="preserve"> </w:t>
            </w:r>
            <w:r w:rsidRPr="00150EDC">
              <w:rPr>
                <w:sz w:val="20"/>
              </w:rPr>
              <w:t>under</w:t>
            </w:r>
            <w:r w:rsidRPr="00150EDC">
              <w:rPr>
                <w:spacing w:val="-5"/>
                <w:sz w:val="20"/>
              </w:rPr>
              <w:t xml:space="preserve"> </w:t>
            </w:r>
            <w:r w:rsidRPr="00150EDC">
              <w:rPr>
                <w:sz w:val="20"/>
              </w:rPr>
              <w:t>13 by</w:t>
            </w:r>
            <w:r w:rsidRPr="00150EDC">
              <w:rPr>
                <w:spacing w:val="-4"/>
                <w:sz w:val="20"/>
              </w:rPr>
              <w:t xml:space="preserve"> </w:t>
            </w:r>
            <w:r w:rsidRPr="00150EDC">
              <w:rPr>
                <w:spacing w:val="-2"/>
                <w:sz w:val="20"/>
              </w:rPr>
              <w:t>penetration</w:t>
            </w:r>
          </w:p>
        </w:tc>
      </w:tr>
      <w:tr w:rsidR="004569EE" w:rsidRPr="007D3144" w14:paraId="1DB0CE65" w14:textId="77777777">
        <w:trPr>
          <w:trHeight w:val="255"/>
        </w:trPr>
        <w:tc>
          <w:tcPr>
            <w:tcW w:w="6517" w:type="dxa"/>
          </w:tcPr>
          <w:p w14:paraId="723DF587" w14:textId="77777777" w:rsidR="004C7180" w:rsidRPr="00150EDC" w:rsidRDefault="00CF0754">
            <w:pPr>
              <w:pStyle w:val="TableParagraph"/>
              <w:spacing w:before="28"/>
              <w:rPr>
                <w:sz w:val="20"/>
              </w:rPr>
            </w:pPr>
            <w:r w:rsidRPr="00150EDC">
              <w:rPr>
                <w:sz w:val="20"/>
              </w:rPr>
              <w:t>Sexual</w:t>
            </w:r>
            <w:r w:rsidRPr="00150EDC">
              <w:rPr>
                <w:spacing w:val="-6"/>
                <w:sz w:val="20"/>
              </w:rPr>
              <w:t xml:space="preserve"> </w:t>
            </w:r>
            <w:r w:rsidRPr="00150EDC">
              <w:rPr>
                <w:sz w:val="20"/>
              </w:rPr>
              <w:t>Offences</w:t>
            </w:r>
            <w:r w:rsidRPr="00150EDC">
              <w:rPr>
                <w:spacing w:val="-3"/>
                <w:sz w:val="20"/>
              </w:rPr>
              <w:t xml:space="preserve"> </w:t>
            </w:r>
            <w:r w:rsidRPr="00150EDC">
              <w:rPr>
                <w:sz w:val="20"/>
              </w:rPr>
              <w:t>Act</w:t>
            </w:r>
            <w:r w:rsidRPr="00150EDC">
              <w:rPr>
                <w:spacing w:val="-6"/>
                <w:sz w:val="20"/>
              </w:rPr>
              <w:t xml:space="preserve"> </w:t>
            </w:r>
            <w:r w:rsidRPr="00150EDC">
              <w:rPr>
                <w:sz w:val="20"/>
              </w:rPr>
              <w:t>2003,</w:t>
            </w:r>
            <w:r w:rsidRPr="00150EDC">
              <w:rPr>
                <w:spacing w:val="-8"/>
                <w:sz w:val="20"/>
              </w:rPr>
              <w:t xml:space="preserve"> </w:t>
            </w:r>
            <w:r w:rsidRPr="00150EDC">
              <w:rPr>
                <w:spacing w:val="-5"/>
                <w:sz w:val="20"/>
              </w:rPr>
              <w:t>s61</w:t>
            </w:r>
          </w:p>
        </w:tc>
        <w:tc>
          <w:tcPr>
            <w:tcW w:w="7427" w:type="dxa"/>
          </w:tcPr>
          <w:p w14:paraId="4E0129E3" w14:textId="77777777" w:rsidR="004C7180" w:rsidRPr="00150EDC" w:rsidRDefault="00CF0754">
            <w:pPr>
              <w:pStyle w:val="TableParagraph"/>
              <w:spacing w:before="28"/>
              <w:rPr>
                <w:sz w:val="20"/>
              </w:rPr>
            </w:pPr>
            <w:r w:rsidRPr="00150EDC">
              <w:rPr>
                <w:sz w:val="20"/>
              </w:rPr>
              <w:t>Administering</w:t>
            </w:r>
            <w:r w:rsidRPr="00150EDC">
              <w:rPr>
                <w:spacing w:val="-3"/>
                <w:sz w:val="20"/>
              </w:rPr>
              <w:t xml:space="preserve"> </w:t>
            </w:r>
            <w:r w:rsidRPr="00150EDC">
              <w:rPr>
                <w:sz w:val="20"/>
              </w:rPr>
              <w:t>a</w:t>
            </w:r>
            <w:r w:rsidRPr="00150EDC">
              <w:rPr>
                <w:spacing w:val="-6"/>
                <w:sz w:val="20"/>
              </w:rPr>
              <w:t xml:space="preserve"> </w:t>
            </w:r>
            <w:r w:rsidRPr="00150EDC">
              <w:rPr>
                <w:sz w:val="20"/>
              </w:rPr>
              <w:t>substance</w:t>
            </w:r>
            <w:r w:rsidRPr="00150EDC">
              <w:rPr>
                <w:spacing w:val="-7"/>
                <w:sz w:val="20"/>
              </w:rPr>
              <w:t xml:space="preserve"> </w:t>
            </w:r>
            <w:r w:rsidRPr="00150EDC">
              <w:rPr>
                <w:sz w:val="20"/>
              </w:rPr>
              <w:t>with</w:t>
            </w:r>
            <w:r w:rsidRPr="00150EDC">
              <w:rPr>
                <w:spacing w:val="-2"/>
                <w:sz w:val="20"/>
              </w:rPr>
              <w:t xml:space="preserve"> intent</w:t>
            </w:r>
          </w:p>
        </w:tc>
      </w:tr>
      <w:tr w:rsidR="004569EE" w:rsidRPr="007D3144" w14:paraId="0C9E5A23" w14:textId="77777777">
        <w:trPr>
          <w:trHeight w:val="255"/>
        </w:trPr>
        <w:tc>
          <w:tcPr>
            <w:tcW w:w="6517" w:type="dxa"/>
          </w:tcPr>
          <w:p w14:paraId="22EAC5DF"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3"/>
                <w:sz w:val="20"/>
              </w:rPr>
              <w:t xml:space="preserve"> </w:t>
            </w:r>
            <w:r w:rsidRPr="00150EDC">
              <w:rPr>
                <w:sz w:val="20"/>
              </w:rPr>
              <w:t>Act</w:t>
            </w:r>
            <w:r w:rsidRPr="00150EDC">
              <w:rPr>
                <w:spacing w:val="-6"/>
                <w:sz w:val="20"/>
              </w:rPr>
              <w:t xml:space="preserve"> </w:t>
            </w:r>
            <w:r w:rsidRPr="00150EDC">
              <w:rPr>
                <w:sz w:val="20"/>
              </w:rPr>
              <w:t>2003,</w:t>
            </w:r>
            <w:r w:rsidRPr="00150EDC">
              <w:rPr>
                <w:spacing w:val="-8"/>
                <w:sz w:val="20"/>
              </w:rPr>
              <w:t xml:space="preserve"> </w:t>
            </w:r>
            <w:r w:rsidRPr="00150EDC">
              <w:rPr>
                <w:spacing w:val="-5"/>
                <w:sz w:val="20"/>
              </w:rPr>
              <w:t>s62</w:t>
            </w:r>
          </w:p>
        </w:tc>
        <w:tc>
          <w:tcPr>
            <w:tcW w:w="7427" w:type="dxa"/>
          </w:tcPr>
          <w:p w14:paraId="23B5B2F0" w14:textId="77777777" w:rsidR="004C7180" w:rsidRPr="00150EDC" w:rsidRDefault="00CF0754">
            <w:pPr>
              <w:pStyle w:val="TableParagraph"/>
              <w:rPr>
                <w:sz w:val="20"/>
              </w:rPr>
            </w:pPr>
            <w:r w:rsidRPr="00150EDC">
              <w:rPr>
                <w:sz w:val="20"/>
              </w:rPr>
              <w:t>Committing</w:t>
            </w:r>
            <w:r w:rsidRPr="00150EDC">
              <w:rPr>
                <w:spacing w:val="-1"/>
                <w:sz w:val="20"/>
              </w:rPr>
              <w:t xml:space="preserve"> </w:t>
            </w:r>
            <w:r w:rsidRPr="00150EDC">
              <w:rPr>
                <w:sz w:val="20"/>
              </w:rPr>
              <w:t>an</w:t>
            </w:r>
            <w:r w:rsidRPr="00150EDC">
              <w:rPr>
                <w:spacing w:val="-5"/>
                <w:sz w:val="20"/>
              </w:rPr>
              <w:t xml:space="preserve"> </w:t>
            </w:r>
            <w:r w:rsidRPr="00150EDC">
              <w:rPr>
                <w:sz w:val="20"/>
              </w:rPr>
              <w:t>offence</w:t>
            </w:r>
            <w:r w:rsidRPr="00150EDC">
              <w:rPr>
                <w:spacing w:val="-5"/>
                <w:sz w:val="20"/>
              </w:rPr>
              <w:t xml:space="preserve"> </w:t>
            </w:r>
            <w:r w:rsidRPr="00150EDC">
              <w:rPr>
                <w:sz w:val="20"/>
              </w:rPr>
              <w:t>w/I</w:t>
            </w:r>
            <w:r w:rsidRPr="00150EDC">
              <w:rPr>
                <w:spacing w:val="1"/>
                <w:sz w:val="20"/>
              </w:rPr>
              <w:t xml:space="preserve"> </w:t>
            </w:r>
            <w:r w:rsidRPr="00150EDC">
              <w:rPr>
                <w:sz w:val="20"/>
              </w:rPr>
              <w:t>to</w:t>
            </w:r>
            <w:r w:rsidRPr="00150EDC">
              <w:rPr>
                <w:spacing w:val="-5"/>
                <w:sz w:val="20"/>
              </w:rPr>
              <w:t xml:space="preserve"> </w:t>
            </w:r>
            <w:r w:rsidRPr="00150EDC">
              <w:rPr>
                <w:sz w:val="20"/>
              </w:rPr>
              <w:t>commit</w:t>
            </w:r>
            <w:r w:rsidRPr="00150EDC">
              <w:rPr>
                <w:spacing w:val="-4"/>
                <w:sz w:val="20"/>
              </w:rPr>
              <w:t xml:space="preserve"> </w:t>
            </w:r>
            <w:r w:rsidRPr="00150EDC">
              <w:rPr>
                <w:sz w:val="20"/>
              </w:rPr>
              <w:t>a</w:t>
            </w:r>
            <w:r w:rsidRPr="00150EDC">
              <w:rPr>
                <w:spacing w:val="-5"/>
                <w:sz w:val="20"/>
              </w:rPr>
              <w:t xml:space="preserve"> </w:t>
            </w:r>
            <w:r w:rsidRPr="00150EDC">
              <w:rPr>
                <w:sz w:val="20"/>
              </w:rPr>
              <w:t>sexual</w:t>
            </w:r>
            <w:r w:rsidRPr="00150EDC">
              <w:rPr>
                <w:spacing w:val="-3"/>
                <w:sz w:val="20"/>
              </w:rPr>
              <w:t xml:space="preserve"> </w:t>
            </w:r>
            <w:r w:rsidRPr="00150EDC">
              <w:rPr>
                <w:spacing w:val="-2"/>
                <w:sz w:val="20"/>
              </w:rPr>
              <w:t>offence</w:t>
            </w:r>
          </w:p>
        </w:tc>
      </w:tr>
      <w:tr w:rsidR="004569EE" w:rsidRPr="007D3144" w14:paraId="784A91B8" w14:textId="77777777">
        <w:trPr>
          <w:trHeight w:val="255"/>
        </w:trPr>
        <w:tc>
          <w:tcPr>
            <w:tcW w:w="6517" w:type="dxa"/>
          </w:tcPr>
          <w:p w14:paraId="31F4A5FD"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3"/>
                <w:sz w:val="20"/>
              </w:rPr>
              <w:t xml:space="preserve"> </w:t>
            </w:r>
            <w:r w:rsidRPr="00150EDC">
              <w:rPr>
                <w:sz w:val="20"/>
              </w:rPr>
              <w:t>Act</w:t>
            </w:r>
            <w:r w:rsidRPr="00150EDC">
              <w:rPr>
                <w:spacing w:val="-6"/>
                <w:sz w:val="20"/>
              </w:rPr>
              <w:t xml:space="preserve"> </w:t>
            </w:r>
            <w:r w:rsidRPr="00150EDC">
              <w:rPr>
                <w:sz w:val="20"/>
              </w:rPr>
              <w:t>2003,</w:t>
            </w:r>
            <w:r w:rsidRPr="00150EDC">
              <w:rPr>
                <w:spacing w:val="-8"/>
                <w:sz w:val="20"/>
              </w:rPr>
              <w:t xml:space="preserve"> </w:t>
            </w:r>
            <w:r w:rsidRPr="00150EDC">
              <w:rPr>
                <w:spacing w:val="-5"/>
                <w:sz w:val="20"/>
              </w:rPr>
              <w:t>s63</w:t>
            </w:r>
          </w:p>
        </w:tc>
        <w:tc>
          <w:tcPr>
            <w:tcW w:w="7427" w:type="dxa"/>
          </w:tcPr>
          <w:p w14:paraId="1190BA5F" w14:textId="77777777" w:rsidR="004C7180" w:rsidRPr="00150EDC" w:rsidRDefault="00CF0754">
            <w:pPr>
              <w:pStyle w:val="TableParagraph"/>
              <w:rPr>
                <w:sz w:val="20"/>
              </w:rPr>
            </w:pPr>
            <w:r w:rsidRPr="00150EDC">
              <w:rPr>
                <w:sz w:val="20"/>
              </w:rPr>
              <w:t>Trespass</w:t>
            </w:r>
            <w:r w:rsidRPr="00150EDC">
              <w:rPr>
                <w:spacing w:val="-1"/>
                <w:sz w:val="20"/>
              </w:rPr>
              <w:t xml:space="preserve"> </w:t>
            </w:r>
            <w:r w:rsidRPr="00150EDC">
              <w:rPr>
                <w:sz w:val="20"/>
              </w:rPr>
              <w:t>w/I</w:t>
            </w:r>
            <w:r w:rsidRPr="00150EDC">
              <w:rPr>
                <w:spacing w:val="-5"/>
                <w:sz w:val="20"/>
              </w:rPr>
              <w:t xml:space="preserve"> </w:t>
            </w:r>
            <w:r w:rsidRPr="00150EDC">
              <w:rPr>
                <w:sz w:val="20"/>
              </w:rPr>
              <w:t>to</w:t>
            </w:r>
            <w:r w:rsidRPr="00150EDC">
              <w:rPr>
                <w:spacing w:val="-6"/>
                <w:sz w:val="20"/>
              </w:rPr>
              <w:t xml:space="preserve"> </w:t>
            </w:r>
            <w:r w:rsidRPr="00150EDC">
              <w:rPr>
                <w:sz w:val="20"/>
              </w:rPr>
              <w:t>commit a</w:t>
            </w:r>
            <w:r w:rsidRPr="00150EDC">
              <w:rPr>
                <w:spacing w:val="-6"/>
                <w:sz w:val="20"/>
              </w:rPr>
              <w:t xml:space="preserve"> </w:t>
            </w:r>
            <w:r w:rsidRPr="00150EDC">
              <w:rPr>
                <w:sz w:val="20"/>
              </w:rPr>
              <w:t xml:space="preserve">sexual </w:t>
            </w:r>
            <w:r w:rsidRPr="00150EDC">
              <w:rPr>
                <w:spacing w:val="-2"/>
                <w:sz w:val="20"/>
              </w:rPr>
              <w:t>offence</w:t>
            </w:r>
          </w:p>
        </w:tc>
      </w:tr>
      <w:tr w:rsidR="004569EE" w:rsidRPr="007D3144" w14:paraId="19503820" w14:textId="77777777">
        <w:trPr>
          <w:trHeight w:val="255"/>
        </w:trPr>
        <w:tc>
          <w:tcPr>
            <w:tcW w:w="6517" w:type="dxa"/>
          </w:tcPr>
          <w:p w14:paraId="5FC53D6C"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3"/>
                <w:sz w:val="20"/>
              </w:rPr>
              <w:t xml:space="preserve"> </w:t>
            </w:r>
            <w:r w:rsidRPr="00150EDC">
              <w:rPr>
                <w:sz w:val="20"/>
              </w:rPr>
              <w:t>Act</w:t>
            </w:r>
            <w:r w:rsidRPr="00150EDC">
              <w:rPr>
                <w:spacing w:val="-6"/>
                <w:sz w:val="20"/>
              </w:rPr>
              <w:t xml:space="preserve"> </w:t>
            </w:r>
            <w:r w:rsidRPr="00150EDC">
              <w:rPr>
                <w:sz w:val="20"/>
              </w:rPr>
              <w:t>2003,</w:t>
            </w:r>
            <w:r w:rsidRPr="00150EDC">
              <w:rPr>
                <w:spacing w:val="-8"/>
                <w:sz w:val="20"/>
              </w:rPr>
              <w:t xml:space="preserve"> </w:t>
            </w:r>
            <w:r w:rsidRPr="00150EDC">
              <w:rPr>
                <w:spacing w:val="-5"/>
                <w:sz w:val="20"/>
              </w:rPr>
              <w:t>s64</w:t>
            </w:r>
          </w:p>
        </w:tc>
        <w:tc>
          <w:tcPr>
            <w:tcW w:w="7427" w:type="dxa"/>
          </w:tcPr>
          <w:p w14:paraId="2CD2428F" w14:textId="77777777" w:rsidR="004C7180" w:rsidRPr="00150EDC" w:rsidRDefault="00CF0754">
            <w:pPr>
              <w:pStyle w:val="TableParagraph"/>
              <w:rPr>
                <w:sz w:val="20"/>
              </w:rPr>
            </w:pPr>
            <w:r w:rsidRPr="00150EDC">
              <w:rPr>
                <w:sz w:val="20"/>
              </w:rPr>
              <w:t>Sex</w:t>
            </w:r>
            <w:r w:rsidRPr="00150EDC">
              <w:rPr>
                <w:spacing w:val="-3"/>
                <w:sz w:val="20"/>
              </w:rPr>
              <w:t xml:space="preserve"> </w:t>
            </w:r>
            <w:r w:rsidRPr="00150EDC">
              <w:rPr>
                <w:sz w:val="20"/>
              </w:rPr>
              <w:t>with</w:t>
            </w:r>
            <w:r w:rsidRPr="00150EDC">
              <w:rPr>
                <w:spacing w:val="-4"/>
                <w:sz w:val="20"/>
              </w:rPr>
              <w:t xml:space="preserve"> </w:t>
            </w:r>
            <w:r w:rsidRPr="00150EDC">
              <w:rPr>
                <w:sz w:val="20"/>
              </w:rPr>
              <w:t>an</w:t>
            </w:r>
            <w:r w:rsidRPr="00150EDC">
              <w:rPr>
                <w:spacing w:val="-3"/>
                <w:sz w:val="20"/>
              </w:rPr>
              <w:t xml:space="preserve"> </w:t>
            </w:r>
            <w:r w:rsidRPr="00150EDC">
              <w:rPr>
                <w:sz w:val="20"/>
              </w:rPr>
              <w:t>adult</w:t>
            </w:r>
            <w:r w:rsidRPr="00150EDC">
              <w:rPr>
                <w:spacing w:val="-3"/>
                <w:sz w:val="20"/>
              </w:rPr>
              <w:t xml:space="preserve"> </w:t>
            </w:r>
            <w:r w:rsidRPr="00150EDC">
              <w:rPr>
                <w:sz w:val="20"/>
              </w:rPr>
              <w:t>relative</w:t>
            </w:r>
            <w:r w:rsidRPr="00150EDC">
              <w:rPr>
                <w:spacing w:val="-3"/>
                <w:sz w:val="20"/>
              </w:rPr>
              <w:t xml:space="preserve"> </w:t>
            </w:r>
            <w:r w:rsidRPr="00150EDC">
              <w:rPr>
                <w:sz w:val="20"/>
              </w:rPr>
              <w:t>-</w:t>
            </w:r>
            <w:r w:rsidRPr="00150EDC">
              <w:rPr>
                <w:spacing w:val="-4"/>
                <w:sz w:val="20"/>
              </w:rPr>
              <w:t xml:space="preserve"> </w:t>
            </w:r>
            <w:r w:rsidRPr="00150EDC">
              <w:rPr>
                <w:spacing w:val="-2"/>
                <w:sz w:val="20"/>
              </w:rPr>
              <w:t>penetration</w:t>
            </w:r>
          </w:p>
        </w:tc>
      </w:tr>
      <w:tr w:rsidR="004569EE" w:rsidRPr="007D3144" w14:paraId="102DEA64" w14:textId="77777777">
        <w:trPr>
          <w:trHeight w:val="250"/>
        </w:trPr>
        <w:tc>
          <w:tcPr>
            <w:tcW w:w="6517" w:type="dxa"/>
            <w:tcBorders>
              <w:bottom w:val="single" w:sz="12" w:space="0" w:color="000000"/>
            </w:tcBorders>
          </w:tcPr>
          <w:p w14:paraId="3585E4BD" w14:textId="77777777" w:rsidR="004C7180" w:rsidRPr="00150EDC" w:rsidRDefault="00CF0754">
            <w:pPr>
              <w:pStyle w:val="TableParagraph"/>
              <w:spacing w:line="203" w:lineRule="exact"/>
              <w:rPr>
                <w:sz w:val="20"/>
              </w:rPr>
            </w:pPr>
            <w:r w:rsidRPr="00150EDC">
              <w:rPr>
                <w:sz w:val="20"/>
              </w:rPr>
              <w:t>Sexual</w:t>
            </w:r>
            <w:r w:rsidRPr="00150EDC">
              <w:rPr>
                <w:spacing w:val="-6"/>
                <w:sz w:val="20"/>
              </w:rPr>
              <w:t xml:space="preserve"> </w:t>
            </w:r>
            <w:r w:rsidRPr="00150EDC">
              <w:rPr>
                <w:sz w:val="20"/>
              </w:rPr>
              <w:t>Offences</w:t>
            </w:r>
            <w:r w:rsidRPr="00150EDC">
              <w:rPr>
                <w:spacing w:val="-3"/>
                <w:sz w:val="20"/>
              </w:rPr>
              <w:t xml:space="preserve"> </w:t>
            </w:r>
            <w:r w:rsidRPr="00150EDC">
              <w:rPr>
                <w:sz w:val="20"/>
              </w:rPr>
              <w:t>Act</w:t>
            </w:r>
            <w:r w:rsidRPr="00150EDC">
              <w:rPr>
                <w:spacing w:val="-6"/>
                <w:sz w:val="20"/>
              </w:rPr>
              <w:t xml:space="preserve"> </w:t>
            </w:r>
            <w:r w:rsidRPr="00150EDC">
              <w:rPr>
                <w:sz w:val="20"/>
              </w:rPr>
              <w:t>2003,</w:t>
            </w:r>
            <w:r w:rsidRPr="00150EDC">
              <w:rPr>
                <w:spacing w:val="-8"/>
                <w:sz w:val="20"/>
              </w:rPr>
              <w:t xml:space="preserve"> </w:t>
            </w:r>
            <w:r w:rsidRPr="00150EDC">
              <w:rPr>
                <w:spacing w:val="-5"/>
                <w:sz w:val="20"/>
              </w:rPr>
              <w:t>s65</w:t>
            </w:r>
          </w:p>
        </w:tc>
        <w:tc>
          <w:tcPr>
            <w:tcW w:w="7427" w:type="dxa"/>
            <w:tcBorders>
              <w:bottom w:val="single" w:sz="12" w:space="0" w:color="000000"/>
            </w:tcBorders>
          </w:tcPr>
          <w:p w14:paraId="6CA4FA94" w14:textId="77777777" w:rsidR="004C7180" w:rsidRPr="00150EDC" w:rsidRDefault="00CF0754">
            <w:pPr>
              <w:pStyle w:val="TableParagraph"/>
              <w:spacing w:line="203" w:lineRule="exact"/>
              <w:rPr>
                <w:sz w:val="20"/>
              </w:rPr>
            </w:pPr>
            <w:r w:rsidRPr="00150EDC">
              <w:rPr>
                <w:sz w:val="20"/>
              </w:rPr>
              <w:t>Sex</w:t>
            </w:r>
            <w:r w:rsidRPr="00150EDC">
              <w:rPr>
                <w:spacing w:val="-4"/>
                <w:sz w:val="20"/>
              </w:rPr>
              <w:t xml:space="preserve"> </w:t>
            </w:r>
            <w:r w:rsidRPr="00150EDC">
              <w:rPr>
                <w:sz w:val="20"/>
              </w:rPr>
              <w:t>with</w:t>
            </w:r>
            <w:r w:rsidRPr="00150EDC">
              <w:rPr>
                <w:spacing w:val="-5"/>
                <w:sz w:val="20"/>
              </w:rPr>
              <w:t xml:space="preserve"> </w:t>
            </w:r>
            <w:r w:rsidRPr="00150EDC">
              <w:rPr>
                <w:sz w:val="20"/>
              </w:rPr>
              <w:t>an</w:t>
            </w:r>
            <w:r w:rsidRPr="00150EDC">
              <w:rPr>
                <w:spacing w:val="-5"/>
                <w:sz w:val="20"/>
              </w:rPr>
              <w:t xml:space="preserve"> </w:t>
            </w:r>
            <w:r w:rsidRPr="00150EDC">
              <w:rPr>
                <w:sz w:val="20"/>
              </w:rPr>
              <w:t>adult</w:t>
            </w:r>
            <w:r w:rsidRPr="00150EDC">
              <w:rPr>
                <w:spacing w:val="-4"/>
                <w:sz w:val="20"/>
              </w:rPr>
              <w:t xml:space="preserve"> </w:t>
            </w:r>
            <w:r w:rsidRPr="00150EDC">
              <w:rPr>
                <w:sz w:val="20"/>
              </w:rPr>
              <w:t>relative</w:t>
            </w:r>
            <w:r w:rsidRPr="00150EDC">
              <w:rPr>
                <w:spacing w:val="-5"/>
                <w:sz w:val="20"/>
              </w:rPr>
              <w:t xml:space="preserve"> </w:t>
            </w:r>
            <w:r w:rsidRPr="00150EDC">
              <w:rPr>
                <w:sz w:val="20"/>
              </w:rPr>
              <w:t>consenting to</w:t>
            </w:r>
            <w:r w:rsidRPr="00150EDC">
              <w:rPr>
                <w:spacing w:val="-4"/>
                <w:sz w:val="20"/>
              </w:rPr>
              <w:t xml:space="preserve"> </w:t>
            </w:r>
            <w:r w:rsidRPr="00150EDC">
              <w:rPr>
                <w:spacing w:val="-2"/>
                <w:sz w:val="20"/>
              </w:rPr>
              <w:t>penetration</w:t>
            </w:r>
          </w:p>
        </w:tc>
      </w:tr>
      <w:tr w:rsidR="004569EE" w:rsidRPr="007D3144" w14:paraId="68E12AF0" w14:textId="77777777">
        <w:trPr>
          <w:trHeight w:val="250"/>
        </w:trPr>
        <w:tc>
          <w:tcPr>
            <w:tcW w:w="6517" w:type="dxa"/>
            <w:tcBorders>
              <w:top w:val="single" w:sz="12" w:space="0" w:color="000000"/>
            </w:tcBorders>
          </w:tcPr>
          <w:p w14:paraId="4C85C416" w14:textId="77777777" w:rsidR="004C7180" w:rsidRPr="00150EDC" w:rsidRDefault="00CF0754">
            <w:pPr>
              <w:pStyle w:val="TableParagraph"/>
              <w:spacing w:before="22"/>
              <w:rPr>
                <w:sz w:val="20"/>
              </w:rPr>
            </w:pPr>
            <w:r w:rsidRPr="00150EDC">
              <w:rPr>
                <w:sz w:val="20"/>
              </w:rPr>
              <w:t>Sexual</w:t>
            </w:r>
            <w:r w:rsidRPr="00150EDC">
              <w:rPr>
                <w:spacing w:val="-6"/>
                <w:sz w:val="20"/>
              </w:rPr>
              <w:t xml:space="preserve"> </w:t>
            </w:r>
            <w:r w:rsidRPr="00150EDC">
              <w:rPr>
                <w:sz w:val="20"/>
              </w:rPr>
              <w:t>Offences</w:t>
            </w:r>
            <w:r w:rsidRPr="00150EDC">
              <w:rPr>
                <w:spacing w:val="-3"/>
                <w:sz w:val="20"/>
              </w:rPr>
              <w:t xml:space="preserve"> </w:t>
            </w:r>
            <w:r w:rsidRPr="00150EDC">
              <w:rPr>
                <w:sz w:val="20"/>
              </w:rPr>
              <w:t>Act</w:t>
            </w:r>
            <w:r w:rsidRPr="00150EDC">
              <w:rPr>
                <w:spacing w:val="-6"/>
                <w:sz w:val="20"/>
              </w:rPr>
              <w:t xml:space="preserve"> </w:t>
            </w:r>
            <w:r w:rsidRPr="00150EDC">
              <w:rPr>
                <w:sz w:val="20"/>
              </w:rPr>
              <w:t>2003,</w:t>
            </w:r>
            <w:r w:rsidRPr="00150EDC">
              <w:rPr>
                <w:spacing w:val="-8"/>
                <w:sz w:val="20"/>
              </w:rPr>
              <w:t xml:space="preserve"> </w:t>
            </w:r>
            <w:r w:rsidRPr="00150EDC">
              <w:rPr>
                <w:spacing w:val="-5"/>
                <w:sz w:val="20"/>
              </w:rPr>
              <w:t>s66</w:t>
            </w:r>
          </w:p>
        </w:tc>
        <w:tc>
          <w:tcPr>
            <w:tcW w:w="7427" w:type="dxa"/>
            <w:tcBorders>
              <w:top w:val="single" w:sz="12" w:space="0" w:color="000000"/>
            </w:tcBorders>
          </w:tcPr>
          <w:p w14:paraId="42C05DF4" w14:textId="77777777" w:rsidR="004C7180" w:rsidRPr="00150EDC" w:rsidRDefault="00CF0754">
            <w:pPr>
              <w:pStyle w:val="TableParagraph"/>
              <w:spacing w:before="22"/>
              <w:rPr>
                <w:sz w:val="20"/>
              </w:rPr>
            </w:pPr>
            <w:r w:rsidRPr="00150EDC">
              <w:rPr>
                <w:spacing w:val="-2"/>
                <w:sz w:val="20"/>
              </w:rPr>
              <w:t>Exposure</w:t>
            </w:r>
          </w:p>
        </w:tc>
      </w:tr>
      <w:tr w:rsidR="004569EE" w:rsidRPr="007D3144" w14:paraId="0D309DE4" w14:textId="77777777">
        <w:trPr>
          <w:trHeight w:val="255"/>
        </w:trPr>
        <w:tc>
          <w:tcPr>
            <w:tcW w:w="6517" w:type="dxa"/>
          </w:tcPr>
          <w:p w14:paraId="2139161A"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3"/>
                <w:sz w:val="20"/>
              </w:rPr>
              <w:t xml:space="preserve"> </w:t>
            </w:r>
            <w:r w:rsidRPr="00150EDC">
              <w:rPr>
                <w:sz w:val="20"/>
              </w:rPr>
              <w:t>Act</w:t>
            </w:r>
            <w:r w:rsidRPr="00150EDC">
              <w:rPr>
                <w:spacing w:val="-6"/>
                <w:sz w:val="20"/>
              </w:rPr>
              <w:t xml:space="preserve"> </w:t>
            </w:r>
            <w:r w:rsidRPr="00150EDC">
              <w:rPr>
                <w:sz w:val="20"/>
              </w:rPr>
              <w:t>2003,</w:t>
            </w:r>
            <w:r w:rsidRPr="00150EDC">
              <w:rPr>
                <w:spacing w:val="-8"/>
                <w:sz w:val="20"/>
              </w:rPr>
              <w:t xml:space="preserve"> </w:t>
            </w:r>
            <w:r w:rsidRPr="00150EDC">
              <w:rPr>
                <w:spacing w:val="-5"/>
                <w:sz w:val="20"/>
              </w:rPr>
              <w:t>s67</w:t>
            </w:r>
          </w:p>
        </w:tc>
        <w:tc>
          <w:tcPr>
            <w:tcW w:w="7427" w:type="dxa"/>
          </w:tcPr>
          <w:p w14:paraId="26119FEA" w14:textId="77777777" w:rsidR="004C7180" w:rsidRPr="00150EDC" w:rsidRDefault="00CF0754">
            <w:pPr>
              <w:pStyle w:val="TableParagraph"/>
              <w:rPr>
                <w:sz w:val="20"/>
              </w:rPr>
            </w:pPr>
            <w:r w:rsidRPr="00150EDC">
              <w:rPr>
                <w:spacing w:val="-2"/>
                <w:sz w:val="20"/>
              </w:rPr>
              <w:t>Voyeurism</w:t>
            </w:r>
          </w:p>
        </w:tc>
      </w:tr>
      <w:tr w:rsidR="004569EE" w:rsidRPr="007D3144" w14:paraId="574E6DA6" w14:textId="77777777">
        <w:trPr>
          <w:trHeight w:val="255"/>
        </w:trPr>
        <w:tc>
          <w:tcPr>
            <w:tcW w:w="6517" w:type="dxa"/>
          </w:tcPr>
          <w:p w14:paraId="1D25EB0D"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3"/>
                <w:sz w:val="20"/>
              </w:rPr>
              <w:t xml:space="preserve"> </w:t>
            </w:r>
            <w:r w:rsidRPr="00150EDC">
              <w:rPr>
                <w:sz w:val="20"/>
              </w:rPr>
              <w:t>Act</w:t>
            </w:r>
            <w:r w:rsidRPr="00150EDC">
              <w:rPr>
                <w:spacing w:val="-6"/>
                <w:sz w:val="20"/>
              </w:rPr>
              <w:t xml:space="preserve"> </w:t>
            </w:r>
            <w:r w:rsidRPr="00150EDC">
              <w:rPr>
                <w:sz w:val="20"/>
              </w:rPr>
              <w:t>2003,</w:t>
            </w:r>
            <w:r w:rsidRPr="00150EDC">
              <w:rPr>
                <w:spacing w:val="-8"/>
                <w:sz w:val="20"/>
              </w:rPr>
              <w:t xml:space="preserve"> </w:t>
            </w:r>
            <w:r w:rsidRPr="00150EDC">
              <w:rPr>
                <w:spacing w:val="-5"/>
                <w:sz w:val="20"/>
              </w:rPr>
              <w:t>s69</w:t>
            </w:r>
          </w:p>
        </w:tc>
        <w:tc>
          <w:tcPr>
            <w:tcW w:w="7427" w:type="dxa"/>
          </w:tcPr>
          <w:p w14:paraId="52B7268A" w14:textId="77777777" w:rsidR="004C7180" w:rsidRPr="00150EDC" w:rsidRDefault="00CF0754">
            <w:pPr>
              <w:pStyle w:val="TableParagraph"/>
              <w:rPr>
                <w:sz w:val="20"/>
              </w:rPr>
            </w:pPr>
            <w:r w:rsidRPr="00150EDC">
              <w:rPr>
                <w:sz w:val="20"/>
              </w:rPr>
              <w:t>Intercourse</w:t>
            </w:r>
            <w:r w:rsidRPr="00150EDC">
              <w:rPr>
                <w:spacing w:val="-7"/>
                <w:sz w:val="20"/>
              </w:rPr>
              <w:t xml:space="preserve"> </w:t>
            </w:r>
            <w:r w:rsidRPr="00150EDC">
              <w:rPr>
                <w:sz w:val="20"/>
              </w:rPr>
              <w:t>with</w:t>
            </w:r>
            <w:r w:rsidRPr="00150EDC">
              <w:rPr>
                <w:spacing w:val="-4"/>
                <w:sz w:val="20"/>
              </w:rPr>
              <w:t xml:space="preserve"> </w:t>
            </w:r>
            <w:r w:rsidRPr="00150EDC">
              <w:rPr>
                <w:sz w:val="20"/>
              </w:rPr>
              <w:t>an</w:t>
            </w:r>
            <w:r w:rsidRPr="00150EDC">
              <w:rPr>
                <w:spacing w:val="-6"/>
                <w:sz w:val="20"/>
              </w:rPr>
              <w:t xml:space="preserve"> </w:t>
            </w:r>
            <w:r w:rsidRPr="00150EDC">
              <w:rPr>
                <w:spacing w:val="-2"/>
                <w:sz w:val="20"/>
              </w:rPr>
              <w:t>animal</w:t>
            </w:r>
          </w:p>
        </w:tc>
      </w:tr>
      <w:tr w:rsidR="004569EE" w:rsidRPr="007D3144" w14:paraId="584D719D" w14:textId="77777777">
        <w:trPr>
          <w:trHeight w:val="255"/>
        </w:trPr>
        <w:tc>
          <w:tcPr>
            <w:tcW w:w="6517" w:type="dxa"/>
          </w:tcPr>
          <w:p w14:paraId="76D15A42"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3"/>
                <w:sz w:val="20"/>
              </w:rPr>
              <w:t xml:space="preserve"> </w:t>
            </w:r>
            <w:r w:rsidRPr="00150EDC">
              <w:rPr>
                <w:sz w:val="20"/>
              </w:rPr>
              <w:t>Act</w:t>
            </w:r>
            <w:r w:rsidRPr="00150EDC">
              <w:rPr>
                <w:spacing w:val="-6"/>
                <w:sz w:val="20"/>
              </w:rPr>
              <w:t xml:space="preserve"> </w:t>
            </w:r>
            <w:r w:rsidRPr="00150EDC">
              <w:rPr>
                <w:sz w:val="20"/>
              </w:rPr>
              <w:t>2003,</w:t>
            </w:r>
            <w:r w:rsidRPr="00150EDC">
              <w:rPr>
                <w:spacing w:val="-8"/>
                <w:sz w:val="20"/>
              </w:rPr>
              <w:t xml:space="preserve"> </w:t>
            </w:r>
            <w:r w:rsidRPr="00150EDC">
              <w:rPr>
                <w:spacing w:val="-5"/>
                <w:sz w:val="20"/>
              </w:rPr>
              <w:t>s7</w:t>
            </w:r>
          </w:p>
        </w:tc>
        <w:tc>
          <w:tcPr>
            <w:tcW w:w="7427" w:type="dxa"/>
          </w:tcPr>
          <w:p w14:paraId="588097D3" w14:textId="77777777" w:rsidR="004C7180" w:rsidRPr="00150EDC" w:rsidRDefault="00CF0754">
            <w:pPr>
              <w:pStyle w:val="TableParagraph"/>
              <w:rPr>
                <w:sz w:val="20"/>
              </w:rPr>
            </w:pPr>
            <w:r w:rsidRPr="00150EDC">
              <w:rPr>
                <w:sz w:val="20"/>
              </w:rPr>
              <w:t>Sexual</w:t>
            </w:r>
            <w:r w:rsidRPr="00150EDC">
              <w:rPr>
                <w:spacing w:val="-4"/>
                <w:sz w:val="20"/>
              </w:rPr>
              <w:t xml:space="preserve"> </w:t>
            </w:r>
            <w:r w:rsidRPr="00150EDC">
              <w:rPr>
                <w:sz w:val="20"/>
              </w:rPr>
              <w:t>assault</w:t>
            </w:r>
            <w:r w:rsidRPr="00150EDC">
              <w:rPr>
                <w:spacing w:val="1"/>
                <w:sz w:val="20"/>
              </w:rPr>
              <w:t xml:space="preserve"> </w:t>
            </w:r>
            <w:r w:rsidRPr="00150EDC">
              <w:rPr>
                <w:sz w:val="20"/>
              </w:rPr>
              <w:t>on</w:t>
            </w:r>
            <w:r w:rsidRPr="00150EDC">
              <w:rPr>
                <w:spacing w:val="-5"/>
                <w:sz w:val="20"/>
              </w:rPr>
              <w:t xml:space="preserve"> </w:t>
            </w:r>
            <w:r w:rsidRPr="00150EDC">
              <w:rPr>
                <w:sz w:val="20"/>
              </w:rPr>
              <w:t>a</w:t>
            </w:r>
            <w:r w:rsidRPr="00150EDC">
              <w:rPr>
                <w:spacing w:val="-5"/>
                <w:sz w:val="20"/>
              </w:rPr>
              <w:t xml:space="preserve"> </w:t>
            </w:r>
            <w:r w:rsidRPr="00150EDC">
              <w:rPr>
                <w:sz w:val="20"/>
              </w:rPr>
              <w:t>child</w:t>
            </w:r>
            <w:r w:rsidRPr="00150EDC">
              <w:rPr>
                <w:spacing w:val="-5"/>
                <w:sz w:val="20"/>
              </w:rPr>
              <w:t xml:space="preserve"> </w:t>
            </w:r>
            <w:r w:rsidRPr="00150EDC">
              <w:rPr>
                <w:sz w:val="20"/>
              </w:rPr>
              <w:t>under</w:t>
            </w:r>
            <w:r w:rsidRPr="00150EDC">
              <w:rPr>
                <w:spacing w:val="-4"/>
                <w:sz w:val="20"/>
              </w:rPr>
              <w:t xml:space="preserve"> </w:t>
            </w:r>
            <w:r w:rsidRPr="00150EDC">
              <w:rPr>
                <w:spacing w:val="-5"/>
                <w:sz w:val="20"/>
              </w:rPr>
              <w:t>13</w:t>
            </w:r>
          </w:p>
        </w:tc>
      </w:tr>
      <w:tr w:rsidR="004569EE" w:rsidRPr="007D3144" w14:paraId="5F9A3E92" w14:textId="77777777">
        <w:trPr>
          <w:trHeight w:val="255"/>
        </w:trPr>
        <w:tc>
          <w:tcPr>
            <w:tcW w:w="6517" w:type="dxa"/>
          </w:tcPr>
          <w:p w14:paraId="2E0C6675" w14:textId="77777777" w:rsidR="004C7180" w:rsidRPr="00150EDC" w:rsidRDefault="00CF0754">
            <w:pPr>
              <w:pStyle w:val="TableParagraph"/>
              <w:spacing w:before="28"/>
              <w:rPr>
                <w:sz w:val="20"/>
              </w:rPr>
            </w:pPr>
            <w:r w:rsidRPr="00150EDC">
              <w:rPr>
                <w:sz w:val="20"/>
              </w:rPr>
              <w:t>Sexual</w:t>
            </w:r>
            <w:r w:rsidRPr="00150EDC">
              <w:rPr>
                <w:spacing w:val="-6"/>
                <w:sz w:val="20"/>
              </w:rPr>
              <w:t xml:space="preserve"> </w:t>
            </w:r>
            <w:r w:rsidRPr="00150EDC">
              <w:rPr>
                <w:sz w:val="20"/>
              </w:rPr>
              <w:t>Offences</w:t>
            </w:r>
            <w:r w:rsidRPr="00150EDC">
              <w:rPr>
                <w:spacing w:val="-3"/>
                <w:sz w:val="20"/>
              </w:rPr>
              <w:t xml:space="preserve"> </w:t>
            </w:r>
            <w:r w:rsidRPr="00150EDC">
              <w:rPr>
                <w:sz w:val="20"/>
              </w:rPr>
              <w:t>Act</w:t>
            </w:r>
            <w:r w:rsidRPr="00150EDC">
              <w:rPr>
                <w:spacing w:val="-6"/>
                <w:sz w:val="20"/>
              </w:rPr>
              <w:t xml:space="preserve"> </w:t>
            </w:r>
            <w:r w:rsidRPr="00150EDC">
              <w:rPr>
                <w:sz w:val="20"/>
              </w:rPr>
              <w:t>2003,</w:t>
            </w:r>
            <w:r w:rsidRPr="00150EDC">
              <w:rPr>
                <w:spacing w:val="-8"/>
                <w:sz w:val="20"/>
              </w:rPr>
              <w:t xml:space="preserve"> </w:t>
            </w:r>
            <w:r w:rsidRPr="00150EDC">
              <w:rPr>
                <w:spacing w:val="-5"/>
                <w:sz w:val="20"/>
              </w:rPr>
              <w:t>s70</w:t>
            </w:r>
          </w:p>
        </w:tc>
        <w:tc>
          <w:tcPr>
            <w:tcW w:w="7427" w:type="dxa"/>
          </w:tcPr>
          <w:p w14:paraId="2CC368DA" w14:textId="77777777" w:rsidR="004C7180" w:rsidRPr="00150EDC" w:rsidRDefault="00CF0754">
            <w:pPr>
              <w:pStyle w:val="TableParagraph"/>
              <w:spacing w:before="28"/>
              <w:rPr>
                <w:sz w:val="20"/>
              </w:rPr>
            </w:pPr>
            <w:r w:rsidRPr="00150EDC">
              <w:rPr>
                <w:sz w:val="20"/>
              </w:rPr>
              <w:t>Sexual</w:t>
            </w:r>
            <w:r w:rsidRPr="00150EDC">
              <w:rPr>
                <w:spacing w:val="-4"/>
                <w:sz w:val="20"/>
              </w:rPr>
              <w:t xml:space="preserve"> </w:t>
            </w:r>
            <w:r w:rsidRPr="00150EDC">
              <w:rPr>
                <w:sz w:val="20"/>
              </w:rPr>
              <w:t>penetration</w:t>
            </w:r>
            <w:r w:rsidRPr="00150EDC">
              <w:rPr>
                <w:spacing w:val="-6"/>
                <w:sz w:val="20"/>
              </w:rPr>
              <w:t xml:space="preserve"> </w:t>
            </w:r>
            <w:r w:rsidRPr="00150EDC">
              <w:rPr>
                <w:sz w:val="20"/>
              </w:rPr>
              <w:t>of</w:t>
            </w:r>
            <w:r w:rsidRPr="00150EDC">
              <w:rPr>
                <w:spacing w:val="-6"/>
                <w:sz w:val="20"/>
              </w:rPr>
              <w:t xml:space="preserve"> </w:t>
            </w:r>
            <w:r w:rsidRPr="00150EDC">
              <w:rPr>
                <w:sz w:val="20"/>
              </w:rPr>
              <w:t xml:space="preserve">a </w:t>
            </w:r>
            <w:r w:rsidRPr="00150EDC">
              <w:rPr>
                <w:spacing w:val="-2"/>
                <w:sz w:val="20"/>
              </w:rPr>
              <w:t>corpse</w:t>
            </w:r>
          </w:p>
        </w:tc>
      </w:tr>
    </w:tbl>
    <w:p w14:paraId="3B5F5CE7" w14:textId="77777777" w:rsidR="004C7180" w:rsidRPr="00150EDC" w:rsidRDefault="004C7180">
      <w:pPr>
        <w:rPr>
          <w:sz w:val="20"/>
        </w:rPr>
        <w:sectPr w:rsidR="004C7180" w:rsidRPr="00150EDC">
          <w:footerReference w:type="default" r:id="rId151"/>
          <w:pgSz w:w="16840" w:h="11910" w:orient="landscape"/>
          <w:pgMar w:top="1340" w:right="1320" w:bottom="280" w:left="1340" w:header="0" w:footer="0" w:gutter="0"/>
          <w:cols w:space="720"/>
        </w:sectPr>
      </w:pPr>
    </w:p>
    <w:p w14:paraId="547BD90B" w14:textId="77777777" w:rsidR="004C7180" w:rsidRPr="00150EDC" w:rsidRDefault="004C7180">
      <w:pPr>
        <w:pStyle w:val="BodyText"/>
        <w:spacing w:before="3"/>
        <w:rPr>
          <w:sz w:val="8"/>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517"/>
        <w:gridCol w:w="7427"/>
      </w:tblGrid>
      <w:tr w:rsidR="004569EE" w:rsidRPr="007D3144" w14:paraId="3FCD7165" w14:textId="77777777">
        <w:trPr>
          <w:trHeight w:val="254"/>
        </w:trPr>
        <w:tc>
          <w:tcPr>
            <w:tcW w:w="6517" w:type="dxa"/>
          </w:tcPr>
          <w:p w14:paraId="2E424DA5"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3"/>
                <w:sz w:val="20"/>
              </w:rPr>
              <w:t xml:space="preserve"> </w:t>
            </w:r>
            <w:r w:rsidRPr="00150EDC">
              <w:rPr>
                <w:sz w:val="20"/>
              </w:rPr>
              <w:t>Act</w:t>
            </w:r>
            <w:r w:rsidRPr="00150EDC">
              <w:rPr>
                <w:spacing w:val="-6"/>
                <w:sz w:val="20"/>
              </w:rPr>
              <w:t xml:space="preserve"> </w:t>
            </w:r>
            <w:r w:rsidRPr="00150EDC">
              <w:rPr>
                <w:sz w:val="20"/>
              </w:rPr>
              <w:t>2003,</w:t>
            </w:r>
            <w:r w:rsidRPr="00150EDC">
              <w:rPr>
                <w:spacing w:val="-8"/>
                <w:sz w:val="20"/>
              </w:rPr>
              <w:t xml:space="preserve"> </w:t>
            </w:r>
            <w:r w:rsidRPr="00150EDC">
              <w:rPr>
                <w:spacing w:val="-5"/>
                <w:sz w:val="20"/>
              </w:rPr>
              <w:t>s72</w:t>
            </w:r>
          </w:p>
        </w:tc>
        <w:tc>
          <w:tcPr>
            <w:tcW w:w="7427" w:type="dxa"/>
          </w:tcPr>
          <w:p w14:paraId="40A973D4" w14:textId="77777777" w:rsidR="004C7180" w:rsidRPr="00150EDC" w:rsidRDefault="00CF0754">
            <w:pPr>
              <w:pStyle w:val="TableParagraph"/>
              <w:rPr>
                <w:sz w:val="20"/>
              </w:rPr>
            </w:pPr>
            <w:r w:rsidRPr="00150EDC">
              <w:rPr>
                <w:sz w:val="20"/>
              </w:rPr>
              <w:t>Offences</w:t>
            </w:r>
            <w:r w:rsidRPr="00150EDC">
              <w:rPr>
                <w:spacing w:val="-5"/>
                <w:sz w:val="20"/>
              </w:rPr>
              <w:t xml:space="preserve"> </w:t>
            </w:r>
            <w:r w:rsidRPr="00150EDC">
              <w:rPr>
                <w:sz w:val="20"/>
              </w:rPr>
              <w:t>outside</w:t>
            </w:r>
            <w:r w:rsidRPr="00150EDC">
              <w:rPr>
                <w:spacing w:val="-6"/>
                <w:sz w:val="20"/>
              </w:rPr>
              <w:t xml:space="preserve"> </w:t>
            </w:r>
            <w:r w:rsidRPr="00150EDC">
              <w:rPr>
                <w:sz w:val="20"/>
              </w:rPr>
              <w:t>the</w:t>
            </w:r>
            <w:r w:rsidRPr="00150EDC">
              <w:rPr>
                <w:spacing w:val="-6"/>
                <w:sz w:val="20"/>
              </w:rPr>
              <w:t xml:space="preserve"> </w:t>
            </w:r>
            <w:r w:rsidRPr="00150EDC">
              <w:rPr>
                <w:sz w:val="20"/>
              </w:rPr>
              <w:t>United</w:t>
            </w:r>
            <w:r w:rsidRPr="00150EDC">
              <w:rPr>
                <w:spacing w:val="-6"/>
                <w:sz w:val="20"/>
              </w:rPr>
              <w:t xml:space="preserve"> </w:t>
            </w:r>
            <w:r w:rsidRPr="00150EDC">
              <w:rPr>
                <w:spacing w:val="-2"/>
                <w:sz w:val="20"/>
              </w:rPr>
              <w:t>Kingdom</w:t>
            </w:r>
          </w:p>
        </w:tc>
      </w:tr>
      <w:tr w:rsidR="004569EE" w:rsidRPr="007D3144" w14:paraId="402C901B" w14:textId="77777777">
        <w:trPr>
          <w:trHeight w:val="255"/>
        </w:trPr>
        <w:tc>
          <w:tcPr>
            <w:tcW w:w="6517" w:type="dxa"/>
          </w:tcPr>
          <w:p w14:paraId="47840050" w14:textId="77777777" w:rsidR="004C7180" w:rsidRPr="00150EDC" w:rsidRDefault="00CF0754">
            <w:pPr>
              <w:pStyle w:val="TableParagraph"/>
              <w:spacing w:before="28"/>
              <w:rPr>
                <w:sz w:val="20"/>
              </w:rPr>
            </w:pPr>
            <w:r w:rsidRPr="00150EDC">
              <w:rPr>
                <w:sz w:val="20"/>
              </w:rPr>
              <w:t>Sexual</w:t>
            </w:r>
            <w:r w:rsidRPr="00150EDC">
              <w:rPr>
                <w:spacing w:val="-6"/>
                <w:sz w:val="20"/>
              </w:rPr>
              <w:t xml:space="preserve"> </w:t>
            </w:r>
            <w:r w:rsidRPr="00150EDC">
              <w:rPr>
                <w:sz w:val="20"/>
              </w:rPr>
              <w:t>Offences</w:t>
            </w:r>
            <w:r w:rsidRPr="00150EDC">
              <w:rPr>
                <w:spacing w:val="-3"/>
                <w:sz w:val="20"/>
              </w:rPr>
              <w:t xml:space="preserve"> </w:t>
            </w:r>
            <w:r w:rsidRPr="00150EDC">
              <w:rPr>
                <w:sz w:val="20"/>
              </w:rPr>
              <w:t>Act</w:t>
            </w:r>
            <w:r w:rsidRPr="00150EDC">
              <w:rPr>
                <w:spacing w:val="-6"/>
                <w:sz w:val="20"/>
              </w:rPr>
              <w:t xml:space="preserve"> </w:t>
            </w:r>
            <w:r w:rsidRPr="00150EDC">
              <w:rPr>
                <w:sz w:val="20"/>
              </w:rPr>
              <w:t>2003,</w:t>
            </w:r>
            <w:r w:rsidRPr="00150EDC">
              <w:rPr>
                <w:spacing w:val="-8"/>
                <w:sz w:val="20"/>
              </w:rPr>
              <w:t xml:space="preserve"> </w:t>
            </w:r>
            <w:r w:rsidRPr="00150EDC">
              <w:rPr>
                <w:spacing w:val="-5"/>
                <w:sz w:val="20"/>
              </w:rPr>
              <w:t>s8</w:t>
            </w:r>
          </w:p>
        </w:tc>
        <w:tc>
          <w:tcPr>
            <w:tcW w:w="7427" w:type="dxa"/>
          </w:tcPr>
          <w:p w14:paraId="2E0CE7FD" w14:textId="77777777" w:rsidR="004C7180" w:rsidRPr="00150EDC" w:rsidRDefault="00CF0754">
            <w:pPr>
              <w:pStyle w:val="TableParagraph"/>
              <w:spacing w:before="28"/>
              <w:rPr>
                <w:sz w:val="20"/>
              </w:rPr>
            </w:pPr>
            <w:r w:rsidRPr="00150EDC">
              <w:rPr>
                <w:sz w:val="20"/>
              </w:rPr>
              <w:t>causing</w:t>
            </w:r>
            <w:r w:rsidRPr="00150EDC">
              <w:rPr>
                <w:spacing w:val="-6"/>
                <w:sz w:val="20"/>
              </w:rPr>
              <w:t xml:space="preserve"> </w:t>
            </w:r>
            <w:r w:rsidRPr="00150EDC">
              <w:rPr>
                <w:sz w:val="20"/>
              </w:rPr>
              <w:t>or</w:t>
            </w:r>
            <w:r w:rsidRPr="00150EDC">
              <w:rPr>
                <w:spacing w:val="-5"/>
                <w:sz w:val="20"/>
              </w:rPr>
              <w:t xml:space="preserve"> </w:t>
            </w:r>
            <w:r w:rsidRPr="00150EDC">
              <w:rPr>
                <w:sz w:val="20"/>
              </w:rPr>
              <w:t>inciting</w:t>
            </w:r>
            <w:r w:rsidRPr="00150EDC">
              <w:rPr>
                <w:spacing w:val="-1"/>
                <w:sz w:val="20"/>
              </w:rPr>
              <w:t xml:space="preserve"> </w:t>
            </w:r>
            <w:r w:rsidRPr="00150EDC">
              <w:rPr>
                <w:sz w:val="20"/>
              </w:rPr>
              <w:t>a</w:t>
            </w:r>
            <w:r w:rsidRPr="00150EDC">
              <w:rPr>
                <w:spacing w:val="-5"/>
                <w:sz w:val="20"/>
              </w:rPr>
              <w:t xml:space="preserve"> </w:t>
            </w:r>
            <w:r w:rsidRPr="00150EDC">
              <w:rPr>
                <w:sz w:val="20"/>
              </w:rPr>
              <w:t>child</w:t>
            </w:r>
            <w:r w:rsidRPr="00150EDC">
              <w:rPr>
                <w:spacing w:val="-5"/>
                <w:sz w:val="20"/>
              </w:rPr>
              <w:t xml:space="preserve"> </w:t>
            </w:r>
            <w:r w:rsidRPr="00150EDC">
              <w:rPr>
                <w:sz w:val="20"/>
              </w:rPr>
              <w:t>under</w:t>
            </w:r>
            <w:r w:rsidRPr="00150EDC">
              <w:rPr>
                <w:spacing w:val="-2"/>
                <w:sz w:val="20"/>
              </w:rPr>
              <w:t xml:space="preserve"> </w:t>
            </w:r>
            <w:r w:rsidRPr="00150EDC">
              <w:rPr>
                <w:sz w:val="20"/>
              </w:rPr>
              <w:t>13</w:t>
            </w:r>
            <w:r w:rsidRPr="00150EDC">
              <w:rPr>
                <w:spacing w:val="-5"/>
                <w:sz w:val="20"/>
              </w:rPr>
              <w:t xml:space="preserve"> </w:t>
            </w:r>
            <w:r w:rsidRPr="00150EDC">
              <w:rPr>
                <w:sz w:val="20"/>
              </w:rPr>
              <w:t>to</w:t>
            </w:r>
            <w:r w:rsidRPr="00150EDC">
              <w:rPr>
                <w:spacing w:val="-1"/>
                <w:sz w:val="20"/>
              </w:rPr>
              <w:t xml:space="preserve"> </w:t>
            </w:r>
            <w:r w:rsidRPr="00150EDC">
              <w:rPr>
                <w:sz w:val="20"/>
              </w:rPr>
              <w:t>engage</w:t>
            </w:r>
            <w:r w:rsidRPr="00150EDC">
              <w:rPr>
                <w:spacing w:val="-5"/>
                <w:sz w:val="20"/>
              </w:rPr>
              <w:t xml:space="preserve"> </w:t>
            </w:r>
            <w:r w:rsidRPr="00150EDC">
              <w:rPr>
                <w:sz w:val="20"/>
              </w:rPr>
              <w:t>in</w:t>
            </w:r>
            <w:r w:rsidRPr="00150EDC">
              <w:rPr>
                <w:spacing w:val="-5"/>
                <w:sz w:val="20"/>
              </w:rPr>
              <w:t xml:space="preserve"> </w:t>
            </w:r>
            <w:r w:rsidRPr="00150EDC">
              <w:rPr>
                <w:sz w:val="20"/>
              </w:rPr>
              <w:t>sexual</w:t>
            </w:r>
            <w:r w:rsidRPr="00150EDC">
              <w:rPr>
                <w:spacing w:val="-4"/>
                <w:sz w:val="20"/>
              </w:rPr>
              <w:t xml:space="preserve"> </w:t>
            </w:r>
            <w:r w:rsidRPr="00150EDC">
              <w:rPr>
                <w:spacing w:val="-2"/>
                <w:sz w:val="20"/>
              </w:rPr>
              <w:t>activity</w:t>
            </w:r>
          </w:p>
        </w:tc>
      </w:tr>
      <w:tr w:rsidR="004569EE" w:rsidRPr="007D3144" w14:paraId="42E6826B" w14:textId="77777777">
        <w:trPr>
          <w:trHeight w:val="255"/>
        </w:trPr>
        <w:tc>
          <w:tcPr>
            <w:tcW w:w="6517" w:type="dxa"/>
          </w:tcPr>
          <w:p w14:paraId="08A12252"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Offences</w:t>
            </w:r>
            <w:r w:rsidRPr="00150EDC">
              <w:rPr>
                <w:spacing w:val="-3"/>
                <w:sz w:val="20"/>
              </w:rPr>
              <w:t xml:space="preserve"> </w:t>
            </w:r>
            <w:r w:rsidRPr="00150EDC">
              <w:rPr>
                <w:sz w:val="20"/>
              </w:rPr>
              <w:t>Act</w:t>
            </w:r>
            <w:r w:rsidRPr="00150EDC">
              <w:rPr>
                <w:spacing w:val="-6"/>
                <w:sz w:val="20"/>
              </w:rPr>
              <w:t xml:space="preserve"> </w:t>
            </w:r>
            <w:r w:rsidRPr="00150EDC">
              <w:rPr>
                <w:sz w:val="20"/>
              </w:rPr>
              <w:t>2003,</w:t>
            </w:r>
            <w:r w:rsidRPr="00150EDC">
              <w:rPr>
                <w:spacing w:val="-8"/>
                <w:sz w:val="20"/>
              </w:rPr>
              <w:t xml:space="preserve"> </w:t>
            </w:r>
            <w:r w:rsidRPr="00150EDC">
              <w:rPr>
                <w:spacing w:val="-5"/>
                <w:sz w:val="20"/>
              </w:rPr>
              <w:t>s9</w:t>
            </w:r>
          </w:p>
        </w:tc>
        <w:tc>
          <w:tcPr>
            <w:tcW w:w="7427" w:type="dxa"/>
          </w:tcPr>
          <w:p w14:paraId="28AE5458" w14:textId="77777777" w:rsidR="004C7180" w:rsidRPr="00150EDC" w:rsidRDefault="00CF0754">
            <w:pPr>
              <w:pStyle w:val="TableParagraph"/>
              <w:rPr>
                <w:sz w:val="20"/>
              </w:rPr>
            </w:pPr>
            <w:r w:rsidRPr="00150EDC">
              <w:rPr>
                <w:sz w:val="20"/>
              </w:rPr>
              <w:t>Sexual</w:t>
            </w:r>
            <w:r w:rsidRPr="00150EDC">
              <w:rPr>
                <w:spacing w:val="-3"/>
                <w:sz w:val="20"/>
              </w:rPr>
              <w:t xml:space="preserve"> </w:t>
            </w:r>
            <w:r w:rsidRPr="00150EDC">
              <w:rPr>
                <w:sz w:val="20"/>
              </w:rPr>
              <w:t>activity</w:t>
            </w:r>
            <w:r w:rsidRPr="00150EDC">
              <w:rPr>
                <w:spacing w:val="-4"/>
                <w:sz w:val="20"/>
              </w:rPr>
              <w:t xml:space="preserve"> </w:t>
            </w:r>
            <w:r w:rsidRPr="00150EDC">
              <w:rPr>
                <w:sz w:val="20"/>
              </w:rPr>
              <w:t>with</w:t>
            </w:r>
            <w:r w:rsidRPr="00150EDC">
              <w:rPr>
                <w:spacing w:val="-5"/>
                <w:sz w:val="20"/>
              </w:rPr>
              <w:t xml:space="preserve"> </w:t>
            </w:r>
            <w:r w:rsidRPr="00150EDC">
              <w:rPr>
                <w:sz w:val="20"/>
              </w:rPr>
              <w:t>a</w:t>
            </w:r>
            <w:r w:rsidRPr="00150EDC">
              <w:rPr>
                <w:spacing w:val="-4"/>
                <w:sz w:val="20"/>
              </w:rPr>
              <w:t xml:space="preserve"> child</w:t>
            </w:r>
          </w:p>
        </w:tc>
      </w:tr>
      <w:tr w:rsidR="004569EE" w:rsidRPr="007D3144" w14:paraId="63C519D2" w14:textId="77777777">
        <w:trPr>
          <w:trHeight w:val="255"/>
        </w:trPr>
        <w:tc>
          <w:tcPr>
            <w:tcW w:w="6517" w:type="dxa"/>
          </w:tcPr>
          <w:p w14:paraId="20262388" w14:textId="77777777" w:rsidR="004C7180" w:rsidRPr="00150EDC" w:rsidRDefault="00CF0754">
            <w:pPr>
              <w:pStyle w:val="TableParagraph"/>
              <w:rPr>
                <w:sz w:val="20"/>
              </w:rPr>
            </w:pPr>
            <w:r w:rsidRPr="00150EDC">
              <w:rPr>
                <w:sz w:val="20"/>
              </w:rPr>
              <w:t>Sexual</w:t>
            </w:r>
            <w:r w:rsidRPr="00150EDC">
              <w:rPr>
                <w:spacing w:val="-6"/>
                <w:sz w:val="20"/>
              </w:rPr>
              <w:t xml:space="preserve"> </w:t>
            </w:r>
            <w:r w:rsidRPr="00150EDC">
              <w:rPr>
                <w:sz w:val="20"/>
              </w:rPr>
              <w:t>Offenders</w:t>
            </w:r>
            <w:r w:rsidRPr="00150EDC">
              <w:rPr>
                <w:spacing w:val="-6"/>
                <w:sz w:val="20"/>
              </w:rPr>
              <w:t xml:space="preserve"> </w:t>
            </w:r>
            <w:r w:rsidRPr="00150EDC">
              <w:rPr>
                <w:sz w:val="20"/>
              </w:rPr>
              <w:t>Act</w:t>
            </w:r>
            <w:r w:rsidRPr="00150EDC">
              <w:rPr>
                <w:spacing w:val="-6"/>
                <w:sz w:val="20"/>
              </w:rPr>
              <w:t xml:space="preserve"> </w:t>
            </w:r>
            <w:r w:rsidRPr="00150EDC">
              <w:rPr>
                <w:sz w:val="20"/>
              </w:rPr>
              <w:t>1997,</w:t>
            </w:r>
            <w:r w:rsidRPr="00150EDC">
              <w:rPr>
                <w:spacing w:val="-7"/>
                <w:sz w:val="20"/>
              </w:rPr>
              <w:t xml:space="preserve"> </w:t>
            </w:r>
            <w:r w:rsidRPr="00150EDC">
              <w:rPr>
                <w:spacing w:val="-5"/>
                <w:sz w:val="20"/>
              </w:rPr>
              <w:t>s7</w:t>
            </w:r>
          </w:p>
        </w:tc>
        <w:tc>
          <w:tcPr>
            <w:tcW w:w="7427" w:type="dxa"/>
          </w:tcPr>
          <w:p w14:paraId="722DD805" w14:textId="77777777" w:rsidR="004C7180" w:rsidRPr="00150EDC" w:rsidRDefault="00CF0754">
            <w:pPr>
              <w:pStyle w:val="TableParagraph"/>
              <w:rPr>
                <w:sz w:val="20"/>
              </w:rPr>
            </w:pPr>
            <w:r w:rsidRPr="00150EDC">
              <w:rPr>
                <w:sz w:val="20"/>
              </w:rPr>
              <w:t>Extension</w:t>
            </w:r>
            <w:r w:rsidRPr="00150EDC">
              <w:rPr>
                <w:spacing w:val="-6"/>
                <w:sz w:val="20"/>
              </w:rPr>
              <w:t xml:space="preserve"> </w:t>
            </w:r>
            <w:r w:rsidRPr="00150EDC">
              <w:rPr>
                <w:sz w:val="20"/>
              </w:rPr>
              <w:t>of</w:t>
            </w:r>
            <w:r w:rsidRPr="00150EDC">
              <w:rPr>
                <w:spacing w:val="-6"/>
                <w:sz w:val="20"/>
              </w:rPr>
              <w:t xml:space="preserve"> </w:t>
            </w:r>
            <w:r w:rsidRPr="00150EDC">
              <w:rPr>
                <w:sz w:val="20"/>
              </w:rPr>
              <w:t>jurisdiction:</w:t>
            </w:r>
            <w:r w:rsidRPr="00150EDC">
              <w:rPr>
                <w:spacing w:val="-5"/>
                <w:sz w:val="20"/>
              </w:rPr>
              <w:t xml:space="preserve"> </w:t>
            </w:r>
            <w:r w:rsidRPr="00150EDC">
              <w:rPr>
                <w:sz w:val="20"/>
              </w:rPr>
              <w:t>England</w:t>
            </w:r>
            <w:r w:rsidRPr="00150EDC">
              <w:rPr>
                <w:spacing w:val="-1"/>
                <w:sz w:val="20"/>
              </w:rPr>
              <w:t xml:space="preserve"> </w:t>
            </w:r>
            <w:r w:rsidRPr="00150EDC">
              <w:rPr>
                <w:sz w:val="20"/>
              </w:rPr>
              <w:t>and</w:t>
            </w:r>
            <w:r w:rsidRPr="00150EDC">
              <w:rPr>
                <w:spacing w:val="-6"/>
                <w:sz w:val="20"/>
              </w:rPr>
              <w:t xml:space="preserve"> </w:t>
            </w:r>
            <w:r w:rsidRPr="00150EDC">
              <w:rPr>
                <w:sz w:val="20"/>
              </w:rPr>
              <w:t>Wales and</w:t>
            </w:r>
            <w:r w:rsidRPr="00150EDC">
              <w:rPr>
                <w:spacing w:val="-5"/>
                <w:sz w:val="20"/>
              </w:rPr>
              <w:t xml:space="preserve"> </w:t>
            </w:r>
            <w:r w:rsidRPr="00150EDC">
              <w:rPr>
                <w:sz w:val="20"/>
              </w:rPr>
              <w:t>Northern</w:t>
            </w:r>
            <w:r w:rsidRPr="00150EDC">
              <w:rPr>
                <w:spacing w:val="-2"/>
                <w:sz w:val="20"/>
              </w:rPr>
              <w:t xml:space="preserve"> Ireland</w:t>
            </w:r>
          </w:p>
        </w:tc>
      </w:tr>
      <w:tr w:rsidR="004569EE" w:rsidRPr="007D3144" w14:paraId="13C7F9FC" w14:textId="77777777">
        <w:trPr>
          <w:trHeight w:val="255"/>
        </w:trPr>
        <w:tc>
          <w:tcPr>
            <w:tcW w:w="6517" w:type="dxa"/>
          </w:tcPr>
          <w:p w14:paraId="1B7C7D9C" w14:textId="77777777" w:rsidR="004C7180" w:rsidRPr="00150EDC" w:rsidRDefault="00CF0754">
            <w:pPr>
              <w:pStyle w:val="TableParagraph"/>
              <w:rPr>
                <w:sz w:val="20"/>
              </w:rPr>
            </w:pPr>
            <w:r w:rsidRPr="00150EDC">
              <w:rPr>
                <w:sz w:val="20"/>
              </w:rPr>
              <w:t>Social</w:t>
            </w:r>
            <w:r w:rsidRPr="00150EDC">
              <w:rPr>
                <w:spacing w:val="-5"/>
                <w:sz w:val="20"/>
              </w:rPr>
              <w:t xml:space="preserve"> </w:t>
            </w:r>
            <w:r w:rsidRPr="00150EDC">
              <w:rPr>
                <w:sz w:val="20"/>
              </w:rPr>
              <w:t>Work</w:t>
            </w:r>
            <w:r w:rsidRPr="00150EDC">
              <w:rPr>
                <w:spacing w:val="-5"/>
                <w:sz w:val="20"/>
              </w:rPr>
              <w:t xml:space="preserve"> </w:t>
            </w:r>
            <w:r w:rsidRPr="00150EDC">
              <w:rPr>
                <w:sz w:val="20"/>
              </w:rPr>
              <w:t>(Scotland)</w:t>
            </w:r>
            <w:r w:rsidRPr="00150EDC">
              <w:rPr>
                <w:spacing w:val="-6"/>
                <w:sz w:val="20"/>
              </w:rPr>
              <w:t xml:space="preserve"> </w:t>
            </w:r>
            <w:r w:rsidRPr="00150EDC">
              <w:rPr>
                <w:sz w:val="20"/>
              </w:rPr>
              <w:t>Act</w:t>
            </w:r>
            <w:r w:rsidRPr="00150EDC">
              <w:rPr>
                <w:spacing w:val="-6"/>
                <w:sz w:val="20"/>
              </w:rPr>
              <w:t xml:space="preserve"> </w:t>
            </w:r>
            <w:r w:rsidRPr="00150EDC">
              <w:rPr>
                <w:sz w:val="20"/>
              </w:rPr>
              <w:t>1968,</w:t>
            </w:r>
            <w:r w:rsidRPr="00150EDC">
              <w:rPr>
                <w:spacing w:val="-6"/>
                <w:sz w:val="20"/>
              </w:rPr>
              <w:t xml:space="preserve"> </w:t>
            </w:r>
            <w:r w:rsidRPr="00150EDC">
              <w:rPr>
                <w:spacing w:val="-2"/>
                <w:sz w:val="20"/>
              </w:rPr>
              <w:t>s17(8)</w:t>
            </w:r>
          </w:p>
        </w:tc>
        <w:tc>
          <w:tcPr>
            <w:tcW w:w="7427" w:type="dxa"/>
          </w:tcPr>
          <w:p w14:paraId="11EB87DE" w14:textId="77777777" w:rsidR="004C7180" w:rsidRPr="00150EDC" w:rsidRDefault="00CF0754">
            <w:pPr>
              <w:pStyle w:val="TableParagraph"/>
              <w:rPr>
                <w:sz w:val="20"/>
              </w:rPr>
            </w:pPr>
            <w:r w:rsidRPr="00150EDC">
              <w:rPr>
                <w:spacing w:val="-2"/>
                <w:sz w:val="20"/>
              </w:rPr>
              <w:t>Harbouring</w:t>
            </w:r>
          </w:p>
        </w:tc>
      </w:tr>
      <w:tr w:rsidR="004569EE" w:rsidRPr="007D3144" w14:paraId="7C88128F" w14:textId="77777777">
        <w:trPr>
          <w:trHeight w:val="255"/>
        </w:trPr>
        <w:tc>
          <w:tcPr>
            <w:tcW w:w="6517" w:type="dxa"/>
          </w:tcPr>
          <w:p w14:paraId="79CE0412" w14:textId="77777777" w:rsidR="004C7180" w:rsidRPr="00150EDC" w:rsidRDefault="00CF0754">
            <w:pPr>
              <w:pStyle w:val="TableParagraph"/>
              <w:spacing w:before="28"/>
              <w:rPr>
                <w:sz w:val="20"/>
              </w:rPr>
            </w:pPr>
            <w:r w:rsidRPr="00150EDC">
              <w:rPr>
                <w:sz w:val="20"/>
              </w:rPr>
              <w:t>Social</w:t>
            </w:r>
            <w:r w:rsidRPr="00150EDC">
              <w:rPr>
                <w:spacing w:val="-5"/>
                <w:sz w:val="20"/>
              </w:rPr>
              <w:t xml:space="preserve"> </w:t>
            </w:r>
            <w:r w:rsidRPr="00150EDC">
              <w:rPr>
                <w:sz w:val="20"/>
              </w:rPr>
              <w:t>Work</w:t>
            </w:r>
            <w:r w:rsidRPr="00150EDC">
              <w:rPr>
                <w:spacing w:val="-5"/>
                <w:sz w:val="20"/>
              </w:rPr>
              <w:t xml:space="preserve"> </w:t>
            </w:r>
            <w:r w:rsidRPr="00150EDC">
              <w:rPr>
                <w:sz w:val="20"/>
              </w:rPr>
              <w:t>(Scotland)</w:t>
            </w:r>
            <w:r w:rsidRPr="00150EDC">
              <w:rPr>
                <w:spacing w:val="-6"/>
                <w:sz w:val="20"/>
              </w:rPr>
              <w:t xml:space="preserve"> </w:t>
            </w:r>
            <w:r w:rsidRPr="00150EDC">
              <w:rPr>
                <w:sz w:val="20"/>
              </w:rPr>
              <w:t>Act</w:t>
            </w:r>
            <w:r w:rsidRPr="00150EDC">
              <w:rPr>
                <w:spacing w:val="-6"/>
                <w:sz w:val="20"/>
              </w:rPr>
              <w:t xml:space="preserve"> </w:t>
            </w:r>
            <w:r w:rsidRPr="00150EDC">
              <w:rPr>
                <w:sz w:val="20"/>
              </w:rPr>
              <w:t>1968,</w:t>
            </w:r>
            <w:r w:rsidRPr="00150EDC">
              <w:rPr>
                <w:spacing w:val="-6"/>
                <w:sz w:val="20"/>
              </w:rPr>
              <w:t xml:space="preserve"> </w:t>
            </w:r>
            <w:r w:rsidRPr="00150EDC">
              <w:rPr>
                <w:spacing w:val="-5"/>
                <w:sz w:val="20"/>
              </w:rPr>
              <w:t>s22</w:t>
            </w:r>
          </w:p>
        </w:tc>
        <w:tc>
          <w:tcPr>
            <w:tcW w:w="7427" w:type="dxa"/>
          </w:tcPr>
          <w:p w14:paraId="6F7F2A56" w14:textId="77777777" w:rsidR="004C7180" w:rsidRPr="00150EDC" w:rsidRDefault="00CF0754">
            <w:pPr>
              <w:pStyle w:val="TableParagraph"/>
              <w:spacing w:before="28"/>
              <w:rPr>
                <w:sz w:val="20"/>
              </w:rPr>
            </w:pPr>
            <w:r w:rsidRPr="00150EDC">
              <w:rPr>
                <w:sz w:val="20"/>
              </w:rPr>
              <w:t>Lack</w:t>
            </w:r>
            <w:r w:rsidRPr="00150EDC">
              <w:rPr>
                <w:spacing w:val="-5"/>
                <w:sz w:val="20"/>
              </w:rPr>
              <w:t xml:space="preserve"> </w:t>
            </w:r>
            <w:r w:rsidRPr="00150EDC">
              <w:rPr>
                <w:sz w:val="20"/>
              </w:rPr>
              <w:t>of</w:t>
            </w:r>
            <w:r w:rsidRPr="00150EDC">
              <w:rPr>
                <w:spacing w:val="-5"/>
                <w:sz w:val="20"/>
              </w:rPr>
              <w:t xml:space="preserve"> </w:t>
            </w:r>
            <w:r w:rsidRPr="00150EDC">
              <w:rPr>
                <w:sz w:val="20"/>
              </w:rPr>
              <w:t>parental</w:t>
            </w:r>
            <w:r w:rsidRPr="00150EDC">
              <w:rPr>
                <w:spacing w:val="-4"/>
                <w:sz w:val="20"/>
              </w:rPr>
              <w:t xml:space="preserve"> care</w:t>
            </w:r>
          </w:p>
        </w:tc>
      </w:tr>
      <w:tr w:rsidR="004569EE" w:rsidRPr="007D3144" w14:paraId="06375D7F" w14:textId="77777777">
        <w:trPr>
          <w:trHeight w:val="255"/>
        </w:trPr>
        <w:tc>
          <w:tcPr>
            <w:tcW w:w="6517" w:type="dxa"/>
          </w:tcPr>
          <w:p w14:paraId="0B3CF8C1" w14:textId="77777777" w:rsidR="004C7180" w:rsidRPr="00150EDC" w:rsidRDefault="00CF0754">
            <w:pPr>
              <w:pStyle w:val="TableParagraph"/>
              <w:rPr>
                <w:sz w:val="20"/>
              </w:rPr>
            </w:pPr>
            <w:r w:rsidRPr="00150EDC">
              <w:rPr>
                <w:sz w:val="20"/>
              </w:rPr>
              <w:t>Social</w:t>
            </w:r>
            <w:r w:rsidRPr="00150EDC">
              <w:rPr>
                <w:spacing w:val="-5"/>
                <w:sz w:val="20"/>
              </w:rPr>
              <w:t xml:space="preserve"> </w:t>
            </w:r>
            <w:r w:rsidRPr="00150EDC">
              <w:rPr>
                <w:sz w:val="20"/>
              </w:rPr>
              <w:t>Work</w:t>
            </w:r>
            <w:r w:rsidRPr="00150EDC">
              <w:rPr>
                <w:spacing w:val="-5"/>
                <w:sz w:val="20"/>
              </w:rPr>
              <w:t xml:space="preserve"> </w:t>
            </w:r>
            <w:r w:rsidRPr="00150EDC">
              <w:rPr>
                <w:sz w:val="20"/>
              </w:rPr>
              <w:t>(Scotland)</w:t>
            </w:r>
            <w:r w:rsidRPr="00150EDC">
              <w:rPr>
                <w:spacing w:val="-6"/>
                <w:sz w:val="20"/>
              </w:rPr>
              <w:t xml:space="preserve"> </w:t>
            </w:r>
            <w:r w:rsidRPr="00150EDC">
              <w:rPr>
                <w:sz w:val="20"/>
              </w:rPr>
              <w:t>Act</w:t>
            </w:r>
            <w:r w:rsidRPr="00150EDC">
              <w:rPr>
                <w:spacing w:val="-6"/>
                <w:sz w:val="20"/>
              </w:rPr>
              <w:t xml:space="preserve"> </w:t>
            </w:r>
            <w:r w:rsidRPr="00150EDC">
              <w:rPr>
                <w:sz w:val="20"/>
              </w:rPr>
              <w:t>1968,</w:t>
            </w:r>
            <w:r w:rsidRPr="00150EDC">
              <w:rPr>
                <w:spacing w:val="-6"/>
                <w:sz w:val="20"/>
              </w:rPr>
              <w:t xml:space="preserve"> </w:t>
            </w:r>
            <w:r w:rsidRPr="00150EDC">
              <w:rPr>
                <w:spacing w:val="-5"/>
                <w:sz w:val="20"/>
              </w:rPr>
              <w:t>s32</w:t>
            </w:r>
          </w:p>
        </w:tc>
        <w:tc>
          <w:tcPr>
            <w:tcW w:w="7427" w:type="dxa"/>
          </w:tcPr>
          <w:p w14:paraId="3D1FC0E1" w14:textId="77777777" w:rsidR="004C7180" w:rsidRPr="00150EDC" w:rsidRDefault="00CF0754">
            <w:pPr>
              <w:pStyle w:val="TableParagraph"/>
              <w:rPr>
                <w:sz w:val="20"/>
              </w:rPr>
            </w:pPr>
            <w:r w:rsidRPr="00150EDC">
              <w:rPr>
                <w:sz w:val="20"/>
              </w:rPr>
              <w:t>Lack</w:t>
            </w:r>
            <w:r w:rsidRPr="00150EDC">
              <w:rPr>
                <w:spacing w:val="-5"/>
                <w:sz w:val="20"/>
              </w:rPr>
              <w:t xml:space="preserve"> </w:t>
            </w:r>
            <w:r w:rsidRPr="00150EDC">
              <w:rPr>
                <w:sz w:val="20"/>
              </w:rPr>
              <w:t>of</w:t>
            </w:r>
            <w:r w:rsidRPr="00150EDC">
              <w:rPr>
                <w:spacing w:val="-5"/>
                <w:sz w:val="20"/>
              </w:rPr>
              <w:t xml:space="preserve"> </w:t>
            </w:r>
            <w:r w:rsidRPr="00150EDC">
              <w:rPr>
                <w:sz w:val="20"/>
              </w:rPr>
              <w:t>parental</w:t>
            </w:r>
            <w:r w:rsidRPr="00150EDC">
              <w:rPr>
                <w:spacing w:val="-4"/>
                <w:sz w:val="20"/>
              </w:rPr>
              <w:t xml:space="preserve"> care</w:t>
            </w:r>
          </w:p>
        </w:tc>
      </w:tr>
      <w:tr w:rsidR="004569EE" w:rsidRPr="007D3144" w14:paraId="665F43BB" w14:textId="77777777">
        <w:trPr>
          <w:trHeight w:val="255"/>
        </w:trPr>
        <w:tc>
          <w:tcPr>
            <w:tcW w:w="6517" w:type="dxa"/>
          </w:tcPr>
          <w:p w14:paraId="150A77E1" w14:textId="77777777" w:rsidR="004C7180" w:rsidRPr="00150EDC" w:rsidRDefault="00CF0754">
            <w:pPr>
              <w:pStyle w:val="TableParagraph"/>
              <w:rPr>
                <w:sz w:val="20"/>
              </w:rPr>
            </w:pPr>
            <w:r w:rsidRPr="00150EDC">
              <w:rPr>
                <w:sz w:val="20"/>
              </w:rPr>
              <w:t>Social</w:t>
            </w:r>
            <w:r w:rsidRPr="00150EDC">
              <w:rPr>
                <w:spacing w:val="-5"/>
                <w:sz w:val="20"/>
              </w:rPr>
              <w:t xml:space="preserve"> </w:t>
            </w:r>
            <w:r w:rsidRPr="00150EDC">
              <w:rPr>
                <w:sz w:val="20"/>
              </w:rPr>
              <w:t>Work</w:t>
            </w:r>
            <w:r w:rsidRPr="00150EDC">
              <w:rPr>
                <w:spacing w:val="-5"/>
                <w:sz w:val="20"/>
              </w:rPr>
              <w:t xml:space="preserve"> </w:t>
            </w:r>
            <w:r w:rsidRPr="00150EDC">
              <w:rPr>
                <w:sz w:val="20"/>
              </w:rPr>
              <w:t>(Scotland)</w:t>
            </w:r>
            <w:r w:rsidRPr="00150EDC">
              <w:rPr>
                <w:spacing w:val="-6"/>
                <w:sz w:val="20"/>
              </w:rPr>
              <w:t xml:space="preserve"> </w:t>
            </w:r>
            <w:r w:rsidRPr="00150EDC">
              <w:rPr>
                <w:sz w:val="20"/>
              </w:rPr>
              <w:t>Act</w:t>
            </w:r>
            <w:r w:rsidRPr="00150EDC">
              <w:rPr>
                <w:spacing w:val="-6"/>
                <w:sz w:val="20"/>
              </w:rPr>
              <w:t xml:space="preserve"> </w:t>
            </w:r>
            <w:r w:rsidRPr="00150EDC">
              <w:rPr>
                <w:sz w:val="20"/>
              </w:rPr>
              <w:t>1968,</w:t>
            </w:r>
            <w:r w:rsidRPr="00150EDC">
              <w:rPr>
                <w:spacing w:val="-6"/>
                <w:sz w:val="20"/>
              </w:rPr>
              <w:t xml:space="preserve"> </w:t>
            </w:r>
            <w:r w:rsidRPr="00150EDC">
              <w:rPr>
                <w:spacing w:val="-2"/>
                <w:sz w:val="20"/>
              </w:rPr>
              <w:t>s60(3)</w:t>
            </w:r>
          </w:p>
        </w:tc>
        <w:tc>
          <w:tcPr>
            <w:tcW w:w="7427" w:type="dxa"/>
          </w:tcPr>
          <w:p w14:paraId="4DA5A2B1" w14:textId="77777777" w:rsidR="004C7180" w:rsidRPr="00150EDC" w:rsidRDefault="00CF0754">
            <w:pPr>
              <w:pStyle w:val="TableParagraph"/>
              <w:rPr>
                <w:sz w:val="20"/>
              </w:rPr>
            </w:pPr>
            <w:r w:rsidRPr="00150EDC">
              <w:rPr>
                <w:sz w:val="20"/>
              </w:rPr>
              <w:t>Control</w:t>
            </w:r>
            <w:r w:rsidRPr="00150EDC">
              <w:rPr>
                <w:spacing w:val="-6"/>
                <w:sz w:val="20"/>
              </w:rPr>
              <w:t xml:space="preserve"> </w:t>
            </w:r>
            <w:r w:rsidRPr="00150EDC">
              <w:rPr>
                <w:sz w:val="20"/>
              </w:rPr>
              <w:t>of</w:t>
            </w:r>
            <w:r w:rsidRPr="00150EDC">
              <w:rPr>
                <w:spacing w:val="-1"/>
                <w:sz w:val="20"/>
              </w:rPr>
              <w:t xml:space="preserve"> </w:t>
            </w:r>
            <w:r w:rsidRPr="00150EDC">
              <w:rPr>
                <w:sz w:val="20"/>
              </w:rPr>
              <w:t>residential</w:t>
            </w:r>
            <w:r w:rsidRPr="00150EDC">
              <w:rPr>
                <w:spacing w:val="-5"/>
                <w:sz w:val="20"/>
              </w:rPr>
              <w:t xml:space="preserve"> </w:t>
            </w:r>
            <w:r w:rsidRPr="00150EDC">
              <w:rPr>
                <w:sz w:val="20"/>
              </w:rPr>
              <w:t>and</w:t>
            </w:r>
            <w:r w:rsidRPr="00150EDC">
              <w:rPr>
                <w:spacing w:val="-7"/>
                <w:sz w:val="20"/>
              </w:rPr>
              <w:t xml:space="preserve"> </w:t>
            </w:r>
            <w:r w:rsidRPr="00150EDC">
              <w:rPr>
                <w:sz w:val="20"/>
              </w:rPr>
              <w:t>other</w:t>
            </w:r>
            <w:r w:rsidRPr="00150EDC">
              <w:rPr>
                <w:spacing w:val="-7"/>
                <w:sz w:val="20"/>
              </w:rPr>
              <w:t xml:space="preserve"> </w:t>
            </w:r>
            <w:r w:rsidRPr="00150EDC">
              <w:rPr>
                <w:spacing w:val="-2"/>
                <w:sz w:val="20"/>
              </w:rPr>
              <w:t>establishments</w:t>
            </w:r>
          </w:p>
        </w:tc>
      </w:tr>
      <w:tr w:rsidR="004569EE" w:rsidRPr="007D3144" w14:paraId="7D499854" w14:textId="77777777">
        <w:trPr>
          <w:trHeight w:val="255"/>
        </w:trPr>
        <w:tc>
          <w:tcPr>
            <w:tcW w:w="6517" w:type="dxa"/>
          </w:tcPr>
          <w:p w14:paraId="6FB63832" w14:textId="77777777" w:rsidR="004C7180" w:rsidRPr="00150EDC" w:rsidRDefault="00CF0754">
            <w:pPr>
              <w:pStyle w:val="TableParagraph"/>
              <w:rPr>
                <w:sz w:val="20"/>
              </w:rPr>
            </w:pPr>
            <w:r w:rsidRPr="00150EDC">
              <w:rPr>
                <w:sz w:val="20"/>
              </w:rPr>
              <w:t>Social</w:t>
            </w:r>
            <w:r w:rsidRPr="00150EDC">
              <w:rPr>
                <w:spacing w:val="-5"/>
                <w:sz w:val="20"/>
              </w:rPr>
              <w:t xml:space="preserve"> </w:t>
            </w:r>
            <w:r w:rsidRPr="00150EDC">
              <w:rPr>
                <w:sz w:val="20"/>
              </w:rPr>
              <w:t>Work</w:t>
            </w:r>
            <w:r w:rsidRPr="00150EDC">
              <w:rPr>
                <w:spacing w:val="-5"/>
                <w:sz w:val="20"/>
              </w:rPr>
              <w:t xml:space="preserve"> </w:t>
            </w:r>
            <w:r w:rsidRPr="00150EDC">
              <w:rPr>
                <w:sz w:val="20"/>
              </w:rPr>
              <w:t>(Scotland)</w:t>
            </w:r>
            <w:r w:rsidRPr="00150EDC">
              <w:rPr>
                <w:spacing w:val="-6"/>
                <w:sz w:val="20"/>
              </w:rPr>
              <w:t xml:space="preserve"> </w:t>
            </w:r>
            <w:r w:rsidRPr="00150EDC">
              <w:rPr>
                <w:sz w:val="20"/>
              </w:rPr>
              <w:t>Act</w:t>
            </w:r>
            <w:r w:rsidRPr="00150EDC">
              <w:rPr>
                <w:spacing w:val="-6"/>
                <w:sz w:val="20"/>
              </w:rPr>
              <w:t xml:space="preserve"> </w:t>
            </w:r>
            <w:r w:rsidRPr="00150EDC">
              <w:rPr>
                <w:sz w:val="20"/>
              </w:rPr>
              <w:t>1968,</w:t>
            </w:r>
            <w:r w:rsidRPr="00150EDC">
              <w:rPr>
                <w:spacing w:val="-6"/>
                <w:sz w:val="20"/>
              </w:rPr>
              <w:t xml:space="preserve"> </w:t>
            </w:r>
            <w:r w:rsidRPr="00150EDC">
              <w:rPr>
                <w:spacing w:val="-2"/>
                <w:sz w:val="20"/>
              </w:rPr>
              <w:t>s61(3)</w:t>
            </w:r>
          </w:p>
        </w:tc>
        <w:tc>
          <w:tcPr>
            <w:tcW w:w="7427" w:type="dxa"/>
          </w:tcPr>
          <w:p w14:paraId="3C96B925" w14:textId="77777777" w:rsidR="004C7180" w:rsidRPr="00150EDC" w:rsidRDefault="00CF0754">
            <w:pPr>
              <w:pStyle w:val="TableParagraph"/>
              <w:rPr>
                <w:sz w:val="20"/>
              </w:rPr>
            </w:pPr>
            <w:r w:rsidRPr="00150EDC">
              <w:rPr>
                <w:sz w:val="20"/>
              </w:rPr>
              <w:t>Restriction</w:t>
            </w:r>
            <w:r w:rsidRPr="00150EDC">
              <w:rPr>
                <w:spacing w:val="-5"/>
                <w:sz w:val="20"/>
              </w:rPr>
              <w:t xml:space="preserve"> </w:t>
            </w:r>
            <w:r w:rsidRPr="00150EDC">
              <w:rPr>
                <w:sz w:val="20"/>
              </w:rPr>
              <w:t>on</w:t>
            </w:r>
            <w:r w:rsidRPr="00150EDC">
              <w:rPr>
                <w:spacing w:val="-5"/>
                <w:sz w:val="20"/>
              </w:rPr>
              <w:t xml:space="preserve"> </w:t>
            </w:r>
            <w:r w:rsidRPr="00150EDC">
              <w:rPr>
                <w:sz w:val="20"/>
              </w:rPr>
              <w:t>carrying</w:t>
            </w:r>
            <w:r w:rsidRPr="00150EDC">
              <w:rPr>
                <w:spacing w:val="-5"/>
                <w:sz w:val="20"/>
              </w:rPr>
              <w:t xml:space="preserve"> </w:t>
            </w:r>
            <w:r w:rsidRPr="00150EDC">
              <w:rPr>
                <w:sz w:val="20"/>
              </w:rPr>
              <w:t>on</w:t>
            </w:r>
            <w:r w:rsidRPr="00150EDC">
              <w:rPr>
                <w:spacing w:val="-4"/>
                <w:sz w:val="20"/>
              </w:rPr>
              <w:t xml:space="preserve"> </w:t>
            </w:r>
            <w:r w:rsidRPr="00150EDC">
              <w:rPr>
                <w:sz w:val="20"/>
              </w:rPr>
              <w:t>of</w:t>
            </w:r>
            <w:r w:rsidRPr="00150EDC">
              <w:rPr>
                <w:spacing w:val="-5"/>
                <w:sz w:val="20"/>
              </w:rPr>
              <w:t xml:space="preserve"> </w:t>
            </w:r>
            <w:r w:rsidRPr="00150EDC">
              <w:rPr>
                <w:spacing w:val="-2"/>
                <w:sz w:val="20"/>
              </w:rPr>
              <w:t>establishments</w:t>
            </w:r>
          </w:p>
        </w:tc>
      </w:tr>
      <w:tr w:rsidR="004569EE" w:rsidRPr="007D3144" w14:paraId="7CBD59BB" w14:textId="77777777">
        <w:trPr>
          <w:trHeight w:val="255"/>
        </w:trPr>
        <w:tc>
          <w:tcPr>
            <w:tcW w:w="6517" w:type="dxa"/>
          </w:tcPr>
          <w:p w14:paraId="0B65D132" w14:textId="77777777" w:rsidR="004C7180" w:rsidRPr="00150EDC" w:rsidRDefault="00CF0754">
            <w:pPr>
              <w:pStyle w:val="TableParagraph"/>
              <w:rPr>
                <w:sz w:val="20"/>
              </w:rPr>
            </w:pPr>
            <w:r w:rsidRPr="00150EDC">
              <w:rPr>
                <w:sz w:val="20"/>
              </w:rPr>
              <w:t>Social</w:t>
            </w:r>
            <w:r w:rsidRPr="00150EDC">
              <w:rPr>
                <w:spacing w:val="-5"/>
                <w:sz w:val="20"/>
              </w:rPr>
              <w:t xml:space="preserve"> </w:t>
            </w:r>
            <w:r w:rsidRPr="00150EDC">
              <w:rPr>
                <w:sz w:val="20"/>
              </w:rPr>
              <w:t>Work</w:t>
            </w:r>
            <w:r w:rsidRPr="00150EDC">
              <w:rPr>
                <w:spacing w:val="-5"/>
                <w:sz w:val="20"/>
              </w:rPr>
              <w:t xml:space="preserve"> </w:t>
            </w:r>
            <w:r w:rsidRPr="00150EDC">
              <w:rPr>
                <w:sz w:val="20"/>
              </w:rPr>
              <w:t>(Scotland)</w:t>
            </w:r>
            <w:r w:rsidRPr="00150EDC">
              <w:rPr>
                <w:spacing w:val="-6"/>
                <w:sz w:val="20"/>
              </w:rPr>
              <w:t xml:space="preserve"> </w:t>
            </w:r>
            <w:r w:rsidRPr="00150EDC">
              <w:rPr>
                <w:sz w:val="20"/>
              </w:rPr>
              <w:t>Act</w:t>
            </w:r>
            <w:r w:rsidRPr="00150EDC">
              <w:rPr>
                <w:spacing w:val="-6"/>
                <w:sz w:val="20"/>
              </w:rPr>
              <w:t xml:space="preserve"> </w:t>
            </w:r>
            <w:r w:rsidRPr="00150EDC">
              <w:rPr>
                <w:sz w:val="20"/>
              </w:rPr>
              <w:t>1968,</w:t>
            </w:r>
            <w:r w:rsidRPr="00150EDC">
              <w:rPr>
                <w:spacing w:val="-6"/>
                <w:sz w:val="20"/>
              </w:rPr>
              <w:t xml:space="preserve"> </w:t>
            </w:r>
            <w:r w:rsidRPr="00150EDC">
              <w:rPr>
                <w:spacing w:val="-2"/>
                <w:sz w:val="20"/>
              </w:rPr>
              <w:t>s62(6)</w:t>
            </w:r>
          </w:p>
        </w:tc>
        <w:tc>
          <w:tcPr>
            <w:tcW w:w="7427" w:type="dxa"/>
          </w:tcPr>
          <w:p w14:paraId="5C17163F" w14:textId="77777777" w:rsidR="004C7180" w:rsidRPr="00150EDC" w:rsidRDefault="00CF0754">
            <w:pPr>
              <w:pStyle w:val="TableParagraph"/>
              <w:rPr>
                <w:sz w:val="20"/>
              </w:rPr>
            </w:pPr>
            <w:r w:rsidRPr="00150EDC">
              <w:rPr>
                <w:sz w:val="20"/>
              </w:rPr>
              <w:t>Offences</w:t>
            </w:r>
            <w:r w:rsidRPr="00150EDC">
              <w:rPr>
                <w:spacing w:val="-3"/>
                <w:sz w:val="20"/>
              </w:rPr>
              <w:t xml:space="preserve"> </w:t>
            </w:r>
            <w:r w:rsidRPr="00150EDC">
              <w:rPr>
                <w:sz w:val="20"/>
              </w:rPr>
              <w:t>relating</w:t>
            </w:r>
            <w:r w:rsidRPr="00150EDC">
              <w:rPr>
                <w:spacing w:val="-2"/>
                <w:sz w:val="20"/>
              </w:rPr>
              <w:t xml:space="preserve"> </w:t>
            </w:r>
            <w:r w:rsidRPr="00150EDC">
              <w:rPr>
                <w:sz w:val="20"/>
              </w:rPr>
              <w:t>to</w:t>
            </w:r>
            <w:r w:rsidRPr="00150EDC">
              <w:rPr>
                <w:spacing w:val="-6"/>
                <w:sz w:val="20"/>
              </w:rPr>
              <w:t xml:space="preserve"> </w:t>
            </w:r>
            <w:r w:rsidRPr="00150EDC">
              <w:rPr>
                <w:sz w:val="20"/>
              </w:rPr>
              <w:t>the</w:t>
            </w:r>
            <w:r w:rsidRPr="00150EDC">
              <w:rPr>
                <w:spacing w:val="-7"/>
                <w:sz w:val="20"/>
              </w:rPr>
              <w:t xml:space="preserve"> </w:t>
            </w:r>
            <w:r w:rsidRPr="00150EDC">
              <w:rPr>
                <w:sz w:val="20"/>
              </w:rPr>
              <w:t>registration</w:t>
            </w:r>
            <w:r w:rsidRPr="00150EDC">
              <w:rPr>
                <w:spacing w:val="-6"/>
                <w:sz w:val="20"/>
              </w:rPr>
              <w:t xml:space="preserve"> </w:t>
            </w:r>
            <w:r w:rsidRPr="00150EDC">
              <w:rPr>
                <w:sz w:val="20"/>
              </w:rPr>
              <w:t>of</w:t>
            </w:r>
            <w:r w:rsidRPr="00150EDC">
              <w:rPr>
                <w:spacing w:val="-6"/>
                <w:sz w:val="20"/>
              </w:rPr>
              <w:t xml:space="preserve"> </w:t>
            </w:r>
            <w:r w:rsidRPr="00150EDC">
              <w:rPr>
                <w:sz w:val="20"/>
              </w:rPr>
              <w:t>residential</w:t>
            </w:r>
            <w:r w:rsidRPr="00150EDC">
              <w:rPr>
                <w:spacing w:val="-5"/>
                <w:sz w:val="20"/>
              </w:rPr>
              <w:t xml:space="preserve"> </w:t>
            </w:r>
            <w:r w:rsidRPr="00150EDC">
              <w:rPr>
                <w:sz w:val="20"/>
              </w:rPr>
              <w:t>and</w:t>
            </w:r>
            <w:r w:rsidRPr="00150EDC">
              <w:rPr>
                <w:spacing w:val="-1"/>
                <w:sz w:val="20"/>
              </w:rPr>
              <w:t xml:space="preserve"> </w:t>
            </w:r>
            <w:r w:rsidRPr="00150EDC">
              <w:rPr>
                <w:sz w:val="20"/>
              </w:rPr>
              <w:t>other</w:t>
            </w:r>
            <w:r w:rsidRPr="00150EDC">
              <w:rPr>
                <w:spacing w:val="-6"/>
                <w:sz w:val="20"/>
              </w:rPr>
              <w:t xml:space="preserve"> </w:t>
            </w:r>
            <w:r w:rsidRPr="00150EDC">
              <w:rPr>
                <w:spacing w:val="-2"/>
                <w:sz w:val="20"/>
              </w:rPr>
              <w:t>establishments</w:t>
            </w:r>
          </w:p>
        </w:tc>
      </w:tr>
      <w:tr w:rsidR="004569EE" w:rsidRPr="007D3144" w14:paraId="3CACF522" w14:textId="77777777">
        <w:trPr>
          <w:trHeight w:val="255"/>
        </w:trPr>
        <w:tc>
          <w:tcPr>
            <w:tcW w:w="6517" w:type="dxa"/>
          </w:tcPr>
          <w:p w14:paraId="07285BE4" w14:textId="77777777" w:rsidR="004C7180" w:rsidRPr="00150EDC" w:rsidRDefault="00CF0754">
            <w:pPr>
              <w:pStyle w:val="TableParagraph"/>
              <w:rPr>
                <w:sz w:val="20"/>
              </w:rPr>
            </w:pPr>
            <w:r w:rsidRPr="00150EDC">
              <w:rPr>
                <w:sz w:val="20"/>
              </w:rPr>
              <w:t>Social</w:t>
            </w:r>
            <w:r w:rsidRPr="00150EDC">
              <w:rPr>
                <w:spacing w:val="-5"/>
                <w:sz w:val="20"/>
              </w:rPr>
              <w:t xml:space="preserve"> </w:t>
            </w:r>
            <w:r w:rsidRPr="00150EDC">
              <w:rPr>
                <w:sz w:val="20"/>
              </w:rPr>
              <w:t>Work</w:t>
            </w:r>
            <w:r w:rsidRPr="00150EDC">
              <w:rPr>
                <w:spacing w:val="-5"/>
                <w:sz w:val="20"/>
              </w:rPr>
              <w:t xml:space="preserve"> </w:t>
            </w:r>
            <w:r w:rsidRPr="00150EDC">
              <w:rPr>
                <w:sz w:val="20"/>
              </w:rPr>
              <w:t>(Scotland)</w:t>
            </w:r>
            <w:r w:rsidRPr="00150EDC">
              <w:rPr>
                <w:spacing w:val="-6"/>
                <w:sz w:val="20"/>
              </w:rPr>
              <w:t xml:space="preserve"> </w:t>
            </w:r>
            <w:r w:rsidRPr="00150EDC">
              <w:rPr>
                <w:sz w:val="20"/>
              </w:rPr>
              <w:t>Act</w:t>
            </w:r>
            <w:r w:rsidRPr="00150EDC">
              <w:rPr>
                <w:spacing w:val="-6"/>
                <w:sz w:val="20"/>
              </w:rPr>
              <w:t xml:space="preserve"> </w:t>
            </w:r>
            <w:r w:rsidRPr="00150EDC">
              <w:rPr>
                <w:sz w:val="20"/>
              </w:rPr>
              <w:t>1968,</w:t>
            </w:r>
            <w:r w:rsidRPr="00150EDC">
              <w:rPr>
                <w:spacing w:val="-3"/>
                <w:sz w:val="20"/>
              </w:rPr>
              <w:t xml:space="preserve"> </w:t>
            </w:r>
            <w:r w:rsidRPr="00150EDC">
              <w:rPr>
                <w:spacing w:val="-5"/>
                <w:sz w:val="20"/>
              </w:rPr>
              <w:t>s71</w:t>
            </w:r>
          </w:p>
        </w:tc>
        <w:tc>
          <w:tcPr>
            <w:tcW w:w="7427" w:type="dxa"/>
          </w:tcPr>
          <w:p w14:paraId="3259DE2B" w14:textId="77777777" w:rsidR="004C7180" w:rsidRPr="00150EDC" w:rsidRDefault="00CF0754">
            <w:pPr>
              <w:pStyle w:val="TableParagraph"/>
              <w:rPr>
                <w:sz w:val="20"/>
              </w:rPr>
            </w:pPr>
            <w:r w:rsidRPr="00150EDC">
              <w:rPr>
                <w:spacing w:val="-2"/>
                <w:sz w:val="20"/>
              </w:rPr>
              <w:t>Harbouring</w:t>
            </w:r>
          </w:p>
        </w:tc>
      </w:tr>
      <w:tr w:rsidR="004569EE" w:rsidRPr="007D3144" w14:paraId="500F7CD7" w14:textId="77777777">
        <w:trPr>
          <w:trHeight w:val="255"/>
        </w:trPr>
        <w:tc>
          <w:tcPr>
            <w:tcW w:w="6517" w:type="dxa"/>
          </w:tcPr>
          <w:p w14:paraId="5244E734" w14:textId="77777777" w:rsidR="004C7180" w:rsidRPr="00150EDC" w:rsidRDefault="00CF0754">
            <w:pPr>
              <w:pStyle w:val="TableParagraph"/>
              <w:rPr>
                <w:sz w:val="20"/>
              </w:rPr>
            </w:pPr>
            <w:r w:rsidRPr="00150EDC">
              <w:rPr>
                <w:sz w:val="20"/>
              </w:rPr>
              <w:t>Summary</w:t>
            </w:r>
            <w:r w:rsidRPr="00150EDC">
              <w:rPr>
                <w:spacing w:val="-8"/>
                <w:sz w:val="20"/>
              </w:rPr>
              <w:t xml:space="preserve"> </w:t>
            </w:r>
            <w:r w:rsidRPr="00150EDC">
              <w:rPr>
                <w:sz w:val="20"/>
              </w:rPr>
              <w:t>Jurisdiction</w:t>
            </w:r>
            <w:r w:rsidRPr="00150EDC">
              <w:rPr>
                <w:spacing w:val="-3"/>
                <w:sz w:val="20"/>
              </w:rPr>
              <w:t xml:space="preserve"> </w:t>
            </w:r>
            <w:r w:rsidRPr="00150EDC">
              <w:rPr>
                <w:sz w:val="20"/>
              </w:rPr>
              <w:t>(Northern</w:t>
            </w:r>
            <w:r w:rsidRPr="00150EDC">
              <w:rPr>
                <w:spacing w:val="-4"/>
                <w:sz w:val="20"/>
              </w:rPr>
              <w:t xml:space="preserve"> </w:t>
            </w:r>
            <w:r w:rsidRPr="00150EDC">
              <w:rPr>
                <w:sz w:val="20"/>
              </w:rPr>
              <w:t>Ireland)</w:t>
            </w:r>
            <w:r w:rsidRPr="00150EDC">
              <w:rPr>
                <w:spacing w:val="-8"/>
                <w:sz w:val="20"/>
              </w:rPr>
              <w:t xml:space="preserve"> </w:t>
            </w:r>
            <w:r w:rsidRPr="00150EDC">
              <w:rPr>
                <w:sz w:val="20"/>
              </w:rPr>
              <w:t>Act</w:t>
            </w:r>
            <w:r w:rsidRPr="00150EDC">
              <w:rPr>
                <w:spacing w:val="-7"/>
                <w:sz w:val="20"/>
              </w:rPr>
              <w:t xml:space="preserve"> </w:t>
            </w:r>
            <w:r w:rsidRPr="00150EDC">
              <w:rPr>
                <w:sz w:val="20"/>
              </w:rPr>
              <w:t>1851,</w:t>
            </w:r>
            <w:r w:rsidRPr="00150EDC">
              <w:rPr>
                <w:spacing w:val="-8"/>
                <w:sz w:val="20"/>
              </w:rPr>
              <w:t xml:space="preserve"> </w:t>
            </w:r>
            <w:r w:rsidRPr="00150EDC">
              <w:rPr>
                <w:spacing w:val="-5"/>
                <w:sz w:val="20"/>
              </w:rPr>
              <w:t>s13</w:t>
            </w:r>
          </w:p>
        </w:tc>
        <w:tc>
          <w:tcPr>
            <w:tcW w:w="7427" w:type="dxa"/>
          </w:tcPr>
          <w:p w14:paraId="3866852A" w14:textId="77777777" w:rsidR="004C7180" w:rsidRPr="00150EDC" w:rsidRDefault="00CF0754">
            <w:pPr>
              <w:pStyle w:val="TableParagraph"/>
              <w:rPr>
                <w:sz w:val="20"/>
              </w:rPr>
            </w:pPr>
            <w:r w:rsidRPr="00150EDC">
              <w:rPr>
                <w:sz w:val="20"/>
              </w:rPr>
              <w:t>Furious</w:t>
            </w:r>
            <w:r w:rsidRPr="00150EDC">
              <w:rPr>
                <w:spacing w:val="-7"/>
                <w:sz w:val="20"/>
              </w:rPr>
              <w:t xml:space="preserve"> </w:t>
            </w:r>
            <w:r w:rsidRPr="00150EDC">
              <w:rPr>
                <w:spacing w:val="-2"/>
                <w:sz w:val="20"/>
              </w:rPr>
              <w:t>driving</w:t>
            </w:r>
          </w:p>
        </w:tc>
      </w:tr>
      <w:tr w:rsidR="004569EE" w:rsidRPr="007D3144" w14:paraId="262D446A" w14:textId="77777777">
        <w:trPr>
          <w:trHeight w:val="255"/>
        </w:trPr>
        <w:tc>
          <w:tcPr>
            <w:tcW w:w="6517" w:type="dxa"/>
          </w:tcPr>
          <w:p w14:paraId="7D35231C" w14:textId="77777777" w:rsidR="004C7180" w:rsidRPr="00150EDC" w:rsidRDefault="00CF0754">
            <w:pPr>
              <w:pStyle w:val="TableParagraph"/>
              <w:rPr>
                <w:sz w:val="20"/>
              </w:rPr>
            </w:pPr>
            <w:r w:rsidRPr="00150EDC">
              <w:rPr>
                <w:sz w:val="20"/>
              </w:rPr>
              <w:t>Taking</w:t>
            </w:r>
            <w:r w:rsidRPr="00150EDC">
              <w:rPr>
                <w:spacing w:val="-6"/>
                <w:sz w:val="20"/>
              </w:rPr>
              <w:t xml:space="preserve"> </w:t>
            </w:r>
            <w:r w:rsidRPr="00150EDC">
              <w:rPr>
                <w:sz w:val="20"/>
              </w:rPr>
              <w:t>of</w:t>
            </w:r>
            <w:r w:rsidRPr="00150EDC">
              <w:rPr>
                <w:spacing w:val="-6"/>
                <w:sz w:val="20"/>
              </w:rPr>
              <w:t xml:space="preserve"> </w:t>
            </w:r>
            <w:r w:rsidRPr="00150EDC">
              <w:rPr>
                <w:sz w:val="20"/>
              </w:rPr>
              <w:t>Hostages</w:t>
            </w:r>
            <w:r w:rsidRPr="00150EDC">
              <w:rPr>
                <w:spacing w:val="-4"/>
                <w:sz w:val="20"/>
              </w:rPr>
              <w:t xml:space="preserve"> </w:t>
            </w:r>
            <w:r w:rsidRPr="00150EDC">
              <w:rPr>
                <w:sz w:val="20"/>
              </w:rPr>
              <w:t>Act</w:t>
            </w:r>
            <w:r w:rsidRPr="00150EDC">
              <w:rPr>
                <w:spacing w:val="-5"/>
                <w:sz w:val="20"/>
              </w:rPr>
              <w:t xml:space="preserve"> </w:t>
            </w:r>
            <w:r w:rsidRPr="00150EDC">
              <w:rPr>
                <w:sz w:val="20"/>
              </w:rPr>
              <w:t>1982,</w:t>
            </w:r>
            <w:r w:rsidRPr="00150EDC">
              <w:rPr>
                <w:spacing w:val="-5"/>
                <w:sz w:val="20"/>
              </w:rPr>
              <w:t xml:space="preserve"> s1</w:t>
            </w:r>
          </w:p>
        </w:tc>
        <w:tc>
          <w:tcPr>
            <w:tcW w:w="7427" w:type="dxa"/>
          </w:tcPr>
          <w:p w14:paraId="7A90F5A9" w14:textId="77777777" w:rsidR="004C7180" w:rsidRPr="00150EDC" w:rsidRDefault="00CF0754">
            <w:pPr>
              <w:pStyle w:val="TableParagraph"/>
              <w:rPr>
                <w:sz w:val="20"/>
              </w:rPr>
            </w:pPr>
            <w:r w:rsidRPr="00150EDC">
              <w:rPr>
                <w:sz w:val="20"/>
              </w:rPr>
              <w:t>Hostage</w:t>
            </w:r>
            <w:r w:rsidRPr="00150EDC">
              <w:rPr>
                <w:spacing w:val="-11"/>
                <w:sz w:val="20"/>
              </w:rPr>
              <w:t xml:space="preserve"> </w:t>
            </w:r>
            <w:r w:rsidRPr="00150EDC">
              <w:rPr>
                <w:spacing w:val="-2"/>
                <w:sz w:val="20"/>
              </w:rPr>
              <w:t>taking</w:t>
            </w:r>
          </w:p>
        </w:tc>
      </w:tr>
      <w:tr w:rsidR="004569EE" w:rsidRPr="007D3144" w14:paraId="0B2528AF" w14:textId="77777777">
        <w:trPr>
          <w:trHeight w:val="255"/>
        </w:trPr>
        <w:tc>
          <w:tcPr>
            <w:tcW w:w="6517" w:type="dxa"/>
          </w:tcPr>
          <w:p w14:paraId="31A65F44" w14:textId="77777777" w:rsidR="004C7180" w:rsidRPr="00150EDC" w:rsidRDefault="00CF0754">
            <w:pPr>
              <w:pStyle w:val="TableParagraph"/>
              <w:rPr>
                <w:sz w:val="20"/>
              </w:rPr>
            </w:pPr>
            <w:r w:rsidRPr="00150EDC">
              <w:rPr>
                <w:sz w:val="20"/>
              </w:rPr>
              <w:t>Terrorism</w:t>
            </w:r>
            <w:r w:rsidRPr="00150EDC">
              <w:rPr>
                <w:spacing w:val="-8"/>
                <w:sz w:val="20"/>
              </w:rPr>
              <w:t xml:space="preserve"> </w:t>
            </w:r>
            <w:r w:rsidRPr="00150EDC">
              <w:rPr>
                <w:sz w:val="20"/>
              </w:rPr>
              <w:t>Act</w:t>
            </w:r>
            <w:r w:rsidRPr="00150EDC">
              <w:rPr>
                <w:spacing w:val="-6"/>
                <w:sz w:val="20"/>
              </w:rPr>
              <w:t xml:space="preserve"> </w:t>
            </w:r>
            <w:r w:rsidRPr="00150EDC">
              <w:rPr>
                <w:sz w:val="20"/>
              </w:rPr>
              <w:t>2000,</w:t>
            </w:r>
            <w:r w:rsidRPr="00150EDC">
              <w:rPr>
                <w:spacing w:val="-7"/>
                <w:sz w:val="20"/>
              </w:rPr>
              <w:t xml:space="preserve"> </w:t>
            </w:r>
            <w:r w:rsidRPr="00150EDC">
              <w:rPr>
                <w:spacing w:val="-5"/>
                <w:sz w:val="20"/>
              </w:rPr>
              <w:t>s54</w:t>
            </w:r>
          </w:p>
        </w:tc>
        <w:tc>
          <w:tcPr>
            <w:tcW w:w="7427" w:type="dxa"/>
          </w:tcPr>
          <w:p w14:paraId="56A1757D" w14:textId="77777777" w:rsidR="004C7180" w:rsidRPr="00150EDC" w:rsidRDefault="00CF0754">
            <w:pPr>
              <w:pStyle w:val="TableParagraph"/>
              <w:rPr>
                <w:sz w:val="20"/>
              </w:rPr>
            </w:pPr>
            <w:r w:rsidRPr="00150EDC">
              <w:rPr>
                <w:sz w:val="20"/>
              </w:rPr>
              <w:t>Weapons</w:t>
            </w:r>
            <w:r w:rsidRPr="00150EDC">
              <w:rPr>
                <w:spacing w:val="-10"/>
                <w:sz w:val="20"/>
              </w:rPr>
              <w:t xml:space="preserve"> </w:t>
            </w:r>
            <w:r w:rsidRPr="00150EDC">
              <w:rPr>
                <w:spacing w:val="-2"/>
                <w:sz w:val="20"/>
              </w:rPr>
              <w:t>training</w:t>
            </w:r>
          </w:p>
        </w:tc>
      </w:tr>
      <w:tr w:rsidR="004569EE" w:rsidRPr="007D3144" w14:paraId="095DBCBC" w14:textId="77777777">
        <w:trPr>
          <w:trHeight w:val="255"/>
        </w:trPr>
        <w:tc>
          <w:tcPr>
            <w:tcW w:w="6517" w:type="dxa"/>
          </w:tcPr>
          <w:p w14:paraId="2B96871C" w14:textId="77777777" w:rsidR="004C7180" w:rsidRPr="00150EDC" w:rsidRDefault="00CF0754">
            <w:pPr>
              <w:pStyle w:val="TableParagraph"/>
              <w:spacing w:before="28"/>
              <w:rPr>
                <w:sz w:val="20"/>
              </w:rPr>
            </w:pPr>
            <w:r w:rsidRPr="00150EDC">
              <w:rPr>
                <w:sz w:val="20"/>
              </w:rPr>
              <w:t>Terrorism</w:t>
            </w:r>
            <w:r w:rsidRPr="00150EDC">
              <w:rPr>
                <w:spacing w:val="-8"/>
                <w:sz w:val="20"/>
              </w:rPr>
              <w:t xml:space="preserve"> </w:t>
            </w:r>
            <w:r w:rsidRPr="00150EDC">
              <w:rPr>
                <w:sz w:val="20"/>
              </w:rPr>
              <w:t>Act</w:t>
            </w:r>
            <w:r w:rsidRPr="00150EDC">
              <w:rPr>
                <w:spacing w:val="-6"/>
                <w:sz w:val="20"/>
              </w:rPr>
              <w:t xml:space="preserve"> </w:t>
            </w:r>
            <w:r w:rsidRPr="00150EDC">
              <w:rPr>
                <w:sz w:val="20"/>
              </w:rPr>
              <w:t>2000,</w:t>
            </w:r>
            <w:r w:rsidRPr="00150EDC">
              <w:rPr>
                <w:spacing w:val="-7"/>
                <w:sz w:val="20"/>
              </w:rPr>
              <w:t xml:space="preserve"> </w:t>
            </w:r>
            <w:r w:rsidRPr="00150EDC">
              <w:rPr>
                <w:spacing w:val="-5"/>
                <w:sz w:val="20"/>
              </w:rPr>
              <w:t>s56</w:t>
            </w:r>
          </w:p>
        </w:tc>
        <w:tc>
          <w:tcPr>
            <w:tcW w:w="7427" w:type="dxa"/>
          </w:tcPr>
          <w:p w14:paraId="48CA063A" w14:textId="77777777" w:rsidR="004C7180" w:rsidRPr="00150EDC" w:rsidRDefault="00CF0754">
            <w:pPr>
              <w:pStyle w:val="TableParagraph"/>
              <w:spacing w:before="28"/>
              <w:rPr>
                <w:sz w:val="20"/>
              </w:rPr>
            </w:pPr>
            <w:r w:rsidRPr="00150EDC">
              <w:rPr>
                <w:sz w:val="20"/>
              </w:rPr>
              <w:t>Directing</w:t>
            </w:r>
            <w:r w:rsidRPr="00150EDC">
              <w:rPr>
                <w:spacing w:val="-7"/>
                <w:sz w:val="20"/>
              </w:rPr>
              <w:t xml:space="preserve"> </w:t>
            </w:r>
            <w:r w:rsidRPr="00150EDC">
              <w:rPr>
                <w:sz w:val="20"/>
              </w:rPr>
              <w:t>terrorist</w:t>
            </w:r>
            <w:r w:rsidRPr="00150EDC">
              <w:rPr>
                <w:spacing w:val="-7"/>
                <w:sz w:val="20"/>
              </w:rPr>
              <w:t xml:space="preserve"> </w:t>
            </w:r>
            <w:r w:rsidRPr="00150EDC">
              <w:rPr>
                <w:spacing w:val="-2"/>
                <w:sz w:val="20"/>
              </w:rPr>
              <w:t>organisation</w:t>
            </w:r>
          </w:p>
        </w:tc>
      </w:tr>
      <w:tr w:rsidR="004569EE" w:rsidRPr="007D3144" w14:paraId="39B6DA7E" w14:textId="77777777">
        <w:trPr>
          <w:trHeight w:val="255"/>
        </w:trPr>
        <w:tc>
          <w:tcPr>
            <w:tcW w:w="6517" w:type="dxa"/>
          </w:tcPr>
          <w:p w14:paraId="6C1E2DB8" w14:textId="77777777" w:rsidR="004C7180" w:rsidRPr="00150EDC" w:rsidRDefault="00CF0754">
            <w:pPr>
              <w:pStyle w:val="TableParagraph"/>
              <w:rPr>
                <w:sz w:val="20"/>
              </w:rPr>
            </w:pPr>
            <w:r w:rsidRPr="00150EDC">
              <w:rPr>
                <w:sz w:val="20"/>
              </w:rPr>
              <w:t>Terrorism</w:t>
            </w:r>
            <w:r w:rsidRPr="00150EDC">
              <w:rPr>
                <w:spacing w:val="-8"/>
                <w:sz w:val="20"/>
              </w:rPr>
              <w:t xml:space="preserve"> </w:t>
            </w:r>
            <w:r w:rsidRPr="00150EDC">
              <w:rPr>
                <w:sz w:val="20"/>
              </w:rPr>
              <w:t>Act</w:t>
            </w:r>
            <w:r w:rsidRPr="00150EDC">
              <w:rPr>
                <w:spacing w:val="-6"/>
                <w:sz w:val="20"/>
              </w:rPr>
              <w:t xml:space="preserve"> </w:t>
            </w:r>
            <w:r w:rsidRPr="00150EDC">
              <w:rPr>
                <w:sz w:val="20"/>
              </w:rPr>
              <w:t>2000,</w:t>
            </w:r>
            <w:r w:rsidRPr="00150EDC">
              <w:rPr>
                <w:spacing w:val="-7"/>
                <w:sz w:val="20"/>
              </w:rPr>
              <w:t xml:space="preserve"> </w:t>
            </w:r>
            <w:r w:rsidRPr="00150EDC">
              <w:rPr>
                <w:spacing w:val="-5"/>
                <w:sz w:val="20"/>
              </w:rPr>
              <w:t>s57</w:t>
            </w:r>
          </w:p>
        </w:tc>
        <w:tc>
          <w:tcPr>
            <w:tcW w:w="7427" w:type="dxa"/>
          </w:tcPr>
          <w:p w14:paraId="5CCCD93D" w14:textId="77777777" w:rsidR="004C7180" w:rsidRPr="00150EDC" w:rsidRDefault="00CF0754">
            <w:pPr>
              <w:pStyle w:val="TableParagraph"/>
              <w:rPr>
                <w:sz w:val="20"/>
              </w:rPr>
            </w:pPr>
            <w:r w:rsidRPr="00150EDC">
              <w:rPr>
                <w:sz w:val="20"/>
              </w:rPr>
              <w:t>Possession</w:t>
            </w:r>
            <w:r w:rsidRPr="00150EDC">
              <w:rPr>
                <w:spacing w:val="-6"/>
                <w:sz w:val="20"/>
              </w:rPr>
              <w:t xml:space="preserve"> </w:t>
            </w:r>
            <w:r w:rsidRPr="00150EDC">
              <w:rPr>
                <w:sz w:val="20"/>
              </w:rPr>
              <w:t>of</w:t>
            </w:r>
            <w:r w:rsidRPr="00150EDC">
              <w:rPr>
                <w:spacing w:val="-6"/>
                <w:sz w:val="20"/>
              </w:rPr>
              <w:t xml:space="preserve"> </w:t>
            </w:r>
            <w:r w:rsidRPr="00150EDC">
              <w:rPr>
                <w:sz w:val="20"/>
              </w:rPr>
              <w:t>article</w:t>
            </w:r>
            <w:r w:rsidRPr="00150EDC">
              <w:rPr>
                <w:spacing w:val="-6"/>
                <w:sz w:val="20"/>
              </w:rPr>
              <w:t xml:space="preserve"> </w:t>
            </w:r>
            <w:r w:rsidRPr="00150EDC">
              <w:rPr>
                <w:sz w:val="20"/>
              </w:rPr>
              <w:t>for</w:t>
            </w:r>
            <w:r w:rsidRPr="00150EDC">
              <w:rPr>
                <w:spacing w:val="-5"/>
                <w:sz w:val="20"/>
              </w:rPr>
              <w:t xml:space="preserve"> </w:t>
            </w:r>
            <w:r w:rsidRPr="00150EDC">
              <w:rPr>
                <w:sz w:val="20"/>
              </w:rPr>
              <w:t>terrorist</w:t>
            </w:r>
            <w:r w:rsidRPr="00150EDC">
              <w:rPr>
                <w:spacing w:val="-1"/>
                <w:sz w:val="20"/>
              </w:rPr>
              <w:t xml:space="preserve"> </w:t>
            </w:r>
            <w:r w:rsidRPr="00150EDC">
              <w:rPr>
                <w:spacing w:val="-2"/>
                <w:sz w:val="20"/>
              </w:rPr>
              <w:t>purposes</w:t>
            </w:r>
          </w:p>
        </w:tc>
      </w:tr>
      <w:tr w:rsidR="004569EE" w:rsidRPr="007D3144" w14:paraId="444FB299" w14:textId="77777777">
        <w:trPr>
          <w:trHeight w:val="460"/>
        </w:trPr>
        <w:tc>
          <w:tcPr>
            <w:tcW w:w="6517" w:type="dxa"/>
          </w:tcPr>
          <w:p w14:paraId="36E8EBBD" w14:textId="77777777" w:rsidR="004C7180" w:rsidRPr="00150EDC" w:rsidRDefault="004C7180">
            <w:pPr>
              <w:pStyle w:val="TableParagraph"/>
              <w:spacing w:before="2" w:line="240" w:lineRule="auto"/>
              <w:ind w:left="0"/>
              <w:rPr>
                <w:sz w:val="20"/>
              </w:rPr>
            </w:pPr>
          </w:p>
          <w:p w14:paraId="20A894F1" w14:textId="77777777" w:rsidR="004C7180" w:rsidRPr="00150EDC" w:rsidRDefault="00CF0754">
            <w:pPr>
              <w:pStyle w:val="TableParagraph"/>
              <w:spacing w:before="0"/>
              <w:rPr>
                <w:sz w:val="20"/>
              </w:rPr>
            </w:pPr>
            <w:r w:rsidRPr="00150EDC">
              <w:rPr>
                <w:sz w:val="20"/>
              </w:rPr>
              <w:t>Terrorism</w:t>
            </w:r>
            <w:r w:rsidRPr="00150EDC">
              <w:rPr>
                <w:spacing w:val="-8"/>
                <w:sz w:val="20"/>
              </w:rPr>
              <w:t xml:space="preserve"> </w:t>
            </w:r>
            <w:r w:rsidRPr="00150EDC">
              <w:rPr>
                <w:sz w:val="20"/>
              </w:rPr>
              <w:t>Act</w:t>
            </w:r>
            <w:r w:rsidRPr="00150EDC">
              <w:rPr>
                <w:spacing w:val="-6"/>
                <w:sz w:val="20"/>
              </w:rPr>
              <w:t xml:space="preserve"> </w:t>
            </w:r>
            <w:r w:rsidRPr="00150EDC">
              <w:rPr>
                <w:sz w:val="20"/>
              </w:rPr>
              <w:t>2000,</w:t>
            </w:r>
            <w:r w:rsidRPr="00150EDC">
              <w:rPr>
                <w:spacing w:val="-7"/>
                <w:sz w:val="20"/>
              </w:rPr>
              <w:t xml:space="preserve"> </w:t>
            </w:r>
            <w:r w:rsidRPr="00150EDC">
              <w:rPr>
                <w:spacing w:val="-4"/>
                <w:sz w:val="20"/>
              </w:rPr>
              <w:t>s58A</w:t>
            </w:r>
          </w:p>
        </w:tc>
        <w:tc>
          <w:tcPr>
            <w:tcW w:w="7427" w:type="dxa"/>
          </w:tcPr>
          <w:p w14:paraId="7E66AEE0" w14:textId="77777777" w:rsidR="004C7180" w:rsidRPr="00150EDC" w:rsidRDefault="00CF0754">
            <w:pPr>
              <w:pStyle w:val="TableParagraph"/>
              <w:spacing w:before="0" w:line="230" w:lineRule="atLeast"/>
              <w:rPr>
                <w:sz w:val="20"/>
              </w:rPr>
            </w:pPr>
            <w:r w:rsidRPr="00150EDC">
              <w:rPr>
                <w:sz w:val="20"/>
              </w:rPr>
              <w:t>Eliciting,</w:t>
            </w:r>
            <w:r w:rsidRPr="00150EDC">
              <w:rPr>
                <w:spacing w:val="-8"/>
                <w:sz w:val="20"/>
              </w:rPr>
              <w:t xml:space="preserve"> </w:t>
            </w:r>
            <w:r w:rsidRPr="00150EDC">
              <w:rPr>
                <w:sz w:val="20"/>
              </w:rPr>
              <w:t>publishing</w:t>
            </w:r>
            <w:r w:rsidRPr="00150EDC">
              <w:rPr>
                <w:spacing w:val="-3"/>
                <w:sz w:val="20"/>
              </w:rPr>
              <w:t xml:space="preserve"> </w:t>
            </w:r>
            <w:r w:rsidRPr="00150EDC">
              <w:rPr>
                <w:sz w:val="20"/>
              </w:rPr>
              <w:t>or</w:t>
            </w:r>
            <w:r w:rsidRPr="00150EDC">
              <w:rPr>
                <w:spacing w:val="-8"/>
                <w:sz w:val="20"/>
              </w:rPr>
              <w:t xml:space="preserve"> </w:t>
            </w:r>
            <w:r w:rsidRPr="00150EDC">
              <w:rPr>
                <w:sz w:val="20"/>
              </w:rPr>
              <w:t>communicating</w:t>
            </w:r>
            <w:r w:rsidRPr="00150EDC">
              <w:rPr>
                <w:spacing w:val="-8"/>
                <w:sz w:val="20"/>
              </w:rPr>
              <w:t xml:space="preserve"> </w:t>
            </w:r>
            <w:r w:rsidRPr="00150EDC">
              <w:rPr>
                <w:sz w:val="20"/>
              </w:rPr>
              <w:t>information</w:t>
            </w:r>
            <w:r w:rsidRPr="00150EDC">
              <w:rPr>
                <w:spacing w:val="-8"/>
                <w:sz w:val="20"/>
              </w:rPr>
              <w:t xml:space="preserve"> </w:t>
            </w:r>
            <w:r w:rsidRPr="00150EDC">
              <w:rPr>
                <w:sz w:val="20"/>
              </w:rPr>
              <w:t>to</w:t>
            </w:r>
            <w:r w:rsidRPr="00150EDC">
              <w:rPr>
                <w:spacing w:val="-3"/>
                <w:sz w:val="20"/>
              </w:rPr>
              <w:t xml:space="preserve"> </w:t>
            </w:r>
            <w:r w:rsidRPr="00150EDC">
              <w:rPr>
                <w:sz w:val="20"/>
              </w:rPr>
              <w:t>assist</w:t>
            </w:r>
            <w:r w:rsidRPr="00150EDC">
              <w:rPr>
                <w:spacing w:val="-8"/>
                <w:sz w:val="20"/>
              </w:rPr>
              <w:t xml:space="preserve"> </w:t>
            </w:r>
            <w:r w:rsidRPr="00150EDC">
              <w:rPr>
                <w:sz w:val="20"/>
              </w:rPr>
              <w:t>commission</w:t>
            </w:r>
            <w:r w:rsidRPr="00150EDC">
              <w:rPr>
                <w:spacing w:val="-3"/>
                <w:sz w:val="20"/>
              </w:rPr>
              <w:t xml:space="preserve"> </w:t>
            </w:r>
            <w:r w:rsidRPr="00150EDC">
              <w:rPr>
                <w:sz w:val="20"/>
              </w:rPr>
              <w:t>or preparation of terrorism</w:t>
            </w:r>
          </w:p>
        </w:tc>
      </w:tr>
      <w:tr w:rsidR="004569EE" w:rsidRPr="007D3144" w14:paraId="4172729B" w14:textId="77777777">
        <w:trPr>
          <w:trHeight w:val="255"/>
        </w:trPr>
        <w:tc>
          <w:tcPr>
            <w:tcW w:w="6517" w:type="dxa"/>
          </w:tcPr>
          <w:p w14:paraId="40836EB9" w14:textId="77777777" w:rsidR="004C7180" w:rsidRPr="00150EDC" w:rsidRDefault="00CF0754">
            <w:pPr>
              <w:pStyle w:val="TableParagraph"/>
              <w:spacing w:before="28"/>
              <w:rPr>
                <w:sz w:val="20"/>
              </w:rPr>
            </w:pPr>
            <w:r w:rsidRPr="00150EDC">
              <w:rPr>
                <w:sz w:val="20"/>
              </w:rPr>
              <w:t>Terrorism</w:t>
            </w:r>
            <w:r w:rsidRPr="00150EDC">
              <w:rPr>
                <w:spacing w:val="-8"/>
                <w:sz w:val="20"/>
              </w:rPr>
              <w:t xml:space="preserve"> </w:t>
            </w:r>
            <w:r w:rsidRPr="00150EDC">
              <w:rPr>
                <w:sz w:val="20"/>
              </w:rPr>
              <w:t>Act</w:t>
            </w:r>
            <w:r w:rsidRPr="00150EDC">
              <w:rPr>
                <w:spacing w:val="-6"/>
                <w:sz w:val="20"/>
              </w:rPr>
              <w:t xml:space="preserve"> </w:t>
            </w:r>
            <w:r w:rsidRPr="00150EDC">
              <w:rPr>
                <w:sz w:val="20"/>
              </w:rPr>
              <w:t>2000,</w:t>
            </w:r>
            <w:r w:rsidRPr="00150EDC">
              <w:rPr>
                <w:spacing w:val="-7"/>
                <w:sz w:val="20"/>
              </w:rPr>
              <w:t xml:space="preserve"> </w:t>
            </w:r>
            <w:r w:rsidRPr="00150EDC">
              <w:rPr>
                <w:spacing w:val="-5"/>
                <w:sz w:val="20"/>
              </w:rPr>
              <w:t>s59</w:t>
            </w:r>
          </w:p>
        </w:tc>
        <w:tc>
          <w:tcPr>
            <w:tcW w:w="7427" w:type="dxa"/>
          </w:tcPr>
          <w:p w14:paraId="0D3B9291" w14:textId="77777777" w:rsidR="004C7180" w:rsidRPr="00150EDC" w:rsidRDefault="00CF0754">
            <w:pPr>
              <w:pStyle w:val="TableParagraph"/>
              <w:spacing w:before="28"/>
              <w:rPr>
                <w:sz w:val="20"/>
              </w:rPr>
            </w:pPr>
            <w:r w:rsidRPr="00150EDC">
              <w:rPr>
                <w:sz w:val="20"/>
              </w:rPr>
              <w:t>Inciting</w:t>
            </w:r>
            <w:r w:rsidRPr="00150EDC">
              <w:rPr>
                <w:spacing w:val="-7"/>
                <w:sz w:val="20"/>
              </w:rPr>
              <w:t xml:space="preserve"> </w:t>
            </w:r>
            <w:r w:rsidRPr="00150EDC">
              <w:rPr>
                <w:sz w:val="20"/>
              </w:rPr>
              <w:t>terrorism</w:t>
            </w:r>
            <w:r w:rsidRPr="00150EDC">
              <w:rPr>
                <w:spacing w:val="-7"/>
                <w:sz w:val="20"/>
              </w:rPr>
              <w:t xml:space="preserve"> </w:t>
            </w:r>
            <w:r w:rsidRPr="00150EDC">
              <w:rPr>
                <w:spacing w:val="-2"/>
                <w:sz w:val="20"/>
              </w:rPr>
              <w:t>overseas</w:t>
            </w:r>
          </w:p>
        </w:tc>
      </w:tr>
      <w:tr w:rsidR="004569EE" w:rsidRPr="007D3144" w14:paraId="735DDD5B" w14:textId="77777777">
        <w:trPr>
          <w:trHeight w:val="255"/>
        </w:trPr>
        <w:tc>
          <w:tcPr>
            <w:tcW w:w="6517" w:type="dxa"/>
          </w:tcPr>
          <w:p w14:paraId="5EA38B69" w14:textId="77777777" w:rsidR="004C7180" w:rsidRPr="00150EDC" w:rsidRDefault="00CF0754">
            <w:pPr>
              <w:pStyle w:val="TableParagraph"/>
              <w:rPr>
                <w:sz w:val="20"/>
              </w:rPr>
            </w:pPr>
            <w:r w:rsidRPr="00150EDC">
              <w:rPr>
                <w:sz w:val="20"/>
              </w:rPr>
              <w:t>Terrorism</w:t>
            </w:r>
            <w:r w:rsidRPr="00150EDC">
              <w:rPr>
                <w:spacing w:val="-8"/>
                <w:sz w:val="20"/>
              </w:rPr>
              <w:t xml:space="preserve"> </w:t>
            </w:r>
            <w:r w:rsidRPr="00150EDC">
              <w:rPr>
                <w:sz w:val="20"/>
              </w:rPr>
              <w:t>Act</w:t>
            </w:r>
            <w:r w:rsidRPr="00150EDC">
              <w:rPr>
                <w:spacing w:val="-6"/>
                <w:sz w:val="20"/>
              </w:rPr>
              <w:t xml:space="preserve"> </w:t>
            </w:r>
            <w:r w:rsidRPr="00150EDC">
              <w:rPr>
                <w:sz w:val="20"/>
              </w:rPr>
              <w:t>2000,</w:t>
            </w:r>
            <w:r w:rsidRPr="00150EDC">
              <w:rPr>
                <w:spacing w:val="-7"/>
                <w:sz w:val="20"/>
              </w:rPr>
              <w:t xml:space="preserve"> </w:t>
            </w:r>
            <w:r w:rsidRPr="00150EDC">
              <w:rPr>
                <w:spacing w:val="-5"/>
                <w:sz w:val="20"/>
              </w:rPr>
              <w:t>s60</w:t>
            </w:r>
          </w:p>
        </w:tc>
        <w:tc>
          <w:tcPr>
            <w:tcW w:w="7427" w:type="dxa"/>
          </w:tcPr>
          <w:p w14:paraId="43281296" w14:textId="77777777" w:rsidR="004C7180" w:rsidRPr="00150EDC" w:rsidRDefault="00CF0754">
            <w:pPr>
              <w:pStyle w:val="TableParagraph"/>
              <w:rPr>
                <w:sz w:val="20"/>
              </w:rPr>
            </w:pPr>
            <w:r w:rsidRPr="00150EDC">
              <w:rPr>
                <w:sz w:val="20"/>
              </w:rPr>
              <w:t>Inciting</w:t>
            </w:r>
            <w:r w:rsidRPr="00150EDC">
              <w:rPr>
                <w:spacing w:val="-7"/>
                <w:sz w:val="20"/>
              </w:rPr>
              <w:t xml:space="preserve"> </w:t>
            </w:r>
            <w:r w:rsidRPr="00150EDC">
              <w:rPr>
                <w:sz w:val="20"/>
              </w:rPr>
              <w:t>an</w:t>
            </w:r>
            <w:r w:rsidRPr="00150EDC">
              <w:rPr>
                <w:spacing w:val="-1"/>
                <w:sz w:val="20"/>
              </w:rPr>
              <w:t xml:space="preserve"> </w:t>
            </w:r>
            <w:r w:rsidRPr="00150EDC">
              <w:rPr>
                <w:sz w:val="20"/>
              </w:rPr>
              <w:t>act</w:t>
            </w:r>
            <w:r w:rsidRPr="00150EDC">
              <w:rPr>
                <w:spacing w:val="-5"/>
                <w:sz w:val="20"/>
              </w:rPr>
              <w:t xml:space="preserve"> </w:t>
            </w:r>
            <w:r w:rsidRPr="00150EDC">
              <w:rPr>
                <w:sz w:val="20"/>
              </w:rPr>
              <w:t>of</w:t>
            </w:r>
            <w:r w:rsidRPr="00150EDC">
              <w:rPr>
                <w:spacing w:val="-2"/>
                <w:sz w:val="20"/>
              </w:rPr>
              <w:t xml:space="preserve"> </w:t>
            </w:r>
            <w:r w:rsidRPr="00150EDC">
              <w:rPr>
                <w:sz w:val="20"/>
              </w:rPr>
              <w:t>terrorism</w:t>
            </w:r>
            <w:r w:rsidRPr="00150EDC">
              <w:rPr>
                <w:spacing w:val="-2"/>
                <w:sz w:val="20"/>
              </w:rPr>
              <w:t xml:space="preserve"> </w:t>
            </w:r>
            <w:r w:rsidRPr="00150EDC">
              <w:rPr>
                <w:sz w:val="20"/>
              </w:rPr>
              <w:t>outside</w:t>
            </w:r>
            <w:r w:rsidRPr="00150EDC">
              <w:rPr>
                <w:spacing w:val="-2"/>
                <w:sz w:val="20"/>
              </w:rPr>
              <w:t xml:space="preserve"> </w:t>
            </w:r>
            <w:r w:rsidRPr="00150EDC">
              <w:rPr>
                <w:sz w:val="20"/>
              </w:rPr>
              <w:t>the</w:t>
            </w:r>
            <w:r w:rsidRPr="00150EDC">
              <w:rPr>
                <w:spacing w:val="-6"/>
                <w:sz w:val="20"/>
              </w:rPr>
              <w:t xml:space="preserve"> </w:t>
            </w:r>
            <w:r w:rsidRPr="00150EDC">
              <w:rPr>
                <w:sz w:val="20"/>
              </w:rPr>
              <w:t>United</w:t>
            </w:r>
            <w:r w:rsidRPr="00150EDC">
              <w:rPr>
                <w:spacing w:val="-6"/>
                <w:sz w:val="20"/>
              </w:rPr>
              <w:t xml:space="preserve"> </w:t>
            </w:r>
            <w:r w:rsidRPr="00150EDC">
              <w:rPr>
                <w:spacing w:val="-2"/>
                <w:sz w:val="20"/>
              </w:rPr>
              <w:t>Kingdom</w:t>
            </w:r>
          </w:p>
        </w:tc>
      </w:tr>
      <w:tr w:rsidR="004569EE" w:rsidRPr="007D3144" w14:paraId="7DE6C891" w14:textId="77777777">
        <w:trPr>
          <w:trHeight w:val="255"/>
        </w:trPr>
        <w:tc>
          <w:tcPr>
            <w:tcW w:w="6517" w:type="dxa"/>
          </w:tcPr>
          <w:p w14:paraId="7301D63B" w14:textId="77777777" w:rsidR="004C7180" w:rsidRPr="00150EDC" w:rsidRDefault="00CF0754">
            <w:pPr>
              <w:pStyle w:val="TableParagraph"/>
              <w:rPr>
                <w:sz w:val="20"/>
              </w:rPr>
            </w:pPr>
            <w:r w:rsidRPr="00150EDC">
              <w:rPr>
                <w:sz w:val="20"/>
              </w:rPr>
              <w:t>Terrorism</w:t>
            </w:r>
            <w:r w:rsidRPr="00150EDC">
              <w:rPr>
                <w:spacing w:val="-8"/>
                <w:sz w:val="20"/>
              </w:rPr>
              <w:t xml:space="preserve"> </w:t>
            </w:r>
            <w:r w:rsidRPr="00150EDC">
              <w:rPr>
                <w:sz w:val="20"/>
              </w:rPr>
              <w:t>Act</w:t>
            </w:r>
            <w:r w:rsidRPr="00150EDC">
              <w:rPr>
                <w:spacing w:val="-6"/>
                <w:sz w:val="20"/>
              </w:rPr>
              <w:t xml:space="preserve"> </w:t>
            </w:r>
            <w:r w:rsidRPr="00150EDC">
              <w:rPr>
                <w:sz w:val="20"/>
              </w:rPr>
              <w:t>2000,</w:t>
            </w:r>
            <w:r w:rsidRPr="00150EDC">
              <w:rPr>
                <w:spacing w:val="-7"/>
                <w:sz w:val="20"/>
              </w:rPr>
              <w:t xml:space="preserve"> </w:t>
            </w:r>
            <w:r w:rsidRPr="00150EDC">
              <w:rPr>
                <w:spacing w:val="-5"/>
                <w:sz w:val="20"/>
              </w:rPr>
              <w:t>s61</w:t>
            </w:r>
          </w:p>
        </w:tc>
        <w:tc>
          <w:tcPr>
            <w:tcW w:w="7427" w:type="dxa"/>
          </w:tcPr>
          <w:p w14:paraId="28847E1C" w14:textId="77777777" w:rsidR="004C7180" w:rsidRPr="00150EDC" w:rsidRDefault="00CF0754">
            <w:pPr>
              <w:pStyle w:val="TableParagraph"/>
              <w:rPr>
                <w:sz w:val="20"/>
              </w:rPr>
            </w:pPr>
            <w:r w:rsidRPr="00150EDC">
              <w:rPr>
                <w:sz w:val="20"/>
              </w:rPr>
              <w:t>Incite</w:t>
            </w:r>
            <w:r w:rsidRPr="00150EDC">
              <w:rPr>
                <w:spacing w:val="-6"/>
                <w:sz w:val="20"/>
              </w:rPr>
              <w:t xml:space="preserve"> </w:t>
            </w:r>
            <w:r w:rsidRPr="00150EDC">
              <w:rPr>
                <w:sz w:val="20"/>
              </w:rPr>
              <w:t>another</w:t>
            </w:r>
            <w:r w:rsidRPr="00150EDC">
              <w:rPr>
                <w:spacing w:val="-1"/>
                <w:sz w:val="20"/>
              </w:rPr>
              <w:t xml:space="preserve"> </w:t>
            </w:r>
            <w:r w:rsidRPr="00150EDC">
              <w:rPr>
                <w:sz w:val="20"/>
              </w:rPr>
              <w:t>person</w:t>
            </w:r>
            <w:r w:rsidRPr="00150EDC">
              <w:rPr>
                <w:spacing w:val="-5"/>
                <w:sz w:val="20"/>
              </w:rPr>
              <w:t xml:space="preserve"> </w:t>
            </w:r>
            <w:r w:rsidRPr="00150EDC">
              <w:rPr>
                <w:sz w:val="20"/>
              </w:rPr>
              <w:t>to</w:t>
            </w:r>
            <w:r w:rsidRPr="00150EDC">
              <w:rPr>
                <w:spacing w:val="-5"/>
                <w:sz w:val="20"/>
              </w:rPr>
              <w:t xml:space="preserve"> </w:t>
            </w:r>
            <w:r w:rsidRPr="00150EDC">
              <w:rPr>
                <w:sz w:val="20"/>
              </w:rPr>
              <w:t>commit</w:t>
            </w:r>
            <w:r w:rsidRPr="00150EDC">
              <w:rPr>
                <w:spacing w:val="1"/>
                <w:sz w:val="20"/>
              </w:rPr>
              <w:t xml:space="preserve"> </w:t>
            </w:r>
            <w:r w:rsidRPr="00150EDC">
              <w:rPr>
                <w:sz w:val="20"/>
              </w:rPr>
              <w:t>an</w:t>
            </w:r>
            <w:r w:rsidRPr="00150EDC">
              <w:rPr>
                <w:spacing w:val="-5"/>
                <w:sz w:val="20"/>
              </w:rPr>
              <w:t xml:space="preserve"> </w:t>
            </w:r>
            <w:r w:rsidRPr="00150EDC">
              <w:rPr>
                <w:sz w:val="20"/>
              </w:rPr>
              <w:t>act of</w:t>
            </w:r>
            <w:r w:rsidRPr="00150EDC">
              <w:rPr>
                <w:spacing w:val="-5"/>
                <w:sz w:val="20"/>
              </w:rPr>
              <w:t xml:space="preserve"> </w:t>
            </w:r>
            <w:r w:rsidRPr="00150EDC">
              <w:rPr>
                <w:spacing w:val="-2"/>
                <w:sz w:val="20"/>
              </w:rPr>
              <w:t>terrorism</w:t>
            </w:r>
          </w:p>
        </w:tc>
      </w:tr>
      <w:tr w:rsidR="004569EE" w:rsidRPr="007D3144" w14:paraId="0EFAF7A8" w14:textId="77777777">
        <w:trPr>
          <w:trHeight w:val="510"/>
        </w:trPr>
        <w:tc>
          <w:tcPr>
            <w:tcW w:w="6517" w:type="dxa"/>
          </w:tcPr>
          <w:p w14:paraId="19A95F0F" w14:textId="77777777" w:rsidR="004C7180" w:rsidRPr="00150EDC" w:rsidRDefault="004C7180">
            <w:pPr>
              <w:pStyle w:val="TableParagraph"/>
              <w:spacing w:before="6" w:line="240" w:lineRule="auto"/>
              <w:ind w:left="0"/>
              <w:rPr>
                <w:sz w:val="24"/>
              </w:rPr>
            </w:pPr>
          </w:p>
          <w:p w14:paraId="11B08A02" w14:textId="77777777" w:rsidR="004C7180" w:rsidRPr="00150EDC" w:rsidRDefault="00CF0754">
            <w:pPr>
              <w:pStyle w:val="TableParagraph"/>
              <w:spacing w:before="0"/>
              <w:rPr>
                <w:sz w:val="20"/>
              </w:rPr>
            </w:pPr>
            <w:r w:rsidRPr="00150EDC">
              <w:rPr>
                <w:sz w:val="20"/>
              </w:rPr>
              <w:t>Terrorism</w:t>
            </w:r>
            <w:r w:rsidRPr="00150EDC">
              <w:rPr>
                <w:spacing w:val="-8"/>
                <w:sz w:val="20"/>
              </w:rPr>
              <w:t xml:space="preserve"> </w:t>
            </w:r>
            <w:r w:rsidRPr="00150EDC">
              <w:rPr>
                <w:sz w:val="20"/>
              </w:rPr>
              <w:t>Act</w:t>
            </w:r>
            <w:r w:rsidRPr="00150EDC">
              <w:rPr>
                <w:spacing w:val="-6"/>
                <w:sz w:val="20"/>
              </w:rPr>
              <w:t xml:space="preserve"> </w:t>
            </w:r>
            <w:r w:rsidRPr="00150EDC">
              <w:rPr>
                <w:sz w:val="20"/>
              </w:rPr>
              <w:t>2000,</w:t>
            </w:r>
            <w:r w:rsidRPr="00150EDC">
              <w:rPr>
                <w:spacing w:val="-7"/>
                <w:sz w:val="20"/>
              </w:rPr>
              <w:t xml:space="preserve"> </w:t>
            </w:r>
            <w:r w:rsidRPr="00150EDC">
              <w:rPr>
                <w:spacing w:val="-5"/>
                <w:sz w:val="20"/>
              </w:rPr>
              <w:t>s62</w:t>
            </w:r>
          </w:p>
        </w:tc>
        <w:tc>
          <w:tcPr>
            <w:tcW w:w="7427" w:type="dxa"/>
          </w:tcPr>
          <w:p w14:paraId="3CAB341C" w14:textId="77777777" w:rsidR="004C7180" w:rsidRPr="00150EDC" w:rsidRDefault="00CF0754">
            <w:pPr>
              <w:pStyle w:val="TableParagraph"/>
              <w:spacing w:before="32" w:line="230" w:lineRule="atLeast"/>
              <w:rPr>
                <w:sz w:val="20"/>
              </w:rPr>
            </w:pPr>
            <w:r w:rsidRPr="00150EDC">
              <w:rPr>
                <w:sz w:val="20"/>
              </w:rPr>
              <w:t>Committing</w:t>
            </w:r>
            <w:r w:rsidRPr="00150EDC">
              <w:rPr>
                <w:spacing w:val="-7"/>
                <w:sz w:val="20"/>
              </w:rPr>
              <w:t xml:space="preserve"> </w:t>
            </w:r>
            <w:r w:rsidRPr="00150EDC">
              <w:rPr>
                <w:sz w:val="20"/>
              </w:rPr>
              <w:t>terrorist</w:t>
            </w:r>
            <w:r w:rsidRPr="00150EDC">
              <w:rPr>
                <w:spacing w:val="-7"/>
                <w:sz w:val="20"/>
              </w:rPr>
              <w:t xml:space="preserve"> </w:t>
            </w:r>
            <w:r w:rsidRPr="00150EDC">
              <w:rPr>
                <w:sz w:val="20"/>
              </w:rPr>
              <w:t>bombings</w:t>
            </w:r>
            <w:r w:rsidRPr="00150EDC">
              <w:rPr>
                <w:spacing w:val="-1"/>
                <w:sz w:val="20"/>
              </w:rPr>
              <w:t xml:space="preserve"> </w:t>
            </w:r>
            <w:r w:rsidRPr="00150EDC">
              <w:rPr>
                <w:sz w:val="20"/>
              </w:rPr>
              <w:t>outside</w:t>
            </w:r>
            <w:r w:rsidRPr="00150EDC">
              <w:rPr>
                <w:spacing w:val="-7"/>
                <w:sz w:val="20"/>
              </w:rPr>
              <w:t xml:space="preserve"> </w:t>
            </w:r>
            <w:r w:rsidRPr="00150EDC">
              <w:rPr>
                <w:sz w:val="20"/>
              </w:rPr>
              <w:t>the</w:t>
            </w:r>
            <w:r w:rsidRPr="00150EDC">
              <w:rPr>
                <w:spacing w:val="-7"/>
                <w:sz w:val="20"/>
              </w:rPr>
              <w:t xml:space="preserve"> </w:t>
            </w:r>
            <w:r w:rsidRPr="00150EDC">
              <w:rPr>
                <w:sz w:val="20"/>
              </w:rPr>
              <w:t>United</w:t>
            </w:r>
            <w:r w:rsidRPr="00150EDC">
              <w:rPr>
                <w:spacing w:val="-7"/>
                <w:sz w:val="20"/>
              </w:rPr>
              <w:t xml:space="preserve"> </w:t>
            </w:r>
            <w:r w:rsidRPr="00150EDC">
              <w:rPr>
                <w:sz w:val="20"/>
              </w:rPr>
              <w:t>Kingdom,</w:t>
            </w:r>
            <w:r w:rsidRPr="00150EDC">
              <w:rPr>
                <w:spacing w:val="-7"/>
                <w:sz w:val="20"/>
              </w:rPr>
              <w:t xml:space="preserve"> </w:t>
            </w:r>
            <w:r w:rsidRPr="00150EDC">
              <w:rPr>
                <w:sz w:val="20"/>
              </w:rPr>
              <w:t>where</w:t>
            </w:r>
            <w:r w:rsidRPr="00150EDC">
              <w:rPr>
                <w:spacing w:val="-2"/>
                <w:sz w:val="20"/>
              </w:rPr>
              <w:t xml:space="preserve"> </w:t>
            </w:r>
            <w:r w:rsidRPr="00150EDC">
              <w:rPr>
                <w:sz w:val="20"/>
              </w:rPr>
              <w:t>the</w:t>
            </w:r>
            <w:r w:rsidRPr="00150EDC">
              <w:rPr>
                <w:spacing w:val="-2"/>
                <w:sz w:val="20"/>
              </w:rPr>
              <w:t xml:space="preserve"> </w:t>
            </w:r>
            <w:r w:rsidRPr="00150EDC">
              <w:rPr>
                <w:sz w:val="20"/>
              </w:rPr>
              <w:t>underlying offence is section 2 or section 3 of the Explosive Substances Act 1883</w:t>
            </w:r>
          </w:p>
        </w:tc>
      </w:tr>
      <w:tr w:rsidR="004569EE" w:rsidRPr="007D3144" w14:paraId="73773857" w14:textId="77777777">
        <w:trPr>
          <w:trHeight w:val="255"/>
        </w:trPr>
        <w:tc>
          <w:tcPr>
            <w:tcW w:w="6517" w:type="dxa"/>
          </w:tcPr>
          <w:p w14:paraId="4CFBA792" w14:textId="77777777" w:rsidR="004C7180" w:rsidRPr="00150EDC" w:rsidRDefault="00CF0754">
            <w:pPr>
              <w:pStyle w:val="TableParagraph"/>
              <w:spacing w:before="28"/>
              <w:rPr>
                <w:sz w:val="20"/>
              </w:rPr>
            </w:pPr>
            <w:r w:rsidRPr="00150EDC">
              <w:rPr>
                <w:sz w:val="20"/>
              </w:rPr>
              <w:t>Terrorism</w:t>
            </w:r>
            <w:r w:rsidRPr="00150EDC">
              <w:rPr>
                <w:spacing w:val="-8"/>
                <w:sz w:val="20"/>
              </w:rPr>
              <w:t xml:space="preserve"> </w:t>
            </w:r>
            <w:r w:rsidRPr="00150EDC">
              <w:rPr>
                <w:sz w:val="20"/>
              </w:rPr>
              <w:t>Act</w:t>
            </w:r>
            <w:r w:rsidRPr="00150EDC">
              <w:rPr>
                <w:spacing w:val="-6"/>
                <w:sz w:val="20"/>
              </w:rPr>
              <w:t xml:space="preserve"> </w:t>
            </w:r>
            <w:r w:rsidRPr="00150EDC">
              <w:rPr>
                <w:sz w:val="20"/>
              </w:rPr>
              <w:t>2000,</w:t>
            </w:r>
            <w:r w:rsidRPr="00150EDC">
              <w:rPr>
                <w:spacing w:val="-7"/>
                <w:sz w:val="20"/>
              </w:rPr>
              <w:t xml:space="preserve"> </w:t>
            </w:r>
            <w:r w:rsidRPr="00150EDC">
              <w:rPr>
                <w:spacing w:val="-5"/>
                <w:sz w:val="20"/>
              </w:rPr>
              <w:t>s63</w:t>
            </w:r>
          </w:p>
        </w:tc>
        <w:tc>
          <w:tcPr>
            <w:tcW w:w="7427" w:type="dxa"/>
          </w:tcPr>
          <w:p w14:paraId="6D586713" w14:textId="77777777" w:rsidR="004C7180" w:rsidRPr="00150EDC" w:rsidRDefault="00CF0754">
            <w:pPr>
              <w:pStyle w:val="TableParagraph"/>
              <w:spacing w:before="28"/>
              <w:rPr>
                <w:sz w:val="20"/>
              </w:rPr>
            </w:pPr>
            <w:r w:rsidRPr="00150EDC">
              <w:rPr>
                <w:sz w:val="20"/>
              </w:rPr>
              <w:t>Commit</w:t>
            </w:r>
            <w:r w:rsidRPr="00150EDC">
              <w:rPr>
                <w:spacing w:val="-5"/>
                <w:sz w:val="20"/>
              </w:rPr>
              <w:t xml:space="preserve"> </w:t>
            </w:r>
            <w:r w:rsidRPr="00150EDC">
              <w:rPr>
                <w:sz w:val="20"/>
              </w:rPr>
              <w:t>an act</w:t>
            </w:r>
            <w:r w:rsidRPr="00150EDC">
              <w:rPr>
                <w:spacing w:val="-4"/>
                <w:sz w:val="20"/>
              </w:rPr>
              <w:t xml:space="preserve"> </w:t>
            </w:r>
            <w:r w:rsidRPr="00150EDC">
              <w:rPr>
                <w:sz w:val="20"/>
              </w:rPr>
              <w:t>of</w:t>
            </w:r>
            <w:r w:rsidRPr="00150EDC">
              <w:rPr>
                <w:spacing w:val="-1"/>
                <w:sz w:val="20"/>
              </w:rPr>
              <w:t xml:space="preserve"> </w:t>
            </w:r>
            <w:r w:rsidRPr="00150EDC">
              <w:rPr>
                <w:spacing w:val="-2"/>
                <w:sz w:val="20"/>
              </w:rPr>
              <w:t>terrorism</w:t>
            </w:r>
          </w:p>
        </w:tc>
      </w:tr>
      <w:tr w:rsidR="004569EE" w:rsidRPr="007D3144" w14:paraId="01BA2BF3" w14:textId="77777777">
        <w:trPr>
          <w:trHeight w:val="255"/>
        </w:trPr>
        <w:tc>
          <w:tcPr>
            <w:tcW w:w="6517" w:type="dxa"/>
          </w:tcPr>
          <w:p w14:paraId="3FB945EF" w14:textId="77777777" w:rsidR="004C7180" w:rsidRPr="00150EDC" w:rsidRDefault="00CF0754">
            <w:pPr>
              <w:pStyle w:val="TableParagraph"/>
              <w:rPr>
                <w:sz w:val="20"/>
              </w:rPr>
            </w:pPr>
            <w:r w:rsidRPr="00150EDC">
              <w:rPr>
                <w:sz w:val="20"/>
              </w:rPr>
              <w:t>Terrorism</w:t>
            </w:r>
            <w:r w:rsidRPr="00150EDC">
              <w:rPr>
                <w:spacing w:val="-8"/>
                <w:sz w:val="20"/>
              </w:rPr>
              <w:t xml:space="preserve"> </w:t>
            </w:r>
            <w:r w:rsidRPr="00150EDC">
              <w:rPr>
                <w:sz w:val="20"/>
              </w:rPr>
              <w:t>Act</w:t>
            </w:r>
            <w:r w:rsidRPr="00150EDC">
              <w:rPr>
                <w:spacing w:val="-6"/>
                <w:sz w:val="20"/>
              </w:rPr>
              <w:t xml:space="preserve"> </w:t>
            </w:r>
            <w:r w:rsidRPr="00150EDC">
              <w:rPr>
                <w:sz w:val="20"/>
              </w:rPr>
              <w:t>2006,</w:t>
            </w:r>
            <w:r w:rsidRPr="00150EDC">
              <w:rPr>
                <w:spacing w:val="-7"/>
                <w:sz w:val="20"/>
              </w:rPr>
              <w:t xml:space="preserve"> </w:t>
            </w:r>
            <w:r w:rsidRPr="00150EDC">
              <w:rPr>
                <w:spacing w:val="-5"/>
                <w:sz w:val="20"/>
              </w:rPr>
              <w:t>s10</w:t>
            </w:r>
          </w:p>
        </w:tc>
        <w:tc>
          <w:tcPr>
            <w:tcW w:w="7427" w:type="dxa"/>
          </w:tcPr>
          <w:p w14:paraId="41BCC40E" w14:textId="77777777" w:rsidR="004C7180" w:rsidRPr="00150EDC" w:rsidRDefault="00CF0754">
            <w:pPr>
              <w:pStyle w:val="TableParagraph"/>
              <w:rPr>
                <w:sz w:val="20"/>
              </w:rPr>
            </w:pPr>
            <w:r w:rsidRPr="00150EDC">
              <w:rPr>
                <w:sz w:val="20"/>
              </w:rPr>
              <w:t>Use</w:t>
            </w:r>
            <w:r w:rsidRPr="00150EDC">
              <w:rPr>
                <w:spacing w:val="-6"/>
                <w:sz w:val="20"/>
              </w:rPr>
              <w:t xml:space="preserve"> </w:t>
            </w:r>
            <w:r w:rsidRPr="00150EDC">
              <w:rPr>
                <w:sz w:val="20"/>
              </w:rPr>
              <w:t>of</w:t>
            </w:r>
            <w:r w:rsidRPr="00150EDC">
              <w:rPr>
                <w:spacing w:val="-5"/>
                <w:sz w:val="20"/>
              </w:rPr>
              <w:t xml:space="preserve"> </w:t>
            </w:r>
            <w:r w:rsidRPr="00150EDC">
              <w:rPr>
                <w:sz w:val="20"/>
              </w:rPr>
              <w:t>radioactive device</w:t>
            </w:r>
            <w:r w:rsidRPr="00150EDC">
              <w:rPr>
                <w:spacing w:val="-6"/>
                <w:sz w:val="20"/>
              </w:rPr>
              <w:t xml:space="preserve"> </w:t>
            </w:r>
            <w:r w:rsidRPr="00150EDC">
              <w:rPr>
                <w:sz w:val="20"/>
              </w:rPr>
              <w:t>or</w:t>
            </w:r>
            <w:r w:rsidRPr="00150EDC">
              <w:rPr>
                <w:spacing w:val="-5"/>
                <w:sz w:val="20"/>
              </w:rPr>
              <w:t xml:space="preserve"> </w:t>
            </w:r>
            <w:r w:rsidRPr="00150EDC">
              <w:rPr>
                <w:sz w:val="20"/>
              </w:rPr>
              <w:t>material</w:t>
            </w:r>
            <w:r w:rsidRPr="00150EDC">
              <w:rPr>
                <w:spacing w:val="-3"/>
                <w:sz w:val="20"/>
              </w:rPr>
              <w:t xml:space="preserve"> </w:t>
            </w:r>
            <w:r w:rsidRPr="00150EDC">
              <w:rPr>
                <w:sz w:val="20"/>
              </w:rPr>
              <w:t>for</w:t>
            </w:r>
            <w:r w:rsidRPr="00150EDC">
              <w:rPr>
                <w:spacing w:val="-5"/>
                <w:sz w:val="20"/>
              </w:rPr>
              <w:t xml:space="preserve"> </w:t>
            </w:r>
            <w:r w:rsidRPr="00150EDC">
              <w:rPr>
                <w:sz w:val="20"/>
              </w:rPr>
              <w:t xml:space="preserve">terrorist </w:t>
            </w:r>
            <w:r w:rsidRPr="00150EDC">
              <w:rPr>
                <w:spacing w:val="-2"/>
                <w:sz w:val="20"/>
              </w:rPr>
              <w:t>purposes</w:t>
            </w:r>
          </w:p>
        </w:tc>
      </w:tr>
      <w:tr w:rsidR="004569EE" w:rsidRPr="007D3144" w14:paraId="5B893AD1" w14:textId="77777777">
        <w:trPr>
          <w:trHeight w:val="255"/>
        </w:trPr>
        <w:tc>
          <w:tcPr>
            <w:tcW w:w="6517" w:type="dxa"/>
          </w:tcPr>
          <w:p w14:paraId="5E34BB1A" w14:textId="77777777" w:rsidR="004C7180" w:rsidRPr="00150EDC" w:rsidRDefault="00CF0754">
            <w:pPr>
              <w:pStyle w:val="TableParagraph"/>
              <w:rPr>
                <w:sz w:val="20"/>
              </w:rPr>
            </w:pPr>
            <w:r w:rsidRPr="00150EDC">
              <w:rPr>
                <w:sz w:val="20"/>
              </w:rPr>
              <w:t>Terrorism</w:t>
            </w:r>
            <w:r w:rsidRPr="00150EDC">
              <w:rPr>
                <w:spacing w:val="-8"/>
                <w:sz w:val="20"/>
              </w:rPr>
              <w:t xml:space="preserve"> </w:t>
            </w:r>
            <w:r w:rsidRPr="00150EDC">
              <w:rPr>
                <w:sz w:val="20"/>
              </w:rPr>
              <w:t>Act</w:t>
            </w:r>
            <w:r w:rsidRPr="00150EDC">
              <w:rPr>
                <w:spacing w:val="-6"/>
                <w:sz w:val="20"/>
              </w:rPr>
              <w:t xml:space="preserve"> </w:t>
            </w:r>
            <w:r w:rsidRPr="00150EDC">
              <w:rPr>
                <w:sz w:val="20"/>
              </w:rPr>
              <w:t>2006,</w:t>
            </w:r>
            <w:r w:rsidRPr="00150EDC">
              <w:rPr>
                <w:spacing w:val="-7"/>
                <w:sz w:val="20"/>
              </w:rPr>
              <w:t xml:space="preserve"> </w:t>
            </w:r>
            <w:r w:rsidRPr="00150EDC">
              <w:rPr>
                <w:spacing w:val="-5"/>
                <w:sz w:val="20"/>
              </w:rPr>
              <w:t>s11</w:t>
            </w:r>
          </w:p>
        </w:tc>
        <w:tc>
          <w:tcPr>
            <w:tcW w:w="7427" w:type="dxa"/>
          </w:tcPr>
          <w:p w14:paraId="27FACCA2" w14:textId="77777777" w:rsidR="004C7180" w:rsidRPr="00150EDC" w:rsidRDefault="00CF0754">
            <w:pPr>
              <w:pStyle w:val="TableParagraph"/>
              <w:rPr>
                <w:sz w:val="20"/>
              </w:rPr>
            </w:pPr>
            <w:r w:rsidRPr="00150EDC">
              <w:rPr>
                <w:sz w:val="20"/>
              </w:rPr>
              <w:t>Terrorist</w:t>
            </w:r>
            <w:r w:rsidRPr="00150EDC">
              <w:rPr>
                <w:spacing w:val="-7"/>
                <w:sz w:val="20"/>
              </w:rPr>
              <w:t xml:space="preserve"> </w:t>
            </w:r>
            <w:r w:rsidRPr="00150EDC">
              <w:rPr>
                <w:sz w:val="20"/>
              </w:rPr>
              <w:t>threats</w:t>
            </w:r>
            <w:r w:rsidRPr="00150EDC">
              <w:rPr>
                <w:spacing w:val="-1"/>
                <w:sz w:val="20"/>
              </w:rPr>
              <w:t xml:space="preserve"> </w:t>
            </w:r>
            <w:r w:rsidRPr="00150EDC">
              <w:rPr>
                <w:sz w:val="20"/>
              </w:rPr>
              <w:t>relating</w:t>
            </w:r>
            <w:r w:rsidRPr="00150EDC">
              <w:rPr>
                <w:spacing w:val="-6"/>
                <w:sz w:val="20"/>
              </w:rPr>
              <w:t xml:space="preserve"> </w:t>
            </w:r>
            <w:r w:rsidRPr="00150EDC">
              <w:rPr>
                <w:sz w:val="20"/>
              </w:rPr>
              <w:t>to</w:t>
            </w:r>
            <w:r w:rsidRPr="00150EDC">
              <w:rPr>
                <w:spacing w:val="-6"/>
                <w:sz w:val="20"/>
              </w:rPr>
              <w:t xml:space="preserve"> </w:t>
            </w:r>
            <w:r w:rsidRPr="00150EDC">
              <w:rPr>
                <w:sz w:val="20"/>
              </w:rPr>
              <w:t>radioactive</w:t>
            </w:r>
            <w:r w:rsidRPr="00150EDC">
              <w:rPr>
                <w:spacing w:val="-6"/>
                <w:sz w:val="20"/>
              </w:rPr>
              <w:t xml:space="preserve"> </w:t>
            </w:r>
            <w:r w:rsidRPr="00150EDC">
              <w:rPr>
                <w:spacing w:val="-2"/>
                <w:sz w:val="20"/>
              </w:rPr>
              <w:t>devices</w:t>
            </w:r>
          </w:p>
        </w:tc>
      </w:tr>
      <w:tr w:rsidR="004569EE" w:rsidRPr="007D3144" w14:paraId="56B4DDFD" w14:textId="77777777">
        <w:trPr>
          <w:trHeight w:val="255"/>
        </w:trPr>
        <w:tc>
          <w:tcPr>
            <w:tcW w:w="6517" w:type="dxa"/>
          </w:tcPr>
          <w:p w14:paraId="3AA24735" w14:textId="77777777" w:rsidR="004C7180" w:rsidRPr="00150EDC" w:rsidRDefault="00CF0754">
            <w:pPr>
              <w:pStyle w:val="TableParagraph"/>
              <w:rPr>
                <w:sz w:val="20"/>
              </w:rPr>
            </w:pPr>
            <w:r w:rsidRPr="00150EDC">
              <w:rPr>
                <w:sz w:val="20"/>
              </w:rPr>
              <w:t>Terrorism</w:t>
            </w:r>
            <w:r w:rsidRPr="00150EDC">
              <w:rPr>
                <w:spacing w:val="-8"/>
                <w:sz w:val="20"/>
              </w:rPr>
              <w:t xml:space="preserve"> </w:t>
            </w:r>
            <w:r w:rsidRPr="00150EDC">
              <w:rPr>
                <w:sz w:val="20"/>
              </w:rPr>
              <w:t>Act</w:t>
            </w:r>
            <w:r w:rsidRPr="00150EDC">
              <w:rPr>
                <w:spacing w:val="-6"/>
                <w:sz w:val="20"/>
              </w:rPr>
              <w:t xml:space="preserve"> </w:t>
            </w:r>
            <w:r w:rsidRPr="00150EDC">
              <w:rPr>
                <w:sz w:val="20"/>
              </w:rPr>
              <w:t>2006,</w:t>
            </w:r>
            <w:r w:rsidRPr="00150EDC">
              <w:rPr>
                <w:spacing w:val="-7"/>
                <w:sz w:val="20"/>
              </w:rPr>
              <w:t xml:space="preserve"> </w:t>
            </w:r>
            <w:r w:rsidRPr="00150EDC">
              <w:rPr>
                <w:spacing w:val="-5"/>
                <w:sz w:val="20"/>
              </w:rPr>
              <w:t>s5</w:t>
            </w:r>
          </w:p>
        </w:tc>
        <w:tc>
          <w:tcPr>
            <w:tcW w:w="7427" w:type="dxa"/>
          </w:tcPr>
          <w:p w14:paraId="7E928994" w14:textId="77777777" w:rsidR="004C7180" w:rsidRPr="00150EDC" w:rsidRDefault="00CF0754">
            <w:pPr>
              <w:pStyle w:val="TableParagraph"/>
              <w:rPr>
                <w:sz w:val="20"/>
              </w:rPr>
            </w:pPr>
            <w:r w:rsidRPr="00150EDC">
              <w:rPr>
                <w:sz w:val="20"/>
              </w:rPr>
              <w:t>Preparation</w:t>
            </w:r>
            <w:r w:rsidRPr="00150EDC">
              <w:rPr>
                <w:spacing w:val="-7"/>
                <w:sz w:val="20"/>
              </w:rPr>
              <w:t xml:space="preserve"> </w:t>
            </w:r>
            <w:r w:rsidRPr="00150EDC">
              <w:rPr>
                <w:sz w:val="20"/>
              </w:rPr>
              <w:t>of</w:t>
            </w:r>
            <w:r w:rsidRPr="00150EDC">
              <w:rPr>
                <w:spacing w:val="-6"/>
                <w:sz w:val="20"/>
              </w:rPr>
              <w:t xml:space="preserve"> </w:t>
            </w:r>
            <w:r w:rsidRPr="00150EDC">
              <w:rPr>
                <w:sz w:val="20"/>
              </w:rPr>
              <w:t>terrorist</w:t>
            </w:r>
            <w:r w:rsidRPr="00150EDC">
              <w:rPr>
                <w:spacing w:val="-6"/>
                <w:sz w:val="20"/>
              </w:rPr>
              <w:t xml:space="preserve"> </w:t>
            </w:r>
            <w:r w:rsidRPr="00150EDC">
              <w:rPr>
                <w:spacing w:val="-4"/>
                <w:sz w:val="20"/>
              </w:rPr>
              <w:t>acts</w:t>
            </w:r>
          </w:p>
        </w:tc>
      </w:tr>
      <w:tr w:rsidR="004569EE" w:rsidRPr="007D3144" w14:paraId="1ABE6BB6" w14:textId="77777777">
        <w:trPr>
          <w:trHeight w:val="255"/>
        </w:trPr>
        <w:tc>
          <w:tcPr>
            <w:tcW w:w="6517" w:type="dxa"/>
          </w:tcPr>
          <w:p w14:paraId="73B50A0D" w14:textId="77777777" w:rsidR="004C7180" w:rsidRPr="00150EDC" w:rsidRDefault="00CF0754">
            <w:pPr>
              <w:pStyle w:val="TableParagraph"/>
              <w:spacing w:before="28"/>
              <w:rPr>
                <w:sz w:val="20"/>
              </w:rPr>
            </w:pPr>
            <w:r w:rsidRPr="00150EDC">
              <w:rPr>
                <w:sz w:val="20"/>
              </w:rPr>
              <w:t>Terrorism</w:t>
            </w:r>
            <w:r w:rsidRPr="00150EDC">
              <w:rPr>
                <w:spacing w:val="-8"/>
                <w:sz w:val="20"/>
              </w:rPr>
              <w:t xml:space="preserve"> </w:t>
            </w:r>
            <w:r w:rsidRPr="00150EDC">
              <w:rPr>
                <w:sz w:val="20"/>
              </w:rPr>
              <w:t>Act</w:t>
            </w:r>
            <w:r w:rsidRPr="00150EDC">
              <w:rPr>
                <w:spacing w:val="-6"/>
                <w:sz w:val="20"/>
              </w:rPr>
              <w:t xml:space="preserve"> </w:t>
            </w:r>
            <w:r w:rsidRPr="00150EDC">
              <w:rPr>
                <w:sz w:val="20"/>
              </w:rPr>
              <w:t>2006,</w:t>
            </w:r>
            <w:r w:rsidRPr="00150EDC">
              <w:rPr>
                <w:spacing w:val="-7"/>
                <w:sz w:val="20"/>
              </w:rPr>
              <w:t xml:space="preserve"> </w:t>
            </w:r>
            <w:r w:rsidRPr="00150EDC">
              <w:rPr>
                <w:spacing w:val="-5"/>
                <w:sz w:val="20"/>
              </w:rPr>
              <w:t>s6</w:t>
            </w:r>
          </w:p>
        </w:tc>
        <w:tc>
          <w:tcPr>
            <w:tcW w:w="7427" w:type="dxa"/>
          </w:tcPr>
          <w:p w14:paraId="034F7815" w14:textId="77777777" w:rsidR="004C7180" w:rsidRPr="00150EDC" w:rsidRDefault="00CF0754">
            <w:pPr>
              <w:pStyle w:val="TableParagraph"/>
              <w:spacing w:before="28"/>
              <w:rPr>
                <w:sz w:val="20"/>
              </w:rPr>
            </w:pPr>
            <w:r w:rsidRPr="00150EDC">
              <w:rPr>
                <w:sz w:val="20"/>
              </w:rPr>
              <w:t>Training</w:t>
            </w:r>
            <w:r w:rsidRPr="00150EDC">
              <w:rPr>
                <w:spacing w:val="-7"/>
                <w:sz w:val="20"/>
              </w:rPr>
              <w:t xml:space="preserve"> </w:t>
            </w:r>
            <w:r w:rsidRPr="00150EDC">
              <w:rPr>
                <w:sz w:val="20"/>
              </w:rPr>
              <w:t>for</w:t>
            </w:r>
            <w:r w:rsidRPr="00150EDC">
              <w:rPr>
                <w:spacing w:val="-3"/>
                <w:sz w:val="20"/>
              </w:rPr>
              <w:t xml:space="preserve"> </w:t>
            </w:r>
            <w:r w:rsidRPr="00150EDC">
              <w:rPr>
                <w:spacing w:val="-2"/>
                <w:sz w:val="20"/>
              </w:rPr>
              <w:t>terrorism</w:t>
            </w:r>
          </w:p>
        </w:tc>
      </w:tr>
      <w:tr w:rsidR="004569EE" w:rsidRPr="007D3144" w14:paraId="377F72D3" w14:textId="77777777">
        <w:trPr>
          <w:trHeight w:val="255"/>
        </w:trPr>
        <w:tc>
          <w:tcPr>
            <w:tcW w:w="6517" w:type="dxa"/>
          </w:tcPr>
          <w:p w14:paraId="1636F3CC" w14:textId="77777777" w:rsidR="004C7180" w:rsidRPr="00150EDC" w:rsidRDefault="00CF0754">
            <w:pPr>
              <w:pStyle w:val="TableParagraph"/>
              <w:rPr>
                <w:sz w:val="20"/>
              </w:rPr>
            </w:pPr>
            <w:r w:rsidRPr="00150EDC">
              <w:rPr>
                <w:sz w:val="20"/>
              </w:rPr>
              <w:t>Terrorism</w:t>
            </w:r>
            <w:r w:rsidRPr="00150EDC">
              <w:rPr>
                <w:spacing w:val="-8"/>
                <w:sz w:val="20"/>
              </w:rPr>
              <w:t xml:space="preserve"> </w:t>
            </w:r>
            <w:r w:rsidRPr="00150EDC">
              <w:rPr>
                <w:sz w:val="20"/>
              </w:rPr>
              <w:t>Act</w:t>
            </w:r>
            <w:r w:rsidRPr="00150EDC">
              <w:rPr>
                <w:spacing w:val="-6"/>
                <w:sz w:val="20"/>
              </w:rPr>
              <w:t xml:space="preserve"> </w:t>
            </w:r>
            <w:r w:rsidRPr="00150EDC">
              <w:rPr>
                <w:sz w:val="20"/>
              </w:rPr>
              <w:t>2006,</w:t>
            </w:r>
            <w:r w:rsidRPr="00150EDC">
              <w:rPr>
                <w:spacing w:val="-7"/>
                <w:sz w:val="20"/>
              </w:rPr>
              <w:t xml:space="preserve"> </w:t>
            </w:r>
            <w:r w:rsidRPr="00150EDC">
              <w:rPr>
                <w:spacing w:val="-5"/>
                <w:sz w:val="20"/>
              </w:rPr>
              <w:t>s9</w:t>
            </w:r>
          </w:p>
        </w:tc>
        <w:tc>
          <w:tcPr>
            <w:tcW w:w="7427" w:type="dxa"/>
          </w:tcPr>
          <w:p w14:paraId="553398F3" w14:textId="77777777" w:rsidR="004C7180" w:rsidRPr="00150EDC" w:rsidRDefault="00CF0754">
            <w:pPr>
              <w:pStyle w:val="TableParagraph"/>
              <w:rPr>
                <w:sz w:val="20"/>
              </w:rPr>
            </w:pPr>
            <w:r w:rsidRPr="00150EDC">
              <w:rPr>
                <w:sz w:val="20"/>
              </w:rPr>
              <w:t>Making</w:t>
            </w:r>
            <w:r w:rsidRPr="00150EDC">
              <w:rPr>
                <w:spacing w:val="-11"/>
                <w:sz w:val="20"/>
              </w:rPr>
              <w:t xml:space="preserve"> </w:t>
            </w:r>
            <w:r w:rsidRPr="00150EDC">
              <w:rPr>
                <w:sz w:val="20"/>
              </w:rPr>
              <w:t>or</w:t>
            </w:r>
            <w:r w:rsidRPr="00150EDC">
              <w:rPr>
                <w:spacing w:val="-11"/>
                <w:sz w:val="20"/>
              </w:rPr>
              <w:t xml:space="preserve"> </w:t>
            </w:r>
            <w:r w:rsidRPr="00150EDC">
              <w:rPr>
                <w:sz w:val="20"/>
              </w:rPr>
              <w:t>possesion</w:t>
            </w:r>
            <w:r w:rsidRPr="00150EDC">
              <w:rPr>
                <w:spacing w:val="-10"/>
                <w:sz w:val="20"/>
              </w:rPr>
              <w:t xml:space="preserve"> </w:t>
            </w:r>
            <w:r w:rsidRPr="00150EDC">
              <w:rPr>
                <w:sz w:val="20"/>
              </w:rPr>
              <w:t>of</w:t>
            </w:r>
            <w:r w:rsidRPr="00150EDC">
              <w:rPr>
                <w:spacing w:val="-7"/>
                <w:sz w:val="20"/>
              </w:rPr>
              <w:t xml:space="preserve"> </w:t>
            </w:r>
            <w:r w:rsidRPr="00150EDC">
              <w:rPr>
                <w:sz w:val="20"/>
              </w:rPr>
              <w:t>radioactive</w:t>
            </w:r>
            <w:r w:rsidRPr="00150EDC">
              <w:rPr>
                <w:spacing w:val="-11"/>
                <w:sz w:val="20"/>
              </w:rPr>
              <w:t xml:space="preserve"> </w:t>
            </w:r>
            <w:r w:rsidRPr="00150EDC">
              <w:rPr>
                <w:sz w:val="20"/>
              </w:rPr>
              <w:t>device</w:t>
            </w:r>
            <w:r w:rsidRPr="00150EDC">
              <w:rPr>
                <w:spacing w:val="-10"/>
                <w:sz w:val="20"/>
              </w:rPr>
              <w:t xml:space="preserve"> </w:t>
            </w:r>
            <w:r w:rsidRPr="00150EDC">
              <w:rPr>
                <w:sz w:val="20"/>
              </w:rPr>
              <w:t>or</w:t>
            </w:r>
            <w:r w:rsidRPr="00150EDC">
              <w:rPr>
                <w:spacing w:val="-8"/>
                <w:sz w:val="20"/>
              </w:rPr>
              <w:t xml:space="preserve"> </w:t>
            </w:r>
            <w:r w:rsidRPr="00150EDC">
              <w:rPr>
                <w:spacing w:val="-2"/>
                <w:sz w:val="20"/>
              </w:rPr>
              <w:t>material</w:t>
            </w:r>
          </w:p>
        </w:tc>
      </w:tr>
      <w:tr w:rsidR="004569EE" w:rsidRPr="007D3144" w14:paraId="6730636F" w14:textId="77777777">
        <w:trPr>
          <w:trHeight w:val="460"/>
        </w:trPr>
        <w:tc>
          <w:tcPr>
            <w:tcW w:w="6517" w:type="dxa"/>
          </w:tcPr>
          <w:p w14:paraId="2F64EC9C" w14:textId="77777777" w:rsidR="004C7180" w:rsidRPr="00150EDC" w:rsidRDefault="004C7180">
            <w:pPr>
              <w:pStyle w:val="TableParagraph"/>
              <w:spacing w:before="2" w:line="240" w:lineRule="auto"/>
              <w:ind w:left="0"/>
              <w:rPr>
                <w:sz w:val="20"/>
              </w:rPr>
            </w:pPr>
          </w:p>
          <w:p w14:paraId="4DD5DBFC" w14:textId="77777777" w:rsidR="004C7180" w:rsidRPr="00150EDC" w:rsidRDefault="00CF0754">
            <w:pPr>
              <w:pStyle w:val="TableParagraph"/>
              <w:spacing w:before="0"/>
              <w:rPr>
                <w:sz w:val="20"/>
              </w:rPr>
            </w:pPr>
            <w:r w:rsidRPr="00150EDC">
              <w:rPr>
                <w:sz w:val="20"/>
              </w:rPr>
              <w:t>Terrorism</w:t>
            </w:r>
            <w:r w:rsidRPr="00150EDC">
              <w:rPr>
                <w:spacing w:val="-8"/>
                <w:sz w:val="20"/>
              </w:rPr>
              <w:t xml:space="preserve"> </w:t>
            </w:r>
            <w:r w:rsidRPr="00150EDC">
              <w:rPr>
                <w:sz w:val="20"/>
              </w:rPr>
              <w:t>Act</w:t>
            </w:r>
            <w:r w:rsidRPr="00150EDC">
              <w:rPr>
                <w:spacing w:val="-6"/>
                <w:sz w:val="20"/>
              </w:rPr>
              <w:t xml:space="preserve"> </w:t>
            </w:r>
            <w:r w:rsidRPr="00150EDC">
              <w:rPr>
                <w:sz w:val="20"/>
              </w:rPr>
              <w:t>2006,</w:t>
            </w:r>
            <w:r w:rsidRPr="00150EDC">
              <w:rPr>
                <w:spacing w:val="-7"/>
                <w:sz w:val="20"/>
              </w:rPr>
              <w:t xml:space="preserve"> </w:t>
            </w:r>
            <w:r w:rsidRPr="00150EDC">
              <w:rPr>
                <w:spacing w:val="-5"/>
                <w:sz w:val="20"/>
              </w:rPr>
              <w:t>s17</w:t>
            </w:r>
          </w:p>
        </w:tc>
        <w:tc>
          <w:tcPr>
            <w:tcW w:w="7427" w:type="dxa"/>
          </w:tcPr>
          <w:p w14:paraId="20653F0C" w14:textId="77777777" w:rsidR="004C7180" w:rsidRPr="00150EDC" w:rsidRDefault="00CF0754">
            <w:pPr>
              <w:pStyle w:val="TableParagraph"/>
              <w:spacing w:before="0" w:line="230" w:lineRule="atLeast"/>
              <w:ind w:right="186"/>
              <w:rPr>
                <w:sz w:val="20"/>
              </w:rPr>
            </w:pPr>
            <w:r w:rsidRPr="00150EDC">
              <w:rPr>
                <w:sz w:val="20"/>
              </w:rPr>
              <w:t>Commission</w:t>
            </w:r>
            <w:r w:rsidRPr="00150EDC">
              <w:rPr>
                <w:spacing w:val="-5"/>
                <w:sz w:val="20"/>
              </w:rPr>
              <w:t xml:space="preserve"> </w:t>
            </w:r>
            <w:r w:rsidRPr="00150EDC">
              <w:rPr>
                <w:sz w:val="20"/>
              </w:rPr>
              <w:t>of</w:t>
            </w:r>
            <w:r w:rsidRPr="00150EDC">
              <w:rPr>
                <w:spacing w:val="-3"/>
                <w:sz w:val="20"/>
              </w:rPr>
              <w:t xml:space="preserve"> </w:t>
            </w:r>
            <w:r w:rsidRPr="00150EDC">
              <w:rPr>
                <w:sz w:val="20"/>
              </w:rPr>
              <w:t>offences</w:t>
            </w:r>
            <w:r w:rsidRPr="00150EDC">
              <w:rPr>
                <w:spacing w:val="-4"/>
                <w:sz w:val="20"/>
              </w:rPr>
              <w:t xml:space="preserve"> </w:t>
            </w:r>
            <w:r w:rsidRPr="00150EDC">
              <w:rPr>
                <w:sz w:val="20"/>
              </w:rPr>
              <w:t>abroad,</w:t>
            </w:r>
            <w:r w:rsidRPr="00150EDC">
              <w:rPr>
                <w:spacing w:val="-5"/>
                <w:sz w:val="20"/>
              </w:rPr>
              <w:t xml:space="preserve"> </w:t>
            </w:r>
            <w:r w:rsidRPr="00150EDC">
              <w:rPr>
                <w:sz w:val="20"/>
              </w:rPr>
              <w:t>where</w:t>
            </w:r>
            <w:r w:rsidRPr="00150EDC">
              <w:rPr>
                <w:spacing w:val="-5"/>
                <w:sz w:val="20"/>
              </w:rPr>
              <w:t xml:space="preserve"> </w:t>
            </w:r>
            <w:r w:rsidRPr="00150EDC">
              <w:rPr>
                <w:sz w:val="20"/>
              </w:rPr>
              <w:t>the</w:t>
            </w:r>
            <w:r w:rsidRPr="00150EDC">
              <w:rPr>
                <w:spacing w:val="-1"/>
                <w:sz w:val="20"/>
              </w:rPr>
              <w:t xml:space="preserve"> </w:t>
            </w:r>
            <w:r w:rsidRPr="00150EDC">
              <w:rPr>
                <w:sz w:val="20"/>
              </w:rPr>
              <w:t>underlying</w:t>
            </w:r>
            <w:r w:rsidRPr="00150EDC">
              <w:rPr>
                <w:spacing w:val="-5"/>
                <w:sz w:val="20"/>
              </w:rPr>
              <w:t xml:space="preserve"> </w:t>
            </w:r>
            <w:r w:rsidRPr="00150EDC">
              <w:rPr>
                <w:sz w:val="20"/>
              </w:rPr>
              <w:t>offence</w:t>
            </w:r>
            <w:r w:rsidRPr="00150EDC">
              <w:rPr>
                <w:spacing w:val="-5"/>
                <w:sz w:val="20"/>
              </w:rPr>
              <w:t xml:space="preserve"> </w:t>
            </w:r>
            <w:r w:rsidRPr="00150EDC">
              <w:rPr>
                <w:sz w:val="20"/>
              </w:rPr>
              <w:t>is</w:t>
            </w:r>
            <w:r w:rsidRPr="00150EDC">
              <w:rPr>
                <w:spacing w:val="-4"/>
                <w:sz w:val="20"/>
              </w:rPr>
              <w:t xml:space="preserve"> </w:t>
            </w:r>
            <w:r w:rsidRPr="00150EDC">
              <w:rPr>
                <w:sz w:val="20"/>
              </w:rPr>
              <w:t>specified</w:t>
            </w:r>
            <w:r w:rsidRPr="00150EDC">
              <w:rPr>
                <w:spacing w:val="-5"/>
                <w:sz w:val="20"/>
              </w:rPr>
              <w:t xml:space="preserve"> </w:t>
            </w:r>
            <w:r w:rsidRPr="00150EDC">
              <w:rPr>
                <w:sz w:val="20"/>
              </w:rPr>
              <w:t>in</w:t>
            </w:r>
            <w:r w:rsidRPr="00150EDC">
              <w:rPr>
                <w:spacing w:val="-5"/>
                <w:sz w:val="20"/>
              </w:rPr>
              <w:t xml:space="preserve"> </w:t>
            </w:r>
            <w:r w:rsidRPr="00150EDC">
              <w:rPr>
                <w:sz w:val="20"/>
              </w:rPr>
              <w:t xml:space="preserve">this </w:t>
            </w:r>
            <w:r w:rsidRPr="00150EDC">
              <w:rPr>
                <w:spacing w:val="-4"/>
                <w:sz w:val="20"/>
              </w:rPr>
              <w:t>list</w:t>
            </w:r>
          </w:p>
        </w:tc>
      </w:tr>
      <w:tr w:rsidR="004569EE" w:rsidRPr="007D3144" w14:paraId="401ADB67" w14:textId="77777777">
        <w:trPr>
          <w:trHeight w:val="255"/>
        </w:trPr>
        <w:tc>
          <w:tcPr>
            <w:tcW w:w="6517" w:type="dxa"/>
          </w:tcPr>
          <w:p w14:paraId="46637C61" w14:textId="77777777" w:rsidR="004C7180" w:rsidRPr="00150EDC" w:rsidRDefault="00CF0754">
            <w:pPr>
              <w:pStyle w:val="TableParagraph"/>
              <w:rPr>
                <w:sz w:val="20"/>
              </w:rPr>
            </w:pPr>
            <w:r w:rsidRPr="00150EDC">
              <w:rPr>
                <w:sz w:val="20"/>
              </w:rPr>
              <w:t>Terrorism</w:t>
            </w:r>
            <w:r w:rsidRPr="00150EDC">
              <w:rPr>
                <w:spacing w:val="-6"/>
                <w:sz w:val="20"/>
              </w:rPr>
              <w:t xml:space="preserve"> </w:t>
            </w:r>
            <w:r w:rsidRPr="00150EDC">
              <w:rPr>
                <w:sz w:val="20"/>
              </w:rPr>
              <w:t>and</w:t>
            </w:r>
            <w:r w:rsidRPr="00150EDC">
              <w:rPr>
                <w:spacing w:val="-6"/>
                <w:sz w:val="20"/>
              </w:rPr>
              <w:t xml:space="preserve"> </w:t>
            </w:r>
            <w:r w:rsidRPr="00150EDC">
              <w:rPr>
                <w:sz w:val="20"/>
              </w:rPr>
              <w:t>Crime</w:t>
            </w:r>
            <w:r w:rsidRPr="00150EDC">
              <w:rPr>
                <w:spacing w:val="-6"/>
                <w:sz w:val="20"/>
              </w:rPr>
              <w:t xml:space="preserve"> </w:t>
            </w:r>
            <w:r w:rsidRPr="00150EDC">
              <w:rPr>
                <w:sz w:val="20"/>
              </w:rPr>
              <w:t>(Bailiwick</w:t>
            </w:r>
            <w:r w:rsidRPr="00150EDC">
              <w:rPr>
                <w:spacing w:val="-5"/>
                <w:sz w:val="20"/>
              </w:rPr>
              <w:t xml:space="preserve"> </w:t>
            </w:r>
            <w:r w:rsidRPr="00150EDC">
              <w:rPr>
                <w:sz w:val="20"/>
              </w:rPr>
              <w:t>of</w:t>
            </w:r>
            <w:r w:rsidRPr="00150EDC">
              <w:rPr>
                <w:spacing w:val="-6"/>
                <w:sz w:val="20"/>
              </w:rPr>
              <w:t xml:space="preserve"> </w:t>
            </w:r>
            <w:r w:rsidRPr="00150EDC">
              <w:rPr>
                <w:sz w:val="20"/>
              </w:rPr>
              <w:t>Guernsey)</w:t>
            </w:r>
            <w:r w:rsidRPr="00150EDC">
              <w:rPr>
                <w:spacing w:val="-6"/>
                <w:sz w:val="20"/>
              </w:rPr>
              <w:t xml:space="preserve"> </w:t>
            </w:r>
            <w:r w:rsidRPr="00150EDC">
              <w:rPr>
                <w:sz w:val="20"/>
              </w:rPr>
              <w:t>Law 2002,</w:t>
            </w:r>
            <w:r w:rsidRPr="00150EDC">
              <w:rPr>
                <w:spacing w:val="-6"/>
                <w:sz w:val="20"/>
              </w:rPr>
              <w:t xml:space="preserve"> </w:t>
            </w:r>
            <w:r w:rsidRPr="00150EDC">
              <w:rPr>
                <w:spacing w:val="-5"/>
                <w:sz w:val="20"/>
              </w:rPr>
              <w:t>s55</w:t>
            </w:r>
          </w:p>
        </w:tc>
        <w:tc>
          <w:tcPr>
            <w:tcW w:w="7427" w:type="dxa"/>
          </w:tcPr>
          <w:p w14:paraId="71A77405" w14:textId="77777777" w:rsidR="004C7180" w:rsidRPr="00150EDC" w:rsidRDefault="00CF0754">
            <w:pPr>
              <w:pStyle w:val="TableParagraph"/>
              <w:rPr>
                <w:sz w:val="20"/>
              </w:rPr>
            </w:pPr>
            <w:r w:rsidRPr="00150EDC">
              <w:rPr>
                <w:sz w:val="20"/>
              </w:rPr>
              <w:t>Weapons</w:t>
            </w:r>
            <w:r w:rsidRPr="00150EDC">
              <w:rPr>
                <w:spacing w:val="-10"/>
                <w:sz w:val="20"/>
              </w:rPr>
              <w:t xml:space="preserve"> </w:t>
            </w:r>
            <w:r w:rsidRPr="00150EDC">
              <w:rPr>
                <w:spacing w:val="-2"/>
                <w:sz w:val="20"/>
              </w:rPr>
              <w:t>training</w:t>
            </w:r>
          </w:p>
        </w:tc>
      </w:tr>
      <w:tr w:rsidR="004569EE" w:rsidRPr="007D3144" w14:paraId="49AE9061" w14:textId="77777777">
        <w:trPr>
          <w:trHeight w:val="255"/>
        </w:trPr>
        <w:tc>
          <w:tcPr>
            <w:tcW w:w="6517" w:type="dxa"/>
          </w:tcPr>
          <w:p w14:paraId="615FD45C" w14:textId="77777777" w:rsidR="004C7180" w:rsidRPr="00150EDC" w:rsidRDefault="00CF0754">
            <w:pPr>
              <w:pStyle w:val="TableParagraph"/>
              <w:spacing w:before="28"/>
              <w:rPr>
                <w:sz w:val="20"/>
              </w:rPr>
            </w:pPr>
            <w:r w:rsidRPr="00150EDC">
              <w:rPr>
                <w:sz w:val="20"/>
              </w:rPr>
              <w:t>Terrorism</w:t>
            </w:r>
            <w:r w:rsidRPr="00150EDC">
              <w:rPr>
                <w:spacing w:val="-6"/>
                <w:sz w:val="20"/>
              </w:rPr>
              <w:t xml:space="preserve"> </w:t>
            </w:r>
            <w:r w:rsidRPr="00150EDC">
              <w:rPr>
                <w:sz w:val="20"/>
              </w:rPr>
              <w:t>and</w:t>
            </w:r>
            <w:r w:rsidRPr="00150EDC">
              <w:rPr>
                <w:spacing w:val="-6"/>
                <w:sz w:val="20"/>
              </w:rPr>
              <w:t xml:space="preserve"> </w:t>
            </w:r>
            <w:r w:rsidRPr="00150EDC">
              <w:rPr>
                <w:sz w:val="20"/>
              </w:rPr>
              <w:t>Crime</w:t>
            </w:r>
            <w:r w:rsidRPr="00150EDC">
              <w:rPr>
                <w:spacing w:val="-6"/>
                <w:sz w:val="20"/>
              </w:rPr>
              <w:t xml:space="preserve"> </w:t>
            </w:r>
            <w:r w:rsidRPr="00150EDC">
              <w:rPr>
                <w:sz w:val="20"/>
              </w:rPr>
              <w:t>(Bailiwick</w:t>
            </w:r>
            <w:r w:rsidRPr="00150EDC">
              <w:rPr>
                <w:spacing w:val="-5"/>
                <w:sz w:val="20"/>
              </w:rPr>
              <w:t xml:space="preserve"> </w:t>
            </w:r>
            <w:r w:rsidRPr="00150EDC">
              <w:rPr>
                <w:sz w:val="20"/>
              </w:rPr>
              <w:t>of</w:t>
            </w:r>
            <w:r w:rsidRPr="00150EDC">
              <w:rPr>
                <w:spacing w:val="-6"/>
                <w:sz w:val="20"/>
              </w:rPr>
              <w:t xml:space="preserve"> </w:t>
            </w:r>
            <w:r w:rsidRPr="00150EDC">
              <w:rPr>
                <w:sz w:val="20"/>
              </w:rPr>
              <w:t>Guernsey)</w:t>
            </w:r>
            <w:r w:rsidRPr="00150EDC">
              <w:rPr>
                <w:spacing w:val="-6"/>
                <w:sz w:val="20"/>
              </w:rPr>
              <w:t xml:space="preserve"> </w:t>
            </w:r>
            <w:r w:rsidRPr="00150EDC">
              <w:rPr>
                <w:sz w:val="20"/>
              </w:rPr>
              <w:t>Law 2002,</w:t>
            </w:r>
            <w:r w:rsidRPr="00150EDC">
              <w:rPr>
                <w:spacing w:val="-6"/>
                <w:sz w:val="20"/>
              </w:rPr>
              <w:t xml:space="preserve"> </w:t>
            </w:r>
            <w:r w:rsidRPr="00150EDC">
              <w:rPr>
                <w:spacing w:val="-5"/>
                <w:sz w:val="20"/>
              </w:rPr>
              <w:t>s57</w:t>
            </w:r>
          </w:p>
        </w:tc>
        <w:tc>
          <w:tcPr>
            <w:tcW w:w="7427" w:type="dxa"/>
          </w:tcPr>
          <w:p w14:paraId="3462B460" w14:textId="77777777" w:rsidR="004C7180" w:rsidRPr="00150EDC" w:rsidRDefault="00CF0754">
            <w:pPr>
              <w:pStyle w:val="TableParagraph"/>
              <w:spacing w:before="28"/>
              <w:rPr>
                <w:sz w:val="20"/>
              </w:rPr>
            </w:pPr>
            <w:r w:rsidRPr="00150EDC">
              <w:rPr>
                <w:sz w:val="20"/>
              </w:rPr>
              <w:t>Directing</w:t>
            </w:r>
            <w:r w:rsidRPr="00150EDC">
              <w:rPr>
                <w:spacing w:val="-7"/>
                <w:sz w:val="20"/>
              </w:rPr>
              <w:t xml:space="preserve"> </w:t>
            </w:r>
            <w:r w:rsidRPr="00150EDC">
              <w:rPr>
                <w:sz w:val="20"/>
              </w:rPr>
              <w:t>terrorist</w:t>
            </w:r>
            <w:r w:rsidRPr="00150EDC">
              <w:rPr>
                <w:spacing w:val="-7"/>
                <w:sz w:val="20"/>
              </w:rPr>
              <w:t xml:space="preserve"> </w:t>
            </w:r>
            <w:r w:rsidRPr="00150EDC">
              <w:rPr>
                <w:spacing w:val="-2"/>
                <w:sz w:val="20"/>
              </w:rPr>
              <w:t>organisation</w:t>
            </w:r>
          </w:p>
        </w:tc>
      </w:tr>
    </w:tbl>
    <w:p w14:paraId="48E5BA58" w14:textId="77777777" w:rsidR="004C7180" w:rsidRPr="00150EDC" w:rsidRDefault="004C7180">
      <w:pPr>
        <w:rPr>
          <w:sz w:val="20"/>
        </w:rPr>
        <w:sectPr w:rsidR="004C7180" w:rsidRPr="00150EDC">
          <w:footerReference w:type="default" r:id="rId152"/>
          <w:pgSz w:w="16840" w:h="11910" w:orient="landscape"/>
          <w:pgMar w:top="1340" w:right="1320" w:bottom="280" w:left="1340" w:header="0" w:footer="0" w:gutter="0"/>
          <w:cols w:space="720"/>
        </w:sectPr>
      </w:pPr>
    </w:p>
    <w:p w14:paraId="302AAB65" w14:textId="77777777" w:rsidR="004C7180" w:rsidRPr="00150EDC" w:rsidRDefault="004C7180">
      <w:pPr>
        <w:pStyle w:val="BodyText"/>
        <w:spacing w:before="3"/>
        <w:rPr>
          <w:sz w:val="8"/>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517"/>
        <w:gridCol w:w="7427"/>
      </w:tblGrid>
      <w:tr w:rsidR="004569EE" w:rsidRPr="007D3144" w14:paraId="5E5A28E4" w14:textId="77777777">
        <w:trPr>
          <w:trHeight w:val="254"/>
        </w:trPr>
        <w:tc>
          <w:tcPr>
            <w:tcW w:w="6517" w:type="dxa"/>
          </w:tcPr>
          <w:p w14:paraId="6FFE0AF8" w14:textId="77777777" w:rsidR="004C7180" w:rsidRPr="00150EDC" w:rsidRDefault="00CF0754">
            <w:pPr>
              <w:pStyle w:val="TableParagraph"/>
              <w:rPr>
                <w:sz w:val="20"/>
              </w:rPr>
            </w:pPr>
            <w:r w:rsidRPr="00150EDC">
              <w:rPr>
                <w:sz w:val="20"/>
              </w:rPr>
              <w:t>Terrorism</w:t>
            </w:r>
            <w:r w:rsidRPr="00150EDC">
              <w:rPr>
                <w:spacing w:val="-8"/>
                <w:sz w:val="20"/>
              </w:rPr>
              <w:t xml:space="preserve"> </w:t>
            </w:r>
            <w:r w:rsidRPr="00150EDC">
              <w:rPr>
                <w:sz w:val="20"/>
              </w:rPr>
              <w:t>and</w:t>
            </w:r>
            <w:r w:rsidRPr="00150EDC">
              <w:rPr>
                <w:spacing w:val="-6"/>
                <w:sz w:val="20"/>
              </w:rPr>
              <w:t xml:space="preserve"> </w:t>
            </w:r>
            <w:r w:rsidRPr="00150EDC">
              <w:rPr>
                <w:sz w:val="20"/>
              </w:rPr>
              <w:t>Crime</w:t>
            </w:r>
            <w:r w:rsidRPr="00150EDC">
              <w:rPr>
                <w:spacing w:val="-6"/>
                <w:sz w:val="20"/>
              </w:rPr>
              <w:t xml:space="preserve"> </w:t>
            </w:r>
            <w:r w:rsidRPr="00150EDC">
              <w:rPr>
                <w:sz w:val="20"/>
              </w:rPr>
              <w:t>(Bailiwick</w:t>
            </w:r>
            <w:r w:rsidRPr="00150EDC">
              <w:rPr>
                <w:spacing w:val="-4"/>
                <w:sz w:val="20"/>
              </w:rPr>
              <w:t xml:space="preserve"> </w:t>
            </w:r>
            <w:r w:rsidRPr="00150EDC">
              <w:rPr>
                <w:sz w:val="20"/>
              </w:rPr>
              <w:t>of</w:t>
            </w:r>
            <w:r w:rsidRPr="00150EDC">
              <w:rPr>
                <w:spacing w:val="-6"/>
                <w:sz w:val="20"/>
              </w:rPr>
              <w:t xml:space="preserve"> </w:t>
            </w:r>
            <w:r w:rsidRPr="00150EDC">
              <w:rPr>
                <w:sz w:val="20"/>
              </w:rPr>
              <w:t>Guernsey)</w:t>
            </w:r>
            <w:r w:rsidRPr="00150EDC">
              <w:rPr>
                <w:spacing w:val="-6"/>
                <w:sz w:val="20"/>
              </w:rPr>
              <w:t xml:space="preserve"> </w:t>
            </w:r>
            <w:r w:rsidRPr="00150EDC">
              <w:rPr>
                <w:sz w:val="20"/>
              </w:rPr>
              <w:t>Law 2002,</w:t>
            </w:r>
            <w:r w:rsidRPr="00150EDC">
              <w:rPr>
                <w:spacing w:val="-5"/>
                <w:sz w:val="20"/>
              </w:rPr>
              <w:t xml:space="preserve"> s58</w:t>
            </w:r>
          </w:p>
        </w:tc>
        <w:tc>
          <w:tcPr>
            <w:tcW w:w="7427" w:type="dxa"/>
          </w:tcPr>
          <w:p w14:paraId="7FF7BEA8" w14:textId="77777777" w:rsidR="004C7180" w:rsidRPr="00150EDC" w:rsidRDefault="00CF0754">
            <w:pPr>
              <w:pStyle w:val="TableParagraph"/>
              <w:rPr>
                <w:sz w:val="20"/>
              </w:rPr>
            </w:pPr>
            <w:r w:rsidRPr="00150EDC">
              <w:rPr>
                <w:sz w:val="20"/>
              </w:rPr>
              <w:t>Possession</w:t>
            </w:r>
            <w:r w:rsidRPr="00150EDC">
              <w:rPr>
                <w:spacing w:val="-6"/>
                <w:sz w:val="20"/>
              </w:rPr>
              <w:t xml:space="preserve"> </w:t>
            </w:r>
            <w:r w:rsidRPr="00150EDC">
              <w:rPr>
                <w:sz w:val="20"/>
              </w:rPr>
              <w:t>of</w:t>
            </w:r>
            <w:r w:rsidRPr="00150EDC">
              <w:rPr>
                <w:spacing w:val="-6"/>
                <w:sz w:val="20"/>
              </w:rPr>
              <w:t xml:space="preserve"> </w:t>
            </w:r>
            <w:r w:rsidRPr="00150EDC">
              <w:rPr>
                <w:sz w:val="20"/>
              </w:rPr>
              <w:t>article</w:t>
            </w:r>
            <w:r w:rsidRPr="00150EDC">
              <w:rPr>
                <w:spacing w:val="-6"/>
                <w:sz w:val="20"/>
              </w:rPr>
              <w:t xml:space="preserve"> </w:t>
            </w:r>
            <w:r w:rsidRPr="00150EDC">
              <w:rPr>
                <w:sz w:val="20"/>
              </w:rPr>
              <w:t>for</w:t>
            </w:r>
            <w:r w:rsidRPr="00150EDC">
              <w:rPr>
                <w:spacing w:val="-5"/>
                <w:sz w:val="20"/>
              </w:rPr>
              <w:t xml:space="preserve"> </w:t>
            </w:r>
            <w:r w:rsidRPr="00150EDC">
              <w:rPr>
                <w:sz w:val="20"/>
              </w:rPr>
              <w:t>terrorist</w:t>
            </w:r>
            <w:r w:rsidRPr="00150EDC">
              <w:rPr>
                <w:spacing w:val="-1"/>
                <w:sz w:val="20"/>
              </w:rPr>
              <w:t xml:space="preserve"> </w:t>
            </w:r>
            <w:r w:rsidRPr="00150EDC">
              <w:rPr>
                <w:spacing w:val="-2"/>
                <w:sz w:val="20"/>
              </w:rPr>
              <w:t>purposes</w:t>
            </w:r>
          </w:p>
        </w:tc>
      </w:tr>
      <w:tr w:rsidR="004569EE" w:rsidRPr="007D3144" w14:paraId="578E49AE" w14:textId="77777777">
        <w:trPr>
          <w:trHeight w:val="255"/>
        </w:trPr>
        <w:tc>
          <w:tcPr>
            <w:tcW w:w="6517" w:type="dxa"/>
          </w:tcPr>
          <w:p w14:paraId="43DFA864" w14:textId="77777777" w:rsidR="004C7180" w:rsidRPr="00150EDC" w:rsidRDefault="00CF0754">
            <w:pPr>
              <w:pStyle w:val="TableParagraph"/>
              <w:spacing w:before="28"/>
              <w:rPr>
                <w:sz w:val="20"/>
              </w:rPr>
            </w:pPr>
            <w:r w:rsidRPr="00150EDC">
              <w:rPr>
                <w:sz w:val="20"/>
              </w:rPr>
              <w:t>Terrorism</w:t>
            </w:r>
            <w:r w:rsidRPr="00150EDC">
              <w:rPr>
                <w:spacing w:val="-6"/>
                <w:sz w:val="20"/>
              </w:rPr>
              <w:t xml:space="preserve"> </w:t>
            </w:r>
            <w:r w:rsidRPr="00150EDC">
              <w:rPr>
                <w:sz w:val="20"/>
              </w:rPr>
              <w:t>and</w:t>
            </w:r>
            <w:r w:rsidRPr="00150EDC">
              <w:rPr>
                <w:spacing w:val="-6"/>
                <w:sz w:val="20"/>
              </w:rPr>
              <w:t xml:space="preserve"> </w:t>
            </w:r>
            <w:r w:rsidRPr="00150EDC">
              <w:rPr>
                <w:sz w:val="20"/>
              </w:rPr>
              <w:t>Crime</w:t>
            </w:r>
            <w:r w:rsidRPr="00150EDC">
              <w:rPr>
                <w:spacing w:val="-6"/>
                <w:sz w:val="20"/>
              </w:rPr>
              <w:t xml:space="preserve"> </w:t>
            </w:r>
            <w:r w:rsidRPr="00150EDC">
              <w:rPr>
                <w:sz w:val="20"/>
              </w:rPr>
              <w:t>(Bailiwick</w:t>
            </w:r>
            <w:r w:rsidRPr="00150EDC">
              <w:rPr>
                <w:spacing w:val="-5"/>
                <w:sz w:val="20"/>
              </w:rPr>
              <w:t xml:space="preserve"> </w:t>
            </w:r>
            <w:r w:rsidRPr="00150EDC">
              <w:rPr>
                <w:sz w:val="20"/>
              </w:rPr>
              <w:t>of</w:t>
            </w:r>
            <w:r w:rsidRPr="00150EDC">
              <w:rPr>
                <w:spacing w:val="-6"/>
                <w:sz w:val="20"/>
              </w:rPr>
              <w:t xml:space="preserve"> </w:t>
            </w:r>
            <w:r w:rsidRPr="00150EDC">
              <w:rPr>
                <w:sz w:val="20"/>
              </w:rPr>
              <w:t>Guernsey)</w:t>
            </w:r>
            <w:r w:rsidRPr="00150EDC">
              <w:rPr>
                <w:spacing w:val="-6"/>
                <w:sz w:val="20"/>
              </w:rPr>
              <w:t xml:space="preserve"> </w:t>
            </w:r>
            <w:r w:rsidRPr="00150EDC">
              <w:rPr>
                <w:sz w:val="20"/>
              </w:rPr>
              <w:t>Law 2002,</w:t>
            </w:r>
            <w:r w:rsidRPr="00150EDC">
              <w:rPr>
                <w:spacing w:val="-6"/>
                <w:sz w:val="20"/>
              </w:rPr>
              <w:t xml:space="preserve"> </w:t>
            </w:r>
            <w:r w:rsidRPr="00150EDC">
              <w:rPr>
                <w:spacing w:val="-5"/>
                <w:sz w:val="20"/>
              </w:rPr>
              <w:t>s60</w:t>
            </w:r>
          </w:p>
        </w:tc>
        <w:tc>
          <w:tcPr>
            <w:tcW w:w="7427" w:type="dxa"/>
          </w:tcPr>
          <w:p w14:paraId="764BDDF0" w14:textId="77777777" w:rsidR="004C7180" w:rsidRPr="00150EDC" w:rsidRDefault="00CF0754">
            <w:pPr>
              <w:pStyle w:val="TableParagraph"/>
              <w:spacing w:before="28"/>
              <w:rPr>
                <w:sz w:val="20"/>
              </w:rPr>
            </w:pPr>
            <w:r w:rsidRPr="00150EDC">
              <w:rPr>
                <w:sz w:val="20"/>
              </w:rPr>
              <w:t>Inciting</w:t>
            </w:r>
            <w:r w:rsidRPr="00150EDC">
              <w:rPr>
                <w:spacing w:val="-7"/>
                <w:sz w:val="20"/>
              </w:rPr>
              <w:t xml:space="preserve"> </w:t>
            </w:r>
            <w:r w:rsidRPr="00150EDC">
              <w:rPr>
                <w:sz w:val="20"/>
              </w:rPr>
              <w:t>terrorism</w:t>
            </w:r>
            <w:r w:rsidRPr="00150EDC">
              <w:rPr>
                <w:spacing w:val="-7"/>
                <w:sz w:val="20"/>
              </w:rPr>
              <w:t xml:space="preserve"> </w:t>
            </w:r>
            <w:r w:rsidRPr="00150EDC">
              <w:rPr>
                <w:spacing w:val="-2"/>
                <w:sz w:val="20"/>
              </w:rPr>
              <w:t>overseas</w:t>
            </w:r>
          </w:p>
        </w:tc>
      </w:tr>
      <w:tr w:rsidR="004569EE" w:rsidRPr="007D3144" w14:paraId="2F13BE4D" w14:textId="77777777">
        <w:trPr>
          <w:trHeight w:val="460"/>
        </w:trPr>
        <w:tc>
          <w:tcPr>
            <w:tcW w:w="6517" w:type="dxa"/>
          </w:tcPr>
          <w:p w14:paraId="08AD7E0B" w14:textId="77777777" w:rsidR="004C7180" w:rsidRPr="00150EDC" w:rsidRDefault="004C7180">
            <w:pPr>
              <w:pStyle w:val="TableParagraph"/>
              <w:spacing w:before="2" w:line="240" w:lineRule="auto"/>
              <w:ind w:left="0"/>
              <w:rPr>
                <w:sz w:val="20"/>
              </w:rPr>
            </w:pPr>
          </w:p>
          <w:p w14:paraId="02C919B5" w14:textId="77777777" w:rsidR="004C7180" w:rsidRPr="00150EDC" w:rsidRDefault="00CF0754">
            <w:pPr>
              <w:pStyle w:val="TableParagraph"/>
              <w:spacing w:before="0"/>
              <w:rPr>
                <w:sz w:val="20"/>
              </w:rPr>
            </w:pPr>
            <w:r w:rsidRPr="00150EDC">
              <w:rPr>
                <w:sz w:val="20"/>
              </w:rPr>
              <w:t>Terrorism</w:t>
            </w:r>
            <w:r w:rsidRPr="00150EDC">
              <w:rPr>
                <w:spacing w:val="-6"/>
                <w:sz w:val="20"/>
              </w:rPr>
              <w:t xml:space="preserve"> </w:t>
            </w:r>
            <w:r w:rsidRPr="00150EDC">
              <w:rPr>
                <w:sz w:val="20"/>
              </w:rPr>
              <w:t>and</w:t>
            </w:r>
            <w:r w:rsidRPr="00150EDC">
              <w:rPr>
                <w:spacing w:val="-6"/>
                <w:sz w:val="20"/>
              </w:rPr>
              <w:t xml:space="preserve"> </w:t>
            </w:r>
            <w:r w:rsidRPr="00150EDC">
              <w:rPr>
                <w:sz w:val="20"/>
              </w:rPr>
              <w:t>Crime</w:t>
            </w:r>
            <w:r w:rsidRPr="00150EDC">
              <w:rPr>
                <w:spacing w:val="-6"/>
                <w:sz w:val="20"/>
              </w:rPr>
              <w:t xml:space="preserve"> </w:t>
            </w:r>
            <w:r w:rsidRPr="00150EDC">
              <w:rPr>
                <w:sz w:val="20"/>
              </w:rPr>
              <w:t>(Bailiwick</w:t>
            </w:r>
            <w:r w:rsidRPr="00150EDC">
              <w:rPr>
                <w:spacing w:val="-5"/>
                <w:sz w:val="20"/>
              </w:rPr>
              <w:t xml:space="preserve"> </w:t>
            </w:r>
            <w:r w:rsidRPr="00150EDC">
              <w:rPr>
                <w:sz w:val="20"/>
              </w:rPr>
              <w:t>of</w:t>
            </w:r>
            <w:r w:rsidRPr="00150EDC">
              <w:rPr>
                <w:spacing w:val="-6"/>
                <w:sz w:val="20"/>
              </w:rPr>
              <w:t xml:space="preserve"> </w:t>
            </w:r>
            <w:r w:rsidRPr="00150EDC">
              <w:rPr>
                <w:sz w:val="20"/>
              </w:rPr>
              <w:t>Guernsey)</w:t>
            </w:r>
            <w:r w:rsidRPr="00150EDC">
              <w:rPr>
                <w:spacing w:val="-6"/>
                <w:sz w:val="20"/>
              </w:rPr>
              <w:t xml:space="preserve"> </w:t>
            </w:r>
            <w:r w:rsidRPr="00150EDC">
              <w:rPr>
                <w:sz w:val="20"/>
              </w:rPr>
              <w:t>Law 2002,</w:t>
            </w:r>
            <w:r w:rsidRPr="00150EDC">
              <w:rPr>
                <w:spacing w:val="-6"/>
                <w:sz w:val="20"/>
              </w:rPr>
              <w:t xml:space="preserve"> </w:t>
            </w:r>
            <w:r w:rsidRPr="00150EDC">
              <w:rPr>
                <w:spacing w:val="-5"/>
                <w:sz w:val="20"/>
              </w:rPr>
              <w:t>s61</w:t>
            </w:r>
          </w:p>
        </w:tc>
        <w:tc>
          <w:tcPr>
            <w:tcW w:w="7427" w:type="dxa"/>
          </w:tcPr>
          <w:p w14:paraId="77EBE095" w14:textId="77777777" w:rsidR="004C7180" w:rsidRPr="00150EDC" w:rsidRDefault="00CF0754">
            <w:pPr>
              <w:pStyle w:val="TableParagraph"/>
              <w:spacing w:before="0" w:line="230" w:lineRule="atLeast"/>
              <w:rPr>
                <w:sz w:val="20"/>
              </w:rPr>
            </w:pPr>
            <w:r w:rsidRPr="00150EDC">
              <w:rPr>
                <w:sz w:val="20"/>
              </w:rPr>
              <w:t>Terrorist</w:t>
            </w:r>
            <w:r w:rsidRPr="00150EDC">
              <w:rPr>
                <w:spacing w:val="-6"/>
                <w:sz w:val="20"/>
              </w:rPr>
              <w:t xml:space="preserve"> </w:t>
            </w:r>
            <w:r w:rsidRPr="00150EDC">
              <w:rPr>
                <w:sz w:val="20"/>
              </w:rPr>
              <w:t>bombings overseas,</w:t>
            </w:r>
            <w:r w:rsidRPr="00150EDC">
              <w:rPr>
                <w:spacing w:val="-5"/>
                <w:sz w:val="20"/>
              </w:rPr>
              <w:t xml:space="preserve"> </w:t>
            </w:r>
            <w:r w:rsidRPr="00150EDC">
              <w:rPr>
                <w:sz w:val="20"/>
              </w:rPr>
              <w:t>where</w:t>
            </w:r>
            <w:r w:rsidRPr="00150EDC">
              <w:rPr>
                <w:spacing w:val="-6"/>
                <w:sz w:val="20"/>
              </w:rPr>
              <w:t xml:space="preserve"> </w:t>
            </w:r>
            <w:r w:rsidRPr="00150EDC">
              <w:rPr>
                <w:sz w:val="20"/>
              </w:rPr>
              <w:t>the</w:t>
            </w:r>
            <w:r w:rsidRPr="00150EDC">
              <w:rPr>
                <w:spacing w:val="-6"/>
                <w:sz w:val="20"/>
              </w:rPr>
              <w:t xml:space="preserve"> </w:t>
            </w:r>
            <w:r w:rsidRPr="00150EDC">
              <w:rPr>
                <w:sz w:val="20"/>
              </w:rPr>
              <w:t>underlying</w:t>
            </w:r>
            <w:r w:rsidRPr="00150EDC">
              <w:rPr>
                <w:spacing w:val="-1"/>
                <w:sz w:val="20"/>
              </w:rPr>
              <w:t xml:space="preserve"> </w:t>
            </w:r>
            <w:r w:rsidRPr="00150EDC">
              <w:rPr>
                <w:sz w:val="20"/>
              </w:rPr>
              <w:t>offence</w:t>
            </w:r>
            <w:r w:rsidRPr="00150EDC">
              <w:rPr>
                <w:spacing w:val="-6"/>
                <w:sz w:val="20"/>
              </w:rPr>
              <w:t xml:space="preserve"> </w:t>
            </w:r>
            <w:r w:rsidRPr="00150EDC">
              <w:rPr>
                <w:sz w:val="20"/>
              </w:rPr>
              <w:t>is</w:t>
            </w:r>
            <w:r w:rsidRPr="00150EDC">
              <w:rPr>
                <w:spacing w:val="-5"/>
                <w:sz w:val="20"/>
              </w:rPr>
              <w:t xml:space="preserve"> </w:t>
            </w:r>
            <w:r w:rsidRPr="00150EDC">
              <w:rPr>
                <w:sz w:val="20"/>
              </w:rPr>
              <w:t>section</w:t>
            </w:r>
            <w:r w:rsidRPr="00150EDC">
              <w:rPr>
                <w:spacing w:val="-6"/>
                <w:sz w:val="20"/>
              </w:rPr>
              <w:t xml:space="preserve"> </w:t>
            </w:r>
            <w:r w:rsidRPr="00150EDC">
              <w:rPr>
                <w:sz w:val="20"/>
              </w:rPr>
              <w:t>3</w:t>
            </w:r>
            <w:r w:rsidRPr="00150EDC">
              <w:rPr>
                <w:spacing w:val="-1"/>
                <w:sz w:val="20"/>
              </w:rPr>
              <w:t xml:space="preserve"> </w:t>
            </w:r>
            <w:r w:rsidRPr="00150EDC">
              <w:rPr>
                <w:sz w:val="20"/>
              </w:rPr>
              <w:t>of</w:t>
            </w:r>
            <w:r w:rsidRPr="00150EDC">
              <w:rPr>
                <w:spacing w:val="-6"/>
                <w:sz w:val="20"/>
              </w:rPr>
              <w:t xml:space="preserve"> </w:t>
            </w:r>
            <w:r w:rsidRPr="00150EDC">
              <w:rPr>
                <w:sz w:val="20"/>
              </w:rPr>
              <w:t>the Explosive Substances Act 1883</w:t>
            </w:r>
          </w:p>
        </w:tc>
      </w:tr>
      <w:tr w:rsidR="004569EE" w:rsidRPr="007D3144" w14:paraId="27DE3A8E" w14:textId="77777777">
        <w:trPr>
          <w:trHeight w:val="255"/>
        </w:trPr>
        <w:tc>
          <w:tcPr>
            <w:tcW w:w="6517" w:type="dxa"/>
          </w:tcPr>
          <w:p w14:paraId="2378586E" w14:textId="77777777" w:rsidR="004C7180" w:rsidRPr="00150EDC" w:rsidRDefault="00CF0754">
            <w:pPr>
              <w:pStyle w:val="TableParagraph"/>
              <w:rPr>
                <w:sz w:val="20"/>
              </w:rPr>
            </w:pPr>
            <w:r w:rsidRPr="00150EDC">
              <w:rPr>
                <w:sz w:val="20"/>
              </w:rPr>
              <w:t>Terrorism</w:t>
            </w:r>
            <w:r w:rsidRPr="00150EDC">
              <w:rPr>
                <w:spacing w:val="-6"/>
                <w:sz w:val="20"/>
              </w:rPr>
              <w:t xml:space="preserve"> </w:t>
            </w:r>
            <w:r w:rsidRPr="00150EDC">
              <w:rPr>
                <w:sz w:val="20"/>
              </w:rPr>
              <w:t>and</w:t>
            </w:r>
            <w:r w:rsidRPr="00150EDC">
              <w:rPr>
                <w:spacing w:val="-6"/>
                <w:sz w:val="20"/>
              </w:rPr>
              <w:t xml:space="preserve"> </w:t>
            </w:r>
            <w:r w:rsidRPr="00150EDC">
              <w:rPr>
                <w:sz w:val="20"/>
              </w:rPr>
              <w:t>Crime</w:t>
            </w:r>
            <w:r w:rsidRPr="00150EDC">
              <w:rPr>
                <w:spacing w:val="-6"/>
                <w:sz w:val="20"/>
              </w:rPr>
              <w:t xml:space="preserve"> </w:t>
            </w:r>
            <w:r w:rsidRPr="00150EDC">
              <w:rPr>
                <w:sz w:val="20"/>
              </w:rPr>
              <w:t>(Bailiwick</w:t>
            </w:r>
            <w:r w:rsidRPr="00150EDC">
              <w:rPr>
                <w:spacing w:val="-5"/>
                <w:sz w:val="20"/>
              </w:rPr>
              <w:t xml:space="preserve"> </w:t>
            </w:r>
            <w:r w:rsidRPr="00150EDC">
              <w:rPr>
                <w:sz w:val="20"/>
              </w:rPr>
              <w:t>of</w:t>
            </w:r>
            <w:r w:rsidRPr="00150EDC">
              <w:rPr>
                <w:spacing w:val="-6"/>
                <w:sz w:val="20"/>
              </w:rPr>
              <w:t xml:space="preserve"> </w:t>
            </w:r>
            <w:r w:rsidRPr="00150EDC">
              <w:rPr>
                <w:sz w:val="20"/>
              </w:rPr>
              <w:t>Guernsey)</w:t>
            </w:r>
            <w:r w:rsidRPr="00150EDC">
              <w:rPr>
                <w:spacing w:val="-6"/>
                <w:sz w:val="20"/>
              </w:rPr>
              <w:t xml:space="preserve"> </w:t>
            </w:r>
            <w:r w:rsidRPr="00150EDC">
              <w:rPr>
                <w:sz w:val="20"/>
              </w:rPr>
              <w:t>Law 2002,</w:t>
            </w:r>
            <w:r w:rsidRPr="00150EDC">
              <w:rPr>
                <w:spacing w:val="-6"/>
                <w:sz w:val="20"/>
              </w:rPr>
              <w:t xml:space="preserve"> </w:t>
            </w:r>
            <w:r w:rsidRPr="00150EDC">
              <w:rPr>
                <w:spacing w:val="-5"/>
                <w:sz w:val="20"/>
              </w:rPr>
              <w:t>s63</w:t>
            </w:r>
          </w:p>
        </w:tc>
        <w:tc>
          <w:tcPr>
            <w:tcW w:w="7427" w:type="dxa"/>
          </w:tcPr>
          <w:p w14:paraId="5AE5403D" w14:textId="77777777" w:rsidR="004C7180" w:rsidRPr="00150EDC" w:rsidRDefault="00CF0754">
            <w:pPr>
              <w:pStyle w:val="TableParagraph"/>
              <w:rPr>
                <w:sz w:val="20"/>
              </w:rPr>
            </w:pPr>
            <w:r w:rsidRPr="00150EDC">
              <w:rPr>
                <w:sz w:val="20"/>
              </w:rPr>
              <w:t>Use</w:t>
            </w:r>
            <w:r w:rsidRPr="00150EDC">
              <w:rPr>
                <w:spacing w:val="-5"/>
                <w:sz w:val="20"/>
              </w:rPr>
              <w:t xml:space="preserve"> </w:t>
            </w:r>
            <w:r w:rsidRPr="00150EDC">
              <w:rPr>
                <w:sz w:val="20"/>
              </w:rPr>
              <w:t>etc</w:t>
            </w:r>
            <w:r w:rsidRPr="00150EDC">
              <w:rPr>
                <w:spacing w:val="-4"/>
                <w:sz w:val="20"/>
              </w:rPr>
              <w:t xml:space="preserve"> </w:t>
            </w:r>
            <w:r w:rsidRPr="00150EDC">
              <w:rPr>
                <w:sz w:val="20"/>
              </w:rPr>
              <w:t>of</w:t>
            </w:r>
            <w:r w:rsidRPr="00150EDC">
              <w:rPr>
                <w:spacing w:val="-4"/>
                <w:sz w:val="20"/>
              </w:rPr>
              <w:t xml:space="preserve"> </w:t>
            </w:r>
            <w:r w:rsidRPr="00150EDC">
              <w:rPr>
                <w:sz w:val="20"/>
              </w:rPr>
              <w:t>nuclear</w:t>
            </w:r>
            <w:r w:rsidRPr="00150EDC">
              <w:rPr>
                <w:spacing w:val="-5"/>
                <w:sz w:val="20"/>
              </w:rPr>
              <w:t xml:space="preserve"> </w:t>
            </w:r>
            <w:r w:rsidRPr="00150EDC">
              <w:rPr>
                <w:spacing w:val="-2"/>
                <w:sz w:val="20"/>
              </w:rPr>
              <w:t>weapons</w:t>
            </w:r>
          </w:p>
        </w:tc>
      </w:tr>
      <w:tr w:rsidR="004569EE" w:rsidRPr="007D3144" w14:paraId="403E0846" w14:textId="77777777">
        <w:trPr>
          <w:trHeight w:val="255"/>
        </w:trPr>
        <w:tc>
          <w:tcPr>
            <w:tcW w:w="6517" w:type="dxa"/>
          </w:tcPr>
          <w:p w14:paraId="13791DA0" w14:textId="77777777" w:rsidR="004C7180" w:rsidRPr="00150EDC" w:rsidRDefault="00CF0754">
            <w:pPr>
              <w:pStyle w:val="TableParagraph"/>
              <w:spacing w:before="28"/>
              <w:rPr>
                <w:sz w:val="20"/>
              </w:rPr>
            </w:pPr>
            <w:r w:rsidRPr="00150EDC">
              <w:rPr>
                <w:sz w:val="20"/>
              </w:rPr>
              <w:t>Terrorism</w:t>
            </w:r>
            <w:r w:rsidRPr="00150EDC">
              <w:rPr>
                <w:spacing w:val="-6"/>
                <w:sz w:val="20"/>
              </w:rPr>
              <w:t xml:space="preserve"> </w:t>
            </w:r>
            <w:r w:rsidRPr="00150EDC">
              <w:rPr>
                <w:sz w:val="20"/>
              </w:rPr>
              <w:t>and</w:t>
            </w:r>
            <w:r w:rsidRPr="00150EDC">
              <w:rPr>
                <w:spacing w:val="-6"/>
                <w:sz w:val="20"/>
              </w:rPr>
              <w:t xml:space="preserve"> </w:t>
            </w:r>
            <w:r w:rsidRPr="00150EDC">
              <w:rPr>
                <w:sz w:val="20"/>
              </w:rPr>
              <w:t>Crime</w:t>
            </w:r>
            <w:r w:rsidRPr="00150EDC">
              <w:rPr>
                <w:spacing w:val="-6"/>
                <w:sz w:val="20"/>
              </w:rPr>
              <w:t xml:space="preserve"> </w:t>
            </w:r>
            <w:r w:rsidRPr="00150EDC">
              <w:rPr>
                <w:sz w:val="20"/>
              </w:rPr>
              <w:t>(Bailiwick</w:t>
            </w:r>
            <w:r w:rsidRPr="00150EDC">
              <w:rPr>
                <w:spacing w:val="-5"/>
                <w:sz w:val="20"/>
              </w:rPr>
              <w:t xml:space="preserve"> </w:t>
            </w:r>
            <w:r w:rsidRPr="00150EDC">
              <w:rPr>
                <w:sz w:val="20"/>
              </w:rPr>
              <w:t>of</w:t>
            </w:r>
            <w:r w:rsidRPr="00150EDC">
              <w:rPr>
                <w:spacing w:val="-6"/>
                <w:sz w:val="20"/>
              </w:rPr>
              <w:t xml:space="preserve"> </w:t>
            </w:r>
            <w:r w:rsidRPr="00150EDC">
              <w:rPr>
                <w:sz w:val="20"/>
              </w:rPr>
              <w:t>Guernsey)</w:t>
            </w:r>
            <w:r w:rsidRPr="00150EDC">
              <w:rPr>
                <w:spacing w:val="-6"/>
                <w:sz w:val="20"/>
              </w:rPr>
              <w:t xml:space="preserve"> </w:t>
            </w:r>
            <w:r w:rsidRPr="00150EDC">
              <w:rPr>
                <w:sz w:val="20"/>
              </w:rPr>
              <w:t>Law 2002,</w:t>
            </w:r>
            <w:r w:rsidRPr="00150EDC">
              <w:rPr>
                <w:spacing w:val="-6"/>
                <w:sz w:val="20"/>
              </w:rPr>
              <w:t xml:space="preserve"> </w:t>
            </w:r>
            <w:r w:rsidRPr="00150EDC">
              <w:rPr>
                <w:spacing w:val="-5"/>
                <w:sz w:val="20"/>
              </w:rPr>
              <w:t>s66</w:t>
            </w:r>
          </w:p>
        </w:tc>
        <w:tc>
          <w:tcPr>
            <w:tcW w:w="7427" w:type="dxa"/>
          </w:tcPr>
          <w:p w14:paraId="287233E8" w14:textId="77777777" w:rsidR="004C7180" w:rsidRPr="00150EDC" w:rsidRDefault="00CF0754">
            <w:pPr>
              <w:pStyle w:val="TableParagraph"/>
              <w:spacing w:before="28"/>
              <w:rPr>
                <w:sz w:val="20"/>
              </w:rPr>
            </w:pPr>
            <w:r w:rsidRPr="00150EDC">
              <w:rPr>
                <w:sz w:val="20"/>
              </w:rPr>
              <w:t>Assisting</w:t>
            </w:r>
            <w:r w:rsidRPr="00150EDC">
              <w:rPr>
                <w:spacing w:val="-6"/>
                <w:sz w:val="20"/>
              </w:rPr>
              <w:t xml:space="preserve"> </w:t>
            </w:r>
            <w:r w:rsidRPr="00150EDC">
              <w:rPr>
                <w:sz w:val="20"/>
              </w:rPr>
              <w:t>or</w:t>
            </w:r>
            <w:r w:rsidRPr="00150EDC">
              <w:rPr>
                <w:spacing w:val="-6"/>
                <w:sz w:val="20"/>
              </w:rPr>
              <w:t xml:space="preserve"> </w:t>
            </w:r>
            <w:r w:rsidRPr="00150EDC">
              <w:rPr>
                <w:sz w:val="20"/>
              </w:rPr>
              <w:t>inducing</w:t>
            </w:r>
            <w:r w:rsidRPr="00150EDC">
              <w:rPr>
                <w:spacing w:val="-6"/>
                <w:sz w:val="20"/>
              </w:rPr>
              <w:t xml:space="preserve"> </w:t>
            </w:r>
            <w:r w:rsidRPr="00150EDC">
              <w:rPr>
                <w:sz w:val="20"/>
              </w:rPr>
              <w:t>certain</w:t>
            </w:r>
            <w:r w:rsidRPr="00150EDC">
              <w:rPr>
                <w:spacing w:val="-5"/>
                <w:sz w:val="20"/>
              </w:rPr>
              <w:t xml:space="preserve"> </w:t>
            </w:r>
            <w:r w:rsidRPr="00150EDC">
              <w:rPr>
                <w:sz w:val="20"/>
              </w:rPr>
              <w:t>weapons related</w:t>
            </w:r>
            <w:r w:rsidRPr="00150EDC">
              <w:rPr>
                <w:spacing w:val="-6"/>
                <w:sz w:val="20"/>
              </w:rPr>
              <w:t xml:space="preserve"> </w:t>
            </w:r>
            <w:r w:rsidRPr="00150EDC">
              <w:rPr>
                <w:sz w:val="20"/>
              </w:rPr>
              <w:t xml:space="preserve">acts </w:t>
            </w:r>
            <w:r w:rsidRPr="00150EDC">
              <w:rPr>
                <w:spacing w:val="-2"/>
                <w:sz w:val="20"/>
              </w:rPr>
              <w:t>overseas</w:t>
            </w:r>
          </w:p>
        </w:tc>
      </w:tr>
      <w:tr w:rsidR="004569EE" w:rsidRPr="007D3144" w14:paraId="3B2C8F24" w14:textId="77777777">
        <w:trPr>
          <w:trHeight w:val="255"/>
        </w:trPr>
        <w:tc>
          <w:tcPr>
            <w:tcW w:w="6517" w:type="dxa"/>
          </w:tcPr>
          <w:p w14:paraId="26D039BA" w14:textId="77777777" w:rsidR="004C7180" w:rsidRPr="00150EDC" w:rsidRDefault="00CF0754">
            <w:pPr>
              <w:pStyle w:val="TableParagraph"/>
              <w:rPr>
                <w:sz w:val="20"/>
              </w:rPr>
            </w:pPr>
            <w:r w:rsidRPr="00150EDC">
              <w:rPr>
                <w:sz w:val="20"/>
              </w:rPr>
              <w:t>Terrorism</w:t>
            </w:r>
            <w:r w:rsidRPr="00150EDC">
              <w:rPr>
                <w:spacing w:val="-6"/>
                <w:sz w:val="20"/>
              </w:rPr>
              <w:t xml:space="preserve"> </w:t>
            </w:r>
            <w:r w:rsidRPr="00150EDC">
              <w:rPr>
                <w:sz w:val="20"/>
              </w:rPr>
              <w:t>and</w:t>
            </w:r>
            <w:r w:rsidRPr="00150EDC">
              <w:rPr>
                <w:spacing w:val="-6"/>
                <w:sz w:val="20"/>
              </w:rPr>
              <w:t xml:space="preserve"> </w:t>
            </w:r>
            <w:r w:rsidRPr="00150EDC">
              <w:rPr>
                <w:sz w:val="20"/>
              </w:rPr>
              <w:t>Crime</w:t>
            </w:r>
            <w:r w:rsidRPr="00150EDC">
              <w:rPr>
                <w:spacing w:val="-6"/>
                <w:sz w:val="20"/>
              </w:rPr>
              <w:t xml:space="preserve"> </w:t>
            </w:r>
            <w:r w:rsidRPr="00150EDC">
              <w:rPr>
                <w:sz w:val="20"/>
              </w:rPr>
              <w:t>(Bailiwick</w:t>
            </w:r>
            <w:r w:rsidRPr="00150EDC">
              <w:rPr>
                <w:spacing w:val="-5"/>
                <w:sz w:val="20"/>
              </w:rPr>
              <w:t xml:space="preserve"> </w:t>
            </w:r>
            <w:r w:rsidRPr="00150EDC">
              <w:rPr>
                <w:sz w:val="20"/>
              </w:rPr>
              <w:t>of</w:t>
            </w:r>
            <w:r w:rsidRPr="00150EDC">
              <w:rPr>
                <w:spacing w:val="-6"/>
                <w:sz w:val="20"/>
              </w:rPr>
              <w:t xml:space="preserve"> </w:t>
            </w:r>
            <w:r w:rsidRPr="00150EDC">
              <w:rPr>
                <w:sz w:val="20"/>
              </w:rPr>
              <w:t>Guernsey)</w:t>
            </w:r>
            <w:r w:rsidRPr="00150EDC">
              <w:rPr>
                <w:spacing w:val="-6"/>
                <w:sz w:val="20"/>
              </w:rPr>
              <w:t xml:space="preserve"> </w:t>
            </w:r>
            <w:r w:rsidRPr="00150EDC">
              <w:rPr>
                <w:sz w:val="20"/>
              </w:rPr>
              <w:t>Law 2002,</w:t>
            </w:r>
            <w:r w:rsidRPr="00150EDC">
              <w:rPr>
                <w:spacing w:val="-6"/>
                <w:sz w:val="20"/>
              </w:rPr>
              <w:t xml:space="preserve"> </w:t>
            </w:r>
            <w:r w:rsidRPr="00150EDC">
              <w:rPr>
                <w:spacing w:val="-5"/>
                <w:sz w:val="20"/>
              </w:rPr>
              <w:t>s71</w:t>
            </w:r>
          </w:p>
        </w:tc>
        <w:tc>
          <w:tcPr>
            <w:tcW w:w="7427" w:type="dxa"/>
          </w:tcPr>
          <w:p w14:paraId="1D435550" w14:textId="77777777" w:rsidR="004C7180" w:rsidRPr="00150EDC" w:rsidRDefault="00CF0754">
            <w:pPr>
              <w:pStyle w:val="TableParagraph"/>
              <w:rPr>
                <w:sz w:val="20"/>
              </w:rPr>
            </w:pPr>
            <w:r w:rsidRPr="00150EDC">
              <w:rPr>
                <w:sz w:val="20"/>
              </w:rPr>
              <w:t>Use</w:t>
            </w:r>
            <w:r w:rsidRPr="00150EDC">
              <w:rPr>
                <w:spacing w:val="-5"/>
                <w:sz w:val="20"/>
              </w:rPr>
              <w:t xml:space="preserve"> </w:t>
            </w:r>
            <w:r w:rsidRPr="00150EDC">
              <w:rPr>
                <w:sz w:val="20"/>
              </w:rPr>
              <w:t>of</w:t>
            </w:r>
            <w:r w:rsidRPr="00150EDC">
              <w:rPr>
                <w:spacing w:val="-5"/>
                <w:sz w:val="20"/>
              </w:rPr>
              <w:t xml:space="preserve"> </w:t>
            </w:r>
            <w:r w:rsidRPr="00150EDC">
              <w:rPr>
                <w:sz w:val="20"/>
              </w:rPr>
              <w:t>noxious</w:t>
            </w:r>
            <w:r w:rsidRPr="00150EDC">
              <w:rPr>
                <w:spacing w:val="-3"/>
                <w:sz w:val="20"/>
              </w:rPr>
              <w:t xml:space="preserve"> </w:t>
            </w:r>
            <w:r w:rsidRPr="00150EDC">
              <w:rPr>
                <w:sz w:val="20"/>
              </w:rPr>
              <w:t>substances</w:t>
            </w:r>
            <w:r w:rsidRPr="00150EDC">
              <w:rPr>
                <w:spacing w:val="-4"/>
                <w:sz w:val="20"/>
              </w:rPr>
              <w:t xml:space="preserve"> </w:t>
            </w:r>
            <w:r w:rsidRPr="00150EDC">
              <w:rPr>
                <w:sz w:val="20"/>
              </w:rPr>
              <w:t>to</w:t>
            </w:r>
            <w:r w:rsidRPr="00150EDC">
              <w:rPr>
                <w:spacing w:val="-5"/>
                <w:sz w:val="20"/>
              </w:rPr>
              <w:t xml:space="preserve"> </w:t>
            </w:r>
            <w:r w:rsidRPr="00150EDC">
              <w:rPr>
                <w:sz w:val="20"/>
              </w:rPr>
              <w:t>cause harm</w:t>
            </w:r>
            <w:r w:rsidRPr="00150EDC">
              <w:rPr>
                <w:spacing w:val="-4"/>
                <w:sz w:val="20"/>
              </w:rPr>
              <w:t xml:space="preserve"> </w:t>
            </w:r>
            <w:r w:rsidRPr="00150EDC">
              <w:rPr>
                <w:sz w:val="20"/>
              </w:rPr>
              <w:t>or</w:t>
            </w:r>
            <w:r w:rsidRPr="00150EDC">
              <w:rPr>
                <w:spacing w:val="-5"/>
                <w:sz w:val="20"/>
              </w:rPr>
              <w:t xml:space="preserve"> </w:t>
            </w:r>
            <w:r w:rsidRPr="00150EDC">
              <w:rPr>
                <w:spacing w:val="-2"/>
                <w:sz w:val="20"/>
              </w:rPr>
              <w:t>intimidate</w:t>
            </w:r>
          </w:p>
        </w:tc>
      </w:tr>
      <w:tr w:rsidR="004569EE" w:rsidRPr="007D3144" w14:paraId="52F3DCCE" w14:textId="77777777">
        <w:trPr>
          <w:trHeight w:val="255"/>
        </w:trPr>
        <w:tc>
          <w:tcPr>
            <w:tcW w:w="6517" w:type="dxa"/>
          </w:tcPr>
          <w:p w14:paraId="377C30F2" w14:textId="77777777" w:rsidR="004C7180" w:rsidRPr="00150EDC" w:rsidRDefault="00CF0754">
            <w:pPr>
              <w:pStyle w:val="TableParagraph"/>
              <w:rPr>
                <w:sz w:val="20"/>
              </w:rPr>
            </w:pPr>
            <w:r w:rsidRPr="00150EDC">
              <w:rPr>
                <w:sz w:val="20"/>
              </w:rPr>
              <w:t>Theft</w:t>
            </w:r>
            <w:r w:rsidRPr="00150EDC">
              <w:rPr>
                <w:spacing w:val="-3"/>
                <w:sz w:val="20"/>
              </w:rPr>
              <w:t xml:space="preserve"> </w:t>
            </w:r>
            <w:r w:rsidRPr="00150EDC">
              <w:rPr>
                <w:sz w:val="20"/>
              </w:rPr>
              <w:t>(Bailiwick</w:t>
            </w:r>
            <w:r w:rsidRPr="00150EDC">
              <w:rPr>
                <w:spacing w:val="-7"/>
                <w:sz w:val="20"/>
              </w:rPr>
              <w:t xml:space="preserve"> </w:t>
            </w:r>
            <w:r w:rsidRPr="00150EDC">
              <w:rPr>
                <w:sz w:val="20"/>
              </w:rPr>
              <w:t>of</w:t>
            </w:r>
            <w:r w:rsidRPr="00150EDC">
              <w:rPr>
                <w:spacing w:val="-7"/>
                <w:sz w:val="20"/>
              </w:rPr>
              <w:t xml:space="preserve"> </w:t>
            </w:r>
            <w:r w:rsidRPr="00150EDC">
              <w:rPr>
                <w:sz w:val="20"/>
              </w:rPr>
              <w:t>Guernsey)</w:t>
            </w:r>
            <w:r w:rsidRPr="00150EDC">
              <w:rPr>
                <w:spacing w:val="-4"/>
                <w:sz w:val="20"/>
              </w:rPr>
              <w:t xml:space="preserve"> </w:t>
            </w:r>
            <w:r w:rsidRPr="00150EDC">
              <w:rPr>
                <w:sz w:val="20"/>
              </w:rPr>
              <w:t>Law</w:t>
            </w:r>
            <w:r w:rsidRPr="00150EDC">
              <w:rPr>
                <w:spacing w:val="-6"/>
                <w:sz w:val="20"/>
              </w:rPr>
              <w:t xml:space="preserve"> </w:t>
            </w:r>
            <w:r w:rsidRPr="00150EDC">
              <w:rPr>
                <w:sz w:val="20"/>
              </w:rPr>
              <w:t>1983,</w:t>
            </w:r>
            <w:r w:rsidRPr="00150EDC">
              <w:rPr>
                <w:spacing w:val="-7"/>
                <w:sz w:val="20"/>
              </w:rPr>
              <w:t xml:space="preserve"> </w:t>
            </w:r>
            <w:r w:rsidRPr="00150EDC">
              <w:rPr>
                <w:spacing w:val="-5"/>
                <w:sz w:val="20"/>
              </w:rPr>
              <w:t>s10</w:t>
            </w:r>
          </w:p>
        </w:tc>
        <w:tc>
          <w:tcPr>
            <w:tcW w:w="7427" w:type="dxa"/>
          </w:tcPr>
          <w:p w14:paraId="326E77BA" w14:textId="77777777" w:rsidR="004C7180" w:rsidRPr="00150EDC" w:rsidRDefault="00CF0754">
            <w:pPr>
              <w:pStyle w:val="TableParagraph"/>
              <w:rPr>
                <w:sz w:val="20"/>
              </w:rPr>
            </w:pPr>
            <w:r w:rsidRPr="00150EDC">
              <w:rPr>
                <w:sz w:val="20"/>
              </w:rPr>
              <w:t>Aggravated</w:t>
            </w:r>
            <w:r w:rsidRPr="00150EDC">
              <w:rPr>
                <w:spacing w:val="-11"/>
                <w:sz w:val="20"/>
              </w:rPr>
              <w:t xml:space="preserve"> </w:t>
            </w:r>
            <w:r w:rsidRPr="00150EDC">
              <w:rPr>
                <w:spacing w:val="-2"/>
                <w:sz w:val="20"/>
              </w:rPr>
              <w:t>burglary</w:t>
            </w:r>
          </w:p>
        </w:tc>
      </w:tr>
      <w:tr w:rsidR="004569EE" w:rsidRPr="007D3144" w14:paraId="5B8759EE" w14:textId="77777777">
        <w:trPr>
          <w:trHeight w:val="255"/>
        </w:trPr>
        <w:tc>
          <w:tcPr>
            <w:tcW w:w="6517" w:type="dxa"/>
          </w:tcPr>
          <w:p w14:paraId="706ABA8D" w14:textId="77777777" w:rsidR="004C7180" w:rsidRPr="00150EDC" w:rsidRDefault="00CF0754">
            <w:pPr>
              <w:pStyle w:val="TableParagraph"/>
              <w:rPr>
                <w:sz w:val="20"/>
              </w:rPr>
            </w:pPr>
            <w:r w:rsidRPr="00150EDC">
              <w:rPr>
                <w:sz w:val="20"/>
              </w:rPr>
              <w:t>Theft</w:t>
            </w:r>
            <w:r w:rsidRPr="00150EDC">
              <w:rPr>
                <w:spacing w:val="-3"/>
                <w:sz w:val="20"/>
              </w:rPr>
              <w:t xml:space="preserve"> </w:t>
            </w:r>
            <w:r w:rsidRPr="00150EDC">
              <w:rPr>
                <w:sz w:val="20"/>
              </w:rPr>
              <w:t>(Bailiwick</w:t>
            </w:r>
            <w:r w:rsidRPr="00150EDC">
              <w:rPr>
                <w:spacing w:val="-7"/>
                <w:sz w:val="20"/>
              </w:rPr>
              <w:t xml:space="preserve"> </w:t>
            </w:r>
            <w:r w:rsidRPr="00150EDC">
              <w:rPr>
                <w:sz w:val="20"/>
              </w:rPr>
              <w:t>of</w:t>
            </w:r>
            <w:r w:rsidRPr="00150EDC">
              <w:rPr>
                <w:spacing w:val="-5"/>
                <w:sz w:val="20"/>
              </w:rPr>
              <w:t xml:space="preserve"> </w:t>
            </w:r>
            <w:r w:rsidRPr="00150EDC">
              <w:rPr>
                <w:sz w:val="20"/>
              </w:rPr>
              <w:t>Guernsey)</w:t>
            </w:r>
            <w:r w:rsidRPr="00150EDC">
              <w:rPr>
                <w:spacing w:val="-4"/>
                <w:sz w:val="20"/>
              </w:rPr>
              <w:t xml:space="preserve"> </w:t>
            </w:r>
            <w:r w:rsidRPr="00150EDC">
              <w:rPr>
                <w:sz w:val="20"/>
              </w:rPr>
              <w:t>Law</w:t>
            </w:r>
            <w:r w:rsidRPr="00150EDC">
              <w:rPr>
                <w:spacing w:val="-6"/>
                <w:sz w:val="20"/>
              </w:rPr>
              <w:t xml:space="preserve"> </w:t>
            </w:r>
            <w:r w:rsidRPr="00150EDC">
              <w:rPr>
                <w:sz w:val="20"/>
              </w:rPr>
              <w:t>1983,</w:t>
            </w:r>
            <w:r w:rsidRPr="00150EDC">
              <w:rPr>
                <w:spacing w:val="-7"/>
                <w:sz w:val="20"/>
              </w:rPr>
              <w:t xml:space="preserve"> </w:t>
            </w:r>
            <w:r w:rsidRPr="00150EDC">
              <w:rPr>
                <w:spacing w:val="-5"/>
                <w:sz w:val="20"/>
              </w:rPr>
              <w:t>s8</w:t>
            </w:r>
          </w:p>
        </w:tc>
        <w:tc>
          <w:tcPr>
            <w:tcW w:w="7427" w:type="dxa"/>
          </w:tcPr>
          <w:p w14:paraId="4983ACC2" w14:textId="77777777" w:rsidR="004C7180" w:rsidRPr="00150EDC" w:rsidRDefault="00CF0754">
            <w:pPr>
              <w:pStyle w:val="TableParagraph"/>
              <w:rPr>
                <w:sz w:val="20"/>
              </w:rPr>
            </w:pPr>
            <w:r w:rsidRPr="00150EDC">
              <w:rPr>
                <w:spacing w:val="-2"/>
                <w:sz w:val="20"/>
              </w:rPr>
              <w:t>Robbery</w:t>
            </w:r>
          </w:p>
        </w:tc>
      </w:tr>
      <w:tr w:rsidR="004569EE" w:rsidRPr="007D3144" w14:paraId="36D86654" w14:textId="77777777">
        <w:trPr>
          <w:trHeight w:val="255"/>
        </w:trPr>
        <w:tc>
          <w:tcPr>
            <w:tcW w:w="6517" w:type="dxa"/>
          </w:tcPr>
          <w:p w14:paraId="7291D5ED" w14:textId="77777777" w:rsidR="004C7180" w:rsidRPr="00150EDC" w:rsidRDefault="00CF0754">
            <w:pPr>
              <w:pStyle w:val="TableParagraph"/>
              <w:rPr>
                <w:sz w:val="20"/>
              </w:rPr>
            </w:pPr>
            <w:r w:rsidRPr="00150EDC">
              <w:rPr>
                <w:sz w:val="20"/>
              </w:rPr>
              <w:t>Theft</w:t>
            </w:r>
            <w:r w:rsidRPr="00150EDC">
              <w:rPr>
                <w:spacing w:val="-3"/>
                <w:sz w:val="20"/>
              </w:rPr>
              <w:t xml:space="preserve"> </w:t>
            </w:r>
            <w:r w:rsidRPr="00150EDC">
              <w:rPr>
                <w:sz w:val="20"/>
              </w:rPr>
              <w:t>(Bailiwick</w:t>
            </w:r>
            <w:r w:rsidRPr="00150EDC">
              <w:rPr>
                <w:spacing w:val="-7"/>
                <w:sz w:val="20"/>
              </w:rPr>
              <w:t xml:space="preserve"> </w:t>
            </w:r>
            <w:r w:rsidRPr="00150EDC">
              <w:rPr>
                <w:sz w:val="20"/>
              </w:rPr>
              <w:t>of</w:t>
            </w:r>
            <w:r w:rsidRPr="00150EDC">
              <w:rPr>
                <w:spacing w:val="-7"/>
                <w:sz w:val="20"/>
              </w:rPr>
              <w:t xml:space="preserve"> </w:t>
            </w:r>
            <w:r w:rsidRPr="00150EDC">
              <w:rPr>
                <w:sz w:val="20"/>
              </w:rPr>
              <w:t>Guernsey)</w:t>
            </w:r>
            <w:r w:rsidRPr="00150EDC">
              <w:rPr>
                <w:spacing w:val="-4"/>
                <w:sz w:val="20"/>
              </w:rPr>
              <w:t xml:space="preserve"> </w:t>
            </w:r>
            <w:r w:rsidRPr="00150EDC">
              <w:rPr>
                <w:sz w:val="20"/>
              </w:rPr>
              <w:t>Law</w:t>
            </w:r>
            <w:r w:rsidRPr="00150EDC">
              <w:rPr>
                <w:spacing w:val="-6"/>
                <w:sz w:val="20"/>
              </w:rPr>
              <w:t xml:space="preserve"> </w:t>
            </w:r>
            <w:r w:rsidRPr="00150EDC">
              <w:rPr>
                <w:sz w:val="20"/>
              </w:rPr>
              <w:t>1983,</w:t>
            </w:r>
            <w:r w:rsidRPr="00150EDC">
              <w:rPr>
                <w:spacing w:val="-7"/>
                <w:sz w:val="20"/>
              </w:rPr>
              <w:t xml:space="preserve"> </w:t>
            </w:r>
            <w:r w:rsidRPr="00150EDC">
              <w:rPr>
                <w:spacing w:val="-5"/>
                <w:sz w:val="20"/>
              </w:rPr>
              <w:t>s14</w:t>
            </w:r>
          </w:p>
        </w:tc>
        <w:tc>
          <w:tcPr>
            <w:tcW w:w="7427" w:type="dxa"/>
          </w:tcPr>
          <w:p w14:paraId="5FC8D676" w14:textId="77777777" w:rsidR="004C7180" w:rsidRPr="00150EDC" w:rsidRDefault="00CF0754">
            <w:pPr>
              <w:pStyle w:val="TableParagraph"/>
              <w:rPr>
                <w:sz w:val="20"/>
              </w:rPr>
            </w:pPr>
            <w:r w:rsidRPr="00150EDC">
              <w:rPr>
                <w:spacing w:val="-2"/>
                <w:sz w:val="20"/>
              </w:rPr>
              <w:t>Robbery</w:t>
            </w:r>
          </w:p>
        </w:tc>
      </w:tr>
      <w:tr w:rsidR="004569EE" w:rsidRPr="007D3144" w14:paraId="019BE130" w14:textId="77777777">
        <w:trPr>
          <w:trHeight w:val="510"/>
        </w:trPr>
        <w:tc>
          <w:tcPr>
            <w:tcW w:w="6517" w:type="dxa"/>
          </w:tcPr>
          <w:p w14:paraId="26DA68DA" w14:textId="77777777" w:rsidR="004C7180" w:rsidRPr="00150EDC" w:rsidRDefault="004C7180">
            <w:pPr>
              <w:pStyle w:val="TableParagraph"/>
              <w:spacing w:before="6" w:line="240" w:lineRule="auto"/>
              <w:ind w:left="0"/>
              <w:rPr>
                <w:sz w:val="24"/>
              </w:rPr>
            </w:pPr>
          </w:p>
          <w:p w14:paraId="23F53FD9" w14:textId="77777777" w:rsidR="004C7180" w:rsidRPr="00150EDC" w:rsidRDefault="00CF0754">
            <w:pPr>
              <w:pStyle w:val="TableParagraph"/>
              <w:spacing w:before="1"/>
              <w:rPr>
                <w:sz w:val="20"/>
              </w:rPr>
            </w:pPr>
            <w:r w:rsidRPr="00150EDC">
              <w:rPr>
                <w:sz w:val="20"/>
              </w:rPr>
              <w:t>Theft</w:t>
            </w:r>
            <w:r w:rsidRPr="00150EDC">
              <w:rPr>
                <w:spacing w:val="-3"/>
                <w:sz w:val="20"/>
              </w:rPr>
              <w:t xml:space="preserve"> </w:t>
            </w:r>
            <w:r w:rsidRPr="00150EDC">
              <w:rPr>
                <w:sz w:val="20"/>
              </w:rPr>
              <w:t>(Bailiwick</w:t>
            </w:r>
            <w:r w:rsidRPr="00150EDC">
              <w:rPr>
                <w:spacing w:val="-7"/>
                <w:sz w:val="20"/>
              </w:rPr>
              <w:t xml:space="preserve"> </w:t>
            </w:r>
            <w:r w:rsidRPr="00150EDC">
              <w:rPr>
                <w:sz w:val="20"/>
              </w:rPr>
              <w:t>of</w:t>
            </w:r>
            <w:r w:rsidRPr="00150EDC">
              <w:rPr>
                <w:spacing w:val="-7"/>
                <w:sz w:val="20"/>
              </w:rPr>
              <w:t xml:space="preserve"> </w:t>
            </w:r>
            <w:r w:rsidRPr="00150EDC">
              <w:rPr>
                <w:sz w:val="20"/>
              </w:rPr>
              <w:t>Guernsey)</w:t>
            </w:r>
            <w:r w:rsidRPr="00150EDC">
              <w:rPr>
                <w:spacing w:val="-4"/>
                <w:sz w:val="20"/>
              </w:rPr>
              <w:t xml:space="preserve"> </w:t>
            </w:r>
            <w:r w:rsidRPr="00150EDC">
              <w:rPr>
                <w:sz w:val="20"/>
              </w:rPr>
              <w:t>Law</w:t>
            </w:r>
            <w:r w:rsidRPr="00150EDC">
              <w:rPr>
                <w:spacing w:val="-6"/>
                <w:sz w:val="20"/>
              </w:rPr>
              <w:t xml:space="preserve"> </w:t>
            </w:r>
            <w:r w:rsidRPr="00150EDC">
              <w:rPr>
                <w:sz w:val="20"/>
              </w:rPr>
              <w:t>1983,</w:t>
            </w:r>
            <w:r w:rsidRPr="00150EDC">
              <w:rPr>
                <w:spacing w:val="-7"/>
                <w:sz w:val="20"/>
              </w:rPr>
              <w:t xml:space="preserve"> </w:t>
            </w:r>
            <w:r w:rsidRPr="00150EDC">
              <w:rPr>
                <w:spacing w:val="-2"/>
                <w:sz w:val="20"/>
              </w:rPr>
              <w:t>s9(1)(a)</w:t>
            </w:r>
          </w:p>
        </w:tc>
        <w:tc>
          <w:tcPr>
            <w:tcW w:w="7427" w:type="dxa"/>
          </w:tcPr>
          <w:p w14:paraId="129F3AB5" w14:textId="77777777" w:rsidR="004C7180" w:rsidRPr="00150EDC" w:rsidRDefault="00CF0754">
            <w:pPr>
              <w:pStyle w:val="TableParagraph"/>
              <w:spacing w:before="32" w:line="230" w:lineRule="atLeast"/>
              <w:ind w:right="186"/>
              <w:rPr>
                <w:sz w:val="20"/>
              </w:rPr>
            </w:pPr>
            <w:r w:rsidRPr="00150EDC">
              <w:rPr>
                <w:sz w:val="20"/>
              </w:rPr>
              <w:t>Burglary</w:t>
            </w:r>
            <w:r w:rsidRPr="00150EDC">
              <w:rPr>
                <w:spacing w:val="-5"/>
                <w:sz w:val="20"/>
              </w:rPr>
              <w:t xml:space="preserve"> </w:t>
            </w:r>
            <w:r w:rsidRPr="00150EDC">
              <w:rPr>
                <w:sz w:val="20"/>
              </w:rPr>
              <w:t>with</w:t>
            </w:r>
            <w:r w:rsidRPr="00150EDC">
              <w:rPr>
                <w:spacing w:val="-6"/>
                <w:sz w:val="20"/>
              </w:rPr>
              <w:t xml:space="preserve"> </w:t>
            </w:r>
            <w:r w:rsidRPr="00150EDC">
              <w:rPr>
                <w:sz w:val="20"/>
              </w:rPr>
              <w:t>intent</w:t>
            </w:r>
            <w:r w:rsidRPr="00150EDC">
              <w:rPr>
                <w:spacing w:val="-6"/>
                <w:sz w:val="20"/>
              </w:rPr>
              <w:t xml:space="preserve"> </w:t>
            </w:r>
            <w:r w:rsidRPr="00150EDC">
              <w:rPr>
                <w:sz w:val="20"/>
              </w:rPr>
              <w:t>to</w:t>
            </w:r>
            <w:r w:rsidRPr="00150EDC">
              <w:rPr>
                <w:spacing w:val="-6"/>
                <w:sz w:val="20"/>
              </w:rPr>
              <w:t xml:space="preserve"> </w:t>
            </w:r>
            <w:r w:rsidRPr="00150EDC">
              <w:rPr>
                <w:sz w:val="20"/>
              </w:rPr>
              <w:t>steal</w:t>
            </w:r>
            <w:r w:rsidRPr="00150EDC">
              <w:rPr>
                <w:spacing w:val="-1"/>
                <w:sz w:val="20"/>
              </w:rPr>
              <w:t xml:space="preserve"> </w:t>
            </w:r>
            <w:r w:rsidRPr="00150EDC">
              <w:rPr>
                <w:sz w:val="20"/>
              </w:rPr>
              <w:t>(victim</w:t>
            </w:r>
            <w:r w:rsidRPr="00150EDC">
              <w:rPr>
                <w:spacing w:val="-5"/>
                <w:sz w:val="20"/>
              </w:rPr>
              <w:t xml:space="preserve"> </w:t>
            </w:r>
            <w:r w:rsidRPr="00150EDC">
              <w:rPr>
                <w:sz w:val="20"/>
              </w:rPr>
              <w:t>under</w:t>
            </w:r>
            <w:r w:rsidRPr="00150EDC">
              <w:rPr>
                <w:spacing w:val="-2"/>
                <w:sz w:val="20"/>
              </w:rPr>
              <w:t xml:space="preserve"> </w:t>
            </w:r>
            <w:r w:rsidRPr="00150EDC">
              <w:rPr>
                <w:sz w:val="20"/>
              </w:rPr>
              <w:t>16),</w:t>
            </w:r>
            <w:r w:rsidRPr="00150EDC">
              <w:rPr>
                <w:spacing w:val="-6"/>
                <w:sz w:val="20"/>
              </w:rPr>
              <w:t xml:space="preserve"> </w:t>
            </w:r>
            <w:r w:rsidRPr="00150EDC">
              <w:rPr>
                <w:sz w:val="20"/>
              </w:rPr>
              <w:t>commit</w:t>
            </w:r>
            <w:r w:rsidRPr="00150EDC">
              <w:rPr>
                <w:spacing w:val="-1"/>
                <w:sz w:val="20"/>
              </w:rPr>
              <w:t xml:space="preserve"> </w:t>
            </w:r>
            <w:r w:rsidRPr="00150EDC">
              <w:rPr>
                <w:sz w:val="20"/>
              </w:rPr>
              <w:t>rape</w:t>
            </w:r>
            <w:r w:rsidRPr="00150EDC">
              <w:rPr>
                <w:spacing w:val="-6"/>
                <w:sz w:val="20"/>
              </w:rPr>
              <w:t xml:space="preserve"> </w:t>
            </w:r>
            <w:r w:rsidRPr="00150EDC">
              <w:rPr>
                <w:sz w:val="20"/>
              </w:rPr>
              <w:t>or</w:t>
            </w:r>
            <w:r w:rsidRPr="00150EDC">
              <w:rPr>
                <w:spacing w:val="-6"/>
                <w:sz w:val="20"/>
              </w:rPr>
              <w:t xml:space="preserve"> </w:t>
            </w:r>
            <w:r w:rsidRPr="00150EDC">
              <w:rPr>
                <w:sz w:val="20"/>
              </w:rPr>
              <w:t>grievous</w:t>
            </w:r>
            <w:r w:rsidRPr="00150EDC">
              <w:rPr>
                <w:spacing w:val="-1"/>
                <w:sz w:val="20"/>
              </w:rPr>
              <w:t xml:space="preserve"> </w:t>
            </w:r>
            <w:r w:rsidRPr="00150EDC">
              <w:rPr>
                <w:sz w:val="20"/>
              </w:rPr>
              <w:t>bodily harm, or do unlawful damage to a building or anything in it</w:t>
            </w:r>
          </w:p>
        </w:tc>
      </w:tr>
      <w:tr w:rsidR="004569EE" w:rsidRPr="007D3144" w14:paraId="2AD6EE45" w14:textId="77777777">
        <w:trPr>
          <w:trHeight w:val="255"/>
        </w:trPr>
        <w:tc>
          <w:tcPr>
            <w:tcW w:w="6517" w:type="dxa"/>
          </w:tcPr>
          <w:p w14:paraId="541AA117" w14:textId="77777777" w:rsidR="004C7180" w:rsidRPr="00150EDC" w:rsidRDefault="00CF0754">
            <w:pPr>
              <w:pStyle w:val="TableParagraph"/>
              <w:rPr>
                <w:sz w:val="20"/>
              </w:rPr>
            </w:pPr>
            <w:r w:rsidRPr="00150EDC">
              <w:rPr>
                <w:sz w:val="20"/>
              </w:rPr>
              <w:t>Theft</w:t>
            </w:r>
            <w:r w:rsidRPr="00150EDC">
              <w:rPr>
                <w:spacing w:val="-3"/>
                <w:sz w:val="20"/>
              </w:rPr>
              <w:t xml:space="preserve"> </w:t>
            </w:r>
            <w:r w:rsidRPr="00150EDC">
              <w:rPr>
                <w:sz w:val="20"/>
              </w:rPr>
              <w:t>(Bailiwick</w:t>
            </w:r>
            <w:r w:rsidRPr="00150EDC">
              <w:rPr>
                <w:spacing w:val="-7"/>
                <w:sz w:val="20"/>
              </w:rPr>
              <w:t xml:space="preserve"> </w:t>
            </w:r>
            <w:r w:rsidRPr="00150EDC">
              <w:rPr>
                <w:sz w:val="20"/>
              </w:rPr>
              <w:t>of</w:t>
            </w:r>
            <w:r w:rsidRPr="00150EDC">
              <w:rPr>
                <w:spacing w:val="-7"/>
                <w:sz w:val="20"/>
              </w:rPr>
              <w:t xml:space="preserve"> </w:t>
            </w:r>
            <w:r w:rsidRPr="00150EDC">
              <w:rPr>
                <w:sz w:val="20"/>
              </w:rPr>
              <w:t>Guernsey)</w:t>
            </w:r>
            <w:r w:rsidRPr="00150EDC">
              <w:rPr>
                <w:spacing w:val="-4"/>
                <w:sz w:val="20"/>
              </w:rPr>
              <w:t xml:space="preserve"> </w:t>
            </w:r>
            <w:r w:rsidRPr="00150EDC">
              <w:rPr>
                <w:sz w:val="20"/>
              </w:rPr>
              <w:t>Law</w:t>
            </w:r>
            <w:r w:rsidRPr="00150EDC">
              <w:rPr>
                <w:spacing w:val="-6"/>
                <w:sz w:val="20"/>
              </w:rPr>
              <w:t xml:space="preserve"> </w:t>
            </w:r>
            <w:r w:rsidRPr="00150EDC">
              <w:rPr>
                <w:sz w:val="20"/>
              </w:rPr>
              <w:t>1983,</w:t>
            </w:r>
            <w:r w:rsidRPr="00150EDC">
              <w:rPr>
                <w:spacing w:val="-7"/>
                <w:sz w:val="20"/>
              </w:rPr>
              <w:t xml:space="preserve"> </w:t>
            </w:r>
            <w:r w:rsidRPr="00150EDC">
              <w:rPr>
                <w:spacing w:val="-2"/>
                <w:sz w:val="20"/>
              </w:rPr>
              <w:t>s9(1)(b)</w:t>
            </w:r>
          </w:p>
        </w:tc>
        <w:tc>
          <w:tcPr>
            <w:tcW w:w="7427" w:type="dxa"/>
          </w:tcPr>
          <w:p w14:paraId="1CA2C11B" w14:textId="77777777" w:rsidR="004C7180" w:rsidRPr="00150EDC" w:rsidRDefault="00CF0754">
            <w:pPr>
              <w:pStyle w:val="TableParagraph"/>
              <w:rPr>
                <w:sz w:val="20"/>
              </w:rPr>
            </w:pPr>
            <w:r w:rsidRPr="00150EDC">
              <w:rPr>
                <w:sz w:val="20"/>
              </w:rPr>
              <w:t>Burglary</w:t>
            </w:r>
            <w:r w:rsidRPr="00150EDC">
              <w:rPr>
                <w:spacing w:val="-6"/>
                <w:sz w:val="20"/>
              </w:rPr>
              <w:t xml:space="preserve"> </w:t>
            </w:r>
            <w:r w:rsidRPr="00150EDC">
              <w:rPr>
                <w:sz w:val="20"/>
              </w:rPr>
              <w:t>inflicting</w:t>
            </w:r>
            <w:r w:rsidRPr="00150EDC">
              <w:rPr>
                <w:spacing w:val="-7"/>
                <w:sz w:val="20"/>
              </w:rPr>
              <w:t xml:space="preserve"> </w:t>
            </w:r>
            <w:r w:rsidRPr="00150EDC">
              <w:rPr>
                <w:sz w:val="20"/>
              </w:rPr>
              <w:t>or</w:t>
            </w:r>
            <w:r w:rsidRPr="00150EDC">
              <w:rPr>
                <w:spacing w:val="-3"/>
                <w:sz w:val="20"/>
              </w:rPr>
              <w:t xml:space="preserve"> </w:t>
            </w:r>
            <w:r w:rsidRPr="00150EDC">
              <w:rPr>
                <w:sz w:val="20"/>
              </w:rPr>
              <w:t>attempting</w:t>
            </w:r>
            <w:r w:rsidRPr="00150EDC">
              <w:rPr>
                <w:spacing w:val="-6"/>
                <w:sz w:val="20"/>
              </w:rPr>
              <w:t xml:space="preserve"> </w:t>
            </w:r>
            <w:r w:rsidRPr="00150EDC">
              <w:rPr>
                <w:sz w:val="20"/>
              </w:rPr>
              <w:t>to</w:t>
            </w:r>
            <w:r w:rsidRPr="00150EDC">
              <w:rPr>
                <w:spacing w:val="-7"/>
                <w:sz w:val="20"/>
              </w:rPr>
              <w:t xml:space="preserve"> </w:t>
            </w:r>
            <w:r w:rsidRPr="00150EDC">
              <w:rPr>
                <w:sz w:val="20"/>
              </w:rPr>
              <w:t>inflict</w:t>
            </w:r>
            <w:r w:rsidRPr="00150EDC">
              <w:rPr>
                <w:spacing w:val="-6"/>
                <w:sz w:val="20"/>
              </w:rPr>
              <w:t xml:space="preserve"> </w:t>
            </w:r>
            <w:r w:rsidRPr="00150EDC">
              <w:rPr>
                <w:sz w:val="20"/>
              </w:rPr>
              <w:t>grievous</w:t>
            </w:r>
            <w:r w:rsidRPr="00150EDC">
              <w:rPr>
                <w:spacing w:val="-1"/>
                <w:sz w:val="20"/>
              </w:rPr>
              <w:t xml:space="preserve"> </w:t>
            </w:r>
            <w:r w:rsidRPr="00150EDC">
              <w:rPr>
                <w:sz w:val="20"/>
              </w:rPr>
              <w:t>bodily</w:t>
            </w:r>
            <w:r w:rsidRPr="00150EDC">
              <w:rPr>
                <w:spacing w:val="-5"/>
                <w:sz w:val="20"/>
              </w:rPr>
              <w:t xml:space="preserve"> </w:t>
            </w:r>
            <w:r w:rsidRPr="00150EDC">
              <w:rPr>
                <w:spacing w:val="-4"/>
                <w:sz w:val="20"/>
              </w:rPr>
              <w:t>harm</w:t>
            </w:r>
          </w:p>
        </w:tc>
      </w:tr>
      <w:tr w:rsidR="004569EE" w:rsidRPr="007D3144" w14:paraId="1C2EC1B1" w14:textId="77777777">
        <w:trPr>
          <w:trHeight w:val="255"/>
        </w:trPr>
        <w:tc>
          <w:tcPr>
            <w:tcW w:w="6517" w:type="dxa"/>
          </w:tcPr>
          <w:p w14:paraId="127F8F28" w14:textId="77777777" w:rsidR="004C7180" w:rsidRPr="00150EDC" w:rsidRDefault="00CF0754">
            <w:pPr>
              <w:pStyle w:val="TableParagraph"/>
              <w:rPr>
                <w:sz w:val="20"/>
              </w:rPr>
            </w:pPr>
            <w:r w:rsidRPr="00150EDC">
              <w:rPr>
                <w:sz w:val="20"/>
              </w:rPr>
              <w:t>Theft</w:t>
            </w:r>
            <w:r w:rsidRPr="00150EDC">
              <w:rPr>
                <w:spacing w:val="-7"/>
                <w:sz w:val="20"/>
              </w:rPr>
              <w:t xml:space="preserve"> </w:t>
            </w:r>
            <w:r w:rsidRPr="00150EDC">
              <w:rPr>
                <w:sz w:val="20"/>
              </w:rPr>
              <w:t>Act</w:t>
            </w:r>
            <w:r w:rsidRPr="00150EDC">
              <w:rPr>
                <w:spacing w:val="-6"/>
                <w:sz w:val="20"/>
              </w:rPr>
              <w:t xml:space="preserve"> </w:t>
            </w:r>
            <w:r w:rsidRPr="00150EDC">
              <w:rPr>
                <w:sz w:val="20"/>
              </w:rPr>
              <w:t>(Northern</w:t>
            </w:r>
            <w:r w:rsidRPr="00150EDC">
              <w:rPr>
                <w:spacing w:val="-6"/>
                <w:sz w:val="20"/>
              </w:rPr>
              <w:t xml:space="preserve"> </w:t>
            </w:r>
            <w:r w:rsidRPr="00150EDC">
              <w:rPr>
                <w:sz w:val="20"/>
              </w:rPr>
              <w:t>Ireland)</w:t>
            </w:r>
            <w:r w:rsidRPr="00150EDC">
              <w:rPr>
                <w:spacing w:val="-7"/>
                <w:sz w:val="20"/>
              </w:rPr>
              <w:t xml:space="preserve"> </w:t>
            </w:r>
            <w:r w:rsidRPr="00150EDC">
              <w:rPr>
                <w:sz w:val="20"/>
              </w:rPr>
              <w:t>1969,</w:t>
            </w:r>
            <w:r w:rsidRPr="00150EDC">
              <w:rPr>
                <w:spacing w:val="-6"/>
                <w:sz w:val="20"/>
              </w:rPr>
              <w:t xml:space="preserve"> </w:t>
            </w:r>
            <w:r w:rsidRPr="00150EDC">
              <w:rPr>
                <w:spacing w:val="-5"/>
                <w:sz w:val="20"/>
              </w:rPr>
              <w:t>s9</w:t>
            </w:r>
          </w:p>
        </w:tc>
        <w:tc>
          <w:tcPr>
            <w:tcW w:w="7427" w:type="dxa"/>
          </w:tcPr>
          <w:p w14:paraId="42A3ACF3" w14:textId="77777777" w:rsidR="004C7180" w:rsidRPr="00150EDC" w:rsidRDefault="00CF0754">
            <w:pPr>
              <w:pStyle w:val="TableParagraph"/>
              <w:rPr>
                <w:sz w:val="20"/>
              </w:rPr>
            </w:pPr>
            <w:r w:rsidRPr="00150EDC">
              <w:rPr>
                <w:sz w:val="20"/>
              </w:rPr>
              <w:t>Burglary</w:t>
            </w:r>
            <w:r w:rsidRPr="00150EDC">
              <w:rPr>
                <w:spacing w:val="-5"/>
                <w:sz w:val="20"/>
              </w:rPr>
              <w:t xml:space="preserve"> </w:t>
            </w:r>
            <w:r w:rsidRPr="00150EDC">
              <w:rPr>
                <w:sz w:val="20"/>
              </w:rPr>
              <w:t>(victim</w:t>
            </w:r>
            <w:r w:rsidRPr="00150EDC">
              <w:rPr>
                <w:spacing w:val="-6"/>
                <w:sz w:val="20"/>
              </w:rPr>
              <w:t xml:space="preserve"> </w:t>
            </w:r>
            <w:r w:rsidRPr="00150EDC">
              <w:rPr>
                <w:sz w:val="20"/>
              </w:rPr>
              <w:t>under</w:t>
            </w:r>
            <w:r w:rsidRPr="00150EDC">
              <w:rPr>
                <w:spacing w:val="-5"/>
                <w:sz w:val="20"/>
              </w:rPr>
              <w:t xml:space="preserve"> 16)</w:t>
            </w:r>
          </w:p>
        </w:tc>
      </w:tr>
      <w:tr w:rsidR="004569EE" w:rsidRPr="007D3144" w14:paraId="6F2B0071" w14:textId="77777777">
        <w:trPr>
          <w:trHeight w:val="255"/>
        </w:trPr>
        <w:tc>
          <w:tcPr>
            <w:tcW w:w="6517" w:type="dxa"/>
          </w:tcPr>
          <w:p w14:paraId="48C96DDB" w14:textId="77777777" w:rsidR="004C7180" w:rsidRPr="00150EDC" w:rsidRDefault="00CF0754">
            <w:pPr>
              <w:pStyle w:val="TableParagraph"/>
              <w:spacing w:before="28"/>
              <w:rPr>
                <w:sz w:val="20"/>
              </w:rPr>
            </w:pPr>
            <w:r w:rsidRPr="00150EDC">
              <w:rPr>
                <w:sz w:val="20"/>
              </w:rPr>
              <w:t>Theft</w:t>
            </w:r>
            <w:r w:rsidRPr="00150EDC">
              <w:rPr>
                <w:spacing w:val="-7"/>
                <w:sz w:val="20"/>
              </w:rPr>
              <w:t xml:space="preserve"> </w:t>
            </w:r>
            <w:r w:rsidRPr="00150EDC">
              <w:rPr>
                <w:sz w:val="20"/>
              </w:rPr>
              <w:t>Act</w:t>
            </w:r>
            <w:r w:rsidRPr="00150EDC">
              <w:rPr>
                <w:spacing w:val="-6"/>
                <w:sz w:val="20"/>
              </w:rPr>
              <w:t xml:space="preserve"> </w:t>
            </w:r>
            <w:r w:rsidRPr="00150EDC">
              <w:rPr>
                <w:sz w:val="20"/>
              </w:rPr>
              <w:t>(Northern</w:t>
            </w:r>
            <w:r w:rsidRPr="00150EDC">
              <w:rPr>
                <w:spacing w:val="-6"/>
                <w:sz w:val="20"/>
              </w:rPr>
              <w:t xml:space="preserve"> </w:t>
            </w:r>
            <w:r w:rsidRPr="00150EDC">
              <w:rPr>
                <w:sz w:val="20"/>
              </w:rPr>
              <w:t>Ireland)</w:t>
            </w:r>
            <w:r w:rsidRPr="00150EDC">
              <w:rPr>
                <w:spacing w:val="-7"/>
                <w:sz w:val="20"/>
              </w:rPr>
              <w:t xml:space="preserve"> </w:t>
            </w:r>
            <w:r w:rsidRPr="00150EDC">
              <w:rPr>
                <w:sz w:val="20"/>
              </w:rPr>
              <w:t>1969,</w:t>
            </w:r>
            <w:r w:rsidRPr="00150EDC">
              <w:rPr>
                <w:spacing w:val="-6"/>
                <w:sz w:val="20"/>
              </w:rPr>
              <w:t xml:space="preserve"> </w:t>
            </w:r>
            <w:r w:rsidRPr="00150EDC">
              <w:rPr>
                <w:spacing w:val="-5"/>
                <w:sz w:val="20"/>
              </w:rPr>
              <w:t>s10</w:t>
            </w:r>
          </w:p>
        </w:tc>
        <w:tc>
          <w:tcPr>
            <w:tcW w:w="7427" w:type="dxa"/>
          </w:tcPr>
          <w:p w14:paraId="72883A21" w14:textId="77777777" w:rsidR="004C7180" w:rsidRPr="00150EDC" w:rsidRDefault="00CF0754">
            <w:pPr>
              <w:pStyle w:val="TableParagraph"/>
              <w:spacing w:before="28"/>
              <w:rPr>
                <w:sz w:val="20"/>
              </w:rPr>
            </w:pPr>
            <w:r w:rsidRPr="00150EDC">
              <w:rPr>
                <w:sz w:val="20"/>
              </w:rPr>
              <w:t>Aggravated</w:t>
            </w:r>
            <w:r w:rsidRPr="00150EDC">
              <w:rPr>
                <w:spacing w:val="-11"/>
                <w:sz w:val="20"/>
              </w:rPr>
              <w:t xml:space="preserve"> </w:t>
            </w:r>
            <w:r w:rsidRPr="00150EDC">
              <w:rPr>
                <w:spacing w:val="-2"/>
                <w:sz w:val="20"/>
              </w:rPr>
              <w:t>burglary</w:t>
            </w:r>
          </w:p>
        </w:tc>
      </w:tr>
      <w:tr w:rsidR="004569EE" w:rsidRPr="007D3144" w14:paraId="270F382F" w14:textId="77777777">
        <w:trPr>
          <w:trHeight w:val="255"/>
        </w:trPr>
        <w:tc>
          <w:tcPr>
            <w:tcW w:w="6517" w:type="dxa"/>
          </w:tcPr>
          <w:p w14:paraId="5FBCE403" w14:textId="77777777" w:rsidR="004C7180" w:rsidRPr="00150EDC" w:rsidRDefault="00CF0754">
            <w:pPr>
              <w:pStyle w:val="TableParagraph"/>
              <w:rPr>
                <w:sz w:val="20"/>
              </w:rPr>
            </w:pPr>
            <w:r w:rsidRPr="00150EDC">
              <w:rPr>
                <w:sz w:val="20"/>
              </w:rPr>
              <w:t>Theft</w:t>
            </w:r>
            <w:r w:rsidRPr="00150EDC">
              <w:rPr>
                <w:spacing w:val="-7"/>
                <w:sz w:val="20"/>
              </w:rPr>
              <w:t xml:space="preserve"> </w:t>
            </w:r>
            <w:r w:rsidRPr="00150EDC">
              <w:rPr>
                <w:sz w:val="20"/>
              </w:rPr>
              <w:t>Act</w:t>
            </w:r>
            <w:r w:rsidRPr="00150EDC">
              <w:rPr>
                <w:spacing w:val="-6"/>
                <w:sz w:val="20"/>
              </w:rPr>
              <w:t xml:space="preserve"> </w:t>
            </w:r>
            <w:r w:rsidRPr="00150EDC">
              <w:rPr>
                <w:sz w:val="20"/>
              </w:rPr>
              <w:t>(Northern</w:t>
            </w:r>
            <w:r w:rsidRPr="00150EDC">
              <w:rPr>
                <w:spacing w:val="-6"/>
                <w:sz w:val="20"/>
              </w:rPr>
              <w:t xml:space="preserve"> </w:t>
            </w:r>
            <w:r w:rsidRPr="00150EDC">
              <w:rPr>
                <w:sz w:val="20"/>
              </w:rPr>
              <w:t>Ireland)</w:t>
            </w:r>
            <w:r w:rsidRPr="00150EDC">
              <w:rPr>
                <w:spacing w:val="-7"/>
                <w:sz w:val="20"/>
              </w:rPr>
              <w:t xml:space="preserve"> </w:t>
            </w:r>
            <w:r w:rsidRPr="00150EDC">
              <w:rPr>
                <w:sz w:val="20"/>
              </w:rPr>
              <w:t>1969,</w:t>
            </w:r>
            <w:r w:rsidRPr="00150EDC">
              <w:rPr>
                <w:spacing w:val="-6"/>
                <w:sz w:val="20"/>
              </w:rPr>
              <w:t xml:space="preserve"> </w:t>
            </w:r>
            <w:r w:rsidRPr="00150EDC">
              <w:rPr>
                <w:spacing w:val="-5"/>
                <w:sz w:val="20"/>
              </w:rPr>
              <w:t>s14</w:t>
            </w:r>
          </w:p>
        </w:tc>
        <w:tc>
          <w:tcPr>
            <w:tcW w:w="7427" w:type="dxa"/>
          </w:tcPr>
          <w:p w14:paraId="6C8435C2" w14:textId="77777777" w:rsidR="004C7180" w:rsidRPr="00150EDC" w:rsidRDefault="00CF0754">
            <w:pPr>
              <w:pStyle w:val="TableParagraph"/>
              <w:rPr>
                <w:sz w:val="20"/>
              </w:rPr>
            </w:pPr>
            <w:r w:rsidRPr="00150EDC">
              <w:rPr>
                <w:spacing w:val="-2"/>
                <w:sz w:val="20"/>
              </w:rPr>
              <w:t>Robbery</w:t>
            </w:r>
          </w:p>
        </w:tc>
      </w:tr>
      <w:tr w:rsidR="004569EE" w:rsidRPr="007D3144" w14:paraId="78DCD395" w14:textId="77777777">
        <w:trPr>
          <w:trHeight w:val="255"/>
        </w:trPr>
        <w:tc>
          <w:tcPr>
            <w:tcW w:w="6517" w:type="dxa"/>
          </w:tcPr>
          <w:p w14:paraId="0DEB1B59" w14:textId="77777777" w:rsidR="004C7180" w:rsidRPr="00150EDC" w:rsidRDefault="00CF0754">
            <w:pPr>
              <w:pStyle w:val="TableParagraph"/>
              <w:rPr>
                <w:sz w:val="20"/>
              </w:rPr>
            </w:pPr>
            <w:r w:rsidRPr="00150EDC">
              <w:rPr>
                <w:sz w:val="20"/>
              </w:rPr>
              <w:t>Theft</w:t>
            </w:r>
            <w:r w:rsidRPr="00150EDC">
              <w:rPr>
                <w:spacing w:val="-7"/>
                <w:sz w:val="20"/>
              </w:rPr>
              <w:t xml:space="preserve"> </w:t>
            </w:r>
            <w:r w:rsidRPr="00150EDC">
              <w:rPr>
                <w:sz w:val="20"/>
              </w:rPr>
              <w:t>Act</w:t>
            </w:r>
            <w:r w:rsidRPr="00150EDC">
              <w:rPr>
                <w:spacing w:val="-6"/>
                <w:sz w:val="20"/>
              </w:rPr>
              <w:t xml:space="preserve"> </w:t>
            </w:r>
            <w:r w:rsidRPr="00150EDC">
              <w:rPr>
                <w:sz w:val="20"/>
              </w:rPr>
              <w:t>(Northern</w:t>
            </w:r>
            <w:r w:rsidRPr="00150EDC">
              <w:rPr>
                <w:spacing w:val="-6"/>
                <w:sz w:val="20"/>
              </w:rPr>
              <w:t xml:space="preserve"> </w:t>
            </w:r>
            <w:r w:rsidRPr="00150EDC">
              <w:rPr>
                <w:sz w:val="20"/>
              </w:rPr>
              <w:t>Ireland)</w:t>
            </w:r>
            <w:r w:rsidRPr="00150EDC">
              <w:rPr>
                <w:spacing w:val="-7"/>
                <w:sz w:val="20"/>
              </w:rPr>
              <w:t xml:space="preserve"> </w:t>
            </w:r>
            <w:r w:rsidRPr="00150EDC">
              <w:rPr>
                <w:sz w:val="20"/>
              </w:rPr>
              <w:t>1969,</w:t>
            </w:r>
            <w:r w:rsidRPr="00150EDC">
              <w:rPr>
                <w:spacing w:val="-6"/>
                <w:sz w:val="20"/>
              </w:rPr>
              <w:t xml:space="preserve"> </w:t>
            </w:r>
            <w:r w:rsidRPr="00150EDC">
              <w:rPr>
                <w:spacing w:val="-5"/>
                <w:sz w:val="20"/>
              </w:rPr>
              <w:t>s8</w:t>
            </w:r>
          </w:p>
        </w:tc>
        <w:tc>
          <w:tcPr>
            <w:tcW w:w="7427" w:type="dxa"/>
          </w:tcPr>
          <w:p w14:paraId="0F84E89F" w14:textId="77777777" w:rsidR="004C7180" w:rsidRPr="00150EDC" w:rsidRDefault="00CF0754">
            <w:pPr>
              <w:pStyle w:val="TableParagraph"/>
              <w:rPr>
                <w:sz w:val="20"/>
              </w:rPr>
            </w:pPr>
            <w:r w:rsidRPr="00150EDC">
              <w:rPr>
                <w:spacing w:val="-2"/>
                <w:sz w:val="20"/>
              </w:rPr>
              <w:t>Robbery</w:t>
            </w:r>
          </w:p>
        </w:tc>
      </w:tr>
      <w:tr w:rsidR="004569EE" w:rsidRPr="007D3144" w14:paraId="1EF61B8E" w14:textId="77777777">
        <w:trPr>
          <w:trHeight w:val="255"/>
        </w:trPr>
        <w:tc>
          <w:tcPr>
            <w:tcW w:w="6517" w:type="dxa"/>
          </w:tcPr>
          <w:p w14:paraId="4AADE155" w14:textId="77777777" w:rsidR="004C7180" w:rsidRPr="00150EDC" w:rsidRDefault="00CF0754">
            <w:pPr>
              <w:pStyle w:val="TableParagraph"/>
              <w:rPr>
                <w:sz w:val="20"/>
              </w:rPr>
            </w:pPr>
            <w:r w:rsidRPr="00150EDC">
              <w:rPr>
                <w:sz w:val="20"/>
              </w:rPr>
              <w:t>Theft</w:t>
            </w:r>
            <w:r w:rsidRPr="00150EDC">
              <w:rPr>
                <w:spacing w:val="-7"/>
                <w:sz w:val="20"/>
              </w:rPr>
              <w:t xml:space="preserve"> </w:t>
            </w:r>
            <w:r w:rsidRPr="00150EDC">
              <w:rPr>
                <w:sz w:val="20"/>
              </w:rPr>
              <w:t>Act</w:t>
            </w:r>
            <w:r w:rsidRPr="00150EDC">
              <w:rPr>
                <w:spacing w:val="-6"/>
                <w:sz w:val="20"/>
              </w:rPr>
              <w:t xml:space="preserve"> </w:t>
            </w:r>
            <w:r w:rsidRPr="00150EDC">
              <w:rPr>
                <w:sz w:val="20"/>
              </w:rPr>
              <w:t>1968,</w:t>
            </w:r>
            <w:r w:rsidRPr="00150EDC">
              <w:rPr>
                <w:spacing w:val="-7"/>
                <w:sz w:val="20"/>
              </w:rPr>
              <w:t xml:space="preserve"> </w:t>
            </w:r>
            <w:r w:rsidRPr="00150EDC">
              <w:rPr>
                <w:spacing w:val="-5"/>
                <w:sz w:val="20"/>
              </w:rPr>
              <w:t>s10</w:t>
            </w:r>
          </w:p>
        </w:tc>
        <w:tc>
          <w:tcPr>
            <w:tcW w:w="7427" w:type="dxa"/>
          </w:tcPr>
          <w:p w14:paraId="0BAA4A6E" w14:textId="77777777" w:rsidR="004C7180" w:rsidRPr="00150EDC" w:rsidRDefault="00CF0754">
            <w:pPr>
              <w:pStyle w:val="TableParagraph"/>
              <w:rPr>
                <w:sz w:val="20"/>
              </w:rPr>
            </w:pPr>
            <w:r w:rsidRPr="00150EDC">
              <w:rPr>
                <w:sz w:val="20"/>
              </w:rPr>
              <w:t>Aggravated</w:t>
            </w:r>
            <w:r w:rsidRPr="00150EDC">
              <w:rPr>
                <w:spacing w:val="-11"/>
                <w:sz w:val="20"/>
              </w:rPr>
              <w:t xml:space="preserve"> </w:t>
            </w:r>
            <w:r w:rsidRPr="00150EDC">
              <w:rPr>
                <w:spacing w:val="-2"/>
                <w:sz w:val="20"/>
              </w:rPr>
              <w:t>burglary</w:t>
            </w:r>
          </w:p>
        </w:tc>
      </w:tr>
      <w:tr w:rsidR="004569EE" w:rsidRPr="007D3144" w14:paraId="0B295E2A" w14:textId="77777777">
        <w:trPr>
          <w:trHeight w:val="255"/>
        </w:trPr>
        <w:tc>
          <w:tcPr>
            <w:tcW w:w="6517" w:type="dxa"/>
          </w:tcPr>
          <w:p w14:paraId="628BD5E6" w14:textId="77777777" w:rsidR="004C7180" w:rsidRPr="00150EDC" w:rsidRDefault="00CF0754">
            <w:pPr>
              <w:pStyle w:val="TableParagraph"/>
              <w:rPr>
                <w:sz w:val="20"/>
              </w:rPr>
            </w:pPr>
            <w:r w:rsidRPr="00150EDC">
              <w:rPr>
                <w:sz w:val="20"/>
              </w:rPr>
              <w:t>Theft</w:t>
            </w:r>
            <w:r w:rsidRPr="00150EDC">
              <w:rPr>
                <w:spacing w:val="-7"/>
                <w:sz w:val="20"/>
              </w:rPr>
              <w:t xml:space="preserve"> </w:t>
            </w:r>
            <w:r w:rsidRPr="00150EDC">
              <w:rPr>
                <w:sz w:val="20"/>
              </w:rPr>
              <w:t>Act</w:t>
            </w:r>
            <w:r w:rsidRPr="00150EDC">
              <w:rPr>
                <w:spacing w:val="-6"/>
                <w:sz w:val="20"/>
              </w:rPr>
              <w:t xml:space="preserve"> </w:t>
            </w:r>
            <w:r w:rsidRPr="00150EDC">
              <w:rPr>
                <w:sz w:val="20"/>
              </w:rPr>
              <w:t>1968,</w:t>
            </w:r>
            <w:r w:rsidRPr="00150EDC">
              <w:rPr>
                <w:spacing w:val="-7"/>
                <w:sz w:val="20"/>
              </w:rPr>
              <w:t xml:space="preserve"> </w:t>
            </w:r>
            <w:r w:rsidRPr="00150EDC">
              <w:rPr>
                <w:spacing w:val="-4"/>
                <w:sz w:val="20"/>
              </w:rPr>
              <w:t>s12A</w:t>
            </w:r>
          </w:p>
        </w:tc>
        <w:tc>
          <w:tcPr>
            <w:tcW w:w="7427" w:type="dxa"/>
          </w:tcPr>
          <w:p w14:paraId="2999C50D" w14:textId="77777777" w:rsidR="004C7180" w:rsidRPr="00150EDC" w:rsidRDefault="00CF0754">
            <w:pPr>
              <w:pStyle w:val="TableParagraph"/>
              <w:rPr>
                <w:sz w:val="20"/>
              </w:rPr>
            </w:pPr>
            <w:r w:rsidRPr="00150EDC">
              <w:rPr>
                <w:sz w:val="20"/>
              </w:rPr>
              <w:t>Aggravated</w:t>
            </w:r>
            <w:r w:rsidRPr="00150EDC">
              <w:rPr>
                <w:spacing w:val="-7"/>
                <w:sz w:val="20"/>
              </w:rPr>
              <w:t xml:space="preserve"> </w:t>
            </w:r>
            <w:r w:rsidRPr="00150EDC">
              <w:rPr>
                <w:sz w:val="20"/>
              </w:rPr>
              <w:t>vehicle</w:t>
            </w:r>
            <w:r w:rsidRPr="00150EDC">
              <w:rPr>
                <w:spacing w:val="-5"/>
                <w:sz w:val="20"/>
              </w:rPr>
              <w:t xml:space="preserve"> </w:t>
            </w:r>
            <w:r w:rsidRPr="00150EDC">
              <w:rPr>
                <w:sz w:val="20"/>
              </w:rPr>
              <w:t>taking</w:t>
            </w:r>
            <w:r w:rsidRPr="00150EDC">
              <w:rPr>
                <w:spacing w:val="-6"/>
                <w:sz w:val="20"/>
              </w:rPr>
              <w:t xml:space="preserve"> </w:t>
            </w:r>
            <w:r w:rsidRPr="00150EDC">
              <w:rPr>
                <w:sz w:val="20"/>
              </w:rPr>
              <w:t>involving</w:t>
            </w:r>
            <w:r w:rsidRPr="00150EDC">
              <w:rPr>
                <w:spacing w:val="-6"/>
                <w:sz w:val="20"/>
              </w:rPr>
              <w:t xml:space="preserve"> </w:t>
            </w:r>
            <w:r w:rsidRPr="00150EDC">
              <w:rPr>
                <w:sz w:val="20"/>
              </w:rPr>
              <w:t>an</w:t>
            </w:r>
            <w:r w:rsidRPr="00150EDC">
              <w:rPr>
                <w:spacing w:val="-2"/>
                <w:sz w:val="20"/>
              </w:rPr>
              <w:t xml:space="preserve"> </w:t>
            </w:r>
            <w:r w:rsidRPr="00150EDC">
              <w:rPr>
                <w:sz w:val="20"/>
              </w:rPr>
              <w:t>accident</w:t>
            </w:r>
            <w:r w:rsidRPr="00150EDC">
              <w:rPr>
                <w:spacing w:val="-6"/>
                <w:sz w:val="20"/>
              </w:rPr>
              <w:t xml:space="preserve"> </w:t>
            </w:r>
            <w:r w:rsidRPr="00150EDC">
              <w:rPr>
                <w:sz w:val="20"/>
              </w:rPr>
              <w:t>causing</w:t>
            </w:r>
            <w:r w:rsidRPr="00150EDC">
              <w:rPr>
                <w:spacing w:val="-6"/>
                <w:sz w:val="20"/>
              </w:rPr>
              <w:t xml:space="preserve"> </w:t>
            </w:r>
            <w:r w:rsidRPr="00150EDC">
              <w:rPr>
                <w:spacing w:val="-2"/>
                <w:sz w:val="20"/>
              </w:rPr>
              <w:t>death</w:t>
            </w:r>
          </w:p>
        </w:tc>
      </w:tr>
      <w:tr w:rsidR="004569EE" w:rsidRPr="007D3144" w14:paraId="57271109" w14:textId="77777777">
        <w:trPr>
          <w:trHeight w:val="255"/>
        </w:trPr>
        <w:tc>
          <w:tcPr>
            <w:tcW w:w="6517" w:type="dxa"/>
          </w:tcPr>
          <w:p w14:paraId="4D0E2DF3" w14:textId="77777777" w:rsidR="004C7180" w:rsidRPr="00150EDC" w:rsidRDefault="00CF0754">
            <w:pPr>
              <w:pStyle w:val="TableParagraph"/>
              <w:rPr>
                <w:sz w:val="20"/>
              </w:rPr>
            </w:pPr>
            <w:r w:rsidRPr="00150EDC">
              <w:rPr>
                <w:sz w:val="20"/>
              </w:rPr>
              <w:t>Theft</w:t>
            </w:r>
            <w:r w:rsidRPr="00150EDC">
              <w:rPr>
                <w:spacing w:val="-7"/>
                <w:sz w:val="20"/>
              </w:rPr>
              <w:t xml:space="preserve"> </w:t>
            </w:r>
            <w:r w:rsidRPr="00150EDC">
              <w:rPr>
                <w:sz w:val="20"/>
              </w:rPr>
              <w:t>Act</w:t>
            </w:r>
            <w:r w:rsidRPr="00150EDC">
              <w:rPr>
                <w:spacing w:val="-7"/>
                <w:sz w:val="20"/>
              </w:rPr>
              <w:t xml:space="preserve"> </w:t>
            </w:r>
            <w:r w:rsidRPr="00150EDC">
              <w:rPr>
                <w:sz w:val="20"/>
              </w:rPr>
              <w:t>1968,</w:t>
            </w:r>
            <w:r w:rsidRPr="00150EDC">
              <w:rPr>
                <w:spacing w:val="-7"/>
                <w:sz w:val="20"/>
              </w:rPr>
              <w:t xml:space="preserve"> </w:t>
            </w:r>
            <w:r w:rsidRPr="00150EDC">
              <w:rPr>
                <w:spacing w:val="-5"/>
                <w:sz w:val="20"/>
              </w:rPr>
              <w:t>s8</w:t>
            </w:r>
          </w:p>
        </w:tc>
        <w:tc>
          <w:tcPr>
            <w:tcW w:w="7427" w:type="dxa"/>
          </w:tcPr>
          <w:p w14:paraId="3405A210" w14:textId="77777777" w:rsidR="004C7180" w:rsidRPr="00150EDC" w:rsidRDefault="00CF0754">
            <w:pPr>
              <w:pStyle w:val="TableParagraph"/>
              <w:rPr>
                <w:sz w:val="20"/>
              </w:rPr>
            </w:pPr>
            <w:r w:rsidRPr="00150EDC">
              <w:rPr>
                <w:sz w:val="20"/>
              </w:rPr>
              <w:t>Robbery or</w:t>
            </w:r>
            <w:r w:rsidRPr="00150EDC">
              <w:rPr>
                <w:spacing w:val="-6"/>
                <w:sz w:val="20"/>
              </w:rPr>
              <w:t xml:space="preserve"> </w:t>
            </w:r>
            <w:r w:rsidRPr="00150EDC">
              <w:rPr>
                <w:sz w:val="20"/>
              </w:rPr>
              <w:t>assault</w:t>
            </w:r>
            <w:r w:rsidRPr="00150EDC">
              <w:rPr>
                <w:spacing w:val="-5"/>
                <w:sz w:val="20"/>
              </w:rPr>
              <w:t xml:space="preserve"> </w:t>
            </w:r>
            <w:r w:rsidRPr="00150EDC">
              <w:rPr>
                <w:sz w:val="20"/>
              </w:rPr>
              <w:t>w/I</w:t>
            </w:r>
            <w:r w:rsidRPr="00150EDC">
              <w:rPr>
                <w:spacing w:val="-5"/>
                <w:sz w:val="20"/>
              </w:rPr>
              <w:t xml:space="preserve"> </w:t>
            </w:r>
            <w:r w:rsidRPr="00150EDC">
              <w:rPr>
                <w:sz w:val="20"/>
              </w:rPr>
              <w:t>to</w:t>
            </w:r>
            <w:r w:rsidRPr="00150EDC">
              <w:rPr>
                <w:spacing w:val="-1"/>
                <w:sz w:val="20"/>
              </w:rPr>
              <w:t xml:space="preserve"> </w:t>
            </w:r>
            <w:r w:rsidRPr="00150EDC">
              <w:rPr>
                <w:spacing w:val="-5"/>
                <w:sz w:val="20"/>
              </w:rPr>
              <w:t>rob</w:t>
            </w:r>
          </w:p>
        </w:tc>
      </w:tr>
      <w:tr w:rsidR="004569EE" w:rsidRPr="007D3144" w14:paraId="38B1B1AE" w14:textId="77777777">
        <w:trPr>
          <w:trHeight w:val="510"/>
        </w:trPr>
        <w:tc>
          <w:tcPr>
            <w:tcW w:w="6517" w:type="dxa"/>
          </w:tcPr>
          <w:p w14:paraId="10C55C37" w14:textId="77777777" w:rsidR="004C7180" w:rsidRPr="00150EDC" w:rsidRDefault="004C7180">
            <w:pPr>
              <w:pStyle w:val="TableParagraph"/>
              <w:spacing w:before="6" w:line="240" w:lineRule="auto"/>
              <w:ind w:left="0"/>
              <w:rPr>
                <w:sz w:val="24"/>
              </w:rPr>
            </w:pPr>
          </w:p>
          <w:p w14:paraId="7E6F6A91" w14:textId="77777777" w:rsidR="004C7180" w:rsidRPr="00150EDC" w:rsidRDefault="00CF0754">
            <w:pPr>
              <w:pStyle w:val="TableParagraph"/>
              <w:spacing w:before="0"/>
              <w:rPr>
                <w:sz w:val="20"/>
              </w:rPr>
            </w:pPr>
            <w:r w:rsidRPr="00150EDC">
              <w:rPr>
                <w:sz w:val="20"/>
              </w:rPr>
              <w:t>Theft</w:t>
            </w:r>
            <w:r w:rsidRPr="00150EDC">
              <w:rPr>
                <w:spacing w:val="-7"/>
                <w:sz w:val="20"/>
              </w:rPr>
              <w:t xml:space="preserve"> </w:t>
            </w:r>
            <w:r w:rsidRPr="00150EDC">
              <w:rPr>
                <w:sz w:val="20"/>
              </w:rPr>
              <w:t>Act</w:t>
            </w:r>
            <w:r w:rsidRPr="00150EDC">
              <w:rPr>
                <w:spacing w:val="-6"/>
                <w:sz w:val="20"/>
              </w:rPr>
              <w:t xml:space="preserve"> </w:t>
            </w:r>
            <w:r w:rsidRPr="00150EDC">
              <w:rPr>
                <w:sz w:val="20"/>
              </w:rPr>
              <w:t>1968,</w:t>
            </w:r>
            <w:r w:rsidRPr="00150EDC">
              <w:rPr>
                <w:spacing w:val="-7"/>
                <w:sz w:val="20"/>
              </w:rPr>
              <w:t xml:space="preserve"> </w:t>
            </w:r>
            <w:r w:rsidRPr="00150EDC">
              <w:rPr>
                <w:spacing w:val="-2"/>
                <w:sz w:val="20"/>
              </w:rPr>
              <w:t>s9(1)(a)</w:t>
            </w:r>
          </w:p>
        </w:tc>
        <w:tc>
          <w:tcPr>
            <w:tcW w:w="7427" w:type="dxa"/>
          </w:tcPr>
          <w:p w14:paraId="13582C8C" w14:textId="77777777" w:rsidR="004C7180" w:rsidRPr="00150EDC" w:rsidRDefault="00CF0754">
            <w:pPr>
              <w:pStyle w:val="TableParagraph"/>
              <w:spacing w:before="32" w:line="230" w:lineRule="atLeast"/>
              <w:ind w:right="186"/>
              <w:rPr>
                <w:sz w:val="20"/>
              </w:rPr>
            </w:pPr>
            <w:r w:rsidRPr="00150EDC">
              <w:rPr>
                <w:sz w:val="20"/>
              </w:rPr>
              <w:t>Burglary</w:t>
            </w:r>
            <w:r w:rsidRPr="00150EDC">
              <w:rPr>
                <w:spacing w:val="-5"/>
                <w:sz w:val="20"/>
              </w:rPr>
              <w:t xml:space="preserve"> </w:t>
            </w:r>
            <w:r w:rsidRPr="00150EDC">
              <w:rPr>
                <w:sz w:val="20"/>
              </w:rPr>
              <w:t>with</w:t>
            </w:r>
            <w:r w:rsidRPr="00150EDC">
              <w:rPr>
                <w:spacing w:val="-6"/>
                <w:sz w:val="20"/>
              </w:rPr>
              <w:t xml:space="preserve"> </w:t>
            </w:r>
            <w:r w:rsidRPr="00150EDC">
              <w:rPr>
                <w:sz w:val="20"/>
              </w:rPr>
              <w:t>intent</w:t>
            </w:r>
            <w:r w:rsidRPr="00150EDC">
              <w:rPr>
                <w:spacing w:val="-6"/>
                <w:sz w:val="20"/>
              </w:rPr>
              <w:t xml:space="preserve"> </w:t>
            </w:r>
            <w:r w:rsidRPr="00150EDC">
              <w:rPr>
                <w:sz w:val="20"/>
              </w:rPr>
              <w:t>to</w:t>
            </w:r>
            <w:r w:rsidRPr="00150EDC">
              <w:rPr>
                <w:spacing w:val="-6"/>
                <w:sz w:val="20"/>
              </w:rPr>
              <w:t xml:space="preserve"> </w:t>
            </w:r>
            <w:r w:rsidRPr="00150EDC">
              <w:rPr>
                <w:sz w:val="20"/>
              </w:rPr>
              <w:t>steal</w:t>
            </w:r>
            <w:r w:rsidRPr="00150EDC">
              <w:rPr>
                <w:spacing w:val="-1"/>
                <w:sz w:val="20"/>
              </w:rPr>
              <w:t xml:space="preserve"> </w:t>
            </w:r>
            <w:r w:rsidRPr="00150EDC">
              <w:rPr>
                <w:sz w:val="20"/>
              </w:rPr>
              <w:t>(victim</w:t>
            </w:r>
            <w:r w:rsidRPr="00150EDC">
              <w:rPr>
                <w:spacing w:val="-5"/>
                <w:sz w:val="20"/>
              </w:rPr>
              <w:t xml:space="preserve"> </w:t>
            </w:r>
            <w:r w:rsidRPr="00150EDC">
              <w:rPr>
                <w:sz w:val="20"/>
              </w:rPr>
              <w:t>under</w:t>
            </w:r>
            <w:r w:rsidRPr="00150EDC">
              <w:rPr>
                <w:spacing w:val="-2"/>
                <w:sz w:val="20"/>
              </w:rPr>
              <w:t xml:space="preserve"> </w:t>
            </w:r>
            <w:r w:rsidRPr="00150EDC">
              <w:rPr>
                <w:sz w:val="20"/>
              </w:rPr>
              <w:t>16),</w:t>
            </w:r>
            <w:r w:rsidRPr="00150EDC">
              <w:rPr>
                <w:spacing w:val="-6"/>
                <w:sz w:val="20"/>
              </w:rPr>
              <w:t xml:space="preserve"> </w:t>
            </w:r>
            <w:r w:rsidRPr="00150EDC">
              <w:rPr>
                <w:sz w:val="20"/>
              </w:rPr>
              <w:t>commit</w:t>
            </w:r>
            <w:r w:rsidRPr="00150EDC">
              <w:rPr>
                <w:spacing w:val="-1"/>
                <w:sz w:val="20"/>
              </w:rPr>
              <w:t xml:space="preserve"> </w:t>
            </w:r>
            <w:r w:rsidRPr="00150EDC">
              <w:rPr>
                <w:sz w:val="20"/>
              </w:rPr>
              <w:t>rape</w:t>
            </w:r>
            <w:r w:rsidRPr="00150EDC">
              <w:rPr>
                <w:spacing w:val="-6"/>
                <w:sz w:val="20"/>
              </w:rPr>
              <w:t xml:space="preserve"> </w:t>
            </w:r>
            <w:r w:rsidRPr="00150EDC">
              <w:rPr>
                <w:sz w:val="20"/>
              </w:rPr>
              <w:t>or</w:t>
            </w:r>
            <w:r w:rsidRPr="00150EDC">
              <w:rPr>
                <w:spacing w:val="-6"/>
                <w:sz w:val="20"/>
              </w:rPr>
              <w:t xml:space="preserve"> </w:t>
            </w:r>
            <w:r w:rsidRPr="00150EDC">
              <w:rPr>
                <w:sz w:val="20"/>
              </w:rPr>
              <w:t>grievous</w:t>
            </w:r>
            <w:r w:rsidRPr="00150EDC">
              <w:rPr>
                <w:spacing w:val="-1"/>
                <w:sz w:val="20"/>
              </w:rPr>
              <w:t xml:space="preserve"> </w:t>
            </w:r>
            <w:r w:rsidRPr="00150EDC">
              <w:rPr>
                <w:sz w:val="20"/>
              </w:rPr>
              <w:t>bodily harm, or do unlawful damage to a building or anything in it</w:t>
            </w:r>
          </w:p>
        </w:tc>
      </w:tr>
      <w:tr w:rsidR="004569EE" w:rsidRPr="007D3144" w14:paraId="6ED17326" w14:textId="77777777">
        <w:trPr>
          <w:trHeight w:val="255"/>
        </w:trPr>
        <w:tc>
          <w:tcPr>
            <w:tcW w:w="6517" w:type="dxa"/>
          </w:tcPr>
          <w:p w14:paraId="13FA2A3E" w14:textId="77777777" w:rsidR="004C7180" w:rsidRPr="00150EDC" w:rsidRDefault="00CF0754">
            <w:pPr>
              <w:pStyle w:val="TableParagraph"/>
              <w:rPr>
                <w:sz w:val="20"/>
              </w:rPr>
            </w:pPr>
            <w:r w:rsidRPr="00150EDC">
              <w:rPr>
                <w:sz w:val="20"/>
              </w:rPr>
              <w:t>Theft</w:t>
            </w:r>
            <w:r w:rsidRPr="00150EDC">
              <w:rPr>
                <w:spacing w:val="-7"/>
                <w:sz w:val="20"/>
              </w:rPr>
              <w:t xml:space="preserve"> </w:t>
            </w:r>
            <w:r w:rsidRPr="00150EDC">
              <w:rPr>
                <w:sz w:val="20"/>
              </w:rPr>
              <w:t>Act</w:t>
            </w:r>
            <w:r w:rsidRPr="00150EDC">
              <w:rPr>
                <w:spacing w:val="-6"/>
                <w:sz w:val="20"/>
              </w:rPr>
              <w:t xml:space="preserve"> </w:t>
            </w:r>
            <w:r w:rsidRPr="00150EDC">
              <w:rPr>
                <w:sz w:val="20"/>
              </w:rPr>
              <w:t>1968,</w:t>
            </w:r>
            <w:r w:rsidRPr="00150EDC">
              <w:rPr>
                <w:spacing w:val="-7"/>
                <w:sz w:val="20"/>
              </w:rPr>
              <w:t xml:space="preserve"> </w:t>
            </w:r>
            <w:r w:rsidRPr="00150EDC">
              <w:rPr>
                <w:spacing w:val="-2"/>
                <w:sz w:val="20"/>
              </w:rPr>
              <w:t>s9(1)(b)</w:t>
            </w:r>
          </w:p>
        </w:tc>
        <w:tc>
          <w:tcPr>
            <w:tcW w:w="7427" w:type="dxa"/>
          </w:tcPr>
          <w:p w14:paraId="7F3351AE" w14:textId="77777777" w:rsidR="004C7180" w:rsidRPr="00150EDC" w:rsidRDefault="00CF0754">
            <w:pPr>
              <w:pStyle w:val="TableParagraph"/>
              <w:rPr>
                <w:sz w:val="20"/>
              </w:rPr>
            </w:pPr>
            <w:r w:rsidRPr="00150EDC">
              <w:rPr>
                <w:sz w:val="20"/>
              </w:rPr>
              <w:t>Burglary</w:t>
            </w:r>
            <w:r w:rsidRPr="00150EDC">
              <w:rPr>
                <w:spacing w:val="-6"/>
                <w:sz w:val="20"/>
              </w:rPr>
              <w:t xml:space="preserve"> </w:t>
            </w:r>
            <w:r w:rsidRPr="00150EDC">
              <w:rPr>
                <w:sz w:val="20"/>
              </w:rPr>
              <w:t>inflicting</w:t>
            </w:r>
            <w:r w:rsidRPr="00150EDC">
              <w:rPr>
                <w:spacing w:val="-7"/>
                <w:sz w:val="20"/>
              </w:rPr>
              <w:t xml:space="preserve"> </w:t>
            </w:r>
            <w:r w:rsidRPr="00150EDC">
              <w:rPr>
                <w:sz w:val="20"/>
              </w:rPr>
              <w:t>or</w:t>
            </w:r>
            <w:r w:rsidRPr="00150EDC">
              <w:rPr>
                <w:spacing w:val="-3"/>
                <w:sz w:val="20"/>
              </w:rPr>
              <w:t xml:space="preserve"> </w:t>
            </w:r>
            <w:r w:rsidRPr="00150EDC">
              <w:rPr>
                <w:sz w:val="20"/>
              </w:rPr>
              <w:t>attempting</w:t>
            </w:r>
            <w:r w:rsidRPr="00150EDC">
              <w:rPr>
                <w:spacing w:val="-6"/>
                <w:sz w:val="20"/>
              </w:rPr>
              <w:t xml:space="preserve"> </w:t>
            </w:r>
            <w:r w:rsidRPr="00150EDC">
              <w:rPr>
                <w:sz w:val="20"/>
              </w:rPr>
              <w:t>to</w:t>
            </w:r>
            <w:r w:rsidRPr="00150EDC">
              <w:rPr>
                <w:spacing w:val="-7"/>
                <w:sz w:val="20"/>
              </w:rPr>
              <w:t xml:space="preserve"> </w:t>
            </w:r>
            <w:r w:rsidRPr="00150EDC">
              <w:rPr>
                <w:sz w:val="20"/>
              </w:rPr>
              <w:t>inflict</w:t>
            </w:r>
            <w:r w:rsidRPr="00150EDC">
              <w:rPr>
                <w:spacing w:val="-6"/>
                <w:sz w:val="20"/>
              </w:rPr>
              <w:t xml:space="preserve"> </w:t>
            </w:r>
            <w:r w:rsidRPr="00150EDC">
              <w:rPr>
                <w:sz w:val="20"/>
              </w:rPr>
              <w:t>grievous</w:t>
            </w:r>
            <w:r w:rsidRPr="00150EDC">
              <w:rPr>
                <w:spacing w:val="-1"/>
                <w:sz w:val="20"/>
              </w:rPr>
              <w:t xml:space="preserve"> </w:t>
            </w:r>
            <w:r w:rsidRPr="00150EDC">
              <w:rPr>
                <w:sz w:val="20"/>
              </w:rPr>
              <w:t>bodily</w:t>
            </w:r>
            <w:r w:rsidRPr="00150EDC">
              <w:rPr>
                <w:spacing w:val="-5"/>
                <w:sz w:val="20"/>
              </w:rPr>
              <w:t xml:space="preserve"> </w:t>
            </w:r>
            <w:r w:rsidRPr="00150EDC">
              <w:rPr>
                <w:spacing w:val="-4"/>
                <w:sz w:val="20"/>
              </w:rPr>
              <w:t>harm</w:t>
            </w:r>
          </w:p>
        </w:tc>
      </w:tr>
      <w:tr w:rsidR="004569EE" w:rsidRPr="007D3144" w14:paraId="10C1CD83" w14:textId="77777777">
        <w:trPr>
          <w:trHeight w:val="255"/>
        </w:trPr>
        <w:tc>
          <w:tcPr>
            <w:tcW w:w="6517" w:type="dxa"/>
          </w:tcPr>
          <w:p w14:paraId="743B6B38" w14:textId="77777777" w:rsidR="004C7180" w:rsidRPr="00150EDC" w:rsidRDefault="00CF0754">
            <w:pPr>
              <w:pStyle w:val="TableParagraph"/>
              <w:spacing w:before="28"/>
              <w:rPr>
                <w:sz w:val="20"/>
              </w:rPr>
            </w:pPr>
            <w:r w:rsidRPr="00150EDC">
              <w:rPr>
                <w:sz w:val="20"/>
              </w:rPr>
              <w:t>Theft</w:t>
            </w:r>
            <w:r w:rsidRPr="00150EDC">
              <w:rPr>
                <w:spacing w:val="-7"/>
                <w:sz w:val="20"/>
              </w:rPr>
              <w:t xml:space="preserve"> </w:t>
            </w:r>
            <w:r w:rsidRPr="00150EDC">
              <w:rPr>
                <w:sz w:val="20"/>
              </w:rPr>
              <w:t>Act</w:t>
            </w:r>
            <w:r w:rsidRPr="00150EDC">
              <w:rPr>
                <w:spacing w:val="-6"/>
                <w:sz w:val="20"/>
              </w:rPr>
              <w:t xml:space="preserve"> </w:t>
            </w:r>
            <w:r w:rsidRPr="00150EDC">
              <w:rPr>
                <w:sz w:val="20"/>
              </w:rPr>
              <w:t>1981,</w:t>
            </w:r>
            <w:r w:rsidRPr="00150EDC">
              <w:rPr>
                <w:spacing w:val="-7"/>
                <w:sz w:val="20"/>
              </w:rPr>
              <w:t xml:space="preserve"> </w:t>
            </w:r>
            <w:r w:rsidRPr="00150EDC">
              <w:rPr>
                <w:spacing w:val="-5"/>
                <w:sz w:val="20"/>
              </w:rPr>
              <w:t>s10</w:t>
            </w:r>
          </w:p>
        </w:tc>
        <w:tc>
          <w:tcPr>
            <w:tcW w:w="7427" w:type="dxa"/>
          </w:tcPr>
          <w:p w14:paraId="268D2B45" w14:textId="77777777" w:rsidR="004C7180" w:rsidRPr="00150EDC" w:rsidRDefault="00CF0754">
            <w:pPr>
              <w:pStyle w:val="TableParagraph"/>
              <w:spacing w:before="28"/>
              <w:rPr>
                <w:sz w:val="20"/>
              </w:rPr>
            </w:pPr>
            <w:r w:rsidRPr="00150EDC">
              <w:rPr>
                <w:sz w:val="20"/>
              </w:rPr>
              <w:t>Aggravated</w:t>
            </w:r>
            <w:r w:rsidRPr="00150EDC">
              <w:rPr>
                <w:spacing w:val="-11"/>
                <w:sz w:val="20"/>
              </w:rPr>
              <w:t xml:space="preserve"> </w:t>
            </w:r>
            <w:r w:rsidRPr="00150EDC">
              <w:rPr>
                <w:spacing w:val="-2"/>
                <w:sz w:val="20"/>
              </w:rPr>
              <w:t>burglary</w:t>
            </w:r>
          </w:p>
        </w:tc>
      </w:tr>
      <w:tr w:rsidR="004569EE" w:rsidRPr="007D3144" w14:paraId="671184B7" w14:textId="77777777">
        <w:trPr>
          <w:trHeight w:val="255"/>
        </w:trPr>
        <w:tc>
          <w:tcPr>
            <w:tcW w:w="6517" w:type="dxa"/>
          </w:tcPr>
          <w:p w14:paraId="75F5CD17" w14:textId="77777777" w:rsidR="004C7180" w:rsidRPr="00150EDC" w:rsidRDefault="00CF0754">
            <w:pPr>
              <w:pStyle w:val="TableParagraph"/>
              <w:rPr>
                <w:sz w:val="20"/>
              </w:rPr>
            </w:pPr>
            <w:r w:rsidRPr="00150EDC">
              <w:rPr>
                <w:sz w:val="20"/>
              </w:rPr>
              <w:t>Theft</w:t>
            </w:r>
            <w:r w:rsidRPr="00150EDC">
              <w:rPr>
                <w:spacing w:val="-7"/>
                <w:sz w:val="20"/>
              </w:rPr>
              <w:t xml:space="preserve"> </w:t>
            </w:r>
            <w:r w:rsidRPr="00150EDC">
              <w:rPr>
                <w:sz w:val="20"/>
              </w:rPr>
              <w:t>Act</w:t>
            </w:r>
            <w:r w:rsidRPr="00150EDC">
              <w:rPr>
                <w:spacing w:val="-6"/>
                <w:sz w:val="20"/>
              </w:rPr>
              <w:t xml:space="preserve"> </w:t>
            </w:r>
            <w:r w:rsidRPr="00150EDC">
              <w:rPr>
                <w:sz w:val="20"/>
              </w:rPr>
              <w:t>1981,</w:t>
            </w:r>
            <w:r w:rsidRPr="00150EDC">
              <w:rPr>
                <w:spacing w:val="-7"/>
                <w:sz w:val="20"/>
              </w:rPr>
              <w:t xml:space="preserve"> </w:t>
            </w:r>
            <w:r w:rsidRPr="00150EDC">
              <w:rPr>
                <w:spacing w:val="-5"/>
                <w:sz w:val="20"/>
              </w:rPr>
              <w:t>s8</w:t>
            </w:r>
          </w:p>
        </w:tc>
        <w:tc>
          <w:tcPr>
            <w:tcW w:w="7427" w:type="dxa"/>
          </w:tcPr>
          <w:p w14:paraId="71C9D587" w14:textId="77777777" w:rsidR="004C7180" w:rsidRPr="00150EDC" w:rsidRDefault="00CF0754">
            <w:pPr>
              <w:pStyle w:val="TableParagraph"/>
              <w:rPr>
                <w:sz w:val="20"/>
              </w:rPr>
            </w:pPr>
            <w:r w:rsidRPr="00150EDC">
              <w:rPr>
                <w:spacing w:val="-2"/>
                <w:sz w:val="20"/>
              </w:rPr>
              <w:t>Robbery</w:t>
            </w:r>
          </w:p>
        </w:tc>
      </w:tr>
      <w:tr w:rsidR="004569EE" w:rsidRPr="007D3144" w14:paraId="4CF65D78" w14:textId="77777777">
        <w:trPr>
          <w:trHeight w:val="510"/>
        </w:trPr>
        <w:tc>
          <w:tcPr>
            <w:tcW w:w="6517" w:type="dxa"/>
          </w:tcPr>
          <w:p w14:paraId="261D573E" w14:textId="77777777" w:rsidR="004C7180" w:rsidRPr="00150EDC" w:rsidRDefault="004C7180">
            <w:pPr>
              <w:pStyle w:val="TableParagraph"/>
              <w:spacing w:before="6" w:line="240" w:lineRule="auto"/>
              <w:ind w:left="0"/>
              <w:rPr>
                <w:sz w:val="24"/>
              </w:rPr>
            </w:pPr>
          </w:p>
          <w:p w14:paraId="4EA8BB8A" w14:textId="77777777" w:rsidR="004C7180" w:rsidRPr="00150EDC" w:rsidRDefault="00CF0754">
            <w:pPr>
              <w:pStyle w:val="TableParagraph"/>
              <w:spacing w:before="0"/>
              <w:rPr>
                <w:sz w:val="20"/>
              </w:rPr>
            </w:pPr>
            <w:r w:rsidRPr="00150EDC">
              <w:rPr>
                <w:sz w:val="20"/>
              </w:rPr>
              <w:t>Theft</w:t>
            </w:r>
            <w:r w:rsidRPr="00150EDC">
              <w:rPr>
                <w:spacing w:val="-7"/>
                <w:sz w:val="20"/>
              </w:rPr>
              <w:t xml:space="preserve"> </w:t>
            </w:r>
            <w:r w:rsidRPr="00150EDC">
              <w:rPr>
                <w:sz w:val="20"/>
              </w:rPr>
              <w:t>Act</w:t>
            </w:r>
            <w:r w:rsidRPr="00150EDC">
              <w:rPr>
                <w:spacing w:val="-6"/>
                <w:sz w:val="20"/>
              </w:rPr>
              <w:t xml:space="preserve"> </w:t>
            </w:r>
            <w:r w:rsidRPr="00150EDC">
              <w:rPr>
                <w:sz w:val="20"/>
              </w:rPr>
              <w:t>1981,</w:t>
            </w:r>
            <w:r w:rsidRPr="00150EDC">
              <w:rPr>
                <w:spacing w:val="-7"/>
                <w:sz w:val="20"/>
              </w:rPr>
              <w:t xml:space="preserve"> </w:t>
            </w:r>
            <w:r w:rsidRPr="00150EDC">
              <w:rPr>
                <w:spacing w:val="-2"/>
                <w:sz w:val="20"/>
              </w:rPr>
              <w:t>s9(1)(a)</w:t>
            </w:r>
          </w:p>
        </w:tc>
        <w:tc>
          <w:tcPr>
            <w:tcW w:w="7427" w:type="dxa"/>
          </w:tcPr>
          <w:p w14:paraId="3A2F8B0E" w14:textId="77777777" w:rsidR="004C7180" w:rsidRPr="00150EDC" w:rsidRDefault="00CF0754">
            <w:pPr>
              <w:pStyle w:val="TableParagraph"/>
              <w:spacing w:before="32" w:line="230" w:lineRule="atLeast"/>
              <w:ind w:right="186"/>
              <w:rPr>
                <w:sz w:val="20"/>
              </w:rPr>
            </w:pPr>
            <w:r w:rsidRPr="00150EDC">
              <w:rPr>
                <w:sz w:val="20"/>
              </w:rPr>
              <w:t>Burglary</w:t>
            </w:r>
            <w:r w:rsidRPr="00150EDC">
              <w:rPr>
                <w:spacing w:val="-5"/>
                <w:sz w:val="20"/>
              </w:rPr>
              <w:t xml:space="preserve"> </w:t>
            </w:r>
            <w:r w:rsidRPr="00150EDC">
              <w:rPr>
                <w:sz w:val="20"/>
              </w:rPr>
              <w:t>with</w:t>
            </w:r>
            <w:r w:rsidRPr="00150EDC">
              <w:rPr>
                <w:spacing w:val="-6"/>
                <w:sz w:val="20"/>
              </w:rPr>
              <w:t xml:space="preserve"> </w:t>
            </w:r>
            <w:r w:rsidRPr="00150EDC">
              <w:rPr>
                <w:sz w:val="20"/>
              </w:rPr>
              <w:t>intent</w:t>
            </w:r>
            <w:r w:rsidRPr="00150EDC">
              <w:rPr>
                <w:spacing w:val="-6"/>
                <w:sz w:val="20"/>
              </w:rPr>
              <w:t xml:space="preserve"> </w:t>
            </w:r>
            <w:r w:rsidRPr="00150EDC">
              <w:rPr>
                <w:sz w:val="20"/>
              </w:rPr>
              <w:t>to</w:t>
            </w:r>
            <w:r w:rsidRPr="00150EDC">
              <w:rPr>
                <w:spacing w:val="-6"/>
                <w:sz w:val="20"/>
              </w:rPr>
              <w:t xml:space="preserve"> </w:t>
            </w:r>
            <w:r w:rsidRPr="00150EDC">
              <w:rPr>
                <w:sz w:val="20"/>
              </w:rPr>
              <w:t>steal</w:t>
            </w:r>
            <w:r w:rsidRPr="00150EDC">
              <w:rPr>
                <w:spacing w:val="-1"/>
                <w:sz w:val="20"/>
              </w:rPr>
              <w:t xml:space="preserve"> </w:t>
            </w:r>
            <w:r w:rsidRPr="00150EDC">
              <w:rPr>
                <w:sz w:val="20"/>
              </w:rPr>
              <w:t>(victim</w:t>
            </w:r>
            <w:r w:rsidRPr="00150EDC">
              <w:rPr>
                <w:spacing w:val="-5"/>
                <w:sz w:val="20"/>
              </w:rPr>
              <w:t xml:space="preserve"> </w:t>
            </w:r>
            <w:r w:rsidRPr="00150EDC">
              <w:rPr>
                <w:sz w:val="20"/>
              </w:rPr>
              <w:t>under</w:t>
            </w:r>
            <w:r w:rsidRPr="00150EDC">
              <w:rPr>
                <w:spacing w:val="-2"/>
                <w:sz w:val="20"/>
              </w:rPr>
              <w:t xml:space="preserve"> </w:t>
            </w:r>
            <w:r w:rsidRPr="00150EDC">
              <w:rPr>
                <w:sz w:val="20"/>
              </w:rPr>
              <w:t>16),</w:t>
            </w:r>
            <w:r w:rsidRPr="00150EDC">
              <w:rPr>
                <w:spacing w:val="-6"/>
                <w:sz w:val="20"/>
              </w:rPr>
              <w:t xml:space="preserve"> </w:t>
            </w:r>
            <w:r w:rsidRPr="00150EDC">
              <w:rPr>
                <w:sz w:val="20"/>
              </w:rPr>
              <w:t>commit</w:t>
            </w:r>
            <w:r w:rsidRPr="00150EDC">
              <w:rPr>
                <w:spacing w:val="-1"/>
                <w:sz w:val="20"/>
              </w:rPr>
              <w:t xml:space="preserve"> </w:t>
            </w:r>
            <w:r w:rsidRPr="00150EDC">
              <w:rPr>
                <w:sz w:val="20"/>
              </w:rPr>
              <w:t>rape</w:t>
            </w:r>
            <w:r w:rsidRPr="00150EDC">
              <w:rPr>
                <w:spacing w:val="-6"/>
                <w:sz w:val="20"/>
              </w:rPr>
              <w:t xml:space="preserve"> </w:t>
            </w:r>
            <w:r w:rsidRPr="00150EDC">
              <w:rPr>
                <w:sz w:val="20"/>
              </w:rPr>
              <w:t>or</w:t>
            </w:r>
            <w:r w:rsidRPr="00150EDC">
              <w:rPr>
                <w:spacing w:val="-6"/>
                <w:sz w:val="20"/>
              </w:rPr>
              <w:t xml:space="preserve"> </w:t>
            </w:r>
            <w:r w:rsidRPr="00150EDC">
              <w:rPr>
                <w:sz w:val="20"/>
              </w:rPr>
              <w:t>grievous</w:t>
            </w:r>
            <w:r w:rsidRPr="00150EDC">
              <w:rPr>
                <w:spacing w:val="-1"/>
                <w:sz w:val="20"/>
              </w:rPr>
              <w:t xml:space="preserve"> </w:t>
            </w:r>
            <w:r w:rsidRPr="00150EDC">
              <w:rPr>
                <w:sz w:val="20"/>
              </w:rPr>
              <w:t>bodily harm, or do unlawful damage to a building or anything in it</w:t>
            </w:r>
          </w:p>
        </w:tc>
      </w:tr>
      <w:tr w:rsidR="004569EE" w:rsidRPr="007D3144" w14:paraId="5DF415DF" w14:textId="77777777">
        <w:trPr>
          <w:trHeight w:val="255"/>
        </w:trPr>
        <w:tc>
          <w:tcPr>
            <w:tcW w:w="6517" w:type="dxa"/>
          </w:tcPr>
          <w:p w14:paraId="226CA614" w14:textId="77777777" w:rsidR="004C7180" w:rsidRPr="00150EDC" w:rsidRDefault="00CF0754">
            <w:pPr>
              <w:pStyle w:val="TableParagraph"/>
              <w:spacing w:before="28"/>
              <w:rPr>
                <w:sz w:val="20"/>
              </w:rPr>
            </w:pPr>
            <w:r w:rsidRPr="00150EDC">
              <w:rPr>
                <w:sz w:val="20"/>
              </w:rPr>
              <w:t>Theft</w:t>
            </w:r>
            <w:r w:rsidRPr="00150EDC">
              <w:rPr>
                <w:spacing w:val="-7"/>
                <w:sz w:val="20"/>
              </w:rPr>
              <w:t xml:space="preserve"> </w:t>
            </w:r>
            <w:r w:rsidRPr="00150EDC">
              <w:rPr>
                <w:sz w:val="20"/>
              </w:rPr>
              <w:t>Act</w:t>
            </w:r>
            <w:r w:rsidRPr="00150EDC">
              <w:rPr>
                <w:spacing w:val="-6"/>
                <w:sz w:val="20"/>
              </w:rPr>
              <w:t xml:space="preserve"> </w:t>
            </w:r>
            <w:r w:rsidRPr="00150EDC">
              <w:rPr>
                <w:sz w:val="20"/>
              </w:rPr>
              <w:t>1981,</w:t>
            </w:r>
            <w:r w:rsidRPr="00150EDC">
              <w:rPr>
                <w:spacing w:val="-7"/>
                <w:sz w:val="20"/>
              </w:rPr>
              <w:t xml:space="preserve"> </w:t>
            </w:r>
            <w:r w:rsidRPr="00150EDC">
              <w:rPr>
                <w:spacing w:val="-2"/>
                <w:sz w:val="20"/>
              </w:rPr>
              <w:t>s9(1)(b)</w:t>
            </w:r>
          </w:p>
        </w:tc>
        <w:tc>
          <w:tcPr>
            <w:tcW w:w="7427" w:type="dxa"/>
          </w:tcPr>
          <w:p w14:paraId="3D2C0CCE" w14:textId="77777777" w:rsidR="004C7180" w:rsidRPr="00150EDC" w:rsidRDefault="00CF0754">
            <w:pPr>
              <w:pStyle w:val="TableParagraph"/>
              <w:spacing w:before="28"/>
              <w:rPr>
                <w:sz w:val="20"/>
              </w:rPr>
            </w:pPr>
            <w:r w:rsidRPr="00150EDC">
              <w:rPr>
                <w:sz w:val="20"/>
              </w:rPr>
              <w:t>Burglary</w:t>
            </w:r>
            <w:r w:rsidRPr="00150EDC">
              <w:rPr>
                <w:spacing w:val="-6"/>
                <w:sz w:val="20"/>
              </w:rPr>
              <w:t xml:space="preserve"> </w:t>
            </w:r>
            <w:r w:rsidRPr="00150EDC">
              <w:rPr>
                <w:sz w:val="20"/>
              </w:rPr>
              <w:t>inflicting</w:t>
            </w:r>
            <w:r w:rsidRPr="00150EDC">
              <w:rPr>
                <w:spacing w:val="-7"/>
                <w:sz w:val="20"/>
              </w:rPr>
              <w:t xml:space="preserve"> </w:t>
            </w:r>
            <w:r w:rsidRPr="00150EDC">
              <w:rPr>
                <w:sz w:val="20"/>
              </w:rPr>
              <w:t>or</w:t>
            </w:r>
            <w:r w:rsidRPr="00150EDC">
              <w:rPr>
                <w:spacing w:val="-3"/>
                <w:sz w:val="20"/>
              </w:rPr>
              <w:t xml:space="preserve"> </w:t>
            </w:r>
            <w:r w:rsidRPr="00150EDC">
              <w:rPr>
                <w:sz w:val="20"/>
              </w:rPr>
              <w:t>attempting</w:t>
            </w:r>
            <w:r w:rsidRPr="00150EDC">
              <w:rPr>
                <w:spacing w:val="-6"/>
                <w:sz w:val="20"/>
              </w:rPr>
              <w:t xml:space="preserve"> </w:t>
            </w:r>
            <w:r w:rsidRPr="00150EDC">
              <w:rPr>
                <w:sz w:val="20"/>
              </w:rPr>
              <w:t>to</w:t>
            </w:r>
            <w:r w:rsidRPr="00150EDC">
              <w:rPr>
                <w:spacing w:val="-7"/>
                <w:sz w:val="20"/>
              </w:rPr>
              <w:t xml:space="preserve"> </w:t>
            </w:r>
            <w:r w:rsidRPr="00150EDC">
              <w:rPr>
                <w:sz w:val="20"/>
              </w:rPr>
              <w:t>inflict</w:t>
            </w:r>
            <w:r w:rsidRPr="00150EDC">
              <w:rPr>
                <w:spacing w:val="-6"/>
                <w:sz w:val="20"/>
              </w:rPr>
              <w:t xml:space="preserve"> </w:t>
            </w:r>
            <w:r w:rsidRPr="00150EDC">
              <w:rPr>
                <w:sz w:val="20"/>
              </w:rPr>
              <w:t>grievous</w:t>
            </w:r>
            <w:r w:rsidRPr="00150EDC">
              <w:rPr>
                <w:spacing w:val="-1"/>
                <w:sz w:val="20"/>
              </w:rPr>
              <w:t xml:space="preserve"> </w:t>
            </w:r>
            <w:r w:rsidRPr="00150EDC">
              <w:rPr>
                <w:sz w:val="20"/>
              </w:rPr>
              <w:t>bodily</w:t>
            </w:r>
            <w:r w:rsidRPr="00150EDC">
              <w:rPr>
                <w:spacing w:val="-5"/>
                <w:sz w:val="20"/>
              </w:rPr>
              <w:t xml:space="preserve"> </w:t>
            </w:r>
            <w:r w:rsidRPr="00150EDC">
              <w:rPr>
                <w:spacing w:val="-4"/>
                <w:sz w:val="20"/>
              </w:rPr>
              <w:t>harm</w:t>
            </w:r>
          </w:p>
        </w:tc>
      </w:tr>
      <w:tr w:rsidR="004569EE" w:rsidRPr="007D3144" w14:paraId="3774CE4D" w14:textId="77777777">
        <w:trPr>
          <w:trHeight w:val="255"/>
        </w:trPr>
        <w:tc>
          <w:tcPr>
            <w:tcW w:w="6517" w:type="dxa"/>
          </w:tcPr>
          <w:p w14:paraId="77F80072" w14:textId="77777777" w:rsidR="004C7180" w:rsidRPr="00150EDC" w:rsidRDefault="00CF0754">
            <w:pPr>
              <w:pStyle w:val="TableParagraph"/>
              <w:rPr>
                <w:sz w:val="20"/>
              </w:rPr>
            </w:pPr>
            <w:r w:rsidRPr="00150EDC">
              <w:rPr>
                <w:sz w:val="20"/>
              </w:rPr>
              <w:t>Town</w:t>
            </w:r>
            <w:r w:rsidRPr="00150EDC">
              <w:rPr>
                <w:spacing w:val="-8"/>
                <w:sz w:val="20"/>
              </w:rPr>
              <w:t xml:space="preserve"> </w:t>
            </w:r>
            <w:r w:rsidRPr="00150EDC">
              <w:rPr>
                <w:sz w:val="20"/>
              </w:rPr>
              <w:t>Police</w:t>
            </w:r>
            <w:r w:rsidRPr="00150EDC">
              <w:rPr>
                <w:spacing w:val="-7"/>
                <w:sz w:val="20"/>
              </w:rPr>
              <w:t xml:space="preserve"> </w:t>
            </w:r>
            <w:r w:rsidRPr="00150EDC">
              <w:rPr>
                <w:sz w:val="20"/>
              </w:rPr>
              <w:t>Clauses</w:t>
            </w:r>
            <w:r w:rsidRPr="00150EDC">
              <w:rPr>
                <w:spacing w:val="-1"/>
                <w:sz w:val="20"/>
              </w:rPr>
              <w:t xml:space="preserve"> </w:t>
            </w:r>
            <w:r w:rsidRPr="00150EDC">
              <w:rPr>
                <w:sz w:val="20"/>
              </w:rPr>
              <w:t>Act</w:t>
            </w:r>
            <w:r w:rsidRPr="00150EDC">
              <w:rPr>
                <w:spacing w:val="-7"/>
                <w:sz w:val="20"/>
              </w:rPr>
              <w:t xml:space="preserve"> </w:t>
            </w:r>
            <w:r w:rsidRPr="00150EDC">
              <w:rPr>
                <w:sz w:val="20"/>
              </w:rPr>
              <w:t>1847,</w:t>
            </w:r>
            <w:r w:rsidRPr="00150EDC">
              <w:rPr>
                <w:spacing w:val="-7"/>
                <w:sz w:val="20"/>
              </w:rPr>
              <w:t xml:space="preserve"> </w:t>
            </w:r>
            <w:r w:rsidRPr="00150EDC">
              <w:rPr>
                <w:spacing w:val="-5"/>
                <w:sz w:val="20"/>
              </w:rPr>
              <w:t>s28</w:t>
            </w:r>
          </w:p>
        </w:tc>
        <w:tc>
          <w:tcPr>
            <w:tcW w:w="7427" w:type="dxa"/>
          </w:tcPr>
          <w:p w14:paraId="00361FF6" w14:textId="77777777" w:rsidR="004C7180" w:rsidRPr="00150EDC" w:rsidRDefault="00CF0754">
            <w:pPr>
              <w:pStyle w:val="TableParagraph"/>
              <w:rPr>
                <w:sz w:val="20"/>
              </w:rPr>
            </w:pPr>
            <w:r w:rsidRPr="00150EDC">
              <w:rPr>
                <w:sz w:val="20"/>
              </w:rPr>
              <w:t>Indecent</w:t>
            </w:r>
            <w:r w:rsidRPr="00150EDC">
              <w:rPr>
                <w:spacing w:val="-1"/>
                <w:sz w:val="20"/>
              </w:rPr>
              <w:t xml:space="preserve"> </w:t>
            </w:r>
            <w:r w:rsidRPr="00150EDC">
              <w:rPr>
                <w:sz w:val="20"/>
              </w:rPr>
              <w:t>exposure</w:t>
            </w:r>
            <w:r w:rsidRPr="00150EDC">
              <w:rPr>
                <w:spacing w:val="-5"/>
                <w:sz w:val="20"/>
              </w:rPr>
              <w:t xml:space="preserve"> </w:t>
            </w:r>
            <w:r w:rsidRPr="00150EDC">
              <w:rPr>
                <w:sz w:val="20"/>
              </w:rPr>
              <w:t>or</w:t>
            </w:r>
            <w:r w:rsidRPr="00150EDC">
              <w:rPr>
                <w:spacing w:val="-6"/>
                <w:sz w:val="20"/>
              </w:rPr>
              <w:t xml:space="preserve"> </w:t>
            </w:r>
            <w:r w:rsidRPr="00150EDC">
              <w:rPr>
                <w:sz w:val="20"/>
              </w:rPr>
              <w:t>loitering</w:t>
            </w:r>
            <w:r w:rsidRPr="00150EDC">
              <w:rPr>
                <w:spacing w:val="-6"/>
                <w:sz w:val="20"/>
              </w:rPr>
              <w:t xml:space="preserve"> </w:t>
            </w:r>
            <w:r w:rsidRPr="00150EDC">
              <w:rPr>
                <w:sz w:val="20"/>
              </w:rPr>
              <w:t>for</w:t>
            </w:r>
            <w:r w:rsidRPr="00150EDC">
              <w:rPr>
                <w:spacing w:val="-6"/>
                <w:sz w:val="20"/>
              </w:rPr>
              <w:t xml:space="preserve"> </w:t>
            </w:r>
            <w:r w:rsidRPr="00150EDC">
              <w:rPr>
                <w:sz w:val="20"/>
              </w:rPr>
              <w:t>the</w:t>
            </w:r>
            <w:r w:rsidRPr="00150EDC">
              <w:rPr>
                <w:spacing w:val="-6"/>
                <w:sz w:val="20"/>
              </w:rPr>
              <w:t xml:space="preserve"> </w:t>
            </w:r>
            <w:r w:rsidRPr="00150EDC">
              <w:rPr>
                <w:sz w:val="20"/>
              </w:rPr>
              <w:t>purposes of</w:t>
            </w:r>
            <w:r w:rsidRPr="00150EDC">
              <w:rPr>
                <w:spacing w:val="-5"/>
                <w:sz w:val="20"/>
              </w:rPr>
              <w:t xml:space="preserve"> </w:t>
            </w:r>
            <w:r w:rsidRPr="00150EDC">
              <w:rPr>
                <w:spacing w:val="-2"/>
                <w:sz w:val="20"/>
              </w:rPr>
              <w:t>prostitution</w:t>
            </w:r>
          </w:p>
        </w:tc>
      </w:tr>
      <w:tr w:rsidR="004569EE" w:rsidRPr="007D3144" w14:paraId="7A16D6FB" w14:textId="77777777">
        <w:trPr>
          <w:trHeight w:val="255"/>
        </w:trPr>
        <w:tc>
          <w:tcPr>
            <w:tcW w:w="6517" w:type="dxa"/>
          </w:tcPr>
          <w:p w14:paraId="171B20B7" w14:textId="77777777" w:rsidR="004C7180" w:rsidRPr="00150EDC" w:rsidRDefault="00CF0754">
            <w:pPr>
              <w:pStyle w:val="TableParagraph"/>
              <w:rPr>
                <w:sz w:val="20"/>
              </w:rPr>
            </w:pPr>
            <w:r w:rsidRPr="00150EDC">
              <w:rPr>
                <w:sz w:val="20"/>
              </w:rPr>
              <w:t>Vagrancy</w:t>
            </w:r>
            <w:r w:rsidRPr="00150EDC">
              <w:rPr>
                <w:spacing w:val="-7"/>
                <w:sz w:val="20"/>
              </w:rPr>
              <w:t xml:space="preserve"> </w:t>
            </w:r>
            <w:r w:rsidRPr="00150EDC">
              <w:rPr>
                <w:sz w:val="20"/>
              </w:rPr>
              <w:t>Act</w:t>
            </w:r>
            <w:r w:rsidRPr="00150EDC">
              <w:rPr>
                <w:spacing w:val="-6"/>
                <w:sz w:val="20"/>
              </w:rPr>
              <w:t xml:space="preserve"> </w:t>
            </w:r>
            <w:r w:rsidRPr="00150EDC">
              <w:rPr>
                <w:sz w:val="20"/>
              </w:rPr>
              <w:t>1824,</w:t>
            </w:r>
            <w:r w:rsidRPr="00150EDC">
              <w:rPr>
                <w:spacing w:val="-7"/>
                <w:sz w:val="20"/>
              </w:rPr>
              <w:t xml:space="preserve"> </w:t>
            </w:r>
            <w:r w:rsidRPr="00150EDC">
              <w:rPr>
                <w:spacing w:val="-5"/>
                <w:sz w:val="20"/>
              </w:rPr>
              <w:t>s4</w:t>
            </w:r>
          </w:p>
        </w:tc>
        <w:tc>
          <w:tcPr>
            <w:tcW w:w="7427" w:type="dxa"/>
          </w:tcPr>
          <w:p w14:paraId="06C2CBF3" w14:textId="77777777" w:rsidR="004C7180" w:rsidRPr="00150EDC" w:rsidRDefault="00CF0754">
            <w:pPr>
              <w:pStyle w:val="TableParagraph"/>
              <w:rPr>
                <w:sz w:val="20"/>
              </w:rPr>
            </w:pPr>
            <w:r w:rsidRPr="00150EDC">
              <w:rPr>
                <w:sz w:val="20"/>
              </w:rPr>
              <w:t>Indecent</w:t>
            </w:r>
            <w:r w:rsidRPr="00150EDC">
              <w:rPr>
                <w:spacing w:val="-8"/>
                <w:sz w:val="20"/>
              </w:rPr>
              <w:t xml:space="preserve"> </w:t>
            </w:r>
            <w:r w:rsidRPr="00150EDC">
              <w:rPr>
                <w:spacing w:val="-2"/>
                <w:sz w:val="20"/>
              </w:rPr>
              <w:t>exposure</w:t>
            </w:r>
          </w:p>
        </w:tc>
      </w:tr>
      <w:tr w:rsidR="004569EE" w:rsidRPr="007D3144" w14:paraId="163813A1" w14:textId="77777777">
        <w:trPr>
          <w:trHeight w:val="255"/>
        </w:trPr>
        <w:tc>
          <w:tcPr>
            <w:tcW w:w="6517" w:type="dxa"/>
          </w:tcPr>
          <w:p w14:paraId="594253BE" w14:textId="77777777" w:rsidR="004C7180" w:rsidRPr="00150EDC" w:rsidRDefault="00CF0754">
            <w:pPr>
              <w:pStyle w:val="TableParagraph"/>
              <w:rPr>
                <w:sz w:val="20"/>
              </w:rPr>
            </w:pPr>
            <w:r w:rsidRPr="00150EDC">
              <w:rPr>
                <w:sz w:val="20"/>
              </w:rPr>
              <w:t>Vagrancy</w:t>
            </w:r>
            <w:r w:rsidRPr="00150EDC">
              <w:rPr>
                <w:spacing w:val="-7"/>
                <w:sz w:val="20"/>
              </w:rPr>
              <w:t xml:space="preserve"> </w:t>
            </w:r>
            <w:r w:rsidRPr="00150EDC">
              <w:rPr>
                <w:sz w:val="20"/>
              </w:rPr>
              <w:t>Act</w:t>
            </w:r>
            <w:r w:rsidRPr="00150EDC">
              <w:rPr>
                <w:spacing w:val="-6"/>
                <w:sz w:val="20"/>
              </w:rPr>
              <w:t xml:space="preserve"> </w:t>
            </w:r>
            <w:r w:rsidRPr="00150EDC">
              <w:rPr>
                <w:sz w:val="20"/>
              </w:rPr>
              <w:t>1893,</w:t>
            </w:r>
            <w:r w:rsidRPr="00150EDC">
              <w:rPr>
                <w:spacing w:val="-7"/>
                <w:sz w:val="20"/>
              </w:rPr>
              <w:t xml:space="preserve"> </w:t>
            </w:r>
            <w:r w:rsidRPr="00150EDC">
              <w:rPr>
                <w:spacing w:val="-5"/>
                <w:sz w:val="20"/>
              </w:rPr>
              <w:t>s1</w:t>
            </w:r>
          </w:p>
        </w:tc>
        <w:tc>
          <w:tcPr>
            <w:tcW w:w="7427" w:type="dxa"/>
          </w:tcPr>
          <w:p w14:paraId="609383E7" w14:textId="77777777" w:rsidR="004C7180" w:rsidRPr="00150EDC" w:rsidRDefault="00CF0754">
            <w:pPr>
              <w:pStyle w:val="TableParagraph"/>
              <w:rPr>
                <w:sz w:val="20"/>
              </w:rPr>
            </w:pPr>
            <w:r w:rsidRPr="00150EDC">
              <w:rPr>
                <w:sz w:val="20"/>
              </w:rPr>
              <w:t>Exercising</w:t>
            </w:r>
            <w:r w:rsidRPr="00150EDC">
              <w:rPr>
                <w:spacing w:val="-7"/>
                <w:sz w:val="20"/>
              </w:rPr>
              <w:t xml:space="preserve"> </w:t>
            </w:r>
            <w:r w:rsidRPr="00150EDC">
              <w:rPr>
                <w:sz w:val="20"/>
              </w:rPr>
              <w:t>control</w:t>
            </w:r>
            <w:r w:rsidRPr="00150EDC">
              <w:rPr>
                <w:spacing w:val="-4"/>
                <w:sz w:val="20"/>
              </w:rPr>
              <w:t xml:space="preserve"> </w:t>
            </w:r>
            <w:r w:rsidRPr="00150EDC">
              <w:rPr>
                <w:sz w:val="20"/>
              </w:rPr>
              <w:t>over</w:t>
            </w:r>
            <w:r w:rsidRPr="00150EDC">
              <w:rPr>
                <w:spacing w:val="-6"/>
                <w:sz w:val="20"/>
              </w:rPr>
              <w:t xml:space="preserve"> </w:t>
            </w:r>
            <w:r w:rsidRPr="00150EDC">
              <w:rPr>
                <w:spacing w:val="-2"/>
                <w:sz w:val="20"/>
              </w:rPr>
              <w:t>prostitutes</w:t>
            </w:r>
          </w:p>
        </w:tc>
      </w:tr>
      <w:tr w:rsidR="004569EE" w:rsidRPr="007D3144" w14:paraId="29137292" w14:textId="77777777">
        <w:trPr>
          <w:trHeight w:val="255"/>
        </w:trPr>
        <w:tc>
          <w:tcPr>
            <w:tcW w:w="6517" w:type="dxa"/>
          </w:tcPr>
          <w:p w14:paraId="0055D1BF" w14:textId="77777777" w:rsidR="004C7180" w:rsidRPr="00150EDC" w:rsidRDefault="00CF0754">
            <w:pPr>
              <w:pStyle w:val="TableParagraph"/>
              <w:rPr>
                <w:sz w:val="20"/>
              </w:rPr>
            </w:pPr>
            <w:r w:rsidRPr="00150EDC">
              <w:rPr>
                <w:sz w:val="20"/>
              </w:rPr>
              <w:t>Vagrancy</w:t>
            </w:r>
            <w:r w:rsidRPr="00150EDC">
              <w:rPr>
                <w:spacing w:val="-7"/>
                <w:sz w:val="20"/>
              </w:rPr>
              <w:t xml:space="preserve"> </w:t>
            </w:r>
            <w:r w:rsidRPr="00150EDC">
              <w:rPr>
                <w:sz w:val="20"/>
              </w:rPr>
              <w:t>Act</w:t>
            </w:r>
            <w:r w:rsidRPr="00150EDC">
              <w:rPr>
                <w:spacing w:val="-6"/>
                <w:sz w:val="20"/>
              </w:rPr>
              <w:t xml:space="preserve"> </w:t>
            </w:r>
            <w:r w:rsidRPr="00150EDC">
              <w:rPr>
                <w:sz w:val="20"/>
              </w:rPr>
              <w:t>1898,</w:t>
            </w:r>
            <w:r w:rsidRPr="00150EDC">
              <w:rPr>
                <w:spacing w:val="-7"/>
                <w:sz w:val="20"/>
              </w:rPr>
              <w:t xml:space="preserve"> </w:t>
            </w:r>
            <w:r w:rsidRPr="00150EDC">
              <w:rPr>
                <w:spacing w:val="-5"/>
                <w:sz w:val="20"/>
              </w:rPr>
              <w:t>s1</w:t>
            </w:r>
          </w:p>
        </w:tc>
        <w:tc>
          <w:tcPr>
            <w:tcW w:w="7427" w:type="dxa"/>
          </w:tcPr>
          <w:p w14:paraId="775C4016" w14:textId="77777777" w:rsidR="004C7180" w:rsidRPr="00150EDC" w:rsidRDefault="00CF0754">
            <w:pPr>
              <w:pStyle w:val="TableParagraph"/>
              <w:rPr>
                <w:sz w:val="20"/>
              </w:rPr>
            </w:pPr>
            <w:r w:rsidRPr="00150EDC">
              <w:rPr>
                <w:sz w:val="20"/>
              </w:rPr>
              <w:t>Living</w:t>
            </w:r>
            <w:r w:rsidRPr="00150EDC">
              <w:rPr>
                <w:spacing w:val="-6"/>
                <w:sz w:val="20"/>
              </w:rPr>
              <w:t xml:space="preserve"> </w:t>
            </w:r>
            <w:r w:rsidRPr="00150EDC">
              <w:rPr>
                <w:sz w:val="20"/>
              </w:rPr>
              <w:t>on</w:t>
            </w:r>
            <w:r w:rsidRPr="00150EDC">
              <w:rPr>
                <w:spacing w:val="-6"/>
                <w:sz w:val="20"/>
              </w:rPr>
              <w:t xml:space="preserve"> </w:t>
            </w:r>
            <w:r w:rsidRPr="00150EDC">
              <w:rPr>
                <w:sz w:val="20"/>
              </w:rPr>
              <w:t>the</w:t>
            </w:r>
            <w:r w:rsidRPr="00150EDC">
              <w:rPr>
                <w:spacing w:val="-5"/>
                <w:sz w:val="20"/>
              </w:rPr>
              <w:t xml:space="preserve"> </w:t>
            </w:r>
            <w:r w:rsidRPr="00150EDC">
              <w:rPr>
                <w:sz w:val="20"/>
              </w:rPr>
              <w:t>earnings of</w:t>
            </w:r>
            <w:r w:rsidRPr="00150EDC">
              <w:rPr>
                <w:spacing w:val="-6"/>
                <w:sz w:val="20"/>
              </w:rPr>
              <w:t xml:space="preserve"> </w:t>
            </w:r>
            <w:r w:rsidRPr="00150EDC">
              <w:rPr>
                <w:sz w:val="20"/>
              </w:rPr>
              <w:t>prostitution,</w:t>
            </w:r>
            <w:r w:rsidRPr="00150EDC">
              <w:rPr>
                <w:spacing w:val="-6"/>
                <w:sz w:val="20"/>
              </w:rPr>
              <w:t xml:space="preserve"> </w:t>
            </w:r>
            <w:r w:rsidRPr="00150EDC">
              <w:rPr>
                <w:sz w:val="20"/>
              </w:rPr>
              <w:t>or</w:t>
            </w:r>
            <w:r w:rsidRPr="00150EDC">
              <w:rPr>
                <w:spacing w:val="-1"/>
                <w:sz w:val="20"/>
              </w:rPr>
              <w:t xml:space="preserve"> </w:t>
            </w:r>
            <w:r w:rsidRPr="00150EDC">
              <w:rPr>
                <w:sz w:val="20"/>
              </w:rPr>
              <w:t>persistently</w:t>
            </w:r>
            <w:r w:rsidRPr="00150EDC">
              <w:rPr>
                <w:spacing w:val="-4"/>
                <w:sz w:val="20"/>
              </w:rPr>
              <w:t xml:space="preserve"> </w:t>
            </w:r>
            <w:r w:rsidRPr="00150EDC">
              <w:rPr>
                <w:sz w:val="20"/>
              </w:rPr>
              <w:t>soliciting</w:t>
            </w:r>
            <w:r w:rsidRPr="00150EDC">
              <w:rPr>
                <w:spacing w:val="-6"/>
                <w:sz w:val="20"/>
              </w:rPr>
              <w:t xml:space="preserve"> </w:t>
            </w:r>
            <w:r w:rsidRPr="00150EDC">
              <w:rPr>
                <w:sz w:val="20"/>
              </w:rPr>
              <w:t>or</w:t>
            </w:r>
            <w:r w:rsidRPr="00150EDC">
              <w:rPr>
                <w:spacing w:val="-6"/>
                <w:sz w:val="20"/>
              </w:rPr>
              <w:t xml:space="preserve"> </w:t>
            </w:r>
            <w:r w:rsidRPr="00150EDC">
              <w:rPr>
                <w:spacing w:val="-2"/>
                <w:sz w:val="20"/>
              </w:rPr>
              <w:t>importuning</w:t>
            </w:r>
          </w:p>
        </w:tc>
      </w:tr>
    </w:tbl>
    <w:p w14:paraId="6A1F2686" w14:textId="77777777" w:rsidR="004C7180" w:rsidRPr="00150EDC" w:rsidRDefault="004C7180">
      <w:pPr>
        <w:rPr>
          <w:sz w:val="20"/>
        </w:rPr>
        <w:sectPr w:rsidR="004C7180" w:rsidRPr="00150EDC">
          <w:footerReference w:type="default" r:id="rId153"/>
          <w:pgSz w:w="16840" w:h="11910" w:orient="landscape"/>
          <w:pgMar w:top="1340" w:right="1320" w:bottom="280" w:left="1340" w:header="0" w:footer="0" w:gutter="0"/>
          <w:cols w:space="720"/>
        </w:sectPr>
      </w:pPr>
    </w:p>
    <w:p w14:paraId="4815DA91" w14:textId="77777777" w:rsidR="004C7180" w:rsidRPr="00150EDC" w:rsidRDefault="004C7180">
      <w:pPr>
        <w:pStyle w:val="BodyText"/>
        <w:spacing w:before="3"/>
        <w:rPr>
          <w:sz w:val="8"/>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517"/>
        <w:gridCol w:w="7427"/>
      </w:tblGrid>
      <w:tr w:rsidR="004569EE" w:rsidRPr="007D3144" w14:paraId="5F84D57D" w14:textId="77777777">
        <w:trPr>
          <w:trHeight w:val="510"/>
        </w:trPr>
        <w:tc>
          <w:tcPr>
            <w:tcW w:w="6517" w:type="dxa"/>
          </w:tcPr>
          <w:p w14:paraId="096EB822" w14:textId="77777777" w:rsidR="004C7180" w:rsidRPr="00150EDC" w:rsidRDefault="004C7180">
            <w:pPr>
              <w:pStyle w:val="TableParagraph"/>
              <w:spacing w:before="6" w:line="240" w:lineRule="auto"/>
              <w:ind w:left="0"/>
              <w:rPr>
                <w:sz w:val="24"/>
              </w:rPr>
            </w:pPr>
          </w:p>
          <w:p w14:paraId="779AA074" w14:textId="77777777" w:rsidR="004C7180" w:rsidRPr="00150EDC" w:rsidRDefault="00CF0754">
            <w:pPr>
              <w:pStyle w:val="TableParagraph"/>
              <w:spacing w:before="1"/>
              <w:rPr>
                <w:sz w:val="20"/>
              </w:rPr>
            </w:pPr>
            <w:r w:rsidRPr="00150EDC">
              <w:rPr>
                <w:sz w:val="20"/>
              </w:rPr>
              <w:t>Vehicular</w:t>
            </w:r>
            <w:r w:rsidRPr="00150EDC">
              <w:rPr>
                <w:spacing w:val="-8"/>
                <w:sz w:val="20"/>
              </w:rPr>
              <w:t xml:space="preserve"> </w:t>
            </w:r>
            <w:r w:rsidRPr="00150EDC">
              <w:rPr>
                <w:sz w:val="20"/>
              </w:rPr>
              <w:t>Traffic</w:t>
            </w:r>
            <w:r w:rsidRPr="00150EDC">
              <w:rPr>
                <w:spacing w:val="-5"/>
                <w:sz w:val="20"/>
              </w:rPr>
              <w:t xml:space="preserve"> </w:t>
            </w:r>
            <w:r w:rsidRPr="00150EDC">
              <w:rPr>
                <w:sz w:val="20"/>
              </w:rPr>
              <w:t>(Causing</w:t>
            </w:r>
            <w:r w:rsidRPr="00150EDC">
              <w:rPr>
                <w:spacing w:val="-8"/>
                <w:sz w:val="20"/>
              </w:rPr>
              <w:t xml:space="preserve"> </w:t>
            </w:r>
            <w:r w:rsidRPr="00150EDC">
              <w:rPr>
                <w:sz w:val="20"/>
              </w:rPr>
              <w:t>Death</w:t>
            </w:r>
            <w:r w:rsidRPr="00150EDC">
              <w:rPr>
                <w:spacing w:val="-7"/>
                <w:sz w:val="20"/>
              </w:rPr>
              <w:t xml:space="preserve"> </w:t>
            </w:r>
            <w:r w:rsidRPr="00150EDC">
              <w:rPr>
                <w:sz w:val="20"/>
              </w:rPr>
              <w:t>by</w:t>
            </w:r>
            <w:r w:rsidRPr="00150EDC">
              <w:rPr>
                <w:spacing w:val="-2"/>
                <w:sz w:val="20"/>
              </w:rPr>
              <w:t xml:space="preserve"> </w:t>
            </w:r>
            <w:r w:rsidRPr="00150EDC">
              <w:rPr>
                <w:sz w:val="20"/>
              </w:rPr>
              <w:t>Driving)</w:t>
            </w:r>
            <w:r w:rsidRPr="00150EDC">
              <w:rPr>
                <w:spacing w:val="-1"/>
                <w:sz w:val="20"/>
              </w:rPr>
              <w:t xml:space="preserve"> </w:t>
            </w:r>
            <w:r w:rsidRPr="00150EDC">
              <w:rPr>
                <w:sz w:val="20"/>
              </w:rPr>
              <w:t>(Alderney)</w:t>
            </w:r>
            <w:r w:rsidRPr="00150EDC">
              <w:rPr>
                <w:spacing w:val="-7"/>
                <w:sz w:val="20"/>
              </w:rPr>
              <w:t xml:space="preserve"> </w:t>
            </w:r>
            <w:r w:rsidRPr="00150EDC">
              <w:rPr>
                <w:sz w:val="20"/>
              </w:rPr>
              <w:t>Law</w:t>
            </w:r>
            <w:r w:rsidRPr="00150EDC">
              <w:rPr>
                <w:spacing w:val="-6"/>
                <w:sz w:val="20"/>
              </w:rPr>
              <w:t xml:space="preserve"> </w:t>
            </w:r>
            <w:r w:rsidRPr="00150EDC">
              <w:rPr>
                <w:sz w:val="20"/>
              </w:rPr>
              <w:t>1972,</w:t>
            </w:r>
            <w:r w:rsidRPr="00150EDC">
              <w:rPr>
                <w:spacing w:val="-7"/>
                <w:sz w:val="20"/>
              </w:rPr>
              <w:t xml:space="preserve"> </w:t>
            </w:r>
            <w:r w:rsidRPr="00150EDC">
              <w:rPr>
                <w:spacing w:val="-5"/>
                <w:sz w:val="20"/>
              </w:rPr>
              <w:t>s1</w:t>
            </w:r>
          </w:p>
        </w:tc>
        <w:tc>
          <w:tcPr>
            <w:tcW w:w="7427" w:type="dxa"/>
          </w:tcPr>
          <w:p w14:paraId="020A7383" w14:textId="77777777" w:rsidR="004C7180" w:rsidRPr="00150EDC" w:rsidRDefault="004C7180">
            <w:pPr>
              <w:pStyle w:val="TableParagraph"/>
              <w:spacing w:before="6" w:line="240" w:lineRule="auto"/>
              <w:ind w:left="0"/>
              <w:rPr>
                <w:sz w:val="24"/>
              </w:rPr>
            </w:pPr>
          </w:p>
          <w:p w14:paraId="65FE1552" w14:textId="77777777" w:rsidR="004C7180" w:rsidRPr="00150EDC" w:rsidRDefault="00CF0754">
            <w:pPr>
              <w:pStyle w:val="TableParagraph"/>
              <w:spacing w:before="1"/>
              <w:rPr>
                <w:sz w:val="20"/>
              </w:rPr>
            </w:pPr>
            <w:r w:rsidRPr="00150EDC">
              <w:rPr>
                <w:sz w:val="20"/>
              </w:rPr>
              <w:t>Causing</w:t>
            </w:r>
            <w:r w:rsidRPr="00150EDC">
              <w:rPr>
                <w:spacing w:val="-8"/>
                <w:sz w:val="20"/>
              </w:rPr>
              <w:t xml:space="preserve"> </w:t>
            </w:r>
            <w:r w:rsidRPr="00150EDC">
              <w:rPr>
                <w:sz w:val="20"/>
              </w:rPr>
              <w:t>death</w:t>
            </w:r>
            <w:r w:rsidRPr="00150EDC">
              <w:rPr>
                <w:spacing w:val="-7"/>
                <w:sz w:val="20"/>
              </w:rPr>
              <w:t xml:space="preserve"> </w:t>
            </w:r>
            <w:r w:rsidRPr="00150EDC">
              <w:rPr>
                <w:sz w:val="20"/>
              </w:rPr>
              <w:t>by</w:t>
            </w:r>
            <w:r w:rsidRPr="00150EDC">
              <w:rPr>
                <w:spacing w:val="-2"/>
                <w:sz w:val="20"/>
              </w:rPr>
              <w:t xml:space="preserve"> </w:t>
            </w:r>
            <w:r w:rsidRPr="00150EDC">
              <w:rPr>
                <w:sz w:val="20"/>
              </w:rPr>
              <w:t>dangerous</w:t>
            </w:r>
            <w:r w:rsidRPr="00150EDC">
              <w:rPr>
                <w:spacing w:val="-2"/>
                <w:sz w:val="20"/>
              </w:rPr>
              <w:t xml:space="preserve"> </w:t>
            </w:r>
            <w:r w:rsidRPr="00150EDC">
              <w:rPr>
                <w:sz w:val="20"/>
              </w:rPr>
              <w:t>or</w:t>
            </w:r>
            <w:r w:rsidRPr="00150EDC">
              <w:rPr>
                <w:spacing w:val="-4"/>
                <w:sz w:val="20"/>
              </w:rPr>
              <w:t xml:space="preserve"> </w:t>
            </w:r>
            <w:r w:rsidRPr="00150EDC">
              <w:rPr>
                <w:sz w:val="20"/>
              </w:rPr>
              <w:t>reckless</w:t>
            </w:r>
            <w:r w:rsidRPr="00150EDC">
              <w:rPr>
                <w:spacing w:val="-6"/>
                <w:sz w:val="20"/>
              </w:rPr>
              <w:t xml:space="preserve"> </w:t>
            </w:r>
            <w:r w:rsidRPr="00150EDC">
              <w:rPr>
                <w:spacing w:val="-2"/>
                <w:sz w:val="20"/>
              </w:rPr>
              <w:t>driving</w:t>
            </w:r>
          </w:p>
        </w:tc>
      </w:tr>
      <w:tr w:rsidR="004569EE" w:rsidRPr="007D3144" w14:paraId="2E9954CD" w14:textId="77777777">
        <w:trPr>
          <w:trHeight w:val="255"/>
        </w:trPr>
        <w:tc>
          <w:tcPr>
            <w:tcW w:w="6517" w:type="dxa"/>
          </w:tcPr>
          <w:p w14:paraId="05FF0012" w14:textId="77777777" w:rsidR="004C7180" w:rsidRPr="00150EDC" w:rsidRDefault="00CF0754">
            <w:pPr>
              <w:pStyle w:val="TableParagraph"/>
              <w:rPr>
                <w:sz w:val="20"/>
              </w:rPr>
            </w:pPr>
            <w:r w:rsidRPr="00150EDC">
              <w:rPr>
                <w:sz w:val="20"/>
              </w:rPr>
              <w:t>Vehicular</w:t>
            </w:r>
            <w:r w:rsidRPr="00150EDC">
              <w:rPr>
                <w:spacing w:val="-8"/>
                <w:sz w:val="20"/>
              </w:rPr>
              <w:t xml:space="preserve"> </w:t>
            </w:r>
            <w:r w:rsidRPr="00150EDC">
              <w:rPr>
                <w:sz w:val="20"/>
              </w:rPr>
              <w:t>Traffic</w:t>
            </w:r>
            <w:r w:rsidRPr="00150EDC">
              <w:rPr>
                <w:spacing w:val="-5"/>
                <w:sz w:val="20"/>
              </w:rPr>
              <w:t xml:space="preserve"> </w:t>
            </w:r>
            <w:r w:rsidRPr="00150EDC">
              <w:rPr>
                <w:sz w:val="20"/>
              </w:rPr>
              <w:t>(Causing</w:t>
            </w:r>
            <w:r w:rsidRPr="00150EDC">
              <w:rPr>
                <w:spacing w:val="-8"/>
                <w:sz w:val="20"/>
              </w:rPr>
              <w:t xml:space="preserve"> </w:t>
            </w:r>
            <w:r w:rsidRPr="00150EDC">
              <w:rPr>
                <w:sz w:val="20"/>
              </w:rPr>
              <w:t>Death</w:t>
            </w:r>
            <w:r w:rsidRPr="00150EDC">
              <w:rPr>
                <w:spacing w:val="-7"/>
                <w:sz w:val="20"/>
              </w:rPr>
              <w:t xml:space="preserve"> </w:t>
            </w:r>
            <w:r w:rsidRPr="00150EDC">
              <w:rPr>
                <w:sz w:val="20"/>
              </w:rPr>
              <w:t>by</w:t>
            </w:r>
            <w:r w:rsidRPr="00150EDC">
              <w:rPr>
                <w:spacing w:val="-2"/>
                <w:sz w:val="20"/>
              </w:rPr>
              <w:t xml:space="preserve"> </w:t>
            </w:r>
            <w:r w:rsidRPr="00150EDC">
              <w:rPr>
                <w:sz w:val="20"/>
              </w:rPr>
              <w:t>Driving)</w:t>
            </w:r>
            <w:r w:rsidRPr="00150EDC">
              <w:rPr>
                <w:spacing w:val="-4"/>
                <w:sz w:val="20"/>
              </w:rPr>
              <w:t xml:space="preserve"> </w:t>
            </w:r>
            <w:r w:rsidRPr="00150EDC">
              <w:rPr>
                <w:sz w:val="20"/>
              </w:rPr>
              <w:t>Law)</w:t>
            </w:r>
            <w:r w:rsidRPr="00150EDC">
              <w:rPr>
                <w:spacing w:val="-7"/>
                <w:sz w:val="20"/>
              </w:rPr>
              <w:t xml:space="preserve"> </w:t>
            </w:r>
            <w:r w:rsidRPr="00150EDC">
              <w:rPr>
                <w:sz w:val="20"/>
              </w:rPr>
              <w:t>1957,</w:t>
            </w:r>
            <w:r w:rsidRPr="00150EDC">
              <w:rPr>
                <w:spacing w:val="-7"/>
                <w:sz w:val="20"/>
              </w:rPr>
              <w:t xml:space="preserve"> </w:t>
            </w:r>
            <w:r w:rsidRPr="00150EDC">
              <w:rPr>
                <w:spacing w:val="-5"/>
                <w:sz w:val="20"/>
              </w:rPr>
              <w:t>s1</w:t>
            </w:r>
          </w:p>
        </w:tc>
        <w:tc>
          <w:tcPr>
            <w:tcW w:w="7427" w:type="dxa"/>
          </w:tcPr>
          <w:p w14:paraId="22B255FB" w14:textId="77777777" w:rsidR="004C7180" w:rsidRPr="00150EDC" w:rsidRDefault="00CF0754">
            <w:pPr>
              <w:pStyle w:val="TableParagraph"/>
              <w:rPr>
                <w:sz w:val="20"/>
              </w:rPr>
            </w:pPr>
            <w:r w:rsidRPr="00150EDC">
              <w:rPr>
                <w:sz w:val="20"/>
              </w:rPr>
              <w:t>Causing</w:t>
            </w:r>
            <w:r w:rsidRPr="00150EDC">
              <w:rPr>
                <w:spacing w:val="-8"/>
                <w:sz w:val="20"/>
              </w:rPr>
              <w:t xml:space="preserve"> </w:t>
            </w:r>
            <w:r w:rsidRPr="00150EDC">
              <w:rPr>
                <w:sz w:val="20"/>
              </w:rPr>
              <w:t>death</w:t>
            </w:r>
            <w:r w:rsidRPr="00150EDC">
              <w:rPr>
                <w:spacing w:val="-7"/>
                <w:sz w:val="20"/>
              </w:rPr>
              <w:t xml:space="preserve"> </w:t>
            </w:r>
            <w:r w:rsidRPr="00150EDC">
              <w:rPr>
                <w:sz w:val="20"/>
              </w:rPr>
              <w:t>by</w:t>
            </w:r>
            <w:r w:rsidRPr="00150EDC">
              <w:rPr>
                <w:spacing w:val="-2"/>
                <w:sz w:val="20"/>
              </w:rPr>
              <w:t xml:space="preserve"> </w:t>
            </w:r>
            <w:r w:rsidRPr="00150EDC">
              <w:rPr>
                <w:sz w:val="20"/>
              </w:rPr>
              <w:t>dangerous</w:t>
            </w:r>
            <w:r w:rsidRPr="00150EDC">
              <w:rPr>
                <w:spacing w:val="-2"/>
                <w:sz w:val="20"/>
              </w:rPr>
              <w:t xml:space="preserve"> </w:t>
            </w:r>
            <w:r w:rsidRPr="00150EDC">
              <w:rPr>
                <w:sz w:val="20"/>
              </w:rPr>
              <w:t>or</w:t>
            </w:r>
            <w:r w:rsidRPr="00150EDC">
              <w:rPr>
                <w:spacing w:val="-4"/>
                <w:sz w:val="20"/>
              </w:rPr>
              <w:t xml:space="preserve"> </w:t>
            </w:r>
            <w:r w:rsidRPr="00150EDC">
              <w:rPr>
                <w:sz w:val="20"/>
              </w:rPr>
              <w:t>reckless</w:t>
            </w:r>
            <w:r w:rsidRPr="00150EDC">
              <w:rPr>
                <w:spacing w:val="-6"/>
                <w:sz w:val="20"/>
              </w:rPr>
              <w:t xml:space="preserve"> </w:t>
            </w:r>
            <w:r w:rsidRPr="00150EDC">
              <w:rPr>
                <w:spacing w:val="-2"/>
                <w:sz w:val="20"/>
              </w:rPr>
              <w:t>driving</w:t>
            </w:r>
          </w:p>
        </w:tc>
      </w:tr>
      <w:tr w:rsidR="004569EE" w:rsidRPr="007D3144" w14:paraId="53112AFF" w14:textId="77777777">
        <w:trPr>
          <w:trHeight w:val="255"/>
        </w:trPr>
        <w:tc>
          <w:tcPr>
            <w:tcW w:w="6517" w:type="dxa"/>
          </w:tcPr>
          <w:p w14:paraId="4B57156A" w14:textId="77777777" w:rsidR="004C7180" w:rsidRPr="00150EDC" w:rsidRDefault="00CF0754">
            <w:pPr>
              <w:pStyle w:val="TableParagraph"/>
              <w:rPr>
                <w:sz w:val="20"/>
              </w:rPr>
            </w:pPr>
            <w:r w:rsidRPr="00150EDC">
              <w:rPr>
                <w:sz w:val="20"/>
              </w:rPr>
              <w:t>Wireless</w:t>
            </w:r>
            <w:r w:rsidRPr="00150EDC">
              <w:rPr>
                <w:spacing w:val="-6"/>
                <w:sz w:val="20"/>
              </w:rPr>
              <w:t xml:space="preserve"> </w:t>
            </w:r>
            <w:r w:rsidRPr="00150EDC">
              <w:rPr>
                <w:sz w:val="20"/>
              </w:rPr>
              <w:t>Telegraphy</w:t>
            </w:r>
            <w:r w:rsidRPr="00150EDC">
              <w:rPr>
                <w:spacing w:val="-5"/>
                <w:sz w:val="20"/>
              </w:rPr>
              <w:t xml:space="preserve"> </w:t>
            </w:r>
            <w:r w:rsidRPr="00150EDC">
              <w:rPr>
                <w:sz w:val="20"/>
              </w:rPr>
              <w:t>Act</w:t>
            </w:r>
            <w:r w:rsidRPr="00150EDC">
              <w:rPr>
                <w:spacing w:val="-6"/>
                <w:sz w:val="20"/>
              </w:rPr>
              <w:t xml:space="preserve"> </w:t>
            </w:r>
            <w:r w:rsidRPr="00150EDC">
              <w:rPr>
                <w:sz w:val="20"/>
              </w:rPr>
              <w:t>1949,</w:t>
            </w:r>
            <w:r w:rsidRPr="00150EDC">
              <w:rPr>
                <w:spacing w:val="-6"/>
                <w:sz w:val="20"/>
              </w:rPr>
              <w:t xml:space="preserve"> </w:t>
            </w:r>
            <w:r w:rsidRPr="00150EDC">
              <w:rPr>
                <w:spacing w:val="-4"/>
                <w:sz w:val="20"/>
              </w:rPr>
              <w:t>s5(a)</w:t>
            </w:r>
          </w:p>
        </w:tc>
        <w:tc>
          <w:tcPr>
            <w:tcW w:w="7427" w:type="dxa"/>
          </w:tcPr>
          <w:p w14:paraId="66DD4E49" w14:textId="77777777" w:rsidR="004C7180" w:rsidRPr="00150EDC" w:rsidRDefault="00CF0754">
            <w:pPr>
              <w:pStyle w:val="TableParagraph"/>
              <w:rPr>
                <w:sz w:val="20"/>
              </w:rPr>
            </w:pPr>
            <w:r w:rsidRPr="00150EDC">
              <w:rPr>
                <w:sz w:val="20"/>
              </w:rPr>
              <w:t>Sending</w:t>
            </w:r>
            <w:r w:rsidRPr="00150EDC">
              <w:rPr>
                <w:spacing w:val="-9"/>
                <w:sz w:val="20"/>
              </w:rPr>
              <w:t xml:space="preserve"> </w:t>
            </w:r>
            <w:r w:rsidRPr="00150EDC">
              <w:rPr>
                <w:sz w:val="20"/>
              </w:rPr>
              <w:t>misleading</w:t>
            </w:r>
            <w:r w:rsidRPr="00150EDC">
              <w:rPr>
                <w:spacing w:val="-1"/>
                <w:sz w:val="20"/>
              </w:rPr>
              <w:t xml:space="preserve"> </w:t>
            </w:r>
            <w:r w:rsidRPr="00150EDC">
              <w:rPr>
                <w:sz w:val="20"/>
              </w:rPr>
              <w:t>message</w:t>
            </w:r>
            <w:r w:rsidRPr="00150EDC">
              <w:rPr>
                <w:spacing w:val="-6"/>
                <w:sz w:val="20"/>
              </w:rPr>
              <w:t xml:space="preserve"> </w:t>
            </w:r>
            <w:r w:rsidRPr="00150EDC">
              <w:rPr>
                <w:sz w:val="20"/>
              </w:rPr>
              <w:t>likely</w:t>
            </w:r>
            <w:r w:rsidRPr="00150EDC">
              <w:rPr>
                <w:spacing w:val="-4"/>
                <w:sz w:val="20"/>
              </w:rPr>
              <w:t xml:space="preserve"> </w:t>
            </w:r>
            <w:r w:rsidRPr="00150EDC">
              <w:rPr>
                <w:sz w:val="20"/>
              </w:rPr>
              <w:t>to</w:t>
            </w:r>
            <w:r w:rsidRPr="00150EDC">
              <w:rPr>
                <w:spacing w:val="-5"/>
                <w:sz w:val="20"/>
              </w:rPr>
              <w:t xml:space="preserve"> </w:t>
            </w:r>
            <w:r w:rsidRPr="00150EDC">
              <w:rPr>
                <w:sz w:val="20"/>
              </w:rPr>
              <w:t>endanger</w:t>
            </w:r>
            <w:r w:rsidRPr="00150EDC">
              <w:rPr>
                <w:spacing w:val="-2"/>
                <w:sz w:val="20"/>
              </w:rPr>
              <w:t xml:space="preserve"> </w:t>
            </w:r>
            <w:r w:rsidRPr="00150EDC">
              <w:rPr>
                <w:sz w:val="20"/>
              </w:rPr>
              <w:t>person,</w:t>
            </w:r>
            <w:r w:rsidRPr="00150EDC">
              <w:rPr>
                <w:spacing w:val="-6"/>
                <w:sz w:val="20"/>
              </w:rPr>
              <w:t xml:space="preserve"> </w:t>
            </w:r>
            <w:r w:rsidRPr="00150EDC">
              <w:rPr>
                <w:sz w:val="20"/>
              </w:rPr>
              <w:t>vessel</w:t>
            </w:r>
            <w:r w:rsidRPr="00150EDC">
              <w:rPr>
                <w:spacing w:val="-4"/>
                <w:sz w:val="20"/>
              </w:rPr>
              <w:t xml:space="preserve"> </w:t>
            </w:r>
            <w:r w:rsidRPr="00150EDC">
              <w:rPr>
                <w:sz w:val="20"/>
              </w:rPr>
              <w:t>or</w:t>
            </w:r>
            <w:r w:rsidRPr="00150EDC">
              <w:rPr>
                <w:spacing w:val="-6"/>
                <w:sz w:val="20"/>
              </w:rPr>
              <w:t xml:space="preserve"> </w:t>
            </w:r>
            <w:r w:rsidRPr="00150EDC">
              <w:rPr>
                <w:spacing w:val="-2"/>
                <w:sz w:val="20"/>
              </w:rPr>
              <w:t>aircraft</w:t>
            </w:r>
          </w:p>
        </w:tc>
      </w:tr>
      <w:tr w:rsidR="004569EE" w:rsidRPr="007D3144" w14:paraId="5C0C3434" w14:textId="77777777">
        <w:trPr>
          <w:trHeight w:val="525"/>
        </w:trPr>
        <w:tc>
          <w:tcPr>
            <w:tcW w:w="6517" w:type="dxa"/>
          </w:tcPr>
          <w:p w14:paraId="54AB68BA" w14:textId="77777777" w:rsidR="004C7180" w:rsidRPr="00150EDC" w:rsidRDefault="00CF0754">
            <w:pPr>
              <w:pStyle w:val="TableParagraph"/>
              <w:spacing w:before="47" w:line="230" w:lineRule="atLeast"/>
              <w:rPr>
                <w:sz w:val="20"/>
              </w:rPr>
            </w:pPr>
            <w:r w:rsidRPr="00150EDC">
              <w:rPr>
                <w:sz w:val="20"/>
              </w:rPr>
              <w:t>Wreck</w:t>
            </w:r>
            <w:r w:rsidRPr="00150EDC">
              <w:rPr>
                <w:spacing w:val="-6"/>
                <w:sz w:val="20"/>
              </w:rPr>
              <w:t xml:space="preserve"> </w:t>
            </w:r>
            <w:r w:rsidRPr="00150EDC">
              <w:rPr>
                <w:sz w:val="20"/>
              </w:rPr>
              <w:t>and</w:t>
            </w:r>
            <w:r w:rsidRPr="00150EDC">
              <w:rPr>
                <w:spacing w:val="-7"/>
                <w:sz w:val="20"/>
              </w:rPr>
              <w:t xml:space="preserve"> </w:t>
            </w:r>
            <w:r w:rsidRPr="00150EDC">
              <w:rPr>
                <w:sz w:val="20"/>
              </w:rPr>
              <w:t>Salvage</w:t>
            </w:r>
            <w:r w:rsidRPr="00150EDC">
              <w:rPr>
                <w:spacing w:val="-7"/>
                <w:sz w:val="20"/>
              </w:rPr>
              <w:t xml:space="preserve"> </w:t>
            </w:r>
            <w:r w:rsidRPr="00150EDC">
              <w:rPr>
                <w:sz w:val="20"/>
              </w:rPr>
              <w:t>(Vessels</w:t>
            </w:r>
            <w:r w:rsidRPr="00150EDC">
              <w:rPr>
                <w:spacing w:val="-1"/>
                <w:sz w:val="20"/>
              </w:rPr>
              <w:t xml:space="preserve"> </w:t>
            </w:r>
            <w:r w:rsidRPr="00150EDC">
              <w:rPr>
                <w:sz w:val="20"/>
              </w:rPr>
              <w:t>and</w:t>
            </w:r>
            <w:r w:rsidRPr="00150EDC">
              <w:rPr>
                <w:spacing w:val="-7"/>
                <w:sz w:val="20"/>
              </w:rPr>
              <w:t xml:space="preserve"> </w:t>
            </w:r>
            <w:r w:rsidRPr="00150EDC">
              <w:rPr>
                <w:sz w:val="20"/>
              </w:rPr>
              <w:t>Aircraft)</w:t>
            </w:r>
            <w:r w:rsidRPr="00150EDC">
              <w:rPr>
                <w:spacing w:val="-3"/>
                <w:sz w:val="20"/>
              </w:rPr>
              <w:t xml:space="preserve"> </w:t>
            </w:r>
            <w:r w:rsidRPr="00150EDC">
              <w:rPr>
                <w:sz w:val="20"/>
              </w:rPr>
              <w:t>(Bailiwick</w:t>
            </w:r>
            <w:r w:rsidRPr="00150EDC">
              <w:rPr>
                <w:spacing w:val="-6"/>
                <w:sz w:val="20"/>
              </w:rPr>
              <w:t xml:space="preserve"> </w:t>
            </w:r>
            <w:r w:rsidRPr="00150EDC">
              <w:rPr>
                <w:sz w:val="20"/>
              </w:rPr>
              <w:t>of</w:t>
            </w:r>
            <w:r w:rsidRPr="00150EDC">
              <w:rPr>
                <w:spacing w:val="-7"/>
                <w:sz w:val="20"/>
              </w:rPr>
              <w:t xml:space="preserve"> </w:t>
            </w:r>
            <w:r w:rsidRPr="00150EDC">
              <w:rPr>
                <w:sz w:val="20"/>
              </w:rPr>
              <w:t>Guernsey)</w:t>
            </w:r>
            <w:r w:rsidRPr="00150EDC">
              <w:rPr>
                <w:spacing w:val="-7"/>
                <w:sz w:val="20"/>
              </w:rPr>
              <w:t xml:space="preserve"> </w:t>
            </w:r>
            <w:r w:rsidRPr="00150EDC">
              <w:rPr>
                <w:sz w:val="20"/>
              </w:rPr>
              <w:t>Law 1986, s18A(5)(c)</w:t>
            </w:r>
          </w:p>
        </w:tc>
        <w:tc>
          <w:tcPr>
            <w:tcW w:w="7427" w:type="dxa"/>
          </w:tcPr>
          <w:p w14:paraId="4EDD9D95" w14:textId="77777777" w:rsidR="004C7180" w:rsidRPr="00150EDC" w:rsidRDefault="004C7180">
            <w:pPr>
              <w:pStyle w:val="TableParagraph"/>
              <w:spacing w:before="10" w:line="240" w:lineRule="auto"/>
              <w:ind w:left="0"/>
              <w:rPr>
                <w:sz w:val="25"/>
              </w:rPr>
            </w:pPr>
          </w:p>
          <w:p w14:paraId="26F33A31" w14:textId="77777777" w:rsidR="004C7180" w:rsidRPr="00150EDC" w:rsidRDefault="00CF0754">
            <w:pPr>
              <w:pStyle w:val="TableParagraph"/>
              <w:spacing w:before="0"/>
              <w:rPr>
                <w:sz w:val="20"/>
              </w:rPr>
            </w:pPr>
            <w:r w:rsidRPr="00150EDC">
              <w:rPr>
                <w:sz w:val="20"/>
              </w:rPr>
              <w:t>Assaulting</w:t>
            </w:r>
            <w:r w:rsidRPr="00150EDC">
              <w:rPr>
                <w:spacing w:val="-9"/>
                <w:sz w:val="20"/>
              </w:rPr>
              <w:t xml:space="preserve"> </w:t>
            </w:r>
            <w:r w:rsidRPr="00150EDC">
              <w:rPr>
                <w:sz w:val="20"/>
              </w:rPr>
              <w:t>authorised</w:t>
            </w:r>
            <w:r w:rsidRPr="00150EDC">
              <w:rPr>
                <w:spacing w:val="-4"/>
                <w:sz w:val="20"/>
              </w:rPr>
              <w:t xml:space="preserve"> </w:t>
            </w:r>
            <w:r w:rsidRPr="00150EDC">
              <w:rPr>
                <w:sz w:val="20"/>
              </w:rPr>
              <w:t>person</w:t>
            </w:r>
            <w:r w:rsidRPr="00150EDC">
              <w:rPr>
                <w:spacing w:val="-8"/>
                <w:sz w:val="20"/>
              </w:rPr>
              <w:t xml:space="preserve"> </w:t>
            </w:r>
            <w:r w:rsidRPr="00150EDC">
              <w:rPr>
                <w:sz w:val="20"/>
              </w:rPr>
              <w:t>preserving</w:t>
            </w:r>
            <w:r w:rsidRPr="00150EDC">
              <w:rPr>
                <w:spacing w:val="-8"/>
                <w:sz w:val="20"/>
              </w:rPr>
              <w:t xml:space="preserve"> </w:t>
            </w:r>
            <w:r w:rsidRPr="00150EDC">
              <w:rPr>
                <w:spacing w:val="-4"/>
                <w:sz w:val="20"/>
              </w:rPr>
              <w:t>wreck</w:t>
            </w:r>
          </w:p>
        </w:tc>
      </w:tr>
      <w:tr w:rsidR="004569EE" w:rsidRPr="007D3144" w14:paraId="1818872A" w14:textId="77777777">
        <w:trPr>
          <w:trHeight w:val="255"/>
        </w:trPr>
        <w:tc>
          <w:tcPr>
            <w:tcW w:w="13944" w:type="dxa"/>
            <w:gridSpan w:val="2"/>
          </w:tcPr>
          <w:p w14:paraId="5B3B96E4" w14:textId="77777777" w:rsidR="004C7180" w:rsidRPr="00150EDC" w:rsidRDefault="00CF0754">
            <w:pPr>
              <w:pStyle w:val="TableParagraph"/>
              <w:rPr>
                <w:sz w:val="20"/>
              </w:rPr>
            </w:pPr>
            <w:r w:rsidRPr="00150EDC">
              <w:rPr>
                <w:sz w:val="20"/>
              </w:rPr>
              <w:t>Any</w:t>
            </w:r>
            <w:r w:rsidRPr="00150EDC">
              <w:rPr>
                <w:spacing w:val="-7"/>
                <w:sz w:val="20"/>
              </w:rPr>
              <w:t xml:space="preserve"> </w:t>
            </w:r>
            <w:r w:rsidRPr="00150EDC">
              <w:rPr>
                <w:sz w:val="20"/>
              </w:rPr>
              <w:t>offence of</w:t>
            </w:r>
            <w:r w:rsidRPr="00150EDC">
              <w:rPr>
                <w:spacing w:val="-5"/>
                <w:sz w:val="20"/>
              </w:rPr>
              <w:t xml:space="preserve"> </w:t>
            </w:r>
            <w:r w:rsidRPr="00150EDC">
              <w:rPr>
                <w:sz w:val="20"/>
              </w:rPr>
              <w:t>attempting</w:t>
            </w:r>
            <w:r w:rsidRPr="00150EDC">
              <w:rPr>
                <w:spacing w:val="-6"/>
                <w:sz w:val="20"/>
              </w:rPr>
              <w:t xml:space="preserve"> </w:t>
            </w:r>
            <w:r w:rsidRPr="00150EDC">
              <w:rPr>
                <w:sz w:val="20"/>
              </w:rPr>
              <w:t>or</w:t>
            </w:r>
            <w:r w:rsidRPr="00150EDC">
              <w:rPr>
                <w:spacing w:val="-5"/>
                <w:sz w:val="20"/>
              </w:rPr>
              <w:t xml:space="preserve"> </w:t>
            </w:r>
            <w:r w:rsidRPr="00150EDC">
              <w:rPr>
                <w:sz w:val="20"/>
              </w:rPr>
              <w:t>conspiring</w:t>
            </w:r>
            <w:r w:rsidRPr="00150EDC">
              <w:rPr>
                <w:spacing w:val="-5"/>
                <w:sz w:val="20"/>
              </w:rPr>
              <w:t xml:space="preserve"> </w:t>
            </w:r>
            <w:r w:rsidRPr="00150EDC">
              <w:rPr>
                <w:sz w:val="20"/>
              </w:rPr>
              <w:t>to</w:t>
            </w:r>
            <w:r w:rsidRPr="00150EDC">
              <w:rPr>
                <w:spacing w:val="-5"/>
                <w:sz w:val="20"/>
              </w:rPr>
              <w:t xml:space="preserve"> </w:t>
            </w:r>
            <w:r w:rsidRPr="00150EDC">
              <w:rPr>
                <w:sz w:val="20"/>
              </w:rPr>
              <w:t>commit any</w:t>
            </w:r>
            <w:r w:rsidRPr="00150EDC">
              <w:rPr>
                <w:spacing w:val="-4"/>
                <w:sz w:val="20"/>
              </w:rPr>
              <w:t xml:space="preserve"> </w:t>
            </w:r>
            <w:r w:rsidRPr="00150EDC">
              <w:rPr>
                <w:sz w:val="20"/>
              </w:rPr>
              <w:t>offence</w:t>
            </w:r>
            <w:r w:rsidRPr="00150EDC">
              <w:rPr>
                <w:spacing w:val="-5"/>
                <w:sz w:val="20"/>
              </w:rPr>
              <w:t xml:space="preserve"> </w:t>
            </w:r>
            <w:r w:rsidRPr="00150EDC">
              <w:rPr>
                <w:sz w:val="20"/>
              </w:rPr>
              <w:t>specified</w:t>
            </w:r>
            <w:r w:rsidRPr="00150EDC">
              <w:rPr>
                <w:spacing w:val="-5"/>
                <w:sz w:val="20"/>
              </w:rPr>
              <w:t xml:space="preserve"> </w:t>
            </w:r>
            <w:r w:rsidRPr="00150EDC">
              <w:rPr>
                <w:spacing w:val="-2"/>
                <w:sz w:val="20"/>
              </w:rPr>
              <w:t>above</w:t>
            </w:r>
          </w:p>
        </w:tc>
      </w:tr>
      <w:tr w:rsidR="004569EE" w:rsidRPr="007D3144" w14:paraId="06A13594" w14:textId="77777777">
        <w:trPr>
          <w:trHeight w:val="255"/>
        </w:trPr>
        <w:tc>
          <w:tcPr>
            <w:tcW w:w="13944" w:type="dxa"/>
            <w:gridSpan w:val="2"/>
          </w:tcPr>
          <w:p w14:paraId="0006240A" w14:textId="77777777" w:rsidR="004C7180" w:rsidRPr="00150EDC" w:rsidRDefault="00CF0754">
            <w:pPr>
              <w:pStyle w:val="TableParagraph"/>
              <w:rPr>
                <w:sz w:val="20"/>
              </w:rPr>
            </w:pPr>
            <w:r w:rsidRPr="00150EDC">
              <w:rPr>
                <w:sz w:val="20"/>
              </w:rPr>
              <w:t>Any</w:t>
            </w:r>
            <w:r w:rsidRPr="00150EDC">
              <w:rPr>
                <w:spacing w:val="-8"/>
                <w:sz w:val="20"/>
              </w:rPr>
              <w:t xml:space="preserve"> </w:t>
            </w:r>
            <w:r w:rsidRPr="00150EDC">
              <w:rPr>
                <w:sz w:val="20"/>
              </w:rPr>
              <w:t>offence</w:t>
            </w:r>
            <w:r w:rsidRPr="00150EDC">
              <w:rPr>
                <w:spacing w:val="-2"/>
                <w:sz w:val="20"/>
              </w:rPr>
              <w:t xml:space="preserve"> </w:t>
            </w:r>
            <w:r w:rsidRPr="00150EDC">
              <w:rPr>
                <w:sz w:val="20"/>
              </w:rPr>
              <w:t>of</w:t>
            </w:r>
            <w:r w:rsidRPr="00150EDC">
              <w:rPr>
                <w:spacing w:val="-6"/>
                <w:sz w:val="20"/>
              </w:rPr>
              <w:t xml:space="preserve"> </w:t>
            </w:r>
            <w:r w:rsidRPr="00150EDC">
              <w:rPr>
                <w:sz w:val="20"/>
              </w:rPr>
              <w:t>inciting,</w:t>
            </w:r>
            <w:r w:rsidRPr="00150EDC">
              <w:rPr>
                <w:spacing w:val="-1"/>
                <w:sz w:val="20"/>
              </w:rPr>
              <w:t xml:space="preserve"> </w:t>
            </w:r>
            <w:r w:rsidRPr="00150EDC">
              <w:rPr>
                <w:sz w:val="20"/>
              </w:rPr>
              <w:t>or</w:t>
            </w:r>
            <w:r w:rsidRPr="00150EDC">
              <w:rPr>
                <w:spacing w:val="-2"/>
                <w:sz w:val="20"/>
              </w:rPr>
              <w:t xml:space="preserve"> </w:t>
            </w:r>
            <w:r w:rsidRPr="00150EDC">
              <w:rPr>
                <w:sz w:val="20"/>
              </w:rPr>
              <w:t>aiding,</w:t>
            </w:r>
            <w:r w:rsidRPr="00150EDC">
              <w:rPr>
                <w:spacing w:val="-6"/>
                <w:sz w:val="20"/>
              </w:rPr>
              <w:t xml:space="preserve"> </w:t>
            </w:r>
            <w:r w:rsidRPr="00150EDC">
              <w:rPr>
                <w:sz w:val="20"/>
              </w:rPr>
              <w:t>abetting,</w:t>
            </w:r>
            <w:r w:rsidRPr="00150EDC">
              <w:rPr>
                <w:spacing w:val="-7"/>
                <w:sz w:val="20"/>
              </w:rPr>
              <w:t xml:space="preserve"> </w:t>
            </w:r>
            <w:r w:rsidRPr="00150EDC">
              <w:rPr>
                <w:sz w:val="20"/>
              </w:rPr>
              <w:t>counselling</w:t>
            </w:r>
            <w:r w:rsidRPr="00150EDC">
              <w:rPr>
                <w:spacing w:val="-6"/>
                <w:sz w:val="20"/>
              </w:rPr>
              <w:t xml:space="preserve"> </w:t>
            </w:r>
            <w:r w:rsidRPr="00150EDC">
              <w:rPr>
                <w:sz w:val="20"/>
              </w:rPr>
              <w:t>or</w:t>
            </w:r>
            <w:r w:rsidRPr="00150EDC">
              <w:rPr>
                <w:spacing w:val="-3"/>
                <w:sz w:val="20"/>
              </w:rPr>
              <w:t xml:space="preserve"> </w:t>
            </w:r>
            <w:r w:rsidRPr="00150EDC">
              <w:rPr>
                <w:sz w:val="20"/>
              </w:rPr>
              <w:t>procuring</w:t>
            </w:r>
            <w:r w:rsidRPr="00150EDC">
              <w:rPr>
                <w:spacing w:val="-6"/>
                <w:sz w:val="20"/>
              </w:rPr>
              <w:t xml:space="preserve"> </w:t>
            </w:r>
            <w:r w:rsidRPr="00150EDC">
              <w:rPr>
                <w:sz w:val="20"/>
              </w:rPr>
              <w:t>the</w:t>
            </w:r>
            <w:r w:rsidRPr="00150EDC">
              <w:rPr>
                <w:spacing w:val="-2"/>
                <w:sz w:val="20"/>
              </w:rPr>
              <w:t xml:space="preserve"> </w:t>
            </w:r>
            <w:r w:rsidRPr="00150EDC">
              <w:rPr>
                <w:sz w:val="20"/>
              </w:rPr>
              <w:t>commission</w:t>
            </w:r>
            <w:r w:rsidRPr="00150EDC">
              <w:rPr>
                <w:spacing w:val="-6"/>
                <w:sz w:val="20"/>
              </w:rPr>
              <w:t xml:space="preserve"> </w:t>
            </w:r>
            <w:r w:rsidRPr="00150EDC">
              <w:rPr>
                <w:sz w:val="20"/>
              </w:rPr>
              <w:t>of</w:t>
            </w:r>
            <w:r w:rsidRPr="00150EDC">
              <w:rPr>
                <w:spacing w:val="-2"/>
                <w:sz w:val="20"/>
              </w:rPr>
              <w:t xml:space="preserve"> </w:t>
            </w:r>
            <w:r w:rsidRPr="00150EDC">
              <w:rPr>
                <w:sz w:val="20"/>
              </w:rPr>
              <w:t>any</w:t>
            </w:r>
            <w:r w:rsidRPr="00150EDC">
              <w:rPr>
                <w:spacing w:val="-5"/>
                <w:sz w:val="20"/>
              </w:rPr>
              <w:t xml:space="preserve"> </w:t>
            </w:r>
            <w:r w:rsidRPr="00150EDC">
              <w:rPr>
                <w:sz w:val="20"/>
              </w:rPr>
              <w:t>offence</w:t>
            </w:r>
            <w:r w:rsidRPr="00150EDC">
              <w:rPr>
                <w:spacing w:val="-6"/>
                <w:sz w:val="20"/>
              </w:rPr>
              <w:t xml:space="preserve"> </w:t>
            </w:r>
            <w:r w:rsidRPr="00150EDC">
              <w:rPr>
                <w:sz w:val="20"/>
              </w:rPr>
              <w:t>specified</w:t>
            </w:r>
            <w:r w:rsidRPr="00150EDC">
              <w:rPr>
                <w:spacing w:val="-6"/>
                <w:sz w:val="20"/>
              </w:rPr>
              <w:t xml:space="preserve"> </w:t>
            </w:r>
            <w:r w:rsidRPr="00150EDC">
              <w:rPr>
                <w:spacing w:val="-2"/>
                <w:sz w:val="20"/>
              </w:rPr>
              <w:t>above</w:t>
            </w:r>
          </w:p>
        </w:tc>
      </w:tr>
      <w:tr w:rsidR="004569EE" w:rsidRPr="007D3144" w14:paraId="697C5119" w14:textId="77777777">
        <w:trPr>
          <w:trHeight w:val="460"/>
        </w:trPr>
        <w:tc>
          <w:tcPr>
            <w:tcW w:w="13944" w:type="dxa"/>
            <w:gridSpan w:val="2"/>
          </w:tcPr>
          <w:p w14:paraId="71912D1B" w14:textId="77777777" w:rsidR="004C7180" w:rsidRPr="00150EDC" w:rsidRDefault="00CF0754">
            <w:pPr>
              <w:pStyle w:val="TableParagraph"/>
              <w:spacing w:before="0" w:line="230" w:lineRule="atLeast"/>
              <w:rPr>
                <w:sz w:val="20"/>
                <w:szCs w:val="20"/>
              </w:rPr>
            </w:pPr>
            <w:r w:rsidRPr="00150EDC">
              <w:rPr>
                <w:sz w:val="20"/>
                <w:szCs w:val="20"/>
              </w:rPr>
              <w:t>Any</w:t>
            </w:r>
            <w:r w:rsidRPr="00150EDC">
              <w:rPr>
                <w:spacing w:val="-3"/>
                <w:sz w:val="20"/>
                <w:szCs w:val="20"/>
              </w:rPr>
              <w:t xml:space="preserve"> </w:t>
            </w:r>
            <w:r w:rsidRPr="00150EDC">
              <w:rPr>
                <w:sz w:val="20"/>
                <w:szCs w:val="20"/>
              </w:rPr>
              <w:t>offence under</w:t>
            </w:r>
            <w:r w:rsidRPr="00150EDC">
              <w:rPr>
                <w:spacing w:val="-4"/>
                <w:sz w:val="20"/>
                <w:szCs w:val="20"/>
              </w:rPr>
              <w:t xml:space="preserve"> </w:t>
            </w:r>
            <w:r w:rsidRPr="00150EDC">
              <w:rPr>
                <w:sz w:val="20"/>
                <w:szCs w:val="20"/>
              </w:rPr>
              <w:t>the law</w:t>
            </w:r>
            <w:r w:rsidRPr="00150EDC">
              <w:rPr>
                <w:spacing w:val="-2"/>
                <w:sz w:val="20"/>
                <w:szCs w:val="20"/>
              </w:rPr>
              <w:t xml:space="preserve"> </w:t>
            </w:r>
            <w:r w:rsidRPr="00150EDC">
              <w:rPr>
                <w:sz w:val="20"/>
                <w:szCs w:val="20"/>
              </w:rPr>
              <w:t>of</w:t>
            </w:r>
            <w:r w:rsidRPr="00150EDC">
              <w:rPr>
                <w:spacing w:val="-4"/>
                <w:sz w:val="20"/>
                <w:szCs w:val="20"/>
              </w:rPr>
              <w:t xml:space="preserve"> </w:t>
            </w:r>
            <w:r w:rsidRPr="00150EDC">
              <w:rPr>
                <w:sz w:val="20"/>
                <w:szCs w:val="20"/>
              </w:rPr>
              <w:t>Scotland</w:t>
            </w:r>
            <w:r w:rsidRPr="00150EDC">
              <w:rPr>
                <w:spacing w:val="-4"/>
                <w:sz w:val="20"/>
                <w:szCs w:val="20"/>
              </w:rPr>
              <w:t xml:space="preserve"> </w:t>
            </w:r>
            <w:r w:rsidRPr="00150EDC">
              <w:rPr>
                <w:sz w:val="20"/>
                <w:szCs w:val="20"/>
              </w:rPr>
              <w:t>or Northern</w:t>
            </w:r>
            <w:r w:rsidRPr="00150EDC">
              <w:rPr>
                <w:spacing w:val="-4"/>
                <w:sz w:val="20"/>
                <w:szCs w:val="20"/>
              </w:rPr>
              <w:t xml:space="preserve"> </w:t>
            </w:r>
            <w:r w:rsidRPr="00150EDC">
              <w:rPr>
                <w:sz w:val="20"/>
                <w:szCs w:val="20"/>
              </w:rPr>
              <w:t>Ireland or</w:t>
            </w:r>
            <w:r w:rsidRPr="00150EDC">
              <w:rPr>
                <w:spacing w:val="-4"/>
                <w:sz w:val="20"/>
                <w:szCs w:val="20"/>
              </w:rPr>
              <w:t xml:space="preserve"> </w:t>
            </w:r>
            <w:r w:rsidRPr="00150EDC">
              <w:rPr>
                <w:sz w:val="20"/>
                <w:szCs w:val="20"/>
              </w:rPr>
              <w:t>any territory</w:t>
            </w:r>
            <w:r w:rsidRPr="00150EDC">
              <w:rPr>
                <w:spacing w:val="-3"/>
                <w:sz w:val="20"/>
                <w:szCs w:val="20"/>
              </w:rPr>
              <w:t xml:space="preserve"> </w:t>
            </w:r>
            <w:r w:rsidRPr="00150EDC">
              <w:rPr>
                <w:sz w:val="20"/>
                <w:szCs w:val="20"/>
              </w:rPr>
              <w:t>outside</w:t>
            </w:r>
            <w:r w:rsidRPr="00150EDC">
              <w:rPr>
                <w:spacing w:val="-4"/>
                <w:sz w:val="20"/>
                <w:szCs w:val="20"/>
              </w:rPr>
              <w:t xml:space="preserve"> </w:t>
            </w:r>
            <w:r w:rsidRPr="00150EDC">
              <w:rPr>
                <w:sz w:val="20"/>
                <w:szCs w:val="20"/>
              </w:rPr>
              <w:t>the</w:t>
            </w:r>
            <w:r w:rsidRPr="00150EDC">
              <w:rPr>
                <w:spacing w:val="-4"/>
                <w:sz w:val="20"/>
                <w:szCs w:val="20"/>
              </w:rPr>
              <w:t xml:space="preserve"> </w:t>
            </w:r>
            <w:r w:rsidRPr="00150EDC">
              <w:rPr>
                <w:sz w:val="20"/>
                <w:szCs w:val="20"/>
              </w:rPr>
              <w:t>United</w:t>
            </w:r>
            <w:r w:rsidRPr="00150EDC">
              <w:rPr>
                <w:spacing w:val="-4"/>
                <w:sz w:val="20"/>
                <w:szCs w:val="20"/>
              </w:rPr>
              <w:t xml:space="preserve"> </w:t>
            </w:r>
            <w:r w:rsidRPr="00150EDC">
              <w:rPr>
                <w:sz w:val="20"/>
                <w:szCs w:val="20"/>
              </w:rPr>
              <w:t>Kingdom</w:t>
            </w:r>
            <w:r w:rsidRPr="00150EDC">
              <w:rPr>
                <w:spacing w:val="-4"/>
                <w:sz w:val="20"/>
                <w:szCs w:val="20"/>
              </w:rPr>
              <w:t xml:space="preserve"> </w:t>
            </w:r>
            <w:r w:rsidRPr="00150EDC">
              <w:rPr>
                <w:sz w:val="20"/>
                <w:szCs w:val="20"/>
              </w:rPr>
              <w:t>which</w:t>
            </w:r>
            <w:r w:rsidRPr="00150EDC">
              <w:rPr>
                <w:spacing w:val="-4"/>
                <w:sz w:val="20"/>
                <w:szCs w:val="20"/>
              </w:rPr>
              <w:t xml:space="preserve"> </w:t>
            </w:r>
            <w:r w:rsidRPr="00150EDC">
              <w:rPr>
                <w:sz w:val="20"/>
                <w:szCs w:val="20"/>
              </w:rPr>
              <w:t>corresponds</w:t>
            </w:r>
            <w:r w:rsidRPr="00150EDC">
              <w:rPr>
                <w:spacing w:val="-3"/>
                <w:sz w:val="20"/>
                <w:szCs w:val="20"/>
              </w:rPr>
              <w:t xml:space="preserve"> </w:t>
            </w:r>
            <w:r w:rsidRPr="00150EDC">
              <w:rPr>
                <w:sz w:val="20"/>
                <w:szCs w:val="20"/>
              </w:rPr>
              <w:t>to an offence under</w:t>
            </w:r>
            <w:r w:rsidRPr="00150EDC">
              <w:rPr>
                <w:spacing w:val="-4"/>
                <w:sz w:val="20"/>
                <w:szCs w:val="20"/>
              </w:rPr>
              <w:t xml:space="preserve"> </w:t>
            </w:r>
            <w:r w:rsidRPr="00150EDC">
              <w:rPr>
                <w:sz w:val="20"/>
                <w:szCs w:val="20"/>
              </w:rPr>
              <w:t>the</w:t>
            </w:r>
            <w:r w:rsidRPr="00150EDC">
              <w:rPr>
                <w:spacing w:val="-4"/>
                <w:sz w:val="20"/>
                <w:szCs w:val="20"/>
              </w:rPr>
              <w:t xml:space="preserve"> </w:t>
            </w:r>
            <w:r w:rsidRPr="00150EDC">
              <w:rPr>
                <w:sz w:val="20"/>
                <w:szCs w:val="20"/>
              </w:rPr>
              <w:t>law</w:t>
            </w:r>
            <w:r w:rsidRPr="00150EDC">
              <w:rPr>
                <w:spacing w:val="-2"/>
                <w:sz w:val="20"/>
                <w:szCs w:val="20"/>
              </w:rPr>
              <w:t xml:space="preserve"> </w:t>
            </w:r>
            <w:r w:rsidRPr="00150EDC">
              <w:rPr>
                <w:sz w:val="20"/>
                <w:szCs w:val="20"/>
              </w:rPr>
              <w:t>of England and Wales specified above</w:t>
            </w:r>
          </w:p>
        </w:tc>
      </w:tr>
    </w:tbl>
    <w:p w14:paraId="61401042" w14:textId="77777777" w:rsidR="004C7180" w:rsidRPr="00150EDC" w:rsidRDefault="004C7180">
      <w:pPr>
        <w:spacing w:line="230" w:lineRule="atLeast"/>
        <w:rPr>
          <w:sz w:val="20"/>
        </w:rPr>
        <w:sectPr w:rsidR="004C7180" w:rsidRPr="00150EDC">
          <w:footerReference w:type="default" r:id="rId154"/>
          <w:pgSz w:w="16840" w:h="11910" w:orient="landscape"/>
          <w:pgMar w:top="1340" w:right="1320" w:bottom="280" w:left="1340" w:header="0" w:footer="0" w:gutter="0"/>
          <w:cols w:space="720"/>
        </w:sectPr>
      </w:pPr>
    </w:p>
    <w:p w14:paraId="71BCAE8E" w14:textId="77777777" w:rsidR="004C7180" w:rsidRPr="00150EDC" w:rsidRDefault="00CF0754">
      <w:pPr>
        <w:pStyle w:val="Heading1"/>
        <w:spacing w:before="62"/>
        <w:ind w:left="1080" w:firstLine="0"/>
      </w:pPr>
      <w:bookmarkStart w:id="111" w:name="Order_Special_Schedule_24_-_Collaboratio"/>
      <w:bookmarkStart w:id="112" w:name="Order_Schedule_24_(Collaboration)"/>
      <w:bookmarkEnd w:id="111"/>
      <w:bookmarkEnd w:id="112"/>
      <w:r w:rsidRPr="00150EDC">
        <w:lastRenderedPageBreak/>
        <w:t>Order</w:t>
      </w:r>
      <w:r w:rsidRPr="00150EDC">
        <w:rPr>
          <w:spacing w:val="-5"/>
        </w:rPr>
        <w:t xml:space="preserve"> </w:t>
      </w:r>
      <w:r w:rsidRPr="00150EDC">
        <w:t>Schedule</w:t>
      </w:r>
      <w:r w:rsidRPr="00150EDC">
        <w:rPr>
          <w:spacing w:val="-4"/>
        </w:rPr>
        <w:t xml:space="preserve"> </w:t>
      </w:r>
      <w:r w:rsidRPr="00150EDC">
        <w:t>24</w:t>
      </w:r>
      <w:r w:rsidRPr="00150EDC">
        <w:rPr>
          <w:spacing w:val="-4"/>
        </w:rPr>
        <w:t xml:space="preserve"> </w:t>
      </w:r>
      <w:r w:rsidRPr="00150EDC">
        <w:rPr>
          <w:spacing w:val="-2"/>
        </w:rPr>
        <w:t>(Collaboration)</w:t>
      </w:r>
    </w:p>
    <w:p w14:paraId="6E818414" w14:textId="77777777" w:rsidR="004C7180" w:rsidRPr="00150EDC" w:rsidRDefault="004C7180">
      <w:pPr>
        <w:pStyle w:val="BodyText"/>
        <w:rPr>
          <w:b/>
          <w:sz w:val="40"/>
        </w:rPr>
      </w:pPr>
    </w:p>
    <w:p w14:paraId="79B4F543" w14:textId="77777777" w:rsidR="004C7180" w:rsidRPr="00150EDC" w:rsidRDefault="00CF0754">
      <w:pPr>
        <w:pStyle w:val="Heading4"/>
        <w:numPr>
          <w:ilvl w:val="0"/>
          <w:numId w:val="6"/>
        </w:numPr>
        <w:tabs>
          <w:tab w:val="left" w:pos="1339"/>
        </w:tabs>
        <w:spacing w:before="295"/>
        <w:ind w:left="1339" w:hanging="359"/>
        <w:jc w:val="both"/>
        <w:rPr>
          <w:b w:val="0"/>
        </w:rPr>
      </w:pPr>
      <w:r w:rsidRPr="00150EDC">
        <w:rPr>
          <w:spacing w:val="-2"/>
        </w:rPr>
        <w:t>BACKGROUND</w:t>
      </w:r>
    </w:p>
    <w:p w14:paraId="2E32113D" w14:textId="77777777" w:rsidR="004C7180" w:rsidRPr="00150EDC" w:rsidRDefault="004C7180">
      <w:pPr>
        <w:pStyle w:val="BodyText"/>
        <w:spacing w:before="10"/>
        <w:rPr>
          <w:b/>
          <w:sz w:val="20"/>
        </w:rPr>
      </w:pPr>
    </w:p>
    <w:p w14:paraId="51CC1B6A" w14:textId="77777777" w:rsidR="004C7180" w:rsidRPr="00150EDC" w:rsidRDefault="00CF0754">
      <w:pPr>
        <w:pStyle w:val="ListParagraph"/>
        <w:numPr>
          <w:ilvl w:val="1"/>
          <w:numId w:val="6"/>
        </w:numPr>
        <w:tabs>
          <w:tab w:val="left" w:pos="1381"/>
        </w:tabs>
        <w:ind w:right="1075" w:firstLine="0"/>
        <w:jc w:val="both"/>
        <w:rPr>
          <w:sz w:val="24"/>
        </w:rPr>
      </w:pPr>
      <w:r w:rsidRPr="00150EDC">
        <w:rPr>
          <w:sz w:val="24"/>
        </w:rPr>
        <w:t>The</w:t>
      </w:r>
      <w:r w:rsidRPr="00150EDC">
        <w:rPr>
          <w:spacing w:val="-2"/>
          <w:sz w:val="24"/>
        </w:rPr>
        <w:t xml:space="preserve"> </w:t>
      </w:r>
      <w:r w:rsidRPr="00150EDC">
        <w:rPr>
          <w:sz w:val="24"/>
        </w:rPr>
        <w:t>Buyer</w:t>
      </w:r>
      <w:r w:rsidRPr="00150EDC">
        <w:rPr>
          <w:spacing w:val="-4"/>
          <w:sz w:val="24"/>
        </w:rPr>
        <w:t xml:space="preserve"> </w:t>
      </w:r>
      <w:r w:rsidRPr="00150EDC">
        <w:rPr>
          <w:sz w:val="24"/>
        </w:rPr>
        <w:t>has</w:t>
      </w:r>
      <w:r w:rsidRPr="00150EDC">
        <w:rPr>
          <w:spacing w:val="-3"/>
          <w:sz w:val="24"/>
        </w:rPr>
        <w:t xml:space="preserve"> </w:t>
      </w:r>
      <w:r w:rsidRPr="00150EDC">
        <w:rPr>
          <w:sz w:val="24"/>
        </w:rPr>
        <w:t>appointed</w:t>
      </w:r>
      <w:r w:rsidRPr="00150EDC">
        <w:rPr>
          <w:spacing w:val="-2"/>
          <w:sz w:val="24"/>
        </w:rPr>
        <w:t xml:space="preserve"> </w:t>
      </w:r>
      <w:r w:rsidRPr="00150EDC">
        <w:rPr>
          <w:sz w:val="24"/>
        </w:rPr>
        <w:t>the</w:t>
      </w:r>
      <w:r w:rsidRPr="00150EDC">
        <w:rPr>
          <w:spacing w:val="-2"/>
          <w:sz w:val="24"/>
        </w:rPr>
        <w:t xml:space="preserve"> </w:t>
      </w:r>
      <w:r w:rsidRPr="00150EDC">
        <w:rPr>
          <w:sz w:val="24"/>
        </w:rPr>
        <w:t>following</w:t>
      </w:r>
      <w:r w:rsidRPr="00150EDC">
        <w:rPr>
          <w:spacing w:val="-2"/>
          <w:sz w:val="24"/>
        </w:rPr>
        <w:t xml:space="preserve"> </w:t>
      </w:r>
      <w:r w:rsidRPr="00150EDC">
        <w:rPr>
          <w:sz w:val="24"/>
        </w:rPr>
        <w:t>three</w:t>
      </w:r>
      <w:r w:rsidRPr="00150EDC">
        <w:rPr>
          <w:spacing w:val="-2"/>
          <w:sz w:val="24"/>
        </w:rPr>
        <w:t xml:space="preserve"> </w:t>
      </w:r>
      <w:r w:rsidRPr="00150EDC">
        <w:rPr>
          <w:sz w:val="24"/>
        </w:rPr>
        <w:t>key</w:t>
      </w:r>
      <w:r w:rsidRPr="00150EDC">
        <w:rPr>
          <w:spacing w:val="-5"/>
          <w:sz w:val="24"/>
        </w:rPr>
        <w:t xml:space="preserve"> </w:t>
      </w:r>
      <w:r w:rsidRPr="00150EDC">
        <w:rPr>
          <w:sz w:val="24"/>
        </w:rPr>
        <w:t>suppliers</w:t>
      </w:r>
      <w:r w:rsidRPr="00150EDC">
        <w:rPr>
          <w:spacing w:val="-3"/>
          <w:sz w:val="24"/>
        </w:rPr>
        <w:t xml:space="preserve"> </w:t>
      </w:r>
      <w:r w:rsidRPr="00150EDC">
        <w:rPr>
          <w:sz w:val="24"/>
        </w:rPr>
        <w:t>in</w:t>
      </w:r>
      <w:r w:rsidRPr="00150EDC">
        <w:rPr>
          <w:spacing w:val="-2"/>
          <w:sz w:val="24"/>
        </w:rPr>
        <w:t xml:space="preserve"> </w:t>
      </w:r>
      <w:r w:rsidRPr="00150EDC">
        <w:rPr>
          <w:sz w:val="24"/>
        </w:rPr>
        <w:t>relation</w:t>
      </w:r>
      <w:r w:rsidRPr="00150EDC">
        <w:rPr>
          <w:spacing w:val="-2"/>
          <w:sz w:val="24"/>
        </w:rPr>
        <w:t xml:space="preserve"> </w:t>
      </w:r>
      <w:r w:rsidRPr="00150EDC">
        <w:rPr>
          <w:sz w:val="24"/>
        </w:rPr>
        <w:t>to</w:t>
      </w:r>
      <w:r w:rsidRPr="00150EDC">
        <w:rPr>
          <w:spacing w:val="-2"/>
          <w:sz w:val="24"/>
        </w:rPr>
        <w:t xml:space="preserve"> </w:t>
      </w:r>
      <w:r w:rsidRPr="00150EDC">
        <w:rPr>
          <w:sz w:val="24"/>
        </w:rPr>
        <w:t>the</w:t>
      </w:r>
      <w:r w:rsidRPr="00150EDC">
        <w:rPr>
          <w:spacing w:val="-4"/>
          <w:sz w:val="24"/>
        </w:rPr>
        <w:t xml:space="preserve"> </w:t>
      </w:r>
      <w:r w:rsidRPr="00150EDC">
        <w:rPr>
          <w:sz w:val="24"/>
        </w:rPr>
        <w:t>What Works strand of the Multiply Programme ("Programme"):</w:t>
      </w:r>
    </w:p>
    <w:p w14:paraId="1E448B93" w14:textId="77777777" w:rsidR="004C7180" w:rsidRPr="00150EDC" w:rsidRDefault="004C7180">
      <w:pPr>
        <w:pStyle w:val="BodyText"/>
        <w:spacing w:before="10"/>
        <w:rPr>
          <w:sz w:val="20"/>
        </w:rPr>
      </w:pPr>
    </w:p>
    <w:p w14:paraId="46AB469E" w14:textId="77777777" w:rsidR="004C7180" w:rsidRPr="00150EDC" w:rsidRDefault="00CF0754">
      <w:pPr>
        <w:pStyle w:val="ListParagraph"/>
        <w:numPr>
          <w:ilvl w:val="0"/>
          <w:numId w:val="4"/>
        </w:numPr>
        <w:tabs>
          <w:tab w:val="left" w:pos="1692"/>
        </w:tabs>
        <w:ind w:right="1093"/>
        <w:jc w:val="left"/>
        <w:rPr>
          <w:sz w:val="24"/>
        </w:rPr>
      </w:pPr>
      <w:r w:rsidRPr="00150EDC">
        <w:rPr>
          <w:sz w:val="24"/>
        </w:rPr>
        <w:t>A Product Development Supplier (as notified to the Supplier by the Buyer) to develop</w:t>
      </w:r>
      <w:r w:rsidRPr="00150EDC">
        <w:rPr>
          <w:spacing w:val="-1"/>
          <w:sz w:val="24"/>
        </w:rPr>
        <w:t xml:space="preserve"> </w:t>
      </w:r>
      <w:r w:rsidRPr="00150EDC">
        <w:rPr>
          <w:sz w:val="24"/>
        </w:rPr>
        <w:t>and/or</w:t>
      </w:r>
      <w:r w:rsidRPr="00150EDC">
        <w:rPr>
          <w:spacing w:val="-3"/>
          <w:sz w:val="24"/>
        </w:rPr>
        <w:t xml:space="preserve"> </w:t>
      </w:r>
      <w:r w:rsidRPr="00150EDC">
        <w:rPr>
          <w:sz w:val="24"/>
        </w:rPr>
        <w:t>refine</w:t>
      </w:r>
      <w:r w:rsidRPr="00150EDC">
        <w:rPr>
          <w:spacing w:val="-3"/>
          <w:sz w:val="24"/>
        </w:rPr>
        <w:t xml:space="preserve"> </w:t>
      </w:r>
      <w:r w:rsidRPr="00150EDC">
        <w:rPr>
          <w:sz w:val="24"/>
        </w:rPr>
        <w:t>products</w:t>
      </w:r>
      <w:r w:rsidRPr="00150EDC">
        <w:rPr>
          <w:spacing w:val="-4"/>
          <w:sz w:val="24"/>
        </w:rPr>
        <w:t xml:space="preserve"> </w:t>
      </w:r>
      <w:r w:rsidRPr="00150EDC">
        <w:rPr>
          <w:sz w:val="24"/>
        </w:rPr>
        <w:t>or</w:t>
      </w:r>
      <w:r w:rsidRPr="00150EDC">
        <w:rPr>
          <w:spacing w:val="-3"/>
          <w:sz w:val="24"/>
        </w:rPr>
        <w:t xml:space="preserve"> </w:t>
      </w:r>
      <w:r w:rsidRPr="00150EDC">
        <w:rPr>
          <w:sz w:val="24"/>
        </w:rPr>
        <w:t>approaches</w:t>
      </w:r>
      <w:r w:rsidRPr="00150EDC">
        <w:rPr>
          <w:spacing w:val="-4"/>
          <w:sz w:val="24"/>
        </w:rPr>
        <w:t xml:space="preserve"> </w:t>
      </w:r>
      <w:r w:rsidRPr="00150EDC">
        <w:rPr>
          <w:sz w:val="24"/>
        </w:rPr>
        <w:t>that</w:t>
      </w:r>
      <w:r w:rsidRPr="00150EDC">
        <w:rPr>
          <w:spacing w:val="-1"/>
          <w:sz w:val="24"/>
        </w:rPr>
        <w:t xml:space="preserve"> </w:t>
      </w:r>
      <w:r w:rsidRPr="00150EDC">
        <w:rPr>
          <w:sz w:val="24"/>
        </w:rPr>
        <w:t>will</w:t>
      </w:r>
      <w:r w:rsidRPr="00150EDC">
        <w:rPr>
          <w:spacing w:val="-2"/>
          <w:sz w:val="24"/>
        </w:rPr>
        <w:t xml:space="preserve"> </w:t>
      </w:r>
      <w:r w:rsidRPr="00150EDC">
        <w:rPr>
          <w:sz w:val="24"/>
        </w:rPr>
        <w:t>be</w:t>
      </w:r>
      <w:r w:rsidRPr="00150EDC">
        <w:rPr>
          <w:spacing w:val="-1"/>
          <w:sz w:val="24"/>
        </w:rPr>
        <w:t xml:space="preserve"> </w:t>
      </w:r>
      <w:r w:rsidRPr="00150EDC">
        <w:rPr>
          <w:sz w:val="24"/>
        </w:rPr>
        <w:t>tested</w:t>
      </w:r>
      <w:r w:rsidRPr="00150EDC">
        <w:rPr>
          <w:spacing w:val="-3"/>
          <w:sz w:val="24"/>
        </w:rPr>
        <w:t xml:space="preserve"> </w:t>
      </w:r>
      <w:r w:rsidRPr="00150EDC">
        <w:rPr>
          <w:sz w:val="24"/>
        </w:rPr>
        <w:t>as</w:t>
      </w:r>
      <w:r w:rsidRPr="00150EDC">
        <w:rPr>
          <w:spacing w:val="-2"/>
          <w:sz w:val="24"/>
        </w:rPr>
        <w:t xml:space="preserve"> </w:t>
      </w:r>
      <w:r w:rsidRPr="00150EDC">
        <w:rPr>
          <w:sz w:val="24"/>
        </w:rPr>
        <w:t>part</w:t>
      </w:r>
      <w:r w:rsidRPr="00150EDC">
        <w:rPr>
          <w:spacing w:val="-1"/>
          <w:sz w:val="24"/>
        </w:rPr>
        <w:t xml:space="preserve"> </w:t>
      </w:r>
      <w:r w:rsidRPr="00150EDC">
        <w:rPr>
          <w:sz w:val="24"/>
        </w:rPr>
        <w:t>of</w:t>
      </w:r>
      <w:r w:rsidRPr="00150EDC">
        <w:rPr>
          <w:spacing w:val="-4"/>
          <w:sz w:val="24"/>
        </w:rPr>
        <w:t xml:space="preserve"> </w:t>
      </w:r>
      <w:r w:rsidRPr="00150EDC">
        <w:rPr>
          <w:sz w:val="24"/>
        </w:rPr>
        <w:t>the Trials ("Product Development Supplier").</w:t>
      </w:r>
    </w:p>
    <w:p w14:paraId="33C0E86D" w14:textId="77777777" w:rsidR="004C7180" w:rsidRPr="00150EDC" w:rsidRDefault="004C7180">
      <w:pPr>
        <w:pStyle w:val="BodyText"/>
        <w:spacing w:before="10"/>
        <w:rPr>
          <w:sz w:val="20"/>
        </w:rPr>
      </w:pPr>
    </w:p>
    <w:p w14:paraId="0AA16CF3" w14:textId="651DC316" w:rsidR="004C7180" w:rsidRPr="00150EDC" w:rsidRDefault="00CF0754">
      <w:pPr>
        <w:pStyle w:val="ListParagraph"/>
        <w:numPr>
          <w:ilvl w:val="0"/>
          <w:numId w:val="4"/>
        </w:numPr>
        <w:tabs>
          <w:tab w:val="left" w:pos="1692"/>
        </w:tabs>
        <w:ind w:right="1057" w:hanging="528"/>
        <w:jc w:val="left"/>
        <w:rPr>
          <w:sz w:val="24"/>
          <w:szCs w:val="24"/>
        </w:rPr>
      </w:pPr>
      <w:r w:rsidRPr="00150EDC">
        <w:rPr>
          <w:sz w:val="24"/>
          <w:szCs w:val="24"/>
        </w:rPr>
        <w:t>A</w:t>
      </w:r>
      <w:r w:rsidRPr="00150EDC">
        <w:rPr>
          <w:spacing w:val="-2"/>
          <w:sz w:val="24"/>
          <w:szCs w:val="24"/>
        </w:rPr>
        <w:t xml:space="preserve"> </w:t>
      </w:r>
      <w:r w:rsidRPr="00150EDC">
        <w:rPr>
          <w:sz w:val="24"/>
          <w:szCs w:val="24"/>
        </w:rPr>
        <w:t>Management</w:t>
      </w:r>
      <w:r w:rsidRPr="00150EDC">
        <w:rPr>
          <w:spacing w:val="-2"/>
          <w:sz w:val="24"/>
          <w:szCs w:val="24"/>
        </w:rPr>
        <w:t xml:space="preserve"> </w:t>
      </w:r>
      <w:r w:rsidRPr="00150EDC">
        <w:rPr>
          <w:sz w:val="24"/>
          <w:szCs w:val="24"/>
        </w:rPr>
        <w:t>of</w:t>
      </w:r>
      <w:r w:rsidRPr="00150EDC">
        <w:rPr>
          <w:spacing w:val="-2"/>
          <w:sz w:val="24"/>
          <w:szCs w:val="24"/>
        </w:rPr>
        <w:t xml:space="preserve"> </w:t>
      </w:r>
      <w:r w:rsidRPr="00150EDC">
        <w:rPr>
          <w:sz w:val="24"/>
          <w:szCs w:val="24"/>
        </w:rPr>
        <w:t>Intervention</w:t>
      </w:r>
      <w:r w:rsidRPr="00150EDC">
        <w:rPr>
          <w:spacing w:val="-2"/>
          <w:sz w:val="24"/>
          <w:szCs w:val="24"/>
        </w:rPr>
        <w:t xml:space="preserve"> </w:t>
      </w:r>
      <w:r w:rsidRPr="00150EDC">
        <w:rPr>
          <w:sz w:val="24"/>
          <w:szCs w:val="24"/>
        </w:rPr>
        <w:t>Delivery</w:t>
      </w:r>
      <w:r w:rsidRPr="00150EDC">
        <w:rPr>
          <w:spacing w:val="-3"/>
          <w:sz w:val="24"/>
          <w:szCs w:val="24"/>
        </w:rPr>
        <w:t xml:space="preserve"> </w:t>
      </w:r>
      <w:r w:rsidRPr="00150EDC">
        <w:rPr>
          <w:sz w:val="24"/>
          <w:szCs w:val="24"/>
        </w:rPr>
        <w:t>Supplier</w:t>
      </w:r>
      <w:r w:rsidRPr="00150EDC">
        <w:rPr>
          <w:spacing w:val="-4"/>
          <w:sz w:val="24"/>
          <w:szCs w:val="24"/>
        </w:rPr>
        <w:t xml:space="preserve"> </w:t>
      </w:r>
      <w:r w:rsidRPr="00150EDC">
        <w:rPr>
          <w:sz w:val="24"/>
          <w:szCs w:val="24"/>
        </w:rPr>
        <w:t>(</w:t>
      </w:r>
      <w:r w:rsidR="008262BA" w:rsidRPr="00150EDC">
        <w:rPr>
          <w:sz w:val="24"/>
          <w:szCs w:val="24"/>
        </w:rPr>
        <w:t>this Supplier</w:t>
      </w:r>
      <w:r w:rsidRPr="00150EDC">
        <w:rPr>
          <w:sz w:val="24"/>
          <w:szCs w:val="24"/>
        </w:rPr>
        <w:t xml:space="preserve">) to oversee aspects of the delivery of the numeracy learning interventions that will be tested as part of the Trials, working alongside local authorities and learning providers ("Management of Intervention Delivery </w:t>
      </w:r>
      <w:r w:rsidRPr="00150EDC">
        <w:rPr>
          <w:spacing w:val="-2"/>
          <w:sz w:val="24"/>
          <w:szCs w:val="24"/>
        </w:rPr>
        <w:t>Supplier").</w:t>
      </w:r>
    </w:p>
    <w:p w14:paraId="6DDD6776" w14:textId="77777777" w:rsidR="004C7180" w:rsidRPr="00150EDC" w:rsidRDefault="004C7180">
      <w:pPr>
        <w:pStyle w:val="BodyText"/>
        <w:spacing w:before="10"/>
        <w:rPr>
          <w:sz w:val="20"/>
        </w:rPr>
      </w:pPr>
    </w:p>
    <w:p w14:paraId="61D71B1E" w14:textId="30C5BB4C" w:rsidR="004C7180" w:rsidRPr="00150EDC" w:rsidRDefault="008262BA">
      <w:pPr>
        <w:pStyle w:val="ListParagraph"/>
        <w:numPr>
          <w:ilvl w:val="0"/>
          <w:numId w:val="4"/>
        </w:numPr>
        <w:tabs>
          <w:tab w:val="left" w:pos="1692"/>
        </w:tabs>
        <w:ind w:right="1337" w:hanging="584"/>
        <w:jc w:val="left"/>
        <w:rPr>
          <w:sz w:val="24"/>
          <w:szCs w:val="24"/>
        </w:rPr>
      </w:pPr>
      <w:r w:rsidRPr="00150EDC">
        <w:rPr>
          <w:spacing w:val="-3"/>
          <w:sz w:val="24"/>
          <w:szCs w:val="24"/>
        </w:rPr>
        <w:t>A</w:t>
      </w:r>
      <w:r w:rsidR="00864244" w:rsidRPr="00150EDC">
        <w:rPr>
          <w:spacing w:val="-3"/>
          <w:sz w:val="24"/>
          <w:szCs w:val="24"/>
        </w:rPr>
        <w:t xml:space="preserve"> </w:t>
      </w:r>
      <w:r w:rsidR="00CF0754" w:rsidRPr="00150EDC">
        <w:rPr>
          <w:sz w:val="24"/>
          <w:szCs w:val="24"/>
        </w:rPr>
        <w:t>Supplier,</w:t>
      </w:r>
      <w:r w:rsidR="00CF0754" w:rsidRPr="00150EDC">
        <w:rPr>
          <w:spacing w:val="-2"/>
          <w:sz w:val="24"/>
          <w:szCs w:val="24"/>
        </w:rPr>
        <w:t xml:space="preserve"> </w:t>
      </w:r>
      <w:r w:rsidRPr="00150EDC">
        <w:rPr>
          <w:spacing w:val="-2"/>
          <w:sz w:val="24"/>
          <w:szCs w:val="24"/>
        </w:rPr>
        <w:t xml:space="preserve">(as notified to the Supplier by the Buyer) </w:t>
      </w:r>
      <w:r w:rsidR="00CF0754" w:rsidRPr="00150EDC">
        <w:rPr>
          <w:sz w:val="24"/>
          <w:szCs w:val="24"/>
        </w:rPr>
        <w:t>who</w:t>
      </w:r>
      <w:r w:rsidR="00CF0754" w:rsidRPr="00150EDC">
        <w:rPr>
          <w:spacing w:val="-4"/>
          <w:sz w:val="24"/>
          <w:szCs w:val="24"/>
        </w:rPr>
        <w:t xml:space="preserve"> </w:t>
      </w:r>
      <w:r w:rsidR="00CF0754" w:rsidRPr="00150EDC">
        <w:rPr>
          <w:sz w:val="24"/>
          <w:szCs w:val="24"/>
        </w:rPr>
        <w:t>is</w:t>
      </w:r>
      <w:r w:rsidR="00CF0754" w:rsidRPr="00150EDC">
        <w:rPr>
          <w:spacing w:val="-3"/>
          <w:sz w:val="24"/>
          <w:szCs w:val="24"/>
        </w:rPr>
        <w:t xml:space="preserve"> </w:t>
      </w:r>
      <w:r w:rsidR="00CF0754" w:rsidRPr="00150EDC">
        <w:rPr>
          <w:sz w:val="24"/>
          <w:szCs w:val="24"/>
        </w:rPr>
        <w:t>appointed</w:t>
      </w:r>
      <w:r w:rsidR="00CF0754" w:rsidRPr="00150EDC">
        <w:rPr>
          <w:spacing w:val="-4"/>
          <w:sz w:val="24"/>
          <w:szCs w:val="24"/>
        </w:rPr>
        <w:t xml:space="preserve"> </w:t>
      </w:r>
      <w:r w:rsidR="00CF0754" w:rsidRPr="00150EDC">
        <w:rPr>
          <w:sz w:val="24"/>
          <w:szCs w:val="24"/>
        </w:rPr>
        <w:t>to</w:t>
      </w:r>
      <w:r w:rsidR="00CF0754" w:rsidRPr="00150EDC">
        <w:rPr>
          <w:spacing w:val="-4"/>
          <w:sz w:val="24"/>
          <w:szCs w:val="24"/>
        </w:rPr>
        <w:t xml:space="preserve"> </w:t>
      </w:r>
      <w:r w:rsidR="00CF0754" w:rsidRPr="00150EDC">
        <w:rPr>
          <w:sz w:val="24"/>
          <w:szCs w:val="24"/>
        </w:rPr>
        <w:t>design,</w:t>
      </w:r>
      <w:r w:rsidR="00CF0754" w:rsidRPr="00150EDC">
        <w:rPr>
          <w:spacing w:val="-2"/>
          <w:sz w:val="24"/>
          <w:szCs w:val="24"/>
        </w:rPr>
        <w:t xml:space="preserve"> </w:t>
      </w:r>
      <w:r w:rsidR="00CF0754" w:rsidRPr="00150EDC">
        <w:rPr>
          <w:sz w:val="24"/>
          <w:szCs w:val="24"/>
        </w:rPr>
        <w:t>deliver,</w:t>
      </w:r>
      <w:r w:rsidR="00CF0754" w:rsidRPr="00150EDC">
        <w:rPr>
          <w:spacing w:val="-2"/>
          <w:sz w:val="24"/>
          <w:szCs w:val="24"/>
        </w:rPr>
        <w:t xml:space="preserve"> </w:t>
      </w:r>
      <w:r w:rsidR="00CF0754" w:rsidRPr="00150EDC">
        <w:rPr>
          <w:sz w:val="24"/>
          <w:szCs w:val="24"/>
        </w:rPr>
        <w:t>quality</w:t>
      </w:r>
      <w:r w:rsidR="00CF0754" w:rsidRPr="00150EDC">
        <w:rPr>
          <w:spacing w:val="-5"/>
          <w:sz w:val="24"/>
          <w:szCs w:val="24"/>
        </w:rPr>
        <w:t xml:space="preserve"> </w:t>
      </w:r>
      <w:r w:rsidR="00CF0754" w:rsidRPr="00150EDC">
        <w:rPr>
          <w:sz w:val="24"/>
          <w:szCs w:val="24"/>
        </w:rPr>
        <w:t>assure</w:t>
      </w:r>
      <w:r w:rsidR="00CF0754" w:rsidRPr="00150EDC">
        <w:rPr>
          <w:spacing w:val="-4"/>
          <w:sz w:val="24"/>
          <w:szCs w:val="24"/>
        </w:rPr>
        <w:t xml:space="preserve"> </w:t>
      </w:r>
      <w:r w:rsidR="00CF0754" w:rsidRPr="00150EDC">
        <w:rPr>
          <w:sz w:val="24"/>
          <w:szCs w:val="24"/>
        </w:rPr>
        <w:t>and</w:t>
      </w:r>
      <w:r w:rsidR="00CF0754" w:rsidRPr="00150EDC">
        <w:rPr>
          <w:spacing w:val="-2"/>
          <w:sz w:val="24"/>
          <w:szCs w:val="24"/>
        </w:rPr>
        <w:t xml:space="preserve"> </w:t>
      </w:r>
      <w:r w:rsidR="00CF0754" w:rsidRPr="00150EDC">
        <w:rPr>
          <w:sz w:val="24"/>
          <w:szCs w:val="24"/>
        </w:rPr>
        <w:t>report on evaluation activity related to the Trials (“Evaluation Supplier”).</w:t>
      </w:r>
    </w:p>
    <w:p w14:paraId="1438347A" w14:textId="77777777" w:rsidR="004C7180" w:rsidRPr="00150EDC" w:rsidRDefault="004C7180">
      <w:pPr>
        <w:pStyle w:val="BodyText"/>
        <w:spacing w:before="10"/>
        <w:rPr>
          <w:sz w:val="20"/>
        </w:rPr>
      </w:pPr>
    </w:p>
    <w:p w14:paraId="4B41F959" w14:textId="77777777" w:rsidR="004C7180" w:rsidRPr="00150EDC" w:rsidRDefault="00CF0754">
      <w:pPr>
        <w:pStyle w:val="BodyText"/>
        <w:spacing w:line="259" w:lineRule="auto"/>
        <w:ind w:left="980"/>
      </w:pPr>
      <w:r w:rsidRPr="00150EDC">
        <w:t>The</w:t>
      </w:r>
      <w:r w:rsidRPr="00150EDC">
        <w:rPr>
          <w:spacing w:val="-12"/>
        </w:rPr>
        <w:t xml:space="preserve"> </w:t>
      </w:r>
      <w:r w:rsidRPr="00150EDC">
        <w:t>Product</w:t>
      </w:r>
      <w:r w:rsidRPr="00150EDC">
        <w:rPr>
          <w:spacing w:val="-10"/>
        </w:rPr>
        <w:t xml:space="preserve"> </w:t>
      </w:r>
      <w:r w:rsidRPr="00150EDC">
        <w:t>Development</w:t>
      </w:r>
      <w:r w:rsidRPr="00150EDC">
        <w:rPr>
          <w:spacing w:val="-12"/>
        </w:rPr>
        <w:t xml:space="preserve"> </w:t>
      </w:r>
      <w:r w:rsidRPr="00150EDC">
        <w:t>Supplier</w:t>
      </w:r>
      <w:r w:rsidRPr="00150EDC">
        <w:rPr>
          <w:spacing w:val="-13"/>
        </w:rPr>
        <w:t xml:space="preserve"> </w:t>
      </w:r>
      <w:r w:rsidRPr="00150EDC">
        <w:t>and</w:t>
      </w:r>
      <w:r w:rsidRPr="00150EDC">
        <w:rPr>
          <w:spacing w:val="-9"/>
        </w:rPr>
        <w:t xml:space="preserve"> </w:t>
      </w:r>
      <w:r w:rsidRPr="00150EDC">
        <w:t>Evaluation</w:t>
      </w:r>
      <w:r w:rsidRPr="00150EDC">
        <w:rPr>
          <w:spacing w:val="-12"/>
        </w:rPr>
        <w:t xml:space="preserve"> </w:t>
      </w:r>
      <w:r w:rsidRPr="00150EDC">
        <w:t>Supplier</w:t>
      </w:r>
      <w:r w:rsidRPr="00150EDC">
        <w:rPr>
          <w:spacing w:val="-13"/>
        </w:rPr>
        <w:t xml:space="preserve"> </w:t>
      </w:r>
      <w:r w:rsidRPr="00150EDC">
        <w:t>are</w:t>
      </w:r>
      <w:r w:rsidRPr="00150EDC">
        <w:rPr>
          <w:spacing w:val="-12"/>
        </w:rPr>
        <w:t xml:space="preserve"> </w:t>
      </w:r>
      <w:r w:rsidRPr="00150EDC">
        <w:t>defined</w:t>
      </w:r>
      <w:r w:rsidRPr="00150EDC">
        <w:rPr>
          <w:spacing w:val="-12"/>
        </w:rPr>
        <w:t xml:space="preserve"> </w:t>
      </w:r>
      <w:r w:rsidRPr="00150EDC">
        <w:t>as</w:t>
      </w:r>
      <w:r w:rsidRPr="00150EDC">
        <w:rPr>
          <w:spacing w:val="-13"/>
        </w:rPr>
        <w:t xml:space="preserve"> </w:t>
      </w:r>
      <w:r w:rsidRPr="00150EDC">
        <w:t>the</w:t>
      </w:r>
      <w:r w:rsidRPr="00150EDC">
        <w:rPr>
          <w:spacing w:val="-14"/>
        </w:rPr>
        <w:t xml:space="preserve"> </w:t>
      </w:r>
      <w:r w:rsidRPr="00150EDC">
        <w:t>"</w:t>
      </w:r>
      <w:r w:rsidRPr="00150EDC">
        <w:rPr>
          <w:b/>
        </w:rPr>
        <w:t xml:space="preserve">Other </w:t>
      </w:r>
      <w:r w:rsidRPr="00150EDC">
        <w:rPr>
          <w:b/>
          <w:spacing w:val="-2"/>
        </w:rPr>
        <w:t>Suppliers</w:t>
      </w:r>
      <w:r w:rsidRPr="00150EDC">
        <w:rPr>
          <w:spacing w:val="-2"/>
        </w:rPr>
        <w:t>".</w:t>
      </w:r>
    </w:p>
    <w:p w14:paraId="3D079AAE" w14:textId="65FFE6D5" w:rsidR="004C7180" w:rsidRPr="00150EDC" w:rsidRDefault="00CF0754">
      <w:pPr>
        <w:pStyle w:val="ListParagraph"/>
        <w:numPr>
          <w:ilvl w:val="1"/>
          <w:numId w:val="6"/>
        </w:numPr>
        <w:tabs>
          <w:tab w:val="left" w:pos="1399"/>
        </w:tabs>
        <w:spacing w:before="160" w:line="259" w:lineRule="auto"/>
        <w:ind w:right="1018" w:firstLine="0"/>
        <w:jc w:val="both"/>
        <w:rPr>
          <w:sz w:val="24"/>
        </w:rPr>
      </w:pPr>
      <w:r w:rsidRPr="00150EDC">
        <w:rPr>
          <w:noProof/>
          <w:lang w:val="en-GB" w:eastAsia="en-GB"/>
        </w:rPr>
        <mc:AlternateContent>
          <mc:Choice Requires="wps">
            <w:drawing>
              <wp:anchor distT="0" distB="0" distL="0" distR="0" simplePos="0" relativeHeight="251658250" behindDoc="0" locked="0" layoutInCell="1" allowOverlap="1" wp14:anchorId="2617419F" wp14:editId="653D479A">
                <wp:simplePos x="0" y="0"/>
                <wp:positionH relativeFrom="page">
                  <wp:posOffset>457200</wp:posOffset>
                </wp:positionH>
                <wp:positionV relativeFrom="paragraph">
                  <wp:posOffset>290269</wp:posOffset>
                </wp:positionV>
                <wp:extent cx="9525" cy="291465"/>
                <wp:effectExtent l="0" t="0" r="0" b="0"/>
                <wp:wrapNone/>
                <wp:docPr id="284" name="Free-form: Shape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291465"/>
                        </a:xfrm>
                        <a:custGeom>
                          <a:avLst/>
                          <a:gdLst/>
                          <a:ahLst/>
                          <a:cxnLst/>
                          <a:rect l="l" t="t" r="r" b="b"/>
                          <a:pathLst>
                            <a:path w="9525" h="291465">
                              <a:moveTo>
                                <a:pt x="9143" y="0"/>
                              </a:moveTo>
                              <a:lnTo>
                                <a:pt x="0" y="0"/>
                              </a:lnTo>
                              <a:lnTo>
                                <a:pt x="0" y="291084"/>
                              </a:lnTo>
                              <a:lnTo>
                                <a:pt x="9143" y="291084"/>
                              </a:lnTo>
                              <a:lnTo>
                                <a:pt x="91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C2751C" id="Free-form: Shape 284" o:spid="_x0000_s1026" style="position:absolute;margin-left:36pt;margin-top:22.85pt;width:.75pt;height:22.95pt;z-index:251658250;visibility:visible;mso-wrap-style:square;mso-wrap-distance-left:0;mso-wrap-distance-top:0;mso-wrap-distance-right:0;mso-wrap-distance-bottom:0;mso-position-horizontal:absolute;mso-position-horizontal-relative:page;mso-position-vertical:absolute;mso-position-vertical-relative:text;v-text-anchor:top" coordsize="9525,291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" path="m9143,l,,,291084r9143,l9143,xe" fillcolor="black" stroked="f">
                <v:path arrowok="t"/>
                <w10:wrap anchorx="page"/>
              </v:shape>
            </w:pict>
          </mc:Fallback>
        </mc:AlternateContent>
      </w:r>
      <w:r w:rsidRPr="00150EDC">
        <w:rPr>
          <w:sz w:val="24"/>
        </w:rPr>
        <w:t xml:space="preserve">The </w:t>
      </w:r>
      <w:r w:rsidR="005127E4" w:rsidRPr="00150EDC">
        <w:rPr>
          <w:sz w:val="24"/>
        </w:rPr>
        <w:t>M</w:t>
      </w:r>
      <w:r w:rsidRPr="00150EDC">
        <w:rPr>
          <w:sz w:val="24"/>
        </w:rPr>
        <w:t xml:space="preserve">anagement of </w:t>
      </w:r>
      <w:r w:rsidR="005127E4" w:rsidRPr="00150EDC">
        <w:rPr>
          <w:sz w:val="24"/>
        </w:rPr>
        <w:t>I</w:t>
      </w:r>
      <w:r w:rsidRPr="00150EDC">
        <w:rPr>
          <w:sz w:val="24"/>
        </w:rPr>
        <w:t xml:space="preserve">ntervention </w:t>
      </w:r>
      <w:r w:rsidR="005127E4" w:rsidRPr="00150EDC">
        <w:rPr>
          <w:sz w:val="24"/>
        </w:rPr>
        <w:t>D</w:t>
      </w:r>
      <w:r w:rsidRPr="00150EDC">
        <w:rPr>
          <w:sz w:val="24"/>
        </w:rPr>
        <w:t xml:space="preserve">elivery </w:t>
      </w:r>
      <w:r w:rsidR="005127E4" w:rsidRPr="00150EDC">
        <w:rPr>
          <w:sz w:val="24"/>
        </w:rPr>
        <w:t>S</w:t>
      </w:r>
      <w:r w:rsidRPr="00150EDC">
        <w:rPr>
          <w:sz w:val="24"/>
        </w:rPr>
        <w:t>upplier is required to collaborate with the Other Suppliers to:</w:t>
      </w:r>
    </w:p>
    <w:p w14:paraId="67C5ECC2" w14:textId="363024CF" w:rsidR="004C7180" w:rsidRPr="00150EDC" w:rsidRDefault="00CF0754">
      <w:pPr>
        <w:pStyle w:val="ListParagraph"/>
        <w:numPr>
          <w:ilvl w:val="0"/>
          <w:numId w:val="5"/>
        </w:numPr>
        <w:tabs>
          <w:tab w:val="left" w:pos="1398"/>
        </w:tabs>
        <w:spacing w:before="160" w:line="259" w:lineRule="auto"/>
        <w:ind w:right="1015" w:firstLine="0"/>
        <w:jc w:val="both"/>
        <w:rPr>
          <w:sz w:val="24"/>
        </w:rPr>
      </w:pPr>
      <w:r w:rsidRPr="00150EDC">
        <w:rPr>
          <w:sz w:val="24"/>
        </w:rPr>
        <w:t>receive products from the Product Development Supplier and liaise with the Product Development Supplier to understand the products and associated training needs and clarify any issues surrounding correct implementation of the products</w:t>
      </w:r>
      <w:r w:rsidR="00FE3DE1" w:rsidRPr="00150EDC">
        <w:rPr>
          <w:sz w:val="24"/>
        </w:rPr>
        <w:t>;</w:t>
      </w:r>
    </w:p>
    <w:p w14:paraId="2F18CFBB" w14:textId="5A516A32" w:rsidR="004C7180" w:rsidRPr="00150EDC" w:rsidRDefault="00CF0754">
      <w:pPr>
        <w:pStyle w:val="ListParagraph"/>
        <w:numPr>
          <w:ilvl w:val="0"/>
          <w:numId w:val="5"/>
        </w:numPr>
        <w:tabs>
          <w:tab w:val="left" w:pos="1348"/>
        </w:tabs>
        <w:spacing w:before="159" w:line="259" w:lineRule="auto"/>
        <w:ind w:right="1014" w:firstLine="0"/>
        <w:jc w:val="both"/>
        <w:rPr>
          <w:sz w:val="24"/>
        </w:rPr>
      </w:pPr>
      <w:r w:rsidRPr="00150EDC">
        <w:rPr>
          <w:noProof/>
          <w:lang w:val="en-GB" w:eastAsia="en-GB"/>
        </w:rPr>
        <mc:AlternateContent>
          <mc:Choice Requires="wps">
            <w:drawing>
              <wp:anchor distT="0" distB="0" distL="0" distR="0" simplePos="0" relativeHeight="251658251" behindDoc="0" locked="0" layoutInCell="1" allowOverlap="1" wp14:anchorId="7AF0CCC9" wp14:editId="02ED462A">
                <wp:simplePos x="0" y="0"/>
                <wp:positionH relativeFrom="page">
                  <wp:posOffset>457200</wp:posOffset>
                </wp:positionH>
                <wp:positionV relativeFrom="paragraph">
                  <wp:posOffset>478622</wp:posOffset>
                </wp:positionV>
                <wp:extent cx="9525" cy="1251585"/>
                <wp:effectExtent l="0" t="0" r="0" b="0"/>
                <wp:wrapNone/>
                <wp:docPr id="285" name="Free-form: Shape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1251585"/>
                        </a:xfrm>
                        <a:custGeom>
                          <a:avLst/>
                          <a:gdLst/>
                          <a:ahLst/>
                          <a:cxnLst/>
                          <a:rect l="l" t="t" r="r" b="b"/>
                          <a:pathLst>
                            <a:path w="9525" h="1251585">
                              <a:moveTo>
                                <a:pt x="9143" y="0"/>
                              </a:moveTo>
                              <a:lnTo>
                                <a:pt x="0" y="0"/>
                              </a:lnTo>
                              <a:lnTo>
                                <a:pt x="0" y="1251191"/>
                              </a:lnTo>
                              <a:lnTo>
                                <a:pt x="9143" y="1251191"/>
                              </a:lnTo>
                              <a:lnTo>
                                <a:pt x="91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3D67A5" id="Free-form: Shape 285" o:spid="_x0000_s1026" style="position:absolute;margin-left:36pt;margin-top:37.7pt;width:.75pt;height:98.55pt;z-index:251658251;visibility:visible;mso-wrap-style:square;mso-wrap-distance-left:0;mso-wrap-distance-top:0;mso-wrap-distance-right:0;mso-wrap-distance-bottom:0;mso-position-horizontal:absolute;mso-position-horizontal-relative:page;mso-position-vertical:absolute;mso-position-vertical-relative:text;v-text-anchor:top" coordsize="9525,1251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" path="m9143,l,,,1251191r9143,l9143,xe" fillcolor="black" stroked="f">
                <v:path arrowok="t"/>
                <w10:wrap anchorx="page"/>
              </v:shape>
            </w:pict>
          </mc:Fallback>
        </mc:AlternateContent>
      </w:r>
      <w:r w:rsidRPr="00150EDC">
        <w:rPr>
          <w:sz w:val="24"/>
        </w:rPr>
        <w:t xml:space="preserve">attend intervention design and evaluation approach meetings with the Evaluation Supplier and Product Development Supplier to discuss the intervention, understand how it will operate, </w:t>
      </w:r>
      <w:r w:rsidRPr="007D3144">
        <w:rPr>
          <w:sz w:val="24"/>
          <w:u w:val="single" w:color="0078D3"/>
        </w:rPr>
        <w:t>agree the recruitment approach (including any scripting and data</w:t>
      </w:r>
      <w:r w:rsidRPr="007D3144">
        <w:rPr>
          <w:sz w:val="24"/>
        </w:rPr>
        <w:t xml:space="preserve"> </w:t>
      </w:r>
      <w:r w:rsidRPr="007D3144">
        <w:rPr>
          <w:sz w:val="24"/>
          <w:u w:val="single" w:color="0078D3"/>
        </w:rPr>
        <w:t xml:space="preserve">collection) </w:t>
      </w:r>
      <w:r w:rsidRPr="00150EDC">
        <w:rPr>
          <w:sz w:val="24"/>
        </w:rPr>
        <w:t>and agree roles and responsibilities</w:t>
      </w:r>
      <w:r w:rsidR="00FE3DE1" w:rsidRPr="00150EDC">
        <w:rPr>
          <w:sz w:val="24"/>
        </w:rPr>
        <w:t>;</w:t>
      </w:r>
    </w:p>
    <w:p w14:paraId="65E5F912" w14:textId="2AB10E81" w:rsidR="004C7180" w:rsidRPr="00150EDC" w:rsidRDefault="00CF0754">
      <w:pPr>
        <w:pStyle w:val="ListParagraph"/>
        <w:numPr>
          <w:ilvl w:val="0"/>
          <w:numId w:val="5"/>
        </w:numPr>
        <w:tabs>
          <w:tab w:val="left" w:pos="1324"/>
        </w:tabs>
        <w:spacing w:before="159"/>
        <w:ind w:left="1324" w:hanging="344"/>
        <w:jc w:val="both"/>
        <w:rPr>
          <w:sz w:val="24"/>
        </w:rPr>
      </w:pPr>
      <w:r w:rsidRPr="00150EDC">
        <w:rPr>
          <w:sz w:val="24"/>
        </w:rPr>
        <w:t>liaise</w:t>
      </w:r>
      <w:r w:rsidRPr="00150EDC">
        <w:rPr>
          <w:spacing w:val="-3"/>
          <w:sz w:val="24"/>
        </w:rPr>
        <w:t xml:space="preserve"> </w:t>
      </w:r>
      <w:r w:rsidRPr="00150EDC">
        <w:rPr>
          <w:sz w:val="24"/>
        </w:rPr>
        <w:t>with</w:t>
      </w:r>
      <w:r w:rsidRPr="00150EDC">
        <w:rPr>
          <w:spacing w:val="-1"/>
          <w:sz w:val="24"/>
        </w:rPr>
        <w:t xml:space="preserve"> </w:t>
      </w:r>
      <w:r w:rsidRPr="00150EDC">
        <w:rPr>
          <w:sz w:val="24"/>
        </w:rPr>
        <w:t>the</w:t>
      </w:r>
      <w:r w:rsidRPr="00150EDC">
        <w:rPr>
          <w:spacing w:val="-2"/>
          <w:sz w:val="24"/>
        </w:rPr>
        <w:t xml:space="preserve"> </w:t>
      </w:r>
      <w:r w:rsidRPr="00150EDC">
        <w:rPr>
          <w:sz w:val="24"/>
        </w:rPr>
        <w:t>Evaluation</w:t>
      </w:r>
      <w:r w:rsidRPr="00150EDC">
        <w:rPr>
          <w:spacing w:val="-3"/>
          <w:sz w:val="24"/>
        </w:rPr>
        <w:t xml:space="preserve"> </w:t>
      </w:r>
      <w:r w:rsidRPr="00150EDC">
        <w:rPr>
          <w:sz w:val="24"/>
        </w:rPr>
        <w:t>Supplier</w:t>
      </w:r>
      <w:r w:rsidRPr="00150EDC">
        <w:rPr>
          <w:spacing w:val="-2"/>
          <w:sz w:val="24"/>
        </w:rPr>
        <w:t xml:space="preserve"> </w:t>
      </w:r>
      <w:r w:rsidRPr="00150EDC">
        <w:rPr>
          <w:sz w:val="24"/>
        </w:rPr>
        <w:t>on</w:t>
      </w:r>
      <w:r w:rsidRPr="00150EDC">
        <w:rPr>
          <w:spacing w:val="-3"/>
          <w:sz w:val="24"/>
        </w:rPr>
        <w:t xml:space="preserve"> </w:t>
      </w:r>
      <w:r w:rsidRPr="00150EDC">
        <w:rPr>
          <w:sz w:val="24"/>
        </w:rPr>
        <w:t>timing of</w:t>
      </w:r>
      <w:r w:rsidRPr="00150EDC">
        <w:rPr>
          <w:spacing w:val="-4"/>
          <w:sz w:val="24"/>
        </w:rPr>
        <w:t xml:space="preserve"> </w:t>
      </w:r>
      <w:r w:rsidRPr="00150EDC">
        <w:rPr>
          <w:sz w:val="24"/>
        </w:rPr>
        <w:t>the</w:t>
      </w:r>
      <w:r w:rsidRPr="00150EDC">
        <w:rPr>
          <w:spacing w:val="-2"/>
          <w:sz w:val="24"/>
        </w:rPr>
        <w:t xml:space="preserve"> Trials</w:t>
      </w:r>
      <w:r w:rsidR="00FE3DE1" w:rsidRPr="00150EDC">
        <w:rPr>
          <w:spacing w:val="-2"/>
          <w:sz w:val="24"/>
        </w:rPr>
        <w:t>;</w:t>
      </w:r>
    </w:p>
    <w:p w14:paraId="429113F6" w14:textId="6D9D416C" w:rsidR="004C7180" w:rsidRPr="00150EDC" w:rsidRDefault="00CF0754">
      <w:pPr>
        <w:pStyle w:val="ListParagraph"/>
        <w:numPr>
          <w:ilvl w:val="0"/>
          <w:numId w:val="5"/>
        </w:numPr>
        <w:tabs>
          <w:tab w:val="left" w:pos="1272"/>
        </w:tabs>
        <w:spacing w:before="183" w:line="259" w:lineRule="auto"/>
        <w:ind w:right="1015" w:firstLine="0"/>
        <w:jc w:val="both"/>
        <w:rPr>
          <w:sz w:val="24"/>
        </w:rPr>
      </w:pPr>
      <w:r w:rsidRPr="007D3144">
        <w:rPr>
          <w:sz w:val="24"/>
          <w:u w:val="single" w:color="0078D3"/>
        </w:rPr>
        <w:t xml:space="preserve"> liaise with the Evaluation Supplier on data capture needs of the evaluator</w:t>
      </w:r>
      <w:r w:rsidRPr="007D3144">
        <w:rPr>
          <w:sz w:val="24"/>
        </w:rPr>
        <w:t xml:space="preserve"> </w:t>
      </w:r>
      <w:r w:rsidRPr="007D3144">
        <w:rPr>
          <w:sz w:val="24"/>
          <w:u w:val="single" w:color="0078D3"/>
        </w:rPr>
        <w:t>during</w:t>
      </w:r>
      <w:r w:rsidRPr="007D3144">
        <w:rPr>
          <w:sz w:val="24"/>
        </w:rPr>
        <w:t xml:space="preserve"> </w:t>
      </w:r>
      <w:r w:rsidRPr="007D3144">
        <w:rPr>
          <w:sz w:val="24"/>
          <w:u w:val="single" w:color="0078D3"/>
        </w:rPr>
        <w:t>the recruitment</w:t>
      </w:r>
      <w:r w:rsidRPr="007D3144">
        <w:rPr>
          <w:sz w:val="24"/>
        </w:rPr>
        <w:t xml:space="preserve"> </w:t>
      </w:r>
      <w:r w:rsidRPr="007D3144">
        <w:rPr>
          <w:sz w:val="24"/>
          <w:u w:val="single" w:color="5C2D91"/>
        </w:rPr>
        <w:t>of the trials</w:t>
      </w:r>
      <w:r w:rsidR="00FE3DE1" w:rsidRPr="007D3144">
        <w:rPr>
          <w:sz w:val="24"/>
          <w:u w:val="single" w:color="5C2D91"/>
        </w:rPr>
        <w:t>;</w:t>
      </w:r>
      <w:r w:rsidRPr="007D3144">
        <w:rPr>
          <w:sz w:val="24"/>
          <w:u w:val="single" w:color="5C2D91"/>
        </w:rPr>
        <w:t xml:space="preserve"> and</w:t>
      </w:r>
    </w:p>
    <w:p w14:paraId="52B797D6" w14:textId="77777777" w:rsidR="004C7180" w:rsidRPr="00150EDC" w:rsidRDefault="00CF0754">
      <w:pPr>
        <w:pStyle w:val="ListParagraph"/>
        <w:numPr>
          <w:ilvl w:val="0"/>
          <w:numId w:val="5"/>
        </w:numPr>
        <w:tabs>
          <w:tab w:val="left" w:pos="1348"/>
        </w:tabs>
        <w:spacing w:before="160" w:line="259" w:lineRule="auto"/>
        <w:ind w:right="1015" w:firstLine="0"/>
        <w:jc w:val="both"/>
        <w:rPr>
          <w:sz w:val="24"/>
        </w:rPr>
      </w:pPr>
      <w:r w:rsidRPr="00150EDC">
        <w:rPr>
          <w:sz w:val="24"/>
        </w:rPr>
        <w:t>work with the Evaluation Supplier to ensure the trial quality assurance processes are aligned</w:t>
      </w:r>
    </w:p>
    <w:p w14:paraId="6848D3EB" w14:textId="3FC4DDA2" w:rsidR="004C7180" w:rsidRPr="00150EDC" w:rsidRDefault="00CF0754">
      <w:pPr>
        <w:pStyle w:val="ListParagraph"/>
        <w:numPr>
          <w:ilvl w:val="1"/>
          <w:numId w:val="6"/>
        </w:numPr>
        <w:tabs>
          <w:tab w:val="left" w:pos="1370"/>
        </w:tabs>
        <w:spacing w:before="159" w:line="259" w:lineRule="auto"/>
        <w:ind w:right="1016" w:firstLine="0"/>
        <w:jc w:val="both"/>
        <w:rPr>
          <w:sz w:val="24"/>
        </w:rPr>
      </w:pPr>
      <w:r w:rsidRPr="00150EDC">
        <w:rPr>
          <w:sz w:val="24"/>
        </w:rPr>
        <w:t>The</w:t>
      </w:r>
      <w:r w:rsidRPr="00150EDC">
        <w:rPr>
          <w:spacing w:val="-15"/>
          <w:sz w:val="24"/>
        </w:rPr>
        <w:t xml:space="preserve"> </w:t>
      </w:r>
      <w:r w:rsidR="00FE3DE1" w:rsidRPr="00150EDC">
        <w:rPr>
          <w:sz w:val="24"/>
        </w:rPr>
        <w:t>M</w:t>
      </w:r>
      <w:r w:rsidRPr="00150EDC">
        <w:rPr>
          <w:sz w:val="24"/>
        </w:rPr>
        <w:t>anagement</w:t>
      </w:r>
      <w:r w:rsidRPr="00150EDC">
        <w:rPr>
          <w:spacing w:val="-15"/>
          <w:sz w:val="24"/>
        </w:rPr>
        <w:t xml:space="preserve"> </w:t>
      </w:r>
      <w:r w:rsidRPr="00150EDC">
        <w:rPr>
          <w:sz w:val="24"/>
        </w:rPr>
        <w:t>of</w:t>
      </w:r>
      <w:r w:rsidRPr="00150EDC">
        <w:rPr>
          <w:spacing w:val="-15"/>
          <w:sz w:val="24"/>
        </w:rPr>
        <w:t xml:space="preserve"> </w:t>
      </w:r>
      <w:r w:rsidR="00FE3DE1" w:rsidRPr="00150EDC">
        <w:rPr>
          <w:sz w:val="24"/>
        </w:rPr>
        <w:t>I</w:t>
      </w:r>
      <w:r w:rsidRPr="00150EDC">
        <w:rPr>
          <w:sz w:val="24"/>
        </w:rPr>
        <w:t>ntervention</w:t>
      </w:r>
      <w:r w:rsidRPr="00150EDC">
        <w:rPr>
          <w:spacing w:val="-15"/>
          <w:sz w:val="24"/>
        </w:rPr>
        <w:t xml:space="preserve"> </w:t>
      </w:r>
      <w:r w:rsidR="00FE3DE1" w:rsidRPr="00150EDC">
        <w:rPr>
          <w:sz w:val="24"/>
        </w:rPr>
        <w:t>D</w:t>
      </w:r>
      <w:r w:rsidRPr="00150EDC">
        <w:rPr>
          <w:sz w:val="24"/>
        </w:rPr>
        <w:t>elivery</w:t>
      </w:r>
      <w:r w:rsidRPr="00150EDC">
        <w:rPr>
          <w:spacing w:val="-16"/>
          <w:sz w:val="24"/>
        </w:rPr>
        <w:t xml:space="preserve"> </w:t>
      </w:r>
      <w:r w:rsidR="00FE3DE1" w:rsidRPr="00150EDC">
        <w:rPr>
          <w:sz w:val="24"/>
        </w:rPr>
        <w:t>S</w:t>
      </w:r>
      <w:r w:rsidRPr="00150EDC">
        <w:rPr>
          <w:sz w:val="24"/>
        </w:rPr>
        <w:t>upplier</w:t>
      </w:r>
      <w:r w:rsidRPr="00150EDC">
        <w:rPr>
          <w:spacing w:val="-17"/>
          <w:sz w:val="24"/>
        </w:rPr>
        <w:t xml:space="preserve"> </w:t>
      </w:r>
      <w:r w:rsidRPr="00150EDC">
        <w:rPr>
          <w:sz w:val="24"/>
        </w:rPr>
        <w:t>shall</w:t>
      </w:r>
      <w:r w:rsidRPr="00150EDC">
        <w:rPr>
          <w:spacing w:val="-16"/>
          <w:sz w:val="24"/>
        </w:rPr>
        <w:t xml:space="preserve"> </w:t>
      </w:r>
      <w:r w:rsidRPr="00150EDC">
        <w:rPr>
          <w:sz w:val="24"/>
        </w:rPr>
        <w:t>co-operate</w:t>
      </w:r>
      <w:r w:rsidRPr="00150EDC">
        <w:rPr>
          <w:spacing w:val="-15"/>
          <w:sz w:val="24"/>
        </w:rPr>
        <w:t xml:space="preserve"> </w:t>
      </w:r>
      <w:r w:rsidRPr="00150EDC">
        <w:rPr>
          <w:sz w:val="24"/>
        </w:rPr>
        <w:t>and</w:t>
      </w:r>
      <w:r w:rsidRPr="00150EDC">
        <w:rPr>
          <w:spacing w:val="-15"/>
          <w:sz w:val="24"/>
        </w:rPr>
        <w:t xml:space="preserve"> </w:t>
      </w:r>
      <w:r w:rsidRPr="00150EDC">
        <w:rPr>
          <w:sz w:val="24"/>
        </w:rPr>
        <w:t>collaborate with the Other Suppliers as set out in this Schedule in order to support the Buyer in achieving the objectives of the Programme.</w:t>
      </w:r>
    </w:p>
    <w:p w14:paraId="4CF6BCC8" w14:textId="77777777" w:rsidR="004C7180" w:rsidRPr="00150EDC" w:rsidRDefault="00CF0754">
      <w:pPr>
        <w:pStyle w:val="ListParagraph"/>
        <w:numPr>
          <w:ilvl w:val="1"/>
          <w:numId w:val="6"/>
        </w:numPr>
        <w:tabs>
          <w:tab w:val="left" w:pos="1371"/>
        </w:tabs>
        <w:spacing w:before="157" w:line="261" w:lineRule="auto"/>
        <w:ind w:left="979" w:right="1016" w:firstLine="0"/>
        <w:jc w:val="both"/>
        <w:rPr>
          <w:sz w:val="24"/>
        </w:rPr>
      </w:pPr>
      <w:r w:rsidRPr="00150EDC">
        <w:rPr>
          <w:sz w:val="24"/>
        </w:rPr>
        <w:t>Unless</w:t>
      </w:r>
      <w:r w:rsidRPr="00150EDC">
        <w:rPr>
          <w:spacing w:val="-13"/>
          <w:sz w:val="24"/>
        </w:rPr>
        <w:t xml:space="preserve"> </w:t>
      </w:r>
      <w:r w:rsidRPr="00150EDC">
        <w:rPr>
          <w:sz w:val="24"/>
        </w:rPr>
        <w:t>otherwise</w:t>
      </w:r>
      <w:r w:rsidRPr="00150EDC">
        <w:rPr>
          <w:spacing w:val="-12"/>
          <w:sz w:val="24"/>
        </w:rPr>
        <w:t xml:space="preserve"> </w:t>
      </w:r>
      <w:r w:rsidRPr="00150EDC">
        <w:rPr>
          <w:sz w:val="24"/>
        </w:rPr>
        <w:t>defined</w:t>
      </w:r>
      <w:r w:rsidRPr="00150EDC">
        <w:rPr>
          <w:spacing w:val="-9"/>
          <w:sz w:val="24"/>
        </w:rPr>
        <w:t xml:space="preserve"> </w:t>
      </w:r>
      <w:r w:rsidRPr="00150EDC">
        <w:rPr>
          <w:sz w:val="24"/>
        </w:rPr>
        <w:t>in</w:t>
      </w:r>
      <w:r w:rsidRPr="00150EDC">
        <w:rPr>
          <w:spacing w:val="-12"/>
          <w:sz w:val="24"/>
        </w:rPr>
        <w:t xml:space="preserve"> </w:t>
      </w:r>
      <w:r w:rsidRPr="00150EDC">
        <w:rPr>
          <w:sz w:val="24"/>
        </w:rPr>
        <w:t>this</w:t>
      </w:r>
      <w:r w:rsidRPr="00150EDC">
        <w:rPr>
          <w:spacing w:val="-10"/>
          <w:sz w:val="24"/>
        </w:rPr>
        <w:t xml:space="preserve"> </w:t>
      </w:r>
      <w:r w:rsidRPr="00150EDC">
        <w:rPr>
          <w:sz w:val="24"/>
        </w:rPr>
        <w:t>Schedule,</w:t>
      </w:r>
      <w:r w:rsidRPr="00150EDC">
        <w:rPr>
          <w:spacing w:val="-10"/>
          <w:sz w:val="24"/>
        </w:rPr>
        <w:t xml:space="preserve"> </w:t>
      </w:r>
      <w:r w:rsidRPr="00150EDC">
        <w:rPr>
          <w:sz w:val="24"/>
        </w:rPr>
        <w:t>capitalised</w:t>
      </w:r>
      <w:r w:rsidRPr="00150EDC">
        <w:rPr>
          <w:spacing w:val="-12"/>
          <w:sz w:val="24"/>
        </w:rPr>
        <w:t xml:space="preserve"> </w:t>
      </w:r>
      <w:r w:rsidRPr="00150EDC">
        <w:rPr>
          <w:sz w:val="24"/>
        </w:rPr>
        <w:t>terms</w:t>
      </w:r>
      <w:r w:rsidRPr="00150EDC">
        <w:rPr>
          <w:spacing w:val="-13"/>
          <w:sz w:val="24"/>
        </w:rPr>
        <w:t xml:space="preserve"> </w:t>
      </w:r>
      <w:r w:rsidRPr="00150EDC">
        <w:rPr>
          <w:sz w:val="24"/>
        </w:rPr>
        <w:t>used</w:t>
      </w:r>
      <w:r w:rsidRPr="00150EDC">
        <w:rPr>
          <w:spacing w:val="-9"/>
          <w:sz w:val="24"/>
        </w:rPr>
        <w:t xml:space="preserve"> </w:t>
      </w:r>
      <w:r w:rsidRPr="00150EDC">
        <w:rPr>
          <w:sz w:val="24"/>
        </w:rPr>
        <w:t>in</w:t>
      </w:r>
      <w:r w:rsidRPr="00150EDC">
        <w:rPr>
          <w:spacing w:val="-12"/>
          <w:sz w:val="24"/>
        </w:rPr>
        <w:t xml:space="preserve"> </w:t>
      </w:r>
      <w:r w:rsidRPr="00150EDC">
        <w:rPr>
          <w:sz w:val="24"/>
        </w:rPr>
        <w:t>this</w:t>
      </w:r>
      <w:r w:rsidRPr="00150EDC">
        <w:rPr>
          <w:spacing w:val="-13"/>
          <w:sz w:val="24"/>
        </w:rPr>
        <w:t xml:space="preserve"> </w:t>
      </w:r>
      <w:r w:rsidRPr="00150EDC">
        <w:rPr>
          <w:sz w:val="24"/>
        </w:rPr>
        <w:t>Schedule shall have the meanings given to them in this Contract.</w:t>
      </w:r>
    </w:p>
    <w:p w14:paraId="30B51967" w14:textId="77777777" w:rsidR="004C7180" w:rsidRPr="00150EDC" w:rsidRDefault="004C7180">
      <w:pPr>
        <w:spacing w:line="261" w:lineRule="auto"/>
        <w:jc w:val="both"/>
        <w:rPr>
          <w:sz w:val="24"/>
        </w:rPr>
        <w:sectPr w:rsidR="004C7180" w:rsidRPr="00150EDC">
          <w:headerReference w:type="default" r:id="rId155"/>
          <w:footerReference w:type="default" r:id="rId156"/>
          <w:pgSz w:w="11910" w:h="16840"/>
          <w:pgMar w:top="1360" w:right="420" w:bottom="280" w:left="460" w:header="0" w:footer="0" w:gutter="0"/>
          <w:cols w:space="720"/>
        </w:sectPr>
      </w:pPr>
    </w:p>
    <w:p w14:paraId="2E9C489B" w14:textId="77777777" w:rsidR="004C7180" w:rsidRPr="00150EDC" w:rsidRDefault="004C7180">
      <w:pPr>
        <w:pStyle w:val="BodyText"/>
        <w:spacing w:before="4"/>
        <w:rPr>
          <w:sz w:val="28"/>
        </w:rPr>
      </w:pPr>
    </w:p>
    <w:p w14:paraId="3C9A2106" w14:textId="77777777" w:rsidR="004C7180" w:rsidRPr="00150EDC" w:rsidRDefault="00CF0754">
      <w:pPr>
        <w:pStyle w:val="Heading4"/>
        <w:numPr>
          <w:ilvl w:val="0"/>
          <w:numId w:val="6"/>
        </w:numPr>
        <w:tabs>
          <w:tab w:val="left" w:pos="1247"/>
        </w:tabs>
        <w:spacing w:before="93"/>
        <w:ind w:left="1247" w:hanging="267"/>
      </w:pPr>
      <w:r w:rsidRPr="00150EDC">
        <w:t>Management</w:t>
      </w:r>
      <w:r w:rsidRPr="00150EDC">
        <w:rPr>
          <w:spacing w:val="-8"/>
        </w:rPr>
        <w:t xml:space="preserve"> </w:t>
      </w:r>
      <w:r w:rsidRPr="00150EDC">
        <w:t>of</w:t>
      </w:r>
      <w:r w:rsidRPr="00150EDC">
        <w:rPr>
          <w:spacing w:val="-5"/>
        </w:rPr>
        <w:t xml:space="preserve"> </w:t>
      </w:r>
      <w:r w:rsidRPr="00150EDC">
        <w:t>Intervention</w:t>
      </w:r>
      <w:r w:rsidRPr="00150EDC">
        <w:rPr>
          <w:spacing w:val="-5"/>
        </w:rPr>
        <w:t xml:space="preserve"> </w:t>
      </w:r>
      <w:r w:rsidRPr="00150EDC">
        <w:t>Delivery</w:t>
      </w:r>
      <w:r w:rsidRPr="00150EDC">
        <w:rPr>
          <w:spacing w:val="-3"/>
        </w:rPr>
        <w:t xml:space="preserve"> </w:t>
      </w:r>
      <w:r w:rsidRPr="00150EDC">
        <w:t>Suppliers</w:t>
      </w:r>
      <w:r w:rsidRPr="00150EDC">
        <w:rPr>
          <w:spacing w:val="-5"/>
        </w:rPr>
        <w:t xml:space="preserve"> </w:t>
      </w:r>
      <w:r w:rsidRPr="00150EDC">
        <w:rPr>
          <w:spacing w:val="-2"/>
        </w:rPr>
        <w:t>Obligations</w:t>
      </w:r>
    </w:p>
    <w:p w14:paraId="7FF1BE4A" w14:textId="3BE220C9" w:rsidR="004C7180" w:rsidRPr="00150EDC" w:rsidRDefault="00CF0754">
      <w:pPr>
        <w:pStyle w:val="ListParagraph"/>
        <w:numPr>
          <w:ilvl w:val="1"/>
          <w:numId w:val="6"/>
        </w:numPr>
        <w:tabs>
          <w:tab w:val="left" w:pos="1382"/>
        </w:tabs>
        <w:spacing w:before="180"/>
        <w:ind w:left="1382" w:hanging="402"/>
        <w:rPr>
          <w:sz w:val="24"/>
        </w:rPr>
      </w:pPr>
      <w:r w:rsidRPr="00150EDC">
        <w:rPr>
          <w:sz w:val="24"/>
        </w:rPr>
        <w:t>The</w:t>
      </w:r>
      <w:r w:rsidRPr="00150EDC">
        <w:rPr>
          <w:spacing w:val="-4"/>
          <w:sz w:val="24"/>
        </w:rPr>
        <w:t xml:space="preserve"> </w:t>
      </w:r>
      <w:r w:rsidR="00FE3DE1" w:rsidRPr="00150EDC">
        <w:rPr>
          <w:sz w:val="24"/>
        </w:rPr>
        <w:t>M</w:t>
      </w:r>
      <w:r w:rsidRPr="00150EDC">
        <w:rPr>
          <w:sz w:val="24"/>
        </w:rPr>
        <w:t>anagement</w:t>
      </w:r>
      <w:r w:rsidRPr="00150EDC">
        <w:rPr>
          <w:spacing w:val="-6"/>
          <w:sz w:val="24"/>
        </w:rPr>
        <w:t xml:space="preserve"> </w:t>
      </w:r>
      <w:r w:rsidRPr="00150EDC">
        <w:rPr>
          <w:sz w:val="24"/>
        </w:rPr>
        <w:t>of</w:t>
      </w:r>
      <w:r w:rsidRPr="00150EDC">
        <w:rPr>
          <w:spacing w:val="-2"/>
          <w:sz w:val="24"/>
        </w:rPr>
        <w:t xml:space="preserve"> </w:t>
      </w:r>
      <w:r w:rsidR="00FE3DE1" w:rsidRPr="00150EDC">
        <w:rPr>
          <w:sz w:val="24"/>
        </w:rPr>
        <w:t>I</w:t>
      </w:r>
      <w:r w:rsidRPr="00150EDC">
        <w:rPr>
          <w:sz w:val="24"/>
        </w:rPr>
        <w:t>ntervention</w:t>
      </w:r>
      <w:r w:rsidRPr="00150EDC">
        <w:rPr>
          <w:spacing w:val="-1"/>
          <w:sz w:val="24"/>
        </w:rPr>
        <w:t xml:space="preserve"> </w:t>
      </w:r>
      <w:r w:rsidR="00FE3DE1" w:rsidRPr="00150EDC">
        <w:rPr>
          <w:sz w:val="24"/>
        </w:rPr>
        <w:t>D</w:t>
      </w:r>
      <w:r w:rsidRPr="00150EDC">
        <w:rPr>
          <w:sz w:val="24"/>
        </w:rPr>
        <w:t>elivery</w:t>
      </w:r>
      <w:r w:rsidRPr="00150EDC">
        <w:rPr>
          <w:spacing w:val="-3"/>
          <w:sz w:val="24"/>
        </w:rPr>
        <w:t xml:space="preserve"> </w:t>
      </w:r>
      <w:r w:rsidR="00FE3DE1" w:rsidRPr="00150EDC">
        <w:rPr>
          <w:sz w:val="24"/>
        </w:rPr>
        <w:t>S</w:t>
      </w:r>
      <w:r w:rsidRPr="00150EDC">
        <w:rPr>
          <w:sz w:val="24"/>
        </w:rPr>
        <w:t>upplier</w:t>
      </w:r>
      <w:r w:rsidRPr="00150EDC">
        <w:rPr>
          <w:spacing w:val="-3"/>
          <w:sz w:val="24"/>
        </w:rPr>
        <w:t xml:space="preserve"> </w:t>
      </w:r>
      <w:r w:rsidRPr="00150EDC">
        <w:rPr>
          <w:spacing w:val="-2"/>
          <w:sz w:val="24"/>
        </w:rPr>
        <w:t>shall:</w:t>
      </w:r>
    </w:p>
    <w:p w14:paraId="781E1849" w14:textId="77777777" w:rsidR="004C7180" w:rsidRPr="00150EDC" w:rsidRDefault="00CF0754">
      <w:pPr>
        <w:pStyle w:val="ListParagraph"/>
        <w:numPr>
          <w:ilvl w:val="2"/>
          <w:numId w:val="6"/>
        </w:numPr>
        <w:tabs>
          <w:tab w:val="left" w:pos="1607"/>
        </w:tabs>
        <w:spacing w:before="182" w:line="259" w:lineRule="auto"/>
        <w:ind w:right="1014" w:firstLine="0"/>
        <w:jc w:val="both"/>
        <w:rPr>
          <w:sz w:val="24"/>
        </w:rPr>
      </w:pPr>
      <w:r w:rsidRPr="00150EDC">
        <w:rPr>
          <w:sz w:val="24"/>
        </w:rPr>
        <w:t xml:space="preserve">co-operate with the Other Suppliers in all matters relating to the Programme, </w:t>
      </w:r>
      <w:r w:rsidRPr="00150EDC">
        <w:rPr>
          <w:spacing w:val="-2"/>
          <w:sz w:val="24"/>
        </w:rPr>
        <w:t>including:</w:t>
      </w:r>
    </w:p>
    <w:p w14:paraId="3596AF04" w14:textId="77777777" w:rsidR="004C7180" w:rsidRPr="00150EDC" w:rsidRDefault="004C7180">
      <w:pPr>
        <w:pStyle w:val="BodyText"/>
        <w:rPr>
          <w:sz w:val="26"/>
        </w:rPr>
      </w:pPr>
    </w:p>
    <w:p w14:paraId="70C50816" w14:textId="77777777" w:rsidR="004C7180" w:rsidRPr="00150EDC" w:rsidRDefault="00CF0754">
      <w:pPr>
        <w:pStyle w:val="ListParagraph"/>
        <w:numPr>
          <w:ilvl w:val="3"/>
          <w:numId w:val="6"/>
        </w:numPr>
        <w:tabs>
          <w:tab w:val="left" w:pos="1699"/>
        </w:tabs>
        <w:spacing w:before="159" w:line="259" w:lineRule="auto"/>
        <w:ind w:left="1699" w:right="1015" w:hanging="480"/>
        <w:jc w:val="both"/>
        <w:rPr>
          <w:sz w:val="24"/>
        </w:rPr>
      </w:pPr>
      <w:r w:rsidRPr="00150EDC">
        <w:rPr>
          <w:sz w:val="24"/>
        </w:rPr>
        <w:t xml:space="preserve">Promptly responding to the Other Suppliers' queries in relation to the </w:t>
      </w:r>
      <w:r w:rsidRPr="00150EDC">
        <w:rPr>
          <w:spacing w:val="-2"/>
          <w:sz w:val="24"/>
        </w:rPr>
        <w:t>Deliverables;</w:t>
      </w:r>
    </w:p>
    <w:p w14:paraId="51D439D0" w14:textId="77777777" w:rsidR="004C7180" w:rsidRPr="00150EDC" w:rsidRDefault="00CF0754">
      <w:pPr>
        <w:pStyle w:val="ListParagraph"/>
        <w:numPr>
          <w:ilvl w:val="3"/>
          <w:numId w:val="6"/>
        </w:numPr>
        <w:tabs>
          <w:tab w:val="left" w:pos="1696"/>
          <w:tab w:val="left" w:pos="1699"/>
        </w:tabs>
        <w:spacing w:line="259" w:lineRule="auto"/>
        <w:ind w:left="1699" w:right="1013" w:hanging="533"/>
        <w:jc w:val="both"/>
        <w:rPr>
          <w:sz w:val="24"/>
        </w:rPr>
      </w:pPr>
      <w:r w:rsidRPr="00150EDC">
        <w:rPr>
          <w:sz w:val="24"/>
        </w:rPr>
        <w:t>Within five (5) Working Days of the Other Suppliers' request (or such other timeframe agreed by the Supplier and the relevant Other Supplier in writing), supplying</w:t>
      </w:r>
      <w:r w:rsidRPr="00150EDC">
        <w:rPr>
          <w:spacing w:val="-17"/>
          <w:sz w:val="24"/>
        </w:rPr>
        <w:t xml:space="preserve"> </w:t>
      </w:r>
      <w:r w:rsidRPr="00150EDC">
        <w:rPr>
          <w:sz w:val="24"/>
        </w:rPr>
        <w:t>to</w:t>
      </w:r>
      <w:r w:rsidRPr="00150EDC">
        <w:rPr>
          <w:spacing w:val="-17"/>
          <w:sz w:val="24"/>
        </w:rPr>
        <w:t xml:space="preserve"> </w:t>
      </w:r>
      <w:r w:rsidRPr="00150EDC">
        <w:rPr>
          <w:sz w:val="24"/>
        </w:rPr>
        <w:t>the</w:t>
      </w:r>
      <w:r w:rsidRPr="00150EDC">
        <w:rPr>
          <w:spacing w:val="-16"/>
          <w:sz w:val="24"/>
        </w:rPr>
        <w:t xml:space="preserve"> </w:t>
      </w:r>
      <w:r w:rsidRPr="00150EDC">
        <w:rPr>
          <w:sz w:val="24"/>
        </w:rPr>
        <w:t>Other</w:t>
      </w:r>
      <w:r w:rsidRPr="00150EDC">
        <w:rPr>
          <w:spacing w:val="-17"/>
          <w:sz w:val="24"/>
        </w:rPr>
        <w:t xml:space="preserve"> </w:t>
      </w:r>
      <w:r w:rsidRPr="00150EDC">
        <w:rPr>
          <w:sz w:val="24"/>
        </w:rPr>
        <w:t>Suppliers</w:t>
      </w:r>
      <w:r w:rsidRPr="00150EDC">
        <w:rPr>
          <w:spacing w:val="-17"/>
          <w:sz w:val="24"/>
        </w:rPr>
        <w:t xml:space="preserve"> </w:t>
      </w:r>
      <w:r w:rsidRPr="00150EDC">
        <w:rPr>
          <w:sz w:val="24"/>
        </w:rPr>
        <w:t>such</w:t>
      </w:r>
      <w:r w:rsidRPr="00150EDC">
        <w:rPr>
          <w:spacing w:val="-17"/>
          <w:sz w:val="24"/>
        </w:rPr>
        <w:t xml:space="preserve"> </w:t>
      </w:r>
      <w:r w:rsidRPr="00150EDC">
        <w:rPr>
          <w:sz w:val="24"/>
        </w:rPr>
        <w:t>information</w:t>
      </w:r>
      <w:r w:rsidRPr="00150EDC">
        <w:rPr>
          <w:spacing w:val="-16"/>
          <w:sz w:val="24"/>
        </w:rPr>
        <w:t xml:space="preserve"> </w:t>
      </w:r>
      <w:r w:rsidRPr="00150EDC">
        <w:rPr>
          <w:sz w:val="24"/>
        </w:rPr>
        <w:t>and</w:t>
      </w:r>
      <w:r w:rsidRPr="00150EDC">
        <w:rPr>
          <w:spacing w:val="-17"/>
          <w:sz w:val="24"/>
        </w:rPr>
        <w:t xml:space="preserve"> </w:t>
      </w:r>
      <w:r w:rsidRPr="00150EDC">
        <w:rPr>
          <w:sz w:val="24"/>
        </w:rPr>
        <w:t>assistance</w:t>
      </w:r>
      <w:r w:rsidRPr="00150EDC">
        <w:rPr>
          <w:spacing w:val="-17"/>
          <w:sz w:val="24"/>
        </w:rPr>
        <w:t xml:space="preserve"> </w:t>
      </w:r>
      <w:r w:rsidRPr="00150EDC">
        <w:rPr>
          <w:sz w:val="24"/>
        </w:rPr>
        <w:t>as</w:t>
      </w:r>
      <w:r w:rsidRPr="00150EDC">
        <w:rPr>
          <w:spacing w:val="-16"/>
          <w:sz w:val="24"/>
        </w:rPr>
        <w:t xml:space="preserve"> </w:t>
      </w:r>
      <w:r w:rsidRPr="00150EDC">
        <w:rPr>
          <w:sz w:val="24"/>
        </w:rPr>
        <w:t>reasonably requested by the Other Suppliers relating to the Programme, to enable the Other Suppliers to perform their own obligations in relation to the Programme;</w:t>
      </w:r>
    </w:p>
    <w:p w14:paraId="55BACA49" w14:textId="77777777" w:rsidR="004C7180" w:rsidRPr="00150EDC" w:rsidRDefault="00CF0754">
      <w:pPr>
        <w:pStyle w:val="ListParagraph"/>
        <w:numPr>
          <w:ilvl w:val="3"/>
          <w:numId w:val="6"/>
        </w:numPr>
        <w:tabs>
          <w:tab w:val="left" w:pos="1697"/>
          <w:tab w:val="left" w:pos="1700"/>
        </w:tabs>
        <w:spacing w:line="259" w:lineRule="auto"/>
        <w:ind w:right="1015" w:hanging="586"/>
        <w:jc w:val="both"/>
        <w:rPr>
          <w:sz w:val="24"/>
        </w:rPr>
      </w:pPr>
      <w:r w:rsidRPr="00150EDC">
        <w:rPr>
          <w:sz w:val="24"/>
        </w:rPr>
        <w:t>Providing to the Other Suppliers all documents, information and materials it deems necessary in relation to the Programme, including as set out at paragraph 2.2 and 2.3 below; and</w:t>
      </w:r>
    </w:p>
    <w:p w14:paraId="79EF37AB" w14:textId="77777777" w:rsidR="004C7180" w:rsidRPr="00150EDC" w:rsidRDefault="00CF0754">
      <w:pPr>
        <w:pStyle w:val="ListParagraph"/>
        <w:numPr>
          <w:ilvl w:val="3"/>
          <w:numId w:val="6"/>
        </w:numPr>
        <w:tabs>
          <w:tab w:val="left" w:pos="1700"/>
        </w:tabs>
        <w:spacing w:line="259" w:lineRule="auto"/>
        <w:ind w:right="1016" w:hanging="600"/>
        <w:jc w:val="both"/>
        <w:rPr>
          <w:sz w:val="24"/>
        </w:rPr>
      </w:pPr>
      <w:r w:rsidRPr="00150EDC">
        <w:rPr>
          <w:sz w:val="24"/>
        </w:rPr>
        <w:t>Keeping the Other Suppliers regularly informed about the Supplier's own progress in relation to the Programme;</w:t>
      </w:r>
    </w:p>
    <w:p w14:paraId="6937A390" w14:textId="77777777" w:rsidR="004C7180" w:rsidRPr="00150EDC" w:rsidRDefault="00CF0754">
      <w:pPr>
        <w:pStyle w:val="ListParagraph"/>
        <w:numPr>
          <w:ilvl w:val="2"/>
          <w:numId w:val="6"/>
        </w:numPr>
        <w:tabs>
          <w:tab w:val="left" w:pos="1579"/>
        </w:tabs>
        <w:spacing w:before="157" w:line="259" w:lineRule="auto"/>
        <w:ind w:right="1014" w:firstLine="0"/>
        <w:jc w:val="both"/>
        <w:rPr>
          <w:sz w:val="24"/>
        </w:rPr>
      </w:pPr>
      <w:r w:rsidRPr="00150EDC">
        <w:rPr>
          <w:sz w:val="24"/>
        </w:rPr>
        <w:t>provide</w:t>
      </w:r>
      <w:r w:rsidRPr="00150EDC">
        <w:rPr>
          <w:spacing w:val="-7"/>
          <w:sz w:val="24"/>
        </w:rPr>
        <w:t xml:space="preserve"> </w:t>
      </w:r>
      <w:r w:rsidRPr="00150EDC">
        <w:rPr>
          <w:sz w:val="24"/>
        </w:rPr>
        <w:t>details</w:t>
      </w:r>
      <w:r w:rsidRPr="00150EDC">
        <w:rPr>
          <w:spacing w:val="-5"/>
          <w:sz w:val="24"/>
        </w:rPr>
        <w:t xml:space="preserve"> </w:t>
      </w:r>
      <w:r w:rsidRPr="00150EDC">
        <w:rPr>
          <w:sz w:val="24"/>
        </w:rPr>
        <w:t>of</w:t>
      </w:r>
      <w:r w:rsidRPr="00150EDC">
        <w:rPr>
          <w:spacing w:val="-7"/>
          <w:sz w:val="24"/>
        </w:rPr>
        <w:t xml:space="preserve"> </w:t>
      </w:r>
      <w:r w:rsidRPr="00150EDC">
        <w:rPr>
          <w:sz w:val="24"/>
        </w:rPr>
        <w:t>the</w:t>
      </w:r>
      <w:r w:rsidRPr="00150EDC">
        <w:rPr>
          <w:spacing w:val="-7"/>
          <w:sz w:val="24"/>
        </w:rPr>
        <w:t xml:space="preserve"> </w:t>
      </w:r>
      <w:r w:rsidRPr="00150EDC">
        <w:rPr>
          <w:sz w:val="24"/>
        </w:rPr>
        <w:t>Supplier</w:t>
      </w:r>
      <w:r w:rsidRPr="00150EDC">
        <w:rPr>
          <w:spacing w:val="-8"/>
          <w:sz w:val="24"/>
        </w:rPr>
        <w:t xml:space="preserve"> </w:t>
      </w:r>
      <w:r w:rsidRPr="00150EDC">
        <w:rPr>
          <w:sz w:val="24"/>
        </w:rPr>
        <w:t>Authorised</w:t>
      </w:r>
      <w:r w:rsidRPr="00150EDC">
        <w:rPr>
          <w:spacing w:val="-5"/>
          <w:sz w:val="24"/>
        </w:rPr>
        <w:t xml:space="preserve"> </w:t>
      </w:r>
      <w:r w:rsidRPr="00150EDC">
        <w:rPr>
          <w:sz w:val="24"/>
        </w:rPr>
        <w:t>Representative</w:t>
      </w:r>
      <w:r w:rsidRPr="00150EDC">
        <w:rPr>
          <w:spacing w:val="-7"/>
          <w:sz w:val="24"/>
        </w:rPr>
        <w:t xml:space="preserve"> </w:t>
      </w:r>
      <w:r w:rsidRPr="00150EDC">
        <w:rPr>
          <w:sz w:val="24"/>
        </w:rPr>
        <w:t>to</w:t>
      </w:r>
      <w:r w:rsidRPr="00150EDC">
        <w:rPr>
          <w:spacing w:val="-7"/>
          <w:sz w:val="24"/>
        </w:rPr>
        <w:t xml:space="preserve"> </w:t>
      </w:r>
      <w:r w:rsidRPr="00150EDC">
        <w:rPr>
          <w:sz w:val="24"/>
        </w:rPr>
        <w:t>the</w:t>
      </w:r>
      <w:r w:rsidRPr="00150EDC">
        <w:rPr>
          <w:spacing w:val="-5"/>
          <w:sz w:val="24"/>
        </w:rPr>
        <w:t xml:space="preserve"> </w:t>
      </w:r>
      <w:r w:rsidRPr="00150EDC">
        <w:rPr>
          <w:sz w:val="24"/>
        </w:rPr>
        <w:t>Other</w:t>
      </w:r>
      <w:r w:rsidRPr="00150EDC">
        <w:rPr>
          <w:spacing w:val="-6"/>
          <w:sz w:val="24"/>
        </w:rPr>
        <w:t xml:space="preserve"> </w:t>
      </w:r>
      <w:r w:rsidRPr="00150EDC">
        <w:rPr>
          <w:sz w:val="24"/>
        </w:rPr>
        <w:t>Suppliers that</w:t>
      </w:r>
      <w:r w:rsidRPr="00150EDC">
        <w:rPr>
          <w:spacing w:val="-16"/>
          <w:sz w:val="24"/>
        </w:rPr>
        <w:t xml:space="preserve"> </w:t>
      </w:r>
      <w:r w:rsidRPr="00150EDC">
        <w:rPr>
          <w:sz w:val="24"/>
        </w:rPr>
        <w:t>shall</w:t>
      </w:r>
      <w:r w:rsidRPr="00150EDC">
        <w:rPr>
          <w:spacing w:val="-14"/>
          <w:sz w:val="24"/>
        </w:rPr>
        <w:t xml:space="preserve"> </w:t>
      </w:r>
      <w:r w:rsidRPr="00150EDC">
        <w:rPr>
          <w:sz w:val="24"/>
        </w:rPr>
        <w:t>act</w:t>
      </w:r>
      <w:r w:rsidRPr="00150EDC">
        <w:rPr>
          <w:spacing w:val="-16"/>
          <w:sz w:val="24"/>
        </w:rPr>
        <w:t xml:space="preserve"> </w:t>
      </w:r>
      <w:r w:rsidRPr="00150EDC">
        <w:rPr>
          <w:sz w:val="24"/>
        </w:rPr>
        <w:t>on</w:t>
      </w:r>
      <w:r w:rsidRPr="00150EDC">
        <w:rPr>
          <w:spacing w:val="-15"/>
          <w:sz w:val="24"/>
        </w:rPr>
        <w:t xml:space="preserve"> </w:t>
      </w:r>
      <w:r w:rsidRPr="00150EDC">
        <w:rPr>
          <w:sz w:val="24"/>
        </w:rPr>
        <w:t>behalf</w:t>
      </w:r>
      <w:r w:rsidRPr="00150EDC">
        <w:rPr>
          <w:spacing w:val="-16"/>
          <w:sz w:val="24"/>
        </w:rPr>
        <w:t xml:space="preserve"> </w:t>
      </w:r>
      <w:r w:rsidRPr="00150EDC">
        <w:rPr>
          <w:sz w:val="24"/>
        </w:rPr>
        <w:t>of</w:t>
      </w:r>
      <w:r w:rsidRPr="00150EDC">
        <w:rPr>
          <w:spacing w:val="-13"/>
          <w:sz w:val="24"/>
        </w:rPr>
        <w:t xml:space="preserve"> </w:t>
      </w:r>
      <w:r w:rsidRPr="00150EDC">
        <w:rPr>
          <w:sz w:val="24"/>
        </w:rPr>
        <w:t>the</w:t>
      </w:r>
      <w:r w:rsidRPr="00150EDC">
        <w:rPr>
          <w:spacing w:val="-15"/>
          <w:sz w:val="24"/>
        </w:rPr>
        <w:t xml:space="preserve"> </w:t>
      </w:r>
      <w:r w:rsidRPr="00150EDC">
        <w:rPr>
          <w:sz w:val="24"/>
        </w:rPr>
        <w:t>Supplier</w:t>
      </w:r>
      <w:r w:rsidRPr="00150EDC">
        <w:rPr>
          <w:spacing w:val="-17"/>
          <w:sz w:val="24"/>
        </w:rPr>
        <w:t xml:space="preserve"> </w:t>
      </w:r>
      <w:r w:rsidRPr="00150EDC">
        <w:rPr>
          <w:sz w:val="24"/>
        </w:rPr>
        <w:t>and</w:t>
      </w:r>
      <w:r w:rsidRPr="00150EDC">
        <w:rPr>
          <w:spacing w:val="-15"/>
          <w:sz w:val="24"/>
        </w:rPr>
        <w:t xml:space="preserve"> </w:t>
      </w:r>
      <w:r w:rsidRPr="00150EDC">
        <w:rPr>
          <w:sz w:val="24"/>
        </w:rPr>
        <w:t>as</w:t>
      </w:r>
      <w:r w:rsidRPr="00150EDC">
        <w:rPr>
          <w:spacing w:val="-16"/>
          <w:sz w:val="24"/>
        </w:rPr>
        <w:t xml:space="preserve"> </w:t>
      </w:r>
      <w:r w:rsidRPr="00150EDC">
        <w:rPr>
          <w:sz w:val="24"/>
        </w:rPr>
        <w:t>a</w:t>
      </w:r>
      <w:r w:rsidRPr="00150EDC">
        <w:rPr>
          <w:spacing w:val="-13"/>
          <w:sz w:val="24"/>
        </w:rPr>
        <w:t xml:space="preserve"> </w:t>
      </w:r>
      <w:r w:rsidRPr="00150EDC">
        <w:rPr>
          <w:sz w:val="24"/>
        </w:rPr>
        <w:t>point</w:t>
      </w:r>
      <w:r w:rsidRPr="00150EDC">
        <w:rPr>
          <w:spacing w:val="-16"/>
          <w:sz w:val="24"/>
        </w:rPr>
        <w:t xml:space="preserve"> </w:t>
      </w:r>
      <w:r w:rsidRPr="00150EDC">
        <w:rPr>
          <w:sz w:val="24"/>
        </w:rPr>
        <w:t>of</w:t>
      </w:r>
      <w:r w:rsidRPr="00150EDC">
        <w:rPr>
          <w:spacing w:val="-16"/>
          <w:sz w:val="24"/>
        </w:rPr>
        <w:t xml:space="preserve"> </w:t>
      </w:r>
      <w:r w:rsidRPr="00150EDC">
        <w:rPr>
          <w:sz w:val="24"/>
        </w:rPr>
        <w:t>contact</w:t>
      </w:r>
      <w:r w:rsidRPr="00150EDC">
        <w:rPr>
          <w:spacing w:val="-16"/>
          <w:sz w:val="24"/>
        </w:rPr>
        <w:t xml:space="preserve"> </w:t>
      </w:r>
      <w:r w:rsidRPr="00150EDC">
        <w:rPr>
          <w:sz w:val="24"/>
        </w:rPr>
        <w:t>for</w:t>
      </w:r>
      <w:r w:rsidRPr="00150EDC">
        <w:rPr>
          <w:spacing w:val="-15"/>
          <w:sz w:val="24"/>
        </w:rPr>
        <w:t xml:space="preserve"> </w:t>
      </w:r>
      <w:r w:rsidRPr="00150EDC">
        <w:rPr>
          <w:sz w:val="24"/>
        </w:rPr>
        <w:t>the</w:t>
      </w:r>
      <w:r w:rsidRPr="00150EDC">
        <w:rPr>
          <w:spacing w:val="-13"/>
          <w:sz w:val="24"/>
        </w:rPr>
        <w:t xml:space="preserve"> </w:t>
      </w:r>
      <w:r w:rsidRPr="00150EDC">
        <w:rPr>
          <w:sz w:val="24"/>
        </w:rPr>
        <w:t>Other</w:t>
      </w:r>
      <w:r w:rsidRPr="00150EDC">
        <w:rPr>
          <w:spacing w:val="-17"/>
          <w:sz w:val="24"/>
        </w:rPr>
        <w:t xml:space="preserve"> </w:t>
      </w:r>
      <w:r w:rsidRPr="00150EDC">
        <w:rPr>
          <w:sz w:val="24"/>
        </w:rPr>
        <w:t>Suppliers;</w:t>
      </w:r>
    </w:p>
    <w:p w14:paraId="168AC2AD" w14:textId="77777777" w:rsidR="004C7180" w:rsidRPr="00150EDC" w:rsidRDefault="00CF0754">
      <w:pPr>
        <w:pStyle w:val="ListParagraph"/>
        <w:numPr>
          <w:ilvl w:val="2"/>
          <w:numId w:val="6"/>
        </w:numPr>
        <w:tabs>
          <w:tab w:val="left" w:pos="1568"/>
        </w:tabs>
        <w:spacing w:before="160" w:line="259" w:lineRule="auto"/>
        <w:ind w:left="979" w:right="1014" w:firstLine="0"/>
        <w:jc w:val="both"/>
        <w:rPr>
          <w:sz w:val="24"/>
        </w:rPr>
      </w:pPr>
      <w:r w:rsidRPr="00150EDC">
        <w:rPr>
          <w:noProof/>
          <w:lang w:val="en-GB" w:eastAsia="en-GB"/>
        </w:rPr>
        <mc:AlternateContent>
          <mc:Choice Requires="wps">
            <w:drawing>
              <wp:anchor distT="0" distB="0" distL="0" distR="0" simplePos="0" relativeHeight="251658252" behindDoc="0" locked="0" layoutInCell="1" allowOverlap="1" wp14:anchorId="63A97892" wp14:editId="77836589">
                <wp:simplePos x="0" y="0"/>
                <wp:positionH relativeFrom="page">
                  <wp:posOffset>4931664</wp:posOffset>
                </wp:positionH>
                <wp:positionV relativeFrom="paragraph">
                  <wp:posOffset>582877</wp:posOffset>
                </wp:positionV>
                <wp:extent cx="43180" cy="7620"/>
                <wp:effectExtent l="0" t="0" r="0" b="0"/>
                <wp:wrapNone/>
                <wp:docPr id="286" name="Free-form: Shape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 cy="7620"/>
                        </a:xfrm>
                        <a:custGeom>
                          <a:avLst/>
                          <a:gdLst/>
                          <a:ahLst/>
                          <a:cxnLst/>
                          <a:rect l="l" t="t" r="r" b="b"/>
                          <a:pathLst>
                            <a:path w="43180" h="7620">
                              <a:moveTo>
                                <a:pt x="42672" y="0"/>
                              </a:moveTo>
                              <a:lnTo>
                                <a:pt x="0" y="0"/>
                              </a:lnTo>
                              <a:lnTo>
                                <a:pt x="0" y="7620"/>
                              </a:lnTo>
                              <a:lnTo>
                                <a:pt x="42672" y="7620"/>
                              </a:lnTo>
                              <a:lnTo>
                                <a:pt x="42672" y="0"/>
                              </a:lnTo>
                              <a:close/>
                            </a:path>
                          </a:pathLst>
                        </a:custGeom>
                        <a:solidFill>
                          <a:srgbClr val="0078D3"/>
                        </a:solidFill>
                      </wps:spPr>
                      <wps:bodyPr wrap="square" lIns="0" tIns="0" rIns="0" bIns="0" rtlCol="0">
                        <a:prstTxWarp prst="textNoShape">
                          <a:avLst/>
                        </a:prstTxWarp>
                        <a:noAutofit/>
                      </wps:bodyPr>
                    </wps:wsp>
                  </a:graphicData>
                </a:graphic>
              </wp:anchor>
            </w:drawing>
          </mc:Choice>
          <mc:Fallback>
            <w:pict>
              <v:shape w14:anchorId="302429C4" id="Free-form: Shape 286" o:spid="_x0000_s1026" style="position:absolute;margin-left:388.3pt;margin-top:45.9pt;width:3.4pt;height:.6pt;z-index:251658252;visibility:visible;mso-wrap-style:square;mso-wrap-distance-left:0;mso-wrap-distance-top:0;mso-wrap-distance-right:0;mso-wrap-distance-bottom:0;mso-position-horizontal:absolute;mso-position-horizontal-relative:page;mso-position-vertical:absolute;mso-position-vertical-relative:text;v-text-anchor:top" coordsize="4318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" path="m42672,l,,,7620r42672,l42672,xe" fillcolor="#0078d3" stroked="f">
                <v:path arrowok="t"/>
                <w10:wrap anchorx="page"/>
              </v:shape>
            </w:pict>
          </mc:Fallback>
        </mc:AlternateContent>
      </w:r>
      <w:r w:rsidRPr="00150EDC">
        <w:rPr>
          <w:noProof/>
          <w:lang w:val="en-GB" w:eastAsia="en-GB"/>
        </w:rPr>
        <mc:AlternateContent>
          <mc:Choice Requires="wps">
            <w:drawing>
              <wp:anchor distT="0" distB="0" distL="0" distR="0" simplePos="0" relativeHeight="251658253" behindDoc="0" locked="0" layoutInCell="1" allowOverlap="1" wp14:anchorId="06DB2A37" wp14:editId="20EF33C2">
                <wp:simplePos x="0" y="0"/>
                <wp:positionH relativeFrom="page">
                  <wp:posOffset>457200</wp:posOffset>
                </wp:positionH>
                <wp:positionV relativeFrom="paragraph">
                  <wp:posOffset>290269</wp:posOffset>
                </wp:positionV>
                <wp:extent cx="9525" cy="480059"/>
                <wp:effectExtent l="0" t="0" r="0" b="0"/>
                <wp:wrapNone/>
                <wp:docPr id="287" name="Free-form: Shape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480059"/>
                        </a:xfrm>
                        <a:custGeom>
                          <a:avLst/>
                          <a:gdLst/>
                          <a:ahLst/>
                          <a:cxnLst/>
                          <a:rect l="l" t="t" r="r" b="b"/>
                          <a:pathLst>
                            <a:path w="9525" h="480059">
                              <a:moveTo>
                                <a:pt x="9143" y="0"/>
                              </a:moveTo>
                              <a:lnTo>
                                <a:pt x="0" y="0"/>
                              </a:lnTo>
                              <a:lnTo>
                                <a:pt x="0" y="480060"/>
                              </a:lnTo>
                              <a:lnTo>
                                <a:pt x="9143" y="480060"/>
                              </a:lnTo>
                              <a:lnTo>
                                <a:pt x="91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53E57D" id="Free-form: Shape 287" o:spid="_x0000_s1026" style="position:absolute;margin-left:36pt;margin-top:22.85pt;width:.75pt;height:37.8pt;z-index:251658253;visibility:visible;mso-wrap-style:square;mso-wrap-distance-left:0;mso-wrap-distance-top:0;mso-wrap-distance-right:0;mso-wrap-distance-bottom:0;mso-position-horizontal:absolute;mso-position-horizontal-relative:page;mso-position-vertical:absolute;mso-position-vertical-relative:text;v-text-anchor:top" coordsize="9525,480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" path="m9143,l,,,480060r9143,l9143,xe" fillcolor="black" stroked="f">
                <v:path arrowok="t"/>
                <w10:wrap anchorx="page"/>
              </v:shape>
            </w:pict>
          </mc:Fallback>
        </mc:AlternateContent>
      </w:r>
      <w:r w:rsidRPr="00150EDC">
        <w:rPr>
          <w:sz w:val="24"/>
        </w:rPr>
        <w:t>attend</w:t>
      </w:r>
      <w:r w:rsidRPr="00150EDC">
        <w:rPr>
          <w:spacing w:val="-17"/>
          <w:sz w:val="24"/>
        </w:rPr>
        <w:t xml:space="preserve"> </w:t>
      </w:r>
      <w:r w:rsidRPr="00150EDC">
        <w:rPr>
          <w:sz w:val="24"/>
        </w:rPr>
        <w:t>regular</w:t>
      </w:r>
      <w:r w:rsidRPr="00150EDC">
        <w:rPr>
          <w:spacing w:val="-17"/>
          <w:sz w:val="24"/>
        </w:rPr>
        <w:t xml:space="preserve"> </w:t>
      </w:r>
      <w:r w:rsidRPr="00150EDC">
        <w:rPr>
          <w:sz w:val="24"/>
        </w:rPr>
        <w:t>discussions</w:t>
      </w:r>
      <w:r w:rsidRPr="00150EDC">
        <w:rPr>
          <w:spacing w:val="-15"/>
          <w:sz w:val="24"/>
        </w:rPr>
        <w:t xml:space="preserve"> </w:t>
      </w:r>
      <w:r w:rsidRPr="00150EDC">
        <w:rPr>
          <w:sz w:val="24"/>
        </w:rPr>
        <w:t>with</w:t>
      </w:r>
      <w:r w:rsidRPr="00150EDC">
        <w:rPr>
          <w:spacing w:val="-15"/>
          <w:sz w:val="24"/>
        </w:rPr>
        <w:t xml:space="preserve"> </w:t>
      </w:r>
      <w:r w:rsidRPr="00150EDC">
        <w:rPr>
          <w:sz w:val="24"/>
        </w:rPr>
        <w:t>the</w:t>
      </w:r>
      <w:r w:rsidRPr="00150EDC">
        <w:rPr>
          <w:spacing w:val="-17"/>
          <w:sz w:val="24"/>
        </w:rPr>
        <w:t xml:space="preserve"> </w:t>
      </w:r>
      <w:r w:rsidRPr="00150EDC">
        <w:rPr>
          <w:sz w:val="24"/>
        </w:rPr>
        <w:t>Other</w:t>
      </w:r>
      <w:r w:rsidRPr="00150EDC">
        <w:rPr>
          <w:spacing w:val="-16"/>
          <w:sz w:val="24"/>
        </w:rPr>
        <w:t xml:space="preserve"> </w:t>
      </w:r>
      <w:r w:rsidRPr="00150EDC">
        <w:rPr>
          <w:sz w:val="24"/>
        </w:rPr>
        <w:t>Suppliers</w:t>
      </w:r>
      <w:r w:rsidRPr="00150EDC">
        <w:rPr>
          <w:spacing w:val="-16"/>
          <w:sz w:val="24"/>
        </w:rPr>
        <w:t xml:space="preserve"> </w:t>
      </w:r>
      <w:r w:rsidRPr="00150EDC">
        <w:rPr>
          <w:sz w:val="24"/>
        </w:rPr>
        <w:t>in</w:t>
      </w:r>
      <w:r w:rsidRPr="00150EDC">
        <w:rPr>
          <w:spacing w:val="-15"/>
          <w:sz w:val="24"/>
        </w:rPr>
        <w:t xml:space="preserve"> </w:t>
      </w:r>
      <w:r w:rsidRPr="00150EDC">
        <w:rPr>
          <w:sz w:val="24"/>
        </w:rPr>
        <w:t>relation</w:t>
      </w:r>
      <w:r w:rsidRPr="00150EDC">
        <w:rPr>
          <w:spacing w:val="-17"/>
          <w:sz w:val="24"/>
        </w:rPr>
        <w:t xml:space="preserve"> </w:t>
      </w:r>
      <w:r w:rsidRPr="00150EDC">
        <w:rPr>
          <w:sz w:val="24"/>
        </w:rPr>
        <w:t>to</w:t>
      </w:r>
      <w:r w:rsidRPr="00150EDC">
        <w:rPr>
          <w:spacing w:val="-14"/>
          <w:sz w:val="24"/>
        </w:rPr>
        <w:t xml:space="preserve"> </w:t>
      </w:r>
      <w:r w:rsidRPr="00150EDC">
        <w:rPr>
          <w:sz w:val="24"/>
        </w:rPr>
        <w:t>the</w:t>
      </w:r>
      <w:r w:rsidRPr="00150EDC">
        <w:rPr>
          <w:spacing w:val="-17"/>
          <w:sz w:val="24"/>
        </w:rPr>
        <w:t xml:space="preserve"> </w:t>
      </w:r>
      <w:r w:rsidRPr="00150EDC">
        <w:rPr>
          <w:sz w:val="24"/>
        </w:rPr>
        <w:t>Programme, through a series of Intervention Delivery and Evaluation Analysis meetings</w:t>
      </w:r>
      <w:r w:rsidRPr="007D3144">
        <w:rPr>
          <w:sz w:val="24"/>
          <w:u w:val="single" w:color="0078D3"/>
        </w:rPr>
        <w:t xml:space="preserve"> and via</w:t>
      </w:r>
      <w:r w:rsidRPr="007D3144">
        <w:rPr>
          <w:sz w:val="24"/>
        </w:rPr>
        <w:t xml:space="preserve"> </w:t>
      </w:r>
      <w:r w:rsidRPr="007D3144">
        <w:rPr>
          <w:sz w:val="24"/>
          <w:u w:val="single" w:color="0078D3"/>
        </w:rPr>
        <w:t>any other process agreed as agreed as part of joint working</w:t>
      </w:r>
      <w:r w:rsidRPr="007D3144">
        <w:rPr>
          <w:sz w:val="24"/>
        </w:rPr>
        <w:t xml:space="preserve">, </w:t>
      </w:r>
      <w:r w:rsidRPr="00150EDC">
        <w:rPr>
          <w:sz w:val="24"/>
        </w:rPr>
        <w:t>including in relation to:</w:t>
      </w:r>
    </w:p>
    <w:p w14:paraId="645B27E2" w14:textId="77777777" w:rsidR="004C7180" w:rsidRPr="00150EDC" w:rsidRDefault="00CF0754">
      <w:pPr>
        <w:pStyle w:val="ListParagraph"/>
        <w:numPr>
          <w:ilvl w:val="3"/>
          <w:numId w:val="6"/>
        </w:numPr>
        <w:tabs>
          <w:tab w:val="left" w:pos="1700"/>
        </w:tabs>
        <w:spacing w:before="160" w:line="259" w:lineRule="auto"/>
        <w:ind w:right="1015" w:hanging="480"/>
        <w:jc w:val="left"/>
        <w:rPr>
          <w:sz w:val="24"/>
        </w:rPr>
      </w:pPr>
      <w:r w:rsidRPr="00150EDC">
        <w:rPr>
          <w:sz w:val="24"/>
        </w:rPr>
        <w:t>any issues of concern regarding its obligations in relation to the Programme</w:t>
      </w:r>
      <w:r w:rsidRPr="00150EDC">
        <w:rPr>
          <w:spacing w:val="40"/>
          <w:sz w:val="24"/>
        </w:rPr>
        <w:t xml:space="preserve"> </w:t>
      </w:r>
      <w:r w:rsidRPr="00150EDC">
        <w:rPr>
          <w:sz w:val="24"/>
        </w:rPr>
        <w:t>that may impact on delivery by the Other Suppliers;</w:t>
      </w:r>
    </w:p>
    <w:p w14:paraId="1815FC6B" w14:textId="77777777" w:rsidR="004C7180" w:rsidRPr="00150EDC" w:rsidRDefault="00CF0754">
      <w:pPr>
        <w:pStyle w:val="ListParagraph"/>
        <w:numPr>
          <w:ilvl w:val="3"/>
          <w:numId w:val="6"/>
        </w:numPr>
        <w:tabs>
          <w:tab w:val="left" w:pos="1700"/>
        </w:tabs>
        <w:spacing w:line="259" w:lineRule="auto"/>
        <w:ind w:right="1014" w:hanging="533"/>
        <w:jc w:val="left"/>
        <w:rPr>
          <w:sz w:val="24"/>
        </w:rPr>
      </w:pPr>
      <w:r w:rsidRPr="00150EDC">
        <w:rPr>
          <w:sz w:val="24"/>
        </w:rPr>
        <w:t>its</w:t>
      </w:r>
      <w:r w:rsidRPr="00150EDC">
        <w:rPr>
          <w:spacing w:val="40"/>
          <w:sz w:val="24"/>
        </w:rPr>
        <w:t xml:space="preserve"> </w:t>
      </w:r>
      <w:r w:rsidRPr="00150EDC">
        <w:rPr>
          <w:sz w:val="24"/>
        </w:rPr>
        <w:t>progress</w:t>
      </w:r>
      <w:r w:rsidRPr="00150EDC">
        <w:rPr>
          <w:spacing w:val="40"/>
          <w:sz w:val="24"/>
        </w:rPr>
        <w:t xml:space="preserve"> </w:t>
      </w:r>
      <w:r w:rsidRPr="00150EDC">
        <w:rPr>
          <w:sz w:val="24"/>
        </w:rPr>
        <w:t>against</w:t>
      </w:r>
      <w:r w:rsidRPr="00150EDC">
        <w:rPr>
          <w:spacing w:val="40"/>
          <w:sz w:val="24"/>
        </w:rPr>
        <w:t xml:space="preserve"> </w:t>
      </w:r>
      <w:r w:rsidRPr="00150EDC">
        <w:rPr>
          <w:sz w:val="24"/>
        </w:rPr>
        <w:t>any</w:t>
      </w:r>
      <w:r w:rsidRPr="00150EDC">
        <w:rPr>
          <w:spacing w:val="40"/>
          <w:sz w:val="24"/>
        </w:rPr>
        <w:t xml:space="preserve"> </w:t>
      </w:r>
      <w:r w:rsidRPr="00150EDC">
        <w:rPr>
          <w:sz w:val="24"/>
        </w:rPr>
        <w:t>deadlines</w:t>
      </w:r>
      <w:r w:rsidRPr="00150EDC">
        <w:rPr>
          <w:spacing w:val="40"/>
          <w:sz w:val="24"/>
        </w:rPr>
        <w:t xml:space="preserve"> </w:t>
      </w:r>
      <w:r w:rsidRPr="00150EDC">
        <w:rPr>
          <w:sz w:val="24"/>
        </w:rPr>
        <w:t>under</w:t>
      </w:r>
      <w:r w:rsidRPr="00150EDC">
        <w:rPr>
          <w:spacing w:val="40"/>
          <w:sz w:val="24"/>
        </w:rPr>
        <w:t xml:space="preserve"> </w:t>
      </w:r>
      <w:r w:rsidRPr="00150EDC">
        <w:rPr>
          <w:sz w:val="24"/>
        </w:rPr>
        <w:t>this</w:t>
      </w:r>
      <w:r w:rsidRPr="00150EDC">
        <w:rPr>
          <w:spacing w:val="40"/>
          <w:sz w:val="24"/>
        </w:rPr>
        <w:t xml:space="preserve"> </w:t>
      </w:r>
      <w:r w:rsidRPr="00150EDC">
        <w:rPr>
          <w:sz w:val="24"/>
        </w:rPr>
        <w:t>Contract</w:t>
      </w:r>
      <w:r w:rsidRPr="00150EDC">
        <w:rPr>
          <w:spacing w:val="40"/>
          <w:sz w:val="24"/>
        </w:rPr>
        <w:t xml:space="preserve"> </w:t>
      </w:r>
      <w:r w:rsidRPr="00150EDC">
        <w:rPr>
          <w:sz w:val="24"/>
        </w:rPr>
        <w:t>that</w:t>
      </w:r>
      <w:r w:rsidRPr="00150EDC">
        <w:rPr>
          <w:spacing w:val="39"/>
          <w:sz w:val="24"/>
        </w:rPr>
        <w:t xml:space="preserve"> </w:t>
      </w:r>
      <w:r w:rsidRPr="00150EDC">
        <w:rPr>
          <w:sz w:val="24"/>
        </w:rPr>
        <w:t>may</w:t>
      </w:r>
      <w:r w:rsidRPr="00150EDC">
        <w:rPr>
          <w:spacing w:val="40"/>
          <w:sz w:val="24"/>
        </w:rPr>
        <w:t xml:space="preserve"> </w:t>
      </w:r>
      <w:r w:rsidRPr="00150EDC">
        <w:rPr>
          <w:sz w:val="24"/>
        </w:rPr>
        <w:t>impact</w:t>
      </w:r>
      <w:r w:rsidRPr="00150EDC">
        <w:rPr>
          <w:spacing w:val="40"/>
          <w:sz w:val="24"/>
        </w:rPr>
        <w:t xml:space="preserve"> </w:t>
      </w:r>
      <w:r w:rsidRPr="00150EDC">
        <w:rPr>
          <w:sz w:val="24"/>
        </w:rPr>
        <w:t>on delivery by the Other Supplier; and</w:t>
      </w:r>
    </w:p>
    <w:p w14:paraId="1E815D41" w14:textId="77777777" w:rsidR="004C7180" w:rsidRPr="00150EDC" w:rsidRDefault="00CF0754">
      <w:pPr>
        <w:pStyle w:val="ListParagraph"/>
        <w:numPr>
          <w:ilvl w:val="3"/>
          <w:numId w:val="6"/>
        </w:numPr>
        <w:tabs>
          <w:tab w:val="left" w:pos="1700"/>
        </w:tabs>
        <w:spacing w:line="259" w:lineRule="auto"/>
        <w:ind w:right="1015" w:hanging="586"/>
        <w:jc w:val="left"/>
        <w:rPr>
          <w:sz w:val="24"/>
        </w:rPr>
      </w:pPr>
      <w:r w:rsidRPr="00150EDC">
        <w:rPr>
          <w:sz w:val="24"/>
        </w:rPr>
        <w:t>such</w:t>
      </w:r>
      <w:r w:rsidRPr="00150EDC">
        <w:rPr>
          <w:spacing w:val="-4"/>
          <w:sz w:val="24"/>
        </w:rPr>
        <w:t xml:space="preserve"> </w:t>
      </w:r>
      <w:r w:rsidRPr="00150EDC">
        <w:rPr>
          <w:sz w:val="24"/>
        </w:rPr>
        <w:t>other</w:t>
      </w:r>
      <w:r w:rsidRPr="00150EDC">
        <w:rPr>
          <w:spacing w:val="-5"/>
          <w:sz w:val="24"/>
        </w:rPr>
        <w:t xml:space="preserve"> </w:t>
      </w:r>
      <w:r w:rsidRPr="00150EDC">
        <w:rPr>
          <w:sz w:val="24"/>
        </w:rPr>
        <w:t>matters</w:t>
      </w:r>
      <w:r w:rsidRPr="00150EDC">
        <w:rPr>
          <w:spacing w:val="-5"/>
          <w:sz w:val="24"/>
        </w:rPr>
        <w:t xml:space="preserve"> </w:t>
      </w:r>
      <w:r w:rsidRPr="00150EDC">
        <w:rPr>
          <w:sz w:val="24"/>
        </w:rPr>
        <w:t>as</w:t>
      </w:r>
      <w:r w:rsidRPr="00150EDC">
        <w:rPr>
          <w:spacing w:val="-7"/>
          <w:sz w:val="24"/>
        </w:rPr>
        <w:t xml:space="preserve"> </w:t>
      </w:r>
      <w:r w:rsidRPr="00150EDC">
        <w:rPr>
          <w:sz w:val="24"/>
        </w:rPr>
        <w:t>may</w:t>
      </w:r>
      <w:r w:rsidRPr="00150EDC">
        <w:rPr>
          <w:spacing w:val="-5"/>
          <w:sz w:val="24"/>
        </w:rPr>
        <w:t xml:space="preserve"> </w:t>
      </w:r>
      <w:r w:rsidRPr="00150EDC">
        <w:rPr>
          <w:sz w:val="24"/>
        </w:rPr>
        <w:t>be</w:t>
      </w:r>
      <w:r w:rsidRPr="00150EDC">
        <w:rPr>
          <w:spacing w:val="-4"/>
          <w:sz w:val="24"/>
        </w:rPr>
        <w:t xml:space="preserve"> </w:t>
      </w:r>
      <w:r w:rsidRPr="00150EDC">
        <w:rPr>
          <w:sz w:val="24"/>
        </w:rPr>
        <w:t>agreed</w:t>
      </w:r>
      <w:r w:rsidRPr="00150EDC">
        <w:rPr>
          <w:spacing w:val="-4"/>
          <w:sz w:val="24"/>
        </w:rPr>
        <w:t xml:space="preserve"> </w:t>
      </w:r>
      <w:r w:rsidRPr="00150EDC">
        <w:rPr>
          <w:sz w:val="24"/>
        </w:rPr>
        <w:t>between</w:t>
      </w:r>
      <w:r w:rsidRPr="00150EDC">
        <w:rPr>
          <w:spacing w:val="-4"/>
          <w:sz w:val="24"/>
        </w:rPr>
        <w:t xml:space="preserve"> </w:t>
      </w:r>
      <w:r w:rsidRPr="00150EDC">
        <w:rPr>
          <w:sz w:val="24"/>
        </w:rPr>
        <w:t>the</w:t>
      </w:r>
      <w:r w:rsidRPr="00150EDC">
        <w:rPr>
          <w:spacing w:val="-4"/>
          <w:sz w:val="24"/>
        </w:rPr>
        <w:t xml:space="preserve"> </w:t>
      </w:r>
      <w:r w:rsidRPr="00150EDC">
        <w:rPr>
          <w:sz w:val="24"/>
        </w:rPr>
        <w:t>Buyer,</w:t>
      </w:r>
      <w:r w:rsidRPr="00150EDC">
        <w:rPr>
          <w:spacing w:val="-5"/>
          <w:sz w:val="24"/>
        </w:rPr>
        <w:t xml:space="preserve"> </w:t>
      </w:r>
      <w:r w:rsidRPr="00150EDC">
        <w:rPr>
          <w:sz w:val="24"/>
        </w:rPr>
        <w:t>the</w:t>
      </w:r>
      <w:r w:rsidRPr="00150EDC">
        <w:rPr>
          <w:spacing w:val="-4"/>
          <w:sz w:val="24"/>
        </w:rPr>
        <w:t xml:space="preserve"> </w:t>
      </w:r>
      <w:r w:rsidRPr="00150EDC">
        <w:rPr>
          <w:sz w:val="24"/>
        </w:rPr>
        <w:t>Supplier</w:t>
      </w:r>
      <w:r w:rsidRPr="00150EDC">
        <w:rPr>
          <w:spacing w:val="-5"/>
          <w:sz w:val="24"/>
        </w:rPr>
        <w:t xml:space="preserve"> </w:t>
      </w:r>
      <w:r w:rsidRPr="00150EDC">
        <w:rPr>
          <w:sz w:val="24"/>
        </w:rPr>
        <w:t>and</w:t>
      </w:r>
      <w:r w:rsidRPr="00150EDC">
        <w:rPr>
          <w:spacing w:val="-4"/>
          <w:sz w:val="24"/>
        </w:rPr>
        <w:t xml:space="preserve"> </w:t>
      </w:r>
      <w:r w:rsidRPr="00150EDC">
        <w:rPr>
          <w:sz w:val="24"/>
        </w:rPr>
        <w:t>the Other Suppliers from time to time,</w:t>
      </w:r>
    </w:p>
    <w:p w14:paraId="63E34BEC" w14:textId="77777777" w:rsidR="004C7180" w:rsidRPr="00150EDC" w:rsidRDefault="00CF0754">
      <w:pPr>
        <w:pStyle w:val="ListParagraph"/>
        <w:numPr>
          <w:ilvl w:val="2"/>
          <w:numId w:val="6"/>
        </w:numPr>
        <w:tabs>
          <w:tab w:val="left" w:pos="1605"/>
        </w:tabs>
        <w:spacing w:before="158" w:line="259" w:lineRule="auto"/>
        <w:ind w:right="1013" w:firstLine="0"/>
        <w:jc w:val="both"/>
        <w:rPr>
          <w:sz w:val="24"/>
        </w:rPr>
      </w:pPr>
      <w:r w:rsidRPr="00150EDC">
        <w:rPr>
          <w:sz w:val="24"/>
        </w:rPr>
        <w:t>attend all meetings reasonably required by the Other Suppliers or the 'Board' (comprising of the management of intervention delivery supplier and the Other Suppliers) in relation to the Programme; and</w:t>
      </w:r>
    </w:p>
    <w:p w14:paraId="21E47740" w14:textId="77777777" w:rsidR="004C7180" w:rsidRPr="00150EDC" w:rsidRDefault="00CF0754">
      <w:pPr>
        <w:pStyle w:val="ListParagraph"/>
        <w:numPr>
          <w:ilvl w:val="2"/>
          <w:numId w:val="6"/>
        </w:numPr>
        <w:tabs>
          <w:tab w:val="left" w:pos="1571"/>
        </w:tabs>
        <w:spacing w:before="159" w:line="259" w:lineRule="auto"/>
        <w:ind w:right="1014" w:firstLine="0"/>
        <w:jc w:val="both"/>
        <w:rPr>
          <w:sz w:val="24"/>
        </w:rPr>
      </w:pPr>
      <w:r w:rsidRPr="00150EDC">
        <w:rPr>
          <w:sz w:val="24"/>
        </w:rPr>
        <w:t>promptly</w:t>
      </w:r>
      <w:r w:rsidRPr="00150EDC">
        <w:rPr>
          <w:spacing w:val="-13"/>
          <w:sz w:val="24"/>
        </w:rPr>
        <w:t xml:space="preserve"> </w:t>
      </w:r>
      <w:r w:rsidRPr="00150EDC">
        <w:rPr>
          <w:sz w:val="24"/>
        </w:rPr>
        <w:t>notifying</w:t>
      </w:r>
      <w:r w:rsidRPr="00150EDC">
        <w:rPr>
          <w:spacing w:val="-12"/>
          <w:sz w:val="24"/>
        </w:rPr>
        <w:t xml:space="preserve"> </w:t>
      </w:r>
      <w:r w:rsidRPr="00150EDC">
        <w:rPr>
          <w:sz w:val="24"/>
        </w:rPr>
        <w:t>the</w:t>
      </w:r>
      <w:r w:rsidRPr="00150EDC">
        <w:rPr>
          <w:spacing w:val="-14"/>
          <w:sz w:val="24"/>
        </w:rPr>
        <w:t xml:space="preserve"> </w:t>
      </w:r>
      <w:r w:rsidRPr="00150EDC">
        <w:rPr>
          <w:sz w:val="24"/>
        </w:rPr>
        <w:t>Other</w:t>
      </w:r>
      <w:r w:rsidRPr="00150EDC">
        <w:rPr>
          <w:spacing w:val="-16"/>
          <w:sz w:val="24"/>
        </w:rPr>
        <w:t xml:space="preserve"> </w:t>
      </w:r>
      <w:r w:rsidRPr="00150EDC">
        <w:rPr>
          <w:sz w:val="24"/>
        </w:rPr>
        <w:t>Suppliers</w:t>
      </w:r>
      <w:r w:rsidRPr="00150EDC">
        <w:rPr>
          <w:spacing w:val="-13"/>
          <w:sz w:val="24"/>
        </w:rPr>
        <w:t xml:space="preserve"> </w:t>
      </w:r>
      <w:r w:rsidRPr="00150EDC">
        <w:rPr>
          <w:sz w:val="24"/>
        </w:rPr>
        <w:t>if</w:t>
      </w:r>
      <w:r w:rsidRPr="00150EDC">
        <w:rPr>
          <w:spacing w:val="-14"/>
          <w:sz w:val="24"/>
        </w:rPr>
        <w:t xml:space="preserve"> </w:t>
      </w:r>
      <w:r w:rsidRPr="00150EDC">
        <w:rPr>
          <w:sz w:val="24"/>
        </w:rPr>
        <w:t>the</w:t>
      </w:r>
      <w:r w:rsidRPr="00150EDC">
        <w:rPr>
          <w:spacing w:val="-16"/>
          <w:sz w:val="24"/>
        </w:rPr>
        <w:t xml:space="preserve"> </w:t>
      </w:r>
      <w:r w:rsidRPr="00150EDC">
        <w:rPr>
          <w:sz w:val="24"/>
        </w:rPr>
        <w:t>management</w:t>
      </w:r>
      <w:r w:rsidRPr="00150EDC">
        <w:rPr>
          <w:spacing w:val="-14"/>
          <w:sz w:val="24"/>
        </w:rPr>
        <w:t xml:space="preserve"> </w:t>
      </w:r>
      <w:r w:rsidRPr="00150EDC">
        <w:rPr>
          <w:sz w:val="24"/>
        </w:rPr>
        <w:t>of</w:t>
      </w:r>
      <w:r w:rsidRPr="00150EDC">
        <w:rPr>
          <w:spacing w:val="-14"/>
          <w:sz w:val="24"/>
        </w:rPr>
        <w:t xml:space="preserve"> </w:t>
      </w:r>
      <w:r w:rsidRPr="00150EDC">
        <w:rPr>
          <w:sz w:val="24"/>
        </w:rPr>
        <w:t>intervention</w:t>
      </w:r>
      <w:r w:rsidRPr="00150EDC">
        <w:rPr>
          <w:spacing w:val="-12"/>
          <w:sz w:val="24"/>
        </w:rPr>
        <w:t xml:space="preserve"> </w:t>
      </w:r>
      <w:r w:rsidRPr="00150EDC">
        <w:rPr>
          <w:sz w:val="24"/>
        </w:rPr>
        <w:t xml:space="preserve">delivery supplier believes that it may not be able to comply with its obligations under this </w:t>
      </w:r>
      <w:r w:rsidRPr="00150EDC">
        <w:rPr>
          <w:spacing w:val="-2"/>
          <w:sz w:val="24"/>
        </w:rPr>
        <w:t>Schedule.</w:t>
      </w:r>
    </w:p>
    <w:p w14:paraId="391E364C" w14:textId="77777777" w:rsidR="004C7180" w:rsidRPr="00150EDC" w:rsidRDefault="004C7180">
      <w:pPr>
        <w:rPr>
          <w:sz w:val="24"/>
        </w:rPr>
        <w:sectPr w:rsidR="004C7180" w:rsidRPr="00150EDC">
          <w:headerReference w:type="default" r:id="rId157"/>
          <w:footerReference w:type="default" r:id="rId158"/>
          <w:pgSz w:w="11910" w:h="16840"/>
          <w:pgMar w:top="1920" w:right="420" w:bottom="280" w:left="460" w:header="0" w:footer="0" w:gutter="0"/>
          <w:cols w:space="720"/>
        </w:sectPr>
      </w:pPr>
    </w:p>
    <w:p w14:paraId="2D93CDFE" w14:textId="2C8BDB6A" w:rsidR="004C7180" w:rsidRPr="00150EDC" w:rsidRDefault="00CF0754">
      <w:pPr>
        <w:pStyle w:val="BodyText"/>
        <w:spacing w:before="183" w:line="259" w:lineRule="auto"/>
        <w:ind w:left="980" w:right="1014"/>
        <w:jc w:val="both"/>
      </w:pPr>
      <w:r w:rsidRPr="00150EDC">
        <w:rPr>
          <w:noProof/>
          <w:lang w:val="en-GB" w:eastAsia="en-GB"/>
        </w:rPr>
        <w:lastRenderedPageBreak/>
        <mc:AlternateContent>
          <mc:Choice Requires="wps">
            <w:drawing>
              <wp:anchor distT="0" distB="0" distL="0" distR="0" simplePos="0" relativeHeight="251658271" behindDoc="1" locked="0" layoutInCell="1" allowOverlap="1" wp14:anchorId="54B78FF2" wp14:editId="211A1F71">
                <wp:simplePos x="0" y="0"/>
                <wp:positionH relativeFrom="page">
                  <wp:posOffset>3424428</wp:posOffset>
                </wp:positionH>
                <wp:positionV relativeFrom="paragraph">
                  <wp:posOffset>1031822</wp:posOffset>
                </wp:positionV>
                <wp:extent cx="41275" cy="10795"/>
                <wp:effectExtent l="0" t="0" r="0" b="0"/>
                <wp:wrapNone/>
                <wp:docPr id="290" name="Free-form: Shape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75" cy="10795"/>
                        </a:xfrm>
                        <a:custGeom>
                          <a:avLst/>
                          <a:gdLst/>
                          <a:ahLst/>
                          <a:cxnLst/>
                          <a:rect l="l" t="t" r="r" b="b"/>
                          <a:pathLst>
                            <a:path w="41275" h="10795">
                              <a:moveTo>
                                <a:pt x="41148" y="0"/>
                              </a:moveTo>
                              <a:lnTo>
                                <a:pt x="0" y="0"/>
                              </a:lnTo>
                              <a:lnTo>
                                <a:pt x="0" y="10668"/>
                              </a:lnTo>
                              <a:lnTo>
                                <a:pt x="41148" y="10668"/>
                              </a:lnTo>
                              <a:lnTo>
                                <a:pt x="41148" y="0"/>
                              </a:lnTo>
                              <a:close/>
                            </a:path>
                          </a:pathLst>
                        </a:custGeom>
                        <a:solidFill>
                          <a:srgbClr val="0000FF"/>
                        </a:solidFill>
                      </wps:spPr>
                      <wps:bodyPr wrap="square" lIns="0" tIns="0" rIns="0" bIns="0" rtlCol="0">
                        <a:prstTxWarp prst="textNoShape">
                          <a:avLst/>
                        </a:prstTxWarp>
                        <a:noAutofit/>
                      </wps:bodyPr>
                    </wps:wsp>
                  </a:graphicData>
                </a:graphic>
              </wp:anchor>
            </w:drawing>
          </mc:Choice>
          <mc:Fallback>
            <w:pict>
              <v:shape w14:anchorId="4FCE9679" id="Free-form: Shape 290" o:spid="_x0000_s1026" style="position:absolute;margin-left:269.65pt;margin-top:81.25pt;width:3.25pt;height:.85pt;z-index:-251658209;visibility:visible;mso-wrap-style:square;mso-wrap-distance-left:0;mso-wrap-distance-top:0;mso-wrap-distance-right:0;mso-wrap-distance-bottom:0;mso-position-horizontal:absolute;mso-position-horizontal-relative:page;mso-position-vertical:absolute;mso-position-vertical-relative:text;v-text-anchor:top" coordsize="4127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" path="m41148,l,,,10668r41148,l41148,xe" fillcolor="blue" stroked="f">
                <v:path arrowok="t"/>
                <w10:wrap anchorx="page"/>
              </v:shape>
            </w:pict>
          </mc:Fallback>
        </mc:AlternateContent>
      </w:r>
      <w:r w:rsidRPr="00150EDC">
        <w:t>2.</w:t>
      </w:r>
      <w:r w:rsidRPr="007D3144">
        <w:rPr>
          <w:u w:val="single" w:color="D13438"/>
        </w:rPr>
        <w:t>2</w:t>
      </w:r>
      <w:r w:rsidRPr="007D3144">
        <w:t xml:space="preserve"> </w:t>
      </w:r>
      <w:r w:rsidRPr="00150EDC">
        <w:t xml:space="preserve">The </w:t>
      </w:r>
      <w:r w:rsidR="005C29CF" w:rsidRPr="00150EDC">
        <w:t>M</w:t>
      </w:r>
      <w:r w:rsidRPr="00150EDC">
        <w:t xml:space="preserve">anagement of </w:t>
      </w:r>
      <w:r w:rsidR="005C29CF" w:rsidRPr="00150EDC">
        <w:t>I</w:t>
      </w:r>
      <w:r w:rsidRPr="00150EDC">
        <w:t xml:space="preserve">ntervention </w:t>
      </w:r>
      <w:r w:rsidR="005C29CF" w:rsidRPr="00150EDC">
        <w:t>D</w:t>
      </w:r>
      <w:r w:rsidRPr="00150EDC">
        <w:t xml:space="preserve">elivery </w:t>
      </w:r>
      <w:r w:rsidR="005C29CF" w:rsidRPr="00150EDC">
        <w:t>S</w:t>
      </w:r>
      <w:r w:rsidRPr="00150EDC">
        <w:t xml:space="preserve">upplier shall follow the guidelines on collaborative working in its delivery of this Contract to successfully deliver Trials that have been established by the Education Endowment Foundation, including that set out in the EEF </w:t>
      </w:r>
      <w:hyperlink r:id="rId159">
        <w:r w:rsidRPr="007D3144">
          <w:rPr>
            <w:u w:val="single" w:color="0562C1"/>
          </w:rPr>
          <w:t>Implementation and Process Evaluation Handbook</w:t>
        </w:r>
      </w:hyperlink>
      <w:r w:rsidRPr="007D3144">
        <w:t xml:space="preserve"> </w:t>
      </w:r>
      <w:r w:rsidRPr="00150EDC">
        <w:t xml:space="preserve">and in the </w:t>
      </w:r>
      <w:hyperlink r:id="rId160">
        <w:r w:rsidRPr="007D3144">
          <w:rPr>
            <w:u w:val="single" w:color="0562C1"/>
          </w:rPr>
          <w:t>EEF</w:t>
        </w:r>
      </w:hyperlink>
      <w:r w:rsidRPr="007D3144">
        <w:t xml:space="preserve"> </w:t>
      </w:r>
      <w:hyperlink r:id="rId161">
        <w:r w:rsidRPr="007D3144">
          <w:rPr>
            <w:u w:val="single" w:color="0562C1"/>
          </w:rPr>
          <w:t>Recruitment and Retention Guidance</w:t>
        </w:r>
      </w:hyperlink>
      <w:r w:rsidRPr="007D3144">
        <w:t>.</w:t>
      </w:r>
    </w:p>
    <w:p w14:paraId="1A5258ED" w14:textId="77777777" w:rsidR="004C7180" w:rsidRPr="00150EDC" w:rsidRDefault="004C7180">
      <w:pPr>
        <w:pStyle w:val="BodyText"/>
        <w:rPr>
          <w:sz w:val="20"/>
        </w:rPr>
      </w:pPr>
    </w:p>
    <w:p w14:paraId="1FA19F42" w14:textId="3E9C9210" w:rsidR="005C29CF" w:rsidRPr="007D3144" w:rsidRDefault="005C29CF" w:rsidP="005C29CF">
      <w:pPr>
        <w:ind w:left="720"/>
        <w:jc w:val="both"/>
        <w:rPr>
          <w:sz w:val="24"/>
          <w:szCs w:val="24"/>
        </w:rPr>
      </w:pPr>
      <w:r w:rsidRPr="007D3144">
        <w:rPr>
          <w:sz w:val="24"/>
          <w:szCs w:val="24"/>
          <w:u w:val="single"/>
        </w:rPr>
        <w:t>2.</w:t>
      </w:r>
      <w:r w:rsidR="00BC2619" w:rsidRPr="007D3144">
        <w:rPr>
          <w:sz w:val="24"/>
          <w:szCs w:val="24"/>
          <w:u w:val="single"/>
        </w:rPr>
        <w:t>3</w:t>
      </w:r>
      <w:r w:rsidRPr="007D3144">
        <w:rPr>
          <w:sz w:val="24"/>
          <w:szCs w:val="24"/>
          <w:u w:val="single"/>
        </w:rPr>
        <w:t xml:space="preserve"> The </w:t>
      </w:r>
      <w:r w:rsidRPr="007D3144">
        <w:rPr>
          <w:sz w:val="24"/>
          <w:szCs w:val="24"/>
        </w:rPr>
        <w:t>Management of Intervention Delivery Supplier shall share analytical performance data with the Local authorities in which the trial is taking place and Other suppliers. This data should not include any personal data of any trial participants.</w:t>
      </w:r>
    </w:p>
    <w:p w14:paraId="642A32CB" w14:textId="16675FC6" w:rsidR="004C7180" w:rsidRPr="00150EDC" w:rsidRDefault="004C7180">
      <w:pPr>
        <w:pStyle w:val="BodyText"/>
        <w:spacing w:before="7"/>
        <w:rPr>
          <w:sz w:val="25"/>
        </w:rPr>
      </w:pPr>
    </w:p>
    <w:p w14:paraId="41EB8683" w14:textId="77777777" w:rsidR="004C7180" w:rsidRPr="00150EDC" w:rsidRDefault="00CF0754">
      <w:pPr>
        <w:pStyle w:val="Heading4"/>
        <w:numPr>
          <w:ilvl w:val="0"/>
          <w:numId w:val="6"/>
        </w:numPr>
        <w:tabs>
          <w:tab w:val="left" w:pos="1247"/>
        </w:tabs>
        <w:spacing w:before="92"/>
        <w:ind w:left="1247" w:hanging="267"/>
        <w:jc w:val="both"/>
      </w:pPr>
      <w:r w:rsidRPr="00150EDC">
        <w:rPr>
          <w:spacing w:val="-4"/>
        </w:rPr>
        <w:t>KPIS</w:t>
      </w:r>
    </w:p>
    <w:p w14:paraId="03943798" w14:textId="77777777" w:rsidR="004C7180" w:rsidRPr="00150EDC" w:rsidRDefault="00CF0754">
      <w:pPr>
        <w:pStyle w:val="ListParagraph"/>
        <w:numPr>
          <w:ilvl w:val="1"/>
          <w:numId w:val="6"/>
        </w:numPr>
        <w:tabs>
          <w:tab w:val="left" w:pos="1420"/>
        </w:tabs>
        <w:spacing w:before="180" w:line="259" w:lineRule="auto"/>
        <w:ind w:left="979" w:right="1013" w:firstLine="0"/>
        <w:jc w:val="both"/>
        <w:rPr>
          <w:sz w:val="24"/>
        </w:rPr>
      </w:pPr>
      <w:r w:rsidRPr="00150EDC">
        <w:rPr>
          <w:sz w:val="24"/>
        </w:rPr>
        <w:t>Annex A sets out the joint key performance indicators ("</w:t>
      </w:r>
      <w:r w:rsidRPr="00150EDC">
        <w:rPr>
          <w:b/>
          <w:sz w:val="24"/>
        </w:rPr>
        <w:t>KPIs</w:t>
      </w:r>
      <w:r w:rsidRPr="00150EDC">
        <w:rPr>
          <w:sz w:val="24"/>
        </w:rPr>
        <w:t xml:space="preserve">") that are to be achieved by the Supplier and Other Suppliers during each Six [6] week monitoring </w:t>
      </w:r>
      <w:r w:rsidRPr="00150EDC">
        <w:rPr>
          <w:spacing w:val="-2"/>
          <w:sz w:val="24"/>
        </w:rPr>
        <w:t>period.</w:t>
      </w:r>
    </w:p>
    <w:p w14:paraId="68257A30" w14:textId="77777777" w:rsidR="004C7180" w:rsidRPr="00150EDC" w:rsidRDefault="004C7180">
      <w:pPr>
        <w:pStyle w:val="BodyText"/>
        <w:rPr>
          <w:sz w:val="26"/>
        </w:rPr>
      </w:pPr>
    </w:p>
    <w:p w14:paraId="00CD7795" w14:textId="77777777" w:rsidR="004C7180" w:rsidRPr="00150EDC" w:rsidRDefault="004C7180">
      <w:pPr>
        <w:pStyle w:val="BodyText"/>
        <w:spacing w:before="8"/>
        <w:rPr>
          <w:sz w:val="27"/>
        </w:rPr>
      </w:pPr>
    </w:p>
    <w:p w14:paraId="65713112" w14:textId="77777777" w:rsidR="004C7180" w:rsidRPr="00150EDC" w:rsidRDefault="00CF0754">
      <w:pPr>
        <w:pStyle w:val="Heading4"/>
        <w:numPr>
          <w:ilvl w:val="0"/>
          <w:numId w:val="6"/>
        </w:numPr>
        <w:tabs>
          <w:tab w:val="left" w:pos="1246"/>
        </w:tabs>
        <w:spacing w:before="1"/>
        <w:ind w:left="1246" w:hanging="267"/>
        <w:jc w:val="both"/>
      </w:pPr>
      <w:r w:rsidRPr="00150EDC">
        <w:t>Cooperation</w:t>
      </w:r>
      <w:r w:rsidRPr="00150EDC">
        <w:rPr>
          <w:spacing w:val="-6"/>
        </w:rPr>
        <w:t xml:space="preserve"> </w:t>
      </w:r>
      <w:r w:rsidRPr="00150EDC">
        <w:rPr>
          <w:spacing w:val="-2"/>
        </w:rPr>
        <w:t>Principles</w:t>
      </w:r>
    </w:p>
    <w:p w14:paraId="4274643E" w14:textId="77777777" w:rsidR="004C7180" w:rsidRPr="00150EDC" w:rsidRDefault="00CF0754">
      <w:pPr>
        <w:pStyle w:val="ListParagraph"/>
        <w:numPr>
          <w:ilvl w:val="1"/>
          <w:numId w:val="6"/>
        </w:numPr>
        <w:tabs>
          <w:tab w:val="left" w:pos="1379"/>
        </w:tabs>
        <w:spacing w:before="182" w:line="259" w:lineRule="auto"/>
        <w:ind w:left="979" w:right="1015" w:firstLine="0"/>
        <w:jc w:val="both"/>
        <w:rPr>
          <w:sz w:val="24"/>
        </w:rPr>
      </w:pPr>
      <w:r w:rsidRPr="00150EDC">
        <w:rPr>
          <w:sz w:val="24"/>
        </w:rPr>
        <w:t>The</w:t>
      </w:r>
      <w:r w:rsidRPr="00150EDC">
        <w:rPr>
          <w:spacing w:val="-7"/>
          <w:sz w:val="24"/>
        </w:rPr>
        <w:t xml:space="preserve"> </w:t>
      </w:r>
      <w:r w:rsidRPr="00150EDC">
        <w:rPr>
          <w:sz w:val="24"/>
        </w:rPr>
        <w:t>management</w:t>
      </w:r>
      <w:r w:rsidRPr="00150EDC">
        <w:rPr>
          <w:spacing w:val="-7"/>
          <w:sz w:val="24"/>
        </w:rPr>
        <w:t xml:space="preserve"> </w:t>
      </w:r>
      <w:r w:rsidRPr="00150EDC">
        <w:rPr>
          <w:sz w:val="24"/>
        </w:rPr>
        <w:t>of</w:t>
      </w:r>
      <w:r w:rsidRPr="00150EDC">
        <w:rPr>
          <w:spacing w:val="-5"/>
          <w:sz w:val="24"/>
        </w:rPr>
        <w:t xml:space="preserve"> </w:t>
      </w:r>
      <w:r w:rsidRPr="00150EDC">
        <w:rPr>
          <w:sz w:val="24"/>
        </w:rPr>
        <w:t>intervention</w:t>
      </w:r>
      <w:r w:rsidRPr="00150EDC">
        <w:rPr>
          <w:spacing w:val="-7"/>
          <w:sz w:val="24"/>
        </w:rPr>
        <w:t xml:space="preserve"> </w:t>
      </w:r>
      <w:r w:rsidRPr="00150EDC">
        <w:rPr>
          <w:sz w:val="24"/>
        </w:rPr>
        <w:t>delivery</w:t>
      </w:r>
      <w:r w:rsidRPr="00150EDC">
        <w:rPr>
          <w:spacing w:val="-8"/>
          <w:sz w:val="24"/>
        </w:rPr>
        <w:t xml:space="preserve"> </w:t>
      </w:r>
      <w:r w:rsidRPr="00150EDC">
        <w:rPr>
          <w:sz w:val="24"/>
        </w:rPr>
        <w:t>supplier</w:t>
      </w:r>
      <w:r w:rsidRPr="00150EDC">
        <w:rPr>
          <w:spacing w:val="-7"/>
          <w:sz w:val="24"/>
        </w:rPr>
        <w:t xml:space="preserve"> </w:t>
      </w:r>
      <w:r w:rsidRPr="00150EDC">
        <w:rPr>
          <w:sz w:val="24"/>
        </w:rPr>
        <w:t>shall</w:t>
      </w:r>
      <w:r w:rsidRPr="00150EDC">
        <w:rPr>
          <w:spacing w:val="-6"/>
          <w:sz w:val="24"/>
        </w:rPr>
        <w:t xml:space="preserve"> </w:t>
      </w:r>
      <w:r w:rsidRPr="00150EDC">
        <w:rPr>
          <w:sz w:val="24"/>
        </w:rPr>
        <w:t>act</w:t>
      </w:r>
      <w:r w:rsidRPr="00150EDC">
        <w:rPr>
          <w:spacing w:val="-5"/>
          <w:sz w:val="24"/>
        </w:rPr>
        <w:t xml:space="preserve"> </w:t>
      </w:r>
      <w:r w:rsidRPr="00150EDC">
        <w:rPr>
          <w:sz w:val="24"/>
        </w:rPr>
        <w:t>in</w:t>
      </w:r>
      <w:r w:rsidRPr="00150EDC">
        <w:rPr>
          <w:spacing w:val="-7"/>
          <w:sz w:val="24"/>
        </w:rPr>
        <w:t xml:space="preserve"> </w:t>
      </w:r>
      <w:r w:rsidRPr="00150EDC">
        <w:rPr>
          <w:sz w:val="24"/>
        </w:rPr>
        <w:t>accordance</w:t>
      </w:r>
      <w:r w:rsidRPr="00150EDC">
        <w:rPr>
          <w:spacing w:val="-4"/>
          <w:sz w:val="24"/>
        </w:rPr>
        <w:t xml:space="preserve"> </w:t>
      </w:r>
      <w:r w:rsidRPr="00150EDC">
        <w:rPr>
          <w:sz w:val="24"/>
        </w:rPr>
        <w:t>with</w:t>
      </w:r>
      <w:r w:rsidRPr="00150EDC">
        <w:rPr>
          <w:spacing w:val="-7"/>
          <w:sz w:val="24"/>
        </w:rPr>
        <w:t xml:space="preserve"> </w:t>
      </w:r>
      <w:r w:rsidRPr="00150EDC">
        <w:rPr>
          <w:sz w:val="24"/>
        </w:rPr>
        <w:t>the following collaborative working principles in the delivery of this Contract:</w:t>
      </w:r>
    </w:p>
    <w:p w14:paraId="063688A0" w14:textId="77777777" w:rsidR="004C7180" w:rsidRPr="00150EDC" w:rsidRDefault="00CF0754">
      <w:pPr>
        <w:pStyle w:val="ListParagraph"/>
        <w:numPr>
          <w:ilvl w:val="0"/>
          <w:numId w:val="3"/>
        </w:numPr>
        <w:tabs>
          <w:tab w:val="left" w:pos="1699"/>
        </w:tabs>
        <w:spacing w:before="160" w:line="259" w:lineRule="auto"/>
        <w:ind w:left="1699" w:right="1013"/>
        <w:jc w:val="both"/>
        <w:rPr>
          <w:sz w:val="24"/>
        </w:rPr>
      </w:pPr>
      <w:r w:rsidRPr="00150EDC">
        <w:rPr>
          <w:sz w:val="24"/>
        </w:rPr>
        <w:t>Proactively</w:t>
      </w:r>
      <w:r w:rsidRPr="00150EDC">
        <w:rPr>
          <w:spacing w:val="-10"/>
          <w:sz w:val="24"/>
        </w:rPr>
        <w:t xml:space="preserve"> </w:t>
      </w:r>
      <w:r w:rsidRPr="00150EDC">
        <w:rPr>
          <w:sz w:val="24"/>
        </w:rPr>
        <w:t>leading</w:t>
      </w:r>
      <w:r w:rsidRPr="00150EDC">
        <w:rPr>
          <w:spacing w:val="-9"/>
          <w:sz w:val="24"/>
        </w:rPr>
        <w:t xml:space="preserve"> </w:t>
      </w:r>
      <w:r w:rsidRPr="00150EDC">
        <w:rPr>
          <w:sz w:val="24"/>
        </w:rPr>
        <w:t>on,</w:t>
      </w:r>
      <w:r w:rsidRPr="00150EDC">
        <w:rPr>
          <w:spacing w:val="-12"/>
          <w:sz w:val="24"/>
        </w:rPr>
        <w:t xml:space="preserve"> </w:t>
      </w:r>
      <w:r w:rsidRPr="00150EDC">
        <w:rPr>
          <w:sz w:val="24"/>
        </w:rPr>
        <w:t>mitigating</w:t>
      </w:r>
      <w:r w:rsidRPr="00150EDC">
        <w:rPr>
          <w:spacing w:val="-12"/>
          <w:sz w:val="24"/>
        </w:rPr>
        <w:t xml:space="preserve"> </w:t>
      </w:r>
      <w:r w:rsidRPr="00150EDC">
        <w:rPr>
          <w:sz w:val="24"/>
        </w:rPr>
        <w:t>and</w:t>
      </w:r>
      <w:r w:rsidRPr="00150EDC">
        <w:rPr>
          <w:spacing w:val="-9"/>
          <w:sz w:val="24"/>
        </w:rPr>
        <w:t xml:space="preserve"> </w:t>
      </w:r>
      <w:r w:rsidRPr="00150EDC">
        <w:rPr>
          <w:sz w:val="24"/>
        </w:rPr>
        <w:t>contributing</w:t>
      </w:r>
      <w:r w:rsidRPr="00150EDC">
        <w:rPr>
          <w:spacing w:val="-12"/>
          <w:sz w:val="24"/>
        </w:rPr>
        <w:t xml:space="preserve"> </w:t>
      </w:r>
      <w:r w:rsidRPr="00150EDC">
        <w:rPr>
          <w:sz w:val="24"/>
        </w:rPr>
        <w:t>to</w:t>
      </w:r>
      <w:r w:rsidRPr="00150EDC">
        <w:rPr>
          <w:spacing w:val="-9"/>
          <w:sz w:val="24"/>
        </w:rPr>
        <w:t xml:space="preserve"> </w:t>
      </w:r>
      <w:r w:rsidRPr="00150EDC">
        <w:rPr>
          <w:sz w:val="24"/>
        </w:rPr>
        <w:t>the</w:t>
      </w:r>
      <w:r w:rsidRPr="00150EDC">
        <w:rPr>
          <w:spacing w:val="-9"/>
          <w:sz w:val="24"/>
        </w:rPr>
        <w:t xml:space="preserve"> </w:t>
      </w:r>
      <w:r w:rsidRPr="00150EDC">
        <w:rPr>
          <w:sz w:val="24"/>
        </w:rPr>
        <w:t>resolution</w:t>
      </w:r>
      <w:r w:rsidRPr="00150EDC">
        <w:rPr>
          <w:spacing w:val="-12"/>
          <w:sz w:val="24"/>
        </w:rPr>
        <w:t xml:space="preserve"> </w:t>
      </w:r>
      <w:r w:rsidRPr="00150EDC">
        <w:rPr>
          <w:sz w:val="24"/>
        </w:rPr>
        <w:t>of</w:t>
      </w:r>
      <w:r w:rsidRPr="00150EDC">
        <w:rPr>
          <w:spacing w:val="-10"/>
          <w:sz w:val="24"/>
        </w:rPr>
        <w:t xml:space="preserve"> </w:t>
      </w:r>
      <w:r w:rsidRPr="00150EDC">
        <w:rPr>
          <w:sz w:val="24"/>
        </w:rPr>
        <w:t>problems or issues as between the Other Supplier, the Supplier and the Buyer irrespective</w:t>
      </w:r>
      <w:r w:rsidRPr="00150EDC">
        <w:rPr>
          <w:spacing w:val="-17"/>
          <w:sz w:val="24"/>
        </w:rPr>
        <w:t xml:space="preserve"> </w:t>
      </w:r>
      <w:r w:rsidRPr="00150EDC">
        <w:rPr>
          <w:sz w:val="24"/>
        </w:rPr>
        <w:t>of</w:t>
      </w:r>
      <w:r w:rsidRPr="00150EDC">
        <w:rPr>
          <w:spacing w:val="-17"/>
          <w:sz w:val="24"/>
        </w:rPr>
        <w:t xml:space="preserve"> </w:t>
      </w:r>
      <w:r w:rsidRPr="00150EDC">
        <w:rPr>
          <w:sz w:val="24"/>
        </w:rPr>
        <w:t>its</w:t>
      </w:r>
      <w:r w:rsidRPr="00150EDC">
        <w:rPr>
          <w:spacing w:val="-16"/>
          <w:sz w:val="24"/>
        </w:rPr>
        <w:t xml:space="preserve"> </w:t>
      </w:r>
      <w:r w:rsidRPr="00150EDC">
        <w:rPr>
          <w:sz w:val="24"/>
        </w:rPr>
        <w:t>contractual</w:t>
      </w:r>
      <w:r w:rsidRPr="00150EDC">
        <w:rPr>
          <w:spacing w:val="-17"/>
          <w:sz w:val="24"/>
        </w:rPr>
        <w:t xml:space="preserve"> </w:t>
      </w:r>
      <w:r w:rsidRPr="00150EDC">
        <w:rPr>
          <w:sz w:val="24"/>
        </w:rPr>
        <w:t>obligations,</w:t>
      </w:r>
      <w:r w:rsidRPr="00150EDC">
        <w:rPr>
          <w:spacing w:val="-17"/>
          <w:sz w:val="24"/>
        </w:rPr>
        <w:t xml:space="preserve"> </w:t>
      </w:r>
      <w:r w:rsidRPr="00150EDC">
        <w:rPr>
          <w:sz w:val="24"/>
        </w:rPr>
        <w:t>acting</w:t>
      </w:r>
      <w:r w:rsidRPr="00150EDC">
        <w:rPr>
          <w:spacing w:val="-17"/>
          <w:sz w:val="24"/>
        </w:rPr>
        <w:t xml:space="preserve"> </w:t>
      </w:r>
      <w:r w:rsidRPr="00150EDC">
        <w:rPr>
          <w:sz w:val="24"/>
        </w:rPr>
        <w:t>in</w:t>
      </w:r>
      <w:r w:rsidRPr="00150EDC">
        <w:rPr>
          <w:spacing w:val="-16"/>
          <w:sz w:val="24"/>
        </w:rPr>
        <w:t xml:space="preserve"> </w:t>
      </w:r>
      <w:r w:rsidRPr="00150EDC">
        <w:rPr>
          <w:sz w:val="24"/>
        </w:rPr>
        <w:t>accordance</w:t>
      </w:r>
      <w:r w:rsidRPr="00150EDC">
        <w:rPr>
          <w:spacing w:val="-17"/>
          <w:sz w:val="24"/>
        </w:rPr>
        <w:t xml:space="preserve"> </w:t>
      </w:r>
      <w:r w:rsidRPr="00150EDC">
        <w:rPr>
          <w:sz w:val="24"/>
        </w:rPr>
        <w:t>with</w:t>
      </w:r>
      <w:r w:rsidRPr="00150EDC">
        <w:rPr>
          <w:spacing w:val="-17"/>
          <w:sz w:val="24"/>
        </w:rPr>
        <w:t xml:space="preserve"> </w:t>
      </w:r>
      <w:r w:rsidRPr="00150EDC">
        <w:rPr>
          <w:sz w:val="24"/>
        </w:rPr>
        <w:t>the</w:t>
      </w:r>
      <w:r w:rsidRPr="00150EDC">
        <w:rPr>
          <w:spacing w:val="-16"/>
          <w:sz w:val="24"/>
        </w:rPr>
        <w:t xml:space="preserve"> </w:t>
      </w:r>
      <w:r w:rsidRPr="00150EDC">
        <w:rPr>
          <w:sz w:val="24"/>
        </w:rPr>
        <w:t>principle of "fix first, settle later";</w:t>
      </w:r>
    </w:p>
    <w:p w14:paraId="75241D64" w14:textId="77777777" w:rsidR="004C7180" w:rsidRPr="00150EDC" w:rsidRDefault="00CF0754">
      <w:pPr>
        <w:pStyle w:val="ListParagraph"/>
        <w:numPr>
          <w:ilvl w:val="0"/>
          <w:numId w:val="3"/>
        </w:numPr>
        <w:tabs>
          <w:tab w:val="left" w:pos="1696"/>
          <w:tab w:val="left" w:pos="1699"/>
        </w:tabs>
        <w:spacing w:line="259" w:lineRule="auto"/>
        <w:ind w:left="1699" w:right="1015" w:hanging="533"/>
        <w:jc w:val="both"/>
        <w:rPr>
          <w:sz w:val="24"/>
        </w:rPr>
      </w:pPr>
      <w:r w:rsidRPr="00150EDC">
        <w:rPr>
          <w:sz w:val="24"/>
        </w:rPr>
        <w:t>Being open, transparent and responsive in sharing relevant and accurate information with such Other Suppliers;</w:t>
      </w:r>
    </w:p>
    <w:p w14:paraId="0588792C" w14:textId="77777777" w:rsidR="004C7180" w:rsidRPr="00150EDC" w:rsidRDefault="00CF0754">
      <w:pPr>
        <w:pStyle w:val="ListParagraph"/>
        <w:numPr>
          <w:ilvl w:val="0"/>
          <w:numId w:val="3"/>
        </w:numPr>
        <w:tabs>
          <w:tab w:val="left" w:pos="1696"/>
          <w:tab w:val="left" w:pos="1699"/>
        </w:tabs>
        <w:spacing w:line="259" w:lineRule="auto"/>
        <w:ind w:left="1699" w:right="1015" w:hanging="586"/>
        <w:jc w:val="both"/>
        <w:rPr>
          <w:sz w:val="24"/>
        </w:rPr>
      </w:pPr>
      <w:r w:rsidRPr="00150EDC">
        <w:rPr>
          <w:sz w:val="24"/>
        </w:rPr>
        <w:t>Where reasonable, adopting common working practices, terminology, standards</w:t>
      </w:r>
      <w:r w:rsidRPr="00150EDC">
        <w:rPr>
          <w:spacing w:val="-17"/>
          <w:sz w:val="24"/>
        </w:rPr>
        <w:t xml:space="preserve"> </w:t>
      </w:r>
      <w:r w:rsidRPr="00150EDC">
        <w:rPr>
          <w:sz w:val="24"/>
        </w:rPr>
        <w:t>and</w:t>
      </w:r>
      <w:r w:rsidRPr="00150EDC">
        <w:rPr>
          <w:spacing w:val="-17"/>
          <w:sz w:val="24"/>
        </w:rPr>
        <w:t xml:space="preserve"> </w:t>
      </w:r>
      <w:r w:rsidRPr="00150EDC">
        <w:rPr>
          <w:sz w:val="24"/>
        </w:rPr>
        <w:t>technology</w:t>
      </w:r>
      <w:r w:rsidRPr="00150EDC">
        <w:rPr>
          <w:spacing w:val="-16"/>
          <w:sz w:val="24"/>
        </w:rPr>
        <w:t xml:space="preserve"> </w:t>
      </w:r>
      <w:r w:rsidRPr="00150EDC">
        <w:rPr>
          <w:sz w:val="24"/>
        </w:rPr>
        <w:t>and</w:t>
      </w:r>
      <w:r w:rsidRPr="00150EDC">
        <w:rPr>
          <w:spacing w:val="-17"/>
          <w:sz w:val="24"/>
        </w:rPr>
        <w:t xml:space="preserve"> </w:t>
      </w:r>
      <w:r w:rsidRPr="00150EDC">
        <w:rPr>
          <w:sz w:val="24"/>
        </w:rPr>
        <w:t>a</w:t>
      </w:r>
      <w:r w:rsidRPr="00150EDC">
        <w:rPr>
          <w:spacing w:val="-17"/>
          <w:sz w:val="24"/>
        </w:rPr>
        <w:t xml:space="preserve"> </w:t>
      </w:r>
      <w:r w:rsidRPr="00150EDC">
        <w:rPr>
          <w:sz w:val="24"/>
        </w:rPr>
        <w:t>collaborative</w:t>
      </w:r>
      <w:r w:rsidRPr="00150EDC">
        <w:rPr>
          <w:spacing w:val="-17"/>
          <w:sz w:val="24"/>
        </w:rPr>
        <w:t xml:space="preserve"> </w:t>
      </w:r>
      <w:r w:rsidRPr="00150EDC">
        <w:rPr>
          <w:sz w:val="24"/>
        </w:rPr>
        <w:t>approach</w:t>
      </w:r>
      <w:r w:rsidRPr="00150EDC">
        <w:rPr>
          <w:spacing w:val="-16"/>
          <w:sz w:val="24"/>
        </w:rPr>
        <w:t xml:space="preserve"> </w:t>
      </w:r>
      <w:r w:rsidRPr="00150EDC">
        <w:rPr>
          <w:sz w:val="24"/>
        </w:rPr>
        <w:t>to</w:t>
      </w:r>
      <w:r w:rsidRPr="00150EDC">
        <w:rPr>
          <w:spacing w:val="-17"/>
          <w:sz w:val="24"/>
        </w:rPr>
        <w:t xml:space="preserve"> </w:t>
      </w:r>
      <w:r w:rsidRPr="00150EDC">
        <w:rPr>
          <w:sz w:val="24"/>
        </w:rPr>
        <w:t>service</w:t>
      </w:r>
      <w:r w:rsidRPr="00150EDC">
        <w:rPr>
          <w:spacing w:val="-17"/>
          <w:sz w:val="24"/>
        </w:rPr>
        <w:t xml:space="preserve"> </w:t>
      </w:r>
      <w:r w:rsidRPr="00150EDC">
        <w:rPr>
          <w:sz w:val="24"/>
        </w:rPr>
        <w:t>development and resourcing with such Other Suppliers;</w:t>
      </w:r>
    </w:p>
    <w:p w14:paraId="5F9D3991" w14:textId="77777777" w:rsidR="004C7180" w:rsidRPr="00150EDC" w:rsidRDefault="00CF0754">
      <w:pPr>
        <w:pStyle w:val="ListParagraph"/>
        <w:numPr>
          <w:ilvl w:val="0"/>
          <w:numId w:val="3"/>
        </w:numPr>
        <w:tabs>
          <w:tab w:val="left" w:pos="1699"/>
        </w:tabs>
        <w:spacing w:line="259" w:lineRule="auto"/>
        <w:ind w:left="1699" w:right="1015" w:hanging="600"/>
        <w:jc w:val="both"/>
        <w:rPr>
          <w:sz w:val="24"/>
        </w:rPr>
      </w:pPr>
      <w:r w:rsidRPr="00150EDC">
        <w:rPr>
          <w:sz w:val="24"/>
        </w:rPr>
        <w:t>Providing</w:t>
      </w:r>
      <w:r w:rsidRPr="00150EDC">
        <w:rPr>
          <w:spacing w:val="-8"/>
          <w:sz w:val="24"/>
        </w:rPr>
        <w:t xml:space="preserve"> </w:t>
      </w:r>
      <w:r w:rsidRPr="00150EDC">
        <w:rPr>
          <w:sz w:val="24"/>
        </w:rPr>
        <w:t>reasonable</w:t>
      </w:r>
      <w:r w:rsidRPr="00150EDC">
        <w:rPr>
          <w:spacing w:val="-8"/>
          <w:sz w:val="24"/>
        </w:rPr>
        <w:t xml:space="preserve"> </w:t>
      </w:r>
      <w:r w:rsidRPr="00150EDC">
        <w:rPr>
          <w:sz w:val="24"/>
        </w:rPr>
        <w:t>cooperation,</w:t>
      </w:r>
      <w:r w:rsidRPr="00150EDC">
        <w:rPr>
          <w:spacing w:val="-8"/>
          <w:sz w:val="24"/>
        </w:rPr>
        <w:t xml:space="preserve"> </w:t>
      </w:r>
      <w:r w:rsidRPr="00150EDC">
        <w:rPr>
          <w:sz w:val="24"/>
        </w:rPr>
        <w:t>support,</w:t>
      </w:r>
      <w:r w:rsidRPr="00150EDC">
        <w:rPr>
          <w:spacing w:val="-8"/>
          <w:sz w:val="24"/>
        </w:rPr>
        <w:t xml:space="preserve"> </w:t>
      </w:r>
      <w:r w:rsidRPr="00150EDC">
        <w:rPr>
          <w:sz w:val="24"/>
        </w:rPr>
        <w:t>information</w:t>
      </w:r>
      <w:r w:rsidRPr="00150EDC">
        <w:rPr>
          <w:spacing w:val="-8"/>
          <w:sz w:val="24"/>
        </w:rPr>
        <w:t xml:space="preserve"> </w:t>
      </w:r>
      <w:r w:rsidRPr="00150EDC">
        <w:rPr>
          <w:sz w:val="24"/>
        </w:rPr>
        <w:t>and</w:t>
      </w:r>
      <w:r w:rsidRPr="00150EDC">
        <w:rPr>
          <w:spacing w:val="-8"/>
          <w:sz w:val="24"/>
        </w:rPr>
        <w:t xml:space="preserve"> </w:t>
      </w:r>
      <w:r w:rsidRPr="00150EDC">
        <w:rPr>
          <w:sz w:val="24"/>
        </w:rPr>
        <w:t>assistance</w:t>
      </w:r>
      <w:r w:rsidRPr="00150EDC">
        <w:rPr>
          <w:spacing w:val="-8"/>
          <w:sz w:val="24"/>
        </w:rPr>
        <w:t xml:space="preserve"> </w:t>
      </w:r>
      <w:r w:rsidRPr="00150EDC">
        <w:rPr>
          <w:sz w:val="24"/>
        </w:rPr>
        <w:t>to</w:t>
      </w:r>
      <w:r w:rsidRPr="00150EDC">
        <w:rPr>
          <w:spacing w:val="-8"/>
          <w:sz w:val="24"/>
        </w:rPr>
        <w:t xml:space="preserve"> </w:t>
      </w:r>
      <w:r w:rsidRPr="00150EDC">
        <w:rPr>
          <w:sz w:val="24"/>
        </w:rPr>
        <w:t>such Other</w:t>
      </w:r>
      <w:r w:rsidRPr="00150EDC">
        <w:rPr>
          <w:spacing w:val="-7"/>
          <w:sz w:val="24"/>
        </w:rPr>
        <w:t xml:space="preserve"> </w:t>
      </w:r>
      <w:r w:rsidRPr="00150EDC">
        <w:rPr>
          <w:sz w:val="24"/>
        </w:rPr>
        <w:t>Suppliers</w:t>
      </w:r>
      <w:r w:rsidRPr="00150EDC">
        <w:rPr>
          <w:spacing w:val="-7"/>
          <w:sz w:val="24"/>
        </w:rPr>
        <w:t xml:space="preserve"> </w:t>
      </w:r>
      <w:r w:rsidRPr="00150EDC">
        <w:rPr>
          <w:sz w:val="24"/>
        </w:rPr>
        <w:t>in</w:t>
      </w:r>
      <w:r w:rsidRPr="00150EDC">
        <w:rPr>
          <w:spacing w:val="-6"/>
          <w:sz w:val="24"/>
        </w:rPr>
        <w:t xml:space="preserve"> </w:t>
      </w:r>
      <w:r w:rsidRPr="00150EDC">
        <w:rPr>
          <w:sz w:val="24"/>
        </w:rPr>
        <w:t>a</w:t>
      </w:r>
      <w:r w:rsidRPr="00150EDC">
        <w:rPr>
          <w:spacing w:val="-8"/>
          <w:sz w:val="24"/>
        </w:rPr>
        <w:t xml:space="preserve"> </w:t>
      </w:r>
      <w:r w:rsidRPr="00150EDC">
        <w:rPr>
          <w:sz w:val="24"/>
        </w:rPr>
        <w:t>proactive,</w:t>
      </w:r>
      <w:r w:rsidRPr="00150EDC">
        <w:rPr>
          <w:spacing w:val="-9"/>
          <w:sz w:val="24"/>
        </w:rPr>
        <w:t xml:space="preserve"> </w:t>
      </w:r>
      <w:r w:rsidRPr="00150EDC">
        <w:rPr>
          <w:sz w:val="24"/>
        </w:rPr>
        <w:t>transparent</w:t>
      </w:r>
      <w:r w:rsidRPr="00150EDC">
        <w:rPr>
          <w:spacing w:val="-9"/>
          <w:sz w:val="24"/>
        </w:rPr>
        <w:t xml:space="preserve"> </w:t>
      </w:r>
      <w:r w:rsidRPr="00150EDC">
        <w:rPr>
          <w:sz w:val="24"/>
        </w:rPr>
        <w:t>and</w:t>
      </w:r>
      <w:r w:rsidRPr="00150EDC">
        <w:rPr>
          <w:spacing w:val="-6"/>
          <w:sz w:val="24"/>
        </w:rPr>
        <w:t xml:space="preserve"> </w:t>
      </w:r>
      <w:r w:rsidRPr="00150EDC">
        <w:rPr>
          <w:sz w:val="24"/>
        </w:rPr>
        <w:t>open</w:t>
      </w:r>
      <w:r w:rsidRPr="00150EDC">
        <w:rPr>
          <w:spacing w:val="-6"/>
          <w:sz w:val="24"/>
        </w:rPr>
        <w:t xml:space="preserve"> </w:t>
      </w:r>
      <w:r w:rsidRPr="00150EDC">
        <w:rPr>
          <w:sz w:val="24"/>
        </w:rPr>
        <w:t>way</w:t>
      </w:r>
      <w:r w:rsidRPr="00150EDC">
        <w:rPr>
          <w:spacing w:val="-7"/>
          <w:sz w:val="24"/>
        </w:rPr>
        <w:t xml:space="preserve"> </w:t>
      </w:r>
      <w:r w:rsidRPr="00150EDC">
        <w:rPr>
          <w:sz w:val="24"/>
        </w:rPr>
        <w:t>and</w:t>
      </w:r>
      <w:r w:rsidRPr="00150EDC">
        <w:rPr>
          <w:spacing w:val="-6"/>
          <w:sz w:val="24"/>
        </w:rPr>
        <w:t xml:space="preserve"> </w:t>
      </w:r>
      <w:r w:rsidRPr="00150EDC">
        <w:rPr>
          <w:sz w:val="24"/>
        </w:rPr>
        <w:t>in</w:t>
      </w:r>
      <w:r w:rsidRPr="00150EDC">
        <w:rPr>
          <w:spacing w:val="-8"/>
          <w:sz w:val="24"/>
        </w:rPr>
        <w:t xml:space="preserve"> </w:t>
      </w:r>
      <w:r w:rsidRPr="00150EDC">
        <w:rPr>
          <w:sz w:val="24"/>
        </w:rPr>
        <w:t>a</w:t>
      </w:r>
      <w:r w:rsidRPr="00150EDC">
        <w:rPr>
          <w:spacing w:val="-6"/>
          <w:sz w:val="24"/>
        </w:rPr>
        <w:t xml:space="preserve"> </w:t>
      </w:r>
      <w:r w:rsidRPr="00150EDC">
        <w:rPr>
          <w:sz w:val="24"/>
        </w:rPr>
        <w:t>spirit</w:t>
      </w:r>
      <w:r w:rsidRPr="00150EDC">
        <w:rPr>
          <w:spacing w:val="-6"/>
          <w:sz w:val="24"/>
        </w:rPr>
        <w:t xml:space="preserve"> </w:t>
      </w:r>
      <w:r w:rsidRPr="00150EDC">
        <w:rPr>
          <w:sz w:val="24"/>
        </w:rPr>
        <w:t>of</w:t>
      </w:r>
      <w:r w:rsidRPr="00150EDC">
        <w:rPr>
          <w:spacing w:val="-6"/>
          <w:sz w:val="24"/>
        </w:rPr>
        <w:t xml:space="preserve"> </w:t>
      </w:r>
      <w:r w:rsidRPr="00150EDC">
        <w:rPr>
          <w:sz w:val="24"/>
        </w:rPr>
        <w:t>trust and mutual confidence; and</w:t>
      </w:r>
    </w:p>
    <w:p w14:paraId="2DB64C70" w14:textId="77777777" w:rsidR="004C7180" w:rsidRPr="00150EDC" w:rsidRDefault="00CF0754">
      <w:pPr>
        <w:pStyle w:val="ListParagraph"/>
        <w:numPr>
          <w:ilvl w:val="0"/>
          <w:numId w:val="3"/>
        </w:numPr>
        <w:tabs>
          <w:tab w:val="left" w:pos="1699"/>
        </w:tabs>
        <w:spacing w:line="259" w:lineRule="auto"/>
        <w:ind w:left="1699" w:right="1014" w:hanging="548"/>
        <w:jc w:val="both"/>
        <w:rPr>
          <w:sz w:val="24"/>
        </w:rPr>
      </w:pPr>
      <w:r w:rsidRPr="00150EDC">
        <w:rPr>
          <w:sz w:val="24"/>
        </w:rPr>
        <w:t>Identifying, implementing and capitalising on opportunities to improve Deliverables and deliver better solutions and performance throughout the relationship lifecycle.</w:t>
      </w:r>
    </w:p>
    <w:p w14:paraId="459F3995" w14:textId="77777777" w:rsidR="004C7180" w:rsidRPr="00150EDC" w:rsidRDefault="004C7180">
      <w:pPr>
        <w:pStyle w:val="BodyText"/>
        <w:rPr>
          <w:sz w:val="26"/>
        </w:rPr>
      </w:pPr>
    </w:p>
    <w:p w14:paraId="0870DB41" w14:textId="77777777" w:rsidR="004C7180" w:rsidRPr="00150EDC" w:rsidRDefault="004C7180">
      <w:pPr>
        <w:pStyle w:val="BodyText"/>
        <w:spacing w:before="5"/>
        <w:rPr>
          <w:sz w:val="27"/>
        </w:rPr>
      </w:pPr>
    </w:p>
    <w:p w14:paraId="6C980315" w14:textId="77777777" w:rsidR="004C7180" w:rsidRPr="00150EDC" w:rsidRDefault="00CF0754">
      <w:pPr>
        <w:pStyle w:val="Heading4"/>
        <w:numPr>
          <w:ilvl w:val="0"/>
          <w:numId w:val="6"/>
        </w:numPr>
        <w:tabs>
          <w:tab w:val="left" w:pos="1246"/>
        </w:tabs>
        <w:ind w:left="1246" w:hanging="267"/>
        <w:jc w:val="both"/>
      </w:pPr>
      <w:r w:rsidRPr="00150EDC">
        <w:t>Dispute</w:t>
      </w:r>
      <w:r w:rsidRPr="00150EDC">
        <w:rPr>
          <w:spacing w:val="-5"/>
        </w:rPr>
        <w:t xml:space="preserve"> </w:t>
      </w:r>
      <w:r w:rsidRPr="00150EDC">
        <w:t>Resolution</w:t>
      </w:r>
      <w:r w:rsidRPr="00150EDC">
        <w:rPr>
          <w:spacing w:val="-8"/>
        </w:rPr>
        <w:t xml:space="preserve"> </w:t>
      </w:r>
      <w:r w:rsidRPr="00150EDC">
        <w:rPr>
          <w:spacing w:val="-2"/>
        </w:rPr>
        <w:t>Process</w:t>
      </w:r>
    </w:p>
    <w:p w14:paraId="1EBB3EDB" w14:textId="77777777" w:rsidR="004C7180" w:rsidRPr="00150EDC" w:rsidRDefault="00CF0754">
      <w:pPr>
        <w:pStyle w:val="ListParagraph"/>
        <w:numPr>
          <w:ilvl w:val="1"/>
          <w:numId w:val="6"/>
        </w:numPr>
        <w:tabs>
          <w:tab w:val="left" w:pos="1379"/>
        </w:tabs>
        <w:spacing w:before="180" w:line="259" w:lineRule="auto"/>
        <w:ind w:left="979" w:right="1014" w:firstLine="0"/>
        <w:jc w:val="both"/>
        <w:rPr>
          <w:sz w:val="24"/>
        </w:rPr>
      </w:pPr>
      <w:r w:rsidRPr="00150EDC">
        <w:rPr>
          <w:sz w:val="24"/>
        </w:rPr>
        <w:t>If</w:t>
      </w:r>
      <w:r w:rsidRPr="00150EDC">
        <w:rPr>
          <w:spacing w:val="-6"/>
          <w:sz w:val="24"/>
        </w:rPr>
        <w:t xml:space="preserve"> </w:t>
      </w:r>
      <w:r w:rsidRPr="00150EDC">
        <w:rPr>
          <w:sz w:val="24"/>
        </w:rPr>
        <w:t>any</w:t>
      </w:r>
      <w:r w:rsidRPr="00150EDC">
        <w:rPr>
          <w:spacing w:val="-5"/>
          <w:sz w:val="24"/>
        </w:rPr>
        <w:t xml:space="preserve"> </w:t>
      </w:r>
      <w:r w:rsidRPr="00150EDC">
        <w:rPr>
          <w:sz w:val="24"/>
        </w:rPr>
        <w:t>dispute</w:t>
      </w:r>
      <w:r w:rsidRPr="00150EDC">
        <w:rPr>
          <w:spacing w:val="-4"/>
          <w:sz w:val="24"/>
        </w:rPr>
        <w:t xml:space="preserve"> </w:t>
      </w:r>
      <w:r w:rsidRPr="00150EDC">
        <w:rPr>
          <w:sz w:val="24"/>
        </w:rPr>
        <w:t>arises</w:t>
      </w:r>
      <w:r w:rsidRPr="00150EDC">
        <w:rPr>
          <w:spacing w:val="-5"/>
          <w:sz w:val="24"/>
        </w:rPr>
        <w:t xml:space="preserve"> </w:t>
      </w:r>
      <w:r w:rsidRPr="00150EDC">
        <w:rPr>
          <w:sz w:val="24"/>
        </w:rPr>
        <w:t>as</w:t>
      </w:r>
      <w:r w:rsidRPr="00150EDC">
        <w:rPr>
          <w:spacing w:val="-5"/>
          <w:sz w:val="24"/>
        </w:rPr>
        <w:t xml:space="preserve"> </w:t>
      </w:r>
      <w:r w:rsidRPr="00150EDC">
        <w:rPr>
          <w:sz w:val="24"/>
        </w:rPr>
        <w:t>to</w:t>
      </w:r>
      <w:r w:rsidRPr="00150EDC">
        <w:rPr>
          <w:spacing w:val="-4"/>
          <w:sz w:val="24"/>
        </w:rPr>
        <w:t xml:space="preserve"> </w:t>
      </w:r>
      <w:r w:rsidRPr="00150EDC">
        <w:rPr>
          <w:sz w:val="24"/>
        </w:rPr>
        <w:t>the</w:t>
      </w:r>
      <w:r w:rsidRPr="00150EDC">
        <w:rPr>
          <w:spacing w:val="-4"/>
          <w:sz w:val="24"/>
        </w:rPr>
        <w:t xml:space="preserve"> </w:t>
      </w:r>
      <w:r w:rsidRPr="00150EDC">
        <w:rPr>
          <w:sz w:val="24"/>
        </w:rPr>
        <w:t>Supplier's</w:t>
      </w:r>
      <w:r w:rsidRPr="00150EDC">
        <w:rPr>
          <w:spacing w:val="-5"/>
          <w:sz w:val="24"/>
        </w:rPr>
        <w:t xml:space="preserve"> </w:t>
      </w:r>
      <w:r w:rsidRPr="00150EDC">
        <w:rPr>
          <w:sz w:val="24"/>
        </w:rPr>
        <w:t>compliance</w:t>
      </w:r>
      <w:r w:rsidRPr="00150EDC">
        <w:rPr>
          <w:spacing w:val="-4"/>
          <w:sz w:val="24"/>
        </w:rPr>
        <w:t xml:space="preserve"> </w:t>
      </w:r>
      <w:r w:rsidRPr="00150EDC">
        <w:rPr>
          <w:sz w:val="24"/>
        </w:rPr>
        <w:t>with</w:t>
      </w:r>
      <w:r w:rsidRPr="00150EDC">
        <w:rPr>
          <w:spacing w:val="-4"/>
          <w:sz w:val="24"/>
        </w:rPr>
        <w:t xml:space="preserve"> </w:t>
      </w:r>
      <w:r w:rsidRPr="00150EDC">
        <w:rPr>
          <w:sz w:val="24"/>
        </w:rPr>
        <w:t>its</w:t>
      </w:r>
      <w:r w:rsidRPr="00150EDC">
        <w:rPr>
          <w:spacing w:val="-7"/>
          <w:sz w:val="24"/>
        </w:rPr>
        <w:t xml:space="preserve"> </w:t>
      </w:r>
      <w:r w:rsidRPr="00150EDC">
        <w:rPr>
          <w:sz w:val="24"/>
        </w:rPr>
        <w:t>obligations</w:t>
      </w:r>
      <w:r w:rsidRPr="00150EDC">
        <w:rPr>
          <w:spacing w:val="-5"/>
          <w:sz w:val="24"/>
        </w:rPr>
        <w:t xml:space="preserve"> </w:t>
      </w:r>
      <w:r w:rsidRPr="00150EDC">
        <w:rPr>
          <w:sz w:val="24"/>
        </w:rPr>
        <w:t>under</w:t>
      </w:r>
      <w:r w:rsidRPr="00150EDC">
        <w:rPr>
          <w:spacing w:val="-6"/>
          <w:sz w:val="24"/>
        </w:rPr>
        <w:t xml:space="preserve"> </w:t>
      </w:r>
      <w:r w:rsidRPr="00150EDC">
        <w:rPr>
          <w:sz w:val="24"/>
        </w:rPr>
        <w:t>this Schedule, then:</w:t>
      </w:r>
    </w:p>
    <w:p w14:paraId="106725B6" w14:textId="77777777" w:rsidR="004C7180" w:rsidRPr="00150EDC" w:rsidRDefault="00CF0754">
      <w:pPr>
        <w:pStyle w:val="ListParagraph"/>
        <w:numPr>
          <w:ilvl w:val="2"/>
          <w:numId w:val="6"/>
        </w:numPr>
        <w:tabs>
          <w:tab w:val="left" w:pos="1567"/>
        </w:tabs>
        <w:spacing w:before="160" w:line="259" w:lineRule="auto"/>
        <w:ind w:right="1016" w:firstLine="0"/>
        <w:jc w:val="both"/>
        <w:rPr>
          <w:sz w:val="24"/>
        </w:rPr>
      </w:pPr>
      <w:r w:rsidRPr="00150EDC">
        <w:rPr>
          <w:sz w:val="24"/>
        </w:rPr>
        <w:t>the</w:t>
      </w:r>
      <w:r w:rsidRPr="00150EDC">
        <w:rPr>
          <w:spacing w:val="-17"/>
          <w:sz w:val="24"/>
        </w:rPr>
        <w:t xml:space="preserve"> </w:t>
      </w:r>
      <w:r w:rsidRPr="00150EDC">
        <w:rPr>
          <w:sz w:val="24"/>
        </w:rPr>
        <w:t>management</w:t>
      </w:r>
      <w:r w:rsidRPr="00150EDC">
        <w:rPr>
          <w:spacing w:val="-17"/>
          <w:sz w:val="24"/>
        </w:rPr>
        <w:t xml:space="preserve"> </w:t>
      </w:r>
      <w:r w:rsidRPr="00150EDC">
        <w:rPr>
          <w:sz w:val="24"/>
        </w:rPr>
        <w:t>of</w:t>
      </w:r>
      <w:r w:rsidRPr="00150EDC">
        <w:rPr>
          <w:spacing w:val="-16"/>
          <w:sz w:val="24"/>
        </w:rPr>
        <w:t xml:space="preserve"> </w:t>
      </w:r>
      <w:r w:rsidRPr="00150EDC">
        <w:rPr>
          <w:sz w:val="24"/>
        </w:rPr>
        <w:t>intervention</w:t>
      </w:r>
      <w:r w:rsidRPr="00150EDC">
        <w:rPr>
          <w:spacing w:val="-17"/>
          <w:sz w:val="24"/>
        </w:rPr>
        <w:t xml:space="preserve"> </w:t>
      </w:r>
      <w:r w:rsidRPr="00150EDC">
        <w:rPr>
          <w:sz w:val="24"/>
        </w:rPr>
        <w:t>delivery</w:t>
      </w:r>
      <w:r w:rsidRPr="00150EDC">
        <w:rPr>
          <w:spacing w:val="-17"/>
          <w:sz w:val="24"/>
        </w:rPr>
        <w:t xml:space="preserve"> </w:t>
      </w:r>
      <w:r w:rsidRPr="00150EDC">
        <w:rPr>
          <w:sz w:val="24"/>
        </w:rPr>
        <w:t>supplier</w:t>
      </w:r>
      <w:r w:rsidRPr="00150EDC">
        <w:rPr>
          <w:spacing w:val="-17"/>
          <w:sz w:val="24"/>
        </w:rPr>
        <w:t xml:space="preserve"> </w:t>
      </w:r>
      <w:r w:rsidRPr="00150EDC">
        <w:rPr>
          <w:sz w:val="24"/>
        </w:rPr>
        <w:t>and</w:t>
      </w:r>
      <w:r w:rsidRPr="00150EDC">
        <w:rPr>
          <w:spacing w:val="-16"/>
          <w:sz w:val="24"/>
        </w:rPr>
        <w:t xml:space="preserve"> </w:t>
      </w:r>
      <w:r w:rsidRPr="00150EDC">
        <w:rPr>
          <w:sz w:val="24"/>
        </w:rPr>
        <w:t>the</w:t>
      </w:r>
      <w:r w:rsidRPr="00150EDC">
        <w:rPr>
          <w:spacing w:val="-17"/>
          <w:sz w:val="24"/>
        </w:rPr>
        <w:t xml:space="preserve"> </w:t>
      </w:r>
      <w:r w:rsidRPr="00150EDC">
        <w:rPr>
          <w:sz w:val="24"/>
        </w:rPr>
        <w:t>relevant</w:t>
      </w:r>
      <w:r w:rsidRPr="00150EDC">
        <w:rPr>
          <w:spacing w:val="-17"/>
          <w:sz w:val="24"/>
        </w:rPr>
        <w:t xml:space="preserve"> </w:t>
      </w:r>
      <w:r w:rsidRPr="00150EDC">
        <w:rPr>
          <w:sz w:val="24"/>
        </w:rPr>
        <w:t>Other</w:t>
      </w:r>
      <w:r w:rsidRPr="00150EDC">
        <w:rPr>
          <w:spacing w:val="-16"/>
          <w:sz w:val="24"/>
        </w:rPr>
        <w:t xml:space="preserve"> </w:t>
      </w:r>
      <w:r w:rsidRPr="00150EDC">
        <w:rPr>
          <w:sz w:val="24"/>
        </w:rPr>
        <w:t>Supplier shall attempt to resolve the issue within ten [10] Working Days of the issue arising;</w:t>
      </w:r>
    </w:p>
    <w:p w14:paraId="601E7BE6" w14:textId="77777777" w:rsidR="004C7180" w:rsidRPr="00150EDC" w:rsidRDefault="004C7180">
      <w:pPr>
        <w:spacing w:line="259" w:lineRule="auto"/>
        <w:jc w:val="both"/>
        <w:rPr>
          <w:sz w:val="24"/>
        </w:rPr>
        <w:sectPr w:rsidR="004C7180" w:rsidRPr="00150EDC">
          <w:headerReference w:type="default" r:id="rId162"/>
          <w:footerReference w:type="default" r:id="rId163"/>
          <w:pgSz w:w="11910" w:h="16840"/>
          <w:pgMar w:top="1340" w:right="420" w:bottom="280" w:left="460" w:header="0" w:footer="0" w:gutter="0"/>
          <w:cols w:space="720"/>
        </w:sectPr>
      </w:pPr>
    </w:p>
    <w:p w14:paraId="0C841D05" w14:textId="77777777" w:rsidR="004C7180" w:rsidRPr="00150EDC" w:rsidRDefault="00CF0754">
      <w:pPr>
        <w:pStyle w:val="ListParagraph"/>
        <w:numPr>
          <w:ilvl w:val="2"/>
          <w:numId w:val="6"/>
        </w:numPr>
        <w:tabs>
          <w:tab w:val="left" w:pos="1574"/>
        </w:tabs>
        <w:spacing w:before="82" w:line="259" w:lineRule="auto"/>
        <w:ind w:right="1013" w:firstLine="0"/>
        <w:jc w:val="both"/>
        <w:rPr>
          <w:sz w:val="24"/>
        </w:rPr>
      </w:pPr>
      <w:r w:rsidRPr="00150EDC">
        <w:rPr>
          <w:sz w:val="24"/>
        </w:rPr>
        <w:lastRenderedPageBreak/>
        <w:t>if</w:t>
      </w:r>
      <w:r w:rsidRPr="00150EDC">
        <w:rPr>
          <w:spacing w:val="-12"/>
          <w:sz w:val="24"/>
        </w:rPr>
        <w:t xml:space="preserve"> </w:t>
      </w:r>
      <w:r w:rsidRPr="00150EDC">
        <w:rPr>
          <w:sz w:val="24"/>
        </w:rPr>
        <w:t>the</w:t>
      </w:r>
      <w:r w:rsidRPr="00150EDC">
        <w:rPr>
          <w:spacing w:val="-12"/>
          <w:sz w:val="24"/>
        </w:rPr>
        <w:t xml:space="preserve"> </w:t>
      </w:r>
      <w:r w:rsidRPr="00150EDC">
        <w:rPr>
          <w:sz w:val="24"/>
        </w:rPr>
        <w:t>Supplier</w:t>
      </w:r>
      <w:r w:rsidRPr="00150EDC">
        <w:rPr>
          <w:spacing w:val="-11"/>
          <w:sz w:val="24"/>
        </w:rPr>
        <w:t xml:space="preserve"> </w:t>
      </w:r>
      <w:r w:rsidRPr="00150EDC">
        <w:rPr>
          <w:sz w:val="24"/>
        </w:rPr>
        <w:t>and</w:t>
      </w:r>
      <w:r w:rsidRPr="00150EDC">
        <w:rPr>
          <w:spacing w:val="-9"/>
          <w:sz w:val="24"/>
        </w:rPr>
        <w:t xml:space="preserve"> </w:t>
      </w:r>
      <w:r w:rsidRPr="00150EDC">
        <w:rPr>
          <w:sz w:val="24"/>
        </w:rPr>
        <w:t>the</w:t>
      </w:r>
      <w:r w:rsidRPr="00150EDC">
        <w:rPr>
          <w:spacing w:val="-12"/>
          <w:sz w:val="24"/>
        </w:rPr>
        <w:t xml:space="preserve"> </w:t>
      </w:r>
      <w:r w:rsidRPr="00150EDC">
        <w:rPr>
          <w:sz w:val="24"/>
        </w:rPr>
        <w:t>relevant</w:t>
      </w:r>
      <w:r w:rsidRPr="00150EDC">
        <w:rPr>
          <w:spacing w:val="-10"/>
          <w:sz w:val="24"/>
        </w:rPr>
        <w:t xml:space="preserve"> </w:t>
      </w:r>
      <w:r w:rsidRPr="00150EDC">
        <w:rPr>
          <w:sz w:val="24"/>
        </w:rPr>
        <w:t>Other</w:t>
      </w:r>
      <w:r w:rsidRPr="00150EDC">
        <w:rPr>
          <w:spacing w:val="-13"/>
          <w:sz w:val="24"/>
        </w:rPr>
        <w:t xml:space="preserve"> </w:t>
      </w:r>
      <w:r w:rsidRPr="00150EDC">
        <w:rPr>
          <w:sz w:val="24"/>
        </w:rPr>
        <w:t>Supplier</w:t>
      </w:r>
      <w:r w:rsidRPr="00150EDC">
        <w:rPr>
          <w:spacing w:val="-11"/>
          <w:sz w:val="24"/>
        </w:rPr>
        <w:t xml:space="preserve"> </w:t>
      </w:r>
      <w:r w:rsidRPr="00150EDC">
        <w:rPr>
          <w:sz w:val="24"/>
        </w:rPr>
        <w:t>have</w:t>
      </w:r>
      <w:r w:rsidRPr="00150EDC">
        <w:rPr>
          <w:spacing w:val="-12"/>
          <w:sz w:val="24"/>
        </w:rPr>
        <w:t xml:space="preserve"> </w:t>
      </w:r>
      <w:r w:rsidRPr="00150EDC">
        <w:rPr>
          <w:sz w:val="24"/>
        </w:rPr>
        <w:t>not</w:t>
      </w:r>
      <w:r w:rsidRPr="00150EDC">
        <w:rPr>
          <w:spacing w:val="-10"/>
          <w:sz w:val="24"/>
        </w:rPr>
        <w:t xml:space="preserve"> </w:t>
      </w:r>
      <w:r w:rsidRPr="00150EDC">
        <w:rPr>
          <w:sz w:val="24"/>
        </w:rPr>
        <w:t>resolved</w:t>
      </w:r>
      <w:r w:rsidRPr="00150EDC">
        <w:rPr>
          <w:spacing w:val="-9"/>
          <w:sz w:val="24"/>
        </w:rPr>
        <w:t xml:space="preserve"> </w:t>
      </w:r>
      <w:r w:rsidRPr="00150EDC">
        <w:rPr>
          <w:sz w:val="24"/>
        </w:rPr>
        <w:t>the</w:t>
      </w:r>
      <w:r w:rsidRPr="00150EDC">
        <w:rPr>
          <w:spacing w:val="-12"/>
          <w:sz w:val="24"/>
        </w:rPr>
        <w:t xml:space="preserve"> </w:t>
      </w:r>
      <w:r w:rsidRPr="00150EDC">
        <w:rPr>
          <w:sz w:val="24"/>
        </w:rPr>
        <w:t>issue</w:t>
      </w:r>
      <w:r w:rsidRPr="00150EDC">
        <w:rPr>
          <w:spacing w:val="-12"/>
          <w:sz w:val="24"/>
        </w:rPr>
        <w:t xml:space="preserve"> </w:t>
      </w:r>
      <w:r w:rsidRPr="00150EDC">
        <w:rPr>
          <w:sz w:val="24"/>
        </w:rPr>
        <w:t>within ten [10] Working Days of the issue arising, the Buyer or the relevant Other Supplier may</w:t>
      </w:r>
      <w:r w:rsidRPr="00150EDC">
        <w:rPr>
          <w:spacing w:val="-2"/>
          <w:sz w:val="24"/>
        </w:rPr>
        <w:t xml:space="preserve"> </w:t>
      </w:r>
      <w:r w:rsidRPr="00150EDC">
        <w:rPr>
          <w:sz w:val="24"/>
        </w:rPr>
        <w:t>escalate the issue</w:t>
      </w:r>
      <w:r w:rsidRPr="00150EDC">
        <w:rPr>
          <w:spacing w:val="-1"/>
          <w:sz w:val="24"/>
        </w:rPr>
        <w:t xml:space="preserve"> </w:t>
      </w:r>
      <w:r w:rsidRPr="00150EDC">
        <w:rPr>
          <w:sz w:val="24"/>
        </w:rPr>
        <w:t>to the DfE RCT Steering Group</w:t>
      </w:r>
      <w:r w:rsidRPr="00150EDC">
        <w:rPr>
          <w:spacing w:val="-1"/>
          <w:sz w:val="24"/>
        </w:rPr>
        <w:t xml:space="preserve"> </w:t>
      </w:r>
      <w:r w:rsidRPr="00150EDC">
        <w:rPr>
          <w:sz w:val="24"/>
        </w:rPr>
        <w:t>by giving written</w:t>
      </w:r>
      <w:r w:rsidRPr="00150EDC">
        <w:rPr>
          <w:spacing w:val="-1"/>
          <w:sz w:val="24"/>
        </w:rPr>
        <w:t xml:space="preserve"> </w:t>
      </w:r>
      <w:r w:rsidRPr="00150EDC">
        <w:rPr>
          <w:sz w:val="24"/>
        </w:rPr>
        <w:t>notice to</w:t>
      </w:r>
      <w:r w:rsidRPr="00150EDC">
        <w:rPr>
          <w:spacing w:val="-1"/>
          <w:sz w:val="24"/>
        </w:rPr>
        <w:t xml:space="preserve"> </w:t>
      </w:r>
      <w:r w:rsidRPr="00150EDC">
        <w:rPr>
          <w:sz w:val="24"/>
        </w:rPr>
        <w:t>the Supplier and the Buyer and the Other Suppliers (as applicable).</w:t>
      </w:r>
    </w:p>
    <w:p w14:paraId="435A02F6" w14:textId="77777777" w:rsidR="004C7180" w:rsidRPr="00150EDC" w:rsidRDefault="00CF0754">
      <w:pPr>
        <w:pStyle w:val="BodyText"/>
        <w:spacing w:before="159" w:line="259" w:lineRule="auto"/>
        <w:ind w:left="980" w:right="1015"/>
        <w:jc w:val="both"/>
      </w:pPr>
      <w:r w:rsidRPr="00150EDC">
        <w:t>5.1.2</w:t>
      </w:r>
      <w:r w:rsidRPr="00150EDC">
        <w:rPr>
          <w:spacing w:val="-12"/>
        </w:rPr>
        <w:t xml:space="preserve"> </w:t>
      </w:r>
      <w:r w:rsidRPr="00150EDC">
        <w:t>if</w:t>
      </w:r>
      <w:r w:rsidRPr="00150EDC">
        <w:rPr>
          <w:spacing w:val="-14"/>
        </w:rPr>
        <w:t xml:space="preserve"> </w:t>
      </w:r>
      <w:r w:rsidRPr="00150EDC">
        <w:t>the</w:t>
      </w:r>
      <w:r w:rsidRPr="00150EDC">
        <w:rPr>
          <w:spacing w:val="-14"/>
        </w:rPr>
        <w:t xml:space="preserve"> </w:t>
      </w:r>
      <w:r w:rsidRPr="00150EDC">
        <w:t>DfE</w:t>
      </w:r>
      <w:r w:rsidRPr="00150EDC">
        <w:rPr>
          <w:spacing w:val="-14"/>
        </w:rPr>
        <w:t xml:space="preserve"> </w:t>
      </w:r>
      <w:r w:rsidRPr="00150EDC">
        <w:t>RCT</w:t>
      </w:r>
      <w:r w:rsidRPr="00150EDC">
        <w:rPr>
          <w:spacing w:val="-13"/>
        </w:rPr>
        <w:t xml:space="preserve"> </w:t>
      </w:r>
      <w:r w:rsidRPr="00150EDC">
        <w:t>Steering</w:t>
      </w:r>
      <w:r w:rsidRPr="00150EDC">
        <w:rPr>
          <w:spacing w:val="-14"/>
        </w:rPr>
        <w:t xml:space="preserve"> </w:t>
      </w:r>
      <w:r w:rsidRPr="00150EDC">
        <w:t>Group</w:t>
      </w:r>
      <w:r w:rsidRPr="00150EDC">
        <w:rPr>
          <w:spacing w:val="-14"/>
        </w:rPr>
        <w:t xml:space="preserve"> </w:t>
      </w:r>
      <w:r w:rsidRPr="00150EDC">
        <w:t>fails</w:t>
      </w:r>
      <w:r w:rsidRPr="00150EDC">
        <w:rPr>
          <w:spacing w:val="-15"/>
        </w:rPr>
        <w:t xml:space="preserve"> </w:t>
      </w:r>
      <w:r w:rsidRPr="00150EDC">
        <w:t>to</w:t>
      </w:r>
      <w:r w:rsidRPr="00150EDC">
        <w:rPr>
          <w:spacing w:val="-12"/>
        </w:rPr>
        <w:t xml:space="preserve"> </w:t>
      </w:r>
      <w:r w:rsidRPr="00150EDC">
        <w:t>resolve</w:t>
      </w:r>
      <w:r w:rsidRPr="00150EDC">
        <w:rPr>
          <w:spacing w:val="-12"/>
        </w:rPr>
        <w:t xml:space="preserve"> </w:t>
      </w:r>
      <w:r w:rsidRPr="00150EDC">
        <w:t>the</w:t>
      </w:r>
      <w:r w:rsidRPr="00150EDC">
        <w:rPr>
          <w:spacing w:val="-12"/>
        </w:rPr>
        <w:t xml:space="preserve"> </w:t>
      </w:r>
      <w:r w:rsidRPr="00150EDC">
        <w:t>issue</w:t>
      </w:r>
      <w:r w:rsidRPr="00150EDC">
        <w:rPr>
          <w:spacing w:val="-12"/>
        </w:rPr>
        <w:t xml:space="preserve"> </w:t>
      </w:r>
      <w:r w:rsidRPr="00150EDC">
        <w:t>within</w:t>
      </w:r>
      <w:r w:rsidRPr="00150EDC">
        <w:rPr>
          <w:spacing w:val="-12"/>
        </w:rPr>
        <w:t xml:space="preserve"> </w:t>
      </w:r>
      <w:r w:rsidRPr="00150EDC">
        <w:t>[15]</w:t>
      </w:r>
      <w:r w:rsidRPr="00150EDC">
        <w:rPr>
          <w:spacing w:val="-14"/>
        </w:rPr>
        <w:t xml:space="preserve"> </w:t>
      </w:r>
      <w:r w:rsidRPr="00150EDC">
        <w:t>Working</w:t>
      </w:r>
      <w:r w:rsidRPr="00150EDC">
        <w:rPr>
          <w:spacing w:val="-12"/>
        </w:rPr>
        <w:t xml:space="preserve"> </w:t>
      </w:r>
      <w:r w:rsidRPr="00150EDC">
        <w:t>Days of being referred to it, the Buyer or the Other Suppliers may refer the issue to the Multiply Delivery Board.</w:t>
      </w:r>
    </w:p>
    <w:p w14:paraId="6F306F68" w14:textId="77777777" w:rsidR="004C7180" w:rsidRPr="00150EDC" w:rsidRDefault="00CF0754">
      <w:pPr>
        <w:pStyle w:val="ListParagraph"/>
        <w:numPr>
          <w:ilvl w:val="1"/>
          <w:numId w:val="6"/>
        </w:numPr>
        <w:tabs>
          <w:tab w:val="left" w:pos="1381"/>
        </w:tabs>
        <w:spacing w:before="159"/>
        <w:ind w:left="1381"/>
        <w:jc w:val="both"/>
        <w:rPr>
          <w:sz w:val="24"/>
        </w:rPr>
      </w:pPr>
      <w:r w:rsidRPr="00150EDC">
        <w:rPr>
          <w:sz w:val="24"/>
        </w:rPr>
        <w:t>The</w:t>
      </w:r>
      <w:r w:rsidRPr="00150EDC">
        <w:rPr>
          <w:spacing w:val="-4"/>
          <w:sz w:val="24"/>
        </w:rPr>
        <w:t xml:space="preserve"> </w:t>
      </w:r>
      <w:r w:rsidRPr="00150EDC">
        <w:rPr>
          <w:sz w:val="24"/>
        </w:rPr>
        <w:t>decision</w:t>
      </w:r>
      <w:r w:rsidRPr="00150EDC">
        <w:rPr>
          <w:spacing w:val="-3"/>
          <w:sz w:val="24"/>
        </w:rPr>
        <w:t xml:space="preserve"> </w:t>
      </w:r>
      <w:r w:rsidRPr="00150EDC">
        <w:rPr>
          <w:sz w:val="24"/>
        </w:rPr>
        <w:t>of</w:t>
      </w:r>
      <w:r w:rsidRPr="00150EDC">
        <w:rPr>
          <w:spacing w:val="-2"/>
          <w:sz w:val="24"/>
        </w:rPr>
        <w:t xml:space="preserve"> </w:t>
      </w:r>
      <w:r w:rsidRPr="00150EDC">
        <w:rPr>
          <w:sz w:val="24"/>
        </w:rPr>
        <w:t>the</w:t>
      </w:r>
      <w:r w:rsidRPr="00150EDC">
        <w:rPr>
          <w:spacing w:val="-3"/>
          <w:sz w:val="24"/>
        </w:rPr>
        <w:t xml:space="preserve"> </w:t>
      </w:r>
      <w:r w:rsidRPr="00150EDC">
        <w:rPr>
          <w:sz w:val="24"/>
        </w:rPr>
        <w:t>Multiply</w:t>
      </w:r>
      <w:r w:rsidRPr="00150EDC">
        <w:rPr>
          <w:spacing w:val="-2"/>
          <w:sz w:val="24"/>
        </w:rPr>
        <w:t xml:space="preserve"> </w:t>
      </w:r>
      <w:r w:rsidRPr="00150EDC">
        <w:rPr>
          <w:sz w:val="24"/>
        </w:rPr>
        <w:t>Delivery</w:t>
      </w:r>
      <w:r w:rsidRPr="00150EDC">
        <w:rPr>
          <w:spacing w:val="-3"/>
          <w:sz w:val="24"/>
        </w:rPr>
        <w:t xml:space="preserve"> </w:t>
      </w:r>
      <w:r w:rsidRPr="00150EDC">
        <w:rPr>
          <w:sz w:val="24"/>
        </w:rPr>
        <w:t>Board</w:t>
      </w:r>
      <w:r w:rsidRPr="00150EDC">
        <w:rPr>
          <w:spacing w:val="-1"/>
          <w:sz w:val="24"/>
        </w:rPr>
        <w:t xml:space="preserve"> </w:t>
      </w:r>
      <w:r w:rsidRPr="00150EDC">
        <w:rPr>
          <w:sz w:val="24"/>
        </w:rPr>
        <w:t>shall</w:t>
      </w:r>
      <w:r w:rsidRPr="00150EDC">
        <w:rPr>
          <w:spacing w:val="-5"/>
          <w:sz w:val="24"/>
        </w:rPr>
        <w:t xml:space="preserve"> </w:t>
      </w:r>
      <w:r w:rsidRPr="00150EDC">
        <w:rPr>
          <w:sz w:val="24"/>
        </w:rPr>
        <w:t>be</w:t>
      </w:r>
      <w:r w:rsidRPr="00150EDC">
        <w:rPr>
          <w:spacing w:val="-1"/>
          <w:sz w:val="24"/>
        </w:rPr>
        <w:t xml:space="preserve"> </w:t>
      </w:r>
      <w:r w:rsidRPr="00150EDC">
        <w:rPr>
          <w:spacing w:val="-2"/>
          <w:sz w:val="24"/>
        </w:rPr>
        <w:t>final.</w:t>
      </w:r>
    </w:p>
    <w:p w14:paraId="302ED308" w14:textId="77777777" w:rsidR="004C7180" w:rsidRPr="00150EDC" w:rsidRDefault="004C7180">
      <w:pPr>
        <w:pStyle w:val="BodyText"/>
        <w:rPr>
          <w:sz w:val="26"/>
        </w:rPr>
      </w:pPr>
    </w:p>
    <w:p w14:paraId="0F62A344" w14:textId="77777777" w:rsidR="004C7180" w:rsidRPr="00150EDC" w:rsidRDefault="004C7180">
      <w:pPr>
        <w:pStyle w:val="BodyText"/>
        <w:spacing w:before="8"/>
        <w:rPr>
          <w:sz w:val="29"/>
        </w:rPr>
      </w:pPr>
    </w:p>
    <w:p w14:paraId="561E1482" w14:textId="77777777" w:rsidR="004C7180" w:rsidRPr="00150EDC" w:rsidRDefault="00CF0754">
      <w:pPr>
        <w:pStyle w:val="BodyText"/>
        <w:spacing w:before="1"/>
        <w:ind w:left="980"/>
      </w:pPr>
      <w:r w:rsidRPr="00150EDC">
        <w:rPr>
          <w:u w:val="single"/>
        </w:rPr>
        <w:t>Draft</w:t>
      </w:r>
      <w:r w:rsidRPr="00150EDC">
        <w:rPr>
          <w:spacing w:val="-4"/>
          <w:u w:val="single"/>
        </w:rPr>
        <w:t xml:space="preserve"> </w:t>
      </w:r>
      <w:r w:rsidRPr="00150EDC">
        <w:rPr>
          <w:u w:val="single"/>
        </w:rPr>
        <w:t>Collaboration</w:t>
      </w:r>
      <w:r w:rsidRPr="00150EDC">
        <w:rPr>
          <w:spacing w:val="-6"/>
          <w:u w:val="single"/>
        </w:rPr>
        <w:t xml:space="preserve"> </w:t>
      </w:r>
      <w:r w:rsidRPr="00150EDC">
        <w:rPr>
          <w:u w:val="single"/>
        </w:rPr>
        <w:t>Schedule</w:t>
      </w:r>
      <w:r w:rsidRPr="00150EDC">
        <w:rPr>
          <w:spacing w:val="-3"/>
          <w:u w:val="single"/>
        </w:rPr>
        <w:t xml:space="preserve"> </w:t>
      </w:r>
      <w:r w:rsidRPr="00150EDC">
        <w:rPr>
          <w:spacing w:val="-4"/>
          <w:u w:val="single"/>
        </w:rPr>
        <w:t>KPIs</w:t>
      </w:r>
    </w:p>
    <w:p w14:paraId="5B05B0E4" w14:textId="77777777" w:rsidR="004C7180" w:rsidRPr="00150EDC" w:rsidRDefault="004C7180">
      <w:pPr>
        <w:pStyle w:val="BodyText"/>
        <w:spacing w:before="6" w:after="1"/>
        <w:rPr>
          <w:sz w:val="15"/>
        </w:rPr>
      </w:pPr>
    </w:p>
    <w:tbl>
      <w:tblPr>
        <w:tblW w:w="0" w:type="auto"/>
        <w:tblInd w:w="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60"/>
        <w:gridCol w:w="4680"/>
        <w:gridCol w:w="2410"/>
        <w:gridCol w:w="2127"/>
      </w:tblGrid>
      <w:tr w:rsidR="004569EE" w:rsidRPr="007D3144" w14:paraId="078E01BC" w14:textId="77777777">
        <w:trPr>
          <w:trHeight w:val="829"/>
        </w:trPr>
        <w:tc>
          <w:tcPr>
            <w:tcW w:w="1560" w:type="dxa"/>
            <w:shd w:val="clear" w:color="auto" w:fill="7E7E7E"/>
          </w:tcPr>
          <w:p w14:paraId="046009BA" w14:textId="77777777" w:rsidR="004C7180" w:rsidRPr="00150EDC" w:rsidRDefault="00CF0754">
            <w:pPr>
              <w:pStyle w:val="TableParagraph"/>
              <w:spacing w:before="2" w:line="240" w:lineRule="auto"/>
              <w:ind w:left="107"/>
              <w:rPr>
                <w:b/>
                <w:sz w:val="24"/>
              </w:rPr>
            </w:pPr>
            <w:r w:rsidRPr="007D3144">
              <w:rPr>
                <w:b/>
                <w:spacing w:val="-2"/>
                <w:sz w:val="24"/>
              </w:rPr>
              <w:t>Enablers</w:t>
            </w:r>
          </w:p>
        </w:tc>
        <w:tc>
          <w:tcPr>
            <w:tcW w:w="4680" w:type="dxa"/>
            <w:shd w:val="clear" w:color="auto" w:fill="7E7E7E"/>
          </w:tcPr>
          <w:p w14:paraId="7361D173" w14:textId="77777777" w:rsidR="004C7180" w:rsidRPr="00150EDC" w:rsidRDefault="00CF0754">
            <w:pPr>
              <w:pStyle w:val="TableParagraph"/>
              <w:spacing w:before="2" w:line="240" w:lineRule="auto"/>
              <w:ind w:left="107"/>
              <w:rPr>
                <w:b/>
                <w:sz w:val="24"/>
              </w:rPr>
            </w:pPr>
            <w:r w:rsidRPr="007D3144">
              <w:rPr>
                <w:b/>
                <w:sz w:val="24"/>
              </w:rPr>
              <w:t>KPI</w:t>
            </w:r>
            <w:r w:rsidRPr="007D3144">
              <w:rPr>
                <w:b/>
                <w:spacing w:val="-1"/>
                <w:sz w:val="24"/>
              </w:rPr>
              <w:t xml:space="preserve"> </w:t>
            </w:r>
            <w:r w:rsidRPr="007D3144">
              <w:rPr>
                <w:b/>
                <w:sz w:val="24"/>
              </w:rPr>
              <w:t>and</w:t>
            </w:r>
            <w:r w:rsidRPr="007D3144">
              <w:rPr>
                <w:b/>
                <w:spacing w:val="-1"/>
                <w:sz w:val="24"/>
              </w:rPr>
              <w:t xml:space="preserve"> </w:t>
            </w:r>
            <w:r w:rsidRPr="007D3144">
              <w:rPr>
                <w:b/>
                <w:sz w:val="24"/>
              </w:rPr>
              <w:t>how it</w:t>
            </w:r>
            <w:r w:rsidRPr="007D3144">
              <w:rPr>
                <w:b/>
                <w:spacing w:val="-4"/>
                <w:sz w:val="24"/>
              </w:rPr>
              <w:t xml:space="preserve"> </w:t>
            </w:r>
            <w:r w:rsidRPr="007D3144">
              <w:rPr>
                <w:b/>
                <w:sz w:val="24"/>
              </w:rPr>
              <w:t>will be</w:t>
            </w:r>
            <w:r w:rsidRPr="007D3144">
              <w:rPr>
                <w:b/>
                <w:spacing w:val="-2"/>
                <w:sz w:val="24"/>
              </w:rPr>
              <w:t xml:space="preserve"> measured</w:t>
            </w:r>
          </w:p>
        </w:tc>
        <w:tc>
          <w:tcPr>
            <w:tcW w:w="2410" w:type="dxa"/>
            <w:shd w:val="clear" w:color="auto" w:fill="7E7E7E"/>
          </w:tcPr>
          <w:p w14:paraId="0AAD216A" w14:textId="77777777" w:rsidR="004C7180" w:rsidRPr="00150EDC" w:rsidRDefault="00CF0754">
            <w:pPr>
              <w:pStyle w:val="TableParagraph"/>
              <w:spacing w:before="2" w:line="240" w:lineRule="auto"/>
              <w:ind w:left="107"/>
              <w:rPr>
                <w:b/>
                <w:sz w:val="24"/>
              </w:rPr>
            </w:pPr>
            <w:r w:rsidRPr="007D3144">
              <w:rPr>
                <w:b/>
                <w:sz w:val="24"/>
              </w:rPr>
              <w:t>Rating</w:t>
            </w:r>
            <w:r w:rsidRPr="007D3144">
              <w:rPr>
                <w:b/>
                <w:spacing w:val="-3"/>
                <w:sz w:val="24"/>
              </w:rPr>
              <w:t xml:space="preserve"> </w:t>
            </w:r>
            <w:r w:rsidRPr="007D3144">
              <w:rPr>
                <w:b/>
                <w:spacing w:val="-2"/>
                <w:sz w:val="24"/>
              </w:rPr>
              <w:t>thresholds</w:t>
            </w:r>
          </w:p>
        </w:tc>
        <w:tc>
          <w:tcPr>
            <w:tcW w:w="2127" w:type="dxa"/>
            <w:shd w:val="clear" w:color="auto" w:fill="7E7E7E"/>
          </w:tcPr>
          <w:p w14:paraId="2EE7A412" w14:textId="77777777" w:rsidR="004C7180" w:rsidRPr="00150EDC" w:rsidRDefault="00CF0754">
            <w:pPr>
              <w:pStyle w:val="TableParagraph"/>
              <w:spacing w:before="0" w:line="270" w:lineRule="atLeast"/>
              <w:ind w:left="107" w:right="85"/>
              <w:jc w:val="both"/>
              <w:rPr>
                <w:b/>
                <w:sz w:val="24"/>
              </w:rPr>
            </w:pPr>
            <w:r w:rsidRPr="007D3144">
              <w:rPr>
                <w:b/>
                <w:sz w:val="24"/>
              </w:rPr>
              <w:t>Target</w:t>
            </w:r>
            <w:r w:rsidRPr="007D3144">
              <w:rPr>
                <w:b/>
                <w:spacing w:val="-19"/>
                <w:sz w:val="24"/>
              </w:rPr>
              <w:t xml:space="preserve"> </w:t>
            </w:r>
            <w:r w:rsidRPr="007D3144">
              <w:rPr>
                <w:b/>
                <w:sz w:val="24"/>
              </w:rPr>
              <w:t>for</w:t>
            </w:r>
            <w:r w:rsidRPr="007D3144">
              <w:rPr>
                <w:b/>
                <w:spacing w:val="-17"/>
                <w:sz w:val="24"/>
              </w:rPr>
              <w:t xml:space="preserve"> </w:t>
            </w:r>
            <w:r w:rsidRPr="007D3144">
              <w:rPr>
                <w:b/>
                <w:sz w:val="24"/>
              </w:rPr>
              <w:t>each</w:t>
            </w:r>
            <w:r w:rsidRPr="007D3144">
              <w:rPr>
                <w:b/>
                <w:spacing w:val="-16"/>
                <w:sz w:val="24"/>
              </w:rPr>
              <w:t xml:space="preserve"> </w:t>
            </w:r>
            <w:r w:rsidRPr="007D3144">
              <w:rPr>
                <w:b/>
                <w:sz w:val="24"/>
              </w:rPr>
              <w:t>6 week</w:t>
            </w:r>
            <w:r w:rsidRPr="007D3144">
              <w:rPr>
                <w:b/>
                <w:spacing w:val="-17"/>
                <w:sz w:val="24"/>
              </w:rPr>
              <w:t xml:space="preserve"> </w:t>
            </w:r>
            <w:r w:rsidRPr="007D3144">
              <w:rPr>
                <w:b/>
                <w:sz w:val="24"/>
              </w:rPr>
              <w:t xml:space="preserve">monitoring </w:t>
            </w:r>
            <w:r w:rsidRPr="007D3144">
              <w:rPr>
                <w:b/>
                <w:spacing w:val="-2"/>
                <w:sz w:val="24"/>
              </w:rPr>
              <w:t>period</w:t>
            </w:r>
          </w:p>
        </w:tc>
      </w:tr>
      <w:tr w:rsidR="004569EE" w:rsidRPr="007D3144" w14:paraId="4AC0BC55" w14:textId="77777777">
        <w:trPr>
          <w:trHeight w:val="2207"/>
        </w:trPr>
        <w:tc>
          <w:tcPr>
            <w:tcW w:w="1560" w:type="dxa"/>
          </w:tcPr>
          <w:p w14:paraId="6DE54FCD" w14:textId="77777777" w:rsidR="004C7180" w:rsidRPr="00150EDC" w:rsidRDefault="00CF0754">
            <w:pPr>
              <w:pStyle w:val="TableParagraph"/>
              <w:spacing w:before="0" w:line="240" w:lineRule="auto"/>
              <w:ind w:left="107"/>
              <w:rPr>
                <w:sz w:val="24"/>
              </w:rPr>
            </w:pPr>
            <w:r w:rsidRPr="00150EDC">
              <w:rPr>
                <w:spacing w:val="-2"/>
                <w:sz w:val="24"/>
              </w:rPr>
              <w:t>Attendance</w:t>
            </w:r>
          </w:p>
        </w:tc>
        <w:tc>
          <w:tcPr>
            <w:tcW w:w="4680" w:type="dxa"/>
          </w:tcPr>
          <w:p w14:paraId="113368C2" w14:textId="77777777" w:rsidR="004C7180" w:rsidRPr="00150EDC" w:rsidRDefault="00CF0754">
            <w:pPr>
              <w:pStyle w:val="TableParagraph"/>
              <w:spacing w:before="0" w:line="240" w:lineRule="auto"/>
              <w:ind w:left="107" w:right="84"/>
              <w:jc w:val="both"/>
              <w:rPr>
                <w:b/>
                <w:sz w:val="24"/>
              </w:rPr>
            </w:pPr>
            <w:r w:rsidRPr="00150EDC">
              <w:rPr>
                <w:b/>
                <w:sz w:val="24"/>
              </w:rPr>
              <w:t xml:space="preserve">Supplier attends each IDEA joint- working meetings, as agreed in the </w:t>
            </w:r>
            <w:r w:rsidRPr="00150EDC">
              <w:rPr>
                <w:b/>
                <w:spacing w:val="-2"/>
                <w:sz w:val="24"/>
              </w:rPr>
              <w:t>IDEA</w:t>
            </w:r>
            <w:r w:rsidRPr="00150EDC">
              <w:rPr>
                <w:b/>
                <w:spacing w:val="-12"/>
                <w:sz w:val="24"/>
              </w:rPr>
              <w:t xml:space="preserve"> </w:t>
            </w:r>
            <w:r w:rsidRPr="00150EDC">
              <w:rPr>
                <w:b/>
                <w:spacing w:val="-2"/>
                <w:sz w:val="24"/>
              </w:rPr>
              <w:t>Delivery</w:t>
            </w:r>
            <w:r w:rsidRPr="00150EDC">
              <w:rPr>
                <w:b/>
                <w:spacing w:val="-11"/>
                <w:sz w:val="24"/>
              </w:rPr>
              <w:t xml:space="preserve"> </w:t>
            </w:r>
            <w:r w:rsidRPr="00150EDC">
              <w:rPr>
                <w:b/>
                <w:spacing w:val="-2"/>
                <w:sz w:val="24"/>
              </w:rPr>
              <w:t>Plan</w:t>
            </w:r>
            <w:r w:rsidRPr="00150EDC">
              <w:rPr>
                <w:b/>
                <w:spacing w:val="-12"/>
                <w:sz w:val="24"/>
              </w:rPr>
              <w:t xml:space="preserve"> </w:t>
            </w:r>
            <w:r w:rsidRPr="00150EDC">
              <w:rPr>
                <w:b/>
                <w:spacing w:val="-2"/>
                <w:sz w:val="24"/>
              </w:rPr>
              <w:t>and</w:t>
            </w:r>
            <w:r w:rsidRPr="00150EDC">
              <w:rPr>
                <w:b/>
                <w:spacing w:val="-12"/>
                <w:sz w:val="24"/>
              </w:rPr>
              <w:t xml:space="preserve"> </w:t>
            </w:r>
            <w:r w:rsidRPr="00150EDC">
              <w:rPr>
                <w:b/>
                <w:spacing w:val="-2"/>
                <w:sz w:val="24"/>
              </w:rPr>
              <w:t>approved</w:t>
            </w:r>
            <w:r w:rsidRPr="00150EDC">
              <w:rPr>
                <w:b/>
                <w:spacing w:val="-12"/>
                <w:sz w:val="24"/>
              </w:rPr>
              <w:t xml:space="preserve"> </w:t>
            </w:r>
            <w:r w:rsidRPr="00150EDC">
              <w:rPr>
                <w:b/>
                <w:spacing w:val="-2"/>
                <w:sz w:val="24"/>
              </w:rPr>
              <w:t>by</w:t>
            </w:r>
            <w:r w:rsidRPr="00150EDC">
              <w:rPr>
                <w:b/>
                <w:spacing w:val="-11"/>
                <w:sz w:val="24"/>
              </w:rPr>
              <w:t xml:space="preserve"> </w:t>
            </w:r>
            <w:r w:rsidRPr="00150EDC">
              <w:rPr>
                <w:b/>
                <w:spacing w:val="-2"/>
                <w:sz w:val="24"/>
              </w:rPr>
              <w:t xml:space="preserve">the </w:t>
            </w:r>
            <w:r w:rsidRPr="00150EDC">
              <w:rPr>
                <w:b/>
                <w:sz w:val="24"/>
              </w:rPr>
              <w:t>DfE RCT Steering Group</w:t>
            </w:r>
          </w:p>
          <w:p w14:paraId="7C46828F" w14:textId="77777777" w:rsidR="004C7180" w:rsidRPr="00150EDC" w:rsidRDefault="00CF0754">
            <w:pPr>
              <w:pStyle w:val="TableParagraph"/>
              <w:spacing w:before="0" w:line="240" w:lineRule="auto"/>
              <w:ind w:left="107" w:right="86"/>
              <w:jc w:val="both"/>
              <w:rPr>
                <w:i/>
                <w:sz w:val="24"/>
              </w:rPr>
            </w:pPr>
            <w:r w:rsidRPr="00150EDC">
              <w:rPr>
                <w:i/>
                <w:sz w:val="24"/>
              </w:rPr>
              <w:t>Measurement: review of attendance list from IDEA meeting minutes</w:t>
            </w:r>
          </w:p>
        </w:tc>
        <w:tc>
          <w:tcPr>
            <w:tcW w:w="2410" w:type="dxa"/>
          </w:tcPr>
          <w:p w14:paraId="380BAEF9" w14:textId="77777777" w:rsidR="004C7180" w:rsidRPr="00150EDC" w:rsidRDefault="00CF0754">
            <w:pPr>
              <w:pStyle w:val="TableParagraph"/>
              <w:spacing w:before="0" w:line="240" w:lineRule="auto"/>
              <w:ind w:left="107" w:right="84"/>
              <w:rPr>
                <w:sz w:val="24"/>
              </w:rPr>
            </w:pPr>
            <w:r w:rsidRPr="00150EDC">
              <w:rPr>
                <w:sz w:val="24"/>
              </w:rPr>
              <w:t>Good: 100% Approaching</w:t>
            </w:r>
            <w:r w:rsidRPr="00150EDC">
              <w:rPr>
                <w:spacing w:val="64"/>
                <w:sz w:val="24"/>
              </w:rPr>
              <w:t xml:space="preserve"> </w:t>
            </w:r>
            <w:r w:rsidRPr="00150EDC">
              <w:rPr>
                <w:sz w:val="24"/>
              </w:rPr>
              <w:t xml:space="preserve">target: </w:t>
            </w:r>
            <w:r w:rsidRPr="00150EDC">
              <w:rPr>
                <w:spacing w:val="-2"/>
                <w:sz w:val="24"/>
              </w:rPr>
              <w:t>97-99%</w:t>
            </w:r>
          </w:p>
          <w:p w14:paraId="33444639" w14:textId="77777777" w:rsidR="004C7180" w:rsidRPr="00150EDC" w:rsidRDefault="00CF0754">
            <w:pPr>
              <w:pStyle w:val="TableParagraph"/>
              <w:tabs>
                <w:tab w:val="left" w:pos="1955"/>
              </w:tabs>
              <w:spacing w:before="0" w:line="240" w:lineRule="auto"/>
              <w:ind w:left="107" w:right="83"/>
              <w:rPr>
                <w:sz w:val="24"/>
              </w:rPr>
            </w:pPr>
            <w:r w:rsidRPr="00150EDC">
              <w:rPr>
                <w:spacing w:val="-2"/>
                <w:sz w:val="24"/>
              </w:rPr>
              <w:t>Requires Improvement:</w:t>
            </w:r>
            <w:r w:rsidRPr="00150EDC">
              <w:rPr>
                <w:sz w:val="24"/>
              </w:rPr>
              <w:tab/>
            </w:r>
            <w:r w:rsidRPr="00150EDC">
              <w:rPr>
                <w:spacing w:val="-4"/>
                <w:sz w:val="24"/>
              </w:rPr>
              <w:t>95-</w:t>
            </w:r>
          </w:p>
          <w:p w14:paraId="5D46C249" w14:textId="77777777" w:rsidR="004C7180" w:rsidRPr="00150EDC" w:rsidRDefault="00CF0754">
            <w:pPr>
              <w:pStyle w:val="TableParagraph"/>
              <w:spacing w:before="0" w:line="240" w:lineRule="auto"/>
              <w:ind w:left="107"/>
              <w:rPr>
                <w:sz w:val="24"/>
              </w:rPr>
            </w:pPr>
            <w:r w:rsidRPr="00150EDC">
              <w:rPr>
                <w:spacing w:val="-5"/>
                <w:sz w:val="24"/>
              </w:rPr>
              <w:t>96%</w:t>
            </w:r>
          </w:p>
          <w:p w14:paraId="7E985297" w14:textId="77777777" w:rsidR="004C7180" w:rsidRPr="00150EDC" w:rsidRDefault="00CF0754">
            <w:pPr>
              <w:pStyle w:val="TableParagraph"/>
              <w:tabs>
                <w:tab w:val="left" w:pos="1876"/>
              </w:tabs>
              <w:spacing w:before="0" w:line="270" w:lineRule="atLeast"/>
              <w:ind w:left="107" w:right="84"/>
              <w:rPr>
                <w:sz w:val="24"/>
              </w:rPr>
            </w:pPr>
            <w:r w:rsidRPr="00150EDC">
              <w:rPr>
                <w:spacing w:val="-2"/>
                <w:sz w:val="24"/>
              </w:rPr>
              <w:t>Inadequate:</w:t>
            </w:r>
            <w:r w:rsidRPr="00150EDC">
              <w:rPr>
                <w:sz w:val="24"/>
              </w:rPr>
              <w:tab/>
            </w:r>
            <w:r w:rsidRPr="00150EDC">
              <w:rPr>
                <w:spacing w:val="-4"/>
                <w:sz w:val="24"/>
              </w:rPr>
              <w:t xml:space="preserve">less </w:t>
            </w:r>
            <w:r w:rsidRPr="00150EDC">
              <w:rPr>
                <w:sz w:val="24"/>
              </w:rPr>
              <w:t>than 95%</w:t>
            </w:r>
          </w:p>
        </w:tc>
        <w:tc>
          <w:tcPr>
            <w:tcW w:w="2127" w:type="dxa"/>
          </w:tcPr>
          <w:p w14:paraId="34A57686" w14:textId="77777777" w:rsidR="004C7180" w:rsidRPr="00150EDC" w:rsidRDefault="00CF0754">
            <w:pPr>
              <w:pStyle w:val="TableParagraph"/>
              <w:tabs>
                <w:tab w:val="left" w:pos="1271"/>
                <w:tab w:val="left" w:pos="1751"/>
              </w:tabs>
              <w:spacing w:before="0" w:line="240" w:lineRule="auto"/>
              <w:ind w:left="107" w:right="84"/>
              <w:rPr>
                <w:sz w:val="24"/>
              </w:rPr>
            </w:pPr>
            <w:r w:rsidRPr="00150EDC">
              <w:rPr>
                <w:spacing w:val="-2"/>
                <w:sz w:val="24"/>
              </w:rPr>
              <w:t>Supplier</w:t>
            </w:r>
            <w:r w:rsidRPr="00150EDC">
              <w:rPr>
                <w:sz w:val="24"/>
              </w:rPr>
              <w:tab/>
            </w:r>
            <w:r w:rsidRPr="00150EDC">
              <w:rPr>
                <w:spacing w:val="-6"/>
                <w:sz w:val="24"/>
              </w:rPr>
              <w:t>to</w:t>
            </w:r>
            <w:r w:rsidRPr="00150EDC">
              <w:rPr>
                <w:sz w:val="24"/>
              </w:rPr>
              <w:tab/>
            </w:r>
            <w:r w:rsidRPr="00150EDC">
              <w:rPr>
                <w:spacing w:val="-6"/>
                <w:sz w:val="24"/>
              </w:rPr>
              <w:t xml:space="preserve">be </w:t>
            </w:r>
            <w:r w:rsidRPr="00150EDC">
              <w:rPr>
                <w:sz w:val="24"/>
              </w:rPr>
              <w:t>rated as ‘good’</w:t>
            </w:r>
          </w:p>
        </w:tc>
      </w:tr>
      <w:tr w:rsidR="004569EE" w:rsidRPr="007D3144" w14:paraId="26E2397D" w14:textId="77777777">
        <w:trPr>
          <w:trHeight w:val="3310"/>
        </w:trPr>
        <w:tc>
          <w:tcPr>
            <w:tcW w:w="1560" w:type="dxa"/>
          </w:tcPr>
          <w:p w14:paraId="5F05F7EC" w14:textId="77777777" w:rsidR="004C7180" w:rsidRPr="00150EDC" w:rsidRDefault="00CF0754">
            <w:pPr>
              <w:pStyle w:val="TableParagraph"/>
              <w:tabs>
                <w:tab w:val="left" w:pos="1252"/>
              </w:tabs>
              <w:spacing w:before="0" w:line="240" w:lineRule="auto"/>
              <w:ind w:left="107" w:right="86"/>
              <w:rPr>
                <w:sz w:val="24"/>
              </w:rPr>
            </w:pPr>
            <w:r w:rsidRPr="00150EDC">
              <w:rPr>
                <w:spacing w:val="-2"/>
                <w:sz w:val="24"/>
              </w:rPr>
              <w:t>Access</w:t>
            </w:r>
            <w:r w:rsidRPr="00150EDC">
              <w:rPr>
                <w:sz w:val="24"/>
              </w:rPr>
              <w:tab/>
            </w:r>
            <w:r w:rsidRPr="00150EDC">
              <w:rPr>
                <w:spacing w:val="-6"/>
                <w:sz w:val="24"/>
              </w:rPr>
              <w:t xml:space="preserve">to </w:t>
            </w:r>
            <w:r w:rsidRPr="00150EDC">
              <w:rPr>
                <w:spacing w:val="-2"/>
                <w:sz w:val="24"/>
              </w:rPr>
              <w:t>appropriate staff</w:t>
            </w:r>
          </w:p>
        </w:tc>
        <w:tc>
          <w:tcPr>
            <w:tcW w:w="4680" w:type="dxa"/>
          </w:tcPr>
          <w:p w14:paraId="0304F9EC" w14:textId="77777777" w:rsidR="004C7180" w:rsidRPr="00150EDC" w:rsidRDefault="00CF0754">
            <w:pPr>
              <w:pStyle w:val="TableParagraph"/>
              <w:spacing w:before="0" w:line="240" w:lineRule="auto"/>
              <w:ind w:left="107" w:right="85"/>
              <w:jc w:val="both"/>
              <w:rPr>
                <w:b/>
                <w:sz w:val="24"/>
              </w:rPr>
            </w:pPr>
            <w:r w:rsidRPr="00150EDC">
              <w:rPr>
                <w:b/>
                <w:sz w:val="24"/>
              </w:rPr>
              <w:t xml:space="preserve">Supplier ensures the most appropriate staff are involved in collaborative </w:t>
            </w:r>
            <w:r w:rsidRPr="00150EDC">
              <w:rPr>
                <w:b/>
                <w:spacing w:val="-2"/>
                <w:sz w:val="24"/>
              </w:rPr>
              <w:t>working</w:t>
            </w:r>
            <w:r w:rsidRPr="00150EDC">
              <w:rPr>
                <w:b/>
                <w:spacing w:val="-11"/>
                <w:sz w:val="24"/>
              </w:rPr>
              <w:t xml:space="preserve"> </w:t>
            </w:r>
            <w:r w:rsidRPr="00150EDC">
              <w:rPr>
                <w:b/>
                <w:spacing w:val="-2"/>
                <w:sz w:val="24"/>
              </w:rPr>
              <w:t>so</w:t>
            </w:r>
            <w:r w:rsidRPr="00150EDC">
              <w:rPr>
                <w:b/>
                <w:spacing w:val="-13"/>
                <w:sz w:val="24"/>
              </w:rPr>
              <w:t xml:space="preserve"> </w:t>
            </w:r>
            <w:r w:rsidRPr="00150EDC">
              <w:rPr>
                <w:b/>
                <w:spacing w:val="-2"/>
                <w:sz w:val="24"/>
              </w:rPr>
              <w:t>expertise</w:t>
            </w:r>
            <w:r w:rsidRPr="00150EDC">
              <w:rPr>
                <w:b/>
                <w:spacing w:val="-12"/>
                <w:sz w:val="24"/>
              </w:rPr>
              <w:t xml:space="preserve"> </w:t>
            </w:r>
            <w:r w:rsidRPr="00150EDC">
              <w:rPr>
                <w:b/>
                <w:spacing w:val="-2"/>
                <w:sz w:val="24"/>
              </w:rPr>
              <w:t>can</w:t>
            </w:r>
            <w:r w:rsidRPr="00150EDC">
              <w:rPr>
                <w:b/>
                <w:spacing w:val="-11"/>
                <w:sz w:val="24"/>
              </w:rPr>
              <w:t xml:space="preserve"> </w:t>
            </w:r>
            <w:r w:rsidRPr="00150EDC">
              <w:rPr>
                <w:b/>
                <w:spacing w:val="-2"/>
                <w:sz w:val="24"/>
              </w:rPr>
              <w:t>be</w:t>
            </w:r>
            <w:r w:rsidRPr="00150EDC">
              <w:rPr>
                <w:b/>
                <w:spacing w:val="-12"/>
                <w:sz w:val="24"/>
              </w:rPr>
              <w:t xml:space="preserve"> </w:t>
            </w:r>
            <w:r w:rsidRPr="00150EDC">
              <w:rPr>
                <w:b/>
                <w:spacing w:val="-2"/>
                <w:sz w:val="24"/>
              </w:rPr>
              <w:t>shared</w:t>
            </w:r>
            <w:r w:rsidRPr="00150EDC">
              <w:rPr>
                <w:b/>
                <w:spacing w:val="-13"/>
                <w:sz w:val="24"/>
              </w:rPr>
              <w:t xml:space="preserve"> </w:t>
            </w:r>
            <w:r w:rsidRPr="00150EDC">
              <w:rPr>
                <w:b/>
                <w:spacing w:val="-2"/>
                <w:sz w:val="24"/>
              </w:rPr>
              <w:t xml:space="preserve">and </w:t>
            </w:r>
            <w:r w:rsidRPr="00150EDC">
              <w:rPr>
                <w:b/>
                <w:sz w:val="24"/>
              </w:rPr>
              <w:t>decisions made according to the deadline(s) set</w:t>
            </w:r>
          </w:p>
          <w:p w14:paraId="70F47666" w14:textId="77777777" w:rsidR="004C7180" w:rsidRPr="00150EDC" w:rsidRDefault="00CF0754">
            <w:pPr>
              <w:pStyle w:val="TableParagraph"/>
              <w:tabs>
                <w:tab w:val="left" w:pos="803"/>
                <w:tab w:val="left" w:pos="1713"/>
                <w:tab w:val="left" w:pos="2474"/>
                <w:tab w:val="left" w:pos="3837"/>
              </w:tabs>
              <w:spacing w:before="0" w:line="270" w:lineRule="atLeast"/>
              <w:ind w:left="107" w:right="85"/>
              <w:rPr>
                <w:i/>
                <w:sz w:val="24"/>
              </w:rPr>
            </w:pPr>
            <w:r w:rsidRPr="00150EDC">
              <w:rPr>
                <w:i/>
                <w:sz w:val="24"/>
              </w:rPr>
              <w:t>Measurement</w:t>
            </w:r>
            <w:r w:rsidRPr="00150EDC">
              <w:rPr>
                <w:i/>
                <w:spacing w:val="-17"/>
                <w:sz w:val="24"/>
              </w:rPr>
              <w:t xml:space="preserve"> </w:t>
            </w:r>
            <w:r w:rsidRPr="00150EDC">
              <w:rPr>
                <w:i/>
                <w:sz w:val="24"/>
              </w:rPr>
              <w:t>(1):</w:t>
            </w:r>
            <w:r w:rsidRPr="00150EDC">
              <w:rPr>
                <w:i/>
                <w:spacing w:val="-17"/>
                <w:sz w:val="24"/>
              </w:rPr>
              <w:t xml:space="preserve"> </w:t>
            </w:r>
            <w:r w:rsidRPr="00150EDC">
              <w:rPr>
                <w:i/>
                <w:sz w:val="24"/>
              </w:rPr>
              <w:t>review</w:t>
            </w:r>
            <w:r w:rsidRPr="00150EDC">
              <w:rPr>
                <w:i/>
                <w:spacing w:val="-16"/>
                <w:sz w:val="24"/>
              </w:rPr>
              <w:t xml:space="preserve"> </w:t>
            </w:r>
            <w:r w:rsidRPr="00150EDC">
              <w:rPr>
                <w:i/>
                <w:sz w:val="24"/>
              </w:rPr>
              <w:t>of</w:t>
            </w:r>
            <w:r w:rsidRPr="00150EDC">
              <w:rPr>
                <w:i/>
                <w:spacing w:val="-17"/>
                <w:sz w:val="24"/>
              </w:rPr>
              <w:t xml:space="preserve"> </w:t>
            </w:r>
            <w:r w:rsidRPr="00150EDC">
              <w:rPr>
                <w:i/>
                <w:sz w:val="24"/>
              </w:rPr>
              <w:t>attendance</w:t>
            </w:r>
            <w:r w:rsidRPr="00150EDC">
              <w:rPr>
                <w:i/>
                <w:spacing w:val="-17"/>
                <w:sz w:val="24"/>
              </w:rPr>
              <w:t xml:space="preserve"> </w:t>
            </w:r>
            <w:r w:rsidRPr="00150EDC">
              <w:rPr>
                <w:i/>
                <w:sz w:val="24"/>
              </w:rPr>
              <w:t>list from IDEA meeting minutes Measurement:</w:t>
            </w:r>
            <w:r w:rsidRPr="00150EDC">
              <w:rPr>
                <w:i/>
                <w:spacing w:val="-9"/>
                <w:sz w:val="24"/>
              </w:rPr>
              <w:t xml:space="preserve"> </w:t>
            </w:r>
            <w:r w:rsidRPr="00150EDC">
              <w:rPr>
                <w:i/>
                <w:sz w:val="24"/>
              </w:rPr>
              <w:t>Customer</w:t>
            </w:r>
            <w:r w:rsidRPr="00150EDC">
              <w:rPr>
                <w:i/>
                <w:spacing w:val="-10"/>
                <w:sz w:val="24"/>
              </w:rPr>
              <w:t xml:space="preserve"> </w:t>
            </w:r>
            <w:r w:rsidRPr="00150EDC">
              <w:rPr>
                <w:i/>
                <w:sz w:val="24"/>
              </w:rPr>
              <w:t>survey</w:t>
            </w:r>
            <w:r w:rsidRPr="00150EDC">
              <w:rPr>
                <w:i/>
                <w:spacing w:val="-10"/>
                <w:sz w:val="24"/>
              </w:rPr>
              <w:t xml:space="preserve"> </w:t>
            </w:r>
            <w:r w:rsidRPr="00150EDC">
              <w:rPr>
                <w:i/>
                <w:sz w:val="24"/>
              </w:rPr>
              <w:t xml:space="preserve">feedback that this is done ‘all’ or ‘almost all’ of the </w:t>
            </w:r>
            <w:r w:rsidRPr="00150EDC">
              <w:rPr>
                <w:i/>
                <w:spacing w:val="-4"/>
                <w:sz w:val="24"/>
              </w:rPr>
              <w:t>time</w:t>
            </w:r>
            <w:r w:rsidRPr="00150EDC">
              <w:rPr>
                <w:i/>
                <w:sz w:val="24"/>
              </w:rPr>
              <w:tab/>
            </w:r>
            <w:r w:rsidRPr="00150EDC">
              <w:rPr>
                <w:i/>
                <w:spacing w:val="-2"/>
                <w:sz w:val="24"/>
              </w:rPr>
              <w:t>during</w:t>
            </w:r>
            <w:r w:rsidRPr="00150EDC">
              <w:rPr>
                <w:i/>
                <w:sz w:val="24"/>
              </w:rPr>
              <w:tab/>
            </w:r>
            <w:r w:rsidRPr="00150EDC">
              <w:rPr>
                <w:i/>
                <w:spacing w:val="-4"/>
                <w:sz w:val="24"/>
              </w:rPr>
              <w:t>each</w:t>
            </w:r>
            <w:r w:rsidRPr="00150EDC">
              <w:rPr>
                <w:i/>
                <w:sz w:val="24"/>
              </w:rPr>
              <w:tab/>
            </w:r>
            <w:r w:rsidRPr="00150EDC">
              <w:rPr>
                <w:i/>
                <w:spacing w:val="-2"/>
                <w:sz w:val="24"/>
              </w:rPr>
              <w:t>monitoring</w:t>
            </w:r>
            <w:r w:rsidRPr="00150EDC">
              <w:rPr>
                <w:i/>
                <w:sz w:val="24"/>
              </w:rPr>
              <w:tab/>
            </w:r>
            <w:r w:rsidRPr="00150EDC">
              <w:rPr>
                <w:i/>
                <w:spacing w:val="-2"/>
                <w:sz w:val="24"/>
              </w:rPr>
              <w:t xml:space="preserve">period. </w:t>
            </w:r>
            <w:r w:rsidRPr="00150EDC">
              <w:rPr>
                <w:i/>
                <w:sz w:val="24"/>
              </w:rPr>
              <w:t>Customers</w:t>
            </w:r>
            <w:r w:rsidRPr="00150EDC">
              <w:rPr>
                <w:i/>
                <w:spacing w:val="-17"/>
                <w:sz w:val="24"/>
              </w:rPr>
              <w:t xml:space="preserve"> </w:t>
            </w:r>
            <w:r w:rsidRPr="00150EDC">
              <w:rPr>
                <w:i/>
                <w:sz w:val="24"/>
              </w:rPr>
              <w:t>to</w:t>
            </w:r>
            <w:r w:rsidRPr="00150EDC">
              <w:rPr>
                <w:i/>
                <w:spacing w:val="-17"/>
                <w:sz w:val="24"/>
              </w:rPr>
              <w:t xml:space="preserve"> </w:t>
            </w:r>
            <w:r w:rsidRPr="00150EDC">
              <w:rPr>
                <w:i/>
                <w:sz w:val="24"/>
              </w:rPr>
              <w:t>include</w:t>
            </w:r>
            <w:r w:rsidRPr="00150EDC">
              <w:rPr>
                <w:i/>
                <w:spacing w:val="-16"/>
                <w:sz w:val="24"/>
              </w:rPr>
              <w:t xml:space="preserve"> </w:t>
            </w:r>
            <w:r w:rsidRPr="00150EDC">
              <w:rPr>
                <w:i/>
                <w:sz w:val="24"/>
              </w:rPr>
              <w:t>DfE</w:t>
            </w:r>
            <w:r w:rsidRPr="00150EDC">
              <w:rPr>
                <w:i/>
                <w:spacing w:val="-17"/>
                <w:sz w:val="24"/>
              </w:rPr>
              <w:t xml:space="preserve"> </w:t>
            </w:r>
            <w:r w:rsidRPr="00150EDC">
              <w:rPr>
                <w:i/>
                <w:sz w:val="24"/>
              </w:rPr>
              <w:t>research,</w:t>
            </w:r>
            <w:r w:rsidRPr="00150EDC">
              <w:rPr>
                <w:i/>
                <w:spacing w:val="-17"/>
                <w:sz w:val="24"/>
              </w:rPr>
              <w:t xml:space="preserve"> </w:t>
            </w:r>
            <w:r w:rsidRPr="00150EDC">
              <w:rPr>
                <w:i/>
                <w:sz w:val="24"/>
              </w:rPr>
              <w:t>policy, PPM and Other Suppliers</w:t>
            </w:r>
          </w:p>
        </w:tc>
        <w:tc>
          <w:tcPr>
            <w:tcW w:w="2410" w:type="dxa"/>
          </w:tcPr>
          <w:p w14:paraId="6D6F1294" w14:textId="77777777" w:rsidR="004C7180" w:rsidRPr="00150EDC" w:rsidRDefault="00CF0754">
            <w:pPr>
              <w:pStyle w:val="TableParagraph"/>
              <w:spacing w:before="0" w:line="240" w:lineRule="auto"/>
              <w:ind w:left="107" w:right="84"/>
              <w:rPr>
                <w:sz w:val="24"/>
              </w:rPr>
            </w:pPr>
            <w:r w:rsidRPr="00150EDC">
              <w:rPr>
                <w:sz w:val="24"/>
              </w:rPr>
              <w:t>Good: 100% Approaching</w:t>
            </w:r>
            <w:r w:rsidRPr="00150EDC">
              <w:rPr>
                <w:spacing w:val="64"/>
                <w:sz w:val="24"/>
              </w:rPr>
              <w:t xml:space="preserve"> </w:t>
            </w:r>
            <w:r w:rsidRPr="00150EDC">
              <w:rPr>
                <w:sz w:val="24"/>
              </w:rPr>
              <w:t xml:space="preserve">target: </w:t>
            </w:r>
            <w:r w:rsidRPr="00150EDC">
              <w:rPr>
                <w:spacing w:val="-2"/>
                <w:sz w:val="24"/>
              </w:rPr>
              <w:t>97-99%</w:t>
            </w:r>
          </w:p>
          <w:p w14:paraId="59289B58" w14:textId="77777777" w:rsidR="004C7180" w:rsidRPr="00150EDC" w:rsidRDefault="00CF0754">
            <w:pPr>
              <w:pStyle w:val="TableParagraph"/>
              <w:tabs>
                <w:tab w:val="left" w:pos="1955"/>
              </w:tabs>
              <w:spacing w:before="0" w:line="240" w:lineRule="auto"/>
              <w:ind w:left="107" w:right="83"/>
              <w:rPr>
                <w:sz w:val="24"/>
              </w:rPr>
            </w:pPr>
            <w:r w:rsidRPr="00150EDC">
              <w:rPr>
                <w:spacing w:val="-2"/>
                <w:sz w:val="24"/>
              </w:rPr>
              <w:t>Requires Improvement:</w:t>
            </w:r>
            <w:r w:rsidRPr="00150EDC">
              <w:rPr>
                <w:sz w:val="24"/>
              </w:rPr>
              <w:tab/>
            </w:r>
            <w:r w:rsidRPr="00150EDC">
              <w:rPr>
                <w:spacing w:val="-4"/>
                <w:sz w:val="24"/>
              </w:rPr>
              <w:t>95-</w:t>
            </w:r>
          </w:p>
          <w:p w14:paraId="05DC683F" w14:textId="77777777" w:rsidR="004C7180" w:rsidRPr="00150EDC" w:rsidRDefault="00CF0754">
            <w:pPr>
              <w:pStyle w:val="TableParagraph"/>
              <w:spacing w:before="0" w:line="240" w:lineRule="auto"/>
              <w:ind w:left="107"/>
              <w:rPr>
                <w:sz w:val="24"/>
              </w:rPr>
            </w:pPr>
            <w:r w:rsidRPr="00150EDC">
              <w:rPr>
                <w:spacing w:val="-5"/>
                <w:sz w:val="24"/>
              </w:rPr>
              <w:t>96%</w:t>
            </w:r>
          </w:p>
          <w:p w14:paraId="7397F43A" w14:textId="77777777" w:rsidR="004C7180" w:rsidRPr="00150EDC" w:rsidRDefault="00CF0754">
            <w:pPr>
              <w:pStyle w:val="TableParagraph"/>
              <w:tabs>
                <w:tab w:val="left" w:pos="1876"/>
              </w:tabs>
              <w:spacing w:before="0" w:line="240" w:lineRule="auto"/>
              <w:ind w:left="107" w:right="84"/>
              <w:rPr>
                <w:sz w:val="24"/>
              </w:rPr>
            </w:pPr>
            <w:r w:rsidRPr="00150EDC">
              <w:rPr>
                <w:spacing w:val="-2"/>
                <w:sz w:val="24"/>
              </w:rPr>
              <w:t>Inadequate:</w:t>
            </w:r>
            <w:r w:rsidRPr="00150EDC">
              <w:rPr>
                <w:sz w:val="24"/>
              </w:rPr>
              <w:tab/>
            </w:r>
            <w:r w:rsidRPr="00150EDC">
              <w:rPr>
                <w:spacing w:val="-4"/>
                <w:sz w:val="24"/>
              </w:rPr>
              <w:t xml:space="preserve">less </w:t>
            </w:r>
            <w:r w:rsidRPr="00150EDC">
              <w:rPr>
                <w:sz w:val="24"/>
              </w:rPr>
              <w:t>than 95%</w:t>
            </w:r>
          </w:p>
        </w:tc>
        <w:tc>
          <w:tcPr>
            <w:tcW w:w="2127" w:type="dxa"/>
          </w:tcPr>
          <w:p w14:paraId="27814FE1" w14:textId="77777777" w:rsidR="004C7180" w:rsidRPr="00150EDC" w:rsidRDefault="00CF0754">
            <w:pPr>
              <w:pStyle w:val="TableParagraph"/>
              <w:tabs>
                <w:tab w:val="left" w:pos="1031"/>
                <w:tab w:val="left" w:pos="1271"/>
                <w:tab w:val="left" w:pos="1552"/>
                <w:tab w:val="left" w:pos="1751"/>
              </w:tabs>
              <w:spacing w:before="0" w:line="240" w:lineRule="auto"/>
              <w:ind w:left="107" w:right="83"/>
              <w:rPr>
                <w:sz w:val="24"/>
              </w:rPr>
            </w:pPr>
            <w:r w:rsidRPr="00150EDC">
              <w:rPr>
                <w:spacing w:val="-2"/>
                <w:sz w:val="24"/>
              </w:rPr>
              <w:t>Supplier</w:t>
            </w:r>
            <w:r w:rsidRPr="00150EDC">
              <w:rPr>
                <w:sz w:val="24"/>
              </w:rPr>
              <w:tab/>
            </w:r>
            <w:r w:rsidRPr="00150EDC">
              <w:rPr>
                <w:sz w:val="24"/>
              </w:rPr>
              <w:tab/>
            </w:r>
            <w:r w:rsidRPr="00150EDC">
              <w:rPr>
                <w:spacing w:val="-6"/>
                <w:sz w:val="24"/>
              </w:rPr>
              <w:t>to</w:t>
            </w:r>
            <w:r w:rsidRPr="00150EDC">
              <w:rPr>
                <w:sz w:val="24"/>
              </w:rPr>
              <w:tab/>
            </w:r>
            <w:r w:rsidRPr="00150EDC">
              <w:rPr>
                <w:sz w:val="24"/>
              </w:rPr>
              <w:tab/>
            </w:r>
            <w:r w:rsidRPr="00150EDC">
              <w:rPr>
                <w:spacing w:val="-6"/>
                <w:sz w:val="24"/>
              </w:rPr>
              <w:t xml:space="preserve">be </w:t>
            </w:r>
            <w:r w:rsidRPr="00150EDC">
              <w:rPr>
                <w:sz w:val="24"/>
              </w:rPr>
              <w:t xml:space="preserve">rated as ‘good’ or </w:t>
            </w:r>
            <w:r w:rsidRPr="00150EDC">
              <w:rPr>
                <w:spacing w:val="-2"/>
                <w:sz w:val="24"/>
              </w:rPr>
              <w:t>‘approaching target’</w:t>
            </w:r>
            <w:r w:rsidRPr="00150EDC">
              <w:rPr>
                <w:sz w:val="24"/>
              </w:rPr>
              <w:tab/>
            </w:r>
            <w:r w:rsidRPr="00150EDC">
              <w:rPr>
                <w:spacing w:val="-6"/>
                <w:sz w:val="24"/>
              </w:rPr>
              <w:t>on</w:t>
            </w:r>
            <w:r w:rsidRPr="00150EDC">
              <w:rPr>
                <w:sz w:val="24"/>
              </w:rPr>
              <w:tab/>
            </w:r>
            <w:r w:rsidRPr="00150EDC">
              <w:rPr>
                <w:spacing w:val="-4"/>
                <w:sz w:val="24"/>
              </w:rPr>
              <w:t xml:space="preserve">both </w:t>
            </w:r>
            <w:r w:rsidRPr="00150EDC">
              <w:rPr>
                <w:spacing w:val="-2"/>
                <w:sz w:val="24"/>
              </w:rPr>
              <w:t>measures.</w:t>
            </w:r>
          </w:p>
        </w:tc>
      </w:tr>
      <w:tr w:rsidR="004569EE" w:rsidRPr="007D3144" w14:paraId="243C51F4" w14:textId="77777777">
        <w:trPr>
          <w:trHeight w:val="3312"/>
        </w:trPr>
        <w:tc>
          <w:tcPr>
            <w:tcW w:w="1560" w:type="dxa"/>
          </w:tcPr>
          <w:p w14:paraId="4FC44694" w14:textId="77777777" w:rsidR="004C7180" w:rsidRPr="00150EDC" w:rsidRDefault="00CF0754">
            <w:pPr>
              <w:pStyle w:val="TableParagraph"/>
              <w:spacing w:before="0" w:line="240" w:lineRule="auto"/>
              <w:ind w:left="107" w:right="86"/>
              <w:rPr>
                <w:sz w:val="24"/>
              </w:rPr>
            </w:pPr>
            <w:r w:rsidRPr="00150EDC">
              <w:rPr>
                <w:spacing w:val="-2"/>
                <w:sz w:val="24"/>
              </w:rPr>
              <w:t xml:space="preserve">Transparen </w:t>
            </w:r>
            <w:r w:rsidRPr="00150EDC">
              <w:rPr>
                <w:spacing w:val="-6"/>
                <w:sz w:val="24"/>
              </w:rPr>
              <w:t>cy</w:t>
            </w:r>
          </w:p>
        </w:tc>
        <w:tc>
          <w:tcPr>
            <w:tcW w:w="4680" w:type="dxa"/>
          </w:tcPr>
          <w:p w14:paraId="37D47142" w14:textId="77777777" w:rsidR="004C7180" w:rsidRPr="00150EDC" w:rsidRDefault="00CF0754">
            <w:pPr>
              <w:pStyle w:val="TableParagraph"/>
              <w:spacing w:before="0" w:line="240" w:lineRule="auto"/>
              <w:ind w:left="107" w:right="84"/>
              <w:jc w:val="both"/>
              <w:rPr>
                <w:b/>
                <w:sz w:val="24"/>
              </w:rPr>
            </w:pPr>
            <w:r w:rsidRPr="00150EDC">
              <w:rPr>
                <w:b/>
                <w:sz w:val="24"/>
              </w:rPr>
              <w:t>Supplier shares all required information, as outlined in each relevant IDEA delivery plan and approved by the DfE RCT Steering Group, with the RCT evaluator and the RCT Products Supplier by the deadline(s) set.</w:t>
            </w:r>
          </w:p>
          <w:p w14:paraId="6C09D47B" w14:textId="77777777" w:rsidR="004C7180" w:rsidRPr="00150EDC" w:rsidRDefault="00CF0754">
            <w:pPr>
              <w:pStyle w:val="TableParagraph"/>
              <w:tabs>
                <w:tab w:val="left" w:pos="803"/>
                <w:tab w:val="left" w:pos="1713"/>
                <w:tab w:val="left" w:pos="2474"/>
                <w:tab w:val="left" w:pos="3837"/>
              </w:tabs>
              <w:spacing w:before="0" w:line="270" w:lineRule="atLeast"/>
              <w:ind w:left="107" w:right="85"/>
              <w:rPr>
                <w:i/>
                <w:sz w:val="24"/>
              </w:rPr>
            </w:pPr>
            <w:r w:rsidRPr="00150EDC">
              <w:rPr>
                <w:i/>
                <w:sz w:val="24"/>
              </w:rPr>
              <w:t>Measurement (1): review of closed action lists from IDEA meeting minutes Measurement:</w:t>
            </w:r>
            <w:r w:rsidRPr="00150EDC">
              <w:rPr>
                <w:i/>
                <w:spacing w:val="-9"/>
                <w:sz w:val="24"/>
              </w:rPr>
              <w:t xml:space="preserve"> </w:t>
            </w:r>
            <w:r w:rsidRPr="00150EDC">
              <w:rPr>
                <w:i/>
                <w:sz w:val="24"/>
              </w:rPr>
              <w:t>Customer</w:t>
            </w:r>
            <w:r w:rsidRPr="00150EDC">
              <w:rPr>
                <w:i/>
                <w:spacing w:val="-10"/>
                <w:sz w:val="24"/>
              </w:rPr>
              <w:t xml:space="preserve"> </w:t>
            </w:r>
            <w:r w:rsidRPr="00150EDC">
              <w:rPr>
                <w:i/>
                <w:sz w:val="24"/>
              </w:rPr>
              <w:t>survey</w:t>
            </w:r>
            <w:r w:rsidRPr="00150EDC">
              <w:rPr>
                <w:i/>
                <w:spacing w:val="-10"/>
                <w:sz w:val="24"/>
              </w:rPr>
              <w:t xml:space="preserve"> </w:t>
            </w:r>
            <w:r w:rsidRPr="00150EDC">
              <w:rPr>
                <w:i/>
                <w:sz w:val="24"/>
              </w:rPr>
              <w:t xml:space="preserve">feedback that this is done ‘all’ or ‘almost all’ of the </w:t>
            </w:r>
            <w:r w:rsidRPr="00150EDC">
              <w:rPr>
                <w:i/>
                <w:spacing w:val="-4"/>
                <w:sz w:val="24"/>
              </w:rPr>
              <w:t>time</w:t>
            </w:r>
            <w:r w:rsidRPr="00150EDC">
              <w:rPr>
                <w:i/>
                <w:sz w:val="24"/>
              </w:rPr>
              <w:tab/>
            </w:r>
            <w:r w:rsidRPr="00150EDC">
              <w:rPr>
                <w:i/>
                <w:spacing w:val="-2"/>
                <w:sz w:val="24"/>
              </w:rPr>
              <w:t>during</w:t>
            </w:r>
            <w:r w:rsidRPr="00150EDC">
              <w:rPr>
                <w:i/>
                <w:sz w:val="24"/>
              </w:rPr>
              <w:tab/>
            </w:r>
            <w:r w:rsidRPr="00150EDC">
              <w:rPr>
                <w:i/>
                <w:spacing w:val="-4"/>
                <w:sz w:val="24"/>
              </w:rPr>
              <w:t>each</w:t>
            </w:r>
            <w:r w:rsidRPr="00150EDC">
              <w:rPr>
                <w:i/>
                <w:sz w:val="24"/>
              </w:rPr>
              <w:tab/>
            </w:r>
            <w:r w:rsidRPr="00150EDC">
              <w:rPr>
                <w:i/>
                <w:spacing w:val="-2"/>
                <w:sz w:val="24"/>
              </w:rPr>
              <w:t>monitoring</w:t>
            </w:r>
            <w:r w:rsidRPr="00150EDC">
              <w:rPr>
                <w:i/>
                <w:sz w:val="24"/>
              </w:rPr>
              <w:tab/>
            </w:r>
            <w:r w:rsidRPr="00150EDC">
              <w:rPr>
                <w:i/>
                <w:spacing w:val="-2"/>
                <w:sz w:val="24"/>
              </w:rPr>
              <w:t>period.</w:t>
            </w:r>
          </w:p>
        </w:tc>
        <w:tc>
          <w:tcPr>
            <w:tcW w:w="2410" w:type="dxa"/>
          </w:tcPr>
          <w:p w14:paraId="502954EA" w14:textId="77777777" w:rsidR="004C7180" w:rsidRPr="00150EDC" w:rsidRDefault="00CF0754">
            <w:pPr>
              <w:pStyle w:val="TableParagraph"/>
              <w:spacing w:before="0" w:line="240" w:lineRule="auto"/>
              <w:ind w:left="107" w:right="84"/>
              <w:rPr>
                <w:sz w:val="24"/>
              </w:rPr>
            </w:pPr>
            <w:r w:rsidRPr="00150EDC">
              <w:rPr>
                <w:sz w:val="24"/>
              </w:rPr>
              <w:t>Good: 100% Approaching</w:t>
            </w:r>
            <w:r w:rsidRPr="00150EDC">
              <w:rPr>
                <w:spacing w:val="64"/>
                <w:sz w:val="24"/>
              </w:rPr>
              <w:t xml:space="preserve"> </w:t>
            </w:r>
            <w:r w:rsidRPr="00150EDC">
              <w:rPr>
                <w:sz w:val="24"/>
              </w:rPr>
              <w:t xml:space="preserve">target: </w:t>
            </w:r>
            <w:r w:rsidRPr="00150EDC">
              <w:rPr>
                <w:spacing w:val="-2"/>
                <w:sz w:val="24"/>
              </w:rPr>
              <w:t>97-99%</w:t>
            </w:r>
          </w:p>
          <w:p w14:paraId="5CAB73F1" w14:textId="77777777" w:rsidR="004C7180" w:rsidRPr="00150EDC" w:rsidRDefault="00CF0754">
            <w:pPr>
              <w:pStyle w:val="TableParagraph"/>
              <w:tabs>
                <w:tab w:val="left" w:pos="1955"/>
              </w:tabs>
              <w:spacing w:before="0" w:line="240" w:lineRule="auto"/>
              <w:ind w:left="107" w:right="83"/>
              <w:rPr>
                <w:sz w:val="24"/>
              </w:rPr>
            </w:pPr>
            <w:r w:rsidRPr="00150EDC">
              <w:rPr>
                <w:spacing w:val="-2"/>
                <w:sz w:val="24"/>
              </w:rPr>
              <w:t>Requires Improvement:</w:t>
            </w:r>
            <w:r w:rsidRPr="00150EDC">
              <w:rPr>
                <w:sz w:val="24"/>
              </w:rPr>
              <w:tab/>
            </w:r>
            <w:r w:rsidRPr="00150EDC">
              <w:rPr>
                <w:spacing w:val="-4"/>
                <w:sz w:val="24"/>
              </w:rPr>
              <w:t>95-</w:t>
            </w:r>
          </w:p>
          <w:p w14:paraId="388BC3B6" w14:textId="77777777" w:rsidR="004C7180" w:rsidRPr="00150EDC" w:rsidRDefault="00CF0754">
            <w:pPr>
              <w:pStyle w:val="TableParagraph"/>
              <w:spacing w:before="0" w:line="240" w:lineRule="auto"/>
              <w:ind w:left="107"/>
              <w:rPr>
                <w:sz w:val="24"/>
              </w:rPr>
            </w:pPr>
            <w:r w:rsidRPr="00150EDC">
              <w:rPr>
                <w:spacing w:val="-5"/>
                <w:sz w:val="24"/>
              </w:rPr>
              <w:t>96%</w:t>
            </w:r>
          </w:p>
          <w:p w14:paraId="64DFEAD1" w14:textId="77777777" w:rsidR="004C7180" w:rsidRPr="00150EDC" w:rsidRDefault="00CF0754">
            <w:pPr>
              <w:pStyle w:val="TableParagraph"/>
              <w:tabs>
                <w:tab w:val="left" w:pos="1876"/>
              </w:tabs>
              <w:spacing w:before="0" w:line="240" w:lineRule="auto"/>
              <w:ind w:left="107" w:right="84"/>
              <w:rPr>
                <w:sz w:val="24"/>
              </w:rPr>
            </w:pPr>
            <w:r w:rsidRPr="00150EDC">
              <w:rPr>
                <w:spacing w:val="-2"/>
                <w:sz w:val="24"/>
              </w:rPr>
              <w:t>Inadequate:</w:t>
            </w:r>
            <w:r w:rsidRPr="00150EDC">
              <w:rPr>
                <w:sz w:val="24"/>
              </w:rPr>
              <w:tab/>
            </w:r>
            <w:r w:rsidRPr="00150EDC">
              <w:rPr>
                <w:spacing w:val="-4"/>
                <w:sz w:val="24"/>
              </w:rPr>
              <w:t xml:space="preserve">less </w:t>
            </w:r>
            <w:r w:rsidRPr="00150EDC">
              <w:rPr>
                <w:sz w:val="24"/>
              </w:rPr>
              <w:t>than 95%</w:t>
            </w:r>
          </w:p>
        </w:tc>
        <w:tc>
          <w:tcPr>
            <w:tcW w:w="2127" w:type="dxa"/>
          </w:tcPr>
          <w:p w14:paraId="7D403BA0" w14:textId="77777777" w:rsidR="004C7180" w:rsidRPr="00150EDC" w:rsidRDefault="00CF0754">
            <w:pPr>
              <w:pStyle w:val="TableParagraph"/>
              <w:tabs>
                <w:tab w:val="left" w:pos="1031"/>
                <w:tab w:val="left" w:pos="1271"/>
                <w:tab w:val="left" w:pos="1552"/>
                <w:tab w:val="left" w:pos="1751"/>
              </w:tabs>
              <w:spacing w:before="0" w:line="240" w:lineRule="auto"/>
              <w:ind w:left="107" w:right="83"/>
              <w:rPr>
                <w:sz w:val="24"/>
              </w:rPr>
            </w:pPr>
            <w:r w:rsidRPr="00150EDC">
              <w:rPr>
                <w:spacing w:val="-2"/>
                <w:sz w:val="24"/>
              </w:rPr>
              <w:t>Supplier</w:t>
            </w:r>
            <w:r w:rsidRPr="00150EDC">
              <w:rPr>
                <w:sz w:val="24"/>
              </w:rPr>
              <w:tab/>
            </w:r>
            <w:r w:rsidRPr="00150EDC">
              <w:rPr>
                <w:sz w:val="24"/>
              </w:rPr>
              <w:tab/>
            </w:r>
            <w:r w:rsidRPr="00150EDC">
              <w:rPr>
                <w:spacing w:val="-6"/>
                <w:sz w:val="24"/>
              </w:rPr>
              <w:t>to</w:t>
            </w:r>
            <w:r w:rsidRPr="00150EDC">
              <w:rPr>
                <w:sz w:val="24"/>
              </w:rPr>
              <w:tab/>
            </w:r>
            <w:r w:rsidRPr="00150EDC">
              <w:rPr>
                <w:sz w:val="24"/>
              </w:rPr>
              <w:tab/>
            </w:r>
            <w:r w:rsidRPr="00150EDC">
              <w:rPr>
                <w:spacing w:val="-6"/>
                <w:sz w:val="24"/>
              </w:rPr>
              <w:t xml:space="preserve">be </w:t>
            </w:r>
            <w:r w:rsidRPr="00150EDC">
              <w:rPr>
                <w:sz w:val="24"/>
              </w:rPr>
              <w:t xml:space="preserve">rated as ‘good’ or </w:t>
            </w:r>
            <w:r w:rsidRPr="00150EDC">
              <w:rPr>
                <w:spacing w:val="-2"/>
                <w:sz w:val="24"/>
              </w:rPr>
              <w:t>‘approaching target’</w:t>
            </w:r>
            <w:r w:rsidRPr="00150EDC">
              <w:rPr>
                <w:sz w:val="24"/>
              </w:rPr>
              <w:tab/>
            </w:r>
            <w:r w:rsidRPr="00150EDC">
              <w:rPr>
                <w:spacing w:val="-6"/>
                <w:sz w:val="24"/>
              </w:rPr>
              <w:t>on</w:t>
            </w:r>
            <w:r w:rsidRPr="00150EDC">
              <w:rPr>
                <w:sz w:val="24"/>
              </w:rPr>
              <w:tab/>
            </w:r>
            <w:r w:rsidRPr="00150EDC">
              <w:rPr>
                <w:spacing w:val="-4"/>
                <w:sz w:val="24"/>
              </w:rPr>
              <w:t xml:space="preserve">both </w:t>
            </w:r>
            <w:r w:rsidRPr="00150EDC">
              <w:rPr>
                <w:spacing w:val="-2"/>
                <w:sz w:val="24"/>
              </w:rPr>
              <w:t>measures.</w:t>
            </w:r>
          </w:p>
        </w:tc>
      </w:tr>
    </w:tbl>
    <w:p w14:paraId="3920B59D" w14:textId="77777777" w:rsidR="004C7180" w:rsidRPr="00150EDC" w:rsidRDefault="004C7180">
      <w:pPr>
        <w:rPr>
          <w:sz w:val="24"/>
        </w:rPr>
        <w:sectPr w:rsidR="004C7180" w:rsidRPr="00150EDC">
          <w:headerReference w:type="default" r:id="rId164"/>
          <w:footerReference w:type="default" r:id="rId165"/>
          <w:pgSz w:w="11910" w:h="16840"/>
          <w:pgMar w:top="1340" w:right="420" w:bottom="280" w:left="460" w:header="0" w:footer="0" w:gutter="0"/>
          <w:cols w:space="720"/>
        </w:sectPr>
      </w:pPr>
    </w:p>
    <w:tbl>
      <w:tblPr>
        <w:tblW w:w="0" w:type="auto"/>
        <w:tblInd w:w="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60"/>
        <w:gridCol w:w="4680"/>
        <w:gridCol w:w="2410"/>
        <w:gridCol w:w="2127"/>
      </w:tblGrid>
      <w:tr w:rsidR="004569EE" w:rsidRPr="007D3144" w14:paraId="3B0DA42A" w14:textId="77777777">
        <w:trPr>
          <w:trHeight w:val="551"/>
        </w:trPr>
        <w:tc>
          <w:tcPr>
            <w:tcW w:w="1560" w:type="dxa"/>
          </w:tcPr>
          <w:p w14:paraId="36E415D0" w14:textId="77777777" w:rsidR="004C7180" w:rsidRPr="00150EDC" w:rsidRDefault="004C7180">
            <w:pPr>
              <w:pStyle w:val="TableParagraph"/>
              <w:spacing w:before="0" w:line="240" w:lineRule="auto"/>
              <w:ind w:left="0"/>
              <w:rPr>
                <w:rFonts w:ascii="Times New Roman"/>
                <w:sz w:val="24"/>
              </w:rPr>
            </w:pPr>
          </w:p>
        </w:tc>
        <w:tc>
          <w:tcPr>
            <w:tcW w:w="4680" w:type="dxa"/>
          </w:tcPr>
          <w:p w14:paraId="672594DE" w14:textId="77777777" w:rsidR="004C7180" w:rsidRPr="00150EDC" w:rsidRDefault="00CF0754">
            <w:pPr>
              <w:pStyle w:val="TableParagraph"/>
              <w:spacing w:before="0" w:line="270" w:lineRule="atLeast"/>
              <w:ind w:left="107" w:right="81"/>
              <w:rPr>
                <w:i/>
                <w:sz w:val="24"/>
              </w:rPr>
            </w:pPr>
            <w:r w:rsidRPr="00150EDC">
              <w:rPr>
                <w:i/>
                <w:sz w:val="24"/>
              </w:rPr>
              <w:t>Customers</w:t>
            </w:r>
            <w:r w:rsidRPr="00150EDC">
              <w:rPr>
                <w:i/>
                <w:spacing w:val="-17"/>
                <w:sz w:val="24"/>
              </w:rPr>
              <w:t xml:space="preserve"> </w:t>
            </w:r>
            <w:r w:rsidRPr="00150EDC">
              <w:rPr>
                <w:i/>
                <w:sz w:val="24"/>
              </w:rPr>
              <w:t>to</w:t>
            </w:r>
            <w:r w:rsidRPr="00150EDC">
              <w:rPr>
                <w:i/>
                <w:spacing w:val="-17"/>
                <w:sz w:val="24"/>
              </w:rPr>
              <w:t xml:space="preserve"> </w:t>
            </w:r>
            <w:r w:rsidRPr="00150EDC">
              <w:rPr>
                <w:i/>
                <w:sz w:val="24"/>
              </w:rPr>
              <w:t>include</w:t>
            </w:r>
            <w:r w:rsidRPr="00150EDC">
              <w:rPr>
                <w:i/>
                <w:spacing w:val="-16"/>
                <w:sz w:val="24"/>
              </w:rPr>
              <w:t xml:space="preserve"> </w:t>
            </w:r>
            <w:r w:rsidRPr="00150EDC">
              <w:rPr>
                <w:i/>
                <w:sz w:val="24"/>
              </w:rPr>
              <w:t>DfE</w:t>
            </w:r>
            <w:r w:rsidRPr="00150EDC">
              <w:rPr>
                <w:i/>
                <w:spacing w:val="-17"/>
                <w:sz w:val="24"/>
              </w:rPr>
              <w:t xml:space="preserve"> </w:t>
            </w:r>
            <w:r w:rsidRPr="00150EDC">
              <w:rPr>
                <w:i/>
                <w:sz w:val="24"/>
              </w:rPr>
              <w:t>research,</w:t>
            </w:r>
            <w:r w:rsidRPr="00150EDC">
              <w:rPr>
                <w:i/>
                <w:spacing w:val="-17"/>
                <w:sz w:val="24"/>
              </w:rPr>
              <w:t xml:space="preserve"> </w:t>
            </w:r>
            <w:r w:rsidRPr="00150EDC">
              <w:rPr>
                <w:i/>
                <w:sz w:val="24"/>
              </w:rPr>
              <w:t>policy, PPM and Other Suppliers</w:t>
            </w:r>
          </w:p>
        </w:tc>
        <w:tc>
          <w:tcPr>
            <w:tcW w:w="2410" w:type="dxa"/>
          </w:tcPr>
          <w:p w14:paraId="27CCED5B" w14:textId="77777777" w:rsidR="004C7180" w:rsidRPr="00150EDC" w:rsidRDefault="004C7180">
            <w:pPr>
              <w:pStyle w:val="TableParagraph"/>
              <w:spacing w:before="0" w:line="240" w:lineRule="auto"/>
              <w:ind w:left="0"/>
              <w:rPr>
                <w:rFonts w:ascii="Times New Roman"/>
                <w:sz w:val="24"/>
              </w:rPr>
            </w:pPr>
          </w:p>
        </w:tc>
        <w:tc>
          <w:tcPr>
            <w:tcW w:w="2127" w:type="dxa"/>
          </w:tcPr>
          <w:p w14:paraId="7BBA7454" w14:textId="77777777" w:rsidR="004C7180" w:rsidRPr="00150EDC" w:rsidRDefault="004C7180">
            <w:pPr>
              <w:pStyle w:val="TableParagraph"/>
              <w:spacing w:before="0" w:line="240" w:lineRule="auto"/>
              <w:ind w:left="0"/>
              <w:rPr>
                <w:rFonts w:ascii="Times New Roman"/>
                <w:sz w:val="24"/>
              </w:rPr>
            </w:pPr>
          </w:p>
        </w:tc>
      </w:tr>
      <w:tr w:rsidR="004569EE" w:rsidRPr="007D3144" w14:paraId="39E22104" w14:textId="77777777">
        <w:trPr>
          <w:trHeight w:val="3312"/>
        </w:trPr>
        <w:tc>
          <w:tcPr>
            <w:tcW w:w="1560" w:type="dxa"/>
          </w:tcPr>
          <w:p w14:paraId="155FBD98" w14:textId="77777777" w:rsidR="004C7180" w:rsidRPr="00150EDC" w:rsidRDefault="00CF0754">
            <w:pPr>
              <w:pStyle w:val="TableParagraph"/>
              <w:spacing w:before="1" w:line="240" w:lineRule="auto"/>
              <w:ind w:left="107"/>
              <w:rPr>
                <w:sz w:val="24"/>
              </w:rPr>
            </w:pPr>
            <w:r w:rsidRPr="00150EDC">
              <w:rPr>
                <w:spacing w:val="-2"/>
                <w:sz w:val="24"/>
              </w:rPr>
              <w:t xml:space="preserve">Responsive- </w:t>
            </w:r>
            <w:r w:rsidRPr="00150EDC">
              <w:rPr>
                <w:spacing w:val="-4"/>
                <w:sz w:val="24"/>
              </w:rPr>
              <w:t>ness</w:t>
            </w:r>
          </w:p>
        </w:tc>
        <w:tc>
          <w:tcPr>
            <w:tcW w:w="4680" w:type="dxa"/>
          </w:tcPr>
          <w:p w14:paraId="14F93DFF" w14:textId="77777777" w:rsidR="004C7180" w:rsidRPr="00150EDC" w:rsidRDefault="00CF0754">
            <w:pPr>
              <w:pStyle w:val="TableParagraph"/>
              <w:tabs>
                <w:tab w:val="left" w:pos="803"/>
                <w:tab w:val="left" w:pos="1297"/>
                <w:tab w:val="left" w:pos="1713"/>
                <w:tab w:val="left" w:pos="2447"/>
                <w:tab w:val="left" w:pos="3169"/>
                <w:tab w:val="left" w:pos="3837"/>
                <w:tab w:val="left" w:pos="4345"/>
              </w:tabs>
              <w:spacing w:before="0" w:line="270" w:lineRule="atLeast"/>
              <w:ind w:left="107" w:right="84"/>
              <w:rPr>
                <w:i/>
                <w:iCs/>
                <w:sz w:val="24"/>
                <w:szCs w:val="24"/>
              </w:rPr>
            </w:pPr>
            <w:r w:rsidRPr="00150EDC">
              <w:rPr>
                <w:b/>
                <w:bCs/>
                <w:spacing w:val="-2"/>
                <w:sz w:val="24"/>
                <w:szCs w:val="24"/>
              </w:rPr>
              <w:t>Supplier</w:t>
            </w:r>
            <w:r w:rsidRPr="00150EDC">
              <w:rPr>
                <w:b/>
                <w:sz w:val="24"/>
              </w:rPr>
              <w:tab/>
            </w:r>
            <w:r w:rsidRPr="00150EDC">
              <w:rPr>
                <w:b/>
                <w:bCs/>
                <w:spacing w:val="-2"/>
                <w:sz w:val="24"/>
                <w:szCs w:val="24"/>
              </w:rPr>
              <w:t>ensures</w:t>
            </w:r>
            <w:r w:rsidRPr="00150EDC">
              <w:rPr>
                <w:b/>
                <w:sz w:val="24"/>
              </w:rPr>
              <w:tab/>
            </w:r>
            <w:r w:rsidRPr="00150EDC">
              <w:rPr>
                <w:b/>
                <w:bCs/>
                <w:spacing w:val="-4"/>
                <w:sz w:val="24"/>
                <w:szCs w:val="24"/>
              </w:rPr>
              <w:t>they</w:t>
            </w:r>
            <w:r w:rsidRPr="00150EDC">
              <w:rPr>
                <w:b/>
                <w:sz w:val="24"/>
              </w:rPr>
              <w:tab/>
            </w:r>
            <w:r w:rsidRPr="00150EDC">
              <w:rPr>
                <w:b/>
                <w:bCs/>
                <w:spacing w:val="-2"/>
                <w:sz w:val="24"/>
                <w:szCs w:val="24"/>
              </w:rPr>
              <w:t>respond</w:t>
            </w:r>
            <w:r w:rsidRPr="00150EDC">
              <w:rPr>
                <w:b/>
                <w:sz w:val="24"/>
              </w:rPr>
              <w:tab/>
            </w:r>
            <w:r w:rsidRPr="00150EDC">
              <w:rPr>
                <w:b/>
                <w:bCs/>
                <w:spacing w:val="-6"/>
                <w:sz w:val="24"/>
                <w:szCs w:val="24"/>
              </w:rPr>
              <w:t xml:space="preserve">to </w:t>
            </w:r>
            <w:r w:rsidRPr="00150EDC">
              <w:rPr>
                <w:b/>
                <w:bCs/>
                <w:sz w:val="24"/>
                <w:szCs w:val="24"/>
              </w:rPr>
              <w:t>requests</w:t>
            </w:r>
            <w:r w:rsidRPr="00150EDC">
              <w:rPr>
                <w:b/>
                <w:bCs/>
                <w:spacing w:val="40"/>
                <w:sz w:val="24"/>
                <w:szCs w:val="24"/>
              </w:rPr>
              <w:t xml:space="preserve"> </w:t>
            </w:r>
            <w:r w:rsidRPr="00150EDC">
              <w:rPr>
                <w:b/>
                <w:bCs/>
                <w:sz w:val="24"/>
                <w:szCs w:val="24"/>
              </w:rPr>
              <w:t>from</w:t>
            </w:r>
            <w:r w:rsidRPr="00150EDC">
              <w:rPr>
                <w:b/>
                <w:bCs/>
                <w:spacing w:val="40"/>
                <w:sz w:val="24"/>
                <w:szCs w:val="24"/>
              </w:rPr>
              <w:t xml:space="preserve"> </w:t>
            </w:r>
            <w:r w:rsidRPr="00150EDC">
              <w:rPr>
                <w:b/>
                <w:bCs/>
                <w:sz w:val="24"/>
                <w:szCs w:val="24"/>
              </w:rPr>
              <w:t>the</w:t>
            </w:r>
            <w:r w:rsidRPr="00150EDC">
              <w:rPr>
                <w:b/>
                <w:bCs/>
                <w:spacing w:val="40"/>
                <w:sz w:val="24"/>
                <w:szCs w:val="24"/>
              </w:rPr>
              <w:t xml:space="preserve"> </w:t>
            </w:r>
            <w:r w:rsidRPr="00150EDC">
              <w:rPr>
                <w:b/>
                <w:bCs/>
                <w:sz w:val="24"/>
                <w:szCs w:val="24"/>
              </w:rPr>
              <w:t>Products</w:t>
            </w:r>
            <w:r w:rsidRPr="00150EDC">
              <w:rPr>
                <w:b/>
                <w:bCs/>
                <w:spacing w:val="40"/>
                <w:sz w:val="24"/>
                <w:szCs w:val="24"/>
              </w:rPr>
              <w:t xml:space="preserve"> </w:t>
            </w:r>
            <w:r w:rsidRPr="00150EDC">
              <w:rPr>
                <w:b/>
                <w:bCs/>
                <w:sz w:val="24"/>
                <w:szCs w:val="24"/>
              </w:rPr>
              <w:t>Supplier and</w:t>
            </w:r>
            <w:r w:rsidRPr="00150EDC">
              <w:rPr>
                <w:b/>
                <w:bCs/>
                <w:spacing w:val="40"/>
                <w:sz w:val="24"/>
                <w:szCs w:val="24"/>
              </w:rPr>
              <w:t xml:space="preserve"> </w:t>
            </w:r>
            <w:r w:rsidRPr="00150EDC">
              <w:rPr>
                <w:b/>
                <w:bCs/>
                <w:sz w:val="24"/>
                <w:szCs w:val="24"/>
              </w:rPr>
              <w:t>the</w:t>
            </w:r>
            <w:r w:rsidRPr="00150EDC">
              <w:rPr>
                <w:b/>
                <w:bCs/>
                <w:spacing w:val="40"/>
                <w:sz w:val="24"/>
                <w:szCs w:val="24"/>
              </w:rPr>
              <w:t xml:space="preserve"> </w:t>
            </w:r>
            <w:r w:rsidRPr="00150EDC">
              <w:rPr>
                <w:b/>
                <w:bCs/>
                <w:sz w:val="24"/>
                <w:szCs w:val="24"/>
              </w:rPr>
              <w:t>Evaluation</w:t>
            </w:r>
            <w:r w:rsidRPr="00150EDC">
              <w:rPr>
                <w:b/>
                <w:bCs/>
                <w:spacing w:val="40"/>
                <w:sz w:val="24"/>
                <w:szCs w:val="24"/>
              </w:rPr>
              <w:t xml:space="preserve"> </w:t>
            </w:r>
            <w:r w:rsidRPr="00150EDC">
              <w:rPr>
                <w:b/>
                <w:bCs/>
                <w:sz w:val="24"/>
                <w:szCs w:val="24"/>
              </w:rPr>
              <w:t>Supplier</w:t>
            </w:r>
            <w:r w:rsidRPr="00150EDC">
              <w:rPr>
                <w:b/>
                <w:bCs/>
                <w:spacing w:val="40"/>
                <w:sz w:val="24"/>
                <w:szCs w:val="24"/>
              </w:rPr>
              <w:t xml:space="preserve"> </w:t>
            </w:r>
            <w:r w:rsidRPr="00150EDC">
              <w:rPr>
                <w:b/>
                <w:bCs/>
                <w:sz w:val="24"/>
                <w:szCs w:val="24"/>
              </w:rPr>
              <w:t>within</w:t>
            </w:r>
            <w:r w:rsidRPr="00150EDC">
              <w:rPr>
                <w:b/>
                <w:bCs/>
                <w:spacing w:val="40"/>
                <w:sz w:val="24"/>
                <w:szCs w:val="24"/>
              </w:rPr>
              <w:t xml:space="preserve"> </w:t>
            </w:r>
            <w:r w:rsidRPr="00150EDC">
              <w:rPr>
                <w:b/>
                <w:bCs/>
                <w:sz w:val="24"/>
                <w:szCs w:val="24"/>
              </w:rPr>
              <w:t>5 working days of them being made (</w:t>
            </w:r>
            <w:r w:rsidRPr="00150EDC">
              <w:rPr>
                <w:i/>
                <w:iCs/>
                <w:sz w:val="24"/>
                <w:szCs w:val="24"/>
              </w:rPr>
              <w:t>NB a response includes escalation to the DfE Steering Group if suppliers disagree on a particular action or way forward) Measurement:</w:t>
            </w:r>
            <w:r w:rsidRPr="00150EDC">
              <w:rPr>
                <w:i/>
                <w:iCs/>
                <w:spacing w:val="-9"/>
                <w:sz w:val="24"/>
                <w:szCs w:val="24"/>
              </w:rPr>
              <w:t xml:space="preserve"> </w:t>
            </w:r>
            <w:r w:rsidRPr="00150EDC">
              <w:rPr>
                <w:i/>
                <w:iCs/>
                <w:sz w:val="24"/>
                <w:szCs w:val="24"/>
              </w:rPr>
              <w:t>Customer</w:t>
            </w:r>
            <w:r w:rsidRPr="00150EDC">
              <w:rPr>
                <w:i/>
                <w:iCs/>
                <w:spacing w:val="-10"/>
                <w:sz w:val="24"/>
                <w:szCs w:val="24"/>
              </w:rPr>
              <w:t xml:space="preserve"> </w:t>
            </w:r>
            <w:r w:rsidRPr="00150EDC">
              <w:rPr>
                <w:i/>
                <w:iCs/>
                <w:sz w:val="24"/>
                <w:szCs w:val="24"/>
              </w:rPr>
              <w:t>survey</w:t>
            </w:r>
            <w:r w:rsidRPr="00150EDC">
              <w:rPr>
                <w:i/>
                <w:iCs/>
                <w:spacing w:val="-10"/>
                <w:sz w:val="24"/>
                <w:szCs w:val="24"/>
              </w:rPr>
              <w:t xml:space="preserve"> </w:t>
            </w:r>
            <w:r w:rsidRPr="00150EDC">
              <w:rPr>
                <w:i/>
                <w:iCs/>
                <w:sz w:val="24"/>
                <w:szCs w:val="24"/>
              </w:rPr>
              <w:t xml:space="preserve">feedback that this is done ‘all’ or ‘almost all’ of the </w:t>
            </w:r>
            <w:r w:rsidRPr="00150EDC">
              <w:rPr>
                <w:i/>
                <w:iCs/>
                <w:spacing w:val="-4"/>
                <w:sz w:val="24"/>
                <w:szCs w:val="24"/>
              </w:rPr>
              <w:t>time</w:t>
            </w:r>
            <w:r w:rsidRPr="00150EDC">
              <w:rPr>
                <w:i/>
                <w:sz w:val="24"/>
              </w:rPr>
              <w:tab/>
            </w:r>
            <w:r w:rsidRPr="00150EDC">
              <w:rPr>
                <w:i/>
                <w:iCs/>
                <w:spacing w:val="-2"/>
                <w:sz w:val="24"/>
                <w:szCs w:val="24"/>
              </w:rPr>
              <w:t>during</w:t>
            </w:r>
            <w:r w:rsidRPr="00150EDC">
              <w:rPr>
                <w:i/>
                <w:sz w:val="24"/>
              </w:rPr>
              <w:tab/>
            </w:r>
            <w:r w:rsidRPr="00150EDC">
              <w:rPr>
                <w:i/>
                <w:iCs/>
                <w:spacing w:val="-4"/>
                <w:sz w:val="24"/>
                <w:szCs w:val="24"/>
              </w:rPr>
              <w:t>each</w:t>
            </w:r>
            <w:r w:rsidRPr="00150EDC">
              <w:rPr>
                <w:i/>
                <w:sz w:val="24"/>
              </w:rPr>
              <w:tab/>
            </w:r>
            <w:r w:rsidRPr="00150EDC">
              <w:rPr>
                <w:i/>
                <w:iCs/>
                <w:spacing w:val="-42"/>
                <w:sz w:val="24"/>
                <w:szCs w:val="24"/>
              </w:rPr>
              <w:t xml:space="preserve"> </w:t>
            </w:r>
            <w:r w:rsidRPr="00150EDC">
              <w:rPr>
                <w:i/>
                <w:iCs/>
                <w:sz w:val="24"/>
                <w:szCs w:val="24"/>
              </w:rPr>
              <w:t>monitoring</w:t>
            </w:r>
            <w:r w:rsidRPr="00150EDC">
              <w:rPr>
                <w:i/>
                <w:sz w:val="24"/>
              </w:rPr>
              <w:tab/>
            </w:r>
            <w:r w:rsidRPr="00150EDC">
              <w:rPr>
                <w:i/>
                <w:iCs/>
                <w:spacing w:val="-2"/>
                <w:sz w:val="24"/>
                <w:szCs w:val="24"/>
              </w:rPr>
              <w:t xml:space="preserve">period. </w:t>
            </w:r>
            <w:r w:rsidRPr="00150EDC">
              <w:rPr>
                <w:i/>
                <w:iCs/>
                <w:sz w:val="24"/>
                <w:szCs w:val="24"/>
              </w:rPr>
              <w:t>Customers</w:t>
            </w:r>
            <w:r w:rsidRPr="00150EDC">
              <w:rPr>
                <w:i/>
                <w:iCs/>
                <w:spacing w:val="-17"/>
                <w:sz w:val="24"/>
                <w:szCs w:val="24"/>
              </w:rPr>
              <w:t xml:space="preserve"> </w:t>
            </w:r>
            <w:r w:rsidRPr="00150EDC">
              <w:rPr>
                <w:i/>
                <w:iCs/>
                <w:sz w:val="24"/>
                <w:szCs w:val="24"/>
              </w:rPr>
              <w:t>to</w:t>
            </w:r>
            <w:r w:rsidRPr="00150EDC">
              <w:rPr>
                <w:i/>
                <w:iCs/>
                <w:spacing w:val="-17"/>
                <w:sz w:val="24"/>
                <w:szCs w:val="24"/>
              </w:rPr>
              <w:t xml:space="preserve"> </w:t>
            </w:r>
            <w:r w:rsidRPr="00150EDC">
              <w:rPr>
                <w:i/>
                <w:iCs/>
                <w:sz w:val="24"/>
                <w:szCs w:val="24"/>
              </w:rPr>
              <w:t>include</w:t>
            </w:r>
            <w:r w:rsidRPr="00150EDC">
              <w:rPr>
                <w:i/>
                <w:iCs/>
                <w:spacing w:val="-16"/>
                <w:sz w:val="24"/>
                <w:szCs w:val="24"/>
              </w:rPr>
              <w:t xml:space="preserve"> </w:t>
            </w:r>
            <w:r w:rsidRPr="00150EDC">
              <w:rPr>
                <w:i/>
                <w:iCs/>
                <w:sz w:val="24"/>
                <w:szCs w:val="24"/>
              </w:rPr>
              <w:t>DfE</w:t>
            </w:r>
            <w:r w:rsidRPr="00150EDC">
              <w:rPr>
                <w:i/>
                <w:iCs/>
                <w:spacing w:val="-17"/>
                <w:sz w:val="24"/>
                <w:szCs w:val="24"/>
              </w:rPr>
              <w:t xml:space="preserve"> </w:t>
            </w:r>
            <w:r w:rsidRPr="00150EDC">
              <w:rPr>
                <w:i/>
                <w:iCs/>
                <w:sz w:val="24"/>
                <w:szCs w:val="24"/>
              </w:rPr>
              <w:t>research,</w:t>
            </w:r>
            <w:r w:rsidRPr="00150EDC">
              <w:rPr>
                <w:i/>
                <w:iCs/>
                <w:spacing w:val="-17"/>
                <w:sz w:val="24"/>
                <w:szCs w:val="24"/>
              </w:rPr>
              <w:t xml:space="preserve"> </w:t>
            </w:r>
            <w:r w:rsidRPr="00150EDC">
              <w:rPr>
                <w:i/>
                <w:iCs/>
                <w:sz w:val="24"/>
                <w:szCs w:val="24"/>
              </w:rPr>
              <w:t>policy, PPM and Other Suppliers</w:t>
            </w:r>
          </w:p>
        </w:tc>
        <w:tc>
          <w:tcPr>
            <w:tcW w:w="2410" w:type="dxa"/>
          </w:tcPr>
          <w:p w14:paraId="38CC27F1" w14:textId="77777777" w:rsidR="004C7180" w:rsidRPr="00150EDC" w:rsidRDefault="00CF0754">
            <w:pPr>
              <w:pStyle w:val="TableParagraph"/>
              <w:spacing w:before="1" w:line="240" w:lineRule="auto"/>
              <w:ind w:left="107" w:right="84"/>
              <w:rPr>
                <w:sz w:val="24"/>
              </w:rPr>
            </w:pPr>
            <w:r w:rsidRPr="00150EDC">
              <w:rPr>
                <w:sz w:val="24"/>
              </w:rPr>
              <w:t>Good: 100% Approaching</w:t>
            </w:r>
            <w:r w:rsidRPr="00150EDC">
              <w:rPr>
                <w:spacing w:val="64"/>
                <w:sz w:val="24"/>
              </w:rPr>
              <w:t xml:space="preserve"> </w:t>
            </w:r>
            <w:r w:rsidRPr="00150EDC">
              <w:rPr>
                <w:sz w:val="24"/>
              </w:rPr>
              <w:t xml:space="preserve">target: </w:t>
            </w:r>
            <w:r w:rsidRPr="00150EDC">
              <w:rPr>
                <w:spacing w:val="-2"/>
                <w:sz w:val="24"/>
              </w:rPr>
              <w:t>97-99%</w:t>
            </w:r>
          </w:p>
          <w:p w14:paraId="0B252D42" w14:textId="77777777" w:rsidR="004C7180" w:rsidRPr="00150EDC" w:rsidRDefault="00CF0754">
            <w:pPr>
              <w:pStyle w:val="TableParagraph"/>
              <w:tabs>
                <w:tab w:val="left" w:pos="1955"/>
              </w:tabs>
              <w:spacing w:before="1" w:line="240" w:lineRule="auto"/>
              <w:ind w:left="107" w:right="83"/>
              <w:rPr>
                <w:sz w:val="24"/>
              </w:rPr>
            </w:pPr>
            <w:r w:rsidRPr="00150EDC">
              <w:rPr>
                <w:spacing w:val="-2"/>
                <w:sz w:val="24"/>
              </w:rPr>
              <w:t>Requires Improvement:</w:t>
            </w:r>
            <w:r w:rsidRPr="00150EDC">
              <w:rPr>
                <w:sz w:val="24"/>
              </w:rPr>
              <w:tab/>
            </w:r>
            <w:r w:rsidRPr="00150EDC">
              <w:rPr>
                <w:spacing w:val="-4"/>
                <w:sz w:val="24"/>
              </w:rPr>
              <w:t>95-</w:t>
            </w:r>
          </w:p>
          <w:p w14:paraId="2C45F540" w14:textId="77777777" w:rsidR="004C7180" w:rsidRPr="00150EDC" w:rsidRDefault="00CF0754">
            <w:pPr>
              <w:pStyle w:val="TableParagraph"/>
              <w:spacing w:before="0" w:line="240" w:lineRule="auto"/>
              <w:ind w:left="107"/>
              <w:rPr>
                <w:sz w:val="24"/>
              </w:rPr>
            </w:pPr>
            <w:r w:rsidRPr="00150EDC">
              <w:rPr>
                <w:spacing w:val="-5"/>
                <w:sz w:val="24"/>
              </w:rPr>
              <w:t>96%</w:t>
            </w:r>
          </w:p>
          <w:p w14:paraId="12DE5B8A" w14:textId="77777777" w:rsidR="004C7180" w:rsidRPr="00150EDC" w:rsidRDefault="00CF0754">
            <w:pPr>
              <w:pStyle w:val="TableParagraph"/>
              <w:tabs>
                <w:tab w:val="left" w:pos="1876"/>
              </w:tabs>
              <w:spacing w:before="0" w:line="240" w:lineRule="auto"/>
              <w:ind w:left="107" w:right="84"/>
              <w:rPr>
                <w:sz w:val="24"/>
              </w:rPr>
            </w:pPr>
            <w:r w:rsidRPr="00150EDC">
              <w:rPr>
                <w:spacing w:val="-2"/>
                <w:sz w:val="24"/>
              </w:rPr>
              <w:t>Inadequate:</w:t>
            </w:r>
            <w:r w:rsidRPr="00150EDC">
              <w:rPr>
                <w:sz w:val="24"/>
              </w:rPr>
              <w:tab/>
            </w:r>
            <w:r w:rsidRPr="00150EDC">
              <w:rPr>
                <w:spacing w:val="-4"/>
                <w:sz w:val="24"/>
              </w:rPr>
              <w:t xml:space="preserve">less </w:t>
            </w:r>
            <w:r w:rsidRPr="00150EDC">
              <w:rPr>
                <w:sz w:val="24"/>
              </w:rPr>
              <w:t>than 95%</w:t>
            </w:r>
          </w:p>
        </w:tc>
        <w:tc>
          <w:tcPr>
            <w:tcW w:w="2127" w:type="dxa"/>
          </w:tcPr>
          <w:p w14:paraId="776A74F4" w14:textId="77777777" w:rsidR="004C7180" w:rsidRPr="00150EDC" w:rsidRDefault="004C7180">
            <w:pPr>
              <w:pStyle w:val="TableParagraph"/>
              <w:spacing w:before="1" w:line="240" w:lineRule="auto"/>
              <w:ind w:left="0"/>
              <w:rPr>
                <w:sz w:val="24"/>
              </w:rPr>
            </w:pPr>
          </w:p>
          <w:p w14:paraId="4A159AD8" w14:textId="77777777" w:rsidR="004C7180" w:rsidRPr="00150EDC" w:rsidRDefault="00CF0754">
            <w:pPr>
              <w:pStyle w:val="TableParagraph"/>
              <w:tabs>
                <w:tab w:val="left" w:pos="1271"/>
                <w:tab w:val="left" w:pos="1499"/>
                <w:tab w:val="left" w:pos="1751"/>
              </w:tabs>
              <w:spacing w:before="0" w:line="240" w:lineRule="auto"/>
              <w:ind w:left="107" w:right="83"/>
              <w:rPr>
                <w:sz w:val="24"/>
              </w:rPr>
            </w:pPr>
            <w:r w:rsidRPr="00150EDC">
              <w:rPr>
                <w:spacing w:val="-2"/>
                <w:sz w:val="24"/>
              </w:rPr>
              <w:t>Supplier</w:t>
            </w:r>
            <w:r w:rsidRPr="00150EDC">
              <w:rPr>
                <w:sz w:val="24"/>
              </w:rPr>
              <w:tab/>
            </w:r>
            <w:r w:rsidRPr="00150EDC">
              <w:rPr>
                <w:spacing w:val="-6"/>
                <w:sz w:val="24"/>
              </w:rPr>
              <w:t>to</w:t>
            </w:r>
            <w:r w:rsidRPr="00150EDC">
              <w:rPr>
                <w:sz w:val="24"/>
              </w:rPr>
              <w:tab/>
            </w:r>
            <w:r w:rsidRPr="00150EDC">
              <w:rPr>
                <w:sz w:val="24"/>
              </w:rPr>
              <w:tab/>
            </w:r>
            <w:r w:rsidRPr="00150EDC">
              <w:rPr>
                <w:spacing w:val="-6"/>
                <w:sz w:val="24"/>
              </w:rPr>
              <w:t xml:space="preserve">be </w:t>
            </w:r>
            <w:r w:rsidRPr="00150EDC">
              <w:rPr>
                <w:sz w:val="24"/>
              </w:rPr>
              <w:t xml:space="preserve">rated as ‘good’ or </w:t>
            </w:r>
            <w:r w:rsidRPr="00150EDC">
              <w:rPr>
                <w:spacing w:val="-2"/>
                <w:sz w:val="24"/>
              </w:rPr>
              <w:t>‘approaching target’</w:t>
            </w:r>
            <w:r w:rsidRPr="00150EDC">
              <w:rPr>
                <w:sz w:val="24"/>
              </w:rPr>
              <w:tab/>
            </w:r>
            <w:r w:rsidRPr="00150EDC">
              <w:rPr>
                <w:sz w:val="24"/>
              </w:rPr>
              <w:tab/>
            </w:r>
            <w:r w:rsidRPr="00150EDC">
              <w:rPr>
                <w:spacing w:val="-4"/>
                <w:sz w:val="24"/>
              </w:rPr>
              <w:t xml:space="preserve">each </w:t>
            </w:r>
            <w:r w:rsidRPr="00150EDC">
              <w:rPr>
                <w:spacing w:val="-2"/>
                <w:sz w:val="24"/>
              </w:rPr>
              <w:t>quarter.</w:t>
            </w:r>
          </w:p>
        </w:tc>
      </w:tr>
      <w:tr w:rsidR="004569EE" w:rsidRPr="007D3144" w14:paraId="7FD9DA4C" w14:textId="77777777">
        <w:trPr>
          <w:trHeight w:val="2759"/>
        </w:trPr>
        <w:tc>
          <w:tcPr>
            <w:tcW w:w="1560" w:type="dxa"/>
          </w:tcPr>
          <w:p w14:paraId="33197A69" w14:textId="77777777" w:rsidR="004C7180" w:rsidRPr="00150EDC" w:rsidRDefault="00CF0754">
            <w:pPr>
              <w:pStyle w:val="TableParagraph"/>
              <w:spacing w:before="0" w:line="240" w:lineRule="auto"/>
              <w:ind w:left="107"/>
              <w:rPr>
                <w:sz w:val="24"/>
              </w:rPr>
            </w:pPr>
            <w:r w:rsidRPr="00150EDC">
              <w:rPr>
                <w:spacing w:val="-2"/>
                <w:sz w:val="24"/>
              </w:rPr>
              <w:t>Professional behaviour (CP1)</w:t>
            </w:r>
          </w:p>
        </w:tc>
        <w:tc>
          <w:tcPr>
            <w:tcW w:w="4680" w:type="dxa"/>
          </w:tcPr>
          <w:p w14:paraId="7379CD75" w14:textId="77777777" w:rsidR="004C7180" w:rsidRPr="00150EDC" w:rsidRDefault="00CF0754">
            <w:pPr>
              <w:pStyle w:val="TableParagraph"/>
              <w:spacing w:before="0" w:line="240" w:lineRule="auto"/>
              <w:ind w:left="107" w:right="85"/>
              <w:jc w:val="both"/>
              <w:rPr>
                <w:b/>
                <w:sz w:val="24"/>
              </w:rPr>
            </w:pPr>
            <w:r w:rsidRPr="00150EDC">
              <w:rPr>
                <w:b/>
                <w:sz w:val="24"/>
              </w:rPr>
              <w:t>Supplier</w:t>
            </w:r>
            <w:r w:rsidRPr="00150EDC">
              <w:rPr>
                <w:b/>
                <w:spacing w:val="-6"/>
                <w:sz w:val="24"/>
              </w:rPr>
              <w:t xml:space="preserve"> </w:t>
            </w:r>
            <w:r w:rsidRPr="00150EDC">
              <w:rPr>
                <w:b/>
                <w:sz w:val="24"/>
              </w:rPr>
              <w:t>behaves</w:t>
            </w:r>
            <w:r w:rsidRPr="00150EDC">
              <w:rPr>
                <w:b/>
                <w:spacing w:val="-5"/>
                <w:sz w:val="24"/>
              </w:rPr>
              <w:t xml:space="preserve"> </w:t>
            </w:r>
            <w:r w:rsidRPr="00150EDC">
              <w:rPr>
                <w:b/>
                <w:sz w:val="24"/>
              </w:rPr>
              <w:t>in</w:t>
            </w:r>
            <w:r w:rsidRPr="00150EDC">
              <w:rPr>
                <w:b/>
                <w:spacing w:val="-9"/>
                <w:sz w:val="24"/>
              </w:rPr>
              <w:t xml:space="preserve"> </w:t>
            </w:r>
            <w:r w:rsidRPr="00150EDC">
              <w:rPr>
                <w:b/>
                <w:sz w:val="24"/>
              </w:rPr>
              <w:t>a</w:t>
            </w:r>
            <w:r w:rsidRPr="00150EDC">
              <w:rPr>
                <w:b/>
                <w:spacing w:val="-3"/>
                <w:sz w:val="24"/>
              </w:rPr>
              <w:t xml:space="preserve"> </w:t>
            </w:r>
            <w:r w:rsidRPr="00150EDC">
              <w:rPr>
                <w:b/>
                <w:sz w:val="24"/>
              </w:rPr>
              <w:t>professional</w:t>
            </w:r>
            <w:r w:rsidRPr="00150EDC">
              <w:rPr>
                <w:b/>
                <w:spacing w:val="-5"/>
                <w:sz w:val="24"/>
              </w:rPr>
              <w:t xml:space="preserve"> </w:t>
            </w:r>
            <w:r w:rsidRPr="00150EDC">
              <w:rPr>
                <w:b/>
                <w:sz w:val="24"/>
              </w:rPr>
              <w:t xml:space="preserve">and courteous manner in all collaborative work, including: respecting diverse viewpoints; acting ethically and being </w:t>
            </w:r>
            <w:r w:rsidRPr="00150EDC">
              <w:rPr>
                <w:b/>
                <w:spacing w:val="-2"/>
                <w:sz w:val="24"/>
              </w:rPr>
              <w:t>solution-focussed</w:t>
            </w:r>
          </w:p>
          <w:p w14:paraId="22CBEE01" w14:textId="77777777" w:rsidR="004C7180" w:rsidRPr="00150EDC" w:rsidRDefault="00CF0754">
            <w:pPr>
              <w:pStyle w:val="TableParagraph"/>
              <w:spacing w:before="0" w:line="270" w:lineRule="atLeast"/>
              <w:ind w:left="107" w:right="85"/>
              <w:jc w:val="both"/>
              <w:rPr>
                <w:i/>
                <w:sz w:val="24"/>
              </w:rPr>
            </w:pPr>
            <w:r w:rsidRPr="00150EDC">
              <w:rPr>
                <w:i/>
                <w:sz w:val="24"/>
              </w:rPr>
              <w:t>Measurement:</w:t>
            </w:r>
            <w:r w:rsidRPr="00150EDC">
              <w:rPr>
                <w:i/>
                <w:spacing w:val="-9"/>
                <w:sz w:val="24"/>
              </w:rPr>
              <w:t xml:space="preserve"> </w:t>
            </w:r>
            <w:r w:rsidRPr="00150EDC">
              <w:rPr>
                <w:i/>
                <w:sz w:val="24"/>
              </w:rPr>
              <w:t>Customer</w:t>
            </w:r>
            <w:r w:rsidRPr="00150EDC">
              <w:rPr>
                <w:i/>
                <w:spacing w:val="-10"/>
                <w:sz w:val="24"/>
              </w:rPr>
              <w:t xml:space="preserve"> </w:t>
            </w:r>
            <w:r w:rsidRPr="00150EDC">
              <w:rPr>
                <w:i/>
                <w:sz w:val="24"/>
              </w:rPr>
              <w:t>survey</w:t>
            </w:r>
            <w:r w:rsidRPr="00150EDC">
              <w:rPr>
                <w:i/>
                <w:spacing w:val="-10"/>
                <w:sz w:val="24"/>
              </w:rPr>
              <w:t xml:space="preserve"> </w:t>
            </w:r>
            <w:r w:rsidRPr="00150EDC">
              <w:rPr>
                <w:i/>
                <w:sz w:val="24"/>
              </w:rPr>
              <w:t>feedback that this is done ‘all’ or ‘almost all’ of the time during each monitoring period. Customers</w:t>
            </w:r>
            <w:r w:rsidRPr="00150EDC">
              <w:rPr>
                <w:i/>
                <w:spacing w:val="-17"/>
                <w:sz w:val="24"/>
              </w:rPr>
              <w:t xml:space="preserve"> </w:t>
            </w:r>
            <w:r w:rsidRPr="00150EDC">
              <w:rPr>
                <w:i/>
                <w:sz w:val="24"/>
              </w:rPr>
              <w:t>to</w:t>
            </w:r>
            <w:r w:rsidRPr="00150EDC">
              <w:rPr>
                <w:i/>
                <w:spacing w:val="-17"/>
                <w:sz w:val="24"/>
              </w:rPr>
              <w:t xml:space="preserve"> </w:t>
            </w:r>
            <w:r w:rsidRPr="00150EDC">
              <w:rPr>
                <w:i/>
                <w:sz w:val="24"/>
              </w:rPr>
              <w:t>include</w:t>
            </w:r>
            <w:r w:rsidRPr="00150EDC">
              <w:rPr>
                <w:i/>
                <w:spacing w:val="-16"/>
                <w:sz w:val="24"/>
              </w:rPr>
              <w:t xml:space="preserve"> </w:t>
            </w:r>
            <w:r w:rsidRPr="00150EDC">
              <w:rPr>
                <w:i/>
                <w:sz w:val="24"/>
              </w:rPr>
              <w:t>DfE</w:t>
            </w:r>
            <w:r w:rsidRPr="00150EDC">
              <w:rPr>
                <w:i/>
                <w:spacing w:val="-17"/>
                <w:sz w:val="24"/>
              </w:rPr>
              <w:t xml:space="preserve"> </w:t>
            </w:r>
            <w:r w:rsidRPr="00150EDC">
              <w:rPr>
                <w:i/>
                <w:sz w:val="24"/>
              </w:rPr>
              <w:t>research,</w:t>
            </w:r>
            <w:r w:rsidRPr="00150EDC">
              <w:rPr>
                <w:i/>
                <w:spacing w:val="-17"/>
                <w:sz w:val="24"/>
              </w:rPr>
              <w:t xml:space="preserve"> </w:t>
            </w:r>
            <w:r w:rsidRPr="00150EDC">
              <w:rPr>
                <w:i/>
                <w:sz w:val="24"/>
              </w:rPr>
              <w:t>policy, PPM and Other Suppliers</w:t>
            </w:r>
          </w:p>
        </w:tc>
        <w:tc>
          <w:tcPr>
            <w:tcW w:w="2410" w:type="dxa"/>
          </w:tcPr>
          <w:p w14:paraId="04765071" w14:textId="77777777" w:rsidR="004C7180" w:rsidRPr="00150EDC" w:rsidRDefault="00CF0754">
            <w:pPr>
              <w:pStyle w:val="TableParagraph"/>
              <w:spacing w:before="0" w:line="240" w:lineRule="auto"/>
              <w:ind w:left="107" w:right="84"/>
              <w:rPr>
                <w:sz w:val="24"/>
              </w:rPr>
            </w:pPr>
            <w:r w:rsidRPr="00150EDC">
              <w:rPr>
                <w:sz w:val="24"/>
              </w:rPr>
              <w:t>Good: 100% Approaching</w:t>
            </w:r>
            <w:r w:rsidRPr="00150EDC">
              <w:rPr>
                <w:spacing w:val="64"/>
                <w:sz w:val="24"/>
              </w:rPr>
              <w:t xml:space="preserve"> </w:t>
            </w:r>
            <w:r w:rsidRPr="00150EDC">
              <w:rPr>
                <w:sz w:val="24"/>
              </w:rPr>
              <w:t xml:space="preserve">target: </w:t>
            </w:r>
            <w:r w:rsidRPr="00150EDC">
              <w:rPr>
                <w:spacing w:val="-2"/>
                <w:sz w:val="24"/>
              </w:rPr>
              <w:t>97-99%</w:t>
            </w:r>
          </w:p>
          <w:p w14:paraId="49F8BBBE" w14:textId="77777777" w:rsidR="004C7180" w:rsidRPr="00150EDC" w:rsidRDefault="00CF0754">
            <w:pPr>
              <w:pStyle w:val="TableParagraph"/>
              <w:tabs>
                <w:tab w:val="left" w:pos="1955"/>
              </w:tabs>
              <w:spacing w:before="0" w:line="240" w:lineRule="auto"/>
              <w:ind w:left="107" w:right="83"/>
              <w:rPr>
                <w:sz w:val="24"/>
              </w:rPr>
            </w:pPr>
            <w:r w:rsidRPr="00150EDC">
              <w:rPr>
                <w:spacing w:val="-2"/>
                <w:sz w:val="24"/>
              </w:rPr>
              <w:t>Requires Improvement:</w:t>
            </w:r>
            <w:r w:rsidRPr="00150EDC">
              <w:rPr>
                <w:sz w:val="24"/>
              </w:rPr>
              <w:tab/>
            </w:r>
            <w:r w:rsidRPr="00150EDC">
              <w:rPr>
                <w:spacing w:val="-4"/>
                <w:sz w:val="24"/>
              </w:rPr>
              <w:t>95-</w:t>
            </w:r>
          </w:p>
          <w:p w14:paraId="664746CE" w14:textId="77777777" w:rsidR="004C7180" w:rsidRPr="00150EDC" w:rsidRDefault="00CF0754">
            <w:pPr>
              <w:pStyle w:val="TableParagraph"/>
              <w:spacing w:before="0" w:line="240" w:lineRule="auto"/>
              <w:ind w:left="107"/>
              <w:rPr>
                <w:sz w:val="24"/>
              </w:rPr>
            </w:pPr>
            <w:r w:rsidRPr="00150EDC">
              <w:rPr>
                <w:spacing w:val="-5"/>
                <w:sz w:val="24"/>
              </w:rPr>
              <w:t>96%</w:t>
            </w:r>
          </w:p>
          <w:p w14:paraId="5774446C" w14:textId="77777777" w:rsidR="004C7180" w:rsidRPr="00150EDC" w:rsidRDefault="00CF0754">
            <w:pPr>
              <w:pStyle w:val="TableParagraph"/>
              <w:tabs>
                <w:tab w:val="left" w:pos="1876"/>
              </w:tabs>
              <w:spacing w:before="0" w:line="240" w:lineRule="auto"/>
              <w:ind w:left="107" w:right="84"/>
              <w:rPr>
                <w:sz w:val="24"/>
              </w:rPr>
            </w:pPr>
            <w:r w:rsidRPr="00150EDC">
              <w:rPr>
                <w:spacing w:val="-2"/>
                <w:sz w:val="24"/>
              </w:rPr>
              <w:t>Inadequate:</w:t>
            </w:r>
            <w:r w:rsidRPr="00150EDC">
              <w:rPr>
                <w:sz w:val="24"/>
              </w:rPr>
              <w:tab/>
            </w:r>
            <w:r w:rsidRPr="00150EDC">
              <w:rPr>
                <w:spacing w:val="-4"/>
                <w:sz w:val="24"/>
              </w:rPr>
              <w:t xml:space="preserve">less </w:t>
            </w:r>
            <w:r w:rsidRPr="00150EDC">
              <w:rPr>
                <w:sz w:val="24"/>
              </w:rPr>
              <w:t>than 95%</w:t>
            </w:r>
          </w:p>
        </w:tc>
        <w:tc>
          <w:tcPr>
            <w:tcW w:w="2127" w:type="dxa"/>
          </w:tcPr>
          <w:p w14:paraId="2271B92E" w14:textId="77777777" w:rsidR="004C7180" w:rsidRPr="00150EDC" w:rsidRDefault="00CF0754">
            <w:pPr>
              <w:pStyle w:val="TableParagraph"/>
              <w:tabs>
                <w:tab w:val="left" w:pos="1271"/>
                <w:tab w:val="left" w:pos="1499"/>
                <w:tab w:val="left" w:pos="1751"/>
              </w:tabs>
              <w:spacing w:before="0" w:line="240" w:lineRule="auto"/>
              <w:ind w:left="107" w:right="83"/>
              <w:rPr>
                <w:sz w:val="24"/>
              </w:rPr>
            </w:pPr>
            <w:r w:rsidRPr="00150EDC">
              <w:rPr>
                <w:spacing w:val="-2"/>
                <w:sz w:val="24"/>
              </w:rPr>
              <w:t>Supplier</w:t>
            </w:r>
            <w:r w:rsidRPr="00150EDC">
              <w:rPr>
                <w:sz w:val="24"/>
              </w:rPr>
              <w:tab/>
            </w:r>
            <w:r w:rsidRPr="00150EDC">
              <w:rPr>
                <w:spacing w:val="-6"/>
                <w:sz w:val="24"/>
              </w:rPr>
              <w:t>to</w:t>
            </w:r>
            <w:r w:rsidRPr="00150EDC">
              <w:rPr>
                <w:sz w:val="24"/>
              </w:rPr>
              <w:tab/>
            </w:r>
            <w:r w:rsidRPr="00150EDC">
              <w:rPr>
                <w:sz w:val="24"/>
              </w:rPr>
              <w:tab/>
            </w:r>
            <w:r w:rsidRPr="00150EDC">
              <w:rPr>
                <w:spacing w:val="-6"/>
                <w:sz w:val="24"/>
              </w:rPr>
              <w:t xml:space="preserve">be </w:t>
            </w:r>
            <w:r w:rsidRPr="00150EDC">
              <w:rPr>
                <w:sz w:val="24"/>
              </w:rPr>
              <w:t xml:space="preserve">rated as ‘good’ or </w:t>
            </w:r>
            <w:r w:rsidRPr="00150EDC">
              <w:rPr>
                <w:spacing w:val="-2"/>
                <w:sz w:val="24"/>
              </w:rPr>
              <w:t>‘approaching target’</w:t>
            </w:r>
            <w:r w:rsidRPr="00150EDC">
              <w:rPr>
                <w:sz w:val="24"/>
              </w:rPr>
              <w:tab/>
            </w:r>
            <w:r w:rsidRPr="00150EDC">
              <w:rPr>
                <w:sz w:val="24"/>
              </w:rPr>
              <w:tab/>
            </w:r>
            <w:r w:rsidRPr="00150EDC">
              <w:rPr>
                <w:spacing w:val="-4"/>
                <w:sz w:val="24"/>
              </w:rPr>
              <w:t xml:space="preserve">each </w:t>
            </w:r>
            <w:r w:rsidRPr="00150EDC">
              <w:rPr>
                <w:spacing w:val="-2"/>
                <w:sz w:val="24"/>
              </w:rPr>
              <w:t>quarter.</w:t>
            </w:r>
          </w:p>
        </w:tc>
      </w:tr>
    </w:tbl>
    <w:p w14:paraId="6398857A" w14:textId="77777777" w:rsidR="004C7180" w:rsidRPr="00150EDC" w:rsidRDefault="004C7180">
      <w:pPr>
        <w:rPr>
          <w:sz w:val="24"/>
        </w:rPr>
        <w:sectPr w:rsidR="004C7180" w:rsidRPr="00150EDC">
          <w:headerReference w:type="default" r:id="rId166"/>
          <w:footerReference w:type="default" r:id="rId167"/>
          <w:pgSz w:w="11910" w:h="16840"/>
          <w:pgMar w:top="1400" w:right="420" w:bottom="280" w:left="460" w:header="0" w:footer="0" w:gutter="0"/>
          <w:cols w:space="720"/>
        </w:sectPr>
      </w:pPr>
    </w:p>
    <w:p w14:paraId="6D457A80" w14:textId="77777777" w:rsidR="004C7180" w:rsidRPr="007D3144" w:rsidRDefault="00CF0754">
      <w:pPr>
        <w:ind w:left="120"/>
        <w:rPr>
          <w:sz w:val="20"/>
        </w:rPr>
      </w:pPr>
      <w:bookmarkStart w:id="113" w:name="DPS_Order_Schedule_5_-_Pricing_Details_v"/>
      <w:bookmarkEnd w:id="113"/>
      <w:r w:rsidRPr="007D3144">
        <w:rPr>
          <w:sz w:val="20"/>
        </w:rPr>
        <w:t>Crown</w:t>
      </w:r>
      <w:r w:rsidRPr="007D3144">
        <w:rPr>
          <w:spacing w:val="-9"/>
          <w:sz w:val="20"/>
        </w:rPr>
        <w:t xml:space="preserve"> </w:t>
      </w:r>
      <w:r w:rsidRPr="007D3144">
        <w:rPr>
          <w:sz w:val="20"/>
        </w:rPr>
        <w:t>Copyright</w:t>
      </w:r>
      <w:r w:rsidRPr="007D3144">
        <w:rPr>
          <w:spacing w:val="-9"/>
          <w:sz w:val="20"/>
        </w:rPr>
        <w:t xml:space="preserve"> </w:t>
      </w:r>
      <w:r w:rsidRPr="007D3144">
        <w:rPr>
          <w:spacing w:val="-4"/>
          <w:sz w:val="20"/>
        </w:rPr>
        <w:t>2022</w:t>
      </w:r>
    </w:p>
    <w:p w14:paraId="1D7970E5" w14:textId="77777777" w:rsidR="004C7180" w:rsidRPr="007D3144" w:rsidRDefault="004C7180">
      <w:pPr>
        <w:pStyle w:val="BodyText"/>
        <w:rPr>
          <w:sz w:val="20"/>
        </w:rPr>
      </w:pPr>
    </w:p>
    <w:p w14:paraId="56ECC659" w14:textId="77777777" w:rsidR="004C7180" w:rsidRPr="007D3144" w:rsidRDefault="004C7180">
      <w:pPr>
        <w:pStyle w:val="BodyText"/>
        <w:spacing w:before="1"/>
        <w:rPr>
          <w:sz w:val="26"/>
        </w:rPr>
      </w:pPr>
    </w:p>
    <w:p w14:paraId="54823745" w14:textId="77777777" w:rsidR="004C7180" w:rsidRPr="007D3144" w:rsidRDefault="00CF0754">
      <w:pPr>
        <w:pStyle w:val="Heading1"/>
        <w:spacing w:before="89"/>
        <w:ind w:left="120" w:firstLine="0"/>
      </w:pPr>
      <w:r w:rsidRPr="007D3144">
        <w:t>Order</w:t>
      </w:r>
      <w:r w:rsidRPr="007D3144">
        <w:rPr>
          <w:spacing w:val="-4"/>
        </w:rPr>
        <w:t xml:space="preserve"> </w:t>
      </w:r>
      <w:r w:rsidRPr="007D3144">
        <w:t>Schedule</w:t>
      </w:r>
      <w:r w:rsidRPr="007D3144">
        <w:rPr>
          <w:spacing w:val="-4"/>
        </w:rPr>
        <w:t xml:space="preserve"> </w:t>
      </w:r>
      <w:r w:rsidRPr="007D3144">
        <w:t>5</w:t>
      </w:r>
      <w:r w:rsidRPr="007D3144">
        <w:rPr>
          <w:spacing w:val="-4"/>
        </w:rPr>
        <w:t xml:space="preserve"> </w:t>
      </w:r>
      <w:r w:rsidRPr="007D3144">
        <w:t>(Pricing</w:t>
      </w:r>
      <w:r w:rsidRPr="007D3144">
        <w:rPr>
          <w:spacing w:val="-2"/>
        </w:rPr>
        <w:t xml:space="preserve"> Details)</w:t>
      </w:r>
    </w:p>
    <w:p w14:paraId="228F4456" w14:textId="0CC7A7B5" w:rsidR="004C7180" w:rsidRPr="007D3144" w:rsidRDefault="00CF0754">
      <w:pPr>
        <w:spacing w:before="276" w:line="362" w:lineRule="auto"/>
        <w:ind w:left="120"/>
      </w:pPr>
      <w:r w:rsidRPr="007D3144">
        <w:t>This</w:t>
      </w:r>
      <w:r w:rsidRPr="007D3144">
        <w:rPr>
          <w:spacing w:val="-1"/>
        </w:rPr>
        <w:t xml:space="preserve"> </w:t>
      </w:r>
      <w:r w:rsidRPr="007D3144">
        <w:t>Schedule</w:t>
      </w:r>
      <w:r w:rsidRPr="007D3144">
        <w:rPr>
          <w:spacing w:val="-2"/>
        </w:rPr>
        <w:t xml:space="preserve"> </w:t>
      </w:r>
      <w:r w:rsidRPr="007D3144">
        <w:t>sets</w:t>
      </w:r>
      <w:r w:rsidRPr="007D3144">
        <w:rPr>
          <w:spacing w:val="-4"/>
        </w:rPr>
        <w:t xml:space="preserve"> </w:t>
      </w:r>
      <w:r w:rsidRPr="007D3144">
        <w:t>out</w:t>
      </w:r>
      <w:r w:rsidRPr="007D3144">
        <w:rPr>
          <w:spacing w:val="-5"/>
        </w:rPr>
        <w:t xml:space="preserve"> </w:t>
      </w:r>
      <w:r w:rsidRPr="007D3144">
        <w:t>the</w:t>
      </w:r>
      <w:r w:rsidRPr="007D3144">
        <w:rPr>
          <w:spacing w:val="-2"/>
        </w:rPr>
        <w:t xml:space="preserve"> </w:t>
      </w:r>
      <w:r w:rsidRPr="007D3144">
        <w:t>Charges</w:t>
      </w:r>
      <w:r w:rsidRPr="007D3144">
        <w:rPr>
          <w:spacing w:val="-4"/>
        </w:rPr>
        <w:t xml:space="preserve"> </w:t>
      </w:r>
      <w:r w:rsidRPr="007D3144">
        <w:t>payable</w:t>
      </w:r>
      <w:r w:rsidRPr="007D3144">
        <w:rPr>
          <w:spacing w:val="-4"/>
        </w:rPr>
        <w:t xml:space="preserve"> </w:t>
      </w:r>
      <w:r w:rsidRPr="007D3144">
        <w:t>by</w:t>
      </w:r>
      <w:r w:rsidRPr="007D3144">
        <w:rPr>
          <w:spacing w:val="-4"/>
        </w:rPr>
        <w:t xml:space="preserve"> </w:t>
      </w:r>
      <w:r w:rsidRPr="007D3144">
        <w:t>the</w:t>
      </w:r>
      <w:r w:rsidRPr="007D3144">
        <w:rPr>
          <w:spacing w:val="-2"/>
        </w:rPr>
        <w:t xml:space="preserve"> </w:t>
      </w:r>
      <w:r w:rsidRPr="007D3144">
        <w:t>Buyer</w:t>
      </w:r>
      <w:r w:rsidRPr="007D3144">
        <w:rPr>
          <w:spacing w:val="-5"/>
        </w:rPr>
        <w:t xml:space="preserve"> </w:t>
      </w:r>
      <w:r w:rsidRPr="007D3144">
        <w:t>to</w:t>
      </w:r>
      <w:r w:rsidRPr="007D3144">
        <w:rPr>
          <w:spacing w:val="-4"/>
        </w:rPr>
        <w:t xml:space="preserve"> </w:t>
      </w:r>
      <w:r w:rsidRPr="007D3144">
        <w:t>the</w:t>
      </w:r>
      <w:r w:rsidRPr="007D3144">
        <w:rPr>
          <w:spacing w:val="-4"/>
        </w:rPr>
        <w:t xml:space="preserve"> </w:t>
      </w:r>
      <w:r w:rsidRPr="007D3144">
        <w:t>Supplier</w:t>
      </w:r>
      <w:r w:rsidRPr="007D3144">
        <w:rPr>
          <w:spacing w:val="-3"/>
        </w:rPr>
        <w:t xml:space="preserve"> </w:t>
      </w:r>
      <w:r w:rsidRPr="007D3144">
        <w:t>for</w:t>
      </w:r>
      <w:r w:rsidRPr="007D3144">
        <w:rPr>
          <w:spacing w:val="-3"/>
        </w:rPr>
        <w:t xml:space="preserve"> </w:t>
      </w:r>
      <w:r w:rsidRPr="007D3144">
        <w:t>each</w:t>
      </w:r>
      <w:r w:rsidRPr="007D3144">
        <w:rPr>
          <w:spacing w:val="-4"/>
        </w:rPr>
        <w:t xml:space="preserve"> </w:t>
      </w:r>
      <w:r w:rsidRPr="007D3144">
        <w:t>element of the Services.</w:t>
      </w:r>
      <w:r w:rsidR="00447118">
        <w:t xml:space="preserve"> </w:t>
      </w:r>
      <w:r w:rsidR="00447118" w:rsidRPr="00056CD3">
        <w:rPr>
          <w:highlight w:val="black"/>
        </w:rPr>
        <w:t>Redacted</w:t>
      </w:r>
    </w:p>
    <w:p w14:paraId="6D3D4ACA" w14:textId="77777777" w:rsidR="004C7180" w:rsidRPr="007D3144" w:rsidRDefault="004C7180">
      <w:pPr>
        <w:pStyle w:val="BodyText"/>
        <w:spacing w:before="7"/>
        <w:rPr>
          <w:sz w:val="20"/>
        </w:rPr>
      </w:pPr>
    </w:p>
    <w:p w14:paraId="597832CE" w14:textId="5CA8E92C" w:rsidR="004C7180" w:rsidRPr="007D3144" w:rsidRDefault="00CF0754">
      <w:pPr>
        <w:spacing w:before="11" w:line="249" w:lineRule="auto"/>
        <w:ind w:left="333" w:right="5964" w:hanging="298"/>
        <w:rPr>
          <w:rFonts w:ascii="Segoe UI"/>
          <w:sz w:val="15"/>
        </w:rPr>
      </w:pPr>
      <w:r w:rsidRPr="007D3144">
        <w:br w:type="column"/>
      </w:r>
    </w:p>
    <w:p w14:paraId="7341EEBC" w14:textId="77777777" w:rsidR="004C7180" w:rsidRPr="007D3144" w:rsidRDefault="004C7180">
      <w:pPr>
        <w:spacing w:line="249" w:lineRule="auto"/>
        <w:rPr>
          <w:rFonts w:ascii="Segoe UI"/>
          <w:sz w:val="15"/>
        </w:rPr>
        <w:sectPr w:rsidR="004C7180" w:rsidRPr="007D3144">
          <w:headerReference w:type="default" r:id="rId168"/>
          <w:footerReference w:type="default" r:id="rId169"/>
          <w:type w:val="continuous"/>
          <w:pgSz w:w="11910" w:h="16840"/>
          <w:pgMar w:top="1140" w:right="1320" w:bottom="280" w:left="1320" w:header="449" w:footer="1002" w:gutter="0"/>
          <w:cols w:num="2" w:space="720" w:equalWidth="0">
            <w:col w:w="1177" w:space="40"/>
            <w:col w:w="8053"/>
          </w:cols>
        </w:sectPr>
      </w:pPr>
    </w:p>
    <w:p w14:paraId="0E911733" w14:textId="77777777" w:rsidR="00113290" w:rsidRPr="007D3144" w:rsidRDefault="00113290" w:rsidP="00E63A92">
      <w:pPr>
        <w:pStyle w:val="BodyText"/>
        <w:spacing w:before="2"/>
      </w:pPr>
    </w:p>
    <w:sectPr w:rsidR="00113290" w:rsidRPr="007D3144">
      <w:headerReference w:type="default" r:id="rId170"/>
      <w:footerReference w:type="default" r:id="rId171"/>
      <w:pgSz w:w="16840" w:h="11910" w:orient="landscape"/>
      <w:pgMar w:top="1340" w:right="1320" w:bottom="280" w:left="13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756683" w14:textId="77777777" w:rsidR="00706ECC" w:rsidRDefault="00706ECC">
      <w:r>
        <w:separator/>
      </w:r>
    </w:p>
  </w:endnote>
  <w:endnote w:type="continuationSeparator" w:id="0">
    <w:p w14:paraId="2CFAF16A" w14:textId="77777777" w:rsidR="00706ECC" w:rsidRDefault="00706ECC">
      <w:r>
        <w:continuationSeparator/>
      </w:r>
    </w:p>
  </w:endnote>
  <w:endnote w:type="continuationNotice" w:id="1">
    <w:p w14:paraId="19D74A7E" w14:textId="77777777" w:rsidR="00706ECC" w:rsidRDefault="00706E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TZhongsong">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ld">
    <w:panose1 w:val="020B0704020202020204"/>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98307" w14:textId="77777777" w:rsidR="004C7180" w:rsidRDefault="00CF0754">
    <w:pPr>
      <w:pStyle w:val="BodyText"/>
      <w:spacing w:line="14" w:lineRule="auto"/>
      <w:rPr>
        <w:sz w:val="20"/>
      </w:rPr>
    </w:pPr>
    <w:r>
      <w:rPr>
        <w:noProof/>
        <w:lang w:val="en-GB" w:eastAsia="en-GB"/>
      </w:rPr>
      <mc:AlternateContent>
        <mc:Choice Requires="wps">
          <w:drawing>
            <wp:anchor distT="0" distB="0" distL="0" distR="0" simplePos="0" relativeHeight="251658241" behindDoc="1" locked="0" layoutInCell="1" allowOverlap="1" wp14:anchorId="2558F01C" wp14:editId="60003A83">
              <wp:simplePos x="0" y="0"/>
              <wp:positionH relativeFrom="page">
                <wp:posOffset>304800</wp:posOffset>
              </wp:positionH>
              <wp:positionV relativeFrom="page">
                <wp:posOffset>9111233</wp:posOffset>
              </wp:positionV>
              <wp:extent cx="1492885" cy="50736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885" cy="507365"/>
                      </a:xfrm>
                      <a:prstGeom prst="rect">
                        <a:avLst/>
                      </a:prstGeom>
                    </wps:spPr>
                    <wps:txbx>
                      <w:txbxContent>
                        <w:p w14:paraId="7AAEB0E4" w14:textId="77777777" w:rsidR="004C7180" w:rsidRDefault="00CF0754">
                          <w:pPr>
                            <w:spacing w:line="245"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sidR="002760EE">
                            <w:rPr>
                              <w:rFonts w:ascii="Calibri"/>
                              <w:noProof/>
                            </w:rPr>
                            <w:t>2</w:t>
                          </w:r>
                          <w:r>
                            <w:rPr>
                              <w:rFonts w:ascii="Calibri"/>
                            </w:rPr>
                            <w:fldChar w:fldCharType="end"/>
                          </w:r>
                          <w:r>
                            <w:rPr>
                              <w:rFonts w:ascii="Calibri"/>
                              <w:spacing w:val="-4"/>
                            </w:rPr>
                            <w:t xml:space="preserve"> </w:t>
                          </w:r>
                          <w:r>
                            <w:rPr>
                              <w:rFonts w:ascii="Calibri"/>
                            </w:rPr>
                            <w:t>Crown</w:t>
                          </w:r>
                          <w:r>
                            <w:rPr>
                              <w:rFonts w:ascii="Calibri"/>
                              <w:spacing w:val="-4"/>
                            </w:rPr>
                            <w:t xml:space="preserve"> </w:t>
                          </w:r>
                          <w:r>
                            <w:rPr>
                              <w:rFonts w:ascii="Calibri"/>
                            </w:rPr>
                            <w:t>Copyright</w:t>
                          </w:r>
                          <w:r>
                            <w:rPr>
                              <w:rFonts w:ascii="Calibri"/>
                              <w:spacing w:val="-6"/>
                            </w:rPr>
                            <w:t xml:space="preserve"> </w:t>
                          </w:r>
                          <w:r>
                            <w:rPr>
                              <w:rFonts w:ascii="Calibri"/>
                              <w:spacing w:val="-4"/>
                            </w:rPr>
                            <w:t>2022</w:t>
                          </w:r>
                        </w:p>
                        <w:p w14:paraId="1AC50887" w14:textId="77777777" w:rsidR="004C7180" w:rsidRDefault="00CF0754">
                          <w:pPr>
                            <w:ind w:left="60"/>
                            <w:rPr>
                              <w:rFonts w:ascii="Calibri"/>
                            </w:rPr>
                          </w:pPr>
                          <w:r>
                            <w:rPr>
                              <w:rFonts w:ascii="Calibri"/>
                            </w:rPr>
                            <w:t>Project</w:t>
                          </w:r>
                          <w:r>
                            <w:rPr>
                              <w:rFonts w:ascii="Calibri"/>
                              <w:spacing w:val="-9"/>
                            </w:rPr>
                            <w:t xml:space="preserve"> </w:t>
                          </w:r>
                          <w:r>
                            <w:rPr>
                              <w:rFonts w:ascii="Calibri"/>
                            </w:rPr>
                            <w:t>version:</w:t>
                          </w:r>
                          <w:r>
                            <w:rPr>
                              <w:rFonts w:ascii="Calibri"/>
                              <w:spacing w:val="-6"/>
                            </w:rPr>
                            <w:t xml:space="preserve"> </w:t>
                          </w:r>
                          <w:r>
                            <w:rPr>
                              <w:rFonts w:ascii="Calibri"/>
                              <w:spacing w:val="-5"/>
                            </w:rPr>
                            <w:t>1.0</w:t>
                          </w:r>
                        </w:p>
                        <w:p w14:paraId="13E4D386" w14:textId="77777777" w:rsidR="004C7180" w:rsidRDefault="00CF0754">
                          <w:pPr>
                            <w:ind w:left="60"/>
                            <w:rPr>
                              <w:rFonts w:ascii="Calibri"/>
                            </w:rPr>
                          </w:pPr>
                          <w:r>
                            <w:rPr>
                              <w:rFonts w:ascii="Calibri"/>
                            </w:rPr>
                            <w:t>Model</w:t>
                          </w:r>
                          <w:r>
                            <w:rPr>
                              <w:rFonts w:ascii="Calibri"/>
                              <w:spacing w:val="-5"/>
                            </w:rPr>
                            <w:t xml:space="preserve"> </w:t>
                          </w:r>
                          <w:r>
                            <w:rPr>
                              <w:rFonts w:ascii="Calibri"/>
                            </w:rPr>
                            <w:t>version:</w:t>
                          </w:r>
                          <w:r>
                            <w:rPr>
                              <w:rFonts w:ascii="Calibri"/>
                              <w:spacing w:val="-4"/>
                            </w:rPr>
                            <w:t xml:space="preserve"> </w:t>
                          </w:r>
                          <w:r>
                            <w:rPr>
                              <w:rFonts w:ascii="Calibri"/>
                              <w:spacing w:val="-2"/>
                            </w:rPr>
                            <w:t>1.0.3</w:t>
                          </w:r>
                        </w:p>
                      </w:txbxContent>
                    </wps:txbx>
                    <wps:bodyPr wrap="square" lIns="0" tIns="0" rIns="0" bIns="0" rtlCol="0">
                      <a:noAutofit/>
                    </wps:bodyPr>
                  </wps:wsp>
                </a:graphicData>
              </a:graphic>
            </wp:anchor>
          </w:drawing>
        </mc:Choice>
        <mc:Fallback>
          <w:pict>
            <v:shapetype w14:anchorId="2558F01C" id="_x0000_t202" coordsize="21600,21600" o:spt="202" path="m,l,21600r21600,l21600,xe">
              <v:stroke joinstyle="miter"/>
              <v:path gradientshapeok="t" o:connecttype="rect"/>
            </v:shapetype>
            <v:shape id="Text Box 3" o:spid="_x0000_s1055" type="#_x0000_t202" style="position:absolute;margin-left:24pt;margin-top:717.4pt;width:117.55pt;height:39.95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" filled="f" stroked="f">
              <v:textbox inset="0,0,0,0">
                <w:txbxContent>
                  <w:p w14:paraId="7AAEB0E4" w14:textId="77777777" w:rsidR="004C7180" w:rsidRDefault="00CF0754">
                    <w:pPr>
                      <w:spacing w:line="245"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sidR="002760EE">
                      <w:rPr>
                        <w:rFonts w:ascii="Calibri"/>
                        <w:noProof/>
                      </w:rPr>
                      <w:t>2</w:t>
                    </w:r>
                    <w:r>
                      <w:rPr>
                        <w:rFonts w:ascii="Calibri"/>
                      </w:rPr>
                      <w:fldChar w:fldCharType="end"/>
                    </w:r>
                    <w:r>
                      <w:rPr>
                        <w:rFonts w:ascii="Calibri"/>
                        <w:spacing w:val="-4"/>
                      </w:rPr>
                      <w:t xml:space="preserve"> </w:t>
                    </w:r>
                    <w:r>
                      <w:rPr>
                        <w:rFonts w:ascii="Calibri"/>
                      </w:rPr>
                      <w:t>Crown</w:t>
                    </w:r>
                    <w:r>
                      <w:rPr>
                        <w:rFonts w:ascii="Calibri"/>
                        <w:spacing w:val="-4"/>
                      </w:rPr>
                      <w:t xml:space="preserve"> </w:t>
                    </w:r>
                    <w:r>
                      <w:rPr>
                        <w:rFonts w:ascii="Calibri"/>
                      </w:rPr>
                      <w:t>Copyright</w:t>
                    </w:r>
                    <w:r>
                      <w:rPr>
                        <w:rFonts w:ascii="Calibri"/>
                        <w:spacing w:val="-6"/>
                      </w:rPr>
                      <w:t xml:space="preserve"> </w:t>
                    </w:r>
                    <w:r>
                      <w:rPr>
                        <w:rFonts w:ascii="Calibri"/>
                        <w:spacing w:val="-4"/>
                      </w:rPr>
                      <w:t>2022</w:t>
                    </w:r>
                  </w:p>
                  <w:p w14:paraId="1AC50887" w14:textId="77777777" w:rsidR="004C7180" w:rsidRDefault="00CF0754">
                    <w:pPr>
                      <w:ind w:left="60"/>
                      <w:rPr>
                        <w:rFonts w:ascii="Calibri"/>
                      </w:rPr>
                    </w:pPr>
                    <w:r>
                      <w:rPr>
                        <w:rFonts w:ascii="Calibri"/>
                      </w:rPr>
                      <w:t>Project</w:t>
                    </w:r>
                    <w:r>
                      <w:rPr>
                        <w:rFonts w:ascii="Calibri"/>
                        <w:spacing w:val="-9"/>
                      </w:rPr>
                      <w:t xml:space="preserve"> </w:t>
                    </w:r>
                    <w:r>
                      <w:rPr>
                        <w:rFonts w:ascii="Calibri"/>
                      </w:rPr>
                      <w:t>version:</w:t>
                    </w:r>
                    <w:r>
                      <w:rPr>
                        <w:rFonts w:ascii="Calibri"/>
                        <w:spacing w:val="-6"/>
                      </w:rPr>
                      <w:t xml:space="preserve"> </w:t>
                    </w:r>
                    <w:r>
                      <w:rPr>
                        <w:rFonts w:ascii="Calibri"/>
                        <w:spacing w:val="-5"/>
                      </w:rPr>
                      <w:t>1.0</w:t>
                    </w:r>
                  </w:p>
                  <w:p w14:paraId="13E4D386" w14:textId="77777777" w:rsidR="004C7180" w:rsidRDefault="00CF0754">
                    <w:pPr>
                      <w:ind w:left="60"/>
                      <w:rPr>
                        <w:rFonts w:ascii="Calibri"/>
                      </w:rPr>
                    </w:pPr>
                    <w:r>
                      <w:rPr>
                        <w:rFonts w:ascii="Calibri"/>
                      </w:rPr>
                      <w:t>Model</w:t>
                    </w:r>
                    <w:r>
                      <w:rPr>
                        <w:rFonts w:ascii="Calibri"/>
                        <w:spacing w:val="-5"/>
                      </w:rPr>
                      <w:t xml:space="preserve"> </w:t>
                    </w:r>
                    <w:r>
                      <w:rPr>
                        <w:rFonts w:ascii="Calibri"/>
                      </w:rPr>
                      <w:t>version:</w:t>
                    </w:r>
                    <w:r>
                      <w:rPr>
                        <w:rFonts w:ascii="Calibri"/>
                        <w:spacing w:val="-4"/>
                      </w:rPr>
                      <w:t xml:space="preserve"> </w:t>
                    </w:r>
                    <w:r>
                      <w:rPr>
                        <w:rFonts w:ascii="Calibri"/>
                        <w:spacing w:val="-2"/>
                      </w:rPr>
                      <w:t>1.0.3</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5B30E" w14:textId="77777777" w:rsidR="004C7180" w:rsidRDefault="00CF0754">
    <w:pPr>
      <w:pStyle w:val="BodyText"/>
      <w:spacing w:line="14" w:lineRule="auto"/>
      <w:rPr>
        <w:sz w:val="20"/>
      </w:rPr>
    </w:pPr>
    <w:r>
      <w:rPr>
        <w:noProof/>
        <w:lang w:val="en-GB" w:eastAsia="en-GB"/>
      </w:rPr>
      <mc:AlternateContent>
        <mc:Choice Requires="wps">
          <w:drawing>
            <wp:anchor distT="0" distB="0" distL="0" distR="0" simplePos="0" relativeHeight="251658267" behindDoc="1" locked="0" layoutInCell="1" allowOverlap="1" wp14:anchorId="09E977A7" wp14:editId="5CA00015">
              <wp:simplePos x="0" y="0"/>
              <wp:positionH relativeFrom="page">
                <wp:posOffset>902004</wp:posOffset>
              </wp:positionH>
              <wp:positionV relativeFrom="page">
                <wp:posOffset>9796773</wp:posOffset>
              </wp:positionV>
              <wp:extent cx="1195705" cy="459740"/>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5705" cy="459740"/>
                      </a:xfrm>
                      <a:prstGeom prst="rect">
                        <a:avLst/>
                      </a:prstGeom>
                    </wps:spPr>
                    <wps:txbx>
                      <w:txbxContent>
                        <w:p w14:paraId="69EC4E84" w14:textId="77777777" w:rsidR="004C7180" w:rsidRDefault="00CF0754">
                          <w:pPr>
                            <w:spacing w:before="12"/>
                            <w:ind w:left="20"/>
                            <w:rPr>
                              <w:sz w:val="20"/>
                            </w:rPr>
                          </w:pPr>
                          <w:r>
                            <w:rPr>
                              <w:sz w:val="20"/>
                            </w:rPr>
                            <w:t>DPS</w:t>
                          </w:r>
                          <w:r>
                            <w:rPr>
                              <w:spacing w:val="-4"/>
                              <w:sz w:val="20"/>
                            </w:rPr>
                            <w:t xml:space="preserve"> </w:t>
                          </w:r>
                          <w:r>
                            <w:rPr>
                              <w:sz w:val="20"/>
                            </w:rPr>
                            <w:t>Ref:</w:t>
                          </w:r>
                          <w:r>
                            <w:rPr>
                              <w:spacing w:val="-3"/>
                              <w:sz w:val="20"/>
                            </w:rPr>
                            <w:t xml:space="preserve"> </w:t>
                          </w:r>
                          <w:r>
                            <w:rPr>
                              <w:spacing w:val="-2"/>
                              <w:sz w:val="20"/>
                            </w:rPr>
                            <w:t>RM6322</w:t>
                          </w:r>
                        </w:p>
                        <w:p w14:paraId="298D10BF" w14:textId="77777777" w:rsidR="004C7180" w:rsidRDefault="00CF0754">
                          <w:pPr>
                            <w:spacing w:before="1"/>
                            <w:ind w:left="20"/>
                            <w:rPr>
                              <w:sz w:val="20"/>
                            </w:rPr>
                          </w:pPr>
                          <w:r>
                            <w:rPr>
                              <w:sz w:val="20"/>
                            </w:rPr>
                            <w:t>Project</w:t>
                          </w:r>
                          <w:r>
                            <w:rPr>
                              <w:spacing w:val="-14"/>
                              <w:sz w:val="20"/>
                            </w:rPr>
                            <w:t xml:space="preserve"> </w:t>
                          </w:r>
                          <w:r>
                            <w:rPr>
                              <w:sz w:val="20"/>
                            </w:rPr>
                            <w:t>Version:</w:t>
                          </w:r>
                          <w:r>
                            <w:rPr>
                              <w:spacing w:val="-14"/>
                              <w:sz w:val="20"/>
                            </w:rPr>
                            <w:t xml:space="preserve"> </w:t>
                          </w:r>
                          <w:r>
                            <w:rPr>
                              <w:sz w:val="20"/>
                            </w:rPr>
                            <w:t>v1.0 Model Version: v1.0</w:t>
                          </w:r>
                        </w:p>
                      </w:txbxContent>
                    </wps:txbx>
                    <wps:bodyPr wrap="square" lIns="0" tIns="0" rIns="0" bIns="0" rtlCol="0">
                      <a:noAutofit/>
                    </wps:bodyPr>
                  </wps:wsp>
                </a:graphicData>
              </a:graphic>
            </wp:anchor>
          </w:drawing>
        </mc:Choice>
        <mc:Fallback>
          <w:pict>
            <v:shapetype w14:anchorId="09E977A7" id="_x0000_t202" coordsize="21600,21600" o:spt="202" path="m,l,21600r21600,l21600,xe">
              <v:stroke joinstyle="miter"/>
              <v:path gradientshapeok="t" o:connecttype="rect"/>
            </v:shapetype>
            <v:shape id="Text Box 41" o:spid="_x0000_s1081" type="#_x0000_t202" style="position:absolute;margin-left:71pt;margin-top:771.4pt;width:94.15pt;height:36.2pt;z-index:-25165821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" filled="f" stroked="f">
              <v:textbox inset="0,0,0,0">
                <w:txbxContent>
                  <w:p w14:paraId="69EC4E84" w14:textId="77777777" w:rsidR="004C7180" w:rsidRDefault="00CF0754">
                    <w:pPr>
                      <w:spacing w:before="12"/>
                      <w:ind w:left="20"/>
                      <w:rPr>
                        <w:sz w:val="20"/>
                      </w:rPr>
                    </w:pPr>
                    <w:r>
                      <w:rPr>
                        <w:sz w:val="20"/>
                      </w:rPr>
                      <w:t>DPS</w:t>
                    </w:r>
                    <w:r>
                      <w:rPr>
                        <w:spacing w:val="-4"/>
                        <w:sz w:val="20"/>
                      </w:rPr>
                      <w:t xml:space="preserve"> </w:t>
                    </w:r>
                    <w:r>
                      <w:rPr>
                        <w:sz w:val="20"/>
                      </w:rPr>
                      <w:t>Ref:</w:t>
                    </w:r>
                    <w:r>
                      <w:rPr>
                        <w:spacing w:val="-3"/>
                        <w:sz w:val="20"/>
                      </w:rPr>
                      <w:t xml:space="preserve"> </w:t>
                    </w:r>
                    <w:r>
                      <w:rPr>
                        <w:spacing w:val="-2"/>
                        <w:sz w:val="20"/>
                      </w:rPr>
                      <w:t>RM6322</w:t>
                    </w:r>
                  </w:p>
                  <w:p w14:paraId="298D10BF" w14:textId="77777777" w:rsidR="004C7180" w:rsidRDefault="00CF0754">
                    <w:pPr>
                      <w:spacing w:before="1"/>
                      <w:ind w:left="20"/>
                      <w:rPr>
                        <w:sz w:val="20"/>
                      </w:rPr>
                    </w:pPr>
                    <w:r>
                      <w:rPr>
                        <w:sz w:val="20"/>
                      </w:rPr>
                      <w:t>Project</w:t>
                    </w:r>
                    <w:r>
                      <w:rPr>
                        <w:spacing w:val="-14"/>
                        <w:sz w:val="20"/>
                      </w:rPr>
                      <w:t xml:space="preserve"> </w:t>
                    </w:r>
                    <w:r>
                      <w:rPr>
                        <w:sz w:val="20"/>
                      </w:rPr>
                      <w:t>Version:</w:t>
                    </w:r>
                    <w:r>
                      <w:rPr>
                        <w:spacing w:val="-14"/>
                        <w:sz w:val="20"/>
                      </w:rPr>
                      <w:t xml:space="preserve"> </w:t>
                    </w:r>
                    <w:r>
                      <w:rPr>
                        <w:sz w:val="20"/>
                      </w:rPr>
                      <w:t>v1.0 Model Version: v1.0</w:t>
                    </w:r>
                  </w:p>
                </w:txbxContent>
              </v:textbox>
              <w10:wrap anchorx="page" anchory="page"/>
            </v:shape>
          </w:pict>
        </mc:Fallback>
      </mc:AlternateContent>
    </w:r>
    <w:r>
      <w:rPr>
        <w:noProof/>
        <w:lang w:val="en-GB" w:eastAsia="en-GB"/>
      </w:rPr>
      <mc:AlternateContent>
        <mc:Choice Requires="wps">
          <w:drawing>
            <wp:anchor distT="0" distB="0" distL="0" distR="0" simplePos="0" relativeHeight="251658268" behindDoc="1" locked="0" layoutInCell="1" allowOverlap="1" wp14:anchorId="01300B3C" wp14:editId="2B2BBBF7">
              <wp:simplePos x="0" y="0"/>
              <wp:positionH relativeFrom="page">
                <wp:posOffset>6563106</wp:posOffset>
              </wp:positionH>
              <wp:positionV relativeFrom="page">
                <wp:posOffset>9943076</wp:posOffset>
              </wp:positionV>
              <wp:extent cx="95885" cy="167005"/>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885" cy="167005"/>
                      </a:xfrm>
                      <a:prstGeom prst="rect">
                        <a:avLst/>
                      </a:prstGeom>
                    </wps:spPr>
                    <wps:txbx>
                      <w:txbxContent>
                        <w:p w14:paraId="5180B7DA" w14:textId="77777777" w:rsidR="004C7180" w:rsidRDefault="00CF0754">
                          <w:pPr>
                            <w:spacing w:before="12"/>
                            <w:ind w:left="20"/>
                            <w:rPr>
                              <w:sz w:val="20"/>
                            </w:rPr>
                          </w:pPr>
                          <w:r>
                            <w:rPr>
                              <w:w w:val="99"/>
                              <w:sz w:val="20"/>
                            </w:rPr>
                            <w:t>1</w:t>
                          </w:r>
                        </w:p>
                      </w:txbxContent>
                    </wps:txbx>
                    <wps:bodyPr wrap="square" lIns="0" tIns="0" rIns="0" bIns="0" rtlCol="0">
                      <a:noAutofit/>
                    </wps:bodyPr>
                  </wps:wsp>
                </a:graphicData>
              </a:graphic>
            </wp:anchor>
          </w:drawing>
        </mc:Choice>
        <mc:Fallback>
          <w:pict>
            <v:shape w14:anchorId="01300B3C" id="Text Box 42" o:spid="_x0000_s1082" type="#_x0000_t202" style="position:absolute;margin-left:516.8pt;margin-top:782.9pt;width:7.55pt;height:13.15pt;z-index:-2516582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" filled="f" stroked="f">
              <v:textbox inset="0,0,0,0">
                <w:txbxContent>
                  <w:p w14:paraId="5180B7DA" w14:textId="77777777" w:rsidR="004C7180" w:rsidRDefault="00CF0754">
                    <w:pPr>
                      <w:spacing w:before="12"/>
                      <w:ind w:left="20"/>
                      <w:rPr>
                        <w:sz w:val="20"/>
                      </w:rPr>
                    </w:pPr>
                    <w:r>
                      <w:rPr>
                        <w:w w:val="99"/>
                        <w:sz w:val="20"/>
                      </w:rPr>
                      <w:t>1</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7906A" w14:textId="77777777" w:rsidR="004C7180" w:rsidRDefault="00CF0754">
    <w:pPr>
      <w:pStyle w:val="BodyText"/>
      <w:spacing w:line="14" w:lineRule="auto"/>
      <w:rPr>
        <w:sz w:val="20"/>
      </w:rPr>
    </w:pPr>
    <w:r>
      <w:rPr>
        <w:noProof/>
        <w:lang w:val="en-GB" w:eastAsia="en-GB"/>
      </w:rPr>
      <mc:AlternateContent>
        <mc:Choice Requires="wps">
          <w:drawing>
            <wp:anchor distT="0" distB="0" distL="0" distR="0" simplePos="0" relativeHeight="251658270" behindDoc="1" locked="0" layoutInCell="1" allowOverlap="1" wp14:anchorId="65AA78C8" wp14:editId="57E88D90">
              <wp:simplePos x="0" y="0"/>
              <wp:positionH relativeFrom="page">
                <wp:posOffset>901655</wp:posOffset>
              </wp:positionH>
              <wp:positionV relativeFrom="page">
                <wp:posOffset>9603516</wp:posOffset>
              </wp:positionV>
              <wp:extent cx="1161415" cy="323850"/>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1415" cy="323850"/>
                      </a:xfrm>
                      <a:prstGeom prst="rect">
                        <a:avLst/>
                      </a:prstGeom>
                    </wps:spPr>
                    <wps:txbx>
                      <w:txbxContent>
                        <w:p w14:paraId="4EDC159A" w14:textId="77777777" w:rsidR="004C7180" w:rsidRDefault="00CF0754">
                          <w:pPr>
                            <w:spacing w:before="12"/>
                            <w:ind w:left="20"/>
                            <w:rPr>
                              <w:sz w:val="20"/>
                            </w:rPr>
                          </w:pPr>
                          <w:r>
                            <w:rPr>
                              <w:sz w:val="20"/>
                            </w:rPr>
                            <w:t>DPS</w:t>
                          </w:r>
                          <w:r>
                            <w:rPr>
                              <w:spacing w:val="-5"/>
                              <w:sz w:val="20"/>
                            </w:rPr>
                            <w:t xml:space="preserve"> </w:t>
                          </w:r>
                          <w:r>
                            <w:rPr>
                              <w:sz w:val="20"/>
                            </w:rPr>
                            <w:t>Ref:</w:t>
                          </w:r>
                          <w:r>
                            <w:rPr>
                              <w:spacing w:val="-4"/>
                              <w:sz w:val="20"/>
                            </w:rPr>
                            <w:t xml:space="preserve"> </w:t>
                          </w:r>
                          <w:r>
                            <w:rPr>
                              <w:spacing w:val="-2"/>
                              <w:sz w:val="20"/>
                            </w:rPr>
                            <w:t>RM6322</w:t>
                          </w:r>
                        </w:p>
                        <w:p w14:paraId="6C358D82" w14:textId="77777777" w:rsidR="004C7180" w:rsidRDefault="00CF0754">
                          <w:pPr>
                            <w:spacing w:before="18"/>
                            <w:ind w:left="20"/>
                            <w:rPr>
                              <w:sz w:val="20"/>
                            </w:rPr>
                          </w:pPr>
                          <w:r>
                            <w:rPr>
                              <w:sz w:val="20"/>
                            </w:rPr>
                            <w:t>Project</w:t>
                          </w:r>
                          <w:r>
                            <w:rPr>
                              <w:spacing w:val="-9"/>
                              <w:sz w:val="20"/>
                            </w:rPr>
                            <w:t xml:space="preserve"> </w:t>
                          </w:r>
                          <w:r>
                            <w:rPr>
                              <w:spacing w:val="-2"/>
                              <w:sz w:val="20"/>
                            </w:rPr>
                            <w:t>Version:v1.0</w:t>
                          </w:r>
                        </w:p>
                      </w:txbxContent>
                    </wps:txbx>
                    <wps:bodyPr wrap="square" lIns="0" tIns="0" rIns="0" bIns="0" rtlCol="0">
                      <a:noAutofit/>
                    </wps:bodyPr>
                  </wps:wsp>
                </a:graphicData>
              </a:graphic>
            </wp:anchor>
          </w:drawing>
        </mc:Choice>
        <mc:Fallback>
          <w:pict>
            <v:shapetype w14:anchorId="65AA78C8" id="_x0000_t202" coordsize="21600,21600" o:spt="202" path="m,l,21600r21600,l21600,xe">
              <v:stroke joinstyle="miter"/>
              <v:path gradientshapeok="t" o:connecttype="rect"/>
            </v:shapetype>
            <v:shape id="Text Box 44" o:spid="_x0000_s1084" type="#_x0000_t202" style="position:absolute;margin-left:71pt;margin-top:756.2pt;width:91.45pt;height:25.5pt;z-index:-25165821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" filled="f" stroked="f">
              <v:textbox inset="0,0,0,0">
                <w:txbxContent>
                  <w:p w14:paraId="4EDC159A" w14:textId="77777777" w:rsidR="004C7180" w:rsidRDefault="00CF0754">
                    <w:pPr>
                      <w:spacing w:before="12"/>
                      <w:ind w:left="20"/>
                      <w:rPr>
                        <w:sz w:val="20"/>
                      </w:rPr>
                    </w:pPr>
                    <w:r>
                      <w:rPr>
                        <w:sz w:val="20"/>
                      </w:rPr>
                      <w:t>DPS</w:t>
                    </w:r>
                    <w:r>
                      <w:rPr>
                        <w:spacing w:val="-5"/>
                        <w:sz w:val="20"/>
                      </w:rPr>
                      <w:t xml:space="preserve"> </w:t>
                    </w:r>
                    <w:r>
                      <w:rPr>
                        <w:sz w:val="20"/>
                      </w:rPr>
                      <w:t>Ref:</w:t>
                    </w:r>
                    <w:r>
                      <w:rPr>
                        <w:spacing w:val="-4"/>
                        <w:sz w:val="20"/>
                      </w:rPr>
                      <w:t xml:space="preserve"> </w:t>
                    </w:r>
                    <w:r>
                      <w:rPr>
                        <w:spacing w:val="-2"/>
                        <w:sz w:val="20"/>
                      </w:rPr>
                      <w:t>RM6322</w:t>
                    </w:r>
                  </w:p>
                  <w:p w14:paraId="6C358D82" w14:textId="77777777" w:rsidR="004C7180" w:rsidRDefault="00CF0754">
                    <w:pPr>
                      <w:spacing w:before="18"/>
                      <w:ind w:left="20"/>
                      <w:rPr>
                        <w:sz w:val="20"/>
                      </w:rPr>
                    </w:pPr>
                    <w:r>
                      <w:rPr>
                        <w:sz w:val="20"/>
                      </w:rPr>
                      <w:t>Project</w:t>
                    </w:r>
                    <w:r>
                      <w:rPr>
                        <w:spacing w:val="-9"/>
                        <w:sz w:val="20"/>
                      </w:rPr>
                      <w:t xml:space="preserve"> </w:t>
                    </w:r>
                    <w:r>
                      <w:rPr>
                        <w:spacing w:val="-2"/>
                        <w:sz w:val="20"/>
                      </w:rPr>
                      <w:t>Version:v1.0</w:t>
                    </w:r>
                  </w:p>
                </w:txbxContent>
              </v:textbox>
              <w10:wrap anchorx="page" anchory="page"/>
            </v:shape>
          </w:pict>
        </mc:Fallback>
      </mc:AlternateContent>
    </w:r>
    <w:r>
      <w:rPr>
        <w:noProof/>
        <w:lang w:val="en-GB" w:eastAsia="en-GB"/>
      </w:rPr>
      <mc:AlternateContent>
        <mc:Choice Requires="wps">
          <w:drawing>
            <wp:anchor distT="0" distB="0" distL="0" distR="0" simplePos="0" relativeHeight="251658271" behindDoc="1" locked="0" layoutInCell="1" allowOverlap="1" wp14:anchorId="0F8B9F4A" wp14:editId="7A6A826A">
              <wp:simplePos x="0" y="0"/>
              <wp:positionH relativeFrom="page">
                <wp:posOffset>3748484</wp:posOffset>
              </wp:positionH>
              <wp:positionV relativeFrom="page">
                <wp:posOffset>9918987</wp:posOffset>
              </wp:positionV>
              <wp:extent cx="95885" cy="167005"/>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885" cy="167005"/>
                      </a:xfrm>
                      <a:prstGeom prst="rect">
                        <a:avLst/>
                      </a:prstGeom>
                    </wps:spPr>
                    <wps:txbx>
                      <w:txbxContent>
                        <w:p w14:paraId="7896059F" w14:textId="77777777" w:rsidR="004C7180" w:rsidRDefault="00CF0754">
                          <w:pPr>
                            <w:spacing w:before="12"/>
                            <w:ind w:left="20"/>
                            <w:rPr>
                              <w:sz w:val="20"/>
                            </w:rPr>
                          </w:pPr>
                          <w:r>
                            <w:rPr>
                              <w:w w:val="99"/>
                              <w:sz w:val="20"/>
                            </w:rPr>
                            <w:t>2</w:t>
                          </w:r>
                        </w:p>
                      </w:txbxContent>
                    </wps:txbx>
                    <wps:bodyPr wrap="square" lIns="0" tIns="0" rIns="0" bIns="0" rtlCol="0">
                      <a:noAutofit/>
                    </wps:bodyPr>
                  </wps:wsp>
                </a:graphicData>
              </a:graphic>
            </wp:anchor>
          </w:drawing>
        </mc:Choice>
        <mc:Fallback>
          <w:pict>
            <v:shape w14:anchorId="0F8B9F4A" id="Text Box 45" o:spid="_x0000_s1085" type="#_x0000_t202" style="position:absolute;margin-left:295.15pt;margin-top:781pt;width:7.55pt;height:13.15pt;z-index:-25165820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" filled="f" stroked="f">
              <v:textbox inset="0,0,0,0">
                <w:txbxContent>
                  <w:p w14:paraId="7896059F" w14:textId="77777777" w:rsidR="004C7180" w:rsidRDefault="00CF0754">
                    <w:pPr>
                      <w:spacing w:before="12"/>
                      <w:ind w:left="20"/>
                      <w:rPr>
                        <w:sz w:val="20"/>
                      </w:rPr>
                    </w:pPr>
                    <w:r>
                      <w:rPr>
                        <w:w w:val="99"/>
                        <w:sz w:val="20"/>
                      </w:rPr>
                      <w:t>2</w:t>
                    </w:r>
                  </w:p>
                </w:txbxContent>
              </v:textbox>
              <w10:wrap anchorx="page" anchory="page"/>
            </v:shape>
          </w:pict>
        </mc:Fallback>
      </mc:AlternateContent>
    </w:r>
    <w:r>
      <w:rPr>
        <w:noProof/>
        <w:lang w:val="en-GB" w:eastAsia="en-GB"/>
      </w:rPr>
      <mc:AlternateContent>
        <mc:Choice Requires="wps">
          <w:drawing>
            <wp:anchor distT="0" distB="0" distL="0" distR="0" simplePos="0" relativeHeight="251658272" behindDoc="1" locked="0" layoutInCell="1" allowOverlap="1" wp14:anchorId="631A26F9" wp14:editId="7D561211">
              <wp:simplePos x="0" y="0"/>
              <wp:positionH relativeFrom="page">
                <wp:posOffset>901655</wp:posOffset>
              </wp:positionH>
              <wp:positionV relativeFrom="page">
                <wp:posOffset>10075964</wp:posOffset>
              </wp:positionV>
              <wp:extent cx="1147445" cy="167005"/>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7445" cy="167005"/>
                      </a:xfrm>
                      <a:prstGeom prst="rect">
                        <a:avLst/>
                      </a:prstGeom>
                    </wps:spPr>
                    <wps:txbx>
                      <w:txbxContent>
                        <w:p w14:paraId="17B8DC6A" w14:textId="77777777" w:rsidR="004C7180" w:rsidRDefault="00CF0754">
                          <w:pPr>
                            <w:spacing w:before="12"/>
                            <w:ind w:left="20"/>
                            <w:rPr>
                              <w:sz w:val="20"/>
                            </w:rPr>
                          </w:pPr>
                          <w:r>
                            <w:rPr>
                              <w:sz w:val="20"/>
                            </w:rPr>
                            <w:t>Model</w:t>
                          </w:r>
                          <w:r>
                            <w:rPr>
                              <w:spacing w:val="-8"/>
                              <w:sz w:val="20"/>
                            </w:rPr>
                            <w:t xml:space="preserve"> </w:t>
                          </w:r>
                          <w:r>
                            <w:rPr>
                              <w:sz w:val="20"/>
                            </w:rPr>
                            <w:t>Version:</w:t>
                          </w:r>
                          <w:r>
                            <w:rPr>
                              <w:spacing w:val="-9"/>
                              <w:sz w:val="20"/>
                            </w:rPr>
                            <w:t xml:space="preserve"> </w:t>
                          </w:r>
                          <w:r>
                            <w:rPr>
                              <w:spacing w:val="-4"/>
                              <w:sz w:val="20"/>
                            </w:rPr>
                            <w:t>v1.0</w:t>
                          </w:r>
                        </w:p>
                      </w:txbxContent>
                    </wps:txbx>
                    <wps:bodyPr wrap="square" lIns="0" tIns="0" rIns="0" bIns="0" rtlCol="0">
                      <a:noAutofit/>
                    </wps:bodyPr>
                  </wps:wsp>
                </a:graphicData>
              </a:graphic>
            </wp:anchor>
          </w:drawing>
        </mc:Choice>
        <mc:Fallback>
          <w:pict>
            <v:shape w14:anchorId="631A26F9" id="Text Box 46" o:spid="_x0000_s1086" type="#_x0000_t202" style="position:absolute;margin-left:71pt;margin-top:793.4pt;width:90.35pt;height:13.15pt;z-index:-25165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" filled="f" stroked="f">
              <v:textbox inset="0,0,0,0">
                <w:txbxContent>
                  <w:p w14:paraId="17B8DC6A" w14:textId="77777777" w:rsidR="004C7180" w:rsidRDefault="00CF0754">
                    <w:pPr>
                      <w:spacing w:before="12"/>
                      <w:ind w:left="20"/>
                      <w:rPr>
                        <w:sz w:val="20"/>
                      </w:rPr>
                    </w:pPr>
                    <w:r>
                      <w:rPr>
                        <w:sz w:val="20"/>
                      </w:rPr>
                      <w:t>Model</w:t>
                    </w:r>
                    <w:r>
                      <w:rPr>
                        <w:spacing w:val="-8"/>
                        <w:sz w:val="20"/>
                      </w:rPr>
                      <w:t xml:space="preserve"> </w:t>
                    </w:r>
                    <w:r>
                      <w:rPr>
                        <w:sz w:val="20"/>
                      </w:rPr>
                      <w:t>Version:</w:t>
                    </w:r>
                    <w:r>
                      <w:rPr>
                        <w:spacing w:val="-9"/>
                        <w:sz w:val="20"/>
                      </w:rPr>
                      <w:t xml:space="preserve"> </w:t>
                    </w:r>
                    <w:r>
                      <w:rPr>
                        <w:spacing w:val="-4"/>
                        <w:sz w:val="20"/>
                      </w:rPr>
                      <w:t>v1.0</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B123D" w14:textId="77777777" w:rsidR="004C7180" w:rsidRDefault="00CF0754">
    <w:pPr>
      <w:pStyle w:val="BodyText"/>
      <w:spacing w:line="14" w:lineRule="auto"/>
      <w:rPr>
        <w:sz w:val="20"/>
      </w:rPr>
    </w:pPr>
    <w:r>
      <w:rPr>
        <w:noProof/>
        <w:lang w:val="en-GB" w:eastAsia="en-GB"/>
      </w:rPr>
      <mc:AlternateContent>
        <mc:Choice Requires="wps">
          <w:drawing>
            <wp:anchor distT="0" distB="0" distL="0" distR="0" simplePos="0" relativeHeight="251658274" behindDoc="1" locked="0" layoutInCell="1" allowOverlap="1" wp14:anchorId="180BFA95" wp14:editId="1E98D377">
              <wp:simplePos x="0" y="0"/>
              <wp:positionH relativeFrom="page">
                <wp:posOffset>676148</wp:posOffset>
              </wp:positionH>
              <wp:positionV relativeFrom="page">
                <wp:posOffset>8896166</wp:posOffset>
              </wp:positionV>
              <wp:extent cx="870585" cy="132080"/>
              <wp:effectExtent l="0" t="0"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0585" cy="132080"/>
                      </a:xfrm>
                      <a:prstGeom prst="rect">
                        <a:avLst/>
                      </a:prstGeom>
                    </wps:spPr>
                    <wps:txbx>
                      <w:txbxContent>
                        <w:p w14:paraId="34E67DAA" w14:textId="77777777" w:rsidR="004C7180" w:rsidRDefault="00CF0754">
                          <w:pPr>
                            <w:spacing w:before="15"/>
                            <w:ind w:left="20"/>
                            <w:rPr>
                              <w:sz w:val="15"/>
                            </w:rPr>
                          </w:pPr>
                          <w:r>
                            <w:rPr>
                              <w:sz w:val="15"/>
                            </w:rPr>
                            <w:t>Model</w:t>
                          </w:r>
                          <w:r>
                            <w:rPr>
                              <w:spacing w:val="-3"/>
                              <w:sz w:val="15"/>
                            </w:rPr>
                            <w:t xml:space="preserve"> </w:t>
                          </w:r>
                          <w:r>
                            <w:rPr>
                              <w:sz w:val="15"/>
                            </w:rPr>
                            <w:t>Version:</w:t>
                          </w:r>
                          <w:r>
                            <w:rPr>
                              <w:spacing w:val="-3"/>
                              <w:sz w:val="15"/>
                            </w:rPr>
                            <w:t xml:space="preserve"> </w:t>
                          </w:r>
                          <w:r>
                            <w:rPr>
                              <w:spacing w:val="-4"/>
                              <w:sz w:val="15"/>
                            </w:rPr>
                            <w:t>v1.3</w:t>
                          </w:r>
                        </w:p>
                      </w:txbxContent>
                    </wps:txbx>
                    <wps:bodyPr wrap="square" lIns="0" tIns="0" rIns="0" bIns="0" rtlCol="0">
                      <a:noAutofit/>
                    </wps:bodyPr>
                  </wps:wsp>
                </a:graphicData>
              </a:graphic>
            </wp:anchor>
          </w:drawing>
        </mc:Choice>
        <mc:Fallback>
          <w:pict>
            <v:shapetype w14:anchorId="180BFA95" id="_x0000_t202" coordsize="21600,21600" o:spt="202" path="m,l,21600r21600,l21600,xe">
              <v:stroke joinstyle="miter"/>
              <v:path gradientshapeok="t" o:connecttype="rect"/>
            </v:shapetype>
            <v:shape id="Text Box 48" o:spid="_x0000_s1088" type="#_x0000_t202" style="position:absolute;margin-left:53.25pt;margin-top:700.5pt;width:68.55pt;height:10.4pt;z-index:-25165820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" filled="f" stroked="f">
              <v:textbox inset="0,0,0,0">
                <w:txbxContent>
                  <w:p w14:paraId="34E67DAA" w14:textId="77777777" w:rsidR="004C7180" w:rsidRDefault="00CF0754">
                    <w:pPr>
                      <w:spacing w:before="15"/>
                      <w:ind w:left="20"/>
                      <w:rPr>
                        <w:sz w:val="15"/>
                      </w:rPr>
                    </w:pPr>
                    <w:r>
                      <w:rPr>
                        <w:sz w:val="15"/>
                      </w:rPr>
                      <w:t>Model</w:t>
                    </w:r>
                    <w:r>
                      <w:rPr>
                        <w:spacing w:val="-3"/>
                        <w:sz w:val="15"/>
                      </w:rPr>
                      <w:t xml:space="preserve"> </w:t>
                    </w:r>
                    <w:r>
                      <w:rPr>
                        <w:sz w:val="15"/>
                      </w:rPr>
                      <w:t>Version:</w:t>
                    </w:r>
                    <w:r>
                      <w:rPr>
                        <w:spacing w:val="-3"/>
                        <w:sz w:val="15"/>
                      </w:rPr>
                      <w:t xml:space="preserve"> </w:t>
                    </w:r>
                    <w:r>
                      <w:rPr>
                        <w:spacing w:val="-4"/>
                        <w:sz w:val="15"/>
                      </w:rPr>
                      <w:t>v1.3</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4DAC5" w14:textId="77777777" w:rsidR="004C7180" w:rsidRDefault="00CF0754">
    <w:pPr>
      <w:pStyle w:val="BodyText"/>
      <w:spacing w:line="14" w:lineRule="auto"/>
      <w:rPr>
        <w:sz w:val="20"/>
      </w:rPr>
    </w:pPr>
    <w:r>
      <w:rPr>
        <w:noProof/>
        <w:lang w:val="en-GB" w:eastAsia="en-GB"/>
      </w:rPr>
      <mc:AlternateContent>
        <mc:Choice Requires="wps">
          <w:drawing>
            <wp:anchor distT="0" distB="0" distL="0" distR="0" simplePos="0" relativeHeight="251658276" behindDoc="1" locked="0" layoutInCell="1" allowOverlap="1" wp14:anchorId="6979E300" wp14:editId="040656FD">
              <wp:simplePos x="0" y="0"/>
              <wp:positionH relativeFrom="page">
                <wp:posOffset>3707003</wp:posOffset>
              </wp:positionH>
              <wp:positionV relativeFrom="page">
                <wp:posOffset>9606482</wp:posOffset>
              </wp:positionV>
              <wp:extent cx="160020" cy="165735"/>
              <wp:effectExtent l="0" t="0" r="0" b="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262F1E6A" w14:textId="77777777" w:rsidR="004C7180" w:rsidRDefault="00CF0754">
                          <w:pPr>
                            <w:spacing w:line="245"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rPr>
                            <w:t>1</w:t>
                          </w:r>
                          <w:r>
                            <w:rPr>
                              <w:rFonts w:ascii="Calibri"/>
                            </w:rPr>
                            <w:fldChar w:fldCharType="end"/>
                          </w:r>
                        </w:p>
                      </w:txbxContent>
                    </wps:txbx>
                    <wps:bodyPr wrap="square" lIns="0" tIns="0" rIns="0" bIns="0" rtlCol="0">
                      <a:noAutofit/>
                    </wps:bodyPr>
                  </wps:wsp>
                </a:graphicData>
              </a:graphic>
            </wp:anchor>
          </w:drawing>
        </mc:Choice>
        <mc:Fallback>
          <w:pict>
            <v:shapetype w14:anchorId="6979E300" id="_x0000_t202" coordsize="21600,21600" o:spt="202" path="m,l,21600r21600,l21600,xe">
              <v:stroke joinstyle="miter"/>
              <v:path gradientshapeok="t" o:connecttype="rect"/>
            </v:shapetype>
            <v:shape id="Text Box 75" o:spid="_x0000_s1090" type="#_x0000_t202" style="position:absolute;margin-left:291.9pt;margin-top:756.4pt;width:12.6pt;height:13.05pt;z-index:-2516582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" filled="f" stroked="f">
              <v:textbox inset="0,0,0,0">
                <w:txbxContent>
                  <w:p w14:paraId="262F1E6A" w14:textId="77777777" w:rsidR="004C7180" w:rsidRDefault="00CF0754">
                    <w:pPr>
                      <w:spacing w:line="245"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rPr>
                      <w:t>1</w:t>
                    </w:r>
                    <w:r>
                      <w:rPr>
                        <w:rFonts w:ascii="Calibri"/>
                      </w:rPr>
                      <w:fldChar w:fldCharType="end"/>
                    </w:r>
                  </w:p>
                </w:txbxContent>
              </v:textbox>
              <w10:wrap anchorx="page" anchory="page"/>
            </v:shape>
          </w:pict>
        </mc:Fallback>
      </mc:AlternateContent>
    </w:r>
    <w:r>
      <w:rPr>
        <w:noProof/>
        <w:lang w:val="en-GB" w:eastAsia="en-GB"/>
      </w:rPr>
      <mc:AlternateContent>
        <mc:Choice Requires="wps">
          <w:drawing>
            <wp:anchor distT="0" distB="0" distL="0" distR="0" simplePos="0" relativeHeight="251658277" behindDoc="1" locked="0" layoutInCell="1" allowOverlap="1" wp14:anchorId="0243CF2D" wp14:editId="7E6FABB7">
              <wp:simplePos x="0" y="0"/>
              <wp:positionH relativeFrom="page">
                <wp:posOffset>902004</wp:posOffset>
              </wp:positionH>
              <wp:positionV relativeFrom="page">
                <wp:posOffset>9753876</wp:posOffset>
              </wp:positionV>
              <wp:extent cx="1245870" cy="502920"/>
              <wp:effectExtent l="0" t="0"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5870" cy="502920"/>
                      </a:xfrm>
                      <a:prstGeom prst="rect">
                        <a:avLst/>
                      </a:prstGeom>
                    </wps:spPr>
                    <wps:txbx>
                      <w:txbxContent>
                        <w:p w14:paraId="5ABD0E5D" w14:textId="77777777" w:rsidR="004C7180" w:rsidRDefault="00CF0754">
                          <w:pPr>
                            <w:spacing w:before="13" w:line="252" w:lineRule="exact"/>
                            <w:ind w:left="20"/>
                          </w:pPr>
                          <w:r>
                            <w:t>DPS</w:t>
                          </w:r>
                          <w:r>
                            <w:rPr>
                              <w:spacing w:val="-3"/>
                            </w:rPr>
                            <w:t xml:space="preserve"> </w:t>
                          </w:r>
                          <w:r>
                            <w:t xml:space="preserve">Ref: </w:t>
                          </w:r>
                          <w:r>
                            <w:rPr>
                              <w:spacing w:val="-2"/>
                            </w:rPr>
                            <w:t>RM6322</w:t>
                          </w:r>
                        </w:p>
                        <w:p w14:paraId="21DCD955" w14:textId="77777777" w:rsidR="004C7180" w:rsidRDefault="00CF0754">
                          <w:pPr>
                            <w:spacing w:line="252" w:lineRule="exact"/>
                            <w:ind w:left="20"/>
                          </w:pPr>
                          <w:r>
                            <w:t>Project</w:t>
                          </w:r>
                          <w:r>
                            <w:rPr>
                              <w:spacing w:val="-5"/>
                            </w:rPr>
                            <w:t xml:space="preserve"> </w:t>
                          </w:r>
                          <w:r>
                            <w:t>Version:</w:t>
                          </w:r>
                          <w:r>
                            <w:rPr>
                              <w:spacing w:val="-5"/>
                            </w:rPr>
                            <w:t xml:space="preserve"> 1.0</w:t>
                          </w:r>
                        </w:p>
                        <w:p w14:paraId="308A59A9" w14:textId="77777777" w:rsidR="004C7180" w:rsidRDefault="00CF0754">
                          <w:pPr>
                            <w:spacing w:line="253" w:lineRule="exact"/>
                            <w:ind w:left="20"/>
                          </w:pPr>
                          <w:r>
                            <w:t>Model</w:t>
                          </w:r>
                          <w:r>
                            <w:rPr>
                              <w:spacing w:val="-6"/>
                            </w:rPr>
                            <w:t xml:space="preserve"> </w:t>
                          </w:r>
                          <w:r>
                            <w:t>Version</w:t>
                          </w:r>
                          <w:r>
                            <w:rPr>
                              <w:spacing w:val="-6"/>
                            </w:rPr>
                            <w:t xml:space="preserve"> </w:t>
                          </w:r>
                          <w:r>
                            <w:rPr>
                              <w:spacing w:val="-5"/>
                            </w:rPr>
                            <w:t>1.0</w:t>
                          </w:r>
                        </w:p>
                      </w:txbxContent>
                    </wps:txbx>
                    <wps:bodyPr wrap="square" lIns="0" tIns="0" rIns="0" bIns="0" rtlCol="0">
                      <a:noAutofit/>
                    </wps:bodyPr>
                  </wps:wsp>
                </a:graphicData>
              </a:graphic>
            </wp:anchor>
          </w:drawing>
        </mc:Choice>
        <mc:Fallback>
          <w:pict>
            <v:shape w14:anchorId="0243CF2D" id="Text Box 76" o:spid="_x0000_s1091" type="#_x0000_t202" style="position:absolute;margin-left:71pt;margin-top:768pt;width:98.1pt;height:39.6pt;z-index:-25165820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" filled="f" stroked="f">
              <v:textbox inset="0,0,0,0">
                <w:txbxContent>
                  <w:p w14:paraId="5ABD0E5D" w14:textId="77777777" w:rsidR="004C7180" w:rsidRDefault="00CF0754">
                    <w:pPr>
                      <w:spacing w:before="13" w:line="252" w:lineRule="exact"/>
                      <w:ind w:left="20"/>
                    </w:pPr>
                    <w:r>
                      <w:t>DPS</w:t>
                    </w:r>
                    <w:r>
                      <w:rPr>
                        <w:spacing w:val="-3"/>
                      </w:rPr>
                      <w:t xml:space="preserve"> </w:t>
                    </w:r>
                    <w:r>
                      <w:t xml:space="preserve">Ref: </w:t>
                    </w:r>
                    <w:r>
                      <w:rPr>
                        <w:spacing w:val="-2"/>
                      </w:rPr>
                      <w:t>RM6322</w:t>
                    </w:r>
                  </w:p>
                  <w:p w14:paraId="21DCD955" w14:textId="77777777" w:rsidR="004C7180" w:rsidRDefault="00CF0754">
                    <w:pPr>
                      <w:spacing w:line="252" w:lineRule="exact"/>
                      <w:ind w:left="20"/>
                    </w:pPr>
                    <w:r>
                      <w:t>Project</w:t>
                    </w:r>
                    <w:r>
                      <w:rPr>
                        <w:spacing w:val="-5"/>
                      </w:rPr>
                      <w:t xml:space="preserve"> </w:t>
                    </w:r>
                    <w:r>
                      <w:t>Version:</w:t>
                    </w:r>
                    <w:r>
                      <w:rPr>
                        <w:spacing w:val="-5"/>
                      </w:rPr>
                      <w:t xml:space="preserve"> 1.0</w:t>
                    </w:r>
                  </w:p>
                  <w:p w14:paraId="308A59A9" w14:textId="77777777" w:rsidR="004C7180" w:rsidRDefault="00CF0754">
                    <w:pPr>
                      <w:spacing w:line="253" w:lineRule="exact"/>
                      <w:ind w:left="20"/>
                    </w:pPr>
                    <w:r>
                      <w:t>Model</w:t>
                    </w:r>
                    <w:r>
                      <w:rPr>
                        <w:spacing w:val="-6"/>
                      </w:rPr>
                      <w:t xml:space="preserve"> </w:t>
                    </w:r>
                    <w:r>
                      <w:t>Version</w:t>
                    </w:r>
                    <w:r>
                      <w:rPr>
                        <w:spacing w:val="-6"/>
                      </w:rPr>
                      <w:t xml:space="preserve"> </w:t>
                    </w:r>
                    <w:r>
                      <w:rPr>
                        <w:spacing w:val="-5"/>
                      </w:rPr>
                      <w:t>1.0</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74D49" w14:textId="77777777" w:rsidR="004C7180" w:rsidRDefault="00CF0754">
    <w:pPr>
      <w:pStyle w:val="BodyText"/>
      <w:spacing w:line="14" w:lineRule="auto"/>
      <w:rPr>
        <w:sz w:val="20"/>
      </w:rPr>
    </w:pPr>
    <w:r>
      <w:rPr>
        <w:noProof/>
        <w:lang w:val="en-GB" w:eastAsia="en-GB"/>
      </w:rPr>
      <mc:AlternateContent>
        <mc:Choice Requires="wps">
          <w:drawing>
            <wp:anchor distT="0" distB="0" distL="0" distR="0" simplePos="0" relativeHeight="251658279" behindDoc="1" locked="0" layoutInCell="1" allowOverlap="1" wp14:anchorId="77EB768A" wp14:editId="1F2F903C">
              <wp:simplePos x="0" y="0"/>
              <wp:positionH relativeFrom="page">
                <wp:posOffset>901700</wp:posOffset>
              </wp:positionH>
              <wp:positionV relativeFrom="page">
                <wp:posOffset>9751319</wp:posOffset>
              </wp:positionV>
              <wp:extent cx="1196340" cy="480695"/>
              <wp:effectExtent l="0" t="0" r="0" b="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6340" cy="480695"/>
                      </a:xfrm>
                      <a:prstGeom prst="rect">
                        <a:avLst/>
                      </a:prstGeom>
                    </wps:spPr>
                    <wps:txbx>
                      <w:txbxContent>
                        <w:p w14:paraId="18EC27FE" w14:textId="77777777" w:rsidR="004C7180" w:rsidRDefault="00CF0754">
                          <w:pPr>
                            <w:spacing w:before="12"/>
                            <w:ind w:left="20"/>
                            <w:rPr>
                              <w:sz w:val="20"/>
                            </w:rPr>
                          </w:pPr>
                          <w:r>
                            <w:rPr>
                              <w:sz w:val="20"/>
                            </w:rPr>
                            <w:t>DPS</w:t>
                          </w:r>
                          <w:r>
                            <w:rPr>
                              <w:spacing w:val="-5"/>
                              <w:sz w:val="20"/>
                            </w:rPr>
                            <w:t xml:space="preserve"> </w:t>
                          </w:r>
                          <w:r>
                            <w:rPr>
                              <w:sz w:val="20"/>
                            </w:rPr>
                            <w:t>Ref:</w:t>
                          </w:r>
                          <w:r>
                            <w:rPr>
                              <w:spacing w:val="-4"/>
                              <w:sz w:val="20"/>
                            </w:rPr>
                            <w:t xml:space="preserve"> </w:t>
                          </w:r>
                          <w:r>
                            <w:rPr>
                              <w:spacing w:val="-2"/>
                              <w:sz w:val="20"/>
                            </w:rPr>
                            <w:t>RM6322</w:t>
                          </w:r>
                        </w:p>
                        <w:p w14:paraId="36C70108" w14:textId="77777777" w:rsidR="004C7180" w:rsidRDefault="00CF0754">
                          <w:pPr>
                            <w:spacing w:before="34"/>
                            <w:ind w:left="20"/>
                            <w:rPr>
                              <w:sz w:val="20"/>
                            </w:rPr>
                          </w:pPr>
                          <w:r>
                            <w:rPr>
                              <w:sz w:val="20"/>
                            </w:rPr>
                            <w:t>Project</w:t>
                          </w:r>
                          <w:r>
                            <w:rPr>
                              <w:spacing w:val="-14"/>
                              <w:sz w:val="20"/>
                            </w:rPr>
                            <w:t xml:space="preserve"> </w:t>
                          </w:r>
                          <w:r>
                            <w:rPr>
                              <w:sz w:val="20"/>
                            </w:rPr>
                            <w:t>Version:</w:t>
                          </w:r>
                          <w:r>
                            <w:rPr>
                              <w:spacing w:val="-14"/>
                              <w:sz w:val="20"/>
                            </w:rPr>
                            <w:t xml:space="preserve"> </w:t>
                          </w:r>
                          <w:r>
                            <w:rPr>
                              <w:sz w:val="20"/>
                            </w:rPr>
                            <w:t>v1.0 Model Version: v1.0</w:t>
                          </w:r>
                        </w:p>
                      </w:txbxContent>
                    </wps:txbx>
                    <wps:bodyPr wrap="square" lIns="0" tIns="0" rIns="0" bIns="0" rtlCol="0">
                      <a:noAutofit/>
                    </wps:bodyPr>
                  </wps:wsp>
                </a:graphicData>
              </a:graphic>
            </wp:anchor>
          </w:drawing>
        </mc:Choice>
        <mc:Fallback>
          <w:pict>
            <v:shapetype w14:anchorId="77EB768A" id="_x0000_t202" coordsize="21600,21600" o:spt="202" path="m,l,21600r21600,l21600,xe">
              <v:stroke joinstyle="miter"/>
              <v:path gradientshapeok="t" o:connecttype="rect"/>
            </v:shapetype>
            <v:shape id="Text Box 79" o:spid="_x0000_s1093" type="#_x0000_t202" style="position:absolute;margin-left:71pt;margin-top:767.8pt;width:94.2pt;height:37.85pt;z-index:-25165820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" filled="f" stroked="f">
              <v:textbox inset="0,0,0,0">
                <w:txbxContent>
                  <w:p w14:paraId="18EC27FE" w14:textId="77777777" w:rsidR="004C7180" w:rsidRDefault="00CF0754">
                    <w:pPr>
                      <w:spacing w:before="12"/>
                      <w:ind w:left="20"/>
                      <w:rPr>
                        <w:sz w:val="20"/>
                      </w:rPr>
                    </w:pPr>
                    <w:r>
                      <w:rPr>
                        <w:sz w:val="20"/>
                      </w:rPr>
                      <w:t>DPS</w:t>
                    </w:r>
                    <w:r>
                      <w:rPr>
                        <w:spacing w:val="-5"/>
                        <w:sz w:val="20"/>
                      </w:rPr>
                      <w:t xml:space="preserve"> </w:t>
                    </w:r>
                    <w:r>
                      <w:rPr>
                        <w:sz w:val="20"/>
                      </w:rPr>
                      <w:t>Ref:</w:t>
                    </w:r>
                    <w:r>
                      <w:rPr>
                        <w:spacing w:val="-4"/>
                        <w:sz w:val="20"/>
                      </w:rPr>
                      <w:t xml:space="preserve"> </w:t>
                    </w:r>
                    <w:r>
                      <w:rPr>
                        <w:spacing w:val="-2"/>
                        <w:sz w:val="20"/>
                      </w:rPr>
                      <w:t>RM6322</w:t>
                    </w:r>
                  </w:p>
                  <w:p w14:paraId="36C70108" w14:textId="77777777" w:rsidR="004C7180" w:rsidRDefault="00CF0754">
                    <w:pPr>
                      <w:spacing w:before="34"/>
                      <w:ind w:left="20"/>
                      <w:rPr>
                        <w:sz w:val="20"/>
                      </w:rPr>
                    </w:pPr>
                    <w:r>
                      <w:rPr>
                        <w:sz w:val="20"/>
                      </w:rPr>
                      <w:t>Project</w:t>
                    </w:r>
                    <w:r>
                      <w:rPr>
                        <w:spacing w:val="-14"/>
                        <w:sz w:val="20"/>
                      </w:rPr>
                      <w:t xml:space="preserve"> </w:t>
                    </w:r>
                    <w:r>
                      <w:rPr>
                        <w:sz w:val="20"/>
                      </w:rPr>
                      <w:t>Version:</w:t>
                    </w:r>
                    <w:r>
                      <w:rPr>
                        <w:spacing w:val="-14"/>
                        <w:sz w:val="20"/>
                      </w:rPr>
                      <w:t xml:space="preserve"> </w:t>
                    </w:r>
                    <w:r>
                      <w:rPr>
                        <w:sz w:val="20"/>
                      </w:rPr>
                      <w:t>v1.0 Model Version: v1.0</w:t>
                    </w:r>
                  </w:p>
                </w:txbxContent>
              </v:textbox>
              <w10:wrap anchorx="page" anchory="page"/>
            </v:shape>
          </w:pict>
        </mc:Fallback>
      </mc:AlternateContent>
    </w:r>
    <w:r>
      <w:rPr>
        <w:noProof/>
        <w:lang w:val="en-GB" w:eastAsia="en-GB"/>
      </w:rPr>
      <mc:AlternateContent>
        <mc:Choice Requires="wps">
          <w:drawing>
            <wp:anchor distT="0" distB="0" distL="0" distR="0" simplePos="0" relativeHeight="251658280" behindDoc="1" locked="0" layoutInCell="1" allowOverlap="1" wp14:anchorId="7EBD0A43" wp14:editId="353F9C95">
              <wp:simplePos x="0" y="0"/>
              <wp:positionH relativeFrom="page">
                <wp:posOffset>6536437</wp:posOffset>
              </wp:positionH>
              <wp:positionV relativeFrom="page">
                <wp:posOffset>9918921</wp:posOffset>
              </wp:positionV>
              <wp:extent cx="159385" cy="167005"/>
              <wp:effectExtent l="0" t="0" r="0" b="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67005"/>
                      </a:xfrm>
                      <a:prstGeom prst="rect">
                        <a:avLst/>
                      </a:prstGeom>
                    </wps:spPr>
                    <wps:txbx>
                      <w:txbxContent>
                        <w:p w14:paraId="32A6AEF2" w14:textId="77777777" w:rsidR="004C7180" w:rsidRDefault="00CF0754">
                          <w:pPr>
                            <w:spacing w:before="12"/>
                            <w:ind w:left="60"/>
                            <w:rPr>
                              <w:sz w:val="20"/>
                            </w:rPr>
                          </w:pPr>
                          <w:r>
                            <w:rPr>
                              <w:w w:val="99"/>
                              <w:sz w:val="20"/>
                            </w:rPr>
                            <w:fldChar w:fldCharType="begin"/>
                          </w:r>
                          <w:r>
                            <w:rPr>
                              <w:w w:val="99"/>
                              <w:sz w:val="20"/>
                            </w:rPr>
                            <w:instrText xml:space="preserve"> PAGE </w:instrText>
                          </w:r>
                          <w:r>
                            <w:rPr>
                              <w:w w:val="99"/>
                              <w:sz w:val="20"/>
                            </w:rPr>
                            <w:fldChar w:fldCharType="separate"/>
                          </w:r>
                          <w:r>
                            <w:rPr>
                              <w:w w:val="99"/>
                              <w:sz w:val="20"/>
                            </w:rPr>
                            <w:t>1</w:t>
                          </w:r>
                          <w:r>
                            <w:rPr>
                              <w:w w:val="99"/>
                              <w:sz w:val="20"/>
                            </w:rPr>
                            <w:fldChar w:fldCharType="end"/>
                          </w:r>
                        </w:p>
                      </w:txbxContent>
                    </wps:txbx>
                    <wps:bodyPr wrap="square" lIns="0" tIns="0" rIns="0" bIns="0" rtlCol="0">
                      <a:noAutofit/>
                    </wps:bodyPr>
                  </wps:wsp>
                </a:graphicData>
              </a:graphic>
            </wp:anchor>
          </w:drawing>
        </mc:Choice>
        <mc:Fallback>
          <w:pict>
            <v:shape w14:anchorId="7EBD0A43" id="Text Box 80" o:spid="_x0000_s1094" type="#_x0000_t202" style="position:absolute;margin-left:514.7pt;margin-top:781pt;width:12.55pt;height:13.15pt;z-index:-251658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" filled="f" stroked="f">
              <v:textbox inset="0,0,0,0">
                <w:txbxContent>
                  <w:p w14:paraId="32A6AEF2" w14:textId="77777777" w:rsidR="004C7180" w:rsidRDefault="00CF0754">
                    <w:pPr>
                      <w:spacing w:before="12"/>
                      <w:ind w:left="60"/>
                      <w:rPr>
                        <w:sz w:val="20"/>
                      </w:rPr>
                    </w:pPr>
                    <w:r>
                      <w:rPr>
                        <w:w w:val="99"/>
                        <w:sz w:val="20"/>
                      </w:rPr>
                      <w:fldChar w:fldCharType="begin"/>
                    </w:r>
                    <w:r>
                      <w:rPr>
                        <w:w w:val="99"/>
                        <w:sz w:val="20"/>
                      </w:rPr>
                      <w:instrText xml:space="preserve"> PAGE </w:instrText>
                    </w:r>
                    <w:r>
                      <w:rPr>
                        <w:w w:val="99"/>
                        <w:sz w:val="20"/>
                      </w:rPr>
                      <w:fldChar w:fldCharType="separate"/>
                    </w:r>
                    <w:r>
                      <w:rPr>
                        <w:w w:val="99"/>
                        <w:sz w:val="20"/>
                      </w:rPr>
                      <w:t>1</w:t>
                    </w:r>
                    <w:r>
                      <w:rPr>
                        <w:w w:val="99"/>
                        <w:sz w:val="20"/>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9FC9E" w14:textId="77777777" w:rsidR="004C7180" w:rsidRDefault="00CF0754">
    <w:pPr>
      <w:pStyle w:val="BodyText"/>
      <w:spacing w:line="14" w:lineRule="auto"/>
      <w:rPr>
        <w:sz w:val="20"/>
      </w:rPr>
    </w:pPr>
    <w:r>
      <w:rPr>
        <w:noProof/>
        <w:lang w:val="en-GB" w:eastAsia="en-GB"/>
      </w:rPr>
      <mc:AlternateContent>
        <mc:Choice Requires="wps">
          <w:drawing>
            <wp:anchor distT="0" distB="0" distL="0" distR="0" simplePos="0" relativeHeight="251658282" behindDoc="1" locked="0" layoutInCell="1" allowOverlap="1" wp14:anchorId="77D74AE7" wp14:editId="196187FE">
              <wp:simplePos x="0" y="0"/>
              <wp:positionH relativeFrom="page">
                <wp:posOffset>901700</wp:posOffset>
              </wp:positionH>
              <wp:positionV relativeFrom="page">
                <wp:posOffset>9795601</wp:posOffset>
              </wp:positionV>
              <wp:extent cx="1196340" cy="458470"/>
              <wp:effectExtent l="0" t="0" r="0" b="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6340" cy="458470"/>
                      </a:xfrm>
                      <a:prstGeom prst="rect">
                        <a:avLst/>
                      </a:prstGeom>
                    </wps:spPr>
                    <wps:txbx>
                      <w:txbxContent>
                        <w:p w14:paraId="1070C5A1" w14:textId="77777777" w:rsidR="004C7180" w:rsidRDefault="00CF0754">
                          <w:pPr>
                            <w:spacing w:before="12"/>
                            <w:ind w:left="20"/>
                            <w:rPr>
                              <w:sz w:val="20"/>
                            </w:rPr>
                          </w:pPr>
                          <w:r>
                            <w:rPr>
                              <w:sz w:val="20"/>
                            </w:rPr>
                            <w:t>DPS</w:t>
                          </w:r>
                          <w:r>
                            <w:rPr>
                              <w:spacing w:val="-5"/>
                              <w:sz w:val="20"/>
                            </w:rPr>
                            <w:t xml:space="preserve"> </w:t>
                          </w:r>
                          <w:r>
                            <w:rPr>
                              <w:sz w:val="20"/>
                            </w:rPr>
                            <w:t>Ref:</w:t>
                          </w:r>
                          <w:r>
                            <w:rPr>
                              <w:spacing w:val="-4"/>
                              <w:sz w:val="20"/>
                            </w:rPr>
                            <w:t xml:space="preserve"> </w:t>
                          </w:r>
                          <w:r>
                            <w:rPr>
                              <w:spacing w:val="-2"/>
                              <w:sz w:val="20"/>
                            </w:rPr>
                            <w:t>RM6322</w:t>
                          </w:r>
                        </w:p>
                        <w:p w14:paraId="515A784B" w14:textId="77777777" w:rsidR="004C7180" w:rsidRDefault="00CF0754">
                          <w:pPr>
                            <w:spacing w:before="1"/>
                            <w:ind w:left="20"/>
                            <w:rPr>
                              <w:sz w:val="20"/>
                            </w:rPr>
                          </w:pPr>
                          <w:r>
                            <w:rPr>
                              <w:sz w:val="20"/>
                            </w:rPr>
                            <w:t>Project</w:t>
                          </w:r>
                          <w:r>
                            <w:rPr>
                              <w:spacing w:val="-14"/>
                              <w:sz w:val="20"/>
                            </w:rPr>
                            <w:t xml:space="preserve"> </w:t>
                          </w:r>
                          <w:r>
                            <w:rPr>
                              <w:sz w:val="20"/>
                            </w:rPr>
                            <w:t>Version:</w:t>
                          </w:r>
                          <w:r>
                            <w:rPr>
                              <w:spacing w:val="-14"/>
                              <w:sz w:val="20"/>
                            </w:rPr>
                            <w:t xml:space="preserve"> </w:t>
                          </w:r>
                          <w:r>
                            <w:rPr>
                              <w:sz w:val="20"/>
                            </w:rPr>
                            <w:t>v1.0 Model Version: v3.4</w:t>
                          </w:r>
                        </w:p>
                      </w:txbxContent>
                    </wps:txbx>
                    <wps:bodyPr wrap="square" lIns="0" tIns="0" rIns="0" bIns="0" rtlCol="0">
                      <a:noAutofit/>
                    </wps:bodyPr>
                  </wps:wsp>
                </a:graphicData>
              </a:graphic>
            </wp:anchor>
          </w:drawing>
        </mc:Choice>
        <mc:Fallback>
          <w:pict>
            <v:shapetype w14:anchorId="77D74AE7" id="_x0000_t202" coordsize="21600,21600" o:spt="202" path="m,l,21600r21600,l21600,xe">
              <v:stroke joinstyle="miter"/>
              <v:path gradientshapeok="t" o:connecttype="rect"/>
            </v:shapetype>
            <v:shape id="Text Box 82" o:spid="_x0000_s1096" type="#_x0000_t202" style="position:absolute;margin-left:71pt;margin-top:771.3pt;width:94.2pt;height:36.1pt;z-index:-25165819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" filled="f" stroked="f">
              <v:textbox inset="0,0,0,0">
                <w:txbxContent>
                  <w:p w14:paraId="1070C5A1" w14:textId="77777777" w:rsidR="004C7180" w:rsidRDefault="00CF0754">
                    <w:pPr>
                      <w:spacing w:before="12"/>
                      <w:ind w:left="20"/>
                      <w:rPr>
                        <w:sz w:val="20"/>
                      </w:rPr>
                    </w:pPr>
                    <w:r>
                      <w:rPr>
                        <w:sz w:val="20"/>
                      </w:rPr>
                      <w:t>DPS</w:t>
                    </w:r>
                    <w:r>
                      <w:rPr>
                        <w:spacing w:val="-5"/>
                        <w:sz w:val="20"/>
                      </w:rPr>
                      <w:t xml:space="preserve"> </w:t>
                    </w:r>
                    <w:r>
                      <w:rPr>
                        <w:sz w:val="20"/>
                      </w:rPr>
                      <w:t>Ref:</w:t>
                    </w:r>
                    <w:r>
                      <w:rPr>
                        <w:spacing w:val="-4"/>
                        <w:sz w:val="20"/>
                      </w:rPr>
                      <w:t xml:space="preserve"> </w:t>
                    </w:r>
                    <w:r>
                      <w:rPr>
                        <w:spacing w:val="-2"/>
                        <w:sz w:val="20"/>
                      </w:rPr>
                      <w:t>RM6322</w:t>
                    </w:r>
                  </w:p>
                  <w:p w14:paraId="515A784B" w14:textId="77777777" w:rsidR="004C7180" w:rsidRDefault="00CF0754">
                    <w:pPr>
                      <w:spacing w:before="1"/>
                      <w:ind w:left="20"/>
                      <w:rPr>
                        <w:sz w:val="20"/>
                      </w:rPr>
                    </w:pPr>
                    <w:r>
                      <w:rPr>
                        <w:sz w:val="20"/>
                      </w:rPr>
                      <w:t>Project</w:t>
                    </w:r>
                    <w:r>
                      <w:rPr>
                        <w:spacing w:val="-14"/>
                        <w:sz w:val="20"/>
                      </w:rPr>
                      <w:t xml:space="preserve"> </w:t>
                    </w:r>
                    <w:r>
                      <w:rPr>
                        <w:sz w:val="20"/>
                      </w:rPr>
                      <w:t>Version:</w:t>
                    </w:r>
                    <w:r>
                      <w:rPr>
                        <w:spacing w:val="-14"/>
                        <w:sz w:val="20"/>
                      </w:rPr>
                      <w:t xml:space="preserve"> </w:t>
                    </w:r>
                    <w:r>
                      <w:rPr>
                        <w:sz w:val="20"/>
                      </w:rPr>
                      <w:t>v1.0 Model Version: v3.4</w:t>
                    </w:r>
                  </w:p>
                </w:txbxContent>
              </v:textbox>
              <w10:wrap anchorx="page" anchory="page"/>
            </v:shape>
          </w:pict>
        </mc:Fallback>
      </mc:AlternateContent>
    </w:r>
    <w:r>
      <w:rPr>
        <w:noProof/>
        <w:lang w:val="en-GB" w:eastAsia="en-GB"/>
      </w:rPr>
      <mc:AlternateContent>
        <mc:Choice Requires="wps">
          <w:drawing>
            <wp:anchor distT="0" distB="0" distL="0" distR="0" simplePos="0" relativeHeight="251658283" behindDoc="1" locked="0" layoutInCell="1" allowOverlap="1" wp14:anchorId="4DAAC95B" wp14:editId="2BFB76BC">
              <wp:simplePos x="0" y="0"/>
              <wp:positionH relativeFrom="page">
                <wp:posOffset>6466361</wp:posOffset>
              </wp:positionH>
              <wp:positionV relativeFrom="page">
                <wp:posOffset>9941952</wp:posOffset>
              </wp:positionV>
              <wp:extent cx="229235" cy="167005"/>
              <wp:effectExtent l="0" t="0" r="0" b="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7005"/>
                      </a:xfrm>
                      <a:prstGeom prst="rect">
                        <a:avLst/>
                      </a:prstGeom>
                    </wps:spPr>
                    <wps:txbx>
                      <w:txbxContent>
                        <w:p w14:paraId="3C97E599" w14:textId="77777777" w:rsidR="004C7180" w:rsidRDefault="00CF0754">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wps:txbx>
                    <wps:bodyPr wrap="square" lIns="0" tIns="0" rIns="0" bIns="0" rtlCol="0">
                      <a:noAutofit/>
                    </wps:bodyPr>
                  </wps:wsp>
                </a:graphicData>
              </a:graphic>
            </wp:anchor>
          </w:drawing>
        </mc:Choice>
        <mc:Fallback>
          <w:pict>
            <v:shape w14:anchorId="4DAAC95B" id="Text Box 83" o:spid="_x0000_s1097" type="#_x0000_t202" style="position:absolute;margin-left:509.15pt;margin-top:782.85pt;width:18.05pt;height:13.15pt;z-index:-25165819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" filled="f" stroked="f">
              <v:textbox inset="0,0,0,0">
                <w:txbxContent>
                  <w:p w14:paraId="3C97E599" w14:textId="77777777" w:rsidR="004C7180" w:rsidRDefault="00CF0754">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BA1CD" w14:textId="77777777" w:rsidR="004C7180" w:rsidRDefault="00CF0754">
    <w:pPr>
      <w:pStyle w:val="BodyText"/>
      <w:spacing w:line="14" w:lineRule="auto"/>
      <w:rPr>
        <w:sz w:val="20"/>
      </w:rPr>
    </w:pPr>
    <w:r>
      <w:rPr>
        <w:noProof/>
        <w:lang w:val="en-GB" w:eastAsia="en-GB"/>
      </w:rPr>
      <mc:AlternateContent>
        <mc:Choice Requires="wps">
          <w:drawing>
            <wp:anchor distT="0" distB="0" distL="0" distR="0" simplePos="0" relativeHeight="251658285" behindDoc="1" locked="0" layoutInCell="1" allowOverlap="1" wp14:anchorId="1CB9C6E2" wp14:editId="1E0F8B7E">
              <wp:simplePos x="0" y="0"/>
              <wp:positionH relativeFrom="page">
                <wp:posOffset>901700</wp:posOffset>
              </wp:positionH>
              <wp:positionV relativeFrom="page">
                <wp:posOffset>9795601</wp:posOffset>
              </wp:positionV>
              <wp:extent cx="1196340" cy="458470"/>
              <wp:effectExtent l="0" t="0" r="0" b="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6340" cy="458470"/>
                      </a:xfrm>
                      <a:prstGeom prst="rect">
                        <a:avLst/>
                      </a:prstGeom>
                    </wps:spPr>
                    <wps:txbx>
                      <w:txbxContent>
                        <w:p w14:paraId="6D93439A" w14:textId="77777777" w:rsidR="004C7180" w:rsidRDefault="00CF0754">
                          <w:pPr>
                            <w:spacing w:before="12"/>
                            <w:ind w:left="20"/>
                            <w:rPr>
                              <w:sz w:val="20"/>
                            </w:rPr>
                          </w:pPr>
                          <w:r>
                            <w:rPr>
                              <w:sz w:val="20"/>
                            </w:rPr>
                            <w:t>DPS</w:t>
                          </w:r>
                          <w:r>
                            <w:rPr>
                              <w:spacing w:val="-5"/>
                              <w:sz w:val="20"/>
                            </w:rPr>
                            <w:t xml:space="preserve"> </w:t>
                          </w:r>
                          <w:r>
                            <w:rPr>
                              <w:sz w:val="20"/>
                            </w:rPr>
                            <w:t>Ref:</w:t>
                          </w:r>
                          <w:r>
                            <w:rPr>
                              <w:spacing w:val="-4"/>
                              <w:sz w:val="20"/>
                            </w:rPr>
                            <w:t xml:space="preserve"> </w:t>
                          </w:r>
                          <w:r>
                            <w:rPr>
                              <w:spacing w:val="-2"/>
                              <w:sz w:val="20"/>
                            </w:rPr>
                            <w:t>RM6322</w:t>
                          </w:r>
                        </w:p>
                        <w:p w14:paraId="45955BF0" w14:textId="77777777" w:rsidR="004C7180" w:rsidRDefault="00CF0754">
                          <w:pPr>
                            <w:spacing w:before="1"/>
                            <w:ind w:left="20"/>
                            <w:rPr>
                              <w:sz w:val="20"/>
                            </w:rPr>
                          </w:pPr>
                          <w:r>
                            <w:rPr>
                              <w:sz w:val="20"/>
                            </w:rPr>
                            <w:t>Project</w:t>
                          </w:r>
                          <w:r>
                            <w:rPr>
                              <w:spacing w:val="-14"/>
                              <w:sz w:val="20"/>
                            </w:rPr>
                            <w:t xml:space="preserve"> </w:t>
                          </w:r>
                          <w:r>
                            <w:rPr>
                              <w:sz w:val="20"/>
                            </w:rPr>
                            <w:t>Version:</w:t>
                          </w:r>
                          <w:r>
                            <w:rPr>
                              <w:spacing w:val="-14"/>
                              <w:sz w:val="20"/>
                            </w:rPr>
                            <w:t xml:space="preserve"> </w:t>
                          </w:r>
                          <w:r>
                            <w:rPr>
                              <w:sz w:val="20"/>
                            </w:rPr>
                            <w:t>v1.0 Model Version: v1.0</w:t>
                          </w:r>
                        </w:p>
                      </w:txbxContent>
                    </wps:txbx>
                    <wps:bodyPr wrap="square" lIns="0" tIns="0" rIns="0" bIns="0" rtlCol="0">
                      <a:noAutofit/>
                    </wps:bodyPr>
                  </wps:wsp>
                </a:graphicData>
              </a:graphic>
            </wp:anchor>
          </w:drawing>
        </mc:Choice>
        <mc:Fallback>
          <w:pict>
            <v:shapetype w14:anchorId="1CB9C6E2" id="_x0000_t202" coordsize="21600,21600" o:spt="202" path="m,l,21600r21600,l21600,xe">
              <v:stroke joinstyle="miter"/>
              <v:path gradientshapeok="t" o:connecttype="rect"/>
            </v:shapetype>
            <v:shape id="Text Box 85" o:spid="_x0000_s1099" type="#_x0000_t202" style="position:absolute;margin-left:71pt;margin-top:771.3pt;width:94.2pt;height:36.1pt;z-index:-25165819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" filled="f" stroked="f">
              <v:textbox inset="0,0,0,0">
                <w:txbxContent>
                  <w:p w14:paraId="6D93439A" w14:textId="77777777" w:rsidR="004C7180" w:rsidRDefault="00CF0754">
                    <w:pPr>
                      <w:spacing w:before="12"/>
                      <w:ind w:left="20"/>
                      <w:rPr>
                        <w:sz w:val="20"/>
                      </w:rPr>
                    </w:pPr>
                    <w:r>
                      <w:rPr>
                        <w:sz w:val="20"/>
                      </w:rPr>
                      <w:t>DPS</w:t>
                    </w:r>
                    <w:r>
                      <w:rPr>
                        <w:spacing w:val="-5"/>
                        <w:sz w:val="20"/>
                      </w:rPr>
                      <w:t xml:space="preserve"> </w:t>
                    </w:r>
                    <w:r>
                      <w:rPr>
                        <w:sz w:val="20"/>
                      </w:rPr>
                      <w:t>Ref:</w:t>
                    </w:r>
                    <w:r>
                      <w:rPr>
                        <w:spacing w:val="-4"/>
                        <w:sz w:val="20"/>
                      </w:rPr>
                      <w:t xml:space="preserve"> </w:t>
                    </w:r>
                    <w:r>
                      <w:rPr>
                        <w:spacing w:val="-2"/>
                        <w:sz w:val="20"/>
                      </w:rPr>
                      <w:t>RM6322</w:t>
                    </w:r>
                  </w:p>
                  <w:p w14:paraId="45955BF0" w14:textId="77777777" w:rsidR="004C7180" w:rsidRDefault="00CF0754">
                    <w:pPr>
                      <w:spacing w:before="1"/>
                      <w:ind w:left="20"/>
                      <w:rPr>
                        <w:sz w:val="20"/>
                      </w:rPr>
                    </w:pPr>
                    <w:r>
                      <w:rPr>
                        <w:sz w:val="20"/>
                      </w:rPr>
                      <w:t>Project</w:t>
                    </w:r>
                    <w:r>
                      <w:rPr>
                        <w:spacing w:val="-14"/>
                        <w:sz w:val="20"/>
                      </w:rPr>
                      <w:t xml:space="preserve"> </w:t>
                    </w:r>
                    <w:r>
                      <w:rPr>
                        <w:sz w:val="20"/>
                      </w:rPr>
                      <w:t>Version:</w:t>
                    </w:r>
                    <w:r>
                      <w:rPr>
                        <w:spacing w:val="-14"/>
                        <w:sz w:val="20"/>
                      </w:rPr>
                      <w:t xml:space="preserve"> </w:t>
                    </w:r>
                    <w:r>
                      <w:rPr>
                        <w:sz w:val="20"/>
                      </w:rPr>
                      <w:t>v1.0 Model Version: v1.0</w:t>
                    </w:r>
                  </w:p>
                </w:txbxContent>
              </v:textbox>
              <w10:wrap anchorx="page" anchory="page"/>
            </v:shape>
          </w:pict>
        </mc:Fallback>
      </mc:AlternateContent>
    </w:r>
    <w:r>
      <w:rPr>
        <w:noProof/>
        <w:lang w:val="en-GB" w:eastAsia="en-GB"/>
      </w:rPr>
      <mc:AlternateContent>
        <mc:Choice Requires="wps">
          <w:drawing>
            <wp:anchor distT="0" distB="0" distL="0" distR="0" simplePos="0" relativeHeight="251658286" behindDoc="1" locked="0" layoutInCell="1" allowOverlap="1" wp14:anchorId="55672DE0" wp14:editId="7257C0B1">
              <wp:simplePos x="0" y="0"/>
              <wp:positionH relativeFrom="page">
                <wp:posOffset>6536437</wp:posOffset>
              </wp:positionH>
              <wp:positionV relativeFrom="page">
                <wp:posOffset>9941952</wp:posOffset>
              </wp:positionV>
              <wp:extent cx="159385" cy="167005"/>
              <wp:effectExtent l="0" t="0" r="0" b="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67005"/>
                      </a:xfrm>
                      <a:prstGeom prst="rect">
                        <a:avLst/>
                      </a:prstGeom>
                    </wps:spPr>
                    <wps:txbx>
                      <w:txbxContent>
                        <w:p w14:paraId="05C4C3E9" w14:textId="77777777" w:rsidR="004C7180" w:rsidRDefault="00CF0754">
                          <w:pPr>
                            <w:spacing w:before="12"/>
                            <w:ind w:left="60"/>
                            <w:rPr>
                              <w:sz w:val="20"/>
                            </w:rPr>
                          </w:pPr>
                          <w:r>
                            <w:rPr>
                              <w:w w:val="99"/>
                              <w:sz w:val="20"/>
                            </w:rPr>
                            <w:fldChar w:fldCharType="begin"/>
                          </w:r>
                          <w:r>
                            <w:rPr>
                              <w:w w:val="99"/>
                              <w:sz w:val="20"/>
                            </w:rPr>
                            <w:instrText xml:space="preserve"> PAGE </w:instrText>
                          </w:r>
                          <w:r>
                            <w:rPr>
                              <w:w w:val="99"/>
                              <w:sz w:val="20"/>
                            </w:rPr>
                            <w:fldChar w:fldCharType="separate"/>
                          </w:r>
                          <w:r>
                            <w:rPr>
                              <w:w w:val="99"/>
                              <w:sz w:val="20"/>
                            </w:rPr>
                            <w:t>1</w:t>
                          </w:r>
                          <w:r>
                            <w:rPr>
                              <w:w w:val="99"/>
                              <w:sz w:val="20"/>
                            </w:rPr>
                            <w:fldChar w:fldCharType="end"/>
                          </w:r>
                        </w:p>
                      </w:txbxContent>
                    </wps:txbx>
                    <wps:bodyPr wrap="square" lIns="0" tIns="0" rIns="0" bIns="0" rtlCol="0">
                      <a:noAutofit/>
                    </wps:bodyPr>
                  </wps:wsp>
                </a:graphicData>
              </a:graphic>
            </wp:anchor>
          </w:drawing>
        </mc:Choice>
        <mc:Fallback>
          <w:pict>
            <v:shape w14:anchorId="55672DE0" id="Text Box 86" o:spid="_x0000_s1100" type="#_x0000_t202" style="position:absolute;margin-left:514.7pt;margin-top:782.85pt;width:12.55pt;height:13.15pt;z-index:-25165819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" filled="f" stroked="f">
              <v:textbox inset="0,0,0,0">
                <w:txbxContent>
                  <w:p w14:paraId="05C4C3E9" w14:textId="77777777" w:rsidR="004C7180" w:rsidRDefault="00CF0754">
                    <w:pPr>
                      <w:spacing w:before="12"/>
                      <w:ind w:left="60"/>
                      <w:rPr>
                        <w:sz w:val="20"/>
                      </w:rPr>
                    </w:pPr>
                    <w:r>
                      <w:rPr>
                        <w:w w:val="99"/>
                        <w:sz w:val="20"/>
                      </w:rPr>
                      <w:fldChar w:fldCharType="begin"/>
                    </w:r>
                    <w:r>
                      <w:rPr>
                        <w:w w:val="99"/>
                        <w:sz w:val="20"/>
                      </w:rPr>
                      <w:instrText xml:space="preserve"> PAGE </w:instrText>
                    </w:r>
                    <w:r>
                      <w:rPr>
                        <w:w w:val="99"/>
                        <w:sz w:val="20"/>
                      </w:rPr>
                      <w:fldChar w:fldCharType="separate"/>
                    </w:r>
                    <w:r>
                      <w:rPr>
                        <w:w w:val="99"/>
                        <w:sz w:val="20"/>
                      </w:rPr>
                      <w:t>1</w:t>
                    </w:r>
                    <w:r>
                      <w:rPr>
                        <w:w w:val="99"/>
                        <w:sz w:val="20"/>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28D08" w14:textId="77777777" w:rsidR="004C7180" w:rsidRDefault="00CF0754">
    <w:pPr>
      <w:pStyle w:val="BodyText"/>
      <w:spacing w:line="14" w:lineRule="auto"/>
      <w:rPr>
        <w:sz w:val="20"/>
      </w:rPr>
    </w:pPr>
    <w:r>
      <w:rPr>
        <w:noProof/>
        <w:lang w:val="en-GB" w:eastAsia="en-GB"/>
      </w:rPr>
      <mc:AlternateContent>
        <mc:Choice Requires="wps">
          <w:drawing>
            <wp:anchor distT="0" distB="0" distL="0" distR="0" simplePos="0" relativeHeight="251658288" behindDoc="1" locked="0" layoutInCell="1" allowOverlap="1" wp14:anchorId="55842F04" wp14:editId="4B0C8026">
              <wp:simplePos x="0" y="0"/>
              <wp:positionH relativeFrom="page">
                <wp:posOffset>901700</wp:posOffset>
              </wp:positionH>
              <wp:positionV relativeFrom="page">
                <wp:posOffset>9775742</wp:posOffset>
              </wp:positionV>
              <wp:extent cx="1196340" cy="480695"/>
              <wp:effectExtent l="0" t="0" r="0" b="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6340" cy="480695"/>
                      </a:xfrm>
                      <a:prstGeom prst="rect">
                        <a:avLst/>
                      </a:prstGeom>
                    </wps:spPr>
                    <wps:txbx>
                      <w:txbxContent>
                        <w:p w14:paraId="4BF6FE5D" w14:textId="77777777" w:rsidR="004C7180" w:rsidRDefault="00CF0754">
                          <w:pPr>
                            <w:spacing w:before="12"/>
                            <w:ind w:left="20"/>
                            <w:rPr>
                              <w:sz w:val="20"/>
                            </w:rPr>
                          </w:pPr>
                          <w:r>
                            <w:rPr>
                              <w:color w:val="A6A6A6"/>
                              <w:sz w:val="20"/>
                            </w:rPr>
                            <w:t>DPS</w:t>
                          </w:r>
                          <w:r>
                            <w:rPr>
                              <w:color w:val="A6A6A6"/>
                              <w:spacing w:val="-5"/>
                              <w:sz w:val="20"/>
                            </w:rPr>
                            <w:t xml:space="preserve"> </w:t>
                          </w:r>
                          <w:r>
                            <w:rPr>
                              <w:color w:val="A6A6A6"/>
                              <w:sz w:val="20"/>
                            </w:rPr>
                            <w:t>Ref:</w:t>
                          </w:r>
                          <w:r>
                            <w:rPr>
                              <w:color w:val="A6A6A6"/>
                              <w:spacing w:val="-4"/>
                              <w:sz w:val="20"/>
                            </w:rPr>
                            <w:t xml:space="preserve"> </w:t>
                          </w:r>
                          <w:r>
                            <w:rPr>
                              <w:color w:val="A6A6A6"/>
                              <w:spacing w:val="-2"/>
                              <w:sz w:val="20"/>
                            </w:rPr>
                            <w:t>RM6322</w:t>
                          </w:r>
                        </w:p>
                        <w:p w14:paraId="5D8911B8" w14:textId="77777777" w:rsidR="004C7180" w:rsidRDefault="00CF0754">
                          <w:pPr>
                            <w:spacing w:before="34"/>
                            <w:ind w:left="20"/>
                            <w:rPr>
                              <w:sz w:val="20"/>
                            </w:rPr>
                          </w:pPr>
                          <w:r>
                            <w:rPr>
                              <w:color w:val="A6A6A6"/>
                              <w:sz w:val="20"/>
                            </w:rPr>
                            <w:t>Project</w:t>
                          </w:r>
                          <w:r>
                            <w:rPr>
                              <w:color w:val="A6A6A6"/>
                              <w:spacing w:val="-14"/>
                              <w:sz w:val="20"/>
                            </w:rPr>
                            <w:t xml:space="preserve"> </w:t>
                          </w:r>
                          <w:r>
                            <w:rPr>
                              <w:color w:val="A6A6A6"/>
                              <w:sz w:val="20"/>
                            </w:rPr>
                            <w:t>Version:</w:t>
                          </w:r>
                          <w:r>
                            <w:rPr>
                              <w:color w:val="A6A6A6"/>
                              <w:spacing w:val="-14"/>
                              <w:sz w:val="20"/>
                            </w:rPr>
                            <w:t xml:space="preserve"> </w:t>
                          </w:r>
                          <w:r>
                            <w:rPr>
                              <w:color w:val="A6A6A6"/>
                              <w:sz w:val="20"/>
                            </w:rPr>
                            <w:t>v1.0 Model Version: v1.0</w:t>
                          </w:r>
                        </w:p>
                      </w:txbxContent>
                    </wps:txbx>
                    <wps:bodyPr wrap="square" lIns="0" tIns="0" rIns="0" bIns="0" rtlCol="0">
                      <a:noAutofit/>
                    </wps:bodyPr>
                  </wps:wsp>
                </a:graphicData>
              </a:graphic>
            </wp:anchor>
          </w:drawing>
        </mc:Choice>
        <mc:Fallback>
          <w:pict>
            <v:shapetype w14:anchorId="55842F04" id="_x0000_t202" coordsize="21600,21600" o:spt="202" path="m,l,21600r21600,l21600,xe">
              <v:stroke joinstyle="miter"/>
              <v:path gradientshapeok="t" o:connecttype="rect"/>
            </v:shapetype>
            <v:shape id="Text Box 88" o:spid="_x0000_s1102" type="#_x0000_t202" style="position:absolute;margin-left:71pt;margin-top:769.75pt;width:94.2pt;height:37.85pt;z-index:-251658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" filled="f" stroked="f">
              <v:textbox inset="0,0,0,0">
                <w:txbxContent>
                  <w:p w14:paraId="4BF6FE5D" w14:textId="77777777" w:rsidR="004C7180" w:rsidRDefault="00CF0754">
                    <w:pPr>
                      <w:spacing w:before="12"/>
                      <w:ind w:left="20"/>
                      <w:rPr>
                        <w:sz w:val="20"/>
                      </w:rPr>
                    </w:pPr>
                    <w:r>
                      <w:rPr>
                        <w:color w:val="A6A6A6"/>
                        <w:sz w:val="20"/>
                      </w:rPr>
                      <w:t>DPS</w:t>
                    </w:r>
                    <w:r>
                      <w:rPr>
                        <w:color w:val="A6A6A6"/>
                        <w:spacing w:val="-5"/>
                        <w:sz w:val="20"/>
                      </w:rPr>
                      <w:t xml:space="preserve"> </w:t>
                    </w:r>
                    <w:r>
                      <w:rPr>
                        <w:color w:val="A6A6A6"/>
                        <w:sz w:val="20"/>
                      </w:rPr>
                      <w:t>Ref:</w:t>
                    </w:r>
                    <w:r>
                      <w:rPr>
                        <w:color w:val="A6A6A6"/>
                        <w:spacing w:val="-4"/>
                        <w:sz w:val="20"/>
                      </w:rPr>
                      <w:t xml:space="preserve"> </w:t>
                    </w:r>
                    <w:r>
                      <w:rPr>
                        <w:color w:val="A6A6A6"/>
                        <w:spacing w:val="-2"/>
                        <w:sz w:val="20"/>
                      </w:rPr>
                      <w:t>RM6322</w:t>
                    </w:r>
                  </w:p>
                  <w:p w14:paraId="5D8911B8" w14:textId="77777777" w:rsidR="004C7180" w:rsidRDefault="00CF0754">
                    <w:pPr>
                      <w:spacing w:before="34"/>
                      <w:ind w:left="20"/>
                      <w:rPr>
                        <w:sz w:val="20"/>
                      </w:rPr>
                    </w:pPr>
                    <w:r>
                      <w:rPr>
                        <w:color w:val="A6A6A6"/>
                        <w:sz w:val="20"/>
                      </w:rPr>
                      <w:t>Project</w:t>
                    </w:r>
                    <w:r>
                      <w:rPr>
                        <w:color w:val="A6A6A6"/>
                        <w:spacing w:val="-14"/>
                        <w:sz w:val="20"/>
                      </w:rPr>
                      <w:t xml:space="preserve"> </w:t>
                    </w:r>
                    <w:r>
                      <w:rPr>
                        <w:color w:val="A6A6A6"/>
                        <w:sz w:val="20"/>
                      </w:rPr>
                      <w:t>Version:</w:t>
                    </w:r>
                    <w:r>
                      <w:rPr>
                        <w:color w:val="A6A6A6"/>
                        <w:spacing w:val="-14"/>
                        <w:sz w:val="20"/>
                      </w:rPr>
                      <w:t xml:space="preserve"> </w:t>
                    </w:r>
                    <w:r>
                      <w:rPr>
                        <w:color w:val="A6A6A6"/>
                        <w:sz w:val="20"/>
                      </w:rPr>
                      <w:t>v1.0 Model Version: v1.0</w:t>
                    </w:r>
                  </w:p>
                </w:txbxContent>
              </v:textbox>
              <w10:wrap anchorx="page" anchory="page"/>
            </v:shape>
          </w:pict>
        </mc:Fallback>
      </mc:AlternateContent>
    </w:r>
    <w:r>
      <w:rPr>
        <w:noProof/>
        <w:lang w:val="en-GB" w:eastAsia="en-GB"/>
      </w:rPr>
      <mc:AlternateContent>
        <mc:Choice Requires="wps">
          <w:drawing>
            <wp:anchor distT="0" distB="0" distL="0" distR="0" simplePos="0" relativeHeight="251658289" behindDoc="1" locked="0" layoutInCell="1" allowOverlap="1" wp14:anchorId="399D0786" wp14:editId="583671BA">
              <wp:simplePos x="0" y="0"/>
              <wp:positionH relativeFrom="page">
                <wp:posOffset>6466361</wp:posOffset>
              </wp:positionH>
              <wp:positionV relativeFrom="page">
                <wp:posOffset>9943343</wp:posOffset>
              </wp:positionV>
              <wp:extent cx="229235" cy="167005"/>
              <wp:effectExtent l="0" t="0" r="0" b="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7005"/>
                      </a:xfrm>
                      <a:prstGeom prst="rect">
                        <a:avLst/>
                      </a:prstGeom>
                    </wps:spPr>
                    <wps:txbx>
                      <w:txbxContent>
                        <w:p w14:paraId="4F0E8670" w14:textId="77777777" w:rsidR="004C7180" w:rsidRDefault="00CF0754">
                          <w:pPr>
                            <w:spacing w:before="12"/>
                            <w:ind w:left="60"/>
                            <w:rPr>
                              <w:sz w:val="20"/>
                            </w:rPr>
                          </w:pPr>
                          <w:r>
                            <w:rPr>
                              <w:color w:val="A6A6A6"/>
                              <w:spacing w:val="-5"/>
                              <w:sz w:val="20"/>
                            </w:rPr>
                            <w:fldChar w:fldCharType="begin"/>
                          </w:r>
                          <w:r>
                            <w:rPr>
                              <w:color w:val="A6A6A6"/>
                              <w:spacing w:val="-5"/>
                              <w:sz w:val="20"/>
                            </w:rPr>
                            <w:instrText xml:space="preserve"> PAGE </w:instrText>
                          </w:r>
                          <w:r>
                            <w:rPr>
                              <w:color w:val="A6A6A6"/>
                              <w:spacing w:val="-5"/>
                              <w:sz w:val="20"/>
                            </w:rPr>
                            <w:fldChar w:fldCharType="separate"/>
                          </w:r>
                          <w:r>
                            <w:rPr>
                              <w:color w:val="A6A6A6"/>
                              <w:spacing w:val="-5"/>
                              <w:sz w:val="20"/>
                            </w:rPr>
                            <w:t>10</w:t>
                          </w:r>
                          <w:r>
                            <w:rPr>
                              <w:color w:val="A6A6A6"/>
                              <w:spacing w:val="-5"/>
                              <w:sz w:val="20"/>
                            </w:rPr>
                            <w:fldChar w:fldCharType="end"/>
                          </w:r>
                        </w:p>
                      </w:txbxContent>
                    </wps:txbx>
                    <wps:bodyPr wrap="square" lIns="0" tIns="0" rIns="0" bIns="0" rtlCol="0">
                      <a:noAutofit/>
                    </wps:bodyPr>
                  </wps:wsp>
                </a:graphicData>
              </a:graphic>
            </wp:anchor>
          </w:drawing>
        </mc:Choice>
        <mc:Fallback>
          <w:pict>
            <v:shape w14:anchorId="399D0786" id="Text Box 89" o:spid="_x0000_s1103" type="#_x0000_t202" style="position:absolute;margin-left:509.15pt;margin-top:782.95pt;width:18.05pt;height:13.15pt;z-index:-25165819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" filled="f" stroked="f">
              <v:textbox inset="0,0,0,0">
                <w:txbxContent>
                  <w:p w14:paraId="4F0E8670" w14:textId="77777777" w:rsidR="004C7180" w:rsidRDefault="00CF0754">
                    <w:pPr>
                      <w:spacing w:before="12"/>
                      <w:ind w:left="60"/>
                      <w:rPr>
                        <w:sz w:val="20"/>
                      </w:rPr>
                    </w:pPr>
                    <w:r>
                      <w:rPr>
                        <w:color w:val="A6A6A6"/>
                        <w:spacing w:val="-5"/>
                        <w:sz w:val="20"/>
                      </w:rPr>
                      <w:fldChar w:fldCharType="begin"/>
                    </w:r>
                    <w:r>
                      <w:rPr>
                        <w:color w:val="A6A6A6"/>
                        <w:spacing w:val="-5"/>
                        <w:sz w:val="20"/>
                      </w:rPr>
                      <w:instrText xml:space="preserve"> PAGE </w:instrText>
                    </w:r>
                    <w:r>
                      <w:rPr>
                        <w:color w:val="A6A6A6"/>
                        <w:spacing w:val="-5"/>
                        <w:sz w:val="20"/>
                      </w:rPr>
                      <w:fldChar w:fldCharType="separate"/>
                    </w:r>
                    <w:r>
                      <w:rPr>
                        <w:color w:val="A6A6A6"/>
                        <w:spacing w:val="-5"/>
                        <w:sz w:val="20"/>
                      </w:rPr>
                      <w:t>10</w:t>
                    </w:r>
                    <w:r>
                      <w:rPr>
                        <w:color w:val="A6A6A6"/>
                        <w:spacing w:val="-5"/>
                        <w:sz w:val="20"/>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A6C20" w14:textId="77777777" w:rsidR="004C7180" w:rsidRDefault="00CF0754">
    <w:pPr>
      <w:pStyle w:val="BodyText"/>
      <w:spacing w:line="14" w:lineRule="auto"/>
      <w:rPr>
        <w:sz w:val="20"/>
      </w:rPr>
    </w:pPr>
    <w:r>
      <w:rPr>
        <w:noProof/>
        <w:lang w:val="en-GB" w:eastAsia="en-GB"/>
      </w:rPr>
      <mc:AlternateContent>
        <mc:Choice Requires="wps">
          <w:drawing>
            <wp:anchor distT="0" distB="0" distL="0" distR="0" simplePos="0" relativeHeight="251658291" behindDoc="1" locked="0" layoutInCell="1" allowOverlap="1" wp14:anchorId="2BCBEE1D" wp14:editId="497A88E7">
              <wp:simplePos x="0" y="0"/>
              <wp:positionH relativeFrom="page">
                <wp:posOffset>676019</wp:posOffset>
              </wp:positionH>
              <wp:positionV relativeFrom="page">
                <wp:posOffset>8692903</wp:posOffset>
              </wp:positionV>
              <wp:extent cx="907415" cy="351790"/>
              <wp:effectExtent l="0" t="0" r="0" b="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7415" cy="351790"/>
                      </a:xfrm>
                      <a:prstGeom prst="rect">
                        <a:avLst/>
                      </a:prstGeom>
                    </wps:spPr>
                    <wps:txbx>
                      <w:txbxContent>
                        <w:p w14:paraId="7E5896BE" w14:textId="77777777" w:rsidR="004C7180" w:rsidRDefault="00CF0754">
                          <w:pPr>
                            <w:spacing w:before="15"/>
                            <w:ind w:left="20"/>
                            <w:rPr>
                              <w:sz w:val="15"/>
                            </w:rPr>
                          </w:pPr>
                          <w:r>
                            <w:rPr>
                              <w:sz w:val="15"/>
                            </w:rPr>
                            <w:t>DPS</w:t>
                          </w:r>
                          <w:r>
                            <w:rPr>
                              <w:spacing w:val="-3"/>
                              <w:sz w:val="15"/>
                            </w:rPr>
                            <w:t xml:space="preserve"> </w:t>
                          </w:r>
                          <w:r>
                            <w:rPr>
                              <w:sz w:val="15"/>
                            </w:rPr>
                            <w:t xml:space="preserve">Ref: </w:t>
                          </w:r>
                          <w:r>
                            <w:rPr>
                              <w:spacing w:val="-2"/>
                              <w:sz w:val="15"/>
                            </w:rPr>
                            <w:t>RM6322</w:t>
                          </w:r>
                        </w:p>
                        <w:p w14:paraId="279BFD4C" w14:textId="77777777" w:rsidR="004C7180" w:rsidRDefault="00CF0754">
                          <w:pPr>
                            <w:spacing w:before="1"/>
                            <w:ind w:left="20"/>
                            <w:rPr>
                              <w:sz w:val="15"/>
                            </w:rPr>
                          </w:pPr>
                          <w:r>
                            <w:rPr>
                              <w:sz w:val="15"/>
                            </w:rPr>
                            <w:t>Project</w:t>
                          </w:r>
                          <w:r>
                            <w:rPr>
                              <w:spacing w:val="-11"/>
                              <w:sz w:val="15"/>
                            </w:rPr>
                            <w:t xml:space="preserve"> </w:t>
                          </w:r>
                          <w:r>
                            <w:rPr>
                              <w:sz w:val="15"/>
                            </w:rPr>
                            <w:t>Version:</w:t>
                          </w:r>
                          <w:r>
                            <w:rPr>
                              <w:spacing w:val="-10"/>
                              <w:sz w:val="15"/>
                            </w:rPr>
                            <w:t xml:space="preserve"> </w:t>
                          </w:r>
                          <w:r>
                            <w:rPr>
                              <w:sz w:val="15"/>
                            </w:rPr>
                            <w:t>v1.0 Model Version: v1.3</w:t>
                          </w:r>
                        </w:p>
                      </w:txbxContent>
                    </wps:txbx>
                    <wps:bodyPr wrap="square" lIns="0" tIns="0" rIns="0" bIns="0" rtlCol="0">
                      <a:noAutofit/>
                    </wps:bodyPr>
                  </wps:wsp>
                </a:graphicData>
              </a:graphic>
            </wp:anchor>
          </w:drawing>
        </mc:Choice>
        <mc:Fallback>
          <w:pict>
            <v:shapetype w14:anchorId="2BCBEE1D" id="_x0000_t202" coordsize="21600,21600" o:spt="202" path="m,l,21600r21600,l21600,xe">
              <v:stroke joinstyle="miter"/>
              <v:path gradientshapeok="t" o:connecttype="rect"/>
            </v:shapetype>
            <v:shape id="Text Box 91" o:spid="_x0000_s1105" type="#_x0000_t202" style="position:absolute;margin-left:53.25pt;margin-top:684.5pt;width:71.45pt;height:27.7pt;z-index:-25165818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" filled="f" stroked="f">
              <v:textbox inset="0,0,0,0">
                <w:txbxContent>
                  <w:p w14:paraId="7E5896BE" w14:textId="77777777" w:rsidR="004C7180" w:rsidRDefault="00CF0754">
                    <w:pPr>
                      <w:spacing w:before="15"/>
                      <w:ind w:left="20"/>
                      <w:rPr>
                        <w:sz w:val="15"/>
                      </w:rPr>
                    </w:pPr>
                    <w:r>
                      <w:rPr>
                        <w:sz w:val="15"/>
                      </w:rPr>
                      <w:t>DPS</w:t>
                    </w:r>
                    <w:r>
                      <w:rPr>
                        <w:spacing w:val="-3"/>
                        <w:sz w:val="15"/>
                      </w:rPr>
                      <w:t xml:space="preserve"> </w:t>
                    </w:r>
                    <w:r>
                      <w:rPr>
                        <w:sz w:val="15"/>
                      </w:rPr>
                      <w:t xml:space="preserve">Ref: </w:t>
                    </w:r>
                    <w:r>
                      <w:rPr>
                        <w:spacing w:val="-2"/>
                        <w:sz w:val="15"/>
                      </w:rPr>
                      <w:t>RM6322</w:t>
                    </w:r>
                  </w:p>
                  <w:p w14:paraId="279BFD4C" w14:textId="77777777" w:rsidR="004C7180" w:rsidRDefault="00CF0754">
                    <w:pPr>
                      <w:spacing w:before="1"/>
                      <w:ind w:left="20"/>
                      <w:rPr>
                        <w:sz w:val="15"/>
                      </w:rPr>
                    </w:pPr>
                    <w:r>
                      <w:rPr>
                        <w:sz w:val="15"/>
                      </w:rPr>
                      <w:t>Project</w:t>
                    </w:r>
                    <w:r>
                      <w:rPr>
                        <w:spacing w:val="-11"/>
                        <w:sz w:val="15"/>
                      </w:rPr>
                      <w:t xml:space="preserve"> </w:t>
                    </w:r>
                    <w:r>
                      <w:rPr>
                        <w:sz w:val="15"/>
                      </w:rPr>
                      <w:t>Version:</w:t>
                    </w:r>
                    <w:r>
                      <w:rPr>
                        <w:spacing w:val="-10"/>
                        <w:sz w:val="15"/>
                      </w:rPr>
                      <w:t xml:space="preserve"> </w:t>
                    </w:r>
                    <w:r>
                      <w:rPr>
                        <w:sz w:val="15"/>
                      </w:rPr>
                      <w:t>v1.0 Model Version: v1.3</w:t>
                    </w:r>
                  </w:p>
                </w:txbxContent>
              </v:textbox>
              <w10:wrap anchorx="page" anchory="page"/>
            </v:shape>
          </w:pict>
        </mc:Fallback>
      </mc:AlternateContent>
    </w:r>
    <w:r>
      <w:rPr>
        <w:noProof/>
        <w:lang w:val="en-GB" w:eastAsia="en-GB"/>
      </w:rPr>
      <mc:AlternateContent>
        <mc:Choice Requires="wps">
          <w:drawing>
            <wp:anchor distT="0" distB="0" distL="0" distR="0" simplePos="0" relativeHeight="251658292" behindDoc="1" locked="0" layoutInCell="1" allowOverlap="1" wp14:anchorId="7CE2F2DC" wp14:editId="298BE62C">
              <wp:simplePos x="0" y="0"/>
              <wp:positionH relativeFrom="page">
                <wp:posOffset>4914589</wp:posOffset>
              </wp:positionH>
              <wp:positionV relativeFrom="page">
                <wp:posOffset>8803154</wp:posOffset>
              </wp:positionV>
              <wp:extent cx="142240" cy="132080"/>
              <wp:effectExtent l="0" t="0" r="0" b="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240" cy="132080"/>
                      </a:xfrm>
                      <a:prstGeom prst="rect">
                        <a:avLst/>
                      </a:prstGeom>
                    </wps:spPr>
                    <wps:txbx>
                      <w:txbxContent>
                        <w:p w14:paraId="0F5CFC8F" w14:textId="77777777" w:rsidR="004C7180" w:rsidRDefault="00CF0754">
                          <w:pPr>
                            <w:spacing w:before="15"/>
                            <w:ind w:left="60"/>
                            <w:rPr>
                              <w:sz w:val="15"/>
                            </w:rPr>
                          </w:pPr>
                          <w:r>
                            <w:rPr>
                              <w:sz w:val="15"/>
                            </w:rPr>
                            <w:fldChar w:fldCharType="begin"/>
                          </w:r>
                          <w:r>
                            <w:rPr>
                              <w:sz w:val="15"/>
                            </w:rPr>
                            <w:instrText xml:space="preserve"> PAGE </w:instrText>
                          </w:r>
                          <w:r>
                            <w:rPr>
                              <w:sz w:val="15"/>
                            </w:rPr>
                            <w:fldChar w:fldCharType="separate"/>
                          </w:r>
                          <w:r>
                            <w:rPr>
                              <w:sz w:val="15"/>
                            </w:rPr>
                            <w:t>1</w:t>
                          </w:r>
                          <w:r>
                            <w:rPr>
                              <w:sz w:val="15"/>
                            </w:rPr>
                            <w:fldChar w:fldCharType="end"/>
                          </w:r>
                        </w:p>
                      </w:txbxContent>
                    </wps:txbx>
                    <wps:bodyPr wrap="square" lIns="0" tIns="0" rIns="0" bIns="0" rtlCol="0">
                      <a:noAutofit/>
                    </wps:bodyPr>
                  </wps:wsp>
                </a:graphicData>
              </a:graphic>
            </wp:anchor>
          </w:drawing>
        </mc:Choice>
        <mc:Fallback>
          <w:pict>
            <v:shape w14:anchorId="7CE2F2DC" id="Text Box 92" o:spid="_x0000_s1106" type="#_x0000_t202" style="position:absolute;margin-left:387pt;margin-top:693.15pt;width:11.2pt;height:10.4pt;z-index:-2516581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" filled="f" stroked="f">
              <v:textbox inset="0,0,0,0">
                <w:txbxContent>
                  <w:p w14:paraId="0F5CFC8F" w14:textId="77777777" w:rsidR="004C7180" w:rsidRDefault="00CF0754">
                    <w:pPr>
                      <w:spacing w:before="15"/>
                      <w:ind w:left="60"/>
                      <w:rPr>
                        <w:sz w:val="15"/>
                      </w:rPr>
                    </w:pPr>
                    <w:r>
                      <w:rPr>
                        <w:sz w:val="15"/>
                      </w:rPr>
                      <w:fldChar w:fldCharType="begin"/>
                    </w:r>
                    <w:r>
                      <w:rPr>
                        <w:sz w:val="15"/>
                      </w:rPr>
                      <w:instrText xml:space="preserve"> PAGE </w:instrText>
                    </w:r>
                    <w:r>
                      <w:rPr>
                        <w:sz w:val="15"/>
                      </w:rPr>
                      <w:fldChar w:fldCharType="separate"/>
                    </w:r>
                    <w:r>
                      <w:rPr>
                        <w:sz w:val="15"/>
                      </w:rPr>
                      <w:t>1</w:t>
                    </w:r>
                    <w:r>
                      <w:rPr>
                        <w:sz w:val="15"/>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9DFD1" w14:textId="77777777" w:rsidR="004C7180" w:rsidRDefault="00CF0754">
    <w:pPr>
      <w:pStyle w:val="BodyText"/>
      <w:spacing w:line="14" w:lineRule="auto"/>
      <w:rPr>
        <w:sz w:val="20"/>
      </w:rPr>
    </w:pPr>
    <w:r>
      <w:rPr>
        <w:noProof/>
        <w:lang w:val="en-GB" w:eastAsia="en-GB"/>
      </w:rPr>
      <mc:AlternateContent>
        <mc:Choice Requires="wps">
          <w:drawing>
            <wp:anchor distT="0" distB="0" distL="0" distR="0" simplePos="0" relativeHeight="251639296" behindDoc="1" locked="0" layoutInCell="1" allowOverlap="1" wp14:anchorId="6F50FB10" wp14:editId="10BC88F4">
              <wp:simplePos x="0" y="0"/>
              <wp:positionH relativeFrom="page">
                <wp:posOffset>901700</wp:posOffset>
              </wp:positionH>
              <wp:positionV relativeFrom="page">
                <wp:posOffset>9795601</wp:posOffset>
              </wp:positionV>
              <wp:extent cx="1196340" cy="458470"/>
              <wp:effectExtent l="0" t="0" r="0" b="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6340" cy="458470"/>
                      </a:xfrm>
                      <a:prstGeom prst="rect">
                        <a:avLst/>
                      </a:prstGeom>
                    </wps:spPr>
                    <wps:txbx>
                      <w:txbxContent>
                        <w:p w14:paraId="1E48E587" w14:textId="77777777" w:rsidR="004C7180" w:rsidRDefault="00CF0754">
                          <w:pPr>
                            <w:spacing w:before="12"/>
                            <w:ind w:left="20"/>
                            <w:rPr>
                              <w:sz w:val="20"/>
                            </w:rPr>
                          </w:pPr>
                          <w:r>
                            <w:rPr>
                              <w:sz w:val="20"/>
                            </w:rPr>
                            <w:t>DPS</w:t>
                          </w:r>
                          <w:r>
                            <w:rPr>
                              <w:spacing w:val="-5"/>
                              <w:sz w:val="20"/>
                            </w:rPr>
                            <w:t xml:space="preserve"> </w:t>
                          </w:r>
                          <w:r>
                            <w:rPr>
                              <w:sz w:val="20"/>
                            </w:rPr>
                            <w:t>Ref:</w:t>
                          </w:r>
                          <w:r>
                            <w:rPr>
                              <w:spacing w:val="-4"/>
                              <w:sz w:val="20"/>
                            </w:rPr>
                            <w:t xml:space="preserve"> </w:t>
                          </w:r>
                          <w:r>
                            <w:rPr>
                              <w:spacing w:val="-2"/>
                              <w:sz w:val="20"/>
                            </w:rPr>
                            <w:t>RM6322</w:t>
                          </w:r>
                        </w:p>
                        <w:p w14:paraId="6D9A2E80" w14:textId="77777777" w:rsidR="004C7180" w:rsidRDefault="00CF0754">
                          <w:pPr>
                            <w:spacing w:before="1"/>
                            <w:ind w:left="20"/>
                            <w:rPr>
                              <w:sz w:val="20"/>
                            </w:rPr>
                          </w:pPr>
                          <w:r>
                            <w:rPr>
                              <w:sz w:val="20"/>
                            </w:rPr>
                            <w:t>Project</w:t>
                          </w:r>
                          <w:r>
                            <w:rPr>
                              <w:spacing w:val="-14"/>
                              <w:sz w:val="20"/>
                            </w:rPr>
                            <w:t xml:space="preserve"> </w:t>
                          </w:r>
                          <w:r>
                            <w:rPr>
                              <w:sz w:val="20"/>
                            </w:rPr>
                            <w:t>Version:</w:t>
                          </w:r>
                          <w:r>
                            <w:rPr>
                              <w:spacing w:val="-14"/>
                              <w:sz w:val="20"/>
                            </w:rPr>
                            <w:t xml:space="preserve"> </w:t>
                          </w:r>
                          <w:r>
                            <w:rPr>
                              <w:sz w:val="20"/>
                            </w:rPr>
                            <w:t>v1.0 Model Version: v1.1</w:t>
                          </w:r>
                        </w:p>
                      </w:txbxContent>
                    </wps:txbx>
                    <wps:bodyPr wrap="square" lIns="0" tIns="0" rIns="0" bIns="0" rtlCol="0">
                      <a:noAutofit/>
                    </wps:bodyPr>
                  </wps:wsp>
                </a:graphicData>
              </a:graphic>
            </wp:anchor>
          </w:drawing>
        </mc:Choice>
        <mc:Fallback>
          <w:pict>
            <v:shapetype w14:anchorId="6F50FB10" id="_x0000_t202" coordsize="21600,21600" o:spt="202" path="m,l,21600r21600,l21600,xe">
              <v:stroke joinstyle="miter"/>
              <v:path gradientshapeok="t" o:connecttype="rect"/>
            </v:shapetype>
            <v:shape id="Text Box 112" o:spid="_x0000_s1108" type="#_x0000_t202" style="position:absolute;margin-left:71pt;margin-top:771.3pt;width:94.2pt;height:36.1pt;z-index:-251677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" filled="f" stroked="f">
              <v:textbox inset="0,0,0,0">
                <w:txbxContent>
                  <w:p w14:paraId="1E48E587" w14:textId="77777777" w:rsidR="004C7180" w:rsidRDefault="00CF0754">
                    <w:pPr>
                      <w:spacing w:before="12"/>
                      <w:ind w:left="20"/>
                      <w:rPr>
                        <w:sz w:val="20"/>
                      </w:rPr>
                    </w:pPr>
                    <w:r>
                      <w:rPr>
                        <w:sz w:val="20"/>
                      </w:rPr>
                      <w:t>DPS</w:t>
                    </w:r>
                    <w:r>
                      <w:rPr>
                        <w:spacing w:val="-5"/>
                        <w:sz w:val="20"/>
                      </w:rPr>
                      <w:t xml:space="preserve"> </w:t>
                    </w:r>
                    <w:r>
                      <w:rPr>
                        <w:sz w:val="20"/>
                      </w:rPr>
                      <w:t>Ref:</w:t>
                    </w:r>
                    <w:r>
                      <w:rPr>
                        <w:spacing w:val="-4"/>
                        <w:sz w:val="20"/>
                      </w:rPr>
                      <w:t xml:space="preserve"> </w:t>
                    </w:r>
                    <w:r>
                      <w:rPr>
                        <w:spacing w:val="-2"/>
                        <w:sz w:val="20"/>
                      </w:rPr>
                      <w:t>RM6322</w:t>
                    </w:r>
                  </w:p>
                  <w:p w14:paraId="6D9A2E80" w14:textId="77777777" w:rsidR="004C7180" w:rsidRDefault="00CF0754">
                    <w:pPr>
                      <w:spacing w:before="1"/>
                      <w:ind w:left="20"/>
                      <w:rPr>
                        <w:sz w:val="20"/>
                      </w:rPr>
                    </w:pPr>
                    <w:r>
                      <w:rPr>
                        <w:sz w:val="20"/>
                      </w:rPr>
                      <w:t>Project</w:t>
                    </w:r>
                    <w:r>
                      <w:rPr>
                        <w:spacing w:val="-14"/>
                        <w:sz w:val="20"/>
                      </w:rPr>
                      <w:t xml:space="preserve"> </w:t>
                    </w:r>
                    <w:r>
                      <w:rPr>
                        <w:sz w:val="20"/>
                      </w:rPr>
                      <w:t>Version:</w:t>
                    </w:r>
                    <w:r>
                      <w:rPr>
                        <w:spacing w:val="-14"/>
                        <w:sz w:val="20"/>
                      </w:rPr>
                      <w:t xml:space="preserve"> </w:t>
                    </w:r>
                    <w:r>
                      <w:rPr>
                        <w:sz w:val="20"/>
                      </w:rPr>
                      <w:t>v1.0 Model Version: v1.1</w:t>
                    </w:r>
                  </w:p>
                </w:txbxContent>
              </v:textbox>
              <w10:wrap anchorx="page" anchory="page"/>
            </v:shape>
          </w:pict>
        </mc:Fallback>
      </mc:AlternateContent>
    </w:r>
    <w:r>
      <w:rPr>
        <w:noProof/>
        <w:lang w:val="en-GB" w:eastAsia="en-GB"/>
      </w:rPr>
      <mc:AlternateContent>
        <mc:Choice Requires="wps">
          <w:drawing>
            <wp:anchor distT="0" distB="0" distL="0" distR="0" simplePos="0" relativeHeight="251640320" behindDoc="1" locked="0" layoutInCell="1" allowOverlap="1" wp14:anchorId="2BDEC119" wp14:editId="1BA2A85D">
              <wp:simplePos x="0" y="0"/>
              <wp:positionH relativeFrom="page">
                <wp:posOffset>6537955</wp:posOffset>
              </wp:positionH>
              <wp:positionV relativeFrom="page">
                <wp:posOffset>9941952</wp:posOffset>
              </wp:positionV>
              <wp:extent cx="159385" cy="167005"/>
              <wp:effectExtent l="0" t="0" r="0" b="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67005"/>
                      </a:xfrm>
                      <a:prstGeom prst="rect">
                        <a:avLst/>
                      </a:prstGeom>
                    </wps:spPr>
                    <wps:txbx>
                      <w:txbxContent>
                        <w:p w14:paraId="715A3794" w14:textId="77777777" w:rsidR="004C7180" w:rsidRDefault="00CF0754">
                          <w:pPr>
                            <w:spacing w:before="12"/>
                            <w:ind w:left="60"/>
                            <w:rPr>
                              <w:sz w:val="20"/>
                            </w:rPr>
                          </w:pPr>
                          <w:r>
                            <w:rPr>
                              <w:w w:val="99"/>
                              <w:sz w:val="20"/>
                            </w:rPr>
                            <w:fldChar w:fldCharType="begin"/>
                          </w:r>
                          <w:r>
                            <w:rPr>
                              <w:w w:val="99"/>
                              <w:sz w:val="20"/>
                            </w:rPr>
                            <w:instrText xml:space="preserve"> PAGE </w:instrText>
                          </w:r>
                          <w:r>
                            <w:rPr>
                              <w:w w:val="99"/>
                              <w:sz w:val="20"/>
                            </w:rPr>
                            <w:fldChar w:fldCharType="separate"/>
                          </w:r>
                          <w:r>
                            <w:rPr>
                              <w:w w:val="99"/>
                              <w:sz w:val="20"/>
                            </w:rPr>
                            <w:t>1</w:t>
                          </w:r>
                          <w:r>
                            <w:rPr>
                              <w:w w:val="99"/>
                              <w:sz w:val="20"/>
                            </w:rPr>
                            <w:fldChar w:fldCharType="end"/>
                          </w:r>
                        </w:p>
                      </w:txbxContent>
                    </wps:txbx>
                    <wps:bodyPr wrap="square" lIns="0" tIns="0" rIns="0" bIns="0" rtlCol="0">
                      <a:noAutofit/>
                    </wps:bodyPr>
                  </wps:wsp>
                </a:graphicData>
              </a:graphic>
            </wp:anchor>
          </w:drawing>
        </mc:Choice>
        <mc:Fallback>
          <w:pict>
            <v:shape w14:anchorId="2BDEC119" id="Text Box 113" o:spid="_x0000_s1109" type="#_x0000_t202" style="position:absolute;margin-left:514.8pt;margin-top:782.85pt;width:12.55pt;height:13.15pt;z-index:-251676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" filled="f" stroked="f">
              <v:textbox inset="0,0,0,0">
                <w:txbxContent>
                  <w:p w14:paraId="715A3794" w14:textId="77777777" w:rsidR="004C7180" w:rsidRDefault="00CF0754">
                    <w:pPr>
                      <w:spacing w:before="12"/>
                      <w:ind w:left="60"/>
                      <w:rPr>
                        <w:sz w:val="20"/>
                      </w:rPr>
                    </w:pPr>
                    <w:r>
                      <w:rPr>
                        <w:w w:val="99"/>
                        <w:sz w:val="20"/>
                      </w:rPr>
                      <w:fldChar w:fldCharType="begin"/>
                    </w:r>
                    <w:r>
                      <w:rPr>
                        <w:w w:val="99"/>
                        <w:sz w:val="20"/>
                      </w:rPr>
                      <w:instrText xml:space="preserve"> PAGE </w:instrText>
                    </w:r>
                    <w:r>
                      <w:rPr>
                        <w:w w:val="99"/>
                        <w:sz w:val="20"/>
                      </w:rPr>
                      <w:fldChar w:fldCharType="separate"/>
                    </w:r>
                    <w:r>
                      <w:rPr>
                        <w:w w:val="99"/>
                        <w:sz w:val="20"/>
                      </w:rPr>
                      <w:t>1</w:t>
                    </w:r>
                    <w:r>
                      <w:rPr>
                        <w:w w:val="99"/>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EB255" w14:textId="77777777" w:rsidR="004C7180" w:rsidRDefault="00CF0754">
    <w:pPr>
      <w:pStyle w:val="BodyText"/>
      <w:spacing w:line="14" w:lineRule="auto"/>
      <w:rPr>
        <w:sz w:val="20"/>
      </w:rPr>
    </w:pPr>
    <w:r>
      <w:rPr>
        <w:noProof/>
        <w:lang w:val="en-GB" w:eastAsia="en-GB"/>
      </w:rPr>
      <mc:AlternateContent>
        <mc:Choice Requires="wps">
          <w:drawing>
            <wp:anchor distT="0" distB="0" distL="0" distR="0" simplePos="0" relativeHeight="251658243" behindDoc="1" locked="0" layoutInCell="1" allowOverlap="1" wp14:anchorId="3D937B9B" wp14:editId="5DF9AEC4">
              <wp:simplePos x="0" y="0"/>
              <wp:positionH relativeFrom="page">
                <wp:posOffset>902004</wp:posOffset>
              </wp:positionH>
              <wp:positionV relativeFrom="page">
                <wp:posOffset>9752576</wp:posOffset>
              </wp:positionV>
              <wp:extent cx="1195705" cy="48133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5705" cy="481330"/>
                      </a:xfrm>
                      <a:prstGeom prst="rect">
                        <a:avLst/>
                      </a:prstGeom>
                    </wps:spPr>
                    <wps:txbx>
                      <w:txbxContent>
                        <w:p w14:paraId="192BC5E1" w14:textId="77777777" w:rsidR="004C7180" w:rsidRDefault="00CF0754">
                          <w:pPr>
                            <w:spacing w:before="12"/>
                            <w:ind w:left="20"/>
                            <w:rPr>
                              <w:sz w:val="20"/>
                            </w:rPr>
                          </w:pPr>
                          <w:r>
                            <w:rPr>
                              <w:sz w:val="20"/>
                            </w:rPr>
                            <w:t>DPS</w:t>
                          </w:r>
                          <w:r>
                            <w:rPr>
                              <w:spacing w:val="-4"/>
                              <w:sz w:val="20"/>
                            </w:rPr>
                            <w:t xml:space="preserve"> </w:t>
                          </w:r>
                          <w:r>
                            <w:rPr>
                              <w:sz w:val="20"/>
                            </w:rPr>
                            <w:t>Ref:</w:t>
                          </w:r>
                          <w:r>
                            <w:rPr>
                              <w:spacing w:val="-3"/>
                              <w:sz w:val="20"/>
                            </w:rPr>
                            <w:t xml:space="preserve"> </w:t>
                          </w:r>
                          <w:r>
                            <w:rPr>
                              <w:spacing w:val="-2"/>
                              <w:sz w:val="20"/>
                            </w:rPr>
                            <w:t>RM6322</w:t>
                          </w:r>
                        </w:p>
                        <w:p w14:paraId="3F530535" w14:textId="77777777" w:rsidR="004C7180" w:rsidRDefault="00CF0754">
                          <w:pPr>
                            <w:spacing w:before="34"/>
                            <w:ind w:left="20"/>
                            <w:rPr>
                              <w:sz w:val="20"/>
                            </w:rPr>
                          </w:pPr>
                          <w:r>
                            <w:rPr>
                              <w:sz w:val="20"/>
                            </w:rPr>
                            <w:t>Project</w:t>
                          </w:r>
                          <w:r>
                            <w:rPr>
                              <w:spacing w:val="-14"/>
                              <w:sz w:val="20"/>
                            </w:rPr>
                            <w:t xml:space="preserve"> </w:t>
                          </w:r>
                          <w:r>
                            <w:rPr>
                              <w:sz w:val="20"/>
                            </w:rPr>
                            <w:t>Version:</w:t>
                          </w:r>
                          <w:r>
                            <w:rPr>
                              <w:spacing w:val="-14"/>
                              <w:sz w:val="20"/>
                            </w:rPr>
                            <w:t xml:space="preserve"> </w:t>
                          </w:r>
                          <w:r>
                            <w:rPr>
                              <w:sz w:val="20"/>
                            </w:rPr>
                            <w:t>v1.0 Model Version: v1.4</w:t>
                          </w:r>
                        </w:p>
                      </w:txbxContent>
                    </wps:txbx>
                    <wps:bodyPr wrap="square" lIns="0" tIns="0" rIns="0" bIns="0" rtlCol="0">
                      <a:noAutofit/>
                    </wps:bodyPr>
                  </wps:wsp>
                </a:graphicData>
              </a:graphic>
            </wp:anchor>
          </w:drawing>
        </mc:Choice>
        <mc:Fallback>
          <w:pict>
            <v:shapetype w14:anchorId="3D937B9B" id="_x0000_t202" coordsize="21600,21600" o:spt="202" path="m,l,21600r21600,l21600,xe">
              <v:stroke joinstyle="miter"/>
              <v:path gradientshapeok="t" o:connecttype="rect"/>
            </v:shapetype>
            <v:shape id="Text Box 5" o:spid="_x0000_s1057" type="#_x0000_t202" style="position:absolute;margin-left:71pt;margin-top:767.9pt;width:94.15pt;height:37.9pt;z-index:-2516582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" filled="f" stroked="f">
              <v:textbox inset="0,0,0,0">
                <w:txbxContent>
                  <w:p w14:paraId="192BC5E1" w14:textId="77777777" w:rsidR="004C7180" w:rsidRDefault="00CF0754">
                    <w:pPr>
                      <w:spacing w:before="12"/>
                      <w:ind w:left="20"/>
                      <w:rPr>
                        <w:sz w:val="20"/>
                      </w:rPr>
                    </w:pPr>
                    <w:r>
                      <w:rPr>
                        <w:sz w:val="20"/>
                      </w:rPr>
                      <w:t>DPS</w:t>
                    </w:r>
                    <w:r>
                      <w:rPr>
                        <w:spacing w:val="-4"/>
                        <w:sz w:val="20"/>
                      </w:rPr>
                      <w:t xml:space="preserve"> </w:t>
                    </w:r>
                    <w:r>
                      <w:rPr>
                        <w:sz w:val="20"/>
                      </w:rPr>
                      <w:t>Ref:</w:t>
                    </w:r>
                    <w:r>
                      <w:rPr>
                        <w:spacing w:val="-3"/>
                        <w:sz w:val="20"/>
                      </w:rPr>
                      <w:t xml:space="preserve"> </w:t>
                    </w:r>
                    <w:r>
                      <w:rPr>
                        <w:spacing w:val="-2"/>
                        <w:sz w:val="20"/>
                      </w:rPr>
                      <w:t>RM6322</w:t>
                    </w:r>
                  </w:p>
                  <w:p w14:paraId="3F530535" w14:textId="77777777" w:rsidR="004C7180" w:rsidRDefault="00CF0754">
                    <w:pPr>
                      <w:spacing w:before="34"/>
                      <w:ind w:left="20"/>
                      <w:rPr>
                        <w:sz w:val="20"/>
                      </w:rPr>
                    </w:pPr>
                    <w:r>
                      <w:rPr>
                        <w:sz w:val="20"/>
                      </w:rPr>
                      <w:t>Project</w:t>
                    </w:r>
                    <w:r>
                      <w:rPr>
                        <w:spacing w:val="-14"/>
                        <w:sz w:val="20"/>
                      </w:rPr>
                      <w:t xml:space="preserve"> </w:t>
                    </w:r>
                    <w:r>
                      <w:rPr>
                        <w:sz w:val="20"/>
                      </w:rPr>
                      <w:t>Version:</w:t>
                    </w:r>
                    <w:r>
                      <w:rPr>
                        <w:spacing w:val="-14"/>
                        <w:sz w:val="20"/>
                      </w:rPr>
                      <w:t xml:space="preserve"> </w:t>
                    </w:r>
                    <w:r>
                      <w:rPr>
                        <w:sz w:val="20"/>
                      </w:rPr>
                      <w:t>v1.0 Model Version: v1.4</w:t>
                    </w:r>
                  </w:p>
                </w:txbxContent>
              </v:textbox>
              <w10:wrap anchorx="page" anchory="page"/>
            </v:shape>
          </w:pict>
        </mc:Fallback>
      </mc:AlternateContent>
    </w:r>
    <w:r>
      <w:rPr>
        <w:noProof/>
        <w:lang w:val="en-GB" w:eastAsia="en-GB"/>
      </w:rPr>
      <mc:AlternateContent>
        <mc:Choice Requires="wps">
          <w:drawing>
            <wp:anchor distT="0" distB="0" distL="0" distR="0" simplePos="0" relativeHeight="251658244" behindDoc="1" locked="0" layoutInCell="1" allowOverlap="1" wp14:anchorId="4EB27DA7" wp14:editId="308B5173">
              <wp:simplePos x="0" y="0"/>
              <wp:positionH relativeFrom="page">
                <wp:posOffset>6467602</wp:posOffset>
              </wp:positionH>
              <wp:positionV relativeFrom="page">
                <wp:posOffset>9920216</wp:posOffset>
              </wp:positionV>
              <wp:extent cx="229235" cy="16700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7005"/>
                      </a:xfrm>
                      <a:prstGeom prst="rect">
                        <a:avLst/>
                      </a:prstGeom>
                    </wps:spPr>
                    <wps:txbx>
                      <w:txbxContent>
                        <w:p w14:paraId="433BD1F0" w14:textId="77777777" w:rsidR="004C7180" w:rsidRDefault="00CF0754">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27</w:t>
                          </w:r>
                          <w:r>
                            <w:rPr>
                              <w:spacing w:val="-5"/>
                              <w:sz w:val="20"/>
                            </w:rPr>
                            <w:fldChar w:fldCharType="end"/>
                          </w:r>
                        </w:p>
                      </w:txbxContent>
                    </wps:txbx>
                    <wps:bodyPr wrap="square" lIns="0" tIns="0" rIns="0" bIns="0" rtlCol="0">
                      <a:noAutofit/>
                    </wps:bodyPr>
                  </wps:wsp>
                </a:graphicData>
              </a:graphic>
            </wp:anchor>
          </w:drawing>
        </mc:Choice>
        <mc:Fallback>
          <w:pict>
            <v:shape w14:anchorId="4EB27DA7" id="Text Box 6" o:spid="_x0000_s1058" type="#_x0000_t202" style="position:absolute;margin-left:509.25pt;margin-top:781.1pt;width:18.05pt;height:13.15pt;z-index:-2516582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" filled="f" stroked="f">
              <v:textbox inset="0,0,0,0">
                <w:txbxContent>
                  <w:p w14:paraId="433BD1F0" w14:textId="77777777" w:rsidR="004C7180" w:rsidRDefault="00CF0754">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27</w:t>
                    </w:r>
                    <w:r>
                      <w:rPr>
                        <w:spacing w:val="-5"/>
                        <w:sz w:val="20"/>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3267F" w14:textId="77777777" w:rsidR="004C7180" w:rsidRDefault="00CF0754">
    <w:pPr>
      <w:pStyle w:val="BodyText"/>
      <w:spacing w:line="14" w:lineRule="auto"/>
      <w:rPr>
        <w:sz w:val="20"/>
      </w:rPr>
    </w:pPr>
    <w:r>
      <w:rPr>
        <w:noProof/>
        <w:lang w:val="en-GB" w:eastAsia="en-GB"/>
      </w:rPr>
      <mc:AlternateContent>
        <mc:Choice Requires="wps">
          <w:drawing>
            <wp:anchor distT="0" distB="0" distL="0" distR="0" simplePos="0" relativeHeight="251642368" behindDoc="1" locked="0" layoutInCell="1" allowOverlap="1" wp14:anchorId="2B0A7483" wp14:editId="4B248295">
              <wp:simplePos x="0" y="0"/>
              <wp:positionH relativeFrom="page">
                <wp:posOffset>901700</wp:posOffset>
              </wp:positionH>
              <wp:positionV relativeFrom="page">
                <wp:posOffset>9795554</wp:posOffset>
              </wp:positionV>
              <wp:extent cx="1196340" cy="458470"/>
              <wp:effectExtent l="0" t="0" r="0" b="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6340" cy="458470"/>
                      </a:xfrm>
                      <a:prstGeom prst="rect">
                        <a:avLst/>
                      </a:prstGeom>
                    </wps:spPr>
                    <wps:txbx>
                      <w:txbxContent>
                        <w:p w14:paraId="02CC85AF" w14:textId="77777777" w:rsidR="004C7180" w:rsidRDefault="00CF0754">
                          <w:pPr>
                            <w:spacing w:before="12"/>
                            <w:ind w:left="20"/>
                            <w:rPr>
                              <w:sz w:val="20"/>
                            </w:rPr>
                          </w:pPr>
                          <w:r>
                            <w:rPr>
                              <w:sz w:val="20"/>
                            </w:rPr>
                            <w:t>DPS</w:t>
                          </w:r>
                          <w:r>
                            <w:rPr>
                              <w:spacing w:val="-5"/>
                              <w:sz w:val="20"/>
                            </w:rPr>
                            <w:t xml:space="preserve"> </w:t>
                          </w:r>
                          <w:r>
                            <w:rPr>
                              <w:sz w:val="20"/>
                            </w:rPr>
                            <w:t>Ref:</w:t>
                          </w:r>
                          <w:r>
                            <w:rPr>
                              <w:spacing w:val="-4"/>
                              <w:sz w:val="20"/>
                            </w:rPr>
                            <w:t xml:space="preserve"> </w:t>
                          </w:r>
                          <w:r>
                            <w:rPr>
                              <w:spacing w:val="-2"/>
                              <w:sz w:val="20"/>
                            </w:rPr>
                            <w:t>RM6322</w:t>
                          </w:r>
                        </w:p>
                        <w:p w14:paraId="7B314F5B" w14:textId="77777777" w:rsidR="004C7180" w:rsidRDefault="00CF0754">
                          <w:pPr>
                            <w:spacing w:before="1"/>
                            <w:ind w:left="20"/>
                            <w:rPr>
                              <w:sz w:val="20"/>
                            </w:rPr>
                          </w:pPr>
                          <w:r>
                            <w:rPr>
                              <w:sz w:val="20"/>
                            </w:rPr>
                            <w:t>Project</w:t>
                          </w:r>
                          <w:r>
                            <w:rPr>
                              <w:spacing w:val="-14"/>
                              <w:sz w:val="20"/>
                            </w:rPr>
                            <w:t xml:space="preserve"> </w:t>
                          </w:r>
                          <w:r>
                            <w:rPr>
                              <w:sz w:val="20"/>
                            </w:rPr>
                            <w:t>Version:</w:t>
                          </w:r>
                          <w:r>
                            <w:rPr>
                              <w:spacing w:val="-14"/>
                              <w:sz w:val="20"/>
                            </w:rPr>
                            <w:t xml:space="preserve"> </w:t>
                          </w:r>
                          <w:r>
                            <w:rPr>
                              <w:sz w:val="20"/>
                            </w:rPr>
                            <w:t>v1.0 Model Version: v1.1</w:t>
                          </w:r>
                        </w:p>
                      </w:txbxContent>
                    </wps:txbx>
                    <wps:bodyPr wrap="square" lIns="0" tIns="0" rIns="0" bIns="0" rtlCol="0">
                      <a:noAutofit/>
                    </wps:bodyPr>
                  </wps:wsp>
                </a:graphicData>
              </a:graphic>
            </wp:anchor>
          </w:drawing>
        </mc:Choice>
        <mc:Fallback>
          <w:pict>
            <v:shapetype w14:anchorId="2B0A7483" id="_x0000_t202" coordsize="21600,21600" o:spt="202" path="m,l,21600r21600,l21600,xe">
              <v:stroke joinstyle="miter"/>
              <v:path gradientshapeok="t" o:connecttype="rect"/>
            </v:shapetype>
            <v:shape id="Text Box 115" o:spid="_x0000_s1111" type="#_x0000_t202" style="position:absolute;margin-left:71pt;margin-top:771.3pt;width:94.2pt;height:36.1pt;z-index:-251674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" filled="f" stroked="f">
              <v:textbox inset="0,0,0,0">
                <w:txbxContent>
                  <w:p w14:paraId="02CC85AF" w14:textId="77777777" w:rsidR="004C7180" w:rsidRDefault="00CF0754">
                    <w:pPr>
                      <w:spacing w:before="12"/>
                      <w:ind w:left="20"/>
                      <w:rPr>
                        <w:sz w:val="20"/>
                      </w:rPr>
                    </w:pPr>
                    <w:r>
                      <w:rPr>
                        <w:sz w:val="20"/>
                      </w:rPr>
                      <w:t>DPS</w:t>
                    </w:r>
                    <w:r>
                      <w:rPr>
                        <w:spacing w:val="-5"/>
                        <w:sz w:val="20"/>
                      </w:rPr>
                      <w:t xml:space="preserve"> </w:t>
                    </w:r>
                    <w:r>
                      <w:rPr>
                        <w:sz w:val="20"/>
                      </w:rPr>
                      <w:t>Ref:</w:t>
                    </w:r>
                    <w:r>
                      <w:rPr>
                        <w:spacing w:val="-4"/>
                        <w:sz w:val="20"/>
                      </w:rPr>
                      <w:t xml:space="preserve"> </w:t>
                    </w:r>
                    <w:r>
                      <w:rPr>
                        <w:spacing w:val="-2"/>
                        <w:sz w:val="20"/>
                      </w:rPr>
                      <w:t>RM6322</w:t>
                    </w:r>
                  </w:p>
                  <w:p w14:paraId="7B314F5B" w14:textId="77777777" w:rsidR="004C7180" w:rsidRDefault="00CF0754">
                    <w:pPr>
                      <w:spacing w:before="1"/>
                      <w:ind w:left="20"/>
                      <w:rPr>
                        <w:sz w:val="20"/>
                      </w:rPr>
                    </w:pPr>
                    <w:r>
                      <w:rPr>
                        <w:sz w:val="20"/>
                      </w:rPr>
                      <w:t>Project</w:t>
                    </w:r>
                    <w:r>
                      <w:rPr>
                        <w:spacing w:val="-14"/>
                        <w:sz w:val="20"/>
                      </w:rPr>
                      <w:t xml:space="preserve"> </w:t>
                    </w:r>
                    <w:r>
                      <w:rPr>
                        <w:sz w:val="20"/>
                      </w:rPr>
                      <w:t>Version:</w:t>
                    </w:r>
                    <w:r>
                      <w:rPr>
                        <w:spacing w:val="-14"/>
                        <w:sz w:val="20"/>
                      </w:rPr>
                      <w:t xml:space="preserve"> </w:t>
                    </w:r>
                    <w:r>
                      <w:rPr>
                        <w:sz w:val="20"/>
                      </w:rPr>
                      <w:t>v1.0 Model Version: v1.1</w:t>
                    </w:r>
                  </w:p>
                </w:txbxContent>
              </v:textbox>
              <w10:wrap anchorx="page" anchory="page"/>
            </v:shape>
          </w:pict>
        </mc:Fallback>
      </mc:AlternateContent>
    </w:r>
    <w:r>
      <w:rPr>
        <w:noProof/>
        <w:lang w:val="en-GB" w:eastAsia="en-GB"/>
      </w:rPr>
      <mc:AlternateContent>
        <mc:Choice Requires="wps">
          <w:drawing>
            <wp:anchor distT="0" distB="0" distL="0" distR="0" simplePos="0" relativeHeight="251643392" behindDoc="1" locked="0" layoutInCell="1" allowOverlap="1" wp14:anchorId="52B2626C" wp14:editId="2076B057">
              <wp:simplePos x="0" y="0"/>
              <wp:positionH relativeFrom="page">
                <wp:posOffset>6466361</wp:posOffset>
              </wp:positionH>
              <wp:positionV relativeFrom="page">
                <wp:posOffset>9941905</wp:posOffset>
              </wp:positionV>
              <wp:extent cx="229235" cy="167005"/>
              <wp:effectExtent l="0" t="0" r="0" b="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7005"/>
                      </a:xfrm>
                      <a:prstGeom prst="rect">
                        <a:avLst/>
                      </a:prstGeom>
                    </wps:spPr>
                    <wps:txbx>
                      <w:txbxContent>
                        <w:p w14:paraId="788A81D3" w14:textId="77777777" w:rsidR="004C7180" w:rsidRDefault="00CF0754">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wps:txbx>
                    <wps:bodyPr wrap="square" lIns="0" tIns="0" rIns="0" bIns="0" rtlCol="0">
                      <a:noAutofit/>
                    </wps:bodyPr>
                  </wps:wsp>
                </a:graphicData>
              </a:graphic>
            </wp:anchor>
          </w:drawing>
        </mc:Choice>
        <mc:Fallback>
          <w:pict>
            <v:shape w14:anchorId="52B2626C" id="Text Box 116" o:spid="_x0000_s1112" type="#_x0000_t202" style="position:absolute;margin-left:509.15pt;margin-top:782.85pt;width:18.05pt;height:13.15pt;z-index:-251673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" filled="f" stroked="f">
              <v:textbox inset="0,0,0,0">
                <w:txbxContent>
                  <w:p w14:paraId="788A81D3" w14:textId="77777777" w:rsidR="004C7180" w:rsidRDefault="00CF0754">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9A59F" w14:textId="77777777" w:rsidR="004C7180" w:rsidRDefault="00CF0754">
    <w:pPr>
      <w:pStyle w:val="BodyText"/>
      <w:spacing w:line="14" w:lineRule="auto"/>
      <w:rPr>
        <w:sz w:val="20"/>
      </w:rPr>
    </w:pPr>
    <w:r>
      <w:rPr>
        <w:noProof/>
        <w:lang w:val="en-GB" w:eastAsia="en-GB"/>
      </w:rPr>
      <mc:AlternateContent>
        <mc:Choice Requires="wps">
          <w:drawing>
            <wp:anchor distT="0" distB="0" distL="0" distR="0" simplePos="0" relativeHeight="251645440" behindDoc="1" locked="0" layoutInCell="1" allowOverlap="1" wp14:anchorId="3C51B6DD" wp14:editId="25E0FE86">
              <wp:simplePos x="0" y="0"/>
              <wp:positionH relativeFrom="page">
                <wp:posOffset>1066038</wp:posOffset>
              </wp:positionH>
              <wp:positionV relativeFrom="page">
                <wp:posOffset>9795705</wp:posOffset>
              </wp:positionV>
              <wp:extent cx="1196340" cy="458470"/>
              <wp:effectExtent l="0" t="0" r="0" b="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6340" cy="458470"/>
                      </a:xfrm>
                      <a:prstGeom prst="rect">
                        <a:avLst/>
                      </a:prstGeom>
                    </wps:spPr>
                    <wps:txbx>
                      <w:txbxContent>
                        <w:p w14:paraId="40268C42" w14:textId="77777777" w:rsidR="004C7180" w:rsidRDefault="00CF0754">
                          <w:pPr>
                            <w:spacing w:before="12"/>
                            <w:ind w:left="20"/>
                            <w:rPr>
                              <w:sz w:val="20"/>
                            </w:rPr>
                          </w:pPr>
                          <w:r>
                            <w:rPr>
                              <w:sz w:val="20"/>
                            </w:rPr>
                            <w:t>DPS</w:t>
                          </w:r>
                          <w:r>
                            <w:rPr>
                              <w:spacing w:val="-5"/>
                              <w:sz w:val="20"/>
                            </w:rPr>
                            <w:t xml:space="preserve"> </w:t>
                          </w:r>
                          <w:r>
                            <w:rPr>
                              <w:sz w:val="20"/>
                            </w:rPr>
                            <w:t>Ref:</w:t>
                          </w:r>
                          <w:r>
                            <w:rPr>
                              <w:spacing w:val="-4"/>
                              <w:sz w:val="20"/>
                            </w:rPr>
                            <w:t xml:space="preserve"> </w:t>
                          </w:r>
                          <w:r>
                            <w:rPr>
                              <w:spacing w:val="-2"/>
                              <w:sz w:val="20"/>
                            </w:rPr>
                            <w:t>RM6322</w:t>
                          </w:r>
                        </w:p>
                        <w:p w14:paraId="21DF976C" w14:textId="77777777" w:rsidR="004C7180" w:rsidRDefault="00CF0754">
                          <w:pPr>
                            <w:spacing w:before="1"/>
                            <w:ind w:left="20"/>
                            <w:rPr>
                              <w:sz w:val="20"/>
                            </w:rPr>
                          </w:pPr>
                          <w:r>
                            <w:rPr>
                              <w:sz w:val="20"/>
                            </w:rPr>
                            <w:t>Project</w:t>
                          </w:r>
                          <w:r>
                            <w:rPr>
                              <w:spacing w:val="-14"/>
                              <w:sz w:val="20"/>
                            </w:rPr>
                            <w:t xml:space="preserve"> </w:t>
                          </w:r>
                          <w:r>
                            <w:rPr>
                              <w:sz w:val="20"/>
                            </w:rPr>
                            <w:t>Version:</w:t>
                          </w:r>
                          <w:r>
                            <w:rPr>
                              <w:spacing w:val="-14"/>
                              <w:sz w:val="20"/>
                            </w:rPr>
                            <w:t xml:space="preserve"> </w:t>
                          </w:r>
                          <w:r>
                            <w:rPr>
                              <w:sz w:val="20"/>
                            </w:rPr>
                            <w:t>v1.0 Model Version: v1.1</w:t>
                          </w:r>
                        </w:p>
                      </w:txbxContent>
                    </wps:txbx>
                    <wps:bodyPr wrap="square" lIns="0" tIns="0" rIns="0" bIns="0" rtlCol="0">
                      <a:noAutofit/>
                    </wps:bodyPr>
                  </wps:wsp>
                </a:graphicData>
              </a:graphic>
            </wp:anchor>
          </w:drawing>
        </mc:Choice>
        <mc:Fallback>
          <w:pict>
            <v:shapetype w14:anchorId="3C51B6DD" id="_x0000_t202" coordsize="21600,21600" o:spt="202" path="m,l,21600r21600,l21600,xe">
              <v:stroke joinstyle="miter"/>
              <v:path gradientshapeok="t" o:connecttype="rect"/>
            </v:shapetype>
            <v:shape id="Text Box 118" o:spid="_x0000_s1114" type="#_x0000_t202" style="position:absolute;margin-left:83.95pt;margin-top:771.3pt;width:94.2pt;height:36.1pt;z-index:-251671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" filled="f" stroked="f">
              <v:textbox inset="0,0,0,0">
                <w:txbxContent>
                  <w:p w14:paraId="40268C42" w14:textId="77777777" w:rsidR="004C7180" w:rsidRDefault="00CF0754">
                    <w:pPr>
                      <w:spacing w:before="12"/>
                      <w:ind w:left="20"/>
                      <w:rPr>
                        <w:sz w:val="20"/>
                      </w:rPr>
                    </w:pPr>
                    <w:r>
                      <w:rPr>
                        <w:sz w:val="20"/>
                      </w:rPr>
                      <w:t>DPS</w:t>
                    </w:r>
                    <w:r>
                      <w:rPr>
                        <w:spacing w:val="-5"/>
                        <w:sz w:val="20"/>
                      </w:rPr>
                      <w:t xml:space="preserve"> </w:t>
                    </w:r>
                    <w:r>
                      <w:rPr>
                        <w:sz w:val="20"/>
                      </w:rPr>
                      <w:t>Ref:</w:t>
                    </w:r>
                    <w:r>
                      <w:rPr>
                        <w:spacing w:val="-4"/>
                        <w:sz w:val="20"/>
                      </w:rPr>
                      <w:t xml:space="preserve"> </w:t>
                    </w:r>
                    <w:r>
                      <w:rPr>
                        <w:spacing w:val="-2"/>
                        <w:sz w:val="20"/>
                      </w:rPr>
                      <w:t>RM6322</w:t>
                    </w:r>
                  </w:p>
                  <w:p w14:paraId="21DF976C" w14:textId="77777777" w:rsidR="004C7180" w:rsidRDefault="00CF0754">
                    <w:pPr>
                      <w:spacing w:before="1"/>
                      <w:ind w:left="20"/>
                      <w:rPr>
                        <w:sz w:val="20"/>
                      </w:rPr>
                    </w:pPr>
                    <w:r>
                      <w:rPr>
                        <w:sz w:val="20"/>
                      </w:rPr>
                      <w:t>Project</w:t>
                    </w:r>
                    <w:r>
                      <w:rPr>
                        <w:spacing w:val="-14"/>
                        <w:sz w:val="20"/>
                      </w:rPr>
                      <w:t xml:space="preserve"> </w:t>
                    </w:r>
                    <w:r>
                      <w:rPr>
                        <w:sz w:val="20"/>
                      </w:rPr>
                      <w:t>Version:</w:t>
                    </w:r>
                    <w:r>
                      <w:rPr>
                        <w:spacing w:val="-14"/>
                        <w:sz w:val="20"/>
                      </w:rPr>
                      <w:t xml:space="preserve"> </w:t>
                    </w:r>
                    <w:r>
                      <w:rPr>
                        <w:sz w:val="20"/>
                      </w:rPr>
                      <w:t>v1.0 Model Version: v1.1</w:t>
                    </w:r>
                  </w:p>
                </w:txbxContent>
              </v:textbox>
              <w10:wrap anchorx="page" anchory="page"/>
            </v:shape>
          </w:pict>
        </mc:Fallback>
      </mc:AlternateContent>
    </w:r>
    <w:r>
      <w:rPr>
        <w:noProof/>
        <w:lang w:val="en-GB" w:eastAsia="en-GB"/>
      </w:rPr>
      <mc:AlternateContent>
        <mc:Choice Requires="wps">
          <w:drawing>
            <wp:anchor distT="0" distB="0" distL="0" distR="0" simplePos="0" relativeHeight="251646464" behindDoc="1" locked="0" layoutInCell="1" allowOverlap="1" wp14:anchorId="43912409" wp14:editId="32204071">
              <wp:simplePos x="0" y="0"/>
              <wp:positionH relativeFrom="page">
                <wp:posOffset>6537855</wp:posOffset>
              </wp:positionH>
              <wp:positionV relativeFrom="page">
                <wp:posOffset>9942055</wp:posOffset>
              </wp:positionV>
              <wp:extent cx="159385" cy="167005"/>
              <wp:effectExtent l="0" t="0" r="0" b="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67005"/>
                      </a:xfrm>
                      <a:prstGeom prst="rect">
                        <a:avLst/>
                      </a:prstGeom>
                    </wps:spPr>
                    <wps:txbx>
                      <w:txbxContent>
                        <w:p w14:paraId="12156279" w14:textId="77777777" w:rsidR="004C7180" w:rsidRDefault="00CF0754">
                          <w:pPr>
                            <w:spacing w:before="12"/>
                            <w:ind w:left="60"/>
                            <w:rPr>
                              <w:sz w:val="20"/>
                            </w:rPr>
                          </w:pPr>
                          <w:r>
                            <w:rPr>
                              <w:w w:val="99"/>
                              <w:sz w:val="20"/>
                            </w:rPr>
                            <w:fldChar w:fldCharType="begin"/>
                          </w:r>
                          <w:r>
                            <w:rPr>
                              <w:w w:val="99"/>
                              <w:sz w:val="20"/>
                            </w:rPr>
                            <w:instrText xml:space="preserve"> PAGE </w:instrText>
                          </w:r>
                          <w:r>
                            <w:rPr>
                              <w:w w:val="99"/>
                              <w:sz w:val="20"/>
                            </w:rPr>
                            <w:fldChar w:fldCharType="separate"/>
                          </w:r>
                          <w:r>
                            <w:rPr>
                              <w:w w:val="99"/>
                              <w:sz w:val="20"/>
                            </w:rPr>
                            <w:t>1</w:t>
                          </w:r>
                          <w:r>
                            <w:rPr>
                              <w:w w:val="99"/>
                              <w:sz w:val="20"/>
                            </w:rPr>
                            <w:fldChar w:fldCharType="end"/>
                          </w:r>
                        </w:p>
                      </w:txbxContent>
                    </wps:txbx>
                    <wps:bodyPr wrap="square" lIns="0" tIns="0" rIns="0" bIns="0" rtlCol="0">
                      <a:noAutofit/>
                    </wps:bodyPr>
                  </wps:wsp>
                </a:graphicData>
              </a:graphic>
            </wp:anchor>
          </w:drawing>
        </mc:Choice>
        <mc:Fallback>
          <w:pict>
            <v:shape w14:anchorId="43912409" id="Text Box 119" o:spid="_x0000_s1115" type="#_x0000_t202" style="position:absolute;margin-left:514.8pt;margin-top:782.85pt;width:12.55pt;height:13.15pt;z-index:-25167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" filled="f" stroked="f">
              <v:textbox inset="0,0,0,0">
                <w:txbxContent>
                  <w:p w14:paraId="12156279" w14:textId="77777777" w:rsidR="004C7180" w:rsidRDefault="00CF0754">
                    <w:pPr>
                      <w:spacing w:before="12"/>
                      <w:ind w:left="60"/>
                      <w:rPr>
                        <w:sz w:val="20"/>
                      </w:rPr>
                    </w:pPr>
                    <w:r>
                      <w:rPr>
                        <w:w w:val="99"/>
                        <w:sz w:val="20"/>
                      </w:rPr>
                      <w:fldChar w:fldCharType="begin"/>
                    </w:r>
                    <w:r>
                      <w:rPr>
                        <w:w w:val="99"/>
                        <w:sz w:val="20"/>
                      </w:rPr>
                      <w:instrText xml:space="preserve"> PAGE </w:instrText>
                    </w:r>
                    <w:r>
                      <w:rPr>
                        <w:w w:val="99"/>
                        <w:sz w:val="20"/>
                      </w:rPr>
                      <w:fldChar w:fldCharType="separate"/>
                    </w:r>
                    <w:r>
                      <w:rPr>
                        <w:w w:val="99"/>
                        <w:sz w:val="20"/>
                      </w:rPr>
                      <w:t>1</w:t>
                    </w:r>
                    <w:r>
                      <w:rPr>
                        <w:w w:val="99"/>
                        <w:sz w:val="20"/>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9D257" w14:textId="77777777" w:rsidR="004C7180" w:rsidRDefault="00CF0754">
    <w:pPr>
      <w:pStyle w:val="BodyText"/>
      <w:spacing w:line="14" w:lineRule="auto"/>
      <w:rPr>
        <w:sz w:val="20"/>
      </w:rPr>
    </w:pPr>
    <w:r>
      <w:rPr>
        <w:noProof/>
        <w:lang w:val="en-GB" w:eastAsia="en-GB"/>
      </w:rPr>
      <mc:AlternateContent>
        <mc:Choice Requires="wps">
          <w:drawing>
            <wp:anchor distT="0" distB="0" distL="0" distR="0" simplePos="0" relativeHeight="251648512" behindDoc="1" locked="0" layoutInCell="1" allowOverlap="1" wp14:anchorId="4EE89D1A" wp14:editId="4CDFC0B7">
              <wp:simplePos x="0" y="0"/>
              <wp:positionH relativeFrom="page">
                <wp:posOffset>901700</wp:posOffset>
              </wp:positionH>
              <wp:positionV relativeFrom="page">
                <wp:posOffset>9795601</wp:posOffset>
              </wp:positionV>
              <wp:extent cx="1196340" cy="458470"/>
              <wp:effectExtent l="0" t="0" r="0" b="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6340" cy="458470"/>
                      </a:xfrm>
                      <a:prstGeom prst="rect">
                        <a:avLst/>
                      </a:prstGeom>
                    </wps:spPr>
                    <wps:txbx>
                      <w:txbxContent>
                        <w:p w14:paraId="2281FF35" w14:textId="77777777" w:rsidR="004C7180" w:rsidRDefault="00CF0754">
                          <w:pPr>
                            <w:spacing w:before="12"/>
                            <w:ind w:left="20"/>
                            <w:rPr>
                              <w:sz w:val="20"/>
                            </w:rPr>
                          </w:pPr>
                          <w:r>
                            <w:rPr>
                              <w:sz w:val="20"/>
                            </w:rPr>
                            <w:t>DPS</w:t>
                          </w:r>
                          <w:r>
                            <w:rPr>
                              <w:spacing w:val="-5"/>
                              <w:sz w:val="20"/>
                            </w:rPr>
                            <w:t xml:space="preserve"> </w:t>
                          </w:r>
                          <w:r>
                            <w:rPr>
                              <w:sz w:val="20"/>
                            </w:rPr>
                            <w:t>Ref:</w:t>
                          </w:r>
                          <w:r>
                            <w:rPr>
                              <w:spacing w:val="-4"/>
                              <w:sz w:val="20"/>
                            </w:rPr>
                            <w:t xml:space="preserve"> </w:t>
                          </w:r>
                          <w:r>
                            <w:rPr>
                              <w:spacing w:val="-2"/>
                              <w:sz w:val="20"/>
                            </w:rPr>
                            <w:t>RM6322</w:t>
                          </w:r>
                        </w:p>
                        <w:p w14:paraId="70286267" w14:textId="77777777" w:rsidR="004C7180" w:rsidRDefault="00CF0754">
                          <w:pPr>
                            <w:spacing w:before="1"/>
                            <w:ind w:left="20"/>
                            <w:rPr>
                              <w:sz w:val="20"/>
                            </w:rPr>
                          </w:pPr>
                          <w:r>
                            <w:rPr>
                              <w:sz w:val="20"/>
                            </w:rPr>
                            <w:t>Project</w:t>
                          </w:r>
                          <w:r>
                            <w:rPr>
                              <w:spacing w:val="-14"/>
                              <w:sz w:val="20"/>
                            </w:rPr>
                            <w:t xml:space="preserve"> </w:t>
                          </w:r>
                          <w:r>
                            <w:rPr>
                              <w:sz w:val="20"/>
                            </w:rPr>
                            <w:t>Version:</w:t>
                          </w:r>
                          <w:r>
                            <w:rPr>
                              <w:spacing w:val="-14"/>
                              <w:sz w:val="20"/>
                            </w:rPr>
                            <w:t xml:space="preserve"> </w:t>
                          </w:r>
                          <w:r>
                            <w:rPr>
                              <w:sz w:val="20"/>
                            </w:rPr>
                            <w:t>v1.0 Model Version: v1.1</w:t>
                          </w:r>
                        </w:p>
                      </w:txbxContent>
                    </wps:txbx>
                    <wps:bodyPr wrap="square" lIns="0" tIns="0" rIns="0" bIns="0" rtlCol="0">
                      <a:noAutofit/>
                    </wps:bodyPr>
                  </wps:wsp>
                </a:graphicData>
              </a:graphic>
            </wp:anchor>
          </w:drawing>
        </mc:Choice>
        <mc:Fallback>
          <w:pict>
            <v:shapetype w14:anchorId="4EE89D1A" id="_x0000_t202" coordsize="21600,21600" o:spt="202" path="m,l,21600r21600,l21600,xe">
              <v:stroke joinstyle="miter"/>
              <v:path gradientshapeok="t" o:connecttype="rect"/>
            </v:shapetype>
            <v:shape id="Text Box 121" o:spid="_x0000_s1117" type="#_x0000_t202" style="position:absolute;margin-left:71pt;margin-top:771.3pt;width:94.2pt;height:36.1pt;z-index:-25166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" filled="f" stroked="f">
              <v:textbox inset="0,0,0,0">
                <w:txbxContent>
                  <w:p w14:paraId="2281FF35" w14:textId="77777777" w:rsidR="004C7180" w:rsidRDefault="00CF0754">
                    <w:pPr>
                      <w:spacing w:before="12"/>
                      <w:ind w:left="20"/>
                      <w:rPr>
                        <w:sz w:val="20"/>
                      </w:rPr>
                    </w:pPr>
                    <w:r>
                      <w:rPr>
                        <w:sz w:val="20"/>
                      </w:rPr>
                      <w:t>DPS</w:t>
                    </w:r>
                    <w:r>
                      <w:rPr>
                        <w:spacing w:val="-5"/>
                        <w:sz w:val="20"/>
                      </w:rPr>
                      <w:t xml:space="preserve"> </w:t>
                    </w:r>
                    <w:r>
                      <w:rPr>
                        <w:sz w:val="20"/>
                      </w:rPr>
                      <w:t>Ref:</w:t>
                    </w:r>
                    <w:r>
                      <w:rPr>
                        <w:spacing w:val="-4"/>
                        <w:sz w:val="20"/>
                      </w:rPr>
                      <w:t xml:space="preserve"> </w:t>
                    </w:r>
                    <w:r>
                      <w:rPr>
                        <w:spacing w:val="-2"/>
                        <w:sz w:val="20"/>
                      </w:rPr>
                      <w:t>RM6322</w:t>
                    </w:r>
                  </w:p>
                  <w:p w14:paraId="70286267" w14:textId="77777777" w:rsidR="004C7180" w:rsidRDefault="00CF0754">
                    <w:pPr>
                      <w:spacing w:before="1"/>
                      <w:ind w:left="20"/>
                      <w:rPr>
                        <w:sz w:val="20"/>
                      </w:rPr>
                    </w:pPr>
                    <w:r>
                      <w:rPr>
                        <w:sz w:val="20"/>
                      </w:rPr>
                      <w:t>Project</w:t>
                    </w:r>
                    <w:r>
                      <w:rPr>
                        <w:spacing w:val="-14"/>
                        <w:sz w:val="20"/>
                      </w:rPr>
                      <w:t xml:space="preserve"> </w:t>
                    </w:r>
                    <w:r>
                      <w:rPr>
                        <w:sz w:val="20"/>
                      </w:rPr>
                      <w:t>Version:</w:t>
                    </w:r>
                    <w:r>
                      <w:rPr>
                        <w:spacing w:val="-14"/>
                        <w:sz w:val="20"/>
                      </w:rPr>
                      <w:t xml:space="preserve"> </w:t>
                    </w:r>
                    <w:r>
                      <w:rPr>
                        <w:sz w:val="20"/>
                      </w:rPr>
                      <w:t>v1.0 Model Version: v1.1</w:t>
                    </w:r>
                  </w:p>
                </w:txbxContent>
              </v:textbox>
              <w10:wrap anchorx="page" anchory="page"/>
            </v:shape>
          </w:pict>
        </mc:Fallback>
      </mc:AlternateContent>
    </w:r>
    <w:r>
      <w:rPr>
        <w:noProof/>
        <w:lang w:val="en-GB" w:eastAsia="en-GB"/>
      </w:rPr>
      <mc:AlternateContent>
        <mc:Choice Requires="wps">
          <w:drawing>
            <wp:anchor distT="0" distB="0" distL="0" distR="0" simplePos="0" relativeHeight="251649536" behindDoc="1" locked="0" layoutInCell="1" allowOverlap="1" wp14:anchorId="3EF11741" wp14:editId="4215EC3C">
              <wp:simplePos x="0" y="0"/>
              <wp:positionH relativeFrom="page">
                <wp:posOffset>6537955</wp:posOffset>
              </wp:positionH>
              <wp:positionV relativeFrom="page">
                <wp:posOffset>9941952</wp:posOffset>
              </wp:positionV>
              <wp:extent cx="159385" cy="167005"/>
              <wp:effectExtent l="0" t="0" r="0" b="0"/>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67005"/>
                      </a:xfrm>
                      <a:prstGeom prst="rect">
                        <a:avLst/>
                      </a:prstGeom>
                    </wps:spPr>
                    <wps:txbx>
                      <w:txbxContent>
                        <w:p w14:paraId="27DA2EED" w14:textId="77777777" w:rsidR="004C7180" w:rsidRDefault="00CF0754">
                          <w:pPr>
                            <w:spacing w:before="12"/>
                            <w:ind w:left="60"/>
                            <w:rPr>
                              <w:sz w:val="20"/>
                            </w:rPr>
                          </w:pPr>
                          <w:r>
                            <w:rPr>
                              <w:w w:val="99"/>
                              <w:sz w:val="20"/>
                            </w:rPr>
                            <w:fldChar w:fldCharType="begin"/>
                          </w:r>
                          <w:r>
                            <w:rPr>
                              <w:w w:val="99"/>
                              <w:sz w:val="20"/>
                            </w:rPr>
                            <w:instrText xml:space="preserve"> PAGE </w:instrText>
                          </w:r>
                          <w:r>
                            <w:rPr>
                              <w:w w:val="99"/>
                              <w:sz w:val="20"/>
                            </w:rPr>
                            <w:fldChar w:fldCharType="separate"/>
                          </w:r>
                          <w:r>
                            <w:rPr>
                              <w:w w:val="99"/>
                              <w:sz w:val="20"/>
                            </w:rPr>
                            <w:t>1</w:t>
                          </w:r>
                          <w:r>
                            <w:rPr>
                              <w:w w:val="99"/>
                              <w:sz w:val="20"/>
                            </w:rPr>
                            <w:fldChar w:fldCharType="end"/>
                          </w:r>
                        </w:p>
                      </w:txbxContent>
                    </wps:txbx>
                    <wps:bodyPr wrap="square" lIns="0" tIns="0" rIns="0" bIns="0" rtlCol="0">
                      <a:noAutofit/>
                    </wps:bodyPr>
                  </wps:wsp>
                </a:graphicData>
              </a:graphic>
            </wp:anchor>
          </w:drawing>
        </mc:Choice>
        <mc:Fallback>
          <w:pict>
            <v:shape w14:anchorId="3EF11741" id="Text Box 122" o:spid="_x0000_s1118" type="#_x0000_t202" style="position:absolute;margin-left:514.8pt;margin-top:782.85pt;width:12.55pt;height:13.15pt;z-index:-25166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" filled="f" stroked="f">
              <v:textbox inset="0,0,0,0">
                <w:txbxContent>
                  <w:p w14:paraId="27DA2EED" w14:textId="77777777" w:rsidR="004C7180" w:rsidRDefault="00CF0754">
                    <w:pPr>
                      <w:spacing w:before="12"/>
                      <w:ind w:left="60"/>
                      <w:rPr>
                        <w:sz w:val="20"/>
                      </w:rPr>
                    </w:pPr>
                    <w:r>
                      <w:rPr>
                        <w:w w:val="99"/>
                        <w:sz w:val="20"/>
                      </w:rPr>
                      <w:fldChar w:fldCharType="begin"/>
                    </w:r>
                    <w:r>
                      <w:rPr>
                        <w:w w:val="99"/>
                        <w:sz w:val="20"/>
                      </w:rPr>
                      <w:instrText xml:space="preserve"> PAGE </w:instrText>
                    </w:r>
                    <w:r>
                      <w:rPr>
                        <w:w w:val="99"/>
                        <w:sz w:val="20"/>
                      </w:rPr>
                      <w:fldChar w:fldCharType="separate"/>
                    </w:r>
                    <w:r>
                      <w:rPr>
                        <w:w w:val="99"/>
                        <w:sz w:val="20"/>
                      </w:rPr>
                      <w:t>1</w:t>
                    </w:r>
                    <w:r>
                      <w:rPr>
                        <w:w w:val="99"/>
                        <w:sz w:val="20"/>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D69FA" w14:textId="77777777" w:rsidR="004C7180" w:rsidRDefault="00CF0754">
    <w:pPr>
      <w:pStyle w:val="BodyText"/>
      <w:spacing w:line="14" w:lineRule="auto"/>
      <w:rPr>
        <w:sz w:val="20"/>
      </w:rPr>
    </w:pPr>
    <w:r>
      <w:rPr>
        <w:noProof/>
        <w:lang w:val="en-GB" w:eastAsia="en-GB"/>
      </w:rPr>
      <mc:AlternateContent>
        <mc:Choice Requires="wps">
          <w:drawing>
            <wp:anchor distT="0" distB="0" distL="0" distR="0" simplePos="0" relativeHeight="251651584" behindDoc="1" locked="0" layoutInCell="1" allowOverlap="1" wp14:anchorId="79E39708" wp14:editId="2B2617C7">
              <wp:simplePos x="0" y="0"/>
              <wp:positionH relativeFrom="page">
                <wp:posOffset>676148</wp:posOffset>
              </wp:positionH>
              <wp:positionV relativeFrom="page">
                <wp:posOffset>8692920</wp:posOffset>
              </wp:positionV>
              <wp:extent cx="907415" cy="351790"/>
              <wp:effectExtent l="0" t="0" r="0" b="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7415" cy="351790"/>
                      </a:xfrm>
                      <a:prstGeom prst="rect">
                        <a:avLst/>
                      </a:prstGeom>
                    </wps:spPr>
                    <wps:txbx>
                      <w:txbxContent>
                        <w:p w14:paraId="2CC02D13" w14:textId="77777777" w:rsidR="004C7180" w:rsidRDefault="00CF0754">
                          <w:pPr>
                            <w:spacing w:before="15"/>
                            <w:ind w:left="20"/>
                            <w:rPr>
                              <w:sz w:val="15"/>
                            </w:rPr>
                          </w:pPr>
                          <w:r>
                            <w:rPr>
                              <w:sz w:val="15"/>
                            </w:rPr>
                            <w:t>DPS</w:t>
                          </w:r>
                          <w:r>
                            <w:rPr>
                              <w:spacing w:val="-3"/>
                              <w:sz w:val="15"/>
                            </w:rPr>
                            <w:t xml:space="preserve"> </w:t>
                          </w:r>
                          <w:r>
                            <w:rPr>
                              <w:sz w:val="15"/>
                            </w:rPr>
                            <w:t xml:space="preserve">Ref: </w:t>
                          </w:r>
                          <w:r>
                            <w:rPr>
                              <w:spacing w:val="-2"/>
                              <w:sz w:val="15"/>
                            </w:rPr>
                            <w:t>RM6322</w:t>
                          </w:r>
                        </w:p>
                        <w:p w14:paraId="638E0991" w14:textId="77777777" w:rsidR="004C7180" w:rsidRDefault="00CF0754">
                          <w:pPr>
                            <w:spacing w:before="1"/>
                            <w:ind w:left="20"/>
                            <w:rPr>
                              <w:sz w:val="15"/>
                            </w:rPr>
                          </w:pPr>
                          <w:r>
                            <w:rPr>
                              <w:sz w:val="15"/>
                            </w:rPr>
                            <w:t>Project</w:t>
                          </w:r>
                          <w:r>
                            <w:rPr>
                              <w:spacing w:val="-11"/>
                              <w:sz w:val="15"/>
                            </w:rPr>
                            <w:t xml:space="preserve"> </w:t>
                          </w:r>
                          <w:r>
                            <w:rPr>
                              <w:sz w:val="15"/>
                            </w:rPr>
                            <w:t>Version:</w:t>
                          </w:r>
                          <w:r>
                            <w:rPr>
                              <w:spacing w:val="-10"/>
                              <w:sz w:val="15"/>
                            </w:rPr>
                            <w:t xml:space="preserve"> </w:t>
                          </w:r>
                          <w:r>
                            <w:rPr>
                              <w:sz w:val="15"/>
                            </w:rPr>
                            <w:t>v1.0 Model Version: v1.1</w:t>
                          </w:r>
                        </w:p>
                      </w:txbxContent>
                    </wps:txbx>
                    <wps:bodyPr wrap="square" lIns="0" tIns="0" rIns="0" bIns="0" rtlCol="0">
                      <a:noAutofit/>
                    </wps:bodyPr>
                  </wps:wsp>
                </a:graphicData>
              </a:graphic>
            </wp:anchor>
          </w:drawing>
        </mc:Choice>
        <mc:Fallback>
          <w:pict>
            <v:shapetype w14:anchorId="79E39708" id="_x0000_t202" coordsize="21600,21600" o:spt="202" path="m,l,21600r21600,l21600,xe">
              <v:stroke joinstyle="miter"/>
              <v:path gradientshapeok="t" o:connecttype="rect"/>
            </v:shapetype>
            <v:shape id="Text Box 124" o:spid="_x0000_s1120" type="#_x0000_t202" style="position:absolute;margin-left:53.25pt;margin-top:684.5pt;width:71.45pt;height:27.7pt;z-index:-25166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" filled="f" stroked="f">
              <v:textbox inset="0,0,0,0">
                <w:txbxContent>
                  <w:p w14:paraId="2CC02D13" w14:textId="77777777" w:rsidR="004C7180" w:rsidRDefault="00CF0754">
                    <w:pPr>
                      <w:spacing w:before="15"/>
                      <w:ind w:left="20"/>
                      <w:rPr>
                        <w:sz w:val="15"/>
                      </w:rPr>
                    </w:pPr>
                    <w:r>
                      <w:rPr>
                        <w:sz w:val="15"/>
                      </w:rPr>
                      <w:t>DPS</w:t>
                    </w:r>
                    <w:r>
                      <w:rPr>
                        <w:spacing w:val="-3"/>
                        <w:sz w:val="15"/>
                      </w:rPr>
                      <w:t xml:space="preserve"> </w:t>
                    </w:r>
                    <w:r>
                      <w:rPr>
                        <w:sz w:val="15"/>
                      </w:rPr>
                      <w:t xml:space="preserve">Ref: </w:t>
                    </w:r>
                    <w:r>
                      <w:rPr>
                        <w:spacing w:val="-2"/>
                        <w:sz w:val="15"/>
                      </w:rPr>
                      <w:t>RM6322</w:t>
                    </w:r>
                  </w:p>
                  <w:p w14:paraId="638E0991" w14:textId="77777777" w:rsidR="004C7180" w:rsidRDefault="00CF0754">
                    <w:pPr>
                      <w:spacing w:before="1"/>
                      <w:ind w:left="20"/>
                      <w:rPr>
                        <w:sz w:val="15"/>
                      </w:rPr>
                    </w:pPr>
                    <w:r>
                      <w:rPr>
                        <w:sz w:val="15"/>
                      </w:rPr>
                      <w:t>Project</w:t>
                    </w:r>
                    <w:r>
                      <w:rPr>
                        <w:spacing w:val="-11"/>
                        <w:sz w:val="15"/>
                      </w:rPr>
                      <w:t xml:space="preserve"> </w:t>
                    </w:r>
                    <w:r>
                      <w:rPr>
                        <w:sz w:val="15"/>
                      </w:rPr>
                      <w:t>Version:</w:t>
                    </w:r>
                    <w:r>
                      <w:rPr>
                        <w:spacing w:val="-10"/>
                        <w:sz w:val="15"/>
                      </w:rPr>
                      <w:t xml:space="preserve"> </w:t>
                    </w:r>
                    <w:r>
                      <w:rPr>
                        <w:sz w:val="15"/>
                      </w:rPr>
                      <w:t>v1.0 Model Version: v1.1</w:t>
                    </w:r>
                  </w:p>
                </w:txbxContent>
              </v:textbox>
              <w10:wrap anchorx="page" anchory="page"/>
            </v:shape>
          </w:pict>
        </mc:Fallback>
      </mc:AlternateContent>
    </w:r>
    <w:r>
      <w:rPr>
        <w:noProof/>
        <w:lang w:val="en-GB" w:eastAsia="en-GB"/>
      </w:rPr>
      <mc:AlternateContent>
        <mc:Choice Requires="wps">
          <w:drawing>
            <wp:anchor distT="0" distB="0" distL="0" distR="0" simplePos="0" relativeHeight="251652608" behindDoc="1" locked="0" layoutInCell="1" allowOverlap="1" wp14:anchorId="6F6AE928" wp14:editId="737FA8C0">
              <wp:simplePos x="0" y="0"/>
              <wp:positionH relativeFrom="page">
                <wp:posOffset>4915861</wp:posOffset>
              </wp:positionH>
              <wp:positionV relativeFrom="page">
                <wp:posOffset>8803171</wp:posOffset>
              </wp:positionV>
              <wp:extent cx="142240" cy="132080"/>
              <wp:effectExtent l="0" t="0" r="0" b="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240" cy="132080"/>
                      </a:xfrm>
                      <a:prstGeom prst="rect">
                        <a:avLst/>
                      </a:prstGeom>
                    </wps:spPr>
                    <wps:txbx>
                      <w:txbxContent>
                        <w:p w14:paraId="59CF0C39" w14:textId="77777777" w:rsidR="004C7180" w:rsidRDefault="00CF0754">
                          <w:pPr>
                            <w:spacing w:before="15"/>
                            <w:ind w:left="60"/>
                            <w:rPr>
                              <w:sz w:val="15"/>
                            </w:rPr>
                          </w:pPr>
                          <w:r>
                            <w:rPr>
                              <w:sz w:val="15"/>
                            </w:rPr>
                            <w:fldChar w:fldCharType="begin"/>
                          </w:r>
                          <w:r>
                            <w:rPr>
                              <w:sz w:val="15"/>
                            </w:rPr>
                            <w:instrText xml:space="preserve"> PAGE </w:instrText>
                          </w:r>
                          <w:r>
                            <w:rPr>
                              <w:sz w:val="15"/>
                            </w:rPr>
                            <w:fldChar w:fldCharType="separate"/>
                          </w:r>
                          <w:r>
                            <w:rPr>
                              <w:sz w:val="15"/>
                            </w:rPr>
                            <w:t>1</w:t>
                          </w:r>
                          <w:r>
                            <w:rPr>
                              <w:sz w:val="15"/>
                            </w:rPr>
                            <w:fldChar w:fldCharType="end"/>
                          </w:r>
                        </w:p>
                      </w:txbxContent>
                    </wps:txbx>
                    <wps:bodyPr wrap="square" lIns="0" tIns="0" rIns="0" bIns="0" rtlCol="0">
                      <a:noAutofit/>
                    </wps:bodyPr>
                  </wps:wsp>
                </a:graphicData>
              </a:graphic>
            </wp:anchor>
          </w:drawing>
        </mc:Choice>
        <mc:Fallback>
          <w:pict>
            <v:shape w14:anchorId="6F6AE928" id="Text Box 125" o:spid="_x0000_s1121" type="#_x0000_t202" style="position:absolute;margin-left:387.1pt;margin-top:693.15pt;width:11.2pt;height:10.4pt;z-index:-25166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" filled="f" stroked="f">
              <v:textbox inset="0,0,0,0">
                <w:txbxContent>
                  <w:p w14:paraId="59CF0C39" w14:textId="77777777" w:rsidR="004C7180" w:rsidRDefault="00CF0754">
                    <w:pPr>
                      <w:spacing w:before="15"/>
                      <w:ind w:left="60"/>
                      <w:rPr>
                        <w:sz w:val="15"/>
                      </w:rPr>
                    </w:pPr>
                    <w:r>
                      <w:rPr>
                        <w:sz w:val="15"/>
                      </w:rPr>
                      <w:fldChar w:fldCharType="begin"/>
                    </w:r>
                    <w:r>
                      <w:rPr>
                        <w:sz w:val="15"/>
                      </w:rPr>
                      <w:instrText xml:space="preserve"> PAGE </w:instrText>
                    </w:r>
                    <w:r>
                      <w:rPr>
                        <w:sz w:val="15"/>
                      </w:rPr>
                      <w:fldChar w:fldCharType="separate"/>
                    </w:r>
                    <w:r>
                      <w:rPr>
                        <w:sz w:val="15"/>
                      </w:rPr>
                      <w:t>1</w:t>
                    </w:r>
                    <w:r>
                      <w:rPr>
                        <w:sz w:val="15"/>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B3C88" w14:textId="77777777" w:rsidR="004C7180" w:rsidRDefault="004C7180">
    <w:pPr>
      <w:pStyle w:val="BodyText"/>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AF347" w14:textId="77777777" w:rsidR="004C7180" w:rsidRDefault="00CF0754">
    <w:pPr>
      <w:pStyle w:val="BodyText"/>
      <w:spacing w:line="14" w:lineRule="auto"/>
      <w:rPr>
        <w:sz w:val="20"/>
      </w:rPr>
    </w:pPr>
    <w:r>
      <w:rPr>
        <w:noProof/>
        <w:lang w:val="en-GB" w:eastAsia="en-GB"/>
      </w:rPr>
      <mc:AlternateContent>
        <mc:Choice Requires="wps">
          <w:drawing>
            <wp:anchor distT="0" distB="0" distL="0" distR="0" simplePos="0" relativeHeight="251654656" behindDoc="1" locked="0" layoutInCell="1" allowOverlap="1" wp14:anchorId="4D12FF82" wp14:editId="6CE10759">
              <wp:simplePos x="0" y="0"/>
              <wp:positionH relativeFrom="page">
                <wp:posOffset>676148</wp:posOffset>
              </wp:positionH>
              <wp:positionV relativeFrom="page">
                <wp:posOffset>8692920</wp:posOffset>
              </wp:positionV>
              <wp:extent cx="907415" cy="351790"/>
              <wp:effectExtent l="0" t="0" r="0" b="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7415" cy="351790"/>
                      </a:xfrm>
                      <a:prstGeom prst="rect">
                        <a:avLst/>
                      </a:prstGeom>
                    </wps:spPr>
                    <wps:txbx>
                      <w:txbxContent>
                        <w:p w14:paraId="02FFE2E1" w14:textId="77777777" w:rsidR="004C7180" w:rsidRDefault="00CF0754">
                          <w:pPr>
                            <w:spacing w:before="15"/>
                            <w:ind w:left="20"/>
                            <w:rPr>
                              <w:sz w:val="15"/>
                            </w:rPr>
                          </w:pPr>
                          <w:r>
                            <w:rPr>
                              <w:sz w:val="15"/>
                            </w:rPr>
                            <w:t>DPS</w:t>
                          </w:r>
                          <w:r>
                            <w:rPr>
                              <w:spacing w:val="-3"/>
                              <w:sz w:val="15"/>
                            </w:rPr>
                            <w:t xml:space="preserve"> </w:t>
                          </w:r>
                          <w:r>
                            <w:rPr>
                              <w:sz w:val="15"/>
                            </w:rPr>
                            <w:t xml:space="preserve">Ref: </w:t>
                          </w:r>
                          <w:r>
                            <w:rPr>
                              <w:spacing w:val="-2"/>
                              <w:sz w:val="15"/>
                            </w:rPr>
                            <w:t>RM6322</w:t>
                          </w:r>
                        </w:p>
                        <w:p w14:paraId="2DAF7914" w14:textId="77777777" w:rsidR="004C7180" w:rsidRDefault="00CF0754">
                          <w:pPr>
                            <w:spacing w:before="1"/>
                            <w:ind w:left="20"/>
                            <w:rPr>
                              <w:sz w:val="15"/>
                            </w:rPr>
                          </w:pPr>
                          <w:r>
                            <w:rPr>
                              <w:sz w:val="15"/>
                            </w:rPr>
                            <w:t>Project</w:t>
                          </w:r>
                          <w:r>
                            <w:rPr>
                              <w:spacing w:val="-11"/>
                              <w:sz w:val="15"/>
                            </w:rPr>
                            <w:t xml:space="preserve"> </w:t>
                          </w:r>
                          <w:r>
                            <w:rPr>
                              <w:sz w:val="15"/>
                            </w:rPr>
                            <w:t>Version:</w:t>
                          </w:r>
                          <w:r>
                            <w:rPr>
                              <w:spacing w:val="-10"/>
                              <w:sz w:val="15"/>
                            </w:rPr>
                            <w:t xml:space="preserve"> </w:t>
                          </w:r>
                          <w:r>
                            <w:rPr>
                              <w:sz w:val="15"/>
                            </w:rPr>
                            <w:t>v1.0 Model Version: v1.1</w:t>
                          </w:r>
                        </w:p>
                      </w:txbxContent>
                    </wps:txbx>
                    <wps:bodyPr wrap="square" lIns="0" tIns="0" rIns="0" bIns="0" rtlCol="0">
                      <a:noAutofit/>
                    </wps:bodyPr>
                  </wps:wsp>
                </a:graphicData>
              </a:graphic>
            </wp:anchor>
          </w:drawing>
        </mc:Choice>
        <mc:Fallback>
          <w:pict>
            <v:shapetype w14:anchorId="4D12FF82" id="_x0000_t202" coordsize="21600,21600" o:spt="202" path="m,l,21600r21600,l21600,xe">
              <v:stroke joinstyle="miter"/>
              <v:path gradientshapeok="t" o:connecttype="rect"/>
            </v:shapetype>
            <v:shape id="Text Box 132" o:spid="_x0000_s1123" type="#_x0000_t202" style="position:absolute;margin-left:53.25pt;margin-top:684.5pt;width:71.45pt;height:27.7pt;z-index:-25166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" filled="f" stroked="f">
              <v:textbox inset="0,0,0,0">
                <w:txbxContent>
                  <w:p w14:paraId="02FFE2E1" w14:textId="77777777" w:rsidR="004C7180" w:rsidRDefault="00CF0754">
                    <w:pPr>
                      <w:spacing w:before="15"/>
                      <w:ind w:left="20"/>
                      <w:rPr>
                        <w:sz w:val="15"/>
                      </w:rPr>
                    </w:pPr>
                    <w:r>
                      <w:rPr>
                        <w:sz w:val="15"/>
                      </w:rPr>
                      <w:t>DPS</w:t>
                    </w:r>
                    <w:r>
                      <w:rPr>
                        <w:spacing w:val="-3"/>
                        <w:sz w:val="15"/>
                      </w:rPr>
                      <w:t xml:space="preserve"> </w:t>
                    </w:r>
                    <w:r>
                      <w:rPr>
                        <w:sz w:val="15"/>
                      </w:rPr>
                      <w:t xml:space="preserve">Ref: </w:t>
                    </w:r>
                    <w:r>
                      <w:rPr>
                        <w:spacing w:val="-2"/>
                        <w:sz w:val="15"/>
                      </w:rPr>
                      <w:t>RM6322</w:t>
                    </w:r>
                  </w:p>
                  <w:p w14:paraId="2DAF7914" w14:textId="77777777" w:rsidR="004C7180" w:rsidRDefault="00CF0754">
                    <w:pPr>
                      <w:spacing w:before="1"/>
                      <w:ind w:left="20"/>
                      <w:rPr>
                        <w:sz w:val="15"/>
                      </w:rPr>
                    </w:pPr>
                    <w:r>
                      <w:rPr>
                        <w:sz w:val="15"/>
                      </w:rPr>
                      <w:t>Project</w:t>
                    </w:r>
                    <w:r>
                      <w:rPr>
                        <w:spacing w:val="-11"/>
                        <w:sz w:val="15"/>
                      </w:rPr>
                      <w:t xml:space="preserve"> </w:t>
                    </w:r>
                    <w:r>
                      <w:rPr>
                        <w:sz w:val="15"/>
                      </w:rPr>
                      <w:t>Version:</w:t>
                    </w:r>
                    <w:r>
                      <w:rPr>
                        <w:spacing w:val="-10"/>
                        <w:sz w:val="15"/>
                      </w:rPr>
                      <w:t xml:space="preserve"> </w:t>
                    </w:r>
                    <w:r>
                      <w:rPr>
                        <w:sz w:val="15"/>
                      </w:rPr>
                      <w:t>v1.0 Model Version: v1.1</w:t>
                    </w:r>
                  </w:p>
                </w:txbxContent>
              </v:textbox>
              <w10:wrap anchorx="page" anchory="page"/>
            </v:shape>
          </w:pict>
        </mc:Fallback>
      </mc:AlternateContent>
    </w:r>
    <w:r>
      <w:rPr>
        <w:noProof/>
        <w:lang w:val="en-GB" w:eastAsia="en-GB"/>
      </w:rPr>
      <mc:AlternateContent>
        <mc:Choice Requires="wps">
          <w:drawing>
            <wp:anchor distT="0" distB="0" distL="0" distR="0" simplePos="0" relativeHeight="251655680" behindDoc="1" locked="0" layoutInCell="1" allowOverlap="1" wp14:anchorId="0FE3DB78" wp14:editId="33674111">
              <wp:simplePos x="0" y="0"/>
              <wp:positionH relativeFrom="page">
                <wp:posOffset>4861927</wp:posOffset>
              </wp:positionH>
              <wp:positionV relativeFrom="page">
                <wp:posOffset>8803171</wp:posOffset>
              </wp:positionV>
              <wp:extent cx="194945" cy="132080"/>
              <wp:effectExtent l="0" t="0" r="0" b="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132080"/>
                      </a:xfrm>
                      <a:prstGeom prst="rect">
                        <a:avLst/>
                      </a:prstGeom>
                    </wps:spPr>
                    <wps:txbx>
                      <w:txbxContent>
                        <w:p w14:paraId="7877D4C5" w14:textId="77777777" w:rsidR="004C7180" w:rsidRDefault="00CF0754">
                          <w:pPr>
                            <w:spacing w:before="15"/>
                            <w:ind w:left="60"/>
                            <w:rPr>
                              <w:sz w:val="15"/>
                            </w:rPr>
                          </w:pPr>
                          <w:r>
                            <w:rPr>
                              <w:spacing w:val="-5"/>
                              <w:sz w:val="15"/>
                            </w:rPr>
                            <w:fldChar w:fldCharType="begin"/>
                          </w:r>
                          <w:r>
                            <w:rPr>
                              <w:spacing w:val="-5"/>
                              <w:sz w:val="15"/>
                            </w:rPr>
                            <w:instrText xml:space="preserve"> PAGE </w:instrText>
                          </w:r>
                          <w:r>
                            <w:rPr>
                              <w:spacing w:val="-5"/>
                              <w:sz w:val="15"/>
                            </w:rPr>
                            <w:fldChar w:fldCharType="separate"/>
                          </w:r>
                          <w:r>
                            <w:rPr>
                              <w:spacing w:val="-5"/>
                              <w:sz w:val="15"/>
                            </w:rPr>
                            <w:t>10</w:t>
                          </w:r>
                          <w:r>
                            <w:rPr>
                              <w:spacing w:val="-5"/>
                              <w:sz w:val="15"/>
                            </w:rPr>
                            <w:fldChar w:fldCharType="end"/>
                          </w:r>
                        </w:p>
                      </w:txbxContent>
                    </wps:txbx>
                    <wps:bodyPr wrap="square" lIns="0" tIns="0" rIns="0" bIns="0" rtlCol="0">
                      <a:noAutofit/>
                    </wps:bodyPr>
                  </wps:wsp>
                </a:graphicData>
              </a:graphic>
            </wp:anchor>
          </w:drawing>
        </mc:Choice>
        <mc:Fallback>
          <w:pict>
            <v:shape w14:anchorId="0FE3DB78" id="Text Box 133" o:spid="_x0000_s1124" type="#_x0000_t202" style="position:absolute;margin-left:382.85pt;margin-top:693.15pt;width:15.35pt;height:10.4pt;z-index:-25166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" filled="f" stroked="f">
              <v:textbox inset="0,0,0,0">
                <w:txbxContent>
                  <w:p w14:paraId="7877D4C5" w14:textId="77777777" w:rsidR="004C7180" w:rsidRDefault="00CF0754">
                    <w:pPr>
                      <w:spacing w:before="15"/>
                      <w:ind w:left="60"/>
                      <w:rPr>
                        <w:sz w:val="15"/>
                      </w:rPr>
                    </w:pPr>
                    <w:r>
                      <w:rPr>
                        <w:spacing w:val="-5"/>
                        <w:sz w:val="15"/>
                      </w:rPr>
                      <w:fldChar w:fldCharType="begin"/>
                    </w:r>
                    <w:r>
                      <w:rPr>
                        <w:spacing w:val="-5"/>
                        <w:sz w:val="15"/>
                      </w:rPr>
                      <w:instrText xml:space="preserve"> PAGE </w:instrText>
                    </w:r>
                    <w:r>
                      <w:rPr>
                        <w:spacing w:val="-5"/>
                        <w:sz w:val="15"/>
                      </w:rPr>
                      <w:fldChar w:fldCharType="separate"/>
                    </w:r>
                    <w:r>
                      <w:rPr>
                        <w:spacing w:val="-5"/>
                        <w:sz w:val="15"/>
                      </w:rPr>
                      <w:t>10</w:t>
                    </w:r>
                    <w:r>
                      <w:rPr>
                        <w:spacing w:val="-5"/>
                        <w:sz w:val="15"/>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A89A4" w14:textId="77777777" w:rsidR="004C7180" w:rsidRDefault="00CF0754">
    <w:pPr>
      <w:pStyle w:val="BodyText"/>
      <w:spacing w:line="14" w:lineRule="auto"/>
      <w:rPr>
        <w:sz w:val="20"/>
      </w:rPr>
    </w:pPr>
    <w:r>
      <w:rPr>
        <w:noProof/>
        <w:lang w:val="en-GB" w:eastAsia="en-GB"/>
      </w:rPr>
      <mc:AlternateContent>
        <mc:Choice Requires="wps">
          <w:drawing>
            <wp:anchor distT="0" distB="0" distL="0" distR="0" simplePos="0" relativeHeight="251657728" behindDoc="1" locked="0" layoutInCell="1" allowOverlap="1" wp14:anchorId="04720A11" wp14:editId="25F8E028">
              <wp:simplePos x="0" y="0"/>
              <wp:positionH relativeFrom="page">
                <wp:posOffset>676148</wp:posOffset>
              </wp:positionH>
              <wp:positionV relativeFrom="page">
                <wp:posOffset>8913387</wp:posOffset>
              </wp:positionV>
              <wp:extent cx="870585" cy="132080"/>
              <wp:effectExtent l="0" t="0" r="0" b="0"/>
              <wp:wrapNone/>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0585" cy="132080"/>
                      </a:xfrm>
                      <a:prstGeom prst="rect">
                        <a:avLst/>
                      </a:prstGeom>
                    </wps:spPr>
                    <wps:txbx>
                      <w:txbxContent>
                        <w:p w14:paraId="03F549DD" w14:textId="77777777" w:rsidR="004C7180" w:rsidRDefault="00CF0754">
                          <w:pPr>
                            <w:spacing w:before="15"/>
                            <w:ind w:left="20"/>
                            <w:rPr>
                              <w:sz w:val="15"/>
                            </w:rPr>
                          </w:pPr>
                          <w:r>
                            <w:rPr>
                              <w:sz w:val="15"/>
                            </w:rPr>
                            <w:t>Model</w:t>
                          </w:r>
                          <w:r>
                            <w:rPr>
                              <w:spacing w:val="-3"/>
                              <w:sz w:val="15"/>
                            </w:rPr>
                            <w:t xml:space="preserve"> </w:t>
                          </w:r>
                          <w:r>
                            <w:rPr>
                              <w:sz w:val="15"/>
                            </w:rPr>
                            <w:t>Version:</w:t>
                          </w:r>
                          <w:r>
                            <w:rPr>
                              <w:spacing w:val="-3"/>
                              <w:sz w:val="15"/>
                            </w:rPr>
                            <w:t xml:space="preserve"> </w:t>
                          </w:r>
                          <w:r>
                            <w:rPr>
                              <w:spacing w:val="-4"/>
                              <w:sz w:val="15"/>
                            </w:rPr>
                            <w:t>v1.0</w:t>
                          </w:r>
                        </w:p>
                      </w:txbxContent>
                    </wps:txbx>
                    <wps:bodyPr wrap="square" lIns="0" tIns="0" rIns="0" bIns="0" rtlCol="0">
                      <a:noAutofit/>
                    </wps:bodyPr>
                  </wps:wsp>
                </a:graphicData>
              </a:graphic>
            </wp:anchor>
          </w:drawing>
        </mc:Choice>
        <mc:Fallback>
          <w:pict>
            <v:shapetype w14:anchorId="04720A11" id="_x0000_t202" coordsize="21600,21600" o:spt="202" path="m,l,21600r21600,l21600,xe">
              <v:stroke joinstyle="miter"/>
              <v:path gradientshapeok="t" o:connecttype="rect"/>
            </v:shapetype>
            <v:shape id="Text Box 196" o:spid="_x0000_s1126" type="#_x0000_t202" style="position:absolute;margin-left:53.25pt;margin-top:701.85pt;width:68.55pt;height:10.4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" filled="f" stroked="f">
              <v:textbox inset="0,0,0,0">
                <w:txbxContent>
                  <w:p w14:paraId="03F549DD" w14:textId="77777777" w:rsidR="004C7180" w:rsidRDefault="00CF0754">
                    <w:pPr>
                      <w:spacing w:before="15"/>
                      <w:ind w:left="20"/>
                      <w:rPr>
                        <w:sz w:val="15"/>
                      </w:rPr>
                    </w:pPr>
                    <w:r>
                      <w:rPr>
                        <w:sz w:val="15"/>
                      </w:rPr>
                      <w:t>Model</w:t>
                    </w:r>
                    <w:r>
                      <w:rPr>
                        <w:spacing w:val="-3"/>
                        <w:sz w:val="15"/>
                      </w:rPr>
                      <w:t xml:space="preserve"> </w:t>
                    </w:r>
                    <w:r>
                      <w:rPr>
                        <w:sz w:val="15"/>
                      </w:rPr>
                      <w:t>Version:</w:t>
                    </w:r>
                    <w:r>
                      <w:rPr>
                        <w:spacing w:val="-3"/>
                        <w:sz w:val="15"/>
                      </w:rPr>
                      <w:t xml:space="preserve"> </w:t>
                    </w:r>
                    <w:r>
                      <w:rPr>
                        <w:spacing w:val="-4"/>
                        <w:sz w:val="15"/>
                      </w:rPr>
                      <w:t>v1.0</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BE729" w14:textId="77777777" w:rsidR="004C7180" w:rsidRDefault="00CF0754">
    <w:pPr>
      <w:pStyle w:val="BodyText"/>
      <w:spacing w:line="14" w:lineRule="auto"/>
      <w:rPr>
        <w:sz w:val="20"/>
      </w:rPr>
    </w:pPr>
    <w:r>
      <w:rPr>
        <w:noProof/>
        <w:lang w:val="en-GB" w:eastAsia="en-GB"/>
      </w:rPr>
      <mc:AlternateContent>
        <mc:Choice Requires="wps">
          <w:drawing>
            <wp:anchor distT="0" distB="0" distL="0" distR="0" simplePos="0" relativeHeight="251659776" behindDoc="1" locked="0" layoutInCell="1" allowOverlap="1" wp14:anchorId="1302D7CF" wp14:editId="6F1DE5A8">
              <wp:simplePos x="0" y="0"/>
              <wp:positionH relativeFrom="page">
                <wp:posOffset>6563359</wp:posOffset>
              </wp:positionH>
              <wp:positionV relativeFrom="page">
                <wp:posOffset>10257535</wp:posOffset>
              </wp:positionV>
              <wp:extent cx="96520" cy="165735"/>
              <wp:effectExtent l="0" t="0" r="0" b="0"/>
              <wp:wrapNone/>
              <wp:docPr id="27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65735"/>
                      </a:xfrm>
                      <a:prstGeom prst="rect">
                        <a:avLst/>
                      </a:prstGeom>
                    </wps:spPr>
                    <wps:txbx>
                      <w:txbxContent>
                        <w:p w14:paraId="6F14423F" w14:textId="77777777" w:rsidR="004C7180" w:rsidRDefault="00CF0754">
                          <w:pPr>
                            <w:spacing w:line="245" w:lineRule="exact"/>
                            <w:ind w:left="20"/>
                            <w:rPr>
                              <w:rFonts w:ascii="Calibri"/>
                            </w:rPr>
                          </w:pPr>
                          <w:r>
                            <w:rPr>
                              <w:rFonts w:ascii="Calibri"/>
                            </w:rPr>
                            <w:t>0</w:t>
                          </w:r>
                        </w:p>
                      </w:txbxContent>
                    </wps:txbx>
                    <wps:bodyPr wrap="square" lIns="0" tIns="0" rIns="0" bIns="0" rtlCol="0">
                      <a:noAutofit/>
                    </wps:bodyPr>
                  </wps:wsp>
                </a:graphicData>
              </a:graphic>
            </wp:anchor>
          </w:drawing>
        </mc:Choice>
        <mc:Fallback>
          <w:pict>
            <v:shapetype w14:anchorId="1302D7CF" id="_x0000_t202" coordsize="21600,21600" o:spt="202" path="m,l,21600r21600,l21600,xe">
              <v:stroke joinstyle="miter"/>
              <v:path gradientshapeok="t" o:connecttype="rect"/>
            </v:shapetype>
            <v:shape id="Text Box 271" o:spid="_x0000_s1127" type="#_x0000_t202" style="position:absolute;margin-left:516.8pt;margin-top:807.7pt;width:7.6pt;height:13.05pt;z-index:-2516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" filled="f" stroked="f">
              <v:textbox inset="0,0,0,0">
                <w:txbxContent>
                  <w:p w14:paraId="6F14423F" w14:textId="77777777" w:rsidR="004C7180" w:rsidRDefault="00CF0754">
                    <w:pPr>
                      <w:spacing w:line="245" w:lineRule="exact"/>
                      <w:ind w:left="20"/>
                      <w:rPr>
                        <w:rFonts w:ascii="Calibri"/>
                      </w:rPr>
                    </w:pPr>
                    <w:r>
                      <w:rPr>
                        <w:rFonts w:ascii="Calibri"/>
                      </w:rPr>
                      <w:t>0</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5997D" w14:textId="77777777" w:rsidR="004C7180" w:rsidRDefault="00CF0754">
    <w:pPr>
      <w:pStyle w:val="BodyText"/>
      <w:spacing w:line="14" w:lineRule="auto"/>
      <w:rPr>
        <w:sz w:val="20"/>
      </w:rPr>
    </w:pPr>
    <w:r>
      <w:rPr>
        <w:noProof/>
        <w:lang w:val="en-GB" w:eastAsia="en-GB"/>
      </w:rPr>
      <mc:AlternateContent>
        <mc:Choice Requires="wps">
          <w:drawing>
            <wp:anchor distT="0" distB="0" distL="0" distR="0" simplePos="0" relativeHeight="251661824" behindDoc="1" locked="0" layoutInCell="1" allowOverlap="1" wp14:anchorId="7A497662" wp14:editId="6F4F7646">
              <wp:simplePos x="0" y="0"/>
              <wp:positionH relativeFrom="page">
                <wp:posOffset>6466332</wp:posOffset>
              </wp:positionH>
              <wp:positionV relativeFrom="page">
                <wp:posOffset>10257535</wp:posOffset>
              </wp:positionV>
              <wp:extent cx="232410" cy="165735"/>
              <wp:effectExtent l="0" t="0" r="0" b="0"/>
              <wp:wrapNone/>
              <wp:docPr id="27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2CFBCD01" w14:textId="77777777" w:rsidR="004C7180" w:rsidRDefault="00CF0754">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wps:txbx>
                    <wps:bodyPr wrap="square" lIns="0" tIns="0" rIns="0" bIns="0" rtlCol="0">
                      <a:noAutofit/>
                    </wps:bodyPr>
                  </wps:wsp>
                </a:graphicData>
              </a:graphic>
            </wp:anchor>
          </w:drawing>
        </mc:Choice>
        <mc:Fallback>
          <w:pict>
            <v:shapetype w14:anchorId="7A497662" id="_x0000_t202" coordsize="21600,21600" o:spt="202" path="m,l,21600r21600,l21600,xe">
              <v:stroke joinstyle="miter"/>
              <v:path gradientshapeok="t" o:connecttype="rect"/>
            </v:shapetype>
            <v:shape id="Text Box 273" o:spid="_x0000_s1128" type="#_x0000_t202" style="position:absolute;margin-left:509.15pt;margin-top:807.7pt;width:18.3pt;height:13.05pt;z-index:-25165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" filled="f" stroked="f">
              <v:textbox inset="0,0,0,0">
                <w:txbxContent>
                  <w:p w14:paraId="2CFBCD01" w14:textId="77777777" w:rsidR="004C7180" w:rsidRDefault="00CF0754">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38E4B" w14:textId="77777777" w:rsidR="004C7180" w:rsidRDefault="00CF0754">
    <w:pPr>
      <w:pStyle w:val="BodyText"/>
      <w:spacing w:line="14" w:lineRule="auto"/>
      <w:rPr>
        <w:sz w:val="20"/>
      </w:rPr>
    </w:pPr>
    <w:r>
      <w:rPr>
        <w:noProof/>
        <w:lang w:val="en-GB" w:eastAsia="en-GB"/>
      </w:rPr>
      <mc:AlternateContent>
        <mc:Choice Requires="wps">
          <w:drawing>
            <wp:anchor distT="0" distB="0" distL="0" distR="0" simplePos="0" relativeHeight="251663872" behindDoc="1" locked="0" layoutInCell="1" allowOverlap="1" wp14:anchorId="14FCDAB8" wp14:editId="435F861B">
              <wp:simplePos x="0" y="0"/>
              <wp:positionH relativeFrom="page">
                <wp:posOffset>901700</wp:posOffset>
              </wp:positionH>
              <wp:positionV relativeFrom="page">
                <wp:posOffset>9752950</wp:posOffset>
              </wp:positionV>
              <wp:extent cx="1196340" cy="502284"/>
              <wp:effectExtent l="0" t="0" r="0" b="0"/>
              <wp:wrapNone/>
              <wp:docPr id="282"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6340" cy="502284"/>
                      </a:xfrm>
                      <a:prstGeom prst="rect">
                        <a:avLst/>
                      </a:prstGeom>
                    </wps:spPr>
                    <wps:txbx>
                      <w:txbxContent>
                        <w:p w14:paraId="21EC772F" w14:textId="77777777" w:rsidR="004C7180" w:rsidRDefault="00CF0754">
                          <w:pPr>
                            <w:spacing w:before="12"/>
                            <w:ind w:left="20"/>
                            <w:rPr>
                              <w:sz w:val="20"/>
                            </w:rPr>
                          </w:pPr>
                          <w:r>
                            <w:rPr>
                              <w:sz w:val="20"/>
                            </w:rPr>
                            <w:t>DPS</w:t>
                          </w:r>
                          <w:r>
                            <w:rPr>
                              <w:spacing w:val="-5"/>
                              <w:sz w:val="20"/>
                            </w:rPr>
                            <w:t xml:space="preserve"> </w:t>
                          </w:r>
                          <w:r>
                            <w:rPr>
                              <w:sz w:val="20"/>
                            </w:rPr>
                            <w:t>Ref:</w:t>
                          </w:r>
                          <w:r>
                            <w:rPr>
                              <w:spacing w:val="-4"/>
                              <w:sz w:val="20"/>
                            </w:rPr>
                            <w:t xml:space="preserve"> </w:t>
                          </w:r>
                          <w:r>
                            <w:rPr>
                              <w:spacing w:val="-2"/>
                              <w:sz w:val="20"/>
                            </w:rPr>
                            <w:t>RM6322</w:t>
                          </w:r>
                        </w:p>
                        <w:p w14:paraId="07A515BA" w14:textId="77777777" w:rsidR="004C7180" w:rsidRDefault="00CF0754">
                          <w:pPr>
                            <w:spacing w:before="30" w:line="276" w:lineRule="auto"/>
                            <w:ind w:left="20"/>
                            <w:rPr>
                              <w:sz w:val="20"/>
                            </w:rPr>
                          </w:pPr>
                          <w:r>
                            <w:rPr>
                              <w:sz w:val="20"/>
                            </w:rPr>
                            <w:t>Project</w:t>
                          </w:r>
                          <w:r>
                            <w:rPr>
                              <w:spacing w:val="-14"/>
                              <w:sz w:val="20"/>
                            </w:rPr>
                            <w:t xml:space="preserve"> </w:t>
                          </w:r>
                          <w:r>
                            <w:rPr>
                              <w:sz w:val="20"/>
                            </w:rPr>
                            <w:t>Version:</w:t>
                          </w:r>
                          <w:r>
                            <w:rPr>
                              <w:spacing w:val="-14"/>
                              <w:sz w:val="20"/>
                            </w:rPr>
                            <w:t xml:space="preserve"> </w:t>
                          </w:r>
                          <w:r>
                            <w:rPr>
                              <w:sz w:val="20"/>
                            </w:rPr>
                            <w:t>v1.0 Model Version: v1.0</w:t>
                          </w:r>
                        </w:p>
                      </w:txbxContent>
                    </wps:txbx>
                    <wps:bodyPr wrap="square" lIns="0" tIns="0" rIns="0" bIns="0" rtlCol="0">
                      <a:noAutofit/>
                    </wps:bodyPr>
                  </wps:wsp>
                </a:graphicData>
              </a:graphic>
            </wp:anchor>
          </w:drawing>
        </mc:Choice>
        <mc:Fallback>
          <w:pict>
            <v:shapetype w14:anchorId="14FCDAB8" id="_x0000_t202" coordsize="21600,21600" o:spt="202" path="m,l,21600r21600,l21600,xe">
              <v:stroke joinstyle="miter"/>
              <v:path gradientshapeok="t" o:connecttype="rect"/>
            </v:shapetype>
            <v:shape id="Text Box 282" o:spid="_x0000_s1130" type="#_x0000_t202" style="position:absolute;margin-left:71pt;margin-top:767.95pt;width:94.2pt;height:39.55pt;z-index:-25165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" filled="f" stroked="f">
              <v:textbox inset="0,0,0,0">
                <w:txbxContent>
                  <w:p w14:paraId="21EC772F" w14:textId="77777777" w:rsidR="004C7180" w:rsidRDefault="00CF0754">
                    <w:pPr>
                      <w:spacing w:before="12"/>
                      <w:ind w:left="20"/>
                      <w:rPr>
                        <w:sz w:val="20"/>
                      </w:rPr>
                    </w:pPr>
                    <w:r>
                      <w:rPr>
                        <w:sz w:val="20"/>
                      </w:rPr>
                      <w:t>DPS</w:t>
                    </w:r>
                    <w:r>
                      <w:rPr>
                        <w:spacing w:val="-5"/>
                        <w:sz w:val="20"/>
                      </w:rPr>
                      <w:t xml:space="preserve"> </w:t>
                    </w:r>
                    <w:r>
                      <w:rPr>
                        <w:sz w:val="20"/>
                      </w:rPr>
                      <w:t>Ref:</w:t>
                    </w:r>
                    <w:r>
                      <w:rPr>
                        <w:spacing w:val="-4"/>
                        <w:sz w:val="20"/>
                      </w:rPr>
                      <w:t xml:space="preserve"> </w:t>
                    </w:r>
                    <w:r>
                      <w:rPr>
                        <w:spacing w:val="-2"/>
                        <w:sz w:val="20"/>
                      </w:rPr>
                      <w:t>RM6322</w:t>
                    </w:r>
                  </w:p>
                  <w:p w14:paraId="07A515BA" w14:textId="77777777" w:rsidR="004C7180" w:rsidRDefault="00CF0754">
                    <w:pPr>
                      <w:spacing w:before="30" w:line="276" w:lineRule="auto"/>
                      <w:ind w:left="20"/>
                      <w:rPr>
                        <w:sz w:val="20"/>
                      </w:rPr>
                    </w:pPr>
                    <w:r>
                      <w:rPr>
                        <w:sz w:val="20"/>
                      </w:rPr>
                      <w:t>Project</w:t>
                    </w:r>
                    <w:r>
                      <w:rPr>
                        <w:spacing w:val="-14"/>
                        <w:sz w:val="20"/>
                      </w:rPr>
                      <w:t xml:space="preserve"> </w:t>
                    </w:r>
                    <w:r>
                      <w:rPr>
                        <w:sz w:val="20"/>
                      </w:rPr>
                      <w:t>Version:</w:t>
                    </w:r>
                    <w:r>
                      <w:rPr>
                        <w:spacing w:val="-14"/>
                        <w:sz w:val="20"/>
                      </w:rPr>
                      <w:t xml:space="preserve"> </w:t>
                    </w:r>
                    <w:r>
                      <w:rPr>
                        <w:sz w:val="20"/>
                      </w:rPr>
                      <w:t>v1.0 Model Version: v1.0</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CD022" w14:textId="77777777" w:rsidR="004C7180" w:rsidRDefault="00CF0754">
    <w:pPr>
      <w:pStyle w:val="BodyText"/>
      <w:spacing w:line="14" w:lineRule="auto"/>
      <w:rPr>
        <w:sz w:val="20"/>
      </w:rPr>
    </w:pPr>
    <w:r>
      <w:rPr>
        <w:noProof/>
        <w:lang w:val="en-GB" w:eastAsia="en-GB"/>
      </w:rPr>
      <mc:AlternateContent>
        <mc:Choice Requires="wps">
          <w:drawing>
            <wp:anchor distT="0" distB="0" distL="0" distR="0" simplePos="0" relativeHeight="251658246" behindDoc="1" locked="0" layoutInCell="1" allowOverlap="1" wp14:anchorId="261270B6" wp14:editId="2C7AACD1">
              <wp:simplePos x="0" y="0"/>
              <wp:positionH relativeFrom="page">
                <wp:posOffset>901700</wp:posOffset>
              </wp:positionH>
              <wp:positionV relativeFrom="page">
                <wp:posOffset>9795554</wp:posOffset>
              </wp:positionV>
              <wp:extent cx="1196340" cy="45847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6340" cy="458470"/>
                      </a:xfrm>
                      <a:prstGeom prst="rect">
                        <a:avLst/>
                      </a:prstGeom>
                    </wps:spPr>
                    <wps:txbx>
                      <w:txbxContent>
                        <w:p w14:paraId="480DBD0F" w14:textId="77777777" w:rsidR="004C7180" w:rsidRDefault="00CF0754">
                          <w:pPr>
                            <w:spacing w:before="12"/>
                            <w:ind w:left="20"/>
                            <w:rPr>
                              <w:sz w:val="20"/>
                            </w:rPr>
                          </w:pPr>
                          <w:r>
                            <w:rPr>
                              <w:sz w:val="20"/>
                            </w:rPr>
                            <w:t>DPS</w:t>
                          </w:r>
                          <w:r>
                            <w:rPr>
                              <w:spacing w:val="-5"/>
                              <w:sz w:val="20"/>
                            </w:rPr>
                            <w:t xml:space="preserve"> </w:t>
                          </w:r>
                          <w:r>
                            <w:rPr>
                              <w:sz w:val="20"/>
                            </w:rPr>
                            <w:t>Ref:</w:t>
                          </w:r>
                          <w:r>
                            <w:rPr>
                              <w:spacing w:val="-4"/>
                              <w:sz w:val="20"/>
                            </w:rPr>
                            <w:t xml:space="preserve"> </w:t>
                          </w:r>
                          <w:r>
                            <w:rPr>
                              <w:spacing w:val="-2"/>
                              <w:sz w:val="20"/>
                            </w:rPr>
                            <w:t>RM6322</w:t>
                          </w:r>
                        </w:p>
                        <w:p w14:paraId="521AC5A9" w14:textId="77777777" w:rsidR="004C7180" w:rsidRDefault="00CF0754">
                          <w:pPr>
                            <w:spacing w:before="1"/>
                            <w:ind w:left="20"/>
                            <w:rPr>
                              <w:sz w:val="20"/>
                            </w:rPr>
                          </w:pPr>
                          <w:r>
                            <w:rPr>
                              <w:sz w:val="20"/>
                            </w:rPr>
                            <w:t>Project</w:t>
                          </w:r>
                          <w:r>
                            <w:rPr>
                              <w:spacing w:val="-14"/>
                              <w:sz w:val="20"/>
                            </w:rPr>
                            <w:t xml:space="preserve"> </w:t>
                          </w:r>
                          <w:r>
                            <w:rPr>
                              <w:sz w:val="20"/>
                            </w:rPr>
                            <w:t>Version:</w:t>
                          </w:r>
                          <w:r>
                            <w:rPr>
                              <w:spacing w:val="-14"/>
                              <w:sz w:val="20"/>
                            </w:rPr>
                            <w:t xml:space="preserve"> </w:t>
                          </w:r>
                          <w:r>
                            <w:rPr>
                              <w:sz w:val="20"/>
                            </w:rPr>
                            <w:t>v1.0 Model Version: v1.0</w:t>
                          </w:r>
                        </w:p>
                      </w:txbxContent>
                    </wps:txbx>
                    <wps:bodyPr wrap="square" lIns="0" tIns="0" rIns="0" bIns="0" rtlCol="0">
                      <a:noAutofit/>
                    </wps:bodyPr>
                  </wps:wsp>
                </a:graphicData>
              </a:graphic>
            </wp:anchor>
          </w:drawing>
        </mc:Choice>
        <mc:Fallback>
          <w:pict>
            <v:shapetype w14:anchorId="261270B6" id="_x0000_t202" coordsize="21600,21600" o:spt="202" path="m,l,21600r21600,l21600,xe">
              <v:stroke joinstyle="miter"/>
              <v:path gradientshapeok="t" o:connecttype="rect"/>
            </v:shapetype>
            <v:shape id="Text Box 8" o:spid="_x0000_s1060" type="#_x0000_t202" style="position:absolute;margin-left:71pt;margin-top:771.3pt;width:94.2pt;height:36.1pt;z-index:-25165823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" filled="f" stroked="f">
              <v:textbox inset="0,0,0,0">
                <w:txbxContent>
                  <w:p w14:paraId="480DBD0F" w14:textId="77777777" w:rsidR="004C7180" w:rsidRDefault="00CF0754">
                    <w:pPr>
                      <w:spacing w:before="12"/>
                      <w:ind w:left="20"/>
                      <w:rPr>
                        <w:sz w:val="20"/>
                      </w:rPr>
                    </w:pPr>
                    <w:r>
                      <w:rPr>
                        <w:sz w:val="20"/>
                      </w:rPr>
                      <w:t>DPS</w:t>
                    </w:r>
                    <w:r>
                      <w:rPr>
                        <w:spacing w:val="-5"/>
                        <w:sz w:val="20"/>
                      </w:rPr>
                      <w:t xml:space="preserve"> </w:t>
                    </w:r>
                    <w:r>
                      <w:rPr>
                        <w:sz w:val="20"/>
                      </w:rPr>
                      <w:t>Ref:</w:t>
                    </w:r>
                    <w:r>
                      <w:rPr>
                        <w:spacing w:val="-4"/>
                        <w:sz w:val="20"/>
                      </w:rPr>
                      <w:t xml:space="preserve"> </w:t>
                    </w:r>
                    <w:r>
                      <w:rPr>
                        <w:spacing w:val="-2"/>
                        <w:sz w:val="20"/>
                      </w:rPr>
                      <w:t>RM6322</w:t>
                    </w:r>
                  </w:p>
                  <w:p w14:paraId="521AC5A9" w14:textId="77777777" w:rsidR="004C7180" w:rsidRDefault="00CF0754">
                    <w:pPr>
                      <w:spacing w:before="1"/>
                      <w:ind w:left="20"/>
                      <w:rPr>
                        <w:sz w:val="20"/>
                      </w:rPr>
                    </w:pPr>
                    <w:r>
                      <w:rPr>
                        <w:sz w:val="20"/>
                      </w:rPr>
                      <w:t>Project</w:t>
                    </w:r>
                    <w:r>
                      <w:rPr>
                        <w:spacing w:val="-14"/>
                        <w:sz w:val="20"/>
                      </w:rPr>
                      <w:t xml:space="preserve"> </w:t>
                    </w:r>
                    <w:r>
                      <w:rPr>
                        <w:sz w:val="20"/>
                      </w:rPr>
                      <w:t>Version:</w:t>
                    </w:r>
                    <w:r>
                      <w:rPr>
                        <w:spacing w:val="-14"/>
                        <w:sz w:val="20"/>
                      </w:rPr>
                      <w:t xml:space="preserve"> </w:t>
                    </w:r>
                    <w:r>
                      <w:rPr>
                        <w:sz w:val="20"/>
                      </w:rPr>
                      <w:t>v1.0 Model Version: v1.0</w:t>
                    </w:r>
                  </w:p>
                </w:txbxContent>
              </v:textbox>
              <w10:wrap anchorx="page" anchory="page"/>
            </v:shape>
          </w:pict>
        </mc:Fallback>
      </mc:AlternateContent>
    </w:r>
    <w:r>
      <w:rPr>
        <w:noProof/>
        <w:lang w:val="en-GB" w:eastAsia="en-GB"/>
      </w:rPr>
      <mc:AlternateContent>
        <mc:Choice Requires="wps">
          <w:drawing>
            <wp:anchor distT="0" distB="0" distL="0" distR="0" simplePos="0" relativeHeight="251658247" behindDoc="1" locked="0" layoutInCell="1" allowOverlap="1" wp14:anchorId="79449854" wp14:editId="5794B684">
              <wp:simplePos x="0" y="0"/>
              <wp:positionH relativeFrom="page">
                <wp:posOffset>6561837</wp:posOffset>
              </wp:positionH>
              <wp:positionV relativeFrom="page">
                <wp:posOffset>9941905</wp:posOffset>
              </wp:positionV>
              <wp:extent cx="95885" cy="16700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885" cy="167005"/>
                      </a:xfrm>
                      <a:prstGeom prst="rect">
                        <a:avLst/>
                      </a:prstGeom>
                    </wps:spPr>
                    <wps:txbx>
                      <w:txbxContent>
                        <w:p w14:paraId="57DE580E" w14:textId="77777777" w:rsidR="004C7180" w:rsidRDefault="00CF0754">
                          <w:pPr>
                            <w:spacing w:before="12"/>
                            <w:ind w:left="20"/>
                            <w:rPr>
                              <w:sz w:val="20"/>
                            </w:rPr>
                          </w:pPr>
                          <w:r>
                            <w:rPr>
                              <w:w w:val="99"/>
                              <w:sz w:val="20"/>
                            </w:rPr>
                            <w:t>1</w:t>
                          </w:r>
                        </w:p>
                      </w:txbxContent>
                    </wps:txbx>
                    <wps:bodyPr wrap="square" lIns="0" tIns="0" rIns="0" bIns="0" rtlCol="0">
                      <a:noAutofit/>
                    </wps:bodyPr>
                  </wps:wsp>
                </a:graphicData>
              </a:graphic>
            </wp:anchor>
          </w:drawing>
        </mc:Choice>
        <mc:Fallback>
          <w:pict>
            <v:shape w14:anchorId="79449854" id="Text Box 9" o:spid="_x0000_s1061" type="#_x0000_t202" style="position:absolute;margin-left:516.7pt;margin-top:782.85pt;width:7.55pt;height:13.15pt;z-index:-25165823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" filled="f" stroked="f">
              <v:textbox inset="0,0,0,0">
                <w:txbxContent>
                  <w:p w14:paraId="57DE580E" w14:textId="77777777" w:rsidR="004C7180" w:rsidRDefault="00CF0754">
                    <w:pPr>
                      <w:spacing w:before="12"/>
                      <w:ind w:left="20"/>
                      <w:rPr>
                        <w:sz w:val="20"/>
                      </w:rPr>
                    </w:pPr>
                    <w:r>
                      <w:rPr>
                        <w:w w:val="99"/>
                        <w:sz w:val="20"/>
                      </w:rPr>
                      <w:t>1</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A5AAF" w14:textId="77777777" w:rsidR="004C7180" w:rsidRDefault="004C7180">
    <w:pPr>
      <w:pStyle w:val="BodyText"/>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B4089" w14:textId="77777777" w:rsidR="004C7180" w:rsidRDefault="004C7180">
    <w:pPr>
      <w:pStyle w:val="BodyText"/>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E9A82" w14:textId="77777777" w:rsidR="004C7180" w:rsidRDefault="004C7180">
    <w:pPr>
      <w:pStyle w:val="BodyText"/>
      <w:spacing w:line="14" w:lineRule="auto"/>
      <w:rPr>
        <w:sz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6C52B" w14:textId="77777777" w:rsidR="004C7180" w:rsidRDefault="004C7180">
    <w:pPr>
      <w:pStyle w:val="BodyText"/>
      <w:spacing w:line="14" w:lineRule="auto"/>
      <w:rPr>
        <w:sz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BD95E" w14:textId="77777777" w:rsidR="004C7180" w:rsidRDefault="004C7180">
    <w:pPr>
      <w:pStyle w:val="BodyText"/>
      <w:spacing w:line="14" w:lineRule="auto"/>
      <w:rPr>
        <w:sz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CC8C3" w14:textId="77777777" w:rsidR="004C7180" w:rsidRDefault="004C7180">
    <w:pPr>
      <w:pStyle w:val="BodyText"/>
      <w:spacing w:line="14" w:lineRule="auto"/>
      <w:rPr>
        <w:sz w:val="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00752" w14:textId="77777777" w:rsidR="004C7180" w:rsidRDefault="004C7180">
    <w:pPr>
      <w:pStyle w:val="BodyText"/>
      <w:spacing w:line="14" w:lineRule="auto"/>
      <w:rPr>
        <w:sz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3DA25" w14:textId="77777777" w:rsidR="004C7180" w:rsidRDefault="004C7180">
    <w:pPr>
      <w:pStyle w:val="BodyText"/>
      <w:spacing w:line="14" w:lineRule="auto"/>
      <w:rPr>
        <w:sz w:val="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C2176" w14:textId="77777777" w:rsidR="004C7180" w:rsidRDefault="004C7180">
    <w:pPr>
      <w:pStyle w:val="BodyText"/>
      <w:spacing w:line="14" w:lineRule="auto"/>
      <w:rPr>
        <w:sz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A42A0" w14:textId="77777777" w:rsidR="004C7180" w:rsidRDefault="004C7180">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F316B" w14:textId="77777777" w:rsidR="004C7180" w:rsidRDefault="00CF0754">
    <w:pPr>
      <w:pStyle w:val="BodyText"/>
      <w:spacing w:line="14" w:lineRule="auto"/>
      <w:rPr>
        <w:sz w:val="20"/>
      </w:rPr>
    </w:pPr>
    <w:r>
      <w:rPr>
        <w:noProof/>
        <w:lang w:val="en-GB" w:eastAsia="en-GB"/>
      </w:rPr>
      <mc:AlternateContent>
        <mc:Choice Requires="wps">
          <w:drawing>
            <wp:anchor distT="0" distB="0" distL="0" distR="0" simplePos="0" relativeHeight="251658249" behindDoc="1" locked="0" layoutInCell="1" allowOverlap="1" wp14:anchorId="25F3D3DA" wp14:editId="16131E7A">
              <wp:simplePos x="0" y="0"/>
              <wp:positionH relativeFrom="page">
                <wp:posOffset>901573</wp:posOffset>
              </wp:positionH>
              <wp:positionV relativeFrom="page">
                <wp:posOffset>9795554</wp:posOffset>
              </wp:positionV>
              <wp:extent cx="1196340" cy="45847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6340" cy="458470"/>
                      </a:xfrm>
                      <a:prstGeom prst="rect">
                        <a:avLst/>
                      </a:prstGeom>
                    </wps:spPr>
                    <wps:txbx>
                      <w:txbxContent>
                        <w:p w14:paraId="08DB38E4" w14:textId="77777777" w:rsidR="004C7180" w:rsidRDefault="00CF0754">
                          <w:pPr>
                            <w:spacing w:before="12"/>
                            <w:ind w:left="20"/>
                            <w:rPr>
                              <w:sz w:val="20"/>
                            </w:rPr>
                          </w:pPr>
                          <w:r>
                            <w:rPr>
                              <w:color w:val="BEBEBE"/>
                              <w:sz w:val="20"/>
                            </w:rPr>
                            <w:t>DPS</w:t>
                          </w:r>
                          <w:r>
                            <w:rPr>
                              <w:color w:val="BEBEBE"/>
                              <w:spacing w:val="-5"/>
                              <w:sz w:val="20"/>
                            </w:rPr>
                            <w:t xml:space="preserve"> </w:t>
                          </w:r>
                          <w:r>
                            <w:rPr>
                              <w:color w:val="BEBEBE"/>
                              <w:sz w:val="20"/>
                            </w:rPr>
                            <w:t>Ref:</w:t>
                          </w:r>
                          <w:r>
                            <w:rPr>
                              <w:color w:val="BEBEBE"/>
                              <w:spacing w:val="-4"/>
                              <w:sz w:val="20"/>
                            </w:rPr>
                            <w:t xml:space="preserve"> </w:t>
                          </w:r>
                          <w:r>
                            <w:rPr>
                              <w:color w:val="BEBEBE"/>
                              <w:spacing w:val="-5"/>
                              <w:sz w:val="20"/>
                            </w:rPr>
                            <w:t>RM</w:t>
                          </w:r>
                        </w:p>
                        <w:p w14:paraId="5D2233E8" w14:textId="77777777" w:rsidR="004C7180" w:rsidRDefault="00CF0754">
                          <w:pPr>
                            <w:spacing w:before="1"/>
                            <w:ind w:left="20"/>
                            <w:rPr>
                              <w:sz w:val="20"/>
                            </w:rPr>
                          </w:pPr>
                          <w:r>
                            <w:rPr>
                              <w:color w:val="BEBEBE"/>
                              <w:sz w:val="20"/>
                            </w:rPr>
                            <w:t>Project</w:t>
                          </w:r>
                          <w:r>
                            <w:rPr>
                              <w:color w:val="BEBEBE"/>
                              <w:spacing w:val="-14"/>
                              <w:sz w:val="20"/>
                            </w:rPr>
                            <w:t xml:space="preserve"> </w:t>
                          </w:r>
                          <w:r>
                            <w:rPr>
                              <w:color w:val="BEBEBE"/>
                              <w:sz w:val="20"/>
                            </w:rPr>
                            <w:t>Version:</w:t>
                          </w:r>
                          <w:r>
                            <w:rPr>
                              <w:color w:val="BEBEBE"/>
                              <w:spacing w:val="-14"/>
                              <w:sz w:val="20"/>
                            </w:rPr>
                            <w:t xml:space="preserve"> </w:t>
                          </w:r>
                          <w:r>
                            <w:rPr>
                              <w:color w:val="BEBEBE"/>
                              <w:sz w:val="20"/>
                            </w:rPr>
                            <w:t>v1.0 Model Version: v1.0</w:t>
                          </w:r>
                        </w:p>
                      </w:txbxContent>
                    </wps:txbx>
                    <wps:bodyPr wrap="square" lIns="0" tIns="0" rIns="0" bIns="0" rtlCol="0">
                      <a:noAutofit/>
                    </wps:bodyPr>
                  </wps:wsp>
                </a:graphicData>
              </a:graphic>
            </wp:anchor>
          </w:drawing>
        </mc:Choice>
        <mc:Fallback>
          <w:pict>
            <v:shapetype w14:anchorId="25F3D3DA" id="_x0000_t202" coordsize="21600,21600" o:spt="202" path="m,l,21600r21600,l21600,xe">
              <v:stroke joinstyle="miter"/>
              <v:path gradientshapeok="t" o:connecttype="rect"/>
            </v:shapetype>
            <v:shape id="Text Box 11" o:spid="_x0000_s1063" type="#_x0000_t202" style="position:absolute;margin-left:71pt;margin-top:771.3pt;width:94.2pt;height:36.1pt;z-index:-25165823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" filled="f" stroked="f">
              <v:textbox inset="0,0,0,0">
                <w:txbxContent>
                  <w:p w14:paraId="08DB38E4" w14:textId="77777777" w:rsidR="004C7180" w:rsidRDefault="00CF0754">
                    <w:pPr>
                      <w:spacing w:before="12"/>
                      <w:ind w:left="20"/>
                      <w:rPr>
                        <w:sz w:val="20"/>
                      </w:rPr>
                    </w:pPr>
                    <w:r>
                      <w:rPr>
                        <w:color w:val="BEBEBE"/>
                        <w:sz w:val="20"/>
                      </w:rPr>
                      <w:t>DPS</w:t>
                    </w:r>
                    <w:r>
                      <w:rPr>
                        <w:color w:val="BEBEBE"/>
                        <w:spacing w:val="-5"/>
                        <w:sz w:val="20"/>
                      </w:rPr>
                      <w:t xml:space="preserve"> </w:t>
                    </w:r>
                    <w:r>
                      <w:rPr>
                        <w:color w:val="BEBEBE"/>
                        <w:sz w:val="20"/>
                      </w:rPr>
                      <w:t>Ref:</w:t>
                    </w:r>
                    <w:r>
                      <w:rPr>
                        <w:color w:val="BEBEBE"/>
                        <w:spacing w:val="-4"/>
                        <w:sz w:val="20"/>
                      </w:rPr>
                      <w:t xml:space="preserve"> </w:t>
                    </w:r>
                    <w:r>
                      <w:rPr>
                        <w:color w:val="BEBEBE"/>
                        <w:spacing w:val="-5"/>
                        <w:sz w:val="20"/>
                      </w:rPr>
                      <w:t>RM</w:t>
                    </w:r>
                  </w:p>
                  <w:p w14:paraId="5D2233E8" w14:textId="77777777" w:rsidR="004C7180" w:rsidRDefault="00CF0754">
                    <w:pPr>
                      <w:spacing w:before="1"/>
                      <w:ind w:left="20"/>
                      <w:rPr>
                        <w:sz w:val="20"/>
                      </w:rPr>
                    </w:pPr>
                    <w:r>
                      <w:rPr>
                        <w:color w:val="BEBEBE"/>
                        <w:sz w:val="20"/>
                      </w:rPr>
                      <w:t>Project</w:t>
                    </w:r>
                    <w:r>
                      <w:rPr>
                        <w:color w:val="BEBEBE"/>
                        <w:spacing w:val="-14"/>
                        <w:sz w:val="20"/>
                      </w:rPr>
                      <w:t xml:space="preserve"> </w:t>
                    </w:r>
                    <w:r>
                      <w:rPr>
                        <w:color w:val="BEBEBE"/>
                        <w:sz w:val="20"/>
                      </w:rPr>
                      <w:t>Version:</w:t>
                    </w:r>
                    <w:r>
                      <w:rPr>
                        <w:color w:val="BEBEBE"/>
                        <w:spacing w:val="-14"/>
                        <w:sz w:val="20"/>
                      </w:rPr>
                      <w:t xml:space="preserve"> </w:t>
                    </w:r>
                    <w:r>
                      <w:rPr>
                        <w:color w:val="BEBEBE"/>
                        <w:sz w:val="20"/>
                      </w:rPr>
                      <w:t>v1.0 Model Version: v1.0</w:t>
                    </w:r>
                  </w:p>
                </w:txbxContent>
              </v:textbox>
              <w10:wrap anchorx="page" anchory="page"/>
            </v:shape>
          </w:pict>
        </mc:Fallback>
      </mc:AlternateContent>
    </w:r>
    <w:r>
      <w:rPr>
        <w:noProof/>
        <w:lang w:val="en-GB" w:eastAsia="en-GB"/>
      </w:rPr>
      <mc:AlternateContent>
        <mc:Choice Requires="wps">
          <w:drawing>
            <wp:anchor distT="0" distB="0" distL="0" distR="0" simplePos="0" relativeHeight="251658250" behindDoc="1" locked="0" layoutInCell="1" allowOverlap="1" wp14:anchorId="7684DE59" wp14:editId="6252E6BA">
              <wp:simplePos x="0" y="0"/>
              <wp:positionH relativeFrom="page">
                <wp:posOffset>6561711</wp:posOffset>
              </wp:positionH>
              <wp:positionV relativeFrom="page">
                <wp:posOffset>9941905</wp:posOffset>
              </wp:positionV>
              <wp:extent cx="95885" cy="16700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885" cy="167005"/>
                      </a:xfrm>
                      <a:prstGeom prst="rect">
                        <a:avLst/>
                      </a:prstGeom>
                    </wps:spPr>
                    <wps:txbx>
                      <w:txbxContent>
                        <w:p w14:paraId="792D899D" w14:textId="77777777" w:rsidR="004C7180" w:rsidRDefault="00CF0754">
                          <w:pPr>
                            <w:spacing w:before="12"/>
                            <w:ind w:left="20"/>
                            <w:rPr>
                              <w:sz w:val="20"/>
                            </w:rPr>
                          </w:pPr>
                          <w:r>
                            <w:rPr>
                              <w:color w:val="BEBEBE"/>
                              <w:w w:val="99"/>
                              <w:sz w:val="20"/>
                            </w:rPr>
                            <w:t>2</w:t>
                          </w:r>
                        </w:p>
                      </w:txbxContent>
                    </wps:txbx>
                    <wps:bodyPr wrap="square" lIns="0" tIns="0" rIns="0" bIns="0" rtlCol="0">
                      <a:noAutofit/>
                    </wps:bodyPr>
                  </wps:wsp>
                </a:graphicData>
              </a:graphic>
            </wp:anchor>
          </w:drawing>
        </mc:Choice>
        <mc:Fallback>
          <w:pict>
            <v:shape w14:anchorId="7684DE59" id="Text Box 12" o:spid="_x0000_s1064" type="#_x0000_t202" style="position:absolute;margin-left:516.65pt;margin-top:782.85pt;width:7.55pt;height:13.15pt;z-index:-25165823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" filled="f" stroked="f">
              <v:textbox inset="0,0,0,0">
                <w:txbxContent>
                  <w:p w14:paraId="792D899D" w14:textId="77777777" w:rsidR="004C7180" w:rsidRDefault="00CF0754">
                    <w:pPr>
                      <w:spacing w:before="12"/>
                      <w:ind w:left="20"/>
                      <w:rPr>
                        <w:sz w:val="20"/>
                      </w:rPr>
                    </w:pPr>
                    <w:r>
                      <w:rPr>
                        <w:color w:val="BEBEBE"/>
                        <w:w w:val="99"/>
                        <w:sz w:val="20"/>
                      </w:rPr>
                      <w:t>2</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9321A" w14:textId="77777777" w:rsidR="004C7180" w:rsidRDefault="004C7180">
    <w:pPr>
      <w:pStyle w:val="BodyText"/>
      <w:spacing w:line="14" w:lineRule="auto"/>
      <w:rPr>
        <w:sz w:val="2"/>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79D82" w14:textId="77777777" w:rsidR="004C7180" w:rsidRDefault="004C7180">
    <w:pPr>
      <w:pStyle w:val="BodyText"/>
      <w:spacing w:line="14" w:lineRule="auto"/>
      <w:rPr>
        <w:sz w:val="2"/>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A3590" w14:textId="77777777" w:rsidR="004C7180" w:rsidRDefault="004C7180">
    <w:pPr>
      <w:pStyle w:val="BodyText"/>
      <w:spacing w:line="14" w:lineRule="auto"/>
      <w:rPr>
        <w:sz w:val="2"/>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0181E" w14:textId="77777777" w:rsidR="004C7180" w:rsidRDefault="004C7180">
    <w:pPr>
      <w:pStyle w:val="BodyText"/>
      <w:spacing w:line="14" w:lineRule="auto"/>
      <w:rPr>
        <w:sz w:val="2"/>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35A26" w14:textId="77777777" w:rsidR="004C7180" w:rsidRDefault="004C7180">
    <w:pPr>
      <w:pStyle w:val="BodyText"/>
      <w:spacing w:line="14" w:lineRule="auto"/>
      <w:rPr>
        <w:sz w:val="2"/>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291A2" w14:textId="77777777" w:rsidR="004C7180" w:rsidRDefault="004C7180">
    <w:pPr>
      <w:pStyle w:val="BodyText"/>
      <w:spacing w:line="14" w:lineRule="auto"/>
      <w:rPr>
        <w:sz w:val="2"/>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F8329" w14:textId="77777777" w:rsidR="004C7180" w:rsidRDefault="004C7180">
    <w:pPr>
      <w:pStyle w:val="BodyText"/>
      <w:spacing w:line="14" w:lineRule="auto"/>
      <w:rPr>
        <w:sz w:val="2"/>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1EBCD" w14:textId="77777777" w:rsidR="004C7180" w:rsidRDefault="004C7180">
    <w:pPr>
      <w:pStyle w:val="BodyText"/>
      <w:spacing w:line="14" w:lineRule="auto"/>
      <w:rPr>
        <w:sz w:val="2"/>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6D36B" w14:textId="77777777" w:rsidR="004C7180" w:rsidRDefault="004C7180">
    <w:pPr>
      <w:pStyle w:val="BodyText"/>
      <w:spacing w:line="14" w:lineRule="auto"/>
      <w:rPr>
        <w:sz w:val="2"/>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1705C" w14:textId="77777777" w:rsidR="004C7180" w:rsidRDefault="004C7180">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6CC47" w14:textId="77777777" w:rsidR="004C7180" w:rsidRDefault="00CF0754">
    <w:pPr>
      <w:pStyle w:val="BodyText"/>
      <w:spacing w:line="14" w:lineRule="auto"/>
      <w:rPr>
        <w:sz w:val="20"/>
      </w:rPr>
    </w:pPr>
    <w:r>
      <w:rPr>
        <w:noProof/>
        <w:lang w:val="en-GB" w:eastAsia="en-GB"/>
      </w:rPr>
      <mc:AlternateContent>
        <mc:Choice Requires="wps">
          <w:drawing>
            <wp:anchor distT="0" distB="0" distL="0" distR="0" simplePos="0" relativeHeight="251658252" behindDoc="1" locked="0" layoutInCell="1" allowOverlap="1" wp14:anchorId="68430745" wp14:editId="6E7AC92A">
              <wp:simplePos x="0" y="0"/>
              <wp:positionH relativeFrom="page">
                <wp:posOffset>1130604</wp:posOffset>
              </wp:positionH>
              <wp:positionV relativeFrom="page">
                <wp:posOffset>9773742</wp:posOffset>
              </wp:positionV>
              <wp:extent cx="1091565" cy="474345"/>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1565" cy="474345"/>
                      </a:xfrm>
                      <a:prstGeom prst="rect">
                        <a:avLst/>
                      </a:prstGeom>
                    </wps:spPr>
                    <wps:txbx>
                      <w:txbxContent>
                        <w:p w14:paraId="4F8B1644" w14:textId="77777777" w:rsidR="004C7180" w:rsidRDefault="00CF0754">
                          <w:pPr>
                            <w:spacing w:line="223" w:lineRule="exact"/>
                            <w:ind w:left="20"/>
                            <w:rPr>
                              <w:rFonts w:ascii="Calibri"/>
                              <w:sz w:val="20"/>
                            </w:rPr>
                          </w:pPr>
                          <w:r>
                            <w:rPr>
                              <w:rFonts w:ascii="Calibri"/>
                              <w:sz w:val="20"/>
                            </w:rPr>
                            <w:t>DPS</w:t>
                          </w:r>
                          <w:r>
                            <w:rPr>
                              <w:rFonts w:ascii="Calibri"/>
                              <w:spacing w:val="-6"/>
                              <w:sz w:val="20"/>
                            </w:rPr>
                            <w:t xml:space="preserve"> </w:t>
                          </w:r>
                          <w:r>
                            <w:rPr>
                              <w:rFonts w:ascii="Calibri"/>
                              <w:sz w:val="20"/>
                            </w:rPr>
                            <w:t>Ref:</w:t>
                          </w:r>
                          <w:r>
                            <w:rPr>
                              <w:rFonts w:ascii="Calibri"/>
                              <w:spacing w:val="-4"/>
                              <w:sz w:val="20"/>
                            </w:rPr>
                            <w:t xml:space="preserve"> </w:t>
                          </w:r>
                          <w:r>
                            <w:rPr>
                              <w:rFonts w:ascii="Calibri"/>
                              <w:spacing w:val="-2"/>
                              <w:sz w:val="20"/>
                            </w:rPr>
                            <w:t>RM6322</w:t>
                          </w:r>
                        </w:p>
                        <w:p w14:paraId="25E201F3" w14:textId="77777777" w:rsidR="004C7180" w:rsidRDefault="00CF0754">
                          <w:pPr>
                            <w:spacing w:before="8" w:line="249" w:lineRule="auto"/>
                            <w:ind w:left="20"/>
                            <w:rPr>
                              <w:rFonts w:ascii="Calibri"/>
                              <w:sz w:val="20"/>
                            </w:rPr>
                          </w:pPr>
                          <w:r>
                            <w:rPr>
                              <w:rFonts w:ascii="Calibri"/>
                              <w:sz w:val="20"/>
                            </w:rPr>
                            <w:t>Project</w:t>
                          </w:r>
                          <w:r>
                            <w:rPr>
                              <w:rFonts w:ascii="Calibri"/>
                              <w:spacing w:val="-12"/>
                              <w:sz w:val="20"/>
                            </w:rPr>
                            <w:t xml:space="preserve"> </w:t>
                          </w:r>
                          <w:r>
                            <w:rPr>
                              <w:rFonts w:ascii="Calibri"/>
                              <w:sz w:val="20"/>
                            </w:rPr>
                            <w:t>Version:</w:t>
                          </w:r>
                          <w:r>
                            <w:rPr>
                              <w:rFonts w:ascii="Calibri"/>
                              <w:spacing w:val="-11"/>
                              <w:sz w:val="20"/>
                            </w:rPr>
                            <w:t xml:space="preserve"> </w:t>
                          </w:r>
                          <w:r>
                            <w:rPr>
                              <w:rFonts w:ascii="Calibri"/>
                              <w:sz w:val="20"/>
                            </w:rPr>
                            <w:t>v1.0 Model Version: v1.0</w:t>
                          </w:r>
                        </w:p>
                      </w:txbxContent>
                    </wps:txbx>
                    <wps:bodyPr wrap="square" lIns="0" tIns="0" rIns="0" bIns="0" rtlCol="0">
                      <a:noAutofit/>
                    </wps:bodyPr>
                  </wps:wsp>
                </a:graphicData>
              </a:graphic>
            </wp:anchor>
          </w:drawing>
        </mc:Choice>
        <mc:Fallback>
          <w:pict>
            <v:shapetype w14:anchorId="68430745" id="_x0000_t202" coordsize="21600,21600" o:spt="202" path="m,l,21600r21600,l21600,xe">
              <v:stroke joinstyle="miter"/>
              <v:path gradientshapeok="t" o:connecttype="rect"/>
            </v:shapetype>
            <v:shape id="Text Box 26" o:spid="_x0000_s1066" type="#_x0000_t202" style="position:absolute;margin-left:89pt;margin-top:769.6pt;width:85.95pt;height:37.35pt;z-index:-2516582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" filled="f" stroked="f">
              <v:textbox inset="0,0,0,0">
                <w:txbxContent>
                  <w:p w14:paraId="4F8B1644" w14:textId="77777777" w:rsidR="004C7180" w:rsidRDefault="00CF0754">
                    <w:pPr>
                      <w:spacing w:line="223" w:lineRule="exact"/>
                      <w:ind w:left="20"/>
                      <w:rPr>
                        <w:rFonts w:ascii="Calibri"/>
                        <w:sz w:val="20"/>
                      </w:rPr>
                    </w:pPr>
                    <w:r>
                      <w:rPr>
                        <w:rFonts w:ascii="Calibri"/>
                        <w:sz w:val="20"/>
                      </w:rPr>
                      <w:t>DPS</w:t>
                    </w:r>
                    <w:r>
                      <w:rPr>
                        <w:rFonts w:ascii="Calibri"/>
                        <w:spacing w:val="-6"/>
                        <w:sz w:val="20"/>
                      </w:rPr>
                      <w:t xml:space="preserve"> </w:t>
                    </w:r>
                    <w:r>
                      <w:rPr>
                        <w:rFonts w:ascii="Calibri"/>
                        <w:sz w:val="20"/>
                      </w:rPr>
                      <w:t>Ref:</w:t>
                    </w:r>
                    <w:r>
                      <w:rPr>
                        <w:rFonts w:ascii="Calibri"/>
                        <w:spacing w:val="-4"/>
                        <w:sz w:val="20"/>
                      </w:rPr>
                      <w:t xml:space="preserve"> </w:t>
                    </w:r>
                    <w:r>
                      <w:rPr>
                        <w:rFonts w:ascii="Calibri"/>
                        <w:spacing w:val="-2"/>
                        <w:sz w:val="20"/>
                      </w:rPr>
                      <w:t>RM6322</w:t>
                    </w:r>
                  </w:p>
                  <w:p w14:paraId="25E201F3" w14:textId="77777777" w:rsidR="004C7180" w:rsidRDefault="00CF0754">
                    <w:pPr>
                      <w:spacing w:before="8" w:line="249" w:lineRule="auto"/>
                      <w:ind w:left="20"/>
                      <w:rPr>
                        <w:rFonts w:ascii="Calibri"/>
                        <w:sz w:val="20"/>
                      </w:rPr>
                    </w:pPr>
                    <w:r>
                      <w:rPr>
                        <w:rFonts w:ascii="Calibri"/>
                        <w:sz w:val="20"/>
                      </w:rPr>
                      <w:t>Project</w:t>
                    </w:r>
                    <w:r>
                      <w:rPr>
                        <w:rFonts w:ascii="Calibri"/>
                        <w:spacing w:val="-12"/>
                        <w:sz w:val="20"/>
                      </w:rPr>
                      <w:t xml:space="preserve"> </w:t>
                    </w:r>
                    <w:r>
                      <w:rPr>
                        <w:rFonts w:ascii="Calibri"/>
                        <w:sz w:val="20"/>
                      </w:rPr>
                      <w:t>Version:</w:t>
                    </w:r>
                    <w:r>
                      <w:rPr>
                        <w:rFonts w:ascii="Calibri"/>
                        <w:spacing w:val="-11"/>
                        <w:sz w:val="20"/>
                      </w:rPr>
                      <w:t xml:space="preserve"> </w:t>
                    </w:r>
                    <w:r>
                      <w:rPr>
                        <w:rFonts w:ascii="Calibri"/>
                        <w:sz w:val="20"/>
                      </w:rPr>
                      <w:t>v1.0 Model Version: v1.0</w:t>
                    </w:r>
                  </w:p>
                </w:txbxContent>
              </v:textbox>
              <w10:wrap anchorx="page" anchory="page"/>
            </v:shape>
          </w:pict>
        </mc:Fallback>
      </mc:AlternateContent>
    </w:r>
    <w:r>
      <w:rPr>
        <w:noProof/>
        <w:lang w:val="en-GB" w:eastAsia="en-GB"/>
      </w:rPr>
      <mc:AlternateContent>
        <mc:Choice Requires="wps">
          <w:drawing>
            <wp:anchor distT="0" distB="0" distL="0" distR="0" simplePos="0" relativeHeight="251658253" behindDoc="1" locked="0" layoutInCell="1" allowOverlap="1" wp14:anchorId="77844E0F" wp14:editId="29B394C1">
              <wp:simplePos x="0" y="0"/>
              <wp:positionH relativeFrom="page">
                <wp:posOffset>6545326</wp:posOffset>
              </wp:positionH>
              <wp:positionV relativeFrom="page">
                <wp:posOffset>9933761</wp:posOffset>
              </wp:positionV>
              <wp:extent cx="153035" cy="15240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152400"/>
                      </a:xfrm>
                      <a:prstGeom prst="rect">
                        <a:avLst/>
                      </a:prstGeom>
                    </wps:spPr>
                    <wps:txbx>
                      <w:txbxContent>
                        <w:p w14:paraId="231C7AA2" w14:textId="77777777" w:rsidR="004C7180" w:rsidRDefault="00CF0754">
                          <w:pPr>
                            <w:spacing w:line="223" w:lineRule="exact"/>
                            <w:ind w:left="60"/>
                            <w:rPr>
                              <w:rFonts w:ascii="Calibri"/>
                              <w:sz w:val="20"/>
                            </w:rPr>
                          </w:pPr>
                          <w:r>
                            <w:rPr>
                              <w:rFonts w:ascii="Calibri"/>
                              <w:w w:val="99"/>
                              <w:sz w:val="20"/>
                            </w:rPr>
                            <w:fldChar w:fldCharType="begin"/>
                          </w:r>
                          <w:r>
                            <w:rPr>
                              <w:rFonts w:ascii="Calibri"/>
                              <w:w w:val="99"/>
                              <w:sz w:val="20"/>
                            </w:rPr>
                            <w:instrText xml:space="preserve"> PAGE </w:instrText>
                          </w:r>
                          <w:r>
                            <w:rPr>
                              <w:rFonts w:ascii="Calibri"/>
                              <w:w w:val="99"/>
                              <w:sz w:val="20"/>
                            </w:rPr>
                            <w:fldChar w:fldCharType="separate"/>
                          </w:r>
                          <w:r>
                            <w:rPr>
                              <w:rFonts w:ascii="Calibri"/>
                              <w:w w:val="99"/>
                              <w:sz w:val="20"/>
                            </w:rPr>
                            <w:t>1</w:t>
                          </w:r>
                          <w:r>
                            <w:rPr>
                              <w:rFonts w:ascii="Calibri"/>
                              <w:w w:val="99"/>
                              <w:sz w:val="20"/>
                            </w:rPr>
                            <w:fldChar w:fldCharType="end"/>
                          </w:r>
                        </w:p>
                      </w:txbxContent>
                    </wps:txbx>
                    <wps:bodyPr wrap="square" lIns="0" tIns="0" rIns="0" bIns="0" rtlCol="0">
                      <a:noAutofit/>
                    </wps:bodyPr>
                  </wps:wsp>
                </a:graphicData>
              </a:graphic>
            </wp:anchor>
          </w:drawing>
        </mc:Choice>
        <mc:Fallback>
          <w:pict>
            <v:shape w14:anchorId="77844E0F" id="Text Box 27" o:spid="_x0000_s1067" type="#_x0000_t202" style="position:absolute;margin-left:515.4pt;margin-top:782.2pt;width:12.05pt;height:12pt;z-index:-25165822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" filled="f" stroked="f">
              <v:textbox inset="0,0,0,0">
                <w:txbxContent>
                  <w:p w14:paraId="231C7AA2" w14:textId="77777777" w:rsidR="004C7180" w:rsidRDefault="00CF0754">
                    <w:pPr>
                      <w:spacing w:line="223" w:lineRule="exact"/>
                      <w:ind w:left="60"/>
                      <w:rPr>
                        <w:rFonts w:ascii="Calibri"/>
                        <w:sz w:val="20"/>
                      </w:rPr>
                    </w:pPr>
                    <w:r>
                      <w:rPr>
                        <w:rFonts w:ascii="Calibri"/>
                        <w:w w:val="99"/>
                        <w:sz w:val="20"/>
                      </w:rPr>
                      <w:fldChar w:fldCharType="begin"/>
                    </w:r>
                    <w:r>
                      <w:rPr>
                        <w:rFonts w:ascii="Calibri"/>
                        <w:w w:val="99"/>
                        <w:sz w:val="20"/>
                      </w:rPr>
                      <w:instrText xml:space="preserve"> PAGE </w:instrText>
                    </w:r>
                    <w:r>
                      <w:rPr>
                        <w:rFonts w:ascii="Calibri"/>
                        <w:w w:val="99"/>
                        <w:sz w:val="20"/>
                      </w:rPr>
                      <w:fldChar w:fldCharType="separate"/>
                    </w:r>
                    <w:r>
                      <w:rPr>
                        <w:rFonts w:ascii="Calibri"/>
                        <w:w w:val="99"/>
                        <w:sz w:val="20"/>
                      </w:rPr>
                      <w:t>1</w:t>
                    </w:r>
                    <w:r>
                      <w:rPr>
                        <w:rFonts w:ascii="Calibri"/>
                        <w:w w:val="99"/>
                        <w:sz w:val="20"/>
                      </w:rP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DBBF2" w14:textId="77777777" w:rsidR="004C7180" w:rsidRDefault="004C7180">
    <w:pPr>
      <w:pStyle w:val="BodyText"/>
      <w:spacing w:line="14" w:lineRule="auto"/>
      <w:rPr>
        <w:sz w:val="2"/>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2401F" w14:textId="77777777" w:rsidR="004C7180" w:rsidRDefault="004C7180">
    <w:pPr>
      <w:pStyle w:val="BodyText"/>
      <w:spacing w:line="14" w:lineRule="auto"/>
      <w:rPr>
        <w:sz w:val="2"/>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C635D" w14:textId="77777777" w:rsidR="004C7180" w:rsidRDefault="004C7180">
    <w:pPr>
      <w:pStyle w:val="BodyText"/>
      <w:spacing w:line="14" w:lineRule="auto"/>
      <w:rPr>
        <w:sz w:val="2"/>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37931" w14:textId="77777777" w:rsidR="004C7180" w:rsidRDefault="004C7180">
    <w:pPr>
      <w:pStyle w:val="BodyText"/>
      <w:spacing w:line="14" w:lineRule="auto"/>
      <w:rPr>
        <w:sz w:val="2"/>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F82F7" w14:textId="77777777" w:rsidR="004C7180" w:rsidRDefault="004C7180">
    <w:pPr>
      <w:pStyle w:val="BodyText"/>
      <w:spacing w:line="14" w:lineRule="auto"/>
      <w:rPr>
        <w:sz w:val="2"/>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0AC41" w14:textId="77777777" w:rsidR="004C7180" w:rsidRDefault="004C7180">
    <w:pPr>
      <w:pStyle w:val="BodyText"/>
      <w:spacing w:line="14" w:lineRule="auto"/>
      <w:rPr>
        <w:sz w:val="2"/>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4B943" w14:textId="77777777" w:rsidR="004C7180" w:rsidRDefault="004C7180">
    <w:pPr>
      <w:pStyle w:val="BodyText"/>
      <w:spacing w:line="14" w:lineRule="auto"/>
      <w:rPr>
        <w:sz w:val="2"/>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597B2" w14:textId="77777777" w:rsidR="004C7180" w:rsidRDefault="004C7180">
    <w:pPr>
      <w:pStyle w:val="BodyText"/>
      <w:spacing w:line="14" w:lineRule="auto"/>
      <w:rPr>
        <w:sz w:val="2"/>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4CFCB" w14:textId="77777777" w:rsidR="004C7180" w:rsidRDefault="004C7180">
    <w:pPr>
      <w:pStyle w:val="BodyText"/>
      <w:spacing w:line="14" w:lineRule="auto"/>
      <w:rPr>
        <w:sz w:val="2"/>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DB7F7" w14:textId="77777777" w:rsidR="004C7180" w:rsidRDefault="004C7180">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101F1" w14:textId="77777777" w:rsidR="004C7180" w:rsidRDefault="00CF0754">
    <w:pPr>
      <w:pStyle w:val="BodyText"/>
      <w:spacing w:line="14" w:lineRule="auto"/>
      <w:rPr>
        <w:sz w:val="20"/>
      </w:rPr>
    </w:pPr>
    <w:r>
      <w:rPr>
        <w:noProof/>
        <w:lang w:val="en-GB" w:eastAsia="en-GB"/>
      </w:rPr>
      <mc:AlternateContent>
        <mc:Choice Requires="wps">
          <w:drawing>
            <wp:anchor distT="0" distB="0" distL="0" distR="0" simplePos="0" relativeHeight="251658255" behindDoc="1" locked="0" layoutInCell="1" allowOverlap="1" wp14:anchorId="66F14751" wp14:editId="5149E4D0">
              <wp:simplePos x="0" y="0"/>
              <wp:positionH relativeFrom="page">
                <wp:posOffset>901700</wp:posOffset>
              </wp:positionH>
              <wp:positionV relativeFrom="page">
                <wp:posOffset>9752950</wp:posOffset>
              </wp:positionV>
              <wp:extent cx="1196340" cy="480695"/>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6340" cy="480695"/>
                      </a:xfrm>
                      <a:prstGeom prst="rect">
                        <a:avLst/>
                      </a:prstGeom>
                    </wps:spPr>
                    <wps:txbx>
                      <w:txbxContent>
                        <w:p w14:paraId="6AEBC03A" w14:textId="77777777" w:rsidR="004C7180" w:rsidRDefault="00CF0754">
                          <w:pPr>
                            <w:spacing w:before="12"/>
                            <w:ind w:left="20"/>
                            <w:rPr>
                              <w:sz w:val="20"/>
                            </w:rPr>
                          </w:pPr>
                          <w:r>
                            <w:rPr>
                              <w:sz w:val="20"/>
                            </w:rPr>
                            <w:t>DPS</w:t>
                          </w:r>
                          <w:r>
                            <w:rPr>
                              <w:spacing w:val="-5"/>
                              <w:sz w:val="20"/>
                            </w:rPr>
                            <w:t xml:space="preserve"> </w:t>
                          </w:r>
                          <w:r>
                            <w:rPr>
                              <w:sz w:val="20"/>
                            </w:rPr>
                            <w:t>Ref:</w:t>
                          </w:r>
                          <w:r>
                            <w:rPr>
                              <w:spacing w:val="-4"/>
                              <w:sz w:val="20"/>
                            </w:rPr>
                            <w:t xml:space="preserve"> </w:t>
                          </w:r>
                          <w:r>
                            <w:rPr>
                              <w:spacing w:val="-2"/>
                              <w:sz w:val="20"/>
                            </w:rPr>
                            <w:t>RM6322</w:t>
                          </w:r>
                        </w:p>
                        <w:p w14:paraId="713A5493" w14:textId="77777777" w:rsidR="004C7180" w:rsidRDefault="00CF0754">
                          <w:pPr>
                            <w:spacing w:before="34"/>
                            <w:ind w:left="20"/>
                            <w:rPr>
                              <w:sz w:val="20"/>
                            </w:rPr>
                          </w:pPr>
                          <w:r>
                            <w:rPr>
                              <w:sz w:val="20"/>
                            </w:rPr>
                            <w:t>Project</w:t>
                          </w:r>
                          <w:r>
                            <w:rPr>
                              <w:spacing w:val="-14"/>
                              <w:sz w:val="20"/>
                            </w:rPr>
                            <w:t xml:space="preserve"> </w:t>
                          </w:r>
                          <w:r>
                            <w:rPr>
                              <w:sz w:val="20"/>
                            </w:rPr>
                            <w:t>Version:</w:t>
                          </w:r>
                          <w:r>
                            <w:rPr>
                              <w:spacing w:val="-14"/>
                              <w:sz w:val="20"/>
                            </w:rPr>
                            <w:t xml:space="preserve"> </w:t>
                          </w:r>
                          <w:r>
                            <w:rPr>
                              <w:sz w:val="20"/>
                            </w:rPr>
                            <w:t>v1.0 Model Version: v1.0</w:t>
                          </w:r>
                        </w:p>
                      </w:txbxContent>
                    </wps:txbx>
                    <wps:bodyPr wrap="square" lIns="0" tIns="0" rIns="0" bIns="0" rtlCol="0">
                      <a:noAutofit/>
                    </wps:bodyPr>
                  </wps:wsp>
                </a:graphicData>
              </a:graphic>
            </wp:anchor>
          </w:drawing>
        </mc:Choice>
        <mc:Fallback>
          <w:pict>
            <v:shapetype w14:anchorId="66F14751" id="_x0000_t202" coordsize="21600,21600" o:spt="202" path="m,l,21600r21600,l21600,xe">
              <v:stroke joinstyle="miter"/>
              <v:path gradientshapeok="t" o:connecttype="rect"/>
            </v:shapetype>
            <v:shape id="Text Box 29" o:spid="_x0000_s1069" type="#_x0000_t202" style="position:absolute;margin-left:71pt;margin-top:767.95pt;width:94.2pt;height:37.85pt;z-index:-25165822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" filled="f" stroked="f">
              <v:textbox inset="0,0,0,0">
                <w:txbxContent>
                  <w:p w14:paraId="6AEBC03A" w14:textId="77777777" w:rsidR="004C7180" w:rsidRDefault="00CF0754">
                    <w:pPr>
                      <w:spacing w:before="12"/>
                      <w:ind w:left="20"/>
                      <w:rPr>
                        <w:sz w:val="20"/>
                      </w:rPr>
                    </w:pPr>
                    <w:r>
                      <w:rPr>
                        <w:sz w:val="20"/>
                      </w:rPr>
                      <w:t>DPS</w:t>
                    </w:r>
                    <w:r>
                      <w:rPr>
                        <w:spacing w:val="-5"/>
                        <w:sz w:val="20"/>
                      </w:rPr>
                      <w:t xml:space="preserve"> </w:t>
                    </w:r>
                    <w:r>
                      <w:rPr>
                        <w:sz w:val="20"/>
                      </w:rPr>
                      <w:t>Ref:</w:t>
                    </w:r>
                    <w:r>
                      <w:rPr>
                        <w:spacing w:val="-4"/>
                        <w:sz w:val="20"/>
                      </w:rPr>
                      <w:t xml:space="preserve"> </w:t>
                    </w:r>
                    <w:r>
                      <w:rPr>
                        <w:spacing w:val="-2"/>
                        <w:sz w:val="20"/>
                      </w:rPr>
                      <w:t>RM6322</w:t>
                    </w:r>
                  </w:p>
                  <w:p w14:paraId="713A5493" w14:textId="77777777" w:rsidR="004C7180" w:rsidRDefault="00CF0754">
                    <w:pPr>
                      <w:spacing w:before="34"/>
                      <w:ind w:left="20"/>
                      <w:rPr>
                        <w:sz w:val="20"/>
                      </w:rPr>
                    </w:pPr>
                    <w:r>
                      <w:rPr>
                        <w:sz w:val="20"/>
                      </w:rPr>
                      <w:t>Project</w:t>
                    </w:r>
                    <w:r>
                      <w:rPr>
                        <w:spacing w:val="-14"/>
                        <w:sz w:val="20"/>
                      </w:rPr>
                      <w:t xml:space="preserve"> </w:t>
                    </w:r>
                    <w:r>
                      <w:rPr>
                        <w:sz w:val="20"/>
                      </w:rPr>
                      <w:t>Version:</w:t>
                    </w:r>
                    <w:r>
                      <w:rPr>
                        <w:spacing w:val="-14"/>
                        <w:sz w:val="20"/>
                      </w:rPr>
                      <w:t xml:space="preserve"> </w:t>
                    </w:r>
                    <w:r>
                      <w:rPr>
                        <w:sz w:val="20"/>
                      </w:rPr>
                      <w:t>v1.0 Model Version: v1.0</w:t>
                    </w:r>
                  </w:p>
                </w:txbxContent>
              </v:textbox>
              <w10:wrap anchorx="page" anchory="page"/>
            </v:shape>
          </w:pict>
        </mc:Fallback>
      </mc:AlternateContent>
    </w:r>
    <w:r>
      <w:rPr>
        <w:noProof/>
        <w:lang w:val="en-GB" w:eastAsia="en-GB"/>
      </w:rPr>
      <mc:AlternateContent>
        <mc:Choice Requires="wps">
          <w:drawing>
            <wp:anchor distT="0" distB="0" distL="0" distR="0" simplePos="0" relativeHeight="251658256" behindDoc="1" locked="0" layoutInCell="1" allowOverlap="1" wp14:anchorId="1ADBD91B" wp14:editId="7F24969B">
              <wp:simplePos x="0" y="0"/>
              <wp:positionH relativeFrom="page">
                <wp:posOffset>6561837</wp:posOffset>
              </wp:positionH>
              <wp:positionV relativeFrom="page">
                <wp:posOffset>9920552</wp:posOffset>
              </wp:positionV>
              <wp:extent cx="95885" cy="167005"/>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885" cy="167005"/>
                      </a:xfrm>
                      <a:prstGeom prst="rect">
                        <a:avLst/>
                      </a:prstGeom>
                    </wps:spPr>
                    <wps:txbx>
                      <w:txbxContent>
                        <w:p w14:paraId="4839BEC9" w14:textId="77777777" w:rsidR="004C7180" w:rsidRDefault="00CF0754">
                          <w:pPr>
                            <w:spacing w:before="12"/>
                            <w:ind w:left="20"/>
                            <w:rPr>
                              <w:sz w:val="20"/>
                            </w:rPr>
                          </w:pPr>
                          <w:r>
                            <w:rPr>
                              <w:w w:val="99"/>
                              <w:sz w:val="20"/>
                            </w:rPr>
                            <w:t>1</w:t>
                          </w:r>
                        </w:p>
                      </w:txbxContent>
                    </wps:txbx>
                    <wps:bodyPr wrap="square" lIns="0" tIns="0" rIns="0" bIns="0" rtlCol="0">
                      <a:noAutofit/>
                    </wps:bodyPr>
                  </wps:wsp>
                </a:graphicData>
              </a:graphic>
            </wp:anchor>
          </w:drawing>
        </mc:Choice>
        <mc:Fallback>
          <w:pict>
            <v:shape w14:anchorId="1ADBD91B" id="Text Box 30" o:spid="_x0000_s1070" type="#_x0000_t202" style="position:absolute;margin-left:516.7pt;margin-top:781.15pt;width:7.55pt;height:13.15pt;z-index:-251658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" filled="f" stroked="f">
              <v:textbox inset="0,0,0,0">
                <w:txbxContent>
                  <w:p w14:paraId="4839BEC9" w14:textId="77777777" w:rsidR="004C7180" w:rsidRDefault="00CF0754">
                    <w:pPr>
                      <w:spacing w:before="12"/>
                      <w:ind w:left="20"/>
                      <w:rPr>
                        <w:sz w:val="20"/>
                      </w:rPr>
                    </w:pPr>
                    <w:r>
                      <w:rPr>
                        <w:w w:val="99"/>
                        <w:sz w:val="20"/>
                      </w:rPr>
                      <w:t>1</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EDCFC" w14:textId="77777777" w:rsidR="004C7180" w:rsidRDefault="004C7180">
    <w:pPr>
      <w:pStyle w:val="BodyText"/>
      <w:spacing w:line="14" w:lineRule="auto"/>
      <w:rPr>
        <w:sz w:val="2"/>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66840" w14:textId="77777777" w:rsidR="004C7180" w:rsidRDefault="004C7180">
    <w:pPr>
      <w:pStyle w:val="BodyText"/>
      <w:spacing w:line="14" w:lineRule="auto"/>
      <w:rPr>
        <w:sz w:val="2"/>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0A191" w14:textId="77777777" w:rsidR="004C7180" w:rsidRDefault="004C7180">
    <w:pPr>
      <w:pStyle w:val="BodyText"/>
      <w:spacing w:line="14" w:lineRule="auto"/>
      <w:rPr>
        <w:sz w:val="2"/>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6F8D1" w14:textId="77777777" w:rsidR="004C7180" w:rsidRDefault="004C7180">
    <w:pPr>
      <w:pStyle w:val="BodyText"/>
      <w:spacing w:line="14" w:lineRule="auto"/>
      <w:rPr>
        <w:sz w:val="2"/>
      </w:rP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2893B" w14:textId="77777777" w:rsidR="004C7180" w:rsidRDefault="004C7180">
    <w:pPr>
      <w:pStyle w:val="BodyText"/>
      <w:spacing w:line="14" w:lineRule="auto"/>
      <w:rPr>
        <w:sz w:val="2"/>
      </w:rP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51C2F" w14:textId="77777777" w:rsidR="004C7180" w:rsidRDefault="004C7180">
    <w:pPr>
      <w:pStyle w:val="BodyText"/>
      <w:spacing w:line="14" w:lineRule="auto"/>
      <w:rPr>
        <w:sz w:val="2"/>
      </w:rP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A88B0" w14:textId="77777777" w:rsidR="004C7180" w:rsidRDefault="004C7180">
    <w:pPr>
      <w:pStyle w:val="BodyText"/>
      <w:spacing w:line="14" w:lineRule="auto"/>
      <w:rPr>
        <w:sz w:val="2"/>
      </w:rP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F2572" w14:textId="77777777" w:rsidR="004C7180" w:rsidRDefault="004C7180">
    <w:pPr>
      <w:pStyle w:val="BodyText"/>
      <w:spacing w:line="14" w:lineRule="auto"/>
      <w:rPr>
        <w:sz w:val="2"/>
      </w:rP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16585" w14:textId="77777777" w:rsidR="004C7180" w:rsidRDefault="004C7180">
    <w:pPr>
      <w:pStyle w:val="BodyText"/>
      <w:spacing w:line="14" w:lineRule="auto"/>
      <w:rPr>
        <w:sz w:val="2"/>
      </w:rP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E373B" w14:textId="77777777" w:rsidR="004C7180" w:rsidRDefault="00CF0754">
    <w:pPr>
      <w:pStyle w:val="BodyText"/>
      <w:spacing w:line="14" w:lineRule="auto"/>
      <w:rPr>
        <w:sz w:val="20"/>
      </w:rPr>
    </w:pPr>
    <w:r>
      <w:rPr>
        <w:noProof/>
        <w:lang w:val="en-GB" w:eastAsia="en-GB"/>
      </w:rPr>
      <mc:AlternateContent>
        <mc:Choice Requires="wps">
          <w:drawing>
            <wp:anchor distT="0" distB="0" distL="0" distR="0" simplePos="0" relativeHeight="251676160" behindDoc="1" locked="0" layoutInCell="1" allowOverlap="1" wp14:anchorId="759576F2" wp14:editId="02011C33">
              <wp:simplePos x="0" y="0"/>
              <wp:positionH relativeFrom="page">
                <wp:posOffset>901700</wp:posOffset>
              </wp:positionH>
              <wp:positionV relativeFrom="page">
                <wp:posOffset>9913069</wp:posOffset>
              </wp:positionV>
              <wp:extent cx="1363980" cy="336550"/>
              <wp:effectExtent l="0" t="0" r="0" b="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3980" cy="336550"/>
                      </a:xfrm>
                      <a:prstGeom prst="rect">
                        <a:avLst/>
                      </a:prstGeom>
                    </wps:spPr>
                    <wps:txbx>
                      <w:txbxContent>
                        <w:p w14:paraId="28C09E6B" w14:textId="77777777" w:rsidR="004C7180" w:rsidRDefault="00CF0754">
                          <w:pPr>
                            <w:spacing w:line="245" w:lineRule="exact"/>
                            <w:ind w:left="20"/>
                            <w:rPr>
                              <w:rFonts w:ascii="Calibri"/>
                            </w:rPr>
                          </w:pPr>
                          <w:r>
                            <w:rPr>
                              <w:rFonts w:ascii="Calibri"/>
                            </w:rPr>
                            <w:t>Ref:</w:t>
                          </w:r>
                          <w:r>
                            <w:rPr>
                              <w:rFonts w:ascii="Calibri"/>
                              <w:spacing w:val="-4"/>
                            </w:rPr>
                            <w:t xml:space="preserve"> </w:t>
                          </w:r>
                          <w:r>
                            <w:rPr>
                              <w:rFonts w:ascii="Calibri"/>
                              <w:spacing w:val="-2"/>
                            </w:rPr>
                            <w:t>RM3830</w:t>
                          </w:r>
                        </w:p>
                        <w:p w14:paraId="008A4305" w14:textId="77777777" w:rsidR="004C7180" w:rsidRDefault="00CF0754">
                          <w:pPr>
                            <w:ind w:left="20"/>
                            <w:rPr>
                              <w:rFonts w:ascii="Calibri"/>
                            </w:rPr>
                          </w:pPr>
                          <w:r>
                            <w:rPr>
                              <w:rFonts w:ascii="Calibri"/>
                            </w:rPr>
                            <w:t>FM</w:t>
                          </w:r>
                          <w:r>
                            <w:rPr>
                              <w:rFonts w:ascii="Calibri"/>
                              <w:spacing w:val="-4"/>
                            </w:rPr>
                            <w:t xml:space="preserve"> </w:t>
                          </w:r>
                          <w:r>
                            <w:rPr>
                              <w:rFonts w:ascii="Calibri"/>
                            </w:rPr>
                            <w:t>Project</w:t>
                          </w:r>
                          <w:r>
                            <w:rPr>
                              <w:rFonts w:ascii="Calibri"/>
                              <w:spacing w:val="-3"/>
                            </w:rPr>
                            <w:t xml:space="preserve"> </w:t>
                          </w:r>
                          <w:r>
                            <w:rPr>
                              <w:rFonts w:ascii="Calibri"/>
                            </w:rPr>
                            <w:t>Version:</w:t>
                          </w:r>
                          <w:r>
                            <w:rPr>
                              <w:rFonts w:ascii="Calibri"/>
                              <w:spacing w:val="-4"/>
                            </w:rPr>
                            <w:t xml:space="preserve"> </w:t>
                          </w:r>
                          <w:r>
                            <w:rPr>
                              <w:rFonts w:ascii="Calibri"/>
                              <w:spacing w:val="-5"/>
                            </w:rPr>
                            <w:t>1.A</w:t>
                          </w:r>
                        </w:p>
                      </w:txbxContent>
                    </wps:txbx>
                    <wps:bodyPr wrap="square" lIns="0" tIns="0" rIns="0" bIns="0" rtlCol="0">
                      <a:noAutofit/>
                    </wps:bodyPr>
                  </wps:wsp>
                </a:graphicData>
              </a:graphic>
            </wp:anchor>
          </w:drawing>
        </mc:Choice>
        <mc:Fallback>
          <w:pict>
            <v:shapetype w14:anchorId="759576F2" id="_x0000_t202" coordsize="21600,21600" o:spt="202" path="m,l,21600r21600,l21600,xe">
              <v:stroke joinstyle="miter"/>
              <v:path gradientshapeok="t" o:connecttype="rect"/>
            </v:shapetype>
            <v:shape id="Text Box 296" o:spid="_x0000_s1133" type="#_x0000_t202" style="position:absolute;margin-left:71pt;margin-top:780.55pt;width:107.4pt;height:26.5pt;z-index:-25164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" filled="f" stroked="f">
              <v:textbox inset="0,0,0,0">
                <w:txbxContent>
                  <w:p w14:paraId="28C09E6B" w14:textId="77777777" w:rsidR="004C7180" w:rsidRDefault="00CF0754">
                    <w:pPr>
                      <w:spacing w:line="245" w:lineRule="exact"/>
                      <w:ind w:left="20"/>
                      <w:rPr>
                        <w:rFonts w:ascii="Calibri"/>
                      </w:rPr>
                    </w:pPr>
                    <w:r>
                      <w:rPr>
                        <w:rFonts w:ascii="Calibri"/>
                      </w:rPr>
                      <w:t>Ref:</w:t>
                    </w:r>
                    <w:r>
                      <w:rPr>
                        <w:rFonts w:ascii="Calibri"/>
                        <w:spacing w:val="-4"/>
                      </w:rPr>
                      <w:t xml:space="preserve"> </w:t>
                    </w:r>
                    <w:r>
                      <w:rPr>
                        <w:rFonts w:ascii="Calibri"/>
                        <w:spacing w:val="-2"/>
                      </w:rPr>
                      <w:t>RM3830</w:t>
                    </w:r>
                  </w:p>
                  <w:p w14:paraId="008A4305" w14:textId="77777777" w:rsidR="004C7180" w:rsidRDefault="00CF0754">
                    <w:pPr>
                      <w:ind w:left="20"/>
                      <w:rPr>
                        <w:rFonts w:ascii="Calibri"/>
                      </w:rPr>
                    </w:pPr>
                    <w:r>
                      <w:rPr>
                        <w:rFonts w:ascii="Calibri"/>
                      </w:rPr>
                      <w:t>FM</w:t>
                    </w:r>
                    <w:r>
                      <w:rPr>
                        <w:rFonts w:ascii="Calibri"/>
                        <w:spacing w:val="-4"/>
                      </w:rPr>
                      <w:t xml:space="preserve"> </w:t>
                    </w:r>
                    <w:r>
                      <w:rPr>
                        <w:rFonts w:ascii="Calibri"/>
                      </w:rPr>
                      <w:t>Project</w:t>
                    </w:r>
                    <w:r>
                      <w:rPr>
                        <w:rFonts w:ascii="Calibri"/>
                        <w:spacing w:val="-3"/>
                      </w:rPr>
                      <w:t xml:space="preserve"> </w:t>
                    </w:r>
                    <w:r>
                      <w:rPr>
                        <w:rFonts w:ascii="Calibri"/>
                      </w:rPr>
                      <w:t>Version:</w:t>
                    </w:r>
                    <w:r>
                      <w:rPr>
                        <w:rFonts w:ascii="Calibri"/>
                        <w:spacing w:val="-4"/>
                      </w:rPr>
                      <w:t xml:space="preserve"> </w:t>
                    </w:r>
                    <w:r>
                      <w:rPr>
                        <w:rFonts w:ascii="Calibri"/>
                        <w:spacing w:val="-5"/>
                      </w:rPr>
                      <w:t>1.A</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B68A1" w14:textId="77777777" w:rsidR="004C7180" w:rsidRDefault="00CF0754">
    <w:pPr>
      <w:pStyle w:val="BodyText"/>
      <w:spacing w:line="14" w:lineRule="auto"/>
      <w:rPr>
        <w:sz w:val="20"/>
      </w:rPr>
    </w:pPr>
    <w:r>
      <w:rPr>
        <w:noProof/>
        <w:lang w:val="en-GB" w:eastAsia="en-GB"/>
      </w:rPr>
      <mc:AlternateContent>
        <mc:Choice Requires="wps">
          <w:drawing>
            <wp:anchor distT="0" distB="0" distL="0" distR="0" simplePos="0" relativeHeight="251658258" behindDoc="1" locked="0" layoutInCell="1" allowOverlap="1" wp14:anchorId="7028BF2E" wp14:editId="663B3B9F">
              <wp:simplePos x="0" y="0"/>
              <wp:positionH relativeFrom="page">
                <wp:posOffset>902004</wp:posOffset>
              </wp:positionH>
              <wp:positionV relativeFrom="page">
                <wp:posOffset>9752576</wp:posOffset>
              </wp:positionV>
              <wp:extent cx="1195705" cy="48133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5705" cy="481330"/>
                      </a:xfrm>
                      <a:prstGeom prst="rect">
                        <a:avLst/>
                      </a:prstGeom>
                    </wps:spPr>
                    <wps:txbx>
                      <w:txbxContent>
                        <w:p w14:paraId="01A29F83" w14:textId="77777777" w:rsidR="004C7180" w:rsidRDefault="00CF0754">
                          <w:pPr>
                            <w:spacing w:before="12"/>
                            <w:ind w:left="20"/>
                            <w:rPr>
                              <w:sz w:val="20"/>
                            </w:rPr>
                          </w:pPr>
                          <w:r>
                            <w:rPr>
                              <w:sz w:val="20"/>
                            </w:rPr>
                            <w:t>DPS</w:t>
                          </w:r>
                          <w:r>
                            <w:rPr>
                              <w:spacing w:val="-4"/>
                              <w:sz w:val="20"/>
                            </w:rPr>
                            <w:t xml:space="preserve"> </w:t>
                          </w:r>
                          <w:r>
                            <w:rPr>
                              <w:sz w:val="20"/>
                            </w:rPr>
                            <w:t>Ref:</w:t>
                          </w:r>
                          <w:r>
                            <w:rPr>
                              <w:spacing w:val="-3"/>
                              <w:sz w:val="20"/>
                            </w:rPr>
                            <w:t xml:space="preserve"> </w:t>
                          </w:r>
                          <w:r>
                            <w:rPr>
                              <w:spacing w:val="-2"/>
                              <w:sz w:val="20"/>
                            </w:rPr>
                            <w:t>RM6322</w:t>
                          </w:r>
                        </w:p>
                        <w:p w14:paraId="56CE0508" w14:textId="77777777" w:rsidR="004C7180" w:rsidRDefault="00CF0754">
                          <w:pPr>
                            <w:spacing w:before="34"/>
                            <w:ind w:left="20"/>
                            <w:rPr>
                              <w:sz w:val="20"/>
                            </w:rPr>
                          </w:pPr>
                          <w:r>
                            <w:rPr>
                              <w:sz w:val="20"/>
                            </w:rPr>
                            <w:t>Project</w:t>
                          </w:r>
                          <w:r>
                            <w:rPr>
                              <w:spacing w:val="-14"/>
                              <w:sz w:val="20"/>
                            </w:rPr>
                            <w:t xml:space="preserve"> </w:t>
                          </w:r>
                          <w:r>
                            <w:rPr>
                              <w:sz w:val="20"/>
                            </w:rPr>
                            <w:t>Version:</w:t>
                          </w:r>
                          <w:r>
                            <w:rPr>
                              <w:spacing w:val="-14"/>
                              <w:sz w:val="20"/>
                            </w:rPr>
                            <w:t xml:space="preserve"> </w:t>
                          </w:r>
                          <w:r>
                            <w:rPr>
                              <w:sz w:val="20"/>
                            </w:rPr>
                            <w:t>v1.0 Model Version: v1.0</w:t>
                          </w:r>
                        </w:p>
                      </w:txbxContent>
                    </wps:txbx>
                    <wps:bodyPr wrap="square" lIns="0" tIns="0" rIns="0" bIns="0" rtlCol="0">
                      <a:noAutofit/>
                    </wps:bodyPr>
                  </wps:wsp>
                </a:graphicData>
              </a:graphic>
            </wp:anchor>
          </w:drawing>
        </mc:Choice>
        <mc:Fallback>
          <w:pict>
            <v:shapetype w14:anchorId="7028BF2E" id="_x0000_t202" coordsize="21600,21600" o:spt="202" path="m,l,21600r21600,l21600,xe">
              <v:stroke joinstyle="miter"/>
              <v:path gradientshapeok="t" o:connecttype="rect"/>
            </v:shapetype>
            <v:shape id="Text Box 32" o:spid="_x0000_s1072" type="#_x0000_t202" style="position:absolute;margin-left:71pt;margin-top:767.9pt;width:94.15pt;height:37.9pt;z-index:-25165822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" filled="f" stroked="f">
              <v:textbox inset="0,0,0,0">
                <w:txbxContent>
                  <w:p w14:paraId="01A29F83" w14:textId="77777777" w:rsidR="004C7180" w:rsidRDefault="00CF0754">
                    <w:pPr>
                      <w:spacing w:before="12"/>
                      <w:ind w:left="20"/>
                      <w:rPr>
                        <w:sz w:val="20"/>
                      </w:rPr>
                    </w:pPr>
                    <w:r>
                      <w:rPr>
                        <w:sz w:val="20"/>
                      </w:rPr>
                      <w:t>DPS</w:t>
                    </w:r>
                    <w:r>
                      <w:rPr>
                        <w:spacing w:val="-4"/>
                        <w:sz w:val="20"/>
                      </w:rPr>
                      <w:t xml:space="preserve"> </w:t>
                    </w:r>
                    <w:r>
                      <w:rPr>
                        <w:sz w:val="20"/>
                      </w:rPr>
                      <w:t>Ref:</w:t>
                    </w:r>
                    <w:r>
                      <w:rPr>
                        <w:spacing w:val="-3"/>
                        <w:sz w:val="20"/>
                      </w:rPr>
                      <w:t xml:space="preserve"> </w:t>
                    </w:r>
                    <w:r>
                      <w:rPr>
                        <w:spacing w:val="-2"/>
                        <w:sz w:val="20"/>
                      </w:rPr>
                      <w:t>RM6322</w:t>
                    </w:r>
                  </w:p>
                  <w:p w14:paraId="56CE0508" w14:textId="77777777" w:rsidR="004C7180" w:rsidRDefault="00CF0754">
                    <w:pPr>
                      <w:spacing w:before="34"/>
                      <w:ind w:left="20"/>
                      <w:rPr>
                        <w:sz w:val="20"/>
                      </w:rPr>
                    </w:pPr>
                    <w:r>
                      <w:rPr>
                        <w:sz w:val="20"/>
                      </w:rPr>
                      <w:t>Project</w:t>
                    </w:r>
                    <w:r>
                      <w:rPr>
                        <w:spacing w:val="-14"/>
                        <w:sz w:val="20"/>
                      </w:rPr>
                      <w:t xml:space="preserve"> </w:t>
                    </w:r>
                    <w:r>
                      <w:rPr>
                        <w:sz w:val="20"/>
                      </w:rPr>
                      <w:t>Version:</w:t>
                    </w:r>
                    <w:r>
                      <w:rPr>
                        <w:spacing w:val="-14"/>
                        <w:sz w:val="20"/>
                      </w:rPr>
                      <w:t xml:space="preserve"> </w:t>
                    </w:r>
                    <w:r>
                      <w:rPr>
                        <w:sz w:val="20"/>
                      </w:rPr>
                      <w:t>v1.0 Model Version: v1.0</w:t>
                    </w:r>
                  </w:p>
                </w:txbxContent>
              </v:textbox>
              <w10:wrap anchorx="page" anchory="page"/>
            </v:shape>
          </w:pict>
        </mc:Fallback>
      </mc:AlternateContent>
    </w:r>
    <w:r>
      <w:rPr>
        <w:noProof/>
        <w:lang w:val="en-GB" w:eastAsia="en-GB"/>
      </w:rPr>
      <mc:AlternateContent>
        <mc:Choice Requires="wps">
          <w:drawing>
            <wp:anchor distT="0" distB="0" distL="0" distR="0" simplePos="0" relativeHeight="251658259" behindDoc="1" locked="0" layoutInCell="1" allowOverlap="1" wp14:anchorId="096B42F8" wp14:editId="72F4CF66">
              <wp:simplePos x="0" y="0"/>
              <wp:positionH relativeFrom="page">
                <wp:posOffset>6563106</wp:posOffset>
              </wp:positionH>
              <wp:positionV relativeFrom="page">
                <wp:posOffset>9920216</wp:posOffset>
              </wp:positionV>
              <wp:extent cx="95885" cy="167005"/>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885" cy="167005"/>
                      </a:xfrm>
                      <a:prstGeom prst="rect">
                        <a:avLst/>
                      </a:prstGeom>
                    </wps:spPr>
                    <wps:txbx>
                      <w:txbxContent>
                        <w:p w14:paraId="053BFA76" w14:textId="77777777" w:rsidR="004C7180" w:rsidRDefault="00CF0754">
                          <w:pPr>
                            <w:spacing w:before="12"/>
                            <w:ind w:left="20"/>
                            <w:rPr>
                              <w:sz w:val="20"/>
                            </w:rPr>
                          </w:pPr>
                          <w:r>
                            <w:rPr>
                              <w:w w:val="99"/>
                              <w:sz w:val="20"/>
                            </w:rPr>
                            <w:t>1</w:t>
                          </w:r>
                        </w:p>
                      </w:txbxContent>
                    </wps:txbx>
                    <wps:bodyPr wrap="square" lIns="0" tIns="0" rIns="0" bIns="0" rtlCol="0">
                      <a:noAutofit/>
                    </wps:bodyPr>
                  </wps:wsp>
                </a:graphicData>
              </a:graphic>
            </wp:anchor>
          </w:drawing>
        </mc:Choice>
        <mc:Fallback>
          <w:pict>
            <v:shape w14:anchorId="096B42F8" id="Text Box 33" o:spid="_x0000_s1073" type="#_x0000_t202" style="position:absolute;margin-left:516.8pt;margin-top:781.1pt;width:7.55pt;height:13.15pt;z-index:-25165822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" filled="f" stroked="f">
              <v:textbox inset="0,0,0,0">
                <w:txbxContent>
                  <w:p w14:paraId="053BFA76" w14:textId="77777777" w:rsidR="004C7180" w:rsidRDefault="00CF0754">
                    <w:pPr>
                      <w:spacing w:before="12"/>
                      <w:ind w:left="20"/>
                      <w:rPr>
                        <w:sz w:val="20"/>
                      </w:rPr>
                    </w:pPr>
                    <w:r>
                      <w:rPr>
                        <w:w w:val="99"/>
                        <w:sz w:val="20"/>
                      </w:rPr>
                      <w:t>1</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32125" w14:textId="77777777" w:rsidR="004C7180" w:rsidRDefault="004C7180">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72302" w14:textId="77777777" w:rsidR="004C7180" w:rsidRDefault="00CF0754">
    <w:pPr>
      <w:pStyle w:val="BodyText"/>
      <w:spacing w:line="14" w:lineRule="auto"/>
      <w:rPr>
        <w:sz w:val="20"/>
      </w:rPr>
    </w:pPr>
    <w:r>
      <w:rPr>
        <w:noProof/>
        <w:lang w:val="en-GB" w:eastAsia="en-GB"/>
      </w:rPr>
      <mc:AlternateContent>
        <mc:Choice Requires="wps">
          <w:drawing>
            <wp:anchor distT="0" distB="0" distL="0" distR="0" simplePos="0" relativeHeight="251658261" behindDoc="1" locked="0" layoutInCell="1" allowOverlap="1" wp14:anchorId="7B3A3B38" wp14:editId="03FEC191">
              <wp:simplePos x="0" y="0"/>
              <wp:positionH relativeFrom="page">
                <wp:posOffset>902004</wp:posOffset>
              </wp:positionH>
              <wp:positionV relativeFrom="page">
                <wp:posOffset>9752576</wp:posOffset>
              </wp:positionV>
              <wp:extent cx="1195705" cy="481330"/>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5705" cy="481330"/>
                      </a:xfrm>
                      <a:prstGeom prst="rect">
                        <a:avLst/>
                      </a:prstGeom>
                    </wps:spPr>
                    <wps:txbx>
                      <w:txbxContent>
                        <w:p w14:paraId="1F55D005" w14:textId="77777777" w:rsidR="004C7180" w:rsidRDefault="00CF0754">
                          <w:pPr>
                            <w:spacing w:before="12"/>
                            <w:ind w:left="20"/>
                            <w:rPr>
                              <w:sz w:val="20"/>
                            </w:rPr>
                          </w:pPr>
                          <w:r>
                            <w:rPr>
                              <w:sz w:val="20"/>
                            </w:rPr>
                            <w:t>DPS</w:t>
                          </w:r>
                          <w:r>
                            <w:rPr>
                              <w:spacing w:val="-4"/>
                              <w:sz w:val="20"/>
                            </w:rPr>
                            <w:t xml:space="preserve"> </w:t>
                          </w:r>
                          <w:r>
                            <w:rPr>
                              <w:sz w:val="20"/>
                            </w:rPr>
                            <w:t>Ref:</w:t>
                          </w:r>
                          <w:r>
                            <w:rPr>
                              <w:spacing w:val="-3"/>
                              <w:sz w:val="20"/>
                            </w:rPr>
                            <w:t xml:space="preserve"> </w:t>
                          </w:r>
                          <w:r>
                            <w:rPr>
                              <w:spacing w:val="-2"/>
                              <w:sz w:val="20"/>
                            </w:rPr>
                            <w:t>RM6322</w:t>
                          </w:r>
                        </w:p>
                        <w:p w14:paraId="3A1A162D" w14:textId="77777777" w:rsidR="004C7180" w:rsidRDefault="00CF0754">
                          <w:pPr>
                            <w:spacing w:before="34"/>
                            <w:ind w:left="20"/>
                            <w:rPr>
                              <w:sz w:val="20"/>
                            </w:rPr>
                          </w:pPr>
                          <w:r>
                            <w:rPr>
                              <w:sz w:val="20"/>
                            </w:rPr>
                            <w:t>Project</w:t>
                          </w:r>
                          <w:r>
                            <w:rPr>
                              <w:spacing w:val="-14"/>
                              <w:sz w:val="20"/>
                            </w:rPr>
                            <w:t xml:space="preserve"> </w:t>
                          </w:r>
                          <w:r>
                            <w:rPr>
                              <w:sz w:val="20"/>
                            </w:rPr>
                            <w:t>Version:</w:t>
                          </w:r>
                          <w:r>
                            <w:rPr>
                              <w:spacing w:val="-14"/>
                              <w:sz w:val="20"/>
                            </w:rPr>
                            <w:t xml:space="preserve"> </w:t>
                          </w:r>
                          <w:r>
                            <w:rPr>
                              <w:sz w:val="20"/>
                            </w:rPr>
                            <w:t>v1.0 Model Version: v1.0</w:t>
                          </w:r>
                        </w:p>
                      </w:txbxContent>
                    </wps:txbx>
                    <wps:bodyPr wrap="square" lIns="0" tIns="0" rIns="0" bIns="0" rtlCol="0">
                      <a:noAutofit/>
                    </wps:bodyPr>
                  </wps:wsp>
                </a:graphicData>
              </a:graphic>
            </wp:anchor>
          </w:drawing>
        </mc:Choice>
        <mc:Fallback>
          <w:pict>
            <v:shapetype w14:anchorId="7B3A3B38" id="_x0000_t202" coordsize="21600,21600" o:spt="202" path="m,l,21600r21600,l21600,xe">
              <v:stroke joinstyle="miter"/>
              <v:path gradientshapeok="t" o:connecttype="rect"/>
            </v:shapetype>
            <v:shape id="Text Box 35" o:spid="_x0000_s1075" type="#_x0000_t202" style="position:absolute;margin-left:71pt;margin-top:767.9pt;width:94.15pt;height:37.9pt;z-index:-25165821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" filled="f" stroked="f">
              <v:textbox inset="0,0,0,0">
                <w:txbxContent>
                  <w:p w14:paraId="1F55D005" w14:textId="77777777" w:rsidR="004C7180" w:rsidRDefault="00CF0754">
                    <w:pPr>
                      <w:spacing w:before="12"/>
                      <w:ind w:left="20"/>
                      <w:rPr>
                        <w:sz w:val="20"/>
                      </w:rPr>
                    </w:pPr>
                    <w:r>
                      <w:rPr>
                        <w:sz w:val="20"/>
                      </w:rPr>
                      <w:t>DPS</w:t>
                    </w:r>
                    <w:r>
                      <w:rPr>
                        <w:spacing w:val="-4"/>
                        <w:sz w:val="20"/>
                      </w:rPr>
                      <w:t xml:space="preserve"> </w:t>
                    </w:r>
                    <w:r>
                      <w:rPr>
                        <w:sz w:val="20"/>
                      </w:rPr>
                      <w:t>Ref:</w:t>
                    </w:r>
                    <w:r>
                      <w:rPr>
                        <w:spacing w:val="-3"/>
                        <w:sz w:val="20"/>
                      </w:rPr>
                      <w:t xml:space="preserve"> </w:t>
                    </w:r>
                    <w:r>
                      <w:rPr>
                        <w:spacing w:val="-2"/>
                        <w:sz w:val="20"/>
                      </w:rPr>
                      <w:t>RM6322</w:t>
                    </w:r>
                  </w:p>
                  <w:p w14:paraId="3A1A162D" w14:textId="77777777" w:rsidR="004C7180" w:rsidRDefault="00CF0754">
                    <w:pPr>
                      <w:spacing w:before="34"/>
                      <w:ind w:left="20"/>
                      <w:rPr>
                        <w:sz w:val="20"/>
                      </w:rPr>
                    </w:pPr>
                    <w:r>
                      <w:rPr>
                        <w:sz w:val="20"/>
                      </w:rPr>
                      <w:t>Project</w:t>
                    </w:r>
                    <w:r>
                      <w:rPr>
                        <w:spacing w:val="-14"/>
                        <w:sz w:val="20"/>
                      </w:rPr>
                      <w:t xml:space="preserve"> </w:t>
                    </w:r>
                    <w:r>
                      <w:rPr>
                        <w:sz w:val="20"/>
                      </w:rPr>
                      <w:t>Version:</w:t>
                    </w:r>
                    <w:r>
                      <w:rPr>
                        <w:spacing w:val="-14"/>
                        <w:sz w:val="20"/>
                      </w:rPr>
                      <w:t xml:space="preserve"> </w:t>
                    </w:r>
                    <w:r>
                      <w:rPr>
                        <w:sz w:val="20"/>
                      </w:rPr>
                      <w:t>v1.0 Model Version: v1.0</w:t>
                    </w:r>
                  </w:p>
                </w:txbxContent>
              </v:textbox>
              <w10:wrap anchorx="page" anchory="page"/>
            </v:shape>
          </w:pict>
        </mc:Fallback>
      </mc:AlternateContent>
    </w:r>
    <w:r>
      <w:rPr>
        <w:noProof/>
        <w:lang w:val="en-GB" w:eastAsia="en-GB"/>
      </w:rPr>
      <mc:AlternateContent>
        <mc:Choice Requires="wps">
          <w:drawing>
            <wp:anchor distT="0" distB="0" distL="0" distR="0" simplePos="0" relativeHeight="251658262" behindDoc="1" locked="0" layoutInCell="1" allowOverlap="1" wp14:anchorId="5F5492A5" wp14:editId="4A8A9BE8">
              <wp:simplePos x="0" y="0"/>
              <wp:positionH relativeFrom="page">
                <wp:posOffset>6537706</wp:posOffset>
              </wp:positionH>
              <wp:positionV relativeFrom="page">
                <wp:posOffset>9920216</wp:posOffset>
              </wp:positionV>
              <wp:extent cx="159385" cy="167005"/>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67005"/>
                      </a:xfrm>
                      <a:prstGeom prst="rect">
                        <a:avLst/>
                      </a:prstGeom>
                    </wps:spPr>
                    <wps:txbx>
                      <w:txbxContent>
                        <w:p w14:paraId="21F4BE36" w14:textId="77777777" w:rsidR="004C7180" w:rsidRDefault="00CF0754">
                          <w:pPr>
                            <w:spacing w:before="12"/>
                            <w:ind w:left="60"/>
                            <w:rPr>
                              <w:sz w:val="20"/>
                            </w:rPr>
                          </w:pPr>
                          <w:r>
                            <w:rPr>
                              <w:w w:val="99"/>
                              <w:sz w:val="20"/>
                            </w:rPr>
                            <w:fldChar w:fldCharType="begin"/>
                          </w:r>
                          <w:r>
                            <w:rPr>
                              <w:w w:val="99"/>
                              <w:sz w:val="20"/>
                            </w:rPr>
                            <w:instrText xml:space="preserve"> PAGE </w:instrText>
                          </w:r>
                          <w:r>
                            <w:rPr>
                              <w:w w:val="99"/>
                              <w:sz w:val="20"/>
                            </w:rPr>
                            <w:fldChar w:fldCharType="separate"/>
                          </w:r>
                          <w:r>
                            <w:rPr>
                              <w:w w:val="99"/>
                              <w:sz w:val="20"/>
                            </w:rPr>
                            <w:t>2</w:t>
                          </w:r>
                          <w:r>
                            <w:rPr>
                              <w:w w:val="99"/>
                              <w:sz w:val="20"/>
                            </w:rPr>
                            <w:fldChar w:fldCharType="end"/>
                          </w:r>
                        </w:p>
                      </w:txbxContent>
                    </wps:txbx>
                    <wps:bodyPr wrap="square" lIns="0" tIns="0" rIns="0" bIns="0" rtlCol="0">
                      <a:noAutofit/>
                    </wps:bodyPr>
                  </wps:wsp>
                </a:graphicData>
              </a:graphic>
            </wp:anchor>
          </w:drawing>
        </mc:Choice>
        <mc:Fallback>
          <w:pict>
            <v:shape w14:anchorId="5F5492A5" id="Text Box 36" o:spid="_x0000_s1076" type="#_x0000_t202" style="position:absolute;margin-left:514.8pt;margin-top:781.1pt;width:12.55pt;height:13.15pt;z-index:-25165821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" filled="f" stroked="f">
              <v:textbox inset="0,0,0,0">
                <w:txbxContent>
                  <w:p w14:paraId="21F4BE36" w14:textId="77777777" w:rsidR="004C7180" w:rsidRDefault="00CF0754">
                    <w:pPr>
                      <w:spacing w:before="12"/>
                      <w:ind w:left="60"/>
                      <w:rPr>
                        <w:sz w:val="20"/>
                      </w:rPr>
                    </w:pPr>
                    <w:r>
                      <w:rPr>
                        <w:w w:val="99"/>
                        <w:sz w:val="20"/>
                      </w:rPr>
                      <w:fldChar w:fldCharType="begin"/>
                    </w:r>
                    <w:r>
                      <w:rPr>
                        <w:w w:val="99"/>
                        <w:sz w:val="20"/>
                      </w:rPr>
                      <w:instrText xml:space="preserve"> PAGE </w:instrText>
                    </w:r>
                    <w:r>
                      <w:rPr>
                        <w:w w:val="99"/>
                        <w:sz w:val="20"/>
                      </w:rPr>
                      <w:fldChar w:fldCharType="separate"/>
                    </w:r>
                    <w:r>
                      <w:rPr>
                        <w:w w:val="99"/>
                        <w:sz w:val="20"/>
                      </w:rPr>
                      <w:t>2</w:t>
                    </w:r>
                    <w:r>
                      <w:rPr>
                        <w:w w:val="99"/>
                        <w:sz w:val="20"/>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6C951" w14:textId="77777777" w:rsidR="004C7180" w:rsidRDefault="00CF0754">
    <w:pPr>
      <w:pStyle w:val="BodyText"/>
      <w:spacing w:line="14" w:lineRule="auto"/>
      <w:rPr>
        <w:sz w:val="20"/>
      </w:rPr>
    </w:pPr>
    <w:r>
      <w:rPr>
        <w:noProof/>
        <w:lang w:val="en-GB" w:eastAsia="en-GB"/>
      </w:rPr>
      <mc:AlternateContent>
        <mc:Choice Requires="wps">
          <w:drawing>
            <wp:anchor distT="0" distB="0" distL="0" distR="0" simplePos="0" relativeHeight="251658264" behindDoc="1" locked="0" layoutInCell="1" allowOverlap="1" wp14:anchorId="2F8ABB70" wp14:editId="78458EC0">
              <wp:simplePos x="0" y="0"/>
              <wp:positionH relativeFrom="page">
                <wp:posOffset>902004</wp:posOffset>
              </wp:positionH>
              <wp:positionV relativeFrom="page">
                <wp:posOffset>9775437</wp:posOffset>
              </wp:positionV>
              <wp:extent cx="1195705" cy="480059"/>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5705" cy="480059"/>
                      </a:xfrm>
                      <a:prstGeom prst="rect">
                        <a:avLst/>
                      </a:prstGeom>
                    </wps:spPr>
                    <wps:txbx>
                      <w:txbxContent>
                        <w:p w14:paraId="3104D02E" w14:textId="77777777" w:rsidR="004C7180" w:rsidRDefault="00CF0754">
                          <w:pPr>
                            <w:spacing w:before="12"/>
                            <w:ind w:left="20"/>
                            <w:rPr>
                              <w:sz w:val="20"/>
                            </w:rPr>
                          </w:pPr>
                          <w:r>
                            <w:rPr>
                              <w:sz w:val="20"/>
                            </w:rPr>
                            <w:t>DPS</w:t>
                          </w:r>
                          <w:r>
                            <w:rPr>
                              <w:spacing w:val="-4"/>
                              <w:sz w:val="20"/>
                            </w:rPr>
                            <w:t xml:space="preserve"> </w:t>
                          </w:r>
                          <w:r>
                            <w:rPr>
                              <w:sz w:val="20"/>
                            </w:rPr>
                            <w:t>Ref:</w:t>
                          </w:r>
                          <w:r>
                            <w:rPr>
                              <w:spacing w:val="-3"/>
                              <w:sz w:val="20"/>
                            </w:rPr>
                            <w:t xml:space="preserve"> </w:t>
                          </w:r>
                          <w:r>
                            <w:rPr>
                              <w:spacing w:val="-2"/>
                              <w:sz w:val="20"/>
                            </w:rPr>
                            <w:t>RM6322</w:t>
                          </w:r>
                        </w:p>
                        <w:p w14:paraId="20B353A6" w14:textId="77777777" w:rsidR="004C7180" w:rsidRDefault="00CF0754">
                          <w:pPr>
                            <w:spacing w:before="34"/>
                            <w:ind w:left="20"/>
                            <w:rPr>
                              <w:sz w:val="20"/>
                            </w:rPr>
                          </w:pPr>
                          <w:r>
                            <w:rPr>
                              <w:sz w:val="20"/>
                            </w:rPr>
                            <w:t>Project</w:t>
                          </w:r>
                          <w:r>
                            <w:rPr>
                              <w:spacing w:val="-14"/>
                              <w:sz w:val="20"/>
                            </w:rPr>
                            <w:t xml:space="preserve"> </w:t>
                          </w:r>
                          <w:r>
                            <w:rPr>
                              <w:sz w:val="20"/>
                            </w:rPr>
                            <w:t>Version:</w:t>
                          </w:r>
                          <w:r>
                            <w:rPr>
                              <w:spacing w:val="-14"/>
                              <w:sz w:val="20"/>
                            </w:rPr>
                            <w:t xml:space="preserve"> </w:t>
                          </w:r>
                          <w:r>
                            <w:rPr>
                              <w:sz w:val="20"/>
                            </w:rPr>
                            <w:t>v1.0 Model Version: v1.1</w:t>
                          </w:r>
                        </w:p>
                      </w:txbxContent>
                    </wps:txbx>
                    <wps:bodyPr wrap="square" lIns="0" tIns="0" rIns="0" bIns="0" rtlCol="0">
                      <a:noAutofit/>
                    </wps:bodyPr>
                  </wps:wsp>
                </a:graphicData>
              </a:graphic>
            </wp:anchor>
          </w:drawing>
        </mc:Choice>
        <mc:Fallback>
          <w:pict>
            <v:shapetype w14:anchorId="2F8ABB70" id="_x0000_t202" coordsize="21600,21600" o:spt="202" path="m,l,21600r21600,l21600,xe">
              <v:stroke joinstyle="miter"/>
              <v:path gradientshapeok="t" o:connecttype="rect"/>
            </v:shapetype>
            <v:shape id="Text Box 38" o:spid="_x0000_s1078" type="#_x0000_t202" style="position:absolute;margin-left:71pt;margin-top:769.7pt;width:94.15pt;height:37.8pt;z-index:-251658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" filled="f" stroked="f">
              <v:textbox inset="0,0,0,0">
                <w:txbxContent>
                  <w:p w14:paraId="3104D02E" w14:textId="77777777" w:rsidR="004C7180" w:rsidRDefault="00CF0754">
                    <w:pPr>
                      <w:spacing w:before="12"/>
                      <w:ind w:left="20"/>
                      <w:rPr>
                        <w:sz w:val="20"/>
                      </w:rPr>
                    </w:pPr>
                    <w:r>
                      <w:rPr>
                        <w:sz w:val="20"/>
                      </w:rPr>
                      <w:t>DPS</w:t>
                    </w:r>
                    <w:r>
                      <w:rPr>
                        <w:spacing w:val="-4"/>
                        <w:sz w:val="20"/>
                      </w:rPr>
                      <w:t xml:space="preserve"> </w:t>
                    </w:r>
                    <w:r>
                      <w:rPr>
                        <w:sz w:val="20"/>
                      </w:rPr>
                      <w:t>Ref:</w:t>
                    </w:r>
                    <w:r>
                      <w:rPr>
                        <w:spacing w:val="-3"/>
                        <w:sz w:val="20"/>
                      </w:rPr>
                      <w:t xml:space="preserve"> </w:t>
                    </w:r>
                    <w:r>
                      <w:rPr>
                        <w:spacing w:val="-2"/>
                        <w:sz w:val="20"/>
                      </w:rPr>
                      <w:t>RM6322</w:t>
                    </w:r>
                  </w:p>
                  <w:p w14:paraId="20B353A6" w14:textId="77777777" w:rsidR="004C7180" w:rsidRDefault="00CF0754">
                    <w:pPr>
                      <w:spacing w:before="34"/>
                      <w:ind w:left="20"/>
                      <w:rPr>
                        <w:sz w:val="20"/>
                      </w:rPr>
                    </w:pPr>
                    <w:r>
                      <w:rPr>
                        <w:sz w:val="20"/>
                      </w:rPr>
                      <w:t>Project</w:t>
                    </w:r>
                    <w:r>
                      <w:rPr>
                        <w:spacing w:val="-14"/>
                        <w:sz w:val="20"/>
                      </w:rPr>
                      <w:t xml:space="preserve"> </w:t>
                    </w:r>
                    <w:r>
                      <w:rPr>
                        <w:sz w:val="20"/>
                      </w:rPr>
                      <w:t>Version:</w:t>
                    </w:r>
                    <w:r>
                      <w:rPr>
                        <w:spacing w:val="-14"/>
                        <w:sz w:val="20"/>
                      </w:rPr>
                      <w:t xml:space="preserve"> </w:t>
                    </w:r>
                    <w:r>
                      <w:rPr>
                        <w:sz w:val="20"/>
                      </w:rPr>
                      <w:t>v1.0 Model Version: v1.1</w:t>
                    </w:r>
                  </w:p>
                </w:txbxContent>
              </v:textbox>
              <w10:wrap anchorx="page" anchory="page"/>
            </v:shape>
          </w:pict>
        </mc:Fallback>
      </mc:AlternateContent>
    </w:r>
    <w:r>
      <w:rPr>
        <w:noProof/>
        <w:lang w:val="en-GB" w:eastAsia="en-GB"/>
      </w:rPr>
      <mc:AlternateContent>
        <mc:Choice Requires="wps">
          <w:drawing>
            <wp:anchor distT="0" distB="0" distL="0" distR="0" simplePos="0" relativeHeight="251658265" behindDoc="1" locked="0" layoutInCell="1" allowOverlap="1" wp14:anchorId="1F825E81" wp14:editId="67702CFD">
              <wp:simplePos x="0" y="0"/>
              <wp:positionH relativeFrom="page">
                <wp:posOffset>6537706</wp:posOffset>
              </wp:positionH>
              <wp:positionV relativeFrom="page">
                <wp:posOffset>9943076</wp:posOffset>
              </wp:positionV>
              <wp:extent cx="159385" cy="167005"/>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67005"/>
                      </a:xfrm>
                      <a:prstGeom prst="rect">
                        <a:avLst/>
                      </a:prstGeom>
                    </wps:spPr>
                    <wps:txbx>
                      <w:txbxContent>
                        <w:p w14:paraId="0A827326" w14:textId="77777777" w:rsidR="004C7180" w:rsidRDefault="00CF0754">
                          <w:pPr>
                            <w:spacing w:before="12"/>
                            <w:ind w:left="60"/>
                            <w:rPr>
                              <w:sz w:val="20"/>
                            </w:rPr>
                          </w:pPr>
                          <w:r>
                            <w:rPr>
                              <w:w w:val="99"/>
                              <w:sz w:val="20"/>
                            </w:rPr>
                            <w:fldChar w:fldCharType="begin"/>
                          </w:r>
                          <w:r>
                            <w:rPr>
                              <w:w w:val="99"/>
                              <w:sz w:val="20"/>
                            </w:rPr>
                            <w:instrText xml:space="preserve"> PAGE </w:instrText>
                          </w:r>
                          <w:r>
                            <w:rPr>
                              <w:w w:val="99"/>
                              <w:sz w:val="20"/>
                            </w:rPr>
                            <w:fldChar w:fldCharType="separate"/>
                          </w:r>
                          <w:r>
                            <w:rPr>
                              <w:w w:val="99"/>
                              <w:sz w:val="20"/>
                            </w:rPr>
                            <w:t>1</w:t>
                          </w:r>
                          <w:r>
                            <w:rPr>
                              <w:w w:val="99"/>
                              <w:sz w:val="20"/>
                            </w:rPr>
                            <w:fldChar w:fldCharType="end"/>
                          </w:r>
                        </w:p>
                      </w:txbxContent>
                    </wps:txbx>
                    <wps:bodyPr wrap="square" lIns="0" tIns="0" rIns="0" bIns="0" rtlCol="0">
                      <a:noAutofit/>
                    </wps:bodyPr>
                  </wps:wsp>
                </a:graphicData>
              </a:graphic>
            </wp:anchor>
          </w:drawing>
        </mc:Choice>
        <mc:Fallback>
          <w:pict>
            <v:shape w14:anchorId="1F825E81" id="Text Box 39" o:spid="_x0000_s1079" type="#_x0000_t202" style="position:absolute;margin-left:514.8pt;margin-top:782.9pt;width:12.55pt;height:13.15pt;z-index:-25165821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" filled="f" stroked="f">
              <v:textbox inset="0,0,0,0">
                <w:txbxContent>
                  <w:p w14:paraId="0A827326" w14:textId="77777777" w:rsidR="004C7180" w:rsidRDefault="00CF0754">
                    <w:pPr>
                      <w:spacing w:before="12"/>
                      <w:ind w:left="60"/>
                      <w:rPr>
                        <w:sz w:val="20"/>
                      </w:rPr>
                    </w:pPr>
                    <w:r>
                      <w:rPr>
                        <w:w w:val="99"/>
                        <w:sz w:val="20"/>
                      </w:rPr>
                      <w:fldChar w:fldCharType="begin"/>
                    </w:r>
                    <w:r>
                      <w:rPr>
                        <w:w w:val="99"/>
                        <w:sz w:val="20"/>
                      </w:rPr>
                      <w:instrText xml:space="preserve"> PAGE </w:instrText>
                    </w:r>
                    <w:r>
                      <w:rPr>
                        <w:w w:val="99"/>
                        <w:sz w:val="20"/>
                      </w:rPr>
                      <w:fldChar w:fldCharType="separate"/>
                    </w:r>
                    <w:r>
                      <w:rPr>
                        <w:w w:val="99"/>
                        <w:sz w:val="20"/>
                      </w:rPr>
                      <w:t>1</w:t>
                    </w:r>
                    <w:r>
                      <w:rPr>
                        <w:w w:val="99"/>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C0FD2C" w14:textId="77777777" w:rsidR="00706ECC" w:rsidRDefault="00706ECC">
      <w:r>
        <w:separator/>
      </w:r>
    </w:p>
  </w:footnote>
  <w:footnote w:type="continuationSeparator" w:id="0">
    <w:p w14:paraId="0CB386E9" w14:textId="77777777" w:rsidR="00706ECC" w:rsidRDefault="00706ECC">
      <w:r>
        <w:continuationSeparator/>
      </w:r>
    </w:p>
  </w:footnote>
  <w:footnote w:type="continuationNotice" w:id="1">
    <w:p w14:paraId="0AF044B6" w14:textId="77777777" w:rsidR="00706ECC" w:rsidRDefault="00706EC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323D3" w14:textId="77777777" w:rsidR="004C7180" w:rsidRDefault="00CF0754">
    <w:pPr>
      <w:pStyle w:val="BodyText"/>
      <w:spacing w:line="14" w:lineRule="auto"/>
      <w:rPr>
        <w:sz w:val="20"/>
      </w:rPr>
    </w:pPr>
    <w:r>
      <w:rPr>
        <w:noProof/>
        <w:lang w:val="en-GB" w:eastAsia="en-GB"/>
      </w:rPr>
      <mc:AlternateContent>
        <mc:Choice Requires="wps">
          <w:drawing>
            <wp:anchor distT="0" distB="0" distL="0" distR="0" simplePos="0" relativeHeight="251658240" behindDoc="1" locked="0" layoutInCell="1" allowOverlap="1" wp14:anchorId="04DEB5CA" wp14:editId="6EF0C23F">
              <wp:simplePos x="0" y="0"/>
              <wp:positionH relativeFrom="page">
                <wp:posOffset>3270630</wp:posOffset>
              </wp:positionH>
              <wp:positionV relativeFrom="page">
                <wp:posOffset>243331</wp:posOffset>
              </wp:positionV>
              <wp:extent cx="1005840" cy="16573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5840" cy="165735"/>
                      </a:xfrm>
                      <a:prstGeom prst="rect">
                        <a:avLst/>
                      </a:prstGeom>
                    </wps:spPr>
                    <wps:txbx>
                      <w:txbxContent>
                        <w:p w14:paraId="4C0ACBDF" w14:textId="77777777" w:rsidR="004C7180" w:rsidRDefault="00CF0754">
                          <w:pPr>
                            <w:spacing w:line="245" w:lineRule="exact"/>
                            <w:ind w:left="20"/>
                            <w:rPr>
                              <w:rFonts w:ascii="Calibri"/>
                            </w:rPr>
                          </w:pPr>
                          <w:r>
                            <w:rPr>
                              <w:rFonts w:ascii="Calibri"/>
                            </w:rPr>
                            <w:t>Core</w:t>
                          </w:r>
                          <w:r>
                            <w:rPr>
                              <w:rFonts w:ascii="Calibri"/>
                              <w:spacing w:val="-4"/>
                            </w:rPr>
                            <w:t xml:space="preserve"> </w:t>
                          </w:r>
                          <w:r>
                            <w:rPr>
                              <w:rFonts w:ascii="Calibri"/>
                            </w:rPr>
                            <w:t>Terms -</w:t>
                          </w:r>
                          <w:r>
                            <w:rPr>
                              <w:rFonts w:ascii="Calibri"/>
                              <w:spacing w:val="-4"/>
                            </w:rPr>
                            <w:t xml:space="preserve"> </w:t>
                          </w:r>
                          <w:r>
                            <w:rPr>
                              <w:rFonts w:ascii="Calibri"/>
                              <w:spacing w:val="-5"/>
                            </w:rPr>
                            <w:t>DPS</w:t>
                          </w:r>
                        </w:p>
                      </w:txbxContent>
                    </wps:txbx>
                    <wps:bodyPr wrap="square" lIns="0" tIns="0" rIns="0" bIns="0" rtlCol="0">
                      <a:noAutofit/>
                    </wps:bodyPr>
                  </wps:wsp>
                </a:graphicData>
              </a:graphic>
            </wp:anchor>
          </w:drawing>
        </mc:Choice>
        <mc:Fallback>
          <w:pict>
            <v:shapetype w14:anchorId="04DEB5CA" id="_x0000_t202" coordsize="21600,21600" o:spt="202" path="m,l,21600r21600,l21600,xe">
              <v:stroke joinstyle="miter"/>
              <v:path gradientshapeok="t" o:connecttype="rect"/>
            </v:shapetype>
            <v:shape id="Text Box 2" o:spid="_x0000_s1054" type="#_x0000_t202" style="position:absolute;margin-left:257.55pt;margin-top:19.15pt;width:79.2pt;height:13.0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" filled="f" stroked="f">
              <v:textbox inset="0,0,0,0">
                <w:txbxContent>
                  <w:p w14:paraId="4C0ACBDF" w14:textId="77777777" w:rsidR="004C7180" w:rsidRDefault="00CF0754">
                    <w:pPr>
                      <w:spacing w:line="245" w:lineRule="exact"/>
                      <w:ind w:left="20"/>
                      <w:rPr>
                        <w:rFonts w:ascii="Calibri"/>
                      </w:rPr>
                    </w:pPr>
                    <w:r>
                      <w:rPr>
                        <w:rFonts w:ascii="Calibri"/>
                      </w:rPr>
                      <w:t>Core</w:t>
                    </w:r>
                    <w:r>
                      <w:rPr>
                        <w:rFonts w:ascii="Calibri"/>
                        <w:spacing w:val="-4"/>
                      </w:rPr>
                      <w:t xml:space="preserve"> </w:t>
                    </w:r>
                    <w:r>
                      <w:rPr>
                        <w:rFonts w:ascii="Calibri"/>
                      </w:rPr>
                      <w:t>Terms -</w:t>
                    </w:r>
                    <w:r>
                      <w:rPr>
                        <w:rFonts w:ascii="Calibri"/>
                        <w:spacing w:val="-4"/>
                      </w:rPr>
                      <w:t xml:space="preserve"> </w:t>
                    </w:r>
                    <w:r>
                      <w:rPr>
                        <w:rFonts w:ascii="Calibri"/>
                        <w:spacing w:val="-5"/>
                      </w:rPr>
                      <w:t>DPS</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8090D" w14:textId="77777777" w:rsidR="004C7180" w:rsidRDefault="00CF0754">
    <w:pPr>
      <w:pStyle w:val="BodyText"/>
      <w:spacing w:line="14" w:lineRule="auto"/>
      <w:rPr>
        <w:sz w:val="20"/>
      </w:rPr>
    </w:pPr>
    <w:r>
      <w:rPr>
        <w:noProof/>
        <w:lang w:val="en-GB" w:eastAsia="en-GB"/>
      </w:rPr>
      <mc:AlternateContent>
        <mc:Choice Requires="wps">
          <w:drawing>
            <wp:anchor distT="0" distB="0" distL="0" distR="0" simplePos="0" relativeHeight="251658266" behindDoc="1" locked="0" layoutInCell="1" allowOverlap="1" wp14:anchorId="557AD39B" wp14:editId="6414B826">
              <wp:simplePos x="0" y="0"/>
              <wp:positionH relativeFrom="page">
                <wp:posOffset>902004</wp:posOffset>
              </wp:positionH>
              <wp:positionV relativeFrom="page">
                <wp:posOffset>441241</wp:posOffset>
              </wp:positionV>
              <wp:extent cx="2823845" cy="313055"/>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3845" cy="313055"/>
                      </a:xfrm>
                      <a:prstGeom prst="rect">
                        <a:avLst/>
                      </a:prstGeom>
                    </wps:spPr>
                    <wps:txbx>
                      <w:txbxContent>
                        <w:p w14:paraId="0A2B5FE8" w14:textId="77777777" w:rsidR="004C7180" w:rsidRDefault="00CF0754">
                          <w:pPr>
                            <w:spacing w:before="12"/>
                            <w:ind w:left="20"/>
                            <w:rPr>
                              <w:sz w:val="20"/>
                            </w:rPr>
                          </w:pPr>
                          <w:r>
                            <w:rPr>
                              <w:sz w:val="20"/>
                            </w:rPr>
                            <w:t>Joint</w:t>
                          </w:r>
                          <w:r>
                            <w:rPr>
                              <w:spacing w:val="-8"/>
                              <w:sz w:val="20"/>
                            </w:rPr>
                            <w:t xml:space="preserve"> </w:t>
                          </w:r>
                          <w:r>
                            <w:rPr>
                              <w:sz w:val="20"/>
                            </w:rPr>
                            <w:t>Schedule</w:t>
                          </w:r>
                          <w:r>
                            <w:rPr>
                              <w:spacing w:val="-10"/>
                              <w:sz w:val="20"/>
                            </w:rPr>
                            <w:t xml:space="preserve"> </w:t>
                          </w:r>
                          <w:r>
                            <w:rPr>
                              <w:sz w:val="20"/>
                            </w:rPr>
                            <w:t>(Minimum</w:t>
                          </w:r>
                          <w:r>
                            <w:rPr>
                              <w:spacing w:val="-10"/>
                              <w:sz w:val="20"/>
                            </w:rPr>
                            <w:t xml:space="preserve"> </w:t>
                          </w:r>
                          <w:r>
                            <w:rPr>
                              <w:sz w:val="20"/>
                            </w:rPr>
                            <w:t>Standards</w:t>
                          </w:r>
                          <w:r>
                            <w:rPr>
                              <w:spacing w:val="-8"/>
                              <w:sz w:val="20"/>
                            </w:rPr>
                            <w:t xml:space="preserve"> </w:t>
                          </w:r>
                          <w:r>
                            <w:rPr>
                              <w:sz w:val="20"/>
                            </w:rPr>
                            <w:t>of</w:t>
                          </w:r>
                          <w:r>
                            <w:rPr>
                              <w:spacing w:val="-10"/>
                              <w:sz w:val="20"/>
                            </w:rPr>
                            <w:t xml:space="preserve"> </w:t>
                          </w:r>
                          <w:r>
                            <w:rPr>
                              <w:sz w:val="20"/>
                            </w:rPr>
                            <w:t>Reliability) Crown Copyright 2022</w:t>
                          </w:r>
                        </w:p>
                      </w:txbxContent>
                    </wps:txbx>
                    <wps:bodyPr wrap="square" lIns="0" tIns="0" rIns="0" bIns="0" rtlCol="0">
                      <a:noAutofit/>
                    </wps:bodyPr>
                  </wps:wsp>
                </a:graphicData>
              </a:graphic>
            </wp:anchor>
          </w:drawing>
        </mc:Choice>
        <mc:Fallback>
          <w:pict>
            <v:shapetype w14:anchorId="557AD39B" id="_x0000_t202" coordsize="21600,21600" o:spt="202" path="m,l,21600r21600,l21600,xe">
              <v:stroke joinstyle="miter"/>
              <v:path gradientshapeok="t" o:connecttype="rect"/>
            </v:shapetype>
            <v:shape id="Text Box 40" o:spid="_x0000_s1080" type="#_x0000_t202" style="position:absolute;margin-left:71pt;margin-top:34.75pt;width:222.35pt;height:24.65pt;z-index:-25165821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" filled="f" stroked="f">
              <v:textbox inset="0,0,0,0">
                <w:txbxContent>
                  <w:p w14:paraId="0A2B5FE8" w14:textId="77777777" w:rsidR="004C7180" w:rsidRDefault="00CF0754">
                    <w:pPr>
                      <w:spacing w:before="12"/>
                      <w:ind w:left="20"/>
                      <w:rPr>
                        <w:sz w:val="20"/>
                      </w:rPr>
                    </w:pPr>
                    <w:r>
                      <w:rPr>
                        <w:sz w:val="20"/>
                      </w:rPr>
                      <w:t>Joint</w:t>
                    </w:r>
                    <w:r>
                      <w:rPr>
                        <w:spacing w:val="-8"/>
                        <w:sz w:val="20"/>
                      </w:rPr>
                      <w:t xml:space="preserve"> </w:t>
                    </w:r>
                    <w:r>
                      <w:rPr>
                        <w:sz w:val="20"/>
                      </w:rPr>
                      <w:t>Schedule</w:t>
                    </w:r>
                    <w:r>
                      <w:rPr>
                        <w:spacing w:val="-10"/>
                        <w:sz w:val="20"/>
                      </w:rPr>
                      <w:t xml:space="preserve"> </w:t>
                    </w:r>
                    <w:r>
                      <w:rPr>
                        <w:sz w:val="20"/>
                      </w:rPr>
                      <w:t>(Minimum</w:t>
                    </w:r>
                    <w:r>
                      <w:rPr>
                        <w:spacing w:val="-10"/>
                        <w:sz w:val="20"/>
                      </w:rPr>
                      <w:t xml:space="preserve"> </w:t>
                    </w:r>
                    <w:r>
                      <w:rPr>
                        <w:sz w:val="20"/>
                      </w:rPr>
                      <w:t>Standards</w:t>
                    </w:r>
                    <w:r>
                      <w:rPr>
                        <w:spacing w:val="-8"/>
                        <w:sz w:val="20"/>
                      </w:rPr>
                      <w:t xml:space="preserve"> </w:t>
                    </w:r>
                    <w:r>
                      <w:rPr>
                        <w:sz w:val="20"/>
                      </w:rPr>
                      <w:t>of</w:t>
                    </w:r>
                    <w:r>
                      <w:rPr>
                        <w:spacing w:val="-10"/>
                        <w:sz w:val="20"/>
                      </w:rPr>
                      <w:t xml:space="preserve"> </w:t>
                    </w:r>
                    <w:r>
                      <w:rPr>
                        <w:sz w:val="20"/>
                      </w:rPr>
                      <w:t>Reliability) Crown Copyright 2022</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86134" w14:textId="77777777" w:rsidR="004C7180" w:rsidRDefault="00CF0754">
    <w:pPr>
      <w:pStyle w:val="BodyText"/>
      <w:spacing w:line="14" w:lineRule="auto"/>
      <w:rPr>
        <w:sz w:val="20"/>
      </w:rPr>
    </w:pPr>
    <w:r>
      <w:rPr>
        <w:noProof/>
        <w:lang w:val="en-GB" w:eastAsia="en-GB"/>
      </w:rPr>
      <mc:AlternateContent>
        <mc:Choice Requires="wps">
          <w:drawing>
            <wp:anchor distT="0" distB="0" distL="0" distR="0" simplePos="0" relativeHeight="251658269" behindDoc="1" locked="0" layoutInCell="1" allowOverlap="1" wp14:anchorId="47D6AAED" wp14:editId="11683448">
              <wp:simplePos x="0" y="0"/>
              <wp:positionH relativeFrom="page">
                <wp:posOffset>901700</wp:posOffset>
              </wp:positionH>
              <wp:positionV relativeFrom="page">
                <wp:posOffset>441241</wp:posOffset>
              </wp:positionV>
              <wp:extent cx="2289810" cy="313690"/>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9810" cy="313690"/>
                      </a:xfrm>
                      <a:prstGeom prst="rect">
                        <a:avLst/>
                      </a:prstGeom>
                    </wps:spPr>
                    <wps:txbx>
                      <w:txbxContent>
                        <w:p w14:paraId="4A356E4E" w14:textId="77777777" w:rsidR="004C7180" w:rsidRDefault="00CF0754">
                          <w:pPr>
                            <w:spacing w:before="12"/>
                            <w:ind w:left="20"/>
                            <w:rPr>
                              <w:b/>
                              <w:sz w:val="20"/>
                            </w:rPr>
                          </w:pPr>
                          <w:r>
                            <w:rPr>
                              <w:b/>
                              <w:sz w:val="20"/>
                            </w:rPr>
                            <w:t>Joint</w:t>
                          </w:r>
                          <w:r>
                            <w:rPr>
                              <w:b/>
                              <w:spacing w:val="-9"/>
                              <w:sz w:val="20"/>
                            </w:rPr>
                            <w:t xml:space="preserve"> </w:t>
                          </w:r>
                          <w:r>
                            <w:rPr>
                              <w:b/>
                              <w:sz w:val="20"/>
                            </w:rPr>
                            <w:t>Schedule</w:t>
                          </w:r>
                          <w:r>
                            <w:rPr>
                              <w:b/>
                              <w:spacing w:val="-9"/>
                              <w:sz w:val="20"/>
                            </w:rPr>
                            <w:t xml:space="preserve"> </w:t>
                          </w:r>
                          <w:r>
                            <w:rPr>
                              <w:b/>
                              <w:sz w:val="20"/>
                            </w:rPr>
                            <w:t>10</w:t>
                          </w:r>
                          <w:r>
                            <w:rPr>
                              <w:b/>
                              <w:spacing w:val="-10"/>
                              <w:sz w:val="20"/>
                            </w:rPr>
                            <w:t xml:space="preserve"> </w:t>
                          </w:r>
                          <w:r>
                            <w:rPr>
                              <w:b/>
                              <w:sz w:val="20"/>
                            </w:rPr>
                            <w:t>(Rectification</w:t>
                          </w:r>
                          <w:r>
                            <w:rPr>
                              <w:b/>
                              <w:spacing w:val="-8"/>
                              <w:sz w:val="20"/>
                            </w:rPr>
                            <w:t xml:space="preserve"> </w:t>
                          </w:r>
                          <w:r>
                            <w:rPr>
                              <w:b/>
                              <w:spacing w:val="-4"/>
                              <w:sz w:val="20"/>
                            </w:rPr>
                            <w:t>Plan)</w:t>
                          </w:r>
                        </w:p>
                        <w:p w14:paraId="7ED577C8" w14:textId="77777777" w:rsidR="004C7180" w:rsidRDefault="00CF0754">
                          <w:pPr>
                            <w:spacing w:before="1"/>
                            <w:ind w:left="20"/>
                            <w:rPr>
                              <w:sz w:val="20"/>
                            </w:rPr>
                          </w:pPr>
                          <w:r>
                            <w:rPr>
                              <w:spacing w:val="-2"/>
                              <w:sz w:val="20"/>
                            </w:rPr>
                            <w:t>Crown</w:t>
                          </w:r>
                          <w:r>
                            <w:rPr>
                              <w:spacing w:val="6"/>
                              <w:sz w:val="20"/>
                            </w:rPr>
                            <w:t xml:space="preserve"> </w:t>
                          </w:r>
                          <w:r>
                            <w:rPr>
                              <w:spacing w:val="-2"/>
                              <w:sz w:val="20"/>
                            </w:rPr>
                            <w:t>Copyright</w:t>
                          </w:r>
                          <w:r>
                            <w:rPr>
                              <w:spacing w:val="-13"/>
                              <w:sz w:val="20"/>
                            </w:rPr>
                            <w:t xml:space="preserve"> </w:t>
                          </w:r>
                          <w:r>
                            <w:rPr>
                              <w:spacing w:val="-4"/>
                              <w:sz w:val="20"/>
                            </w:rPr>
                            <w:t>2022</w:t>
                          </w:r>
                        </w:p>
                      </w:txbxContent>
                    </wps:txbx>
                    <wps:bodyPr wrap="square" lIns="0" tIns="0" rIns="0" bIns="0" rtlCol="0">
                      <a:noAutofit/>
                    </wps:bodyPr>
                  </wps:wsp>
                </a:graphicData>
              </a:graphic>
            </wp:anchor>
          </w:drawing>
        </mc:Choice>
        <mc:Fallback>
          <w:pict>
            <v:shapetype w14:anchorId="47D6AAED" id="_x0000_t202" coordsize="21600,21600" o:spt="202" path="m,l,21600r21600,l21600,xe">
              <v:stroke joinstyle="miter"/>
              <v:path gradientshapeok="t" o:connecttype="rect"/>
            </v:shapetype>
            <v:shape id="Text Box 43" o:spid="_x0000_s1083" type="#_x0000_t202" style="position:absolute;margin-left:71pt;margin-top:34.75pt;width:180.3pt;height:24.7pt;z-index:-25165821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" filled="f" stroked="f">
              <v:textbox inset="0,0,0,0">
                <w:txbxContent>
                  <w:p w14:paraId="4A356E4E" w14:textId="77777777" w:rsidR="004C7180" w:rsidRDefault="00CF0754">
                    <w:pPr>
                      <w:spacing w:before="12"/>
                      <w:ind w:left="20"/>
                      <w:rPr>
                        <w:b/>
                        <w:sz w:val="20"/>
                      </w:rPr>
                    </w:pPr>
                    <w:r>
                      <w:rPr>
                        <w:b/>
                        <w:sz w:val="20"/>
                      </w:rPr>
                      <w:t>Joint</w:t>
                    </w:r>
                    <w:r>
                      <w:rPr>
                        <w:b/>
                        <w:spacing w:val="-9"/>
                        <w:sz w:val="20"/>
                      </w:rPr>
                      <w:t xml:space="preserve"> </w:t>
                    </w:r>
                    <w:r>
                      <w:rPr>
                        <w:b/>
                        <w:sz w:val="20"/>
                      </w:rPr>
                      <w:t>Schedule</w:t>
                    </w:r>
                    <w:r>
                      <w:rPr>
                        <w:b/>
                        <w:spacing w:val="-9"/>
                        <w:sz w:val="20"/>
                      </w:rPr>
                      <w:t xml:space="preserve"> </w:t>
                    </w:r>
                    <w:r>
                      <w:rPr>
                        <w:b/>
                        <w:sz w:val="20"/>
                      </w:rPr>
                      <w:t>10</w:t>
                    </w:r>
                    <w:r>
                      <w:rPr>
                        <w:b/>
                        <w:spacing w:val="-10"/>
                        <w:sz w:val="20"/>
                      </w:rPr>
                      <w:t xml:space="preserve"> </w:t>
                    </w:r>
                    <w:r>
                      <w:rPr>
                        <w:b/>
                        <w:sz w:val="20"/>
                      </w:rPr>
                      <w:t>(Rectification</w:t>
                    </w:r>
                    <w:r>
                      <w:rPr>
                        <w:b/>
                        <w:spacing w:val="-8"/>
                        <w:sz w:val="20"/>
                      </w:rPr>
                      <w:t xml:space="preserve"> </w:t>
                    </w:r>
                    <w:r>
                      <w:rPr>
                        <w:b/>
                        <w:spacing w:val="-4"/>
                        <w:sz w:val="20"/>
                      </w:rPr>
                      <w:t>Plan)</w:t>
                    </w:r>
                  </w:p>
                  <w:p w14:paraId="7ED577C8" w14:textId="77777777" w:rsidR="004C7180" w:rsidRDefault="00CF0754">
                    <w:pPr>
                      <w:spacing w:before="1"/>
                      <w:ind w:left="20"/>
                      <w:rPr>
                        <w:sz w:val="20"/>
                      </w:rPr>
                    </w:pPr>
                    <w:r>
                      <w:rPr>
                        <w:spacing w:val="-2"/>
                        <w:sz w:val="20"/>
                      </w:rPr>
                      <w:t>Crown</w:t>
                    </w:r>
                    <w:r>
                      <w:rPr>
                        <w:spacing w:val="6"/>
                        <w:sz w:val="20"/>
                      </w:rPr>
                      <w:t xml:space="preserve"> </w:t>
                    </w:r>
                    <w:r>
                      <w:rPr>
                        <w:spacing w:val="-2"/>
                        <w:sz w:val="20"/>
                      </w:rPr>
                      <w:t>Copyright</w:t>
                    </w:r>
                    <w:r>
                      <w:rPr>
                        <w:spacing w:val="-13"/>
                        <w:sz w:val="20"/>
                      </w:rPr>
                      <w:t xml:space="preserve"> </w:t>
                    </w:r>
                    <w:r>
                      <w:rPr>
                        <w:spacing w:val="-4"/>
                        <w:sz w:val="20"/>
                      </w:rPr>
                      <w:t>2022</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E60A8" w14:textId="77777777" w:rsidR="004C7180" w:rsidRDefault="00CF0754">
    <w:pPr>
      <w:pStyle w:val="BodyText"/>
      <w:spacing w:line="14" w:lineRule="auto"/>
      <w:rPr>
        <w:sz w:val="20"/>
      </w:rPr>
    </w:pPr>
    <w:r>
      <w:rPr>
        <w:noProof/>
        <w:lang w:val="en-GB" w:eastAsia="en-GB"/>
      </w:rPr>
      <mc:AlternateContent>
        <mc:Choice Requires="wps">
          <w:drawing>
            <wp:anchor distT="0" distB="0" distL="0" distR="0" simplePos="0" relativeHeight="251658273" behindDoc="1" locked="0" layoutInCell="1" allowOverlap="1" wp14:anchorId="6A0020CA" wp14:editId="21F6E716">
              <wp:simplePos x="0" y="0"/>
              <wp:positionH relativeFrom="page">
                <wp:posOffset>676148</wp:posOffset>
              </wp:positionH>
              <wp:positionV relativeFrom="page">
                <wp:posOffset>1646005</wp:posOffset>
              </wp:positionV>
              <wp:extent cx="1677035" cy="242570"/>
              <wp:effectExtent l="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7035" cy="242570"/>
                      </a:xfrm>
                      <a:prstGeom prst="rect">
                        <a:avLst/>
                      </a:prstGeom>
                    </wps:spPr>
                    <wps:txbx>
                      <w:txbxContent>
                        <w:p w14:paraId="75BE5E9D" w14:textId="77777777" w:rsidR="004C7180" w:rsidRDefault="00CF0754">
                          <w:pPr>
                            <w:spacing w:before="15"/>
                            <w:ind w:left="20"/>
                            <w:rPr>
                              <w:b/>
                              <w:sz w:val="15"/>
                            </w:rPr>
                          </w:pPr>
                          <w:r>
                            <w:rPr>
                              <w:b/>
                              <w:sz w:val="15"/>
                            </w:rPr>
                            <w:t>Joint</w:t>
                          </w:r>
                          <w:r>
                            <w:rPr>
                              <w:b/>
                              <w:spacing w:val="-4"/>
                              <w:sz w:val="15"/>
                            </w:rPr>
                            <w:t xml:space="preserve"> </w:t>
                          </w:r>
                          <w:r>
                            <w:rPr>
                              <w:b/>
                              <w:sz w:val="15"/>
                            </w:rPr>
                            <w:t>Schedule</w:t>
                          </w:r>
                          <w:r>
                            <w:rPr>
                              <w:b/>
                              <w:spacing w:val="-2"/>
                              <w:sz w:val="15"/>
                            </w:rPr>
                            <w:t xml:space="preserve"> </w:t>
                          </w:r>
                          <w:r>
                            <w:rPr>
                              <w:b/>
                              <w:sz w:val="15"/>
                            </w:rPr>
                            <w:t>11</w:t>
                          </w:r>
                          <w:r>
                            <w:rPr>
                              <w:b/>
                              <w:spacing w:val="-3"/>
                              <w:sz w:val="15"/>
                            </w:rPr>
                            <w:t xml:space="preserve"> </w:t>
                          </w:r>
                          <w:r>
                            <w:rPr>
                              <w:b/>
                              <w:sz w:val="15"/>
                            </w:rPr>
                            <w:t>(Processing</w:t>
                          </w:r>
                          <w:r>
                            <w:rPr>
                              <w:b/>
                              <w:spacing w:val="-1"/>
                              <w:sz w:val="15"/>
                            </w:rPr>
                            <w:t xml:space="preserve"> </w:t>
                          </w:r>
                          <w:r>
                            <w:rPr>
                              <w:b/>
                              <w:spacing w:val="-4"/>
                              <w:sz w:val="15"/>
                            </w:rPr>
                            <w:t>Data)</w:t>
                          </w:r>
                        </w:p>
                        <w:p w14:paraId="2340B21C" w14:textId="77777777" w:rsidR="004C7180" w:rsidRDefault="00CF0754">
                          <w:pPr>
                            <w:spacing w:before="1"/>
                            <w:ind w:left="20"/>
                            <w:rPr>
                              <w:sz w:val="15"/>
                            </w:rPr>
                          </w:pPr>
                          <w:r>
                            <w:rPr>
                              <w:sz w:val="15"/>
                            </w:rPr>
                            <w:t>Crown</w:t>
                          </w:r>
                          <w:r>
                            <w:rPr>
                              <w:spacing w:val="-4"/>
                              <w:sz w:val="15"/>
                            </w:rPr>
                            <w:t xml:space="preserve"> </w:t>
                          </w:r>
                          <w:r>
                            <w:rPr>
                              <w:sz w:val="15"/>
                            </w:rPr>
                            <w:t>Copyright</w:t>
                          </w:r>
                          <w:r>
                            <w:rPr>
                              <w:spacing w:val="-13"/>
                              <w:sz w:val="15"/>
                            </w:rPr>
                            <w:t xml:space="preserve"> </w:t>
                          </w:r>
                          <w:r>
                            <w:rPr>
                              <w:spacing w:val="-4"/>
                              <w:sz w:val="15"/>
                            </w:rPr>
                            <w:t>2022</w:t>
                          </w:r>
                        </w:p>
                      </w:txbxContent>
                    </wps:txbx>
                    <wps:bodyPr wrap="square" lIns="0" tIns="0" rIns="0" bIns="0" rtlCol="0">
                      <a:noAutofit/>
                    </wps:bodyPr>
                  </wps:wsp>
                </a:graphicData>
              </a:graphic>
            </wp:anchor>
          </w:drawing>
        </mc:Choice>
        <mc:Fallback>
          <w:pict>
            <v:shapetype w14:anchorId="6A0020CA" id="_x0000_t202" coordsize="21600,21600" o:spt="202" path="m,l,21600r21600,l21600,xe">
              <v:stroke joinstyle="miter"/>
              <v:path gradientshapeok="t" o:connecttype="rect"/>
            </v:shapetype>
            <v:shape id="Text Box 47" o:spid="_x0000_s1087" type="#_x0000_t202" style="position:absolute;margin-left:53.25pt;margin-top:129.6pt;width:132.05pt;height:19.1pt;z-index:-25165820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" filled="f" stroked="f">
              <v:textbox inset="0,0,0,0">
                <w:txbxContent>
                  <w:p w14:paraId="75BE5E9D" w14:textId="77777777" w:rsidR="004C7180" w:rsidRDefault="00CF0754">
                    <w:pPr>
                      <w:spacing w:before="15"/>
                      <w:ind w:left="20"/>
                      <w:rPr>
                        <w:b/>
                        <w:sz w:val="15"/>
                      </w:rPr>
                    </w:pPr>
                    <w:r>
                      <w:rPr>
                        <w:b/>
                        <w:sz w:val="15"/>
                      </w:rPr>
                      <w:t>Joint</w:t>
                    </w:r>
                    <w:r>
                      <w:rPr>
                        <w:b/>
                        <w:spacing w:val="-4"/>
                        <w:sz w:val="15"/>
                      </w:rPr>
                      <w:t xml:space="preserve"> </w:t>
                    </w:r>
                    <w:r>
                      <w:rPr>
                        <w:b/>
                        <w:sz w:val="15"/>
                      </w:rPr>
                      <w:t>Schedule</w:t>
                    </w:r>
                    <w:r>
                      <w:rPr>
                        <w:b/>
                        <w:spacing w:val="-2"/>
                        <w:sz w:val="15"/>
                      </w:rPr>
                      <w:t xml:space="preserve"> </w:t>
                    </w:r>
                    <w:r>
                      <w:rPr>
                        <w:b/>
                        <w:sz w:val="15"/>
                      </w:rPr>
                      <w:t>11</w:t>
                    </w:r>
                    <w:r>
                      <w:rPr>
                        <w:b/>
                        <w:spacing w:val="-3"/>
                        <w:sz w:val="15"/>
                      </w:rPr>
                      <w:t xml:space="preserve"> </w:t>
                    </w:r>
                    <w:r>
                      <w:rPr>
                        <w:b/>
                        <w:sz w:val="15"/>
                      </w:rPr>
                      <w:t>(Processing</w:t>
                    </w:r>
                    <w:r>
                      <w:rPr>
                        <w:b/>
                        <w:spacing w:val="-1"/>
                        <w:sz w:val="15"/>
                      </w:rPr>
                      <w:t xml:space="preserve"> </w:t>
                    </w:r>
                    <w:r>
                      <w:rPr>
                        <w:b/>
                        <w:spacing w:val="-4"/>
                        <w:sz w:val="15"/>
                      </w:rPr>
                      <w:t>Data)</w:t>
                    </w:r>
                  </w:p>
                  <w:p w14:paraId="2340B21C" w14:textId="77777777" w:rsidR="004C7180" w:rsidRDefault="00CF0754">
                    <w:pPr>
                      <w:spacing w:before="1"/>
                      <w:ind w:left="20"/>
                      <w:rPr>
                        <w:sz w:val="15"/>
                      </w:rPr>
                    </w:pPr>
                    <w:r>
                      <w:rPr>
                        <w:sz w:val="15"/>
                      </w:rPr>
                      <w:t>Crown</w:t>
                    </w:r>
                    <w:r>
                      <w:rPr>
                        <w:spacing w:val="-4"/>
                        <w:sz w:val="15"/>
                      </w:rPr>
                      <w:t xml:space="preserve"> </w:t>
                    </w:r>
                    <w:r>
                      <w:rPr>
                        <w:sz w:val="15"/>
                      </w:rPr>
                      <w:t>Copyright</w:t>
                    </w:r>
                    <w:r>
                      <w:rPr>
                        <w:spacing w:val="-13"/>
                        <w:sz w:val="15"/>
                      </w:rPr>
                      <w:t xml:space="preserve"> </w:t>
                    </w:r>
                    <w:r>
                      <w:rPr>
                        <w:spacing w:val="-4"/>
                        <w:sz w:val="15"/>
                      </w:rPr>
                      <w:t>2022</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A2C48" w14:textId="77777777" w:rsidR="004C7180" w:rsidRDefault="00CF0754">
    <w:pPr>
      <w:pStyle w:val="BodyText"/>
      <w:spacing w:line="14" w:lineRule="auto"/>
      <w:rPr>
        <w:sz w:val="20"/>
      </w:rPr>
    </w:pPr>
    <w:r>
      <w:rPr>
        <w:noProof/>
        <w:lang w:val="en-GB" w:eastAsia="en-GB"/>
      </w:rPr>
      <mc:AlternateContent>
        <mc:Choice Requires="wps">
          <w:drawing>
            <wp:anchor distT="0" distB="0" distL="0" distR="0" simplePos="0" relativeHeight="251658275" behindDoc="1" locked="0" layoutInCell="1" allowOverlap="1" wp14:anchorId="67F52B95" wp14:editId="4395EB8A">
              <wp:simplePos x="0" y="0"/>
              <wp:positionH relativeFrom="page">
                <wp:posOffset>902004</wp:posOffset>
              </wp:positionH>
              <wp:positionV relativeFrom="page">
                <wp:posOffset>441017</wp:posOffset>
              </wp:positionV>
              <wp:extent cx="2852420" cy="342265"/>
              <wp:effectExtent l="0" t="0" r="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2420" cy="342265"/>
                      </a:xfrm>
                      <a:prstGeom prst="rect">
                        <a:avLst/>
                      </a:prstGeom>
                    </wps:spPr>
                    <wps:txbx>
                      <w:txbxContent>
                        <w:p w14:paraId="1ACBF77C" w14:textId="77777777" w:rsidR="004C7180" w:rsidRDefault="00CF0754">
                          <w:pPr>
                            <w:spacing w:before="13" w:line="252" w:lineRule="exact"/>
                            <w:ind w:left="20"/>
                            <w:rPr>
                              <w:b/>
                            </w:rPr>
                          </w:pPr>
                          <w:r>
                            <w:rPr>
                              <w:b/>
                            </w:rPr>
                            <w:t>Joint</w:t>
                          </w:r>
                          <w:r>
                            <w:rPr>
                              <w:b/>
                              <w:spacing w:val="-5"/>
                            </w:rPr>
                            <w:t xml:space="preserve"> </w:t>
                          </w:r>
                          <w:r>
                            <w:rPr>
                              <w:b/>
                            </w:rPr>
                            <w:t>Schedule</w:t>
                          </w:r>
                          <w:r>
                            <w:rPr>
                              <w:b/>
                              <w:spacing w:val="-4"/>
                            </w:rPr>
                            <w:t xml:space="preserve"> </w:t>
                          </w:r>
                          <w:r>
                            <w:rPr>
                              <w:b/>
                            </w:rPr>
                            <w:t>12</w:t>
                          </w:r>
                          <w:r>
                            <w:rPr>
                              <w:b/>
                              <w:spacing w:val="-5"/>
                            </w:rPr>
                            <w:t xml:space="preserve"> </w:t>
                          </w:r>
                          <w:r>
                            <w:rPr>
                              <w:b/>
                            </w:rPr>
                            <w:t>(Supply</w:t>
                          </w:r>
                          <w:r>
                            <w:rPr>
                              <w:b/>
                              <w:spacing w:val="-3"/>
                            </w:rPr>
                            <w:t xml:space="preserve"> </w:t>
                          </w:r>
                          <w:r>
                            <w:rPr>
                              <w:b/>
                            </w:rPr>
                            <w:t>Chain</w:t>
                          </w:r>
                          <w:r>
                            <w:rPr>
                              <w:b/>
                              <w:spacing w:val="-4"/>
                            </w:rPr>
                            <w:t xml:space="preserve"> </w:t>
                          </w:r>
                          <w:r>
                            <w:rPr>
                              <w:b/>
                              <w:spacing w:val="-2"/>
                            </w:rPr>
                            <w:t>Visibility)</w:t>
                          </w:r>
                        </w:p>
                        <w:p w14:paraId="1DE21F66" w14:textId="77777777" w:rsidR="004C7180" w:rsidRDefault="00CF0754">
                          <w:pPr>
                            <w:spacing w:line="252" w:lineRule="exact"/>
                            <w:ind w:left="20"/>
                          </w:pPr>
                          <w:r>
                            <w:t>Crown</w:t>
                          </w:r>
                          <w:r>
                            <w:rPr>
                              <w:spacing w:val="-9"/>
                            </w:rPr>
                            <w:t xml:space="preserve"> </w:t>
                          </w:r>
                          <w:r>
                            <w:t>Copyright</w:t>
                          </w:r>
                          <w:r>
                            <w:rPr>
                              <w:spacing w:val="-6"/>
                            </w:rPr>
                            <w:t xml:space="preserve"> </w:t>
                          </w:r>
                          <w:r>
                            <w:rPr>
                              <w:spacing w:val="-4"/>
                            </w:rPr>
                            <w:t>2022</w:t>
                          </w:r>
                        </w:p>
                      </w:txbxContent>
                    </wps:txbx>
                    <wps:bodyPr wrap="square" lIns="0" tIns="0" rIns="0" bIns="0" rtlCol="0">
                      <a:noAutofit/>
                    </wps:bodyPr>
                  </wps:wsp>
                </a:graphicData>
              </a:graphic>
            </wp:anchor>
          </w:drawing>
        </mc:Choice>
        <mc:Fallback>
          <w:pict>
            <v:shapetype w14:anchorId="67F52B95" id="_x0000_t202" coordsize="21600,21600" o:spt="202" path="m,l,21600r21600,l21600,xe">
              <v:stroke joinstyle="miter"/>
              <v:path gradientshapeok="t" o:connecttype="rect"/>
            </v:shapetype>
            <v:shape id="Text Box 74" o:spid="_x0000_s1089" type="#_x0000_t202" style="position:absolute;margin-left:71pt;margin-top:34.75pt;width:224.6pt;height:26.95pt;z-index:-25165820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" filled="f" stroked="f">
              <v:textbox inset="0,0,0,0">
                <w:txbxContent>
                  <w:p w14:paraId="1ACBF77C" w14:textId="77777777" w:rsidR="004C7180" w:rsidRDefault="00CF0754">
                    <w:pPr>
                      <w:spacing w:before="13" w:line="252" w:lineRule="exact"/>
                      <w:ind w:left="20"/>
                      <w:rPr>
                        <w:b/>
                      </w:rPr>
                    </w:pPr>
                    <w:r>
                      <w:rPr>
                        <w:b/>
                      </w:rPr>
                      <w:t>Joint</w:t>
                    </w:r>
                    <w:r>
                      <w:rPr>
                        <w:b/>
                        <w:spacing w:val="-5"/>
                      </w:rPr>
                      <w:t xml:space="preserve"> </w:t>
                    </w:r>
                    <w:r>
                      <w:rPr>
                        <w:b/>
                      </w:rPr>
                      <w:t>Schedule</w:t>
                    </w:r>
                    <w:r>
                      <w:rPr>
                        <w:b/>
                        <w:spacing w:val="-4"/>
                      </w:rPr>
                      <w:t xml:space="preserve"> </w:t>
                    </w:r>
                    <w:r>
                      <w:rPr>
                        <w:b/>
                      </w:rPr>
                      <w:t>12</w:t>
                    </w:r>
                    <w:r>
                      <w:rPr>
                        <w:b/>
                        <w:spacing w:val="-5"/>
                      </w:rPr>
                      <w:t xml:space="preserve"> </w:t>
                    </w:r>
                    <w:r>
                      <w:rPr>
                        <w:b/>
                      </w:rPr>
                      <w:t>(Supply</w:t>
                    </w:r>
                    <w:r>
                      <w:rPr>
                        <w:b/>
                        <w:spacing w:val="-3"/>
                      </w:rPr>
                      <w:t xml:space="preserve"> </w:t>
                    </w:r>
                    <w:r>
                      <w:rPr>
                        <w:b/>
                      </w:rPr>
                      <w:t>Chain</w:t>
                    </w:r>
                    <w:r>
                      <w:rPr>
                        <w:b/>
                        <w:spacing w:val="-4"/>
                      </w:rPr>
                      <w:t xml:space="preserve"> </w:t>
                    </w:r>
                    <w:r>
                      <w:rPr>
                        <w:b/>
                        <w:spacing w:val="-2"/>
                      </w:rPr>
                      <w:t>Visibility)</w:t>
                    </w:r>
                  </w:p>
                  <w:p w14:paraId="1DE21F66" w14:textId="77777777" w:rsidR="004C7180" w:rsidRDefault="00CF0754">
                    <w:pPr>
                      <w:spacing w:line="252" w:lineRule="exact"/>
                      <w:ind w:left="20"/>
                    </w:pPr>
                    <w:r>
                      <w:t>Crown</w:t>
                    </w:r>
                    <w:r>
                      <w:rPr>
                        <w:spacing w:val="-9"/>
                      </w:rPr>
                      <w:t xml:space="preserve"> </w:t>
                    </w:r>
                    <w:r>
                      <w:t>Copyright</w:t>
                    </w:r>
                    <w:r>
                      <w:rPr>
                        <w:spacing w:val="-6"/>
                      </w:rPr>
                      <w:t xml:space="preserve"> </w:t>
                    </w:r>
                    <w:r>
                      <w:rPr>
                        <w:spacing w:val="-4"/>
                      </w:rPr>
                      <w:t>2022</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A992B" w14:textId="77777777" w:rsidR="004C7180" w:rsidRDefault="00CF0754">
    <w:pPr>
      <w:pStyle w:val="BodyText"/>
      <w:spacing w:line="14" w:lineRule="auto"/>
      <w:rPr>
        <w:sz w:val="20"/>
      </w:rPr>
    </w:pPr>
    <w:r>
      <w:rPr>
        <w:noProof/>
        <w:lang w:val="en-GB" w:eastAsia="en-GB"/>
      </w:rPr>
      <mc:AlternateContent>
        <mc:Choice Requires="wps">
          <w:drawing>
            <wp:anchor distT="0" distB="0" distL="0" distR="0" simplePos="0" relativeHeight="251658278" behindDoc="1" locked="0" layoutInCell="1" allowOverlap="1" wp14:anchorId="1D1B786E" wp14:editId="41E7E290">
              <wp:simplePos x="0" y="0"/>
              <wp:positionH relativeFrom="page">
                <wp:posOffset>901700</wp:posOffset>
              </wp:positionH>
              <wp:positionV relativeFrom="page">
                <wp:posOffset>464311</wp:posOffset>
              </wp:positionV>
              <wp:extent cx="2408555" cy="482600"/>
              <wp:effectExtent l="0" t="0" r="0" b="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8555" cy="482600"/>
                      </a:xfrm>
                      <a:prstGeom prst="rect">
                        <a:avLst/>
                      </a:prstGeom>
                    </wps:spPr>
                    <wps:txbx>
                      <w:txbxContent>
                        <w:p w14:paraId="4A0848B1" w14:textId="77777777" w:rsidR="004C7180" w:rsidRDefault="00CF0754">
                          <w:pPr>
                            <w:spacing w:line="245" w:lineRule="exact"/>
                            <w:ind w:left="20"/>
                            <w:rPr>
                              <w:rFonts w:ascii="Calibri"/>
                              <w:b/>
                            </w:rPr>
                          </w:pPr>
                          <w:r>
                            <w:rPr>
                              <w:rFonts w:ascii="Calibri"/>
                              <w:b/>
                            </w:rPr>
                            <w:t>Order</w:t>
                          </w:r>
                          <w:r>
                            <w:rPr>
                              <w:rFonts w:ascii="Calibri"/>
                              <w:b/>
                              <w:spacing w:val="-4"/>
                            </w:rPr>
                            <w:t xml:space="preserve"> </w:t>
                          </w:r>
                          <w:r>
                            <w:rPr>
                              <w:rFonts w:ascii="Calibri"/>
                              <w:b/>
                            </w:rPr>
                            <w:t>Schedule</w:t>
                          </w:r>
                          <w:r>
                            <w:rPr>
                              <w:rFonts w:ascii="Calibri"/>
                              <w:b/>
                              <w:spacing w:val="-5"/>
                            </w:rPr>
                            <w:t xml:space="preserve"> </w:t>
                          </w:r>
                          <w:r>
                            <w:rPr>
                              <w:rFonts w:ascii="Calibri"/>
                              <w:b/>
                            </w:rPr>
                            <w:t>1</w:t>
                          </w:r>
                          <w:r>
                            <w:rPr>
                              <w:rFonts w:ascii="Calibri"/>
                              <w:b/>
                              <w:spacing w:val="-5"/>
                            </w:rPr>
                            <w:t xml:space="preserve"> </w:t>
                          </w:r>
                          <w:r>
                            <w:rPr>
                              <w:rFonts w:ascii="Calibri"/>
                              <w:b/>
                            </w:rPr>
                            <w:t>(Transparency</w:t>
                          </w:r>
                          <w:r>
                            <w:rPr>
                              <w:rFonts w:ascii="Calibri"/>
                              <w:b/>
                              <w:spacing w:val="-5"/>
                            </w:rPr>
                            <w:t xml:space="preserve"> </w:t>
                          </w:r>
                          <w:r>
                            <w:rPr>
                              <w:rFonts w:ascii="Calibri"/>
                              <w:b/>
                              <w:spacing w:val="-2"/>
                            </w:rPr>
                            <w:t>Reports)</w:t>
                          </w:r>
                        </w:p>
                        <w:p w14:paraId="3AD99554" w14:textId="77777777" w:rsidR="004C7180" w:rsidRDefault="00CF0754">
                          <w:pPr>
                            <w:ind w:left="20"/>
                            <w:rPr>
                              <w:sz w:val="20"/>
                            </w:rPr>
                          </w:pPr>
                          <w:r>
                            <w:rPr>
                              <w:sz w:val="20"/>
                            </w:rPr>
                            <w:t>Order</w:t>
                          </w:r>
                          <w:r>
                            <w:rPr>
                              <w:spacing w:val="-7"/>
                              <w:sz w:val="20"/>
                            </w:rPr>
                            <w:t xml:space="preserve"> </w:t>
                          </w:r>
                          <w:r>
                            <w:rPr>
                              <w:spacing w:val="-4"/>
                              <w:sz w:val="20"/>
                            </w:rPr>
                            <w:t>Ref:</w:t>
                          </w:r>
                        </w:p>
                        <w:p w14:paraId="484287FD" w14:textId="77777777" w:rsidR="004C7180" w:rsidRDefault="00CF0754">
                          <w:pPr>
                            <w:ind w:left="20"/>
                            <w:rPr>
                              <w:rFonts w:ascii="Calibri"/>
                            </w:rPr>
                          </w:pPr>
                          <w:r>
                            <w:rPr>
                              <w:rFonts w:ascii="Calibri"/>
                            </w:rPr>
                            <w:t>Crown</w:t>
                          </w:r>
                          <w:r>
                            <w:rPr>
                              <w:rFonts w:ascii="Calibri"/>
                              <w:spacing w:val="-10"/>
                            </w:rPr>
                            <w:t xml:space="preserve"> </w:t>
                          </w:r>
                          <w:r>
                            <w:rPr>
                              <w:rFonts w:ascii="Calibri"/>
                            </w:rPr>
                            <w:t>Copyright</w:t>
                          </w:r>
                          <w:r>
                            <w:rPr>
                              <w:rFonts w:ascii="Calibri"/>
                              <w:spacing w:val="-11"/>
                            </w:rPr>
                            <w:t xml:space="preserve"> </w:t>
                          </w:r>
                          <w:r>
                            <w:rPr>
                              <w:rFonts w:ascii="Calibri"/>
                              <w:spacing w:val="-4"/>
                            </w:rPr>
                            <w:t>2022</w:t>
                          </w:r>
                        </w:p>
                      </w:txbxContent>
                    </wps:txbx>
                    <wps:bodyPr wrap="square" lIns="0" tIns="0" rIns="0" bIns="0" rtlCol="0">
                      <a:noAutofit/>
                    </wps:bodyPr>
                  </wps:wsp>
                </a:graphicData>
              </a:graphic>
            </wp:anchor>
          </w:drawing>
        </mc:Choice>
        <mc:Fallback>
          <w:pict>
            <v:shapetype w14:anchorId="1D1B786E" id="_x0000_t202" coordsize="21600,21600" o:spt="202" path="m,l,21600r21600,l21600,xe">
              <v:stroke joinstyle="miter"/>
              <v:path gradientshapeok="t" o:connecttype="rect"/>
            </v:shapetype>
            <v:shape id="Text Box 78" o:spid="_x0000_s1092" type="#_x0000_t202" style="position:absolute;margin-left:71pt;margin-top:36.55pt;width:189.65pt;height:38pt;z-index:-25165820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" filled="f" stroked="f">
              <v:textbox inset="0,0,0,0">
                <w:txbxContent>
                  <w:p w14:paraId="4A0848B1" w14:textId="77777777" w:rsidR="004C7180" w:rsidRDefault="00CF0754">
                    <w:pPr>
                      <w:spacing w:line="245" w:lineRule="exact"/>
                      <w:ind w:left="20"/>
                      <w:rPr>
                        <w:rFonts w:ascii="Calibri"/>
                        <w:b/>
                      </w:rPr>
                    </w:pPr>
                    <w:r>
                      <w:rPr>
                        <w:rFonts w:ascii="Calibri"/>
                        <w:b/>
                      </w:rPr>
                      <w:t>Order</w:t>
                    </w:r>
                    <w:r>
                      <w:rPr>
                        <w:rFonts w:ascii="Calibri"/>
                        <w:b/>
                        <w:spacing w:val="-4"/>
                      </w:rPr>
                      <w:t xml:space="preserve"> </w:t>
                    </w:r>
                    <w:r>
                      <w:rPr>
                        <w:rFonts w:ascii="Calibri"/>
                        <w:b/>
                      </w:rPr>
                      <w:t>Schedule</w:t>
                    </w:r>
                    <w:r>
                      <w:rPr>
                        <w:rFonts w:ascii="Calibri"/>
                        <w:b/>
                        <w:spacing w:val="-5"/>
                      </w:rPr>
                      <w:t xml:space="preserve"> </w:t>
                    </w:r>
                    <w:r>
                      <w:rPr>
                        <w:rFonts w:ascii="Calibri"/>
                        <w:b/>
                      </w:rPr>
                      <w:t>1</w:t>
                    </w:r>
                    <w:r>
                      <w:rPr>
                        <w:rFonts w:ascii="Calibri"/>
                        <w:b/>
                        <w:spacing w:val="-5"/>
                      </w:rPr>
                      <w:t xml:space="preserve"> </w:t>
                    </w:r>
                    <w:r>
                      <w:rPr>
                        <w:rFonts w:ascii="Calibri"/>
                        <w:b/>
                      </w:rPr>
                      <w:t>(Transparency</w:t>
                    </w:r>
                    <w:r>
                      <w:rPr>
                        <w:rFonts w:ascii="Calibri"/>
                        <w:b/>
                        <w:spacing w:val="-5"/>
                      </w:rPr>
                      <w:t xml:space="preserve"> </w:t>
                    </w:r>
                    <w:r>
                      <w:rPr>
                        <w:rFonts w:ascii="Calibri"/>
                        <w:b/>
                        <w:spacing w:val="-2"/>
                      </w:rPr>
                      <w:t>Reports)</w:t>
                    </w:r>
                  </w:p>
                  <w:p w14:paraId="3AD99554" w14:textId="77777777" w:rsidR="004C7180" w:rsidRDefault="00CF0754">
                    <w:pPr>
                      <w:ind w:left="20"/>
                      <w:rPr>
                        <w:sz w:val="20"/>
                      </w:rPr>
                    </w:pPr>
                    <w:r>
                      <w:rPr>
                        <w:sz w:val="20"/>
                      </w:rPr>
                      <w:t>Order</w:t>
                    </w:r>
                    <w:r>
                      <w:rPr>
                        <w:spacing w:val="-7"/>
                        <w:sz w:val="20"/>
                      </w:rPr>
                      <w:t xml:space="preserve"> </w:t>
                    </w:r>
                    <w:r>
                      <w:rPr>
                        <w:spacing w:val="-4"/>
                        <w:sz w:val="20"/>
                      </w:rPr>
                      <w:t>Ref:</w:t>
                    </w:r>
                  </w:p>
                  <w:p w14:paraId="484287FD" w14:textId="77777777" w:rsidR="004C7180" w:rsidRDefault="00CF0754">
                    <w:pPr>
                      <w:ind w:left="20"/>
                      <w:rPr>
                        <w:rFonts w:ascii="Calibri"/>
                      </w:rPr>
                    </w:pPr>
                    <w:r>
                      <w:rPr>
                        <w:rFonts w:ascii="Calibri"/>
                      </w:rPr>
                      <w:t>Crown</w:t>
                    </w:r>
                    <w:r>
                      <w:rPr>
                        <w:rFonts w:ascii="Calibri"/>
                        <w:spacing w:val="-10"/>
                      </w:rPr>
                      <w:t xml:space="preserve"> </w:t>
                    </w:r>
                    <w:r>
                      <w:rPr>
                        <w:rFonts w:ascii="Calibri"/>
                      </w:rPr>
                      <w:t>Copyright</w:t>
                    </w:r>
                    <w:r>
                      <w:rPr>
                        <w:rFonts w:ascii="Calibri"/>
                        <w:spacing w:val="-11"/>
                      </w:rPr>
                      <w:t xml:space="preserve"> </w:t>
                    </w:r>
                    <w:r>
                      <w:rPr>
                        <w:rFonts w:ascii="Calibri"/>
                        <w:spacing w:val="-4"/>
                      </w:rPr>
                      <w:t>2022</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567BF" w14:textId="77777777" w:rsidR="004C7180" w:rsidRDefault="00CF0754">
    <w:pPr>
      <w:pStyle w:val="BodyText"/>
      <w:spacing w:line="14" w:lineRule="auto"/>
      <w:rPr>
        <w:sz w:val="20"/>
      </w:rPr>
    </w:pPr>
    <w:r>
      <w:rPr>
        <w:noProof/>
        <w:lang w:val="en-GB" w:eastAsia="en-GB"/>
      </w:rPr>
      <mc:AlternateContent>
        <mc:Choice Requires="wps">
          <w:drawing>
            <wp:anchor distT="0" distB="0" distL="0" distR="0" simplePos="0" relativeHeight="251658281" behindDoc="1" locked="0" layoutInCell="1" allowOverlap="1" wp14:anchorId="6466DDDD" wp14:editId="595A4A0A">
              <wp:simplePos x="0" y="0"/>
              <wp:positionH relativeFrom="page">
                <wp:posOffset>901700</wp:posOffset>
              </wp:positionH>
              <wp:positionV relativeFrom="page">
                <wp:posOffset>441241</wp:posOffset>
              </wp:positionV>
              <wp:extent cx="2021205" cy="459740"/>
              <wp:effectExtent l="0" t="0" r="0" b="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1205" cy="459740"/>
                      </a:xfrm>
                      <a:prstGeom prst="rect">
                        <a:avLst/>
                      </a:prstGeom>
                    </wps:spPr>
                    <wps:txbx>
                      <w:txbxContent>
                        <w:p w14:paraId="6C19BF7B" w14:textId="77777777" w:rsidR="004C7180" w:rsidRDefault="00CF0754">
                          <w:pPr>
                            <w:spacing w:before="12"/>
                            <w:ind w:left="20"/>
                            <w:rPr>
                              <w:b/>
                              <w:sz w:val="20"/>
                            </w:rPr>
                          </w:pPr>
                          <w:r>
                            <w:rPr>
                              <w:b/>
                              <w:sz w:val="20"/>
                            </w:rPr>
                            <w:t>Order</w:t>
                          </w:r>
                          <w:r>
                            <w:rPr>
                              <w:b/>
                              <w:spacing w:val="-5"/>
                              <w:sz w:val="20"/>
                            </w:rPr>
                            <w:t xml:space="preserve"> </w:t>
                          </w:r>
                          <w:r>
                            <w:rPr>
                              <w:b/>
                              <w:sz w:val="20"/>
                            </w:rPr>
                            <w:t>Schedule</w:t>
                          </w:r>
                          <w:r>
                            <w:rPr>
                              <w:b/>
                              <w:spacing w:val="-6"/>
                              <w:sz w:val="20"/>
                            </w:rPr>
                            <w:t xml:space="preserve"> </w:t>
                          </w:r>
                          <w:r>
                            <w:rPr>
                              <w:b/>
                              <w:sz w:val="20"/>
                            </w:rPr>
                            <w:t>2</w:t>
                          </w:r>
                          <w:r>
                            <w:rPr>
                              <w:b/>
                              <w:spacing w:val="-7"/>
                              <w:sz w:val="20"/>
                            </w:rPr>
                            <w:t xml:space="preserve"> </w:t>
                          </w:r>
                          <w:r>
                            <w:rPr>
                              <w:b/>
                              <w:sz w:val="20"/>
                            </w:rPr>
                            <w:t>(Staff</w:t>
                          </w:r>
                          <w:r>
                            <w:rPr>
                              <w:b/>
                              <w:spacing w:val="-5"/>
                              <w:sz w:val="20"/>
                            </w:rPr>
                            <w:t xml:space="preserve"> </w:t>
                          </w:r>
                          <w:r>
                            <w:rPr>
                              <w:b/>
                              <w:spacing w:val="-2"/>
                              <w:sz w:val="20"/>
                            </w:rPr>
                            <w:t>Transfer)</w:t>
                          </w:r>
                        </w:p>
                        <w:p w14:paraId="32D3C1ED" w14:textId="77777777" w:rsidR="004C7180" w:rsidRDefault="00CF0754">
                          <w:pPr>
                            <w:spacing w:before="1"/>
                            <w:ind w:left="20"/>
                            <w:rPr>
                              <w:sz w:val="20"/>
                            </w:rPr>
                          </w:pPr>
                          <w:r>
                            <w:rPr>
                              <w:sz w:val="20"/>
                            </w:rPr>
                            <w:t>Order</w:t>
                          </w:r>
                          <w:r>
                            <w:rPr>
                              <w:spacing w:val="-7"/>
                              <w:sz w:val="20"/>
                            </w:rPr>
                            <w:t xml:space="preserve"> </w:t>
                          </w:r>
                          <w:r>
                            <w:rPr>
                              <w:spacing w:val="-4"/>
                              <w:sz w:val="20"/>
                            </w:rPr>
                            <w:t>Ref:</w:t>
                          </w:r>
                        </w:p>
                        <w:p w14:paraId="00C37ED6" w14:textId="77777777" w:rsidR="004C7180" w:rsidRDefault="00CF0754">
                          <w:pPr>
                            <w:ind w:left="20"/>
                            <w:rPr>
                              <w:sz w:val="20"/>
                            </w:rPr>
                          </w:pPr>
                          <w:r>
                            <w:rPr>
                              <w:sz w:val="20"/>
                            </w:rPr>
                            <w:t>Crown</w:t>
                          </w:r>
                          <w:r>
                            <w:rPr>
                              <w:spacing w:val="-9"/>
                              <w:sz w:val="20"/>
                            </w:rPr>
                            <w:t xml:space="preserve"> </w:t>
                          </w:r>
                          <w:r>
                            <w:rPr>
                              <w:sz w:val="20"/>
                            </w:rPr>
                            <w:t>Copyright</w:t>
                          </w:r>
                          <w:r>
                            <w:rPr>
                              <w:spacing w:val="-9"/>
                              <w:sz w:val="20"/>
                            </w:rPr>
                            <w:t xml:space="preserve"> </w:t>
                          </w:r>
                          <w:r>
                            <w:rPr>
                              <w:spacing w:val="-4"/>
                              <w:sz w:val="20"/>
                            </w:rPr>
                            <w:t>2022</w:t>
                          </w:r>
                        </w:p>
                      </w:txbxContent>
                    </wps:txbx>
                    <wps:bodyPr wrap="square" lIns="0" tIns="0" rIns="0" bIns="0" rtlCol="0">
                      <a:noAutofit/>
                    </wps:bodyPr>
                  </wps:wsp>
                </a:graphicData>
              </a:graphic>
            </wp:anchor>
          </w:drawing>
        </mc:Choice>
        <mc:Fallback>
          <w:pict>
            <v:shapetype w14:anchorId="6466DDDD" id="_x0000_t202" coordsize="21600,21600" o:spt="202" path="m,l,21600r21600,l21600,xe">
              <v:stroke joinstyle="miter"/>
              <v:path gradientshapeok="t" o:connecttype="rect"/>
            </v:shapetype>
            <v:shape id="Text Box 81" o:spid="_x0000_s1095" type="#_x0000_t202" style="position:absolute;margin-left:71pt;margin-top:34.75pt;width:159.15pt;height:36.2pt;z-index:-25165819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" filled="f" stroked="f">
              <v:textbox inset="0,0,0,0">
                <w:txbxContent>
                  <w:p w14:paraId="6C19BF7B" w14:textId="77777777" w:rsidR="004C7180" w:rsidRDefault="00CF0754">
                    <w:pPr>
                      <w:spacing w:before="12"/>
                      <w:ind w:left="20"/>
                      <w:rPr>
                        <w:b/>
                        <w:sz w:val="20"/>
                      </w:rPr>
                    </w:pPr>
                    <w:r>
                      <w:rPr>
                        <w:b/>
                        <w:sz w:val="20"/>
                      </w:rPr>
                      <w:t>Order</w:t>
                    </w:r>
                    <w:r>
                      <w:rPr>
                        <w:b/>
                        <w:spacing w:val="-5"/>
                        <w:sz w:val="20"/>
                      </w:rPr>
                      <w:t xml:space="preserve"> </w:t>
                    </w:r>
                    <w:r>
                      <w:rPr>
                        <w:b/>
                        <w:sz w:val="20"/>
                      </w:rPr>
                      <w:t>Schedule</w:t>
                    </w:r>
                    <w:r>
                      <w:rPr>
                        <w:b/>
                        <w:spacing w:val="-6"/>
                        <w:sz w:val="20"/>
                      </w:rPr>
                      <w:t xml:space="preserve"> </w:t>
                    </w:r>
                    <w:r>
                      <w:rPr>
                        <w:b/>
                        <w:sz w:val="20"/>
                      </w:rPr>
                      <w:t>2</w:t>
                    </w:r>
                    <w:r>
                      <w:rPr>
                        <w:b/>
                        <w:spacing w:val="-7"/>
                        <w:sz w:val="20"/>
                      </w:rPr>
                      <w:t xml:space="preserve"> </w:t>
                    </w:r>
                    <w:r>
                      <w:rPr>
                        <w:b/>
                        <w:sz w:val="20"/>
                      </w:rPr>
                      <w:t>(Staff</w:t>
                    </w:r>
                    <w:r>
                      <w:rPr>
                        <w:b/>
                        <w:spacing w:val="-5"/>
                        <w:sz w:val="20"/>
                      </w:rPr>
                      <w:t xml:space="preserve"> </w:t>
                    </w:r>
                    <w:r>
                      <w:rPr>
                        <w:b/>
                        <w:spacing w:val="-2"/>
                        <w:sz w:val="20"/>
                      </w:rPr>
                      <w:t>Transfer)</w:t>
                    </w:r>
                  </w:p>
                  <w:p w14:paraId="32D3C1ED" w14:textId="77777777" w:rsidR="004C7180" w:rsidRDefault="00CF0754">
                    <w:pPr>
                      <w:spacing w:before="1"/>
                      <w:ind w:left="20"/>
                      <w:rPr>
                        <w:sz w:val="20"/>
                      </w:rPr>
                    </w:pPr>
                    <w:r>
                      <w:rPr>
                        <w:sz w:val="20"/>
                      </w:rPr>
                      <w:t>Order</w:t>
                    </w:r>
                    <w:r>
                      <w:rPr>
                        <w:spacing w:val="-7"/>
                        <w:sz w:val="20"/>
                      </w:rPr>
                      <w:t xml:space="preserve"> </w:t>
                    </w:r>
                    <w:r>
                      <w:rPr>
                        <w:spacing w:val="-4"/>
                        <w:sz w:val="20"/>
                      </w:rPr>
                      <w:t>Ref:</w:t>
                    </w:r>
                  </w:p>
                  <w:p w14:paraId="00C37ED6" w14:textId="77777777" w:rsidR="004C7180" w:rsidRDefault="00CF0754">
                    <w:pPr>
                      <w:ind w:left="20"/>
                      <w:rPr>
                        <w:sz w:val="20"/>
                      </w:rPr>
                    </w:pPr>
                    <w:r>
                      <w:rPr>
                        <w:sz w:val="20"/>
                      </w:rPr>
                      <w:t>Crown</w:t>
                    </w:r>
                    <w:r>
                      <w:rPr>
                        <w:spacing w:val="-9"/>
                        <w:sz w:val="20"/>
                      </w:rPr>
                      <w:t xml:space="preserve"> </w:t>
                    </w:r>
                    <w:r>
                      <w:rPr>
                        <w:sz w:val="20"/>
                      </w:rPr>
                      <w:t>Copyright</w:t>
                    </w:r>
                    <w:r>
                      <w:rPr>
                        <w:spacing w:val="-9"/>
                        <w:sz w:val="20"/>
                      </w:rPr>
                      <w:t xml:space="preserve"> </w:t>
                    </w:r>
                    <w:r>
                      <w:rPr>
                        <w:spacing w:val="-4"/>
                        <w:sz w:val="20"/>
                      </w:rPr>
                      <w:t>2022</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149B1" w14:textId="77777777" w:rsidR="004C7180" w:rsidRDefault="00CF0754">
    <w:pPr>
      <w:pStyle w:val="BodyText"/>
      <w:spacing w:line="14" w:lineRule="auto"/>
      <w:rPr>
        <w:sz w:val="20"/>
      </w:rPr>
    </w:pPr>
    <w:r>
      <w:rPr>
        <w:noProof/>
        <w:lang w:val="en-GB" w:eastAsia="en-GB"/>
      </w:rPr>
      <mc:AlternateContent>
        <mc:Choice Requires="wps">
          <w:drawing>
            <wp:anchor distT="0" distB="0" distL="0" distR="0" simplePos="0" relativeHeight="251658284" behindDoc="1" locked="0" layoutInCell="1" allowOverlap="1" wp14:anchorId="6906D97E" wp14:editId="46D2B6C0">
              <wp:simplePos x="0" y="0"/>
              <wp:positionH relativeFrom="page">
                <wp:posOffset>901700</wp:posOffset>
              </wp:positionH>
              <wp:positionV relativeFrom="page">
                <wp:posOffset>441241</wp:posOffset>
              </wp:positionV>
              <wp:extent cx="2734945" cy="459740"/>
              <wp:effectExtent l="0" t="0" r="0" b="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4945" cy="459740"/>
                      </a:xfrm>
                      <a:prstGeom prst="rect">
                        <a:avLst/>
                      </a:prstGeom>
                    </wps:spPr>
                    <wps:txbx>
                      <w:txbxContent>
                        <w:p w14:paraId="5A392A8D" w14:textId="77777777" w:rsidR="004C7180" w:rsidRDefault="00CF0754">
                          <w:pPr>
                            <w:spacing w:before="12"/>
                            <w:ind w:left="20"/>
                            <w:rPr>
                              <w:b/>
                              <w:sz w:val="20"/>
                            </w:rPr>
                          </w:pPr>
                          <w:r>
                            <w:rPr>
                              <w:b/>
                              <w:sz w:val="20"/>
                            </w:rPr>
                            <w:t>Order</w:t>
                          </w:r>
                          <w:r>
                            <w:rPr>
                              <w:b/>
                              <w:spacing w:val="-6"/>
                              <w:sz w:val="20"/>
                            </w:rPr>
                            <w:t xml:space="preserve"> </w:t>
                          </w:r>
                          <w:r>
                            <w:rPr>
                              <w:b/>
                              <w:sz w:val="20"/>
                            </w:rPr>
                            <w:t>Schedule</w:t>
                          </w:r>
                          <w:r>
                            <w:rPr>
                              <w:b/>
                              <w:spacing w:val="-8"/>
                              <w:sz w:val="20"/>
                            </w:rPr>
                            <w:t xml:space="preserve"> </w:t>
                          </w:r>
                          <w:r>
                            <w:rPr>
                              <w:b/>
                              <w:sz w:val="20"/>
                            </w:rPr>
                            <w:t>3</w:t>
                          </w:r>
                          <w:r>
                            <w:rPr>
                              <w:b/>
                              <w:spacing w:val="-8"/>
                              <w:sz w:val="20"/>
                            </w:rPr>
                            <w:t xml:space="preserve"> </w:t>
                          </w:r>
                          <w:r>
                            <w:rPr>
                              <w:b/>
                              <w:sz w:val="20"/>
                            </w:rPr>
                            <w:t>(Continuous</w:t>
                          </w:r>
                          <w:r>
                            <w:rPr>
                              <w:b/>
                              <w:spacing w:val="-8"/>
                              <w:sz w:val="20"/>
                            </w:rPr>
                            <w:t xml:space="preserve"> </w:t>
                          </w:r>
                          <w:r>
                            <w:rPr>
                              <w:b/>
                              <w:spacing w:val="-2"/>
                              <w:sz w:val="20"/>
                            </w:rPr>
                            <w:t>Improvement)</w:t>
                          </w:r>
                        </w:p>
                        <w:p w14:paraId="5E223F88" w14:textId="77777777" w:rsidR="004C7180" w:rsidRDefault="00CF0754">
                          <w:pPr>
                            <w:spacing w:before="1"/>
                            <w:ind w:left="20"/>
                            <w:rPr>
                              <w:sz w:val="20"/>
                            </w:rPr>
                          </w:pPr>
                          <w:r>
                            <w:rPr>
                              <w:sz w:val="20"/>
                            </w:rPr>
                            <w:t>Order</w:t>
                          </w:r>
                          <w:r>
                            <w:rPr>
                              <w:spacing w:val="-7"/>
                              <w:sz w:val="20"/>
                            </w:rPr>
                            <w:t xml:space="preserve"> </w:t>
                          </w:r>
                          <w:r>
                            <w:rPr>
                              <w:spacing w:val="-4"/>
                              <w:sz w:val="20"/>
                            </w:rPr>
                            <w:t>Ref:</w:t>
                          </w:r>
                        </w:p>
                        <w:p w14:paraId="62EC3C37" w14:textId="77777777" w:rsidR="004C7180" w:rsidRDefault="00CF0754">
                          <w:pPr>
                            <w:ind w:left="20"/>
                            <w:rPr>
                              <w:sz w:val="20"/>
                            </w:rPr>
                          </w:pPr>
                          <w:r>
                            <w:rPr>
                              <w:spacing w:val="-2"/>
                              <w:sz w:val="20"/>
                            </w:rPr>
                            <w:t>Crown</w:t>
                          </w:r>
                          <w:r>
                            <w:rPr>
                              <w:spacing w:val="6"/>
                              <w:sz w:val="20"/>
                            </w:rPr>
                            <w:t xml:space="preserve"> </w:t>
                          </w:r>
                          <w:r>
                            <w:rPr>
                              <w:spacing w:val="-2"/>
                              <w:sz w:val="20"/>
                            </w:rPr>
                            <w:t>Copyright</w:t>
                          </w:r>
                          <w:r>
                            <w:rPr>
                              <w:spacing w:val="-13"/>
                              <w:sz w:val="20"/>
                            </w:rPr>
                            <w:t xml:space="preserve"> </w:t>
                          </w:r>
                          <w:r>
                            <w:rPr>
                              <w:spacing w:val="-4"/>
                              <w:sz w:val="20"/>
                            </w:rPr>
                            <w:t>2022</w:t>
                          </w:r>
                        </w:p>
                      </w:txbxContent>
                    </wps:txbx>
                    <wps:bodyPr wrap="square" lIns="0" tIns="0" rIns="0" bIns="0" rtlCol="0">
                      <a:noAutofit/>
                    </wps:bodyPr>
                  </wps:wsp>
                </a:graphicData>
              </a:graphic>
            </wp:anchor>
          </w:drawing>
        </mc:Choice>
        <mc:Fallback>
          <w:pict>
            <v:shapetype w14:anchorId="6906D97E" id="_x0000_t202" coordsize="21600,21600" o:spt="202" path="m,l,21600r21600,l21600,xe">
              <v:stroke joinstyle="miter"/>
              <v:path gradientshapeok="t" o:connecttype="rect"/>
            </v:shapetype>
            <v:shape id="Text Box 84" o:spid="_x0000_s1098" type="#_x0000_t202" style="position:absolute;margin-left:71pt;margin-top:34.75pt;width:215.35pt;height:36.2pt;z-index:-2516581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" filled="f" stroked="f">
              <v:textbox inset="0,0,0,0">
                <w:txbxContent>
                  <w:p w14:paraId="5A392A8D" w14:textId="77777777" w:rsidR="004C7180" w:rsidRDefault="00CF0754">
                    <w:pPr>
                      <w:spacing w:before="12"/>
                      <w:ind w:left="20"/>
                      <w:rPr>
                        <w:b/>
                        <w:sz w:val="20"/>
                      </w:rPr>
                    </w:pPr>
                    <w:r>
                      <w:rPr>
                        <w:b/>
                        <w:sz w:val="20"/>
                      </w:rPr>
                      <w:t>Order</w:t>
                    </w:r>
                    <w:r>
                      <w:rPr>
                        <w:b/>
                        <w:spacing w:val="-6"/>
                        <w:sz w:val="20"/>
                      </w:rPr>
                      <w:t xml:space="preserve"> </w:t>
                    </w:r>
                    <w:r>
                      <w:rPr>
                        <w:b/>
                        <w:sz w:val="20"/>
                      </w:rPr>
                      <w:t>Schedule</w:t>
                    </w:r>
                    <w:r>
                      <w:rPr>
                        <w:b/>
                        <w:spacing w:val="-8"/>
                        <w:sz w:val="20"/>
                      </w:rPr>
                      <w:t xml:space="preserve"> </w:t>
                    </w:r>
                    <w:r>
                      <w:rPr>
                        <w:b/>
                        <w:sz w:val="20"/>
                      </w:rPr>
                      <w:t>3</w:t>
                    </w:r>
                    <w:r>
                      <w:rPr>
                        <w:b/>
                        <w:spacing w:val="-8"/>
                        <w:sz w:val="20"/>
                      </w:rPr>
                      <w:t xml:space="preserve"> </w:t>
                    </w:r>
                    <w:r>
                      <w:rPr>
                        <w:b/>
                        <w:sz w:val="20"/>
                      </w:rPr>
                      <w:t>(Continuous</w:t>
                    </w:r>
                    <w:r>
                      <w:rPr>
                        <w:b/>
                        <w:spacing w:val="-8"/>
                        <w:sz w:val="20"/>
                      </w:rPr>
                      <w:t xml:space="preserve"> </w:t>
                    </w:r>
                    <w:r>
                      <w:rPr>
                        <w:b/>
                        <w:spacing w:val="-2"/>
                        <w:sz w:val="20"/>
                      </w:rPr>
                      <w:t>Improvement)</w:t>
                    </w:r>
                  </w:p>
                  <w:p w14:paraId="5E223F88" w14:textId="77777777" w:rsidR="004C7180" w:rsidRDefault="00CF0754">
                    <w:pPr>
                      <w:spacing w:before="1"/>
                      <w:ind w:left="20"/>
                      <w:rPr>
                        <w:sz w:val="20"/>
                      </w:rPr>
                    </w:pPr>
                    <w:r>
                      <w:rPr>
                        <w:sz w:val="20"/>
                      </w:rPr>
                      <w:t>Order</w:t>
                    </w:r>
                    <w:r>
                      <w:rPr>
                        <w:spacing w:val="-7"/>
                        <w:sz w:val="20"/>
                      </w:rPr>
                      <w:t xml:space="preserve"> </w:t>
                    </w:r>
                    <w:r>
                      <w:rPr>
                        <w:spacing w:val="-4"/>
                        <w:sz w:val="20"/>
                      </w:rPr>
                      <w:t>Ref:</w:t>
                    </w:r>
                  </w:p>
                  <w:p w14:paraId="62EC3C37" w14:textId="77777777" w:rsidR="004C7180" w:rsidRDefault="00CF0754">
                    <w:pPr>
                      <w:ind w:left="20"/>
                      <w:rPr>
                        <w:sz w:val="20"/>
                      </w:rPr>
                    </w:pPr>
                    <w:r>
                      <w:rPr>
                        <w:spacing w:val="-2"/>
                        <w:sz w:val="20"/>
                      </w:rPr>
                      <w:t>Crown</w:t>
                    </w:r>
                    <w:r>
                      <w:rPr>
                        <w:spacing w:val="6"/>
                        <w:sz w:val="20"/>
                      </w:rPr>
                      <w:t xml:space="preserve"> </w:t>
                    </w:r>
                    <w:r>
                      <w:rPr>
                        <w:spacing w:val="-2"/>
                        <w:sz w:val="20"/>
                      </w:rPr>
                      <w:t>Copyright</w:t>
                    </w:r>
                    <w:r>
                      <w:rPr>
                        <w:spacing w:val="-13"/>
                        <w:sz w:val="20"/>
                      </w:rPr>
                      <w:t xml:space="preserve"> </w:t>
                    </w:r>
                    <w:r>
                      <w:rPr>
                        <w:spacing w:val="-4"/>
                        <w:sz w:val="20"/>
                      </w:rPr>
                      <w:t>2022</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C3EA1" w14:textId="77777777" w:rsidR="004C7180" w:rsidRDefault="00CF0754">
    <w:pPr>
      <w:pStyle w:val="BodyText"/>
      <w:spacing w:line="14" w:lineRule="auto"/>
      <w:rPr>
        <w:sz w:val="20"/>
      </w:rPr>
    </w:pPr>
    <w:r>
      <w:rPr>
        <w:noProof/>
        <w:lang w:val="en-GB" w:eastAsia="en-GB"/>
      </w:rPr>
      <mc:AlternateContent>
        <mc:Choice Requires="wps">
          <w:drawing>
            <wp:anchor distT="0" distB="0" distL="0" distR="0" simplePos="0" relativeHeight="251658287" behindDoc="1" locked="0" layoutInCell="1" allowOverlap="1" wp14:anchorId="2B8829BB" wp14:editId="21B5C646">
              <wp:simplePos x="0" y="0"/>
              <wp:positionH relativeFrom="page">
                <wp:posOffset>901700</wp:posOffset>
              </wp:positionH>
              <wp:positionV relativeFrom="page">
                <wp:posOffset>439717</wp:posOffset>
              </wp:positionV>
              <wp:extent cx="2000250" cy="503555"/>
              <wp:effectExtent l="0" t="0" r="0" b="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0" cy="503555"/>
                      </a:xfrm>
                      <a:prstGeom prst="rect">
                        <a:avLst/>
                      </a:prstGeom>
                    </wps:spPr>
                    <wps:txbx>
                      <w:txbxContent>
                        <w:p w14:paraId="53A24AD0" w14:textId="77777777" w:rsidR="004C7180" w:rsidRDefault="00CF0754">
                          <w:pPr>
                            <w:spacing w:before="12"/>
                            <w:ind w:left="20"/>
                            <w:rPr>
                              <w:b/>
                              <w:sz w:val="20"/>
                            </w:rPr>
                          </w:pPr>
                          <w:r>
                            <w:rPr>
                              <w:b/>
                              <w:sz w:val="20"/>
                            </w:rPr>
                            <w:t>Order</w:t>
                          </w:r>
                          <w:r>
                            <w:rPr>
                              <w:b/>
                              <w:spacing w:val="-5"/>
                              <w:sz w:val="20"/>
                            </w:rPr>
                            <w:t xml:space="preserve"> </w:t>
                          </w:r>
                          <w:r>
                            <w:rPr>
                              <w:b/>
                              <w:sz w:val="20"/>
                            </w:rPr>
                            <w:t>Schedule</w:t>
                          </w:r>
                          <w:r>
                            <w:rPr>
                              <w:b/>
                              <w:spacing w:val="-6"/>
                              <w:sz w:val="20"/>
                            </w:rPr>
                            <w:t xml:space="preserve"> </w:t>
                          </w:r>
                          <w:r>
                            <w:rPr>
                              <w:b/>
                              <w:sz w:val="20"/>
                            </w:rPr>
                            <w:t>4</w:t>
                          </w:r>
                          <w:r>
                            <w:rPr>
                              <w:b/>
                              <w:spacing w:val="-7"/>
                              <w:sz w:val="20"/>
                            </w:rPr>
                            <w:t xml:space="preserve"> </w:t>
                          </w:r>
                          <w:r>
                            <w:rPr>
                              <w:b/>
                              <w:sz w:val="20"/>
                            </w:rPr>
                            <w:t>(Order</w:t>
                          </w:r>
                          <w:r>
                            <w:rPr>
                              <w:b/>
                              <w:spacing w:val="-4"/>
                              <w:sz w:val="20"/>
                            </w:rPr>
                            <w:t xml:space="preserve"> </w:t>
                          </w:r>
                          <w:r>
                            <w:rPr>
                              <w:b/>
                              <w:spacing w:val="-2"/>
                              <w:sz w:val="20"/>
                            </w:rPr>
                            <w:t>Tender)</w:t>
                          </w:r>
                        </w:p>
                        <w:p w14:paraId="141D012E" w14:textId="77777777" w:rsidR="004C7180" w:rsidRDefault="00CF0754">
                          <w:pPr>
                            <w:spacing w:before="34"/>
                            <w:ind w:left="20"/>
                            <w:rPr>
                              <w:sz w:val="20"/>
                            </w:rPr>
                          </w:pPr>
                          <w:r>
                            <w:rPr>
                              <w:sz w:val="20"/>
                            </w:rPr>
                            <w:t>Order</w:t>
                          </w:r>
                          <w:r>
                            <w:rPr>
                              <w:spacing w:val="-7"/>
                              <w:sz w:val="20"/>
                            </w:rPr>
                            <w:t xml:space="preserve"> </w:t>
                          </w:r>
                          <w:r>
                            <w:rPr>
                              <w:spacing w:val="-4"/>
                              <w:sz w:val="20"/>
                            </w:rPr>
                            <w:t>Ref:</w:t>
                          </w:r>
                        </w:p>
                        <w:p w14:paraId="37C2FF9A" w14:textId="77777777" w:rsidR="004C7180" w:rsidRDefault="00CF0754">
                          <w:pPr>
                            <w:spacing w:before="37"/>
                            <w:ind w:left="20"/>
                            <w:rPr>
                              <w:sz w:val="20"/>
                            </w:rPr>
                          </w:pPr>
                          <w:r>
                            <w:rPr>
                              <w:spacing w:val="-2"/>
                              <w:sz w:val="20"/>
                            </w:rPr>
                            <w:t>Crown</w:t>
                          </w:r>
                          <w:r>
                            <w:rPr>
                              <w:spacing w:val="6"/>
                              <w:sz w:val="20"/>
                            </w:rPr>
                            <w:t xml:space="preserve"> </w:t>
                          </w:r>
                          <w:r>
                            <w:rPr>
                              <w:spacing w:val="-2"/>
                              <w:sz w:val="20"/>
                            </w:rPr>
                            <w:t>Copyright</w:t>
                          </w:r>
                          <w:r>
                            <w:rPr>
                              <w:spacing w:val="-13"/>
                              <w:sz w:val="20"/>
                            </w:rPr>
                            <w:t xml:space="preserve"> </w:t>
                          </w:r>
                          <w:r>
                            <w:rPr>
                              <w:spacing w:val="-4"/>
                              <w:sz w:val="20"/>
                            </w:rPr>
                            <w:t>2022</w:t>
                          </w:r>
                        </w:p>
                      </w:txbxContent>
                    </wps:txbx>
                    <wps:bodyPr wrap="square" lIns="0" tIns="0" rIns="0" bIns="0" rtlCol="0">
                      <a:noAutofit/>
                    </wps:bodyPr>
                  </wps:wsp>
                </a:graphicData>
              </a:graphic>
            </wp:anchor>
          </w:drawing>
        </mc:Choice>
        <mc:Fallback>
          <w:pict>
            <v:shapetype w14:anchorId="2B8829BB" id="_x0000_t202" coordsize="21600,21600" o:spt="202" path="m,l,21600r21600,l21600,xe">
              <v:stroke joinstyle="miter"/>
              <v:path gradientshapeok="t" o:connecttype="rect"/>
            </v:shapetype>
            <v:shape id="Text Box 87" o:spid="_x0000_s1101" type="#_x0000_t202" style="position:absolute;margin-left:71pt;margin-top:34.6pt;width:157.5pt;height:39.65pt;z-index:-25165819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" filled="f" stroked="f">
              <v:textbox inset="0,0,0,0">
                <w:txbxContent>
                  <w:p w14:paraId="53A24AD0" w14:textId="77777777" w:rsidR="004C7180" w:rsidRDefault="00CF0754">
                    <w:pPr>
                      <w:spacing w:before="12"/>
                      <w:ind w:left="20"/>
                      <w:rPr>
                        <w:b/>
                        <w:sz w:val="20"/>
                      </w:rPr>
                    </w:pPr>
                    <w:r>
                      <w:rPr>
                        <w:b/>
                        <w:sz w:val="20"/>
                      </w:rPr>
                      <w:t>Order</w:t>
                    </w:r>
                    <w:r>
                      <w:rPr>
                        <w:b/>
                        <w:spacing w:val="-5"/>
                        <w:sz w:val="20"/>
                      </w:rPr>
                      <w:t xml:space="preserve"> </w:t>
                    </w:r>
                    <w:r>
                      <w:rPr>
                        <w:b/>
                        <w:sz w:val="20"/>
                      </w:rPr>
                      <w:t>Schedule</w:t>
                    </w:r>
                    <w:r>
                      <w:rPr>
                        <w:b/>
                        <w:spacing w:val="-6"/>
                        <w:sz w:val="20"/>
                      </w:rPr>
                      <w:t xml:space="preserve"> </w:t>
                    </w:r>
                    <w:r>
                      <w:rPr>
                        <w:b/>
                        <w:sz w:val="20"/>
                      </w:rPr>
                      <w:t>4</w:t>
                    </w:r>
                    <w:r>
                      <w:rPr>
                        <w:b/>
                        <w:spacing w:val="-7"/>
                        <w:sz w:val="20"/>
                      </w:rPr>
                      <w:t xml:space="preserve"> </w:t>
                    </w:r>
                    <w:r>
                      <w:rPr>
                        <w:b/>
                        <w:sz w:val="20"/>
                      </w:rPr>
                      <w:t>(Order</w:t>
                    </w:r>
                    <w:r>
                      <w:rPr>
                        <w:b/>
                        <w:spacing w:val="-4"/>
                        <w:sz w:val="20"/>
                      </w:rPr>
                      <w:t xml:space="preserve"> </w:t>
                    </w:r>
                    <w:r>
                      <w:rPr>
                        <w:b/>
                        <w:spacing w:val="-2"/>
                        <w:sz w:val="20"/>
                      </w:rPr>
                      <w:t>Tender)</w:t>
                    </w:r>
                  </w:p>
                  <w:p w14:paraId="141D012E" w14:textId="77777777" w:rsidR="004C7180" w:rsidRDefault="00CF0754">
                    <w:pPr>
                      <w:spacing w:before="34"/>
                      <w:ind w:left="20"/>
                      <w:rPr>
                        <w:sz w:val="20"/>
                      </w:rPr>
                    </w:pPr>
                    <w:r>
                      <w:rPr>
                        <w:sz w:val="20"/>
                      </w:rPr>
                      <w:t>Order</w:t>
                    </w:r>
                    <w:r>
                      <w:rPr>
                        <w:spacing w:val="-7"/>
                        <w:sz w:val="20"/>
                      </w:rPr>
                      <w:t xml:space="preserve"> </w:t>
                    </w:r>
                    <w:r>
                      <w:rPr>
                        <w:spacing w:val="-4"/>
                        <w:sz w:val="20"/>
                      </w:rPr>
                      <w:t>Ref:</w:t>
                    </w:r>
                  </w:p>
                  <w:p w14:paraId="37C2FF9A" w14:textId="77777777" w:rsidR="004C7180" w:rsidRDefault="00CF0754">
                    <w:pPr>
                      <w:spacing w:before="37"/>
                      <w:ind w:left="20"/>
                      <w:rPr>
                        <w:sz w:val="20"/>
                      </w:rPr>
                    </w:pPr>
                    <w:r>
                      <w:rPr>
                        <w:spacing w:val="-2"/>
                        <w:sz w:val="20"/>
                      </w:rPr>
                      <w:t>Crown</w:t>
                    </w:r>
                    <w:r>
                      <w:rPr>
                        <w:spacing w:val="6"/>
                        <w:sz w:val="20"/>
                      </w:rPr>
                      <w:t xml:space="preserve"> </w:t>
                    </w:r>
                    <w:r>
                      <w:rPr>
                        <w:spacing w:val="-2"/>
                        <w:sz w:val="20"/>
                      </w:rPr>
                      <w:t>Copyright</w:t>
                    </w:r>
                    <w:r>
                      <w:rPr>
                        <w:spacing w:val="-13"/>
                        <w:sz w:val="20"/>
                      </w:rPr>
                      <w:t xml:space="preserve"> </w:t>
                    </w:r>
                    <w:r>
                      <w:rPr>
                        <w:spacing w:val="-4"/>
                        <w:sz w:val="20"/>
                      </w:rPr>
                      <w:t>2022</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E27D3" w14:textId="77777777" w:rsidR="004C7180" w:rsidRDefault="00CF0754">
    <w:pPr>
      <w:pStyle w:val="BodyText"/>
      <w:spacing w:line="14" w:lineRule="auto"/>
      <w:rPr>
        <w:sz w:val="20"/>
      </w:rPr>
    </w:pPr>
    <w:r>
      <w:rPr>
        <w:noProof/>
        <w:lang w:val="en-GB" w:eastAsia="en-GB"/>
      </w:rPr>
      <mc:AlternateContent>
        <mc:Choice Requires="wps">
          <w:drawing>
            <wp:anchor distT="0" distB="0" distL="0" distR="0" simplePos="0" relativeHeight="251658290" behindDoc="1" locked="0" layoutInCell="1" allowOverlap="1" wp14:anchorId="3BB5C270" wp14:editId="46F122AC">
              <wp:simplePos x="0" y="0"/>
              <wp:positionH relativeFrom="page">
                <wp:posOffset>676148</wp:posOffset>
              </wp:positionH>
              <wp:positionV relativeFrom="page">
                <wp:posOffset>1646005</wp:posOffset>
              </wp:positionV>
              <wp:extent cx="2804795" cy="242570"/>
              <wp:effectExtent l="0" t="0" r="0" b="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4795" cy="242570"/>
                      </a:xfrm>
                      <a:prstGeom prst="rect">
                        <a:avLst/>
                      </a:prstGeom>
                    </wps:spPr>
                    <wps:txbx>
                      <w:txbxContent>
                        <w:p w14:paraId="201DDE87" w14:textId="77777777" w:rsidR="004C7180" w:rsidRDefault="00CF0754">
                          <w:pPr>
                            <w:spacing w:before="15"/>
                            <w:ind w:left="20"/>
                            <w:rPr>
                              <w:b/>
                              <w:sz w:val="15"/>
                            </w:rPr>
                          </w:pPr>
                          <w:r>
                            <w:rPr>
                              <w:b/>
                              <w:sz w:val="15"/>
                            </w:rPr>
                            <w:t>DPS</w:t>
                          </w:r>
                          <w:r>
                            <w:rPr>
                              <w:b/>
                              <w:spacing w:val="-1"/>
                              <w:sz w:val="15"/>
                            </w:rPr>
                            <w:t xml:space="preserve"> </w:t>
                          </w:r>
                          <w:r>
                            <w:rPr>
                              <w:b/>
                              <w:sz w:val="15"/>
                            </w:rPr>
                            <w:t>Schedule 6</w:t>
                          </w:r>
                          <w:r>
                            <w:rPr>
                              <w:b/>
                              <w:spacing w:val="-2"/>
                              <w:sz w:val="15"/>
                            </w:rPr>
                            <w:t xml:space="preserve"> </w:t>
                          </w:r>
                          <w:r>
                            <w:rPr>
                              <w:b/>
                              <w:sz w:val="15"/>
                            </w:rPr>
                            <w:t>(Order Form</w:t>
                          </w:r>
                          <w:r>
                            <w:rPr>
                              <w:b/>
                              <w:spacing w:val="-2"/>
                              <w:sz w:val="15"/>
                            </w:rPr>
                            <w:t xml:space="preserve"> </w:t>
                          </w:r>
                          <w:r>
                            <w:rPr>
                              <w:b/>
                              <w:sz w:val="15"/>
                            </w:rPr>
                            <w:t>Template and</w:t>
                          </w:r>
                          <w:r>
                            <w:rPr>
                              <w:b/>
                              <w:spacing w:val="-1"/>
                              <w:sz w:val="15"/>
                            </w:rPr>
                            <w:t xml:space="preserve"> </w:t>
                          </w:r>
                          <w:r>
                            <w:rPr>
                              <w:b/>
                              <w:sz w:val="15"/>
                            </w:rPr>
                            <w:t xml:space="preserve">Order </w:t>
                          </w:r>
                          <w:r>
                            <w:rPr>
                              <w:b/>
                              <w:spacing w:val="-2"/>
                              <w:sz w:val="15"/>
                            </w:rPr>
                            <w:t>Schedules)</w:t>
                          </w:r>
                        </w:p>
                        <w:p w14:paraId="34EEA767" w14:textId="77777777" w:rsidR="004C7180" w:rsidRDefault="00CF0754">
                          <w:pPr>
                            <w:spacing w:before="1"/>
                            <w:ind w:left="20"/>
                            <w:rPr>
                              <w:sz w:val="15"/>
                            </w:rPr>
                          </w:pPr>
                          <w:r>
                            <w:rPr>
                              <w:sz w:val="15"/>
                            </w:rPr>
                            <w:t>Crown</w:t>
                          </w:r>
                          <w:r>
                            <w:rPr>
                              <w:spacing w:val="-4"/>
                              <w:sz w:val="15"/>
                            </w:rPr>
                            <w:t xml:space="preserve"> </w:t>
                          </w:r>
                          <w:r>
                            <w:rPr>
                              <w:sz w:val="15"/>
                            </w:rPr>
                            <w:t>Copyright</w:t>
                          </w:r>
                          <w:r>
                            <w:rPr>
                              <w:spacing w:val="-13"/>
                              <w:sz w:val="15"/>
                            </w:rPr>
                            <w:t xml:space="preserve"> </w:t>
                          </w:r>
                          <w:r>
                            <w:rPr>
                              <w:spacing w:val="-4"/>
                              <w:sz w:val="15"/>
                            </w:rPr>
                            <w:t>2022</w:t>
                          </w:r>
                        </w:p>
                      </w:txbxContent>
                    </wps:txbx>
                    <wps:bodyPr wrap="square" lIns="0" tIns="0" rIns="0" bIns="0" rtlCol="0">
                      <a:noAutofit/>
                    </wps:bodyPr>
                  </wps:wsp>
                </a:graphicData>
              </a:graphic>
            </wp:anchor>
          </w:drawing>
        </mc:Choice>
        <mc:Fallback>
          <w:pict>
            <v:shapetype w14:anchorId="3BB5C270" id="_x0000_t202" coordsize="21600,21600" o:spt="202" path="m,l,21600r21600,l21600,xe">
              <v:stroke joinstyle="miter"/>
              <v:path gradientshapeok="t" o:connecttype="rect"/>
            </v:shapetype>
            <v:shape id="Text Box 90" o:spid="_x0000_s1104" type="#_x0000_t202" style="position:absolute;margin-left:53.25pt;margin-top:129.6pt;width:220.85pt;height:19.1pt;z-index:-25165819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" filled="f" stroked="f">
              <v:textbox inset="0,0,0,0">
                <w:txbxContent>
                  <w:p w14:paraId="201DDE87" w14:textId="77777777" w:rsidR="004C7180" w:rsidRDefault="00CF0754">
                    <w:pPr>
                      <w:spacing w:before="15"/>
                      <w:ind w:left="20"/>
                      <w:rPr>
                        <w:b/>
                        <w:sz w:val="15"/>
                      </w:rPr>
                    </w:pPr>
                    <w:r>
                      <w:rPr>
                        <w:b/>
                        <w:sz w:val="15"/>
                      </w:rPr>
                      <w:t>DPS</w:t>
                    </w:r>
                    <w:r>
                      <w:rPr>
                        <w:b/>
                        <w:spacing w:val="-1"/>
                        <w:sz w:val="15"/>
                      </w:rPr>
                      <w:t xml:space="preserve"> </w:t>
                    </w:r>
                    <w:r>
                      <w:rPr>
                        <w:b/>
                        <w:sz w:val="15"/>
                      </w:rPr>
                      <w:t>Schedule 6</w:t>
                    </w:r>
                    <w:r>
                      <w:rPr>
                        <w:b/>
                        <w:spacing w:val="-2"/>
                        <w:sz w:val="15"/>
                      </w:rPr>
                      <w:t xml:space="preserve"> </w:t>
                    </w:r>
                    <w:r>
                      <w:rPr>
                        <w:b/>
                        <w:sz w:val="15"/>
                      </w:rPr>
                      <w:t>(Order Form</w:t>
                    </w:r>
                    <w:r>
                      <w:rPr>
                        <w:b/>
                        <w:spacing w:val="-2"/>
                        <w:sz w:val="15"/>
                      </w:rPr>
                      <w:t xml:space="preserve"> </w:t>
                    </w:r>
                    <w:r>
                      <w:rPr>
                        <w:b/>
                        <w:sz w:val="15"/>
                      </w:rPr>
                      <w:t>Template and</w:t>
                    </w:r>
                    <w:r>
                      <w:rPr>
                        <w:b/>
                        <w:spacing w:val="-1"/>
                        <w:sz w:val="15"/>
                      </w:rPr>
                      <w:t xml:space="preserve"> </w:t>
                    </w:r>
                    <w:r>
                      <w:rPr>
                        <w:b/>
                        <w:sz w:val="15"/>
                      </w:rPr>
                      <w:t xml:space="preserve">Order </w:t>
                    </w:r>
                    <w:r>
                      <w:rPr>
                        <w:b/>
                        <w:spacing w:val="-2"/>
                        <w:sz w:val="15"/>
                      </w:rPr>
                      <w:t>Schedules)</w:t>
                    </w:r>
                  </w:p>
                  <w:p w14:paraId="34EEA767" w14:textId="77777777" w:rsidR="004C7180" w:rsidRDefault="00CF0754">
                    <w:pPr>
                      <w:spacing w:before="1"/>
                      <w:ind w:left="20"/>
                      <w:rPr>
                        <w:sz w:val="15"/>
                      </w:rPr>
                    </w:pPr>
                    <w:r>
                      <w:rPr>
                        <w:sz w:val="15"/>
                      </w:rPr>
                      <w:t>Crown</w:t>
                    </w:r>
                    <w:r>
                      <w:rPr>
                        <w:spacing w:val="-4"/>
                        <w:sz w:val="15"/>
                      </w:rPr>
                      <w:t xml:space="preserve"> </w:t>
                    </w:r>
                    <w:r>
                      <w:rPr>
                        <w:sz w:val="15"/>
                      </w:rPr>
                      <w:t>Copyright</w:t>
                    </w:r>
                    <w:r>
                      <w:rPr>
                        <w:spacing w:val="-13"/>
                        <w:sz w:val="15"/>
                      </w:rPr>
                      <w:t xml:space="preserve"> </w:t>
                    </w:r>
                    <w:r>
                      <w:rPr>
                        <w:spacing w:val="-4"/>
                        <w:sz w:val="15"/>
                      </w:rPr>
                      <w:t>2022</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87696" w14:textId="77777777" w:rsidR="004C7180" w:rsidRDefault="00CF0754">
    <w:pPr>
      <w:pStyle w:val="BodyText"/>
      <w:spacing w:line="14" w:lineRule="auto"/>
      <w:rPr>
        <w:sz w:val="20"/>
      </w:rPr>
    </w:pPr>
    <w:r>
      <w:rPr>
        <w:noProof/>
        <w:lang w:val="en-GB" w:eastAsia="en-GB"/>
      </w:rPr>
      <mc:AlternateContent>
        <mc:Choice Requires="wps">
          <w:drawing>
            <wp:anchor distT="0" distB="0" distL="0" distR="0" simplePos="0" relativeHeight="251638272" behindDoc="1" locked="0" layoutInCell="1" allowOverlap="1" wp14:anchorId="7709F063" wp14:editId="5357EDF7">
              <wp:simplePos x="0" y="0"/>
              <wp:positionH relativeFrom="page">
                <wp:posOffset>901700</wp:posOffset>
              </wp:positionH>
              <wp:positionV relativeFrom="page">
                <wp:posOffset>441241</wp:posOffset>
              </wp:positionV>
              <wp:extent cx="2291715" cy="459740"/>
              <wp:effectExtent l="0" t="0" r="0" b="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1715" cy="459740"/>
                      </a:xfrm>
                      <a:prstGeom prst="rect">
                        <a:avLst/>
                      </a:prstGeom>
                    </wps:spPr>
                    <wps:txbx>
                      <w:txbxContent>
                        <w:p w14:paraId="44459FF0" w14:textId="77777777" w:rsidR="004C7180" w:rsidRDefault="00CF0754">
                          <w:pPr>
                            <w:spacing w:before="12"/>
                            <w:ind w:left="20"/>
                            <w:rPr>
                              <w:b/>
                              <w:sz w:val="20"/>
                            </w:rPr>
                          </w:pPr>
                          <w:r>
                            <w:rPr>
                              <w:b/>
                              <w:sz w:val="20"/>
                            </w:rPr>
                            <w:t>Order</w:t>
                          </w:r>
                          <w:r>
                            <w:rPr>
                              <w:b/>
                              <w:spacing w:val="-6"/>
                              <w:sz w:val="20"/>
                            </w:rPr>
                            <w:t xml:space="preserve"> </w:t>
                          </w:r>
                          <w:r>
                            <w:rPr>
                              <w:b/>
                              <w:sz w:val="20"/>
                            </w:rPr>
                            <w:t>Schedule</w:t>
                          </w:r>
                          <w:r>
                            <w:rPr>
                              <w:b/>
                              <w:spacing w:val="-7"/>
                              <w:sz w:val="20"/>
                            </w:rPr>
                            <w:t xml:space="preserve"> </w:t>
                          </w:r>
                          <w:r>
                            <w:rPr>
                              <w:b/>
                              <w:sz w:val="20"/>
                            </w:rPr>
                            <w:t>7</w:t>
                          </w:r>
                          <w:r>
                            <w:rPr>
                              <w:b/>
                              <w:spacing w:val="-7"/>
                              <w:sz w:val="20"/>
                            </w:rPr>
                            <w:t xml:space="preserve"> </w:t>
                          </w:r>
                          <w:r>
                            <w:rPr>
                              <w:b/>
                              <w:sz w:val="20"/>
                            </w:rPr>
                            <w:t>(Key</w:t>
                          </w:r>
                          <w:r>
                            <w:rPr>
                              <w:b/>
                              <w:spacing w:val="-5"/>
                              <w:sz w:val="20"/>
                            </w:rPr>
                            <w:t xml:space="preserve"> </w:t>
                          </w:r>
                          <w:r>
                            <w:rPr>
                              <w:b/>
                              <w:sz w:val="20"/>
                            </w:rPr>
                            <w:t>Supplier</w:t>
                          </w:r>
                          <w:r>
                            <w:rPr>
                              <w:b/>
                              <w:spacing w:val="-5"/>
                              <w:sz w:val="20"/>
                            </w:rPr>
                            <w:t xml:space="preserve"> </w:t>
                          </w:r>
                          <w:r>
                            <w:rPr>
                              <w:b/>
                              <w:spacing w:val="-2"/>
                              <w:sz w:val="20"/>
                            </w:rPr>
                            <w:t>Staff)</w:t>
                          </w:r>
                        </w:p>
                        <w:p w14:paraId="3E15991F" w14:textId="77777777" w:rsidR="004C7180" w:rsidRDefault="00CF0754">
                          <w:pPr>
                            <w:spacing w:before="1"/>
                            <w:ind w:left="20"/>
                            <w:rPr>
                              <w:sz w:val="20"/>
                            </w:rPr>
                          </w:pPr>
                          <w:r>
                            <w:rPr>
                              <w:sz w:val="20"/>
                            </w:rPr>
                            <w:t>Order</w:t>
                          </w:r>
                          <w:r>
                            <w:rPr>
                              <w:spacing w:val="-7"/>
                              <w:sz w:val="20"/>
                            </w:rPr>
                            <w:t xml:space="preserve"> </w:t>
                          </w:r>
                          <w:r>
                            <w:rPr>
                              <w:spacing w:val="-4"/>
                              <w:sz w:val="20"/>
                            </w:rPr>
                            <w:t>Ref:</w:t>
                          </w:r>
                        </w:p>
                        <w:p w14:paraId="5DA0196B" w14:textId="77777777" w:rsidR="004C7180" w:rsidRDefault="00CF0754">
                          <w:pPr>
                            <w:ind w:left="20"/>
                            <w:rPr>
                              <w:sz w:val="20"/>
                            </w:rPr>
                          </w:pPr>
                          <w:r>
                            <w:rPr>
                              <w:sz w:val="20"/>
                            </w:rPr>
                            <w:t>Crown</w:t>
                          </w:r>
                          <w:r>
                            <w:rPr>
                              <w:spacing w:val="-9"/>
                              <w:sz w:val="20"/>
                            </w:rPr>
                            <w:t xml:space="preserve"> </w:t>
                          </w:r>
                          <w:r>
                            <w:rPr>
                              <w:sz w:val="20"/>
                            </w:rPr>
                            <w:t>Copyright</w:t>
                          </w:r>
                          <w:r>
                            <w:rPr>
                              <w:spacing w:val="-9"/>
                              <w:sz w:val="20"/>
                            </w:rPr>
                            <w:t xml:space="preserve"> </w:t>
                          </w:r>
                          <w:r>
                            <w:rPr>
                              <w:spacing w:val="-4"/>
                              <w:sz w:val="20"/>
                            </w:rPr>
                            <w:t>2022</w:t>
                          </w:r>
                        </w:p>
                      </w:txbxContent>
                    </wps:txbx>
                    <wps:bodyPr wrap="square" lIns="0" tIns="0" rIns="0" bIns="0" rtlCol="0">
                      <a:noAutofit/>
                    </wps:bodyPr>
                  </wps:wsp>
                </a:graphicData>
              </a:graphic>
            </wp:anchor>
          </w:drawing>
        </mc:Choice>
        <mc:Fallback>
          <w:pict>
            <v:shapetype w14:anchorId="7709F063" id="_x0000_t202" coordsize="21600,21600" o:spt="202" path="m,l,21600r21600,l21600,xe">
              <v:stroke joinstyle="miter"/>
              <v:path gradientshapeok="t" o:connecttype="rect"/>
            </v:shapetype>
            <v:shape id="Text Box 111" o:spid="_x0000_s1107" type="#_x0000_t202" style="position:absolute;margin-left:71pt;margin-top:34.75pt;width:180.45pt;height:36.2pt;z-index:-25167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" filled="f" stroked="f">
              <v:textbox inset="0,0,0,0">
                <w:txbxContent>
                  <w:p w14:paraId="44459FF0" w14:textId="77777777" w:rsidR="004C7180" w:rsidRDefault="00CF0754">
                    <w:pPr>
                      <w:spacing w:before="12"/>
                      <w:ind w:left="20"/>
                      <w:rPr>
                        <w:b/>
                        <w:sz w:val="20"/>
                      </w:rPr>
                    </w:pPr>
                    <w:r>
                      <w:rPr>
                        <w:b/>
                        <w:sz w:val="20"/>
                      </w:rPr>
                      <w:t>Order</w:t>
                    </w:r>
                    <w:r>
                      <w:rPr>
                        <w:b/>
                        <w:spacing w:val="-6"/>
                        <w:sz w:val="20"/>
                      </w:rPr>
                      <w:t xml:space="preserve"> </w:t>
                    </w:r>
                    <w:r>
                      <w:rPr>
                        <w:b/>
                        <w:sz w:val="20"/>
                      </w:rPr>
                      <w:t>Schedule</w:t>
                    </w:r>
                    <w:r>
                      <w:rPr>
                        <w:b/>
                        <w:spacing w:val="-7"/>
                        <w:sz w:val="20"/>
                      </w:rPr>
                      <w:t xml:space="preserve"> </w:t>
                    </w:r>
                    <w:r>
                      <w:rPr>
                        <w:b/>
                        <w:sz w:val="20"/>
                      </w:rPr>
                      <w:t>7</w:t>
                    </w:r>
                    <w:r>
                      <w:rPr>
                        <w:b/>
                        <w:spacing w:val="-7"/>
                        <w:sz w:val="20"/>
                      </w:rPr>
                      <w:t xml:space="preserve"> </w:t>
                    </w:r>
                    <w:r>
                      <w:rPr>
                        <w:b/>
                        <w:sz w:val="20"/>
                      </w:rPr>
                      <w:t>(Key</w:t>
                    </w:r>
                    <w:r>
                      <w:rPr>
                        <w:b/>
                        <w:spacing w:val="-5"/>
                        <w:sz w:val="20"/>
                      </w:rPr>
                      <w:t xml:space="preserve"> </w:t>
                    </w:r>
                    <w:r>
                      <w:rPr>
                        <w:b/>
                        <w:sz w:val="20"/>
                      </w:rPr>
                      <w:t>Supplier</w:t>
                    </w:r>
                    <w:r>
                      <w:rPr>
                        <w:b/>
                        <w:spacing w:val="-5"/>
                        <w:sz w:val="20"/>
                      </w:rPr>
                      <w:t xml:space="preserve"> </w:t>
                    </w:r>
                    <w:r>
                      <w:rPr>
                        <w:b/>
                        <w:spacing w:val="-2"/>
                        <w:sz w:val="20"/>
                      </w:rPr>
                      <w:t>Staff)</w:t>
                    </w:r>
                  </w:p>
                  <w:p w14:paraId="3E15991F" w14:textId="77777777" w:rsidR="004C7180" w:rsidRDefault="00CF0754">
                    <w:pPr>
                      <w:spacing w:before="1"/>
                      <w:ind w:left="20"/>
                      <w:rPr>
                        <w:sz w:val="20"/>
                      </w:rPr>
                    </w:pPr>
                    <w:r>
                      <w:rPr>
                        <w:sz w:val="20"/>
                      </w:rPr>
                      <w:t>Order</w:t>
                    </w:r>
                    <w:r>
                      <w:rPr>
                        <w:spacing w:val="-7"/>
                        <w:sz w:val="20"/>
                      </w:rPr>
                      <w:t xml:space="preserve"> </w:t>
                    </w:r>
                    <w:r>
                      <w:rPr>
                        <w:spacing w:val="-4"/>
                        <w:sz w:val="20"/>
                      </w:rPr>
                      <w:t>Ref:</w:t>
                    </w:r>
                  </w:p>
                  <w:p w14:paraId="5DA0196B" w14:textId="77777777" w:rsidR="004C7180" w:rsidRDefault="00CF0754">
                    <w:pPr>
                      <w:ind w:left="20"/>
                      <w:rPr>
                        <w:sz w:val="20"/>
                      </w:rPr>
                    </w:pPr>
                    <w:r>
                      <w:rPr>
                        <w:sz w:val="20"/>
                      </w:rPr>
                      <w:t>Crown</w:t>
                    </w:r>
                    <w:r>
                      <w:rPr>
                        <w:spacing w:val="-9"/>
                        <w:sz w:val="20"/>
                      </w:rPr>
                      <w:t xml:space="preserve"> </w:t>
                    </w:r>
                    <w:r>
                      <w:rPr>
                        <w:sz w:val="20"/>
                      </w:rPr>
                      <w:t>Copyright</w:t>
                    </w:r>
                    <w:r>
                      <w:rPr>
                        <w:spacing w:val="-9"/>
                        <w:sz w:val="20"/>
                      </w:rPr>
                      <w:t xml:space="preserve"> </w:t>
                    </w:r>
                    <w:r>
                      <w:rPr>
                        <w:spacing w:val="-4"/>
                        <w:sz w:val="20"/>
                      </w:rPr>
                      <w:t>2022</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B5C40" w14:textId="77777777" w:rsidR="004C7180" w:rsidRDefault="00CF0754">
    <w:pPr>
      <w:pStyle w:val="BodyText"/>
      <w:spacing w:line="14" w:lineRule="auto"/>
      <w:rPr>
        <w:sz w:val="20"/>
      </w:rPr>
    </w:pPr>
    <w:r>
      <w:rPr>
        <w:noProof/>
        <w:lang w:val="en-GB" w:eastAsia="en-GB"/>
      </w:rPr>
      <mc:AlternateContent>
        <mc:Choice Requires="wps">
          <w:drawing>
            <wp:anchor distT="0" distB="0" distL="0" distR="0" simplePos="0" relativeHeight="251658242" behindDoc="1" locked="0" layoutInCell="1" allowOverlap="1" wp14:anchorId="03D1935A" wp14:editId="1A0E9C6B">
              <wp:simplePos x="0" y="0"/>
              <wp:positionH relativeFrom="page">
                <wp:posOffset>902004</wp:posOffset>
              </wp:positionH>
              <wp:positionV relativeFrom="page">
                <wp:posOffset>441241</wp:posOffset>
              </wp:positionV>
              <wp:extent cx="1809750" cy="31305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0" cy="313055"/>
                      </a:xfrm>
                      <a:prstGeom prst="rect">
                        <a:avLst/>
                      </a:prstGeom>
                    </wps:spPr>
                    <wps:txbx>
                      <w:txbxContent>
                        <w:p w14:paraId="521BA0AC" w14:textId="77777777" w:rsidR="004C7180" w:rsidRDefault="00CF0754">
                          <w:pPr>
                            <w:spacing w:before="12"/>
                            <w:ind w:left="20"/>
                            <w:rPr>
                              <w:b/>
                              <w:sz w:val="20"/>
                            </w:rPr>
                          </w:pPr>
                          <w:r>
                            <w:rPr>
                              <w:b/>
                              <w:sz w:val="20"/>
                            </w:rPr>
                            <w:t>Joint</w:t>
                          </w:r>
                          <w:r>
                            <w:rPr>
                              <w:b/>
                              <w:spacing w:val="-5"/>
                              <w:sz w:val="20"/>
                            </w:rPr>
                            <w:t xml:space="preserve"> </w:t>
                          </w:r>
                          <w:r>
                            <w:rPr>
                              <w:b/>
                              <w:sz w:val="20"/>
                            </w:rPr>
                            <w:t>Schedule</w:t>
                          </w:r>
                          <w:r>
                            <w:rPr>
                              <w:b/>
                              <w:spacing w:val="-6"/>
                              <w:sz w:val="20"/>
                            </w:rPr>
                            <w:t xml:space="preserve"> </w:t>
                          </w:r>
                          <w:r>
                            <w:rPr>
                              <w:b/>
                              <w:sz w:val="20"/>
                            </w:rPr>
                            <w:t>1</w:t>
                          </w:r>
                          <w:r>
                            <w:rPr>
                              <w:b/>
                              <w:spacing w:val="-5"/>
                              <w:sz w:val="20"/>
                            </w:rPr>
                            <w:t xml:space="preserve"> </w:t>
                          </w:r>
                          <w:r>
                            <w:rPr>
                              <w:b/>
                              <w:spacing w:val="-2"/>
                              <w:sz w:val="20"/>
                            </w:rPr>
                            <w:t>(Definitions)</w:t>
                          </w:r>
                        </w:p>
                        <w:p w14:paraId="08EFCC17" w14:textId="77777777" w:rsidR="004C7180" w:rsidRDefault="00CF0754">
                          <w:pPr>
                            <w:spacing w:before="1"/>
                            <w:ind w:left="20"/>
                            <w:rPr>
                              <w:sz w:val="20"/>
                            </w:rPr>
                          </w:pPr>
                          <w:r>
                            <w:rPr>
                              <w:sz w:val="20"/>
                            </w:rPr>
                            <w:t>Crown</w:t>
                          </w:r>
                          <w:r>
                            <w:rPr>
                              <w:spacing w:val="-11"/>
                              <w:sz w:val="20"/>
                            </w:rPr>
                            <w:t xml:space="preserve"> </w:t>
                          </w:r>
                          <w:r>
                            <w:rPr>
                              <w:sz w:val="20"/>
                            </w:rPr>
                            <w:t>Copyright</w:t>
                          </w:r>
                          <w:r>
                            <w:rPr>
                              <w:spacing w:val="-10"/>
                              <w:sz w:val="20"/>
                            </w:rPr>
                            <w:t xml:space="preserve"> </w:t>
                          </w:r>
                          <w:r>
                            <w:rPr>
                              <w:spacing w:val="-4"/>
                              <w:sz w:val="20"/>
                            </w:rPr>
                            <w:t>2022</w:t>
                          </w:r>
                        </w:p>
                      </w:txbxContent>
                    </wps:txbx>
                    <wps:bodyPr wrap="square" lIns="0" tIns="0" rIns="0" bIns="0" rtlCol="0">
                      <a:noAutofit/>
                    </wps:bodyPr>
                  </wps:wsp>
                </a:graphicData>
              </a:graphic>
            </wp:anchor>
          </w:drawing>
        </mc:Choice>
        <mc:Fallback>
          <w:pict>
            <v:shapetype w14:anchorId="03D1935A" id="_x0000_t202" coordsize="21600,21600" o:spt="202" path="m,l,21600r21600,l21600,xe">
              <v:stroke joinstyle="miter"/>
              <v:path gradientshapeok="t" o:connecttype="rect"/>
            </v:shapetype>
            <v:shape id="Text Box 4" o:spid="_x0000_s1056" type="#_x0000_t202" style="position:absolute;margin-left:71pt;margin-top:34.75pt;width:142.5pt;height:24.65pt;z-index:-2516582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" filled="f" stroked="f">
              <v:textbox inset="0,0,0,0">
                <w:txbxContent>
                  <w:p w14:paraId="521BA0AC" w14:textId="77777777" w:rsidR="004C7180" w:rsidRDefault="00CF0754">
                    <w:pPr>
                      <w:spacing w:before="12"/>
                      <w:ind w:left="20"/>
                      <w:rPr>
                        <w:b/>
                        <w:sz w:val="20"/>
                      </w:rPr>
                    </w:pPr>
                    <w:r>
                      <w:rPr>
                        <w:b/>
                        <w:sz w:val="20"/>
                      </w:rPr>
                      <w:t>Joint</w:t>
                    </w:r>
                    <w:r>
                      <w:rPr>
                        <w:b/>
                        <w:spacing w:val="-5"/>
                        <w:sz w:val="20"/>
                      </w:rPr>
                      <w:t xml:space="preserve"> </w:t>
                    </w:r>
                    <w:r>
                      <w:rPr>
                        <w:b/>
                        <w:sz w:val="20"/>
                      </w:rPr>
                      <w:t>Schedule</w:t>
                    </w:r>
                    <w:r>
                      <w:rPr>
                        <w:b/>
                        <w:spacing w:val="-6"/>
                        <w:sz w:val="20"/>
                      </w:rPr>
                      <w:t xml:space="preserve"> </w:t>
                    </w:r>
                    <w:r>
                      <w:rPr>
                        <w:b/>
                        <w:sz w:val="20"/>
                      </w:rPr>
                      <w:t>1</w:t>
                    </w:r>
                    <w:r>
                      <w:rPr>
                        <w:b/>
                        <w:spacing w:val="-5"/>
                        <w:sz w:val="20"/>
                      </w:rPr>
                      <w:t xml:space="preserve"> </w:t>
                    </w:r>
                    <w:r>
                      <w:rPr>
                        <w:b/>
                        <w:spacing w:val="-2"/>
                        <w:sz w:val="20"/>
                      </w:rPr>
                      <w:t>(Definitions)</w:t>
                    </w:r>
                  </w:p>
                  <w:p w14:paraId="08EFCC17" w14:textId="77777777" w:rsidR="004C7180" w:rsidRDefault="00CF0754">
                    <w:pPr>
                      <w:spacing w:before="1"/>
                      <w:ind w:left="20"/>
                      <w:rPr>
                        <w:sz w:val="20"/>
                      </w:rPr>
                    </w:pPr>
                    <w:r>
                      <w:rPr>
                        <w:sz w:val="20"/>
                      </w:rPr>
                      <w:t>Crown</w:t>
                    </w:r>
                    <w:r>
                      <w:rPr>
                        <w:spacing w:val="-11"/>
                        <w:sz w:val="20"/>
                      </w:rPr>
                      <w:t xml:space="preserve"> </w:t>
                    </w:r>
                    <w:r>
                      <w:rPr>
                        <w:sz w:val="20"/>
                      </w:rPr>
                      <w:t>Copyright</w:t>
                    </w:r>
                    <w:r>
                      <w:rPr>
                        <w:spacing w:val="-10"/>
                        <w:sz w:val="20"/>
                      </w:rPr>
                      <w:t xml:space="preserve"> </w:t>
                    </w:r>
                    <w:r>
                      <w:rPr>
                        <w:spacing w:val="-4"/>
                        <w:sz w:val="20"/>
                      </w:rPr>
                      <w:t>2022</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377D6" w14:textId="77777777" w:rsidR="004C7180" w:rsidRDefault="00CF0754">
    <w:pPr>
      <w:pStyle w:val="BodyText"/>
      <w:spacing w:line="14" w:lineRule="auto"/>
      <w:rPr>
        <w:sz w:val="20"/>
      </w:rPr>
    </w:pPr>
    <w:r>
      <w:rPr>
        <w:noProof/>
        <w:lang w:val="en-GB" w:eastAsia="en-GB"/>
      </w:rPr>
      <mc:AlternateContent>
        <mc:Choice Requires="wps">
          <w:drawing>
            <wp:anchor distT="0" distB="0" distL="0" distR="0" simplePos="0" relativeHeight="251641344" behindDoc="1" locked="0" layoutInCell="1" allowOverlap="1" wp14:anchorId="4A21A7D0" wp14:editId="082FC0F7">
              <wp:simplePos x="0" y="0"/>
              <wp:positionH relativeFrom="page">
                <wp:posOffset>901700</wp:posOffset>
              </wp:positionH>
              <wp:positionV relativeFrom="page">
                <wp:posOffset>441241</wp:posOffset>
              </wp:positionV>
              <wp:extent cx="3829050" cy="459740"/>
              <wp:effectExtent l="0" t="0" r="0" b="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29050" cy="459740"/>
                      </a:xfrm>
                      <a:prstGeom prst="rect">
                        <a:avLst/>
                      </a:prstGeom>
                    </wps:spPr>
                    <wps:txbx>
                      <w:txbxContent>
                        <w:p w14:paraId="532BA302" w14:textId="77777777" w:rsidR="004C7180" w:rsidRDefault="00CF0754">
                          <w:pPr>
                            <w:spacing w:before="12"/>
                            <w:ind w:left="20"/>
                            <w:rPr>
                              <w:b/>
                              <w:sz w:val="20"/>
                            </w:rPr>
                          </w:pPr>
                          <w:r>
                            <w:rPr>
                              <w:b/>
                              <w:sz w:val="20"/>
                            </w:rPr>
                            <w:t>Order</w:t>
                          </w:r>
                          <w:r>
                            <w:rPr>
                              <w:b/>
                              <w:spacing w:val="-6"/>
                              <w:sz w:val="20"/>
                            </w:rPr>
                            <w:t xml:space="preserve"> </w:t>
                          </w:r>
                          <w:r>
                            <w:rPr>
                              <w:b/>
                              <w:sz w:val="20"/>
                            </w:rPr>
                            <w:t>Schedule</w:t>
                          </w:r>
                          <w:r>
                            <w:rPr>
                              <w:b/>
                              <w:spacing w:val="-8"/>
                              <w:sz w:val="20"/>
                            </w:rPr>
                            <w:t xml:space="preserve"> </w:t>
                          </w:r>
                          <w:r>
                            <w:rPr>
                              <w:b/>
                              <w:sz w:val="20"/>
                            </w:rPr>
                            <w:t>8</w:t>
                          </w:r>
                          <w:r>
                            <w:rPr>
                              <w:b/>
                              <w:spacing w:val="-7"/>
                              <w:sz w:val="20"/>
                            </w:rPr>
                            <w:t xml:space="preserve"> </w:t>
                          </w:r>
                          <w:r>
                            <w:rPr>
                              <w:b/>
                              <w:sz w:val="20"/>
                            </w:rPr>
                            <w:t>(Business</w:t>
                          </w:r>
                          <w:r>
                            <w:rPr>
                              <w:b/>
                              <w:spacing w:val="-8"/>
                              <w:sz w:val="20"/>
                            </w:rPr>
                            <w:t xml:space="preserve"> </w:t>
                          </w:r>
                          <w:r>
                            <w:rPr>
                              <w:b/>
                              <w:sz w:val="20"/>
                            </w:rPr>
                            <w:t>Continuity</w:t>
                          </w:r>
                          <w:r>
                            <w:rPr>
                              <w:b/>
                              <w:spacing w:val="-8"/>
                              <w:sz w:val="20"/>
                            </w:rPr>
                            <w:t xml:space="preserve"> </w:t>
                          </w:r>
                          <w:r>
                            <w:rPr>
                              <w:b/>
                              <w:sz w:val="20"/>
                            </w:rPr>
                            <w:t>and</w:t>
                          </w:r>
                          <w:r>
                            <w:rPr>
                              <w:b/>
                              <w:spacing w:val="-6"/>
                              <w:sz w:val="20"/>
                            </w:rPr>
                            <w:t xml:space="preserve"> </w:t>
                          </w:r>
                          <w:r>
                            <w:rPr>
                              <w:b/>
                              <w:sz w:val="20"/>
                            </w:rPr>
                            <w:t>Disaster</w:t>
                          </w:r>
                          <w:r>
                            <w:rPr>
                              <w:b/>
                              <w:spacing w:val="-9"/>
                              <w:sz w:val="20"/>
                            </w:rPr>
                            <w:t xml:space="preserve"> </w:t>
                          </w:r>
                          <w:r>
                            <w:rPr>
                              <w:b/>
                              <w:spacing w:val="-2"/>
                              <w:sz w:val="20"/>
                            </w:rPr>
                            <w:t>Recovery)</w:t>
                          </w:r>
                        </w:p>
                        <w:p w14:paraId="4C197491" w14:textId="77777777" w:rsidR="004C7180" w:rsidRDefault="00CF0754">
                          <w:pPr>
                            <w:spacing w:before="1"/>
                            <w:ind w:left="20"/>
                            <w:rPr>
                              <w:sz w:val="20"/>
                            </w:rPr>
                          </w:pPr>
                          <w:r>
                            <w:rPr>
                              <w:sz w:val="20"/>
                            </w:rPr>
                            <w:t>Order</w:t>
                          </w:r>
                          <w:r>
                            <w:rPr>
                              <w:spacing w:val="-7"/>
                              <w:sz w:val="20"/>
                            </w:rPr>
                            <w:t xml:space="preserve"> </w:t>
                          </w:r>
                          <w:r>
                            <w:rPr>
                              <w:spacing w:val="-4"/>
                              <w:sz w:val="20"/>
                            </w:rPr>
                            <w:t>Ref:</w:t>
                          </w:r>
                        </w:p>
                        <w:p w14:paraId="0799CDA6" w14:textId="77777777" w:rsidR="004C7180" w:rsidRDefault="00CF0754">
                          <w:pPr>
                            <w:ind w:left="20"/>
                            <w:rPr>
                              <w:sz w:val="20"/>
                            </w:rPr>
                          </w:pPr>
                          <w:r>
                            <w:rPr>
                              <w:sz w:val="20"/>
                            </w:rPr>
                            <w:t>Crown</w:t>
                          </w:r>
                          <w:r>
                            <w:rPr>
                              <w:spacing w:val="-9"/>
                              <w:sz w:val="20"/>
                            </w:rPr>
                            <w:t xml:space="preserve"> </w:t>
                          </w:r>
                          <w:r>
                            <w:rPr>
                              <w:sz w:val="20"/>
                            </w:rPr>
                            <w:t>Copyright</w:t>
                          </w:r>
                          <w:r>
                            <w:rPr>
                              <w:spacing w:val="-9"/>
                              <w:sz w:val="20"/>
                            </w:rPr>
                            <w:t xml:space="preserve"> </w:t>
                          </w:r>
                          <w:r>
                            <w:rPr>
                              <w:spacing w:val="-4"/>
                              <w:sz w:val="20"/>
                            </w:rPr>
                            <w:t>2022</w:t>
                          </w:r>
                        </w:p>
                      </w:txbxContent>
                    </wps:txbx>
                    <wps:bodyPr wrap="square" lIns="0" tIns="0" rIns="0" bIns="0" rtlCol="0">
                      <a:noAutofit/>
                    </wps:bodyPr>
                  </wps:wsp>
                </a:graphicData>
              </a:graphic>
            </wp:anchor>
          </w:drawing>
        </mc:Choice>
        <mc:Fallback>
          <w:pict>
            <v:shapetype w14:anchorId="4A21A7D0" id="_x0000_t202" coordsize="21600,21600" o:spt="202" path="m,l,21600r21600,l21600,xe">
              <v:stroke joinstyle="miter"/>
              <v:path gradientshapeok="t" o:connecttype="rect"/>
            </v:shapetype>
            <v:shape id="Text Box 114" o:spid="_x0000_s1110" type="#_x0000_t202" style="position:absolute;margin-left:71pt;margin-top:34.75pt;width:301.5pt;height:36.2pt;z-index:-251675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" filled="f" stroked="f">
              <v:textbox inset="0,0,0,0">
                <w:txbxContent>
                  <w:p w14:paraId="532BA302" w14:textId="77777777" w:rsidR="004C7180" w:rsidRDefault="00CF0754">
                    <w:pPr>
                      <w:spacing w:before="12"/>
                      <w:ind w:left="20"/>
                      <w:rPr>
                        <w:b/>
                        <w:sz w:val="20"/>
                      </w:rPr>
                    </w:pPr>
                    <w:r>
                      <w:rPr>
                        <w:b/>
                        <w:sz w:val="20"/>
                      </w:rPr>
                      <w:t>Order</w:t>
                    </w:r>
                    <w:r>
                      <w:rPr>
                        <w:b/>
                        <w:spacing w:val="-6"/>
                        <w:sz w:val="20"/>
                      </w:rPr>
                      <w:t xml:space="preserve"> </w:t>
                    </w:r>
                    <w:r>
                      <w:rPr>
                        <w:b/>
                        <w:sz w:val="20"/>
                      </w:rPr>
                      <w:t>Schedule</w:t>
                    </w:r>
                    <w:r>
                      <w:rPr>
                        <w:b/>
                        <w:spacing w:val="-8"/>
                        <w:sz w:val="20"/>
                      </w:rPr>
                      <w:t xml:space="preserve"> </w:t>
                    </w:r>
                    <w:r>
                      <w:rPr>
                        <w:b/>
                        <w:sz w:val="20"/>
                      </w:rPr>
                      <w:t>8</w:t>
                    </w:r>
                    <w:r>
                      <w:rPr>
                        <w:b/>
                        <w:spacing w:val="-7"/>
                        <w:sz w:val="20"/>
                      </w:rPr>
                      <w:t xml:space="preserve"> </w:t>
                    </w:r>
                    <w:r>
                      <w:rPr>
                        <w:b/>
                        <w:sz w:val="20"/>
                      </w:rPr>
                      <w:t>(Business</w:t>
                    </w:r>
                    <w:r>
                      <w:rPr>
                        <w:b/>
                        <w:spacing w:val="-8"/>
                        <w:sz w:val="20"/>
                      </w:rPr>
                      <w:t xml:space="preserve"> </w:t>
                    </w:r>
                    <w:r>
                      <w:rPr>
                        <w:b/>
                        <w:sz w:val="20"/>
                      </w:rPr>
                      <w:t>Continuity</w:t>
                    </w:r>
                    <w:r>
                      <w:rPr>
                        <w:b/>
                        <w:spacing w:val="-8"/>
                        <w:sz w:val="20"/>
                      </w:rPr>
                      <w:t xml:space="preserve"> </w:t>
                    </w:r>
                    <w:r>
                      <w:rPr>
                        <w:b/>
                        <w:sz w:val="20"/>
                      </w:rPr>
                      <w:t>and</w:t>
                    </w:r>
                    <w:r>
                      <w:rPr>
                        <w:b/>
                        <w:spacing w:val="-6"/>
                        <w:sz w:val="20"/>
                      </w:rPr>
                      <w:t xml:space="preserve"> </w:t>
                    </w:r>
                    <w:r>
                      <w:rPr>
                        <w:b/>
                        <w:sz w:val="20"/>
                      </w:rPr>
                      <w:t>Disaster</w:t>
                    </w:r>
                    <w:r>
                      <w:rPr>
                        <w:b/>
                        <w:spacing w:val="-9"/>
                        <w:sz w:val="20"/>
                      </w:rPr>
                      <w:t xml:space="preserve"> </w:t>
                    </w:r>
                    <w:r>
                      <w:rPr>
                        <w:b/>
                        <w:spacing w:val="-2"/>
                        <w:sz w:val="20"/>
                      </w:rPr>
                      <w:t>Recovery)</w:t>
                    </w:r>
                  </w:p>
                  <w:p w14:paraId="4C197491" w14:textId="77777777" w:rsidR="004C7180" w:rsidRDefault="00CF0754">
                    <w:pPr>
                      <w:spacing w:before="1"/>
                      <w:ind w:left="20"/>
                      <w:rPr>
                        <w:sz w:val="20"/>
                      </w:rPr>
                    </w:pPr>
                    <w:r>
                      <w:rPr>
                        <w:sz w:val="20"/>
                      </w:rPr>
                      <w:t>Order</w:t>
                    </w:r>
                    <w:r>
                      <w:rPr>
                        <w:spacing w:val="-7"/>
                        <w:sz w:val="20"/>
                      </w:rPr>
                      <w:t xml:space="preserve"> </w:t>
                    </w:r>
                    <w:r>
                      <w:rPr>
                        <w:spacing w:val="-4"/>
                        <w:sz w:val="20"/>
                      </w:rPr>
                      <w:t>Ref:</w:t>
                    </w:r>
                  </w:p>
                  <w:p w14:paraId="0799CDA6" w14:textId="77777777" w:rsidR="004C7180" w:rsidRDefault="00CF0754">
                    <w:pPr>
                      <w:ind w:left="20"/>
                      <w:rPr>
                        <w:sz w:val="20"/>
                      </w:rPr>
                    </w:pPr>
                    <w:r>
                      <w:rPr>
                        <w:sz w:val="20"/>
                      </w:rPr>
                      <w:t>Crown</w:t>
                    </w:r>
                    <w:r>
                      <w:rPr>
                        <w:spacing w:val="-9"/>
                        <w:sz w:val="20"/>
                      </w:rPr>
                      <w:t xml:space="preserve"> </w:t>
                    </w:r>
                    <w:r>
                      <w:rPr>
                        <w:sz w:val="20"/>
                      </w:rPr>
                      <w:t>Copyright</w:t>
                    </w:r>
                    <w:r>
                      <w:rPr>
                        <w:spacing w:val="-9"/>
                        <w:sz w:val="20"/>
                      </w:rPr>
                      <w:t xml:space="preserve"> </w:t>
                    </w:r>
                    <w:r>
                      <w:rPr>
                        <w:spacing w:val="-4"/>
                        <w:sz w:val="20"/>
                      </w:rPr>
                      <w:t>2022</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39506" w14:textId="77777777" w:rsidR="004C7180" w:rsidRDefault="00CF0754">
    <w:pPr>
      <w:pStyle w:val="BodyText"/>
      <w:spacing w:line="14" w:lineRule="auto"/>
      <w:rPr>
        <w:sz w:val="20"/>
      </w:rPr>
    </w:pPr>
    <w:r>
      <w:rPr>
        <w:noProof/>
        <w:lang w:val="en-GB" w:eastAsia="en-GB"/>
      </w:rPr>
      <mc:AlternateContent>
        <mc:Choice Requires="wps">
          <w:drawing>
            <wp:anchor distT="0" distB="0" distL="0" distR="0" simplePos="0" relativeHeight="251644416" behindDoc="1" locked="0" layoutInCell="1" allowOverlap="1" wp14:anchorId="0457AAB0" wp14:editId="323BD471">
              <wp:simplePos x="0" y="0"/>
              <wp:positionH relativeFrom="page">
                <wp:posOffset>1066291</wp:posOffset>
              </wp:positionH>
              <wp:positionV relativeFrom="page">
                <wp:posOffset>441241</wp:posOffset>
              </wp:positionV>
              <wp:extent cx="1697989" cy="459740"/>
              <wp:effectExtent l="0" t="0" r="0" b="0"/>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7989" cy="459740"/>
                      </a:xfrm>
                      <a:prstGeom prst="rect">
                        <a:avLst/>
                      </a:prstGeom>
                    </wps:spPr>
                    <wps:txbx>
                      <w:txbxContent>
                        <w:p w14:paraId="3D328522" w14:textId="77777777" w:rsidR="004C7180" w:rsidRDefault="00CF0754">
                          <w:pPr>
                            <w:spacing w:before="12"/>
                            <w:ind w:left="20"/>
                            <w:rPr>
                              <w:b/>
                              <w:sz w:val="20"/>
                            </w:rPr>
                          </w:pPr>
                          <w:r>
                            <w:rPr>
                              <w:b/>
                              <w:sz w:val="20"/>
                            </w:rPr>
                            <w:t>Order</w:t>
                          </w:r>
                          <w:r>
                            <w:rPr>
                              <w:b/>
                              <w:spacing w:val="-5"/>
                              <w:sz w:val="20"/>
                            </w:rPr>
                            <w:t xml:space="preserve"> </w:t>
                          </w:r>
                          <w:r>
                            <w:rPr>
                              <w:b/>
                              <w:sz w:val="20"/>
                            </w:rPr>
                            <w:t>Schedule</w:t>
                          </w:r>
                          <w:r>
                            <w:rPr>
                              <w:b/>
                              <w:spacing w:val="-7"/>
                              <w:sz w:val="20"/>
                            </w:rPr>
                            <w:t xml:space="preserve"> </w:t>
                          </w:r>
                          <w:r>
                            <w:rPr>
                              <w:b/>
                              <w:sz w:val="20"/>
                            </w:rPr>
                            <w:t>9</w:t>
                          </w:r>
                          <w:r>
                            <w:rPr>
                              <w:b/>
                              <w:spacing w:val="-7"/>
                              <w:sz w:val="20"/>
                            </w:rPr>
                            <w:t xml:space="preserve"> </w:t>
                          </w:r>
                          <w:r>
                            <w:rPr>
                              <w:b/>
                              <w:spacing w:val="-2"/>
                              <w:sz w:val="20"/>
                            </w:rPr>
                            <w:t>(Security)</w:t>
                          </w:r>
                        </w:p>
                        <w:p w14:paraId="562A407E" w14:textId="77777777" w:rsidR="004C7180" w:rsidRDefault="00CF0754">
                          <w:pPr>
                            <w:spacing w:before="1"/>
                            <w:ind w:left="20"/>
                            <w:rPr>
                              <w:sz w:val="20"/>
                            </w:rPr>
                          </w:pPr>
                          <w:r>
                            <w:rPr>
                              <w:sz w:val="20"/>
                            </w:rPr>
                            <w:t>Order</w:t>
                          </w:r>
                          <w:r>
                            <w:rPr>
                              <w:spacing w:val="-7"/>
                              <w:sz w:val="20"/>
                            </w:rPr>
                            <w:t xml:space="preserve"> </w:t>
                          </w:r>
                          <w:r>
                            <w:rPr>
                              <w:spacing w:val="-4"/>
                              <w:sz w:val="20"/>
                            </w:rPr>
                            <w:t>Ref:</w:t>
                          </w:r>
                        </w:p>
                        <w:p w14:paraId="2DF90521" w14:textId="77777777" w:rsidR="004C7180" w:rsidRDefault="00CF0754">
                          <w:pPr>
                            <w:ind w:left="20"/>
                            <w:rPr>
                              <w:sz w:val="20"/>
                            </w:rPr>
                          </w:pPr>
                          <w:r>
                            <w:rPr>
                              <w:sz w:val="20"/>
                            </w:rPr>
                            <w:t>Crown</w:t>
                          </w:r>
                          <w:r>
                            <w:rPr>
                              <w:spacing w:val="-9"/>
                              <w:sz w:val="20"/>
                            </w:rPr>
                            <w:t xml:space="preserve"> </w:t>
                          </w:r>
                          <w:r>
                            <w:rPr>
                              <w:sz w:val="20"/>
                            </w:rPr>
                            <w:t>Copyright</w:t>
                          </w:r>
                          <w:r>
                            <w:rPr>
                              <w:spacing w:val="-9"/>
                              <w:sz w:val="20"/>
                            </w:rPr>
                            <w:t xml:space="preserve"> </w:t>
                          </w:r>
                          <w:r>
                            <w:rPr>
                              <w:spacing w:val="-4"/>
                              <w:sz w:val="20"/>
                            </w:rPr>
                            <w:t>2022</w:t>
                          </w:r>
                        </w:p>
                      </w:txbxContent>
                    </wps:txbx>
                    <wps:bodyPr wrap="square" lIns="0" tIns="0" rIns="0" bIns="0" rtlCol="0">
                      <a:noAutofit/>
                    </wps:bodyPr>
                  </wps:wsp>
                </a:graphicData>
              </a:graphic>
            </wp:anchor>
          </w:drawing>
        </mc:Choice>
        <mc:Fallback>
          <w:pict>
            <v:shapetype w14:anchorId="0457AAB0" id="_x0000_t202" coordsize="21600,21600" o:spt="202" path="m,l,21600r21600,l21600,xe">
              <v:stroke joinstyle="miter"/>
              <v:path gradientshapeok="t" o:connecttype="rect"/>
            </v:shapetype>
            <v:shape id="Text Box 117" o:spid="_x0000_s1113" type="#_x0000_t202" style="position:absolute;margin-left:83.95pt;margin-top:34.75pt;width:133.7pt;height:36.2pt;z-index:-251672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" filled="f" stroked="f">
              <v:textbox inset="0,0,0,0">
                <w:txbxContent>
                  <w:p w14:paraId="3D328522" w14:textId="77777777" w:rsidR="004C7180" w:rsidRDefault="00CF0754">
                    <w:pPr>
                      <w:spacing w:before="12"/>
                      <w:ind w:left="20"/>
                      <w:rPr>
                        <w:b/>
                        <w:sz w:val="20"/>
                      </w:rPr>
                    </w:pPr>
                    <w:r>
                      <w:rPr>
                        <w:b/>
                        <w:sz w:val="20"/>
                      </w:rPr>
                      <w:t>Order</w:t>
                    </w:r>
                    <w:r>
                      <w:rPr>
                        <w:b/>
                        <w:spacing w:val="-5"/>
                        <w:sz w:val="20"/>
                      </w:rPr>
                      <w:t xml:space="preserve"> </w:t>
                    </w:r>
                    <w:r>
                      <w:rPr>
                        <w:b/>
                        <w:sz w:val="20"/>
                      </w:rPr>
                      <w:t>Schedule</w:t>
                    </w:r>
                    <w:r>
                      <w:rPr>
                        <w:b/>
                        <w:spacing w:val="-7"/>
                        <w:sz w:val="20"/>
                      </w:rPr>
                      <w:t xml:space="preserve"> </w:t>
                    </w:r>
                    <w:r>
                      <w:rPr>
                        <w:b/>
                        <w:sz w:val="20"/>
                      </w:rPr>
                      <w:t>9</w:t>
                    </w:r>
                    <w:r>
                      <w:rPr>
                        <w:b/>
                        <w:spacing w:val="-7"/>
                        <w:sz w:val="20"/>
                      </w:rPr>
                      <w:t xml:space="preserve"> </w:t>
                    </w:r>
                    <w:r>
                      <w:rPr>
                        <w:b/>
                        <w:spacing w:val="-2"/>
                        <w:sz w:val="20"/>
                      </w:rPr>
                      <w:t>(Security)</w:t>
                    </w:r>
                  </w:p>
                  <w:p w14:paraId="562A407E" w14:textId="77777777" w:rsidR="004C7180" w:rsidRDefault="00CF0754">
                    <w:pPr>
                      <w:spacing w:before="1"/>
                      <w:ind w:left="20"/>
                      <w:rPr>
                        <w:sz w:val="20"/>
                      </w:rPr>
                    </w:pPr>
                    <w:r>
                      <w:rPr>
                        <w:sz w:val="20"/>
                      </w:rPr>
                      <w:t>Order</w:t>
                    </w:r>
                    <w:r>
                      <w:rPr>
                        <w:spacing w:val="-7"/>
                        <w:sz w:val="20"/>
                      </w:rPr>
                      <w:t xml:space="preserve"> </w:t>
                    </w:r>
                    <w:r>
                      <w:rPr>
                        <w:spacing w:val="-4"/>
                        <w:sz w:val="20"/>
                      </w:rPr>
                      <w:t>Ref:</w:t>
                    </w:r>
                  </w:p>
                  <w:p w14:paraId="2DF90521" w14:textId="77777777" w:rsidR="004C7180" w:rsidRDefault="00CF0754">
                    <w:pPr>
                      <w:ind w:left="20"/>
                      <w:rPr>
                        <w:sz w:val="20"/>
                      </w:rPr>
                    </w:pPr>
                    <w:r>
                      <w:rPr>
                        <w:sz w:val="20"/>
                      </w:rPr>
                      <w:t>Crown</w:t>
                    </w:r>
                    <w:r>
                      <w:rPr>
                        <w:spacing w:val="-9"/>
                        <w:sz w:val="20"/>
                      </w:rPr>
                      <w:t xml:space="preserve"> </w:t>
                    </w:r>
                    <w:r>
                      <w:rPr>
                        <w:sz w:val="20"/>
                      </w:rPr>
                      <w:t>Copyright</w:t>
                    </w:r>
                    <w:r>
                      <w:rPr>
                        <w:spacing w:val="-9"/>
                        <w:sz w:val="20"/>
                      </w:rPr>
                      <w:t xml:space="preserve"> </w:t>
                    </w:r>
                    <w:r>
                      <w:rPr>
                        <w:spacing w:val="-4"/>
                        <w:sz w:val="20"/>
                      </w:rPr>
                      <w:t>2022</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7943D" w14:textId="77777777" w:rsidR="004C7180" w:rsidRDefault="00CF0754">
    <w:pPr>
      <w:pStyle w:val="BodyText"/>
      <w:spacing w:line="14" w:lineRule="auto"/>
      <w:rPr>
        <w:sz w:val="20"/>
      </w:rPr>
    </w:pPr>
    <w:r>
      <w:rPr>
        <w:noProof/>
        <w:lang w:val="en-GB" w:eastAsia="en-GB"/>
      </w:rPr>
      <mc:AlternateContent>
        <mc:Choice Requires="wps">
          <w:drawing>
            <wp:anchor distT="0" distB="0" distL="0" distR="0" simplePos="0" relativeHeight="251647488" behindDoc="1" locked="0" layoutInCell="1" allowOverlap="1" wp14:anchorId="1A54FA5B" wp14:editId="49153D97">
              <wp:simplePos x="0" y="0"/>
              <wp:positionH relativeFrom="page">
                <wp:posOffset>901700</wp:posOffset>
              </wp:positionH>
              <wp:positionV relativeFrom="page">
                <wp:posOffset>441241</wp:posOffset>
              </wp:positionV>
              <wp:extent cx="2310765" cy="459740"/>
              <wp:effectExtent l="0" t="0" r="0" b="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0765" cy="459740"/>
                      </a:xfrm>
                      <a:prstGeom prst="rect">
                        <a:avLst/>
                      </a:prstGeom>
                    </wps:spPr>
                    <wps:txbx>
                      <w:txbxContent>
                        <w:p w14:paraId="25490D85" w14:textId="77777777" w:rsidR="004C7180" w:rsidRDefault="00CF0754">
                          <w:pPr>
                            <w:spacing w:before="12"/>
                            <w:ind w:left="20"/>
                            <w:rPr>
                              <w:b/>
                              <w:sz w:val="20"/>
                            </w:rPr>
                          </w:pPr>
                          <w:r>
                            <w:rPr>
                              <w:b/>
                              <w:sz w:val="20"/>
                            </w:rPr>
                            <w:t>Order</w:t>
                          </w:r>
                          <w:r>
                            <w:rPr>
                              <w:b/>
                              <w:spacing w:val="-6"/>
                              <w:sz w:val="20"/>
                            </w:rPr>
                            <w:t xml:space="preserve"> </w:t>
                          </w:r>
                          <w:r>
                            <w:rPr>
                              <w:b/>
                              <w:sz w:val="20"/>
                            </w:rPr>
                            <w:t>Schedule</w:t>
                          </w:r>
                          <w:r>
                            <w:rPr>
                              <w:b/>
                              <w:spacing w:val="-8"/>
                              <w:sz w:val="20"/>
                            </w:rPr>
                            <w:t xml:space="preserve"> </w:t>
                          </w:r>
                          <w:r>
                            <w:rPr>
                              <w:b/>
                              <w:sz w:val="20"/>
                            </w:rPr>
                            <w:t>10</w:t>
                          </w:r>
                          <w:r>
                            <w:rPr>
                              <w:b/>
                              <w:spacing w:val="-6"/>
                              <w:sz w:val="20"/>
                            </w:rPr>
                            <w:t xml:space="preserve"> </w:t>
                          </w:r>
                          <w:r>
                            <w:rPr>
                              <w:b/>
                              <w:sz w:val="20"/>
                            </w:rPr>
                            <w:t>(Exit</w:t>
                          </w:r>
                          <w:r>
                            <w:rPr>
                              <w:b/>
                              <w:spacing w:val="-4"/>
                              <w:sz w:val="20"/>
                            </w:rPr>
                            <w:t xml:space="preserve"> </w:t>
                          </w:r>
                          <w:r>
                            <w:rPr>
                              <w:b/>
                              <w:spacing w:val="-2"/>
                              <w:sz w:val="20"/>
                            </w:rPr>
                            <w:t>Management)</w:t>
                          </w:r>
                        </w:p>
                        <w:p w14:paraId="7E987A7C" w14:textId="77777777" w:rsidR="004C7180" w:rsidRDefault="00CF0754">
                          <w:pPr>
                            <w:spacing w:before="1"/>
                            <w:ind w:left="20"/>
                            <w:rPr>
                              <w:sz w:val="20"/>
                            </w:rPr>
                          </w:pPr>
                          <w:r>
                            <w:rPr>
                              <w:sz w:val="20"/>
                            </w:rPr>
                            <w:t>Order</w:t>
                          </w:r>
                          <w:r>
                            <w:rPr>
                              <w:spacing w:val="-7"/>
                              <w:sz w:val="20"/>
                            </w:rPr>
                            <w:t xml:space="preserve"> </w:t>
                          </w:r>
                          <w:r>
                            <w:rPr>
                              <w:spacing w:val="-4"/>
                              <w:sz w:val="20"/>
                            </w:rPr>
                            <w:t>Ref:</w:t>
                          </w:r>
                        </w:p>
                        <w:p w14:paraId="3A9FD8B7" w14:textId="77777777" w:rsidR="004C7180" w:rsidRDefault="00CF0754">
                          <w:pPr>
                            <w:ind w:left="20"/>
                            <w:rPr>
                              <w:sz w:val="20"/>
                            </w:rPr>
                          </w:pPr>
                          <w:r>
                            <w:rPr>
                              <w:spacing w:val="-2"/>
                              <w:sz w:val="20"/>
                            </w:rPr>
                            <w:t>Crown</w:t>
                          </w:r>
                          <w:r>
                            <w:rPr>
                              <w:spacing w:val="6"/>
                              <w:sz w:val="20"/>
                            </w:rPr>
                            <w:t xml:space="preserve"> </w:t>
                          </w:r>
                          <w:r>
                            <w:rPr>
                              <w:spacing w:val="-2"/>
                              <w:sz w:val="20"/>
                            </w:rPr>
                            <w:t>Copyright</w:t>
                          </w:r>
                          <w:r>
                            <w:rPr>
                              <w:spacing w:val="-13"/>
                              <w:sz w:val="20"/>
                            </w:rPr>
                            <w:t xml:space="preserve"> </w:t>
                          </w:r>
                          <w:r>
                            <w:rPr>
                              <w:spacing w:val="-4"/>
                              <w:sz w:val="20"/>
                            </w:rPr>
                            <w:t>2022</w:t>
                          </w:r>
                        </w:p>
                      </w:txbxContent>
                    </wps:txbx>
                    <wps:bodyPr wrap="square" lIns="0" tIns="0" rIns="0" bIns="0" rtlCol="0">
                      <a:noAutofit/>
                    </wps:bodyPr>
                  </wps:wsp>
                </a:graphicData>
              </a:graphic>
            </wp:anchor>
          </w:drawing>
        </mc:Choice>
        <mc:Fallback>
          <w:pict>
            <v:shapetype w14:anchorId="1A54FA5B" id="_x0000_t202" coordsize="21600,21600" o:spt="202" path="m,l,21600r21600,l21600,xe">
              <v:stroke joinstyle="miter"/>
              <v:path gradientshapeok="t" o:connecttype="rect"/>
            </v:shapetype>
            <v:shape id="Text Box 120" o:spid="_x0000_s1116" type="#_x0000_t202" style="position:absolute;margin-left:71pt;margin-top:34.75pt;width:181.95pt;height:36.2pt;z-index:-251668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" filled="f" stroked="f">
              <v:textbox inset="0,0,0,0">
                <w:txbxContent>
                  <w:p w14:paraId="25490D85" w14:textId="77777777" w:rsidR="004C7180" w:rsidRDefault="00CF0754">
                    <w:pPr>
                      <w:spacing w:before="12"/>
                      <w:ind w:left="20"/>
                      <w:rPr>
                        <w:b/>
                        <w:sz w:val="20"/>
                      </w:rPr>
                    </w:pPr>
                    <w:r>
                      <w:rPr>
                        <w:b/>
                        <w:sz w:val="20"/>
                      </w:rPr>
                      <w:t>Order</w:t>
                    </w:r>
                    <w:r>
                      <w:rPr>
                        <w:b/>
                        <w:spacing w:val="-6"/>
                        <w:sz w:val="20"/>
                      </w:rPr>
                      <w:t xml:space="preserve"> </w:t>
                    </w:r>
                    <w:r>
                      <w:rPr>
                        <w:b/>
                        <w:sz w:val="20"/>
                      </w:rPr>
                      <w:t>Schedule</w:t>
                    </w:r>
                    <w:r>
                      <w:rPr>
                        <w:b/>
                        <w:spacing w:val="-8"/>
                        <w:sz w:val="20"/>
                      </w:rPr>
                      <w:t xml:space="preserve"> </w:t>
                    </w:r>
                    <w:r>
                      <w:rPr>
                        <w:b/>
                        <w:sz w:val="20"/>
                      </w:rPr>
                      <w:t>10</w:t>
                    </w:r>
                    <w:r>
                      <w:rPr>
                        <w:b/>
                        <w:spacing w:val="-6"/>
                        <w:sz w:val="20"/>
                      </w:rPr>
                      <w:t xml:space="preserve"> </w:t>
                    </w:r>
                    <w:r>
                      <w:rPr>
                        <w:b/>
                        <w:sz w:val="20"/>
                      </w:rPr>
                      <w:t>(Exit</w:t>
                    </w:r>
                    <w:r>
                      <w:rPr>
                        <w:b/>
                        <w:spacing w:val="-4"/>
                        <w:sz w:val="20"/>
                      </w:rPr>
                      <w:t xml:space="preserve"> </w:t>
                    </w:r>
                    <w:r>
                      <w:rPr>
                        <w:b/>
                        <w:spacing w:val="-2"/>
                        <w:sz w:val="20"/>
                      </w:rPr>
                      <w:t>Management)</w:t>
                    </w:r>
                  </w:p>
                  <w:p w14:paraId="7E987A7C" w14:textId="77777777" w:rsidR="004C7180" w:rsidRDefault="00CF0754">
                    <w:pPr>
                      <w:spacing w:before="1"/>
                      <w:ind w:left="20"/>
                      <w:rPr>
                        <w:sz w:val="20"/>
                      </w:rPr>
                    </w:pPr>
                    <w:r>
                      <w:rPr>
                        <w:sz w:val="20"/>
                      </w:rPr>
                      <w:t>Order</w:t>
                    </w:r>
                    <w:r>
                      <w:rPr>
                        <w:spacing w:val="-7"/>
                        <w:sz w:val="20"/>
                      </w:rPr>
                      <w:t xml:space="preserve"> </w:t>
                    </w:r>
                    <w:r>
                      <w:rPr>
                        <w:spacing w:val="-4"/>
                        <w:sz w:val="20"/>
                      </w:rPr>
                      <w:t>Ref:</w:t>
                    </w:r>
                  </w:p>
                  <w:p w14:paraId="3A9FD8B7" w14:textId="77777777" w:rsidR="004C7180" w:rsidRDefault="00CF0754">
                    <w:pPr>
                      <w:ind w:left="20"/>
                      <w:rPr>
                        <w:sz w:val="20"/>
                      </w:rPr>
                    </w:pPr>
                    <w:r>
                      <w:rPr>
                        <w:spacing w:val="-2"/>
                        <w:sz w:val="20"/>
                      </w:rPr>
                      <w:t>Crown</w:t>
                    </w:r>
                    <w:r>
                      <w:rPr>
                        <w:spacing w:val="6"/>
                        <w:sz w:val="20"/>
                      </w:rPr>
                      <w:t xml:space="preserve"> </w:t>
                    </w:r>
                    <w:r>
                      <w:rPr>
                        <w:spacing w:val="-2"/>
                        <w:sz w:val="20"/>
                      </w:rPr>
                      <w:t>Copyright</w:t>
                    </w:r>
                    <w:r>
                      <w:rPr>
                        <w:spacing w:val="-13"/>
                        <w:sz w:val="20"/>
                      </w:rPr>
                      <w:t xml:space="preserve"> </w:t>
                    </w:r>
                    <w:r>
                      <w:rPr>
                        <w:spacing w:val="-4"/>
                        <w:sz w:val="20"/>
                      </w:rPr>
                      <w:t>2022</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558FA" w14:textId="77777777" w:rsidR="004C7180" w:rsidRDefault="00CF0754">
    <w:pPr>
      <w:pStyle w:val="BodyText"/>
      <w:spacing w:line="14" w:lineRule="auto"/>
      <w:rPr>
        <w:sz w:val="20"/>
      </w:rPr>
    </w:pPr>
    <w:r>
      <w:rPr>
        <w:noProof/>
        <w:lang w:val="en-GB" w:eastAsia="en-GB"/>
      </w:rPr>
      <mc:AlternateContent>
        <mc:Choice Requires="wps">
          <w:drawing>
            <wp:anchor distT="0" distB="0" distL="0" distR="0" simplePos="0" relativeHeight="251650560" behindDoc="1" locked="0" layoutInCell="1" allowOverlap="1" wp14:anchorId="5E14888C" wp14:editId="54C73907">
              <wp:simplePos x="0" y="0"/>
              <wp:positionH relativeFrom="page">
                <wp:posOffset>676148</wp:posOffset>
              </wp:positionH>
              <wp:positionV relativeFrom="page">
                <wp:posOffset>1646005</wp:posOffset>
              </wp:positionV>
              <wp:extent cx="1624330" cy="242570"/>
              <wp:effectExtent l="0" t="0" r="0" b="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4330" cy="242570"/>
                      </a:xfrm>
                      <a:prstGeom prst="rect">
                        <a:avLst/>
                      </a:prstGeom>
                    </wps:spPr>
                    <wps:txbx>
                      <w:txbxContent>
                        <w:p w14:paraId="572B6E82" w14:textId="77777777" w:rsidR="004C7180" w:rsidRDefault="00CF0754">
                          <w:pPr>
                            <w:spacing w:before="15"/>
                            <w:ind w:left="20"/>
                            <w:rPr>
                              <w:b/>
                              <w:sz w:val="15"/>
                            </w:rPr>
                          </w:pPr>
                          <w:r>
                            <w:rPr>
                              <w:b/>
                              <w:sz w:val="15"/>
                            </w:rPr>
                            <w:t>Order</w:t>
                          </w:r>
                          <w:r>
                            <w:rPr>
                              <w:b/>
                              <w:spacing w:val="-1"/>
                              <w:sz w:val="15"/>
                            </w:rPr>
                            <w:t xml:space="preserve"> </w:t>
                          </w:r>
                          <w:r>
                            <w:rPr>
                              <w:b/>
                              <w:sz w:val="15"/>
                            </w:rPr>
                            <w:t>Schedule</w:t>
                          </w:r>
                          <w:r>
                            <w:rPr>
                              <w:b/>
                              <w:spacing w:val="-3"/>
                              <w:sz w:val="15"/>
                            </w:rPr>
                            <w:t xml:space="preserve"> </w:t>
                          </w:r>
                          <w:r>
                            <w:rPr>
                              <w:b/>
                              <w:sz w:val="15"/>
                            </w:rPr>
                            <w:t>14</w:t>
                          </w:r>
                          <w:r>
                            <w:rPr>
                              <w:b/>
                              <w:spacing w:val="-1"/>
                              <w:sz w:val="15"/>
                            </w:rPr>
                            <w:t xml:space="preserve"> </w:t>
                          </w:r>
                          <w:r>
                            <w:rPr>
                              <w:b/>
                              <w:sz w:val="15"/>
                            </w:rPr>
                            <w:t>(Service</w:t>
                          </w:r>
                          <w:r>
                            <w:rPr>
                              <w:b/>
                              <w:spacing w:val="-2"/>
                              <w:sz w:val="15"/>
                            </w:rPr>
                            <w:t xml:space="preserve"> Levels)</w:t>
                          </w:r>
                        </w:p>
                        <w:p w14:paraId="383B5C4D" w14:textId="77777777" w:rsidR="004C7180" w:rsidRDefault="00CF0754">
                          <w:pPr>
                            <w:spacing w:before="1"/>
                            <w:ind w:left="20"/>
                            <w:rPr>
                              <w:sz w:val="15"/>
                            </w:rPr>
                          </w:pPr>
                          <w:r>
                            <w:rPr>
                              <w:sz w:val="15"/>
                            </w:rPr>
                            <w:t>Crown</w:t>
                          </w:r>
                          <w:r>
                            <w:rPr>
                              <w:spacing w:val="-5"/>
                              <w:sz w:val="15"/>
                            </w:rPr>
                            <w:t xml:space="preserve"> </w:t>
                          </w:r>
                          <w:r>
                            <w:rPr>
                              <w:sz w:val="15"/>
                            </w:rPr>
                            <w:t>Copyright</w:t>
                          </w:r>
                          <w:r>
                            <w:rPr>
                              <w:spacing w:val="-2"/>
                              <w:sz w:val="15"/>
                            </w:rPr>
                            <w:t xml:space="preserve"> </w:t>
                          </w:r>
                          <w:r>
                            <w:rPr>
                              <w:spacing w:val="-4"/>
                              <w:sz w:val="15"/>
                            </w:rPr>
                            <w:t>2022</w:t>
                          </w:r>
                        </w:p>
                      </w:txbxContent>
                    </wps:txbx>
                    <wps:bodyPr wrap="square" lIns="0" tIns="0" rIns="0" bIns="0" rtlCol="0">
                      <a:noAutofit/>
                    </wps:bodyPr>
                  </wps:wsp>
                </a:graphicData>
              </a:graphic>
            </wp:anchor>
          </w:drawing>
        </mc:Choice>
        <mc:Fallback>
          <w:pict>
            <v:shapetype w14:anchorId="5E14888C" id="_x0000_t202" coordsize="21600,21600" o:spt="202" path="m,l,21600r21600,l21600,xe">
              <v:stroke joinstyle="miter"/>
              <v:path gradientshapeok="t" o:connecttype="rect"/>
            </v:shapetype>
            <v:shape id="Text Box 123" o:spid="_x0000_s1119" type="#_x0000_t202" style="position:absolute;margin-left:53.25pt;margin-top:129.6pt;width:127.9pt;height:19.1pt;z-index:-25166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" filled="f" stroked="f">
              <v:textbox inset="0,0,0,0">
                <w:txbxContent>
                  <w:p w14:paraId="572B6E82" w14:textId="77777777" w:rsidR="004C7180" w:rsidRDefault="00CF0754">
                    <w:pPr>
                      <w:spacing w:before="15"/>
                      <w:ind w:left="20"/>
                      <w:rPr>
                        <w:b/>
                        <w:sz w:val="15"/>
                      </w:rPr>
                    </w:pPr>
                    <w:r>
                      <w:rPr>
                        <w:b/>
                        <w:sz w:val="15"/>
                      </w:rPr>
                      <w:t>Order</w:t>
                    </w:r>
                    <w:r>
                      <w:rPr>
                        <w:b/>
                        <w:spacing w:val="-1"/>
                        <w:sz w:val="15"/>
                      </w:rPr>
                      <w:t xml:space="preserve"> </w:t>
                    </w:r>
                    <w:r>
                      <w:rPr>
                        <w:b/>
                        <w:sz w:val="15"/>
                      </w:rPr>
                      <w:t>Schedule</w:t>
                    </w:r>
                    <w:r>
                      <w:rPr>
                        <w:b/>
                        <w:spacing w:val="-3"/>
                        <w:sz w:val="15"/>
                      </w:rPr>
                      <w:t xml:space="preserve"> </w:t>
                    </w:r>
                    <w:r>
                      <w:rPr>
                        <w:b/>
                        <w:sz w:val="15"/>
                      </w:rPr>
                      <w:t>14</w:t>
                    </w:r>
                    <w:r>
                      <w:rPr>
                        <w:b/>
                        <w:spacing w:val="-1"/>
                        <w:sz w:val="15"/>
                      </w:rPr>
                      <w:t xml:space="preserve"> </w:t>
                    </w:r>
                    <w:r>
                      <w:rPr>
                        <w:b/>
                        <w:sz w:val="15"/>
                      </w:rPr>
                      <w:t>(Service</w:t>
                    </w:r>
                    <w:r>
                      <w:rPr>
                        <w:b/>
                        <w:spacing w:val="-2"/>
                        <w:sz w:val="15"/>
                      </w:rPr>
                      <w:t xml:space="preserve"> Levels)</w:t>
                    </w:r>
                  </w:p>
                  <w:p w14:paraId="383B5C4D" w14:textId="77777777" w:rsidR="004C7180" w:rsidRDefault="00CF0754">
                    <w:pPr>
                      <w:spacing w:before="1"/>
                      <w:ind w:left="20"/>
                      <w:rPr>
                        <w:sz w:val="15"/>
                      </w:rPr>
                    </w:pPr>
                    <w:r>
                      <w:rPr>
                        <w:sz w:val="15"/>
                      </w:rPr>
                      <w:t>Crown</w:t>
                    </w:r>
                    <w:r>
                      <w:rPr>
                        <w:spacing w:val="-5"/>
                        <w:sz w:val="15"/>
                      </w:rPr>
                      <w:t xml:space="preserve"> </w:t>
                    </w:r>
                    <w:r>
                      <w:rPr>
                        <w:sz w:val="15"/>
                      </w:rPr>
                      <w:t>Copyright</w:t>
                    </w:r>
                    <w:r>
                      <w:rPr>
                        <w:spacing w:val="-2"/>
                        <w:sz w:val="15"/>
                      </w:rPr>
                      <w:t xml:space="preserve"> </w:t>
                    </w:r>
                    <w:r>
                      <w:rPr>
                        <w:spacing w:val="-4"/>
                        <w:sz w:val="15"/>
                      </w:rPr>
                      <w:t>2022</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51F65" w14:textId="77777777" w:rsidR="004C7180" w:rsidRDefault="004C7180">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A237C" w14:textId="77777777" w:rsidR="004C7180" w:rsidRDefault="00CF0754">
    <w:pPr>
      <w:pStyle w:val="BodyText"/>
      <w:spacing w:line="14" w:lineRule="auto"/>
      <w:rPr>
        <w:sz w:val="20"/>
      </w:rPr>
    </w:pPr>
    <w:r>
      <w:rPr>
        <w:noProof/>
        <w:lang w:val="en-GB" w:eastAsia="en-GB"/>
      </w:rPr>
      <mc:AlternateContent>
        <mc:Choice Requires="wps">
          <w:drawing>
            <wp:anchor distT="0" distB="0" distL="0" distR="0" simplePos="0" relativeHeight="251653632" behindDoc="1" locked="0" layoutInCell="1" allowOverlap="1" wp14:anchorId="0379CC75" wp14:editId="72A55DF9">
              <wp:simplePos x="0" y="0"/>
              <wp:positionH relativeFrom="page">
                <wp:posOffset>676148</wp:posOffset>
              </wp:positionH>
              <wp:positionV relativeFrom="page">
                <wp:posOffset>1646005</wp:posOffset>
              </wp:positionV>
              <wp:extent cx="1624330" cy="242570"/>
              <wp:effectExtent l="0" t="0" r="0" b="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4330" cy="242570"/>
                      </a:xfrm>
                      <a:prstGeom prst="rect">
                        <a:avLst/>
                      </a:prstGeom>
                    </wps:spPr>
                    <wps:txbx>
                      <w:txbxContent>
                        <w:p w14:paraId="748CF11C" w14:textId="77777777" w:rsidR="004C7180" w:rsidRDefault="00CF0754">
                          <w:pPr>
                            <w:spacing w:before="15"/>
                            <w:ind w:left="20"/>
                            <w:rPr>
                              <w:b/>
                              <w:sz w:val="15"/>
                            </w:rPr>
                          </w:pPr>
                          <w:r>
                            <w:rPr>
                              <w:b/>
                              <w:sz w:val="15"/>
                            </w:rPr>
                            <w:t>Order</w:t>
                          </w:r>
                          <w:r>
                            <w:rPr>
                              <w:b/>
                              <w:spacing w:val="-1"/>
                              <w:sz w:val="15"/>
                            </w:rPr>
                            <w:t xml:space="preserve"> </w:t>
                          </w:r>
                          <w:r>
                            <w:rPr>
                              <w:b/>
                              <w:sz w:val="15"/>
                            </w:rPr>
                            <w:t>Schedule</w:t>
                          </w:r>
                          <w:r>
                            <w:rPr>
                              <w:b/>
                              <w:spacing w:val="-3"/>
                              <w:sz w:val="15"/>
                            </w:rPr>
                            <w:t xml:space="preserve"> </w:t>
                          </w:r>
                          <w:r>
                            <w:rPr>
                              <w:b/>
                              <w:sz w:val="15"/>
                            </w:rPr>
                            <w:t>14</w:t>
                          </w:r>
                          <w:r>
                            <w:rPr>
                              <w:b/>
                              <w:spacing w:val="-1"/>
                              <w:sz w:val="15"/>
                            </w:rPr>
                            <w:t xml:space="preserve"> </w:t>
                          </w:r>
                          <w:r>
                            <w:rPr>
                              <w:b/>
                              <w:sz w:val="15"/>
                            </w:rPr>
                            <w:t>(Service</w:t>
                          </w:r>
                          <w:r>
                            <w:rPr>
                              <w:b/>
                              <w:spacing w:val="-2"/>
                              <w:sz w:val="15"/>
                            </w:rPr>
                            <w:t xml:space="preserve"> Levels)</w:t>
                          </w:r>
                        </w:p>
                        <w:p w14:paraId="5E0AC7C4" w14:textId="77777777" w:rsidR="004C7180" w:rsidRDefault="00CF0754">
                          <w:pPr>
                            <w:spacing w:before="1"/>
                            <w:ind w:left="20"/>
                            <w:rPr>
                              <w:sz w:val="15"/>
                            </w:rPr>
                          </w:pPr>
                          <w:r>
                            <w:rPr>
                              <w:sz w:val="15"/>
                            </w:rPr>
                            <w:t>Crown</w:t>
                          </w:r>
                          <w:r>
                            <w:rPr>
                              <w:spacing w:val="-5"/>
                              <w:sz w:val="15"/>
                            </w:rPr>
                            <w:t xml:space="preserve"> </w:t>
                          </w:r>
                          <w:r>
                            <w:rPr>
                              <w:sz w:val="15"/>
                            </w:rPr>
                            <w:t>Copyright</w:t>
                          </w:r>
                          <w:r>
                            <w:rPr>
                              <w:spacing w:val="-2"/>
                              <w:sz w:val="15"/>
                            </w:rPr>
                            <w:t xml:space="preserve"> </w:t>
                          </w:r>
                          <w:r>
                            <w:rPr>
                              <w:spacing w:val="-4"/>
                              <w:sz w:val="15"/>
                            </w:rPr>
                            <w:t>2022</w:t>
                          </w:r>
                        </w:p>
                      </w:txbxContent>
                    </wps:txbx>
                    <wps:bodyPr wrap="square" lIns="0" tIns="0" rIns="0" bIns="0" rtlCol="0">
                      <a:noAutofit/>
                    </wps:bodyPr>
                  </wps:wsp>
                </a:graphicData>
              </a:graphic>
            </wp:anchor>
          </w:drawing>
        </mc:Choice>
        <mc:Fallback>
          <w:pict>
            <v:shapetype w14:anchorId="0379CC75" id="_x0000_t202" coordsize="21600,21600" o:spt="202" path="m,l,21600r21600,l21600,xe">
              <v:stroke joinstyle="miter"/>
              <v:path gradientshapeok="t" o:connecttype="rect"/>
            </v:shapetype>
            <v:shape id="Text Box 131" o:spid="_x0000_s1122" type="#_x0000_t202" style="position:absolute;margin-left:53.25pt;margin-top:129.6pt;width:127.9pt;height:19.1pt;z-index:-25166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" filled="f" stroked="f">
              <v:textbox inset="0,0,0,0">
                <w:txbxContent>
                  <w:p w14:paraId="748CF11C" w14:textId="77777777" w:rsidR="004C7180" w:rsidRDefault="00CF0754">
                    <w:pPr>
                      <w:spacing w:before="15"/>
                      <w:ind w:left="20"/>
                      <w:rPr>
                        <w:b/>
                        <w:sz w:val="15"/>
                      </w:rPr>
                    </w:pPr>
                    <w:r>
                      <w:rPr>
                        <w:b/>
                        <w:sz w:val="15"/>
                      </w:rPr>
                      <w:t>Order</w:t>
                    </w:r>
                    <w:r>
                      <w:rPr>
                        <w:b/>
                        <w:spacing w:val="-1"/>
                        <w:sz w:val="15"/>
                      </w:rPr>
                      <w:t xml:space="preserve"> </w:t>
                    </w:r>
                    <w:r>
                      <w:rPr>
                        <w:b/>
                        <w:sz w:val="15"/>
                      </w:rPr>
                      <w:t>Schedule</w:t>
                    </w:r>
                    <w:r>
                      <w:rPr>
                        <w:b/>
                        <w:spacing w:val="-3"/>
                        <w:sz w:val="15"/>
                      </w:rPr>
                      <w:t xml:space="preserve"> </w:t>
                    </w:r>
                    <w:r>
                      <w:rPr>
                        <w:b/>
                        <w:sz w:val="15"/>
                      </w:rPr>
                      <w:t>14</w:t>
                    </w:r>
                    <w:r>
                      <w:rPr>
                        <w:b/>
                        <w:spacing w:val="-1"/>
                        <w:sz w:val="15"/>
                      </w:rPr>
                      <w:t xml:space="preserve"> </w:t>
                    </w:r>
                    <w:r>
                      <w:rPr>
                        <w:b/>
                        <w:sz w:val="15"/>
                      </w:rPr>
                      <w:t>(Service</w:t>
                    </w:r>
                    <w:r>
                      <w:rPr>
                        <w:b/>
                        <w:spacing w:val="-2"/>
                        <w:sz w:val="15"/>
                      </w:rPr>
                      <w:t xml:space="preserve"> Levels)</w:t>
                    </w:r>
                  </w:p>
                  <w:p w14:paraId="5E0AC7C4" w14:textId="77777777" w:rsidR="004C7180" w:rsidRDefault="00CF0754">
                    <w:pPr>
                      <w:spacing w:before="1"/>
                      <w:ind w:left="20"/>
                      <w:rPr>
                        <w:sz w:val="15"/>
                      </w:rPr>
                    </w:pPr>
                    <w:r>
                      <w:rPr>
                        <w:sz w:val="15"/>
                      </w:rPr>
                      <w:t>Crown</w:t>
                    </w:r>
                    <w:r>
                      <w:rPr>
                        <w:spacing w:val="-5"/>
                        <w:sz w:val="15"/>
                      </w:rPr>
                      <w:t xml:space="preserve"> </w:t>
                    </w:r>
                    <w:r>
                      <w:rPr>
                        <w:sz w:val="15"/>
                      </w:rPr>
                      <w:t>Copyright</w:t>
                    </w:r>
                    <w:r>
                      <w:rPr>
                        <w:spacing w:val="-2"/>
                        <w:sz w:val="15"/>
                      </w:rPr>
                      <w:t xml:space="preserve"> </w:t>
                    </w:r>
                    <w:r>
                      <w:rPr>
                        <w:spacing w:val="-4"/>
                        <w:sz w:val="15"/>
                      </w:rPr>
                      <w:t>2022</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9F258" w14:textId="77777777" w:rsidR="004C7180" w:rsidRDefault="00CF0754">
    <w:pPr>
      <w:pStyle w:val="BodyText"/>
      <w:spacing w:line="14" w:lineRule="auto"/>
      <w:rPr>
        <w:sz w:val="20"/>
      </w:rPr>
    </w:pPr>
    <w:r>
      <w:rPr>
        <w:noProof/>
        <w:lang w:val="en-GB" w:eastAsia="en-GB"/>
      </w:rPr>
      <mc:AlternateContent>
        <mc:Choice Requires="wps">
          <w:drawing>
            <wp:anchor distT="0" distB="0" distL="0" distR="0" simplePos="0" relativeHeight="251656704" behindDoc="1" locked="0" layoutInCell="1" allowOverlap="1" wp14:anchorId="1B38050A" wp14:editId="4F261EA2">
              <wp:simplePos x="0" y="0"/>
              <wp:positionH relativeFrom="page">
                <wp:posOffset>676148</wp:posOffset>
              </wp:positionH>
              <wp:positionV relativeFrom="page">
                <wp:posOffset>1646005</wp:posOffset>
              </wp:positionV>
              <wp:extent cx="2252980" cy="242570"/>
              <wp:effectExtent l="0" t="0" r="0" b="0"/>
              <wp:wrapNone/>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2980" cy="242570"/>
                      </a:xfrm>
                      <a:prstGeom prst="rect">
                        <a:avLst/>
                      </a:prstGeom>
                    </wps:spPr>
                    <wps:txbx>
                      <w:txbxContent>
                        <w:p w14:paraId="0241E456" w14:textId="77777777" w:rsidR="004C7180" w:rsidRDefault="00CF0754">
                          <w:pPr>
                            <w:spacing w:before="15"/>
                            <w:ind w:left="20"/>
                            <w:rPr>
                              <w:b/>
                              <w:sz w:val="15"/>
                            </w:rPr>
                          </w:pPr>
                          <w:r>
                            <w:rPr>
                              <w:b/>
                              <w:sz w:val="15"/>
                            </w:rPr>
                            <w:t>Order</w:t>
                          </w:r>
                          <w:r>
                            <w:rPr>
                              <w:b/>
                              <w:spacing w:val="-2"/>
                              <w:sz w:val="15"/>
                            </w:rPr>
                            <w:t xml:space="preserve"> </w:t>
                          </w:r>
                          <w:r>
                            <w:rPr>
                              <w:b/>
                              <w:sz w:val="15"/>
                            </w:rPr>
                            <w:t>Schedule</w:t>
                          </w:r>
                          <w:r>
                            <w:rPr>
                              <w:b/>
                              <w:spacing w:val="-2"/>
                              <w:sz w:val="15"/>
                            </w:rPr>
                            <w:t xml:space="preserve"> </w:t>
                          </w:r>
                          <w:r>
                            <w:rPr>
                              <w:b/>
                              <w:sz w:val="15"/>
                            </w:rPr>
                            <w:t>15</w:t>
                          </w:r>
                          <w:r>
                            <w:rPr>
                              <w:b/>
                              <w:spacing w:val="-1"/>
                              <w:sz w:val="15"/>
                            </w:rPr>
                            <w:t xml:space="preserve"> </w:t>
                          </w:r>
                          <w:r>
                            <w:rPr>
                              <w:b/>
                              <w:sz w:val="15"/>
                            </w:rPr>
                            <w:t>(Order</w:t>
                          </w:r>
                          <w:r>
                            <w:rPr>
                              <w:b/>
                              <w:spacing w:val="-2"/>
                              <w:sz w:val="15"/>
                            </w:rPr>
                            <w:t xml:space="preserve"> </w:t>
                          </w:r>
                          <w:r>
                            <w:rPr>
                              <w:b/>
                              <w:sz w:val="15"/>
                            </w:rPr>
                            <w:t>Contract</w:t>
                          </w:r>
                          <w:r>
                            <w:rPr>
                              <w:b/>
                              <w:spacing w:val="-1"/>
                              <w:sz w:val="15"/>
                            </w:rPr>
                            <w:t xml:space="preserve"> </w:t>
                          </w:r>
                          <w:r>
                            <w:rPr>
                              <w:b/>
                              <w:spacing w:val="-2"/>
                              <w:sz w:val="15"/>
                            </w:rPr>
                            <w:t>Management)</w:t>
                          </w:r>
                        </w:p>
                        <w:p w14:paraId="34E16433" w14:textId="77777777" w:rsidR="004C7180" w:rsidRDefault="00CF0754">
                          <w:pPr>
                            <w:spacing w:before="1"/>
                            <w:ind w:left="20"/>
                            <w:rPr>
                              <w:sz w:val="15"/>
                            </w:rPr>
                          </w:pPr>
                          <w:r>
                            <w:rPr>
                              <w:sz w:val="15"/>
                            </w:rPr>
                            <w:t>Crown</w:t>
                          </w:r>
                          <w:r>
                            <w:rPr>
                              <w:spacing w:val="-5"/>
                              <w:sz w:val="15"/>
                            </w:rPr>
                            <w:t xml:space="preserve"> </w:t>
                          </w:r>
                          <w:r>
                            <w:rPr>
                              <w:sz w:val="15"/>
                            </w:rPr>
                            <w:t>Copyright</w:t>
                          </w:r>
                          <w:r>
                            <w:rPr>
                              <w:spacing w:val="-2"/>
                              <w:sz w:val="15"/>
                            </w:rPr>
                            <w:t xml:space="preserve"> </w:t>
                          </w:r>
                          <w:r>
                            <w:rPr>
                              <w:spacing w:val="-4"/>
                              <w:sz w:val="15"/>
                            </w:rPr>
                            <w:t>2022</w:t>
                          </w:r>
                        </w:p>
                      </w:txbxContent>
                    </wps:txbx>
                    <wps:bodyPr wrap="square" lIns="0" tIns="0" rIns="0" bIns="0" rtlCol="0">
                      <a:noAutofit/>
                    </wps:bodyPr>
                  </wps:wsp>
                </a:graphicData>
              </a:graphic>
            </wp:anchor>
          </w:drawing>
        </mc:Choice>
        <mc:Fallback>
          <w:pict>
            <v:shapetype w14:anchorId="1B38050A" id="_x0000_t202" coordsize="21600,21600" o:spt="202" path="m,l,21600r21600,l21600,xe">
              <v:stroke joinstyle="miter"/>
              <v:path gradientshapeok="t" o:connecttype="rect"/>
            </v:shapetype>
            <v:shape id="Text Box 195" o:spid="_x0000_s1125" type="#_x0000_t202" style="position:absolute;margin-left:53.25pt;margin-top:129.6pt;width:177.4pt;height:19.1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" filled="f" stroked="f">
              <v:textbox inset="0,0,0,0">
                <w:txbxContent>
                  <w:p w14:paraId="0241E456" w14:textId="77777777" w:rsidR="004C7180" w:rsidRDefault="00CF0754">
                    <w:pPr>
                      <w:spacing w:before="15"/>
                      <w:ind w:left="20"/>
                      <w:rPr>
                        <w:b/>
                        <w:sz w:val="15"/>
                      </w:rPr>
                    </w:pPr>
                    <w:r>
                      <w:rPr>
                        <w:b/>
                        <w:sz w:val="15"/>
                      </w:rPr>
                      <w:t>Order</w:t>
                    </w:r>
                    <w:r>
                      <w:rPr>
                        <w:b/>
                        <w:spacing w:val="-2"/>
                        <w:sz w:val="15"/>
                      </w:rPr>
                      <w:t xml:space="preserve"> </w:t>
                    </w:r>
                    <w:r>
                      <w:rPr>
                        <w:b/>
                        <w:sz w:val="15"/>
                      </w:rPr>
                      <w:t>Schedule</w:t>
                    </w:r>
                    <w:r>
                      <w:rPr>
                        <w:b/>
                        <w:spacing w:val="-2"/>
                        <w:sz w:val="15"/>
                      </w:rPr>
                      <w:t xml:space="preserve"> </w:t>
                    </w:r>
                    <w:r>
                      <w:rPr>
                        <w:b/>
                        <w:sz w:val="15"/>
                      </w:rPr>
                      <w:t>15</w:t>
                    </w:r>
                    <w:r>
                      <w:rPr>
                        <w:b/>
                        <w:spacing w:val="-1"/>
                        <w:sz w:val="15"/>
                      </w:rPr>
                      <w:t xml:space="preserve"> </w:t>
                    </w:r>
                    <w:r>
                      <w:rPr>
                        <w:b/>
                        <w:sz w:val="15"/>
                      </w:rPr>
                      <w:t>(Order</w:t>
                    </w:r>
                    <w:r>
                      <w:rPr>
                        <w:b/>
                        <w:spacing w:val="-2"/>
                        <w:sz w:val="15"/>
                      </w:rPr>
                      <w:t xml:space="preserve"> </w:t>
                    </w:r>
                    <w:r>
                      <w:rPr>
                        <w:b/>
                        <w:sz w:val="15"/>
                      </w:rPr>
                      <w:t>Contract</w:t>
                    </w:r>
                    <w:r>
                      <w:rPr>
                        <w:b/>
                        <w:spacing w:val="-1"/>
                        <w:sz w:val="15"/>
                      </w:rPr>
                      <w:t xml:space="preserve"> </w:t>
                    </w:r>
                    <w:r>
                      <w:rPr>
                        <w:b/>
                        <w:spacing w:val="-2"/>
                        <w:sz w:val="15"/>
                      </w:rPr>
                      <w:t>Management)</w:t>
                    </w:r>
                  </w:p>
                  <w:p w14:paraId="34E16433" w14:textId="77777777" w:rsidR="004C7180" w:rsidRDefault="00CF0754">
                    <w:pPr>
                      <w:spacing w:before="1"/>
                      <w:ind w:left="20"/>
                      <w:rPr>
                        <w:sz w:val="15"/>
                      </w:rPr>
                    </w:pPr>
                    <w:r>
                      <w:rPr>
                        <w:sz w:val="15"/>
                      </w:rPr>
                      <w:t>Crown</w:t>
                    </w:r>
                    <w:r>
                      <w:rPr>
                        <w:spacing w:val="-5"/>
                        <w:sz w:val="15"/>
                      </w:rPr>
                      <w:t xml:space="preserve"> </w:t>
                    </w:r>
                    <w:r>
                      <w:rPr>
                        <w:sz w:val="15"/>
                      </w:rPr>
                      <w:t>Copyright</w:t>
                    </w:r>
                    <w:r>
                      <w:rPr>
                        <w:spacing w:val="-2"/>
                        <w:sz w:val="15"/>
                      </w:rPr>
                      <w:t xml:space="preserve"> </w:t>
                    </w:r>
                    <w:r>
                      <w:rPr>
                        <w:spacing w:val="-4"/>
                        <w:sz w:val="15"/>
                      </w:rPr>
                      <w:t>2022</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23432" w14:textId="77777777" w:rsidR="004C7180" w:rsidRDefault="00CF0754">
    <w:pPr>
      <w:pStyle w:val="BodyText"/>
      <w:spacing w:line="14" w:lineRule="auto"/>
      <w:rPr>
        <w:sz w:val="20"/>
      </w:rPr>
    </w:pPr>
    <w:r>
      <w:rPr>
        <w:noProof/>
        <w:lang w:val="en-GB" w:eastAsia="en-GB"/>
      </w:rPr>
      <w:drawing>
        <wp:anchor distT="0" distB="0" distL="0" distR="0" simplePos="0" relativeHeight="251658752" behindDoc="1" locked="0" layoutInCell="1" allowOverlap="1" wp14:anchorId="57BC17ED" wp14:editId="65EEBE2E">
          <wp:simplePos x="0" y="0"/>
          <wp:positionH relativeFrom="page">
            <wp:posOffset>236854</wp:posOffset>
          </wp:positionH>
          <wp:positionV relativeFrom="page">
            <wp:posOffset>94614</wp:posOffset>
          </wp:positionV>
          <wp:extent cx="1174940" cy="687704"/>
          <wp:effectExtent l="0" t="0" r="0" b="0"/>
          <wp:wrapNone/>
          <wp:docPr id="270" name="Picture 2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0" name="Image 270"/>
                  <pic:cNvPicPr/>
                </pic:nvPicPr>
                <pic:blipFill>
                  <a:blip r:embed="rId1" cstate="print"/>
                  <a:stretch>
                    <a:fillRect/>
                  </a:stretch>
                </pic:blipFill>
                <pic:spPr>
                  <a:xfrm>
                    <a:off x="0" y="0"/>
                    <a:ext cx="1174940" cy="687704"/>
                  </a:xfrm>
                  <a:prstGeom prst="rect">
                    <a:avLst/>
                  </a:prstGeom>
                </pic:spPr>
              </pic:pic>
            </a:graphicData>
          </a:graphic>
        </wp:anchor>
      </w:drawing>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89662" w14:textId="77777777" w:rsidR="004C7180" w:rsidRDefault="00CF0754">
    <w:pPr>
      <w:pStyle w:val="BodyText"/>
      <w:spacing w:line="14" w:lineRule="auto"/>
      <w:rPr>
        <w:sz w:val="20"/>
      </w:rPr>
    </w:pPr>
    <w:r>
      <w:rPr>
        <w:noProof/>
        <w:lang w:val="en-GB" w:eastAsia="en-GB"/>
      </w:rPr>
      <w:drawing>
        <wp:anchor distT="0" distB="0" distL="0" distR="0" simplePos="0" relativeHeight="251660800" behindDoc="1" locked="0" layoutInCell="1" allowOverlap="1" wp14:anchorId="6900467B" wp14:editId="4A9CBE9D">
          <wp:simplePos x="0" y="0"/>
          <wp:positionH relativeFrom="page">
            <wp:posOffset>236854</wp:posOffset>
          </wp:positionH>
          <wp:positionV relativeFrom="page">
            <wp:posOffset>94614</wp:posOffset>
          </wp:positionV>
          <wp:extent cx="1174940" cy="687704"/>
          <wp:effectExtent l="0" t="0" r="0" b="0"/>
          <wp:wrapNone/>
          <wp:docPr id="272" name="Picture 2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2" name="Image 272"/>
                  <pic:cNvPicPr/>
                </pic:nvPicPr>
                <pic:blipFill>
                  <a:blip r:embed="rId1" cstate="print"/>
                  <a:stretch>
                    <a:fillRect/>
                  </a:stretch>
                </pic:blipFill>
                <pic:spPr>
                  <a:xfrm>
                    <a:off x="0" y="0"/>
                    <a:ext cx="1174940" cy="687704"/>
                  </a:xfrm>
                  <a:prstGeom prst="rect">
                    <a:avLst/>
                  </a:prstGeom>
                </pic:spPr>
              </pic:pic>
            </a:graphicData>
          </a:graphic>
        </wp:anchor>
      </w:drawing>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D566" w14:textId="77777777" w:rsidR="004C7180" w:rsidRDefault="00CF0754">
    <w:pPr>
      <w:pStyle w:val="BodyText"/>
      <w:spacing w:line="14" w:lineRule="auto"/>
      <w:rPr>
        <w:sz w:val="20"/>
      </w:rPr>
    </w:pPr>
    <w:r>
      <w:rPr>
        <w:noProof/>
        <w:lang w:val="en-GB" w:eastAsia="en-GB"/>
      </w:rPr>
      <mc:AlternateContent>
        <mc:Choice Requires="wps">
          <w:drawing>
            <wp:anchor distT="0" distB="0" distL="0" distR="0" simplePos="0" relativeHeight="251662848" behindDoc="1" locked="0" layoutInCell="1" allowOverlap="1" wp14:anchorId="56795231" wp14:editId="0752F7E6">
              <wp:simplePos x="0" y="0"/>
              <wp:positionH relativeFrom="page">
                <wp:posOffset>901700</wp:posOffset>
              </wp:positionH>
              <wp:positionV relativeFrom="page">
                <wp:posOffset>441241</wp:posOffset>
              </wp:positionV>
              <wp:extent cx="2291080" cy="313690"/>
              <wp:effectExtent l="0" t="0" r="0" b="0"/>
              <wp:wrapNone/>
              <wp:docPr id="28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1080" cy="313690"/>
                      </a:xfrm>
                      <a:prstGeom prst="rect">
                        <a:avLst/>
                      </a:prstGeom>
                    </wps:spPr>
                    <wps:txbx>
                      <w:txbxContent>
                        <w:p w14:paraId="07B8131E" w14:textId="77777777" w:rsidR="004C7180" w:rsidRDefault="00CF0754">
                          <w:pPr>
                            <w:spacing w:before="12"/>
                            <w:ind w:left="20"/>
                            <w:rPr>
                              <w:sz w:val="20"/>
                            </w:rPr>
                          </w:pPr>
                          <w:r>
                            <w:rPr>
                              <w:sz w:val="20"/>
                            </w:rPr>
                            <w:t>Order</w:t>
                          </w:r>
                          <w:r>
                            <w:rPr>
                              <w:spacing w:val="-10"/>
                              <w:sz w:val="20"/>
                            </w:rPr>
                            <w:t xml:space="preserve"> </w:t>
                          </w:r>
                          <w:r>
                            <w:rPr>
                              <w:sz w:val="20"/>
                            </w:rPr>
                            <w:t>Schedule</w:t>
                          </w:r>
                          <w:r>
                            <w:rPr>
                              <w:spacing w:val="-11"/>
                              <w:sz w:val="20"/>
                            </w:rPr>
                            <w:t xml:space="preserve"> </w:t>
                          </w:r>
                          <w:r>
                            <w:rPr>
                              <w:sz w:val="20"/>
                            </w:rPr>
                            <w:t>20</w:t>
                          </w:r>
                          <w:r>
                            <w:rPr>
                              <w:spacing w:val="-11"/>
                              <w:sz w:val="20"/>
                            </w:rPr>
                            <w:t xml:space="preserve"> </w:t>
                          </w:r>
                          <w:r>
                            <w:rPr>
                              <w:sz w:val="20"/>
                            </w:rPr>
                            <w:t>(Order</w:t>
                          </w:r>
                          <w:r>
                            <w:rPr>
                              <w:spacing w:val="-8"/>
                              <w:sz w:val="20"/>
                            </w:rPr>
                            <w:t xml:space="preserve"> </w:t>
                          </w:r>
                          <w:r>
                            <w:rPr>
                              <w:sz w:val="20"/>
                            </w:rPr>
                            <w:t>Specification) Crown Copyright 2022</w:t>
                          </w:r>
                        </w:p>
                      </w:txbxContent>
                    </wps:txbx>
                    <wps:bodyPr wrap="square" lIns="0" tIns="0" rIns="0" bIns="0" rtlCol="0">
                      <a:noAutofit/>
                    </wps:bodyPr>
                  </wps:wsp>
                </a:graphicData>
              </a:graphic>
            </wp:anchor>
          </w:drawing>
        </mc:Choice>
        <mc:Fallback>
          <w:pict>
            <v:shapetype w14:anchorId="56795231" id="_x0000_t202" coordsize="21600,21600" o:spt="202" path="m,l,21600r21600,l21600,xe">
              <v:stroke joinstyle="miter"/>
              <v:path gradientshapeok="t" o:connecttype="rect"/>
            </v:shapetype>
            <v:shape id="Text Box 281" o:spid="_x0000_s1129" type="#_x0000_t202" style="position:absolute;margin-left:71pt;margin-top:34.75pt;width:180.4pt;height:24.7pt;z-index:-25165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" filled="f" stroked="f">
              <v:textbox inset="0,0,0,0">
                <w:txbxContent>
                  <w:p w14:paraId="07B8131E" w14:textId="77777777" w:rsidR="004C7180" w:rsidRDefault="00CF0754">
                    <w:pPr>
                      <w:spacing w:before="12"/>
                      <w:ind w:left="20"/>
                      <w:rPr>
                        <w:sz w:val="20"/>
                      </w:rPr>
                    </w:pPr>
                    <w:r>
                      <w:rPr>
                        <w:sz w:val="20"/>
                      </w:rPr>
                      <w:t>Order</w:t>
                    </w:r>
                    <w:r>
                      <w:rPr>
                        <w:spacing w:val="-10"/>
                        <w:sz w:val="20"/>
                      </w:rPr>
                      <w:t xml:space="preserve"> </w:t>
                    </w:r>
                    <w:r>
                      <w:rPr>
                        <w:sz w:val="20"/>
                      </w:rPr>
                      <w:t>Schedule</w:t>
                    </w:r>
                    <w:r>
                      <w:rPr>
                        <w:spacing w:val="-11"/>
                        <w:sz w:val="20"/>
                      </w:rPr>
                      <w:t xml:space="preserve"> </w:t>
                    </w:r>
                    <w:r>
                      <w:rPr>
                        <w:sz w:val="20"/>
                      </w:rPr>
                      <w:t>20</w:t>
                    </w:r>
                    <w:r>
                      <w:rPr>
                        <w:spacing w:val="-11"/>
                        <w:sz w:val="20"/>
                      </w:rPr>
                      <w:t xml:space="preserve"> </w:t>
                    </w:r>
                    <w:r>
                      <w:rPr>
                        <w:sz w:val="20"/>
                      </w:rPr>
                      <w:t>(Order</w:t>
                    </w:r>
                    <w:r>
                      <w:rPr>
                        <w:spacing w:val="-8"/>
                        <w:sz w:val="20"/>
                      </w:rPr>
                      <w:t xml:space="preserve"> </w:t>
                    </w:r>
                    <w:r>
                      <w:rPr>
                        <w:sz w:val="20"/>
                      </w:rPr>
                      <w:t>Specification) Crown Copyright 2022</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DACBD" w14:textId="77777777" w:rsidR="004C7180" w:rsidRDefault="00CF0754">
    <w:pPr>
      <w:pStyle w:val="BodyText"/>
      <w:spacing w:line="14" w:lineRule="auto"/>
      <w:rPr>
        <w:sz w:val="20"/>
      </w:rPr>
    </w:pPr>
    <w:r>
      <w:rPr>
        <w:noProof/>
        <w:lang w:val="en-GB" w:eastAsia="en-GB"/>
      </w:rPr>
      <mc:AlternateContent>
        <mc:Choice Requires="wps">
          <w:drawing>
            <wp:anchor distT="0" distB="0" distL="0" distR="0" simplePos="0" relativeHeight="251658245" behindDoc="1" locked="0" layoutInCell="1" allowOverlap="1" wp14:anchorId="6BC08430" wp14:editId="539C165B">
              <wp:simplePos x="0" y="0"/>
              <wp:positionH relativeFrom="page">
                <wp:posOffset>901700</wp:posOffset>
              </wp:positionH>
              <wp:positionV relativeFrom="page">
                <wp:posOffset>441241</wp:posOffset>
              </wp:positionV>
              <wp:extent cx="2050414" cy="31369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0414" cy="313690"/>
                      </a:xfrm>
                      <a:prstGeom prst="rect">
                        <a:avLst/>
                      </a:prstGeom>
                    </wps:spPr>
                    <wps:txbx>
                      <w:txbxContent>
                        <w:p w14:paraId="1C562CC1" w14:textId="77777777" w:rsidR="004C7180" w:rsidRDefault="00CF0754">
                          <w:pPr>
                            <w:spacing w:before="12"/>
                            <w:ind w:left="20"/>
                            <w:rPr>
                              <w:b/>
                              <w:sz w:val="20"/>
                            </w:rPr>
                          </w:pPr>
                          <w:r>
                            <w:rPr>
                              <w:b/>
                              <w:sz w:val="20"/>
                            </w:rPr>
                            <w:t>Joint</w:t>
                          </w:r>
                          <w:r>
                            <w:rPr>
                              <w:b/>
                              <w:spacing w:val="-9"/>
                              <w:sz w:val="20"/>
                            </w:rPr>
                            <w:t xml:space="preserve"> </w:t>
                          </w:r>
                          <w:r>
                            <w:rPr>
                              <w:b/>
                              <w:sz w:val="20"/>
                            </w:rPr>
                            <w:t>Schedule</w:t>
                          </w:r>
                          <w:r>
                            <w:rPr>
                              <w:b/>
                              <w:spacing w:val="-6"/>
                              <w:sz w:val="20"/>
                            </w:rPr>
                            <w:t xml:space="preserve"> </w:t>
                          </w:r>
                          <w:r>
                            <w:rPr>
                              <w:b/>
                              <w:sz w:val="20"/>
                            </w:rPr>
                            <w:t>2</w:t>
                          </w:r>
                          <w:r>
                            <w:rPr>
                              <w:b/>
                              <w:spacing w:val="-7"/>
                              <w:sz w:val="20"/>
                            </w:rPr>
                            <w:t xml:space="preserve"> </w:t>
                          </w:r>
                          <w:r>
                            <w:rPr>
                              <w:b/>
                              <w:sz w:val="20"/>
                            </w:rPr>
                            <w:t>(Variation</w:t>
                          </w:r>
                          <w:r>
                            <w:rPr>
                              <w:b/>
                              <w:spacing w:val="-6"/>
                              <w:sz w:val="20"/>
                            </w:rPr>
                            <w:t xml:space="preserve"> </w:t>
                          </w:r>
                          <w:r>
                            <w:rPr>
                              <w:b/>
                              <w:spacing w:val="-4"/>
                              <w:sz w:val="20"/>
                            </w:rPr>
                            <w:t>Form)</w:t>
                          </w:r>
                        </w:p>
                        <w:p w14:paraId="30FF9E96" w14:textId="77777777" w:rsidR="004C7180" w:rsidRDefault="00CF0754">
                          <w:pPr>
                            <w:spacing w:before="1"/>
                            <w:ind w:left="20"/>
                            <w:rPr>
                              <w:sz w:val="20"/>
                            </w:rPr>
                          </w:pPr>
                          <w:r>
                            <w:rPr>
                              <w:sz w:val="20"/>
                            </w:rPr>
                            <w:t>Crown</w:t>
                          </w:r>
                          <w:r>
                            <w:rPr>
                              <w:spacing w:val="-9"/>
                              <w:sz w:val="20"/>
                            </w:rPr>
                            <w:t xml:space="preserve"> </w:t>
                          </w:r>
                          <w:r>
                            <w:rPr>
                              <w:sz w:val="20"/>
                            </w:rPr>
                            <w:t>Copyright</w:t>
                          </w:r>
                          <w:r>
                            <w:rPr>
                              <w:spacing w:val="-9"/>
                              <w:sz w:val="20"/>
                            </w:rPr>
                            <w:t xml:space="preserve"> </w:t>
                          </w:r>
                          <w:r>
                            <w:rPr>
                              <w:spacing w:val="-4"/>
                              <w:sz w:val="20"/>
                            </w:rPr>
                            <w:t>2022</w:t>
                          </w:r>
                        </w:p>
                      </w:txbxContent>
                    </wps:txbx>
                    <wps:bodyPr wrap="square" lIns="0" tIns="0" rIns="0" bIns="0" rtlCol="0">
                      <a:noAutofit/>
                    </wps:bodyPr>
                  </wps:wsp>
                </a:graphicData>
              </a:graphic>
            </wp:anchor>
          </w:drawing>
        </mc:Choice>
        <mc:Fallback>
          <w:pict>
            <v:shapetype w14:anchorId="6BC08430" id="_x0000_t202" coordsize="21600,21600" o:spt="202" path="m,l,21600r21600,l21600,xe">
              <v:stroke joinstyle="miter"/>
              <v:path gradientshapeok="t" o:connecttype="rect"/>
            </v:shapetype>
            <v:shape id="Text Box 7" o:spid="_x0000_s1059" type="#_x0000_t202" style="position:absolute;margin-left:71pt;margin-top:34.75pt;width:161.45pt;height:24.7pt;z-index:-25165823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" filled="f" stroked="f">
              <v:textbox inset="0,0,0,0">
                <w:txbxContent>
                  <w:p w14:paraId="1C562CC1" w14:textId="77777777" w:rsidR="004C7180" w:rsidRDefault="00CF0754">
                    <w:pPr>
                      <w:spacing w:before="12"/>
                      <w:ind w:left="20"/>
                      <w:rPr>
                        <w:b/>
                        <w:sz w:val="20"/>
                      </w:rPr>
                    </w:pPr>
                    <w:r>
                      <w:rPr>
                        <w:b/>
                        <w:sz w:val="20"/>
                      </w:rPr>
                      <w:t>Joint</w:t>
                    </w:r>
                    <w:r>
                      <w:rPr>
                        <w:b/>
                        <w:spacing w:val="-9"/>
                        <w:sz w:val="20"/>
                      </w:rPr>
                      <w:t xml:space="preserve"> </w:t>
                    </w:r>
                    <w:r>
                      <w:rPr>
                        <w:b/>
                        <w:sz w:val="20"/>
                      </w:rPr>
                      <w:t>Schedule</w:t>
                    </w:r>
                    <w:r>
                      <w:rPr>
                        <w:b/>
                        <w:spacing w:val="-6"/>
                        <w:sz w:val="20"/>
                      </w:rPr>
                      <w:t xml:space="preserve"> </w:t>
                    </w:r>
                    <w:r>
                      <w:rPr>
                        <w:b/>
                        <w:sz w:val="20"/>
                      </w:rPr>
                      <w:t>2</w:t>
                    </w:r>
                    <w:r>
                      <w:rPr>
                        <w:b/>
                        <w:spacing w:val="-7"/>
                        <w:sz w:val="20"/>
                      </w:rPr>
                      <w:t xml:space="preserve"> </w:t>
                    </w:r>
                    <w:r>
                      <w:rPr>
                        <w:b/>
                        <w:sz w:val="20"/>
                      </w:rPr>
                      <w:t>(Variation</w:t>
                    </w:r>
                    <w:r>
                      <w:rPr>
                        <w:b/>
                        <w:spacing w:val="-6"/>
                        <w:sz w:val="20"/>
                      </w:rPr>
                      <w:t xml:space="preserve"> </w:t>
                    </w:r>
                    <w:r>
                      <w:rPr>
                        <w:b/>
                        <w:spacing w:val="-4"/>
                        <w:sz w:val="20"/>
                      </w:rPr>
                      <w:t>Form)</w:t>
                    </w:r>
                  </w:p>
                  <w:p w14:paraId="30FF9E96" w14:textId="77777777" w:rsidR="004C7180" w:rsidRDefault="00CF0754">
                    <w:pPr>
                      <w:spacing w:before="1"/>
                      <w:ind w:left="20"/>
                      <w:rPr>
                        <w:sz w:val="20"/>
                      </w:rPr>
                    </w:pPr>
                    <w:r>
                      <w:rPr>
                        <w:sz w:val="20"/>
                      </w:rPr>
                      <w:t>Crown</w:t>
                    </w:r>
                    <w:r>
                      <w:rPr>
                        <w:spacing w:val="-9"/>
                        <w:sz w:val="20"/>
                      </w:rPr>
                      <w:t xml:space="preserve"> </w:t>
                    </w:r>
                    <w:r>
                      <w:rPr>
                        <w:sz w:val="20"/>
                      </w:rPr>
                      <w:t>Copyright</w:t>
                    </w:r>
                    <w:r>
                      <w:rPr>
                        <w:spacing w:val="-9"/>
                        <w:sz w:val="20"/>
                      </w:rPr>
                      <w:t xml:space="preserve"> </w:t>
                    </w:r>
                    <w:r>
                      <w:rPr>
                        <w:spacing w:val="-4"/>
                        <w:sz w:val="20"/>
                      </w:rPr>
                      <w:t>2022</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5B9D6" w14:textId="77777777" w:rsidR="00870489" w:rsidRDefault="00C175F8">
    <w:pPr>
      <w:pStyle w:val="Header"/>
    </w:pPr>
    <w:r>
      <w:rPr>
        <w:noProof/>
        <w:lang w:val="en-GB" w:eastAsia="en-GB"/>
      </w:rPr>
      <mc:AlternateContent>
        <mc:Choice Requires="wps">
          <w:drawing>
            <wp:anchor distT="0" distB="0" distL="0" distR="0" simplePos="0" relativeHeight="251677184" behindDoc="1" locked="0" layoutInCell="1" allowOverlap="1" wp14:anchorId="09573138" wp14:editId="7107E92A">
              <wp:simplePos x="0" y="0"/>
              <wp:positionH relativeFrom="page">
                <wp:posOffset>901700</wp:posOffset>
              </wp:positionH>
              <wp:positionV relativeFrom="page">
                <wp:posOffset>441241</wp:posOffset>
              </wp:positionV>
              <wp:extent cx="2291080" cy="313690"/>
              <wp:effectExtent l="0" t="0" r="0" b="0"/>
              <wp:wrapNone/>
              <wp:docPr id="767413572" name="Text Box 767413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1080" cy="313690"/>
                      </a:xfrm>
                      <a:prstGeom prst="rect">
                        <a:avLst/>
                      </a:prstGeom>
                    </wps:spPr>
                    <wps:txbx>
                      <w:txbxContent>
                        <w:p w14:paraId="43C7317F" w14:textId="77777777" w:rsidR="00C175F8" w:rsidRDefault="00C175F8" w:rsidP="00C175F8">
                          <w:pPr>
                            <w:pBdr>
                              <w:top w:val="nil"/>
                              <w:left w:val="nil"/>
                              <w:bottom w:val="nil"/>
                              <w:right w:val="nil"/>
                              <w:between w:val="nil"/>
                            </w:pBdr>
                            <w:tabs>
                              <w:tab w:val="center" w:pos="4513"/>
                              <w:tab w:val="right" w:pos="9026"/>
                            </w:tabs>
                            <w:rPr>
                              <w:color w:val="000000"/>
                              <w:sz w:val="20"/>
                              <w:szCs w:val="20"/>
                            </w:rPr>
                          </w:pPr>
                          <w:bookmarkStart w:id="109" w:name="_Hlk149221293"/>
                          <w:r>
                            <w:rPr>
                              <w:b/>
                              <w:color w:val="000000"/>
                              <w:sz w:val="20"/>
                              <w:szCs w:val="20"/>
                            </w:rPr>
                            <w:t>Order Schedule 18 (Background Checks)</w:t>
                          </w:r>
                        </w:p>
                        <w:p w14:paraId="4BC29CFE" w14:textId="77777777" w:rsidR="00C175F8" w:rsidRDefault="00C175F8" w:rsidP="00C175F8">
                          <w:pPr>
                            <w:pBdr>
                              <w:top w:val="nil"/>
                              <w:left w:val="nil"/>
                              <w:bottom w:val="nil"/>
                              <w:right w:val="nil"/>
                              <w:between w:val="nil"/>
                            </w:pBdr>
                            <w:tabs>
                              <w:tab w:val="center" w:pos="4513"/>
                              <w:tab w:val="right" w:pos="9026"/>
                            </w:tabs>
                            <w:rPr>
                              <w:color w:val="000000"/>
                              <w:sz w:val="20"/>
                              <w:szCs w:val="20"/>
                            </w:rPr>
                          </w:pPr>
                          <w:r>
                            <w:rPr>
                              <w:color w:val="000000"/>
                              <w:sz w:val="20"/>
                              <w:szCs w:val="20"/>
                            </w:rPr>
                            <w:t>Crown Copyright 20</w:t>
                          </w:r>
                          <w:r>
                            <w:rPr>
                              <w:sz w:val="20"/>
                              <w:szCs w:val="20"/>
                            </w:rPr>
                            <w:t>22</w:t>
                          </w:r>
                        </w:p>
                        <w:bookmarkEnd w:id="109"/>
                        <w:p w14:paraId="4C870709" w14:textId="1451F8DD" w:rsidR="00C175F8" w:rsidRDefault="00C175F8">
                          <w:pPr>
                            <w:spacing w:before="12"/>
                            <w:ind w:left="20"/>
                            <w:rPr>
                              <w:sz w:val="20"/>
                            </w:rPr>
                          </w:pPr>
                        </w:p>
                      </w:txbxContent>
                    </wps:txbx>
                    <wps:bodyPr wrap="square" lIns="0" tIns="0" rIns="0" bIns="0" rtlCol="0">
                      <a:noAutofit/>
                    </wps:bodyPr>
                  </wps:wsp>
                </a:graphicData>
              </a:graphic>
            </wp:anchor>
          </w:drawing>
        </mc:Choice>
        <mc:Fallback>
          <w:pict>
            <v:shapetype w14:anchorId="09573138" id="_x0000_t202" coordsize="21600,21600" o:spt="202" path="m,l,21600r21600,l21600,xe">
              <v:stroke joinstyle="miter"/>
              <v:path gradientshapeok="t" o:connecttype="rect"/>
            </v:shapetype>
            <v:shape id="Text Box 767413572" o:spid="_x0000_s1131" type="#_x0000_t202" style="position:absolute;margin-left:71pt;margin-top:34.75pt;width:180.4pt;height:24.7pt;z-index:-25163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" filled="f" stroked="f">
              <v:textbox inset="0,0,0,0">
                <w:txbxContent>
                  <w:p w14:paraId="43C7317F" w14:textId="77777777" w:rsidR="00C175F8" w:rsidRDefault="00C175F8" w:rsidP="00C175F8">
                    <w:pPr>
                      <w:pBdr>
                        <w:top w:val="nil"/>
                        <w:left w:val="nil"/>
                        <w:bottom w:val="nil"/>
                        <w:right w:val="nil"/>
                        <w:between w:val="nil"/>
                      </w:pBdr>
                      <w:tabs>
                        <w:tab w:val="center" w:pos="4513"/>
                        <w:tab w:val="right" w:pos="9026"/>
                      </w:tabs>
                      <w:rPr>
                        <w:color w:val="000000"/>
                        <w:sz w:val="20"/>
                        <w:szCs w:val="20"/>
                      </w:rPr>
                    </w:pPr>
                    <w:bookmarkStart w:id="110" w:name="_Hlk149221293"/>
                    <w:r>
                      <w:rPr>
                        <w:b/>
                        <w:color w:val="000000"/>
                        <w:sz w:val="20"/>
                        <w:szCs w:val="20"/>
                      </w:rPr>
                      <w:t>Order Schedule 18 (Background Checks)</w:t>
                    </w:r>
                  </w:p>
                  <w:p w14:paraId="4BC29CFE" w14:textId="77777777" w:rsidR="00C175F8" w:rsidRDefault="00C175F8" w:rsidP="00C175F8">
                    <w:pPr>
                      <w:pBdr>
                        <w:top w:val="nil"/>
                        <w:left w:val="nil"/>
                        <w:bottom w:val="nil"/>
                        <w:right w:val="nil"/>
                        <w:between w:val="nil"/>
                      </w:pBdr>
                      <w:tabs>
                        <w:tab w:val="center" w:pos="4513"/>
                        <w:tab w:val="right" w:pos="9026"/>
                      </w:tabs>
                      <w:rPr>
                        <w:color w:val="000000"/>
                        <w:sz w:val="20"/>
                        <w:szCs w:val="20"/>
                      </w:rPr>
                    </w:pPr>
                    <w:r>
                      <w:rPr>
                        <w:color w:val="000000"/>
                        <w:sz w:val="20"/>
                        <w:szCs w:val="20"/>
                      </w:rPr>
                      <w:t>Crown Copyright 20</w:t>
                    </w:r>
                    <w:r>
                      <w:rPr>
                        <w:sz w:val="20"/>
                        <w:szCs w:val="20"/>
                      </w:rPr>
                      <w:t>22</w:t>
                    </w:r>
                  </w:p>
                  <w:bookmarkEnd w:id="110"/>
                  <w:p w14:paraId="4C870709" w14:textId="1451F8DD" w:rsidR="00C175F8" w:rsidRDefault="00C175F8">
                    <w:pPr>
                      <w:spacing w:before="12"/>
                      <w:ind w:left="20"/>
                      <w:rPr>
                        <w:sz w:val="20"/>
                      </w:rPr>
                    </w:pP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A2260" w14:textId="77777777" w:rsidR="004C7180" w:rsidRDefault="004C7180">
    <w:pPr>
      <w:pStyle w:val="BodyText"/>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26C53" w14:textId="77777777" w:rsidR="004C7180" w:rsidRDefault="004C7180">
    <w:pPr>
      <w:pStyle w:val="Body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6D40" w14:textId="77777777" w:rsidR="004C7180" w:rsidRDefault="004C7180">
    <w:pPr>
      <w:pStyle w:val="Body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56FB5" w14:textId="77777777" w:rsidR="004C7180" w:rsidRDefault="004C7180">
    <w:pPr>
      <w:pStyle w:val="BodyTex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07CF1" w14:textId="77777777" w:rsidR="004C7180" w:rsidRDefault="004C7180">
    <w:pPr>
      <w:pStyle w:val="Body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A6BD0" w14:textId="77777777" w:rsidR="004C7180" w:rsidRDefault="00CF0754">
    <w:pPr>
      <w:pStyle w:val="BodyText"/>
      <w:spacing w:line="14" w:lineRule="auto"/>
      <w:rPr>
        <w:sz w:val="20"/>
      </w:rPr>
    </w:pPr>
    <w:r>
      <w:rPr>
        <w:noProof/>
        <w:lang w:val="en-GB" w:eastAsia="en-GB"/>
      </w:rPr>
      <w:drawing>
        <wp:anchor distT="0" distB="0" distL="0" distR="0" simplePos="0" relativeHeight="251672064" behindDoc="1" locked="0" layoutInCell="1" allowOverlap="1" wp14:anchorId="152AA410" wp14:editId="1FE4AAAB">
          <wp:simplePos x="0" y="0"/>
          <wp:positionH relativeFrom="page">
            <wp:posOffset>6477000</wp:posOffset>
          </wp:positionH>
          <wp:positionV relativeFrom="page">
            <wp:posOffset>285114</wp:posOffset>
          </wp:positionV>
          <wp:extent cx="848982" cy="685797"/>
          <wp:effectExtent l="0" t="0" r="0" b="0"/>
          <wp:wrapNone/>
          <wp:docPr id="294" name="Picture 2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4" name="Image 294"/>
                  <pic:cNvPicPr/>
                </pic:nvPicPr>
                <pic:blipFill>
                  <a:blip r:embed="rId1" cstate="print"/>
                  <a:stretch>
                    <a:fillRect/>
                  </a:stretch>
                </pic:blipFill>
                <pic:spPr>
                  <a:xfrm>
                    <a:off x="0" y="0"/>
                    <a:ext cx="848982" cy="685797"/>
                  </a:xfrm>
                  <a:prstGeom prst="rect">
                    <a:avLst/>
                  </a:prstGeom>
                </pic:spPr>
              </pic:pic>
            </a:graphicData>
          </a:graphic>
        </wp:anchor>
      </w:drawing>
    </w:r>
    <w:r>
      <w:rPr>
        <w:noProof/>
        <w:lang w:val="en-GB" w:eastAsia="en-GB"/>
      </w:rPr>
      <mc:AlternateContent>
        <mc:Choice Requires="wps">
          <w:drawing>
            <wp:anchor distT="0" distB="0" distL="0" distR="0" simplePos="0" relativeHeight="251674112" behindDoc="1" locked="0" layoutInCell="1" allowOverlap="1" wp14:anchorId="22742615" wp14:editId="5CE5C3CD">
              <wp:simplePos x="0" y="0"/>
              <wp:positionH relativeFrom="page">
                <wp:posOffset>901700</wp:posOffset>
              </wp:positionH>
              <wp:positionV relativeFrom="page">
                <wp:posOffset>464311</wp:posOffset>
              </wp:positionV>
              <wp:extent cx="2102485" cy="336550"/>
              <wp:effectExtent l="0" t="0" r="0" b="0"/>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2485" cy="336550"/>
                      </a:xfrm>
                      <a:prstGeom prst="rect">
                        <a:avLst/>
                      </a:prstGeom>
                    </wps:spPr>
                    <wps:txbx>
                      <w:txbxContent>
                        <w:p w14:paraId="44FF6787" w14:textId="77777777" w:rsidR="004C7180" w:rsidRDefault="00CF0754">
                          <w:pPr>
                            <w:spacing w:line="245" w:lineRule="exact"/>
                            <w:ind w:left="20"/>
                            <w:rPr>
                              <w:rFonts w:ascii="Calibri"/>
                              <w:b/>
                            </w:rPr>
                          </w:pPr>
                          <w:r>
                            <w:rPr>
                              <w:rFonts w:ascii="Calibri"/>
                              <w:b/>
                            </w:rPr>
                            <w:t>Call-Off</w:t>
                          </w:r>
                          <w:r>
                            <w:rPr>
                              <w:rFonts w:ascii="Calibri"/>
                              <w:b/>
                              <w:spacing w:val="-8"/>
                            </w:rPr>
                            <w:t xml:space="preserve"> </w:t>
                          </w:r>
                          <w:r>
                            <w:rPr>
                              <w:rFonts w:ascii="Calibri"/>
                              <w:b/>
                            </w:rPr>
                            <w:t>Schedule</w:t>
                          </w:r>
                          <w:r>
                            <w:rPr>
                              <w:rFonts w:ascii="Calibri"/>
                              <w:b/>
                              <w:spacing w:val="-5"/>
                            </w:rPr>
                            <w:t xml:space="preserve"> </w:t>
                          </w:r>
                          <w:r>
                            <w:rPr>
                              <w:rFonts w:ascii="Calibri"/>
                              <w:b/>
                            </w:rPr>
                            <w:t>5</w:t>
                          </w:r>
                          <w:r>
                            <w:rPr>
                              <w:rFonts w:ascii="Calibri"/>
                              <w:b/>
                              <w:spacing w:val="-5"/>
                            </w:rPr>
                            <w:t xml:space="preserve"> </w:t>
                          </w:r>
                          <w:r>
                            <w:rPr>
                              <w:rFonts w:ascii="Calibri"/>
                              <w:b/>
                            </w:rPr>
                            <w:t>(Call-Off</w:t>
                          </w:r>
                          <w:r>
                            <w:rPr>
                              <w:rFonts w:ascii="Calibri"/>
                              <w:b/>
                              <w:spacing w:val="-4"/>
                            </w:rPr>
                            <w:t xml:space="preserve"> </w:t>
                          </w:r>
                          <w:r>
                            <w:rPr>
                              <w:rFonts w:ascii="Calibri"/>
                              <w:b/>
                              <w:spacing w:val="-2"/>
                            </w:rPr>
                            <w:t>Pricing)</w:t>
                          </w:r>
                        </w:p>
                        <w:p w14:paraId="153388BA" w14:textId="77777777" w:rsidR="004C7180" w:rsidRDefault="00CF0754">
                          <w:pPr>
                            <w:ind w:left="20"/>
                            <w:rPr>
                              <w:rFonts w:ascii="Calibri"/>
                            </w:rPr>
                          </w:pPr>
                          <w:r>
                            <w:rPr>
                              <w:rFonts w:ascii="Calibri"/>
                            </w:rPr>
                            <w:t>Crown</w:t>
                          </w:r>
                          <w:r>
                            <w:rPr>
                              <w:rFonts w:ascii="Calibri"/>
                              <w:spacing w:val="-10"/>
                            </w:rPr>
                            <w:t xml:space="preserve"> </w:t>
                          </w:r>
                          <w:r>
                            <w:rPr>
                              <w:rFonts w:ascii="Calibri"/>
                            </w:rPr>
                            <w:t>Copyright</w:t>
                          </w:r>
                          <w:r>
                            <w:rPr>
                              <w:rFonts w:ascii="Calibri"/>
                              <w:spacing w:val="-3"/>
                            </w:rPr>
                            <w:t xml:space="preserve"> </w:t>
                          </w:r>
                          <w:r>
                            <w:rPr>
                              <w:rFonts w:ascii="Calibri"/>
                              <w:spacing w:val="-4"/>
                            </w:rPr>
                            <w:t>2017</w:t>
                          </w:r>
                        </w:p>
                      </w:txbxContent>
                    </wps:txbx>
                    <wps:bodyPr wrap="square" lIns="0" tIns="0" rIns="0" bIns="0" rtlCol="0">
                      <a:noAutofit/>
                    </wps:bodyPr>
                  </wps:wsp>
                </a:graphicData>
              </a:graphic>
            </wp:anchor>
          </w:drawing>
        </mc:Choice>
        <mc:Fallback>
          <w:pict>
            <v:shapetype w14:anchorId="22742615" id="_x0000_t202" coordsize="21600,21600" o:spt="202" path="m,l,21600r21600,l21600,xe">
              <v:stroke joinstyle="miter"/>
              <v:path gradientshapeok="t" o:connecttype="rect"/>
            </v:shapetype>
            <v:shape id="Text Box 295" o:spid="_x0000_s1132" type="#_x0000_t202" style="position:absolute;margin-left:71pt;margin-top:36.55pt;width:165.55pt;height:26.5pt;z-index:-25164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" filled="f" stroked="f">
              <v:textbox inset="0,0,0,0">
                <w:txbxContent>
                  <w:p w14:paraId="44FF6787" w14:textId="77777777" w:rsidR="004C7180" w:rsidRDefault="00CF0754">
                    <w:pPr>
                      <w:spacing w:line="245" w:lineRule="exact"/>
                      <w:ind w:left="20"/>
                      <w:rPr>
                        <w:rFonts w:ascii="Calibri"/>
                        <w:b/>
                      </w:rPr>
                    </w:pPr>
                    <w:r>
                      <w:rPr>
                        <w:rFonts w:ascii="Calibri"/>
                        <w:b/>
                      </w:rPr>
                      <w:t>Call-Off</w:t>
                    </w:r>
                    <w:r>
                      <w:rPr>
                        <w:rFonts w:ascii="Calibri"/>
                        <w:b/>
                        <w:spacing w:val="-8"/>
                      </w:rPr>
                      <w:t xml:space="preserve"> </w:t>
                    </w:r>
                    <w:r>
                      <w:rPr>
                        <w:rFonts w:ascii="Calibri"/>
                        <w:b/>
                      </w:rPr>
                      <w:t>Schedule</w:t>
                    </w:r>
                    <w:r>
                      <w:rPr>
                        <w:rFonts w:ascii="Calibri"/>
                        <w:b/>
                        <w:spacing w:val="-5"/>
                      </w:rPr>
                      <w:t xml:space="preserve"> </w:t>
                    </w:r>
                    <w:r>
                      <w:rPr>
                        <w:rFonts w:ascii="Calibri"/>
                        <w:b/>
                      </w:rPr>
                      <w:t>5</w:t>
                    </w:r>
                    <w:r>
                      <w:rPr>
                        <w:rFonts w:ascii="Calibri"/>
                        <w:b/>
                        <w:spacing w:val="-5"/>
                      </w:rPr>
                      <w:t xml:space="preserve"> </w:t>
                    </w:r>
                    <w:r>
                      <w:rPr>
                        <w:rFonts w:ascii="Calibri"/>
                        <w:b/>
                      </w:rPr>
                      <w:t>(Call-Off</w:t>
                    </w:r>
                    <w:r>
                      <w:rPr>
                        <w:rFonts w:ascii="Calibri"/>
                        <w:b/>
                        <w:spacing w:val="-4"/>
                      </w:rPr>
                      <w:t xml:space="preserve"> </w:t>
                    </w:r>
                    <w:r>
                      <w:rPr>
                        <w:rFonts w:ascii="Calibri"/>
                        <w:b/>
                        <w:spacing w:val="-2"/>
                      </w:rPr>
                      <w:t>Pricing)</w:t>
                    </w:r>
                  </w:p>
                  <w:p w14:paraId="153388BA" w14:textId="77777777" w:rsidR="004C7180" w:rsidRDefault="00CF0754">
                    <w:pPr>
                      <w:ind w:left="20"/>
                      <w:rPr>
                        <w:rFonts w:ascii="Calibri"/>
                      </w:rPr>
                    </w:pPr>
                    <w:r>
                      <w:rPr>
                        <w:rFonts w:ascii="Calibri"/>
                      </w:rPr>
                      <w:t>Crown</w:t>
                    </w:r>
                    <w:r>
                      <w:rPr>
                        <w:rFonts w:ascii="Calibri"/>
                        <w:spacing w:val="-10"/>
                      </w:rPr>
                      <w:t xml:space="preserve"> </w:t>
                    </w:r>
                    <w:r>
                      <w:rPr>
                        <w:rFonts w:ascii="Calibri"/>
                      </w:rPr>
                      <w:t>Copyright</w:t>
                    </w:r>
                    <w:r>
                      <w:rPr>
                        <w:rFonts w:ascii="Calibri"/>
                        <w:spacing w:val="-3"/>
                      </w:rPr>
                      <w:t xml:space="preserve"> </w:t>
                    </w:r>
                    <w:r>
                      <w:rPr>
                        <w:rFonts w:ascii="Calibri"/>
                        <w:spacing w:val="-4"/>
                      </w:rPr>
                      <w:t>2017</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79D55" w14:textId="77777777" w:rsidR="004C7180" w:rsidRDefault="004C7180">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FB772" w14:textId="77777777" w:rsidR="004C7180" w:rsidRDefault="00CF0754">
    <w:pPr>
      <w:pStyle w:val="BodyText"/>
      <w:spacing w:line="14" w:lineRule="auto"/>
      <w:rPr>
        <w:sz w:val="20"/>
      </w:rPr>
    </w:pPr>
    <w:r>
      <w:rPr>
        <w:noProof/>
        <w:lang w:val="en-GB" w:eastAsia="en-GB"/>
      </w:rPr>
      <mc:AlternateContent>
        <mc:Choice Requires="wps">
          <w:drawing>
            <wp:anchor distT="0" distB="0" distL="0" distR="0" simplePos="0" relativeHeight="251658248" behindDoc="1" locked="0" layoutInCell="1" allowOverlap="1" wp14:anchorId="7F2AC449" wp14:editId="26B918A9">
              <wp:simplePos x="0" y="0"/>
              <wp:positionH relativeFrom="page">
                <wp:posOffset>901700</wp:posOffset>
              </wp:positionH>
              <wp:positionV relativeFrom="page">
                <wp:posOffset>441241</wp:posOffset>
              </wp:positionV>
              <wp:extent cx="2050414" cy="31369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0414" cy="313690"/>
                      </a:xfrm>
                      <a:prstGeom prst="rect">
                        <a:avLst/>
                      </a:prstGeom>
                    </wps:spPr>
                    <wps:txbx>
                      <w:txbxContent>
                        <w:p w14:paraId="74DE8EB7" w14:textId="77777777" w:rsidR="004C7180" w:rsidRDefault="00CF0754">
                          <w:pPr>
                            <w:spacing w:before="12"/>
                            <w:ind w:left="20"/>
                            <w:rPr>
                              <w:b/>
                              <w:sz w:val="20"/>
                            </w:rPr>
                          </w:pPr>
                          <w:r>
                            <w:rPr>
                              <w:b/>
                              <w:color w:val="BEBEBE"/>
                              <w:sz w:val="20"/>
                            </w:rPr>
                            <w:t>Joint</w:t>
                          </w:r>
                          <w:r>
                            <w:rPr>
                              <w:b/>
                              <w:color w:val="BEBEBE"/>
                              <w:spacing w:val="-9"/>
                              <w:sz w:val="20"/>
                            </w:rPr>
                            <w:t xml:space="preserve"> </w:t>
                          </w:r>
                          <w:r>
                            <w:rPr>
                              <w:b/>
                              <w:color w:val="BEBEBE"/>
                              <w:sz w:val="20"/>
                            </w:rPr>
                            <w:t>Schedule</w:t>
                          </w:r>
                          <w:r>
                            <w:rPr>
                              <w:b/>
                              <w:color w:val="BEBEBE"/>
                              <w:spacing w:val="-6"/>
                              <w:sz w:val="20"/>
                            </w:rPr>
                            <w:t xml:space="preserve"> </w:t>
                          </w:r>
                          <w:r>
                            <w:rPr>
                              <w:b/>
                              <w:color w:val="BEBEBE"/>
                              <w:sz w:val="20"/>
                            </w:rPr>
                            <w:t>2</w:t>
                          </w:r>
                          <w:r>
                            <w:rPr>
                              <w:b/>
                              <w:color w:val="BEBEBE"/>
                              <w:spacing w:val="-7"/>
                              <w:sz w:val="20"/>
                            </w:rPr>
                            <w:t xml:space="preserve"> </w:t>
                          </w:r>
                          <w:r>
                            <w:rPr>
                              <w:b/>
                              <w:color w:val="BEBEBE"/>
                              <w:sz w:val="20"/>
                            </w:rPr>
                            <w:t>(Variation</w:t>
                          </w:r>
                          <w:r>
                            <w:rPr>
                              <w:b/>
                              <w:color w:val="BEBEBE"/>
                              <w:spacing w:val="-6"/>
                              <w:sz w:val="20"/>
                            </w:rPr>
                            <w:t xml:space="preserve"> </w:t>
                          </w:r>
                          <w:r>
                            <w:rPr>
                              <w:b/>
                              <w:color w:val="BEBEBE"/>
                              <w:spacing w:val="-4"/>
                              <w:sz w:val="20"/>
                            </w:rPr>
                            <w:t>Form)</w:t>
                          </w:r>
                        </w:p>
                        <w:p w14:paraId="1915EE4E" w14:textId="77777777" w:rsidR="004C7180" w:rsidRDefault="00CF0754">
                          <w:pPr>
                            <w:spacing w:before="1"/>
                            <w:ind w:left="20"/>
                            <w:rPr>
                              <w:sz w:val="20"/>
                            </w:rPr>
                          </w:pPr>
                          <w:r>
                            <w:rPr>
                              <w:color w:val="BEBEBE"/>
                              <w:sz w:val="20"/>
                            </w:rPr>
                            <w:t>Crown</w:t>
                          </w:r>
                          <w:r>
                            <w:rPr>
                              <w:color w:val="BEBEBE"/>
                              <w:spacing w:val="-9"/>
                              <w:sz w:val="20"/>
                            </w:rPr>
                            <w:t xml:space="preserve"> </w:t>
                          </w:r>
                          <w:r>
                            <w:rPr>
                              <w:color w:val="BEBEBE"/>
                              <w:sz w:val="20"/>
                            </w:rPr>
                            <w:t>Copyright</w:t>
                          </w:r>
                          <w:r>
                            <w:rPr>
                              <w:color w:val="BEBEBE"/>
                              <w:spacing w:val="-9"/>
                              <w:sz w:val="20"/>
                            </w:rPr>
                            <w:t xml:space="preserve"> </w:t>
                          </w:r>
                          <w:r>
                            <w:rPr>
                              <w:color w:val="BEBEBE"/>
                              <w:spacing w:val="-4"/>
                              <w:sz w:val="20"/>
                            </w:rPr>
                            <w:t>2018</w:t>
                          </w:r>
                        </w:p>
                      </w:txbxContent>
                    </wps:txbx>
                    <wps:bodyPr wrap="square" lIns="0" tIns="0" rIns="0" bIns="0" rtlCol="0">
                      <a:noAutofit/>
                    </wps:bodyPr>
                  </wps:wsp>
                </a:graphicData>
              </a:graphic>
            </wp:anchor>
          </w:drawing>
        </mc:Choice>
        <mc:Fallback>
          <w:pict>
            <v:shapetype w14:anchorId="7F2AC449" id="_x0000_t202" coordsize="21600,21600" o:spt="202" path="m,l,21600r21600,l21600,xe">
              <v:stroke joinstyle="miter"/>
              <v:path gradientshapeok="t" o:connecttype="rect"/>
            </v:shapetype>
            <v:shape id="Text Box 10" o:spid="_x0000_s1062" type="#_x0000_t202" style="position:absolute;margin-left:71pt;margin-top:34.75pt;width:161.45pt;height:24.7pt;z-index:-251658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" filled="f" stroked="f">
              <v:textbox inset="0,0,0,0">
                <w:txbxContent>
                  <w:p w14:paraId="74DE8EB7" w14:textId="77777777" w:rsidR="004C7180" w:rsidRDefault="00CF0754">
                    <w:pPr>
                      <w:spacing w:before="12"/>
                      <w:ind w:left="20"/>
                      <w:rPr>
                        <w:b/>
                        <w:sz w:val="20"/>
                      </w:rPr>
                    </w:pPr>
                    <w:r>
                      <w:rPr>
                        <w:b/>
                        <w:color w:val="BEBEBE"/>
                        <w:sz w:val="20"/>
                      </w:rPr>
                      <w:t>Joint</w:t>
                    </w:r>
                    <w:r>
                      <w:rPr>
                        <w:b/>
                        <w:color w:val="BEBEBE"/>
                        <w:spacing w:val="-9"/>
                        <w:sz w:val="20"/>
                      </w:rPr>
                      <w:t xml:space="preserve"> </w:t>
                    </w:r>
                    <w:r>
                      <w:rPr>
                        <w:b/>
                        <w:color w:val="BEBEBE"/>
                        <w:sz w:val="20"/>
                      </w:rPr>
                      <w:t>Schedule</w:t>
                    </w:r>
                    <w:r>
                      <w:rPr>
                        <w:b/>
                        <w:color w:val="BEBEBE"/>
                        <w:spacing w:val="-6"/>
                        <w:sz w:val="20"/>
                      </w:rPr>
                      <w:t xml:space="preserve"> </w:t>
                    </w:r>
                    <w:r>
                      <w:rPr>
                        <w:b/>
                        <w:color w:val="BEBEBE"/>
                        <w:sz w:val="20"/>
                      </w:rPr>
                      <w:t>2</w:t>
                    </w:r>
                    <w:r>
                      <w:rPr>
                        <w:b/>
                        <w:color w:val="BEBEBE"/>
                        <w:spacing w:val="-7"/>
                        <w:sz w:val="20"/>
                      </w:rPr>
                      <w:t xml:space="preserve"> </w:t>
                    </w:r>
                    <w:r>
                      <w:rPr>
                        <w:b/>
                        <w:color w:val="BEBEBE"/>
                        <w:sz w:val="20"/>
                      </w:rPr>
                      <w:t>(Variation</w:t>
                    </w:r>
                    <w:r>
                      <w:rPr>
                        <w:b/>
                        <w:color w:val="BEBEBE"/>
                        <w:spacing w:val="-6"/>
                        <w:sz w:val="20"/>
                      </w:rPr>
                      <w:t xml:space="preserve"> </w:t>
                    </w:r>
                    <w:r>
                      <w:rPr>
                        <w:b/>
                        <w:color w:val="BEBEBE"/>
                        <w:spacing w:val="-4"/>
                        <w:sz w:val="20"/>
                      </w:rPr>
                      <w:t>Form)</w:t>
                    </w:r>
                  </w:p>
                  <w:p w14:paraId="1915EE4E" w14:textId="77777777" w:rsidR="004C7180" w:rsidRDefault="00CF0754">
                    <w:pPr>
                      <w:spacing w:before="1"/>
                      <w:ind w:left="20"/>
                      <w:rPr>
                        <w:sz w:val="20"/>
                      </w:rPr>
                    </w:pPr>
                    <w:r>
                      <w:rPr>
                        <w:color w:val="BEBEBE"/>
                        <w:sz w:val="20"/>
                      </w:rPr>
                      <w:t>Crown</w:t>
                    </w:r>
                    <w:r>
                      <w:rPr>
                        <w:color w:val="BEBEBE"/>
                        <w:spacing w:val="-9"/>
                        <w:sz w:val="20"/>
                      </w:rPr>
                      <w:t xml:space="preserve"> </w:t>
                    </w:r>
                    <w:r>
                      <w:rPr>
                        <w:color w:val="BEBEBE"/>
                        <w:sz w:val="20"/>
                      </w:rPr>
                      <w:t>Copyright</w:t>
                    </w:r>
                    <w:r>
                      <w:rPr>
                        <w:color w:val="BEBEBE"/>
                        <w:spacing w:val="-9"/>
                        <w:sz w:val="20"/>
                      </w:rPr>
                      <w:t xml:space="preserve"> </w:t>
                    </w:r>
                    <w:r>
                      <w:rPr>
                        <w:color w:val="BEBEBE"/>
                        <w:spacing w:val="-4"/>
                        <w:sz w:val="20"/>
                      </w:rPr>
                      <w:t>2018</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9C6AC" w14:textId="77777777" w:rsidR="004C7180" w:rsidRDefault="00CF0754">
    <w:pPr>
      <w:pStyle w:val="BodyText"/>
      <w:spacing w:line="14" w:lineRule="auto"/>
      <w:rPr>
        <w:sz w:val="20"/>
      </w:rPr>
    </w:pPr>
    <w:r>
      <w:rPr>
        <w:noProof/>
        <w:lang w:val="en-GB" w:eastAsia="en-GB"/>
      </w:rPr>
      <mc:AlternateContent>
        <mc:Choice Requires="wps">
          <w:drawing>
            <wp:anchor distT="0" distB="0" distL="0" distR="0" simplePos="0" relativeHeight="251658251" behindDoc="1" locked="0" layoutInCell="1" allowOverlap="1" wp14:anchorId="216A6B14" wp14:editId="0A9A9B43">
              <wp:simplePos x="0" y="0"/>
              <wp:positionH relativeFrom="page">
                <wp:posOffset>902004</wp:posOffset>
              </wp:positionH>
              <wp:positionV relativeFrom="page">
                <wp:posOffset>463930</wp:posOffset>
              </wp:positionV>
              <wp:extent cx="2268220" cy="30734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8220" cy="307340"/>
                      </a:xfrm>
                      <a:prstGeom prst="rect">
                        <a:avLst/>
                      </a:prstGeom>
                    </wps:spPr>
                    <wps:txbx>
                      <w:txbxContent>
                        <w:p w14:paraId="59C11A92" w14:textId="77777777" w:rsidR="004C7180" w:rsidRDefault="00CF0754">
                          <w:pPr>
                            <w:spacing w:line="223" w:lineRule="exact"/>
                            <w:ind w:left="20"/>
                            <w:rPr>
                              <w:rFonts w:ascii="Calibri"/>
                              <w:b/>
                              <w:sz w:val="20"/>
                            </w:rPr>
                          </w:pPr>
                          <w:r>
                            <w:rPr>
                              <w:rFonts w:ascii="Calibri"/>
                              <w:b/>
                              <w:sz w:val="20"/>
                            </w:rPr>
                            <w:t>Joint</w:t>
                          </w:r>
                          <w:r>
                            <w:rPr>
                              <w:rFonts w:ascii="Calibri"/>
                              <w:b/>
                              <w:spacing w:val="-7"/>
                              <w:sz w:val="20"/>
                            </w:rPr>
                            <w:t xml:space="preserve"> </w:t>
                          </w:r>
                          <w:r>
                            <w:rPr>
                              <w:rFonts w:ascii="Calibri"/>
                              <w:b/>
                              <w:sz w:val="20"/>
                            </w:rPr>
                            <w:t>Schedule</w:t>
                          </w:r>
                          <w:r>
                            <w:rPr>
                              <w:rFonts w:ascii="Calibri"/>
                              <w:b/>
                              <w:spacing w:val="-7"/>
                              <w:sz w:val="20"/>
                            </w:rPr>
                            <w:t xml:space="preserve"> </w:t>
                          </w:r>
                          <w:r>
                            <w:rPr>
                              <w:rFonts w:ascii="Calibri"/>
                              <w:b/>
                              <w:sz w:val="20"/>
                            </w:rPr>
                            <w:t>3</w:t>
                          </w:r>
                          <w:r>
                            <w:rPr>
                              <w:rFonts w:ascii="Calibri"/>
                              <w:b/>
                              <w:spacing w:val="-7"/>
                              <w:sz w:val="20"/>
                            </w:rPr>
                            <w:t xml:space="preserve"> </w:t>
                          </w:r>
                          <w:r>
                            <w:rPr>
                              <w:rFonts w:ascii="Calibri"/>
                              <w:b/>
                              <w:sz w:val="20"/>
                            </w:rPr>
                            <w:t>(Insurance</w:t>
                          </w:r>
                          <w:r>
                            <w:rPr>
                              <w:rFonts w:ascii="Calibri"/>
                              <w:b/>
                              <w:spacing w:val="-7"/>
                              <w:sz w:val="20"/>
                            </w:rPr>
                            <w:t xml:space="preserve"> </w:t>
                          </w:r>
                          <w:r>
                            <w:rPr>
                              <w:rFonts w:ascii="Calibri"/>
                              <w:b/>
                              <w:spacing w:val="-2"/>
                              <w:sz w:val="20"/>
                            </w:rPr>
                            <w:t>Requirements)</w:t>
                          </w:r>
                        </w:p>
                        <w:p w14:paraId="60252635" w14:textId="77777777" w:rsidR="004C7180" w:rsidRDefault="00CF0754">
                          <w:pPr>
                            <w:ind w:left="20"/>
                            <w:rPr>
                              <w:rFonts w:ascii="Calibri"/>
                              <w:sz w:val="20"/>
                            </w:rPr>
                          </w:pPr>
                          <w:r>
                            <w:rPr>
                              <w:rFonts w:ascii="Calibri"/>
                              <w:sz w:val="20"/>
                            </w:rPr>
                            <w:t>Crown</w:t>
                          </w:r>
                          <w:r>
                            <w:rPr>
                              <w:rFonts w:ascii="Calibri"/>
                              <w:spacing w:val="-9"/>
                              <w:sz w:val="20"/>
                            </w:rPr>
                            <w:t xml:space="preserve"> </w:t>
                          </w:r>
                          <w:r>
                            <w:rPr>
                              <w:rFonts w:ascii="Calibri"/>
                              <w:sz w:val="20"/>
                            </w:rPr>
                            <w:t>Copyright</w:t>
                          </w:r>
                          <w:r>
                            <w:rPr>
                              <w:rFonts w:ascii="Calibri"/>
                              <w:spacing w:val="-8"/>
                              <w:sz w:val="20"/>
                            </w:rPr>
                            <w:t xml:space="preserve"> </w:t>
                          </w:r>
                          <w:r>
                            <w:rPr>
                              <w:rFonts w:ascii="Calibri"/>
                              <w:spacing w:val="-4"/>
                              <w:sz w:val="20"/>
                            </w:rPr>
                            <w:t>2022</w:t>
                          </w:r>
                        </w:p>
                      </w:txbxContent>
                    </wps:txbx>
                    <wps:bodyPr wrap="square" lIns="0" tIns="0" rIns="0" bIns="0" rtlCol="0">
                      <a:noAutofit/>
                    </wps:bodyPr>
                  </wps:wsp>
                </a:graphicData>
              </a:graphic>
            </wp:anchor>
          </w:drawing>
        </mc:Choice>
        <mc:Fallback>
          <w:pict>
            <v:shapetype w14:anchorId="216A6B14" id="_x0000_t202" coordsize="21600,21600" o:spt="202" path="m,l,21600r21600,l21600,xe">
              <v:stroke joinstyle="miter"/>
              <v:path gradientshapeok="t" o:connecttype="rect"/>
            </v:shapetype>
            <v:shape id="Text Box 25" o:spid="_x0000_s1065" type="#_x0000_t202" style="position:absolute;margin-left:71pt;margin-top:36.55pt;width:178.6pt;height:24.2pt;z-index:-25165822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" filled="f" stroked="f">
              <v:textbox inset="0,0,0,0">
                <w:txbxContent>
                  <w:p w14:paraId="59C11A92" w14:textId="77777777" w:rsidR="004C7180" w:rsidRDefault="00CF0754">
                    <w:pPr>
                      <w:spacing w:line="223" w:lineRule="exact"/>
                      <w:ind w:left="20"/>
                      <w:rPr>
                        <w:rFonts w:ascii="Calibri"/>
                        <w:b/>
                        <w:sz w:val="20"/>
                      </w:rPr>
                    </w:pPr>
                    <w:r>
                      <w:rPr>
                        <w:rFonts w:ascii="Calibri"/>
                        <w:b/>
                        <w:sz w:val="20"/>
                      </w:rPr>
                      <w:t>Joint</w:t>
                    </w:r>
                    <w:r>
                      <w:rPr>
                        <w:rFonts w:ascii="Calibri"/>
                        <w:b/>
                        <w:spacing w:val="-7"/>
                        <w:sz w:val="20"/>
                      </w:rPr>
                      <w:t xml:space="preserve"> </w:t>
                    </w:r>
                    <w:r>
                      <w:rPr>
                        <w:rFonts w:ascii="Calibri"/>
                        <w:b/>
                        <w:sz w:val="20"/>
                      </w:rPr>
                      <w:t>Schedule</w:t>
                    </w:r>
                    <w:r>
                      <w:rPr>
                        <w:rFonts w:ascii="Calibri"/>
                        <w:b/>
                        <w:spacing w:val="-7"/>
                        <w:sz w:val="20"/>
                      </w:rPr>
                      <w:t xml:space="preserve"> </w:t>
                    </w:r>
                    <w:r>
                      <w:rPr>
                        <w:rFonts w:ascii="Calibri"/>
                        <w:b/>
                        <w:sz w:val="20"/>
                      </w:rPr>
                      <w:t>3</w:t>
                    </w:r>
                    <w:r>
                      <w:rPr>
                        <w:rFonts w:ascii="Calibri"/>
                        <w:b/>
                        <w:spacing w:val="-7"/>
                        <w:sz w:val="20"/>
                      </w:rPr>
                      <w:t xml:space="preserve"> </w:t>
                    </w:r>
                    <w:r>
                      <w:rPr>
                        <w:rFonts w:ascii="Calibri"/>
                        <w:b/>
                        <w:sz w:val="20"/>
                      </w:rPr>
                      <w:t>(Insurance</w:t>
                    </w:r>
                    <w:r>
                      <w:rPr>
                        <w:rFonts w:ascii="Calibri"/>
                        <w:b/>
                        <w:spacing w:val="-7"/>
                        <w:sz w:val="20"/>
                      </w:rPr>
                      <w:t xml:space="preserve"> </w:t>
                    </w:r>
                    <w:r>
                      <w:rPr>
                        <w:rFonts w:ascii="Calibri"/>
                        <w:b/>
                        <w:spacing w:val="-2"/>
                        <w:sz w:val="20"/>
                      </w:rPr>
                      <w:t>Requirements)</w:t>
                    </w:r>
                  </w:p>
                  <w:p w14:paraId="60252635" w14:textId="77777777" w:rsidR="004C7180" w:rsidRDefault="00CF0754">
                    <w:pPr>
                      <w:ind w:left="20"/>
                      <w:rPr>
                        <w:rFonts w:ascii="Calibri"/>
                        <w:sz w:val="20"/>
                      </w:rPr>
                    </w:pPr>
                    <w:r>
                      <w:rPr>
                        <w:rFonts w:ascii="Calibri"/>
                        <w:sz w:val="20"/>
                      </w:rPr>
                      <w:t>Crown</w:t>
                    </w:r>
                    <w:r>
                      <w:rPr>
                        <w:rFonts w:ascii="Calibri"/>
                        <w:spacing w:val="-9"/>
                        <w:sz w:val="20"/>
                      </w:rPr>
                      <w:t xml:space="preserve"> </w:t>
                    </w:r>
                    <w:r>
                      <w:rPr>
                        <w:rFonts w:ascii="Calibri"/>
                        <w:sz w:val="20"/>
                      </w:rPr>
                      <w:t>Copyright</w:t>
                    </w:r>
                    <w:r>
                      <w:rPr>
                        <w:rFonts w:ascii="Calibri"/>
                        <w:spacing w:val="-8"/>
                        <w:sz w:val="20"/>
                      </w:rPr>
                      <w:t xml:space="preserve"> </w:t>
                    </w:r>
                    <w:r>
                      <w:rPr>
                        <w:rFonts w:ascii="Calibri"/>
                        <w:spacing w:val="-4"/>
                        <w:sz w:val="20"/>
                      </w:rPr>
                      <w:t>2022</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446D2" w14:textId="77777777" w:rsidR="004C7180" w:rsidRDefault="00CF0754">
    <w:pPr>
      <w:pStyle w:val="BodyText"/>
      <w:spacing w:line="14" w:lineRule="auto"/>
      <w:rPr>
        <w:sz w:val="20"/>
      </w:rPr>
    </w:pPr>
    <w:r>
      <w:rPr>
        <w:noProof/>
        <w:lang w:val="en-GB" w:eastAsia="en-GB"/>
      </w:rPr>
      <mc:AlternateContent>
        <mc:Choice Requires="wps">
          <w:drawing>
            <wp:anchor distT="0" distB="0" distL="0" distR="0" simplePos="0" relativeHeight="251658254" behindDoc="1" locked="0" layoutInCell="1" allowOverlap="1" wp14:anchorId="695E7AF7" wp14:editId="68A0412D">
              <wp:simplePos x="0" y="0"/>
              <wp:positionH relativeFrom="page">
                <wp:posOffset>901700</wp:posOffset>
              </wp:positionH>
              <wp:positionV relativeFrom="page">
                <wp:posOffset>441241</wp:posOffset>
              </wp:positionV>
              <wp:extent cx="3074035" cy="31369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4035" cy="313690"/>
                      </a:xfrm>
                      <a:prstGeom prst="rect">
                        <a:avLst/>
                      </a:prstGeom>
                    </wps:spPr>
                    <wps:txbx>
                      <w:txbxContent>
                        <w:p w14:paraId="16E32CB6" w14:textId="77777777" w:rsidR="004C7180" w:rsidRDefault="00CF0754">
                          <w:pPr>
                            <w:spacing w:before="12"/>
                            <w:ind w:left="20"/>
                            <w:rPr>
                              <w:sz w:val="20"/>
                            </w:rPr>
                          </w:pPr>
                          <w:r>
                            <w:rPr>
                              <w:sz w:val="20"/>
                            </w:rPr>
                            <w:t>Joint</w:t>
                          </w:r>
                          <w:r>
                            <w:rPr>
                              <w:spacing w:val="-7"/>
                              <w:sz w:val="20"/>
                            </w:rPr>
                            <w:t xml:space="preserve"> </w:t>
                          </w:r>
                          <w:r>
                            <w:rPr>
                              <w:sz w:val="20"/>
                            </w:rPr>
                            <w:t>Schedule</w:t>
                          </w:r>
                          <w:r>
                            <w:rPr>
                              <w:spacing w:val="-9"/>
                              <w:sz w:val="20"/>
                            </w:rPr>
                            <w:t xml:space="preserve"> </w:t>
                          </w:r>
                          <w:r>
                            <w:rPr>
                              <w:sz w:val="20"/>
                            </w:rPr>
                            <w:t>4</w:t>
                          </w:r>
                          <w:r>
                            <w:rPr>
                              <w:spacing w:val="-9"/>
                              <w:sz w:val="20"/>
                            </w:rPr>
                            <w:t xml:space="preserve"> </w:t>
                          </w:r>
                          <w:r>
                            <w:rPr>
                              <w:sz w:val="20"/>
                            </w:rPr>
                            <w:t>(Commercially</w:t>
                          </w:r>
                          <w:r>
                            <w:rPr>
                              <w:spacing w:val="-8"/>
                              <w:sz w:val="20"/>
                            </w:rPr>
                            <w:t xml:space="preserve"> </w:t>
                          </w:r>
                          <w:r>
                            <w:rPr>
                              <w:sz w:val="20"/>
                            </w:rPr>
                            <w:t>Sensitive</w:t>
                          </w:r>
                          <w:r>
                            <w:rPr>
                              <w:spacing w:val="-9"/>
                              <w:sz w:val="20"/>
                            </w:rPr>
                            <w:t xml:space="preserve"> </w:t>
                          </w:r>
                          <w:r>
                            <w:rPr>
                              <w:sz w:val="20"/>
                            </w:rPr>
                            <w:t>Information) Crown Copyright 2022</w:t>
                          </w:r>
                        </w:p>
                      </w:txbxContent>
                    </wps:txbx>
                    <wps:bodyPr wrap="square" lIns="0" tIns="0" rIns="0" bIns="0" rtlCol="0">
                      <a:noAutofit/>
                    </wps:bodyPr>
                  </wps:wsp>
                </a:graphicData>
              </a:graphic>
            </wp:anchor>
          </w:drawing>
        </mc:Choice>
        <mc:Fallback>
          <w:pict>
            <v:shapetype w14:anchorId="695E7AF7" id="_x0000_t202" coordsize="21600,21600" o:spt="202" path="m,l,21600r21600,l21600,xe">
              <v:stroke joinstyle="miter"/>
              <v:path gradientshapeok="t" o:connecttype="rect"/>
            </v:shapetype>
            <v:shape id="Text Box 28" o:spid="_x0000_s1068" type="#_x0000_t202" style="position:absolute;margin-left:71pt;margin-top:34.75pt;width:242.05pt;height:24.7pt;z-index:-25165822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" filled="f" stroked="f">
              <v:textbox inset="0,0,0,0">
                <w:txbxContent>
                  <w:p w14:paraId="16E32CB6" w14:textId="77777777" w:rsidR="004C7180" w:rsidRDefault="00CF0754">
                    <w:pPr>
                      <w:spacing w:before="12"/>
                      <w:ind w:left="20"/>
                      <w:rPr>
                        <w:sz w:val="20"/>
                      </w:rPr>
                    </w:pPr>
                    <w:r>
                      <w:rPr>
                        <w:sz w:val="20"/>
                      </w:rPr>
                      <w:t>Joint</w:t>
                    </w:r>
                    <w:r>
                      <w:rPr>
                        <w:spacing w:val="-7"/>
                        <w:sz w:val="20"/>
                      </w:rPr>
                      <w:t xml:space="preserve"> </w:t>
                    </w:r>
                    <w:r>
                      <w:rPr>
                        <w:sz w:val="20"/>
                      </w:rPr>
                      <w:t>Schedule</w:t>
                    </w:r>
                    <w:r>
                      <w:rPr>
                        <w:spacing w:val="-9"/>
                        <w:sz w:val="20"/>
                      </w:rPr>
                      <w:t xml:space="preserve"> </w:t>
                    </w:r>
                    <w:r>
                      <w:rPr>
                        <w:sz w:val="20"/>
                      </w:rPr>
                      <w:t>4</w:t>
                    </w:r>
                    <w:r>
                      <w:rPr>
                        <w:spacing w:val="-9"/>
                        <w:sz w:val="20"/>
                      </w:rPr>
                      <w:t xml:space="preserve"> </w:t>
                    </w:r>
                    <w:r>
                      <w:rPr>
                        <w:sz w:val="20"/>
                      </w:rPr>
                      <w:t>(Commercially</w:t>
                    </w:r>
                    <w:r>
                      <w:rPr>
                        <w:spacing w:val="-8"/>
                        <w:sz w:val="20"/>
                      </w:rPr>
                      <w:t xml:space="preserve"> </w:t>
                    </w:r>
                    <w:r>
                      <w:rPr>
                        <w:sz w:val="20"/>
                      </w:rPr>
                      <w:t>Sensitive</w:t>
                    </w:r>
                    <w:r>
                      <w:rPr>
                        <w:spacing w:val="-9"/>
                        <w:sz w:val="20"/>
                      </w:rPr>
                      <w:t xml:space="preserve"> </w:t>
                    </w:r>
                    <w:r>
                      <w:rPr>
                        <w:sz w:val="20"/>
                      </w:rPr>
                      <w:t>Information) Crown Copyright 2022</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E606D" w14:textId="77777777" w:rsidR="004C7180" w:rsidRDefault="00CF0754">
    <w:pPr>
      <w:pStyle w:val="BodyText"/>
      <w:spacing w:line="14" w:lineRule="auto"/>
      <w:rPr>
        <w:sz w:val="20"/>
      </w:rPr>
    </w:pPr>
    <w:r>
      <w:rPr>
        <w:noProof/>
        <w:lang w:val="en-GB" w:eastAsia="en-GB"/>
      </w:rPr>
      <mc:AlternateContent>
        <mc:Choice Requires="wps">
          <w:drawing>
            <wp:anchor distT="0" distB="0" distL="0" distR="0" simplePos="0" relativeHeight="251658257" behindDoc="1" locked="0" layoutInCell="1" allowOverlap="1" wp14:anchorId="39B2A22F" wp14:editId="1504B1E1">
              <wp:simplePos x="0" y="0"/>
              <wp:positionH relativeFrom="page">
                <wp:posOffset>902004</wp:posOffset>
              </wp:positionH>
              <wp:positionV relativeFrom="page">
                <wp:posOffset>441241</wp:posOffset>
              </wp:positionV>
              <wp:extent cx="3070225" cy="313055"/>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0225" cy="313055"/>
                      </a:xfrm>
                      <a:prstGeom prst="rect">
                        <a:avLst/>
                      </a:prstGeom>
                    </wps:spPr>
                    <wps:txbx>
                      <w:txbxContent>
                        <w:p w14:paraId="74022669" w14:textId="77777777" w:rsidR="004C7180" w:rsidRDefault="00CF0754">
                          <w:pPr>
                            <w:spacing w:before="12"/>
                            <w:ind w:left="20"/>
                            <w:rPr>
                              <w:b/>
                              <w:sz w:val="20"/>
                            </w:rPr>
                          </w:pPr>
                          <w:r>
                            <w:rPr>
                              <w:b/>
                              <w:sz w:val="20"/>
                            </w:rPr>
                            <w:t>Joint</w:t>
                          </w:r>
                          <w:r>
                            <w:rPr>
                              <w:b/>
                              <w:spacing w:val="-6"/>
                              <w:sz w:val="20"/>
                            </w:rPr>
                            <w:t xml:space="preserve"> </w:t>
                          </w:r>
                          <w:r>
                            <w:rPr>
                              <w:b/>
                              <w:sz w:val="20"/>
                            </w:rPr>
                            <w:t>Schedule</w:t>
                          </w:r>
                          <w:r>
                            <w:rPr>
                              <w:b/>
                              <w:spacing w:val="-7"/>
                              <w:sz w:val="20"/>
                            </w:rPr>
                            <w:t xml:space="preserve"> </w:t>
                          </w:r>
                          <w:r>
                            <w:rPr>
                              <w:b/>
                              <w:sz w:val="20"/>
                            </w:rPr>
                            <w:t>5</w:t>
                          </w:r>
                          <w:r>
                            <w:rPr>
                              <w:b/>
                              <w:spacing w:val="-7"/>
                              <w:sz w:val="20"/>
                            </w:rPr>
                            <w:t xml:space="preserve"> </w:t>
                          </w:r>
                          <w:r>
                            <w:rPr>
                              <w:b/>
                              <w:sz w:val="20"/>
                            </w:rPr>
                            <w:t>(Corporate</w:t>
                          </w:r>
                          <w:r>
                            <w:rPr>
                              <w:b/>
                              <w:spacing w:val="-7"/>
                              <w:sz w:val="20"/>
                            </w:rPr>
                            <w:t xml:space="preserve"> </w:t>
                          </w:r>
                          <w:r>
                            <w:rPr>
                              <w:b/>
                              <w:sz w:val="20"/>
                            </w:rPr>
                            <w:t>Social</w:t>
                          </w:r>
                          <w:r>
                            <w:rPr>
                              <w:b/>
                              <w:spacing w:val="-6"/>
                              <w:sz w:val="20"/>
                            </w:rPr>
                            <w:t xml:space="preserve"> </w:t>
                          </w:r>
                          <w:r>
                            <w:rPr>
                              <w:b/>
                              <w:spacing w:val="-2"/>
                              <w:sz w:val="20"/>
                            </w:rPr>
                            <w:t>Responsibility)</w:t>
                          </w:r>
                        </w:p>
                        <w:p w14:paraId="118871D9" w14:textId="77777777" w:rsidR="004C7180" w:rsidRDefault="00CF0754">
                          <w:pPr>
                            <w:spacing w:before="1"/>
                            <w:ind w:left="20"/>
                            <w:rPr>
                              <w:sz w:val="20"/>
                            </w:rPr>
                          </w:pPr>
                          <w:r>
                            <w:rPr>
                              <w:sz w:val="20"/>
                            </w:rPr>
                            <w:t>Crown</w:t>
                          </w:r>
                          <w:r>
                            <w:rPr>
                              <w:spacing w:val="-11"/>
                              <w:sz w:val="20"/>
                            </w:rPr>
                            <w:t xml:space="preserve"> </w:t>
                          </w:r>
                          <w:r>
                            <w:rPr>
                              <w:sz w:val="20"/>
                            </w:rPr>
                            <w:t>Copyright</w:t>
                          </w:r>
                          <w:r>
                            <w:rPr>
                              <w:spacing w:val="-10"/>
                              <w:sz w:val="20"/>
                            </w:rPr>
                            <w:t xml:space="preserve"> </w:t>
                          </w:r>
                          <w:r>
                            <w:rPr>
                              <w:spacing w:val="-4"/>
                              <w:sz w:val="20"/>
                            </w:rPr>
                            <w:t>2022</w:t>
                          </w:r>
                        </w:p>
                      </w:txbxContent>
                    </wps:txbx>
                    <wps:bodyPr wrap="square" lIns="0" tIns="0" rIns="0" bIns="0" rtlCol="0">
                      <a:noAutofit/>
                    </wps:bodyPr>
                  </wps:wsp>
                </a:graphicData>
              </a:graphic>
            </wp:anchor>
          </w:drawing>
        </mc:Choice>
        <mc:Fallback>
          <w:pict>
            <v:shapetype w14:anchorId="39B2A22F" id="_x0000_t202" coordsize="21600,21600" o:spt="202" path="m,l,21600r21600,l21600,xe">
              <v:stroke joinstyle="miter"/>
              <v:path gradientshapeok="t" o:connecttype="rect"/>
            </v:shapetype>
            <v:shape id="Text Box 31" o:spid="_x0000_s1071" type="#_x0000_t202" style="position:absolute;margin-left:71pt;margin-top:34.75pt;width:241.75pt;height:24.65pt;z-index:-25165822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" filled="f" stroked="f">
              <v:textbox inset="0,0,0,0">
                <w:txbxContent>
                  <w:p w14:paraId="74022669" w14:textId="77777777" w:rsidR="004C7180" w:rsidRDefault="00CF0754">
                    <w:pPr>
                      <w:spacing w:before="12"/>
                      <w:ind w:left="20"/>
                      <w:rPr>
                        <w:b/>
                        <w:sz w:val="20"/>
                      </w:rPr>
                    </w:pPr>
                    <w:r>
                      <w:rPr>
                        <w:b/>
                        <w:sz w:val="20"/>
                      </w:rPr>
                      <w:t>Joint</w:t>
                    </w:r>
                    <w:r>
                      <w:rPr>
                        <w:b/>
                        <w:spacing w:val="-6"/>
                        <w:sz w:val="20"/>
                      </w:rPr>
                      <w:t xml:space="preserve"> </w:t>
                    </w:r>
                    <w:r>
                      <w:rPr>
                        <w:b/>
                        <w:sz w:val="20"/>
                      </w:rPr>
                      <w:t>Schedule</w:t>
                    </w:r>
                    <w:r>
                      <w:rPr>
                        <w:b/>
                        <w:spacing w:val="-7"/>
                        <w:sz w:val="20"/>
                      </w:rPr>
                      <w:t xml:space="preserve"> </w:t>
                    </w:r>
                    <w:r>
                      <w:rPr>
                        <w:b/>
                        <w:sz w:val="20"/>
                      </w:rPr>
                      <w:t>5</w:t>
                    </w:r>
                    <w:r>
                      <w:rPr>
                        <w:b/>
                        <w:spacing w:val="-7"/>
                        <w:sz w:val="20"/>
                      </w:rPr>
                      <w:t xml:space="preserve"> </w:t>
                    </w:r>
                    <w:r>
                      <w:rPr>
                        <w:b/>
                        <w:sz w:val="20"/>
                      </w:rPr>
                      <w:t>(Corporate</w:t>
                    </w:r>
                    <w:r>
                      <w:rPr>
                        <w:b/>
                        <w:spacing w:val="-7"/>
                        <w:sz w:val="20"/>
                      </w:rPr>
                      <w:t xml:space="preserve"> </w:t>
                    </w:r>
                    <w:r>
                      <w:rPr>
                        <w:b/>
                        <w:sz w:val="20"/>
                      </w:rPr>
                      <w:t>Social</w:t>
                    </w:r>
                    <w:r>
                      <w:rPr>
                        <w:b/>
                        <w:spacing w:val="-6"/>
                        <w:sz w:val="20"/>
                      </w:rPr>
                      <w:t xml:space="preserve"> </w:t>
                    </w:r>
                    <w:r>
                      <w:rPr>
                        <w:b/>
                        <w:spacing w:val="-2"/>
                        <w:sz w:val="20"/>
                      </w:rPr>
                      <w:t>Responsibility)</w:t>
                    </w:r>
                  </w:p>
                  <w:p w14:paraId="118871D9" w14:textId="77777777" w:rsidR="004C7180" w:rsidRDefault="00CF0754">
                    <w:pPr>
                      <w:spacing w:before="1"/>
                      <w:ind w:left="20"/>
                      <w:rPr>
                        <w:sz w:val="20"/>
                      </w:rPr>
                    </w:pPr>
                    <w:r>
                      <w:rPr>
                        <w:sz w:val="20"/>
                      </w:rPr>
                      <w:t>Crown</w:t>
                    </w:r>
                    <w:r>
                      <w:rPr>
                        <w:spacing w:val="-11"/>
                        <w:sz w:val="20"/>
                      </w:rPr>
                      <w:t xml:space="preserve"> </w:t>
                    </w:r>
                    <w:r>
                      <w:rPr>
                        <w:sz w:val="20"/>
                      </w:rPr>
                      <w:t>Copyright</w:t>
                    </w:r>
                    <w:r>
                      <w:rPr>
                        <w:spacing w:val="-10"/>
                        <w:sz w:val="20"/>
                      </w:rPr>
                      <w:t xml:space="preserve"> </w:t>
                    </w:r>
                    <w:r>
                      <w:rPr>
                        <w:spacing w:val="-4"/>
                        <w:sz w:val="20"/>
                      </w:rPr>
                      <w:t>2022</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40274" w14:textId="77777777" w:rsidR="004C7180" w:rsidRDefault="00CF0754">
    <w:pPr>
      <w:pStyle w:val="BodyText"/>
      <w:spacing w:line="14" w:lineRule="auto"/>
      <w:rPr>
        <w:sz w:val="20"/>
      </w:rPr>
    </w:pPr>
    <w:r>
      <w:rPr>
        <w:noProof/>
        <w:lang w:val="en-GB" w:eastAsia="en-GB"/>
      </w:rPr>
      <mc:AlternateContent>
        <mc:Choice Requires="wps">
          <w:drawing>
            <wp:anchor distT="0" distB="0" distL="0" distR="0" simplePos="0" relativeHeight="251658260" behindDoc="1" locked="0" layoutInCell="1" allowOverlap="1" wp14:anchorId="34C57BCF" wp14:editId="172B8281">
              <wp:simplePos x="0" y="0"/>
              <wp:positionH relativeFrom="page">
                <wp:posOffset>902004</wp:posOffset>
              </wp:positionH>
              <wp:positionV relativeFrom="page">
                <wp:posOffset>441241</wp:posOffset>
              </wp:positionV>
              <wp:extent cx="3070225" cy="313055"/>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0225" cy="313055"/>
                      </a:xfrm>
                      <a:prstGeom prst="rect">
                        <a:avLst/>
                      </a:prstGeom>
                    </wps:spPr>
                    <wps:txbx>
                      <w:txbxContent>
                        <w:p w14:paraId="6164651F" w14:textId="77777777" w:rsidR="004C7180" w:rsidRDefault="00CF0754">
                          <w:pPr>
                            <w:spacing w:before="12"/>
                            <w:ind w:left="20"/>
                            <w:rPr>
                              <w:b/>
                              <w:sz w:val="20"/>
                            </w:rPr>
                          </w:pPr>
                          <w:r>
                            <w:rPr>
                              <w:b/>
                              <w:sz w:val="20"/>
                            </w:rPr>
                            <w:t>Joint</w:t>
                          </w:r>
                          <w:r>
                            <w:rPr>
                              <w:b/>
                              <w:spacing w:val="-6"/>
                              <w:sz w:val="20"/>
                            </w:rPr>
                            <w:t xml:space="preserve"> </w:t>
                          </w:r>
                          <w:r>
                            <w:rPr>
                              <w:b/>
                              <w:sz w:val="20"/>
                            </w:rPr>
                            <w:t>Schedule</w:t>
                          </w:r>
                          <w:r>
                            <w:rPr>
                              <w:b/>
                              <w:spacing w:val="-7"/>
                              <w:sz w:val="20"/>
                            </w:rPr>
                            <w:t xml:space="preserve"> </w:t>
                          </w:r>
                          <w:r>
                            <w:rPr>
                              <w:b/>
                              <w:sz w:val="20"/>
                            </w:rPr>
                            <w:t>5</w:t>
                          </w:r>
                          <w:r>
                            <w:rPr>
                              <w:b/>
                              <w:spacing w:val="-7"/>
                              <w:sz w:val="20"/>
                            </w:rPr>
                            <w:t xml:space="preserve"> </w:t>
                          </w:r>
                          <w:r>
                            <w:rPr>
                              <w:b/>
                              <w:sz w:val="20"/>
                            </w:rPr>
                            <w:t>(Corporate</w:t>
                          </w:r>
                          <w:r>
                            <w:rPr>
                              <w:b/>
                              <w:spacing w:val="-7"/>
                              <w:sz w:val="20"/>
                            </w:rPr>
                            <w:t xml:space="preserve"> </w:t>
                          </w:r>
                          <w:r>
                            <w:rPr>
                              <w:b/>
                              <w:sz w:val="20"/>
                            </w:rPr>
                            <w:t>Social</w:t>
                          </w:r>
                          <w:r>
                            <w:rPr>
                              <w:b/>
                              <w:spacing w:val="-6"/>
                              <w:sz w:val="20"/>
                            </w:rPr>
                            <w:t xml:space="preserve"> </w:t>
                          </w:r>
                          <w:r>
                            <w:rPr>
                              <w:b/>
                              <w:spacing w:val="-2"/>
                              <w:sz w:val="20"/>
                            </w:rPr>
                            <w:t>Responsibility)</w:t>
                          </w:r>
                        </w:p>
                        <w:p w14:paraId="63884587" w14:textId="77777777" w:rsidR="004C7180" w:rsidRDefault="00CF0754">
                          <w:pPr>
                            <w:spacing w:before="1"/>
                            <w:ind w:left="20"/>
                            <w:rPr>
                              <w:sz w:val="20"/>
                            </w:rPr>
                          </w:pPr>
                          <w:r>
                            <w:rPr>
                              <w:sz w:val="20"/>
                            </w:rPr>
                            <w:t>Crown</w:t>
                          </w:r>
                          <w:r>
                            <w:rPr>
                              <w:spacing w:val="-11"/>
                              <w:sz w:val="20"/>
                            </w:rPr>
                            <w:t xml:space="preserve"> </w:t>
                          </w:r>
                          <w:r>
                            <w:rPr>
                              <w:sz w:val="20"/>
                            </w:rPr>
                            <w:t>Copyright</w:t>
                          </w:r>
                          <w:r>
                            <w:rPr>
                              <w:spacing w:val="-10"/>
                              <w:sz w:val="20"/>
                            </w:rPr>
                            <w:t xml:space="preserve"> </w:t>
                          </w:r>
                          <w:r>
                            <w:rPr>
                              <w:spacing w:val="-4"/>
                              <w:sz w:val="20"/>
                            </w:rPr>
                            <w:t>2022</w:t>
                          </w:r>
                        </w:p>
                      </w:txbxContent>
                    </wps:txbx>
                    <wps:bodyPr wrap="square" lIns="0" tIns="0" rIns="0" bIns="0" rtlCol="0">
                      <a:noAutofit/>
                    </wps:bodyPr>
                  </wps:wsp>
                </a:graphicData>
              </a:graphic>
            </wp:anchor>
          </w:drawing>
        </mc:Choice>
        <mc:Fallback>
          <w:pict>
            <v:shapetype w14:anchorId="34C57BCF" id="_x0000_t202" coordsize="21600,21600" o:spt="202" path="m,l,21600r21600,l21600,xe">
              <v:stroke joinstyle="miter"/>
              <v:path gradientshapeok="t" o:connecttype="rect"/>
            </v:shapetype>
            <v:shape id="Text Box 34" o:spid="_x0000_s1074" type="#_x0000_t202" style="position:absolute;margin-left:71pt;margin-top:34.75pt;width:241.75pt;height:24.65pt;z-index:-2516582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" filled="f" stroked="f">
              <v:textbox inset="0,0,0,0">
                <w:txbxContent>
                  <w:p w14:paraId="6164651F" w14:textId="77777777" w:rsidR="004C7180" w:rsidRDefault="00CF0754">
                    <w:pPr>
                      <w:spacing w:before="12"/>
                      <w:ind w:left="20"/>
                      <w:rPr>
                        <w:b/>
                        <w:sz w:val="20"/>
                      </w:rPr>
                    </w:pPr>
                    <w:r>
                      <w:rPr>
                        <w:b/>
                        <w:sz w:val="20"/>
                      </w:rPr>
                      <w:t>Joint</w:t>
                    </w:r>
                    <w:r>
                      <w:rPr>
                        <w:b/>
                        <w:spacing w:val="-6"/>
                        <w:sz w:val="20"/>
                      </w:rPr>
                      <w:t xml:space="preserve"> </w:t>
                    </w:r>
                    <w:r>
                      <w:rPr>
                        <w:b/>
                        <w:sz w:val="20"/>
                      </w:rPr>
                      <w:t>Schedule</w:t>
                    </w:r>
                    <w:r>
                      <w:rPr>
                        <w:b/>
                        <w:spacing w:val="-7"/>
                        <w:sz w:val="20"/>
                      </w:rPr>
                      <w:t xml:space="preserve"> </w:t>
                    </w:r>
                    <w:r>
                      <w:rPr>
                        <w:b/>
                        <w:sz w:val="20"/>
                      </w:rPr>
                      <w:t>5</w:t>
                    </w:r>
                    <w:r>
                      <w:rPr>
                        <w:b/>
                        <w:spacing w:val="-7"/>
                        <w:sz w:val="20"/>
                      </w:rPr>
                      <w:t xml:space="preserve"> </w:t>
                    </w:r>
                    <w:r>
                      <w:rPr>
                        <w:b/>
                        <w:sz w:val="20"/>
                      </w:rPr>
                      <w:t>(Corporate</w:t>
                    </w:r>
                    <w:r>
                      <w:rPr>
                        <w:b/>
                        <w:spacing w:val="-7"/>
                        <w:sz w:val="20"/>
                      </w:rPr>
                      <w:t xml:space="preserve"> </w:t>
                    </w:r>
                    <w:r>
                      <w:rPr>
                        <w:b/>
                        <w:sz w:val="20"/>
                      </w:rPr>
                      <w:t>Social</w:t>
                    </w:r>
                    <w:r>
                      <w:rPr>
                        <w:b/>
                        <w:spacing w:val="-6"/>
                        <w:sz w:val="20"/>
                      </w:rPr>
                      <w:t xml:space="preserve"> </w:t>
                    </w:r>
                    <w:r>
                      <w:rPr>
                        <w:b/>
                        <w:spacing w:val="-2"/>
                        <w:sz w:val="20"/>
                      </w:rPr>
                      <w:t>Responsibility)</w:t>
                    </w:r>
                  </w:p>
                  <w:p w14:paraId="63884587" w14:textId="77777777" w:rsidR="004C7180" w:rsidRDefault="00CF0754">
                    <w:pPr>
                      <w:spacing w:before="1"/>
                      <w:ind w:left="20"/>
                      <w:rPr>
                        <w:sz w:val="20"/>
                      </w:rPr>
                    </w:pPr>
                    <w:r>
                      <w:rPr>
                        <w:sz w:val="20"/>
                      </w:rPr>
                      <w:t>Crown</w:t>
                    </w:r>
                    <w:r>
                      <w:rPr>
                        <w:spacing w:val="-11"/>
                        <w:sz w:val="20"/>
                      </w:rPr>
                      <w:t xml:space="preserve"> </w:t>
                    </w:r>
                    <w:r>
                      <w:rPr>
                        <w:sz w:val="20"/>
                      </w:rPr>
                      <w:t>Copyright</w:t>
                    </w:r>
                    <w:r>
                      <w:rPr>
                        <w:spacing w:val="-10"/>
                        <w:sz w:val="20"/>
                      </w:rPr>
                      <w:t xml:space="preserve"> </w:t>
                    </w:r>
                    <w:r>
                      <w:rPr>
                        <w:spacing w:val="-4"/>
                        <w:sz w:val="20"/>
                      </w:rPr>
                      <w:t>2022</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7AF47" w14:textId="77777777" w:rsidR="004C7180" w:rsidRDefault="00CF0754">
    <w:pPr>
      <w:pStyle w:val="BodyText"/>
      <w:spacing w:line="14" w:lineRule="auto"/>
      <w:rPr>
        <w:sz w:val="20"/>
      </w:rPr>
    </w:pPr>
    <w:r>
      <w:rPr>
        <w:noProof/>
        <w:lang w:val="en-GB" w:eastAsia="en-GB"/>
      </w:rPr>
      <mc:AlternateContent>
        <mc:Choice Requires="wps">
          <w:drawing>
            <wp:anchor distT="0" distB="0" distL="0" distR="0" simplePos="0" relativeHeight="251658263" behindDoc="1" locked="0" layoutInCell="1" allowOverlap="1" wp14:anchorId="428BF690" wp14:editId="0E7EBFA4">
              <wp:simplePos x="0" y="0"/>
              <wp:positionH relativeFrom="page">
                <wp:posOffset>902004</wp:posOffset>
              </wp:positionH>
              <wp:positionV relativeFrom="page">
                <wp:posOffset>441241</wp:posOffset>
              </wp:positionV>
              <wp:extent cx="2358390" cy="313055"/>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8390" cy="313055"/>
                      </a:xfrm>
                      <a:prstGeom prst="rect">
                        <a:avLst/>
                      </a:prstGeom>
                    </wps:spPr>
                    <wps:txbx>
                      <w:txbxContent>
                        <w:p w14:paraId="24182CEB" w14:textId="77777777" w:rsidR="004C7180" w:rsidRDefault="00CF0754">
                          <w:pPr>
                            <w:spacing w:before="12"/>
                            <w:ind w:left="20"/>
                            <w:rPr>
                              <w:b/>
                              <w:sz w:val="20"/>
                            </w:rPr>
                          </w:pPr>
                          <w:r>
                            <w:rPr>
                              <w:b/>
                              <w:sz w:val="20"/>
                            </w:rPr>
                            <w:t>Joint</w:t>
                          </w:r>
                          <w:r>
                            <w:rPr>
                              <w:b/>
                              <w:spacing w:val="-5"/>
                              <w:sz w:val="20"/>
                            </w:rPr>
                            <w:t xml:space="preserve"> </w:t>
                          </w:r>
                          <w:r>
                            <w:rPr>
                              <w:b/>
                              <w:sz w:val="20"/>
                            </w:rPr>
                            <w:t>Schedule</w:t>
                          </w:r>
                          <w:r>
                            <w:rPr>
                              <w:b/>
                              <w:spacing w:val="-5"/>
                              <w:sz w:val="20"/>
                            </w:rPr>
                            <w:t xml:space="preserve"> </w:t>
                          </w:r>
                          <w:r>
                            <w:rPr>
                              <w:b/>
                              <w:sz w:val="20"/>
                            </w:rPr>
                            <w:t>6</w:t>
                          </w:r>
                          <w:r>
                            <w:rPr>
                              <w:b/>
                              <w:spacing w:val="-5"/>
                              <w:sz w:val="20"/>
                            </w:rPr>
                            <w:t xml:space="preserve"> </w:t>
                          </w:r>
                          <w:r>
                            <w:rPr>
                              <w:b/>
                              <w:sz w:val="20"/>
                            </w:rPr>
                            <w:t>(Key</w:t>
                          </w:r>
                          <w:r>
                            <w:rPr>
                              <w:b/>
                              <w:spacing w:val="-5"/>
                              <w:sz w:val="20"/>
                            </w:rPr>
                            <w:t xml:space="preserve"> </w:t>
                          </w:r>
                          <w:r>
                            <w:rPr>
                              <w:b/>
                              <w:spacing w:val="-2"/>
                              <w:sz w:val="20"/>
                            </w:rPr>
                            <w:t>Subcontractors)</w:t>
                          </w:r>
                        </w:p>
                        <w:p w14:paraId="4E7FF1DC" w14:textId="77777777" w:rsidR="004C7180" w:rsidRDefault="00CF0754">
                          <w:pPr>
                            <w:spacing w:before="1"/>
                            <w:ind w:left="20"/>
                            <w:rPr>
                              <w:sz w:val="20"/>
                            </w:rPr>
                          </w:pPr>
                          <w:r>
                            <w:rPr>
                              <w:sz w:val="20"/>
                            </w:rPr>
                            <w:t>Crown</w:t>
                          </w:r>
                          <w:r>
                            <w:rPr>
                              <w:spacing w:val="-11"/>
                              <w:sz w:val="20"/>
                            </w:rPr>
                            <w:t xml:space="preserve"> </w:t>
                          </w:r>
                          <w:r>
                            <w:rPr>
                              <w:sz w:val="20"/>
                            </w:rPr>
                            <w:t>Copyright</w:t>
                          </w:r>
                          <w:r>
                            <w:rPr>
                              <w:spacing w:val="-10"/>
                              <w:sz w:val="20"/>
                            </w:rPr>
                            <w:t xml:space="preserve"> </w:t>
                          </w:r>
                          <w:r>
                            <w:rPr>
                              <w:spacing w:val="-4"/>
                              <w:sz w:val="20"/>
                            </w:rPr>
                            <w:t>2022</w:t>
                          </w:r>
                        </w:p>
                      </w:txbxContent>
                    </wps:txbx>
                    <wps:bodyPr wrap="square" lIns="0" tIns="0" rIns="0" bIns="0" rtlCol="0">
                      <a:noAutofit/>
                    </wps:bodyPr>
                  </wps:wsp>
                </a:graphicData>
              </a:graphic>
            </wp:anchor>
          </w:drawing>
        </mc:Choice>
        <mc:Fallback>
          <w:pict>
            <v:shapetype w14:anchorId="428BF690" id="_x0000_t202" coordsize="21600,21600" o:spt="202" path="m,l,21600r21600,l21600,xe">
              <v:stroke joinstyle="miter"/>
              <v:path gradientshapeok="t" o:connecttype="rect"/>
            </v:shapetype>
            <v:shape id="Text Box 37" o:spid="_x0000_s1077" type="#_x0000_t202" style="position:absolute;margin-left:71pt;margin-top:34.75pt;width:185.7pt;height:24.65pt;z-index:-25165821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" filled="f" stroked="f">
              <v:textbox inset="0,0,0,0">
                <w:txbxContent>
                  <w:p w14:paraId="24182CEB" w14:textId="77777777" w:rsidR="004C7180" w:rsidRDefault="00CF0754">
                    <w:pPr>
                      <w:spacing w:before="12"/>
                      <w:ind w:left="20"/>
                      <w:rPr>
                        <w:b/>
                        <w:sz w:val="20"/>
                      </w:rPr>
                    </w:pPr>
                    <w:r>
                      <w:rPr>
                        <w:b/>
                        <w:sz w:val="20"/>
                      </w:rPr>
                      <w:t>Joint</w:t>
                    </w:r>
                    <w:r>
                      <w:rPr>
                        <w:b/>
                        <w:spacing w:val="-5"/>
                        <w:sz w:val="20"/>
                      </w:rPr>
                      <w:t xml:space="preserve"> </w:t>
                    </w:r>
                    <w:r>
                      <w:rPr>
                        <w:b/>
                        <w:sz w:val="20"/>
                      </w:rPr>
                      <w:t>Schedule</w:t>
                    </w:r>
                    <w:r>
                      <w:rPr>
                        <w:b/>
                        <w:spacing w:val="-5"/>
                        <w:sz w:val="20"/>
                      </w:rPr>
                      <w:t xml:space="preserve"> </w:t>
                    </w:r>
                    <w:r>
                      <w:rPr>
                        <w:b/>
                        <w:sz w:val="20"/>
                      </w:rPr>
                      <w:t>6</w:t>
                    </w:r>
                    <w:r>
                      <w:rPr>
                        <w:b/>
                        <w:spacing w:val="-5"/>
                        <w:sz w:val="20"/>
                      </w:rPr>
                      <w:t xml:space="preserve"> </w:t>
                    </w:r>
                    <w:r>
                      <w:rPr>
                        <w:b/>
                        <w:sz w:val="20"/>
                      </w:rPr>
                      <w:t>(Key</w:t>
                    </w:r>
                    <w:r>
                      <w:rPr>
                        <w:b/>
                        <w:spacing w:val="-5"/>
                        <w:sz w:val="20"/>
                      </w:rPr>
                      <w:t xml:space="preserve"> </w:t>
                    </w:r>
                    <w:r>
                      <w:rPr>
                        <w:b/>
                        <w:spacing w:val="-2"/>
                        <w:sz w:val="20"/>
                      </w:rPr>
                      <w:t>Subcontractors)</w:t>
                    </w:r>
                  </w:p>
                  <w:p w14:paraId="4E7FF1DC" w14:textId="77777777" w:rsidR="004C7180" w:rsidRDefault="00CF0754">
                    <w:pPr>
                      <w:spacing w:before="1"/>
                      <w:ind w:left="20"/>
                      <w:rPr>
                        <w:sz w:val="20"/>
                      </w:rPr>
                    </w:pPr>
                    <w:r>
                      <w:rPr>
                        <w:sz w:val="20"/>
                      </w:rPr>
                      <w:t>Crown</w:t>
                    </w:r>
                    <w:r>
                      <w:rPr>
                        <w:spacing w:val="-11"/>
                        <w:sz w:val="20"/>
                      </w:rPr>
                      <w:t xml:space="preserve"> </w:t>
                    </w:r>
                    <w:r>
                      <w:rPr>
                        <w:sz w:val="20"/>
                      </w:rPr>
                      <w:t>Copyright</w:t>
                    </w:r>
                    <w:r>
                      <w:rPr>
                        <w:spacing w:val="-10"/>
                        <w:sz w:val="20"/>
                      </w:rPr>
                      <w:t xml:space="preserve"> </w:t>
                    </w:r>
                    <w:r>
                      <w:rPr>
                        <w:spacing w:val="-4"/>
                        <w:sz w:val="20"/>
                      </w:rPr>
                      <w:t>2022</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83E3F"/>
    <w:multiLevelType w:val="hybridMultilevel"/>
    <w:tmpl w:val="57CA635C"/>
    <w:lvl w:ilvl="0" w:tplc="191C9D2C">
      <w:numFmt w:val="bullet"/>
      <w:lvlText w:val=""/>
      <w:lvlJc w:val="left"/>
      <w:pPr>
        <w:ind w:left="816" w:hanging="360"/>
      </w:pPr>
      <w:rPr>
        <w:rFonts w:ascii="Wingdings" w:eastAsia="Wingdings" w:hAnsi="Wingdings" w:cs="Wingdings" w:hint="default"/>
        <w:b w:val="0"/>
        <w:bCs w:val="0"/>
        <w:i w:val="0"/>
        <w:iCs w:val="0"/>
        <w:color w:val="0D0D0D"/>
        <w:spacing w:val="0"/>
        <w:w w:val="100"/>
        <w:sz w:val="24"/>
        <w:szCs w:val="24"/>
        <w:lang w:val="en-US" w:eastAsia="en-US" w:bidi="ar-SA"/>
      </w:rPr>
    </w:lvl>
    <w:lvl w:ilvl="1" w:tplc="438E25EC">
      <w:numFmt w:val="bullet"/>
      <w:lvlText w:val="•"/>
      <w:lvlJc w:val="left"/>
      <w:pPr>
        <w:ind w:left="1036" w:hanging="360"/>
      </w:pPr>
      <w:rPr>
        <w:rFonts w:hint="default"/>
        <w:lang w:val="en-US" w:eastAsia="en-US" w:bidi="ar-SA"/>
      </w:rPr>
    </w:lvl>
    <w:lvl w:ilvl="2" w:tplc="1D1C413E">
      <w:numFmt w:val="bullet"/>
      <w:lvlText w:val="•"/>
      <w:lvlJc w:val="left"/>
      <w:pPr>
        <w:ind w:left="1252" w:hanging="360"/>
      </w:pPr>
      <w:rPr>
        <w:rFonts w:hint="default"/>
        <w:lang w:val="en-US" w:eastAsia="en-US" w:bidi="ar-SA"/>
      </w:rPr>
    </w:lvl>
    <w:lvl w:ilvl="3" w:tplc="7592E2A8">
      <w:numFmt w:val="bullet"/>
      <w:lvlText w:val="•"/>
      <w:lvlJc w:val="left"/>
      <w:pPr>
        <w:ind w:left="1469" w:hanging="360"/>
      </w:pPr>
      <w:rPr>
        <w:rFonts w:hint="default"/>
        <w:lang w:val="en-US" w:eastAsia="en-US" w:bidi="ar-SA"/>
      </w:rPr>
    </w:lvl>
    <w:lvl w:ilvl="4" w:tplc="D5E8CA6C">
      <w:numFmt w:val="bullet"/>
      <w:lvlText w:val="•"/>
      <w:lvlJc w:val="left"/>
      <w:pPr>
        <w:ind w:left="1685" w:hanging="360"/>
      </w:pPr>
      <w:rPr>
        <w:rFonts w:hint="default"/>
        <w:lang w:val="en-US" w:eastAsia="en-US" w:bidi="ar-SA"/>
      </w:rPr>
    </w:lvl>
    <w:lvl w:ilvl="5" w:tplc="1E0E88E0">
      <w:numFmt w:val="bullet"/>
      <w:lvlText w:val="•"/>
      <w:lvlJc w:val="left"/>
      <w:pPr>
        <w:ind w:left="1901" w:hanging="360"/>
      </w:pPr>
      <w:rPr>
        <w:rFonts w:hint="default"/>
        <w:lang w:val="en-US" w:eastAsia="en-US" w:bidi="ar-SA"/>
      </w:rPr>
    </w:lvl>
    <w:lvl w:ilvl="6" w:tplc="63D08E42">
      <w:numFmt w:val="bullet"/>
      <w:lvlText w:val="•"/>
      <w:lvlJc w:val="left"/>
      <w:pPr>
        <w:ind w:left="2118" w:hanging="360"/>
      </w:pPr>
      <w:rPr>
        <w:rFonts w:hint="default"/>
        <w:lang w:val="en-US" w:eastAsia="en-US" w:bidi="ar-SA"/>
      </w:rPr>
    </w:lvl>
    <w:lvl w:ilvl="7" w:tplc="0D42D7F8">
      <w:numFmt w:val="bullet"/>
      <w:lvlText w:val="•"/>
      <w:lvlJc w:val="left"/>
      <w:pPr>
        <w:ind w:left="2334" w:hanging="360"/>
      </w:pPr>
      <w:rPr>
        <w:rFonts w:hint="default"/>
        <w:lang w:val="en-US" w:eastAsia="en-US" w:bidi="ar-SA"/>
      </w:rPr>
    </w:lvl>
    <w:lvl w:ilvl="8" w:tplc="F29CD380">
      <w:numFmt w:val="bullet"/>
      <w:lvlText w:val="•"/>
      <w:lvlJc w:val="left"/>
      <w:pPr>
        <w:ind w:left="2550" w:hanging="360"/>
      </w:pPr>
      <w:rPr>
        <w:rFonts w:hint="default"/>
        <w:lang w:val="en-US" w:eastAsia="en-US" w:bidi="ar-SA"/>
      </w:rPr>
    </w:lvl>
  </w:abstractNum>
  <w:abstractNum w:abstractNumId="1" w15:restartNumberingAfterBreak="0">
    <w:nsid w:val="007E1E61"/>
    <w:multiLevelType w:val="hybridMultilevel"/>
    <w:tmpl w:val="428EC69A"/>
    <w:lvl w:ilvl="0" w:tplc="C038AD8E">
      <w:start w:val="1"/>
      <w:numFmt w:val="lowerLetter"/>
      <w:lvlText w:val="(%1)"/>
      <w:lvlJc w:val="left"/>
      <w:pPr>
        <w:ind w:left="1494" w:hanging="428"/>
      </w:pPr>
      <w:rPr>
        <w:rFonts w:ascii="Calibri" w:eastAsia="Calibri" w:hAnsi="Calibri" w:cs="Calibri" w:hint="default"/>
        <w:b w:val="0"/>
        <w:bCs w:val="0"/>
        <w:i w:val="0"/>
        <w:iCs w:val="0"/>
        <w:spacing w:val="-1"/>
        <w:w w:val="100"/>
        <w:sz w:val="24"/>
        <w:szCs w:val="24"/>
        <w:lang w:val="en-US" w:eastAsia="en-US" w:bidi="ar-SA"/>
      </w:rPr>
    </w:lvl>
    <w:lvl w:ilvl="1" w:tplc="96884868">
      <w:numFmt w:val="bullet"/>
      <w:lvlText w:val="•"/>
      <w:lvlJc w:val="left"/>
      <w:pPr>
        <w:ind w:left="2536" w:hanging="428"/>
      </w:pPr>
      <w:rPr>
        <w:rFonts w:hint="default"/>
        <w:lang w:val="en-US" w:eastAsia="en-US" w:bidi="ar-SA"/>
      </w:rPr>
    </w:lvl>
    <w:lvl w:ilvl="2" w:tplc="115A0380">
      <w:numFmt w:val="bullet"/>
      <w:lvlText w:val="•"/>
      <w:lvlJc w:val="left"/>
      <w:pPr>
        <w:ind w:left="3573" w:hanging="428"/>
      </w:pPr>
      <w:rPr>
        <w:rFonts w:hint="default"/>
        <w:lang w:val="en-US" w:eastAsia="en-US" w:bidi="ar-SA"/>
      </w:rPr>
    </w:lvl>
    <w:lvl w:ilvl="3" w:tplc="BD3666FA">
      <w:numFmt w:val="bullet"/>
      <w:lvlText w:val="•"/>
      <w:lvlJc w:val="left"/>
      <w:pPr>
        <w:ind w:left="4609" w:hanging="428"/>
      </w:pPr>
      <w:rPr>
        <w:rFonts w:hint="default"/>
        <w:lang w:val="en-US" w:eastAsia="en-US" w:bidi="ar-SA"/>
      </w:rPr>
    </w:lvl>
    <w:lvl w:ilvl="4" w:tplc="DBD28AF0">
      <w:numFmt w:val="bullet"/>
      <w:lvlText w:val="•"/>
      <w:lvlJc w:val="left"/>
      <w:pPr>
        <w:ind w:left="5646" w:hanging="428"/>
      </w:pPr>
      <w:rPr>
        <w:rFonts w:hint="default"/>
        <w:lang w:val="en-US" w:eastAsia="en-US" w:bidi="ar-SA"/>
      </w:rPr>
    </w:lvl>
    <w:lvl w:ilvl="5" w:tplc="B518D086">
      <w:numFmt w:val="bullet"/>
      <w:lvlText w:val="•"/>
      <w:lvlJc w:val="left"/>
      <w:pPr>
        <w:ind w:left="6683" w:hanging="428"/>
      </w:pPr>
      <w:rPr>
        <w:rFonts w:hint="default"/>
        <w:lang w:val="en-US" w:eastAsia="en-US" w:bidi="ar-SA"/>
      </w:rPr>
    </w:lvl>
    <w:lvl w:ilvl="6" w:tplc="249AB50A">
      <w:numFmt w:val="bullet"/>
      <w:lvlText w:val="•"/>
      <w:lvlJc w:val="left"/>
      <w:pPr>
        <w:ind w:left="7719" w:hanging="428"/>
      </w:pPr>
      <w:rPr>
        <w:rFonts w:hint="default"/>
        <w:lang w:val="en-US" w:eastAsia="en-US" w:bidi="ar-SA"/>
      </w:rPr>
    </w:lvl>
    <w:lvl w:ilvl="7" w:tplc="AE708390">
      <w:numFmt w:val="bullet"/>
      <w:lvlText w:val="•"/>
      <w:lvlJc w:val="left"/>
      <w:pPr>
        <w:ind w:left="8756" w:hanging="428"/>
      </w:pPr>
      <w:rPr>
        <w:rFonts w:hint="default"/>
        <w:lang w:val="en-US" w:eastAsia="en-US" w:bidi="ar-SA"/>
      </w:rPr>
    </w:lvl>
    <w:lvl w:ilvl="8" w:tplc="C0DA1E5A">
      <w:numFmt w:val="bullet"/>
      <w:lvlText w:val="•"/>
      <w:lvlJc w:val="left"/>
      <w:pPr>
        <w:ind w:left="9793" w:hanging="428"/>
      </w:pPr>
      <w:rPr>
        <w:rFonts w:hint="default"/>
        <w:lang w:val="en-US" w:eastAsia="en-US" w:bidi="ar-SA"/>
      </w:rPr>
    </w:lvl>
  </w:abstractNum>
  <w:abstractNum w:abstractNumId="2" w15:restartNumberingAfterBreak="0">
    <w:nsid w:val="00BB312A"/>
    <w:multiLevelType w:val="hybridMultilevel"/>
    <w:tmpl w:val="BA664D08"/>
    <w:lvl w:ilvl="0" w:tplc="ADBA40A8">
      <w:numFmt w:val="bullet"/>
      <w:lvlText w:val="-"/>
      <w:lvlJc w:val="left"/>
      <w:pPr>
        <w:ind w:left="109" w:hanging="118"/>
      </w:pPr>
      <w:rPr>
        <w:rFonts w:ascii="Calibri" w:eastAsia="Calibri" w:hAnsi="Calibri" w:cs="Calibri" w:hint="default"/>
        <w:b w:val="0"/>
        <w:bCs w:val="0"/>
        <w:i w:val="0"/>
        <w:iCs w:val="0"/>
        <w:spacing w:val="0"/>
        <w:w w:val="100"/>
        <w:sz w:val="22"/>
        <w:szCs w:val="22"/>
        <w:lang w:val="en-US" w:eastAsia="en-US" w:bidi="ar-SA"/>
      </w:rPr>
    </w:lvl>
    <w:lvl w:ilvl="1" w:tplc="F372DC42">
      <w:numFmt w:val="bullet"/>
      <w:lvlText w:val="•"/>
      <w:lvlJc w:val="left"/>
      <w:pPr>
        <w:ind w:left="387" w:hanging="118"/>
      </w:pPr>
      <w:rPr>
        <w:rFonts w:hint="default"/>
        <w:lang w:val="en-US" w:eastAsia="en-US" w:bidi="ar-SA"/>
      </w:rPr>
    </w:lvl>
    <w:lvl w:ilvl="2" w:tplc="5A3E5CD2">
      <w:numFmt w:val="bullet"/>
      <w:lvlText w:val="•"/>
      <w:lvlJc w:val="left"/>
      <w:pPr>
        <w:ind w:left="675" w:hanging="118"/>
      </w:pPr>
      <w:rPr>
        <w:rFonts w:hint="default"/>
        <w:lang w:val="en-US" w:eastAsia="en-US" w:bidi="ar-SA"/>
      </w:rPr>
    </w:lvl>
    <w:lvl w:ilvl="3" w:tplc="4200861A">
      <w:numFmt w:val="bullet"/>
      <w:lvlText w:val="•"/>
      <w:lvlJc w:val="left"/>
      <w:pPr>
        <w:ind w:left="963" w:hanging="118"/>
      </w:pPr>
      <w:rPr>
        <w:rFonts w:hint="default"/>
        <w:lang w:val="en-US" w:eastAsia="en-US" w:bidi="ar-SA"/>
      </w:rPr>
    </w:lvl>
    <w:lvl w:ilvl="4" w:tplc="16CCE27C">
      <w:numFmt w:val="bullet"/>
      <w:lvlText w:val="•"/>
      <w:lvlJc w:val="left"/>
      <w:pPr>
        <w:ind w:left="1251" w:hanging="118"/>
      </w:pPr>
      <w:rPr>
        <w:rFonts w:hint="default"/>
        <w:lang w:val="en-US" w:eastAsia="en-US" w:bidi="ar-SA"/>
      </w:rPr>
    </w:lvl>
    <w:lvl w:ilvl="5" w:tplc="41FAA1F4">
      <w:numFmt w:val="bullet"/>
      <w:lvlText w:val="•"/>
      <w:lvlJc w:val="left"/>
      <w:pPr>
        <w:ind w:left="1539" w:hanging="118"/>
      </w:pPr>
      <w:rPr>
        <w:rFonts w:hint="default"/>
        <w:lang w:val="en-US" w:eastAsia="en-US" w:bidi="ar-SA"/>
      </w:rPr>
    </w:lvl>
    <w:lvl w:ilvl="6" w:tplc="8F0E877E">
      <w:numFmt w:val="bullet"/>
      <w:lvlText w:val="•"/>
      <w:lvlJc w:val="left"/>
      <w:pPr>
        <w:ind w:left="1826" w:hanging="118"/>
      </w:pPr>
      <w:rPr>
        <w:rFonts w:hint="default"/>
        <w:lang w:val="en-US" w:eastAsia="en-US" w:bidi="ar-SA"/>
      </w:rPr>
    </w:lvl>
    <w:lvl w:ilvl="7" w:tplc="4FACD9D2">
      <w:numFmt w:val="bullet"/>
      <w:lvlText w:val="•"/>
      <w:lvlJc w:val="left"/>
      <w:pPr>
        <w:ind w:left="2114" w:hanging="118"/>
      </w:pPr>
      <w:rPr>
        <w:rFonts w:hint="default"/>
        <w:lang w:val="en-US" w:eastAsia="en-US" w:bidi="ar-SA"/>
      </w:rPr>
    </w:lvl>
    <w:lvl w:ilvl="8" w:tplc="0450F27E">
      <w:numFmt w:val="bullet"/>
      <w:lvlText w:val="•"/>
      <w:lvlJc w:val="left"/>
      <w:pPr>
        <w:ind w:left="2402" w:hanging="118"/>
      </w:pPr>
      <w:rPr>
        <w:rFonts w:hint="default"/>
        <w:lang w:val="en-US" w:eastAsia="en-US" w:bidi="ar-SA"/>
      </w:rPr>
    </w:lvl>
  </w:abstractNum>
  <w:abstractNum w:abstractNumId="3" w15:restartNumberingAfterBreak="0">
    <w:nsid w:val="01DA3540"/>
    <w:multiLevelType w:val="hybridMultilevel"/>
    <w:tmpl w:val="0FB02210"/>
    <w:lvl w:ilvl="0" w:tplc="1CB0E896">
      <w:start w:val="1"/>
      <w:numFmt w:val="lowerLetter"/>
      <w:lvlText w:val="(%1)"/>
      <w:lvlJc w:val="left"/>
      <w:pPr>
        <w:ind w:left="815" w:hanging="550"/>
      </w:pPr>
      <w:rPr>
        <w:rFonts w:ascii="Arial" w:eastAsia="Arial" w:hAnsi="Arial" w:cs="Arial" w:hint="default"/>
        <w:b w:val="0"/>
        <w:bCs w:val="0"/>
        <w:i w:val="0"/>
        <w:iCs w:val="0"/>
        <w:spacing w:val="0"/>
        <w:w w:val="100"/>
        <w:sz w:val="22"/>
        <w:szCs w:val="22"/>
        <w:lang w:val="en-US" w:eastAsia="en-US" w:bidi="ar-SA"/>
      </w:rPr>
    </w:lvl>
    <w:lvl w:ilvl="1" w:tplc="88E2D6CE">
      <w:numFmt w:val="bullet"/>
      <w:lvlText w:val="•"/>
      <w:lvlJc w:val="left"/>
      <w:pPr>
        <w:ind w:left="1485" w:hanging="550"/>
      </w:pPr>
      <w:rPr>
        <w:rFonts w:hint="default"/>
        <w:lang w:val="en-US" w:eastAsia="en-US" w:bidi="ar-SA"/>
      </w:rPr>
    </w:lvl>
    <w:lvl w:ilvl="2" w:tplc="2C8098A2">
      <w:numFmt w:val="bullet"/>
      <w:lvlText w:val="•"/>
      <w:lvlJc w:val="left"/>
      <w:pPr>
        <w:ind w:left="2150" w:hanging="550"/>
      </w:pPr>
      <w:rPr>
        <w:rFonts w:hint="default"/>
        <w:lang w:val="en-US" w:eastAsia="en-US" w:bidi="ar-SA"/>
      </w:rPr>
    </w:lvl>
    <w:lvl w:ilvl="3" w:tplc="E82A45D2">
      <w:numFmt w:val="bullet"/>
      <w:lvlText w:val="•"/>
      <w:lvlJc w:val="left"/>
      <w:pPr>
        <w:ind w:left="2816" w:hanging="550"/>
      </w:pPr>
      <w:rPr>
        <w:rFonts w:hint="default"/>
        <w:lang w:val="en-US" w:eastAsia="en-US" w:bidi="ar-SA"/>
      </w:rPr>
    </w:lvl>
    <w:lvl w:ilvl="4" w:tplc="E8B63F22">
      <w:numFmt w:val="bullet"/>
      <w:lvlText w:val="•"/>
      <w:lvlJc w:val="left"/>
      <w:pPr>
        <w:ind w:left="3481" w:hanging="550"/>
      </w:pPr>
      <w:rPr>
        <w:rFonts w:hint="default"/>
        <w:lang w:val="en-US" w:eastAsia="en-US" w:bidi="ar-SA"/>
      </w:rPr>
    </w:lvl>
    <w:lvl w:ilvl="5" w:tplc="4920C98A">
      <w:numFmt w:val="bullet"/>
      <w:lvlText w:val="•"/>
      <w:lvlJc w:val="left"/>
      <w:pPr>
        <w:ind w:left="4147" w:hanging="550"/>
      </w:pPr>
      <w:rPr>
        <w:rFonts w:hint="default"/>
        <w:lang w:val="en-US" w:eastAsia="en-US" w:bidi="ar-SA"/>
      </w:rPr>
    </w:lvl>
    <w:lvl w:ilvl="6" w:tplc="505685E6">
      <w:numFmt w:val="bullet"/>
      <w:lvlText w:val="•"/>
      <w:lvlJc w:val="left"/>
      <w:pPr>
        <w:ind w:left="4812" w:hanging="550"/>
      </w:pPr>
      <w:rPr>
        <w:rFonts w:hint="default"/>
        <w:lang w:val="en-US" w:eastAsia="en-US" w:bidi="ar-SA"/>
      </w:rPr>
    </w:lvl>
    <w:lvl w:ilvl="7" w:tplc="63F64B18">
      <w:numFmt w:val="bullet"/>
      <w:lvlText w:val="•"/>
      <w:lvlJc w:val="left"/>
      <w:pPr>
        <w:ind w:left="5477" w:hanging="550"/>
      </w:pPr>
      <w:rPr>
        <w:rFonts w:hint="default"/>
        <w:lang w:val="en-US" w:eastAsia="en-US" w:bidi="ar-SA"/>
      </w:rPr>
    </w:lvl>
    <w:lvl w:ilvl="8" w:tplc="41D055BC">
      <w:numFmt w:val="bullet"/>
      <w:lvlText w:val="•"/>
      <w:lvlJc w:val="left"/>
      <w:pPr>
        <w:ind w:left="6143" w:hanging="550"/>
      </w:pPr>
      <w:rPr>
        <w:rFonts w:hint="default"/>
        <w:lang w:val="en-US" w:eastAsia="en-US" w:bidi="ar-SA"/>
      </w:rPr>
    </w:lvl>
  </w:abstractNum>
  <w:abstractNum w:abstractNumId="4" w15:restartNumberingAfterBreak="0">
    <w:nsid w:val="02356365"/>
    <w:multiLevelType w:val="multilevel"/>
    <w:tmpl w:val="C5CA8CEC"/>
    <w:lvl w:ilvl="0">
      <w:start w:val="1"/>
      <w:numFmt w:val="decimal"/>
      <w:lvlText w:val="%1."/>
      <w:lvlJc w:val="left"/>
      <w:pPr>
        <w:ind w:left="1757" w:hanging="358"/>
      </w:pPr>
      <w:rPr>
        <w:rFonts w:ascii="Arial" w:eastAsia="Arial" w:hAnsi="Arial" w:cs="Arial" w:hint="default"/>
        <w:b/>
        <w:bCs/>
        <w:i w:val="0"/>
        <w:iCs w:val="0"/>
        <w:spacing w:val="0"/>
        <w:w w:val="100"/>
        <w:sz w:val="24"/>
        <w:szCs w:val="24"/>
        <w:lang w:val="en-US" w:eastAsia="en-US" w:bidi="ar-SA"/>
      </w:rPr>
    </w:lvl>
    <w:lvl w:ilvl="1">
      <w:start w:val="1"/>
      <w:numFmt w:val="decimal"/>
      <w:lvlText w:val="%1.%2"/>
      <w:lvlJc w:val="left"/>
      <w:pPr>
        <w:ind w:left="2120" w:hanging="720"/>
      </w:pPr>
      <w:rPr>
        <w:rFonts w:ascii="Arial" w:eastAsia="Arial" w:hAnsi="Arial" w:cs="Arial" w:hint="default"/>
        <w:b w:val="0"/>
        <w:bCs w:val="0"/>
        <w:i w:val="0"/>
        <w:iCs w:val="0"/>
        <w:spacing w:val="0"/>
        <w:w w:val="100"/>
        <w:sz w:val="24"/>
        <w:szCs w:val="24"/>
        <w:lang w:val="en-US" w:eastAsia="en-US" w:bidi="ar-SA"/>
      </w:rPr>
    </w:lvl>
    <w:lvl w:ilvl="2">
      <w:start w:val="1"/>
      <w:numFmt w:val="decimal"/>
      <w:lvlText w:val="%1.%2.%3"/>
      <w:lvlJc w:val="left"/>
      <w:pPr>
        <w:ind w:left="3612" w:hanging="1080"/>
      </w:pPr>
      <w:rPr>
        <w:rFonts w:ascii="Arial" w:eastAsia="Arial" w:hAnsi="Arial" w:cs="Arial" w:hint="default"/>
        <w:b w:val="0"/>
        <w:bCs w:val="0"/>
        <w:i w:val="0"/>
        <w:iCs w:val="0"/>
        <w:spacing w:val="-2"/>
        <w:w w:val="100"/>
        <w:sz w:val="24"/>
        <w:szCs w:val="24"/>
        <w:lang w:val="en-US" w:eastAsia="en-US" w:bidi="ar-SA"/>
      </w:rPr>
    </w:lvl>
    <w:lvl w:ilvl="3">
      <w:start w:val="1"/>
      <w:numFmt w:val="lowerLetter"/>
      <w:lvlText w:val="(%4)"/>
      <w:lvlJc w:val="left"/>
      <w:pPr>
        <w:ind w:left="4803" w:hanging="1136"/>
      </w:pPr>
      <w:rPr>
        <w:rFonts w:ascii="Trebuchet MS" w:eastAsia="Trebuchet MS" w:hAnsi="Trebuchet MS" w:cs="Trebuchet MS" w:hint="default"/>
        <w:b w:val="0"/>
        <w:bCs w:val="0"/>
        <w:i w:val="0"/>
        <w:iCs w:val="0"/>
        <w:spacing w:val="0"/>
        <w:w w:val="100"/>
        <w:sz w:val="24"/>
        <w:szCs w:val="24"/>
        <w:lang w:val="en-US" w:eastAsia="en-US" w:bidi="ar-SA"/>
      </w:rPr>
    </w:lvl>
    <w:lvl w:ilvl="4">
      <w:start w:val="1"/>
      <w:numFmt w:val="lowerRoman"/>
      <w:lvlText w:val="(%5)"/>
      <w:lvlJc w:val="left"/>
      <w:pPr>
        <w:ind w:left="5720" w:hanging="720"/>
      </w:pPr>
      <w:rPr>
        <w:rFonts w:ascii="Arial" w:eastAsia="Arial" w:hAnsi="Arial" w:cs="Arial" w:hint="default"/>
        <w:b w:val="0"/>
        <w:bCs w:val="0"/>
        <w:i w:val="0"/>
        <w:iCs w:val="0"/>
        <w:spacing w:val="-1"/>
        <w:w w:val="100"/>
        <w:sz w:val="24"/>
        <w:szCs w:val="24"/>
        <w:lang w:val="en-US" w:eastAsia="en-US" w:bidi="ar-SA"/>
      </w:rPr>
    </w:lvl>
    <w:lvl w:ilvl="5">
      <w:numFmt w:val="bullet"/>
      <w:lvlText w:val="•"/>
      <w:lvlJc w:val="left"/>
      <w:pPr>
        <w:ind w:left="4800" w:hanging="720"/>
      </w:pPr>
      <w:rPr>
        <w:rFonts w:hint="default"/>
        <w:lang w:val="en-US" w:eastAsia="en-US" w:bidi="ar-SA"/>
      </w:rPr>
    </w:lvl>
    <w:lvl w:ilvl="6">
      <w:numFmt w:val="bullet"/>
      <w:lvlText w:val="•"/>
      <w:lvlJc w:val="left"/>
      <w:pPr>
        <w:ind w:left="4940" w:hanging="720"/>
      </w:pPr>
      <w:rPr>
        <w:rFonts w:hint="default"/>
        <w:lang w:val="en-US" w:eastAsia="en-US" w:bidi="ar-SA"/>
      </w:rPr>
    </w:lvl>
    <w:lvl w:ilvl="7">
      <w:numFmt w:val="bullet"/>
      <w:lvlText w:val="•"/>
      <w:lvlJc w:val="left"/>
      <w:pPr>
        <w:ind w:left="5720" w:hanging="720"/>
      </w:pPr>
      <w:rPr>
        <w:rFonts w:hint="default"/>
        <w:lang w:val="en-US" w:eastAsia="en-US" w:bidi="ar-SA"/>
      </w:rPr>
    </w:lvl>
    <w:lvl w:ilvl="8">
      <w:numFmt w:val="bullet"/>
      <w:lvlText w:val="•"/>
      <w:lvlJc w:val="left"/>
      <w:pPr>
        <w:ind w:left="7768" w:hanging="720"/>
      </w:pPr>
      <w:rPr>
        <w:rFonts w:hint="default"/>
        <w:lang w:val="en-US" w:eastAsia="en-US" w:bidi="ar-SA"/>
      </w:rPr>
    </w:lvl>
  </w:abstractNum>
  <w:abstractNum w:abstractNumId="5" w15:restartNumberingAfterBreak="0">
    <w:nsid w:val="026465D9"/>
    <w:multiLevelType w:val="hybridMultilevel"/>
    <w:tmpl w:val="F17A568A"/>
    <w:lvl w:ilvl="0" w:tplc="7082AA6E">
      <w:start w:val="1"/>
      <w:numFmt w:val="bullet"/>
      <w:lvlRestart w:val="0"/>
      <w:lvlText w:val=""/>
      <w:lvlJc w:val="left"/>
      <w:pPr>
        <w:tabs>
          <w:tab w:val="num" w:pos="1080"/>
        </w:tabs>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41D6E34"/>
    <w:multiLevelType w:val="hybridMultilevel"/>
    <w:tmpl w:val="FC90AB50"/>
    <w:lvl w:ilvl="0" w:tplc="C39494AC">
      <w:start w:val="1"/>
      <w:numFmt w:val="lowerLetter"/>
      <w:lvlText w:val="(%1)"/>
      <w:lvlJc w:val="left"/>
      <w:pPr>
        <w:ind w:left="1494" w:hanging="428"/>
      </w:pPr>
      <w:rPr>
        <w:rFonts w:ascii="Calibri" w:eastAsia="Calibri" w:hAnsi="Calibri" w:cs="Calibri" w:hint="default"/>
        <w:b w:val="0"/>
        <w:bCs w:val="0"/>
        <w:i w:val="0"/>
        <w:iCs w:val="0"/>
        <w:spacing w:val="-1"/>
        <w:w w:val="100"/>
        <w:sz w:val="24"/>
        <w:szCs w:val="24"/>
        <w:lang w:val="en-US" w:eastAsia="en-US" w:bidi="ar-SA"/>
      </w:rPr>
    </w:lvl>
    <w:lvl w:ilvl="1" w:tplc="25BE51B0">
      <w:numFmt w:val="bullet"/>
      <w:lvlText w:val="•"/>
      <w:lvlJc w:val="left"/>
      <w:pPr>
        <w:ind w:left="2536" w:hanging="428"/>
      </w:pPr>
      <w:rPr>
        <w:rFonts w:hint="default"/>
        <w:lang w:val="en-US" w:eastAsia="en-US" w:bidi="ar-SA"/>
      </w:rPr>
    </w:lvl>
    <w:lvl w:ilvl="2" w:tplc="5466252A">
      <w:numFmt w:val="bullet"/>
      <w:lvlText w:val="•"/>
      <w:lvlJc w:val="left"/>
      <w:pPr>
        <w:ind w:left="3573" w:hanging="428"/>
      </w:pPr>
      <w:rPr>
        <w:rFonts w:hint="default"/>
        <w:lang w:val="en-US" w:eastAsia="en-US" w:bidi="ar-SA"/>
      </w:rPr>
    </w:lvl>
    <w:lvl w:ilvl="3" w:tplc="323A6138">
      <w:numFmt w:val="bullet"/>
      <w:lvlText w:val="•"/>
      <w:lvlJc w:val="left"/>
      <w:pPr>
        <w:ind w:left="4609" w:hanging="428"/>
      </w:pPr>
      <w:rPr>
        <w:rFonts w:hint="default"/>
        <w:lang w:val="en-US" w:eastAsia="en-US" w:bidi="ar-SA"/>
      </w:rPr>
    </w:lvl>
    <w:lvl w:ilvl="4" w:tplc="2806FABE">
      <w:numFmt w:val="bullet"/>
      <w:lvlText w:val="•"/>
      <w:lvlJc w:val="left"/>
      <w:pPr>
        <w:ind w:left="5646" w:hanging="428"/>
      </w:pPr>
      <w:rPr>
        <w:rFonts w:hint="default"/>
        <w:lang w:val="en-US" w:eastAsia="en-US" w:bidi="ar-SA"/>
      </w:rPr>
    </w:lvl>
    <w:lvl w:ilvl="5" w:tplc="078A9F18">
      <w:numFmt w:val="bullet"/>
      <w:lvlText w:val="•"/>
      <w:lvlJc w:val="left"/>
      <w:pPr>
        <w:ind w:left="6683" w:hanging="428"/>
      </w:pPr>
      <w:rPr>
        <w:rFonts w:hint="default"/>
        <w:lang w:val="en-US" w:eastAsia="en-US" w:bidi="ar-SA"/>
      </w:rPr>
    </w:lvl>
    <w:lvl w:ilvl="6" w:tplc="07BC27EE">
      <w:numFmt w:val="bullet"/>
      <w:lvlText w:val="•"/>
      <w:lvlJc w:val="left"/>
      <w:pPr>
        <w:ind w:left="7719" w:hanging="428"/>
      </w:pPr>
      <w:rPr>
        <w:rFonts w:hint="default"/>
        <w:lang w:val="en-US" w:eastAsia="en-US" w:bidi="ar-SA"/>
      </w:rPr>
    </w:lvl>
    <w:lvl w:ilvl="7" w:tplc="431635AE">
      <w:numFmt w:val="bullet"/>
      <w:lvlText w:val="•"/>
      <w:lvlJc w:val="left"/>
      <w:pPr>
        <w:ind w:left="8756" w:hanging="428"/>
      </w:pPr>
      <w:rPr>
        <w:rFonts w:hint="default"/>
        <w:lang w:val="en-US" w:eastAsia="en-US" w:bidi="ar-SA"/>
      </w:rPr>
    </w:lvl>
    <w:lvl w:ilvl="8" w:tplc="B128B8C0">
      <w:numFmt w:val="bullet"/>
      <w:lvlText w:val="•"/>
      <w:lvlJc w:val="left"/>
      <w:pPr>
        <w:ind w:left="9793" w:hanging="428"/>
      </w:pPr>
      <w:rPr>
        <w:rFonts w:hint="default"/>
        <w:lang w:val="en-US" w:eastAsia="en-US" w:bidi="ar-SA"/>
      </w:rPr>
    </w:lvl>
  </w:abstractNum>
  <w:abstractNum w:abstractNumId="7" w15:restartNumberingAfterBreak="0">
    <w:nsid w:val="045F60F1"/>
    <w:multiLevelType w:val="hybridMultilevel"/>
    <w:tmpl w:val="8B62A4E6"/>
    <w:lvl w:ilvl="0" w:tplc="7B8E875A">
      <w:start w:val="1"/>
      <w:numFmt w:val="lowerLetter"/>
      <w:lvlText w:val="(%1)"/>
      <w:lvlJc w:val="left"/>
      <w:pPr>
        <w:ind w:left="1494" w:hanging="428"/>
      </w:pPr>
      <w:rPr>
        <w:rFonts w:ascii="Calibri" w:eastAsia="Calibri" w:hAnsi="Calibri" w:cs="Calibri" w:hint="default"/>
        <w:b w:val="0"/>
        <w:bCs w:val="0"/>
        <w:i w:val="0"/>
        <w:iCs w:val="0"/>
        <w:spacing w:val="-1"/>
        <w:w w:val="100"/>
        <w:sz w:val="24"/>
        <w:szCs w:val="24"/>
        <w:lang w:val="en-US" w:eastAsia="en-US" w:bidi="ar-SA"/>
      </w:rPr>
    </w:lvl>
    <w:lvl w:ilvl="1" w:tplc="F52E80CA">
      <w:numFmt w:val="bullet"/>
      <w:lvlText w:val="•"/>
      <w:lvlJc w:val="left"/>
      <w:pPr>
        <w:ind w:left="2536" w:hanging="428"/>
      </w:pPr>
      <w:rPr>
        <w:rFonts w:hint="default"/>
        <w:lang w:val="en-US" w:eastAsia="en-US" w:bidi="ar-SA"/>
      </w:rPr>
    </w:lvl>
    <w:lvl w:ilvl="2" w:tplc="49001B5A">
      <w:numFmt w:val="bullet"/>
      <w:lvlText w:val="•"/>
      <w:lvlJc w:val="left"/>
      <w:pPr>
        <w:ind w:left="3573" w:hanging="428"/>
      </w:pPr>
      <w:rPr>
        <w:rFonts w:hint="default"/>
        <w:lang w:val="en-US" w:eastAsia="en-US" w:bidi="ar-SA"/>
      </w:rPr>
    </w:lvl>
    <w:lvl w:ilvl="3" w:tplc="8B2A3B08">
      <w:numFmt w:val="bullet"/>
      <w:lvlText w:val="•"/>
      <w:lvlJc w:val="left"/>
      <w:pPr>
        <w:ind w:left="4609" w:hanging="428"/>
      </w:pPr>
      <w:rPr>
        <w:rFonts w:hint="default"/>
        <w:lang w:val="en-US" w:eastAsia="en-US" w:bidi="ar-SA"/>
      </w:rPr>
    </w:lvl>
    <w:lvl w:ilvl="4" w:tplc="04163146">
      <w:numFmt w:val="bullet"/>
      <w:lvlText w:val="•"/>
      <w:lvlJc w:val="left"/>
      <w:pPr>
        <w:ind w:left="5646" w:hanging="428"/>
      </w:pPr>
      <w:rPr>
        <w:rFonts w:hint="default"/>
        <w:lang w:val="en-US" w:eastAsia="en-US" w:bidi="ar-SA"/>
      </w:rPr>
    </w:lvl>
    <w:lvl w:ilvl="5" w:tplc="B77466B0">
      <w:numFmt w:val="bullet"/>
      <w:lvlText w:val="•"/>
      <w:lvlJc w:val="left"/>
      <w:pPr>
        <w:ind w:left="6683" w:hanging="428"/>
      </w:pPr>
      <w:rPr>
        <w:rFonts w:hint="default"/>
        <w:lang w:val="en-US" w:eastAsia="en-US" w:bidi="ar-SA"/>
      </w:rPr>
    </w:lvl>
    <w:lvl w:ilvl="6" w:tplc="09F42F5C">
      <w:numFmt w:val="bullet"/>
      <w:lvlText w:val="•"/>
      <w:lvlJc w:val="left"/>
      <w:pPr>
        <w:ind w:left="7719" w:hanging="428"/>
      </w:pPr>
      <w:rPr>
        <w:rFonts w:hint="default"/>
        <w:lang w:val="en-US" w:eastAsia="en-US" w:bidi="ar-SA"/>
      </w:rPr>
    </w:lvl>
    <w:lvl w:ilvl="7" w:tplc="2BAA7408">
      <w:numFmt w:val="bullet"/>
      <w:lvlText w:val="•"/>
      <w:lvlJc w:val="left"/>
      <w:pPr>
        <w:ind w:left="8756" w:hanging="428"/>
      </w:pPr>
      <w:rPr>
        <w:rFonts w:hint="default"/>
        <w:lang w:val="en-US" w:eastAsia="en-US" w:bidi="ar-SA"/>
      </w:rPr>
    </w:lvl>
    <w:lvl w:ilvl="8" w:tplc="F84C4482">
      <w:numFmt w:val="bullet"/>
      <w:lvlText w:val="•"/>
      <w:lvlJc w:val="left"/>
      <w:pPr>
        <w:ind w:left="9793" w:hanging="428"/>
      </w:pPr>
      <w:rPr>
        <w:rFonts w:hint="default"/>
        <w:lang w:val="en-US" w:eastAsia="en-US" w:bidi="ar-SA"/>
      </w:rPr>
    </w:lvl>
  </w:abstractNum>
  <w:abstractNum w:abstractNumId="8" w15:restartNumberingAfterBreak="0">
    <w:nsid w:val="04A02CDB"/>
    <w:multiLevelType w:val="hybridMultilevel"/>
    <w:tmpl w:val="36B2D44A"/>
    <w:lvl w:ilvl="0" w:tplc="BCD25FBC">
      <w:start w:val="1"/>
      <w:numFmt w:val="decimal"/>
      <w:lvlText w:val="(%1)"/>
      <w:lvlJc w:val="left"/>
      <w:pPr>
        <w:ind w:left="1837" w:hanging="360"/>
        <w:jc w:val="right"/>
      </w:pPr>
      <w:rPr>
        <w:rFonts w:ascii="Arial" w:eastAsia="Arial" w:hAnsi="Arial" w:cs="Arial" w:hint="default"/>
        <w:b w:val="0"/>
        <w:bCs w:val="0"/>
        <w:i w:val="0"/>
        <w:iCs w:val="0"/>
        <w:spacing w:val="-1"/>
        <w:w w:val="100"/>
        <w:sz w:val="24"/>
        <w:szCs w:val="24"/>
        <w:lang w:val="en-US" w:eastAsia="en-US" w:bidi="ar-SA"/>
      </w:rPr>
    </w:lvl>
    <w:lvl w:ilvl="1" w:tplc="225CB03A">
      <w:numFmt w:val="bullet"/>
      <w:lvlText w:val="•"/>
      <w:lvlJc w:val="left"/>
      <w:pPr>
        <w:ind w:left="2425" w:hanging="360"/>
      </w:pPr>
      <w:rPr>
        <w:rFonts w:hint="default"/>
        <w:lang w:val="en-US" w:eastAsia="en-US" w:bidi="ar-SA"/>
      </w:rPr>
    </w:lvl>
    <w:lvl w:ilvl="2" w:tplc="1812B82E">
      <w:numFmt w:val="bullet"/>
      <w:lvlText w:val="•"/>
      <w:lvlJc w:val="left"/>
      <w:pPr>
        <w:ind w:left="3010" w:hanging="360"/>
      </w:pPr>
      <w:rPr>
        <w:rFonts w:hint="default"/>
        <w:lang w:val="en-US" w:eastAsia="en-US" w:bidi="ar-SA"/>
      </w:rPr>
    </w:lvl>
    <w:lvl w:ilvl="3" w:tplc="485C8886">
      <w:numFmt w:val="bullet"/>
      <w:lvlText w:val="•"/>
      <w:lvlJc w:val="left"/>
      <w:pPr>
        <w:ind w:left="3595" w:hanging="360"/>
      </w:pPr>
      <w:rPr>
        <w:rFonts w:hint="default"/>
        <w:lang w:val="en-US" w:eastAsia="en-US" w:bidi="ar-SA"/>
      </w:rPr>
    </w:lvl>
    <w:lvl w:ilvl="4" w:tplc="1EB8F9E0">
      <w:numFmt w:val="bullet"/>
      <w:lvlText w:val="•"/>
      <w:lvlJc w:val="left"/>
      <w:pPr>
        <w:ind w:left="4180" w:hanging="360"/>
      </w:pPr>
      <w:rPr>
        <w:rFonts w:hint="default"/>
        <w:lang w:val="en-US" w:eastAsia="en-US" w:bidi="ar-SA"/>
      </w:rPr>
    </w:lvl>
    <w:lvl w:ilvl="5" w:tplc="D2221CCC">
      <w:numFmt w:val="bullet"/>
      <w:lvlText w:val="•"/>
      <w:lvlJc w:val="left"/>
      <w:pPr>
        <w:ind w:left="4765" w:hanging="360"/>
      </w:pPr>
      <w:rPr>
        <w:rFonts w:hint="default"/>
        <w:lang w:val="en-US" w:eastAsia="en-US" w:bidi="ar-SA"/>
      </w:rPr>
    </w:lvl>
    <w:lvl w:ilvl="6" w:tplc="21DC3C4E">
      <w:numFmt w:val="bullet"/>
      <w:lvlText w:val="•"/>
      <w:lvlJc w:val="left"/>
      <w:pPr>
        <w:ind w:left="5350" w:hanging="360"/>
      </w:pPr>
      <w:rPr>
        <w:rFonts w:hint="default"/>
        <w:lang w:val="en-US" w:eastAsia="en-US" w:bidi="ar-SA"/>
      </w:rPr>
    </w:lvl>
    <w:lvl w:ilvl="7" w:tplc="F44A3C26">
      <w:numFmt w:val="bullet"/>
      <w:lvlText w:val="•"/>
      <w:lvlJc w:val="left"/>
      <w:pPr>
        <w:ind w:left="5935" w:hanging="360"/>
      </w:pPr>
      <w:rPr>
        <w:rFonts w:hint="default"/>
        <w:lang w:val="en-US" w:eastAsia="en-US" w:bidi="ar-SA"/>
      </w:rPr>
    </w:lvl>
    <w:lvl w:ilvl="8" w:tplc="F798419A">
      <w:numFmt w:val="bullet"/>
      <w:lvlText w:val="•"/>
      <w:lvlJc w:val="left"/>
      <w:pPr>
        <w:ind w:left="6520" w:hanging="360"/>
      </w:pPr>
      <w:rPr>
        <w:rFonts w:hint="default"/>
        <w:lang w:val="en-US" w:eastAsia="en-US" w:bidi="ar-SA"/>
      </w:rPr>
    </w:lvl>
  </w:abstractNum>
  <w:abstractNum w:abstractNumId="9" w15:restartNumberingAfterBreak="0">
    <w:nsid w:val="04BF4405"/>
    <w:multiLevelType w:val="hybridMultilevel"/>
    <w:tmpl w:val="6E74DEA0"/>
    <w:lvl w:ilvl="0" w:tplc="3B906E88">
      <w:start w:val="1"/>
      <w:numFmt w:val="decimal"/>
      <w:lvlText w:val="%1."/>
      <w:lvlJc w:val="left"/>
      <w:pPr>
        <w:ind w:left="1578" w:hanging="534"/>
      </w:pPr>
      <w:rPr>
        <w:rFonts w:ascii="Arial" w:eastAsia="Arial" w:hAnsi="Arial" w:cs="Arial" w:hint="default"/>
        <w:b w:val="0"/>
        <w:bCs w:val="0"/>
        <w:i w:val="0"/>
        <w:iCs w:val="0"/>
        <w:spacing w:val="-1"/>
        <w:w w:val="103"/>
        <w:sz w:val="16"/>
        <w:szCs w:val="16"/>
        <w:lang w:val="en-US" w:eastAsia="en-US" w:bidi="ar-SA"/>
      </w:rPr>
    </w:lvl>
    <w:lvl w:ilvl="1" w:tplc="C9926684">
      <w:start w:val="1"/>
      <w:numFmt w:val="lowerLetter"/>
      <w:lvlText w:val="(%2)"/>
      <w:lvlJc w:val="left"/>
      <w:pPr>
        <w:ind w:left="1654" w:hanging="534"/>
      </w:pPr>
      <w:rPr>
        <w:rFonts w:ascii="Arial" w:eastAsia="Arial" w:hAnsi="Arial" w:cs="Arial" w:hint="default"/>
        <w:b w:val="0"/>
        <w:bCs w:val="0"/>
        <w:i w:val="0"/>
        <w:iCs w:val="0"/>
        <w:spacing w:val="-1"/>
        <w:w w:val="103"/>
        <w:sz w:val="16"/>
        <w:szCs w:val="16"/>
        <w:lang w:val="en-US" w:eastAsia="en-US" w:bidi="ar-SA"/>
      </w:rPr>
    </w:lvl>
    <w:lvl w:ilvl="2" w:tplc="4E3CE202">
      <w:start w:val="1"/>
      <w:numFmt w:val="lowerRoman"/>
      <w:lvlText w:val="(%3)"/>
      <w:lvlJc w:val="left"/>
      <w:pPr>
        <w:ind w:left="2646" w:hanging="534"/>
      </w:pPr>
      <w:rPr>
        <w:rFonts w:ascii="Arial" w:eastAsia="Arial" w:hAnsi="Arial" w:cs="Arial" w:hint="default"/>
        <w:b w:val="0"/>
        <w:bCs w:val="0"/>
        <w:i w:val="0"/>
        <w:iCs w:val="0"/>
        <w:spacing w:val="-1"/>
        <w:w w:val="103"/>
        <w:sz w:val="16"/>
        <w:szCs w:val="16"/>
        <w:lang w:val="en-US" w:eastAsia="en-US" w:bidi="ar-SA"/>
      </w:rPr>
    </w:lvl>
    <w:lvl w:ilvl="3" w:tplc="2AB4B63C">
      <w:start w:val="1"/>
      <w:numFmt w:val="upperLetter"/>
      <w:lvlText w:val="(%4)"/>
      <w:lvlJc w:val="left"/>
      <w:pPr>
        <w:ind w:left="3181" w:hanging="536"/>
      </w:pPr>
      <w:rPr>
        <w:rFonts w:ascii="Arial" w:eastAsia="Arial" w:hAnsi="Arial" w:cs="Arial" w:hint="default"/>
        <w:b w:val="0"/>
        <w:bCs w:val="0"/>
        <w:i w:val="0"/>
        <w:iCs w:val="0"/>
        <w:spacing w:val="-1"/>
        <w:w w:val="100"/>
        <w:sz w:val="18"/>
        <w:szCs w:val="18"/>
        <w:lang w:val="en-US" w:eastAsia="en-US" w:bidi="ar-SA"/>
      </w:rPr>
    </w:lvl>
    <w:lvl w:ilvl="4" w:tplc="945E6378">
      <w:numFmt w:val="bullet"/>
      <w:lvlText w:val="•"/>
      <w:lvlJc w:val="left"/>
      <w:pPr>
        <w:ind w:left="4420" w:hanging="536"/>
      </w:pPr>
      <w:rPr>
        <w:rFonts w:hint="default"/>
        <w:lang w:val="en-US" w:eastAsia="en-US" w:bidi="ar-SA"/>
      </w:rPr>
    </w:lvl>
    <w:lvl w:ilvl="5" w:tplc="568A7134">
      <w:numFmt w:val="bullet"/>
      <w:lvlText w:val="•"/>
      <w:lvlJc w:val="left"/>
      <w:pPr>
        <w:ind w:left="5661" w:hanging="536"/>
      </w:pPr>
      <w:rPr>
        <w:rFonts w:hint="default"/>
        <w:lang w:val="en-US" w:eastAsia="en-US" w:bidi="ar-SA"/>
      </w:rPr>
    </w:lvl>
    <w:lvl w:ilvl="6" w:tplc="6024C08A">
      <w:numFmt w:val="bullet"/>
      <w:lvlText w:val="•"/>
      <w:lvlJc w:val="left"/>
      <w:pPr>
        <w:ind w:left="6902" w:hanging="536"/>
      </w:pPr>
      <w:rPr>
        <w:rFonts w:hint="default"/>
        <w:lang w:val="en-US" w:eastAsia="en-US" w:bidi="ar-SA"/>
      </w:rPr>
    </w:lvl>
    <w:lvl w:ilvl="7" w:tplc="0ACA2A7A">
      <w:numFmt w:val="bullet"/>
      <w:lvlText w:val="•"/>
      <w:lvlJc w:val="left"/>
      <w:pPr>
        <w:ind w:left="8143" w:hanging="536"/>
      </w:pPr>
      <w:rPr>
        <w:rFonts w:hint="default"/>
        <w:lang w:val="en-US" w:eastAsia="en-US" w:bidi="ar-SA"/>
      </w:rPr>
    </w:lvl>
    <w:lvl w:ilvl="8" w:tplc="115C4FF4">
      <w:numFmt w:val="bullet"/>
      <w:lvlText w:val="•"/>
      <w:lvlJc w:val="left"/>
      <w:pPr>
        <w:ind w:left="9384" w:hanging="536"/>
      </w:pPr>
      <w:rPr>
        <w:rFonts w:hint="default"/>
        <w:lang w:val="en-US" w:eastAsia="en-US" w:bidi="ar-SA"/>
      </w:rPr>
    </w:lvl>
  </w:abstractNum>
  <w:abstractNum w:abstractNumId="10" w15:restartNumberingAfterBreak="0">
    <w:nsid w:val="04E27EEF"/>
    <w:multiLevelType w:val="hybridMultilevel"/>
    <w:tmpl w:val="D160CC40"/>
    <w:lvl w:ilvl="0" w:tplc="3566EC34">
      <w:numFmt w:val="bullet"/>
      <w:lvlText w:val=""/>
      <w:lvlJc w:val="left"/>
      <w:pPr>
        <w:ind w:left="2120" w:hanging="360"/>
      </w:pPr>
      <w:rPr>
        <w:rFonts w:ascii="Symbol" w:eastAsia="Symbol" w:hAnsi="Symbol" w:cs="Symbol" w:hint="default"/>
        <w:b w:val="0"/>
        <w:bCs w:val="0"/>
        <w:i w:val="0"/>
        <w:iCs w:val="0"/>
        <w:spacing w:val="0"/>
        <w:w w:val="100"/>
        <w:sz w:val="24"/>
        <w:szCs w:val="24"/>
        <w:lang w:val="en-US" w:eastAsia="en-US" w:bidi="ar-SA"/>
      </w:rPr>
    </w:lvl>
    <w:lvl w:ilvl="1" w:tplc="290C2292">
      <w:start w:val="1"/>
      <w:numFmt w:val="lowerLetter"/>
      <w:lvlText w:val="%2)"/>
      <w:lvlJc w:val="left"/>
      <w:pPr>
        <w:ind w:left="2120" w:hanging="293"/>
      </w:pPr>
      <w:rPr>
        <w:rFonts w:ascii="Arial" w:eastAsia="Arial" w:hAnsi="Arial" w:cs="Arial" w:hint="default"/>
        <w:b w:val="0"/>
        <w:bCs w:val="0"/>
        <w:i w:val="0"/>
        <w:iCs w:val="0"/>
        <w:spacing w:val="0"/>
        <w:w w:val="100"/>
        <w:sz w:val="24"/>
        <w:szCs w:val="24"/>
        <w:lang w:val="en-US" w:eastAsia="en-US" w:bidi="ar-SA"/>
      </w:rPr>
    </w:lvl>
    <w:lvl w:ilvl="2" w:tplc="911ED60E">
      <w:numFmt w:val="bullet"/>
      <w:lvlText w:val="•"/>
      <w:lvlJc w:val="left"/>
      <w:pPr>
        <w:ind w:left="4069" w:hanging="293"/>
      </w:pPr>
      <w:rPr>
        <w:rFonts w:hint="default"/>
        <w:lang w:val="en-US" w:eastAsia="en-US" w:bidi="ar-SA"/>
      </w:rPr>
    </w:lvl>
    <w:lvl w:ilvl="3" w:tplc="8A185BA6">
      <w:numFmt w:val="bullet"/>
      <w:lvlText w:val="•"/>
      <w:lvlJc w:val="left"/>
      <w:pPr>
        <w:ind w:left="5043" w:hanging="293"/>
      </w:pPr>
      <w:rPr>
        <w:rFonts w:hint="default"/>
        <w:lang w:val="en-US" w:eastAsia="en-US" w:bidi="ar-SA"/>
      </w:rPr>
    </w:lvl>
    <w:lvl w:ilvl="4" w:tplc="68446FEC">
      <w:numFmt w:val="bullet"/>
      <w:lvlText w:val="•"/>
      <w:lvlJc w:val="left"/>
      <w:pPr>
        <w:ind w:left="6018" w:hanging="293"/>
      </w:pPr>
      <w:rPr>
        <w:rFonts w:hint="default"/>
        <w:lang w:val="en-US" w:eastAsia="en-US" w:bidi="ar-SA"/>
      </w:rPr>
    </w:lvl>
    <w:lvl w:ilvl="5" w:tplc="1CEC0AA6">
      <w:numFmt w:val="bullet"/>
      <w:lvlText w:val="•"/>
      <w:lvlJc w:val="left"/>
      <w:pPr>
        <w:ind w:left="6993" w:hanging="293"/>
      </w:pPr>
      <w:rPr>
        <w:rFonts w:hint="default"/>
        <w:lang w:val="en-US" w:eastAsia="en-US" w:bidi="ar-SA"/>
      </w:rPr>
    </w:lvl>
    <w:lvl w:ilvl="6" w:tplc="CAC222EE">
      <w:numFmt w:val="bullet"/>
      <w:lvlText w:val="•"/>
      <w:lvlJc w:val="left"/>
      <w:pPr>
        <w:ind w:left="7967" w:hanging="293"/>
      </w:pPr>
      <w:rPr>
        <w:rFonts w:hint="default"/>
        <w:lang w:val="en-US" w:eastAsia="en-US" w:bidi="ar-SA"/>
      </w:rPr>
    </w:lvl>
    <w:lvl w:ilvl="7" w:tplc="6DC46814">
      <w:numFmt w:val="bullet"/>
      <w:lvlText w:val="•"/>
      <w:lvlJc w:val="left"/>
      <w:pPr>
        <w:ind w:left="8942" w:hanging="293"/>
      </w:pPr>
      <w:rPr>
        <w:rFonts w:hint="default"/>
        <w:lang w:val="en-US" w:eastAsia="en-US" w:bidi="ar-SA"/>
      </w:rPr>
    </w:lvl>
    <w:lvl w:ilvl="8" w:tplc="4B382FD6">
      <w:numFmt w:val="bullet"/>
      <w:lvlText w:val="•"/>
      <w:lvlJc w:val="left"/>
      <w:pPr>
        <w:ind w:left="9917" w:hanging="293"/>
      </w:pPr>
      <w:rPr>
        <w:rFonts w:hint="default"/>
        <w:lang w:val="en-US" w:eastAsia="en-US" w:bidi="ar-SA"/>
      </w:rPr>
    </w:lvl>
  </w:abstractNum>
  <w:abstractNum w:abstractNumId="11" w15:restartNumberingAfterBreak="0">
    <w:nsid w:val="05F24BD9"/>
    <w:multiLevelType w:val="hybridMultilevel"/>
    <w:tmpl w:val="FFF8571E"/>
    <w:lvl w:ilvl="0" w:tplc="9452A852">
      <w:numFmt w:val="bullet"/>
      <w:lvlText w:val=""/>
      <w:lvlJc w:val="left"/>
      <w:pPr>
        <w:ind w:left="2480" w:hanging="360"/>
      </w:pPr>
      <w:rPr>
        <w:rFonts w:ascii="Symbol" w:eastAsia="Symbol" w:hAnsi="Symbol" w:cs="Symbol" w:hint="default"/>
        <w:b w:val="0"/>
        <w:bCs w:val="0"/>
        <w:i w:val="0"/>
        <w:iCs w:val="0"/>
        <w:spacing w:val="0"/>
        <w:w w:val="100"/>
        <w:sz w:val="24"/>
        <w:szCs w:val="24"/>
        <w:lang w:val="en-US" w:eastAsia="en-US" w:bidi="ar-SA"/>
      </w:rPr>
    </w:lvl>
    <w:lvl w:ilvl="1" w:tplc="FCD66876">
      <w:numFmt w:val="bullet"/>
      <w:lvlText w:val="•"/>
      <w:lvlJc w:val="left"/>
      <w:pPr>
        <w:ind w:left="3418" w:hanging="360"/>
      </w:pPr>
      <w:rPr>
        <w:rFonts w:hint="default"/>
        <w:lang w:val="en-US" w:eastAsia="en-US" w:bidi="ar-SA"/>
      </w:rPr>
    </w:lvl>
    <w:lvl w:ilvl="2" w:tplc="DAAA4980">
      <w:numFmt w:val="bullet"/>
      <w:lvlText w:val="•"/>
      <w:lvlJc w:val="left"/>
      <w:pPr>
        <w:ind w:left="4357" w:hanging="360"/>
      </w:pPr>
      <w:rPr>
        <w:rFonts w:hint="default"/>
        <w:lang w:val="en-US" w:eastAsia="en-US" w:bidi="ar-SA"/>
      </w:rPr>
    </w:lvl>
    <w:lvl w:ilvl="3" w:tplc="0AF4B06A">
      <w:numFmt w:val="bullet"/>
      <w:lvlText w:val="•"/>
      <w:lvlJc w:val="left"/>
      <w:pPr>
        <w:ind w:left="5295" w:hanging="360"/>
      </w:pPr>
      <w:rPr>
        <w:rFonts w:hint="default"/>
        <w:lang w:val="en-US" w:eastAsia="en-US" w:bidi="ar-SA"/>
      </w:rPr>
    </w:lvl>
    <w:lvl w:ilvl="4" w:tplc="4058DC00">
      <w:numFmt w:val="bullet"/>
      <w:lvlText w:val="•"/>
      <w:lvlJc w:val="left"/>
      <w:pPr>
        <w:ind w:left="6234" w:hanging="360"/>
      </w:pPr>
      <w:rPr>
        <w:rFonts w:hint="default"/>
        <w:lang w:val="en-US" w:eastAsia="en-US" w:bidi="ar-SA"/>
      </w:rPr>
    </w:lvl>
    <w:lvl w:ilvl="5" w:tplc="671297F6">
      <w:numFmt w:val="bullet"/>
      <w:lvlText w:val="•"/>
      <w:lvlJc w:val="left"/>
      <w:pPr>
        <w:ind w:left="7173" w:hanging="360"/>
      </w:pPr>
      <w:rPr>
        <w:rFonts w:hint="default"/>
        <w:lang w:val="en-US" w:eastAsia="en-US" w:bidi="ar-SA"/>
      </w:rPr>
    </w:lvl>
    <w:lvl w:ilvl="6" w:tplc="60BC9F7A">
      <w:numFmt w:val="bullet"/>
      <w:lvlText w:val="•"/>
      <w:lvlJc w:val="left"/>
      <w:pPr>
        <w:ind w:left="8111" w:hanging="360"/>
      </w:pPr>
      <w:rPr>
        <w:rFonts w:hint="default"/>
        <w:lang w:val="en-US" w:eastAsia="en-US" w:bidi="ar-SA"/>
      </w:rPr>
    </w:lvl>
    <w:lvl w:ilvl="7" w:tplc="79ECB59A">
      <w:numFmt w:val="bullet"/>
      <w:lvlText w:val="•"/>
      <w:lvlJc w:val="left"/>
      <w:pPr>
        <w:ind w:left="9050" w:hanging="360"/>
      </w:pPr>
      <w:rPr>
        <w:rFonts w:hint="default"/>
        <w:lang w:val="en-US" w:eastAsia="en-US" w:bidi="ar-SA"/>
      </w:rPr>
    </w:lvl>
    <w:lvl w:ilvl="8" w:tplc="8474F9D4">
      <w:numFmt w:val="bullet"/>
      <w:lvlText w:val="•"/>
      <w:lvlJc w:val="left"/>
      <w:pPr>
        <w:ind w:left="9989" w:hanging="360"/>
      </w:pPr>
      <w:rPr>
        <w:rFonts w:hint="default"/>
        <w:lang w:val="en-US" w:eastAsia="en-US" w:bidi="ar-SA"/>
      </w:rPr>
    </w:lvl>
  </w:abstractNum>
  <w:abstractNum w:abstractNumId="12" w15:restartNumberingAfterBreak="0">
    <w:nsid w:val="07087721"/>
    <w:multiLevelType w:val="multilevel"/>
    <w:tmpl w:val="DFD44960"/>
    <w:lvl w:ilvl="0">
      <w:start w:val="1"/>
      <w:numFmt w:val="decimal"/>
      <w:lvlText w:val="%1."/>
      <w:lvlJc w:val="left"/>
      <w:pPr>
        <w:ind w:left="1429" w:hanging="720"/>
      </w:pPr>
      <w:rPr>
        <w:rFonts w:ascii="Arial" w:eastAsia="Arial" w:hAnsi="Arial" w:cs="Arial"/>
        <w:b/>
        <w:i w:val="0"/>
        <w:smallCaps w:val="0"/>
        <w:strike w:val="0"/>
        <w:color w:val="000000"/>
        <w:sz w:val="24"/>
        <w:szCs w:val="24"/>
        <w:u w:val="none"/>
        <w:vertAlign w:val="baseline"/>
      </w:rPr>
    </w:lvl>
    <w:lvl w:ilvl="1">
      <w:start w:val="1"/>
      <w:numFmt w:val="decimal"/>
      <w:lvlText w:val="%1.%2"/>
      <w:lvlJc w:val="left"/>
      <w:pPr>
        <w:ind w:left="2149" w:hanging="720"/>
      </w:pPr>
      <w:rPr>
        <w:rFonts w:ascii="Calibri" w:eastAsia="Calibri" w:hAnsi="Calibri" w:cs="Calibri"/>
        <w:b w:val="0"/>
        <w:i w:val="0"/>
        <w:smallCaps w:val="0"/>
        <w:strike w:val="0"/>
        <w:color w:val="000000"/>
        <w:sz w:val="22"/>
        <w:szCs w:val="22"/>
        <w:u w:val="none"/>
        <w:vertAlign w:val="baseline"/>
      </w:rPr>
    </w:lvl>
    <w:lvl w:ilvl="2">
      <w:start w:val="1"/>
      <w:numFmt w:val="decimal"/>
      <w:lvlText w:val="%1.%2.%3"/>
      <w:lvlJc w:val="left"/>
      <w:pPr>
        <w:ind w:left="2705" w:hanging="720"/>
      </w:pPr>
      <w:rPr>
        <w:rFonts w:ascii="Arial" w:eastAsia="Arial" w:hAnsi="Arial" w:cs="Arial"/>
        <w:b w:val="0"/>
        <w:i w:val="0"/>
        <w:smallCaps w:val="0"/>
        <w:strike w:val="0"/>
        <w:color w:val="000000"/>
        <w:sz w:val="24"/>
        <w:szCs w:val="24"/>
        <w:u w:val="none"/>
        <w:vertAlign w:val="baseline"/>
      </w:rPr>
    </w:lvl>
    <w:lvl w:ilvl="3">
      <w:start w:val="1"/>
      <w:numFmt w:val="lowerLetter"/>
      <w:lvlText w:val="(%4)"/>
      <w:lvlJc w:val="left"/>
      <w:pPr>
        <w:ind w:left="3589" w:hanging="720"/>
      </w:pPr>
      <w:rPr>
        <w:rFonts w:ascii="Calibri" w:eastAsia="Calibri" w:hAnsi="Calibri" w:cs="Calibri"/>
        <w:b w:val="0"/>
        <w:i w:val="0"/>
        <w:smallCaps w:val="0"/>
        <w:strike w:val="0"/>
        <w:color w:val="000000"/>
        <w:sz w:val="22"/>
        <w:szCs w:val="22"/>
        <w:u w:val="none"/>
        <w:vertAlign w:val="baseline"/>
      </w:rPr>
    </w:lvl>
    <w:lvl w:ilvl="4">
      <w:start w:val="1"/>
      <w:numFmt w:val="lowerRoman"/>
      <w:lvlText w:val="(%5)"/>
      <w:lvlJc w:val="left"/>
      <w:pPr>
        <w:ind w:left="4309" w:hanging="720"/>
      </w:pPr>
      <w:rPr>
        <w:b w:val="0"/>
        <w:i w:val="0"/>
        <w:smallCaps w:val="0"/>
        <w:strike w:val="0"/>
        <w:color w:val="000000"/>
        <w:u w:val="none"/>
        <w:vertAlign w:val="baseline"/>
      </w:rPr>
    </w:lvl>
    <w:lvl w:ilvl="5">
      <w:start w:val="1"/>
      <w:numFmt w:val="upperLetter"/>
      <w:lvlText w:val="(%6)"/>
      <w:lvlJc w:val="left"/>
      <w:pPr>
        <w:ind w:left="2149" w:hanging="1080"/>
      </w:pPr>
      <w:rPr>
        <w:b w:val="0"/>
        <w:i w:val="0"/>
        <w:smallCaps w:val="0"/>
        <w:strike w:val="0"/>
        <w:color w:val="000000"/>
        <w:u w:val="none"/>
        <w:vertAlign w:val="baseline"/>
      </w:rPr>
    </w:lvl>
    <w:lvl w:ilvl="6">
      <w:start w:val="1"/>
      <w:numFmt w:val="decimal"/>
      <w:lvlText w:val="%1.%2.%3.%4.%5.%6.%7"/>
      <w:lvlJc w:val="left"/>
      <w:pPr>
        <w:ind w:left="2509" w:hanging="1440"/>
      </w:pPr>
    </w:lvl>
    <w:lvl w:ilvl="7">
      <w:start w:val="1"/>
      <w:numFmt w:val="decimal"/>
      <w:lvlText w:val="%1.%2.%3.%4.%5.%6.%7.%8"/>
      <w:lvlJc w:val="left"/>
      <w:pPr>
        <w:ind w:left="2509" w:hanging="1440"/>
      </w:pPr>
    </w:lvl>
    <w:lvl w:ilvl="8">
      <w:start w:val="1"/>
      <w:numFmt w:val="decimal"/>
      <w:lvlText w:val="%1.%2.%3.%4.%5.%6.%7.%8.%9"/>
      <w:lvlJc w:val="left"/>
      <w:pPr>
        <w:ind w:left="2869" w:hanging="1800"/>
      </w:pPr>
    </w:lvl>
  </w:abstractNum>
  <w:abstractNum w:abstractNumId="13" w15:restartNumberingAfterBreak="0">
    <w:nsid w:val="08100BA8"/>
    <w:multiLevelType w:val="multilevel"/>
    <w:tmpl w:val="D3108F72"/>
    <w:lvl w:ilvl="0">
      <w:start w:val="1"/>
      <w:numFmt w:val="decimal"/>
      <w:lvlText w:val="%1."/>
      <w:lvlJc w:val="left"/>
      <w:pPr>
        <w:ind w:left="1760" w:hanging="360"/>
      </w:pPr>
      <w:rPr>
        <w:rFonts w:ascii="Arial" w:eastAsia="Arial" w:hAnsi="Arial" w:cs="Arial" w:hint="default"/>
        <w:b/>
        <w:bCs/>
        <w:i w:val="0"/>
        <w:iCs w:val="0"/>
        <w:spacing w:val="0"/>
        <w:w w:val="100"/>
        <w:sz w:val="24"/>
        <w:szCs w:val="24"/>
        <w:lang w:val="en-US" w:eastAsia="en-US" w:bidi="ar-SA"/>
      </w:rPr>
    </w:lvl>
    <w:lvl w:ilvl="1">
      <w:start w:val="1"/>
      <w:numFmt w:val="decimal"/>
      <w:lvlText w:val="%1.%2"/>
      <w:lvlJc w:val="left"/>
      <w:pPr>
        <w:ind w:left="2043" w:hanging="360"/>
      </w:pPr>
      <w:rPr>
        <w:rFonts w:ascii="Arial" w:eastAsia="Arial" w:hAnsi="Arial" w:cs="Arial" w:hint="default"/>
        <w:b w:val="0"/>
        <w:bCs w:val="0"/>
        <w:i w:val="0"/>
        <w:iCs w:val="0"/>
        <w:spacing w:val="0"/>
        <w:w w:val="100"/>
        <w:sz w:val="24"/>
        <w:szCs w:val="24"/>
        <w:lang w:val="en-US" w:eastAsia="en-US" w:bidi="ar-SA"/>
      </w:rPr>
    </w:lvl>
    <w:lvl w:ilvl="2">
      <w:start w:val="1"/>
      <w:numFmt w:val="decimal"/>
      <w:lvlText w:val="%1.%2.%3"/>
      <w:lvlJc w:val="left"/>
      <w:pPr>
        <w:ind w:left="3821" w:hanging="720"/>
      </w:pPr>
      <w:rPr>
        <w:rFonts w:ascii="Arial" w:eastAsia="Arial" w:hAnsi="Arial" w:cs="Arial" w:hint="default"/>
        <w:b w:val="0"/>
        <w:bCs w:val="0"/>
        <w:i w:val="0"/>
        <w:iCs w:val="0"/>
        <w:spacing w:val="-2"/>
        <w:w w:val="100"/>
        <w:sz w:val="24"/>
        <w:szCs w:val="24"/>
        <w:lang w:val="en-US" w:eastAsia="en-US" w:bidi="ar-SA"/>
      </w:rPr>
    </w:lvl>
    <w:lvl w:ilvl="3">
      <w:numFmt w:val="bullet"/>
      <w:lvlText w:val="•"/>
      <w:lvlJc w:val="left"/>
      <w:pPr>
        <w:ind w:left="4825" w:hanging="720"/>
      </w:pPr>
      <w:rPr>
        <w:rFonts w:hint="default"/>
        <w:lang w:val="en-US" w:eastAsia="en-US" w:bidi="ar-SA"/>
      </w:rPr>
    </w:lvl>
    <w:lvl w:ilvl="4">
      <w:numFmt w:val="bullet"/>
      <w:lvlText w:val="•"/>
      <w:lvlJc w:val="left"/>
      <w:pPr>
        <w:ind w:left="5831" w:hanging="720"/>
      </w:pPr>
      <w:rPr>
        <w:rFonts w:hint="default"/>
        <w:lang w:val="en-US" w:eastAsia="en-US" w:bidi="ar-SA"/>
      </w:rPr>
    </w:lvl>
    <w:lvl w:ilvl="5">
      <w:numFmt w:val="bullet"/>
      <w:lvlText w:val="•"/>
      <w:lvlJc w:val="left"/>
      <w:pPr>
        <w:ind w:left="6837" w:hanging="720"/>
      </w:pPr>
      <w:rPr>
        <w:rFonts w:hint="default"/>
        <w:lang w:val="en-US" w:eastAsia="en-US" w:bidi="ar-SA"/>
      </w:rPr>
    </w:lvl>
    <w:lvl w:ilvl="6">
      <w:numFmt w:val="bullet"/>
      <w:lvlText w:val="•"/>
      <w:lvlJc w:val="left"/>
      <w:pPr>
        <w:ind w:left="7843" w:hanging="720"/>
      </w:pPr>
      <w:rPr>
        <w:rFonts w:hint="default"/>
        <w:lang w:val="en-US" w:eastAsia="en-US" w:bidi="ar-SA"/>
      </w:rPr>
    </w:lvl>
    <w:lvl w:ilvl="7">
      <w:numFmt w:val="bullet"/>
      <w:lvlText w:val="•"/>
      <w:lvlJc w:val="left"/>
      <w:pPr>
        <w:ind w:left="8849" w:hanging="720"/>
      </w:pPr>
      <w:rPr>
        <w:rFonts w:hint="default"/>
        <w:lang w:val="en-US" w:eastAsia="en-US" w:bidi="ar-SA"/>
      </w:rPr>
    </w:lvl>
    <w:lvl w:ilvl="8">
      <w:numFmt w:val="bullet"/>
      <w:lvlText w:val="•"/>
      <w:lvlJc w:val="left"/>
      <w:pPr>
        <w:ind w:left="9854" w:hanging="720"/>
      </w:pPr>
      <w:rPr>
        <w:rFonts w:hint="default"/>
        <w:lang w:val="en-US" w:eastAsia="en-US" w:bidi="ar-SA"/>
      </w:rPr>
    </w:lvl>
  </w:abstractNum>
  <w:abstractNum w:abstractNumId="14" w15:restartNumberingAfterBreak="0">
    <w:nsid w:val="084919FD"/>
    <w:multiLevelType w:val="hybridMultilevel"/>
    <w:tmpl w:val="5CBAB3FE"/>
    <w:lvl w:ilvl="0" w:tplc="8F24D11C">
      <w:start w:val="1"/>
      <w:numFmt w:val="lowerLetter"/>
      <w:lvlText w:val="(%1)"/>
      <w:lvlJc w:val="left"/>
      <w:pPr>
        <w:ind w:left="1494" w:hanging="428"/>
      </w:pPr>
      <w:rPr>
        <w:rFonts w:ascii="Calibri" w:eastAsia="Calibri" w:hAnsi="Calibri" w:cs="Calibri" w:hint="default"/>
        <w:b w:val="0"/>
        <w:bCs w:val="0"/>
        <w:i w:val="0"/>
        <w:iCs w:val="0"/>
        <w:spacing w:val="-1"/>
        <w:w w:val="100"/>
        <w:sz w:val="24"/>
        <w:szCs w:val="24"/>
        <w:lang w:val="en-US" w:eastAsia="en-US" w:bidi="ar-SA"/>
      </w:rPr>
    </w:lvl>
    <w:lvl w:ilvl="1" w:tplc="D60AF928">
      <w:numFmt w:val="bullet"/>
      <w:lvlText w:val="•"/>
      <w:lvlJc w:val="left"/>
      <w:pPr>
        <w:ind w:left="2536" w:hanging="428"/>
      </w:pPr>
      <w:rPr>
        <w:rFonts w:hint="default"/>
        <w:lang w:val="en-US" w:eastAsia="en-US" w:bidi="ar-SA"/>
      </w:rPr>
    </w:lvl>
    <w:lvl w:ilvl="2" w:tplc="1D361726">
      <w:numFmt w:val="bullet"/>
      <w:lvlText w:val="•"/>
      <w:lvlJc w:val="left"/>
      <w:pPr>
        <w:ind w:left="3573" w:hanging="428"/>
      </w:pPr>
      <w:rPr>
        <w:rFonts w:hint="default"/>
        <w:lang w:val="en-US" w:eastAsia="en-US" w:bidi="ar-SA"/>
      </w:rPr>
    </w:lvl>
    <w:lvl w:ilvl="3" w:tplc="5914CA16">
      <w:numFmt w:val="bullet"/>
      <w:lvlText w:val="•"/>
      <w:lvlJc w:val="left"/>
      <w:pPr>
        <w:ind w:left="4609" w:hanging="428"/>
      </w:pPr>
      <w:rPr>
        <w:rFonts w:hint="default"/>
        <w:lang w:val="en-US" w:eastAsia="en-US" w:bidi="ar-SA"/>
      </w:rPr>
    </w:lvl>
    <w:lvl w:ilvl="4" w:tplc="51C68306">
      <w:numFmt w:val="bullet"/>
      <w:lvlText w:val="•"/>
      <w:lvlJc w:val="left"/>
      <w:pPr>
        <w:ind w:left="5646" w:hanging="428"/>
      </w:pPr>
      <w:rPr>
        <w:rFonts w:hint="default"/>
        <w:lang w:val="en-US" w:eastAsia="en-US" w:bidi="ar-SA"/>
      </w:rPr>
    </w:lvl>
    <w:lvl w:ilvl="5" w:tplc="DF00B62E">
      <w:numFmt w:val="bullet"/>
      <w:lvlText w:val="•"/>
      <w:lvlJc w:val="left"/>
      <w:pPr>
        <w:ind w:left="6683" w:hanging="428"/>
      </w:pPr>
      <w:rPr>
        <w:rFonts w:hint="default"/>
        <w:lang w:val="en-US" w:eastAsia="en-US" w:bidi="ar-SA"/>
      </w:rPr>
    </w:lvl>
    <w:lvl w:ilvl="6" w:tplc="9908721E">
      <w:numFmt w:val="bullet"/>
      <w:lvlText w:val="•"/>
      <w:lvlJc w:val="left"/>
      <w:pPr>
        <w:ind w:left="7719" w:hanging="428"/>
      </w:pPr>
      <w:rPr>
        <w:rFonts w:hint="default"/>
        <w:lang w:val="en-US" w:eastAsia="en-US" w:bidi="ar-SA"/>
      </w:rPr>
    </w:lvl>
    <w:lvl w:ilvl="7" w:tplc="89D400BC">
      <w:numFmt w:val="bullet"/>
      <w:lvlText w:val="•"/>
      <w:lvlJc w:val="left"/>
      <w:pPr>
        <w:ind w:left="8756" w:hanging="428"/>
      </w:pPr>
      <w:rPr>
        <w:rFonts w:hint="default"/>
        <w:lang w:val="en-US" w:eastAsia="en-US" w:bidi="ar-SA"/>
      </w:rPr>
    </w:lvl>
    <w:lvl w:ilvl="8" w:tplc="81066034">
      <w:numFmt w:val="bullet"/>
      <w:lvlText w:val="•"/>
      <w:lvlJc w:val="left"/>
      <w:pPr>
        <w:ind w:left="9793" w:hanging="428"/>
      </w:pPr>
      <w:rPr>
        <w:rFonts w:hint="default"/>
        <w:lang w:val="en-US" w:eastAsia="en-US" w:bidi="ar-SA"/>
      </w:rPr>
    </w:lvl>
  </w:abstractNum>
  <w:abstractNum w:abstractNumId="15" w15:restartNumberingAfterBreak="0">
    <w:nsid w:val="09646CB4"/>
    <w:multiLevelType w:val="hybridMultilevel"/>
    <w:tmpl w:val="0BDC5510"/>
    <w:lvl w:ilvl="0" w:tplc="A5D2E98A">
      <w:start w:val="1"/>
      <w:numFmt w:val="lowerLetter"/>
      <w:lvlText w:val="(%1)"/>
      <w:lvlJc w:val="left"/>
      <w:pPr>
        <w:ind w:left="1494" w:hanging="428"/>
      </w:pPr>
      <w:rPr>
        <w:rFonts w:ascii="Calibri" w:eastAsia="Calibri" w:hAnsi="Calibri" w:cs="Calibri" w:hint="default"/>
        <w:b w:val="0"/>
        <w:bCs w:val="0"/>
        <w:i w:val="0"/>
        <w:iCs w:val="0"/>
        <w:spacing w:val="-1"/>
        <w:w w:val="100"/>
        <w:sz w:val="24"/>
        <w:szCs w:val="24"/>
        <w:lang w:val="en-US" w:eastAsia="en-US" w:bidi="ar-SA"/>
      </w:rPr>
    </w:lvl>
    <w:lvl w:ilvl="1" w:tplc="E9C2755A">
      <w:numFmt w:val="bullet"/>
      <w:lvlText w:val="•"/>
      <w:lvlJc w:val="left"/>
      <w:pPr>
        <w:ind w:left="2536" w:hanging="428"/>
      </w:pPr>
      <w:rPr>
        <w:rFonts w:hint="default"/>
        <w:lang w:val="en-US" w:eastAsia="en-US" w:bidi="ar-SA"/>
      </w:rPr>
    </w:lvl>
    <w:lvl w:ilvl="2" w:tplc="9490D0AC">
      <w:numFmt w:val="bullet"/>
      <w:lvlText w:val="•"/>
      <w:lvlJc w:val="left"/>
      <w:pPr>
        <w:ind w:left="3573" w:hanging="428"/>
      </w:pPr>
      <w:rPr>
        <w:rFonts w:hint="default"/>
        <w:lang w:val="en-US" w:eastAsia="en-US" w:bidi="ar-SA"/>
      </w:rPr>
    </w:lvl>
    <w:lvl w:ilvl="3" w:tplc="D506EBE6">
      <w:numFmt w:val="bullet"/>
      <w:lvlText w:val="•"/>
      <w:lvlJc w:val="left"/>
      <w:pPr>
        <w:ind w:left="4609" w:hanging="428"/>
      </w:pPr>
      <w:rPr>
        <w:rFonts w:hint="default"/>
        <w:lang w:val="en-US" w:eastAsia="en-US" w:bidi="ar-SA"/>
      </w:rPr>
    </w:lvl>
    <w:lvl w:ilvl="4" w:tplc="7B921C74">
      <w:numFmt w:val="bullet"/>
      <w:lvlText w:val="•"/>
      <w:lvlJc w:val="left"/>
      <w:pPr>
        <w:ind w:left="5646" w:hanging="428"/>
      </w:pPr>
      <w:rPr>
        <w:rFonts w:hint="default"/>
        <w:lang w:val="en-US" w:eastAsia="en-US" w:bidi="ar-SA"/>
      </w:rPr>
    </w:lvl>
    <w:lvl w:ilvl="5" w:tplc="D4CE87B6">
      <w:numFmt w:val="bullet"/>
      <w:lvlText w:val="•"/>
      <w:lvlJc w:val="left"/>
      <w:pPr>
        <w:ind w:left="6683" w:hanging="428"/>
      </w:pPr>
      <w:rPr>
        <w:rFonts w:hint="default"/>
        <w:lang w:val="en-US" w:eastAsia="en-US" w:bidi="ar-SA"/>
      </w:rPr>
    </w:lvl>
    <w:lvl w:ilvl="6" w:tplc="B7FE2B18">
      <w:numFmt w:val="bullet"/>
      <w:lvlText w:val="•"/>
      <w:lvlJc w:val="left"/>
      <w:pPr>
        <w:ind w:left="7719" w:hanging="428"/>
      </w:pPr>
      <w:rPr>
        <w:rFonts w:hint="default"/>
        <w:lang w:val="en-US" w:eastAsia="en-US" w:bidi="ar-SA"/>
      </w:rPr>
    </w:lvl>
    <w:lvl w:ilvl="7" w:tplc="7EC4867E">
      <w:numFmt w:val="bullet"/>
      <w:lvlText w:val="•"/>
      <w:lvlJc w:val="left"/>
      <w:pPr>
        <w:ind w:left="8756" w:hanging="428"/>
      </w:pPr>
      <w:rPr>
        <w:rFonts w:hint="default"/>
        <w:lang w:val="en-US" w:eastAsia="en-US" w:bidi="ar-SA"/>
      </w:rPr>
    </w:lvl>
    <w:lvl w:ilvl="8" w:tplc="18EA3440">
      <w:numFmt w:val="bullet"/>
      <w:lvlText w:val="•"/>
      <w:lvlJc w:val="left"/>
      <w:pPr>
        <w:ind w:left="9793" w:hanging="428"/>
      </w:pPr>
      <w:rPr>
        <w:rFonts w:hint="default"/>
        <w:lang w:val="en-US" w:eastAsia="en-US" w:bidi="ar-SA"/>
      </w:rPr>
    </w:lvl>
  </w:abstractNum>
  <w:abstractNum w:abstractNumId="16" w15:restartNumberingAfterBreak="0">
    <w:nsid w:val="09D72260"/>
    <w:multiLevelType w:val="hybridMultilevel"/>
    <w:tmpl w:val="CA582CCE"/>
    <w:lvl w:ilvl="0" w:tplc="40A0AE16">
      <w:numFmt w:val="bullet"/>
      <w:lvlText w:val="-"/>
      <w:lvlJc w:val="left"/>
      <w:pPr>
        <w:ind w:left="109" w:hanging="118"/>
      </w:pPr>
      <w:rPr>
        <w:rFonts w:ascii="Calibri" w:eastAsia="Calibri" w:hAnsi="Calibri" w:cs="Calibri" w:hint="default"/>
        <w:b w:val="0"/>
        <w:bCs w:val="0"/>
        <w:i w:val="0"/>
        <w:iCs w:val="0"/>
        <w:spacing w:val="0"/>
        <w:w w:val="100"/>
        <w:sz w:val="22"/>
        <w:szCs w:val="22"/>
        <w:lang w:val="en-US" w:eastAsia="en-US" w:bidi="ar-SA"/>
      </w:rPr>
    </w:lvl>
    <w:lvl w:ilvl="1" w:tplc="3470004E">
      <w:numFmt w:val="bullet"/>
      <w:lvlText w:val="•"/>
      <w:lvlJc w:val="left"/>
      <w:pPr>
        <w:ind w:left="387" w:hanging="118"/>
      </w:pPr>
      <w:rPr>
        <w:rFonts w:hint="default"/>
        <w:lang w:val="en-US" w:eastAsia="en-US" w:bidi="ar-SA"/>
      </w:rPr>
    </w:lvl>
    <w:lvl w:ilvl="2" w:tplc="16F4E81C">
      <w:numFmt w:val="bullet"/>
      <w:lvlText w:val="•"/>
      <w:lvlJc w:val="left"/>
      <w:pPr>
        <w:ind w:left="675" w:hanging="118"/>
      </w:pPr>
      <w:rPr>
        <w:rFonts w:hint="default"/>
        <w:lang w:val="en-US" w:eastAsia="en-US" w:bidi="ar-SA"/>
      </w:rPr>
    </w:lvl>
    <w:lvl w:ilvl="3" w:tplc="37645786">
      <w:numFmt w:val="bullet"/>
      <w:lvlText w:val="•"/>
      <w:lvlJc w:val="left"/>
      <w:pPr>
        <w:ind w:left="963" w:hanging="118"/>
      </w:pPr>
      <w:rPr>
        <w:rFonts w:hint="default"/>
        <w:lang w:val="en-US" w:eastAsia="en-US" w:bidi="ar-SA"/>
      </w:rPr>
    </w:lvl>
    <w:lvl w:ilvl="4" w:tplc="001810A8">
      <w:numFmt w:val="bullet"/>
      <w:lvlText w:val="•"/>
      <w:lvlJc w:val="left"/>
      <w:pPr>
        <w:ind w:left="1251" w:hanging="118"/>
      </w:pPr>
      <w:rPr>
        <w:rFonts w:hint="default"/>
        <w:lang w:val="en-US" w:eastAsia="en-US" w:bidi="ar-SA"/>
      </w:rPr>
    </w:lvl>
    <w:lvl w:ilvl="5" w:tplc="3B28DAD8">
      <w:numFmt w:val="bullet"/>
      <w:lvlText w:val="•"/>
      <w:lvlJc w:val="left"/>
      <w:pPr>
        <w:ind w:left="1539" w:hanging="118"/>
      </w:pPr>
      <w:rPr>
        <w:rFonts w:hint="default"/>
        <w:lang w:val="en-US" w:eastAsia="en-US" w:bidi="ar-SA"/>
      </w:rPr>
    </w:lvl>
    <w:lvl w:ilvl="6" w:tplc="492222E4">
      <w:numFmt w:val="bullet"/>
      <w:lvlText w:val="•"/>
      <w:lvlJc w:val="left"/>
      <w:pPr>
        <w:ind w:left="1826" w:hanging="118"/>
      </w:pPr>
      <w:rPr>
        <w:rFonts w:hint="default"/>
        <w:lang w:val="en-US" w:eastAsia="en-US" w:bidi="ar-SA"/>
      </w:rPr>
    </w:lvl>
    <w:lvl w:ilvl="7" w:tplc="07104BB8">
      <w:numFmt w:val="bullet"/>
      <w:lvlText w:val="•"/>
      <w:lvlJc w:val="left"/>
      <w:pPr>
        <w:ind w:left="2114" w:hanging="118"/>
      </w:pPr>
      <w:rPr>
        <w:rFonts w:hint="default"/>
        <w:lang w:val="en-US" w:eastAsia="en-US" w:bidi="ar-SA"/>
      </w:rPr>
    </w:lvl>
    <w:lvl w:ilvl="8" w:tplc="5B38E8C6">
      <w:numFmt w:val="bullet"/>
      <w:lvlText w:val="•"/>
      <w:lvlJc w:val="left"/>
      <w:pPr>
        <w:ind w:left="2402" w:hanging="118"/>
      </w:pPr>
      <w:rPr>
        <w:rFonts w:hint="default"/>
        <w:lang w:val="en-US" w:eastAsia="en-US" w:bidi="ar-SA"/>
      </w:rPr>
    </w:lvl>
  </w:abstractNum>
  <w:abstractNum w:abstractNumId="17" w15:restartNumberingAfterBreak="0">
    <w:nsid w:val="0A09245B"/>
    <w:multiLevelType w:val="hybridMultilevel"/>
    <w:tmpl w:val="D430EAB0"/>
    <w:lvl w:ilvl="0" w:tplc="29203EF8">
      <w:numFmt w:val="bullet"/>
      <w:lvlText w:val=""/>
      <w:lvlJc w:val="left"/>
      <w:pPr>
        <w:ind w:left="627" w:hanging="272"/>
      </w:pPr>
      <w:rPr>
        <w:rFonts w:ascii="Symbol" w:eastAsia="Symbol" w:hAnsi="Symbol" w:cs="Symbol" w:hint="default"/>
        <w:b w:val="0"/>
        <w:bCs w:val="0"/>
        <w:i w:val="0"/>
        <w:iCs w:val="0"/>
        <w:spacing w:val="0"/>
        <w:w w:val="104"/>
        <w:sz w:val="13"/>
        <w:szCs w:val="13"/>
        <w:lang w:val="en-US" w:eastAsia="en-US" w:bidi="ar-SA"/>
      </w:rPr>
    </w:lvl>
    <w:lvl w:ilvl="1" w:tplc="198679F2">
      <w:numFmt w:val="bullet"/>
      <w:lvlText w:val="•"/>
      <w:lvlJc w:val="left"/>
      <w:pPr>
        <w:ind w:left="865" w:hanging="272"/>
      </w:pPr>
      <w:rPr>
        <w:rFonts w:hint="default"/>
        <w:lang w:val="en-US" w:eastAsia="en-US" w:bidi="ar-SA"/>
      </w:rPr>
    </w:lvl>
    <w:lvl w:ilvl="2" w:tplc="B0FC5E4A">
      <w:numFmt w:val="bullet"/>
      <w:lvlText w:val="•"/>
      <w:lvlJc w:val="left"/>
      <w:pPr>
        <w:ind w:left="1110" w:hanging="272"/>
      </w:pPr>
      <w:rPr>
        <w:rFonts w:hint="default"/>
        <w:lang w:val="en-US" w:eastAsia="en-US" w:bidi="ar-SA"/>
      </w:rPr>
    </w:lvl>
    <w:lvl w:ilvl="3" w:tplc="C442A82C">
      <w:numFmt w:val="bullet"/>
      <w:lvlText w:val="•"/>
      <w:lvlJc w:val="left"/>
      <w:pPr>
        <w:ind w:left="1355" w:hanging="272"/>
      </w:pPr>
      <w:rPr>
        <w:rFonts w:hint="default"/>
        <w:lang w:val="en-US" w:eastAsia="en-US" w:bidi="ar-SA"/>
      </w:rPr>
    </w:lvl>
    <w:lvl w:ilvl="4" w:tplc="30C09D5A">
      <w:numFmt w:val="bullet"/>
      <w:lvlText w:val="•"/>
      <w:lvlJc w:val="left"/>
      <w:pPr>
        <w:ind w:left="1600" w:hanging="272"/>
      </w:pPr>
      <w:rPr>
        <w:rFonts w:hint="default"/>
        <w:lang w:val="en-US" w:eastAsia="en-US" w:bidi="ar-SA"/>
      </w:rPr>
    </w:lvl>
    <w:lvl w:ilvl="5" w:tplc="17C087CA">
      <w:numFmt w:val="bullet"/>
      <w:lvlText w:val="•"/>
      <w:lvlJc w:val="left"/>
      <w:pPr>
        <w:ind w:left="1845" w:hanging="272"/>
      </w:pPr>
      <w:rPr>
        <w:rFonts w:hint="default"/>
        <w:lang w:val="en-US" w:eastAsia="en-US" w:bidi="ar-SA"/>
      </w:rPr>
    </w:lvl>
    <w:lvl w:ilvl="6" w:tplc="E0641548">
      <w:numFmt w:val="bullet"/>
      <w:lvlText w:val="•"/>
      <w:lvlJc w:val="left"/>
      <w:pPr>
        <w:ind w:left="2090" w:hanging="272"/>
      </w:pPr>
      <w:rPr>
        <w:rFonts w:hint="default"/>
        <w:lang w:val="en-US" w:eastAsia="en-US" w:bidi="ar-SA"/>
      </w:rPr>
    </w:lvl>
    <w:lvl w:ilvl="7" w:tplc="B784BF62">
      <w:numFmt w:val="bullet"/>
      <w:lvlText w:val="•"/>
      <w:lvlJc w:val="left"/>
      <w:pPr>
        <w:ind w:left="2335" w:hanging="272"/>
      </w:pPr>
      <w:rPr>
        <w:rFonts w:hint="default"/>
        <w:lang w:val="en-US" w:eastAsia="en-US" w:bidi="ar-SA"/>
      </w:rPr>
    </w:lvl>
    <w:lvl w:ilvl="8" w:tplc="C8D29EF4">
      <w:numFmt w:val="bullet"/>
      <w:lvlText w:val="•"/>
      <w:lvlJc w:val="left"/>
      <w:pPr>
        <w:ind w:left="2580" w:hanging="272"/>
      </w:pPr>
      <w:rPr>
        <w:rFonts w:hint="default"/>
        <w:lang w:val="en-US" w:eastAsia="en-US" w:bidi="ar-SA"/>
      </w:rPr>
    </w:lvl>
  </w:abstractNum>
  <w:abstractNum w:abstractNumId="18" w15:restartNumberingAfterBreak="0">
    <w:nsid w:val="0AD00AB6"/>
    <w:multiLevelType w:val="hybridMultilevel"/>
    <w:tmpl w:val="340AACA6"/>
    <w:lvl w:ilvl="0" w:tplc="E7EAB2F4">
      <w:start w:val="1"/>
      <w:numFmt w:val="lowerLetter"/>
      <w:lvlText w:val="(%1)"/>
      <w:lvlJc w:val="left"/>
      <w:pPr>
        <w:ind w:left="1494" w:hanging="428"/>
      </w:pPr>
      <w:rPr>
        <w:rFonts w:ascii="Calibri" w:eastAsia="Calibri" w:hAnsi="Calibri" w:cs="Calibri" w:hint="default"/>
        <w:b w:val="0"/>
        <w:bCs w:val="0"/>
        <w:i w:val="0"/>
        <w:iCs w:val="0"/>
        <w:spacing w:val="-1"/>
        <w:w w:val="100"/>
        <w:sz w:val="24"/>
        <w:szCs w:val="24"/>
        <w:lang w:val="en-US" w:eastAsia="en-US" w:bidi="ar-SA"/>
      </w:rPr>
    </w:lvl>
    <w:lvl w:ilvl="1" w:tplc="DFA4366C">
      <w:numFmt w:val="bullet"/>
      <w:lvlText w:val="•"/>
      <w:lvlJc w:val="left"/>
      <w:pPr>
        <w:ind w:left="2536" w:hanging="428"/>
      </w:pPr>
      <w:rPr>
        <w:rFonts w:hint="default"/>
        <w:lang w:val="en-US" w:eastAsia="en-US" w:bidi="ar-SA"/>
      </w:rPr>
    </w:lvl>
    <w:lvl w:ilvl="2" w:tplc="15060988">
      <w:numFmt w:val="bullet"/>
      <w:lvlText w:val="•"/>
      <w:lvlJc w:val="left"/>
      <w:pPr>
        <w:ind w:left="3573" w:hanging="428"/>
      </w:pPr>
      <w:rPr>
        <w:rFonts w:hint="default"/>
        <w:lang w:val="en-US" w:eastAsia="en-US" w:bidi="ar-SA"/>
      </w:rPr>
    </w:lvl>
    <w:lvl w:ilvl="3" w:tplc="EF3C5B74">
      <w:numFmt w:val="bullet"/>
      <w:lvlText w:val="•"/>
      <w:lvlJc w:val="left"/>
      <w:pPr>
        <w:ind w:left="4609" w:hanging="428"/>
      </w:pPr>
      <w:rPr>
        <w:rFonts w:hint="default"/>
        <w:lang w:val="en-US" w:eastAsia="en-US" w:bidi="ar-SA"/>
      </w:rPr>
    </w:lvl>
    <w:lvl w:ilvl="4" w:tplc="0722F6DC">
      <w:numFmt w:val="bullet"/>
      <w:lvlText w:val="•"/>
      <w:lvlJc w:val="left"/>
      <w:pPr>
        <w:ind w:left="5646" w:hanging="428"/>
      </w:pPr>
      <w:rPr>
        <w:rFonts w:hint="default"/>
        <w:lang w:val="en-US" w:eastAsia="en-US" w:bidi="ar-SA"/>
      </w:rPr>
    </w:lvl>
    <w:lvl w:ilvl="5" w:tplc="059A3666">
      <w:numFmt w:val="bullet"/>
      <w:lvlText w:val="•"/>
      <w:lvlJc w:val="left"/>
      <w:pPr>
        <w:ind w:left="6683" w:hanging="428"/>
      </w:pPr>
      <w:rPr>
        <w:rFonts w:hint="default"/>
        <w:lang w:val="en-US" w:eastAsia="en-US" w:bidi="ar-SA"/>
      </w:rPr>
    </w:lvl>
    <w:lvl w:ilvl="6" w:tplc="34D681CE">
      <w:numFmt w:val="bullet"/>
      <w:lvlText w:val="•"/>
      <w:lvlJc w:val="left"/>
      <w:pPr>
        <w:ind w:left="7719" w:hanging="428"/>
      </w:pPr>
      <w:rPr>
        <w:rFonts w:hint="default"/>
        <w:lang w:val="en-US" w:eastAsia="en-US" w:bidi="ar-SA"/>
      </w:rPr>
    </w:lvl>
    <w:lvl w:ilvl="7" w:tplc="23F83C78">
      <w:numFmt w:val="bullet"/>
      <w:lvlText w:val="•"/>
      <w:lvlJc w:val="left"/>
      <w:pPr>
        <w:ind w:left="8756" w:hanging="428"/>
      </w:pPr>
      <w:rPr>
        <w:rFonts w:hint="default"/>
        <w:lang w:val="en-US" w:eastAsia="en-US" w:bidi="ar-SA"/>
      </w:rPr>
    </w:lvl>
    <w:lvl w:ilvl="8" w:tplc="37423914">
      <w:numFmt w:val="bullet"/>
      <w:lvlText w:val="•"/>
      <w:lvlJc w:val="left"/>
      <w:pPr>
        <w:ind w:left="9793" w:hanging="428"/>
      </w:pPr>
      <w:rPr>
        <w:rFonts w:hint="default"/>
        <w:lang w:val="en-US" w:eastAsia="en-US" w:bidi="ar-SA"/>
      </w:rPr>
    </w:lvl>
  </w:abstractNum>
  <w:abstractNum w:abstractNumId="19" w15:restartNumberingAfterBreak="0">
    <w:nsid w:val="0B087366"/>
    <w:multiLevelType w:val="hybridMultilevel"/>
    <w:tmpl w:val="C6461A20"/>
    <w:lvl w:ilvl="0" w:tplc="B4D606B6">
      <w:start w:val="1"/>
      <w:numFmt w:val="lowerLetter"/>
      <w:lvlText w:val="(%1)"/>
      <w:lvlJc w:val="left"/>
      <w:pPr>
        <w:ind w:left="1494" w:hanging="428"/>
      </w:pPr>
      <w:rPr>
        <w:rFonts w:ascii="Calibri" w:eastAsia="Calibri" w:hAnsi="Calibri" w:cs="Calibri" w:hint="default"/>
        <w:b w:val="0"/>
        <w:bCs w:val="0"/>
        <w:i w:val="0"/>
        <w:iCs w:val="0"/>
        <w:spacing w:val="-1"/>
        <w:w w:val="100"/>
        <w:sz w:val="24"/>
        <w:szCs w:val="24"/>
        <w:lang w:val="en-US" w:eastAsia="en-US" w:bidi="ar-SA"/>
      </w:rPr>
    </w:lvl>
    <w:lvl w:ilvl="1" w:tplc="BD4CACBC">
      <w:numFmt w:val="bullet"/>
      <w:lvlText w:val="•"/>
      <w:lvlJc w:val="left"/>
      <w:pPr>
        <w:ind w:left="2536" w:hanging="428"/>
      </w:pPr>
      <w:rPr>
        <w:rFonts w:hint="default"/>
        <w:lang w:val="en-US" w:eastAsia="en-US" w:bidi="ar-SA"/>
      </w:rPr>
    </w:lvl>
    <w:lvl w:ilvl="2" w:tplc="3C284EFA">
      <w:numFmt w:val="bullet"/>
      <w:lvlText w:val="•"/>
      <w:lvlJc w:val="left"/>
      <w:pPr>
        <w:ind w:left="3573" w:hanging="428"/>
      </w:pPr>
      <w:rPr>
        <w:rFonts w:hint="default"/>
        <w:lang w:val="en-US" w:eastAsia="en-US" w:bidi="ar-SA"/>
      </w:rPr>
    </w:lvl>
    <w:lvl w:ilvl="3" w:tplc="40BA8AB6">
      <w:numFmt w:val="bullet"/>
      <w:lvlText w:val="•"/>
      <w:lvlJc w:val="left"/>
      <w:pPr>
        <w:ind w:left="4609" w:hanging="428"/>
      </w:pPr>
      <w:rPr>
        <w:rFonts w:hint="default"/>
        <w:lang w:val="en-US" w:eastAsia="en-US" w:bidi="ar-SA"/>
      </w:rPr>
    </w:lvl>
    <w:lvl w:ilvl="4" w:tplc="0D20FAD6">
      <w:numFmt w:val="bullet"/>
      <w:lvlText w:val="•"/>
      <w:lvlJc w:val="left"/>
      <w:pPr>
        <w:ind w:left="5646" w:hanging="428"/>
      </w:pPr>
      <w:rPr>
        <w:rFonts w:hint="default"/>
        <w:lang w:val="en-US" w:eastAsia="en-US" w:bidi="ar-SA"/>
      </w:rPr>
    </w:lvl>
    <w:lvl w:ilvl="5" w:tplc="6BA282B8">
      <w:numFmt w:val="bullet"/>
      <w:lvlText w:val="•"/>
      <w:lvlJc w:val="left"/>
      <w:pPr>
        <w:ind w:left="6683" w:hanging="428"/>
      </w:pPr>
      <w:rPr>
        <w:rFonts w:hint="default"/>
        <w:lang w:val="en-US" w:eastAsia="en-US" w:bidi="ar-SA"/>
      </w:rPr>
    </w:lvl>
    <w:lvl w:ilvl="6" w:tplc="5CC210EC">
      <w:numFmt w:val="bullet"/>
      <w:lvlText w:val="•"/>
      <w:lvlJc w:val="left"/>
      <w:pPr>
        <w:ind w:left="7719" w:hanging="428"/>
      </w:pPr>
      <w:rPr>
        <w:rFonts w:hint="default"/>
        <w:lang w:val="en-US" w:eastAsia="en-US" w:bidi="ar-SA"/>
      </w:rPr>
    </w:lvl>
    <w:lvl w:ilvl="7" w:tplc="6CEAC7B0">
      <w:numFmt w:val="bullet"/>
      <w:lvlText w:val="•"/>
      <w:lvlJc w:val="left"/>
      <w:pPr>
        <w:ind w:left="8756" w:hanging="428"/>
      </w:pPr>
      <w:rPr>
        <w:rFonts w:hint="default"/>
        <w:lang w:val="en-US" w:eastAsia="en-US" w:bidi="ar-SA"/>
      </w:rPr>
    </w:lvl>
    <w:lvl w:ilvl="8" w:tplc="215E8CAA">
      <w:numFmt w:val="bullet"/>
      <w:lvlText w:val="•"/>
      <w:lvlJc w:val="left"/>
      <w:pPr>
        <w:ind w:left="9793" w:hanging="428"/>
      </w:pPr>
      <w:rPr>
        <w:rFonts w:hint="default"/>
        <w:lang w:val="en-US" w:eastAsia="en-US" w:bidi="ar-SA"/>
      </w:rPr>
    </w:lvl>
  </w:abstractNum>
  <w:abstractNum w:abstractNumId="20" w15:restartNumberingAfterBreak="0">
    <w:nsid w:val="0C0D053D"/>
    <w:multiLevelType w:val="hybridMultilevel"/>
    <w:tmpl w:val="4FAE3224"/>
    <w:lvl w:ilvl="0" w:tplc="F3AE1D02">
      <w:numFmt w:val="bullet"/>
      <w:lvlText w:val=""/>
      <w:lvlJc w:val="left"/>
      <w:pPr>
        <w:ind w:left="627" w:hanging="272"/>
      </w:pPr>
      <w:rPr>
        <w:rFonts w:ascii="Symbol" w:eastAsia="Symbol" w:hAnsi="Symbol" w:cs="Symbol" w:hint="default"/>
        <w:b w:val="0"/>
        <w:bCs w:val="0"/>
        <w:i w:val="0"/>
        <w:iCs w:val="0"/>
        <w:spacing w:val="0"/>
        <w:w w:val="100"/>
        <w:sz w:val="18"/>
        <w:szCs w:val="18"/>
        <w:shd w:val="clear" w:color="auto" w:fill="FFFF00"/>
        <w:lang w:val="en-US" w:eastAsia="en-US" w:bidi="ar-SA"/>
      </w:rPr>
    </w:lvl>
    <w:lvl w:ilvl="1" w:tplc="4B045116">
      <w:numFmt w:val="bullet"/>
      <w:lvlText w:val="•"/>
      <w:lvlJc w:val="left"/>
      <w:pPr>
        <w:ind w:left="1116" w:hanging="272"/>
      </w:pPr>
      <w:rPr>
        <w:rFonts w:hint="default"/>
        <w:lang w:val="en-US" w:eastAsia="en-US" w:bidi="ar-SA"/>
      </w:rPr>
    </w:lvl>
    <w:lvl w:ilvl="2" w:tplc="5038CF06">
      <w:numFmt w:val="bullet"/>
      <w:lvlText w:val="•"/>
      <w:lvlJc w:val="left"/>
      <w:pPr>
        <w:ind w:left="1612" w:hanging="272"/>
      </w:pPr>
      <w:rPr>
        <w:rFonts w:hint="default"/>
        <w:lang w:val="en-US" w:eastAsia="en-US" w:bidi="ar-SA"/>
      </w:rPr>
    </w:lvl>
    <w:lvl w:ilvl="3" w:tplc="99667104">
      <w:numFmt w:val="bullet"/>
      <w:lvlText w:val="•"/>
      <w:lvlJc w:val="left"/>
      <w:pPr>
        <w:ind w:left="2108" w:hanging="272"/>
      </w:pPr>
      <w:rPr>
        <w:rFonts w:hint="default"/>
        <w:lang w:val="en-US" w:eastAsia="en-US" w:bidi="ar-SA"/>
      </w:rPr>
    </w:lvl>
    <w:lvl w:ilvl="4" w:tplc="0366CA9A">
      <w:numFmt w:val="bullet"/>
      <w:lvlText w:val="•"/>
      <w:lvlJc w:val="left"/>
      <w:pPr>
        <w:ind w:left="2605" w:hanging="272"/>
      </w:pPr>
      <w:rPr>
        <w:rFonts w:hint="default"/>
        <w:lang w:val="en-US" w:eastAsia="en-US" w:bidi="ar-SA"/>
      </w:rPr>
    </w:lvl>
    <w:lvl w:ilvl="5" w:tplc="FB64B588">
      <w:numFmt w:val="bullet"/>
      <w:lvlText w:val="•"/>
      <w:lvlJc w:val="left"/>
      <w:pPr>
        <w:ind w:left="3101" w:hanging="272"/>
      </w:pPr>
      <w:rPr>
        <w:rFonts w:hint="default"/>
        <w:lang w:val="en-US" w:eastAsia="en-US" w:bidi="ar-SA"/>
      </w:rPr>
    </w:lvl>
    <w:lvl w:ilvl="6" w:tplc="D36C933C">
      <w:numFmt w:val="bullet"/>
      <w:lvlText w:val="•"/>
      <w:lvlJc w:val="left"/>
      <w:pPr>
        <w:ind w:left="3597" w:hanging="272"/>
      </w:pPr>
      <w:rPr>
        <w:rFonts w:hint="default"/>
        <w:lang w:val="en-US" w:eastAsia="en-US" w:bidi="ar-SA"/>
      </w:rPr>
    </w:lvl>
    <w:lvl w:ilvl="7" w:tplc="FA52A4C0">
      <w:numFmt w:val="bullet"/>
      <w:lvlText w:val="•"/>
      <w:lvlJc w:val="left"/>
      <w:pPr>
        <w:ind w:left="4094" w:hanging="272"/>
      </w:pPr>
      <w:rPr>
        <w:rFonts w:hint="default"/>
        <w:lang w:val="en-US" w:eastAsia="en-US" w:bidi="ar-SA"/>
      </w:rPr>
    </w:lvl>
    <w:lvl w:ilvl="8" w:tplc="D81E898C">
      <w:numFmt w:val="bullet"/>
      <w:lvlText w:val="•"/>
      <w:lvlJc w:val="left"/>
      <w:pPr>
        <w:ind w:left="4590" w:hanging="272"/>
      </w:pPr>
      <w:rPr>
        <w:rFonts w:hint="default"/>
        <w:lang w:val="en-US" w:eastAsia="en-US" w:bidi="ar-SA"/>
      </w:rPr>
    </w:lvl>
  </w:abstractNum>
  <w:abstractNum w:abstractNumId="21" w15:restartNumberingAfterBreak="0">
    <w:nsid w:val="0C5013EE"/>
    <w:multiLevelType w:val="hybridMultilevel"/>
    <w:tmpl w:val="993C40B0"/>
    <w:lvl w:ilvl="0" w:tplc="0CB6DDB8">
      <w:start w:val="5"/>
      <w:numFmt w:val="lowerLetter"/>
      <w:lvlText w:val="%1)"/>
      <w:lvlJc w:val="left"/>
      <w:pPr>
        <w:ind w:left="539" w:hanging="288"/>
      </w:pPr>
      <w:rPr>
        <w:rFonts w:ascii="Arial" w:eastAsia="Arial" w:hAnsi="Arial" w:cs="Arial" w:hint="default"/>
        <w:b w:val="0"/>
        <w:bCs w:val="0"/>
        <w:i w:val="0"/>
        <w:iCs w:val="0"/>
        <w:spacing w:val="0"/>
        <w:w w:val="99"/>
        <w:sz w:val="24"/>
        <w:szCs w:val="24"/>
        <w:lang w:val="en-US" w:eastAsia="en-US" w:bidi="ar-SA"/>
      </w:rPr>
    </w:lvl>
    <w:lvl w:ilvl="1" w:tplc="83026DBA">
      <w:start w:val="1"/>
      <w:numFmt w:val="lowerRoman"/>
      <w:lvlText w:val="%2)"/>
      <w:lvlJc w:val="left"/>
      <w:pPr>
        <w:ind w:left="899" w:hanging="360"/>
      </w:pPr>
      <w:rPr>
        <w:rFonts w:ascii="Arial" w:eastAsia="Arial" w:hAnsi="Arial" w:cs="Arial" w:hint="default"/>
        <w:b w:val="0"/>
        <w:bCs w:val="0"/>
        <w:i w:val="0"/>
        <w:iCs w:val="0"/>
        <w:spacing w:val="-1"/>
        <w:w w:val="99"/>
        <w:sz w:val="24"/>
        <w:szCs w:val="24"/>
        <w:lang w:val="en-US" w:eastAsia="en-US" w:bidi="ar-SA"/>
      </w:rPr>
    </w:lvl>
    <w:lvl w:ilvl="2" w:tplc="17E4E4C0">
      <w:numFmt w:val="bullet"/>
      <w:lvlText w:val="•"/>
      <w:lvlJc w:val="left"/>
      <w:pPr>
        <w:ind w:left="1630" w:hanging="360"/>
      </w:pPr>
      <w:rPr>
        <w:rFonts w:hint="default"/>
        <w:lang w:val="en-US" w:eastAsia="en-US" w:bidi="ar-SA"/>
      </w:rPr>
    </w:lvl>
    <w:lvl w:ilvl="3" w:tplc="388A5D66">
      <w:numFmt w:val="bullet"/>
      <w:lvlText w:val="•"/>
      <w:lvlJc w:val="left"/>
      <w:pPr>
        <w:ind w:left="2360" w:hanging="360"/>
      </w:pPr>
      <w:rPr>
        <w:rFonts w:hint="default"/>
        <w:lang w:val="en-US" w:eastAsia="en-US" w:bidi="ar-SA"/>
      </w:rPr>
    </w:lvl>
    <w:lvl w:ilvl="4" w:tplc="7A6A9B1A">
      <w:numFmt w:val="bullet"/>
      <w:lvlText w:val="•"/>
      <w:lvlJc w:val="left"/>
      <w:pPr>
        <w:ind w:left="3091" w:hanging="360"/>
      </w:pPr>
      <w:rPr>
        <w:rFonts w:hint="default"/>
        <w:lang w:val="en-US" w:eastAsia="en-US" w:bidi="ar-SA"/>
      </w:rPr>
    </w:lvl>
    <w:lvl w:ilvl="5" w:tplc="A9628020">
      <w:numFmt w:val="bullet"/>
      <w:lvlText w:val="•"/>
      <w:lvlJc w:val="left"/>
      <w:pPr>
        <w:ind w:left="3821" w:hanging="360"/>
      </w:pPr>
      <w:rPr>
        <w:rFonts w:hint="default"/>
        <w:lang w:val="en-US" w:eastAsia="en-US" w:bidi="ar-SA"/>
      </w:rPr>
    </w:lvl>
    <w:lvl w:ilvl="6" w:tplc="B032DAD8">
      <w:numFmt w:val="bullet"/>
      <w:lvlText w:val="•"/>
      <w:lvlJc w:val="left"/>
      <w:pPr>
        <w:ind w:left="4552" w:hanging="360"/>
      </w:pPr>
      <w:rPr>
        <w:rFonts w:hint="default"/>
        <w:lang w:val="en-US" w:eastAsia="en-US" w:bidi="ar-SA"/>
      </w:rPr>
    </w:lvl>
    <w:lvl w:ilvl="7" w:tplc="29866FBA">
      <w:numFmt w:val="bullet"/>
      <w:lvlText w:val="•"/>
      <w:lvlJc w:val="left"/>
      <w:pPr>
        <w:ind w:left="5282" w:hanging="360"/>
      </w:pPr>
      <w:rPr>
        <w:rFonts w:hint="default"/>
        <w:lang w:val="en-US" w:eastAsia="en-US" w:bidi="ar-SA"/>
      </w:rPr>
    </w:lvl>
    <w:lvl w:ilvl="8" w:tplc="9622319A">
      <w:numFmt w:val="bullet"/>
      <w:lvlText w:val="•"/>
      <w:lvlJc w:val="left"/>
      <w:pPr>
        <w:ind w:left="6013" w:hanging="360"/>
      </w:pPr>
      <w:rPr>
        <w:rFonts w:hint="default"/>
        <w:lang w:val="en-US" w:eastAsia="en-US" w:bidi="ar-SA"/>
      </w:rPr>
    </w:lvl>
  </w:abstractNum>
  <w:abstractNum w:abstractNumId="22" w15:restartNumberingAfterBreak="0">
    <w:nsid w:val="0C553C62"/>
    <w:multiLevelType w:val="hybridMultilevel"/>
    <w:tmpl w:val="8B4A27A4"/>
    <w:lvl w:ilvl="0" w:tplc="043492A4">
      <w:start w:val="1"/>
      <w:numFmt w:val="lowerLetter"/>
      <w:lvlText w:val="(%1)"/>
      <w:lvlJc w:val="left"/>
      <w:pPr>
        <w:ind w:left="1494" w:hanging="428"/>
      </w:pPr>
      <w:rPr>
        <w:rFonts w:ascii="Calibri" w:eastAsia="Calibri" w:hAnsi="Calibri" w:cs="Calibri" w:hint="default"/>
        <w:b w:val="0"/>
        <w:bCs w:val="0"/>
        <w:i w:val="0"/>
        <w:iCs w:val="0"/>
        <w:spacing w:val="-1"/>
        <w:w w:val="100"/>
        <w:sz w:val="24"/>
        <w:szCs w:val="24"/>
        <w:lang w:val="en-US" w:eastAsia="en-US" w:bidi="ar-SA"/>
      </w:rPr>
    </w:lvl>
    <w:lvl w:ilvl="1" w:tplc="482416DC">
      <w:numFmt w:val="bullet"/>
      <w:lvlText w:val="•"/>
      <w:lvlJc w:val="left"/>
      <w:pPr>
        <w:ind w:left="2536" w:hanging="428"/>
      </w:pPr>
      <w:rPr>
        <w:rFonts w:hint="default"/>
        <w:lang w:val="en-US" w:eastAsia="en-US" w:bidi="ar-SA"/>
      </w:rPr>
    </w:lvl>
    <w:lvl w:ilvl="2" w:tplc="41BE7B2E">
      <w:numFmt w:val="bullet"/>
      <w:lvlText w:val="•"/>
      <w:lvlJc w:val="left"/>
      <w:pPr>
        <w:ind w:left="3573" w:hanging="428"/>
      </w:pPr>
      <w:rPr>
        <w:rFonts w:hint="default"/>
        <w:lang w:val="en-US" w:eastAsia="en-US" w:bidi="ar-SA"/>
      </w:rPr>
    </w:lvl>
    <w:lvl w:ilvl="3" w:tplc="19646FEC">
      <w:numFmt w:val="bullet"/>
      <w:lvlText w:val="•"/>
      <w:lvlJc w:val="left"/>
      <w:pPr>
        <w:ind w:left="4609" w:hanging="428"/>
      </w:pPr>
      <w:rPr>
        <w:rFonts w:hint="default"/>
        <w:lang w:val="en-US" w:eastAsia="en-US" w:bidi="ar-SA"/>
      </w:rPr>
    </w:lvl>
    <w:lvl w:ilvl="4" w:tplc="43F0C268">
      <w:numFmt w:val="bullet"/>
      <w:lvlText w:val="•"/>
      <w:lvlJc w:val="left"/>
      <w:pPr>
        <w:ind w:left="5646" w:hanging="428"/>
      </w:pPr>
      <w:rPr>
        <w:rFonts w:hint="default"/>
        <w:lang w:val="en-US" w:eastAsia="en-US" w:bidi="ar-SA"/>
      </w:rPr>
    </w:lvl>
    <w:lvl w:ilvl="5" w:tplc="81AAC6B8">
      <w:numFmt w:val="bullet"/>
      <w:lvlText w:val="•"/>
      <w:lvlJc w:val="left"/>
      <w:pPr>
        <w:ind w:left="6683" w:hanging="428"/>
      </w:pPr>
      <w:rPr>
        <w:rFonts w:hint="default"/>
        <w:lang w:val="en-US" w:eastAsia="en-US" w:bidi="ar-SA"/>
      </w:rPr>
    </w:lvl>
    <w:lvl w:ilvl="6" w:tplc="03485492">
      <w:numFmt w:val="bullet"/>
      <w:lvlText w:val="•"/>
      <w:lvlJc w:val="left"/>
      <w:pPr>
        <w:ind w:left="7719" w:hanging="428"/>
      </w:pPr>
      <w:rPr>
        <w:rFonts w:hint="default"/>
        <w:lang w:val="en-US" w:eastAsia="en-US" w:bidi="ar-SA"/>
      </w:rPr>
    </w:lvl>
    <w:lvl w:ilvl="7" w:tplc="FD96F2BA">
      <w:numFmt w:val="bullet"/>
      <w:lvlText w:val="•"/>
      <w:lvlJc w:val="left"/>
      <w:pPr>
        <w:ind w:left="8756" w:hanging="428"/>
      </w:pPr>
      <w:rPr>
        <w:rFonts w:hint="default"/>
        <w:lang w:val="en-US" w:eastAsia="en-US" w:bidi="ar-SA"/>
      </w:rPr>
    </w:lvl>
    <w:lvl w:ilvl="8" w:tplc="905462DE">
      <w:numFmt w:val="bullet"/>
      <w:lvlText w:val="•"/>
      <w:lvlJc w:val="left"/>
      <w:pPr>
        <w:ind w:left="9793" w:hanging="428"/>
      </w:pPr>
      <w:rPr>
        <w:rFonts w:hint="default"/>
        <w:lang w:val="en-US" w:eastAsia="en-US" w:bidi="ar-SA"/>
      </w:rPr>
    </w:lvl>
  </w:abstractNum>
  <w:abstractNum w:abstractNumId="23" w15:restartNumberingAfterBreak="0">
    <w:nsid w:val="0DE11C74"/>
    <w:multiLevelType w:val="multilevel"/>
    <w:tmpl w:val="7A3A858A"/>
    <w:lvl w:ilvl="0">
      <w:start w:val="1"/>
      <w:numFmt w:val="decimal"/>
      <w:lvlText w:val="%1."/>
      <w:lvlJc w:val="left"/>
      <w:pPr>
        <w:ind w:left="1587" w:hanging="543"/>
      </w:pPr>
      <w:rPr>
        <w:rFonts w:ascii="Arial" w:eastAsia="Arial" w:hAnsi="Arial" w:cs="Arial" w:hint="default"/>
        <w:b/>
        <w:bCs/>
        <w:i w:val="0"/>
        <w:iCs w:val="0"/>
        <w:spacing w:val="0"/>
        <w:w w:val="100"/>
        <w:sz w:val="18"/>
        <w:szCs w:val="18"/>
        <w:lang w:val="en-US" w:eastAsia="en-US" w:bidi="ar-SA"/>
      </w:rPr>
    </w:lvl>
    <w:lvl w:ilvl="1">
      <w:start w:val="1"/>
      <w:numFmt w:val="decimal"/>
      <w:lvlText w:val="%1.%2"/>
      <w:lvlJc w:val="left"/>
      <w:pPr>
        <w:ind w:left="1044" w:hanging="543"/>
      </w:pPr>
      <w:rPr>
        <w:rFonts w:ascii="Arial" w:eastAsia="Arial" w:hAnsi="Arial" w:cs="Arial" w:hint="default"/>
        <w:b w:val="0"/>
        <w:bCs w:val="0"/>
        <w:i w:val="0"/>
        <w:iCs w:val="0"/>
        <w:spacing w:val="0"/>
        <w:w w:val="100"/>
        <w:sz w:val="18"/>
        <w:szCs w:val="18"/>
        <w:lang w:val="en-US" w:eastAsia="en-US" w:bidi="ar-SA"/>
      </w:rPr>
    </w:lvl>
    <w:lvl w:ilvl="2">
      <w:start w:val="1"/>
      <w:numFmt w:val="decimal"/>
      <w:lvlText w:val="%1.%2.%3"/>
      <w:lvlJc w:val="left"/>
      <w:pPr>
        <w:ind w:left="2668" w:hanging="539"/>
      </w:pPr>
      <w:rPr>
        <w:rFonts w:ascii="Arial" w:eastAsia="Arial" w:hAnsi="Arial" w:cs="Arial" w:hint="default"/>
        <w:b w:val="0"/>
        <w:bCs w:val="0"/>
        <w:i w:val="0"/>
        <w:iCs w:val="0"/>
        <w:spacing w:val="-2"/>
        <w:w w:val="100"/>
        <w:sz w:val="18"/>
        <w:szCs w:val="18"/>
        <w:lang w:val="en-US" w:eastAsia="en-US" w:bidi="ar-SA"/>
      </w:rPr>
    </w:lvl>
    <w:lvl w:ilvl="3">
      <w:numFmt w:val="bullet"/>
      <w:lvlText w:val="•"/>
      <w:lvlJc w:val="left"/>
      <w:pPr>
        <w:ind w:left="3810" w:hanging="539"/>
      </w:pPr>
      <w:rPr>
        <w:rFonts w:hint="default"/>
        <w:lang w:val="en-US" w:eastAsia="en-US" w:bidi="ar-SA"/>
      </w:rPr>
    </w:lvl>
    <w:lvl w:ilvl="4">
      <w:numFmt w:val="bullet"/>
      <w:lvlText w:val="•"/>
      <w:lvlJc w:val="left"/>
      <w:pPr>
        <w:ind w:left="4961" w:hanging="539"/>
      </w:pPr>
      <w:rPr>
        <w:rFonts w:hint="default"/>
        <w:lang w:val="en-US" w:eastAsia="en-US" w:bidi="ar-SA"/>
      </w:rPr>
    </w:lvl>
    <w:lvl w:ilvl="5">
      <w:numFmt w:val="bullet"/>
      <w:lvlText w:val="•"/>
      <w:lvlJc w:val="left"/>
      <w:pPr>
        <w:ind w:left="6112" w:hanging="539"/>
      </w:pPr>
      <w:rPr>
        <w:rFonts w:hint="default"/>
        <w:lang w:val="en-US" w:eastAsia="en-US" w:bidi="ar-SA"/>
      </w:rPr>
    </w:lvl>
    <w:lvl w:ilvl="6">
      <w:numFmt w:val="bullet"/>
      <w:lvlText w:val="•"/>
      <w:lvlJc w:val="left"/>
      <w:pPr>
        <w:ind w:left="7263" w:hanging="539"/>
      </w:pPr>
      <w:rPr>
        <w:rFonts w:hint="default"/>
        <w:lang w:val="en-US" w:eastAsia="en-US" w:bidi="ar-SA"/>
      </w:rPr>
    </w:lvl>
    <w:lvl w:ilvl="7">
      <w:numFmt w:val="bullet"/>
      <w:lvlText w:val="•"/>
      <w:lvlJc w:val="left"/>
      <w:pPr>
        <w:ind w:left="8414" w:hanging="539"/>
      </w:pPr>
      <w:rPr>
        <w:rFonts w:hint="default"/>
        <w:lang w:val="en-US" w:eastAsia="en-US" w:bidi="ar-SA"/>
      </w:rPr>
    </w:lvl>
    <w:lvl w:ilvl="8">
      <w:numFmt w:val="bullet"/>
      <w:lvlText w:val="•"/>
      <w:lvlJc w:val="left"/>
      <w:pPr>
        <w:ind w:left="9564" w:hanging="539"/>
      </w:pPr>
      <w:rPr>
        <w:rFonts w:hint="default"/>
        <w:lang w:val="en-US" w:eastAsia="en-US" w:bidi="ar-SA"/>
      </w:rPr>
    </w:lvl>
  </w:abstractNum>
  <w:abstractNum w:abstractNumId="24" w15:restartNumberingAfterBreak="0">
    <w:nsid w:val="0E35400F"/>
    <w:multiLevelType w:val="multilevel"/>
    <w:tmpl w:val="A78412F4"/>
    <w:lvl w:ilvl="0">
      <w:start w:val="1"/>
      <w:numFmt w:val="decimal"/>
      <w:lvlText w:val="%1."/>
      <w:lvlJc w:val="left"/>
      <w:pPr>
        <w:ind w:left="1757" w:hanging="358"/>
      </w:pPr>
      <w:rPr>
        <w:rFonts w:ascii="Arial" w:eastAsia="Arial" w:hAnsi="Arial" w:cs="Arial" w:hint="default"/>
        <w:b/>
        <w:bCs/>
        <w:i w:val="0"/>
        <w:iCs w:val="0"/>
        <w:spacing w:val="0"/>
        <w:w w:val="100"/>
        <w:sz w:val="24"/>
        <w:szCs w:val="24"/>
        <w:lang w:val="en-US" w:eastAsia="en-US" w:bidi="ar-SA"/>
      </w:rPr>
    </w:lvl>
    <w:lvl w:ilvl="1">
      <w:start w:val="1"/>
      <w:numFmt w:val="decimal"/>
      <w:lvlText w:val="%1.%2"/>
      <w:lvlJc w:val="left"/>
      <w:pPr>
        <w:ind w:left="2120" w:hanging="720"/>
      </w:pPr>
      <w:rPr>
        <w:rFonts w:ascii="Arial" w:eastAsia="Arial" w:hAnsi="Arial" w:cs="Arial" w:hint="default"/>
        <w:b w:val="0"/>
        <w:bCs w:val="0"/>
        <w:i w:val="0"/>
        <w:iCs w:val="0"/>
        <w:spacing w:val="0"/>
        <w:w w:val="100"/>
        <w:sz w:val="24"/>
        <w:szCs w:val="24"/>
        <w:lang w:val="en-US" w:eastAsia="en-US" w:bidi="ar-SA"/>
      </w:rPr>
    </w:lvl>
    <w:lvl w:ilvl="2">
      <w:start w:val="1"/>
      <w:numFmt w:val="decimal"/>
      <w:lvlText w:val="%1.%2.%3"/>
      <w:lvlJc w:val="left"/>
      <w:pPr>
        <w:ind w:left="3612" w:hanging="1080"/>
      </w:pPr>
      <w:rPr>
        <w:rFonts w:ascii="Arial" w:eastAsia="Arial" w:hAnsi="Arial" w:cs="Arial" w:hint="default"/>
        <w:b w:val="0"/>
        <w:bCs w:val="0"/>
        <w:i w:val="0"/>
        <w:iCs w:val="0"/>
        <w:spacing w:val="-2"/>
        <w:w w:val="100"/>
        <w:sz w:val="24"/>
        <w:szCs w:val="24"/>
        <w:lang w:val="en-US" w:eastAsia="en-US" w:bidi="ar-SA"/>
      </w:rPr>
    </w:lvl>
    <w:lvl w:ilvl="3">
      <w:start w:val="1"/>
      <w:numFmt w:val="lowerLetter"/>
      <w:lvlText w:val="(%4)"/>
      <w:lvlJc w:val="left"/>
      <w:pPr>
        <w:ind w:left="4347" w:hanging="1148"/>
      </w:pPr>
      <w:rPr>
        <w:rFonts w:ascii="Arial" w:eastAsia="Arial" w:hAnsi="Arial" w:cs="Arial" w:hint="default"/>
        <w:b w:val="0"/>
        <w:bCs w:val="0"/>
        <w:i w:val="0"/>
        <w:iCs w:val="0"/>
        <w:spacing w:val="-1"/>
        <w:w w:val="100"/>
        <w:sz w:val="24"/>
        <w:szCs w:val="24"/>
        <w:lang w:val="en-US" w:eastAsia="en-US" w:bidi="ar-SA"/>
      </w:rPr>
    </w:lvl>
    <w:lvl w:ilvl="4">
      <w:start w:val="1"/>
      <w:numFmt w:val="lowerRoman"/>
      <w:lvlText w:val="(%5)"/>
      <w:lvlJc w:val="left"/>
      <w:pPr>
        <w:ind w:left="5369" w:hanging="512"/>
      </w:pPr>
      <w:rPr>
        <w:rFonts w:ascii="Arial" w:eastAsia="Arial" w:hAnsi="Arial" w:cs="Arial" w:hint="default"/>
        <w:b w:val="0"/>
        <w:bCs w:val="0"/>
        <w:i w:val="0"/>
        <w:iCs w:val="0"/>
        <w:spacing w:val="-1"/>
        <w:w w:val="100"/>
        <w:sz w:val="24"/>
        <w:szCs w:val="24"/>
        <w:lang w:val="en-US" w:eastAsia="en-US" w:bidi="ar-SA"/>
      </w:rPr>
    </w:lvl>
    <w:lvl w:ilvl="5">
      <w:numFmt w:val="bullet"/>
      <w:lvlText w:val="•"/>
      <w:lvlJc w:val="left"/>
      <w:pPr>
        <w:ind w:left="5360" w:hanging="512"/>
      </w:pPr>
      <w:rPr>
        <w:rFonts w:hint="default"/>
        <w:lang w:val="en-US" w:eastAsia="en-US" w:bidi="ar-SA"/>
      </w:rPr>
    </w:lvl>
    <w:lvl w:ilvl="6">
      <w:numFmt w:val="bullet"/>
      <w:lvlText w:val="•"/>
      <w:lvlJc w:val="left"/>
      <w:pPr>
        <w:ind w:left="6661" w:hanging="512"/>
      </w:pPr>
      <w:rPr>
        <w:rFonts w:hint="default"/>
        <w:lang w:val="en-US" w:eastAsia="en-US" w:bidi="ar-SA"/>
      </w:rPr>
    </w:lvl>
    <w:lvl w:ilvl="7">
      <w:numFmt w:val="bullet"/>
      <w:lvlText w:val="•"/>
      <w:lvlJc w:val="left"/>
      <w:pPr>
        <w:ind w:left="7962" w:hanging="512"/>
      </w:pPr>
      <w:rPr>
        <w:rFonts w:hint="default"/>
        <w:lang w:val="en-US" w:eastAsia="en-US" w:bidi="ar-SA"/>
      </w:rPr>
    </w:lvl>
    <w:lvl w:ilvl="8">
      <w:numFmt w:val="bullet"/>
      <w:lvlText w:val="•"/>
      <w:lvlJc w:val="left"/>
      <w:pPr>
        <w:ind w:left="9263" w:hanging="512"/>
      </w:pPr>
      <w:rPr>
        <w:rFonts w:hint="default"/>
        <w:lang w:val="en-US" w:eastAsia="en-US" w:bidi="ar-SA"/>
      </w:rPr>
    </w:lvl>
  </w:abstractNum>
  <w:abstractNum w:abstractNumId="25" w15:restartNumberingAfterBreak="0">
    <w:nsid w:val="0E3A6D47"/>
    <w:multiLevelType w:val="hybridMultilevel"/>
    <w:tmpl w:val="F34665EA"/>
    <w:lvl w:ilvl="0" w:tplc="43CE9A52">
      <w:start w:val="1"/>
      <w:numFmt w:val="lowerLetter"/>
      <w:lvlText w:val="%1)"/>
      <w:lvlJc w:val="left"/>
      <w:pPr>
        <w:ind w:left="921" w:hanging="360"/>
      </w:pPr>
      <w:rPr>
        <w:rFonts w:ascii="Calibri" w:eastAsia="Calibri" w:hAnsi="Calibri" w:cs="Calibri" w:hint="default"/>
        <w:b w:val="0"/>
        <w:bCs w:val="0"/>
        <w:i w:val="0"/>
        <w:iCs w:val="0"/>
        <w:spacing w:val="0"/>
        <w:w w:val="100"/>
        <w:sz w:val="24"/>
        <w:szCs w:val="24"/>
        <w:lang w:val="en-US" w:eastAsia="en-US" w:bidi="ar-SA"/>
      </w:rPr>
    </w:lvl>
    <w:lvl w:ilvl="1" w:tplc="DD5828C6">
      <w:numFmt w:val="bullet"/>
      <w:lvlText w:val="•"/>
      <w:lvlJc w:val="left"/>
      <w:pPr>
        <w:ind w:left="1379" w:hanging="360"/>
      </w:pPr>
      <w:rPr>
        <w:rFonts w:hint="default"/>
        <w:lang w:val="en-US" w:eastAsia="en-US" w:bidi="ar-SA"/>
      </w:rPr>
    </w:lvl>
    <w:lvl w:ilvl="2" w:tplc="7FEE4BB0">
      <w:numFmt w:val="bullet"/>
      <w:lvlText w:val="•"/>
      <w:lvlJc w:val="left"/>
      <w:pPr>
        <w:ind w:left="1838" w:hanging="360"/>
      </w:pPr>
      <w:rPr>
        <w:rFonts w:hint="default"/>
        <w:lang w:val="en-US" w:eastAsia="en-US" w:bidi="ar-SA"/>
      </w:rPr>
    </w:lvl>
    <w:lvl w:ilvl="3" w:tplc="FD58BDB8">
      <w:numFmt w:val="bullet"/>
      <w:lvlText w:val="•"/>
      <w:lvlJc w:val="left"/>
      <w:pPr>
        <w:ind w:left="2297" w:hanging="360"/>
      </w:pPr>
      <w:rPr>
        <w:rFonts w:hint="default"/>
        <w:lang w:val="en-US" w:eastAsia="en-US" w:bidi="ar-SA"/>
      </w:rPr>
    </w:lvl>
    <w:lvl w:ilvl="4" w:tplc="BBE27A54">
      <w:numFmt w:val="bullet"/>
      <w:lvlText w:val="•"/>
      <w:lvlJc w:val="left"/>
      <w:pPr>
        <w:ind w:left="2756" w:hanging="360"/>
      </w:pPr>
      <w:rPr>
        <w:rFonts w:hint="default"/>
        <w:lang w:val="en-US" w:eastAsia="en-US" w:bidi="ar-SA"/>
      </w:rPr>
    </w:lvl>
    <w:lvl w:ilvl="5" w:tplc="7406A712">
      <w:numFmt w:val="bullet"/>
      <w:lvlText w:val="•"/>
      <w:lvlJc w:val="left"/>
      <w:pPr>
        <w:ind w:left="3216" w:hanging="360"/>
      </w:pPr>
      <w:rPr>
        <w:rFonts w:hint="default"/>
        <w:lang w:val="en-US" w:eastAsia="en-US" w:bidi="ar-SA"/>
      </w:rPr>
    </w:lvl>
    <w:lvl w:ilvl="6" w:tplc="0464CF2A">
      <w:numFmt w:val="bullet"/>
      <w:lvlText w:val="•"/>
      <w:lvlJc w:val="left"/>
      <w:pPr>
        <w:ind w:left="3675" w:hanging="360"/>
      </w:pPr>
      <w:rPr>
        <w:rFonts w:hint="default"/>
        <w:lang w:val="en-US" w:eastAsia="en-US" w:bidi="ar-SA"/>
      </w:rPr>
    </w:lvl>
    <w:lvl w:ilvl="7" w:tplc="3190C40A">
      <w:numFmt w:val="bullet"/>
      <w:lvlText w:val="•"/>
      <w:lvlJc w:val="left"/>
      <w:pPr>
        <w:ind w:left="4134" w:hanging="360"/>
      </w:pPr>
      <w:rPr>
        <w:rFonts w:hint="default"/>
        <w:lang w:val="en-US" w:eastAsia="en-US" w:bidi="ar-SA"/>
      </w:rPr>
    </w:lvl>
    <w:lvl w:ilvl="8" w:tplc="41CA7820">
      <w:numFmt w:val="bullet"/>
      <w:lvlText w:val="•"/>
      <w:lvlJc w:val="left"/>
      <w:pPr>
        <w:ind w:left="4593" w:hanging="360"/>
      </w:pPr>
      <w:rPr>
        <w:rFonts w:hint="default"/>
        <w:lang w:val="en-US" w:eastAsia="en-US" w:bidi="ar-SA"/>
      </w:rPr>
    </w:lvl>
  </w:abstractNum>
  <w:abstractNum w:abstractNumId="26" w15:restartNumberingAfterBreak="0">
    <w:nsid w:val="0EE81CAE"/>
    <w:multiLevelType w:val="multilevel"/>
    <w:tmpl w:val="104A2E12"/>
    <w:lvl w:ilvl="0">
      <w:start w:val="5"/>
      <w:numFmt w:val="decimal"/>
      <w:lvlText w:val="%1"/>
      <w:lvlJc w:val="left"/>
      <w:pPr>
        <w:ind w:left="1816" w:hanging="773"/>
      </w:pPr>
      <w:rPr>
        <w:rFonts w:hint="default"/>
        <w:lang w:val="en-US" w:eastAsia="en-US" w:bidi="ar-SA"/>
      </w:rPr>
    </w:lvl>
    <w:lvl w:ilvl="1">
      <w:start w:val="2"/>
      <w:numFmt w:val="decimal"/>
      <w:lvlText w:val="%1.%2"/>
      <w:lvlJc w:val="left"/>
      <w:pPr>
        <w:ind w:left="1816" w:hanging="773"/>
      </w:pPr>
      <w:rPr>
        <w:rFonts w:hint="default"/>
        <w:lang w:val="en-US" w:eastAsia="en-US" w:bidi="ar-SA"/>
      </w:rPr>
    </w:lvl>
    <w:lvl w:ilvl="2">
      <w:start w:val="1"/>
      <w:numFmt w:val="decimal"/>
      <w:lvlText w:val="%1.%2.%3"/>
      <w:lvlJc w:val="left"/>
      <w:pPr>
        <w:ind w:left="1816" w:hanging="773"/>
      </w:pPr>
      <w:rPr>
        <w:rFonts w:ascii="Arial" w:eastAsia="Arial" w:hAnsi="Arial" w:cs="Arial" w:hint="default"/>
        <w:b w:val="0"/>
        <w:bCs w:val="0"/>
        <w:i w:val="0"/>
        <w:iCs w:val="0"/>
        <w:spacing w:val="-2"/>
        <w:w w:val="100"/>
        <w:sz w:val="18"/>
        <w:szCs w:val="18"/>
        <w:lang w:val="en-US" w:eastAsia="en-US" w:bidi="ar-SA"/>
      </w:rPr>
    </w:lvl>
    <w:lvl w:ilvl="3">
      <w:start w:val="1"/>
      <w:numFmt w:val="decimal"/>
      <w:lvlText w:val="%4."/>
      <w:lvlJc w:val="left"/>
      <w:pPr>
        <w:ind w:left="3214" w:hanging="678"/>
      </w:pPr>
      <w:rPr>
        <w:rFonts w:ascii="Arial" w:eastAsia="Arial" w:hAnsi="Arial" w:cs="Arial" w:hint="default"/>
        <w:b w:val="0"/>
        <w:bCs w:val="0"/>
        <w:i w:val="0"/>
        <w:iCs w:val="0"/>
        <w:spacing w:val="0"/>
        <w:w w:val="100"/>
        <w:sz w:val="18"/>
        <w:szCs w:val="18"/>
        <w:lang w:val="en-US" w:eastAsia="en-US" w:bidi="ar-SA"/>
      </w:rPr>
    </w:lvl>
    <w:lvl w:ilvl="4">
      <w:numFmt w:val="bullet"/>
      <w:lvlText w:val="•"/>
      <w:lvlJc w:val="left"/>
      <w:pPr>
        <w:ind w:left="6102" w:hanging="678"/>
      </w:pPr>
      <w:rPr>
        <w:rFonts w:hint="default"/>
        <w:lang w:val="en-US" w:eastAsia="en-US" w:bidi="ar-SA"/>
      </w:rPr>
    </w:lvl>
    <w:lvl w:ilvl="5">
      <w:numFmt w:val="bullet"/>
      <w:lvlText w:val="•"/>
      <w:lvlJc w:val="left"/>
      <w:pPr>
        <w:ind w:left="7062" w:hanging="678"/>
      </w:pPr>
      <w:rPr>
        <w:rFonts w:hint="default"/>
        <w:lang w:val="en-US" w:eastAsia="en-US" w:bidi="ar-SA"/>
      </w:rPr>
    </w:lvl>
    <w:lvl w:ilvl="6">
      <w:numFmt w:val="bullet"/>
      <w:lvlText w:val="•"/>
      <w:lvlJc w:val="left"/>
      <w:pPr>
        <w:ind w:left="8023" w:hanging="678"/>
      </w:pPr>
      <w:rPr>
        <w:rFonts w:hint="default"/>
        <w:lang w:val="en-US" w:eastAsia="en-US" w:bidi="ar-SA"/>
      </w:rPr>
    </w:lvl>
    <w:lvl w:ilvl="7">
      <w:numFmt w:val="bullet"/>
      <w:lvlText w:val="•"/>
      <w:lvlJc w:val="left"/>
      <w:pPr>
        <w:ind w:left="8984" w:hanging="678"/>
      </w:pPr>
      <w:rPr>
        <w:rFonts w:hint="default"/>
        <w:lang w:val="en-US" w:eastAsia="en-US" w:bidi="ar-SA"/>
      </w:rPr>
    </w:lvl>
    <w:lvl w:ilvl="8">
      <w:numFmt w:val="bullet"/>
      <w:lvlText w:val="•"/>
      <w:lvlJc w:val="left"/>
      <w:pPr>
        <w:ind w:left="9944" w:hanging="678"/>
      </w:pPr>
      <w:rPr>
        <w:rFonts w:hint="default"/>
        <w:lang w:val="en-US" w:eastAsia="en-US" w:bidi="ar-SA"/>
      </w:rPr>
    </w:lvl>
  </w:abstractNum>
  <w:abstractNum w:abstractNumId="27" w15:restartNumberingAfterBreak="0">
    <w:nsid w:val="0F4F77C1"/>
    <w:multiLevelType w:val="hybridMultilevel"/>
    <w:tmpl w:val="DA6ACDB6"/>
    <w:lvl w:ilvl="0" w:tplc="6BE21AD0">
      <w:numFmt w:val="bullet"/>
      <w:lvlText w:val=""/>
      <w:lvlJc w:val="left"/>
      <w:pPr>
        <w:ind w:left="826" w:hanging="360"/>
      </w:pPr>
      <w:rPr>
        <w:rFonts w:ascii="Wingdings" w:eastAsia="Wingdings" w:hAnsi="Wingdings" w:cs="Wingdings" w:hint="default"/>
        <w:b w:val="0"/>
        <w:bCs w:val="0"/>
        <w:i w:val="0"/>
        <w:iCs w:val="0"/>
        <w:color w:val="0D0D0D"/>
        <w:spacing w:val="0"/>
        <w:w w:val="100"/>
        <w:sz w:val="22"/>
        <w:szCs w:val="22"/>
        <w:lang w:val="en-US" w:eastAsia="en-US" w:bidi="ar-SA"/>
      </w:rPr>
    </w:lvl>
    <w:lvl w:ilvl="1" w:tplc="0014574E">
      <w:numFmt w:val="bullet"/>
      <w:lvlText w:val="•"/>
      <w:lvlJc w:val="left"/>
      <w:pPr>
        <w:ind w:left="916" w:hanging="360"/>
      </w:pPr>
      <w:rPr>
        <w:rFonts w:hint="default"/>
        <w:lang w:val="en-US" w:eastAsia="en-US" w:bidi="ar-SA"/>
      </w:rPr>
    </w:lvl>
    <w:lvl w:ilvl="2" w:tplc="E6640CA0">
      <w:numFmt w:val="bullet"/>
      <w:lvlText w:val="•"/>
      <w:lvlJc w:val="left"/>
      <w:pPr>
        <w:ind w:left="1012" w:hanging="360"/>
      </w:pPr>
      <w:rPr>
        <w:rFonts w:hint="default"/>
        <w:lang w:val="en-US" w:eastAsia="en-US" w:bidi="ar-SA"/>
      </w:rPr>
    </w:lvl>
    <w:lvl w:ilvl="3" w:tplc="9702B334">
      <w:numFmt w:val="bullet"/>
      <w:lvlText w:val="•"/>
      <w:lvlJc w:val="left"/>
      <w:pPr>
        <w:ind w:left="1108" w:hanging="360"/>
      </w:pPr>
      <w:rPr>
        <w:rFonts w:hint="default"/>
        <w:lang w:val="en-US" w:eastAsia="en-US" w:bidi="ar-SA"/>
      </w:rPr>
    </w:lvl>
    <w:lvl w:ilvl="4" w:tplc="6D2809E0">
      <w:numFmt w:val="bullet"/>
      <w:lvlText w:val="•"/>
      <w:lvlJc w:val="left"/>
      <w:pPr>
        <w:ind w:left="1205" w:hanging="360"/>
      </w:pPr>
      <w:rPr>
        <w:rFonts w:hint="default"/>
        <w:lang w:val="en-US" w:eastAsia="en-US" w:bidi="ar-SA"/>
      </w:rPr>
    </w:lvl>
    <w:lvl w:ilvl="5" w:tplc="3A12129A">
      <w:numFmt w:val="bullet"/>
      <w:lvlText w:val="•"/>
      <w:lvlJc w:val="left"/>
      <w:pPr>
        <w:ind w:left="1301" w:hanging="360"/>
      </w:pPr>
      <w:rPr>
        <w:rFonts w:hint="default"/>
        <w:lang w:val="en-US" w:eastAsia="en-US" w:bidi="ar-SA"/>
      </w:rPr>
    </w:lvl>
    <w:lvl w:ilvl="6" w:tplc="E0B641E2">
      <w:numFmt w:val="bullet"/>
      <w:lvlText w:val="•"/>
      <w:lvlJc w:val="left"/>
      <w:pPr>
        <w:ind w:left="1397" w:hanging="360"/>
      </w:pPr>
      <w:rPr>
        <w:rFonts w:hint="default"/>
        <w:lang w:val="en-US" w:eastAsia="en-US" w:bidi="ar-SA"/>
      </w:rPr>
    </w:lvl>
    <w:lvl w:ilvl="7" w:tplc="102242EA">
      <w:numFmt w:val="bullet"/>
      <w:lvlText w:val="•"/>
      <w:lvlJc w:val="left"/>
      <w:pPr>
        <w:ind w:left="1494" w:hanging="360"/>
      </w:pPr>
      <w:rPr>
        <w:rFonts w:hint="default"/>
        <w:lang w:val="en-US" w:eastAsia="en-US" w:bidi="ar-SA"/>
      </w:rPr>
    </w:lvl>
    <w:lvl w:ilvl="8" w:tplc="789C9022">
      <w:numFmt w:val="bullet"/>
      <w:lvlText w:val="•"/>
      <w:lvlJc w:val="left"/>
      <w:pPr>
        <w:ind w:left="1590" w:hanging="360"/>
      </w:pPr>
      <w:rPr>
        <w:rFonts w:hint="default"/>
        <w:lang w:val="en-US" w:eastAsia="en-US" w:bidi="ar-SA"/>
      </w:rPr>
    </w:lvl>
  </w:abstractNum>
  <w:abstractNum w:abstractNumId="28" w15:restartNumberingAfterBreak="0">
    <w:nsid w:val="10FD6104"/>
    <w:multiLevelType w:val="hybridMultilevel"/>
    <w:tmpl w:val="381E223A"/>
    <w:lvl w:ilvl="0" w:tplc="7C0AE8CC">
      <w:start w:val="1"/>
      <w:numFmt w:val="lowerLetter"/>
      <w:lvlText w:val="(%1)"/>
      <w:lvlJc w:val="left"/>
      <w:pPr>
        <w:ind w:left="1494" w:hanging="428"/>
      </w:pPr>
      <w:rPr>
        <w:rFonts w:ascii="Calibri" w:eastAsia="Calibri" w:hAnsi="Calibri" w:cs="Calibri" w:hint="default"/>
        <w:b w:val="0"/>
        <w:bCs w:val="0"/>
        <w:i w:val="0"/>
        <w:iCs w:val="0"/>
        <w:spacing w:val="-1"/>
        <w:w w:val="100"/>
        <w:sz w:val="24"/>
        <w:szCs w:val="24"/>
        <w:lang w:val="en-US" w:eastAsia="en-US" w:bidi="ar-SA"/>
      </w:rPr>
    </w:lvl>
    <w:lvl w:ilvl="1" w:tplc="954292C8">
      <w:numFmt w:val="bullet"/>
      <w:lvlText w:val="•"/>
      <w:lvlJc w:val="left"/>
      <w:pPr>
        <w:ind w:left="2536" w:hanging="428"/>
      </w:pPr>
      <w:rPr>
        <w:rFonts w:hint="default"/>
        <w:lang w:val="en-US" w:eastAsia="en-US" w:bidi="ar-SA"/>
      </w:rPr>
    </w:lvl>
    <w:lvl w:ilvl="2" w:tplc="8A7ADA0A">
      <w:numFmt w:val="bullet"/>
      <w:lvlText w:val="•"/>
      <w:lvlJc w:val="left"/>
      <w:pPr>
        <w:ind w:left="3573" w:hanging="428"/>
      </w:pPr>
      <w:rPr>
        <w:rFonts w:hint="default"/>
        <w:lang w:val="en-US" w:eastAsia="en-US" w:bidi="ar-SA"/>
      </w:rPr>
    </w:lvl>
    <w:lvl w:ilvl="3" w:tplc="36CECF36">
      <w:numFmt w:val="bullet"/>
      <w:lvlText w:val="•"/>
      <w:lvlJc w:val="left"/>
      <w:pPr>
        <w:ind w:left="4609" w:hanging="428"/>
      </w:pPr>
      <w:rPr>
        <w:rFonts w:hint="default"/>
        <w:lang w:val="en-US" w:eastAsia="en-US" w:bidi="ar-SA"/>
      </w:rPr>
    </w:lvl>
    <w:lvl w:ilvl="4" w:tplc="F7DE86B8">
      <w:numFmt w:val="bullet"/>
      <w:lvlText w:val="•"/>
      <w:lvlJc w:val="left"/>
      <w:pPr>
        <w:ind w:left="5646" w:hanging="428"/>
      </w:pPr>
      <w:rPr>
        <w:rFonts w:hint="default"/>
        <w:lang w:val="en-US" w:eastAsia="en-US" w:bidi="ar-SA"/>
      </w:rPr>
    </w:lvl>
    <w:lvl w:ilvl="5" w:tplc="B16298F8">
      <w:numFmt w:val="bullet"/>
      <w:lvlText w:val="•"/>
      <w:lvlJc w:val="left"/>
      <w:pPr>
        <w:ind w:left="6683" w:hanging="428"/>
      </w:pPr>
      <w:rPr>
        <w:rFonts w:hint="default"/>
        <w:lang w:val="en-US" w:eastAsia="en-US" w:bidi="ar-SA"/>
      </w:rPr>
    </w:lvl>
    <w:lvl w:ilvl="6" w:tplc="C78CFA12">
      <w:numFmt w:val="bullet"/>
      <w:lvlText w:val="•"/>
      <w:lvlJc w:val="left"/>
      <w:pPr>
        <w:ind w:left="7719" w:hanging="428"/>
      </w:pPr>
      <w:rPr>
        <w:rFonts w:hint="default"/>
        <w:lang w:val="en-US" w:eastAsia="en-US" w:bidi="ar-SA"/>
      </w:rPr>
    </w:lvl>
    <w:lvl w:ilvl="7" w:tplc="08C27A8A">
      <w:numFmt w:val="bullet"/>
      <w:lvlText w:val="•"/>
      <w:lvlJc w:val="left"/>
      <w:pPr>
        <w:ind w:left="8756" w:hanging="428"/>
      </w:pPr>
      <w:rPr>
        <w:rFonts w:hint="default"/>
        <w:lang w:val="en-US" w:eastAsia="en-US" w:bidi="ar-SA"/>
      </w:rPr>
    </w:lvl>
    <w:lvl w:ilvl="8" w:tplc="80D01668">
      <w:numFmt w:val="bullet"/>
      <w:lvlText w:val="•"/>
      <w:lvlJc w:val="left"/>
      <w:pPr>
        <w:ind w:left="9793" w:hanging="428"/>
      </w:pPr>
      <w:rPr>
        <w:rFonts w:hint="default"/>
        <w:lang w:val="en-US" w:eastAsia="en-US" w:bidi="ar-SA"/>
      </w:rPr>
    </w:lvl>
  </w:abstractNum>
  <w:abstractNum w:abstractNumId="29" w15:restartNumberingAfterBreak="0">
    <w:nsid w:val="111512C2"/>
    <w:multiLevelType w:val="multilevel"/>
    <w:tmpl w:val="8E28FBC6"/>
    <w:lvl w:ilvl="0">
      <w:start w:val="1"/>
      <w:numFmt w:val="decimal"/>
      <w:lvlText w:val="%1."/>
      <w:lvlJc w:val="left"/>
      <w:pPr>
        <w:ind w:left="1340" w:hanging="360"/>
      </w:pPr>
      <w:rPr>
        <w:rFonts w:hint="default"/>
        <w:spacing w:val="0"/>
        <w:w w:val="100"/>
        <w:lang w:val="en-US" w:eastAsia="en-US" w:bidi="ar-SA"/>
      </w:rPr>
    </w:lvl>
    <w:lvl w:ilvl="1">
      <w:start w:val="1"/>
      <w:numFmt w:val="decimal"/>
      <w:lvlText w:val="%1.%2"/>
      <w:lvlJc w:val="left"/>
      <w:pPr>
        <w:ind w:left="980" w:hanging="401"/>
      </w:pPr>
      <w:rPr>
        <w:rFonts w:hint="default"/>
        <w:spacing w:val="0"/>
        <w:w w:val="100"/>
        <w:lang w:val="en-US" w:eastAsia="en-US" w:bidi="ar-SA"/>
      </w:rPr>
    </w:lvl>
    <w:lvl w:ilvl="2">
      <w:start w:val="1"/>
      <w:numFmt w:val="decimal"/>
      <w:lvlText w:val="%1.%2.%3"/>
      <w:lvlJc w:val="left"/>
      <w:pPr>
        <w:ind w:left="980" w:hanging="589"/>
      </w:pPr>
      <w:rPr>
        <w:rFonts w:hint="default"/>
        <w:spacing w:val="-2"/>
        <w:w w:val="100"/>
        <w:lang w:val="en-US" w:eastAsia="en-US" w:bidi="ar-SA"/>
      </w:rPr>
    </w:lvl>
    <w:lvl w:ilvl="3">
      <w:start w:val="1"/>
      <w:numFmt w:val="lowerRoman"/>
      <w:lvlText w:val="%4."/>
      <w:lvlJc w:val="left"/>
      <w:pPr>
        <w:ind w:left="1700" w:hanging="589"/>
        <w:jc w:val="right"/>
      </w:pPr>
      <w:rPr>
        <w:rFonts w:ascii="Arial" w:eastAsia="Arial" w:hAnsi="Arial" w:cs="Arial" w:hint="default"/>
        <w:b w:val="0"/>
        <w:bCs w:val="0"/>
        <w:i w:val="0"/>
        <w:iCs w:val="0"/>
        <w:spacing w:val="-1"/>
        <w:w w:val="100"/>
        <w:sz w:val="24"/>
        <w:szCs w:val="24"/>
        <w:lang w:val="en-US" w:eastAsia="en-US" w:bidi="ar-SA"/>
      </w:rPr>
    </w:lvl>
    <w:lvl w:ilvl="4">
      <w:numFmt w:val="bullet"/>
      <w:lvlText w:val="•"/>
      <w:lvlJc w:val="left"/>
      <w:pPr>
        <w:ind w:left="2300" w:hanging="589"/>
      </w:pPr>
      <w:rPr>
        <w:rFonts w:hint="default"/>
        <w:lang w:val="en-US" w:eastAsia="en-US" w:bidi="ar-SA"/>
      </w:rPr>
    </w:lvl>
    <w:lvl w:ilvl="5">
      <w:numFmt w:val="bullet"/>
      <w:lvlText w:val="•"/>
      <w:lvlJc w:val="left"/>
      <w:pPr>
        <w:ind w:left="3754" w:hanging="589"/>
      </w:pPr>
      <w:rPr>
        <w:rFonts w:hint="default"/>
        <w:lang w:val="en-US" w:eastAsia="en-US" w:bidi="ar-SA"/>
      </w:rPr>
    </w:lvl>
    <w:lvl w:ilvl="6">
      <w:numFmt w:val="bullet"/>
      <w:lvlText w:val="•"/>
      <w:lvlJc w:val="left"/>
      <w:pPr>
        <w:ind w:left="5208" w:hanging="589"/>
      </w:pPr>
      <w:rPr>
        <w:rFonts w:hint="default"/>
        <w:lang w:val="en-US" w:eastAsia="en-US" w:bidi="ar-SA"/>
      </w:rPr>
    </w:lvl>
    <w:lvl w:ilvl="7">
      <w:numFmt w:val="bullet"/>
      <w:lvlText w:val="•"/>
      <w:lvlJc w:val="left"/>
      <w:pPr>
        <w:ind w:left="6663" w:hanging="589"/>
      </w:pPr>
      <w:rPr>
        <w:rFonts w:hint="default"/>
        <w:lang w:val="en-US" w:eastAsia="en-US" w:bidi="ar-SA"/>
      </w:rPr>
    </w:lvl>
    <w:lvl w:ilvl="8">
      <w:numFmt w:val="bullet"/>
      <w:lvlText w:val="•"/>
      <w:lvlJc w:val="left"/>
      <w:pPr>
        <w:ind w:left="8117" w:hanging="589"/>
      </w:pPr>
      <w:rPr>
        <w:rFonts w:hint="default"/>
        <w:lang w:val="en-US" w:eastAsia="en-US" w:bidi="ar-SA"/>
      </w:rPr>
    </w:lvl>
  </w:abstractNum>
  <w:abstractNum w:abstractNumId="30" w15:restartNumberingAfterBreak="0">
    <w:nsid w:val="11D54759"/>
    <w:multiLevelType w:val="hybridMultilevel"/>
    <w:tmpl w:val="A9523518"/>
    <w:lvl w:ilvl="0" w:tplc="22D467B4">
      <w:numFmt w:val="bullet"/>
      <w:lvlText w:val=""/>
      <w:lvlJc w:val="left"/>
      <w:pPr>
        <w:ind w:left="816" w:hanging="360"/>
      </w:pPr>
      <w:rPr>
        <w:rFonts w:ascii="Wingdings" w:eastAsia="Wingdings" w:hAnsi="Wingdings" w:cs="Wingdings" w:hint="default"/>
        <w:b w:val="0"/>
        <w:bCs w:val="0"/>
        <w:i w:val="0"/>
        <w:iCs w:val="0"/>
        <w:color w:val="0D0D0D"/>
        <w:spacing w:val="0"/>
        <w:w w:val="100"/>
        <w:sz w:val="24"/>
        <w:szCs w:val="24"/>
        <w:lang w:val="en-US" w:eastAsia="en-US" w:bidi="ar-SA"/>
      </w:rPr>
    </w:lvl>
    <w:lvl w:ilvl="1" w:tplc="EEBAFAE8">
      <w:numFmt w:val="bullet"/>
      <w:lvlText w:val="•"/>
      <w:lvlJc w:val="left"/>
      <w:pPr>
        <w:ind w:left="961" w:hanging="360"/>
      </w:pPr>
      <w:rPr>
        <w:rFonts w:hint="default"/>
        <w:lang w:val="en-US" w:eastAsia="en-US" w:bidi="ar-SA"/>
      </w:rPr>
    </w:lvl>
    <w:lvl w:ilvl="2" w:tplc="3A02E574">
      <w:numFmt w:val="bullet"/>
      <w:lvlText w:val="•"/>
      <w:lvlJc w:val="left"/>
      <w:pPr>
        <w:ind w:left="1102" w:hanging="360"/>
      </w:pPr>
      <w:rPr>
        <w:rFonts w:hint="default"/>
        <w:lang w:val="en-US" w:eastAsia="en-US" w:bidi="ar-SA"/>
      </w:rPr>
    </w:lvl>
    <w:lvl w:ilvl="3" w:tplc="202C8BAA">
      <w:numFmt w:val="bullet"/>
      <w:lvlText w:val="•"/>
      <w:lvlJc w:val="left"/>
      <w:pPr>
        <w:ind w:left="1243" w:hanging="360"/>
      </w:pPr>
      <w:rPr>
        <w:rFonts w:hint="default"/>
        <w:lang w:val="en-US" w:eastAsia="en-US" w:bidi="ar-SA"/>
      </w:rPr>
    </w:lvl>
    <w:lvl w:ilvl="4" w:tplc="9C0864B0">
      <w:numFmt w:val="bullet"/>
      <w:lvlText w:val="•"/>
      <w:lvlJc w:val="left"/>
      <w:pPr>
        <w:ind w:left="1385" w:hanging="360"/>
      </w:pPr>
      <w:rPr>
        <w:rFonts w:hint="default"/>
        <w:lang w:val="en-US" w:eastAsia="en-US" w:bidi="ar-SA"/>
      </w:rPr>
    </w:lvl>
    <w:lvl w:ilvl="5" w:tplc="2E12E428">
      <w:numFmt w:val="bullet"/>
      <w:lvlText w:val="•"/>
      <w:lvlJc w:val="left"/>
      <w:pPr>
        <w:ind w:left="1526" w:hanging="360"/>
      </w:pPr>
      <w:rPr>
        <w:rFonts w:hint="default"/>
        <w:lang w:val="en-US" w:eastAsia="en-US" w:bidi="ar-SA"/>
      </w:rPr>
    </w:lvl>
    <w:lvl w:ilvl="6" w:tplc="520883F8">
      <w:numFmt w:val="bullet"/>
      <w:lvlText w:val="•"/>
      <w:lvlJc w:val="left"/>
      <w:pPr>
        <w:ind w:left="1667" w:hanging="360"/>
      </w:pPr>
      <w:rPr>
        <w:rFonts w:hint="default"/>
        <w:lang w:val="en-US" w:eastAsia="en-US" w:bidi="ar-SA"/>
      </w:rPr>
    </w:lvl>
    <w:lvl w:ilvl="7" w:tplc="2C38B778">
      <w:numFmt w:val="bullet"/>
      <w:lvlText w:val="•"/>
      <w:lvlJc w:val="left"/>
      <w:pPr>
        <w:ind w:left="1809" w:hanging="360"/>
      </w:pPr>
      <w:rPr>
        <w:rFonts w:hint="default"/>
        <w:lang w:val="en-US" w:eastAsia="en-US" w:bidi="ar-SA"/>
      </w:rPr>
    </w:lvl>
    <w:lvl w:ilvl="8" w:tplc="2C68D7D0">
      <w:numFmt w:val="bullet"/>
      <w:lvlText w:val="•"/>
      <w:lvlJc w:val="left"/>
      <w:pPr>
        <w:ind w:left="1950" w:hanging="360"/>
      </w:pPr>
      <w:rPr>
        <w:rFonts w:hint="default"/>
        <w:lang w:val="en-US" w:eastAsia="en-US" w:bidi="ar-SA"/>
      </w:rPr>
    </w:lvl>
  </w:abstractNum>
  <w:abstractNum w:abstractNumId="31" w15:restartNumberingAfterBreak="0">
    <w:nsid w:val="12D51C3E"/>
    <w:multiLevelType w:val="hybridMultilevel"/>
    <w:tmpl w:val="5352C338"/>
    <w:lvl w:ilvl="0" w:tplc="DA08252E">
      <w:start w:val="1"/>
      <w:numFmt w:val="lowerLetter"/>
      <w:lvlText w:val="(%1)"/>
      <w:lvlJc w:val="left"/>
      <w:pPr>
        <w:ind w:left="1494" w:hanging="428"/>
      </w:pPr>
      <w:rPr>
        <w:rFonts w:ascii="Calibri" w:eastAsia="Calibri" w:hAnsi="Calibri" w:cs="Calibri" w:hint="default"/>
        <w:b w:val="0"/>
        <w:bCs w:val="0"/>
        <w:i w:val="0"/>
        <w:iCs w:val="0"/>
        <w:spacing w:val="-1"/>
        <w:w w:val="100"/>
        <w:sz w:val="24"/>
        <w:szCs w:val="24"/>
        <w:lang w:val="en-US" w:eastAsia="en-US" w:bidi="ar-SA"/>
      </w:rPr>
    </w:lvl>
    <w:lvl w:ilvl="1" w:tplc="9D7AD518">
      <w:numFmt w:val="bullet"/>
      <w:lvlText w:val="•"/>
      <w:lvlJc w:val="left"/>
      <w:pPr>
        <w:ind w:left="2536" w:hanging="428"/>
      </w:pPr>
      <w:rPr>
        <w:rFonts w:hint="default"/>
        <w:lang w:val="en-US" w:eastAsia="en-US" w:bidi="ar-SA"/>
      </w:rPr>
    </w:lvl>
    <w:lvl w:ilvl="2" w:tplc="ADA4E0F8">
      <w:numFmt w:val="bullet"/>
      <w:lvlText w:val="•"/>
      <w:lvlJc w:val="left"/>
      <w:pPr>
        <w:ind w:left="3573" w:hanging="428"/>
      </w:pPr>
      <w:rPr>
        <w:rFonts w:hint="default"/>
        <w:lang w:val="en-US" w:eastAsia="en-US" w:bidi="ar-SA"/>
      </w:rPr>
    </w:lvl>
    <w:lvl w:ilvl="3" w:tplc="11487E0A">
      <w:numFmt w:val="bullet"/>
      <w:lvlText w:val="•"/>
      <w:lvlJc w:val="left"/>
      <w:pPr>
        <w:ind w:left="4609" w:hanging="428"/>
      </w:pPr>
      <w:rPr>
        <w:rFonts w:hint="default"/>
        <w:lang w:val="en-US" w:eastAsia="en-US" w:bidi="ar-SA"/>
      </w:rPr>
    </w:lvl>
    <w:lvl w:ilvl="4" w:tplc="EA3CAF86">
      <w:numFmt w:val="bullet"/>
      <w:lvlText w:val="•"/>
      <w:lvlJc w:val="left"/>
      <w:pPr>
        <w:ind w:left="5646" w:hanging="428"/>
      </w:pPr>
      <w:rPr>
        <w:rFonts w:hint="default"/>
        <w:lang w:val="en-US" w:eastAsia="en-US" w:bidi="ar-SA"/>
      </w:rPr>
    </w:lvl>
    <w:lvl w:ilvl="5" w:tplc="3F8436EE">
      <w:numFmt w:val="bullet"/>
      <w:lvlText w:val="•"/>
      <w:lvlJc w:val="left"/>
      <w:pPr>
        <w:ind w:left="6683" w:hanging="428"/>
      </w:pPr>
      <w:rPr>
        <w:rFonts w:hint="default"/>
        <w:lang w:val="en-US" w:eastAsia="en-US" w:bidi="ar-SA"/>
      </w:rPr>
    </w:lvl>
    <w:lvl w:ilvl="6" w:tplc="C9B6C6C8">
      <w:numFmt w:val="bullet"/>
      <w:lvlText w:val="•"/>
      <w:lvlJc w:val="left"/>
      <w:pPr>
        <w:ind w:left="7719" w:hanging="428"/>
      </w:pPr>
      <w:rPr>
        <w:rFonts w:hint="default"/>
        <w:lang w:val="en-US" w:eastAsia="en-US" w:bidi="ar-SA"/>
      </w:rPr>
    </w:lvl>
    <w:lvl w:ilvl="7" w:tplc="6590A880">
      <w:numFmt w:val="bullet"/>
      <w:lvlText w:val="•"/>
      <w:lvlJc w:val="left"/>
      <w:pPr>
        <w:ind w:left="8756" w:hanging="428"/>
      </w:pPr>
      <w:rPr>
        <w:rFonts w:hint="default"/>
        <w:lang w:val="en-US" w:eastAsia="en-US" w:bidi="ar-SA"/>
      </w:rPr>
    </w:lvl>
    <w:lvl w:ilvl="8" w:tplc="BD02AF02">
      <w:numFmt w:val="bullet"/>
      <w:lvlText w:val="•"/>
      <w:lvlJc w:val="left"/>
      <w:pPr>
        <w:ind w:left="9793" w:hanging="428"/>
      </w:pPr>
      <w:rPr>
        <w:rFonts w:hint="default"/>
        <w:lang w:val="en-US" w:eastAsia="en-US" w:bidi="ar-SA"/>
      </w:rPr>
    </w:lvl>
  </w:abstractNum>
  <w:abstractNum w:abstractNumId="32" w15:restartNumberingAfterBreak="0">
    <w:nsid w:val="133A5B05"/>
    <w:multiLevelType w:val="hybridMultilevel"/>
    <w:tmpl w:val="0CB27978"/>
    <w:lvl w:ilvl="0" w:tplc="94CE4C8C">
      <w:start w:val="1"/>
      <w:numFmt w:val="lowerLetter"/>
      <w:lvlText w:val="(%1)"/>
      <w:lvlJc w:val="left"/>
      <w:pPr>
        <w:ind w:left="1494" w:hanging="428"/>
      </w:pPr>
      <w:rPr>
        <w:rFonts w:ascii="Calibri" w:eastAsia="Calibri" w:hAnsi="Calibri" w:cs="Calibri" w:hint="default"/>
        <w:b w:val="0"/>
        <w:bCs w:val="0"/>
        <w:i w:val="0"/>
        <w:iCs w:val="0"/>
        <w:spacing w:val="-1"/>
        <w:w w:val="100"/>
        <w:sz w:val="24"/>
        <w:szCs w:val="24"/>
        <w:lang w:val="en-US" w:eastAsia="en-US" w:bidi="ar-SA"/>
      </w:rPr>
    </w:lvl>
    <w:lvl w:ilvl="1" w:tplc="168A2980">
      <w:numFmt w:val="bullet"/>
      <w:lvlText w:val="•"/>
      <w:lvlJc w:val="left"/>
      <w:pPr>
        <w:ind w:left="2536" w:hanging="428"/>
      </w:pPr>
      <w:rPr>
        <w:rFonts w:hint="default"/>
        <w:lang w:val="en-US" w:eastAsia="en-US" w:bidi="ar-SA"/>
      </w:rPr>
    </w:lvl>
    <w:lvl w:ilvl="2" w:tplc="6CF218DC">
      <w:numFmt w:val="bullet"/>
      <w:lvlText w:val="•"/>
      <w:lvlJc w:val="left"/>
      <w:pPr>
        <w:ind w:left="3573" w:hanging="428"/>
      </w:pPr>
      <w:rPr>
        <w:rFonts w:hint="default"/>
        <w:lang w:val="en-US" w:eastAsia="en-US" w:bidi="ar-SA"/>
      </w:rPr>
    </w:lvl>
    <w:lvl w:ilvl="3" w:tplc="14EE726A">
      <w:numFmt w:val="bullet"/>
      <w:lvlText w:val="•"/>
      <w:lvlJc w:val="left"/>
      <w:pPr>
        <w:ind w:left="4609" w:hanging="428"/>
      </w:pPr>
      <w:rPr>
        <w:rFonts w:hint="default"/>
        <w:lang w:val="en-US" w:eastAsia="en-US" w:bidi="ar-SA"/>
      </w:rPr>
    </w:lvl>
    <w:lvl w:ilvl="4" w:tplc="EAFC595A">
      <w:numFmt w:val="bullet"/>
      <w:lvlText w:val="•"/>
      <w:lvlJc w:val="left"/>
      <w:pPr>
        <w:ind w:left="5646" w:hanging="428"/>
      </w:pPr>
      <w:rPr>
        <w:rFonts w:hint="default"/>
        <w:lang w:val="en-US" w:eastAsia="en-US" w:bidi="ar-SA"/>
      </w:rPr>
    </w:lvl>
    <w:lvl w:ilvl="5" w:tplc="6E04106A">
      <w:numFmt w:val="bullet"/>
      <w:lvlText w:val="•"/>
      <w:lvlJc w:val="left"/>
      <w:pPr>
        <w:ind w:left="6683" w:hanging="428"/>
      </w:pPr>
      <w:rPr>
        <w:rFonts w:hint="default"/>
        <w:lang w:val="en-US" w:eastAsia="en-US" w:bidi="ar-SA"/>
      </w:rPr>
    </w:lvl>
    <w:lvl w:ilvl="6" w:tplc="229E4C84">
      <w:numFmt w:val="bullet"/>
      <w:lvlText w:val="•"/>
      <w:lvlJc w:val="left"/>
      <w:pPr>
        <w:ind w:left="7719" w:hanging="428"/>
      </w:pPr>
      <w:rPr>
        <w:rFonts w:hint="default"/>
        <w:lang w:val="en-US" w:eastAsia="en-US" w:bidi="ar-SA"/>
      </w:rPr>
    </w:lvl>
    <w:lvl w:ilvl="7" w:tplc="FAB210E4">
      <w:numFmt w:val="bullet"/>
      <w:lvlText w:val="•"/>
      <w:lvlJc w:val="left"/>
      <w:pPr>
        <w:ind w:left="8756" w:hanging="428"/>
      </w:pPr>
      <w:rPr>
        <w:rFonts w:hint="default"/>
        <w:lang w:val="en-US" w:eastAsia="en-US" w:bidi="ar-SA"/>
      </w:rPr>
    </w:lvl>
    <w:lvl w:ilvl="8" w:tplc="42729E46">
      <w:numFmt w:val="bullet"/>
      <w:lvlText w:val="•"/>
      <w:lvlJc w:val="left"/>
      <w:pPr>
        <w:ind w:left="9793" w:hanging="428"/>
      </w:pPr>
      <w:rPr>
        <w:rFonts w:hint="default"/>
        <w:lang w:val="en-US" w:eastAsia="en-US" w:bidi="ar-SA"/>
      </w:rPr>
    </w:lvl>
  </w:abstractNum>
  <w:abstractNum w:abstractNumId="33" w15:restartNumberingAfterBreak="0">
    <w:nsid w:val="140376A6"/>
    <w:multiLevelType w:val="hybridMultilevel"/>
    <w:tmpl w:val="37B6CB1E"/>
    <w:lvl w:ilvl="0" w:tplc="CACC992E">
      <w:start w:val="1"/>
      <w:numFmt w:val="lowerLetter"/>
      <w:lvlText w:val="%1)"/>
      <w:lvlJc w:val="left"/>
      <w:pPr>
        <w:ind w:left="997" w:hanging="360"/>
      </w:pPr>
      <w:rPr>
        <w:rFonts w:ascii="Arial" w:eastAsia="Arial" w:hAnsi="Arial" w:cs="Arial" w:hint="default"/>
        <w:b w:val="0"/>
        <w:bCs w:val="0"/>
        <w:i w:val="0"/>
        <w:iCs w:val="0"/>
        <w:spacing w:val="0"/>
        <w:w w:val="99"/>
        <w:sz w:val="24"/>
        <w:szCs w:val="24"/>
        <w:lang w:val="en-US" w:eastAsia="en-US" w:bidi="ar-SA"/>
      </w:rPr>
    </w:lvl>
    <w:lvl w:ilvl="1" w:tplc="0A9C61A6">
      <w:start w:val="1"/>
      <w:numFmt w:val="lowerRoman"/>
      <w:lvlText w:val="%2."/>
      <w:lvlJc w:val="left"/>
      <w:pPr>
        <w:ind w:left="1717" w:hanging="480"/>
        <w:jc w:val="right"/>
      </w:pPr>
      <w:rPr>
        <w:rFonts w:ascii="Arial" w:eastAsia="Arial" w:hAnsi="Arial" w:cs="Arial" w:hint="default"/>
        <w:b w:val="0"/>
        <w:bCs w:val="0"/>
        <w:i w:val="0"/>
        <w:iCs w:val="0"/>
        <w:spacing w:val="-1"/>
        <w:w w:val="100"/>
        <w:sz w:val="24"/>
        <w:szCs w:val="24"/>
        <w:lang w:val="en-US" w:eastAsia="en-US" w:bidi="ar-SA"/>
      </w:rPr>
    </w:lvl>
    <w:lvl w:ilvl="2" w:tplc="90D6C3D4">
      <w:numFmt w:val="bullet"/>
      <w:lvlText w:val="•"/>
      <w:lvlJc w:val="left"/>
      <w:pPr>
        <w:ind w:left="2359" w:hanging="480"/>
      </w:pPr>
      <w:rPr>
        <w:rFonts w:hint="default"/>
        <w:lang w:val="en-US" w:eastAsia="en-US" w:bidi="ar-SA"/>
      </w:rPr>
    </w:lvl>
    <w:lvl w:ilvl="3" w:tplc="44F86E60">
      <w:numFmt w:val="bullet"/>
      <w:lvlText w:val="•"/>
      <w:lvlJc w:val="left"/>
      <w:pPr>
        <w:ind w:left="2998" w:hanging="480"/>
      </w:pPr>
      <w:rPr>
        <w:rFonts w:hint="default"/>
        <w:lang w:val="en-US" w:eastAsia="en-US" w:bidi="ar-SA"/>
      </w:rPr>
    </w:lvl>
    <w:lvl w:ilvl="4" w:tplc="D0560798">
      <w:numFmt w:val="bullet"/>
      <w:lvlText w:val="•"/>
      <w:lvlJc w:val="left"/>
      <w:pPr>
        <w:ind w:left="3638" w:hanging="480"/>
      </w:pPr>
      <w:rPr>
        <w:rFonts w:hint="default"/>
        <w:lang w:val="en-US" w:eastAsia="en-US" w:bidi="ar-SA"/>
      </w:rPr>
    </w:lvl>
    <w:lvl w:ilvl="5" w:tplc="BD5029E4">
      <w:numFmt w:val="bullet"/>
      <w:lvlText w:val="•"/>
      <w:lvlJc w:val="left"/>
      <w:pPr>
        <w:ind w:left="4277" w:hanging="480"/>
      </w:pPr>
      <w:rPr>
        <w:rFonts w:hint="default"/>
        <w:lang w:val="en-US" w:eastAsia="en-US" w:bidi="ar-SA"/>
      </w:rPr>
    </w:lvl>
    <w:lvl w:ilvl="6" w:tplc="977CD43C">
      <w:numFmt w:val="bullet"/>
      <w:lvlText w:val="•"/>
      <w:lvlJc w:val="left"/>
      <w:pPr>
        <w:ind w:left="4916" w:hanging="480"/>
      </w:pPr>
      <w:rPr>
        <w:rFonts w:hint="default"/>
        <w:lang w:val="en-US" w:eastAsia="en-US" w:bidi="ar-SA"/>
      </w:rPr>
    </w:lvl>
    <w:lvl w:ilvl="7" w:tplc="9A8C82A4">
      <w:numFmt w:val="bullet"/>
      <w:lvlText w:val="•"/>
      <w:lvlJc w:val="left"/>
      <w:pPr>
        <w:ind w:left="5556" w:hanging="480"/>
      </w:pPr>
      <w:rPr>
        <w:rFonts w:hint="default"/>
        <w:lang w:val="en-US" w:eastAsia="en-US" w:bidi="ar-SA"/>
      </w:rPr>
    </w:lvl>
    <w:lvl w:ilvl="8" w:tplc="72582520">
      <w:numFmt w:val="bullet"/>
      <w:lvlText w:val="•"/>
      <w:lvlJc w:val="left"/>
      <w:pPr>
        <w:ind w:left="6195" w:hanging="480"/>
      </w:pPr>
      <w:rPr>
        <w:rFonts w:hint="default"/>
        <w:lang w:val="en-US" w:eastAsia="en-US" w:bidi="ar-SA"/>
      </w:rPr>
    </w:lvl>
  </w:abstractNum>
  <w:abstractNum w:abstractNumId="34" w15:restartNumberingAfterBreak="0">
    <w:nsid w:val="15AD367A"/>
    <w:multiLevelType w:val="hybridMultilevel"/>
    <w:tmpl w:val="5D808E5E"/>
    <w:lvl w:ilvl="0" w:tplc="4F724994">
      <w:start w:val="46"/>
      <w:numFmt w:val="lowerLetter"/>
      <w:lvlText w:val="%1)"/>
      <w:lvlJc w:val="left"/>
      <w:pPr>
        <w:ind w:left="539" w:hanging="288"/>
      </w:pPr>
      <w:rPr>
        <w:rFonts w:ascii="Arial" w:eastAsia="Arial" w:hAnsi="Arial" w:cs="Arial" w:hint="default"/>
        <w:b w:val="0"/>
        <w:bCs w:val="0"/>
        <w:i w:val="0"/>
        <w:iCs w:val="0"/>
        <w:spacing w:val="0"/>
        <w:w w:val="99"/>
        <w:sz w:val="24"/>
        <w:szCs w:val="24"/>
        <w:lang w:val="en-US" w:eastAsia="en-US" w:bidi="ar-SA"/>
      </w:rPr>
    </w:lvl>
    <w:lvl w:ilvl="1" w:tplc="00DC5152">
      <w:numFmt w:val="bullet"/>
      <w:lvlText w:val="•"/>
      <w:lvlJc w:val="left"/>
      <w:pPr>
        <w:ind w:left="1233" w:hanging="288"/>
      </w:pPr>
      <w:rPr>
        <w:rFonts w:hint="default"/>
        <w:lang w:val="en-US" w:eastAsia="en-US" w:bidi="ar-SA"/>
      </w:rPr>
    </w:lvl>
    <w:lvl w:ilvl="2" w:tplc="1FB01FDE">
      <w:numFmt w:val="bullet"/>
      <w:lvlText w:val="•"/>
      <w:lvlJc w:val="left"/>
      <w:pPr>
        <w:ind w:left="1926" w:hanging="288"/>
      </w:pPr>
      <w:rPr>
        <w:rFonts w:hint="default"/>
        <w:lang w:val="en-US" w:eastAsia="en-US" w:bidi="ar-SA"/>
      </w:rPr>
    </w:lvl>
    <w:lvl w:ilvl="3" w:tplc="F8A8C60E">
      <w:numFmt w:val="bullet"/>
      <w:lvlText w:val="•"/>
      <w:lvlJc w:val="left"/>
      <w:pPr>
        <w:ind w:left="2620" w:hanging="288"/>
      </w:pPr>
      <w:rPr>
        <w:rFonts w:hint="default"/>
        <w:lang w:val="en-US" w:eastAsia="en-US" w:bidi="ar-SA"/>
      </w:rPr>
    </w:lvl>
    <w:lvl w:ilvl="4" w:tplc="7F2E6F62">
      <w:numFmt w:val="bullet"/>
      <w:lvlText w:val="•"/>
      <w:lvlJc w:val="left"/>
      <w:pPr>
        <w:ind w:left="3313" w:hanging="288"/>
      </w:pPr>
      <w:rPr>
        <w:rFonts w:hint="default"/>
        <w:lang w:val="en-US" w:eastAsia="en-US" w:bidi="ar-SA"/>
      </w:rPr>
    </w:lvl>
    <w:lvl w:ilvl="5" w:tplc="603C3338">
      <w:numFmt w:val="bullet"/>
      <w:lvlText w:val="•"/>
      <w:lvlJc w:val="left"/>
      <w:pPr>
        <w:ind w:left="4007" w:hanging="288"/>
      </w:pPr>
      <w:rPr>
        <w:rFonts w:hint="default"/>
        <w:lang w:val="en-US" w:eastAsia="en-US" w:bidi="ar-SA"/>
      </w:rPr>
    </w:lvl>
    <w:lvl w:ilvl="6" w:tplc="5128E69E">
      <w:numFmt w:val="bullet"/>
      <w:lvlText w:val="•"/>
      <w:lvlJc w:val="left"/>
      <w:pPr>
        <w:ind w:left="4700" w:hanging="288"/>
      </w:pPr>
      <w:rPr>
        <w:rFonts w:hint="default"/>
        <w:lang w:val="en-US" w:eastAsia="en-US" w:bidi="ar-SA"/>
      </w:rPr>
    </w:lvl>
    <w:lvl w:ilvl="7" w:tplc="DD7A28DE">
      <w:numFmt w:val="bullet"/>
      <w:lvlText w:val="•"/>
      <w:lvlJc w:val="left"/>
      <w:pPr>
        <w:ind w:left="5393" w:hanging="288"/>
      </w:pPr>
      <w:rPr>
        <w:rFonts w:hint="default"/>
        <w:lang w:val="en-US" w:eastAsia="en-US" w:bidi="ar-SA"/>
      </w:rPr>
    </w:lvl>
    <w:lvl w:ilvl="8" w:tplc="11506F32">
      <w:numFmt w:val="bullet"/>
      <w:lvlText w:val="•"/>
      <w:lvlJc w:val="left"/>
      <w:pPr>
        <w:ind w:left="6087" w:hanging="288"/>
      </w:pPr>
      <w:rPr>
        <w:rFonts w:hint="default"/>
        <w:lang w:val="en-US" w:eastAsia="en-US" w:bidi="ar-SA"/>
      </w:rPr>
    </w:lvl>
  </w:abstractNum>
  <w:abstractNum w:abstractNumId="35" w15:restartNumberingAfterBreak="0">
    <w:nsid w:val="177B0D8E"/>
    <w:multiLevelType w:val="hybridMultilevel"/>
    <w:tmpl w:val="6CF0BFF0"/>
    <w:lvl w:ilvl="0" w:tplc="F426FD3C">
      <w:numFmt w:val="bullet"/>
      <w:lvlText w:val=""/>
      <w:lvlJc w:val="left"/>
      <w:pPr>
        <w:ind w:left="812" w:hanging="360"/>
      </w:pPr>
      <w:rPr>
        <w:rFonts w:ascii="Wingdings" w:eastAsia="Wingdings" w:hAnsi="Wingdings" w:cs="Wingdings" w:hint="default"/>
        <w:b w:val="0"/>
        <w:bCs w:val="0"/>
        <w:i w:val="0"/>
        <w:iCs w:val="0"/>
        <w:color w:val="0D0D0D"/>
        <w:spacing w:val="0"/>
        <w:w w:val="100"/>
        <w:sz w:val="24"/>
        <w:szCs w:val="24"/>
        <w:lang w:val="en-US" w:eastAsia="en-US" w:bidi="ar-SA"/>
      </w:rPr>
    </w:lvl>
    <w:lvl w:ilvl="1" w:tplc="9ACE6FD6">
      <w:numFmt w:val="bullet"/>
      <w:lvlText w:val="•"/>
      <w:lvlJc w:val="left"/>
      <w:pPr>
        <w:ind w:left="1035" w:hanging="360"/>
      </w:pPr>
      <w:rPr>
        <w:rFonts w:hint="default"/>
        <w:lang w:val="en-US" w:eastAsia="en-US" w:bidi="ar-SA"/>
      </w:rPr>
    </w:lvl>
    <w:lvl w:ilvl="2" w:tplc="F036DDDC">
      <w:numFmt w:val="bullet"/>
      <w:lvlText w:val="•"/>
      <w:lvlJc w:val="left"/>
      <w:pPr>
        <w:ind w:left="1251" w:hanging="360"/>
      </w:pPr>
      <w:rPr>
        <w:rFonts w:hint="default"/>
        <w:lang w:val="en-US" w:eastAsia="en-US" w:bidi="ar-SA"/>
      </w:rPr>
    </w:lvl>
    <w:lvl w:ilvl="3" w:tplc="F3A0C102">
      <w:numFmt w:val="bullet"/>
      <w:lvlText w:val="•"/>
      <w:lvlJc w:val="left"/>
      <w:pPr>
        <w:ind w:left="1467" w:hanging="360"/>
      </w:pPr>
      <w:rPr>
        <w:rFonts w:hint="default"/>
        <w:lang w:val="en-US" w:eastAsia="en-US" w:bidi="ar-SA"/>
      </w:rPr>
    </w:lvl>
    <w:lvl w:ilvl="4" w:tplc="DD825488">
      <w:numFmt w:val="bullet"/>
      <w:lvlText w:val="•"/>
      <w:lvlJc w:val="left"/>
      <w:pPr>
        <w:ind w:left="1683" w:hanging="360"/>
      </w:pPr>
      <w:rPr>
        <w:rFonts w:hint="default"/>
        <w:lang w:val="en-US" w:eastAsia="en-US" w:bidi="ar-SA"/>
      </w:rPr>
    </w:lvl>
    <w:lvl w:ilvl="5" w:tplc="49966456">
      <w:numFmt w:val="bullet"/>
      <w:lvlText w:val="•"/>
      <w:lvlJc w:val="left"/>
      <w:pPr>
        <w:ind w:left="1899" w:hanging="360"/>
      </w:pPr>
      <w:rPr>
        <w:rFonts w:hint="default"/>
        <w:lang w:val="en-US" w:eastAsia="en-US" w:bidi="ar-SA"/>
      </w:rPr>
    </w:lvl>
    <w:lvl w:ilvl="6" w:tplc="C4DE0620">
      <w:numFmt w:val="bullet"/>
      <w:lvlText w:val="•"/>
      <w:lvlJc w:val="left"/>
      <w:pPr>
        <w:ind w:left="2115" w:hanging="360"/>
      </w:pPr>
      <w:rPr>
        <w:rFonts w:hint="default"/>
        <w:lang w:val="en-US" w:eastAsia="en-US" w:bidi="ar-SA"/>
      </w:rPr>
    </w:lvl>
    <w:lvl w:ilvl="7" w:tplc="5B9609FA">
      <w:numFmt w:val="bullet"/>
      <w:lvlText w:val="•"/>
      <w:lvlJc w:val="left"/>
      <w:pPr>
        <w:ind w:left="2331" w:hanging="360"/>
      </w:pPr>
      <w:rPr>
        <w:rFonts w:hint="default"/>
        <w:lang w:val="en-US" w:eastAsia="en-US" w:bidi="ar-SA"/>
      </w:rPr>
    </w:lvl>
    <w:lvl w:ilvl="8" w:tplc="01686490">
      <w:numFmt w:val="bullet"/>
      <w:lvlText w:val="•"/>
      <w:lvlJc w:val="left"/>
      <w:pPr>
        <w:ind w:left="2547" w:hanging="360"/>
      </w:pPr>
      <w:rPr>
        <w:rFonts w:hint="default"/>
        <w:lang w:val="en-US" w:eastAsia="en-US" w:bidi="ar-SA"/>
      </w:rPr>
    </w:lvl>
  </w:abstractNum>
  <w:abstractNum w:abstractNumId="36" w15:restartNumberingAfterBreak="0">
    <w:nsid w:val="17942C0F"/>
    <w:multiLevelType w:val="hybridMultilevel"/>
    <w:tmpl w:val="CA56FFE2"/>
    <w:lvl w:ilvl="0" w:tplc="188CFF02">
      <w:start w:val="1"/>
      <w:numFmt w:val="lowerLetter"/>
      <w:lvlText w:val="%1)"/>
      <w:lvlJc w:val="left"/>
      <w:pPr>
        <w:ind w:left="568" w:hanging="288"/>
      </w:pPr>
      <w:rPr>
        <w:rFonts w:ascii="Arial" w:eastAsia="Arial" w:hAnsi="Arial" w:cs="Arial" w:hint="default"/>
        <w:b w:val="0"/>
        <w:bCs w:val="0"/>
        <w:i w:val="0"/>
        <w:iCs w:val="0"/>
        <w:spacing w:val="-1"/>
        <w:w w:val="100"/>
        <w:sz w:val="22"/>
        <w:szCs w:val="22"/>
        <w:lang w:val="en-US" w:eastAsia="en-US" w:bidi="ar-SA"/>
      </w:rPr>
    </w:lvl>
    <w:lvl w:ilvl="1" w:tplc="A96E5B9C">
      <w:numFmt w:val="bullet"/>
      <w:lvlText w:val="•"/>
      <w:lvlJc w:val="left"/>
      <w:pPr>
        <w:ind w:left="1251" w:hanging="288"/>
      </w:pPr>
      <w:rPr>
        <w:rFonts w:hint="default"/>
        <w:lang w:val="en-US" w:eastAsia="en-US" w:bidi="ar-SA"/>
      </w:rPr>
    </w:lvl>
    <w:lvl w:ilvl="2" w:tplc="09E88A5C">
      <w:numFmt w:val="bullet"/>
      <w:lvlText w:val="•"/>
      <w:lvlJc w:val="left"/>
      <w:pPr>
        <w:ind w:left="1942" w:hanging="288"/>
      </w:pPr>
      <w:rPr>
        <w:rFonts w:hint="default"/>
        <w:lang w:val="en-US" w:eastAsia="en-US" w:bidi="ar-SA"/>
      </w:rPr>
    </w:lvl>
    <w:lvl w:ilvl="3" w:tplc="6BE0E4DA">
      <w:numFmt w:val="bullet"/>
      <w:lvlText w:val="•"/>
      <w:lvlJc w:val="left"/>
      <w:pPr>
        <w:ind w:left="2634" w:hanging="288"/>
      </w:pPr>
      <w:rPr>
        <w:rFonts w:hint="default"/>
        <w:lang w:val="en-US" w:eastAsia="en-US" w:bidi="ar-SA"/>
      </w:rPr>
    </w:lvl>
    <w:lvl w:ilvl="4" w:tplc="3E665FD6">
      <w:numFmt w:val="bullet"/>
      <w:lvlText w:val="•"/>
      <w:lvlJc w:val="left"/>
      <w:pPr>
        <w:ind w:left="3325" w:hanging="288"/>
      </w:pPr>
      <w:rPr>
        <w:rFonts w:hint="default"/>
        <w:lang w:val="en-US" w:eastAsia="en-US" w:bidi="ar-SA"/>
      </w:rPr>
    </w:lvl>
    <w:lvl w:ilvl="5" w:tplc="01100D48">
      <w:numFmt w:val="bullet"/>
      <w:lvlText w:val="•"/>
      <w:lvlJc w:val="left"/>
      <w:pPr>
        <w:ind w:left="4017" w:hanging="288"/>
      </w:pPr>
      <w:rPr>
        <w:rFonts w:hint="default"/>
        <w:lang w:val="en-US" w:eastAsia="en-US" w:bidi="ar-SA"/>
      </w:rPr>
    </w:lvl>
    <w:lvl w:ilvl="6" w:tplc="FC284222">
      <w:numFmt w:val="bullet"/>
      <w:lvlText w:val="•"/>
      <w:lvlJc w:val="left"/>
      <w:pPr>
        <w:ind w:left="4708" w:hanging="288"/>
      </w:pPr>
      <w:rPr>
        <w:rFonts w:hint="default"/>
        <w:lang w:val="en-US" w:eastAsia="en-US" w:bidi="ar-SA"/>
      </w:rPr>
    </w:lvl>
    <w:lvl w:ilvl="7" w:tplc="8F2878BA">
      <w:numFmt w:val="bullet"/>
      <w:lvlText w:val="•"/>
      <w:lvlJc w:val="left"/>
      <w:pPr>
        <w:ind w:left="5399" w:hanging="288"/>
      </w:pPr>
      <w:rPr>
        <w:rFonts w:hint="default"/>
        <w:lang w:val="en-US" w:eastAsia="en-US" w:bidi="ar-SA"/>
      </w:rPr>
    </w:lvl>
    <w:lvl w:ilvl="8" w:tplc="0FF0E8DA">
      <w:numFmt w:val="bullet"/>
      <w:lvlText w:val="•"/>
      <w:lvlJc w:val="left"/>
      <w:pPr>
        <w:ind w:left="6091" w:hanging="288"/>
      </w:pPr>
      <w:rPr>
        <w:rFonts w:hint="default"/>
        <w:lang w:val="en-US" w:eastAsia="en-US" w:bidi="ar-SA"/>
      </w:rPr>
    </w:lvl>
  </w:abstractNum>
  <w:abstractNum w:abstractNumId="37" w15:restartNumberingAfterBreak="0">
    <w:nsid w:val="18CE4D9D"/>
    <w:multiLevelType w:val="hybridMultilevel"/>
    <w:tmpl w:val="790883E8"/>
    <w:lvl w:ilvl="0" w:tplc="D01443E2">
      <w:start w:val="19"/>
      <w:numFmt w:val="lowerLetter"/>
      <w:lvlText w:val="%1)"/>
      <w:lvlJc w:val="left"/>
      <w:pPr>
        <w:ind w:left="539" w:hanging="291"/>
      </w:pPr>
      <w:rPr>
        <w:rFonts w:ascii="Arial" w:eastAsia="Arial" w:hAnsi="Arial" w:cs="Arial" w:hint="default"/>
        <w:b w:val="0"/>
        <w:bCs w:val="0"/>
        <w:i w:val="0"/>
        <w:iCs w:val="0"/>
        <w:spacing w:val="0"/>
        <w:w w:val="99"/>
        <w:sz w:val="24"/>
        <w:szCs w:val="24"/>
        <w:lang w:val="en-US" w:eastAsia="en-US" w:bidi="ar-SA"/>
      </w:rPr>
    </w:lvl>
    <w:lvl w:ilvl="1" w:tplc="93D01018">
      <w:numFmt w:val="bullet"/>
      <w:lvlText w:val="•"/>
      <w:lvlJc w:val="left"/>
      <w:pPr>
        <w:ind w:left="1233" w:hanging="291"/>
      </w:pPr>
      <w:rPr>
        <w:rFonts w:hint="default"/>
        <w:lang w:val="en-US" w:eastAsia="en-US" w:bidi="ar-SA"/>
      </w:rPr>
    </w:lvl>
    <w:lvl w:ilvl="2" w:tplc="E46C87BA">
      <w:numFmt w:val="bullet"/>
      <w:lvlText w:val="•"/>
      <w:lvlJc w:val="left"/>
      <w:pPr>
        <w:ind w:left="1926" w:hanging="291"/>
      </w:pPr>
      <w:rPr>
        <w:rFonts w:hint="default"/>
        <w:lang w:val="en-US" w:eastAsia="en-US" w:bidi="ar-SA"/>
      </w:rPr>
    </w:lvl>
    <w:lvl w:ilvl="3" w:tplc="86DC3658">
      <w:numFmt w:val="bullet"/>
      <w:lvlText w:val="•"/>
      <w:lvlJc w:val="left"/>
      <w:pPr>
        <w:ind w:left="2620" w:hanging="291"/>
      </w:pPr>
      <w:rPr>
        <w:rFonts w:hint="default"/>
        <w:lang w:val="en-US" w:eastAsia="en-US" w:bidi="ar-SA"/>
      </w:rPr>
    </w:lvl>
    <w:lvl w:ilvl="4" w:tplc="2F346370">
      <w:numFmt w:val="bullet"/>
      <w:lvlText w:val="•"/>
      <w:lvlJc w:val="left"/>
      <w:pPr>
        <w:ind w:left="3313" w:hanging="291"/>
      </w:pPr>
      <w:rPr>
        <w:rFonts w:hint="default"/>
        <w:lang w:val="en-US" w:eastAsia="en-US" w:bidi="ar-SA"/>
      </w:rPr>
    </w:lvl>
    <w:lvl w:ilvl="5" w:tplc="5DC6F7EA">
      <w:numFmt w:val="bullet"/>
      <w:lvlText w:val="•"/>
      <w:lvlJc w:val="left"/>
      <w:pPr>
        <w:ind w:left="4007" w:hanging="291"/>
      </w:pPr>
      <w:rPr>
        <w:rFonts w:hint="default"/>
        <w:lang w:val="en-US" w:eastAsia="en-US" w:bidi="ar-SA"/>
      </w:rPr>
    </w:lvl>
    <w:lvl w:ilvl="6" w:tplc="6C68474E">
      <w:numFmt w:val="bullet"/>
      <w:lvlText w:val="•"/>
      <w:lvlJc w:val="left"/>
      <w:pPr>
        <w:ind w:left="4700" w:hanging="291"/>
      </w:pPr>
      <w:rPr>
        <w:rFonts w:hint="default"/>
        <w:lang w:val="en-US" w:eastAsia="en-US" w:bidi="ar-SA"/>
      </w:rPr>
    </w:lvl>
    <w:lvl w:ilvl="7" w:tplc="DB2CE6B4">
      <w:numFmt w:val="bullet"/>
      <w:lvlText w:val="•"/>
      <w:lvlJc w:val="left"/>
      <w:pPr>
        <w:ind w:left="5393" w:hanging="291"/>
      </w:pPr>
      <w:rPr>
        <w:rFonts w:hint="default"/>
        <w:lang w:val="en-US" w:eastAsia="en-US" w:bidi="ar-SA"/>
      </w:rPr>
    </w:lvl>
    <w:lvl w:ilvl="8" w:tplc="3A288BC4">
      <w:numFmt w:val="bullet"/>
      <w:lvlText w:val="•"/>
      <w:lvlJc w:val="left"/>
      <w:pPr>
        <w:ind w:left="6087" w:hanging="291"/>
      </w:pPr>
      <w:rPr>
        <w:rFonts w:hint="default"/>
        <w:lang w:val="en-US" w:eastAsia="en-US" w:bidi="ar-SA"/>
      </w:rPr>
    </w:lvl>
  </w:abstractNum>
  <w:abstractNum w:abstractNumId="38" w15:restartNumberingAfterBreak="0">
    <w:nsid w:val="19B748E1"/>
    <w:multiLevelType w:val="multilevel"/>
    <w:tmpl w:val="44AE43A2"/>
    <w:lvl w:ilvl="0">
      <w:start w:val="1"/>
      <w:numFmt w:val="decimal"/>
      <w:lvlRestart w:val="0"/>
      <w:pStyle w:val="DfES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39" w15:restartNumberingAfterBreak="0">
    <w:nsid w:val="19FC1F88"/>
    <w:multiLevelType w:val="hybridMultilevel"/>
    <w:tmpl w:val="A454D3D4"/>
    <w:lvl w:ilvl="0" w:tplc="E3AAA450">
      <w:start w:val="1"/>
      <w:numFmt w:val="lowerLetter"/>
      <w:lvlText w:val="(%1)"/>
      <w:lvlJc w:val="left"/>
      <w:pPr>
        <w:ind w:left="1494" w:hanging="428"/>
      </w:pPr>
      <w:rPr>
        <w:rFonts w:ascii="Calibri" w:eastAsia="Calibri" w:hAnsi="Calibri" w:cs="Calibri" w:hint="default"/>
        <w:b w:val="0"/>
        <w:bCs w:val="0"/>
        <w:i w:val="0"/>
        <w:iCs w:val="0"/>
        <w:spacing w:val="-1"/>
        <w:w w:val="100"/>
        <w:sz w:val="24"/>
        <w:szCs w:val="24"/>
        <w:lang w:val="en-US" w:eastAsia="en-US" w:bidi="ar-SA"/>
      </w:rPr>
    </w:lvl>
    <w:lvl w:ilvl="1" w:tplc="18DE4558">
      <w:numFmt w:val="bullet"/>
      <w:lvlText w:val="•"/>
      <w:lvlJc w:val="left"/>
      <w:pPr>
        <w:ind w:left="2536" w:hanging="428"/>
      </w:pPr>
      <w:rPr>
        <w:rFonts w:hint="default"/>
        <w:lang w:val="en-US" w:eastAsia="en-US" w:bidi="ar-SA"/>
      </w:rPr>
    </w:lvl>
    <w:lvl w:ilvl="2" w:tplc="AF7EFF3C">
      <w:numFmt w:val="bullet"/>
      <w:lvlText w:val="•"/>
      <w:lvlJc w:val="left"/>
      <w:pPr>
        <w:ind w:left="3573" w:hanging="428"/>
      </w:pPr>
      <w:rPr>
        <w:rFonts w:hint="default"/>
        <w:lang w:val="en-US" w:eastAsia="en-US" w:bidi="ar-SA"/>
      </w:rPr>
    </w:lvl>
    <w:lvl w:ilvl="3" w:tplc="3CB2CD7A">
      <w:numFmt w:val="bullet"/>
      <w:lvlText w:val="•"/>
      <w:lvlJc w:val="left"/>
      <w:pPr>
        <w:ind w:left="4609" w:hanging="428"/>
      </w:pPr>
      <w:rPr>
        <w:rFonts w:hint="default"/>
        <w:lang w:val="en-US" w:eastAsia="en-US" w:bidi="ar-SA"/>
      </w:rPr>
    </w:lvl>
    <w:lvl w:ilvl="4" w:tplc="7A161062">
      <w:numFmt w:val="bullet"/>
      <w:lvlText w:val="•"/>
      <w:lvlJc w:val="left"/>
      <w:pPr>
        <w:ind w:left="5646" w:hanging="428"/>
      </w:pPr>
      <w:rPr>
        <w:rFonts w:hint="default"/>
        <w:lang w:val="en-US" w:eastAsia="en-US" w:bidi="ar-SA"/>
      </w:rPr>
    </w:lvl>
    <w:lvl w:ilvl="5" w:tplc="E47C2996">
      <w:numFmt w:val="bullet"/>
      <w:lvlText w:val="•"/>
      <w:lvlJc w:val="left"/>
      <w:pPr>
        <w:ind w:left="6683" w:hanging="428"/>
      </w:pPr>
      <w:rPr>
        <w:rFonts w:hint="default"/>
        <w:lang w:val="en-US" w:eastAsia="en-US" w:bidi="ar-SA"/>
      </w:rPr>
    </w:lvl>
    <w:lvl w:ilvl="6" w:tplc="C4AA5094">
      <w:numFmt w:val="bullet"/>
      <w:lvlText w:val="•"/>
      <w:lvlJc w:val="left"/>
      <w:pPr>
        <w:ind w:left="7719" w:hanging="428"/>
      </w:pPr>
      <w:rPr>
        <w:rFonts w:hint="default"/>
        <w:lang w:val="en-US" w:eastAsia="en-US" w:bidi="ar-SA"/>
      </w:rPr>
    </w:lvl>
    <w:lvl w:ilvl="7" w:tplc="C40EF4F6">
      <w:numFmt w:val="bullet"/>
      <w:lvlText w:val="•"/>
      <w:lvlJc w:val="left"/>
      <w:pPr>
        <w:ind w:left="8756" w:hanging="428"/>
      </w:pPr>
      <w:rPr>
        <w:rFonts w:hint="default"/>
        <w:lang w:val="en-US" w:eastAsia="en-US" w:bidi="ar-SA"/>
      </w:rPr>
    </w:lvl>
    <w:lvl w:ilvl="8" w:tplc="1292B5C0">
      <w:numFmt w:val="bullet"/>
      <w:lvlText w:val="•"/>
      <w:lvlJc w:val="left"/>
      <w:pPr>
        <w:ind w:left="9793" w:hanging="428"/>
      </w:pPr>
      <w:rPr>
        <w:rFonts w:hint="default"/>
        <w:lang w:val="en-US" w:eastAsia="en-US" w:bidi="ar-SA"/>
      </w:rPr>
    </w:lvl>
  </w:abstractNum>
  <w:abstractNum w:abstractNumId="40" w15:restartNumberingAfterBreak="0">
    <w:nsid w:val="1A4A4EC6"/>
    <w:multiLevelType w:val="hybridMultilevel"/>
    <w:tmpl w:val="74509544"/>
    <w:lvl w:ilvl="0" w:tplc="CB727640">
      <w:numFmt w:val="bullet"/>
      <w:lvlText w:val=""/>
      <w:lvlJc w:val="left"/>
      <w:pPr>
        <w:ind w:left="816" w:hanging="360"/>
      </w:pPr>
      <w:rPr>
        <w:rFonts w:ascii="Wingdings" w:eastAsia="Wingdings" w:hAnsi="Wingdings" w:cs="Wingdings" w:hint="default"/>
        <w:b w:val="0"/>
        <w:bCs w:val="0"/>
        <w:i w:val="0"/>
        <w:iCs w:val="0"/>
        <w:color w:val="0D0D0D"/>
        <w:spacing w:val="0"/>
        <w:w w:val="100"/>
        <w:sz w:val="24"/>
        <w:szCs w:val="24"/>
        <w:lang w:val="en-US" w:eastAsia="en-US" w:bidi="ar-SA"/>
      </w:rPr>
    </w:lvl>
    <w:lvl w:ilvl="1" w:tplc="1682E716">
      <w:numFmt w:val="bullet"/>
      <w:lvlText w:val="•"/>
      <w:lvlJc w:val="left"/>
      <w:pPr>
        <w:ind w:left="961" w:hanging="360"/>
      </w:pPr>
      <w:rPr>
        <w:rFonts w:hint="default"/>
        <w:lang w:val="en-US" w:eastAsia="en-US" w:bidi="ar-SA"/>
      </w:rPr>
    </w:lvl>
    <w:lvl w:ilvl="2" w:tplc="CB96ADA0">
      <w:numFmt w:val="bullet"/>
      <w:lvlText w:val="•"/>
      <w:lvlJc w:val="left"/>
      <w:pPr>
        <w:ind w:left="1102" w:hanging="360"/>
      </w:pPr>
      <w:rPr>
        <w:rFonts w:hint="default"/>
        <w:lang w:val="en-US" w:eastAsia="en-US" w:bidi="ar-SA"/>
      </w:rPr>
    </w:lvl>
    <w:lvl w:ilvl="3" w:tplc="3D52D22C">
      <w:numFmt w:val="bullet"/>
      <w:lvlText w:val="•"/>
      <w:lvlJc w:val="left"/>
      <w:pPr>
        <w:ind w:left="1243" w:hanging="360"/>
      </w:pPr>
      <w:rPr>
        <w:rFonts w:hint="default"/>
        <w:lang w:val="en-US" w:eastAsia="en-US" w:bidi="ar-SA"/>
      </w:rPr>
    </w:lvl>
    <w:lvl w:ilvl="4" w:tplc="5B02EDBC">
      <w:numFmt w:val="bullet"/>
      <w:lvlText w:val="•"/>
      <w:lvlJc w:val="left"/>
      <w:pPr>
        <w:ind w:left="1385" w:hanging="360"/>
      </w:pPr>
      <w:rPr>
        <w:rFonts w:hint="default"/>
        <w:lang w:val="en-US" w:eastAsia="en-US" w:bidi="ar-SA"/>
      </w:rPr>
    </w:lvl>
    <w:lvl w:ilvl="5" w:tplc="F1E0BB2C">
      <w:numFmt w:val="bullet"/>
      <w:lvlText w:val="•"/>
      <w:lvlJc w:val="left"/>
      <w:pPr>
        <w:ind w:left="1526" w:hanging="360"/>
      </w:pPr>
      <w:rPr>
        <w:rFonts w:hint="default"/>
        <w:lang w:val="en-US" w:eastAsia="en-US" w:bidi="ar-SA"/>
      </w:rPr>
    </w:lvl>
    <w:lvl w:ilvl="6" w:tplc="19DA350A">
      <w:numFmt w:val="bullet"/>
      <w:lvlText w:val="•"/>
      <w:lvlJc w:val="left"/>
      <w:pPr>
        <w:ind w:left="1667" w:hanging="360"/>
      </w:pPr>
      <w:rPr>
        <w:rFonts w:hint="default"/>
        <w:lang w:val="en-US" w:eastAsia="en-US" w:bidi="ar-SA"/>
      </w:rPr>
    </w:lvl>
    <w:lvl w:ilvl="7" w:tplc="2EF83CE4">
      <w:numFmt w:val="bullet"/>
      <w:lvlText w:val="•"/>
      <w:lvlJc w:val="left"/>
      <w:pPr>
        <w:ind w:left="1809" w:hanging="360"/>
      </w:pPr>
      <w:rPr>
        <w:rFonts w:hint="default"/>
        <w:lang w:val="en-US" w:eastAsia="en-US" w:bidi="ar-SA"/>
      </w:rPr>
    </w:lvl>
    <w:lvl w:ilvl="8" w:tplc="689EE820">
      <w:numFmt w:val="bullet"/>
      <w:lvlText w:val="•"/>
      <w:lvlJc w:val="left"/>
      <w:pPr>
        <w:ind w:left="1950" w:hanging="360"/>
      </w:pPr>
      <w:rPr>
        <w:rFonts w:hint="default"/>
        <w:lang w:val="en-US" w:eastAsia="en-US" w:bidi="ar-SA"/>
      </w:rPr>
    </w:lvl>
  </w:abstractNum>
  <w:abstractNum w:abstractNumId="41" w15:restartNumberingAfterBreak="0">
    <w:nsid w:val="1AB65C3D"/>
    <w:multiLevelType w:val="hybridMultilevel"/>
    <w:tmpl w:val="A5E243AA"/>
    <w:lvl w:ilvl="0" w:tplc="2C041402">
      <w:start w:val="1"/>
      <w:numFmt w:val="lowerLetter"/>
      <w:lvlText w:val="(%1)"/>
      <w:lvlJc w:val="left"/>
      <w:pPr>
        <w:ind w:left="1494" w:hanging="428"/>
      </w:pPr>
      <w:rPr>
        <w:rFonts w:ascii="Calibri" w:eastAsia="Calibri" w:hAnsi="Calibri" w:cs="Calibri" w:hint="default"/>
        <w:b w:val="0"/>
        <w:bCs w:val="0"/>
        <w:i w:val="0"/>
        <w:iCs w:val="0"/>
        <w:spacing w:val="-1"/>
        <w:w w:val="100"/>
        <w:sz w:val="24"/>
        <w:szCs w:val="24"/>
        <w:lang w:val="en-US" w:eastAsia="en-US" w:bidi="ar-SA"/>
      </w:rPr>
    </w:lvl>
    <w:lvl w:ilvl="1" w:tplc="DBDC30CC">
      <w:numFmt w:val="bullet"/>
      <w:lvlText w:val="•"/>
      <w:lvlJc w:val="left"/>
      <w:pPr>
        <w:ind w:left="2536" w:hanging="428"/>
      </w:pPr>
      <w:rPr>
        <w:rFonts w:hint="default"/>
        <w:lang w:val="en-US" w:eastAsia="en-US" w:bidi="ar-SA"/>
      </w:rPr>
    </w:lvl>
    <w:lvl w:ilvl="2" w:tplc="5EE04AF8">
      <w:numFmt w:val="bullet"/>
      <w:lvlText w:val="•"/>
      <w:lvlJc w:val="left"/>
      <w:pPr>
        <w:ind w:left="3573" w:hanging="428"/>
      </w:pPr>
      <w:rPr>
        <w:rFonts w:hint="default"/>
        <w:lang w:val="en-US" w:eastAsia="en-US" w:bidi="ar-SA"/>
      </w:rPr>
    </w:lvl>
    <w:lvl w:ilvl="3" w:tplc="936C1346">
      <w:numFmt w:val="bullet"/>
      <w:lvlText w:val="•"/>
      <w:lvlJc w:val="left"/>
      <w:pPr>
        <w:ind w:left="4609" w:hanging="428"/>
      </w:pPr>
      <w:rPr>
        <w:rFonts w:hint="default"/>
        <w:lang w:val="en-US" w:eastAsia="en-US" w:bidi="ar-SA"/>
      </w:rPr>
    </w:lvl>
    <w:lvl w:ilvl="4" w:tplc="A1B8A8CC">
      <w:numFmt w:val="bullet"/>
      <w:lvlText w:val="•"/>
      <w:lvlJc w:val="left"/>
      <w:pPr>
        <w:ind w:left="5646" w:hanging="428"/>
      </w:pPr>
      <w:rPr>
        <w:rFonts w:hint="default"/>
        <w:lang w:val="en-US" w:eastAsia="en-US" w:bidi="ar-SA"/>
      </w:rPr>
    </w:lvl>
    <w:lvl w:ilvl="5" w:tplc="413E5184">
      <w:numFmt w:val="bullet"/>
      <w:lvlText w:val="•"/>
      <w:lvlJc w:val="left"/>
      <w:pPr>
        <w:ind w:left="6683" w:hanging="428"/>
      </w:pPr>
      <w:rPr>
        <w:rFonts w:hint="default"/>
        <w:lang w:val="en-US" w:eastAsia="en-US" w:bidi="ar-SA"/>
      </w:rPr>
    </w:lvl>
    <w:lvl w:ilvl="6" w:tplc="910C01B8">
      <w:numFmt w:val="bullet"/>
      <w:lvlText w:val="•"/>
      <w:lvlJc w:val="left"/>
      <w:pPr>
        <w:ind w:left="7719" w:hanging="428"/>
      </w:pPr>
      <w:rPr>
        <w:rFonts w:hint="default"/>
        <w:lang w:val="en-US" w:eastAsia="en-US" w:bidi="ar-SA"/>
      </w:rPr>
    </w:lvl>
    <w:lvl w:ilvl="7" w:tplc="5F440BD8">
      <w:numFmt w:val="bullet"/>
      <w:lvlText w:val="•"/>
      <w:lvlJc w:val="left"/>
      <w:pPr>
        <w:ind w:left="8756" w:hanging="428"/>
      </w:pPr>
      <w:rPr>
        <w:rFonts w:hint="default"/>
        <w:lang w:val="en-US" w:eastAsia="en-US" w:bidi="ar-SA"/>
      </w:rPr>
    </w:lvl>
    <w:lvl w:ilvl="8" w:tplc="B79456A0">
      <w:numFmt w:val="bullet"/>
      <w:lvlText w:val="•"/>
      <w:lvlJc w:val="left"/>
      <w:pPr>
        <w:ind w:left="9793" w:hanging="428"/>
      </w:pPr>
      <w:rPr>
        <w:rFonts w:hint="default"/>
        <w:lang w:val="en-US" w:eastAsia="en-US" w:bidi="ar-SA"/>
      </w:rPr>
    </w:lvl>
  </w:abstractNum>
  <w:abstractNum w:abstractNumId="42" w15:restartNumberingAfterBreak="0">
    <w:nsid w:val="1BC462D5"/>
    <w:multiLevelType w:val="multilevel"/>
    <w:tmpl w:val="A6AA37CE"/>
    <w:lvl w:ilvl="0">
      <w:start w:val="1"/>
      <w:numFmt w:val="decimal"/>
      <w:lvlText w:val="%1"/>
      <w:lvlJc w:val="left"/>
      <w:pPr>
        <w:ind w:left="1760" w:hanging="404"/>
      </w:pPr>
      <w:rPr>
        <w:rFonts w:hint="default"/>
        <w:lang w:val="en-US" w:eastAsia="en-US" w:bidi="ar-SA"/>
      </w:rPr>
    </w:lvl>
    <w:lvl w:ilvl="1">
      <w:start w:val="1"/>
      <w:numFmt w:val="decimal"/>
      <w:lvlText w:val="%1.%2"/>
      <w:lvlJc w:val="left"/>
      <w:pPr>
        <w:ind w:left="1760" w:hanging="404"/>
      </w:pPr>
      <w:rPr>
        <w:rFonts w:ascii="Arial" w:eastAsia="Arial" w:hAnsi="Arial" w:cs="Arial" w:hint="default"/>
        <w:b w:val="0"/>
        <w:bCs w:val="0"/>
        <w:i w:val="0"/>
        <w:iCs w:val="0"/>
        <w:spacing w:val="0"/>
        <w:w w:val="100"/>
        <w:sz w:val="24"/>
        <w:szCs w:val="24"/>
        <w:lang w:val="en-US" w:eastAsia="en-US" w:bidi="ar-SA"/>
      </w:rPr>
    </w:lvl>
    <w:lvl w:ilvl="2">
      <w:numFmt w:val="bullet"/>
      <w:lvlText w:val="•"/>
      <w:lvlJc w:val="left"/>
      <w:pPr>
        <w:ind w:left="3781" w:hanging="404"/>
      </w:pPr>
      <w:rPr>
        <w:rFonts w:hint="default"/>
        <w:lang w:val="en-US" w:eastAsia="en-US" w:bidi="ar-SA"/>
      </w:rPr>
    </w:lvl>
    <w:lvl w:ilvl="3">
      <w:numFmt w:val="bullet"/>
      <w:lvlText w:val="•"/>
      <w:lvlJc w:val="left"/>
      <w:pPr>
        <w:ind w:left="4791" w:hanging="404"/>
      </w:pPr>
      <w:rPr>
        <w:rFonts w:hint="default"/>
        <w:lang w:val="en-US" w:eastAsia="en-US" w:bidi="ar-SA"/>
      </w:rPr>
    </w:lvl>
    <w:lvl w:ilvl="4">
      <w:numFmt w:val="bullet"/>
      <w:lvlText w:val="•"/>
      <w:lvlJc w:val="left"/>
      <w:pPr>
        <w:ind w:left="5802" w:hanging="404"/>
      </w:pPr>
      <w:rPr>
        <w:rFonts w:hint="default"/>
        <w:lang w:val="en-US" w:eastAsia="en-US" w:bidi="ar-SA"/>
      </w:rPr>
    </w:lvl>
    <w:lvl w:ilvl="5">
      <w:numFmt w:val="bullet"/>
      <w:lvlText w:val="•"/>
      <w:lvlJc w:val="left"/>
      <w:pPr>
        <w:ind w:left="6813" w:hanging="404"/>
      </w:pPr>
      <w:rPr>
        <w:rFonts w:hint="default"/>
        <w:lang w:val="en-US" w:eastAsia="en-US" w:bidi="ar-SA"/>
      </w:rPr>
    </w:lvl>
    <w:lvl w:ilvl="6">
      <w:numFmt w:val="bullet"/>
      <w:lvlText w:val="•"/>
      <w:lvlJc w:val="left"/>
      <w:pPr>
        <w:ind w:left="7823" w:hanging="404"/>
      </w:pPr>
      <w:rPr>
        <w:rFonts w:hint="default"/>
        <w:lang w:val="en-US" w:eastAsia="en-US" w:bidi="ar-SA"/>
      </w:rPr>
    </w:lvl>
    <w:lvl w:ilvl="7">
      <w:numFmt w:val="bullet"/>
      <w:lvlText w:val="•"/>
      <w:lvlJc w:val="left"/>
      <w:pPr>
        <w:ind w:left="8834" w:hanging="404"/>
      </w:pPr>
      <w:rPr>
        <w:rFonts w:hint="default"/>
        <w:lang w:val="en-US" w:eastAsia="en-US" w:bidi="ar-SA"/>
      </w:rPr>
    </w:lvl>
    <w:lvl w:ilvl="8">
      <w:numFmt w:val="bullet"/>
      <w:lvlText w:val="•"/>
      <w:lvlJc w:val="left"/>
      <w:pPr>
        <w:ind w:left="9845" w:hanging="404"/>
      </w:pPr>
      <w:rPr>
        <w:rFonts w:hint="default"/>
        <w:lang w:val="en-US" w:eastAsia="en-US" w:bidi="ar-SA"/>
      </w:rPr>
    </w:lvl>
  </w:abstractNum>
  <w:abstractNum w:abstractNumId="43" w15:restartNumberingAfterBreak="0">
    <w:nsid w:val="1BD9064F"/>
    <w:multiLevelType w:val="multilevel"/>
    <w:tmpl w:val="812AB21C"/>
    <w:lvl w:ilvl="0">
      <w:start w:val="3"/>
      <w:numFmt w:val="decimal"/>
      <w:lvlText w:val="%1"/>
      <w:lvlJc w:val="left"/>
      <w:pPr>
        <w:ind w:left="1044" w:hanging="838"/>
      </w:pPr>
      <w:rPr>
        <w:rFonts w:hint="default"/>
        <w:lang w:val="en-US" w:eastAsia="en-US" w:bidi="ar-SA"/>
      </w:rPr>
    </w:lvl>
    <w:lvl w:ilvl="1">
      <w:start w:val="1"/>
      <w:numFmt w:val="decimal"/>
      <w:lvlText w:val="%1.%2"/>
      <w:lvlJc w:val="left"/>
      <w:pPr>
        <w:ind w:left="1044" w:hanging="838"/>
      </w:pPr>
      <w:rPr>
        <w:rFonts w:hint="default"/>
        <w:lang w:val="en-US" w:eastAsia="en-US" w:bidi="ar-SA"/>
      </w:rPr>
    </w:lvl>
    <w:lvl w:ilvl="2">
      <w:start w:val="1"/>
      <w:numFmt w:val="decimal"/>
      <w:lvlText w:val="%1.%2.%3"/>
      <w:lvlJc w:val="left"/>
      <w:pPr>
        <w:ind w:left="1044" w:hanging="838"/>
      </w:pPr>
      <w:rPr>
        <w:rFonts w:ascii="Arial" w:eastAsia="Arial" w:hAnsi="Arial" w:cs="Arial" w:hint="default"/>
        <w:b w:val="0"/>
        <w:bCs w:val="0"/>
        <w:i w:val="0"/>
        <w:iCs w:val="0"/>
        <w:spacing w:val="-2"/>
        <w:w w:val="100"/>
        <w:sz w:val="18"/>
        <w:szCs w:val="18"/>
        <w:lang w:val="en-US" w:eastAsia="en-US" w:bidi="ar-SA"/>
      </w:rPr>
    </w:lvl>
    <w:lvl w:ilvl="3">
      <w:numFmt w:val="bullet"/>
      <w:lvlText w:val="•"/>
      <w:lvlJc w:val="left"/>
      <w:pPr>
        <w:ind w:left="4287" w:hanging="838"/>
      </w:pPr>
      <w:rPr>
        <w:rFonts w:hint="default"/>
        <w:lang w:val="en-US" w:eastAsia="en-US" w:bidi="ar-SA"/>
      </w:rPr>
    </w:lvl>
    <w:lvl w:ilvl="4">
      <w:numFmt w:val="bullet"/>
      <w:lvlText w:val="•"/>
      <w:lvlJc w:val="left"/>
      <w:pPr>
        <w:ind w:left="5370" w:hanging="838"/>
      </w:pPr>
      <w:rPr>
        <w:rFonts w:hint="default"/>
        <w:lang w:val="en-US" w:eastAsia="en-US" w:bidi="ar-SA"/>
      </w:rPr>
    </w:lvl>
    <w:lvl w:ilvl="5">
      <w:numFmt w:val="bullet"/>
      <w:lvlText w:val="•"/>
      <w:lvlJc w:val="left"/>
      <w:pPr>
        <w:ind w:left="6453" w:hanging="838"/>
      </w:pPr>
      <w:rPr>
        <w:rFonts w:hint="default"/>
        <w:lang w:val="en-US" w:eastAsia="en-US" w:bidi="ar-SA"/>
      </w:rPr>
    </w:lvl>
    <w:lvl w:ilvl="6">
      <w:numFmt w:val="bullet"/>
      <w:lvlText w:val="•"/>
      <w:lvlJc w:val="left"/>
      <w:pPr>
        <w:ind w:left="7535" w:hanging="838"/>
      </w:pPr>
      <w:rPr>
        <w:rFonts w:hint="default"/>
        <w:lang w:val="en-US" w:eastAsia="en-US" w:bidi="ar-SA"/>
      </w:rPr>
    </w:lvl>
    <w:lvl w:ilvl="7">
      <w:numFmt w:val="bullet"/>
      <w:lvlText w:val="•"/>
      <w:lvlJc w:val="left"/>
      <w:pPr>
        <w:ind w:left="8618" w:hanging="838"/>
      </w:pPr>
      <w:rPr>
        <w:rFonts w:hint="default"/>
        <w:lang w:val="en-US" w:eastAsia="en-US" w:bidi="ar-SA"/>
      </w:rPr>
    </w:lvl>
    <w:lvl w:ilvl="8">
      <w:numFmt w:val="bullet"/>
      <w:lvlText w:val="•"/>
      <w:lvlJc w:val="left"/>
      <w:pPr>
        <w:ind w:left="9701" w:hanging="838"/>
      </w:pPr>
      <w:rPr>
        <w:rFonts w:hint="default"/>
        <w:lang w:val="en-US" w:eastAsia="en-US" w:bidi="ar-SA"/>
      </w:rPr>
    </w:lvl>
  </w:abstractNum>
  <w:abstractNum w:abstractNumId="44" w15:restartNumberingAfterBreak="0">
    <w:nsid w:val="1D0B5FD8"/>
    <w:multiLevelType w:val="hybridMultilevel"/>
    <w:tmpl w:val="63C4BECA"/>
    <w:lvl w:ilvl="0" w:tplc="BD54CCAC">
      <w:start w:val="1"/>
      <w:numFmt w:val="lowerRoman"/>
      <w:lvlText w:val="%1."/>
      <w:lvlJc w:val="left"/>
      <w:pPr>
        <w:ind w:left="1692" w:hanging="476"/>
        <w:jc w:val="right"/>
      </w:pPr>
      <w:rPr>
        <w:rFonts w:ascii="Arial" w:eastAsia="Arial" w:hAnsi="Arial" w:cs="Arial" w:hint="default"/>
        <w:b w:val="0"/>
        <w:bCs w:val="0"/>
        <w:i w:val="0"/>
        <w:iCs w:val="0"/>
        <w:spacing w:val="-1"/>
        <w:w w:val="100"/>
        <w:sz w:val="24"/>
        <w:szCs w:val="24"/>
        <w:lang w:val="en-US" w:eastAsia="en-US" w:bidi="ar-SA"/>
      </w:rPr>
    </w:lvl>
    <w:lvl w:ilvl="1" w:tplc="84649382">
      <w:numFmt w:val="bullet"/>
      <w:lvlText w:val="•"/>
      <w:lvlJc w:val="left"/>
      <w:pPr>
        <w:ind w:left="2632" w:hanging="476"/>
      </w:pPr>
      <w:rPr>
        <w:rFonts w:hint="default"/>
        <w:lang w:val="en-US" w:eastAsia="en-US" w:bidi="ar-SA"/>
      </w:rPr>
    </w:lvl>
    <w:lvl w:ilvl="2" w:tplc="53C2A3B0">
      <w:numFmt w:val="bullet"/>
      <w:lvlText w:val="•"/>
      <w:lvlJc w:val="left"/>
      <w:pPr>
        <w:ind w:left="3565" w:hanging="476"/>
      </w:pPr>
      <w:rPr>
        <w:rFonts w:hint="default"/>
        <w:lang w:val="en-US" w:eastAsia="en-US" w:bidi="ar-SA"/>
      </w:rPr>
    </w:lvl>
    <w:lvl w:ilvl="3" w:tplc="26BC6694">
      <w:numFmt w:val="bullet"/>
      <w:lvlText w:val="•"/>
      <w:lvlJc w:val="left"/>
      <w:pPr>
        <w:ind w:left="4497" w:hanging="476"/>
      </w:pPr>
      <w:rPr>
        <w:rFonts w:hint="default"/>
        <w:lang w:val="en-US" w:eastAsia="en-US" w:bidi="ar-SA"/>
      </w:rPr>
    </w:lvl>
    <w:lvl w:ilvl="4" w:tplc="DAB632B0">
      <w:numFmt w:val="bullet"/>
      <w:lvlText w:val="•"/>
      <w:lvlJc w:val="left"/>
      <w:pPr>
        <w:ind w:left="5430" w:hanging="476"/>
      </w:pPr>
      <w:rPr>
        <w:rFonts w:hint="default"/>
        <w:lang w:val="en-US" w:eastAsia="en-US" w:bidi="ar-SA"/>
      </w:rPr>
    </w:lvl>
    <w:lvl w:ilvl="5" w:tplc="F1F4C7DC">
      <w:numFmt w:val="bullet"/>
      <w:lvlText w:val="•"/>
      <w:lvlJc w:val="left"/>
      <w:pPr>
        <w:ind w:left="6363" w:hanging="476"/>
      </w:pPr>
      <w:rPr>
        <w:rFonts w:hint="default"/>
        <w:lang w:val="en-US" w:eastAsia="en-US" w:bidi="ar-SA"/>
      </w:rPr>
    </w:lvl>
    <w:lvl w:ilvl="6" w:tplc="CEAE8658">
      <w:numFmt w:val="bullet"/>
      <w:lvlText w:val="•"/>
      <w:lvlJc w:val="left"/>
      <w:pPr>
        <w:ind w:left="7295" w:hanging="476"/>
      </w:pPr>
      <w:rPr>
        <w:rFonts w:hint="default"/>
        <w:lang w:val="en-US" w:eastAsia="en-US" w:bidi="ar-SA"/>
      </w:rPr>
    </w:lvl>
    <w:lvl w:ilvl="7" w:tplc="85CA2CA4">
      <w:numFmt w:val="bullet"/>
      <w:lvlText w:val="•"/>
      <w:lvlJc w:val="left"/>
      <w:pPr>
        <w:ind w:left="8228" w:hanging="476"/>
      </w:pPr>
      <w:rPr>
        <w:rFonts w:hint="default"/>
        <w:lang w:val="en-US" w:eastAsia="en-US" w:bidi="ar-SA"/>
      </w:rPr>
    </w:lvl>
    <w:lvl w:ilvl="8" w:tplc="F49EF17C">
      <w:numFmt w:val="bullet"/>
      <w:lvlText w:val="•"/>
      <w:lvlJc w:val="left"/>
      <w:pPr>
        <w:ind w:left="9161" w:hanging="476"/>
      </w:pPr>
      <w:rPr>
        <w:rFonts w:hint="default"/>
        <w:lang w:val="en-US" w:eastAsia="en-US" w:bidi="ar-SA"/>
      </w:rPr>
    </w:lvl>
  </w:abstractNum>
  <w:abstractNum w:abstractNumId="45" w15:restartNumberingAfterBreak="0">
    <w:nsid w:val="1DA86B65"/>
    <w:multiLevelType w:val="hybridMultilevel"/>
    <w:tmpl w:val="ACE6815C"/>
    <w:lvl w:ilvl="0" w:tplc="2A1CEB06">
      <w:numFmt w:val="bullet"/>
      <w:lvlText w:val=""/>
      <w:lvlJc w:val="left"/>
      <w:pPr>
        <w:ind w:left="2189" w:hanging="360"/>
      </w:pPr>
      <w:rPr>
        <w:rFonts w:ascii="Symbol" w:eastAsia="Symbol" w:hAnsi="Symbol" w:cs="Symbol" w:hint="default"/>
        <w:b w:val="0"/>
        <w:bCs w:val="0"/>
        <w:i w:val="0"/>
        <w:iCs w:val="0"/>
        <w:spacing w:val="0"/>
        <w:w w:val="100"/>
        <w:sz w:val="24"/>
        <w:szCs w:val="24"/>
        <w:lang w:val="en-US" w:eastAsia="en-US" w:bidi="ar-SA"/>
      </w:rPr>
    </w:lvl>
    <w:lvl w:ilvl="1" w:tplc="C1FC9AD6">
      <w:numFmt w:val="bullet"/>
      <w:lvlText w:val="•"/>
      <w:lvlJc w:val="left"/>
      <w:pPr>
        <w:ind w:left="3148" w:hanging="360"/>
      </w:pPr>
      <w:rPr>
        <w:rFonts w:hint="default"/>
        <w:lang w:val="en-US" w:eastAsia="en-US" w:bidi="ar-SA"/>
      </w:rPr>
    </w:lvl>
    <w:lvl w:ilvl="2" w:tplc="73E22558">
      <w:numFmt w:val="bullet"/>
      <w:lvlText w:val="•"/>
      <w:lvlJc w:val="left"/>
      <w:pPr>
        <w:ind w:left="4117" w:hanging="360"/>
      </w:pPr>
      <w:rPr>
        <w:rFonts w:hint="default"/>
        <w:lang w:val="en-US" w:eastAsia="en-US" w:bidi="ar-SA"/>
      </w:rPr>
    </w:lvl>
    <w:lvl w:ilvl="3" w:tplc="09007E7C">
      <w:numFmt w:val="bullet"/>
      <w:lvlText w:val="•"/>
      <w:lvlJc w:val="left"/>
      <w:pPr>
        <w:ind w:left="5085" w:hanging="360"/>
      </w:pPr>
      <w:rPr>
        <w:rFonts w:hint="default"/>
        <w:lang w:val="en-US" w:eastAsia="en-US" w:bidi="ar-SA"/>
      </w:rPr>
    </w:lvl>
    <w:lvl w:ilvl="4" w:tplc="BD4EF05C">
      <w:numFmt w:val="bullet"/>
      <w:lvlText w:val="•"/>
      <w:lvlJc w:val="left"/>
      <w:pPr>
        <w:ind w:left="6054" w:hanging="360"/>
      </w:pPr>
      <w:rPr>
        <w:rFonts w:hint="default"/>
        <w:lang w:val="en-US" w:eastAsia="en-US" w:bidi="ar-SA"/>
      </w:rPr>
    </w:lvl>
    <w:lvl w:ilvl="5" w:tplc="B462CA4A">
      <w:numFmt w:val="bullet"/>
      <w:lvlText w:val="•"/>
      <w:lvlJc w:val="left"/>
      <w:pPr>
        <w:ind w:left="7023" w:hanging="360"/>
      </w:pPr>
      <w:rPr>
        <w:rFonts w:hint="default"/>
        <w:lang w:val="en-US" w:eastAsia="en-US" w:bidi="ar-SA"/>
      </w:rPr>
    </w:lvl>
    <w:lvl w:ilvl="6" w:tplc="EDCC5792">
      <w:numFmt w:val="bullet"/>
      <w:lvlText w:val="•"/>
      <w:lvlJc w:val="left"/>
      <w:pPr>
        <w:ind w:left="7991" w:hanging="360"/>
      </w:pPr>
      <w:rPr>
        <w:rFonts w:hint="default"/>
        <w:lang w:val="en-US" w:eastAsia="en-US" w:bidi="ar-SA"/>
      </w:rPr>
    </w:lvl>
    <w:lvl w:ilvl="7" w:tplc="04741A3C">
      <w:numFmt w:val="bullet"/>
      <w:lvlText w:val="•"/>
      <w:lvlJc w:val="left"/>
      <w:pPr>
        <w:ind w:left="8960" w:hanging="360"/>
      </w:pPr>
      <w:rPr>
        <w:rFonts w:hint="default"/>
        <w:lang w:val="en-US" w:eastAsia="en-US" w:bidi="ar-SA"/>
      </w:rPr>
    </w:lvl>
    <w:lvl w:ilvl="8" w:tplc="EFA63B94">
      <w:numFmt w:val="bullet"/>
      <w:lvlText w:val="•"/>
      <w:lvlJc w:val="left"/>
      <w:pPr>
        <w:ind w:left="9929" w:hanging="360"/>
      </w:pPr>
      <w:rPr>
        <w:rFonts w:hint="default"/>
        <w:lang w:val="en-US" w:eastAsia="en-US" w:bidi="ar-SA"/>
      </w:rPr>
    </w:lvl>
  </w:abstractNum>
  <w:abstractNum w:abstractNumId="46" w15:restartNumberingAfterBreak="0">
    <w:nsid w:val="1EB66842"/>
    <w:multiLevelType w:val="hybridMultilevel"/>
    <w:tmpl w:val="0F184F88"/>
    <w:lvl w:ilvl="0" w:tplc="73EA42A0">
      <w:numFmt w:val="bullet"/>
      <w:lvlText w:val=""/>
      <w:lvlJc w:val="left"/>
      <w:pPr>
        <w:ind w:left="826" w:hanging="360"/>
      </w:pPr>
      <w:rPr>
        <w:rFonts w:ascii="Wingdings" w:eastAsia="Wingdings" w:hAnsi="Wingdings" w:cs="Wingdings" w:hint="default"/>
        <w:b w:val="0"/>
        <w:bCs w:val="0"/>
        <w:i w:val="0"/>
        <w:iCs w:val="0"/>
        <w:color w:val="0D0D0D"/>
        <w:spacing w:val="0"/>
        <w:w w:val="100"/>
        <w:sz w:val="22"/>
        <w:szCs w:val="22"/>
        <w:lang w:val="en-US" w:eastAsia="en-US" w:bidi="ar-SA"/>
      </w:rPr>
    </w:lvl>
    <w:lvl w:ilvl="1" w:tplc="6FC08AF2">
      <w:numFmt w:val="bullet"/>
      <w:lvlText w:val="•"/>
      <w:lvlJc w:val="left"/>
      <w:pPr>
        <w:ind w:left="916" w:hanging="360"/>
      </w:pPr>
      <w:rPr>
        <w:rFonts w:hint="default"/>
        <w:lang w:val="en-US" w:eastAsia="en-US" w:bidi="ar-SA"/>
      </w:rPr>
    </w:lvl>
    <w:lvl w:ilvl="2" w:tplc="CC3CD9C2">
      <w:numFmt w:val="bullet"/>
      <w:lvlText w:val="•"/>
      <w:lvlJc w:val="left"/>
      <w:pPr>
        <w:ind w:left="1012" w:hanging="360"/>
      </w:pPr>
      <w:rPr>
        <w:rFonts w:hint="default"/>
        <w:lang w:val="en-US" w:eastAsia="en-US" w:bidi="ar-SA"/>
      </w:rPr>
    </w:lvl>
    <w:lvl w:ilvl="3" w:tplc="8A66D136">
      <w:numFmt w:val="bullet"/>
      <w:lvlText w:val="•"/>
      <w:lvlJc w:val="left"/>
      <w:pPr>
        <w:ind w:left="1108" w:hanging="360"/>
      </w:pPr>
      <w:rPr>
        <w:rFonts w:hint="default"/>
        <w:lang w:val="en-US" w:eastAsia="en-US" w:bidi="ar-SA"/>
      </w:rPr>
    </w:lvl>
    <w:lvl w:ilvl="4" w:tplc="B8C86144">
      <w:numFmt w:val="bullet"/>
      <w:lvlText w:val="•"/>
      <w:lvlJc w:val="left"/>
      <w:pPr>
        <w:ind w:left="1205" w:hanging="360"/>
      </w:pPr>
      <w:rPr>
        <w:rFonts w:hint="default"/>
        <w:lang w:val="en-US" w:eastAsia="en-US" w:bidi="ar-SA"/>
      </w:rPr>
    </w:lvl>
    <w:lvl w:ilvl="5" w:tplc="CD54CDA0">
      <w:numFmt w:val="bullet"/>
      <w:lvlText w:val="•"/>
      <w:lvlJc w:val="left"/>
      <w:pPr>
        <w:ind w:left="1301" w:hanging="360"/>
      </w:pPr>
      <w:rPr>
        <w:rFonts w:hint="default"/>
        <w:lang w:val="en-US" w:eastAsia="en-US" w:bidi="ar-SA"/>
      </w:rPr>
    </w:lvl>
    <w:lvl w:ilvl="6" w:tplc="0A22F69E">
      <w:numFmt w:val="bullet"/>
      <w:lvlText w:val="•"/>
      <w:lvlJc w:val="left"/>
      <w:pPr>
        <w:ind w:left="1397" w:hanging="360"/>
      </w:pPr>
      <w:rPr>
        <w:rFonts w:hint="default"/>
        <w:lang w:val="en-US" w:eastAsia="en-US" w:bidi="ar-SA"/>
      </w:rPr>
    </w:lvl>
    <w:lvl w:ilvl="7" w:tplc="A950CF2E">
      <w:numFmt w:val="bullet"/>
      <w:lvlText w:val="•"/>
      <w:lvlJc w:val="left"/>
      <w:pPr>
        <w:ind w:left="1494" w:hanging="360"/>
      </w:pPr>
      <w:rPr>
        <w:rFonts w:hint="default"/>
        <w:lang w:val="en-US" w:eastAsia="en-US" w:bidi="ar-SA"/>
      </w:rPr>
    </w:lvl>
    <w:lvl w:ilvl="8" w:tplc="ABBE1DF8">
      <w:numFmt w:val="bullet"/>
      <w:lvlText w:val="•"/>
      <w:lvlJc w:val="left"/>
      <w:pPr>
        <w:ind w:left="1590" w:hanging="360"/>
      </w:pPr>
      <w:rPr>
        <w:rFonts w:hint="default"/>
        <w:lang w:val="en-US" w:eastAsia="en-US" w:bidi="ar-SA"/>
      </w:rPr>
    </w:lvl>
  </w:abstractNum>
  <w:abstractNum w:abstractNumId="47" w15:restartNumberingAfterBreak="0">
    <w:nsid w:val="1F2458E0"/>
    <w:multiLevelType w:val="multilevel"/>
    <w:tmpl w:val="935828D6"/>
    <w:lvl w:ilvl="0">
      <w:start w:val="1"/>
      <w:numFmt w:val="decimal"/>
      <w:lvlText w:val="%1."/>
      <w:lvlJc w:val="left"/>
      <w:pPr>
        <w:ind w:left="1760" w:hanging="360"/>
      </w:pPr>
      <w:rPr>
        <w:rFonts w:ascii="Calibri" w:eastAsia="Calibri" w:hAnsi="Calibri" w:cs="Calibri" w:hint="default"/>
        <w:b/>
        <w:bCs/>
        <w:i w:val="0"/>
        <w:iCs w:val="0"/>
        <w:spacing w:val="0"/>
        <w:w w:val="100"/>
        <w:sz w:val="22"/>
        <w:szCs w:val="22"/>
        <w:lang w:val="en-US" w:eastAsia="en-US" w:bidi="ar-SA"/>
      </w:rPr>
    </w:lvl>
    <w:lvl w:ilvl="1">
      <w:start w:val="1"/>
      <w:numFmt w:val="decimal"/>
      <w:lvlText w:val="%1.%2"/>
      <w:lvlJc w:val="left"/>
      <w:pPr>
        <w:ind w:left="2043" w:hanging="360"/>
      </w:pPr>
      <w:rPr>
        <w:rFonts w:ascii="Arial" w:eastAsia="Arial" w:hAnsi="Arial" w:cs="Arial" w:hint="default"/>
        <w:b w:val="0"/>
        <w:bCs w:val="0"/>
        <w:i w:val="0"/>
        <w:iCs w:val="0"/>
        <w:spacing w:val="0"/>
        <w:w w:val="100"/>
        <w:sz w:val="24"/>
        <w:szCs w:val="24"/>
        <w:lang w:val="en-US" w:eastAsia="en-US" w:bidi="ar-SA"/>
      </w:rPr>
    </w:lvl>
    <w:lvl w:ilvl="2">
      <w:numFmt w:val="bullet"/>
      <w:lvlText w:val="•"/>
      <w:lvlJc w:val="left"/>
      <w:pPr>
        <w:ind w:left="3131" w:hanging="360"/>
      </w:pPr>
      <w:rPr>
        <w:rFonts w:hint="default"/>
        <w:lang w:val="en-US" w:eastAsia="en-US" w:bidi="ar-SA"/>
      </w:rPr>
    </w:lvl>
    <w:lvl w:ilvl="3">
      <w:numFmt w:val="bullet"/>
      <w:lvlText w:val="•"/>
      <w:lvlJc w:val="left"/>
      <w:pPr>
        <w:ind w:left="4223" w:hanging="360"/>
      </w:pPr>
      <w:rPr>
        <w:rFonts w:hint="default"/>
        <w:lang w:val="en-US" w:eastAsia="en-US" w:bidi="ar-SA"/>
      </w:rPr>
    </w:lvl>
    <w:lvl w:ilvl="4">
      <w:numFmt w:val="bullet"/>
      <w:lvlText w:val="•"/>
      <w:lvlJc w:val="left"/>
      <w:pPr>
        <w:ind w:left="5315" w:hanging="360"/>
      </w:pPr>
      <w:rPr>
        <w:rFonts w:hint="default"/>
        <w:lang w:val="en-US" w:eastAsia="en-US" w:bidi="ar-SA"/>
      </w:rPr>
    </w:lvl>
    <w:lvl w:ilvl="5">
      <w:numFmt w:val="bullet"/>
      <w:lvlText w:val="•"/>
      <w:lvlJc w:val="left"/>
      <w:pPr>
        <w:ind w:left="6407" w:hanging="360"/>
      </w:pPr>
      <w:rPr>
        <w:rFonts w:hint="default"/>
        <w:lang w:val="en-US" w:eastAsia="en-US" w:bidi="ar-SA"/>
      </w:rPr>
    </w:lvl>
    <w:lvl w:ilvl="6">
      <w:numFmt w:val="bullet"/>
      <w:lvlText w:val="•"/>
      <w:lvlJc w:val="left"/>
      <w:pPr>
        <w:ind w:left="7499" w:hanging="360"/>
      </w:pPr>
      <w:rPr>
        <w:rFonts w:hint="default"/>
        <w:lang w:val="en-US" w:eastAsia="en-US" w:bidi="ar-SA"/>
      </w:rPr>
    </w:lvl>
    <w:lvl w:ilvl="7">
      <w:numFmt w:val="bullet"/>
      <w:lvlText w:val="•"/>
      <w:lvlJc w:val="left"/>
      <w:pPr>
        <w:ind w:left="8590" w:hanging="360"/>
      </w:pPr>
      <w:rPr>
        <w:rFonts w:hint="default"/>
        <w:lang w:val="en-US" w:eastAsia="en-US" w:bidi="ar-SA"/>
      </w:rPr>
    </w:lvl>
    <w:lvl w:ilvl="8">
      <w:numFmt w:val="bullet"/>
      <w:lvlText w:val="•"/>
      <w:lvlJc w:val="left"/>
      <w:pPr>
        <w:ind w:left="9682" w:hanging="360"/>
      </w:pPr>
      <w:rPr>
        <w:rFonts w:hint="default"/>
        <w:lang w:val="en-US" w:eastAsia="en-US" w:bidi="ar-SA"/>
      </w:rPr>
    </w:lvl>
  </w:abstractNum>
  <w:abstractNum w:abstractNumId="48" w15:restartNumberingAfterBreak="0">
    <w:nsid w:val="1FB05C85"/>
    <w:multiLevelType w:val="hybridMultilevel"/>
    <w:tmpl w:val="5EBA7524"/>
    <w:lvl w:ilvl="0" w:tplc="533A4DB0">
      <w:start w:val="13"/>
      <w:numFmt w:val="lowerLetter"/>
      <w:lvlText w:val="%1)"/>
      <w:lvlJc w:val="left"/>
      <w:pPr>
        <w:ind w:left="539" w:hanging="288"/>
      </w:pPr>
      <w:rPr>
        <w:rFonts w:ascii="Arial" w:eastAsia="Arial" w:hAnsi="Arial" w:cs="Arial" w:hint="default"/>
        <w:b w:val="0"/>
        <w:bCs w:val="0"/>
        <w:i w:val="0"/>
        <w:iCs w:val="0"/>
        <w:spacing w:val="1"/>
        <w:w w:val="99"/>
        <w:sz w:val="22"/>
        <w:szCs w:val="22"/>
        <w:lang w:val="en-US" w:eastAsia="en-US" w:bidi="ar-SA"/>
      </w:rPr>
    </w:lvl>
    <w:lvl w:ilvl="1" w:tplc="CE041708">
      <w:numFmt w:val="bullet"/>
      <w:lvlText w:val="•"/>
      <w:lvlJc w:val="left"/>
      <w:pPr>
        <w:ind w:left="1233" w:hanging="288"/>
      </w:pPr>
      <w:rPr>
        <w:rFonts w:hint="default"/>
        <w:lang w:val="en-US" w:eastAsia="en-US" w:bidi="ar-SA"/>
      </w:rPr>
    </w:lvl>
    <w:lvl w:ilvl="2" w:tplc="EF1C8318">
      <w:numFmt w:val="bullet"/>
      <w:lvlText w:val="•"/>
      <w:lvlJc w:val="left"/>
      <w:pPr>
        <w:ind w:left="1926" w:hanging="288"/>
      </w:pPr>
      <w:rPr>
        <w:rFonts w:hint="default"/>
        <w:lang w:val="en-US" w:eastAsia="en-US" w:bidi="ar-SA"/>
      </w:rPr>
    </w:lvl>
    <w:lvl w:ilvl="3" w:tplc="C06A554E">
      <w:numFmt w:val="bullet"/>
      <w:lvlText w:val="•"/>
      <w:lvlJc w:val="left"/>
      <w:pPr>
        <w:ind w:left="2620" w:hanging="288"/>
      </w:pPr>
      <w:rPr>
        <w:rFonts w:hint="default"/>
        <w:lang w:val="en-US" w:eastAsia="en-US" w:bidi="ar-SA"/>
      </w:rPr>
    </w:lvl>
    <w:lvl w:ilvl="4" w:tplc="20E4300E">
      <w:numFmt w:val="bullet"/>
      <w:lvlText w:val="•"/>
      <w:lvlJc w:val="left"/>
      <w:pPr>
        <w:ind w:left="3313" w:hanging="288"/>
      </w:pPr>
      <w:rPr>
        <w:rFonts w:hint="default"/>
        <w:lang w:val="en-US" w:eastAsia="en-US" w:bidi="ar-SA"/>
      </w:rPr>
    </w:lvl>
    <w:lvl w:ilvl="5" w:tplc="F188A334">
      <w:numFmt w:val="bullet"/>
      <w:lvlText w:val="•"/>
      <w:lvlJc w:val="left"/>
      <w:pPr>
        <w:ind w:left="4007" w:hanging="288"/>
      </w:pPr>
      <w:rPr>
        <w:rFonts w:hint="default"/>
        <w:lang w:val="en-US" w:eastAsia="en-US" w:bidi="ar-SA"/>
      </w:rPr>
    </w:lvl>
    <w:lvl w:ilvl="6" w:tplc="80CA2C2E">
      <w:numFmt w:val="bullet"/>
      <w:lvlText w:val="•"/>
      <w:lvlJc w:val="left"/>
      <w:pPr>
        <w:ind w:left="4700" w:hanging="288"/>
      </w:pPr>
      <w:rPr>
        <w:rFonts w:hint="default"/>
        <w:lang w:val="en-US" w:eastAsia="en-US" w:bidi="ar-SA"/>
      </w:rPr>
    </w:lvl>
    <w:lvl w:ilvl="7" w:tplc="4BFA31F8">
      <w:numFmt w:val="bullet"/>
      <w:lvlText w:val="•"/>
      <w:lvlJc w:val="left"/>
      <w:pPr>
        <w:ind w:left="5393" w:hanging="288"/>
      </w:pPr>
      <w:rPr>
        <w:rFonts w:hint="default"/>
        <w:lang w:val="en-US" w:eastAsia="en-US" w:bidi="ar-SA"/>
      </w:rPr>
    </w:lvl>
    <w:lvl w:ilvl="8" w:tplc="4B08F7FC">
      <w:numFmt w:val="bullet"/>
      <w:lvlText w:val="•"/>
      <w:lvlJc w:val="left"/>
      <w:pPr>
        <w:ind w:left="6087" w:hanging="288"/>
      </w:pPr>
      <w:rPr>
        <w:rFonts w:hint="default"/>
        <w:lang w:val="en-US" w:eastAsia="en-US" w:bidi="ar-SA"/>
      </w:rPr>
    </w:lvl>
  </w:abstractNum>
  <w:abstractNum w:abstractNumId="49" w15:restartNumberingAfterBreak="0">
    <w:nsid w:val="21046109"/>
    <w:multiLevelType w:val="hybridMultilevel"/>
    <w:tmpl w:val="A4F027BC"/>
    <w:lvl w:ilvl="0" w:tplc="C7DA8812">
      <w:start w:val="1"/>
      <w:numFmt w:val="lowerLetter"/>
      <w:lvlText w:val="(%1)"/>
      <w:lvlJc w:val="left"/>
      <w:pPr>
        <w:ind w:left="1494" w:hanging="428"/>
      </w:pPr>
      <w:rPr>
        <w:rFonts w:ascii="Calibri" w:eastAsia="Calibri" w:hAnsi="Calibri" w:cs="Calibri" w:hint="default"/>
        <w:b w:val="0"/>
        <w:bCs w:val="0"/>
        <w:i w:val="0"/>
        <w:iCs w:val="0"/>
        <w:spacing w:val="-1"/>
        <w:w w:val="100"/>
        <w:sz w:val="24"/>
        <w:szCs w:val="24"/>
        <w:lang w:val="en-US" w:eastAsia="en-US" w:bidi="ar-SA"/>
      </w:rPr>
    </w:lvl>
    <w:lvl w:ilvl="1" w:tplc="829C11BC">
      <w:numFmt w:val="bullet"/>
      <w:lvlText w:val="•"/>
      <w:lvlJc w:val="left"/>
      <w:pPr>
        <w:ind w:left="2536" w:hanging="428"/>
      </w:pPr>
      <w:rPr>
        <w:rFonts w:hint="default"/>
        <w:lang w:val="en-US" w:eastAsia="en-US" w:bidi="ar-SA"/>
      </w:rPr>
    </w:lvl>
    <w:lvl w:ilvl="2" w:tplc="B0CC31D6">
      <w:numFmt w:val="bullet"/>
      <w:lvlText w:val="•"/>
      <w:lvlJc w:val="left"/>
      <w:pPr>
        <w:ind w:left="3573" w:hanging="428"/>
      </w:pPr>
      <w:rPr>
        <w:rFonts w:hint="default"/>
        <w:lang w:val="en-US" w:eastAsia="en-US" w:bidi="ar-SA"/>
      </w:rPr>
    </w:lvl>
    <w:lvl w:ilvl="3" w:tplc="4E22FCFA">
      <w:numFmt w:val="bullet"/>
      <w:lvlText w:val="•"/>
      <w:lvlJc w:val="left"/>
      <w:pPr>
        <w:ind w:left="4609" w:hanging="428"/>
      </w:pPr>
      <w:rPr>
        <w:rFonts w:hint="default"/>
        <w:lang w:val="en-US" w:eastAsia="en-US" w:bidi="ar-SA"/>
      </w:rPr>
    </w:lvl>
    <w:lvl w:ilvl="4" w:tplc="90F8106A">
      <w:numFmt w:val="bullet"/>
      <w:lvlText w:val="•"/>
      <w:lvlJc w:val="left"/>
      <w:pPr>
        <w:ind w:left="5646" w:hanging="428"/>
      </w:pPr>
      <w:rPr>
        <w:rFonts w:hint="default"/>
        <w:lang w:val="en-US" w:eastAsia="en-US" w:bidi="ar-SA"/>
      </w:rPr>
    </w:lvl>
    <w:lvl w:ilvl="5" w:tplc="0D8AE418">
      <w:numFmt w:val="bullet"/>
      <w:lvlText w:val="•"/>
      <w:lvlJc w:val="left"/>
      <w:pPr>
        <w:ind w:left="6683" w:hanging="428"/>
      </w:pPr>
      <w:rPr>
        <w:rFonts w:hint="default"/>
        <w:lang w:val="en-US" w:eastAsia="en-US" w:bidi="ar-SA"/>
      </w:rPr>
    </w:lvl>
    <w:lvl w:ilvl="6" w:tplc="0B74CF5C">
      <w:numFmt w:val="bullet"/>
      <w:lvlText w:val="•"/>
      <w:lvlJc w:val="left"/>
      <w:pPr>
        <w:ind w:left="7719" w:hanging="428"/>
      </w:pPr>
      <w:rPr>
        <w:rFonts w:hint="default"/>
        <w:lang w:val="en-US" w:eastAsia="en-US" w:bidi="ar-SA"/>
      </w:rPr>
    </w:lvl>
    <w:lvl w:ilvl="7" w:tplc="7CF2DB7E">
      <w:numFmt w:val="bullet"/>
      <w:lvlText w:val="•"/>
      <w:lvlJc w:val="left"/>
      <w:pPr>
        <w:ind w:left="8756" w:hanging="428"/>
      </w:pPr>
      <w:rPr>
        <w:rFonts w:hint="default"/>
        <w:lang w:val="en-US" w:eastAsia="en-US" w:bidi="ar-SA"/>
      </w:rPr>
    </w:lvl>
    <w:lvl w:ilvl="8" w:tplc="18B082CC">
      <w:numFmt w:val="bullet"/>
      <w:lvlText w:val="•"/>
      <w:lvlJc w:val="left"/>
      <w:pPr>
        <w:ind w:left="9793" w:hanging="428"/>
      </w:pPr>
      <w:rPr>
        <w:rFonts w:hint="default"/>
        <w:lang w:val="en-US" w:eastAsia="en-US" w:bidi="ar-SA"/>
      </w:rPr>
    </w:lvl>
  </w:abstractNum>
  <w:abstractNum w:abstractNumId="50" w15:restartNumberingAfterBreak="0">
    <w:nsid w:val="21BA2185"/>
    <w:multiLevelType w:val="hybridMultilevel"/>
    <w:tmpl w:val="591C131E"/>
    <w:lvl w:ilvl="0" w:tplc="AD60BD92">
      <w:numFmt w:val="bullet"/>
      <w:lvlText w:val=""/>
      <w:lvlJc w:val="left"/>
      <w:pPr>
        <w:ind w:left="2120" w:hanging="360"/>
      </w:pPr>
      <w:rPr>
        <w:rFonts w:ascii="Symbol" w:eastAsia="Symbol" w:hAnsi="Symbol" w:cs="Symbol" w:hint="default"/>
        <w:spacing w:val="0"/>
        <w:w w:val="100"/>
        <w:lang w:val="en-US" w:eastAsia="en-US" w:bidi="ar-SA"/>
      </w:rPr>
    </w:lvl>
    <w:lvl w:ilvl="1" w:tplc="070210BE">
      <w:numFmt w:val="bullet"/>
      <w:lvlText w:val="•"/>
      <w:lvlJc w:val="left"/>
      <w:pPr>
        <w:ind w:left="3094" w:hanging="360"/>
      </w:pPr>
      <w:rPr>
        <w:rFonts w:hint="default"/>
        <w:lang w:val="en-US" w:eastAsia="en-US" w:bidi="ar-SA"/>
      </w:rPr>
    </w:lvl>
    <w:lvl w:ilvl="2" w:tplc="9F3EBDE8">
      <w:numFmt w:val="bullet"/>
      <w:lvlText w:val="•"/>
      <w:lvlJc w:val="left"/>
      <w:pPr>
        <w:ind w:left="4069" w:hanging="360"/>
      </w:pPr>
      <w:rPr>
        <w:rFonts w:hint="default"/>
        <w:lang w:val="en-US" w:eastAsia="en-US" w:bidi="ar-SA"/>
      </w:rPr>
    </w:lvl>
    <w:lvl w:ilvl="3" w:tplc="10584046">
      <w:numFmt w:val="bullet"/>
      <w:lvlText w:val="•"/>
      <w:lvlJc w:val="left"/>
      <w:pPr>
        <w:ind w:left="5043" w:hanging="360"/>
      </w:pPr>
      <w:rPr>
        <w:rFonts w:hint="default"/>
        <w:lang w:val="en-US" w:eastAsia="en-US" w:bidi="ar-SA"/>
      </w:rPr>
    </w:lvl>
    <w:lvl w:ilvl="4" w:tplc="31063C1A">
      <w:numFmt w:val="bullet"/>
      <w:lvlText w:val="•"/>
      <w:lvlJc w:val="left"/>
      <w:pPr>
        <w:ind w:left="6018" w:hanging="360"/>
      </w:pPr>
      <w:rPr>
        <w:rFonts w:hint="default"/>
        <w:lang w:val="en-US" w:eastAsia="en-US" w:bidi="ar-SA"/>
      </w:rPr>
    </w:lvl>
    <w:lvl w:ilvl="5" w:tplc="394C61B2">
      <w:numFmt w:val="bullet"/>
      <w:lvlText w:val="•"/>
      <w:lvlJc w:val="left"/>
      <w:pPr>
        <w:ind w:left="6993" w:hanging="360"/>
      </w:pPr>
      <w:rPr>
        <w:rFonts w:hint="default"/>
        <w:lang w:val="en-US" w:eastAsia="en-US" w:bidi="ar-SA"/>
      </w:rPr>
    </w:lvl>
    <w:lvl w:ilvl="6" w:tplc="58FAD756">
      <w:numFmt w:val="bullet"/>
      <w:lvlText w:val="•"/>
      <w:lvlJc w:val="left"/>
      <w:pPr>
        <w:ind w:left="7967" w:hanging="360"/>
      </w:pPr>
      <w:rPr>
        <w:rFonts w:hint="default"/>
        <w:lang w:val="en-US" w:eastAsia="en-US" w:bidi="ar-SA"/>
      </w:rPr>
    </w:lvl>
    <w:lvl w:ilvl="7" w:tplc="8BCC9796">
      <w:numFmt w:val="bullet"/>
      <w:lvlText w:val="•"/>
      <w:lvlJc w:val="left"/>
      <w:pPr>
        <w:ind w:left="8942" w:hanging="360"/>
      </w:pPr>
      <w:rPr>
        <w:rFonts w:hint="default"/>
        <w:lang w:val="en-US" w:eastAsia="en-US" w:bidi="ar-SA"/>
      </w:rPr>
    </w:lvl>
    <w:lvl w:ilvl="8" w:tplc="CFBA987A">
      <w:numFmt w:val="bullet"/>
      <w:lvlText w:val="•"/>
      <w:lvlJc w:val="left"/>
      <w:pPr>
        <w:ind w:left="9917" w:hanging="360"/>
      </w:pPr>
      <w:rPr>
        <w:rFonts w:hint="default"/>
        <w:lang w:val="en-US" w:eastAsia="en-US" w:bidi="ar-SA"/>
      </w:rPr>
    </w:lvl>
  </w:abstractNum>
  <w:abstractNum w:abstractNumId="51" w15:restartNumberingAfterBreak="0">
    <w:nsid w:val="236A5BE1"/>
    <w:multiLevelType w:val="hybridMultilevel"/>
    <w:tmpl w:val="2BB2BD5A"/>
    <w:lvl w:ilvl="0" w:tplc="C9B6D586">
      <w:start w:val="1"/>
      <w:numFmt w:val="lowerLetter"/>
      <w:lvlText w:val="(%1)"/>
      <w:lvlJc w:val="left"/>
      <w:pPr>
        <w:ind w:left="1494" w:hanging="428"/>
      </w:pPr>
      <w:rPr>
        <w:rFonts w:ascii="Calibri" w:eastAsia="Calibri" w:hAnsi="Calibri" w:cs="Calibri" w:hint="default"/>
        <w:b w:val="0"/>
        <w:bCs w:val="0"/>
        <w:i w:val="0"/>
        <w:iCs w:val="0"/>
        <w:spacing w:val="-1"/>
        <w:w w:val="100"/>
        <w:sz w:val="24"/>
        <w:szCs w:val="24"/>
        <w:lang w:val="en-US" w:eastAsia="en-US" w:bidi="ar-SA"/>
      </w:rPr>
    </w:lvl>
    <w:lvl w:ilvl="1" w:tplc="F3C0C1B0">
      <w:numFmt w:val="bullet"/>
      <w:lvlText w:val="•"/>
      <w:lvlJc w:val="left"/>
      <w:pPr>
        <w:ind w:left="2536" w:hanging="428"/>
      </w:pPr>
      <w:rPr>
        <w:rFonts w:hint="default"/>
        <w:lang w:val="en-US" w:eastAsia="en-US" w:bidi="ar-SA"/>
      </w:rPr>
    </w:lvl>
    <w:lvl w:ilvl="2" w:tplc="F75E60CE">
      <w:numFmt w:val="bullet"/>
      <w:lvlText w:val="•"/>
      <w:lvlJc w:val="left"/>
      <w:pPr>
        <w:ind w:left="3573" w:hanging="428"/>
      </w:pPr>
      <w:rPr>
        <w:rFonts w:hint="default"/>
        <w:lang w:val="en-US" w:eastAsia="en-US" w:bidi="ar-SA"/>
      </w:rPr>
    </w:lvl>
    <w:lvl w:ilvl="3" w:tplc="1E9CB3C0">
      <w:numFmt w:val="bullet"/>
      <w:lvlText w:val="•"/>
      <w:lvlJc w:val="left"/>
      <w:pPr>
        <w:ind w:left="4609" w:hanging="428"/>
      </w:pPr>
      <w:rPr>
        <w:rFonts w:hint="default"/>
        <w:lang w:val="en-US" w:eastAsia="en-US" w:bidi="ar-SA"/>
      </w:rPr>
    </w:lvl>
    <w:lvl w:ilvl="4" w:tplc="4934C55E">
      <w:numFmt w:val="bullet"/>
      <w:lvlText w:val="•"/>
      <w:lvlJc w:val="left"/>
      <w:pPr>
        <w:ind w:left="5646" w:hanging="428"/>
      </w:pPr>
      <w:rPr>
        <w:rFonts w:hint="default"/>
        <w:lang w:val="en-US" w:eastAsia="en-US" w:bidi="ar-SA"/>
      </w:rPr>
    </w:lvl>
    <w:lvl w:ilvl="5" w:tplc="44C466DA">
      <w:numFmt w:val="bullet"/>
      <w:lvlText w:val="•"/>
      <w:lvlJc w:val="left"/>
      <w:pPr>
        <w:ind w:left="6683" w:hanging="428"/>
      </w:pPr>
      <w:rPr>
        <w:rFonts w:hint="default"/>
        <w:lang w:val="en-US" w:eastAsia="en-US" w:bidi="ar-SA"/>
      </w:rPr>
    </w:lvl>
    <w:lvl w:ilvl="6" w:tplc="3CCCA9B2">
      <w:numFmt w:val="bullet"/>
      <w:lvlText w:val="•"/>
      <w:lvlJc w:val="left"/>
      <w:pPr>
        <w:ind w:left="7719" w:hanging="428"/>
      </w:pPr>
      <w:rPr>
        <w:rFonts w:hint="default"/>
        <w:lang w:val="en-US" w:eastAsia="en-US" w:bidi="ar-SA"/>
      </w:rPr>
    </w:lvl>
    <w:lvl w:ilvl="7" w:tplc="BB4AA788">
      <w:numFmt w:val="bullet"/>
      <w:lvlText w:val="•"/>
      <w:lvlJc w:val="left"/>
      <w:pPr>
        <w:ind w:left="8756" w:hanging="428"/>
      </w:pPr>
      <w:rPr>
        <w:rFonts w:hint="default"/>
        <w:lang w:val="en-US" w:eastAsia="en-US" w:bidi="ar-SA"/>
      </w:rPr>
    </w:lvl>
    <w:lvl w:ilvl="8" w:tplc="879CD23E">
      <w:numFmt w:val="bullet"/>
      <w:lvlText w:val="•"/>
      <w:lvlJc w:val="left"/>
      <w:pPr>
        <w:ind w:left="9793" w:hanging="428"/>
      </w:pPr>
      <w:rPr>
        <w:rFonts w:hint="default"/>
        <w:lang w:val="en-US" w:eastAsia="en-US" w:bidi="ar-SA"/>
      </w:rPr>
    </w:lvl>
  </w:abstractNum>
  <w:abstractNum w:abstractNumId="52" w15:restartNumberingAfterBreak="0">
    <w:nsid w:val="238A3072"/>
    <w:multiLevelType w:val="hybridMultilevel"/>
    <w:tmpl w:val="9992E194"/>
    <w:lvl w:ilvl="0" w:tplc="9EE437B0">
      <w:start w:val="1"/>
      <w:numFmt w:val="lowerLetter"/>
      <w:lvlText w:val="(%1)"/>
      <w:lvlJc w:val="left"/>
      <w:pPr>
        <w:ind w:left="1494" w:hanging="428"/>
      </w:pPr>
      <w:rPr>
        <w:rFonts w:ascii="Calibri" w:eastAsia="Calibri" w:hAnsi="Calibri" w:cs="Calibri" w:hint="default"/>
        <w:b w:val="0"/>
        <w:bCs w:val="0"/>
        <w:i w:val="0"/>
        <w:iCs w:val="0"/>
        <w:spacing w:val="-1"/>
        <w:w w:val="100"/>
        <w:sz w:val="24"/>
        <w:szCs w:val="24"/>
        <w:lang w:val="en-US" w:eastAsia="en-US" w:bidi="ar-SA"/>
      </w:rPr>
    </w:lvl>
    <w:lvl w:ilvl="1" w:tplc="EAE61376">
      <w:numFmt w:val="bullet"/>
      <w:lvlText w:val="•"/>
      <w:lvlJc w:val="left"/>
      <w:pPr>
        <w:ind w:left="2536" w:hanging="428"/>
      </w:pPr>
      <w:rPr>
        <w:rFonts w:hint="default"/>
        <w:lang w:val="en-US" w:eastAsia="en-US" w:bidi="ar-SA"/>
      </w:rPr>
    </w:lvl>
    <w:lvl w:ilvl="2" w:tplc="F992122C">
      <w:numFmt w:val="bullet"/>
      <w:lvlText w:val="•"/>
      <w:lvlJc w:val="left"/>
      <w:pPr>
        <w:ind w:left="3573" w:hanging="428"/>
      </w:pPr>
      <w:rPr>
        <w:rFonts w:hint="default"/>
        <w:lang w:val="en-US" w:eastAsia="en-US" w:bidi="ar-SA"/>
      </w:rPr>
    </w:lvl>
    <w:lvl w:ilvl="3" w:tplc="686EC284">
      <w:numFmt w:val="bullet"/>
      <w:lvlText w:val="•"/>
      <w:lvlJc w:val="left"/>
      <w:pPr>
        <w:ind w:left="4609" w:hanging="428"/>
      </w:pPr>
      <w:rPr>
        <w:rFonts w:hint="default"/>
        <w:lang w:val="en-US" w:eastAsia="en-US" w:bidi="ar-SA"/>
      </w:rPr>
    </w:lvl>
    <w:lvl w:ilvl="4" w:tplc="D42AE7F2">
      <w:numFmt w:val="bullet"/>
      <w:lvlText w:val="•"/>
      <w:lvlJc w:val="left"/>
      <w:pPr>
        <w:ind w:left="5646" w:hanging="428"/>
      </w:pPr>
      <w:rPr>
        <w:rFonts w:hint="default"/>
        <w:lang w:val="en-US" w:eastAsia="en-US" w:bidi="ar-SA"/>
      </w:rPr>
    </w:lvl>
    <w:lvl w:ilvl="5" w:tplc="E460F620">
      <w:numFmt w:val="bullet"/>
      <w:lvlText w:val="•"/>
      <w:lvlJc w:val="left"/>
      <w:pPr>
        <w:ind w:left="6683" w:hanging="428"/>
      </w:pPr>
      <w:rPr>
        <w:rFonts w:hint="default"/>
        <w:lang w:val="en-US" w:eastAsia="en-US" w:bidi="ar-SA"/>
      </w:rPr>
    </w:lvl>
    <w:lvl w:ilvl="6" w:tplc="EDD0F306">
      <w:numFmt w:val="bullet"/>
      <w:lvlText w:val="•"/>
      <w:lvlJc w:val="left"/>
      <w:pPr>
        <w:ind w:left="7719" w:hanging="428"/>
      </w:pPr>
      <w:rPr>
        <w:rFonts w:hint="default"/>
        <w:lang w:val="en-US" w:eastAsia="en-US" w:bidi="ar-SA"/>
      </w:rPr>
    </w:lvl>
    <w:lvl w:ilvl="7" w:tplc="E7E6E138">
      <w:numFmt w:val="bullet"/>
      <w:lvlText w:val="•"/>
      <w:lvlJc w:val="left"/>
      <w:pPr>
        <w:ind w:left="8756" w:hanging="428"/>
      </w:pPr>
      <w:rPr>
        <w:rFonts w:hint="default"/>
        <w:lang w:val="en-US" w:eastAsia="en-US" w:bidi="ar-SA"/>
      </w:rPr>
    </w:lvl>
    <w:lvl w:ilvl="8" w:tplc="DAA477C0">
      <w:numFmt w:val="bullet"/>
      <w:lvlText w:val="•"/>
      <w:lvlJc w:val="left"/>
      <w:pPr>
        <w:ind w:left="9793" w:hanging="428"/>
      </w:pPr>
      <w:rPr>
        <w:rFonts w:hint="default"/>
        <w:lang w:val="en-US" w:eastAsia="en-US" w:bidi="ar-SA"/>
      </w:rPr>
    </w:lvl>
  </w:abstractNum>
  <w:abstractNum w:abstractNumId="53" w15:restartNumberingAfterBreak="0">
    <w:nsid w:val="23DC5F10"/>
    <w:multiLevelType w:val="hybridMultilevel"/>
    <w:tmpl w:val="5A4EC6F6"/>
    <w:lvl w:ilvl="0" w:tplc="481A8E18">
      <w:numFmt w:val="bullet"/>
      <w:lvlText w:val=""/>
      <w:lvlJc w:val="left"/>
      <w:pPr>
        <w:ind w:left="816" w:hanging="360"/>
      </w:pPr>
      <w:rPr>
        <w:rFonts w:ascii="Wingdings" w:eastAsia="Wingdings" w:hAnsi="Wingdings" w:cs="Wingdings" w:hint="default"/>
        <w:b w:val="0"/>
        <w:bCs w:val="0"/>
        <w:i w:val="0"/>
        <w:iCs w:val="0"/>
        <w:color w:val="0D0D0D"/>
        <w:spacing w:val="0"/>
        <w:w w:val="100"/>
        <w:sz w:val="24"/>
        <w:szCs w:val="24"/>
        <w:lang w:val="en-US" w:eastAsia="en-US" w:bidi="ar-SA"/>
      </w:rPr>
    </w:lvl>
    <w:lvl w:ilvl="1" w:tplc="B838D55C">
      <w:numFmt w:val="bullet"/>
      <w:lvlText w:val="•"/>
      <w:lvlJc w:val="left"/>
      <w:pPr>
        <w:ind w:left="961" w:hanging="360"/>
      </w:pPr>
      <w:rPr>
        <w:rFonts w:hint="default"/>
        <w:lang w:val="en-US" w:eastAsia="en-US" w:bidi="ar-SA"/>
      </w:rPr>
    </w:lvl>
    <w:lvl w:ilvl="2" w:tplc="AE36C034">
      <w:numFmt w:val="bullet"/>
      <w:lvlText w:val="•"/>
      <w:lvlJc w:val="left"/>
      <w:pPr>
        <w:ind w:left="1102" w:hanging="360"/>
      </w:pPr>
      <w:rPr>
        <w:rFonts w:hint="default"/>
        <w:lang w:val="en-US" w:eastAsia="en-US" w:bidi="ar-SA"/>
      </w:rPr>
    </w:lvl>
    <w:lvl w:ilvl="3" w:tplc="2702BA44">
      <w:numFmt w:val="bullet"/>
      <w:lvlText w:val="•"/>
      <w:lvlJc w:val="left"/>
      <w:pPr>
        <w:ind w:left="1243" w:hanging="360"/>
      </w:pPr>
      <w:rPr>
        <w:rFonts w:hint="default"/>
        <w:lang w:val="en-US" w:eastAsia="en-US" w:bidi="ar-SA"/>
      </w:rPr>
    </w:lvl>
    <w:lvl w:ilvl="4" w:tplc="65107E3C">
      <w:numFmt w:val="bullet"/>
      <w:lvlText w:val="•"/>
      <w:lvlJc w:val="left"/>
      <w:pPr>
        <w:ind w:left="1385" w:hanging="360"/>
      </w:pPr>
      <w:rPr>
        <w:rFonts w:hint="default"/>
        <w:lang w:val="en-US" w:eastAsia="en-US" w:bidi="ar-SA"/>
      </w:rPr>
    </w:lvl>
    <w:lvl w:ilvl="5" w:tplc="5AA6269C">
      <w:numFmt w:val="bullet"/>
      <w:lvlText w:val="•"/>
      <w:lvlJc w:val="left"/>
      <w:pPr>
        <w:ind w:left="1526" w:hanging="360"/>
      </w:pPr>
      <w:rPr>
        <w:rFonts w:hint="default"/>
        <w:lang w:val="en-US" w:eastAsia="en-US" w:bidi="ar-SA"/>
      </w:rPr>
    </w:lvl>
    <w:lvl w:ilvl="6" w:tplc="82E61844">
      <w:numFmt w:val="bullet"/>
      <w:lvlText w:val="•"/>
      <w:lvlJc w:val="left"/>
      <w:pPr>
        <w:ind w:left="1667" w:hanging="360"/>
      </w:pPr>
      <w:rPr>
        <w:rFonts w:hint="default"/>
        <w:lang w:val="en-US" w:eastAsia="en-US" w:bidi="ar-SA"/>
      </w:rPr>
    </w:lvl>
    <w:lvl w:ilvl="7" w:tplc="41D05960">
      <w:numFmt w:val="bullet"/>
      <w:lvlText w:val="•"/>
      <w:lvlJc w:val="left"/>
      <w:pPr>
        <w:ind w:left="1809" w:hanging="360"/>
      </w:pPr>
      <w:rPr>
        <w:rFonts w:hint="default"/>
        <w:lang w:val="en-US" w:eastAsia="en-US" w:bidi="ar-SA"/>
      </w:rPr>
    </w:lvl>
    <w:lvl w:ilvl="8" w:tplc="154676D6">
      <w:numFmt w:val="bullet"/>
      <w:lvlText w:val="•"/>
      <w:lvlJc w:val="left"/>
      <w:pPr>
        <w:ind w:left="1950" w:hanging="360"/>
      </w:pPr>
      <w:rPr>
        <w:rFonts w:hint="default"/>
        <w:lang w:val="en-US" w:eastAsia="en-US" w:bidi="ar-SA"/>
      </w:rPr>
    </w:lvl>
  </w:abstractNum>
  <w:abstractNum w:abstractNumId="54" w15:restartNumberingAfterBreak="0">
    <w:nsid w:val="24DB2852"/>
    <w:multiLevelType w:val="hybridMultilevel"/>
    <w:tmpl w:val="1D0A48A4"/>
    <w:lvl w:ilvl="0" w:tplc="3D1E0C52">
      <w:start w:val="7"/>
      <w:numFmt w:val="lowerLetter"/>
      <w:lvlText w:val="%1)"/>
      <w:lvlJc w:val="left"/>
      <w:pPr>
        <w:ind w:left="539" w:hanging="288"/>
      </w:pPr>
      <w:rPr>
        <w:rFonts w:ascii="Arial" w:eastAsia="Arial" w:hAnsi="Arial" w:cs="Arial" w:hint="default"/>
        <w:b w:val="0"/>
        <w:bCs w:val="0"/>
        <w:i w:val="0"/>
        <w:iCs w:val="0"/>
        <w:spacing w:val="0"/>
        <w:w w:val="99"/>
        <w:sz w:val="24"/>
        <w:szCs w:val="24"/>
        <w:lang w:val="en-US" w:eastAsia="en-US" w:bidi="ar-SA"/>
      </w:rPr>
    </w:lvl>
    <w:lvl w:ilvl="1" w:tplc="EDEAE8BE">
      <w:numFmt w:val="bullet"/>
      <w:lvlText w:val="•"/>
      <w:lvlJc w:val="left"/>
      <w:pPr>
        <w:ind w:left="1233" w:hanging="288"/>
      </w:pPr>
      <w:rPr>
        <w:rFonts w:hint="default"/>
        <w:lang w:val="en-US" w:eastAsia="en-US" w:bidi="ar-SA"/>
      </w:rPr>
    </w:lvl>
    <w:lvl w:ilvl="2" w:tplc="5A504134">
      <w:numFmt w:val="bullet"/>
      <w:lvlText w:val="•"/>
      <w:lvlJc w:val="left"/>
      <w:pPr>
        <w:ind w:left="1926" w:hanging="288"/>
      </w:pPr>
      <w:rPr>
        <w:rFonts w:hint="default"/>
        <w:lang w:val="en-US" w:eastAsia="en-US" w:bidi="ar-SA"/>
      </w:rPr>
    </w:lvl>
    <w:lvl w:ilvl="3" w:tplc="C8A62DD4">
      <w:numFmt w:val="bullet"/>
      <w:lvlText w:val="•"/>
      <w:lvlJc w:val="left"/>
      <w:pPr>
        <w:ind w:left="2620" w:hanging="288"/>
      </w:pPr>
      <w:rPr>
        <w:rFonts w:hint="default"/>
        <w:lang w:val="en-US" w:eastAsia="en-US" w:bidi="ar-SA"/>
      </w:rPr>
    </w:lvl>
    <w:lvl w:ilvl="4" w:tplc="7E12FD2E">
      <w:numFmt w:val="bullet"/>
      <w:lvlText w:val="•"/>
      <w:lvlJc w:val="left"/>
      <w:pPr>
        <w:ind w:left="3313" w:hanging="288"/>
      </w:pPr>
      <w:rPr>
        <w:rFonts w:hint="default"/>
        <w:lang w:val="en-US" w:eastAsia="en-US" w:bidi="ar-SA"/>
      </w:rPr>
    </w:lvl>
    <w:lvl w:ilvl="5" w:tplc="6D62CFCA">
      <w:numFmt w:val="bullet"/>
      <w:lvlText w:val="•"/>
      <w:lvlJc w:val="left"/>
      <w:pPr>
        <w:ind w:left="4007" w:hanging="288"/>
      </w:pPr>
      <w:rPr>
        <w:rFonts w:hint="default"/>
        <w:lang w:val="en-US" w:eastAsia="en-US" w:bidi="ar-SA"/>
      </w:rPr>
    </w:lvl>
    <w:lvl w:ilvl="6" w:tplc="1160DBAC">
      <w:numFmt w:val="bullet"/>
      <w:lvlText w:val="•"/>
      <w:lvlJc w:val="left"/>
      <w:pPr>
        <w:ind w:left="4700" w:hanging="288"/>
      </w:pPr>
      <w:rPr>
        <w:rFonts w:hint="default"/>
        <w:lang w:val="en-US" w:eastAsia="en-US" w:bidi="ar-SA"/>
      </w:rPr>
    </w:lvl>
    <w:lvl w:ilvl="7" w:tplc="E00CCBDA">
      <w:numFmt w:val="bullet"/>
      <w:lvlText w:val="•"/>
      <w:lvlJc w:val="left"/>
      <w:pPr>
        <w:ind w:left="5393" w:hanging="288"/>
      </w:pPr>
      <w:rPr>
        <w:rFonts w:hint="default"/>
        <w:lang w:val="en-US" w:eastAsia="en-US" w:bidi="ar-SA"/>
      </w:rPr>
    </w:lvl>
    <w:lvl w:ilvl="8" w:tplc="E3EE9DBE">
      <w:numFmt w:val="bullet"/>
      <w:lvlText w:val="•"/>
      <w:lvlJc w:val="left"/>
      <w:pPr>
        <w:ind w:left="6087" w:hanging="288"/>
      </w:pPr>
      <w:rPr>
        <w:rFonts w:hint="default"/>
        <w:lang w:val="en-US" w:eastAsia="en-US" w:bidi="ar-SA"/>
      </w:rPr>
    </w:lvl>
  </w:abstractNum>
  <w:abstractNum w:abstractNumId="55" w15:restartNumberingAfterBreak="0">
    <w:nsid w:val="2592047B"/>
    <w:multiLevelType w:val="multilevel"/>
    <w:tmpl w:val="0912446A"/>
    <w:lvl w:ilvl="0">
      <w:start w:val="1"/>
      <w:numFmt w:val="decimal"/>
      <w:lvlText w:val="%1."/>
      <w:lvlJc w:val="left"/>
      <w:pPr>
        <w:ind w:left="1303" w:hanging="259"/>
        <w:jc w:val="right"/>
      </w:pPr>
      <w:rPr>
        <w:rFonts w:hint="default"/>
        <w:spacing w:val="0"/>
        <w:w w:val="100"/>
        <w:lang w:val="en-US" w:eastAsia="en-US" w:bidi="ar-SA"/>
      </w:rPr>
    </w:lvl>
    <w:lvl w:ilvl="1">
      <w:start w:val="1"/>
      <w:numFmt w:val="decimal"/>
      <w:lvlText w:val="%1.%2"/>
      <w:lvlJc w:val="left"/>
      <w:pPr>
        <w:ind w:left="1044" w:hanging="335"/>
      </w:pPr>
      <w:rPr>
        <w:rFonts w:ascii="Arial" w:eastAsia="Arial" w:hAnsi="Arial" w:cs="Arial" w:hint="default"/>
        <w:b w:val="0"/>
        <w:bCs w:val="0"/>
        <w:i w:val="0"/>
        <w:iCs w:val="0"/>
        <w:spacing w:val="0"/>
        <w:w w:val="100"/>
        <w:sz w:val="18"/>
        <w:szCs w:val="18"/>
        <w:lang w:val="en-US" w:eastAsia="en-US" w:bidi="ar-SA"/>
      </w:rPr>
    </w:lvl>
    <w:lvl w:ilvl="2">
      <w:numFmt w:val="bullet"/>
      <w:lvlText w:val="•"/>
      <w:lvlJc w:val="left"/>
      <w:pPr>
        <w:ind w:left="2474" w:hanging="335"/>
      </w:pPr>
      <w:rPr>
        <w:rFonts w:hint="default"/>
        <w:lang w:val="en-US" w:eastAsia="en-US" w:bidi="ar-SA"/>
      </w:rPr>
    </w:lvl>
    <w:lvl w:ilvl="3">
      <w:numFmt w:val="bullet"/>
      <w:lvlText w:val="•"/>
      <w:lvlJc w:val="left"/>
      <w:pPr>
        <w:ind w:left="3648" w:hanging="335"/>
      </w:pPr>
      <w:rPr>
        <w:rFonts w:hint="default"/>
        <w:lang w:val="en-US" w:eastAsia="en-US" w:bidi="ar-SA"/>
      </w:rPr>
    </w:lvl>
    <w:lvl w:ilvl="4">
      <w:numFmt w:val="bullet"/>
      <w:lvlText w:val="•"/>
      <w:lvlJc w:val="left"/>
      <w:pPr>
        <w:ind w:left="4822" w:hanging="335"/>
      </w:pPr>
      <w:rPr>
        <w:rFonts w:hint="default"/>
        <w:lang w:val="en-US" w:eastAsia="en-US" w:bidi="ar-SA"/>
      </w:rPr>
    </w:lvl>
    <w:lvl w:ilvl="5">
      <w:numFmt w:val="bullet"/>
      <w:lvlText w:val="•"/>
      <w:lvlJc w:val="left"/>
      <w:pPr>
        <w:ind w:left="5996" w:hanging="335"/>
      </w:pPr>
      <w:rPr>
        <w:rFonts w:hint="default"/>
        <w:lang w:val="en-US" w:eastAsia="en-US" w:bidi="ar-SA"/>
      </w:rPr>
    </w:lvl>
    <w:lvl w:ilvl="6">
      <w:numFmt w:val="bullet"/>
      <w:lvlText w:val="•"/>
      <w:lvlJc w:val="left"/>
      <w:pPr>
        <w:ind w:left="7170" w:hanging="335"/>
      </w:pPr>
      <w:rPr>
        <w:rFonts w:hint="default"/>
        <w:lang w:val="en-US" w:eastAsia="en-US" w:bidi="ar-SA"/>
      </w:rPr>
    </w:lvl>
    <w:lvl w:ilvl="7">
      <w:numFmt w:val="bullet"/>
      <w:lvlText w:val="•"/>
      <w:lvlJc w:val="left"/>
      <w:pPr>
        <w:ind w:left="8344" w:hanging="335"/>
      </w:pPr>
      <w:rPr>
        <w:rFonts w:hint="default"/>
        <w:lang w:val="en-US" w:eastAsia="en-US" w:bidi="ar-SA"/>
      </w:rPr>
    </w:lvl>
    <w:lvl w:ilvl="8">
      <w:numFmt w:val="bullet"/>
      <w:lvlText w:val="•"/>
      <w:lvlJc w:val="left"/>
      <w:pPr>
        <w:ind w:left="9518" w:hanging="335"/>
      </w:pPr>
      <w:rPr>
        <w:rFonts w:hint="default"/>
        <w:lang w:val="en-US" w:eastAsia="en-US" w:bidi="ar-SA"/>
      </w:rPr>
    </w:lvl>
  </w:abstractNum>
  <w:abstractNum w:abstractNumId="56" w15:restartNumberingAfterBreak="0">
    <w:nsid w:val="26426CF3"/>
    <w:multiLevelType w:val="hybridMultilevel"/>
    <w:tmpl w:val="E4926414"/>
    <w:lvl w:ilvl="0" w:tplc="B8D0B758">
      <w:numFmt w:val="bullet"/>
      <w:lvlText w:val=""/>
      <w:lvlJc w:val="left"/>
      <w:pPr>
        <w:ind w:left="826" w:hanging="360"/>
      </w:pPr>
      <w:rPr>
        <w:rFonts w:ascii="Wingdings" w:eastAsia="Wingdings" w:hAnsi="Wingdings" w:cs="Wingdings" w:hint="default"/>
        <w:b w:val="0"/>
        <w:bCs w:val="0"/>
        <w:i w:val="0"/>
        <w:iCs w:val="0"/>
        <w:color w:val="0D0D0D"/>
        <w:spacing w:val="0"/>
        <w:w w:val="100"/>
        <w:sz w:val="22"/>
        <w:szCs w:val="22"/>
        <w:lang w:val="en-US" w:eastAsia="en-US" w:bidi="ar-SA"/>
      </w:rPr>
    </w:lvl>
    <w:lvl w:ilvl="1" w:tplc="1FAC7894">
      <w:numFmt w:val="bullet"/>
      <w:lvlText w:val="•"/>
      <w:lvlJc w:val="left"/>
      <w:pPr>
        <w:ind w:left="916" w:hanging="360"/>
      </w:pPr>
      <w:rPr>
        <w:rFonts w:hint="default"/>
        <w:lang w:val="en-US" w:eastAsia="en-US" w:bidi="ar-SA"/>
      </w:rPr>
    </w:lvl>
    <w:lvl w:ilvl="2" w:tplc="300EF332">
      <w:numFmt w:val="bullet"/>
      <w:lvlText w:val="•"/>
      <w:lvlJc w:val="left"/>
      <w:pPr>
        <w:ind w:left="1012" w:hanging="360"/>
      </w:pPr>
      <w:rPr>
        <w:rFonts w:hint="default"/>
        <w:lang w:val="en-US" w:eastAsia="en-US" w:bidi="ar-SA"/>
      </w:rPr>
    </w:lvl>
    <w:lvl w:ilvl="3" w:tplc="5E8C816E">
      <w:numFmt w:val="bullet"/>
      <w:lvlText w:val="•"/>
      <w:lvlJc w:val="left"/>
      <w:pPr>
        <w:ind w:left="1108" w:hanging="360"/>
      </w:pPr>
      <w:rPr>
        <w:rFonts w:hint="default"/>
        <w:lang w:val="en-US" w:eastAsia="en-US" w:bidi="ar-SA"/>
      </w:rPr>
    </w:lvl>
    <w:lvl w:ilvl="4" w:tplc="D8A6EA38">
      <w:numFmt w:val="bullet"/>
      <w:lvlText w:val="•"/>
      <w:lvlJc w:val="left"/>
      <w:pPr>
        <w:ind w:left="1205" w:hanging="360"/>
      </w:pPr>
      <w:rPr>
        <w:rFonts w:hint="default"/>
        <w:lang w:val="en-US" w:eastAsia="en-US" w:bidi="ar-SA"/>
      </w:rPr>
    </w:lvl>
    <w:lvl w:ilvl="5" w:tplc="246ED21C">
      <w:numFmt w:val="bullet"/>
      <w:lvlText w:val="•"/>
      <w:lvlJc w:val="left"/>
      <w:pPr>
        <w:ind w:left="1301" w:hanging="360"/>
      </w:pPr>
      <w:rPr>
        <w:rFonts w:hint="default"/>
        <w:lang w:val="en-US" w:eastAsia="en-US" w:bidi="ar-SA"/>
      </w:rPr>
    </w:lvl>
    <w:lvl w:ilvl="6" w:tplc="3234648A">
      <w:numFmt w:val="bullet"/>
      <w:lvlText w:val="•"/>
      <w:lvlJc w:val="left"/>
      <w:pPr>
        <w:ind w:left="1397" w:hanging="360"/>
      </w:pPr>
      <w:rPr>
        <w:rFonts w:hint="default"/>
        <w:lang w:val="en-US" w:eastAsia="en-US" w:bidi="ar-SA"/>
      </w:rPr>
    </w:lvl>
    <w:lvl w:ilvl="7" w:tplc="99A84410">
      <w:numFmt w:val="bullet"/>
      <w:lvlText w:val="•"/>
      <w:lvlJc w:val="left"/>
      <w:pPr>
        <w:ind w:left="1494" w:hanging="360"/>
      </w:pPr>
      <w:rPr>
        <w:rFonts w:hint="default"/>
        <w:lang w:val="en-US" w:eastAsia="en-US" w:bidi="ar-SA"/>
      </w:rPr>
    </w:lvl>
    <w:lvl w:ilvl="8" w:tplc="7F566A30">
      <w:numFmt w:val="bullet"/>
      <w:lvlText w:val="•"/>
      <w:lvlJc w:val="left"/>
      <w:pPr>
        <w:ind w:left="1590" w:hanging="360"/>
      </w:pPr>
      <w:rPr>
        <w:rFonts w:hint="default"/>
        <w:lang w:val="en-US" w:eastAsia="en-US" w:bidi="ar-SA"/>
      </w:rPr>
    </w:lvl>
  </w:abstractNum>
  <w:abstractNum w:abstractNumId="57" w15:restartNumberingAfterBreak="0">
    <w:nsid w:val="27D127F5"/>
    <w:multiLevelType w:val="hybridMultilevel"/>
    <w:tmpl w:val="3B104C7E"/>
    <w:lvl w:ilvl="0" w:tplc="E0F22DF6">
      <w:numFmt w:val="bullet"/>
      <w:lvlText w:val="o"/>
      <w:lvlJc w:val="left"/>
      <w:pPr>
        <w:ind w:left="2840" w:hanging="360"/>
      </w:pPr>
      <w:rPr>
        <w:rFonts w:ascii="Courier New" w:eastAsia="Courier New" w:hAnsi="Courier New" w:cs="Courier New" w:hint="default"/>
        <w:b w:val="0"/>
        <w:bCs w:val="0"/>
        <w:i w:val="0"/>
        <w:iCs w:val="0"/>
        <w:spacing w:val="0"/>
        <w:w w:val="100"/>
        <w:sz w:val="24"/>
        <w:szCs w:val="24"/>
        <w:lang w:val="en-US" w:eastAsia="en-US" w:bidi="ar-SA"/>
      </w:rPr>
    </w:lvl>
    <w:lvl w:ilvl="1" w:tplc="9926CC8E">
      <w:numFmt w:val="bullet"/>
      <w:lvlText w:val="•"/>
      <w:lvlJc w:val="left"/>
      <w:pPr>
        <w:ind w:left="3742" w:hanging="360"/>
      </w:pPr>
      <w:rPr>
        <w:rFonts w:hint="default"/>
        <w:lang w:val="en-US" w:eastAsia="en-US" w:bidi="ar-SA"/>
      </w:rPr>
    </w:lvl>
    <w:lvl w:ilvl="2" w:tplc="14BA8F32">
      <w:numFmt w:val="bullet"/>
      <w:lvlText w:val="•"/>
      <w:lvlJc w:val="left"/>
      <w:pPr>
        <w:ind w:left="4645" w:hanging="360"/>
      </w:pPr>
      <w:rPr>
        <w:rFonts w:hint="default"/>
        <w:lang w:val="en-US" w:eastAsia="en-US" w:bidi="ar-SA"/>
      </w:rPr>
    </w:lvl>
    <w:lvl w:ilvl="3" w:tplc="03FA05C4">
      <w:numFmt w:val="bullet"/>
      <w:lvlText w:val="•"/>
      <w:lvlJc w:val="left"/>
      <w:pPr>
        <w:ind w:left="5547" w:hanging="360"/>
      </w:pPr>
      <w:rPr>
        <w:rFonts w:hint="default"/>
        <w:lang w:val="en-US" w:eastAsia="en-US" w:bidi="ar-SA"/>
      </w:rPr>
    </w:lvl>
    <w:lvl w:ilvl="4" w:tplc="B2A61368">
      <w:numFmt w:val="bullet"/>
      <w:lvlText w:val="•"/>
      <w:lvlJc w:val="left"/>
      <w:pPr>
        <w:ind w:left="6450" w:hanging="360"/>
      </w:pPr>
      <w:rPr>
        <w:rFonts w:hint="default"/>
        <w:lang w:val="en-US" w:eastAsia="en-US" w:bidi="ar-SA"/>
      </w:rPr>
    </w:lvl>
    <w:lvl w:ilvl="5" w:tplc="D248972A">
      <w:numFmt w:val="bullet"/>
      <w:lvlText w:val="•"/>
      <w:lvlJc w:val="left"/>
      <w:pPr>
        <w:ind w:left="7353" w:hanging="360"/>
      </w:pPr>
      <w:rPr>
        <w:rFonts w:hint="default"/>
        <w:lang w:val="en-US" w:eastAsia="en-US" w:bidi="ar-SA"/>
      </w:rPr>
    </w:lvl>
    <w:lvl w:ilvl="6" w:tplc="948EAD24">
      <w:numFmt w:val="bullet"/>
      <w:lvlText w:val="•"/>
      <w:lvlJc w:val="left"/>
      <w:pPr>
        <w:ind w:left="8255" w:hanging="360"/>
      </w:pPr>
      <w:rPr>
        <w:rFonts w:hint="default"/>
        <w:lang w:val="en-US" w:eastAsia="en-US" w:bidi="ar-SA"/>
      </w:rPr>
    </w:lvl>
    <w:lvl w:ilvl="7" w:tplc="E6329EF6">
      <w:numFmt w:val="bullet"/>
      <w:lvlText w:val="•"/>
      <w:lvlJc w:val="left"/>
      <w:pPr>
        <w:ind w:left="9158" w:hanging="360"/>
      </w:pPr>
      <w:rPr>
        <w:rFonts w:hint="default"/>
        <w:lang w:val="en-US" w:eastAsia="en-US" w:bidi="ar-SA"/>
      </w:rPr>
    </w:lvl>
    <w:lvl w:ilvl="8" w:tplc="EAC4012C">
      <w:numFmt w:val="bullet"/>
      <w:lvlText w:val="•"/>
      <w:lvlJc w:val="left"/>
      <w:pPr>
        <w:ind w:left="10061" w:hanging="360"/>
      </w:pPr>
      <w:rPr>
        <w:rFonts w:hint="default"/>
        <w:lang w:val="en-US" w:eastAsia="en-US" w:bidi="ar-SA"/>
      </w:rPr>
    </w:lvl>
  </w:abstractNum>
  <w:abstractNum w:abstractNumId="58" w15:restartNumberingAfterBreak="0">
    <w:nsid w:val="2A1D4D88"/>
    <w:multiLevelType w:val="hybridMultilevel"/>
    <w:tmpl w:val="3B34AFB0"/>
    <w:lvl w:ilvl="0" w:tplc="A5C8642C">
      <w:start w:val="1"/>
      <w:numFmt w:val="lowerLetter"/>
      <w:lvlText w:val="(%1)"/>
      <w:lvlJc w:val="left"/>
      <w:pPr>
        <w:ind w:left="1494" w:hanging="428"/>
      </w:pPr>
      <w:rPr>
        <w:rFonts w:ascii="Calibri" w:eastAsia="Calibri" w:hAnsi="Calibri" w:cs="Calibri" w:hint="default"/>
        <w:b w:val="0"/>
        <w:bCs w:val="0"/>
        <w:i w:val="0"/>
        <w:iCs w:val="0"/>
        <w:spacing w:val="-1"/>
        <w:w w:val="100"/>
        <w:sz w:val="24"/>
        <w:szCs w:val="24"/>
        <w:lang w:val="en-US" w:eastAsia="en-US" w:bidi="ar-SA"/>
      </w:rPr>
    </w:lvl>
    <w:lvl w:ilvl="1" w:tplc="8A28851A">
      <w:numFmt w:val="bullet"/>
      <w:lvlText w:val="•"/>
      <w:lvlJc w:val="left"/>
      <w:pPr>
        <w:ind w:left="2536" w:hanging="428"/>
      </w:pPr>
      <w:rPr>
        <w:rFonts w:hint="default"/>
        <w:lang w:val="en-US" w:eastAsia="en-US" w:bidi="ar-SA"/>
      </w:rPr>
    </w:lvl>
    <w:lvl w:ilvl="2" w:tplc="9956FBD4">
      <w:numFmt w:val="bullet"/>
      <w:lvlText w:val="•"/>
      <w:lvlJc w:val="left"/>
      <w:pPr>
        <w:ind w:left="3573" w:hanging="428"/>
      </w:pPr>
      <w:rPr>
        <w:rFonts w:hint="default"/>
        <w:lang w:val="en-US" w:eastAsia="en-US" w:bidi="ar-SA"/>
      </w:rPr>
    </w:lvl>
    <w:lvl w:ilvl="3" w:tplc="9C502BAE">
      <w:numFmt w:val="bullet"/>
      <w:lvlText w:val="•"/>
      <w:lvlJc w:val="left"/>
      <w:pPr>
        <w:ind w:left="4609" w:hanging="428"/>
      </w:pPr>
      <w:rPr>
        <w:rFonts w:hint="default"/>
        <w:lang w:val="en-US" w:eastAsia="en-US" w:bidi="ar-SA"/>
      </w:rPr>
    </w:lvl>
    <w:lvl w:ilvl="4" w:tplc="10141DEE">
      <w:numFmt w:val="bullet"/>
      <w:lvlText w:val="•"/>
      <w:lvlJc w:val="left"/>
      <w:pPr>
        <w:ind w:left="5646" w:hanging="428"/>
      </w:pPr>
      <w:rPr>
        <w:rFonts w:hint="default"/>
        <w:lang w:val="en-US" w:eastAsia="en-US" w:bidi="ar-SA"/>
      </w:rPr>
    </w:lvl>
    <w:lvl w:ilvl="5" w:tplc="85E07446">
      <w:numFmt w:val="bullet"/>
      <w:lvlText w:val="•"/>
      <w:lvlJc w:val="left"/>
      <w:pPr>
        <w:ind w:left="6683" w:hanging="428"/>
      </w:pPr>
      <w:rPr>
        <w:rFonts w:hint="default"/>
        <w:lang w:val="en-US" w:eastAsia="en-US" w:bidi="ar-SA"/>
      </w:rPr>
    </w:lvl>
    <w:lvl w:ilvl="6" w:tplc="1DC80B30">
      <w:numFmt w:val="bullet"/>
      <w:lvlText w:val="•"/>
      <w:lvlJc w:val="left"/>
      <w:pPr>
        <w:ind w:left="7719" w:hanging="428"/>
      </w:pPr>
      <w:rPr>
        <w:rFonts w:hint="default"/>
        <w:lang w:val="en-US" w:eastAsia="en-US" w:bidi="ar-SA"/>
      </w:rPr>
    </w:lvl>
    <w:lvl w:ilvl="7" w:tplc="9D180FF2">
      <w:numFmt w:val="bullet"/>
      <w:lvlText w:val="•"/>
      <w:lvlJc w:val="left"/>
      <w:pPr>
        <w:ind w:left="8756" w:hanging="428"/>
      </w:pPr>
      <w:rPr>
        <w:rFonts w:hint="default"/>
        <w:lang w:val="en-US" w:eastAsia="en-US" w:bidi="ar-SA"/>
      </w:rPr>
    </w:lvl>
    <w:lvl w:ilvl="8" w:tplc="1B0AD386">
      <w:numFmt w:val="bullet"/>
      <w:lvlText w:val="•"/>
      <w:lvlJc w:val="left"/>
      <w:pPr>
        <w:ind w:left="9793" w:hanging="428"/>
      </w:pPr>
      <w:rPr>
        <w:rFonts w:hint="default"/>
        <w:lang w:val="en-US" w:eastAsia="en-US" w:bidi="ar-SA"/>
      </w:rPr>
    </w:lvl>
  </w:abstractNum>
  <w:abstractNum w:abstractNumId="59" w15:restartNumberingAfterBreak="0">
    <w:nsid w:val="2ACF1538"/>
    <w:multiLevelType w:val="multilevel"/>
    <w:tmpl w:val="685C05BA"/>
    <w:lvl w:ilvl="0">
      <w:start w:val="1"/>
      <w:numFmt w:val="decimal"/>
      <w:lvlText w:val="%1."/>
      <w:lvlJc w:val="left"/>
      <w:pPr>
        <w:ind w:left="927" w:hanging="428"/>
        <w:jc w:val="right"/>
      </w:pPr>
      <w:rPr>
        <w:rFonts w:ascii="Calibri" w:eastAsia="Calibri" w:hAnsi="Calibri" w:cs="Calibri" w:hint="default"/>
        <w:b/>
        <w:bCs/>
        <w:i w:val="0"/>
        <w:iCs w:val="0"/>
        <w:spacing w:val="-1"/>
        <w:w w:val="100"/>
        <w:sz w:val="36"/>
        <w:szCs w:val="36"/>
        <w:lang w:val="en-US" w:eastAsia="en-US" w:bidi="ar-SA"/>
      </w:rPr>
    </w:lvl>
    <w:lvl w:ilvl="1">
      <w:start w:val="1"/>
      <w:numFmt w:val="decimal"/>
      <w:lvlText w:val="%1.%2"/>
      <w:lvlJc w:val="left"/>
      <w:pPr>
        <w:ind w:left="1066" w:hanging="567"/>
      </w:pPr>
      <w:rPr>
        <w:rFonts w:hint="default"/>
        <w:spacing w:val="0"/>
        <w:w w:val="100"/>
        <w:lang w:val="en-US" w:eastAsia="en-US" w:bidi="ar-SA"/>
      </w:rPr>
    </w:lvl>
    <w:lvl w:ilvl="2">
      <w:start w:val="1"/>
      <w:numFmt w:val="decimal"/>
      <w:lvlText w:val="%1.%2.%3"/>
      <w:lvlJc w:val="left"/>
      <w:pPr>
        <w:ind w:left="1208" w:hanging="567"/>
      </w:pPr>
      <w:rPr>
        <w:rFonts w:ascii="Calibri" w:eastAsia="Calibri" w:hAnsi="Calibri" w:cs="Calibri" w:hint="default"/>
        <w:b w:val="0"/>
        <w:bCs w:val="0"/>
        <w:i w:val="0"/>
        <w:iCs w:val="0"/>
        <w:spacing w:val="0"/>
        <w:w w:val="100"/>
        <w:sz w:val="24"/>
        <w:szCs w:val="24"/>
        <w:lang w:val="en-US" w:eastAsia="en-US" w:bidi="ar-SA"/>
      </w:rPr>
    </w:lvl>
    <w:lvl w:ilvl="3">
      <w:start w:val="1"/>
      <w:numFmt w:val="lowerLetter"/>
      <w:lvlText w:val="(%4)"/>
      <w:lvlJc w:val="left"/>
      <w:pPr>
        <w:ind w:left="1494" w:hanging="567"/>
      </w:pPr>
      <w:rPr>
        <w:rFonts w:ascii="Calibri" w:eastAsia="Calibri" w:hAnsi="Calibri" w:cs="Calibri" w:hint="default"/>
        <w:b w:val="0"/>
        <w:bCs w:val="0"/>
        <w:i w:val="0"/>
        <w:iCs w:val="0"/>
        <w:spacing w:val="-1"/>
        <w:w w:val="100"/>
        <w:sz w:val="24"/>
        <w:szCs w:val="24"/>
        <w:lang w:val="en-US" w:eastAsia="en-US" w:bidi="ar-SA"/>
      </w:rPr>
    </w:lvl>
    <w:lvl w:ilvl="4">
      <w:numFmt w:val="bullet"/>
      <w:lvlText w:val="•"/>
      <w:lvlJc w:val="left"/>
      <w:pPr>
        <w:ind w:left="2980" w:hanging="567"/>
      </w:pPr>
      <w:rPr>
        <w:rFonts w:hint="default"/>
        <w:lang w:val="en-US" w:eastAsia="en-US" w:bidi="ar-SA"/>
      </w:rPr>
    </w:lvl>
    <w:lvl w:ilvl="5">
      <w:numFmt w:val="bullet"/>
      <w:lvlText w:val="•"/>
      <w:lvlJc w:val="left"/>
      <w:pPr>
        <w:ind w:left="4461" w:hanging="567"/>
      </w:pPr>
      <w:rPr>
        <w:rFonts w:hint="default"/>
        <w:lang w:val="en-US" w:eastAsia="en-US" w:bidi="ar-SA"/>
      </w:rPr>
    </w:lvl>
    <w:lvl w:ilvl="6">
      <w:numFmt w:val="bullet"/>
      <w:lvlText w:val="•"/>
      <w:lvlJc w:val="left"/>
      <w:pPr>
        <w:ind w:left="5942" w:hanging="567"/>
      </w:pPr>
      <w:rPr>
        <w:rFonts w:hint="default"/>
        <w:lang w:val="en-US" w:eastAsia="en-US" w:bidi="ar-SA"/>
      </w:rPr>
    </w:lvl>
    <w:lvl w:ilvl="7">
      <w:numFmt w:val="bullet"/>
      <w:lvlText w:val="•"/>
      <w:lvlJc w:val="left"/>
      <w:pPr>
        <w:ind w:left="7423" w:hanging="567"/>
      </w:pPr>
      <w:rPr>
        <w:rFonts w:hint="default"/>
        <w:lang w:val="en-US" w:eastAsia="en-US" w:bidi="ar-SA"/>
      </w:rPr>
    </w:lvl>
    <w:lvl w:ilvl="8">
      <w:numFmt w:val="bullet"/>
      <w:lvlText w:val="•"/>
      <w:lvlJc w:val="left"/>
      <w:pPr>
        <w:ind w:left="8904" w:hanging="567"/>
      </w:pPr>
      <w:rPr>
        <w:rFonts w:hint="default"/>
        <w:lang w:val="en-US" w:eastAsia="en-US" w:bidi="ar-SA"/>
      </w:rPr>
    </w:lvl>
  </w:abstractNum>
  <w:abstractNum w:abstractNumId="60" w15:restartNumberingAfterBreak="0">
    <w:nsid w:val="2B4D53A3"/>
    <w:multiLevelType w:val="hybridMultilevel"/>
    <w:tmpl w:val="966067C8"/>
    <w:lvl w:ilvl="0" w:tplc="C08AF28A">
      <w:start w:val="1"/>
      <w:numFmt w:val="lowerRoman"/>
      <w:lvlText w:val="%1)"/>
      <w:lvlJc w:val="left"/>
      <w:pPr>
        <w:ind w:left="277" w:hanging="255"/>
      </w:pPr>
      <w:rPr>
        <w:rFonts w:ascii="Arial" w:eastAsia="Arial" w:hAnsi="Arial" w:cs="Arial" w:hint="default"/>
        <w:b w:val="0"/>
        <w:bCs w:val="0"/>
        <w:i w:val="0"/>
        <w:iCs w:val="0"/>
        <w:spacing w:val="-1"/>
        <w:w w:val="99"/>
        <w:sz w:val="24"/>
        <w:szCs w:val="24"/>
        <w:lang w:val="en-US" w:eastAsia="en-US" w:bidi="ar-SA"/>
      </w:rPr>
    </w:lvl>
    <w:lvl w:ilvl="1" w:tplc="5EE27080">
      <w:numFmt w:val="bullet"/>
      <w:lvlText w:val="•"/>
      <w:lvlJc w:val="left"/>
      <w:pPr>
        <w:ind w:left="999" w:hanging="255"/>
      </w:pPr>
      <w:rPr>
        <w:rFonts w:hint="default"/>
        <w:lang w:val="en-US" w:eastAsia="en-US" w:bidi="ar-SA"/>
      </w:rPr>
    </w:lvl>
    <w:lvl w:ilvl="2" w:tplc="71B4A422">
      <w:numFmt w:val="bullet"/>
      <w:lvlText w:val="•"/>
      <w:lvlJc w:val="left"/>
      <w:pPr>
        <w:ind w:left="1718" w:hanging="255"/>
      </w:pPr>
      <w:rPr>
        <w:rFonts w:hint="default"/>
        <w:lang w:val="en-US" w:eastAsia="en-US" w:bidi="ar-SA"/>
      </w:rPr>
    </w:lvl>
    <w:lvl w:ilvl="3" w:tplc="19B46FEA">
      <w:numFmt w:val="bullet"/>
      <w:lvlText w:val="•"/>
      <w:lvlJc w:val="left"/>
      <w:pPr>
        <w:ind w:left="2438" w:hanging="255"/>
      </w:pPr>
      <w:rPr>
        <w:rFonts w:hint="default"/>
        <w:lang w:val="en-US" w:eastAsia="en-US" w:bidi="ar-SA"/>
      </w:rPr>
    </w:lvl>
    <w:lvl w:ilvl="4" w:tplc="FBB2783A">
      <w:numFmt w:val="bullet"/>
      <w:lvlText w:val="•"/>
      <w:lvlJc w:val="left"/>
      <w:pPr>
        <w:ind w:left="3157" w:hanging="255"/>
      </w:pPr>
      <w:rPr>
        <w:rFonts w:hint="default"/>
        <w:lang w:val="en-US" w:eastAsia="en-US" w:bidi="ar-SA"/>
      </w:rPr>
    </w:lvl>
    <w:lvl w:ilvl="5" w:tplc="A77A7846">
      <w:numFmt w:val="bullet"/>
      <w:lvlText w:val="•"/>
      <w:lvlJc w:val="left"/>
      <w:pPr>
        <w:ind w:left="3877" w:hanging="255"/>
      </w:pPr>
      <w:rPr>
        <w:rFonts w:hint="default"/>
        <w:lang w:val="en-US" w:eastAsia="en-US" w:bidi="ar-SA"/>
      </w:rPr>
    </w:lvl>
    <w:lvl w:ilvl="6" w:tplc="7FA2E0C6">
      <w:numFmt w:val="bullet"/>
      <w:lvlText w:val="•"/>
      <w:lvlJc w:val="left"/>
      <w:pPr>
        <w:ind w:left="4596" w:hanging="255"/>
      </w:pPr>
      <w:rPr>
        <w:rFonts w:hint="default"/>
        <w:lang w:val="en-US" w:eastAsia="en-US" w:bidi="ar-SA"/>
      </w:rPr>
    </w:lvl>
    <w:lvl w:ilvl="7" w:tplc="B47A354A">
      <w:numFmt w:val="bullet"/>
      <w:lvlText w:val="•"/>
      <w:lvlJc w:val="left"/>
      <w:pPr>
        <w:ind w:left="5315" w:hanging="255"/>
      </w:pPr>
      <w:rPr>
        <w:rFonts w:hint="default"/>
        <w:lang w:val="en-US" w:eastAsia="en-US" w:bidi="ar-SA"/>
      </w:rPr>
    </w:lvl>
    <w:lvl w:ilvl="8" w:tplc="AC2CC118">
      <w:numFmt w:val="bullet"/>
      <w:lvlText w:val="•"/>
      <w:lvlJc w:val="left"/>
      <w:pPr>
        <w:ind w:left="6035" w:hanging="255"/>
      </w:pPr>
      <w:rPr>
        <w:rFonts w:hint="default"/>
        <w:lang w:val="en-US" w:eastAsia="en-US" w:bidi="ar-SA"/>
      </w:rPr>
    </w:lvl>
  </w:abstractNum>
  <w:abstractNum w:abstractNumId="61" w15:restartNumberingAfterBreak="0">
    <w:nsid w:val="2C457C97"/>
    <w:multiLevelType w:val="hybridMultilevel"/>
    <w:tmpl w:val="17986B2C"/>
    <w:lvl w:ilvl="0" w:tplc="D4A65F26">
      <w:start w:val="3"/>
      <w:numFmt w:val="lowerLetter"/>
      <w:lvlText w:val="(%1)"/>
      <w:lvlJc w:val="left"/>
      <w:pPr>
        <w:ind w:left="277" w:hanging="353"/>
      </w:pPr>
      <w:rPr>
        <w:rFonts w:ascii="Arial" w:eastAsia="Arial" w:hAnsi="Arial" w:cs="Arial" w:hint="default"/>
        <w:b w:val="0"/>
        <w:bCs w:val="0"/>
        <w:i w:val="0"/>
        <w:iCs w:val="0"/>
        <w:spacing w:val="0"/>
        <w:w w:val="99"/>
        <w:sz w:val="24"/>
        <w:szCs w:val="24"/>
        <w:lang w:val="en-US" w:eastAsia="en-US" w:bidi="ar-SA"/>
      </w:rPr>
    </w:lvl>
    <w:lvl w:ilvl="1" w:tplc="CAE2D008">
      <w:start w:val="1"/>
      <w:numFmt w:val="lowerRoman"/>
      <w:lvlText w:val="(%2)"/>
      <w:lvlJc w:val="left"/>
      <w:pPr>
        <w:ind w:left="277" w:hanging="286"/>
      </w:pPr>
      <w:rPr>
        <w:rFonts w:ascii="Arial" w:eastAsia="Arial" w:hAnsi="Arial" w:cs="Arial" w:hint="default"/>
        <w:b w:val="0"/>
        <w:bCs w:val="0"/>
        <w:i w:val="0"/>
        <w:iCs w:val="0"/>
        <w:spacing w:val="-2"/>
        <w:w w:val="99"/>
        <w:sz w:val="24"/>
        <w:szCs w:val="24"/>
        <w:lang w:val="en-US" w:eastAsia="en-US" w:bidi="ar-SA"/>
      </w:rPr>
    </w:lvl>
    <w:lvl w:ilvl="2" w:tplc="4E848960">
      <w:numFmt w:val="bullet"/>
      <w:lvlText w:val="•"/>
      <w:lvlJc w:val="left"/>
      <w:pPr>
        <w:ind w:left="1718" w:hanging="286"/>
      </w:pPr>
      <w:rPr>
        <w:rFonts w:hint="default"/>
        <w:lang w:val="en-US" w:eastAsia="en-US" w:bidi="ar-SA"/>
      </w:rPr>
    </w:lvl>
    <w:lvl w:ilvl="3" w:tplc="D28CE068">
      <w:numFmt w:val="bullet"/>
      <w:lvlText w:val="•"/>
      <w:lvlJc w:val="left"/>
      <w:pPr>
        <w:ind w:left="2438" w:hanging="286"/>
      </w:pPr>
      <w:rPr>
        <w:rFonts w:hint="default"/>
        <w:lang w:val="en-US" w:eastAsia="en-US" w:bidi="ar-SA"/>
      </w:rPr>
    </w:lvl>
    <w:lvl w:ilvl="4" w:tplc="A8E6EF4A">
      <w:numFmt w:val="bullet"/>
      <w:lvlText w:val="•"/>
      <w:lvlJc w:val="left"/>
      <w:pPr>
        <w:ind w:left="3157" w:hanging="286"/>
      </w:pPr>
      <w:rPr>
        <w:rFonts w:hint="default"/>
        <w:lang w:val="en-US" w:eastAsia="en-US" w:bidi="ar-SA"/>
      </w:rPr>
    </w:lvl>
    <w:lvl w:ilvl="5" w:tplc="9808DA24">
      <w:numFmt w:val="bullet"/>
      <w:lvlText w:val="•"/>
      <w:lvlJc w:val="left"/>
      <w:pPr>
        <w:ind w:left="3877" w:hanging="286"/>
      </w:pPr>
      <w:rPr>
        <w:rFonts w:hint="default"/>
        <w:lang w:val="en-US" w:eastAsia="en-US" w:bidi="ar-SA"/>
      </w:rPr>
    </w:lvl>
    <w:lvl w:ilvl="6" w:tplc="57F61136">
      <w:numFmt w:val="bullet"/>
      <w:lvlText w:val="•"/>
      <w:lvlJc w:val="left"/>
      <w:pPr>
        <w:ind w:left="4596" w:hanging="286"/>
      </w:pPr>
      <w:rPr>
        <w:rFonts w:hint="default"/>
        <w:lang w:val="en-US" w:eastAsia="en-US" w:bidi="ar-SA"/>
      </w:rPr>
    </w:lvl>
    <w:lvl w:ilvl="7" w:tplc="9C308700">
      <w:numFmt w:val="bullet"/>
      <w:lvlText w:val="•"/>
      <w:lvlJc w:val="left"/>
      <w:pPr>
        <w:ind w:left="5315" w:hanging="286"/>
      </w:pPr>
      <w:rPr>
        <w:rFonts w:hint="default"/>
        <w:lang w:val="en-US" w:eastAsia="en-US" w:bidi="ar-SA"/>
      </w:rPr>
    </w:lvl>
    <w:lvl w:ilvl="8" w:tplc="8C04E0B2">
      <w:numFmt w:val="bullet"/>
      <w:lvlText w:val="•"/>
      <w:lvlJc w:val="left"/>
      <w:pPr>
        <w:ind w:left="6035" w:hanging="286"/>
      </w:pPr>
      <w:rPr>
        <w:rFonts w:hint="default"/>
        <w:lang w:val="en-US" w:eastAsia="en-US" w:bidi="ar-SA"/>
      </w:rPr>
    </w:lvl>
  </w:abstractNum>
  <w:abstractNum w:abstractNumId="62" w15:restartNumberingAfterBreak="0">
    <w:nsid w:val="2CE7574B"/>
    <w:multiLevelType w:val="hybridMultilevel"/>
    <w:tmpl w:val="31BE8D80"/>
    <w:lvl w:ilvl="0" w:tplc="CD640F18">
      <w:start w:val="1"/>
      <w:numFmt w:val="lowerLetter"/>
      <w:lvlText w:val="(%1)"/>
      <w:lvlJc w:val="left"/>
      <w:pPr>
        <w:ind w:left="1494" w:hanging="428"/>
      </w:pPr>
      <w:rPr>
        <w:rFonts w:ascii="Calibri" w:eastAsia="Calibri" w:hAnsi="Calibri" w:cs="Calibri" w:hint="default"/>
        <w:b w:val="0"/>
        <w:bCs w:val="0"/>
        <w:i w:val="0"/>
        <w:iCs w:val="0"/>
        <w:spacing w:val="-1"/>
        <w:w w:val="100"/>
        <w:sz w:val="24"/>
        <w:szCs w:val="24"/>
        <w:lang w:val="en-US" w:eastAsia="en-US" w:bidi="ar-SA"/>
      </w:rPr>
    </w:lvl>
    <w:lvl w:ilvl="1" w:tplc="8B465DBC">
      <w:numFmt w:val="bullet"/>
      <w:lvlText w:val="•"/>
      <w:lvlJc w:val="left"/>
      <w:pPr>
        <w:ind w:left="2536" w:hanging="428"/>
      </w:pPr>
      <w:rPr>
        <w:rFonts w:hint="default"/>
        <w:lang w:val="en-US" w:eastAsia="en-US" w:bidi="ar-SA"/>
      </w:rPr>
    </w:lvl>
    <w:lvl w:ilvl="2" w:tplc="7E7A86C4">
      <w:numFmt w:val="bullet"/>
      <w:lvlText w:val="•"/>
      <w:lvlJc w:val="left"/>
      <w:pPr>
        <w:ind w:left="3573" w:hanging="428"/>
      </w:pPr>
      <w:rPr>
        <w:rFonts w:hint="default"/>
        <w:lang w:val="en-US" w:eastAsia="en-US" w:bidi="ar-SA"/>
      </w:rPr>
    </w:lvl>
    <w:lvl w:ilvl="3" w:tplc="874A82A8">
      <w:numFmt w:val="bullet"/>
      <w:lvlText w:val="•"/>
      <w:lvlJc w:val="left"/>
      <w:pPr>
        <w:ind w:left="4609" w:hanging="428"/>
      </w:pPr>
      <w:rPr>
        <w:rFonts w:hint="default"/>
        <w:lang w:val="en-US" w:eastAsia="en-US" w:bidi="ar-SA"/>
      </w:rPr>
    </w:lvl>
    <w:lvl w:ilvl="4" w:tplc="D9DC61CA">
      <w:numFmt w:val="bullet"/>
      <w:lvlText w:val="•"/>
      <w:lvlJc w:val="left"/>
      <w:pPr>
        <w:ind w:left="5646" w:hanging="428"/>
      </w:pPr>
      <w:rPr>
        <w:rFonts w:hint="default"/>
        <w:lang w:val="en-US" w:eastAsia="en-US" w:bidi="ar-SA"/>
      </w:rPr>
    </w:lvl>
    <w:lvl w:ilvl="5" w:tplc="F7586DE0">
      <w:numFmt w:val="bullet"/>
      <w:lvlText w:val="•"/>
      <w:lvlJc w:val="left"/>
      <w:pPr>
        <w:ind w:left="6683" w:hanging="428"/>
      </w:pPr>
      <w:rPr>
        <w:rFonts w:hint="default"/>
        <w:lang w:val="en-US" w:eastAsia="en-US" w:bidi="ar-SA"/>
      </w:rPr>
    </w:lvl>
    <w:lvl w:ilvl="6" w:tplc="88E2CE3E">
      <w:numFmt w:val="bullet"/>
      <w:lvlText w:val="•"/>
      <w:lvlJc w:val="left"/>
      <w:pPr>
        <w:ind w:left="7719" w:hanging="428"/>
      </w:pPr>
      <w:rPr>
        <w:rFonts w:hint="default"/>
        <w:lang w:val="en-US" w:eastAsia="en-US" w:bidi="ar-SA"/>
      </w:rPr>
    </w:lvl>
    <w:lvl w:ilvl="7" w:tplc="C38450AC">
      <w:numFmt w:val="bullet"/>
      <w:lvlText w:val="•"/>
      <w:lvlJc w:val="left"/>
      <w:pPr>
        <w:ind w:left="8756" w:hanging="428"/>
      </w:pPr>
      <w:rPr>
        <w:rFonts w:hint="default"/>
        <w:lang w:val="en-US" w:eastAsia="en-US" w:bidi="ar-SA"/>
      </w:rPr>
    </w:lvl>
    <w:lvl w:ilvl="8" w:tplc="658400A2">
      <w:numFmt w:val="bullet"/>
      <w:lvlText w:val="•"/>
      <w:lvlJc w:val="left"/>
      <w:pPr>
        <w:ind w:left="9793" w:hanging="428"/>
      </w:pPr>
      <w:rPr>
        <w:rFonts w:hint="default"/>
        <w:lang w:val="en-US" w:eastAsia="en-US" w:bidi="ar-SA"/>
      </w:rPr>
    </w:lvl>
  </w:abstractNum>
  <w:abstractNum w:abstractNumId="63" w15:restartNumberingAfterBreak="0">
    <w:nsid w:val="2D1C510A"/>
    <w:multiLevelType w:val="hybridMultilevel"/>
    <w:tmpl w:val="459A8B9E"/>
    <w:lvl w:ilvl="0" w:tplc="9530B564">
      <w:numFmt w:val="bullet"/>
      <w:lvlText w:val=""/>
      <w:lvlJc w:val="left"/>
      <w:pPr>
        <w:ind w:left="627" w:hanging="272"/>
      </w:pPr>
      <w:rPr>
        <w:rFonts w:ascii="Symbol" w:eastAsia="Symbol" w:hAnsi="Symbol" w:cs="Symbol" w:hint="default"/>
        <w:b w:val="0"/>
        <w:bCs w:val="0"/>
        <w:i w:val="0"/>
        <w:iCs w:val="0"/>
        <w:spacing w:val="0"/>
        <w:w w:val="104"/>
        <w:sz w:val="13"/>
        <w:szCs w:val="13"/>
        <w:lang w:val="en-US" w:eastAsia="en-US" w:bidi="ar-SA"/>
      </w:rPr>
    </w:lvl>
    <w:lvl w:ilvl="1" w:tplc="47866E8A">
      <w:numFmt w:val="bullet"/>
      <w:lvlText w:val="•"/>
      <w:lvlJc w:val="left"/>
      <w:pPr>
        <w:ind w:left="865" w:hanging="272"/>
      </w:pPr>
      <w:rPr>
        <w:rFonts w:hint="default"/>
        <w:lang w:val="en-US" w:eastAsia="en-US" w:bidi="ar-SA"/>
      </w:rPr>
    </w:lvl>
    <w:lvl w:ilvl="2" w:tplc="00CABBBE">
      <w:numFmt w:val="bullet"/>
      <w:lvlText w:val="•"/>
      <w:lvlJc w:val="left"/>
      <w:pPr>
        <w:ind w:left="1110" w:hanging="272"/>
      </w:pPr>
      <w:rPr>
        <w:rFonts w:hint="default"/>
        <w:lang w:val="en-US" w:eastAsia="en-US" w:bidi="ar-SA"/>
      </w:rPr>
    </w:lvl>
    <w:lvl w:ilvl="3" w:tplc="1B34EBCE">
      <w:numFmt w:val="bullet"/>
      <w:lvlText w:val="•"/>
      <w:lvlJc w:val="left"/>
      <w:pPr>
        <w:ind w:left="1355" w:hanging="272"/>
      </w:pPr>
      <w:rPr>
        <w:rFonts w:hint="default"/>
        <w:lang w:val="en-US" w:eastAsia="en-US" w:bidi="ar-SA"/>
      </w:rPr>
    </w:lvl>
    <w:lvl w:ilvl="4" w:tplc="02804400">
      <w:numFmt w:val="bullet"/>
      <w:lvlText w:val="•"/>
      <w:lvlJc w:val="left"/>
      <w:pPr>
        <w:ind w:left="1600" w:hanging="272"/>
      </w:pPr>
      <w:rPr>
        <w:rFonts w:hint="default"/>
        <w:lang w:val="en-US" w:eastAsia="en-US" w:bidi="ar-SA"/>
      </w:rPr>
    </w:lvl>
    <w:lvl w:ilvl="5" w:tplc="15024EA4">
      <w:numFmt w:val="bullet"/>
      <w:lvlText w:val="•"/>
      <w:lvlJc w:val="left"/>
      <w:pPr>
        <w:ind w:left="1845" w:hanging="272"/>
      </w:pPr>
      <w:rPr>
        <w:rFonts w:hint="default"/>
        <w:lang w:val="en-US" w:eastAsia="en-US" w:bidi="ar-SA"/>
      </w:rPr>
    </w:lvl>
    <w:lvl w:ilvl="6" w:tplc="3EA0F1AA">
      <w:numFmt w:val="bullet"/>
      <w:lvlText w:val="•"/>
      <w:lvlJc w:val="left"/>
      <w:pPr>
        <w:ind w:left="2090" w:hanging="272"/>
      </w:pPr>
      <w:rPr>
        <w:rFonts w:hint="default"/>
        <w:lang w:val="en-US" w:eastAsia="en-US" w:bidi="ar-SA"/>
      </w:rPr>
    </w:lvl>
    <w:lvl w:ilvl="7" w:tplc="A042B248">
      <w:numFmt w:val="bullet"/>
      <w:lvlText w:val="•"/>
      <w:lvlJc w:val="left"/>
      <w:pPr>
        <w:ind w:left="2335" w:hanging="272"/>
      </w:pPr>
      <w:rPr>
        <w:rFonts w:hint="default"/>
        <w:lang w:val="en-US" w:eastAsia="en-US" w:bidi="ar-SA"/>
      </w:rPr>
    </w:lvl>
    <w:lvl w:ilvl="8" w:tplc="F794B530">
      <w:numFmt w:val="bullet"/>
      <w:lvlText w:val="•"/>
      <w:lvlJc w:val="left"/>
      <w:pPr>
        <w:ind w:left="2580" w:hanging="272"/>
      </w:pPr>
      <w:rPr>
        <w:rFonts w:hint="default"/>
        <w:lang w:val="en-US" w:eastAsia="en-US" w:bidi="ar-SA"/>
      </w:rPr>
    </w:lvl>
  </w:abstractNum>
  <w:abstractNum w:abstractNumId="64" w15:restartNumberingAfterBreak="0">
    <w:nsid w:val="2E4B32BE"/>
    <w:multiLevelType w:val="hybridMultilevel"/>
    <w:tmpl w:val="A880D288"/>
    <w:lvl w:ilvl="0" w:tplc="656AF674">
      <w:start w:val="15"/>
      <w:numFmt w:val="lowerLetter"/>
      <w:lvlText w:val="%1)"/>
      <w:lvlJc w:val="left"/>
      <w:pPr>
        <w:ind w:left="539" w:hanging="288"/>
      </w:pPr>
      <w:rPr>
        <w:rFonts w:ascii="Arial" w:eastAsia="Arial" w:hAnsi="Arial" w:cs="Arial" w:hint="default"/>
        <w:b w:val="0"/>
        <w:bCs w:val="0"/>
        <w:i w:val="0"/>
        <w:iCs w:val="0"/>
        <w:spacing w:val="0"/>
        <w:w w:val="99"/>
        <w:sz w:val="24"/>
        <w:szCs w:val="24"/>
        <w:lang w:val="en-US" w:eastAsia="en-US" w:bidi="ar-SA"/>
      </w:rPr>
    </w:lvl>
    <w:lvl w:ilvl="1" w:tplc="6B2A8836">
      <w:numFmt w:val="bullet"/>
      <w:lvlText w:val="•"/>
      <w:lvlJc w:val="left"/>
      <w:pPr>
        <w:ind w:left="1233" w:hanging="288"/>
      </w:pPr>
      <w:rPr>
        <w:rFonts w:hint="default"/>
        <w:lang w:val="en-US" w:eastAsia="en-US" w:bidi="ar-SA"/>
      </w:rPr>
    </w:lvl>
    <w:lvl w:ilvl="2" w:tplc="F692DCD8">
      <w:numFmt w:val="bullet"/>
      <w:lvlText w:val="•"/>
      <w:lvlJc w:val="left"/>
      <w:pPr>
        <w:ind w:left="1926" w:hanging="288"/>
      </w:pPr>
      <w:rPr>
        <w:rFonts w:hint="default"/>
        <w:lang w:val="en-US" w:eastAsia="en-US" w:bidi="ar-SA"/>
      </w:rPr>
    </w:lvl>
    <w:lvl w:ilvl="3" w:tplc="C6FA07AA">
      <w:numFmt w:val="bullet"/>
      <w:lvlText w:val="•"/>
      <w:lvlJc w:val="left"/>
      <w:pPr>
        <w:ind w:left="2620" w:hanging="288"/>
      </w:pPr>
      <w:rPr>
        <w:rFonts w:hint="default"/>
        <w:lang w:val="en-US" w:eastAsia="en-US" w:bidi="ar-SA"/>
      </w:rPr>
    </w:lvl>
    <w:lvl w:ilvl="4" w:tplc="4DD2BEFA">
      <w:numFmt w:val="bullet"/>
      <w:lvlText w:val="•"/>
      <w:lvlJc w:val="left"/>
      <w:pPr>
        <w:ind w:left="3313" w:hanging="288"/>
      </w:pPr>
      <w:rPr>
        <w:rFonts w:hint="default"/>
        <w:lang w:val="en-US" w:eastAsia="en-US" w:bidi="ar-SA"/>
      </w:rPr>
    </w:lvl>
    <w:lvl w:ilvl="5" w:tplc="FD122B02">
      <w:numFmt w:val="bullet"/>
      <w:lvlText w:val="•"/>
      <w:lvlJc w:val="left"/>
      <w:pPr>
        <w:ind w:left="4007" w:hanging="288"/>
      </w:pPr>
      <w:rPr>
        <w:rFonts w:hint="default"/>
        <w:lang w:val="en-US" w:eastAsia="en-US" w:bidi="ar-SA"/>
      </w:rPr>
    </w:lvl>
    <w:lvl w:ilvl="6" w:tplc="5FA6FE0C">
      <w:numFmt w:val="bullet"/>
      <w:lvlText w:val="•"/>
      <w:lvlJc w:val="left"/>
      <w:pPr>
        <w:ind w:left="4700" w:hanging="288"/>
      </w:pPr>
      <w:rPr>
        <w:rFonts w:hint="default"/>
        <w:lang w:val="en-US" w:eastAsia="en-US" w:bidi="ar-SA"/>
      </w:rPr>
    </w:lvl>
    <w:lvl w:ilvl="7" w:tplc="D2628520">
      <w:numFmt w:val="bullet"/>
      <w:lvlText w:val="•"/>
      <w:lvlJc w:val="left"/>
      <w:pPr>
        <w:ind w:left="5393" w:hanging="288"/>
      </w:pPr>
      <w:rPr>
        <w:rFonts w:hint="default"/>
        <w:lang w:val="en-US" w:eastAsia="en-US" w:bidi="ar-SA"/>
      </w:rPr>
    </w:lvl>
    <w:lvl w:ilvl="8" w:tplc="9D265CC2">
      <w:numFmt w:val="bullet"/>
      <w:lvlText w:val="•"/>
      <w:lvlJc w:val="left"/>
      <w:pPr>
        <w:ind w:left="6087" w:hanging="288"/>
      </w:pPr>
      <w:rPr>
        <w:rFonts w:hint="default"/>
        <w:lang w:val="en-US" w:eastAsia="en-US" w:bidi="ar-SA"/>
      </w:rPr>
    </w:lvl>
  </w:abstractNum>
  <w:abstractNum w:abstractNumId="65" w15:restartNumberingAfterBreak="0">
    <w:nsid w:val="2E6F2498"/>
    <w:multiLevelType w:val="hybridMultilevel"/>
    <w:tmpl w:val="4A74C3D2"/>
    <w:lvl w:ilvl="0" w:tplc="F03E2666">
      <w:numFmt w:val="bullet"/>
      <w:lvlText w:val="-"/>
      <w:lvlJc w:val="left"/>
      <w:pPr>
        <w:ind w:left="109" w:hanging="118"/>
      </w:pPr>
      <w:rPr>
        <w:rFonts w:ascii="Calibri" w:eastAsia="Calibri" w:hAnsi="Calibri" w:cs="Calibri" w:hint="default"/>
        <w:b w:val="0"/>
        <w:bCs w:val="0"/>
        <w:i w:val="0"/>
        <w:iCs w:val="0"/>
        <w:spacing w:val="0"/>
        <w:w w:val="100"/>
        <w:sz w:val="22"/>
        <w:szCs w:val="22"/>
        <w:lang w:val="en-US" w:eastAsia="en-US" w:bidi="ar-SA"/>
      </w:rPr>
    </w:lvl>
    <w:lvl w:ilvl="1" w:tplc="923C9866">
      <w:numFmt w:val="bullet"/>
      <w:lvlText w:val="•"/>
      <w:lvlJc w:val="left"/>
      <w:pPr>
        <w:ind w:left="387" w:hanging="118"/>
      </w:pPr>
      <w:rPr>
        <w:rFonts w:hint="default"/>
        <w:lang w:val="en-US" w:eastAsia="en-US" w:bidi="ar-SA"/>
      </w:rPr>
    </w:lvl>
    <w:lvl w:ilvl="2" w:tplc="1CE87490">
      <w:numFmt w:val="bullet"/>
      <w:lvlText w:val="•"/>
      <w:lvlJc w:val="left"/>
      <w:pPr>
        <w:ind w:left="675" w:hanging="118"/>
      </w:pPr>
      <w:rPr>
        <w:rFonts w:hint="default"/>
        <w:lang w:val="en-US" w:eastAsia="en-US" w:bidi="ar-SA"/>
      </w:rPr>
    </w:lvl>
    <w:lvl w:ilvl="3" w:tplc="4DA0676E">
      <w:numFmt w:val="bullet"/>
      <w:lvlText w:val="•"/>
      <w:lvlJc w:val="left"/>
      <w:pPr>
        <w:ind w:left="963" w:hanging="118"/>
      </w:pPr>
      <w:rPr>
        <w:rFonts w:hint="default"/>
        <w:lang w:val="en-US" w:eastAsia="en-US" w:bidi="ar-SA"/>
      </w:rPr>
    </w:lvl>
    <w:lvl w:ilvl="4" w:tplc="6A70B08A">
      <w:numFmt w:val="bullet"/>
      <w:lvlText w:val="•"/>
      <w:lvlJc w:val="left"/>
      <w:pPr>
        <w:ind w:left="1251" w:hanging="118"/>
      </w:pPr>
      <w:rPr>
        <w:rFonts w:hint="default"/>
        <w:lang w:val="en-US" w:eastAsia="en-US" w:bidi="ar-SA"/>
      </w:rPr>
    </w:lvl>
    <w:lvl w:ilvl="5" w:tplc="49B0462C">
      <w:numFmt w:val="bullet"/>
      <w:lvlText w:val="•"/>
      <w:lvlJc w:val="left"/>
      <w:pPr>
        <w:ind w:left="1539" w:hanging="118"/>
      </w:pPr>
      <w:rPr>
        <w:rFonts w:hint="default"/>
        <w:lang w:val="en-US" w:eastAsia="en-US" w:bidi="ar-SA"/>
      </w:rPr>
    </w:lvl>
    <w:lvl w:ilvl="6" w:tplc="8B04ADD6">
      <w:numFmt w:val="bullet"/>
      <w:lvlText w:val="•"/>
      <w:lvlJc w:val="left"/>
      <w:pPr>
        <w:ind w:left="1826" w:hanging="118"/>
      </w:pPr>
      <w:rPr>
        <w:rFonts w:hint="default"/>
        <w:lang w:val="en-US" w:eastAsia="en-US" w:bidi="ar-SA"/>
      </w:rPr>
    </w:lvl>
    <w:lvl w:ilvl="7" w:tplc="930CC3F8">
      <w:numFmt w:val="bullet"/>
      <w:lvlText w:val="•"/>
      <w:lvlJc w:val="left"/>
      <w:pPr>
        <w:ind w:left="2114" w:hanging="118"/>
      </w:pPr>
      <w:rPr>
        <w:rFonts w:hint="default"/>
        <w:lang w:val="en-US" w:eastAsia="en-US" w:bidi="ar-SA"/>
      </w:rPr>
    </w:lvl>
    <w:lvl w:ilvl="8" w:tplc="A8847BA6">
      <w:numFmt w:val="bullet"/>
      <w:lvlText w:val="•"/>
      <w:lvlJc w:val="left"/>
      <w:pPr>
        <w:ind w:left="2402" w:hanging="118"/>
      </w:pPr>
      <w:rPr>
        <w:rFonts w:hint="default"/>
        <w:lang w:val="en-US" w:eastAsia="en-US" w:bidi="ar-SA"/>
      </w:rPr>
    </w:lvl>
  </w:abstractNum>
  <w:abstractNum w:abstractNumId="66" w15:restartNumberingAfterBreak="0">
    <w:nsid w:val="2EBA5CA1"/>
    <w:multiLevelType w:val="hybridMultilevel"/>
    <w:tmpl w:val="ABF44C2E"/>
    <w:lvl w:ilvl="0" w:tplc="EAAC8A40">
      <w:start w:val="1"/>
      <w:numFmt w:val="lowerLetter"/>
      <w:lvlText w:val="(%1)"/>
      <w:lvlJc w:val="left"/>
      <w:pPr>
        <w:ind w:left="1494" w:hanging="428"/>
      </w:pPr>
      <w:rPr>
        <w:rFonts w:ascii="Calibri" w:eastAsia="Calibri" w:hAnsi="Calibri" w:cs="Calibri" w:hint="default"/>
        <w:b w:val="0"/>
        <w:bCs w:val="0"/>
        <w:i w:val="0"/>
        <w:iCs w:val="0"/>
        <w:spacing w:val="-1"/>
        <w:w w:val="100"/>
        <w:sz w:val="24"/>
        <w:szCs w:val="24"/>
        <w:lang w:val="en-US" w:eastAsia="en-US" w:bidi="ar-SA"/>
      </w:rPr>
    </w:lvl>
    <w:lvl w:ilvl="1" w:tplc="40FC628C">
      <w:numFmt w:val="bullet"/>
      <w:lvlText w:val="•"/>
      <w:lvlJc w:val="left"/>
      <w:pPr>
        <w:ind w:left="2536" w:hanging="428"/>
      </w:pPr>
      <w:rPr>
        <w:rFonts w:hint="default"/>
        <w:lang w:val="en-US" w:eastAsia="en-US" w:bidi="ar-SA"/>
      </w:rPr>
    </w:lvl>
    <w:lvl w:ilvl="2" w:tplc="2C3693B8">
      <w:numFmt w:val="bullet"/>
      <w:lvlText w:val="•"/>
      <w:lvlJc w:val="left"/>
      <w:pPr>
        <w:ind w:left="3573" w:hanging="428"/>
      </w:pPr>
      <w:rPr>
        <w:rFonts w:hint="default"/>
        <w:lang w:val="en-US" w:eastAsia="en-US" w:bidi="ar-SA"/>
      </w:rPr>
    </w:lvl>
    <w:lvl w:ilvl="3" w:tplc="7D4EA55A">
      <w:numFmt w:val="bullet"/>
      <w:lvlText w:val="•"/>
      <w:lvlJc w:val="left"/>
      <w:pPr>
        <w:ind w:left="4609" w:hanging="428"/>
      </w:pPr>
      <w:rPr>
        <w:rFonts w:hint="default"/>
        <w:lang w:val="en-US" w:eastAsia="en-US" w:bidi="ar-SA"/>
      </w:rPr>
    </w:lvl>
    <w:lvl w:ilvl="4" w:tplc="E6E2EBB4">
      <w:numFmt w:val="bullet"/>
      <w:lvlText w:val="•"/>
      <w:lvlJc w:val="left"/>
      <w:pPr>
        <w:ind w:left="5646" w:hanging="428"/>
      </w:pPr>
      <w:rPr>
        <w:rFonts w:hint="default"/>
        <w:lang w:val="en-US" w:eastAsia="en-US" w:bidi="ar-SA"/>
      </w:rPr>
    </w:lvl>
    <w:lvl w:ilvl="5" w:tplc="084A3B6E">
      <w:numFmt w:val="bullet"/>
      <w:lvlText w:val="•"/>
      <w:lvlJc w:val="left"/>
      <w:pPr>
        <w:ind w:left="6683" w:hanging="428"/>
      </w:pPr>
      <w:rPr>
        <w:rFonts w:hint="default"/>
        <w:lang w:val="en-US" w:eastAsia="en-US" w:bidi="ar-SA"/>
      </w:rPr>
    </w:lvl>
    <w:lvl w:ilvl="6" w:tplc="56DA4254">
      <w:numFmt w:val="bullet"/>
      <w:lvlText w:val="•"/>
      <w:lvlJc w:val="left"/>
      <w:pPr>
        <w:ind w:left="7719" w:hanging="428"/>
      </w:pPr>
      <w:rPr>
        <w:rFonts w:hint="default"/>
        <w:lang w:val="en-US" w:eastAsia="en-US" w:bidi="ar-SA"/>
      </w:rPr>
    </w:lvl>
    <w:lvl w:ilvl="7" w:tplc="1130AD44">
      <w:numFmt w:val="bullet"/>
      <w:lvlText w:val="•"/>
      <w:lvlJc w:val="left"/>
      <w:pPr>
        <w:ind w:left="8756" w:hanging="428"/>
      </w:pPr>
      <w:rPr>
        <w:rFonts w:hint="default"/>
        <w:lang w:val="en-US" w:eastAsia="en-US" w:bidi="ar-SA"/>
      </w:rPr>
    </w:lvl>
    <w:lvl w:ilvl="8" w:tplc="7DA814BA">
      <w:numFmt w:val="bullet"/>
      <w:lvlText w:val="•"/>
      <w:lvlJc w:val="left"/>
      <w:pPr>
        <w:ind w:left="9793" w:hanging="428"/>
      </w:pPr>
      <w:rPr>
        <w:rFonts w:hint="default"/>
        <w:lang w:val="en-US" w:eastAsia="en-US" w:bidi="ar-SA"/>
      </w:rPr>
    </w:lvl>
  </w:abstractNum>
  <w:abstractNum w:abstractNumId="67" w15:restartNumberingAfterBreak="0">
    <w:nsid w:val="2F9C34EB"/>
    <w:multiLevelType w:val="hybridMultilevel"/>
    <w:tmpl w:val="CFAEC7AA"/>
    <w:lvl w:ilvl="0" w:tplc="3C24B74C">
      <w:start w:val="1"/>
      <w:numFmt w:val="decimal"/>
      <w:lvlText w:val="%1."/>
      <w:lvlJc w:val="left"/>
      <w:pPr>
        <w:ind w:left="2129" w:hanging="272"/>
      </w:pPr>
      <w:rPr>
        <w:rFonts w:ascii="Arial" w:eastAsia="Arial" w:hAnsi="Arial" w:cs="Arial" w:hint="default"/>
        <w:b w:val="0"/>
        <w:bCs w:val="0"/>
        <w:i w:val="0"/>
        <w:iCs w:val="0"/>
        <w:spacing w:val="0"/>
        <w:w w:val="100"/>
        <w:sz w:val="18"/>
        <w:szCs w:val="18"/>
        <w:lang w:val="en-US" w:eastAsia="en-US" w:bidi="ar-SA"/>
      </w:rPr>
    </w:lvl>
    <w:lvl w:ilvl="1" w:tplc="92CC4A9C">
      <w:numFmt w:val="bullet"/>
      <w:lvlText w:val="•"/>
      <w:lvlJc w:val="left"/>
      <w:pPr>
        <w:ind w:left="3094" w:hanging="272"/>
      </w:pPr>
      <w:rPr>
        <w:rFonts w:hint="default"/>
        <w:lang w:val="en-US" w:eastAsia="en-US" w:bidi="ar-SA"/>
      </w:rPr>
    </w:lvl>
    <w:lvl w:ilvl="2" w:tplc="CA8CE626">
      <w:numFmt w:val="bullet"/>
      <w:lvlText w:val="•"/>
      <w:lvlJc w:val="left"/>
      <w:pPr>
        <w:ind w:left="4069" w:hanging="272"/>
      </w:pPr>
      <w:rPr>
        <w:rFonts w:hint="default"/>
        <w:lang w:val="en-US" w:eastAsia="en-US" w:bidi="ar-SA"/>
      </w:rPr>
    </w:lvl>
    <w:lvl w:ilvl="3" w:tplc="E8DCC306">
      <w:numFmt w:val="bullet"/>
      <w:lvlText w:val="•"/>
      <w:lvlJc w:val="left"/>
      <w:pPr>
        <w:ind w:left="5043" w:hanging="272"/>
      </w:pPr>
      <w:rPr>
        <w:rFonts w:hint="default"/>
        <w:lang w:val="en-US" w:eastAsia="en-US" w:bidi="ar-SA"/>
      </w:rPr>
    </w:lvl>
    <w:lvl w:ilvl="4" w:tplc="469637DC">
      <w:numFmt w:val="bullet"/>
      <w:lvlText w:val="•"/>
      <w:lvlJc w:val="left"/>
      <w:pPr>
        <w:ind w:left="6018" w:hanging="272"/>
      </w:pPr>
      <w:rPr>
        <w:rFonts w:hint="default"/>
        <w:lang w:val="en-US" w:eastAsia="en-US" w:bidi="ar-SA"/>
      </w:rPr>
    </w:lvl>
    <w:lvl w:ilvl="5" w:tplc="3CB2CF7A">
      <w:numFmt w:val="bullet"/>
      <w:lvlText w:val="•"/>
      <w:lvlJc w:val="left"/>
      <w:pPr>
        <w:ind w:left="6993" w:hanging="272"/>
      </w:pPr>
      <w:rPr>
        <w:rFonts w:hint="default"/>
        <w:lang w:val="en-US" w:eastAsia="en-US" w:bidi="ar-SA"/>
      </w:rPr>
    </w:lvl>
    <w:lvl w:ilvl="6" w:tplc="03902646">
      <w:numFmt w:val="bullet"/>
      <w:lvlText w:val="•"/>
      <w:lvlJc w:val="left"/>
      <w:pPr>
        <w:ind w:left="7967" w:hanging="272"/>
      </w:pPr>
      <w:rPr>
        <w:rFonts w:hint="default"/>
        <w:lang w:val="en-US" w:eastAsia="en-US" w:bidi="ar-SA"/>
      </w:rPr>
    </w:lvl>
    <w:lvl w:ilvl="7" w:tplc="CA54AF4E">
      <w:numFmt w:val="bullet"/>
      <w:lvlText w:val="•"/>
      <w:lvlJc w:val="left"/>
      <w:pPr>
        <w:ind w:left="8942" w:hanging="272"/>
      </w:pPr>
      <w:rPr>
        <w:rFonts w:hint="default"/>
        <w:lang w:val="en-US" w:eastAsia="en-US" w:bidi="ar-SA"/>
      </w:rPr>
    </w:lvl>
    <w:lvl w:ilvl="8" w:tplc="B1B4B632">
      <w:numFmt w:val="bullet"/>
      <w:lvlText w:val="•"/>
      <w:lvlJc w:val="left"/>
      <w:pPr>
        <w:ind w:left="9917" w:hanging="272"/>
      </w:pPr>
      <w:rPr>
        <w:rFonts w:hint="default"/>
        <w:lang w:val="en-US" w:eastAsia="en-US" w:bidi="ar-SA"/>
      </w:rPr>
    </w:lvl>
  </w:abstractNum>
  <w:abstractNum w:abstractNumId="68" w15:restartNumberingAfterBreak="0">
    <w:nsid w:val="30FC6676"/>
    <w:multiLevelType w:val="hybridMultilevel"/>
    <w:tmpl w:val="0576F5BC"/>
    <w:lvl w:ilvl="0" w:tplc="BB368E50">
      <w:numFmt w:val="bullet"/>
      <w:lvlText w:val="-"/>
      <w:lvlJc w:val="left"/>
      <w:pPr>
        <w:ind w:left="109" w:hanging="118"/>
      </w:pPr>
      <w:rPr>
        <w:rFonts w:ascii="Calibri" w:eastAsia="Calibri" w:hAnsi="Calibri" w:cs="Calibri" w:hint="default"/>
        <w:b w:val="0"/>
        <w:bCs w:val="0"/>
        <w:i w:val="0"/>
        <w:iCs w:val="0"/>
        <w:spacing w:val="0"/>
        <w:w w:val="100"/>
        <w:sz w:val="22"/>
        <w:szCs w:val="22"/>
        <w:lang w:val="en-US" w:eastAsia="en-US" w:bidi="ar-SA"/>
      </w:rPr>
    </w:lvl>
    <w:lvl w:ilvl="1" w:tplc="2D4ABE2C">
      <w:numFmt w:val="bullet"/>
      <w:lvlText w:val="•"/>
      <w:lvlJc w:val="left"/>
      <w:pPr>
        <w:ind w:left="387" w:hanging="118"/>
      </w:pPr>
      <w:rPr>
        <w:rFonts w:hint="default"/>
        <w:lang w:val="en-US" w:eastAsia="en-US" w:bidi="ar-SA"/>
      </w:rPr>
    </w:lvl>
    <w:lvl w:ilvl="2" w:tplc="4DE2689A">
      <w:numFmt w:val="bullet"/>
      <w:lvlText w:val="•"/>
      <w:lvlJc w:val="left"/>
      <w:pPr>
        <w:ind w:left="675" w:hanging="118"/>
      </w:pPr>
      <w:rPr>
        <w:rFonts w:hint="default"/>
        <w:lang w:val="en-US" w:eastAsia="en-US" w:bidi="ar-SA"/>
      </w:rPr>
    </w:lvl>
    <w:lvl w:ilvl="3" w:tplc="583AFB28">
      <w:numFmt w:val="bullet"/>
      <w:lvlText w:val="•"/>
      <w:lvlJc w:val="left"/>
      <w:pPr>
        <w:ind w:left="963" w:hanging="118"/>
      </w:pPr>
      <w:rPr>
        <w:rFonts w:hint="default"/>
        <w:lang w:val="en-US" w:eastAsia="en-US" w:bidi="ar-SA"/>
      </w:rPr>
    </w:lvl>
    <w:lvl w:ilvl="4" w:tplc="E94A6C08">
      <w:numFmt w:val="bullet"/>
      <w:lvlText w:val="•"/>
      <w:lvlJc w:val="left"/>
      <w:pPr>
        <w:ind w:left="1251" w:hanging="118"/>
      </w:pPr>
      <w:rPr>
        <w:rFonts w:hint="default"/>
        <w:lang w:val="en-US" w:eastAsia="en-US" w:bidi="ar-SA"/>
      </w:rPr>
    </w:lvl>
    <w:lvl w:ilvl="5" w:tplc="D806DE6E">
      <w:numFmt w:val="bullet"/>
      <w:lvlText w:val="•"/>
      <w:lvlJc w:val="left"/>
      <w:pPr>
        <w:ind w:left="1539" w:hanging="118"/>
      </w:pPr>
      <w:rPr>
        <w:rFonts w:hint="default"/>
        <w:lang w:val="en-US" w:eastAsia="en-US" w:bidi="ar-SA"/>
      </w:rPr>
    </w:lvl>
    <w:lvl w:ilvl="6" w:tplc="DA1E51BA">
      <w:numFmt w:val="bullet"/>
      <w:lvlText w:val="•"/>
      <w:lvlJc w:val="left"/>
      <w:pPr>
        <w:ind w:left="1826" w:hanging="118"/>
      </w:pPr>
      <w:rPr>
        <w:rFonts w:hint="default"/>
        <w:lang w:val="en-US" w:eastAsia="en-US" w:bidi="ar-SA"/>
      </w:rPr>
    </w:lvl>
    <w:lvl w:ilvl="7" w:tplc="AE42B49E">
      <w:numFmt w:val="bullet"/>
      <w:lvlText w:val="•"/>
      <w:lvlJc w:val="left"/>
      <w:pPr>
        <w:ind w:left="2114" w:hanging="118"/>
      </w:pPr>
      <w:rPr>
        <w:rFonts w:hint="default"/>
        <w:lang w:val="en-US" w:eastAsia="en-US" w:bidi="ar-SA"/>
      </w:rPr>
    </w:lvl>
    <w:lvl w:ilvl="8" w:tplc="9600E50E">
      <w:numFmt w:val="bullet"/>
      <w:lvlText w:val="•"/>
      <w:lvlJc w:val="left"/>
      <w:pPr>
        <w:ind w:left="2402" w:hanging="118"/>
      </w:pPr>
      <w:rPr>
        <w:rFonts w:hint="default"/>
        <w:lang w:val="en-US" w:eastAsia="en-US" w:bidi="ar-SA"/>
      </w:rPr>
    </w:lvl>
  </w:abstractNum>
  <w:abstractNum w:abstractNumId="69" w15:restartNumberingAfterBreak="0">
    <w:nsid w:val="31956789"/>
    <w:multiLevelType w:val="hybridMultilevel"/>
    <w:tmpl w:val="8E54BF80"/>
    <w:lvl w:ilvl="0" w:tplc="3D868EC4">
      <w:start w:val="1"/>
      <w:numFmt w:val="lowerLetter"/>
      <w:lvlText w:val="(%1)"/>
      <w:lvlJc w:val="left"/>
      <w:pPr>
        <w:ind w:left="1494" w:hanging="428"/>
      </w:pPr>
      <w:rPr>
        <w:rFonts w:ascii="Calibri" w:eastAsia="Calibri" w:hAnsi="Calibri" w:cs="Calibri" w:hint="default"/>
        <w:b w:val="0"/>
        <w:bCs w:val="0"/>
        <w:i w:val="0"/>
        <w:iCs w:val="0"/>
        <w:spacing w:val="-1"/>
        <w:w w:val="100"/>
        <w:sz w:val="24"/>
        <w:szCs w:val="24"/>
        <w:lang w:val="en-US" w:eastAsia="en-US" w:bidi="ar-SA"/>
      </w:rPr>
    </w:lvl>
    <w:lvl w:ilvl="1" w:tplc="87EE5A22">
      <w:numFmt w:val="bullet"/>
      <w:lvlText w:val="•"/>
      <w:lvlJc w:val="left"/>
      <w:pPr>
        <w:ind w:left="2536" w:hanging="428"/>
      </w:pPr>
      <w:rPr>
        <w:rFonts w:hint="default"/>
        <w:lang w:val="en-US" w:eastAsia="en-US" w:bidi="ar-SA"/>
      </w:rPr>
    </w:lvl>
    <w:lvl w:ilvl="2" w:tplc="41AA6A54">
      <w:numFmt w:val="bullet"/>
      <w:lvlText w:val="•"/>
      <w:lvlJc w:val="left"/>
      <w:pPr>
        <w:ind w:left="3573" w:hanging="428"/>
      </w:pPr>
      <w:rPr>
        <w:rFonts w:hint="default"/>
        <w:lang w:val="en-US" w:eastAsia="en-US" w:bidi="ar-SA"/>
      </w:rPr>
    </w:lvl>
    <w:lvl w:ilvl="3" w:tplc="96E0BB14">
      <w:numFmt w:val="bullet"/>
      <w:lvlText w:val="•"/>
      <w:lvlJc w:val="left"/>
      <w:pPr>
        <w:ind w:left="4609" w:hanging="428"/>
      </w:pPr>
      <w:rPr>
        <w:rFonts w:hint="default"/>
        <w:lang w:val="en-US" w:eastAsia="en-US" w:bidi="ar-SA"/>
      </w:rPr>
    </w:lvl>
    <w:lvl w:ilvl="4" w:tplc="667863A0">
      <w:numFmt w:val="bullet"/>
      <w:lvlText w:val="•"/>
      <w:lvlJc w:val="left"/>
      <w:pPr>
        <w:ind w:left="5646" w:hanging="428"/>
      </w:pPr>
      <w:rPr>
        <w:rFonts w:hint="default"/>
        <w:lang w:val="en-US" w:eastAsia="en-US" w:bidi="ar-SA"/>
      </w:rPr>
    </w:lvl>
    <w:lvl w:ilvl="5" w:tplc="5022788C">
      <w:numFmt w:val="bullet"/>
      <w:lvlText w:val="•"/>
      <w:lvlJc w:val="left"/>
      <w:pPr>
        <w:ind w:left="6683" w:hanging="428"/>
      </w:pPr>
      <w:rPr>
        <w:rFonts w:hint="default"/>
        <w:lang w:val="en-US" w:eastAsia="en-US" w:bidi="ar-SA"/>
      </w:rPr>
    </w:lvl>
    <w:lvl w:ilvl="6" w:tplc="095A250E">
      <w:numFmt w:val="bullet"/>
      <w:lvlText w:val="•"/>
      <w:lvlJc w:val="left"/>
      <w:pPr>
        <w:ind w:left="7719" w:hanging="428"/>
      </w:pPr>
      <w:rPr>
        <w:rFonts w:hint="default"/>
        <w:lang w:val="en-US" w:eastAsia="en-US" w:bidi="ar-SA"/>
      </w:rPr>
    </w:lvl>
    <w:lvl w:ilvl="7" w:tplc="FECECF06">
      <w:numFmt w:val="bullet"/>
      <w:lvlText w:val="•"/>
      <w:lvlJc w:val="left"/>
      <w:pPr>
        <w:ind w:left="8756" w:hanging="428"/>
      </w:pPr>
      <w:rPr>
        <w:rFonts w:hint="default"/>
        <w:lang w:val="en-US" w:eastAsia="en-US" w:bidi="ar-SA"/>
      </w:rPr>
    </w:lvl>
    <w:lvl w:ilvl="8" w:tplc="D75C9FD0">
      <w:numFmt w:val="bullet"/>
      <w:lvlText w:val="•"/>
      <w:lvlJc w:val="left"/>
      <w:pPr>
        <w:ind w:left="9793" w:hanging="428"/>
      </w:pPr>
      <w:rPr>
        <w:rFonts w:hint="default"/>
        <w:lang w:val="en-US" w:eastAsia="en-US" w:bidi="ar-SA"/>
      </w:rPr>
    </w:lvl>
  </w:abstractNum>
  <w:abstractNum w:abstractNumId="70" w15:restartNumberingAfterBreak="0">
    <w:nsid w:val="31D15626"/>
    <w:multiLevelType w:val="hybridMultilevel"/>
    <w:tmpl w:val="92681D30"/>
    <w:lvl w:ilvl="0" w:tplc="3EFCA150">
      <w:start w:val="1"/>
      <w:numFmt w:val="lowerLetter"/>
      <w:lvlText w:val="(%1)"/>
      <w:lvlJc w:val="left"/>
      <w:pPr>
        <w:ind w:left="1494" w:hanging="428"/>
      </w:pPr>
      <w:rPr>
        <w:rFonts w:ascii="Calibri" w:eastAsia="Calibri" w:hAnsi="Calibri" w:cs="Calibri" w:hint="default"/>
        <w:b w:val="0"/>
        <w:bCs w:val="0"/>
        <w:i w:val="0"/>
        <w:iCs w:val="0"/>
        <w:spacing w:val="-1"/>
        <w:w w:val="100"/>
        <w:sz w:val="24"/>
        <w:szCs w:val="24"/>
        <w:lang w:val="en-US" w:eastAsia="en-US" w:bidi="ar-SA"/>
      </w:rPr>
    </w:lvl>
    <w:lvl w:ilvl="1" w:tplc="24202456">
      <w:numFmt w:val="bullet"/>
      <w:lvlText w:val="•"/>
      <w:lvlJc w:val="left"/>
      <w:pPr>
        <w:ind w:left="2536" w:hanging="428"/>
      </w:pPr>
      <w:rPr>
        <w:rFonts w:hint="default"/>
        <w:lang w:val="en-US" w:eastAsia="en-US" w:bidi="ar-SA"/>
      </w:rPr>
    </w:lvl>
    <w:lvl w:ilvl="2" w:tplc="50B0C90E">
      <w:numFmt w:val="bullet"/>
      <w:lvlText w:val="•"/>
      <w:lvlJc w:val="left"/>
      <w:pPr>
        <w:ind w:left="3573" w:hanging="428"/>
      </w:pPr>
      <w:rPr>
        <w:rFonts w:hint="default"/>
        <w:lang w:val="en-US" w:eastAsia="en-US" w:bidi="ar-SA"/>
      </w:rPr>
    </w:lvl>
    <w:lvl w:ilvl="3" w:tplc="B7B41ABC">
      <w:numFmt w:val="bullet"/>
      <w:lvlText w:val="•"/>
      <w:lvlJc w:val="left"/>
      <w:pPr>
        <w:ind w:left="4609" w:hanging="428"/>
      </w:pPr>
      <w:rPr>
        <w:rFonts w:hint="default"/>
        <w:lang w:val="en-US" w:eastAsia="en-US" w:bidi="ar-SA"/>
      </w:rPr>
    </w:lvl>
    <w:lvl w:ilvl="4" w:tplc="1FEE39BC">
      <w:numFmt w:val="bullet"/>
      <w:lvlText w:val="•"/>
      <w:lvlJc w:val="left"/>
      <w:pPr>
        <w:ind w:left="5646" w:hanging="428"/>
      </w:pPr>
      <w:rPr>
        <w:rFonts w:hint="default"/>
        <w:lang w:val="en-US" w:eastAsia="en-US" w:bidi="ar-SA"/>
      </w:rPr>
    </w:lvl>
    <w:lvl w:ilvl="5" w:tplc="42D8C8EE">
      <w:numFmt w:val="bullet"/>
      <w:lvlText w:val="•"/>
      <w:lvlJc w:val="left"/>
      <w:pPr>
        <w:ind w:left="6683" w:hanging="428"/>
      </w:pPr>
      <w:rPr>
        <w:rFonts w:hint="default"/>
        <w:lang w:val="en-US" w:eastAsia="en-US" w:bidi="ar-SA"/>
      </w:rPr>
    </w:lvl>
    <w:lvl w:ilvl="6" w:tplc="E1EE1D7A">
      <w:numFmt w:val="bullet"/>
      <w:lvlText w:val="•"/>
      <w:lvlJc w:val="left"/>
      <w:pPr>
        <w:ind w:left="7719" w:hanging="428"/>
      </w:pPr>
      <w:rPr>
        <w:rFonts w:hint="default"/>
        <w:lang w:val="en-US" w:eastAsia="en-US" w:bidi="ar-SA"/>
      </w:rPr>
    </w:lvl>
    <w:lvl w:ilvl="7" w:tplc="504ABD12">
      <w:numFmt w:val="bullet"/>
      <w:lvlText w:val="•"/>
      <w:lvlJc w:val="left"/>
      <w:pPr>
        <w:ind w:left="8756" w:hanging="428"/>
      </w:pPr>
      <w:rPr>
        <w:rFonts w:hint="default"/>
        <w:lang w:val="en-US" w:eastAsia="en-US" w:bidi="ar-SA"/>
      </w:rPr>
    </w:lvl>
    <w:lvl w:ilvl="8" w:tplc="0BD8DE2A">
      <w:numFmt w:val="bullet"/>
      <w:lvlText w:val="•"/>
      <w:lvlJc w:val="left"/>
      <w:pPr>
        <w:ind w:left="9793" w:hanging="428"/>
      </w:pPr>
      <w:rPr>
        <w:rFonts w:hint="default"/>
        <w:lang w:val="en-US" w:eastAsia="en-US" w:bidi="ar-SA"/>
      </w:rPr>
    </w:lvl>
  </w:abstractNum>
  <w:abstractNum w:abstractNumId="71" w15:restartNumberingAfterBreak="0">
    <w:nsid w:val="3363086E"/>
    <w:multiLevelType w:val="hybridMultilevel"/>
    <w:tmpl w:val="441C31AC"/>
    <w:lvl w:ilvl="0" w:tplc="DB085F20">
      <w:numFmt w:val="bullet"/>
      <w:lvlText w:val=""/>
      <w:lvlJc w:val="left"/>
      <w:pPr>
        <w:ind w:left="816" w:hanging="360"/>
      </w:pPr>
      <w:rPr>
        <w:rFonts w:ascii="Wingdings" w:eastAsia="Wingdings" w:hAnsi="Wingdings" w:cs="Wingdings" w:hint="default"/>
        <w:b w:val="0"/>
        <w:bCs w:val="0"/>
        <w:i w:val="0"/>
        <w:iCs w:val="0"/>
        <w:color w:val="0D0D0D"/>
        <w:spacing w:val="0"/>
        <w:w w:val="100"/>
        <w:sz w:val="24"/>
        <w:szCs w:val="24"/>
        <w:lang w:val="en-US" w:eastAsia="en-US" w:bidi="ar-SA"/>
      </w:rPr>
    </w:lvl>
    <w:lvl w:ilvl="1" w:tplc="C96E0616">
      <w:numFmt w:val="bullet"/>
      <w:lvlText w:val="•"/>
      <w:lvlJc w:val="left"/>
      <w:pPr>
        <w:ind w:left="961" w:hanging="360"/>
      </w:pPr>
      <w:rPr>
        <w:rFonts w:hint="default"/>
        <w:lang w:val="en-US" w:eastAsia="en-US" w:bidi="ar-SA"/>
      </w:rPr>
    </w:lvl>
    <w:lvl w:ilvl="2" w:tplc="F79CD324">
      <w:numFmt w:val="bullet"/>
      <w:lvlText w:val="•"/>
      <w:lvlJc w:val="left"/>
      <w:pPr>
        <w:ind w:left="1102" w:hanging="360"/>
      </w:pPr>
      <w:rPr>
        <w:rFonts w:hint="default"/>
        <w:lang w:val="en-US" w:eastAsia="en-US" w:bidi="ar-SA"/>
      </w:rPr>
    </w:lvl>
    <w:lvl w:ilvl="3" w:tplc="9D96F44C">
      <w:numFmt w:val="bullet"/>
      <w:lvlText w:val="•"/>
      <w:lvlJc w:val="left"/>
      <w:pPr>
        <w:ind w:left="1243" w:hanging="360"/>
      </w:pPr>
      <w:rPr>
        <w:rFonts w:hint="default"/>
        <w:lang w:val="en-US" w:eastAsia="en-US" w:bidi="ar-SA"/>
      </w:rPr>
    </w:lvl>
    <w:lvl w:ilvl="4" w:tplc="BC1022BA">
      <w:numFmt w:val="bullet"/>
      <w:lvlText w:val="•"/>
      <w:lvlJc w:val="left"/>
      <w:pPr>
        <w:ind w:left="1385" w:hanging="360"/>
      </w:pPr>
      <w:rPr>
        <w:rFonts w:hint="default"/>
        <w:lang w:val="en-US" w:eastAsia="en-US" w:bidi="ar-SA"/>
      </w:rPr>
    </w:lvl>
    <w:lvl w:ilvl="5" w:tplc="BDC009A2">
      <w:numFmt w:val="bullet"/>
      <w:lvlText w:val="•"/>
      <w:lvlJc w:val="left"/>
      <w:pPr>
        <w:ind w:left="1526" w:hanging="360"/>
      </w:pPr>
      <w:rPr>
        <w:rFonts w:hint="default"/>
        <w:lang w:val="en-US" w:eastAsia="en-US" w:bidi="ar-SA"/>
      </w:rPr>
    </w:lvl>
    <w:lvl w:ilvl="6" w:tplc="CB6C9C06">
      <w:numFmt w:val="bullet"/>
      <w:lvlText w:val="•"/>
      <w:lvlJc w:val="left"/>
      <w:pPr>
        <w:ind w:left="1667" w:hanging="360"/>
      </w:pPr>
      <w:rPr>
        <w:rFonts w:hint="default"/>
        <w:lang w:val="en-US" w:eastAsia="en-US" w:bidi="ar-SA"/>
      </w:rPr>
    </w:lvl>
    <w:lvl w:ilvl="7" w:tplc="1FAA24A2">
      <w:numFmt w:val="bullet"/>
      <w:lvlText w:val="•"/>
      <w:lvlJc w:val="left"/>
      <w:pPr>
        <w:ind w:left="1809" w:hanging="360"/>
      </w:pPr>
      <w:rPr>
        <w:rFonts w:hint="default"/>
        <w:lang w:val="en-US" w:eastAsia="en-US" w:bidi="ar-SA"/>
      </w:rPr>
    </w:lvl>
    <w:lvl w:ilvl="8" w:tplc="E6249312">
      <w:numFmt w:val="bullet"/>
      <w:lvlText w:val="•"/>
      <w:lvlJc w:val="left"/>
      <w:pPr>
        <w:ind w:left="1950" w:hanging="360"/>
      </w:pPr>
      <w:rPr>
        <w:rFonts w:hint="default"/>
        <w:lang w:val="en-US" w:eastAsia="en-US" w:bidi="ar-SA"/>
      </w:rPr>
    </w:lvl>
  </w:abstractNum>
  <w:abstractNum w:abstractNumId="72" w15:restartNumberingAfterBreak="0">
    <w:nsid w:val="347F2239"/>
    <w:multiLevelType w:val="hybridMultilevel"/>
    <w:tmpl w:val="476ECA46"/>
    <w:lvl w:ilvl="0" w:tplc="55E6B72C">
      <w:start w:val="26"/>
      <w:numFmt w:val="lowerLetter"/>
      <w:lvlText w:val="%1)"/>
      <w:lvlJc w:val="left"/>
      <w:pPr>
        <w:ind w:left="539" w:hanging="288"/>
      </w:pPr>
      <w:rPr>
        <w:rFonts w:ascii="Arial" w:eastAsia="Arial" w:hAnsi="Arial" w:cs="Arial" w:hint="default"/>
        <w:b w:val="0"/>
        <w:bCs w:val="0"/>
        <w:i w:val="0"/>
        <w:iCs w:val="0"/>
        <w:spacing w:val="0"/>
        <w:w w:val="99"/>
        <w:sz w:val="24"/>
        <w:szCs w:val="24"/>
        <w:lang w:val="en-US" w:eastAsia="en-US" w:bidi="ar-SA"/>
      </w:rPr>
    </w:lvl>
    <w:lvl w:ilvl="1" w:tplc="80C6D30E">
      <w:start w:val="1"/>
      <w:numFmt w:val="lowerRoman"/>
      <w:lvlText w:val="%2)"/>
      <w:lvlJc w:val="left"/>
      <w:pPr>
        <w:ind w:left="899" w:hanging="360"/>
      </w:pPr>
      <w:rPr>
        <w:rFonts w:ascii="Arial" w:eastAsia="Arial" w:hAnsi="Arial" w:cs="Arial" w:hint="default"/>
        <w:b w:val="0"/>
        <w:bCs w:val="0"/>
        <w:i w:val="0"/>
        <w:iCs w:val="0"/>
        <w:spacing w:val="-1"/>
        <w:w w:val="99"/>
        <w:sz w:val="24"/>
        <w:szCs w:val="24"/>
        <w:lang w:val="en-US" w:eastAsia="en-US" w:bidi="ar-SA"/>
      </w:rPr>
    </w:lvl>
    <w:lvl w:ilvl="2" w:tplc="638EC57C">
      <w:numFmt w:val="bullet"/>
      <w:lvlText w:val="•"/>
      <w:lvlJc w:val="left"/>
      <w:pPr>
        <w:ind w:left="1630" w:hanging="360"/>
      </w:pPr>
      <w:rPr>
        <w:rFonts w:hint="default"/>
        <w:lang w:val="en-US" w:eastAsia="en-US" w:bidi="ar-SA"/>
      </w:rPr>
    </w:lvl>
    <w:lvl w:ilvl="3" w:tplc="D5E088D2">
      <w:numFmt w:val="bullet"/>
      <w:lvlText w:val="•"/>
      <w:lvlJc w:val="left"/>
      <w:pPr>
        <w:ind w:left="2360" w:hanging="360"/>
      </w:pPr>
      <w:rPr>
        <w:rFonts w:hint="default"/>
        <w:lang w:val="en-US" w:eastAsia="en-US" w:bidi="ar-SA"/>
      </w:rPr>
    </w:lvl>
    <w:lvl w:ilvl="4" w:tplc="86948428">
      <w:numFmt w:val="bullet"/>
      <w:lvlText w:val="•"/>
      <w:lvlJc w:val="left"/>
      <w:pPr>
        <w:ind w:left="3091" w:hanging="360"/>
      </w:pPr>
      <w:rPr>
        <w:rFonts w:hint="default"/>
        <w:lang w:val="en-US" w:eastAsia="en-US" w:bidi="ar-SA"/>
      </w:rPr>
    </w:lvl>
    <w:lvl w:ilvl="5" w:tplc="88744CB6">
      <w:numFmt w:val="bullet"/>
      <w:lvlText w:val="•"/>
      <w:lvlJc w:val="left"/>
      <w:pPr>
        <w:ind w:left="3821" w:hanging="360"/>
      </w:pPr>
      <w:rPr>
        <w:rFonts w:hint="default"/>
        <w:lang w:val="en-US" w:eastAsia="en-US" w:bidi="ar-SA"/>
      </w:rPr>
    </w:lvl>
    <w:lvl w:ilvl="6" w:tplc="565C8DE6">
      <w:numFmt w:val="bullet"/>
      <w:lvlText w:val="•"/>
      <w:lvlJc w:val="left"/>
      <w:pPr>
        <w:ind w:left="4552" w:hanging="360"/>
      </w:pPr>
      <w:rPr>
        <w:rFonts w:hint="default"/>
        <w:lang w:val="en-US" w:eastAsia="en-US" w:bidi="ar-SA"/>
      </w:rPr>
    </w:lvl>
    <w:lvl w:ilvl="7" w:tplc="45A092AA">
      <w:numFmt w:val="bullet"/>
      <w:lvlText w:val="•"/>
      <w:lvlJc w:val="left"/>
      <w:pPr>
        <w:ind w:left="5282" w:hanging="360"/>
      </w:pPr>
      <w:rPr>
        <w:rFonts w:hint="default"/>
        <w:lang w:val="en-US" w:eastAsia="en-US" w:bidi="ar-SA"/>
      </w:rPr>
    </w:lvl>
    <w:lvl w:ilvl="8" w:tplc="2006026E">
      <w:numFmt w:val="bullet"/>
      <w:lvlText w:val="•"/>
      <w:lvlJc w:val="left"/>
      <w:pPr>
        <w:ind w:left="6013" w:hanging="360"/>
      </w:pPr>
      <w:rPr>
        <w:rFonts w:hint="default"/>
        <w:lang w:val="en-US" w:eastAsia="en-US" w:bidi="ar-SA"/>
      </w:rPr>
    </w:lvl>
  </w:abstractNum>
  <w:abstractNum w:abstractNumId="73" w15:restartNumberingAfterBreak="0">
    <w:nsid w:val="36192619"/>
    <w:multiLevelType w:val="hybridMultilevel"/>
    <w:tmpl w:val="90C41540"/>
    <w:lvl w:ilvl="0" w:tplc="9BC2F06A">
      <w:start w:val="1"/>
      <w:numFmt w:val="lowerLetter"/>
      <w:lvlText w:val="%1)"/>
      <w:lvlJc w:val="left"/>
      <w:pPr>
        <w:ind w:left="609" w:hanging="332"/>
      </w:pPr>
      <w:rPr>
        <w:rFonts w:ascii="Arial" w:eastAsia="Arial" w:hAnsi="Arial" w:cs="Arial" w:hint="default"/>
        <w:b w:val="0"/>
        <w:bCs w:val="0"/>
        <w:i w:val="0"/>
        <w:iCs w:val="0"/>
        <w:spacing w:val="-1"/>
        <w:w w:val="100"/>
        <w:sz w:val="22"/>
        <w:szCs w:val="22"/>
        <w:lang w:val="en-US" w:eastAsia="en-US" w:bidi="ar-SA"/>
      </w:rPr>
    </w:lvl>
    <w:lvl w:ilvl="1" w:tplc="CF36D0AA">
      <w:numFmt w:val="bullet"/>
      <w:lvlText w:val="•"/>
      <w:lvlJc w:val="left"/>
      <w:pPr>
        <w:ind w:left="1287" w:hanging="332"/>
      </w:pPr>
      <w:rPr>
        <w:rFonts w:hint="default"/>
        <w:lang w:val="en-US" w:eastAsia="en-US" w:bidi="ar-SA"/>
      </w:rPr>
    </w:lvl>
    <w:lvl w:ilvl="2" w:tplc="8DCEADC6">
      <w:numFmt w:val="bullet"/>
      <w:lvlText w:val="•"/>
      <w:lvlJc w:val="left"/>
      <w:pPr>
        <w:ind w:left="1974" w:hanging="332"/>
      </w:pPr>
      <w:rPr>
        <w:rFonts w:hint="default"/>
        <w:lang w:val="en-US" w:eastAsia="en-US" w:bidi="ar-SA"/>
      </w:rPr>
    </w:lvl>
    <w:lvl w:ilvl="3" w:tplc="20CEF172">
      <w:numFmt w:val="bullet"/>
      <w:lvlText w:val="•"/>
      <w:lvlJc w:val="left"/>
      <w:pPr>
        <w:ind w:left="2662" w:hanging="332"/>
      </w:pPr>
      <w:rPr>
        <w:rFonts w:hint="default"/>
        <w:lang w:val="en-US" w:eastAsia="en-US" w:bidi="ar-SA"/>
      </w:rPr>
    </w:lvl>
    <w:lvl w:ilvl="4" w:tplc="52284EA0">
      <w:numFmt w:val="bullet"/>
      <w:lvlText w:val="•"/>
      <w:lvlJc w:val="left"/>
      <w:pPr>
        <w:ind w:left="3349" w:hanging="332"/>
      </w:pPr>
      <w:rPr>
        <w:rFonts w:hint="default"/>
        <w:lang w:val="en-US" w:eastAsia="en-US" w:bidi="ar-SA"/>
      </w:rPr>
    </w:lvl>
    <w:lvl w:ilvl="5" w:tplc="BB4CF82A">
      <w:numFmt w:val="bullet"/>
      <w:lvlText w:val="•"/>
      <w:lvlJc w:val="left"/>
      <w:pPr>
        <w:ind w:left="4037" w:hanging="332"/>
      </w:pPr>
      <w:rPr>
        <w:rFonts w:hint="default"/>
        <w:lang w:val="en-US" w:eastAsia="en-US" w:bidi="ar-SA"/>
      </w:rPr>
    </w:lvl>
    <w:lvl w:ilvl="6" w:tplc="0FD812F2">
      <w:numFmt w:val="bullet"/>
      <w:lvlText w:val="•"/>
      <w:lvlJc w:val="left"/>
      <w:pPr>
        <w:ind w:left="4724" w:hanging="332"/>
      </w:pPr>
      <w:rPr>
        <w:rFonts w:hint="default"/>
        <w:lang w:val="en-US" w:eastAsia="en-US" w:bidi="ar-SA"/>
      </w:rPr>
    </w:lvl>
    <w:lvl w:ilvl="7" w:tplc="40628230">
      <w:numFmt w:val="bullet"/>
      <w:lvlText w:val="•"/>
      <w:lvlJc w:val="left"/>
      <w:pPr>
        <w:ind w:left="5411" w:hanging="332"/>
      </w:pPr>
      <w:rPr>
        <w:rFonts w:hint="default"/>
        <w:lang w:val="en-US" w:eastAsia="en-US" w:bidi="ar-SA"/>
      </w:rPr>
    </w:lvl>
    <w:lvl w:ilvl="8" w:tplc="0C4AD93A">
      <w:numFmt w:val="bullet"/>
      <w:lvlText w:val="•"/>
      <w:lvlJc w:val="left"/>
      <w:pPr>
        <w:ind w:left="6099" w:hanging="332"/>
      </w:pPr>
      <w:rPr>
        <w:rFonts w:hint="default"/>
        <w:lang w:val="en-US" w:eastAsia="en-US" w:bidi="ar-SA"/>
      </w:rPr>
    </w:lvl>
  </w:abstractNum>
  <w:abstractNum w:abstractNumId="74" w15:restartNumberingAfterBreak="0">
    <w:nsid w:val="3668036B"/>
    <w:multiLevelType w:val="hybridMultilevel"/>
    <w:tmpl w:val="9214B2B8"/>
    <w:lvl w:ilvl="0" w:tplc="D46E3A52">
      <w:start w:val="1"/>
      <w:numFmt w:val="lowerLetter"/>
      <w:lvlText w:val="(%1)"/>
      <w:lvlJc w:val="left"/>
      <w:pPr>
        <w:ind w:left="1494" w:hanging="428"/>
      </w:pPr>
      <w:rPr>
        <w:rFonts w:ascii="Calibri" w:eastAsia="Calibri" w:hAnsi="Calibri" w:cs="Calibri" w:hint="default"/>
        <w:b w:val="0"/>
        <w:bCs w:val="0"/>
        <w:i w:val="0"/>
        <w:iCs w:val="0"/>
        <w:spacing w:val="-1"/>
        <w:w w:val="100"/>
        <w:sz w:val="24"/>
        <w:szCs w:val="24"/>
        <w:lang w:val="en-US" w:eastAsia="en-US" w:bidi="ar-SA"/>
      </w:rPr>
    </w:lvl>
    <w:lvl w:ilvl="1" w:tplc="B1F6A4DE">
      <w:numFmt w:val="bullet"/>
      <w:lvlText w:val="•"/>
      <w:lvlJc w:val="left"/>
      <w:pPr>
        <w:ind w:left="2536" w:hanging="428"/>
      </w:pPr>
      <w:rPr>
        <w:rFonts w:hint="default"/>
        <w:lang w:val="en-US" w:eastAsia="en-US" w:bidi="ar-SA"/>
      </w:rPr>
    </w:lvl>
    <w:lvl w:ilvl="2" w:tplc="7756B7C6">
      <w:numFmt w:val="bullet"/>
      <w:lvlText w:val="•"/>
      <w:lvlJc w:val="left"/>
      <w:pPr>
        <w:ind w:left="3573" w:hanging="428"/>
      </w:pPr>
      <w:rPr>
        <w:rFonts w:hint="default"/>
        <w:lang w:val="en-US" w:eastAsia="en-US" w:bidi="ar-SA"/>
      </w:rPr>
    </w:lvl>
    <w:lvl w:ilvl="3" w:tplc="94C86528">
      <w:numFmt w:val="bullet"/>
      <w:lvlText w:val="•"/>
      <w:lvlJc w:val="left"/>
      <w:pPr>
        <w:ind w:left="4609" w:hanging="428"/>
      </w:pPr>
      <w:rPr>
        <w:rFonts w:hint="default"/>
        <w:lang w:val="en-US" w:eastAsia="en-US" w:bidi="ar-SA"/>
      </w:rPr>
    </w:lvl>
    <w:lvl w:ilvl="4" w:tplc="4C2E1174">
      <w:numFmt w:val="bullet"/>
      <w:lvlText w:val="•"/>
      <w:lvlJc w:val="left"/>
      <w:pPr>
        <w:ind w:left="5646" w:hanging="428"/>
      </w:pPr>
      <w:rPr>
        <w:rFonts w:hint="default"/>
        <w:lang w:val="en-US" w:eastAsia="en-US" w:bidi="ar-SA"/>
      </w:rPr>
    </w:lvl>
    <w:lvl w:ilvl="5" w:tplc="0B005564">
      <w:numFmt w:val="bullet"/>
      <w:lvlText w:val="•"/>
      <w:lvlJc w:val="left"/>
      <w:pPr>
        <w:ind w:left="6683" w:hanging="428"/>
      </w:pPr>
      <w:rPr>
        <w:rFonts w:hint="default"/>
        <w:lang w:val="en-US" w:eastAsia="en-US" w:bidi="ar-SA"/>
      </w:rPr>
    </w:lvl>
    <w:lvl w:ilvl="6" w:tplc="5E2C1BD0">
      <w:numFmt w:val="bullet"/>
      <w:lvlText w:val="•"/>
      <w:lvlJc w:val="left"/>
      <w:pPr>
        <w:ind w:left="7719" w:hanging="428"/>
      </w:pPr>
      <w:rPr>
        <w:rFonts w:hint="default"/>
        <w:lang w:val="en-US" w:eastAsia="en-US" w:bidi="ar-SA"/>
      </w:rPr>
    </w:lvl>
    <w:lvl w:ilvl="7" w:tplc="4D32063E">
      <w:numFmt w:val="bullet"/>
      <w:lvlText w:val="•"/>
      <w:lvlJc w:val="left"/>
      <w:pPr>
        <w:ind w:left="8756" w:hanging="428"/>
      </w:pPr>
      <w:rPr>
        <w:rFonts w:hint="default"/>
        <w:lang w:val="en-US" w:eastAsia="en-US" w:bidi="ar-SA"/>
      </w:rPr>
    </w:lvl>
    <w:lvl w:ilvl="8" w:tplc="C3D2F0D0">
      <w:numFmt w:val="bullet"/>
      <w:lvlText w:val="•"/>
      <w:lvlJc w:val="left"/>
      <w:pPr>
        <w:ind w:left="9793" w:hanging="428"/>
      </w:pPr>
      <w:rPr>
        <w:rFonts w:hint="default"/>
        <w:lang w:val="en-US" w:eastAsia="en-US" w:bidi="ar-SA"/>
      </w:rPr>
    </w:lvl>
  </w:abstractNum>
  <w:abstractNum w:abstractNumId="75" w15:restartNumberingAfterBreak="0">
    <w:nsid w:val="37033478"/>
    <w:multiLevelType w:val="hybridMultilevel"/>
    <w:tmpl w:val="558C51D2"/>
    <w:lvl w:ilvl="0" w:tplc="3CFE349C">
      <w:start w:val="1"/>
      <w:numFmt w:val="lowerLetter"/>
      <w:lvlText w:val="%1)"/>
      <w:lvlJc w:val="left"/>
      <w:pPr>
        <w:ind w:left="796" w:hanging="545"/>
      </w:pPr>
      <w:rPr>
        <w:rFonts w:ascii="Arial" w:eastAsia="Arial" w:hAnsi="Arial" w:cs="Arial" w:hint="default"/>
        <w:b w:val="0"/>
        <w:bCs w:val="0"/>
        <w:i w:val="0"/>
        <w:iCs w:val="0"/>
        <w:spacing w:val="0"/>
        <w:w w:val="99"/>
        <w:sz w:val="24"/>
        <w:szCs w:val="24"/>
        <w:lang w:val="en-US" w:eastAsia="en-US" w:bidi="ar-SA"/>
      </w:rPr>
    </w:lvl>
    <w:lvl w:ilvl="1" w:tplc="949CC1F6">
      <w:numFmt w:val="bullet"/>
      <w:lvlText w:val="•"/>
      <w:lvlJc w:val="left"/>
      <w:pPr>
        <w:ind w:left="1467" w:hanging="545"/>
      </w:pPr>
      <w:rPr>
        <w:rFonts w:hint="default"/>
        <w:lang w:val="en-US" w:eastAsia="en-US" w:bidi="ar-SA"/>
      </w:rPr>
    </w:lvl>
    <w:lvl w:ilvl="2" w:tplc="8A9C068E">
      <w:numFmt w:val="bullet"/>
      <w:lvlText w:val="•"/>
      <w:lvlJc w:val="left"/>
      <w:pPr>
        <w:ind w:left="2134" w:hanging="545"/>
      </w:pPr>
      <w:rPr>
        <w:rFonts w:hint="default"/>
        <w:lang w:val="en-US" w:eastAsia="en-US" w:bidi="ar-SA"/>
      </w:rPr>
    </w:lvl>
    <w:lvl w:ilvl="3" w:tplc="EB4A0F8A">
      <w:numFmt w:val="bullet"/>
      <w:lvlText w:val="•"/>
      <w:lvlJc w:val="left"/>
      <w:pPr>
        <w:ind w:left="2802" w:hanging="545"/>
      </w:pPr>
      <w:rPr>
        <w:rFonts w:hint="default"/>
        <w:lang w:val="en-US" w:eastAsia="en-US" w:bidi="ar-SA"/>
      </w:rPr>
    </w:lvl>
    <w:lvl w:ilvl="4" w:tplc="6DE67D1C">
      <w:numFmt w:val="bullet"/>
      <w:lvlText w:val="•"/>
      <w:lvlJc w:val="left"/>
      <w:pPr>
        <w:ind w:left="3469" w:hanging="545"/>
      </w:pPr>
      <w:rPr>
        <w:rFonts w:hint="default"/>
        <w:lang w:val="en-US" w:eastAsia="en-US" w:bidi="ar-SA"/>
      </w:rPr>
    </w:lvl>
    <w:lvl w:ilvl="5" w:tplc="0CC40196">
      <w:numFmt w:val="bullet"/>
      <w:lvlText w:val="•"/>
      <w:lvlJc w:val="left"/>
      <w:pPr>
        <w:ind w:left="4137" w:hanging="545"/>
      </w:pPr>
      <w:rPr>
        <w:rFonts w:hint="default"/>
        <w:lang w:val="en-US" w:eastAsia="en-US" w:bidi="ar-SA"/>
      </w:rPr>
    </w:lvl>
    <w:lvl w:ilvl="6" w:tplc="10D639A6">
      <w:numFmt w:val="bullet"/>
      <w:lvlText w:val="•"/>
      <w:lvlJc w:val="left"/>
      <w:pPr>
        <w:ind w:left="4804" w:hanging="545"/>
      </w:pPr>
      <w:rPr>
        <w:rFonts w:hint="default"/>
        <w:lang w:val="en-US" w:eastAsia="en-US" w:bidi="ar-SA"/>
      </w:rPr>
    </w:lvl>
    <w:lvl w:ilvl="7" w:tplc="F6B087E4">
      <w:numFmt w:val="bullet"/>
      <w:lvlText w:val="•"/>
      <w:lvlJc w:val="left"/>
      <w:pPr>
        <w:ind w:left="5471" w:hanging="545"/>
      </w:pPr>
      <w:rPr>
        <w:rFonts w:hint="default"/>
        <w:lang w:val="en-US" w:eastAsia="en-US" w:bidi="ar-SA"/>
      </w:rPr>
    </w:lvl>
    <w:lvl w:ilvl="8" w:tplc="D25CAC16">
      <w:numFmt w:val="bullet"/>
      <w:lvlText w:val="•"/>
      <w:lvlJc w:val="left"/>
      <w:pPr>
        <w:ind w:left="6139" w:hanging="545"/>
      </w:pPr>
      <w:rPr>
        <w:rFonts w:hint="default"/>
        <w:lang w:val="en-US" w:eastAsia="en-US" w:bidi="ar-SA"/>
      </w:rPr>
    </w:lvl>
  </w:abstractNum>
  <w:abstractNum w:abstractNumId="76" w15:restartNumberingAfterBreak="0">
    <w:nsid w:val="37201476"/>
    <w:multiLevelType w:val="multilevel"/>
    <w:tmpl w:val="2C42559E"/>
    <w:lvl w:ilvl="0">
      <w:start w:val="1"/>
      <w:numFmt w:val="decimal"/>
      <w:lvlText w:val="%1."/>
      <w:lvlJc w:val="left"/>
      <w:pPr>
        <w:ind w:left="1760" w:hanging="360"/>
      </w:pPr>
      <w:rPr>
        <w:rFonts w:ascii="Arial" w:eastAsia="Arial" w:hAnsi="Arial" w:cs="Arial" w:hint="default"/>
        <w:b/>
        <w:bCs/>
        <w:i w:val="0"/>
        <w:iCs w:val="0"/>
        <w:spacing w:val="0"/>
        <w:w w:val="100"/>
        <w:sz w:val="24"/>
        <w:szCs w:val="24"/>
        <w:lang w:val="en-US" w:eastAsia="en-US" w:bidi="ar-SA"/>
      </w:rPr>
    </w:lvl>
    <w:lvl w:ilvl="1">
      <w:start w:val="1"/>
      <w:numFmt w:val="decimal"/>
      <w:lvlText w:val="%1.%2"/>
      <w:lvlJc w:val="left"/>
      <w:pPr>
        <w:ind w:left="2300" w:hanging="540"/>
      </w:pPr>
      <w:rPr>
        <w:rFonts w:ascii="Arial" w:eastAsia="Arial" w:hAnsi="Arial" w:cs="Arial" w:hint="default"/>
        <w:b w:val="0"/>
        <w:bCs w:val="0"/>
        <w:i w:val="0"/>
        <w:iCs w:val="0"/>
        <w:spacing w:val="0"/>
        <w:w w:val="99"/>
        <w:sz w:val="24"/>
        <w:szCs w:val="24"/>
        <w:lang w:val="en-US" w:eastAsia="en-US" w:bidi="ar-SA"/>
      </w:rPr>
    </w:lvl>
    <w:lvl w:ilvl="2">
      <w:start w:val="1"/>
      <w:numFmt w:val="decimal"/>
      <w:lvlText w:val="%1.%2.%3"/>
      <w:lvlJc w:val="left"/>
      <w:pPr>
        <w:ind w:left="3822" w:hanging="721"/>
      </w:pPr>
      <w:rPr>
        <w:rFonts w:ascii="Arial" w:eastAsia="Arial" w:hAnsi="Arial" w:cs="Arial" w:hint="default"/>
        <w:b w:val="0"/>
        <w:bCs w:val="0"/>
        <w:i w:val="0"/>
        <w:iCs w:val="0"/>
        <w:spacing w:val="-2"/>
        <w:w w:val="99"/>
        <w:sz w:val="24"/>
        <w:szCs w:val="24"/>
        <w:lang w:val="en-US" w:eastAsia="en-US" w:bidi="ar-SA"/>
      </w:rPr>
    </w:lvl>
    <w:lvl w:ilvl="3">
      <w:start w:val="1"/>
      <w:numFmt w:val="lowerLetter"/>
      <w:lvlText w:val="(%4)"/>
      <w:lvlJc w:val="left"/>
      <w:pPr>
        <w:ind w:left="4247" w:hanging="721"/>
      </w:pPr>
      <w:rPr>
        <w:rFonts w:ascii="Calibri" w:eastAsia="Calibri" w:hAnsi="Calibri" w:cs="Calibri" w:hint="default"/>
        <w:b w:val="0"/>
        <w:bCs w:val="0"/>
        <w:i w:val="0"/>
        <w:iCs w:val="0"/>
        <w:spacing w:val="-1"/>
        <w:w w:val="100"/>
        <w:sz w:val="22"/>
        <w:szCs w:val="22"/>
        <w:lang w:val="en-US" w:eastAsia="en-US" w:bidi="ar-SA"/>
      </w:rPr>
    </w:lvl>
    <w:lvl w:ilvl="4">
      <w:numFmt w:val="bullet"/>
      <w:lvlText w:val="•"/>
      <w:lvlJc w:val="left"/>
      <w:pPr>
        <w:ind w:left="3820" w:hanging="721"/>
      </w:pPr>
      <w:rPr>
        <w:rFonts w:hint="default"/>
        <w:lang w:val="en-US" w:eastAsia="en-US" w:bidi="ar-SA"/>
      </w:rPr>
    </w:lvl>
    <w:lvl w:ilvl="5">
      <w:numFmt w:val="bullet"/>
      <w:lvlText w:val="•"/>
      <w:lvlJc w:val="left"/>
      <w:pPr>
        <w:ind w:left="4240" w:hanging="721"/>
      </w:pPr>
      <w:rPr>
        <w:rFonts w:hint="default"/>
        <w:lang w:val="en-US" w:eastAsia="en-US" w:bidi="ar-SA"/>
      </w:rPr>
    </w:lvl>
    <w:lvl w:ilvl="6">
      <w:numFmt w:val="bullet"/>
      <w:lvlText w:val="•"/>
      <w:lvlJc w:val="left"/>
      <w:pPr>
        <w:ind w:left="5765" w:hanging="721"/>
      </w:pPr>
      <w:rPr>
        <w:rFonts w:hint="default"/>
        <w:lang w:val="en-US" w:eastAsia="en-US" w:bidi="ar-SA"/>
      </w:rPr>
    </w:lvl>
    <w:lvl w:ilvl="7">
      <w:numFmt w:val="bullet"/>
      <w:lvlText w:val="•"/>
      <w:lvlJc w:val="left"/>
      <w:pPr>
        <w:ind w:left="7290" w:hanging="721"/>
      </w:pPr>
      <w:rPr>
        <w:rFonts w:hint="default"/>
        <w:lang w:val="en-US" w:eastAsia="en-US" w:bidi="ar-SA"/>
      </w:rPr>
    </w:lvl>
    <w:lvl w:ilvl="8">
      <w:numFmt w:val="bullet"/>
      <w:lvlText w:val="•"/>
      <w:lvlJc w:val="left"/>
      <w:pPr>
        <w:ind w:left="8815" w:hanging="721"/>
      </w:pPr>
      <w:rPr>
        <w:rFonts w:hint="default"/>
        <w:lang w:val="en-US" w:eastAsia="en-US" w:bidi="ar-SA"/>
      </w:rPr>
    </w:lvl>
  </w:abstractNum>
  <w:abstractNum w:abstractNumId="77" w15:restartNumberingAfterBreak="0">
    <w:nsid w:val="3790600A"/>
    <w:multiLevelType w:val="hybridMultilevel"/>
    <w:tmpl w:val="513252C8"/>
    <w:lvl w:ilvl="0" w:tplc="343664E4">
      <w:numFmt w:val="bullet"/>
      <w:lvlText w:val=""/>
      <w:lvlJc w:val="left"/>
      <w:pPr>
        <w:ind w:left="826" w:hanging="360"/>
      </w:pPr>
      <w:rPr>
        <w:rFonts w:ascii="Wingdings" w:eastAsia="Wingdings" w:hAnsi="Wingdings" w:cs="Wingdings" w:hint="default"/>
        <w:b w:val="0"/>
        <w:bCs w:val="0"/>
        <w:i w:val="0"/>
        <w:iCs w:val="0"/>
        <w:color w:val="0D0D0D"/>
        <w:spacing w:val="0"/>
        <w:w w:val="100"/>
        <w:sz w:val="22"/>
        <w:szCs w:val="22"/>
        <w:lang w:val="en-US" w:eastAsia="en-US" w:bidi="ar-SA"/>
      </w:rPr>
    </w:lvl>
    <w:lvl w:ilvl="1" w:tplc="0298BEB6">
      <w:numFmt w:val="bullet"/>
      <w:lvlText w:val="•"/>
      <w:lvlJc w:val="left"/>
      <w:pPr>
        <w:ind w:left="916" w:hanging="360"/>
      </w:pPr>
      <w:rPr>
        <w:rFonts w:hint="default"/>
        <w:lang w:val="en-US" w:eastAsia="en-US" w:bidi="ar-SA"/>
      </w:rPr>
    </w:lvl>
    <w:lvl w:ilvl="2" w:tplc="F19C9BDC">
      <w:numFmt w:val="bullet"/>
      <w:lvlText w:val="•"/>
      <w:lvlJc w:val="left"/>
      <w:pPr>
        <w:ind w:left="1012" w:hanging="360"/>
      </w:pPr>
      <w:rPr>
        <w:rFonts w:hint="default"/>
        <w:lang w:val="en-US" w:eastAsia="en-US" w:bidi="ar-SA"/>
      </w:rPr>
    </w:lvl>
    <w:lvl w:ilvl="3" w:tplc="F6FE1526">
      <w:numFmt w:val="bullet"/>
      <w:lvlText w:val="•"/>
      <w:lvlJc w:val="left"/>
      <w:pPr>
        <w:ind w:left="1108" w:hanging="360"/>
      </w:pPr>
      <w:rPr>
        <w:rFonts w:hint="default"/>
        <w:lang w:val="en-US" w:eastAsia="en-US" w:bidi="ar-SA"/>
      </w:rPr>
    </w:lvl>
    <w:lvl w:ilvl="4" w:tplc="C91E0AAC">
      <w:numFmt w:val="bullet"/>
      <w:lvlText w:val="•"/>
      <w:lvlJc w:val="left"/>
      <w:pPr>
        <w:ind w:left="1205" w:hanging="360"/>
      </w:pPr>
      <w:rPr>
        <w:rFonts w:hint="default"/>
        <w:lang w:val="en-US" w:eastAsia="en-US" w:bidi="ar-SA"/>
      </w:rPr>
    </w:lvl>
    <w:lvl w:ilvl="5" w:tplc="B8DC7A90">
      <w:numFmt w:val="bullet"/>
      <w:lvlText w:val="•"/>
      <w:lvlJc w:val="left"/>
      <w:pPr>
        <w:ind w:left="1301" w:hanging="360"/>
      </w:pPr>
      <w:rPr>
        <w:rFonts w:hint="default"/>
        <w:lang w:val="en-US" w:eastAsia="en-US" w:bidi="ar-SA"/>
      </w:rPr>
    </w:lvl>
    <w:lvl w:ilvl="6" w:tplc="53926A3E">
      <w:numFmt w:val="bullet"/>
      <w:lvlText w:val="•"/>
      <w:lvlJc w:val="left"/>
      <w:pPr>
        <w:ind w:left="1397" w:hanging="360"/>
      </w:pPr>
      <w:rPr>
        <w:rFonts w:hint="default"/>
        <w:lang w:val="en-US" w:eastAsia="en-US" w:bidi="ar-SA"/>
      </w:rPr>
    </w:lvl>
    <w:lvl w:ilvl="7" w:tplc="56882A6A">
      <w:numFmt w:val="bullet"/>
      <w:lvlText w:val="•"/>
      <w:lvlJc w:val="left"/>
      <w:pPr>
        <w:ind w:left="1494" w:hanging="360"/>
      </w:pPr>
      <w:rPr>
        <w:rFonts w:hint="default"/>
        <w:lang w:val="en-US" w:eastAsia="en-US" w:bidi="ar-SA"/>
      </w:rPr>
    </w:lvl>
    <w:lvl w:ilvl="8" w:tplc="6ECADE2A">
      <w:numFmt w:val="bullet"/>
      <w:lvlText w:val="•"/>
      <w:lvlJc w:val="left"/>
      <w:pPr>
        <w:ind w:left="1590" w:hanging="360"/>
      </w:pPr>
      <w:rPr>
        <w:rFonts w:hint="default"/>
        <w:lang w:val="en-US" w:eastAsia="en-US" w:bidi="ar-SA"/>
      </w:rPr>
    </w:lvl>
  </w:abstractNum>
  <w:abstractNum w:abstractNumId="78" w15:restartNumberingAfterBreak="0">
    <w:nsid w:val="39343108"/>
    <w:multiLevelType w:val="hybridMultilevel"/>
    <w:tmpl w:val="5928DB72"/>
    <w:lvl w:ilvl="0" w:tplc="353C975A">
      <w:start w:val="1"/>
      <w:numFmt w:val="lowerLetter"/>
      <w:lvlText w:val="(%1)"/>
      <w:lvlJc w:val="left"/>
      <w:pPr>
        <w:ind w:left="1494" w:hanging="428"/>
      </w:pPr>
      <w:rPr>
        <w:rFonts w:ascii="Calibri" w:eastAsia="Calibri" w:hAnsi="Calibri" w:cs="Calibri" w:hint="default"/>
        <w:b w:val="0"/>
        <w:bCs w:val="0"/>
        <w:i w:val="0"/>
        <w:iCs w:val="0"/>
        <w:spacing w:val="-1"/>
        <w:w w:val="100"/>
        <w:sz w:val="24"/>
        <w:szCs w:val="24"/>
        <w:lang w:val="en-US" w:eastAsia="en-US" w:bidi="ar-SA"/>
      </w:rPr>
    </w:lvl>
    <w:lvl w:ilvl="1" w:tplc="C3EE3E40">
      <w:numFmt w:val="bullet"/>
      <w:lvlText w:val="•"/>
      <w:lvlJc w:val="left"/>
      <w:pPr>
        <w:ind w:left="2536" w:hanging="428"/>
      </w:pPr>
      <w:rPr>
        <w:rFonts w:hint="default"/>
        <w:lang w:val="en-US" w:eastAsia="en-US" w:bidi="ar-SA"/>
      </w:rPr>
    </w:lvl>
    <w:lvl w:ilvl="2" w:tplc="8FAE7D3E">
      <w:numFmt w:val="bullet"/>
      <w:lvlText w:val="•"/>
      <w:lvlJc w:val="left"/>
      <w:pPr>
        <w:ind w:left="3573" w:hanging="428"/>
      </w:pPr>
      <w:rPr>
        <w:rFonts w:hint="default"/>
        <w:lang w:val="en-US" w:eastAsia="en-US" w:bidi="ar-SA"/>
      </w:rPr>
    </w:lvl>
    <w:lvl w:ilvl="3" w:tplc="545CCD86">
      <w:numFmt w:val="bullet"/>
      <w:lvlText w:val="•"/>
      <w:lvlJc w:val="left"/>
      <w:pPr>
        <w:ind w:left="4609" w:hanging="428"/>
      </w:pPr>
      <w:rPr>
        <w:rFonts w:hint="default"/>
        <w:lang w:val="en-US" w:eastAsia="en-US" w:bidi="ar-SA"/>
      </w:rPr>
    </w:lvl>
    <w:lvl w:ilvl="4" w:tplc="38C8B508">
      <w:numFmt w:val="bullet"/>
      <w:lvlText w:val="•"/>
      <w:lvlJc w:val="left"/>
      <w:pPr>
        <w:ind w:left="5646" w:hanging="428"/>
      </w:pPr>
      <w:rPr>
        <w:rFonts w:hint="default"/>
        <w:lang w:val="en-US" w:eastAsia="en-US" w:bidi="ar-SA"/>
      </w:rPr>
    </w:lvl>
    <w:lvl w:ilvl="5" w:tplc="723264BE">
      <w:numFmt w:val="bullet"/>
      <w:lvlText w:val="•"/>
      <w:lvlJc w:val="left"/>
      <w:pPr>
        <w:ind w:left="6683" w:hanging="428"/>
      </w:pPr>
      <w:rPr>
        <w:rFonts w:hint="default"/>
        <w:lang w:val="en-US" w:eastAsia="en-US" w:bidi="ar-SA"/>
      </w:rPr>
    </w:lvl>
    <w:lvl w:ilvl="6" w:tplc="26166CAE">
      <w:numFmt w:val="bullet"/>
      <w:lvlText w:val="•"/>
      <w:lvlJc w:val="left"/>
      <w:pPr>
        <w:ind w:left="7719" w:hanging="428"/>
      </w:pPr>
      <w:rPr>
        <w:rFonts w:hint="default"/>
        <w:lang w:val="en-US" w:eastAsia="en-US" w:bidi="ar-SA"/>
      </w:rPr>
    </w:lvl>
    <w:lvl w:ilvl="7" w:tplc="ACE0814E">
      <w:numFmt w:val="bullet"/>
      <w:lvlText w:val="•"/>
      <w:lvlJc w:val="left"/>
      <w:pPr>
        <w:ind w:left="8756" w:hanging="428"/>
      </w:pPr>
      <w:rPr>
        <w:rFonts w:hint="default"/>
        <w:lang w:val="en-US" w:eastAsia="en-US" w:bidi="ar-SA"/>
      </w:rPr>
    </w:lvl>
    <w:lvl w:ilvl="8" w:tplc="08FE698A">
      <w:numFmt w:val="bullet"/>
      <w:lvlText w:val="•"/>
      <w:lvlJc w:val="left"/>
      <w:pPr>
        <w:ind w:left="9793" w:hanging="428"/>
      </w:pPr>
      <w:rPr>
        <w:rFonts w:hint="default"/>
        <w:lang w:val="en-US" w:eastAsia="en-US" w:bidi="ar-SA"/>
      </w:rPr>
    </w:lvl>
  </w:abstractNum>
  <w:abstractNum w:abstractNumId="79" w15:restartNumberingAfterBreak="0">
    <w:nsid w:val="398F74A1"/>
    <w:multiLevelType w:val="hybridMultilevel"/>
    <w:tmpl w:val="2E6ADD16"/>
    <w:lvl w:ilvl="0" w:tplc="34D2C940">
      <w:start w:val="5"/>
      <w:numFmt w:val="lowerLetter"/>
      <w:lvlText w:val="%1)"/>
      <w:lvlJc w:val="left"/>
      <w:pPr>
        <w:ind w:left="539" w:hanging="288"/>
      </w:pPr>
      <w:rPr>
        <w:rFonts w:ascii="Arial" w:eastAsia="Arial" w:hAnsi="Arial" w:cs="Arial" w:hint="default"/>
        <w:b w:val="0"/>
        <w:bCs w:val="0"/>
        <w:i w:val="0"/>
        <w:iCs w:val="0"/>
        <w:spacing w:val="0"/>
        <w:w w:val="99"/>
        <w:sz w:val="24"/>
        <w:szCs w:val="24"/>
        <w:lang w:val="en-US" w:eastAsia="en-US" w:bidi="ar-SA"/>
      </w:rPr>
    </w:lvl>
    <w:lvl w:ilvl="1" w:tplc="14429318">
      <w:numFmt w:val="bullet"/>
      <w:lvlText w:val="•"/>
      <w:lvlJc w:val="left"/>
      <w:pPr>
        <w:ind w:left="1233" w:hanging="288"/>
      </w:pPr>
      <w:rPr>
        <w:rFonts w:hint="default"/>
        <w:lang w:val="en-US" w:eastAsia="en-US" w:bidi="ar-SA"/>
      </w:rPr>
    </w:lvl>
    <w:lvl w:ilvl="2" w:tplc="864483F4">
      <w:numFmt w:val="bullet"/>
      <w:lvlText w:val="•"/>
      <w:lvlJc w:val="left"/>
      <w:pPr>
        <w:ind w:left="1926" w:hanging="288"/>
      </w:pPr>
      <w:rPr>
        <w:rFonts w:hint="default"/>
        <w:lang w:val="en-US" w:eastAsia="en-US" w:bidi="ar-SA"/>
      </w:rPr>
    </w:lvl>
    <w:lvl w:ilvl="3" w:tplc="CA3037D8">
      <w:numFmt w:val="bullet"/>
      <w:lvlText w:val="•"/>
      <w:lvlJc w:val="left"/>
      <w:pPr>
        <w:ind w:left="2620" w:hanging="288"/>
      </w:pPr>
      <w:rPr>
        <w:rFonts w:hint="default"/>
        <w:lang w:val="en-US" w:eastAsia="en-US" w:bidi="ar-SA"/>
      </w:rPr>
    </w:lvl>
    <w:lvl w:ilvl="4" w:tplc="ECD06594">
      <w:numFmt w:val="bullet"/>
      <w:lvlText w:val="•"/>
      <w:lvlJc w:val="left"/>
      <w:pPr>
        <w:ind w:left="3313" w:hanging="288"/>
      </w:pPr>
      <w:rPr>
        <w:rFonts w:hint="default"/>
        <w:lang w:val="en-US" w:eastAsia="en-US" w:bidi="ar-SA"/>
      </w:rPr>
    </w:lvl>
    <w:lvl w:ilvl="5" w:tplc="441EC9E8">
      <w:numFmt w:val="bullet"/>
      <w:lvlText w:val="•"/>
      <w:lvlJc w:val="left"/>
      <w:pPr>
        <w:ind w:left="4007" w:hanging="288"/>
      </w:pPr>
      <w:rPr>
        <w:rFonts w:hint="default"/>
        <w:lang w:val="en-US" w:eastAsia="en-US" w:bidi="ar-SA"/>
      </w:rPr>
    </w:lvl>
    <w:lvl w:ilvl="6" w:tplc="7B225A22">
      <w:numFmt w:val="bullet"/>
      <w:lvlText w:val="•"/>
      <w:lvlJc w:val="left"/>
      <w:pPr>
        <w:ind w:left="4700" w:hanging="288"/>
      </w:pPr>
      <w:rPr>
        <w:rFonts w:hint="default"/>
        <w:lang w:val="en-US" w:eastAsia="en-US" w:bidi="ar-SA"/>
      </w:rPr>
    </w:lvl>
    <w:lvl w:ilvl="7" w:tplc="27BE09CE">
      <w:numFmt w:val="bullet"/>
      <w:lvlText w:val="•"/>
      <w:lvlJc w:val="left"/>
      <w:pPr>
        <w:ind w:left="5393" w:hanging="288"/>
      </w:pPr>
      <w:rPr>
        <w:rFonts w:hint="default"/>
        <w:lang w:val="en-US" w:eastAsia="en-US" w:bidi="ar-SA"/>
      </w:rPr>
    </w:lvl>
    <w:lvl w:ilvl="8" w:tplc="A76689BA">
      <w:numFmt w:val="bullet"/>
      <w:lvlText w:val="•"/>
      <w:lvlJc w:val="left"/>
      <w:pPr>
        <w:ind w:left="6087" w:hanging="288"/>
      </w:pPr>
      <w:rPr>
        <w:rFonts w:hint="default"/>
        <w:lang w:val="en-US" w:eastAsia="en-US" w:bidi="ar-SA"/>
      </w:rPr>
    </w:lvl>
  </w:abstractNum>
  <w:abstractNum w:abstractNumId="80" w15:restartNumberingAfterBreak="0">
    <w:nsid w:val="39A07D99"/>
    <w:multiLevelType w:val="hybridMultilevel"/>
    <w:tmpl w:val="4A168480"/>
    <w:lvl w:ilvl="0" w:tplc="BD121212">
      <w:numFmt w:val="bullet"/>
      <w:lvlText w:val=""/>
      <w:lvlJc w:val="left"/>
      <w:pPr>
        <w:ind w:left="2120" w:hanging="360"/>
      </w:pPr>
      <w:rPr>
        <w:rFonts w:ascii="Wingdings" w:eastAsia="Wingdings" w:hAnsi="Wingdings" w:cs="Wingdings" w:hint="default"/>
        <w:spacing w:val="0"/>
        <w:w w:val="100"/>
        <w:lang w:val="en-US" w:eastAsia="en-US" w:bidi="ar-SA"/>
      </w:rPr>
    </w:lvl>
    <w:lvl w:ilvl="1" w:tplc="AFEEC7B8">
      <w:numFmt w:val="bullet"/>
      <w:lvlText w:val="o"/>
      <w:lvlJc w:val="left"/>
      <w:pPr>
        <w:ind w:left="2840" w:hanging="360"/>
      </w:pPr>
      <w:rPr>
        <w:rFonts w:ascii="Courier New" w:eastAsia="Courier New" w:hAnsi="Courier New" w:cs="Courier New" w:hint="default"/>
        <w:b w:val="0"/>
        <w:bCs w:val="0"/>
        <w:i w:val="0"/>
        <w:iCs w:val="0"/>
        <w:color w:val="0D0D0D"/>
        <w:spacing w:val="0"/>
        <w:w w:val="100"/>
        <w:sz w:val="24"/>
        <w:szCs w:val="24"/>
        <w:lang w:val="en-US" w:eastAsia="en-US" w:bidi="ar-SA"/>
      </w:rPr>
    </w:lvl>
    <w:lvl w:ilvl="2" w:tplc="80386796">
      <w:numFmt w:val="bullet"/>
      <w:lvlText w:val="•"/>
      <w:lvlJc w:val="left"/>
      <w:pPr>
        <w:ind w:left="3842" w:hanging="360"/>
      </w:pPr>
      <w:rPr>
        <w:rFonts w:hint="default"/>
        <w:lang w:val="en-US" w:eastAsia="en-US" w:bidi="ar-SA"/>
      </w:rPr>
    </w:lvl>
    <w:lvl w:ilvl="3" w:tplc="7660CAD0">
      <w:numFmt w:val="bullet"/>
      <w:lvlText w:val="•"/>
      <w:lvlJc w:val="left"/>
      <w:pPr>
        <w:ind w:left="4845" w:hanging="360"/>
      </w:pPr>
      <w:rPr>
        <w:rFonts w:hint="default"/>
        <w:lang w:val="en-US" w:eastAsia="en-US" w:bidi="ar-SA"/>
      </w:rPr>
    </w:lvl>
    <w:lvl w:ilvl="4" w:tplc="26585972">
      <w:numFmt w:val="bullet"/>
      <w:lvlText w:val="•"/>
      <w:lvlJc w:val="left"/>
      <w:pPr>
        <w:ind w:left="5848" w:hanging="360"/>
      </w:pPr>
      <w:rPr>
        <w:rFonts w:hint="default"/>
        <w:lang w:val="en-US" w:eastAsia="en-US" w:bidi="ar-SA"/>
      </w:rPr>
    </w:lvl>
    <w:lvl w:ilvl="5" w:tplc="F4EA3BDC">
      <w:numFmt w:val="bullet"/>
      <w:lvlText w:val="•"/>
      <w:lvlJc w:val="left"/>
      <w:pPr>
        <w:ind w:left="6851" w:hanging="360"/>
      </w:pPr>
      <w:rPr>
        <w:rFonts w:hint="default"/>
        <w:lang w:val="en-US" w:eastAsia="en-US" w:bidi="ar-SA"/>
      </w:rPr>
    </w:lvl>
    <w:lvl w:ilvl="6" w:tplc="E9446C7E">
      <w:numFmt w:val="bullet"/>
      <w:lvlText w:val="•"/>
      <w:lvlJc w:val="left"/>
      <w:pPr>
        <w:ind w:left="7854" w:hanging="360"/>
      </w:pPr>
      <w:rPr>
        <w:rFonts w:hint="default"/>
        <w:lang w:val="en-US" w:eastAsia="en-US" w:bidi="ar-SA"/>
      </w:rPr>
    </w:lvl>
    <w:lvl w:ilvl="7" w:tplc="AFE440A2">
      <w:numFmt w:val="bullet"/>
      <w:lvlText w:val="•"/>
      <w:lvlJc w:val="left"/>
      <w:pPr>
        <w:ind w:left="8857" w:hanging="360"/>
      </w:pPr>
      <w:rPr>
        <w:rFonts w:hint="default"/>
        <w:lang w:val="en-US" w:eastAsia="en-US" w:bidi="ar-SA"/>
      </w:rPr>
    </w:lvl>
    <w:lvl w:ilvl="8" w:tplc="EC16CC6E">
      <w:numFmt w:val="bullet"/>
      <w:lvlText w:val="•"/>
      <w:lvlJc w:val="left"/>
      <w:pPr>
        <w:ind w:left="9860" w:hanging="360"/>
      </w:pPr>
      <w:rPr>
        <w:rFonts w:hint="default"/>
        <w:lang w:val="en-US" w:eastAsia="en-US" w:bidi="ar-SA"/>
      </w:rPr>
    </w:lvl>
  </w:abstractNum>
  <w:abstractNum w:abstractNumId="81" w15:restartNumberingAfterBreak="0">
    <w:nsid w:val="3AC00B36"/>
    <w:multiLevelType w:val="hybridMultilevel"/>
    <w:tmpl w:val="8862A6AA"/>
    <w:lvl w:ilvl="0" w:tplc="594ACA0E">
      <w:start w:val="1"/>
      <w:numFmt w:val="lowerLetter"/>
      <w:lvlText w:val="(%1)"/>
      <w:lvlJc w:val="left"/>
      <w:pPr>
        <w:ind w:left="1494" w:hanging="428"/>
      </w:pPr>
      <w:rPr>
        <w:rFonts w:ascii="Calibri" w:eastAsia="Calibri" w:hAnsi="Calibri" w:cs="Calibri" w:hint="default"/>
        <w:b w:val="0"/>
        <w:bCs w:val="0"/>
        <w:i w:val="0"/>
        <w:iCs w:val="0"/>
        <w:spacing w:val="-1"/>
        <w:w w:val="100"/>
        <w:sz w:val="24"/>
        <w:szCs w:val="24"/>
        <w:lang w:val="en-US" w:eastAsia="en-US" w:bidi="ar-SA"/>
      </w:rPr>
    </w:lvl>
    <w:lvl w:ilvl="1" w:tplc="1BB0754E">
      <w:numFmt w:val="bullet"/>
      <w:lvlText w:val="•"/>
      <w:lvlJc w:val="left"/>
      <w:pPr>
        <w:ind w:left="2536" w:hanging="428"/>
      </w:pPr>
      <w:rPr>
        <w:rFonts w:hint="default"/>
        <w:lang w:val="en-US" w:eastAsia="en-US" w:bidi="ar-SA"/>
      </w:rPr>
    </w:lvl>
    <w:lvl w:ilvl="2" w:tplc="C5B2DAF4">
      <w:numFmt w:val="bullet"/>
      <w:lvlText w:val="•"/>
      <w:lvlJc w:val="left"/>
      <w:pPr>
        <w:ind w:left="3573" w:hanging="428"/>
      </w:pPr>
      <w:rPr>
        <w:rFonts w:hint="default"/>
        <w:lang w:val="en-US" w:eastAsia="en-US" w:bidi="ar-SA"/>
      </w:rPr>
    </w:lvl>
    <w:lvl w:ilvl="3" w:tplc="77F0AFA8">
      <w:numFmt w:val="bullet"/>
      <w:lvlText w:val="•"/>
      <w:lvlJc w:val="left"/>
      <w:pPr>
        <w:ind w:left="4609" w:hanging="428"/>
      </w:pPr>
      <w:rPr>
        <w:rFonts w:hint="default"/>
        <w:lang w:val="en-US" w:eastAsia="en-US" w:bidi="ar-SA"/>
      </w:rPr>
    </w:lvl>
    <w:lvl w:ilvl="4" w:tplc="5C00F6CA">
      <w:numFmt w:val="bullet"/>
      <w:lvlText w:val="•"/>
      <w:lvlJc w:val="left"/>
      <w:pPr>
        <w:ind w:left="5646" w:hanging="428"/>
      </w:pPr>
      <w:rPr>
        <w:rFonts w:hint="default"/>
        <w:lang w:val="en-US" w:eastAsia="en-US" w:bidi="ar-SA"/>
      </w:rPr>
    </w:lvl>
    <w:lvl w:ilvl="5" w:tplc="65DAEBBC">
      <w:numFmt w:val="bullet"/>
      <w:lvlText w:val="•"/>
      <w:lvlJc w:val="left"/>
      <w:pPr>
        <w:ind w:left="6683" w:hanging="428"/>
      </w:pPr>
      <w:rPr>
        <w:rFonts w:hint="default"/>
        <w:lang w:val="en-US" w:eastAsia="en-US" w:bidi="ar-SA"/>
      </w:rPr>
    </w:lvl>
    <w:lvl w:ilvl="6" w:tplc="4914D676">
      <w:numFmt w:val="bullet"/>
      <w:lvlText w:val="•"/>
      <w:lvlJc w:val="left"/>
      <w:pPr>
        <w:ind w:left="7719" w:hanging="428"/>
      </w:pPr>
      <w:rPr>
        <w:rFonts w:hint="default"/>
        <w:lang w:val="en-US" w:eastAsia="en-US" w:bidi="ar-SA"/>
      </w:rPr>
    </w:lvl>
    <w:lvl w:ilvl="7" w:tplc="028AB400">
      <w:numFmt w:val="bullet"/>
      <w:lvlText w:val="•"/>
      <w:lvlJc w:val="left"/>
      <w:pPr>
        <w:ind w:left="8756" w:hanging="428"/>
      </w:pPr>
      <w:rPr>
        <w:rFonts w:hint="default"/>
        <w:lang w:val="en-US" w:eastAsia="en-US" w:bidi="ar-SA"/>
      </w:rPr>
    </w:lvl>
    <w:lvl w:ilvl="8" w:tplc="F22C0578">
      <w:numFmt w:val="bullet"/>
      <w:lvlText w:val="•"/>
      <w:lvlJc w:val="left"/>
      <w:pPr>
        <w:ind w:left="9793" w:hanging="428"/>
      </w:pPr>
      <w:rPr>
        <w:rFonts w:hint="default"/>
        <w:lang w:val="en-US" w:eastAsia="en-US" w:bidi="ar-SA"/>
      </w:rPr>
    </w:lvl>
  </w:abstractNum>
  <w:abstractNum w:abstractNumId="82" w15:restartNumberingAfterBreak="0">
    <w:nsid w:val="3AD8413C"/>
    <w:multiLevelType w:val="hybridMultilevel"/>
    <w:tmpl w:val="9B023C38"/>
    <w:lvl w:ilvl="0" w:tplc="C3CAD1BC">
      <w:start w:val="23"/>
      <w:numFmt w:val="lowerLetter"/>
      <w:lvlText w:val="%1)"/>
      <w:lvlJc w:val="left"/>
      <w:pPr>
        <w:ind w:left="539" w:hanging="288"/>
      </w:pPr>
      <w:rPr>
        <w:rFonts w:ascii="Arial" w:eastAsia="Arial" w:hAnsi="Arial" w:cs="Arial" w:hint="default"/>
        <w:b w:val="0"/>
        <w:bCs w:val="0"/>
        <w:i w:val="0"/>
        <w:iCs w:val="0"/>
        <w:spacing w:val="-1"/>
        <w:w w:val="99"/>
        <w:sz w:val="24"/>
        <w:szCs w:val="24"/>
        <w:lang w:val="en-US" w:eastAsia="en-US" w:bidi="ar-SA"/>
      </w:rPr>
    </w:lvl>
    <w:lvl w:ilvl="1" w:tplc="96FCEA00">
      <w:start w:val="1"/>
      <w:numFmt w:val="lowerRoman"/>
      <w:lvlText w:val="%2)"/>
      <w:lvlJc w:val="left"/>
      <w:pPr>
        <w:ind w:left="899" w:hanging="360"/>
      </w:pPr>
      <w:rPr>
        <w:rFonts w:ascii="Arial" w:eastAsia="Arial" w:hAnsi="Arial" w:cs="Arial" w:hint="default"/>
        <w:b w:val="0"/>
        <w:bCs w:val="0"/>
        <w:i w:val="0"/>
        <w:iCs w:val="0"/>
        <w:spacing w:val="-1"/>
        <w:w w:val="99"/>
        <w:sz w:val="24"/>
        <w:szCs w:val="24"/>
        <w:lang w:val="en-US" w:eastAsia="en-US" w:bidi="ar-SA"/>
      </w:rPr>
    </w:lvl>
    <w:lvl w:ilvl="2" w:tplc="C7940E22">
      <w:numFmt w:val="bullet"/>
      <w:lvlText w:val="•"/>
      <w:lvlJc w:val="left"/>
      <w:pPr>
        <w:ind w:left="1630" w:hanging="360"/>
      </w:pPr>
      <w:rPr>
        <w:rFonts w:hint="default"/>
        <w:lang w:val="en-US" w:eastAsia="en-US" w:bidi="ar-SA"/>
      </w:rPr>
    </w:lvl>
    <w:lvl w:ilvl="3" w:tplc="86446686">
      <w:numFmt w:val="bullet"/>
      <w:lvlText w:val="•"/>
      <w:lvlJc w:val="left"/>
      <w:pPr>
        <w:ind w:left="2360" w:hanging="360"/>
      </w:pPr>
      <w:rPr>
        <w:rFonts w:hint="default"/>
        <w:lang w:val="en-US" w:eastAsia="en-US" w:bidi="ar-SA"/>
      </w:rPr>
    </w:lvl>
    <w:lvl w:ilvl="4" w:tplc="BBE01446">
      <w:numFmt w:val="bullet"/>
      <w:lvlText w:val="•"/>
      <w:lvlJc w:val="left"/>
      <w:pPr>
        <w:ind w:left="3091" w:hanging="360"/>
      </w:pPr>
      <w:rPr>
        <w:rFonts w:hint="default"/>
        <w:lang w:val="en-US" w:eastAsia="en-US" w:bidi="ar-SA"/>
      </w:rPr>
    </w:lvl>
    <w:lvl w:ilvl="5" w:tplc="12A2168E">
      <w:numFmt w:val="bullet"/>
      <w:lvlText w:val="•"/>
      <w:lvlJc w:val="left"/>
      <w:pPr>
        <w:ind w:left="3821" w:hanging="360"/>
      </w:pPr>
      <w:rPr>
        <w:rFonts w:hint="default"/>
        <w:lang w:val="en-US" w:eastAsia="en-US" w:bidi="ar-SA"/>
      </w:rPr>
    </w:lvl>
    <w:lvl w:ilvl="6" w:tplc="C16CF3FA">
      <w:numFmt w:val="bullet"/>
      <w:lvlText w:val="•"/>
      <w:lvlJc w:val="left"/>
      <w:pPr>
        <w:ind w:left="4552" w:hanging="360"/>
      </w:pPr>
      <w:rPr>
        <w:rFonts w:hint="default"/>
        <w:lang w:val="en-US" w:eastAsia="en-US" w:bidi="ar-SA"/>
      </w:rPr>
    </w:lvl>
    <w:lvl w:ilvl="7" w:tplc="761EFB08">
      <w:numFmt w:val="bullet"/>
      <w:lvlText w:val="•"/>
      <w:lvlJc w:val="left"/>
      <w:pPr>
        <w:ind w:left="5282" w:hanging="360"/>
      </w:pPr>
      <w:rPr>
        <w:rFonts w:hint="default"/>
        <w:lang w:val="en-US" w:eastAsia="en-US" w:bidi="ar-SA"/>
      </w:rPr>
    </w:lvl>
    <w:lvl w:ilvl="8" w:tplc="F3000076">
      <w:numFmt w:val="bullet"/>
      <w:lvlText w:val="•"/>
      <w:lvlJc w:val="left"/>
      <w:pPr>
        <w:ind w:left="6013" w:hanging="360"/>
      </w:pPr>
      <w:rPr>
        <w:rFonts w:hint="default"/>
        <w:lang w:val="en-US" w:eastAsia="en-US" w:bidi="ar-SA"/>
      </w:rPr>
    </w:lvl>
  </w:abstractNum>
  <w:abstractNum w:abstractNumId="83" w15:restartNumberingAfterBreak="0">
    <w:nsid w:val="3B6C607B"/>
    <w:multiLevelType w:val="hybridMultilevel"/>
    <w:tmpl w:val="1D745F7E"/>
    <w:lvl w:ilvl="0" w:tplc="F4003094">
      <w:start w:val="1"/>
      <w:numFmt w:val="lowerLetter"/>
      <w:lvlText w:val="%1)"/>
      <w:lvlJc w:val="left"/>
      <w:pPr>
        <w:ind w:left="834" w:hanging="545"/>
      </w:pPr>
      <w:rPr>
        <w:rFonts w:ascii="Arial" w:eastAsia="Arial" w:hAnsi="Arial" w:cs="Arial" w:hint="default"/>
        <w:b w:val="0"/>
        <w:bCs w:val="0"/>
        <w:i w:val="0"/>
        <w:iCs w:val="0"/>
        <w:spacing w:val="0"/>
        <w:w w:val="100"/>
        <w:sz w:val="24"/>
        <w:szCs w:val="24"/>
        <w:lang w:val="en-US" w:eastAsia="en-US" w:bidi="ar-SA"/>
      </w:rPr>
    </w:lvl>
    <w:lvl w:ilvl="1" w:tplc="F19E0264">
      <w:numFmt w:val="bullet"/>
      <w:lvlText w:val="•"/>
      <w:lvlJc w:val="left"/>
      <w:pPr>
        <w:ind w:left="1361" w:hanging="545"/>
      </w:pPr>
      <w:rPr>
        <w:rFonts w:hint="default"/>
        <w:lang w:val="en-US" w:eastAsia="en-US" w:bidi="ar-SA"/>
      </w:rPr>
    </w:lvl>
    <w:lvl w:ilvl="2" w:tplc="FEE64700">
      <w:numFmt w:val="bullet"/>
      <w:lvlText w:val="•"/>
      <w:lvlJc w:val="left"/>
      <w:pPr>
        <w:ind w:left="1882" w:hanging="545"/>
      </w:pPr>
      <w:rPr>
        <w:rFonts w:hint="default"/>
        <w:lang w:val="en-US" w:eastAsia="en-US" w:bidi="ar-SA"/>
      </w:rPr>
    </w:lvl>
    <w:lvl w:ilvl="3" w:tplc="265029A8">
      <w:numFmt w:val="bullet"/>
      <w:lvlText w:val="•"/>
      <w:lvlJc w:val="left"/>
      <w:pPr>
        <w:ind w:left="2403" w:hanging="545"/>
      </w:pPr>
      <w:rPr>
        <w:rFonts w:hint="default"/>
        <w:lang w:val="en-US" w:eastAsia="en-US" w:bidi="ar-SA"/>
      </w:rPr>
    </w:lvl>
    <w:lvl w:ilvl="4" w:tplc="5E181448">
      <w:numFmt w:val="bullet"/>
      <w:lvlText w:val="•"/>
      <w:lvlJc w:val="left"/>
      <w:pPr>
        <w:ind w:left="2924" w:hanging="545"/>
      </w:pPr>
      <w:rPr>
        <w:rFonts w:hint="default"/>
        <w:lang w:val="en-US" w:eastAsia="en-US" w:bidi="ar-SA"/>
      </w:rPr>
    </w:lvl>
    <w:lvl w:ilvl="5" w:tplc="61940062">
      <w:numFmt w:val="bullet"/>
      <w:lvlText w:val="•"/>
      <w:lvlJc w:val="left"/>
      <w:pPr>
        <w:ind w:left="3445" w:hanging="545"/>
      </w:pPr>
      <w:rPr>
        <w:rFonts w:hint="default"/>
        <w:lang w:val="en-US" w:eastAsia="en-US" w:bidi="ar-SA"/>
      </w:rPr>
    </w:lvl>
    <w:lvl w:ilvl="6" w:tplc="235CF65A">
      <w:numFmt w:val="bullet"/>
      <w:lvlText w:val="•"/>
      <w:lvlJc w:val="left"/>
      <w:pPr>
        <w:ind w:left="3966" w:hanging="545"/>
      </w:pPr>
      <w:rPr>
        <w:rFonts w:hint="default"/>
        <w:lang w:val="en-US" w:eastAsia="en-US" w:bidi="ar-SA"/>
      </w:rPr>
    </w:lvl>
    <w:lvl w:ilvl="7" w:tplc="7A0A6B0E">
      <w:numFmt w:val="bullet"/>
      <w:lvlText w:val="•"/>
      <w:lvlJc w:val="left"/>
      <w:pPr>
        <w:ind w:left="4487" w:hanging="545"/>
      </w:pPr>
      <w:rPr>
        <w:rFonts w:hint="default"/>
        <w:lang w:val="en-US" w:eastAsia="en-US" w:bidi="ar-SA"/>
      </w:rPr>
    </w:lvl>
    <w:lvl w:ilvl="8" w:tplc="902677A2">
      <w:numFmt w:val="bullet"/>
      <w:lvlText w:val="•"/>
      <w:lvlJc w:val="left"/>
      <w:pPr>
        <w:ind w:left="5008" w:hanging="545"/>
      </w:pPr>
      <w:rPr>
        <w:rFonts w:hint="default"/>
        <w:lang w:val="en-US" w:eastAsia="en-US" w:bidi="ar-SA"/>
      </w:rPr>
    </w:lvl>
  </w:abstractNum>
  <w:abstractNum w:abstractNumId="84" w15:restartNumberingAfterBreak="0">
    <w:nsid w:val="3C071A6C"/>
    <w:multiLevelType w:val="hybridMultilevel"/>
    <w:tmpl w:val="9A3A4958"/>
    <w:lvl w:ilvl="0" w:tplc="41802DEE">
      <w:start w:val="1"/>
      <w:numFmt w:val="decimal"/>
      <w:lvlText w:val="%1."/>
      <w:lvlJc w:val="left"/>
      <w:pPr>
        <w:ind w:left="2120" w:hanging="360"/>
      </w:pPr>
      <w:rPr>
        <w:rFonts w:hint="default"/>
        <w:spacing w:val="0"/>
        <w:w w:val="100"/>
        <w:lang w:val="en-US" w:eastAsia="en-US" w:bidi="ar-SA"/>
      </w:rPr>
    </w:lvl>
    <w:lvl w:ilvl="1" w:tplc="50EABA12">
      <w:numFmt w:val="bullet"/>
      <w:lvlText w:val="•"/>
      <w:lvlJc w:val="left"/>
      <w:pPr>
        <w:ind w:left="3094" w:hanging="360"/>
      </w:pPr>
      <w:rPr>
        <w:rFonts w:hint="default"/>
        <w:lang w:val="en-US" w:eastAsia="en-US" w:bidi="ar-SA"/>
      </w:rPr>
    </w:lvl>
    <w:lvl w:ilvl="2" w:tplc="EE9A1240">
      <w:numFmt w:val="bullet"/>
      <w:lvlText w:val="•"/>
      <w:lvlJc w:val="left"/>
      <w:pPr>
        <w:ind w:left="4069" w:hanging="360"/>
      </w:pPr>
      <w:rPr>
        <w:rFonts w:hint="default"/>
        <w:lang w:val="en-US" w:eastAsia="en-US" w:bidi="ar-SA"/>
      </w:rPr>
    </w:lvl>
    <w:lvl w:ilvl="3" w:tplc="8C4A9C04">
      <w:numFmt w:val="bullet"/>
      <w:lvlText w:val="•"/>
      <w:lvlJc w:val="left"/>
      <w:pPr>
        <w:ind w:left="5043" w:hanging="360"/>
      </w:pPr>
      <w:rPr>
        <w:rFonts w:hint="default"/>
        <w:lang w:val="en-US" w:eastAsia="en-US" w:bidi="ar-SA"/>
      </w:rPr>
    </w:lvl>
    <w:lvl w:ilvl="4" w:tplc="D624B104">
      <w:numFmt w:val="bullet"/>
      <w:lvlText w:val="•"/>
      <w:lvlJc w:val="left"/>
      <w:pPr>
        <w:ind w:left="6018" w:hanging="360"/>
      </w:pPr>
      <w:rPr>
        <w:rFonts w:hint="default"/>
        <w:lang w:val="en-US" w:eastAsia="en-US" w:bidi="ar-SA"/>
      </w:rPr>
    </w:lvl>
    <w:lvl w:ilvl="5" w:tplc="67102928">
      <w:numFmt w:val="bullet"/>
      <w:lvlText w:val="•"/>
      <w:lvlJc w:val="left"/>
      <w:pPr>
        <w:ind w:left="6993" w:hanging="360"/>
      </w:pPr>
      <w:rPr>
        <w:rFonts w:hint="default"/>
        <w:lang w:val="en-US" w:eastAsia="en-US" w:bidi="ar-SA"/>
      </w:rPr>
    </w:lvl>
    <w:lvl w:ilvl="6" w:tplc="6848E954">
      <w:numFmt w:val="bullet"/>
      <w:lvlText w:val="•"/>
      <w:lvlJc w:val="left"/>
      <w:pPr>
        <w:ind w:left="7967" w:hanging="360"/>
      </w:pPr>
      <w:rPr>
        <w:rFonts w:hint="default"/>
        <w:lang w:val="en-US" w:eastAsia="en-US" w:bidi="ar-SA"/>
      </w:rPr>
    </w:lvl>
    <w:lvl w:ilvl="7" w:tplc="C02CE120">
      <w:numFmt w:val="bullet"/>
      <w:lvlText w:val="•"/>
      <w:lvlJc w:val="left"/>
      <w:pPr>
        <w:ind w:left="8942" w:hanging="360"/>
      </w:pPr>
      <w:rPr>
        <w:rFonts w:hint="default"/>
        <w:lang w:val="en-US" w:eastAsia="en-US" w:bidi="ar-SA"/>
      </w:rPr>
    </w:lvl>
    <w:lvl w:ilvl="8" w:tplc="273A44A2">
      <w:numFmt w:val="bullet"/>
      <w:lvlText w:val="•"/>
      <w:lvlJc w:val="left"/>
      <w:pPr>
        <w:ind w:left="9917" w:hanging="360"/>
      </w:pPr>
      <w:rPr>
        <w:rFonts w:hint="default"/>
        <w:lang w:val="en-US" w:eastAsia="en-US" w:bidi="ar-SA"/>
      </w:rPr>
    </w:lvl>
  </w:abstractNum>
  <w:abstractNum w:abstractNumId="85" w15:restartNumberingAfterBreak="0">
    <w:nsid w:val="3C513CA2"/>
    <w:multiLevelType w:val="hybridMultilevel"/>
    <w:tmpl w:val="0A2805FA"/>
    <w:lvl w:ilvl="0" w:tplc="08090001">
      <w:start w:val="1"/>
      <w:numFmt w:val="bullet"/>
      <w:lvlText w:val=""/>
      <w:lvlJc w:val="left"/>
      <w:pPr>
        <w:ind w:left="805" w:hanging="360"/>
      </w:pPr>
      <w:rPr>
        <w:rFonts w:ascii="Symbol" w:hAnsi="Symbol" w:hint="default"/>
      </w:rPr>
    </w:lvl>
    <w:lvl w:ilvl="1" w:tplc="08090003">
      <w:start w:val="1"/>
      <w:numFmt w:val="bullet"/>
      <w:lvlText w:val="o"/>
      <w:lvlJc w:val="left"/>
      <w:pPr>
        <w:ind w:left="1525" w:hanging="360"/>
      </w:pPr>
      <w:rPr>
        <w:rFonts w:ascii="Courier New" w:hAnsi="Courier New" w:cs="Courier New" w:hint="default"/>
      </w:rPr>
    </w:lvl>
    <w:lvl w:ilvl="2" w:tplc="08090005" w:tentative="1">
      <w:start w:val="1"/>
      <w:numFmt w:val="bullet"/>
      <w:lvlText w:val=""/>
      <w:lvlJc w:val="left"/>
      <w:pPr>
        <w:ind w:left="2245" w:hanging="360"/>
      </w:pPr>
      <w:rPr>
        <w:rFonts w:ascii="Wingdings" w:hAnsi="Wingdings" w:hint="default"/>
      </w:rPr>
    </w:lvl>
    <w:lvl w:ilvl="3" w:tplc="08090001" w:tentative="1">
      <w:start w:val="1"/>
      <w:numFmt w:val="bullet"/>
      <w:lvlText w:val=""/>
      <w:lvlJc w:val="left"/>
      <w:pPr>
        <w:ind w:left="2965" w:hanging="360"/>
      </w:pPr>
      <w:rPr>
        <w:rFonts w:ascii="Symbol" w:hAnsi="Symbol" w:hint="default"/>
      </w:rPr>
    </w:lvl>
    <w:lvl w:ilvl="4" w:tplc="08090003" w:tentative="1">
      <w:start w:val="1"/>
      <w:numFmt w:val="bullet"/>
      <w:lvlText w:val="o"/>
      <w:lvlJc w:val="left"/>
      <w:pPr>
        <w:ind w:left="3685" w:hanging="360"/>
      </w:pPr>
      <w:rPr>
        <w:rFonts w:ascii="Courier New" w:hAnsi="Courier New" w:cs="Courier New" w:hint="default"/>
      </w:rPr>
    </w:lvl>
    <w:lvl w:ilvl="5" w:tplc="08090005" w:tentative="1">
      <w:start w:val="1"/>
      <w:numFmt w:val="bullet"/>
      <w:lvlText w:val=""/>
      <w:lvlJc w:val="left"/>
      <w:pPr>
        <w:ind w:left="4405" w:hanging="360"/>
      </w:pPr>
      <w:rPr>
        <w:rFonts w:ascii="Wingdings" w:hAnsi="Wingdings" w:hint="default"/>
      </w:rPr>
    </w:lvl>
    <w:lvl w:ilvl="6" w:tplc="08090001" w:tentative="1">
      <w:start w:val="1"/>
      <w:numFmt w:val="bullet"/>
      <w:lvlText w:val=""/>
      <w:lvlJc w:val="left"/>
      <w:pPr>
        <w:ind w:left="5125" w:hanging="360"/>
      </w:pPr>
      <w:rPr>
        <w:rFonts w:ascii="Symbol" w:hAnsi="Symbol" w:hint="default"/>
      </w:rPr>
    </w:lvl>
    <w:lvl w:ilvl="7" w:tplc="08090003" w:tentative="1">
      <w:start w:val="1"/>
      <w:numFmt w:val="bullet"/>
      <w:lvlText w:val="o"/>
      <w:lvlJc w:val="left"/>
      <w:pPr>
        <w:ind w:left="5845" w:hanging="360"/>
      </w:pPr>
      <w:rPr>
        <w:rFonts w:ascii="Courier New" w:hAnsi="Courier New" w:cs="Courier New" w:hint="default"/>
      </w:rPr>
    </w:lvl>
    <w:lvl w:ilvl="8" w:tplc="08090005" w:tentative="1">
      <w:start w:val="1"/>
      <w:numFmt w:val="bullet"/>
      <w:lvlText w:val=""/>
      <w:lvlJc w:val="left"/>
      <w:pPr>
        <w:ind w:left="6565" w:hanging="360"/>
      </w:pPr>
      <w:rPr>
        <w:rFonts w:ascii="Wingdings" w:hAnsi="Wingdings" w:hint="default"/>
      </w:rPr>
    </w:lvl>
  </w:abstractNum>
  <w:abstractNum w:abstractNumId="86" w15:restartNumberingAfterBreak="0">
    <w:nsid w:val="3D5C4255"/>
    <w:multiLevelType w:val="hybridMultilevel"/>
    <w:tmpl w:val="E14A51E4"/>
    <w:lvl w:ilvl="0" w:tplc="F3D4A7C2">
      <w:start w:val="18"/>
      <w:numFmt w:val="lowerLetter"/>
      <w:lvlText w:val="%1)"/>
      <w:lvlJc w:val="left"/>
      <w:pPr>
        <w:ind w:left="827" w:hanging="545"/>
      </w:pPr>
      <w:rPr>
        <w:rFonts w:ascii="Arial" w:eastAsia="Arial" w:hAnsi="Arial" w:cs="Arial" w:hint="default"/>
        <w:b w:val="0"/>
        <w:bCs w:val="0"/>
        <w:i w:val="0"/>
        <w:iCs w:val="0"/>
        <w:spacing w:val="-1"/>
        <w:w w:val="99"/>
        <w:sz w:val="24"/>
        <w:szCs w:val="24"/>
        <w:lang w:val="en-US" w:eastAsia="en-US" w:bidi="ar-SA"/>
      </w:rPr>
    </w:lvl>
    <w:lvl w:ilvl="1" w:tplc="4210D146">
      <w:numFmt w:val="bullet"/>
      <w:lvlText w:val="•"/>
      <w:lvlJc w:val="left"/>
      <w:pPr>
        <w:ind w:left="1485" w:hanging="545"/>
      </w:pPr>
      <w:rPr>
        <w:rFonts w:hint="default"/>
        <w:lang w:val="en-US" w:eastAsia="en-US" w:bidi="ar-SA"/>
      </w:rPr>
    </w:lvl>
    <w:lvl w:ilvl="2" w:tplc="E7C2A86C">
      <w:numFmt w:val="bullet"/>
      <w:lvlText w:val="•"/>
      <w:lvlJc w:val="left"/>
      <w:pPr>
        <w:ind w:left="2150" w:hanging="545"/>
      </w:pPr>
      <w:rPr>
        <w:rFonts w:hint="default"/>
        <w:lang w:val="en-US" w:eastAsia="en-US" w:bidi="ar-SA"/>
      </w:rPr>
    </w:lvl>
    <w:lvl w:ilvl="3" w:tplc="AD64832C">
      <w:numFmt w:val="bullet"/>
      <w:lvlText w:val="•"/>
      <w:lvlJc w:val="left"/>
      <w:pPr>
        <w:ind w:left="2816" w:hanging="545"/>
      </w:pPr>
      <w:rPr>
        <w:rFonts w:hint="default"/>
        <w:lang w:val="en-US" w:eastAsia="en-US" w:bidi="ar-SA"/>
      </w:rPr>
    </w:lvl>
    <w:lvl w:ilvl="4" w:tplc="B08A0AB8">
      <w:numFmt w:val="bullet"/>
      <w:lvlText w:val="•"/>
      <w:lvlJc w:val="left"/>
      <w:pPr>
        <w:ind w:left="3481" w:hanging="545"/>
      </w:pPr>
      <w:rPr>
        <w:rFonts w:hint="default"/>
        <w:lang w:val="en-US" w:eastAsia="en-US" w:bidi="ar-SA"/>
      </w:rPr>
    </w:lvl>
    <w:lvl w:ilvl="5" w:tplc="B5B2DA9C">
      <w:numFmt w:val="bullet"/>
      <w:lvlText w:val="•"/>
      <w:lvlJc w:val="left"/>
      <w:pPr>
        <w:ind w:left="4147" w:hanging="545"/>
      </w:pPr>
      <w:rPr>
        <w:rFonts w:hint="default"/>
        <w:lang w:val="en-US" w:eastAsia="en-US" w:bidi="ar-SA"/>
      </w:rPr>
    </w:lvl>
    <w:lvl w:ilvl="6" w:tplc="19C63E44">
      <w:numFmt w:val="bullet"/>
      <w:lvlText w:val="•"/>
      <w:lvlJc w:val="left"/>
      <w:pPr>
        <w:ind w:left="4812" w:hanging="545"/>
      </w:pPr>
      <w:rPr>
        <w:rFonts w:hint="default"/>
        <w:lang w:val="en-US" w:eastAsia="en-US" w:bidi="ar-SA"/>
      </w:rPr>
    </w:lvl>
    <w:lvl w:ilvl="7" w:tplc="1E002624">
      <w:numFmt w:val="bullet"/>
      <w:lvlText w:val="•"/>
      <w:lvlJc w:val="left"/>
      <w:pPr>
        <w:ind w:left="5477" w:hanging="545"/>
      </w:pPr>
      <w:rPr>
        <w:rFonts w:hint="default"/>
        <w:lang w:val="en-US" w:eastAsia="en-US" w:bidi="ar-SA"/>
      </w:rPr>
    </w:lvl>
    <w:lvl w:ilvl="8" w:tplc="9C88BAB0">
      <w:numFmt w:val="bullet"/>
      <w:lvlText w:val="•"/>
      <w:lvlJc w:val="left"/>
      <w:pPr>
        <w:ind w:left="6143" w:hanging="545"/>
      </w:pPr>
      <w:rPr>
        <w:rFonts w:hint="default"/>
        <w:lang w:val="en-US" w:eastAsia="en-US" w:bidi="ar-SA"/>
      </w:rPr>
    </w:lvl>
  </w:abstractNum>
  <w:abstractNum w:abstractNumId="87" w15:restartNumberingAfterBreak="0">
    <w:nsid w:val="3D731FE0"/>
    <w:multiLevelType w:val="multilevel"/>
    <w:tmpl w:val="121AE090"/>
    <w:lvl w:ilvl="0">
      <w:start w:val="1"/>
      <w:numFmt w:val="decimal"/>
      <w:lvlText w:val="%1."/>
      <w:lvlJc w:val="left"/>
      <w:pPr>
        <w:ind w:left="1940" w:hanging="360"/>
      </w:pPr>
      <w:rPr>
        <w:rFonts w:ascii="Arial" w:eastAsia="Arial" w:hAnsi="Arial" w:cs="Arial" w:hint="default"/>
        <w:b/>
        <w:bCs/>
        <w:i w:val="0"/>
        <w:iCs w:val="0"/>
        <w:spacing w:val="0"/>
        <w:w w:val="100"/>
        <w:sz w:val="24"/>
        <w:szCs w:val="24"/>
        <w:lang w:val="en-US" w:eastAsia="en-US" w:bidi="ar-SA"/>
      </w:rPr>
    </w:lvl>
    <w:lvl w:ilvl="1">
      <w:start w:val="1"/>
      <w:numFmt w:val="decimal"/>
      <w:lvlText w:val="%1.%2"/>
      <w:lvlJc w:val="left"/>
      <w:pPr>
        <w:ind w:left="2300" w:hanging="540"/>
      </w:pPr>
      <w:rPr>
        <w:rFonts w:ascii="Arial" w:eastAsia="Arial" w:hAnsi="Arial" w:cs="Arial" w:hint="default"/>
        <w:b w:val="0"/>
        <w:bCs w:val="0"/>
        <w:i w:val="0"/>
        <w:iCs w:val="0"/>
        <w:spacing w:val="0"/>
        <w:w w:val="99"/>
        <w:sz w:val="24"/>
        <w:szCs w:val="24"/>
        <w:lang w:val="en-US" w:eastAsia="en-US" w:bidi="ar-SA"/>
      </w:rPr>
    </w:lvl>
    <w:lvl w:ilvl="2">
      <w:start w:val="1"/>
      <w:numFmt w:val="decimal"/>
      <w:lvlText w:val="%1.%2.%3"/>
      <w:lvlJc w:val="left"/>
      <w:pPr>
        <w:ind w:left="3020" w:hanging="720"/>
      </w:pPr>
      <w:rPr>
        <w:rFonts w:ascii="Calibri" w:eastAsia="Calibri" w:hAnsi="Calibri" w:cs="Calibri" w:hint="default"/>
        <w:b w:val="0"/>
        <w:bCs w:val="0"/>
        <w:i w:val="0"/>
        <w:iCs w:val="0"/>
        <w:spacing w:val="0"/>
        <w:w w:val="100"/>
        <w:sz w:val="22"/>
        <w:szCs w:val="22"/>
        <w:lang w:val="en-US" w:eastAsia="en-US" w:bidi="ar-SA"/>
      </w:rPr>
    </w:lvl>
    <w:lvl w:ilvl="3">
      <w:numFmt w:val="bullet"/>
      <w:lvlText w:val="•"/>
      <w:lvlJc w:val="left"/>
      <w:pPr>
        <w:ind w:left="4125" w:hanging="720"/>
      </w:pPr>
      <w:rPr>
        <w:rFonts w:hint="default"/>
        <w:lang w:val="en-US" w:eastAsia="en-US" w:bidi="ar-SA"/>
      </w:rPr>
    </w:lvl>
    <w:lvl w:ilvl="4">
      <w:numFmt w:val="bullet"/>
      <w:lvlText w:val="•"/>
      <w:lvlJc w:val="left"/>
      <w:pPr>
        <w:ind w:left="5231" w:hanging="720"/>
      </w:pPr>
      <w:rPr>
        <w:rFonts w:hint="default"/>
        <w:lang w:val="en-US" w:eastAsia="en-US" w:bidi="ar-SA"/>
      </w:rPr>
    </w:lvl>
    <w:lvl w:ilvl="5">
      <w:numFmt w:val="bullet"/>
      <w:lvlText w:val="•"/>
      <w:lvlJc w:val="left"/>
      <w:pPr>
        <w:ind w:left="6337" w:hanging="720"/>
      </w:pPr>
      <w:rPr>
        <w:rFonts w:hint="default"/>
        <w:lang w:val="en-US" w:eastAsia="en-US" w:bidi="ar-SA"/>
      </w:rPr>
    </w:lvl>
    <w:lvl w:ilvl="6">
      <w:numFmt w:val="bullet"/>
      <w:lvlText w:val="•"/>
      <w:lvlJc w:val="left"/>
      <w:pPr>
        <w:ind w:left="7443" w:hanging="720"/>
      </w:pPr>
      <w:rPr>
        <w:rFonts w:hint="default"/>
        <w:lang w:val="en-US" w:eastAsia="en-US" w:bidi="ar-SA"/>
      </w:rPr>
    </w:lvl>
    <w:lvl w:ilvl="7">
      <w:numFmt w:val="bullet"/>
      <w:lvlText w:val="•"/>
      <w:lvlJc w:val="left"/>
      <w:pPr>
        <w:ind w:left="8549" w:hanging="720"/>
      </w:pPr>
      <w:rPr>
        <w:rFonts w:hint="default"/>
        <w:lang w:val="en-US" w:eastAsia="en-US" w:bidi="ar-SA"/>
      </w:rPr>
    </w:lvl>
    <w:lvl w:ilvl="8">
      <w:numFmt w:val="bullet"/>
      <w:lvlText w:val="•"/>
      <w:lvlJc w:val="left"/>
      <w:pPr>
        <w:ind w:left="9654" w:hanging="720"/>
      </w:pPr>
      <w:rPr>
        <w:rFonts w:hint="default"/>
        <w:lang w:val="en-US" w:eastAsia="en-US" w:bidi="ar-SA"/>
      </w:rPr>
    </w:lvl>
  </w:abstractNum>
  <w:abstractNum w:abstractNumId="88" w15:restartNumberingAfterBreak="0">
    <w:nsid w:val="40123BF3"/>
    <w:multiLevelType w:val="hybridMultilevel"/>
    <w:tmpl w:val="2BDCFC18"/>
    <w:lvl w:ilvl="0" w:tplc="BDF2A088">
      <w:numFmt w:val="bullet"/>
      <w:lvlText w:val="-"/>
      <w:lvlJc w:val="left"/>
      <w:pPr>
        <w:ind w:left="109" w:hanging="118"/>
      </w:pPr>
      <w:rPr>
        <w:rFonts w:ascii="Calibri" w:eastAsia="Calibri" w:hAnsi="Calibri" w:cs="Calibri" w:hint="default"/>
        <w:b w:val="0"/>
        <w:bCs w:val="0"/>
        <w:i w:val="0"/>
        <w:iCs w:val="0"/>
        <w:spacing w:val="0"/>
        <w:w w:val="100"/>
        <w:sz w:val="22"/>
        <w:szCs w:val="22"/>
        <w:lang w:val="en-US" w:eastAsia="en-US" w:bidi="ar-SA"/>
      </w:rPr>
    </w:lvl>
    <w:lvl w:ilvl="1" w:tplc="F98E555E">
      <w:numFmt w:val="bullet"/>
      <w:lvlText w:val="•"/>
      <w:lvlJc w:val="left"/>
      <w:pPr>
        <w:ind w:left="387" w:hanging="118"/>
      </w:pPr>
      <w:rPr>
        <w:rFonts w:hint="default"/>
        <w:lang w:val="en-US" w:eastAsia="en-US" w:bidi="ar-SA"/>
      </w:rPr>
    </w:lvl>
    <w:lvl w:ilvl="2" w:tplc="500C3B64">
      <w:numFmt w:val="bullet"/>
      <w:lvlText w:val="•"/>
      <w:lvlJc w:val="left"/>
      <w:pPr>
        <w:ind w:left="675" w:hanging="118"/>
      </w:pPr>
      <w:rPr>
        <w:rFonts w:hint="default"/>
        <w:lang w:val="en-US" w:eastAsia="en-US" w:bidi="ar-SA"/>
      </w:rPr>
    </w:lvl>
    <w:lvl w:ilvl="3" w:tplc="BCF6C942">
      <w:numFmt w:val="bullet"/>
      <w:lvlText w:val="•"/>
      <w:lvlJc w:val="left"/>
      <w:pPr>
        <w:ind w:left="963" w:hanging="118"/>
      </w:pPr>
      <w:rPr>
        <w:rFonts w:hint="default"/>
        <w:lang w:val="en-US" w:eastAsia="en-US" w:bidi="ar-SA"/>
      </w:rPr>
    </w:lvl>
    <w:lvl w:ilvl="4" w:tplc="5E684716">
      <w:numFmt w:val="bullet"/>
      <w:lvlText w:val="•"/>
      <w:lvlJc w:val="left"/>
      <w:pPr>
        <w:ind w:left="1251" w:hanging="118"/>
      </w:pPr>
      <w:rPr>
        <w:rFonts w:hint="default"/>
        <w:lang w:val="en-US" w:eastAsia="en-US" w:bidi="ar-SA"/>
      </w:rPr>
    </w:lvl>
    <w:lvl w:ilvl="5" w:tplc="759A3446">
      <w:numFmt w:val="bullet"/>
      <w:lvlText w:val="•"/>
      <w:lvlJc w:val="left"/>
      <w:pPr>
        <w:ind w:left="1539" w:hanging="118"/>
      </w:pPr>
      <w:rPr>
        <w:rFonts w:hint="default"/>
        <w:lang w:val="en-US" w:eastAsia="en-US" w:bidi="ar-SA"/>
      </w:rPr>
    </w:lvl>
    <w:lvl w:ilvl="6" w:tplc="BAD067C0">
      <w:numFmt w:val="bullet"/>
      <w:lvlText w:val="•"/>
      <w:lvlJc w:val="left"/>
      <w:pPr>
        <w:ind w:left="1826" w:hanging="118"/>
      </w:pPr>
      <w:rPr>
        <w:rFonts w:hint="default"/>
        <w:lang w:val="en-US" w:eastAsia="en-US" w:bidi="ar-SA"/>
      </w:rPr>
    </w:lvl>
    <w:lvl w:ilvl="7" w:tplc="99386C14">
      <w:numFmt w:val="bullet"/>
      <w:lvlText w:val="•"/>
      <w:lvlJc w:val="left"/>
      <w:pPr>
        <w:ind w:left="2114" w:hanging="118"/>
      </w:pPr>
      <w:rPr>
        <w:rFonts w:hint="default"/>
        <w:lang w:val="en-US" w:eastAsia="en-US" w:bidi="ar-SA"/>
      </w:rPr>
    </w:lvl>
    <w:lvl w:ilvl="8" w:tplc="AB708F76">
      <w:numFmt w:val="bullet"/>
      <w:lvlText w:val="•"/>
      <w:lvlJc w:val="left"/>
      <w:pPr>
        <w:ind w:left="2402" w:hanging="118"/>
      </w:pPr>
      <w:rPr>
        <w:rFonts w:hint="default"/>
        <w:lang w:val="en-US" w:eastAsia="en-US" w:bidi="ar-SA"/>
      </w:rPr>
    </w:lvl>
  </w:abstractNum>
  <w:abstractNum w:abstractNumId="89" w15:restartNumberingAfterBreak="0">
    <w:nsid w:val="404B445F"/>
    <w:multiLevelType w:val="hybridMultilevel"/>
    <w:tmpl w:val="6298E4CA"/>
    <w:lvl w:ilvl="0" w:tplc="DFBA9722">
      <w:start w:val="1"/>
      <w:numFmt w:val="lowerLetter"/>
      <w:lvlText w:val="(%1)"/>
      <w:lvlJc w:val="left"/>
      <w:pPr>
        <w:ind w:left="1494" w:hanging="428"/>
      </w:pPr>
      <w:rPr>
        <w:rFonts w:ascii="Calibri" w:eastAsia="Calibri" w:hAnsi="Calibri" w:cs="Calibri" w:hint="default"/>
        <w:b w:val="0"/>
        <w:bCs w:val="0"/>
        <w:i w:val="0"/>
        <w:iCs w:val="0"/>
        <w:spacing w:val="-1"/>
        <w:w w:val="100"/>
        <w:sz w:val="24"/>
        <w:szCs w:val="24"/>
        <w:lang w:val="en-US" w:eastAsia="en-US" w:bidi="ar-SA"/>
      </w:rPr>
    </w:lvl>
    <w:lvl w:ilvl="1" w:tplc="56D47EA2">
      <w:numFmt w:val="bullet"/>
      <w:lvlText w:val="•"/>
      <w:lvlJc w:val="left"/>
      <w:pPr>
        <w:ind w:left="2536" w:hanging="428"/>
      </w:pPr>
      <w:rPr>
        <w:rFonts w:hint="default"/>
        <w:lang w:val="en-US" w:eastAsia="en-US" w:bidi="ar-SA"/>
      </w:rPr>
    </w:lvl>
    <w:lvl w:ilvl="2" w:tplc="8D3A7936">
      <w:numFmt w:val="bullet"/>
      <w:lvlText w:val="•"/>
      <w:lvlJc w:val="left"/>
      <w:pPr>
        <w:ind w:left="3573" w:hanging="428"/>
      </w:pPr>
      <w:rPr>
        <w:rFonts w:hint="default"/>
        <w:lang w:val="en-US" w:eastAsia="en-US" w:bidi="ar-SA"/>
      </w:rPr>
    </w:lvl>
    <w:lvl w:ilvl="3" w:tplc="81CE36FC">
      <w:numFmt w:val="bullet"/>
      <w:lvlText w:val="•"/>
      <w:lvlJc w:val="left"/>
      <w:pPr>
        <w:ind w:left="4609" w:hanging="428"/>
      </w:pPr>
      <w:rPr>
        <w:rFonts w:hint="default"/>
        <w:lang w:val="en-US" w:eastAsia="en-US" w:bidi="ar-SA"/>
      </w:rPr>
    </w:lvl>
    <w:lvl w:ilvl="4" w:tplc="C94E738A">
      <w:numFmt w:val="bullet"/>
      <w:lvlText w:val="•"/>
      <w:lvlJc w:val="left"/>
      <w:pPr>
        <w:ind w:left="5646" w:hanging="428"/>
      </w:pPr>
      <w:rPr>
        <w:rFonts w:hint="default"/>
        <w:lang w:val="en-US" w:eastAsia="en-US" w:bidi="ar-SA"/>
      </w:rPr>
    </w:lvl>
    <w:lvl w:ilvl="5" w:tplc="EE586EE2">
      <w:numFmt w:val="bullet"/>
      <w:lvlText w:val="•"/>
      <w:lvlJc w:val="left"/>
      <w:pPr>
        <w:ind w:left="6683" w:hanging="428"/>
      </w:pPr>
      <w:rPr>
        <w:rFonts w:hint="default"/>
        <w:lang w:val="en-US" w:eastAsia="en-US" w:bidi="ar-SA"/>
      </w:rPr>
    </w:lvl>
    <w:lvl w:ilvl="6" w:tplc="315C15AE">
      <w:numFmt w:val="bullet"/>
      <w:lvlText w:val="•"/>
      <w:lvlJc w:val="left"/>
      <w:pPr>
        <w:ind w:left="7719" w:hanging="428"/>
      </w:pPr>
      <w:rPr>
        <w:rFonts w:hint="default"/>
        <w:lang w:val="en-US" w:eastAsia="en-US" w:bidi="ar-SA"/>
      </w:rPr>
    </w:lvl>
    <w:lvl w:ilvl="7" w:tplc="FFAE6238">
      <w:numFmt w:val="bullet"/>
      <w:lvlText w:val="•"/>
      <w:lvlJc w:val="left"/>
      <w:pPr>
        <w:ind w:left="8756" w:hanging="428"/>
      </w:pPr>
      <w:rPr>
        <w:rFonts w:hint="default"/>
        <w:lang w:val="en-US" w:eastAsia="en-US" w:bidi="ar-SA"/>
      </w:rPr>
    </w:lvl>
    <w:lvl w:ilvl="8" w:tplc="89D8C0C8">
      <w:numFmt w:val="bullet"/>
      <w:lvlText w:val="•"/>
      <w:lvlJc w:val="left"/>
      <w:pPr>
        <w:ind w:left="9793" w:hanging="428"/>
      </w:pPr>
      <w:rPr>
        <w:rFonts w:hint="default"/>
        <w:lang w:val="en-US" w:eastAsia="en-US" w:bidi="ar-SA"/>
      </w:rPr>
    </w:lvl>
  </w:abstractNum>
  <w:abstractNum w:abstractNumId="90" w15:restartNumberingAfterBreak="0">
    <w:nsid w:val="41A8020F"/>
    <w:multiLevelType w:val="multilevel"/>
    <w:tmpl w:val="6E1464F2"/>
    <w:lvl w:ilvl="0">
      <w:start w:val="7"/>
      <w:numFmt w:val="decimal"/>
      <w:lvlText w:val="%1"/>
      <w:lvlJc w:val="left"/>
      <w:pPr>
        <w:ind w:left="2120" w:hanging="404"/>
      </w:pPr>
      <w:rPr>
        <w:rFonts w:hint="default"/>
        <w:lang w:val="en-US" w:eastAsia="en-US" w:bidi="ar-SA"/>
      </w:rPr>
    </w:lvl>
    <w:lvl w:ilvl="1">
      <w:start w:val="1"/>
      <w:numFmt w:val="decimal"/>
      <w:lvlText w:val="%1.%2"/>
      <w:lvlJc w:val="left"/>
      <w:pPr>
        <w:ind w:left="2120" w:hanging="404"/>
      </w:pPr>
      <w:rPr>
        <w:rFonts w:ascii="Arial" w:eastAsia="Arial" w:hAnsi="Arial" w:cs="Arial" w:hint="default"/>
        <w:b w:val="0"/>
        <w:bCs w:val="0"/>
        <w:i w:val="0"/>
        <w:iCs w:val="0"/>
        <w:spacing w:val="0"/>
        <w:w w:val="100"/>
        <w:sz w:val="24"/>
        <w:szCs w:val="24"/>
        <w:lang w:val="en-US" w:eastAsia="en-US" w:bidi="ar-SA"/>
      </w:rPr>
    </w:lvl>
    <w:lvl w:ilvl="2">
      <w:numFmt w:val="bullet"/>
      <w:lvlText w:val="•"/>
      <w:lvlJc w:val="left"/>
      <w:pPr>
        <w:ind w:left="4069" w:hanging="404"/>
      </w:pPr>
      <w:rPr>
        <w:rFonts w:hint="default"/>
        <w:lang w:val="en-US" w:eastAsia="en-US" w:bidi="ar-SA"/>
      </w:rPr>
    </w:lvl>
    <w:lvl w:ilvl="3">
      <w:numFmt w:val="bullet"/>
      <w:lvlText w:val="•"/>
      <w:lvlJc w:val="left"/>
      <w:pPr>
        <w:ind w:left="5043" w:hanging="404"/>
      </w:pPr>
      <w:rPr>
        <w:rFonts w:hint="default"/>
        <w:lang w:val="en-US" w:eastAsia="en-US" w:bidi="ar-SA"/>
      </w:rPr>
    </w:lvl>
    <w:lvl w:ilvl="4">
      <w:numFmt w:val="bullet"/>
      <w:lvlText w:val="•"/>
      <w:lvlJc w:val="left"/>
      <w:pPr>
        <w:ind w:left="6018" w:hanging="404"/>
      </w:pPr>
      <w:rPr>
        <w:rFonts w:hint="default"/>
        <w:lang w:val="en-US" w:eastAsia="en-US" w:bidi="ar-SA"/>
      </w:rPr>
    </w:lvl>
    <w:lvl w:ilvl="5">
      <w:numFmt w:val="bullet"/>
      <w:lvlText w:val="•"/>
      <w:lvlJc w:val="left"/>
      <w:pPr>
        <w:ind w:left="6993" w:hanging="404"/>
      </w:pPr>
      <w:rPr>
        <w:rFonts w:hint="default"/>
        <w:lang w:val="en-US" w:eastAsia="en-US" w:bidi="ar-SA"/>
      </w:rPr>
    </w:lvl>
    <w:lvl w:ilvl="6">
      <w:numFmt w:val="bullet"/>
      <w:lvlText w:val="•"/>
      <w:lvlJc w:val="left"/>
      <w:pPr>
        <w:ind w:left="7967" w:hanging="404"/>
      </w:pPr>
      <w:rPr>
        <w:rFonts w:hint="default"/>
        <w:lang w:val="en-US" w:eastAsia="en-US" w:bidi="ar-SA"/>
      </w:rPr>
    </w:lvl>
    <w:lvl w:ilvl="7">
      <w:numFmt w:val="bullet"/>
      <w:lvlText w:val="•"/>
      <w:lvlJc w:val="left"/>
      <w:pPr>
        <w:ind w:left="8942" w:hanging="404"/>
      </w:pPr>
      <w:rPr>
        <w:rFonts w:hint="default"/>
        <w:lang w:val="en-US" w:eastAsia="en-US" w:bidi="ar-SA"/>
      </w:rPr>
    </w:lvl>
    <w:lvl w:ilvl="8">
      <w:numFmt w:val="bullet"/>
      <w:lvlText w:val="•"/>
      <w:lvlJc w:val="left"/>
      <w:pPr>
        <w:ind w:left="9917" w:hanging="404"/>
      </w:pPr>
      <w:rPr>
        <w:rFonts w:hint="default"/>
        <w:lang w:val="en-US" w:eastAsia="en-US" w:bidi="ar-SA"/>
      </w:rPr>
    </w:lvl>
  </w:abstractNum>
  <w:abstractNum w:abstractNumId="91" w15:restartNumberingAfterBreak="0">
    <w:nsid w:val="420B6B8A"/>
    <w:multiLevelType w:val="hybridMultilevel"/>
    <w:tmpl w:val="CF209EA0"/>
    <w:lvl w:ilvl="0" w:tplc="F2CE6B64">
      <w:numFmt w:val="bullet"/>
      <w:lvlText w:val="-"/>
      <w:lvlJc w:val="left"/>
      <w:pPr>
        <w:ind w:left="109" w:hanging="118"/>
      </w:pPr>
      <w:rPr>
        <w:rFonts w:ascii="Calibri" w:eastAsia="Calibri" w:hAnsi="Calibri" w:cs="Calibri" w:hint="default"/>
        <w:b w:val="0"/>
        <w:bCs w:val="0"/>
        <w:i w:val="0"/>
        <w:iCs w:val="0"/>
        <w:spacing w:val="0"/>
        <w:w w:val="100"/>
        <w:sz w:val="22"/>
        <w:szCs w:val="22"/>
        <w:lang w:val="en-US" w:eastAsia="en-US" w:bidi="ar-SA"/>
      </w:rPr>
    </w:lvl>
    <w:lvl w:ilvl="1" w:tplc="38103EDE">
      <w:numFmt w:val="bullet"/>
      <w:lvlText w:val="•"/>
      <w:lvlJc w:val="left"/>
      <w:pPr>
        <w:ind w:left="387" w:hanging="118"/>
      </w:pPr>
      <w:rPr>
        <w:rFonts w:hint="default"/>
        <w:lang w:val="en-US" w:eastAsia="en-US" w:bidi="ar-SA"/>
      </w:rPr>
    </w:lvl>
    <w:lvl w:ilvl="2" w:tplc="4440A944">
      <w:numFmt w:val="bullet"/>
      <w:lvlText w:val="•"/>
      <w:lvlJc w:val="left"/>
      <w:pPr>
        <w:ind w:left="675" w:hanging="118"/>
      </w:pPr>
      <w:rPr>
        <w:rFonts w:hint="default"/>
        <w:lang w:val="en-US" w:eastAsia="en-US" w:bidi="ar-SA"/>
      </w:rPr>
    </w:lvl>
    <w:lvl w:ilvl="3" w:tplc="0E32E7BE">
      <w:numFmt w:val="bullet"/>
      <w:lvlText w:val="•"/>
      <w:lvlJc w:val="left"/>
      <w:pPr>
        <w:ind w:left="963" w:hanging="118"/>
      </w:pPr>
      <w:rPr>
        <w:rFonts w:hint="default"/>
        <w:lang w:val="en-US" w:eastAsia="en-US" w:bidi="ar-SA"/>
      </w:rPr>
    </w:lvl>
    <w:lvl w:ilvl="4" w:tplc="E25A145A">
      <w:numFmt w:val="bullet"/>
      <w:lvlText w:val="•"/>
      <w:lvlJc w:val="left"/>
      <w:pPr>
        <w:ind w:left="1251" w:hanging="118"/>
      </w:pPr>
      <w:rPr>
        <w:rFonts w:hint="default"/>
        <w:lang w:val="en-US" w:eastAsia="en-US" w:bidi="ar-SA"/>
      </w:rPr>
    </w:lvl>
    <w:lvl w:ilvl="5" w:tplc="178A514C">
      <w:numFmt w:val="bullet"/>
      <w:lvlText w:val="•"/>
      <w:lvlJc w:val="left"/>
      <w:pPr>
        <w:ind w:left="1539" w:hanging="118"/>
      </w:pPr>
      <w:rPr>
        <w:rFonts w:hint="default"/>
        <w:lang w:val="en-US" w:eastAsia="en-US" w:bidi="ar-SA"/>
      </w:rPr>
    </w:lvl>
    <w:lvl w:ilvl="6" w:tplc="44DC0F2E">
      <w:numFmt w:val="bullet"/>
      <w:lvlText w:val="•"/>
      <w:lvlJc w:val="left"/>
      <w:pPr>
        <w:ind w:left="1826" w:hanging="118"/>
      </w:pPr>
      <w:rPr>
        <w:rFonts w:hint="default"/>
        <w:lang w:val="en-US" w:eastAsia="en-US" w:bidi="ar-SA"/>
      </w:rPr>
    </w:lvl>
    <w:lvl w:ilvl="7" w:tplc="A52648E8">
      <w:numFmt w:val="bullet"/>
      <w:lvlText w:val="•"/>
      <w:lvlJc w:val="left"/>
      <w:pPr>
        <w:ind w:left="2114" w:hanging="118"/>
      </w:pPr>
      <w:rPr>
        <w:rFonts w:hint="default"/>
        <w:lang w:val="en-US" w:eastAsia="en-US" w:bidi="ar-SA"/>
      </w:rPr>
    </w:lvl>
    <w:lvl w:ilvl="8" w:tplc="390A997A">
      <w:numFmt w:val="bullet"/>
      <w:lvlText w:val="•"/>
      <w:lvlJc w:val="left"/>
      <w:pPr>
        <w:ind w:left="2402" w:hanging="118"/>
      </w:pPr>
      <w:rPr>
        <w:rFonts w:hint="default"/>
        <w:lang w:val="en-US" w:eastAsia="en-US" w:bidi="ar-SA"/>
      </w:rPr>
    </w:lvl>
  </w:abstractNum>
  <w:abstractNum w:abstractNumId="92" w15:restartNumberingAfterBreak="0">
    <w:nsid w:val="42B2578E"/>
    <w:multiLevelType w:val="hybridMultilevel"/>
    <w:tmpl w:val="56E4FFBE"/>
    <w:lvl w:ilvl="0" w:tplc="A3AA1FFC">
      <w:numFmt w:val="bullet"/>
      <w:lvlText w:val=""/>
      <w:lvlJc w:val="left"/>
      <w:pPr>
        <w:ind w:left="826" w:hanging="360"/>
      </w:pPr>
      <w:rPr>
        <w:rFonts w:ascii="Wingdings" w:eastAsia="Wingdings" w:hAnsi="Wingdings" w:cs="Wingdings" w:hint="default"/>
        <w:b w:val="0"/>
        <w:bCs w:val="0"/>
        <w:i w:val="0"/>
        <w:iCs w:val="0"/>
        <w:color w:val="0D0D0D"/>
        <w:spacing w:val="0"/>
        <w:w w:val="100"/>
        <w:sz w:val="22"/>
        <w:szCs w:val="22"/>
        <w:lang w:val="en-US" w:eastAsia="en-US" w:bidi="ar-SA"/>
      </w:rPr>
    </w:lvl>
    <w:lvl w:ilvl="1" w:tplc="4F141FA4">
      <w:numFmt w:val="bullet"/>
      <w:lvlText w:val="•"/>
      <w:lvlJc w:val="left"/>
      <w:pPr>
        <w:ind w:left="916" w:hanging="360"/>
      </w:pPr>
      <w:rPr>
        <w:rFonts w:hint="default"/>
        <w:lang w:val="en-US" w:eastAsia="en-US" w:bidi="ar-SA"/>
      </w:rPr>
    </w:lvl>
    <w:lvl w:ilvl="2" w:tplc="292E1732">
      <w:numFmt w:val="bullet"/>
      <w:lvlText w:val="•"/>
      <w:lvlJc w:val="left"/>
      <w:pPr>
        <w:ind w:left="1012" w:hanging="360"/>
      </w:pPr>
      <w:rPr>
        <w:rFonts w:hint="default"/>
        <w:lang w:val="en-US" w:eastAsia="en-US" w:bidi="ar-SA"/>
      </w:rPr>
    </w:lvl>
    <w:lvl w:ilvl="3" w:tplc="5E5AF9C2">
      <w:numFmt w:val="bullet"/>
      <w:lvlText w:val="•"/>
      <w:lvlJc w:val="left"/>
      <w:pPr>
        <w:ind w:left="1108" w:hanging="360"/>
      </w:pPr>
      <w:rPr>
        <w:rFonts w:hint="default"/>
        <w:lang w:val="en-US" w:eastAsia="en-US" w:bidi="ar-SA"/>
      </w:rPr>
    </w:lvl>
    <w:lvl w:ilvl="4" w:tplc="4380FECA">
      <w:numFmt w:val="bullet"/>
      <w:lvlText w:val="•"/>
      <w:lvlJc w:val="left"/>
      <w:pPr>
        <w:ind w:left="1205" w:hanging="360"/>
      </w:pPr>
      <w:rPr>
        <w:rFonts w:hint="default"/>
        <w:lang w:val="en-US" w:eastAsia="en-US" w:bidi="ar-SA"/>
      </w:rPr>
    </w:lvl>
    <w:lvl w:ilvl="5" w:tplc="58342BD4">
      <w:numFmt w:val="bullet"/>
      <w:lvlText w:val="•"/>
      <w:lvlJc w:val="left"/>
      <w:pPr>
        <w:ind w:left="1301" w:hanging="360"/>
      </w:pPr>
      <w:rPr>
        <w:rFonts w:hint="default"/>
        <w:lang w:val="en-US" w:eastAsia="en-US" w:bidi="ar-SA"/>
      </w:rPr>
    </w:lvl>
    <w:lvl w:ilvl="6" w:tplc="A8F06D20">
      <w:numFmt w:val="bullet"/>
      <w:lvlText w:val="•"/>
      <w:lvlJc w:val="left"/>
      <w:pPr>
        <w:ind w:left="1397" w:hanging="360"/>
      </w:pPr>
      <w:rPr>
        <w:rFonts w:hint="default"/>
        <w:lang w:val="en-US" w:eastAsia="en-US" w:bidi="ar-SA"/>
      </w:rPr>
    </w:lvl>
    <w:lvl w:ilvl="7" w:tplc="FC0CDA06">
      <w:numFmt w:val="bullet"/>
      <w:lvlText w:val="•"/>
      <w:lvlJc w:val="left"/>
      <w:pPr>
        <w:ind w:left="1494" w:hanging="360"/>
      </w:pPr>
      <w:rPr>
        <w:rFonts w:hint="default"/>
        <w:lang w:val="en-US" w:eastAsia="en-US" w:bidi="ar-SA"/>
      </w:rPr>
    </w:lvl>
    <w:lvl w:ilvl="8" w:tplc="9FEEEC6A">
      <w:numFmt w:val="bullet"/>
      <w:lvlText w:val="•"/>
      <w:lvlJc w:val="left"/>
      <w:pPr>
        <w:ind w:left="1590" w:hanging="360"/>
      </w:pPr>
      <w:rPr>
        <w:rFonts w:hint="default"/>
        <w:lang w:val="en-US" w:eastAsia="en-US" w:bidi="ar-SA"/>
      </w:rPr>
    </w:lvl>
  </w:abstractNum>
  <w:abstractNum w:abstractNumId="93" w15:restartNumberingAfterBreak="0">
    <w:nsid w:val="437F313E"/>
    <w:multiLevelType w:val="hybridMultilevel"/>
    <w:tmpl w:val="B63EE0A4"/>
    <w:lvl w:ilvl="0" w:tplc="838AC2A6">
      <w:start w:val="1"/>
      <w:numFmt w:val="lowerLetter"/>
      <w:lvlText w:val="(%1)"/>
      <w:lvlJc w:val="left"/>
      <w:pPr>
        <w:ind w:left="277" w:hanging="377"/>
      </w:pPr>
      <w:rPr>
        <w:rFonts w:ascii="Arial" w:eastAsia="Arial" w:hAnsi="Arial" w:cs="Arial" w:hint="default"/>
        <w:b w:val="0"/>
        <w:bCs w:val="0"/>
        <w:i w:val="0"/>
        <w:iCs w:val="0"/>
        <w:spacing w:val="0"/>
        <w:w w:val="99"/>
        <w:sz w:val="24"/>
        <w:szCs w:val="24"/>
        <w:lang w:val="en-US" w:eastAsia="en-US" w:bidi="ar-SA"/>
      </w:rPr>
    </w:lvl>
    <w:lvl w:ilvl="1" w:tplc="EF0C54DA">
      <w:start w:val="1"/>
      <w:numFmt w:val="lowerRoman"/>
      <w:lvlText w:val="(%2)"/>
      <w:lvlJc w:val="left"/>
      <w:pPr>
        <w:ind w:left="277" w:hanging="295"/>
      </w:pPr>
      <w:rPr>
        <w:rFonts w:ascii="Arial" w:eastAsia="Arial" w:hAnsi="Arial" w:cs="Arial" w:hint="default"/>
        <w:b w:val="0"/>
        <w:bCs w:val="0"/>
        <w:i w:val="0"/>
        <w:iCs w:val="0"/>
        <w:spacing w:val="-2"/>
        <w:w w:val="99"/>
        <w:sz w:val="24"/>
        <w:szCs w:val="24"/>
        <w:lang w:val="en-US" w:eastAsia="en-US" w:bidi="ar-SA"/>
      </w:rPr>
    </w:lvl>
    <w:lvl w:ilvl="2" w:tplc="BEA8A474">
      <w:numFmt w:val="bullet"/>
      <w:lvlText w:val="•"/>
      <w:lvlJc w:val="left"/>
      <w:pPr>
        <w:ind w:left="1718" w:hanging="295"/>
      </w:pPr>
      <w:rPr>
        <w:rFonts w:hint="default"/>
        <w:lang w:val="en-US" w:eastAsia="en-US" w:bidi="ar-SA"/>
      </w:rPr>
    </w:lvl>
    <w:lvl w:ilvl="3" w:tplc="802A30BC">
      <w:numFmt w:val="bullet"/>
      <w:lvlText w:val="•"/>
      <w:lvlJc w:val="left"/>
      <w:pPr>
        <w:ind w:left="2438" w:hanging="295"/>
      </w:pPr>
      <w:rPr>
        <w:rFonts w:hint="default"/>
        <w:lang w:val="en-US" w:eastAsia="en-US" w:bidi="ar-SA"/>
      </w:rPr>
    </w:lvl>
    <w:lvl w:ilvl="4" w:tplc="F17E1FD4">
      <w:numFmt w:val="bullet"/>
      <w:lvlText w:val="•"/>
      <w:lvlJc w:val="left"/>
      <w:pPr>
        <w:ind w:left="3157" w:hanging="295"/>
      </w:pPr>
      <w:rPr>
        <w:rFonts w:hint="default"/>
        <w:lang w:val="en-US" w:eastAsia="en-US" w:bidi="ar-SA"/>
      </w:rPr>
    </w:lvl>
    <w:lvl w:ilvl="5" w:tplc="6EE0F162">
      <w:numFmt w:val="bullet"/>
      <w:lvlText w:val="•"/>
      <w:lvlJc w:val="left"/>
      <w:pPr>
        <w:ind w:left="3877" w:hanging="295"/>
      </w:pPr>
      <w:rPr>
        <w:rFonts w:hint="default"/>
        <w:lang w:val="en-US" w:eastAsia="en-US" w:bidi="ar-SA"/>
      </w:rPr>
    </w:lvl>
    <w:lvl w:ilvl="6" w:tplc="E66AFCAC">
      <w:numFmt w:val="bullet"/>
      <w:lvlText w:val="•"/>
      <w:lvlJc w:val="left"/>
      <w:pPr>
        <w:ind w:left="4596" w:hanging="295"/>
      </w:pPr>
      <w:rPr>
        <w:rFonts w:hint="default"/>
        <w:lang w:val="en-US" w:eastAsia="en-US" w:bidi="ar-SA"/>
      </w:rPr>
    </w:lvl>
    <w:lvl w:ilvl="7" w:tplc="0BCE2E8C">
      <w:numFmt w:val="bullet"/>
      <w:lvlText w:val="•"/>
      <w:lvlJc w:val="left"/>
      <w:pPr>
        <w:ind w:left="5315" w:hanging="295"/>
      </w:pPr>
      <w:rPr>
        <w:rFonts w:hint="default"/>
        <w:lang w:val="en-US" w:eastAsia="en-US" w:bidi="ar-SA"/>
      </w:rPr>
    </w:lvl>
    <w:lvl w:ilvl="8" w:tplc="2FA068AC">
      <w:numFmt w:val="bullet"/>
      <w:lvlText w:val="•"/>
      <w:lvlJc w:val="left"/>
      <w:pPr>
        <w:ind w:left="6035" w:hanging="295"/>
      </w:pPr>
      <w:rPr>
        <w:rFonts w:hint="default"/>
        <w:lang w:val="en-US" w:eastAsia="en-US" w:bidi="ar-SA"/>
      </w:rPr>
    </w:lvl>
  </w:abstractNum>
  <w:abstractNum w:abstractNumId="94" w15:restartNumberingAfterBreak="0">
    <w:nsid w:val="439B6214"/>
    <w:multiLevelType w:val="hybridMultilevel"/>
    <w:tmpl w:val="EE98D9DC"/>
    <w:lvl w:ilvl="0" w:tplc="6F882C5C">
      <w:start w:val="2"/>
      <w:numFmt w:val="lowerRoman"/>
      <w:lvlText w:val="%1)"/>
      <w:lvlJc w:val="left"/>
      <w:pPr>
        <w:ind w:left="683" w:hanging="432"/>
      </w:pPr>
      <w:rPr>
        <w:rFonts w:ascii="Arial" w:eastAsia="Arial" w:hAnsi="Arial" w:cs="Arial" w:hint="default"/>
        <w:b w:val="0"/>
        <w:bCs w:val="0"/>
        <w:i w:val="0"/>
        <w:iCs w:val="0"/>
        <w:spacing w:val="-1"/>
        <w:w w:val="99"/>
        <w:sz w:val="24"/>
        <w:szCs w:val="24"/>
        <w:lang w:val="en-US" w:eastAsia="en-US" w:bidi="ar-SA"/>
      </w:rPr>
    </w:lvl>
    <w:lvl w:ilvl="1" w:tplc="1138FDEC">
      <w:start w:val="1"/>
      <w:numFmt w:val="lowerRoman"/>
      <w:lvlText w:val="%2)"/>
      <w:lvlJc w:val="left"/>
      <w:pPr>
        <w:ind w:left="899" w:hanging="360"/>
      </w:pPr>
      <w:rPr>
        <w:rFonts w:ascii="Arial" w:eastAsia="Arial" w:hAnsi="Arial" w:cs="Arial" w:hint="default"/>
        <w:b w:val="0"/>
        <w:bCs w:val="0"/>
        <w:i w:val="0"/>
        <w:iCs w:val="0"/>
        <w:spacing w:val="-1"/>
        <w:w w:val="99"/>
        <w:sz w:val="24"/>
        <w:szCs w:val="24"/>
        <w:lang w:val="en-US" w:eastAsia="en-US" w:bidi="ar-SA"/>
      </w:rPr>
    </w:lvl>
    <w:lvl w:ilvl="2" w:tplc="1062E9BC">
      <w:numFmt w:val="bullet"/>
      <w:lvlText w:val="•"/>
      <w:lvlJc w:val="left"/>
      <w:pPr>
        <w:ind w:left="1630" w:hanging="360"/>
      </w:pPr>
      <w:rPr>
        <w:rFonts w:hint="default"/>
        <w:lang w:val="en-US" w:eastAsia="en-US" w:bidi="ar-SA"/>
      </w:rPr>
    </w:lvl>
    <w:lvl w:ilvl="3" w:tplc="877E7772">
      <w:numFmt w:val="bullet"/>
      <w:lvlText w:val="•"/>
      <w:lvlJc w:val="left"/>
      <w:pPr>
        <w:ind w:left="2360" w:hanging="360"/>
      </w:pPr>
      <w:rPr>
        <w:rFonts w:hint="default"/>
        <w:lang w:val="en-US" w:eastAsia="en-US" w:bidi="ar-SA"/>
      </w:rPr>
    </w:lvl>
    <w:lvl w:ilvl="4" w:tplc="F3325C98">
      <w:numFmt w:val="bullet"/>
      <w:lvlText w:val="•"/>
      <w:lvlJc w:val="left"/>
      <w:pPr>
        <w:ind w:left="3091" w:hanging="360"/>
      </w:pPr>
      <w:rPr>
        <w:rFonts w:hint="default"/>
        <w:lang w:val="en-US" w:eastAsia="en-US" w:bidi="ar-SA"/>
      </w:rPr>
    </w:lvl>
    <w:lvl w:ilvl="5" w:tplc="A122FDEC">
      <w:numFmt w:val="bullet"/>
      <w:lvlText w:val="•"/>
      <w:lvlJc w:val="left"/>
      <w:pPr>
        <w:ind w:left="3821" w:hanging="360"/>
      </w:pPr>
      <w:rPr>
        <w:rFonts w:hint="default"/>
        <w:lang w:val="en-US" w:eastAsia="en-US" w:bidi="ar-SA"/>
      </w:rPr>
    </w:lvl>
    <w:lvl w:ilvl="6" w:tplc="DA300966">
      <w:numFmt w:val="bullet"/>
      <w:lvlText w:val="•"/>
      <w:lvlJc w:val="left"/>
      <w:pPr>
        <w:ind w:left="4552" w:hanging="360"/>
      </w:pPr>
      <w:rPr>
        <w:rFonts w:hint="default"/>
        <w:lang w:val="en-US" w:eastAsia="en-US" w:bidi="ar-SA"/>
      </w:rPr>
    </w:lvl>
    <w:lvl w:ilvl="7" w:tplc="D1DEB4C0">
      <w:numFmt w:val="bullet"/>
      <w:lvlText w:val="•"/>
      <w:lvlJc w:val="left"/>
      <w:pPr>
        <w:ind w:left="5282" w:hanging="360"/>
      </w:pPr>
      <w:rPr>
        <w:rFonts w:hint="default"/>
        <w:lang w:val="en-US" w:eastAsia="en-US" w:bidi="ar-SA"/>
      </w:rPr>
    </w:lvl>
    <w:lvl w:ilvl="8" w:tplc="9A100268">
      <w:numFmt w:val="bullet"/>
      <w:lvlText w:val="•"/>
      <w:lvlJc w:val="left"/>
      <w:pPr>
        <w:ind w:left="6013" w:hanging="360"/>
      </w:pPr>
      <w:rPr>
        <w:rFonts w:hint="default"/>
        <w:lang w:val="en-US" w:eastAsia="en-US" w:bidi="ar-SA"/>
      </w:rPr>
    </w:lvl>
  </w:abstractNum>
  <w:abstractNum w:abstractNumId="95" w15:restartNumberingAfterBreak="0">
    <w:nsid w:val="43D50EF8"/>
    <w:multiLevelType w:val="hybridMultilevel"/>
    <w:tmpl w:val="D35C240C"/>
    <w:lvl w:ilvl="0" w:tplc="4EE2CC26">
      <w:start w:val="1"/>
      <w:numFmt w:val="decimal"/>
      <w:lvlText w:val="%1."/>
      <w:lvlJc w:val="left"/>
      <w:pPr>
        <w:ind w:left="2120" w:hanging="360"/>
      </w:pPr>
      <w:rPr>
        <w:rFonts w:ascii="Arial" w:eastAsia="Arial" w:hAnsi="Arial" w:cs="Arial" w:hint="default"/>
        <w:b w:val="0"/>
        <w:bCs w:val="0"/>
        <w:i w:val="0"/>
        <w:iCs w:val="0"/>
        <w:spacing w:val="0"/>
        <w:w w:val="100"/>
        <w:sz w:val="24"/>
        <w:szCs w:val="24"/>
        <w:lang w:val="en-US" w:eastAsia="en-US" w:bidi="ar-SA"/>
      </w:rPr>
    </w:lvl>
    <w:lvl w:ilvl="1" w:tplc="6F06A122">
      <w:numFmt w:val="bullet"/>
      <w:lvlText w:val="•"/>
      <w:lvlJc w:val="left"/>
      <w:pPr>
        <w:ind w:left="3094" w:hanging="360"/>
      </w:pPr>
      <w:rPr>
        <w:rFonts w:hint="default"/>
        <w:lang w:val="en-US" w:eastAsia="en-US" w:bidi="ar-SA"/>
      </w:rPr>
    </w:lvl>
    <w:lvl w:ilvl="2" w:tplc="2AEE66C0">
      <w:numFmt w:val="bullet"/>
      <w:lvlText w:val="•"/>
      <w:lvlJc w:val="left"/>
      <w:pPr>
        <w:ind w:left="4069" w:hanging="360"/>
      </w:pPr>
      <w:rPr>
        <w:rFonts w:hint="default"/>
        <w:lang w:val="en-US" w:eastAsia="en-US" w:bidi="ar-SA"/>
      </w:rPr>
    </w:lvl>
    <w:lvl w:ilvl="3" w:tplc="6EBED39E">
      <w:numFmt w:val="bullet"/>
      <w:lvlText w:val="•"/>
      <w:lvlJc w:val="left"/>
      <w:pPr>
        <w:ind w:left="5043" w:hanging="360"/>
      </w:pPr>
      <w:rPr>
        <w:rFonts w:hint="default"/>
        <w:lang w:val="en-US" w:eastAsia="en-US" w:bidi="ar-SA"/>
      </w:rPr>
    </w:lvl>
    <w:lvl w:ilvl="4" w:tplc="F8D80B1E">
      <w:numFmt w:val="bullet"/>
      <w:lvlText w:val="•"/>
      <w:lvlJc w:val="left"/>
      <w:pPr>
        <w:ind w:left="6018" w:hanging="360"/>
      </w:pPr>
      <w:rPr>
        <w:rFonts w:hint="default"/>
        <w:lang w:val="en-US" w:eastAsia="en-US" w:bidi="ar-SA"/>
      </w:rPr>
    </w:lvl>
    <w:lvl w:ilvl="5" w:tplc="E618E25E">
      <w:numFmt w:val="bullet"/>
      <w:lvlText w:val="•"/>
      <w:lvlJc w:val="left"/>
      <w:pPr>
        <w:ind w:left="6993" w:hanging="360"/>
      </w:pPr>
      <w:rPr>
        <w:rFonts w:hint="default"/>
        <w:lang w:val="en-US" w:eastAsia="en-US" w:bidi="ar-SA"/>
      </w:rPr>
    </w:lvl>
    <w:lvl w:ilvl="6" w:tplc="C82E3F28">
      <w:numFmt w:val="bullet"/>
      <w:lvlText w:val="•"/>
      <w:lvlJc w:val="left"/>
      <w:pPr>
        <w:ind w:left="7967" w:hanging="360"/>
      </w:pPr>
      <w:rPr>
        <w:rFonts w:hint="default"/>
        <w:lang w:val="en-US" w:eastAsia="en-US" w:bidi="ar-SA"/>
      </w:rPr>
    </w:lvl>
    <w:lvl w:ilvl="7" w:tplc="61A2072E">
      <w:numFmt w:val="bullet"/>
      <w:lvlText w:val="•"/>
      <w:lvlJc w:val="left"/>
      <w:pPr>
        <w:ind w:left="8942" w:hanging="360"/>
      </w:pPr>
      <w:rPr>
        <w:rFonts w:hint="default"/>
        <w:lang w:val="en-US" w:eastAsia="en-US" w:bidi="ar-SA"/>
      </w:rPr>
    </w:lvl>
    <w:lvl w:ilvl="8" w:tplc="E8C694E0">
      <w:numFmt w:val="bullet"/>
      <w:lvlText w:val="•"/>
      <w:lvlJc w:val="left"/>
      <w:pPr>
        <w:ind w:left="9917" w:hanging="360"/>
      </w:pPr>
      <w:rPr>
        <w:rFonts w:hint="default"/>
        <w:lang w:val="en-US" w:eastAsia="en-US" w:bidi="ar-SA"/>
      </w:rPr>
    </w:lvl>
  </w:abstractNum>
  <w:abstractNum w:abstractNumId="96" w15:restartNumberingAfterBreak="0">
    <w:nsid w:val="443E5358"/>
    <w:multiLevelType w:val="hybridMultilevel"/>
    <w:tmpl w:val="5E067226"/>
    <w:lvl w:ilvl="0" w:tplc="9C54C682">
      <w:start w:val="1"/>
      <w:numFmt w:val="lowerLetter"/>
      <w:lvlText w:val="(%1)"/>
      <w:lvlJc w:val="left"/>
      <w:pPr>
        <w:ind w:left="1494" w:hanging="428"/>
      </w:pPr>
      <w:rPr>
        <w:rFonts w:ascii="Calibri" w:eastAsia="Calibri" w:hAnsi="Calibri" w:cs="Calibri" w:hint="default"/>
        <w:b w:val="0"/>
        <w:bCs w:val="0"/>
        <w:i w:val="0"/>
        <w:iCs w:val="0"/>
        <w:spacing w:val="-1"/>
        <w:w w:val="100"/>
        <w:sz w:val="24"/>
        <w:szCs w:val="24"/>
        <w:lang w:val="en-US" w:eastAsia="en-US" w:bidi="ar-SA"/>
      </w:rPr>
    </w:lvl>
    <w:lvl w:ilvl="1" w:tplc="E4B0FA32">
      <w:numFmt w:val="bullet"/>
      <w:lvlText w:val="•"/>
      <w:lvlJc w:val="left"/>
      <w:pPr>
        <w:ind w:left="2536" w:hanging="428"/>
      </w:pPr>
      <w:rPr>
        <w:rFonts w:hint="default"/>
        <w:lang w:val="en-US" w:eastAsia="en-US" w:bidi="ar-SA"/>
      </w:rPr>
    </w:lvl>
    <w:lvl w:ilvl="2" w:tplc="01AA34E0">
      <w:numFmt w:val="bullet"/>
      <w:lvlText w:val="•"/>
      <w:lvlJc w:val="left"/>
      <w:pPr>
        <w:ind w:left="3573" w:hanging="428"/>
      </w:pPr>
      <w:rPr>
        <w:rFonts w:hint="default"/>
        <w:lang w:val="en-US" w:eastAsia="en-US" w:bidi="ar-SA"/>
      </w:rPr>
    </w:lvl>
    <w:lvl w:ilvl="3" w:tplc="EDFA2B18">
      <w:numFmt w:val="bullet"/>
      <w:lvlText w:val="•"/>
      <w:lvlJc w:val="left"/>
      <w:pPr>
        <w:ind w:left="4609" w:hanging="428"/>
      </w:pPr>
      <w:rPr>
        <w:rFonts w:hint="default"/>
        <w:lang w:val="en-US" w:eastAsia="en-US" w:bidi="ar-SA"/>
      </w:rPr>
    </w:lvl>
    <w:lvl w:ilvl="4" w:tplc="C108CC2A">
      <w:numFmt w:val="bullet"/>
      <w:lvlText w:val="•"/>
      <w:lvlJc w:val="left"/>
      <w:pPr>
        <w:ind w:left="5646" w:hanging="428"/>
      </w:pPr>
      <w:rPr>
        <w:rFonts w:hint="default"/>
        <w:lang w:val="en-US" w:eastAsia="en-US" w:bidi="ar-SA"/>
      </w:rPr>
    </w:lvl>
    <w:lvl w:ilvl="5" w:tplc="E6E22078">
      <w:numFmt w:val="bullet"/>
      <w:lvlText w:val="•"/>
      <w:lvlJc w:val="left"/>
      <w:pPr>
        <w:ind w:left="6683" w:hanging="428"/>
      </w:pPr>
      <w:rPr>
        <w:rFonts w:hint="default"/>
        <w:lang w:val="en-US" w:eastAsia="en-US" w:bidi="ar-SA"/>
      </w:rPr>
    </w:lvl>
    <w:lvl w:ilvl="6" w:tplc="05E6BA46">
      <w:numFmt w:val="bullet"/>
      <w:lvlText w:val="•"/>
      <w:lvlJc w:val="left"/>
      <w:pPr>
        <w:ind w:left="7719" w:hanging="428"/>
      </w:pPr>
      <w:rPr>
        <w:rFonts w:hint="default"/>
        <w:lang w:val="en-US" w:eastAsia="en-US" w:bidi="ar-SA"/>
      </w:rPr>
    </w:lvl>
    <w:lvl w:ilvl="7" w:tplc="9F5C1A80">
      <w:numFmt w:val="bullet"/>
      <w:lvlText w:val="•"/>
      <w:lvlJc w:val="left"/>
      <w:pPr>
        <w:ind w:left="8756" w:hanging="428"/>
      </w:pPr>
      <w:rPr>
        <w:rFonts w:hint="default"/>
        <w:lang w:val="en-US" w:eastAsia="en-US" w:bidi="ar-SA"/>
      </w:rPr>
    </w:lvl>
    <w:lvl w:ilvl="8" w:tplc="21BED1A6">
      <w:numFmt w:val="bullet"/>
      <w:lvlText w:val="•"/>
      <w:lvlJc w:val="left"/>
      <w:pPr>
        <w:ind w:left="9793" w:hanging="428"/>
      </w:pPr>
      <w:rPr>
        <w:rFonts w:hint="default"/>
        <w:lang w:val="en-US" w:eastAsia="en-US" w:bidi="ar-SA"/>
      </w:rPr>
    </w:lvl>
  </w:abstractNum>
  <w:abstractNum w:abstractNumId="97" w15:restartNumberingAfterBreak="0">
    <w:nsid w:val="44B1738A"/>
    <w:multiLevelType w:val="multilevel"/>
    <w:tmpl w:val="8BDE2FAA"/>
    <w:lvl w:ilvl="0">
      <w:start w:val="1"/>
      <w:numFmt w:val="decimal"/>
      <w:lvlText w:val="%1."/>
      <w:lvlJc w:val="left"/>
      <w:pPr>
        <w:ind w:left="1757" w:hanging="358"/>
      </w:pPr>
      <w:rPr>
        <w:rFonts w:ascii="Arial" w:eastAsia="Arial" w:hAnsi="Arial" w:cs="Arial" w:hint="default"/>
        <w:b/>
        <w:bCs/>
        <w:i w:val="0"/>
        <w:iCs w:val="0"/>
        <w:spacing w:val="-2"/>
        <w:w w:val="100"/>
        <w:sz w:val="36"/>
        <w:szCs w:val="36"/>
        <w:lang w:val="en-US" w:eastAsia="en-US" w:bidi="ar-SA"/>
      </w:rPr>
    </w:lvl>
    <w:lvl w:ilvl="1">
      <w:start w:val="1"/>
      <w:numFmt w:val="decimal"/>
      <w:lvlText w:val="%1.%2"/>
      <w:lvlJc w:val="left"/>
      <w:pPr>
        <w:ind w:left="1800" w:hanging="401"/>
      </w:pPr>
      <w:rPr>
        <w:rFonts w:ascii="Arial" w:eastAsia="Arial" w:hAnsi="Arial" w:cs="Arial" w:hint="default"/>
        <w:b/>
        <w:bCs/>
        <w:i w:val="0"/>
        <w:iCs w:val="0"/>
        <w:spacing w:val="0"/>
        <w:w w:val="100"/>
        <w:sz w:val="24"/>
        <w:szCs w:val="24"/>
        <w:lang w:val="en-US" w:eastAsia="en-US" w:bidi="ar-SA"/>
      </w:rPr>
    </w:lvl>
    <w:lvl w:ilvl="2">
      <w:numFmt w:val="bullet"/>
      <w:lvlText w:val=""/>
      <w:lvlJc w:val="left"/>
      <w:pPr>
        <w:ind w:left="2120" w:hanging="360"/>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2120" w:hanging="360"/>
      </w:pPr>
      <w:rPr>
        <w:rFonts w:hint="default"/>
        <w:lang w:val="en-US" w:eastAsia="en-US" w:bidi="ar-SA"/>
      </w:rPr>
    </w:lvl>
    <w:lvl w:ilvl="4">
      <w:numFmt w:val="bullet"/>
      <w:lvlText w:val="•"/>
      <w:lvlJc w:val="left"/>
      <w:pPr>
        <w:ind w:left="3512" w:hanging="360"/>
      </w:pPr>
      <w:rPr>
        <w:rFonts w:hint="default"/>
        <w:lang w:val="en-US" w:eastAsia="en-US" w:bidi="ar-SA"/>
      </w:rPr>
    </w:lvl>
    <w:lvl w:ilvl="5">
      <w:numFmt w:val="bullet"/>
      <w:lvlText w:val="•"/>
      <w:lvlJc w:val="left"/>
      <w:pPr>
        <w:ind w:left="4904" w:hanging="360"/>
      </w:pPr>
      <w:rPr>
        <w:rFonts w:hint="default"/>
        <w:lang w:val="en-US" w:eastAsia="en-US" w:bidi="ar-SA"/>
      </w:rPr>
    </w:lvl>
    <w:lvl w:ilvl="6">
      <w:numFmt w:val="bullet"/>
      <w:lvlText w:val="•"/>
      <w:lvlJc w:val="left"/>
      <w:pPr>
        <w:ind w:left="6297" w:hanging="360"/>
      </w:pPr>
      <w:rPr>
        <w:rFonts w:hint="default"/>
        <w:lang w:val="en-US" w:eastAsia="en-US" w:bidi="ar-SA"/>
      </w:rPr>
    </w:lvl>
    <w:lvl w:ilvl="7">
      <w:numFmt w:val="bullet"/>
      <w:lvlText w:val="•"/>
      <w:lvlJc w:val="left"/>
      <w:pPr>
        <w:ind w:left="7689" w:hanging="360"/>
      </w:pPr>
      <w:rPr>
        <w:rFonts w:hint="default"/>
        <w:lang w:val="en-US" w:eastAsia="en-US" w:bidi="ar-SA"/>
      </w:rPr>
    </w:lvl>
    <w:lvl w:ilvl="8">
      <w:numFmt w:val="bullet"/>
      <w:lvlText w:val="•"/>
      <w:lvlJc w:val="left"/>
      <w:pPr>
        <w:ind w:left="9081" w:hanging="360"/>
      </w:pPr>
      <w:rPr>
        <w:rFonts w:hint="default"/>
        <w:lang w:val="en-US" w:eastAsia="en-US" w:bidi="ar-SA"/>
      </w:rPr>
    </w:lvl>
  </w:abstractNum>
  <w:abstractNum w:abstractNumId="98" w15:restartNumberingAfterBreak="0">
    <w:nsid w:val="45354566"/>
    <w:multiLevelType w:val="hybridMultilevel"/>
    <w:tmpl w:val="1ACC62CA"/>
    <w:lvl w:ilvl="0" w:tplc="3AB45AE0">
      <w:start w:val="1"/>
      <w:numFmt w:val="lowerLetter"/>
      <w:lvlText w:val="(%1)"/>
      <w:lvlJc w:val="left"/>
      <w:pPr>
        <w:ind w:left="1494" w:hanging="428"/>
      </w:pPr>
      <w:rPr>
        <w:rFonts w:ascii="Calibri" w:eastAsia="Calibri" w:hAnsi="Calibri" w:cs="Calibri" w:hint="default"/>
        <w:b w:val="0"/>
        <w:bCs w:val="0"/>
        <w:i w:val="0"/>
        <w:iCs w:val="0"/>
        <w:spacing w:val="-1"/>
        <w:w w:val="100"/>
        <w:sz w:val="24"/>
        <w:szCs w:val="24"/>
        <w:lang w:val="en-US" w:eastAsia="en-US" w:bidi="ar-SA"/>
      </w:rPr>
    </w:lvl>
    <w:lvl w:ilvl="1" w:tplc="BE86BE28">
      <w:numFmt w:val="bullet"/>
      <w:lvlText w:val="•"/>
      <w:lvlJc w:val="left"/>
      <w:pPr>
        <w:ind w:left="2536" w:hanging="428"/>
      </w:pPr>
      <w:rPr>
        <w:rFonts w:hint="default"/>
        <w:lang w:val="en-US" w:eastAsia="en-US" w:bidi="ar-SA"/>
      </w:rPr>
    </w:lvl>
    <w:lvl w:ilvl="2" w:tplc="8BA0E756">
      <w:numFmt w:val="bullet"/>
      <w:lvlText w:val="•"/>
      <w:lvlJc w:val="left"/>
      <w:pPr>
        <w:ind w:left="3573" w:hanging="428"/>
      </w:pPr>
      <w:rPr>
        <w:rFonts w:hint="default"/>
        <w:lang w:val="en-US" w:eastAsia="en-US" w:bidi="ar-SA"/>
      </w:rPr>
    </w:lvl>
    <w:lvl w:ilvl="3" w:tplc="4DC60070">
      <w:numFmt w:val="bullet"/>
      <w:lvlText w:val="•"/>
      <w:lvlJc w:val="left"/>
      <w:pPr>
        <w:ind w:left="4609" w:hanging="428"/>
      </w:pPr>
      <w:rPr>
        <w:rFonts w:hint="default"/>
        <w:lang w:val="en-US" w:eastAsia="en-US" w:bidi="ar-SA"/>
      </w:rPr>
    </w:lvl>
    <w:lvl w:ilvl="4" w:tplc="43301F18">
      <w:numFmt w:val="bullet"/>
      <w:lvlText w:val="•"/>
      <w:lvlJc w:val="left"/>
      <w:pPr>
        <w:ind w:left="5646" w:hanging="428"/>
      </w:pPr>
      <w:rPr>
        <w:rFonts w:hint="default"/>
        <w:lang w:val="en-US" w:eastAsia="en-US" w:bidi="ar-SA"/>
      </w:rPr>
    </w:lvl>
    <w:lvl w:ilvl="5" w:tplc="23388742">
      <w:numFmt w:val="bullet"/>
      <w:lvlText w:val="•"/>
      <w:lvlJc w:val="left"/>
      <w:pPr>
        <w:ind w:left="6683" w:hanging="428"/>
      </w:pPr>
      <w:rPr>
        <w:rFonts w:hint="default"/>
        <w:lang w:val="en-US" w:eastAsia="en-US" w:bidi="ar-SA"/>
      </w:rPr>
    </w:lvl>
    <w:lvl w:ilvl="6" w:tplc="83E08A8E">
      <w:numFmt w:val="bullet"/>
      <w:lvlText w:val="•"/>
      <w:lvlJc w:val="left"/>
      <w:pPr>
        <w:ind w:left="7719" w:hanging="428"/>
      </w:pPr>
      <w:rPr>
        <w:rFonts w:hint="default"/>
        <w:lang w:val="en-US" w:eastAsia="en-US" w:bidi="ar-SA"/>
      </w:rPr>
    </w:lvl>
    <w:lvl w:ilvl="7" w:tplc="DAAEFF44">
      <w:numFmt w:val="bullet"/>
      <w:lvlText w:val="•"/>
      <w:lvlJc w:val="left"/>
      <w:pPr>
        <w:ind w:left="8756" w:hanging="428"/>
      </w:pPr>
      <w:rPr>
        <w:rFonts w:hint="default"/>
        <w:lang w:val="en-US" w:eastAsia="en-US" w:bidi="ar-SA"/>
      </w:rPr>
    </w:lvl>
    <w:lvl w:ilvl="8" w:tplc="9244A8FE">
      <w:numFmt w:val="bullet"/>
      <w:lvlText w:val="•"/>
      <w:lvlJc w:val="left"/>
      <w:pPr>
        <w:ind w:left="9793" w:hanging="428"/>
      </w:pPr>
      <w:rPr>
        <w:rFonts w:hint="default"/>
        <w:lang w:val="en-US" w:eastAsia="en-US" w:bidi="ar-SA"/>
      </w:rPr>
    </w:lvl>
  </w:abstractNum>
  <w:abstractNum w:abstractNumId="99" w15:restartNumberingAfterBreak="0">
    <w:nsid w:val="458E207F"/>
    <w:multiLevelType w:val="hybridMultilevel"/>
    <w:tmpl w:val="D7CC65B2"/>
    <w:lvl w:ilvl="0" w:tplc="F210190E">
      <w:start w:val="33"/>
      <w:numFmt w:val="lowerLetter"/>
      <w:lvlText w:val="%1)"/>
      <w:lvlJc w:val="left"/>
      <w:pPr>
        <w:ind w:left="539" w:hanging="576"/>
      </w:pPr>
      <w:rPr>
        <w:rFonts w:ascii="Arial" w:eastAsia="Arial" w:hAnsi="Arial" w:cs="Arial" w:hint="default"/>
        <w:b w:val="0"/>
        <w:bCs w:val="0"/>
        <w:i w:val="0"/>
        <w:iCs w:val="0"/>
        <w:spacing w:val="0"/>
        <w:w w:val="99"/>
        <w:sz w:val="24"/>
        <w:szCs w:val="24"/>
        <w:lang w:val="en-US" w:eastAsia="en-US" w:bidi="ar-SA"/>
      </w:rPr>
    </w:lvl>
    <w:lvl w:ilvl="1" w:tplc="B3EAC4F2">
      <w:start w:val="1"/>
      <w:numFmt w:val="lowerRoman"/>
      <w:lvlText w:val="%2)"/>
      <w:lvlJc w:val="left"/>
      <w:pPr>
        <w:ind w:left="899" w:hanging="360"/>
      </w:pPr>
      <w:rPr>
        <w:rFonts w:ascii="Arial" w:eastAsia="Arial" w:hAnsi="Arial" w:cs="Arial" w:hint="default"/>
        <w:b w:val="0"/>
        <w:bCs w:val="0"/>
        <w:i w:val="0"/>
        <w:iCs w:val="0"/>
        <w:spacing w:val="-1"/>
        <w:w w:val="99"/>
        <w:sz w:val="24"/>
        <w:szCs w:val="24"/>
        <w:lang w:val="en-US" w:eastAsia="en-US" w:bidi="ar-SA"/>
      </w:rPr>
    </w:lvl>
    <w:lvl w:ilvl="2" w:tplc="06CE4C94">
      <w:numFmt w:val="bullet"/>
      <w:lvlText w:val="•"/>
      <w:lvlJc w:val="left"/>
      <w:pPr>
        <w:ind w:left="1630" w:hanging="360"/>
      </w:pPr>
      <w:rPr>
        <w:rFonts w:hint="default"/>
        <w:lang w:val="en-US" w:eastAsia="en-US" w:bidi="ar-SA"/>
      </w:rPr>
    </w:lvl>
    <w:lvl w:ilvl="3" w:tplc="5CA0EAB2">
      <w:numFmt w:val="bullet"/>
      <w:lvlText w:val="•"/>
      <w:lvlJc w:val="left"/>
      <w:pPr>
        <w:ind w:left="2360" w:hanging="360"/>
      </w:pPr>
      <w:rPr>
        <w:rFonts w:hint="default"/>
        <w:lang w:val="en-US" w:eastAsia="en-US" w:bidi="ar-SA"/>
      </w:rPr>
    </w:lvl>
    <w:lvl w:ilvl="4" w:tplc="5FE8CF86">
      <w:numFmt w:val="bullet"/>
      <w:lvlText w:val="•"/>
      <w:lvlJc w:val="left"/>
      <w:pPr>
        <w:ind w:left="3091" w:hanging="360"/>
      </w:pPr>
      <w:rPr>
        <w:rFonts w:hint="default"/>
        <w:lang w:val="en-US" w:eastAsia="en-US" w:bidi="ar-SA"/>
      </w:rPr>
    </w:lvl>
    <w:lvl w:ilvl="5" w:tplc="C1103DFA">
      <w:numFmt w:val="bullet"/>
      <w:lvlText w:val="•"/>
      <w:lvlJc w:val="left"/>
      <w:pPr>
        <w:ind w:left="3821" w:hanging="360"/>
      </w:pPr>
      <w:rPr>
        <w:rFonts w:hint="default"/>
        <w:lang w:val="en-US" w:eastAsia="en-US" w:bidi="ar-SA"/>
      </w:rPr>
    </w:lvl>
    <w:lvl w:ilvl="6" w:tplc="0D6088AE">
      <w:numFmt w:val="bullet"/>
      <w:lvlText w:val="•"/>
      <w:lvlJc w:val="left"/>
      <w:pPr>
        <w:ind w:left="4552" w:hanging="360"/>
      </w:pPr>
      <w:rPr>
        <w:rFonts w:hint="default"/>
        <w:lang w:val="en-US" w:eastAsia="en-US" w:bidi="ar-SA"/>
      </w:rPr>
    </w:lvl>
    <w:lvl w:ilvl="7" w:tplc="1C22CA48">
      <w:numFmt w:val="bullet"/>
      <w:lvlText w:val="•"/>
      <w:lvlJc w:val="left"/>
      <w:pPr>
        <w:ind w:left="5282" w:hanging="360"/>
      </w:pPr>
      <w:rPr>
        <w:rFonts w:hint="default"/>
        <w:lang w:val="en-US" w:eastAsia="en-US" w:bidi="ar-SA"/>
      </w:rPr>
    </w:lvl>
    <w:lvl w:ilvl="8" w:tplc="BB1828C8">
      <w:numFmt w:val="bullet"/>
      <w:lvlText w:val="•"/>
      <w:lvlJc w:val="left"/>
      <w:pPr>
        <w:ind w:left="6013" w:hanging="360"/>
      </w:pPr>
      <w:rPr>
        <w:rFonts w:hint="default"/>
        <w:lang w:val="en-US" w:eastAsia="en-US" w:bidi="ar-SA"/>
      </w:rPr>
    </w:lvl>
  </w:abstractNum>
  <w:abstractNum w:abstractNumId="100" w15:restartNumberingAfterBreak="0">
    <w:nsid w:val="45FF7C66"/>
    <w:multiLevelType w:val="multilevel"/>
    <w:tmpl w:val="31B44B64"/>
    <w:lvl w:ilvl="0">
      <w:start w:val="1"/>
      <w:numFmt w:val="decimal"/>
      <w:lvlText w:val="%1."/>
      <w:lvlJc w:val="left"/>
      <w:pPr>
        <w:ind w:left="2120" w:hanging="720"/>
        <w:jc w:val="right"/>
      </w:pPr>
      <w:rPr>
        <w:rFonts w:hint="default"/>
        <w:spacing w:val="0"/>
        <w:w w:val="100"/>
        <w:lang w:val="en-US" w:eastAsia="en-US" w:bidi="ar-SA"/>
      </w:rPr>
    </w:lvl>
    <w:lvl w:ilvl="1">
      <w:start w:val="1"/>
      <w:numFmt w:val="decimal"/>
      <w:lvlText w:val="%1.%2"/>
      <w:lvlJc w:val="left"/>
      <w:pPr>
        <w:ind w:left="2120" w:hanging="720"/>
      </w:pPr>
      <w:rPr>
        <w:rFonts w:ascii="Arial" w:eastAsia="Arial" w:hAnsi="Arial" w:cs="Arial" w:hint="default"/>
        <w:b w:val="0"/>
        <w:bCs w:val="0"/>
        <w:i w:val="0"/>
        <w:iCs w:val="0"/>
        <w:spacing w:val="0"/>
        <w:w w:val="100"/>
        <w:sz w:val="24"/>
        <w:szCs w:val="24"/>
        <w:lang w:val="en-US" w:eastAsia="en-US" w:bidi="ar-SA"/>
      </w:rPr>
    </w:lvl>
    <w:lvl w:ilvl="2">
      <w:numFmt w:val="bullet"/>
      <w:lvlText w:val="•"/>
      <w:lvlJc w:val="left"/>
      <w:pPr>
        <w:ind w:left="4069" w:hanging="720"/>
      </w:pPr>
      <w:rPr>
        <w:rFonts w:hint="default"/>
        <w:lang w:val="en-US" w:eastAsia="en-US" w:bidi="ar-SA"/>
      </w:rPr>
    </w:lvl>
    <w:lvl w:ilvl="3">
      <w:numFmt w:val="bullet"/>
      <w:lvlText w:val="•"/>
      <w:lvlJc w:val="left"/>
      <w:pPr>
        <w:ind w:left="5043" w:hanging="720"/>
      </w:pPr>
      <w:rPr>
        <w:rFonts w:hint="default"/>
        <w:lang w:val="en-US" w:eastAsia="en-US" w:bidi="ar-SA"/>
      </w:rPr>
    </w:lvl>
    <w:lvl w:ilvl="4">
      <w:numFmt w:val="bullet"/>
      <w:lvlText w:val="•"/>
      <w:lvlJc w:val="left"/>
      <w:pPr>
        <w:ind w:left="6018" w:hanging="720"/>
      </w:pPr>
      <w:rPr>
        <w:rFonts w:hint="default"/>
        <w:lang w:val="en-US" w:eastAsia="en-US" w:bidi="ar-SA"/>
      </w:rPr>
    </w:lvl>
    <w:lvl w:ilvl="5">
      <w:numFmt w:val="bullet"/>
      <w:lvlText w:val="•"/>
      <w:lvlJc w:val="left"/>
      <w:pPr>
        <w:ind w:left="6993" w:hanging="720"/>
      </w:pPr>
      <w:rPr>
        <w:rFonts w:hint="default"/>
        <w:lang w:val="en-US" w:eastAsia="en-US" w:bidi="ar-SA"/>
      </w:rPr>
    </w:lvl>
    <w:lvl w:ilvl="6">
      <w:numFmt w:val="bullet"/>
      <w:lvlText w:val="•"/>
      <w:lvlJc w:val="left"/>
      <w:pPr>
        <w:ind w:left="7967" w:hanging="720"/>
      </w:pPr>
      <w:rPr>
        <w:rFonts w:hint="default"/>
        <w:lang w:val="en-US" w:eastAsia="en-US" w:bidi="ar-SA"/>
      </w:rPr>
    </w:lvl>
    <w:lvl w:ilvl="7">
      <w:numFmt w:val="bullet"/>
      <w:lvlText w:val="•"/>
      <w:lvlJc w:val="left"/>
      <w:pPr>
        <w:ind w:left="8942" w:hanging="720"/>
      </w:pPr>
      <w:rPr>
        <w:rFonts w:hint="default"/>
        <w:lang w:val="en-US" w:eastAsia="en-US" w:bidi="ar-SA"/>
      </w:rPr>
    </w:lvl>
    <w:lvl w:ilvl="8">
      <w:numFmt w:val="bullet"/>
      <w:lvlText w:val="•"/>
      <w:lvlJc w:val="left"/>
      <w:pPr>
        <w:ind w:left="9917" w:hanging="720"/>
      </w:pPr>
      <w:rPr>
        <w:rFonts w:hint="default"/>
        <w:lang w:val="en-US" w:eastAsia="en-US" w:bidi="ar-SA"/>
      </w:rPr>
    </w:lvl>
  </w:abstractNum>
  <w:abstractNum w:abstractNumId="101" w15:restartNumberingAfterBreak="0">
    <w:nsid w:val="46C41AAE"/>
    <w:multiLevelType w:val="multilevel"/>
    <w:tmpl w:val="84206662"/>
    <w:lvl w:ilvl="0">
      <w:start w:val="1"/>
      <w:numFmt w:val="decimal"/>
      <w:lvlText w:val="%1."/>
      <w:lvlJc w:val="left"/>
      <w:pPr>
        <w:ind w:left="1668" w:hanging="269"/>
      </w:pPr>
      <w:rPr>
        <w:rFonts w:ascii="Arial" w:eastAsia="Arial" w:hAnsi="Arial" w:cs="Arial" w:hint="default"/>
        <w:b/>
        <w:bCs/>
        <w:i w:val="0"/>
        <w:iCs w:val="0"/>
        <w:spacing w:val="0"/>
        <w:w w:val="100"/>
        <w:sz w:val="24"/>
        <w:szCs w:val="24"/>
        <w:lang w:val="en-US" w:eastAsia="en-US" w:bidi="ar-SA"/>
      </w:rPr>
    </w:lvl>
    <w:lvl w:ilvl="1">
      <w:start w:val="1"/>
      <w:numFmt w:val="decimal"/>
      <w:lvlText w:val="%1.%2"/>
      <w:lvlJc w:val="left"/>
      <w:pPr>
        <w:ind w:left="2336" w:hanging="404"/>
      </w:pPr>
      <w:rPr>
        <w:rFonts w:ascii="Arial" w:eastAsia="Arial" w:hAnsi="Arial" w:cs="Arial" w:hint="default"/>
        <w:b w:val="0"/>
        <w:bCs w:val="0"/>
        <w:i w:val="0"/>
        <w:iCs w:val="0"/>
        <w:spacing w:val="0"/>
        <w:w w:val="100"/>
        <w:sz w:val="24"/>
        <w:szCs w:val="24"/>
        <w:lang w:val="en-US" w:eastAsia="en-US" w:bidi="ar-SA"/>
      </w:rPr>
    </w:lvl>
    <w:lvl w:ilvl="2">
      <w:start w:val="1"/>
      <w:numFmt w:val="decimal"/>
      <w:lvlText w:val="%1.%2.%3"/>
      <w:lvlJc w:val="left"/>
      <w:pPr>
        <w:ind w:left="3056" w:hanging="603"/>
      </w:pPr>
      <w:rPr>
        <w:rFonts w:ascii="Arial" w:eastAsia="Arial" w:hAnsi="Arial" w:cs="Arial" w:hint="default"/>
        <w:b w:val="0"/>
        <w:bCs w:val="0"/>
        <w:i w:val="0"/>
        <w:iCs w:val="0"/>
        <w:spacing w:val="-2"/>
        <w:w w:val="98"/>
        <w:sz w:val="24"/>
        <w:szCs w:val="24"/>
        <w:lang w:val="en-US" w:eastAsia="en-US" w:bidi="ar-SA"/>
      </w:rPr>
    </w:lvl>
    <w:lvl w:ilvl="3">
      <w:numFmt w:val="bullet"/>
      <w:lvlText w:val="•"/>
      <w:lvlJc w:val="left"/>
      <w:pPr>
        <w:ind w:left="4160" w:hanging="603"/>
      </w:pPr>
      <w:rPr>
        <w:rFonts w:hint="default"/>
        <w:lang w:val="en-US" w:eastAsia="en-US" w:bidi="ar-SA"/>
      </w:rPr>
    </w:lvl>
    <w:lvl w:ilvl="4">
      <w:numFmt w:val="bullet"/>
      <w:lvlText w:val="•"/>
      <w:lvlJc w:val="left"/>
      <w:pPr>
        <w:ind w:left="5261" w:hanging="603"/>
      </w:pPr>
      <w:rPr>
        <w:rFonts w:hint="default"/>
        <w:lang w:val="en-US" w:eastAsia="en-US" w:bidi="ar-SA"/>
      </w:rPr>
    </w:lvl>
    <w:lvl w:ilvl="5">
      <w:numFmt w:val="bullet"/>
      <w:lvlText w:val="•"/>
      <w:lvlJc w:val="left"/>
      <w:pPr>
        <w:ind w:left="6362" w:hanging="603"/>
      </w:pPr>
      <w:rPr>
        <w:rFonts w:hint="default"/>
        <w:lang w:val="en-US" w:eastAsia="en-US" w:bidi="ar-SA"/>
      </w:rPr>
    </w:lvl>
    <w:lvl w:ilvl="6">
      <w:numFmt w:val="bullet"/>
      <w:lvlText w:val="•"/>
      <w:lvlJc w:val="left"/>
      <w:pPr>
        <w:ind w:left="7463" w:hanging="603"/>
      </w:pPr>
      <w:rPr>
        <w:rFonts w:hint="default"/>
        <w:lang w:val="en-US" w:eastAsia="en-US" w:bidi="ar-SA"/>
      </w:rPr>
    </w:lvl>
    <w:lvl w:ilvl="7">
      <w:numFmt w:val="bullet"/>
      <w:lvlText w:val="•"/>
      <w:lvlJc w:val="left"/>
      <w:pPr>
        <w:ind w:left="8564" w:hanging="603"/>
      </w:pPr>
      <w:rPr>
        <w:rFonts w:hint="default"/>
        <w:lang w:val="en-US" w:eastAsia="en-US" w:bidi="ar-SA"/>
      </w:rPr>
    </w:lvl>
    <w:lvl w:ilvl="8">
      <w:numFmt w:val="bullet"/>
      <w:lvlText w:val="•"/>
      <w:lvlJc w:val="left"/>
      <w:pPr>
        <w:ind w:left="9664" w:hanging="603"/>
      </w:pPr>
      <w:rPr>
        <w:rFonts w:hint="default"/>
        <w:lang w:val="en-US" w:eastAsia="en-US" w:bidi="ar-SA"/>
      </w:rPr>
    </w:lvl>
  </w:abstractNum>
  <w:abstractNum w:abstractNumId="102" w15:restartNumberingAfterBreak="0">
    <w:nsid w:val="46F579B2"/>
    <w:multiLevelType w:val="hybridMultilevel"/>
    <w:tmpl w:val="DB444286"/>
    <w:lvl w:ilvl="0" w:tplc="7E284B10">
      <w:numFmt w:val="bullet"/>
      <w:lvlText w:val=""/>
      <w:lvlJc w:val="left"/>
      <w:pPr>
        <w:ind w:left="812" w:hanging="360"/>
      </w:pPr>
      <w:rPr>
        <w:rFonts w:ascii="Wingdings" w:eastAsia="Wingdings" w:hAnsi="Wingdings" w:cs="Wingdings" w:hint="default"/>
        <w:b w:val="0"/>
        <w:bCs w:val="0"/>
        <w:i w:val="0"/>
        <w:iCs w:val="0"/>
        <w:color w:val="0D0D0D"/>
        <w:spacing w:val="0"/>
        <w:w w:val="100"/>
        <w:sz w:val="24"/>
        <w:szCs w:val="24"/>
        <w:lang w:val="en-US" w:eastAsia="en-US" w:bidi="ar-SA"/>
      </w:rPr>
    </w:lvl>
    <w:lvl w:ilvl="1" w:tplc="087A93C4">
      <w:numFmt w:val="bullet"/>
      <w:lvlText w:val="•"/>
      <w:lvlJc w:val="left"/>
      <w:pPr>
        <w:ind w:left="1035" w:hanging="360"/>
      </w:pPr>
      <w:rPr>
        <w:rFonts w:hint="default"/>
        <w:lang w:val="en-US" w:eastAsia="en-US" w:bidi="ar-SA"/>
      </w:rPr>
    </w:lvl>
    <w:lvl w:ilvl="2" w:tplc="3C9A3204">
      <w:numFmt w:val="bullet"/>
      <w:lvlText w:val="•"/>
      <w:lvlJc w:val="left"/>
      <w:pPr>
        <w:ind w:left="1251" w:hanging="360"/>
      </w:pPr>
      <w:rPr>
        <w:rFonts w:hint="default"/>
        <w:lang w:val="en-US" w:eastAsia="en-US" w:bidi="ar-SA"/>
      </w:rPr>
    </w:lvl>
    <w:lvl w:ilvl="3" w:tplc="4982532C">
      <w:numFmt w:val="bullet"/>
      <w:lvlText w:val="•"/>
      <w:lvlJc w:val="left"/>
      <w:pPr>
        <w:ind w:left="1467" w:hanging="360"/>
      </w:pPr>
      <w:rPr>
        <w:rFonts w:hint="default"/>
        <w:lang w:val="en-US" w:eastAsia="en-US" w:bidi="ar-SA"/>
      </w:rPr>
    </w:lvl>
    <w:lvl w:ilvl="4" w:tplc="386E5E4E">
      <w:numFmt w:val="bullet"/>
      <w:lvlText w:val="•"/>
      <w:lvlJc w:val="left"/>
      <w:pPr>
        <w:ind w:left="1683" w:hanging="360"/>
      </w:pPr>
      <w:rPr>
        <w:rFonts w:hint="default"/>
        <w:lang w:val="en-US" w:eastAsia="en-US" w:bidi="ar-SA"/>
      </w:rPr>
    </w:lvl>
    <w:lvl w:ilvl="5" w:tplc="63BE0EF2">
      <w:numFmt w:val="bullet"/>
      <w:lvlText w:val="•"/>
      <w:lvlJc w:val="left"/>
      <w:pPr>
        <w:ind w:left="1899" w:hanging="360"/>
      </w:pPr>
      <w:rPr>
        <w:rFonts w:hint="default"/>
        <w:lang w:val="en-US" w:eastAsia="en-US" w:bidi="ar-SA"/>
      </w:rPr>
    </w:lvl>
    <w:lvl w:ilvl="6" w:tplc="B6ECF970">
      <w:numFmt w:val="bullet"/>
      <w:lvlText w:val="•"/>
      <w:lvlJc w:val="left"/>
      <w:pPr>
        <w:ind w:left="2115" w:hanging="360"/>
      </w:pPr>
      <w:rPr>
        <w:rFonts w:hint="default"/>
        <w:lang w:val="en-US" w:eastAsia="en-US" w:bidi="ar-SA"/>
      </w:rPr>
    </w:lvl>
    <w:lvl w:ilvl="7" w:tplc="EA56A744">
      <w:numFmt w:val="bullet"/>
      <w:lvlText w:val="•"/>
      <w:lvlJc w:val="left"/>
      <w:pPr>
        <w:ind w:left="2331" w:hanging="360"/>
      </w:pPr>
      <w:rPr>
        <w:rFonts w:hint="default"/>
        <w:lang w:val="en-US" w:eastAsia="en-US" w:bidi="ar-SA"/>
      </w:rPr>
    </w:lvl>
    <w:lvl w:ilvl="8" w:tplc="5BA6556A">
      <w:numFmt w:val="bullet"/>
      <w:lvlText w:val="•"/>
      <w:lvlJc w:val="left"/>
      <w:pPr>
        <w:ind w:left="2547" w:hanging="360"/>
      </w:pPr>
      <w:rPr>
        <w:rFonts w:hint="default"/>
        <w:lang w:val="en-US" w:eastAsia="en-US" w:bidi="ar-SA"/>
      </w:rPr>
    </w:lvl>
  </w:abstractNum>
  <w:abstractNum w:abstractNumId="103" w15:restartNumberingAfterBreak="0">
    <w:nsid w:val="476E7976"/>
    <w:multiLevelType w:val="hybridMultilevel"/>
    <w:tmpl w:val="F7F07588"/>
    <w:lvl w:ilvl="0" w:tplc="6D46A796">
      <w:numFmt w:val="bullet"/>
      <w:lvlText w:val=""/>
      <w:lvlJc w:val="left"/>
      <w:pPr>
        <w:ind w:left="2120" w:hanging="358"/>
      </w:pPr>
      <w:rPr>
        <w:rFonts w:ascii="Symbol" w:eastAsia="Symbol" w:hAnsi="Symbol" w:cs="Symbol" w:hint="default"/>
        <w:b w:val="0"/>
        <w:bCs w:val="0"/>
        <w:i w:val="0"/>
        <w:iCs w:val="0"/>
        <w:spacing w:val="0"/>
        <w:w w:val="100"/>
        <w:sz w:val="24"/>
        <w:szCs w:val="24"/>
        <w:lang w:val="en-US" w:eastAsia="en-US" w:bidi="ar-SA"/>
      </w:rPr>
    </w:lvl>
    <w:lvl w:ilvl="1" w:tplc="964E997E">
      <w:start w:val="1"/>
      <w:numFmt w:val="lowerLetter"/>
      <w:lvlText w:val="%2)"/>
      <w:lvlJc w:val="left"/>
      <w:pPr>
        <w:ind w:left="2177" w:hanging="399"/>
      </w:pPr>
      <w:rPr>
        <w:rFonts w:ascii="Arial" w:eastAsia="Arial" w:hAnsi="Arial" w:cs="Arial" w:hint="default"/>
        <w:b w:val="0"/>
        <w:bCs w:val="0"/>
        <w:i w:val="0"/>
        <w:iCs w:val="0"/>
        <w:spacing w:val="0"/>
        <w:w w:val="100"/>
        <w:sz w:val="24"/>
        <w:szCs w:val="24"/>
        <w:lang w:val="en-US" w:eastAsia="en-US" w:bidi="ar-SA"/>
      </w:rPr>
    </w:lvl>
    <w:lvl w:ilvl="2" w:tplc="24E6D8F2">
      <w:numFmt w:val="bullet"/>
      <w:lvlText w:val="•"/>
      <w:lvlJc w:val="left"/>
      <w:pPr>
        <w:ind w:left="3256" w:hanging="399"/>
      </w:pPr>
      <w:rPr>
        <w:rFonts w:hint="default"/>
        <w:lang w:val="en-US" w:eastAsia="en-US" w:bidi="ar-SA"/>
      </w:rPr>
    </w:lvl>
    <w:lvl w:ilvl="3" w:tplc="5B564910">
      <w:numFmt w:val="bullet"/>
      <w:lvlText w:val="•"/>
      <w:lvlJc w:val="left"/>
      <w:pPr>
        <w:ind w:left="4332" w:hanging="399"/>
      </w:pPr>
      <w:rPr>
        <w:rFonts w:hint="default"/>
        <w:lang w:val="en-US" w:eastAsia="en-US" w:bidi="ar-SA"/>
      </w:rPr>
    </w:lvl>
    <w:lvl w:ilvl="4" w:tplc="7F986E26">
      <w:numFmt w:val="bullet"/>
      <w:lvlText w:val="•"/>
      <w:lvlJc w:val="left"/>
      <w:pPr>
        <w:ind w:left="5408" w:hanging="399"/>
      </w:pPr>
      <w:rPr>
        <w:rFonts w:hint="default"/>
        <w:lang w:val="en-US" w:eastAsia="en-US" w:bidi="ar-SA"/>
      </w:rPr>
    </w:lvl>
    <w:lvl w:ilvl="5" w:tplc="361C5402">
      <w:numFmt w:val="bullet"/>
      <w:lvlText w:val="•"/>
      <w:lvlJc w:val="left"/>
      <w:pPr>
        <w:ind w:left="6485" w:hanging="399"/>
      </w:pPr>
      <w:rPr>
        <w:rFonts w:hint="default"/>
        <w:lang w:val="en-US" w:eastAsia="en-US" w:bidi="ar-SA"/>
      </w:rPr>
    </w:lvl>
    <w:lvl w:ilvl="6" w:tplc="4084972C">
      <w:numFmt w:val="bullet"/>
      <w:lvlText w:val="•"/>
      <w:lvlJc w:val="left"/>
      <w:pPr>
        <w:ind w:left="7561" w:hanging="399"/>
      </w:pPr>
      <w:rPr>
        <w:rFonts w:hint="default"/>
        <w:lang w:val="en-US" w:eastAsia="en-US" w:bidi="ar-SA"/>
      </w:rPr>
    </w:lvl>
    <w:lvl w:ilvl="7" w:tplc="F48A0D7A">
      <w:numFmt w:val="bullet"/>
      <w:lvlText w:val="•"/>
      <w:lvlJc w:val="left"/>
      <w:pPr>
        <w:ind w:left="8637" w:hanging="399"/>
      </w:pPr>
      <w:rPr>
        <w:rFonts w:hint="default"/>
        <w:lang w:val="en-US" w:eastAsia="en-US" w:bidi="ar-SA"/>
      </w:rPr>
    </w:lvl>
    <w:lvl w:ilvl="8" w:tplc="76EA8B80">
      <w:numFmt w:val="bullet"/>
      <w:lvlText w:val="•"/>
      <w:lvlJc w:val="left"/>
      <w:pPr>
        <w:ind w:left="9713" w:hanging="399"/>
      </w:pPr>
      <w:rPr>
        <w:rFonts w:hint="default"/>
        <w:lang w:val="en-US" w:eastAsia="en-US" w:bidi="ar-SA"/>
      </w:rPr>
    </w:lvl>
  </w:abstractNum>
  <w:abstractNum w:abstractNumId="104" w15:restartNumberingAfterBreak="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105" w15:restartNumberingAfterBreak="0">
    <w:nsid w:val="48F40023"/>
    <w:multiLevelType w:val="hybridMultilevel"/>
    <w:tmpl w:val="BB5C3668"/>
    <w:lvl w:ilvl="0" w:tplc="93F49E1A">
      <w:start w:val="51"/>
      <w:numFmt w:val="lowerLetter"/>
      <w:lvlText w:val="%1)"/>
      <w:lvlJc w:val="left"/>
      <w:pPr>
        <w:ind w:left="539" w:hanging="576"/>
      </w:pPr>
      <w:rPr>
        <w:rFonts w:ascii="Arial" w:eastAsia="Arial" w:hAnsi="Arial" w:cs="Arial" w:hint="default"/>
        <w:b w:val="0"/>
        <w:bCs w:val="0"/>
        <w:i w:val="0"/>
        <w:iCs w:val="0"/>
        <w:spacing w:val="0"/>
        <w:w w:val="99"/>
        <w:sz w:val="24"/>
        <w:szCs w:val="24"/>
        <w:lang w:val="en-US" w:eastAsia="en-US" w:bidi="ar-SA"/>
      </w:rPr>
    </w:lvl>
    <w:lvl w:ilvl="1" w:tplc="E924AB06">
      <w:numFmt w:val="bullet"/>
      <w:lvlText w:val="•"/>
      <w:lvlJc w:val="left"/>
      <w:pPr>
        <w:ind w:left="1233" w:hanging="576"/>
      </w:pPr>
      <w:rPr>
        <w:rFonts w:hint="default"/>
        <w:lang w:val="en-US" w:eastAsia="en-US" w:bidi="ar-SA"/>
      </w:rPr>
    </w:lvl>
    <w:lvl w:ilvl="2" w:tplc="88DE4508">
      <w:numFmt w:val="bullet"/>
      <w:lvlText w:val="•"/>
      <w:lvlJc w:val="left"/>
      <w:pPr>
        <w:ind w:left="1926" w:hanging="576"/>
      </w:pPr>
      <w:rPr>
        <w:rFonts w:hint="default"/>
        <w:lang w:val="en-US" w:eastAsia="en-US" w:bidi="ar-SA"/>
      </w:rPr>
    </w:lvl>
    <w:lvl w:ilvl="3" w:tplc="A39E7CC0">
      <w:numFmt w:val="bullet"/>
      <w:lvlText w:val="•"/>
      <w:lvlJc w:val="left"/>
      <w:pPr>
        <w:ind w:left="2620" w:hanging="576"/>
      </w:pPr>
      <w:rPr>
        <w:rFonts w:hint="default"/>
        <w:lang w:val="en-US" w:eastAsia="en-US" w:bidi="ar-SA"/>
      </w:rPr>
    </w:lvl>
    <w:lvl w:ilvl="4" w:tplc="2E54CFBA">
      <w:numFmt w:val="bullet"/>
      <w:lvlText w:val="•"/>
      <w:lvlJc w:val="left"/>
      <w:pPr>
        <w:ind w:left="3313" w:hanging="576"/>
      </w:pPr>
      <w:rPr>
        <w:rFonts w:hint="default"/>
        <w:lang w:val="en-US" w:eastAsia="en-US" w:bidi="ar-SA"/>
      </w:rPr>
    </w:lvl>
    <w:lvl w:ilvl="5" w:tplc="89FAA73C">
      <w:numFmt w:val="bullet"/>
      <w:lvlText w:val="•"/>
      <w:lvlJc w:val="left"/>
      <w:pPr>
        <w:ind w:left="4007" w:hanging="576"/>
      </w:pPr>
      <w:rPr>
        <w:rFonts w:hint="default"/>
        <w:lang w:val="en-US" w:eastAsia="en-US" w:bidi="ar-SA"/>
      </w:rPr>
    </w:lvl>
    <w:lvl w:ilvl="6" w:tplc="30E2A6D6">
      <w:numFmt w:val="bullet"/>
      <w:lvlText w:val="•"/>
      <w:lvlJc w:val="left"/>
      <w:pPr>
        <w:ind w:left="4700" w:hanging="576"/>
      </w:pPr>
      <w:rPr>
        <w:rFonts w:hint="default"/>
        <w:lang w:val="en-US" w:eastAsia="en-US" w:bidi="ar-SA"/>
      </w:rPr>
    </w:lvl>
    <w:lvl w:ilvl="7" w:tplc="F4E0F2B4">
      <w:numFmt w:val="bullet"/>
      <w:lvlText w:val="•"/>
      <w:lvlJc w:val="left"/>
      <w:pPr>
        <w:ind w:left="5393" w:hanging="576"/>
      </w:pPr>
      <w:rPr>
        <w:rFonts w:hint="default"/>
        <w:lang w:val="en-US" w:eastAsia="en-US" w:bidi="ar-SA"/>
      </w:rPr>
    </w:lvl>
    <w:lvl w:ilvl="8" w:tplc="7E46EA20">
      <w:numFmt w:val="bullet"/>
      <w:lvlText w:val="•"/>
      <w:lvlJc w:val="left"/>
      <w:pPr>
        <w:ind w:left="6087" w:hanging="576"/>
      </w:pPr>
      <w:rPr>
        <w:rFonts w:hint="default"/>
        <w:lang w:val="en-US" w:eastAsia="en-US" w:bidi="ar-SA"/>
      </w:rPr>
    </w:lvl>
  </w:abstractNum>
  <w:abstractNum w:abstractNumId="106" w15:restartNumberingAfterBreak="0">
    <w:nsid w:val="498E0A43"/>
    <w:multiLevelType w:val="hybridMultilevel"/>
    <w:tmpl w:val="B2A4C6CE"/>
    <w:lvl w:ilvl="0" w:tplc="79CCEB26">
      <w:numFmt w:val="bullet"/>
      <w:lvlText w:val=""/>
      <w:lvlJc w:val="left"/>
      <w:pPr>
        <w:ind w:left="816" w:hanging="360"/>
      </w:pPr>
      <w:rPr>
        <w:rFonts w:ascii="Wingdings" w:eastAsia="Wingdings" w:hAnsi="Wingdings" w:cs="Wingdings" w:hint="default"/>
        <w:b w:val="0"/>
        <w:bCs w:val="0"/>
        <w:i w:val="0"/>
        <w:iCs w:val="0"/>
        <w:color w:val="0D0D0D"/>
        <w:spacing w:val="0"/>
        <w:w w:val="100"/>
        <w:sz w:val="24"/>
        <w:szCs w:val="24"/>
        <w:lang w:val="en-US" w:eastAsia="en-US" w:bidi="ar-SA"/>
      </w:rPr>
    </w:lvl>
    <w:lvl w:ilvl="1" w:tplc="A0067640">
      <w:numFmt w:val="bullet"/>
      <w:lvlText w:val="•"/>
      <w:lvlJc w:val="left"/>
      <w:pPr>
        <w:ind w:left="961" w:hanging="360"/>
      </w:pPr>
      <w:rPr>
        <w:rFonts w:hint="default"/>
        <w:lang w:val="en-US" w:eastAsia="en-US" w:bidi="ar-SA"/>
      </w:rPr>
    </w:lvl>
    <w:lvl w:ilvl="2" w:tplc="D22699D6">
      <w:numFmt w:val="bullet"/>
      <w:lvlText w:val="•"/>
      <w:lvlJc w:val="left"/>
      <w:pPr>
        <w:ind w:left="1102" w:hanging="360"/>
      </w:pPr>
      <w:rPr>
        <w:rFonts w:hint="default"/>
        <w:lang w:val="en-US" w:eastAsia="en-US" w:bidi="ar-SA"/>
      </w:rPr>
    </w:lvl>
    <w:lvl w:ilvl="3" w:tplc="31C6FE8C">
      <w:numFmt w:val="bullet"/>
      <w:lvlText w:val="•"/>
      <w:lvlJc w:val="left"/>
      <w:pPr>
        <w:ind w:left="1243" w:hanging="360"/>
      </w:pPr>
      <w:rPr>
        <w:rFonts w:hint="default"/>
        <w:lang w:val="en-US" w:eastAsia="en-US" w:bidi="ar-SA"/>
      </w:rPr>
    </w:lvl>
    <w:lvl w:ilvl="4" w:tplc="E2AA1750">
      <w:numFmt w:val="bullet"/>
      <w:lvlText w:val="•"/>
      <w:lvlJc w:val="left"/>
      <w:pPr>
        <w:ind w:left="1385" w:hanging="360"/>
      </w:pPr>
      <w:rPr>
        <w:rFonts w:hint="default"/>
        <w:lang w:val="en-US" w:eastAsia="en-US" w:bidi="ar-SA"/>
      </w:rPr>
    </w:lvl>
    <w:lvl w:ilvl="5" w:tplc="D5187C88">
      <w:numFmt w:val="bullet"/>
      <w:lvlText w:val="•"/>
      <w:lvlJc w:val="left"/>
      <w:pPr>
        <w:ind w:left="1526" w:hanging="360"/>
      </w:pPr>
      <w:rPr>
        <w:rFonts w:hint="default"/>
        <w:lang w:val="en-US" w:eastAsia="en-US" w:bidi="ar-SA"/>
      </w:rPr>
    </w:lvl>
    <w:lvl w:ilvl="6" w:tplc="CFAA6500">
      <w:numFmt w:val="bullet"/>
      <w:lvlText w:val="•"/>
      <w:lvlJc w:val="left"/>
      <w:pPr>
        <w:ind w:left="1667" w:hanging="360"/>
      </w:pPr>
      <w:rPr>
        <w:rFonts w:hint="default"/>
        <w:lang w:val="en-US" w:eastAsia="en-US" w:bidi="ar-SA"/>
      </w:rPr>
    </w:lvl>
    <w:lvl w:ilvl="7" w:tplc="3C3C21DE">
      <w:numFmt w:val="bullet"/>
      <w:lvlText w:val="•"/>
      <w:lvlJc w:val="left"/>
      <w:pPr>
        <w:ind w:left="1809" w:hanging="360"/>
      </w:pPr>
      <w:rPr>
        <w:rFonts w:hint="default"/>
        <w:lang w:val="en-US" w:eastAsia="en-US" w:bidi="ar-SA"/>
      </w:rPr>
    </w:lvl>
    <w:lvl w:ilvl="8" w:tplc="85627458">
      <w:numFmt w:val="bullet"/>
      <w:lvlText w:val="•"/>
      <w:lvlJc w:val="left"/>
      <w:pPr>
        <w:ind w:left="1950" w:hanging="360"/>
      </w:pPr>
      <w:rPr>
        <w:rFonts w:hint="default"/>
        <w:lang w:val="en-US" w:eastAsia="en-US" w:bidi="ar-SA"/>
      </w:rPr>
    </w:lvl>
  </w:abstractNum>
  <w:abstractNum w:abstractNumId="107" w15:restartNumberingAfterBreak="0">
    <w:nsid w:val="49AE5DFA"/>
    <w:multiLevelType w:val="hybridMultilevel"/>
    <w:tmpl w:val="132265A4"/>
    <w:lvl w:ilvl="0" w:tplc="C5EA5354">
      <w:numFmt w:val="bullet"/>
      <w:lvlText w:val="●"/>
      <w:lvlJc w:val="left"/>
      <w:pPr>
        <w:ind w:left="627" w:hanging="272"/>
      </w:pPr>
      <w:rPr>
        <w:rFonts w:ascii="Calibri" w:eastAsia="Calibri" w:hAnsi="Calibri" w:cs="Calibri" w:hint="default"/>
        <w:b w:val="0"/>
        <w:bCs w:val="0"/>
        <w:i w:val="0"/>
        <w:iCs w:val="0"/>
        <w:spacing w:val="0"/>
        <w:w w:val="100"/>
        <w:sz w:val="18"/>
        <w:szCs w:val="18"/>
        <w:shd w:val="clear" w:color="auto" w:fill="FFFF00"/>
        <w:lang w:val="en-US" w:eastAsia="en-US" w:bidi="ar-SA"/>
      </w:rPr>
    </w:lvl>
    <w:lvl w:ilvl="1" w:tplc="53FAF44C">
      <w:numFmt w:val="bullet"/>
      <w:lvlText w:val="•"/>
      <w:lvlJc w:val="left"/>
      <w:pPr>
        <w:ind w:left="1116" w:hanging="272"/>
      </w:pPr>
      <w:rPr>
        <w:rFonts w:hint="default"/>
        <w:lang w:val="en-US" w:eastAsia="en-US" w:bidi="ar-SA"/>
      </w:rPr>
    </w:lvl>
    <w:lvl w:ilvl="2" w:tplc="873A1D18">
      <w:numFmt w:val="bullet"/>
      <w:lvlText w:val="•"/>
      <w:lvlJc w:val="left"/>
      <w:pPr>
        <w:ind w:left="1612" w:hanging="272"/>
      </w:pPr>
      <w:rPr>
        <w:rFonts w:hint="default"/>
        <w:lang w:val="en-US" w:eastAsia="en-US" w:bidi="ar-SA"/>
      </w:rPr>
    </w:lvl>
    <w:lvl w:ilvl="3" w:tplc="6D6C5EE4">
      <w:numFmt w:val="bullet"/>
      <w:lvlText w:val="•"/>
      <w:lvlJc w:val="left"/>
      <w:pPr>
        <w:ind w:left="2108" w:hanging="272"/>
      </w:pPr>
      <w:rPr>
        <w:rFonts w:hint="default"/>
        <w:lang w:val="en-US" w:eastAsia="en-US" w:bidi="ar-SA"/>
      </w:rPr>
    </w:lvl>
    <w:lvl w:ilvl="4" w:tplc="A896F464">
      <w:numFmt w:val="bullet"/>
      <w:lvlText w:val="•"/>
      <w:lvlJc w:val="left"/>
      <w:pPr>
        <w:ind w:left="2604" w:hanging="272"/>
      </w:pPr>
      <w:rPr>
        <w:rFonts w:hint="default"/>
        <w:lang w:val="en-US" w:eastAsia="en-US" w:bidi="ar-SA"/>
      </w:rPr>
    </w:lvl>
    <w:lvl w:ilvl="5" w:tplc="60E23F64">
      <w:numFmt w:val="bullet"/>
      <w:lvlText w:val="•"/>
      <w:lvlJc w:val="left"/>
      <w:pPr>
        <w:ind w:left="3100" w:hanging="272"/>
      </w:pPr>
      <w:rPr>
        <w:rFonts w:hint="default"/>
        <w:lang w:val="en-US" w:eastAsia="en-US" w:bidi="ar-SA"/>
      </w:rPr>
    </w:lvl>
    <w:lvl w:ilvl="6" w:tplc="4BB48E2C">
      <w:numFmt w:val="bullet"/>
      <w:lvlText w:val="•"/>
      <w:lvlJc w:val="left"/>
      <w:pPr>
        <w:ind w:left="3596" w:hanging="272"/>
      </w:pPr>
      <w:rPr>
        <w:rFonts w:hint="default"/>
        <w:lang w:val="en-US" w:eastAsia="en-US" w:bidi="ar-SA"/>
      </w:rPr>
    </w:lvl>
    <w:lvl w:ilvl="7" w:tplc="B3881E36">
      <w:numFmt w:val="bullet"/>
      <w:lvlText w:val="•"/>
      <w:lvlJc w:val="left"/>
      <w:pPr>
        <w:ind w:left="4092" w:hanging="272"/>
      </w:pPr>
      <w:rPr>
        <w:rFonts w:hint="default"/>
        <w:lang w:val="en-US" w:eastAsia="en-US" w:bidi="ar-SA"/>
      </w:rPr>
    </w:lvl>
    <w:lvl w:ilvl="8" w:tplc="57ACF274">
      <w:numFmt w:val="bullet"/>
      <w:lvlText w:val="•"/>
      <w:lvlJc w:val="left"/>
      <w:pPr>
        <w:ind w:left="4588" w:hanging="272"/>
      </w:pPr>
      <w:rPr>
        <w:rFonts w:hint="default"/>
        <w:lang w:val="en-US" w:eastAsia="en-US" w:bidi="ar-SA"/>
      </w:rPr>
    </w:lvl>
  </w:abstractNum>
  <w:abstractNum w:abstractNumId="108" w15:restartNumberingAfterBreak="0">
    <w:nsid w:val="4AF90547"/>
    <w:multiLevelType w:val="hybridMultilevel"/>
    <w:tmpl w:val="3C4EDD50"/>
    <w:lvl w:ilvl="0" w:tplc="CED2C6D4">
      <w:start w:val="1"/>
      <w:numFmt w:val="decimal"/>
      <w:lvlText w:val="%1."/>
      <w:lvlJc w:val="left"/>
      <w:pPr>
        <w:ind w:left="840" w:hanging="360"/>
      </w:pPr>
      <w:rPr>
        <w:rFonts w:ascii="Arial" w:eastAsia="Arial" w:hAnsi="Arial" w:cs="Arial" w:hint="default"/>
        <w:b w:val="0"/>
        <w:bCs w:val="0"/>
        <w:i w:val="0"/>
        <w:iCs w:val="0"/>
        <w:spacing w:val="0"/>
        <w:w w:val="100"/>
        <w:sz w:val="24"/>
        <w:szCs w:val="24"/>
        <w:lang w:val="en-US" w:eastAsia="en-US" w:bidi="ar-SA"/>
      </w:rPr>
    </w:lvl>
    <w:lvl w:ilvl="1" w:tplc="62F26158">
      <w:numFmt w:val="bullet"/>
      <w:lvlText w:val="•"/>
      <w:lvlJc w:val="left"/>
      <w:pPr>
        <w:ind w:left="1682" w:hanging="360"/>
      </w:pPr>
      <w:rPr>
        <w:rFonts w:hint="default"/>
        <w:lang w:val="en-US" w:eastAsia="en-US" w:bidi="ar-SA"/>
      </w:rPr>
    </w:lvl>
    <w:lvl w:ilvl="2" w:tplc="08E6A2BC">
      <w:numFmt w:val="bullet"/>
      <w:lvlText w:val="•"/>
      <w:lvlJc w:val="left"/>
      <w:pPr>
        <w:ind w:left="2525" w:hanging="360"/>
      </w:pPr>
      <w:rPr>
        <w:rFonts w:hint="default"/>
        <w:lang w:val="en-US" w:eastAsia="en-US" w:bidi="ar-SA"/>
      </w:rPr>
    </w:lvl>
    <w:lvl w:ilvl="3" w:tplc="8E887650">
      <w:numFmt w:val="bullet"/>
      <w:lvlText w:val="•"/>
      <w:lvlJc w:val="left"/>
      <w:pPr>
        <w:ind w:left="3368" w:hanging="360"/>
      </w:pPr>
      <w:rPr>
        <w:rFonts w:hint="default"/>
        <w:lang w:val="en-US" w:eastAsia="en-US" w:bidi="ar-SA"/>
      </w:rPr>
    </w:lvl>
    <w:lvl w:ilvl="4" w:tplc="47BA33EA">
      <w:numFmt w:val="bullet"/>
      <w:lvlText w:val="•"/>
      <w:lvlJc w:val="left"/>
      <w:pPr>
        <w:ind w:left="4211" w:hanging="360"/>
      </w:pPr>
      <w:rPr>
        <w:rFonts w:hint="default"/>
        <w:lang w:val="en-US" w:eastAsia="en-US" w:bidi="ar-SA"/>
      </w:rPr>
    </w:lvl>
    <w:lvl w:ilvl="5" w:tplc="E25A4D78">
      <w:numFmt w:val="bullet"/>
      <w:lvlText w:val="•"/>
      <w:lvlJc w:val="left"/>
      <w:pPr>
        <w:ind w:left="5054" w:hanging="360"/>
      </w:pPr>
      <w:rPr>
        <w:rFonts w:hint="default"/>
        <w:lang w:val="en-US" w:eastAsia="en-US" w:bidi="ar-SA"/>
      </w:rPr>
    </w:lvl>
    <w:lvl w:ilvl="6" w:tplc="8D9C1C1E">
      <w:numFmt w:val="bullet"/>
      <w:lvlText w:val="•"/>
      <w:lvlJc w:val="left"/>
      <w:pPr>
        <w:ind w:left="5897" w:hanging="360"/>
      </w:pPr>
      <w:rPr>
        <w:rFonts w:hint="default"/>
        <w:lang w:val="en-US" w:eastAsia="en-US" w:bidi="ar-SA"/>
      </w:rPr>
    </w:lvl>
    <w:lvl w:ilvl="7" w:tplc="F972347C">
      <w:numFmt w:val="bullet"/>
      <w:lvlText w:val="•"/>
      <w:lvlJc w:val="left"/>
      <w:pPr>
        <w:ind w:left="6740" w:hanging="360"/>
      </w:pPr>
      <w:rPr>
        <w:rFonts w:hint="default"/>
        <w:lang w:val="en-US" w:eastAsia="en-US" w:bidi="ar-SA"/>
      </w:rPr>
    </w:lvl>
    <w:lvl w:ilvl="8" w:tplc="CB20086C">
      <w:numFmt w:val="bullet"/>
      <w:lvlText w:val="•"/>
      <w:lvlJc w:val="left"/>
      <w:pPr>
        <w:ind w:left="7583" w:hanging="360"/>
      </w:pPr>
      <w:rPr>
        <w:rFonts w:hint="default"/>
        <w:lang w:val="en-US" w:eastAsia="en-US" w:bidi="ar-SA"/>
      </w:rPr>
    </w:lvl>
  </w:abstractNum>
  <w:abstractNum w:abstractNumId="109" w15:restartNumberingAfterBreak="0">
    <w:nsid w:val="4B345233"/>
    <w:multiLevelType w:val="hybridMultilevel"/>
    <w:tmpl w:val="71D45304"/>
    <w:lvl w:ilvl="0" w:tplc="5B901A82">
      <w:start w:val="21"/>
      <w:numFmt w:val="lowerLetter"/>
      <w:lvlText w:val="%1)"/>
      <w:lvlJc w:val="left"/>
      <w:pPr>
        <w:ind w:left="539" w:hanging="288"/>
      </w:pPr>
      <w:rPr>
        <w:rFonts w:ascii="Arial" w:eastAsia="Arial" w:hAnsi="Arial" w:cs="Arial" w:hint="default"/>
        <w:b w:val="0"/>
        <w:bCs w:val="0"/>
        <w:i w:val="0"/>
        <w:iCs w:val="0"/>
        <w:spacing w:val="0"/>
        <w:w w:val="99"/>
        <w:sz w:val="24"/>
        <w:szCs w:val="24"/>
        <w:lang w:val="en-US" w:eastAsia="en-US" w:bidi="ar-SA"/>
      </w:rPr>
    </w:lvl>
    <w:lvl w:ilvl="1" w:tplc="4A1220D0">
      <w:numFmt w:val="bullet"/>
      <w:lvlText w:val="•"/>
      <w:lvlJc w:val="left"/>
      <w:pPr>
        <w:ind w:left="1233" w:hanging="288"/>
      </w:pPr>
      <w:rPr>
        <w:rFonts w:hint="default"/>
        <w:lang w:val="en-US" w:eastAsia="en-US" w:bidi="ar-SA"/>
      </w:rPr>
    </w:lvl>
    <w:lvl w:ilvl="2" w:tplc="4B960A2E">
      <w:numFmt w:val="bullet"/>
      <w:lvlText w:val="•"/>
      <w:lvlJc w:val="left"/>
      <w:pPr>
        <w:ind w:left="1926" w:hanging="288"/>
      </w:pPr>
      <w:rPr>
        <w:rFonts w:hint="default"/>
        <w:lang w:val="en-US" w:eastAsia="en-US" w:bidi="ar-SA"/>
      </w:rPr>
    </w:lvl>
    <w:lvl w:ilvl="3" w:tplc="01A2F6EA">
      <w:numFmt w:val="bullet"/>
      <w:lvlText w:val="•"/>
      <w:lvlJc w:val="left"/>
      <w:pPr>
        <w:ind w:left="2620" w:hanging="288"/>
      </w:pPr>
      <w:rPr>
        <w:rFonts w:hint="default"/>
        <w:lang w:val="en-US" w:eastAsia="en-US" w:bidi="ar-SA"/>
      </w:rPr>
    </w:lvl>
    <w:lvl w:ilvl="4" w:tplc="251C2D2E">
      <w:numFmt w:val="bullet"/>
      <w:lvlText w:val="•"/>
      <w:lvlJc w:val="left"/>
      <w:pPr>
        <w:ind w:left="3313" w:hanging="288"/>
      </w:pPr>
      <w:rPr>
        <w:rFonts w:hint="default"/>
        <w:lang w:val="en-US" w:eastAsia="en-US" w:bidi="ar-SA"/>
      </w:rPr>
    </w:lvl>
    <w:lvl w:ilvl="5" w:tplc="B23645EC">
      <w:numFmt w:val="bullet"/>
      <w:lvlText w:val="•"/>
      <w:lvlJc w:val="left"/>
      <w:pPr>
        <w:ind w:left="4007" w:hanging="288"/>
      </w:pPr>
      <w:rPr>
        <w:rFonts w:hint="default"/>
        <w:lang w:val="en-US" w:eastAsia="en-US" w:bidi="ar-SA"/>
      </w:rPr>
    </w:lvl>
    <w:lvl w:ilvl="6" w:tplc="EE04B8E4">
      <w:numFmt w:val="bullet"/>
      <w:lvlText w:val="•"/>
      <w:lvlJc w:val="left"/>
      <w:pPr>
        <w:ind w:left="4700" w:hanging="288"/>
      </w:pPr>
      <w:rPr>
        <w:rFonts w:hint="default"/>
        <w:lang w:val="en-US" w:eastAsia="en-US" w:bidi="ar-SA"/>
      </w:rPr>
    </w:lvl>
    <w:lvl w:ilvl="7" w:tplc="85462CF4">
      <w:numFmt w:val="bullet"/>
      <w:lvlText w:val="•"/>
      <w:lvlJc w:val="left"/>
      <w:pPr>
        <w:ind w:left="5393" w:hanging="288"/>
      </w:pPr>
      <w:rPr>
        <w:rFonts w:hint="default"/>
        <w:lang w:val="en-US" w:eastAsia="en-US" w:bidi="ar-SA"/>
      </w:rPr>
    </w:lvl>
    <w:lvl w:ilvl="8" w:tplc="D8026ACE">
      <w:numFmt w:val="bullet"/>
      <w:lvlText w:val="•"/>
      <w:lvlJc w:val="left"/>
      <w:pPr>
        <w:ind w:left="6087" w:hanging="288"/>
      </w:pPr>
      <w:rPr>
        <w:rFonts w:hint="default"/>
        <w:lang w:val="en-US" w:eastAsia="en-US" w:bidi="ar-SA"/>
      </w:rPr>
    </w:lvl>
  </w:abstractNum>
  <w:abstractNum w:abstractNumId="110" w15:restartNumberingAfterBreak="0">
    <w:nsid w:val="4B4B3C4C"/>
    <w:multiLevelType w:val="hybridMultilevel"/>
    <w:tmpl w:val="D5BE7C5E"/>
    <w:lvl w:ilvl="0" w:tplc="87D812D8">
      <w:numFmt w:val="bullet"/>
      <w:lvlText w:val="-"/>
      <w:lvlJc w:val="left"/>
      <w:pPr>
        <w:ind w:left="627" w:hanging="272"/>
      </w:pPr>
      <w:rPr>
        <w:rFonts w:ascii="Cambria" w:eastAsia="Cambria" w:hAnsi="Cambria" w:cs="Cambria" w:hint="default"/>
        <w:b w:val="0"/>
        <w:bCs w:val="0"/>
        <w:i w:val="0"/>
        <w:iCs w:val="0"/>
        <w:spacing w:val="0"/>
        <w:w w:val="100"/>
        <w:sz w:val="18"/>
        <w:szCs w:val="18"/>
        <w:shd w:val="clear" w:color="auto" w:fill="FFFF00"/>
        <w:lang w:val="en-US" w:eastAsia="en-US" w:bidi="ar-SA"/>
      </w:rPr>
    </w:lvl>
    <w:lvl w:ilvl="1" w:tplc="5896C51E">
      <w:numFmt w:val="bullet"/>
      <w:lvlText w:val="•"/>
      <w:lvlJc w:val="left"/>
      <w:pPr>
        <w:ind w:left="1116" w:hanging="272"/>
      </w:pPr>
      <w:rPr>
        <w:rFonts w:hint="default"/>
        <w:lang w:val="en-US" w:eastAsia="en-US" w:bidi="ar-SA"/>
      </w:rPr>
    </w:lvl>
    <w:lvl w:ilvl="2" w:tplc="912CD636">
      <w:numFmt w:val="bullet"/>
      <w:lvlText w:val="•"/>
      <w:lvlJc w:val="left"/>
      <w:pPr>
        <w:ind w:left="1612" w:hanging="272"/>
      </w:pPr>
      <w:rPr>
        <w:rFonts w:hint="default"/>
        <w:lang w:val="en-US" w:eastAsia="en-US" w:bidi="ar-SA"/>
      </w:rPr>
    </w:lvl>
    <w:lvl w:ilvl="3" w:tplc="5B32E510">
      <w:numFmt w:val="bullet"/>
      <w:lvlText w:val="•"/>
      <w:lvlJc w:val="left"/>
      <w:pPr>
        <w:ind w:left="2108" w:hanging="272"/>
      </w:pPr>
      <w:rPr>
        <w:rFonts w:hint="default"/>
        <w:lang w:val="en-US" w:eastAsia="en-US" w:bidi="ar-SA"/>
      </w:rPr>
    </w:lvl>
    <w:lvl w:ilvl="4" w:tplc="1DA80A1C">
      <w:numFmt w:val="bullet"/>
      <w:lvlText w:val="•"/>
      <w:lvlJc w:val="left"/>
      <w:pPr>
        <w:ind w:left="2605" w:hanging="272"/>
      </w:pPr>
      <w:rPr>
        <w:rFonts w:hint="default"/>
        <w:lang w:val="en-US" w:eastAsia="en-US" w:bidi="ar-SA"/>
      </w:rPr>
    </w:lvl>
    <w:lvl w:ilvl="5" w:tplc="3C480CFE">
      <w:numFmt w:val="bullet"/>
      <w:lvlText w:val="•"/>
      <w:lvlJc w:val="left"/>
      <w:pPr>
        <w:ind w:left="3101" w:hanging="272"/>
      </w:pPr>
      <w:rPr>
        <w:rFonts w:hint="default"/>
        <w:lang w:val="en-US" w:eastAsia="en-US" w:bidi="ar-SA"/>
      </w:rPr>
    </w:lvl>
    <w:lvl w:ilvl="6" w:tplc="D6F64AE2">
      <w:numFmt w:val="bullet"/>
      <w:lvlText w:val="•"/>
      <w:lvlJc w:val="left"/>
      <w:pPr>
        <w:ind w:left="3597" w:hanging="272"/>
      </w:pPr>
      <w:rPr>
        <w:rFonts w:hint="default"/>
        <w:lang w:val="en-US" w:eastAsia="en-US" w:bidi="ar-SA"/>
      </w:rPr>
    </w:lvl>
    <w:lvl w:ilvl="7" w:tplc="22DCA7E2">
      <w:numFmt w:val="bullet"/>
      <w:lvlText w:val="•"/>
      <w:lvlJc w:val="left"/>
      <w:pPr>
        <w:ind w:left="4094" w:hanging="272"/>
      </w:pPr>
      <w:rPr>
        <w:rFonts w:hint="default"/>
        <w:lang w:val="en-US" w:eastAsia="en-US" w:bidi="ar-SA"/>
      </w:rPr>
    </w:lvl>
    <w:lvl w:ilvl="8" w:tplc="141E3024">
      <w:numFmt w:val="bullet"/>
      <w:lvlText w:val="•"/>
      <w:lvlJc w:val="left"/>
      <w:pPr>
        <w:ind w:left="4590" w:hanging="272"/>
      </w:pPr>
      <w:rPr>
        <w:rFonts w:hint="default"/>
        <w:lang w:val="en-US" w:eastAsia="en-US" w:bidi="ar-SA"/>
      </w:rPr>
    </w:lvl>
  </w:abstractNum>
  <w:abstractNum w:abstractNumId="111" w15:restartNumberingAfterBreak="0">
    <w:nsid w:val="4C005F9F"/>
    <w:multiLevelType w:val="hybridMultilevel"/>
    <w:tmpl w:val="33F6B6B8"/>
    <w:lvl w:ilvl="0" w:tplc="2F40F662">
      <w:start w:val="1"/>
      <w:numFmt w:val="lowerLetter"/>
      <w:lvlText w:val="(%1)"/>
      <w:lvlJc w:val="left"/>
      <w:pPr>
        <w:ind w:left="1494" w:hanging="428"/>
      </w:pPr>
      <w:rPr>
        <w:rFonts w:ascii="Calibri" w:eastAsia="Calibri" w:hAnsi="Calibri" w:cs="Calibri" w:hint="default"/>
        <w:b w:val="0"/>
        <w:bCs w:val="0"/>
        <w:i w:val="0"/>
        <w:iCs w:val="0"/>
        <w:spacing w:val="-1"/>
        <w:w w:val="100"/>
        <w:sz w:val="24"/>
        <w:szCs w:val="24"/>
        <w:lang w:val="en-US" w:eastAsia="en-US" w:bidi="ar-SA"/>
      </w:rPr>
    </w:lvl>
    <w:lvl w:ilvl="1" w:tplc="9C5889E6">
      <w:numFmt w:val="bullet"/>
      <w:lvlText w:val="•"/>
      <w:lvlJc w:val="left"/>
      <w:pPr>
        <w:ind w:left="2536" w:hanging="428"/>
      </w:pPr>
      <w:rPr>
        <w:rFonts w:hint="default"/>
        <w:lang w:val="en-US" w:eastAsia="en-US" w:bidi="ar-SA"/>
      </w:rPr>
    </w:lvl>
    <w:lvl w:ilvl="2" w:tplc="A4781FEC">
      <w:numFmt w:val="bullet"/>
      <w:lvlText w:val="•"/>
      <w:lvlJc w:val="left"/>
      <w:pPr>
        <w:ind w:left="3573" w:hanging="428"/>
      </w:pPr>
      <w:rPr>
        <w:rFonts w:hint="default"/>
        <w:lang w:val="en-US" w:eastAsia="en-US" w:bidi="ar-SA"/>
      </w:rPr>
    </w:lvl>
    <w:lvl w:ilvl="3" w:tplc="EAEE4D44">
      <w:numFmt w:val="bullet"/>
      <w:lvlText w:val="•"/>
      <w:lvlJc w:val="left"/>
      <w:pPr>
        <w:ind w:left="4609" w:hanging="428"/>
      </w:pPr>
      <w:rPr>
        <w:rFonts w:hint="default"/>
        <w:lang w:val="en-US" w:eastAsia="en-US" w:bidi="ar-SA"/>
      </w:rPr>
    </w:lvl>
    <w:lvl w:ilvl="4" w:tplc="78EEBDE6">
      <w:numFmt w:val="bullet"/>
      <w:lvlText w:val="•"/>
      <w:lvlJc w:val="left"/>
      <w:pPr>
        <w:ind w:left="5646" w:hanging="428"/>
      </w:pPr>
      <w:rPr>
        <w:rFonts w:hint="default"/>
        <w:lang w:val="en-US" w:eastAsia="en-US" w:bidi="ar-SA"/>
      </w:rPr>
    </w:lvl>
    <w:lvl w:ilvl="5" w:tplc="B6B6DCD8">
      <w:numFmt w:val="bullet"/>
      <w:lvlText w:val="•"/>
      <w:lvlJc w:val="left"/>
      <w:pPr>
        <w:ind w:left="6683" w:hanging="428"/>
      </w:pPr>
      <w:rPr>
        <w:rFonts w:hint="default"/>
        <w:lang w:val="en-US" w:eastAsia="en-US" w:bidi="ar-SA"/>
      </w:rPr>
    </w:lvl>
    <w:lvl w:ilvl="6" w:tplc="06F2DBF0">
      <w:numFmt w:val="bullet"/>
      <w:lvlText w:val="•"/>
      <w:lvlJc w:val="left"/>
      <w:pPr>
        <w:ind w:left="7719" w:hanging="428"/>
      </w:pPr>
      <w:rPr>
        <w:rFonts w:hint="default"/>
        <w:lang w:val="en-US" w:eastAsia="en-US" w:bidi="ar-SA"/>
      </w:rPr>
    </w:lvl>
    <w:lvl w:ilvl="7" w:tplc="4858B438">
      <w:numFmt w:val="bullet"/>
      <w:lvlText w:val="•"/>
      <w:lvlJc w:val="left"/>
      <w:pPr>
        <w:ind w:left="8756" w:hanging="428"/>
      </w:pPr>
      <w:rPr>
        <w:rFonts w:hint="default"/>
        <w:lang w:val="en-US" w:eastAsia="en-US" w:bidi="ar-SA"/>
      </w:rPr>
    </w:lvl>
    <w:lvl w:ilvl="8" w:tplc="6E9E0406">
      <w:numFmt w:val="bullet"/>
      <w:lvlText w:val="•"/>
      <w:lvlJc w:val="left"/>
      <w:pPr>
        <w:ind w:left="9793" w:hanging="428"/>
      </w:pPr>
      <w:rPr>
        <w:rFonts w:hint="default"/>
        <w:lang w:val="en-US" w:eastAsia="en-US" w:bidi="ar-SA"/>
      </w:rPr>
    </w:lvl>
  </w:abstractNum>
  <w:abstractNum w:abstractNumId="112" w15:restartNumberingAfterBreak="0">
    <w:nsid w:val="4C3378A5"/>
    <w:multiLevelType w:val="hybridMultilevel"/>
    <w:tmpl w:val="36B6721C"/>
    <w:lvl w:ilvl="0" w:tplc="2C342E48">
      <w:start w:val="1"/>
      <w:numFmt w:val="decimal"/>
      <w:lvlText w:val="%1."/>
      <w:lvlJc w:val="left"/>
      <w:pPr>
        <w:ind w:left="2129" w:hanging="272"/>
        <w:jc w:val="right"/>
      </w:pPr>
      <w:rPr>
        <w:rFonts w:ascii="Arial" w:eastAsia="Arial" w:hAnsi="Arial" w:cs="Arial" w:hint="default"/>
        <w:b w:val="0"/>
        <w:bCs w:val="0"/>
        <w:i w:val="0"/>
        <w:iCs w:val="0"/>
        <w:spacing w:val="0"/>
        <w:w w:val="100"/>
        <w:sz w:val="18"/>
        <w:szCs w:val="18"/>
        <w:lang w:val="en-US" w:eastAsia="en-US" w:bidi="ar-SA"/>
      </w:rPr>
    </w:lvl>
    <w:lvl w:ilvl="1" w:tplc="EBB88FF2">
      <w:numFmt w:val="bullet"/>
      <w:lvlText w:val="•"/>
      <w:lvlJc w:val="left"/>
      <w:pPr>
        <w:ind w:left="3094" w:hanging="272"/>
      </w:pPr>
      <w:rPr>
        <w:rFonts w:hint="default"/>
        <w:lang w:val="en-US" w:eastAsia="en-US" w:bidi="ar-SA"/>
      </w:rPr>
    </w:lvl>
    <w:lvl w:ilvl="2" w:tplc="C62E619E">
      <w:numFmt w:val="bullet"/>
      <w:lvlText w:val="•"/>
      <w:lvlJc w:val="left"/>
      <w:pPr>
        <w:ind w:left="4069" w:hanging="272"/>
      </w:pPr>
      <w:rPr>
        <w:rFonts w:hint="default"/>
        <w:lang w:val="en-US" w:eastAsia="en-US" w:bidi="ar-SA"/>
      </w:rPr>
    </w:lvl>
    <w:lvl w:ilvl="3" w:tplc="869215EA">
      <w:numFmt w:val="bullet"/>
      <w:lvlText w:val="•"/>
      <w:lvlJc w:val="left"/>
      <w:pPr>
        <w:ind w:left="5043" w:hanging="272"/>
      </w:pPr>
      <w:rPr>
        <w:rFonts w:hint="default"/>
        <w:lang w:val="en-US" w:eastAsia="en-US" w:bidi="ar-SA"/>
      </w:rPr>
    </w:lvl>
    <w:lvl w:ilvl="4" w:tplc="2E748EAA">
      <w:numFmt w:val="bullet"/>
      <w:lvlText w:val="•"/>
      <w:lvlJc w:val="left"/>
      <w:pPr>
        <w:ind w:left="6018" w:hanging="272"/>
      </w:pPr>
      <w:rPr>
        <w:rFonts w:hint="default"/>
        <w:lang w:val="en-US" w:eastAsia="en-US" w:bidi="ar-SA"/>
      </w:rPr>
    </w:lvl>
    <w:lvl w:ilvl="5" w:tplc="A9B89BF4">
      <w:numFmt w:val="bullet"/>
      <w:lvlText w:val="•"/>
      <w:lvlJc w:val="left"/>
      <w:pPr>
        <w:ind w:left="6993" w:hanging="272"/>
      </w:pPr>
      <w:rPr>
        <w:rFonts w:hint="default"/>
        <w:lang w:val="en-US" w:eastAsia="en-US" w:bidi="ar-SA"/>
      </w:rPr>
    </w:lvl>
    <w:lvl w:ilvl="6" w:tplc="73063B74">
      <w:numFmt w:val="bullet"/>
      <w:lvlText w:val="•"/>
      <w:lvlJc w:val="left"/>
      <w:pPr>
        <w:ind w:left="7967" w:hanging="272"/>
      </w:pPr>
      <w:rPr>
        <w:rFonts w:hint="default"/>
        <w:lang w:val="en-US" w:eastAsia="en-US" w:bidi="ar-SA"/>
      </w:rPr>
    </w:lvl>
    <w:lvl w:ilvl="7" w:tplc="406A9B3C">
      <w:numFmt w:val="bullet"/>
      <w:lvlText w:val="•"/>
      <w:lvlJc w:val="left"/>
      <w:pPr>
        <w:ind w:left="8942" w:hanging="272"/>
      </w:pPr>
      <w:rPr>
        <w:rFonts w:hint="default"/>
        <w:lang w:val="en-US" w:eastAsia="en-US" w:bidi="ar-SA"/>
      </w:rPr>
    </w:lvl>
    <w:lvl w:ilvl="8" w:tplc="F84ADC94">
      <w:numFmt w:val="bullet"/>
      <w:lvlText w:val="•"/>
      <w:lvlJc w:val="left"/>
      <w:pPr>
        <w:ind w:left="9917" w:hanging="272"/>
      </w:pPr>
      <w:rPr>
        <w:rFonts w:hint="default"/>
        <w:lang w:val="en-US" w:eastAsia="en-US" w:bidi="ar-SA"/>
      </w:rPr>
    </w:lvl>
  </w:abstractNum>
  <w:abstractNum w:abstractNumId="113" w15:restartNumberingAfterBreak="0">
    <w:nsid w:val="4D184541"/>
    <w:multiLevelType w:val="hybridMultilevel"/>
    <w:tmpl w:val="485696A2"/>
    <w:lvl w:ilvl="0" w:tplc="4E5EDF46">
      <w:numFmt w:val="bullet"/>
      <w:lvlText w:val=""/>
      <w:lvlJc w:val="left"/>
      <w:pPr>
        <w:ind w:left="827" w:hanging="360"/>
      </w:pPr>
      <w:rPr>
        <w:rFonts w:ascii="Symbol" w:eastAsia="Symbol" w:hAnsi="Symbol" w:cs="Symbol" w:hint="default"/>
        <w:b w:val="0"/>
        <w:bCs w:val="0"/>
        <w:i w:val="0"/>
        <w:iCs w:val="0"/>
        <w:spacing w:val="0"/>
        <w:w w:val="99"/>
        <w:sz w:val="20"/>
        <w:szCs w:val="20"/>
        <w:lang w:val="en-US" w:eastAsia="en-US" w:bidi="ar-SA"/>
      </w:rPr>
    </w:lvl>
    <w:lvl w:ilvl="1" w:tplc="0FC2D6E6">
      <w:numFmt w:val="bullet"/>
      <w:lvlText w:val="•"/>
      <w:lvlJc w:val="left"/>
      <w:pPr>
        <w:ind w:left="1341" w:hanging="360"/>
      </w:pPr>
      <w:rPr>
        <w:rFonts w:hint="default"/>
        <w:lang w:val="en-US" w:eastAsia="en-US" w:bidi="ar-SA"/>
      </w:rPr>
    </w:lvl>
    <w:lvl w:ilvl="2" w:tplc="E1201814">
      <w:numFmt w:val="bullet"/>
      <w:lvlText w:val="•"/>
      <w:lvlJc w:val="left"/>
      <w:pPr>
        <w:ind w:left="1863" w:hanging="360"/>
      </w:pPr>
      <w:rPr>
        <w:rFonts w:hint="default"/>
        <w:lang w:val="en-US" w:eastAsia="en-US" w:bidi="ar-SA"/>
      </w:rPr>
    </w:lvl>
    <w:lvl w:ilvl="3" w:tplc="F9DAD2DC">
      <w:numFmt w:val="bullet"/>
      <w:lvlText w:val="•"/>
      <w:lvlJc w:val="left"/>
      <w:pPr>
        <w:ind w:left="2384" w:hanging="360"/>
      </w:pPr>
      <w:rPr>
        <w:rFonts w:hint="default"/>
        <w:lang w:val="en-US" w:eastAsia="en-US" w:bidi="ar-SA"/>
      </w:rPr>
    </w:lvl>
    <w:lvl w:ilvl="4" w:tplc="F8265348">
      <w:numFmt w:val="bullet"/>
      <w:lvlText w:val="•"/>
      <w:lvlJc w:val="left"/>
      <w:pPr>
        <w:ind w:left="2906" w:hanging="360"/>
      </w:pPr>
      <w:rPr>
        <w:rFonts w:hint="default"/>
        <w:lang w:val="en-US" w:eastAsia="en-US" w:bidi="ar-SA"/>
      </w:rPr>
    </w:lvl>
    <w:lvl w:ilvl="5" w:tplc="6D6098B2">
      <w:numFmt w:val="bullet"/>
      <w:lvlText w:val="•"/>
      <w:lvlJc w:val="left"/>
      <w:pPr>
        <w:ind w:left="3428" w:hanging="360"/>
      </w:pPr>
      <w:rPr>
        <w:rFonts w:hint="default"/>
        <w:lang w:val="en-US" w:eastAsia="en-US" w:bidi="ar-SA"/>
      </w:rPr>
    </w:lvl>
    <w:lvl w:ilvl="6" w:tplc="8D62805C">
      <w:numFmt w:val="bullet"/>
      <w:lvlText w:val="•"/>
      <w:lvlJc w:val="left"/>
      <w:pPr>
        <w:ind w:left="3949" w:hanging="360"/>
      </w:pPr>
      <w:rPr>
        <w:rFonts w:hint="default"/>
        <w:lang w:val="en-US" w:eastAsia="en-US" w:bidi="ar-SA"/>
      </w:rPr>
    </w:lvl>
    <w:lvl w:ilvl="7" w:tplc="D30AB64E">
      <w:numFmt w:val="bullet"/>
      <w:lvlText w:val="•"/>
      <w:lvlJc w:val="left"/>
      <w:pPr>
        <w:ind w:left="4471" w:hanging="360"/>
      </w:pPr>
      <w:rPr>
        <w:rFonts w:hint="default"/>
        <w:lang w:val="en-US" w:eastAsia="en-US" w:bidi="ar-SA"/>
      </w:rPr>
    </w:lvl>
    <w:lvl w:ilvl="8" w:tplc="611AAE3C">
      <w:numFmt w:val="bullet"/>
      <w:lvlText w:val="•"/>
      <w:lvlJc w:val="left"/>
      <w:pPr>
        <w:ind w:left="4992" w:hanging="360"/>
      </w:pPr>
      <w:rPr>
        <w:rFonts w:hint="default"/>
        <w:lang w:val="en-US" w:eastAsia="en-US" w:bidi="ar-SA"/>
      </w:rPr>
    </w:lvl>
  </w:abstractNum>
  <w:abstractNum w:abstractNumId="114" w15:restartNumberingAfterBreak="0">
    <w:nsid w:val="4E2E7643"/>
    <w:multiLevelType w:val="hybridMultilevel"/>
    <w:tmpl w:val="7930A04A"/>
    <w:lvl w:ilvl="0" w:tplc="AF3C16C4">
      <w:start w:val="1"/>
      <w:numFmt w:val="lowerLetter"/>
      <w:lvlText w:val="%1)"/>
      <w:lvlJc w:val="left"/>
      <w:pPr>
        <w:ind w:left="2091" w:hanging="360"/>
      </w:pPr>
      <w:rPr>
        <w:rFonts w:ascii="Arial" w:eastAsia="Arial" w:hAnsi="Arial" w:cs="Arial" w:hint="default"/>
        <w:b w:val="0"/>
        <w:bCs w:val="0"/>
        <w:i w:val="0"/>
        <w:iCs w:val="0"/>
        <w:spacing w:val="0"/>
        <w:w w:val="100"/>
        <w:sz w:val="24"/>
        <w:szCs w:val="24"/>
        <w:lang w:val="en-US" w:eastAsia="en-US" w:bidi="ar-SA"/>
      </w:rPr>
    </w:lvl>
    <w:lvl w:ilvl="1" w:tplc="CCE8608E">
      <w:numFmt w:val="bullet"/>
      <w:lvlText w:val="•"/>
      <w:lvlJc w:val="left"/>
      <w:pPr>
        <w:ind w:left="3076" w:hanging="360"/>
      </w:pPr>
      <w:rPr>
        <w:rFonts w:hint="default"/>
        <w:lang w:val="en-US" w:eastAsia="en-US" w:bidi="ar-SA"/>
      </w:rPr>
    </w:lvl>
    <w:lvl w:ilvl="2" w:tplc="C1DC987E">
      <w:numFmt w:val="bullet"/>
      <w:lvlText w:val="•"/>
      <w:lvlJc w:val="left"/>
      <w:pPr>
        <w:ind w:left="4053" w:hanging="360"/>
      </w:pPr>
      <w:rPr>
        <w:rFonts w:hint="default"/>
        <w:lang w:val="en-US" w:eastAsia="en-US" w:bidi="ar-SA"/>
      </w:rPr>
    </w:lvl>
    <w:lvl w:ilvl="3" w:tplc="9F225374">
      <w:numFmt w:val="bullet"/>
      <w:lvlText w:val="•"/>
      <w:lvlJc w:val="left"/>
      <w:pPr>
        <w:ind w:left="5029" w:hanging="360"/>
      </w:pPr>
      <w:rPr>
        <w:rFonts w:hint="default"/>
        <w:lang w:val="en-US" w:eastAsia="en-US" w:bidi="ar-SA"/>
      </w:rPr>
    </w:lvl>
    <w:lvl w:ilvl="4" w:tplc="E7F2C40A">
      <w:numFmt w:val="bullet"/>
      <w:lvlText w:val="•"/>
      <w:lvlJc w:val="left"/>
      <w:pPr>
        <w:ind w:left="6006" w:hanging="360"/>
      </w:pPr>
      <w:rPr>
        <w:rFonts w:hint="default"/>
        <w:lang w:val="en-US" w:eastAsia="en-US" w:bidi="ar-SA"/>
      </w:rPr>
    </w:lvl>
    <w:lvl w:ilvl="5" w:tplc="5642760E">
      <w:numFmt w:val="bullet"/>
      <w:lvlText w:val="•"/>
      <w:lvlJc w:val="left"/>
      <w:pPr>
        <w:ind w:left="6983" w:hanging="360"/>
      </w:pPr>
      <w:rPr>
        <w:rFonts w:hint="default"/>
        <w:lang w:val="en-US" w:eastAsia="en-US" w:bidi="ar-SA"/>
      </w:rPr>
    </w:lvl>
    <w:lvl w:ilvl="6" w:tplc="8474BCA0">
      <w:numFmt w:val="bullet"/>
      <w:lvlText w:val="•"/>
      <w:lvlJc w:val="left"/>
      <w:pPr>
        <w:ind w:left="7959" w:hanging="360"/>
      </w:pPr>
      <w:rPr>
        <w:rFonts w:hint="default"/>
        <w:lang w:val="en-US" w:eastAsia="en-US" w:bidi="ar-SA"/>
      </w:rPr>
    </w:lvl>
    <w:lvl w:ilvl="7" w:tplc="C1C8B21A">
      <w:numFmt w:val="bullet"/>
      <w:lvlText w:val="•"/>
      <w:lvlJc w:val="left"/>
      <w:pPr>
        <w:ind w:left="8936" w:hanging="360"/>
      </w:pPr>
      <w:rPr>
        <w:rFonts w:hint="default"/>
        <w:lang w:val="en-US" w:eastAsia="en-US" w:bidi="ar-SA"/>
      </w:rPr>
    </w:lvl>
    <w:lvl w:ilvl="8" w:tplc="274C1172">
      <w:numFmt w:val="bullet"/>
      <w:lvlText w:val="•"/>
      <w:lvlJc w:val="left"/>
      <w:pPr>
        <w:ind w:left="9913" w:hanging="360"/>
      </w:pPr>
      <w:rPr>
        <w:rFonts w:hint="default"/>
        <w:lang w:val="en-US" w:eastAsia="en-US" w:bidi="ar-SA"/>
      </w:rPr>
    </w:lvl>
  </w:abstractNum>
  <w:abstractNum w:abstractNumId="115" w15:restartNumberingAfterBreak="0">
    <w:nsid w:val="4EAB2A9C"/>
    <w:multiLevelType w:val="hybridMultilevel"/>
    <w:tmpl w:val="D6BA3D60"/>
    <w:lvl w:ilvl="0" w:tplc="01B4C32E">
      <w:start w:val="1"/>
      <w:numFmt w:val="lowerLetter"/>
      <w:lvlText w:val="%1."/>
      <w:lvlJc w:val="left"/>
      <w:pPr>
        <w:ind w:left="2120" w:hanging="360"/>
      </w:pPr>
      <w:rPr>
        <w:rFonts w:ascii="Arial" w:eastAsia="Arial" w:hAnsi="Arial" w:cs="Arial" w:hint="default"/>
        <w:b w:val="0"/>
        <w:bCs w:val="0"/>
        <w:i w:val="0"/>
        <w:iCs w:val="0"/>
        <w:spacing w:val="0"/>
        <w:w w:val="100"/>
        <w:sz w:val="24"/>
        <w:szCs w:val="24"/>
        <w:lang w:val="en-US" w:eastAsia="en-US" w:bidi="ar-SA"/>
      </w:rPr>
    </w:lvl>
    <w:lvl w:ilvl="1" w:tplc="4D02C62C">
      <w:numFmt w:val="bullet"/>
      <w:lvlText w:val="•"/>
      <w:lvlJc w:val="left"/>
      <w:pPr>
        <w:ind w:left="3094" w:hanging="360"/>
      </w:pPr>
      <w:rPr>
        <w:rFonts w:hint="default"/>
        <w:lang w:val="en-US" w:eastAsia="en-US" w:bidi="ar-SA"/>
      </w:rPr>
    </w:lvl>
    <w:lvl w:ilvl="2" w:tplc="0458F9F8">
      <w:numFmt w:val="bullet"/>
      <w:lvlText w:val="•"/>
      <w:lvlJc w:val="left"/>
      <w:pPr>
        <w:ind w:left="4069" w:hanging="360"/>
      </w:pPr>
      <w:rPr>
        <w:rFonts w:hint="default"/>
        <w:lang w:val="en-US" w:eastAsia="en-US" w:bidi="ar-SA"/>
      </w:rPr>
    </w:lvl>
    <w:lvl w:ilvl="3" w:tplc="5E7AF3E0">
      <w:numFmt w:val="bullet"/>
      <w:lvlText w:val="•"/>
      <w:lvlJc w:val="left"/>
      <w:pPr>
        <w:ind w:left="5043" w:hanging="360"/>
      </w:pPr>
      <w:rPr>
        <w:rFonts w:hint="default"/>
        <w:lang w:val="en-US" w:eastAsia="en-US" w:bidi="ar-SA"/>
      </w:rPr>
    </w:lvl>
    <w:lvl w:ilvl="4" w:tplc="62EEE168">
      <w:numFmt w:val="bullet"/>
      <w:lvlText w:val="•"/>
      <w:lvlJc w:val="left"/>
      <w:pPr>
        <w:ind w:left="6018" w:hanging="360"/>
      </w:pPr>
      <w:rPr>
        <w:rFonts w:hint="default"/>
        <w:lang w:val="en-US" w:eastAsia="en-US" w:bidi="ar-SA"/>
      </w:rPr>
    </w:lvl>
    <w:lvl w:ilvl="5" w:tplc="CF1C10B4">
      <w:numFmt w:val="bullet"/>
      <w:lvlText w:val="•"/>
      <w:lvlJc w:val="left"/>
      <w:pPr>
        <w:ind w:left="6993" w:hanging="360"/>
      </w:pPr>
      <w:rPr>
        <w:rFonts w:hint="default"/>
        <w:lang w:val="en-US" w:eastAsia="en-US" w:bidi="ar-SA"/>
      </w:rPr>
    </w:lvl>
    <w:lvl w:ilvl="6" w:tplc="0912776C">
      <w:numFmt w:val="bullet"/>
      <w:lvlText w:val="•"/>
      <w:lvlJc w:val="left"/>
      <w:pPr>
        <w:ind w:left="7967" w:hanging="360"/>
      </w:pPr>
      <w:rPr>
        <w:rFonts w:hint="default"/>
        <w:lang w:val="en-US" w:eastAsia="en-US" w:bidi="ar-SA"/>
      </w:rPr>
    </w:lvl>
    <w:lvl w:ilvl="7" w:tplc="C74AF306">
      <w:numFmt w:val="bullet"/>
      <w:lvlText w:val="•"/>
      <w:lvlJc w:val="left"/>
      <w:pPr>
        <w:ind w:left="8942" w:hanging="360"/>
      </w:pPr>
      <w:rPr>
        <w:rFonts w:hint="default"/>
        <w:lang w:val="en-US" w:eastAsia="en-US" w:bidi="ar-SA"/>
      </w:rPr>
    </w:lvl>
    <w:lvl w:ilvl="8" w:tplc="B9C088A0">
      <w:numFmt w:val="bullet"/>
      <w:lvlText w:val="•"/>
      <w:lvlJc w:val="left"/>
      <w:pPr>
        <w:ind w:left="9917" w:hanging="360"/>
      </w:pPr>
      <w:rPr>
        <w:rFonts w:hint="default"/>
        <w:lang w:val="en-US" w:eastAsia="en-US" w:bidi="ar-SA"/>
      </w:rPr>
    </w:lvl>
  </w:abstractNum>
  <w:abstractNum w:abstractNumId="116" w15:restartNumberingAfterBreak="0">
    <w:nsid w:val="4ECB11ED"/>
    <w:multiLevelType w:val="multilevel"/>
    <w:tmpl w:val="C4EAF59A"/>
    <w:lvl w:ilvl="0">
      <w:start w:val="1"/>
      <w:numFmt w:val="decimal"/>
      <w:lvlText w:val="%1."/>
      <w:lvlJc w:val="left"/>
      <w:pPr>
        <w:ind w:left="1712" w:hanging="312"/>
      </w:pPr>
      <w:rPr>
        <w:rFonts w:ascii="Arial" w:eastAsia="Arial" w:hAnsi="Arial" w:cs="Arial" w:hint="default"/>
        <w:b/>
        <w:bCs/>
        <w:i w:val="0"/>
        <w:iCs w:val="0"/>
        <w:spacing w:val="0"/>
        <w:w w:val="99"/>
        <w:sz w:val="24"/>
        <w:szCs w:val="24"/>
        <w:lang w:val="en-US" w:eastAsia="en-US" w:bidi="ar-SA"/>
      </w:rPr>
    </w:lvl>
    <w:lvl w:ilvl="1">
      <w:start w:val="1"/>
      <w:numFmt w:val="decimal"/>
      <w:lvlText w:val="%1.%2"/>
      <w:lvlJc w:val="left"/>
      <w:pPr>
        <w:ind w:left="1760" w:hanging="442"/>
      </w:pPr>
      <w:rPr>
        <w:rFonts w:ascii="Arial" w:eastAsia="Arial" w:hAnsi="Arial" w:cs="Arial" w:hint="default"/>
        <w:b/>
        <w:bCs/>
        <w:i w:val="0"/>
        <w:iCs w:val="0"/>
        <w:spacing w:val="0"/>
        <w:w w:val="99"/>
        <w:sz w:val="24"/>
        <w:szCs w:val="24"/>
        <w:lang w:val="en-US" w:eastAsia="en-US" w:bidi="ar-SA"/>
      </w:rPr>
    </w:lvl>
    <w:lvl w:ilvl="2">
      <w:start w:val="1"/>
      <w:numFmt w:val="decimal"/>
      <w:lvlText w:val="%1.%2.%3"/>
      <w:lvlJc w:val="left"/>
      <w:pPr>
        <w:ind w:left="2722" w:hanging="603"/>
      </w:pPr>
      <w:rPr>
        <w:rFonts w:ascii="Arial" w:eastAsia="Arial" w:hAnsi="Arial" w:cs="Arial" w:hint="default"/>
        <w:b/>
        <w:bCs/>
        <w:i w:val="0"/>
        <w:iCs w:val="0"/>
        <w:spacing w:val="-2"/>
        <w:w w:val="99"/>
        <w:sz w:val="24"/>
        <w:szCs w:val="24"/>
        <w:lang w:val="en-US" w:eastAsia="en-US" w:bidi="ar-SA"/>
      </w:rPr>
    </w:lvl>
    <w:lvl w:ilvl="3">
      <w:numFmt w:val="bullet"/>
      <w:lvlText w:val="•"/>
      <w:lvlJc w:val="left"/>
      <w:pPr>
        <w:ind w:left="3863" w:hanging="603"/>
      </w:pPr>
      <w:rPr>
        <w:rFonts w:hint="default"/>
        <w:lang w:val="en-US" w:eastAsia="en-US" w:bidi="ar-SA"/>
      </w:rPr>
    </w:lvl>
    <w:lvl w:ilvl="4">
      <w:numFmt w:val="bullet"/>
      <w:lvlText w:val="•"/>
      <w:lvlJc w:val="left"/>
      <w:pPr>
        <w:ind w:left="5006" w:hanging="603"/>
      </w:pPr>
      <w:rPr>
        <w:rFonts w:hint="default"/>
        <w:lang w:val="en-US" w:eastAsia="en-US" w:bidi="ar-SA"/>
      </w:rPr>
    </w:lvl>
    <w:lvl w:ilvl="5">
      <w:numFmt w:val="bullet"/>
      <w:lvlText w:val="•"/>
      <w:lvlJc w:val="left"/>
      <w:pPr>
        <w:ind w:left="6149" w:hanging="603"/>
      </w:pPr>
      <w:rPr>
        <w:rFonts w:hint="default"/>
        <w:lang w:val="en-US" w:eastAsia="en-US" w:bidi="ar-SA"/>
      </w:rPr>
    </w:lvl>
    <w:lvl w:ilvl="6">
      <w:numFmt w:val="bullet"/>
      <w:lvlText w:val="•"/>
      <w:lvlJc w:val="left"/>
      <w:pPr>
        <w:ind w:left="7293" w:hanging="603"/>
      </w:pPr>
      <w:rPr>
        <w:rFonts w:hint="default"/>
        <w:lang w:val="en-US" w:eastAsia="en-US" w:bidi="ar-SA"/>
      </w:rPr>
    </w:lvl>
    <w:lvl w:ilvl="7">
      <w:numFmt w:val="bullet"/>
      <w:lvlText w:val="•"/>
      <w:lvlJc w:val="left"/>
      <w:pPr>
        <w:ind w:left="8436" w:hanging="603"/>
      </w:pPr>
      <w:rPr>
        <w:rFonts w:hint="default"/>
        <w:lang w:val="en-US" w:eastAsia="en-US" w:bidi="ar-SA"/>
      </w:rPr>
    </w:lvl>
    <w:lvl w:ilvl="8">
      <w:numFmt w:val="bullet"/>
      <w:lvlText w:val="•"/>
      <w:lvlJc w:val="left"/>
      <w:pPr>
        <w:ind w:left="9579" w:hanging="603"/>
      </w:pPr>
      <w:rPr>
        <w:rFonts w:hint="default"/>
        <w:lang w:val="en-US" w:eastAsia="en-US" w:bidi="ar-SA"/>
      </w:rPr>
    </w:lvl>
  </w:abstractNum>
  <w:abstractNum w:abstractNumId="117" w15:restartNumberingAfterBreak="0">
    <w:nsid w:val="4EDA48BC"/>
    <w:multiLevelType w:val="hybridMultilevel"/>
    <w:tmpl w:val="1430F268"/>
    <w:lvl w:ilvl="0" w:tplc="0C78CA08">
      <w:start w:val="1"/>
      <w:numFmt w:val="lowerLetter"/>
      <w:lvlText w:val="(%1)"/>
      <w:lvlJc w:val="left"/>
      <w:pPr>
        <w:ind w:left="1494" w:hanging="428"/>
      </w:pPr>
      <w:rPr>
        <w:rFonts w:ascii="Calibri" w:eastAsia="Calibri" w:hAnsi="Calibri" w:cs="Calibri" w:hint="default"/>
        <w:b w:val="0"/>
        <w:bCs w:val="0"/>
        <w:i w:val="0"/>
        <w:iCs w:val="0"/>
        <w:spacing w:val="-1"/>
        <w:w w:val="100"/>
        <w:sz w:val="24"/>
        <w:szCs w:val="24"/>
        <w:lang w:val="en-US" w:eastAsia="en-US" w:bidi="ar-SA"/>
      </w:rPr>
    </w:lvl>
    <w:lvl w:ilvl="1" w:tplc="085C1728">
      <w:numFmt w:val="bullet"/>
      <w:lvlText w:val="•"/>
      <w:lvlJc w:val="left"/>
      <w:pPr>
        <w:ind w:left="2536" w:hanging="428"/>
      </w:pPr>
      <w:rPr>
        <w:rFonts w:hint="default"/>
        <w:lang w:val="en-US" w:eastAsia="en-US" w:bidi="ar-SA"/>
      </w:rPr>
    </w:lvl>
    <w:lvl w:ilvl="2" w:tplc="9D10EB46">
      <w:numFmt w:val="bullet"/>
      <w:lvlText w:val="•"/>
      <w:lvlJc w:val="left"/>
      <w:pPr>
        <w:ind w:left="3573" w:hanging="428"/>
      </w:pPr>
      <w:rPr>
        <w:rFonts w:hint="default"/>
        <w:lang w:val="en-US" w:eastAsia="en-US" w:bidi="ar-SA"/>
      </w:rPr>
    </w:lvl>
    <w:lvl w:ilvl="3" w:tplc="92927ACC">
      <w:numFmt w:val="bullet"/>
      <w:lvlText w:val="•"/>
      <w:lvlJc w:val="left"/>
      <w:pPr>
        <w:ind w:left="4609" w:hanging="428"/>
      </w:pPr>
      <w:rPr>
        <w:rFonts w:hint="default"/>
        <w:lang w:val="en-US" w:eastAsia="en-US" w:bidi="ar-SA"/>
      </w:rPr>
    </w:lvl>
    <w:lvl w:ilvl="4" w:tplc="4AD4033C">
      <w:numFmt w:val="bullet"/>
      <w:lvlText w:val="•"/>
      <w:lvlJc w:val="left"/>
      <w:pPr>
        <w:ind w:left="5646" w:hanging="428"/>
      </w:pPr>
      <w:rPr>
        <w:rFonts w:hint="default"/>
        <w:lang w:val="en-US" w:eastAsia="en-US" w:bidi="ar-SA"/>
      </w:rPr>
    </w:lvl>
    <w:lvl w:ilvl="5" w:tplc="987E9B86">
      <w:numFmt w:val="bullet"/>
      <w:lvlText w:val="•"/>
      <w:lvlJc w:val="left"/>
      <w:pPr>
        <w:ind w:left="6683" w:hanging="428"/>
      </w:pPr>
      <w:rPr>
        <w:rFonts w:hint="default"/>
        <w:lang w:val="en-US" w:eastAsia="en-US" w:bidi="ar-SA"/>
      </w:rPr>
    </w:lvl>
    <w:lvl w:ilvl="6" w:tplc="F5E05082">
      <w:numFmt w:val="bullet"/>
      <w:lvlText w:val="•"/>
      <w:lvlJc w:val="left"/>
      <w:pPr>
        <w:ind w:left="7719" w:hanging="428"/>
      </w:pPr>
      <w:rPr>
        <w:rFonts w:hint="default"/>
        <w:lang w:val="en-US" w:eastAsia="en-US" w:bidi="ar-SA"/>
      </w:rPr>
    </w:lvl>
    <w:lvl w:ilvl="7" w:tplc="0F92D2DA">
      <w:numFmt w:val="bullet"/>
      <w:lvlText w:val="•"/>
      <w:lvlJc w:val="left"/>
      <w:pPr>
        <w:ind w:left="8756" w:hanging="428"/>
      </w:pPr>
      <w:rPr>
        <w:rFonts w:hint="default"/>
        <w:lang w:val="en-US" w:eastAsia="en-US" w:bidi="ar-SA"/>
      </w:rPr>
    </w:lvl>
    <w:lvl w:ilvl="8" w:tplc="824AF5A2">
      <w:numFmt w:val="bullet"/>
      <w:lvlText w:val="•"/>
      <w:lvlJc w:val="left"/>
      <w:pPr>
        <w:ind w:left="9793" w:hanging="428"/>
      </w:pPr>
      <w:rPr>
        <w:rFonts w:hint="default"/>
        <w:lang w:val="en-US" w:eastAsia="en-US" w:bidi="ar-SA"/>
      </w:rPr>
    </w:lvl>
  </w:abstractNum>
  <w:abstractNum w:abstractNumId="118" w15:restartNumberingAfterBreak="0">
    <w:nsid w:val="4EDE571E"/>
    <w:multiLevelType w:val="hybridMultilevel"/>
    <w:tmpl w:val="CDCA78E0"/>
    <w:lvl w:ilvl="0" w:tplc="A7168FB0">
      <w:start w:val="1"/>
      <w:numFmt w:val="lowerRoman"/>
      <w:lvlText w:val="(%1)"/>
      <w:lvlJc w:val="left"/>
      <w:pPr>
        <w:ind w:left="827" w:hanging="720"/>
        <w:jc w:val="right"/>
      </w:pPr>
      <w:rPr>
        <w:rFonts w:ascii="Arial" w:eastAsia="Arial" w:hAnsi="Arial" w:cs="Arial" w:hint="default"/>
        <w:b w:val="0"/>
        <w:bCs w:val="0"/>
        <w:i w:val="0"/>
        <w:iCs w:val="0"/>
        <w:spacing w:val="-2"/>
        <w:w w:val="99"/>
        <w:sz w:val="24"/>
        <w:szCs w:val="24"/>
        <w:lang w:val="en-US" w:eastAsia="en-US" w:bidi="ar-SA"/>
      </w:rPr>
    </w:lvl>
    <w:lvl w:ilvl="1" w:tplc="FFB20304">
      <w:numFmt w:val="bullet"/>
      <w:lvlText w:val="•"/>
      <w:lvlJc w:val="left"/>
      <w:pPr>
        <w:ind w:left="1485" w:hanging="720"/>
      </w:pPr>
      <w:rPr>
        <w:rFonts w:hint="default"/>
        <w:lang w:val="en-US" w:eastAsia="en-US" w:bidi="ar-SA"/>
      </w:rPr>
    </w:lvl>
    <w:lvl w:ilvl="2" w:tplc="205A8520">
      <w:numFmt w:val="bullet"/>
      <w:lvlText w:val="•"/>
      <w:lvlJc w:val="left"/>
      <w:pPr>
        <w:ind w:left="2150" w:hanging="720"/>
      </w:pPr>
      <w:rPr>
        <w:rFonts w:hint="default"/>
        <w:lang w:val="en-US" w:eastAsia="en-US" w:bidi="ar-SA"/>
      </w:rPr>
    </w:lvl>
    <w:lvl w:ilvl="3" w:tplc="7E3EB53E">
      <w:numFmt w:val="bullet"/>
      <w:lvlText w:val="•"/>
      <w:lvlJc w:val="left"/>
      <w:pPr>
        <w:ind w:left="2816" w:hanging="720"/>
      </w:pPr>
      <w:rPr>
        <w:rFonts w:hint="default"/>
        <w:lang w:val="en-US" w:eastAsia="en-US" w:bidi="ar-SA"/>
      </w:rPr>
    </w:lvl>
    <w:lvl w:ilvl="4" w:tplc="AC801786">
      <w:numFmt w:val="bullet"/>
      <w:lvlText w:val="•"/>
      <w:lvlJc w:val="left"/>
      <w:pPr>
        <w:ind w:left="3481" w:hanging="720"/>
      </w:pPr>
      <w:rPr>
        <w:rFonts w:hint="default"/>
        <w:lang w:val="en-US" w:eastAsia="en-US" w:bidi="ar-SA"/>
      </w:rPr>
    </w:lvl>
    <w:lvl w:ilvl="5" w:tplc="E03021D2">
      <w:numFmt w:val="bullet"/>
      <w:lvlText w:val="•"/>
      <w:lvlJc w:val="left"/>
      <w:pPr>
        <w:ind w:left="4147" w:hanging="720"/>
      </w:pPr>
      <w:rPr>
        <w:rFonts w:hint="default"/>
        <w:lang w:val="en-US" w:eastAsia="en-US" w:bidi="ar-SA"/>
      </w:rPr>
    </w:lvl>
    <w:lvl w:ilvl="6" w:tplc="E8103240">
      <w:numFmt w:val="bullet"/>
      <w:lvlText w:val="•"/>
      <w:lvlJc w:val="left"/>
      <w:pPr>
        <w:ind w:left="4812" w:hanging="720"/>
      </w:pPr>
      <w:rPr>
        <w:rFonts w:hint="default"/>
        <w:lang w:val="en-US" w:eastAsia="en-US" w:bidi="ar-SA"/>
      </w:rPr>
    </w:lvl>
    <w:lvl w:ilvl="7" w:tplc="0C242E16">
      <w:numFmt w:val="bullet"/>
      <w:lvlText w:val="•"/>
      <w:lvlJc w:val="left"/>
      <w:pPr>
        <w:ind w:left="5477" w:hanging="720"/>
      </w:pPr>
      <w:rPr>
        <w:rFonts w:hint="default"/>
        <w:lang w:val="en-US" w:eastAsia="en-US" w:bidi="ar-SA"/>
      </w:rPr>
    </w:lvl>
    <w:lvl w:ilvl="8" w:tplc="5EC40D9A">
      <w:numFmt w:val="bullet"/>
      <w:lvlText w:val="•"/>
      <w:lvlJc w:val="left"/>
      <w:pPr>
        <w:ind w:left="6143" w:hanging="720"/>
      </w:pPr>
      <w:rPr>
        <w:rFonts w:hint="default"/>
        <w:lang w:val="en-US" w:eastAsia="en-US" w:bidi="ar-SA"/>
      </w:rPr>
    </w:lvl>
  </w:abstractNum>
  <w:abstractNum w:abstractNumId="119" w15:restartNumberingAfterBreak="0">
    <w:nsid w:val="4FB04AE7"/>
    <w:multiLevelType w:val="hybridMultilevel"/>
    <w:tmpl w:val="9B0CC624"/>
    <w:lvl w:ilvl="0" w:tplc="C5248DE8">
      <w:start w:val="6"/>
      <w:numFmt w:val="lowerLetter"/>
      <w:lvlText w:val="%1)"/>
      <w:lvlJc w:val="left"/>
      <w:pPr>
        <w:ind w:left="539" w:hanging="288"/>
      </w:pPr>
      <w:rPr>
        <w:rFonts w:ascii="Arial" w:eastAsia="Arial" w:hAnsi="Arial" w:cs="Arial" w:hint="default"/>
        <w:b w:val="0"/>
        <w:bCs w:val="0"/>
        <w:i w:val="0"/>
        <w:iCs w:val="0"/>
        <w:spacing w:val="0"/>
        <w:w w:val="99"/>
        <w:sz w:val="24"/>
        <w:szCs w:val="24"/>
        <w:lang w:val="en-US" w:eastAsia="en-US" w:bidi="ar-SA"/>
      </w:rPr>
    </w:lvl>
    <w:lvl w:ilvl="1" w:tplc="6EDC87B4">
      <w:numFmt w:val="bullet"/>
      <w:lvlText w:val="•"/>
      <w:lvlJc w:val="left"/>
      <w:pPr>
        <w:ind w:left="1233" w:hanging="288"/>
      </w:pPr>
      <w:rPr>
        <w:rFonts w:hint="default"/>
        <w:lang w:val="en-US" w:eastAsia="en-US" w:bidi="ar-SA"/>
      </w:rPr>
    </w:lvl>
    <w:lvl w:ilvl="2" w:tplc="AD08A6A6">
      <w:numFmt w:val="bullet"/>
      <w:lvlText w:val="•"/>
      <w:lvlJc w:val="left"/>
      <w:pPr>
        <w:ind w:left="1926" w:hanging="288"/>
      </w:pPr>
      <w:rPr>
        <w:rFonts w:hint="default"/>
        <w:lang w:val="en-US" w:eastAsia="en-US" w:bidi="ar-SA"/>
      </w:rPr>
    </w:lvl>
    <w:lvl w:ilvl="3" w:tplc="D04EBC8C">
      <w:numFmt w:val="bullet"/>
      <w:lvlText w:val="•"/>
      <w:lvlJc w:val="left"/>
      <w:pPr>
        <w:ind w:left="2620" w:hanging="288"/>
      </w:pPr>
      <w:rPr>
        <w:rFonts w:hint="default"/>
        <w:lang w:val="en-US" w:eastAsia="en-US" w:bidi="ar-SA"/>
      </w:rPr>
    </w:lvl>
    <w:lvl w:ilvl="4" w:tplc="C504DFE4">
      <w:numFmt w:val="bullet"/>
      <w:lvlText w:val="•"/>
      <w:lvlJc w:val="left"/>
      <w:pPr>
        <w:ind w:left="3313" w:hanging="288"/>
      </w:pPr>
      <w:rPr>
        <w:rFonts w:hint="default"/>
        <w:lang w:val="en-US" w:eastAsia="en-US" w:bidi="ar-SA"/>
      </w:rPr>
    </w:lvl>
    <w:lvl w:ilvl="5" w:tplc="C53E58AA">
      <w:numFmt w:val="bullet"/>
      <w:lvlText w:val="•"/>
      <w:lvlJc w:val="left"/>
      <w:pPr>
        <w:ind w:left="4007" w:hanging="288"/>
      </w:pPr>
      <w:rPr>
        <w:rFonts w:hint="default"/>
        <w:lang w:val="en-US" w:eastAsia="en-US" w:bidi="ar-SA"/>
      </w:rPr>
    </w:lvl>
    <w:lvl w:ilvl="6" w:tplc="FF84FA76">
      <w:numFmt w:val="bullet"/>
      <w:lvlText w:val="•"/>
      <w:lvlJc w:val="left"/>
      <w:pPr>
        <w:ind w:left="4700" w:hanging="288"/>
      </w:pPr>
      <w:rPr>
        <w:rFonts w:hint="default"/>
        <w:lang w:val="en-US" w:eastAsia="en-US" w:bidi="ar-SA"/>
      </w:rPr>
    </w:lvl>
    <w:lvl w:ilvl="7" w:tplc="2E94372C">
      <w:numFmt w:val="bullet"/>
      <w:lvlText w:val="•"/>
      <w:lvlJc w:val="left"/>
      <w:pPr>
        <w:ind w:left="5393" w:hanging="288"/>
      </w:pPr>
      <w:rPr>
        <w:rFonts w:hint="default"/>
        <w:lang w:val="en-US" w:eastAsia="en-US" w:bidi="ar-SA"/>
      </w:rPr>
    </w:lvl>
    <w:lvl w:ilvl="8" w:tplc="26563868">
      <w:numFmt w:val="bullet"/>
      <w:lvlText w:val="•"/>
      <w:lvlJc w:val="left"/>
      <w:pPr>
        <w:ind w:left="6087" w:hanging="288"/>
      </w:pPr>
      <w:rPr>
        <w:rFonts w:hint="default"/>
        <w:lang w:val="en-US" w:eastAsia="en-US" w:bidi="ar-SA"/>
      </w:rPr>
    </w:lvl>
  </w:abstractNum>
  <w:abstractNum w:abstractNumId="120" w15:restartNumberingAfterBreak="0">
    <w:nsid w:val="510E431E"/>
    <w:multiLevelType w:val="hybridMultilevel"/>
    <w:tmpl w:val="0DD4C2CA"/>
    <w:lvl w:ilvl="0" w:tplc="72FE0650">
      <w:start w:val="40"/>
      <w:numFmt w:val="lowerLetter"/>
      <w:lvlText w:val="%1)"/>
      <w:lvlJc w:val="left"/>
      <w:pPr>
        <w:ind w:left="539" w:hanging="576"/>
      </w:pPr>
      <w:rPr>
        <w:rFonts w:ascii="Arial" w:eastAsia="Arial" w:hAnsi="Arial" w:cs="Arial" w:hint="default"/>
        <w:b w:val="0"/>
        <w:bCs w:val="0"/>
        <w:i w:val="0"/>
        <w:iCs w:val="0"/>
        <w:spacing w:val="0"/>
        <w:w w:val="99"/>
        <w:sz w:val="24"/>
        <w:szCs w:val="24"/>
        <w:lang w:val="en-US" w:eastAsia="en-US" w:bidi="ar-SA"/>
      </w:rPr>
    </w:lvl>
    <w:lvl w:ilvl="1" w:tplc="A942F568">
      <w:numFmt w:val="bullet"/>
      <w:lvlText w:val="•"/>
      <w:lvlJc w:val="left"/>
      <w:pPr>
        <w:ind w:left="1233" w:hanging="576"/>
      </w:pPr>
      <w:rPr>
        <w:rFonts w:hint="default"/>
        <w:lang w:val="en-US" w:eastAsia="en-US" w:bidi="ar-SA"/>
      </w:rPr>
    </w:lvl>
    <w:lvl w:ilvl="2" w:tplc="46F44A58">
      <w:numFmt w:val="bullet"/>
      <w:lvlText w:val="•"/>
      <w:lvlJc w:val="left"/>
      <w:pPr>
        <w:ind w:left="1926" w:hanging="576"/>
      </w:pPr>
      <w:rPr>
        <w:rFonts w:hint="default"/>
        <w:lang w:val="en-US" w:eastAsia="en-US" w:bidi="ar-SA"/>
      </w:rPr>
    </w:lvl>
    <w:lvl w:ilvl="3" w:tplc="90FA2AA0">
      <w:numFmt w:val="bullet"/>
      <w:lvlText w:val="•"/>
      <w:lvlJc w:val="left"/>
      <w:pPr>
        <w:ind w:left="2620" w:hanging="576"/>
      </w:pPr>
      <w:rPr>
        <w:rFonts w:hint="default"/>
        <w:lang w:val="en-US" w:eastAsia="en-US" w:bidi="ar-SA"/>
      </w:rPr>
    </w:lvl>
    <w:lvl w:ilvl="4" w:tplc="83362A62">
      <w:numFmt w:val="bullet"/>
      <w:lvlText w:val="•"/>
      <w:lvlJc w:val="left"/>
      <w:pPr>
        <w:ind w:left="3313" w:hanging="576"/>
      </w:pPr>
      <w:rPr>
        <w:rFonts w:hint="default"/>
        <w:lang w:val="en-US" w:eastAsia="en-US" w:bidi="ar-SA"/>
      </w:rPr>
    </w:lvl>
    <w:lvl w:ilvl="5" w:tplc="7C9E160A">
      <w:numFmt w:val="bullet"/>
      <w:lvlText w:val="•"/>
      <w:lvlJc w:val="left"/>
      <w:pPr>
        <w:ind w:left="4007" w:hanging="576"/>
      </w:pPr>
      <w:rPr>
        <w:rFonts w:hint="default"/>
        <w:lang w:val="en-US" w:eastAsia="en-US" w:bidi="ar-SA"/>
      </w:rPr>
    </w:lvl>
    <w:lvl w:ilvl="6" w:tplc="029457BC">
      <w:numFmt w:val="bullet"/>
      <w:lvlText w:val="•"/>
      <w:lvlJc w:val="left"/>
      <w:pPr>
        <w:ind w:left="4700" w:hanging="576"/>
      </w:pPr>
      <w:rPr>
        <w:rFonts w:hint="default"/>
        <w:lang w:val="en-US" w:eastAsia="en-US" w:bidi="ar-SA"/>
      </w:rPr>
    </w:lvl>
    <w:lvl w:ilvl="7" w:tplc="1F427C0E">
      <w:numFmt w:val="bullet"/>
      <w:lvlText w:val="•"/>
      <w:lvlJc w:val="left"/>
      <w:pPr>
        <w:ind w:left="5393" w:hanging="576"/>
      </w:pPr>
      <w:rPr>
        <w:rFonts w:hint="default"/>
        <w:lang w:val="en-US" w:eastAsia="en-US" w:bidi="ar-SA"/>
      </w:rPr>
    </w:lvl>
    <w:lvl w:ilvl="8" w:tplc="B1465A14">
      <w:numFmt w:val="bullet"/>
      <w:lvlText w:val="•"/>
      <w:lvlJc w:val="left"/>
      <w:pPr>
        <w:ind w:left="6087" w:hanging="576"/>
      </w:pPr>
      <w:rPr>
        <w:rFonts w:hint="default"/>
        <w:lang w:val="en-US" w:eastAsia="en-US" w:bidi="ar-SA"/>
      </w:rPr>
    </w:lvl>
  </w:abstractNum>
  <w:abstractNum w:abstractNumId="121" w15:restartNumberingAfterBreak="0">
    <w:nsid w:val="513C28FE"/>
    <w:multiLevelType w:val="hybridMultilevel"/>
    <w:tmpl w:val="BCCA3C1A"/>
    <w:lvl w:ilvl="0" w:tplc="08090001">
      <w:start w:val="1"/>
      <w:numFmt w:val="bullet"/>
      <w:lvlText w:val=""/>
      <w:lvlJc w:val="left"/>
      <w:pPr>
        <w:ind w:left="805" w:hanging="360"/>
      </w:pPr>
      <w:rPr>
        <w:rFonts w:ascii="Symbol" w:hAnsi="Symbol" w:hint="default"/>
      </w:rPr>
    </w:lvl>
    <w:lvl w:ilvl="1" w:tplc="08090003" w:tentative="1">
      <w:start w:val="1"/>
      <w:numFmt w:val="bullet"/>
      <w:lvlText w:val="o"/>
      <w:lvlJc w:val="left"/>
      <w:pPr>
        <w:ind w:left="1525" w:hanging="360"/>
      </w:pPr>
      <w:rPr>
        <w:rFonts w:ascii="Courier New" w:hAnsi="Courier New" w:cs="Courier New" w:hint="default"/>
      </w:rPr>
    </w:lvl>
    <w:lvl w:ilvl="2" w:tplc="08090005" w:tentative="1">
      <w:start w:val="1"/>
      <w:numFmt w:val="bullet"/>
      <w:lvlText w:val=""/>
      <w:lvlJc w:val="left"/>
      <w:pPr>
        <w:ind w:left="2245" w:hanging="360"/>
      </w:pPr>
      <w:rPr>
        <w:rFonts w:ascii="Wingdings" w:hAnsi="Wingdings" w:hint="default"/>
      </w:rPr>
    </w:lvl>
    <w:lvl w:ilvl="3" w:tplc="08090001" w:tentative="1">
      <w:start w:val="1"/>
      <w:numFmt w:val="bullet"/>
      <w:lvlText w:val=""/>
      <w:lvlJc w:val="left"/>
      <w:pPr>
        <w:ind w:left="2965" w:hanging="360"/>
      </w:pPr>
      <w:rPr>
        <w:rFonts w:ascii="Symbol" w:hAnsi="Symbol" w:hint="default"/>
      </w:rPr>
    </w:lvl>
    <w:lvl w:ilvl="4" w:tplc="08090003" w:tentative="1">
      <w:start w:val="1"/>
      <w:numFmt w:val="bullet"/>
      <w:lvlText w:val="o"/>
      <w:lvlJc w:val="left"/>
      <w:pPr>
        <w:ind w:left="3685" w:hanging="360"/>
      </w:pPr>
      <w:rPr>
        <w:rFonts w:ascii="Courier New" w:hAnsi="Courier New" w:cs="Courier New" w:hint="default"/>
      </w:rPr>
    </w:lvl>
    <w:lvl w:ilvl="5" w:tplc="08090005" w:tentative="1">
      <w:start w:val="1"/>
      <w:numFmt w:val="bullet"/>
      <w:lvlText w:val=""/>
      <w:lvlJc w:val="left"/>
      <w:pPr>
        <w:ind w:left="4405" w:hanging="360"/>
      </w:pPr>
      <w:rPr>
        <w:rFonts w:ascii="Wingdings" w:hAnsi="Wingdings" w:hint="default"/>
      </w:rPr>
    </w:lvl>
    <w:lvl w:ilvl="6" w:tplc="08090001" w:tentative="1">
      <w:start w:val="1"/>
      <w:numFmt w:val="bullet"/>
      <w:lvlText w:val=""/>
      <w:lvlJc w:val="left"/>
      <w:pPr>
        <w:ind w:left="5125" w:hanging="360"/>
      </w:pPr>
      <w:rPr>
        <w:rFonts w:ascii="Symbol" w:hAnsi="Symbol" w:hint="default"/>
      </w:rPr>
    </w:lvl>
    <w:lvl w:ilvl="7" w:tplc="08090003" w:tentative="1">
      <w:start w:val="1"/>
      <w:numFmt w:val="bullet"/>
      <w:lvlText w:val="o"/>
      <w:lvlJc w:val="left"/>
      <w:pPr>
        <w:ind w:left="5845" w:hanging="360"/>
      </w:pPr>
      <w:rPr>
        <w:rFonts w:ascii="Courier New" w:hAnsi="Courier New" w:cs="Courier New" w:hint="default"/>
      </w:rPr>
    </w:lvl>
    <w:lvl w:ilvl="8" w:tplc="08090005" w:tentative="1">
      <w:start w:val="1"/>
      <w:numFmt w:val="bullet"/>
      <w:lvlText w:val=""/>
      <w:lvlJc w:val="left"/>
      <w:pPr>
        <w:ind w:left="6565" w:hanging="360"/>
      </w:pPr>
      <w:rPr>
        <w:rFonts w:ascii="Wingdings" w:hAnsi="Wingdings" w:hint="default"/>
      </w:rPr>
    </w:lvl>
  </w:abstractNum>
  <w:abstractNum w:abstractNumId="122" w15:restartNumberingAfterBreak="0">
    <w:nsid w:val="520555A1"/>
    <w:multiLevelType w:val="multilevel"/>
    <w:tmpl w:val="70E44178"/>
    <w:lvl w:ilvl="0">
      <w:start w:val="1"/>
      <w:numFmt w:val="decimal"/>
      <w:lvlText w:val="%1."/>
      <w:lvlJc w:val="left"/>
      <w:pPr>
        <w:ind w:left="2120" w:hanging="720"/>
        <w:jc w:val="right"/>
      </w:pPr>
      <w:rPr>
        <w:rFonts w:ascii="Arial" w:eastAsia="Arial" w:hAnsi="Arial" w:cs="Arial" w:hint="default"/>
        <w:b/>
        <w:bCs/>
        <w:i w:val="0"/>
        <w:iCs w:val="0"/>
        <w:spacing w:val="0"/>
        <w:w w:val="97"/>
        <w:sz w:val="24"/>
        <w:szCs w:val="24"/>
        <w:lang w:val="en-US" w:eastAsia="en-US" w:bidi="ar-SA"/>
      </w:rPr>
    </w:lvl>
    <w:lvl w:ilvl="1">
      <w:start w:val="1"/>
      <w:numFmt w:val="decimal"/>
      <w:lvlText w:val="%1.%2"/>
      <w:lvlJc w:val="left"/>
      <w:pPr>
        <w:ind w:left="2818" w:hanging="488"/>
        <w:jc w:val="right"/>
      </w:pPr>
      <w:rPr>
        <w:rFonts w:hint="default"/>
        <w:spacing w:val="-1"/>
        <w:w w:val="100"/>
        <w:lang w:val="en-US" w:eastAsia="en-US" w:bidi="ar-SA"/>
      </w:rPr>
    </w:lvl>
    <w:lvl w:ilvl="2">
      <w:start w:val="1"/>
      <w:numFmt w:val="decimal"/>
      <w:lvlText w:val="%1.%2.%3"/>
      <w:lvlJc w:val="left"/>
      <w:pPr>
        <w:ind w:left="2840" w:hanging="488"/>
      </w:pPr>
      <w:rPr>
        <w:rFonts w:ascii="Arial" w:eastAsia="Arial" w:hAnsi="Arial" w:cs="Arial" w:hint="default"/>
        <w:b w:val="0"/>
        <w:bCs w:val="0"/>
        <w:i w:val="0"/>
        <w:iCs w:val="0"/>
        <w:spacing w:val="-2"/>
        <w:w w:val="100"/>
        <w:sz w:val="24"/>
        <w:szCs w:val="24"/>
        <w:lang w:val="en-US" w:eastAsia="en-US" w:bidi="ar-SA"/>
      </w:rPr>
    </w:lvl>
    <w:lvl w:ilvl="3">
      <w:numFmt w:val="bullet"/>
      <w:lvlText w:val="•"/>
      <w:lvlJc w:val="left"/>
      <w:pPr>
        <w:ind w:left="3580" w:hanging="488"/>
      </w:pPr>
      <w:rPr>
        <w:rFonts w:hint="default"/>
        <w:lang w:val="en-US" w:eastAsia="en-US" w:bidi="ar-SA"/>
      </w:rPr>
    </w:lvl>
    <w:lvl w:ilvl="4">
      <w:numFmt w:val="bullet"/>
      <w:lvlText w:val="•"/>
      <w:lvlJc w:val="left"/>
      <w:pPr>
        <w:ind w:left="4763" w:hanging="488"/>
      </w:pPr>
      <w:rPr>
        <w:rFonts w:hint="default"/>
        <w:lang w:val="en-US" w:eastAsia="en-US" w:bidi="ar-SA"/>
      </w:rPr>
    </w:lvl>
    <w:lvl w:ilvl="5">
      <w:numFmt w:val="bullet"/>
      <w:lvlText w:val="•"/>
      <w:lvlJc w:val="left"/>
      <w:pPr>
        <w:ind w:left="5947" w:hanging="488"/>
      </w:pPr>
      <w:rPr>
        <w:rFonts w:hint="default"/>
        <w:lang w:val="en-US" w:eastAsia="en-US" w:bidi="ar-SA"/>
      </w:rPr>
    </w:lvl>
    <w:lvl w:ilvl="6">
      <w:numFmt w:val="bullet"/>
      <w:lvlText w:val="•"/>
      <w:lvlJc w:val="left"/>
      <w:pPr>
        <w:ind w:left="7131" w:hanging="488"/>
      </w:pPr>
      <w:rPr>
        <w:rFonts w:hint="default"/>
        <w:lang w:val="en-US" w:eastAsia="en-US" w:bidi="ar-SA"/>
      </w:rPr>
    </w:lvl>
    <w:lvl w:ilvl="7">
      <w:numFmt w:val="bullet"/>
      <w:lvlText w:val="•"/>
      <w:lvlJc w:val="left"/>
      <w:pPr>
        <w:ind w:left="8315" w:hanging="488"/>
      </w:pPr>
      <w:rPr>
        <w:rFonts w:hint="default"/>
        <w:lang w:val="en-US" w:eastAsia="en-US" w:bidi="ar-SA"/>
      </w:rPr>
    </w:lvl>
    <w:lvl w:ilvl="8">
      <w:numFmt w:val="bullet"/>
      <w:lvlText w:val="•"/>
      <w:lvlJc w:val="left"/>
      <w:pPr>
        <w:ind w:left="9498" w:hanging="488"/>
      </w:pPr>
      <w:rPr>
        <w:rFonts w:hint="default"/>
        <w:lang w:val="en-US" w:eastAsia="en-US" w:bidi="ar-SA"/>
      </w:rPr>
    </w:lvl>
  </w:abstractNum>
  <w:abstractNum w:abstractNumId="123" w15:restartNumberingAfterBreak="0">
    <w:nsid w:val="52CD4DE0"/>
    <w:multiLevelType w:val="hybridMultilevel"/>
    <w:tmpl w:val="A3625FEC"/>
    <w:lvl w:ilvl="0" w:tplc="59B61F72">
      <w:numFmt w:val="bullet"/>
      <w:lvlText w:val="-"/>
      <w:lvlJc w:val="left"/>
      <w:pPr>
        <w:ind w:left="2840" w:hanging="360"/>
      </w:pPr>
      <w:rPr>
        <w:rFonts w:ascii="Arial" w:eastAsia="Arial" w:hAnsi="Arial" w:cs="Arial" w:hint="default"/>
        <w:b w:val="0"/>
        <w:bCs w:val="0"/>
        <w:i w:val="0"/>
        <w:iCs w:val="0"/>
        <w:spacing w:val="0"/>
        <w:w w:val="100"/>
        <w:sz w:val="24"/>
        <w:szCs w:val="24"/>
        <w:lang w:val="en-US" w:eastAsia="en-US" w:bidi="ar-SA"/>
      </w:rPr>
    </w:lvl>
    <w:lvl w:ilvl="1" w:tplc="CE6ECDCA">
      <w:numFmt w:val="bullet"/>
      <w:lvlText w:val="•"/>
      <w:lvlJc w:val="left"/>
      <w:pPr>
        <w:ind w:left="3742" w:hanging="360"/>
      </w:pPr>
      <w:rPr>
        <w:rFonts w:hint="default"/>
        <w:lang w:val="en-US" w:eastAsia="en-US" w:bidi="ar-SA"/>
      </w:rPr>
    </w:lvl>
    <w:lvl w:ilvl="2" w:tplc="3B92A354">
      <w:numFmt w:val="bullet"/>
      <w:lvlText w:val="•"/>
      <w:lvlJc w:val="left"/>
      <w:pPr>
        <w:ind w:left="4645" w:hanging="360"/>
      </w:pPr>
      <w:rPr>
        <w:rFonts w:hint="default"/>
        <w:lang w:val="en-US" w:eastAsia="en-US" w:bidi="ar-SA"/>
      </w:rPr>
    </w:lvl>
    <w:lvl w:ilvl="3" w:tplc="59E89A6C">
      <w:numFmt w:val="bullet"/>
      <w:lvlText w:val="•"/>
      <w:lvlJc w:val="left"/>
      <w:pPr>
        <w:ind w:left="5547" w:hanging="360"/>
      </w:pPr>
      <w:rPr>
        <w:rFonts w:hint="default"/>
        <w:lang w:val="en-US" w:eastAsia="en-US" w:bidi="ar-SA"/>
      </w:rPr>
    </w:lvl>
    <w:lvl w:ilvl="4" w:tplc="A86238DA">
      <w:numFmt w:val="bullet"/>
      <w:lvlText w:val="•"/>
      <w:lvlJc w:val="left"/>
      <w:pPr>
        <w:ind w:left="6450" w:hanging="360"/>
      </w:pPr>
      <w:rPr>
        <w:rFonts w:hint="default"/>
        <w:lang w:val="en-US" w:eastAsia="en-US" w:bidi="ar-SA"/>
      </w:rPr>
    </w:lvl>
    <w:lvl w:ilvl="5" w:tplc="81F04430">
      <w:numFmt w:val="bullet"/>
      <w:lvlText w:val="•"/>
      <w:lvlJc w:val="left"/>
      <w:pPr>
        <w:ind w:left="7353" w:hanging="360"/>
      </w:pPr>
      <w:rPr>
        <w:rFonts w:hint="default"/>
        <w:lang w:val="en-US" w:eastAsia="en-US" w:bidi="ar-SA"/>
      </w:rPr>
    </w:lvl>
    <w:lvl w:ilvl="6" w:tplc="7BE20D8E">
      <w:numFmt w:val="bullet"/>
      <w:lvlText w:val="•"/>
      <w:lvlJc w:val="left"/>
      <w:pPr>
        <w:ind w:left="8255" w:hanging="360"/>
      </w:pPr>
      <w:rPr>
        <w:rFonts w:hint="default"/>
        <w:lang w:val="en-US" w:eastAsia="en-US" w:bidi="ar-SA"/>
      </w:rPr>
    </w:lvl>
    <w:lvl w:ilvl="7" w:tplc="80CA5D2C">
      <w:numFmt w:val="bullet"/>
      <w:lvlText w:val="•"/>
      <w:lvlJc w:val="left"/>
      <w:pPr>
        <w:ind w:left="9158" w:hanging="360"/>
      </w:pPr>
      <w:rPr>
        <w:rFonts w:hint="default"/>
        <w:lang w:val="en-US" w:eastAsia="en-US" w:bidi="ar-SA"/>
      </w:rPr>
    </w:lvl>
    <w:lvl w:ilvl="8" w:tplc="EB720A00">
      <w:numFmt w:val="bullet"/>
      <w:lvlText w:val="•"/>
      <w:lvlJc w:val="left"/>
      <w:pPr>
        <w:ind w:left="10061" w:hanging="360"/>
      </w:pPr>
      <w:rPr>
        <w:rFonts w:hint="default"/>
        <w:lang w:val="en-US" w:eastAsia="en-US" w:bidi="ar-SA"/>
      </w:rPr>
    </w:lvl>
  </w:abstractNum>
  <w:abstractNum w:abstractNumId="124" w15:restartNumberingAfterBreak="0">
    <w:nsid w:val="5312305A"/>
    <w:multiLevelType w:val="hybridMultilevel"/>
    <w:tmpl w:val="2DF0BA1C"/>
    <w:lvl w:ilvl="0" w:tplc="766C802E">
      <w:start w:val="2"/>
      <w:numFmt w:val="lowerLetter"/>
      <w:lvlText w:val="(%1)"/>
      <w:lvlJc w:val="left"/>
      <w:pPr>
        <w:ind w:left="2818" w:hanging="711"/>
      </w:pPr>
      <w:rPr>
        <w:rFonts w:ascii="Arial" w:eastAsia="Arial" w:hAnsi="Arial" w:cs="Arial" w:hint="default"/>
        <w:b w:val="0"/>
        <w:bCs w:val="0"/>
        <w:i w:val="0"/>
        <w:iCs w:val="0"/>
        <w:spacing w:val="-1"/>
        <w:w w:val="100"/>
        <w:sz w:val="24"/>
        <w:szCs w:val="24"/>
        <w:lang w:val="en-US" w:eastAsia="en-US" w:bidi="ar-SA"/>
      </w:rPr>
    </w:lvl>
    <w:lvl w:ilvl="1" w:tplc="C71E3E7E">
      <w:numFmt w:val="bullet"/>
      <w:lvlText w:val="•"/>
      <w:lvlJc w:val="left"/>
      <w:pPr>
        <w:ind w:left="3724" w:hanging="711"/>
      </w:pPr>
      <w:rPr>
        <w:rFonts w:hint="default"/>
        <w:lang w:val="en-US" w:eastAsia="en-US" w:bidi="ar-SA"/>
      </w:rPr>
    </w:lvl>
    <w:lvl w:ilvl="2" w:tplc="E7B6EACC">
      <w:numFmt w:val="bullet"/>
      <w:lvlText w:val="•"/>
      <w:lvlJc w:val="left"/>
      <w:pPr>
        <w:ind w:left="4629" w:hanging="711"/>
      </w:pPr>
      <w:rPr>
        <w:rFonts w:hint="default"/>
        <w:lang w:val="en-US" w:eastAsia="en-US" w:bidi="ar-SA"/>
      </w:rPr>
    </w:lvl>
    <w:lvl w:ilvl="3" w:tplc="5BAC4EEC">
      <w:numFmt w:val="bullet"/>
      <w:lvlText w:val="•"/>
      <w:lvlJc w:val="left"/>
      <w:pPr>
        <w:ind w:left="5533" w:hanging="711"/>
      </w:pPr>
      <w:rPr>
        <w:rFonts w:hint="default"/>
        <w:lang w:val="en-US" w:eastAsia="en-US" w:bidi="ar-SA"/>
      </w:rPr>
    </w:lvl>
    <w:lvl w:ilvl="4" w:tplc="39BC745C">
      <w:numFmt w:val="bullet"/>
      <w:lvlText w:val="•"/>
      <w:lvlJc w:val="left"/>
      <w:pPr>
        <w:ind w:left="6438" w:hanging="711"/>
      </w:pPr>
      <w:rPr>
        <w:rFonts w:hint="default"/>
        <w:lang w:val="en-US" w:eastAsia="en-US" w:bidi="ar-SA"/>
      </w:rPr>
    </w:lvl>
    <w:lvl w:ilvl="5" w:tplc="7B2CA532">
      <w:numFmt w:val="bullet"/>
      <w:lvlText w:val="•"/>
      <w:lvlJc w:val="left"/>
      <w:pPr>
        <w:ind w:left="7343" w:hanging="711"/>
      </w:pPr>
      <w:rPr>
        <w:rFonts w:hint="default"/>
        <w:lang w:val="en-US" w:eastAsia="en-US" w:bidi="ar-SA"/>
      </w:rPr>
    </w:lvl>
    <w:lvl w:ilvl="6" w:tplc="E9DAD79C">
      <w:numFmt w:val="bullet"/>
      <w:lvlText w:val="•"/>
      <w:lvlJc w:val="left"/>
      <w:pPr>
        <w:ind w:left="8247" w:hanging="711"/>
      </w:pPr>
      <w:rPr>
        <w:rFonts w:hint="default"/>
        <w:lang w:val="en-US" w:eastAsia="en-US" w:bidi="ar-SA"/>
      </w:rPr>
    </w:lvl>
    <w:lvl w:ilvl="7" w:tplc="09AC6624">
      <w:numFmt w:val="bullet"/>
      <w:lvlText w:val="•"/>
      <w:lvlJc w:val="left"/>
      <w:pPr>
        <w:ind w:left="9152" w:hanging="711"/>
      </w:pPr>
      <w:rPr>
        <w:rFonts w:hint="default"/>
        <w:lang w:val="en-US" w:eastAsia="en-US" w:bidi="ar-SA"/>
      </w:rPr>
    </w:lvl>
    <w:lvl w:ilvl="8" w:tplc="FEE67A18">
      <w:numFmt w:val="bullet"/>
      <w:lvlText w:val="•"/>
      <w:lvlJc w:val="left"/>
      <w:pPr>
        <w:ind w:left="10057" w:hanging="711"/>
      </w:pPr>
      <w:rPr>
        <w:rFonts w:hint="default"/>
        <w:lang w:val="en-US" w:eastAsia="en-US" w:bidi="ar-SA"/>
      </w:rPr>
    </w:lvl>
  </w:abstractNum>
  <w:abstractNum w:abstractNumId="125" w15:restartNumberingAfterBreak="0">
    <w:nsid w:val="537A353B"/>
    <w:multiLevelType w:val="hybridMultilevel"/>
    <w:tmpl w:val="C96CE918"/>
    <w:lvl w:ilvl="0" w:tplc="FB78F364">
      <w:start w:val="44"/>
      <w:numFmt w:val="lowerLetter"/>
      <w:lvlText w:val="%1)"/>
      <w:lvlJc w:val="left"/>
      <w:pPr>
        <w:ind w:left="683" w:hanging="432"/>
      </w:pPr>
      <w:rPr>
        <w:rFonts w:ascii="Arial" w:eastAsia="Arial" w:hAnsi="Arial" w:cs="Arial" w:hint="default"/>
        <w:b w:val="0"/>
        <w:bCs w:val="0"/>
        <w:i w:val="0"/>
        <w:iCs w:val="0"/>
        <w:spacing w:val="-1"/>
        <w:w w:val="99"/>
        <w:sz w:val="24"/>
        <w:szCs w:val="24"/>
        <w:lang w:val="en-US" w:eastAsia="en-US" w:bidi="ar-SA"/>
      </w:rPr>
    </w:lvl>
    <w:lvl w:ilvl="1" w:tplc="F4AAA678">
      <w:numFmt w:val="bullet"/>
      <w:lvlText w:val="•"/>
      <w:lvlJc w:val="left"/>
      <w:pPr>
        <w:ind w:left="1359" w:hanging="432"/>
      </w:pPr>
      <w:rPr>
        <w:rFonts w:hint="default"/>
        <w:lang w:val="en-US" w:eastAsia="en-US" w:bidi="ar-SA"/>
      </w:rPr>
    </w:lvl>
    <w:lvl w:ilvl="2" w:tplc="B1EAE556">
      <w:numFmt w:val="bullet"/>
      <w:lvlText w:val="•"/>
      <w:lvlJc w:val="left"/>
      <w:pPr>
        <w:ind w:left="2038" w:hanging="432"/>
      </w:pPr>
      <w:rPr>
        <w:rFonts w:hint="default"/>
        <w:lang w:val="en-US" w:eastAsia="en-US" w:bidi="ar-SA"/>
      </w:rPr>
    </w:lvl>
    <w:lvl w:ilvl="3" w:tplc="D750CC3A">
      <w:numFmt w:val="bullet"/>
      <w:lvlText w:val="•"/>
      <w:lvlJc w:val="left"/>
      <w:pPr>
        <w:ind w:left="2718" w:hanging="432"/>
      </w:pPr>
      <w:rPr>
        <w:rFonts w:hint="default"/>
        <w:lang w:val="en-US" w:eastAsia="en-US" w:bidi="ar-SA"/>
      </w:rPr>
    </w:lvl>
    <w:lvl w:ilvl="4" w:tplc="6FF0A71A">
      <w:numFmt w:val="bullet"/>
      <w:lvlText w:val="•"/>
      <w:lvlJc w:val="left"/>
      <w:pPr>
        <w:ind w:left="3397" w:hanging="432"/>
      </w:pPr>
      <w:rPr>
        <w:rFonts w:hint="default"/>
        <w:lang w:val="en-US" w:eastAsia="en-US" w:bidi="ar-SA"/>
      </w:rPr>
    </w:lvl>
    <w:lvl w:ilvl="5" w:tplc="0E1EE862">
      <w:numFmt w:val="bullet"/>
      <w:lvlText w:val="•"/>
      <w:lvlJc w:val="left"/>
      <w:pPr>
        <w:ind w:left="4077" w:hanging="432"/>
      </w:pPr>
      <w:rPr>
        <w:rFonts w:hint="default"/>
        <w:lang w:val="en-US" w:eastAsia="en-US" w:bidi="ar-SA"/>
      </w:rPr>
    </w:lvl>
    <w:lvl w:ilvl="6" w:tplc="95F0820A">
      <w:numFmt w:val="bullet"/>
      <w:lvlText w:val="•"/>
      <w:lvlJc w:val="left"/>
      <w:pPr>
        <w:ind w:left="4756" w:hanging="432"/>
      </w:pPr>
      <w:rPr>
        <w:rFonts w:hint="default"/>
        <w:lang w:val="en-US" w:eastAsia="en-US" w:bidi="ar-SA"/>
      </w:rPr>
    </w:lvl>
    <w:lvl w:ilvl="7" w:tplc="4D484728">
      <w:numFmt w:val="bullet"/>
      <w:lvlText w:val="•"/>
      <w:lvlJc w:val="left"/>
      <w:pPr>
        <w:ind w:left="5435" w:hanging="432"/>
      </w:pPr>
      <w:rPr>
        <w:rFonts w:hint="default"/>
        <w:lang w:val="en-US" w:eastAsia="en-US" w:bidi="ar-SA"/>
      </w:rPr>
    </w:lvl>
    <w:lvl w:ilvl="8" w:tplc="4606A76E">
      <w:numFmt w:val="bullet"/>
      <w:lvlText w:val="•"/>
      <w:lvlJc w:val="left"/>
      <w:pPr>
        <w:ind w:left="6115" w:hanging="432"/>
      </w:pPr>
      <w:rPr>
        <w:rFonts w:hint="default"/>
        <w:lang w:val="en-US" w:eastAsia="en-US" w:bidi="ar-SA"/>
      </w:rPr>
    </w:lvl>
  </w:abstractNum>
  <w:abstractNum w:abstractNumId="126" w15:restartNumberingAfterBreak="0">
    <w:nsid w:val="53826C05"/>
    <w:multiLevelType w:val="hybridMultilevel"/>
    <w:tmpl w:val="B5864904"/>
    <w:lvl w:ilvl="0" w:tplc="94B67EFE">
      <w:numFmt w:val="bullet"/>
      <w:lvlText w:val=""/>
      <w:lvlJc w:val="left"/>
      <w:pPr>
        <w:ind w:left="2091" w:hanging="360"/>
      </w:pPr>
      <w:rPr>
        <w:rFonts w:ascii="Symbol" w:eastAsia="Symbol" w:hAnsi="Symbol" w:cs="Symbol" w:hint="default"/>
        <w:b w:val="0"/>
        <w:bCs w:val="0"/>
        <w:i w:val="0"/>
        <w:iCs w:val="0"/>
        <w:spacing w:val="0"/>
        <w:w w:val="100"/>
        <w:sz w:val="24"/>
        <w:szCs w:val="24"/>
        <w:lang w:val="en-US" w:eastAsia="en-US" w:bidi="ar-SA"/>
      </w:rPr>
    </w:lvl>
    <w:lvl w:ilvl="1" w:tplc="556C60F8">
      <w:numFmt w:val="bullet"/>
      <w:lvlText w:val="•"/>
      <w:lvlJc w:val="left"/>
      <w:pPr>
        <w:ind w:left="3076" w:hanging="360"/>
      </w:pPr>
      <w:rPr>
        <w:rFonts w:hint="default"/>
        <w:lang w:val="en-US" w:eastAsia="en-US" w:bidi="ar-SA"/>
      </w:rPr>
    </w:lvl>
    <w:lvl w:ilvl="2" w:tplc="A66AAB4A">
      <w:numFmt w:val="bullet"/>
      <w:lvlText w:val="•"/>
      <w:lvlJc w:val="left"/>
      <w:pPr>
        <w:ind w:left="4053" w:hanging="360"/>
      </w:pPr>
      <w:rPr>
        <w:rFonts w:hint="default"/>
        <w:lang w:val="en-US" w:eastAsia="en-US" w:bidi="ar-SA"/>
      </w:rPr>
    </w:lvl>
    <w:lvl w:ilvl="3" w:tplc="CD6A0090">
      <w:numFmt w:val="bullet"/>
      <w:lvlText w:val="•"/>
      <w:lvlJc w:val="left"/>
      <w:pPr>
        <w:ind w:left="5029" w:hanging="360"/>
      </w:pPr>
      <w:rPr>
        <w:rFonts w:hint="default"/>
        <w:lang w:val="en-US" w:eastAsia="en-US" w:bidi="ar-SA"/>
      </w:rPr>
    </w:lvl>
    <w:lvl w:ilvl="4" w:tplc="D26AA39C">
      <w:numFmt w:val="bullet"/>
      <w:lvlText w:val="•"/>
      <w:lvlJc w:val="left"/>
      <w:pPr>
        <w:ind w:left="6006" w:hanging="360"/>
      </w:pPr>
      <w:rPr>
        <w:rFonts w:hint="default"/>
        <w:lang w:val="en-US" w:eastAsia="en-US" w:bidi="ar-SA"/>
      </w:rPr>
    </w:lvl>
    <w:lvl w:ilvl="5" w:tplc="35D47946">
      <w:numFmt w:val="bullet"/>
      <w:lvlText w:val="•"/>
      <w:lvlJc w:val="left"/>
      <w:pPr>
        <w:ind w:left="6983" w:hanging="360"/>
      </w:pPr>
      <w:rPr>
        <w:rFonts w:hint="default"/>
        <w:lang w:val="en-US" w:eastAsia="en-US" w:bidi="ar-SA"/>
      </w:rPr>
    </w:lvl>
    <w:lvl w:ilvl="6" w:tplc="FB6AA05E">
      <w:numFmt w:val="bullet"/>
      <w:lvlText w:val="•"/>
      <w:lvlJc w:val="left"/>
      <w:pPr>
        <w:ind w:left="7959" w:hanging="360"/>
      </w:pPr>
      <w:rPr>
        <w:rFonts w:hint="default"/>
        <w:lang w:val="en-US" w:eastAsia="en-US" w:bidi="ar-SA"/>
      </w:rPr>
    </w:lvl>
    <w:lvl w:ilvl="7" w:tplc="9EA46522">
      <w:numFmt w:val="bullet"/>
      <w:lvlText w:val="•"/>
      <w:lvlJc w:val="left"/>
      <w:pPr>
        <w:ind w:left="8936" w:hanging="360"/>
      </w:pPr>
      <w:rPr>
        <w:rFonts w:hint="default"/>
        <w:lang w:val="en-US" w:eastAsia="en-US" w:bidi="ar-SA"/>
      </w:rPr>
    </w:lvl>
    <w:lvl w:ilvl="8" w:tplc="251636B4">
      <w:numFmt w:val="bullet"/>
      <w:lvlText w:val="•"/>
      <w:lvlJc w:val="left"/>
      <w:pPr>
        <w:ind w:left="9913" w:hanging="360"/>
      </w:pPr>
      <w:rPr>
        <w:rFonts w:hint="default"/>
        <w:lang w:val="en-US" w:eastAsia="en-US" w:bidi="ar-SA"/>
      </w:rPr>
    </w:lvl>
  </w:abstractNum>
  <w:abstractNum w:abstractNumId="127" w15:restartNumberingAfterBreak="0">
    <w:nsid w:val="53DA1BE9"/>
    <w:multiLevelType w:val="multilevel"/>
    <w:tmpl w:val="BCBC2646"/>
    <w:lvl w:ilvl="0">
      <w:start w:val="1"/>
      <w:numFmt w:val="decimal"/>
      <w:lvlText w:val="%1."/>
      <w:lvlJc w:val="left"/>
      <w:pPr>
        <w:ind w:left="2019" w:hanging="360"/>
      </w:pPr>
      <w:rPr>
        <w:rFonts w:ascii="Arial" w:eastAsia="Arial" w:hAnsi="Arial" w:cs="Arial" w:hint="default"/>
        <w:b/>
        <w:bCs/>
        <w:i w:val="0"/>
        <w:iCs w:val="0"/>
        <w:spacing w:val="0"/>
        <w:w w:val="100"/>
        <w:sz w:val="24"/>
        <w:szCs w:val="24"/>
        <w:lang w:val="en-US" w:eastAsia="en-US" w:bidi="ar-SA"/>
      </w:rPr>
    </w:lvl>
    <w:lvl w:ilvl="1">
      <w:start w:val="1"/>
      <w:numFmt w:val="decimal"/>
      <w:lvlText w:val="%1.%2"/>
      <w:lvlJc w:val="left"/>
      <w:pPr>
        <w:ind w:left="2302" w:hanging="567"/>
      </w:pPr>
      <w:rPr>
        <w:rFonts w:ascii="Arial" w:eastAsia="Arial" w:hAnsi="Arial" w:cs="Arial" w:hint="default"/>
        <w:b w:val="0"/>
        <w:bCs w:val="0"/>
        <w:i w:val="0"/>
        <w:iCs w:val="0"/>
        <w:spacing w:val="0"/>
        <w:w w:val="100"/>
        <w:sz w:val="24"/>
        <w:szCs w:val="24"/>
        <w:lang w:val="en-US" w:eastAsia="en-US" w:bidi="ar-SA"/>
      </w:rPr>
    </w:lvl>
    <w:lvl w:ilvl="2">
      <w:start w:val="1"/>
      <w:numFmt w:val="decimal"/>
      <w:lvlText w:val="%1.%2.%3"/>
      <w:lvlJc w:val="left"/>
      <w:pPr>
        <w:ind w:left="3279" w:hanging="720"/>
      </w:pPr>
      <w:rPr>
        <w:rFonts w:ascii="Arial" w:eastAsia="Arial" w:hAnsi="Arial" w:cs="Arial" w:hint="default"/>
        <w:b w:val="0"/>
        <w:bCs w:val="0"/>
        <w:i w:val="0"/>
        <w:iCs w:val="0"/>
        <w:spacing w:val="-2"/>
        <w:w w:val="100"/>
        <w:sz w:val="24"/>
        <w:szCs w:val="24"/>
        <w:lang w:val="en-US" w:eastAsia="en-US" w:bidi="ar-SA"/>
      </w:rPr>
    </w:lvl>
    <w:lvl w:ilvl="3">
      <w:start w:val="1"/>
      <w:numFmt w:val="lowerLetter"/>
      <w:lvlText w:val="(%4)"/>
      <w:lvlJc w:val="left"/>
      <w:pPr>
        <w:ind w:left="3819" w:hanging="365"/>
      </w:pPr>
      <w:rPr>
        <w:rFonts w:ascii="Calibri" w:eastAsia="Calibri" w:hAnsi="Calibri" w:cs="Calibri" w:hint="default"/>
        <w:b w:val="0"/>
        <w:bCs w:val="0"/>
        <w:i w:val="0"/>
        <w:iCs w:val="0"/>
        <w:spacing w:val="-1"/>
        <w:w w:val="100"/>
        <w:sz w:val="24"/>
        <w:szCs w:val="24"/>
        <w:lang w:val="en-US" w:eastAsia="en-US" w:bidi="ar-SA"/>
      </w:rPr>
    </w:lvl>
    <w:lvl w:ilvl="4">
      <w:numFmt w:val="bullet"/>
      <w:lvlText w:val="•"/>
      <w:lvlJc w:val="left"/>
      <w:pPr>
        <w:ind w:left="3640" w:hanging="365"/>
      </w:pPr>
      <w:rPr>
        <w:rFonts w:hint="default"/>
        <w:lang w:val="en-US" w:eastAsia="en-US" w:bidi="ar-SA"/>
      </w:rPr>
    </w:lvl>
    <w:lvl w:ilvl="5">
      <w:numFmt w:val="bullet"/>
      <w:lvlText w:val="•"/>
      <w:lvlJc w:val="left"/>
      <w:pPr>
        <w:ind w:left="3820" w:hanging="365"/>
      </w:pPr>
      <w:rPr>
        <w:rFonts w:hint="default"/>
        <w:lang w:val="en-US" w:eastAsia="en-US" w:bidi="ar-SA"/>
      </w:rPr>
    </w:lvl>
    <w:lvl w:ilvl="6">
      <w:numFmt w:val="bullet"/>
      <w:lvlText w:val="•"/>
      <w:lvlJc w:val="left"/>
      <w:pPr>
        <w:ind w:left="4640" w:hanging="365"/>
      </w:pPr>
      <w:rPr>
        <w:rFonts w:hint="default"/>
        <w:lang w:val="en-US" w:eastAsia="en-US" w:bidi="ar-SA"/>
      </w:rPr>
    </w:lvl>
    <w:lvl w:ilvl="7">
      <w:numFmt w:val="bullet"/>
      <w:lvlText w:val="•"/>
      <w:lvlJc w:val="left"/>
      <w:pPr>
        <w:ind w:left="6446" w:hanging="365"/>
      </w:pPr>
      <w:rPr>
        <w:rFonts w:hint="default"/>
        <w:lang w:val="en-US" w:eastAsia="en-US" w:bidi="ar-SA"/>
      </w:rPr>
    </w:lvl>
    <w:lvl w:ilvl="8">
      <w:numFmt w:val="bullet"/>
      <w:lvlText w:val="•"/>
      <w:lvlJc w:val="left"/>
      <w:pPr>
        <w:ind w:left="8253" w:hanging="365"/>
      </w:pPr>
      <w:rPr>
        <w:rFonts w:hint="default"/>
        <w:lang w:val="en-US" w:eastAsia="en-US" w:bidi="ar-SA"/>
      </w:rPr>
    </w:lvl>
  </w:abstractNum>
  <w:abstractNum w:abstractNumId="128" w15:restartNumberingAfterBreak="0">
    <w:nsid w:val="543B2F9B"/>
    <w:multiLevelType w:val="multilevel"/>
    <w:tmpl w:val="36BC3C9A"/>
    <w:lvl w:ilvl="0">
      <w:start w:val="1"/>
      <w:numFmt w:val="decimal"/>
      <w:lvlRestart w:val="0"/>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129" w15:restartNumberingAfterBreak="0">
    <w:nsid w:val="54B8643D"/>
    <w:multiLevelType w:val="hybridMultilevel"/>
    <w:tmpl w:val="7AA81BF4"/>
    <w:lvl w:ilvl="0" w:tplc="BB96E77A">
      <w:numFmt w:val="bullet"/>
      <w:lvlText w:val="-"/>
      <w:lvlJc w:val="left"/>
      <w:pPr>
        <w:ind w:left="109" w:hanging="118"/>
      </w:pPr>
      <w:rPr>
        <w:rFonts w:ascii="Calibri" w:eastAsia="Calibri" w:hAnsi="Calibri" w:cs="Calibri" w:hint="default"/>
        <w:b w:val="0"/>
        <w:bCs w:val="0"/>
        <w:i w:val="0"/>
        <w:iCs w:val="0"/>
        <w:spacing w:val="0"/>
        <w:w w:val="100"/>
        <w:sz w:val="22"/>
        <w:szCs w:val="22"/>
        <w:lang w:val="en-US" w:eastAsia="en-US" w:bidi="ar-SA"/>
      </w:rPr>
    </w:lvl>
    <w:lvl w:ilvl="1" w:tplc="FB22D9AA">
      <w:numFmt w:val="bullet"/>
      <w:lvlText w:val="•"/>
      <w:lvlJc w:val="left"/>
      <w:pPr>
        <w:ind w:left="387" w:hanging="118"/>
      </w:pPr>
      <w:rPr>
        <w:rFonts w:hint="default"/>
        <w:lang w:val="en-US" w:eastAsia="en-US" w:bidi="ar-SA"/>
      </w:rPr>
    </w:lvl>
    <w:lvl w:ilvl="2" w:tplc="EE52815A">
      <w:numFmt w:val="bullet"/>
      <w:lvlText w:val="•"/>
      <w:lvlJc w:val="left"/>
      <w:pPr>
        <w:ind w:left="675" w:hanging="118"/>
      </w:pPr>
      <w:rPr>
        <w:rFonts w:hint="default"/>
        <w:lang w:val="en-US" w:eastAsia="en-US" w:bidi="ar-SA"/>
      </w:rPr>
    </w:lvl>
    <w:lvl w:ilvl="3" w:tplc="F0D81FAE">
      <w:numFmt w:val="bullet"/>
      <w:lvlText w:val="•"/>
      <w:lvlJc w:val="left"/>
      <w:pPr>
        <w:ind w:left="963" w:hanging="118"/>
      </w:pPr>
      <w:rPr>
        <w:rFonts w:hint="default"/>
        <w:lang w:val="en-US" w:eastAsia="en-US" w:bidi="ar-SA"/>
      </w:rPr>
    </w:lvl>
    <w:lvl w:ilvl="4" w:tplc="9F726E74">
      <w:numFmt w:val="bullet"/>
      <w:lvlText w:val="•"/>
      <w:lvlJc w:val="left"/>
      <w:pPr>
        <w:ind w:left="1251" w:hanging="118"/>
      </w:pPr>
      <w:rPr>
        <w:rFonts w:hint="default"/>
        <w:lang w:val="en-US" w:eastAsia="en-US" w:bidi="ar-SA"/>
      </w:rPr>
    </w:lvl>
    <w:lvl w:ilvl="5" w:tplc="DA58226A">
      <w:numFmt w:val="bullet"/>
      <w:lvlText w:val="•"/>
      <w:lvlJc w:val="left"/>
      <w:pPr>
        <w:ind w:left="1539" w:hanging="118"/>
      </w:pPr>
      <w:rPr>
        <w:rFonts w:hint="default"/>
        <w:lang w:val="en-US" w:eastAsia="en-US" w:bidi="ar-SA"/>
      </w:rPr>
    </w:lvl>
    <w:lvl w:ilvl="6" w:tplc="B24EE71C">
      <w:numFmt w:val="bullet"/>
      <w:lvlText w:val="•"/>
      <w:lvlJc w:val="left"/>
      <w:pPr>
        <w:ind w:left="1826" w:hanging="118"/>
      </w:pPr>
      <w:rPr>
        <w:rFonts w:hint="default"/>
        <w:lang w:val="en-US" w:eastAsia="en-US" w:bidi="ar-SA"/>
      </w:rPr>
    </w:lvl>
    <w:lvl w:ilvl="7" w:tplc="CFCC5AB0">
      <w:numFmt w:val="bullet"/>
      <w:lvlText w:val="•"/>
      <w:lvlJc w:val="left"/>
      <w:pPr>
        <w:ind w:left="2114" w:hanging="118"/>
      </w:pPr>
      <w:rPr>
        <w:rFonts w:hint="default"/>
        <w:lang w:val="en-US" w:eastAsia="en-US" w:bidi="ar-SA"/>
      </w:rPr>
    </w:lvl>
    <w:lvl w:ilvl="8" w:tplc="743A3000">
      <w:numFmt w:val="bullet"/>
      <w:lvlText w:val="•"/>
      <w:lvlJc w:val="left"/>
      <w:pPr>
        <w:ind w:left="2402" w:hanging="118"/>
      </w:pPr>
      <w:rPr>
        <w:rFonts w:hint="default"/>
        <w:lang w:val="en-US" w:eastAsia="en-US" w:bidi="ar-SA"/>
      </w:rPr>
    </w:lvl>
  </w:abstractNum>
  <w:abstractNum w:abstractNumId="130" w15:restartNumberingAfterBreak="0">
    <w:nsid w:val="54D5348A"/>
    <w:multiLevelType w:val="hybridMultilevel"/>
    <w:tmpl w:val="8A6A94F0"/>
    <w:lvl w:ilvl="0" w:tplc="27BA91A2">
      <w:start w:val="1"/>
      <w:numFmt w:val="lowerLetter"/>
      <w:lvlText w:val="(%1)"/>
      <w:lvlJc w:val="left"/>
      <w:pPr>
        <w:ind w:left="1494" w:hanging="428"/>
      </w:pPr>
      <w:rPr>
        <w:rFonts w:ascii="Calibri" w:eastAsia="Calibri" w:hAnsi="Calibri" w:cs="Calibri" w:hint="default"/>
        <w:b w:val="0"/>
        <w:bCs w:val="0"/>
        <w:i w:val="0"/>
        <w:iCs w:val="0"/>
        <w:spacing w:val="-1"/>
        <w:w w:val="100"/>
        <w:sz w:val="24"/>
        <w:szCs w:val="24"/>
        <w:lang w:val="en-US" w:eastAsia="en-US" w:bidi="ar-SA"/>
      </w:rPr>
    </w:lvl>
    <w:lvl w:ilvl="1" w:tplc="67CC8824">
      <w:numFmt w:val="bullet"/>
      <w:lvlText w:val="•"/>
      <w:lvlJc w:val="left"/>
      <w:pPr>
        <w:ind w:left="2536" w:hanging="428"/>
      </w:pPr>
      <w:rPr>
        <w:rFonts w:hint="default"/>
        <w:lang w:val="en-US" w:eastAsia="en-US" w:bidi="ar-SA"/>
      </w:rPr>
    </w:lvl>
    <w:lvl w:ilvl="2" w:tplc="6106BF70">
      <w:numFmt w:val="bullet"/>
      <w:lvlText w:val="•"/>
      <w:lvlJc w:val="left"/>
      <w:pPr>
        <w:ind w:left="3573" w:hanging="428"/>
      </w:pPr>
      <w:rPr>
        <w:rFonts w:hint="default"/>
        <w:lang w:val="en-US" w:eastAsia="en-US" w:bidi="ar-SA"/>
      </w:rPr>
    </w:lvl>
    <w:lvl w:ilvl="3" w:tplc="A786337C">
      <w:numFmt w:val="bullet"/>
      <w:lvlText w:val="•"/>
      <w:lvlJc w:val="left"/>
      <w:pPr>
        <w:ind w:left="4609" w:hanging="428"/>
      </w:pPr>
      <w:rPr>
        <w:rFonts w:hint="default"/>
        <w:lang w:val="en-US" w:eastAsia="en-US" w:bidi="ar-SA"/>
      </w:rPr>
    </w:lvl>
    <w:lvl w:ilvl="4" w:tplc="9E22308A">
      <w:numFmt w:val="bullet"/>
      <w:lvlText w:val="•"/>
      <w:lvlJc w:val="left"/>
      <w:pPr>
        <w:ind w:left="5646" w:hanging="428"/>
      </w:pPr>
      <w:rPr>
        <w:rFonts w:hint="default"/>
        <w:lang w:val="en-US" w:eastAsia="en-US" w:bidi="ar-SA"/>
      </w:rPr>
    </w:lvl>
    <w:lvl w:ilvl="5" w:tplc="7DBC1D88">
      <w:numFmt w:val="bullet"/>
      <w:lvlText w:val="•"/>
      <w:lvlJc w:val="left"/>
      <w:pPr>
        <w:ind w:left="6683" w:hanging="428"/>
      </w:pPr>
      <w:rPr>
        <w:rFonts w:hint="default"/>
        <w:lang w:val="en-US" w:eastAsia="en-US" w:bidi="ar-SA"/>
      </w:rPr>
    </w:lvl>
    <w:lvl w:ilvl="6" w:tplc="5C326D78">
      <w:numFmt w:val="bullet"/>
      <w:lvlText w:val="•"/>
      <w:lvlJc w:val="left"/>
      <w:pPr>
        <w:ind w:left="7719" w:hanging="428"/>
      </w:pPr>
      <w:rPr>
        <w:rFonts w:hint="default"/>
        <w:lang w:val="en-US" w:eastAsia="en-US" w:bidi="ar-SA"/>
      </w:rPr>
    </w:lvl>
    <w:lvl w:ilvl="7" w:tplc="F2BA6384">
      <w:numFmt w:val="bullet"/>
      <w:lvlText w:val="•"/>
      <w:lvlJc w:val="left"/>
      <w:pPr>
        <w:ind w:left="8756" w:hanging="428"/>
      </w:pPr>
      <w:rPr>
        <w:rFonts w:hint="default"/>
        <w:lang w:val="en-US" w:eastAsia="en-US" w:bidi="ar-SA"/>
      </w:rPr>
    </w:lvl>
    <w:lvl w:ilvl="8" w:tplc="5DE8F5FA">
      <w:numFmt w:val="bullet"/>
      <w:lvlText w:val="•"/>
      <w:lvlJc w:val="left"/>
      <w:pPr>
        <w:ind w:left="9793" w:hanging="428"/>
      </w:pPr>
      <w:rPr>
        <w:rFonts w:hint="default"/>
        <w:lang w:val="en-US" w:eastAsia="en-US" w:bidi="ar-SA"/>
      </w:rPr>
    </w:lvl>
  </w:abstractNum>
  <w:abstractNum w:abstractNumId="131" w15:restartNumberingAfterBreak="0">
    <w:nsid w:val="558C1467"/>
    <w:multiLevelType w:val="hybridMultilevel"/>
    <w:tmpl w:val="B3348286"/>
    <w:lvl w:ilvl="0" w:tplc="DC986620">
      <w:start w:val="1"/>
      <w:numFmt w:val="lowerLetter"/>
      <w:lvlText w:val="(%1)"/>
      <w:lvlJc w:val="left"/>
      <w:pPr>
        <w:ind w:left="1494" w:hanging="428"/>
      </w:pPr>
      <w:rPr>
        <w:rFonts w:ascii="Calibri" w:eastAsia="Calibri" w:hAnsi="Calibri" w:cs="Calibri" w:hint="default"/>
        <w:b w:val="0"/>
        <w:bCs w:val="0"/>
        <w:i w:val="0"/>
        <w:iCs w:val="0"/>
        <w:spacing w:val="-1"/>
        <w:w w:val="100"/>
        <w:sz w:val="24"/>
        <w:szCs w:val="24"/>
        <w:lang w:val="en-US" w:eastAsia="en-US" w:bidi="ar-SA"/>
      </w:rPr>
    </w:lvl>
    <w:lvl w:ilvl="1" w:tplc="48B82EC4">
      <w:numFmt w:val="bullet"/>
      <w:lvlText w:val="•"/>
      <w:lvlJc w:val="left"/>
      <w:pPr>
        <w:ind w:left="2536" w:hanging="428"/>
      </w:pPr>
      <w:rPr>
        <w:rFonts w:hint="default"/>
        <w:lang w:val="en-US" w:eastAsia="en-US" w:bidi="ar-SA"/>
      </w:rPr>
    </w:lvl>
    <w:lvl w:ilvl="2" w:tplc="8B769D04">
      <w:numFmt w:val="bullet"/>
      <w:lvlText w:val="•"/>
      <w:lvlJc w:val="left"/>
      <w:pPr>
        <w:ind w:left="3573" w:hanging="428"/>
      </w:pPr>
      <w:rPr>
        <w:rFonts w:hint="default"/>
        <w:lang w:val="en-US" w:eastAsia="en-US" w:bidi="ar-SA"/>
      </w:rPr>
    </w:lvl>
    <w:lvl w:ilvl="3" w:tplc="21E4A0B0">
      <w:numFmt w:val="bullet"/>
      <w:lvlText w:val="•"/>
      <w:lvlJc w:val="left"/>
      <w:pPr>
        <w:ind w:left="4609" w:hanging="428"/>
      </w:pPr>
      <w:rPr>
        <w:rFonts w:hint="default"/>
        <w:lang w:val="en-US" w:eastAsia="en-US" w:bidi="ar-SA"/>
      </w:rPr>
    </w:lvl>
    <w:lvl w:ilvl="4" w:tplc="24BEDF50">
      <w:numFmt w:val="bullet"/>
      <w:lvlText w:val="•"/>
      <w:lvlJc w:val="left"/>
      <w:pPr>
        <w:ind w:left="5646" w:hanging="428"/>
      </w:pPr>
      <w:rPr>
        <w:rFonts w:hint="default"/>
        <w:lang w:val="en-US" w:eastAsia="en-US" w:bidi="ar-SA"/>
      </w:rPr>
    </w:lvl>
    <w:lvl w:ilvl="5" w:tplc="B2D4F512">
      <w:numFmt w:val="bullet"/>
      <w:lvlText w:val="•"/>
      <w:lvlJc w:val="left"/>
      <w:pPr>
        <w:ind w:left="6683" w:hanging="428"/>
      </w:pPr>
      <w:rPr>
        <w:rFonts w:hint="default"/>
        <w:lang w:val="en-US" w:eastAsia="en-US" w:bidi="ar-SA"/>
      </w:rPr>
    </w:lvl>
    <w:lvl w:ilvl="6" w:tplc="781E8C08">
      <w:numFmt w:val="bullet"/>
      <w:lvlText w:val="•"/>
      <w:lvlJc w:val="left"/>
      <w:pPr>
        <w:ind w:left="7719" w:hanging="428"/>
      </w:pPr>
      <w:rPr>
        <w:rFonts w:hint="default"/>
        <w:lang w:val="en-US" w:eastAsia="en-US" w:bidi="ar-SA"/>
      </w:rPr>
    </w:lvl>
    <w:lvl w:ilvl="7" w:tplc="98E06A90">
      <w:numFmt w:val="bullet"/>
      <w:lvlText w:val="•"/>
      <w:lvlJc w:val="left"/>
      <w:pPr>
        <w:ind w:left="8756" w:hanging="428"/>
      </w:pPr>
      <w:rPr>
        <w:rFonts w:hint="default"/>
        <w:lang w:val="en-US" w:eastAsia="en-US" w:bidi="ar-SA"/>
      </w:rPr>
    </w:lvl>
    <w:lvl w:ilvl="8" w:tplc="ADC60448">
      <w:numFmt w:val="bullet"/>
      <w:lvlText w:val="•"/>
      <w:lvlJc w:val="left"/>
      <w:pPr>
        <w:ind w:left="9793" w:hanging="428"/>
      </w:pPr>
      <w:rPr>
        <w:rFonts w:hint="default"/>
        <w:lang w:val="en-US" w:eastAsia="en-US" w:bidi="ar-SA"/>
      </w:rPr>
    </w:lvl>
  </w:abstractNum>
  <w:abstractNum w:abstractNumId="132" w15:restartNumberingAfterBreak="0">
    <w:nsid w:val="55B00C47"/>
    <w:multiLevelType w:val="hybridMultilevel"/>
    <w:tmpl w:val="72408738"/>
    <w:lvl w:ilvl="0" w:tplc="EA848CBE">
      <w:start w:val="1"/>
      <w:numFmt w:val="decimal"/>
      <w:lvlText w:val="%1."/>
      <w:lvlJc w:val="left"/>
      <w:pPr>
        <w:ind w:left="2120" w:hanging="360"/>
      </w:pPr>
      <w:rPr>
        <w:rFonts w:ascii="Arial" w:eastAsia="Arial" w:hAnsi="Arial" w:cs="Arial" w:hint="default"/>
        <w:b w:val="0"/>
        <w:bCs w:val="0"/>
        <w:i w:val="0"/>
        <w:iCs w:val="0"/>
        <w:spacing w:val="0"/>
        <w:w w:val="100"/>
        <w:sz w:val="24"/>
        <w:szCs w:val="24"/>
        <w:lang w:val="en-US" w:eastAsia="en-US" w:bidi="ar-SA"/>
      </w:rPr>
    </w:lvl>
    <w:lvl w:ilvl="1" w:tplc="BEC8894E">
      <w:start w:val="1"/>
      <w:numFmt w:val="lowerLetter"/>
      <w:lvlText w:val="%2)"/>
      <w:lvlJc w:val="left"/>
      <w:pPr>
        <w:ind w:left="2091" w:hanging="360"/>
      </w:pPr>
      <w:rPr>
        <w:rFonts w:ascii="Arial" w:eastAsia="Arial" w:hAnsi="Arial" w:cs="Arial" w:hint="default"/>
        <w:b w:val="0"/>
        <w:bCs w:val="0"/>
        <w:i w:val="0"/>
        <w:iCs w:val="0"/>
        <w:spacing w:val="0"/>
        <w:w w:val="100"/>
        <w:sz w:val="24"/>
        <w:szCs w:val="24"/>
        <w:lang w:val="en-US" w:eastAsia="en-US" w:bidi="ar-SA"/>
      </w:rPr>
    </w:lvl>
    <w:lvl w:ilvl="2" w:tplc="F2C4EB9E">
      <w:numFmt w:val="bullet"/>
      <w:lvlText w:val="o"/>
      <w:lvlJc w:val="left"/>
      <w:pPr>
        <w:ind w:left="2811" w:hanging="360"/>
      </w:pPr>
      <w:rPr>
        <w:rFonts w:ascii="Courier New" w:eastAsia="Courier New" w:hAnsi="Courier New" w:cs="Courier New" w:hint="default"/>
        <w:b w:val="0"/>
        <w:bCs w:val="0"/>
        <w:i w:val="0"/>
        <w:iCs w:val="0"/>
        <w:spacing w:val="0"/>
        <w:w w:val="100"/>
        <w:sz w:val="24"/>
        <w:szCs w:val="24"/>
        <w:lang w:val="en-US" w:eastAsia="en-US" w:bidi="ar-SA"/>
      </w:rPr>
    </w:lvl>
    <w:lvl w:ilvl="3" w:tplc="960A9FDC">
      <w:numFmt w:val="bullet"/>
      <w:lvlText w:val="•"/>
      <w:lvlJc w:val="left"/>
      <w:pPr>
        <w:ind w:left="3950" w:hanging="360"/>
      </w:pPr>
      <w:rPr>
        <w:rFonts w:hint="default"/>
        <w:lang w:val="en-US" w:eastAsia="en-US" w:bidi="ar-SA"/>
      </w:rPr>
    </w:lvl>
    <w:lvl w:ilvl="4" w:tplc="46660D28">
      <w:numFmt w:val="bullet"/>
      <w:lvlText w:val="•"/>
      <w:lvlJc w:val="left"/>
      <w:pPr>
        <w:ind w:left="5081" w:hanging="360"/>
      </w:pPr>
      <w:rPr>
        <w:rFonts w:hint="default"/>
        <w:lang w:val="en-US" w:eastAsia="en-US" w:bidi="ar-SA"/>
      </w:rPr>
    </w:lvl>
    <w:lvl w:ilvl="5" w:tplc="07CECDC0">
      <w:numFmt w:val="bullet"/>
      <w:lvlText w:val="•"/>
      <w:lvlJc w:val="left"/>
      <w:pPr>
        <w:ind w:left="6212" w:hanging="360"/>
      </w:pPr>
      <w:rPr>
        <w:rFonts w:hint="default"/>
        <w:lang w:val="en-US" w:eastAsia="en-US" w:bidi="ar-SA"/>
      </w:rPr>
    </w:lvl>
    <w:lvl w:ilvl="6" w:tplc="DE2CC156">
      <w:numFmt w:val="bullet"/>
      <w:lvlText w:val="•"/>
      <w:lvlJc w:val="left"/>
      <w:pPr>
        <w:ind w:left="7343" w:hanging="360"/>
      </w:pPr>
      <w:rPr>
        <w:rFonts w:hint="default"/>
        <w:lang w:val="en-US" w:eastAsia="en-US" w:bidi="ar-SA"/>
      </w:rPr>
    </w:lvl>
    <w:lvl w:ilvl="7" w:tplc="9E746810">
      <w:numFmt w:val="bullet"/>
      <w:lvlText w:val="•"/>
      <w:lvlJc w:val="left"/>
      <w:pPr>
        <w:ind w:left="8474" w:hanging="360"/>
      </w:pPr>
      <w:rPr>
        <w:rFonts w:hint="default"/>
        <w:lang w:val="en-US" w:eastAsia="en-US" w:bidi="ar-SA"/>
      </w:rPr>
    </w:lvl>
    <w:lvl w:ilvl="8" w:tplc="A68E35B8">
      <w:numFmt w:val="bullet"/>
      <w:lvlText w:val="•"/>
      <w:lvlJc w:val="left"/>
      <w:pPr>
        <w:ind w:left="9604" w:hanging="360"/>
      </w:pPr>
      <w:rPr>
        <w:rFonts w:hint="default"/>
        <w:lang w:val="en-US" w:eastAsia="en-US" w:bidi="ar-SA"/>
      </w:rPr>
    </w:lvl>
  </w:abstractNum>
  <w:abstractNum w:abstractNumId="133" w15:restartNumberingAfterBreak="0">
    <w:nsid w:val="55DC337C"/>
    <w:multiLevelType w:val="hybridMultilevel"/>
    <w:tmpl w:val="D01C7146"/>
    <w:lvl w:ilvl="0" w:tplc="1FC87BB4">
      <w:start w:val="1"/>
      <w:numFmt w:val="lowerLetter"/>
      <w:lvlText w:val="(%1)"/>
      <w:lvlJc w:val="left"/>
      <w:pPr>
        <w:ind w:left="1494" w:hanging="428"/>
      </w:pPr>
      <w:rPr>
        <w:rFonts w:ascii="Calibri" w:eastAsia="Calibri" w:hAnsi="Calibri" w:cs="Calibri" w:hint="default"/>
        <w:b w:val="0"/>
        <w:bCs w:val="0"/>
        <w:i w:val="0"/>
        <w:iCs w:val="0"/>
        <w:spacing w:val="-1"/>
        <w:w w:val="100"/>
        <w:sz w:val="24"/>
        <w:szCs w:val="24"/>
        <w:lang w:val="en-US" w:eastAsia="en-US" w:bidi="ar-SA"/>
      </w:rPr>
    </w:lvl>
    <w:lvl w:ilvl="1" w:tplc="2F5E70A0">
      <w:numFmt w:val="bullet"/>
      <w:lvlText w:val="•"/>
      <w:lvlJc w:val="left"/>
      <w:pPr>
        <w:ind w:left="2536" w:hanging="428"/>
      </w:pPr>
      <w:rPr>
        <w:rFonts w:hint="default"/>
        <w:lang w:val="en-US" w:eastAsia="en-US" w:bidi="ar-SA"/>
      </w:rPr>
    </w:lvl>
    <w:lvl w:ilvl="2" w:tplc="042A20C4">
      <w:numFmt w:val="bullet"/>
      <w:lvlText w:val="•"/>
      <w:lvlJc w:val="left"/>
      <w:pPr>
        <w:ind w:left="3573" w:hanging="428"/>
      </w:pPr>
      <w:rPr>
        <w:rFonts w:hint="default"/>
        <w:lang w:val="en-US" w:eastAsia="en-US" w:bidi="ar-SA"/>
      </w:rPr>
    </w:lvl>
    <w:lvl w:ilvl="3" w:tplc="601A5364">
      <w:numFmt w:val="bullet"/>
      <w:lvlText w:val="•"/>
      <w:lvlJc w:val="left"/>
      <w:pPr>
        <w:ind w:left="4609" w:hanging="428"/>
      </w:pPr>
      <w:rPr>
        <w:rFonts w:hint="default"/>
        <w:lang w:val="en-US" w:eastAsia="en-US" w:bidi="ar-SA"/>
      </w:rPr>
    </w:lvl>
    <w:lvl w:ilvl="4" w:tplc="A42A7C2E">
      <w:numFmt w:val="bullet"/>
      <w:lvlText w:val="•"/>
      <w:lvlJc w:val="left"/>
      <w:pPr>
        <w:ind w:left="5646" w:hanging="428"/>
      </w:pPr>
      <w:rPr>
        <w:rFonts w:hint="default"/>
        <w:lang w:val="en-US" w:eastAsia="en-US" w:bidi="ar-SA"/>
      </w:rPr>
    </w:lvl>
    <w:lvl w:ilvl="5" w:tplc="5148C058">
      <w:numFmt w:val="bullet"/>
      <w:lvlText w:val="•"/>
      <w:lvlJc w:val="left"/>
      <w:pPr>
        <w:ind w:left="6683" w:hanging="428"/>
      </w:pPr>
      <w:rPr>
        <w:rFonts w:hint="default"/>
        <w:lang w:val="en-US" w:eastAsia="en-US" w:bidi="ar-SA"/>
      </w:rPr>
    </w:lvl>
    <w:lvl w:ilvl="6" w:tplc="7B1669E0">
      <w:numFmt w:val="bullet"/>
      <w:lvlText w:val="•"/>
      <w:lvlJc w:val="left"/>
      <w:pPr>
        <w:ind w:left="7719" w:hanging="428"/>
      </w:pPr>
      <w:rPr>
        <w:rFonts w:hint="default"/>
        <w:lang w:val="en-US" w:eastAsia="en-US" w:bidi="ar-SA"/>
      </w:rPr>
    </w:lvl>
    <w:lvl w:ilvl="7" w:tplc="209A1C64">
      <w:numFmt w:val="bullet"/>
      <w:lvlText w:val="•"/>
      <w:lvlJc w:val="left"/>
      <w:pPr>
        <w:ind w:left="8756" w:hanging="428"/>
      </w:pPr>
      <w:rPr>
        <w:rFonts w:hint="default"/>
        <w:lang w:val="en-US" w:eastAsia="en-US" w:bidi="ar-SA"/>
      </w:rPr>
    </w:lvl>
    <w:lvl w:ilvl="8" w:tplc="AC42E67C">
      <w:numFmt w:val="bullet"/>
      <w:lvlText w:val="•"/>
      <w:lvlJc w:val="left"/>
      <w:pPr>
        <w:ind w:left="9793" w:hanging="428"/>
      </w:pPr>
      <w:rPr>
        <w:rFonts w:hint="default"/>
        <w:lang w:val="en-US" w:eastAsia="en-US" w:bidi="ar-SA"/>
      </w:rPr>
    </w:lvl>
  </w:abstractNum>
  <w:abstractNum w:abstractNumId="134" w15:restartNumberingAfterBreak="0">
    <w:nsid w:val="56AD7D6C"/>
    <w:multiLevelType w:val="hybridMultilevel"/>
    <w:tmpl w:val="C7A6CB64"/>
    <w:lvl w:ilvl="0" w:tplc="35648530">
      <w:start w:val="37"/>
      <w:numFmt w:val="lowerLetter"/>
      <w:lvlText w:val="%1)"/>
      <w:lvlJc w:val="left"/>
      <w:pPr>
        <w:ind w:left="539" w:hanging="576"/>
      </w:pPr>
      <w:rPr>
        <w:rFonts w:ascii="Arial" w:eastAsia="Arial" w:hAnsi="Arial" w:cs="Arial" w:hint="default"/>
        <w:b w:val="0"/>
        <w:bCs w:val="0"/>
        <w:i w:val="0"/>
        <w:iCs w:val="0"/>
        <w:spacing w:val="0"/>
        <w:w w:val="99"/>
        <w:sz w:val="24"/>
        <w:szCs w:val="24"/>
        <w:lang w:val="en-US" w:eastAsia="en-US" w:bidi="ar-SA"/>
      </w:rPr>
    </w:lvl>
    <w:lvl w:ilvl="1" w:tplc="24541A36">
      <w:numFmt w:val="bullet"/>
      <w:lvlText w:val="•"/>
      <w:lvlJc w:val="left"/>
      <w:pPr>
        <w:ind w:left="1233" w:hanging="576"/>
      </w:pPr>
      <w:rPr>
        <w:rFonts w:hint="default"/>
        <w:lang w:val="en-US" w:eastAsia="en-US" w:bidi="ar-SA"/>
      </w:rPr>
    </w:lvl>
    <w:lvl w:ilvl="2" w:tplc="CA103E8E">
      <w:numFmt w:val="bullet"/>
      <w:lvlText w:val="•"/>
      <w:lvlJc w:val="left"/>
      <w:pPr>
        <w:ind w:left="1926" w:hanging="576"/>
      </w:pPr>
      <w:rPr>
        <w:rFonts w:hint="default"/>
        <w:lang w:val="en-US" w:eastAsia="en-US" w:bidi="ar-SA"/>
      </w:rPr>
    </w:lvl>
    <w:lvl w:ilvl="3" w:tplc="5574D08E">
      <w:numFmt w:val="bullet"/>
      <w:lvlText w:val="•"/>
      <w:lvlJc w:val="left"/>
      <w:pPr>
        <w:ind w:left="2620" w:hanging="576"/>
      </w:pPr>
      <w:rPr>
        <w:rFonts w:hint="default"/>
        <w:lang w:val="en-US" w:eastAsia="en-US" w:bidi="ar-SA"/>
      </w:rPr>
    </w:lvl>
    <w:lvl w:ilvl="4" w:tplc="6E18FC16">
      <w:numFmt w:val="bullet"/>
      <w:lvlText w:val="•"/>
      <w:lvlJc w:val="left"/>
      <w:pPr>
        <w:ind w:left="3313" w:hanging="576"/>
      </w:pPr>
      <w:rPr>
        <w:rFonts w:hint="default"/>
        <w:lang w:val="en-US" w:eastAsia="en-US" w:bidi="ar-SA"/>
      </w:rPr>
    </w:lvl>
    <w:lvl w:ilvl="5" w:tplc="6B1A2704">
      <w:numFmt w:val="bullet"/>
      <w:lvlText w:val="•"/>
      <w:lvlJc w:val="left"/>
      <w:pPr>
        <w:ind w:left="4007" w:hanging="576"/>
      </w:pPr>
      <w:rPr>
        <w:rFonts w:hint="default"/>
        <w:lang w:val="en-US" w:eastAsia="en-US" w:bidi="ar-SA"/>
      </w:rPr>
    </w:lvl>
    <w:lvl w:ilvl="6" w:tplc="484874E4">
      <w:numFmt w:val="bullet"/>
      <w:lvlText w:val="•"/>
      <w:lvlJc w:val="left"/>
      <w:pPr>
        <w:ind w:left="4700" w:hanging="576"/>
      </w:pPr>
      <w:rPr>
        <w:rFonts w:hint="default"/>
        <w:lang w:val="en-US" w:eastAsia="en-US" w:bidi="ar-SA"/>
      </w:rPr>
    </w:lvl>
    <w:lvl w:ilvl="7" w:tplc="D846ADEE">
      <w:numFmt w:val="bullet"/>
      <w:lvlText w:val="•"/>
      <w:lvlJc w:val="left"/>
      <w:pPr>
        <w:ind w:left="5393" w:hanging="576"/>
      </w:pPr>
      <w:rPr>
        <w:rFonts w:hint="default"/>
        <w:lang w:val="en-US" w:eastAsia="en-US" w:bidi="ar-SA"/>
      </w:rPr>
    </w:lvl>
    <w:lvl w:ilvl="8" w:tplc="371825FC">
      <w:numFmt w:val="bullet"/>
      <w:lvlText w:val="•"/>
      <w:lvlJc w:val="left"/>
      <w:pPr>
        <w:ind w:left="6087" w:hanging="576"/>
      </w:pPr>
      <w:rPr>
        <w:rFonts w:hint="default"/>
        <w:lang w:val="en-US" w:eastAsia="en-US" w:bidi="ar-SA"/>
      </w:rPr>
    </w:lvl>
  </w:abstractNum>
  <w:abstractNum w:abstractNumId="135" w15:restartNumberingAfterBreak="0">
    <w:nsid w:val="56F36B64"/>
    <w:multiLevelType w:val="multilevel"/>
    <w:tmpl w:val="7062D670"/>
    <w:lvl w:ilvl="0">
      <w:start w:val="1"/>
      <w:numFmt w:val="decimal"/>
      <w:lvlText w:val="%1."/>
      <w:lvlJc w:val="left"/>
      <w:pPr>
        <w:ind w:left="2120" w:hanging="480"/>
      </w:pPr>
      <w:rPr>
        <w:rFonts w:ascii="Arial" w:eastAsia="Arial" w:hAnsi="Arial" w:cs="Arial" w:hint="default"/>
        <w:b/>
        <w:bCs/>
        <w:i w:val="0"/>
        <w:iCs w:val="0"/>
        <w:color w:val="0000FF"/>
        <w:spacing w:val="0"/>
        <w:w w:val="90"/>
        <w:sz w:val="24"/>
        <w:szCs w:val="24"/>
        <w:u w:val="single" w:color="0000FF"/>
        <w:lang w:val="en-US" w:eastAsia="en-US" w:bidi="ar-SA"/>
      </w:rPr>
    </w:lvl>
    <w:lvl w:ilvl="1">
      <w:start w:val="1"/>
      <w:numFmt w:val="decimal"/>
      <w:lvlText w:val="%1.%2"/>
      <w:lvlJc w:val="left"/>
      <w:pPr>
        <w:ind w:left="2040" w:hanging="401"/>
      </w:pPr>
      <w:rPr>
        <w:rFonts w:ascii="Arial" w:eastAsia="Arial" w:hAnsi="Arial" w:cs="Arial" w:hint="default"/>
        <w:b/>
        <w:bCs/>
        <w:i w:val="0"/>
        <w:iCs w:val="0"/>
        <w:color w:val="0000FF"/>
        <w:spacing w:val="0"/>
        <w:w w:val="94"/>
        <w:sz w:val="24"/>
        <w:szCs w:val="24"/>
        <w:u w:val="single" w:color="0000FF"/>
        <w:lang w:val="en-US" w:eastAsia="en-US" w:bidi="ar-SA"/>
      </w:rPr>
    </w:lvl>
    <w:lvl w:ilvl="2">
      <w:numFmt w:val="bullet"/>
      <w:lvlText w:val="•"/>
      <w:lvlJc w:val="left"/>
      <w:pPr>
        <w:ind w:left="3202" w:hanging="401"/>
      </w:pPr>
      <w:rPr>
        <w:rFonts w:hint="default"/>
        <w:lang w:val="en-US" w:eastAsia="en-US" w:bidi="ar-SA"/>
      </w:rPr>
    </w:lvl>
    <w:lvl w:ilvl="3">
      <w:numFmt w:val="bullet"/>
      <w:lvlText w:val="•"/>
      <w:lvlJc w:val="left"/>
      <w:pPr>
        <w:ind w:left="4285" w:hanging="401"/>
      </w:pPr>
      <w:rPr>
        <w:rFonts w:hint="default"/>
        <w:lang w:val="en-US" w:eastAsia="en-US" w:bidi="ar-SA"/>
      </w:rPr>
    </w:lvl>
    <w:lvl w:ilvl="4">
      <w:numFmt w:val="bullet"/>
      <w:lvlText w:val="•"/>
      <w:lvlJc w:val="left"/>
      <w:pPr>
        <w:ind w:left="5368" w:hanging="401"/>
      </w:pPr>
      <w:rPr>
        <w:rFonts w:hint="default"/>
        <w:lang w:val="en-US" w:eastAsia="en-US" w:bidi="ar-SA"/>
      </w:rPr>
    </w:lvl>
    <w:lvl w:ilvl="5">
      <w:numFmt w:val="bullet"/>
      <w:lvlText w:val="•"/>
      <w:lvlJc w:val="left"/>
      <w:pPr>
        <w:ind w:left="6451" w:hanging="401"/>
      </w:pPr>
      <w:rPr>
        <w:rFonts w:hint="default"/>
        <w:lang w:val="en-US" w:eastAsia="en-US" w:bidi="ar-SA"/>
      </w:rPr>
    </w:lvl>
    <w:lvl w:ilvl="6">
      <w:numFmt w:val="bullet"/>
      <w:lvlText w:val="•"/>
      <w:lvlJc w:val="left"/>
      <w:pPr>
        <w:ind w:left="7534" w:hanging="401"/>
      </w:pPr>
      <w:rPr>
        <w:rFonts w:hint="default"/>
        <w:lang w:val="en-US" w:eastAsia="en-US" w:bidi="ar-SA"/>
      </w:rPr>
    </w:lvl>
    <w:lvl w:ilvl="7">
      <w:numFmt w:val="bullet"/>
      <w:lvlText w:val="•"/>
      <w:lvlJc w:val="left"/>
      <w:pPr>
        <w:ind w:left="8617" w:hanging="401"/>
      </w:pPr>
      <w:rPr>
        <w:rFonts w:hint="default"/>
        <w:lang w:val="en-US" w:eastAsia="en-US" w:bidi="ar-SA"/>
      </w:rPr>
    </w:lvl>
    <w:lvl w:ilvl="8">
      <w:numFmt w:val="bullet"/>
      <w:lvlText w:val="•"/>
      <w:lvlJc w:val="left"/>
      <w:pPr>
        <w:ind w:left="9700" w:hanging="401"/>
      </w:pPr>
      <w:rPr>
        <w:rFonts w:hint="default"/>
        <w:lang w:val="en-US" w:eastAsia="en-US" w:bidi="ar-SA"/>
      </w:rPr>
    </w:lvl>
  </w:abstractNum>
  <w:abstractNum w:abstractNumId="136" w15:restartNumberingAfterBreak="0">
    <w:nsid w:val="576D3EE3"/>
    <w:multiLevelType w:val="hybridMultilevel"/>
    <w:tmpl w:val="AD2292E2"/>
    <w:lvl w:ilvl="0" w:tplc="612C36CA">
      <w:start w:val="1"/>
      <w:numFmt w:val="lowerRoman"/>
      <w:lvlText w:val="%1)"/>
      <w:lvlJc w:val="left"/>
      <w:pPr>
        <w:ind w:left="899" w:hanging="360"/>
      </w:pPr>
      <w:rPr>
        <w:rFonts w:ascii="Arial" w:eastAsia="Arial" w:hAnsi="Arial" w:cs="Arial" w:hint="default"/>
        <w:b w:val="0"/>
        <w:bCs w:val="0"/>
        <w:i w:val="0"/>
        <w:iCs w:val="0"/>
        <w:spacing w:val="-1"/>
        <w:w w:val="99"/>
        <w:sz w:val="24"/>
        <w:szCs w:val="24"/>
        <w:lang w:val="en-US" w:eastAsia="en-US" w:bidi="ar-SA"/>
      </w:rPr>
    </w:lvl>
    <w:lvl w:ilvl="1" w:tplc="718A2DC6">
      <w:numFmt w:val="bullet"/>
      <w:lvlText w:val="•"/>
      <w:lvlJc w:val="left"/>
      <w:pPr>
        <w:ind w:left="1557" w:hanging="360"/>
      </w:pPr>
      <w:rPr>
        <w:rFonts w:hint="default"/>
        <w:lang w:val="en-US" w:eastAsia="en-US" w:bidi="ar-SA"/>
      </w:rPr>
    </w:lvl>
    <w:lvl w:ilvl="2" w:tplc="8C2C0436">
      <w:numFmt w:val="bullet"/>
      <w:lvlText w:val="•"/>
      <w:lvlJc w:val="left"/>
      <w:pPr>
        <w:ind w:left="2214" w:hanging="360"/>
      </w:pPr>
      <w:rPr>
        <w:rFonts w:hint="default"/>
        <w:lang w:val="en-US" w:eastAsia="en-US" w:bidi="ar-SA"/>
      </w:rPr>
    </w:lvl>
    <w:lvl w:ilvl="3" w:tplc="F36E5BD6">
      <w:numFmt w:val="bullet"/>
      <w:lvlText w:val="•"/>
      <w:lvlJc w:val="left"/>
      <w:pPr>
        <w:ind w:left="2872" w:hanging="360"/>
      </w:pPr>
      <w:rPr>
        <w:rFonts w:hint="default"/>
        <w:lang w:val="en-US" w:eastAsia="en-US" w:bidi="ar-SA"/>
      </w:rPr>
    </w:lvl>
    <w:lvl w:ilvl="4" w:tplc="9A8EBFEE">
      <w:numFmt w:val="bullet"/>
      <w:lvlText w:val="•"/>
      <w:lvlJc w:val="left"/>
      <w:pPr>
        <w:ind w:left="3529" w:hanging="360"/>
      </w:pPr>
      <w:rPr>
        <w:rFonts w:hint="default"/>
        <w:lang w:val="en-US" w:eastAsia="en-US" w:bidi="ar-SA"/>
      </w:rPr>
    </w:lvl>
    <w:lvl w:ilvl="5" w:tplc="85408304">
      <w:numFmt w:val="bullet"/>
      <w:lvlText w:val="•"/>
      <w:lvlJc w:val="left"/>
      <w:pPr>
        <w:ind w:left="4187" w:hanging="360"/>
      </w:pPr>
      <w:rPr>
        <w:rFonts w:hint="default"/>
        <w:lang w:val="en-US" w:eastAsia="en-US" w:bidi="ar-SA"/>
      </w:rPr>
    </w:lvl>
    <w:lvl w:ilvl="6" w:tplc="C10CA5E6">
      <w:numFmt w:val="bullet"/>
      <w:lvlText w:val="•"/>
      <w:lvlJc w:val="left"/>
      <w:pPr>
        <w:ind w:left="4844" w:hanging="360"/>
      </w:pPr>
      <w:rPr>
        <w:rFonts w:hint="default"/>
        <w:lang w:val="en-US" w:eastAsia="en-US" w:bidi="ar-SA"/>
      </w:rPr>
    </w:lvl>
    <w:lvl w:ilvl="7" w:tplc="F5B6D1C2">
      <w:numFmt w:val="bullet"/>
      <w:lvlText w:val="•"/>
      <w:lvlJc w:val="left"/>
      <w:pPr>
        <w:ind w:left="5501" w:hanging="360"/>
      </w:pPr>
      <w:rPr>
        <w:rFonts w:hint="default"/>
        <w:lang w:val="en-US" w:eastAsia="en-US" w:bidi="ar-SA"/>
      </w:rPr>
    </w:lvl>
    <w:lvl w:ilvl="8" w:tplc="A4723F56">
      <w:numFmt w:val="bullet"/>
      <w:lvlText w:val="•"/>
      <w:lvlJc w:val="left"/>
      <w:pPr>
        <w:ind w:left="6159" w:hanging="360"/>
      </w:pPr>
      <w:rPr>
        <w:rFonts w:hint="default"/>
        <w:lang w:val="en-US" w:eastAsia="en-US" w:bidi="ar-SA"/>
      </w:rPr>
    </w:lvl>
  </w:abstractNum>
  <w:abstractNum w:abstractNumId="137" w15:restartNumberingAfterBreak="0">
    <w:nsid w:val="577F63B8"/>
    <w:multiLevelType w:val="hybridMultilevel"/>
    <w:tmpl w:val="92320116"/>
    <w:lvl w:ilvl="0" w:tplc="026409A6">
      <w:start w:val="1"/>
      <w:numFmt w:val="lowerLetter"/>
      <w:lvlText w:val="(%1)"/>
      <w:lvlJc w:val="left"/>
      <w:pPr>
        <w:ind w:left="1494" w:hanging="428"/>
      </w:pPr>
      <w:rPr>
        <w:rFonts w:ascii="Calibri" w:eastAsia="Calibri" w:hAnsi="Calibri" w:cs="Calibri" w:hint="default"/>
        <w:b w:val="0"/>
        <w:bCs w:val="0"/>
        <w:i w:val="0"/>
        <w:iCs w:val="0"/>
        <w:spacing w:val="-1"/>
        <w:w w:val="100"/>
        <w:sz w:val="24"/>
        <w:szCs w:val="24"/>
        <w:lang w:val="en-US" w:eastAsia="en-US" w:bidi="ar-SA"/>
      </w:rPr>
    </w:lvl>
    <w:lvl w:ilvl="1" w:tplc="8458BB10">
      <w:numFmt w:val="bullet"/>
      <w:lvlText w:val="•"/>
      <w:lvlJc w:val="left"/>
      <w:pPr>
        <w:ind w:left="2536" w:hanging="428"/>
      </w:pPr>
      <w:rPr>
        <w:rFonts w:hint="default"/>
        <w:lang w:val="en-US" w:eastAsia="en-US" w:bidi="ar-SA"/>
      </w:rPr>
    </w:lvl>
    <w:lvl w:ilvl="2" w:tplc="C94AB3C4">
      <w:numFmt w:val="bullet"/>
      <w:lvlText w:val="•"/>
      <w:lvlJc w:val="left"/>
      <w:pPr>
        <w:ind w:left="3573" w:hanging="428"/>
      </w:pPr>
      <w:rPr>
        <w:rFonts w:hint="default"/>
        <w:lang w:val="en-US" w:eastAsia="en-US" w:bidi="ar-SA"/>
      </w:rPr>
    </w:lvl>
    <w:lvl w:ilvl="3" w:tplc="E488D942">
      <w:numFmt w:val="bullet"/>
      <w:lvlText w:val="•"/>
      <w:lvlJc w:val="left"/>
      <w:pPr>
        <w:ind w:left="4609" w:hanging="428"/>
      </w:pPr>
      <w:rPr>
        <w:rFonts w:hint="default"/>
        <w:lang w:val="en-US" w:eastAsia="en-US" w:bidi="ar-SA"/>
      </w:rPr>
    </w:lvl>
    <w:lvl w:ilvl="4" w:tplc="375C43C8">
      <w:numFmt w:val="bullet"/>
      <w:lvlText w:val="•"/>
      <w:lvlJc w:val="left"/>
      <w:pPr>
        <w:ind w:left="5646" w:hanging="428"/>
      </w:pPr>
      <w:rPr>
        <w:rFonts w:hint="default"/>
        <w:lang w:val="en-US" w:eastAsia="en-US" w:bidi="ar-SA"/>
      </w:rPr>
    </w:lvl>
    <w:lvl w:ilvl="5" w:tplc="9D44CA02">
      <w:numFmt w:val="bullet"/>
      <w:lvlText w:val="•"/>
      <w:lvlJc w:val="left"/>
      <w:pPr>
        <w:ind w:left="6683" w:hanging="428"/>
      </w:pPr>
      <w:rPr>
        <w:rFonts w:hint="default"/>
        <w:lang w:val="en-US" w:eastAsia="en-US" w:bidi="ar-SA"/>
      </w:rPr>
    </w:lvl>
    <w:lvl w:ilvl="6" w:tplc="53323E16">
      <w:numFmt w:val="bullet"/>
      <w:lvlText w:val="•"/>
      <w:lvlJc w:val="left"/>
      <w:pPr>
        <w:ind w:left="7719" w:hanging="428"/>
      </w:pPr>
      <w:rPr>
        <w:rFonts w:hint="default"/>
        <w:lang w:val="en-US" w:eastAsia="en-US" w:bidi="ar-SA"/>
      </w:rPr>
    </w:lvl>
    <w:lvl w:ilvl="7" w:tplc="252A464A">
      <w:numFmt w:val="bullet"/>
      <w:lvlText w:val="•"/>
      <w:lvlJc w:val="left"/>
      <w:pPr>
        <w:ind w:left="8756" w:hanging="428"/>
      </w:pPr>
      <w:rPr>
        <w:rFonts w:hint="default"/>
        <w:lang w:val="en-US" w:eastAsia="en-US" w:bidi="ar-SA"/>
      </w:rPr>
    </w:lvl>
    <w:lvl w:ilvl="8" w:tplc="14D69D04">
      <w:numFmt w:val="bullet"/>
      <w:lvlText w:val="•"/>
      <w:lvlJc w:val="left"/>
      <w:pPr>
        <w:ind w:left="9793" w:hanging="428"/>
      </w:pPr>
      <w:rPr>
        <w:rFonts w:hint="default"/>
        <w:lang w:val="en-US" w:eastAsia="en-US" w:bidi="ar-SA"/>
      </w:rPr>
    </w:lvl>
  </w:abstractNum>
  <w:abstractNum w:abstractNumId="138" w15:restartNumberingAfterBreak="0">
    <w:nsid w:val="58021171"/>
    <w:multiLevelType w:val="hybridMultilevel"/>
    <w:tmpl w:val="B1E07722"/>
    <w:lvl w:ilvl="0" w:tplc="D21ACDDA">
      <w:numFmt w:val="bullet"/>
      <w:lvlText w:val=""/>
      <w:lvlJc w:val="left"/>
      <w:pPr>
        <w:ind w:left="827" w:hanging="360"/>
      </w:pPr>
      <w:rPr>
        <w:rFonts w:ascii="Wingdings" w:eastAsia="Wingdings" w:hAnsi="Wingdings" w:cs="Wingdings" w:hint="default"/>
        <w:b w:val="0"/>
        <w:bCs w:val="0"/>
        <w:i w:val="0"/>
        <w:iCs w:val="0"/>
        <w:color w:val="0D0D0D"/>
        <w:spacing w:val="0"/>
        <w:w w:val="100"/>
        <w:sz w:val="24"/>
        <w:szCs w:val="24"/>
        <w:lang w:val="en-US" w:eastAsia="en-US" w:bidi="ar-SA"/>
      </w:rPr>
    </w:lvl>
    <w:lvl w:ilvl="1" w:tplc="AF86254A">
      <w:numFmt w:val="bullet"/>
      <w:lvlText w:val="•"/>
      <w:lvlJc w:val="left"/>
      <w:pPr>
        <w:ind w:left="1037" w:hanging="360"/>
      </w:pPr>
      <w:rPr>
        <w:rFonts w:hint="default"/>
        <w:lang w:val="en-US" w:eastAsia="en-US" w:bidi="ar-SA"/>
      </w:rPr>
    </w:lvl>
    <w:lvl w:ilvl="2" w:tplc="F73C3EAA">
      <w:numFmt w:val="bullet"/>
      <w:lvlText w:val="•"/>
      <w:lvlJc w:val="left"/>
      <w:pPr>
        <w:ind w:left="1254" w:hanging="360"/>
      </w:pPr>
      <w:rPr>
        <w:rFonts w:hint="default"/>
        <w:lang w:val="en-US" w:eastAsia="en-US" w:bidi="ar-SA"/>
      </w:rPr>
    </w:lvl>
    <w:lvl w:ilvl="3" w:tplc="8A3A46C6">
      <w:numFmt w:val="bullet"/>
      <w:lvlText w:val="•"/>
      <w:lvlJc w:val="left"/>
      <w:pPr>
        <w:ind w:left="1472" w:hanging="360"/>
      </w:pPr>
      <w:rPr>
        <w:rFonts w:hint="default"/>
        <w:lang w:val="en-US" w:eastAsia="en-US" w:bidi="ar-SA"/>
      </w:rPr>
    </w:lvl>
    <w:lvl w:ilvl="4" w:tplc="AC5EFCFE">
      <w:numFmt w:val="bullet"/>
      <w:lvlText w:val="•"/>
      <w:lvlJc w:val="left"/>
      <w:pPr>
        <w:ind w:left="1689" w:hanging="360"/>
      </w:pPr>
      <w:rPr>
        <w:rFonts w:hint="default"/>
        <w:lang w:val="en-US" w:eastAsia="en-US" w:bidi="ar-SA"/>
      </w:rPr>
    </w:lvl>
    <w:lvl w:ilvl="5" w:tplc="5002DD06">
      <w:numFmt w:val="bullet"/>
      <w:lvlText w:val="•"/>
      <w:lvlJc w:val="left"/>
      <w:pPr>
        <w:ind w:left="1907" w:hanging="360"/>
      </w:pPr>
      <w:rPr>
        <w:rFonts w:hint="default"/>
        <w:lang w:val="en-US" w:eastAsia="en-US" w:bidi="ar-SA"/>
      </w:rPr>
    </w:lvl>
    <w:lvl w:ilvl="6" w:tplc="E8B65458">
      <w:numFmt w:val="bullet"/>
      <w:lvlText w:val="•"/>
      <w:lvlJc w:val="left"/>
      <w:pPr>
        <w:ind w:left="2124" w:hanging="360"/>
      </w:pPr>
      <w:rPr>
        <w:rFonts w:hint="default"/>
        <w:lang w:val="en-US" w:eastAsia="en-US" w:bidi="ar-SA"/>
      </w:rPr>
    </w:lvl>
    <w:lvl w:ilvl="7" w:tplc="165660AA">
      <w:numFmt w:val="bullet"/>
      <w:lvlText w:val="•"/>
      <w:lvlJc w:val="left"/>
      <w:pPr>
        <w:ind w:left="2341" w:hanging="360"/>
      </w:pPr>
      <w:rPr>
        <w:rFonts w:hint="default"/>
        <w:lang w:val="en-US" w:eastAsia="en-US" w:bidi="ar-SA"/>
      </w:rPr>
    </w:lvl>
    <w:lvl w:ilvl="8" w:tplc="B438479E">
      <w:numFmt w:val="bullet"/>
      <w:lvlText w:val="•"/>
      <w:lvlJc w:val="left"/>
      <w:pPr>
        <w:ind w:left="2559" w:hanging="360"/>
      </w:pPr>
      <w:rPr>
        <w:rFonts w:hint="default"/>
        <w:lang w:val="en-US" w:eastAsia="en-US" w:bidi="ar-SA"/>
      </w:rPr>
    </w:lvl>
  </w:abstractNum>
  <w:abstractNum w:abstractNumId="139" w15:restartNumberingAfterBreak="0">
    <w:nsid w:val="587602BD"/>
    <w:multiLevelType w:val="hybridMultilevel"/>
    <w:tmpl w:val="52DC5778"/>
    <w:lvl w:ilvl="0" w:tplc="1B8A0544">
      <w:start w:val="1"/>
      <w:numFmt w:val="lowerLetter"/>
      <w:lvlText w:val="(%1)"/>
      <w:lvlJc w:val="left"/>
      <w:pPr>
        <w:ind w:left="1494" w:hanging="428"/>
      </w:pPr>
      <w:rPr>
        <w:rFonts w:ascii="Calibri" w:eastAsia="Calibri" w:hAnsi="Calibri" w:cs="Calibri" w:hint="default"/>
        <w:b w:val="0"/>
        <w:bCs w:val="0"/>
        <w:i w:val="0"/>
        <w:iCs w:val="0"/>
        <w:spacing w:val="-1"/>
        <w:w w:val="100"/>
        <w:sz w:val="24"/>
        <w:szCs w:val="24"/>
        <w:lang w:val="en-US" w:eastAsia="en-US" w:bidi="ar-SA"/>
      </w:rPr>
    </w:lvl>
    <w:lvl w:ilvl="1" w:tplc="5652E25E">
      <w:numFmt w:val="bullet"/>
      <w:lvlText w:val="•"/>
      <w:lvlJc w:val="left"/>
      <w:pPr>
        <w:ind w:left="2536" w:hanging="428"/>
      </w:pPr>
      <w:rPr>
        <w:rFonts w:hint="default"/>
        <w:lang w:val="en-US" w:eastAsia="en-US" w:bidi="ar-SA"/>
      </w:rPr>
    </w:lvl>
    <w:lvl w:ilvl="2" w:tplc="C0BC81E8">
      <w:numFmt w:val="bullet"/>
      <w:lvlText w:val="•"/>
      <w:lvlJc w:val="left"/>
      <w:pPr>
        <w:ind w:left="3573" w:hanging="428"/>
      </w:pPr>
      <w:rPr>
        <w:rFonts w:hint="default"/>
        <w:lang w:val="en-US" w:eastAsia="en-US" w:bidi="ar-SA"/>
      </w:rPr>
    </w:lvl>
    <w:lvl w:ilvl="3" w:tplc="49720A60">
      <w:numFmt w:val="bullet"/>
      <w:lvlText w:val="•"/>
      <w:lvlJc w:val="left"/>
      <w:pPr>
        <w:ind w:left="4609" w:hanging="428"/>
      </w:pPr>
      <w:rPr>
        <w:rFonts w:hint="default"/>
        <w:lang w:val="en-US" w:eastAsia="en-US" w:bidi="ar-SA"/>
      </w:rPr>
    </w:lvl>
    <w:lvl w:ilvl="4" w:tplc="5A04C9EA">
      <w:numFmt w:val="bullet"/>
      <w:lvlText w:val="•"/>
      <w:lvlJc w:val="left"/>
      <w:pPr>
        <w:ind w:left="5646" w:hanging="428"/>
      </w:pPr>
      <w:rPr>
        <w:rFonts w:hint="default"/>
        <w:lang w:val="en-US" w:eastAsia="en-US" w:bidi="ar-SA"/>
      </w:rPr>
    </w:lvl>
    <w:lvl w:ilvl="5" w:tplc="97565462">
      <w:numFmt w:val="bullet"/>
      <w:lvlText w:val="•"/>
      <w:lvlJc w:val="left"/>
      <w:pPr>
        <w:ind w:left="6683" w:hanging="428"/>
      </w:pPr>
      <w:rPr>
        <w:rFonts w:hint="default"/>
        <w:lang w:val="en-US" w:eastAsia="en-US" w:bidi="ar-SA"/>
      </w:rPr>
    </w:lvl>
    <w:lvl w:ilvl="6" w:tplc="B3FEC2D6">
      <w:numFmt w:val="bullet"/>
      <w:lvlText w:val="•"/>
      <w:lvlJc w:val="left"/>
      <w:pPr>
        <w:ind w:left="7719" w:hanging="428"/>
      </w:pPr>
      <w:rPr>
        <w:rFonts w:hint="default"/>
        <w:lang w:val="en-US" w:eastAsia="en-US" w:bidi="ar-SA"/>
      </w:rPr>
    </w:lvl>
    <w:lvl w:ilvl="7" w:tplc="29DEA756">
      <w:numFmt w:val="bullet"/>
      <w:lvlText w:val="•"/>
      <w:lvlJc w:val="left"/>
      <w:pPr>
        <w:ind w:left="8756" w:hanging="428"/>
      </w:pPr>
      <w:rPr>
        <w:rFonts w:hint="default"/>
        <w:lang w:val="en-US" w:eastAsia="en-US" w:bidi="ar-SA"/>
      </w:rPr>
    </w:lvl>
    <w:lvl w:ilvl="8" w:tplc="110C49B8">
      <w:numFmt w:val="bullet"/>
      <w:lvlText w:val="•"/>
      <w:lvlJc w:val="left"/>
      <w:pPr>
        <w:ind w:left="9793" w:hanging="428"/>
      </w:pPr>
      <w:rPr>
        <w:rFonts w:hint="default"/>
        <w:lang w:val="en-US" w:eastAsia="en-US" w:bidi="ar-SA"/>
      </w:rPr>
    </w:lvl>
  </w:abstractNum>
  <w:abstractNum w:abstractNumId="140" w15:restartNumberingAfterBreak="0">
    <w:nsid w:val="58AD2C52"/>
    <w:multiLevelType w:val="hybridMultilevel"/>
    <w:tmpl w:val="E88846B2"/>
    <w:lvl w:ilvl="0" w:tplc="83EC6F2E">
      <w:start w:val="1"/>
      <w:numFmt w:val="decimal"/>
      <w:lvlText w:val="%1."/>
      <w:lvlJc w:val="left"/>
      <w:pPr>
        <w:ind w:left="2120" w:hanging="360"/>
      </w:pPr>
      <w:rPr>
        <w:rFonts w:ascii="Arial" w:eastAsia="Arial" w:hAnsi="Arial" w:cs="Arial" w:hint="default"/>
        <w:b w:val="0"/>
        <w:bCs w:val="0"/>
        <w:i w:val="0"/>
        <w:iCs w:val="0"/>
        <w:spacing w:val="0"/>
        <w:w w:val="100"/>
        <w:sz w:val="24"/>
        <w:szCs w:val="24"/>
        <w:lang w:val="en-US" w:eastAsia="en-US" w:bidi="ar-SA"/>
      </w:rPr>
    </w:lvl>
    <w:lvl w:ilvl="1" w:tplc="A7F62B9C">
      <w:numFmt w:val="bullet"/>
      <w:lvlText w:val=""/>
      <w:lvlJc w:val="left"/>
      <w:pPr>
        <w:ind w:left="2120" w:hanging="360"/>
      </w:pPr>
      <w:rPr>
        <w:rFonts w:ascii="Wingdings" w:eastAsia="Wingdings" w:hAnsi="Wingdings" w:cs="Wingdings" w:hint="default"/>
        <w:b w:val="0"/>
        <w:bCs w:val="0"/>
        <w:i w:val="0"/>
        <w:iCs w:val="0"/>
        <w:spacing w:val="0"/>
        <w:w w:val="100"/>
        <w:sz w:val="24"/>
        <w:szCs w:val="24"/>
        <w:lang w:val="en-US" w:eastAsia="en-US" w:bidi="ar-SA"/>
      </w:rPr>
    </w:lvl>
    <w:lvl w:ilvl="2" w:tplc="7506E31E">
      <w:numFmt w:val="bullet"/>
      <w:lvlText w:val="•"/>
      <w:lvlJc w:val="left"/>
      <w:pPr>
        <w:ind w:left="4069" w:hanging="360"/>
      </w:pPr>
      <w:rPr>
        <w:rFonts w:hint="default"/>
        <w:lang w:val="en-US" w:eastAsia="en-US" w:bidi="ar-SA"/>
      </w:rPr>
    </w:lvl>
    <w:lvl w:ilvl="3" w:tplc="9626C042">
      <w:numFmt w:val="bullet"/>
      <w:lvlText w:val="•"/>
      <w:lvlJc w:val="left"/>
      <w:pPr>
        <w:ind w:left="5043" w:hanging="360"/>
      </w:pPr>
      <w:rPr>
        <w:rFonts w:hint="default"/>
        <w:lang w:val="en-US" w:eastAsia="en-US" w:bidi="ar-SA"/>
      </w:rPr>
    </w:lvl>
    <w:lvl w:ilvl="4" w:tplc="389C1CD6">
      <w:numFmt w:val="bullet"/>
      <w:lvlText w:val="•"/>
      <w:lvlJc w:val="left"/>
      <w:pPr>
        <w:ind w:left="6018" w:hanging="360"/>
      </w:pPr>
      <w:rPr>
        <w:rFonts w:hint="default"/>
        <w:lang w:val="en-US" w:eastAsia="en-US" w:bidi="ar-SA"/>
      </w:rPr>
    </w:lvl>
    <w:lvl w:ilvl="5" w:tplc="B984AC0A">
      <w:numFmt w:val="bullet"/>
      <w:lvlText w:val="•"/>
      <w:lvlJc w:val="left"/>
      <w:pPr>
        <w:ind w:left="6993" w:hanging="360"/>
      </w:pPr>
      <w:rPr>
        <w:rFonts w:hint="default"/>
        <w:lang w:val="en-US" w:eastAsia="en-US" w:bidi="ar-SA"/>
      </w:rPr>
    </w:lvl>
    <w:lvl w:ilvl="6" w:tplc="855A3AE8">
      <w:numFmt w:val="bullet"/>
      <w:lvlText w:val="•"/>
      <w:lvlJc w:val="left"/>
      <w:pPr>
        <w:ind w:left="7967" w:hanging="360"/>
      </w:pPr>
      <w:rPr>
        <w:rFonts w:hint="default"/>
        <w:lang w:val="en-US" w:eastAsia="en-US" w:bidi="ar-SA"/>
      </w:rPr>
    </w:lvl>
    <w:lvl w:ilvl="7" w:tplc="2CA03CD6">
      <w:numFmt w:val="bullet"/>
      <w:lvlText w:val="•"/>
      <w:lvlJc w:val="left"/>
      <w:pPr>
        <w:ind w:left="8942" w:hanging="360"/>
      </w:pPr>
      <w:rPr>
        <w:rFonts w:hint="default"/>
        <w:lang w:val="en-US" w:eastAsia="en-US" w:bidi="ar-SA"/>
      </w:rPr>
    </w:lvl>
    <w:lvl w:ilvl="8" w:tplc="6E7ADC98">
      <w:numFmt w:val="bullet"/>
      <w:lvlText w:val="•"/>
      <w:lvlJc w:val="left"/>
      <w:pPr>
        <w:ind w:left="9917" w:hanging="360"/>
      </w:pPr>
      <w:rPr>
        <w:rFonts w:hint="default"/>
        <w:lang w:val="en-US" w:eastAsia="en-US" w:bidi="ar-SA"/>
      </w:rPr>
    </w:lvl>
  </w:abstractNum>
  <w:abstractNum w:abstractNumId="141" w15:restartNumberingAfterBreak="0">
    <w:nsid w:val="59E851EC"/>
    <w:multiLevelType w:val="hybridMultilevel"/>
    <w:tmpl w:val="312E40FE"/>
    <w:lvl w:ilvl="0" w:tplc="E166A214">
      <w:start w:val="1"/>
      <w:numFmt w:val="lowerLetter"/>
      <w:lvlText w:val="(%1)"/>
      <w:lvlJc w:val="left"/>
      <w:pPr>
        <w:ind w:left="1494" w:hanging="428"/>
      </w:pPr>
      <w:rPr>
        <w:rFonts w:ascii="Calibri" w:eastAsia="Calibri" w:hAnsi="Calibri" w:cs="Calibri" w:hint="default"/>
        <w:b w:val="0"/>
        <w:bCs w:val="0"/>
        <w:i w:val="0"/>
        <w:iCs w:val="0"/>
        <w:spacing w:val="-1"/>
        <w:w w:val="100"/>
        <w:sz w:val="24"/>
        <w:szCs w:val="24"/>
        <w:lang w:val="en-US" w:eastAsia="en-US" w:bidi="ar-SA"/>
      </w:rPr>
    </w:lvl>
    <w:lvl w:ilvl="1" w:tplc="78BE7996">
      <w:numFmt w:val="bullet"/>
      <w:lvlText w:val="•"/>
      <w:lvlJc w:val="left"/>
      <w:pPr>
        <w:ind w:left="2536" w:hanging="428"/>
      </w:pPr>
      <w:rPr>
        <w:rFonts w:hint="default"/>
        <w:lang w:val="en-US" w:eastAsia="en-US" w:bidi="ar-SA"/>
      </w:rPr>
    </w:lvl>
    <w:lvl w:ilvl="2" w:tplc="CC2A0A04">
      <w:numFmt w:val="bullet"/>
      <w:lvlText w:val="•"/>
      <w:lvlJc w:val="left"/>
      <w:pPr>
        <w:ind w:left="3573" w:hanging="428"/>
      </w:pPr>
      <w:rPr>
        <w:rFonts w:hint="default"/>
        <w:lang w:val="en-US" w:eastAsia="en-US" w:bidi="ar-SA"/>
      </w:rPr>
    </w:lvl>
    <w:lvl w:ilvl="3" w:tplc="B8DEC51C">
      <w:numFmt w:val="bullet"/>
      <w:lvlText w:val="•"/>
      <w:lvlJc w:val="left"/>
      <w:pPr>
        <w:ind w:left="4609" w:hanging="428"/>
      </w:pPr>
      <w:rPr>
        <w:rFonts w:hint="default"/>
        <w:lang w:val="en-US" w:eastAsia="en-US" w:bidi="ar-SA"/>
      </w:rPr>
    </w:lvl>
    <w:lvl w:ilvl="4" w:tplc="3EB4CD00">
      <w:numFmt w:val="bullet"/>
      <w:lvlText w:val="•"/>
      <w:lvlJc w:val="left"/>
      <w:pPr>
        <w:ind w:left="5646" w:hanging="428"/>
      </w:pPr>
      <w:rPr>
        <w:rFonts w:hint="default"/>
        <w:lang w:val="en-US" w:eastAsia="en-US" w:bidi="ar-SA"/>
      </w:rPr>
    </w:lvl>
    <w:lvl w:ilvl="5" w:tplc="2EBAE648">
      <w:numFmt w:val="bullet"/>
      <w:lvlText w:val="•"/>
      <w:lvlJc w:val="left"/>
      <w:pPr>
        <w:ind w:left="6683" w:hanging="428"/>
      </w:pPr>
      <w:rPr>
        <w:rFonts w:hint="default"/>
        <w:lang w:val="en-US" w:eastAsia="en-US" w:bidi="ar-SA"/>
      </w:rPr>
    </w:lvl>
    <w:lvl w:ilvl="6" w:tplc="FA04071A">
      <w:numFmt w:val="bullet"/>
      <w:lvlText w:val="•"/>
      <w:lvlJc w:val="left"/>
      <w:pPr>
        <w:ind w:left="7719" w:hanging="428"/>
      </w:pPr>
      <w:rPr>
        <w:rFonts w:hint="default"/>
        <w:lang w:val="en-US" w:eastAsia="en-US" w:bidi="ar-SA"/>
      </w:rPr>
    </w:lvl>
    <w:lvl w:ilvl="7" w:tplc="DA5A54D8">
      <w:numFmt w:val="bullet"/>
      <w:lvlText w:val="•"/>
      <w:lvlJc w:val="left"/>
      <w:pPr>
        <w:ind w:left="8756" w:hanging="428"/>
      </w:pPr>
      <w:rPr>
        <w:rFonts w:hint="default"/>
        <w:lang w:val="en-US" w:eastAsia="en-US" w:bidi="ar-SA"/>
      </w:rPr>
    </w:lvl>
    <w:lvl w:ilvl="8" w:tplc="669C0548">
      <w:numFmt w:val="bullet"/>
      <w:lvlText w:val="•"/>
      <w:lvlJc w:val="left"/>
      <w:pPr>
        <w:ind w:left="9793" w:hanging="428"/>
      </w:pPr>
      <w:rPr>
        <w:rFonts w:hint="default"/>
        <w:lang w:val="en-US" w:eastAsia="en-US" w:bidi="ar-SA"/>
      </w:rPr>
    </w:lvl>
  </w:abstractNum>
  <w:abstractNum w:abstractNumId="142" w15:restartNumberingAfterBreak="0">
    <w:nsid w:val="5A3E38E6"/>
    <w:multiLevelType w:val="hybridMultilevel"/>
    <w:tmpl w:val="044E6124"/>
    <w:lvl w:ilvl="0" w:tplc="1494AF8C">
      <w:start w:val="8"/>
      <w:numFmt w:val="lowerRoman"/>
      <w:lvlText w:val="%1)"/>
      <w:lvlJc w:val="left"/>
      <w:pPr>
        <w:ind w:left="899" w:hanging="360"/>
      </w:pPr>
      <w:rPr>
        <w:rFonts w:ascii="Arial" w:eastAsia="Arial" w:hAnsi="Arial" w:cs="Arial" w:hint="default"/>
        <w:b w:val="0"/>
        <w:bCs w:val="0"/>
        <w:i w:val="0"/>
        <w:iCs w:val="0"/>
        <w:spacing w:val="-1"/>
        <w:w w:val="100"/>
        <w:sz w:val="22"/>
        <w:szCs w:val="22"/>
        <w:lang w:val="en-US" w:eastAsia="en-US" w:bidi="ar-SA"/>
      </w:rPr>
    </w:lvl>
    <w:lvl w:ilvl="1" w:tplc="22B61F54">
      <w:numFmt w:val="bullet"/>
      <w:lvlText w:val="•"/>
      <w:lvlJc w:val="left"/>
      <w:pPr>
        <w:ind w:left="1557" w:hanging="360"/>
      </w:pPr>
      <w:rPr>
        <w:rFonts w:hint="default"/>
        <w:lang w:val="en-US" w:eastAsia="en-US" w:bidi="ar-SA"/>
      </w:rPr>
    </w:lvl>
    <w:lvl w:ilvl="2" w:tplc="2A3CC484">
      <w:numFmt w:val="bullet"/>
      <w:lvlText w:val="•"/>
      <w:lvlJc w:val="left"/>
      <w:pPr>
        <w:ind w:left="2214" w:hanging="360"/>
      </w:pPr>
      <w:rPr>
        <w:rFonts w:hint="default"/>
        <w:lang w:val="en-US" w:eastAsia="en-US" w:bidi="ar-SA"/>
      </w:rPr>
    </w:lvl>
    <w:lvl w:ilvl="3" w:tplc="9BC8D766">
      <w:numFmt w:val="bullet"/>
      <w:lvlText w:val="•"/>
      <w:lvlJc w:val="left"/>
      <w:pPr>
        <w:ind w:left="2872" w:hanging="360"/>
      </w:pPr>
      <w:rPr>
        <w:rFonts w:hint="default"/>
        <w:lang w:val="en-US" w:eastAsia="en-US" w:bidi="ar-SA"/>
      </w:rPr>
    </w:lvl>
    <w:lvl w:ilvl="4" w:tplc="0986AF68">
      <w:numFmt w:val="bullet"/>
      <w:lvlText w:val="•"/>
      <w:lvlJc w:val="left"/>
      <w:pPr>
        <w:ind w:left="3529" w:hanging="360"/>
      </w:pPr>
      <w:rPr>
        <w:rFonts w:hint="default"/>
        <w:lang w:val="en-US" w:eastAsia="en-US" w:bidi="ar-SA"/>
      </w:rPr>
    </w:lvl>
    <w:lvl w:ilvl="5" w:tplc="C58E7FC6">
      <w:numFmt w:val="bullet"/>
      <w:lvlText w:val="•"/>
      <w:lvlJc w:val="left"/>
      <w:pPr>
        <w:ind w:left="4187" w:hanging="360"/>
      </w:pPr>
      <w:rPr>
        <w:rFonts w:hint="default"/>
        <w:lang w:val="en-US" w:eastAsia="en-US" w:bidi="ar-SA"/>
      </w:rPr>
    </w:lvl>
    <w:lvl w:ilvl="6" w:tplc="37EEFCFA">
      <w:numFmt w:val="bullet"/>
      <w:lvlText w:val="•"/>
      <w:lvlJc w:val="left"/>
      <w:pPr>
        <w:ind w:left="4844" w:hanging="360"/>
      </w:pPr>
      <w:rPr>
        <w:rFonts w:hint="default"/>
        <w:lang w:val="en-US" w:eastAsia="en-US" w:bidi="ar-SA"/>
      </w:rPr>
    </w:lvl>
    <w:lvl w:ilvl="7" w:tplc="A288A3C2">
      <w:numFmt w:val="bullet"/>
      <w:lvlText w:val="•"/>
      <w:lvlJc w:val="left"/>
      <w:pPr>
        <w:ind w:left="5501" w:hanging="360"/>
      </w:pPr>
      <w:rPr>
        <w:rFonts w:hint="default"/>
        <w:lang w:val="en-US" w:eastAsia="en-US" w:bidi="ar-SA"/>
      </w:rPr>
    </w:lvl>
    <w:lvl w:ilvl="8" w:tplc="FA924896">
      <w:numFmt w:val="bullet"/>
      <w:lvlText w:val="•"/>
      <w:lvlJc w:val="left"/>
      <w:pPr>
        <w:ind w:left="6159" w:hanging="360"/>
      </w:pPr>
      <w:rPr>
        <w:rFonts w:hint="default"/>
        <w:lang w:val="en-US" w:eastAsia="en-US" w:bidi="ar-SA"/>
      </w:rPr>
    </w:lvl>
  </w:abstractNum>
  <w:abstractNum w:abstractNumId="143" w15:restartNumberingAfterBreak="0">
    <w:nsid w:val="5A424C99"/>
    <w:multiLevelType w:val="hybridMultilevel"/>
    <w:tmpl w:val="9BB4EC72"/>
    <w:lvl w:ilvl="0" w:tplc="9280D47E">
      <w:numFmt w:val="bullet"/>
      <w:lvlText w:val=""/>
      <w:lvlJc w:val="left"/>
      <w:pPr>
        <w:ind w:left="816" w:hanging="360"/>
      </w:pPr>
      <w:rPr>
        <w:rFonts w:ascii="Wingdings" w:eastAsia="Wingdings" w:hAnsi="Wingdings" w:cs="Wingdings" w:hint="default"/>
        <w:b w:val="0"/>
        <w:bCs w:val="0"/>
        <w:i w:val="0"/>
        <w:iCs w:val="0"/>
        <w:color w:val="0D0D0D"/>
        <w:spacing w:val="0"/>
        <w:w w:val="100"/>
        <w:sz w:val="24"/>
        <w:szCs w:val="24"/>
        <w:lang w:val="en-US" w:eastAsia="en-US" w:bidi="ar-SA"/>
      </w:rPr>
    </w:lvl>
    <w:lvl w:ilvl="1" w:tplc="67CC5792">
      <w:numFmt w:val="bullet"/>
      <w:lvlText w:val="•"/>
      <w:lvlJc w:val="left"/>
      <w:pPr>
        <w:ind w:left="1036" w:hanging="360"/>
      </w:pPr>
      <w:rPr>
        <w:rFonts w:hint="default"/>
        <w:lang w:val="en-US" w:eastAsia="en-US" w:bidi="ar-SA"/>
      </w:rPr>
    </w:lvl>
    <w:lvl w:ilvl="2" w:tplc="0E00738C">
      <w:numFmt w:val="bullet"/>
      <w:lvlText w:val="•"/>
      <w:lvlJc w:val="left"/>
      <w:pPr>
        <w:ind w:left="1252" w:hanging="360"/>
      </w:pPr>
      <w:rPr>
        <w:rFonts w:hint="default"/>
        <w:lang w:val="en-US" w:eastAsia="en-US" w:bidi="ar-SA"/>
      </w:rPr>
    </w:lvl>
    <w:lvl w:ilvl="3" w:tplc="38FA594C">
      <w:numFmt w:val="bullet"/>
      <w:lvlText w:val="•"/>
      <w:lvlJc w:val="left"/>
      <w:pPr>
        <w:ind w:left="1469" w:hanging="360"/>
      </w:pPr>
      <w:rPr>
        <w:rFonts w:hint="default"/>
        <w:lang w:val="en-US" w:eastAsia="en-US" w:bidi="ar-SA"/>
      </w:rPr>
    </w:lvl>
    <w:lvl w:ilvl="4" w:tplc="439C4A1A">
      <w:numFmt w:val="bullet"/>
      <w:lvlText w:val="•"/>
      <w:lvlJc w:val="left"/>
      <w:pPr>
        <w:ind w:left="1685" w:hanging="360"/>
      </w:pPr>
      <w:rPr>
        <w:rFonts w:hint="default"/>
        <w:lang w:val="en-US" w:eastAsia="en-US" w:bidi="ar-SA"/>
      </w:rPr>
    </w:lvl>
    <w:lvl w:ilvl="5" w:tplc="4BC670D8">
      <w:numFmt w:val="bullet"/>
      <w:lvlText w:val="•"/>
      <w:lvlJc w:val="left"/>
      <w:pPr>
        <w:ind w:left="1901" w:hanging="360"/>
      </w:pPr>
      <w:rPr>
        <w:rFonts w:hint="default"/>
        <w:lang w:val="en-US" w:eastAsia="en-US" w:bidi="ar-SA"/>
      </w:rPr>
    </w:lvl>
    <w:lvl w:ilvl="6" w:tplc="9538F750">
      <w:numFmt w:val="bullet"/>
      <w:lvlText w:val="•"/>
      <w:lvlJc w:val="left"/>
      <w:pPr>
        <w:ind w:left="2118" w:hanging="360"/>
      </w:pPr>
      <w:rPr>
        <w:rFonts w:hint="default"/>
        <w:lang w:val="en-US" w:eastAsia="en-US" w:bidi="ar-SA"/>
      </w:rPr>
    </w:lvl>
    <w:lvl w:ilvl="7" w:tplc="4990894E">
      <w:numFmt w:val="bullet"/>
      <w:lvlText w:val="•"/>
      <w:lvlJc w:val="left"/>
      <w:pPr>
        <w:ind w:left="2334" w:hanging="360"/>
      </w:pPr>
      <w:rPr>
        <w:rFonts w:hint="default"/>
        <w:lang w:val="en-US" w:eastAsia="en-US" w:bidi="ar-SA"/>
      </w:rPr>
    </w:lvl>
    <w:lvl w:ilvl="8" w:tplc="F9721F14">
      <w:numFmt w:val="bullet"/>
      <w:lvlText w:val="•"/>
      <w:lvlJc w:val="left"/>
      <w:pPr>
        <w:ind w:left="2550" w:hanging="360"/>
      </w:pPr>
      <w:rPr>
        <w:rFonts w:hint="default"/>
        <w:lang w:val="en-US" w:eastAsia="en-US" w:bidi="ar-SA"/>
      </w:rPr>
    </w:lvl>
  </w:abstractNum>
  <w:abstractNum w:abstractNumId="144" w15:restartNumberingAfterBreak="0">
    <w:nsid w:val="5AE9665B"/>
    <w:multiLevelType w:val="hybridMultilevel"/>
    <w:tmpl w:val="F6C44774"/>
    <w:lvl w:ilvl="0" w:tplc="87A445B6">
      <w:start w:val="1"/>
      <w:numFmt w:val="lowerRoman"/>
      <w:lvlText w:val="%1."/>
      <w:lvlJc w:val="left"/>
      <w:pPr>
        <w:ind w:left="1700" w:hanging="480"/>
        <w:jc w:val="right"/>
      </w:pPr>
      <w:rPr>
        <w:rFonts w:ascii="Arial" w:eastAsia="Arial" w:hAnsi="Arial" w:cs="Arial" w:hint="default"/>
        <w:b w:val="0"/>
        <w:bCs w:val="0"/>
        <w:i w:val="0"/>
        <w:iCs w:val="0"/>
        <w:spacing w:val="-1"/>
        <w:w w:val="100"/>
        <w:sz w:val="24"/>
        <w:szCs w:val="24"/>
        <w:lang w:val="en-US" w:eastAsia="en-US" w:bidi="ar-SA"/>
      </w:rPr>
    </w:lvl>
    <w:lvl w:ilvl="1" w:tplc="E60CE030">
      <w:numFmt w:val="bullet"/>
      <w:lvlText w:val="•"/>
      <w:lvlJc w:val="left"/>
      <w:pPr>
        <w:ind w:left="2632" w:hanging="480"/>
      </w:pPr>
      <w:rPr>
        <w:rFonts w:hint="default"/>
        <w:lang w:val="en-US" w:eastAsia="en-US" w:bidi="ar-SA"/>
      </w:rPr>
    </w:lvl>
    <w:lvl w:ilvl="2" w:tplc="3ACE7C4A">
      <w:numFmt w:val="bullet"/>
      <w:lvlText w:val="•"/>
      <w:lvlJc w:val="left"/>
      <w:pPr>
        <w:ind w:left="3565" w:hanging="480"/>
      </w:pPr>
      <w:rPr>
        <w:rFonts w:hint="default"/>
        <w:lang w:val="en-US" w:eastAsia="en-US" w:bidi="ar-SA"/>
      </w:rPr>
    </w:lvl>
    <w:lvl w:ilvl="3" w:tplc="C12C4C88">
      <w:numFmt w:val="bullet"/>
      <w:lvlText w:val="•"/>
      <w:lvlJc w:val="left"/>
      <w:pPr>
        <w:ind w:left="4497" w:hanging="480"/>
      </w:pPr>
      <w:rPr>
        <w:rFonts w:hint="default"/>
        <w:lang w:val="en-US" w:eastAsia="en-US" w:bidi="ar-SA"/>
      </w:rPr>
    </w:lvl>
    <w:lvl w:ilvl="4" w:tplc="6712BC38">
      <w:numFmt w:val="bullet"/>
      <w:lvlText w:val="•"/>
      <w:lvlJc w:val="left"/>
      <w:pPr>
        <w:ind w:left="5430" w:hanging="480"/>
      </w:pPr>
      <w:rPr>
        <w:rFonts w:hint="default"/>
        <w:lang w:val="en-US" w:eastAsia="en-US" w:bidi="ar-SA"/>
      </w:rPr>
    </w:lvl>
    <w:lvl w:ilvl="5" w:tplc="5E985BD6">
      <w:numFmt w:val="bullet"/>
      <w:lvlText w:val="•"/>
      <w:lvlJc w:val="left"/>
      <w:pPr>
        <w:ind w:left="6363" w:hanging="480"/>
      </w:pPr>
      <w:rPr>
        <w:rFonts w:hint="default"/>
        <w:lang w:val="en-US" w:eastAsia="en-US" w:bidi="ar-SA"/>
      </w:rPr>
    </w:lvl>
    <w:lvl w:ilvl="6" w:tplc="9AB2206E">
      <w:numFmt w:val="bullet"/>
      <w:lvlText w:val="•"/>
      <w:lvlJc w:val="left"/>
      <w:pPr>
        <w:ind w:left="7295" w:hanging="480"/>
      </w:pPr>
      <w:rPr>
        <w:rFonts w:hint="default"/>
        <w:lang w:val="en-US" w:eastAsia="en-US" w:bidi="ar-SA"/>
      </w:rPr>
    </w:lvl>
    <w:lvl w:ilvl="7" w:tplc="A008DCF2">
      <w:numFmt w:val="bullet"/>
      <w:lvlText w:val="•"/>
      <w:lvlJc w:val="left"/>
      <w:pPr>
        <w:ind w:left="8228" w:hanging="480"/>
      </w:pPr>
      <w:rPr>
        <w:rFonts w:hint="default"/>
        <w:lang w:val="en-US" w:eastAsia="en-US" w:bidi="ar-SA"/>
      </w:rPr>
    </w:lvl>
    <w:lvl w:ilvl="8" w:tplc="D2AA5F82">
      <w:numFmt w:val="bullet"/>
      <w:lvlText w:val="•"/>
      <w:lvlJc w:val="left"/>
      <w:pPr>
        <w:ind w:left="9161" w:hanging="480"/>
      </w:pPr>
      <w:rPr>
        <w:rFonts w:hint="default"/>
        <w:lang w:val="en-US" w:eastAsia="en-US" w:bidi="ar-SA"/>
      </w:rPr>
    </w:lvl>
  </w:abstractNum>
  <w:abstractNum w:abstractNumId="145" w15:restartNumberingAfterBreak="0">
    <w:nsid w:val="5BAE5FA6"/>
    <w:multiLevelType w:val="hybridMultilevel"/>
    <w:tmpl w:val="6EA05EE0"/>
    <w:lvl w:ilvl="0" w:tplc="551A2032">
      <w:numFmt w:val="bullet"/>
      <w:lvlText w:val=""/>
      <w:lvlJc w:val="left"/>
      <w:pPr>
        <w:ind w:left="816" w:hanging="360"/>
      </w:pPr>
      <w:rPr>
        <w:rFonts w:ascii="Wingdings" w:eastAsia="Wingdings" w:hAnsi="Wingdings" w:cs="Wingdings" w:hint="default"/>
        <w:b w:val="0"/>
        <w:bCs w:val="0"/>
        <w:i w:val="0"/>
        <w:iCs w:val="0"/>
        <w:color w:val="0D0D0D"/>
        <w:spacing w:val="0"/>
        <w:w w:val="100"/>
        <w:sz w:val="24"/>
        <w:szCs w:val="24"/>
        <w:lang w:val="en-US" w:eastAsia="en-US" w:bidi="ar-SA"/>
      </w:rPr>
    </w:lvl>
    <w:lvl w:ilvl="1" w:tplc="8AA8C252">
      <w:numFmt w:val="bullet"/>
      <w:lvlText w:val="•"/>
      <w:lvlJc w:val="left"/>
      <w:pPr>
        <w:ind w:left="1036" w:hanging="360"/>
      </w:pPr>
      <w:rPr>
        <w:rFonts w:hint="default"/>
        <w:lang w:val="en-US" w:eastAsia="en-US" w:bidi="ar-SA"/>
      </w:rPr>
    </w:lvl>
    <w:lvl w:ilvl="2" w:tplc="4ED0E452">
      <w:numFmt w:val="bullet"/>
      <w:lvlText w:val="•"/>
      <w:lvlJc w:val="left"/>
      <w:pPr>
        <w:ind w:left="1252" w:hanging="360"/>
      </w:pPr>
      <w:rPr>
        <w:rFonts w:hint="default"/>
        <w:lang w:val="en-US" w:eastAsia="en-US" w:bidi="ar-SA"/>
      </w:rPr>
    </w:lvl>
    <w:lvl w:ilvl="3" w:tplc="A39C000C">
      <w:numFmt w:val="bullet"/>
      <w:lvlText w:val="•"/>
      <w:lvlJc w:val="left"/>
      <w:pPr>
        <w:ind w:left="1469" w:hanging="360"/>
      </w:pPr>
      <w:rPr>
        <w:rFonts w:hint="default"/>
        <w:lang w:val="en-US" w:eastAsia="en-US" w:bidi="ar-SA"/>
      </w:rPr>
    </w:lvl>
    <w:lvl w:ilvl="4" w:tplc="0FF6C23E">
      <w:numFmt w:val="bullet"/>
      <w:lvlText w:val="•"/>
      <w:lvlJc w:val="left"/>
      <w:pPr>
        <w:ind w:left="1685" w:hanging="360"/>
      </w:pPr>
      <w:rPr>
        <w:rFonts w:hint="default"/>
        <w:lang w:val="en-US" w:eastAsia="en-US" w:bidi="ar-SA"/>
      </w:rPr>
    </w:lvl>
    <w:lvl w:ilvl="5" w:tplc="772684B2">
      <w:numFmt w:val="bullet"/>
      <w:lvlText w:val="•"/>
      <w:lvlJc w:val="left"/>
      <w:pPr>
        <w:ind w:left="1901" w:hanging="360"/>
      </w:pPr>
      <w:rPr>
        <w:rFonts w:hint="default"/>
        <w:lang w:val="en-US" w:eastAsia="en-US" w:bidi="ar-SA"/>
      </w:rPr>
    </w:lvl>
    <w:lvl w:ilvl="6" w:tplc="3FA89A20">
      <w:numFmt w:val="bullet"/>
      <w:lvlText w:val="•"/>
      <w:lvlJc w:val="left"/>
      <w:pPr>
        <w:ind w:left="2118" w:hanging="360"/>
      </w:pPr>
      <w:rPr>
        <w:rFonts w:hint="default"/>
        <w:lang w:val="en-US" w:eastAsia="en-US" w:bidi="ar-SA"/>
      </w:rPr>
    </w:lvl>
    <w:lvl w:ilvl="7" w:tplc="2E0C0532">
      <w:numFmt w:val="bullet"/>
      <w:lvlText w:val="•"/>
      <w:lvlJc w:val="left"/>
      <w:pPr>
        <w:ind w:left="2334" w:hanging="360"/>
      </w:pPr>
      <w:rPr>
        <w:rFonts w:hint="default"/>
        <w:lang w:val="en-US" w:eastAsia="en-US" w:bidi="ar-SA"/>
      </w:rPr>
    </w:lvl>
    <w:lvl w:ilvl="8" w:tplc="9EB4DD92">
      <w:numFmt w:val="bullet"/>
      <w:lvlText w:val="•"/>
      <w:lvlJc w:val="left"/>
      <w:pPr>
        <w:ind w:left="2550" w:hanging="360"/>
      </w:pPr>
      <w:rPr>
        <w:rFonts w:hint="default"/>
        <w:lang w:val="en-US" w:eastAsia="en-US" w:bidi="ar-SA"/>
      </w:rPr>
    </w:lvl>
  </w:abstractNum>
  <w:abstractNum w:abstractNumId="146" w15:restartNumberingAfterBreak="0">
    <w:nsid w:val="5C0032C6"/>
    <w:multiLevelType w:val="hybridMultilevel"/>
    <w:tmpl w:val="0FD6E25E"/>
    <w:lvl w:ilvl="0" w:tplc="CA4C5F96">
      <w:start w:val="1"/>
      <w:numFmt w:val="decimal"/>
      <w:lvlText w:val="%1."/>
      <w:lvlJc w:val="left"/>
      <w:pPr>
        <w:ind w:left="1668" w:hanging="269"/>
      </w:pPr>
      <w:rPr>
        <w:rFonts w:ascii="Arial" w:eastAsia="Arial" w:hAnsi="Arial" w:cs="Arial" w:hint="default"/>
        <w:b w:val="0"/>
        <w:bCs w:val="0"/>
        <w:i w:val="0"/>
        <w:iCs w:val="0"/>
        <w:spacing w:val="0"/>
        <w:w w:val="90"/>
        <w:sz w:val="24"/>
        <w:szCs w:val="24"/>
        <w:lang w:val="en-US" w:eastAsia="en-US" w:bidi="ar-SA"/>
      </w:rPr>
    </w:lvl>
    <w:lvl w:ilvl="1" w:tplc="65142988">
      <w:numFmt w:val="bullet"/>
      <w:lvlText w:val=""/>
      <w:lvlJc w:val="left"/>
      <w:pPr>
        <w:ind w:left="2120" w:hanging="360"/>
      </w:pPr>
      <w:rPr>
        <w:rFonts w:ascii="Wingdings" w:eastAsia="Wingdings" w:hAnsi="Wingdings" w:cs="Wingdings" w:hint="default"/>
        <w:b w:val="0"/>
        <w:bCs w:val="0"/>
        <w:i w:val="0"/>
        <w:iCs w:val="0"/>
        <w:color w:val="0D0D0D"/>
        <w:spacing w:val="0"/>
        <w:w w:val="100"/>
        <w:sz w:val="24"/>
        <w:szCs w:val="24"/>
        <w:lang w:val="en-US" w:eastAsia="en-US" w:bidi="ar-SA"/>
      </w:rPr>
    </w:lvl>
    <w:lvl w:ilvl="2" w:tplc="B7C6B516">
      <w:numFmt w:val="bullet"/>
      <w:lvlText w:val="o"/>
      <w:lvlJc w:val="left"/>
      <w:pPr>
        <w:ind w:left="2840" w:hanging="360"/>
      </w:pPr>
      <w:rPr>
        <w:rFonts w:ascii="Courier New" w:eastAsia="Courier New" w:hAnsi="Courier New" w:cs="Courier New" w:hint="default"/>
        <w:b w:val="0"/>
        <w:bCs w:val="0"/>
        <w:i w:val="0"/>
        <w:iCs w:val="0"/>
        <w:color w:val="0D0D0D"/>
        <w:spacing w:val="0"/>
        <w:w w:val="100"/>
        <w:sz w:val="24"/>
        <w:szCs w:val="24"/>
        <w:lang w:val="en-US" w:eastAsia="en-US" w:bidi="ar-SA"/>
      </w:rPr>
    </w:lvl>
    <w:lvl w:ilvl="3" w:tplc="97FAD568">
      <w:numFmt w:val="bullet"/>
      <w:lvlText w:val="•"/>
      <w:lvlJc w:val="left"/>
      <w:pPr>
        <w:ind w:left="3968" w:hanging="360"/>
      </w:pPr>
      <w:rPr>
        <w:rFonts w:hint="default"/>
        <w:lang w:val="en-US" w:eastAsia="en-US" w:bidi="ar-SA"/>
      </w:rPr>
    </w:lvl>
    <w:lvl w:ilvl="4" w:tplc="A4388EDA">
      <w:numFmt w:val="bullet"/>
      <w:lvlText w:val="•"/>
      <w:lvlJc w:val="left"/>
      <w:pPr>
        <w:ind w:left="5096" w:hanging="360"/>
      </w:pPr>
      <w:rPr>
        <w:rFonts w:hint="default"/>
        <w:lang w:val="en-US" w:eastAsia="en-US" w:bidi="ar-SA"/>
      </w:rPr>
    </w:lvl>
    <w:lvl w:ilvl="5" w:tplc="D6784AF6">
      <w:numFmt w:val="bullet"/>
      <w:lvlText w:val="•"/>
      <w:lvlJc w:val="left"/>
      <w:pPr>
        <w:ind w:left="6224" w:hanging="360"/>
      </w:pPr>
      <w:rPr>
        <w:rFonts w:hint="default"/>
        <w:lang w:val="en-US" w:eastAsia="en-US" w:bidi="ar-SA"/>
      </w:rPr>
    </w:lvl>
    <w:lvl w:ilvl="6" w:tplc="2440199E">
      <w:numFmt w:val="bullet"/>
      <w:lvlText w:val="•"/>
      <w:lvlJc w:val="left"/>
      <w:pPr>
        <w:ind w:left="7353" w:hanging="360"/>
      </w:pPr>
      <w:rPr>
        <w:rFonts w:hint="default"/>
        <w:lang w:val="en-US" w:eastAsia="en-US" w:bidi="ar-SA"/>
      </w:rPr>
    </w:lvl>
    <w:lvl w:ilvl="7" w:tplc="38B867E6">
      <w:numFmt w:val="bullet"/>
      <w:lvlText w:val="•"/>
      <w:lvlJc w:val="left"/>
      <w:pPr>
        <w:ind w:left="8481" w:hanging="360"/>
      </w:pPr>
      <w:rPr>
        <w:rFonts w:hint="default"/>
        <w:lang w:val="en-US" w:eastAsia="en-US" w:bidi="ar-SA"/>
      </w:rPr>
    </w:lvl>
    <w:lvl w:ilvl="8" w:tplc="58BA4B96">
      <w:numFmt w:val="bullet"/>
      <w:lvlText w:val="•"/>
      <w:lvlJc w:val="left"/>
      <w:pPr>
        <w:ind w:left="9609" w:hanging="360"/>
      </w:pPr>
      <w:rPr>
        <w:rFonts w:hint="default"/>
        <w:lang w:val="en-US" w:eastAsia="en-US" w:bidi="ar-SA"/>
      </w:rPr>
    </w:lvl>
  </w:abstractNum>
  <w:abstractNum w:abstractNumId="147" w15:restartNumberingAfterBreak="0">
    <w:nsid w:val="5C8064A0"/>
    <w:multiLevelType w:val="hybridMultilevel"/>
    <w:tmpl w:val="38E875C4"/>
    <w:lvl w:ilvl="0" w:tplc="5D5E56F4">
      <w:start w:val="1"/>
      <w:numFmt w:val="decimal"/>
      <w:lvlText w:val="%1."/>
      <w:lvlJc w:val="left"/>
      <w:pPr>
        <w:ind w:left="1587" w:hanging="272"/>
      </w:pPr>
      <w:rPr>
        <w:rFonts w:ascii="Arial" w:eastAsia="Arial" w:hAnsi="Arial" w:cs="Arial" w:hint="default"/>
        <w:b w:val="0"/>
        <w:bCs w:val="0"/>
        <w:i w:val="0"/>
        <w:iCs w:val="0"/>
        <w:spacing w:val="0"/>
        <w:w w:val="100"/>
        <w:sz w:val="18"/>
        <w:szCs w:val="18"/>
        <w:lang w:val="en-US" w:eastAsia="en-US" w:bidi="ar-SA"/>
      </w:rPr>
    </w:lvl>
    <w:lvl w:ilvl="1" w:tplc="29AC1DEC">
      <w:numFmt w:val="bullet"/>
      <w:lvlText w:val="●"/>
      <w:lvlJc w:val="left"/>
      <w:pPr>
        <w:ind w:left="1858" w:hanging="272"/>
      </w:pPr>
      <w:rPr>
        <w:rFonts w:ascii="Arial" w:eastAsia="Arial" w:hAnsi="Arial" w:cs="Arial" w:hint="default"/>
        <w:b w:val="0"/>
        <w:bCs w:val="0"/>
        <w:i w:val="0"/>
        <w:iCs w:val="0"/>
        <w:spacing w:val="0"/>
        <w:w w:val="100"/>
        <w:sz w:val="18"/>
        <w:szCs w:val="18"/>
        <w:lang w:val="en-US" w:eastAsia="en-US" w:bidi="ar-SA"/>
      </w:rPr>
    </w:lvl>
    <w:lvl w:ilvl="2" w:tplc="2E26D668">
      <w:numFmt w:val="bullet"/>
      <w:lvlText w:val="o"/>
      <w:lvlJc w:val="left"/>
      <w:pPr>
        <w:ind w:left="2400" w:hanging="272"/>
      </w:pPr>
      <w:rPr>
        <w:rFonts w:ascii="Courier New" w:eastAsia="Courier New" w:hAnsi="Courier New" w:cs="Courier New" w:hint="default"/>
        <w:spacing w:val="0"/>
        <w:w w:val="100"/>
        <w:lang w:val="en-US" w:eastAsia="en-US" w:bidi="ar-SA"/>
      </w:rPr>
    </w:lvl>
    <w:lvl w:ilvl="3" w:tplc="D95E9848">
      <w:numFmt w:val="bullet"/>
      <w:lvlText w:val="•"/>
      <w:lvlJc w:val="left"/>
      <w:pPr>
        <w:ind w:left="3583" w:hanging="272"/>
      </w:pPr>
      <w:rPr>
        <w:rFonts w:hint="default"/>
        <w:lang w:val="en-US" w:eastAsia="en-US" w:bidi="ar-SA"/>
      </w:rPr>
    </w:lvl>
    <w:lvl w:ilvl="4" w:tplc="7E0024BA">
      <w:numFmt w:val="bullet"/>
      <w:lvlText w:val="•"/>
      <w:lvlJc w:val="left"/>
      <w:pPr>
        <w:ind w:left="4766" w:hanging="272"/>
      </w:pPr>
      <w:rPr>
        <w:rFonts w:hint="default"/>
        <w:lang w:val="en-US" w:eastAsia="en-US" w:bidi="ar-SA"/>
      </w:rPr>
    </w:lvl>
    <w:lvl w:ilvl="5" w:tplc="7586FA40">
      <w:numFmt w:val="bullet"/>
      <w:lvlText w:val="•"/>
      <w:lvlJc w:val="left"/>
      <w:pPr>
        <w:ind w:left="5949" w:hanging="272"/>
      </w:pPr>
      <w:rPr>
        <w:rFonts w:hint="default"/>
        <w:lang w:val="en-US" w:eastAsia="en-US" w:bidi="ar-SA"/>
      </w:rPr>
    </w:lvl>
    <w:lvl w:ilvl="6" w:tplc="2F7E6658">
      <w:numFmt w:val="bullet"/>
      <w:lvlText w:val="•"/>
      <w:lvlJc w:val="left"/>
      <w:pPr>
        <w:ind w:left="7133" w:hanging="272"/>
      </w:pPr>
      <w:rPr>
        <w:rFonts w:hint="default"/>
        <w:lang w:val="en-US" w:eastAsia="en-US" w:bidi="ar-SA"/>
      </w:rPr>
    </w:lvl>
    <w:lvl w:ilvl="7" w:tplc="93A80D54">
      <w:numFmt w:val="bullet"/>
      <w:lvlText w:val="•"/>
      <w:lvlJc w:val="left"/>
      <w:pPr>
        <w:ind w:left="8316" w:hanging="272"/>
      </w:pPr>
      <w:rPr>
        <w:rFonts w:hint="default"/>
        <w:lang w:val="en-US" w:eastAsia="en-US" w:bidi="ar-SA"/>
      </w:rPr>
    </w:lvl>
    <w:lvl w:ilvl="8" w:tplc="C13C9C88">
      <w:numFmt w:val="bullet"/>
      <w:lvlText w:val="•"/>
      <w:lvlJc w:val="left"/>
      <w:pPr>
        <w:ind w:left="9499" w:hanging="272"/>
      </w:pPr>
      <w:rPr>
        <w:rFonts w:hint="default"/>
        <w:lang w:val="en-US" w:eastAsia="en-US" w:bidi="ar-SA"/>
      </w:rPr>
    </w:lvl>
  </w:abstractNum>
  <w:abstractNum w:abstractNumId="148" w15:restartNumberingAfterBreak="0">
    <w:nsid w:val="5CFB5B13"/>
    <w:multiLevelType w:val="hybridMultilevel"/>
    <w:tmpl w:val="69764382"/>
    <w:lvl w:ilvl="0" w:tplc="3ECED8D4">
      <w:start w:val="1"/>
      <w:numFmt w:val="lowerLetter"/>
      <w:lvlText w:val="(%1)"/>
      <w:lvlJc w:val="left"/>
      <w:pPr>
        <w:ind w:left="2840" w:hanging="720"/>
      </w:pPr>
      <w:rPr>
        <w:rFonts w:ascii="Calibri" w:eastAsia="Calibri" w:hAnsi="Calibri" w:cs="Calibri" w:hint="default"/>
        <w:b w:val="0"/>
        <w:bCs w:val="0"/>
        <w:i w:val="0"/>
        <w:iCs w:val="0"/>
        <w:spacing w:val="-1"/>
        <w:w w:val="100"/>
        <w:sz w:val="24"/>
        <w:szCs w:val="24"/>
        <w:lang w:val="en-US" w:eastAsia="en-US" w:bidi="ar-SA"/>
      </w:rPr>
    </w:lvl>
    <w:lvl w:ilvl="1" w:tplc="DB141604">
      <w:numFmt w:val="bullet"/>
      <w:lvlText w:val="•"/>
      <w:lvlJc w:val="left"/>
      <w:pPr>
        <w:ind w:left="3742" w:hanging="720"/>
      </w:pPr>
      <w:rPr>
        <w:rFonts w:hint="default"/>
        <w:lang w:val="en-US" w:eastAsia="en-US" w:bidi="ar-SA"/>
      </w:rPr>
    </w:lvl>
    <w:lvl w:ilvl="2" w:tplc="DD6891E2">
      <w:numFmt w:val="bullet"/>
      <w:lvlText w:val="•"/>
      <w:lvlJc w:val="left"/>
      <w:pPr>
        <w:ind w:left="4645" w:hanging="720"/>
      </w:pPr>
      <w:rPr>
        <w:rFonts w:hint="default"/>
        <w:lang w:val="en-US" w:eastAsia="en-US" w:bidi="ar-SA"/>
      </w:rPr>
    </w:lvl>
    <w:lvl w:ilvl="3" w:tplc="0E682140">
      <w:numFmt w:val="bullet"/>
      <w:lvlText w:val="•"/>
      <w:lvlJc w:val="left"/>
      <w:pPr>
        <w:ind w:left="5547" w:hanging="720"/>
      </w:pPr>
      <w:rPr>
        <w:rFonts w:hint="default"/>
        <w:lang w:val="en-US" w:eastAsia="en-US" w:bidi="ar-SA"/>
      </w:rPr>
    </w:lvl>
    <w:lvl w:ilvl="4" w:tplc="0F86C80A">
      <w:numFmt w:val="bullet"/>
      <w:lvlText w:val="•"/>
      <w:lvlJc w:val="left"/>
      <w:pPr>
        <w:ind w:left="6450" w:hanging="720"/>
      </w:pPr>
      <w:rPr>
        <w:rFonts w:hint="default"/>
        <w:lang w:val="en-US" w:eastAsia="en-US" w:bidi="ar-SA"/>
      </w:rPr>
    </w:lvl>
    <w:lvl w:ilvl="5" w:tplc="B7744BD6">
      <w:numFmt w:val="bullet"/>
      <w:lvlText w:val="•"/>
      <w:lvlJc w:val="left"/>
      <w:pPr>
        <w:ind w:left="7353" w:hanging="720"/>
      </w:pPr>
      <w:rPr>
        <w:rFonts w:hint="default"/>
        <w:lang w:val="en-US" w:eastAsia="en-US" w:bidi="ar-SA"/>
      </w:rPr>
    </w:lvl>
    <w:lvl w:ilvl="6" w:tplc="ADEEF2FA">
      <w:numFmt w:val="bullet"/>
      <w:lvlText w:val="•"/>
      <w:lvlJc w:val="left"/>
      <w:pPr>
        <w:ind w:left="8255" w:hanging="720"/>
      </w:pPr>
      <w:rPr>
        <w:rFonts w:hint="default"/>
        <w:lang w:val="en-US" w:eastAsia="en-US" w:bidi="ar-SA"/>
      </w:rPr>
    </w:lvl>
    <w:lvl w:ilvl="7" w:tplc="039A9702">
      <w:numFmt w:val="bullet"/>
      <w:lvlText w:val="•"/>
      <w:lvlJc w:val="left"/>
      <w:pPr>
        <w:ind w:left="9158" w:hanging="720"/>
      </w:pPr>
      <w:rPr>
        <w:rFonts w:hint="default"/>
        <w:lang w:val="en-US" w:eastAsia="en-US" w:bidi="ar-SA"/>
      </w:rPr>
    </w:lvl>
    <w:lvl w:ilvl="8" w:tplc="B08EAB3A">
      <w:numFmt w:val="bullet"/>
      <w:lvlText w:val="•"/>
      <w:lvlJc w:val="left"/>
      <w:pPr>
        <w:ind w:left="10061" w:hanging="720"/>
      </w:pPr>
      <w:rPr>
        <w:rFonts w:hint="default"/>
        <w:lang w:val="en-US" w:eastAsia="en-US" w:bidi="ar-SA"/>
      </w:rPr>
    </w:lvl>
  </w:abstractNum>
  <w:abstractNum w:abstractNumId="149" w15:restartNumberingAfterBreak="0">
    <w:nsid w:val="5D014285"/>
    <w:multiLevelType w:val="hybridMultilevel"/>
    <w:tmpl w:val="2F88D87C"/>
    <w:lvl w:ilvl="0" w:tplc="8A926AE8">
      <w:numFmt w:val="bullet"/>
      <w:lvlText w:val="-"/>
      <w:lvlJc w:val="left"/>
      <w:pPr>
        <w:ind w:left="109" w:hanging="118"/>
      </w:pPr>
      <w:rPr>
        <w:rFonts w:ascii="Calibri" w:eastAsia="Calibri" w:hAnsi="Calibri" w:cs="Calibri" w:hint="default"/>
        <w:b w:val="0"/>
        <w:bCs w:val="0"/>
        <w:i w:val="0"/>
        <w:iCs w:val="0"/>
        <w:spacing w:val="0"/>
        <w:w w:val="100"/>
        <w:sz w:val="22"/>
        <w:szCs w:val="22"/>
        <w:lang w:val="en-US" w:eastAsia="en-US" w:bidi="ar-SA"/>
      </w:rPr>
    </w:lvl>
    <w:lvl w:ilvl="1" w:tplc="B1A6DC2E">
      <w:numFmt w:val="bullet"/>
      <w:lvlText w:val="•"/>
      <w:lvlJc w:val="left"/>
      <w:pPr>
        <w:ind w:left="387" w:hanging="118"/>
      </w:pPr>
      <w:rPr>
        <w:rFonts w:hint="default"/>
        <w:lang w:val="en-US" w:eastAsia="en-US" w:bidi="ar-SA"/>
      </w:rPr>
    </w:lvl>
    <w:lvl w:ilvl="2" w:tplc="74E4A95C">
      <w:numFmt w:val="bullet"/>
      <w:lvlText w:val="•"/>
      <w:lvlJc w:val="left"/>
      <w:pPr>
        <w:ind w:left="675" w:hanging="118"/>
      </w:pPr>
      <w:rPr>
        <w:rFonts w:hint="default"/>
        <w:lang w:val="en-US" w:eastAsia="en-US" w:bidi="ar-SA"/>
      </w:rPr>
    </w:lvl>
    <w:lvl w:ilvl="3" w:tplc="E2B4B95A">
      <w:numFmt w:val="bullet"/>
      <w:lvlText w:val="•"/>
      <w:lvlJc w:val="left"/>
      <w:pPr>
        <w:ind w:left="963" w:hanging="118"/>
      </w:pPr>
      <w:rPr>
        <w:rFonts w:hint="default"/>
        <w:lang w:val="en-US" w:eastAsia="en-US" w:bidi="ar-SA"/>
      </w:rPr>
    </w:lvl>
    <w:lvl w:ilvl="4" w:tplc="41A49030">
      <w:numFmt w:val="bullet"/>
      <w:lvlText w:val="•"/>
      <w:lvlJc w:val="left"/>
      <w:pPr>
        <w:ind w:left="1251" w:hanging="118"/>
      </w:pPr>
      <w:rPr>
        <w:rFonts w:hint="default"/>
        <w:lang w:val="en-US" w:eastAsia="en-US" w:bidi="ar-SA"/>
      </w:rPr>
    </w:lvl>
    <w:lvl w:ilvl="5" w:tplc="02F26062">
      <w:numFmt w:val="bullet"/>
      <w:lvlText w:val="•"/>
      <w:lvlJc w:val="left"/>
      <w:pPr>
        <w:ind w:left="1539" w:hanging="118"/>
      </w:pPr>
      <w:rPr>
        <w:rFonts w:hint="default"/>
        <w:lang w:val="en-US" w:eastAsia="en-US" w:bidi="ar-SA"/>
      </w:rPr>
    </w:lvl>
    <w:lvl w:ilvl="6" w:tplc="2A0A488A">
      <w:numFmt w:val="bullet"/>
      <w:lvlText w:val="•"/>
      <w:lvlJc w:val="left"/>
      <w:pPr>
        <w:ind w:left="1826" w:hanging="118"/>
      </w:pPr>
      <w:rPr>
        <w:rFonts w:hint="default"/>
        <w:lang w:val="en-US" w:eastAsia="en-US" w:bidi="ar-SA"/>
      </w:rPr>
    </w:lvl>
    <w:lvl w:ilvl="7" w:tplc="3CBC40CA">
      <w:numFmt w:val="bullet"/>
      <w:lvlText w:val="•"/>
      <w:lvlJc w:val="left"/>
      <w:pPr>
        <w:ind w:left="2114" w:hanging="118"/>
      </w:pPr>
      <w:rPr>
        <w:rFonts w:hint="default"/>
        <w:lang w:val="en-US" w:eastAsia="en-US" w:bidi="ar-SA"/>
      </w:rPr>
    </w:lvl>
    <w:lvl w:ilvl="8" w:tplc="F786625A">
      <w:numFmt w:val="bullet"/>
      <w:lvlText w:val="•"/>
      <w:lvlJc w:val="left"/>
      <w:pPr>
        <w:ind w:left="2402" w:hanging="118"/>
      </w:pPr>
      <w:rPr>
        <w:rFonts w:hint="default"/>
        <w:lang w:val="en-US" w:eastAsia="en-US" w:bidi="ar-SA"/>
      </w:rPr>
    </w:lvl>
  </w:abstractNum>
  <w:abstractNum w:abstractNumId="150" w15:restartNumberingAfterBreak="0">
    <w:nsid w:val="5D554C90"/>
    <w:multiLevelType w:val="multilevel"/>
    <w:tmpl w:val="EFE85C60"/>
    <w:lvl w:ilvl="0">
      <w:start w:val="1"/>
      <w:numFmt w:val="decimal"/>
      <w:lvlText w:val="%1."/>
      <w:lvlJc w:val="left"/>
      <w:pPr>
        <w:ind w:left="2120" w:hanging="720"/>
      </w:pPr>
      <w:rPr>
        <w:rFonts w:ascii="Arial" w:eastAsia="Arial" w:hAnsi="Arial" w:cs="Arial" w:hint="default"/>
        <w:b w:val="0"/>
        <w:bCs w:val="0"/>
        <w:i w:val="0"/>
        <w:iCs w:val="0"/>
        <w:spacing w:val="0"/>
        <w:w w:val="100"/>
        <w:sz w:val="24"/>
        <w:szCs w:val="24"/>
        <w:lang w:val="en-US" w:eastAsia="en-US" w:bidi="ar-SA"/>
      </w:rPr>
    </w:lvl>
    <w:lvl w:ilvl="1">
      <w:start w:val="1"/>
      <w:numFmt w:val="decimal"/>
      <w:lvlText w:val="%1.%2"/>
      <w:lvlJc w:val="left"/>
      <w:pPr>
        <w:ind w:left="2532" w:hanging="720"/>
      </w:pPr>
      <w:rPr>
        <w:rFonts w:ascii="Arial" w:eastAsia="Arial" w:hAnsi="Arial" w:cs="Arial" w:hint="default"/>
        <w:b w:val="0"/>
        <w:bCs w:val="0"/>
        <w:i w:val="0"/>
        <w:iCs w:val="0"/>
        <w:spacing w:val="0"/>
        <w:w w:val="100"/>
        <w:sz w:val="24"/>
        <w:szCs w:val="24"/>
        <w:lang w:val="en-US" w:eastAsia="en-US" w:bidi="ar-SA"/>
      </w:rPr>
    </w:lvl>
    <w:lvl w:ilvl="2">
      <w:numFmt w:val="bullet"/>
      <w:lvlText w:val="•"/>
      <w:lvlJc w:val="left"/>
      <w:pPr>
        <w:ind w:left="3576" w:hanging="720"/>
      </w:pPr>
      <w:rPr>
        <w:rFonts w:hint="default"/>
        <w:lang w:val="en-US" w:eastAsia="en-US" w:bidi="ar-SA"/>
      </w:rPr>
    </w:lvl>
    <w:lvl w:ilvl="3">
      <w:numFmt w:val="bullet"/>
      <w:lvlText w:val="•"/>
      <w:lvlJc w:val="left"/>
      <w:pPr>
        <w:ind w:left="4612" w:hanging="720"/>
      </w:pPr>
      <w:rPr>
        <w:rFonts w:hint="default"/>
        <w:lang w:val="en-US" w:eastAsia="en-US" w:bidi="ar-SA"/>
      </w:rPr>
    </w:lvl>
    <w:lvl w:ilvl="4">
      <w:numFmt w:val="bullet"/>
      <w:lvlText w:val="•"/>
      <w:lvlJc w:val="left"/>
      <w:pPr>
        <w:ind w:left="5648" w:hanging="720"/>
      </w:pPr>
      <w:rPr>
        <w:rFonts w:hint="default"/>
        <w:lang w:val="en-US" w:eastAsia="en-US" w:bidi="ar-SA"/>
      </w:rPr>
    </w:lvl>
    <w:lvl w:ilvl="5">
      <w:numFmt w:val="bullet"/>
      <w:lvlText w:val="•"/>
      <w:lvlJc w:val="left"/>
      <w:pPr>
        <w:ind w:left="6685" w:hanging="720"/>
      </w:pPr>
      <w:rPr>
        <w:rFonts w:hint="default"/>
        <w:lang w:val="en-US" w:eastAsia="en-US" w:bidi="ar-SA"/>
      </w:rPr>
    </w:lvl>
    <w:lvl w:ilvl="6">
      <w:numFmt w:val="bullet"/>
      <w:lvlText w:val="•"/>
      <w:lvlJc w:val="left"/>
      <w:pPr>
        <w:ind w:left="7721" w:hanging="720"/>
      </w:pPr>
      <w:rPr>
        <w:rFonts w:hint="default"/>
        <w:lang w:val="en-US" w:eastAsia="en-US" w:bidi="ar-SA"/>
      </w:rPr>
    </w:lvl>
    <w:lvl w:ilvl="7">
      <w:numFmt w:val="bullet"/>
      <w:lvlText w:val="•"/>
      <w:lvlJc w:val="left"/>
      <w:pPr>
        <w:ind w:left="8757" w:hanging="720"/>
      </w:pPr>
      <w:rPr>
        <w:rFonts w:hint="default"/>
        <w:lang w:val="en-US" w:eastAsia="en-US" w:bidi="ar-SA"/>
      </w:rPr>
    </w:lvl>
    <w:lvl w:ilvl="8">
      <w:numFmt w:val="bullet"/>
      <w:lvlText w:val="•"/>
      <w:lvlJc w:val="left"/>
      <w:pPr>
        <w:ind w:left="9793" w:hanging="720"/>
      </w:pPr>
      <w:rPr>
        <w:rFonts w:hint="default"/>
        <w:lang w:val="en-US" w:eastAsia="en-US" w:bidi="ar-SA"/>
      </w:rPr>
    </w:lvl>
  </w:abstractNum>
  <w:abstractNum w:abstractNumId="151" w15:restartNumberingAfterBreak="0">
    <w:nsid w:val="5EAE16E2"/>
    <w:multiLevelType w:val="hybridMultilevel"/>
    <w:tmpl w:val="063C8D2E"/>
    <w:lvl w:ilvl="0" w:tplc="C066A16E">
      <w:numFmt w:val="bullet"/>
      <w:lvlText w:val=""/>
      <w:lvlJc w:val="left"/>
      <w:pPr>
        <w:ind w:left="826" w:hanging="360"/>
      </w:pPr>
      <w:rPr>
        <w:rFonts w:ascii="Wingdings" w:eastAsia="Wingdings" w:hAnsi="Wingdings" w:cs="Wingdings" w:hint="default"/>
        <w:b w:val="0"/>
        <w:bCs w:val="0"/>
        <w:i w:val="0"/>
        <w:iCs w:val="0"/>
        <w:color w:val="0D0D0D"/>
        <w:spacing w:val="0"/>
        <w:w w:val="100"/>
        <w:sz w:val="22"/>
        <w:szCs w:val="22"/>
        <w:lang w:val="en-US" w:eastAsia="en-US" w:bidi="ar-SA"/>
      </w:rPr>
    </w:lvl>
    <w:lvl w:ilvl="1" w:tplc="85FC8CCE">
      <w:numFmt w:val="bullet"/>
      <w:lvlText w:val="•"/>
      <w:lvlJc w:val="left"/>
      <w:pPr>
        <w:ind w:left="916" w:hanging="360"/>
      </w:pPr>
      <w:rPr>
        <w:rFonts w:hint="default"/>
        <w:lang w:val="en-US" w:eastAsia="en-US" w:bidi="ar-SA"/>
      </w:rPr>
    </w:lvl>
    <w:lvl w:ilvl="2" w:tplc="3048A6B0">
      <w:numFmt w:val="bullet"/>
      <w:lvlText w:val="•"/>
      <w:lvlJc w:val="left"/>
      <w:pPr>
        <w:ind w:left="1012" w:hanging="360"/>
      </w:pPr>
      <w:rPr>
        <w:rFonts w:hint="default"/>
        <w:lang w:val="en-US" w:eastAsia="en-US" w:bidi="ar-SA"/>
      </w:rPr>
    </w:lvl>
    <w:lvl w:ilvl="3" w:tplc="2892F098">
      <w:numFmt w:val="bullet"/>
      <w:lvlText w:val="•"/>
      <w:lvlJc w:val="left"/>
      <w:pPr>
        <w:ind w:left="1108" w:hanging="360"/>
      </w:pPr>
      <w:rPr>
        <w:rFonts w:hint="default"/>
        <w:lang w:val="en-US" w:eastAsia="en-US" w:bidi="ar-SA"/>
      </w:rPr>
    </w:lvl>
    <w:lvl w:ilvl="4" w:tplc="78143CE8">
      <w:numFmt w:val="bullet"/>
      <w:lvlText w:val="•"/>
      <w:lvlJc w:val="left"/>
      <w:pPr>
        <w:ind w:left="1205" w:hanging="360"/>
      </w:pPr>
      <w:rPr>
        <w:rFonts w:hint="default"/>
        <w:lang w:val="en-US" w:eastAsia="en-US" w:bidi="ar-SA"/>
      </w:rPr>
    </w:lvl>
    <w:lvl w:ilvl="5" w:tplc="E7541E26">
      <w:numFmt w:val="bullet"/>
      <w:lvlText w:val="•"/>
      <w:lvlJc w:val="left"/>
      <w:pPr>
        <w:ind w:left="1301" w:hanging="360"/>
      </w:pPr>
      <w:rPr>
        <w:rFonts w:hint="default"/>
        <w:lang w:val="en-US" w:eastAsia="en-US" w:bidi="ar-SA"/>
      </w:rPr>
    </w:lvl>
    <w:lvl w:ilvl="6" w:tplc="13A616DA">
      <w:numFmt w:val="bullet"/>
      <w:lvlText w:val="•"/>
      <w:lvlJc w:val="left"/>
      <w:pPr>
        <w:ind w:left="1397" w:hanging="360"/>
      </w:pPr>
      <w:rPr>
        <w:rFonts w:hint="default"/>
        <w:lang w:val="en-US" w:eastAsia="en-US" w:bidi="ar-SA"/>
      </w:rPr>
    </w:lvl>
    <w:lvl w:ilvl="7" w:tplc="1EFC2B78">
      <w:numFmt w:val="bullet"/>
      <w:lvlText w:val="•"/>
      <w:lvlJc w:val="left"/>
      <w:pPr>
        <w:ind w:left="1494" w:hanging="360"/>
      </w:pPr>
      <w:rPr>
        <w:rFonts w:hint="default"/>
        <w:lang w:val="en-US" w:eastAsia="en-US" w:bidi="ar-SA"/>
      </w:rPr>
    </w:lvl>
    <w:lvl w:ilvl="8" w:tplc="24927CF4">
      <w:numFmt w:val="bullet"/>
      <w:lvlText w:val="•"/>
      <w:lvlJc w:val="left"/>
      <w:pPr>
        <w:ind w:left="1590" w:hanging="360"/>
      </w:pPr>
      <w:rPr>
        <w:rFonts w:hint="default"/>
        <w:lang w:val="en-US" w:eastAsia="en-US" w:bidi="ar-SA"/>
      </w:rPr>
    </w:lvl>
  </w:abstractNum>
  <w:abstractNum w:abstractNumId="152" w15:restartNumberingAfterBreak="0">
    <w:nsid w:val="5EC57E32"/>
    <w:multiLevelType w:val="hybridMultilevel"/>
    <w:tmpl w:val="10C6DC26"/>
    <w:lvl w:ilvl="0" w:tplc="4ACAB1B2">
      <w:start w:val="1"/>
      <w:numFmt w:val="lowerLetter"/>
      <w:lvlText w:val="%1)"/>
      <w:lvlJc w:val="left"/>
      <w:pPr>
        <w:ind w:left="388" w:hanging="281"/>
      </w:pPr>
      <w:rPr>
        <w:rFonts w:ascii="Arial" w:eastAsia="Arial" w:hAnsi="Arial" w:cs="Arial" w:hint="default"/>
        <w:b w:val="0"/>
        <w:bCs w:val="0"/>
        <w:i w:val="0"/>
        <w:iCs w:val="0"/>
        <w:spacing w:val="0"/>
        <w:w w:val="100"/>
        <w:sz w:val="24"/>
        <w:szCs w:val="24"/>
        <w:lang w:val="en-US" w:eastAsia="en-US" w:bidi="ar-SA"/>
      </w:rPr>
    </w:lvl>
    <w:lvl w:ilvl="1" w:tplc="72C20724">
      <w:numFmt w:val="bullet"/>
      <w:lvlText w:val="•"/>
      <w:lvlJc w:val="left"/>
      <w:pPr>
        <w:ind w:left="1089" w:hanging="281"/>
      </w:pPr>
      <w:rPr>
        <w:rFonts w:hint="default"/>
        <w:lang w:val="en-US" w:eastAsia="en-US" w:bidi="ar-SA"/>
      </w:rPr>
    </w:lvl>
    <w:lvl w:ilvl="2" w:tplc="46D6FF18">
      <w:numFmt w:val="bullet"/>
      <w:lvlText w:val="•"/>
      <w:lvlJc w:val="left"/>
      <w:pPr>
        <w:ind w:left="1798" w:hanging="281"/>
      </w:pPr>
      <w:rPr>
        <w:rFonts w:hint="default"/>
        <w:lang w:val="en-US" w:eastAsia="en-US" w:bidi="ar-SA"/>
      </w:rPr>
    </w:lvl>
    <w:lvl w:ilvl="3" w:tplc="CC4E80A6">
      <w:numFmt w:val="bullet"/>
      <w:lvlText w:val="•"/>
      <w:lvlJc w:val="left"/>
      <w:pPr>
        <w:ind w:left="2508" w:hanging="281"/>
      </w:pPr>
      <w:rPr>
        <w:rFonts w:hint="default"/>
        <w:lang w:val="en-US" w:eastAsia="en-US" w:bidi="ar-SA"/>
      </w:rPr>
    </w:lvl>
    <w:lvl w:ilvl="4" w:tplc="DD1869C6">
      <w:numFmt w:val="bullet"/>
      <w:lvlText w:val="•"/>
      <w:lvlJc w:val="left"/>
      <w:pPr>
        <w:ind w:left="3217" w:hanging="281"/>
      </w:pPr>
      <w:rPr>
        <w:rFonts w:hint="default"/>
        <w:lang w:val="en-US" w:eastAsia="en-US" w:bidi="ar-SA"/>
      </w:rPr>
    </w:lvl>
    <w:lvl w:ilvl="5" w:tplc="5A8AF978">
      <w:numFmt w:val="bullet"/>
      <w:lvlText w:val="•"/>
      <w:lvlJc w:val="left"/>
      <w:pPr>
        <w:ind w:left="3927" w:hanging="281"/>
      </w:pPr>
      <w:rPr>
        <w:rFonts w:hint="default"/>
        <w:lang w:val="en-US" w:eastAsia="en-US" w:bidi="ar-SA"/>
      </w:rPr>
    </w:lvl>
    <w:lvl w:ilvl="6" w:tplc="3D8EF386">
      <w:numFmt w:val="bullet"/>
      <w:lvlText w:val="•"/>
      <w:lvlJc w:val="left"/>
      <w:pPr>
        <w:ind w:left="4636" w:hanging="281"/>
      </w:pPr>
      <w:rPr>
        <w:rFonts w:hint="default"/>
        <w:lang w:val="en-US" w:eastAsia="en-US" w:bidi="ar-SA"/>
      </w:rPr>
    </w:lvl>
    <w:lvl w:ilvl="7" w:tplc="FE56AC96">
      <w:numFmt w:val="bullet"/>
      <w:lvlText w:val="•"/>
      <w:lvlJc w:val="left"/>
      <w:pPr>
        <w:ind w:left="5345" w:hanging="281"/>
      </w:pPr>
      <w:rPr>
        <w:rFonts w:hint="default"/>
        <w:lang w:val="en-US" w:eastAsia="en-US" w:bidi="ar-SA"/>
      </w:rPr>
    </w:lvl>
    <w:lvl w:ilvl="8" w:tplc="69A67A9E">
      <w:numFmt w:val="bullet"/>
      <w:lvlText w:val="•"/>
      <w:lvlJc w:val="left"/>
      <w:pPr>
        <w:ind w:left="6055" w:hanging="281"/>
      </w:pPr>
      <w:rPr>
        <w:rFonts w:hint="default"/>
        <w:lang w:val="en-US" w:eastAsia="en-US" w:bidi="ar-SA"/>
      </w:rPr>
    </w:lvl>
  </w:abstractNum>
  <w:abstractNum w:abstractNumId="153" w15:restartNumberingAfterBreak="0">
    <w:nsid w:val="5F5F1A6F"/>
    <w:multiLevelType w:val="hybridMultilevel"/>
    <w:tmpl w:val="B91283CA"/>
    <w:lvl w:ilvl="0" w:tplc="6F28F236">
      <w:numFmt w:val="bullet"/>
      <w:lvlText w:val=""/>
      <w:lvlJc w:val="left"/>
      <w:pPr>
        <w:ind w:left="816" w:hanging="360"/>
      </w:pPr>
      <w:rPr>
        <w:rFonts w:ascii="Wingdings" w:eastAsia="Wingdings" w:hAnsi="Wingdings" w:cs="Wingdings" w:hint="default"/>
        <w:b w:val="0"/>
        <w:bCs w:val="0"/>
        <w:i w:val="0"/>
        <w:iCs w:val="0"/>
        <w:color w:val="0D0D0D"/>
        <w:spacing w:val="0"/>
        <w:w w:val="100"/>
        <w:sz w:val="24"/>
        <w:szCs w:val="24"/>
        <w:lang w:val="en-US" w:eastAsia="en-US" w:bidi="ar-SA"/>
      </w:rPr>
    </w:lvl>
    <w:lvl w:ilvl="1" w:tplc="9E0A7E28">
      <w:numFmt w:val="bullet"/>
      <w:lvlText w:val="•"/>
      <w:lvlJc w:val="left"/>
      <w:pPr>
        <w:ind w:left="961" w:hanging="360"/>
      </w:pPr>
      <w:rPr>
        <w:rFonts w:hint="default"/>
        <w:lang w:val="en-US" w:eastAsia="en-US" w:bidi="ar-SA"/>
      </w:rPr>
    </w:lvl>
    <w:lvl w:ilvl="2" w:tplc="2D8CCD5A">
      <w:numFmt w:val="bullet"/>
      <w:lvlText w:val="•"/>
      <w:lvlJc w:val="left"/>
      <w:pPr>
        <w:ind w:left="1102" w:hanging="360"/>
      </w:pPr>
      <w:rPr>
        <w:rFonts w:hint="default"/>
        <w:lang w:val="en-US" w:eastAsia="en-US" w:bidi="ar-SA"/>
      </w:rPr>
    </w:lvl>
    <w:lvl w:ilvl="3" w:tplc="71A2CBA2">
      <w:numFmt w:val="bullet"/>
      <w:lvlText w:val="•"/>
      <w:lvlJc w:val="left"/>
      <w:pPr>
        <w:ind w:left="1243" w:hanging="360"/>
      </w:pPr>
      <w:rPr>
        <w:rFonts w:hint="default"/>
        <w:lang w:val="en-US" w:eastAsia="en-US" w:bidi="ar-SA"/>
      </w:rPr>
    </w:lvl>
    <w:lvl w:ilvl="4" w:tplc="A29CB2D0">
      <w:numFmt w:val="bullet"/>
      <w:lvlText w:val="•"/>
      <w:lvlJc w:val="left"/>
      <w:pPr>
        <w:ind w:left="1385" w:hanging="360"/>
      </w:pPr>
      <w:rPr>
        <w:rFonts w:hint="default"/>
        <w:lang w:val="en-US" w:eastAsia="en-US" w:bidi="ar-SA"/>
      </w:rPr>
    </w:lvl>
    <w:lvl w:ilvl="5" w:tplc="65B6537A">
      <w:numFmt w:val="bullet"/>
      <w:lvlText w:val="•"/>
      <w:lvlJc w:val="left"/>
      <w:pPr>
        <w:ind w:left="1526" w:hanging="360"/>
      </w:pPr>
      <w:rPr>
        <w:rFonts w:hint="default"/>
        <w:lang w:val="en-US" w:eastAsia="en-US" w:bidi="ar-SA"/>
      </w:rPr>
    </w:lvl>
    <w:lvl w:ilvl="6" w:tplc="098CA8B2">
      <w:numFmt w:val="bullet"/>
      <w:lvlText w:val="•"/>
      <w:lvlJc w:val="left"/>
      <w:pPr>
        <w:ind w:left="1667" w:hanging="360"/>
      </w:pPr>
      <w:rPr>
        <w:rFonts w:hint="default"/>
        <w:lang w:val="en-US" w:eastAsia="en-US" w:bidi="ar-SA"/>
      </w:rPr>
    </w:lvl>
    <w:lvl w:ilvl="7" w:tplc="49EEBA98">
      <w:numFmt w:val="bullet"/>
      <w:lvlText w:val="•"/>
      <w:lvlJc w:val="left"/>
      <w:pPr>
        <w:ind w:left="1809" w:hanging="360"/>
      </w:pPr>
      <w:rPr>
        <w:rFonts w:hint="default"/>
        <w:lang w:val="en-US" w:eastAsia="en-US" w:bidi="ar-SA"/>
      </w:rPr>
    </w:lvl>
    <w:lvl w:ilvl="8" w:tplc="ED5EEC94">
      <w:numFmt w:val="bullet"/>
      <w:lvlText w:val="•"/>
      <w:lvlJc w:val="left"/>
      <w:pPr>
        <w:ind w:left="1950" w:hanging="360"/>
      </w:pPr>
      <w:rPr>
        <w:rFonts w:hint="default"/>
        <w:lang w:val="en-US" w:eastAsia="en-US" w:bidi="ar-SA"/>
      </w:rPr>
    </w:lvl>
  </w:abstractNum>
  <w:abstractNum w:abstractNumId="154" w15:restartNumberingAfterBreak="0">
    <w:nsid w:val="602E10CE"/>
    <w:multiLevelType w:val="hybridMultilevel"/>
    <w:tmpl w:val="D7464922"/>
    <w:lvl w:ilvl="0" w:tplc="0D66561A">
      <w:numFmt w:val="bullet"/>
      <w:lvlText w:val=""/>
      <w:lvlJc w:val="left"/>
      <w:pPr>
        <w:ind w:left="816" w:hanging="360"/>
      </w:pPr>
      <w:rPr>
        <w:rFonts w:ascii="Wingdings" w:eastAsia="Wingdings" w:hAnsi="Wingdings" w:cs="Wingdings" w:hint="default"/>
        <w:b w:val="0"/>
        <w:bCs w:val="0"/>
        <w:i w:val="0"/>
        <w:iCs w:val="0"/>
        <w:color w:val="0D0D0D"/>
        <w:spacing w:val="0"/>
        <w:w w:val="100"/>
        <w:sz w:val="24"/>
        <w:szCs w:val="24"/>
        <w:lang w:val="en-US" w:eastAsia="en-US" w:bidi="ar-SA"/>
      </w:rPr>
    </w:lvl>
    <w:lvl w:ilvl="1" w:tplc="B80C43B6">
      <w:numFmt w:val="bullet"/>
      <w:lvlText w:val="•"/>
      <w:lvlJc w:val="left"/>
      <w:pPr>
        <w:ind w:left="961" w:hanging="360"/>
      </w:pPr>
      <w:rPr>
        <w:rFonts w:hint="default"/>
        <w:lang w:val="en-US" w:eastAsia="en-US" w:bidi="ar-SA"/>
      </w:rPr>
    </w:lvl>
    <w:lvl w:ilvl="2" w:tplc="EE82AEBA">
      <w:numFmt w:val="bullet"/>
      <w:lvlText w:val="•"/>
      <w:lvlJc w:val="left"/>
      <w:pPr>
        <w:ind w:left="1102" w:hanging="360"/>
      </w:pPr>
      <w:rPr>
        <w:rFonts w:hint="default"/>
        <w:lang w:val="en-US" w:eastAsia="en-US" w:bidi="ar-SA"/>
      </w:rPr>
    </w:lvl>
    <w:lvl w:ilvl="3" w:tplc="A5100032">
      <w:numFmt w:val="bullet"/>
      <w:lvlText w:val="•"/>
      <w:lvlJc w:val="left"/>
      <w:pPr>
        <w:ind w:left="1243" w:hanging="360"/>
      </w:pPr>
      <w:rPr>
        <w:rFonts w:hint="default"/>
        <w:lang w:val="en-US" w:eastAsia="en-US" w:bidi="ar-SA"/>
      </w:rPr>
    </w:lvl>
    <w:lvl w:ilvl="4" w:tplc="C22805F8">
      <w:numFmt w:val="bullet"/>
      <w:lvlText w:val="•"/>
      <w:lvlJc w:val="left"/>
      <w:pPr>
        <w:ind w:left="1385" w:hanging="360"/>
      </w:pPr>
      <w:rPr>
        <w:rFonts w:hint="default"/>
        <w:lang w:val="en-US" w:eastAsia="en-US" w:bidi="ar-SA"/>
      </w:rPr>
    </w:lvl>
    <w:lvl w:ilvl="5" w:tplc="5D9237B0">
      <w:numFmt w:val="bullet"/>
      <w:lvlText w:val="•"/>
      <w:lvlJc w:val="left"/>
      <w:pPr>
        <w:ind w:left="1526" w:hanging="360"/>
      </w:pPr>
      <w:rPr>
        <w:rFonts w:hint="default"/>
        <w:lang w:val="en-US" w:eastAsia="en-US" w:bidi="ar-SA"/>
      </w:rPr>
    </w:lvl>
    <w:lvl w:ilvl="6" w:tplc="C9CE7D72">
      <w:numFmt w:val="bullet"/>
      <w:lvlText w:val="•"/>
      <w:lvlJc w:val="left"/>
      <w:pPr>
        <w:ind w:left="1667" w:hanging="360"/>
      </w:pPr>
      <w:rPr>
        <w:rFonts w:hint="default"/>
        <w:lang w:val="en-US" w:eastAsia="en-US" w:bidi="ar-SA"/>
      </w:rPr>
    </w:lvl>
    <w:lvl w:ilvl="7" w:tplc="2140EA24">
      <w:numFmt w:val="bullet"/>
      <w:lvlText w:val="•"/>
      <w:lvlJc w:val="left"/>
      <w:pPr>
        <w:ind w:left="1809" w:hanging="360"/>
      </w:pPr>
      <w:rPr>
        <w:rFonts w:hint="default"/>
        <w:lang w:val="en-US" w:eastAsia="en-US" w:bidi="ar-SA"/>
      </w:rPr>
    </w:lvl>
    <w:lvl w:ilvl="8" w:tplc="0646EEDA">
      <w:numFmt w:val="bullet"/>
      <w:lvlText w:val="•"/>
      <w:lvlJc w:val="left"/>
      <w:pPr>
        <w:ind w:left="1950" w:hanging="360"/>
      </w:pPr>
      <w:rPr>
        <w:rFonts w:hint="default"/>
        <w:lang w:val="en-US" w:eastAsia="en-US" w:bidi="ar-SA"/>
      </w:rPr>
    </w:lvl>
  </w:abstractNum>
  <w:abstractNum w:abstractNumId="155" w15:restartNumberingAfterBreak="0">
    <w:nsid w:val="63527E8D"/>
    <w:multiLevelType w:val="multilevel"/>
    <w:tmpl w:val="57D6030E"/>
    <w:lvl w:ilvl="0">
      <w:start w:val="1"/>
      <w:numFmt w:val="decimal"/>
      <w:lvlText w:val="%1."/>
      <w:lvlJc w:val="left"/>
      <w:pPr>
        <w:ind w:left="1760" w:hanging="360"/>
      </w:pPr>
      <w:rPr>
        <w:rFonts w:ascii="Arial" w:eastAsia="Arial" w:hAnsi="Arial" w:cs="Arial" w:hint="default"/>
        <w:b/>
        <w:bCs/>
        <w:i w:val="0"/>
        <w:iCs w:val="0"/>
        <w:spacing w:val="0"/>
        <w:w w:val="100"/>
        <w:sz w:val="24"/>
        <w:szCs w:val="24"/>
        <w:lang w:val="en-US" w:eastAsia="en-US" w:bidi="ar-SA"/>
      </w:rPr>
    </w:lvl>
    <w:lvl w:ilvl="1">
      <w:start w:val="1"/>
      <w:numFmt w:val="decimal"/>
      <w:lvlText w:val="%1.%2"/>
      <w:lvlJc w:val="left"/>
      <w:pPr>
        <w:ind w:left="2300" w:hanging="540"/>
      </w:pPr>
      <w:rPr>
        <w:rFonts w:ascii="Arial" w:eastAsia="Arial" w:hAnsi="Arial" w:cs="Arial" w:hint="default"/>
        <w:b w:val="0"/>
        <w:bCs w:val="0"/>
        <w:i w:val="0"/>
        <w:iCs w:val="0"/>
        <w:spacing w:val="0"/>
        <w:w w:val="99"/>
        <w:sz w:val="24"/>
        <w:szCs w:val="24"/>
        <w:lang w:val="en-US" w:eastAsia="en-US" w:bidi="ar-SA"/>
      </w:rPr>
    </w:lvl>
    <w:lvl w:ilvl="2">
      <w:numFmt w:val="bullet"/>
      <w:lvlText w:val="•"/>
      <w:lvlJc w:val="left"/>
      <w:pPr>
        <w:ind w:left="3362" w:hanging="540"/>
      </w:pPr>
      <w:rPr>
        <w:rFonts w:hint="default"/>
        <w:lang w:val="en-US" w:eastAsia="en-US" w:bidi="ar-SA"/>
      </w:rPr>
    </w:lvl>
    <w:lvl w:ilvl="3">
      <w:numFmt w:val="bullet"/>
      <w:lvlText w:val="•"/>
      <w:lvlJc w:val="left"/>
      <w:pPr>
        <w:ind w:left="4425" w:hanging="540"/>
      </w:pPr>
      <w:rPr>
        <w:rFonts w:hint="default"/>
        <w:lang w:val="en-US" w:eastAsia="en-US" w:bidi="ar-SA"/>
      </w:rPr>
    </w:lvl>
    <w:lvl w:ilvl="4">
      <w:numFmt w:val="bullet"/>
      <w:lvlText w:val="•"/>
      <w:lvlJc w:val="left"/>
      <w:pPr>
        <w:ind w:left="5488" w:hanging="540"/>
      </w:pPr>
      <w:rPr>
        <w:rFonts w:hint="default"/>
        <w:lang w:val="en-US" w:eastAsia="en-US" w:bidi="ar-SA"/>
      </w:rPr>
    </w:lvl>
    <w:lvl w:ilvl="5">
      <w:numFmt w:val="bullet"/>
      <w:lvlText w:val="•"/>
      <w:lvlJc w:val="left"/>
      <w:pPr>
        <w:ind w:left="6551" w:hanging="540"/>
      </w:pPr>
      <w:rPr>
        <w:rFonts w:hint="default"/>
        <w:lang w:val="en-US" w:eastAsia="en-US" w:bidi="ar-SA"/>
      </w:rPr>
    </w:lvl>
    <w:lvl w:ilvl="6">
      <w:numFmt w:val="bullet"/>
      <w:lvlText w:val="•"/>
      <w:lvlJc w:val="left"/>
      <w:pPr>
        <w:ind w:left="7614" w:hanging="540"/>
      </w:pPr>
      <w:rPr>
        <w:rFonts w:hint="default"/>
        <w:lang w:val="en-US" w:eastAsia="en-US" w:bidi="ar-SA"/>
      </w:rPr>
    </w:lvl>
    <w:lvl w:ilvl="7">
      <w:numFmt w:val="bullet"/>
      <w:lvlText w:val="•"/>
      <w:lvlJc w:val="left"/>
      <w:pPr>
        <w:ind w:left="8677" w:hanging="540"/>
      </w:pPr>
      <w:rPr>
        <w:rFonts w:hint="default"/>
        <w:lang w:val="en-US" w:eastAsia="en-US" w:bidi="ar-SA"/>
      </w:rPr>
    </w:lvl>
    <w:lvl w:ilvl="8">
      <w:numFmt w:val="bullet"/>
      <w:lvlText w:val="•"/>
      <w:lvlJc w:val="left"/>
      <w:pPr>
        <w:ind w:left="9740" w:hanging="540"/>
      </w:pPr>
      <w:rPr>
        <w:rFonts w:hint="default"/>
        <w:lang w:val="en-US" w:eastAsia="en-US" w:bidi="ar-SA"/>
      </w:rPr>
    </w:lvl>
  </w:abstractNum>
  <w:abstractNum w:abstractNumId="156" w15:restartNumberingAfterBreak="0">
    <w:nsid w:val="638B069D"/>
    <w:multiLevelType w:val="hybridMultilevel"/>
    <w:tmpl w:val="DBB42DF6"/>
    <w:lvl w:ilvl="0" w:tplc="BACA584E">
      <w:start w:val="42"/>
      <w:numFmt w:val="lowerLetter"/>
      <w:lvlText w:val="%1)"/>
      <w:lvlJc w:val="left"/>
      <w:pPr>
        <w:ind w:left="539" w:hanging="576"/>
      </w:pPr>
      <w:rPr>
        <w:rFonts w:ascii="Arial" w:eastAsia="Arial" w:hAnsi="Arial" w:cs="Arial" w:hint="default"/>
        <w:b w:val="0"/>
        <w:bCs w:val="0"/>
        <w:i w:val="0"/>
        <w:iCs w:val="0"/>
        <w:spacing w:val="0"/>
        <w:w w:val="99"/>
        <w:sz w:val="24"/>
        <w:szCs w:val="24"/>
        <w:lang w:val="en-US" w:eastAsia="en-US" w:bidi="ar-SA"/>
      </w:rPr>
    </w:lvl>
    <w:lvl w:ilvl="1" w:tplc="44362F14">
      <w:numFmt w:val="bullet"/>
      <w:lvlText w:val="•"/>
      <w:lvlJc w:val="left"/>
      <w:pPr>
        <w:ind w:left="1233" w:hanging="576"/>
      </w:pPr>
      <w:rPr>
        <w:rFonts w:hint="default"/>
        <w:lang w:val="en-US" w:eastAsia="en-US" w:bidi="ar-SA"/>
      </w:rPr>
    </w:lvl>
    <w:lvl w:ilvl="2" w:tplc="5F7EDB38">
      <w:numFmt w:val="bullet"/>
      <w:lvlText w:val="•"/>
      <w:lvlJc w:val="left"/>
      <w:pPr>
        <w:ind w:left="1926" w:hanging="576"/>
      </w:pPr>
      <w:rPr>
        <w:rFonts w:hint="default"/>
        <w:lang w:val="en-US" w:eastAsia="en-US" w:bidi="ar-SA"/>
      </w:rPr>
    </w:lvl>
    <w:lvl w:ilvl="3" w:tplc="86FA9B14">
      <w:numFmt w:val="bullet"/>
      <w:lvlText w:val="•"/>
      <w:lvlJc w:val="left"/>
      <w:pPr>
        <w:ind w:left="2620" w:hanging="576"/>
      </w:pPr>
      <w:rPr>
        <w:rFonts w:hint="default"/>
        <w:lang w:val="en-US" w:eastAsia="en-US" w:bidi="ar-SA"/>
      </w:rPr>
    </w:lvl>
    <w:lvl w:ilvl="4" w:tplc="E864FFD8">
      <w:numFmt w:val="bullet"/>
      <w:lvlText w:val="•"/>
      <w:lvlJc w:val="left"/>
      <w:pPr>
        <w:ind w:left="3313" w:hanging="576"/>
      </w:pPr>
      <w:rPr>
        <w:rFonts w:hint="default"/>
        <w:lang w:val="en-US" w:eastAsia="en-US" w:bidi="ar-SA"/>
      </w:rPr>
    </w:lvl>
    <w:lvl w:ilvl="5" w:tplc="AFE693D4">
      <w:numFmt w:val="bullet"/>
      <w:lvlText w:val="•"/>
      <w:lvlJc w:val="left"/>
      <w:pPr>
        <w:ind w:left="4007" w:hanging="576"/>
      </w:pPr>
      <w:rPr>
        <w:rFonts w:hint="default"/>
        <w:lang w:val="en-US" w:eastAsia="en-US" w:bidi="ar-SA"/>
      </w:rPr>
    </w:lvl>
    <w:lvl w:ilvl="6" w:tplc="D24AEEB0">
      <w:numFmt w:val="bullet"/>
      <w:lvlText w:val="•"/>
      <w:lvlJc w:val="left"/>
      <w:pPr>
        <w:ind w:left="4700" w:hanging="576"/>
      </w:pPr>
      <w:rPr>
        <w:rFonts w:hint="default"/>
        <w:lang w:val="en-US" w:eastAsia="en-US" w:bidi="ar-SA"/>
      </w:rPr>
    </w:lvl>
    <w:lvl w:ilvl="7" w:tplc="794A85A0">
      <w:numFmt w:val="bullet"/>
      <w:lvlText w:val="•"/>
      <w:lvlJc w:val="left"/>
      <w:pPr>
        <w:ind w:left="5393" w:hanging="576"/>
      </w:pPr>
      <w:rPr>
        <w:rFonts w:hint="default"/>
        <w:lang w:val="en-US" w:eastAsia="en-US" w:bidi="ar-SA"/>
      </w:rPr>
    </w:lvl>
    <w:lvl w:ilvl="8" w:tplc="D944AC2E">
      <w:numFmt w:val="bullet"/>
      <w:lvlText w:val="•"/>
      <w:lvlJc w:val="left"/>
      <w:pPr>
        <w:ind w:left="6087" w:hanging="576"/>
      </w:pPr>
      <w:rPr>
        <w:rFonts w:hint="default"/>
        <w:lang w:val="en-US" w:eastAsia="en-US" w:bidi="ar-SA"/>
      </w:rPr>
    </w:lvl>
  </w:abstractNum>
  <w:abstractNum w:abstractNumId="157" w15:restartNumberingAfterBreak="0">
    <w:nsid w:val="63B14120"/>
    <w:multiLevelType w:val="hybridMultilevel"/>
    <w:tmpl w:val="52948C56"/>
    <w:lvl w:ilvl="0" w:tplc="2F2C0D52">
      <w:start w:val="1"/>
      <w:numFmt w:val="decimal"/>
      <w:lvlText w:val="%1."/>
      <w:lvlJc w:val="left"/>
      <w:pPr>
        <w:ind w:left="1966" w:hanging="425"/>
      </w:pPr>
      <w:rPr>
        <w:rFonts w:hint="default"/>
        <w:spacing w:val="-1"/>
        <w:w w:val="99"/>
        <w:lang w:val="en-US" w:eastAsia="en-US" w:bidi="ar-SA"/>
      </w:rPr>
    </w:lvl>
    <w:lvl w:ilvl="1" w:tplc="5986EFCE">
      <w:numFmt w:val="bullet"/>
      <w:lvlText w:val="•"/>
      <w:lvlJc w:val="left"/>
      <w:pPr>
        <w:ind w:left="2950" w:hanging="425"/>
      </w:pPr>
      <w:rPr>
        <w:rFonts w:hint="default"/>
        <w:lang w:val="en-US" w:eastAsia="en-US" w:bidi="ar-SA"/>
      </w:rPr>
    </w:lvl>
    <w:lvl w:ilvl="2" w:tplc="6AC0BB3A">
      <w:numFmt w:val="bullet"/>
      <w:lvlText w:val="•"/>
      <w:lvlJc w:val="left"/>
      <w:pPr>
        <w:ind w:left="3941" w:hanging="425"/>
      </w:pPr>
      <w:rPr>
        <w:rFonts w:hint="default"/>
        <w:lang w:val="en-US" w:eastAsia="en-US" w:bidi="ar-SA"/>
      </w:rPr>
    </w:lvl>
    <w:lvl w:ilvl="3" w:tplc="394C98A4">
      <w:numFmt w:val="bullet"/>
      <w:lvlText w:val="•"/>
      <w:lvlJc w:val="left"/>
      <w:pPr>
        <w:ind w:left="4931" w:hanging="425"/>
      </w:pPr>
      <w:rPr>
        <w:rFonts w:hint="default"/>
        <w:lang w:val="en-US" w:eastAsia="en-US" w:bidi="ar-SA"/>
      </w:rPr>
    </w:lvl>
    <w:lvl w:ilvl="4" w:tplc="599A021C">
      <w:numFmt w:val="bullet"/>
      <w:lvlText w:val="•"/>
      <w:lvlJc w:val="left"/>
      <w:pPr>
        <w:ind w:left="5922" w:hanging="425"/>
      </w:pPr>
      <w:rPr>
        <w:rFonts w:hint="default"/>
        <w:lang w:val="en-US" w:eastAsia="en-US" w:bidi="ar-SA"/>
      </w:rPr>
    </w:lvl>
    <w:lvl w:ilvl="5" w:tplc="41943D52">
      <w:numFmt w:val="bullet"/>
      <w:lvlText w:val="•"/>
      <w:lvlJc w:val="left"/>
      <w:pPr>
        <w:ind w:left="6913" w:hanging="425"/>
      </w:pPr>
      <w:rPr>
        <w:rFonts w:hint="default"/>
        <w:lang w:val="en-US" w:eastAsia="en-US" w:bidi="ar-SA"/>
      </w:rPr>
    </w:lvl>
    <w:lvl w:ilvl="6" w:tplc="C106B506">
      <w:numFmt w:val="bullet"/>
      <w:lvlText w:val="•"/>
      <w:lvlJc w:val="left"/>
      <w:pPr>
        <w:ind w:left="7903" w:hanging="425"/>
      </w:pPr>
      <w:rPr>
        <w:rFonts w:hint="default"/>
        <w:lang w:val="en-US" w:eastAsia="en-US" w:bidi="ar-SA"/>
      </w:rPr>
    </w:lvl>
    <w:lvl w:ilvl="7" w:tplc="49FE26AE">
      <w:numFmt w:val="bullet"/>
      <w:lvlText w:val="•"/>
      <w:lvlJc w:val="left"/>
      <w:pPr>
        <w:ind w:left="8894" w:hanging="425"/>
      </w:pPr>
      <w:rPr>
        <w:rFonts w:hint="default"/>
        <w:lang w:val="en-US" w:eastAsia="en-US" w:bidi="ar-SA"/>
      </w:rPr>
    </w:lvl>
    <w:lvl w:ilvl="8" w:tplc="275A0796">
      <w:numFmt w:val="bullet"/>
      <w:lvlText w:val="•"/>
      <w:lvlJc w:val="left"/>
      <w:pPr>
        <w:ind w:left="9885" w:hanging="425"/>
      </w:pPr>
      <w:rPr>
        <w:rFonts w:hint="default"/>
        <w:lang w:val="en-US" w:eastAsia="en-US" w:bidi="ar-SA"/>
      </w:rPr>
    </w:lvl>
  </w:abstractNum>
  <w:abstractNum w:abstractNumId="158" w15:restartNumberingAfterBreak="0">
    <w:nsid w:val="63D9376D"/>
    <w:multiLevelType w:val="multilevel"/>
    <w:tmpl w:val="1F74EC52"/>
    <w:lvl w:ilvl="0">
      <w:start w:val="1"/>
      <w:numFmt w:val="decimal"/>
      <w:lvlText w:val="%1"/>
      <w:lvlJc w:val="left"/>
      <w:pPr>
        <w:ind w:left="1587" w:hanging="543"/>
      </w:pPr>
      <w:rPr>
        <w:rFonts w:hint="default"/>
        <w:lang w:val="en-US" w:eastAsia="en-US" w:bidi="ar-SA"/>
      </w:rPr>
    </w:lvl>
    <w:lvl w:ilvl="1">
      <w:start w:val="1"/>
      <w:numFmt w:val="decimal"/>
      <w:lvlText w:val="%1.%2"/>
      <w:lvlJc w:val="left"/>
      <w:pPr>
        <w:ind w:left="1587" w:hanging="543"/>
      </w:pPr>
      <w:rPr>
        <w:rFonts w:ascii="Arial" w:eastAsia="Arial" w:hAnsi="Arial" w:cs="Arial" w:hint="default"/>
        <w:b w:val="0"/>
        <w:bCs w:val="0"/>
        <w:i w:val="0"/>
        <w:iCs w:val="0"/>
        <w:spacing w:val="0"/>
        <w:w w:val="100"/>
        <w:sz w:val="18"/>
        <w:szCs w:val="18"/>
        <w:lang w:val="en-US" w:eastAsia="en-US" w:bidi="ar-SA"/>
      </w:rPr>
    </w:lvl>
    <w:lvl w:ilvl="2">
      <w:start w:val="1"/>
      <w:numFmt w:val="decimal"/>
      <w:lvlText w:val="%3."/>
      <w:lvlJc w:val="left"/>
      <w:pPr>
        <w:ind w:left="2120" w:hanging="720"/>
      </w:pPr>
      <w:rPr>
        <w:rFonts w:ascii="Arial" w:eastAsia="Arial" w:hAnsi="Arial" w:cs="Arial" w:hint="default"/>
        <w:b/>
        <w:bCs/>
        <w:i w:val="0"/>
        <w:iCs w:val="0"/>
        <w:spacing w:val="0"/>
        <w:w w:val="100"/>
        <w:sz w:val="24"/>
        <w:szCs w:val="24"/>
        <w:lang w:val="en-US" w:eastAsia="en-US" w:bidi="ar-SA"/>
      </w:rPr>
    </w:lvl>
    <w:lvl w:ilvl="3">
      <w:start w:val="1"/>
      <w:numFmt w:val="decimal"/>
      <w:lvlText w:val="%3.%4"/>
      <w:lvlJc w:val="left"/>
      <w:pPr>
        <w:ind w:left="2120" w:hanging="404"/>
      </w:pPr>
      <w:rPr>
        <w:rFonts w:ascii="Arial" w:eastAsia="Arial" w:hAnsi="Arial" w:cs="Arial" w:hint="default"/>
        <w:b w:val="0"/>
        <w:bCs w:val="0"/>
        <w:i w:val="0"/>
        <w:iCs w:val="0"/>
        <w:spacing w:val="0"/>
        <w:w w:val="99"/>
        <w:sz w:val="24"/>
        <w:szCs w:val="24"/>
        <w:lang w:val="en-US" w:eastAsia="en-US" w:bidi="ar-SA"/>
      </w:rPr>
    </w:lvl>
    <w:lvl w:ilvl="4">
      <w:start w:val="1"/>
      <w:numFmt w:val="decimal"/>
      <w:lvlText w:val="%3.%4.%5"/>
      <w:lvlJc w:val="left"/>
      <w:pPr>
        <w:ind w:left="2480" w:hanging="720"/>
      </w:pPr>
      <w:rPr>
        <w:rFonts w:ascii="Arial" w:eastAsia="Arial" w:hAnsi="Arial" w:cs="Arial" w:hint="default"/>
        <w:b w:val="0"/>
        <w:bCs w:val="0"/>
        <w:i w:val="0"/>
        <w:iCs w:val="0"/>
        <w:spacing w:val="-2"/>
        <w:w w:val="99"/>
        <w:sz w:val="24"/>
        <w:szCs w:val="24"/>
        <w:lang w:val="en-US" w:eastAsia="en-US" w:bidi="ar-SA"/>
      </w:rPr>
    </w:lvl>
    <w:lvl w:ilvl="5">
      <w:numFmt w:val="bullet"/>
      <w:lvlText w:val="•"/>
      <w:lvlJc w:val="left"/>
      <w:pPr>
        <w:ind w:left="4044" w:hanging="720"/>
      </w:pPr>
      <w:rPr>
        <w:rFonts w:hint="default"/>
        <w:lang w:val="en-US" w:eastAsia="en-US" w:bidi="ar-SA"/>
      </w:rPr>
    </w:lvl>
    <w:lvl w:ilvl="6">
      <w:numFmt w:val="bullet"/>
      <w:lvlText w:val="•"/>
      <w:lvlJc w:val="left"/>
      <w:pPr>
        <w:ind w:left="5608" w:hanging="720"/>
      </w:pPr>
      <w:rPr>
        <w:rFonts w:hint="default"/>
        <w:lang w:val="en-US" w:eastAsia="en-US" w:bidi="ar-SA"/>
      </w:rPr>
    </w:lvl>
    <w:lvl w:ilvl="7">
      <w:numFmt w:val="bullet"/>
      <w:lvlText w:val="•"/>
      <w:lvlJc w:val="left"/>
      <w:pPr>
        <w:ind w:left="7173" w:hanging="720"/>
      </w:pPr>
      <w:rPr>
        <w:rFonts w:hint="default"/>
        <w:lang w:val="en-US" w:eastAsia="en-US" w:bidi="ar-SA"/>
      </w:rPr>
    </w:lvl>
    <w:lvl w:ilvl="8">
      <w:numFmt w:val="bullet"/>
      <w:lvlText w:val="•"/>
      <w:lvlJc w:val="left"/>
      <w:pPr>
        <w:ind w:left="8737" w:hanging="720"/>
      </w:pPr>
      <w:rPr>
        <w:rFonts w:hint="default"/>
        <w:lang w:val="en-US" w:eastAsia="en-US" w:bidi="ar-SA"/>
      </w:rPr>
    </w:lvl>
  </w:abstractNum>
  <w:abstractNum w:abstractNumId="159" w15:restartNumberingAfterBreak="0">
    <w:nsid w:val="65733BE6"/>
    <w:multiLevelType w:val="hybridMultilevel"/>
    <w:tmpl w:val="6ACCA1AA"/>
    <w:lvl w:ilvl="0" w:tplc="86E45594">
      <w:start w:val="1"/>
      <w:numFmt w:val="lowerLetter"/>
      <w:lvlText w:val="%1)"/>
      <w:lvlJc w:val="left"/>
      <w:pPr>
        <w:ind w:left="539" w:hanging="288"/>
      </w:pPr>
      <w:rPr>
        <w:rFonts w:ascii="Arial" w:eastAsia="Arial" w:hAnsi="Arial" w:cs="Arial" w:hint="default"/>
        <w:b w:val="0"/>
        <w:bCs w:val="0"/>
        <w:i w:val="0"/>
        <w:iCs w:val="0"/>
        <w:spacing w:val="0"/>
        <w:w w:val="99"/>
        <w:sz w:val="24"/>
        <w:szCs w:val="24"/>
        <w:lang w:val="en-US" w:eastAsia="en-US" w:bidi="ar-SA"/>
      </w:rPr>
    </w:lvl>
    <w:lvl w:ilvl="1" w:tplc="8A2E7692">
      <w:numFmt w:val="bullet"/>
      <w:lvlText w:val="•"/>
      <w:lvlJc w:val="left"/>
      <w:pPr>
        <w:ind w:left="1233" w:hanging="288"/>
      </w:pPr>
      <w:rPr>
        <w:rFonts w:hint="default"/>
        <w:lang w:val="en-US" w:eastAsia="en-US" w:bidi="ar-SA"/>
      </w:rPr>
    </w:lvl>
    <w:lvl w:ilvl="2" w:tplc="5792EAEC">
      <w:numFmt w:val="bullet"/>
      <w:lvlText w:val="•"/>
      <w:lvlJc w:val="left"/>
      <w:pPr>
        <w:ind w:left="1926" w:hanging="288"/>
      </w:pPr>
      <w:rPr>
        <w:rFonts w:hint="default"/>
        <w:lang w:val="en-US" w:eastAsia="en-US" w:bidi="ar-SA"/>
      </w:rPr>
    </w:lvl>
    <w:lvl w:ilvl="3" w:tplc="F74CB57A">
      <w:numFmt w:val="bullet"/>
      <w:lvlText w:val="•"/>
      <w:lvlJc w:val="left"/>
      <w:pPr>
        <w:ind w:left="2620" w:hanging="288"/>
      </w:pPr>
      <w:rPr>
        <w:rFonts w:hint="default"/>
        <w:lang w:val="en-US" w:eastAsia="en-US" w:bidi="ar-SA"/>
      </w:rPr>
    </w:lvl>
    <w:lvl w:ilvl="4" w:tplc="973C7EE0">
      <w:numFmt w:val="bullet"/>
      <w:lvlText w:val="•"/>
      <w:lvlJc w:val="left"/>
      <w:pPr>
        <w:ind w:left="3313" w:hanging="288"/>
      </w:pPr>
      <w:rPr>
        <w:rFonts w:hint="default"/>
        <w:lang w:val="en-US" w:eastAsia="en-US" w:bidi="ar-SA"/>
      </w:rPr>
    </w:lvl>
    <w:lvl w:ilvl="5" w:tplc="F95E3D84">
      <w:numFmt w:val="bullet"/>
      <w:lvlText w:val="•"/>
      <w:lvlJc w:val="left"/>
      <w:pPr>
        <w:ind w:left="4007" w:hanging="288"/>
      </w:pPr>
      <w:rPr>
        <w:rFonts w:hint="default"/>
        <w:lang w:val="en-US" w:eastAsia="en-US" w:bidi="ar-SA"/>
      </w:rPr>
    </w:lvl>
    <w:lvl w:ilvl="6" w:tplc="794CD810">
      <w:numFmt w:val="bullet"/>
      <w:lvlText w:val="•"/>
      <w:lvlJc w:val="left"/>
      <w:pPr>
        <w:ind w:left="4700" w:hanging="288"/>
      </w:pPr>
      <w:rPr>
        <w:rFonts w:hint="default"/>
        <w:lang w:val="en-US" w:eastAsia="en-US" w:bidi="ar-SA"/>
      </w:rPr>
    </w:lvl>
    <w:lvl w:ilvl="7" w:tplc="8014236C">
      <w:numFmt w:val="bullet"/>
      <w:lvlText w:val="•"/>
      <w:lvlJc w:val="left"/>
      <w:pPr>
        <w:ind w:left="5393" w:hanging="288"/>
      </w:pPr>
      <w:rPr>
        <w:rFonts w:hint="default"/>
        <w:lang w:val="en-US" w:eastAsia="en-US" w:bidi="ar-SA"/>
      </w:rPr>
    </w:lvl>
    <w:lvl w:ilvl="8" w:tplc="4154B150">
      <w:numFmt w:val="bullet"/>
      <w:lvlText w:val="•"/>
      <w:lvlJc w:val="left"/>
      <w:pPr>
        <w:ind w:left="6087" w:hanging="288"/>
      </w:pPr>
      <w:rPr>
        <w:rFonts w:hint="default"/>
        <w:lang w:val="en-US" w:eastAsia="en-US" w:bidi="ar-SA"/>
      </w:rPr>
    </w:lvl>
  </w:abstractNum>
  <w:abstractNum w:abstractNumId="160" w15:restartNumberingAfterBreak="0">
    <w:nsid w:val="65C864D4"/>
    <w:multiLevelType w:val="hybridMultilevel"/>
    <w:tmpl w:val="B138594E"/>
    <w:lvl w:ilvl="0" w:tplc="7DD2448E">
      <w:start w:val="1"/>
      <w:numFmt w:val="lowerLetter"/>
      <w:lvlText w:val="(%1)"/>
      <w:lvlJc w:val="left"/>
      <w:pPr>
        <w:ind w:left="2840" w:hanging="360"/>
      </w:pPr>
      <w:rPr>
        <w:rFonts w:ascii="Arial" w:eastAsia="Arial" w:hAnsi="Arial" w:cs="Arial" w:hint="default"/>
        <w:b w:val="0"/>
        <w:bCs w:val="0"/>
        <w:i w:val="0"/>
        <w:iCs w:val="0"/>
        <w:spacing w:val="0"/>
        <w:w w:val="99"/>
        <w:sz w:val="24"/>
        <w:szCs w:val="24"/>
        <w:lang w:val="en-US" w:eastAsia="en-US" w:bidi="ar-SA"/>
      </w:rPr>
    </w:lvl>
    <w:lvl w:ilvl="1" w:tplc="835CCA0C">
      <w:numFmt w:val="bullet"/>
      <w:lvlText w:val="•"/>
      <w:lvlJc w:val="left"/>
      <w:pPr>
        <w:ind w:left="3742" w:hanging="360"/>
      </w:pPr>
      <w:rPr>
        <w:rFonts w:hint="default"/>
        <w:lang w:val="en-US" w:eastAsia="en-US" w:bidi="ar-SA"/>
      </w:rPr>
    </w:lvl>
    <w:lvl w:ilvl="2" w:tplc="A9686A3E">
      <w:numFmt w:val="bullet"/>
      <w:lvlText w:val="•"/>
      <w:lvlJc w:val="left"/>
      <w:pPr>
        <w:ind w:left="4645" w:hanging="360"/>
      </w:pPr>
      <w:rPr>
        <w:rFonts w:hint="default"/>
        <w:lang w:val="en-US" w:eastAsia="en-US" w:bidi="ar-SA"/>
      </w:rPr>
    </w:lvl>
    <w:lvl w:ilvl="3" w:tplc="5BE840C0">
      <w:numFmt w:val="bullet"/>
      <w:lvlText w:val="•"/>
      <w:lvlJc w:val="left"/>
      <w:pPr>
        <w:ind w:left="5547" w:hanging="360"/>
      </w:pPr>
      <w:rPr>
        <w:rFonts w:hint="default"/>
        <w:lang w:val="en-US" w:eastAsia="en-US" w:bidi="ar-SA"/>
      </w:rPr>
    </w:lvl>
    <w:lvl w:ilvl="4" w:tplc="975A04C2">
      <w:numFmt w:val="bullet"/>
      <w:lvlText w:val="•"/>
      <w:lvlJc w:val="left"/>
      <w:pPr>
        <w:ind w:left="6450" w:hanging="360"/>
      </w:pPr>
      <w:rPr>
        <w:rFonts w:hint="default"/>
        <w:lang w:val="en-US" w:eastAsia="en-US" w:bidi="ar-SA"/>
      </w:rPr>
    </w:lvl>
    <w:lvl w:ilvl="5" w:tplc="D5DCEA30">
      <w:numFmt w:val="bullet"/>
      <w:lvlText w:val="•"/>
      <w:lvlJc w:val="left"/>
      <w:pPr>
        <w:ind w:left="7353" w:hanging="360"/>
      </w:pPr>
      <w:rPr>
        <w:rFonts w:hint="default"/>
        <w:lang w:val="en-US" w:eastAsia="en-US" w:bidi="ar-SA"/>
      </w:rPr>
    </w:lvl>
    <w:lvl w:ilvl="6" w:tplc="C8C01A84">
      <w:numFmt w:val="bullet"/>
      <w:lvlText w:val="•"/>
      <w:lvlJc w:val="left"/>
      <w:pPr>
        <w:ind w:left="8255" w:hanging="360"/>
      </w:pPr>
      <w:rPr>
        <w:rFonts w:hint="default"/>
        <w:lang w:val="en-US" w:eastAsia="en-US" w:bidi="ar-SA"/>
      </w:rPr>
    </w:lvl>
    <w:lvl w:ilvl="7" w:tplc="958CBB8E">
      <w:numFmt w:val="bullet"/>
      <w:lvlText w:val="•"/>
      <w:lvlJc w:val="left"/>
      <w:pPr>
        <w:ind w:left="9158" w:hanging="360"/>
      </w:pPr>
      <w:rPr>
        <w:rFonts w:hint="default"/>
        <w:lang w:val="en-US" w:eastAsia="en-US" w:bidi="ar-SA"/>
      </w:rPr>
    </w:lvl>
    <w:lvl w:ilvl="8" w:tplc="E46CC888">
      <w:numFmt w:val="bullet"/>
      <w:lvlText w:val="•"/>
      <w:lvlJc w:val="left"/>
      <w:pPr>
        <w:ind w:left="10061" w:hanging="360"/>
      </w:pPr>
      <w:rPr>
        <w:rFonts w:hint="default"/>
        <w:lang w:val="en-US" w:eastAsia="en-US" w:bidi="ar-SA"/>
      </w:rPr>
    </w:lvl>
  </w:abstractNum>
  <w:abstractNum w:abstractNumId="161" w15:restartNumberingAfterBreak="0">
    <w:nsid w:val="669B181C"/>
    <w:multiLevelType w:val="hybridMultilevel"/>
    <w:tmpl w:val="5F744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15:restartNumberingAfterBreak="0">
    <w:nsid w:val="68EE3242"/>
    <w:multiLevelType w:val="hybridMultilevel"/>
    <w:tmpl w:val="940E4822"/>
    <w:lvl w:ilvl="0" w:tplc="B6C4F430">
      <w:start w:val="1"/>
      <w:numFmt w:val="lowerLetter"/>
      <w:lvlText w:val="(%1)"/>
      <w:lvlJc w:val="left"/>
      <w:pPr>
        <w:ind w:left="1494" w:hanging="428"/>
      </w:pPr>
      <w:rPr>
        <w:rFonts w:ascii="Calibri" w:eastAsia="Calibri" w:hAnsi="Calibri" w:cs="Calibri" w:hint="default"/>
        <w:b w:val="0"/>
        <w:bCs w:val="0"/>
        <w:i w:val="0"/>
        <w:iCs w:val="0"/>
        <w:spacing w:val="-1"/>
        <w:w w:val="100"/>
        <w:sz w:val="24"/>
        <w:szCs w:val="24"/>
        <w:lang w:val="en-US" w:eastAsia="en-US" w:bidi="ar-SA"/>
      </w:rPr>
    </w:lvl>
    <w:lvl w:ilvl="1" w:tplc="6298D1E0">
      <w:numFmt w:val="bullet"/>
      <w:lvlText w:val="•"/>
      <w:lvlJc w:val="left"/>
      <w:pPr>
        <w:ind w:left="2536" w:hanging="428"/>
      </w:pPr>
      <w:rPr>
        <w:rFonts w:hint="default"/>
        <w:lang w:val="en-US" w:eastAsia="en-US" w:bidi="ar-SA"/>
      </w:rPr>
    </w:lvl>
    <w:lvl w:ilvl="2" w:tplc="3378D900">
      <w:numFmt w:val="bullet"/>
      <w:lvlText w:val="•"/>
      <w:lvlJc w:val="left"/>
      <w:pPr>
        <w:ind w:left="3573" w:hanging="428"/>
      </w:pPr>
      <w:rPr>
        <w:rFonts w:hint="default"/>
        <w:lang w:val="en-US" w:eastAsia="en-US" w:bidi="ar-SA"/>
      </w:rPr>
    </w:lvl>
    <w:lvl w:ilvl="3" w:tplc="7AE4F4B4">
      <w:numFmt w:val="bullet"/>
      <w:lvlText w:val="•"/>
      <w:lvlJc w:val="left"/>
      <w:pPr>
        <w:ind w:left="4609" w:hanging="428"/>
      </w:pPr>
      <w:rPr>
        <w:rFonts w:hint="default"/>
        <w:lang w:val="en-US" w:eastAsia="en-US" w:bidi="ar-SA"/>
      </w:rPr>
    </w:lvl>
    <w:lvl w:ilvl="4" w:tplc="32B6E4D6">
      <w:numFmt w:val="bullet"/>
      <w:lvlText w:val="•"/>
      <w:lvlJc w:val="left"/>
      <w:pPr>
        <w:ind w:left="5646" w:hanging="428"/>
      </w:pPr>
      <w:rPr>
        <w:rFonts w:hint="default"/>
        <w:lang w:val="en-US" w:eastAsia="en-US" w:bidi="ar-SA"/>
      </w:rPr>
    </w:lvl>
    <w:lvl w:ilvl="5" w:tplc="60CC04FA">
      <w:numFmt w:val="bullet"/>
      <w:lvlText w:val="•"/>
      <w:lvlJc w:val="left"/>
      <w:pPr>
        <w:ind w:left="6683" w:hanging="428"/>
      </w:pPr>
      <w:rPr>
        <w:rFonts w:hint="default"/>
        <w:lang w:val="en-US" w:eastAsia="en-US" w:bidi="ar-SA"/>
      </w:rPr>
    </w:lvl>
    <w:lvl w:ilvl="6" w:tplc="4894C594">
      <w:numFmt w:val="bullet"/>
      <w:lvlText w:val="•"/>
      <w:lvlJc w:val="left"/>
      <w:pPr>
        <w:ind w:left="7719" w:hanging="428"/>
      </w:pPr>
      <w:rPr>
        <w:rFonts w:hint="default"/>
        <w:lang w:val="en-US" w:eastAsia="en-US" w:bidi="ar-SA"/>
      </w:rPr>
    </w:lvl>
    <w:lvl w:ilvl="7" w:tplc="57A008E2">
      <w:numFmt w:val="bullet"/>
      <w:lvlText w:val="•"/>
      <w:lvlJc w:val="left"/>
      <w:pPr>
        <w:ind w:left="8756" w:hanging="428"/>
      </w:pPr>
      <w:rPr>
        <w:rFonts w:hint="default"/>
        <w:lang w:val="en-US" w:eastAsia="en-US" w:bidi="ar-SA"/>
      </w:rPr>
    </w:lvl>
    <w:lvl w:ilvl="8" w:tplc="1C5A020E">
      <w:numFmt w:val="bullet"/>
      <w:lvlText w:val="•"/>
      <w:lvlJc w:val="left"/>
      <w:pPr>
        <w:ind w:left="9793" w:hanging="428"/>
      </w:pPr>
      <w:rPr>
        <w:rFonts w:hint="default"/>
        <w:lang w:val="en-US" w:eastAsia="en-US" w:bidi="ar-SA"/>
      </w:rPr>
    </w:lvl>
  </w:abstractNum>
  <w:abstractNum w:abstractNumId="163" w15:restartNumberingAfterBreak="0">
    <w:nsid w:val="69135011"/>
    <w:multiLevelType w:val="multilevel"/>
    <w:tmpl w:val="AC6AD024"/>
    <w:lvl w:ilvl="0">
      <w:start w:val="1"/>
      <w:numFmt w:val="decimal"/>
      <w:lvlText w:val="%1."/>
      <w:lvlJc w:val="left"/>
      <w:pPr>
        <w:ind w:left="2120" w:hanging="720"/>
      </w:pPr>
      <w:rPr>
        <w:rFonts w:ascii="Arial" w:eastAsia="Arial" w:hAnsi="Arial" w:cs="Arial" w:hint="default"/>
        <w:b/>
        <w:bCs/>
        <w:i w:val="0"/>
        <w:iCs w:val="0"/>
        <w:spacing w:val="0"/>
        <w:w w:val="100"/>
        <w:sz w:val="24"/>
        <w:szCs w:val="24"/>
        <w:lang w:val="en-US" w:eastAsia="en-US" w:bidi="ar-SA"/>
      </w:rPr>
    </w:lvl>
    <w:lvl w:ilvl="1">
      <w:start w:val="1"/>
      <w:numFmt w:val="decimal"/>
      <w:lvlText w:val="%1.%2"/>
      <w:lvlJc w:val="left"/>
      <w:pPr>
        <w:ind w:left="2120" w:hanging="720"/>
      </w:pPr>
      <w:rPr>
        <w:rFonts w:ascii="Arial" w:eastAsia="Arial" w:hAnsi="Arial" w:cs="Arial" w:hint="default"/>
        <w:b w:val="0"/>
        <w:bCs w:val="0"/>
        <w:i w:val="0"/>
        <w:iCs w:val="0"/>
        <w:spacing w:val="0"/>
        <w:w w:val="100"/>
        <w:sz w:val="24"/>
        <w:szCs w:val="24"/>
        <w:lang w:val="en-US" w:eastAsia="en-US" w:bidi="ar-SA"/>
      </w:rPr>
    </w:lvl>
    <w:lvl w:ilvl="2">
      <w:start w:val="1"/>
      <w:numFmt w:val="decimal"/>
      <w:lvlText w:val="%1.%2.%3"/>
      <w:lvlJc w:val="left"/>
      <w:pPr>
        <w:ind w:left="2840" w:hanging="720"/>
      </w:pPr>
      <w:rPr>
        <w:rFonts w:ascii="Arial" w:eastAsia="Arial" w:hAnsi="Arial" w:cs="Arial" w:hint="default"/>
        <w:b w:val="0"/>
        <w:bCs w:val="0"/>
        <w:i w:val="0"/>
        <w:iCs w:val="0"/>
        <w:spacing w:val="-2"/>
        <w:w w:val="100"/>
        <w:sz w:val="24"/>
        <w:szCs w:val="24"/>
        <w:lang w:val="en-US" w:eastAsia="en-US" w:bidi="ar-SA"/>
      </w:rPr>
    </w:lvl>
    <w:lvl w:ilvl="3">
      <w:start w:val="1"/>
      <w:numFmt w:val="lowerLetter"/>
      <w:lvlText w:val="(%4)"/>
      <w:lvlJc w:val="left"/>
      <w:pPr>
        <w:ind w:left="3384" w:hanging="579"/>
      </w:pPr>
      <w:rPr>
        <w:rFonts w:ascii="Arial" w:eastAsia="Arial" w:hAnsi="Arial" w:cs="Arial" w:hint="default"/>
        <w:b w:val="0"/>
        <w:bCs w:val="0"/>
        <w:i w:val="0"/>
        <w:iCs w:val="0"/>
        <w:spacing w:val="-1"/>
        <w:w w:val="100"/>
        <w:sz w:val="24"/>
        <w:szCs w:val="24"/>
        <w:lang w:val="en-US" w:eastAsia="en-US" w:bidi="ar-SA"/>
      </w:rPr>
    </w:lvl>
    <w:lvl w:ilvl="4">
      <w:numFmt w:val="bullet"/>
      <w:lvlText w:val="•"/>
      <w:lvlJc w:val="left"/>
      <w:pPr>
        <w:ind w:left="4712" w:hanging="579"/>
      </w:pPr>
      <w:rPr>
        <w:rFonts w:hint="default"/>
        <w:lang w:val="en-US" w:eastAsia="en-US" w:bidi="ar-SA"/>
      </w:rPr>
    </w:lvl>
    <w:lvl w:ilvl="5">
      <w:numFmt w:val="bullet"/>
      <w:lvlText w:val="•"/>
      <w:lvlJc w:val="left"/>
      <w:pPr>
        <w:ind w:left="5904" w:hanging="579"/>
      </w:pPr>
      <w:rPr>
        <w:rFonts w:hint="default"/>
        <w:lang w:val="en-US" w:eastAsia="en-US" w:bidi="ar-SA"/>
      </w:rPr>
    </w:lvl>
    <w:lvl w:ilvl="6">
      <w:numFmt w:val="bullet"/>
      <w:lvlText w:val="•"/>
      <w:lvlJc w:val="left"/>
      <w:pPr>
        <w:ind w:left="7097" w:hanging="579"/>
      </w:pPr>
      <w:rPr>
        <w:rFonts w:hint="default"/>
        <w:lang w:val="en-US" w:eastAsia="en-US" w:bidi="ar-SA"/>
      </w:rPr>
    </w:lvl>
    <w:lvl w:ilvl="7">
      <w:numFmt w:val="bullet"/>
      <w:lvlText w:val="•"/>
      <w:lvlJc w:val="left"/>
      <w:pPr>
        <w:ind w:left="8289" w:hanging="579"/>
      </w:pPr>
      <w:rPr>
        <w:rFonts w:hint="default"/>
        <w:lang w:val="en-US" w:eastAsia="en-US" w:bidi="ar-SA"/>
      </w:rPr>
    </w:lvl>
    <w:lvl w:ilvl="8">
      <w:numFmt w:val="bullet"/>
      <w:lvlText w:val="•"/>
      <w:lvlJc w:val="left"/>
      <w:pPr>
        <w:ind w:left="9481" w:hanging="579"/>
      </w:pPr>
      <w:rPr>
        <w:rFonts w:hint="default"/>
        <w:lang w:val="en-US" w:eastAsia="en-US" w:bidi="ar-SA"/>
      </w:rPr>
    </w:lvl>
  </w:abstractNum>
  <w:abstractNum w:abstractNumId="164" w15:restartNumberingAfterBreak="0">
    <w:nsid w:val="6A5E6A7A"/>
    <w:multiLevelType w:val="hybridMultilevel"/>
    <w:tmpl w:val="2EBE8F96"/>
    <w:lvl w:ilvl="0" w:tplc="06C27E10">
      <w:numFmt w:val="bullet"/>
      <w:lvlText w:val=""/>
      <w:lvlJc w:val="left"/>
      <w:pPr>
        <w:ind w:left="816" w:hanging="360"/>
      </w:pPr>
      <w:rPr>
        <w:rFonts w:ascii="Wingdings" w:eastAsia="Wingdings" w:hAnsi="Wingdings" w:cs="Wingdings" w:hint="default"/>
        <w:b w:val="0"/>
        <w:bCs w:val="0"/>
        <w:i w:val="0"/>
        <w:iCs w:val="0"/>
        <w:color w:val="0D0D0D"/>
        <w:spacing w:val="0"/>
        <w:w w:val="100"/>
        <w:sz w:val="24"/>
        <w:szCs w:val="24"/>
        <w:lang w:val="en-US" w:eastAsia="en-US" w:bidi="ar-SA"/>
      </w:rPr>
    </w:lvl>
    <w:lvl w:ilvl="1" w:tplc="891A51EA">
      <w:numFmt w:val="bullet"/>
      <w:lvlText w:val="•"/>
      <w:lvlJc w:val="left"/>
      <w:pPr>
        <w:ind w:left="1036" w:hanging="360"/>
      </w:pPr>
      <w:rPr>
        <w:rFonts w:hint="default"/>
        <w:lang w:val="en-US" w:eastAsia="en-US" w:bidi="ar-SA"/>
      </w:rPr>
    </w:lvl>
    <w:lvl w:ilvl="2" w:tplc="CE948E34">
      <w:numFmt w:val="bullet"/>
      <w:lvlText w:val="•"/>
      <w:lvlJc w:val="left"/>
      <w:pPr>
        <w:ind w:left="1252" w:hanging="360"/>
      </w:pPr>
      <w:rPr>
        <w:rFonts w:hint="default"/>
        <w:lang w:val="en-US" w:eastAsia="en-US" w:bidi="ar-SA"/>
      </w:rPr>
    </w:lvl>
    <w:lvl w:ilvl="3" w:tplc="CA466922">
      <w:numFmt w:val="bullet"/>
      <w:lvlText w:val="•"/>
      <w:lvlJc w:val="left"/>
      <w:pPr>
        <w:ind w:left="1469" w:hanging="360"/>
      </w:pPr>
      <w:rPr>
        <w:rFonts w:hint="default"/>
        <w:lang w:val="en-US" w:eastAsia="en-US" w:bidi="ar-SA"/>
      </w:rPr>
    </w:lvl>
    <w:lvl w:ilvl="4" w:tplc="A726E54C">
      <w:numFmt w:val="bullet"/>
      <w:lvlText w:val="•"/>
      <w:lvlJc w:val="left"/>
      <w:pPr>
        <w:ind w:left="1685" w:hanging="360"/>
      </w:pPr>
      <w:rPr>
        <w:rFonts w:hint="default"/>
        <w:lang w:val="en-US" w:eastAsia="en-US" w:bidi="ar-SA"/>
      </w:rPr>
    </w:lvl>
    <w:lvl w:ilvl="5" w:tplc="1562C6DE">
      <w:numFmt w:val="bullet"/>
      <w:lvlText w:val="•"/>
      <w:lvlJc w:val="left"/>
      <w:pPr>
        <w:ind w:left="1901" w:hanging="360"/>
      </w:pPr>
      <w:rPr>
        <w:rFonts w:hint="default"/>
        <w:lang w:val="en-US" w:eastAsia="en-US" w:bidi="ar-SA"/>
      </w:rPr>
    </w:lvl>
    <w:lvl w:ilvl="6" w:tplc="B40498D4">
      <w:numFmt w:val="bullet"/>
      <w:lvlText w:val="•"/>
      <w:lvlJc w:val="left"/>
      <w:pPr>
        <w:ind w:left="2118" w:hanging="360"/>
      </w:pPr>
      <w:rPr>
        <w:rFonts w:hint="default"/>
        <w:lang w:val="en-US" w:eastAsia="en-US" w:bidi="ar-SA"/>
      </w:rPr>
    </w:lvl>
    <w:lvl w:ilvl="7" w:tplc="6A689DCC">
      <w:numFmt w:val="bullet"/>
      <w:lvlText w:val="•"/>
      <w:lvlJc w:val="left"/>
      <w:pPr>
        <w:ind w:left="2334" w:hanging="360"/>
      </w:pPr>
      <w:rPr>
        <w:rFonts w:hint="default"/>
        <w:lang w:val="en-US" w:eastAsia="en-US" w:bidi="ar-SA"/>
      </w:rPr>
    </w:lvl>
    <w:lvl w:ilvl="8" w:tplc="3692E534">
      <w:numFmt w:val="bullet"/>
      <w:lvlText w:val="•"/>
      <w:lvlJc w:val="left"/>
      <w:pPr>
        <w:ind w:left="2550" w:hanging="360"/>
      </w:pPr>
      <w:rPr>
        <w:rFonts w:hint="default"/>
        <w:lang w:val="en-US" w:eastAsia="en-US" w:bidi="ar-SA"/>
      </w:rPr>
    </w:lvl>
  </w:abstractNum>
  <w:abstractNum w:abstractNumId="165" w15:restartNumberingAfterBreak="0">
    <w:nsid w:val="6A755B8E"/>
    <w:multiLevelType w:val="multilevel"/>
    <w:tmpl w:val="1AD01CDE"/>
    <w:lvl w:ilvl="0">
      <w:start w:val="1"/>
      <w:numFmt w:val="decimal"/>
      <w:lvlText w:val="%1."/>
      <w:lvlJc w:val="left"/>
      <w:pPr>
        <w:ind w:left="1760" w:hanging="360"/>
      </w:pPr>
      <w:rPr>
        <w:rFonts w:ascii="Arial" w:eastAsia="Arial" w:hAnsi="Arial" w:cs="Arial" w:hint="default"/>
        <w:b/>
        <w:bCs/>
        <w:i w:val="0"/>
        <w:iCs w:val="0"/>
        <w:spacing w:val="0"/>
        <w:w w:val="100"/>
        <w:sz w:val="24"/>
        <w:szCs w:val="24"/>
        <w:lang w:val="en-US" w:eastAsia="en-US" w:bidi="ar-SA"/>
      </w:rPr>
    </w:lvl>
    <w:lvl w:ilvl="1">
      <w:start w:val="1"/>
      <w:numFmt w:val="decimal"/>
      <w:lvlText w:val="%1.%2"/>
      <w:lvlJc w:val="left"/>
      <w:pPr>
        <w:ind w:left="2300" w:hanging="540"/>
      </w:pPr>
      <w:rPr>
        <w:rFonts w:ascii="Arial" w:eastAsia="Arial" w:hAnsi="Arial" w:cs="Arial" w:hint="default"/>
        <w:b w:val="0"/>
        <w:bCs w:val="0"/>
        <w:i w:val="0"/>
        <w:iCs w:val="0"/>
        <w:spacing w:val="0"/>
        <w:w w:val="99"/>
        <w:sz w:val="24"/>
        <w:szCs w:val="24"/>
        <w:lang w:val="en-US" w:eastAsia="en-US" w:bidi="ar-SA"/>
      </w:rPr>
    </w:lvl>
    <w:lvl w:ilvl="2">
      <w:start w:val="1"/>
      <w:numFmt w:val="decimal"/>
      <w:lvlText w:val="%1.%2.%3"/>
      <w:lvlJc w:val="left"/>
      <w:pPr>
        <w:ind w:left="3150" w:hanging="850"/>
      </w:pPr>
      <w:rPr>
        <w:rFonts w:ascii="Arial" w:eastAsia="Arial" w:hAnsi="Arial" w:cs="Arial" w:hint="default"/>
        <w:b w:val="0"/>
        <w:bCs w:val="0"/>
        <w:i w:val="0"/>
        <w:iCs w:val="0"/>
        <w:spacing w:val="-2"/>
        <w:w w:val="99"/>
        <w:sz w:val="24"/>
        <w:szCs w:val="24"/>
        <w:lang w:val="en-US" w:eastAsia="en-US" w:bidi="ar-SA"/>
      </w:rPr>
    </w:lvl>
    <w:lvl w:ilvl="3">
      <w:start w:val="1"/>
      <w:numFmt w:val="lowerLetter"/>
      <w:lvlText w:val="(%4)"/>
      <w:lvlJc w:val="left"/>
      <w:pPr>
        <w:ind w:left="3964" w:hanging="841"/>
      </w:pPr>
      <w:rPr>
        <w:rFonts w:ascii="Calibri" w:eastAsia="Calibri" w:hAnsi="Calibri" w:cs="Calibri" w:hint="default"/>
        <w:b w:val="0"/>
        <w:bCs w:val="0"/>
        <w:i w:val="0"/>
        <w:iCs w:val="0"/>
        <w:spacing w:val="-1"/>
        <w:w w:val="100"/>
        <w:sz w:val="22"/>
        <w:szCs w:val="22"/>
        <w:lang w:val="en-US" w:eastAsia="en-US" w:bidi="ar-SA"/>
      </w:rPr>
    </w:lvl>
    <w:lvl w:ilvl="4">
      <w:numFmt w:val="bullet"/>
      <w:lvlText w:val="•"/>
      <w:lvlJc w:val="left"/>
      <w:pPr>
        <w:ind w:left="3160" w:hanging="841"/>
      </w:pPr>
      <w:rPr>
        <w:rFonts w:hint="default"/>
        <w:lang w:val="en-US" w:eastAsia="en-US" w:bidi="ar-SA"/>
      </w:rPr>
    </w:lvl>
    <w:lvl w:ilvl="5">
      <w:numFmt w:val="bullet"/>
      <w:lvlText w:val="•"/>
      <w:lvlJc w:val="left"/>
      <w:pPr>
        <w:ind w:left="3960" w:hanging="841"/>
      </w:pPr>
      <w:rPr>
        <w:rFonts w:hint="default"/>
        <w:lang w:val="en-US" w:eastAsia="en-US" w:bidi="ar-SA"/>
      </w:rPr>
    </w:lvl>
    <w:lvl w:ilvl="6">
      <w:numFmt w:val="bullet"/>
      <w:lvlText w:val="•"/>
      <w:lvlJc w:val="left"/>
      <w:pPr>
        <w:ind w:left="5541" w:hanging="841"/>
      </w:pPr>
      <w:rPr>
        <w:rFonts w:hint="default"/>
        <w:lang w:val="en-US" w:eastAsia="en-US" w:bidi="ar-SA"/>
      </w:rPr>
    </w:lvl>
    <w:lvl w:ilvl="7">
      <w:numFmt w:val="bullet"/>
      <w:lvlText w:val="•"/>
      <w:lvlJc w:val="left"/>
      <w:pPr>
        <w:ind w:left="7122" w:hanging="841"/>
      </w:pPr>
      <w:rPr>
        <w:rFonts w:hint="default"/>
        <w:lang w:val="en-US" w:eastAsia="en-US" w:bidi="ar-SA"/>
      </w:rPr>
    </w:lvl>
    <w:lvl w:ilvl="8">
      <w:numFmt w:val="bullet"/>
      <w:lvlText w:val="•"/>
      <w:lvlJc w:val="left"/>
      <w:pPr>
        <w:ind w:left="8703" w:hanging="841"/>
      </w:pPr>
      <w:rPr>
        <w:rFonts w:hint="default"/>
        <w:lang w:val="en-US" w:eastAsia="en-US" w:bidi="ar-SA"/>
      </w:rPr>
    </w:lvl>
  </w:abstractNum>
  <w:abstractNum w:abstractNumId="166" w15:restartNumberingAfterBreak="0">
    <w:nsid w:val="6A8542E9"/>
    <w:multiLevelType w:val="hybridMultilevel"/>
    <w:tmpl w:val="5DC23CBC"/>
    <w:lvl w:ilvl="0" w:tplc="78C6DD1C">
      <w:numFmt w:val="bullet"/>
      <w:lvlText w:val=""/>
      <w:lvlJc w:val="left"/>
      <w:pPr>
        <w:ind w:left="2120" w:hanging="360"/>
      </w:pPr>
      <w:rPr>
        <w:rFonts w:ascii="Wingdings" w:eastAsia="Wingdings" w:hAnsi="Wingdings" w:cs="Wingdings" w:hint="default"/>
        <w:b w:val="0"/>
        <w:bCs w:val="0"/>
        <w:i w:val="0"/>
        <w:iCs w:val="0"/>
        <w:color w:val="0D0D0D"/>
        <w:spacing w:val="0"/>
        <w:w w:val="100"/>
        <w:sz w:val="24"/>
        <w:szCs w:val="24"/>
        <w:lang w:val="en-US" w:eastAsia="en-US" w:bidi="ar-SA"/>
      </w:rPr>
    </w:lvl>
    <w:lvl w:ilvl="1" w:tplc="13BED56C">
      <w:numFmt w:val="bullet"/>
      <w:lvlText w:val="o"/>
      <w:lvlJc w:val="left"/>
      <w:pPr>
        <w:ind w:left="2840" w:hanging="360"/>
      </w:pPr>
      <w:rPr>
        <w:rFonts w:ascii="Courier New" w:eastAsia="Courier New" w:hAnsi="Courier New" w:cs="Courier New" w:hint="default"/>
        <w:b w:val="0"/>
        <w:bCs w:val="0"/>
        <w:i w:val="0"/>
        <w:iCs w:val="0"/>
        <w:color w:val="0D0D0D"/>
        <w:spacing w:val="0"/>
        <w:w w:val="100"/>
        <w:sz w:val="24"/>
        <w:szCs w:val="24"/>
        <w:lang w:val="en-US" w:eastAsia="en-US" w:bidi="ar-SA"/>
      </w:rPr>
    </w:lvl>
    <w:lvl w:ilvl="2" w:tplc="090C4EFC">
      <w:numFmt w:val="bullet"/>
      <w:lvlText w:val="•"/>
      <w:lvlJc w:val="left"/>
      <w:pPr>
        <w:ind w:left="3842" w:hanging="360"/>
      </w:pPr>
      <w:rPr>
        <w:rFonts w:hint="default"/>
        <w:lang w:val="en-US" w:eastAsia="en-US" w:bidi="ar-SA"/>
      </w:rPr>
    </w:lvl>
    <w:lvl w:ilvl="3" w:tplc="8C9A67E0">
      <w:numFmt w:val="bullet"/>
      <w:lvlText w:val="•"/>
      <w:lvlJc w:val="left"/>
      <w:pPr>
        <w:ind w:left="4845" w:hanging="360"/>
      </w:pPr>
      <w:rPr>
        <w:rFonts w:hint="default"/>
        <w:lang w:val="en-US" w:eastAsia="en-US" w:bidi="ar-SA"/>
      </w:rPr>
    </w:lvl>
    <w:lvl w:ilvl="4" w:tplc="958ED05A">
      <w:numFmt w:val="bullet"/>
      <w:lvlText w:val="•"/>
      <w:lvlJc w:val="left"/>
      <w:pPr>
        <w:ind w:left="5848" w:hanging="360"/>
      </w:pPr>
      <w:rPr>
        <w:rFonts w:hint="default"/>
        <w:lang w:val="en-US" w:eastAsia="en-US" w:bidi="ar-SA"/>
      </w:rPr>
    </w:lvl>
    <w:lvl w:ilvl="5" w:tplc="B98CB5AE">
      <w:numFmt w:val="bullet"/>
      <w:lvlText w:val="•"/>
      <w:lvlJc w:val="left"/>
      <w:pPr>
        <w:ind w:left="6851" w:hanging="360"/>
      </w:pPr>
      <w:rPr>
        <w:rFonts w:hint="default"/>
        <w:lang w:val="en-US" w:eastAsia="en-US" w:bidi="ar-SA"/>
      </w:rPr>
    </w:lvl>
    <w:lvl w:ilvl="6" w:tplc="826CE0E6">
      <w:numFmt w:val="bullet"/>
      <w:lvlText w:val="•"/>
      <w:lvlJc w:val="left"/>
      <w:pPr>
        <w:ind w:left="7854" w:hanging="360"/>
      </w:pPr>
      <w:rPr>
        <w:rFonts w:hint="default"/>
        <w:lang w:val="en-US" w:eastAsia="en-US" w:bidi="ar-SA"/>
      </w:rPr>
    </w:lvl>
    <w:lvl w:ilvl="7" w:tplc="723A7B30">
      <w:numFmt w:val="bullet"/>
      <w:lvlText w:val="•"/>
      <w:lvlJc w:val="left"/>
      <w:pPr>
        <w:ind w:left="8857" w:hanging="360"/>
      </w:pPr>
      <w:rPr>
        <w:rFonts w:hint="default"/>
        <w:lang w:val="en-US" w:eastAsia="en-US" w:bidi="ar-SA"/>
      </w:rPr>
    </w:lvl>
    <w:lvl w:ilvl="8" w:tplc="7AA48B8A">
      <w:numFmt w:val="bullet"/>
      <w:lvlText w:val="•"/>
      <w:lvlJc w:val="left"/>
      <w:pPr>
        <w:ind w:left="9860" w:hanging="360"/>
      </w:pPr>
      <w:rPr>
        <w:rFonts w:hint="default"/>
        <w:lang w:val="en-US" w:eastAsia="en-US" w:bidi="ar-SA"/>
      </w:rPr>
    </w:lvl>
  </w:abstractNum>
  <w:abstractNum w:abstractNumId="167" w15:restartNumberingAfterBreak="0">
    <w:nsid w:val="6A964C8D"/>
    <w:multiLevelType w:val="hybridMultilevel"/>
    <w:tmpl w:val="13A02104"/>
    <w:lvl w:ilvl="0" w:tplc="EEB07930">
      <w:numFmt w:val="bullet"/>
      <w:lvlText w:val=""/>
      <w:lvlJc w:val="left"/>
      <w:pPr>
        <w:ind w:left="826" w:hanging="360"/>
      </w:pPr>
      <w:rPr>
        <w:rFonts w:ascii="Wingdings" w:eastAsia="Wingdings" w:hAnsi="Wingdings" w:cs="Wingdings" w:hint="default"/>
        <w:b w:val="0"/>
        <w:bCs w:val="0"/>
        <w:i w:val="0"/>
        <w:iCs w:val="0"/>
        <w:color w:val="0D0D0D"/>
        <w:spacing w:val="0"/>
        <w:w w:val="100"/>
        <w:sz w:val="22"/>
        <w:szCs w:val="22"/>
        <w:lang w:val="en-US" w:eastAsia="en-US" w:bidi="ar-SA"/>
      </w:rPr>
    </w:lvl>
    <w:lvl w:ilvl="1" w:tplc="B57244B6">
      <w:numFmt w:val="bullet"/>
      <w:lvlText w:val="•"/>
      <w:lvlJc w:val="left"/>
      <w:pPr>
        <w:ind w:left="916" w:hanging="360"/>
      </w:pPr>
      <w:rPr>
        <w:rFonts w:hint="default"/>
        <w:lang w:val="en-US" w:eastAsia="en-US" w:bidi="ar-SA"/>
      </w:rPr>
    </w:lvl>
    <w:lvl w:ilvl="2" w:tplc="7E9EEDC4">
      <w:numFmt w:val="bullet"/>
      <w:lvlText w:val="•"/>
      <w:lvlJc w:val="left"/>
      <w:pPr>
        <w:ind w:left="1012" w:hanging="360"/>
      </w:pPr>
      <w:rPr>
        <w:rFonts w:hint="default"/>
        <w:lang w:val="en-US" w:eastAsia="en-US" w:bidi="ar-SA"/>
      </w:rPr>
    </w:lvl>
    <w:lvl w:ilvl="3" w:tplc="F844D16A">
      <w:numFmt w:val="bullet"/>
      <w:lvlText w:val="•"/>
      <w:lvlJc w:val="left"/>
      <w:pPr>
        <w:ind w:left="1108" w:hanging="360"/>
      </w:pPr>
      <w:rPr>
        <w:rFonts w:hint="default"/>
        <w:lang w:val="en-US" w:eastAsia="en-US" w:bidi="ar-SA"/>
      </w:rPr>
    </w:lvl>
    <w:lvl w:ilvl="4" w:tplc="8C66C70C">
      <w:numFmt w:val="bullet"/>
      <w:lvlText w:val="•"/>
      <w:lvlJc w:val="left"/>
      <w:pPr>
        <w:ind w:left="1205" w:hanging="360"/>
      </w:pPr>
      <w:rPr>
        <w:rFonts w:hint="default"/>
        <w:lang w:val="en-US" w:eastAsia="en-US" w:bidi="ar-SA"/>
      </w:rPr>
    </w:lvl>
    <w:lvl w:ilvl="5" w:tplc="C7523E0E">
      <w:numFmt w:val="bullet"/>
      <w:lvlText w:val="•"/>
      <w:lvlJc w:val="left"/>
      <w:pPr>
        <w:ind w:left="1301" w:hanging="360"/>
      </w:pPr>
      <w:rPr>
        <w:rFonts w:hint="default"/>
        <w:lang w:val="en-US" w:eastAsia="en-US" w:bidi="ar-SA"/>
      </w:rPr>
    </w:lvl>
    <w:lvl w:ilvl="6" w:tplc="0AACE2AE">
      <w:numFmt w:val="bullet"/>
      <w:lvlText w:val="•"/>
      <w:lvlJc w:val="left"/>
      <w:pPr>
        <w:ind w:left="1397" w:hanging="360"/>
      </w:pPr>
      <w:rPr>
        <w:rFonts w:hint="default"/>
        <w:lang w:val="en-US" w:eastAsia="en-US" w:bidi="ar-SA"/>
      </w:rPr>
    </w:lvl>
    <w:lvl w:ilvl="7" w:tplc="D004D3F2">
      <w:numFmt w:val="bullet"/>
      <w:lvlText w:val="•"/>
      <w:lvlJc w:val="left"/>
      <w:pPr>
        <w:ind w:left="1494" w:hanging="360"/>
      </w:pPr>
      <w:rPr>
        <w:rFonts w:hint="default"/>
        <w:lang w:val="en-US" w:eastAsia="en-US" w:bidi="ar-SA"/>
      </w:rPr>
    </w:lvl>
    <w:lvl w:ilvl="8" w:tplc="A6F485A2">
      <w:numFmt w:val="bullet"/>
      <w:lvlText w:val="•"/>
      <w:lvlJc w:val="left"/>
      <w:pPr>
        <w:ind w:left="1590" w:hanging="360"/>
      </w:pPr>
      <w:rPr>
        <w:rFonts w:hint="default"/>
        <w:lang w:val="en-US" w:eastAsia="en-US" w:bidi="ar-SA"/>
      </w:rPr>
    </w:lvl>
  </w:abstractNum>
  <w:abstractNum w:abstractNumId="168" w15:restartNumberingAfterBreak="0">
    <w:nsid w:val="6AFB78BD"/>
    <w:multiLevelType w:val="multilevel"/>
    <w:tmpl w:val="9B70C84E"/>
    <w:lvl w:ilvl="0">
      <w:start w:val="1"/>
      <w:numFmt w:val="decimal"/>
      <w:lvlText w:val="%1."/>
      <w:lvlJc w:val="left"/>
      <w:pPr>
        <w:ind w:left="1247" w:hanging="203"/>
      </w:pPr>
      <w:rPr>
        <w:rFonts w:ascii="Arial" w:eastAsia="Arial" w:hAnsi="Arial" w:cs="Arial" w:hint="default"/>
        <w:b/>
        <w:bCs/>
        <w:i w:val="0"/>
        <w:iCs w:val="0"/>
        <w:spacing w:val="0"/>
        <w:w w:val="100"/>
        <w:sz w:val="18"/>
        <w:szCs w:val="18"/>
        <w:lang w:val="en-US" w:eastAsia="en-US" w:bidi="ar-SA"/>
      </w:rPr>
    </w:lvl>
    <w:lvl w:ilvl="1">
      <w:start w:val="1"/>
      <w:numFmt w:val="decimal"/>
      <w:lvlText w:val="%1.%2"/>
      <w:lvlJc w:val="left"/>
      <w:pPr>
        <w:ind w:left="1044" w:hanging="543"/>
      </w:pPr>
      <w:rPr>
        <w:rFonts w:ascii="Arial" w:eastAsia="Arial" w:hAnsi="Arial" w:cs="Arial" w:hint="default"/>
        <w:b w:val="0"/>
        <w:bCs w:val="0"/>
        <w:i w:val="0"/>
        <w:iCs w:val="0"/>
        <w:spacing w:val="0"/>
        <w:w w:val="100"/>
        <w:sz w:val="18"/>
        <w:szCs w:val="18"/>
        <w:lang w:val="en-US" w:eastAsia="en-US" w:bidi="ar-SA"/>
      </w:rPr>
    </w:lvl>
    <w:lvl w:ilvl="2">
      <w:start w:val="1"/>
      <w:numFmt w:val="decimal"/>
      <w:lvlText w:val="%1.%2.%3"/>
      <w:lvlJc w:val="left"/>
      <w:pPr>
        <w:ind w:left="2668" w:hanging="539"/>
      </w:pPr>
      <w:rPr>
        <w:rFonts w:ascii="Arial" w:eastAsia="Arial" w:hAnsi="Arial" w:cs="Arial" w:hint="default"/>
        <w:b w:val="0"/>
        <w:bCs w:val="0"/>
        <w:i w:val="0"/>
        <w:iCs w:val="0"/>
        <w:spacing w:val="-2"/>
        <w:w w:val="100"/>
        <w:sz w:val="18"/>
        <w:szCs w:val="18"/>
        <w:lang w:val="en-US" w:eastAsia="en-US" w:bidi="ar-SA"/>
      </w:rPr>
    </w:lvl>
    <w:lvl w:ilvl="3">
      <w:numFmt w:val="bullet"/>
      <w:lvlText w:val="•"/>
      <w:lvlJc w:val="left"/>
      <w:pPr>
        <w:ind w:left="3810" w:hanging="539"/>
      </w:pPr>
      <w:rPr>
        <w:rFonts w:hint="default"/>
        <w:lang w:val="en-US" w:eastAsia="en-US" w:bidi="ar-SA"/>
      </w:rPr>
    </w:lvl>
    <w:lvl w:ilvl="4">
      <w:numFmt w:val="bullet"/>
      <w:lvlText w:val="•"/>
      <w:lvlJc w:val="left"/>
      <w:pPr>
        <w:ind w:left="4961" w:hanging="539"/>
      </w:pPr>
      <w:rPr>
        <w:rFonts w:hint="default"/>
        <w:lang w:val="en-US" w:eastAsia="en-US" w:bidi="ar-SA"/>
      </w:rPr>
    </w:lvl>
    <w:lvl w:ilvl="5">
      <w:numFmt w:val="bullet"/>
      <w:lvlText w:val="•"/>
      <w:lvlJc w:val="left"/>
      <w:pPr>
        <w:ind w:left="6112" w:hanging="539"/>
      </w:pPr>
      <w:rPr>
        <w:rFonts w:hint="default"/>
        <w:lang w:val="en-US" w:eastAsia="en-US" w:bidi="ar-SA"/>
      </w:rPr>
    </w:lvl>
    <w:lvl w:ilvl="6">
      <w:numFmt w:val="bullet"/>
      <w:lvlText w:val="•"/>
      <w:lvlJc w:val="left"/>
      <w:pPr>
        <w:ind w:left="7263" w:hanging="539"/>
      </w:pPr>
      <w:rPr>
        <w:rFonts w:hint="default"/>
        <w:lang w:val="en-US" w:eastAsia="en-US" w:bidi="ar-SA"/>
      </w:rPr>
    </w:lvl>
    <w:lvl w:ilvl="7">
      <w:numFmt w:val="bullet"/>
      <w:lvlText w:val="•"/>
      <w:lvlJc w:val="left"/>
      <w:pPr>
        <w:ind w:left="8414" w:hanging="539"/>
      </w:pPr>
      <w:rPr>
        <w:rFonts w:hint="default"/>
        <w:lang w:val="en-US" w:eastAsia="en-US" w:bidi="ar-SA"/>
      </w:rPr>
    </w:lvl>
    <w:lvl w:ilvl="8">
      <w:numFmt w:val="bullet"/>
      <w:lvlText w:val="•"/>
      <w:lvlJc w:val="left"/>
      <w:pPr>
        <w:ind w:left="9564" w:hanging="539"/>
      </w:pPr>
      <w:rPr>
        <w:rFonts w:hint="default"/>
        <w:lang w:val="en-US" w:eastAsia="en-US" w:bidi="ar-SA"/>
      </w:rPr>
    </w:lvl>
  </w:abstractNum>
  <w:abstractNum w:abstractNumId="169" w15:restartNumberingAfterBreak="0">
    <w:nsid w:val="6BE61382"/>
    <w:multiLevelType w:val="hybridMultilevel"/>
    <w:tmpl w:val="14BE0ECC"/>
    <w:lvl w:ilvl="0" w:tplc="EDDCA00A">
      <w:start w:val="1"/>
      <w:numFmt w:val="lowerLetter"/>
      <w:lvlText w:val="(%1)"/>
      <w:lvlJc w:val="left"/>
      <w:pPr>
        <w:ind w:left="1494" w:hanging="428"/>
      </w:pPr>
      <w:rPr>
        <w:rFonts w:ascii="Calibri" w:eastAsia="Calibri" w:hAnsi="Calibri" w:cs="Calibri" w:hint="default"/>
        <w:b w:val="0"/>
        <w:bCs w:val="0"/>
        <w:i w:val="0"/>
        <w:iCs w:val="0"/>
        <w:spacing w:val="-1"/>
        <w:w w:val="100"/>
        <w:sz w:val="24"/>
        <w:szCs w:val="24"/>
        <w:lang w:val="en-US" w:eastAsia="en-US" w:bidi="ar-SA"/>
      </w:rPr>
    </w:lvl>
    <w:lvl w:ilvl="1" w:tplc="1DFC8C0A">
      <w:numFmt w:val="bullet"/>
      <w:lvlText w:val="•"/>
      <w:lvlJc w:val="left"/>
      <w:pPr>
        <w:ind w:left="2536" w:hanging="428"/>
      </w:pPr>
      <w:rPr>
        <w:rFonts w:hint="default"/>
        <w:lang w:val="en-US" w:eastAsia="en-US" w:bidi="ar-SA"/>
      </w:rPr>
    </w:lvl>
    <w:lvl w:ilvl="2" w:tplc="FCE44786">
      <w:numFmt w:val="bullet"/>
      <w:lvlText w:val="•"/>
      <w:lvlJc w:val="left"/>
      <w:pPr>
        <w:ind w:left="3573" w:hanging="428"/>
      </w:pPr>
      <w:rPr>
        <w:rFonts w:hint="default"/>
        <w:lang w:val="en-US" w:eastAsia="en-US" w:bidi="ar-SA"/>
      </w:rPr>
    </w:lvl>
    <w:lvl w:ilvl="3" w:tplc="41C0B43C">
      <w:numFmt w:val="bullet"/>
      <w:lvlText w:val="•"/>
      <w:lvlJc w:val="left"/>
      <w:pPr>
        <w:ind w:left="4609" w:hanging="428"/>
      </w:pPr>
      <w:rPr>
        <w:rFonts w:hint="default"/>
        <w:lang w:val="en-US" w:eastAsia="en-US" w:bidi="ar-SA"/>
      </w:rPr>
    </w:lvl>
    <w:lvl w:ilvl="4" w:tplc="12465A04">
      <w:numFmt w:val="bullet"/>
      <w:lvlText w:val="•"/>
      <w:lvlJc w:val="left"/>
      <w:pPr>
        <w:ind w:left="5646" w:hanging="428"/>
      </w:pPr>
      <w:rPr>
        <w:rFonts w:hint="default"/>
        <w:lang w:val="en-US" w:eastAsia="en-US" w:bidi="ar-SA"/>
      </w:rPr>
    </w:lvl>
    <w:lvl w:ilvl="5" w:tplc="E00499B8">
      <w:numFmt w:val="bullet"/>
      <w:lvlText w:val="•"/>
      <w:lvlJc w:val="left"/>
      <w:pPr>
        <w:ind w:left="6683" w:hanging="428"/>
      </w:pPr>
      <w:rPr>
        <w:rFonts w:hint="default"/>
        <w:lang w:val="en-US" w:eastAsia="en-US" w:bidi="ar-SA"/>
      </w:rPr>
    </w:lvl>
    <w:lvl w:ilvl="6" w:tplc="BB2AEA68">
      <w:numFmt w:val="bullet"/>
      <w:lvlText w:val="•"/>
      <w:lvlJc w:val="left"/>
      <w:pPr>
        <w:ind w:left="7719" w:hanging="428"/>
      </w:pPr>
      <w:rPr>
        <w:rFonts w:hint="default"/>
        <w:lang w:val="en-US" w:eastAsia="en-US" w:bidi="ar-SA"/>
      </w:rPr>
    </w:lvl>
    <w:lvl w:ilvl="7" w:tplc="574A400C">
      <w:numFmt w:val="bullet"/>
      <w:lvlText w:val="•"/>
      <w:lvlJc w:val="left"/>
      <w:pPr>
        <w:ind w:left="8756" w:hanging="428"/>
      </w:pPr>
      <w:rPr>
        <w:rFonts w:hint="default"/>
        <w:lang w:val="en-US" w:eastAsia="en-US" w:bidi="ar-SA"/>
      </w:rPr>
    </w:lvl>
    <w:lvl w:ilvl="8" w:tplc="950A2A0C">
      <w:numFmt w:val="bullet"/>
      <w:lvlText w:val="•"/>
      <w:lvlJc w:val="left"/>
      <w:pPr>
        <w:ind w:left="9793" w:hanging="428"/>
      </w:pPr>
      <w:rPr>
        <w:rFonts w:hint="default"/>
        <w:lang w:val="en-US" w:eastAsia="en-US" w:bidi="ar-SA"/>
      </w:rPr>
    </w:lvl>
  </w:abstractNum>
  <w:abstractNum w:abstractNumId="170" w15:restartNumberingAfterBreak="0">
    <w:nsid w:val="6C6C4A28"/>
    <w:multiLevelType w:val="hybridMultilevel"/>
    <w:tmpl w:val="276A558C"/>
    <w:lvl w:ilvl="0" w:tplc="356CD0E6">
      <w:numFmt w:val="bullet"/>
      <w:lvlText w:val="-"/>
      <w:lvlJc w:val="left"/>
      <w:pPr>
        <w:ind w:left="109" w:hanging="118"/>
      </w:pPr>
      <w:rPr>
        <w:rFonts w:ascii="Calibri" w:eastAsia="Calibri" w:hAnsi="Calibri" w:cs="Calibri" w:hint="default"/>
        <w:b w:val="0"/>
        <w:bCs w:val="0"/>
        <w:i w:val="0"/>
        <w:iCs w:val="0"/>
        <w:spacing w:val="0"/>
        <w:w w:val="100"/>
        <w:sz w:val="22"/>
        <w:szCs w:val="22"/>
        <w:lang w:val="en-US" w:eastAsia="en-US" w:bidi="ar-SA"/>
      </w:rPr>
    </w:lvl>
    <w:lvl w:ilvl="1" w:tplc="93022AAC">
      <w:numFmt w:val="bullet"/>
      <w:lvlText w:val="•"/>
      <w:lvlJc w:val="left"/>
      <w:pPr>
        <w:ind w:left="387" w:hanging="118"/>
      </w:pPr>
      <w:rPr>
        <w:rFonts w:hint="default"/>
        <w:lang w:val="en-US" w:eastAsia="en-US" w:bidi="ar-SA"/>
      </w:rPr>
    </w:lvl>
    <w:lvl w:ilvl="2" w:tplc="97367422">
      <w:numFmt w:val="bullet"/>
      <w:lvlText w:val="•"/>
      <w:lvlJc w:val="left"/>
      <w:pPr>
        <w:ind w:left="675" w:hanging="118"/>
      </w:pPr>
      <w:rPr>
        <w:rFonts w:hint="default"/>
        <w:lang w:val="en-US" w:eastAsia="en-US" w:bidi="ar-SA"/>
      </w:rPr>
    </w:lvl>
    <w:lvl w:ilvl="3" w:tplc="96EE8F3C">
      <w:numFmt w:val="bullet"/>
      <w:lvlText w:val="•"/>
      <w:lvlJc w:val="left"/>
      <w:pPr>
        <w:ind w:left="963" w:hanging="118"/>
      </w:pPr>
      <w:rPr>
        <w:rFonts w:hint="default"/>
        <w:lang w:val="en-US" w:eastAsia="en-US" w:bidi="ar-SA"/>
      </w:rPr>
    </w:lvl>
    <w:lvl w:ilvl="4" w:tplc="67C8D93A">
      <w:numFmt w:val="bullet"/>
      <w:lvlText w:val="•"/>
      <w:lvlJc w:val="left"/>
      <w:pPr>
        <w:ind w:left="1251" w:hanging="118"/>
      </w:pPr>
      <w:rPr>
        <w:rFonts w:hint="default"/>
        <w:lang w:val="en-US" w:eastAsia="en-US" w:bidi="ar-SA"/>
      </w:rPr>
    </w:lvl>
    <w:lvl w:ilvl="5" w:tplc="329E2762">
      <w:numFmt w:val="bullet"/>
      <w:lvlText w:val="•"/>
      <w:lvlJc w:val="left"/>
      <w:pPr>
        <w:ind w:left="1539" w:hanging="118"/>
      </w:pPr>
      <w:rPr>
        <w:rFonts w:hint="default"/>
        <w:lang w:val="en-US" w:eastAsia="en-US" w:bidi="ar-SA"/>
      </w:rPr>
    </w:lvl>
    <w:lvl w:ilvl="6" w:tplc="479E071C">
      <w:numFmt w:val="bullet"/>
      <w:lvlText w:val="•"/>
      <w:lvlJc w:val="left"/>
      <w:pPr>
        <w:ind w:left="1826" w:hanging="118"/>
      </w:pPr>
      <w:rPr>
        <w:rFonts w:hint="default"/>
        <w:lang w:val="en-US" w:eastAsia="en-US" w:bidi="ar-SA"/>
      </w:rPr>
    </w:lvl>
    <w:lvl w:ilvl="7" w:tplc="046AC540">
      <w:numFmt w:val="bullet"/>
      <w:lvlText w:val="•"/>
      <w:lvlJc w:val="left"/>
      <w:pPr>
        <w:ind w:left="2114" w:hanging="118"/>
      </w:pPr>
      <w:rPr>
        <w:rFonts w:hint="default"/>
        <w:lang w:val="en-US" w:eastAsia="en-US" w:bidi="ar-SA"/>
      </w:rPr>
    </w:lvl>
    <w:lvl w:ilvl="8" w:tplc="A1DAB4DA">
      <w:numFmt w:val="bullet"/>
      <w:lvlText w:val="•"/>
      <w:lvlJc w:val="left"/>
      <w:pPr>
        <w:ind w:left="2402" w:hanging="118"/>
      </w:pPr>
      <w:rPr>
        <w:rFonts w:hint="default"/>
        <w:lang w:val="en-US" w:eastAsia="en-US" w:bidi="ar-SA"/>
      </w:rPr>
    </w:lvl>
  </w:abstractNum>
  <w:abstractNum w:abstractNumId="171" w15:restartNumberingAfterBreak="0">
    <w:nsid w:val="6CC17B61"/>
    <w:multiLevelType w:val="hybridMultilevel"/>
    <w:tmpl w:val="0E1A606C"/>
    <w:lvl w:ilvl="0" w:tplc="639EFDC2">
      <w:numFmt w:val="bullet"/>
      <w:lvlText w:val=""/>
      <w:lvlJc w:val="left"/>
      <w:pPr>
        <w:ind w:left="816" w:hanging="360"/>
      </w:pPr>
      <w:rPr>
        <w:rFonts w:ascii="Wingdings" w:eastAsia="Wingdings" w:hAnsi="Wingdings" w:cs="Wingdings" w:hint="default"/>
        <w:b w:val="0"/>
        <w:bCs w:val="0"/>
        <w:i w:val="0"/>
        <w:iCs w:val="0"/>
        <w:color w:val="0D0D0D"/>
        <w:spacing w:val="0"/>
        <w:w w:val="100"/>
        <w:sz w:val="24"/>
        <w:szCs w:val="24"/>
        <w:lang w:val="en-US" w:eastAsia="en-US" w:bidi="ar-SA"/>
      </w:rPr>
    </w:lvl>
    <w:lvl w:ilvl="1" w:tplc="C9FE996A">
      <w:numFmt w:val="bullet"/>
      <w:lvlText w:val="•"/>
      <w:lvlJc w:val="left"/>
      <w:pPr>
        <w:ind w:left="1036" w:hanging="360"/>
      </w:pPr>
      <w:rPr>
        <w:rFonts w:hint="default"/>
        <w:lang w:val="en-US" w:eastAsia="en-US" w:bidi="ar-SA"/>
      </w:rPr>
    </w:lvl>
    <w:lvl w:ilvl="2" w:tplc="108C212E">
      <w:numFmt w:val="bullet"/>
      <w:lvlText w:val="•"/>
      <w:lvlJc w:val="left"/>
      <w:pPr>
        <w:ind w:left="1252" w:hanging="360"/>
      </w:pPr>
      <w:rPr>
        <w:rFonts w:hint="default"/>
        <w:lang w:val="en-US" w:eastAsia="en-US" w:bidi="ar-SA"/>
      </w:rPr>
    </w:lvl>
    <w:lvl w:ilvl="3" w:tplc="3ED00C8C">
      <w:numFmt w:val="bullet"/>
      <w:lvlText w:val="•"/>
      <w:lvlJc w:val="left"/>
      <w:pPr>
        <w:ind w:left="1469" w:hanging="360"/>
      </w:pPr>
      <w:rPr>
        <w:rFonts w:hint="default"/>
        <w:lang w:val="en-US" w:eastAsia="en-US" w:bidi="ar-SA"/>
      </w:rPr>
    </w:lvl>
    <w:lvl w:ilvl="4" w:tplc="D8DE3E0A">
      <w:numFmt w:val="bullet"/>
      <w:lvlText w:val="•"/>
      <w:lvlJc w:val="left"/>
      <w:pPr>
        <w:ind w:left="1685" w:hanging="360"/>
      </w:pPr>
      <w:rPr>
        <w:rFonts w:hint="default"/>
        <w:lang w:val="en-US" w:eastAsia="en-US" w:bidi="ar-SA"/>
      </w:rPr>
    </w:lvl>
    <w:lvl w:ilvl="5" w:tplc="50BA7064">
      <w:numFmt w:val="bullet"/>
      <w:lvlText w:val="•"/>
      <w:lvlJc w:val="left"/>
      <w:pPr>
        <w:ind w:left="1901" w:hanging="360"/>
      </w:pPr>
      <w:rPr>
        <w:rFonts w:hint="default"/>
        <w:lang w:val="en-US" w:eastAsia="en-US" w:bidi="ar-SA"/>
      </w:rPr>
    </w:lvl>
    <w:lvl w:ilvl="6" w:tplc="29F88EC8">
      <w:numFmt w:val="bullet"/>
      <w:lvlText w:val="•"/>
      <w:lvlJc w:val="left"/>
      <w:pPr>
        <w:ind w:left="2118" w:hanging="360"/>
      </w:pPr>
      <w:rPr>
        <w:rFonts w:hint="default"/>
        <w:lang w:val="en-US" w:eastAsia="en-US" w:bidi="ar-SA"/>
      </w:rPr>
    </w:lvl>
    <w:lvl w:ilvl="7" w:tplc="393C3324">
      <w:numFmt w:val="bullet"/>
      <w:lvlText w:val="•"/>
      <w:lvlJc w:val="left"/>
      <w:pPr>
        <w:ind w:left="2334" w:hanging="360"/>
      </w:pPr>
      <w:rPr>
        <w:rFonts w:hint="default"/>
        <w:lang w:val="en-US" w:eastAsia="en-US" w:bidi="ar-SA"/>
      </w:rPr>
    </w:lvl>
    <w:lvl w:ilvl="8" w:tplc="3B62911A">
      <w:numFmt w:val="bullet"/>
      <w:lvlText w:val="•"/>
      <w:lvlJc w:val="left"/>
      <w:pPr>
        <w:ind w:left="2550" w:hanging="360"/>
      </w:pPr>
      <w:rPr>
        <w:rFonts w:hint="default"/>
        <w:lang w:val="en-US" w:eastAsia="en-US" w:bidi="ar-SA"/>
      </w:rPr>
    </w:lvl>
  </w:abstractNum>
  <w:abstractNum w:abstractNumId="172" w15:restartNumberingAfterBreak="0">
    <w:nsid w:val="6CCC1D8F"/>
    <w:multiLevelType w:val="hybridMultilevel"/>
    <w:tmpl w:val="5C4EA676"/>
    <w:lvl w:ilvl="0" w:tplc="90E63AA8">
      <w:start w:val="1"/>
      <w:numFmt w:val="lowerLetter"/>
      <w:lvlText w:val="(%1)"/>
      <w:lvlJc w:val="left"/>
      <w:pPr>
        <w:ind w:left="1494" w:hanging="428"/>
      </w:pPr>
      <w:rPr>
        <w:rFonts w:ascii="Calibri" w:eastAsia="Calibri" w:hAnsi="Calibri" w:cs="Calibri" w:hint="default"/>
        <w:b w:val="0"/>
        <w:bCs w:val="0"/>
        <w:i w:val="0"/>
        <w:iCs w:val="0"/>
        <w:spacing w:val="-1"/>
        <w:w w:val="100"/>
        <w:sz w:val="24"/>
        <w:szCs w:val="24"/>
        <w:lang w:val="en-US" w:eastAsia="en-US" w:bidi="ar-SA"/>
      </w:rPr>
    </w:lvl>
    <w:lvl w:ilvl="1" w:tplc="C96E1880">
      <w:numFmt w:val="bullet"/>
      <w:lvlText w:val="•"/>
      <w:lvlJc w:val="left"/>
      <w:pPr>
        <w:ind w:left="2536" w:hanging="428"/>
      </w:pPr>
      <w:rPr>
        <w:rFonts w:hint="default"/>
        <w:lang w:val="en-US" w:eastAsia="en-US" w:bidi="ar-SA"/>
      </w:rPr>
    </w:lvl>
    <w:lvl w:ilvl="2" w:tplc="2A86B7D2">
      <w:numFmt w:val="bullet"/>
      <w:lvlText w:val="•"/>
      <w:lvlJc w:val="left"/>
      <w:pPr>
        <w:ind w:left="3573" w:hanging="428"/>
      </w:pPr>
      <w:rPr>
        <w:rFonts w:hint="default"/>
        <w:lang w:val="en-US" w:eastAsia="en-US" w:bidi="ar-SA"/>
      </w:rPr>
    </w:lvl>
    <w:lvl w:ilvl="3" w:tplc="700ABD36">
      <w:numFmt w:val="bullet"/>
      <w:lvlText w:val="•"/>
      <w:lvlJc w:val="left"/>
      <w:pPr>
        <w:ind w:left="4609" w:hanging="428"/>
      </w:pPr>
      <w:rPr>
        <w:rFonts w:hint="default"/>
        <w:lang w:val="en-US" w:eastAsia="en-US" w:bidi="ar-SA"/>
      </w:rPr>
    </w:lvl>
    <w:lvl w:ilvl="4" w:tplc="5442E432">
      <w:numFmt w:val="bullet"/>
      <w:lvlText w:val="•"/>
      <w:lvlJc w:val="left"/>
      <w:pPr>
        <w:ind w:left="5646" w:hanging="428"/>
      </w:pPr>
      <w:rPr>
        <w:rFonts w:hint="default"/>
        <w:lang w:val="en-US" w:eastAsia="en-US" w:bidi="ar-SA"/>
      </w:rPr>
    </w:lvl>
    <w:lvl w:ilvl="5" w:tplc="E3D2B4DC">
      <w:numFmt w:val="bullet"/>
      <w:lvlText w:val="•"/>
      <w:lvlJc w:val="left"/>
      <w:pPr>
        <w:ind w:left="6683" w:hanging="428"/>
      </w:pPr>
      <w:rPr>
        <w:rFonts w:hint="default"/>
        <w:lang w:val="en-US" w:eastAsia="en-US" w:bidi="ar-SA"/>
      </w:rPr>
    </w:lvl>
    <w:lvl w:ilvl="6" w:tplc="142E728A">
      <w:numFmt w:val="bullet"/>
      <w:lvlText w:val="•"/>
      <w:lvlJc w:val="left"/>
      <w:pPr>
        <w:ind w:left="7719" w:hanging="428"/>
      </w:pPr>
      <w:rPr>
        <w:rFonts w:hint="default"/>
        <w:lang w:val="en-US" w:eastAsia="en-US" w:bidi="ar-SA"/>
      </w:rPr>
    </w:lvl>
    <w:lvl w:ilvl="7" w:tplc="B4CEC8E4">
      <w:numFmt w:val="bullet"/>
      <w:lvlText w:val="•"/>
      <w:lvlJc w:val="left"/>
      <w:pPr>
        <w:ind w:left="8756" w:hanging="428"/>
      </w:pPr>
      <w:rPr>
        <w:rFonts w:hint="default"/>
        <w:lang w:val="en-US" w:eastAsia="en-US" w:bidi="ar-SA"/>
      </w:rPr>
    </w:lvl>
    <w:lvl w:ilvl="8" w:tplc="66A687A2">
      <w:numFmt w:val="bullet"/>
      <w:lvlText w:val="•"/>
      <w:lvlJc w:val="left"/>
      <w:pPr>
        <w:ind w:left="9793" w:hanging="428"/>
      </w:pPr>
      <w:rPr>
        <w:rFonts w:hint="default"/>
        <w:lang w:val="en-US" w:eastAsia="en-US" w:bidi="ar-SA"/>
      </w:rPr>
    </w:lvl>
  </w:abstractNum>
  <w:abstractNum w:abstractNumId="173" w15:restartNumberingAfterBreak="0">
    <w:nsid w:val="6E200BBE"/>
    <w:multiLevelType w:val="hybridMultilevel"/>
    <w:tmpl w:val="3A16C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4" w15:restartNumberingAfterBreak="0">
    <w:nsid w:val="6EAA4851"/>
    <w:multiLevelType w:val="hybridMultilevel"/>
    <w:tmpl w:val="42EEFC14"/>
    <w:lvl w:ilvl="0" w:tplc="16087F0C">
      <w:start w:val="1"/>
      <w:numFmt w:val="lowerLetter"/>
      <w:lvlText w:val="(%1)"/>
      <w:lvlJc w:val="left"/>
      <w:pPr>
        <w:ind w:left="1494" w:hanging="428"/>
      </w:pPr>
      <w:rPr>
        <w:rFonts w:ascii="Calibri" w:eastAsia="Calibri" w:hAnsi="Calibri" w:cs="Calibri" w:hint="default"/>
        <w:b w:val="0"/>
        <w:bCs w:val="0"/>
        <w:i w:val="0"/>
        <w:iCs w:val="0"/>
        <w:spacing w:val="-1"/>
        <w:w w:val="100"/>
        <w:sz w:val="24"/>
        <w:szCs w:val="24"/>
        <w:lang w:val="en-US" w:eastAsia="en-US" w:bidi="ar-SA"/>
      </w:rPr>
    </w:lvl>
    <w:lvl w:ilvl="1" w:tplc="5C024E94">
      <w:numFmt w:val="bullet"/>
      <w:lvlText w:val="•"/>
      <w:lvlJc w:val="left"/>
      <w:pPr>
        <w:ind w:left="2536" w:hanging="428"/>
      </w:pPr>
      <w:rPr>
        <w:rFonts w:hint="default"/>
        <w:lang w:val="en-US" w:eastAsia="en-US" w:bidi="ar-SA"/>
      </w:rPr>
    </w:lvl>
    <w:lvl w:ilvl="2" w:tplc="01905D38">
      <w:numFmt w:val="bullet"/>
      <w:lvlText w:val="•"/>
      <w:lvlJc w:val="left"/>
      <w:pPr>
        <w:ind w:left="3573" w:hanging="428"/>
      </w:pPr>
      <w:rPr>
        <w:rFonts w:hint="default"/>
        <w:lang w:val="en-US" w:eastAsia="en-US" w:bidi="ar-SA"/>
      </w:rPr>
    </w:lvl>
    <w:lvl w:ilvl="3" w:tplc="B568E072">
      <w:numFmt w:val="bullet"/>
      <w:lvlText w:val="•"/>
      <w:lvlJc w:val="left"/>
      <w:pPr>
        <w:ind w:left="4609" w:hanging="428"/>
      </w:pPr>
      <w:rPr>
        <w:rFonts w:hint="default"/>
        <w:lang w:val="en-US" w:eastAsia="en-US" w:bidi="ar-SA"/>
      </w:rPr>
    </w:lvl>
    <w:lvl w:ilvl="4" w:tplc="0A5831FC">
      <w:numFmt w:val="bullet"/>
      <w:lvlText w:val="•"/>
      <w:lvlJc w:val="left"/>
      <w:pPr>
        <w:ind w:left="5646" w:hanging="428"/>
      </w:pPr>
      <w:rPr>
        <w:rFonts w:hint="default"/>
        <w:lang w:val="en-US" w:eastAsia="en-US" w:bidi="ar-SA"/>
      </w:rPr>
    </w:lvl>
    <w:lvl w:ilvl="5" w:tplc="F99C7EF6">
      <w:numFmt w:val="bullet"/>
      <w:lvlText w:val="•"/>
      <w:lvlJc w:val="left"/>
      <w:pPr>
        <w:ind w:left="6683" w:hanging="428"/>
      </w:pPr>
      <w:rPr>
        <w:rFonts w:hint="default"/>
        <w:lang w:val="en-US" w:eastAsia="en-US" w:bidi="ar-SA"/>
      </w:rPr>
    </w:lvl>
    <w:lvl w:ilvl="6" w:tplc="2496F27E">
      <w:numFmt w:val="bullet"/>
      <w:lvlText w:val="•"/>
      <w:lvlJc w:val="left"/>
      <w:pPr>
        <w:ind w:left="7719" w:hanging="428"/>
      </w:pPr>
      <w:rPr>
        <w:rFonts w:hint="default"/>
        <w:lang w:val="en-US" w:eastAsia="en-US" w:bidi="ar-SA"/>
      </w:rPr>
    </w:lvl>
    <w:lvl w:ilvl="7" w:tplc="6C266700">
      <w:numFmt w:val="bullet"/>
      <w:lvlText w:val="•"/>
      <w:lvlJc w:val="left"/>
      <w:pPr>
        <w:ind w:left="8756" w:hanging="428"/>
      </w:pPr>
      <w:rPr>
        <w:rFonts w:hint="default"/>
        <w:lang w:val="en-US" w:eastAsia="en-US" w:bidi="ar-SA"/>
      </w:rPr>
    </w:lvl>
    <w:lvl w:ilvl="8" w:tplc="0BB2244A">
      <w:numFmt w:val="bullet"/>
      <w:lvlText w:val="•"/>
      <w:lvlJc w:val="left"/>
      <w:pPr>
        <w:ind w:left="9793" w:hanging="428"/>
      </w:pPr>
      <w:rPr>
        <w:rFonts w:hint="default"/>
        <w:lang w:val="en-US" w:eastAsia="en-US" w:bidi="ar-SA"/>
      </w:rPr>
    </w:lvl>
  </w:abstractNum>
  <w:abstractNum w:abstractNumId="175" w15:restartNumberingAfterBreak="0">
    <w:nsid w:val="6F183089"/>
    <w:multiLevelType w:val="hybridMultilevel"/>
    <w:tmpl w:val="53766184"/>
    <w:lvl w:ilvl="0" w:tplc="72BC32EE">
      <w:start w:val="1"/>
      <w:numFmt w:val="lowerLetter"/>
      <w:lvlText w:val="%1)"/>
      <w:lvlJc w:val="left"/>
      <w:pPr>
        <w:ind w:left="539" w:hanging="257"/>
      </w:pPr>
      <w:rPr>
        <w:rFonts w:ascii="Arial" w:eastAsia="Arial" w:hAnsi="Arial" w:cs="Arial" w:hint="default"/>
        <w:b w:val="0"/>
        <w:bCs w:val="0"/>
        <w:i w:val="0"/>
        <w:iCs w:val="0"/>
        <w:spacing w:val="0"/>
        <w:w w:val="99"/>
        <w:sz w:val="24"/>
        <w:szCs w:val="24"/>
        <w:lang w:val="en-US" w:eastAsia="en-US" w:bidi="ar-SA"/>
      </w:rPr>
    </w:lvl>
    <w:lvl w:ilvl="1" w:tplc="4EAA2BB4">
      <w:numFmt w:val="bullet"/>
      <w:lvlText w:val="•"/>
      <w:lvlJc w:val="left"/>
      <w:pPr>
        <w:ind w:left="1233" w:hanging="257"/>
      </w:pPr>
      <w:rPr>
        <w:rFonts w:hint="default"/>
        <w:lang w:val="en-US" w:eastAsia="en-US" w:bidi="ar-SA"/>
      </w:rPr>
    </w:lvl>
    <w:lvl w:ilvl="2" w:tplc="08D2CC6C">
      <w:numFmt w:val="bullet"/>
      <w:lvlText w:val="•"/>
      <w:lvlJc w:val="left"/>
      <w:pPr>
        <w:ind w:left="1926" w:hanging="257"/>
      </w:pPr>
      <w:rPr>
        <w:rFonts w:hint="default"/>
        <w:lang w:val="en-US" w:eastAsia="en-US" w:bidi="ar-SA"/>
      </w:rPr>
    </w:lvl>
    <w:lvl w:ilvl="3" w:tplc="EA2641DA">
      <w:numFmt w:val="bullet"/>
      <w:lvlText w:val="•"/>
      <w:lvlJc w:val="left"/>
      <w:pPr>
        <w:ind w:left="2620" w:hanging="257"/>
      </w:pPr>
      <w:rPr>
        <w:rFonts w:hint="default"/>
        <w:lang w:val="en-US" w:eastAsia="en-US" w:bidi="ar-SA"/>
      </w:rPr>
    </w:lvl>
    <w:lvl w:ilvl="4" w:tplc="B28E9D54">
      <w:numFmt w:val="bullet"/>
      <w:lvlText w:val="•"/>
      <w:lvlJc w:val="left"/>
      <w:pPr>
        <w:ind w:left="3313" w:hanging="257"/>
      </w:pPr>
      <w:rPr>
        <w:rFonts w:hint="default"/>
        <w:lang w:val="en-US" w:eastAsia="en-US" w:bidi="ar-SA"/>
      </w:rPr>
    </w:lvl>
    <w:lvl w:ilvl="5" w:tplc="381A98BE">
      <w:numFmt w:val="bullet"/>
      <w:lvlText w:val="•"/>
      <w:lvlJc w:val="left"/>
      <w:pPr>
        <w:ind w:left="4007" w:hanging="257"/>
      </w:pPr>
      <w:rPr>
        <w:rFonts w:hint="default"/>
        <w:lang w:val="en-US" w:eastAsia="en-US" w:bidi="ar-SA"/>
      </w:rPr>
    </w:lvl>
    <w:lvl w:ilvl="6" w:tplc="3DBE2AA4">
      <w:numFmt w:val="bullet"/>
      <w:lvlText w:val="•"/>
      <w:lvlJc w:val="left"/>
      <w:pPr>
        <w:ind w:left="4700" w:hanging="257"/>
      </w:pPr>
      <w:rPr>
        <w:rFonts w:hint="default"/>
        <w:lang w:val="en-US" w:eastAsia="en-US" w:bidi="ar-SA"/>
      </w:rPr>
    </w:lvl>
    <w:lvl w:ilvl="7" w:tplc="3D46357E">
      <w:numFmt w:val="bullet"/>
      <w:lvlText w:val="•"/>
      <w:lvlJc w:val="left"/>
      <w:pPr>
        <w:ind w:left="5393" w:hanging="257"/>
      </w:pPr>
      <w:rPr>
        <w:rFonts w:hint="default"/>
        <w:lang w:val="en-US" w:eastAsia="en-US" w:bidi="ar-SA"/>
      </w:rPr>
    </w:lvl>
    <w:lvl w:ilvl="8" w:tplc="91E697C0">
      <w:numFmt w:val="bullet"/>
      <w:lvlText w:val="•"/>
      <w:lvlJc w:val="left"/>
      <w:pPr>
        <w:ind w:left="6087" w:hanging="257"/>
      </w:pPr>
      <w:rPr>
        <w:rFonts w:hint="default"/>
        <w:lang w:val="en-US" w:eastAsia="en-US" w:bidi="ar-SA"/>
      </w:rPr>
    </w:lvl>
  </w:abstractNum>
  <w:abstractNum w:abstractNumId="176" w15:restartNumberingAfterBreak="0">
    <w:nsid w:val="6FB95D00"/>
    <w:multiLevelType w:val="hybridMultilevel"/>
    <w:tmpl w:val="39FA9FE4"/>
    <w:lvl w:ilvl="0" w:tplc="9F84299A">
      <w:start w:val="1"/>
      <w:numFmt w:val="lowerLetter"/>
      <w:lvlText w:val="(%1)"/>
      <w:lvlJc w:val="left"/>
      <w:pPr>
        <w:ind w:left="1494" w:hanging="428"/>
      </w:pPr>
      <w:rPr>
        <w:rFonts w:ascii="Calibri" w:eastAsia="Calibri" w:hAnsi="Calibri" w:cs="Calibri" w:hint="default"/>
        <w:b w:val="0"/>
        <w:bCs w:val="0"/>
        <w:i w:val="0"/>
        <w:iCs w:val="0"/>
        <w:spacing w:val="-1"/>
        <w:w w:val="100"/>
        <w:sz w:val="24"/>
        <w:szCs w:val="24"/>
        <w:lang w:val="en-US" w:eastAsia="en-US" w:bidi="ar-SA"/>
      </w:rPr>
    </w:lvl>
    <w:lvl w:ilvl="1" w:tplc="7B140B5A">
      <w:numFmt w:val="bullet"/>
      <w:lvlText w:val="•"/>
      <w:lvlJc w:val="left"/>
      <w:pPr>
        <w:ind w:left="2536" w:hanging="428"/>
      </w:pPr>
      <w:rPr>
        <w:rFonts w:hint="default"/>
        <w:lang w:val="en-US" w:eastAsia="en-US" w:bidi="ar-SA"/>
      </w:rPr>
    </w:lvl>
    <w:lvl w:ilvl="2" w:tplc="CC9AAC7C">
      <w:numFmt w:val="bullet"/>
      <w:lvlText w:val="•"/>
      <w:lvlJc w:val="left"/>
      <w:pPr>
        <w:ind w:left="3573" w:hanging="428"/>
      </w:pPr>
      <w:rPr>
        <w:rFonts w:hint="default"/>
        <w:lang w:val="en-US" w:eastAsia="en-US" w:bidi="ar-SA"/>
      </w:rPr>
    </w:lvl>
    <w:lvl w:ilvl="3" w:tplc="8B4C5C4C">
      <w:numFmt w:val="bullet"/>
      <w:lvlText w:val="•"/>
      <w:lvlJc w:val="left"/>
      <w:pPr>
        <w:ind w:left="4609" w:hanging="428"/>
      </w:pPr>
      <w:rPr>
        <w:rFonts w:hint="default"/>
        <w:lang w:val="en-US" w:eastAsia="en-US" w:bidi="ar-SA"/>
      </w:rPr>
    </w:lvl>
    <w:lvl w:ilvl="4" w:tplc="3E1E7EC6">
      <w:numFmt w:val="bullet"/>
      <w:lvlText w:val="•"/>
      <w:lvlJc w:val="left"/>
      <w:pPr>
        <w:ind w:left="5646" w:hanging="428"/>
      </w:pPr>
      <w:rPr>
        <w:rFonts w:hint="default"/>
        <w:lang w:val="en-US" w:eastAsia="en-US" w:bidi="ar-SA"/>
      </w:rPr>
    </w:lvl>
    <w:lvl w:ilvl="5" w:tplc="DA0C9C46">
      <w:numFmt w:val="bullet"/>
      <w:lvlText w:val="•"/>
      <w:lvlJc w:val="left"/>
      <w:pPr>
        <w:ind w:left="6683" w:hanging="428"/>
      </w:pPr>
      <w:rPr>
        <w:rFonts w:hint="default"/>
        <w:lang w:val="en-US" w:eastAsia="en-US" w:bidi="ar-SA"/>
      </w:rPr>
    </w:lvl>
    <w:lvl w:ilvl="6" w:tplc="CF2ED04E">
      <w:numFmt w:val="bullet"/>
      <w:lvlText w:val="•"/>
      <w:lvlJc w:val="left"/>
      <w:pPr>
        <w:ind w:left="7719" w:hanging="428"/>
      </w:pPr>
      <w:rPr>
        <w:rFonts w:hint="default"/>
        <w:lang w:val="en-US" w:eastAsia="en-US" w:bidi="ar-SA"/>
      </w:rPr>
    </w:lvl>
    <w:lvl w:ilvl="7" w:tplc="C17A21AC">
      <w:numFmt w:val="bullet"/>
      <w:lvlText w:val="•"/>
      <w:lvlJc w:val="left"/>
      <w:pPr>
        <w:ind w:left="8756" w:hanging="428"/>
      </w:pPr>
      <w:rPr>
        <w:rFonts w:hint="default"/>
        <w:lang w:val="en-US" w:eastAsia="en-US" w:bidi="ar-SA"/>
      </w:rPr>
    </w:lvl>
    <w:lvl w:ilvl="8" w:tplc="2C0C3F9A">
      <w:numFmt w:val="bullet"/>
      <w:lvlText w:val="•"/>
      <w:lvlJc w:val="left"/>
      <w:pPr>
        <w:ind w:left="9793" w:hanging="428"/>
      </w:pPr>
      <w:rPr>
        <w:rFonts w:hint="default"/>
        <w:lang w:val="en-US" w:eastAsia="en-US" w:bidi="ar-SA"/>
      </w:rPr>
    </w:lvl>
  </w:abstractNum>
  <w:abstractNum w:abstractNumId="177" w15:restartNumberingAfterBreak="0">
    <w:nsid w:val="70251769"/>
    <w:multiLevelType w:val="hybridMultilevel"/>
    <w:tmpl w:val="9A343076"/>
    <w:lvl w:ilvl="0" w:tplc="94340CA8">
      <w:start w:val="1"/>
      <w:numFmt w:val="lowerLetter"/>
      <w:lvlText w:val="(%1)"/>
      <w:lvlJc w:val="left"/>
      <w:pPr>
        <w:ind w:left="1494" w:hanging="428"/>
      </w:pPr>
      <w:rPr>
        <w:rFonts w:ascii="Calibri" w:eastAsia="Calibri" w:hAnsi="Calibri" w:cs="Calibri" w:hint="default"/>
        <w:b w:val="0"/>
        <w:bCs w:val="0"/>
        <w:i w:val="0"/>
        <w:iCs w:val="0"/>
        <w:spacing w:val="-1"/>
        <w:w w:val="100"/>
        <w:sz w:val="24"/>
        <w:szCs w:val="24"/>
        <w:lang w:val="en-US" w:eastAsia="en-US" w:bidi="ar-SA"/>
      </w:rPr>
    </w:lvl>
    <w:lvl w:ilvl="1" w:tplc="FC1672B6">
      <w:numFmt w:val="bullet"/>
      <w:lvlText w:val="•"/>
      <w:lvlJc w:val="left"/>
      <w:pPr>
        <w:ind w:left="2536" w:hanging="428"/>
      </w:pPr>
      <w:rPr>
        <w:rFonts w:hint="default"/>
        <w:lang w:val="en-US" w:eastAsia="en-US" w:bidi="ar-SA"/>
      </w:rPr>
    </w:lvl>
    <w:lvl w:ilvl="2" w:tplc="2A08C74A">
      <w:numFmt w:val="bullet"/>
      <w:lvlText w:val="•"/>
      <w:lvlJc w:val="left"/>
      <w:pPr>
        <w:ind w:left="3573" w:hanging="428"/>
      </w:pPr>
      <w:rPr>
        <w:rFonts w:hint="default"/>
        <w:lang w:val="en-US" w:eastAsia="en-US" w:bidi="ar-SA"/>
      </w:rPr>
    </w:lvl>
    <w:lvl w:ilvl="3" w:tplc="D8362102">
      <w:numFmt w:val="bullet"/>
      <w:lvlText w:val="•"/>
      <w:lvlJc w:val="left"/>
      <w:pPr>
        <w:ind w:left="4609" w:hanging="428"/>
      </w:pPr>
      <w:rPr>
        <w:rFonts w:hint="default"/>
        <w:lang w:val="en-US" w:eastAsia="en-US" w:bidi="ar-SA"/>
      </w:rPr>
    </w:lvl>
    <w:lvl w:ilvl="4" w:tplc="9EA4A5C4">
      <w:numFmt w:val="bullet"/>
      <w:lvlText w:val="•"/>
      <w:lvlJc w:val="left"/>
      <w:pPr>
        <w:ind w:left="5646" w:hanging="428"/>
      </w:pPr>
      <w:rPr>
        <w:rFonts w:hint="default"/>
        <w:lang w:val="en-US" w:eastAsia="en-US" w:bidi="ar-SA"/>
      </w:rPr>
    </w:lvl>
    <w:lvl w:ilvl="5" w:tplc="036A7CA6">
      <w:numFmt w:val="bullet"/>
      <w:lvlText w:val="•"/>
      <w:lvlJc w:val="left"/>
      <w:pPr>
        <w:ind w:left="6683" w:hanging="428"/>
      </w:pPr>
      <w:rPr>
        <w:rFonts w:hint="default"/>
        <w:lang w:val="en-US" w:eastAsia="en-US" w:bidi="ar-SA"/>
      </w:rPr>
    </w:lvl>
    <w:lvl w:ilvl="6" w:tplc="4BE4EDC6">
      <w:numFmt w:val="bullet"/>
      <w:lvlText w:val="•"/>
      <w:lvlJc w:val="left"/>
      <w:pPr>
        <w:ind w:left="7719" w:hanging="428"/>
      </w:pPr>
      <w:rPr>
        <w:rFonts w:hint="default"/>
        <w:lang w:val="en-US" w:eastAsia="en-US" w:bidi="ar-SA"/>
      </w:rPr>
    </w:lvl>
    <w:lvl w:ilvl="7" w:tplc="67B05584">
      <w:numFmt w:val="bullet"/>
      <w:lvlText w:val="•"/>
      <w:lvlJc w:val="left"/>
      <w:pPr>
        <w:ind w:left="8756" w:hanging="428"/>
      </w:pPr>
      <w:rPr>
        <w:rFonts w:hint="default"/>
        <w:lang w:val="en-US" w:eastAsia="en-US" w:bidi="ar-SA"/>
      </w:rPr>
    </w:lvl>
    <w:lvl w:ilvl="8" w:tplc="27868C6E">
      <w:numFmt w:val="bullet"/>
      <w:lvlText w:val="•"/>
      <w:lvlJc w:val="left"/>
      <w:pPr>
        <w:ind w:left="9793" w:hanging="428"/>
      </w:pPr>
      <w:rPr>
        <w:rFonts w:hint="default"/>
        <w:lang w:val="en-US" w:eastAsia="en-US" w:bidi="ar-SA"/>
      </w:rPr>
    </w:lvl>
  </w:abstractNum>
  <w:abstractNum w:abstractNumId="178" w15:restartNumberingAfterBreak="0">
    <w:nsid w:val="71F47331"/>
    <w:multiLevelType w:val="hybridMultilevel"/>
    <w:tmpl w:val="FF76FC88"/>
    <w:lvl w:ilvl="0" w:tplc="A2E83F90">
      <w:numFmt w:val="bullet"/>
      <w:lvlText w:val=""/>
      <w:lvlJc w:val="left"/>
      <w:pPr>
        <w:ind w:left="811" w:hanging="360"/>
      </w:pPr>
      <w:rPr>
        <w:rFonts w:ascii="Wingdings" w:eastAsia="Wingdings" w:hAnsi="Wingdings" w:cs="Wingdings" w:hint="default"/>
        <w:spacing w:val="0"/>
        <w:w w:val="100"/>
        <w:lang w:val="en-US" w:eastAsia="en-US" w:bidi="ar-SA"/>
      </w:rPr>
    </w:lvl>
    <w:lvl w:ilvl="1" w:tplc="CBD2E062">
      <w:numFmt w:val="bullet"/>
      <w:lvlText w:val="•"/>
      <w:lvlJc w:val="left"/>
      <w:pPr>
        <w:ind w:left="960" w:hanging="360"/>
      </w:pPr>
      <w:rPr>
        <w:rFonts w:hint="default"/>
        <w:lang w:val="en-US" w:eastAsia="en-US" w:bidi="ar-SA"/>
      </w:rPr>
    </w:lvl>
    <w:lvl w:ilvl="2" w:tplc="BEB2460C">
      <w:numFmt w:val="bullet"/>
      <w:lvlText w:val="•"/>
      <w:lvlJc w:val="left"/>
      <w:pPr>
        <w:ind w:left="1100" w:hanging="360"/>
      </w:pPr>
      <w:rPr>
        <w:rFonts w:hint="default"/>
        <w:lang w:val="en-US" w:eastAsia="en-US" w:bidi="ar-SA"/>
      </w:rPr>
    </w:lvl>
    <w:lvl w:ilvl="3" w:tplc="B57E5970">
      <w:numFmt w:val="bullet"/>
      <w:lvlText w:val="•"/>
      <w:lvlJc w:val="left"/>
      <w:pPr>
        <w:ind w:left="1241" w:hanging="360"/>
      </w:pPr>
      <w:rPr>
        <w:rFonts w:hint="default"/>
        <w:lang w:val="en-US" w:eastAsia="en-US" w:bidi="ar-SA"/>
      </w:rPr>
    </w:lvl>
    <w:lvl w:ilvl="4" w:tplc="76668B98">
      <w:numFmt w:val="bullet"/>
      <w:lvlText w:val="•"/>
      <w:lvlJc w:val="left"/>
      <w:pPr>
        <w:ind w:left="1381" w:hanging="360"/>
      </w:pPr>
      <w:rPr>
        <w:rFonts w:hint="default"/>
        <w:lang w:val="en-US" w:eastAsia="en-US" w:bidi="ar-SA"/>
      </w:rPr>
    </w:lvl>
    <w:lvl w:ilvl="5" w:tplc="B874DF02">
      <w:numFmt w:val="bullet"/>
      <w:lvlText w:val="•"/>
      <w:lvlJc w:val="left"/>
      <w:pPr>
        <w:ind w:left="1522" w:hanging="360"/>
      </w:pPr>
      <w:rPr>
        <w:rFonts w:hint="default"/>
        <w:lang w:val="en-US" w:eastAsia="en-US" w:bidi="ar-SA"/>
      </w:rPr>
    </w:lvl>
    <w:lvl w:ilvl="6" w:tplc="E67E1B00">
      <w:numFmt w:val="bullet"/>
      <w:lvlText w:val="•"/>
      <w:lvlJc w:val="left"/>
      <w:pPr>
        <w:ind w:left="1662" w:hanging="360"/>
      </w:pPr>
      <w:rPr>
        <w:rFonts w:hint="default"/>
        <w:lang w:val="en-US" w:eastAsia="en-US" w:bidi="ar-SA"/>
      </w:rPr>
    </w:lvl>
    <w:lvl w:ilvl="7" w:tplc="0DC6B1C2">
      <w:numFmt w:val="bullet"/>
      <w:lvlText w:val="•"/>
      <w:lvlJc w:val="left"/>
      <w:pPr>
        <w:ind w:left="1802" w:hanging="360"/>
      </w:pPr>
      <w:rPr>
        <w:rFonts w:hint="default"/>
        <w:lang w:val="en-US" w:eastAsia="en-US" w:bidi="ar-SA"/>
      </w:rPr>
    </w:lvl>
    <w:lvl w:ilvl="8" w:tplc="CEDC794E">
      <w:numFmt w:val="bullet"/>
      <w:lvlText w:val="•"/>
      <w:lvlJc w:val="left"/>
      <w:pPr>
        <w:ind w:left="1943" w:hanging="360"/>
      </w:pPr>
      <w:rPr>
        <w:rFonts w:hint="default"/>
        <w:lang w:val="en-US" w:eastAsia="en-US" w:bidi="ar-SA"/>
      </w:rPr>
    </w:lvl>
  </w:abstractNum>
  <w:abstractNum w:abstractNumId="179" w15:restartNumberingAfterBreak="0">
    <w:nsid w:val="730C73DA"/>
    <w:multiLevelType w:val="hybridMultilevel"/>
    <w:tmpl w:val="6B2862A2"/>
    <w:lvl w:ilvl="0" w:tplc="4B74F73E">
      <w:start w:val="1"/>
      <w:numFmt w:val="lowerLetter"/>
      <w:lvlText w:val="(%1)"/>
      <w:lvlJc w:val="left"/>
      <w:pPr>
        <w:ind w:left="980" w:hanging="420"/>
      </w:pPr>
      <w:rPr>
        <w:rFonts w:ascii="Arial" w:eastAsia="Arial" w:hAnsi="Arial" w:cs="Arial" w:hint="default"/>
        <w:b w:val="0"/>
        <w:bCs w:val="0"/>
        <w:i w:val="0"/>
        <w:iCs w:val="0"/>
        <w:spacing w:val="-1"/>
        <w:w w:val="93"/>
        <w:sz w:val="24"/>
        <w:szCs w:val="24"/>
        <w:lang w:val="en-US" w:eastAsia="en-US" w:bidi="ar-SA"/>
      </w:rPr>
    </w:lvl>
    <w:lvl w:ilvl="1" w:tplc="8E6E9A64">
      <w:numFmt w:val="bullet"/>
      <w:lvlText w:val="•"/>
      <w:lvlJc w:val="left"/>
      <w:pPr>
        <w:ind w:left="1984" w:hanging="420"/>
      </w:pPr>
      <w:rPr>
        <w:rFonts w:hint="default"/>
        <w:lang w:val="en-US" w:eastAsia="en-US" w:bidi="ar-SA"/>
      </w:rPr>
    </w:lvl>
    <w:lvl w:ilvl="2" w:tplc="9C42097A">
      <w:numFmt w:val="bullet"/>
      <w:lvlText w:val="•"/>
      <w:lvlJc w:val="left"/>
      <w:pPr>
        <w:ind w:left="2989" w:hanging="420"/>
      </w:pPr>
      <w:rPr>
        <w:rFonts w:hint="default"/>
        <w:lang w:val="en-US" w:eastAsia="en-US" w:bidi="ar-SA"/>
      </w:rPr>
    </w:lvl>
    <w:lvl w:ilvl="3" w:tplc="08E4538E">
      <w:numFmt w:val="bullet"/>
      <w:lvlText w:val="•"/>
      <w:lvlJc w:val="left"/>
      <w:pPr>
        <w:ind w:left="3993" w:hanging="420"/>
      </w:pPr>
      <w:rPr>
        <w:rFonts w:hint="default"/>
        <w:lang w:val="en-US" w:eastAsia="en-US" w:bidi="ar-SA"/>
      </w:rPr>
    </w:lvl>
    <w:lvl w:ilvl="4" w:tplc="DA44E9A6">
      <w:numFmt w:val="bullet"/>
      <w:lvlText w:val="•"/>
      <w:lvlJc w:val="left"/>
      <w:pPr>
        <w:ind w:left="4998" w:hanging="420"/>
      </w:pPr>
      <w:rPr>
        <w:rFonts w:hint="default"/>
        <w:lang w:val="en-US" w:eastAsia="en-US" w:bidi="ar-SA"/>
      </w:rPr>
    </w:lvl>
    <w:lvl w:ilvl="5" w:tplc="31CCE99E">
      <w:numFmt w:val="bullet"/>
      <w:lvlText w:val="•"/>
      <w:lvlJc w:val="left"/>
      <w:pPr>
        <w:ind w:left="6003" w:hanging="420"/>
      </w:pPr>
      <w:rPr>
        <w:rFonts w:hint="default"/>
        <w:lang w:val="en-US" w:eastAsia="en-US" w:bidi="ar-SA"/>
      </w:rPr>
    </w:lvl>
    <w:lvl w:ilvl="6" w:tplc="E6F4CE4E">
      <w:numFmt w:val="bullet"/>
      <w:lvlText w:val="•"/>
      <w:lvlJc w:val="left"/>
      <w:pPr>
        <w:ind w:left="7007" w:hanging="420"/>
      </w:pPr>
      <w:rPr>
        <w:rFonts w:hint="default"/>
        <w:lang w:val="en-US" w:eastAsia="en-US" w:bidi="ar-SA"/>
      </w:rPr>
    </w:lvl>
    <w:lvl w:ilvl="7" w:tplc="06D6BEE6">
      <w:numFmt w:val="bullet"/>
      <w:lvlText w:val="•"/>
      <w:lvlJc w:val="left"/>
      <w:pPr>
        <w:ind w:left="8012" w:hanging="420"/>
      </w:pPr>
      <w:rPr>
        <w:rFonts w:hint="default"/>
        <w:lang w:val="en-US" w:eastAsia="en-US" w:bidi="ar-SA"/>
      </w:rPr>
    </w:lvl>
    <w:lvl w:ilvl="8" w:tplc="189EA9A6">
      <w:numFmt w:val="bullet"/>
      <w:lvlText w:val="•"/>
      <w:lvlJc w:val="left"/>
      <w:pPr>
        <w:ind w:left="9017" w:hanging="420"/>
      </w:pPr>
      <w:rPr>
        <w:rFonts w:hint="default"/>
        <w:lang w:val="en-US" w:eastAsia="en-US" w:bidi="ar-SA"/>
      </w:rPr>
    </w:lvl>
  </w:abstractNum>
  <w:abstractNum w:abstractNumId="180" w15:restartNumberingAfterBreak="0">
    <w:nsid w:val="732472B9"/>
    <w:multiLevelType w:val="hybridMultilevel"/>
    <w:tmpl w:val="F5D6AABE"/>
    <w:lvl w:ilvl="0" w:tplc="DECA7D74">
      <w:start w:val="1"/>
      <w:numFmt w:val="lowerLetter"/>
      <w:lvlText w:val="(%1)"/>
      <w:lvlJc w:val="left"/>
      <w:pPr>
        <w:ind w:left="1494" w:hanging="428"/>
      </w:pPr>
      <w:rPr>
        <w:rFonts w:ascii="Calibri" w:eastAsia="Calibri" w:hAnsi="Calibri" w:cs="Calibri" w:hint="default"/>
        <w:b w:val="0"/>
        <w:bCs w:val="0"/>
        <w:i w:val="0"/>
        <w:iCs w:val="0"/>
        <w:spacing w:val="-1"/>
        <w:w w:val="100"/>
        <w:sz w:val="24"/>
        <w:szCs w:val="24"/>
        <w:lang w:val="en-US" w:eastAsia="en-US" w:bidi="ar-SA"/>
      </w:rPr>
    </w:lvl>
    <w:lvl w:ilvl="1" w:tplc="3A9A84CC">
      <w:numFmt w:val="bullet"/>
      <w:lvlText w:val="•"/>
      <w:lvlJc w:val="left"/>
      <w:pPr>
        <w:ind w:left="2536" w:hanging="428"/>
      </w:pPr>
      <w:rPr>
        <w:rFonts w:hint="default"/>
        <w:lang w:val="en-US" w:eastAsia="en-US" w:bidi="ar-SA"/>
      </w:rPr>
    </w:lvl>
    <w:lvl w:ilvl="2" w:tplc="0436DAC4">
      <w:numFmt w:val="bullet"/>
      <w:lvlText w:val="•"/>
      <w:lvlJc w:val="left"/>
      <w:pPr>
        <w:ind w:left="3573" w:hanging="428"/>
      </w:pPr>
      <w:rPr>
        <w:rFonts w:hint="default"/>
        <w:lang w:val="en-US" w:eastAsia="en-US" w:bidi="ar-SA"/>
      </w:rPr>
    </w:lvl>
    <w:lvl w:ilvl="3" w:tplc="3C6AFC92">
      <w:numFmt w:val="bullet"/>
      <w:lvlText w:val="•"/>
      <w:lvlJc w:val="left"/>
      <w:pPr>
        <w:ind w:left="4609" w:hanging="428"/>
      </w:pPr>
      <w:rPr>
        <w:rFonts w:hint="default"/>
        <w:lang w:val="en-US" w:eastAsia="en-US" w:bidi="ar-SA"/>
      </w:rPr>
    </w:lvl>
    <w:lvl w:ilvl="4" w:tplc="15BE828A">
      <w:numFmt w:val="bullet"/>
      <w:lvlText w:val="•"/>
      <w:lvlJc w:val="left"/>
      <w:pPr>
        <w:ind w:left="5646" w:hanging="428"/>
      </w:pPr>
      <w:rPr>
        <w:rFonts w:hint="default"/>
        <w:lang w:val="en-US" w:eastAsia="en-US" w:bidi="ar-SA"/>
      </w:rPr>
    </w:lvl>
    <w:lvl w:ilvl="5" w:tplc="561E19F8">
      <w:numFmt w:val="bullet"/>
      <w:lvlText w:val="•"/>
      <w:lvlJc w:val="left"/>
      <w:pPr>
        <w:ind w:left="6683" w:hanging="428"/>
      </w:pPr>
      <w:rPr>
        <w:rFonts w:hint="default"/>
        <w:lang w:val="en-US" w:eastAsia="en-US" w:bidi="ar-SA"/>
      </w:rPr>
    </w:lvl>
    <w:lvl w:ilvl="6" w:tplc="8D7C7B30">
      <w:numFmt w:val="bullet"/>
      <w:lvlText w:val="•"/>
      <w:lvlJc w:val="left"/>
      <w:pPr>
        <w:ind w:left="7719" w:hanging="428"/>
      </w:pPr>
      <w:rPr>
        <w:rFonts w:hint="default"/>
        <w:lang w:val="en-US" w:eastAsia="en-US" w:bidi="ar-SA"/>
      </w:rPr>
    </w:lvl>
    <w:lvl w:ilvl="7" w:tplc="71DED9A8">
      <w:numFmt w:val="bullet"/>
      <w:lvlText w:val="•"/>
      <w:lvlJc w:val="left"/>
      <w:pPr>
        <w:ind w:left="8756" w:hanging="428"/>
      </w:pPr>
      <w:rPr>
        <w:rFonts w:hint="default"/>
        <w:lang w:val="en-US" w:eastAsia="en-US" w:bidi="ar-SA"/>
      </w:rPr>
    </w:lvl>
    <w:lvl w:ilvl="8" w:tplc="859E70B6">
      <w:numFmt w:val="bullet"/>
      <w:lvlText w:val="•"/>
      <w:lvlJc w:val="left"/>
      <w:pPr>
        <w:ind w:left="9793" w:hanging="428"/>
      </w:pPr>
      <w:rPr>
        <w:rFonts w:hint="default"/>
        <w:lang w:val="en-US" w:eastAsia="en-US" w:bidi="ar-SA"/>
      </w:rPr>
    </w:lvl>
  </w:abstractNum>
  <w:abstractNum w:abstractNumId="181" w15:restartNumberingAfterBreak="0">
    <w:nsid w:val="738349A4"/>
    <w:multiLevelType w:val="multilevel"/>
    <w:tmpl w:val="CE2E4434"/>
    <w:lvl w:ilvl="0">
      <w:start w:val="1"/>
      <w:numFmt w:val="decimal"/>
      <w:lvlText w:val="%1."/>
      <w:lvlJc w:val="left"/>
      <w:pPr>
        <w:ind w:left="2120" w:hanging="720"/>
      </w:pPr>
      <w:rPr>
        <w:rFonts w:ascii="Arial" w:eastAsia="Arial" w:hAnsi="Arial" w:cs="Arial" w:hint="default"/>
        <w:b w:val="0"/>
        <w:bCs w:val="0"/>
        <w:i w:val="0"/>
        <w:iCs w:val="0"/>
        <w:spacing w:val="0"/>
        <w:w w:val="100"/>
        <w:sz w:val="24"/>
        <w:szCs w:val="24"/>
        <w:lang w:val="en-US" w:eastAsia="en-US" w:bidi="ar-SA"/>
      </w:rPr>
    </w:lvl>
    <w:lvl w:ilvl="1">
      <w:start w:val="1"/>
      <w:numFmt w:val="decimal"/>
      <w:lvlText w:val="%1.%2"/>
      <w:lvlJc w:val="left"/>
      <w:pPr>
        <w:ind w:left="2120" w:hanging="720"/>
      </w:pPr>
      <w:rPr>
        <w:rFonts w:ascii="Arial" w:eastAsia="Arial" w:hAnsi="Arial" w:cs="Arial" w:hint="default"/>
        <w:b w:val="0"/>
        <w:bCs w:val="0"/>
        <w:i w:val="0"/>
        <w:iCs w:val="0"/>
        <w:spacing w:val="0"/>
        <w:w w:val="100"/>
        <w:sz w:val="24"/>
        <w:szCs w:val="24"/>
        <w:lang w:val="en-US" w:eastAsia="en-US" w:bidi="ar-SA"/>
      </w:rPr>
    </w:lvl>
    <w:lvl w:ilvl="2">
      <w:start w:val="1"/>
      <w:numFmt w:val="decimal"/>
      <w:lvlText w:val="%1.%2.%3"/>
      <w:lvlJc w:val="left"/>
      <w:pPr>
        <w:ind w:left="3202" w:hanging="1083"/>
      </w:pPr>
      <w:rPr>
        <w:rFonts w:ascii="Arial" w:eastAsia="Arial" w:hAnsi="Arial" w:cs="Arial" w:hint="default"/>
        <w:b w:val="0"/>
        <w:bCs w:val="0"/>
        <w:i w:val="0"/>
        <w:iCs w:val="0"/>
        <w:spacing w:val="-2"/>
        <w:w w:val="100"/>
        <w:sz w:val="24"/>
        <w:szCs w:val="24"/>
        <w:lang w:val="en-US" w:eastAsia="en-US" w:bidi="ar-SA"/>
      </w:rPr>
    </w:lvl>
    <w:lvl w:ilvl="3">
      <w:numFmt w:val="bullet"/>
      <w:lvlText w:val="•"/>
      <w:lvlJc w:val="left"/>
      <w:pPr>
        <w:ind w:left="5125" w:hanging="1083"/>
      </w:pPr>
      <w:rPr>
        <w:rFonts w:hint="default"/>
        <w:lang w:val="en-US" w:eastAsia="en-US" w:bidi="ar-SA"/>
      </w:rPr>
    </w:lvl>
    <w:lvl w:ilvl="4">
      <w:numFmt w:val="bullet"/>
      <w:lvlText w:val="•"/>
      <w:lvlJc w:val="left"/>
      <w:pPr>
        <w:ind w:left="6088" w:hanging="1083"/>
      </w:pPr>
      <w:rPr>
        <w:rFonts w:hint="default"/>
        <w:lang w:val="en-US" w:eastAsia="en-US" w:bidi="ar-SA"/>
      </w:rPr>
    </w:lvl>
    <w:lvl w:ilvl="5">
      <w:numFmt w:val="bullet"/>
      <w:lvlText w:val="•"/>
      <w:lvlJc w:val="left"/>
      <w:pPr>
        <w:ind w:left="7051" w:hanging="1083"/>
      </w:pPr>
      <w:rPr>
        <w:rFonts w:hint="default"/>
        <w:lang w:val="en-US" w:eastAsia="en-US" w:bidi="ar-SA"/>
      </w:rPr>
    </w:lvl>
    <w:lvl w:ilvl="6">
      <w:numFmt w:val="bullet"/>
      <w:lvlText w:val="•"/>
      <w:lvlJc w:val="left"/>
      <w:pPr>
        <w:ind w:left="8014" w:hanging="1083"/>
      </w:pPr>
      <w:rPr>
        <w:rFonts w:hint="default"/>
        <w:lang w:val="en-US" w:eastAsia="en-US" w:bidi="ar-SA"/>
      </w:rPr>
    </w:lvl>
    <w:lvl w:ilvl="7">
      <w:numFmt w:val="bullet"/>
      <w:lvlText w:val="•"/>
      <w:lvlJc w:val="left"/>
      <w:pPr>
        <w:ind w:left="8977" w:hanging="1083"/>
      </w:pPr>
      <w:rPr>
        <w:rFonts w:hint="default"/>
        <w:lang w:val="en-US" w:eastAsia="en-US" w:bidi="ar-SA"/>
      </w:rPr>
    </w:lvl>
    <w:lvl w:ilvl="8">
      <w:numFmt w:val="bullet"/>
      <w:lvlText w:val="•"/>
      <w:lvlJc w:val="left"/>
      <w:pPr>
        <w:ind w:left="9940" w:hanging="1083"/>
      </w:pPr>
      <w:rPr>
        <w:rFonts w:hint="default"/>
        <w:lang w:val="en-US" w:eastAsia="en-US" w:bidi="ar-SA"/>
      </w:rPr>
    </w:lvl>
  </w:abstractNum>
  <w:abstractNum w:abstractNumId="182" w15:restartNumberingAfterBreak="0">
    <w:nsid w:val="74541A4D"/>
    <w:multiLevelType w:val="hybridMultilevel"/>
    <w:tmpl w:val="79229E5E"/>
    <w:lvl w:ilvl="0" w:tplc="0104310A">
      <w:numFmt w:val="bullet"/>
      <w:lvlText w:val="-"/>
      <w:lvlJc w:val="left"/>
      <w:pPr>
        <w:ind w:left="109" w:hanging="118"/>
      </w:pPr>
      <w:rPr>
        <w:rFonts w:ascii="Calibri" w:eastAsia="Calibri" w:hAnsi="Calibri" w:cs="Calibri" w:hint="default"/>
        <w:b w:val="0"/>
        <w:bCs w:val="0"/>
        <w:i w:val="0"/>
        <w:iCs w:val="0"/>
        <w:spacing w:val="0"/>
        <w:w w:val="100"/>
        <w:sz w:val="22"/>
        <w:szCs w:val="22"/>
        <w:lang w:val="en-US" w:eastAsia="en-US" w:bidi="ar-SA"/>
      </w:rPr>
    </w:lvl>
    <w:lvl w:ilvl="1" w:tplc="BE5AFFC8">
      <w:numFmt w:val="bullet"/>
      <w:lvlText w:val="•"/>
      <w:lvlJc w:val="left"/>
      <w:pPr>
        <w:ind w:left="387" w:hanging="118"/>
      </w:pPr>
      <w:rPr>
        <w:rFonts w:hint="default"/>
        <w:lang w:val="en-US" w:eastAsia="en-US" w:bidi="ar-SA"/>
      </w:rPr>
    </w:lvl>
    <w:lvl w:ilvl="2" w:tplc="441C6F74">
      <w:numFmt w:val="bullet"/>
      <w:lvlText w:val="•"/>
      <w:lvlJc w:val="left"/>
      <w:pPr>
        <w:ind w:left="675" w:hanging="118"/>
      </w:pPr>
      <w:rPr>
        <w:rFonts w:hint="default"/>
        <w:lang w:val="en-US" w:eastAsia="en-US" w:bidi="ar-SA"/>
      </w:rPr>
    </w:lvl>
    <w:lvl w:ilvl="3" w:tplc="4914FA04">
      <w:numFmt w:val="bullet"/>
      <w:lvlText w:val="•"/>
      <w:lvlJc w:val="left"/>
      <w:pPr>
        <w:ind w:left="963" w:hanging="118"/>
      </w:pPr>
      <w:rPr>
        <w:rFonts w:hint="default"/>
        <w:lang w:val="en-US" w:eastAsia="en-US" w:bidi="ar-SA"/>
      </w:rPr>
    </w:lvl>
    <w:lvl w:ilvl="4" w:tplc="317E06B6">
      <w:numFmt w:val="bullet"/>
      <w:lvlText w:val="•"/>
      <w:lvlJc w:val="left"/>
      <w:pPr>
        <w:ind w:left="1251" w:hanging="118"/>
      </w:pPr>
      <w:rPr>
        <w:rFonts w:hint="default"/>
        <w:lang w:val="en-US" w:eastAsia="en-US" w:bidi="ar-SA"/>
      </w:rPr>
    </w:lvl>
    <w:lvl w:ilvl="5" w:tplc="CFBA941A">
      <w:numFmt w:val="bullet"/>
      <w:lvlText w:val="•"/>
      <w:lvlJc w:val="left"/>
      <w:pPr>
        <w:ind w:left="1539" w:hanging="118"/>
      </w:pPr>
      <w:rPr>
        <w:rFonts w:hint="default"/>
        <w:lang w:val="en-US" w:eastAsia="en-US" w:bidi="ar-SA"/>
      </w:rPr>
    </w:lvl>
    <w:lvl w:ilvl="6" w:tplc="557E307A">
      <w:numFmt w:val="bullet"/>
      <w:lvlText w:val="•"/>
      <w:lvlJc w:val="left"/>
      <w:pPr>
        <w:ind w:left="1826" w:hanging="118"/>
      </w:pPr>
      <w:rPr>
        <w:rFonts w:hint="default"/>
        <w:lang w:val="en-US" w:eastAsia="en-US" w:bidi="ar-SA"/>
      </w:rPr>
    </w:lvl>
    <w:lvl w:ilvl="7" w:tplc="325ED070">
      <w:numFmt w:val="bullet"/>
      <w:lvlText w:val="•"/>
      <w:lvlJc w:val="left"/>
      <w:pPr>
        <w:ind w:left="2114" w:hanging="118"/>
      </w:pPr>
      <w:rPr>
        <w:rFonts w:hint="default"/>
        <w:lang w:val="en-US" w:eastAsia="en-US" w:bidi="ar-SA"/>
      </w:rPr>
    </w:lvl>
    <w:lvl w:ilvl="8" w:tplc="ECF88416">
      <w:numFmt w:val="bullet"/>
      <w:lvlText w:val="•"/>
      <w:lvlJc w:val="left"/>
      <w:pPr>
        <w:ind w:left="2402" w:hanging="118"/>
      </w:pPr>
      <w:rPr>
        <w:rFonts w:hint="default"/>
        <w:lang w:val="en-US" w:eastAsia="en-US" w:bidi="ar-SA"/>
      </w:rPr>
    </w:lvl>
  </w:abstractNum>
  <w:abstractNum w:abstractNumId="183" w15:restartNumberingAfterBreak="0">
    <w:nsid w:val="75592225"/>
    <w:multiLevelType w:val="multilevel"/>
    <w:tmpl w:val="3532341C"/>
    <w:lvl w:ilvl="0">
      <w:start w:val="1"/>
      <w:numFmt w:val="decimal"/>
      <w:lvlText w:val="%1"/>
      <w:lvlJc w:val="left"/>
      <w:pPr>
        <w:ind w:left="1966" w:hanging="567"/>
      </w:pPr>
      <w:rPr>
        <w:rFonts w:hint="default"/>
        <w:lang w:val="en-US" w:eastAsia="en-US" w:bidi="ar-SA"/>
      </w:rPr>
    </w:lvl>
    <w:lvl w:ilvl="1">
      <w:start w:val="1"/>
      <w:numFmt w:val="decimal"/>
      <w:lvlText w:val="%1.%2"/>
      <w:lvlJc w:val="left"/>
      <w:pPr>
        <w:ind w:left="1966" w:hanging="567"/>
      </w:pPr>
      <w:rPr>
        <w:rFonts w:ascii="Arial" w:eastAsia="Arial" w:hAnsi="Arial" w:cs="Arial" w:hint="default"/>
        <w:b w:val="0"/>
        <w:bCs w:val="0"/>
        <w:i w:val="0"/>
        <w:iCs w:val="0"/>
        <w:spacing w:val="0"/>
        <w:w w:val="100"/>
        <w:sz w:val="24"/>
        <w:szCs w:val="24"/>
        <w:lang w:val="en-US" w:eastAsia="en-US" w:bidi="ar-SA"/>
      </w:rPr>
    </w:lvl>
    <w:lvl w:ilvl="2">
      <w:start w:val="1"/>
      <w:numFmt w:val="decimal"/>
      <w:lvlText w:val="%1.%2.%3"/>
      <w:lvlJc w:val="left"/>
      <w:pPr>
        <w:ind w:left="2818" w:hanging="852"/>
      </w:pPr>
      <w:rPr>
        <w:rFonts w:ascii="Arial" w:eastAsia="Arial" w:hAnsi="Arial" w:cs="Arial" w:hint="default"/>
        <w:b w:val="0"/>
        <w:bCs w:val="0"/>
        <w:i w:val="0"/>
        <w:iCs w:val="0"/>
        <w:spacing w:val="-2"/>
        <w:w w:val="100"/>
        <w:sz w:val="24"/>
        <w:szCs w:val="24"/>
        <w:lang w:val="en-US" w:eastAsia="en-US" w:bidi="ar-SA"/>
      </w:rPr>
    </w:lvl>
    <w:lvl w:ilvl="3">
      <w:numFmt w:val="bullet"/>
      <w:lvlText w:val="•"/>
      <w:lvlJc w:val="left"/>
      <w:pPr>
        <w:ind w:left="4830" w:hanging="852"/>
      </w:pPr>
      <w:rPr>
        <w:rFonts w:hint="default"/>
        <w:lang w:val="en-US" w:eastAsia="en-US" w:bidi="ar-SA"/>
      </w:rPr>
    </w:lvl>
    <w:lvl w:ilvl="4">
      <w:numFmt w:val="bullet"/>
      <w:lvlText w:val="•"/>
      <w:lvlJc w:val="left"/>
      <w:pPr>
        <w:ind w:left="5835" w:hanging="852"/>
      </w:pPr>
      <w:rPr>
        <w:rFonts w:hint="default"/>
        <w:lang w:val="en-US" w:eastAsia="en-US" w:bidi="ar-SA"/>
      </w:rPr>
    </w:lvl>
    <w:lvl w:ilvl="5">
      <w:numFmt w:val="bullet"/>
      <w:lvlText w:val="•"/>
      <w:lvlJc w:val="left"/>
      <w:pPr>
        <w:ind w:left="6840" w:hanging="852"/>
      </w:pPr>
      <w:rPr>
        <w:rFonts w:hint="default"/>
        <w:lang w:val="en-US" w:eastAsia="en-US" w:bidi="ar-SA"/>
      </w:rPr>
    </w:lvl>
    <w:lvl w:ilvl="6">
      <w:numFmt w:val="bullet"/>
      <w:lvlText w:val="•"/>
      <w:lvlJc w:val="left"/>
      <w:pPr>
        <w:ind w:left="7845" w:hanging="852"/>
      </w:pPr>
      <w:rPr>
        <w:rFonts w:hint="default"/>
        <w:lang w:val="en-US" w:eastAsia="en-US" w:bidi="ar-SA"/>
      </w:rPr>
    </w:lvl>
    <w:lvl w:ilvl="7">
      <w:numFmt w:val="bullet"/>
      <w:lvlText w:val="•"/>
      <w:lvlJc w:val="left"/>
      <w:pPr>
        <w:ind w:left="8850" w:hanging="852"/>
      </w:pPr>
      <w:rPr>
        <w:rFonts w:hint="default"/>
        <w:lang w:val="en-US" w:eastAsia="en-US" w:bidi="ar-SA"/>
      </w:rPr>
    </w:lvl>
    <w:lvl w:ilvl="8">
      <w:numFmt w:val="bullet"/>
      <w:lvlText w:val="•"/>
      <w:lvlJc w:val="left"/>
      <w:pPr>
        <w:ind w:left="9856" w:hanging="852"/>
      </w:pPr>
      <w:rPr>
        <w:rFonts w:hint="default"/>
        <w:lang w:val="en-US" w:eastAsia="en-US" w:bidi="ar-SA"/>
      </w:rPr>
    </w:lvl>
  </w:abstractNum>
  <w:abstractNum w:abstractNumId="184" w15:restartNumberingAfterBreak="0">
    <w:nsid w:val="75646120"/>
    <w:multiLevelType w:val="hybridMultilevel"/>
    <w:tmpl w:val="AAD6632A"/>
    <w:lvl w:ilvl="0" w:tplc="DA7C5B32">
      <w:start w:val="16"/>
      <w:numFmt w:val="lowerLetter"/>
      <w:lvlText w:val="%1)"/>
      <w:lvlJc w:val="left"/>
      <w:pPr>
        <w:ind w:left="539" w:hanging="288"/>
      </w:pPr>
      <w:rPr>
        <w:rFonts w:ascii="Arial" w:eastAsia="Arial" w:hAnsi="Arial" w:cs="Arial" w:hint="default"/>
        <w:b w:val="0"/>
        <w:bCs w:val="0"/>
        <w:i w:val="0"/>
        <w:iCs w:val="0"/>
        <w:spacing w:val="0"/>
        <w:w w:val="99"/>
        <w:sz w:val="24"/>
        <w:szCs w:val="24"/>
        <w:lang w:val="en-US" w:eastAsia="en-US" w:bidi="ar-SA"/>
      </w:rPr>
    </w:lvl>
    <w:lvl w:ilvl="1" w:tplc="22DA7920">
      <w:numFmt w:val="bullet"/>
      <w:lvlText w:val="•"/>
      <w:lvlJc w:val="left"/>
      <w:pPr>
        <w:ind w:left="1233" w:hanging="288"/>
      </w:pPr>
      <w:rPr>
        <w:rFonts w:hint="default"/>
        <w:lang w:val="en-US" w:eastAsia="en-US" w:bidi="ar-SA"/>
      </w:rPr>
    </w:lvl>
    <w:lvl w:ilvl="2" w:tplc="2A125548">
      <w:numFmt w:val="bullet"/>
      <w:lvlText w:val="•"/>
      <w:lvlJc w:val="left"/>
      <w:pPr>
        <w:ind w:left="1926" w:hanging="288"/>
      </w:pPr>
      <w:rPr>
        <w:rFonts w:hint="default"/>
        <w:lang w:val="en-US" w:eastAsia="en-US" w:bidi="ar-SA"/>
      </w:rPr>
    </w:lvl>
    <w:lvl w:ilvl="3" w:tplc="3A6EEA5E">
      <w:numFmt w:val="bullet"/>
      <w:lvlText w:val="•"/>
      <w:lvlJc w:val="left"/>
      <w:pPr>
        <w:ind w:left="2620" w:hanging="288"/>
      </w:pPr>
      <w:rPr>
        <w:rFonts w:hint="default"/>
        <w:lang w:val="en-US" w:eastAsia="en-US" w:bidi="ar-SA"/>
      </w:rPr>
    </w:lvl>
    <w:lvl w:ilvl="4" w:tplc="D3C6E37A">
      <w:numFmt w:val="bullet"/>
      <w:lvlText w:val="•"/>
      <w:lvlJc w:val="left"/>
      <w:pPr>
        <w:ind w:left="3313" w:hanging="288"/>
      </w:pPr>
      <w:rPr>
        <w:rFonts w:hint="default"/>
        <w:lang w:val="en-US" w:eastAsia="en-US" w:bidi="ar-SA"/>
      </w:rPr>
    </w:lvl>
    <w:lvl w:ilvl="5" w:tplc="82C435C0">
      <w:numFmt w:val="bullet"/>
      <w:lvlText w:val="•"/>
      <w:lvlJc w:val="left"/>
      <w:pPr>
        <w:ind w:left="4007" w:hanging="288"/>
      </w:pPr>
      <w:rPr>
        <w:rFonts w:hint="default"/>
        <w:lang w:val="en-US" w:eastAsia="en-US" w:bidi="ar-SA"/>
      </w:rPr>
    </w:lvl>
    <w:lvl w:ilvl="6" w:tplc="87B84356">
      <w:numFmt w:val="bullet"/>
      <w:lvlText w:val="•"/>
      <w:lvlJc w:val="left"/>
      <w:pPr>
        <w:ind w:left="4700" w:hanging="288"/>
      </w:pPr>
      <w:rPr>
        <w:rFonts w:hint="default"/>
        <w:lang w:val="en-US" w:eastAsia="en-US" w:bidi="ar-SA"/>
      </w:rPr>
    </w:lvl>
    <w:lvl w:ilvl="7" w:tplc="BE82F98C">
      <w:numFmt w:val="bullet"/>
      <w:lvlText w:val="•"/>
      <w:lvlJc w:val="left"/>
      <w:pPr>
        <w:ind w:left="5393" w:hanging="288"/>
      </w:pPr>
      <w:rPr>
        <w:rFonts w:hint="default"/>
        <w:lang w:val="en-US" w:eastAsia="en-US" w:bidi="ar-SA"/>
      </w:rPr>
    </w:lvl>
    <w:lvl w:ilvl="8" w:tplc="1284B8BA">
      <w:numFmt w:val="bullet"/>
      <w:lvlText w:val="•"/>
      <w:lvlJc w:val="left"/>
      <w:pPr>
        <w:ind w:left="6087" w:hanging="288"/>
      </w:pPr>
      <w:rPr>
        <w:rFonts w:hint="default"/>
        <w:lang w:val="en-US" w:eastAsia="en-US" w:bidi="ar-SA"/>
      </w:rPr>
    </w:lvl>
  </w:abstractNum>
  <w:abstractNum w:abstractNumId="185" w15:restartNumberingAfterBreak="0">
    <w:nsid w:val="76F31812"/>
    <w:multiLevelType w:val="hybridMultilevel"/>
    <w:tmpl w:val="2C8A2156"/>
    <w:lvl w:ilvl="0" w:tplc="4814A268">
      <w:numFmt w:val="bullet"/>
      <w:lvlText w:val="-"/>
      <w:lvlJc w:val="left"/>
      <w:pPr>
        <w:ind w:left="109" w:hanging="118"/>
      </w:pPr>
      <w:rPr>
        <w:rFonts w:ascii="Calibri" w:eastAsia="Calibri" w:hAnsi="Calibri" w:cs="Calibri" w:hint="default"/>
        <w:b w:val="0"/>
        <w:bCs w:val="0"/>
        <w:i w:val="0"/>
        <w:iCs w:val="0"/>
        <w:spacing w:val="0"/>
        <w:w w:val="100"/>
        <w:sz w:val="22"/>
        <w:szCs w:val="22"/>
        <w:lang w:val="en-US" w:eastAsia="en-US" w:bidi="ar-SA"/>
      </w:rPr>
    </w:lvl>
    <w:lvl w:ilvl="1" w:tplc="226E5DCC">
      <w:numFmt w:val="bullet"/>
      <w:lvlText w:val="•"/>
      <w:lvlJc w:val="left"/>
      <w:pPr>
        <w:ind w:left="387" w:hanging="118"/>
      </w:pPr>
      <w:rPr>
        <w:rFonts w:hint="default"/>
        <w:lang w:val="en-US" w:eastAsia="en-US" w:bidi="ar-SA"/>
      </w:rPr>
    </w:lvl>
    <w:lvl w:ilvl="2" w:tplc="DA9C26A6">
      <w:numFmt w:val="bullet"/>
      <w:lvlText w:val="•"/>
      <w:lvlJc w:val="left"/>
      <w:pPr>
        <w:ind w:left="675" w:hanging="118"/>
      </w:pPr>
      <w:rPr>
        <w:rFonts w:hint="default"/>
        <w:lang w:val="en-US" w:eastAsia="en-US" w:bidi="ar-SA"/>
      </w:rPr>
    </w:lvl>
    <w:lvl w:ilvl="3" w:tplc="0CB01A14">
      <w:numFmt w:val="bullet"/>
      <w:lvlText w:val="•"/>
      <w:lvlJc w:val="left"/>
      <w:pPr>
        <w:ind w:left="963" w:hanging="118"/>
      </w:pPr>
      <w:rPr>
        <w:rFonts w:hint="default"/>
        <w:lang w:val="en-US" w:eastAsia="en-US" w:bidi="ar-SA"/>
      </w:rPr>
    </w:lvl>
    <w:lvl w:ilvl="4" w:tplc="F29019B2">
      <w:numFmt w:val="bullet"/>
      <w:lvlText w:val="•"/>
      <w:lvlJc w:val="left"/>
      <w:pPr>
        <w:ind w:left="1251" w:hanging="118"/>
      </w:pPr>
      <w:rPr>
        <w:rFonts w:hint="default"/>
        <w:lang w:val="en-US" w:eastAsia="en-US" w:bidi="ar-SA"/>
      </w:rPr>
    </w:lvl>
    <w:lvl w:ilvl="5" w:tplc="3B3CFC66">
      <w:numFmt w:val="bullet"/>
      <w:lvlText w:val="•"/>
      <w:lvlJc w:val="left"/>
      <w:pPr>
        <w:ind w:left="1539" w:hanging="118"/>
      </w:pPr>
      <w:rPr>
        <w:rFonts w:hint="default"/>
        <w:lang w:val="en-US" w:eastAsia="en-US" w:bidi="ar-SA"/>
      </w:rPr>
    </w:lvl>
    <w:lvl w:ilvl="6" w:tplc="9D369F96">
      <w:numFmt w:val="bullet"/>
      <w:lvlText w:val="•"/>
      <w:lvlJc w:val="left"/>
      <w:pPr>
        <w:ind w:left="1826" w:hanging="118"/>
      </w:pPr>
      <w:rPr>
        <w:rFonts w:hint="default"/>
        <w:lang w:val="en-US" w:eastAsia="en-US" w:bidi="ar-SA"/>
      </w:rPr>
    </w:lvl>
    <w:lvl w:ilvl="7" w:tplc="D2D4AD9C">
      <w:numFmt w:val="bullet"/>
      <w:lvlText w:val="•"/>
      <w:lvlJc w:val="left"/>
      <w:pPr>
        <w:ind w:left="2114" w:hanging="118"/>
      </w:pPr>
      <w:rPr>
        <w:rFonts w:hint="default"/>
        <w:lang w:val="en-US" w:eastAsia="en-US" w:bidi="ar-SA"/>
      </w:rPr>
    </w:lvl>
    <w:lvl w:ilvl="8" w:tplc="CFFEDA1A">
      <w:numFmt w:val="bullet"/>
      <w:lvlText w:val="•"/>
      <w:lvlJc w:val="left"/>
      <w:pPr>
        <w:ind w:left="2402" w:hanging="118"/>
      </w:pPr>
      <w:rPr>
        <w:rFonts w:hint="default"/>
        <w:lang w:val="en-US" w:eastAsia="en-US" w:bidi="ar-SA"/>
      </w:rPr>
    </w:lvl>
  </w:abstractNum>
  <w:abstractNum w:abstractNumId="186" w15:restartNumberingAfterBreak="0">
    <w:nsid w:val="772936E4"/>
    <w:multiLevelType w:val="multilevel"/>
    <w:tmpl w:val="3DEA8372"/>
    <w:lvl w:ilvl="0">
      <w:start w:val="1"/>
      <w:numFmt w:val="decimal"/>
      <w:lvlText w:val="%1."/>
      <w:lvlJc w:val="left"/>
      <w:pPr>
        <w:tabs>
          <w:tab w:val="num" w:pos="720"/>
        </w:tabs>
        <w:ind w:left="720" w:hanging="720"/>
      </w:pPr>
      <w:rPr>
        <w:rFonts w:ascii="Arial" w:hAnsi="Arial" w:cs="Arial" w:hint="default"/>
        <w:b/>
        <w:bCs w:val="0"/>
        <w:i w:val="0"/>
        <w:iCs w:val="0"/>
        <w:caps w:val="0"/>
        <w:smallCaps w:val="0"/>
        <w:strike w:val="0"/>
        <w:dstrike w:val="0"/>
        <w:vanish w:val="0"/>
        <w:color w:val="auto"/>
        <w:spacing w:val="0"/>
        <w:w w:val="100"/>
        <w:kern w:val="0"/>
        <w:position w:val="0"/>
        <w:sz w:val="24"/>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lvlText w:val="%1.%2"/>
      <w:lvlJc w:val="left"/>
      <w:pPr>
        <w:tabs>
          <w:tab w:val="num" w:pos="720"/>
        </w:tabs>
        <w:ind w:left="0" w:firstLine="0"/>
      </w:pPr>
      <w:rPr>
        <w:rFonts w:ascii="Arial" w:hAnsi="Arial" w:cs="Arial" w:hint="default"/>
        <w:b w:val="0"/>
        <w:bCs w:val="0"/>
        <w:i w:val="0"/>
        <w:iCs w:val="0"/>
        <w:caps w:val="0"/>
        <w:smallCaps w:val="0"/>
        <w:strike w:val="0"/>
        <w:dstrike w:val="0"/>
        <w:vanish w:val="0"/>
        <w:color w:val="auto"/>
        <w:spacing w:val="0"/>
        <w:w w:val="100"/>
        <w:kern w:val="0"/>
        <w:position w:val="0"/>
        <w:sz w:val="24"/>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isLgl/>
      <w:lvlText w:val="%1.%2.%3"/>
      <w:lvlJc w:val="left"/>
      <w:pPr>
        <w:tabs>
          <w:tab w:val="num" w:pos="2160"/>
        </w:tabs>
        <w:ind w:left="2155" w:hanging="715"/>
      </w:pPr>
      <w:rPr>
        <w:rFonts w:ascii="Arial" w:hAnsi="Arial" w:cs="Arial" w:hint="default"/>
        <w:b w:val="0"/>
        <w:bCs w:val="0"/>
        <w:i w:val="0"/>
        <w:iCs w:val="0"/>
        <w:caps w:val="0"/>
        <w:smallCaps w:val="0"/>
        <w:strike w:val="0"/>
        <w:dstrike w:val="0"/>
        <w:vanish w:val="0"/>
        <w:color w:val="auto"/>
        <w:spacing w:val="0"/>
        <w:w w:val="100"/>
        <w:kern w:val="0"/>
        <w:position w:val="0"/>
        <w:sz w:val="24"/>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2880"/>
        </w:tabs>
        <w:ind w:left="2880" w:hanging="720"/>
      </w:pPr>
      <w:rPr>
        <w:rFonts w:ascii="Calibri" w:hAnsi="Calibri" w:cs="Arial" w:hint="default"/>
        <w:b w:val="0"/>
        <w:bCs w:val="0"/>
        <w:i w:val="0"/>
        <w:iCs w:val="0"/>
        <w:caps w:val="0"/>
        <w:smallCaps w:val="0"/>
        <w:strike w:val="0"/>
        <w:dstrike w:val="0"/>
        <w:vanish w:val="0"/>
        <w:color w:val="auto"/>
        <w:spacing w:val="0"/>
        <w:w w:val="100"/>
        <w:kern w:val="0"/>
        <w:position w:val="0"/>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lvlText w:val="(%5)"/>
      <w:lvlJc w:val="left"/>
      <w:pPr>
        <w:tabs>
          <w:tab w:val="num" w:pos="3600"/>
        </w:tabs>
        <w:ind w:left="3600" w:hanging="72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upperLetter"/>
      <w:lvlText w:val="(%6)"/>
      <w:lvlJc w:val="left"/>
      <w:pPr>
        <w:ind w:left="1440" w:hanging="108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87" w15:restartNumberingAfterBreak="0">
    <w:nsid w:val="774440B7"/>
    <w:multiLevelType w:val="hybridMultilevel"/>
    <w:tmpl w:val="D3B2FCE2"/>
    <w:lvl w:ilvl="0" w:tplc="0BF0546E">
      <w:start w:val="1"/>
      <w:numFmt w:val="decimal"/>
      <w:lvlText w:val="%1."/>
      <w:lvlJc w:val="left"/>
      <w:pPr>
        <w:ind w:left="2120" w:hanging="360"/>
      </w:pPr>
      <w:rPr>
        <w:rFonts w:ascii="Arial" w:eastAsia="Arial" w:hAnsi="Arial" w:cs="Arial" w:hint="default"/>
        <w:b w:val="0"/>
        <w:bCs w:val="0"/>
        <w:i w:val="0"/>
        <w:iCs w:val="0"/>
        <w:color w:val="0D0D0D"/>
        <w:spacing w:val="0"/>
        <w:w w:val="100"/>
        <w:sz w:val="24"/>
        <w:szCs w:val="24"/>
        <w:lang w:val="en-US" w:eastAsia="en-US" w:bidi="ar-SA"/>
      </w:rPr>
    </w:lvl>
    <w:lvl w:ilvl="1" w:tplc="94C83186">
      <w:numFmt w:val="bullet"/>
      <w:lvlText w:val=""/>
      <w:lvlJc w:val="left"/>
      <w:pPr>
        <w:ind w:left="2120" w:hanging="360"/>
      </w:pPr>
      <w:rPr>
        <w:rFonts w:ascii="Wingdings" w:eastAsia="Wingdings" w:hAnsi="Wingdings" w:cs="Wingdings" w:hint="default"/>
        <w:spacing w:val="0"/>
        <w:w w:val="100"/>
        <w:lang w:val="en-US" w:eastAsia="en-US" w:bidi="ar-SA"/>
      </w:rPr>
    </w:lvl>
    <w:lvl w:ilvl="2" w:tplc="334C4E8C">
      <w:numFmt w:val="bullet"/>
      <w:lvlText w:val="•"/>
      <w:lvlJc w:val="left"/>
      <w:pPr>
        <w:ind w:left="4069" w:hanging="360"/>
      </w:pPr>
      <w:rPr>
        <w:rFonts w:hint="default"/>
        <w:lang w:val="en-US" w:eastAsia="en-US" w:bidi="ar-SA"/>
      </w:rPr>
    </w:lvl>
    <w:lvl w:ilvl="3" w:tplc="AD680B2E">
      <w:numFmt w:val="bullet"/>
      <w:lvlText w:val="•"/>
      <w:lvlJc w:val="left"/>
      <w:pPr>
        <w:ind w:left="5043" w:hanging="360"/>
      </w:pPr>
      <w:rPr>
        <w:rFonts w:hint="default"/>
        <w:lang w:val="en-US" w:eastAsia="en-US" w:bidi="ar-SA"/>
      </w:rPr>
    </w:lvl>
    <w:lvl w:ilvl="4" w:tplc="31E0C57C">
      <w:numFmt w:val="bullet"/>
      <w:lvlText w:val="•"/>
      <w:lvlJc w:val="left"/>
      <w:pPr>
        <w:ind w:left="6018" w:hanging="360"/>
      </w:pPr>
      <w:rPr>
        <w:rFonts w:hint="default"/>
        <w:lang w:val="en-US" w:eastAsia="en-US" w:bidi="ar-SA"/>
      </w:rPr>
    </w:lvl>
    <w:lvl w:ilvl="5" w:tplc="9B082D5A">
      <w:numFmt w:val="bullet"/>
      <w:lvlText w:val="•"/>
      <w:lvlJc w:val="left"/>
      <w:pPr>
        <w:ind w:left="6993" w:hanging="360"/>
      </w:pPr>
      <w:rPr>
        <w:rFonts w:hint="default"/>
        <w:lang w:val="en-US" w:eastAsia="en-US" w:bidi="ar-SA"/>
      </w:rPr>
    </w:lvl>
    <w:lvl w:ilvl="6" w:tplc="36E66DAE">
      <w:numFmt w:val="bullet"/>
      <w:lvlText w:val="•"/>
      <w:lvlJc w:val="left"/>
      <w:pPr>
        <w:ind w:left="7967" w:hanging="360"/>
      </w:pPr>
      <w:rPr>
        <w:rFonts w:hint="default"/>
        <w:lang w:val="en-US" w:eastAsia="en-US" w:bidi="ar-SA"/>
      </w:rPr>
    </w:lvl>
    <w:lvl w:ilvl="7" w:tplc="4E322ECE">
      <w:numFmt w:val="bullet"/>
      <w:lvlText w:val="•"/>
      <w:lvlJc w:val="left"/>
      <w:pPr>
        <w:ind w:left="8942" w:hanging="360"/>
      </w:pPr>
      <w:rPr>
        <w:rFonts w:hint="default"/>
        <w:lang w:val="en-US" w:eastAsia="en-US" w:bidi="ar-SA"/>
      </w:rPr>
    </w:lvl>
    <w:lvl w:ilvl="8" w:tplc="22E4004C">
      <w:numFmt w:val="bullet"/>
      <w:lvlText w:val="•"/>
      <w:lvlJc w:val="left"/>
      <w:pPr>
        <w:ind w:left="9917" w:hanging="360"/>
      </w:pPr>
      <w:rPr>
        <w:rFonts w:hint="default"/>
        <w:lang w:val="en-US" w:eastAsia="en-US" w:bidi="ar-SA"/>
      </w:rPr>
    </w:lvl>
  </w:abstractNum>
  <w:abstractNum w:abstractNumId="188" w15:restartNumberingAfterBreak="0">
    <w:nsid w:val="78BF7D8C"/>
    <w:multiLevelType w:val="hybridMultilevel"/>
    <w:tmpl w:val="4F225D7C"/>
    <w:lvl w:ilvl="0" w:tplc="B192C232">
      <w:start w:val="1"/>
      <w:numFmt w:val="lowerRoman"/>
      <w:lvlText w:val="(%1)"/>
      <w:lvlJc w:val="left"/>
      <w:pPr>
        <w:ind w:left="1709" w:hanging="569"/>
      </w:pPr>
      <w:rPr>
        <w:rFonts w:ascii="Arial" w:eastAsia="Arial" w:hAnsi="Arial" w:cs="Arial" w:hint="default"/>
        <w:b w:val="0"/>
        <w:bCs w:val="0"/>
        <w:i w:val="0"/>
        <w:iCs w:val="0"/>
        <w:spacing w:val="-1"/>
        <w:w w:val="100"/>
        <w:sz w:val="24"/>
        <w:szCs w:val="24"/>
        <w:lang w:val="en-US" w:eastAsia="en-US" w:bidi="ar-SA"/>
      </w:rPr>
    </w:lvl>
    <w:lvl w:ilvl="1" w:tplc="A32669C4">
      <w:numFmt w:val="bullet"/>
      <w:lvlText w:val="•"/>
      <w:lvlJc w:val="left"/>
      <w:pPr>
        <w:ind w:left="2143" w:hanging="569"/>
      </w:pPr>
      <w:rPr>
        <w:rFonts w:hint="default"/>
        <w:lang w:val="en-US" w:eastAsia="en-US" w:bidi="ar-SA"/>
      </w:rPr>
    </w:lvl>
    <w:lvl w:ilvl="2" w:tplc="156EA596">
      <w:numFmt w:val="bullet"/>
      <w:lvlText w:val="•"/>
      <w:lvlJc w:val="left"/>
      <w:pPr>
        <w:ind w:left="2587" w:hanging="569"/>
      </w:pPr>
      <w:rPr>
        <w:rFonts w:hint="default"/>
        <w:lang w:val="en-US" w:eastAsia="en-US" w:bidi="ar-SA"/>
      </w:rPr>
    </w:lvl>
    <w:lvl w:ilvl="3" w:tplc="0ADA9ACE">
      <w:numFmt w:val="bullet"/>
      <w:lvlText w:val="•"/>
      <w:lvlJc w:val="left"/>
      <w:pPr>
        <w:ind w:left="3031" w:hanging="569"/>
      </w:pPr>
      <w:rPr>
        <w:rFonts w:hint="default"/>
        <w:lang w:val="en-US" w:eastAsia="en-US" w:bidi="ar-SA"/>
      </w:rPr>
    </w:lvl>
    <w:lvl w:ilvl="4" w:tplc="5D2CC92E">
      <w:numFmt w:val="bullet"/>
      <w:lvlText w:val="•"/>
      <w:lvlJc w:val="left"/>
      <w:pPr>
        <w:ind w:left="3475" w:hanging="569"/>
      </w:pPr>
      <w:rPr>
        <w:rFonts w:hint="default"/>
        <w:lang w:val="en-US" w:eastAsia="en-US" w:bidi="ar-SA"/>
      </w:rPr>
    </w:lvl>
    <w:lvl w:ilvl="5" w:tplc="72407E6A">
      <w:numFmt w:val="bullet"/>
      <w:lvlText w:val="•"/>
      <w:lvlJc w:val="left"/>
      <w:pPr>
        <w:ind w:left="3919" w:hanging="569"/>
      </w:pPr>
      <w:rPr>
        <w:rFonts w:hint="default"/>
        <w:lang w:val="en-US" w:eastAsia="en-US" w:bidi="ar-SA"/>
      </w:rPr>
    </w:lvl>
    <w:lvl w:ilvl="6" w:tplc="39A4C49C">
      <w:numFmt w:val="bullet"/>
      <w:lvlText w:val="•"/>
      <w:lvlJc w:val="left"/>
      <w:pPr>
        <w:ind w:left="4362" w:hanging="569"/>
      </w:pPr>
      <w:rPr>
        <w:rFonts w:hint="default"/>
        <w:lang w:val="en-US" w:eastAsia="en-US" w:bidi="ar-SA"/>
      </w:rPr>
    </w:lvl>
    <w:lvl w:ilvl="7" w:tplc="33AA665C">
      <w:numFmt w:val="bullet"/>
      <w:lvlText w:val="•"/>
      <w:lvlJc w:val="left"/>
      <w:pPr>
        <w:ind w:left="4806" w:hanging="569"/>
      </w:pPr>
      <w:rPr>
        <w:rFonts w:hint="default"/>
        <w:lang w:val="en-US" w:eastAsia="en-US" w:bidi="ar-SA"/>
      </w:rPr>
    </w:lvl>
    <w:lvl w:ilvl="8" w:tplc="43B27A68">
      <w:numFmt w:val="bullet"/>
      <w:lvlText w:val="•"/>
      <w:lvlJc w:val="left"/>
      <w:pPr>
        <w:ind w:left="5250" w:hanging="569"/>
      </w:pPr>
      <w:rPr>
        <w:rFonts w:hint="default"/>
        <w:lang w:val="en-US" w:eastAsia="en-US" w:bidi="ar-SA"/>
      </w:rPr>
    </w:lvl>
  </w:abstractNum>
  <w:abstractNum w:abstractNumId="189" w15:restartNumberingAfterBreak="0">
    <w:nsid w:val="78ED7B7F"/>
    <w:multiLevelType w:val="hybridMultilevel"/>
    <w:tmpl w:val="1A708B10"/>
    <w:lvl w:ilvl="0" w:tplc="56D0FF06">
      <w:start w:val="1"/>
      <w:numFmt w:val="lowerLetter"/>
      <w:lvlText w:val="(%1)"/>
      <w:lvlJc w:val="left"/>
      <w:pPr>
        <w:ind w:left="1494" w:hanging="428"/>
      </w:pPr>
      <w:rPr>
        <w:rFonts w:ascii="Calibri" w:eastAsia="Calibri" w:hAnsi="Calibri" w:cs="Calibri" w:hint="default"/>
        <w:b w:val="0"/>
        <w:bCs w:val="0"/>
        <w:i w:val="0"/>
        <w:iCs w:val="0"/>
        <w:spacing w:val="-1"/>
        <w:w w:val="100"/>
        <w:sz w:val="24"/>
        <w:szCs w:val="24"/>
        <w:lang w:val="en-US" w:eastAsia="en-US" w:bidi="ar-SA"/>
      </w:rPr>
    </w:lvl>
    <w:lvl w:ilvl="1" w:tplc="29A645EA">
      <w:numFmt w:val="bullet"/>
      <w:lvlText w:val="•"/>
      <w:lvlJc w:val="left"/>
      <w:pPr>
        <w:ind w:left="2536" w:hanging="428"/>
      </w:pPr>
      <w:rPr>
        <w:rFonts w:hint="default"/>
        <w:lang w:val="en-US" w:eastAsia="en-US" w:bidi="ar-SA"/>
      </w:rPr>
    </w:lvl>
    <w:lvl w:ilvl="2" w:tplc="75AE2106">
      <w:numFmt w:val="bullet"/>
      <w:lvlText w:val="•"/>
      <w:lvlJc w:val="left"/>
      <w:pPr>
        <w:ind w:left="3573" w:hanging="428"/>
      </w:pPr>
      <w:rPr>
        <w:rFonts w:hint="default"/>
        <w:lang w:val="en-US" w:eastAsia="en-US" w:bidi="ar-SA"/>
      </w:rPr>
    </w:lvl>
    <w:lvl w:ilvl="3" w:tplc="3794A0C8">
      <w:numFmt w:val="bullet"/>
      <w:lvlText w:val="•"/>
      <w:lvlJc w:val="left"/>
      <w:pPr>
        <w:ind w:left="4609" w:hanging="428"/>
      </w:pPr>
      <w:rPr>
        <w:rFonts w:hint="default"/>
        <w:lang w:val="en-US" w:eastAsia="en-US" w:bidi="ar-SA"/>
      </w:rPr>
    </w:lvl>
    <w:lvl w:ilvl="4" w:tplc="A2C608C6">
      <w:numFmt w:val="bullet"/>
      <w:lvlText w:val="•"/>
      <w:lvlJc w:val="left"/>
      <w:pPr>
        <w:ind w:left="5646" w:hanging="428"/>
      </w:pPr>
      <w:rPr>
        <w:rFonts w:hint="default"/>
        <w:lang w:val="en-US" w:eastAsia="en-US" w:bidi="ar-SA"/>
      </w:rPr>
    </w:lvl>
    <w:lvl w:ilvl="5" w:tplc="FC7E05BE">
      <w:numFmt w:val="bullet"/>
      <w:lvlText w:val="•"/>
      <w:lvlJc w:val="left"/>
      <w:pPr>
        <w:ind w:left="6683" w:hanging="428"/>
      </w:pPr>
      <w:rPr>
        <w:rFonts w:hint="default"/>
        <w:lang w:val="en-US" w:eastAsia="en-US" w:bidi="ar-SA"/>
      </w:rPr>
    </w:lvl>
    <w:lvl w:ilvl="6" w:tplc="86748D62">
      <w:numFmt w:val="bullet"/>
      <w:lvlText w:val="•"/>
      <w:lvlJc w:val="left"/>
      <w:pPr>
        <w:ind w:left="7719" w:hanging="428"/>
      </w:pPr>
      <w:rPr>
        <w:rFonts w:hint="default"/>
        <w:lang w:val="en-US" w:eastAsia="en-US" w:bidi="ar-SA"/>
      </w:rPr>
    </w:lvl>
    <w:lvl w:ilvl="7" w:tplc="8E6A1A1C">
      <w:numFmt w:val="bullet"/>
      <w:lvlText w:val="•"/>
      <w:lvlJc w:val="left"/>
      <w:pPr>
        <w:ind w:left="8756" w:hanging="428"/>
      </w:pPr>
      <w:rPr>
        <w:rFonts w:hint="default"/>
        <w:lang w:val="en-US" w:eastAsia="en-US" w:bidi="ar-SA"/>
      </w:rPr>
    </w:lvl>
    <w:lvl w:ilvl="8" w:tplc="2BC820E4">
      <w:numFmt w:val="bullet"/>
      <w:lvlText w:val="•"/>
      <w:lvlJc w:val="left"/>
      <w:pPr>
        <w:ind w:left="9793" w:hanging="428"/>
      </w:pPr>
      <w:rPr>
        <w:rFonts w:hint="default"/>
        <w:lang w:val="en-US" w:eastAsia="en-US" w:bidi="ar-SA"/>
      </w:rPr>
    </w:lvl>
  </w:abstractNum>
  <w:abstractNum w:abstractNumId="190" w15:restartNumberingAfterBreak="0">
    <w:nsid w:val="78F5284B"/>
    <w:multiLevelType w:val="hybridMultilevel"/>
    <w:tmpl w:val="F48E977C"/>
    <w:lvl w:ilvl="0" w:tplc="E8BC2B84">
      <w:start w:val="1"/>
      <w:numFmt w:val="lowerLetter"/>
      <w:lvlText w:val="%1."/>
      <w:lvlJc w:val="left"/>
      <w:pPr>
        <w:ind w:left="2120" w:hanging="360"/>
      </w:pPr>
      <w:rPr>
        <w:rFonts w:ascii="Arial" w:eastAsia="Arial" w:hAnsi="Arial" w:cs="Arial" w:hint="default"/>
        <w:b w:val="0"/>
        <w:bCs w:val="0"/>
        <w:i w:val="0"/>
        <w:iCs w:val="0"/>
        <w:spacing w:val="0"/>
        <w:w w:val="100"/>
        <w:sz w:val="24"/>
        <w:szCs w:val="24"/>
        <w:lang w:val="en-US" w:eastAsia="en-US" w:bidi="ar-SA"/>
      </w:rPr>
    </w:lvl>
    <w:lvl w:ilvl="1" w:tplc="ED9C41A8">
      <w:numFmt w:val="bullet"/>
      <w:lvlText w:val="-"/>
      <w:lvlJc w:val="left"/>
      <w:pPr>
        <w:ind w:left="2840" w:hanging="360"/>
      </w:pPr>
      <w:rPr>
        <w:rFonts w:ascii="Arial" w:eastAsia="Arial" w:hAnsi="Arial" w:cs="Arial" w:hint="default"/>
        <w:b w:val="0"/>
        <w:bCs w:val="0"/>
        <w:i w:val="0"/>
        <w:iCs w:val="0"/>
        <w:spacing w:val="0"/>
        <w:w w:val="100"/>
        <w:sz w:val="24"/>
        <w:szCs w:val="24"/>
        <w:lang w:val="en-US" w:eastAsia="en-US" w:bidi="ar-SA"/>
      </w:rPr>
    </w:lvl>
    <w:lvl w:ilvl="2" w:tplc="54046DB4">
      <w:numFmt w:val="bullet"/>
      <w:lvlText w:val="•"/>
      <w:lvlJc w:val="left"/>
      <w:pPr>
        <w:ind w:left="3842" w:hanging="360"/>
      </w:pPr>
      <w:rPr>
        <w:rFonts w:hint="default"/>
        <w:lang w:val="en-US" w:eastAsia="en-US" w:bidi="ar-SA"/>
      </w:rPr>
    </w:lvl>
    <w:lvl w:ilvl="3" w:tplc="1632DF06">
      <w:numFmt w:val="bullet"/>
      <w:lvlText w:val="•"/>
      <w:lvlJc w:val="left"/>
      <w:pPr>
        <w:ind w:left="4845" w:hanging="360"/>
      </w:pPr>
      <w:rPr>
        <w:rFonts w:hint="default"/>
        <w:lang w:val="en-US" w:eastAsia="en-US" w:bidi="ar-SA"/>
      </w:rPr>
    </w:lvl>
    <w:lvl w:ilvl="4" w:tplc="9A868898">
      <w:numFmt w:val="bullet"/>
      <w:lvlText w:val="•"/>
      <w:lvlJc w:val="left"/>
      <w:pPr>
        <w:ind w:left="5848" w:hanging="360"/>
      </w:pPr>
      <w:rPr>
        <w:rFonts w:hint="default"/>
        <w:lang w:val="en-US" w:eastAsia="en-US" w:bidi="ar-SA"/>
      </w:rPr>
    </w:lvl>
    <w:lvl w:ilvl="5" w:tplc="A51CAF22">
      <w:numFmt w:val="bullet"/>
      <w:lvlText w:val="•"/>
      <w:lvlJc w:val="left"/>
      <w:pPr>
        <w:ind w:left="6851" w:hanging="360"/>
      </w:pPr>
      <w:rPr>
        <w:rFonts w:hint="default"/>
        <w:lang w:val="en-US" w:eastAsia="en-US" w:bidi="ar-SA"/>
      </w:rPr>
    </w:lvl>
    <w:lvl w:ilvl="6" w:tplc="58B6C048">
      <w:numFmt w:val="bullet"/>
      <w:lvlText w:val="•"/>
      <w:lvlJc w:val="left"/>
      <w:pPr>
        <w:ind w:left="7854" w:hanging="360"/>
      </w:pPr>
      <w:rPr>
        <w:rFonts w:hint="default"/>
        <w:lang w:val="en-US" w:eastAsia="en-US" w:bidi="ar-SA"/>
      </w:rPr>
    </w:lvl>
    <w:lvl w:ilvl="7" w:tplc="09C633F8">
      <w:numFmt w:val="bullet"/>
      <w:lvlText w:val="•"/>
      <w:lvlJc w:val="left"/>
      <w:pPr>
        <w:ind w:left="8857" w:hanging="360"/>
      </w:pPr>
      <w:rPr>
        <w:rFonts w:hint="default"/>
        <w:lang w:val="en-US" w:eastAsia="en-US" w:bidi="ar-SA"/>
      </w:rPr>
    </w:lvl>
    <w:lvl w:ilvl="8" w:tplc="26F00926">
      <w:numFmt w:val="bullet"/>
      <w:lvlText w:val="•"/>
      <w:lvlJc w:val="left"/>
      <w:pPr>
        <w:ind w:left="9860" w:hanging="360"/>
      </w:pPr>
      <w:rPr>
        <w:rFonts w:hint="default"/>
        <w:lang w:val="en-US" w:eastAsia="en-US" w:bidi="ar-SA"/>
      </w:rPr>
    </w:lvl>
  </w:abstractNum>
  <w:abstractNum w:abstractNumId="191" w15:restartNumberingAfterBreak="0">
    <w:nsid w:val="79E80E76"/>
    <w:multiLevelType w:val="multilevel"/>
    <w:tmpl w:val="E08AD178"/>
    <w:lvl w:ilvl="0">
      <w:start w:val="1"/>
      <w:numFmt w:val="decimal"/>
      <w:lvlText w:val="%1"/>
      <w:lvlJc w:val="left"/>
      <w:pPr>
        <w:ind w:left="1966" w:hanging="360"/>
      </w:pPr>
      <w:rPr>
        <w:rFonts w:hint="default"/>
        <w:lang w:val="en-US" w:eastAsia="en-US" w:bidi="ar-SA"/>
      </w:rPr>
    </w:lvl>
    <w:lvl w:ilvl="1">
      <w:start w:val="1"/>
      <w:numFmt w:val="decimal"/>
      <w:lvlText w:val="%1.%2"/>
      <w:lvlJc w:val="left"/>
      <w:pPr>
        <w:ind w:left="1966" w:hanging="360"/>
      </w:pPr>
      <w:rPr>
        <w:rFonts w:ascii="Arial" w:eastAsia="Arial" w:hAnsi="Arial" w:cs="Arial" w:hint="default"/>
        <w:b w:val="0"/>
        <w:bCs w:val="0"/>
        <w:i w:val="0"/>
        <w:iCs w:val="0"/>
        <w:spacing w:val="0"/>
        <w:w w:val="99"/>
        <w:sz w:val="24"/>
        <w:szCs w:val="24"/>
        <w:lang w:val="en-US" w:eastAsia="en-US" w:bidi="ar-SA"/>
      </w:rPr>
    </w:lvl>
    <w:lvl w:ilvl="2">
      <w:start w:val="1"/>
      <w:numFmt w:val="decimal"/>
      <w:lvlText w:val="%1.%2.%3"/>
      <w:lvlJc w:val="left"/>
      <w:pPr>
        <w:ind w:left="2677" w:hanging="711"/>
        <w:jc w:val="right"/>
      </w:pPr>
      <w:rPr>
        <w:rFonts w:ascii="Arial" w:eastAsia="Arial" w:hAnsi="Arial" w:cs="Arial" w:hint="default"/>
        <w:b w:val="0"/>
        <w:bCs w:val="0"/>
        <w:i w:val="0"/>
        <w:iCs w:val="0"/>
        <w:spacing w:val="-2"/>
        <w:w w:val="99"/>
        <w:sz w:val="24"/>
        <w:szCs w:val="24"/>
        <w:lang w:val="en-US" w:eastAsia="en-US" w:bidi="ar-SA"/>
      </w:rPr>
    </w:lvl>
    <w:lvl w:ilvl="3">
      <w:start w:val="1"/>
      <w:numFmt w:val="lowerLetter"/>
      <w:lvlText w:val="(%4)"/>
      <w:lvlJc w:val="left"/>
      <w:pPr>
        <w:ind w:left="4093" w:hanging="709"/>
      </w:pPr>
      <w:rPr>
        <w:rFonts w:ascii="Arial" w:eastAsia="Arial" w:hAnsi="Arial" w:cs="Arial" w:hint="default"/>
        <w:b w:val="0"/>
        <w:bCs w:val="0"/>
        <w:i w:val="0"/>
        <w:iCs w:val="0"/>
        <w:spacing w:val="0"/>
        <w:w w:val="99"/>
        <w:sz w:val="24"/>
        <w:szCs w:val="24"/>
        <w:lang w:val="en-US" w:eastAsia="en-US" w:bidi="ar-SA"/>
      </w:rPr>
    </w:lvl>
    <w:lvl w:ilvl="4">
      <w:numFmt w:val="bullet"/>
      <w:lvlText w:val="•"/>
      <w:lvlJc w:val="left"/>
      <w:pPr>
        <w:ind w:left="6041" w:hanging="709"/>
      </w:pPr>
      <w:rPr>
        <w:rFonts w:hint="default"/>
        <w:lang w:val="en-US" w:eastAsia="en-US" w:bidi="ar-SA"/>
      </w:rPr>
    </w:lvl>
    <w:lvl w:ilvl="5">
      <w:numFmt w:val="bullet"/>
      <w:lvlText w:val="•"/>
      <w:lvlJc w:val="left"/>
      <w:pPr>
        <w:ind w:left="7012" w:hanging="709"/>
      </w:pPr>
      <w:rPr>
        <w:rFonts w:hint="default"/>
        <w:lang w:val="en-US" w:eastAsia="en-US" w:bidi="ar-SA"/>
      </w:rPr>
    </w:lvl>
    <w:lvl w:ilvl="6">
      <w:numFmt w:val="bullet"/>
      <w:lvlText w:val="•"/>
      <w:lvlJc w:val="left"/>
      <w:pPr>
        <w:ind w:left="7983" w:hanging="709"/>
      </w:pPr>
      <w:rPr>
        <w:rFonts w:hint="default"/>
        <w:lang w:val="en-US" w:eastAsia="en-US" w:bidi="ar-SA"/>
      </w:rPr>
    </w:lvl>
    <w:lvl w:ilvl="7">
      <w:numFmt w:val="bullet"/>
      <w:lvlText w:val="•"/>
      <w:lvlJc w:val="left"/>
      <w:pPr>
        <w:ind w:left="8954" w:hanging="709"/>
      </w:pPr>
      <w:rPr>
        <w:rFonts w:hint="default"/>
        <w:lang w:val="en-US" w:eastAsia="en-US" w:bidi="ar-SA"/>
      </w:rPr>
    </w:lvl>
    <w:lvl w:ilvl="8">
      <w:numFmt w:val="bullet"/>
      <w:lvlText w:val="•"/>
      <w:lvlJc w:val="left"/>
      <w:pPr>
        <w:ind w:left="9924" w:hanging="709"/>
      </w:pPr>
      <w:rPr>
        <w:rFonts w:hint="default"/>
        <w:lang w:val="en-US" w:eastAsia="en-US" w:bidi="ar-SA"/>
      </w:rPr>
    </w:lvl>
  </w:abstractNum>
  <w:abstractNum w:abstractNumId="192" w15:restartNumberingAfterBreak="0">
    <w:nsid w:val="7AB43174"/>
    <w:multiLevelType w:val="hybridMultilevel"/>
    <w:tmpl w:val="CA2452C6"/>
    <w:lvl w:ilvl="0" w:tplc="DB18DE44">
      <w:numFmt w:val="bullet"/>
      <w:lvlText w:val=""/>
      <w:lvlJc w:val="left"/>
      <w:pPr>
        <w:ind w:left="627" w:hanging="272"/>
      </w:pPr>
      <w:rPr>
        <w:rFonts w:ascii="Symbol" w:eastAsia="Symbol" w:hAnsi="Symbol" w:cs="Symbol" w:hint="default"/>
        <w:b w:val="0"/>
        <w:bCs w:val="0"/>
        <w:i w:val="0"/>
        <w:iCs w:val="0"/>
        <w:spacing w:val="0"/>
        <w:w w:val="100"/>
        <w:sz w:val="18"/>
        <w:szCs w:val="18"/>
        <w:lang w:val="en-US" w:eastAsia="en-US" w:bidi="ar-SA"/>
      </w:rPr>
    </w:lvl>
    <w:lvl w:ilvl="1" w:tplc="85D48000">
      <w:numFmt w:val="bullet"/>
      <w:lvlText w:val="•"/>
      <w:lvlJc w:val="left"/>
      <w:pPr>
        <w:ind w:left="1116" w:hanging="272"/>
      </w:pPr>
      <w:rPr>
        <w:rFonts w:hint="default"/>
        <w:lang w:val="en-US" w:eastAsia="en-US" w:bidi="ar-SA"/>
      </w:rPr>
    </w:lvl>
    <w:lvl w:ilvl="2" w:tplc="06D80C56">
      <w:numFmt w:val="bullet"/>
      <w:lvlText w:val="•"/>
      <w:lvlJc w:val="left"/>
      <w:pPr>
        <w:ind w:left="1612" w:hanging="272"/>
      </w:pPr>
      <w:rPr>
        <w:rFonts w:hint="default"/>
        <w:lang w:val="en-US" w:eastAsia="en-US" w:bidi="ar-SA"/>
      </w:rPr>
    </w:lvl>
    <w:lvl w:ilvl="3" w:tplc="BBAC5984">
      <w:numFmt w:val="bullet"/>
      <w:lvlText w:val="•"/>
      <w:lvlJc w:val="left"/>
      <w:pPr>
        <w:ind w:left="2108" w:hanging="272"/>
      </w:pPr>
      <w:rPr>
        <w:rFonts w:hint="default"/>
        <w:lang w:val="en-US" w:eastAsia="en-US" w:bidi="ar-SA"/>
      </w:rPr>
    </w:lvl>
    <w:lvl w:ilvl="4" w:tplc="81786234">
      <w:numFmt w:val="bullet"/>
      <w:lvlText w:val="•"/>
      <w:lvlJc w:val="left"/>
      <w:pPr>
        <w:ind w:left="2604" w:hanging="272"/>
      </w:pPr>
      <w:rPr>
        <w:rFonts w:hint="default"/>
        <w:lang w:val="en-US" w:eastAsia="en-US" w:bidi="ar-SA"/>
      </w:rPr>
    </w:lvl>
    <w:lvl w:ilvl="5" w:tplc="F8AA1B9C">
      <w:numFmt w:val="bullet"/>
      <w:lvlText w:val="•"/>
      <w:lvlJc w:val="left"/>
      <w:pPr>
        <w:ind w:left="3101" w:hanging="272"/>
      </w:pPr>
      <w:rPr>
        <w:rFonts w:hint="default"/>
        <w:lang w:val="en-US" w:eastAsia="en-US" w:bidi="ar-SA"/>
      </w:rPr>
    </w:lvl>
    <w:lvl w:ilvl="6" w:tplc="85FECE7E">
      <w:numFmt w:val="bullet"/>
      <w:lvlText w:val="•"/>
      <w:lvlJc w:val="left"/>
      <w:pPr>
        <w:ind w:left="3597" w:hanging="272"/>
      </w:pPr>
      <w:rPr>
        <w:rFonts w:hint="default"/>
        <w:lang w:val="en-US" w:eastAsia="en-US" w:bidi="ar-SA"/>
      </w:rPr>
    </w:lvl>
    <w:lvl w:ilvl="7" w:tplc="56D6D100">
      <w:numFmt w:val="bullet"/>
      <w:lvlText w:val="•"/>
      <w:lvlJc w:val="left"/>
      <w:pPr>
        <w:ind w:left="4093" w:hanging="272"/>
      </w:pPr>
      <w:rPr>
        <w:rFonts w:hint="default"/>
        <w:lang w:val="en-US" w:eastAsia="en-US" w:bidi="ar-SA"/>
      </w:rPr>
    </w:lvl>
    <w:lvl w:ilvl="8" w:tplc="6A1082EA">
      <w:numFmt w:val="bullet"/>
      <w:lvlText w:val="•"/>
      <w:lvlJc w:val="left"/>
      <w:pPr>
        <w:ind w:left="4589" w:hanging="272"/>
      </w:pPr>
      <w:rPr>
        <w:rFonts w:hint="default"/>
        <w:lang w:val="en-US" w:eastAsia="en-US" w:bidi="ar-SA"/>
      </w:rPr>
    </w:lvl>
  </w:abstractNum>
  <w:abstractNum w:abstractNumId="193" w15:restartNumberingAfterBreak="0">
    <w:nsid w:val="7BA11853"/>
    <w:multiLevelType w:val="hybridMultilevel"/>
    <w:tmpl w:val="95F680FA"/>
    <w:lvl w:ilvl="0" w:tplc="9B022564">
      <w:numFmt w:val="bullet"/>
      <w:lvlText w:val=""/>
      <w:lvlJc w:val="left"/>
      <w:pPr>
        <w:ind w:left="816" w:hanging="360"/>
      </w:pPr>
      <w:rPr>
        <w:rFonts w:ascii="Wingdings" w:eastAsia="Wingdings" w:hAnsi="Wingdings" w:cs="Wingdings" w:hint="default"/>
        <w:b w:val="0"/>
        <w:bCs w:val="0"/>
        <w:i w:val="0"/>
        <w:iCs w:val="0"/>
        <w:color w:val="0D0D0D"/>
        <w:spacing w:val="0"/>
        <w:w w:val="100"/>
        <w:sz w:val="24"/>
        <w:szCs w:val="24"/>
        <w:lang w:val="en-US" w:eastAsia="en-US" w:bidi="ar-SA"/>
      </w:rPr>
    </w:lvl>
    <w:lvl w:ilvl="1" w:tplc="C87CB8D4">
      <w:numFmt w:val="bullet"/>
      <w:lvlText w:val="•"/>
      <w:lvlJc w:val="left"/>
      <w:pPr>
        <w:ind w:left="1036" w:hanging="360"/>
      </w:pPr>
      <w:rPr>
        <w:rFonts w:hint="default"/>
        <w:lang w:val="en-US" w:eastAsia="en-US" w:bidi="ar-SA"/>
      </w:rPr>
    </w:lvl>
    <w:lvl w:ilvl="2" w:tplc="2B4EB39A">
      <w:numFmt w:val="bullet"/>
      <w:lvlText w:val="•"/>
      <w:lvlJc w:val="left"/>
      <w:pPr>
        <w:ind w:left="1252" w:hanging="360"/>
      </w:pPr>
      <w:rPr>
        <w:rFonts w:hint="default"/>
        <w:lang w:val="en-US" w:eastAsia="en-US" w:bidi="ar-SA"/>
      </w:rPr>
    </w:lvl>
    <w:lvl w:ilvl="3" w:tplc="8D964728">
      <w:numFmt w:val="bullet"/>
      <w:lvlText w:val="•"/>
      <w:lvlJc w:val="left"/>
      <w:pPr>
        <w:ind w:left="1469" w:hanging="360"/>
      </w:pPr>
      <w:rPr>
        <w:rFonts w:hint="default"/>
        <w:lang w:val="en-US" w:eastAsia="en-US" w:bidi="ar-SA"/>
      </w:rPr>
    </w:lvl>
    <w:lvl w:ilvl="4" w:tplc="3ABC9230">
      <w:numFmt w:val="bullet"/>
      <w:lvlText w:val="•"/>
      <w:lvlJc w:val="left"/>
      <w:pPr>
        <w:ind w:left="1685" w:hanging="360"/>
      </w:pPr>
      <w:rPr>
        <w:rFonts w:hint="default"/>
        <w:lang w:val="en-US" w:eastAsia="en-US" w:bidi="ar-SA"/>
      </w:rPr>
    </w:lvl>
    <w:lvl w:ilvl="5" w:tplc="E788D7EA">
      <w:numFmt w:val="bullet"/>
      <w:lvlText w:val="•"/>
      <w:lvlJc w:val="left"/>
      <w:pPr>
        <w:ind w:left="1901" w:hanging="360"/>
      </w:pPr>
      <w:rPr>
        <w:rFonts w:hint="default"/>
        <w:lang w:val="en-US" w:eastAsia="en-US" w:bidi="ar-SA"/>
      </w:rPr>
    </w:lvl>
    <w:lvl w:ilvl="6" w:tplc="D3F881A6">
      <w:numFmt w:val="bullet"/>
      <w:lvlText w:val="•"/>
      <w:lvlJc w:val="left"/>
      <w:pPr>
        <w:ind w:left="2118" w:hanging="360"/>
      </w:pPr>
      <w:rPr>
        <w:rFonts w:hint="default"/>
        <w:lang w:val="en-US" w:eastAsia="en-US" w:bidi="ar-SA"/>
      </w:rPr>
    </w:lvl>
    <w:lvl w:ilvl="7" w:tplc="4FACEBEE">
      <w:numFmt w:val="bullet"/>
      <w:lvlText w:val="•"/>
      <w:lvlJc w:val="left"/>
      <w:pPr>
        <w:ind w:left="2334" w:hanging="360"/>
      </w:pPr>
      <w:rPr>
        <w:rFonts w:hint="default"/>
        <w:lang w:val="en-US" w:eastAsia="en-US" w:bidi="ar-SA"/>
      </w:rPr>
    </w:lvl>
    <w:lvl w:ilvl="8" w:tplc="A91878F0">
      <w:numFmt w:val="bullet"/>
      <w:lvlText w:val="•"/>
      <w:lvlJc w:val="left"/>
      <w:pPr>
        <w:ind w:left="2550" w:hanging="360"/>
      </w:pPr>
      <w:rPr>
        <w:rFonts w:hint="default"/>
        <w:lang w:val="en-US" w:eastAsia="en-US" w:bidi="ar-SA"/>
      </w:rPr>
    </w:lvl>
  </w:abstractNum>
  <w:abstractNum w:abstractNumId="194" w15:restartNumberingAfterBreak="0">
    <w:nsid w:val="7BE42205"/>
    <w:multiLevelType w:val="multilevel"/>
    <w:tmpl w:val="8DDCC2F8"/>
    <w:lvl w:ilvl="0">
      <w:start w:val="1"/>
      <w:numFmt w:val="decimal"/>
      <w:lvlText w:val="%1."/>
      <w:lvlJc w:val="left"/>
      <w:pPr>
        <w:ind w:left="2043" w:hanging="360"/>
      </w:pPr>
      <w:rPr>
        <w:rFonts w:ascii="Arial" w:eastAsia="Arial" w:hAnsi="Arial" w:cs="Arial" w:hint="default"/>
        <w:b/>
        <w:bCs/>
        <w:i w:val="0"/>
        <w:iCs w:val="0"/>
        <w:spacing w:val="0"/>
        <w:w w:val="100"/>
        <w:sz w:val="24"/>
        <w:szCs w:val="24"/>
        <w:lang w:val="en-US" w:eastAsia="en-US" w:bidi="ar-SA"/>
      </w:rPr>
    </w:lvl>
    <w:lvl w:ilvl="1">
      <w:start w:val="1"/>
      <w:numFmt w:val="decimal"/>
      <w:lvlText w:val="%1.%2"/>
      <w:lvlJc w:val="left"/>
      <w:pPr>
        <w:ind w:left="2328" w:hanging="360"/>
      </w:pPr>
      <w:rPr>
        <w:rFonts w:ascii="Arial" w:eastAsia="Arial" w:hAnsi="Arial" w:cs="Arial" w:hint="default"/>
        <w:b w:val="0"/>
        <w:bCs w:val="0"/>
        <w:i w:val="0"/>
        <w:iCs w:val="0"/>
        <w:spacing w:val="0"/>
        <w:w w:val="100"/>
        <w:sz w:val="24"/>
        <w:szCs w:val="24"/>
        <w:lang w:val="en-US" w:eastAsia="en-US" w:bidi="ar-SA"/>
      </w:rPr>
    </w:lvl>
    <w:lvl w:ilvl="2">
      <w:start w:val="1"/>
      <w:numFmt w:val="decimal"/>
      <w:lvlText w:val="%1.%2.%3"/>
      <w:lvlJc w:val="left"/>
      <w:pPr>
        <w:ind w:left="2120" w:hanging="720"/>
      </w:pPr>
      <w:rPr>
        <w:rFonts w:ascii="Arial" w:eastAsia="Arial" w:hAnsi="Arial" w:cs="Arial" w:hint="default"/>
        <w:b w:val="0"/>
        <w:bCs w:val="0"/>
        <w:i w:val="0"/>
        <w:iCs w:val="0"/>
        <w:spacing w:val="-2"/>
        <w:w w:val="100"/>
        <w:sz w:val="24"/>
        <w:szCs w:val="24"/>
        <w:lang w:val="en-US" w:eastAsia="en-US" w:bidi="ar-SA"/>
      </w:rPr>
    </w:lvl>
    <w:lvl w:ilvl="3">
      <w:start w:val="1"/>
      <w:numFmt w:val="lowerLetter"/>
      <w:lvlText w:val="(%4)"/>
      <w:lvlJc w:val="left"/>
      <w:pPr>
        <w:ind w:left="4671" w:hanging="720"/>
      </w:pPr>
      <w:rPr>
        <w:rFonts w:ascii="Calibri" w:eastAsia="Calibri" w:hAnsi="Calibri" w:cs="Calibri" w:hint="default"/>
        <w:b w:val="0"/>
        <w:bCs w:val="0"/>
        <w:i w:val="0"/>
        <w:iCs w:val="0"/>
        <w:spacing w:val="-1"/>
        <w:w w:val="100"/>
        <w:sz w:val="24"/>
        <w:szCs w:val="24"/>
        <w:lang w:val="en-US" w:eastAsia="en-US" w:bidi="ar-SA"/>
      </w:rPr>
    </w:lvl>
    <w:lvl w:ilvl="4">
      <w:numFmt w:val="bullet"/>
      <w:lvlText w:val="•"/>
      <w:lvlJc w:val="left"/>
      <w:pPr>
        <w:ind w:left="5706" w:hanging="720"/>
      </w:pPr>
      <w:rPr>
        <w:rFonts w:hint="default"/>
        <w:lang w:val="en-US" w:eastAsia="en-US" w:bidi="ar-SA"/>
      </w:rPr>
    </w:lvl>
    <w:lvl w:ilvl="5">
      <w:numFmt w:val="bullet"/>
      <w:lvlText w:val="•"/>
      <w:lvlJc w:val="left"/>
      <w:pPr>
        <w:ind w:left="6733" w:hanging="720"/>
      </w:pPr>
      <w:rPr>
        <w:rFonts w:hint="default"/>
        <w:lang w:val="en-US" w:eastAsia="en-US" w:bidi="ar-SA"/>
      </w:rPr>
    </w:lvl>
    <w:lvl w:ilvl="6">
      <w:numFmt w:val="bullet"/>
      <w:lvlText w:val="•"/>
      <w:lvlJc w:val="left"/>
      <w:pPr>
        <w:ind w:left="7759" w:hanging="720"/>
      </w:pPr>
      <w:rPr>
        <w:rFonts w:hint="default"/>
        <w:lang w:val="en-US" w:eastAsia="en-US" w:bidi="ar-SA"/>
      </w:rPr>
    </w:lvl>
    <w:lvl w:ilvl="7">
      <w:numFmt w:val="bullet"/>
      <w:lvlText w:val="•"/>
      <w:lvlJc w:val="left"/>
      <w:pPr>
        <w:ind w:left="8786" w:hanging="720"/>
      </w:pPr>
      <w:rPr>
        <w:rFonts w:hint="default"/>
        <w:lang w:val="en-US" w:eastAsia="en-US" w:bidi="ar-SA"/>
      </w:rPr>
    </w:lvl>
    <w:lvl w:ilvl="8">
      <w:numFmt w:val="bullet"/>
      <w:lvlText w:val="•"/>
      <w:lvlJc w:val="left"/>
      <w:pPr>
        <w:ind w:left="9813" w:hanging="720"/>
      </w:pPr>
      <w:rPr>
        <w:rFonts w:hint="default"/>
        <w:lang w:val="en-US" w:eastAsia="en-US" w:bidi="ar-SA"/>
      </w:rPr>
    </w:lvl>
  </w:abstractNum>
  <w:abstractNum w:abstractNumId="195" w15:restartNumberingAfterBreak="0">
    <w:nsid w:val="7C9B1471"/>
    <w:multiLevelType w:val="hybridMultilevel"/>
    <w:tmpl w:val="D21C2050"/>
    <w:lvl w:ilvl="0" w:tplc="0E38C4CC">
      <w:numFmt w:val="bullet"/>
      <w:lvlText w:val=""/>
      <w:lvlJc w:val="left"/>
      <w:pPr>
        <w:ind w:left="812" w:hanging="360"/>
      </w:pPr>
      <w:rPr>
        <w:rFonts w:ascii="Wingdings" w:eastAsia="Wingdings" w:hAnsi="Wingdings" w:cs="Wingdings" w:hint="default"/>
        <w:b w:val="0"/>
        <w:bCs w:val="0"/>
        <w:i w:val="0"/>
        <w:iCs w:val="0"/>
        <w:color w:val="0D0D0D"/>
        <w:spacing w:val="0"/>
        <w:w w:val="100"/>
        <w:sz w:val="24"/>
        <w:szCs w:val="24"/>
        <w:lang w:val="en-US" w:eastAsia="en-US" w:bidi="ar-SA"/>
      </w:rPr>
    </w:lvl>
    <w:lvl w:ilvl="1" w:tplc="51163120">
      <w:numFmt w:val="bullet"/>
      <w:lvlText w:val="•"/>
      <w:lvlJc w:val="left"/>
      <w:pPr>
        <w:ind w:left="1035" w:hanging="360"/>
      </w:pPr>
      <w:rPr>
        <w:rFonts w:hint="default"/>
        <w:lang w:val="en-US" w:eastAsia="en-US" w:bidi="ar-SA"/>
      </w:rPr>
    </w:lvl>
    <w:lvl w:ilvl="2" w:tplc="EE806D2C">
      <w:numFmt w:val="bullet"/>
      <w:lvlText w:val="•"/>
      <w:lvlJc w:val="left"/>
      <w:pPr>
        <w:ind w:left="1251" w:hanging="360"/>
      </w:pPr>
      <w:rPr>
        <w:rFonts w:hint="default"/>
        <w:lang w:val="en-US" w:eastAsia="en-US" w:bidi="ar-SA"/>
      </w:rPr>
    </w:lvl>
    <w:lvl w:ilvl="3" w:tplc="AF668262">
      <w:numFmt w:val="bullet"/>
      <w:lvlText w:val="•"/>
      <w:lvlJc w:val="left"/>
      <w:pPr>
        <w:ind w:left="1467" w:hanging="360"/>
      </w:pPr>
      <w:rPr>
        <w:rFonts w:hint="default"/>
        <w:lang w:val="en-US" w:eastAsia="en-US" w:bidi="ar-SA"/>
      </w:rPr>
    </w:lvl>
    <w:lvl w:ilvl="4" w:tplc="818EB022">
      <w:numFmt w:val="bullet"/>
      <w:lvlText w:val="•"/>
      <w:lvlJc w:val="left"/>
      <w:pPr>
        <w:ind w:left="1683" w:hanging="360"/>
      </w:pPr>
      <w:rPr>
        <w:rFonts w:hint="default"/>
        <w:lang w:val="en-US" w:eastAsia="en-US" w:bidi="ar-SA"/>
      </w:rPr>
    </w:lvl>
    <w:lvl w:ilvl="5" w:tplc="A5F67398">
      <w:numFmt w:val="bullet"/>
      <w:lvlText w:val="•"/>
      <w:lvlJc w:val="left"/>
      <w:pPr>
        <w:ind w:left="1899" w:hanging="360"/>
      </w:pPr>
      <w:rPr>
        <w:rFonts w:hint="default"/>
        <w:lang w:val="en-US" w:eastAsia="en-US" w:bidi="ar-SA"/>
      </w:rPr>
    </w:lvl>
    <w:lvl w:ilvl="6" w:tplc="0972C07E">
      <w:numFmt w:val="bullet"/>
      <w:lvlText w:val="•"/>
      <w:lvlJc w:val="left"/>
      <w:pPr>
        <w:ind w:left="2115" w:hanging="360"/>
      </w:pPr>
      <w:rPr>
        <w:rFonts w:hint="default"/>
        <w:lang w:val="en-US" w:eastAsia="en-US" w:bidi="ar-SA"/>
      </w:rPr>
    </w:lvl>
    <w:lvl w:ilvl="7" w:tplc="322A013E">
      <w:numFmt w:val="bullet"/>
      <w:lvlText w:val="•"/>
      <w:lvlJc w:val="left"/>
      <w:pPr>
        <w:ind w:left="2331" w:hanging="360"/>
      </w:pPr>
      <w:rPr>
        <w:rFonts w:hint="default"/>
        <w:lang w:val="en-US" w:eastAsia="en-US" w:bidi="ar-SA"/>
      </w:rPr>
    </w:lvl>
    <w:lvl w:ilvl="8" w:tplc="F8B281F6">
      <w:numFmt w:val="bullet"/>
      <w:lvlText w:val="•"/>
      <w:lvlJc w:val="left"/>
      <w:pPr>
        <w:ind w:left="2547" w:hanging="360"/>
      </w:pPr>
      <w:rPr>
        <w:rFonts w:hint="default"/>
        <w:lang w:val="en-US" w:eastAsia="en-US" w:bidi="ar-SA"/>
      </w:rPr>
    </w:lvl>
  </w:abstractNum>
  <w:abstractNum w:abstractNumId="196" w15:restartNumberingAfterBreak="0">
    <w:nsid w:val="7CB85FAE"/>
    <w:multiLevelType w:val="hybridMultilevel"/>
    <w:tmpl w:val="A30C7B5A"/>
    <w:lvl w:ilvl="0" w:tplc="A5B48D18">
      <w:start w:val="1"/>
      <w:numFmt w:val="lowerLetter"/>
      <w:lvlText w:val="(%1)"/>
      <w:lvlJc w:val="left"/>
      <w:pPr>
        <w:ind w:left="1454" w:hanging="720"/>
        <w:jc w:val="right"/>
      </w:pPr>
      <w:rPr>
        <w:rFonts w:ascii="Arial" w:eastAsia="Arial" w:hAnsi="Arial" w:cs="Arial" w:hint="default"/>
        <w:b w:val="0"/>
        <w:bCs w:val="0"/>
        <w:i w:val="0"/>
        <w:iCs w:val="0"/>
        <w:spacing w:val="-1"/>
        <w:w w:val="100"/>
        <w:sz w:val="24"/>
        <w:szCs w:val="24"/>
        <w:lang w:val="en-US" w:eastAsia="en-US" w:bidi="ar-SA"/>
      </w:rPr>
    </w:lvl>
    <w:lvl w:ilvl="1" w:tplc="6CF6BAFE">
      <w:numFmt w:val="bullet"/>
      <w:lvlText w:val="•"/>
      <w:lvlJc w:val="left"/>
      <w:pPr>
        <w:ind w:left="2142" w:hanging="720"/>
      </w:pPr>
      <w:rPr>
        <w:rFonts w:hint="default"/>
        <w:lang w:val="en-US" w:eastAsia="en-US" w:bidi="ar-SA"/>
      </w:rPr>
    </w:lvl>
    <w:lvl w:ilvl="2" w:tplc="5B74DA4C">
      <w:numFmt w:val="bullet"/>
      <w:lvlText w:val="•"/>
      <w:lvlJc w:val="left"/>
      <w:pPr>
        <w:ind w:left="2825" w:hanging="720"/>
      </w:pPr>
      <w:rPr>
        <w:rFonts w:hint="default"/>
        <w:lang w:val="en-US" w:eastAsia="en-US" w:bidi="ar-SA"/>
      </w:rPr>
    </w:lvl>
    <w:lvl w:ilvl="3" w:tplc="4F445EC6">
      <w:numFmt w:val="bullet"/>
      <w:lvlText w:val="•"/>
      <w:lvlJc w:val="left"/>
      <w:pPr>
        <w:ind w:left="3507" w:hanging="720"/>
      </w:pPr>
      <w:rPr>
        <w:rFonts w:hint="default"/>
        <w:lang w:val="en-US" w:eastAsia="en-US" w:bidi="ar-SA"/>
      </w:rPr>
    </w:lvl>
    <w:lvl w:ilvl="4" w:tplc="439AC280">
      <w:numFmt w:val="bullet"/>
      <w:lvlText w:val="•"/>
      <w:lvlJc w:val="left"/>
      <w:pPr>
        <w:ind w:left="4190" w:hanging="720"/>
      </w:pPr>
      <w:rPr>
        <w:rFonts w:hint="default"/>
        <w:lang w:val="en-US" w:eastAsia="en-US" w:bidi="ar-SA"/>
      </w:rPr>
    </w:lvl>
    <w:lvl w:ilvl="5" w:tplc="2CECE736">
      <w:numFmt w:val="bullet"/>
      <w:lvlText w:val="•"/>
      <w:lvlJc w:val="left"/>
      <w:pPr>
        <w:ind w:left="4872" w:hanging="720"/>
      </w:pPr>
      <w:rPr>
        <w:rFonts w:hint="default"/>
        <w:lang w:val="en-US" w:eastAsia="en-US" w:bidi="ar-SA"/>
      </w:rPr>
    </w:lvl>
    <w:lvl w:ilvl="6" w:tplc="926A6104">
      <w:numFmt w:val="bullet"/>
      <w:lvlText w:val="•"/>
      <w:lvlJc w:val="left"/>
      <w:pPr>
        <w:ind w:left="5555" w:hanging="720"/>
      </w:pPr>
      <w:rPr>
        <w:rFonts w:hint="default"/>
        <w:lang w:val="en-US" w:eastAsia="en-US" w:bidi="ar-SA"/>
      </w:rPr>
    </w:lvl>
    <w:lvl w:ilvl="7" w:tplc="2DACAB4A">
      <w:numFmt w:val="bullet"/>
      <w:lvlText w:val="•"/>
      <w:lvlJc w:val="left"/>
      <w:pPr>
        <w:ind w:left="6237" w:hanging="720"/>
      </w:pPr>
      <w:rPr>
        <w:rFonts w:hint="default"/>
        <w:lang w:val="en-US" w:eastAsia="en-US" w:bidi="ar-SA"/>
      </w:rPr>
    </w:lvl>
    <w:lvl w:ilvl="8" w:tplc="D0EA4454">
      <w:numFmt w:val="bullet"/>
      <w:lvlText w:val="•"/>
      <w:lvlJc w:val="left"/>
      <w:pPr>
        <w:ind w:left="6920" w:hanging="720"/>
      </w:pPr>
      <w:rPr>
        <w:rFonts w:hint="default"/>
        <w:lang w:val="en-US" w:eastAsia="en-US" w:bidi="ar-SA"/>
      </w:rPr>
    </w:lvl>
  </w:abstractNum>
  <w:abstractNum w:abstractNumId="197" w15:restartNumberingAfterBreak="0">
    <w:nsid w:val="7DF56283"/>
    <w:multiLevelType w:val="hybridMultilevel"/>
    <w:tmpl w:val="F7701342"/>
    <w:lvl w:ilvl="0" w:tplc="08090001">
      <w:start w:val="1"/>
      <w:numFmt w:val="bullet"/>
      <w:lvlText w:val=""/>
      <w:lvlJc w:val="left"/>
      <w:pPr>
        <w:ind w:left="830" w:hanging="360"/>
      </w:pPr>
      <w:rPr>
        <w:rFonts w:ascii="Symbol" w:hAnsi="Symbol" w:hint="default"/>
      </w:rPr>
    </w:lvl>
    <w:lvl w:ilvl="1" w:tplc="08090003" w:tentative="1">
      <w:start w:val="1"/>
      <w:numFmt w:val="bullet"/>
      <w:lvlText w:val="o"/>
      <w:lvlJc w:val="left"/>
      <w:pPr>
        <w:ind w:left="1550" w:hanging="360"/>
      </w:pPr>
      <w:rPr>
        <w:rFonts w:ascii="Courier New" w:hAnsi="Courier New" w:cs="Courier New" w:hint="default"/>
      </w:rPr>
    </w:lvl>
    <w:lvl w:ilvl="2" w:tplc="08090005" w:tentative="1">
      <w:start w:val="1"/>
      <w:numFmt w:val="bullet"/>
      <w:lvlText w:val=""/>
      <w:lvlJc w:val="left"/>
      <w:pPr>
        <w:ind w:left="2270" w:hanging="360"/>
      </w:pPr>
      <w:rPr>
        <w:rFonts w:ascii="Wingdings" w:hAnsi="Wingdings" w:hint="default"/>
      </w:rPr>
    </w:lvl>
    <w:lvl w:ilvl="3" w:tplc="08090001" w:tentative="1">
      <w:start w:val="1"/>
      <w:numFmt w:val="bullet"/>
      <w:lvlText w:val=""/>
      <w:lvlJc w:val="left"/>
      <w:pPr>
        <w:ind w:left="2990" w:hanging="360"/>
      </w:pPr>
      <w:rPr>
        <w:rFonts w:ascii="Symbol" w:hAnsi="Symbol" w:hint="default"/>
      </w:rPr>
    </w:lvl>
    <w:lvl w:ilvl="4" w:tplc="08090003" w:tentative="1">
      <w:start w:val="1"/>
      <w:numFmt w:val="bullet"/>
      <w:lvlText w:val="o"/>
      <w:lvlJc w:val="left"/>
      <w:pPr>
        <w:ind w:left="3710" w:hanging="360"/>
      </w:pPr>
      <w:rPr>
        <w:rFonts w:ascii="Courier New" w:hAnsi="Courier New" w:cs="Courier New" w:hint="default"/>
      </w:rPr>
    </w:lvl>
    <w:lvl w:ilvl="5" w:tplc="08090005" w:tentative="1">
      <w:start w:val="1"/>
      <w:numFmt w:val="bullet"/>
      <w:lvlText w:val=""/>
      <w:lvlJc w:val="left"/>
      <w:pPr>
        <w:ind w:left="4430" w:hanging="360"/>
      </w:pPr>
      <w:rPr>
        <w:rFonts w:ascii="Wingdings" w:hAnsi="Wingdings" w:hint="default"/>
      </w:rPr>
    </w:lvl>
    <w:lvl w:ilvl="6" w:tplc="08090001" w:tentative="1">
      <w:start w:val="1"/>
      <w:numFmt w:val="bullet"/>
      <w:lvlText w:val=""/>
      <w:lvlJc w:val="left"/>
      <w:pPr>
        <w:ind w:left="5150" w:hanging="360"/>
      </w:pPr>
      <w:rPr>
        <w:rFonts w:ascii="Symbol" w:hAnsi="Symbol" w:hint="default"/>
      </w:rPr>
    </w:lvl>
    <w:lvl w:ilvl="7" w:tplc="08090003" w:tentative="1">
      <w:start w:val="1"/>
      <w:numFmt w:val="bullet"/>
      <w:lvlText w:val="o"/>
      <w:lvlJc w:val="left"/>
      <w:pPr>
        <w:ind w:left="5870" w:hanging="360"/>
      </w:pPr>
      <w:rPr>
        <w:rFonts w:ascii="Courier New" w:hAnsi="Courier New" w:cs="Courier New" w:hint="default"/>
      </w:rPr>
    </w:lvl>
    <w:lvl w:ilvl="8" w:tplc="08090005" w:tentative="1">
      <w:start w:val="1"/>
      <w:numFmt w:val="bullet"/>
      <w:lvlText w:val=""/>
      <w:lvlJc w:val="left"/>
      <w:pPr>
        <w:ind w:left="6590" w:hanging="360"/>
      </w:pPr>
      <w:rPr>
        <w:rFonts w:ascii="Wingdings" w:hAnsi="Wingdings" w:hint="default"/>
      </w:rPr>
    </w:lvl>
  </w:abstractNum>
  <w:abstractNum w:abstractNumId="198" w15:restartNumberingAfterBreak="0">
    <w:nsid w:val="7E48738C"/>
    <w:multiLevelType w:val="hybridMultilevel"/>
    <w:tmpl w:val="1F18385C"/>
    <w:lvl w:ilvl="0" w:tplc="8AD699AE">
      <w:start w:val="1"/>
      <w:numFmt w:val="lowerLetter"/>
      <w:lvlText w:val="(%1)"/>
      <w:lvlJc w:val="left"/>
      <w:pPr>
        <w:ind w:left="1494" w:hanging="428"/>
      </w:pPr>
      <w:rPr>
        <w:rFonts w:ascii="Calibri" w:eastAsia="Calibri" w:hAnsi="Calibri" w:cs="Calibri" w:hint="default"/>
        <w:b w:val="0"/>
        <w:bCs w:val="0"/>
        <w:i w:val="0"/>
        <w:iCs w:val="0"/>
        <w:spacing w:val="-1"/>
        <w:w w:val="100"/>
        <w:sz w:val="24"/>
        <w:szCs w:val="24"/>
        <w:lang w:val="en-US" w:eastAsia="en-US" w:bidi="ar-SA"/>
      </w:rPr>
    </w:lvl>
    <w:lvl w:ilvl="1" w:tplc="43EC0272">
      <w:numFmt w:val="bullet"/>
      <w:lvlText w:val="•"/>
      <w:lvlJc w:val="left"/>
      <w:pPr>
        <w:ind w:left="2536" w:hanging="428"/>
      </w:pPr>
      <w:rPr>
        <w:rFonts w:hint="default"/>
        <w:lang w:val="en-US" w:eastAsia="en-US" w:bidi="ar-SA"/>
      </w:rPr>
    </w:lvl>
    <w:lvl w:ilvl="2" w:tplc="384632E6">
      <w:numFmt w:val="bullet"/>
      <w:lvlText w:val="•"/>
      <w:lvlJc w:val="left"/>
      <w:pPr>
        <w:ind w:left="3573" w:hanging="428"/>
      </w:pPr>
      <w:rPr>
        <w:rFonts w:hint="default"/>
        <w:lang w:val="en-US" w:eastAsia="en-US" w:bidi="ar-SA"/>
      </w:rPr>
    </w:lvl>
    <w:lvl w:ilvl="3" w:tplc="02ACC210">
      <w:numFmt w:val="bullet"/>
      <w:lvlText w:val="•"/>
      <w:lvlJc w:val="left"/>
      <w:pPr>
        <w:ind w:left="4609" w:hanging="428"/>
      </w:pPr>
      <w:rPr>
        <w:rFonts w:hint="default"/>
        <w:lang w:val="en-US" w:eastAsia="en-US" w:bidi="ar-SA"/>
      </w:rPr>
    </w:lvl>
    <w:lvl w:ilvl="4" w:tplc="993E4DEE">
      <w:numFmt w:val="bullet"/>
      <w:lvlText w:val="•"/>
      <w:lvlJc w:val="left"/>
      <w:pPr>
        <w:ind w:left="5646" w:hanging="428"/>
      </w:pPr>
      <w:rPr>
        <w:rFonts w:hint="default"/>
        <w:lang w:val="en-US" w:eastAsia="en-US" w:bidi="ar-SA"/>
      </w:rPr>
    </w:lvl>
    <w:lvl w:ilvl="5" w:tplc="F4343600">
      <w:numFmt w:val="bullet"/>
      <w:lvlText w:val="•"/>
      <w:lvlJc w:val="left"/>
      <w:pPr>
        <w:ind w:left="6683" w:hanging="428"/>
      </w:pPr>
      <w:rPr>
        <w:rFonts w:hint="default"/>
        <w:lang w:val="en-US" w:eastAsia="en-US" w:bidi="ar-SA"/>
      </w:rPr>
    </w:lvl>
    <w:lvl w:ilvl="6" w:tplc="1D801E84">
      <w:numFmt w:val="bullet"/>
      <w:lvlText w:val="•"/>
      <w:lvlJc w:val="left"/>
      <w:pPr>
        <w:ind w:left="7719" w:hanging="428"/>
      </w:pPr>
      <w:rPr>
        <w:rFonts w:hint="default"/>
        <w:lang w:val="en-US" w:eastAsia="en-US" w:bidi="ar-SA"/>
      </w:rPr>
    </w:lvl>
    <w:lvl w:ilvl="7" w:tplc="2064F2F0">
      <w:numFmt w:val="bullet"/>
      <w:lvlText w:val="•"/>
      <w:lvlJc w:val="left"/>
      <w:pPr>
        <w:ind w:left="8756" w:hanging="428"/>
      </w:pPr>
      <w:rPr>
        <w:rFonts w:hint="default"/>
        <w:lang w:val="en-US" w:eastAsia="en-US" w:bidi="ar-SA"/>
      </w:rPr>
    </w:lvl>
    <w:lvl w:ilvl="8" w:tplc="9F0C1758">
      <w:numFmt w:val="bullet"/>
      <w:lvlText w:val="•"/>
      <w:lvlJc w:val="left"/>
      <w:pPr>
        <w:ind w:left="9793" w:hanging="428"/>
      </w:pPr>
      <w:rPr>
        <w:rFonts w:hint="default"/>
        <w:lang w:val="en-US" w:eastAsia="en-US" w:bidi="ar-SA"/>
      </w:rPr>
    </w:lvl>
  </w:abstractNum>
  <w:num w:numId="1" w16cid:durableId="105737005">
    <w:abstractNumId w:val="83"/>
  </w:num>
  <w:num w:numId="2" w16cid:durableId="1788281700">
    <w:abstractNumId w:val="108"/>
  </w:num>
  <w:num w:numId="3" w16cid:durableId="1089351396">
    <w:abstractNumId w:val="144"/>
  </w:num>
  <w:num w:numId="4" w16cid:durableId="1053389381">
    <w:abstractNumId w:val="44"/>
  </w:num>
  <w:num w:numId="5" w16cid:durableId="1193228111">
    <w:abstractNumId w:val="179"/>
  </w:num>
  <w:num w:numId="6" w16cid:durableId="1629699694">
    <w:abstractNumId w:val="29"/>
  </w:num>
  <w:num w:numId="7" w16cid:durableId="1116558698">
    <w:abstractNumId w:val="65"/>
  </w:num>
  <w:num w:numId="8" w16cid:durableId="1695232455">
    <w:abstractNumId w:val="91"/>
  </w:num>
  <w:num w:numId="9" w16cid:durableId="897667973">
    <w:abstractNumId w:val="88"/>
  </w:num>
  <w:num w:numId="10" w16cid:durableId="487786749">
    <w:abstractNumId w:val="170"/>
  </w:num>
  <w:num w:numId="11" w16cid:durableId="136185097">
    <w:abstractNumId w:val="149"/>
  </w:num>
  <w:num w:numId="12" w16cid:durableId="411925508">
    <w:abstractNumId w:val="182"/>
  </w:num>
  <w:num w:numId="13" w16cid:durableId="437212765">
    <w:abstractNumId w:val="185"/>
  </w:num>
  <w:num w:numId="14" w16cid:durableId="792944677">
    <w:abstractNumId w:val="129"/>
  </w:num>
  <w:num w:numId="15" w16cid:durableId="1570190805">
    <w:abstractNumId w:val="16"/>
  </w:num>
  <w:num w:numId="16" w16cid:durableId="1423721699">
    <w:abstractNumId w:val="68"/>
  </w:num>
  <w:num w:numId="17" w16cid:durableId="1812281664">
    <w:abstractNumId w:val="2"/>
  </w:num>
  <w:num w:numId="18" w16cid:durableId="186723591">
    <w:abstractNumId w:val="126"/>
  </w:num>
  <w:num w:numId="19" w16cid:durableId="1292899868">
    <w:abstractNumId w:val="123"/>
  </w:num>
  <w:num w:numId="20" w16cid:durableId="1735198147">
    <w:abstractNumId w:val="190"/>
  </w:num>
  <w:num w:numId="21" w16cid:durableId="485587089">
    <w:abstractNumId w:val="115"/>
  </w:num>
  <w:num w:numId="22" w16cid:durableId="330524545">
    <w:abstractNumId w:val="132"/>
  </w:num>
  <w:num w:numId="23" w16cid:durableId="1413315341">
    <w:abstractNumId w:val="114"/>
  </w:num>
  <w:num w:numId="24" w16cid:durableId="45568160">
    <w:abstractNumId w:val="45"/>
  </w:num>
  <w:num w:numId="25" w16cid:durableId="1075935792">
    <w:abstractNumId w:val="11"/>
  </w:num>
  <w:num w:numId="26" w16cid:durableId="1676300180">
    <w:abstractNumId w:val="95"/>
  </w:num>
  <w:num w:numId="27" w16cid:durableId="26221923">
    <w:abstractNumId w:val="103"/>
  </w:num>
  <w:num w:numId="28" w16cid:durableId="419719384">
    <w:abstractNumId w:val="10"/>
  </w:num>
  <w:num w:numId="29" w16cid:durableId="162478386">
    <w:abstractNumId w:val="84"/>
  </w:num>
  <w:num w:numId="30" w16cid:durableId="1074737106">
    <w:abstractNumId w:val="97"/>
  </w:num>
  <w:num w:numId="31" w16cid:durableId="1752701771">
    <w:abstractNumId w:val="135"/>
  </w:num>
  <w:num w:numId="32" w16cid:durableId="21130745">
    <w:abstractNumId w:val="26"/>
  </w:num>
  <w:num w:numId="33" w16cid:durableId="123741865">
    <w:abstractNumId w:val="112"/>
  </w:num>
  <w:num w:numId="34" w16cid:durableId="882210156">
    <w:abstractNumId w:val="43"/>
  </w:num>
  <w:num w:numId="35" w16cid:durableId="1047340415">
    <w:abstractNumId w:val="67"/>
  </w:num>
  <w:num w:numId="36" w16cid:durableId="560865496">
    <w:abstractNumId w:val="55"/>
  </w:num>
  <w:num w:numId="37" w16cid:durableId="1397045292">
    <w:abstractNumId w:val="168"/>
  </w:num>
  <w:num w:numId="38" w16cid:durableId="1200899390">
    <w:abstractNumId w:val="23"/>
  </w:num>
  <w:num w:numId="39" w16cid:durableId="1944414490">
    <w:abstractNumId w:val="194"/>
  </w:num>
  <w:num w:numId="40" w16cid:durableId="223029708">
    <w:abstractNumId w:val="25"/>
  </w:num>
  <w:num w:numId="41" w16cid:durableId="1626885755">
    <w:abstractNumId w:val="127"/>
  </w:num>
  <w:num w:numId="42" w16cid:durableId="1681925708">
    <w:abstractNumId w:val="181"/>
  </w:num>
  <w:num w:numId="43" w16cid:durableId="1631548943">
    <w:abstractNumId w:val="150"/>
  </w:num>
  <w:num w:numId="44" w16cid:durableId="551964681">
    <w:abstractNumId w:val="90"/>
  </w:num>
  <w:num w:numId="45" w16cid:durableId="751463560">
    <w:abstractNumId w:val="163"/>
  </w:num>
  <w:num w:numId="46" w16cid:durableId="130949841">
    <w:abstractNumId w:val="148"/>
  </w:num>
  <w:num w:numId="47" w16cid:durableId="762842283">
    <w:abstractNumId w:val="101"/>
  </w:num>
  <w:num w:numId="48" w16cid:durableId="1347903621">
    <w:abstractNumId w:val="8"/>
  </w:num>
  <w:num w:numId="49" w16cid:durableId="23096426">
    <w:abstractNumId w:val="122"/>
  </w:num>
  <w:num w:numId="50" w16cid:durableId="644118450">
    <w:abstractNumId w:val="183"/>
  </w:num>
  <w:num w:numId="51" w16cid:durableId="817653531">
    <w:abstractNumId w:val="147"/>
  </w:num>
  <w:num w:numId="52" w16cid:durableId="1491750701">
    <w:abstractNumId w:val="50"/>
  </w:num>
  <w:num w:numId="53" w16cid:durableId="990257319">
    <w:abstractNumId w:val="187"/>
  </w:num>
  <w:num w:numId="54" w16cid:durableId="1373306941">
    <w:abstractNumId w:val="166"/>
  </w:num>
  <w:num w:numId="55" w16cid:durableId="1975064021">
    <w:abstractNumId w:val="92"/>
  </w:num>
  <w:num w:numId="56" w16cid:durableId="618339769">
    <w:abstractNumId w:val="56"/>
  </w:num>
  <w:num w:numId="57" w16cid:durableId="142695355">
    <w:abstractNumId w:val="151"/>
  </w:num>
  <w:num w:numId="58" w16cid:durableId="833766524">
    <w:abstractNumId w:val="46"/>
  </w:num>
  <w:num w:numId="59" w16cid:durableId="818838161">
    <w:abstractNumId w:val="77"/>
  </w:num>
  <w:num w:numId="60" w16cid:durableId="105856534">
    <w:abstractNumId w:val="167"/>
  </w:num>
  <w:num w:numId="61" w16cid:durableId="1242104467">
    <w:abstractNumId w:val="27"/>
  </w:num>
  <w:num w:numId="62" w16cid:durableId="1644626243">
    <w:abstractNumId w:val="80"/>
  </w:num>
  <w:num w:numId="63" w16cid:durableId="1692142185">
    <w:abstractNumId w:val="30"/>
  </w:num>
  <w:num w:numId="64" w16cid:durableId="1248921344">
    <w:abstractNumId w:val="106"/>
  </w:num>
  <w:num w:numId="65" w16cid:durableId="1236624777">
    <w:abstractNumId w:val="154"/>
  </w:num>
  <w:num w:numId="66" w16cid:durableId="1198740715">
    <w:abstractNumId w:val="71"/>
  </w:num>
  <w:num w:numId="67" w16cid:durableId="1350567437">
    <w:abstractNumId w:val="53"/>
  </w:num>
  <w:num w:numId="68" w16cid:durableId="751009258">
    <w:abstractNumId w:val="40"/>
  </w:num>
  <w:num w:numId="69" w16cid:durableId="1235705507">
    <w:abstractNumId w:val="153"/>
  </w:num>
  <w:num w:numId="70" w16cid:durableId="498892558">
    <w:abstractNumId w:val="178"/>
  </w:num>
  <w:num w:numId="71" w16cid:durableId="239995034">
    <w:abstractNumId w:val="35"/>
  </w:num>
  <w:num w:numId="72" w16cid:durableId="1110588259">
    <w:abstractNumId w:val="102"/>
  </w:num>
  <w:num w:numId="73" w16cid:durableId="63844656">
    <w:abstractNumId w:val="195"/>
  </w:num>
  <w:num w:numId="74" w16cid:durableId="14620005">
    <w:abstractNumId w:val="145"/>
  </w:num>
  <w:num w:numId="75" w16cid:durableId="905264328">
    <w:abstractNumId w:val="164"/>
  </w:num>
  <w:num w:numId="76" w16cid:durableId="1642996852">
    <w:abstractNumId w:val="143"/>
  </w:num>
  <w:num w:numId="77" w16cid:durableId="1730300654">
    <w:abstractNumId w:val="0"/>
  </w:num>
  <w:num w:numId="78" w16cid:durableId="6030180">
    <w:abstractNumId w:val="171"/>
  </w:num>
  <w:num w:numId="79" w16cid:durableId="830029038">
    <w:abstractNumId w:val="193"/>
  </w:num>
  <w:num w:numId="80" w16cid:durableId="2089308006">
    <w:abstractNumId w:val="138"/>
  </w:num>
  <w:num w:numId="81" w16cid:durableId="1808007776">
    <w:abstractNumId w:val="140"/>
  </w:num>
  <w:num w:numId="82" w16cid:durableId="1914470130">
    <w:abstractNumId w:val="146"/>
  </w:num>
  <w:num w:numId="83" w16cid:durableId="1115826840">
    <w:abstractNumId w:val="13"/>
  </w:num>
  <w:num w:numId="84" w16cid:durableId="1425879660">
    <w:abstractNumId w:val="124"/>
  </w:num>
  <w:num w:numId="85" w16cid:durableId="427776687">
    <w:abstractNumId w:val="4"/>
  </w:num>
  <w:num w:numId="86" w16cid:durableId="1472793575">
    <w:abstractNumId w:val="24"/>
  </w:num>
  <w:num w:numId="87" w16cid:durableId="106631453">
    <w:abstractNumId w:val="57"/>
  </w:num>
  <w:num w:numId="88" w16cid:durableId="1809204575">
    <w:abstractNumId w:val="196"/>
  </w:num>
  <w:num w:numId="89" w16cid:durableId="862086057">
    <w:abstractNumId w:val="188"/>
  </w:num>
  <w:num w:numId="90" w16cid:durableId="2069913930">
    <w:abstractNumId w:val="100"/>
  </w:num>
  <w:num w:numId="91" w16cid:durableId="1684697876">
    <w:abstractNumId w:val="42"/>
  </w:num>
  <w:num w:numId="92" w16cid:durableId="329528409">
    <w:abstractNumId w:val="160"/>
  </w:num>
  <w:num w:numId="93" w16cid:durableId="1630669203">
    <w:abstractNumId w:val="158"/>
  </w:num>
  <w:num w:numId="94" w16cid:durableId="1092970815">
    <w:abstractNumId w:val="9"/>
  </w:num>
  <w:num w:numId="95" w16cid:durableId="1019163364">
    <w:abstractNumId w:val="116"/>
  </w:num>
  <w:num w:numId="96" w16cid:durableId="475561915">
    <w:abstractNumId w:val="165"/>
  </w:num>
  <w:num w:numId="97" w16cid:durableId="1268662755">
    <w:abstractNumId w:val="76"/>
  </w:num>
  <w:num w:numId="98" w16cid:durableId="502399271">
    <w:abstractNumId w:val="47"/>
  </w:num>
  <w:num w:numId="99" w16cid:durableId="1384019246">
    <w:abstractNumId w:val="155"/>
  </w:num>
  <w:num w:numId="100" w16cid:durableId="1696299694">
    <w:abstractNumId w:val="87"/>
  </w:num>
  <w:num w:numId="101" w16cid:durableId="706948711">
    <w:abstractNumId w:val="113"/>
  </w:num>
  <w:num w:numId="102" w16cid:durableId="897975684">
    <w:abstractNumId w:val="157"/>
  </w:num>
  <w:num w:numId="103" w16cid:durableId="1114860525">
    <w:abstractNumId w:val="118"/>
  </w:num>
  <w:num w:numId="104" w16cid:durableId="104346313">
    <w:abstractNumId w:val="105"/>
  </w:num>
  <w:num w:numId="105" w16cid:durableId="1973318614">
    <w:abstractNumId w:val="34"/>
  </w:num>
  <w:num w:numId="106" w16cid:durableId="334263993">
    <w:abstractNumId w:val="125"/>
  </w:num>
  <w:num w:numId="107" w16cid:durableId="1191072961">
    <w:abstractNumId w:val="156"/>
  </w:num>
  <w:num w:numId="108" w16cid:durableId="209459348">
    <w:abstractNumId w:val="120"/>
  </w:num>
  <w:num w:numId="109" w16cid:durableId="1849371103">
    <w:abstractNumId w:val="134"/>
  </w:num>
  <w:num w:numId="110" w16cid:durableId="699470821">
    <w:abstractNumId w:val="94"/>
  </w:num>
  <w:num w:numId="111" w16cid:durableId="971517784">
    <w:abstractNumId w:val="99"/>
  </w:num>
  <w:num w:numId="112" w16cid:durableId="290671543">
    <w:abstractNumId w:val="72"/>
  </w:num>
  <w:num w:numId="113" w16cid:durableId="1739784891">
    <w:abstractNumId w:val="82"/>
  </w:num>
  <w:num w:numId="114" w16cid:durableId="1523398717">
    <w:abstractNumId w:val="109"/>
  </w:num>
  <w:num w:numId="115" w16cid:durableId="2079666601">
    <w:abstractNumId w:val="86"/>
  </w:num>
  <w:num w:numId="116" w16cid:durableId="693311500">
    <w:abstractNumId w:val="64"/>
  </w:num>
  <w:num w:numId="117" w16cid:durableId="1144809722">
    <w:abstractNumId w:val="48"/>
  </w:num>
  <w:num w:numId="118" w16cid:durableId="1327711090">
    <w:abstractNumId w:val="61"/>
  </w:num>
  <w:num w:numId="119" w16cid:durableId="696850379">
    <w:abstractNumId w:val="93"/>
  </w:num>
  <w:num w:numId="120" w16cid:durableId="1322927644">
    <w:abstractNumId w:val="54"/>
  </w:num>
  <w:num w:numId="121" w16cid:durableId="1260135588">
    <w:abstractNumId w:val="136"/>
  </w:num>
  <w:num w:numId="122" w16cid:durableId="1519663085">
    <w:abstractNumId w:val="79"/>
  </w:num>
  <w:num w:numId="123" w16cid:durableId="2137412211">
    <w:abstractNumId w:val="159"/>
  </w:num>
  <w:num w:numId="124" w16cid:durableId="1778870509">
    <w:abstractNumId w:val="175"/>
  </w:num>
  <w:num w:numId="125" w16cid:durableId="1355695936">
    <w:abstractNumId w:val="33"/>
  </w:num>
  <w:num w:numId="126" w16cid:durableId="2040159498">
    <w:abstractNumId w:val="60"/>
  </w:num>
  <w:num w:numId="127" w16cid:durableId="1328942575">
    <w:abstractNumId w:val="37"/>
  </w:num>
  <w:num w:numId="128" w16cid:durableId="1384527250">
    <w:abstractNumId w:val="184"/>
  </w:num>
  <w:num w:numId="129" w16cid:durableId="1235778580">
    <w:abstractNumId w:val="119"/>
  </w:num>
  <w:num w:numId="130" w16cid:durableId="1327856882">
    <w:abstractNumId w:val="142"/>
  </w:num>
  <w:num w:numId="131" w16cid:durableId="1593009722">
    <w:abstractNumId w:val="21"/>
  </w:num>
  <w:num w:numId="132" w16cid:durableId="285237286">
    <w:abstractNumId w:val="152"/>
  </w:num>
  <w:num w:numId="133" w16cid:durableId="1470903808">
    <w:abstractNumId w:val="75"/>
  </w:num>
  <w:num w:numId="134" w16cid:durableId="203904118">
    <w:abstractNumId w:val="3"/>
  </w:num>
  <w:num w:numId="135" w16cid:durableId="365175870">
    <w:abstractNumId w:val="73"/>
  </w:num>
  <w:num w:numId="136" w16cid:durableId="1161123806">
    <w:abstractNumId w:val="36"/>
  </w:num>
  <w:num w:numId="137" w16cid:durableId="1379479034">
    <w:abstractNumId w:val="191"/>
  </w:num>
  <w:num w:numId="138" w16cid:durableId="974137116">
    <w:abstractNumId w:val="117"/>
  </w:num>
  <w:num w:numId="139" w16cid:durableId="721750759">
    <w:abstractNumId w:val="32"/>
  </w:num>
  <w:num w:numId="140" w16cid:durableId="1643003398">
    <w:abstractNumId w:val="189"/>
  </w:num>
  <w:num w:numId="141" w16cid:durableId="52394047">
    <w:abstractNumId w:val="169"/>
  </w:num>
  <w:num w:numId="142" w16cid:durableId="376702326">
    <w:abstractNumId w:val="28"/>
  </w:num>
  <w:num w:numId="143" w16cid:durableId="1842355274">
    <w:abstractNumId w:val="137"/>
  </w:num>
  <w:num w:numId="144" w16cid:durableId="1457605625">
    <w:abstractNumId w:val="141"/>
  </w:num>
  <w:num w:numId="145" w16cid:durableId="121580469">
    <w:abstractNumId w:val="22"/>
  </w:num>
  <w:num w:numId="146" w16cid:durableId="1464691830">
    <w:abstractNumId w:val="41"/>
  </w:num>
  <w:num w:numId="147" w16cid:durableId="1662466333">
    <w:abstractNumId w:val="69"/>
  </w:num>
  <w:num w:numId="148" w16cid:durableId="74938572">
    <w:abstractNumId w:val="58"/>
  </w:num>
  <w:num w:numId="149" w16cid:durableId="640112245">
    <w:abstractNumId w:val="31"/>
  </w:num>
  <w:num w:numId="150" w16cid:durableId="757214900">
    <w:abstractNumId w:val="139"/>
  </w:num>
  <w:num w:numId="151" w16cid:durableId="839277822">
    <w:abstractNumId w:val="19"/>
  </w:num>
  <w:num w:numId="152" w16cid:durableId="845092594">
    <w:abstractNumId w:val="49"/>
  </w:num>
  <w:num w:numId="153" w16cid:durableId="1165515442">
    <w:abstractNumId w:val="70"/>
  </w:num>
  <w:num w:numId="154" w16cid:durableId="797341157">
    <w:abstractNumId w:val="15"/>
  </w:num>
  <w:num w:numId="155" w16cid:durableId="2078672255">
    <w:abstractNumId w:val="198"/>
  </w:num>
  <w:num w:numId="156" w16cid:durableId="1725908312">
    <w:abstractNumId w:val="6"/>
  </w:num>
  <w:num w:numId="157" w16cid:durableId="1499268727">
    <w:abstractNumId w:val="176"/>
  </w:num>
  <w:num w:numId="158" w16cid:durableId="64232465">
    <w:abstractNumId w:val="39"/>
  </w:num>
  <w:num w:numId="159" w16cid:durableId="1828203625">
    <w:abstractNumId w:val="74"/>
  </w:num>
  <w:num w:numId="160" w16cid:durableId="444424841">
    <w:abstractNumId w:val="133"/>
  </w:num>
  <w:num w:numId="161" w16cid:durableId="1320307774">
    <w:abstractNumId w:val="111"/>
  </w:num>
  <w:num w:numId="162" w16cid:durableId="1626157684">
    <w:abstractNumId w:val="18"/>
  </w:num>
  <w:num w:numId="163" w16cid:durableId="1870410102">
    <w:abstractNumId w:val="14"/>
  </w:num>
  <w:num w:numId="164" w16cid:durableId="1251696675">
    <w:abstractNumId w:val="51"/>
  </w:num>
  <w:num w:numId="165" w16cid:durableId="1665277432">
    <w:abstractNumId w:val="130"/>
  </w:num>
  <w:num w:numId="166" w16cid:durableId="448594058">
    <w:abstractNumId w:val="89"/>
  </w:num>
  <w:num w:numId="167" w16cid:durableId="2123068132">
    <w:abstractNumId w:val="62"/>
  </w:num>
  <w:num w:numId="168" w16cid:durableId="847331812">
    <w:abstractNumId w:val="162"/>
  </w:num>
  <w:num w:numId="169" w16cid:durableId="1543863384">
    <w:abstractNumId w:val="66"/>
  </w:num>
  <w:num w:numId="170" w16cid:durableId="1666477143">
    <w:abstractNumId w:val="131"/>
  </w:num>
  <w:num w:numId="171" w16cid:durableId="501972637">
    <w:abstractNumId w:val="81"/>
  </w:num>
  <w:num w:numId="172" w16cid:durableId="2115199676">
    <w:abstractNumId w:val="174"/>
  </w:num>
  <w:num w:numId="173" w16cid:durableId="1712415938">
    <w:abstractNumId w:val="78"/>
  </w:num>
  <w:num w:numId="174" w16cid:durableId="1752970142">
    <w:abstractNumId w:val="180"/>
  </w:num>
  <w:num w:numId="175" w16cid:durableId="1739935789">
    <w:abstractNumId w:val="96"/>
  </w:num>
  <w:num w:numId="176" w16cid:durableId="1195575386">
    <w:abstractNumId w:val="172"/>
  </w:num>
  <w:num w:numId="177" w16cid:durableId="1319193242">
    <w:abstractNumId w:val="7"/>
  </w:num>
  <w:num w:numId="178" w16cid:durableId="1732190925">
    <w:abstractNumId w:val="98"/>
  </w:num>
  <w:num w:numId="179" w16cid:durableId="1544554968">
    <w:abstractNumId w:val="1"/>
  </w:num>
  <w:num w:numId="180" w16cid:durableId="1853714745">
    <w:abstractNumId w:val="177"/>
  </w:num>
  <w:num w:numId="181" w16cid:durableId="732579867">
    <w:abstractNumId w:val="52"/>
  </w:num>
  <w:num w:numId="182" w16cid:durableId="519513011">
    <w:abstractNumId w:val="59"/>
  </w:num>
  <w:num w:numId="183" w16cid:durableId="758529387">
    <w:abstractNumId w:val="161"/>
  </w:num>
  <w:num w:numId="184" w16cid:durableId="664360451">
    <w:abstractNumId w:val="173"/>
  </w:num>
  <w:num w:numId="185" w16cid:durableId="2102722936">
    <w:abstractNumId w:val="12"/>
  </w:num>
  <w:num w:numId="186" w16cid:durableId="1121877227">
    <w:abstractNumId w:val="38"/>
  </w:num>
  <w:num w:numId="187" w16cid:durableId="364911694">
    <w:abstractNumId w:val="104"/>
  </w:num>
  <w:num w:numId="188" w16cid:durableId="1051147005">
    <w:abstractNumId w:val="121"/>
  </w:num>
  <w:num w:numId="189" w16cid:durableId="1976832712">
    <w:abstractNumId w:val="197"/>
  </w:num>
  <w:num w:numId="190" w16cid:durableId="480779520">
    <w:abstractNumId w:val="85"/>
  </w:num>
  <w:num w:numId="191" w16cid:durableId="1905602199">
    <w:abstractNumId w:val="17"/>
  </w:num>
  <w:num w:numId="192" w16cid:durableId="1080909060">
    <w:abstractNumId w:val="63"/>
  </w:num>
  <w:num w:numId="193" w16cid:durableId="1160461704">
    <w:abstractNumId w:val="192"/>
  </w:num>
  <w:num w:numId="194" w16cid:durableId="1233153292">
    <w:abstractNumId w:val="20"/>
  </w:num>
  <w:num w:numId="195" w16cid:durableId="1306619437">
    <w:abstractNumId w:val="110"/>
  </w:num>
  <w:num w:numId="196" w16cid:durableId="923489731">
    <w:abstractNumId w:val="107"/>
  </w:num>
  <w:num w:numId="197" w16cid:durableId="1071852905">
    <w:abstractNumId w:val="186"/>
  </w:num>
  <w:num w:numId="198" w16cid:durableId="241380317">
    <w:abstractNumId w:val="128"/>
  </w:num>
  <w:num w:numId="199" w16cid:durableId="907348545">
    <w:abstractNumId w:val="5"/>
  </w:num>
  <w:numIdMacAtCleanup w:val="1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7180"/>
    <w:rsid w:val="000011FA"/>
    <w:rsid w:val="00013297"/>
    <w:rsid w:val="00015CCE"/>
    <w:rsid w:val="00020FD7"/>
    <w:rsid w:val="00026020"/>
    <w:rsid w:val="0003334C"/>
    <w:rsid w:val="00056CD3"/>
    <w:rsid w:val="000671C3"/>
    <w:rsid w:val="0007588B"/>
    <w:rsid w:val="00091DFB"/>
    <w:rsid w:val="00096276"/>
    <w:rsid w:val="000969E2"/>
    <w:rsid w:val="000A28A9"/>
    <w:rsid w:val="000B4940"/>
    <w:rsid w:val="000C2370"/>
    <w:rsid w:val="000D199F"/>
    <w:rsid w:val="001074D2"/>
    <w:rsid w:val="00113290"/>
    <w:rsid w:val="0011759D"/>
    <w:rsid w:val="00124297"/>
    <w:rsid w:val="00130A24"/>
    <w:rsid w:val="00131B67"/>
    <w:rsid w:val="00150EDC"/>
    <w:rsid w:val="00155FD5"/>
    <w:rsid w:val="001573CB"/>
    <w:rsid w:val="00165B26"/>
    <w:rsid w:val="001679C5"/>
    <w:rsid w:val="00170A7C"/>
    <w:rsid w:val="00180B7F"/>
    <w:rsid w:val="0018387F"/>
    <w:rsid w:val="001907B8"/>
    <w:rsid w:val="00197157"/>
    <w:rsid w:val="001A4559"/>
    <w:rsid w:val="001A46FC"/>
    <w:rsid w:val="001C1884"/>
    <w:rsid w:val="001C1B23"/>
    <w:rsid w:val="001C4DA9"/>
    <w:rsid w:val="001D112E"/>
    <w:rsid w:val="001D6B22"/>
    <w:rsid w:val="001E0AA0"/>
    <w:rsid w:val="001E1899"/>
    <w:rsid w:val="001E39D1"/>
    <w:rsid w:val="00201859"/>
    <w:rsid w:val="00202F59"/>
    <w:rsid w:val="00207339"/>
    <w:rsid w:val="00231E3A"/>
    <w:rsid w:val="00235259"/>
    <w:rsid w:val="00236684"/>
    <w:rsid w:val="00263D44"/>
    <w:rsid w:val="002710AF"/>
    <w:rsid w:val="002760EE"/>
    <w:rsid w:val="00285F85"/>
    <w:rsid w:val="00286171"/>
    <w:rsid w:val="00293D50"/>
    <w:rsid w:val="00297660"/>
    <w:rsid w:val="002C0CC9"/>
    <w:rsid w:val="002E2C56"/>
    <w:rsid w:val="002F54DE"/>
    <w:rsid w:val="00317C95"/>
    <w:rsid w:val="00322F2C"/>
    <w:rsid w:val="00337ED4"/>
    <w:rsid w:val="0034581E"/>
    <w:rsid w:val="0034672F"/>
    <w:rsid w:val="00364EB1"/>
    <w:rsid w:val="00366D80"/>
    <w:rsid w:val="003849A3"/>
    <w:rsid w:val="003D0F76"/>
    <w:rsid w:val="003D72FA"/>
    <w:rsid w:val="0041277E"/>
    <w:rsid w:val="00417435"/>
    <w:rsid w:val="00417DF6"/>
    <w:rsid w:val="004214C6"/>
    <w:rsid w:val="00421D5C"/>
    <w:rsid w:val="00447118"/>
    <w:rsid w:val="00454302"/>
    <w:rsid w:val="004569EE"/>
    <w:rsid w:val="004640D3"/>
    <w:rsid w:val="004649D8"/>
    <w:rsid w:val="0046526D"/>
    <w:rsid w:val="00475D81"/>
    <w:rsid w:val="004763E8"/>
    <w:rsid w:val="00477B35"/>
    <w:rsid w:val="004C7180"/>
    <w:rsid w:val="004F258B"/>
    <w:rsid w:val="004F7EBC"/>
    <w:rsid w:val="00505210"/>
    <w:rsid w:val="005127E4"/>
    <w:rsid w:val="00523BC0"/>
    <w:rsid w:val="005310C3"/>
    <w:rsid w:val="0053276C"/>
    <w:rsid w:val="0053437D"/>
    <w:rsid w:val="005504A3"/>
    <w:rsid w:val="00562FF2"/>
    <w:rsid w:val="00586E80"/>
    <w:rsid w:val="00590D71"/>
    <w:rsid w:val="005B339B"/>
    <w:rsid w:val="005C29CF"/>
    <w:rsid w:val="005F58AB"/>
    <w:rsid w:val="00610DE6"/>
    <w:rsid w:val="00617C5E"/>
    <w:rsid w:val="00637F3D"/>
    <w:rsid w:val="00643643"/>
    <w:rsid w:val="00644A8D"/>
    <w:rsid w:val="00646AD1"/>
    <w:rsid w:val="0066456C"/>
    <w:rsid w:val="00671A77"/>
    <w:rsid w:val="00671EB5"/>
    <w:rsid w:val="006761D7"/>
    <w:rsid w:val="00682DA8"/>
    <w:rsid w:val="00687189"/>
    <w:rsid w:val="00687C83"/>
    <w:rsid w:val="0069228D"/>
    <w:rsid w:val="00693F38"/>
    <w:rsid w:val="00696CF4"/>
    <w:rsid w:val="006A0961"/>
    <w:rsid w:val="006A179B"/>
    <w:rsid w:val="006B01EB"/>
    <w:rsid w:val="006B4298"/>
    <w:rsid w:val="006C5B55"/>
    <w:rsid w:val="006F2372"/>
    <w:rsid w:val="006F4B8C"/>
    <w:rsid w:val="00700451"/>
    <w:rsid w:val="00706ECC"/>
    <w:rsid w:val="00717422"/>
    <w:rsid w:val="00717ADF"/>
    <w:rsid w:val="00717B53"/>
    <w:rsid w:val="00727F15"/>
    <w:rsid w:val="00734DAF"/>
    <w:rsid w:val="00747444"/>
    <w:rsid w:val="00752165"/>
    <w:rsid w:val="00753486"/>
    <w:rsid w:val="0078729F"/>
    <w:rsid w:val="00791DAA"/>
    <w:rsid w:val="00792381"/>
    <w:rsid w:val="007A4A7D"/>
    <w:rsid w:val="007C1EC8"/>
    <w:rsid w:val="007C2E60"/>
    <w:rsid w:val="007C4F76"/>
    <w:rsid w:val="007D0E1A"/>
    <w:rsid w:val="007D3144"/>
    <w:rsid w:val="007D5F9B"/>
    <w:rsid w:val="007E32CE"/>
    <w:rsid w:val="008060BE"/>
    <w:rsid w:val="00806F2F"/>
    <w:rsid w:val="00824BC2"/>
    <w:rsid w:val="008262BA"/>
    <w:rsid w:val="008266BB"/>
    <w:rsid w:val="00830AA9"/>
    <w:rsid w:val="008319D4"/>
    <w:rsid w:val="008446C9"/>
    <w:rsid w:val="0084558A"/>
    <w:rsid w:val="00864244"/>
    <w:rsid w:val="00870489"/>
    <w:rsid w:val="00876424"/>
    <w:rsid w:val="008823A8"/>
    <w:rsid w:val="008B429E"/>
    <w:rsid w:val="008B645F"/>
    <w:rsid w:val="008D77BB"/>
    <w:rsid w:val="008E0E1D"/>
    <w:rsid w:val="00905D09"/>
    <w:rsid w:val="00916A7A"/>
    <w:rsid w:val="00926E1F"/>
    <w:rsid w:val="00937C10"/>
    <w:rsid w:val="00940958"/>
    <w:rsid w:val="009629B7"/>
    <w:rsid w:val="00962B2D"/>
    <w:rsid w:val="00981CC0"/>
    <w:rsid w:val="009D3E88"/>
    <w:rsid w:val="009D61EF"/>
    <w:rsid w:val="00A00596"/>
    <w:rsid w:val="00A24136"/>
    <w:rsid w:val="00A554E9"/>
    <w:rsid w:val="00A57898"/>
    <w:rsid w:val="00A66CE4"/>
    <w:rsid w:val="00A71522"/>
    <w:rsid w:val="00A83266"/>
    <w:rsid w:val="00A85DC8"/>
    <w:rsid w:val="00AB629C"/>
    <w:rsid w:val="00AC09F7"/>
    <w:rsid w:val="00AC116C"/>
    <w:rsid w:val="00AD48B8"/>
    <w:rsid w:val="00AD6D2D"/>
    <w:rsid w:val="00AF2853"/>
    <w:rsid w:val="00AF60B4"/>
    <w:rsid w:val="00AF6428"/>
    <w:rsid w:val="00B01E3D"/>
    <w:rsid w:val="00B16DCC"/>
    <w:rsid w:val="00B320C7"/>
    <w:rsid w:val="00B41FA8"/>
    <w:rsid w:val="00B5025A"/>
    <w:rsid w:val="00B506C7"/>
    <w:rsid w:val="00B52CDA"/>
    <w:rsid w:val="00B64F50"/>
    <w:rsid w:val="00B764FE"/>
    <w:rsid w:val="00B85F92"/>
    <w:rsid w:val="00B96BA3"/>
    <w:rsid w:val="00B97F85"/>
    <w:rsid w:val="00BA35CA"/>
    <w:rsid w:val="00BC2619"/>
    <w:rsid w:val="00BC509C"/>
    <w:rsid w:val="00BE1ECF"/>
    <w:rsid w:val="00C04341"/>
    <w:rsid w:val="00C07528"/>
    <w:rsid w:val="00C11C63"/>
    <w:rsid w:val="00C12395"/>
    <w:rsid w:val="00C13005"/>
    <w:rsid w:val="00C175F8"/>
    <w:rsid w:val="00C178D7"/>
    <w:rsid w:val="00C3037F"/>
    <w:rsid w:val="00C30A2E"/>
    <w:rsid w:val="00C328F1"/>
    <w:rsid w:val="00C423D3"/>
    <w:rsid w:val="00C53E1F"/>
    <w:rsid w:val="00C559BB"/>
    <w:rsid w:val="00C63E2F"/>
    <w:rsid w:val="00C70A21"/>
    <w:rsid w:val="00C76718"/>
    <w:rsid w:val="00C8155D"/>
    <w:rsid w:val="00C833C4"/>
    <w:rsid w:val="00C95499"/>
    <w:rsid w:val="00C97107"/>
    <w:rsid w:val="00CA67B6"/>
    <w:rsid w:val="00CB0B16"/>
    <w:rsid w:val="00CB1392"/>
    <w:rsid w:val="00CC125A"/>
    <w:rsid w:val="00CE6892"/>
    <w:rsid w:val="00CE7A35"/>
    <w:rsid w:val="00CF0754"/>
    <w:rsid w:val="00D00FB8"/>
    <w:rsid w:val="00D13F80"/>
    <w:rsid w:val="00D30D25"/>
    <w:rsid w:val="00D3220E"/>
    <w:rsid w:val="00D33AB6"/>
    <w:rsid w:val="00D37EED"/>
    <w:rsid w:val="00D51BB9"/>
    <w:rsid w:val="00D528E7"/>
    <w:rsid w:val="00D76C22"/>
    <w:rsid w:val="00D954CF"/>
    <w:rsid w:val="00DA074A"/>
    <w:rsid w:val="00DB05A2"/>
    <w:rsid w:val="00DB1F34"/>
    <w:rsid w:val="00DD516A"/>
    <w:rsid w:val="00DE4FC1"/>
    <w:rsid w:val="00DF04A4"/>
    <w:rsid w:val="00DF3C4F"/>
    <w:rsid w:val="00DF7C6E"/>
    <w:rsid w:val="00E02120"/>
    <w:rsid w:val="00E27D31"/>
    <w:rsid w:val="00E37928"/>
    <w:rsid w:val="00E56444"/>
    <w:rsid w:val="00E63A92"/>
    <w:rsid w:val="00E73231"/>
    <w:rsid w:val="00EB491E"/>
    <w:rsid w:val="00EB63FF"/>
    <w:rsid w:val="00EC100A"/>
    <w:rsid w:val="00ED5D8D"/>
    <w:rsid w:val="00ED75D4"/>
    <w:rsid w:val="00EE19C9"/>
    <w:rsid w:val="00EE6F3E"/>
    <w:rsid w:val="00EF5568"/>
    <w:rsid w:val="00EF73E5"/>
    <w:rsid w:val="00F13B53"/>
    <w:rsid w:val="00F37BBA"/>
    <w:rsid w:val="00F41A40"/>
    <w:rsid w:val="00F71308"/>
    <w:rsid w:val="00F71F70"/>
    <w:rsid w:val="00F80FD6"/>
    <w:rsid w:val="00F8359F"/>
    <w:rsid w:val="00F84769"/>
    <w:rsid w:val="00FA09E3"/>
    <w:rsid w:val="00FB1C54"/>
    <w:rsid w:val="00FC03FE"/>
    <w:rsid w:val="00FC33B3"/>
    <w:rsid w:val="00FC558B"/>
    <w:rsid w:val="00FC5AF1"/>
    <w:rsid w:val="00FC60CC"/>
    <w:rsid w:val="00FD0FFB"/>
    <w:rsid w:val="00FD61F4"/>
    <w:rsid w:val="00FE1A78"/>
    <w:rsid w:val="00FE3DE1"/>
    <w:rsid w:val="00FE674E"/>
    <w:rsid w:val="00FF7AA3"/>
    <w:rsid w:val="01242C1F"/>
    <w:rsid w:val="06B80851"/>
    <w:rsid w:val="09BD7250"/>
    <w:rsid w:val="0E87D735"/>
    <w:rsid w:val="13ED534B"/>
    <w:rsid w:val="17DC1E95"/>
    <w:rsid w:val="193426F7"/>
    <w:rsid w:val="1FA3687B"/>
    <w:rsid w:val="2583C4EE"/>
    <w:rsid w:val="26E6D1DC"/>
    <w:rsid w:val="271D9EAB"/>
    <w:rsid w:val="28096919"/>
    <w:rsid w:val="2A29F60E"/>
    <w:rsid w:val="2AEE08A8"/>
    <w:rsid w:val="361CCEEE"/>
    <w:rsid w:val="381053AF"/>
    <w:rsid w:val="3B3F4835"/>
    <w:rsid w:val="3B5DA90A"/>
    <w:rsid w:val="3BF0A3EF"/>
    <w:rsid w:val="45FB6D34"/>
    <w:rsid w:val="46D4E117"/>
    <w:rsid w:val="4B33CD90"/>
    <w:rsid w:val="4E31738E"/>
    <w:rsid w:val="4E38CB32"/>
    <w:rsid w:val="53A8FEE9"/>
    <w:rsid w:val="568F900B"/>
    <w:rsid w:val="5D95A426"/>
    <w:rsid w:val="5E14C7AF"/>
    <w:rsid w:val="6AB60E7D"/>
    <w:rsid w:val="6DC5925D"/>
    <w:rsid w:val="6E9F8AE3"/>
    <w:rsid w:val="70A28AAE"/>
    <w:rsid w:val="7445A916"/>
    <w:rsid w:val="75D0A442"/>
    <w:rsid w:val="75D9B26B"/>
    <w:rsid w:val="7EEA4D1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32C187"/>
  <w15:docId w15:val="{8E934652-67C8-4437-927D-DEE8C20C5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217" w:hanging="650"/>
      <w:outlineLvl w:val="0"/>
    </w:pPr>
    <w:rPr>
      <w:b/>
      <w:bCs/>
      <w:sz w:val="36"/>
      <w:szCs w:val="36"/>
    </w:rPr>
  </w:style>
  <w:style w:type="paragraph" w:styleId="Heading2">
    <w:name w:val="heading 2"/>
    <w:basedOn w:val="Normal"/>
    <w:uiPriority w:val="9"/>
    <w:unhideWhenUsed/>
    <w:qFormat/>
    <w:pPr>
      <w:spacing w:before="89"/>
      <w:ind w:left="1400"/>
      <w:outlineLvl w:val="1"/>
    </w:pPr>
    <w:rPr>
      <w:b/>
      <w:bCs/>
      <w:sz w:val="32"/>
      <w:szCs w:val="32"/>
    </w:rPr>
  </w:style>
  <w:style w:type="paragraph" w:styleId="Heading3">
    <w:name w:val="heading 3"/>
    <w:basedOn w:val="Normal"/>
    <w:uiPriority w:val="9"/>
    <w:unhideWhenUsed/>
    <w:qFormat/>
    <w:pPr>
      <w:spacing w:before="93"/>
      <w:ind w:left="1044"/>
      <w:outlineLvl w:val="2"/>
    </w:pPr>
    <w:rPr>
      <w:b/>
      <w:bCs/>
      <w:sz w:val="27"/>
      <w:szCs w:val="27"/>
    </w:rPr>
  </w:style>
  <w:style w:type="paragraph" w:styleId="Heading4">
    <w:name w:val="heading 4"/>
    <w:basedOn w:val="Normal"/>
    <w:uiPriority w:val="9"/>
    <w:unhideWhenUsed/>
    <w:qFormat/>
    <w:pPr>
      <w:ind w:left="1400"/>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01"/>
      <w:ind w:left="2119" w:hanging="479"/>
    </w:pPr>
    <w:rPr>
      <w:b/>
      <w:bCs/>
      <w:sz w:val="24"/>
      <w:szCs w:val="24"/>
      <w:u w:val="single" w:color="000000"/>
    </w:rPr>
  </w:style>
  <w:style w:type="paragraph" w:styleId="BodyText">
    <w:name w:val="Body Text"/>
    <w:basedOn w:val="Normal"/>
    <w:link w:val="BodyTextChar"/>
    <w:uiPriority w:val="1"/>
    <w:qFormat/>
    <w:rPr>
      <w:sz w:val="24"/>
      <w:szCs w:val="24"/>
    </w:rPr>
  </w:style>
  <w:style w:type="paragraph" w:styleId="Title">
    <w:name w:val="Title"/>
    <w:basedOn w:val="Normal"/>
    <w:uiPriority w:val="10"/>
    <w:qFormat/>
    <w:pPr>
      <w:spacing w:before="52"/>
      <w:ind w:left="1025"/>
    </w:pPr>
    <w:rPr>
      <w:rFonts w:ascii="Calibri" w:eastAsia="Calibri" w:hAnsi="Calibri" w:cs="Calibri"/>
      <w:b/>
      <w:bCs/>
      <w:sz w:val="96"/>
      <w:szCs w:val="96"/>
    </w:rPr>
  </w:style>
  <w:style w:type="paragraph" w:styleId="ListParagraph">
    <w:name w:val="List Paragraph"/>
    <w:basedOn w:val="Normal"/>
    <w:uiPriority w:val="34"/>
    <w:qFormat/>
    <w:pPr>
      <w:ind w:left="2120" w:hanging="720"/>
    </w:pPr>
  </w:style>
  <w:style w:type="paragraph" w:customStyle="1" w:styleId="TableParagraph">
    <w:name w:val="Table Paragraph"/>
    <w:basedOn w:val="Normal"/>
    <w:uiPriority w:val="1"/>
    <w:qFormat/>
    <w:pPr>
      <w:spacing w:before="27" w:line="208" w:lineRule="exact"/>
      <w:ind w:left="110"/>
    </w:pPr>
  </w:style>
  <w:style w:type="paragraph" w:styleId="Header">
    <w:name w:val="header"/>
    <w:basedOn w:val="Normal"/>
    <w:link w:val="HeaderChar"/>
    <w:uiPriority w:val="99"/>
    <w:unhideWhenUsed/>
    <w:rsid w:val="00FE1A78"/>
    <w:pPr>
      <w:tabs>
        <w:tab w:val="center" w:pos="4513"/>
        <w:tab w:val="right" w:pos="9026"/>
      </w:tabs>
    </w:pPr>
  </w:style>
  <w:style w:type="character" w:customStyle="1" w:styleId="HeaderChar">
    <w:name w:val="Header Char"/>
    <w:basedOn w:val="DefaultParagraphFont"/>
    <w:link w:val="Header"/>
    <w:uiPriority w:val="99"/>
    <w:rsid w:val="00FE1A78"/>
    <w:rPr>
      <w:rFonts w:ascii="Arial" w:eastAsia="Arial" w:hAnsi="Arial" w:cs="Arial"/>
    </w:rPr>
  </w:style>
  <w:style w:type="paragraph" w:styleId="Footer">
    <w:name w:val="footer"/>
    <w:basedOn w:val="Normal"/>
    <w:link w:val="FooterChar"/>
    <w:uiPriority w:val="99"/>
    <w:unhideWhenUsed/>
    <w:rsid w:val="00FE1A78"/>
    <w:pPr>
      <w:tabs>
        <w:tab w:val="center" w:pos="4513"/>
        <w:tab w:val="right" w:pos="9026"/>
      </w:tabs>
    </w:pPr>
  </w:style>
  <w:style w:type="character" w:customStyle="1" w:styleId="FooterChar">
    <w:name w:val="Footer Char"/>
    <w:basedOn w:val="DefaultParagraphFont"/>
    <w:link w:val="Footer"/>
    <w:uiPriority w:val="99"/>
    <w:rsid w:val="00FE1A78"/>
    <w:rPr>
      <w:rFonts w:ascii="Arial" w:eastAsia="Arial" w:hAnsi="Arial" w:cs="Arial"/>
    </w:rPr>
  </w:style>
  <w:style w:type="paragraph" w:styleId="Revision">
    <w:name w:val="Revision"/>
    <w:hidden/>
    <w:uiPriority w:val="99"/>
    <w:semiHidden/>
    <w:rsid w:val="00475D81"/>
    <w:pPr>
      <w:widowControl/>
      <w:autoSpaceDE/>
      <w:autoSpaceDN/>
    </w:pPr>
    <w:rPr>
      <w:rFonts w:ascii="Arial" w:eastAsia="Arial" w:hAnsi="Arial" w:cs="Arial"/>
    </w:rPr>
  </w:style>
  <w:style w:type="character" w:styleId="CommentReference">
    <w:name w:val="annotation reference"/>
    <w:basedOn w:val="DefaultParagraphFont"/>
    <w:uiPriority w:val="99"/>
    <w:semiHidden/>
    <w:unhideWhenUsed/>
    <w:rsid w:val="008446C9"/>
    <w:rPr>
      <w:sz w:val="16"/>
      <w:szCs w:val="16"/>
    </w:rPr>
  </w:style>
  <w:style w:type="paragraph" w:styleId="CommentText">
    <w:name w:val="annotation text"/>
    <w:basedOn w:val="Normal"/>
    <w:link w:val="CommentTextChar"/>
    <w:uiPriority w:val="99"/>
    <w:unhideWhenUsed/>
    <w:rsid w:val="008446C9"/>
    <w:rPr>
      <w:sz w:val="20"/>
      <w:szCs w:val="20"/>
    </w:rPr>
  </w:style>
  <w:style w:type="character" w:customStyle="1" w:styleId="CommentTextChar">
    <w:name w:val="Comment Text Char"/>
    <w:basedOn w:val="DefaultParagraphFont"/>
    <w:link w:val="CommentText"/>
    <w:uiPriority w:val="99"/>
    <w:rsid w:val="008446C9"/>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8446C9"/>
    <w:rPr>
      <w:b/>
      <w:bCs/>
    </w:rPr>
  </w:style>
  <w:style w:type="character" w:customStyle="1" w:styleId="CommentSubjectChar">
    <w:name w:val="Comment Subject Char"/>
    <w:basedOn w:val="CommentTextChar"/>
    <w:link w:val="CommentSubject"/>
    <w:uiPriority w:val="99"/>
    <w:semiHidden/>
    <w:rsid w:val="008446C9"/>
    <w:rPr>
      <w:rFonts w:ascii="Arial" w:eastAsia="Arial" w:hAnsi="Arial" w:cs="Arial"/>
      <w:b/>
      <w:bCs/>
      <w:sz w:val="20"/>
      <w:szCs w:val="20"/>
    </w:rPr>
  </w:style>
  <w:style w:type="character" w:customStyle="1" w:styleId="Mention1">
    <w:name w:val="Mention1"/>
    <w:basedOn w:val="DefaultParagraphFont"/>
    <w:uiPriority w:val="99"/>
    <w:unhideWhenUsed/>
    <w:rsid w:val="008446C9"/>
    <w:rPr>
      <w:color w:val="2B579A"/>
      <w:shd w:val="clear" w:color="auto" w:fill="E1DFDD"/>
    </w:rPr>
  </w:style>
  <w:style w:type="character" w:customStyle="1" w:styleId="UnresolvedMention1">
    <w:name w:val="Unresolved Mention1"/>
    <w:basedOn w:val="DefaultParagraphFont"/>
    <w:uiPriority w:val="99"/>
    <w:unhideWhenUsed/>
    <w:rsid w:val="009629B7"/>
    <w:rPr>
      <w:color w:val="605E5C"/>
      <w:shd w:val="clear" w:color="auto" w:fill="E1DFDD"/>
    </w:rPr>
  </w:style>
  <w:style w:type="paragraph" w:customStyle="1" w:styleId="GPSSchAnnexname">
    <w:name w:val="GPS Sch Annex name"/>
    <w:basedOn w:val="Normal"/>
    <w:link w:val="GPSSchAnnexnameChar"/>
    <w:qFormat/>
    <w:rsid w:val="005C29CF"/>
    <w:pPr>
      <w:keepNext/>
      <w:widowControl/>
      <w:autoSpaceDE/>
      <w:autoSpaceDN/>
      <w:adjustRightInd w:val="0"/>
      <w:spacing w:after="240"/>
      <w:jc w:val="center"/>
      <w:outlineLvl w:val="1"/>
    </w:pPr>
    <w:rPr>
      <w:rFonts w:ascii="Calibri" w:eastAsia="STZhongsong" w:hAnsi="Calibri" w:cs="Times New Roman"/>
      <w:b/>
      <w:caps/>
      <w:sz w:val="20"/>
      <w:lang w:val="en-GB" w:eastAsia="zh-CN"/>
    </w:rPr>
  </w:style>
  <w:style w:type="character" w:customStyle="1" w:styleId="GPSSchAnnexnameChar">
    <w:name w:val="GPS Sch Annex name Char"/>
    <w:link w:val="GPSSchAnnexname"/>
    <w:rsid w:val="005C29CF"/>
    <w:rPr>
      <w:rFonts w:ascii="Calibri" w:eastAsia="STZhongsong" w:hAnsi="Calibri" w:cs="Times New Roman"/>
      <w:b/>
      <w:caps/>
      <w:sz w:val="20"/>
      <w:lang w:val="en-GB" w:eastAsia="zh-CN"/>
    </w:rPr>
  </w:style>
  <w:style w:type="paragraph" w:customStyle="1" w:styleId="paragraph">
    <w:name w:val="paragraph"/>
    <w:basedOn w:val="Normal"/>
    <w:rsid w:val="005C29CF"/>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5C29CF"/>
  </w:style>
  <w:style w:type="character" w:customStyle="1" w:styleId="eop">
    <w:name w:val="eop"/>
    <w:basedOn w:val="DefaultParagraphFont"/>
    <w:rsid w:val="005C29CF"/>
  </w:style>
  <w:style w:type="paragraph" w:customStyle="1" w:styleId="pf0">
    <w:name w:val="pf0"/>
    <w:basedOn w:val="Normal"/>
    <w:rsid w:val="005C29CF"/>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D76C22"/>
    <w:rPr>
      <w:color w:val="0000FF" w:themeColor="hyperlink"/>
      <w:u w:val="single"/>
    </w:rPr>
  </w:style>
  <w:style w:type="character" w:customStyle="1" w:styleId="UnresolvedMention2">
    <w:name w:val="Unresolved Mention2"/>
    <w:basedOn w:val="DefaultParagraphFont"/>
    <w:uiPriority w:val="99"/>
    <w:semiHidden/>
    <w:unhideWhenUsed/>
    <w:rsid w:val="00D76C22"/>
    <w:rPr>
      <w:color w:val="605E5C"/>
      <w:shd w:val="clear" w:color="auto" w:fill="E1DFDD"/>
    </w:rPr>
  </w:style>
  <w:style w:type="character" w:styleId="Strong">
    <w:name w:val="Strong"/>
    <w:basedOn w:val="DefaultParagraphFont"/>
    <w:uiPriority w:val="22"/>
    <w:qFormat/>
    <w:rsid w:val="001C1884"/>
    <w:rPr>
      <w:b/>
      <w:bCs/>
    </w:rPr>
  </w:style>
  <w:style w:type="paragraph" w:customStyle="1" w:styleId="DfESOutNumbered">
    <w:name w:val="DfESOutNumbered"/>
    <w:basedOn w:val="Normal"/>
    <w:link w:val="DfESOutNumberedChar"/>
    <w:rsid w:val="006B4298"/>
    <w:pPr>
      <w:numPr>
        <w:numId w:val="186"/>
      </w:numPr>
      <w:overflowPunct w:val="0"/>
      <w:adjustRightInd w:val="0"/>
      <w:spacing w:after="240"/>
      <w:textAlignment w:val="baseline"/>
    </w:pPr>
    <w:rPr>
      <w:rFonts w:eastAsia="Times New Roman"/>
      <w:kern w:val="2"/>
      <w:szCs w:val="20"/>
      <w:lang w:val="en-GB"/>
      <w14:ligatures w14:val="standardContextual"/>
    </w:rPr>
  </w:style>
  <w:style w:type="character" w:customStyle="1" w:styleId="BodyTextChar">
    <w:name w:val="Body Text Char"/>
    <w:basedOn w:val="DefaultParagraphFont"/>
    <w:link w:val="BodyText"/>
    <w:uiPriority w:val="1"/>
    <w:rsid w:val="00B52CDA"/>
    <w:rPr>
      <w:rFonts w:ascii="Arial" w:eastAsia="Arial" w:hAnsi="Arial" w:cs="Arial"/>
      <w:sz w:val="24"/>
      <w:szCs w:val="24"/>
    </w:rPr>
  </w:style>
  <w:style w:type="character" w:customStyle="1" w:styleId="DfESOutNumberedChar">
    <w:name w:val="DfESOutNumbered Char"/>
    <w:basedOn w:val="BodyTextChar"/>
    <w:link w:val="DfESOutNumbered"/>
    <w:rsid w:val="00B52CDA"/>
    <w:rPr>
      <w:rFonts w:ascii="Arial" w:eastAsia="Times New Roman" w:hAnsi="Arial" w:cs="Arial"/>
      <w:kern w:val="2"/>
      <w:sz w:val="24"/>
      <w:szCs w:val="20"/>
      <w:lang w:val="en-GB"/>
      <w14:ligatures w14:val="standardContextual"/>
    </w:rPr>
  </w:style>
  <w:style w:type="paragraph" w:customStyle="1" w:styleId="DeptBullets">
    <w:name w:val="DeptBullets"/>
    <w:basedOn w:val="Normal"/>
    <w:link w:val="DeptBulletsChar"/>
    <w:rsid w:val="00B52CDA"/>
    <w:pPr>
      <w:numPr>
        <w:numId w:val="187"/>
      </w:numPr>
      <w:overflowPunct w:val="0"/>
      <w:adjustRightInd w:val="0"/>
      <w:spacing w:after="240"/>
      <w:textAlignment w:val="baseline"/>
    </w:pPr>
    <w:rPr>
      <w:rFonts w:eastAsia="Times New Roman" w:cs="Times New Roman"/>
      <w:kern w:val="2"/>
      <w:sz w:val="24"/>
      <w:szCs w:val="20"/>
      <w:lang w:val="en-GB"/>
      <w14:ligatures w14:val="standardContextual"/>
    </w:rPr>
  </w:style>
  <w:style w:type="character" w:customStyle="1" w:styleId="DeptBulletsChar">
    <w:name w:val="DeptBullets Char"/>
    <w:basedOn w:val="BodyTextChar"/>
    <w:link w:val="DeptBullets"/>
    <w:rsid w:val="00B52CDA"/>
    <w:rPr>
      <w:rFonts w:ascii="Arial" w:eastAsia="Times New Roman" w:hAnsi="Arial" w:cs="Times New Roman"/>
      <w:kern w:val="2"/>
      <w:sz w:val="24"/>
      <w:szCs w:val="20"/>
      <w:lang w:val="en-GB"/>
      <w14:ligatures w14:val="standardContextual"/>
    </w:rPr>
  </w:style>
  <w:style w:type="character" w:customStyle="1" w:styleId="ui-provider">
    <w:name w:val="ui-provider"/>
    <w:basedOn w:val="DefaultParagraphFont"/>
    <w:rsid w:val="00FE674E"/>
  </w:style>
  <w:style w:type="character" w:customStyle="1" w:styleId="Mention2">
    <w:name w:val="Mention2"/>
    <w:basedOn w:val="DefaultParagraphFont"/>
    <w:uiPriority w:val="99"/>
    <w:unhideWhenUsed/>
    <w:rsid w:val="00E7323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739289">
      <w:bodyDiv w:val="1"/>
      <w:marLeft w:val="0"/>
      <w:marRight w:val="0"/>
      <w:marTop w:val="0"/>
      <w:marBottom w:val="0"/>
      <w:divBdr>
        <w:top w:val="none" w:sz="0" w:space="0" w:color="auto"/>
        <w:left w:val="none" w:sz="0" w:space="0" w:color="auto"/>
        <w:bottom w:val="none" w:sz="0" w:space="0" w:color="auto"/>
        <w:right w:val="none" w:sz="0" w:space="0" w:color="auto"/>
      </w:divBdr>
    </w:div>
    <w:div w:id="7617276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www.et-foundation.co.uk/wp-" TargetMode="External"/><Relationship Id="rId21" Type="http://schemas.openxmlformats.org/officeDocument/2006/relationships/hyperlink" Target="https://www.gov.uk/government/publications/blowing-the-whistle-list-of-prescribed-people-and-bodies--2/whistleblowing-list-of-prescribed-people-and-bodies" TargetMode="External"/><Relationship Id="rId42" Type="http://schemas.openxmlformats.org/officeDocument/2006/relationships/header" Target="header9.xml"/><Relationship Id="rId63" Type="http://schemas.openxmlformats.org/officeDocument/2006/relationships/header" Target="header17.xml"/><Relationship Id="rId84" Type="http://schemas.openxmlformats.org/officeDocument/2006/relationships/footer" Target="footer21.xml"/><Relationship Id="rId138" Type="http://schemas.openxmlformats.org/officeDocument/2006/relationships/footer" Target="footer47.xml"/><Relationship Id="rId159" Type="http://schemas.openxmlformats.org/officeDocument/2006/relationships/hyperlink" Target="https://educationendowmentfoundation.org.uk/public/files/Evaluation/Setting_up_an_Evaluation/IPE_Handbook.pdf" TargetMode="External"/><Relationship Id="rId170" Type="http://schemas.openxmlformats.org/officeDocument/2006/relationships/header" Target="header37.xml"/><Relationship Id="rId107" Type="http://schemas.openxmlformats.org/officeDocument/2006/relationships/hyperlink" Target="https://www.contractsfinder.service.gov.uk/Notice/865ce8f1-6561-45a4-9715-2e08bbd30629" TargetMode="External"/><Relationship Id="rId11" Type="http://schemas.openxmlformats.org/officeDocument/2006/relationships/footer" Target="footer2.xml"/><Relationship Id="rId32" Type="http://schemas.openxmlformats.org/officeDocument/2006/relationships/hyperlink" Target="https://www.gov.uk/government/uploads/system/uploads/attachment_data/file/646497/2017-09-13_Official_Sensitive_Supplier_Code_of_Conduct_September_2017.pdf" TargetMode="External"/><Relationship Id="rId53" Type="http://schemas.openxmlformats.org/officeDocument/2006/relationships/footer" Target="footer13.xml"/><Relationship Id="rId74" Type="http://schemas.openxmlformats.org/officeDocument/2006/relationships/customXml" Target="ink/ink1.xml"/><Relationship Id="rId128" Type="http://schemas.openxmlformats.org/officeDocument/2006/relationships/footer" Target="footer37.xml"/><Relationship Id="rId149" Type="http://schemas.openxmlformats.org/officeDocument/2006/relationships/footer" Target="footer58.xml"/><Relationship Id="rId5" Type="http://schemas.openxmlformats.org/officeDocument/2006/relationships/footnotes" Target="footnotes.xml"/><Relationship Id="rId95" Type="http://schemas.openxmlformats.org/officeDocument/2006/relationships/header" Target="header27.xml"/><Relationship Id="rId160" Type="http://schemas.openxmlformats.org/officeDocument/2006/relationships/hyperlink" Target="https://educationendowmentfoundation.org.uk/public/files/Recruitment_and_retention_guidance_FINAL..pdf" TargetMode="External"/><Relationship Id="rId22" Type="http://schemas.openxmlformats.org/officeDocument/2006/relationships/hyperlink" Target="http://www.gov.uk/government/publications/procurement-policy-" TargetMode="External"/><Relationship Id="rId43" Type="http://schemas.openxmlformats.org/officeDocument/2006/relationships/footer" Target="footer9.xml"/><Relationship Id="rId64" Type="http://schemas.openxmlformats.org/officeDocument/2006/relationships/footer" Target="footer17.xml"/><Relationship Id="rId118" Type="http://schemas.openxmlformats.org/officeDocument/2006/relationships/hyperlink" Target="http://www.nottingham.ac.uk/research/groups/cr" TargetMode="External"/><Relationship Id="rId139" Type="http://schemas.openxmlformats.org/officeDocument/2006/relationships/footer" Target="footer48.xml"/><Relationship Id="rId85" Type="http://schemas.openxmlformats.org/officeDocument/2006/relationships/header" Target="header22.xml"/><Relationship Id="rId150" Type="http://schemas.openxmlformats.org/officeDocument/2006/relationships/footer" Target="footer59.xml"/><Relationship Id="rId171" Type="http://schemas.openxmlformats.org/officeDocument/2006/relationships/footer" Target="footer70.xml"/><Relationship Id="rId12" Type="http://schemas.openxmlformats.org/officeDocument/2006/relationships/hyperlink" Target="http://CCS.cabinetoffice.gov.uk/i-am-" TargetMode="External"/><Relationship Id="rId33" Type="http://schemas.openxmlformats.org/officeDocument/2006/relationships/hyperlink" Target="https://www.gov.uk/government/uploads/system/uploads/attachment_data/file/646497/2017-09-13_Official_Sensitive_Supplier_Code_of_Conduct_September_2017.pdf" TargetMode="External"/><Relationship Id="rId108" Type="http://schemas.openxmlformats.org/officeDocument/2006/relationships/hyperlink" Target="https://www.contractsfinder.service.gov.uk/Notice/865ce8f1-6561-45a4-9715-2e08bbd30629" TargetMode="External"/><Relationship Id="rId129" Type="http://schemas.openxmlformats.org/officeDocument/2006/relationships/footer" Target="footer38.xml"/><Relationship Id="rId54" Type="http://schemas.openxmlformats.org/officeDocument/2006/relationships/image" Target="media/image2.png"/><Relationship Id="rId75" Type="http://schemas.openxmlformats.org/officeDocument/2006/relationships/image" Target="media/image3.png"/><Relationship Id="rId96" Type="http://schemas.openxmlformats.org/officeDocument/2006/relationships/footer" Target="footer27.xml"/><Relationship Id="rId140" Type="http://schemas.openxmlformats.org/officeDocument/2006/relationships/footer" Target="footer49.xml"/><Relationship Id="rId161" Type="http://schemas.openxmlformats.org/officeDocument/2006/relationships/hyperlink" Target="https://educationendowmentfoundation.org.uk/public/files/Recruitment_and_retention_guidance_FINAL..pdf"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www.gov.uk/government/publications/procurement-policy-" TargetMode="External"/><Relationship Id="rId28" Type="http://schemas.openxmlformats.org/officeDocument/2006/relationships/header" Target="header5.xml"/><Relationship Id="rId49" Type="http://schemas.openxmlformats.org/officeDocument/2006/relationships/footer" Target="footer12.xml"/><Relationship Id="rId114" Type="http://schemas.openxmlformats.org/officeDocument/2006/relationships/footer" Target="footer29.xml"/><Relationship Id="rId119" Type="http://schemas.openxmlformats.org/officeDocument/2006/relationships/image" Target="media/image7.png"/><Relationship Id="rId44" Type="http://schemas.openxmlformats.org/officeDocument/2006/relationships/header" Target="header10.xml"/><Relationship Id="rId60" Type="http://schemas.openxmlformats.org/officeDocument/2006/relationships/footer" Target="footer15.xml"/><Relationship Id="rId65" Type="http://schemas.openxmlformats.org/officeDocument/2006/relationships/header" Target="header18.xml"/><Relationship Id="rId81" Type="http://schemas.openxmlformats.org/officeDocument/2006/relationships/hyperlink" Target="http://www.gov.uk/government/publications/strategic-" TargetMode="External"/><Relationship Id="rId86" Type="http://schemas.openxmlformats.org/officeDocument/2006/relationships/footer" Target="footer22.xml"/><Relationship Id="rId130" Type="http://schemas.openxmlformats.org/officeDocument/2006/relationships/footer" Target="footer39.xml"/><Relationship Id="rId135" Type="http://schemas.openxmlformats.org/officeDocument/2006/relationships/footer" Target="footer44.xml"/><Relationship Id="rId151" Type="http://schemas.openxmlformats.org/officeDocument/2006/relationships/footer" Target="footer60.xml"/><Relationship Id="rId156" Type="http://schemas.openxmlformats.org/officeDocument/2006/relationships/footer" Target="footer64.xml"/><Relationship Id="rId172" Type="http://schemas.openxmlformats.org/officeDocument/2006/relationships/fontTable" Target="fontTable.xml"/><Relationship Id="rId13" Type="http://schemas.openxmlformats.org/officeDocument/2006/relationships/hyperlink" Target="http://www.gov.uk/government/publications/governmentprocureme" TargetMode="External"/><Relationship Id="rId18" Type="http://schemas.openxmlformats.org/officeDocument/2006/relationships/hyperlink" Target="https://www.gov.uk/government/publications/open-standards-principles/open-standards-principles" TargetMode="External"/><Relationship Id="rId39" Type="http://schemas.openxmlformats.org/officeDocument/2006/relationships/footer" Target="footer8.xml"/><Relationship Id="rId109" Type="http://schemas.openxmlformats.org/officeDocument/2006/relationships/hyperlink" Target="https://www.contractsfinder.service.gov.uk/Notice/865ce8f1-6561-45a4-9715-2e08bbd30629" TargetMode="External"/><Relationship Id="rId34" Type="http://schemas.openxmlformats.org/officeDocument/2006/relationships/hyperlink" Target="https://www.gov.uk/government/uploads/system/uploads/attachment_data/file/646497/2017-09-13_Official_Sensitive_Supplier_Code_of_Conduct_September_2017.pdf" TargetMode="External"/><Relationship Id="rId50" Type="http://schemas.openxmlformats.org/officeDocument/2006/relationships/hyperlink" Target="mailto:emma.wharram@education.gov.uk" TargetMode="External"/><Relationship Id="rId55" Type="http://schemas.openxmlformats.org/officeDocument/2006/relationships/hyperlink" Target="https://www.gov.uk/government/publications/procurement-policy-note-0117-update-to-transparency-principles" TargetMode="External"/><Relationship Id="rId76" Type="http://schemas.openxmlformats.org/officeDocument/2006/relationships/image" Target="media/image4.jpeg"/><Relationship Id="rId97" Type="http://schemas.openxmlformats.org/officeDocument/2006/relationships/header" Target="header28.xml"/><Relationship Id="rId104" Type="http://schemas.openxmlformats.org/officeDocument/2006/relationships/hyperlink" Target="https://www.gov.uk/government/publications/review-of-the-evidence-on-the-numeracy-skills-interventions-for-adults" TargetMode="External"/><Relationship Id="rId120" Type="http://schemas.openxmlformats.org/officeDocument/2006/relationships/header" Target="header30.xml"/><Relationship Id="rId125" Type="http://schemas.openxmlformats.org/officeDocument/2006/relationships/footer" Target="footer34.xml"/><Relationship Id="rId141" Type="http://schemas.openxmlformats.org/officeDocument/2006/relationships/footer" Target="footer50.xml"/><Relationship Id="rId146" Type="http://schemas.openxmlformats.org/officeDocument/2006/relationships/footer" Target="footer55.xml"/><Relationship Id="rId167" Type="http://schemas.openxmlformats.org/officeDocument/2006/relationships/footer" Target="footer68.xml"/><Relationship Id="rId7" Type="http://schemas.openxmlformats.org/officeDocument/2006/relationships/image" Target="media/image1.png"/><Relationship Id="rId71" Type="http://schemas.openxmlformats.org/officeDocument/2006/relationships/hyperlink" Target="https://www.gov.uk/government/collections/sustainable-procurement-the-government-buying-standards-gbs" TargetMode="External"/><Relationship Id="rId92" Type="http://schemas.openxmlformats.org/officeDocument/2006/relationships/footer" Target="footer25.xml"/><Relationship Id="rId162" Type="http://schemas.openxmlformats.org/officeDocument/2006/relationships/header" Target="header33.xml"/><Relationship Id="rId2" Type="http://schemas.openxmlformats.org/officeDocument/2006/relationships/styles" Target="styles.xml"/><Relationship Id="rId29" Type="http://schemas.openxmlformats.org/officeDocument/2006/relationships/footer" Target="footer5.xml"/><Relationship Id="rId24" Type="http://schemas.openxmlformats.org/officeDocument/2006/relationships/header" Target="header3.xml"/><Relationship Id="rId40" Type="http://schemas.openxmlformats.org/officeDocument/2006/relationships/hyperlink" Target="https://www.gov.uk/government/collections/sustainable-procurement-the-government-buying-standards-gbs" TargetMode="External"/><Relationship Id="rId45" Type="http://schemas.openxmlformats.org/officeDocument/2006/relationships/footer" Target="footer10.xml"/><Relationship Id="rId66" Type="http://schemas.openxmlformats.org/officeDocument/2006/relationships/footer" Target="footer18.xml"/><Relationship Id="rId87" Type="http://schemas.openxmlformats.org/officeDocument/2006/relationships/header" Target="header23.xml"/><Relationship Id="rId110" Type="http://schemas.openxmlformats.org/officeDocument/2006/relationships/hyperlink" Target="https://www.contractsfinder.service.gov.uk/Notice/f7ed6315-cc35-43e1-8e76-7ba12d7f77c6" TargetMode="External"/><Relationship Id="rId115" Type="http://schemas.openxmlformats.org/officeDocument/2006/relationships/hyperlink" Target="http://www.ncetm.org.uk/teaching-for-" TargetMode="External"/><Relationship Id="rId131" Type="http://schemas.openxmlformats.org/officeDocument/2006/relationships/footer" Target="footer40.xml"/><Relationship Id="rId136" Type="http://schemas.openxmlformats.org/officeDocument/2006/relationships/footer" Target="footer45.xml"/><Relationship Id="rId157" Type="http://schemas.openxmlformats.org/officeDocument/2006/relationships/header" Target="header32.xml"/><Relationship Id="rId61" Type="http://schemas.openxmlformats.org/officeDocument/2006/relationships/header" Target="header16.xml"/><Relationship Id="rId82" Type="http://schemas.openxmlformats.org/officeDocument/2006/relationships/hyperlink" Target="http://www.gov.uk/government/publications/the-" TargetMode="External"/><Relationship Id="rId152" Type="http://schemas.openxmlformats.org/officeDocument/2006/relationships/footer" Target="footer61.xml"/><Relationship Id="rId173" Type="http://schemas.openxmlformats.org/officeDocument/2006/relationships/theme" Target="theme/theme1.xml"/><Relationship Id="rId19" Type="http://schemas.openxmlformats.org/officeDocument/2006/relationships/hyperlink" Target="https://www.gov.uk/government/publications/blowing-the-whistle-list-of-prescribed-people-and-bodies--2/whistleblowing-list-of-prescribed-people-and-bodies" TargetMode="External"/><Relationship Id="rId14" Type="http://schemas.openxmlformats.org/officeDocument/2006/relationships/hyperlink" Target="https://www.gov.uk/guidance/ir35-find-out-if-it-applies" TargetMode="External"/><Relationship Id="rId30" Type="http://schemas.openxmlformats.org/officeDocument/2006/relationships/header" Target="header6.xml"/><Relationship Id="rId35" Type="http://schemas.openxmlformats.org/officeDocument/2006/relationships/hyperlink" Target="https://www.modernslaveryhelpline.org/report" TargetMode="External"/><Relationship Id="rId56" Type="http://schemas.openxmlformats.org/officeDocument/2006/relationships/hyperlink" Target="https://www.gov.uk/government/publications/procurement-policy-note-0117-update-to-transparency-principles" TargetMode="External"/><Relationship Id="rId77" Type="http://schemas.openxmlformats.org/officeDocument/2006/relationships/header" Target="header19.xml"/><Relationship Id="rId100" Type="http://schemas.openxmlformats.org/officeDocument/2006/relationships/hyperlink" Target="https://committees.parliament.uk/writtenevidence/62968/html/" TargetMode="External"/><Relationship Id="rId105" Type="http://schemas.openxmlformats.org/officeDocument/2006/relationships/hyperlink" Target="https://www.find-tender.service.gov.uk/Notice/016015-2023" TargetMode="External"/><Relationship Id="rId126" Type="http://schemas.openxmlformats.org/officeDocument/2006/relationships/footer" Target="footer35.xml"/><Relationship Id="rId147" Type="http://schemas.openxmlformats.org/officeDocument/2006/relationships/footer" Target="footer56.xml"/><Relationship Id="rId168" Type="http://schemas.openxmlformats.org/officeDocument/2006/relationships/header" Target="header36.xml"/><Relationship Id="rId8" Type="http://schemas.openxmlformats.org/officeDocument/2006/relationships/header" Target="header1.xml"/><Relationship Id="rId51" Type="http://schemas.openxmlformats.org/officeDocument/2006/relationships/hyperlink" Target="mailto:paul.duller@tribalgroup.com" TargetMode="External"/><Relationship Id="rId72" Type="http://schemas.openxmlformats.org/officeDocument/2006/relationships/hyperlink" Target="https://www.gov.uk/government/publications/it-health-check-ithc-supporting-guidance" TargetMode="External"/><Relationship Id="rId93" Type="http://schemas.openxmlformats.org/officeDocument/2006/relationships/header" Target="header26.xml"/><Relationship Id="rId98" Type="http://schemas.openxmlformats.org/officeDocument/2006/relationships/footer" Target="footer28.xml"/><Relationship Id="rId121" Type="http://schemas.openxmlformats.org/officeDocument/2006/relationships/footer" Target="footer30.xml"/><Relationship Id="rId142" Type="http://schemas.openxmlformats.org/officeDocument/2006/relationships/footer" Target="footer51.xml"/><Relationship Id="rId163" Type="http://schemas.openxmlformats.org/officeDocument/2006/relationships/footer" Target="footer66.xml"/><Relationship Id="rId3" Type="http://schemas.openxmlformats.org/officeDocument/2006/relationships/settings" Target="settings.xml"/><Relationship Id="rId25" Type="http://schemas.openxmlformats.org/officeDocument/2006/relationships/footer" Target="footer3.xml"/><Relationship Id="rId46" Type="http://schemas.openxmlformats.org/officeDocument/2006/relationships/header" Target="header11.xml"/><Relationship Id="rId67" Type="http://schemas.openxmlformats.org/officeDocument/2006/relationships/hyperlink" Target="mailto:AccountsPayable.OCR@education.gov.uk" TargetMode="External"/><Relationship Id="rId116" Type="http://schemas.openxmlformats.org/officeDocument/2006/relationships/hyperlink" Target="http://www.ncetm.org.uk/teaching-for-" TargetMode="External"/><Relationship Id="rId137" Type="http://schemas.openxmlformats.org/officeDocument/2006/relationships/footer" Target="footer46.xml"/><Relationship Id="rId158" Type="http://schemas.openxmlformats.org/officeDocument/2006/relationships/footer" Target="footer65.xml"/><Relationship Id="rId20" Type="http://schemas.openxmlformats.org/officeDocument/2006/relationships/hyperlink" Target="https://www.gov.uk/government/publications/blowing-the-whistle-list-of-prescribed-people-and-bodies--2/whistleblowing-list-of-prescribed-people-and-bodies" TargetMode="External"/><Relationship Id="rId41" Type="http://schemas.openxmlformats.org/officeDocument/2006/relationships/hyperlink" Target="https://www.gov.uk/government/collections/sustainable-procurement-the-government-buying-standards-gbs" TargetMode="External"/><Relationship Id="rId62" Type="http://schemas.openxmlformats.org/officeDocument/2006/relationships/footer" Target="footer16.xml"/><Relationship Id="rId83" Type="http://schemas.openxmlformats.org/officeDocument/2006/relationships/header" Target="header21.xml"/><Relationship Id="rId88" Type="http://schemas.openxmlformats.org/officeDocument/2006/relationships/footer" Target="footer23.xml"/><Relationship Id="rId111" Type="http://schemas.openxmlformats.org/officeDocument/2006/relationships/hyperlink" Target="https://www.contractsfinder.service.gov.uk/Notice/f7ed6315-cc35-43e1-8e76-7ba12d7f77c6" TargetMode="External"/><Relationship Id="rId132" Type="http://schemas.openxmlformats.org/officeDocument/2006/relationships/footer" Target="footer41.xml"/><Relationship Id="rId153" Type="http://schemas.openxmlformats.org/officeDocument/2006/relationships/footer" Target="footer62.xml"/><Relationship Id="rId15" Type="http://schemas.openxmlformats.org/officeDocument/2006/relationships/hyperlink" Target="http://www.nationalarchives.gov.uk/doc/open-government-licence/version/3/" TargetMode="External"/><Relationship Id="rId36" Type="http://schemas.openxmlformats.org/officeDocument/2006/relationships/header" Target="header7.xml"/><Relationship Id="rId57" Type="http://schemas.openxmlformats.org/officeDocument/2006/relationships/header" Target="header14.xml"/><Relationship Id="rId106" Type="http://schemas.openxmlformats.org/officeDocument/2006/relationships/hyperlink" Target="https://www.contractsfinder.service.gov.uk/Notice/d374e111-aaa0-4282-824f-18e36cf415b1" TargetMode="External"/><Relationship Id="rId127" Type="http://schemas.openxmlformats.org/officeDocument/2006/relationships/footer" Target="footer36.xml"/><Relationship Id="rId10" Type="http://schemas.openxmlformats.org/officeDocument/2006/relationships/header" Target="header2.xml"/><Relationship Id="rId31" Type="http://schemas.openxmlformats.org/officeDocument/2006/relationships/footer" Target="footer6.xml"/><Relationship Id="rId52" Type="http://schemas.openxmlformats.org/officeDocument/2006/relationships/header" Target="header13.xml"/><Relationship Id="rId73" Type="http://schemas.openxmlformats.org/officeDocument/2006/relationships/hyperlink" Target="https://www.gov.uk/government/publications/it-health-check-ithc-supporting-guidance" TargetMode="External"/><Relationship Id="rId78" Type="http://schemas.openxmlformats.org/officeDocument/2006/relationships/footer" Target="footer19.xml"/><Relationship Id="rId94" Type="http://schemas.openxmlformats.org/officeDocument/2006/relationships/footer" Target="footer26.xml"/><Relationship Id="rId99" Type="http://schemas.openxmlformats.org/officeDocument/2006/relationships/image" Target="media/image6.png"/><Relationship Id="rId101" Type="http://schemas.openxmlformats.org/officeDocument/2006/relationships/hyperlink" Target="https://www.gov.uk/government/publications/multiply-funding-available-to-improve-numeracy-skills" TargetMode="External"/><Relationship Id="rId122" Type="http://schemas.openxmlformats.org/officeDocument/2006/relationships/footer" Target="footer31.xml"/><Relationship Id="rId143" Type="http://schemas.openxmlformats.org/officeDocument/2006/relationships/footer" Target="footer52.xml"/><Relationship Id="rId148" Type="http://schemas.openxmlformats.org/officeDocument/2006/relationships/footer" Target="footer57.xml"/><Relationship Id="rId164" Type="http://schemas.openxmlformats.org/officeDocument/2006/relationships/header" Target="header34.xml"/><Relationship Id="rId169" Type="http://schemas.openxmlformats.org/officeDocument/2006/relationships/footer" Target="footer69.xml"/><Relationship Id="rId4" Type="http://schemas.openxmlformats.org/officeDocument/2006/relationships/webSettings" Target="webSettings.xml"/><Relationship Id="rId9" Type="http://schemas.openxmlformats.org/officeDocument/2006/relationships/footer" Target="footer1.xml"/><Relationship Id="rId26" Type="http://schemas.openxmlformats.org/officeDocument/2006/relationships/header" Target="header4.xml"/><Relationship Id="rId47" Type="http://schemas.openxmlformats.org/officeDocument/2006/relationships/footer" Target="footer11.xml"/><Relationship Id="rId68" Type="http://schemas.openxmlformats.org/officeDocument/2006/relationships/hyperlink" Target="https://www.gov.uk/government/organisations/department-for-education/about/our-energy-use" TargetMode="External"/><Relationship Id="rId89" Type="http://schemas.openxmlformats.org/officeDocument/2006/relationships/header" Target="header24.xml"/><Relationship Id="rId112" Type="http://schemas.openxmlformats.org/officeDocument/2006/relationships/hyperlink" Target="https://www.contractsfinder.service.gov.uk/Notice/f4243b97-2ac1-4278-a3e4-3f76ac142081" TargetMode="External"/><Relationship Id="rId133" Type="http://schemas.openxmlformats.org/officeDocument/2006/relationships/footer" Target="footer42.xml"/><Relationship Id="rId154" Type="http://schemas.openxmlformats.org/officeDocument/2006/relationships/footer" Target="footer63.xml"/><Relationship Id="rId16" Type="http://schemas.openxmlformats.org/officeDocument/2006/relationships/hyperlink" Target="http://www.nationalarchives.gov.uk/doc/open-government-licence/version/3/" TargetMode="External"/><Relationship Id="rId37" Type="http://schemas.openxmlformats.org/officeDocument/2006/relationships/footer" Target="footer7.xml"/><Relationship Id="rId58" Type="http://schemas.openxmlformats.org/officeDocument/2006/relationships/footer" Target="footer14.xml"/><Relationship Id="rId79" Type="http://schemas.openxmlformats.org/officeDocument/2006/relationships/header" Target="header20.xml"/><Relationship Id="rId102" Type="http://schemas.openxmlformats.org/officeDocument/2006/relationships/hyperlink" Target="https://www.gov.uk/government/publications/multiply-funding-available-to-improve-numeracy-skills" TargetMode="External"/><Relationship Id="rId123" Type="http://schemas.openxmlformats.org/officeDocument/2006/relationships/footer" Target="footer32.xml"/><Relationship Id="rId144" Type="http://schemas.openxmlformats.org/officeDocument/2006/relationships/footer" Target="footer53.xml"/><Relationship Id="rId90" Type="http://schemas.openxmlformats.org/officeDocument/2006/relationships/footer" Target="footer24.xml"/><Relationship Id="rId165" Type="http://schemas.openxmlformats.org/officeDocument/2006/relationships/footer" Target="footer67.xml"/><Relationship Id="rId27" Type="http://schemas.openxmlformats.org/officeDocument/2006/relationships/footer" Target="footer4.xml"/><Relationship Id="rId48" Type="http://schemas.openxmlformats.org/officeDocument/2006/relationships/header" Target="header12.xml"/><Relationship Id="rId69" Type="http://schemas.openxmlformats.org/officeDocument/2006/relationships/hyperlink" Target="https://www.gov.uk/government/organisations/department-for-education/about/our-energy-use" TargetMode="External"/><Relationship Id="rId113" Type="http://schemas.openxmlformats.org/officeDocument/2006/relationships/header" Target="header29.xml"/><Relationship Id="rId134" Type="http://schemas.openxmlformats.org/officeDocument/2006/relationships/footer" Target="footer43.xml"/><Relationship Id="rId80" Type="http://schemas.openxmlformats.org/officeDocument/2006/relationships/footer" Target="footer20.xml"/><Relationship Id="rId155" Type="http://schemas.openxmlformats.org/officeDocument/2006/relationships/header" Target="header31.xml"/><Relationship Id="rId17" Type="http://schemas.openxmlformats.org/officeDocument/2006/relationships/hyperlink" Target="https://www.gov.uk/government/publications/open-standards-principles/open-standards-principles" TargetMode="External"/><Relationship Id="rId38" Type="http://schemas.openxmlformats.org/officeDocument/2006/relationships/header" Target="header8.xml"/><Relationship Id="rId59" Type="http://schemas.openxmlformats.org/officeDocument/2006/relationships/header" Target="header15.xml"/><Relationship Id="rId103" Type="http://schemas.openxmlformats.org/officeDocument/2006/relationships/hyperlink" Target="https://www.gov.uk/government/publications/review-of-the-evidence-on-the-numeracy-skills-interventions-for-adults" TargetMode="External"/><Relationship Id="rId124" Type="http://schemas.openxmlformats.org/officeDocument/2006/relationships/footer" Target="footer33.xml"/><Relationship Id="rId70" Type="http://schemas.openxmlformats.org/officeDocument/2006/relationships/hyperlink" Target="https://www.gov.uk/government/collections/sustainable-procurement-the-government-buying-standards-gbs" TargetMode="External"/><Relationship Id="rId91" Type="http://schemas.openxmlformats.org/officeDocument/2006/relationships/header" Target="header25.xml"/><Relationship Id="rId145" Type="http://schemas.openxmlformats.org/officeDocument/2006/relationships/footer" Target="footer54.xml"/><Relationship Id="rId166" Type="http://schemas.openxmlformats.org/officeDocument/2006/relationships/header" Target="header35.xml"/></Relationships>
</file>

<file path=word/_rels/header27.xml.rels><?xml version="1.0" encoding="UTF-8" standalone="yes"?>
<Relationships xmlns="http://schemas.openxmlformats.org/package/2006/relationships"><Relationship Id="rId1" Type="http://schemas.openxmlformats.org/officeDocument/2006/relationships/image" Target="media/image5.jpeg"/></Relationships>
</file>

<file path=word/_rels/header28.xml.rels><?xml version="1.0" encoding="UTF-8" standalone="yes"?>
<Relationships xmlns="http://schemas.openxmlformats.org/package/2006/relationships"><Relationship Id="rId1" Type="http://schemas.openxmlformats.org/officeDocument/2006/relationships/image" Target="media/image5.jpeg"/></Relationships>
</file>

<file path=word/_rels/header36.xml.rels><?xml version="1.0" encoding="UTF-8" standalone="yes"?>
<Relationships xmlns="http://schemas.openxmlformats.org/package/2006/relationships"><Relationship Id="rId1" Type="http://schemas.openxmlformats.org/officeDocument/2006/relationships/image" Target="media/image8.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11-01T18:03:44.605"/>
    </inkml:context>
    <inkml:brush xml:id="br0">
      <inkml:brushProperty name="width" value="0.035" units="cm"/>
      <inkml:brushProperty name="height" value="0.035" units="cm"/>
    </inkml:brush>
  </inkml:definitions>
  <inkml:trace contextRef="#ctx0" brushRef="#br0">19 106 9215 0 0,'-1'-5'-122'0'0,"-4"-12"2608"0"0,2 15-1052 0 0,-1 11-898 0 0,2 4-336 0 0,0 0 1 0 0,1 0-1 0 0,0 0 0 0 0,1 1 1 0 0,1-1-1 0 0,0 0 1 0 0,4 17-1 0 0,1 16-177 0 0,-3 14-13 0 0,0-11-20 0 0,10 58-1 0 0,-10-92 25 0 0,0-1 1 0 0,1 1-1 0 0,1-1 0 0 0,0-1 0 0 0,1 1 1 0 0,0-1-1 0 0,1 0 0 0 0,13 18 1 0 0,-18-28-15 0 0,0 0 1 0 0,0 0-1 0 0,1-1 1 0 0,-1 1-1 0 0,1-1 1 0 0,-1 1-1 0 0,1-1 1 0 0,0 0-1 0 0,0 0 1 0 0,0 0-1 0 0,0 0 1 0 0,0-1-1 0 0,1 1 1 0 0,-1-1-1 0 0,0 0 1 0 0,1 0-1 0 0,-1 0 1 0 0,1 0-1 0 0,4 0 1 0 0,-3-2 0 0 0,0 1 0 0 0,-1-1 0 0 0,1 0 0 0 0,-1 0 0 0 0,0 0 0 0 0,1-1 0 0 0,-1 0 1 0 0,0 1-1 0 0,0-1 0 0 0,0-1 0 0 0,0 1 0 0 0,0-1 0 0 0,0 1 0 0 0,5-6 0 0 0,17-19 250 0 0,0-1-1 0 0,-1-1 0 0 0,-2-2 0 0 0,37-62 1 0 0,-32 48-139 0 0,-15 28 568 0 0,-12 16-392 0 0,5 19 931 0 0,-3 2-937 0 0,0-1 0 0 0,0 1 0 0 0,2-1 0 0 0,10 27 0 0 0,-14-41-284 0 0,1 0 0 0 0,0 0 1 0 0,1-1-1 0 0,-1 1 0 0 0,1-1 0 0 0,0 0 1 0 0,0 0-1 0 0,0 0 0 0 0,0 0 0 0 0,1 0 0 0 0,0-1 1 0 0,0 0-1 0 0,0 1 0 0 0,0-1 0 0 0,0-1 1 0 0,0 1-1 0 0,1-1 0 0 0,0 1 0 0 0,-1-1 1 0 0,1-1-1 0 0,0 1 0 0 0,9 1 0 0 0,-7-2 2 0 0,0-1 0 0 0,0-1-1 0 0,-1 1 1 0 0,1-1 0 0 0,0 0-1 0 0,-1-1 1 0 0,1 0 0 0 0,-1 0-1 0 0,1 0 1 0 0,-1-1 0 0 0,0 1-1 0 0,0-2 1 0 0,10-6 0 0 0,-1 0 11 0 0,-1-1 1 0 0,-1 0-1 0 0,0-1 1 0 0,13-15 0 0 0,-3-6 204 0 0,-20 26 55 0 0,1 1 0 0 0,0 0 0 0 0,0 1 0 0 0,1-1 0 0 0,6-6 0 0 0,-10 11 17 0 0,-1 1-270 0 0,0 0 0 0 0,1 0 0 0 0,-1 0 0 0 0,0-1 0 0 0,0 1 0 0 0,1 0 0 0 0,-1 0-1 0 0,0 0 1 0 0,1 0 0 0 0,-1 0 0 0 0,0 0 0 0 0,1-1 0 0 0,-1 1 0 0 0,0 0 0 0 0,0 0 0 0 0,1 0 0 0 0,-1 0 0 0 0,0 0 0 0 0,1 0-1 0 0,-1 0 1 0 0,0 0 0 0 0,1 0 0 0 0,-1 1 0 0 0,0-1 0 0 0,1 0 0 0 0,-1 0 0 0 0,0 0 0 0 0,0 0 0 0 0,1 0 0 0 0,-1 0 0 0 0,0 1-1 0 0,1-1 1 0 0,-1 0 0 0 0,12 6 184 0 0,1 3-220 0 0,0-1 1 0 0,1 0 0 0 0,0-1-1 0 0,0 0 1 0 0,1-2-1 0 0,0 1 1 0 0,0-2-1 0 0,0 0 1 0 0,1 0 0 0 0,0-2-1 0 0,-1 0 1 0 0,1-1-1 0 0,0 0 1 0 0,0-1-1 0 0,27-4 1 0 0,-25 1-4 0 0,0-1-1 0 0,0-1 1 0 0,0 0-1 0 0,0-1 1 0 0,-1-1 0 0 0,0 0-1 0 0,-1-2 1 0 0,0 0-1 0 0,0 0 1 0 0,-1-2-1 0 0,0 0 1 0 0,0-1 0 0 0,15-16-1 0 0,-9 3 203 0 0,-14 17-41 0 0,1-1 0 0 0,-1 1 0 0 0,1 1 0 0 0,14-11 0 0 0,-20 17-113 0 0,-1 0-1 0 0,1 0 1 0 0,0 0-1 0 0,0 1 1 0 0,0-1-1 0 0,0 0 1 0 0,0 1-1 0 0,1 0 1 0 0,-1-1-1 0 0,0 1 1 0 0,0 0-1 0 0,0 0 1 0 0,0 0-1 0 0,0 1 0 0 0,0-1 1 0 0,0 0-1 0 0,0 1 1 0 0,0-1-1 0 0,0 1 1 0 0,0 0-1 0 0,0 0 1 0 0,0 0-1 0 0,0 0 1 0 0,0 0-1 0 0,-1 0 1 0 0,1 0-1 0 0,0 0 1 0 0,-1 1-1 0 0,1-1 1 0 0,2 3-1 0 0,4 6 14 0 0,1-1 0 0 0,-2 1 0 0 0,13 20 0 0 0,-17-27-17 0 0,19 37-82 0 0,0 0-1 0 0,-3 1 1 0 0,-2 1-1 0 0,-1 0 0 0 0,-2 2 1 0 0,-2 0-1 0 0,-2 0 1 0 0,-2 0-1 0 0,-2 1 0 0 0,-2 1 1 0 0,-2-1-1 0 0,-2 0 0 0 0,-6 48 1 0 0,4-75 125 0 0,-1 0 0 0 0,-1 0 0 0 0,-1-1 0 0 0,0 1-1 0 0,-1-1 1 0 0,-1-1 0 0 0,-1 1 0 0 0,-18 29 0 0 0,25-44-49 0 0,1-1-1 0 0,-1 0 1 0 0,0 0-1 0 0,0 0 1 0 0,0 0-1 0 0,1 0 0 0 0,-1 0 1 0 0,0 0-1 0 0,0 0 1 0 0,-1 0-1 0 0,1 0 1 0 0,0-1-1 0 0,0 1 1 0 0,0 0-1 0 0,0-1 1 0 0,-1 1-1 0 0,1-1 1 0 0,0 1-1 0 0,-3 0 1 0 0,3-1-9 0 0,0-1 1 0 0,0 1 0 0 0,0 0-1 0 0,0-1 1 0 0,0 1 0 0 0,0 0 0 0 0,1-1-1 0 0,-1 1 1 0 0,0-1 0 0 0,0 1-1 0 0,0-1 1 0 0,1 0 0 0 0,-1 1-1 0 0,0-1 1 0 0,1 0 0 0 0,-1 1-1 0 0,0-1 1 0 0,1 0 0 0 0,-1 0 0 0 0,0-1-1 0 0,-2-6 11 0 0,0 1 0 0 0,0-1 0 0 0,0 1 0 0 0,1-1 0 0 0,-1-10-1 0 0,-3-22-35 0 0,2 0 0 0 0,2 0 0 0 0,6-75 0 0 0,31-119-120 0 0,20-9-7 0 0,-44 204 116 0 0,3-1 0 0 0,1 2 0 0 0,39-73 0 0 0,-38 86 17 0 0,0 0 1 0 0,33-36-1 0 0,-42 53 8 0 0,1 0 0 0 0,0 1 0 0 0,0 0 0 0 0,1 0 1 0 0,0 0-1 0 0,0 1 0 0 0,0 1 0 0 0,1-1 0 0 0,0 2 0 0 0,14-6 0 0 0,-22 9-5 0 0,1 1 1 0 0,-1-1-1 0 0,1 0 0 0 0,-1 1 1 0 0,1 0-1 0 0,0 0 0 0 0,-1-1 1 0 0,1 1-1 0 0,-1 1 0 0 0,1-1 0 0 0,0 0 1 0 0,-1 1-1 0 0,1-1 0 0 0,-1 1 1 0 0,1 0-1 0 0,-1 0 0 0 0,1 0 1 0 0,-1 0-1 0 0,3 2 0 0 0,-3-1-19 0 0,1 0 0 0 0,0 1 0 0 0,-1-1 0 0 0,0 1 1 0 0,0 0-1 0 0,0-1 0 0 0,0 1 0 0 0,0 0 0 0 0,0 0 0 0 0,-1 0 0 0 0,0 1 0 0 0,2 5 0 0 0,1 6-76 0 0,-1 1 1 0 0,-1-1-1 0 0,0 1 0 0 0,-1 0 1 0 0,-1 16-1 0 0,-4 42-386 0 0,1-51 410 0 0,2 0 0 0 0,0 0 0 0 0,2 0-1 0 0,0 0 1 0 0,6 26 0 0 0,-6-45 117 0 0,0 0-1 0 0,0-1 1 0 0,1 1-1 0 0,0 0 1 0 0,-1 0-1 0 0,1-1 1 0 0,1 1 0 0 0,-1-1-1 0 0,1 0 1 0 0,-1 0-1 0 0,1 0 1 0 0,0 0-1 0 0,0 0 1 0 0,4 3-1 0 0,-1-2-20 0 0,1 0 0 0 0,0 0-1 0 0,0-1 1 0 0,0 0-1 0 0,0 0 1 0 0,15 4 0 0 0,3-3-247 0 0,1 0 0 0 0,-1-2 0 0 0,38 0 0 0 0,-55-2 113 0 0,1-1 161 0 0,-1 1 1 0 0,1 1-1 0 0,0 0 0 0 0,-1 0 0 0 0,14 4 0 0 0,-20-5 31 0 0,-1 0 1 0 0,1 1-1 0 0,-1 0 1 0 0,1-1-1 0 0,-1 1 1 0 0,0 0-1 0 0,0 0 1 0 0,1 0-1 0 0,-1 0 1 0 0,0 0-1 0 0,0 0 1 0 0,0 0-1 0 0,0 0 1 0 0,0 0-1 0 0,0 1 1 0 0,0-1-1 0 0,0 0 1 0 0,-1 1-1 0 0,1-1 1 0 0,0 0-1 0 0,-1 1 1 0 0,1-1-1 0 0,-1 1 1 0 0,0-1-1 0 0,1 1 1 0 0,-1-1-1 0 0,0 1 1 0 0,0-1-1 0 0,0 1 1 0 0,0 0-1 0 0,0-1 1 0 0,0 1-1 0 0,-1-1 1 0 0,1 1-1 0 0,0-1 1 0 0,-1 1-1 0 0,1-1 1 0 0,-2 3-1 0 0,-1 5 303 0 0,1-5-345 0 0,1 0 1 0 0,0 1-1 0 0,-1-1 1 0 0,1 0-1 0 0,1 1 0 0 0,-1-1 1 0 0,1 1-1 0 0,-1-1 1 0 0,2 9-1 0 0,-1-13-42 0 0,0 1-1 0 0,0-1 1 0 0,1 1-1 0 0,-1-1 1 0 0,0 0 0 0 0,0 1-1 0 0,0-1 1 0 0,1 0-1 0 0,-1 1 1 0 0,0-1 0 0 0,1 0-1 0 0,-1 1 1 0 0,0-1-1 0 0,1 0 1 0 0,-1 0-1 0 0,0 1 1 0 0,1-1 0 0 0,-1 0-1 0 0,1 0 1 0 0,-1 0-1 0 0,0 0 1 0 0,1 1 0 0 0,-1-1-1 0 0,1 0 1 0 0,-1 0-1 0 0,1 0 1 0 0,-1 0-1 0 0,0 0 1 0 0,1 0 0 0 0,-1 0-1 0 0,1 0 1 0 0,-1 0-1 0 0,1 0 1 0 0,-1 0-1 0 0,0-1 1 0 0,1 1 0 0 0,-1 0-1 0 0,1 0 1 0 0,-1 0-1 0 0,0-1 1 0 0,1 1 0 0 0,-1 0-1 0 0,0 0 1 0 0,1-1-1 0 0,-1 1 1 0 0,0 0-1 0 0,1 0 1 0 0,-1-1 0 0 0,0 1-1 0 0,1 0 1 0 0,-1-1-1 0 0,0 0 1 0 0,12-12-2061 0 0,-8 7-3335 0 0,-1-5-2285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264</Pages>
  <Words>76364</Words>
  <Characters>435280</Characters>
  <Application>Microsoft Office Word</Application>
  <DocSecurity>0</DocSecurity>
  <Lines>3627</Lines>
  <Paragraphs>1021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510623</CharactersWithSpaces>
  <SharedDoc>false</SharedDoc>
  <HLinks>
    <vt:vector size="474" baseType="variant">
      <vt:variant>
        <vt:i4>5505109</vt:i4>
      </vt:variant>
      <vt:variant>
        <vt:i4>234</vt:i4>
      </vt:variant>
      <vt:variant>
        <vt:i4>0</vt:i4>
      </vt:variant>
      <vt:variant>
        <vt:i4>5</vt:i4>
      </vt:variant>
      <vt:variant>
        <vt:lpwstr>https://educationendowmentfoundation.org.uk/public/files/Recruitment_and_retention_guidance_FINAL..pdf</vt:lpwstr>
      </vt:variant>
      <vt:variant>
        <vt:lpwstr/>
      </vt:variant>
      <vt:variant>
        <vt:i4>5505109</vt:i4>
      </vt:variant>
      <vt:variant>
        <vt:i4>231</vt:i4>
      </vt:variant>
      <vt:variant>
        <vt:i4>0</vt:i4>
      </vt:variant>
      <vt:variant>
        <vt:i4>5</vt:i4>
      </vt:variant>
      <vt:variant>
        <vt:lpwstr>https://educationendowmentfoundation.org.uk/public/files/Recruitment_and_retention_guidance_FINAL..pdf</vt:lpwstr>
      </vt:variant>
      <vt:variant>
        <vt:lpwstr/>
      </vt:variant>
      <vt:variant>
        <vt:i4>4587548</vt:i4>
      </vt:variant>
      <vt:variant>
        <vt:i4>228</vt:i4>
      </vt:variant>
      <vt:variant>
        <vt:i4>0</vt:i4>
      </vt:variant>
      <vt:variant>
        <vt:i4>5</vt:i4>
      </vt:variant>
      <vt:variant>
        <vt:lpwstr>https://educationendowmentfoundation.org.uk/public/files/Evaluation/Setting_up_an_Evaluation/IPE_Handbook.pdf</vt:lpwstr>
      </vt:variant>
      <vt:variant>
        <vt:lpwstr/>
      </vt:variant>
      <vt:variant>
        <vt:i4>7733311</vt:i4>
      </vt:variant>
      <vt:variant>
        <vt:i4>225</vt:i4>
      </vt:variant>
      <vt:variant>
        <vt:i4>0</vt:i4>
      </vt:variant>
      <vt:variant>
        <vt:i4>5</vt:i4>
      </vt:variant>
      <vt:variant>
        <vt:lpwstr>http://www.nottingham.ac.uk/research/groups/cr</vt:lpwstr>
      </vt:variant>
      <vt:variant>
        <vt:lpwstr/>
      </vt:variant>
      <vt:variant>
        <vt:i4>7864355</vt:i4>
      </vt:variant>
      <vt:variant>
        <vt:i4>222</vt:i4>
      </vt:variant>
      <vt:variant>
        <vt:i4>0</vt:i4>
      </vt:variant>
      <vt:variant>
        <vt:i4>5</vt:i4>
      </vt:variant>
      <vt:variant>
        <vt:lpwstr>http://www.et-foundation.co.uk/wp-</vt:lpwstr>
      </vt:variant>
      <vt:variant>
        <vt:lpwstr/>
      </vt:variant>
      <vt:variant>
        <vt:i4>196623</vt:i4>
      </vt:variant>
      <vt:variant>
        <vt:i4>219</vt:i4>
      </vt:variant>
      <vt:variant>
        <vt:i4>0</vt:i4>
      </vt:variant>
      <vt:variant>
        <vt:i4>5</vt:i4>
      </vt:variant>
      <vt:variant>
        <vt:lpwstr>http://www.ncetm.org.uk/teaching-for-</vt:lpwstr>
      </vt:variant>
      <vt:variant>
        <vt:lpwstr/>
      </vt:variant>
      <vt:variant>
        <vt:i4>196623</vt:i4>
      </vt:variant>
      <vt:variant>
        <vt:i4>216</vt:i4>
      </vt:variant>
      <vt:variant>
        <vt:i4>0</vt:i4>
      </vt:variant>
      <vt:variant>
        <vt:i4>5</vt:i4>
      </vt:variant>
      <vt:variant>
        <vt:lpwstr>http://www.ncetm.org.uk/teaching-for-</vt:lpwstr>
      </vt:variant>
      <vt:variant>
        <vt:lpwstr/>
      </vt:variant>
      <vt:variant>
        <vt:i4>2293841</vt:i4>
      </vt:variant>
      <vt:variant>
        <vt:i4>213</vt:i4>
      </vt:variant>
      <vt:variant>
        <vt:i4>0</vt:i4>
      </vt:variant>
      <vt:variant>
        <vt:i4>5</vt:i4>
      </vt:variant>
      <vt:variant>
        <vt:lpwstr/>
      </vt:variant>
      <vt:variant>
        <vt:lpwstr>_bookmark16</vt:lpwstr>
      </vt:variant>
      <vt:variant>
        <vt:i4>2818081</vt:i4>
      </vt:variant>
      <vt:variant>
        <vt:i4>210</vt:i4>
      </vt:variant>
      <vt:variant>
        <vt:i4>0</vt:i4>
      </vt:variant>
      <vt:variant>
        <vt:i4>5</vt:i4>
      </vt:variant>
      <vt:variant>
        <vt:lpwstr>https://www.contractsfinder.service.gov.uk/Notice/f4243b97-2ac1-4278-a3e4-3f76ac142081</vt:lpwstr>
      </vt:variant>
      <vt:variant>
        <vt:lpwstr/>
      </vt:variant>
      <vt:variant>
        <vt:i4>8323106</vt:i4>
      </vt:variant>
      <vt:variant>
        <vt:i4>207</vt:i4>
      </vt:variant>
      <vt:variant>
        <vt:i4>0</vt:i4>
      </vt:variant>
      <vt:variant>
        <vt:i4>5</vt:i4>
      </vt:variant>
      <vt:variant>
        <vt:lpwstr>https://www.contractsfinder.service.gov.uk/Notice/f7ed6315-cc35-43e1-8e76-7ba12d7f77c6</vt:lpwstr>
      </vt:variant>
      <vt:variant>
        <vt:lpwstr/>
      </vt:variant>
      <vt:variant>
        <vt:i4>8323106</vt:i4>
      </vt:variant>
      <vt:variant>
        <vt:i4>204</vt:i4>
      </vt:variant>
      <vt:variant>
        <vt:i4>0</vt:i4>
      </vt:variant>
      <vt:variant>
        <vt:i4>5</vt:i4>
      </vt:variant>
      <vt:variant>
        <vt:lpwstr>https://www.contractsfinder.service.gov.uk/Notice/f7ed6315-cc35-43e1-8e76-7ba12d7f77c6</vt:lpwstr>
      </vt:variant>
      <vt:variant>
        <vt:lpwstr/>
      </vt:variant>
      <vt:variant>
        <vt:i4>7405614</vt:i4>
      </vt:variant>
      <vt:variant>
        <vt:i4>201</vt:i4>
      </vt:variant>
      <vt:variant>
        <vt:i4>0</vt:i4>
      </vt:variant>
      <vt:variant>
        <vt:i4>5</vt:i4>
      </vt:variant>
      <vt:variant>
        <vt:lpwstr>https://www.contractsfinder.service.gov.uk/Notice/865ce8f1-6561-45a4-9715-2e08bbd30629</vt:lpwstr>
      </vt:variant>
      <vt:variant>
        <vt:lpwstr/>
      </vt:variant>
      <vt:variant>
        <vt:i4>7405614</vt:i4>
      </vt:variant>
      <vt:variant>
        <vt:i4>198</vt:i4>
      </vt:variant>
      <vt:variant>
        <vt:i4>0</vt:i4>
      </vt:variant>
      <vt:variant>
        <vt:i4>5</vt:i4>
      </vt:variant>
      <vt:variant>
        <vt:lpwstr>https://www.contractsfinder.service.gov.uk/Notice/865ce8f1-6561-45a4-9715-2e08bbd30629</vt:lpwstr>
      </vt:variant>
      <vt:variant>
        <vt:lpwstr/>
      </vt:variant>
      <vt:variant>
        <vt:i4>7405614</vt:i4>
      </vt:variant>
      <vt:variant>
        <vt:i4>195</vt:i4>
      </vt:variant>
      <vt:variant>
        <vt:i4>0</vt:i4>
      </vt:variant>
      <vt:variant>
        <vt:i4>5</vt:i4>
      </vt:variant>
      <vt:variant>
        <vt:lpwstr>https://www.contractsfinder.service.gov.uk/Notice/865ce8f1-6561-45a4-9715-2e08bbd30629</vt:lpwstr>
      </vt:variant>
      <vt:variant>
        <vt:lpwstr/>
      </vt:variant>
      <vt:variant>
        <vt:i4>7602220</vt:i4>
      </vt:variant>
      <vt:variant>
        <vt:i4>192</vt:i4>
      </vt:variant>
      <vt:variant>
        <vt:i4>0</vt:i4>
      </vt:variant>
      <vt:variant>
        <vt:i4>5</vt:i4>
      </vt:variant>
      <vt:variant>
        <vt:lpwstr>https://www.contractsfinder.service.gov.uk/Notice/d374e111-aaa0-4282-824f-18e36cf415b1</vt:lpwstr>
      </vt:variant>
      <vt:variant>
        <vt:lpwstr/>
      </vt:variant>
      <vt:variant>
        <vt:i4>2293841</vt:i4>
      </vt:variant>
      <vt:variant>
        <vt:i4>189</vt:i4>
      </vt:variant>
      <vt:variant>
        <vt:i4>0</vt:i4>
      </vt:variant>
      <vt:variant>
        <vt:i4>5</vt:i4>
      </vt:variant>
      <vt:variant>
        <vt:lpwstr/>
      </vt:variant>
      <vt:variant>
        <vt:lpwstr>_bookmark15</vt:lpwstr>
      </vt:variant>
      <vt:variant>
        <vt:i4>131097</vt:i4>
      </vt:variant>
      <vt:variant>
        <vt:i4>186</vt:i4>
      </vt:variant>
      <vt:variant>
        <vt:i4>0</vt:i4>
      </vt:variant>
      <vt:variant>
        <vt:i4>5</vt:i4>
      </vt:variant>
      <vt:variant>
        <vt:lpwstr>https://www.find-tender.service.gov.uk/Notice/016015-2023</vt:lpwstr>
      </vt:variant>
      <vt:variant>
        <vt:lpwstr/>
      </vt:variant>
      <vt:variant>
        <vt:i4>2293841</vt:i4>
      </vt:variant>
      <vt:variant>
        <vt:i4>183</vt:i4>
      </vt:variant>
      <vt:variant>
        <vt:i4>0</vt:i4>
      </vt:variant>
      <vt:variant>
        <vt:i4>5</vt:i4>
      </vt:variant>
      <vt:variant>
        <vt:lpwstr/>
      </vt:variant>
      <vt:variant>
        <vt:lpwstr>_bookmark12</vt:lpwstr>
      </vt:variant>
      <vt:variant>
        <vt:i4>65550</vt:i4>
      </vt:variant>
      <vt:variant>
        <vt:i4>180</vt:i4>
      </vt:variant>
      <vt:variant>
        <vt:i4>0</vt:i4>
      </vt:variant>
      <vt:variant>
        <vt:i4>5</vt:i4>
      </vt:variant>
      <vt:variant>
        <vt:lpwstr>https://www.gov.uk/government/publications/review-of-the-evidence-on-the-numeracy-skills-interventions-for-adults</vt:lpwstr>
      </vt:variant>
      <vt:variant>
        <vt:lpwstr/>
      </vt:variant>
      <vt:variant>
        <vt:i4>65550</vt:i4>
      </vt:variant>
      <vt:variant>
        <vt:i4>177</vt:i4>
      </vt:variant>
      <vt:variant>
        <vt:i4>0</vt:i4>
      </vt:variant>
      <vt:variant>
        <vt:i4>5</vt:i4>
      </vt:variant>
      <vt:variant>
        <vt:lpwstr>https://www.gov.uk/government/publications/review-of-the-evidence-on-the-numeracy-skills-interventions-for-adults</vt:lpwstr>
      </vt:variant>
      <vt:variant>
        <vt:lpwstr/>
      </vt:variant>
      <vt:variant>
        <vt:i4>4980810</vt:i4>
      </vt:variant>
      <vt:variant>
        <vt:i4>174</vt:i4>
      </vt:variant>
      <vt:variant>
        <vt:i4>0</vt:i4>
      </vt:variant>
      <vt:variant>
        <vt:i4>5</vt:i4>
      </vt:variant>
      <vt:variant>
        <vt:lpwstr>https://www.gov.uk/government/publications/multiply-funding-available-to-improve-numeracy-skills</vt:lpwstr>
      </vt:variant>
      <vt:variant>
        <vt:lpwstr/>
      </vt:variant>
      <vt:variant>
        <vt:i4>4980810</vt:i4>
      </vt:variant>
      <vt:variant>
        <vt:i4>171</vt:i4>
      </vt:variant>
      <vt:variant>
        <vt:i4>0</vt:i4>
      </vt:variant>
      <vt:variant>
        <vt:i4>5</vt:i4>
      </vt:variant>
      <vt:variant>
        <vt:lpwstr>https://www.gov.uk/government/publications/multiply-funding-available-to-improve-numeracy-skills</vt:lpwstr>
      </vt:variant>
      <vt:variant>
        <vt:lpwstr/>
      </vt:variant>
      <vt:variant>
        <vt:i4>2818129</vt:i4>
      </vt:variant>
      <vt:variant>
        <vt:i4>168</vt:i4>
      </vt:variant>
      <vt:variant>
        <vt:i4>0</vt:i4>
      </vt:variant>
      <vt:variant>
        <vt:i4>5</vt:i4>
      </vt:variant>
      <vt:variant>
        <vt:lpwstr/>
      </vt:variant>
      <vt:variant>
        <vt:lpwstr>_bookmark9</vt:lpwstr>
      </vt:variant>
      <vt:variant>
        <vt:i4>6029386</vt:i4>
      </vt:variant>
      <vt:variant>
        <vt:i4>165</vt:i4>
      </vt:variant>
      <vt:variant>
        <vt:i4>0</vt:i4>
      </vt:variant>
      <vt:variant>
        <vt:i4>5</vt:i4>
      </vt:variant>
      <vt:variant>
        <vt:lpwstr>https://committees.parliament.uk/writtenevidence/62968/html/</vt:lpwstr>
      </vt:variant>
      <vt:variant>
        <vt:lpwstr/>
      </vt:variant>
      <vt:variant>
        <vt:i4>2752593</vt:i4>
      </vt:variant>
      <vt:variant>
        <vt:i4>162</vt:i4>
      </vt:variant>
      <vt:variant>
        <vt:i4>0</vt:i4>
      </vt:variant>
      <vt:variant>
        <vt:i4>5</vt:i4>
      </vt:variant>
      <vt:variant>
        <vt:lpwstr/>
      </vt:variant>
      <vt:variant>
        <vt:lpwstr>_bookmark8</vt:lpwstr>
      </vt:variant>
      <vt:variant>
        <vt:i4>2424913</vt:i4>
      </vt:variant>
      <vt:variant>
        <vt:i4>159</vt:i4>
      </vt:variant>
      <vt:variant>
        <vt:i4>0</vt:i4>
      </vt:variant>
      <vt:variant>
        <vt:i4>5</vt:i4>
      </vt:variant>
      <vt:variant>
        <vt:lpwstr/>
      </vt:variant>
      <vt:variant>
        <vt:lpwstr>_bookmark7</vt:lpwstr>
      </vt:variant>
      <vt:variant>
        <vt:i4>2490449</vt:i4>
      </vt:variant>
      <vt:variant>
        <vt:i4>156</vt:i4>
      </vt:variant>
      <vt:variant>
        <vt:i4>0</vt:i4>
      </vt:variant>
      <vt:variant>
        <vt:i4>5</vt:i4>
      </vt:variant>
      <vt:variant>
        <vt:lpwstr/>
      </vt:variant>
      <vt:variant>
        <vt:lpwstr>_bookmark4</vt:lpwstr>
      </vt:variant>
      <vt:variant>
        <vt:i4>2162769</vt:i4>
      </vt:variant>
      <vt:variant>
        <vt:i4>153</vt:i4>
      </vt:variant>
      <vt:variant>
        <vt:i4>0</vt:i4>
      </vt:variant>
      <vt:variant>
        <vt:i4>5</vt:i4>
      </vt:variant>
      <vt:variant>
        <vt:lpwstr/>
      </vt:variant>
      <vt:variant>
        <vt:lpwstr>_bookmark3</vt:lpwstr>
      </vt:variant>
      <vt:variant>
        <vt:i4>2097233</vt:i4>
      </vt:variant>
      <vt:variant>
        <vt:i4>150</vt:i4>
      </vt:variant>
      <vt:variant>
        <vt:i4>0</vt:i4>
      </vt:variant>
      <vt:variant>
        <vt:i4>5</vt:i4>
      </vt:variant>
      <vt:variant>
        <vt:lpwstr/>
      </vt:variant>
      <vt:variant>
        <vt:lpwstr>_bookmark22</vt:lpwstr>
      </vt:variant>
      <vt:variant>
        <vt:i4>2097233</vt:i4>
      </vt:variant>
      <vt:variant>
        <vt:i4>147</vt:i4>
      </vt:variant>
      <vt:variant>
        <vt:i4>0</vt:i4>
      </vt:variant>
      <vt:variant>
        <vt:i4>5</vt:i4>
      </vt:variant>
      <vt:variant>
        <vt:lpwstr/>
      </vt:variant>
      <vt:variant>
        <vt:lpwstr>_bookmark21</vt:lpwstr>
      </vt:variant>
      <vt:variant>
        <vt:i4>2097233</vt:i4>
      </vt:variant>
      <vt:variant>
        <vt:i4>144</vt:i4>
      </vt:variant>
      <vt:variant>
        <vt:i4>0</vt:i4>
      </vt:variant>
      <vt:variant>
        <vt:i4>5</vt:i4>
      </vt:variant>
      <vt:variant>
        <vt:lpwstr/>
      </vt:variant>
      <vt:variant>
        <vt:lpwstr>_bookmark20</vt:lpwstr>
      </vt:variant>
      <vt:variant>
        <vt:i4>2293841</vt:i4>
      </vt:variant>
      <vt:variant>
        <vt:i4>141</vt:i4>
      </vt:variant>
      <vt:variant>
        <vt:i4>0</vt:i4>
      </vt:variant>
      <vt:variant>
        <vt:i4>5</vt:i4>
      </vt:variant>
      <vt:variant>
        <vt:lpwstr/>
      </vt:variant>
      <vt:variant>
        <vt:lpwstr>_bookmark19</vt:lpwstr>
      </vt:variant>
      <vt:variant>
        <vt:i4>2293841</vt:i4>
      </vt:variant>
      <vt:variant>
        <vt:i4>138</vt:i4>
      </vt:variant>
      <vt:variant>
        <vt:i4>0</vt:i4>
      </vt:variant>
      <vt:variant>
        <vt:i4>5</vt:i4>
      </vt:variant>
      <vt:variant>
        <vt:lpwstr/>
      </vt:variant>
      <vt:variant>
        <vt:lpwstr>_bookmark19</vt:lpwstr>
      </vt:variant>
      <vt:variant>
        <vt:i4>2293841</vt:i4>
      </vt:variant>
      <vt:variant>
        <vt:i4>135</vt:i4>
      </vt:variant>
      <vt:variant>
        <vt:i4>0</vt:i4>
      </vt:variant>
      <vt:variant>
        <vt:i4>5</vt:i4>
      </vt:variant>
      <vt:variant>
        <vt:lpwstr/>
      </vt:variant>
      <vt:variant>
        <vt:lpwstr>_bookmark18</vt:lpwstr>
      </vt:variant>
      <vt:variant>
        <vt:i4>2293841</vt:i4>
      </vt:variant>
      <vt:variant>
        <vt:i4>132</vt:i4>
      </vt:variant>
      <vt:variant>
        <vt:i4>0</vt:i4>
      </vt:variant>
      <vt:variant>
        <vt:i4>5</vt:i4>
      </vt:variant>
      <vt:variant>
        <vt:lpwstr/>
      </vt:variant>
      <vt:variant>
        <vt:lpwstr>_bookmark17</vt:lpwstr>
      </vt:variant>
      <vt:variant>
        <vt:i4>2293841</vt:i4>
      </vt:variant>
      <vt:variant>
        <vt:i4>129</vt:i4>
      </vt:variant>
      <vt:variant>
        <vt:i4>0</vt:i4>
      </vt:variant>
      <vt:variant>
        <vt:i4>5</vt:i4>
      </vt:variant>
      <vt:variant>
        <vt:lpwstr/>
      </vt:variant>
      <vt:variant>
        <vt:lpwstr>_bookmark14</vt:lpwstr>
      </vt:variant>
      <vt:variant>
        <vt:i4>2293841</vt:i4>
      </vt:variant>
      <vt:variant>
        <vt:i4>126</vt:i4>
      </vt:variant>
      <vt:variant>
        <vt:i4>0</vt:i4>
      </vt:variant>
      <vt:variant>
        <vt:i4>5</vt:i4>
      </vt:variant>
      <vt:variant>
        <vt:lpwstr/>
      </vt:variant>
      <vt:variant>
        <vt:lpwstr>_bookmark14</vt:lpwstr>
      </vt:variant>
      <vt:variant>
        <vt:i4>2293841</vt:i4>
      </vt:variant>
      <vt:variant>
        <vt:i4>123</vt:i4>
      </vt:variant>
      <vt:variant>
        <vt:i4>0</vt:i4>
      </vt:variant>
      <vt:variant>
        <vt:i4>5</vt:i4>
      </vt:variant>
      <vt:variant>
        <vt:lpwstr/>
      </vt:variant>
      <vt:variant>
        <vt:lpwstr>_bookmark13</vt:lpwstr>
      </vt:variant>
      <vt:variant>
        <vt:i4>2293841</vt:i4>
      </vt:variant>
      <vt:variant>
        <vt:i4>120</vt:i4>
      </vt:variant>
      <vt:variant>
        <vt:i4>0</vt:i4>
      </vt:variant>
      <vt:variant>
        <vt:i4>5</vt:i4>
      </vt:variant>
      <vt:variant>
        <vt:lpwstr/>
      </vt:variant>
      <vt:variant>
        <vt:lpwstr>_bookmark11</vt:lpwstr>
      </vt:variant>
      <vt:variant>
        <vt:i4>2293841</vt:i4>
      </vt:variant>
      <vt:variant>
        <vt:i4>117</vt:i4>
      </vt:variant>
      <vt:variant>
        <vt:i4>0</vt:i4>
      </vt:variant>
      <vt:variant>
        <vt:i4>5</vt:i4>
      </vt:variant>
      <vt:variant>
        <vt:lpwstr/>
      </vt:variant>
      <vt:variant>
        <vt:lpwstr>_bookmark10</vt:lpwstr>
      </vt:variant>
      <vt:variant>
        <vt:i4>2359377</vt:i4>
      </vt:variant>
      <vt:variant>
        <vt:i4>114</vt:i4>
      </vt:variant>
      <vt:variant>
        <vt:i4>0</vt:i4>
      </vt:variant>
      <vt:variant>
        <vt:i4>5</vt:i4>
      </vt:variant>
      <vt:variant>
        <vt:lpwstr/>
      </vt:variant>
      <vt:variant>
        <vt:lpwstr>_bookmark6</vt:lpwstr>
      </vt:variant>
      <vt:variant>
        <vt:i4>2555985</vt:i4>
      </vt:variant>
      <vt:variant>
        <vt:i4>111</vt:i4>
      </vt:variant>
      <vt:variant>
        <vt:i4>0</vt:i4>
      </vt:variant>
      <vt:variant>
        <vt:i4>5</vt:i4>
      </vt:variant>
      <vt:variant>
        <vt:lpwstr/>
      </vt:variant>
      <vt:variant>
        <vt:lpwstr>_bookmark5</vt:lpwstr>
      </vt:variant>
      <vt:variant>
        <vt:i4>2097233</vt:i4>
      </vt:variant>
      <vt:variant>
        <vt:i4>108</vt:i4>
      </vt:variant>
      <vt:variant>
        <vt:i4>0</vt:i4>
      </vt:variant>
      <vt:variant>
        <vt:i4>5</vt:i4>
      </vt:variant>
      <vt:variant>
        <vt:lpwstr/>
      </vt:variant>
      <vt:variant>
        <vt:lpwstr>_bookmark2</vt:lpwstr>
      </vt:variant>
      <vt:variant>
        <vt:i4>2293841</vt:i4>
      </vt:variant>
      <vt:variant>
        <vt:i4>105</vt:i4>
      </vt:variant>
      <vt:variant>
        <vt:i4>0</vt:i4>
      </vt:variant>
      <vt:variant>
        <vt:i4>5</vt:i4>
      </vt:variant>
      <vt:variant>
        <vt:lpwstr/>
      </vt:variant>
      <vt:variant>
        <vt:lpwstr>_bookmark1</vt:lpwstr>
      </vt:variant>
      <vt:variant>
        <vt:i4>2293841</vt:i4>
      </vt:variant>
      <vt:variant>
        <vt:i4>102</vt:i4>
      </vt:variant>
      <vt:variant>
        <vt:i4>0</vt:i4>
      </vt:variant>
      <vt:variant>
        <vt:i4>5</vt:i4>
      </vt:variant>
      <vt:variant>
        <vt:lpwstr/>
      </vt:variant>
      <vt:variant>
        <vt:lpwstr>_bookmark1</vt:lpwstr>
      </vt:variant>
      <vt:variant>
        <vt:i4>2228305</vt:i4>
      </vt:variant>
      <vt:variant>
        <vt:i4>99</vt:i4>
      </vt:variant>
      <vt:variant>
        <vt:i4>0</vt:i4>
      </vt:variant>
      <vt:variant>
        <vt:i4>5</vt:i4>
      </vt:variant>
      <vt:variant>
        <vt:lpwstr/>
      </vt:variant>
      <vt:variant>
        <vt:lpwstr>_bookmark0</vt:lpwstr>
      </vt:variant>
      <vt:variant>
        <vt:i4>6422582</vt:i4>
      </vt:variant>
      <vt:variant>
        <vt:i4>96</vt:i4>
      </vt:variant>
      <vt:variant>
        <vt:i4>0</vt:i4>
      </vt:variant>
      <vt:variant>
        <vt:i4>5</vt:i4>
      </vt:variant>
      <vt:variant>
        <vt:lpwstr>http://www.gov.uk/government/publications/the-</vt:lpwstr>
      </vt:variant>
      <vt:variant>
        <vt:lpwstr/>
      </vt:variant>
      <vt:variant>
        <vt:i4>1245270</vt:i4>
      </vt:variant>
      <vt:variant>
        <vt:i4>93</vt:i4>
      </vt:variant>
      <vt:variant>
        <vt:i4>0</vt:i4>
      </vt:variant>
      <vt:variant>
        <vt:i4>5</vt:i4>
      </vt:variant>
      <vt:variant>
        <vt:lpwstr>http://www.gov.uk/government/publications/strategic-</vt:lpwstr>
      </vt:variant>
      <vt:variant>
        <vt:lpwstr/>
      </vt:variant>
      <vt:variant>
        <vt:i4>5832737</vt:i4>
      </vt:variant>
      <vt:variant>
        <vt:i4>90</vt:i4>
      </vt:variant>
      <vt:variant>
        <vt:i4>0</vt:i4>
      </vt:variant>
      <vt:variant>
        <vt:i4>5</vt:i4>
      </vt:variant>
      <vt:variant>
        <vt:lpwstr>mailto:Gordon.carver@tribalgroup.com</vt:lpwstr>
      </vt:variant>
      <vt:variant>
        <vt:lpwstr/>
      </vt:variant>
      <vt:variant>
        <vt:i4>2555993</vt:i4>
      </vt:variant>
      <vt:variant>
        <vt:i4>87</vt:i4>
      </vt:variant>
      <vt:variant>
        <vt:i4>0</vt:i4>
      </vt:variant>
      <vt:variant>
        <vt:i4>5</vt:i4>
      </vt:variant>
      <vt:variant>
        <vt:lpwstr>mailto:matt.davis@tribalgroup.com</vt:lpwstr>
      </vt:variant>
      <vt:variant>
        <vt:lpwstr/>
      </vt:variant>
      <vt:variant>
        <vt:i4>3014781</vt:i4>
      </vt:variant>
      <vt:variant>
        <vt:i4>84</vt:i4>
      </vt:variant>
      <vt:variant>
        <vt:i4>0</vt:i4>
      </vt:variant>
      <vt:variant>
        <vt:i4>5</vt:i4>
      </vt:variant>
      <vt:variant>
        <vt:lpwstr>https://www.gov.uk/government/publications/it-health-check-ithc-supporting-guidance</vt:lpwstr>
      </vt:variant>
      <vt:variant>
        <vt:lpwstr/>
      </vt:variant>
      <vt:variant>
        <vt:i4>3014781</vt:i4>
      </vt:variant>
      <vt:variant>
        <vt:i4>81</vt:i4>
      </vt:variant>
      <vt:variant>
        <vt:i4>0</vt:i4>
      </vt:variant>
      <vt:variant>
        <vt:i4>5</vt:i4>
      </vt:variant>
      <vt:variant>
        <vt:lpwstr>https://www.gov.uk/government/publications/it-health-check-ithc-supporting-guidance</vt:lpwstr>
      </vt:variant>
      <vt:variant>
        <vt:lpwstr/>
      </vt:variant>
      <vt:variant>
        <vt:i4>5767261</vt:i4>
      </vt:variant>
      <vt:variant>
        <vt:i4>78</vt:i4>
      </vt:variant>
      <vt:variant>
        <vt:i4>0</vt:i4>
      </vt:variant>
      <vt:variant>
        <vt:i4>5</vt:i4>
      </vt:variant>
      <vt:variant>
        <vt:lpwstr>https://www.gov.uk/government/collections/sustainable-procurement-the-government-buying-standards-gbs</vt:lpwstr>
      </vt:variant>
      <vt:variant>
        <vt:lpwstr/>
      </vt:variant>
      <vt:variant>
        <vt:i4>5767261</vt:i4>
      </vt:variant>
      <vt:variant>
        <vt:i4>75</vt:i4>
      </vt:variant>
      <vt:variant>
        <vt:i4>0</vt:i4>
      </vt:variant>
      <vt:variant>
        <vt:i4>5</vt:i4>
      </vt:variant>
      <vt:variant>
        <vt:lpwstr>https://www.gov.uk/government/collections/sustainable-procurement-the-government-buying-standards-gbs</vt:lpwstr>
      </vt:variant>
      <vt:variant>
        <vt:lpwstr/>
      </vt:variant>
      <vt:variant>
        <vt:i4>4390986</vt:i4>
      </vt:variant>
      <vt:variant>
        <vt:i4>72</vt:i4>
      </vt:variant>
      <vt:variant>
        <vt:i4>0</vt:i4>
      </vt:variant>
      <vt:variant>
        <vt:i4>5</vt:i4>
      </vt:variant>
      <vt:variant>
        <vt:lpwstr>https://www.gov.uk/government/organisations/department-for-education/about/our-energy-use</vt:lpwstr>
      </vt:variant>
      <vt:variant>
        <vt:lpwstr/>
      </vt:variant>
      <vt:variant>
        <vt:i4>4390986</vt:i4>
      </vt:variant>
      <vt:variant>
        <vt:i4>69</vt:i4>
      </vt:variant>
      <vt:variant>
        <vt:i4>0</vt:i4>
      </vt:variant>
      <vt:variant>
        <vt:i4>5</vt:i4>
      </vt:variant>
      <vt:variant>
        <vt:lpwstr>https://www.gov.uk/government/organisations/department-for-education/about/our-energy-use</vt:lpwstr>
      </vt:variant>
      <vt:variant>
        <vt:lpwstr/>
      </vt:variant>
      <vt:variant>
        <vt:i4>6291529</vt:i4>
      </vt:variant>
      <vt:variant>
        <vt:i4>66</vt:i4>
      </vt:variant>
      <vt:variant>
        <vt:i4>0</vt:i4>
      </vt:variant>
      <vt:variant>
        <vt:i4>5</vt:i4>
      </vt:variant>
      <vt:variant>
        <vt:lpwstr>mailto:AccountsPayable.OCR@education.gov.uk</vt:lpwstr>
      </vt:variant>
      <vt:variant>
        <vt:lpwstr/>
      </vt:variant>
      <vt:variant>
        <vt:i4>1966173</vt:i4>
      </vt:variant>
      <vt:variant>
        <vt:i4>63</vt:i4>
      </vt:variant>
      <vt:variant>
        <vt:i4>0</vt:i4>
      </vt:variant>
      <vt:variant>
        <vt:i4>5</vt:i4>
      </vt:variant>
      <vt:variant>
        <vt:lpwstr>https://www.gov.uk/government/publications/procurement-policy-note-0117-update-to-transparency-principles</vt:lpwstr>
      </vt:variant>
      <vt:variant>
        <vt:lpwstr/>
      </vt:variant>
      <vt:variant>
        <vt:i4>1966173</vt:i4>
      </vt:variant>
      <vt:variant>
        <vt:i4>60</vt:i4>
      </vt:variant>
      <vt:variant>
        <vt:i4>0</vt:i4>
      </vt:variant>
      <vt:variant>
        <vt:i4>5</vt:i4>
      </vt:variant>
      <vt:variant>
        <vt:lpwstr>https://www.gov.uk/government/publications/procurement-policy-note-0117-update-to-transparency-principles</vt:lpwstr>
      </vt:variant>
      <vt:variant>
        <vt:lpwstr/>
      </vt:variant>
      <vt:variant>
        <vt:i4>2621520</vt:i4>
      </vt:variant>
      <vt:variant>
        <vt:i4>57</vt:i4>
      </vt:variant>
      <vt:variant>
        <vt:i4>0</vt:i4>
      </vt:variant>
      <vt:variant>
        <vt:i4>5</vt:i4>
      </vt:variant>
      <vt:variant>
        <vt:lpwstr>mailto:paul.duller@tribalgroup.com</vt:lpwstr>
      </vt:variant>
      <vt:variant>
        <vt:lpwstr/>
      </vt:variant>
      <vt:variant>
        <vt:i4>6750301</vt:i4>
      </vt:variant>
      <vt:variant>
        <vt:i4>54</vt:i4>
      </vt:variant>
      <vt:variant>
        <vt:i4>0</vt:i4>
      </vt:variant>
      <vt:variant>
        <vt:i4>5</vt:i4>
      </vt:variant>
      <vt:variant>
        <vt:lpwstr>mailto:emma.wharram@education.gov.uk</vt:lpwstr>
      </vt:variant>
      <vt:variant>
        <vt:lpwstr/>
      </vt:variant>
      <vt:variant>
        <vt:i4>5767261</vt:i4>
      </vt:variant>
      <vt:variant>
        <vt:i4>51</vt:i4>
      </vt:variant>
      <vt:variant>
        <vt:i4>0</vt:i4>
      </vt:variant>
      <vt:variant>
        <vt:i4>5</vt:i4>
      </vt:variant>
      <vt:variant>
        <vt:lpwstr>https://www.gov.uk/government/collections/sustainable-procurement-the-government-buying-standards-gbs</vt:lpwstr>
      </vt:variant>
      <vt:variant>
        <vt:lpwstr/>
      </vt:variant>
      <vt:variant>
        <vt:i4>5767261</vt:i4>
      </vt:variant>
      <vt:variant>
        <vt:i4>48</vt:i4>
      </vt:variant>
      <vt:variant>
        <vt:i4>0</vt:i4>
      </vt:variant>
      <vt:variant>
        <vt:i4>5</vt:i4>
      </vt:variant>
      <vt:variant>
        <vt:lpwstr>https://www.gov.uk/government/collections/sustainable-procurement-the-government-buying-standards-gbs</vt:lpwstr>
      </vt:variant>
      <vt:variant>
        <vt:lpwstr/>
      </vt:variant>
      <vt:variant>
        <vt:i4>5177428</vt:i4>
      </vt:variant>
      <vt:variant>
        <vt:i4>45</vt:i4>
      </vt:variant>
      <vt:variant>
        <vt:i4>0</vt:i4>
      </vt:variant>
      <vt:variant>
        <vt:i4>5</vt:i4>
      </vt:variant>
      <vt:variant>
        <vt:lpwstr>https://www.modernslaveryhelpline.org/report</vt:lpwstr>
      </vt:variant>
      <vt:variant>
        <vt:lpwstr/>
      </vt:variant>
      <vt:variant>
        <vt:i4>3014663</vt:i4>
      </vt:variant>
      <vt:variant>
        <vt:i4>42</vt:i4>
      </vt:variant>
      <vt:variant>
        <vt:i4>0</vt:i4>
      </vt:variant>
      <vt:variant>
        <vt:i4>5</vt:i4>
      </vt:variant>
      <vt:variant>
        <vt:lpwstr>https://www.gov.uk/government/uploads/system/uploads/attachment_data/file/646497/2017-09-13_Official_Sensitive_Supplier_Code_of_Conduct_September_2017.pdf</vt:lpwstr>
      </vt:variant>
      <vt:variant>
        <vt:lpwstr/>
      </vt:variant>
      <vt:variant>
        <vt:i4>3014663</vt:i4>
      </vt:variant>
      <vt:variant>
        <vt:i4>39</vt:i4>
      </vt:variant>
      <vt:variant>
        <vt:i4>0</vt:i4>
      </vt:variant>
      <vt:variant>
        <vt:i4>5</vt:i4>
      </vt:variant>
      <vt:variant>
        <vt:lpwstr>https://www.gov.uk/government/uploads/system/uploads/attachment_data/file/646497/2017-09-13_Official_Sensitive_Supplier_Code_of_Conduct_September_2017.pdf</vt:lpwstr>
      </vt:variant>
      <vt:variant>
        <vt:lpwstr/>
      </vt:variant>
      <vt:variant>
        <vt:i4>3014663</vt:i4>
      </vt:variant>
      <vt:variant>
        <vt:i4>36</vt:i4>
      </vt:variant>
      <vt:variant>
        <vt:i4>0</vt:i4>
      </vt:variant>
      <vt:variant>
        <vt:i4>5</vt:i4>
      </vt:variant>
      <vt:variant>
        <vt:lpwstr>https://www.gov.uk/government/uploads/system/uploads/attachment_data/file/646497/2017-09-13_Official_Sensitive_Supplier_Code_of_Conduct_September_2017.pdf</vt:lpwstr>
      </vt:variant>
      <vt:variant>
        <vt:lpwstr/>
      </vt:variant>
      <vt:variant>
        <vt:i4>1376326</vt:i4>
      </vt:variant>
      <vt:variant>
        <vt:i4>33</vt:i4>
      </vt:variant>
      <vt:variant>
        <vt:i4>0</vt:i4>
      </vt:variant>
      <vt:variant>
        <vt:i4>5</vt:i4>
      </vt:variant>
      <vt:variant>
        <vt:lpwstr>http://www.gov.uk/government/publications/procurement-policy-</vt:lpwstr>
      </vt:variant>
      <vt:variant>
        <vt:lpwstr/>
      </vt:variant>
      <vt:variant>
        <vt:i4>1376326</vt:i4>
      </vt:variant>
      <vt:variant>
        <vt:i4>30</vt:i4>
      </vt:variant>
      <vt:variant>
        <vt:i4>0</vt:i4>
      </vt:variant>
      <vt:variant>
        <vt:i4>5</vt:i4>
      </vt:variant>
      <vt:variant>
        <vt:lpwstr>http://www.gov.uk/government/publications/procurement-policy-</vt:lpwstr>
      </vt:variant>
      <vt:variant>
        <vt:lpwstr/>
      </vt:variant>
      <vt:variant>
        <vt:i4>3997738</vt:i4>
      </vt:variant>
      <vt:variant>
        <vt:i4>27</vt:i4>
      </vt:variant>
      <vt:variant>
        <vt:i4>0</vt:i4>
      </vt:variant>
      <vt:variant>
        <vt:i4>5</vt:i4>
      </vt:variant>
      <vt:variant>
        <vt:lpwstr>https://www.gov.uk/government/publications/blowing-the-whistle-list-of-prescribed-people-and-bodies--2/whistleblowing-list-of-prescribed-people-and-bodies</vt:lpwstr>
      </vt:variant>
      <vt:variant>
        <vt:lpwstr/>
      </vt:variant>
      <vt:variant>
        <vt:i4>3997738</vt:i4>
      </vt:variant>
      <vt:variant>
        <vt:i4>24</vt:i4>
      </vt:variant>
      <vt:variant>
        <vt:i4>0</vt:i4>
      </vt:variant>
      <vt:variant>
        <vt:i4>5</vt:i4>
      </vt:variant>
      <vt:variant>
        <vt:lpwstr>https://www.gov.uk/government/publications/blowing-the-whistle-list-of-prescribed-people-and-bodies--2/whistleblowing-list-of-prescribed-people-and-bodies</vt:lpwstr>
      </vt:variant>
      <vt:variant>
        <vt:lpwstr/>
      </vt:variant>
      <vt:variant>
        <vt:i4>3997738</vt:i4>
      </vt:variant>
      <vt:variant>
        <vt:i4>21</vt:i4>
      </vt:variant>
      <vt:variant>
        <vt:i4>0</vt:i4>
      </vt:variant>
      <vt:variant>
        <vt:i4>5</vt:i4>
      </vt:variant>
      <vt:variant>
        <vt:lpwstr>https://www.gov.uk/government/publications/blowing-the-whistle-list-of-prescribed-people-and-bodies--2/whistleblowing-list-of-prescribed-people-and-bodies</vt:lpwstr>
      </vt:variant>
      <vt:variant>
        <vt:lpwstr/>
      </vt:variant>
      <vt:variant>
        <vt:i4>4128867</vt:i4>
      </vt:variant>
      <vt:variant>
        <vt:i4>18</vt:i4>
      </vt:variant>
      <vt:variant>
        <vt:i4>0</vt:i4>
      </vt:variant>
      <vt:variant>
        <vt:i4>5</vt:i4>
      </vt:variant>
      <vt:variant>
        <vt:lpwstr>https://www.gov.uk/government/publications/open-standards-principles/open-standards-principles</vt:lpwstr>
      </vt:variant>
      <vt:variant>
        <vt:lpwstr/>
      </vt:variant>
      <vt:variant>
        <vt:i4>4128867</vt:i4>
      </vt:variant>
      <vt:variant>
        <vt:i4>15</vt:i4>
      </vt:variant>
      <vt:variant>
        <vt:i4>0</vt:i4>
      </vt:variant>
      <vt:variant>
        <vt:i4>5</vt:i4>
      </vt:variant>
      <vt:variant>
        <vt:lpwstr>https://www.gov.uk/government/publications/open-standards-principles/open-standards-principles</vt:lpwstr>
      </vt:variant>
      <vt:variant>
        <vt:lpwstr/>
      </vt:variant>
      <vt:variant>
        <vt:i4>5505035</vt:i4>
      </vt:variant>
      <vt:variant>
        <vt:i4>12</vt:i4>
      </vt:variant>
      <vt:variant>
        <vt:i4>0</vt:i4>
      </vt:variant>
      <vt:variant>
        <vt:i4>5</vt:i4>
      </vt:variant>
      <vt:variant>
        <vt:lpwstr>http://www.nationalarchives.gov.uk/doc/open-government-licence/version/3/</vt:lpwstr>
      </vt:variant>
      <vt:variant>
        <vt:lpwstr/>
      </vt:variant>
      <vt:variant>
        <vt:i4>5505035</vt:i4>
      </vt:variant>
      <vt:variant>
        <vt:i4>9</vt:i4>
      </vt:variant>
      <vt:variant>
        <vt:i4>0</vt:i4>
      </vt:variant>
      <vt:variant>
        <vt:i4>5</vt:i4>
      </vt:variant>
      <vt:variant>
        <vt:lpwstr>http://www.nationalarchives.gov.uk/doc/open-government-licence/version/3/</vt:lpwstr>
      </vt:variant>
      <vt:variant>
        <vt:lpwstr/>
      </vt:variant>
      <vt:variant>
        <vt:i4>2097208</vt:i4>
      </vt:variant>
      <vt:variant>
        <vt:i4>6</vt:i4>
      </vt:variant>
      <vt:variant>
        <vt:i4>0</vt:i4>
      </vt:variant>
      <vt:variant>
        <vt:i4>5</vt:i4>
      </vt:variant>
      <vt:variant>
        <vt:lpwstr>https://www.gov.uk/guidance/ir35-find-out-if-it-applies</vt:lpwstr>
      </vt:variant>
      <vt:variant>
        <vt:lpwstr/>
      </vt:variant>
      <vt:variant>
        <vt:i4>6029384</vt:i4>
      </vt:variant>
      <vt:variant>
        <vt:i4>3</vt:i4>
      </vt:variant>
      <vt:variant>
        <vt:i4>0</vt:i4>
      </vt:variant>
      <vt:variant>
        <vt:i4>5</vt:i4>
      </vt:variant>
      <vt:variant>
        <vt:lpwstr>http://www.gov.uk/government/publications/governmentprocureme</vt:lpwstr>
      </vt:variant>
      <vt:variant>
        <vt:lpwstr/>
      </vt:variant>
      <vt:variant>
        <vt:i4>4259919</vt:i4>
      </vt:variant>
      <vt:variant>
        <vt:i4>0</vt:i4>
      </vt:variant>
      <vt:variant>
        <vt:i4>0</vt:i4>
      </vt:variant>
      <vt:variant>
        <vt:i4>5</vt:i4>
      </vt:variant>
      <vt:variant>
        <vt:lpwstr>http://ccs.cabinetoffice.gov.uk/i-am-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 Laird</dc:creator>
  <cp:keywords/>
  <cp:lastModifiedBy>MOORE, Sharon</cp:lastModifiedBy>
  <cp:revision>5</cp:revision>
  <cp:lastPrinted>2023-11-01T10:23:00Z</cp:lastPrinted>
  <dcterms:created xsi:type="dcterms:W3CDTF">2023-11-15T10:24:00Z</dcterms:created>
  <dcterms:modified xsi:type="dcterms:W3CDTF">2023-11-15T10:32:00Z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0x010100EE5F270D3F764B78BA0044E7631EFB8F00B5A9C23BDC561E44A910F655C8F578FE</vt:lpwstr>
  </property>
  <property fmtid="{D5CDD505-2E9C-101B-9397-08002B2CF9AE}" pid="3" name="Currency">
    <vt:lpwstr>GBP</vt:lpwstr>
  </property>
  <property fmtid="{D5CDD505-2E9C-101B-9397-08002B2CF9AE}" pid="4" name="Tribal Legal Entity">
    <vt:lpwstr>4</vt:lpwstr>
  </property>
  <property fmtid="{D5CDD505-2E9C-101B-9397-08002B2CF9AE}" pid="5" name="Legal Approval Exempt">
    <vt:lpwstr>No</vt:lpwstr>
  </property>
  <property fmtid="{D5CDD505-2E9C-101B-9397-08002B2CF9AE}" pid="6" name="Cloud or On Premise">
    <vt:lpwstr>On Premise</vt:lpwstr>
  </property>
  <property fmtid="{D5CDD505-2E9C-101B-9397-08002B2CF9AE}" pid="7" name="Standard or Non-Standard Deal">
    <vt:lpwstr>Non-Standard</vt:lpwstr>
  </property>
  <property fmtid="{D5CDD505-2E9C-101B-9397-08002B2CF9AE}" pid="8" name="Transaction Background">
    <vt:lpwstr>Draft Contract attached_x000d_
_x000d_
Proposal Submitted, not preferred Supplier. _x000d_
_x000d_
Previous Description for Reference:_x000d_
_x000d_
The Department for Education is looking for a management of intervention delivery supplier (delivery supplier) to oversee the delivery of num</vt:lpwstr>
  </property>
  <property fmtid="{D5CDD505-2E9C-101B-9397-08002B2CF9AE}" pid="9" name="Salesforce Opportunity No">
    <vt:lpwstr>OP-00080566</vt:lpwstr>
  </property>
  <property fmtid="{D5CDD505-2E9C-101B-9397-08002B2CF9AE}" pid="10" name="All relevant documents attached?">
    <vt:lpwstr>Yes</vt:lpwstr>
  </property>
  <property fmtid="{D5CDD505-2E9C-101B-9397-08002B2CF9AE}" pid="11" name="If an Existing Customer provide details">
    <vt:lpwstr>Previous contracts/ existing contracts: NCETM, European Schools Inspections, Maths CPD, AMSP, NPQ assessments, National Tutoring Programme, Ofsted </vt:lpwstr>
  </property>
  <property fmtid="{D5CDD505-2E9C-101B-9397-08002B2CF9AE}" pid="12" name="Approval Granted?">
    <vt:lpwstr/>
  </property>
  <property fmtid="{D5CDD505-2E9C-101B-9397-08002B2CF9AE}" pid="13" name="Supplier - Name of Contact">
    <vt:lpwstr/>
  </property>
  <property fmtid="{D5CDD505-2E9C-101B-9397-08002B2CF9AE}" pid="14" name="Supplier Address">
    <vt:lpwstr/>
  </property>
  <property fmtid="{D5CDD505-2E9C-101B-9397-08002B2CF9AE}" pid="15" name="Existing or New Customer">
    <vt:lpwstr/>
  </property>
  <property fmtid="{D5CDD505-2E9C-101B-9397-08002B2CF9AE}" pid="16" name="Supplier Name">
    <vt:lpwstr/>
  </property>
  <property fmtid="{D5CDD505-2E9C-101B-9397-08002B2CF9AE}" pid="17" name="Supplier - Contact's email">
    <vt:lpwstr/>
  </property>
</Properties>
</file>